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E1078F" w14:textId="77777777" w:rsidR="00C212B3" w:rsidRDefault="00C212B3" w:rsidP="00C212B3">
      <w:pPr>
        <w:pStyle w:val="Title"/>
      </w:pPr>
      <w:bookmarkStart w:id="8" w:name="_Toc97198418"/>
      <w:r>
        <w:t>TRADE POLICY REVIEW</w:t>
      </w:r>
    </w:p>
    <w:p w14:paraId="71EBCAFE" w14:textId="77777777" w:rsidR="00C212B3" w:rsidRDefault="00C212B3" w:rsidP="00C212B3">
      <w:pPr>
        <w:pStyle w:val="Title2"/>
      </w:pPr>
      <w:r>
        <w:t>REPORT BY THE SECRETARIAT</w:t>
      </w:r>
    </w:p>
    <w:p w14:paraId="7DD76E80" w14:textId="77777777" w:rsidR="00C212B3" w:rsidRDefault="00C212B3" w:rsidP="00C212B3">
      <w:pPr>
        <w:pStyle w:val="TitleCountry"/>
      </w:pPr>
      <w:r>
        <w:t>Dominican Republic</w:t>
      </w:r>
    </w:p>
    <w:p w14:paraId="4CB72AFF" w14:textId="77777777" w:rsidR="00C212B3" w:rsidRDefault="00C212B3" w:rsidP="00C212B3">
      <w:r>
        <w:t xml:space="preserve">This report, prepared for the </w:t>
      </w:r>
      <w:r w:rsidRPr="00C62F03">
        <w:t>fifth</w:t>
      </w:r>
      <w:r>
        <w:t xml:space="preserve"> Trade Policy Review of Dominican Republic, has been drawn up by the WTO Secretariat on its own responsibility. The Secretariat has, as required by the Agreement establishing the Trade Policy Review Mechanism (Annex 3 of the Marrakesh Agreement Establishing the World Trade Organization), sought clarification from Dominican Republic on its trade policies and practices.</w:t>
      </w:r>
    </w:p>
    <w:p w14:paraId="29F95447" w14:textId="77777777" w:rsidR="00C212B3" w:rsidRDefault="00C212B3" w:rsidP="00C212B3"/>
    <w:p w14:paraId="5D22E0E3" w14:textId="6B0D427C" w:rsidR="00C212B3" w:rsidRDefault="00C212B3" w:rsidP="00C212B3">
      <w:r w:rsidRPr="00C14E6A">
        <w:t xml:space="preserve">Any technical questions arising from this report may be addressed to Mr Angelo </w:t>
      </w:r>
      <w:proofErr w:type="spellStart"/>
      <w:r w:rsidRPr="00C14E6A">
        <w:t>Silvy</w:t>
      </w:r>
      <w:proofErr w:type="spellEnd"/>
      <w:r w:rsidRPr="00C14E6A">
        <w:t xml:space="preserve"> (tel.: 022 739 5249), Ms Eugenia </w:t>
      </w:r>
      <w:proofErr w:type="spellStart"/>
      <w:r w:rsidRPr="00C14E6A">
        <w:t>Lizano</w:t>
      </w:r>
      <w:proofErr w:type="spellEnd"/>
      <w:r w:rsidRPr="00C14E6A">
        <w:t xml:space="preserve"> (tel.: 022 739 6578), Mr Cristian Ugarte </w:t>
      </w:r>
      <w:r w:rsidR="00352E1F" w:rsidRPr="00C14E6A">
        <w:t>or</w:t>
      </w:r>
      <w:r w:rsidRPr="00C14E6A">
        <w:t xml:space="preserve"> Ms Stephanie </w:t>
      </w:r>
      <w:proofErr w:type="spellStart"/>
      <w:r w:rsidRPr="00C14E6A">
        <w:t>Doranges</w:t>
      </w:r>
      <w:r w:rsidRPr="00C14E6A">
        <w:noBreakHyphen/>
        <w:t>Patoret</w:t>
      </w:r>
      <w:proofErr w:type="spellEnd"/>
      <w:r w:rsidRPr="00C14E6A">
        <w:t xml:space="preserve"> (tel.: 022 739 5497).</w:t>
      </w:r>
    </w:p>
    <w:p w14:paraId="1E1A4E0B" w14:textId="77777777" w:rsidR="00C212B3" w:rsidRDefault="00C212B3" w:rsidP="00C212B3"/>
    <w:p w14:paraId="7230ACD9" w14:textId="77777777" w:rsidR="00C212B3" w:rsidRDefault="00C212B3" w:rsidP="00C212B3">
      <w:r w:rsidRPr="00C62F03">
        <w:t>Document WT/TPR/G/435</w:t>
      </w:r>
      <w:r>
        <w:t xml:space="preserve"> contains the policy statement submitted by Dominican Republic.</w:t>
      </w:r>
    </w:p>
    <w:p w14:paraId="5063EB28" w14:textId="77777777" w:rsidR="00C212B3" w:rsidRDefault="00C212B3" w:rsidP="00C212B3"/>
    <w:p w14:paraId="24412DC8" w14:textId="77777777" w:rsidR="00C212B3" w:rsidRDefault="00C212B3" w:rsidP="00C212B3">
      <w:pPr>
        <w:pBdr>
          <w:bottom w:val="single" w:sz="6" w:space="0" w:color="auto"/>
        </w:pBdr>
      </w:pPr>
      <w:r>
        <w:fldChar w:fldCharType="begin"/>
      </w:r>
      <w:r>
        <w:instrText xml:space="preserve"> ADVANCE  \y 700  </w:instrText>
      </w:r>
      <w:r>
        <w:fldChar w:fldCharType="end"/>
      </w:r>
    </w:p>
    <w:p w14:paraId="738619BC" w14:textId="77777777" w:rsidR="00C212B3" w:rsidRDefault="00C212B3" w:rsidP="00C212B3">
      <w:pPr>
        <w:pBdr>
          <w:bottom w:val="single" w:sz="6" w:space="0" w:color="auto"/>
        </w:pBdr>
      </w:pPr>
    </w:p>
    <w:p w14:paraId="7A963775" w14:textId="77777777" w:rsidR="00C212B3" w:rsidRDefault="00C212B3" w:rsidP="00C212B3">
      <w:pPr>
        <w:pBdr>
          <w:bottom w:val="single" w:sz="6" w:space="0" w:color="auto"/>
        </w:pBdr>
      </w:pPr>
    </w:p>
    <w:p w14:paraId="6FDA6E93" w14:textId="77777777" w:rsidR="00C212B3" w:rsidRDefault="00C212B3" w:rsidP="00C212B3">
      <w:pPr>
        <w:pBdr>
          <w:bottom w:val="single" w:sz="6" w:space="0" w:color="auto"/>
        </w:pBdr>
      </w:pPr>
    </w:p>
    <w:p w14:paraId="29D0ECF9" w14:textId="77777777" w:rsidR="00C212B3" w:rsidRDefault="00C212B3" w:rsidP="00C212B3">
      <w:pPr>
        <w:pBdr>
          <w:bottom w:val="single" w:sz="6" w:space="0" w:color="auto"/>
        </w:pBdr>
      </w:pPr>
    </w:p>
    <w:p w14:paraId="4F1FD1C4" w14:textId="77777777" w:rsidR="00C212B3" w:rsidRDefault="00C212B3" w:rsidP="00C212B3">
      <w:pPr>
        <w:pBdr>
          <w:bottom w:val="single" w:sz="6" w:space="0" w:color="auto"/>
        </w:pBdr>
      </w:pPr>
    </w:p>
    <w:p w14:paraId="12BF26B8" w14:textId="77777777" w:rsidR="00C212B3" w:rsidRDefault="00C212B3" w:rsidP="00C212B3">
      <w:pPr>
        <w:pBdr>
          <w:bottom w:val="single" w:sz="6" w:space="0" w:color="auto"/>
        </w:pBdr>
      </w:pPr>
    </w:p>
    <w:p w14:paraId="4A3D2481" w14:textId="77777777" w:rsidR="00C212B3" w:rsidRDefault="00C212B3" w:rsidP="00C212B3">
      <w:pPr>
        <w:pBdr>
          <w:bottom w:val="single" w:sz="6" w:space="0" w:color="auto"/>
        </w:pBdr>
      </w:pPr>
    </w:p>
    <w:p w14:paraId="26AE4387" w14:textId="77777777" w:rsidR="00C212B3" w:rsidRDefault="00C212B3" w:rsidP="00C212B3">
      <w:pPr>
        <w:pBdr>
          <w:bottom w:val="single" w:sz="6" w:space="0" w:color="auto"/>
        </w:pBdr>
      </w:pPr>
    </w:p>
    <w:p w14:paraId="066163A5" w14:textId="77777777" w:rsidR="00C212B3" w:rsidRDefault="00C212B3" w:rsidP="00C212B3">
      <w:pPr>
        <w:pBdr>
          <w:bottom w:val="single" w:sz="6" w:space="0" w:color="auto"/>
        </w:pBdr>
      </w:pPr>
    </w:p>
    <w:p w14:paraId="61385CFF" w14:textId="77777777" w:rsidR="00C212B3" w:rsidRDefault="00C212B3" w:rsidP="00C212B3">
      <w:pPr>
        <w:pBdr>
          <w:bottom w:val="single" w:sz="6" w:space="0" w:color="auto"/>
        </w:pBdr>
      </w:pPr>
    </w:p>
    <w:p w14:paraId="4A549B59" w14:textId="77777777" w:rsidR="00C212B3" w:rsidRDefault="00C212B3" w:rsidP="00C212B3">
      <w:pPr>
        <w:pBdr>
          <w:bottom w:val="single" w:sz="6" w:space="0" w:color="auto"/>
        </w:pBdr>
      </w:pPr>
    </w:p>
    <w:p w14:paraId="2AD870B6" w14:textId="77777777" w:rsidR="00C212B3" w:rsidRDefault="00C212B3" w:rsidP="00C212B3">
      <w:pPr>
        <w:pBdr>
          <w:bottom w:val="single" w:sz="6" w:space="0" w:color="auto"/>
        </w:pBdr>
      </w:pPr>
    </w:p>
    <w:p w14:paraId="4C68C59E" w14:textId="77777777" w:rsidR="00C212B3" w:rsidRDefault="00C212B3" w:rsidP="00C212B3">
      <w:pPr>
        <w:pBdr>
          <w:bottom w:val="single" w:sz="6" w:space="0" w:color="auto"/>
        </w:pBdr>
      </w:pPr>
    </w:p>
    <w:p w14:paraId="6A720D85" w14:textId="77777777" w:rsidR="00C212B3" w:rsidRDefault="00C212B3" w:rsidP="00C212B3">
      <w:pPr>
        <w:pBdr>
          <w:bottom w:val="single" w:sz="6" w:space="0" w:color="auto"/>
        </w:pBdr>
      </w:pPr>
    </w:p>
    <w:p w14:paraId="347DA054" w14:textId="77777777" w:rsidR="00C212B3" w:rsidRDefault="00C212B3" w:rsidP="00C212B3">
      <w:pPr>
        <w:pBdr>
          <w:bottom w:val="single" w:sz="6" w:space="0" w:color="auto"/>
        </w:pBdr>
      </w:pPr>
    </w:p>
    <w:p w14:paraId="527C7767" w14:textId="77777777" w:rsidR="00C212B3" w:rsidRDefault="00C212B3" w:rsidP="00C212B3">
      <w:pPr>
        <w:pBdr>
          <w:bottom w:val="single" w:sz="6" w:space="0" w:color="auto"/>
        </w:pBdr>
      </w:pPr>
    </w:p>
    <w:p w14:paraId="0BFD8FCD" w14:textId="77777777" w:rsidR="00C212B3" w:rsidRDefault="00C212B3" w:rsidP="00C212B3">
      <w:pPr>
        <w:pBdr>
          <w:bottom w:val="single" w:sz="6" w:space="0" w:color="auto"/>
        </w:pBdr>
      </w:pPr>
    </w:p>
    <w:p w14:paraId="198255BC" w14:textId="77777777" w:rsidR="00C212B3" w:rsidRDefault="00C212B3" w:rsidP="00C212B3">
      <w:pPr>
        <w:pBdr>
          <w:bottom w:val="single" w:sz="6" w:space="0" w:color="auto"/>
        </w:pBdr>
      </w:pPr>
    </w:p>
    <w:p w14:paraId="381FD1DB" w14:textId="77777777" w:rsidR="00C212B3" w:rsidRDefault="00C212B3" w:rsidP="00C212B3">
      <w:pPr>
        <w:pBdr>
          <w:bottom w:val="single" w:sz="6" w:space="0" w:color="auto"/>
        </w:pBdr>
      </w:pPr>
    </w:p>
    <w:p w14:paraId="37C2A01E" w14:textId="77777777" w:rsidR="00C212B3" w:rsidRDefault="00C212B3" w:rsidP="00C212B3">
      <w:pPr>
        <w:pBdr>
          <w:bottom w:val="single" w:sz="6" w:space="0" w:color="auto"/>
        </w:pBdr>
      </w:pPr>
    </w:p>
    <w:p w14:paraId="40856568" w14:textId="77777777" w:rsidR="00C212B3" w:rsidRDefault="00C212B3" w:rsidP="00C212B3">
      <w:pPr>
        <w:pBdr>
          <w:bottom w:val="single" w:sz="6" w:space="0" w:color="auto"/>
        </w:pBdr>
      </w:pPr>
    </w:p>
    <w:p w14:paraId="58901DB2" w14:textId="77777777" w:rsidR="00C212B3" w:rsidRDefault="00C212B3" w:rsidP="00C212B3">
      <w:pPr>
        <w:pBdr>
          <w:bottom w:val="single" w:sz="6" w:space="0" w:color="auto"/>
        </w:pBdr>
      </w:pPr>
    </w:p>
    <w:p w14:paraId="2BD02A7B" w14:textId="77777777" w:rsidR="00C212B3" w:rsidRDefault="00C212B3" w:rsidP="00C212B3">
      <w:pPr>
        <w:pBdr>
          <w:bottom w:val="single" w:sz="6" w:space="0" w:color="auto"/>
        </w:pBdr>
      </w:pPr>
    </w:p>
    <w:p w14:paraId="6BFA6AFA" w14:textId="77777777" w:rsidR="00C212B3" w:rsidRDefault="00C212B3" w:rsidP="00C212B3">
      <w:pPr>
        <w:pBdr>
          <w:bottom w:val="single" w:sz="6" w:space="0" w:color="auto"/>
        </w:pBdr>
      </w:pPr>
    </w:p>
    <w:p w14:paraId="00E6DECD" w14:textId="77777777" w:rsidR="00C212B3" w:rsidRDefault="00C212B3" w:rsidP="00C212B3">
      <w:pPr>
        <w:pBdr>
          <w:bottom w:val="single" w:sz="6" w:space="0" w:color="auto"/>
        </w:pBdr>
      </w:pPr>
    </w:p>
    <w:p w14:paraId="33FE1A31" w14:textId="77777777" w:rsidR="00C212B3" w:rsidRDefault="00C212B3" w:rsidP="00C212B3">
      <w:pPr>
        <w:pBdr>
          <w:bottom w:val="single" w:sz="6" w:space="0" w:color="auto"/>
        </w:pBdr>
      </w:pPr>
    </w:p>
    <w:p w14:paraId="363F9ABA" w14:textId="77777777" w:rsidR="00C212B3" w:rsidRDefault="00C212B3" w:rsidP="00C212B3">
      <w:pPr>
        <w:pBdr>
          <w:bottom w:val="single" w:sz="6" w:space="0" w:color="auto"/>
        </w:pBdr>
      </w:pPr>
    </w:p>
    <w:p w14:paraId="411F9724" w14:textId="58A5C836" w:rsidR="00C212B3" w:rsidRDefault="00C212B3" w:rsidP="00C212B3">
      <w:r>
        <w:t>Note: This report is subject to restricted circulation and press embargo until the end of the first</w:t>
      </w:r>
      <w:r w:rsidR="00577553">
        <w:t> </w:t>
      </w:r>
      <w:r>
        <w:t xml:space="preserve">session of the meeting of the Trade Policy Review Body on Dominican Republic. This report was drafted in </w:t>
      </w:r>
      <w:r w:rsidR="00B423F0">
        <w:t>Spanish</w:t>
      </w:r>
      <w:r>
        <w:t>.</w:t>
      </w:r>
    </w:p>
    <w:p w14:paraId="73F61FD5" w14:textId="77777777" w:rsidR="00C212B3" w:rsidRDefault="00C212B3" w:rsidP="00C212B3">
      <w:r>
        <w:br w:type="page"/>
      </w:r>
    </w:p>
    <w:p w14:paraId="443033D4" w14:textId="77777777" w:rsidR="00C212B3" w:rsidRDefault="00C212B3" w:rsidP="00C212B3">
      <w:pPr>
        <w:pStyle w:val="TOCHeading"/>
      </w:pPr>
      <w:r>
        <w:lastRenderedPageBreak/>
        <w:t>CONTENTS</w:t>
      </w:r>
    </w:p>
    <w:p w14:paraId="74093F19" w14:textId="5B735400" w:rsidR="004B4EB8" w:rsidRDefault="00C212B3">
      <w:pPr>
        <w:pStyle w:val="TOC1"/>
        <w:rPr>
          <w:rFonts w:asciiTheme="minorHAnsi" w:eastAsiaTheme="minorEastAsia" w:hAnsiTheme="minorHAnsi" w:cstheme="minorBidi"/>
          <w:b w:val="0"/>
          <w:caps w:val="0"/>
          <w:noProof/>
          <w:sz w:val="22"/>
          <w:szCs w:val="22"/>
        </w:rPr>
      </w:pPr>
      <w:r>
        <w:fldChar w:fldCharType="begin"/>
      </w:r>
      <w:r>
        <w:instrText xml:space="preserve"> TOC \o "1-6" \h \z \u </w:instrText>
      </w:r>
      <w:r>
        <w:fldChar w:fldCharType="separate"/>
      </w:r>
      <w:hyperlink w:anchor="_Toc117260588" w:history="1">
        <w:r w:rsidR="004B4EB8" w:rsidRPr="00ED0FAD">
          <w:rPr>
            <w:rStyle w:val="Hyperlink"/>
            <w:noProof/>
          </w:rPr>
          <w:t>SUMMARY</w:t>
        </w:r>
        <w:r w:rsidR="004B4EB8">
          <w:rPr>
            <w:noProof/>
            <w:webHidden/>
          </w:rPr>
          <w:tab/>
        </w:r>
        <w:r w:rsidR="004B4EB8">
          <w:rPr>
            <w:noProof/>
            <w:webHidden/>
          </w:rPr>
          <w:fldChar w:fldCharType="begin"/>
        </w:r>
        <w:r w:rsidR="004B4EB8">
          <w:rPr>
            <w:noProof/>
            <w:webHidden/>
          </w:rPr>
          <w:instrText xml:space="preserve"> PAGEREF _Toc117260588 \h </w:instrText>
        </w:r>
        <w:r w:rsidR="004B4EB8">
          <w:rPr>
            <w:noProof/>
            <w:webHidden/>
          </w:rPr>
        </w:r>
        <w:r w:rsidR="004B4EB8">
          <w:rPr>
            <w:noProof/>
            <w:webHidden/>
          </w:rPr>
          <w:fldChar w:fldCharType="separate"/>
        </w:r>
        <w:r w:rsidR="00916AB5">
          <w:rPr>
            <w:noProof/>
            <w:webHidden/>
          </w:rPr>
          <w:t>7</w:t>
        </w:r>
        <w:r w:rsidR="004B4EB8">
          <w:rPr>
            <w:noProof/>
            <w:webHidden/>
          </w:rPr>
          <w:fldChar w:fldCharType="end"/>
        </w:r>
      </w:hyperlink>
    </w:p>
    <w:p w14:paraId="21C6A2BC" w14:textId="5ECBD2B8" w:rsidR="004B4EB8" w:rsidRDefault="00BD37F2">
      <w:pPr>
        <w:pStyle w:val="TOC1"/>
        <w:rPr>
          <w:rFonts w:asciiTheme="minorHAnsi" w:eastAsiaTheme="minorEastAsia" w:hAnsiTheme="minorHAnsi" w:cstheme="minorBidi"/>
          <w:b w:val="0"/>
          <w:caps w:val="0"/>
          <w:noProof/>
          <w:sz w:val="22"/>
          <w:szCs w:val="22"/>
        </w:rPr>
      </w:pPr>
      <w:hyperlink w:anchor="_Toc117260589" w:history="1">
        <w:r w:rsidR="004B4EB8" w:rsidRPr="00ED0FAD">
          <w:rPr>
            <w:rStyle w:val="Hyperlink"/>
            <w:noProof/>
          </w:rPr>
          <w:t>1   ECONOMIC ENVIRONMENT</w:t>
        </w:r>
        <w:r w:rsidR="004B4EB8">
          <w:rPr>
            <w:noProof/>
            <w:webHidden/>
          </w:rPr>
          <w:tab/>
        </w:r>
        <w:r w:rsidR="004B4EB8">
          <w:rPr>
            <w:noProof/>
            <w:webHidden/>
          </w:rPr>
          <w:fldChar w:fldCharType="begin"/>
        </w:r>
        <w:r w:rsidR="004B4EB8">
          <w:rPr>
            <w:noProof/>
            <w:webHidden/>
          </w:rPr>
          <w:instrText xml:space="preserve"> PAGEREF _Toc117260589 \h </w:instrText>
        </w:r>
        <w:r w:rsidR="004B4EB8">
          <w:rPr>
            <w:noProof/>
            <w:webHidden/>
          </w:rPr>
        </w:r>
        <w:r w:rsidR="004B4EB8">
          <w:rPr>
            <w:noProof/>
            <w:webHidden/>
          </w:rPr>
          <w:fldChar w:fldCharType="separate"/>
        </w:r>
        <w:r w:rsidR="00916AB5">
          <w:rPr>
            <w:noProof/>
            <w:webHidden/>
          </w:rPr>
          <w:t>12</w:t>
        </w:r>
        <w:r w:rsidR="004B4EB8">
          <w:rPr>
            <w:noProof/>
            <w:webHidden/>
          </w:rPr>
          <w:fldChar w:fldCharType="end"/>
        </w:r>
      </w:hyperlink>
    </w:p>
    <w:p w14:paraId="5C5DDB7D" w14:textId="180A054B" w:rsidR="004B4EB8" w:rsidRDefault="00BD37F2">
      <w:pPr>
        <w:pStyle w:val="TOC2"/>
        <w:rPr>
          <w:rFonts w:asciiTheme="minorHAnsi" w:eastAsiaTheme="minorEastAsia" w:hAnsiTheme="minorHAnsi" w:cstheme="minorBidi"/>
          <w:noProof/>
          <w:sz w:val="22"/>
          <w:szCs w:val="22"/>
        </w:rPr>
      </w:pPr>
      <w:hyperlink w:anchor="_Toc117260590" w:history="1">
        <w:r w:rsidR="004B4EB8" w:rsidRPr="00ED0FAD">
          <w:rPr>
            <w:rStyle w:val="Hyperlink"/>
            <w:noProof/>
          </w:rPr>
          <w:t>1.1   Main Features of the Economy</w:t>
        </w:r>
        <w:r w:rsidR="004B4EB8">
          <w:rPr>
            <w:noProof/>
            <w:webHidden/>
          </w:rPr>
          <w:tab/>
        </w:r>
        <w:r w:rsidR="004B4EB8">
          <w:rPr>
            <w:noProof/>
            <w:webHidden/>
          </w:rPr>
          <w:fldChar w:fldCharType="begin"/>
        </w:r>
        <w:r w:rsidR="004B4EB8">
          <w:rPr>
            <w:noProof/>
            <w:webHidden/>
          </w:rPr>
          <w:instrText xml:space="preserve"> PAGEREF _Toc117260590 \h </w:instrText>
        </w:r>
        <w:r w:rsidR="004B4EB8">
          <w:rPr>
            <w:noProof/>
            <w:webHidden/>
          </w:rPr>
        </w:r>
        <w:r w:rsidR="004B4EB8">
          <w:rPr>
            <w:noProof/>
            <w:webHidden/>
          </w:rPr>
          <w:fldChar w:fldCharType="separate"/>
        </w:r>
        <w:r w:rsidR="00916AB5">
          <w:rPr>
            <w:noProof/>
            <w:webHidden/>
          </w:rPr>
          <w:t>12</w:t>
        </w:r>
        <w:r w:rsidR="004B4EB8">
          <w:rPr>
            <w:noProof/>
            <w:webHidden/>
          </w:rPr>
          <w:fldChar w:fldCharType="end"/>
        </w:r>
      </w:hyperlink>
    </w:p>
    <w:p w14:paraId="17BA3868" w14:textId="0F76F518" w:rsidR="004B4EB8" w:rsidRDefault="00BD37F2">
      <w:pPr>
        <w:pStyle w:val="TOC2"/>
        <w:rPr>
          <w:rFonts w:asciiTheme="minorHAnsi" w:eastAsiaTheme="minorEastAsia" w:hAnsiTheme="minorHAnsi" w:cstheme="minorBidi"/>
          <w:noProof/>
          <w:sz w:val="22"/>
          <w:szCs w:val="22"/>
        </w:rPr>
      </w:pPr>
      <w:hyperlink w:anchor="_Toc117260591" w:history="1">
        <w:r w:rsidR="004B4EB8" w:rsidRPr="00ED0FAD">
          <w:rPr>
            <w:rStyle w:val="Hyperlink"/>
            <w:noProof/>
          </w:rPr>
          <w:t>1.2   Recent Economic Developments</w:t>
        </w:r>
        <w:r w:rsidR="004B4EB8">
          <w:rPr>
            <w:noProof/>
            <w:webHidden/>
          </w:rPr>
          <w:tab/>
        </w:r>
        <w:r w:rsidR="004B4EB8">
          <w:rPr>
            <w:noProof/>
            <w:webHidden/>
          </w:rPr>
          <w:fldChar w:fldCharType="begin"/>
        </w:r>
        <w:r w:rsidR="004B4EB8">
          <w:rPr>
            <w:noProof/>
            <w:webHidden/>
          </w:rPr>
          <w:instrText xml:space="preserve"> PAGEREF _Toc117260591 \h </w:instrText>
        </w:r>
        <w:r w:rsidR="004B4EB8">
          <w:rPr>
            <w:noProof/>
            <w:webHidden/>
          </w:rPr>
        </w:r>
        <w:r w:rsidR="004B4EB8">
          <w:rPr>
            <w:noProof/>
            <w:webHidden/>
          </w:rPr>
          <w:fldChar w:fldCharType="separate"/>
        </w:r>
        <w:r w:rsidR="00916AB5">
          <w:rPr>
            <w:noProof/>
            <w:webHidden/>
          </w:rPr>
          <w:t>14</w:t>
        </w:r>
        <w:r w:rsidR="004B4EB8">
          <w:rPr>
            <w:noProof/>
            <w:webHidden/>
          </w:rPr>
          <w:fldChar w:fldCharType="end"/>
        </w:r>
      </w:hyperlink>
    </w:p>
    <w:p w14:paraId="5E12BA22" w14:textId="779002D9" w:rsidR="004B4EB8" w:rsidRDefault="00BD37F2">
      <w:pPr>
        <w:pStyle w:val="TOC3"/>
        <w:rPr>
          <w:rFonts w:asciiTheme="minorHAnsi" w:eastAsiaTheme="minorEastAsia" w:hAnsiTheme="minorHAnsi" w:cstheme="minorBidi"/>
          <w:noProof/>
          <w:sz w:val="22"/>
          <w:szCs w:val="22"/>
        </w:rPr>
      </w:pPr>
      <w:hyperlink w:anchor="_Toc117260592" w:history="1">
        <w:r w:rsidR="004B4EB8" w:rsidRPr="00ED0FAD">
          <w:rPr>
            <w:rStyle w:val="Hyperlink"/>
            <w:noProof/>
          </w:rPr>
          <w:t>1.2.1   Real sector</w:t>
        </w:r>
        <w:r w:rsidR="004B4EB8">
          <w:rPr>
            <w:noProof/>
            <w:webHidden/>
          </w:rPr>
          <w:tab/>
        </w:r>
        <w:r w:rsidR="004B4EB8">
          <w:rPr>
            <w:noProof/>
            <w:webHidden/>
          </w:rPr>
          <w:fldChar w:fldCharType="begin"/>
        </w:r>
        <w:r w:rsidR="004B4EB8">
          <w:rPr>
            <w:noProof/>
            <w:webHidden/>
          </w:rPr>
          <w:instrText xml:space="preserve"> PAGEREF _Toc117260592 \h </w:instrText>
        </w:r>
        <w:r w:rsidR="004B4EB8">
          <w:rPr>
            <w:noProof/>
            <w:webHidden/>
          </w:rPr>
        </w:r>
        <w:r w:rsidR="004B4EB8">
          <w:rPr>
            <w:noProof/>
            <w:webHidden/>
          </w:rPr>
          <w:fldChar w:fldCharType="separate"/>
        </w:r>
        <w:r w:rsidR="00916AB5">
          <w:rPr>
            <w:noProof/>
            <w:webHidden/>
          </w:rPr>
          <w:t>14</w:t>
        </w:r>
        <w:r w:rsidR="004B4EB8">
          <w:rPr>
            <w:noProof/>
            <w:webHidden/>
          </w:rPr>
          <w:fldChar w:fldCharType="end"/>
        </w:r>
      </w:hyperlink>
    </w:p>
    <w:p w14:paraId="0F7B87B7" w14:textId="3482014B" w:rsidR="004B4EB8" w:rsidRDefault="00BD37F2">
      <w:pPr>
        <w:pStyle w:val="TOC3"/>
        <w:rPr>
          <w:rFonts w:asciiTheme="minorHAnsi" w:eastAsiaTheme="minorEastAsia" w:hAnsiTheme="minorHAnsi" w:cstheme="minorBidi"/>
          <w:noProof/>
          <w:sz w:val="22"/>
          <w:szCs w:val="22"/>
        </w:rPr>
      </w:pPr>
      <w:hyperlink w:anchor="_Toc117260593" w:history="1">
        <w:r w:rsidR="004B4EB8" w:rsidRPr="00ED0FAD">
          <w:rPr>
            <w:rStyle w:val="Hyperlink"/>
            <w:noProof/>
          </w:rPr>
          <w:t>1.2.2   Fiscal policy</w:t>
        </w:r>
        <w:r w:rsidR="004B4EB8">
          <w:rPr>
            <w:noProof/>
            <w:webHidden/>
          </w:rPr>
          <w:tab/>
        </w:r>
        <w:r w:rsidR="004B4EB8">
          <w:rPr>
            <w:noProof/>
            <w:webHidden/>
          </w:rPr>
          <w:fldChar w:fldCharType="begin"/>
        </w:r>
        <w:r w:rsidR="004B4EB8">
          <w:rPr>
            <w:noProof/>
            <w:webHidden/>
          </w:rPr>
          <w:instrText xml:space="preserve"> PAGEREF _Toc117260593 \h </w:instrText>
        </w:r>
        <w:r w:rsidR="004B4EB8">
          <w:rPr>
            <w:noProof/>
            <w:webHidden/>
          </w:rPr>
        </w:r>
        <w:r w:rsidR="004B4EB8">
          <w:rPr>
            <w:noProof/>
            <w:webHidden/>
          </w:rPr>
          <w:fldChar w:fldCharType="separate"/>
        </w:r>
        <w:r w:rsidR="00916AB5">
          <w:rPr>
            <w:noProof/>
            <w:webHidden/>
          </w:rPr>
          <w:t>16</w:t>
        </w:r>
        <w:r w:rsidR="004B4EB8">
          <w:rPr>
            <w:noProof/>
            <w:webHidden/>
          </w:rPr>
          <w:fldChar w:fldCharType="end"/>
        </w:r>
      </w:hyperlink>
    </w:p>
    <w:p w14:paraId="11123766" w14:textId="08BBFAC3" w:rsidR="004B4EB8" w:rsidRDefault="00BD37F2">
      <w:pPr>
        <w:pStyle w:val="TOC3"/>
        <w:rPr>
          <w:rFonts w:asciiTheme="minorHAnsi" w:eastAsiaTheme="minorEastAsia" w:hAnsiTheme="minorHAnsi" w:cstheme="minorBidi"/>
          <w:noProof/>
          <w:sz w:val="22"/>
          <w:szCs w:val="22"/>
        </w:rPr>
      </w:pPr>
      <w:hyperlink w:anchor="_Toc117260594" w:history="1">
        <w:r w:rsidR="004B4EB8" w:rsidRPr="00ED0FAD">
          <w:rPr>
            <w:rStyle w:val="Hyperlink"/>
            <w:noProof/>
          </w:rPr>
          <w:t>1.2.3   Monetary and exchange</w:t>
        </w:r>
        <w:r w:rsidR="004B4EB8" w:rsidRPr="00ED0FAD">
          <w:rPr>
            <w:rStyle w:val="Hyperlink"/>
            <w:noProof/>
          </w:rPr>
          <w:noBreakHyphen/>
          <w:t>rate policy</w:t>
        </w:r>
        <w:r w:rsidR="004B4EB8">
          <w:rPr>
            <w:noProof/>
            <w:webHidden/>
          </w:rPr>
          <w:tab/>
        </w:r>
        <w:r w:rsidR="004B4EB8">
          <w:rPr>
            <w:noProof/>
            <w:webHidden/>
          </w:rPr>
          <w:fldChar w:fldCharType="begin"/>
        </w:r>
        <w:r w:rsidR="004B4EB8">
          <w:rPr>
            <w:noProof/>
            <w:webHidden/>
          </w:rPr>
          <w:instrText xml:space="preserve"> PAGEREF _Toc117260594 \h </w:instrText>
        </w:r>
        <w:r w:rsidR="004B4EB8">
          <w:rPr>
            <w:noProof/>
            <w:webHidden/>
          </w:rPr>
        </w:r>
        <w:r w:rsidR="004B4EB8">
          <w:rPr>
            <w:noProof/>
            <w:webHidden/>
          </w:rPr>
          <w:fldChar w:fldCharType="separate"/>
        </w:r>
        <w:r w:rsidR="00916AB5">
          <w:rPr>
            <w:noProof/>
            <w:webHidden/>
          </w:rPr>
          <w:t>23</w:t>
        </w:r>
        <w:r w:rsidR="004B4EB8">
          <w:rPr>
            <w:noProof/>
            <w:webHidden/>
          </w:rPr>
          <w:fldChar w:fldCharType="end"/>
        </w:r>
      </w:hyperlink>
    </w:p>
    <w:p w14:paraId="02E3F536" w14:textId="526418E2" w:rsidR="004B4EB8" w:rsidRDefault="00BD37F2">
      <w:pPr>
        <w:pStyle w:val="TOC3"/>
        <w:rPr>
          <w:rFonts w:asciiTheme="minorHAnsi" w:eastAsiaTheme="minorEastAsia" w:hAnsiTheme="minorHAnsi" w:cstheme="minorBidi"/>
          <w:noProof/>
          <w:sz w:val="22"/>
          <w:szCs w:val="22"/>
        </w:rPr>
      </w:pPr>
      <w:hyperlink w:anchor="_Toc117260595" w:history="1">
        <w:r w:rsidR="004B4EB8" w:rsidRPr="00ED0FAD">
          <w:rPr>
            <w:rStyle w:val="Hyperlink"/>
            <w:noProof/>
          </w:rPr>
          <w:t>1.2.4   Balance of payments</w:t>
        </w:r>
        <w:r w:rsidR="004B4EB8">
          <w:rPr>
            <w:noProof/>
            <w:webHidden/>
          </w:rPr>
          <w:tab/>
        </w:r>
        <w:r w:rsidR="004B4EB8">
          <w:rPr>
            <w:noProof/>
            <w:webHidden/>
          </w:rPr>
          <w:fldChar w:fldCharType="begin"/>
        </w:r>
        <w:r w:rsidR="004B4EB8">
          <w:rPr>
            <w:noProof/>
            <w:webHidden/>
          </w:rPr>
          <w:instrText xml:space="preserve"> PAGEREF _Toc117260595 \h </w:instrText>
        </w:r>
        <w:r w:rsidR="004B4EB8">
          <w:rPr>
            <w:noProof/>
            <w:webHidden/>
          </w:rPr>
        </w:r>
        <w:r w:rsidR="004B4EB8">
          <w:rPr>
            <w:noProof/>
            <w:webHidden/>
          </w:rPr>
          <w:fldChar w:fldCharType="separate"/>
        </w:r>
        <w:r w:rsidR="00916AB5">
          <w:rPr>
            <w:noProof/>
            <w:webHidden/>
          </w:rPr>
          <w:t>26</w:t>
        </w:r>
        <w:r w:rsidR="004B4EB8">
          <w:rPr>
            <w:noProof/>
            <w:webHidden/>
          </w:rPr>
          <w:fldChar w:fldCharType="end"/>
        </w:r>
      </w:hyperlink>
    </w:p>
    <w:p w14:paraId="7E42D215" w14:textId="08291017" w:rsidR="004B4EB8" w:rsidRDefault="00BD37F2">
      <w:pPr>
        <w:pStyle w:val="TOC2"/>
        <w:rPr>
          <w:rFonts w:asciiTheme="minorHAnsi" w:eastAsiaTheme="minorEastAsia" w:hAnsiTheme="minorHAnsi" w:cstheme="minorBidi"/>
          <w:noProof/>
          <w:sz w:val="22"/>
          <w:szCs w:val="22"/>
        </w:rPr>
      </w:pPr>
      <w:hyperlink w:anchor="_Toc117260596" w:history="1">
        <w:r w:rsidR="004B4EB8" w:rsidRPr="00ED0FAD">
          <w:rPr>
            <w:rStyle w:val="Hyperlink"/>
            <w:rFonts w:eastAsia="Times New Roman"/>
            <w:noProof/>
          </w:rPr>
          <w:t>1.3  </w:t>
        </w:r>
        <w:r w:rsidR="004B4EB8" w:rsidRPr="00ED0FAD">
          <w:rPr>
            <w:rStyle w:val="Hyperlink"/>
            <w:noProof/>
          </w:rPr>
          <w:t xml:space="preserve"> Developments in Trade and Investment Flows</w:t>
        </w:r>
        <w:r w:rsidR="004B4EB8">
          <w:rPr>
            <w:noProof/>
            <w:webHidden/>
          </w:rPr>
          <w:tab/>
        </w:r>
        <w:r w:rsidR="004B4EB8">
          <w:rPr>
            <w:noProof/>
            <w:webHidden/>
          </w:rPr>
          <w:fldChar w:fldCharType="begin"/>
        </w:r>
        <w:r w:rsidR="004B4EB8">
          <w:rPr>
            <w:noProof/>
            <w:webHidden/>
          </w:rPr>
          <w:instrText xml:space="preserve"> PAGEREF _Toc117260596 \h </w:instrText>
        </w:r>
        <w:r w:rsidR="004B4EB8">
          <w:rPr>
            <w:noProof/>
            <w:webHidden/>
          </w:rPr>
        </w:r>
        <w:r w:rsidR="004B4EB8">
          <w:rPr>
            <w:noProof/>
            <w:webHidden/>
          </w:rPr>
          <w:fldChar w:fldCharType="separate"/>
        </w:r>
        <w:r w:rsidR="00916AB5">
          <w:rPr>
            <w:noProof/>
            <w:webHidden/>
          </w:rPr>
          <w:t>29</w:t>
        </w:r>
        <w:r w:rsidR="004B4EB8">
          <w:rPr>
            <w:noProof/>
            <w:webHidden/>
          </w:rPr>
          <w:fldChar w:fldCharType="end"/>
        </w:r>
      </w:hyperlink>
    </w:p>
    <w:p w14:paraId="64827C0C" w14:textId="25DF6700" w:rsidR="004B4EB8" w:rsidRDefault="00BD37F2">
      <w:pPr>
        <w:pStyle w:val="TOC3"/>
        <w:rPr>
          <w:rFonts w:asciiTheme="minorHAnsi" w:eastAsiaTheme="minorEastAsia" w:hAnsiTheme="minorHAnsi" w:cstheme="minorBidi"/>
          <w:noProof/>
          <w:sz w:val="22"/>
          <w:szCs w:val="22"/>
        </w:rPr>
      </w:pPr>
      <w:hyperlink w:anchor="_Toc117260597" w:history="1">
        <w:r w:rsidR="004B4EB8" w:rsidRPr="00ED0FAD">
          <w:rPr>
            <w:rStyle w:val="Hyperlink"/>
            <w:rFonts w:eastAsia="Times New Roman"/>
            <w:noProof/>
          </w:rPr>
          <w:t>1.3.1  </w:t>
        </w:r>
        <w:r w:rsidR="004B4EB8" w:rsidRPr="00ED0FAD">
          <w:rPr>
            <w:rStyle w:val="Hyperlink"/>
            <w:noProof/>
          </w:rPr>
          <w:t xml:space="preserve"> Trade in goods</w:t>
        </w:r>
        <w:r w:rsidR="004B4EB8">
          <w:rPr>
            <w:noProof/>
            <w:webHidden/>
          </w:rPr>
          <w:tab/>
        </w:r>
        <w:r w:rsidR="004B4EB8">
          <w:rPr>
            <w:noProof/>
            <w:webHidden/>
          </w:rPr>
          <w:fldChar w:fldCharType="begin"/>
        </w:r>
        <w:r w:rsidR="004B4EB8">
          <w:rPr>
            <w:noProof/>
            <w:webHidden/>
          </w:rPr>
          <w:instrText xml:space="preserve"> PAGEREF _Toc117260597 \h </w:instrText>
        </w:r>
        <w:r w:rsidR="004B4EB8">
          <w:rPr>
            <w:noProof/>
            <w:webHidden/>
          </w:rPr>
        </w:r>
        <w:r w:rsidR="004B4EB8">
          <w:rPr>
            <w:noProof/>
            <w:webHidden/>
          </w:rPr>
          <w:fldChar w:fldCharType="separate"/>
        </w:r>
        <w:r w:rsidR="00916AB5">
          <w:rPr>
            <w:noProof/>
            <w:webHidden/>
          </w:rPr>
          <w:t>29</w:t>
        </w:r>
        <w:r w:rsidR="004B4EB8">
          <w:rPr>
            <w:noProof/>
            <w:webHidden/>
          </w:rPr>
          <w:fldChar w:fldCharType="end"/>
        </w:r>
      </w:hyperlink>
    </w:p>
    <w:p w14:paraId="7CDDB20C" w14:textId="30AA0425" w:rsidR="004B4EB8" w:rsidRDefault="00BD37F2">
      <w:pPr>
        <w:pStyle w:val="TOC4"/>
        <w:rPr>
          <w:rFonts w:asciiTheme="minorHAnsi" w:eastAsiaTheme="minorEastAsia" w:hAnsiTheme="minorHAnsi" w:cstheme="minorBidi"/>
          <w:noProof/>
          <w:sz w:val="22"/>
          <w:szCs w:val="22"/>
        </w:rPr>
      </w:pPr>
      <w:hyperlink w:anchor="_Toc117260598" w:history="1">
        <w:r w:rsidR="004B4EB8" w:rsidRPr="00ED0FAD">
          <w:rPr>
            <w:rStyle w:val="Hyperlink"/>
            <w:rFonts w:eastAsia="Times New Roman"/>
            <w:noProof/>
          </w:rPr>
          <w:t>1.3.1.1  </w:t>
        </w:r>
        <w:r w:rsidR="004B4EB8" w:rsidRPr="00ED0FAD">
          <w:rPr>
            <w:rStyle w:val="Hyperlink"/>
            <w:noProof/>
          </w:rPr>
          <w:t xml:space="preserve"> Composition of trade in goods</w:t>
        </w:r>
        <w:r w:rsidR="004B4EB8">
          <w:rPr>
            <w:noProof/>
            <w:webHidden/>
          </w:rPr>
          <w:tab/>
        </w:r>
        <w:r w:rsidR="004B4EB8">
          <w:rPr>
            <w:noProof/>
            <w:webHidden/>
          </w:rPr>
          <w:fldChar w:fldCharType="begin"/>
        </w:r>
        <w:r w:rsidR="004B4EB8">
          <w:rPr>
            <w:noProof/>
            <w:webHidden/>
          </w:rPr>
          <w:instrText xml:space="preserve"> PAGEREF _Toc117260598 \h </w:instrText>
        </w:r>
        <w:r w:rsidR="004B4EB8">
          <w:rPr>
            <w:noProof/>
            <w:webHidden/>
          </w:rPr>
        </w:r>
        <w:r w:rsidR="004B4EB8">
          <w:rPr>
            <w:noProof/>
            <w:webHidden/>
          </w:rPr>
          <w:fldChar w:fldCharType="separate"/>
        </w:r>
        <w:r w:rsidR="00916AB5">
          <w:rPr>
            <w:noProof/>
            <w:webHidden/>
          </w:rPr>
          <w:t>29</w:t>
        </w:r>
        <w:r w:rsidR="004B4EB8">
          <w:rPr>
            <w:noProof/>
            <w:webHidden/>
          </w:rPr>
          <w:fldChar w:fldCharType="end"/>
        </w:r>
      </w:hyperlink>
    </w:p>
    <w:p w14:paraId="60046075" w14:textId="6F04A370" w:rsidR="004B4EB8" w:rsidRDefault="00BD37F2">
      <w:pPr>
        <w:pStyle w:val="TOC4"/>
        <w:rPr>
          <w:rFonts w:asciiTheme="minorHAnsi" w:eastAsiaTheme="minorEastAsia" w:hAnsiTheme="minorHAnsi" w:cstheme="minorBidi"/>
          <w:noProof/>
          <w:sz w:val="22"/>
          <w:szCs w:val="22"/>
        </w:rPr>
      </w:pPr>
      <w:hyperlink w:anchor="_Toc117260599" w:history="1">
        <w:r w:rsidR="004B4EB8" w:rsidRPr="00ED0FAD">
          <w:rPr>
            <w:rStyle w:val="Hyperlink"/>
            <w:rFonts w:eastAsia="Times New Roman"/>
            <w:noProof/>
          </w:rPr>
          <w:t>1.3.1.2  </w:t>
        </w:r>
        <w:r w:rsidR="004B4EB8" w:rsidRPr="00ED0FAD">
          <w:rPr>
            <w:rStyle w:val="Hyperlink"/>
            <w:noProof/>
          </w:rPr>
          <w:t xml:space="preserve"> Direction of merchandise trade</w:t>
        </w:r>
        <w:r w:rsidR="004B4EB8">
          <w:rPr>
            <w:noProof/>
            <w:webHidden/>
          </w:rPr>
          <w:tab/>
        </w:r>
        <w:r w:rsidR="004B4EB8">
          <w:rPr>
            <w:noProof/>
            <w:webHidden/>
          </w:rPr>
          <w:fldChar w:fldCharType="begin"/>
        </w:r>
        <w:r w:rsidR="004B4EB8">
          <w:rPr>
            <w:noProof/>
            <w:webHidden/>
          </w:rPr>
          <w:instrText xml:space="preserve"> PAGEREF _Toc117260599 \h </w:instrText>
        </w:r>
        <w:r w:rsidR="004B4EB8">
          <w:rPr>
            <w:noProof/>
            <w:webHidden/>
          </w:rPr>
        </w:r>
        <w:r w:rsidR="004B4EB8">
          <w:rPr>
            <w:noProof/>
            <w:webHidden/>
          </w:rPr>
          <w:fldChar w:fldCharType="separate"/>
        </w:r>
        <w:r w:rsidR="00916AB5">
          <w:rPr>
            <w:noProof/>
            <w:webHidden/>
          </w:rPr>
          <w:t>31</w:t>
        </w:r>
        <w:r w:rsidR="004B4EB8">
          <w:rPr>
            <w:noProof/>
            <w:webHidden/>
          </w:rPr>
          <w:fldChar w:fldCharType="end"/>
        </w:r>
      </w:hyperlink>
    </w:p>
    <w:p w14:paraId="22F54A23" w14:textId="0FF68EEF" w:rsidR="004B4EB8" w:rsidRDefault="00BD37F2">
      <w:pPr>
        <w:pStyle w:val="TOC3"/>
        <w:rPr>
          <w:rFonts w:asciiTheme="minorHAnsi" w:eastAsiaTheme="minorEastAsia" w:hAnsiTheme="minorHAnsi" w:cstheme="minorBidi"/>
          <w:noProof/>
          <w:sz w:val="22"/>
          <w:szCs w:val="22"/>
        </w:rPr>
      </w:pPr>
      <w:hyperlink w:anchor="_Toc117260600" w:history="1">
        <w:r w:rsidR="004B4EB8" w:rsidRPr="00ED0FAD">
          <w:rPr>
            <w:rStyle w:val="Hyperlink"/>
            <w:noProof/>
          </w:rPr>
          <w:t>1.3.2   Trade in services</w:t>
        </w:r>
        <w:r w:rsidR="004B4EB8">
          <w:rPr>
            <w:noProof/>
            <w:webHidden/>
          </w:rPr>
          <w:tab/>
        </w:r>
        <w:r w:rsidR="004B4EB8">
          <w:rPr>
            <w:noProof/>
            <w:webHidden/>
          </w:rPr>
          <w:fldChar w:fldCharType="begin"/>
        </w:r>
        <w:r w:rsidR="004B4EB8">
          <w:rPr>
            <w:noProof/>
            <w:webHidden/>
          </w:rPr>
          <w:instrText xml:space="preserve"> PAGEREF _Toc117260600 \h </w:instrText>
        </w:r>
        <w:r w:rsidR="004B4EB8">
          <w:rPr>
            <w:noProof/>
            <w:webHidden/>
          </w:rPr>
        </w:r>
        <w:r w:rsidR="004B4EB8">
          <w:rPr>
            <w:noProof/>
            <w:webHidden/>
          </w:rPr>
          <w:fldChar w:fldCharType="separate"/>
        </w:r>
        <w:r w:rsidR="00916AB5">
          <w:rPr>
            <w:noProof/>
            <w:webHidden/>
          </w:rPr>
          <w:t>33</w:t>
        </w:r>
        <w:r w:rsidR="004B4EB8">
          <w:rPr>
            <w:noProof/>
            <w:webHidden/>
          </w:rPr>
          <w:fldChar w:fldCharType="end"/>
        </w:r>
      </w:hyperlink>
    </w:p>
    <w:p w14:paraId="3729EE31" w14:textId="56918C40" w:rsidR="004B4EB8" w:rsidRDefault="00BD37F2">
      <w:pPr>
        <w:pStyle w:val="TOC3"/>
        <w:rPr>
          <w:rFonts w:asciiTheme="minorHAnsi" w:eastAsiaTheme="minorEastAsia" w:hAnsiTheme="minorHAnsi" w:cstheme="minorBidi"/>
          <w:noProof/>
          <w:sz w:val="22"/>
          <w:szCs w:val="22"/>
        </w:rPr>
      </w:pPr>
      <w:hyperlink w:anchor="_Toc117260601" w:history="1">
        <w:r w:rsidR="004B4EB8" w:rsidRPr="00ED0FAD">
          <w:rPr>
            <w:rStyle w:val="Hyperlink"/>
            <w:noProof/>
          </w:rPr>
          <w:t>1.3.3   Foreign direct investment (FDI)</w:t>
        </w:r>
        <w:r w:rsidR="004B4EB8">
          <w:rPr>
            <w:noProof/>
            <w:webHidden/>
          </w:rPr>
          <w:tab/>
        </w:r>
        <w:r w:rsidR="004B4EB8">
          <w:rPr>
            <w:noProof/>
            <w:webHidden/>
          </w:rPr>
          <w:fldChar w:fldCharType="begin"/>
        </w:r>
        <w:r w:rsidR="004B4EB8">
          <w:rPr>
            <w:noProof/>
            <w:webHidden/>
          </w:rPr>
          <w:instrText xml:space="preserve"> PAGEREF _Toc117260601 \h </w:instrText>
        </w:r>
        <w:r w:rsidR="004B4EB8">
          <w:rPr>
            <w:noProof/>
            <w:webHidden/>
          </w:rPr>
        </w:r>
        <w:r w:rsidR="004B4EB8">
          <w:rPr>
            <w:noProof/>
            <w:webHidden/>
          </w:rPr>
          <w:fldChar w:fldCharType="separate"/>
        </w:r>
        <w:r w:rsidR="00916AB5">
          <w:rPr>
            <w:noProof/>
            <w:webHidden/>
          </w:rPr>
          <w:t>34</w:t>
        </w:r>
        <w:r w:rsidR="004B4EB8">
          <w:rPr>
            <w:noProof/>
            <w:webHidden/>
          </w:rPr>
          <w:fldChar w:fldCharType="end"/>
        </w:r>
      </w:hyperlink>
    </w:p>
    <w:p w14:paraId="5EA3A098" w14:textId="3F4227B2" w:rsidR="004B4EB8" w:rsidRDefault="00BD37F2">
      <w:pPr>
        <w:pStyle w:val="TOC1"/>
        <w:rPr>
          <w:rFonts w:asciiTheme="minorHAnsi" w:eastAsiaTheme="minorEastAsia" w:hAnsiTheme="minorHAnsi" w:cstheme="minorBidi"/>
          <w:b w:val="0"/>
          <w:caps w:val="0"/>
          <w:noProof/>
          <w:sz w:val="22"/>
          <w:szCs w:val="22"/>
        </w:rPr>
      </w:pPr>
      <w:hyperlink w:anchor="_Toc117260602" w:history="1">
        <w:r w:rsidR="004B4EB8" w:rsidRPr="00ED0FAD">
          <w:rPr>
            <w:rStyle w:val="Hyperlink"/>
            <w:noProof/>
          </w:rPr>
          <w:t>2   TRADE AND INVESTMENT REGIMES</w:t>
        </w:r>
        <w:r w:rsidR="004B4EB8">
          <w:rPr>
            <w:noProof/>
            <w:webHidden/>
          </w:rPr>
          <w:tab/>
        </w:r>
        <w:r w:rsidR="004B4EB8">
          <w:rPr>
            <w:noProof/>
            <w:webHidden/>
          </w:rPr>
          <w:fldChar w:fldCharType="begin"/>
        </w:r>
        <w:r w:rsidR="004B4EB8">
          <w:rPr>
            <w:noProof/>
            <w:webHidden/>
          </w:rPr>
          <w:instrText xml:space="preserve"> PAGEREF _Toc117260602 \h </w:instrText>
        </w:r>
        <w:r w:rsidR="004B4EB8">
          <w:rPr>
            <w:noProof/>
            <w:webHidden/>
          </w:rPr>
        </w:r>
        <w:r w:rsidR="004B4EB8">
          <w:rPr>
            <w:noProof/>
            <w:webHidden/>
          </w:rPr>
          <w:fldChar w:fldCharType="separate"/>
        </w:r>
        <w:r w:rsidR="00916AB5">
          <w:rPr>
            <w:noProof/>
            <w:webHidden/>
          </w:rPr>
          <w:t>36</w:t>
        </w:r>
        <w:r w:rsidR="004B4EB8">
          <w:rPr>
            <w:noProof/>
            <w:webHidden/>
          </w:rPr>
          <w:fldChar w:fldCharType="end"/>
        </w:r>
      </w:hyperlink>
    </w:p>
    <w:p w14:paraId="4654DC68" w14:textId="60683296" w:rsidR="004B4EB8" w:rsidRDefault="00BD37F2">
      <w:pPr>
        <w:pStyle w:val="TOC2"/>
        <w:rPr>
          <w:rFonts w:asciiTheme="minorHAnsi" w:eastAsiaTheme="minorEastAsia" w:hAnsiTheme="minorHAnsi" w:cstheme="minorBidi"/>
          <w:noProof/>
          <w:sz w:val="22"/>
          <w:szCs w:val="22"/>
        </w:rPr>
      </w:pPr>
      <w:hyperlink w:anchor="_Toc117260603" w:history="1">
        <w:r w:rsidR="004B4EB8" w:rsidRPr="00ED0FAD">
          <w:rPr>
            <w:rStyle w:val="Hyperlink"/>
            <w:noProof/>
          </w:rPr>
          <w:t>2.1   General Framework</w:t>
        </w:r>
        <w:r w:rsidR="004B4EB8">
          <w:rPr>
            <w:noProof/>
            <w:webHidden/>
          </w:rPr>
          <w:tab/>
        </w:r>
        <w:r w:rsidR="004B4EB8">
          <w:rPr>
            <w:noProof/>
            <w:webHidden/>
          </w:rPr>
          <w:fldChar w:fldCharType="begin"/>
        </w:r>
        <w:r w:rsidR="004B4EB8">
          <w:rPr>
            <w:noProof/>
            <w:webHidden/>
          </w:rPr>
          <w:instrText xml:space="preserve"> PAGEREF _Toc117260603 \h </w:instrText>
        </w:r>
        <w:r w:rsidR="004B4EB8">
          <w:rPr>
            <w:noProof/>
            <w:webHidden/>
          </w:rPr>
        </w:r>
        <w:r w:rsidR="004B4EB8">
          <w:rPr>
            <w:noProof/>
            <w:webHidden/>
          </w:rPr>
          <w:fldChar w:fldCharType="separate"/>
        </w:r>
        <w:r w:rsidR="00916AB5">
          <w:rPr>
            <w:noProof/>
            <w:webHidden/>
          </w:rPr>
          <w:t>36</w:t>
        </w:r>
        <w:r w:rsidR="004B4EB8">
          <w:rPr>
            <w:noProof/>
            <w:webHidden/>
          </w:rPr>
          <w:fldChar w:fldCharType="end"/>
        </w:r>
      </w:hyperlink>
    </w:p>
    <w:p w14:paraId="40985EEB" w14:textId="040ECDB0" w:rsidR="004B4EB8" w:rsidRDefault="00BD37F2">
      <w:pPr>
        <w:pStyle w:val="TOC2"/>
        <w:rPr>
          <w:rFonts w:asciiTheme="minorHAnsi" w:eastAsiaTheme="minorEastAsia" w:hAnsiTheme="minorHAnsi" w:cstheme="minorBidi"/>
          <w:noProof/>
          <w:sz w:val="22"/>
          <w:szCs w:val="22"/>
        </w:rPr>
      </w:pPr>
      <w:hyperlink w:anchor="_Toc117260604" w:history="1">
        <w:r w:rsidR="004B4EB8" w:rsidRPr="00ED0FAD">
          <w:rPr>
            <w:rStyle w:val="Hyperlink"/>
            <w:noProof/>
          </w:rPr>
          <w:t>2.2   Trade Policy Formulation and Objectives</w:t>
        </w:r>
        <w:r w:rsidR="004B4EB8">
          <w:rPr>
            <w:noProof/>
            <w:webHidden/>
          </w:rPr>
          <w:tab/>
        </w:r>
        <w:r w:rsidR="004B4EB8">
          <w:rPr>
            <w:noProof/>
            <w:webHidden/>
          </w:rPr>
          <w:fldChar w:fldCharType="begin"/>
        </w:r>
        <w:r w:rsidR="004B4EB8">
          <w:rPr>
            <w:noProof/>
            <w:webHidden/>
          </w:rPr>
          <w:instrText xml:space="preserve"> PAGEREF _Toc117260604 \h </w:instrText>
        </w:r>
        <w:r w:rsidR="004B4EB8">
          <w:rPr>
            <w:noProof/>
            <w:webHidden/>
          </w:rPr>
        </w:r>
        <w:r w:rsidR="004B4EB8">
          <w:rPr>
            <w:noProof/>
            <w:webHidden/>
          </w:rPr>
          <w:fldChar w:fldCharType="separate"/>
        </w:r>
        <w:r w:rsidR="00916AB5">
          <w:rPr>
            <w:noProof/>
            <w:webHidden/>
          </w:rPr>
          <w:t>38</w:t>
        </w:r>
        <w:r w:rsidR="004B4EB8">
          <w:rPr>
            <w:noProof/>
            <w:webHidden/>
          </w:rPr>
          <w:fldChar w:fldCharType="end"/>
        </w:r>
      </w:hyperlink>
    </w:p>
    <w:p w14:paraId="307E2EBF" w14:textId="5DA5EC5D" w:rsidR="004B4EB8" w:rsidRDefault="00BD37F2">
      <w:pPr>
        <w:pStyle w:val="TOC2"/>
        <w:rPr>
          <w:rFonts w:asciiTheme="minorHAnsi" w:eastAsiaTheme="minorEastAsia" w:hAnsiTheme="minorHAnsi" w:cstheme="minorBidi"/>
          <w:noProof/>
          <w:sz w:val="22"/>
          <w:szCs w:val="22"/>
        </w:rPr>
      </w:pPr>
      <w:hyperlink w:anchor="_Toc117260605" w:history="1">
        <w:r w:rsidR="004B4EB8" w:rsidRPr="00ED0FAD">
          <w:rPr>
            <w:rStyle w:val="Hyperlink"/>
            <w:noProof/>
          </w:rPr>
          <w:t>2.3   Trade Agreements and Arrangements</w:t>
        </w:r>
        <w:r w:rsidR="004B4EB8">
          <w:rPr>
            <w:noProof/>
            <w:webHidden/>
          </w:rPr>
          <w:tab/>
        </w:r>
        <w:r w:rsidR="004B4EB8">
          <w:rPr>
            <w:noProof/>
            <w:webHidden/>
          </w:rPr>
          <w:fldChar w:fldCharType="begin"/>
        </w:r>
        <w:r w:rsidR="004B4EB8">
          <w:rPr>
            <w:noProof/>
            <w:webHidden/>
          </w:rPr>
          <w:instrText xml:space="preserve"> PAGEREF _Toc117260605 \h </w:instrText>
        </w:r>
        <w:r w:rsidR="004B4EB8">
          <w:rPr>
            <w:noProof/>
            <w:webHidden/>
          </w:rPr>
        </w:r>
        <w:r w:rsidR="004B4EB8">
          <w:rPr>
            <w:noProof/>
            <w:webHidden/>
          </w:rPr>
          <w:fldChar w:fldCharType="separate"/>
        </w:r>
        <w:r w:rsidR="00916AB5">
          <w:rPr>
            <w:noProof/>
            <w:webHidden/>
          </w:rPr>
          <w:t>40</w:t>
        </w:r>
        <w:r w:rsidR="004B4EB8">
          <w:rPr>
            <w:noProof/>
            <w:webHidden/>
          </w:rPr>
          <w:fldChar w:fldCharType="end"/>
        </w:r>
      </w:hyperlink>
    </w:p>
    <w:p w14:paraId="73D412E6" w14:textId="344499CA" w:rsidR="004B4EB8" w:rsidRDefault="00BD37F2">
      <w:pPr>
        <w:pStyle w:val="TOC3"/>
        <w:rPr>
          <w:rFonts w:asciiTheme="minorHAnsi" w:eastAsiaTheme="minorEastAsia" w:hAnsiTheme="minorHAnsi" w:cstheme="minorBidi"/>
          <w:noProof/>
          <w:sz w:val="22"/>
          <w:szCs w:val="22"/>
        </w:rPr>
      </w:pPr>
      <w:hyperlink w:anchor="_Toc117260606" w:history="1">
        <w:r w:rsidR="004B4EB8" w:rsidRPr="00ED0FAD">
          <w:rPr>
            <w:rStyle w:val="Hyperlink"/>
            <w:noProof/>
          </w:rPr>
          <w:t>2.3.1   WTO</w:t>
        </w:r>
        <w:r w:rsidR="004B4EB8">
          <w:rPr>
            <w:noProof/>
            <w:webHidden/>
          </w:rPr>
          <w:tab/>
        </w:r>
        <w:r w:rsidR="004B4EB8">
          <w:rPr>
            <w:noProof/>
            <w:webHidden/>
          </w:rPr>
          <w:fldChar w:fldCharType="begin"/>
        </w:r>
        <w:r w:rsidR="004B4EB8">
          <w:rPr>
            <w:noProof/>
            <w:webHidden/>
          </w:rPr>
          <w:instrText xml:space="preserve"> PAGEREF _Toc117260606 \h </w:instrText>
        </w:r>
        <w:r w:rsidR="004B4EB8">
          <w:rPr>
            <w:noProof/>
            <w:webHidden/>
          </w:rPr>
        </w:r>
        <w:r w:rsidR="004B4EB8">
          <w:rPr>
            <w:noProof/>
            <w:webHidden/>
          </w:rPr>
          <w:fldChar w:fldCharType="separate"/>
        </w:r>
        <w:r w:rsidR="00916AB5">
          <w:rPr>
            <w:noProof/>
            <w:webHidden/>
          </w:rPr>
          <w:t>40</w:t>
        </w:r>
        <w:r w:rsidR="004B4EB8">
          <w:rPr>
            <w:noProof/>
            <w:webHidden/>
          </w:rPr>
          <w:fldChar w:fldCharType="end"/>
        </w:r>
      </w:hyperlink>
    </w:p>
    <w:p w14:paraId="29E606A1" w14:textId="2DA480F9" w:rsidR="004B4EB8" w:rsidRDefault="00BD37F2">
      <w:pPr>
        <w:pStyle w:val="TOC3"/>
        <w:rPr>
          <w:rFonts w:asciiTheme="minorHAnsi" w:eastAsiaTheme="minorEastAsia" w:hAnsiTheme="minorHAnsi" w:cstheme="minorBidi"/>
          <w:noProof/>
          <w:sz w:val="22"/>
          <w:szCs w:val="22"/>
        </w:rPr>
      </w:pPr>
      <w:hyperlink w:anchor="_Toc117260607" w:history="1">
        <w:r w:rsidR="004B4EB8" w:rsidRPr="00ED0FAD">
          <w:rPr>
            <w:rStyle w:val="Hyperlink"/>
            <w:noProof/>
          </w:rPr>
          <w:t>2.3.2   Regional and preferential agreements</w:t>
        </w:r>
        <w:r w:rsidR="004B4EB8">
          <w:rPr>
            <w:noProof/>
            <w:webHidden/>
          </w:rPr>
          <w:tab/>
        </w:r>
        <w:r w:rsidR="004B4EB8">
          <w:rPr>
            <w:noProof/>
            <w:webHidden/>
          </w:rPr>
          <w:fldChar w:fldCharType="begin"/>
        </w:r>
        <w:r w:rsidR="004B4EB8">
          <w:rPr>
            <w:noProof/>
            <w:webHidden/>
          </w:rPr>
          <w:instrText xml:space="preserve"> PAGEREF _Toc117260607 \h </w:instrText>
        </w:r>
        <w:r w:rsidR="004B4EB8">
          <w:rPr>
            <w:noProof/>
            <w:webHidden/>
          </w:rPr>
        </w:r>
        <w:r w:rsidR="004B4EB8">
          <w:rPr>
            <w:noProof/>
            <w:webHidden/>
          </w:rPr>
          <w:fldChar w:fldCharType="separate"/>
        </w:r>
        <w:r w:rsidR="00916AB5">
          <w:rPr>
            <w:noProof/>
            <w:webHidden/>
          </w:rPr>
          <w:t>41</w:t>
        </w:r>
        <w:r w:rsidR="004B4EB8">
          <w:rPr>
            <w:noProof/>
            <w:webHidden/>
          </w:rPr>
          <w:fldChar w:fldCharType="end"/>
        </w:r>
      </w:hyperlink>
    </w:p>
    <w:p w14:paraId="789918BD" w14:textId="5990394C" w:rsidR="004B4EB8" w:rsidRDefault="00BD37F2">
      <w:pPr>
        <w:pStyle w:val="TOC3"/>
        <w:rPr>
          <w:rFonts w:asciiTheme="minorHAnsi" w:eastAsiaTheme="minorEastAsia" w:hAnsiTheme="minorHAnsi" w:cstheme="minorBidi"/>
          <w:noProof/>
          <w:sz w:val="22"/>
          <w:szCs w:val="22"/>
        </w:rPr>
      </w:pPr>
      <w:hyperlink w:anchor="_Toc117260608" w:history="1">
        <w:r w:rsidR="004B4EB8" w:rsidRPr="00ED0FAD">
          <w:rPr>
            <w:rStyle w:val="Hyperlink"/>
            <w:noProof/>
          </w:rPr>
          <w:t>2.3.3   Other agreements and arrangements</w:t>
        </w:r>
        <w:r w:rsidR="004B4EB8">
          <w:rPr>
            <w:noProof/>
            <w:webHidden/>
          </w:rPr>
          <w:tab/>
        </w:r>
        <w:r w:rsidR="004B4EB8">
          <w:rPr>
            <w:noProof/>
            <w:webHidden/>
          </w:rPr>
          <w:fldChar w:fldCharType="begin"/>
        </w:r>
        <w:r w:rsidR="004B4EB8">
          <w:rPr>
            <w:noProof/>
            <w:webHidden/>
          </w:rPr>
          <w:instrText xml:space="preserve"> PAGEREF _Toc117260608 \h </w:instrText>
        </w:r>
        <w:r w:rsidR="004B4EB8">
          <w:rPr>
            <w:noProof/>
            <w:webHidden/>
          </w:rPr>
        </w:r>
        <w:r w:rsidR="004B4EB8">
          <w:rPr>
            <w:noProof/>
            <w:webHidden/>
          </w:rPr>
          <w:fldChar w:fldCharType="separate"/>
        </w:r>
        <w:r w:rsidR="00916AB5">
          <w:rPr>
            <w:noProof/>
            <w:webHidden/>
          </w:rPr>
          <w:t>43</w:t>
        </w:r>
        <w:r w:rsidR="004B4EB8">
          <w:rPr>
            <w:noProof/>
            <w:webHidden/>
          </w:rPr>
          <w:fldChar w:fldCharType="end"/>
        </w:r>
      </w:hyperlink>
    </w:p>
    <w:p w14:paraId="24570B17" w14:textId="1DC1F8E0" w:rsidR="004B4EB8" w:rsidRDefault="00BD37F2">
      <w:pPr>
        <w:pStyle w:val="TOC2"/>
        <w:rPr>
          <w:rFonts w:asciiTheme="minorHAnsi" w:eastAsiaTheme="minorEastAsia" w:hAnsiTheme="minorHAnsi" w:cstheme="minorBidi"/>
          <w:noProof/>
          <w:sz w:val="22"/>
          <w:szCs w:val="22"/>
        </w:rPr>
      </w:pPr>
      <w:hyperlink w:anchor="_Toc117260609" w:history="1">
        <w:r w:rsidR="004B4EB8" w:rsidRPr="00ED0FAD">
          <w:rPr>
            <w:rStyle w:val="Hyperlink"/>
            <w:noProof/>
          </w:rPr>
          <w:t>2.4   Investment Regime</w:t>
        </w:r>
        <w:r w:rsidR="004B4EB8">
          <w:rPr>
            <w:noProof/>
            <w:webHidden/>
          </w:rPr>
          <w:tab/>
        </w:r>
        <w:r w:rsidR="004B4EB8">
          <w:rPr>
            <w:noProof/>
            <w:webHidden/>
          </w:rPr>
          <w:fldChar w:fldCharType="begin"/>
        </w:r>
        <w:r w:rsidR="004B4EB8">
          <w:rPr>
            <w:noProof/>
            <w:webHidden/>
          </w:rPr>
          <w:instrText xml:space="preserve"> PAGEREF _Toc117260609 \h </w:instrText>
        </w:r>
        <w:r w:rsidR="004B4EB8">
          <w:rPr>
            <w:noProof/>
            <w:webHidden/>
          </w:rPr>
        </w:r>
        <w:r w:rsidR="004B4EB8">
          <w:rPr>
            <w:noProof/>
            <w:webHidden/>
          </w:rPr>
          <w:fldChar w:fldCharType="separate"/>
        </w:r>
        <w:r w:rsidR="00916AB5">
          <w:rPr>
            <w:noProof/>
            <w:webHidden/>
          </w:rPr>
          <w:t>43</w:t>
        </w:r>
        <w:r w:rsidR="004B4EB8">
          <w:rPr>
            <w:noProof/>
            <w:webHidden/>
          </w:rPr>
          <w:fldChar w:fldCharType="end"/>
        </w:r>
      </w:hyperlink>
    </w:p>
    <w:p w14:paraId="3A5131B8" w14:textId="4B711484" w:rsidR="004B4EB8" w:rsidRDefault="00BD37F2">
      <w:pPr>
        <w:pStyle w:val="TOC3"/>
        <w:rPr>
          <w:rFonts w:asciiTheme="minorHAnsi" w:eastAsiaTheme="minorEastAsia" w:hAnsiTheme="minorHAnsi" w:cstheme="minorBidi"/>
          <w:noProof/>
          <w:sz w:val="22"/>
          <w:szCs w:val="22"/>
        </w:rPr>
      </w:pPr>
      <w:hyperlink w:anchor="_Toc117260610" w:history="1">
        <w:r w:rsidR="004B4EB8" w:rsidRPr="00ED0FAD">
          <w:rPr>
            <w:rStyle w:val="Hyperlink"/>
            <w:noProof/>
          </w:rPr>
          <w:t>2.4.1   Legal framework</w:t>
        </w:r>
        <w:r w:rsidR="004B4EB8">
          <w:rPr>
            <w:noProof/>
            <w:webHidden/>
          </w:rPr>
          <w:tab/>
        </w:r>
        <w:r w:rsidR="004B4EB8">
          <w:rPr>
            <w:noProof/>
            <w:webHidden/>
          </w:rPr>
          <w:fldChar w:fldCharType="begin"/>
        </w:r>
        <w:r w:rsidR="004B4EB8">
          <w:rPr>
            <w:noProof/>
            <w:webHidden/>
          </w:rPr>
          <w:instrText xml:space="preserve"> PAGEREF _Toc117260610 \h </w:instrText>
        </w:r>
        <w:r w:rsidR="004B4EB8">
          <w:rPr>
            <w:noProof/>
            <w:webHidden/>
          </w:rPr>
        </w:r>
        <w:r w:rsidR="004B4EB8">
          <w:rPr>
            <w:noProof/>
            <w:webHidden/>
          </w:rPr>
          <w:fldChar w:fldCharType="separate"/>
        </w:r>
        <w:r w:rsidR="00916AB5">
          <w:rPr>
            <w:noProof/>
            <w:webHidden/>
          </w:rPr>
          <w:t>43</w:t>
        </w:r>
        <w:r w:rsidR="004B4EB8">
          <w:rPr>
            <w:noProof/>
            <w:webHidden/>
          </w:rPr>
          <w:fldChar w:fldCharType="end"/>
        </w:r>
      </w:hyperlink>
    </w:p>
    <w:p w14:paraId="57ED3ACE" w14:textId="4B7FFD74" w:rsidR="004B4EB8" w:rsidRDefault="00BD37F2">
      <w:pPr>
        <w:pStyle w:val="TOC3"/>
        <w:rPr>
          <w:rFonts w:asciiTheme="minorHAnsi" w:eastAsiaTheme="minorEastAsia" w:hAnsiTheme="minorHAnsi" w:cstheme="minorBidi"/>
          <w:noProof/>
          <w:sz w:val="22"/>
          <w:szCs w:val="22"/>
        </w:rPr>
      </w:pPr>
      <w:hyperlink w:anchor="_Toc117260611" w:history="1">
        <w:r w:rsidR="004B4EB8" w:rsidRPr="00ED0FAD">
          <w:rPr>
            <w:rStyle w:val="Hyperlink"/>
            <w:noProof/>
          </w:rPr>
          <w:t>2.4.2   Investment incentives</w:t>
        </w:r>
        <w:r w:rsidR="004B4EB8">
          <w:rPr>
            <w:noProof/>
            <w:webHidden/>
          </w:rPr>
          <w:tab/>
        </w:r>
        <w:r w:rsidR="004B4EB8">
          <w:rPr>
            <w:noProof/>
            <w:webHidden/>
          </w:rPr>
          <w:fldChar w:fldCharType="begin"/>
        </w:r>
        <w:r w:rsidR="004B4EB8">
          <w:rPr>
            <w:noProof/>
            <w:webHidden/>
          </w:rPr>
          <w:instrText xml:space="preserve"> PAGEREF _Toc117260611 \h </w:instrText>
        </w:r>
        <w:r w:rsidR="004B4EB8">
          <w:rPr>
            <w:noProof/>
            <w:webHidden/>
          </w:rPr>
        </w:r>
        <w:r w:rsidR="004B4EB8">
          <w:rPr>
            <w:noProof/>
            <w:webHidden/>
          </w:rPr>
          <w:fldChar w:fldCharType="separate"/>
        </w:r>
        <w:r w:rsidR="00916AB5">
          <w:rPr>
            <w:noProof/>
            <w:webHidden/>
          </w:rPr>
          <w:t>46</w:t>
        </w:r>
        <w:r w:rsidR="004B4EB8">
          <w:rPr>
            <w:noProof/>
            <w:webHidden/>
          </w:rPr>
          <w:fldChar w:fldCharType="end"/>
        </w:r>
      </w:hyperlink>
    </w:p>
    <w:p w14:paraId="42F5DE4E" w14:textId="29A323BD" w:rsidR="004B4EB8" w:rsidRDefault="00BD37F2">
      <w:pPr>
        <w:pStyle w:val="TOC1"/>
        <w:rPr>
          <w:rFonts w:asciiTheme="minorHAnsi" w:eastAsiaTheme="minorEastAsia" w:hAnsiTheme="minorHAnsi" w:cstheme="minorBidi"/>
          <w:b w:val="0"/>
          <w:caps w:val="0"/>
          <w:noProof/>
          <w:sz w:val="22"/>
          <w:szCs w:val="22"/>
        </w:rPr>
      </w:pPr>
      <w:hyperlink w:anchor="_Toc117260612" w:history="1">
        <w:r w:rsidR="004B4EB8" w:rsidRPr="00ED0FAD">
          <w:rPr>
            <w:rStyle w:val="Hyperlink"/>
            <w:noProof/>
          </w:rPr>
          <w:t>3   TRADE POLICIES AND PRACTICES BY MEASURE</w:t>
        </w:r>
        <w:r w:rsidR="004B4EB8">
          <w:rPr>
            <w:noProof/>
            <w:webHidden/>
          </w:rPr>
          <w:tab/>
        </w:r>
        <w:r w:rsidR="004B4EB8">
          <w:rPr>
            <w:noProof/>
            <w:webHidden/>
          </w:rPr>
          <w:fldChar w:fldCharType="begin"/>
        </w:r>
        <w:r w:rsidR="004B4EB8">
          <w:rPr>
            <w:noProof/>
            <w:webHidden/>
          </w:rPr>
          <w:instrText xml:space="preserve"> PAGEREF _Toc117260612 \h </w:instrText>
        </w:r>
        <w:r w:rsidR="004B4EB8">
          <w:rPr>
            <w:noProof/>
            <w:webHidden/>
          </w:rPr>
        </w:r>
        <w:r w:rsidR="004B4EB8">
          <w:rPr>
            <w:noProof/>
            <w:webHidden/>
          </w:rPr>
          <w:fldChar w:fldCharType="separate"/>
        </w:r>
        <w:r w:rsidR="00916AB5">
          <w:rPr>
            <w:noProof/>
            <w:webHidden/>
          </w:rPr>
          <w:t>49</w:t>
        </w:r>
        <w:r w:rsidR="004B4EB8">
          <w:rPr>
            <w:noProof/>
            <w:webHidden/>
          </w:rPr>
          <w:fldChar w:fldCharType="end"/>
        </w:r>
      </w:hyperlink>
    </w:p>
    <w:p w14:paraId="6D5E3EA2" w14:textId="45D4A344" w:rsidR="004B4EB8" w:rsidRDefault="00BD37F2">
      <w:pPr>
        <w:pStyle w:val="TOC2"/>
        <w:rPr>
          <w:rFonts w:asciiTheme="minorHAnsi" w:eastAsiaTheme="minorEastAsia" w:hAnsiTheme="minorHAnsi" w:cstheme="minorBidi"/>
          <w:noProof/>
          <w:sz w:val="22"/>
          <w:szCs w:val="22"/>
        </w:rPr>
      </w:pPr>
      <w:hyperlink w:anchor="_Toc117260613" w:history="1">
        <w:r w:rsidR="004B4EB8" w:rsidRPr="00ED0FAD">
          <w:rPr>
            <w:rStyle w:val="Hyperlink"/>
            <w:noProof/>
          </w:rPr>
          <w:t>3.1   Measures Directly Affecting Imports</w:t>
        </w:r>
        <w:r w:rsidR="004B4EB8">
          <w:rPr>
            <w:noProof/>
            <w:webHidden/>
          </w:rPr>
          <w:tab/>
        </w:r>
        <w:r w:rsidR="004B4EB8">
          <w:rPr>
            <w:noProof/>
            <w:webHidden/>
          </w:rPr>
          <w:fldChar w:fldCharType="begin"/>
        </w:r>
        <w:r w:rsidR="004B4EB8">
          <w:rPr>
            <w:noProof/>
            <w:webHidden/>
          </w:rPr>
          <w:instrText xml:space="preserve"> PAGEREF _Toc117260613 \h </w:instrText>
        </w:r>
        <w:r w:rsidR="004B4EB8">
          <w:rPr>
            <w:noProof/>
            <w:webHidden/>
          </w:rPr>
        </w:r>
        <w:r w:rsidR="004B4EB8">
          <w:rPr>
            <w:noProof/>
            <w:webHidden/>
          </w:rPr>
          <w:fldChar w:fldCharType="separate"/>
        </w:r>
        <w:r w:rsidR="00916AB5">
          <w:rPr>
            <w:noProof/>
            <w:webHidden/>
          </w:rPr>
          <w:t>49</w:t>
        </w:r>
        <w:r w:rsidR="004B4EB8">
          <w:rPr>
            <w:noProof/>
            <w:webHidden/>
          </w:rPr>
          <w:fldChar w:fldCharType="end"/>
        </w:r>
      </w:hyperlink>
    </w:p>
    <w:p w14:paraId="5395C70F" w14:textId="7E08D65E" w:rsidR="004B4EB8" w:rsidRDefault="00BD37F2">
      <w:pPr>
        <w:pStyle w:val="TOC3"/>
        <w:rPr>
          <w:rFonts w:asciiTheme="minorHAnsi" w:eastAsiaTheme="minorEastAsia" w:hAnsiTheme="minorHAnsi" w:cstheme="minorBidi"/>
          <w:noProof/>
          <w:sz w:val="22"/>
          <w:szCs w:val="22"/>
        </w:rPr>
      </w:pPr>
      <w:hyperlink w:anchor="_Toc117260614" w:history="1">
        <w:r w:rsidR="004B4EB8" w:rsidRPr="00ED0FAD">
          <w:rPr>
            <w:rStyle w:val="Hyperlink"/>
            <w:noProof/>
          </w:rPr>
          <w:t>3.1.1   Customs procedures and requirements</w:t>
        </w:r>
        <w:r w:rsidR="004B4EB8">
          <w:rPr>
            <w:noProof/>
            <w:webHidden/>
          </w:rPr>
          <w:tab/>
        </w:r>
        <w:r w:rsidR="004B4EB8">
          <w:rPr>
            <w:noProof/>
            <w:webHidden/>
          </w:rPr>
          <w:fldChar w:fldCharType="begin"/>
        </w:r>
        <w:r w:rsidR="004B4EB8">
          <w:rPr>
            <w:noProof/>
            <w:webHidden/>
          </w:rPr>
          <w:instrText xml:space="preserve"> PAGEREF _Toc117260614 \h </w:instrText>
        </w:r>
        <w:r w:rsidR="004B4EB8">
          <w:rPr>
            <w:noProof/>
            <w:webHidden/>
          </w:rPr>
        </w:r>
        <w:r w:rsidR="004B4EB8">
          <w:rPr>
            <w:noProof/>
            <w:webHidden/>
          </w:rPr>
          <w:fldChar w:fldCharType="separate"/>
        </w:r>
        <w:r w:rsidR="00916AB5">
          <w:rPr>
            <w:noProof/>
            <w:webHidden/>
          </w:rPr>
          <w:t>49</w:t>
        </w:r>
        <w:r w:rsidR="004B4EB8">
          <w:rPr>
            <w:noProof/>
            <w:webHidden/>
          </w:rPr>
          <w:fldChar w:fldCharType="end"/>
        </w:r>
      </w:hyperlink>
    </w:p>
    <w:p w14:paraId="34026E2E" w14:textId="561D8228" w:rsidR="004B4EB8" w:rsidRDefault="00BD37F2">
      <w:pPr>
        <w:pStyle w:val="TOC3"/>
        <w:rPr>
          <w:rFonts w:asciiTheme="minorHAnsi" w:eastAsiaTheme="minorEastAsia" w:hAnsiTheme="minorHAnsi" w:cstheme="minorBidi"/>
          <w:noProof/>
          <w:sz w:val="22"/>
          <w:szCs w:val="22"/>
        </w:rPr>
      </w:pPr>
      <w:hyperlink w:anchor="_Toc117260615" w:history="1">
        <w:r w:rsidR="004B4EB8" w:rsidRPr="00ED0FAD">
          <w:rPr>
            <w:rStyle w:val="Hyperlink"/>
            <w:noProof/>
          </w:rPr>
          <w:t>3.1.2   Customs valuation</w:t>
        </w:r>
        <w:r w:rsidR="004B4EB8">
          <w:rPr>
            <w:noProof/>
            <w:webHidden/>
          </w:rPr>
          <w:tab/>
        </w:r>
        <w:r w:rsidR="004B4EB8">
          <w:rPr>
            <w:noProof/>
            <w:webHidden/>
          </w:rPr>
          <w:fldChar w:fldCharType="begin"/>
        </w:r>
        <w:r w:rsidR="004B4EB8">
          <w:rPr>
            <w:noProof/>
            <w:webHidden/>
          </w:rPr>
          <w:instrText xml:space="preserve"> PAGEREF _Toc117260615 \h </w:instrText>
        </w:r>
        <w:r w:rsidR="004B4EB8">
          <w:rPr>
            <w:noProof/>
            <w:webHidden/>
          </w:rPr>
        </w:r>
        <w:r w:rsidR="004B4EB8">
          <w:rPr>
            <w:noProof/>
            <w:webHidden/>
          </w:rPr>
          <w:fldChar w:fldCharType="separate"/>
        </w:r>
        <w:r w:rsidR="00916AB5">
          <w:rPr>
            <w:noProof/>
            <w:webHidden/>
          </w:rPr>
          <w:t>52</w:t>
        </w:r>
        <w:r w:rsidR="004B4EB8">
          <w:rPr>
            <w:noProof/>
            <w:webHidden/>
          </w:rPr>
          <w:fldChar w:fldCharType="end"/>
        </w:r>
      </w:hyperlink>
    </w:p>
    <w:p w14:paraId="5C49AB7B" w14:textId="766E932D" w:rsidR="004B4EB8" w:rsidRDefault="00BD37F2">
      <w:pPr>
        <w:pStyle w:val="TOC3"/>
        <w:rPr>
          <w:rFonts w:asciiTheme="minorHAnsi" w:eastAsiaTheme="minorEastAsia" w:hAnsiTheme="minorHAnsi" w:cstheme="minorBidi"/>
          <w:noProof/>
          <w:sz w:val="22"/>
          <w:szCs w:val="22"/>
        </w:rPr>
      </w:pPr>
      <w:hyperlink w:anchor="_Toc117260616" w:history="1">
        <w:r w:rsidR="004B4EB8" w:rsidRPr="00ED0FAD">
          <w:rPr>
            <w:rStyle w:val="Hyperlink"/>
            <w:noProof/>
          </w:rPr>
          <w:t>3.1.3   Rules of origin</w:t>
        </w:r>
        <w:r w:rsidR="004B4EB8">
          <w:rPr>
            <w:noProof/>
            <w:webHidden/>
          </w:rPr>
          <w:tab/>
        </w:r>
        <w:r w:rsidR="004B4EB8">
          <w:rPr>
            <w:noProof/>
            <w:webHidden/>
          </w:rPr>
          <w:fldChar w:fldCharType="begin"/>
        </w:r>
        <w:r w:rsidR="004B4EB8">
          <w:rPr>
            <w:noProof/>
            <w:webHidden/>
          </w:rPr>
          <w:instrText xml:space="preserve"> PAGEREF _Toc117260616 \h </w:instrText>
        </w:r>
        <w:r w:rsidR="004B4EB8">
          <w:rPr>
            <w:noProof/>
            <w:webHidden/>
          </w:rPr>
        </w:r>
        <w:r w:rsidR="004B4EB8">
          <w:rPr>
            <w:noProof/>
            <w:webHidden/>
          </w:rPr>
          <w:fldChar w:fldCharType="separate"/>
        </w:r>
        <w:r w:rsidR="00916AB5">
          <w:rPr>
            <w:noProof/>
            <w:webHidden/>
          </w:rPr>
          <w:t>52</w:t>
        </w:r>
        <w:r w:rsidR="004B4EB8">
          <w:rPr>
            <w:noProof/>
            <w:webHidden/>
          </w:rPr>
          <w:fldChar w:fldCharType="end"/>
        </w:r>
      </w:hyperlink>
    </w:p>
    <w:p w14:paraId="1144868C" w14:textId="29A7DDDE" w:rsidR="004B4EB8" w:rsidRDefault="00BD37F2">
      <w:pPr>
        <w:pStyle w:val="TOC3"/>
        <w:rPr>
          <w:rFonts w:asciiTheme="minorHAnsi" w:eastAsiaTheme="minorEastAsia" w:hAnsiTheme="minorHAnsi" w:cstheme="minorBidi"/>
          <w:noProof/>
          <w:sz w:val="22"/>
          <w:szCs w:val="22"/>
        </w:rPr>
      </w:pPr>
      <w:hyperlink w:anchor="_Toc117260617" w:history="1">
        <w:r w:rsidR="004B4EB8" w:rsidRPr="00ED0FAD">
          <w:rPr>
            <w:rStyle w:val="Hyperlink"/>
            <w:noProof/>
          </w:rPr>
          <w:t>3.1.4   Tariffs</w:t>
        </w:r>
        <w:r w:rsidR="004B4EB8">
          <w:rPr>
            <w:noProof/>
            <w:webHidden/>
          </w:rPr>
          <w:tab/>
        </w:r>
        <w:r w:rsidR="004B4EB8">
          <w:rPr>
            <w:noProof/>
            <w:webHidden/>
          </w:rPr>
          <w:fldChar w:fldCharType="begin"/>
        </w:r>
        <w:r w:rsidR="004B4EB8">
          <w:rPr>
            <w:noProof/>
            <w:webHidden/>
          </w:rPr>
          <w:instrText xml:space="preserve"> PAGEREF _Toc117260617 \h </w:instrText>
        </w:r>
        <w:r w:rsidR="004B4EB8">
          <w:rPr>
            <w:noProof/>
            <w:webHidden/>
          </w:rPr>
        </w:r>
        <w:r w:rsidR="004B4EB8">
          <w:rPr>
            <w:noProof/>
            <w:webHidden/>
          </w:rPr>
          <w:fldChar w:fldCharType="separate"/>
        </w:r>
        <w:r w:rsidR="00916AB5">
          <w:rPr>
            <w:noProof/>
            <w:webHidden/>
          </w:rPr>
          <w:t>53</w:t>
        </w:r>
        <w:r w:rsidR="004B4EB8">
          <w:rPr>
            <w:noProof/>
            <w:webHidden/>
          </w:rPr>
          <w:fldChar w:fldCharType="end"/>
        </w:r>
      </w:hyperlink>
    </w:p>
    <w:p w14:paraId="0CEA5BD0" w14:textId="76C630B8" w:rsidR="004B4EB8" w:rsidRDefault="00BD37F2">
      <w:pPr>
        <w:pStyle w:val="TOC4"/>
        <w:rPr>
          <w:rFonts w:asciiTheme="minorHAnsi" w:eastAsiaTheme="minorEastAsia" w:hAnsiTheme="minorHAnsi" w:cstheme="minorBidi"/>
          <w:noProof/>
          <w:sz w:val="22"/>
          <w:szCs w:val="22"/>
        </w:rPr>
      </w:pPr>
      <w:hyperlink w:anchor="_Toc117260618" w:history="1">
        <w:r w:rsidR="004B4EB8" w:rsidRPr="00ED0FAD">
          <w:rPr>
            <w:rStyle w:val="Hyperlink"/>
            <w:noProof/>
          </w:rPr>
          <w:t>3.1.4.1   Structure and levels</w:t>
        </w:r>
        <w:r w:rsidR="004B4EB8">
          <w:rPr>
            <w:noProof/>
            <w:webHidden/>
          </w:rPr>
          <w:tab/>
        </w:r>
        <w:r w:rsidR="004B4EB8">
          <w:rPr>
            <w:noProof/>
            <w:webHidden/>
          </w:rPr>
          <w:fldChar w:fldCharType="begin"/>
        </w:r>
        <w:r w:rsidR="004B4EB8">
          <w:rPr>
            <w:noProof/>
            <w:webHidden/>
          </w:rPr>
          <w:instrText xml:space="preserve"> PAGEREF _Toc117260618 \h </w:instrText>
        </w:r>
        <w:r w:rsidR="004B4EB8">
          <w:rPr>
            <w:noProof/>
            <w:webHidden/>
          </w:rPr>
        </w:r>
        <w:r w:rsidR="004B4EB8">
          <w:rPr>
            <w:noProof/>
            <w:webHidden/>
          </w:rPr>
          <w:fldChar w:fldCharType="separate"/>
        </w:r>
        <w:r w:rsidR="00916AB5">
          <w:rPr>
            <w:noProof/>
            <w:webHidden/>
          </w:rPr>
          <w:t>53</w:t>
        </w:r>
        <w:r w:rsidR="004B4EB8">
          <w:rPr>
            <w:noProof/>
            <w:webHidden/>
          </w:rPr>
          <w:fldChar w:fldCharType="end"/>
        </w:r>
      </w:hyperlink>
    </w:p>
    <w:p w14:paraId="15D101D2" w14:textId="6A691093" w:rsidR="004B4EB8" w:rsidRDefault="00BD37F2">
      <w:pPr>
        <w:pStyle w:val="TOC4"/>
        <w:rPr>
          <w:rFonts w:asciiTheme="minorHAnsi" w:eastAsiaTheme="minorEastAsia" w:hAnsiTheme="minorHAnsi" w:cstheme="minorBidi"/>
          <w:noProof/>
          <w:sz w:val="22"/>
          <w:szCs w:val="22"/>
        </w:rPr>
      </w:pPr>
      <w:hyperlink w:anchor="_Toc117260619" w:history="1">
        <w:r w:rsidR="004B4EB8" w:rsidRPr="00ED0FAD">
          <w:rPr>
            <w:rStyle w:val="Hyperlink"/>
            <w:noProof/>
          </w:rPr>
          <w:t>3.1.4.2   Preferential tariffs</w:t>
        </w:r>
        <w:r w:rsidR="004B4EB8">
          <w:rPr>
            <w:noProof/>
            <w:webHidden/>
          </w:rPr>
          <w:tab/>
        </w:r>
        <w:r w:rsidR="004B4EB8">
          <w:rPr>
            <w:noProof/>
            <w:webHidden/>
          </w:rPr>
          <w:fldChar w:fldCharType="begin"/>
        </w:r>
        <w:r w:rsidR="004B4EB8">
          <w:rPr>
            <w:noProof/>
            <w:webHidden/>
          </w:rPr>
          <w:instrText xml:space="preserve"> PAGEREF _Toc117260619 \h </w:instrText>
        </w:r>
        <w:r w:rsidR="004B4EB8">
          <w:rPr>
            <w:noProof/>
            <w:webHidden/>
          </w:rPr>
        </w:r>
        <w:r w:rsidR="004B4EB8">
          <w:rPr>
            <w:noProof/>
            <w:webHidden/>
          </w:rPr>
          <w:fldChar w:fldCharType="separate"/>
        </w:r>
        <w:r w:rsidR="00916AB5">
          <w:rPr>
            <w:noProof/>
            <w:webHidden/>
          </w:rPr>
          <w:t>54</w:t>
        </w:r>
        <w:r w:rsidR="004B4EB8">
          <w:rPr>
            <w:noProof/>
            <w:webHidden/>
          </w:rPr>
          <w:fldChar w:fldCharType="end"/>
        </w:r>
      </w:hyperlink>
    </w:p>
    <w:p w14:paraId="0E3FA52A" w14:textId="32FBC949" w:rsidR="004B4EB8" w:rsidRDefault="00BD37F2">
      <w:pPr>
        <w:pStyle w:val="TOC4"/>
        <w:rPr>
          <w:rFonts w:asciiTheme="minorHAnsi" w:eastAsiaTheme="minorEastAsia" w:hAnsiTheme="minorHAnsi" w:cstheme="minorBidi"/>
          <w:noProof/>
          <w:sz w:val="22"/>
          <w:szCs w:val="22"/>
        </w:rPr>
      </w:pPr>
      <w:hyperlink w:anchor="_Toc117260620" w:history="1">
        <w:r w:rsidR="004B4EB8" w:rsidRPr="00ED0FAD">
          <w:rPr>
            <w:rStyle w:val="Hyperlink"/>
            <w:noProof/>
          </w:rPr>
          <w:t>3.1.4.3   Tariff quotas</w:t>
        </w:r>
        <w:r w:rsidR="004B4EB8">
          <w:rPr>
            <w:noProof/>
            <w:webHidden/>
          </w:rPr>
          <w:tab/>
        </w:r>
        <w:r w:rsidR="004B4EB8">
          <w:rPr>
            <w:noProof/>
            <w:webHidden/>
          </w:rPr>
          <w:fldChar w:fldCharType="begin"/>
        </w:r>
        <w:r w:rsidR="004B4EB8">
          <w:rPr>
            <w:noProof/>
            <w:webHidden/>
          </w:rPr>
          <w:instrText xml:space="preserve"> PAGEREF _Toc117260620 \h </w:instrText>
        </w:r>
        <w:r w:rsidR="004B4EB8">
          <w:rPr>
            <w:noProof/>
            <w:webHidden/>
          </w:rPr>
        </w:r>
        <w:r w:rsidR="004B4EB8">
          <w:rPr>
            <w:noProof/>
            <w:webHidden/>
          </w:rPr>
          <w:fldChar w:fldCharType="separate"/>
        </w:r>
        <w:r w:rsidR="00916AB5">
          <w:rPr>
            <w:noProof/>
            <w:webHidden/>
          </w:rPr>
          <w:t>55</w:t>
        </w:r>
        <w:r w:rsidR="004B4EB8">
          <w:rPr>
            <w:noProof/>
            <w:webHidden/>
          </w:rPr>
          <w:fldChar w:fldCharType="end"/>
        </w:r>
      </w:hyperlink>
    </w:p>
    <w:p w14:paraId="3AB007DC" w14:textId="63B552A5" w:rsidR="004B4EB8" w:rsidRDefault="00BD37F2">
      <w:pPr>
        <w:pStyle w:val="TOC4"/>
        <w:rPr>
          <w:rFonts w:asciiTheme="minorHAnsi" w:eastAsiaTheme="minorEastAsia" w:hAnsiTheme="minorHAnsi" w:cstheme="minorBidi"/>
          <w:noProof/>
          <w:sz w:val="22"/>
          <w:szCs w:val="22"/>
        </w:rPr>
      </w:pPr>
      <w:hyperlink w:anchor="_Toc117260621" w:history="1">
        <w:r w:rsidR="004B4EB8" w:rsidRPr="00ED0FAD">
          <w:rPr>
            <w:rStyle w:val="Hyperlink"/>
            <w:noProof/>
          </w:rPr>
          <w:t>3.1.4.4   Tariff concessions</w:t>
        </w:r>
        <w:r w:rsidR="004B4EB8">
          <w:rPr>
            <w:noProof/>
            <w:webHidden/>
          </w:rPr>
          <w:tab/>
        </w:r>
        <w:r w:rsidR="004B4EB8">
          <w:rPr>
            <w:noProof/>
            <w:webHidden/>
          </w:rPr>
          <w:fldChar w:fldCharType="begin"/>
        </w:r>
        <w:r w:rsidR="004B4EB8">
          <w:rPr>
            <w:noProof/>
            <w:webHidden/>
          </w:rPr>
          <w:instrText xml:space="preserve"> PAGEREF _Toc117260621 \h </w:instrText>
        </w:r>
        <w:r w:rsidR="004B4EB8">
          <w:rPr>
            <w:noProof/>
            <w:webHidden/>
          </w:rPr>
        </w:r>
        <w:r w:rsidR="004B4EB8">
          <w:rPr>
            <w:noProof/>
            <w:webHidden/>
          </w:rPr>
          <w:fldChar w:fldCharType="separate"/>
        </w:r>
        <w:r w:rsidR="00916AB5">
          <w:rPr>
            <w:noProof/>
            <w:webHidden/>
          </w:rPr>
          <w:t>56</w:t>
        </w:r>
        <w:r w:rsidR="004B4EB8">
          <w:rPr>
            <w:noProof/>
            <w:webHidden/>
          </w:rPr>
          <w:fldChar w:fldCharType="end"/>
        </w:r>
      </w:hyperlink>
    </w:p>
    <w:p w14:paraId="0E2A6754" w14:textId="30F9B19B" w:rsidR="004B4EB8" w:rsidRDefault="00BD37F2">
      <w:pPr>
        <w:pStyle w:val="TOC3"/>
        <w:rPr>
          <w:rFonts w:asciiTheme="minorHAnsi" w:eastAsiaTheme="minorEastAsia" w:hAnsiTheme="minorHAnsi" w:cstheme="minorBidi"/>
          <w:noProof/>
          <w:sz w:val="22"/>
          <w:szCs w:val="22"/>
        </w:rPr>
      </w:pPr>
      <w:hyperlink w:anchor="_Toc117260622" w:history="1">
        <w:r w:rsidR="004B4EB8" w:rsidRPr="00ED0FAD">
          <w:rPr>
            <w:rStyle w:val="Hyperlink"/>
            <w:noProof/>
          </w:rPr>
          <w:t>3.1.5   Other charges affecting imports</w:t>
        </w:r>
        <w:r w:rsidR="004B4EB8">
          <w:rPr>
            <w:noProof/>
            <w:webHidden/>
          </w:rPr>
          <w:tab/>
        </w:r>
        <w:r w:rsidR="004B4EB8">
          <w:rPr>
            <w:noProof/>
            <w:webHidden/>
          </w:rPr>
          <w:fldChar w:fldCharType="begin"/>
        </w:r>
        <w:r w:rsidR="004B4EB8">
          <w:rPr>
            <w:noProof/>
            <w:webHidden/>
          </w:rPr>
          <w:instrText xml:space="preserve"> PAGEREF _Toc117260622 \h </w:instrText>
        </w:r>
        <w:r w:rsidR="004B4EB8">
          <w:rPr>
            <w:noProof/>
            <w:webHidden/>
          </w:rPr>
        </w:r>
        <w:r w:rsidR="004B4EB8">
          <w:rPr>
            <w:noProof/>
            <w:webHidden/>
          </w:rPr>
          <w:fldChar w:fldCharType="separate"/>
        </w:r>
        <w:r w:rsidR="00916AB5">
          <w:rPr>
            <w:noProof/>
            <w:webHidden/>
          </w:rPr>
          <w:t>56</w:t>
        </w:r>
        <w:r w:rsidR="004B4EB8">
          <w:rPr>
            <w:noProof/>
            <w:webHidden/>
          </w:rPr>
          <w:fldChar w:fldCharType="end"/>
        </w:r>
      </w:hyperlink>
    </w:p>
    <w:p w14:paraId="0BCAC448" w14:textId="45FFB229" w:rsidR="004B4EB8" w:rsidRDefault="00BD37F2">
      <w:pPr>
        <w:pStyle w:val="TOC3"/>
        <w:rPr>
          <w:rFonts w:asciiTheme="minorHAnsi" w:eastAsiaTheme="minorEastAsia" w:hAnsiTheme="minorHAnsi" w:cstheme="minorBidi"/>
          <w:noProof/>
          <w:sz w:val="22"/>
          <w:szCs w:val="22"/>
        </w:rPr>
      </w:pPr>
      <w:hyperlink w:anchor="_Toc117260623" w:history="1">
        <w:r w:rsidR="004B4EB8" w:rsidRPr="00ED0FAD">
          <w:rPr>
            <w:rStyle w:val="Hyperlink"/>
            <w:noProof/>
          </w:rPr>
          <w:t>3.1.6   Import prohibitions, restrictions and licensing</w:t>
        </w:r>
        <w:r w:rsidR="004B4EB8">
          <w:rPr>
            <w:noProof/>
            <w:webHidden/>
          </w:rPr>
          <w:tab/>
        </w:r>
        <w:r w:rsidR="004B4EB8">
          <w:rPr>
            <w:noProof/>
            <w:webHidden/>
          </w:rPr>
          <w:fldChar w:fldCharType="begin"/>
        </w:r>
        <w:r w:rsidR="004B4EB8">
          <w:rPr>
            <w:noProof/>
            <w:webHidden/>
          </w:rPr>
          <w:instrText xml:space="preserve"> PAGEREF _Toc117260623 \h </w:instrText>
        </w:r>
        <w:r w:rsidR="004B4EB8">
          <w:rPr>
            <w:noProof/>
            <w:webHidden/>
          </w:rPr>
        </w:r>
        <w:r w:rsidR="004B4EB8">
          <w:rPr>
            <w:noProof/>
            <w:webHidden/>
          </w:rPr>
          <w:fldChar w:fldCharType="separate"/>
        </w:r>
        <w:r w:rsidR="00916AB5">
          <w:rPr>
            <w:noProof/>
            <w:webHidden/>
          </w:rPr>
          <w:t>59</w:t>
        </w:r>
        <w:r w:rsidR="004B4EB8">
          <w:rPr>
            <w:noProof/>
            <w:webHidden/>
          </w:rPr>
          <w:fldChar w:fldCharType="end"/>
        </w:r>
      </w:hyperlink>
    </w:p>
    <w:p w14:paraId="7CD8AB8F" w14:textId="30AB614D" w:rsidR="004B4EB8" w:rsidRDefault="00BD37F2">
      <w:pPr>
        <w:pStyle w:val="TOC3"/>
        <w:rPr>
          <w:rFonts w:asciiTheme="minorHAnsi" w:eastAsiaTheme="minorEastAsia" w:hAnsiTheme="minorHAnsi" w:cstheme="minorBidi"/>
          <w:noProof/>
          <w:sz w:val="22"/>
          <w:szCs w:val="22"/>
        </w:rPr>
      </w:pPr>
      <w:hyperlink w:anchor="_Toc117260624" w:history="1">
        <w:r w:rsidR="004B4EB8" w:rsidRPr="00ED0FAD">
          <w:rPr>
            <w:rStyle w:val="Hyperlink"/>
            <w:noProof/>
          </w:rPr>
          <w:t>3.1.7   Anti</w:t>
        </w:r>
        <w:r w:rsidR="004B4EB8" w:rsidRPr="00ED0FAD">
          <w:rPr>
            <w:rStyle w:val="Hyperlink"/>
            <w:noProof/>
          </w:rPr>
          <w:noBreakHyphen/>
          <w:t>dumping, countervailing and safeguard measures</w:t>
        </w:r>
        <w:r w:rsidR="004B4EB8">
          <w:rPr>
            <w:noProof/>
            <w:webHidden/>
          </w:rPr>
          <w:tab/>
        </w:r>
        <w:r w:rsidR="004B4EB8">
          <w:rPr>
            <w:noProof/>
            <w:webHidden/>
          </w:rPr>
          <w:fldChar w:fldCharType="begin"/>
        </w:r>
        <w:r w:rsidR="004B4EB8">
          <w:rPr>
            <w:noProof/>
            <w:webHidden/>
          </w:rPr>
          <w:instrText xml:space="preserve"> PAGEREF _Toc117260624 \h </w:instrText>
        </w:r>
        <w:r w:rsidR="004B4EB8">
          <w:rPr>
            <w:noProof/>
            <w:webHidden/>
          </w:rPr>
        </w:r>
        <w:r w:rsidR="004B4EB8">
          <w:rPr>
            <w:noProof/>
            <w:webHidden/>
          </w:rPr>
          <w:fldChar w:fldCharType="separate"/>
        </w:r>
        <w:r w:rsidR="00916AB5">
          <w:rPr>
            <w:noProof/>
            <w:webHidden/>
          </w:rPr>
          <w:t>61</w:t>
        </w:r>
        <w:r w:rsidR="004B4EB8">
          <w:rPr>
            <w:noProof/>
            <w:webHidden/>
          </w:rPr>
          <w:fldChar w:fldCharType="end"/>
        </w:r>
      </w:hyperlink>
    </w:p>
    <w:p w14:paraId="1F3A9000" w14:textId="28F6EAA5" w:rsidR="004B4EB8" w:rsidRDefault="00BD37F2">
      <w:pPr>
        <w:pStyle w:val="TOC4"/>
        <w:rPr>
          <w:rFonts w:asciiTheme="minorHAnsi" w:eastAsiaTheme="minorEastAsia" w:hAnsiTheme="minorHAnsi" w:cstheme="minorBidi"/>
          <w:noProof/>
          <w:sz w:val="22"/>
          <w:szCs w:val="22"/>
        </w:rPr>
      </w:pPr>
      <w:hyperlink w:anchor="_Toc117260625" w:history="1">
        <w:r w:rsidR="004B4EB8" w:rsidRPr="00ED0FAD">
          <w:rPr>
            <w:rStyle w:val="Hyperlink"/>
            <w:noProof/>
          </w:rPr>
          <w:t>3.1.7.1   Anti</w:t>
        </w:r>
        <w:r w:rsidR="004B4EB8" w:rsidRPr="00ED0FAD">
          <w:rPr>
            <w:rStyle w:val="Hyperlink"/>
            <w:noProof/>
          </w:rPr>
          <w:noBreakHyphen/>
          <w:t>dumping and countervailing measures</w:t>
        </w:r>
        <w:r w:rsidR="004B4EB8">
          <w:rPr>
            <w:noProof/>
            <w:webHidden/>
          </w:rPr>
          <w:tab/>
        </w:r>
        <w:r w:rsidR="004B4EB8">
          <w:rPr>
            <w:noProof/>
            <w:webHidden/>
          </w:rPr>
          <w:fldChar w:fldCharType="begin"/>
        </w:r>
        <w:r w:rsidR="004B4EB8">
          <w:rPr>
            <w:noProof/>
            <w:webHidden/>
          </w:rPr>
          <w:instrText xml:space="preserve"> PAGEREF _Toc117260625 \h </w:instrText>
        </w:r>
        <w:r w:rsidR="004B4EB8">
          <w:rPr>
            <w:noProof/>
            <w:webHidden/>
          </w:rPr>
        </w:r>
        <w:r w:rsidR="004B4EB8">
          <w:rPr>
            <w:noProof/>
            <w:webHidden/>
          </w:rPr>
          <w:fldChar w:fldCharType="separate"/>
        </w:r>
        <w:r w:rsidR="00916AB5">
          <w:rPr>
            <w:noProof/>
            <w:webHidden/>
          </w:rPr>
          <w:t>61</w:t>
        </w:r>
        <w:r w:rsidR="004B4EB8">
          <w:rPr>
            <w:noProof/>
            <w:webHidden/>
          </w:rPr>
          <w:fldChar w:fldCharType="end"/>
        </w:r>
      </w:hyperlink>
    </w:p>
    <w:p w14:paraId="24B31E01" w14:textId="6BB99E1C" w:rsidR="004B4EB8" w:rsidRDefault="00BD37F2">
      <w:pPr>
        <w:pStyle w:val="TOC4"/>
        <w:rPr>
          <w:rFonts w:asciiTheme="minorHAnsi" w:eastAsiaTheme="minorEastAsia" w:hAnsiTheme="minorHAnsi" w:cstheme="minorBidi"/>
          <w:noProof/>
          <w:sz w:val="22"/>
          <w:szCs w:val="22"/>
        </w:rPr>
      </w:pPr>
      <w:hyperlink w:anchor="_Toc117260626" w:history="1">
        <w:r w:rsidR="004B4EB8" w:rsidRPr="00ED0FAD">
          <w:rPr>
            <w:rStyle w:val="Hyperlink"/>
            <w:noProof/>
          </w:rPr>
          <w:t>3.1.7.2   Safeguard measures</w:t>
        </w:r>
        <w:r w:rsidR="004B4EB8">
          <w:rPr>
            <w:noProof/>
            <w:webHidden/>
          </w:rPr>
          <w:tab/>
        </w:r>
        <w:r w:rsidR="004B4EB8">
          <w:rPr>
            <w:noProof/>
            <w:webHidden/>
          </w:rPr>
          <w:fldChar w:fldCharType="begin"/>
        </w:r>
        <w:r w:rsidR="004B4EB8">
          <w:rPr>
            <w:noProof/>
            <w:webHidden/>
          </w:rPr>
          <w:instrText xml:space="preserve"> PAGEREF _Toc117260626 \h </w:instrText>
        </w:r>
        <w:r w:rsidR="004B4EB8">
          <w:rPr>
            <w:noProof/>
            <w:webHidden/>
          </w:rPr>
        </w:r>
        <w:r w:rsidR="004B4EB8">
          <w:rPr>
            <w:noProof/>
            <w:webHidden/>
          </w:rPr>
          <w:fldChar w:fldCharType="separate"/>
        </w:r>
        <w:r w:rsidR="00916AB5">
          <w:rPr>
            <w:noProof/>
            <w:webHidden/>
          </w:rPr>
          <w:t>63</w:t>
        </w:r>
        <w:r w:rsidR="004B4EB8">
          <w:rPr>
            <w:noProof/>
            <w:webHidden/>
          </w:rPr>
          <w:fldChar w:fldCharType="end"/>
        </w:r>
      </w:hyperlink>
    </w:p>
    <w:p w14:paraId="0692C337" w14:textId="713F1707" w:rsidR="004B4EB8" w:rsidRDefault="00BD37F2">
      <w:pPr>
        <w:pStyle w:val="TOC2"/>
        <w:rPr>
          <w:rFonts w:asciiTheme="minorHAnsi" w:eastAsiaTheme="minorEastAsia" w:hAnsiTheme="minorHAnsi" w:cstheme="minorBidi"/>
          <w:noProof/>
          <w:sz w:val="22"/>
          <w:szCs w:val="22"/>
        </w:rPr>
      </w:pPr>
      <w:hyperlink w:anchor="_Toc117260627" w:history="1">
        <w:r w:rsidR="004B4EB8" w:rsidRPr="00ED0FAD">
          <w:rPr>
            <w:rStyle w:val="Hyperlink"/>
            <w:noProof/>
          </w:rPr>
          <w:t>3.2   Measures Directly Affecting Exports</w:t>
        </w:r>
        <w:r w:rsidR="004B4EB8">
          <w:rPr>
            <w:noProof/>
            <w:webHidden/>
          </w:rPr>
          <w:tab/>
        </w:r>
        <w:r w:rsidR="004B4EB8">
          <w:rPr>
            <w:noProof/>
            <w:webHidden/>
          </w:rPr>
          <w:fldChar w:fldCharType="begin"/>
        </w:r>
        <w:r w:rsidR="004B4EB8">
          <w:rPr>
            <w:noProof/>
            <w:webHidden/>
          </w:rPr>
          <w:instrText xml:space="preserve"> PAGEREF _Toc117260627 \h </w:instrText>
        </w:r>
        <w:r w:rsidR="004B4EB8">
          <w:rPr>
            <w:noProof/>
            <w:webHidden/>
          </w:rPr>
        </w:r>
        <w:r w:rsidR="004B4EB8">
          <w:rPr>
            <w:noProof/>
            <w:webHidden/>
          </w:rPr>
          <w:fldChar w:fldCharType="separate"/>
        </w:r>
        <w:r w:rsidR="00916AB5">
          <w:rPr>
            <w:noProof/>
            <w:webHidden/>
          </w:rPr>
          <w:t>64</w:t>
        </w:r>
        <w:r w:rsidR="004B4EB8">
          <w:rPr>
            <w:noProof/>
            <w:webHidden/>
          </w:rPr>
          <w:fldChar w:fldCharType="end"/>
        </w:r>
      </w:hyperlink>
    </w:p>
    <w:p w14:paraId="4757C6F5" w14:textId="3C5E0EB2" w:rsidR="004B4EB8" w:rsidRDefault="00BD37F2">
      <w:pPr>
        <w:pStyle w:val="TOC3"/>
        <w:rPr>
          <w:rFonts w:asciiTheme="minorHAnsi" w:eastAsiaTheme="minorEastAsia" w:hAnsiTheme="minorHAnsi" w:cstheme="minorBidi"/>
          <w:noProof/>
          <w:sz w:val="22"/>
          <w:szCs w:val="22"/>
        </w:rPr>
      </w:pPr>
      <w:hyperlink w:anchor="_Toc117260628" w:history="1">
        <w:r w:rsidR="004B4EB8" w:rsidRPr="00ED0FAD">
          <w:rPr>
            <w:rStyle w:val="Hyperlink"/>
            <w:noProof/>
          </w:rPr>
          <w:t>3.2.1   Export procedures and requirements</w:t>
        </w:r>
        <w:r w:rsidR="004B4EB8">
          <w:rPr>
            <w:noProof/>
            <w:webHidden/>
          </w:rPr>
          <w:tab/>
        </w:r>
        <w:r w:rsidR="004B4EB8">
          <w:rPr>
            <w:noProof/>
            <w:webHidden/>
          </w:rPr>
          <w:fldChar w:fldCharType="begin"/>
        </w:r>
        <w:r w:rsidR="004B4EB8">
          <w:rPr>
            <w:noProof/>
            <w:webHidden/>
          </w:rPr>
          <w:instrText xml:space="preserve"> PAGEREF _Toc117260628 \h </w:instrText>
        </w:r>
        <w:r w:rsidR="004B4EB8">
          <w:rPr>
            <w:noProof/>
            <w:webHidden/>
          </w:rPr>
        </w:r>
        <w:r w:rsidR="004B4EB8">
          <w:rPr>
            <w:noProof/>
            <w:webHidden/>
          </w:rPr>
          <w:fldChar w:fldCharType="separate"/>
        </w:r>
        <w:r w:rsidR="00916AB5">
          <w:rPr>
            <w:noProof/>
            <w:webHidden/>
          </w:rPr>
          <w:t>64</w:t>
        </w:r>
        <w:r w:rsidR="004B4EB8">
          <w:rPr>
            <w:noProof/>
            <w:webHidden/>
          </w:rPr>
          <w:fldChar w:fldCharType="end"/>
        </w:r>
      </w:hyperlink>
    </w:p>
    <w:p w14:paraId="0D7884C4" w14:textId="15A1C021" w:rsidR="004B4EB8" w:rsidRDefault="00BD37F2">
      <w:pPr>
        <w:pStyle w:val="TOC3"/>
        <w:rPr>
          <w:rFonts w:asciiTheme="minorHAnsi" w:eastAsiaTheme="minorEastAsia" w:hAnsiTheme="minorHAnsi" w:cstheme="minorBidi"/>
          <w:noProof/>
          <w:sz w:val="22"/>
          <w:szCs w:val="22"/>
        </w:rPr>
      </w:pPr>
      <w:hyperlink w:anchor="_Toc117260629" w:history="1">
        <w:r w:rsidR="004B4EB8" w:rsidRPr="00ED0FAD">
          <w:rPr>
            <w:rStyle w:val="Hyperlink"/>
            <w:noProof/>
          </w:rPr>
          <w:t>3.2.2   Export duties, charges and other levies</w:t>
        </w:r>
        <w:r w:rsidR="004B4EB8">
          <w:rPr>
            <w:noProof/>
            <w:webHidden/>
          </w:rPr>
          <w:tab/>
        </w:r>
        <w:r w:rsidR="004B4EB8">
          <w:rPr>
            <w:noProof/>
            <w:webHidden/>
          </w:rPr>
          <w:fldChar w:fldCharType="begin"/>
        </w:r>
        <w:r w:rsidR="004B4EB8">
          <w:rPr>
            <w:noProof/>
            <w:webHidden/>
          </w:rPr>
          <w:instrText xml:space="preserve"> PAGEREF _Toc117260629 \h </w:instrText>
        </w:r>
        <w:r w:rsidR="004B4EB8">
          <w:rPr>
            <w:noProof/>
            <w:webHidden/>
          </w:rPr>
        </w:r>
        <w:r w:rsidR="004B4EB8">
          <w:rPr>
            <w:noProof/>
            <w:webHidden/>
          </w:rPr>
          <w:fldChar w:fldCharType="separate"/>
        </w:r>
        <w:r w:rsidR="00916AB5">
          <w:rPr>
            <w:noProof/>
            <w:webHidden/>
          </w:rPr>
          <w:t>66</w:t>
        </w:r>
        <w:r w:rsidR="004B4EB8">
          <w:rPr>
            <w:noProof/>
            <w:webHidden/>
          </w:rPr>
          <w:fldChar w:fldCharType="end"/>
        </w:r>
      </w:hyperlink>
    </w:p>
    <w:p w14:paraId="638A0BEC" w14:textId="1A36262E" w:rsidR="004B4EB8" w:rsidRDefault="00BD37F2">
      <w:pPr>
        <w:pStyle w:val="TOC3"/>
        <w:rPr>
          <w:rFonts w:asciiTheme="minorHAnsi" w:eastAsiaTheme="minorEastAsia" w:hAnsiTheme="minorHAnsi" w:cstheme="minorBidi"/>
          <w:noProof/>
          <w:sz w:val="22"/>
          <w:szCs w:val="22"/>
        </w:rPr>
      </w:pPr>
      <w:hyperlink w:anchor="_Toc117260630" w:history="1">
        <w:r w:rsidR="004B4EB8" w:rsidRPr="00ED0FAD">
          <w:rPr>
            <w:rStyle w:val="Hyperlink"/>
            <w:noProof/>
          </w:rPr>
          <w:t>3.2.3   Export prohibitions, authorizations and licensing</w:t>
        </w:r>
        <w:r w:rsidR="004B4EB8">
          <w:rPr>
            <w:noProof/>
            <w:webHidden/>
          </w:rPr>
          <w:tab/>
        </w:r>
        <w:r w:rsidR="004B4EB8">
          <w:rPr>
            <w:noProof/>
            <w:webHidden/>
          </w:rPr>
          <w:fldChar w:fldCharType="begin"/>
        </w:r>
        <w:r w:rsidR="004B4EB8">
          <w:rPr>
            <w:noProof/>
            <w:webHidden/>
          </w:rPr>
          <w:instrText xml:space="preserve"> PAGEREF _Toc117260630 \h </w:instrText>
        </w:r>
        <w:r w:rsidR="004B4EB8">
          <w:rPr>
            <w:noProof/>
            <w:webHidden/>
          </w:rPr>
        </w:r>
        <w:r w:rsidR="004B4EB8">
          <w:rPr>
            <w:noProof/>
            <w:webHidden/>
          </w:rPr>
          <w:fldChar w:fldCharType="separate"/>
        </w:r>
        <w:r w:rsidR="00916AB5">
          <w:rPr>
            <w:noProof/>
            <w:webHidden/>
          </w:rPr>
          <w:t>66</w:t>
        </w:r>
        <w:r w:rsidR="004B4EB8">
          <w:rPr>
            <w:noProof/>
            <w:webHidden/>
          </w:rPr>
          <w:fldChar w:fldCharType="end"/>
        </w:r>
      </w:hyperlink>
    </w:p>
    <w:p w14:paraId="41F849D5" w14:textId="5F03BE55" w:rsidR="004B4EB8" w:rsidRDefault="00BD37F2">
      <w:pPr>
        <w:pStyle w:val="TOC3"/>
        <w:rPr>
          <w:rFonts w:asciiTheme="minorHAnsi" w:eastAsiaTheme="minorEastAsia" w:hAnsiTheme="minorHAnsi" w:cstheme="minorBidi"/>
          <w:noProof/>
          <w:sz w:val="22"/>
          <w:szCs w:val="22"/>
        </w:rPr>
      </w:pPr>
      <w:hyperlink w:anchor="_Toc117260631" w:history="1">
        <w:r w:rsidR="004B4EB8" w:rsidRPr="00ED0FAD">
          <w:rPr>
            <w:rStyle w:val="Hyperlink"/>
            <w:noProof/>
          </w:rPr>
          <w:t>3.2.4   Export support</w:t>
        </w:r>
        <w:r w:rsidR="004B4EB8">
          <w:rPr>
            <w:noProof/>
            <w:webHidden/>
          </w:rPr>
          <w:tab/>
        </w:r>
        <w:r w:rsidR="004B4EB8">
          <w:rPr>
            <w:noProof/>
            <w:webHidden/>
          </w:rPr>
          <w:fldChar w:fldCharType="begin"/>
        </w:r>
        <w:r w:rsidR="004B4EB8">
          <w:rPr>
            <w:noProof/>
            <w:webHidden/>
          </w:rPr>
          <w:instrText xml:space="preserve"> PAGEREF _Toc117260631 \h </w:instrText>
        </w:r>
        <w:r w:rsidR="004B4EB8">
          <w:rPr>
            <w:noProof/>
            <w:webHidden/>
          </w:rPr>
        </w:r>
        <w:r w:rsidR="004B4EB8">
          <w:rPr>
            <w:noProof/>
            <w:webHidden/>
          </w:rPr>
          <w:fldChar w:fldCharType="separate"/>
        </w:r>
        <w:r w:rsidR="00916AB5">
          <w:rPr>
            <w:noProof/>
            <w:webHidden/>
          </w:rPr>
          <w:t>67</w:t>
        </w:r>
        <w:r w:rsidR="004B4EB8">
          <w:rPr>
            <w:noProof/>
            <w:webHidden/>
          </w:rPr>
          <w:fldChar w:fldCharType="end"/>
        </w:r>
      </w:hyperlink>
    </w:p>
    <w:p w14:paraId="6D3535D6" w14:textId="10F32923" w:rsidR="004B4EB8" w:rsidRDefault="00BD37F2">
      <w:pPr>
        <w:pStyle w:val="TOC3"/>
        <w:rPr>
          <w:rFonts w:asciiTheme="minorHAnsi" w:eastAsiaTheme="minorEastAsia" w:hAnsiTheme="minorHAnsi" w:cstheme="minorBidi"/>
          <w:noProof/>
          <w:sz w:val="22"/>
          <w:szCs w:val="22"/>
        </w:rPr>
      </w:pPr>
      <w:hyperlink w:anchor="_Toc117260632" w:history="1">
        <w:r w:rsidR="004B4EB8" w:rsidRPr="00ED0FAD">
          <w:rPr>
            <w:rStyle w:val="Hyperlink"/>
            <w:rFonts w:eastAsia="SimHei"/>
            <w:noProof/>
          </w:rPr>
          <w:t>3.2.5  </w:t>
        </w:r>
        <w:r w:rsidR="004B4EB8" w:rsidRPr="00ED0FAD">
          <w:rPr>
            <w:rStyle w:val="Hyperlink"/>
            <w:noProof/>
          </w:rPr>
          <w:t xml:space="preserve"> Export finance, insurance and promotion</w:t>
        </w:r>
        <w:r w:rsidR="004B4EB8">
          <w:rPr>
            <w:noProof/>
            <w:webHidden/>
          </w:rPr>
          <w:tab/>
        </w:r>
        <w:r w:rsidR="004B4EB8">
          <w:rPr>
            <w:noProof/>
            <w:webHidden/>
          </w:rPr>
          <w:fldChar w:fldCharType="begin"/>
        </w:r>
        <w:r w:rsidR="004B4EB8">
          <w:rPr>
            <w:noProof/>
            <w:webHidden/>
          </w:rPr>
          <w:instrText xml:space="preserve"> PAGEREF _Toc117260632 \h </w:instrText>
        </w:r>
        <w:r w:rsidR="004B4EB8">
          <w:rPr>
            <w:noProof/>
            <w:webHidden/>
          </w:rPr>
        </w:r>
        <w:r w:rsidR="004B4EB8">
          <w:rPr>
            <w:noProof/>
            <w:webHidden/>
          </w:rPr>
          <w:fldChar w:fldCharType="separate"/>
        </w:r>
        <w:r w:rsidR="00916AB5">
          <w:rPr>
            <w:noProof/>
            <w:webHidden/>
          </w:rPr>
          <w:t>67</w:t>
        </w:r>
        <w:r w:rsidR="004B4EB8">
          <w:rPr>
            <w:noProof/>
            <w:webHidden/>
          </w:rPr>
          <w:fldChar w:fldCharType="end"/>
        </w:r>
      </w:hyperlink>
    </w:p>
    <w:p w14:paraId="2D5F3B32" w14:textId="66989935" w:rsidR="004B4EB8" w:rsidRDefault="00BD37F2">
      <w:pPr>
        <w:pStyle w:val="TOC2"/>
        <w:rPr>
          <w:rFonts w:asciiTheme="minorHAnsi" w:eastAsiaTheme="minorEastAsia" w:hAnsiTheme="minorHAnsi" w:cstheme="minorBidi"/>
          <w:noProof/>
          <w:sz w:val="22"/>
          <w:szCs w:val="22"/>
        </w:rPr>
      </w:pPr>
      <w:hyperlink w:anchor="_Toc117260633" w:history="1">
        <w:r w:rsidR="004B4EB8" w:rsidRPr="00ED0FAD">
          <w:rPr>
            <w:rStyle w:val="Hyperlink"/>
            <w:noProof/>
          </w:rPr>
          <w:t>3.3   Measures affecting production and trade</w:t>
        </w:r>
        <w:r w:rsidR="004B4EB8">
          <w:rPr>
            <w:noProof/>
            <w:webHidden/>
          </w:rPr>
          <w:tab/>
        </w:r>
        <w:r w:rsidR="004B4EB8">
          <w:rPr>
            <w:noProof/>
            <w:webHidden/>
          </w:rPr>
          <w:fldChar w:fldCharType="begin"/>
        </w:r>
        <w:r w:rsidR="004B4EB8">
          <w:rPr>
            <w:noProof/>
            <w:webHidden/>
          </w:rPr>
          <w:instrText xml:space="preserve"> PAGEREF _Toc117260633 \h </w:instrText>
        </w:r>
        <w:r w:rsidR="004B4EB8">
          <w:rPr>
            <w:noProof/>
            <w:webHidden/>
          </w:rPr>
        </w:r>
        <w:r w:rsidR="004B4EB8">
          <w:rPr>
            <w:noProof/>
            <w:webHidden/>
          </w:rPr>
          <w:fldChar w:fldCharType="separate"/>
        </w:r>
        <w:r w:rsidR="00916AB5">
          <w:rPr>
            <w:noProof/>
            <w:webHidden/>
          </w:rPr>
          <w:t>68</w:t>
        </w:r>
        <w:r w:rsidR="004B4EB8">
          <w:rPr>
            <w:noProof/>
            <w:webHidden/>
          </w:rPr>
          <w:fldChar w:fldCharType="end"/>
        </w:r>
      </w:hyperlink>
    </w:p>
    <w:p w14:paraId="396EA8BC" w14:textId="13892BFC" w:rsidR="004B4EB8" w:rsidRDefault="00BD37F2">
      <w:pPr>
        <w:pStyle w:val="TOC3"/>
        <w:rPr>
          <w:rFonts w:asciiTheme="minorHAnsi" w:eastAsiaTheme="minorEastAsia" w:hAnsiTheme="minorHAnsi" w:cstheme="minorBidi"/>
          <w:noProof/>
          <w:sz w:val="22"/>
          <w:szCs w:val="22"/>
        </w:rPr>
      </w:pPr>
      <w:hyperlink w:anchor="_Toc117260634" w:history="1">
        <w:r w:rsidR="004B4EB8" w:rsidRPr="00ED0FAD">
          <w:rPr>
            <w:rStyle w:val="Hyperlink"/>
            <w:noProof/>
          </w:rPr>
          <w:t>3.3.1   Incentives</w:t>
        </w:r>
        <w:r w:rsidR="004B4EB8">
          <w:rPr>
            <w:noProof/>
            <w:webHidden/>
          </w:rPr>
          <w:tab/>
        </w:r>
        <w:r w:rsidR="004B4EB8">
          <w:rPr>
            <w:noProof/>
            <w:webHidden/>
          </w:rPr>
          <w:fldChar w:fldCharType="begin"/>
        </w:r>
        <w:r w:rsidR="004B4EB8">
          <w:rPr>
            <w:noProof/>
            <w:webHidden/>
          </w:rPr>
          <w:instrText xml:space="preserve"> PAGEREF _Toc117260634 \h </w:instrText>
        </w:r>
        <w:r w:rsidR="004B4EB8">
          <w:rPr>
            <w:noProof/>
            <w:webHidden/>
          </w:rPr>
        </w:r>
        <w:r w:rsidR="004B4EB8">
          <w:rPr>
            <w:noProof/>
            <w:webHidden/>
          </w:rPr>
          <w:fldChar w:fldCharType="separate"/>
        </w:r>
        <w:r w:rsidR="00916AB5">
          <w:rPr>
            <w:noProof/>
            <w:webHidden/>
          </w:rPr>
          <w:t>68</w:t>
        </w:r>
        <w:r w:rsidR="004B4EB8">
          <w:rPr>
            <w:noProof/>
            <w:webHidden/>
          </w:rPr>
          <w:fldChar w:fldCharType="end"/>
        </w:r>
      </w:hyperlink>
    </w:p>
    <w:p w14:paraId="654BF748" w14:textId="751115CC" w:rsidR="004B4EB8" w:rsidRDefault="00BD37F2">
      <w:pPr>
        <w:pStyle w:val="TOC3"/>
        <w:rPr>
          <w:rFonts w:asciiTheme="minorHAnsi" w:eastAsiaTheme="minorEastAsia" w:hAnsiTheme="minorHAnsi" w:cstheme="minorBidi"/>
          <w:noProof/>
          <w:sz w:val="22"/>
          <w:szCs w:val="22"/>
        </w:rPr>
      </w:pPr>
      <w:hyperlink w:anchor="_Toc117260635" w:history="1">
        <w:r w:rsidR="004B4EB8" w:rsidRPr="00ED0FAD">
          <w:rPr>
            <w:rStyle w:val="Hyperlink"/>
            <w:noProof/>
          </w:rPr>
          <w:t>3.3.2   Standards and other technical requirements</w:t>
        </w:r>
        <w:r w:rsidR="004B4EB8">
          <w:rPr>
            <w:noProof/>
            <w:webHidden/>
          </w:rPr>
          <w:tab/>
        </w:r>
        <w:r w:rsidR="004B4EB8">
          <w:rPr>
            <w:noProof/>
            <w:webHidden/>
          </w:rPr>
          <w:fldChar w:fldCharType="begin"/>
        </w:r>
        <w:r w:rsidR="004B4EB8">
          <w:rPr>
            <w:noProof/>
            <w:webHidden/>
          </w:rPr>
          <w:instrText xml:space="preserve"> PAGEREF _Toc117260635 \h </w:instrText>
        </w:r>
        <w:r w:rsidR="004B4EB8">
          <w:rPr>
            <w:noProof/>
            <w:webHidden/>
          </w:rPr>
        </w:r>
        <w:r w:rsidR="004B4EB8">
          <w:rPr>
            <w:noProof/>
            <w:webHidden/>
          </w:rPr>
          <w:fldChar w:fldCharType="separate"/>
        </w:r>
        <w:r w:rsidR="00916AB5">
          <w:rPr>
            <w:noProof/>
            <w:webHidden/>
          </w:rPr>
          <w:t>70</w:t>
        </w:r>
        <w:r w:rsidR="004B4EB8">
          <w:rPr>
            <w:noProof/>
            <w:webHidden/>
          </w:rPr>
          <w:fldChar w:fldCharType="end"/>
        </w:r>
      </w:hyperlink>
    </w:p>
    <w:p w14:paraId="2E5A6DD5" w14:textId="1C576286" w:rsidR="004B4EB8" w:rsidRDefault="00BD37F2">
      <w:pPr>
        <w:pStyle w:val="TOC3"/>
        <w:rPr>
          <w:rFonts w:asciiTheme="minorHAnsi" w:eastAsiaTheme="minorEastAsia" w:hAnsiTheme="minorHAnsi" w:cstheme="minorBidi"/>
          <w:noProof/>
          <w:sz w:val="22"/>
          <w:szCs w:val="22"/>
        </w:rPr>
      </w:pPr>
      <w:hyperlink w:anchor="_Toc117260636" w:history="1">
        <w:r w:rsidR="004B4EB8" w:rsidRPr="00ED0FAD">
          <w:rPr>
            <w:rStyle w:val="Hyperlink"/>
            <w:noProof/>
          </w:rPr>
          <w:t>3.3.3   Sanitary and phytosanitary measures</w:t>
        </w:r>
        <w:r w:rsidR="004B4EB8">
          <w:rPr>
            <w:noProof/>
            <w:webHidden/>
          </w:rPr>
          <w:tab/>
        </w:r>
        <w:r w:rsidR="004B4EB8">
          <w:rPr>
            <w:noProof/>
            <w:webHidden/>
          </w:rPr>
          <w:fldChar w:fldCharType="begin"/>
        </w:r>
        <w:r w:rsidR="004B4EB8">
          <w:rPr>
            <w:noProof/>
            <w:webHidden/>
          </w:rPr>
          <w:instrText xml:space="preserve"> PAGEREF _Toc117260636 \h </w:instrText>
        </w:r>
        <w:r w:rsidR="004B4EB8">
          <w:rPr>
            <w:noProof/>
            <w:webHidden/>
          </w:rPr>
        </w:r>
        <w:r w:rsidR="004B4EB8">
          <w:rPr>
            <w:noProof/>
            <w:webHidden/>
          </w:rPr>
          <w:fldChar w:fldCharType="separate"/>
        </w:r>
        <w:r w:rsidR="00916AB5">
          <w:rPr>
            <w:noProof/>
            <w:webHidden/>
          </w:rPr>
          <w:t>74</w:t>
        </w:r>
        <w:r w:rsidR="004B4EB8">
          <w:rPr>
            <w:noProof/>
            <w:webHidden/>
          </w:rPr>
          <w:fldChar w:fldCharType="end"/>
        </w:r>
      </w:hyperlink>
    </w:p>
    <w:p w14:paraId="5E3454B3" w14:textId="3B8EE519" w:rsidR="004B4EB8" w:rsidRDefault="00BD37F2">
      <w:pPr>
        <w:pStyle w:val="TOC3"/>
        <w:rPr>
          <w:rFonts w:asciiTheme="minorHAnsi" w:eastAsiaTheme="minorEastAsia" w:hAnsiTheme="minorHAnsi" w:cstheme="minorBidi"/>
          <w:noProof/>
          <w:sz w:val="22"/>
          <w:szCs w:val="22"/>
        </w:rPr>
      </w:pPr>
      <w:hyperlink w:anchor="_Toc117260637" w:history="1">
        <w:r w:rsidR="004B4EB8" w:rsidRPr="00ED0FAD">
          <w:rPr>
            <w:rStyle w:val="Hyperlink"/>
            <w:noProof/>
          </w:rPr>
          <w:t>3.3.4   Competition policy and price controls</w:t>
        </w:r>
        <w:r w:rsidR="004B4EB8">
          <w:rPr>
            <w:noProof/>
            <w:webHidden/>
          </w:rPr>
          <w:tab/>
        </w:r>
        <w:r w:rsidR="004B4EB8">
          <w:rPr>
            <w:noProof/>
            <w:webHidden/>
          </w:rPr>
          <w:fldChar w:fldCharType="begin"/>
        </w:r>
        <w:r w:rsidR="004B4EB8">
          <w:rPr>
            <w:noProof/>
            <w:webHidden/>
          </w:rPr>
          <w:instrText xml:space="preserve"> PAGEREF _Toc117260637 \h </w:instrText>
        </w:r>
        <w:r w:rsidR="004B4EB8">
          <w:rPr>
            <w:noProof/>
            <w:webHidden/>
          </w:rPr>
        </w:r>
        <w:r w:rsidR="004B4EB8">
          <w:rPr>
            <w:noProof/>
            <w:webHidden/>
          </w:rPr>
          <w:fldChar w:fldCharType="separate"/>
        </w:r>
        <w:r w:rsidR="00916AB5">
          <w:rPr>
            <w:noProof/>
            <w:webHidden/>
          </w:rPr>
          <w:t>76</w:t>
        </w:r>
        <w:r w:rsidR="004B4EB8">
          <w:rPr>
            <w:noProof/>
            <w:webHidden/>
          </w:rPr>
          <w:fldChar w:fldCharType="end"/>
        </w:r>
      </w:hyperlink>
    </w:p>
    <w:p w14:paraId="18A24C71" w14:textId="30992841" w:rsidR="004B4EB8" w:rsidRDefault="00BD37F2">
      <w:pPr>
        <w:pStyle w:val="TOC4"/>
        <w:rPr>
          <w:rFonts w:asciiTheme="minorHAnsi" w:eastAsiaTheme="minorEastAsia" w:hAnsiTheme="minorHAnsi" w:cstheme="minorBidi"/>
          <w:noProof/>
          <w:sz w:val="22"/>
          <w:szCs w:val="22"/>
        </w:rPr>
      </w:pPr>
      <w:hyperlink w:anchor="_Toc117260638" w:history="1">
        <w:r w:rsidR="004B4EB8" w:rsidRPr="00ED0FAD">
          <w:rPr>
            <w:rStyle w:val="Hyperlink"/>
            <w:noProof/>
          </w:rPr>
          <w:t>3.3.4.1   Competition policy</w:t>
        </w:r>
        <w:r w:rsidR="004B4EB8">
          <w:rPr>
            <w:noProof/>
            <w:webHidden/>
          </w:rPr>
          <w:tab/>
        </w:r>
        <w:r w:rsidR="004B4EB8">
          <w:rPr>
            <w:noProof/>
            <w:webHidden/>
          </w:rPr>
          <w:fldChar w:fldCharType="begin"/>
        </w:r>
        <w:r w:rsidR="004B4EB8">
          <w:rPr>
            <w:noProof/>
            <w:webHidden/>
          </w:rPr>
          <w:instrText xml:space="preserve"> PAGEREF _Toc117260638 \h </w:instrText>
        </w:r>
        <w:r w:rsidR="004B4EB8">
          <w:rPr>
            <w:noProof/>
            <w:webHidden/>
          </w:rPr>
        </w:r>
        <w:r w:rsidR="004B4EB8">
          <w:rPr>
            <w:noProof/>
            <w:webHidden/>
          </w:rPr>
          <w:fldChar w:fldCharType="separate"/>
        </w:r>
        <w:r w:rsidR="00916AB5">
          <w:rPr>
            <w:noProof/>
            <w:webHidden/>
          </w:rPr>
          <w:t>76</w:t>
        </w:r>
        <w:r w:rsidR="004B4EB8">
          <w:rPr>
            <w:noProof/>
            <w:webHidden/>
          </w:rPr>
          <w:fldChar w:fldCharType="end"/>
        </w:r>
      </w:hyperlink>
    </w:p>
    <w:p w14:paraId="255B56BB" w14:textId="06CE3311" w:rsidR="004B4EB8" w:rsidRDefault="00BD37F2">
      <w:pPr>
        <w:pStyle w:val="TOC4"/>
        <w:rPr>
          <w:rFonts w:asciiTheme="minorHAnsi" w:eastAsiaTheme="minorEastAsia" w:hAnsiTheme="minorHAnsi" w:cstheme="minorBidi"/>
          <w:noProof/>
          <w:sz w:val="22"/>
          <w:szCs w:val="22"/>
        </w:rPr>
      </w:pPr>
      <w:hyperlink w:anchor="_Toc117260639" w:history="1">
        <w:r w:rsidR="004B4EB8" w:rsidRPr="00ED0FAD">
          <w:rPr>
            <w:rStyle w:val="Hyperlink"/>
            <w:noProof/>
          </w:rPr>
          <w:t>3.3.4.2   Price controls</w:t>
        </w:r>
        <w:r w:rsidR="004B4EB8">
          <w:rPr>
            <w:noProof/>
            <w:webHidden/>
          </w:rPr>
          <w:tab/>
        </w:r>
        <w:r w:rsidR="004B4EB8">
          <w:rPr>
            <w:noProof/>
            <w:webHidden/>
          </w:rPr>
          <w:fldChar w:fldCharType="begin"/>
        </w:r>
        <w:r w:rsidR="004B4EB8">
          <w:rPr>
            <w:noProof/>
            <w:webHidden/>
          </w:rPr>
          <w:instrText xml:space="preserve"> PAGEREF _Toc117260639 \h </w:instrText>
        </w:r>
        <w:r w:rsidR="004B4EB8">
          <w:rPr>
            <w:noProof/>
            <w:webHidden/>
          </w:rPr>
        </w:r>
        <w:r w:rsidR="004B4EB8">
          <w:rPr>
            <w:noProof/>
            <w:webHidden/>
          </w:rPr>
          <w:fldChar w:fldCharType="separate"/>
        </w:r>
        <w:r w:rsidR="00916AB5">
          <w:rPr>
            <w:noProof/>
            <w:webHidden/>
          </w:rPr>
          <w:t>79</w:t>
        </w:r>
        <w:r w:rsidR="004B4EB8">
          <w:rPr>
            <w:noProof/>
            <w:webHidden/>
          </w:rPr>
          <w:fldChar w:fldCharType="end"/>
        </w:r>
      </w:hyperlink>
    </w:p>
    <w:p w14:paraId="3C1B08F1" w14:textId="6E228561" w:rsidR="004B4EB8" w:rsidRDefault="00BD37F2">
      <w:pPr>
        <w:pStyle w:val="TOC3"/>
        <w:rPr>
          <w:rFonts w:asciiTheme="minorHAnsi" w:eastAsiaTheme="minorEastAsia" w:hAnsiTheme="minorHAnsi" w:cstheme="minorBidi"/>
          <w:noProof/>
          <w:sz w:val="22"/>
          <w:szCs w:val="22"/>
        </w:rPr>
      </w:pPr>
      <w:hyperlink w:anchor="_Toc117260640" w:history="1">
        <w:r w:rsidR="004B4EB8" w:rsidRPr="00ED0FAD">
          <w:rPr>
            <w:rStyle w:val="Hyperlink"/>
            <w:noProof/>
          </w:rPr>
          <w:t>3.3.5   State trading, state</w:t>
        </w:r>
        <w:r w:rsidR="004B4EB8" w:rsidRPr="00ED0FAD">
          <w:rPr>
            <w:rStyle w:val="Hyperlink"/>
            <w:noProof/>
          </w:rPr>
          <w:noBreakHyphen/>
          <w:t>owned enterprises, and privatization</w:t>
        </w:r>
        <w:r w:rsidR="004B4EB8">
          <w:rPr>
            <w:noProof/>
            <w:webHidden/>
          </w:rPr>
          <w:tab/>
        </w:r>
        <w:r w:rsidR="004B4EB8">
          <w:rPr>
            <w:noProof/>
            <w:webHidden/>
          </w:rPr>
          <w:fldChar w:fldCharType="begin"/>
        </w:r>
        <w:r w:rsidR="004B4EB8">
          <w:rPr>
            <w:noProof/>
            <w:webHidden/>
          </w:rPr>
          <w:instrText xml:space="preserve"> PAGEREF _Toc117260640 \h </w:instrText>
        </w:r>
        <w:r w:rsidR="004B4EB8">
          <w:rPr>
            <w:noProof/>
            <w:webHidden/>
          </w:rPr>
        </w:r>
        <w:r w:rsidR="004B4EB8">
          <w:rPr>
            <w:noProof/>
            <w:webHidden/>
          </w:rPr>
          <w:fldChar w:fldCharType="separate"/>
        </w:r>
        <w:r w:rsidR="00916AB5">
          <w:rPr>
            <w:noProof/>
            <w:webHidden/>
          </w:rPr>
          <w:t>79</w:t>
        </w:r>
        <w:r w:rsidR="004B4EB8">
          <w:rPr>
            <w:noProof/>
            <w:webHidden/>
          </w:rPr>
          <w:fldChar w:fldCharType="end"/>
        </w:r>
      </w:hyperlink>
    </w:p>
    <w:p w14:paraId="7432EA8D" w14:textId="1C5D8D5F" w:rsidR="004B4EB8" w:rsidRDefault="00BD37F2">
      <w:pPr>
        <w:pStyle w:val="TOC3"/>
        <w:rPr>
          <w:rFonts w:asciiTheme="minorHAnsi" w:eastAsiaTheme="minorEastAsia" w:hAnsiTheme="minorHAnsi" w:cstheme="minorBidi"/>
          <w:noProof/>
          <w:sz w:val="22"/>
          <w:szCs w:val="22"/>
        </w:rPr>
      </w:pPr>
      <w:hyperlink w:anchor="_Toc117260641" w:history="1">
        <w:r w:rsidR="004B4EB8" w:rsidRPr="00ED0FAD">
          <w:rPr>
            <w:rStyle w:val="Hyperlink"/>
            <w:noProof/>
          </w:rPr>
          <w:t>3.3.6   Government procurement</w:t>
        </w:r>
        <w:r w:rsidR="004B4EB8">
          <w:rPr>
            <w:noProof/>
            <w:webHidden/>
          </w:rPr>
          <w:tab/>
        </w:r>
        <w:r w:rsidR="004B4EB8">
          <w:rPr>
            <w:noProof/>
            <w:webHidden/>
          </w:rPr>
          <w:fldChar w:fldCharType="begin"/>
        </w:r>
        <w:r w:rsidR="004B4EB8">
          <w:rPr>
            <w:noProof/>
            <w:webHidden/>
          </w:rPr>
          <w:instrText xml:space="preserve"> PAGEREF _Toc117260641 \h </w:instrText>
        </w:r>
        <w:r w:rsidR="004B4EB8">
          <w:rPr>
            <w:noProof/>
            <w:webHidden/>
          </w:rPr>
        </w:r>
        <w:r w:rsidR="004B4EB8">
          <w:rPr>
            <w:noProof/>
            <w:webHidden/>
          </w:rPr>
          <w:fldChar w:fldCharType="separate"/>
        </w:r>
        <w:r w:rsidR="00916AB5">
          <w:rPr>
            <w:noProof/>
            <w:webHidden/>
          </w:rPr>
          <w:t>80</w:t>
        </w:r>
        <w:r w:rsidR="004B4EB8">
          <w:rPr>
            <w:noProof/>
            <w:webHidden/>
          </w:rPr>
          <w:fldChar w:fldCharType="end"/>
        </w:r>
      </w:hyperlink>
    </w:p>
    <w:p w14:paraId="605D1DBB" w14:textId="58842C07" w:rsidR="004B4EB8" w:rsidRDefault="00BD37F2">
      <w:pPr>
        <w:pStyle w:val="TOC4"/>
        <w:rPr>
          <w:rFonts w:asciiTheme="minorHAnsi" w:eastAsiaTheme="minorEastAsia" w:hAnsiTheme="minorHAnsi" w:cstheme="minorBidi"/>
          <w:noProof/>
          <w:sz w:val="22"/>
          <w:szCs w:val="22"/>
        </w:rPr>
      </w:pPr>
      <w:hyperlink w:anchor="_Toc117260642" w:history="1">
        <w:r w:rsidR="004B4EB8" w:rsidRPr="00ED0FAD">
          <w:rPr>
            <w:rStyle w:val="Hyperlink"/>
            <w:noProof/>
          </w:rPr>
          <w:t>3.3.6.1   Legal framework</w:t>
        </w:r>
        <w:r w:rsidR="004B4EB8">
          <w:rPr>
            <w:noProof/>
            <w:webHidden/>
          </w:rPr>
          <w:tab/>
        </w:r>
        <w:r w:rsidR="004B4EB8">
          <w:rPr>
            <w:noProof/>
            <w:webHidden/>
          </w:rPr>
          <w:fldChar w:fldCharType="begin"/>
        </w:r>
        <w:r w:rsidR="004B4EB8">
          <w:rPr>
            <w:noProof/>
            <w:webHidden/>
          </w:rPr>
          <w:instrText xml:space="preserve"> PAGEREF _Toc117260642 \h </w:instrText>
        </w:r>
        <w:r w:rsidR="004B4EB8">
          <w:rPr>
            <w:noProof/>
            <w:webHidden/>
          </w:rPr>
        </w:r>
        <w:r w:rsidR="004B4EB8">
          <w:rPr>
            <w:noProof/>
            <w:webHidden/>
          </w:rPr>
          <w:fldChar w:fldCharType="separate"/>
        </w:r>
        <w:r w:rsidR="00916AB5">
          <w:rPr>
            <w:noProof/>
            <w:webHidden/>
          </w:rPr>
          <w:t>80</w:t>
        </w:r>
        <w:r w:rsidR="004B4EB8">
          <w:rPr>
            <w:noProof/>
            <w:webHidden/>
          </w:rPr>
          <w:fldChar w:fldCharType="end"/>
        </w:r>
      </w:hyperlink>
    </w:p>
    <w:p w14:paraId="6F4A682C" w14:textId="68F3A829" w:rsidR="004B4EB8" w:rsidRDefault="00BD37F2">
      <w:pPr>
        <w:pStyle w:val="TOC4"/>
        <w:rPr>
          <w:rFonts w:asciiTheme="minorHAnsi" w:eastAsiaTheme="minorEastAsia" w:hAnsiTheme="minorHAnsi" w:cstheme="minorBidi"/>
          <w:noProof/>
          <w:sz w:val="22"/>
          <w:szCs w:val="22"/>
        </w:rPr>
      </w:pPr>
      <w:hyperlink w:anchor="_Toc117260643" w:history="1">
        <w:r w:rsidR="004B4EB8" w:rsidRPr="00ED0FAD">
          <w:rPr>
            <w:rStyle w:val="Hyperlink"/>
            <w:noProof/>
          </w:rPr>
          <w:t>3.3.6.2   Institutional framework</w:t>
        </w:r>
        <w:r w:rsidR="004B4EB8">
          <w:rPr>
            <w:noProof/>
            <w:webHidden/>
          </w:rPr>
          <w:tab/>
        </w:r>
        <w:r w:rsidR="004B4EB8">
          <w:rPr>
            <w:noProof/>
            <w:webHidden/>
          </w:rPr>
          <w:fldChar w:fldCharType="begin"/>
        </w:r>
        <w:r w:rsidR="004B4EB8">
          <w:rPr>
            <w:noProof/>
            <w:webHidden/>
          </w:rPr>
          <w:instrText xml:space="preserve"> PAGEREF _Toc117260643 \h </w:instrText>
        </w:r>
        <w:r w:rsidR="004B4EB8">
          <w:rPr>
            <w:noProof/>
            <w:webHidden/>
          </w:rPr>
        </w:r>
        <w:r w:rsidR="004B4EB8">
          <w:rPr>
            <w:noProof/>
            <w:webHidden/>
          </w:rPr>
          <w:fldChar w:fldCharType="separate"/>
        </w:r>
        <w:r w:rsidR="00916AB5">
          <w:rPr>
            <w:noProof/>
            <w:webHidden/>
          </w:rPr>
          <w:t>82</w:t>
        </w:r>
        <w:r w:rsidR="004B4EB8">
          <w:rPr>
            <w:noProof/>
            <w:webHidden/>
          </w:rPr>
          <w:fldChar w:fldCharType="end"/>
        </w:r>
      </w:hyperlink>
    </w:p>
    <w:p w14:paraId="148B46A4" w14:textId="14835929" w:rsidR="004B4EB8" w:rsidRDefault="00BD37F2">
      <w:pPr>
        <w:pStyle w:val="TOC4"/>
        <w:rPr>
          <w:rFonts w:asciiTheme="minorHAnsi" w:eastAsiaTheme="minorEastAsia" w:hAnsiTheme="minorHAnsi" w:cstheme="minorBidi"/>
          <w:noProof/>
          <w:sz w:val="22"/>
          <w:szCs w:val="22"/>
        </w:rPr>
      </w:pPr>
      <w:hyperlink w:anchor="_Toc117260644" w:history="1">
        <w:r w:rsidR="004B4EB8" w:rsidRPr="00ED0FAD">
          <w:rPr>
            <w:rStyle w:val="Hyperlink"/>
            <w:noProof/>
          </w:rPr>
          <w:t>3.3.6.3   Procurement procedure</w:t>
        </w:r>
        <w:r w:rsidR="004B4EB8">
          <w:rPr>
            <w:noProof/>
            <w:webHidden/>
          </w:rPr>
          <w:tab/>
        </w:r>
        <w:r w:rsidR="004B4EB8">
          <w:rPr>
            <w:noProof/>
            <w:webHidden/>
          </w:rPr>
          <w:fldChar w:fldCharType="begin"/>
        </w:r>
        <w:r w:rsidR="004B4EB8">
          <w:rPr>
            <w:noProof/>
            <w:webHidden/>
          </w:rPr>
          <w:instrText xml:space="preserve"> PAGEREF _Toc117260644 \h </w:instrText>
        </w:r>
        <w:r w:rsidR="004B4EB8">
          <w:rPr>
            <w:noProof/>
            <w:webHidden/>
          </w:rPr>
        </w:r>
        <w:r w:rsidR="004B4EB8">
          <w:rPr>
            <w:noProof/>
            <w:webHidden/>
          </w:rPr>
          <w:fldChar w:fldCharType="separate"/>
        </w:r>
        <w:r w:rsidR="00916AB5">
          <w:rPr>
            <w:noProof/>
            <w:webHidden/>
          </w:rPr>
          <w:t>83</w:t>
        </w:r>
        <w:r w:rsidR="004B4EB8">
          <w:rPr>
            <w:noProof/>
            <w:webHidden/>
          </w:rPr>
          <w:fldChar w:fldCharType="end"/>
        </w:r>
      </w:hyperlink>
    </w:p>
    <w:p w14:paraId="3E21AF5C" w14:textId="33DAC3C9" w:rsidR="004B4EB8" w:rsidRDefault="00BD37F2">
      <w:pPr>
        <w:pStyle w:val="TOC3"/>
        <w:rPr>
          <w:rFonts w:asciiTheme="minorHAnsi" w:eastAsiaTheme="minorEastAsia" w:hAnsiTheme="minorHAnsi" w:cstheme="minorBidi"/>
          <w:noProof/>
          <w:sz w:val="22"/>
          <w:szCs w:val="22"/>
        </w:rPr>
      </w:pPr>
      <w:hyperlink w:anchor="_Toc117260645" w:history="1">
        <w:r w:rsidR="004B4EB8" w:rsidRPr="00ED0FAD">
          <w:rPr>
            <w:rStyle w:val="Hyperlink"/>
            <w:noProof/>
          </w:rPr>
          <w:t>3.3.7   Intellectual property rights</w:t>
        </w:r>
        <w:r w:rsidR="004B4EB8">
          <w:rPr>
            <w:noProof/>
            <w:webHidden/>
          </w:rPr>
          <w:tab/>
        </w:r>
        <w:r w:rsidR="004B4EB8">
          <w:rPr>
            <w:noProof/>
            <w:webHidden/>
          </w:rPr>
          <w:fldChar w:fldCharType="begin"/>
        </w:r>
        <w:r w:rsidR="004B4EB8">
          <w:rPr>
            <w:noProof/>
            <w:webHidden/>
          </w:rPr>
          <w:instrText xml:space="preserve"> PAGEREF _Toc117260645 \h </w:instrText>
        </w:r>
        <w:r w:rsidR="004B4EB8">
          <w:rPr>
            <w:noProof/>
            <w:webHidden/>
          </w:rPr>
        </w:r>
        <w:r w:rsidR="004B4EB8">
          <w:rPr>
            <w:noProof/>
            <w:webHidden/>
          </w:rPr>
          <w:fldChar w:fldCharType="separate"/>
        </w:r>
        <w:r w:rsidR="00916AB5">
          <w:rPr>
            <w:noProof/>
            <w:webHidden/>
          </w:rPr>
          <w:t>87</w:t>
        </w:r>
        <w:r w:rsidR="004B4EB8">
          <w:rPr>
            <w:noProof/>
            <w:webHidden/>
          </w:rPr>
          <w:fldChar w:fldCharType="end"/>
        </w:r>
      </w:hyperlink>
    </w:p>
    <w:p w14:paraId="2D513597" w14:textId="5250C51D" w:rsidR="004B4EB8" w:rsidRDefault="00BD37F2">
      <w:pPr>
        <w:pStyle w:val="TOC1"/>
        <w:rPr>
          <w:rFonts w:asciiTheme="minorHAnsi" w:eastAsiaTheme="minorEastAsia" w:hAnsiTheme="minorHAnsi" w:cstheme="minorBidi"/>
          <w:b w:val="0"/>
          <w:caps w:val="0"/>
          <w:noProof/>
          <w:sz w:val="22"/>
          <w:szCs w:val="22"/>
        </w:rPr>
      </w:pPr>
      <w:hyperlink w:anchor="_Toc117260646" w:history="1">
        <w:r w:rsidR="004B4EB8" w:rsidRPr="00ED0FAD">
          <w:rPr>
            <w:rStyle w:val="Hyperlink"/>
            <w:noProof/>
          </w:rPr>
          <w:t>4   TRADE POLICIES BY SECTOR</w:t>
        </w:r>
        <w:r w:rsidR="004B4EB8">
          <w:rPr>
            <w:noProof/>
            <w:webHidden/>
          </w:rPr>
          <w:tab/>
        </w:r>
        <w:r w:rsidR="004B4EB8">
          <w:rPr>
            <w:noProof/>
            <w:webHidden/>
          </w:rPr>
          <w:fldChar w:fldCharType="begin"/>
        </w:r>
        <w:r w:rsidR="004B4EB8">
          <w:rPr>
            <w:noProof/>
            <w:webHidden/>
          </w:rPr>
          <w:instrText xml:space="preserve"> PAGEREF _Toc117260646 \h </w:instrText>
        </w:r>
        <w:r w:rsidR="004B4EB8">
          <w:rPr>
            <w:noProof/>
            <w:webHidden/>
          </w:rPr>
        </w:r>
        <w:r w:rsidR="004B4EB8">
          <w:rPr>
            <w:noProof/>
            <w:webHidden/>
          </w:rPr>
          <w:fldChar w:fldCharType="separate"/>
        </w:r>
        <w:r w:rsidR="00916AB5">
          <w:rPr>
            <w:noProof/>
            <w:webHidden/>
          </w:rPr>
          <w:t>92</w:t>
        </w:r>
        <w:r w:rsidR="004B4EB8">
          <w:rPr>
            <w:noProof/>
            <w:webHidden/>
          </w:rPr>
          <w:fldChar w:fldCharType="end"/>
        </w:r>
      </w:hyperlink>
    </w:p>
    <w:p w14:paraId="1F819B2E" w14:textId="4AC808C7" w:rsidR="004B4EB8" w:rsidRDefault="00BD37F2">
      <w:pPr>
        <w:pStyle w:val="TOC2"/>
        <w:rPr>
          <w:rFonts w:asciiTheme="minorHAnsi" w:eastAsiaTheme="minorEastAsia" w:hAnsiTheme="minorHAnsi" w:cstheme="minorBidi"/>
          <w:noProof/>
          <w:sz w:val="22"/>
          <w:szCs w:val="22"/>
        </w:rPr>
      </w:pPr>
      <w:hyperlink w:anchor="_Toc117260647" w:history="1">
        <w:r w:rsidR="004B4EB8" w:rsidRPr="00ED0FAD">
          <w:rPr>
            <w:rStyle w:val="Hyperlink"/>
            <w:noProof/>
          </w:rPr>
          <w:t>4.1   Agriculture, Forestry and Fisheries</w:t>
        </w:r>
        <w:r w:rsidR="004B4EB8">
          <w:rPr>
            <w:noProof/>
            <w:webHidden/>
          </w:rPr>
          <w:tab/>
        </w:r>
        <w:r w:rsidR="004B4EB8">
          <w:rPr>
            <w:noProof/>
            <w:webHidden/>
          </w:rPr>
          <w:fldChar w:fldCharType="begin"/>
        </w:r>
        <w:r w:rsidR="004B4EB8">
          <w:rPr>
            <w:noProof/>
            <w:webHidden/>
          </w:rPr>
          <w:instrText xml:space="preserve"> PAGEREF _Toc117260647 \h </w:instrText>
        </w:r>
        <w:r w:rsidR="004B4EB8">
          <w:rPr>
            <w:noProof/>
            <w:webHidden/>
          </w:rPr>
        </w:r>
        <w:r w:rsidR="004B4EB8">
          <w:rPr>
            <w:noProof/>
            <w:webHidden/>
          </w:rPr>
          <w:fldChar w:fldCharType="separate"/>
        </w:r>
        <w:r w:rsidR="00916AB5">
          <w:rPr>
            <w:noProof/>
            <w:webHidden/>
          </w:rPr>
          <w:t>92</w:t>
        </w:r>
        <w:r w:rsidR="004B4EB8">
          <w:rPr>
            <w:noProof/>
            <w:webHidden/>
          </w:rPr>
          <w:fldChar w:fldCharType="end"/>
        </w:r>
      </w:hyperlink>
    </w:p>
    <w:p w14:paraId="4A2AE577" w14:textId="37E1AC44" w:rsidR="004B4EB8" w:rsidRDefault="00BD37F2">
      <w:pPr>
        <w:pStyle w:val="TOC3"/>
        <w:rPr>
          <w:rFonts w:asciiTheme="minorHAnsi" w:eastAsiaTheme="minorEastAsia" w:hAnsiTheme="minorHAnsi" w:cstheme="minorBidi"/>
          <w:noProof/>
          <w:sz w:val="22"/>
          <w:szCs w:val="22"/>
        </w:rPr>
      </w:pPr>
      <w:hyperlink w:anchor="_Toc117260648" w:history="1">
        <w:r w:rsidR="004B4EB8" w:rsidRPr="00ED0FAD">
          <w:rPr>
            <w:rStyle w:val="Hyperlink"/>
            <w:noProof/>
          </w:rPr>
          <w:t>4.1.2   Measures affecting imports and exports</w:t>
        </w:r>
        <w:r w:rsidR="004B4EB8">
          <w:rPr>
            <w:noProof/>
            <w:webHidden/>
          </w:rPr>
          <w:tab/>
        </w:r>
        <w:r w:rsidR="004B4EB8">
          <w:rPr>
            <w:noProof/>
            <w:webHidden/>
          </w:rPr>
          <w:fldChar w:fldCharType="begin"/>
        </w:r>
        <w:r w:rsidR="004B4EB8">
          <w:rPr>
            <w:noProof/>
            <w:webHidden/>
          </w:rPr>
          <w:instrText xml:space="preserve"> PAGEREF _Toc117260648 \h </w:instrText>
        </w:r>
        <w:r w:rsidR="004B4EB8">
          <w:rPr>
            <w:noProof/>
            <w:webHidden/>
          </w:rPr>
        </w:r>
        <w:r w:rsidR="004B4EB8">
          <w:rPr>
            <w:noProof/>
            <w:webHidden/>
          </w:rPr>
          <w:fldChar w:fldCharType="separate"/>
        </w:r>
        <w:r w:rsidR="00916AB5">
          <w:rPr>
            <w:noProof/>
            <w:webHidden/>
          </w:rPr>
          <w:t>96</w:t>
        </w:r>
        <w:r w:rsidR="004B4EB8">
          <w:rPr>
            <w:noProof/>
            <w:webHidden/>
          </w:rPr>
          <w:fldChar w:fldCharType="end"/>
        </w:r>
      </w:hyperlink>
    </w:p>
    <w:p w14:paraId="6AB1D115" w14:textId="255C62D6" w:rsidR="004B4EB8" w:rsidRDefault="00BD37F2">
      <w:pPr>
        <w:pStyle w:val="TOC3"/>
        <w:rPr>
          <w:rFonts w:asciiTheme="minorHAnsi" w:eastAsiaTheme="minorEastAsia" w:hAnsiTheme="minorHAnsi" w:cstheme="minorBidi"/>
          <w:noProof/>
          <w:sz w:val="22"/>
          <w:szCs w:val="22"/>
        </w:rPr>
      </w:pPr>
      <w:hyperlink w:anchor="_Toc117260649" w:history="1">
        <w:r w:rsidR="004B4EB8" w:rsidRPr="00ED0FAD">
          <w:rPr>
            <w:rStyle w:val="Hyperlink"/>
            <w:noProof/>
          </w:rPr>
          <w:t>4.1.3   Domestic support</w:t>
        </w:r>
        <w:r w:rsidR="004B4EB8">
          <w:rPr>
            <w:noProof/>
            <w:webHidden/>
          </w:rPr>
          <w:tab/>
        </w:r>
        <w:r w:rsidR="004B4EB8">
          <w:rPr>
            <w:noProof/>
            <w:webHidden/>
          </w:rPr>
          <w:fldChar w:fldCharType="begin"/>
        </w:r>
        <w:r w:rsidR="004B4EB8">
          <w:rPr>
            <w:noProof/>
            <w:webHidden/>
          </w:rPr>
          <w:instrText xml:space="preserve"> PAGEREF _Toc117260649 \h </w:instrText>
        </w:r>
        <w:r w:rsidR="004B4EB8">
          <w:rPr>
            <w:noProof/>
            <w:webHidden/>
          </w:rPr>
        </w:r>
        <w:r w:rsidR="004B4EB8">
          <w:rPr>
            <w:noProof/>
            <w:webHidden/>
          </w:rPr>
          <w:fldChar w:fldCharType="separate"/>
        </w:r>
        <w:r w:rsidR="00916AB5">
          <w:rPr>
            <w:noProof/>
            <w:webHidden/>
          </w:rPr>
          <w:t>97</w:t>
        </w:r>
        <w:r w:rsidR="004B4EB8">
          <w:rPr>
            <w:noProof/>
            <w:webHidden/>
          </w:rPr>
          <w:fldChar w:fldCharType="end"/>
        </w:r>
      </w:hyperlink>
    </w:p>
    <w:p w14:paraId="42AEFE14" w14:textId="6695FDF0" w:rsidR="004B4EB8" w:rsidRDefault="00BD37F2">
      <w:pPr>
        <w:pStyle w:val="TOC3"/>
        <w:rPr>
          <w:rFonts w:asciiTheme="minorHAnsi" w:eastAsiaTheme="minorEastAsia" w:hAnsiTheme="minorHAnsi" w:cstheme="minorBidi"/>
          <w:noProof/>
          <w:sz w:val="22"/>
          <w:szCs w:val="22"/>
        </w:rPr>
      </w:pPr>
      <w:hyperlink w:anchor="_Toc117260650" w:history="1">
        <w:r w:rsidR="004B4EB8" w:rsidRPr="00ED0FAD">
          <w:rPr>
            <w:rStyle w:val="Hyperlink"/>
            <w:noProof/>
          </w:rPr>
          <w:t>4.1.4   Fisheries</w:t>
        </w:r>
        <w:r w:rsidR="004B4EB8">
          <w:rPr>
            <w:noProof/>
            <w:webHidden/>
          </w:rPr>
          <w:tab/>
        </w:r>
        <w:r w:rsidR="004B4EB8">
          <w:rPr>
            <w:noProof/>
            <w:webHidden/>
          </w:rPr>
          <w:fldChar w:fldCharType="begin"/>
        </w:r>
        <w:r w:rsidR="004B4EB8">
          <w:rPr>
            <w:noProof/>
            <w:webHidden/>
          </w:rPr>
          <w:instrText xml:space="preserve"> PAGEREF _Toc117260650 \h </w:instrText>
        </w:r>
        <w:r w:rsidR="004B4EB8">
          <w:rPr>
            <w:noProof/>
            <w:webHidden/>
          </w:rPr>
        </w:r>
        <w:r w:rsidR="004B4EB8">
          <w:rPr>
            <w:noProof/>
            <w:webHidden/>
          </w:rPr>
          <w:fldChar w:fldCharType="separate"/>
        </w:r>
        <w:r w:rsidR="00916AB5">
          <w:rPr>
            <w:noProof/>
            <w:webHidden/>
          </w:rPr>
          <w:t>100</w:t>
        </w:r>
        <w:r w:rsidR="004B4EB8">
          <w:rPr>
            <w:noProof/>
            <w:webHidden/>
          </w:rPr>
          <w:fldChar w:fldCharType="end"/>
        </w:r>
      </w:hyperlink>
    </w:p>
    <w:p w14:paraId="4E560AE0" w14:textId="0FEB58CD" w:rsidR="004B4EB8" w:rsidRDefault="00BD37F2">
      <w:pPr>
        <w:pStyle w:val="TOC2"/>
        <w:rPr>
          <w:rFonts w:asciiTheme="minorHAnsi" w:eastAsiaTheme="minorEastAsia" w:hAnsiTheme="minorHAnsi" w:cstheme="minorBidi"/>
          <w:noProof/>
          <w:sz w:val="22"/>
          <w:szCs w:val="22"/>
        </w:rPr>
      </w:pPr>
      <w:hyperlink w:anchor="_Toc117260651" w:history="1">
        <w:r w:rsidR="004B4EB8" w:rsidRPr="00ED0FAD">
          <w:rPr>
            <w:rStyle w:val="Hyperlink"/>
            <w:noProof/>
          </w:rPr>
          <w:t>4.2   Mining and Energy</w:t>
        </w:r>
        <w:r w:rsidR="004B4EB8">
          <w:rPr>
            <w:noProof/>
            <w:webHidden/>
          </w:rPr>
          <w:tab/>
        </w:r>
        <w:r w:rsidR="004B4EB8">
          <w:rPr>
            <w:noProof/>
            <w:webHidden/>
          </w:rPr>
          <w:fldChar w:fldCharType="begin"/>
        </w:r>
        <w:r w:rsidR="004B4EB8">
          <w:rPr>
            <w:noProof/>
            <w:webHidden/>
          </w:rPr>
          <w:instrText xml:space="preserve"> PAGEREF _Toc117260651 \h </w:instrText>
        </w:r>
        <w:r w:rsidR="004B4EB8">
          <w:rPr>
            <w:noProof/>
            <w:webHidden/>
          </w:rPr>
        </w:r>
        <w:r w:rsidR="004B4EB8">
          <w:rPr>
            <w:noProof/>
            <w:webHidden/>
          </w:rPr>
          <w:fldChar w:fldCharType="separate"/>
        </w:r>
        <w:r w:rsidR="00916AB5">
          <w:rPr>
            <w:noProof/>
            <w:webHidden/>
          </w:rPr>
          <w:t>103</w:t>
        </w:r>
        <w:r w:rsidR="004B4EB8">
          <w:rPr>
            <w:noProof/>
            <w:webHidden/>
          </w:rPr>
          <w:fldChar w:fldCharType="end"/>
        </w:r>
      </w:hyperlink>
    </w:p>
    <w:p w14:paraId="55EC0366" w14:textId="15F65FBB" w:rsidR="004B4EB8" w:rsidRDefault="00BD37F2">
      <w:pPr>
        <w:pStyle w:val="TOC3"/>
        <w:rPr>
          <w:rFonts w:asciiTheme="minorHAnsi" w:eastAsiaTheme="minorEastAsia" w:hAnsiTheme="minorHAnsi" w:cstheme="minorBidi"/>
          <w:noProof/>
          <w:sz w:val="22"/>
          <w:szCs w:val="22"/>
        </w:rPr>
      </w:pPr>
      <w:hyperlink w:anchor="_Toc117260652" w:history="1">
        <w:r w:rsidR="004B4EB8" w:rsidRPr="00ED0FAD">
          <w:rPr>
            <w:rStyle w:val="Hyperlink"/>
            <w:noProof/>
          </w:rPr>
          <w:t>4.2.1   Mining</w:t>
        </w:r>
        <w:r w:rsidR="004B4EB8">
          <w:rPr>
            <w:noProof/>
            <w:webHidden/>
          </w:rPr>
          <w:tab/>
        </w:r>
        <w:r w:rsidR="004B4EB8">
          <w:rPr>
            <w:noProof/>
            <w:webHidden/>
          </w:rPr>
          <w:fldChar w:fldCharType="begin"/>
        </w:r>
        <w:r w:rsidR="004B4EB8">
          <w:rPr>
            <w:noProof/>
            <w:webHidden/>
          </w:rPr>
          <w:instrText xml:space="preserve"> PAGEREF _Toc117260652 \h </w:instrText>
        </w:r>
        <w:r w:rsidR="004B4EB8">
          <w:rPr>
            <w:noProof/>
            <w:webHidden/>
          </w:rPr>
        </w:r>
        <w:r w:rsidR="004B4EB8">
          <w:rPr>
            <w:noProof/>
            <w:webHidden/>
          </w:rPr>
          <w:fldChar w:fldCharType="separate"/>
        </w:r>
        <w:r w:rsidR="00916AB5">
          <w:rPr>
            <w:noProof/>
            <w:webHidden/>
          </w:rPr>
          <w:t>103</w:t>
        </w:r>
        <w:r w:rsidR="004B4EB8">
          <w:rPr>
            <w:noProof/>
            <w:webHidden/>
          </w:rPr>
          <w:fldChar w:fldCharType="end"/>
        </w:r>
      </w:hyperlink>
    </w:p>
    <w:p w14:paraId="5A4B3998" w14:textId="72BAE593" w:rsidR="004B4EB8" w:rsidRDefault="00BD37F2">
      <w:pPr>
        <w:pStyle w:val="TOC3"/>
        <w:rPr>
          <w:rFonts w:asciiTheme="minorHAnsi" w:eastAsiaTheme="minorEastAsia" w:hAnsiTheme="minorHAnsi" w:cstheme="minorBidi"/>
          <w:noProof/>
          <w:sz w:val="22"/>
          <w:szCs w:val="22"/>
        </w:rPr>
      </w:pPr>
      <w:hyperlink w:anchor="_Toc117260653" w:history="1">
        <w:r w:rsidR="004B4EB8" w:rsidRPr="00ED0FAD">
          <w:rPr>
            <w:rStyle w:val="Hyperlink"/>
            <w:noProof/>
          </w:rPr>
          <w:t>4.2.2   Hydrocarbons</w:t>
        </w:r>
        <w:r w:rsidR="004B4EB8">
          <w:rPr>
            <w:noProof/>
            <w:webHidden/>
          </w:rPr>
          <w:tab/>
        </w:r>
        <w:r w:rsidR="004B4EB8">
          <w:rPr>
            <w:noProof/>
            <w:webHidden/>
          </w:rPr>
          <w:fldChar w:fldCharType="begin"/>
        </w:r>
        <w:r w:rsidR="004B4EB8">
          <w:rPr>
            <w:noProof/>
            <w:webHidden/>
          </w:rPr>
          <w:instrText xml:space="preserve"> PAGEREF _Toc117260653 \h </w:instrText>
        </w:r>
        <w:r w:rsidR="004B4EB8">
          <w:rPr>
            <w:noProof/>
            <w:webHidden/>
          </w:rPr>
        </w:r>
        <w:r w:rsidR="004B4EB8">
          <w:rPr>
            <w:noProof/>
            <w:webHidden/>
          </w:rPr>
          <w:fldChar w:fldCharType="separate"/>
        </w:r>
        <w:r w:rsidR="00916AB5">
          <w:rPr>
            <w:noProof/>
            <w:webHidden/>
          </w:rPr>
          <w:t>107</w:t>
        </w:r>
        <w:r w:rsidR="004B4EB8">
          <w:rPr>
            <w:noProof/>
            <w:webHidden/>
          </w:rPr>
          <w:fldChar w:fldCharType="end"/>
        </w:r>
      </w:hyperlink>
    </w:p>
    <w:p w14:paraId="12ED5862" w14:textId="24B3F2B9" w:rsidR="004B4EB8" w:rsidRDefault="00BD37F2">
      <w:pPr>
        <w:pStyle w:val="TOC3"/>
        <w:rPr>
          <w:rFonts w:asciiTheme="minorHAnsi" w:eastAsiaTheme="minorEastAsia" w:hAnsiTheme="minorHAnsi" w:cstheme="minorBidi"/>
          <w:noProof/>
          <w:sz w:val="22"/>
          <w:szCs w:val="22"/>
        </w:rPr>
      </w:pPr>
      <w:hyperlink w:anchor="_Toc117260654" w:history="1">
        <w:r w:rsidR="004B4EB8" w:rsidRPr="00ED0FAD">
          <w:rPr>
            <w:rStyle w:val="Hyperlink"/>
            <w:noProof/>
          </w:rPr>
          <w:t>4.2.3   Electricity</w:t>
        </w:r>
        <w:r w:rsidR="004B4EB8">
          <w:rPr>
            <w:noProof/>
            <w:webHidden/>
          </w:rPr>
          <w:tab/>
        </w:r>
        <w:r w:rsidR="004B4EB8">
          <w:rPr>
            <w:noProof/>
            <w:webHidden/>
          </w:rPr>
          <w:fldChar w:fldCharType="begin"/>
        </w:r>
        <w:r w:rsidR="004B4EB8">
          <w:rPr>
            <w:noProof/>
            <w:webHidden/>
          </w:rPr>
          <w:instrText xml:space="preserve"> PAGEREF _Toc117260654 \h </w:instrText>
        </w:r>
        <w:r w:rsidR="004B4EB8">
          <w:rPr>
            <w:noProof/>
            <w:webHidden/>
          </w:rPr>
        </w:r>
        <w:r w:rsidR="004B4EB8">
          <w:rPr>
            <w:noProof/>
            <w:webHidden/>
          </w:rPr>
          <w:fldChar w:fldCharType="separate"/>
        </w:r>
        <w:r w:rsidR="00916AB5">
          <w:rPr>
            <w:noProof/>
            <w:webHidden/>
          </w:rPr>
          <w:t>109</w:t>
        </w:r>
        <w:r w:rsidR="004B4EB8">
          <w:rPr>
            <w:noProof/>
            <w:webHidden/>
          </w:rPr>
          <w:fldChar w:fldCharType="end"/>
        </w:r>
      </w:hyperlink>
    </w:p>
    <w:p w14:paraId="36646B1D" w14:textId="1B8DBCA8" w:rsidR="004B4EB8" w:rsidRDefault="00BD37F2">
      <w:pPr>
        <w:pStyle w:val="TOC2"/>
        <w:rPr>
          <w:rFonts w:asciiTheme="minorHAnsi" w:eastAsiaTheme="minorEastAsia" w:hAnsiTheme="minorHAnsi" w:cstheme="minorBidi"/>
          <w:noProof/>
          <w:sz w:val="22"/>
          <w:szCs w:val="22"/>
        </w:rPr>
      </w:pPr>
      <w:hyperlink w:anchor="_Toc117260655" w:history="1">
        <w:r w:rsidR="004B4EB8" w:rsidRPr="00ED0FAD">
          <w:rPr>
            <w:rStyle w:val="Hyperlink"/>
            <w:noProof/>
          </w:rPr>
          <w:t>4.3   Manufacturing</w:t>
        </w:r>
        <w:r w:rsidR="004B4EB8">
          <w:rPr>
            <w:noProof/>
            <w:webHidden/>
          </w:rPr>
          <w:tab/>
        </w:r>
        <w:r w:rsidR="004B4EB8">
          <w:rPr>
            <w:noProof/>
            <w:webHidden/>
          </w:rPr>
          <w:fldChar w:fldCharType="begin"/>
        </w:r>
        <w:r w:rsidR="004B4EB8">
          <w:rPr>
            <w:noProof/>
            <w:webHidden/>
          </w:rPr>
          <w:instrText xml:space="preserve"> PAGEREF _Toc117260655 \h </w:instrText>
        </w:r>
        <w:r w:rsidR="004B4EB8">
          <w:rPr>
            <w:noProof/>
            <w:webHidden/>
          </w:rPr>
        </w:r>
        <w:r w:rsidR="004B4EB8">
          <w:rPr>
            <w:noProof/>
            <w:webHidden/>
          </w:rPr>
          <w:fldChar w:fldCharType="separate"/>
        </w:r>
        <w:r w:rsidR="00916AB5">
          <w:rPr>
            <w:noProof/>
            <w:webHidden/>
          </w:rPr>
          <w:t>112</w:t>
        </w:r>
        <w:r w:rsidR="004B4EB8">
          <w:rPr>
            <w:noProof/>
            <w:webHidden/>
          </w:rPr>
          <w:fldChar w:fldCharType="end"/>
        </w:r>
      </w:hyperlink>
    </w:p>
    <w:p w14:paraId="456E0443" w14:textId="4D53FEC5" w:rsidR="004B4EB8" w:rsidRDefault="00BD37F2">
      <w:pPr>
        <w:pStyle w:val="TOC2"/>
        <w:rPr>
          <w:rFonts w:asciiTheme="minorHAnsi" w:eastAsiaTheme="minorEastAsia" w:hAnsiTheme="minorHAnsi" w:cstheme="minorBidi"/>
          <w:noProof/>
          <w:sz w:val="22"/>
          <w:szCs w:val="22"/>
        </w:rPr>
      </w:pPr>
      <w:hyperlink w:anchor="_Toc117260656" w:history="1">
        <w:r w:rsidR="004B4EB8" w:rsidRPr="00ED0FAD">
          <w:rPr>
            <w:rStyle w:val="Hyperlink"/>
            <w:noProof/>
          </w:rPr>
          <w:t>4.4   Services</w:t>
        </w:r>
        <w:r w:rsidR="004B4EB8">
          <w:rPr>
            <w:noProof/>
            <w:webHidden/>
          </w:rPr>
          <w:tab/>
        </w:r>
        <w:r w:rsidR="004B4EB8">
          <w:rPr>
            <w:noProof/>
            <w:webHidden/>
          </w:rPr>
          <w:fldChar w:fldCharType="begin"/>
        </w:r>
        <w:r w:rsidR="004B4EB8">
          <w:rPr>
            <w:noProof/>
            <w:webHidden/>
          </w:rPr>
          <w:instrText xml:space="preserve"> PAGEREF _Toc117260656 \h </w:instrText>
        </w:r>
        <w:r w:rsidR="004B4EB8">
          <w:rPr>
            <w:noProof/>
            <w:webHidden/>
          </w:rPr>
        </w:r>
        <w:r w:rsidR="004B4EB8">
          <w:rPr>
            <w:noProof/>
            <w:webHidden/>
          </w:rPr>
          <w:fldChar w:fldCharType="separate"/>
        </w:r>
        <w:r w:rsidR="00916AB5">
          <w:rPr>
            <w:noProof/>
            <w:webHidden/>
          </w:rPr>
          <w:t>115</w:t>
        </w:r>
        <w:r w:rsidR="004B4EB8">
          <w:rPr>
            <w:noProof/>
            <w:webHidden/>
          </w:rPr>
          <w:fldChar w:fldCharType="end"/>
        </w:r>
      </w:hyperlink>
    </w:p>
    <w:p w14:paraId="28A6582E" w14:textId="0A447BA2" w:rsidR="004B4EB8" w:rsidRDefault="00BD37F2">
      <w:pPr>
        <w:pStyle w:val="TOC3"/>
        <w:rPr>
          <w:rFonts w:asciiTheme="minorHAnsi" w:eastAsiaTheme="minorEastAsia" w:hAnsiTheme="minorHAnsi" w:cstheme="minorBidi"/>
          <w:noProof/>
          <w:sz w:val="22"/>
          <w:szCs w:val="22"/>
        </w:rPr>
      </w:pPr>
      <w:hyperlink w:anchor="_Toc117260657" w:history="1">
        <w:r w:rsidR="004B4EB8" w:rsidRPr="00ED0FAD">
          <w:rPr>
            <w:rStyle w:val="Hyperlink"/>
            <w:noProof/>
          </w:rPr>
          <w:t>4.4.1   Financial services</w:t>
        </w:r>
        <w:r w:rsidR="004B4EB8">
          <w:rPr>
            <w:noProof/>
            <w:webHidden/>
          </w:rPr>
          <w:tab/>
        </w:r>
        <w:r w:rsidR="004B4EB8">
          <w:rPr>
            <w:noProof/>
            <w:webHidden/>
          </w:rPr>
          <w:fldChar w:fldCharType="begin"/>
        </w:r>
        <w:r w:rsidR="004B4EB8">
          <w:rPr>
            <w:noProof/>
            <w:webHidden/>
          </w:rPr>
          <w:instrText xml:space="preserve"> PAGEREF _Toc117260657 \h </w:instrText>
        </w:r>
        <w:r w:rsidR="004B4EB8">
          <w:rPr>
            <w:noProof/>
            <w:webHidden/>
          </w:rPr>
        </w:r>
        <w:r w:rsidR="004B4EB8">
          <w:rPr>
            <w:noProof/>
            <w:webHidden/>
          </w:rPr>
          <w:fldChar w:fldCharType="separate"/>
        </w:r>
        <w:r w:rsidR="00916AB5">
          <w:rPr>
            <w:noProof/>
            <w:webHidden/>
          </w:rPr>
          <w:t>115</w:t>
        </w:r>
        <w:r w:rsidR="004B4EB8">
          <w:rPr>
            <w:noProof/>
            <w:webHidden/>
          </w:rPr>
          <w:fldChar w:fldCharType="end"/>
        </w:r>
      </w:hyperlink>
    </w:p>
    <w:p w14:paraId="1091AE63" w14:textId="1E574369" w:rsidR="004B4EB8" w:rsidRDefault="00BD37F2">
      <w:pPr>
        <w:pStyle w:val="TOC4"/>
        <w:rPr>
          <w:rFonts w:asciiTheme="minorHAnsi" w:eastAsiaTheme="minorEastAsia" w:hAnsiTheme="minorHAnsi" w:cstheme="minorBidi"/>
          <w:noProof/>
          <w:sz w:val="22"/>
          <w:szCs w:val="22"/>
        </w:rPr>
      </w:pPr>
      <w:hyperlink w:anchor="_Toc117260658" w:history="1">
        <w:r w:rsidR="004B4EB8" w:rsidRPr="00ED0FAD">
          <w:rPr>
            <w:rStyle w:val="Hyperlink"/>
            <w:noProof/>
          </w:rPr>
          <w:t>4.4.1.1   Banking</w:t>
        </w:r>
        <w:r w:rsidR="004B4EB8">
          <w:rPr>
            <w:noProof/>
            <w:webHidden/>
          </w:rPr>
          <w:tab/>
        </w:r>
        <w:r w:rsidR="004B4EB8">
          <w:rPr>
            <w:noProof/>
            <w:webHidden/>
          </w:rPr>
          <w:fldChar w:fldCharType="begin"/>
        </w:r>
        <w:r w:rsidR="004B4EB8">
          <w:rPr>
            <w:noProof/>
            <w:webHidden/>
          </w:rPr>
          <w:instrText xml:space="preserve"> PAGEREF _Toc117260658 \h </w:instrText>
        </w:r>
        <w:r w:rsidR="004B4EB8">
          <w:rPr>
            <w:noProof/>
            <w:webHidden/>
          </w:rPr>
        </w:r>
        <w:r w:rsidR="004B4EB8">
          <w:rPr>
            <w:noProof/>
            <w:webHidden/>
          </w:rPr>
          <w:fldChar w:fldCharType="separate"/>
        </w:r>
        <w:r w:rsidR="00916AB5">
          <w:rPr>
            <w:noProof/>
            <w:webHidden/>
          </w:rPr>
          <w:t>116</w:t>
        </w:r>
        <w:r w:rsidR="004B4EB8">
          <w:rPr>
            <w:noProof/>
            <w:webHidden/>
          </w:rPr>
          <w:fldChar w:fldCharType="end"/>
        </w:r>
      </w:hyperlink>
    </w:p>
    <w:p w14:paraId="3FDBBEFE" w14:textId="5B54433D" w:rsidR="004B4EB8" w:rsidRDefault="00BD37F2">
      <w:pPr>
        <w:pStyle w:val="TOC5"/>
        <w:rPr>
          <w:rFonts w:asciiTheme="minorHAnsi" w:eastAsiaTheme="minorEastAsia" w:hAnsiTheme="minorHAnsi" w:cstheme="minorBidi"/>
          <w:noProof/>
          <w:sz w:val="22"/>
          <w:szCs w:val="22"/>
        </w:rPr>
      </w:pPr>
      <w:hyperlink w:anchor="_Toc117260659" w:history="1">
        <w:r w:rsidR="004B4EB8" w:rsidRPr="00ED0FAD">
          <w:rPr>
            <w:rStyle w:val="Hyperlink"/>
            <w:noProof/>
          </w:rPr>
          <w:t>4.4.1.1.1   General features and prudential indicators</w:t>
        </w:r>
        <w:r w:rsidR="004B4EB8">
          <w:rPr>
            <w:noProof/>
            <w:webHidden/>
          </w:rPr>
          <w:tab/>
        </w:r>
        <w:r w:rsidR="004B4EB8">
          <w:rPr>
            <w:noProof/>
            <w:webHidden/>
          </w:rPr>
          <w:fldChar w:fldCharType="begin"/>
        </w:r>
        <w:r w:rsidR="004B4EB8">
          <w:rPr>
            <w:noProof/>
            <w:webHidden/>
          </w:rPr>
          <w:instrText xml:space="preserve"> PAGEREF _Toc117260659 \h </w:instrText>
        </w:r>
        <w:r w:rsidR="004B4EB8">
          <w:rPr>
            <w:noProof/>
            <w:webHidden/>
          </w:rPr>
        </w:r>
        <w:r w:rsidR="004B4EB8">
          <w:rPr>
            <w:noProof/>
            <w:webHidden/>
          </w:rPr>
          <w:fldChar w:fldCharType="separate"/>
        </w:r>
        <w:r w:rsidR="00916AB5">
          <w:rPr>
            <w:noProof/>
            <w:webHidden/>
          </w:rPr>
          <w:t>116</w:t>
        </w:r>
        <w:r w:rsidR="004B4EB8">
          <w:rPr>
            <w:noProof/>
            <w:webHidden/>
          </w:rPr>
          <w:fldChar w:fldCharType="end"/>
        </w:r>
      </w:hyperlink>
    </w:p>
    <w:p w14:paraId="6C3AE47F" w14:textId="034F5331" w:rsidR="004B4EB8" w:rsidRDefault="00BD37F2">
      <w:pPr>
        <w:pStyle w:val="TOC5"/>
        <w:rPr>
          <w:rFonts w:asciiTheme="minorHAnsi" w:eastAsiaTheme="minorEastAsia" w:hAnsiTheme="minorHAnsi" w:cstheme="minorBidi"/>
          <w:noProof/>
          <w:sz w:val="22"/>
          <w:szCs w:val="22"/>
        </w:rPr>
      </w:pPr>
      <w:hyperlink w:anchor="_Toc117260660" w:history="1">
        <w:r w:rsidR="004B4EB8" w:rsidRPr="00ED0FAD">
          <w:rPr>
            <w:rStyle w:val="Hyperlink"/>
            <w:noProof/>
          </w:rPr>
          <w:t>4.4.1.1.2   Regulatory framework</w:t>
        </w:r>
        <w:r w:rsidR="004B4EB8">
          <w:rPr>
            <w:noProof/>
            <w:webHidden/>
          </w:rPr>
          <w:tab/>
        </w:r>
        <w:r w:rsidR="004B4EB8">
          <w:rPr>
            <w:noProof/>
            <w:webHidden/>
          </w:rPr>
          <w:fldChar w:fldCharType="begin"/>
        </w:r>
        <w:r w:rsidR="004B4EB8">
          <w:rPr>
            <w:noProof/>
            <w:webHidden/>
          </w:rPr>
          <w:instrText xml:space="preserve"> PAGEREF _Toc117260660 \h </w:instrText>
        </w:r>
        <w:r w:rsidR="004B4EB8">
          <w:rPr>
            <w:noProof/>
            <w:webHidden/>
          </w:rPr>
        </w:r>
        <w:r w:rsidR="004B4EB8">
          <w:rPr>
            <w:noProof/>
            <w:webHidden/>
          </w:rPr>
          <w:fldChar w:fldCharType="separate"/>
        </w:r>
        <w:r w:rsidR="00916AB5">
          <w:rPr>
            <w:noProof/>
            <w:webHidden/>
          </w:rPr>
          <w:t>118</w:t>
        </w:r>
        <w:r w:rsidR="004B4EB8">
          <w:rPr>
            <w:noProof/>
            <w:webHidden/>
          </w:rPr>
          <w:fldChar w:fldCharType="end"/>
        </w:r>
      </w:hyperlink>
    </w:p>
    <w:p w14:paraId="2A5CCE41" w14:textId="071F9A22" w:rsidR="004B4EB8" w:rsidRDefault="00BD37F2">
      <w:pPr>
        <w:pStyle w:val="TOC5"/>
        <w:rPr>
          <w:rFonts w:asciiTheme="minorHAnsi" w:eastAsiaTheme="minorEastAsia" w:hAnsiTheme="minorHAnsi" w:cstheme="minorBidi"/>
          <w:noProof/>
          <w:sz w:val="22"/>
          <w:szCs w:val="22"/>
        </w:rPr>
      </w:pPr>
      <w:hyperlink w:anchor="_Toc117260661" w:history="1">
        <w:r w:rsidR="004B4EB8" w:rsidRPr="00ED0FAD">
          <w:rPr>
            <w:rStyle w:val="Hyperlink"/>
            <w:noProof/>
          </w:rPr>
          <w:t>4.4.1.1.3   International financial zone regime</w:t>
        </w:r>
        <w:r w:rsidR="004B4EB8">
          <w:rPr>
            <w:noProof/>
            <w:webHidden/>
          </w:rPr>
          <w:tab/>
        </w:r>
        <w:r w:rsidR="004B4EB8">
          <w:rPr>
            <w:noProof/>
            <w:webHidden/>
          </w:rPr>
          <w:fldChar w:fldCharType="begin"/>
        </w:r>
        <w:r w:rsidR="004B4EB8">
          <w:rPr>
            <w:noProof/>
            <w:webHidden/>
          </w:rPr>
          <w:instrText xml:space="preserve"> PAGEREF _Toc117260661 \h </w:instrText>
        </w:r>
        <w:r w:rsidR="004B4EB8">
          <w:rPr>
            <w:noProof/>
            <w:webHidden/>
          </w:rPr>
        </w:r>
        <w:r w:rsidR="004B4EB8">
          <w:rPr>
            <w:noProof/>
            <w:webHidden/>
          </w:rPr>
          <w:fldChar w:fldCharType="separate"/>
        </w:r>
        <w:r w:rsidR="00916AB5">
          <w:rPr>
            <w:noProof/>
            <w:webHidden/>
          </w:rPr>
          <w:t>123</w:t>
        </w:r>
        <w:r w:rsidR="004B4EB8">
          <w:rPr>
            <w:noProof/>
            <w:webHidden/>
          </w:rPr>
          <w:fldChar w:fldCharType="end"/>
        </w:r>
      </w:hyperlink>
    </w:p>
    <w:p w14:paraId="45615FAA" w14:textId="528C0BFD" w:rsidR="004B4EB8" w:rsidRDefault="00BD37F2">
      <w:pPr>
        <w:pStyle w:val="TOC4"/>
        <w:rPr>
          <w:rFonts w:asciiTheme="minorHAnsi" w:eastAsiaTheme="minorEastAsia" w:hAnsiTheme="minorHAnsi" w:cstheme="minorBidi"/>
          <w:noProof/>
          <w:sz w:val="22"/>
          <w:szCs w:val="22"/>
        </w:rPr>
      </w:pPr>
      <w:hyperlink w:anchor="_Toc117260662" w:history="1">
        <w:r w:rsidR="004B4EB8" w:rsidRPr="00ED0FAD">
          <w:rPr>
            <w:rStyle w:val="Hyperlink"/>
            <w:noProof/>
          </w:rPr>
          <w:t>4.4.1.2   Insurance</w:t>
        </w:r>
        <w:r w:rsidR="004B4EB8">
          <w:rPr>
            <w:noProof/>
            <w:webHidden/>
          </w:rPr>
          <w:tab/>
        </w:r>
        <w:r w:rsidR="004B4EB8">
          <w:rPr>
            <w:noProof/>
            <w:webHidden/>
          </w:rPr>
          <w:fldChar w:fldCharType="begin"/>
        </w:r>
        <w:r w:rsidR="004B4EB8">
          <w:rPr>
            <w:noProof/>
            <w:webHidden/>
          </w:rPr>
          <w:instrText xml:space="preserve"> PAGEREF _Toc117260662 \h </w:instrText>
        </w:r>
        <w:r w:rsidR="004B4EB8">
          <w:rPr>
            <w:noProof/>
            <w:webHidden/>
          </w:rPr>
        </w:r>
        <w:r w:rsidR="004B4EB8">
          <w:rPr>
            <w:noProof/>
            <w:webHidden/>
          </w:rPr>
          <w:fldChar w:fldCharType="separate"/>
        </w:r>
        <w:r w:rsidR="00916AB5">
          <w:rPr>
            <w:noProof/>
            <w:webHidden/>
          </w:rPr>
          <w:t>124</w:t>
        </w:r>
        <w:r w:rsidR="004B4EB8">
          <w:rPr>
            <w:noProof/>
            <w:webHidden/>
          </w:rPr>
          <w:fldChar w:fldCharType="end"/>
        </w:r>
      </w:hyperlink>
    </w:p>
    <w:p w14:paraId="439FE49C" w14:textId="581FFEDE" w:rsidR="004B4EB8" w:rsidRDefault="00BD37F2">
      <w:pPr>
        <w:pStyle w:val="TOC4"/>
        <w:rPr>
          <w:rFonts w:asciiTheme="minorHAnsi" w:eastAsiaTheme="minorEastAsia" w:hAnsiTheme="minorHAnsi" w:cstheme="minorBidi"/>
          <w:noProof/>
          <w:sz w:val="22"/>
          <w:szCs w:val="22"/>
        </w:rPr>
      </w:pPr>
      <w:hyperlink w:anchor="_Toc117260663" w:history="1">
        <w:r w:rsidR="004B4EB8" w:rsidRPr="00ED0FAD">
          <w:rPr>
            <w:rStyle w:val="Hyperlink"/>
            <w:noProof/>
          </w:rPr>
          <w:t>4.4.1.3   Securities market</w:t>
        </w:r>
        <w:r w:rsidR="004B4EB8">
          <w:rPr>
            <w:noProof/>
            <w:webHidden/>
          </w:rPr>
          <w:tab/>
        </w:r>
        <w:r w:rsidR="004B4EB8">
          <w:rPr>
            <w:noProof/>
            <w:webHidden/>
          </w:rPr>
          <w:fldChar w:fldCharType="begin"/>
        </w:r>
        <w:r w:rsidR="004B4EB8">
          <w:rPr>
            <w:noProof/>
            <w:webHidden/>
          </w:rPr>
          <w:instrText xml:space="preserve"> PAGEREF _Toc117260663 \h </w:instrText>
        </w:r>
        <w:r w:rsidR="004B4EB8">
          <w:rPr>
            <w:noProof/>
            <w:webHidden/>
          </w:rPr>
        </w:r>
        <w:r w:rsidR="004B4EB8">
          <w:rPr>
            <w:noProof/>
            <w:webHidden/>
          </w:rPr>
          <w:fldChar w:fldCharType="separate"/>
        </w:r>
        <w:r w:rsidR="00916AB5">
          <w:rPr>
            <w:noProof/>
            <w:webHidden/>
          </w:rPr>
          <w:t>126</w:t>
        </w:r>
        <w:r w:rsidR="004B4EB8">
          <w:rPr>
            <w:noProof/>
            <w:webHidden/>
          </w:rPr>
          <w:fldChar w:fldCharType="end"/>
        </w:r>
      </w:hyperlink>
    </w:p>
    <w:p w14:paraId="68120511" w14:textId="1047FD27" w:rsidR="004B4EB8" w:rsidRDefault="00BD37F2">
      <w:pPr>
        <w:pStyle w:val="TOC4"/>
        <w:rPr>
          <w:rFonts w:asciiTheme="minorHAnsi" w:eastAsiaTheme="minorEastAsia" w:hAnsiTheme="minorHAnsi" w:cstheme="minorBidi"/>
          <w:noProof/>
          <w:sz w:val="22"/>
          <w:szCs w:val="22"/>
        </w:rPr>
      </w:pPr>
      <w:hyperlink w:anchor="_Toc117260664" w:history="1">
        <w:r w:rsidR="004B4EB8" w:rsidRPr="00ED0FAD">
          <w:rPr>
            <w:rStyle w:val="Hyperlink"/>
            <w:noProof/>
          </w:rPr>
          <w:t>4.4.1.4   Payment systems and cybersecurity</w:t>
        </w:r>
        <w:r w:rsidR="004B4EB8">
          <w:rPr>
            <w:noProof/>
            <w:webHidden/>
          </w:rPr>
          <w:tab/>
        </w:r>
        <w:r w:rsidR="004B4EB8">
          <w:rPr>
            <w:noProof/>
            <w:webHidden/>
          </w:rPr>
          <w:fldChar w:fldCharType="begin"/>
        </w:r>
        <w:r w:rsidR="004B4EB8">
          <w:rPr>
            <w:noProof/>
            <w:webHidden/>
          </w:rPr>
          <w:instrText xml:space="preserve"> PAGEREF _Toc117260664 \h </w:instrText>
        </w:r>
        <w:r w:rsidR="004B4EB8">
          <w:rPr>
            <w:noProof/>
            <w:webHidden/>
          </w:rPr>
        </w:r>
        <w:r w:rsidR="004B4EB8">
          <w:rPr>
            <w:noProof/>
            <w:webHidden/>
          </w:rPr>
          <w:fldChar w:fldCharType="separate"/>
        </w:r>
        <w:r w:rsidR="00916AB5">
          <w:rPr>
            <w:noProof/>
            <w:webHidden/>
          </w:rPr>
          <w:t>127</w:t>
        </w:r>
        <w:r w:rsidR="004B4EB8">
          <w:rPr>
            <w:noProof/>
            <w:webHidden/>
          </w:rPr>
          <w:fldChar w:fldCharType="end"/>
        </w:r>
      </w:hyperlink>
    </w:p>
    <w:p w14:paraId="1659598F" w14:textId="613B5400" w:rsidR="004B4EB8" w:rsidRDefault="00BD37F2">
      <w:pPr>
        <w:pStyle w:val="TOC3"/>
        <w:rPr>
          <w:rFonts w:asciiTheme="minorHAnsi" w:eastAsiaTheme="minorEastAsia" w:hAnsiTheme="minorHAnsi" w:cstheme="minorBidi"/>
          <w:noProof/>
          <w:sz w:val="22"/>
          <w:szCs w:val="22"/>
        </w:rPr>
      </w:pPr>
      <w:hyperlink w:anchor="_Toc117260665" w:history="1">
        <w:r w:rsidR="004B4EB8" w:rsidRPr="00ED0FAD">
          <w:rPr>
            <w:rStyle w:val="Hyperlink"/>
            <w:noProof/>
          </w:rPr>
          <w:t>4.4.2   Telecommunications</w:t>
        </w:r>
        <w:r w:rsidR="004B4EB8">
          <w:rPr>
            <w:noProof/>
            <w:webHidden/>
          </w:rPr>
          <w:tab/>
        </w:r>
        <w:r w:rsidR="004B4EB8">
          <w:rPr>
            <w:noProof/>
            <w:webHidden/>
          </w:rPr>
          <w:fldChar w:fldCharType="begin"/>
        </w:r>
        <w:r w:rsidR="004B4EB8">
          <w:rPr>
            <w:noProof/>
            <w:webHidden/>
          </w:rPr>
          <w:instrText xml:space="preserve"> PAGEREF _Toc117260665 \h </w:instrText>
        </w:r>
        <w:r w:rsidR="004B4EB8">
          <w:rPr>
            <w:noProof/>
            <w:webHidden/>
          </w:rPr>
        </w:r>
        <w:r w:rsidR="004B4EB8">
          <w:rPr>
            <w:noProof/>
            <w:webHidden/>
          </w:rPr>
          <w:fldChar w:fldCharType="separate"/>
        </w:r>
        <w:r w:rsidR="00916AB5">
          <w:rPr>
            <w:noProof/>
            <w:webHidden/>
          </w:rPr>
          <w:t>128</w:t>
        </w:r>
        <w:r w:rsidR="004B4EB8">
          <w:rPr>
            <w:noProof/>
            <w:webHidden/>
          </w:rPr>
          <w:fldChar w:fldCharType="end"/>
        </w:r>
      </w:hyperlink>
    </w:p>
    <w:p w14:paraId="7CCD8A81" w14:textId="0E03838C" w:rsidR="004B4EB8" w:rsidRDefault="00BD37F2">
      <w:pPr>
        <w:pStyle w:val="TOC3"/>
        <w:rPr>
          <w:rFonts w:asciiTheme="minorHAnsi" w:eastAsiaTheme="minorEastAsia" w:hAnsiTheme="minorHAnsi" w:cstheme="minorBidi"/>
          <w:noProof/>
          <w:sz w:val="22"/>
          <w:szCs w:val="22"/>
        </w:rPr>
      </w:pPr>
      <w:hyperlink w:anchor="_Toc117260666" w:history="1">
        <w:r w:rsidR="004B4EB8" w:rsidRPr="00ED0FAD">
          <w:rPr>
            <w:rStyle w:val="Hyperlink"/>
            <w:noProof/>
          </w:rPr>
          <w:t>4.4.3   Transport</w:t>
        </w:r>
        <w:r w:rsidR="004B4EB8">
          <w:rPr>
            <w:noProof/>
            <w:webHidden/>
          </w:rPr>
          <w:tab/>
        </w:r>
        <w:r w:rsidR="004B4EB8">
          <w:rPr>
            <w:noProof/>
            <w:webHidden/>
          </w:rPr>
          <w:fldChar w:fldCharType="begin"/>
        </w:r>
        <w:r w:rsidR="004B4EB8">
          <w:rPr>
            <w:noProof/>
            <w:webHidden/>
          </w:rPr>
          <w:instrText xml:space="preserve"> PAGEREF _Toc117260666 \h </w:instrText>
        </w:r>
        <w:r w:rsidR="004B4EB8">
          <w:rPr>
            <w:noProof/>
            <w:webHidden/>
          </w:rPr>
        </w:r>
        <w:r w:rsidR="004B4EB8">
          <w:rPr>
            <w:noProof/>
            <w:webHidden/>
          </w:rPr>
          <w:fldChar w:fldCharType="separate"/>
        </w:r>
        <w:r w:rsidR="00916AB5">
          <w:rPr>
            <w:noProof/>
            <w:webHidden/>
          </w:rPr>
          <w:t>133</w:t>
        </w:r>
        <w:r w:rsidR="004B4EB8">
          <w:rPr>
            <w:noProof/>
            <w:webHidden/>
          </w:rPr>
          <w:fldChar w:fldCharType="end"/>
        </w:r>
      </w:hyperlink>
    </w:p>
    <w:p w14:paraId="7447629B" w14:textId="2EFB0391" w:rsidR="004B4EB8" w:rsidRDefault="00BD37F2">
      <w:pPr>
        <w:pStyle w:val="TOC4"/>
        <w:rPr>
          <w:rFonts w:asciiTheme="minorHAnsi" w:eastAsiaTheme="minorEastAsia" w:hAnsiTheme="minorHAnsi" w:cstheme="minorBidi"/>
          <w:noProof/>
          <w:sz w:val="22"/>
          <w:szCs w:val="22"/>
        </w:rPr>
      </w:pPr>
      <w:hyperlink w:anchor="_Toc117260667" w:history="1">
        <w:r w:rsidR="004B4EB8" w:rsidRPr="00ED0FAD">
          <w:rPr>
            <w:rStyle w:val="Hyperlink"/>
            <w:noProof/>
          </w:rPr>
          <w:t>4.4.3.1   Air transport</w:t>
        </w:r>
        <w:r w:rsidR="004B4EB8">
          <w:rPr>
            <w:noProof/>
            <w:webHidden/>
          </w:rPr>
          <w:tab/>
        </w:r>
        <w:r w:rsidR="004B4EB8">
          <w:rPr>
            <w:noProof/>
            <w:webHidden/>
          </w:rPr>
          <w:fldChar w:fldCharType="begin"/>
        </w:r>
        <w:r w:rsidR="004B4EB8">
          <w:rPr>
            <w:noProof/>
            <w:webHidden/>
          </w:rPr>
          <w:instrText xml:space="preserve"> PAGEREF _Toc117260667 \h </w:instrText>
        </w:r>
        <w:r w:rsidR="004B4EB8">
          <w:rPr>
            <w:noProof/>
            <w:webHidden/>
          </w:rPr>
        </w:r>
        <w:r w:rsidR="004B4EB8">
          <w:rPr>
            <w:noProof/>
            <w:webHidden/>
          </w:rPr>
          <w:fldChar w:fldCharType="separate"/>
        </w:r>
        <w:r w:rsidR="00916AB5">
          <w:rPr>
            <w:noProof/>
            <w:webHidden/>
          </w:rPr>
          <w:t>133</w:t>
        </w:r>
        <w:r w:rsidR="004B4EB8">
          <w:rPr>
            <w:noProof/>
            <w:webHidden/>
          </w:rPr>
          <w:fldChar w:fldCharType="end"/>
        </w:r>
      </w:hyperlink>
    </w:p>
    <w:p w14:paraId="719EDC4D" w14:textId="06A6FF7A" w:rsidR="004B4EB8" w:rsidRDefault="00BD37F2">
      <w:pPr>
        <w:pStyle w:val="TOC4"/>
        <w:rPr>
          <w:rFonts w:asciiTheme="minorHAnsi" w:eastAsiaTheme="minorEastAsia" w:hAnsiTheme="minorHAnsi" w:cstheme="minorBidi"/>
          <w:noProof/>
          <w:sz w:val="22"/>
          <w:szCs w:val="22"/>
        </w:rPr>
      </w:pPr>
      <w:hyperlink w:anchor="_Toc117260668" w:history="1">
        <w:r w:rsidR="004B4EB8" w:rsidRPr="00ED0FAD">
          <w:rPr>
            <w:rStyle w:val="Hyperlink"/>
            <w:noProof/>
          </w:rPr>
          <w:t>4.4.3.2   Maritime transport and port activities</w:t>
        </w:r>
        <w:r w:rsidR="004B4EB8">
          <w:rPr>
            <w:noProof/>
            <w:webHidden/>
          </w:rPr>
          <w:tab/>
        </w:r>
        <w:r w:rsidR="004B4EB8">
          <w:rPr>
            <w:noProof/>
            <w:webHidden/>
          </w:rPr>
          <w:fldChar w:fldCharType="begin"/>
        </w:r>
        <w:r w:rsidR="004B4EB8">
          <w:rPr>
            <w:noProof/>
            <w:webHidden/>
          </w:rPr>
          <w:instrText xml:space="preserve"> PAGEREF _Toc117260668 \h </w:instrText>
        </w:r>
        <w:r w:rsidR="004B4EB8">
          <w:rPr>
            <w:noProof/>
            <w:webHidden/>
          </w:rPr>
        </w:r>
        <w:r w:rsidR="004B4EB8">
          <w:rPr>
            <w:noProof/>
            <w:webHidden/>
          </w:rPr>
          <w:fldChar w:fldCharType="separate"/>
        </w:r>
        <w:r w:rsidR="00916AB5">
          <w:rPr>
            <w:noProof/>
            <w:webHidden/>
          </w:rPr>
          <w:t>138</w:t>
        </w:r>
        <w:r w:rsidR="004B4EB8">
          <w:rPr>
            <w:noProof/>
            <w:webHidden/>
          </w:rPr>
          <w:fldChar w:fldCharType="end"/>
        </w:r>
      </w:hyperlink>
    </w:p>
    <w:p w14:paraId="767669E2" w14:textId="6A9014B7" w:rsidR="004B4EB8" w:rsidRDefault="00BD37F2">
      <w:pPr>
        <w:pStyle w:val="TOC5"/>
        <w:rPr>
          <w:rFonts w:asciiTheme="minorHAnsi" w:eastAsiaTheme="minorEastAsia" w:hAnsiTheme="minorHAnsi" w:cstheme="minorBidi"/>
          <w:noProof/>
          <w:sz w:val="22"/>
          <w:szCs w:val="22"/>
        </w:rPr>
      </w:pPr>
      <w:hyperlink w:anchor="_Toc117260669" w:history="1">
        <w:r w:rsidR="004B4EB8" w:rsidRPr="00ED0FAD">
          <w:rPr>
            <w:rStyle w:val="Hyperlink"/>
            <w:noProof/>
          </w:rPr>
          <w:t>4.4.3.2.1   Maritime transport</w:t>
        </w:r>
        <w:r w:rsidR="004B4EB8">
          <w:rPr>
            <w:noProof/>
            <w:webHidden/>
          </w:rPr>
          <w:tab/>
        </w:r>
        <w:r w:rsidR="004B4EB8">
          <w:rPr>
            <w:noProof/>
            <w:webHidden/>
          </w:rPr>
          <w:fldChar w:fldCharType="begin"/>
        </w:r>
        <w:r w:rsidR="004B4EB8">
          <w:rPr>
            <w:noProof/>
            <w:webHidden/>
          </w:rPr>
          <w:instrText xml:space="preserve"> PAGEREF _Toc117260669 \h </w:instrText>
        </w:r>
        <w:r w:rsidR="004B4EB8">
          <w:rPr>
            <w:noProof/>
            <w:webHidden/>
          </w:rPr>
        </w:r>
        <w:r w:rsidR="004B4EB8">
          <w:rPr>
            <w:noProof/>
            <w:webHidden/>
          </w:rPr>
          <w:fldChar w:fldCharType="separate"/>
        </w:r>
        <w:r w:rsidR="00916AB5">
          <w:rPr>
            <w:noProof/>
            <w:webHidden/>
          </w:rPr>
          <w:t>138</w:t>
        </w:r>
        <w:r w:rsidR="004B4EB8">
          <w:rPr>
            <w:noProof/>
            <w:webHidden/>
          </w:rPr>
          <w:fldChar w:fldCharType="end"/>
        </w:r>
      </w:hyperlink>
    </w:p>
    <w:p w14:paraId="37C9034E" w14:textId="544E9095" w:rsidR="004B4EB8" w:rsidRDefault="00BD37F2">
      <w:pPr>
        <w:pStyle w:val="TOC5"/>
        <w:rPr>
          <w:rFonts w:asciiTheme="minorHAnsi" w:eastAsiaTheme="minorEastAsia" w:hAnsiTheme="minorHAnsi" w:cstheme="minorBidi"/>
          <w:noProof/>
          <w:sz w:val="22"/>
          <w:szCs w:val="22"/>
        </w:rPr>
      </w:pPr>
      <w:hyperlink w:anchor="_Toc117260670" w:history="1">
        <w:r w:rsidR="004B4EB8" w:rsidRPr="00ED0FAD">
          <w:rPr>
            <w:rStyle w:val="Hyperlink"/>
            <w:noProof/>
          </w:rPr>
          <w:t>4.4.3.2.2   Ports</w:t>
        </w:r>
        <w:r w:rsidR="004B4EB8">
          <w:rPr>
            <w:noProof/>
            <w:webHidden/>
          </w:rPr>
          <w:tab/>
        </w:r>
        <w:r w:rsidR="004B4EB8">
          <w:rPr>
            <w:noProof/>
            <w:webHidden/>
          </w:rPr>
          <w:fldChar w:fldCharType="begin"/>
        </w:r>
        <w:r w:rsidR="004B4EB8">
          <w:rPr>
            <w:noProof/>
            <w:webHidden/>
          </w:rPr>
          <w:instrText xml:space="preserve"> PAGEREF _Toc117260670 \h </w:instrText>
        </w:r>
        <w:r w:rsidR="004B4EB8">
          <w:rPr>
            <w:noProof/>
            <w:webHidden/>
          </w:rPr>
        </w:r>
        <w:r w:rsidR="004B4EB8">
          <w:rPr>
            <w:noProof/>
            <w:webHidden/>
          </w:rPr>
          <w:fldChar w:fldCharType="separate"/>
        </w:r>
        <w:r w:rsidR="00916AB5">
          <w:rPr>
            <w:noProof/>
            <w:webHidden/>
          </w:rPr>
          <w:t>139</w:t>
        </w:r>
        <w:r w:rsidR="004B4EB8">
          <w:rPr>
            <w:noProof/>
            <w:webHidden/>
          </w:rPr>
          <w:fldChar w:fldCharType="end"/>
        </w:r>
      </w:hyperlink>
    </w:p>
    <w:p w14:paraId="35909915" w14:textId="3236DE02" w:rsidR="004B4EB8" w:rsidRDefault="00BD37F2">
      <w:pPr>
        <w:pStyle w:val="TOC3"/>
        <w:rPr>
          <w:rFonts w:asciiTheme="minorHAnsi" w:eastAsiaTheme="minorEastAsia" w:hAnsiTheme="minorHAnsi" w:cstheme="minorBidi"/>
          <w:noProof/>
          <w:sz w:val="22"/>
          <w:szCs w:val="22"/>
        </w:rPr>
      </w:pPr>
      <w:hyperlink w:anchor="_Toc117260671" w:history="1">
        <w:r w:rsidR="004B4EB8" w:rsidRPr="00ED0FAD">
          <w:rPr>
            <w:rStyle w:val="Hyperlink"/>
            <w:noProof/>
          </w:rPr>
          <w:t>4.4.4   Tourism</w:t>
        </w:r>
        <w:r w:rsidR="004B4EB8">
          <w:rPr>
            <w:noProof/>
            <w:webHidden/>
          </w:rPr>
          <w:tab/>
        </w:r>
        <w:r w:rsidR="004B4EB8">
          <w:rPr>
            <w:noProof/>
            <w:webHidden/>
          </w:rPr>
          <w:fldChar w:fldCharType="begin"/>
        </w:r>
        <w:r w:rsidR="004B4EB8">
          <w:rPr>
            <w:noProof/>
            <w:webHidden/>
          </w:rPr>
          <w:instrText xml:space="preserve"> PAGEREF _Toc117260671 \h </w:instrText>
        </w:r>
        <w:r w:rsidR="004B4EB8">
          <w:rPr>
            <w:noProof/>
            <w:webHidden/>
          </w:rPr>
        </w:r>
        <w:r w:rsidR="004B4EB8">
          <w:rPr>
            <w:noProof/>
            <w:webHidden/>
          </w:rPr>
          <w:fldChar w:fldCharType="separate"/>
        </w:r>
        <w:r w:rsidR="00916AB5">
          <w:rPr>
            <w:noProof/>
            <w:webHidden/>
          </w:rPr>
          <w:t>141</w:t>
        </w:r>
        <w:r w:rsidR="004B4EB8">
          <w:rPr>
            <w:noProof/>
            <w:webHidden/>
          </w:rPr>
          <w:fldChar w:fldCharType="end"/>
        </w:r>
      </w:hyperlink>
    </w:p>
    <w:p w14:paraId="074D9AFE" w14:textId="7DD421C4" w:rsidR="004B4EB8" w:rsidRDefault="00BD37F2">
      <w:pPr>
        <w:pStyle w:val="TOC1"/>
        <w:rPr>
          <w:rFonts w:asciiTheme="minorHAnsi" w:eastAsiaTheme="minorEastAsia" w:hAnsiTheme="minorHAnsi" w:cstheme="minorBidi"/>
          <w:b w:val="0"/>
          <w:caps w:val="0"/>
          <w:noProof/>
          <w:sz w:val="22"/>
          <w:szCs w:val="22"/>
        </w:rPr>
      </w:pPr>
      <w:hyperlink w:anchor="_Toc117260672" w:history="1">
        <w:r w:rsidR="004B4EB8" w:rsidRPr="00ED0FAD">
          <w:rPr>
            <w:rStyle w:val="Hyperlink"/>
            <w:noProof/>
          </w:rPr>
          <w:t>5   APPENDIX TABLES</w:t>
        </w:r>
        <w:r w:rsidR="004B4EB8">
          <w:rPr>
            <w:noProof/>
            <w:webHidden/>
          </w:rPr>
          <w:tab/>
        </w:r>
        <w:r w:rsidR="004B4EB8">
          <w:rPr>
            <w:noProof/>
            <w:webHidden/>
          </w:rPr>
          <w:fldChar w:fldCharType="begin"/>
        </w:r>
        <w:r w:rsidR="004B4EB8">
          <w:rPr>
            <w:noProof/>
            <w:webHidden/>
          </w:rPr>
          <w:instrText xml:space="preserve"> PAGEREF _Toc117260672 \h </w:instrText>
        </w:r>
        <w:r w:rsidR="004B4EB8">
          <w:rPr>
            <w:noProof/>
            <w:webHidden/>
          </w:rPr>
        </w:r>
        <w:r w:rsidR="004B4EB8">
          <w:rPr>
            <w:noProof/>
            <w:webHidden/>
          </w:rPr>
          <w:fldChar w:fldCharType="separate"/>
        </w:r>
        <w:r w:rsidR="00916AB5">
          <w:rPr>
            <w:noProof/>
            <w:webHidden/>
          </w:rPr>
          <w:t>144</w:t>
        </w:r>
        <w:r w:rsidR="004B4EB8">
          <w:rPr>
            <w:noProof/>
            <w:webHidden/>
          </w:rPr>
          <w:fldChar w:fldCharType="end"/>
        </w:r>
      </w:hyperlink>
    </w:p>
    <w:p w14:paraId="440A7089" w14:textId="473FA604" w:rsidR="00C212B3" w:rsidRDefault="00C212B3" w:rsidP="00C212B3">
      <w:r>
        <w:fldChar w:fldCharType="end"/>
      </w:r>
    </w:p>
    <w:p w14:paraId="5F8C09F7" w14:textId="77777777" w:rsidR="00C212B3" w:rsidRDefault="00C212B3" w:rsidP="00C212B3">
      <w:pPr>
        <w:pStyle w:val="TOCHeading"/>
      </w:pPr>
      <w:r>
        <w:t>CHARTS</w:t>
      </w:r>
    </w:p>
    <w:p w14:paraId="1A672C8A" w14:textId="77777777" w:rsidR="00C212B3" w:rsidRDefault="00C212B3" w:rsidP="00C212B3"/>
    <w:p w14:paraId="37F0F0B5" w14:textId="504E70FD" w:rsidR="009621D1" w:rsidRDefault="00C212B3">
      <w:pPr>
        <w:pStyle w:val="TableofFigures"/>
        <w:rPr>
          <w:rFonts w:asciiTheme="minorHAnsi" w:eastAsiaTheme="minorEastAsia" w:hAnsiTheme="minorHAnsi" w:cstheme="minorBidi"/>
          <w:noProof/>
          <w:sz w:val="22"/>
          <w:szCs w:val="22"/>
        </w:rPr>
      </w:pPr>
      <w:r>
        <w:fldChar w:fldCharType="begin"/>
      </w:r>
      <w:r>
        <w:instrText xml:space="preserve"> TOC \h \z \c "Chart" </w:instrText>
      </w:r>
      <w:r>
        <w:fldChar w:fldCharType="separate"/>
      </w:r>
      <w:hyperlink w:anchor="_Toc117238010" w:history="1">
        <w:r w:rsidR="009621D1" w:rsidRPr="009E4E4D">
          <w:rPr>
            <w:rStyle w:val="Hyperlink"/>
            <w:noProof/>
          </w:rPr>
          <w:t>Chart 1.1 Tax expenditure by tax type and as a percentage of GDP, 2015</w:t>
        </w:r>
        <w:r w:rsidR="009621D1" w:rsidRPr="009E4E4D">
          <w:rPr>
            <w:rStyle w:val="Hyperlink"/>
            <w:noProof/>
          </w:rPr>
          <w:noBreakHyphen/>
          <w:t>22</w:t>
        </w:r>
        <w:r w:rsidR="009621D1">
          <w:rPr>
            <w:noProof/>
            <w:webHidden/>
          </w:rPr>
          <w:tab/>
        </w:r>
        <w:r w:rsidR="009621D1">
          <w:rPr>
            <w:noProof/>
            <w:webHidden/>
          </w:rPr>
          <w:fldChar w:fldCharType="begin"/>
        </w:r>
        <w:r w:rsidR="009621D1">
          <w:rPr>
            <w:noProof/>
            <w:webHidden/>
          </w:rPr>
          <w:instrText xml:space="preserve"> PAGEREF _Toc117238010 \h </w:instrText>
        </w:r>
        <w:r w:rsidR="009621D1">
          <w:rPr>
            <w:noProof/>
            <w:webHidden/>
          </w:rPr>
        </w:r>
        <w:r w:rsidR="009621D1">
          <w:rPr>
            <w:noProof/>
            <w:webHidden/>
          </w:rPr>
          <w:fldChar w:fldCharType="separate"/>
        </w:r>
        <w:r w:rsidR="00916AB5">
          <w:rPr>
            <w:noProof/>
            <w:webHidden/>
          </w:rPr>
          <w:t>23</w:t>
        </w:r>
        <w:r w:rsidR="009621D1">
          <w:rPr>
            <w:noProof/>
            <w:webHidden/>
          </w:rPr>
          <w:fldChar w:fldCharType="end"/>
        </w:r>
      </w:hyperlink>
    </w:p>
    <w:p w14:paraId="314F1BF5" w14:textId="1E964AB6" w:rsidR="009621D1" w:rsidRDefault="00BD37F2">
      <w:pPr>
        <w:pStyle w:val="TableofFigures"/>
        <w:rPr>
          <w:rFonts w:asciiTheme="minorHAnsi" w:eastAsiaTheme="minorEastAsia" w:hAnsiTheme="minorHAnsi" w:cstheme="minorBidi"/>
          <w:noProof/>
          <w:sz w:val="22"/>
          <w:szCs w:val="22"/>
        </w:rPr>
      </w:pPr>
      <w:hyperlink w:anchor="_Toc117238011" w:history="1">
        <w:r w:rsidR="009621D1" w:rsidRPr="009E4E4D">
          <w:rPr>
            <w:rStyle w:val="Hyperlink"/>
            <w:noProof/>
          </w:rPr>
          <w:t>Chart 1.2 Merchandise trade by main products, 2015 and 2021</w:t>
        </w:r>
        <w:r w:rsidR="009621D1">
          <w:rPr>
            <w:noProof/>
            <w:webHidden/>
          </w:rPr>
          <w:tab/>
        </w:r>
        <w:r w:rsidR="009621D1">
          <w:rPr>
            <w:noProof/>
            <w:webHidden/>
          </w:rPr>
          <w:fldChar w:fldCharType="begin"/>
        </w:r>
        <w:r w:rsidR="009621D1">
          <w:rPr>
            <w:noProof/>
            <w:webHidden/>
          </w:rPr>
          <w:instrText xml:space="preserve"> PAGEREF _Toc117238011 \h </w:instrText>
        </w:r>
        <w:r w:rsidR="009621D1">
          <w:rPr>
            <w:noProof/>
            <w:webHidden/>
          </w:rPr>
        </w:r>
        <w:r w:rsidR="009621D1">
          <w:rPr>
            <w:noProof/>
            <w:webHidden/>
          </w:rPr>
          <w:fldChar w:fldCharType="separate"/>
        </w:r>
        <w:r w:rsidR="00916AB5">
          <w:rPr>
            <w:noProof/>
            <w:webHidden/>
          </w:rPr>
          <w:t>30</w:t>
        </w:r>
        <w:r w:rsidR="009621D1">
          <w:rPr>
            <w:noProof/>
            <w:webHidden/>
          </w:rPr>
          <w:fldChar w:fldCharType="end"/>
        </w:r>
      </w:hyperlink>
    </w:p>
    <w:p w14:paraId="42F0556E" w14:textId="3A7C5587" w:rsidR="009621D1" w:rsidRDefault="00BD37F2">
      <w:pPr>
        <w:pStyle w:val="TableofFigures"/>
        <w:rPr>
          <w:rFonts w:asciiTheme="minorHAnsi" w:eastAsiaTheme="minorEastAsia" w:hAnsiTheme="minorHAnsi" w:cstheme="minorBidi"/>
          <w:noProof/>
          <w:sz w:val="22"/>
          <w:szCs w:val="22"/>
        </w:rPr>
      </w:pPr>
      <w:hyperlink w:anchor="_Toc117238012" w:history="1">
        <w:r w:rsidR="009621D1" w:rsidRPr="009E4E4D">
          <w:rPr>
            <w:rStyle w:val="Hyperlink"/>
            <w:noProof/>
          </w:rPr>
          <w:t>Chart 1.3 Free zone trade by main products, 2015 and 2021</w:t>
        </w:r>
        <w:r w:rsidR="009621D1">
          <w:rPr>
            <w:noProof/>
            <w:webHidden/>
          </w:rPr>
          <w:tab/>
        </w:r>
        <w:r w:rsidR="009621D1">
          <w:rPr>
            <w:noProof/>
            <w:webHidden/>
          </w:rPr>
          <w:fldChar w:fldCharType="begin"/>
        </w:r>
        <w:r w:rsidR="009621D1">
          <w:rPr>
            <w:noProof/>
            <w:webHidden/>
          </w:rPr>
          <w:instrText xml:space="preserve"> PAGEREF _Toc117238012 \h </w:instrText>
        </w:r>
        <w:r w:rsidR="009621D1">
          <w:rPr>
            <w:noProof/>
            <w:webHidden/>
          </w:rPr>
        </w:r>
        <w:r w:rsidR="009621D1">
          <w:rPr>
            <w:noProof/>
            <w:webHidden/>
          </w:rPr>
          <w:fldChar w:fldCharType="separate"/>
        </w:r>
        <w:r w:rsidR="00916AB5">
          <w:rPr>
            <w:noProof/>
            <w:webHidden/>
          </w:rPr>
          <w:t>31</w:t>
        </w:r>
        <w:r w:rsidR="009621D1">
          <w:rPr>
            <w:noProof/>
            <w:webHidden/>
          </w:rPr>
          <w:fldChar w:fldCharType="end"/>
        </w:r>
      </w:hyperlink>
    </w:p>
    <w:p w14:paraId="190A251F" w14:textId="4DC7BFC3" w:rsidR="009621D1" w:rsidRDefault="00BD37F2">
      <w:pPr>
        <w:pStyle w:val="TableofFigures"/>
        <w:rPr>
          <w:rFonts w:asciiTheme="minorHAnsi" w:eastAsiaTheme="minorEastAsia" w:hAnsiTheme="minorHAnsi" w:cstheme="minorBidi"/>
          <w:noProof/>
          <w:sz w:val="22"/>
          <w:szCs w:val="22"/>
        </w:rPr>
      </w:pPr>
      <w:hyperlink w:anchor="_Toc117238013" w:history="1">
        <w:r w:rsidR="009621D1" w:rsidRPr="009E4E4D">
          <w:rPr>
            <w:rStyle w:val="Hyperlink"/>
            <w:noProof/>
          </w:rPr>
          <w:t>Chart 1.4 Merchandise trade by trading partner, 2015 and 2021</w:t>
        </w:r>
        <w:r w:rsidR="009621D1">
          <w:rPr>
            <w:noProof/>
            <w:webHidden/>
          </w:rPr>
          <w:tab/>
        </w:r>
        <w:r w:rsidR="009621D1">
          <w:rPr>
            <w:noProof/>
            <w:webHidden/>
          </w:rPr>
          <w:fldChar w:fldCharType="begin"/>
        </w:r>
        <w:r w:rsidR="009621D1">
          <w:rPr>
            <w:noProof/>
            <w:webHidden/>
          </w:rPr>
          <w:instrText xml:space="preserve"> PAGEREF _Toc117238013 \h </w:instrText>
        </w:r>
        <w:r w:rsidR="009621D1">
          <w:rPr>
            <w:noProof/>
            <w:webHidden/>
          </w:rPr>
        </w:r>
        <w:r w:rsidR="009621D1">
          <w:rPr>
            <w:noProof/>
            <w:webHidden/>
          </w:rPr>
          <w:fldChar w:fldCharType="separate"/>
        </w:r>
        <w:r w:rsidR="00916AB5">
          <w:rPr>
            <w:noProof/>
            <w:webHidden/>
          </w:rPr>
          <w:t>32</w:t>
        </w:r>
        <w:r w:rsidR="009621D1">
          <w:rPr>
            <w:noProof/>
            <w:webHidden/>
          </w:rPr>
          <w:fldChar w:fldCharType="end"/>
        </w:r>
      </w:hyperlink>
    </w:p>
    <w:p w14:paraId="353EC6AB" w14:textId="531D6FEE" w:rsidR="009621D1" w:rsidRDefault="00BD37F2">
      <w:pPr>
        <w:pStyle w:val="TableofFigures"/>
        <w:rPr>
          <w:rFonts w:asciiTheme="minorHAnsi" w:eastAsiaTheme="minorEastAsia" w:hAnsiTheme="minorHAnsi" w:cstheme="minorBidi"/>
          <w:noProof/>
          <w:sz w:val="22"/>
          <w:szCs w:val="22"/>
        </w:rPr>
      </w:pPr>
      <w:hyperlink w:anchor="_Toc117238014" w:history="1">
        <w:r w:rsidR="009621D1" w:rsidRPr="009E4E4D">
          <w:rPr>
            <w:rStyle w:val="Hyperlink"/>
            <w:noProof/>
          </w:rPr>
          <w:t>Chart 1.5 Free zone merchandise trade by trading partner, 2015 and 2021</w:t>
        </w:r>
        <w:r w:rsidR="009621D1">
          <w:rPr>
            <w:noProof/>
            <w:webHidden/>
          </w:rPr>
          <w:tab/>
        </w:r>
        <w:r w:rsidR="009621D1">
          <w:rPr>
            <w:noProof/>
            <w:webHidden/>
          </w:rPr>
          <w:fldChar w:fldCharType="begin"/>
        </w:r>
        <w:r w:rsidR="009621D1">
          <w:rPr>
            <w:noProof/>
            <w:webHidden/>
          </w:rPr>
          <w:instrText xml:space="preserve"> PAGEREF _Toc117238014 \h </w:instrText>
        </w:r>
        <w:r w:rsidR="009621D1">
          <w:rPr>
            <w:noProof/>
            <w:webHidden/>
          </w:rPr>
        </w:r>
        <w:r w:rsidR="009621D1">
          <w:rPr>
            <w:noProof/>
            <w:webHidden/>
          </w:rPr>
          <w:fldChar w:fldCharType="separate"/>
        </w:r>
        <w:r w:rsidR="00916AB5">
          <w:rPr>
            <w:noProof/>
            <w:webHidden/>
          </w:rPr>
          <w:t>33</w:t>
        </w:r>
        <w:r w:rsidR="009621D1">
          <w:rPr>
            <w:noProof/>
            <w:webHidden/>
          </w:rPr>
          <w:fldChar w:fldCharType="end"/>
        </w:r>
      </w:hyperlink>
    </w:p>
    <w:p w14:paraId="44584EA2" w14:textId="4E89A934" w:rsidR="009621D1" w:rsidRDefault="00BD37F2">
      <w:pPr>
        <w:pStyle w:val="TableofFigures"/>
        <w:rPr>
          <w:rFonts w:asciiTheme="minorHAnsi" w:eastAsiaTheme="minorEastAsia" w:hAnsiTheme="minorHAnsi" w:cstheme="minorBidi"/>
          <w:noProof/>
          <w:sz w:val="22"/>
          <w:szCs w:val="22"/>
        </w:rPr>
      </w:pPr>
      <w:hyperlink w:anchor="_Toc117238015" w:history="1">
        <w:r w:rsidR="009621D1" w:rsidRPr="009E4E4D">
          <w:rPr>
            <w:rStyle w:val="Hyperlink"/>
            <w:noProof/>
          </w:rPr>
          <w:t>Chart 2.1 Trade agreements in force in 2022</w:t>
        </w:r>
        <w:r w:rsidR="009621D1">
          <w:rPr>
            <w:noProof/>
            <w:webHidden/>
          </w:rPr>
          <w:tab/>
        </w:r>
        <w:r w:rsidR="009621D1">
          <w:rPr>
            <w:noProof/>
            <w:webHidden/>
          </w:rPr>
          <w:fldChar w:fldCharType="begin"/>
        </w:r>
        <w:r w:rsidR="009621D1">
          <w:rPr>
            <w:noProof/>
            <w:webHidden/>
          </w:rPr>
          <w:instrText xml:space="preserve"> PAGEREF _Toc117238015 \h </w:instrText>
        </w:r>
        <w:r w:rsidR="009621D1">
          <w:rPr>
            <w:noProof/>
            <w:webHidden/>
          </w:rPr>
        </w:r>
        <w:r w:rsidR="009621D1">
          <w:rPr>
            <w:noProof/>
            <w:webHidden/>
          </w:rPr>
          <w:fldChar w:fldCharType="separate"/>
        </w:r>
        <w:r w:rsidR="00916AB5">
          <w:rPr>
            <w:noProof/>
            <w:webHidden/>
          </w:rPr>
          <w:t>42</w:t>
        </w:r>
        <w:r w:rsidR="009621D1">
          <w:rPr>
            <w:noProof/>
            <w:webHidden/>
          </w:rPr>
          <w:fldChar w:fldCharType="end"/>
        </w:r>
      </w:hyperlink>
    </w:p>
    <w:p w14:paraId="0ACD85C1" w14:textId="68586BEA" w:rsidR="009621D1" w:rsidRDefault="00BD37F2">
      <w:pPr>
        <w:pStyle w:val="TableofFigures"/>
        <w:rPr>
          <w:rFonts w:asciiTheme="minorHAnsi" w:eastAsiaTheme="minorEastAsia" w:hAnsiTheme="minorHAnsi" w:cstheme="minorBidi"/>
          <w:noProof/>
          <w:sz w:val="22"/>
          <w:szCs w:val="22"/>
        </w:rPr>
      </w:pPr>
      <w:hyperlink w:anchor="_Toc117238016" w:history="1">
        <w:r w:rsidR="009621D1" w:rsidRPr="009E4E4D">
          <w:rPr>
            <w:rStyle w:val="Hyperlink"/>
            <w:noProof/>
          </w:rPr>
          <w:t>Chart 3.1 Frequency distribution of tariffs, 2014 and 2021</w:t>
        </w:r>
        <w:r w:rsidR="009621D1">
          <w:rPr>
            <w:noProof/>
            <w:webHidden/>
          </w:rPr>
          <w:tab/>
        </w:r>
        <w:r w:rsidR="009621D1">
          <w:rPr>
            <w:noProof/>
            <w:webHidden/>
          </w:rPr>
          <w:fldChar w:fldCharType="begin"/>
        </w:r>
        <w:r w:rsidR="009621D1">
          <w:rPr>
            <w:noProof/>
            <w:webHidden/>
          </w:rPr>
          <w:instrText xml:space="preserve"> PAGEREF _Toc117238016 \h </w:instrText>
        </w:r>
        <w:r w:rsidR="009621D1">
          <w:rPr>
            <w:noProof/>
            <w:webHidden/>
          </w:rPr>
        </w:r>
        <w:r w:rsidR="009621D1">
          <w:rPr>
            <w:noProof/>
            <w:webHidden/>
          </w:rPr>
          <w:fldChar w:fldCharType="separate"/>
        </w:r>
        <w:r w:rsidR="00916AB5">
          <w:rPr>
            <w:noProof/>
            <w:webHidden/>
          </w:rPr>
          <w:t>54</w:t>
        </w:r>
        <w:r w:rsidR="009621D1">
          <w:rPr>
            <w:noProof/>
            <w:webHidden/>
          </w:rPr>
          <w:fldChar w:fldCharType="end"/>
        </w:r>
      </w:hyperlink>
    </w:p>
    <w:p w14:paraId="0990FBFB" w14:textId="4B80C550" w:rsidR="009621D1" w:rsidRDefault="00BD37F2">
      <w:pPr>
        <w:pStyle w:val="TableofFigures"/>
        <w:rPr>
          <w:rFonts w:asciiTheme="minorHAnsi" w:eastAsiaTheme="minorEastAsia" w:hAnsiTheme="minorHAnsi" w:cstheme="minorBidi"/>
          <w:noProof/>
          <w:sz w:val="22"/>
          <w:szCs w:val="22"/>
        </w:rPr>
      </w:pPr>
      <w:hyperlink w:anchor="_Toc117238017" w:history="1">
        <w:r w:rsidR="009621D1" w:rsidRPr="009E4E4D">
          <w:rPr>
            <w:rStyle w:val="Hyperlink"/>
            <w:noProof/>
          </w:rPr>
          <w:t>Chart 3.2 Anti</w:t>
        </w:r>
        <w:r w:rsidR="009621D1" w:rsidRPr="009E4E4D">
          <w:rPr>
            <w:rStyle w:val="Hyperlink"/>
            <w:noProof/>
          </w:rPr>
          <w:noBreakHyphen/>
          <w:t>dumping and anti</w:t>
        </w:r>
        <w:r w:rsidR="009621D1" w:rsidRPr="009E4E4D">
          <w:rPr>
            <w:rStyle w:val="Hyperlink"/>
            <w:noProof/>
          </w:rPr>
          <w:noBreakHyphen/>
          <w:t>subsidy investigations and adoption of measures, 2022</w:t>
        </w:r>
        <w:r w:rsidR="009621D1">
          <w:rPr>
            <w:noProof/>
            <w:webHidden/>
          </w:rPr>
          <w:tab/>
        </w:r>
        <w:r w:rsidR="009621D1">
          <w:rPr>
            <w:noProof/>
            <w:webHidden/>
          </w:rPr>
          <w:fldChar w:fldCharType="begin"/>
        </w:r>
        <w:r w:rsidR="009621D1">
          <w:rPr>
            <w:noProof/>
            <w:webHidden/>
          </w:rPr>
          <w:instrText xml:space="preserve"> PAGEREF _Toc117238017 \h </w:instrText>
        </w:r>
        <w:r w:rsidR="009621D1">
          <w:rPr>
            <w:noProof/>
            <w:webHidden/>
          </w:rPr>
        </w:r>
        <w:r w:rsidR="009621D1">
          <w:rPr>
            <w:noProof/>
            <w:webHidden/>
          </w:rPr>
          <w:fldChar w:fldCharType="separate"/>
        </w:r>
        <w:r w:rsidR="00916AB5">
          <w:rPr>
            <w:noProof/>
            <w:webHidden/>
          </w:rPr>
          <w:t>62</w:t>
        </w:r>
        <w:r w:rsidR="009621D1">
          <w:rPr>
            <w:noProof/>
            <w:webHidden/>
          </w:rPr>
          <w:fldChar w:fldCharType="end"/>
        </w:r>
      </w:hyperlink>
    </w:p>
    <w:p w14:paraId="1A1F8EDF" w14:textId="32DCDF6F" w:rsidR="009621D1" w:rsidRDefault="00BD37F2">
      <w:pPr>
        <w:pStyle w:val="TableofFigures"/>
        <w:rPr>
          <w:rFonts w:asciiTheme="minorHAnsi" w:eastAsiaTheme="minorEastAsia" w:hAnsiTheme="minorHAnsi" w:cstheme="minorBidi"/>
          <w:noProof/>
          <w:sz w:val="22"/>
          <w:szCs w:val="22"/>
        </w:rPr>
      </w:pPr>
      <w:hyperlink w:anchor="_Toc117238018" w:history="1">
        <w:r w:rsidR="009621D1" w:rsidRPr="009E4E4D">
          <w:rPr>
            <w:rStyle w:val="Hyperlink"/>
            <w:noProof/>
          </w:rPr>
          <w:t>Chart 3.3 Safeguard investigation procedures</w:t>
        </w:r>
        <w:r w:rsidR="009621D1">
          <w:rPr>
            <w:noProof/>
            <w:webHidden/>
          </w:rPr>
          <w:tab/>
        </w:r>
        <w:r w:rsidR="009621D1">
          <w:rPr>
            <w:noProof/>
            <w:webHidden/>
          </w:rPr>
          <w:fldChar w:fldCharType="begin"/>
        </w:r>
        <w:r w:rsidR="009621D1">
          <w:rPr>
            <w:noProof/>
            <w:webHidden/>
          </w:rPr>
          <w:instrText xml:space="preserve"> PAGEREF _Toc117238018 \h </w:instrText>
        </w:r>
        <w:r w:rsidR="009621D1">
          <w:rPr>
            <w:noProof/>
            <w:webHidden/>
          </w:rPr>
        </w:r>
        <w:r w:rsidR="009621D1">
          <w:rPr>
            <w:noProof/>
            <w:webHidden/>
          </w:rPr>
          <w:fldChar w:fldCharType="separate"/>
        </w:r>
        <w:r w:rsidR="00916AB5">
          <w:rPr>
            <w:noProof/>
            <w:webHidden/>
          </w:rPr>
          <w:t>63</w:t>
        </w:r>
        <w:r w:rsidR="009621D1">
          <w:rPr>
            <w:noProof/>
            <w:webHidden/>
          </w:rPr>
          <w:fldChar w:fldCharType="end"/>
        </w:r>
      </w:hyperlink>
    </w:p>
    <w:p w14:paraId="47B8CDD0" w14:textId="21ABB3A3" w:rsidR="009621D1" w:rsidRDefault="00BD37F2">
      <w:pPr>
        <w:pStyle w:val="TableofFigures"/>
        <w:rPr>
          <w:rFonts w:asciiTheme="minorHAnsi" w:eastAsiaTheme="minorEastAsia" w:hAnsiTheme="minorHAnsi" w:cstheme="minorBidi"/>
          <w:noProof/>
          <w:sz w:val="22"/>
          <w:szCs w:val="22"/>
        </w:rPr>
      </w:pPr>
      <w:hyperlink w:anchor="_Toc117238019" w:history="1">
        <w:r w:rsidR="009621D1" w:rsidRPr="009E4E4D">
          <w:rPr>
            <w:rStyle w:val="Hyperlink"/>
            <w:noProof/>
          </w:rPr>
          <w:t>Chart 3.4 Composition of SIDOCAL</w:t>
        </w:r>
        <w:r w:rsidR="009621D1">
          <w:rPr>
            <w:noProof/>
            <w:webHidden/>
          </w:rPr>
          <w:tab/>
        </w:r>
        <w:r w:rsidR="009621D1">
          <w:rPr>
            <w:noProof/>
            <w:webHidden/>
          </w:rPr>
          <w:fldChar w:fldCharType="begin"/>
        </w:r>
        <w:r w:rsidR="009621D1">
          <w:rPr>
            <w:noProof/>
            <w:webHidden/>
          </w:rPr>
          <w:instrText xml:space="preserve"> PAGEREF _Toc117238019 \h </w:instrText>
        </w:r>
        <w:r w:rsidR="009621D1">
          <w:rPr>
            <w:noProof/>
            <w:webHidden/>
          </w:rPr>
        </w:r>
        <w:r w:rsidR="009621D1">
          <w:rPr>
            <w:noProof/>
            <w:webHidden/>
          </w:rPr>
          <w:fldChar w:fldCharType="separate"/>
        </w:r>
        <w:r w:rsidR="00916AB5">
          <w:rPr>
            <w:noProof/>
            <w:webHidden/>
          </w:rPr>
          <w:t>70</w:t>
        </w:r>
        <w:r w:rsidR="009621D1">
          <w:rPr>
            <w:noProof/>
            <w:webHidden/>
          </w:rPr>
          <w:fldChar w:fldCharType="end"/>
        </w:r>
      </w:hyperlink>
    </w:p>
    <w:p w14:paraId="17BC855F" w14:textId="1F81C6B7" w:rsidR="009621D1" w:rsidRDefault="00BD37F2">
      <w:pPr>
        <w:pStyle w:val="TableofFigures"/>
        <w:rPr>
          <w:rFonts w:asciiTheme="minorHAnsi" w:eastAsiaTheme="minorEastAsia" w:hAnsiTheme="minorHAnsi" w:cstheme="minorBidi"/>
          <w:noProof/>
          <w:sz w:val="22"/>
          <w:szCs w:val="22"/>
        </w:rPr>
      </w:pPr>
      <w:hyperlink w:anchor="_Toc117238020" w:history="1">
        <w:r w:rsidR="009621D1" w:rsidRPr="009E4E4D">
          <w:rPr>
            <w:rStyle w:val="Hyperlink"/>
            <w:noProof/>
          </w:rPr>
          <w:t>Chart 3.5 Drafting procedure for a technical regulation</w:t>
        </w:r>
        <w:r w:rsidR="009621D1">
          <w:rPr>
            <w:noProof/>
            <w:webHidden/>
          </w:rPr>
          <w:tab/>
        </w:r>
        <w:r w:rsidR="009621D1">
          <w:rPr>
            <w:noProof/>
            <w:webHidden/>
          </w:rPr>
          <w:fldChar w:fldCharType="begin"/>
        </w:r>
        <w:r w:rsidR="009621D1">
          <w:rPr>
            <w:noProof/>
            <w:webHidden/>
          </w:rPr>
          <w:instrText xml:space="preserve"> PAGEREF _Toc117238020 \h </w:instrText>
        </w:r>
        <w:r w:rsidR="009621D1">
          <w:rPr>
            <w:noProof/>
            <w:webHidden/>
          </w:rPr>
        </w:r>
        <w:r w:rsidR="009621D1">
          <w:rPr>
            <w:noProof/>
            <w:webHidden/>
          </w:rPr>
          <w:fldChar w:fldCharType="separate"/>
        </w:r>
        <w:r w:rsidR="00916AB5">
          <w:rPr>
            <w:noProof/>
            <w:webHidden/>
          </w:rPr>
          <w:t>72</w:t>
        </w:r>
        <w:r w:rsidR="009621D1">
          <w:rPr>
            <w:noProof/>
            <w:webHidden/>
          </w:rPr>
          <w:fldChar w:fldCharType="end"/>
        </w:r>
      </w:hyperlink>
    </w:p>
    <w:p w14:paraId="36555B10" w14:textId="34276C7F" w:rsidR="009621D1" w:rsidRDefault="00BD37F2">
      <w:pPr>
        <w:pStyle w:val="TableofFigures"/>
        <w:rPr>
          <w:rFonts w:asciiTheme="minorHAnsi" w:eastAsiaTheme="minorEastAsia" w:hAnsiTheme="minorHAnsi" w:cstheme="minorBidi"/>
          <w:noProof/>
          <w:sz w:val="22"/>
          <w:szCs w:val="22"/>
        </w:rPr>
      </w:pPr>
      <w:hyperlink w:anchor="_Toc117238021" w:history="1">
        <w:r w:rsidR="009621D1" w:rsidRPr="009E4E4D">
          <w:rPr>
            <w:rStyle w:val="Hyperlink"/>
            <w:noProof/>
          </w:rPr>
          <w:t>Chart 3.6 Procedure for drafting Dominican standards</w:t>
        </w:r>
        <w:r w:rsidR="009621D1">
          <w:rPr>
            <w:noProof/>
            <w:webHidden/>
          </w:rPr>
          <w:tab/>
        </w:r>
        <w:r w:rsidR="009621D1">
          <w:rPr>
            <w:noProof/>
            <w:webHidden/>
          </w:rPr>
          <w:fldChar w:fldCharType="begin"/>
        </w:r>
        <w:r w:rsidR="009621D1">
          <w:rPr>
            <w:noProof/>
            <w:webHidden/>
          </w:rPr>
          <w:instrText xml:space="preserve"> PAGEREF _Toc117238021 \h </w:instrText>
        </w:r>
        <w:r w:rsidR="009621D1">
          <w:rPr>
            <w:noProof/>
            <w:webHidden/>
          </w:rPr>
        </w:r>
        <w:r w:rsidR="009621D1">
          <w:rPr>
            <w:noProof/>
            <w:webHidden/>
          </w:rPr>
          <w:fldChar w:fldCharType="separate"/>
        </w:r>
        <w:r w:rsidR="00916AB5">
          <w:rPr>
            <w:noProof/>
            <w:webHidden/>
          </w:rPr>
          <w:t>73</w:t>
        </w:r>
        <w:r w:rsidR="009621D1">
          <w:rPr>
            <w:noProof/>
            <w:webHidden/>
          </w:rPr>
          <w:fldChar w:fldCharType="end"/>
        </w:r>
      </w:hyperlink>
    </w:p>
    <w:p w14:paraId="03934E95" w14:textId="1C22295D" w:rsidR="009621D1" w:rsidRDefault="00BD37F2">
      <w:pPr>
        <w:pStyle w:val="TableofFigures"/>
        <w:rPr>
          <w:rFonts w:asciiTheme="minorHAnsi" w:eastAsiaTheme="minorEastAsia" w:hAnsiTheme="minorHAnsi" w:cstheme="minorBidi"/>
          <w:noProof/>
          <w:sz w:val="22"/>
          <w:szCs w:val="22"/>
        </w:rPr>
      </w:pPr>
      <w:hyperlink w:anchor="_Toc117238022" w:history="1">
        <w:r w:rsidR="009621D1" w:rsidRPr="009E4E4D">
          <w:rPr>
            <w:rStyle w:val="Hyperlink"/>
            <w:noProof/>
          </w:rPr>
          <w:t>Chart 3.7 Data on industrial property protection rights, 2015</w:t>
        </w:r>
        <w:r w:rsidR="009621D1" w:rsidRPr="009E4E4D">
          <w:rPr>
            <w:rStyle w:val="Hyperlink"/>
            <w:noProof/>
          </w:rPr>
          <w:noBreakHyphen/>
          <w:t>21</w:t>
        </w:r>
        <w:r w:rsidR="009621D1">
          <w:rPr>
            <w:noProof/>
            <w:webHidden/>
          </w:rPr>
          <w:tab/>
        </w:r>
        <w:r w:rsidR="009621D1">
          <w:rPr>
            <w:noProof/>
            <w:webHidden/>
          </w:rPr>
          <w:fldChar w:fldCharType="begin"/>
        </w:r>
        <w:r w:rsidR="009621D1">
          <w:rPr>
            <w:noProof/>
            <w:webHidden/>
          </w:rPr>
          <w:instrText xml:space="preserve"> PAGEREF _Toc117238022 \h </w:instrText>
        </w:r>
        <w:r w:rsidR="009621D1">
          <w:rPr>
            <w:noProof/>
            <w:webHidden/>
          </w:rPr>
        </w:r>
        <w:r w:rsidR="009621D1">
          <w:rPr>
            <w:noProof/>
            <w:webHidden/>
          </w:rPr>
          <w:fldChar w:fldCharType="separate"/>
        </w:r>
        <w:r w:rsidR="00916AB5">
          <w:rPr>
            <w:noProof/>
            <w:webHidden/>
          </w:rPr>
          <w:t>91</w:t>
        </w:r>
        <w:r w:rsidR="009621D1">
          <w:rPr>
            <w:noProof/>
            <w:webHidden/>
          </w:rPr>
          <w:fldChar w:fldCharType="end"/>
        </w:r>
      </w:hyperlink>
    </w:p>
    <w:p w14:paraId="03245B84" w14:textId="453A4E78" w:rsidR="00C212B3" w:rsidRDefault="00C212B3" w:rsidP="00C212B3">
      <w:r>
        <w:rPr>
          <w:b/>
          <w:bCs/>
          <w:noProof/>
          <w:lang w:val="en-US"/>
        </w:rPr>
        <w:fldChar w:fldCharType="end"/>
      </w:r>
    </w:p>
    <w:p w14:paraId="24D77EF8" w14:textId="77777777" w:rsidR="00C212B3" w:rsidRDefault="00C212B3" w:rsidP="00C212B3">
      <w:pPr>
        <w:pStyle w:val="TOCHeading"/>
      </w:pPr>
      <w:r>
        <w:t>TABLES</w:t>
      </w:r>
    </w:p>
    <w:p w14:paraId="7A2EA36B" w14:textId="77777777" w:rsidR="00C212B3" w:rsidRDefault="00C212B3" w:rsidP="00C212B3"/>
    <w:p w14:paraId="2AD162D6" w14:textId="61D2F974" w:rsidR="00ED050F" w:rsidRDefault="00C212B3" w:rsidP="00916AB5">
      <w:pPr>
        <w:pStyle w:val="TableofFigures"/>
        <w:jc w:val="left"/>
        <w:rPr>
          <w:rFonts w:asciiTheme="minorHAnsi" w:eastAsiaTheme="minorEastAsia" w:hAnsiTheme="minorHAnsi" w:cstheme="minorBidi"/>
          <w:noProof/>
          <w:sz w:val="22"/>
          <w:szCs w:val="22"/>
        </w:rPr>
      </w:pPr>
      <w:r>
        <w:fldChar w:fldCharType="begin"/>
      </w:r>
      <w:r>
        <w:instrText xml:space="preserve"> TOC \h \z \c "Table" </w:instrText>
      </w:r>
      <w:r>
        <w:fldChar w:fldCharType="separate"/>
      </w:r>
      <w:hyperlink w:anchor="_Toc117238023" w:history="1">
        <w:r w:rsidR="00ED050F" w:rsidRPr="004739A6">
          <w:rPr>
            <w:rStyle w:val="Hyperlink"/>
            <w:noProof/>
          </w:rPr>
          <w:t>Table 1.1 Main economic indicators, 2014</w:t>
        </w:r>
        <w:r w:rsidR="00ED050F" w:rsidRPr="004739A6">
          <w:rPr>
            <w:rStyle w:val="Hyperlink"/>
            <w:noProof/>
          </w:rPr>
          <w:noBreakHyphen/>
          <w:t>first quarter 2022</w:t>
        </w:r>
        <w:r w:rsidR="00ED050F">
          <w:rPr>
            <w:noProof/>
            <w:webHidden/>
          </w:rPr>
          <w:tab/>
        </w:r>
        <w:r w:rsidR="00ED050F">
          <w:rPr>
            <w:noProof/>
            <w:webHidden/>
          </w:rPr>
          <w:fldChar w:fldCharType="begin"/>
        </w:r>
        <w:r w:rsidR="00ED050F">
          <w:rPr>
            <w:noProof/>
            <w:webHidden/>
          </w:rPr>
          <w:instrText xml:space="preserve"> PAGEREF _Toc117238023 \h </w:instrText>
        </w:r>
        <w:r w:rsidR="00ED050F">
          <w:rPr>
            <w:noProof/>
            <w:webHidden/>
          </w:rPr>
        </w:r>
        <w:r w:rsidR="00ED050F">
          <w:rPr>
            <w:noProof/>
            <w:webHidden/>
          </w:rPr>
          <w:fldChar w:fldCharType="separate"/>
        </w:r>
        <w:r w:rsidR="00916AB5">
          <w:rPr>
            <w:noProof/>
            <w:webHidden/>
          </w:rPr>
          <w:t>12</w:t>
        </w:r>
        <w:r w:rsidR="00ED050F">
          <w:rPr>
            <w:noProof/>
            <w:webHidden/>
          </w:rPr>
          <w:fldChar w:fldCharType="end"/>
        </w:r>
      </w:hyperlink>
    </w:p>
    <w:p w14:paraId="3DC97014" w14:textId="029BC8D5" w:rsidR="00ED050F" w:rsidRDefault="00BD37F2" w:rsidP="00916AB5">
      <w:pPr>
        <w:pStyle w:val="TableofFigures"/>
        <w:jc w:val="left"/>
        <w:rPr>
          <w:rFonts w:asciiTheme="minorHAnsi" w:eastAsiaTheme="minorEastAsia" w:hAnsiTheme="minorHAnsi" w:cstheme="minorBidi"/>
          <w:noProof/>
          <w:sz w:val="22"/>
          <w:szCs w:val="22"/>
        </w:rPr>
      </w:pPr>
      <w:hyperlink w:anchor="_Toc117238024" w:history="1">
        <w:r w:rsidR="00ED050F" w:rsidRPr="004739A6">
          <w:rPr>
            <w:rStyle w:val="Hyperlink"/>
            <w:noProof/>
          </w:rPr>
          <w:t>Table 1.2 Statement of central Government and NFPS budgetary operations,</w:t>
        </w:r>
        <w:r w:rsidR="00016887">
          <w:rPr>
            <w:rStyle w:val="Hyperlink"/>
            <w:rFonts w:eastAsiaTheme="majorEastAsia"/>
            <w:noProof/>
          </w:rPr>
          <w:br/>
        </w:r>
        <w:r w:rsidR="00ED050F" w:rsidRPr="004739A6">
          <w:rPr>
            <w:rStyle w:val="Hyperlink"/>
            <w:noProof/>
          </w:rPr>
          <w:t>2014</w:t>
        </w:r>
        <w:r w:rsidR="00ED050F" w:rsidRPr="004739A6">
          <w:rPr>
            <w:rStyle w:val="Hyperlink"/>
            <w:noProof/>
          </w:rPr>
          <w:noBreakHyphen/>
          <w:t>first quarter 2022</w:t>
        </w:r>
        <w:r w:rsidR="00ED050F">
          <w:rPr>
            <w:noProof/>
            <w:webHidden/>
          </w:rPr>
          <w:tab/>
        </w:r>
        <w:r w:rsidR="00ED050F">
          <w:rPr>
            <w:noProof/>
            <w:webHidden/>
          </w:rPr>
          <w:fldChar w:fldCharType="begin"/>
        </w:r>
        <w:r w:rsidR="00ED050F">
          <w:rPr>
            <w:noProof/>
            <w:webHidden/>
          </w:rPr>
          <w:instrText xml:space="preserve"> PAGEREF _Toc117238024 \h </w:instrText>
        </w:r>
        <w:r w:rsidR="00ED050F">
          <w:rPr>
            <w:noProof/>
            <w:webHidden/>
          </w:rPr>
        </w:r>
        <w:r w:rsidR="00ED050F">
          <w:rPr>
            <w:noProof/>
            <w:webHidden/>
          </w:rPr>
          <w:fldChar w:fldCharType="separate"/>
        </w:r>
        <w:r w:rsidR="00916AB5">
          <w:rPr>
            <w:noProof/>
            <w:webHidden/>
          </w:rPr>
          <w:t>18</w:t>
        </w:r>
        <w:r w:rsidR="00ED050F">
          <w:rPr>
            <w:noProof/>
            <w:webHidden/>
          </w:rPr>
          <w:fldChar w:fldCharType="end"/>
        </w:r>
      </w:hyperlink>
    </w:p>
    <w:p w14:paraId="73DD7BEA" w14:textId="6D4D9696" w:rsidR="00ED050F" w:rsidRDefault="00BD37F2" w:rsidP="00916AB5">
      <w:pPr>
        <w:pStyle w:val="TableofFigures"/>
        <w:jc w:val="left"/>
        <w:rPr>
          <w:rFonts w:asciiTheme="minorHAnsi" w:eastAsiaTheme="minorEastAsia" w:hAnsiTheme="minorHAnsi" w:cstheme="minorBidi"/>
          <w:noProof/>
          <w:sz w:val="22"/>
          <w:szCs w:val="22"/>
        </w:rPr>
      </w:pPr>
      <w:hyperlink w:anchor="_Toc117238025" w:history="1">
        <w:r w:rsidR="00ED050F" w:rsidRPr="004739A6">
          <w:rPr>
            <w:rStyle w:val="Hyperlink"/>
            <w:noProof/>
          </w:rPr>
          <w:t>Table 1.3 Central Government expenditure on social protection programmes in response to COVID</w:t>
        </w:r>
        <w:r w:rsidR="00ED050F" w:rsidRPr="004739A6">
          <w:rPr>
            <w:rStyle w:val="Hyperlink"/>
            <w:noProof/>
          </w:rPr>
          <w:noBreakHyphen/>
          <w:t>19, February 2022</w:t>
        </w:r>
        <w:r w:rsidR="00ED050F">
          <w:rPr>
            <w:noProof/>
            <w:webHidden/>
          </w:rPr>
          <w:tab/>
        </w:r>
        <w:r w:rsidR="00ED050F">
          <w:rPr>
            <w:noProof/>
            <w:webHidden/>
          </w:rPr>
          <w:fldChar w:fldCharType="begin"/>
        </w:r>
        <w:r w:rsidR="00ED050F">
          <w:rPr>
            <w:noProof/>
            <w:webHidden/>
          </w:rPr>
          <w:instrText xml:space="preserve"> PAGEREF _Toc117238025 \h </w:instrText>
        </w:r>
        <w:r w:rsidR="00ED050F">
          <w:rPr>
            <w:noProof/>
            <w:webHidden/>
          </w:rPr>
        </w:r>
        <w:r w:rsidR="00ED050F">
          <w:rPr>
            <w:noProof/>
            <w:webHidden/>
          </w:rPr>
          <w:fldChar w:fldCharType="separate"/>
        </w:r>
        <w:r w:rsidR="00916AB5">
          <w:rPr>
            <w:noProof/>
            <w:webHidden/>
          </w:rPr>
          <w:t>20</w:t>
        </w:r>
        <w:r w:rsidR="00ED050F">
          <w:rPr>
            <w:noProof/>
            <w:webHidden/>
          </w:rPr>
          <w:fldChar w:fldCharType="end"/>
        </w:r>
      </w:hyperlink>
    </w:p>
    <w:p w14:paraId="12E7B93F" w14:textId="7A0C01A4" w:rsidR="00ED050F" w:rsidRDefault="00BD37F2" w:rsidP="00916AB5">
      <w:pPr>
        <w:pStyle w:val="TableofFigures"/>
        <w:jc w:val="left"/>
        <w:rPr>
          <w:rFonts w:asciiTheme="minorHAnsi" w:eastAsiaTheme="minorEastAsia" w:hAnsiTheme="minorHAnsi" w:cstheme="minorBidi"/>
          <w:noProof/>
          <w:sz w:val="22"/>
          <w:szCs w:val="22"/>
        </w:rPr>
      </w:pPr>
      <w:hyperlink w:anchor="_Toc117238026" w:history="1">
        <w:r w:rsidR="00ED050F" w:rsidRPr="004739A6">
          <w:rPr>
            <w:rStyle w:val="Hyperlink"/>
            <w:noProof/>
          </w:rPr>
          <w:t>Table 1.4 Main monetary indicators, 2014</w:t>
        </w:r>
        <w:r w:rsidR="00ED050F" w:rsidRPr="004739A6">
          <w:rPr>
            <w:rStyle w:val="Hyperlink"/>
            <w:noProof/>
          </w:rPr>
          <w:noBreakHyphen/>
          <w:t>first quarter 2022</w:t>
        </w:r>
        <w:r w:rsidR="00ED050F">
          <w:rPr>
            <w:noProof/>
            <w:webHidden/>
          </w:rPr>
          <w:tab/>
        </w:r>
        <w:r w:rsidR="00ED050F">
          <w:rPr>
            <w:noProof/>
            <w:webHidden/>
          </w:rPr>
          <w:fldChar w:fldCharType="begin"/>
        </w:r>
        <w:r w:rsidR="00ED050F">
          <w:rPr>
            <w:noProof/>
            <w:webHidden/>
          </w:rPr>
          <w:instrText xml:space="preserve"> PAGEREF _Toc117238026 \h </w:instrText>
        </w:r>
        <w:r w:rsidR="00ED050F">
          <w:rPr>
            <w:noProof/>
            <w:webHidden/>
          </w:rPr>
        </w:r>
        <w:r w:rsidR="00ED050F">
          <w:rPr>
            <w:noProof/>
            <w:webHidden/>
          </w:rPr>
          <w:fldChar w:fldCharType="separate"/>
        </w:r>
        <w:r w:rsidR="00916AB5">
          <w:rPr>
            <w:noProof/>
            <w:webHidden/>
          </w:rPr>
          <w:t>24</w:t>
        </w:r>
        <w:r w:rsidR="00ED050F">
          <w:rPr>
            <w:noProof/>
            <w:webHidden/>
          </w:rPr>
          <w:fldChar w:fldCharType="end"/>
        </w:r>
      </w:hyperlink>
    </w:p>
    <w:p w14:paraId="5EBA5577" w14:textId="1F38AFCD" w:rsidR="00ED050F" w:rsidRDefault="00BD37F2" w:rsidP="00916AB5">
      <w:pPr>
        <w:pStyle w:val="TableofFigures"/>
        <w:jc w:val="left"/>
        <w:rPr>
          <w:rFonts w:asciiTheme="minorHAnsi" w:eastAsiaTheme="minorEastAsia" w:hAnsiTheme="minorHAnsi" w:cstheme="minorBidi"/>
          <w:noProof/>
          <w:sz w:val="22"/>
          <w:szCs w:val="22"/>
        </w:rPr>
      </w:pPr>
      <w:hyperlink w:anchor="_Toc117238027" w:history="1">
        <w:r w:rsidR="00ED050F" w:rsidRPr="004739A6">
          <w:rPr>
            <w:rStyle w:val="Hyperlink"/>
            <w:noProof/>
          </w:rPr>
          <w:t>Table 1.5 Balance of payments, 2014</w:t>
        </w:r>
        <w:r w:rsidR="00ED050F" w:rsidRPr="004739A6">
          <w:rPr>
            <w:rStyle w:val="Hyperlink"/>
            <w:noProof/>
          </w:rPr>
          <w:noBreakHyphen/>
          <w:t>21</w:t>
        </w:r>
        <w:r w:rsidR="00ED050F">
          <w:rPr>
            <w:noProof/>
            <w:webHidden/>
          </w:rPr>
          <w:tab/>
        </w:r>
        <w:r w:rsidR="00ED050F">
          <w:rPr>
            <w:noProof/>
            <w:webHidden/>
          </w:rPr>
          <w:fldChar w:fldCharType="begin"/>
        </w:r>
        <w:r w:rsidR="00ED050F">
          <w:rPr>
            <w:noProof/>
            <w:webHidden/>
          </w:rPr>
          <w:instrText xml:space="preserve"> PAGEREF _Toc117238027 \h </w:instrText>
        </w:r>
        <w:r w:rsidR="00ED050F">
          <w:rPr>
            <w:noProof/>
            <w:webHidden/>
          </w:rPr>
        </w:r>
        <w:r w:rsidR="00ED050F">
          <w:rPr>
            <w:noProof/>
            <w:webHidden/>
          </w:rPr>
          <w:fldChar w:fldCharType="separate"/>
        </w:r>
        <w:r w:rsidR="00916AB5">
          <w:rPr>
            <w:noProof/>
            <w:webHidden/>
          </w:rPr>
          <w:t>27</w:t>
        </w:r>
        <w:r w:rsidR="00ED050F">
          <w:rPr>
            <w:noProof/>
            <w:webHidden/>
          </w:rPr>
          <w:fldChar w:fldCharType="end"/>
        </w:r>
      </w:hyperlink>
    </w:p>
    <w:p w14:paraId="2D6D9D2F" w14:textId="3A2761CC" w:rsidR="00ED050F" w:rsidRDefault="00BD37F2" w:rsidP="00916AB5">
      <w:pPr>
        <w:pStyle w:val="TableofFigures"/>
        <w:jc w:val="left"/>
        <w:rPr>
          <w:rFonts w:asciiTheme="minorHAnsi" w:eastAsiaTheme="minorEastAsia" w:hAnsiTheme="minorHAnsi" w:cstheme="minorBidi"/>
          <w:noProof/>
          <w:sz w:val="22"/>
          <w:szCs w:val="22"/>
        </w:rPr>
      </w:pPr>
      <w:hyperlink w:anchor="_Toc117238028" w:history="1">
        <w:r w:rsidR="00ED050F" w:rsidRPr="004739A6">
          <w:rPr>
            <w:rStyle w:val="Hyperlink"/>
            <w:noProof/>
          </w:rPr>
          <w:t>Table 1.6 Services balance, 2015</w:t>
        </w:r>
        <w:r w:rsidR="00ED050F" w:rsidRPr="004739A6">
          <w:rPr>
            <w:rStyle w:val="Hyperlink"/>
            <w:noProof/>
          </w:rPr>
          <w:noBreakHyphen/>
          <w:t>21</w:t>
        </w:r>
        <w:r w:rsidR="00ED050F">
          <w:rPr>
            <w:noProof/>
            <w:webHidden/>
          </w:rPr>
          <w:tab/>
        </w:r>
        <w:r w:rsidR="00ED050F">
          <w:rPr>
            <w:noProof/>
            <w:webHidden/>
          </w:rPr>
          <w:fldChar w:fldCharType="begin"/>
        </w:r>
        <w:r w:rsidR="00ED050F">
          <w:rPr>
            <w:noProof/>
            <w:webHidden/>
          </w:rPr>
          <w:instrText xml:space="preserve"> PAGEREF _Toc117238028 \h </w:instrText>
        </w:r>
        <w:r w:rsidR="00ED050F">
          <w:rPr>
            <w:noProof/>
            <w:webHidden/>
          </w:rPr>
        </w:r>
        <w:r w:rsidR="00ED050F">
          <w:rPr>
            <w:noProof/>
            <w:webHidden/>
          </w:rPr>
          <w:fldChar w:fldCharType="separate"/>
        </w:r>
        <w:r w:rsidR="00916AB5">
          <w:rPr>
            <w:noProof/>
            <w:webHidden/>
          </w:rPr>
          <w:t>34</w:t>
        </w:r>
        <w:r w:rsidR="00ED050F">
          <w:rPr>
            <w:noProof/>
            <w:webHidden/>
          </w:rPr>
          <w:fldChar w:fldCharType="end"/>
        </w:r>
      </w:hyperlink>
    </w:p>
    <w:p w14:paraId="6133DD94" w14:textId="760BFB3E" w:rsidR="00ED050F" w:rsidRDefault="00BD37F2" w:rsidP="00916AB5">
      <w:pPr>
        <w:pStyle w:val="TableofFigures"/>
        <w:jc w:val="left"/>
        <w:rPr>
          <w:rFonts w:asciiTheme="minorHAnsi" w:eastAsiaTheme="minorEastAsia" w:hAnsiTheme="minorHAnsi" w:cstheme="minorBidi"/>
          <w:noProof/>
          <w:sz w:val="22"/>
          <w:szCs w:val="22"/>
        </w:rPr>
      </w:pPr>
      <w:hyperlink w:anchor="_Toc117238029" w:history="1">
        <w:r w:rsidR="00ED050F" w:rsidRPr="004739A6">
          <w:rPr>
            <w:rStyle w:val="Hyperlink"/>
            <w:noProof/>
          </w:rPr>
          <w:t>Table 1.7 FDI flows by sector, 2014</w:t>
        </w:r>
        <w:r w:rsidR="00ED050F" w:rsidRPr="004739A6">
          <w:rPr>
            <w:rStyle w:val="Hyperlink"/>
            <w:noProof/>
          </w:rPr>
          <w:noBreakHyphen/>
          <w:t>21</w:t>
        </w:r>
        <w:r w:rsidR="00ED050F">
          <w:rPr>
            <w:noProof/>
            <w:webHidden/>
          </w:rPr>
          <w:tab/>
        </w:r>
        <w:r w:rsidR="00ED050F">
          <w:rPr>
            <w:noProof/>
            <w:webHidden/>
          </w:rPr>
          <w:fldChar w:fldCharType="begin"/>
        </w:r>
        <w:r w:rsidR="00ED050F">
          <w:rPr>
            <w:noProof/>
            <w:webHidden/>
          </w:rPr>
          <w:instrText xml:space="preserve"> PAGEREF _Toc117238029 \h </w:instrText>
        </w:r>
        <w:r w:rsidR="00ED050F">
          <w:rPr>
            <w:noProof/>
            <w:webHidden/>
          </w:rPr>
        </w:r>
        <w:r w:rsidR="00ED050F">
          <w:rPr>
            <w:noProof/>
            <w:webHidden/>
          </w:rPr>
          <w:fldChar w:fldCharType="separate"/>
        </w:r>
        <w:r w:rsidR="00916AB5">
          <w:rPr>
            <w:noProof/>
            <w:webHidden/>
          </w:rPr>
          <w:t>35</w:t>
        </w:r>
        <w:r w:rsidR="00ED050F">
          <w:rPr>
            <w:noProof/>
            <w:webHidden/>
          </w:rPr>
          <w:fldChar w:fldCharType="end"/>
        </w:r>
      </w:hyperlink>
    </w:p>
    <w:p w14:paraId="1DC857E0" w14:textId="38DC17A0" w:rsidR="00ED050F" w:rsidRDefault="00BD37F2" w:rsidP="00916AB5">
      <w:pPr>
        <w:pStyle w:val="TableofFigures"/>
        <w:jc w:val="left"/>
        <w:rPr>
          <w:rFonts w:asciiTheme="minorHAnsi" w:eastAsiaTheme="minorEastAsia" w:hAnsiTheme="minorHAnsi" w:cstheme="minorBidi"/>
          <w:noProof/>
          <w:sz w:val="22"/>
          <w:szCs w:val="22"/>
        </w:rPr>
      </w:pPr>
      <w:hyperlink w:anchor="_Toc117238030" w:history="1">
        <w:r w:rsidR="00ED050F" w:rsidRPr="004739A6">
          <w:rPr>
            <w:rStyle w:val="Hyperlink"/>
            <w:noProof/>
          </w:rPr>
          <w:t>Table 1.8 FDI flows by country of origin, 2014</w:t>
        </w:r>
        <w:r w:rsidR="00ED050F" w:rsidRPr="004739A6">
          <w:rPr>
            <w:rStyle w:val="Hyperlink"/>
            <w:noProof/>
          </w:rPr>
          <w:noBreakHyphen/>
          <w:t>21</w:t>
        </w:r>
        <w:r w:rsidR="00ED050F">
          <w:rPr>
            <w:noProof/>
            <w:webHidden/>
          </w:rPr>
          <w:tab/>
        </w:r>
        <w:r w:rsidR="00ED050F">
          <w:rPr>
            <w:noProof/>
            <w:webHidden/>
          </w:rPr>
          <w:fldChar w:fldCharType="begin"/>
        </w:r>
        <w:r w:rsidR="00ED050F">
          <w:rPr>
            <w:noProof/>
            <w:webHidden/>
          </w:rPr>
          <w:instrText xml:space="preserve"> PAGEREF _Toc117238030 \h </w:instrText>
        </w:r>
        <w:r w:rsidR="00ED050F">
          <w:rPr>
            <w:noProof/>
            <w:webHidden/>
          </w:rPr>
        </w:r>
        <w:r w:rsidR="00ED050F">
          <w:rPr>
            <w:noProof/>
            <w:webHidden/>
          </w:rPr>
          <w:fldChar w:fldCharType="separate"/>
        </w:r>
        <w:r w:rsidR="00916AB5">
          <w:rPr>
            <w:noProof/>
            <w:webHidden/>
          </w:rPr>
          <w:t>35</w:t>
        </w:r>
        <w:r w:rsidR="00ED050F">
          <w:rPr>
            <w:noProof/>
            <w:webHidden/>
          </w:rPr>
          <w:fldChar w:fldCharType="end"/>
        </w:r>
      </w:hyperlink>
    </w:p>
    <w:p w14:paraId="29DFEF70" w14:textId="11149024" w:rsidR="00ED050F" w:rsidRDefault="00BD37F2" w:rsidP="00916AB5">
      <w:pPr>
        <w:pStyle w:val="TableofFigures"/>
        <w:jc w:val="left"/>
        <w:rPr>
          <w:rFonts w:asciiTheme="minorHAnsi" w:eastAsiaTheme="minorEastAsia" w:hAnsiTheme="minorHAnsi" w:cstheme="minorBidi"/>
          <w:noProof/>
          <w:sz w:val="22"/>
          <w:szCs w:val="22"/>
        </w:rPr>
      </w:pPr>
      <w:hyperlink w:anchor="_Toc117238031" w:history="1">
        <w:r w:rsidR="00ED050F" w:rsidRPr="004739A6">
          <w:rPr>
            <w:rStyle w:val="Hyperlink"/>
            <w:noProof/>
          </w:rPr>
          <w:t>Table 2.1 Measures to promote exports, 2015–22</w:t>
        </w:r>
        <w:r w:rsidR="00ED050F">
          <w:rPr>
            <w:noProof/>
            <w:webHidden/>
          </w:rPr>
          <w:tab/>
        </w:r>
        <w:r w:rsidR="00ED050F">
          <w:rPr>
            <w:noProof/>
            <w:webHidden/>
          </w:rPr>
          <w:fldChar w:fldCharType="begin"/>
        </w:r>
        <w:r w:rsidR="00ED050F">
          <w:rPr>
            <w:noProof/>
            <w:webHidden/>
          </w:rPr>
          <w:instrText xml:space="preserve"> PAGEREF _Toc117238031 \h </w:instrText>
        </w:r>
        <w:r w:rsidR="00ED050F">
          <w:rPr>
            <w:noProof/>
            <w:webHidden/>
          </w:rPr>
        </w:r>
        <w:r w:rsidR="00ED050F">
          <w:rPr>
            <w:noProof/>
            <w:webHidden/>
          </w:rPr>
          <w:fldChar w:fldCharType="separate"/>
        </w:r>
        <w:r w:rsidR="00916AB5">
          <w:rPr>
            <w:noProof/>
            <w:webHidden/>
          </w:rPr>
          <w:t>39</w:t>
        </w:r>
        <w:r w:rsidR="00ED050F">
          <w:rPr>
            <w:noProof/>
            <w:webHidden/>
          </w:rPr>
          <w:fldChar w:fldCharType="end"/>
        </w:r>
      </w:hyperlink>
    </w:p>
    <w:p w14:paraId="0EF164F8" w14:textId="51A7C5ED" w:rsidR="00ED050F" w:rsidRDefault="00BD37F2" w:rsidP="00916AB5">
      <w:pPr>
        <w:pStyle w:val="TableofFigures"/>
        <w:jc w:val="left"/>
        <w:rPr>
          <w:rFonts w:asciiTheme="minorHAnsi" w:eastAsiaTheme="minorEastAsia" w:hAnsiTheme="minorHAnsi" w:cstheme="minorBidi"/>
          <w:noProof/>
          <w:sz w:val="22"/>
          <w:szCs w:val="22"/>
        </w:rPr>
      </w:pPr>
      <w:hyperlink w:anchor="_Toc117238032" w:history="1">
        <w:r w:rsidR="00ED050F" w:rsidRPr="004739A6">
          <w:rPr>
            <w:rStyle w:val="Hyperlink"/>
            <w:noProof/>
          </w:rPr>
          <w:t>Table 2.2 Restrictions on foreign investment, 2022</w:t>
        </w:r>
        <w:r w:rsidR="00ED050F">
          <w:rPr>
            <w:noProof/>
            <w:webHidden/>
          </w:rPr>
          <w:tab/>
        </w:r>
        <w:r w:rsidR="00ED050F">
          <w:rPr>
            <w:noProof/>
            <w:webHidden/>
          </w:rPr>
          <w:fldChar w:fldCharType="begin"/>
        </w:r>
        <w:r w:rsidR="00ED050F">
          <w:rPr>
            <w:noProof/>
            <w:webHidden/>
          </w:rPr>
          <w:instrText xml:space="preserve"> PAGEREF _Toc117238032 \h </w:instrText>
        </w:r>
        <w:r w:rsidR="00ED050F">
          <w:rPr>
            <w:noProof/>
            <w:webHidden/>
          </w:rPr>
        </w:r>
        <w:r w:rsidR="00ED050F">
          <w:rPr>
            <w:noProof/>
            <w:webHidden/>
          </w:rPr>
          <w:fldChar w:fldCharType="separate"/>
        </w:r>
        <w:r w:rsidR="00916AB5">
          <w:rPr>
            <w:noProof/>
            <w:webHidden/>
          </w:rPr>
          <w:t>44</w:t>
        </w:r>
        <w:r w:rsidR="00ED050F">
          <w:rPr>
            <w:noProof/>
            <w:webHidden/>
          </w:rPr>
          <w:fldChar w:fldCharType="end"/>
        </w:r>
      </w:hyperlink>
    </w:p>
    <w:p w14:paraId="5DBB4A4B" w14:textId="3B7F5BFF" w:rsidR="00ED050F" w:rsidRDefault="00BD37F2" w:rsidP="00916AB5">
      <w:pPr>
        <w:pStyle w:val="TableofFigures"/>
        <w:jc w:val="left"/>
        <w:rPr>
          <w:rFonts w:asciiTheme="minorHAnsi" w:eastAsiaTheme="minorEastAsia" w:hAnsiTheme="minorHAnsi" w:cstheme="minorBidi"/>
          <w:noProof/>
          <w:sz w:val="22"/>
          <w:szCs w:val="22"/>
        </w:rPr>
      </w:pPr>
      <w:hyperlink w:anchor="_Toc117238033" w:history="1">
        <w:r w:rsidR="00ED050F" w:rsidRPr="004739A6">
          <w:rPr>
            <w:rStyle w:val="Hyperlink"/>
            <w:noProof/>
          </w:rPr>
          <w:t>Table 2.3 Investment and/or production incentives, 2022</w:t>
        </w:r>
        <w:r w:rsidR="00ED050F">
          <w:rPr>
            <w:noProof/>
            <w:webHidden/>
          </w:rPr>
          <w:tab/>
        </w:r>
        <w:r w:rsidR="00ED050F">
          <w:rPr>
            <w:noProof/>
            <w:webHidden/>
          </w:rPr>
          <w:fldChar w:fldCharType="begin"/>
        </w:r>
        <w:r w:rsidR="00ED050F">
          <w:rPr>
            <w:noProof/>
            <w:webHidden/>
          </w:rPr>
          <w:instrText xml:space="preserve"> PAGEREF _Toc117238033 \h </w:instrText>
        </w:r>
        <w:r w:rsidR="00ED050F">
          <w:rPr>
            <w:noProof/>
            <w:webHidden/>
          </w:rPr>
        </w:r>
        <w:r w:rsidR="00ED050F">
          <w:rPr>
            <w:noProof/>
            <w:webHidden/>
          </w:rPr>
          <w:fldChar w:fldCharType="separate"/>
        </w:r>
        <w:r w:rsidR="00916AB5">
          <w:rPr>
            <w:noProof/>
            <w:webHidden/>
          </w:rPr>
          <w:t>46</w:t>
        </w:r>
        <w:r w:rsidR="00ED050F">
          <w:rPr>
            <w:noProof/>
            <w:webHidden/>
          </w:rPr>
          <w:fldChar w:fldCharType="end"/>
        </w:r>
      </w:hyperlink>
    </w:p>
    <w:p w14:paraId="751E1508" w14:textId="2B5B180C" w:rsidR="00ED050F" w:rsidRDefault="00BD37F2" w:rsidP="00916AB5">
      <w:pPr>
        <w:pStyle w:val="TableofFigures"/>
        <w:jc w:val="left"/>
        <w:rPr>
          <w:rFonts w:asciiTheme="minorHAnsi" w:eastAsiaTheme="minorEastAsia" w:hAnsiTheme="minorHAnsi" w:cstheme="minorBidi"/>
          <w:noProof/>
          <w:sz w:val="22"/>
          <w:szCs w:val="22"/>
        </w:rPr>
      </w:pPr>
      <w:hyperlink w:anchor="_Toc117238034" w:history="1">
        <w:r w:rsidR="00ED050F" w:rsidRPr="004739A6">
          <w:rPr>
            <w:rStyle w:val="Hyperlink"/>
            <w:noProof/>
          </w:rPr>
          <w:t>Table 3.1 Main laws relating to customs procedures, 2022</w:t>
        </w:r>
        <w:r w:rsidR="00ED050F">
          <w:rPr>
            <w:noProof/>
            <w:webHidden/>
          </w:rPr>
          <w:tab/>
        </w:r>
        <w:r w:rsidR="00ED050F">
          <w:rPr>
            <w:noProof/>
            <w:webHidden/>
          </w:rPr>
          <w:fldChar w:fldCharType="begin"/>
        </w:r>
        <w:r w:rsidR="00ED050F">
          <w:rPr>
            <w:noProof/>
            <w:webHidden/>
          </w:rPr>
          <w:instrText xml:space="preserve"> PAGEREF _Toc117238034 \h </w:instrText>
        </w:r>
        <w:r w:rsidR="00ED050F">
          <w:rPr>
            <w:noProof/>
            <w:webHidden/>
          </w:rPr>
        </w:r>
        <w:r w:rsidR="00ED050F">
          <w:rPr>
            <w:noProof/>
            <w:webHidden/>
          </w:rPr>
          <w:fldChar w:fldCharType="separate"/>
        </w:r>
        <w:r w:rsidR="00916AB5">
          <w:rPr>
            <w:noProof/>
            <w:webHidden/>
          </w:rPr>
          <w:t>50</w:t>
        </w:r>
        <w:r w:rsidR="00ED050F">
          <w:rPr>
            <w:noProof/>
            <w:webHidden/>
          </w:rPr>
          <w:fldChar w:fldCharType="end"/>
        </w:r>
      </w:hyperlink>
    </w:p>
    <w:p w14:paraId="1E19C26E" w14:textId="37F368D1" w:rsidR="00ED050F" w:rsidRDefault="00BD37F2" w:rsidP="00916AB5">
      <w:pPr>
        <w:pStyle w:val="TableofFigures"/>
        <w:jc w:val="left"/>
        <w:rPr>
          <w:rFonts w:asciiTheme="minorHAnsi" w:eastAsiaTheme="minorEastAsia" w:hAnsiTheme="minorHAnsi" w:cstheme="minorBidi"/>
          <w:noProof/>
          <w:sz w:val="22"/>
          <w:szCs w:val="22"/>
        </w:rPr>
      </w:pPr>
      <w:hyperlink w:anchor="_Toc117238035" w:history="1">
        <w:r w:rsidR="00ED050F" w:rsidRPr="004739A6">
          <w:rPr>
            <w:rStyle w:val="Hyperlink"/>
            <w:noProof/>
          </w:rPr>
          <w:t>Table 3.2 Structure of MFN tariffs, 2014 and 2022</w:t>
        </w:r>
        <w:r w:rsidR="00ED050F">
          <w:rPr>
            <w:noProof/>
            <w:webHidden/>
          </w:rPr>
          <w:tab/>
        </w:r>
        <w:r w:rsidR="00ED050F">
          <w:rPr>
            <w:noProof/>
            <w:webHidden/>
          </w:rPr>
          <w:fldChar w:fldCharType="begin"/>
        </w:r>
        <w:r w:rsidR="00ED050F">
          <w:rPr>
            <w:noProof/>
            <w:webHidden/>
          </w:rPr>
          <w:instrText xml:space="preserve"> PAGEREF _Toc117238035 \h </w:instrText>
        </w:r>
        <w:r w:rsidR="00ED050F">
          <w:rPr>
            <w:noProof/>
            <w:webHidden/>
          </w:rPr>
        </w:r>
        <w:r w:rsidR="00ED050F">
          <w:rPr>
            <w:noProof/>
            <w:webHidden/>
          </w:rPr>
          <w:fldChar w:fldCharType="separate"/>
        </w:r>
        <w:r w:rsidR="00916AB5">
          <w:rPr>
            <w:noProof/>
            <w:webHidden/>
          </w:rPr>
          <w:t>53</w:t>
        </w:r>
        <w:r w:rsidR="00ED050F">
          <w:rPr>
            <w:noProof/>
            <w:webHidden/>
          </w:rPr>
          <w:fldChar w:fldCharType="end"/>
        </w:r>
      </w:hyperlink>
    </w:p>
    <w:p w14:paraId="5D44A670" w14:textId="3AC4533C" w:rsidR="00ED050F" w:rsidRDefault="00BD37F2" w:rsidP="00916AB5">
      <w:pPr>
        <w:pStyle w:val="TableofFigures"/>
        <w:jc w:val="left"/>
        <w:rPr>
          <w:rFonts w:asciiTheme="minorHAnsi" w:eastAsiaTheme="minorEastAsia" w:hAnsiTheme="minorHAnsi" w:cstheme="minorBidi"/>
          <w:noProof/>
          <w:sz w:val="22"/>
          <w:szCs w:val="22"/>
        </w:rPr>
      </w:pPr>
      <w:hyperlink w:anchor="_Toc117238036" w:history="1">
        <w:r w:rsidR="00ED050F" w:rsidRPr="004739A6">
          <w:rPr>
            <w:rStyle w:val="Hyperlink"/>
            <w:noProof/>
          </w:rPr>
          <w:t>Table 3.3 Summary analysis of preferential tariffs, 2021</w:t>
        </w:r>
        <w:r w:rsidR="00ED050F">
          <w:rPr>
            <w:noProof/>
            <w:webHidden/>
          </w:rPr>
          <w:tab/>
        </w:r>
        <w:r w:rsidR="00ED050F">
          <w:rPr>
            <w:noProof/>
            <w:webHidden/>
          </w:rPr>
          <w:fldChar w:fldCharType="begin"/>
        </w:r>
        <w:r w:rsidR="00ED050F">
          <w:rPr>
            <w:noProof/>
            <w:webHidden/>
          </w:rPr>
          <w:instrText xml:space="preserve"> PAGEREF _Toc117238036 \h </w:instrText>
        </w:r>
        <w:r w:rsidR="00ED050F">
          <w:rPr>
            <w:noProof/>
            <w:webHidden/>
          </w:rPr>
        </w:r>
        <w:r w:rsidR="00ED050F">
          <w:rPr>
            <w:noProof/>
            <w:webHidden/>
          </w:rPr>
          <w:fldChar w:fldCharType="separate"/>
        </w:r>
        <w:r w:rsidR="00916AB5">
          <w:rPr>
            <w:noProof/>
            <w:webHidden/>
          </w:rPr>
          <w:t>55</w:t>
        </w:r>
        <w:r w:rsidR="00ED050F">
          <w:rPr>
            <w:noProof/>
            <w:webHidden/>
          </w:rPr>
          <w:fldChar w:fldCharType="end"/>
        </w:r>
      </w:hyperlink>
    </w:p>
    <w:p w14:paraId="2DB20489" w14:textId="23AD383C" w:rsidR="00ED050F" w:rsidRDefault="00BD37F2" w:rsidP="00916AB5">
      <w:pPr>
        <w:pStyle w:val="TableofFigures"/>
        <w:jc w:val="left"/>
        <w:rPr>
          <w:rFonts w:asciiTheme="minorHAnsi" w:eastAsiaTheme="minorEastAsia" w:hAnsiTheme="minorHAnsi" w:cstheme="minorBidi"/>
          <w:noProof/>
          <w:sz w:val="22"/>
          <w:szCs w:val="22"/>
        </w:rPr>
      </w:pPr>
      <w:hyperlink w:anchor="_Toc117238037" w:history="1">
        <w:r w:rsidR="00ED050F" w:rsidRPr="004739A6">
          <w:rPr>
            <w:rStyle w:val="Hyperlink"/>
            <w:noProof/>
          </w:rPr>
          <w:t>Table 3.4 Customs service fees, 2022</w:t>
        </w:r>
        <w:r w:rsidR="00ED050F">
          <w:rPr>
            <w:noProof/>
            <w:webHidden/>
          </w:rPr>
          <w:tab/>
        </w:r>
        <w:r w:rsidR="00ED050F">
          <w:rPr>
            <w:noProof/>
            <w:webHidden/>
          </w:rPr>
          <w:fldChar w:fldCharType="begin"/>
        </w:r>
        <w:r w:rsidR="00ED050F">
          <w:rPr>
            <w:noProof/>
            <w:webHidden/>
          </w:rPr>
          <w:instrText xml:space="preserve"> PAGEREF _Toc117238037 \h </w:instrText>
        </w:r>
        <w:r w:rsidR="00ED050F">
          <w:rPr>
            <w:noProof/>
            <w:webHidden/>
          </w:rPr>
        </w:r>
        <w:r w:rsidR="00ED050F">
          <w:rPr>
            <w:noProof/>
            <w:webHidden/>
          </w:rPr>
          <w:fldChar w:fldCharType="separate"/>
        </w:r>
        <w:r w:rsidR="00916AB5">
          <w:rPr>
            <w:noProof/>
            <w:webHidden/>
          </w:rPr>
          <w:t>56</w:t>
        </w:r>
        <w:r w:rsidR="00ED050F">
          <w:rPr>
            <w:noProof/>
            <w:webHidden/>
          </w:rPr>
          <w:fldChar w:fldCharType="end"/>
        </w:r>
      </w:hyperlink>
    </w:p>
    <w:p w14:paraId="2164BA30" w14:textId="317D65AD" w:rsidR="00ED050F" w:rsidRDefault="00BD37F2" w:rsidP="00916AB5">
      <w:pPr>
        <w:pStyle w:val="TableofFigures"/>
        <w:jc w:val="left"/>
        <w:rPr>
          <w:rFonts w:asciiTheme="minorHAnsi" w:eastAsiaTheme="minorEastAsia" w:hAnsiTheme="minorHAnsi" w:cstheme="minorBidi"/>
          <w:noProof/>
          <w:sz w:val="22"/>
          <w:szCs w:val="22"/>
        </w:rPr>
      </w:pPr>
      <w:hyperlink w:anchor="_Toc117238038" w:history="1">
        <w:r w:rsidR="00ED050F" w:rsidRPr="004739A6">
          <w:rPr>
            <w:rStyle w:val="Hyperlink"/>
            <w:noProof/>
          </w:rPr>
          <w:t>Table 3.5 ISC rates, 2022</w:t>
        </w:r>
        <w:r w:rsidR="00ED050F">
          <w:rPr>
            <w:noProof/>
            <w:webHidden/>
          </w:rPr>
          <w:tab/>
        </w:r>
        <w:r w:rsidR="00ED050F">
          <w:rPr>
            <w:noProof/>
            <w:webHidden/>
          </w:rPr>
          <w:fldChar w:fldCharType="begin"/>
        </w:r>
        <w:r w:rsidR="00ED050F">
          <w:rPr>
            <w:noProof/>
            <w:webHidden/>
          </w:rPr>
          <w:instrText xml:space="preserve"> PAGEREF _Toc117238038 \h </w:instrText>
        </w:r>
        <w:r w:rsidR="00ED050F">
          <w:rPr>
            <w:noProof/>
            <w:webHidden/>
          </w:rPr>
        </w:r>
        <w:r w:rsidR="00ED050F">
          <w:rPr>
            <w:noProof/>
            <w:webHidden/>
          </w:rPr>
          <w:fldChar w:fldCharType="separate"/>
        </w:r>
        <w:r w:rsidR="00916AB5">
          <w:rPr>
            <w:noProof/>
            <w:webHidden/>
          </w:rPr>
          <w:t>57</w:t>
        </w:r>
        <w:r w:rsidR="00ED050F">
          <w:rPr>
            <w:noProof/>
            <w:webHidden/>
          </w:rPr>
          <w:fldChar w:fldCharType="end"/>
        </w:r>
      </w:hyperlink>
    </w:p>
    <w:p w14:paraId="304782AE" w14:textId="0D776F26" w:rsidR="00ED050F" w:rsidRDefault="00BD37F2" w:rsidP="00916AB5">
      <w:pPr>
        <w:pStyle w:val="TableofFigures"/>
        <w:jc w:val="left"/>
        <w:rPr>
          <w:rFonts w:asciiTheme="minorHAnsi" w:eastAsiaTheme="minorEastAsia" w:hAnsiTheme="minorHAnsi" w:cstheme="minorBidi"/>
          <w:noProof/>
          <w:sz w:val="22"/>
          <w:szCs w:val="22"/>
        </w:rPr>
      </w:pPr>
      <w:hyperlink w:anchor="_Toc117238039" w:history="1">
        <w:r w:rsidR="00ED050F" w:rsidRPr="004739A6">
          <w:rPr>
            <w:rStyle w:val="Hyperlink"/>
            <w:noProof/>
          </w:rPr>
          <w:t>Table 3.6 Tax on hydrocarbons, 2022 (July)</w:t>
        </w:r>
        <w:r w:rsidR="00ED050F">
          <w:rPr>
            <w:noProof/>
            <w:webHidden/>
          </w:rPr>
          <w:tab/>
        </w:r>
        <w:r w:rsidR="00ED050F">
          <w:rPr>
            <w:noProof/>
            <w:webHidden/>
          </w:rPr>
          <w:fldChar w:fldCharType="begin"/>
        </w:r>
        <w:r w:rsidR="00ED050F">
          <w:rPr>
            <w:noProof/>
            <w:webHidden/>
          </w:rPr>
          <w:instrText xml:space="preserve"> PAGEREF _Toc117238039 \h </w:instrText>
        </w:r>
        <w:r w:rsidR="00ED050F">
          <w:rPr>
            <w:noProof/>
            <w:webHidden/>
          </w:rPr>
        </w:r>
        <w:r w:rsidR="00ED050F">
          <w:rPr>
            <w:noProof/>
            <w:webHidden/>
          </w:rPr>
          <w:fldChar w:fldCharType="separate"/>
        </w:r>
        <w:r w:rsidR="00916AB5">
          <w:rPr>
            <w:noProof/>
            <w:webHidden/>
          </w:rPr>
          <w:t>58</w:t>
        </w:r>
        <w:r w:rsidR="00ED050F">
          <w:rPr>
            <w:noProof/>
            <w:webHidden/>
          </w:rPr>
          <w:fldChar w:fldCharType="end"/>
        </w:r>
      </w:hyperlink>
    </w:p>
    <w:p w14:paraId="426D0C60" w14:textId="2D91BA04" w:rsidR="00ED050F" w:rsidRDefault="00BD37F2" w:rsidP="00916AB5">
      <w:pPr>
        <w:pStyle w:val="TableofFigures"/>
        <w:jc w:val="left"/>
        <w:rPr>
          <w:rFonts w:asciiTheme="minorHAnsi" w:eastAsiaTheme="minorEastAsia" w:hAnsiTheme="minorHAnsi" w:cstheme="minorBidi"/>
          <w:noProof/>
          <w:sz w:val="22"/>
          <w:szCs w:val="22"/>
        </w:rPr>
      </w:pPr>
      <w:hyperlink w:anchor="_Toc117238040" w:history="1">
        <w:r w:rsidR="00ED050F" w:rsidRPr="004739A6">
          <w:rPr>
            <w:rStyle w:val="Hyperlink"/>
            <w:noProof/>
          </w:rPr>
          <w:t>Table 3.7 Import prohibition, 2015</w:t>
        </w:r>
        <w:r w:rsidR="00ED050F" w:rsidRPr="004739A6">
          <w:rPr>
            <w:rStyle w:val="Hyperlink"/>
            <w:noProof/>
          </w:rPr>
          <w:noBreakHyphen/>
          <w:t>22</w:t>
        </w:r>
        <w:r w:rsidR="00ED050F">
          <w:rPr>
            <w:noProof/>
            <w:webHidden/>
          </w:rPr>
          <w:tab/>
        </w:r>
        <w:r w:rsidR="00ED050F">
          <w:rPr>
            <w:noProof/>
            <w:webHidden/>
          </w:rPr>
          <w:fldChar w:fldCharType="begin"/>
        </w:r>
        <w:r w:rsidR="00ED050F">
          <w:rPr>
            <w:noProof/>
            <w:webHidden/>
          </w:rPr>
          <w:instrText xml:space="preserve"> PAGEREF _Toc117238040 \h </w:instrText>
        </w:r>
        <w:r w:rsidR="00ED050F">
          <w:rPr>
            <w:noProof/>
            <w:webHidden/>
          </w:rPr>
        </w:r>
        <w:r w:rsidR="00ED050F">
          <w:rPr>
            <w:noProof/>
            <w:webHidden/>
          </w:rPr>
          <w:fldChar w:fldCharType="separate"/>
        </w:r>
        <w:r w:rsidR="00916AB5">
          <w:rPr>
            <w:noProof/>
            <w:webHidden/>
          </w:rPr>
          <w:t>59</w:t>
        </w:r>
        <w:r w:rsidR="00ED050F">
          <w:rPr>
            <w:noProof/>
            <w:webHidden/>
          </w:rPr>
          <w:fldChar w:fldCharType="end"/>
        </w:r>
      </w:hyperlink>
    </w:p>
    <w:p w14:paraId="6C809D6F" w14:textId="3C050F22" w:rsidR="00ED050F" w:rsidRDefault="00BD37F2" w:rsidP="00916AB5">
      <w:pPr>
        <w:pStyle w:val="TableofFigures"/>
        <w:jc w:val="left"/>
        <w:rPr>
          <w:rFonts w:asciiTheme="minorHAnsi" w:eastAsiaTheme="minorEastAsia" w:hAnsiTheme="minorHAnsi" w:cstheme="minorBidi"/>
          <w:noProof/>
          <w:sz w:val="22"/>
          <w:szCs w:val="22"/>
        </w:rPr>
      </w:pPr>
      <w:hyperlink w:anchor="_Toc117238041" w:history="1">
        <w:r w:rsidR="00ED050F" w:rsidRPr="004739A6">
          <w:rPr>
            <w:rStyle w:val="Hyperlink"/>
            <w:noProof/>
          </w:rPr>
          <w:t>Table 3.8 Products subject to import licensing, 2022</w:t>
        </w:r>
        <w:r w:rsidR="00ED050F">
          <w:rPr>
            <w:noProof/>
            <w:webHidden/>
          </w:rPr>
          <w:tab/>
        </w:r>
        <w:r w:rsidR="00ED050F">
          <w:rPr>
            <w:noProof/>
            <w:webHidden/>
          </w:rPr>
          <w:fldChar w:fldCharType="begin"/>
        </w:r>
        <w:r w:rsidR="00ED050F">
          <w:rPr>
            <w:noProof/>
            <w:webHidden/>
          </w:rPr>
          <w:instrText xml:space="preserve"> PAGEREF _Toc117238041 \h </w:instrText>
        </w:r>
        <w:r w:rsidR="00ED050F">
          <w:rPr>
            <w:noProof/>
            <w:webHidden/>
          </w:rPr>
        </w:r>
        <w:r w:rsidR="00ED050F">
          <w:rPr>
            <w:noProof/>
            <w:webHidden/>
          </w:rPr>
          <w:fldChar w:fldCharType="separate"/>
        </w:r>
        <w:r w:rsidR="00916AB5">
          <w:rPr>
            <w:noProof/>
            <w:webHidden/>
          </w:rPr>
          <w:t>60</w:t>
        </w:r>
        <w:r w:rsidR="00ED050F">
          <w:rPr>
            <w:noProof/>
            <w:webHidden/>
          </w:rPr>
          <w:fldChar w:fldCharType="end"/>
        </w:r>
      </w:hyperlink>
    </w:p>
    <w:p w14:paraId="1D248E02" w14:textId="4444C12B" w:rsidR="00ED050F" w:rsidRDefault="00BD37F2" w:rsidP="00916AB5">
      <w:pPr>
        <w:pStyle w:val="TableofFigures"/>
        <w:jc w:val="left"/>
        <w:rPr>
          <w:rFonts w:asciiTheme="minorHAnsi" w:eastAsiaTheme="minorEastAsia" w:hAnsiTheme="minorHAnsi" w:cstheme="minorBidi"/>
          <w:noProof/>
          <w:sz w:val="22"/>
          <w:szCs w:val="22"/>
        </w:rPr>
      </w:pPr>
      <w:hyperlink w:anchor="_Toc117238042" w:history="1">
        <w:r w:rsidR="00ED050F" w:rsidRPr="004739A6">
          <w:rPr>
            <w:rStyle w:val="Hyperlink"/>
            <w:noProof/>
          </w:rPr>
          <w:t>Table 3.9 Anti</w:t>
        </w:r>
        <w:r w:rsidR="00ED050F" w:rsidRPr="004739A6">
          <w:rPr>
            <w:rStyle w:val="Hyperlink"/>
            <w:noProof/>
          </w:rPr>
          <w:noBreakHyphen/>
          <w:t>dumping investigations initiated and measures adopted, 2015</w:t>
        </w:r>
        <w:r w:rsidR="00ED050F" w:rsidRPr="004739A6">
          <w:rPr>
            <w:rStyle w:val="Hyperlink"/>
            <w:noProof/>
          </w:rPr>
          <w:noBreakHyphen/>
          <w:t>21</w:t>
        </w:r>
        <w:r w:rsidR="00ED050F">
          <w:rPr>
            <w:noProof/>
            <w:webHidden/>
          </w:rPr>
          <w:tab/>
        </w:r>
        <w:r w:rsidR="00ED050F">
          <w:rPr>
            <w:noProof/>
            <w:webHidden/>
          </w:rPr>
          <w:fldChar w:fldCharType="begin"/>
        </w:r>
        <w:r w:rsidR="00ED050F">
          <w:rPr>
            <w:noProof/>
            <w:webHidden/>
          </w:rPr>
          <w:instrText xml:space="preserve"> PAGEREF _Toc117238042 \h </w:instrText>
        </w:r>
        <w:r w:rsidR="00ED050F">
          <w:rPr>
            <w:noProof/>
            <w:webHidden/>
          </w:rPr>
        </w:r>
        <w:r w:rsidR="00ED050F">
          <w:rPr>
            <w:noProof/>
            <w:webHidden/>
          </w:rPr>
          <w:fldChar w:fldCharType="separate"/>
        </w:r>
        <w:r w:rsidR="00916AB5">
          <w:rPr>
            <w:noProof/>
            <w:webHidden/>
          </w:rPr>
          <w:t>63</w:t>
        </w:r>
        <w:r w:rsidR="00ED050F">
          <w:rPr>
            <w:noProof/>
            <w:webHidden/>
          </w:rPr>
          <w:fldChar w:fldCharType="end"/>
        </w:r>
      </w:hyperlink>
    </w:p>
    <w:p w14:paraId="1E689EBF" w14:textId="53B5059E" w:rsidR="00ED050F" w:rsidRDefault="00BD37F2" w:rsidP="00916AB5">
      <w:pPr>
        <w:pStyle w:val="TableofFigures"/>
        <w:jc w:val="left"/>
        <w:rPr>
          <w:rFonts w:asciiTheme="minorHAnsi" w:eastAsiaTheme="minorEastAsia" w:hAnsiTheme="minorHAnsi" w:cstheme="minorBidi"/>
          <w:noProof/>
          <w:sz w:val="22"/>
          <w:szCs w:val="22"/>
        </w:rPr>
      </w:pPr>
      <w:hyperlink w:anchor="_Toc117238043" w:history="1">
        <w:r w:rsidR="00ED050F" w:rsidRPr="004739A6">
          <w:rPr>
            <w:rStyle w:val="Hyperlink"/>
            <w:noProof/>
          </w:rPr>
          <w:t>Table 3.10 Specific export procedures, 2022</w:t>
        </w:r>
        <w:r w:rsidR="00ED050F">
          <w:rPr>
            <w:noProof/>
            <w:webHidden/>
          </w:rPr>
          <w:tab/>
        </w:r>
        <w:r w:rsidR="00ED050F">
          <w:rPr>
            <w:noProof/>
            <w:webHidden/>
          </w:rPr>
          <w:fldChar w:fldCharType="begin"/>
        </w:r>
        <w:r w:rsidR="00ED050F">
          <w:rPr>
            <w:noProof/>
            <w:webHidden/>
          </w:rPr>
          <w:instrText xml:space="preserve"> PAGEREF _Toc117238043 \h </w:instrText>
        </w:r>
        <w:r w:rsidR="00ED050F">
          <w:rPr>
            <w:noProof/>
            <w:webHidden/>
          </w:rPr>
        </w:r>
        <w:r w:rsidR="00ED050F">
          <w:rPr>
            <w:noProof/>
            <w:webHidden/>
          </w:rPr>
          <w:fldChar w:fldCharType="separate"/>
        </w:r>
        <w:r w:rsidR="00916AB5">
          <w:rPr>
            <w:noProof/>
            <w:webHidden/>
          </w:rPr>
          <w:t>65</w:t>
        </w:r>
        <w:r w:rsidR="00ED050F">
          <w:rPr>
            <w:noProof/>
            <w:webHidden/>
          </w:rPr>
          <w:fldChar w:fldCharType="end"/>
        </w:r>
      </w:hyperlink>
    </w:p>
    <w:p w14:paraId="2E9ECBD2" w14:textId="6BF06F31" w:rsidR="00ED050F" w:rsidRDefault="00BD37F2" w:rsidP="00916AB5">
      <w:pPr>
        <w:pStyle w:val="TableofFigures"/>
        <w:jc w:val="left"/>
        <w:rPr>
          <w:rFonts w:asciiTheme="minorHAnsi" w:eastAsiaTheme="minorEastAsia" w:hAnsiTheme="minorHAnsi" w:cstheme="minorBidi"/>
          <w:noProof/>
          <w:sz w:val="22"/>
          <w:szCs w:val="22"/>
        </w:rPr>
      </w:pPr>
      <w:hyperlink w:anchor="_Toc117238044" w:history="1">
        <w:r w:rsidR="00ED050F" w:rsidRPr="004739A6">
          <w:rPr>
            <w:rStyle w:val="Hyperlink"/>
            <w:noProof/>
          </w:rPr>
          <w:t>Table 3.11 Export taxes on fish and shellfish, 2022</w:t>
        </w:r>
        <w:r w:rsidR="00ED050F">
          <w:rPr>
            <w:noProof/>
            <w:webHidden/>
          </w:rPr>
          <w:tab/>
        </w:r>
        <w:r w:rsidR="00ED050F">
          <w:rPr>
            <w:noProof/>
            <w:webHidden/>
          </w:rPr>
          <w:fldChar w:fldCharType="begin"/>
        </w:r>
        <w:r w:rsidR="00ED050F">
          <w:rPr>
            <w:noProof/>
            <w:webHidden/>
          </w:rPr>
          <w:instrText xml:space="preserve"> PAGEREF _Toc117238044 \h </w:instrText>
        </w:r>
        <w:r w:rsidR="00ED050F">
          <w:rPr>
            <w:noProof/>
            <w:webHidden/>
          </w:rPr>
        </w:r>
        <w:r w:rsidR="00ED050F">
          <w:rPr>
            <w:noProof/>
            <w:webHidden/>
          </w:rPr>
          <w:fldChar w:fldCharType="separate"/>
        </w:r>
        <w:r w:rsidR="00916AB5">
          <w:rPr>
            <w:noProof/>
            <w:webHidden/>
          </w:rPr>
          <w:t>66</w:t>
        </w:r>
        <w:r w:rsidR="00ED050F">
          <w:rPr>
            <w:noProof/>
            <w:webHidden/>
          </w:rPr>
          <w:fldChar w:fldCharType="end"/>
        </w:r>
      </w:hyperlink>
    </w:p>
    <w:p w14:paraId="1CFE073D" w14:textId="19A45F98" w:rsidR="00ED050F" w:rsidRDefault="00BD37F2" w:rsidP="00916AB5">
      <w:pPr>
        <w:pStyle w:val="TableofFigures"/>
        <w:jc w:val="left"/>
        <w:rPr>
          <w:rFonts w:asciiTheme="minorHAnsi" w:eastAsiaTheme="minorEastAsia" w:hAnsiTheme="minorHAnsi" w:cstheme="minorBidi"/>
          <w:noProof/>
          <w:sz w:val="22"/>
          <w:szCs w:val="22"/>
        </w:rPr>
      </w:pPr>
      <w:hyperlink w:anchor="_Toc117238045" w:history="1">
        <w:r w:rsidR="00ED050F" w:rsidRPr="004739A6">
          <w:rPr>
            <w:rStyle w:val="Hyperlink"/>
            <w:noProof/>
          </w:rPr>
          <w:t>Table 3.12 List of prohibited exports, 2015</w:t>
        </w:r>
        <w:r w:rsidR="00ED050F" w:rsidRPr="004739A6">
          <w:rPr>
            <w:rStyle w:val="Hyperlink"/>
            <w:noProof/>
          </w:rPr>
          <w:noBreakHyphen/>
          <w:t>22</w:t>
        </w:r>
        <w:r w:rsidR="00ED050F">
          <w:rPr>
            <w:noProof/>
            <w:webHidden/>
          </w:rPr>
          <w:tab/>
        </w:r>
        <w:r w:rsidR="00ED050F">
          <w:rPr>
            <w:noProof/>
            <w:webHidden/>
          </w:rPr>
          <w:fldChar w:fldCharType="begin"/>
        </w:r>
        <w:r w:rsidR="00ED050F">
          <w:rPr>
            <w:noProof/>
            <w:webHidden/>
          </w:rPr>
          <w:instrText xml:space="preserve"> PAGEREF _Toc117238045 \h </w:instrText>
        </w:r>
        <w:r w:rsidR="00ED050F">
          <w:rPr>
            <w:noProof/>
            <w:webHidden/>
          </w:rPr>
        </w:r>
        <w:r w:rsidR="00ED050F">
          <w:rPr>
            <w:noProof/>
            <w:webHidden/>
          </w:rPr>
          <w:fldChar w:fldCharType="separate"/>
        </w:r>
        <w:r w:rsidR="00916AB5">
          <w:rPr>
            <w:noProof/>
            <w:webHidden/>
          </w:rPr>
          <w:t>66</w:t>
        </w:r>
        <w:r w:rsidR="00ED050F">
          <w:rPr>
            <w:noProof/>
            <w:webHidden/>
          </w:rPr>
          <w:fldChar w:fldCharType="end"/>
        </w:r>
      </w:hyperlink>
    </w:p>
    <w:p w14:paraId="586881BB" w14:textId="33B4580D" w:rsidR="00ED050F" w:rsidRDefault="00BD37F2" w:rsidP="00916AB5">
      <w:pPr>
        <w:pStyle w:val="TableofFigures"/>
        <w:jc w:val="left"/>
        <w:rPr>
          <w:rFonts w:asciiTheme="minorHAnsi" w:eastAsiaTheme="minorEastAsia" w:hAnsiTheme="minorHAnsi" w:cstheme="minorBidi"/>
          <w:noProof/>
          <w:sz w:val="22"/>
          <w:szCs w:val="22"/>
        </w:rPr>
      </w:pPr>
      <w:hyperlink w:anchor="_Toc117238046" w:history="1">
        <w:r w:rsidR="00ED050F" w:rsidRPr="004739A6">
          <w:rPr>
            <w:rStyle w:val="Hyperlink"/>
            <w:noProof/>
          </w:rPr>
          <w:t>Table 3.13 Export restrictions and controls, 2015</w:t>
        </w:r>
        <w:r w:rsidR="00ED050F" w:rsidRPr="004739A6">
          <w:rPr>
            <w:rStyle w:val="Hyperlink"/>
            <w:noProof/>
          </w:rPr>
          <w:noBreakHyphen/>
          <w:t>22</w:t>
        </w:r>
        <w:r w:rsidR="00ED050F">
          <w:rPr>
            <w:noProof/>
            <w:webHidden/>
          </w:rPr>
          <w:tab/>
        </w:r>
        <w:r w:rsidR="00ED050F">
          <w:rPr>
            <w:noProof/>
            <w:webHidden/>
          </w:rPr>
          <w:fldChar w:fldCharType="begin"/>
        </w:r>
        <w:r w:rsidR="00ED050F">
          <w:rPr>
            <w:noProof/>
            <w:webHidden/>
          </w:rPr>
          <w:instrText xml:space="preserve"> PAGEREF _Toc117238046 \h </w:instrText>
        </w:r>
        <w:r w:rsidR="00ED050F">
          <w:rPr>
            <w:noProof/>
            <w:webHidden/>
          </w:rPr>
        </w:r>
        <w:r w:rsidR="00ED050F">
          <w:rPr>
            <w:noProof/>
            <w:webHidden/>
          </w:rPr>
          <w:fldChar w:fldCharType="separate"/>
        </w:r>
        <w:r w:rsidR="00916AB5">
          <w:rPr>
            <w:noProof/>
            <w:webHidden/>
          </w:rPr>
          <w:t>67</w:t>
        </w:r>
        <w:r w:rsidR="00ED050F">
          <w:rPr>
            <w:noProof/>
            <w:webHidden/>
          </w:rPr>
          <w:fldChar w:fldCharType="end"/>
        </w:r>
      </w:hyperlink>
    </w:p>
    <w:p w14:paraId="3C45C338" w14:textId="252EA650" w:rsidR="00ED050F" w:rsidRDefault="00BD37F2" w:rsidP="00916AB5">
      <w:pPr>
        <w:pStyle w:val="TableofFigures"/>
        <w:jc w:val="left"/>
        <w:rPr>
          <w:rFonts w:asciiTheme="minorHAnsi" w:eastAsiaTheme="minorEastAsia" w:hAnsiTheme="minorHAnsi" w:cstheme="minorBidi"/>
          <w:noProof/>
          <w:sz w:val="22"/>
          <w:szCs w:val="22"/>
        </w:rPr>
      </w:pPr>
      <w:hyperlink w:anchor="_Toc117238047" w:history="1">
        <w:r w:rsidR="00ED050F" w:rsidRPr="004739A6">
          <w:rPr>
            <w:rStyle w:val="Hyperlink"/>
            <w:noProof/>
          </w:rPr>
          <w:t>Table 3.14 Selected sectoral tax incentives, 2015</w:t>
        </w:r>
        <w:r w:rsidR="00ED050F" w:rsidRPr="004739A6">
          <w:rPr>
            <w:rStyle w:val="Hyperlink"/>
            <w:noProof/>
          </w:rPr>
          <w:noBreakHyphen/>
          <w:t>22</w:t>
        </w:r>
        <w:r w:rsidR="00ED050F">
          <w:rPr>
            <w:noProof/>
            <w:webHidden/>
          </w:rPr>
          <w:tab/>
        </w:r>
        <w:r w:rsidR="00ED050F">
          <w:rPr>
            <w:noProof/>
            <w:webHidden/>
          </w:rPr>
          <w:fldChar w:fldCharType="begin"/>
        </w:r>
        <w:r w:rsidR="00ED050F">
          <w:rPr>
            <w:noProof/>
            <w:webHidden/>
          </w:rPr>
          <w:instrText xml:space="preserve"> PAGEREF _Toc117238047 \h </w:instrText>
        </w:r>
        <w:r w:rsidR="00ED050F">
          <w:rPr>
            <w:noProof/>
            <w:webHidden/>
          </w:rPr>
        </w:r>
        <w:r w:rsidR="00ED050F">
          <w:rPr>
            <w:noProof/>
            <w:webHidden/>
          </w:rPr>
          <w:fldChar w:fldCharType="separate"/>
        </w:r>
        <w:r w:rsidR="00916AB5">
          <w:rPr>
            <w:noProof/>
            <w:webHidden/>
          </w:rPr>
          <w:t>68</w:t>
        </w:r>
        <w:r w:rsidR="00ED050F">
          <w:rPr>
            <w:noProof/>
            <w:webHidden/>
          </w:rPr>
          <w:fldChar w:fldCharType="end"/>
        </w:r>
      </w:hyperlink>
    </w:p>
    <w:p w14:paraId="5B5EFE7A" w14:textId="5E4B3A0F" w:rsidR="00ED050F" w:rsidRDefault="00BD37F2" w:rsidP="00916AB5">
      <w:pPr>
        <w:pStyle w:val="TableofFigures"/>
        <w:jc w:val="left"/>
        <w:rPr>
          <w:rFonts w:asciiTheme="minorHAnsi" w:eastAsiaTheme="minorEastAsia" w:hAnsiTheme="minorHAnsi" w:cstheme="minorBidi"/>
          <w:noProof/>
          <w:sz w:val="22"/>
          <w:szCs w:val="22"/>
        </w:rPr>
      </w:pPr>
      <w:hyperlink w:anchor="_Toc117238048" w:history="1">
        <w:r w:rsidR="00ED050F" w:rsidRPr="004739A6">
          <w:rPr>
            <w:rStyle w:val="Hyperlink"/>
            <w:noProof/>
          </w:rPr>
          <w:t>Table 3.15 Selected public enterprises, 2022</w:t>
        </w:r>
        <w:r w:rsidR="00ED050F">
          <w:rPr>
            <w:noProof/>
            <w:webHidden/>
          </w:rPr>
          <w:tab/>
        </w:r>
        <w:r w:rsidR="00ED050F">
          <w:rPr>
            <w:noProof/>
            <w:webHidden/>
          </w:rPr>
          <w:fldChar w:fldCharType="begin"/>
        </w:r>
        <w:r w:rsidR="00ED050F">
          <w:rPr>
            <w:noProof/>
            <w:webHidden/>
          </w:rPr>
          <w:instrText xml:space="preserve"> PAGEREF _Toc117238048 \h </w:instrText>
        </w:r>
        <w:r w:rsidR="00ED050F">
          <w:rPr>
            <w:noProof/>
            <w:webHidden/>
          </w:rPr>
        </w:r>
        <w:r w:rsidR="00ED050F">
          <w:rPr>
            <w:noProof/>
            <w:webHidden/>
          </w:rPr>
          <w:fldChar w:fldCharType="separate"/>
        </w:r>
        <w:r w:rsidR="00916AB5">
          <w:rPr>
            <w:noProof/>
            <w:webHidden/>
          </w:rPr>
          <w:t>80</w:t>
        </w:r>
        <w:r w:rsidR="00ED050F">
          <w:rPr>
            <w:noProof/>
            <w:webHidden/>
          </w:rPr>
          <w:fldChar w:fldCharType="end"/>
        </w:r>
      </w:hyperlink>
    </w:p>
    <w:p w14:paraId="665584EE" w14:textId="49CDFB13" w:rsidR="00ED050F" w:rsidRDefault="00BD37F2" w:rsidP="00916AB5">
      <w:pPr>
        <w:pStyle w:val="TableofFigures"/>
        <w:jc w:val="left"/>
        <w:rPr>
          <w:rFonts w:asciiTheme="minorHAnsi" w:eastAsiaTheme="minorEastAsia" w:hAnsiTheme="minorHAnsi" w:cstheme="minorBidi"/>
          <w:noProof/>
          <w:sz w:val="22"/>
          <w:szCs w:val="22"/>
        </w:rPr>
      </w:pPr>
      <w:hyperlink w:anchor="_Toc117238049" w:history="1">
        <w:r w:rsidR="00ED050F" w:rsidRPr="004739A6">
          <w:rPr>
            <w:rStyle w:val="Hyperlink"/>
            <w:noProof/>
          </w:rPr>
          <w:t>Table 3.16 Chief instruments enacted in relation to government procurement, 2015</w:t>
        </w:r>
        <w:r w:rsidR="00ED050F" w:rsidRPr="004739A6">
          <w:rPr>
            <w:rStyle w:val="Hyperlink"/>
            <w:noProof/>
          </w:rPr>
          <w:noBreakHyphen/>
          <w:t>22</w:t>
        </w:r>
        <w:r w:rsidR="00ED050F">
          <w:rPr>
            <w:noProof/>
            <w:webHidden/>
          </w:rPr>
          <w:tab/>
        </w:r>
        <w:r w:rsidR="00ED050F">
          <w:rPr>
            <w:noProof/>
            <w:webHidden/>
          </w:rPr>
          <w:fldChar w:fldCharType="begin"/>
        </w:r>
        <w:r w:rsidR="00ED050F">
          <w:rPr>
            <w:noProof/>
            <w:webHidden/>
          </w:rPr>
          <w:instrText xml:space="preserve"> PAGEREF _Toc117238049 \h </w:instrText>
        </w:r>
        <w:r w:rsidR="00ED050F">
          <w:rPr>
            <w:noProof/>
            <w:webHidden/>
          </w:rPr>
        </w:r>
        <w:r w:rsidR="00ED050F">
          <w:rPr>
            <w:noProof/>
            <w:webHidden/>
          </w:rPr>
          <w:fldChar w:fldCharType="separate"/>
        </w:r>
        <w:r w:rsidR="00916AB5">
          <w:rPr>
            <w:noProof/>
            <w:webHidden/>
          </w:rPr>
          <w:t>81</w:t>
        </w:r>
        <w:r w:rsidR="00ED050F">
          <w:rPr>
            <w:noProof/>
            <w:webHidden/>
          </w:rPr>
          <w:fldChar w:fldCharType="end"/>
        </w:r>
      </w:hyperlink>
    </w:p>
    <w:p w14:paraId="79D98CE7" w14:textId="50D0378C" w:rsidR="00ED050F" w:rsidRDefault="00BD37F2" w:rsidP="00916AB5">
      <w:pPr>
        <w:pStyle w:val="TableofFigures"/>
        <w:jc w:val="left"/>
        <w:rPr>
          <w:rFonts w:asciiTheme="minorHAnsi" w:eastAsiaTheme="minorEastAsia" w:hAnsiTheme="minorHAnsi" w:cstheme="minorBidi"/>
          <w:noProof/>
          <w:sz w:val="22"/>
          <w:szCs w:val="22"/>
        </w:rPr>
      </w:pPr>
      <w:hyperlink w:anchor="_Toc117238050" w:history="1">
        <w:r w:rsidR="00ED050F" w:rsidRPr="004739A6">
          <w:rPr>
            <w:rStyle w:val="Hyperlink"/>
            <w:noProof/>
          </w:rPr>
          <w:t>Table 3.17 Contracts processed through the Transaction Portal, 2018</w:t>
        </w:r>
        <w:r w:rsidR="00ED050F" w:rsidRPr="004739A6">
          <w:rPr>
            <w:rStyle w:val="Hyperlink"/>
            <w:noProof/>
          </w:rPr>
          <w:noBreakHyphen/>
          <w:t>21</w:t>
        </w:r>
        <w:r w:rsidR="00ED050F">
          <w:rPr>
            <w:noProof/>
            <w:webHidden/>
          </w:rPr>
          <w:tab/>
        </w:r>
        <w:r w:rsidR="00ED050F">
          <w:rPr>
            <w:noProof/>
            <w:webHidden/>
          </w:rPr>
          <w:fldChar w:fldCharType="begin"/>
        </w:r>
        <w:r w:rsidR="00ED050F">
          <w:rPr>
            <w:noProof/>
            <w:webHidden/>
          </w:rPr>
          <w:instrText xml:space="preserve"> PAGEREF _Toc117238050 \h </w:instrText>
        </w:r>
        <w:r w:rsidR="00ED050F">
          <w:rPr>
            <w:noProof/>
            <w:webHidden/>
          </w:rPr>
        </w:r>
        <w:r w:rsidR="00ED050F">
          <w:rPr>
            <w:noProof/>
            <w:webHidden/>
          </w:rPr>
          <w:fldChar w:fldCharType="separate"/>
        </w:r>
        <w:r w:rsidR="00916AB5">
          <w:rPr>
            <w:noProof/>
            <w:webHidden/>
          </w:rPr>
          <w:t>83</w:t>
        </w:r>
        <w:r w:rsidR="00ED050F">
          <w:rPr>
            <w:noProof/>
            <w:webHidden/>
          </w:rPr>
          <w:fldChar w:fldCharType="end"/>
        </w:r>
      </w:hyperlink>
    </w:p>
    <w:p w14:paraId="29FF7015" w14:textId="61E3AA4F" w:rsidR="00ED050F" w:rsidRDefault="00BD37F2" w:rsidP="00916AB5">
      <w:pPr>
        <w:pStyle w:val="TableofFigures"/>
        <w:jc w:val="left"/>
        <w:rPr>
          <w:rFonts w:asciiTheme="minorHAnsi" w:eastAsiaTheme="minorEastAsia" w:hAnsiTheme="minorHAnsi" w:cstheme="minorBidi"/>
          <w:noProof/>
          <w:sz w:val="22"/>
          <w:szCs w:val="22"/>
        </w:rPr>
      </w:pPr>
      <w:hyperlink w:anchor="_Toc117238051" w:history="1">
        <w:r w:rsidR="00ED050F" w:rsidRPr="004739A6">
          <w:rPr>
            <w:rStyle w:val="Hyperlink"/>
            <w:noProof/>
          </w:rPr>
          <w:t>Table 3.18 Selection procedures</w:t>
        </w:r>
        <w:r w:rsidR="00ED050F">
          <w:rPr>
            <w:noProof/>
            <w:webHidden/>
          </w:rPr>
          <w:tab/>
        </w:r>
        <w:r w:rsidR="00ED050F">
          <w:rPr>
            <w:noProof/>
            <w:webHidden/>
          </w:rPr>
          <w:fldChar w:fldCharType="begin"/>
        </w:r>
        <w:r w:rsidR="00ED050F">
          <w:rPr>
            <w:noProof/>
            <w:webHidden/>
          </w:rPr>
          <w:instrText xml:space="preserve"> PAGEREF _Toc117238051 \h </w:instrText>
        </w:r>
        <w:r w:rsidR="00ED050F">
          <w:rPr>
            <w:noProof/>
            <w:webHidden/>
          </w:rPr>
        </w:r>
        <w:r w:rsidR="00ED050F">
          <w:rPr>
            <w:noProof/>
            <w:webHidden/>
          </w:rPr>
          <w:fldChar w:fldCharType="separate"/>
        </w:r>
        <w:r w:rsidR="00916AB5">
          <w:rPr>
            <w:noProof/>
            <w:webHidden/>
          </w:rPr>
          <w:t>84</w:t>
        </w:r>
        <w:r w:rsidR="00ED050F">
          <w:rPr>
            <w:noProof/>
            <w:webHidden/>
          </w:rPr>
          <w:fldChar w:fldCharType="end"/>
        </w:r>
      </w:hyperlink>
    </w:p>
    <w:p w14:paraId="477B9A57" w14:textId="5E87AEA3" w:rsidR="00ED050F" w:rsidRDefault="00BD37F2" w:rsidP="00916AB5">
      <w:pPr>
        <w:pStyle w:val="TableofFigures"/>
        <w:jc w:val="left"/>
        <w:rPr>
          <w:rFonts w:asciiTheme="minorHAnsi" w:eastAsiaTheme="minorEastAsia" w:hAnsiTheme="minorHAnsi" w:cstheme="minorBidi"/>
          <w:noProof/>
          <w:sz w:val="22"/>
          <w:szCs w:val="22"/>
        </w:rPr>
      </w:pPr>
      <w:hyperlink w:anchor="_Toc117238052" w:history="1">
        <w:r w:rsidR="00ED050F" w:rsidRPr="004739A6">
          <w:rPr>
            <w:rStyle w:val="Hyperlink"/>
            <w:noProof/>
          </w:rPr>
          <w:t>Table 3.19 Amounts awarded through selection procedures, 2015</w:t>
        </w:r>
        <w:r w:rsidR="00ED050F" w:rsidRPr="004739A6">
          <w:rPr>
            <w:rStyle w:val="Hyperlink"/>
            <w:noProof/>
          </w:rPr>
          <w:noBreakHyphen/>
          <w:t>21</w:t>
        </w:r>
        <w:r w:rsidR="00ED050F">
          <w:rPr>
            <w:noProof/>
            <w:webHidden/>
          </w:rPr>
          <w:tab/>
        </w:r>
        <w:r w:rsidR="00ED050F">
          <w:rPr>
            <w:noProof/>
            <w:webHidden/>
          </w:rPr>
          <w:fldChar w:fldCharType="begin"/>
        </w:r>
        <w:r w:rsidR="00ED050F">
          <w:rPr>
            <w:noProof/>
            <w:webHidden/>
          </w:rPr>
          <w:instrText xml:space="preserve"> PAGEREF _Toc117238052 \h </w:instrText>
        </w:r>
        <w:r w:rsidR="00ED050F">
          <w:rPr>
            <w:noProof/>
            <w:webHidden/>
          </w:rPr>
        </w:r>
        <w:r w:rsidR="00ED050F">
          <w:rPr>
            <w:noProof/>
            <w:webHidden/>
          </w:rPr>
          <w:fldChar w:fldCharType="separate"/>
        </w:r>
        <w:r w:rsidR="00916AB5">
          <w:rPr>
            <w:noProof/>
            <w:webHidden/>
          </w:rPr>
          <w:t>85</w:t>
        </w:r>
        <w:r w:rsidR="00ED050F">
          <w:rPr>
            <w:noProof/>
            <w:webHidden/>
          </w:rPr>
          <w:fldChar w:fldCharType="end"/>
        </w:r>
      </w:hyperlink>
    </w:p>
    <w:p w14:paraId="6BDCC4BC" w14:textId="0BECC4DC" w:rsidR="00ED050F" w:rsidRDefault="00BD37F2" w:rsidP="00916AB5">
      <w:pPr>
        <w:pStyle w:val="TableofFigures"/>
        <w:jc w:val="left"/>
        <w:rPr>
          <w:rFonts w:asciiTheme="minorHAnsi" w:eastAsiaTheme="minorEastAsia" w:hAnsiTheme="minorHAnsi" w:cstheme="minorBidi"/>
          <w:noProof/>
          <w:sz w:val="22"/>
          <w:szCs w:val="22"/>
        </w:rPr>
      </w:pPr>
      <w:hyperlink w:anchor="_Toc117238053" w:history="1">
        <w:r w:rsidR="00ED050F" w:rsidRPr="004739A6">
          <w:rPr>
            <w:rStyle w:val="Hyperlink"/>
            <w:noProof/>
          </w:rPr>
          <w:t>Table 3.20 Thresholds determining the selection procedure, 2022</w:t>
        </w:r>
        <w:r w:rsidR="00ED050F">
          <w:rPr>
            <w:noProof/>
            <w:webHidden/>
          </w:rPr>
          <w:tab/>
        </w:r>
        <w:r w:rsidR="00ED050F">
          <w:rPr>
            <w:noProof/>
            <w:webHidden/>
          </w:rPr>
          <w:fldChar w:fldCharType="begin"/>
        </w:r>
        <w:r w:rsidR="00ED050F">
          <w:rPr>
            <w:noProof/>
            <w:webHidden/>
          </w:rPr>
          <w:instrText xml:space="preserve"> PAGEREF _Toc117238053 \h </w:instrText>
        </w:r>
        <w:r w:rsidR="00ED050F">
          <w:rPr>
            <w:noProof/>
            <w:webHidden/>
          </w:rPr>
        </w:r>
        <w:r w:rsidR="00ED050F">
          <w:rPr>
            <w:noProof/>
            <w:webHidden/>
          </w:rPr>
          <w:fldChar w:fldCharType="separate"/>
        </w:r>
        <w:r w:rsidR="00916AB5">
          <w:rPr>
            <w:noProof/>
            <w:webHidden/>
          </w:rPr>
          <w:t>86</w:t>
        </w:r>
        <w:r w:rsidR="00ED050F">
          <w:rPr>
            <w:noProof/>
            <w:webHidden/>
          </w:rPr>
          <w:fldChar w:fldCharType="end"/>
        </w:r>
      </w:hyperlink>
    </w:p>
    <w:p w14:paraId="0F7444EE" w14:textId="584AD6D8" w:rsidR="00ED050F" w:rsidRDefault="00BD37F2" w:rsidP="00916AB5">
      <w:pPr>
        <w:pStyle w:val="TableofFigures"/>
        <w:jc w:val="left"/>
        <w:rPr>
          <w:rFonts w:asciiTheme="minorHAnsi" w:eastAsiaTheme="minorEastAsia" w:hAnsiTheme="minorHAnsi" w:cstheme="minorBidi"/>
          <w:noProof/>
          <w:sz w:val="22"/>
          <w:szCs w:val="22"/>
        </w:rPr>
      </w:pPr>
      <w:hyperlink w:anchor="_Toc117238054" w:history="1">
        <w:r w:rsidR="00ED050F" w:rsidRPr="004739A6">
          <w:rPr>
            <w:rStyle w:val="Hyperlink"/>
            <w:noProof/>
          </w:rPr>
          <w:t>Table 3.21 Requirements and terms of intellectual property rights protection, 2022</w:t>
        </w:r>
        <w:r w:rsidR="00ED050F">
          <w:rPr>
            <w:noProof/>
            <w:webHidden/>
          </w:rPr>
          <w:tab/>
        </w:r>
        <w:r w:rsidR="00ED050F">
          <w:rPr>
            <w:noProof/>
            <w:webHidden/>
          </w:rPr>
          <w:fldChar w:fldCharType="begin"/>
        </w:r>
        <w:r w:rsidR="00ED050F">
          <w:rPr>
            <w:noProof/>
            <w:webHidden/>
          </w:rPr>
          <w:instrText xml:space="preserve"> PAGEREF _Toc117238054 \h </w:instrText>
        </w:r>
        <w:r w:rsidR="00ED050F">
          <w:rPr>
            <w:noProof/>
            <w:webHidden/>
          </w:rPr>
        </w:r>
        <w:r w:rsidR="00ED050F">
          <w:rPr>
            <w:noProof/>
            <w:webHidden/>
          </w:rPr>
          <w:fldChar w:fldCharType="separate"/>
        </w:r>
        <w:r w:rsidR="00916AB5">
          <w:rPr>
            <w:noProof/>
            <w:webHidden/>
          </w:rPr>
          <w:t>88</w:t>
        </w:r>
        <w:r w:rsidR="00ED050F">
          <w:rPr>
            <w:noProof/>
            <w:webHidden/>
          </w:rPr>
          <w:fldChar w:fldCharType="end"/>
        </w:r>
      </w:hyperlink>
    </w:p>
    <w:p w14:paraId="7A850FD6" w14:textId="76467F3B" w:rsidR="00ED050F" w:rsidRDefault="00BD37F2" w:rsidP="00916AB5">
      <w:pPr>
        <w:pStyle w:val="TableofFigures"/>
        <w:jc w:val="left"/>
        <w:rPr>
          <w:rFonts w:asciiTheme="minorHAnsi" w:eastAsiaTheme="minorEastAsia" w:hAnsiTheme="minorHAnsi" w:cstheme="minorBidi"/>
          <w:noProof/>
          <w:sz w:val="22"/>
          <w:szCs w:val="22"/>
        </w:rPr>
      </w:pPr>
      <w:hyperlink w:anchor="_Toc117238055" w:history="1">
        <w:r w:rsidR="00ED050F" w:rsidRPr="004739A6">
          <w:rPr>
            <w:rStyle w:val="Hyperlink"/>
            <w:noProof/>
          </w:rPr>
          <w:t>Table 4.1 Main agricultural sector indicators, 2015-21</w:t>
        </w:r>
        <w:r w:rsidR="00ED050F">
          <w:rPr>
            <w:noProof/>
            <w:webHidden/>
          </w:rPr>
          <w:tab/>
        </w:r>
        <w:r w:rsidR="00ED050F">
          <w:rPr>
            <w:noProof/>
            <w:webHidden/>
          </w:rPr>
          <w:fldChar w:fldCharType="begin"/>
        </w:r>
        <w:r w:rsidR="00ED050F">
          <w:rPr>
            <w:noProof/>
            <w:webHidden/>
          </w:rPr>
          <w:instrText xml:space="preserve"> PAGEREF _Toc117238055 \h </w:instrText>
        </w:r>
        <w:r w:rsidR="00ED050F">
          <w:rPr>
            <w:noProof/>
            <w:webHidden/>
          </w:rPr>
        </w:r>
        <w:r w:rsidR="00ED050F">
          <w:rPr>
            <w:noProof/>
            <w:webHidden/>
          </w:rPr>
          <w:fldChar w:fldCharType="separate"/>
        </w:r>
        <w:r w:rsidR="00916AB5">
          <w:rPr>
            <w:noProof/>
            <w:webHidden/>
          </w:rPr>
          <w:t>92</w:t>
        </w:r>
        <w:r w:rsidR="00ED050F">
          <w:rPr>
            <w:noProof/>
            <w:webHidden/>
          </w:rPr>
          <w:fldChar w:fldCharType="end"/>
        </w:r>
      </w:hyperlink>
    </w:p>
    <w:p w14:paraId="5DBD797B" w14:textId="4861A516" w:rsidR="00ED050F" w:rsidRDefault="00BD37F2" w:rsidP="00916AB5">
      <w:pPr>
        <w:pStyle w:val="TableofFigures"/>
        <w:jc w:val="left"/>
        <w:rPr>
          <w:rFonts w:asciiTheme="minorHAnsi" w:eastAsiaTheme="minorEastAsia" w:hAnsiTheme="minorHAnsi" w:cstheme="minorBidi"/>
          <w:noProof/>
          <w:sz w:val="22"/>
          <w:szCs w:val="22"/>
        </w:rPr>
      </w:pPr>
      <w:hyperlink w:anchor="_Toc117238056" w:history="1">
        <w:r w:rsidR="00ED050F" w:rsidRPr="004739A6">
          <w:rPr>
            <w:rStyle w:val="Hyperlink"/>
            <w:noProof/>
          </w:rPr>
          <w:t>Table 4.2 Top agricultural sector exports and imports, 2015-21</w:t>
        </w:r>
        <w:r w:rsidR="00ED050F">
          <w:rPr>
            <w:noProof/>
            <w:webHidden/>
          </w:rPr>
          <w:tab/>
        </w:r>
        <w:r w:rsidR="00ED050F">
          <w:rPr>
            <w:noProof/>
            <w:webHidden/>
          </w:rPr>
          <w:fldChar w:fldCharType="begin"/>
        </w:r>
        <w:r w:rsidR="00ED050F">
          <w:rPr>
            <w:noProof/>
            <w:webHidden/>
          </w:rPr>
          <w:instrText xml:space="preserve"> PAGEREF _Toc117238056 \h </w:instrText>
        </w:r>
        <w:r w:rsidR="00ED050F">
          <w:rPr>
            <w:noProof/>
            <w:webHidden/>
          </w:rPr>
        </w:r>
        <w:r w:rsidR="00ED050F">
          <w:rPr>
            <w:noProof/>
            <w:webHidden/>
          </w:rPr>
          <w:fldChar w:fldCharType="separate"/>
        </w:r>
        <w:r w:rsidR="00916AB5">
          <w:rPr>
            <w:noProof/>
            <w:webHidden/>
          </w:rPr>
          <w:t>93</w:t>
        </w:r>
        <w:r w:rsidR="00ED050F">
          <w:rPr>
            <w:noProof/>
            <w:webHidden/>
          </w:rPr>
          <w:fldChar w:fldCharType="end"/>
        </w:r>
      </w:hyperlink>
    </w:p>
    <w:p w14:paraId="48EA3D86" w14:textId="749F72F4" w:rsidR="00ED050F" w:rsidRDefault="00BD37F2" w:rsidP="00916AB5">
      <w:pPr>
        <w:pStyle w:val="TableofFigures"/>
        <w:jc w:val="left"/>
        <w:rPr>
          <w:rFonts w:asciiTheme="minorHAnsi" w:eastAsiaTheme="minorEastAsia" w:hAnsiTheme="minorHAnsi" w:cstheme="minorBidi"/>
          <w:noProof/>
          <w:sz w:val="22"/>
          <w:szCs w:val="22"/>
        </w:rPr>
      </w:pPr>
      <w:hyperlink w:anchor="_Toc117238057" w:history="1">
        <w:r w:rsidR="00ED050F" w:rsidRPr="004739A6">
          <w:rPr>
            <w:rStyle w:val="Hyperlink"/>
            <w:noProof/>
          </w:rPr>
          <w:t>Table 4.3 Main laws governing the agricultural sector, 2022</w:t>
        </w:r>
        <w:r w:rsidR="00ED050F">
          <w:rPr>
            <w:noProof/>
            <w:webHidden/>
          </w:rPr>
          <w:tab/>
        </w:r>
        <w:r w:rsidR="00ED050F">
          <w:rPr>
            <w:noProof/>
            <w:webHidden/>
          </w:rPr>
          <w:fldChar w:fldCharType="begin"/>
        </w:r>
        <w:r w:rsidR="00ED050F">
          <w:rPr>
            <w:noProof/>
            <w:webHidden/>
          </w:rPr>
          <w:instrText xml:space="preserve"> PAGEREF _Toc117238057 \h </w:instrText>
        </w:r>
        <w:r w:rsidR="00ED050F">
          <w:rPr>
            <w:noProof/>
            <w:webHidden/>
          </w:rPr>
        </w:r>
        <w:r w:rsidR="00ED050F">
          <w:rPr>
            <w:noProof/>
            <w:webHidden/>
          </w:rPr>
          <w:fldChar w:fldCharType="separate"/>
        </w:r>
        <w:r w:rsidR="00916AB5">
          <w:rPr>
            <w:noProof/>
            <w:webHidden/>
          </w:rPr>
          <w:t>94</w:t>
        </w:r>
        <w:r w:rsidR="00ED050F">
          <w:rPr>
            <w:noProof/>
            <w:webHidden/>
          </w:rPr>
          <w:fldChar w:fldCharType="end"/>
        </w:r>
      </w:hyperlink>
    </w:p>
    <w:p w14:paraId="5D470F5A" w14:textId="72AA3261" w:rsidR="00ED050F" w:rsidRDefault="00BD37F2" w:rsidP="00916AB5">
      <w:pPr>
        <w:pStyle w:val="TableofFigures"/>
        <w:jc w:val="left"/>
        <w:rPr>
          <w:rFonts w:asciiTheme="minorHAnsi" w:eastAsiaTheme="minorEastAsia" w:hAnsiTheme="minorHAnsi" w:cstheme="minorBidi"/>
          <w:noProof/>
          <w:sz w:val="22"/>
          <w:szCs w:val="22"/>
        </w:rPr>
      </w:pPr>
      <w:hyperlink w:anchor="_Toc117238058" w:history="1">
        <w:r w:rsidR="00ED050F" w:rsidRPr="004739A6">
          <w:rPr>
            <w:rStyle w:val="Hyperlink"/>
            <w:noProof/>
          </w:rPr>
          <w:t>Table 4.4 Major agricultural sector institutions, 2022</w:t>
        </w:r>
        <w:r w:rsidR="00ED050F">
          <w:rPr>
            <w:noProof/>
            <w:webHidden/>
          </w:rPr>
          <w:tab/>
        </w:r>
        <w:r w:rsidR="00ED050F">
          <w:rPr>
            <w:noProof/>
            <w:webHidden/>
          </w:rPr>
          <w:fldChar w:fldCharType="begin"/>
        </w:r>
        <w:r w:rsidR="00ED050F">
          <w:rPr>
            <w:noProof/>
            <w:webHidden/>
          </w:rPr>
          <w:instrText xml:space="preserve"> PAGEREF _Toc117238058 \h </w:instrText>
        </w:r>
        <w:r w:rsidR="00ED050F">
          <w:rPr>
            <w:noProof/>
            <w:webHidden/>
          </w:rPr>
        </w:r>
        <w:r w:rsidR="00ED050F">
          <w:rPr>
            <w:noProof/>
            <w:webHidden/>
          </w:rPr>
          <w:fldChar w:fldCharType="separate"/>
        </w:r>
        <w:r w:rsidR="00916AB5">
          <w:rPr>
            <w:noProof/>
            <w:webHidden/>
          </w:rPr>
          <w:t>95</w:t>
        </w:r>
        <w:r w:rsidR="00ED050F">
          <w:rPr>
            <w:noProof/>
            <w:webHidden/>
          </w:rPr>
          <w:fldChar w:fldCharType="end"/>
        </w:r>
      </w:hyperlink>
    </w:p>
    <w:p w14:paraId="0A24C917" w14:textId="58DF834E" w:rsidR="00ED050F" w:rsidRDefault="00BD37F2" w:rsidP="00916AB5">
      <w:pPr>
        <w:pStyle w:val="TableofFigures"/>
        <w:jc w:val="left"/>
        <w:rPr>
          <w:rFonts w:asciiTheme="minorHAnsi" w:eastAsiaTheme="minorEastAsia" w:hAnsiTheme="minorHAnsi" w:cstheme="minorBidi"/>
          <w:noProof/>
          <w:sz w:val="22"/>
          <w:szCs w:val="22"/>
        </w:rPr>
      </w:pPr>
      <w:hyperlink w:anchor="_Toc117238059" w:history="1">
        <w:r w:rsidR="00ED050F" w:rsidRPr="004739A6">
          <w:rPr>
            <w:rStyle w:val="Hyperlink"/>
            <w:noProof/>
          </w:rPr>
          <w:t>Table 4.5 Government agencies involved in the fisheries sector</w:t>
        </w:r>
        <w:r w:rsidR="00ED050F">
          <w:rPr>
            <w:noProof/>
            <w:webHidden/>
          </w:rPr>
          <w:tab/>
        </w:r>
        <w:r w:rsidR="00ED050F">
          <w:rPr>
            <w:noProof/>
            <w:webHidden/>
          </w:rPr>
          <w:fldChar w:fldCharType="begin"/>
        </w:r>
        <w:r w:rsidR="00ED050F">
          <w:rPr>
            <w:noProof/>
            <w:webHidden/>
          </w:rPr>
          <w:instrText xml:space="preserve"> PAGEREF _Toc117238059 \h </w:instrText>
        </w:r>
        <w:r w:rsidR="00ED050F">
          <w:rPr>
            <w:noProof/>
            <w:webHidden/>
          </w:rPr>
        </w:r>
        <w:r w:rsidR="00ED050F">
          <w:rPr>
            <w:noProof/>
            <w:webHidden/>
          </w:rPr>
          <w:fldChar w:fldCharType="separate"/>
        </w:r>
        <w:r w:rsidR="00916AB5">
          <w:rPr>
            <w:noProof/>
            <w:webHidden/>
          </w:rPr>
          <w:t>101</w:t>
        </w:r>
        <w:r w:rsidR="00ED050F">
          <w:rPr>
            <w:noProof/>
            <w:webHidden/>
          </w:rPr>
          <w:fldChar w:fldCharType="end"/>
        </w:r>
      </w:hyperlink>
    </w:p>
    <w:p w14:paraId="40431F38" w14:textId="52836268" w:rsidR="00ED050F" w:rsidRDefault="00BD37F2" w:rsidP="00916AB5">
      <w:pPr>
        <w:pStyle w:val="TableofFigures"/>
        <w:jc w:val="left"/>
        <w:rPr>
          <w:rFonts w:asciiTheme="minorHAnsi" w:eastAsiaTheme="minorEastAsia" w:hAnsiTheme="minorHAnsi" w:cstheme="minorBidi"/>
          <w:noProof/>
          <w:sz w:val="22"/>
          <w:szCs w:val="22"/>
        </w:rPr>
      </w:pPr>
      <w:hyperlink w:anchor="_Toc117238060" w:history="1">
        <w:r w:rsidR="00ED050F" w:rsidRPr="004739A6">
          <w:rPr>
            <w:rStyle w:val="Hyperlink"/>
            <w:noProof/>
          </w:rPr>
          <w:t>Table 4.6 Production, trade and share of GDP of the mining sector, 2015</w:t>
        </w:r>
        <w:r w:rsidR="00ED050F" w:rsidRPr="004739A6">
          <w:rPr>
            <w:rStyle w:val="Hyperlink"/>
            <w:noProof/>
          </w:rPr>
          <w:noBreakHyphen/>
          <w:t>21</w:t>
        </w:r>
        <w:r w:rsidR="00ED050F">
          <w:rPr>
            <w:noProof/>
            <w:webHidden/>
          </w:rPr>
          <w:tab/>
        </w:r>
        <w:r w:rsidR="00ED050F">
          <w:rPr>
            <w:noProof/>
            <w:webHidden/>
          </w:rPr>
          <w:fldChar w:fldCharType="begin"/>
        </w:r>
        <w:r w:rsidR="00ED050F">
          <w:rPr>
            <w:noProof/>
            <w:webHidden/>
          </w:rPr>
          <w:instrText xml:space="preserve"> PAGEREF _Toc117238060 \h </w:instrText>
        </w:r>
        <w:r w:rsidR="00ED050F">
          <w:rPr>
            <w:noProof/>
            <w:webHidden/>
          </w:rPr>
        </w:r>
        <w:r w:rsidR="00ED050F">
          <w:rPr>
            <w:noProof/>
            <w:webHidden/>
          </w:rPr>
          <w:fldChar w:fldCharType="separate"/>
        </w:r>
        <w:r w:rsidR="00916AB5">
          <w:rPr>
            <w:noProof/>
            <w:webHidden/>
          </w:rPr>
          <w:t>104</w:t>
        </w:r>
        <w:r w:rsidR="00ED050F">
          <w:rPr>
            <w:noProof/>
            <w:webHidden/>
          </w:rPr>
          <w:fldChar w:fldCharType="end"/>
        </w:r>
      </w:hyperlink>
    </w:p>
    <w:p w14:paraId="6A117318" w14:textId="18CDD99D" w:rsidR="00ED050F" w:rsidRDefault="00BD37F2" w:rsidP="00916AB5">
      <w:pPr>
        <w:pStyle w:val="TableofFigures"/>
        <w:jc w:val="left"/>
        <w:rPr>
          <w:rFonts w:asciiTheme="minorHAnsi" w:eastAsiaTheme="minorEastAsia" w:hAnsiTheme="minorHAnsi" w:cstheme="minorBidi"/>
          <w:noProof/>
          <w:sz w:val="22"/>
          <w:szCs w:val="22"/>
        </w:rPr>
      </w:pPr>
      <w:hyperlink w:anchor="_Toc117238061" w:history="1">
        <w:r w:rsidR="00ED050F" w:rsidRPr="004739A6">
          <w:rPr>
            <w:rStyle w:val="Hyperlink"/>
            <w:noProof/>
          </w:rPr>
          <w:t>Table 4.7 Supply and demand in the national grid, 2015–21</w:t>
        </w:r>
        <w:r w:rsidR="00ED050F">
          <w:rPr>
            <w:noProof/>
            <w:webHidden/>
          </w:rPr>
          <w:tab/>
        </w:r>
        <w:r w:rsidR="00ED050F">
          <w:rPr>
            <w:noProof/>
            <w:webHidden/>
          </w:rPr>
          <w:fldChar w:fldCharType="begin"/>
        </w:r>
        <w:r w:rsidR="00ED050F">
          <w:rPr>
            <w:noProof/>
            <w:webHidden/>
          </w:rPr>
          <w:instrText xml:space="preserve"> PAGEREF _Toc117238061 \h </w:instrText>
        </w:r>
        <w:r w:rsidR="00ED050F">
          <w:rPr>
            <w:noProof/>
            <w:webHidden/>
          </w:rPr>
        </w:r>
        <w:r w:rsidR="00ED050F">
          <w:rPr>
            <w:noProof/>
            <w:webHidden/>
          </w:rPr>
          <w:fldChar w:fldCharType="separate"/>
        </w:r>
        <w:r w:rsidR="00916AB5">
          <w:rPr>
            <w:noProof/>
            <w:webHidden/>
          </w:rPr>
          <w:t>109</w:t>
        </w:r>
        <w:r w:rsidR="00ED050F">
          <w:rPr>
            <w:noProof/>
            <w:webHidden/>
          </w:rPr>
          <w:fldChar w:fldCharType="end"/>
        </w:r>
      </w:hyperlink>
    </w:p>
    <w:p w14:paraId="3A79520F" w14:textId="49B65822" w:rsidR="00ED050F" w:rsidRDefault="00BD37F2" w:rsidP="00916AB5">
      <w:pPr>
        <w:pStyle w:val="TableofFigures"/>
        <w:jc w:val="left"/>
        <w:rPr>
          <w:rFonts w:asciiTheme="minorHAnsi" w:eastAsiaTheme="minorEastAsia" w:hAnsiTheme="minorHAnsi" w:cstheme="minorBidi"/>
          <w:noProof/>
          <w:sz w:val="22"/>
          <w:szCs w:val="22"/>
        </w:rPr>
      </w:pPr>
      <w:hyperlink w:anchor="_Toc117238062" w:history="1">
        <w:r w:rsidR="00ED050F" w:rsidRPr="004739A6">
          <w:rPr>
            <w:rStyle w:val="Hyperlink"/>
            <w:noProof/>
          </w:rPr>
          <w:t>Table 4.8 The manufacturing sector's share of GDP and employment, 2015–21</w:t>
        </w:r>
        <w:r w:rsidR="00ED050F">
          <w:rPr>
            <w:noProof/>
            <w:webHidden/>
          </w:rPr>
          <w:tab/>
        </w:r>
        <w:r w:rsidR="00ED050F">
          <w:rPr>
            <w:noProof/>
            <w:webHidden/>
          </w:rPr>
          <w:fldChar w:fldCharType="begin"/>
        </w:r>
        <w:r w:rsidR="00ED050F">
          <w:rPr>
            <w:noProof/>
            <w:webHidden/>
          </w:rPr>
          <w:instrText xml:space="preserve"> PAGEREF _Toc117238062 \h </w:instrText>
        </w:r>
        <w:r w:rsidR="00ED050F">
          <w:rPr>
            <w:noProof/>
            <w:webHidden/>
          </w:rPr>
        </w:r>
        <w:r w:rsidR="00ED050F">
          <w:rPr>
            <w:noProof/>
            <w:webHidden/>
          </w:rPr>
          <w:fldChar w:fldCharType="separate"/>
        </w:r>
        <w:r w:rsidR="00916AB5">
          <w:rPr>
            <w:noProof/>
            <w:webHidden/>
          </w:rPr>
          <w:t>113</w:t>
        </w:r>
        <w:r w:rsidR="00ED050F">
          <w:rPr>
            <w:noProof/>
            <w:webHidden/>
          </w:rPr>
          <w:fldChar w:fldCharType="end"/>
        </w:r>
      </w:hyperlink>
    </w:p>
    <w:p w14:paraId="5B4DEA55" w14:textId="5188C56A" w:rsidR="00ED050F" w:rsidRDefault="00BD37F2" w:rsidP="00916AB5">
      <w:pPr>
        <w:pStyle w:val="TableofFigures"/>
        <w:jc w:val="left"/>
        <w:rPr>
          <w:rFonts w:asciiTheme="minorHAnsi" w:eastAsiaTheme="minorEastAsia" w:hAnsiTheme="minorHAnsi" w:cstheme="minorBidi"/>
          <w:noProof/>
          <w:sz w:val="22"/>
          <w:szCs w:val="22"/>
        </w:rPr>
      </w:pPr>
      <w:hyperlink w:anchor="_Toc117238063" w:history="1">
        <w:r w:rsidR="00ED050F" w:rsidRPr="004739A6">
          <w:rPr>
            <w:rStyle w:val="Hyperlink"/>
            <w:noProof/>
          </w:rPr>
          <w:t>Table 4.9 Manufacturing exports, by regime and by main activity, 2015–21</w:t>
        </w:r>
        <w:r w:rsidR="00ED050F">
          <w:rPr>
            <w:noProof/>
            <w:webHidden/>
          </w:rPr>
          <w:tab/>
        </w:r>
        <w:r w:rsidR="00ED050F">
          <w:rPr>
            <w:noProof/>
            <w:webHidden/>
          </w:rPr>
          <w:fldChar w:fldCharType="begin"/>
        </w:r>
        <w:r w:rsidR="00ED050F">
          <w:rPr>
            <w:noProof/>
            <w:webHidden/>
          </w:rPr>
          <w:instrText xml:space="preserve"> PAGEREF _Toc117238063 \h </w:instrText>
        </w:r>
        <w:r w:rsidR="00ED050F">
          <w:rPr>
            <w:noProof/>
            <w:webHidden/>
          </w:rPr>
        </w:r>
        <w:r w:rsidR="00ED050F">
          <w:rPr>
            <w:noProof/>
            <w:webHidden/>
          </w:rPr>
          <w:fldChar w:fldCharType="separate"/>
        </w:r>
        <w:r w:rsidR="00916AB5">
          <w:rPr>
            <w:noProof/>
            <w:webHidden/>
          </w:rPr>
          <w:t>113</w:t>
        </w:r>
        <w:r w:rsidR="00ED050F">
          <w:rPr>
            <w:noProof/>
            <w:webHidden/>
          </w:rPr>
          <w:fldChar w:fldCharType="end"/>
        </w:r>
      </w:hyperlink>
    </w:p>
    <w:p w14:paraId="57239366" w14:textId="19689E77" w:rsidR="00ED050F" w:rsidRDefault="00BD37F2" w:rsidP="00916AB5">
      <w:pPr>
        <w:pStyle w:val="TableofFigures"/>
        <w:jc w:val="left"/>
        <w:rPr>
          <w:rFonts w:asciiTheme="minorHAnsi" w:eastAsiaTheme="minorEastAsia" w:hAnsiTheme="minorHAnsi" w:cstheme="minorBidi"/>
          <w:noProof/>
          <w:sz w:val="22"/>
          <w:szCs w:val="22"/>
        </w:rPr>
      </w:pPr>
      <w:hyperlink w:anchor="_Toc117238064" w:history="1">
        <w:r w:rsidR="00ED050F" w:rsidRPr="004739A6">
          <w:rPr>
            <w:rStyle w:val="Hyperlink"/>
            <w:noProof/>
          </w:rPr>
          <w:t>Table 4.10 Banking system indicators, 2015-21</w:t>
        </w:r>
        <w:r w:rsidR="00ED050F">
          <w:rPr>
            <w:noProof/>
            <w:webHidden/>
          </w:rPr>
          <w:tab/>
        </w:r>
        <w:r w:rsidR="00ED050F">
          <w:rPr>
            <w:noProof/>
            <w:webHidden/>
          </w:rPr>
          <w:fldChar w:fldCharType="begin"/>
        </w:r>
        <w:r w:rsidR="00ED050F">
          <w:rPr>
            <w:noProof/>
            <w:webHidden/>
          </w:rPr>
          <w:instrText xml:space="preserve"> PAGEREF _Toc117238064 \h </w:instrText>
        </w:r>
        <w:r w:rsidR="00ED050F">
          <w:rPr>
            <w:noProof/>
            <w:webHidden/>
          </w:rPr>
        </w:r>
        <w:r w:rsidR="00ED050F">
          <w:rPr>
            <w:noProof/>
            <w:webHidden/>
          </w:rPr>
          <w:fldChar w:fldCharType="separate"/>
        </w:r>
        <w:r w:rsidR="00916AB5">
          <w:rPr>
            <w:noProof/>
            <w:webHidden/>
          </w:rPr>
          <w:t>117</w:t>
        </w:r>
        <w:r w:rsidR="00ED050F">
          <w:rPr>
            <w:noProof/>
            <w:webHidden/>
          </w:rPr>
          <w:fldChar w:fldCharType="end"/>
        </w:r>
      </w:hyperlink>
    </w:p>
    <w:p w14:paraId="0ADA85B4" w14:textId="41B5DD76" w:rsidR="00ED050F" w:rsidRDefault="00BD37F2" w:rsidP="00916AB5">
      <w:pPr>
        <w:pStyle w:val="TableofFigures"/>
        <w:jc w:val="left"/>
        <w:rPr>
          <w:rFonts w:asciiTheme="minorHAnsi" w:eastAsiaTheme="minorEastAsia" w:hAnsiTheme="minorHAnsi" w:cstheme="minorBidi"/>
          <w:noProof/>
          <w:sz w:val="22"/>
          <w:szCs w:val="22"/>
        </w:rPr>
      </w:pPr>
      <w:hyperlink w:anchor="_Toc117238065" w:history="1">
        <w:r w:rsidR="00ED050F" w:rsidRPr="004739A6">
          <w:rPr>
            <w:rStyle w:val="Hyperlink"/>
            <w:noProof/>
          </w:rPr>
          <w:t>Table 4.11 Insurance and reinsurance market indicators, 2015-20</w:t>
        </w:r>
        <w:r w:rsidR="00ED050F">
          <w:rPr>
            <w:noProof/>
            <w:webHidden/>
          </w:rPr>
          <w:tab/>
        </w:r>
        <w:r w:rsidR="00ED050F">
          <w:rPr>
            <w:noProof/>
            <w:webHidden/>
          </w:rPr>
          <w:fldChar w:fldCharType="begin"/>
        </w:r>
        <w:r w:rsidR="00ED050F">
          <w:rPr>
            <w:noProof/>
            <w:webHidden/>
          </w:rPr>
          <w:instrText xml:space="preserve"> PAGEREF _Toc117238065 \h </w:instrText>
        </w:r>
        <w:r w:rsidR="00ED050F">
          <w:rPr>
            <w:noProof/>
            <w:webHidden/>
          </w:rPr>
        </w:r>
        <w:r w:rsidR="00ED050F">
          <w:rPr>
            <w:noProof/>
            <w:webHidden/>
          </w:rPr>
          <w:fldChar w:fldCharType="separate"/>
        </w:r>
        <w:r w:rsidR="00916AB5">
          <w:rPr>
            <w:noProof/>
            <w:webHidden/>
          </w:rPr>
          <w:t>124</w:t>
        </w:r>
        <w:r w:rsidR="00ED050F">
          <w:rPr>
            <w:noProof/>
            <w:webHidden/>
          </w:rPr>
          <w:fldChar w:fldCharType="end"/>
        </w:r>
      </w:hyperlink>
    </w:p>
    <w:p w14:paraId="7C47EF1A" w14:textId="65CB4159" w:rsidR="00ED050F" w:rsidRDefault="00BD37F2" w:rsidP="00916AB5">
      <w:pPr>
        <w:pStyle w:val="TableofFigures"/>
        <w:jc w:val="left"/>
        <w:rPr>
          <w:rFonts w:asciiTheme="minorHAnsi" w:eastAsiaTheme="minorEastAsia" w:hAnsiTheme="minorHAnsi" w:cstheme="minorBidi"/>
          <w:noProof/>
          <w:sz w:val="22"/>
          <w:szCs w:val="22"/>
        </w:rPr>
      </w:pPr>
      <w:hyperlink w:anchor="_Toc117238066" w:history="1">
        <w:r w:rsidR="00ED050F" w:rsidRPr="004739A6">
          <w:rPr>
            <w:rStyle w:val="Hyperlink"/>
            <w:noProof/>
          </w:rPr>
          <w:t>Table 4.12 Telecommunications indicators, 2015-21</w:t>
        </w:r>
        <w:r w:rsidR="00ED050F">
          <w:rPr>
            <w:noProof/>
            <w:webHidden/>
          </w:rPr>
          <w:tab/>
        </w:r>
        <w:r w:rsidR="00ED050F">
          <w:rPr>
            <w:noProof/>
            <w:webHidden/>
          </w:rPr>
          <w:fldChar w:fldCharType="begin"/>
        </w:r>
        <w:r w:rsidR="00ED050F">
          <w:rPr>
            <w:noProof/>
            <w:webHidden/>
          </w:rPr>
          <w:instrText xml:space="preserve"> PAGEREF _Toc117238066 \h </w:instrText>
        </w:r>
        <w:r w:rsidR="00ED050F">
          <w:rPr>
            <w:noProof/>
            <w:webHidden/>
          </w:rPr>
        </w:r>
        <w:r w:rsidR="00ED050F">
          <w:rPr>
            <w:noProof/>
            <w:webHidden/>
          </w:rPr>
          <w:fldChar w:fldCharType="separate"/>
        </w:r>
        <w:r w:rsidR="00916AB5">
          <w:rPr>
            <w:noProof/>
            <w:webHidden/>
          </w:rPr>
          <w:t>129</w:t>
        </w:r>
        <w:r w:rsidR="00ED050F">
          <w:rPr>
            <w:noProof/>
            <w:webHidden/>
          </w:rPr>
          <w:fldChar w:fldCharType="end"/>
        </w:r>
      </w:hyperlink>
    </w:p>
    <w:p w14:paraId="6EACB8CC" w14:textId="7103F0B0" w:rsidR="00ED050F" w:rsidRDefault="00BD37F2" w:rsidP="00916AB5">
      <w:pPr>
        <w:pStyle w:val="TableofFigures"/>
        <w:jc w:val="left"/>
        <w:rPr>
          <w:rFonts w:asciiTheme="minorHAnsi" w:eastAsiaTheme="minorEastAsia" w:hAnsiTheme="minorHAnsi" w:cstheme="minorBidi"/>
          <w:noProof/>
          <w:sz w:val="22"/>
          <w:szCs w:val="22"/>
        </w:rPr>
      </w:pPr>
      <w:hyperlink w:anchor="_Toc117238067" w:history="1">
        <w:r w:rsidR="00ED050F" w:rsidRPr="004739A6">
          <w:rPr>
            <w:rStyle w:val="Hyperlink"/>
            <w:noProof/>
          </w:rPr>
          <w:t>Table 4.13 Main regulations and standards approved, 2015-22 (June)</w:t>
        </w:r>
        <w:r w:rsidR="00ED050F">
          <w:rPr>
            <w:noProof/>
            <w:webHidden/>
          </w:rPr>
          <w:tab/>
        </w:r>
        <w:r w:rsidR="00ED050F">
          <w:rPr>
            <w:noProof/>
            <w:webHidden/>
          </w:rPr>
          <w:fldChar w:fldCharType="begin"/>
        </w:r>
        <w:r w:rsidR="00ED050F">
          <w:rPr>
            <w:noProof/>
            <w:webHidden/>
          </w:rPr>
          <w:instrText xml:space="preserve"> PAGEREF _Toc117238067 \h </w:instrText>
        </w:r>
        <w:r w:rsidR="00ED050F">
          <w:rPr>
            <w:noProof/>
            <w:webHidden/>
          </w:rPr>
        </w:r>
        <w:r w:rsidR="00ED050F">
          <w:rPr>
            <w:noProof/>
            <w:webHidden/>
          </w:rPr>
          <w:fldChar w:fldCharType="separate"/>
        </w:r>
        <w:r w:rsidR="00916AB5">
          <w:rPr>
            <w:noProof/>
            <w:webHidden/>
          </w:rPr>
          <w:t>130</w:t>
        </w:r>
        <w:r w:rsidR="00ED050F">
          <w:rPr>
            <w:noProof/>
            <w:webHidden/>
          </w:rPr>
          <w:fldChar w:fldCharType="end"/>
        </w:r>
      </w:hyperlink>
    </w:p>
    <w:p w14:paraId="733A49CA" w14:textId="201C5949" w:rsidR="00ED050F" w:rsidRDefault="00BD37F2" w:rsidP="00916AB5">
      <w:pPr>
        <w:pStyle w:val="TableofFigures"/>
        <w:jc w:val="left"/>
        <w:rPr>
          <w:rFonts w:asciiTheme="minorHAnsi" w:eastAsiaTheme="minorEastAsia" w:hAnsiTheme="minorHAnsi" w:cstheme="minorBidi"/>
          <w:noProof/>
          <w:sz w:val="22"/>
          <w:szCs w:val="22"/>
        </w:rPr>
      </w:pPr>
      <w:hyperlink w:anchor="_Toc117238068" w:history="1">
        <w:r w:rsidR="00ED050F" w:rsidRPr="004739A6">
          <w:rPr>
            <w:rStyle w:val="Hyperlink"/>
            <w:noProof/>
          </w:rPr>
          <w:t>Table 4.14 Air traffic, 2015-21</w:t>
        </w:r>
        <w:r w:rsidR="00ED050F">
          <w:rPr>
            <w:noProof/>
            <w:webHidden/>
          </w:rPr>
          <w:tab/>
        </w:r>
        <w:r w:rsidR="00ED050F">
          <w:rPr>
            <w:noProof/>
            <w:webHidden/>
          </w:rPr>
          <w:fldChar w:fldCharType="begin"/>
        </w:r>
        <w:r w:rsidR="00ED050F">
          <w:rPr>
            <w:noProof/>
            <w:webHidden/>
          </w:rPr>
          <w:instrText xml:space="preserve"> PAGEREF _Toc117238068 \h </w:instrText>
        </w:r>
        <w:r w:rsidR="00ED050F">
          <w:rPr>
            <w:noProof/>
            <w:webHidden/>
          </w:rPr>
        </w:r>
        <w:r w:rsidR="00ED050F">
          <w:rPr>
            <w:noProof/>
            <w:webHidden/>
          </w:rPr>
          <w:fldChar w:fldCharType="separate"/>
        </w:r>
        <w:r w:rsidR="00916AB5">
          <w:rPr>
            <w:noProof/>
            <w:webHidden/>
          </w:rPr>
          <w:t>134</w:t>
        </w:r>
        <w:r w:rsidR="00ED050F">
          <w:rPr>
            <w:noProof/>
            <w:webHidden/>
          </w:rPr>
          <w:fldChar w:fldCharType="end"/>
        </w:r>
      </w:hyperlink>
    </w:p>
    <w:p w14:paraId="1E2DC8F0" w14:textId="15AA20D9" w:rsidR="00ED050F" w:rsidRDefault="00BD37F2" w:rsidP="00916AB5">
      <w:pPr>
        <w:pStyle w:val="TableofFigures"/>
        <w:jc w:val="left"/>
        <w:rPr>
          <w:rFonts w:asciiTheme="minorHAnsi" w:eastAsiaTheme="minorEastAsia" w:hAnsiTheme="minorHAnsi" w:cstheme="minorBidi"/>
          <w:noProof/>
          <w:sz w:val="22"/>
          <w:szCs w:val="22"/>
        </w:rPr>
      </w:pPr>
      <w:hyperlink w:anchor="_Toc117238069" w:history="1">
        <w:r w:rsidR="00ED050F" w:rsidRPr="004739A6">
          <w:rPr>
            <w:rStyle w:val="Hyperlink"/>
            <w:noProof/>
          </w:rPr>
          <w:t>Table 4.15 Air service agreement modalities: bilateral agreements</w:t>
        </w:r>
        <w:r w:rsidR="00ED050F">
          <w:rPr>
            <w:noProof/>
            <w:webHidden/>
          </w:rPr>
          <w:tab/>
        </w:r>
        <w:r w:rsidR="00ED050F">
          <w:rPr>
            <w:noProof/>
            <w:webHidden/>
          </w:rPr>
          <w:fldChar w:fldCharType="begin"/>
        </w:r>
        <w:r w:rsidR="00ED050F">
          <w:rPr>
            <w:noProof/>
            <w:webHidden/>
          </w:rPr>
          <w:instrText xml:space="preserve"> PAGEREF _Toc117238069 \h </w:instrText>
        </w:r>
        <w:r w:rsidR="00ED050F">
          <w:rPr>
            <w:noProof/>
            <w:webHidden/>
          </w:rPr>
        </w:r>
        <w:r w:rsidR="00ED050F">
          <w:rPr>
            <w:noProof/>
            <w:webHidden/>
          </w:rPr>
          <w:fldChar w:fldCharType="separate"/>
        </w:r>
        <w:r w:rsidR="00916AB5">
          <w:rPr>
            <w:noProof/>
            <w:webHidden/>
          </w:rPr>
          <w:t>136</w:t>
        </w:r>
        <w:r w:rsidR="00ED050F">
          <w:rPr>
            <w:noProof/>
            <w:webHidden/>
          </w:rPr>
          <w:fldChar w:fldCharType="end"/>
        </w:r>
      </w:hyperlink>
    </w:p>
    <w:p w14:paraId="5D827115" w14:textId="7CFE3FA6" w:rsidR="00ED050F" w:rsidRDefault="00BD37F2" w:rsidP="00916AB5">
      <w:pPr>
        <w:pStyle w:val="TableofFigures"/>
        <w:jc w:val="left"/>
        <w:rPr>
          <w:rFonts w:asciiTheme="minorHAnsi" w:eastAsiaTheme="minorEastAsia" w:hAnsiTheme="minorHAnsi" w:cstheme="minorBidi"/>
          <w:noProof/>
          <w:sz w:val="22"/>
          <w:szCs w:val="22"/>
        </w:rPr>
      </w:pPr>
      <w:hyperlink w:anchor="_Toc117238070" w:history="1">
        <w:r w:rsidR="00ED050F" w:rsidRPr="004739A6">
          <w:rPr>
            <w:rStyle w:val="Hyperlink"/>
            <w:noProof/>
          </w:rPr>
          <w:t>Table 4.16 Port operations, 2015-22 (June)</w:t>
        </w:r>
        <w:r w:rsidR="00ED050F">
          <w:rPr>
            <w:noProof/>
            <w:webHidden/>
          </w:rPr>
          <w:tab/>
        </w:r>
        <w:r w:rsidR="00ED050F">
          <w:rPr>
            <w:noProof/>
            <w:webHidden/>
          </w:rPr>
          <w:fldChar w:fldCharType="begin"/>
        </w:r>
        <w:r w:rsidR="00ED050F">
          <w:rPr>
            <w:noProof/>
            <w:webHidden/>
          </w:rPr>
          <w:instrText xml:space="preserve"> PAGEREF _Toc117238070 \h </w:instrText>
        </w:r>
        <w:r w:rsidR="00ED050F">
          <w:rPr>
            <w:noProof/>
            <w:webHidden/>
          </w:rPr>
        </w:r>
        <w:r w:rsidR="00ED050F">
          <w:rPr>
            <w:noProof/>
            <w:webHidden/>
          </w:rPr>
          <w:fldChar w:fldCharType="separate"/>
        </w:r>
        <w:r w:rsidR="00916AB5">
          <w:rPr>
            <w:noProof/>
            <w:webHidden/>
          </w:rPr>
          <w:t>139</w:t>
        </w:r>
        <w:r w:rsidR="00ED050F">
          <w:rPr>
            <w:noProof/>
            <w:webHidden/>
          </w:rPr>
          <w:fldChar w:fldCharType="end"/>
        </w:r>
      </w:hyperlink>
    </w:p>
    <w:p w14:paraId="703920EC" w14:textId="64C3CEF4" w:rsidR="00ED050F" w:rsidRDefault="00BD37F2" w:rsidP="00916AB5">
      <w:pPr>
        <w:pStyle w:val="TableofFigures"/>
        <w:jc w:val="left"/>
        <w:rPr>
          <w:rFonts w:asciiTheme="minorHAnsi" w:eastAsiaTheme="minorEastAsia" w:hAnsiTheme="minorHAnsi" w:cstheme="minorBidi"/>
          <w:noProof/>
          <w:sz w:val="22"/>
          <w:szCs w:val="22"/>
        </w:rPr>
      </w:pPr>
      <w:hyperlink w:anchor="_Toc117238071" w:history="1">
        <w:r w:rsidR="00ED050F" w:rsidRPr="004739A6">
          <w:rPr>
            <w:rStyle w:val="Hyperlink"/>
            <w:noProof/>
          </w:rPr>
          <w:t>Table 4.17 Tourism indicators, 2015-22 (June)</w:t>
        </w:r>
        <w:r w:rsidR="00ED050F">
          <w:rPr>
            <w:noProof/>
            <w:webHidden/>
          </w:rPr>
          <w:tab/>
        </w:r>
        <w:r w:rsidR="00ED050F">
          <w:rPr>
            <w:noProof/>
            <w:webHidden/>
          </w:rPr>
          <w:fldChar w:fldCharType="begin"/>
        </w:r>
        <w:r w:rsidR="00ED050F">
          <w:rPr>
            <w:noProof/>
            <w:webHidden/>
          </w:rPr>
          <w:instrText xml:space="preserve"> PAGEREF _Toc117238071 \h </w:instrText>
        </w:r>
        <w:r w:rsidR="00ED050F">
          <w:rPr>
            <w:noProof/>
            <w:webHidden/>
          </w:rPr>
        </w:r>
        <w:r w:rsidR="00ED050F">
          <w:rPr>
            <w:noProof/>
            <w:webHidden/>
          </w:rPr>
          <w:fldChar w:fldCharType="separate"/>
        </w:r>
        <w:r w:rsidR="00916AB5">
          <w:rPr>
            <w:noProof/>
            <w:webHidden/>
          </w:rPr>
          <w:t>141</w:t>
        </w:r>
        <w:r w:rsidR="00ED050F">
          <w:rPr>
            <w:noProof/>
            <w:webHidden/>
          </w:rPr>
          <w:fldChar w:fldCharType="end"/>
        </w:r>
      </w:hyperlink>
    </w:p>
    <w:p w14:paraId="5AB0E5F5" w14:textId="22B02646" w:rsidR="00ED050F" w:rsidRDefault="00BD37F2" w:rsidP="00916AB5">
      <w:pPr>
        <w:pStyle w:val="TableofFigures"/>
        <w:jc w:val="left"/>
        <w:rPr>
          <w:rFonts w:asciiTheme="minorHAnsi" w:eastAsiaTheme="minorEastAsia" w:hAnsiTheme="minorHAnsi" w:cstheme="minorBidi"/>
          <w:noProof/>
          <w:sz w:val="22"/>
          <w:szCs w:val="22"/>
        </w:rPr>
      </w:pPr>
      <w:hyperlink w:anchor="_Toc117238072" w:history="1">
        <w:r w:rsidR="00ED050F" w:rsidRPr="004739A6">
          <w:rPr>
            <w:rStyle w:val="Hyperlink"/>
            <w:noProof/>
          </w:rPr>
          <w:t>Table 4.18 Tax incentives for tourism projects or tourism activities</w:t>
        </w:r>
        <w:r w:rsidR="00ED050F">
          <w:rPr>
            <w:noProof/>
            <w:webHidden/>
          </w:rPr>
          <w:tab/>
        </w:r>
        <w:r w:rsidR="00ED050F">
          <w:rPr>
            <w:noProof/>
            <w:webHidden/>
          </w:rPr>
          <w:fldChar w:fldCharType="begin"/>
        </w:r>
        <w:r w:rsidR="00ED050F">
          <w:rPr>
            <w:noProof/>
            <w:webHidden/>
          </w:rPr>
          <w:instrText xml:space="preserve"> PAGEREF _Toc117238072 \h </w:instrText>
        </w:r>
        <w:r w:rsidR="00ED050F">
          <w:rPr>
            <w:noProof/>
            <w:webHidden/>
          </w:rPr>
        </w:r>
        <w:r w:rsidR="00ED050F">
          <w:rPr>
            <w:noProof/>
            <w:webHidden/>
          </w:rPr>
          <w:fldChar w:fldCharType="separate"/>
        </w:r>
        <w:r w:rsidR="00916AB5">
          <w:rPr>
            <w:noProof/>
            <w:webHidden/>
          </w:rPr>
          <w:t>142</w:t>
        </w:r>
        <w:r w:rsidR="00ED050F">
          <w:rPr>
            <w:noProof/>
            <w:webHidden/>
          </w:rPr>
          <w:fldChar w:fldCharType="end"/>
        </w:r>
      </w:hyperlink>
    </w:p>
    <w:p w14:paraId="6A4040F8" w14:textId="4F72DB51" w:rsidR="00C212B3" w:rsidRDefault="00C212B3" w:rsidP="00916AB5">
      <w:pPr>
        <w:jc w:val="left"/>
      </w:pPr>
      <w:r>
        <w:rPr>
          <w:b/>
          <w:bCs/>
          <w:noProof/>
          <w:lang w:val="en-US"/>
        </w:rPr>
        <w:fldChar w:fldCharType="end"/>
      </w:r>
    </w:p>
    <w:p w14:paraId="3E096919" w14:textId="77777777" w:rsidR="00C212B3" w:rsidRDefault="00C212B3" w:rsidP="00ED050F">
      <w:pPr>
        <w:pStyle w:val="TOCHeading"/>
        <w:keepNext/>
      </w:pPr>
      <w:r>
        <w:lastRenderedPageBreak/>
        <w:t>BOXES</w:t>
      </w:r>
    </w:p>
    <w:p w14:paraId="0A11B95B" w14:textId="77777777" w:rsidR="00C212B3" w:rsidRDefault="00C212B3" w:rsidP="00ED050F">
      <w:pPr>
        <w:keepNext/>
      </w:pPr>
    </w:p>
    <w:p w14:paraId="75B7EEB8" w14:textId="71A71D0D" w:rsidR="00ED050F" w:rsidRDefault="00C212B3" w:rsidP="00ED050F">
      <w:pPr>
        <w:pStyle w:val="TableofFigures"/>
        <w:keepNext/>
        <w:rPr>
          <w:rFonts w:asciiTheme="minorHAnsi" w:eastAsiaTheme="minorEastAsia" w:hAnsiTheme="minorHAnsi" w:cstheme="minorBidi"/>
          <w:noProof/>
          <w:sz w:val="22"/>
          <w:szCs w:val="22"/>
        </w:rPr>
      </w:pPr>
      <w:r>
        <w:fldChar w:fldCharType="begin"/>
      </w:r>
      <w:r>
        <w:instrText xml:space="preserve"> TOC \h \z \c "Box" </w:instrText>
      </w:r>
      <w:r>
        <w:fldChar w:fldCharType="separate"/>
      </w:r>
      <w:hyperlink w:anchor="_Toc117238073" w:history="1">
        <w:r w:rsidR="00ED050F" w:rsidRPr="006633DA">
          <w:rPr>
            <w:rStyle w:val="Hyperlink"/>
            <w:noProof/>
          </w:rPr>
          <w:t>Box 1.1 Base primary balance, structural primary balance and fiscal stimulus</w:t>
        </w:r>
        <w:r w:rsidR="00ED050F">
          <w:rPr>
            <w:noProof/>
            <w:webHidden/>
          </w:rPr>
          <w:tab/>
        </w:r>
        <w:r w:rsidR="00ED050F">
          <w:rPr>
            <w:noProof/>
            <w:webHidden/>
          </w:rPr>
          <w:fldChar w:fldCharType="begin"/>
        </w:r>
        <w:r w:rsidR="00ED050F">
          <w:rPr>
            <w:noProof/>
            <w:webHidden/>
          </w:rPr>
          <w:instrText xml:space="preserve"> PAGEREF _Toc117238073 \h </w:instrText>
        </w:r>
        <w:r w:rsidR="00ED050F">
          <w:rPr>
            <w:noProof/>
            <w:webHidden/>
          </w:rPr>
        </w:r>
        <w:r w:rsidR="00ED050F">
          <w:rPr>
            <w:noProof/>
            <w:webHidden/>
          </w:rPr>
          <w:fldChar w:fldCharType="separate"/>
        </w:r>
        <w:r w:rsidR="00916AB5">
          <w:rPr>
            <w:noProof/>
            <w:webHidden/>
          </w:rPr>
          <w:t>17</w:t>
        </w:r>
        <w:r w:rsidR="00ED050F">
          <w:rPr>
            <w:noProof/>
            <w:webHidden/>
          </w:rPr>
          <w:fldChar w:fldCharType="end"/>
        </w:r>
      </w:hyperlink>
    </w:p>
    <w:p w14:paraId="2C4DEF46" w14:textId="37CFB9DA" w:rsidR="00ED050F" w:rsidRDefault="00BD37F2" w:rsidP="00ED050F">
      <w:pPr>
        <w:pStyle w:val="TableofFigures"/>
        <w:keepNext/>
        <w:rPr>
          <w:rFonts w:asciiTheme="minorHAnsi" w:eastAsiaTheme="minorEastAsia" w:hAnsiTheme="minorHAnsi" w:cstheme="minorBidi"/>
          <w:noProof/>
          <w:sz w:val="22"/>
          <w:szCs w:val="22"/>
        </w:rPr>
      </w:pPr>
      <w:hyperlink w:anchor="_Toc117238074" w:history="1">
        <w:r w:rsidR="00ED050F" w:rsidRPr="006633DA">
          <w:rPr>
            <w:rStyle w:val="Hyperlink"/>
            <w:noProof/>
          </w:rPr>
          <w:t>Box 2.1 Constitutional reform process</w:t>
        </w:r>
        <w:r w:rsidR="00ED050F">
          <w:rPr>
            <w:noProof/>
            <w:webHidden/>
          </w:rPr>
          <w:tab/>
        </w:r>
        <w:r w:rsidR="00ED050F">
          <w:rPr>
            <w:noProof/>
            <w:webHidden/>
          </w:rPr>
          <w:fldChar w:fldCharType="begin"/>
        </w:r>
        <w:r w:rsidR="00ED050F">
          <w:rPr>
            <w:noProof/>
            <w:webHidden/>
          </w:rPr>
          <w:instrText xml:space="preserve"> PAGEREF _Toc117238074 \h </w:instrText>
        </w:r>
        <w:r w:rsidR="00ED050F">
          <w:rPr>
            <w:noProof/>
            <w:webHidden/>
          </w:rPr>
        </w:r>
        <w:r w:rsidR="00ED050F">
          <w:rPr>
            <w:noProof/>
            <w:webHidden/>
          </w:rPr>
          <w:fldChar w:fldCharType="separate"/>
        </w:r>
        <w:r w:rsidR="00916AB5">
          <w:rPr>
            <w:noProof/>
            <w:webHidden/>
          </w:rPr>
          <w:t>37</w:t>
        </w:r>
        <w:r w:rsidR="00ED050F">
          <w:rPr>
            <w:noProof/>
            <w:webHidden/>
          </w:rPr>
          <w:fldChar w:fldCharType="end"/>
        </w:r>
      </w:hyperlink>
    </w:p>
    <w:p w14:paraId="44E10F98" w14:textId="71B0190F" w:rsidR="00ED050F" w:rsidRDefault="00BD37F2" w:rsidP="00ED050F">
      <w:pPr>
        <w:pStyle w:val="TableofFigures"/>
        <w:keepNext/>
        <w:rPr>
          <w:rFonts w:asciiTheme="minorHAnsi" w:eastAsiaTheme="minorEastAsia" w:hAnsiTheme="minorHAnsi" w:cstheme="minorBidi"/>
          <w:noProof/>
          <w:sz w:val="22"/>
          <w:szCs w:val="22"/>
        </w:rPr>
      </w:pPr>
      <w:hyperlink w:anchor="_Toc117238075" w:history="1">
        <w:r w:rsidR="00ED050F" w:rsidRPr="006633DA">
          <w:rPr>
            <w:rStyle w:val="Hyperlink"/>
            <w:noProof/>
          </w:rPr>
          <w:t>Box 2.2 Legislative procedure</w:t>
        </w:r>
        <w:r w:rsidR="00ED050F">
          <w:rPr>
            <w:noProof/>
            <w:webHidden/>
          </w:rPr>
          <w:tab/>
        </w:r>
        <w:r w:rsidR="00ED050F">
          <w:rPr>
            <w:noProof/>
            <w:webHidden/>
          </w:rPr>
          <w:fldChar w:fldCharType="begin"/>
        </w:r>
        <w:r w:rsidR="00ED050F">
          <w:rPr>
            <w:noProof/>
            <w:webHidden/>
          </w:rPr>
          <w:instrText xml:space="preserve"> PAGEREF _Toc117238075 \h </w:instrText>
        </w:r>
        <w:r w:rsidR="00ED050F">
          <w:rPr>
            <w:noProof/>
            <w:webHidden/>
          </w:rPr>
        </w:r>
        <w:r w:rsidR="00ED050F">
          <w:rPr>
            <w:noProof/>
            <w:webHidden/>
          </w:rPr>
          <w:fldChar w:fldCharType="separate"/>
        </w:r>
        <w:r w:rsidR="00916AB5">
          <w:rPr>
            <w:noProof/>
            <w:webHidden/>
          </w:rPr>
          <w:t>37</w:t>
        </w:r>
        <w:r w:rsidR="00ED050F">
          <w:rPr>
            <w:noProof/>
            <w:webHidden/>
          </w:rPr>
          <w:fldChar w:fldCharType="end"/>
        </w:r>
      </w:hyperlink>
    </w:p>
    <w:p w14:paraId="092018C8" w14:textId="17D47257" w:rsidR="00ED050F" w:rsidRDefault="00BD37F2" w:rsidP="00ED050F">
      <w:pPr>
        <w:pStyle w:val="TableofFigures"/>
        <w:keepNext/>
        <w:rPr>
          <w:rFonts w:asciiTheme="minorHAnsi" w:eastAsiaTheme="minorEastAsia" w:hAnsiTheme="minorHAnsi" w:cstheme="minorBidi"/>
          <w:noProof/>
          <w:sz w:val="22"/>
          <w:szCs w:val="22"/>
        </w:rPr>
      </w:pPr>
      <w:hyperlink w:anchor="_Toc117238076" w:history="1">
        <w:r w:rsidR="00ED050F" w:rsidRPr="006633DA">
          <w:rPr>
            <w:rStyle w:val="Hyperlink"/>
            <w:noProof/>
          </w:rPr>
          <w:t>Box 2.3 The role of women in Dominican exports</w:t>
        </w:r>
        <w:r w:rsidR="00ED050F">
          <w:rPr>
            <w:noProof/>
            <w:webHidden/>
          </w:rPr>
          <w:tab/>
        </w:r>
        <w:r w:rsidR="00ED050F">
          <w:rPr>
            <w:noProof/>
            <w:webHidden/>
          </w:rPr>
          <w:fldChar w:fldCharType="begin"/>
        </w:r>
        <w:r w:rsidR="00ED050F">
          <w:rPr>
            <w:noProof/>
            <w:webHidden/>
          </w:rPr>
          <w:instrText xml:space="preserve"> PAGEREF _Toc117238076 \h </w:instrText>
        </w:r>
        <w:r w:rsidR="00ED050F">
          <w:rPr>
            <w:noProof/>
            <w:webHidden/>
          </w:rPr>
        </w:r>
        <w:r w:rsidR="00ED050F">
          <w:rPr>
            <w:noProof/>
            <w:webHidden/>
          </w:rPr>
          <w:fldChar w:fldCharType="separate"/>
        </w:r>
        <w:r w:rsidR="00916AB5">
          <w:rPr>
            <w:noProof/>
            <w:webHidden/>
          </w:rPr>
          <w:t>40</w:t>
        </w:r>
        <w:r w:rsidR="00ED050F">
          <w:rPr>
            <w:noProof/>
            <w:webHidden/>
          </w:rPr>
          <w:fldChar w:fldCharType="end"/>
        </w:r>
      </w:hyperlink>
    </w:p>
    <w:p w14:paraId="2F636CFA" w14:textId="090631AF" w:rsidR="00ED050F" w:rsidRDefault="00BD37F2" w:rsidP="00ED050F">
      <w:pPr>
        <w:pStyle w:val="TableofFigures"/>
        <w:keepNext/>
        <w:rPr>
          <w:rFonts w:asciiTheme="minorHAnsi" w:eastAsiaTheme="minorEastAsia" w:hAnsiTheme="minorHAnsi" w:cstheme="minorBidi"/>
          <w:noProof/>
          <w:sz w:val="22"/>
          <w:szCs w:val="22"/>
        </w:rPr>
      </w:pPr>
      <w:hyperlink w:anchor="_Toc117238077" w:history="1">
        <w:r w:rsidR="00ED050F" w:rsidRPr="006633DA">
          <w:rPr>
            <w:rStyle w:val="Hyperlink"/>
            <w:noProof/>
          </w:rPr>
          <w:t>Box 3.1 Main changes introduced by Law No. 168</w:t>
        </w:r>
        <w:r w:rsidR="00ED050F" w:rsidRPr="006633DA">
          <w:rPr>
            <w:rStyle w:val="Hyperlink"/>
            <w:noProof/>
          </w:rPr>
          <w:noBreakHyphen/>
          <w:t>21</w:t>
        </w:r>
        <w:r w:rsidR="00ED050F">
          <w:rPr>
            <w:noProof/>
            <w:webHidden/>
          </w:rPr>
          <w:tab/>
        </w:r>
        <w:r w:rsidR="00ED050F">
          <w:rPr>
            <w:noProof/>
            <w:webHidden/>
          </w:rPr>
          <w:fldChar w:fldCharType="begin"/>
        </w:r>
        <w:r w:rsidR="00ED050F">
          <w:rPr>
            <w:noProof/>
            <w:webHidden/>
          </w:rPr>
          <w:instrText xml:space="preserve"> PAGEREF _Toc117238077 \h </w:instrText>
        </w:r>
        <w:r w:rsidR="00ED050F">
          <w:rPr>
            <w:noProof/>
            <w:webHidden/>
          </w:rPr>
        </w:r>
        <w:r w:rsidR="00ED050F">
          <w:rPr>
            <w:noProof/>
            <w:webHidden/>
          </w:rPr>
          <w:fldChar w:fldCharType="separate"/>
        </w:r>
        <w:r w:rsidR="00916AB5">
          <w:rPr>
            <w:noProof/>
            <w:webHidden/>
          </w:rPr>
          <w:t>49</w:t>
        </w:r>
        <w:r w:rsidR="00ED050F">
          <w:rPr>
            <w:noProof/>
            <w:webHidden/>
          </w:rPr>
          <w:fldChar w:fldCharType="end"/>
        </w:r>
      </w:hyperlink>
    </w:p>
    <w:p w14:paraId="14586EC4" w14:textId="46979A9B" w:rsidR="00ED050F" w:rsidRDefault="00BD37F2" w:rsidP="00ED050F">
      <w:pPr>
        <w:pStyle w:val="TableofFigures"/>
        <w:keepNext/>
        <w:rPr>
          <w:rFonts w:asciiTheme="minorHAnsi" w:eastAsiaTheme="minorEastAsia" w:hAnsiTheme="minorHAnsi" w:cstheme="minorBidi"/>
          <w:noProof/>
          <w:sz w:val="22"/>
          <w:szCs w:val="22"/>
        </w:rPr>
      </w:pPr>
      <w:hyperlink w:anchor="_Toc117238078" w:history="1">
        <w:r w:rsidR="00ED050F" w:rsidRPr="006633DA">
          <w:rPr>
            <w:rStyle w:val="Hyperlink"/>
            <w:noProof/>
          </w:rPr>
          <w:t>Box 4.1 CODOPESCA measures for the preservation of fishery resources</w:t>
        </w:r>
        <w:r w:rsidR="00ED050F">
          <w:rPr>
            <w:noProof/>
            <w:webHidden/>
          </w:rPr>
          <w:tab/>
        </w:r>
        <w:r w:rsidR="00ED050F">
          <w:rPr>
            <w:noProof/>
            <w:webHidden/>
          </w:rPr>
          <w:fldChar w:fldCharType="begin"/>
        </w:r>
        <w:r w:rsidR="00ED050F">
          <w:rPr>
            <w:noProof/>
            <w:webHidden/>
          </w:rPr>
          <w:instrText xml:space="preserve"> PAGEREF _Toc117238078 \h </w:instrText>
        </w:r>
        <w:r w:rsidR="00ED050F">
          <w:rPr>
            <w:noProof/>
            <w:webHidden/>
          </w:rPr>
        </w:r>
        <w:r w:rsidR="00ED050F">
          <w:rPr>
            <w:noProof/>
            <w:webHidden/>
          </w:rPr>
          <w:fldChar w:fldCharType="separate"/>
        </w:r>
        <w:r w:rsidR="00916AB5">
          <w:rPr>
            <w:noProof/>
            <w:webHidden/>
          </w:rPr>
          <w:t>103</w:t>
        </w:r>
        <w:r w:rsidR="00ED050F">
          <w:rPr>
            <w:noProof/>
            <w:webHidden/>
          </w:rPr>
          <w:fldChar w:fldCharType="end"/>
        </w:r>
      </w:hyperlink>
    </w:p>
    <w:p w14:paraId="6500804B" w14:textId="1F9E14AB" w:rsidR="00C212B3" w:rsidRDefault="00C212B3" w:rsidP="00ED050F">
      <w:pPr>
        <w:keepNext/>
      </w:pPr>
      <w:r>
        <w:rPr>
          <w:b/>
          <w:bCs/>
          <w:noProof/>
          <w:lang w:val="en-US"/>
        </w:rPr>
        <w:fldChar w:fldCharType="end"/>
      </w:r>
    </w:p>
    <w:p w14:paraId="5F46ABD7" w14:textId="77777777" w:rsidR="00C212B3" w:rsidRDefault="00C212B3" w:rsidP="00C212B3">
      <w:pPr>
        <w:pStyle w:val="TOCHeading"/>
      </w:pPr>
      <w:r>
        <w:t>APPENDIX TABLES</w:t>
      </w:r>
    </w:p>
    <w:p w14:paraId="353B34D7" w14:textId="77777777" w:rsidR="00C212B3" w:rsidRDefault="00C212B3" w:rsidP="00C212B3"/>
    <w:p w14:paraId="10DF0DC2" w14:textId="225B7806" w:rsidR="00037FC0" w:rsidRDefault="00C212B3" w:rsidP="00916AB5">
      <w:pPr>
        <w:pStyle w:val="TableofFigures"/>
        <w:jc w:val="left"/>
        <w:rPr>
          <w:rFonts w:asciiTheme="minorHAnsi" w:eastAsiaTheme="minorEastAsia" w:hAnsiTheme="minorHAnsi" w:cstheme="minorBidi"/>
          <w:noProof/>
          <w:sz w:val="22"/>
          <w:szCs w:val="22"/>
        </w:rPr>
      </w:pPr>
      <w:r>
        <w:fldChar w:fldCharType="begin"/>
      </w:r>
      <w:r>
        <w:instrText xml:space="preserve"> TOC \h \z \c "Table A1." </w:instrText>
      </w:r>
      <w:r>
        <w:fldChar w:fldCharType="separate"/>
      </w:r>
      <w:hyperlink w:anchor="_Toc117004279" w:history="1">
        <w:r w:rsidR="00037FC0" w:rsidRPr="00500A6F">
          <w:rPr>
            <w:rStyle w:val="Hyperlink"/>
            <w:rFonts w:eastAsiaTheme="majorEastAsia"/>
            <w:noProof/>
          </w:rPr>
          <w:t>Table A1.1 Exports of consumer goods and re-exports by HS section and main HS chapter,</w:t>
        </w:r>
        <w:r w:rsidR="00016887">
          <w:rPr>
            <w:rStyle w:val="Hyperlink"/>
            <w:rFonts w:eastAsiaTheme="majorEastAsia"/>
            <w:noProof/>
          </w:rPr>
          <w:br/>
        </w:r>
        <w:r w:rsidR="00037FC0" w:rsidRPr="00500A6F">
          <w:rPr>
            <w:rStyle w:val="Hyperlink"/>
            <w:rFonts w:eastAsiaTheme="majorEastAsia"/>
            <w:noProof/>
          </w:rPr>
          <w:t>2015-21</w:t>
        </w:r>
        <w:r w:rsidR="00037FC0">
          <w:rPr>
            <w:noProof/>
            <w:webHidden/>
          </w:rPr>
          <w:tab/>
        </w:r>
        <w:r w:rsidR="00037FC0">
          <w:rPr>
            <w:noProof/>
            <w:webHidden/>
          </w:rPr>
          <w:fldChar w:fldCharType="begin"/>
        </w:r>
        <w:r w:rsidR="00037FC0">
          <w:rPr>
            <w:noProof/>
            <w:webHidden/>
          </w:rPr>
          <w:instrText xml:space="preserve"> PAGEREF _Toc117004279 \h </w:instrText>
        </w:r>
        <w:r w:rsidR="00037FC0">
          <w:rPr>
            <w:noProof/>
            <w:webHidden/>
          </w:rPr>
        </w:r>
        <w:r w:rsidR="00037FC0">
          <w:rPr>
            <w:noProof/>
            <w:webHidden/>
          </w:rPr>
          <w:fldChar w:fldCharType="separate"/>
        </w:r>
        <w:r w:rsidR="00916AB5">
          <w:rPr>
            <w:noProof/>
            <w:webHidden/>
          </w:rPr>
          <w:t>144</w:t>
        </w:r>
        <w:r w:rsidR="00037FC0">
          <w:rPr>
            <w:noProof/>
            <w:webHidden/>
          </w:rPr>
          <w:fldChar w:fldCharType="end"/>
        </w:r>
      </w:hyperlink>
    </w:p>
    <w:p w14:paraId="581F9488" w14:textId="03856B50" w:rsidR="00037FC0" w:rsidRDefault="00BD37F2" w:rsidP="00916AB5">
      <w:pPr>
        <w:pStyle w:val="TableofFigures"/>
        <w:jc w:val="left"/>
        <w:rPr>
          <w:rFonts w:asciiTheme="minorHAnsi" w:eastAsiaTheme="minorEastAsia" w:hAnsiTheme="minorHAnsi" w:cstheme="minorBidi"/>
          <w:noProof/>
          <w:sz w:val="22"/>
          <w:szCs w:val="22"/>
        </w:rPr>
      </w:pPr>
      <w:hyperlink w:anchor="_Toc117004280" w:history="1">
        <w:r w:rsidR="00037FC0" w:rsidRPr="00500A6F">
          <w:rPr>
            <w:rStyle w:val="Hyperlink"/>
            <w:rFonts w:eastAsiaTheme="majorEastAsia"/>
            <w:noProof/>
          </w:rPr>
          <w:t>Table A1.2 Exports from free zones by HS section and main HS chapter, 2015-21</w:t>
        </w:r>
        <w:r w:rsidR="00037FC0">
          <w:rPr>
            <w:noProof/>
            <w:webHidden/>
          </w:rPr>
          <w:tab/>
        </w:r>
        <w:r w:rsidR="00037FC0">
          <w:rPr>
            <w:noProof/>
            <w:webHidden/>
          </w:rPr>
          <w:fldChar w:fldCharType="begin"/>
        </w:r>
        <w:r w:rsidR="00037FC0">
          <w:rPr>
            <w:noProof/>
            <w:webHidden/>
          </w:rPr>
          <w:instrText xml:space="preserve"> PAGEREF _Toc117004280 \h </w:instrText>
        </w:r>
        <w:r w:rsidR="00037FC0">
          <w:rPr>
            <w:noProof/>
            <w:webHidden/>
          </w:rPr>
        </w:r>
        <w:r w:rsidR="00037FC0">
          <w:rPr>
            <w:noProof/>
            <w:webHidden/>
          </w:rPr>
          <w:fldChar w:fldCharType="separate"/>
        </w:r>
        <w:r w:rsidR="00916AB5">
          <w:rPr>
            <w:noProof/>
            <w:webHidden/>
          </w:rPr>
          <w:t>146</w:t>
        </w:r>
        <w:r w:rsidR="00037FC0">
          <w:rPr>
            <w:noProof/>
            <w:webHidden/>
          </w:rPr>
          <w:fldChar w:fldCharType="end"/>
        </w:r>
      </w:hyperlink>
    </w:p>
    <w:p w14:paraId="4E920311" w14:textId="02C5FAE5" w:rsidR="00037FC0" w:rsidRDefault="00BD37F2" w:rsidP="00916AB5">
      <w:pPr>
        <w:pStyle w:val="TableofFigures"/>
        <w:jc w:val="left"/>
        <w:rPr>
          <w:rFonts w:asciiTheme="minorHAnsi" w:eastAsiaTheme="minorEastAsia" w:hAnsiTheme="minorHAnsi" w:cstheme="minorBidi"/>
          <w:noProof/>
          <w:sz w:val="22"/>
          <w:szCs w:val="22"/>
        </w:rPr>
      </w:pPr>
      <w:hyperlink w:anchor="_Toc117004281" w:history="1">
        <w:r w:rsidR="00037FC0" w:rsidRPr="00500A6F">
          <w:rPr>
            <w:rStyle w:val="Hyperlink"/>
            <w:rFonts w:eastAsiaTheme="majorEastAsia"/>
            <w:noProof/>
          </w:rPr>
          <w:t>Table A1.3 Total imports (f.o.b.) by HS section and main HS chapter, 2015-21</w:t>
        </w:r>
        <w:r w:rsidR="00037FC0">
          <w:rPr>
            <w:noProof/>
            <w:webHidden/>
          </w:rPr>
          <w:tab/>
        </w:r>
        <w:r w:rsidR="00037FC0">
          <w:rPr>
            <w:noProof/>
            <w:webHidden/>
          </w:rPr>
          <w:fldChar w:fldCharType="begin"/>
        </w:r>
        <w:r w:rsidR="00037FC0">
          <w:rPr>
            <w:noProof/>
            <w:webHidden/>
          </w:rPr>
          <w:instrText xml:space="preserve"> PAGEREF _Toc117004281 \h </w:instrText>
        </w:r>
        <w:r w:rsidR="00037FC0">
          <w:rPr>
            <w:noProof/>
            <w:webHidden/>
          </w:rPr>
        </w:r>
        <w:r w:rsidR="00037FC0">
          <w:rPr>
            <w:noProof/>
            <w:webHidden/>
          </w:rPr>
          <w:fldChar w:fldCharType="separate"/>
        </w:r>
        <w:r w:rsidR="00916AB5">
          <w:rPr>
            <w:noProof/>
            <w:webHidden/>
          </w:rPr>
          <w:t>148</w:t>
        </w:r>
        <w:r w:rsidR="00037FC0">
          <w:rPr>
            <w:noProof/>
            <w:webHidden/>
          </w:rPr>
          <w:fldChar w:fldCharType="end"/>
        </w:r>
      </w:hyperlink>
    </w:p>
    <w:p w14:paraId="528C7EF6" w14:textId="6E9A08D3" w:rsidR="00037FC0" w:rsidRDefault="00BD37F2" w:rsidP="00916AB5">
      <w:pPr>
        <w:pStyle w:val="TableofFigures"/>
        <w:jc w:val="left"/>
        <w:rPr>
          <w:rFonts w:asciiTheme="minorHAnsi" w:eastAsiaTheme="minorEastAsia" w:hAnsiTheme="minorHAnsi" w:cstheme="minorBidi"/>
          <w:noProof/>
          <w:sz w:val="22"/>
          <w:szCs w:val="22"/>
        </w:rPr>
      </w:pPr>
      <w:hyperlink w:anchor="_Toc117004282" w:history="1">
        <w:r w:rsidR="00037FC0" w:rsidRPr="00500A6F">
          <w:rPr>
            <w:rStyle w:val="Hyperlink"/>
            <w:rFonts w:eastAsiaTheme="majorEastAsia"/>
            <w:noProof/>
          </w:rPr>
          <w:t xml:space="preserve">Table A1.4 Imports of consumer goods and reimports (f.o.b.) by HS section and main </w:t>
        </w:r>
        <w:r w:rsidR="00916AB5">
          <w:rPr>
            <w:rStyle w:val="Hyperlink"/>
            <w:rFonts w:eastAsiaTheme="majorEastAsia"/>
            <w:noProof/>
          </w:rPr>
          <w:br/>
        </w:r>
        <w:r w:rsidR="00037FC0" w:rsidRPr="00500A6F">
          <w:rPr>
            <w:rStyle w:val="Hyperlink"/>
            <w:rFonts w:eastAsiaTheme="majorEastAsia"/>
            <w:noProof/>
          </w:rPr>
          <w:t>HS chapter, 2015-21</w:t>
        </w:r>
        <w:r w:rsidR="00037FC0">
          <w:rPr>
            <w:noProof/>
            <w:webHidden/>
          </w:rPr>
          <w:tab/>
        </w:r>
        <w:r w:rsidR="00037FC0">
          <w:rPr>
            <w:noProof/>
            <w:webHidden/>
          </w:rPr>
          <w:fldChar w:fldCharType="begin"/>
        </w:r>
        <w:r w:rsidR="00037FC0">
          <w:rPr>
            <w:noProof/>
            <w:webHidden/>
          </w:rPr>
          <w:instrText xml:space="preserve"> PAGEREF _Toc117004282 \h </w:instrText>
        </w:r>
        <w:r w:rsidR="00037FC0">
          <w:rPr>
            <w:noProof/>
            <w:webHidden/>
          </w:rPr>
        </w:r>
        <w:r w:rsidR="00037FC0">
          <w:rPr>
            <w:noProof/>
            <w:webHidden/>
          </w:rPr>
          <w:fldChar w:fldCharType="separate"/>
        </w:r>
        <w:r w:rsidR="00916AB5">
          <w:rPr>
            <w:noProof/>
            <w:webHidden/>
          </w:rPr>
          <w:t>150</w:t>
        </w:r>
        <w:r w:rsidR="00037FC0">
          <w:rPr>
            <w:noProof/>
            <w:webHidden/>
          </w:rPr>
          <w:fldChar w:fldCharType="end"/>
        </w:r>
      </w:hyperlink>
    </w:p>
    <w:p w14:paraId="72EF90C2" w14:textId="44B1B9A0" w:rsidR="00037FC0" w:rsidRDefault="00BD37F2" w:rsidP="00916AB5">
      <w:pPr>
        <w:pStyle w:val="TableofFigures"/>
        <w:jc w:val="left"/>
        <w:rPr>
          <w:rFonts w:asciiTheme="minorHAnsi" w:eastAsiaTheme="minorEastAsia" w:hAnsiTheme="minorHAnsi" w:cstheme="minorBidi"/>
          <w:noProof/>
          <w:sz w:val="22"/>
          <w:szCs w:val="22"/>
        </w:rPr>
      </w:pPr>
      <w:hyperlink w:anchor="_Toc117004283" w:history="1">
        <w:r w:rsidR="00037FC0" w:rsidRPr="00500A6F">
          <w:rPr>
            <w:rStyle w:val="Hyperlink"/>
            <w:rFonts w:eastAsiaTheme="majorEastAsia"/>
            <w:noProof/>
          </w:rPr>
          <w:t>Table A1.5 Free zone imports (f.o.b.) by HS section and main HS chapter, 2015-21</w:t>
        </w:r>
        <w:r w:rsidR="00037FC0">
          <w:rPr>
            <w:noProof/>
            <w:webHidden/>
          </w:rPr>
          <w:tab/>
        </w:r>
        <w:r w:rsidR="00037FC0">
          <w:rPr>
            <w:noProof/>
            <w:webHidden/>
          </w:rPr>
          <w:fldChar w:fldCharType="begin"/>
        </w:r>
        <w:r w:rsidR="00037FC0">
          <w:rPr>
            <w:noProof/>
            <w:webHidden/>
          </w:rPr>
          <w:instrText xml:space="preserve"> PAGEREF _Toc117004283 \h </w:instrText>
        </w:r>
        <w:r w:rsidR="00037FC0">
          <w:rPr>
            <w:noProof/>
            <w:webHidden/>
          </w:rPr>
        </w:r>
        <w:r w:rsidR="00037FC0">
          <w:rPr>
            <w:noProof/>
            <w:webHidden/>
          </w:rPr>
          <w:fldChar w:fldCharType="separate"/>
        </w:r>
        <w:r w:rsidR="00916AB5">
          <w:rPr>
            <w:noProof/>
            <w:webHidden/>
          </w:rPr>
          <w:t>152</w:t>
        </w:r>
        <w:r w:rsidR="00037FC0">
          <w:rPr>
            <w:noProof/>
            <w:webHidden/>
          </w:rPr>
          <w:fldChar w:fldCharType="end"/>
        </w:r>
      </w:hyperlink>
    </w:p>
    <w:p w14:paraId="6B916A2B" w14:textId="2B06D8F4" w:rsidR="00037FC0" w:rsidRDefault="00BD37F2" w:rsidP="00916AB5">
      <w:pPr>
        <w:pStyle w:val="TableofFigures"/>
        <w:jc w:val="left"/>
        <w:rPr>
          <w:rFonts w:asciiTheme="minorHAnsi" w:eastAsiaTheme="minorEastAsia" w:hAnsiTheme="minorHAnsi" w:cstheme="minorBidi"/>
          <w:noProof/>
          <w:sz w:val="22"/>
          <w:szCs w:val="22"/>
        </w:rPr>
      </w:pPr>
      <w:hyperlink w:anchor="_Toc117004284" w:history="1">
        <w:r w:rsidR="00037FC0" w:rsidRPr="00500A6F">
          <w:rPr>
            <w:rStyle w:val="Hyperlink"/>
            <w:rFonts w:eastAsiaTheme="majorEastAsia"/>
            <w:noProof/>
          </w:rPr>
          <w:t>Table A1.6 Exports of consumer goods and re-exports by trading partner, 2015-21</w:t>
        </w:r>
        <w:r w:rsidR="00037FC0">
          <w:rPr>
            <w:noProof/>
            <w:webHidden/>
          </w:rPr>
          <w:tab/>
        </w:r>
        <w:r w:rsidR="00037FC0">
          <w:rPr>
            <w:noProof/>
            <w:webHidden/>
          </w:rPr>
          <w:fldChar w:fldCharType="begin"/>
        </w:r>
        <w:r w:rsidR="00037FC0">
          <w:rPr>
            <w:noProof/>
            <w:webHidden/>
          </w:rPr>
          <w:instrText xml:space="preserve"> PAGEREF _Toc117004284 \h </w:instrText>
        </w:r>
        <w:r w:rsidR="00037FC0">
          <w:rPr>
            <w:noProof/>
            <w:webHidden/>
          </w:rPr>
        </w:r>
        <w:r w:rsidR="00037FC0">
          <w:rPr>
            <w:noProof/>
            <w:webHidden/>
          </w:rPr>
          <w:fldChar w:fldCharType="separate"/>
        </w:r>
        <w:r w:rsidR="00916AB5">
          <w:rPr>
            <w:noProof/>
            <w:webHidden/>
          </w:rPr>
          <w:t>154</w:t>
        </w:r>
        <w:r w:rsidR="00037FC0">
          <w:rPr>
            <w:noProof/>
            <w:webHidden/>
          </w:rPr>
          <w:fldChar w:fldCharType="end"/>
        </w:r>
      </w:hyperlink>
    </w:p>
    <w:p w14:paraId="44A2F206" w14:textId="6B9B7ECC" w:rsidR="00037FC0" w:rsidRDefault="00BD37F2" w:rsidP="00916AB5">
      <w:pPr>
        <w:pStyle w:val="TableofFigures"/>
        <w:jc w:val="left"/>
        <w:rPr>
          <w:rFonts w:asciiTheme="minorHAnsi" w:eastAsiaTheme="minorEastAsia" w:hAnsiTheme="minorHAnsi" w:cstheme="minorBidi"/>
          <w:noProof/>
          <w:sz w:val="22"/>
          <w:szCs w:val="22"/>
        </w:rPr>
      </w:pPr>
      <w:hyperlink w:anchor="_Toc117004285" w:history="1">
        <w:r w:rsidR="00037FC0" w:rsidRPr="00500A6F">
          <w:rPr>
            <w:rStyle w:val="Hyperlink"/>
            <w:rFonts w:eastAsiaTheme="majorEastAsia"/>
            <w:noProof/>
          </w:rPr>
          <w:t>Table A1.7 Merchandise exports from free zones by trading partner, 2015-21</w:t>
        </w:r>
        <w:r w:rsidR="00037FC0">
          <w:rPr>
            <w:noProof/>
            <w:webHidden/>
          </w:rPr>
          <w:tab/>
        </w:r>
        <w:r w:rsidR="00037FC0">
          <w:rPr>
            <w:noProof/>
            <w:webHidden/>
          </w:rPr>
          <w:fldChar w:fldCharType="begin"/>
        </w:r>
        <w:r w:rsidR="00037FC0">
          <w:rPr>
            <w:noProof/>
            <w:webHidden/>
          </w:rPr>
          <w:instrText xml:space="preserve"> PAGEREF _Toc117004285 \h </w:instrText>
        </w:r>
        <w:r w:rsidR="00037FC0">
          <w:rPr>
            <w:noProof/>
            <w:webHidden/>
          </w:rPr>
        </w:r>
        <w:r w:rsidR="00037FC0">
          <w:rPr>
            <w:noProof/>
            <w:webHidden/>
          </w:rPr>
          <w:fldChar w:fldCharType="separate"/>
        </w:r>
        <w:r w:rsidR="00916AB5">
          <w:rPr>
            <w:noProof/>
            <w:webHidden/>
          </w:rPr>
          <w:t>155</w:t>
        </w:r>
        <w:r w:rsidR="00037FC0">
          <w:rPr>
            <w:noProof/>
            <w:webHidden/>
          </w:rPr>
          <w:fldChar w:fldCharType="end"/>
        </w:r>
      </w:hyperlink>
    </w:p>
    <w:p w14:paraId="3A2BBA81" w14:textId="41D0D84B" w:rsidR="00037FC0" w:rsidRDefault="00BD37F2" w:rsidP="00916AB5">
      <w:pPr>
        <w:pStyle w:val="TableofFigures"/>
        <w:jc w:val="left"/>
        <w:rPr>
          <w:rFonts w:asciiTheme="minorHAnsi" w:eastAsiaTheme="minorEastAsia" w:hAnsiTheme="minorHAnsi" w:cstheme="minorBidi"/>
          <w:noProof/>
          <w:sz w:val="22"/>
          <w:szCs w:val="22"/>
        </w:rPr>
      </w:pPr>
      <w:hyperlink w:anchor="_Toc117004286" w:history="1">
        <w:r w:rsidR="00037FC0" w:rsidRPr="00500A6F">
          <w:rPr>
            <w:rStyle w:val="Hyperlink"/>
            <w:rFonts w:eastAsiaTheme="majorEastAsia"/>
            <w:noProof/>
          </w:rPr>
          <w:t>Table A1.8 Total merchandise imports (f.o.b.) by trading partner, 2015-21</w:t>
        </w:r>
        <w:r w:rsidR="00037FC0">
          <w:rPr>
            <w:noProof/>
            <w:webHidden/>
          </w:rPr>
          <w:tab/>
        </w:r>
        <w:r w:rsidR="00037FC0">
          <w:rPr>
            <w:noProof/>
            <w:webHidden/>
          </w:rPr>
          <w:fldChar w:fldCharType="begin"/>
        </w:r>
        <w:r w:rsidR="00037FC0">
          <w:rPr>
            <w:noProof/>
            <w:webHidden/>
          </w:rPr>
          <w:instrText xml:space="preserve"> PAGEREF _Toc117004286 \h </w:instrText>
        </w:r>
        <w:r w:rsidR="00037FC0">
          <w:rPr>
            <w:noProof/>
            <w:webHidden/>
          </w:rPr>
        </w:r>
        <w:r w:rsidR="00037FC0">
          <w:rPr>
            <w:noProof/>
            <w:webHidden/>
          </w:rPr>
          <w:fldChar w:fldCharType="separate"/>
        </w:r>
        <w:r w:rsidR="00916AB5">
          <w:rPr>
            <w:noProof/>
            <w:webHidden/>
          </w:rPr>
          <w:t>156</w:t>
        </w:r>
        <w:r w:rsidR="00037FC0">
          <w:rPr>
            <w:noProof/>
            <w:webHidden/>
          </w:rPr>
          <w:fldChar w:fldCharType="end"/>
        </w:r>
      </w:hyperlink>
    </w:p>
    <w:p w14:paraId="3A9EB70A" w14:textId="157D7DE0" w:rsidR="00037FC0" w:rsidRDefault="00BD37F2" w:rsidP="00916AB5">
      <w:pPr>
        <w:pStyle w:val="TableofFigures"/>
        <w:jc w:val="left"/>
        <w:rPr>
          <w:rFonts w:asciiTheme="minorHAnsi" w:eastAsiaTheme="minorEastAsia" w:hAnsiTheme="minorHAnsi" w:cstheme="minorBidi"/>
          <w:noProof/>
          <w:sz w:val="22"/>
          <w:szCs w:val="22"/>
        </w:rPr>
      </w:pPr>
      <w:hyperlink w:anchor="_Toc117004287" w:history="1">
        <w:r w:rsidR="00037FC0" w:rsidRPr="00500A6F">
          <w:rPr>
            <w:rStyle w:val="Hyperlink"/>
            <w:rFonts w:eastAsiaTheme="majorEastAsia"/>
            <w:noProof/>
          </w:rPr>
          <w:t>Table A1.9 Imports of consumer goods and reimports (f.o.b.) by trading partner, 2015</w:t>
        </w:r>
        <w:r w:rsidR="00037FC0" w:rsidRPr="00500A6F">
          <w:rPr>
            <w:rStyle w:val="Hyperlink"/>
            <w:rFonts w:eastAsiaTheme="majorEastAsia"/>
            <w:noProof/>
          </w:rPr>
          <w:noBreakHyphen/>
          <w:t>21</w:t>
        </w:r>
        <w:r w:rsidR="00037FC0">
          <w:rPr>
            <w:noProof/>
            <w:webHidden/>
          </w:rPr>
          <w:tab/>
        </w:r>
        <w:r w:rsidR="00037FC0">
          <w:rPr>
            <w:noProof/>
            <w:webHidden/>
          </w:rPr>
          <w:fldChar w:fldCharType="begin"/>
        </w:r>
        <w:r w:rsidR="00037FC0">
          <w:rPr>
            <w:noProof/>
            <w:webHidden/>
          </w:rPr>
          <w:instrText xml:space="preserve"> PAGEREF _Toc117004287 \h </w:instrText>
        </w:r>
        <w:r w:rsidR="00037FC0">
          <w:rPr>
            <w:noProof/>
            <w:webHidden/>
          </w:rPr>
        </w:r>
        <w:r w:rsidR="00037FC0">
          <w:rPr>
            <w:noProof/>
            <w:webHidden/>
          </w:rPr>
          <w:fldChar w:fldCharType="separate"/>
        </w:r>
        <w:r w:rsidR="00916AB5">
          <w:rPr>
            <w:noProof/>
            <w:webHidden/>
          </w:rPr>
          <w:t>157</w:t>
        </w:r>
        <w:r w:rsidR="00037FC0">
          <w:rPr>
            <w:noProof/>
            <w:webHidden/>
          </w:rPr>
          <w:fldChar w:fldCharType="end"/>
        </w:r>
      </w:hyperlink>
    </w:p>
    <w:p w14:paraId="75E0BBBE" w14:textId="6E93DF96" w:rsidR="00037FC0" w:rsidRDefault="00BD37F2" w:rsidP="00916AB5">
      <w:pPr>
        <w:pStyle w:val="TableofFigures"/>
        <w:jc w:val="left"/>
        <w:rPr>
          <w:rFonts w:asciiTheme="minorHAnsi" w:eastAsiaTheme="minorEastAsia" w:hAnsiTheme="minorHAnsi" w:cstheme="minorBidi"/>
          <w:noProof/>
          <w:sz w:val="22"/>
          <w:szCs w:val="22"/>
        </w:rPr>
      </w:pPr>
      <w:hyperlink w:anchor="_Toc117004288" w:history="1">
        <w:r w:rsidR="00037FC0" w:rsidRPr="00500A6F">
          <w:rPr>
            <w:rStyle w:val="Hyperlink"/>
            <w:rFonts w:eastAsiaTheme="majorEastAsia"/>
            <w:noProof/>
          </w:rPr>
          <w:t>Table A1.10 Merchandise imports into free zones (f.o.b.) by trading partner, 2015-21</w:t>
        </w:r>
        <w:r w:rsidR="00037FC0">
          <w:rPr>
            <w:noProof/>
            <w:webHidden/>
          </w:rPr>
          <w:tab/>
        </w:r>
        <w:r w:rsidR="00037FC0">
          <w:rPr>
            <w:noProof/>
            <w:webHidden/>
          </w:rPr>
          <w:fldChar w:fldCharType="begin"/>
        </w:r>
        <w:r w:rsidR="00037FC0">
          <w:rPr>
            <w:noProof/>
            <w:webHidden/>
          </w:rPr>
          <w:instrText xml:space="preserve"> PAGEREF _Toc117004288 \h </w:instrText>
        </w:r>
        <w:r w:rsidR="00037FC0">
          <w:rPr>
            <w:noProof/>
            <w:webHidden/>
          </w:rPr>
        </w:r>
        <w:r w:rsidR="00037FC0">
          <w:rPr>
            <w:noProof/>
            <w:webHidden/>
          </w:rPr>
          <w:fldChar w:fldCharType="separate"/>
        </w:r>
        <w:r w:rsidR="00916AB5">
          <w:rPr>
            <w:noProof/>
            <w:webHidden/>
          </w:rPr>
          <w:t>158</w:t>
        </w:r>
        <w:r w:rsidR="00037FC0">
          <w:rPr>
            <w:noProof/>
            <w:webHidden/>
          </w:rPr>
          <w:fldChar w:fldCharType="end"/>
        </w:r>
      </w:hyperlink>
    </w:p>
    <w:p w14:paraId="69E17F8F" w14:textId="70E4052F" w:rsidR="00ED050F" w:rsidRPr="00ED050F" w:rsidRDefault="00C212B3" w:rsidP="00916AB5">
      <w:pPr>
        <w:pStyle w:val="TableofFigures"/>
        <w:jc w:val="left"/>
        <w:rPr>
          <w:noProof/>
        </w:rPr>
      </w:pPr>
      <w:r>
        <w:rPr>
          <w:b/>
          <w:bCs/>
          <w:noProof/>
          <w:lang w:val="en-US"/>
        </w:rPr>
        <w:fldChar w:fldCharType="end"/>
      </w:r>
      <w:r w:rsidRPr="00ED050F">
        <w:rPr>
          <w:rStyle w:val="Hyperlink"/>
          <w:rFonts w:eastAsiaTheme="majorEastAsia"/>
        </w:rPr>
        <w:fldChar w:fldCharType="begin"/>
      </w:r>
      <w:r w:rsidRPr="00ED050F">
        <w:rPr>
          <w:rStyle w:val="Hyperlink"/>
          <w:rFonts w:eastAsiaTheme="majorEastAsia"/>
        </w:rPr>
        <w:instrText xml:space="preserve"> TOC \h \z \c "Table A2." </w:instrText>
      </w:r>
      <w:r w:rsidRPr="00ED050F">
        <w:rPr>
          <w:rStyle w:val="Hyperlink"/>
          <w:rFonts w:eastAsiaTheme="majorEastAsia"/>
        </w:rPr>
        <w:fldChar w:fldCharType="separate"/>
      </w:r>
      <w:hyperlink w:anchor="_Toc117238079" w:history="1">
        <w:r w:rsidR="00ED050F" w:rsidRPr="00ED050F">
          <w:rPr>
            <w:rStyle w:val="Hyperlink"/>
            <w:rFonts w:eastAsiaTheme="majorEastAsia"/>
            <w:noProof/>
          </w:rPr>
          <w:t>Table A2.1 Trade measures notified to the WTO, 1 January 2015-31 August 2022</w:t>
        </w:r>
        <w:r w:rsidR="00ED050F" w:rsidRPr="00ED050F">
          <w:rPr>
            <w:rStyle w:val="Hyperlink"/>
            <w:rFonts w:eastAsiaTheme="majorEastAsia"/>
            <w:noProof/>
          </w:rPr>
          <w:tab/>
        </w:r>
        <w:r w:rsidR="00ED050F" w:rsidRPr="00ED050F">
          <w:rPr>
            <w:rStyle w:val="Hyperlink"/>
            <w:rFonts w:eastAsiaTheme="majorEastAsia"/>
            <w:noProof/>
            <w:webHidden/>
          </w:rPr>
          <w:fldChar w:fldCharType="begin"/>
        </w:r>
        <w:r w:rsidR="00ED050F" w:rsidRPr="00ED050F">
          <w:rPr>
            <w:rStyle w:val="Hyperlink"/>
            <w:rFonts w:eastAsiaTheme="majorEastAsia"/>
            <w:noProof/>
            <w:webHidden/>
          </w:rPr>
          <w:instrText xml:space="preserve"> PAGEREF _Toc117238079 \h </w:instrText>
        </w:r>
        <w:r w:rsidR="00ED050F" w:rsidRPr="00ED050F">
          <w:rPr>
            <w:rStyle w:val="Hyperlink"/>
            <w:rFonts w:eastAsiaTheme="majorEastAsia"/>
            <w:noProof/>
            <w:webHidden/>
          </w:rPr>
        </w:r>
        <w:r w:rsidR="00ED050F" w:rsidRPr="00ED050F">
          <w:rPr>
            <w:rStyle w:val="Hyperlink"/>
            <w:rFonts w:eastAsiaTheme="majorEastAsia"/>
            <w:noProof/>
            <w:webHidden/>
          </w:rPr>
          <w:fldChar w:fldCharType="separate"/>
        </w:r>
        <w:r w:rsidR="00916AB5">
          <w:rPr>
            <w:rStyle w:val="Hyperlink"/>
            <w:rFonts w:eastAsiaTheme="majorEastAsia"/>
            <w:noProof/>
            <w:webHidden/>
          </w:rPr>
          <w:t>159</w:t>
        </w:r>
        <w:r w:rsidR="00ED050F" w:rsidRPr="00ED050F">
          <w:rPr>
            <w:rStyle w:val="Hyperlink"/>
            <w:rFonts w:eastAsiaTheme="majorEastAsia"/>
            <w:noProof/>
            <w:webHidden/>
          </w:rPr>
          <w:fldChar w:fldCharType="end"/>
        </w:r>
      </w:hyperlink>
      <w:r w:rsidRPr="00ED050F">
        <w:rPr>
          <w:rStyle w:val="Hyperlink"/>
          <w:rFonts w:eastAsiaTheme="majorEastAsia"/>
        </w:rPr>
        <w:fldChar w:fldCharType="end"/>
      </w:r>
      <w:r w:rsidR="00ED050F" w:rsidRPr="00ED050F">
        <w:rPr>
          <w:rStyle w:val="Hyperlink"/>
          <w:rFonts w:eastAsiaTheme="majorEastAsia"/>
          <w:noProof/>
        </w:rPr>
        <w:fldChar w:fldCharType="begin"/>
      </w:r>
      <w:r w:rsidR="00ED050F" w:rsidRPr="00ED050F">
        <w:rPr>
          <w:rStyle w:val="Hyperlink"/>
          <w:rFonts w:eastAsiaTheme="majorEastAsia"/>
          <w:noProof/>
        </w:rPr>
        <w:instrText xml:space="preserve"> TOC \h \z \c "Table A3." </w:instrText>
      </w:r>
      <w:r w:rsidR="00ED050F" w:rsidRPr="00ED050F">
        <w:rPr>
          <w:rStyle w:val="Hyperlink"/>
          <w:rFonts w:eastAsiaTheme="majorEastAsia"/>
          <w:noProof/>
        </w:rPr>
        <w:fldChar w:fldCharType="separate"/>
      </w:r>
    </w:p>
    <w:p w14:paraId="6C62C8C2" w14:textId="40CA2AF9" w:rsidR="00ED050F" w:rsidRPr="00ED050F" w:rsidRDefault="00BD37F2" w:rsidP="00916AB5">
      <w:pPr>
        <w:pStyle w:val="TableofFigures"/>
        <w:jc w:val="left"/>
        <w:rPr>
          <w:rFonts w:eastAsiaTheme="minorEastAsia"/>
          <w:noProof/>
        </w:rPr>
      </w:pPr>
      <w:hyperlink w:anchor="_Toc117238123" w:history="1">
        <w:r w:rsidR="00ED050F" w:rsidRPr="00877D30">
          <w:rPr>
            <w:rStyle w:val="Hyperlink"/>
            <w:noProof/>
          </w:rPr>
          <w:t>Table A3.1 Customs procedures</w:t>
        </w:r>
        <w:r w:rsidR="00ED050F" w:rsidRPr="00ED050F">
          <w:rPr>
            <w:rStyle w:val="Hyperlink"/>
            <w:rFonts w:eastAsiaTheme="majorEastAsia"/>
            <w:noProof/>
            <w:webHidden/>
          </w:rPr>
          <w:tab/>
        </w:r>
        <w:r w:rsidR="00ED050F" w:rsidRPr="00ED050F">
          <w:rPr>
            <w:rStyle w:val="Hyperlink"/>
            <w:rFonts w:eastAsiaTheme="majorEastAsia"/>
            <w:noProof/>
            <w:webHidden/>
          </w:rPr>
          <w:fldChar w:fldCharType="begin"/>
        </w:r>
        <w:r w:rsidR="00ED050F" w:rsidRPr="00ED050F">
          <w:rPr>
            <w:rStyle w:val="Hyperlink"/>
            <w:rFonts w:eastAsiaTheme="majorEastAsia"/>
            <w:noProof/>
            <w:webHidden/>
          </w:rPr>
          <w:instrText xml:space="preserve"> PAGEREF _Toc117238123 \h </w:instrText>
        </w:r>
        <w:r w:rsidR="00ED050F" w:rsidRPr="00ED050F">
          <w:rPr>
            <w:rStyle w:val="Hyperlink"/>
            <w:rFonts w:eastAsiaTheme="majorEastAsia"/>
            <w:noProof/>
            <w:webHidden/>
          </w:rPr>
        </w:r>
        <w:r w:rsidR="00ED050F" w:rsidRPr="00ED050F">
          <w:rPr>
            <w:rStyle w:val="Hyperlink"/>
            <w:rFonts w:eastAsiaTheme="majorEastAsia"/>
            <w:noProof/>
            <w:webHidden/>
          </w:rPr>
          <w:fldChar w:fldCharType="separate"/>
        </w:r>
        <w:r w:rsidR="00916AB5">
          <w:rPr>
            <w:rStyle w:val="Hyperlink"/>
            <w:rFonts w:eastAsiaTheme="majorEastAsia"/>
            <w:noProof/>
            <w:webHidden/>
          </w:rPr>
          <w:t>161</w:t>
        </w:r>
        <w:r w:rsidR="00ED050F" w:rsidRPr="00ED050F">
          <w:rPr>
            <w:rStyle w:val="Hyperlink"/>
            <w:rFonts w:eastAsiaTheme="majorEastAsia"/>
            <w:noProof/>
            <w:webHidden/>
          </w:rPr>
          <w:fldChar w:fldCharType="end"/>
        </w:r>
      </w:hyperlink>
    </w:p>
    <w:p w14:paraId="24BCA5B3" w14:textId="267D2861" w:rsidR="00ED050F" w:rsidRPr="00ED050F" w:rsidRDefault="00BD37F2" w:rsidP="00916AB5">
      <w:pPr>
        <w:pStyle w:val="TableofFigures"/>
        <w:jc w:val="left"/>
        <w:rPr>
          <w:rFonts w:eastAsiaTheme="minorEastAsia"/>
          <w:noProof/>
        </w:rPr>
      </w:pPr>
      <w:hyperlink w:anchor="_Toc117238124" w:history="1">
        <w:r w:rsidR="00ED050F" w:rsidRPr="00877D30">
          <w:rPr>
            <w:rStyle w:val="Hyperlink"/>
            <w:noProof/>
          </w:rPr>
          <w:t>Table A3.2 Summary analysis of the MFN tariff, 2021</w:t>
        </w:r>
        <w:r w:rsidR="00ED050F" w:rsidRPr="00ED050F">
          <w:rPr>
            <w:rStyle w:val="Hyperlink"/>
            <w:rFonts w:eastAsiaTheme="majorEastAsia"/>
            <w:noProof/>
            <w:webHidden/>
          </w:rPr>
          <w:tab/>
        </w:r>
        <w:r w:rsidR="00ED050F" w:rsidRPr="00ED050F">
          <w:rPr>
            <w:rStyle w:val="Hyperlink"/>
            <w:rFonts w:eastAsiaTheme="majorEastAsia"/>
            <w:noProof/>
            <w:webHidden/>
          </w:rPr>
          <w:fldChar w:fldCharType="begin"/>
        </w:r>
        <w:r w:rsidR="00ED050F" w:rsidRPr="00ED050F">
          <w:rPr>
            <w:rStyle w:val="Hyperlink"/>
            <w:rFonts w:eastAsiaTheme="majorEastAsia"/>
            <w:noProof/>
            <w:webHidden/>
          </w:rPr>
          <w:instrText xml:space="preserve"> PAGEREF _Toc117238124 \h </w:instrText>
        </w:r>
        <w:r w:rsidR="00ED050F" w:rsidRPr="00ED050F">
          <w:rPr>
            <w:rStyle w:val="Hyperlink"/>
            <w:rFonts w:eastAsiaTheme="majorEastAsia"/>
            <w:noProof/>
            <w:webHidden/>
          </w:rPr>
        </w:r>
        <w:r w:rsidR="00ED050F" w:rsidRPr="00ED050F">
          <w:rPr>
            <w:rStyle w:val="Hyperlink"/>
            <w:rFonts w:eastAsiaTheme="majorEastAsia"/>
            <w:noProof/>
            <w:webHidden/>
          </w:rPr>
          <w:fldChar w:fldCharType="separate"/>
        </w:r>
        <w:r w:rsidR="00916AB5">
          <w:rPr>
            <w:rStyle w:val="Hyperlink"/>
            <w:rFonts w:eastAsiaTheme="majorEastAsia"/>
            <w:noProof/>
            <w:webHidden/>
          </w:rPr>
          <w:t>163</w:t>
        </w:r>
        <w:r w:rsidR="00ED050F" w:rsidRPr="00ED050F">
          <w:rPr>
            <w:rStyle w:val="Hyperlink"/>
            <w:rFonts w:eastAsiaTheme="majorEastAsia"/>
            <w:noProof/>
            <w:webHidden/>
          </w:rPr>
          <w:fldChar w:fldCharType="end"/>
        </w:r>
      </w:hyperlink>
    </w:p>
    <w:p w14:paraId="742D9B2B" w14:textId="228955AA" w:rsidR="00ED050F" w:rsidRPr="00ED050F" w:rsidRDefault="00BD37F2" w:rsidP="00916AB5">
      <w:pPr>
        <w:pStyle w:val="TableofFigures"/>
        <w:jc w:val="left"/>
        <w:rPr>
          <w:rFonts w:eastAsiaTheme="minorEastAsia"/>
          <w:noProof/>
        </w:rPr>
      </w:pPr>
      <w:hyperlink w:anchor="_Toc117238125" w:history="1">
        <w:r w:rsidR="00ED050F" w:rsidRPr="00877D30">
          <w:rPr>
            <w:rStyle w:val="Hyperlink"/>
            <w:noProof/>
          </w:rPr>
          <w:t>Table A3.3 Tariff lines where the applied MFN rate exceeds the bound rate, 2021</w:t>
        </w:r>
        <w:r w:rsidR="00ED050F" w:rsidRPr="00ED050F">
          <w:rPr>
            <w:rStyle w:val="Hyperlink"/>
            <w:rFonts w:eastAsiaTheme="majorEastAsia"/>
            <w:noProof/>
            <w:webHidden/>
          </w:rPr>
          <w:tab/>
        </w:r>
        <w:r w:rsidR="00ED050F" w:rsidRPr="00ED050F">
          <w:rPr>
            <w:rStyle w:val="Hyperlink"/>
            <w:rFonts w:eastAsiaTheme="majorEastAsia"/>
            <w:noProof/>
            <w:webHidden/>
          </w:rPr>
          <w:fldChar w:fldCharType="begin"/>
        </w:r>
        <w:r w:rsidR="00ED050F" w:rsidRPr="00ED050F">
          <w:rPr>
            <w:rStyle w:val="Hyperlink"/>
            <w:rFonts w:eastAsiaTheme="majorEastAsia"/>
            <w:noProof/>
            <w:webHidden/>
          </w:rPr>
          <w:instrText xml:space="preserve"> PAGEREF _Toc117238125 \h </w:instrText>
        </w:r>
        <w:r w:rsidR="00ED050F" w:rsidRPr="00ED050F">
          <w:rPr>
            <w:rStyle w:val="Hyperlink"/>
            <w:rFonts w:eastAsiaTheme="majorEastAsia"/>
            <w:noProof/>
            <w:webHidden/>
          </w:rPr>
        </w:r>
        <w:r w:rsidR="00ED050F" w:rsidRPr="00ED050F">
          <w:rPr>
            <w:rStyle w:val="Hyperlink"/>
            <w:rFonts w:eastAsiaTheme="majorEastAsia"/>
            <w:noProof/>
            <w:webHidden/>
          </w:rPr>
          <w:fldChar w:fldCharType="separate"/>
        </w:r>
        <w:r w:rsidR="00916AB5">
          <w:rPr>
            <w:rStyle w:val="Hyperlink"/>
            <w:rFonts w:eastAsiaTheme="majorEastAsia"/>
            <w:noProof/>
            <w:webHidden/>
          </w:rPr>
          <w:t>165</w:t>
        </w:r>
        <w:r w:rsidR="00ED050F" w:rsidRPr="00ED050F">
          <w:rPr>
            <w:rStyle w:val="Hyperlink"/>
            <w:rFonts w:eastAsiaTheme="majorEastAsia"/>
            <w:noProof/>
            <w:webHidden/>
          </w:rPr>
          <w:fldChar w:fldCharType="end"/>
        </w:r>
      </w:hyperlink>
    </w:p>
    <w:p w14:paraId="14A6A3FB" w14:textId="065FE550" w:rsidR="00ED050F" w:rsidRPr="00ED050F" w:rsidRDefault="00BD37F2" w:rsidP="00916AB5">
      <w:pPr>
        <w:pStyle w:val="TableofFigures"/>
        <w:jc w:val="left"/>
        <w:rPr>
          <w:rFonts w:eastAsiaTheme="minorEastAsia"/>
          <w:noProof/>
        </w:rPr>
      </w:pPr>
      <w:hyperlink w:anchor="_Toc117238126" w:history="1">
        <w:r w:rsidR="00ED050F" w:rsidRPr="00877D30">
          <w:rPr>
            <w:rStyle w:val="Hyperlink"/>
            <w:noProof/>
          </w:rPr>
          <w:t>Table A3.4 MFN tariff quotas and import volume, 2021</w:t>
        </w:r>
        <w:r w:rsidR="00ED050F" w:rsidRPr="00ED050F">
          <w:rPr>
            <w:rStyle w:val="Hyperlink"/>
            <w:rFonts w:eastAsiaTheme="majorEastAsia"/>
            <w:noProof/>
            <w:webHidden/>
          </w:rPr>
          <w:tab/>
        </w:r>
        <w:r w:rsidR="00ED050F" w:rsidRPr="00ED050F">
          <w:rPr>
            <w:rStyle w:val="Hyperlink"/>
            <w:rFonts w:eastAsiaTheme="majorEastAsia"/>
            <w:noProof/>
            <w:webHidden/>
          </w:rPr>
          <w:fldChar w:fldCharType="begin"/>
        </w:r>
        <w:r w:rsidR="00ED050F" w:rsidRPr="00ED050F">
          <w:rPr>
            <w:rStyle w:val="Hyperlink"/>
            <w:rFonts w:eastAsiaTheme="majorEastAsia"/>
            <w:noProof/>
            <w:webHidden/>
          </w:rPr>
          <w:instrText xml:space="preserve"> PAGEREF _Toc117238126 \h </w:instrText>
        </w:r>
        <w:r w:rsidR="00ED050F" w:rsidRPr="00ED050F">
          <w:rPr>
            <w:rStyle w:val="Hyperlink"/>
            <w:rFonts w:eastAsiaTheme="majorEastAsia"/>
            <w:noProof/>
            <w:webHidden/>
          </w:rPr>
        </w:r>
        <w:r w:rsidR="00ED050F" w:rsidRPr="00ED050F">
          <w:rPr>
            <w:rStyle w:val="Hyperlink"/>
            <w:rFonts w:eastAsiaTheme="majorEastAsia"/>
            <w:noProof/>
            <w:webHidden/>
          </w:rPr>
          <w:fldChar w:fldCharType="separate"/>
        </w:r>
        <w:r w:rsidR="00916AB5">
          <w:rPr>
            <w:rStyle w:val="Hyperlink"/>
            <w:rFonts w:eastAsiaTheme="majorEastAsia"/>
            <w:noProof/>
            <w:webHidden/>
          </w:rPr>
          <w:t>168</w:t>
        </w:r>
        <w:r w:rsidR="00ED050F" w:rsidRPr="00ED050F">
          <w:rPr>
            <w:rStyle w:val="Hyperlink"/>
            <w:rFonts w:eastAsiaTheme="majorEastAsia"/>
            <w:noProof/>
            <w:webHidden/>
          </w:rPr>
          <w:fldChar w:fldCharType="end"/>
        </w:r>
      </w:hyperlink>
    </w:p>
    <w:p w14:paraId="57ED8243" w14:textId="55C66BBF" w:rsidR="00ED050F" w:rsidRPr="00ED050F" w:rsidRDefault="00BD37F2" w:rsidP="00916AB5">
      <w:pPr>
        <w:pStyle w:val="TableofFigures"/>
        <w:jc w:val="left"/>
        <w:rPr>
          <w:rFonts w:eastAsiaTheme="minorEastAsia"/>
          <w:noProof/>
        </w:rPr>
      </w:pPr>
      <w:hyperlink w:anchor="_Toc117238127" w:history="1">
        <w:r w:rsidR="00ED050F" w:rsidRPr="00877D30">
          <w:rPr>
            <w:rStyle w:val="Hyperlink"/>
            <w:noProof/>
          </w:rPr>
          <w:t>Table A3.5 Preferential tariff quotas and import volume, 2021</w:t>
        </w:r>
        <w:r w:rsidR="00ED050F" w:rsidRPr="00877D30">
          <w:rPr>
            <w:rStyle w:val="Hyperlink"/>
            <w:noProof/>
          </w:rPr>
          <w:noBreakHyphen/>
          <w:t>22</w:t>
        </w:r>
        <w:r w:rsidR="00ED050F" w:rsidRPr="00ED050F">
          <w:rPr>
            <w:rStyle w:val="Hyperlink"/>
            <w:rFonts w:eastAsiaTheme="majorEastAsia"/>
            <w:noProof/>
            <w:webHidden/>
          </w:rPr>
          <w:tab/>
        </w:r>
        <w:r w:rsidR="00ED050F" w:rsidRPr="00ED050F">
          <w:rPr>
            <w:rStyle w:val="Hyperlink"/>
            <w:rFonts w:eastAsiaTheme="majorEastAsia"/>
            <w:noProof/>
            <w:webHidden/>
          </w:rPr>
          <w:fldChar w:fldCharType="begin"/>
        </w:r>
        <w:r w:rsidR="00ED050F" w:rsidRPr="00ED050F">
          <w:rPr>
            <w:rStyle w:val="Hyperlink"/>
            <w:rFonts w:eastAsiaTheme="majorEastAsia"/>
            <w:noProof/>
            <w:webHidden/>
          </w:rPr>
          <w:instrText xml:space="preserve"> PAGEREF _Toc117238127 \h </w:instrText>
        </w:r>
        <w:r w:rsidR="00ED050F" w:rsidRPr="00ED050F">
          <w:rPr>
            <w:rStyle w:val="Hyperlink"/>
            <w:rFonts w:eastAsiaTheme="majorEastAsia"/>
            <w:noProof/>
            <w:webHidden/>
          </w:rPr>
        </w:r>
        <w:r w:rsidR="00ED050F" w:rsidRPr="00ED050F">
          <w:rPr>
            <w:rStyle w:val="Hyperlink"/>
            <w:rFonts w:eastAsiaTheme="majorEastAsia"/>
            <w:noProof/>
            <w:webHidden/>
          </w:rPr>
          <w:fldChar w:fldCharType="separate"/>
        </w:r>
        <w:r w:rsidR="00916AB5">
          <w:rPr>
            <w:rStyle w:val="Hyperlink"/>
            <w:rFonts w:eastAsiaTheme="majorEastAsia"/>
            <w:noProof/>
            <w:webHidden/>
          </w:rPr>
          <w:t>169</w:t>
        </w:r>
        <w:r w:rsidR="00ED050F" w:rsidRPr="00ED050F">
          <w:rPr>
            <w:rStyle w:val="Hyperlink"/>
            <w:rFonts w:eastAsiaTheme="majorEastAsia"/>
            <w:noProof/>
            <w:webHidden/>
          </w:rPr>
          <w:fldChar w:fldCharType="end"/>
        </w:r>
      </w:hyperlink>
    </w:p>
    <w:p w14:paraId="4DAB3961" w14:textId="6A9844F3" w:rsidR="00ED050F" w:rsidRPr="00ED050F" w:rsidRDefault="00BD37F2" w:rsidP="00916AB5">
      <w:pPr>
        <w:pStyle w:val="TableofFigures"/>
        <w:jc w:val="left"/>
        <w:rPr>
          <w:rFonts w:eastAsiaTheme="minorEastAsia"/>
          <w:noProof/>
        </w:rPr>
      </w:pPr>
      <w:hyperlink w:anchor="_Toc117238128" w:history="1">
        <w:r w:rsidR="00ED050F" w:rsidRPr="00877D30">
          <w:rPr>
            <w:rStyle w:val="Hyperlink"/>
            <w:noProof/>
          </w:rPr>
          <w:t>Table A3.6 Legislation on animal and plant health and food safety, 2022</w:t>
        </w:r>
        <w:r w:rsidR="00ED050F" w:rsidRPr="00ED050F">
          <w:rPr>
            <w:rStyle w:val="Hyperlink"/>
            <w:rFonts w:eastAsiaTheme="majorEastAsia"/>
            <w:noProof/>
            <w:webHidden/>
          </w:rPr>
          <w:tab/>
        </w:r>
        <w:r w:rsidR="00ED050F" w:rsidRPr="00ED050F">
          <w:rPr>
            <w:rStyle w:val="Hyperlink"/>
            <w:rFonts w:eastAsiaTheme="majorEastAsia"/>
            <w:noProof/>
            <w:webHidden/>
          </w:rPr>
          <w:fldChar w:fldCharType="begin"/>
        </w:r>
        <w:r w:rsidR="00ED050F" w:rsidRPr="00ED050F">
          <w:rPr>
            <w:rStyle w:val="Hyperlink"/>
            <w:rFonts w:eastAsiaTheme="majorEastAsia"/>
            <w:noProof/>
            <w:webHidden/>
          </w:rPr>
          <w:instrText xml:space="preserve"> PAGEREF _Toc117238128 \h </w:instrText>
        </w:r>
        <w:r w:rsidR="00ED050F" w:rsidRPr="00ED050F">
          <w:rPr>
            <w:rStyle w:val="Hyperlink"/>
            <w:rFonts w:eastAsiaTheme="majorEastAsia"/>
            <w:noProof/>
            <w:webHidden/>
          </w:rPr>
        </w:r>
        <w:r w:rsidR="00ED050F" w:rsidRPr="00ED050F">
          <w:rPr>
            <w:rStyle w:val="Hyperlink"/>
            <w:rFonts w:eastAsiaTheme="majorEastAsia"/>
            <w:noProof/>
            <w:webHidden/>
          </w:rPr>
          <w:fldChar w:fldCharType="separate"/>
        </w:r>
        <w:r w:rsidR="00916AB5">
          <w:rPr>
            <w:rStyle w:val="Hyperlink"/>
            <w:rFonts w:eastAsiaTheme="majorEastAsia"/>
            <w:noProof/>
            <w:webHidden/>
          </w:rPr>
          <w:t>170</w:t>
        </w:r>
        <w:r w:rsidR="00ED050F" w:rsidRPr="00ED050F">
          <w:rPr>
            <w:rStyle w:val="Hyperlink"/>
            <w:rFonts w:eastAsiaTheme="majorEastAsia"/>
            <w:noProof/>
            <w:webHidden/>
          </w:rPr>
          <w:fldChar w:fldCharType="end"/>
        </w:r>
      </w:hyperlink>
    </w:p>
    <w:p w14:paraId="0E9E20E2" w14:textId="0AE7743C" w:rsidR="00ED050F" w:rsidRDefault="00ED050F" w:rsidP="00916AB5">
      <w:pPr>
        <w:pStyle w:val="TableofFigures"/>
        <w:jc w:val="left"/>
      </w:pPr>
      <w:r w:rsidRPr="00ED050F">
        <w:rPr>
          <w:rStyle w:val="Hyperlink"/>
          <w:rFonts w:eastAsiaTheme="majorEastAsia"/>
        </w:rPr>
        <w:fldChar w:fldCharType="end"/>
      </w:r>
    </w:p>
    <w:p w14:paraId="79888ADE" w14:textId="63603326" w:rsidR="00C212B3" w:rsidRDefault="00C212B3" w:rsidP="00C212B3"/>
    <w:p w14:paraId="2DE46B52" w14:textId="77777777" w:rsidR="00C212B3" w:rsidRDefault="00C212B3" w:rsidP="00C212B3">
      <w:pPr>
        <w:spacing w:after="200" w:line="276" w:lineRule="auto"/>
        <w:jc w:val="left"/>
      </w:pPr>
      <w:r>
        <w:br w:type="page"/>
      </w:r>
    </w:p>
    <w:p w14:paraId="2220C426" w14:textId="77777777" w:rsidR="00F53EDE" w:rsidRPr="007558AA" w:rsidRDefault="00F53EDE" w:rsidP="00E3399B">
      <w:pPr>
        <w:pStyle w:val="SummaryHeader"/>
      </w:pPr>
      <w:bookmarkStart w:id="9" w:name="_Toc117260588"/>
      <w:r w:rsidRPr="00922C4B">
        <w:lastRenderedPageBreak/>
        <w:t>SUMMARY</w:t>
      </w:r>
      <w:bookmarkEnd w:id="9"/>
    </w:p>
    <w:p w14:paraId="5E11BBAC" w14:textId="70E5A11C" w:rsidR="00F53EDE" w:rsidRPr="007558AA" w:rsidRDefault="00F53EDE" w:rsidP="00E3399B">
      <w:pPr>
        <w:pStyle w:val="SummaryText"/>
      </w:pPr>
      <w:r w:rsidRPr="00922C4B">
        <w:t xml:space="preserve">The </w:t>
      </w:r>
      <w:r>
        <w:t>Dominican Republic is a middle-income country with per capita GDP that amounted to around USD 9,000 in 2021</w:t>
      </w:r>
      <w:r w:rsidRPr="007558AA">
        <w:t xml:space="preserve">. </w:t>
      </w:r>
      <w:r>
        <w:t>The Dominican economy has recovered quickly from the negative impact of the COVID-19 pandemic</w:t>
      </w:r>
      <w:r w:rsidRPr="007558AA">
        <w:t xml:space="preserve">. </w:t>
      </w:r>
      <w:r>
        <w:t>The country's GDP grew by more than 6% each year between 2014 and 2019, only to shrink</w:t>
      </w:r>
      <w:r w:rsidRPr="00A67DCD">
        <w:t xml:space="preserve"> by 6.7%</w:t>
      </w:r>
      <w:r>
        <w:t xml:space="preserve"> in 2020. It nevertheless</w:t>
      </w:r>
      <w:r w:rsidRPr="00A67DCD">
        <w:t xml:space="preserve"> rebounded strongly in 2021, </w:t>
      </w:r>
      <w:r>
        <w:t>with growth of</w:t>
      </w:r>
      <w:r w:rsidRPr="00A67DCD">
        <w:t xml:space="preserve"> 12.3%</w:t>
      </w:r>
      <w:r>
        <w:t>.</w:t>
      </w:r>
      <w:r w:rsidRPr="00A67DCD">
        <w:t xml:space="preserve"> </w:t>
      </w:r>
      <w:r>
        <w:t>The</w:t>
      </w:r>
      <w:r w:rsidRPr="00A67DCD">
        <w:t xml:space="preserve"> trend continued into the first </w:t>
      </w:r>
      <w:r>
        <w:t xml:space="preserve">few </w:t>
      </w:r>
      <w:r w:rsidRPr="00A67DCD">
        <w:t>months of 2022, with growth of 6.1% in the first</w:t>
      </w:r>
      <w:r w:rsidR="00F2710B">
        <w:t> </w:t>
      </w:r>
      <w:r w:rsidRPr="00A67DCD">
        <w:t>quarter, reflecting a convergence towards potential GDP performance.</w:t>
      </w:r>
      <w:r w:rsidRPr="007558AA">
        <w:t xml:space="preserve"> </w:t>
      </w:r>
    </w:p>
    <w:p w14:paraId="69599577" w14:textId="77777777" w:rsidR="00F53EDE" w:rsidRPr="007558AA" w:rsidRDefault="00F53EDE" w:rsidP="00E3399B">
      <w:pPr>
        <w:pStyle w:val="SummaryText"/>
      </w:pPr>
      <w:r w:rsidRPr="00295C86">
        <w:t>The Dominican economy is primarily dominated by services, which accounted for 56% of GDP in 2021</w:t>
      </w:r>
      <w:r w:rsidRPr="007558AA">
        <w:t xml:space="preserve">, </w:t>
      </w:r>
      <w:r>
        <w:t>with activities related to the tourism sector and internal trade taking the lead</w:t>
      </w:r>
      <w:r w:rsidRPr="007558AA">
        <w:t xml:space="preserve">. </w:t>
      </w:r>
      <w:r>
        <w:t xml:space="preserve">In 2021, manufactured goods accounted for </w:t>
      </w:r>
      <w:r w:rsidRPr="007558AA">
        <w:t xml:space="preserve">15% </w:t>
      </w:r>
      <w:r>
        <w:t xml:space="preserve">of GDP, construction </w:t>
      </w:r>
      <w:r w:rsidRPr="007558AA">
        <w:t xml:space="preserve">14% </w:t>
      </w:r>
      <w:r>
        <w:t xml:space="preserve">and agricultural production </w:t>
      </w:r>
      <w:r w:rsidRPr="007558AA">
        <w:t xml:space="preserve">6%. </w:t>
      </w:r>
      <w:r>
        <w:t>The Dominican economy was hit hard by the COVID-19 pandemic, particularly the tourism services sector. In 2021, however, rapid economic growth meant that most sectors recorded higher levels of activity than at the start of the pandemic</w:t>
      </w:r>
      <w:r w:rsidRPr="007558AA">
        <w:t xml:space="preserve">. </w:t>
      </w:r>
      <w:r>
        <w:t>T</w:t>
      </w:r>
      <w:r w:rsidRPr="00893BBC">
        <w:t>he following economic activities accounted for the most considerable growth: hotels, bars and restaurants</w:t>
      </w:r>
      <w:r>
        <w:t>;</w:t>
      </w:r>
      <w:r w:rsidRPr="00893BBC">
        <w:t xml:space="preserve"> construction</w:t>
      </w:r>
      <w:r>
        <w:t>;</w:t>
      </w:r>
      <w:r w:rsidRPr="00893BBC">
        <w:t xml:space="preserve"> local manufacturing</w:t>
      </w:r>
      <w:r>
        <w:t xml:space="preserve">; </w:t>
      </w:r>
      <w:r w:rsidRPr="00893BBC">
        <w:t>free zones</w:t>
      </w:r>
      <w:r>
        <w:t>;</w:t>
      </w:r>
      <w:r w:rsidRPr="00893BBC">
        <w:t xml:space="preserve"> commerce</w:t>
      </w:r>
      <w:r>
        <w:t>;</w:t>
      </w:r>
      <w:r w:rsidRPr="00893BBC">
        <w:t xml:space="preserve"> and transport and storage</w:t>
      </w:r>
      <w:r w:rsidRPr="007558AA">
        <w:t>.</w:t>
      </w:r>
    </w:p>
    <w:p w14:paraId="2CC7EA39" w14:textId="77777777" w:rsidR="00F53EDE" w:rsidRPr="007558AA" w:rsidRDefault="00F53EDE" w:rsidP="00E3399B">
      <w:pPr>
        <w:pStyle w:val="SummaryText"/>
      </w:pPr>
      <w:r>
        <w:t>During the review period</w:t>
      </w:r>
      <w:r w:rsidRPr="007558AA">
        <w:t xml:space="preserve">, </w:t>
      </w:r>
      <w:r>
        <w:t>fiscal policy sought to achieve fiscal consolidation in the medium term</w:t>
      </w:r>
      <w:r w:rsidRPr="007558AA">
        <w:t xml:space="preserve">. </w:t>
      </w:r>
      <w:r>
        <w:t xml:space="preserve">The public sector deficit fluctuated between </w:t>
      </w:r>
      <w:r w:rsidRPr="007558AA">
        <w:t>2</w:t>
      </w:r>
      <w:r>
        <w:t>.</w:t>
      </w:r>
      <w:r w:rsidRPr="007558AA">
        <w:t xml:space="preserve">3% </w:t>
      </w:r>
      <w:r>
        <w:t>and</w:t>
      </w:r>
      <w:r w:rsidRPr="007558AA">
        <w:t xml:space="preserve"> 2</w:t>
      </w:r>
      <w:r>
        <w:t>.</w:t>
      </w:r>
      <w:r w:rsidRPr="007558AA">
        <w:t xml:space="preserve">7% </w:t>
      </w:r>
      <w:r>
        <w:t xml:space="preserve">of GDP in the </w:t>
      </w:r>
      <w:r w:rsidRPr="007558AA">
        <w:t>2014-19</w:t>
      </w:r>
      <w:r>
        <w:t xml:space="preserve"> period</w:t>
      </w:r>
      <w:r w:rsidRPr="007558AA">
        <w:t xml:space="preserve">, </w:t>
      </w:r>
      <w:r>
        <w:t xml:space="preserve">before increasing to </w:t>
      </w:r>
      <w:r w:rsidRPr="007558AA">
        <w:t>7</w:t>
      </w:r>
      <w:r>
        <w:t>.</w:t>
      </w:r>
      <w:r w:rsidRPr="007558AA">
        <w:t xml:space="preserve">6% </w:t>
      </w:r>
      <w:r>
        <w:t>pf GDP in</w:t>
      </w:r>
      <w:r w:rsidRPr="007558AA">
        <w:t xml:space="preserve"> 2020 </w:t>
      </w:r>
      <w:r>
        <w:t xml:space="preserve">as a result of the decline in economic activity and the measures taken to address the pandemic. The deficit shrank to </w:t>
      </w:r>
      <w:r w:rsidRPr="007558AA">
        <w:t>2</w:t>
      </w:r>
      <w:r>
        <w:t>.</w:t>
      </w:r>
      <w:r w:rsidRPr="007558AA">
        <w:t xml:space="preserve">6% </w:t>
      </w:r>
      <w:r>
        <w:t>of GDP in 2021, thereby reflecting the rapid growth of the economy</w:t>
      </w:r>
      <w:r w:rsidRPr="007558AA">
        <w:t xml:space="preserve">. </w:t>
      </w:r>
      <w:r>
        <w:t>To counter the negative effects of the pandemic</w:t>
      </w:r>
      <w:r w:rsidRPr="007558AA">
        <w:t xml:space="preserve">, </w:t>
      </w:r>
      <w:r>
        <w:t>the authorities introduced a fiscal package of around USD 4.2 billion, an amount equivalent to more than 4% of GDP</w:t>
      </w:r>
      <w:r w:rsidRPr="007558AA">
        <w:t xml:space="preserve">. </w:t>
      </w:r>
    </w:p>
    <w:p w14:paraId="0C714714" w14:textId="77777777" w:rsidR="00F53EDE" w:rsidRPr="007558AA" w:rsidRDefault="00F53EDE" w:rsidP="00E3399B">
      <w:pPr>
        <w:pStyle w:val="SummaryText"/>
      </w:pPr>
      <w:r>
        <w:t xml:space="preserve">In order to enhance the fiscal package, the Central Bank injected around </w:t>
      </w:r>
      <w:r w:rsidRPr="007558AA">
        <w:t>USD 4</w:t>
      </w:r>
      <w:r>
        <w:t xml:space="preserve"> billion in additional liquidity, eased reserve requirements and reduced interest rates</w:t>
      </w:r>
      <w:r w:rsidRPr="007558AA">
        <w:t xml:space="preserve">. </w:t>
      </w:r>
      <w:r>
        <w:t xml:space="preserve">An inflation target of </w:t>
      </w:r>
      <w:r w:rsidRPr="007558AA">
        <w:t>4</w:t>
      </w:r>
      <w:r>
        <w:t>.</w:t>
      </w:r>
      <w:r w:rsidRPr="007558AA">
        <w:t>0%±1</w:t>
      </w:r>
      <w:r>
        <w:t>.</w:t>
      </w:r>
      <w:r w:rsidRPr="007558AA">
        <w:t xml:space="preserve">0% </w:t>
      </w:r>
      <w:r>
        <w:t>per year has been applied since 2015</w:t>
      </w:r>
      <w:r w:rsidRPr="007558AA">
        <w:t xml:space="preserve">. </w:t>
      </w:r>
      <w:r>
        <w:t>Compliance with this target was relaxed during the pandemic</w:t>
      </w:r>
      <w:r w:rsidRPr="007558AA">
        <w:t xml:space="preserve">. </w:t>
      </w:r>
      <w:r>
        <w:t xml:space="preserve">Inflation nevertheless remained within the target range for most of the review period, but exceeded the target in 2021 </w:t>
      </w:r>
      <w:r w:rsidRPr="007558AA">
        <w:t>(8</w:t>
      </w:r>
      <w:r>
        <w:t>.</w:t>
      </w:r>
      <w:r w:rsidRPr="007558AA">
        <w:t xml:space="preserve">5%) </w:t>
      </w:r>
      <w:r>
        <w:t>mainly due to higher energy prices and disruptions in the supply chain</w:t>
      </w:r>
      <w:r w:rsidRPr="007558AA">
        <w:t>.</w:t>
      </w:r>
    </w:p>
    <w:p w14:paraId="70C090D8" w14:textId="77777777" w:rsidR="00F53EDE" w:rsidRPr="007558AA" w:rsidRDefault="00F53EDE" w:rsidP="00E3399B">
      <w:pPr>
        <w:pStyle w:val="SummaryText"/>
      </w:pPr>
      <w:r w:rsidRPr="00E12B41">
        <w:rPr>
          <w:rFonts w:eastAsia="Verdana"/>
        </w:rPr>
        <w:t xml:space="preserve">The current account of the balance of payments </w:t>
      </w:r>
      <w:r>
        <w:rPr>
          <w:rFonts w:eastAsia="Verdana"/>
        </w:rPr>
        <w:t>shows</w:t>
      </w:r>
      <w:r w:rsidRPr="00E12B41">
        <w:rPr>
          <w:rFonts w:eastAsia="Verdana"/>
        </w:rPr>
        <w:t xml:space="preserve"> a structural deficit, which averaged 1.3% of GDP </w:t>
      </w:r>
      <w:r w:rsidRPr="00E3399B">
        <w:t>between 2015 and 2020. Remittances, amounting to more than 10% of GDP, partly offset the merchandise trade deficit. As a result of the COVID-19 pandemic's negative impact on economic activity, the current account deficit rose to 1.7% of GDP in 2020, mainly due to the decline in tourism revenue and remittances from abroad. As growth resumed in 2021 and imports increased, the current account deficit rose, reaching 2.8% of GDP in 2021</w:t>
      </w:r>
      <w:r w:rsidRPr="007558AA">
        <w:t>.</w:t>
      </w:r>
    </w:p>
    <w:p w14:paraId="2681B2B8" w14:textId="77777777" w:rsidR="00F53EDE" w:rsidRPr="007558AA" w:rsidRDefault="00F53EDE" w:rsidP="00E3399B">
      <w:pPr>
        <w:pStyle w:val="SummaryText"/>
      </w:pPr>
      <w:r>
        <w:t>Trade in goods and services is of great importance to the Dominican Republic, since it accounts for more than half of the country's GDP</w:t>
      </w:r>
      <w:r w:rsidRPr="007558AA">
        <w:t xml:space="preserve">. </w:t>
      </w:r>
      <w:r>
        <w:t>The main sources of foreign exchange are tourism receipts, free zone exports and remittances from Dominican nationals</w:t>
      </w:r>
      <w:r w:rsidRPr="007558AA">
        <w:t xml:space="preserve">, </w:t>
      </w:r>
      <w:r>
        <w:t xml:space="preserve">which in </w:t>
      </w:r>
      <w:r w:rsidRPr="007558AA">
        <w:t xml:space="preserve">2021 </w:t>
      </w:r>
      <w:r>
        <w:t xml:space="preserve">totalled around </w:t>
      </w:r>
      <w:r w:rsidRPr="007558AA">
        <w:t>USD</w:t>
      </w:r>
      <w:r>
        <w:t> </w:t>
      </w:r>
      <w:r w:rsidRPr="007558AA">
        <w:t>23</w:t>
      </w:r>
      <w:r>
        <w:t> billion</w:t>
      </w:r>
      <w:r w:rsidRPr="007558AA">
        <w:t>, o</w:t>
      </w:r>
      <w:r>
        <w:t xml:space="preserve">r more than </w:t>
      </w:r>
      <w:r w:rsidRPr="007558AA">
        <w:t xml:space="preserve">25% </w:t>
      </w:r>
      <w:r>
        <w:t>of GDP</w:t>
      </w:r>
      <w:r w:rsidRPr="007558AA">
        <w:t xml:space="preserve">. </w:t>
      </w:r>
      <w:r>
        <w:t>Manufactured goods, particularly textiles and clothing and metal products, account for over</w:t>
      </w:r>
      <w:r w:rsidRPr="007558AA">
        <w:t xml:space="preserve"> 50% </w:t>
      </w:r>
      <w:r>
        <w:t>of merchandise exports</w:t>
      </w:r>
      <w:r w:rsidRPr="007558AA">
        <w:t xml:space="preserve">, </w:t>
      </w:r>
      <w:r>
        <w:t>while motor vehicles constitute the main import category</w:t>
      </w:r>
      <w:r w:rsidRPr="007558AA">
        <w:t xml:space="preserve">. </w:t>
      </w:r>
      <w:r w:rsidRPr="00DB37F8">
        <w:t>The Dominican Republic's main export market is the United States, with a share of 20.5% of exports from the customs territory in 2021 and 78.2% of exports from free zones</w:t>
      </w:r>
      <w:r w:rsidRPr="007558AA">
        <w:t xml:space="preserve">. </w:t>
      </w:r>
      <w:r>
        <w:t>Other export markets are Switzerland</w:t>
      </w:r>
      <w:r w:rsidRPr="007558AA">
        <w:t xml:space="preserve"> (20</w:t>
      </w:r>
      <w:r>
        <w:t>.</w:t>
      </w:r>
      <w:r w:rsidRPr="007558AA">
        <w:t xml:space="preserve">3% </w:t>
      </w:r>
      <w:r>
        <w:t>of total exports</w:t>
      </w:r>
      <w:r w:rsidRPr="007558AA">
        <w:t>), India (15</w:t>
      </w:r>
      <w:r>
        <w:t>.</w:t>
      </w:r>
      <w:r w:rsidRPr="007558AA">
        <w:t>7%), Hait</w:t>
      </w:r>
      <w:r>
        <w:t>i</w:t>
      </w:r>
      <w:r w:rsidRPr="007558AA">
        <w:t xml:space="preserve"> (12</w:t>
      </w:r>
      <w:r>
        <w:t>.</w:t>
      </w:r>
      <w:r w:rsidRPr="007558AA">
        <w:t xml:space="preserve">4%) </w:t>
      </w:r>
      <w:r>
        <w:t xml:space="preserve">and the European Union </w:t>
      </w:r>
      <w:r w:rsidRPr="007558AA">
        <w:t>(11</w:t>
      </w:r>
      <w:r>
        <w:t>.</w:t>
      </w:r>
      <w:r w:rsidRPr="007558AA">
        <w:t xml:space="preserve">3%). </w:t>
      </w:r>
      <w:r>
        <w:t xml:space="preserve">The United States is also the Dominican Republic's leading supplier, providing </w:t>
      </w:r>
      <w:r w:rsidRPr="007558AA">
        <w:t>38</w:t>
      </w:r>
      <w:r>
        <w:t>.</w:t>
      </w:r>
      <w:r w:rsidRPr="007558AA">
        <w:t xml:space="preserve">8% </w:t>
      </w:r>
      <w:r>
        <w:t xml:space="preserve">of the country's total domestic imports in 2021, followed by China </w:t>
      </w:r>
      <w:r w:rsidRPr="007558AA">
        <w:t>(17</w:t>
      </w:r>
      <w:r>
        <w:t>.</w:t>
      </w:r>
      <w:r w:rsidRPr="007558AA">
        <w:t xml:space="preserve">6%) </w:t>
      </w:r>
      <w:r>
        <w:t xml:space="preserve">and the European Union </w:t>
      </w:r>
      <w:r w:rsidRPr="007558AA">
        <w:t>(11</w:t>
      </w:r>
      <w:r>
        <w:t>.</w:t>
      </w:r>
      <w:r w:rsidRPr="007558AA">
        <w:t xml:space="preserve">6%). </w:t>
      </w:r>
      <w:r>
        <w:t xml:space="preserve">Exports from free zones are of key importance, accounting for 60% of total exports in </w:t>
      </w:r>
      <w:r w:rsidRPr="007558AA">
        <w:t>2021.</w:t>
      </w:r>
    </w:p>
    <w:p w14:paraId="58B2073F" w14:textId="77777777" w:rsidR="00F53EDE" w:rsidRPr="007558AA" w:rsidRDefault="00F53EDE" w:rsidP="00E3399B">
      <w:pPr>
        <w:pStyle w:val="SummaryText"/>
      </w:pPr>
      <w:r w:rsidRPr="007558AA">
        <w:t>Dur</w:t>
      </w:r>
      <w:r>
        <w:t>ing the review period, the Dominican Republic saw an upsurge in foreign direct investment (</w:t>
      </w:r>
      <w:proofErr w:type="spellStart"/>
      <w:r>
        <w:t>FDI</w:t>
      </w:r>
      <w:proofErr w:type="spellEnd"/>
      <w:r>
        <w:t>) flows. Between</w:t>
      </w:r>
      <w:r w:rsidRPr="007558AA">
        <w:t xml:space="preserve"> 2014 </w:t>
      </w:r>
      <w:r>
        <w:t>and</w:t>
      </w:r>
      <w:r w:rsidRPr="007558AA">
        <w:t xml:space="preserve"> 2021, </w:t>
      </w:r>
      <w:proofErr w:type="spellStart"/>
      <w:r>
        <w:t>FDI</w:t>
      </w:r>
      <w:proofErr w:type="spellEnd"/>
      <w:r>
        <w:t xml:space="preserve"> flows into the Dominican Republic totalled </w:t>
      </w:r>
      <w:r w:rsidRPr="007558AA">
        <w:t>USD</w:t>
      </w:r>
      <w:r>
        <w:t> </w:t>
      </w:r>
      <w:r w:rsidRPr="007558AA">
        <w:t>21</w:t>
      </w:r>
      <w:r>
        <w:t>,</w:t>
      </w:r>
      <w:r w:rsidRPr="007558AA">
        <w:t>610</w:t>
      </w:r>
      <w:r>
        <w:t> </w:t>
      </w:r>
      <w:r w:rsidRPr="007558AA">
        <w:t>mill</w:t>
      </w:r>
      <w:r>
        <w:t>ion</w:t>
      </w:r>
      <w:r w:rsidRPr="007558AA">
        <w:t xml:space="preserve"> (equivalent</w:t>
      </w:r>
      <w:r>
        <w:t xml:space="preserve"> to an average of around </w:t>
      </w:r>
      <w:r w:rsidRPr="007558AA">
        <w:t>USD 2</w:t>
      </w:r>
      <w:r>
        <w:t>.</w:t>
      </w:r>
      <w:r w:rsidRPr="007558AA">
        <w:t>7</w:t>
      </w:r>
      <w:r>
        <w:t xml:space="preserve"> billion per year</w:t>
      </w:r>
      <w:r w:rsidRPr="007558AA">
        <w:t xml:space="preserve">). </w:t>
      </w:r>
      <w:r w:rsidRPr="00FB146A">
        <w:t xml:space="preserve">The main sectors </w:t>
      </w:r>
      <w:r>
        <w:t>to receive</w:t>
      </w:r>
      <w:r w:rsidRPr="00FB146A">
        <w:t xml:space="preserve"> such investment were tourism (28.8%), </w:t>
      </w:r>
      <w:r>
        <w:t>commerce</w:t>
      </w:r>
      <w:r w:rsidRPr="00FB146A">
        <w:t xml:space="preserve"> (20.5%) and real estate (17.4%)</w:t>
      </w:r>
      <w:r w:rsidRPr="007558AA">
        <w:t xml:space="preserve">. </w:t>
      </w:r>
      <w:r>
        <w:t xml:space="preserve">The main sources of </w:t>
      </w:r>
      <w:proofErr w:type="spellStart"/>
      <w:r>
        <w:t>FDI</w:t>
      </w:r>
      <w:proofErr w:type="spellEnd"/>
      <w:r>
        <w:t xml:space="preserve"> during the same period were the United States </w:t>
      </w:r>
      <w:r w:rsidRPr="007558AA">
        <w:t>(25</w:t>
      </w:r>
      <w:r>
        <w:t>.</w:t>
      </w:r>
      <w:r w:rsidRPr="007558AA">
        <w:t xml:space="preserve">7% </w:t>
      </w:r>
      <w:r>
        <w:t>of the total</w:t>
      </w:r>
      <w:r w:rsidRPr="007558AA">
        <w:t xml:space="preserve">), </w:t>
      </w:r>
      <w:r>
        <w:t>Canada </w:t>
      </w:r>
      <w:r w:rsidRPr="007558AA">
        <w:t>(10</w:t>
      </w:r>
      <w:r>
        <w:t>.</w:t>
      </w:r>
      <w:r w:rsidRPr="007558AA">
        <w:t xml:space="preserve">2%), </w:t>
      </w:r>
      <w:r>
        <w:t>Spain</w:t>
      </w:r>
      <w:r w:rsidRPr="007558AA">
        <w:t xml:space="preserve"> (7</w:t>
      </w:r>
      <w:r>
        <w:t>.</w:t>
      </w:r>
      <w:r w:rsidRPr="007558AA">
        <w:t xml:space="preserve">3%) </w:t>
      </w:r>
      <w:r>
        <w:t>and</w:t>
      </w:r>
      <w:r w:rsidRPr="007558AA">
        <w:t xml:space="preserve"> M</w:t>
      </w:r>
      <w:r>
        <w:t>e</w:t>
      </w:r>
      <w:r w:rsidRPr="007558AA">
        <w:t>xico (7</w:t>
      </w:r>
      <w:r>
        <w:t>.</w:t>
      </w:r>
      <w:r w:rsidRPr="007558AA">
        <w:t>3%).</w:t>
      </w:r>
    </w:p>
    <w:p w14:paraId="40CCE3E3" w14:textId="77777777" w:rsidR="00F53EDE" w:rsidRPr="007558AA" w:rsidRDefault="00F53EDE" w:rsidP="00E3399B">
      <w:pPr>
        <w:pStyle w:val="SummaryText"/>
      </w:pPr>
      <w:r>
        <w:lastRenderedPageBreak/>
        <w:t>The main objective of the Dominican Republic's trade policy is to promote exports</w:t>
      </w:r>
      <w:r w:rsidRPr="007558AA">
        <w:t xml:space="preserve">. </w:t>
      </w:r>
      <w:r>
        <w:t xml:space="preserve">The Dominican export strategy is based on both the promotion of traditional export products and the creation of a new supply based on exports of "modern services", which are those pertaining to the creative economy, the </w:t>
      </w:r>
      <w:proofErr w:type="spellStart"/>
      <w:r>
        <w:t>audiovisual</w:t>
      </w:r>
      <w:proofErr w:type="spellEnd"/>
      <w:r>
        <w:t xml:space="preserve"> industry, telecommunications and information technology. The aim is to supply goods and services that are more sophisticated, competitive and diverse, by focusing on innovation, quality and value added</w:t>
      </w:r>
      <w:r w:rsidRPr="007558AA">
        <w:t xml:space="preserve">. </w:t>
      </w:r>
      <w:r>
        <w:t>It is hoped that the export sector will also benefit from taking advantage of existing markets and seeking new trade opportunities. Various steps have been taken to facilitate exports, including the streamlining of procedures and the introduction of more flexible conditions for accessing credit</w:t>
      </w:r>
      <w:r w:rsidRPr="007558AA">
        <w:t xml:space="preserve">. </w:t>
      </w:r>
      <w:r>
        <w:t xml:space="preserve">In order to support the export sector, the Dominican Republic seeks to ensure an attractive environment for foreign investors, </w:t>
      </w:r>
      <w:proofErr w:type="spellStart"/>
      <w:r>
        <w:t>through</w:t>
      </w:r>
      <w:proofErr w:type="spellEnd"/>
      <w:r>
        <w:t>, for instance, the free zone regime and other incentives that support domestic production's integration into the international market</w:t>
      </w:r>
      <w:r w:rsidRPr="007558AA">
        <w:t xml:space="preserve">. </w:t>
      </w:r>
      <w:r>
        <w:t>The Dominican authorities believe that the extent of the country's integration into international markets also depends on women's empowerment and leadership in trade</w:t>
      </w:r>
      <w:r w:rsidRPr="007558AA">
        <w:t>.</w:t>
      </w:r>
    </w:p>
    <w:p w14:paraId="0F4F59CE" w14:textId="77777777" w:rsidR="00F53EDE" w:rsidRPr="007558AA" w:rsidRDefault="00F53EDE" w:rsidP="00E3399B">
      <w:pPr>
        <w:pStyle w:val="SummaryText"/>
      </w:pPr>
      <w:r>
        <w:t>The Dominican Republic has been a Member of the WTO since 1995 and grants, as a minimum, most-favoured-nation (MFN) treatment to all its trading partners</w:t>
      </w:r>
      <w:r w:rsidRPr="007558AA">
        <w:t xml:space="preserve">. </w:t>
      </w:r>
      <w:r w:rsidRPr="00157D15">
        <w:t>This is its fifth Trade Policy Review</w:t>
      </w:r>
      <w:r w:rsidRPr="007558AA">
        <w:t xml:space="preserve">. </w:t>
      </w:r>
      <w:r>
        <w:t xml:space="preserve">The Dominican Republic is committed to the multilateral trading system, which it believes should contribute to </w:t>
      </w:r>
      <w:r w:rsidRPr="00436412">
        <w:t>inclusive, sustainable and fair development</w:t>
      </w:r>
      <w:r w:rsidRPr="00E3399B">
        <w:t>. The Dominican Republic supports the elimination of distortions in trade in agricultural products and the creation of an inclusive and resilient agricultural economy. It also favours trade practices that are more respectful of the environment and natural resources. In 2016, it ratified the Trade Facilitation Agreement (</w:t>
      </w:r>
      <w:proofErr w:type="spellStart"/>
      <w:r w:rsidRPr="00E3399B">
        <w:t>TFA</w:t>
      </w:r>
      <w:proofErr w:type="spellEnd"/>
      <w:r w:rsidRPr="00E3399B">
        <w:t>), and implements the Agreement in accordance with its commitments thereunder</w:t>
      </w:r>
      <w:r w:rsidRPr="007558AA">
        <w:t xml:space="preserve">. </w:t>
      </w:r>
      <w:r>
        <w:t xml:space="preserve">The Dominican Republic did not make use of </w:t>
      </w:r>
      <w:r w:rsidRPr="00961A14">
        <w:t xml:space="preserve">the dispute settlement mechanism </w:t>
      </w:r>
      <w:r>
        <w:t>during the review period</w:t>
      </w:r>
      <w:r w:rsidRPr="007558AA">
        <w:t>.</w:t>
      </w:r>
    </w:p>
    <w:p w14:paraId="7234DB3F" w14:textId="595AAEA7" w:rsidR="00F53EDE" w:rsidRPr="007558AA" w:rsidRDefault="00F53EDE" w:rsidP="00E3399B">
      <w:pPr>
        <w:pStyle w:val="SummaryText"/>
      </w:pPr>
      <w:r>
        <w:t xml:space="preserve">The Dominican Republic has preferential trade agreements with Central America, the United States, Panama, the United Kingdom, the European Union, </w:t>
      </w:r>
      <w:r w:rsidRPr="00400686">
        <w:t>the Caribbean Community and the member States of the Caribbean Forum (</w:t>
      </w:r>
      <w:proofErr w:type="spellStart"/>
      <w:r w:rsidRPr="00400686">
        <w:t>CARIFORUM</w:t>
      </w:r>
      <w:proofErr w:type="spellEnd"/>
      <w:r w:rsidRPr="00400686">
        <w:t>)</w:t>
      </w:r>
      <w:r w:rsidRPr="007558AA">
        <w:t>,</w:t>
      </w:r>
      <w:r>
        <w:t xml:space="preserve"> all of which have been notified to the WTO</w:t>
      </w:r>
      <w:r w:rsidRPr="007558AA">
        <w:t xml:space="preserve">. </w:t>
      </w:r>
      <w:r w:rsidRPr="00010050">
        <w:t>All the</w:t>
      </w:r>
      <w:r>
        <w:t>se</w:t>
      </w:r>
      <w:r w:rsidRPr="00010050">
        <w:t xml:space="preserve"> agreements, except </w:t>
      </w:r>
      <w:r>
        <w:t xml:space="preserve">for </w:t>
      </w:r>
      <w:r w:rsidRPr="00010050">
        <w:t xml:space="preserve">the agreement with </w:t>
      </w:r>
      <w:r>
        <w:t>Panama (a partial scope agreement)</w:t>
      </w:r>
      <w:r w:rsidRPr="00010050">
        <w:t xml:space="preserve">, </w:t>
      </w:r>
      <w:r>
        <w:t>cover</w:t>
      </w:r>
      <w:r w:rsidRPr="00010050">
        <w:t xml:space="preserve"> trade in goods and services</w:t>
      </w:r>
      <w:r w:rsidRPr="007558AA">
        <w:t xml:space="preserve">. </w:t>
      </w:r>
      <w:r>
        <w:t>The agreement with the United Kingdom was the only one to enter into force for the Dominican Republic during the review period</w:t>
      </w:r>
      <w:r w:rsidRPr="007558AA">
        <w:t>.</w:t>
      </w:r>
    </w:p>
    <w:p w14:paraId="70CBEE8E" w14:textId="77777777" w:rsidR="00F53EDE" w:rsidRPr="007558AA" w:rsidRDefault="00F53EDE" w:rsidP="00E3399B">
      <w:pPr>
        <w:pStyle w:val="SummaryText"/>
      </w:pPr>
      <w:r>
        <w:t xml:space="preserve">One of the most significant changes concerning the Dominican customs regime during the review period was the enactment of a new Customs Law aimed at modernizing and simplifying customs regimes and procedures. This Law, which is not yet fully implemented, harmonizes Dominican domestic legislation with </w:t>
      </w:r>
      <w:r w:rsidRPr="00992646">
        <w:t xml:space="preserve">the international commitments undertaken </w:t>
      </w:r>
      <w:r w:rsidRPr="00371AA1">
        <w:t>multilateral</w:t>
      </w:r>
      <w:r>
        <w:t>ly</w:t>
      </w:r>
      <w:r w:rsidRPr="00371AA1">
        <w:t xml:space="preserve"> and bilateral</w:t>
      </w:r>
      <w:r>
        <w:t>ly</w:t>
      </w:r>
      <w:r w:rsidRPr="00371AA1">
        <w:t xml:space="preserve"> </w:t>
      </w:r>
      <w:r w:rsidRPr="00992646">
        <w:t>over the past three decades</w:t>
      </w:r>
      <w:r w:rsidRPr="007558AA">
        <w:t xml:space="preserve">. </w:t>
      </w:r>
      <w:r w:rsidRPr="00C63882">
        <w:t xml:space="preserve">In addition to streamlining customs </w:t>
      </w:r>
      <w:r>
        <w:t xml:space="preserve">formalities and </w:t>
      </w:r>
      <w:r w:rsidRPr="00C63882">
        <w:t>procedures, the new Customs Law legalized electronic declarations and the use of electronic means</w:t>
      </w:r>
      <w:r w:rsidRPr="007558AA">
        <w:t xml:space="preserve">. </w:t>
      </w:r>
      <w:r>
        <w:t>The</w:t>
      </w:r>
      <w:r w:rsidRPr="001A730B">
        <w:t xml:space="preserve"> National Trade Facilitation Committee</w:t>
      </w:r>
      <w:r>
        <w:t xml:space="preserve"> was created in 2017 to </w:t>
      </w:r>
      <w:r w:rsidRPr="001A730B">
        <w:t>facilitate interaction with other trade control agencies and the private sector</w:t>
      </w:r>
      <w:r>
        <w:t xml:space="preserve">, and to implement the </w:t>
      </w:r>
      <w:proofErr w:type="spellStart"/>
      <w:r>
        <w:t>TFA</w:t>
      </w:r>
      <w:proofErr w:type="spellEnd"/>
      <w:r>
        <w:t>. The Dominican Republic</w:t>
      </w:r>
      <w:r w:rsidRPr="001A730B">
        <w:t xml:space="preserve"> </w:t>
      </w:r>
      <w:r w:rsidRPr="00307CFF">
        <w:t>appl</w:t>
      </w:r>
      <w:r>
        <w:t>ies</w:t>
      </w:r>
      <w:r w:rsidRPr="00307CFF">
        <w:t xml:space="preserve"> a customs valuation system based on the WTO</w:t>
      </w:r>
      <w:r>
        <w:t xml:space="preserve"> </w:t>
      </w:r>
      <w:r w:rsidRPr="00307CFF">
        <w:t>Customs Valuation Agreement</w:t>
      </w:r>
      <w:r w:rsidRPr="007558AA">
        <w:t xml:space="preserve"> </w:t>
      </w:r>
      <w:r>
        <w:t>and uses preferential and non-preferential rules of origin. Non-preferential rules are used to determine the origin of imports subject to anti-dumping or countervailing duties, safeguard measures or import quotas</w:t>
      </w:r>
      <w:r w:rsidRPr="007558AA">
        <w:t xml:space="preserve">. </w:t>
      </w:r>
    </w:p>
    <w:p w14:paraId="5A8BA25D" w14:textId="77777777" w:rsidR="00F53EDE" w:rsidRPr="007558AA" w:rsidRDefault="00F53EDE" w:rsidP="00E3399B">
      <w:pPr>
        <w:pStyle w:val="SummaryText"/>
      </w:pPr>
      <w:r w:rsidRPr="00B65674">
        <w:t>During the period under review, no major changes were made to the Dominican Republic's tariff schedule</w:t>
      </w:r>
      <w:r w:rsidRPr="007558AA">
        <w:t xml:space="preserve">. </w:t>
      </w:r>
      <w:r>
        <w:t xml:space="preserve">Only </w:t>
      </w:r>
      <w:r w:rsidRPr="00E3399B">
        <w:t>ad valorem</w:t>
      </w:r>
      <w:r>
        <w:t xml:space="preserve"> tariffs are applied. While s</w:t>
      </w:r>
      <w:r w:rsidRPr="00B65674">
        <w:t>ome tariffs increase</w:t>
      </w:r>
      <w:r>
        <w:t>d</w:t>
      </w:r>
      <w:r w:rsidRPr="00B65674">
        <w:t xml:space="preserve"> slightly, the simple average MFN tariff remained unchanged from 2014</w:t>
      </w:r>
      <w:r>
        <w:t>,</w:t>
      </w:r>
      <w:r w:rsidRPr="00B65674">
        <w:t xml:space="preserve"> at 7.8%</w:t>
      </w:r>
      <w:r w:rsidRPr="007558AA">
        <w:t xml:space="preserve">. </w:t>
      </w:r>
      <w:r>
        <w:t xml:space="preserve">This was partly due to an increase in the number of tariff lines, which rose from </w:t>
      </w:r>
      <w:r w:rsidRPr="007558AA">
        <w:t>7</w:t>
      </w:r>
      <w:r>
        <w:t>,</w:t>
      </w:r>
      <w:r w:rsidRPr="007558AA">
        <w:t xml:space="preserve">048 </w:t>
      </w:r>
      <w:r>
        <w:t xml:space="preserve">at the Harmonized System </w:t>
      </w:r>
      <w:r w:rsidRPr="00F839B9">
        <w:t xml:space="preserve">(HS 2012) </w:t>
      </w:r>
      <w:r>
        <w:t xml:space="preserve">eight-digit level in 2014 to </w:t>
      </w:r>
      <w:r w:rsidRPr="007558AA">
        <w:t>7</w:t>
      </w:r>
      <w:r>
        <w:t>,</w:t>
      </w:r>
      <w:r w:rsidRPr="007558AA">
        <w:t>242 (</w:t>
      </w:r>
      <w:r>
        <w:t>HS</w:t>
      </w:r>
      <w:r w:rsidRPr="007558AA">
        <w:t xml:space="preserve"> 2017) </w:t>
      </w:r>
      <w:r>
        <w:t>i</w:t>
      </w:r>
      <w:r w:rsidRPr="007558AA">
        <w:t xml:space="preserve">n 2022. </w:t>
      </w:r>
      <w:r>
        <w:t>In particular, an increase was seen in the number of lines subject to tariff rates higher than 15%, which are applied mainly to agricultural products (</w:t>
      </w:r>
      <w:r w:rsidRPr="00477072">
        <w:t>WTO</w:t>
      </w:r>
      <w:r>
        <w:t> </w:t>
      </w:r>
      <w:r w:rsidRPr="00477072">
        <w:t>definition</w:t>
      </w:r>
      <w:r>
        <w:t xml:space="preserve">). </w:t>
      </w:r>
      <w:r w:rsidRPr="00300A7E">
        <w:t>Tariff</w:t>
      </w:r>
      <w:r>
        <w:t xml:space="preserve"> rates</w:t>
      </w:r>
      <w:r w:rsidRPr="00300A7E">
        <w:t xml:space="preserve"> above 25%</w:t>
      </w:r>
      <w:r>
        <w:t xml:space="preserve"> apply to 72 lines, which mainly comprise agricultural products. The Dominican Republic </w:t>
      </w:r>
      <w:r w:rsidRPr="0003433C">
        <w:t xml:space="preserve">applies tariff quotas under both the WTO and its </w:t>
      </w:r>
      <w:r>
        <w:t>trade</w:t>
      </w:r>
      <w:r w:rsidRPr="0003433C">
        <w:t xml:space="preserve"> agreements</w:t>
      </w:r>
      <w:r w:rsidRPr="007558AA">
        <w:t xml:space="preserve">. </w:t>
      </w:r>
      <w:r>
        <w:t xml:space="preserve">The country </w:t>
      </w:r>
      <w:r w:rsidRPr="008F4B6B">
        <w:t>has bound all its tariff lines in the WTO at rates ranging from 0% to 99%</w:t>
      </w:r>
      <w:r w:rsidRPr="007558AA">
        <w:t xml:space="preserve">. </w:t>
      </w:r>
      <w:r>
        <w:t>The use of quotas varies; when imports are needed to meet demand or maintain reserves, market access is expanded, meaning that quota usage may exceed 100%.</w:t>
      </w:r>
    </w:p>
    <w:p w14:paraId="39E0AF77" w14:textId="77777777" w:rsidR="00F53EDE" w:rsidRPr="007558AA" w:rsidRDefault="00F53EDE" w:rsidP="00E3399B">
      <w:pPr>
        <w:pStyle w:val="SummaryText"/>
      </w:pPr>
      <w:r w:rsidRPr="00902D0A">
        <w:t>The Dominican Republic maintains import prohibitions and restrictions for reasons of public health and safety, animal and plant health, and environmental protection, and in order to comply with the requirements of international agreements</w:t>
      </w:r>
      <w:r w:rsidRPr="007558AA">
        <w:t xml:space="preserve">. </w:t>
      </w:r>
      <w:r>
        <w:t>Most existing</w:t>
      </w:r>
      <w:r w:rsidRPr="007558AA">
        <w:t xml:space="preserve"> </w:t>
      </w:r>
      <w:r>
        <w:t xml:space="preserve">prohibitions </w:t>
      </w:r>
      <w:r w:rsidRPr="00902D0A">
        <w:t>are for plant and animal health reasons, and their objective is to prevent the entry of pests and diseases into the national territory</w:t>
      </w:r>
      <w:r w:rsidRPr="007558AA">
        <w:t xml:space="preserve">. </w:t>
      </w:r>
      <w:r>
        <w:t>During the review period, there were no changes to either the import licensing system or the procedure for obtaining import licences</w:t>
      </w:r>
      <w:r w:rsidRPr="007558AA">
        <w:t xml:space="preserve">. </w:t>
      </w:r>
      <w:r>
        <w:t xml:space="preserve">The Dominican Republic makes limited use </w:t>
      </w:r>
      <w:r>
        <w:lastRenderedPageBreak/>
        <w:t>of corrective trade remedies</w:t>
      </w:r>
      <w:r w:rsidRPr="007558AA">
        <w:t xml:space="preserve">. </w:t>
      </w:r>
      <w:r>
        <w:t>In</w:t>
      </w:r>
      <w:r w:rsidRPr="007558AA">
        <w:t xml:space="preserve"> 2015-21, </w:t>
      </w:r>
      <w:r>
        <w:t>no changes were made to the country's trade defence legislation and instruments</w:t>
      </w:r>
      <w:r w:rsidRPr="007558AA">
        <w:t xml:space="preserve">; </w:t>
      </w:r>
      <w:r>
        <w:t>two dumping investigations were initiated, but no investigations were initiated in respect of subsidies or safeguard measures</w:t>
      </w:r>
      <w:r w:rsidRPr="007558AA">
        <w:t xml:space="preserve">. </w:t>
      </w:r>
    </w:p>
    <w:p w14:paraId="7BB82E5C" w14:textId="77777777" w:rsidR="00F53EDE" w:rsidRPr="007558AA" w:rsidRDefault="00F53EDE" w:rsidP="00E3399B">
      <w:pPr>
        <w:pStyle w:val="SummaryText"/>
      </w:pPr>
      <w:r>
        <w:t xml:space="preserve">The new Customs Law </w:t>
      </w:r>
      <w:r w:rsidRPr="00A31955">
        <w:t>regulates the export process and establishes the time limits, rights, obligations and responsibilities of exporters</w:t>
      </w:r>
      <w:r w:rsidRPr="007558AA">
        <w:t xml:space="preserve"> </w:t>
      </w:r>
      <w:r>
        <w:t>in order to give</w:t>
      </w:r>
      <w:r w:rsidRPr="00592D08">
        <w:t xml:space="preserve"> the export </w:t>
      </w:r>
      <w:r>
        <w:t xml:space="preserve">regime </w:t>
      </w:r>
      <w:r w:rsidRPr="00592D08">
        <w:t>greater legal certainty, predictability and transparency</w:t>
      </w:r>
      <w:r w:rsidRPr="007558AA">
        <w:t xml:space="preserve">. </w:t>
      </w:r>
      <w:r>
        <w:t>The Dominican Republic requires licences for, and maintains restrictions and prohibitions on, the export of a limited number of products</w:t>
      </w:r>
      <w:r w:rsidRPr="007558AA">
        <w:t xml:space="preserve">. </w:t>
      </w:r>
      <w:r>
        <w:t>Fish and shellfish are the only products subject to export duties</w:t>
      </w:r>
      <w:r w:rsidRPr="007558AA">
        <w:t>.</w:t>
      </w:r>
    </w:p>
    <w:p w14:paraId="63D78039" w14:textId="77777777" w:rsidR="00F53EDE" w:rsidRPr="007558AA" w:rsidRDefault="00F53EDE" w:rsidP="00E3399B">
      <w:pPr>
        <w:pStyle w:val="SummaryText"/>
      </w:pPr>
      <w:r>
        <w:t xml:space="preserve">Under </w:t>
      </w:r>
      <w:r w:rsidRPr="00A94C65">
        <w:t>the drawback procedure</w:t>
      </w:r>
      <w:r>
        <w:t>,</w:t>
      </w:r>
      <w:r w:rsidRPr="00A94C65">
        <w:t xml:space="preserve"> exporters can obtain the repayment (total or partial) of the import duties and taxes charged on goods that </w:t>
      </w:r>
      <w:r>
        <w:t>are to</w:t>
      </w:r>
      <w:r w:rsidRPr="00A94C65">
        <w:t xml:space="preserve"> be exported or on the inputs used in their production</w:t>
      </w:r>
      <w:r w:rsidRPr="007558AA">
        <w:t xml:space="preserve">. </w:t>
      </w:r>
      <w:r>
        <w:t xml:space="preserve">Exporters can also use the inward processing procedure. </w:t>
      </w:r>
      <w:proofErr w:type="spellStart"/>
      <w:r w:rsidRPr="00F61789">
        <w:t>ProDominicana</w:t>
      </w:r>
      <w:proofErr w:type="spellEnd"/>
      <w:r w:rsidRPr="00F61789">
        <w:t xml:space="preserve"> is the </w:t>
      </w:r>
      <w:r>
        <w:t xml:space="preserve">government </w:t>
      </w:r>
      <w:r w:rsidRPr="00F61789">
        <w:t>agency</w:t>
      </w:r>
      <w:r w:rsidRPr="007558AA">
        <w:t xml:space="preserve"> </w:t>
      </w:r>
      <w:r>
        <w:t xml:space="preserve">responsible for promoting exports and </w:t>
      </w:r>
      <w:proofErr w:type="spellStart"/>
      <w:r>
        <w:t>FDI</w:t>
      </w:r>
      <w:proofErr w:type="spellEnd"/>
      <w:r>
        <w:t xml:space="preserve">, and </w:t>
      </w:r>
      <w:r w:rsidRPr="00F61789">
        <w:t>operates in several areas in coordination with other government institutions involved in foreign trade</w:t>
      </w:r>
      <w:r w:rsidRPr="007558AA">
        <w:t xml:space="preserve">. </w:t>
      </w:r>
      <w:r>
        <w:t>I</w:t>
      </w:r>
      <w:r w:rsidRPr="007558AA">
        <w:t xml:space="preserve">n 2021, </w:t>
      </w:r>
      <w:r>
        <w:t>the National Export Bank became the Export and Development Bank (</w:t>
      </w:r>
      <w:proofErr w:type="spellStart"/>
      <w:r>
        <w:t>BANDEX</w:t>
      </w:r>
      <w:proofErr w:type="spellEnd"/>
      <w:r>
        <w:t xml:space="preserve">), which </w:t>
      </w:r>
      <w:r w:rsidRPr="00D10CB1">
        <w:t>channel</w:t>
      </w:r>
      <w:r>
        <w:t>s</w:t>
      </w:r>
      <w:r w:rsidRPr="00D10CB1">
        <w:t xml:space="preserve"> financial resources to export</w:t>
      </w:r>
      <w:r w:rsidRPr="00D10CB1">
        <w:noBreakHyphen/>
        <w:t>oriented sectors, through financing and lines of credit for exports, and other products, such as export factoring, export credit insurance and other SME</w:t>
      </w:r>
      <w:r w:rsidRPr="00D10CB1">
        <w:noBreakHyphen/>
        <w:t>oriented products</w:t>
      </w:r>
      <w:r w:rsidRPr="007558AA">
        <w:t xml:space="preserve">. </w:t>
      </w:r>
    </w:p>
    <w:p w14:paraId="5D5EEDD6" w14:textId="77777777" w:rsidR="00F53EDE" w:rsidRPr="007558AA" w:rsidRDefault="00F53EDE" w:rsidP="00E3399B">
      <w:pPr>
        <w:pStyle w:val="SummaryText"/>
      </w:pPr>
      <w:r w:rsidRPr="007F64AD">
        <w:t>The Dominican Republic grant</w:t>
      </w:r>
      <w:r>
        <w:t>s</w:t>
      </w:r>
      <w:r w:rsidRPr="007F64AD">
        <w:t xml:space="preserve"> tax incentives to certain sectors or for certain activities. The incentives comprise exemption (generally in full) from various taxes such as </w:t>
      </w:r>
      <w:r>
        <w:t>the tax on the transfer of industrialized goods and services (</w:t>
      </w:r>
      <w:proofErr w:type="spellStart"/>
      <w:r w:rsidRPr="007F64AD">
        <w:t>ITBIS</w:t>
      </w:r>
      <w:proofErr w:type="spellEnd"/>
      <w:r>
        <w:t>)</w:t>
      </w:r>
      <w:r w:rsidRPr="007F64AD">
        <w:t>, income tax (</w:t>
      </w:r>
      <w:proofErr w:type="spellStart"/>
      <w:r w:rsidRPr="007F64AD">
        <w:t>ISR</w:t>
      </w:r>
      <w:proofErr w:type="spellEnd"/>
      <w:r w:rsidRPr="007F64AD">
        <w:t xml:space="preserve">), the </w:t>
      </w:r>
      <w:r>
        <w:t>selective consumption tax (</w:t>
      </w:r>
      <w:proofErr w:type="spellStart"/>
      <w:r w:rsidRPr="007F64AD">
        <w:t>ISC</w:t>
      </w:r>
      <w:proofErr w:type="spellEnd"/>
      <w:r>
        <w:t xml:space="preserve">), </w:t>
      </w:r>
      <w:r w:rsidRPr="007F64AD">
        <w:t xml:space="preserve">the wealth tax and the tax on </w:t>
      </w:r>
      <w:r>
        <w:t xml:space="preserve">the </w:t>
      </w:r>
      <w:r w:rsidRPr="007F64AD">
        <w:t>use of goods and licences. The sectors and activities targeted by the incentives are tourism, electricity generation, the textiles industry,</w:t>
      </w:r>
      <w:r>
        <w:t xml:space="preserve"> manufacturing,</w:t>
      </w:r>
      <w:r w:rsidRPr="007F64AD">
        <w:t xml:space="preserve"> </w:t>
      </w:r>
      <w:r>
        <w:t xml:space="preserve">the film industry, </w:t>
      </w:r>
      <w:r w:rsidRPr="007F64AD">
        <w:t>mining and agriculture</w:t>
      </w:r>
      <w:r w:rsidRPr="007558AA">
        <w:t>. Dur</w:t>
      </w:r>
      <w:r>
        <w:t>ing the review period, incentives for manufacturing and industry expired and were subsequently reintroduced for a period of 15 years</w:t>
      </w:r>
      <w:r w:rsidRPr="007558AA">
        <w:t xml:space="preserve">. </w:t>
      </w:r>
      <w:r>
        <w:t>The incentives scheme for industries located in border provinces was amended in 2021</w:t>
      </w:r>
      <w:r w:rsidRPr="007558AA">
        <w:t xml:space="preserve">: </w:t>
      </w:r>
      <w:r>
        <w:t>most of the benefits of the previous scheme were retained and the validity of the incentives was extended to 30 years</w:t>
      </w:r>
      <w:r w:rsidRPr="007558AA">
        <w:t xml:space="preserve">. </w:t>
      </w:r>
      <w:r>
        <w:t>The scheme to promote renewable energy has been extended to include new energy production sources, and incentives have been introduced for solid waste processing</w:t>
      </w:r>
      <w:r w:rsidRPr="007558AA">
        <w:t xml:space="preserve">. </w:t>
      </w:r>
    </w:p>
    <w:p w14:paraId="1DD7107F" w14:textId="77777777" w:rsidR="00F53EDE" w:rsidRPr="007558AA" w:rsidRDefault="00F53EDE" w:rsidP="00E3399B">
      <w:pPr>
        <w:pStyle w:val="SummaryText"/>
      </w:pPr>
      <w:r>
        <w:t>The free zone regime, which the Dominican Republic notified to the WTO as a subsidy programme, has not undergone any substantial changes since the previous review in 2015</w:t>
      </w:r>
      <w:r w:rsidRPr="007558AA">
        <w:t xml:space="preserve">. </w:t>
      </w:r>
      <w:r>
        <w:t>This means that enterprises located in free zones continue to enjoy the same tax benefits, while the National Council for Free Export Zones (</w:t>
      </w:r>
      <w:proofErr w:type="spellStart"/>
      <w:r>
        <w:t>CNZFE</w:t>
      </w:r>
      <w:proofErr w:type="spellEnd"/>
      <w:r>
        <w:t>) remains responsible for the regime</w:t>
      </w:r>
      <w:r w:rsidRPr="007558AA">
        <w:t xml:space="preserve">. </w:t>
      </w:r>
    </w:p>
    <w:p w14:paraId="5EA0A53D" w14:textId="77777777" w:rsidR="00F53EDE" w:rsidRPr="007558AA" w:rsidRDefault="00F53EDE" w:rsidP="00E3399B">
      <w:pPr>
        <w:pStyle w:val="SummaryText"/>
      </w:pPr>
      <w:r>
        <w:t>The procedure for drafting a technical regulation has not changed since 2015, and ministries and other state agencies are responsible for drafting their own technical regulations</w:t>
      </w:r>
      <w:r w:rsidRPr="007558AA">
        <w:t xml:space="preserve">. </w:t>
      </w:r>
      <w:r>
        <w:t>I</w:t>
      </w:r>
      <w:r w:rsidRPr="007558AA">
        <w:t xml:space="preserve">n 2021, </w:t>
      </w:r>
      <w:r>
        <w:t xml:space="preserve">in order to ensure the transparency of the procedure, the Dominican Republic adopted the </w:t>
      </w:r>
      <w:r w:rsidRPr="005C71DB">
        <w:t>Handbook of Good Technical Regulation Practices (</w:t>
      </w:r>
      <w:proofErr w:type="spellStart"/>
      <w:r w:rsidRPr="005C71DB">
        <w:t>GBPRT</w:t>
      </w:r>
      <w:proofErr w:type="spellEnd"/>
      <w:r w:rsidRPr="005C71DB">
        <w:t>)</w:t>
      </w:r>
      <w:r>
        <w:t>, which is</w:t>
      </w:r>
      <w:r w:rsidRPr="005C71DB">
        <w:t xml:space="preserve"> based</w:t>
      </w:r>
      <w:r>
        <w:t xml:space="preserve"> </w:t>
      </w:r>
      <w:r w:rsidRPr="005C71DB">
        <w:t>on the WTO TBT Code of Good Practice</w:t>
      </w:r>
      <w:r w:rsidRPr="007558AA">
        <w:t xml:space="preserve">. </w:t>
      </w:r>
      <w:r w:rsidRPr="001243A7">
        <w:t xml:space="preserve">Certification </w:t>
      </w:r>
      <w:r>
        <w:t xml:space="preserve">is usually </w:t>
      </w:r>
      <w:r w:rsidRPr="001243A7">
        <w:t xml:space="preserve">voluntary, except for </w:t>
      </w:r>
      <w:r>
        <w:t>certain</w:t>
      </w:r>
      <w:r w:rsidRPr="001243A7">
        <w:t xml:space="preserve"> types of cement and steel bars</w:t>
      </w:r>
      <w:r w:rsidRPr="007558AA">
        <w:t xml:space="preserve">. </w:t>
      </w:r>
      <w:r>
        <w:t>This requirement applies to imported and domestically produced goods</w:t>
      </w:r>
      <w:r w:rsidRPr="007558AA">
        <w:t xml:space="preserve">. </w:t>
      </w:r>
      <w:r>
        <w:t>Between</w:t>
      </w:r>
      <w:r w:rsidRPr="007558AA">
        <w:t xml:space="preserve"> 2015 </w:t>
      </w:r>
      <w:r>
        <w:t>and</w:t>
      </w:r>
      <w:r w:rsidRPr="007558AA">
        <w:t xml:space="preserve"> 2022, </w:t>
      </w:r>
      <w:r>
        <w:t xml:space="preserve">two specific trade concerns regarding Dominican technical regulations </w:t>
      </w:r>
      <w:r w:rsidRPr="00BE38EF">
        <w:t>were raised at the WTO</w:t>
      </w:r>
      <w:r w:rsidRPr="007558AA">
        <w:t>.</w:t>
      </w:r>
    </w:p>
    <w:p w14:paraId="53EFEB7A" w14:textId="77777777" w:rsidR="00F53EDE" w:rsidRPr="0052728E" w:rsidRDefault="00F53EDE" w:rsidP="0052728E">
      <w:pPr>
        <w:pStyle w:val="SummaryText"/>
      </w:pPr>
      <w:r w:rsidRPr="0052728E">
        <w:t xml:space="preserve">The aim of the sanitary and phytosanitary </w:t>
      </w:r>
      <w:r>
        <w:t xml:space="preserve">(SPS) </w:t>
      </w:r>
      <w:r w:rsidRPr="0052728E">
        <w:t>system of the Dominican Republic is to prevent, by means of three systems, the introduction into the national territory of pests or diseases. Those systems are sanitary and phytosanitary protection at the national borders; surveillance and diagnostic capacity to detect pests, diseases and sanitary issues; and the capacity to respond in agile fashion to emergencies. The Dominican Republic places special emphasis on enhanced border protection through the installation of inspection infrastructure. Moreover, exporting establishments are inspected and agricultural products for export are certified. The drafting of SPS measures is governed by the regulations of the relevant ministries. There is no single centralized mechanism for the preparation</w:t>
      </w:r>
      <w:r>
        <w:t xml:space="preserve"> of these regulations</w:t>
      </w:r>
      <w:r w:rsidRPr="0052728E">
        <w:t xml:space="preserve">. However, they are drafted largely along the same lines as </w:t>
      </w:r>
      <w:r>
        <w:t>the</w:t>
      </w:r>
      <w:r w:rsidRPr="0052728E">
        <w:t xml:space="preserve"> technical regulations.</w:t>
      </w:r>
    </w:p>
    <w:p w14:paraId="36298AC0" w14:textId="77777777" w:rsidR="00F53EDE" w:rsidRPr="0052728E" w:rsidRDefault="00F53EDE" w:rsidP="0052728E">
      <w:pPr>
        <w:pStyle w:val="SummaryText"/>
      </w:pPr>
      <w:r w:rsidRPr="0052728E">
        <w:rPr>
          <w:lang w:eastAsia="en-GB"/>
        </w:rPr>
        <w:t xml:space="preserve">The government procurement procedure </w:t>
      </w:r>
      <w:r>
        <w:rPr>
          <w:lang w:eastAsia="en-GB"/>
        </w:rPr>
        <w:t>has undergone</w:t>
      </w:r>
      <w:r w:rsidRPr="0052728E">
        <w:rPr>
          <w:lang w:eastAsia="en-GB"/>
        </w:rPr>
        <w:t xml:space="preserve"> some significant changes during the review period, including the enactment of the Law on Public-Private Partnerships in 2020. The Transaction Portal of the Computerized Management System for Procurement and Contracts of the Dominican State came online in 2017</w:t>
      </w:r>
      <w:r>
        <w:rPr>
          <w:lang w:eastAsia="en-GB"/>
        </w:rPr>
        <w:t>,</w:t>
      </w:r>
      <w:r w:rsidRPr="0052728E">
        <w:rPr>
          <w:lang w:eastAsia="en-GB"/>
        </w:rPr>
        <w:t xml:space="preserve"> a technological tool to manage government procurement of goods, works, services. The Dominican Republic has six government procurement selection procedures (open tendering, restricted tendering, construction contract lottery, price comparison, </w:t>
      </w:r>
      <w:r w:rsidRPr="0052728E">
        <w:rPr>
          <w:lang w:eastAsia="en-GB"/>
        </w:rPr>
        <w:lastRenderedPageBreak/>
        <w:t xml:space="preserve">small scale purchasing and reverse auction). A series of thresholds is used to determine which procedure is appropriate. Dominican legislation encourages the purchase of products of national origin and reserves contracts exclusively to MSMEs and business run by women. </w:t>
      </w:r>
      <w:r w:rsidRPr="0052728E">
        <w:t>The Dominican Republic is not party to the WTO Agreement on Government Procurement nor does it have observer status.</w:t>
      </w:r>
    </w:p>
    <w:p w14:paraId="72BCC303" w14:textId="77777777" w:rsidR="00F53EDE" w:rsidRPr="0052728E" w:rsidRDefault="00F53EDE" w:rsidP="0052728E">
      <w:pPr>
        <w:pStyle w:val="SummaryText"/>
      </w:pPr>
      <w:r w:rsidRPr="0052728E">
        <w:t xml:space="preserve">The Competition Law, which was enacted in 2008, came into force in 2017 and its implementing regulations were issued in 2020. The Law applies to all sectors of the economy, except those that have regulatory bodies. Competition in those sectors is regulated by laws specific to those sectors. The National Competition Commission (Pro </w:t>
      </w:r>
      <w:proofErr w:type="spellStart"/>
      <w:r w:rsidRPr="0052728E">
        <w:t>Competencia</w:t>
      </w:r>
      <w:proofErr w:type="spellEnd"/>
      <w:r w:rsidRPr="0052728E">
        <w:t>) is responsible for enforcing the Law. In 2021, with a view to improving the implementation of the competition system, the Dominican</w:t>
      </w:r>
      <w:r>
        <w:t> </w:t>
      </w:r>
      <w:r w:rsidRPr="0052728E">
        <w:t>Republic issue</w:t>
      </w:r>
      <w:r>
        <w:t>d</w:t>
      </w:r>
      <w:r w:rsidRPr="0052728E">
        <w:t xml:space="preserve"> several regulations to adopt the penalties reduction regime, among other things. Control of economic concentrations is regulated by sectoral provisions. Sugar, fuel and natural gas prices and electricity tariffs are still controlled. The Dominican Republic's intellectual property regime has not changed substantially since 2015. The number of patents awarded to residents is relatively low, owing to the fact that the economy is geared towards activities that make little use of innovation. However, the Dominican Republic has adopted the Innovation Policy 2030 to promote investment in R&amp;D.</w:t>
      </w:r>
    </w:p>
    <w:p w14:paraId="4E922D12" w14:textId="77777777" w:rsidR="00F53EDE" w:rsidRPr="0052728E" w:rsidRDefault="00F53EDE" w:rsidP="0052728E">
      <w:pPr>
        <w:pStyle w:val="SummaryText"/>
      </w:pPr>
      <w:r w:rsidRPr="0052728E">
        <w:t>The agricultural sector contributed 5.7% to GDP in 2021. The average MFN tariff for agricultural products (WTO definition) increased slightly from 2014</w:t>
      </w:r>
      <w:r>
        <w:t>,</w:t>
      </w:r>
      <w:r w:rsidRPr="0052728E">
        <w:t xml:space="preserve"> from 14.2% to 14.5%</w:t>
      </w:r>
      <w:r>
        <w:t>.</w:t>
      </w:r>
      <w:r w:rsidRPr="0052728E">
        <w:t xml:space="preserve"> In the Dominican Republic, the highest tariffs, ranging from 40% to 99%, are used only for agricultural products such as rice, sugar, meat, dairy products and vegetables. On average, the highest tariffs were used for dairy products (25.9%) and sugar and confectionery (24.2%). Nevertheless, most of the aforementioned products are subject to tariff quotas and may therefore be afforded less protection. The Dominican Republic notified the WTO that it did not grant any export subsidies for agricultural products during the period 2015-21. However, the Dominican Republic also supports the agricultural sector through a series of programmes.</w:t>
      </w:r>
    </w:p>
    <w:p w14:paraId="58D7E36E" w14:textId="51FE3D65" w:rsidR="00F53EDE" w:rsidRPr="0052728E" w:rsidRDefault="00F53EDE" w:rsidP="0052728E">
      <w:pPr>
        <w:pStyle w:val="SummaryText"/>
      </w:pPr>
      <w:r w:rsidRPr="0052728E">
        <w:t>Businesses located in free zones continue to be of major importance for the Dominican</w:t>
      </w:r>
      <w:r>
        <w:t> </w:t>
      </w:r>
      <w:r w:rsidRPr="0052728E">
        <w:t xml:space="preserve">economy and manufacturing activity, given that 60% of manufacturing exports in 2021 were produced under the free zone regime. </w:t>
      </w:r>
      <w:r>
        <w:t>Since</w:t>
      </w:r>
      <w:r w:rsidRPr="0052728E">
        <w:t xml:space="preserve"> 2021, manufacturing and industry </w:t>
      </w:r>
      <w:r>
        <w:t>have</w:t>
      </w:r>
      <w:r w:rsidRPr="0052728E">
        <w:t xml:space="preserve"> also </w:t>
      </w:r>
      <w:r>
        <w:t xml:space="preserve">been </w:t>
      </w:r>
      <w:r w:rsidRPr="0052728E">
        <w:t>eligible for the incentives available for businesses in the border area. Average tariffs applied to non</w:t>
      </w:r>
      <w:r w:rsidRPr="0052728E">
        <w:noBreakHyphen/>
        <w:t>agricultural products have not changed significantly since 201</w:t>
      </w:r>
      <w:r w:rsidR="005D1C13">
        <w:t>4</w:t>
      </w:r>
      <w:r w:rsidRPr="0052728E">
        <w:t xml:space="preserve"> and have increased for only a few products, specifically fish and fish products (from 17.1% in 2014 to 17.4% in 202</w:t>
      </w:r>
      <w:r w:rsidR="005D1C13">
        <w:t>1</w:t>
      </w:r>
      <w:r w:rsidRPr="0052728E">
        <w:t xml:space="preserve">). </w:t>
      </w:r>
    </w:p>
    <w:p w14:paraId="6D3CCF45" w14:textId="77777777" w:rsidR="00F53EDE" w:rsidRPr="0052728E" w:rsidRDefault="00F53EDE" w:rsidP="0052728E">
      <w:pPr>
        <w:pStyle w:val="SummaryText"/>
      </w:pPr>
      <w:r w:rsidRPr="0052728E">
        <w:t xml:space="preserve">The mining sector has enjoyed vigorous growth during the period under review, particularly in connection with the exploitation of gold and silver deposits. Foreign investment has played a key role in the development of these activities, which have made the Dominican Republic one of the region's leading exporters of gold. The main mining centres are in </w:t>
      </w:r>
      <w:proofErr w:type="spellStart"/>
      <w:r w:rsidRPr="0052728E">
        <w:rPr>
          <w:i/>
          <w:iCs/>
        </w:rPr>
        <w:t>reservas</w:t>
      </w:r>
      <w:proofErr w:type="spellEnd"/>
      <w:r w:rsidRPr="0052728E">
        <w:rPr>
          <w:i/>
          <w:iCs/>
        </w:rPr>
        <w:t xml:space="preserve"> </w:t>
      </w:r>
      <w:proofErr w:type="spellStart"/>
      <w:r w:rsidRPr="0052728E">
        <w:rPr>
          <w:i/>
          <w:iCs/>
        </w:rPr>
        <w:t>fiscales</w:t>
      </w:r>
      <w:proofErr w:type="spellEnd"/>
      <w:r w:rsidRPr="0052728E">
        <w:t>, government</w:t>
      </w:r>
      <w:r w:rsidRPr="0052728E">
        <w:noBreakHyphen/>
        <w:t>reserved mining areas, and their exploitation is governed by special contracts in the framework of the Mining Law. Some non</w:t>
      </w:r>
      <w:r w:rsidRPr="0052728E">
        <w:noBreakHyphen/>
        <w:t xml:space="preserve">metallic mining activity is also carried out, albeit on a smaller scale, and, during the period 2015-22, efforts have been made to promote the value added and export of certain processed products. In 2019, the Dominican Republic award its first concession for the exploitation of hydrocarbons. </w:t>
      </w:r>
    </w:p>
    <w:p w14:paraId="50E881E0" w14:textId="77777777" w:rsidR="00F53EDE" w:rsidRPr="0052728E" w:rsidRDefault="00F53EDE" w:rsidP="0052728E">
      <w:pPr>
        <w:pStyle w:val="SummaryText"/>
      </w:pPr>
      <w:r w:rsidRPr="0052728E">
        <w:t xml:space="preserve">The Dominican Republic continues to rely heavily on imports of petroleum products, in particular for the generation of electricity. During the review period, the Dominican Republic has diversified its energy mix considerably, mainly towards natural gas. Considerable investment has been made in electricity generation and in the conversion of existing infrastructure. </w:t>
      </w:r>
      <w:r>
        <w:t>In addition, r</w:t>
      </w:r>
      <w:r w:rsidRPr="0052728E">
        <w:t xml:space="preserve">enewable energies have doubled their share in electricity generation. </w:t>
      </w:r>
      <w:bookmarkStart w:id="10" w:name="_Hlk115705548"/>
      <w:r w:rsidRPr="0052728E">
        <w:t>Nevertheless, challenges remain to efforts to improve the functioning of the electricity sector, such as the lack of investment in distribution and transmission to reduce losses, inadequate management of the state-owned enterprises which generally enjoy a dominant position, and setting electricity tariffs that cover production costs. However, some changes have started to be made to address these challenges as part of the implementation of the Electricity Pact 2021-30. Moreover, the Dominican Corporation of State</w:t>
      </w:r>
      <w:r>
        <w:noBreakHyphen/>
      </w:r>
      <w:r w:rsidRPr="0052728E">
        <w:t>Owned Electricity Companies is currently in the process of being restructured, a process that began in 2020.</w:t>
      </w:r>
    </w:p>
    <w:bookmarkEnd w:id="10"/>
    <w:p w14:paraId="02CB594D" w14:textId="77777777" w:rsidR="00F53EDE" w:rsidRPr="0052728E" w:rsidRDefault="00F53EDE" w:rsidP="0052728E">
      <w:pPr>
        <w:pStyle w:val="SummaryText"/>
      </w:pPr>
      <w:r w:rsidRPr="0052728E">
        <w:t xml:space="preserve">The Dominican Republic is a net importer of financial services, which accounted for 3.9% of GDP in 2021. To operate as a financial intermediary, prior authorization must be obtained from the Monetary Board, which may only refuse authorization on legal grounds. There are no restrictions on </w:t>
      </w:r>
      <w:r w:rsidRPr="0052728E">
        <w:lastRenderedPageBreak/>
        <w:t xml:space="preserve">foreign-owned companies. During the review period, the financial system performed well, despite the negative economic effects of the COVID-19 pandemic, thanks in no small part to the measures implemented from March 2020, and the channelling of resources towards the domestic productive sectors and households. The main regulatory measures include the freeing up of legal reserves, repurchase transactions and the quick liquidity facility window. These policies provided a monetary stimulus of more than 5% of GDP. In addition, the Central Bank actively participated in the foreign exchange market by injecting foreign currency liquidity into financial entities and adopted measures to prevent the potential deterioration of the loan portfolio. During the period under review, the </w:t>
      </w:r>
      <w:proofErr w:type="spellStart"/>
      <w:r w:rsidRPr="0052728E">
        <w:t>microprudential</w:t>
      </w:r>
      <w:proofErr w:type="spellEnd"/>
      <w:r w:rsidRPr="0052728E">
        <w:t xml:space="preserve"> indicators of the Dominican financial system remained at appropriate levels. The solvency ratio remained well above the internationally recommended level of 8%.</w:t>
      </w:r>
    </w:p>
    <w:p w14:paraId="4E2D9A2A" w14:textId="77777777" w:rsidR="00F53EDE" w:rsidRPr="0052728E" w:rsidRDefault="00F53EDE" w:rsidP="0052728E">
      <w:pPr>
        <w:pStyle w:val="SummaryText"/>
      </w:pPr>
      <w:r w:rsidRPr="0052728E">
        <w:t>Commensurate with global trends, the telecommunications sector in the Dominican Republic has seen accelerated growth in mobile telephony and Internet services. Today, almost all the population has access to 4G technology, and two thirds have access to mobile broadband. In 2021, the spectrum bands were assigned for the roll out of 5G technology. Telephone services are subject to a duopoly, which means competition among providers is limited, despite regulatory efforts (</w:t>
      </w:r>
      <w:r w:rsidRPr="0052728E">
        <w:rPr>
          <w:i/>
          <w:iCs/>
        </w:rPr>
        <w:t>inter</w:t>
      </w:r>
      <w:r>
        <w:rPr>
          <w:i/>
          <w:iCs/>
        </w:rPr>
        <w:t> </w:t>
      </w:r>
      <w:r w:rsidRPr="0052728E">
        <w:rPr>
          <w:i/>
          <w:iCs/>
        </w:rPr>
        <w:t>alia</w:t>
      </w:r>
      <w:r w:rsidRPr="0052728E">
        <w:t>, universal service, portability, dispute resolution and setting charges) to increase it.</w:t>
      </w:r>
    </w:p>
    <w:p w14:paraId="46802A22" w14:textId="77777777" w:rsidR="00F53EDE" w:rsidRPr="0052728E" w:rsidRDefault="00F53EDE" w:rsidP="0052728E">
      <w:pPr>
        <w:pStyle w:val="SummaryText"/>
      </w:pPr>
      <w:r w:rsidRPr="0052728E">
        <w:t>Air and maritime transport is of great importance to the Dominican Republic's trade. On the one hand, air transport facilitates tourism services for the more than 5 million tourists who visit the country annually. On the other hand, maritime transport is the means of transport for more than 90% of the Dominican Republic</w:t>
      </w:r>
      <w:r>
        <w:t>'s</w:t>
      </w:r>
      <w:r w:rsidRPr="0052728E">
        <w:t xml:space="preserve"> trade in goods, and facilitates the transit of goods to other countries in the region. In order to achieve a high level of trade competitiveness, the Dominican Republic pursues an open skies policy with regard to air transport and has signed more than 27 new air service agreements during the review period. Turning to maritime transport, the Dominican Republic continues to carry out infrastructure projects in an effort to attract new flows of cruise ship visitors and to position itself as a platform for maritime trade. </w:t>
      </w:r>
    </w:p>
    <w:p w14:paraId="3DDD21E9" w14:textId="77777777" w:rsidR="00F53EDE" w:rsidRPr="0052728E" w:rsidRDefault="00F53EDE" w:rsidP="0052728E">
      <w:pPr>
        <w:pStyle w:val="SummaryText"/>
      </w:pPr>
      <w:r w:rsidRPr="0052728E">
        <w:t xml:space="preserve">Tourism is still making a vital contribution to the Dominican economy and, in 2022, the sector saw a strong recovery from the negative impact of the COVID-19 pandemic. The objective of the sectoral policy is to diversify the tourism offering in a manner that will improve the sectors' links with the economy and local communities. The sector's system of incentives and the investment in maritime infrastructure for tourism purposes have helped to attract foreign investment and, by extension, to promote the sector's recent growth. </w:t>
      </w:r>
    </w:p>
    <w:p w14:paraId="676AAD07" w14:textId="77777777" w:rsidR="00F53EDE" w:rsidRPr="0052728E" w:rsidRDefault="00F53EDE" w:rsidP="0052728E"/>
    <w:p w14:paraId="027CC707" w14:textId="77777777" w:rsidR="00F53EDE" w:rsidRPr="00922C4B" w:rsidRDefault="00F53EDE" w:rsidP="00E3399B"/>
    <w:p w14:paraId="75FF60B0" w14:textId="77777777" w:rsidR="00C212B3" w:rsidRDefault="00C212B3" w:rsidP="00F53EDE"/>
    <w:p w14:paraId="612D2C48" w14:textId="77777777" w:rsidR="00C212B3" w:rsidRDefault="00C212B3" w:rsidP="00C212B3"/>
    <w:p w14:paraId="1D08B92C" w14:textId="77777777" w:rsidR="00C212B3" w:rsidRDefault="00C212B3" w:rsidP="00C212B3">
      <w:pPr>
        <w:sectPr w:rsidR="00C212B3" w:rsidSect="00C77929">
          <w:headerReference w:type="even" r:id="rId9"/>
          <w:headerReference w:type="default" r:id="rId10"/>
          <w:footerReference w:type="even" r:id="rId11"/>
          <w:footerReference w:type="default" r:id="rId12"/>
          <w:headerReference w:type="first" r:id="rId13"/>
          <w:pgSz w:w="11906" w:h="16838" w:code="9"/>
          <w:pgMar w:top="1701" w:right="1440" w:bottom="1440" w:left="1440" w:header="720" w:footer="720" w:gutter="0"/>
          <w:cols w:space="708"/>
          <w:titlePg/>
          <w:docGrid w:linePitch="360"/>
        </w:sectPr>
      </w:pPr>
    </w:p>
    <w:p w14:paraId="44EA9A3A" w14:textId="3C0A8893" w:rsidR="00CA7676" w:rsidRPr="00E14EE6" w:rsidRDefault="00E14EE6" w:rsidP="00EB7374">
      <w:pPr>
        <w:pStyle w:val="Heading1"/>
        <w:rPr>
          <w:caps w:val="0"/>
        </w:rPr>
      </w:pPr>
      <w:bookmarkStart w:id="26" w:name="_Toc117260589"/>
      <w:r w:rsidRPr="00E14EE6">
        <w:rPr>
          <w:caps w:val="0"/>
        </w:rPr>
        <w:lastRenderedPageBreak/>
        <w:t>ECONOMIC ENVIRONMENT</w:t>
      </w:r>
      <w:bookmarkEnd w:id="8"/>
      <w:bookmarkEnd w:id="26"/>
    </w:p>
    <w:p w14:paraId="772B7364" w14:textId="25D8EE2A" w:rsidR="00CA7676" w:rsidRPr="00E14EE6" w:rsidRDefault="005147A6" w:rsidP="00EB7374">
      <w:pPr>
        <w:pStyle w:val="Heading2"/>
      </w:pPr>
      <w:bookmarkStart w:id="27" w:name="_Toc97198419"/>
      <w:bookmarkStart w:id="28" w:name="_Toc117260590"/>
      <w:r w:rsidRPr="00E14EE6">
        <w:t xml:space="preserve">Main Features of the </w:t>
      </w:r>
      <w:r w:rsidRPr="00B23112">
        <w:t>E</w:t>
      </w:r>
      <w:r w:rsidRPr="00E14EE6">
        <w:t>conomy</w:t>
      </w:r>
      <w:bookmarkEnd w:id="27"/>
      <w:bookmarkEnd w:id="28"/>
    </w:p>
    <w:p w14:paraId="58F6B8BD" w14:textId="0E358F69" w:rsidR="00CA7676" w:rsidRPr="00E14EE6" w:rsidRDefault="00E14EE6" w:rsidP="00F461FE">
      <w:pPr>
        <w:pStyle w:val="BodyText"/>
      </w:pPr>
      <w:r w:rsidRPr="00E14EE6">
        <w:t>T</w:t>
      </w:r>
      <w:r w:rsidR="005147A6" w:rsidRPr="00E14EE6">
        <w:t>he Dominican Republic's economy experienced strong growth in the first part of the review period, prior to the pandemic</w:t>
      </w:r>
      <w:r w:rsidRPr="00E14EE6">
        <w:t>.</w:t>
      </w:r>
      <w:bookmarkStart w:id="29" w:name="_Hlk113362507"/>
      <w:r w:rsidRPr="00E14EE6">
        <w:t xml:space="preserve"> B</w:t>
      </w:r>
      <w:r w:rsidR="005147A6" w:rsidRPr="00E14EE6">
        <w:t>etween 2014 and 2019, the average annual GDP growth rate reached 6.2</w:t>
      </w:r>
      <w:r>
        <w:t>%</w:t>
      </w:r>
      <w:r w:rsidR="005147A6" w:rsidRPr="00E14EE6">
        <w:t xml:space="preserve">, </w:t>
      </w:r>
      <w:r w:rsidR="00BD2D05" w:rsidRPr="00E14EE6">
        <w:t>thus</w:t>
      </w:r>
      <w:r w:rsidR="005147A6" w:rsidRPr="00E14EE6">
        <w:t xml:space="preserve"> exceeding the historical average</w:t>
      </w:r>
      <w:r w:rsidRPr="00E14EE6">
        <w:t>. T</w:t>
      </w:r>
      <w:r w:rsidR="005147A6" w:rsidRPr="00E14EE6">
        <w:t>he authorities consider that the steady rate of expansion was attributable to effective coordination between monetary and fiscal policies, which strengthened macroeconomic fundamentals, and diversified the productive structure and implementation of structural reforms</w:t>
      </w:r>
      <w:r w:rsidRPr="00E14EE6">
        <w:t>. G</w:t>
      </w:r>
      <w:r w:rsidR="005147A6" w:rsidRPr="00E14EE6">
        <w:t xml:space="preserve">DP per capita rose from just over </w:t>
      </w:r>
      <w:r w:rsidRPr="00E14EE6">
        <w:t>USD 6</w:t>
      </w:r>
      <w:r w:rsidR="005147A6" w:rsidRPr="00E14EE6">
        <w:t xml:space="preserve">,800 in 2014 to just over </w:t>
      </w:r>
      <w:r w:rsidRPr="00E14EE6">
        <w:t>USD 8</w:t>
      </w:r>
      <w:r w:rsidR="005147A6" w:rsidRPr="00E14EE6">
        <w:t>,500 in 2019 (Table 1.1)</w:t>
      </w:r>
      <w:r w:rsidRPr="00E14EE6">
        <w:t>. I</w:t>
      </w:r>
      <w:r w:rsidR="005147A6" w:rsidRPr="00E14EE6">
        <w:t>n 2020, GDP shrank by 6.7</w:t>
      </w:r>
      <w:r>
        <w:t>%</w:t>
      </w:r>
      <w:r w:rsidR="005147A6" w:rsidRPr="00E14EE6">
        <w:t xml:space="preserve">, mainly </w:t>
      </w:r>
      <w:r w:rsidR="00EA604F" w:rsidRPr="00E14EE6">
        <w:t xml:space="preserve">due to </w:t>
      </w:r>
      <w:r w:rsidR="005147A6" w:rsidRPr="00E14EE6">
        <w:t>the COVID</w:t>
      </w:r>
      <w:r w:rsidRPr="00E14EE6">
        <w:noBreakHyphen/>
      </w:r>
      <w:r w:rsidR="005147A6" w:rsidRPr="00E14EE6">
        <w:t>19 pandemic</w:t>
      </w:r>
      <w:r w:rsidRPr="00E14EE6">
        <w:t>. T</w:t>
      </w:r>
      <w:r w:rsidR="005147A6" w:rsidRPr="00E14EE6">
        <w:t xml:space="preserve">he economy </w:t>
      </w:r>
      <w:r w:rsidR="00EA604F" w:rsidRPr="00E14EE6">
        <w:t>rebounded strongly</w:t>
      </w:r>
      <w:r w:rsidR="005147A6" w:rsidRPr="00E14EE6">
        <w:t xml:space="preserve"> in 2021, when it grew by 12.3</w:t>
      </w:r>
      <w:r>
        <w:t>%</w:t>
      </w:r>
      <w:r w:rsidR="005147A6" w:rsidRPr="00E14EE6">
        <w:t>, and the trend continued into the first months of 2022, with growth of 6.1</w:t>
      </w:r>
      <w:r>
        <w:t>%</w:t>
      </w:r>
      <w:r w:rsidR="005147A6" w:rsidRPr="00E14EE6">
        <w:t xml:space="preserve"> in the first quarter, </w:t>
      </w:r>
      <w:bookmarkEnd w:id="29"/>
      <w:r w:rsidR="00EA604F" w:rsidRPr="00E14EE6">
        <w:t>reflecting a convergence towards potential GDP performance.</w:t>
      </w:r>
    </w:p>
    <w:p w14:paraId="0C1A1CC8" w14:textId="126FC380" w:rsidR="00CA7676" w:rsidRPr="00E14EE6" w:rsidRDefault="00E14EE6" w:rsidP="00F461FE">
      <w:pPr>
        <w:pStyle w:val="BodyText"/>
      </w:pPr>
      <w:bookmarkStart w:id="30" w:name="_Hlk110587955"/>
      <w:r w:rsidRPr="00E14EE6">
        <w:t>T</w:t>
      </w:r>
      <w:r w:rsidR="005147A6" w:rsidRPr="00E14EE6">
        <w:t>he Dominican economy is primarily dominated by services, which accounted for 56.0</w:t>
      </w:r>
      <w:r>
        <w:t>%</w:t>
      </w:r>
      <w:r w:rsidR="005147A6" w:rsidRPr="00E14EE6">
        <w:t xml:space="preserve"> of GDP in 2021</w:t>
      </w:r>
      <w:bookmarkEnd w:id="30"/>
      <w:r w:rsidRPr="00E14EE6">
        <w:t>. W</w:t>
      </w:r>
      <w:r w:rsidR="00FA6706" w:rsidRPr="00E14EE6">
        <w:t>hile</w:t>
      </w:r>
      <w:r w:rsidR="005147A6" w:rsidRPr="00E14EE6">
        <w:t xml:space="preserve"> this percentage is lower than in 2015 (61.1</w:t>
      </w:r>
      <w:r>
        <w:t>%</w:t>
      </w:r>
      <w:r w:rsidR="005147A6" w:rsidRPr="00E14EE6">
        <w:t>), this is due to increased activity in the construction sector and the greater impact of the pandemic on services compared with other sectors of the economy</w:t>
      </w:r>
      <w:r w:rsidRPr="00E14EE6">
        <w:t>. T</w:t>
      </w:r>
      <w:r w:rsidR="005147A6" w:rsidRPr="00E14EE6">
        <w:t>he share of services in GDP remained above 60</w:t>
      </w:r>
      <w:r>
        <w:t>%</w:t>
      </w:r>
      <w:r w:rsidR="005147A6" w:rsidRPr="00E14EE6">
        <w:t xml:space="preserve"> in 2014</w:t>
      </w:r>
      <w:r w:rsidRPr="00E14EE6">
        <w:noBreakHyphen/>
      </w:r>
      <w:r w:rsidR="005147A6" w:rsidRPr="00E14EE6">
        <w:t>19, driven mainly by trading activities</w:t>
      </w:r>
      <w:r w:rsidRPr="00E14EE6">
        <w:t>; t</w:t>
      </w:r>
      <w:r w:rsidR="005147A6" w:rsidRPr="00E14EE6">
        <w:t>ransport and storage</w:t>
      </w:r>
      <w:r w:rsidRPr="00E14EE6">
        <w:t>; h</w:t>
      </w:r>
      <w:r w:rsidR="005147A6" w:rsidRPr="00E14EE6">
        <w:t>otels, bars and restaurants</w:t>
      </w:r>
      <w:r w:rsidRPr="00E14EE6">
        <w:t>; r</w:t>
      </w:r>
      <w:r w:rsidR="005147A6" w:rsidRPr="00E14EE6">
        <w:t>eal estate activities</w:t>
      </w:r>
      <w:r w:rsidRPr="00E14EE6">
        <w:t>; a</w:t>
      </w:r>
      <w:r w:rsidR="005147A6" w:rsidRPr="00E14EE6">
        <w:t>nd</w:t>
      </w:r>
      <w:r w:rsidR="00A025A7">
        <w:t xml:space="preserve"> </w:t>
      </w:r>
      <w:r w:rsidR="005147A6" w:rsidRPr="00E14EE6">
        <w:t>other services</w:t>
      </w:r>
      <w:r w:rsidRPr="00E14EE6">
        <w:t>. O</w:t>
      </w:r>
      <w:r w:rsidR="005147A6" w:rsidRPr="00E14EE6">
        <w:t xml:space="preserve">ver the same period, the share of industries averaged </w:t>
      </w:r>
      <w:r w:rsidR="00FA6706" w:rsidRPr="00E14EE6">
        <w:t xml:space="preserve">at </w:t>
      </w:r>
      <w:r w:rsidR="005147A6" w:rsidRPr="00E14EE6">
        <w:t>just over 26</w:t>
      </w:r>
      <w:r>
        <w:t>%</w:t>
      </w:r>
      <w:r w:rsidR="005147A6" w:rsidRPr="00E14EE6">
        <w:t xml:space="preserve"> of GDP, particularly construction and manufacturing, both in free zones and </w:t>
      </w:r>
      <w:r w:rsidR="00130A64" w:rsidRPr="00E14EE6">
        <w:t>at the local level</w:t>
      </w:r>
      <w:r w:rsidRPr="00E14EE6">
        <w:t>. T</w:t>
      </w:r>
      <w:r w:rsidR="005147A6" w:rsidRPr="00E14EE6">
        <w:t xml:space="preserve">he GDP share of agriculture remained </w:t>
      </w:r>
      <w:r w:rsidR="00FA6706" w:rsidRPr="00E14EE6">
        <w:t xml:space="preserve">at </w:t>
      </w:r>
      <w:r w:rsidR="005147A6" w:rsidRPr="00E14EE6">
        <w:t>just over 5</w:t>
      </w:r>
      <w:r>
        <w:t>%</w:t>
      </w:r>
      <w:r w:rsidRPr="00E14EE6">
        <w:t>. T</w:t>
      </w:r>
      <w:r w:rsidR="005147A6" w:rsidRPr="00E14EE6">
        <w:t xml:space="preserve">he authorities noted that economic growth during the period was </w:t>
      </w:r>
      <w:r w:rsidR="00FA6706" w:rsidRPr="00E14EE6">
        <w:t>strengthened</w:t>
      </w:r>
      <w:r w:rsidR="005147A6" w:rsidRPr="00E14EE6">
        <w:t xml:space="preserve"> by a </w:t>
      </w:r>
      <w:r w:rsidR="00FA6706" w:rsidRPr="00E14EE6">
        <w:t>steady</w:t>
      </w:r>
      <w:r w:rsidR="005147A6" w:rsidRPr="00E14EE6">
        <w:t xml:space="preserve"> increase in private lending, which </w:t>
      </w:r>
      <w:r w:rsidR="00FA6706" w:rsidRPr="00E14EE6">
        <w:t>rose</w:t>
      </w:r>
      <w:r w:rsidR="005147A6" w:rsidRPr="00E14EE6">
        <w:t xml:space="preserve"> year</w:t>
      </w:r>
      <w:r w:rsidRPr="00E14EE6">
        <w:noBreakHyphen/>
      </w:r>
      <w:r w:rsidR="005147A6" w:rsidRPr="00E14EE6">
        <w:t>on</w:t>
      </w:r>
      <w:r w:rsidRPr="00E14EE6">
        <w:noBreakHyphen/>
      </w:r>
      <w:r w:rsidR="005147A6" w:rsidRPr="00E14EE6">
        <w:t>year by more than nominal GDP growth</w:t>
      </w:r>
      <w:r w:rsidRPr="00E14EE6">
        <w:t>. T</w:t>
      </w:r>
      <w:r w:rsidR="00FA6706" w:rsidRPr="00E14EE6">
        <w:t>he performance of d</w:t>
      </w:r>
      <w:r w:rsidR="005147A6" w:rsidRPr="00E14EE6">
        <w:t>omestic and free</w:t>
      </w:r>
      <w:r w:rsidRPr="00E14EE6">
        <w:noBreakHyphen/>
      </w:r>
      <w:r w:rsidR="005147A6" w:rsidRPr="00E14EE6">
        <w:t>zone export</w:t>
      </w:r>
      <w:r w:rsidR="00FA6706" w:rsidRPr="00E14EE6">
        <w:t>s</w:t>
      </w:r>
      <w:r w:rsidR="005147A6" w:rsidRPr="00E14EE6">
        <w:t>, income from tourism, remittances and foreign direct investment</w:t>
      </w:r>
      <w:r w:rsidR="00FA6706" w:rsidRPr="00E14EE6">
        <w:t xml:space="preserve"> (</w:t>
      </w:r>
      <w:proofErr w:type="spellStart"/>
      <w:r w:rsidR="00FA6706" w:rsidRPr="00E14EE6">
        <w:t>FDI</w:t>
      </w:r>
      <w:proofErr w:type="spellEnd"/>
      <w:r w:rsidR="00FA6706" w:rsidRPr="00E14EE6">
        <w:t>)</w:t>
      </w:r>
      <w:r w:rsidR="005147A6" w:rsidRPr="00E14EE6">
        <w:t xml:space="preserve"> also significantly contributed to boosting</w:t>
      </w:r>
      <w:r w:rsidR="00A025A7">
        <w:t xml:space="preserve"> </w:t>
      </w:r>
      <w:r w:rsidR="005147A6" w:rsidRPr="00E14EE6">
        <w:t>growth.</w:t>
      </w:r>
    </w:p>
    <w:p w14:paraId="60CECA45" w14:textId="49F41A57" w:rsidR="00CA7676" w:rsidRPr="00E14EE6" w:rsidRDefault="000A1B1A" w:rsidP="000A1B1A">
      <w:pPr>
        <w:pStyle w:val="Caption"/>
      </w:pPr>
      <w:bookmarkStart w:id="31" w:name="_Toc117238023"/>
      <w:r>
        <w:t xml:space="preserve">Table </w:t>
      </w:r>
      <w:r w:rsidR="00BD37F2">
        <w:fldChar w:fldCharType="begin"/>
      </w:r>
      <w:r w:rsidR="00BD37F2">
        <w:instrText xml:space="preserve"> STYL</w:instrText>
      </w:r>
      <w:r w:rsidR="00BD37F2">
        <w:instrText xml:space="preserve">EREF 1 \s </w:instrText>
      </w:r>
      <w:r w:rsidR="00BD37F2">
        <w:fldChar w:fldCharType="separate"/>
      </w:r>
      <w:r w:rsidR="00323DC1">
        <w:rPr>
          <w:noProof/>
        </w:rPr>
        <w:t>1</w:t>
      </w:r>
      <w:r w:rsidR="00BD37F2">
        <w:rPr>
          <w:noProof/>
        </w:rPr>
        <w:fldChar w:fldCharType="end"/>
      </w:r>
      <w:r w:rsidR="00323DC1">
        <w:t>.</w:t>
      </w:r>
      <w:r w:rsidR="00BD37F2">
        <w:fldChar w:fldCharType="begin"/>
      </w:r>
      <w:r w:rsidR="00BD37F2">
        <w:instrText xml:space="preserve"> SEQ Table \* ARABIC \s 1 </w:instrText>
      </w:r>
      <w:r w:rsidR="00BD37F2">
        <w:fldChar w:fldCharType="separate"/>
      </w:r>
      <w:r w:rsidR="00323DC1">
        <w:rPr>
          <w:noProof/>
        </w:rPr>
        <w:t>1</w:t>
      </w:r>
      <w:r w:rsidR="00BD37F2">
        <w:rPr>
          <w:noProof/>
        </w:rPr>
        <w:fldChar w:fldCharType="end"/>
      </w:r>
      <w:r>
        <w:t xml:space="preserve"> </w:t>
      </w:r>
      <w:r w:rsidR="00CA7676" w:rsidRPr="00E14EE6">
        <w:t>Main economic indicators, 2014</w:t>
      </w:r>
      <w:r w:rsidR="00E14EE6" w:rsidRPr="00E14EE6">
        <w:noBreakHyphen/>
      </w:r>
      <w:r w:rsidR="00CA7676" w:rsidRPr="00E14EE6">
        <w:t>first quarter 2022</w:t>
      </w:r>
      <w:bookmarkEnd w:id="31"/>
    </w:p>
    <w:tbl>
      <w:tblPr>
        <w:tblStyle w:val="WTOTable1"/>
        <w:tblW w:w="5000" w:type="pct"/>
        <w:tblLayout w:type="fixed"/>
        <w:tblLook w:val="04A0" w:firstRow="1" w:lastRow="0" w:firstColumn="1" w:lastColumn="0" w:noHBand="0" w:noVBand="1"/>
      </w:tblPr>
      <w:tblGrid>
        <w:gridCol w:w="2545"/>
        <w:gridCol w:w="720"/>
        <w:gridCol w:w="720"/>
        <w:gridCol w:w="720"/>
        <w:gridCol w:w="719"/>
        <w:gridCol w:w="719"/>
        <w:gridCol w:w="719"/>
        <w:gridCol w:w="719"/>
        <w:gridCol w:w="719"/>
        <w:gridCol w:w="716"/>
      </w:tblGrid>
      <w:tr w:rsidR="00CA7676" w:rsidRPr="00E14EE6" w14:paraId="21715271" w14:textId="77777777" w:rsidTr="00FD6B66">
        <w:trPr>
          <w:cnfStyle w:val="100000000000" w:firstRow="1" w:lastRow="0" w:firstColumn="0" w:lastColumn="0" w:oddVBand="0" w:evenVBand="0" w:oddHBand="0" w:evenHBand="0" w:firstRowFirstColumn="0" w:firstRowLastColumn="0" w:lastRowFirstColumn="0" w:lastRowLastColumn="0"/>
          <w:trHeight w:val="20"/>
          <w:tblHeader/>
        </w:trPr>
        <w:tc>
          <w:tcPr>
            <w:tcW w:w="1411" w:type="pct"/>
            <w:noWrap/>
            <w:vAlign w:val="center"/>
            <w:hideMark/>
          </w:tcPr>
          <w:p w14:paraId="783299F2" w14:textId="63D45DAE" w:rsidR="00CA7676" w:rsidRPr="00E14EE6" w:rsidRDefault="00CA7676" w:rsidP="00E14EE6">
            <w:pPr>
              <w:rPr>
                <w:sz w:val="14"/>
                <w:szCs w:val="14"/>
              </w:rPr>
            </w:pPr>
          </w:p>
        </w:tc>
        <w:tc>
          <w:tcPr>
            <w:tcW w:w="399" w:type="pct"/>
            <w:noWrap/>
            <w:vAlign w:val="center"/>
            <w:hideMark/>
          </w:tcPr>
          <w:p w14:paraId="4848D3CC" w14:textId="77777777" w:rsidR="00CA7676" w:rsidRPr="00E14EE6" w:rsidRDefault="00CA7676" w:rsidP="00E14EE6">
            <w:pPr>
              <w:jc w:val="right"/>
              <w:rPr>
                <w:sz w:val="14"/>
                <w:szCs w:val="14"/>
              </w:rPr>
            </w:pPr>
            <w:r w:rsidRPr="00E14EE6">
              <w:rPr>
                <w:sz w:val="14"/>
              </w:rPr>
              <w:t>2014</w:t>
            </w:r>
          </w:p>
        </w:tc>
        <w:tc>
          <w:tcPr>
            <w:tcW w:w="399" w:type="pct"/>
            <w:noWrap/>
            <w:vAlign w:val="center"/>
            <w:hideMark/>
          </w:tcPr>
          <w:p w14:paraId="2CF20EC1" w14:textId="77777777" w:rsidR="00CA7676" w:rsidRPr="00E14EE6" w:rsidRDefault="00CA7676" w:rsidP="00E14EE6">
            <w:pPr>
              <w:jc w:val="right"/>
              <w:rPr>
                <w:sz w:val="14"/>
                <w:szCs w:val="14"/>
              </w:rPr>
            </w:pPr>
            <w:r w:rsidRPr="00E14EE6">
              <w:rPr>
                <w:sz w:val="14"/>
              </w:rPr>
              <w:t>2015</w:t>
            </w:r>
          </w:p>
        </w:tc>
        <w:tc>
          <w:tcPr>
            <w:tcW w:w="399" w:type="pct"/>
            <w:noWrap/>
            <w:vAlign w:val="center"/>
            <w:hideMark/>
          </w:tcPr>
          <w:p w14:paraId="5D2CCD31" w14:textId="77777777" w:rsidR="00CA7676" w:rsidRPr="00E14EE6" w:rsidRDefault="00CA7676" w:rsidP="00E14EE6">
            <w:pPr>
              <w:jc w:val="right"/>
              <w:rPr>
                <w:sz w:val="14"/>
                <w:szCs w:val="14"/>
              </w:rPr>
            </w:pPr>
            <w:r w:rsidRPr="00E14EE6">
              <w:rPr>
                <w:sz w:val="14"/>
              </w:rPr>
              <w:t>2016</w:t>
            </w:r>
          </w:p>
        </w:tc>
        <w:tc>
          <w:tcPr>
            <w:tcW w:w="399" w:type="pct"/>
            <w:noWrap/>
            <w:vAlign w:val="center"/>
            <w:hideMark/>
          </w:tcPr>
          <w:p w14:paraId="1AC8AACB" w14:textId="77777777" w:rsidR="00CA7676" w:rsidRPr="00E14EE6" w:rsidRDefault="00CA7676" w:rsidP="00E14EE6">
            <w:pPr>
              <w:jc w:val="right"/>
              <w:rPr>
                <w:sz w:val="14"/>
                <w:szCs w:val="14"/>
              </w:rPr>
            </w:pPr>
            <w:r w:rsidRPr="00E14EE6">
              <w:rPr>
                <w:sz w:val="14"/>
              </w:rPr>
              <w:t>2017</w:t>
            </w:r>
            <w:r w:rsidRPr="00E14EE6">
              <w:rPr>
                <w:sz w:val="14"/>
                <w:vertAlign w:val="superscript"/>
              </w:rPr>
              <w:t>a</w:t>
            </w:r>
          </w:p>
        </w:tc>
        <w:tc>
          <w:tcPr>
            <w:tcW w:w="399" w:type="pct"/>
            <w:noWrap/>
            <w:vAlign w:val="center"/>
            <w:hideMark/>
          </w:tcPr>
          <w:p w14:paraId="1F4CE6FE" w14:textId="77777777" w:rsidR="00CA7676" w:rsidRPr="00E14EE6" w:rsidRDefault="00CA7676" w:rsidP="00E14EE6">
            <w:pPr>
              <w:jc w:val="right"/>
              <w:rPr>
                <w:sz w:val="14"/>
                <w:szCs w:val="14"/>
              </w:rPr>
            </w:pPr>
            <w:r w:rsidRPr="00E14EE6">
              <w:rPr>
                <w:sz w:val="14"/>
              </w:rPr>
              <w:t>2018</w:t>
            </w:r>
            <w:r w:rsidRPr="00E14EE6">
              <w:rPr>
                <w:sz w:val="14"/>
                <w:vertAlign w:val="superscript"/>
              </w:rPr>
              <w:t>a</w:t>
            </w:r>
          </w:p>
        </w:tc>
        <w:tc>
          <w:tcPr>
            <w:tcW w:w="399" w:type="pct"/>
            <w:noWrap/>
            <w:vAlign w:val="center"/>
            <w:hideMark/>
          </w:tcPr>
          <w:p w14:paraId="64466F6B" w14:textId="77777777" w:rsidR="00CA7676" w:rsidRPr="00E14EE6" w:rsidRDefault="00CA7676" w:rsidP="00E14EE6">
            <w:pPr>
              <w:jc w:val="right"/>
              <w:rPr>
                <w:sz w:val="14"/>
                <w:szCs w:val="14"/>
              </w:rPr>
            </w:pPr>
            <w:r w:rsidRPr="00E14EE6">
              <w:rPr>
                <w:sz w:val="14"/>
              </w:rPr>
              <w:t>2019</w:t>
            </w:r>
            <w:r w:rsidRPr="00E14EE6">
              <w:rPr>
                <w:sz w:val="14"/>
                <w:vertAlign w:val="superscript"/>
              </w:rPr>
              <w:t>a</w:t>
            </w:r>
          </w:p>
        </w:tc>
        <w:tc>
          <w:tcPr>
            <w:tcW w:w="399" w:type="pct"/>
            <w:noWrap/>
            <w:vAlign w:val="center"/>
            <w:hideMark/>
          </w:tcPr>
          <w:p w14:paraId="7D2D5135" w14:textId="77777777" w:rsidR="00CA7676" w:rsidRPr="00E14EE6" w:rsidRDefault="00CA7676" w:rsidP="00E14EE6">
            <w:pPr>
              <w:jc w:val="right"/>
              <w:rPr>
                <w:sz w:val="14"/>
                <w:szCs w:val="14"/>
              </w:rPr>
            </w:pPr>
            <w:r w:rsidRPr="00E14EE6">
              <w:rPr>
                <w:sz w:val="14"/>
              </w:rPr>
              <w:t>2020</w:t>
            </w:r>
            <w:r w:rsidRPr="00E14EE6">
              <w:rPr>
                <w:sz w:val="14"/>
                <w:vertAlign w:val="superscript"/>
              </w:rPr>
              <w:t>a</w:t>
            </w:r>
          </w:p>
        </w:tc>
        <w:tc>
          <w:tcPr>
            <w:tcW w:w="399" w:type="pct"/>
            <w:noWrap/>
            <w:vAlign w:val="center"/>
            <w:hideMark/>
          </w:tcPr>
          <w:p w14:paraId="4E914953" w14:textId="77777777" w:rsidR="00CA7676" w:rsidRPr="00E14EE6" w:rsidRDefault="00CA7676" w:rsidP="00E14EE6">
            <w:pPr>
              <w:jc w:val="right"/>
              <w:rPr>
                <w:sz w:val="14"/>
                <w:szCs w:val="14"/>
              </w:rPr>
            </w:pPr>
            <w:r w:rsidRPr="00E14EE6">
              <w:rPr>
                <w:sz w:val="14"/>
              </w:rPr>
              <w:t>2021</w:t>
            </w:r>
            <w:r w:rsidRPr="00E14EE6">
              <w:rPr>
                <w:sz w:val="14"/>
                <w:vertAlign w:val="superscript"/>
              </w:rPr>
              <w:t>a</w:t>
            </w:r>
          </w:p>
        </w:tc>
        <w:tc>
          <w:tcPr>
            <w:tcW w:w="399" w:type="pct"/>
            <w:vAlign w:val="center"/>
          </w:tcPr>
          <w:p w14:paraId="36B6E4B9" w14:textId="765C4E7C" w:rsidR="00CA7676" w:rsidRPr="00E14EE6" w:rsidRDefault="00CA7676" w:rsidP="00E14EE6">
            <w:pPr>
              <w:jc w:val="right"/>
              <w:rPr>
                <w:sz w:val="14"/>
                <w:szCs w:val="14"/>
              </w:rPr>
            </w:pPr>
            <w:r w:rsidRPr="00E14EE6">
              <w:rPr>
                <w:sz w:val="14"/>
              </w:rPr>
              <w:t xml:space="preserve">2022 </w:t>
            </w:r>
            <w:r w:rsidR="00130A64" w:rsidRPr="00E14EE6">
              <w:rPr>
                <w:sz w:val="14"/>
              </w:rPr>
              <w:t>Q</w:t>
            </w:r>
            <w:r w:rsidRPr="00E14EE6">
              <w:rPr>
                <w:sz w:val="14"/>
              </w:rPr>
              <w:t>1</w:t>
            </w:r>
            <w:r w:rsidRPr="00E14EE6">
              <w:rPr>
                <w:sz w:val="14"/>
                <w:vertAlign w:val="superscript"/>
              </w:rPr>
              <w:t>a</w:t>
            </w:r>
          </w:p>
        </w:tc>
      </w:tr>
      <w:tr w:rsidR="00CA7676" w:rsidRPr="00E14EE6" w14:paraId="27194621" w14:textId="77777777" w:rsidTr="00FD6B66">
        <w:trPr>
          <w:trHeight w:val="20"/>
        </w:trPr>
        <w:tc>
          <w:tcPr>
            <w:tcW w:w="1411" w:type="pct"/>
            <w:noWrap/>
            <w:hideMark/>
          </w:tcPr>
          <w:p w14:paraId="13748C99" w14:textId="77777777" w:rsidR="00CA7676" w:rsidRPr="00E14EE6" w:rsidRDefault="00CA7676" w:rsidP="00E14EE6">
            <w:pPr>
              <w:jc w:val="left"/>
              <w:rPr>
                <w:sz w:val="14"/>
                <w:szCs w:val="14"/>
              </w:rPr>
            </w:pPr>
            <w:r w:rsidRPr="00E14EE6">
              <w:rPr>
                <w:sz w:val="14"/>
              </w:rPr>
              <w:t>Gross domestic product (GDP)</w:t>
            </w:r>
          </w:p>
        </w:tc>
        <w:tc>
          <w:tcPr>
            <w:tcW w:w="399" w:type="pct"/>
            <w:noWrap/>
            <w:hideMark/>
          </w:tcPr>
          <w:p w14:paraId="7942915C" w14:textId="77777777" w:rsidR="00CA7676" w:rsidRPr="00E14EE6" w:rsidRDefault="00CA7676" w:rsidP="00E14EE6">
            <w:pPr>
              <w:jc w:val="right"/>
              <w:rPr>
                <w:sz w:val="14"/>
                <w:szCs w:val="14"/>
              </w:rPr>
            </w:pPr>
          </w:p>
        </w:tc>
        <w:tc>
          <w:tcPr>
            <w:tcW w:w="399" w:type="pct"/>
            <w:noWrap/>
            <w:hideMark/>
          </w:tcPr>
          <w:p w14:paraId="09CF7714" w14:textId="77777777" w:rsidR="00CA7676" w:rsidRPr="00E14EE6" w:rsidRDefault="00CA7676" w:rsidP="00E14EE6">
            <w:pPr>
              <w:jc w:val="right"/>
              <w:rPr>
                <w:sz w:val="14"/>
                <w:szCs w:val="14"/>
              </w:rPr>
            </w:pPr>
          </w:p>
        </w:tc>
        <w:tc>
          <w:tcPr>
            <w:tcW w:w="399" w:type="pct"/>
            <w:noWrap/>
            <w:hideMark/>
          </w:tcPr>
          <w:p w14:paraId="7717E918" w14:textId="77777777" w:rsidR="00CA7676" w:rsidRPr="00E14EE6" w:rsidRDefault="00CA7676" w:rsidP="00E14EE6">
            <w:pPr>
              <w:jc w:val="right"/>
              <w:rPr>
                <w:sz w:val="14"/>
                <w:szCs w:val="14"/>
              </w:rPr>
            </w:pPr>
          </w:p>
        </w:tc>
        <w:tc>
          <w:tcPr>
            <w:tcW w:w="399" w:type="pct"/>
            <w:noWrap/>
            <w:hideMark/>
          </w:tcPr>
          <w:p w14:paraId="6B562BB6" w14:textId="77777777" w:rsidR="00CA7676" w:rsidRPr="00E14EE6" w:rsidRDefault="00CA7676" w:rsidP="00E14EE6">
            <w:pPr>
              <w:jc w:val="right"/>
              <w:rPr>
                <w:sz w:val="14"/>
                <w:szCs w:val="14"/>
              </w:rPr>
            </w:pPr>
          </w:p>
        </w:tc>
        <w:tc>
          <w:tcPr>
            <w:tcW w:w="399" w:type="pct"/>
            <w:noWrap/>
            <w:hideMark/>
          </w:tcPr>
          <w:p w14:paraId="63D7D7D5" w14:textId="77777777" w:rsidR="00CA7676" w:rsidRPr="00E14EE6" w:rsidRDefault="00CA7676" w:rsidP="00E14EE6">
            <w:pPr>
              <w:jc w:val="right"/>
              <w:rPr>
                <w:sz w:val="14"/>
                <w:szCs w:val="14"/>
              </w:rPr>
            </w:pPr>
          </w:p>
        </w:tc>
        <w:tc>
          <w:tcPr>
            <w:tcW w:w="399" w:type="pct"/>
            <w:noWrap/>
            <w:hideMark/>
          </w:tcPr>
          <w:p w14:paraId="6A7FE3D0" w14:textId="77777777" w:rsidR="00CA7676" w:rsidRPr="00E14EE6" w:rsidRDefault="00CA7676" w:rsidP="00E14EE6">
            <w:pPr>
              <w:jc w:val="right"/>
              <w:rPr>
                <w:sz w:val="14"/>
                <w:szCs w:val="14"/>
              </w:rPr>
            </w:pPr>
          </w:p>
        </w:tc>
        <w:tc>
          <w:tcPr>
            <w:tcW w:w="399" w:type="pct"/>
            <w:noWrap/>
            <w:hideMark/>
          </w:tcPr>
          <w:p w14:paraId="47538FCF" w14:textId="77777777" w:rsidR="00CA7676" w:rsidRPr="00E14EE6" w:rsidRDefault="00CA7676" w:rsidP="00E14EE6">
            <w:pPr>
              <w:jc w:val="right"/>
              <w:rPr>
                <w:sz w:val="14"/>
                <w:szCs w:val="14"/>
              </w:rPr>
            </w:pPr>
          </w:p>
        </w:tc>
        <w:tc>
          <w:tcPr>
            <w:tcW w:w="399" w:type="pct"/>
            <w:noWrap/>
            <w:hideMark/>
          </w:tcPr>
          <w:p w14:paraId="6BC0CB98" w14:textId="77777777" w:rsidR="00CA7676" w:rsidRPr="00E14EE6" w:rsidRDefault="00CA7676" w:rsidP="00E14EE6">
            <w:pPr>
              <w:jc w:val="right"/>
              <w:rPr>
                <w:sz w:val="14"/>
                <w:szCs w:val="14"/>
              </w:rPr>
            </w:pPr>
          </w:p>
        </w:tc>
        <w:tc>
          <w:tcPr>
            <w:tcW w:w="399" w:type="pct"/>
          </w:tcPr>
          <w:p w14:paraId="5E4F666D" w14:textId="77777777" w:rsidR="00CA7676" w:rsidRPr="00E14EE6" w:rsidRDefault="00CA7676" w:rsidP="00E14EE6">
            <w:pPr>
              <w:jc w:val="right"/>
              <w:rPr>
                <w:sz w:val="14"/>
                <w:szCs w:val="14"/>
              </w:rPr>
            </w:pPr>
          </w:p>
        </w:tc>
      </w:tr>
      <w:tr w:rsidR="00CA7676" w:rsidRPr="00E14EE6" w14:paraId="5E1EDD57" w14:textId="77777777" w:rsidTr="00FD6B66">
        <w:trPr>
          <w:cnfStyle w:val="000000010000" w:firstRow="0" w:lastRow="0" w:firstColumn="0" w:lastColumn="0" w:oddVBand="0" w:evenVBand="0" w:oddHBand="0" w:evenHBand="1" w:firstRowFirstColumn="0" w:firstRowLastColumn="0" w:lastRowFirstColumn="0" w:lastRowLastColumn="0"/>
          <w:trHeight w:val="20"/>
        </w:trPr>
        <w:tc>
          <w:tcPr>
            <w:tcW w:w="1411" w:type="pct"/>
            <w:noWrap/>
            <w:hideMark/>
          </w:tcPr>
          <w:p w14:paraId="0FA4345C" w14:textId="4469FABF" w:rsidR="00CA7676" w:rsidRPr="00E14EE6" w:rsidRDefault="00CA7676" w:rsidP="00E14EE6">
            <w:pPr>
              <w:jc w:val="left"/>
              <w:rPr>
                <w:sz w:val="14"/>
                <w:szCs w:val="14"/>
              </w:rPr>
            </w:pPr>
            <w:r w:rsidRPr="00E14EE6">
              <w:rPr>
                <w:sz w:val="14"/>
              </w:rPr>
              <w:t>GDP at current prices (DOP</w:t>
            </w:r>
            <w:r w:rsidR="00E14EE6" w:rsidRPr="00E14EE6">
              <w:rPr>
                <w:sz w:val="14"/>
              </w:rPr>
              <w:t> billion</w:t>
            </w:r>
            <w:r w:rsidRPr="00E14EE6">
              <w:rPr>
                <w:sz w:val="14"/>
              </w:rPr>
              <w:t>)</w:t>
            </w:r>
          </w:p>
        </w:tc>
        <w:tc>
          <w:tcPr>
            <w:tcW w:w="399" w:type="pct"/>
            <w:noWrap/>
            <w:hideMark/>
          </w:tcPr>
          <w:p w14:paraId="29797521" w14:textId="77777777" w:rsidR="00CA7676" w:rsidRPr="00E14EE6" w:rsidRDefault="00CA7676" w:rsidP="00E14EE6">
            <w:pPr>
              <w:jc w:val="right"/>
              <w:rPr>
                <w:sz w:val="14"/>
                <w:szCs w:val="14"/>
              </w:rPr>
            </w:pPr>
            <w:r w:rsidRPr="00E14EE6">
              <w:rPr>
                <w:sz w:val="14"/>
              </w:rPr>
              <w:t>2,926</w:t>
            </w:r>
          </w:p>
        </w:tc>
        <w:tc>
          <w:tcPr>
            <w:tcW w:w="399" w:type="pct"/>
            <w:noWrap/>
            <w:hideMark/>
          </w:tcPr>
          <w:p w14:paraId="338F464F" w14:textId="77777777" w:rsidR="00CA7676" w:rsidRPr="00E14EE6" w:rsidRDefault="00CA7676" w:rsidP="00E14EE6">
            <w:pPr>
              <w:jc w:val="right"/>
              <w:rPr>
                <w:sz w:val="14"/>
                <w:szCs w:val="14"/>
              </w:rPr>
            </w:pPr>
            <w:r w:rsidRPr="00E14EE6">
              <w:rPr>
                <w:sz w:val="14"/>
              </w:rPr>
              <w:t>3,206</w:t>
            </w:r>
          </w:p>
        </w:tc>
        <w:tc>
          <w:tcPr>
            <w:tcW w:w="399" w:type="pct"/>
            <w:noWrap/>
            <w:hideMark/>
          </w:tcPr>
          <w:p w14:paraId="1A891DF1" w14:textId="77777777" w:rsidR="00CA7676" w:rsidRPr="00E14EE6" w:rsidRDefault="00CA7676" w:rsidP="00E14EE6">
            <w:pPr>
              <w:jc w:val="right"/>
              <w:rPr>
                <w:sz w:val="14"/>
                <w:szCs w:val="14"/>
              </w:rPr>
            </w:pPr>
            <w:r w:rsidRPr="00E14EE6">
              <w:rPr>
                <w:sz w:val="14"/>
              </w:rPr>
              <w:t>3,487</w:t>
            </w:r>
          </w:p>
        </w:tc>
        <w:tc>
          <w:tcPr>
            <w:tcW w:w="399" w:type="pct"/>
            <w:noWrap/>
            <w:hideMark/>
          </w:tcPr>
          <w:p w14:paraId="194E66D8" w14:textId="77777777" w:rsidR="00CA7676" w:rsidRPr="00E14EE6" w:rsidRDefault="00CA7676" w:rsidP="00E14EE6">
            <w:pPr>
              <w:jc w:val="right"/>
              <w:rPr>
                <w:sz w:val="14"/>
                <w:szCs w:val="14"/>
              </w:rPr>
            </w:pPr>
            <w:r w:rsidRPr="00E14EE6">
              <w:rPr>
                <w:sz w:val="14"/>
              </w:rPr>
              <w:t>3,803</w:t>
            </w:r>
          </w:p>
        </w:tc>
        <w:tc>
          <w:tcPr>
            <w:tcW w:w="399" w:type="pct"/>
            <w:noWrap/>
            <w:hideMark/>
          </w:tcPr>
          <w:p w14:paraId="6FCC1A19" w14:textId="77777777" w:rsidR="00CA7676" w:rsidRPr="00E14EE6" w:rsidRDefault="00CA7676" w:rsidP="00E14EE6">
            <w:pPr>
              <w:jc w:val="right"/>
              <w:rPr>
                <w:sz w:val="14"/>
                <w:szCs w:val="14"/>
              </w:rPr>
            </w:pPr>
            <w:r w:rsidRPr="00E14EE6">
              <w:rPr>
                <w:sz w:val="14"/>
              </w:rPr>
              <w:t>4,236</w:t>
            </w:r>
          </w:p>
        </w:tc>
        <w:tc>
          <w:tcPr>
            <w:tcW w:w="399" w:type="pct"/>
            <w:noWrap/>
            <w:hideMark/>
          </w:tcPr>
          <w:p w14:paraId="041222AD" w14:textId="77777777" w:rsidR="00CA7676" w:rsidRPr="00E14EE6" w:rsidRDefault="00CA7676" w:rsidP="00E14EE6">
            <w:pPr>
              <w:jc w:val="right"/>
              <w:rPr>
                <w:sz w:val="14"/>
                <w:szCs w:val="14"/>
              </w:rPr>
            </w:pPr>
            <w:r w:rsidRPr="00E14EE6">
              <w:rPr>
                <w:sz w:val="14"/>
              </w:rPr>
              <w:t>4,562</w:t>
            </w:r>
          </w:p>
        </w:tc>
        <w:tc>
          <w:tcPr>
            <w:tcW w:w="399" w:type="pct"/>
            <w:noWrap/>
            <w:hideMark/>
          </w:tcPr>
          <w:p w14:paraId="46C90869" w14:textId="77777777" w:rsidR="00CA7676" w:rsidRPr="00E14EE6" w:rsidRDefault="00CA7676" w:rsidP="00E14EE6">
            <w:pPr>
              <w:jc w:val="right"/>
              <w:rPr>
                <w:sz w:val="14"/>
                <w:szCs w:val="14"/>
              </w:rPr>
            </w:pPr>
            <w:r w:rsidRPr="00E14EE6">
              <w:rPr>
                <w:sz w:val="14"/>
              </w:rPr>
              <w:t>4,457</w:t>
            </w:r>
          </w:p>
        </w:tc>
        <w:tc>
          <w:tcPr>
            <w:tcW w:w="399" w:type="pct"/>
            <w:noWrap/>
            <w:hideMark/>
          </w:tcPr>
          <w:p w14:paraId="29547B83" w14:textId="77777777" w:rsidR="00CA7676" w:rsidRPr="00E14EE6" w:rsidRDefault="00CA7676" w:rsidP="00E14EE6">
            <w:pPr>
              <w:jc w:val="right"/>
              <w:rPr>
                <w:sz w:val="14"/>
                <w:szCs w:val="14"/>
              </w:rPr>
            </w:pPr>
            <w:r w:rsidRPr="00E14EE6">
              <w:rPr>
                <w:sz w:val="14"/>
              </w:rPr>
              <w:t>5,393</w:t>
            </w:r>
          </w:p>
        </w:tc>
        <w:tc>
          <w:tcPr>
            <w:tcW w:w="399" w:type="pct"/>
          </w:tcPr>
          <w:p w14:paraId="2913227D" w14:textId="77777777" w:rsidR="00CA7676" w:rsidRPr="00E14EE6" w:rsidRDefault="00CA7676" w:rsidP="00E14EE6">
            <w:pPr>
              <w:jc w:val="right"/>
              <w:rPr>
                <w:sz w:val="14"/>
                <w:szCs w:val="14"/>
              </w:rPr>
            </w:pPr>
            <w:r w:rsidRPr="00E14EE6">
              <w:rPr>
                <w:sz w:val="14"/>
              </w:rPr>
              <w:t>1,468</w:t>
            </w:r>
          </w:p>
        </w:tc>
      </w:tr>
      <w:tr w:rsidR="00CA7676" w:rsidRPr="00E14EE6" w14:paraId="2BA82B83" w14:textId="77777777" w:rsidTr="00FD6B66">
        <w:trPr>
          <w:trHeight w:val="20"/>
        </w:trPr>
        <w:tc>
          <w:tcPr>
            <w:tcW w:w="1411" w:type="pct"/>
            <w:noWrap/>
            <w:hideMark/>
          </w:tcPr>
          <w:p w14:paraId="611E3AD4" w14:textId="5FA34E4E" w:rsidR="00CA7676" w:rsidRPr="00E14EE6" w:rsidRDefault="00CA7676" w:rsidP="00E14EE6">
            <w:pPr>
              <w:jc w:val="left"/>
              <w:rPr>
                <w:sz w:val="14"/>
                <w:szCs w:val="14"/>
              </w:rPr>
            </w:pPr>
            <w:r w:rsidRPr="00E14EE6">
              <w:rPr>
                <w:sz w:val="14"/>
              </w:rPr>
              <w:t>GDP at current prices (</w:t>
            </w:r>
            <w:r w:rsidR="00486BCB" w:rsidRPr="00E14EE6">
              <w:rPr>
                <w:sz w:val="14"/>
              </w:rPr>
              <w:t>USD</w:t>
            </w:r>
            <w:r w:rsidR="00E14EE6" w:rsidRPr="00E14EE6">
              <w:rPr>
                <w:sz w:val="14"/>
              </w:rPr>
              <w:t> million</w:t>
            </w:r>
            <w:r w:rsidRPr="00E14EE6">
              <w:rPr>
                <w:sz w:val="14"/>
              </w:rPr>
              <w:t>)</w:t>
            </w:r>
          </w:p>
        </w:tc>
        <w:tc>
          <w:tcPr>
            <w:tcW w:w="399" w:type="pct"/>
            <w:noWrap/>
            <w:hideMark/>
          </w:tcPr>
          <w:p w14:paraId="5FC3CA41" w14:textId="77777777" w:rsidR="00CA7676" w:rsidRPr="00E14EE6" w:rsidRDefault="00CA7676" w:rsidP="00E14EE6">
            <w:pPr>
              <w:jc w:val="right"/>
              <w:rPr>
                <w:sz w:val="14"/>
                <w:szCs w:val="14"/>
              </w:rPr>
            </w:pPr>
            <w:r w:rsidRPr="00E14EE6">
              <w:rPr>
                <w:sz w:val="14"/>
              </w:rPr>
              <w:t>67,254</w:t>
            </w:r>
          </w:p>
        </w:tc>
        <w:tc>
          <w:tcPr>
            <w:tcW w:w="399" w:type="pct"/>
            <w:noWrap/>
            <w:hideMark/>
          </w:tcPr>
          <w:p w14:paraId="75330763" w14:textId="77777777" w:rsidR="00CA7676" w:rsidRPr="00E14EE6" w:rsidRDefault="00CA7676" w:rsidP="00E14EE6">
            <w:pPr>
              <w:jc w:val="right"/>
              <w:rPr>
                <w:sz w:val="14"/>
                <w:szCs w:val="14"/>
              </w:rPr>
            </w:pPr>
            <w:r w:rsidRPr="00E14EE6">
              <w:rPr>
                <w:sz w:val="14"/>
              </w:rPr>
              <w:t>71,243</w:t>
            </w:r>
          </w:p>
        </w:tc>
        <w:tc>
          <w:tcPr>
            <w:tcW w:w="399" w:type="pct"/>
            <w:noWrap/>
            <w:hideMark/>
          </w:tcPr>
          <w:p w14:paraId="41AF50C2" w14:textId="77777777" w:rsidR="00CA7676" w:rsidRPr="00E14EE6" w:rsidRDefault="00CA7676" w:rsidP="00E14EE6">
            <w:pPr>
              <w:jc w:val="right"/>
              <w:rPr>
                <w:sz w:val="14"/>
                <w:szCs w:val="14"/>
              </w:rPr>
            </w:pPr>
            <w:r w:rsidRPr="00E14EE6">
              <w:rPr>
                <w:sz w:val="14"/>
              </w:rPr>
              <w:t>75,759</w:t>
            </w:r>
          </w:p>
        </w:tc>
        <w:tc>
          <w:tcPr>
            <w:tcW w:w="399" w:type="pct"/>
            <w:noWrap/>
            <w:hideMark/>
          </w:tcPr>
          <w:p w14:paraId="7DB9FC9D" w14:textId="77777777" w:rsidR="00CA7676" w:rsidRPr="00E14EE6" w:rsidRDefault="00CA7676" w:rsidP="00E14EE6">
            <w:pPr>
              <w:jc w:val="right"/>
              <w:rPr>
                <w:sz w:val="14"/>
                <w:szCs w:val="14"/>
              </w:rPr>
            </w:pPr>
            <w:r w:rsidRPr="00E14EE6">
              <w:rPr>
                <w:sz w:val="14"/>
              </w:rPr>
              <w:t>80,025</w:t>
            </w:r>
          </w:p>
        </w:tc>
        <w:tc>
          <w:tcPr>
            <w:tcW w:w="399" w:type="pct"/>
            <w:noWrap/>
            <w:hideMark/>
          </w:tcPr>
          <w:p w14:paraId="631D0094" w14:textId="77777777" w:rsidR="00CA7676" w:rsidRPr="00E14EE6" w:rsidRDefault="00CA7676" w:rsidP="00E14EE6">
            <w:pPr>
              <w:jc w:val="right"/>
              <w:rPr>
                <w:sz w:val="14"/>
                <w:szCs w:val="14"/>
              </w:rPr>
            </w:pPr>
            <w:r w:rsidRPr="00E14EE6">
              <w:rPr>
                <w:sz w:val="14"/>
              </w:rPr>
              <w:t>85,537</w:t>
            </w:r>
          </w:p>
        </w:tc>
        <w:tc>
          <w:tcPr>
            <w:tcW w:w="399" w:type="pct"/>
            <w:noWrap/>
            <w:hideMark/>
          </w:tcPr>
          <w:p w14:paraId="6AAC1D2F" w14:textId="77777777" w:rsidR="00CA7676" w:rsidRPr="00E14EE6" w:rsidRDefault="00CA7676" w:rsidP="00E14EE6">
            <w:pPr>
              <w:jc w:val="right"/>
              <w:rPr>
                <w:sz w:val="14"/>
                <w:szCs w:val="14"/>
              </w:rPr>
            </w:pPr>
            <w:r w:rsidRPr="00E14EE6">
              <w:rPr>
                <w:sz w:val="14"/>
              </w:rPr>
              <w:t>88,906</w:t>
            </w:r>
          </w:p>
        </w:tc>
        <w:tc>
          <w:tcPr>
            <w:tcW w:w="399" w:type="pct"/>
            <w:noWrap/>
            <w:hideMark/>
          </w:tcPr>
          <w:p w14:paraId="67E871BC" w14:textId="77777777" w:rsidR="00CA7676" w:rsidRPr="00E14EE6" w:rsidRDefault="00CA7676" w:rsidP="00E14EE6">
            <w:pPr>
              <w:jc w:val="right"/>
              <w:rPr>
                <w:sz w:val="14"/>
                <w:szCs w:val="14"/>
              </w:rPr>
            </w:pPr>
            <w:r w:rsidRPr="00E14EE6">
              <w:rPr>
                <w:sz w:val="14"/>
              </w:rPr>
              <w:t>78,829</w:t>
            </w:r>
          </w:p>
        </w:tc>
        <w:tc>
          <w:tcPr>
            <w:tcW w:w="399" w:type="pct"/>
            <w:noWrap/>
            <w:hideMark/>
          </w:tcPr>
          <w:p w14:paraId="5B601515" w14:textId="77777777" w:rsidR="00CA7676" w:rsidRPr="00E14EE6" w:rsidRDefault="00CA7676" w:rsidP="00E14EE6">
            <w:pPr>
              <w:jc w:val="right"/>
              <w:rPr>
                <w:sz w:val="14"/>
                <w:szCs w:val="14"/>
              </w:rPr>
            </w:pPr>
            <w:r w:rsidRPr="00E14EE6">
              <w:rPr>
                <w:sz w:val="14"/>
              </w:rPr>
              <w:t>94,524</w:t>
            </w:r>
          </w:p>
        </w:tc>
        <w:tc>
          <w:tcPr>
            <w:tcW w:w="399" w:type="pct"/>
          </w:tcPr>
          <w:p w14:paraId="1015B407" w14:textId="4E3BCFC0" w:rsidR="00CA7676" w:rsidRPr="00E14EE6" w:rsidRDefault="00F843AD" w:rsidP="00E14EE6">
            <w:pPr>
              <w:jc w:val="right"/>
              <w:rPr>
                <w:sz w:val="14"/>
                <w:szCs w:val="14"/>
              </w:rPr>
            </w:pPr>
            <w:r w:rsidRPr="00E14EE6">
              <w:rPr>
                <w:sz w:val="14"/>
              </w:rPr>
              <w:t>25,952</w:t>
            </w:r>
          </w:p>
        </w:tc>
      </w:tr>
      <w:tr w:rsidR="00CA7676" w:rsidRPr="00E14EE6" w14:paraId="66446D65" w14:textId="77777777" w:rsidTr="00FD6B66">
        <w:trPr>
          <w:cnfStyle w:val="000000010000" w:firstRow="0" w:lastRow="0" w:firstColumn="0" w:lastColumn="0" w:oddVBand="0" w:evenVBand="0" w:oddHBand="0" w:evenHBand="1" w:firstRowFirstColumn="0" w:firstRowLastColumn="0" w:lastRowFirstColumn="0" w:lastRowLastColumn="0"/>
          <w:trHeight w:val="20"/>
        </w:trPr>
        <w:tc>
          <w:tcPr>
            <w:tcW w:w="1411" w:type="pct"/>
            <w:noWrap/>
            <w:hideMark/>
          </w:tcPr>
          <w:p w14:paraId="6D9A188E" w14:textId="77777777" w:rsidR="00CA7676" w:rsidRPr="00E14EE6" w:rsidRDefault="00CA7676" w:rsidP="00E14EE6">
            <w:pPr>
              <w:jc w:val="left"/>
              <w:rPr>
                <w:sz w:val="14"/>
                <w:szCs w:val="14"/>
              </w:rPr>
            </w:pPr>
            <w:r w:rsidRPr="00E14EE6">
              <w:rPr>
                <w:sz w:val="14"/>
              </w:rPr>
              <w:t>GDP at constant prices (chained volume indices, base year 2007)</w:t>
            </w:r>
          </w:p>
        </w:tc>
        <w:tc>
          <w:tcPr>
            <w:tcW w:w="399" w:type="pct"/>
            <w:noWrap/>
            <w:hideMark/>
          </w:tcPr>
          <w:p w14:paraId="4BACE2DE" w14:textId="77777777" w:rsidR="00CA7676" w:rsidRPr="00E14EE6" w:rsidRDefault="00CA7676" w:rsidP="00E14EE6">
            <w:pPr>
              <w:jc w:val="right"/>
              <w:rPr>
                <w:sz w:val="14"/>
                <w:szCs w:val="14"/>
              </w:rPr>
            </w:pPr>
            <w:r w:rsidRPr="00E14EE6">
              <w:rPr>
                <w:sz w:val="14"/>
              </w:rPr>
              <w:t>134.2</w:t>
            </w:r>
          </w:p>
        </w:tc>
        <w:tc>
          <w:tcPr>
            <w:tcW w:w="399" w:type="pct"/>
            <w:noWrap/>
            <w:hideMark/>
          </w:tcPr>
          <w:p w14:paraId="42882C0D" w14:textId="77777777" w:rsidR="00CA7676" w:rsidRPr="00E14EE6" w:rsidRDefault="00CA7676" w:rsidP="00E14EE6">
            <w:pPr>
              <w:jc w:val="right"/>
              <w:rPr>
                <w:sz w:val="14"/>
                <w:szCs w:val="14"/>
              </w:rPr>
            </w:pPr>
            <w:r w:rsidRPr="00E14EE6">
              <w:rPr>
                <w:sz w:val="14"/>
              </w:rPr>
              <w:t>143.5</w:t>
            </w:r>
          </w:p>
        </w:tc>
        <w:tc>
          <w:tcPr>
            <w:tcW w:w="399" w:type="pct"/>
            <w:noWrap/>
            <w:hideMark/>
          </w:tcPr>
          <w:p w14:paraId="7D0EBA8C" w14:textId="77777777" w:rsidR="00CA7676" w:rsidRPr="00E14EE6" w:rsidRDefault="00CA7676" w:rsidP="00E14EE6">
            <w:pPr>
              <w:jc w:val="right"/>
              <w:rPr>
                <w:sz w:val="14"/>
                <w:szCs w:val="14"/>
              </w:rPr>
            </w:pPr>
            <w:r w:rsidRPr="00E14EE6">
              <w:rPr>
                <w:sz w:val="14"/>
              </w:rPr>
              <w:t>153.1</w:t>
            </w:r>
          </w:p>
        </w:tc>
        <w:tc>
          <w:tcPr>
            <w:tcW w:w="399" w:type="pct"/>
            <w:noWrap/>
            <w:hideMark/>
          </w:tcPr>
          <w:p w14:paraId="3917862B" w14:textId="77777777" w:rsidR="00CA7676" w:rsidRPr="00E14EE6" w:rsidRDefault="00CA7676" w:rsidP="00E14EE6">
            <w:pPr>
              <w:jc w:val="right"/>
              <w:rPr>
                <w:sz w:val="14"/>
                <w:szCs w:val="14"/>
              </w:rPr>
            </w:pPr>
            <w:r w:rsidRPr="00E14EE6">
              <w:rPr>
                <w:sz w:val="14"/>
              </w:rPr>
              <w:t>160.2</w:t>
            </w:r>
          </w:p>
        </w:tc>
        <w:tc>
          <w:tcPr>
            <w:tcW w:w="399" w:type="pct"/>
            <w:noWrap/>
            <w:hideMark/>
          </w:tcPr>
          <w:p w14:paraId="5682FC75" w14:textId="77777777" w:rsidR="00CA7676" w:rsidRPr="00E14EE6" w:rsidRDefault="00CA7676" w:rsidP="00E14EE6">
            <w:pPr>
              <w:jc w:val="right"/>
              <w:rPr>
                <w:sz w:val="14"/>
                <w:szCs w:val="14"/>
              </w:rPr>
            </w:pPr>
            <w:r w:rsidRPr="00E14EE6">
              <w:rPr>
                <w:sz w:val="14"/>
              </w:rPr>
              <w:t>171.4</w:t>
            </w:r>
          </w:p>
        </w:tc>
        <w:tc>
          <w:tcPr>
            <w:tcW w:w="399" w:type="pct"/>
            <w:noWrap/>
            <w:hideMark/>
          </w:tcPr>
          <w:p w14:paraId="7A1BF05D" w14:textId="77777777" w:rsidR="00CA7676" w:rsidRPr="00E14EE6" w:rsidRDefault="00CA7676" w:rsidP="00E14EE6">
            <w:pPr>
              <w:jc w:val="right"/>
              <w:rPr>
                <w:sz w:val="14"/>
                <w:szCs w:val="14"/>
              </w:rPr>
            </w:pPr>
            <w:r w:rsidRPr="00E14EE6">
              <w:rPr>
                <w:sz w:val="14"/>
              </w:rPr>
              <w:t>180.1</w:t>
            </w:r>
          </w:p>
        </w:tc>
        <w:tc>
          <w:tcPr>
            <w:tcW w:w="399" w:type="pct"/>
            <w:noWrap/>
            <w:hideMark/>
          </w:tcPr>
          <w:p w14:paraId="1CE11427" w14:textId="77777777" w:rsidR="00CA7676" w:rsidRPr="00E14EE6" w:rsidRDefault="00CA7676" w:rsidP="00E14EE6">
            <w:pPr>
              <w:jc w:val="right"/>
              <w:rPr>
                <w:sz w:val="14"/>
                <w:szCs w:val="14"/>
              </w:rPr>
            </w:pPr>
            <w:r w:rsidRPr="00E14EE6">
              <w:rPr>
                <w:sz w:val="14"/>
              </w:rPr>
              <w:t>168.0</w:t>
            </w:r>
          </w:p>
        </w:tc>
        <w:tc>
          <w:tcPr>
            <w:tcW w:w="399" w:type="pct"/>
            <w:noWrap/>
            <w:hideMark/>
          </w:tcPr>
          <w:p w14:paraId="01CED318" w14:textId="77777777" w:rsidR="00CA7676" w:rsidRPr="00E14EE6" w:rsidRDefault="00CA7676" w:rsidP="00E14EE6">
            <w:pPr>
              <w:jc w:val="right"/>
              <w:rPr>
                <w:sz w:val="14"/>
                <w:szCs w:val="14"/>
              </w:rPr>
            </w:pPr>
            <w:r w:rsidRPr="00E14EE6">
              <w:rPr>
                <w:sz w:val="14"/>
              </w:rPr>
              <w:t>188.6</w:t>
            </w:r>
          </w:p>
        </w:tc>
        <w:tc>
          <w:tcPr>
            <w:tcW w:w="399" w:type="pct"/>
          </w:tcPr>
          <w:p w14:paraId="7684F8A9" w14:textId="77777777" w:rsidR="00CA7676" w:rsidRPr="00E14EE6" w:rsidRDefault="00CA7676" w:rsidP="00E14EE6">
            <w:pPr>
              <w:jc w:val="right"/>
              <w:rPr>
                <w:sz w:val="14"/>
                <w:szCs w:val="14"/>
              </w:rPr>
            </w:pPr>
            <w:r w:rsidRPr="00E14EE6">
              <w:rPr>
                <w:sz w:val="14"/>
              </w:rPr>
              <w:t>192.7</w:t>
            </w:r>
          </w:p>
        </w:tc>
      </w:tr>
      <w:tr w:rsidR="00CA7676" w:rsidRPr="00E14EE6" w14:paraId="11911765" w14:textId="77777777" w:rsidTr="00FD6B66">
        <w:trPr>
          <w:trHeight w:val="80"/>
        </w:trPr>
        <w:tc>
          <w:tcPr>
            <w:tcW w:w="1411" w:type="pct"/>
            <w:noWrap/>
            <w:hideMark/>
          </w:tcPr>
          <w:p w14:paraId="6A25B227" w14:textId="77777777" w:rsidR="00CA7676" w:rsidRPr="00E14EE6" w:rsidRDefault="00CA7676" w:rsidP="00E14EE6">
            <w:pPr>
              <w:jc w:val="left"/>
              <w:rPr>
                <w:sz w:val="14"/>
                <w:szCs w:val="14"/>
              </w:rPr>
            </w:pPr>
            <w:r w:rsidRPr="00E14EE6">
              <w:rPr>
                <w:sz w:val="14"/>
              </w:rPr>
              <w:t>Real GDP growth rate (%)</w:t>
            </w:r>
          </w:p>
        </w:tc>
        <w:tc>
          <w:tcPr>
            <w:tcW w:w="399" w:type="pct"/>
            <w:noWrap/>
            <w:hideMark/>
          </w:tcPr>
          <w:p w14:paraId="433062AD" w14:textId="77777777" w:rsidR="00CA7676" w:rsidRPr="00E14EE6" w:rsidRDefault="00CA7676" w:rsidP="00E14EE6">
            <w:pPr>
              <w:jc w:val="right"/>
              <w:rPr>
                <w:sz w:val="14"/>
                <w:szCs w:val="14"/>
              </w:rPr>
            </w:pPr>
            <w:r w:rsidRPr="00E14EE6">
              <w:rPr>
                <w:sz w:val="14"/>
              </w:rPr>
              <w:t>7.1</w:t>
            </w:r>
          </w:p>
        </w:tc>
        <w:tc>
          <w:tcPr>
            <w:tcW w:w="399" w:type="pct"/>
            <w:noWrap/>
            <w:hideMark/>
          </w:tcPr>
          <w:p w14:paraId="32465EE4" w14:textId="77777777" w:rsidR="00CA7676" w:rsidRPr="00E14EE6" w:rsidRDefault="00CA7676" w:rsidP="00E14EE6">
            <w:pPr>
              <w:jc w:val="right"/>
              <w:rPr>
                <w:sz w:val="14"/>
                <w:szCs w:val="14"/>
              </w:rPr>
            </w:pPr>
            <w:r w:rsidRPr="00E14EE6">
              <w:rPr>
                <w:sz w:val="14"/>
              </w:rPr>
              <w:t>6.9</w:t>
            </w:r>
          </w:p>
        </w:tc>
        <w:tc>
          <w:tcPr>
            <w:tcW w:w="399" w:type="pct"/>
            <w:noWrap/>
            <w:hideMark/>
          </w:tcPr>
          <w:p w14:paraId="50B314B6" w14:textId="77777777" w:rsidR="00CA7676" w:rsidRPr="00E14EE6" w:rsidRDefault="00CA7676" w:rsidP="00E14EE6">
            <w:pPr>
              <w:jc w:val="right"/>
              <w:rPr>
                <w:sz w:val="14"/>
                <w:szCs w:val="14"/>
              </w:rPr>
            </w:pPr>
            <w:r w:rsidRPr="00E14EE6">
              <w:rPr>
                <w:sz w:val="14"/>
              </w:rPr>
              <w:t>6.7</w:t>
            </w:r>
          </w:p>
        </w:tc>
        <w:tc>
          <w:tcPr>
            <w:tcW w:w="399" w:type="pct"/>
            <w:noWrap/>
            <w:hideMark/>
          </w:tcPr>
          <w:p w14:paraId="012E79B1" w14:textId="77777777" w:rsidR="00CA7676" w:rsidRPr="00E14EE6" w:rsidRDefault="00CA7676" w:rsidP="00E14EE6">
            <w:pPr>
              <w:jc w:val="right"/>
              <w:rPr>
                <w:sz w:val="14"/>
                <w:szCs w:val="14"/>
              </w:rPr>
            </w:pPr>
            <w:r w:rsidRPr="00E14EE6">
              <w:rPr>
                <w:sz w:val="14"/>
              </w:rPr>
              <w:t>4.7</w:t>
            </w:r>
          </w:p>
        </w:tc>
        <w:tc>
          <w:tcPr>
            <w:tcW w:w="399" w:type="pct"/>
            <w:noWrap/>
            <w:hideMark/>
          </w:tcPr>
          <w:p w14:paraId="6EFF1A2B" w14:textId="77777777" w:rsidR="00CA7676" w:rsidRPr="00E14EE6" w:rsidRDefault="00CA7676" w:rsidP="00E14EE6">
            <w:pPr>
              <w:jc w:val="right"/>
              <w:rPr>
                <w:sz w:val="14"/>
                <w:szCs w:val="14"/>
              </w:rPr>
            </w:pPr>
            <w:r w:rsidRPr="00E14EE6">
              <w:rPr>
                <w:sz w:val="14"/>
              </w:rPr>
              <w:t>7.0</w:t>
            </w:r>
          </w:p>
        </w:tc>
        <w:tc>
          <w:tcPr>
            <w:tcW w:w="399" w:type="pct"/>
            <w:noWrap/>
            <w:hideMark/>
          </w:tcPr>
          <w:p w14:paraId="4B9BDD88" w14:textId="77777777" w:rsidR="00CA7676" w:rsidRPr="00E14EE6" w:rsidRDefault="00CA7676" w:rsidP="00E14EE6">
            <w:pPr>
              <w:jc w:val="right"/>
              <w:rPr>
                <w:sz w:val="14"/>
                <w:szCs w:val="14"/>
              </w:rPr>
            </w:pPr>
            <w:r w:rsidRPr="00E14EE6">
              <w:rPr>
                <w:sz w:val="14"/>
              </w:rPr>
              <w:t>5.1</w:t>
            </w:r>
          </w:p>
        </w:tc>
        <w:tc>
          <w:tcPr>
            <w:tcW w:w="399" w:type="pct"/>
            <w:noWrap/>
            <w:hideMark/>
          </w:tcPr>
          <w:p w14:paraId="358E7DCD" w14:textId="5EF8F083" w:rsidR="00CA7676" w:rsidRPr="00E14EE6" w:rsidRDefault="00E14EE6" w:rsidP="00E14EE6">
            <w:pPr>
              <w:jc w:val="right"/>
              <w:rPr>
                <w:sz w:val="14"/>
                <w:szCs w:val="14"/>
              </w:rPr>
            </w:pPr>
            <w:r w:rsidRPr="00E14EE6">
              <w:rPr>
                <w:sz w:val="14"/>
              </w:rPr>
              <w:noBreakHyphen/>
            </w:r>
            <w:r w:rsidR="00CA7676" w:rsidRPr="00E14EE6">
              <w:rPr>
                <w:sz w:val="14"/>
              </w:rPr>
              <w:t>6.7</w:t>
            </w:r>
          </w:p>
        </w:tc>
        <w:tc>
          <w:tcPr>
            <w:tcW w:w="399" w:type="pct"/>
            <w:noWrap/>
            <w:hideMark/>
          </w:tcPr>
          <w:p w14:paraId="367D01AE" w14:textId="77777777" w:rsidR="00CA7676" w:rsidRPr="00E14EE6" w:rsidRDefault="00CA7676" w:rsidP="00E14EE6">
            <w:pPr>
              <w:jc w:val="right"/>
              <w:rPr>
                <w:sz w:val="14"/>
                <w:szCs w:val="14"/>
              </w:rPr>
            </w:pPr>
            <w:r w:rsidRPr="00E14EE6">
              <w:rPr>
                <w:sz w:val="14"/>
              </w:rPr>
              <w:t>12.3</w:t>
            </w:r>
          </w:p>
        </w:tc>
        <w:tc>
          <w:tcPr>
            <w:tcW w:w="399" w:type="pct"/>
          </w:tcPr>
          <w:p w14:paraId="74B652BD" w14:textId="77777777" w:rsidR="00CA7676" w:rsidRPr="00E14EE6" w:rsidRDefault="00CA7676" w:rsidP="00E14EE6">
            <w:pPr>
              <w:jc w:val="right"/>
              <w:rPr>
                <w:sz w:val="14"/>
                <w:szCs w:val="14"/>
              </w:rPr>
            </w:pPr>
            <w:r w:rsidRPr="00E14EE6">
              <w:rPr>
                <w:sz w:val="14"/>
              </w:rPr>
              <w:t>6.1</w:t>
            </w:r>
          </w:p>
        </w:tc>
      </w:tr>
      <w:tr w:rsidR="00CA7676" w:rsidRPr="00E14EE6" w14:paraId="2FACD84C" w14:textId="77777777" w:rsidTr="00FD6B66">
        <w:trPr>
          <w:cnfStyle w:val="000000010000" w:firstRow="0" w:lastRow="0" w:firstColumn="0" w:lastColumn="0" w:oddVBand="0" w:evenVBand="0" w:oddHBand="0" w:evenHBand="1" w:firstRowFirstColumn="0" w:firstRowLastColumn="0" w:lastRowFirstColumn="0" w:lastRowLastColumn="0"/>
          <w:trHeight w:val="20"/>
        </w:trPr>
        <w:tc>
          <w:tcPr>
            <w:tcW w:w="1411" w:type="pct"/>
            <w:noWrap/>
            <w:hideMark/>
          </w:tcPr>
          <w:p w14:paraId="063B458D" w14:textId="77777777" w:rsidR="00CA7676" w:rsidRPr="00E14EE6" w:rsidRDefault="00CA7676" w:rsidP="00E14EE6">
            <w:pPr>
              <w:jc w:val="left"/>
              <w:rPr>
                <w:sz w:val="14"/>
                <w:szCs w:val="14"/>
              </w:rPr>
            </w:pPr>
            <w:r w:rsidRPr="00E14EE6">
              <w:rPr>
                <w:sz w:val="14"/>
              </w:rPr>
              <w:t>GDP per capita (current USD)</w:t>
            </w:r>
          </w:p>
        </w:tc>
        <w:tc>
          <w:tcPr>
            <w:tcW w:w="399" w:type="pct"/>
            <w:noWrap/>
            <w:hideMark/>
          </w:tcPr>
          <w:p w14:paraId="2AE7ED1E" w14:textId="77777777" w:rsidR="00CA7676" w:rsidRPr="00E14EE6" w:rsidRDefault="00CA7676" w:rsidP="00E14EE6">
            <w:pPr>
              <w:jc w:val="right"/>
              <w:rPr>
                <w:sz w:val="14"/>
                <w:szCs w:val="14"/>
              </w:rPr>
            </w:pPr>
            <w:r w:rsidRPr="00E14EE6">
              <w:rPr>
                <w:sz w:val="14"/>
              </w:rPr>
              <w:t>6,805</w:t>
            </w:r>
          </w:p>
        </w:tc>
        <w:tc>
          <w:tcPr>
            <w:tcW w:w="399" w:type="pct"/>
            <w:noWrap/>
            <w:hideMark/>
          </w:tcPr>
          <w:p w14:paraId="1E8068E6" w14:textId="77777777" w:rsidR="00CA7676" w:rsidRPr="00E14EE6" w:rsidRDefault="00CA7676" w:rsidP="00E14EE6">
            <w:pPr>
              <w:jc w:val="right"/>
              <w:rPr>
                <w:sz w:val="14"/>
                <w:szCs w:val="14"/>
              </w:rPr>
            </w:pPr>
            <w:r w:rsidRPr="00E14EE6">
              <w:rPr>
                <w:sz w:val="14"/>
              </w:rPr>
              <w:t>7,138</w:t>
            </w:r>
          </w:p>
        </w:tc>
        <w:tc>
          <w:tcPr>
            <w:tcW w:w="399" w:type="pct"/>
            <w:noWrap/>
            <w:hideMark/>
          </w:tcPr>
          <w:p w14:paraId="3F450098" w14:textId="77777777" w:rsidR="00CA7676" w:rsidRPr="00E14EE6" w:rsidRDefault="00CA7676" w:rsidP="00E14EE6">
            <w:pPr>
              <w:jc w:val="right"/>
              <w:rPr>
                <w:sz w:val="14"/>
                <w:szCs w:val="14"/>
              </w:rPr>
            </w:pPr>
            <w:r w:rsidRPr="00E14EE6">
              <w:rPr>
                <w:sz w:val="14"/>
              </w:rPr>
              <w:t>7,520</w:t>
            </w:r>
          </w:p>
        </w:tc>
        <w:tc>
          <w:tcPr>
            <w:tcW w:w="399" w:type="pct"/>
            <w:noWrap/>
            <w:hideMark/>
          </w:tcPr>
          <w:p w14:paraId="5534942B" w14:textId="77777777" w:rsidR="00CA7676" w:rsidRPr="00E14EE6" w:rsidRDefault="00CA7676" w:rsidP="00E14EE6">
            <w:pPr>
              <w:jc w:val="right"/>
              <w:rPr>
                <w:sz w:val="14"/>
                <w:szCs w:val="14"/>
              </w:rPr>
            </w:pPr>
            <w:r w:rsidRPr="00E14EE6">
              <w:rPr>
                <w:sz w:val="14"/>
              </w:rPr>
              <w:t>7,869</w:t>
            </w:r>
          </w:p>
        </w:tc>
        <w:tc>
          <w:tcPr>
            <w:tcW w:w="399" w:type="pct"/>
            <w:noWrap/>
            <w:hideMark/>
          </w:tcPr>
          <w:p w14:paraId="5D25245D" w14:textId="77777777" w:rsidR="00CA7676" w:rsidRPr="00E14EE6" w:rsidRDefault="00CA7676" w:rsidP="00E14EE6">
            <w:pPr>
              <w:jc w:val="right"/>
              <w:rPr>
                <w:sz w:val="14"/>
                <w:szCs w:val="14"/>
              </w:rPr>
            </w:pPr>
            <w:r w:rsidRPr="00E14EE6">
              <w:rPr>
                <w:sz w:val="14"/>
              </w:rPr>
              <w:t>8,332</w:t>
            </w:r>
          </w:p>
        </w:tc>
        <w:tc>
          <w:tcPr>
            <w:tcW w:w="399" w:type="pct"/>
            <w:noWrap/>
            <w:hideMark/>
          </w:tcPr>
          <w:p w14:paraId="74F0EF74" w14:textId="77777777" w:rsidR="00CA7676" w:rsidRPr="00E14EE6" w:rsidRDefault="00CA7676" w:rsidP="00E14EE6">
            <w:pPr>
              <w:jc w:val="right"/>
              <w:rPr>
                <w:sz w:val="14"/>
                <w:szCs w:val="14"/>
              </w:rPr>
            </w:pPr>
            <w:r w:rsidRPr="00E14EE6">
              <w:rPr>
                <w:sz w:val="14"/>
              </w:rPr>
              <w:t>8,583</w:t>
            </w:r>
          </w:p>
        </w:tc>
        <w:tc>
          <w:tcPr>
            <w:tcW w:w="399" w:type="pct"/>
            <w:noWrap/>
            <w:hideMark/>
          </w:tcPr>
          <w:p w14:paraId="5A1F3604" w14:textId="77777777" w:rsidR="00CA7676" w:rsidRPr="00E14EE6" w:rsidRDefault="00CA7676" w:rsidP="00E14EE6">
            <w:pPr>
              <w:jc w:val="right"/>
              <w:rPr>
                <w:sz w:val="14"/>
                <w:szCs w:val="14"/>
              </w:rPr>
            </w:pPr>
            <w:r w:rsidRPr="00E14EE6">
              <w:rPr>
                <w:sz w:val="14"/>
              </w:rPr>
              <w:t>7,545</w:t>
            </w:r>
          </w:p>
        </w:tc>
        <w:tc>
          <w:tcPr>
            <w:tcW w:w="399" w:type="pct"/>
            <w:noWrap/>
            <w:hideMark/>
          </w:tcPr>
          <w:p w14:paraId="7A682179" w14:textId="77777777" w:rsidR="00CA7676" w:rsidRPr="00E14EE6" w:rsidRDefault="00CA7676" w:rsidP="00E14EE6">
            <w:pPr>
              <w:jc w:val="right"/>
              <w:rPr>
                <w:sz w:val="14"/>
                <w:szCs w:val="14"/>
              </w:rPr>
            </w:pPr>
            <w:r w:rsidRPr="00E14EE6">
              <w:rPr>
                <w:sz w:val="14"/>
              </w:rPr>
              <w:t>8,972</w:t>
            </w:r>
          </w:p>
        </w:tc>
        <w:tc>
          <w:tcPr>
            <w:tcW w:w="399" w:type="pct"/>
          </w:tcPr>
          <w:p w14:paraId="07D91FFD" w14:textId="679DD762" w:rsidR="00CA7676" w:rsidRPr="00E14EE6" w:rsidRDefault="00F843AD" w:rsidP="00E14EE6">
            <w:pPr>
              <w:jc w:val="right"/>
              <w:rPr>
                <w:bCs/>
                <w:sz w:val="14"/>
                <w:szCs w:val="14"/>
              </w:rPr>
            </w:pPr>
            <w:r w:rsidRPr="00E14EE6">
              <w:rPr>
                <w:bCs/>
                <w:sz w:val="14"/>
              </w:rPr>
              <w:t>..</w:t>
            </w:r>
          </w:p>
        </w:tc>
      </w:tr>
      <w:tr w:rsidR="00CA7676" w:rsidRPr="00E14EE6" w14:paraId="3962256A" w14:textId="77777777" w:rsidTr="00FD6B66">
        <w:trPr>
          <w:trHeight w:val="20"/>
        </w:trPr>
        <w:tc>
          <w:tcPr>
            <w:tcW w:w="5000" w:type="pct"/>
            <w:gridSpan w:val="10"/>
            <w:noWrap/>
            <w:hideMark/>
          </w:tcPr>
          <w:p w14:paraId="14F2959B" w14:textId="2D5CB440" w:rsidR="00CA7676" w:rsidRPr="00E14EE6" w:rsidRDefault="00CA7676" w:rsidP="00E14EE6">
            <w:pPr>
              <w:jc w:val="left"/>
              <w:rPr>
                <w:b/>
                <w:bCs/>
                <w:sz w:val="14"/>
                <w:szCs w:val="14"/>
              </w:rPr>
            </w:pPr>
            <w:r w:rsidRPr="00E14EE6">
              <w:rPr>
                <w:b/>
                <w:sz w:val="14"/>
              </w:rPr>
              <w:t xml:space="preserve">GDP by activity (% of </w:t>
            </w:r>
            <w:r w:rsidR="007459E2" w:rsidRPr="00E14EE6">
              <w:rPr>
                <w:b/>
                <w:sz w:val="14"/>
              </w:rPr>
              <w:t xml:space="preserve">current </w:t>
            </w:r>
            <w:r w:rsidRPr="00E14EE6">
              <w:rPr>
                <w:b/>
                <w:sz w:val="14"/>
              </w:rPr>
              <w:t>GDP)</w:t>
            </w:r>
          </w:p>
        </w:tc>
      </w:tr>
      <w:tr w:rsidR="00CA7676" w:rsidRPr="00E14EE6" w14:paraId="542D308C" w14:textId="77777777" w:rsidTr="00FD6B66">
        <w:trPr>
          <w:cnfStyle w:val="000000010000" w:firstRow="0" w:lastRow="0" w:firstColumn="0" w:lastColumn="0" w:oddVBand="0" w:evenVBand="0" w:oddHBand="0" w:evenHBand="1" w:firstRowFirstColumn="0" w:firstRowLastColumn="0" w:lastRowFirstColumn="0" w:lastRowLastColumn="0"/>
          <w:trHeight w:val="20"/>
        </w:trPr>
        <w:tc>
          <w:tcPr>
            <w:tcW w:w="1411" w:type="pct"/>
            <w:noWrap/>
            <w:hideMark/>
          </w:tcPr>
          <w:p w14:paraId="05421FA4" w14:textId="77777777" w:rsidR="00CA7676" w:rsidRPr="00E14EE6" w:rsidRDefault="00CA7676" w:rsidP="00E14EE6">
            <w:pPr>
              <w:jc w:val="left"/>
              <w:rPr>
                <w:sz w:val="14"/>
                <w:szCs w:val="14"/>
              </w:rPr>
            </w:pPr>
            <w:r w:rsidRPr="00E14EE6">
              <w:rPr>
                <w:sz w:val="14"/>
              </w:rPr>
              <w:t>Agriculture</w:t>
            </w:r>
          </w:p>
        </w:tc>
        <w:tc>
          <w:tcPr>
            <w:tcW w:w="399" w:type="pct"/>
            <w:noWrap/>
            <w:hideMark/>
          </w:tcPr>
          <w:p w14:paraId="54C478AB" w14:textId="77777777" w:rsidR="00CA7676" w:rsidRPr="00E14EE6" w:rsidRDefault="00CA7676" w:rsidP="00E14EE6">
            <w:pPr>
              <w:jc w:val="right"/>
              <w:rPr>
                <w:sz w:val="14"/>
                <w:szCs w:val="14"/>
              </w:rPr>
            </w:pPr>
            <w:r w:rsidRPr="00E14EE6">
              <w:rPr>
                <w:sz w:val="14"/>
              </w:rPr>
              <w:t>5.2</w:t>
            </w:r>
          </w:p>
        </w:tc>
        <w:tc>
          <w:tcPr>
            <w:tcW w:w="399" w:type="pct"/>
            <w:noWrap/>
            <w:hideMark/>
          </w:tcPr>
          <w:p w14:paraId="10562AC4" w14:textId="77777777" w:rsidR="00CA7676" w:rsidRPr="00E14EE6" w:rsidRDefault="00CA7676" w:rsidP="00E14EE6">
            <w:pPr>
              <w:jc w:val="right"/>
              <w:rPr>
                <w:sz w:val="14"/>
                <w:szCs w:val="14"/>
              </w:rPr>
            </w:pPr>
            <w:r w:rsidRPr="00E14EE6">
              <w:rPr>
                <w:sz w:val="14"/>
              </w:rPr>
              <w:t>5.5</w:t>
            </w:r>
          </w:p>
        </w:tc>
        <w:tc>
          <w:tcPr>
            <w:tcW w:w="399" w:type="pct"/>
            <w:noWrap/>
            <w:hideMark/>
          </w:tcPr>
          <w:p w14:paraId="54B3513B" w14:textId="77777777" w:rsidR="00CA7676" w:rsidRPr="00E14EE6" w:rsidRDefault="00CA7676" w:rsidP="00E14EE6">
            <w:pPr>
              <w:jc w:val="right"/>
              <w:rPr>
                <w:sz w:val="14"/>
                <w:szCs w:val="14"/>
              </w:rPr>
            </w:pPr>
            <w:r w:rsidRPr="00E14EE6">
              <w:rPr>
                <w:sz w:val="14"/>
              </w:rPr>
              <w:t>5.5</w:t>
            </w:r>
          </w:p>
        </w:tc>
        <w:tc>
          <w:tcPr>
            <w:tcW w:w="399" w:type="pct"/>
            <w:noWrap/>
            <w:hideMark/>
          </w:tcPr>
          <w:p w14:paraId="7E402ED4" w14:textId="77777777" w:rsidR="00CA7676" w:rsidRPr="00E14EE6" w:rsidRDefault="00CA7676" w:rsidP="00E14EE6">
            <w:pPr>
              <w:jc w:val="right"/>
              <w:rPr>
                <w:sz w:val="14"/>
                <w:szCs w:val="14"/>
              </w:rPr>
            </w:pPr>
            <w:r w:rsidRPr="00E14EE6">
              <w:rPr>
                <w:sz w:val="14"/>
              </w:rPr>
              <w:t>5.3</w:t>
            </w:r>
          </w:p>
        </w:tc>
        <w:tc>
          <w:tcPr>
            <w:tcW w:w="399" w:type="pct"/>
            <w:noWrap/>
            <w:hideMark/>
          </w:tcPr>
          <w:p w14:paraId="7F517884" w14:textId="77777777" w:rsidR="00CA7676" w:rsidRPr="00E14EE6" w:rsidRDefault="00CA7676" w:rsidP="00E14EE6">
            <w:pPr>
              <w:jc w:val="right"/>
              <w:rPr>
                <w:sz w:val="14"/>
                <w:szCs w:val="14"/>
              </w:rPr>
            </w:pPr>
            <w:r w:rsidRPr="00E14EE6">
              <w:rPr>
                <w:sz w:val="14"/>
              </w:rPr>
              <w:t>5.1</w:t>
            </w:r>
          </w:p>
        </w:tc>
        <w:tc>
          <w:tcPr>
            <w:tcW w:w="399" w:type="pct"/>
            <w:noWrap/>
            <w:hideMark/>
          </w:tcPr>
          <w:p w14:paraId="738969BE" w14:textId="77777777" w:rsidR="00CA7676" w:rsidRPr="00E14EE6" w:rsidRDefault="00CA7676" w:rsidP="00E14EE6">
            <w:pPr>
              <w:jc w:val="right"/>
              <w:rPr>
                <w:sz w:val="14"/>
                <w:szCs w:val="14"/>
              </w:rPr>
            </w:pPr>
            <w:r w:rsidRPr="00E14EE6">
              <w:rPr>
                <w:sz w:val="14"/>
              </w:rPr>
              <w:t>5.2</w:t>
            </w:r>
          </w:p>
        </w:tc>
        <w:tc>
          <w:tcPr>
            <w:tcW w:w="399" w:type="pct"/>
            <w:noWrap/>
            <w:hideMark/>
          </w:tcPr>
          <w:p w14:paraId="79AA9FB9" w14:textId="77777777" w:rsidR="00CA7676" w:rsidRPr="00E14EE6" w:rsidRDefault="00CA7676" w:rsidP="00E14EE6">
            <w:pPr>
              <w:jc w:val="right"/>
              <w:rPr>
                <w:sz w:val="14"/>
                <w:szCs w:val="14"/>
              </w:rPr>
            </w:pPr>
            <w:r w:rsidRPr="00E14EE6">
              <w:rPr>
                <w:sz w:val="14"/>
              </w:rPr>
              <w:t>6.0</w:t>
            </w:r>
          </w:p>
        </w:tc>
        <w:tc>
          <w:tcPr>
            <w:tcW w:w="399" w:type="pct"/>
            <w:noWrap/>
            <w:hideMark/>
          </w:tcPr>
          <w:p w14:paraId="21BE663C" w14:textId="77777777" w:rsidR="00CA7676" w:rsidRPr="00E14EE6" w:rsidRDefault="00CA7676" w:rsidP="00E14EE6">
            <w:pPr>
              <w:jc w:val="right"/>
              <w:rPr>
                <w:sz w:val="14"/>
                <w:szCs w:val="14"/>
              </w:rPr>
            </w:pPr>
            <w:r w:rsidRPr="00E14EE6">
              <w:rPr>
                <w:sz w:val="14"/>
              </w:rPr>
              <w:t>5.7</w:t>
            </w:r>
          </w:p>
        </w:tc>
        <w:tc>
          <w:tcPr>
            <w:tcW w:w="399" w:type="pct"/>
          </w:tcPr>
          <w:p w14:paraId="2064C02D" w14:textId="77777777" w:rsidR="00CA7676" w:rsidRPr="00E14EE6" w:rsidRDefault="00CA7676" w:rsidP="00E14EE6">
            <w:pPr>
              <w:jc w:val="right"/>
              <w:rPr>
                <w:sz w:val="14"/>
                <w:szCs w:val="14"/>
              </w:rPr>
            </w:pPr>
            <w:r w:rsidRPr="00E14EE6">
              <w:rPr>
                <w:sz w:val="14"/>
              </w:rPr>
              <w:t>4.8</w:t>
            </w:r>
          </w:p>
        </w:tc>
      </w:tr>
      <w:tr w:rsidR="00CA7676" w:rsidRPr="00E14EE6" w14:paraId="2F2A938C" w14:textId="77777777" w:rsidTr="00FD6B66">
        <w:trPr>
          <w:trHeight w:val="20"/>
        </w:trPr>
        <w:tc>
          <w:tcPr>
            <w:tcW w:w="1411" w:type="pct"/>
            <w:noWrap/>
            <w:hideMark/>
          </w:tcPr>
          <w:p w14:paraId="64AC5F85" w14:textId="77777777" w:rsidR="00CA7676" w:rsidRPr="00E14EE6" w:rsidRDefault="00CA7676" w:rsidP="00E14EE6">
            <w:pPr>
              <w:ind w:left="113"/>
              <w:jc w:val="left"/>
              <w:rPr>
                <w:sz w:val="14"/>
                <w:szCs w:val="14"/>
              </w:rPr>
            </w:pPr>
            <w:r w:rsidRPr="00E14EE6">
              <w:rPr>
                <w:sz w:val="14"/>
              </w:rPr>
              <w:t>Crop farming</w:t>
            </w:r>
          </w:p>
        </w:tc>
        <w:tc>
          <w:tcPr>
            <w:tcW w:w="399" w:type="pct"/>
            <w:noWrap/>
            <w:hideMark/>
          </w:tcPr>
          <w:p w14:paraId="43D96A67" w14:textId="77777777" w:rsidR="00CA7676" w:rsidRPr="00E14EE6" w:rsidRDefault="00CA7676" w:rsidP="00E14EE6">
            <w:pPr>
              <w:jc w:val="right"/>
              <w:rPr>
                <w:sz w:val="14"/>
                <w:szCs w:val="14"/>
              </w:rPr>
            </w:pPr>
            <w:r w:rsidRPr="00E14EE6">
              <w:rPr>
                <w:sz w:val="14"/>
              </w:rPr>
              <w:t>3.3</w:t>
            </w:r>
          </w:p>
        </w:tc>
        <w:tc>
          <w:tcPr>
            <w:tcW w:w="399" w:type="pct"/>
            <w:noWrap/>
            <w:hideMark/>
          </w:tcPr>
          <w:p w14:paraId="06D3B947" w14:textId="77777777" w:rsidR="00CA7676" w:rsidRPr="00E14EE6" w:rsidRDefault="00CA7676" w:rsidP="00E14EE6">
            <w:pPr>
              <w:jc w:val="right"/>
              <w:rPr>
                <w:sz w:val="14"/>
                <w:szCs w:val="14"/>
              </w:rPr>
            </w:pPr>
            <w:r w:rsidRPr="00E14EE6">
              <w:rPr>
                <w:sz w:val="14"/>
              </w:rPr>
              <w:t>3.5</w:t>
            </w:r>
          </w:p>
        </w:tc>
        <w:tc>
          <w:tcPr>
            <w:tcW w:w="399" w:type="pct"/>
            <w:noWrap/>
            <w:hideMark/>
          </w:tcPr>
          <w:p w14:paraId="037793B1" w14:textId="77777777" w:rsidR="00CA7676" w:rsidRPr="00E14EE6" w:rsidRDefault="00CA7676" w:rsidP="00E14EE6">
            <w:pPr>
              <w:jc w:val="right"/>
              <w:rPr>
                <w:sz w:val="14"/>
                <w:szCs w:val="14"/>
              </w:rPr>
            </w:pPr>
            <w:r w:rsidRPr="00E14EE6">
              <w:rPr>
                <w:sz w:val="14"/>
              </w:rPr>
              <w:t>3.6</w:t>
            </w:r>
          </w:p>
        </w:tc>
        <w:tc>
          <w:tcPr>
            <w:tcW w:w="399" w:type="pct"/>
            <w:noWrap/>
            <w:hideMark/>
          </w:tcPr>
          <w:p w14:paraId="1D6997F0" w14:textId="77777777" w:rsidR="00CA7676" w:rsidRPr="00E14EE6" w:rsidRDefault="00CA7676" w:rsidP="00E14EE6">
            <w:pPr>
              <w:jc w:val="right"/>
              <w:rPr>
                <w:sz w:val="14"/>
                <w:szCs w:val="14"/>
              </w:rPr>
            </w:pPr>
            <w:r w:rsidRPr="00E14EE6">
              <w:rPr>
                <w:sz w:val="14"/>
              </w:rPr>
              <w:t>3.5</w:t>
            </w:r>
          </w:p>
        </w:tc>
        <w:tc>
          <w:tcPr>
            <w:tcW w:w="399" w:type="pct"/>
            <w:noWrap/>
            <w:hideMark/>
          </w:tcPr>
          <w:p w14:paraId="76F69339" w14:textId="77777777" w:rsidR="00CA7676" w:rsidRPr="00E14EE6" w:rsidRDefault="00CA7676" w:rsidP="00E14EE6">
            <w:pPr>
              <w:jc w:val="right"/>
              <w:rPr>
                <w:sz w:val="14"/>
                <w:szCs w:val="14"/>
              </w:rPr>
            </w:pPr>
            <w:r w:rsidRPr="00E14EE6">
              <w:rPr>
                <w:sz w:val="14"/>
              </w:rPr>
              <w:t>3.3</w:t>
            </w:r>
          </w:p>
        </w:tc>
        <w:tc>
          <w:tcPr>
            <w:tcW w:w="399" w:type="pct"/>
            <w:noWrap/>
            <w:hideMark/>
          </w:tcPr>
          <w:p w14:paraId="6C7AE505" w14:textId="77777777" w:rsidR="00CA7676" w:rsidRPr="00E14EE6" w:rsidRDefault="00CA7676" w:rsidP="00E14EE6">
            <w:pPr>
              <w:jc w:val="right"/>
              <w:rPr>
                <w:sz w:val="14"/>
                <w:szCs w:val="14"/>
              </w:rPr>
            </w:pPr>
            <w:r w:rsidRPr="00E14EE6">
              <w:rPr>
                <w:sz w:val="14"/>
              </w:rPr>
              <w:t>3.4</w:t>
            </w:r>
          </w:p>
        </w:tc>
        <w:tc>
          <w:tcPr>
            <w:tcW w:w="399" w:type="pct"/>
            <w:noWrap/>
            <w:hideMark/>
          </w:tcPr>
          <w:p w14:paraId="41B0DFA3" w14:textId="77777777" w:rsidR="00CA7676" w:rsidRPr="00E14EE6" w:rsidRDefault="00CA7676" w:rsidP="00E14EE6">
            <w:pPr>
              <w:jc w:val="right"/>
              <w:rPr>
                <w:sz w:val="14"/>
                <w:szCs w:val="14"/>
              </w:rPr>
            </w:pPr>
            <w:r w:rsidRPr="00E14EE6">
              <w:rPr>
                <w:sz w:val="14"/>
              </w:rPr>
              <w:t>4.1</w:t>
            </w:r>
          </w:p>
        </w:tc>
        <w:tc>
          <w:tcPr>
            <w:tcW w:w="399" w:type="pct"/>
            <w:noWrap/>
            <w:hideMark/>
          </w:tcPr>
          <w:p w14:paraId="39803C91" w14:textId="77777777" w:rsidR="00CA7676" w:rsidRPr="00E14EE6" w:rsidRDefault="00CA7676" w:rsidP="00E14EE6">
            <w:pPr>
              <w:jc w:val="right"/>
              <w:rPr>
                <w:sz w:val="14"/>
                <w:szCs w:val="14"/>
              </w:rPr>
            </w:pPr>
            <w:r w:rsidRPr="00E14EE6">
              <w:rPr>
                <w:sz w:val="14"/>
              </w:rPr>
              <w:t>3.7</w:t>
            </w:r>
          </w:p>
        </w:tc>
        <w:tc>
          <w:tcPr>
            <w:tcW w:w="399" w:type="pct"/>
          </w:tcPr>
          <w:p w14:paraId="07A0640A" w14:textId="77777777" w:rsidR="00CA7676" w:rsidRPr="00E14EE6" w:rsidRDefault="00CA7676" w:rsidP="00E14EE6">
            <w:pPr>
              <w:jc w:val="right"/>
              <w:rPr>
                <w:sz w:val="14"/>
                <w:szCs w:val="14"/>
              </w:rPr>
            </w:pPr>
            <w:r w:rsidRPr="00E14EE6">
              <w:rPr>
                <w:sz w:val="14"/>
              </w:rPr>
              <w:t>3.1</w:t>
            </w:r>
          </w:p>
        </w:tc>
      </w:tr>
      <w:tr w:rsidR="00CA7676" w:rsidRPr="00E14EE6" w14:paraId="2159E911" w14:textId="77777777" w:rsidTr="00FD6B66">
        <w:trPr>
          <w:cnfStyle w:val="000000010000" w:firstRow="0" w:lastRow="0" w:firstColumn="0" w:lastColumn="0" w:oddVBand="0" w:evenVBand="0" w:oddHBand="0" w:evenHBand="1" w:firstRowFirstColumn="0" w:firstRowLastColumn="0" w:lastRowFirstColumn="0" w:lastRowLastColumn="0"/>
          <w:trHeight w:val="20"/>
        </w:trPr>
        <w:tc>
          <w:tcPr>
            <w:tcW w:w="1411" w:type="pct"/>
            <w:noWrap/>
            <w:hideMark/>
          </w:tcPr>
          <w:p w14:paraId="0F6B3961" w14:textId="77777777" w:rsidR="00CA7676" w:rsidRPr="00E14EE6" w:rsidRDefault="00CA7676" w:rsidP="00E14EE6">
            <w:pPr>
              <w:ind w:left="113"/>
              <w:jc w:val="left"/>
              <w:rPr>
                <w:sz w:val="14"/>
                <w:szCs w:val="14"/>
              </w:rPr>
            </w:pPr>
            <w:r w:rsidRPr="00E14EE6">
              <w:rPr>
                <w:sz w:val="14"/>
              </w:rPr>
              <w:t>Livestock, forestry and fishing</w:t>
            </w:r>
          </w:p>
        </w:tc>
        <w:tc>
          <w:tcPr>
            <w:tcW w:w="399" w:type="pct"/>
            <w:noWrap/>
            <w:hideMark/>
          </w:tcPr>
          <w:p w14:paraId="1F84F7B6" w14:textId="77777777" w:rsidR="00CA7676" w:rsidRPr="00E14EE6" w:rsidRDefault="00CA7676" w:rsidP="00E14EE6">
            <w:pPr>
              <w:jc w:val="right"/>
              <w:rPr>
                <w:sz w:val="14"/>
                <w:szCs w:val="14"/>
              </w:rPr>
            </w:pPr>
            <w:r w:rsidRPr="00E14EE6">
              <w:rPr>
                <w:sz w:val="14"/>
              </w:rPr>
              <w:t>1.9</w:t>
            </w:r>
          </w:p>
        </w:tc>
        <w:tc>
          <w:tcPr>
            <w:tcW w:w="399" w:type="pct"/>
            <w:noWrap/>
            <w:hideMark/>
          </w:tcPr>
          <w:p w14:paraId="4B1FC0CE" w14:textId="77777777" w:rsidR="00CA7676" w:rsidRPr="00E14EE6" w:rsidRDefault="00CA7676" w:rsidP="00E14EE6">
            <w:pPr>
              <w:jc w:val="right"/>
              <w:rPr>
                <w:sz w:val="14"/>
                <w:szCs w:val="14"/>
              </w:rPr>
            </w:pPr>
            <w:r w:rsidRPr="00E14EE6">
              <w:rPr>
                <w:sz w:val="14"/>
              </w:rPr>
              <w:t>2.0</w:t>
            </w:r>
          </w:p>
        </w:tc>
        <w:tc>
          <w:tcPr>
            <w:tcW w:w="399" w:type="pct"/>
            <w:noWrap/>
            <w:hideMark/>
          </w:tcPr>
          <w:p w14:paraId="1C3487D0" w14:textId="77777777" w:rsidR="00CA7676" w:rsidRPr="00E14EE6" w:rsidRDefault="00CA7676" w:rsidP="00E14EE6">
            <w:pPr>
              <w:jc w:val="right"/>
              <w:rPr>
                <w:sz w:val="14"/>
                <w:szCs w:val="14"/>
              </w:rPr>
            </w:pPr>
            <w:r w:rsidRPr="00E14EE6">
              <w:rPr>
                <w:sz w:val="14"/>
              </w:rPr>
              <w:t>1.9</w:t>
            </w:r>
          </w:p>
        </w:tc>
        <w:tc>
          <w:tcPr>
            <w:tcW w:w="399" w:type="pct"/>
            <w:noWrap/>
            <w:hideMark/>
          </w:tcPr>
          <w:p w14:paraId="264AFC66" w14:textId="77777777" w:rsidR="00CA7676" w:rsidRPr="00E14EE6" w:rsidRDefault="00CA7676" w:rsidP="00E14EE6">
            <w:pPr>
              <w:jc w:val="right"/>
              <w:rPr>
                <w:sz w:val="14"/>
                <w:szCs w:val="14"/>
              </w:rPr>
            </w:pPr>
            <w:r w:rsidRPr="00E14EE6">
              <w:rPr>
                <w:sz w:val="14"/>
              </w:rPr>
              <w:t>1.9</w:t>
            </w:r>
          </w:p>
        </w:tc>
        <w:tc>
          <w:tcPr>
            <w:tcW w:w="399" w:type="pct"/>
            <w:noWrap/>
            <w:hideMark/>
          </w:tcPr>
          <w:p w14:paraId="25C1939F" w14:textId="77777777" w:rsidR="00CA7676" w:rsidRPr="00E14EE6" w:rsidRDefault="00CA7676" w:rsidP="00E14EE6">
            <w:pPr>
              <w:jc w:val="right"/>
              <w:rPr>
                <w:sz w:val="14"/>
                <w:szCs w:val="14"/>
              </w:rPr>
            </w:pPr>
            <w:r w:rsidRPr="00E14EE6">
              <w:rPr>
                <w:sz w:val="14"/>
              </w:rPr>
              <w:t>1.9</w:t>
            </w:r>
          </w:p>
        </w:tc>
        <w:tc>
          <w:tcPr>
            <w:tcW w:w="399" w:type="pct"/>
            <w:noWrap/>
            <w:hideMark/>
          </w:tcPr>
          <w:p w14:paraId="0E4907F1" w14:textId="77777777" w:rsidR="00CA7676" w:rsidRPr="00E14EE6" w:rsidRDefault="00CA7676" w:rsidP="00E14EE6">
            <w:pPr>
              <w:jc w:val="right"/>
              <w:rPr>
                <w:sz w:val="14"/>
                <w:szCs w:val="14"/>
              </w:rPr>
            </w:pPr>
            <w:r w:rsidRPr="00E14EE6">
              <w:rPr>
                <w:sz w:val="14"/>
              </w:rPr>
              <w:t>1.8</w:t>
            </w:r>
          </w:p>
        </w:tc>
        <w:tc>
          <w:tcPr>
            <w:tcW w:w="399" w:type="pct"/>
            <w:noWrap/>
            <w:hideMark/>
          </w:tcPr>
          <w:p w14:paraId="22C25F7A" w14:textId="77777777" w:rsidR="00CA7676" w:rsidRPr="00E14EE6" w:rsidRDefault="00CA7676" w:rsidP="00E14EE6">
            <w:pPr>
              <w:jc w:val="right"/>
              <w:rPr>
                <w:sz w:val="14"/>
                <w:szCs w:val="14"/>
              </w:rPr>
            </w:pPr>
            <w:r w:rsidRPr="00E14EE6">
              <w:rPr>
                <w:sz w:val="14"/>
              </w:rPr>
              <w:t>2.0</w:t>
            </w:r>
          </w:p>
        </w:tc>
        <w:tc>
          <w:tcPr>
            <w:tcW w:w="399" w:type="pct"/>
            <w:noWrap/>
            <w:hideMark/>
          </w:tcPr>
          <w:p w14:paraId="15D58445" w14:textId="77777777" w:rsidR="00CA7676" w:rsidRPr="00E14EE6" w:rsidRDefault="00CA7676" w:rsidP="00E14EE6">
            <w:pPr>
              <w:jc w:val="right"/>
              <w:rPr>
                <w:sz w:val="14"/>
                <w:szCs w:val="14"/>
              </w:rPr>
            </w:pPr>
            <w:r w:rsidRPr="00E14EE6">
              <w:rPr>
                <w:sz w:val="14"/>
              </w:rPr>
              <w:t>2.0</w:t>
            </w:r>
          </w:p>
        </w:tc>
        <w:tc>
          <w:tcPr>
            <w:tcW w:w="399" w:type="pct"/>
          </w:tcPr>
          <w:p w14:paraId="3B400057" w14:textId="77777777" w:rsidR="00CA7676" w:rsidRPr="00E14EE6" w:rsidRDefault="00CA7676" w:rsidP="00E14EE6">
            <w:pPr>
              <w:jc w:val="right"/>
              <w:rPr>
                <w:sz w:val="14"/>
                <w:szCs w:val="14"/>
              </w:rPr>
            </w:pPr>
            <w:r w:rsidRPr="00E14EE6">
              <w:rPr>
                <w:sz w:val="14"/>
              </w:rPr>
              <w:t>1.7</w:t>
            </w:r>
          </w:p>
        </w:tc>
      </w:tr>
      <w:tr w:rsidR="00CA7676" w:rsidRPr="00E14EE6" w14:paraId="78FC9A69" w14:textId="77777777" w:rsidTr="00FD6B66">
        <w:trPr>
          <w:trHeight w:val="20"/>
        </w:trPr>
        <w:tc>
          <w:tcPr>
            <w:tcW w:w="1411" w:type="pct"/>
            <w:noWrap/>
            <w:hideMark/>
          </w:tcPr>
          <w:p w14:paraId="114EF464" w14:textId="77777777" w:rsidR="00CA7676" w:rsidRPr="00E14EE6" w:rsidRDefault="00CA7676" w:rsidP="00E14EE6">
            <w:pPr>
              <w:jc w:val="left"/>
              <w:rPr>
                <w:sz w:val="14"/>
                <w:szCs w:val="14"/>
              </w:rPr>
            </w:pPr>
            <w:r w:rsidRPr="00E14EE6">
              <w:rPr>
                <w:sz w:val="14"/>
              </w:rPr>
              <w:t>Industry</w:t>
            </w:r>
          </w:p>
        </w:tc>
        <w:tc>
          <w:tcPr>
            <w:tcW w:w="399" w:type="pct"/>
            <w:noWrap/>
            <w:hideMark/>
          </w:tcPr>
          <w:p w14:paraId="1D02512F" w14:textId="77777777" w:rsidR="00CA7676" w:rsidRPr="00E14EE6" w:rsidRDefault="00CA7676" w:rsidP="00E14EE6">
            <w:pPr>
              <w:jc w:val="right"/>
              <w:rPr>
                <w:sz w:val="14"/>
                <w:szCs w:val="14"/>
              </w:rPr>
            </w:pPr>
            <w:r w:rsidRPr="00E14EE6">
              <w:rPr>
                <w:sz w:val="14"/>
              </w:rPr>
              <w:t>27.2</w:t>
            </w:r>
          </w:p>
        </w:tc>
        <w:tc>
          <w:tcPr>
            <w:tcW w:w="399" w:type="pct"/>
            <w:noWrap/>
            <w:hideMark/>
          </w:tcPr>
          <w:p w14:paraId="7CF13C08" w14:textId="77777777" w:rsidR="00CA7676" w:rsidRPr="00E14EE6" w:rsidRDefault="00CA7676" w:rsidP="00E14EE6">
            <w:pPr>
              <w:jc w:val="right"/>
              <w:rPr>
                <w:sz w:val="14"/>
                <w:szCs w:val="14"/>
              </w:rPr>
            </w:pPr>
            <w:r w:rsidRPr="00E14EE6">
              <w:rPr>
                <w:sz w:val="14"/>
              </w:rPr>
              <w:t>26.5</w:t>
            </w:r>
          </w:p>
        </w:tc>
        <w:tc>
          <w:tcPr>
            <w:tcW w:w="399" w:type="pct"/>
            <w:noWrap/>
            <w:hideMark/>
          </w:tcPr>
          <w:p w14:paraId="4D98F571" w14:textId="77777777" w:rsidR="00CA7676" w:rsidRPr="00E14EE6" w:rsidRDefault="00CA7676" w:rsidP="00E14EE6">
            <w:pPr>
              <w:jc w:val="right"/>
              <w:rPr>
                <w:sz w:val="14"/>
                <w:szCs w:val="14"/>
              </w:rPr>
            </w:pPr>
            <w:r w:rsidRPr="00E14EE6">
              <w:rPr>
                <w:sz w:val="14"/>
              </w:rPr>
              <w:t>25.9</w:t>
            </w:r>
          </w:p>
        </w:tc>
        <w:tc>
          <w:tcPr>
            <w:tcW w:w="399" w:type="pct"/>
            <w:noWrap/>
            <w:hideMark/>
          </w:tcPr>
          <w:p w14:paraId="000CD7AE" w14:textId="77777777" w:rsidR="00CA7676" w:rsidRPr="00E14EE6" w:rsidRDefault="00CA7676" w:rsidP="00E14EE6">
            <w:pPr>
              <w:jc w:val="right"/>
              <w:rPr>
                <w:sz w:val="14"/>
                <w:szCs w:val="14"/>
              </w:rPr>
            </w:pPr>
            <w:r w:rsidRPr="00E14EE6">
              <w:rPr>
                <w:sz w:val="14"/>
              </w:rPr>
              <w:t>26.4</w:t>
            </w:r>
          </w:p>
        </w:tc>
        <w:tc>
          <w:tcPr>
            <w:tcW w:w="399" w:type="pct"/>
            <w:noWrap/>
            <w:hideMark/>
          </w:tcPr>
          <w:p w14:paraId="07BAE9B5" w14:textId="77777777" w:rsidR="00CA7676" w:rsidRPr="00E14EE6" w:rsidRDefault="00CA7676" w:rsidP="00E14EE6">
            <w:pPr>
              <w:jc w:val="right"/>
              <w:rPr>
                <w:sz w:val="14"/>
                <w:szCs w:val="14"/>
              </w:rPr>
            </w:pPr>
            <w:r w:rsidRPr="00E14EE6">
              <w:rPr>
                <w:sz w:val="14"/>
              </w:rPr>
              <w:t>27.3</w:t>
            </w:r>
          </w:p>
        </w:tc>
        <w:tc>
          <w:tcPr>
            <w:tcW w:w="399" w:type="pct"/>
            <w:noWrap/>
            <w:hideMark/>
          </w:tcPr>
          <w:p w14:paraId="28A480C6" w14:textId="77777777" w:rsidR="00CA7676" w:rsidRPr="00E14EE6" w:rsidRDefault="00CA7676" w:rsidP="00E14EE6">
            <w:pPr>
              <w:jc w:val="right"/>
              <w:rPr>
                <w:sz w:val="14"/>
                <w:szCs w:val="14"/>
              </w:rPr>
            </w:pPr>
            <w:r w:rsidRPr="00E14EE6">
              <w:rPr>
                <w:sz w:val="14"/>
              </w:rPr>
              <w:t>27.5</w:t>
            </w:r>
          </w:p>
        </w:tc>
        <w:tc>
          <w:tcPr>
            <w:tcW w:w="399" w:type="pct"/>
            <w:noWrap/>
            <w:hideMark/>
          </w:tcPr>
          <w:p w14:paraId="49ED0005" w14:textId="77777777" w:rsidR="00CA7676" w:rsidRPr="00E14EE6" w:rsidRDefault="00CA7676" w:rsidP="00E14EE6">
            <w:pPr>
              <w:jc w:val="right"/>
              <w:rPr>
                <w:sz w:val="14"/>
                <w:szCs w:val="14"/>
              </w:rPr>
            </w:pPr>
            <w:r w:rsidRPr="00E14EE6">
              <w:rPr>
                <w:sz w:val="14"/>
              </w:rPr>
              <w:t>28.7</w:t>
            </w:r>
          </w:p>
        </w:tc>
        <w:tc>
          <w:tcPr>
            <w:tcW w:w="399" w:type="pct"/>
            <w:noWrap/>
            <w:hideMark/>
          </w:tcPr>
          <w:p w14:paraId="24268A26" w14:textId="77777777" w:rsidR="00CA7676" w:rsidRPr="00E14EE6" w:rsidRDefault="00CA7676" w:rsidP="00E14EE6">
            <w:pPr>
              <w:jc w:val="right"/>
              <w:rPr>
                <w:sz w:val="14"/>
                <w:szCs w:val="14"/>
              </w:rPr>
            </w:pPr>
            <w:r w:rsidRPr="00E14EE6">
              <w:rPr>
                <w:sz w:val="14"/>
              </w:rPr>
              <w:t>31.3</w:t>
            </w:r>
          </w:p>
        </w:tc>
        <w:tc>
          <w:tcPr>
            <w:tcW w:w="399" w:type="pct"/>
          </w:tcPr>
          <w:p w14:paraId="758E8E78" w14:textId="77777777" w:rsidR="00CA7676" w:rsidRPr="00E14EE6" w:rsidRDefault="00CA7676" w:rsidP="00E14EE6">
            <w:pPr>
              <w:jc w:val="right"/>
              <w:rPr>
                <w:sz w:val="14"/>
                <w:szCs w:val="14"/>
              </w:rPr>
            </w:pPr>
            <w:r w:rsidRPr="00E14EE6">
              <w:rPr>
                <w:sz w:val="14"/>
              </w:rPr>
              <w:t>33.1</w:t>
            </w:r>
          </w:p>
        </w:tc>
      </w:tr>
      <w:tr w:rsidR="00CA7676" w:rsidRPr="00E14EE6" w14:paraId="43540FCF" w14:textId="77777777" w:rsidTr="00FD6B66">
        <w:trPr>
          <w:cnfStyle w:val="000000010000" w:firstRow="0" w:lastRow="0" w:firstColumn="0" w:lastColumn="0" w:oddVBand="0" w:evenVBand="0" w:oddHBand="0" w:evenHBand="1" w:firstRowFirstColumn="0" w:firstRowLastColumn="0" w:lastRowFirstColumn="0" w:lastRowLastColumn="0"/>
          <w:trHeight w:val="20"/>
        </w:trPr>
        <w:tc>
          <w:tcPr>
            <w:tcW w:w="1411" w:type="pct"/>
            <w:noWrap/>
            <w:hideMark/>
          </w:tcPr>
          <w:p w14:paraId="0DBCA210" w14:textId="77777777" w:rsidR="00CA7676" w:rsidRPr="00E14EE6" w:rsidRDefault="00CA7676" w:rsidP="00E14EE6">
            <w:pPr>
              <w:ind w:left="113"/>
              <w:jc w:val="left"/>
              <w:rPr>
                <w:sz w:val="14"/>
                <w:szCs w:val="14"/>
              </w:rPr>
            </w:pPr>
            <w:r w:rsidRPr="00E14EE6">
              <w:rPr>
                <w:sz w:val="14"/>
              </w:rPr>
              <w:t>Mining and quarrying</w:t>
            </w:r>
          </w:p>
        </w:tc>
        <w:tc>
          <w:tcPr>
            <w:tcW w:w="399" w:type="pct"/>
            <w:noWrap/>
            <w:hideMark/>
          </w:tcPr>
          <w:p w14:paraId="18A1F34A" w14:textId="77777777" w:rsidR="00CA7676" w:rsidRPr="00E14EE6" w:rsidRDefault="00CA7676" w:rsidP="00E14EE6">
            <w:pPr>
              <w:jc w:val="right"/>
              <w:rPr>
                <w:sz w:val="14"/>
                <w:szCs w:val="14"/>
              </w:rPr>
            </w:pPr>
            <w:r w:rsidRPr="00E14EE6">
              <w:rPr>
                <w:sz w:val="14"/>
              </w:rPr>
              <w:t>2.0</w:t>
            </w:r>
          </w:p>
        </w:tc>
        <w:tc>
          <w:tcPr>
            <w:tcW w:w="399" w:type="pct"/>
            <w:noWrap/>
            <w:hideMark/>
          </w:tcPr>
          <w:p w14:paraId="17FF2F8F" w14:textId="77777777" w:rsidR="00CA7676" w:rsidRPr="00E14EE6" w:rsidRDefault="00CA7676" w:rsidP="00E14EE6">
            <w:pPr>
              <w:jc w:val="right"/>
              <w:rPr>
                <w:sz w:val="14"/>
                <w:szCs w:val="14"/>
              </w:rPr>
            </w:pPr>
            <w:r w:rsidRPr="00E14EE6">
              <w:rPr>
                <w:sz w:val="14"/>
              </w:rPr>
              <w:t>1.6</w:t>
            </w:r>
          </w:p>
        </w:tc>
        <w:tc>
          <w:tcPr>
            <w:tcW w:w="399" w:type="pct"/>
            <w:noWrap/>
            <w:hideMark/>
          </w:tcPr>
          <w:p w14:paraId="33D033FA" w14:textId="77777777" w:rsidR="00CA7676" w:rsidRPr="00E14EE6" w:rsidRDefault="00CA7676" w:rsidP="00E14EE6">
            <w:pPr>
              <w:jc w:val="right"/>
              <w:rPr>
                <w:sz w:val="14"/>
                <w:szCs w:val="14"/>
              </w:rPr>
            </w:pPr>
            <w:r w:rsidRPr="00E14EE6">
              <w:rPr>
                <w:sz w:val="14"/>
              </w:rPr>
              <w:t>2.0</w:t>
            </w:r>
          </w:p>
        </w:tc>
        <w:tc>
          <w:tcPr>
            <w:tcW w:w="399" w:type="pct"/>
            <w:noWrap/>
            <w:hideMark/>
          </w:tcPr>
          <w:p w14:paraId="5566CC0B" w14:textId="77777777" w:rsidR="00CA7676" w:rsidRPr="00E14EE6" w:rsidRDefault="00CA7676" w:rsidP="00E14EE6">
            <w:pPr>
              <w:jc w:val="right"/>
              <w:rPr>
                <w:sz w:val="14"/>
                <w:szCs w:val="14"/>
              </w:rPr>
            </w:pPr>
            <w:r w:rsidRPr="00E14EE6">
              <w:rPr>
                <w:sz w:val="14"/>
              </w:rPr>
              <w:t>1.9</w:t>
            </w:r>
          </w:p>
        </w:tc>
        <w:tc>
          <w:tcPr>
            <w:tcW w:w="399" w:type="pct"/>
            <w:noWrap/>
            <w:hideMark/>
          </w:tcPr>
          <w:p w14:paraId="63AEB41C" w14:textId="77777777" w:rsidR="00CA7676" w:rsidRPr="00E14EE6" w:rsidRDefault="00CA7676" w:rsidP="00E14EE6">
            <w:pPr>
              <w:jc w:val="right"/>
              <w:rPr>
                <w:sz w:val="14"/>
                <w:szCs w:val="14"/>
              </w:rPr>
            </w:pPr>
            <w:r w:rsidRPr="00E14EE6">
              <w:rPr>
                <w:sz w:val="14"/>
              </w:rPr>
              <w:t>1.7</w:t>
            </w:r>
          </w:p>
        </w:tc>
        <w:tc>
          <w:tcPr>
            <w:tcW w:w="399" w:type="pct"/>
            <w:noWrap/>
            <w:hideMark/>
          </w:tcPr>
          <w:p w14:paraId="40408883" w14:textId="77777777" w:rsidR="00CA7676" w:rsidRPr="00E14EE6" w:rsidRDefault="00CA7676" w:rsidP="00E14EE6">
            <w:pPr>
              <w:jc w:val="right"/>
              <w:rPr>
                <w:sz w:val="14"/>
                <w:szCs w:val="14"/>
              </w:rPr>
            </w:pPr>
            <w:r w:rsidRPr="00E14EE6">
              <w:rPr>
                <w:sz w:val="14"/>
              </w:rPr>
              <w:t>1.8</w:t>
            </w:r>
          </w:p>
        </w:tc>
        <w:tc>
          <w:tcPr>
            <w:tcW w:w="399" w:type="pct"/>
            <w:noWrap/>
            <w:hideMark/>
          </w:tcPr>
          <w:p w14:paraId="06C1EA7A" w14:textId="77777777" w:rsidR="00CA7676" w:rsidRPr="00E14EE6" w:rsidRDefault="00CA7676" w:rsidP="00E14EE6">
            <w:pPr>
              <w:jc w:val="right"/>
              <w:rPr>
                <w:sz w:val="14"/>
                <w:szCs w:val="14"/>
              </w:rPr>
            </w:pPr>
            <w:r w:rsidRPr="00E14EE6">
              <w:rPr>
                <w:sz w:val="14"/>
              </w:rPr>
              <w:t>2.0</w:t>
            </w:r>
          </w:p>
        </w:tc>
        <w:tc>
          <w:tcPr>
            <w:tcW w:w="399" w:type="pct"/>
            <w:noWrap/>
            <w:hideMark/>
          </w:tcPr>
          <w:p w14:paraId="584CF87A" w14:textId="77777777" w:rsidR="00CA7676" w:rsidRPr="00E14EE6" w:rsidRDefault="00CA7676" w:rsidP="00E14EE6">
            <w:pPr>
              <w:jc w:val="right"/>
              <w:rPr>
                <w:sz w:val="14"/>
                <w:szCs w:val="14"/>
              </w:rPr>
            </w:pPr>
            <w:r w:rsidRPr="00E14EE6">
              <w:rPr>
                <w:sz w:val="14"/>
              </w:rPr>
              <w:t>1.8</w:t>
            </w:r>
          </w:p>
        </w:tc>
        <w:tc>
          <w:tcPr>
            <w:tcW w:w="399" w:type="pct"/>
          </w:tcPr>
          <w:p w14:paraId="1BE535F7" w14:textId="77777777" w:rsidR="00CA7676" w:rsidRPr="00E14EE6" w:rsidRDefault="00CA7676" w:rsidP="00E14EE6">
            <w:pPr>
              <w:jc w:val="right"/>
              <w:rPr>
                <w:sz w:val="14"/>
                <w:szCs w:val="14"/>
              </w:rPr>
            </w:pPr>
            <w:r w:rsidRPr="00E14EE6">
              <w:rPr>
                <w:sz w:val="14"/>
              </w:rPr>
              <w:t>1.6</w:t>
            </w:r>
          </w:p>
        </w:tc>
      </w:tr>
      <w:tr w:rsidR="00CA7676" w:rsidRPr="00E14EE6" w14:paraId="2E0220F4" w14:textId="77777777" w:rsidTr="00FD6B66">
        <w:trPr>
          <w:trHeight w:val="20"/>
        </w:trPr>
        <w:tc>
          <w:tcPr>
            <w:tcW w:w="1411" w:type="pct"/>
            <w:noWrap/>
            <w:hideMark/>
          </w:tcPr>
          <w:p w14:paraId="0AEF5231" w14:textId="77777777" w:rsidR="00CA7676" w:rsidRPr="00E14EE6" w:rsidRDefault="00CA7676" w:rsidP="00E14EE6">
            <w:pPr>
              <w:ind w:left="113"/>
              <w:jc w:val="left"/>
              <w:rPr>
                <w:sz w:val="14"/>
                <w:szCs w:val="14"/>
              </w:rPr>
            </w:pPr>
            <w:r w:rsidRPr="00E14EE6">
              <w:rPr>
                <w:sz w:val="14"/>
              </w:rPr>
              <w:t>Local manufacturing</w:t>
            </w:r>
          </w:p>
        </w:tc>
        <w:tc>
          <w:tcPr>
            <w:tcW w:w="399" w:type="pct"/>
            <w:noWrap/>
            <w:hideMark/>
          </w:tcPr>
          <w:p w14:paraId="1A30DB0C" w14:textId="77777777" w:rsidR="00CA7676" w:rsidRPr="00E14EE6" w:rsidRDefault="00CA7676" w:rsidP="00E14EE6">
            <w:pPr>
              <w:jc w:val="right"/>
              <w:rPr>
                <w:sz w:val="14"/>
                <w:szCs w:val="14"/>
              </w:rPr>
            </w:pPr>
            <w:r w:rsidRPr="00E14EE6">
              <w:rPr>
                <w:sz w:val="14"/>
              </w:rPr>
              <w:t>11.2</w:t>
            </w:r>
          </w:p>
        </w:tc>
        <w:tc>
          <w:tcPr>
            <w:tcW w:w="399" w:type="pct"/>
            <w:noWrap/>
            <w:hideMark/>
          </w:tcPr>
          <w:p w14:paraId="5F502C81" w14:textId="77777777" w:rsidR="00CA7676" w:rsidRPr="00E14EE6" w:rsidRDefault="00CA7676" w:rsidP="00E14EE6">
            <w:pPr>
              <w:jc w:val="right"/>
              <w:rPr>
                <w:sz w:val="14"/>
                <w:szCs w:val="14"/>
              </w:rPr>
            </w:pPr>
            <w:r w:rsidRPr="00E14EE6">
              <w:rPr>
                <w:sz w:val="14"/>
              </w:rPr>
              <w:t>11.4</w:t>
            </w:r>
          </w:p>
        </w:tc>
        <w:tc>
          <w:tcPr>
            <w:tcW w:w="399" w:type="pct"/>
            <w:noWrap/>
            <w:hideMark/>
          </w:tcPr>
          <w:p w14:paraId="21C84634" w14:textId="77777777" w:rsidR="00CA7676" w:rsidRPr="00E14EE6" w:rsidRDefault="00CA7676" w:rsidP="00E14EE6">
            <w:pPr>
              <w:jc w:val="right"/>
              <w:rPr>
                <w:sz w:val="14"/>
                <w:szCs w:val="14"/>
              </w:rPr>
            </w:pPr>
            <w:r w:rsidRPr="00E14EE6">
              <w:rPr>
                <w:sz w:val="14"/>
              </w:rPr>
              <w:t>11.1</w:t>
            </w:r>
          </w:p>
        </w:tc>
        <w:tc>
          <w:tcPr>
            <w:tcW w:w="399" w:type="pct"/>
            <w:noWrap/>
            <w:hideMark/>
          </w:tcPr>
          <w:p w14:paraId="1B39FD9A" w14:textId="77777777" w:rsidR="00CA7676" w:rsidRPr="00E14EE6" w:rsidRDefault="00CA7676" w:rsidP="00E14EE6">
            <w:pPr>
              <w:jc w:val="right"/>
              <w:rPr>
                <w:sz w:val="14"/>
                <w:szCs w:val="14"/>
              </w:rPr>
            </w:pPr>
            <w:r w:rsidRPr="00E14EE6">
              <w:rPr>
                <w:sz w:val="14"/>
              </w:rPr>
              <w:t>10.8</w:t>
            </w:r>
          </w:p>
        </w:tc>
        <w:tc>
          <w:tcPr>
            <w:tcW w:w="399" w:type="pct"/>
            <w:noWrap/>
            <w:hideMark/>
          </w:tcPr>
          <w:p w14:paraId="1AC2C614" w14:textId="77777777" w:rsidR="00CA7676" w:rsidRPr="00E14EE6" w:rsidRDefault="00CA7676" w:rsidP="00E14EE6">
            <w:pPr>
              <w:jc w:val="right"/>
              <w:rPr>
                <w:sz w:val="14"/>
                <w:szCs w:val="14"/>
              </w:rPr>
            </w:pPr>
            <w:r w:rsidRPr="00E14EE6">
              <w:rPr>
                <w:sz w:val="14"/>
              </w:rPr>
              <w:t>10.8</w:t>
            </w:r>
          </w:p>
        </w:tc>
        <w:tc>
          <w:tcPr>
            <w:tcW w:w="399" w:type="pct"/>
            <w:noWrap/>
            <w:hideMark/>
          </w:tcPr>
          <w:p w14:paraId="3D35AB88" w14:textId="77777777" w:rsidR="00CA7676" w:rsidRPr="00E14EE6" w:rsidRDefault="00CA7676" w:rsidP="00E14EE6">
            <w:pPr>
              <w:jc w:val="right"/>
              <w:rPr>
                <w:sz w:val="14"/>
                <w:szCs w:val="14"/>
              </w:rPr>
            </w:pPr>
            <w:r w:rsidRPr="00E14EE6">
              <w:rPr>
                <w:sz w:val="14"/>
              </w:rPr>
              <w:t>10.6</w:t>
            </w:r>
          </w:p>
        </w:tc>
        <w:tc>
          <w:tcPr>
            <w:tcW w:w="399" w:type="pct"/>
            <w:noWrap/>
            <w:hideMark/>
          </w:tcPr>
          <w:p w14:paraId="4F025812" w14:textId="77777777" w:rsidR="00CA7676" w:rsidRPr="00E14EE6" w:rsidRDefault="00CA7676" w:rsidP="00E14EE6">
            <w:pPr>
              <w:jc w:val="right"/>
              <w:rPr>
                <w:sz w:val="14"/>
                <w:szCs w:val="14"/>
              </w:rPr>
            </w:pPr>
            <w:r w:rsidRPr="00E14EE6">
              <w:rPr>
                <w:sz w:val="14"/>
              </w:rPr>
              <w:t>10.9</w:t>
            </w:r>
          </w:p>
        </w:tc>
        <w:tc>
          <w:tcPr>
            <w:tcW w:w="399" w:type="pct"/>
            <w:noWrap/>
            <w:hideMark/>
          </w:tcPr>
          <w:p w14:paraId="27F99850" w14:textId="77777777" w:rsidR="00CA7676" w:rsidRPr="00E14EE6" w:rsidRDefault="00CA7676" w:rsidP="00E14EE6">
            <w:pPr>
              <w:jc w:val="right"/>
              <w:rPr>
                <w:sz w:val="14"/>
                <w:szCs w:val="14"/>
              </w:rPr>
            </w:pPr>
            <w:r w:rsidRPr="00E14EE6">
              <w:rPr>
                <w:sz w:val="14"/>
              </w:rPr>
              <w:t>11.5</w:t>
            </w:r>
          </w:p>
        </w:tc>
        <w:tc>
          <w:tcPr>
            <w:tcW w:w="399" w:type="pct"/>
          </w:tcPr>
          <w:p w14:paraId="2D54EC83" w14:textId="77777777" w:rsidR="00CA7676" w:rsidRPr="00E14EE6" w:rsidRDefault="00CA7676" w:rsidP="00E14EE6">
            <w:pPr>
              <w:jc w:val="right"/>
              <w:rPr>
                <w:sz w:val="14"/>
                <w:szCs w:val="14"/>
              </w:rPr>
            </w:pPr>
            <w:r w:rsidRPr="00E14EE6">
              <w:rPr>
                <w:sz w:val="14"/>
              </w:rPr>
              <w:t>11.3</w:t>
            </w:r>
          </w:p>
        </w:tc>
      </w:tr>
      <w:tr w:rsidR="00CA7676" w:rsidRPr="00E14EE6" w14:paraId="325D9539" w14:textId="77777777" w:rsidTr="00FD6B66">
        <w:trPr>
          <w:cnfStyle w:val="000000010000" w:firstRow="0" w:lastRow="0" w:firstColumn="0" w:lastColumn="0" w:oddVBand="0" w:evenVBand="0" w:oddHBand="0" w:evenHBand="1" w:firstRowFirstColumn="0" w:firstRowLastColumn="0" w:lastRowFirstColumn="0" w:lastRowLastColumn="0"/>
          <w:trHeight w:val="20"/>
        </w:trPr>
        <w:tc>
          <w:tcPr>
            <w:tcW w:w="1411" w:type="pct"/>
            <w:noWrap/>
            <w:hideMark/>
          </w:tcPr>
          <w:p w14:paraId="22B6EF6F" w14:textId="77777777" w:rsidR="00CA7676" w:rsidRPr="00E14EE6" w:rsidRDefault="00CA7676" w:rsidP="00E14EE6">
            <w:pPr>
              <w:ind w:left="227"/>
              <w:jc w:val="left"/>
              <w:rPr>
                <w:sz w:val="14"/>
                <w:szCs w:val="14"/>
              </w:rPr>
            </w:pPr>
            <w:r w:rsidRPr="00E14EE6">
              <w:rPr>
                <w:sz w:val="14"/>
              </w:rPr>
              <w:t>Food industry</w:t>
            </w:r>
          </w:p>
        </w:tc>
        <w:tc>
          <w:tcPr>
            <w:tcW w:w="399" w:type="pct"/>
            <w:noWrap/>
            <w:hideMark/>
          </w:tcPr>
          <w:p w14:paraId="5F0C310A" w14:textId="77777777" w:rsidR="00CA7676" w:rsidRPr="00E14EE6" w:rsidRDefault="00CA7676" w:rsidP="00E14EE6">
            <w:pPr>
              <w:jc w:val="right"/>
              <w:rPr>
                <w:sz w:val="14"/>
                <w:szCs w:val="14"/>
              </w:rPr>
            </w:pPr>
            <w:r w:rsidRPr="00E14EE6">
              <w:rPr>
                <w:sz w:val="14"/>
              </w:rPr>
              <w:t>4.4</w:t>
            </w:r>
          </w:p>
        </w:tc>
        <w:tc>
          <w:tcPr>
            <w:tcW w:w="399" w:type="pct"/>
            <w:noWrap/>
            <w:hideMark/>
          </w:tcPr>
          <w:p w14:paraId="71C243EA" w14:textId="77777777" w:rsidR="00CA7676" w:rsidRPr="00E14EE6" w:rsidRDefault="00CA7676" w:rsidP="00E14EE6">
            <w:pPr>
              <w:jc w:val="right"/>
              <w:rPr>
                <w:sz w:val="14"/>
                <w:szCs w:val="14"/>
              </w:rPr>
            </w:pPr>
            <w:r w:rsidRPr="00E14EE6">
              <w:rPr>
                <w:sz w:val="14"/>
              </w:rPr>
              <w:t>4.5</w:t>
            </w:r>
          </w:p>
        </w:tc>
        <w:tc>
          <w:tcPr>
            <w:tcW w:w="399" w:type="pct"/>
            <w:noWrap/>
            <w:hideMark/>
          </w:tcPr>
          <w:p w14:paraId="44B46ECE" w14:textId="77777777" w:rsidR="00CA7676" w:rsidRPr="00E14EE6" w:rsidRDefault="00CA7676" w:rsidP="00E14EE6">
            <w:pPr>
              <w:jc w:val="right"/>
              <w:rPr>
                <w:sz w:val="14"/>
                <w:szCs w:val="14"/>
              </w:rPr>
            </w:pPr>
            <w:r w:rsidRPr="00E14EE6">
              <w:rPr>
                <w:sz w:val="14"/>
              </w:rPr>
              <w:t>4.4</w:t>
            </w:r>
          </w:p>
        </w:tc>
        <w:tc>
          <w:tcPr>
            <w:tcW w:w="399" w:type="pct"/>
            <w:noWrap/>
            <w:hideMark/>
          </w:tcPr>
          <w:p w14:paraId="590BA5FB" w14:textId="77777777" w:rsidR="00CA7676" w:rsidRPr="00E14EE6" w:rsidRDefault="00CA7676" w:rsidP="00E14EE6">
            <w:pPr>
              <w:jc w:val="right"/>
              <w:rPr>
                <w:sz w:val="14"/>
                <w:szCs w:val="14"/>
              </w:rPr>
            </w:pPr>
            <w:r w:rsidRPr="00E14EE6">
              <w:rPr>
                <w:sz w:val="14"/>
              </w:rPr>
              <w:t>4.3</w:t>
            </w:r>
          </w:p>
        </w:tc>
        <w:tc>
          <w:tcPr>
            <w:tcW w:w="399" w:type="pct"/>
            <w:noWrap/>
            <w:hideMark/>
          </w:tcPr>
          <w:p w14:paraId="2EEB8386" w14:textId="77777777" w:rsidR="00CA7676" w:rsidRPr="00E14EE6" w:rsidRDefault="00CA7676" w:rsidP="00E14EE6">
            <w:pPr>
              <w:jc w:val="right"/>
              <w:rPr>
                <w:sz w:val="14"/>
                <w:szCs w:val="14"/>
              </w:rPr>
            </w:pPr>
            <w:r w:rsidRPr="00E14EE6">
              <w:rPr>
                <w:sz w:val="14"/>
              </w:rPr>
              <w:t>4.2</w:t>
            </w:r>
          </w:p>
        </w:tc>
        <w:tc>
          <w:tcPr>
            <w:tcW w:w="399" w:type="pct"/>
            <w:noWrap/>
            <w:hideMark/>
          </w:tcPr>
          <w:p w14:paraId="1C217064" w14:textId="77777777" w:rsidR="00CA7676" w:rsidRPr="00E14EE6" w:rsidRDefault="00CA7676" w:rsidP="00E14EE6">
            <w:pPr>
              <w:jc w:val="right"/>
              <w:rPr>
                <w:sz w:val="14"/>
                <w:szCs w:val="14"/>
              </w:rPr>
            </w:pPr>
            <w:r w:rsidRPr="00E14EE6">
              <w:rPr>
                <w:sz w:val="14"/>
              </w:rPr>
              <w:t>4.1</w:t>
            </w:r>
          </w:p>
        </w:tc>
        <w:tc>
          <w:tcPr>
            <w:tcW w:w="399" w:type="pct"/>
            <w:noWrap/>
            <w:hideMark/>
          </w:tcPr>
          <w:p w14:paraId="49E17575" w14:textId="77777777" w:rsidR="00CA7676" w:rsidRPr="00E14EE6" w:rsidRDefault="00CA7676" w:rsidP="00E14EE6">
            <w:pPr>
              <w:jc w:val="right"/>
              <w:rPr>
                <w:sz w:val="14"/>
                <w:szCs w:val="14"/>
              </w:rPr>
            </w:pPr>
            <w:r w:rsidRPr="00E14EE6">
              <w:rPr>
                <w:sz w:val="14"/>
              </w:rPr>
              <w:t>4.6</w:t>
            </w:r>
          </w:p>
        </w:tc>
        <w:tc>
          <w:tcPr>
            <w:tcW w:w="399" w:type="pct"/>
            <w:noWrap/>
            <w:hideMark/>
          </w:tcPr>
          <w:p w14:paraId="6963EE21" w14:textId="77777777" w:rsidR="00CA7676" w:rsidRPr="00E14EE6" w:rsidRDefault="00CA7676" w:rsidP="00E14EE6">
            <w:pPr>
              <w:jc w:val="right"/>
              <w:rPr>
                <w:sz w:val="14"/>
                <w:szCs w:val="14"/>
              </w:rPr>
            </w:pPr>
            <w:r w:rsidRPr="00E14EE6">
              <w:rPr>
                <w:sz w:val="14"/>
              </w:rPr>
              <w:t>4.5</w:t>
            </w:r>
          </w:p>
        </w:tc>
        <w:tc>
          <w:tcPr>
            <w:tcW w:w="399" w:type="pct"/>
          </w:tcPr>
          <w:p w14:paraId="39B36605" w14:textId="77777777" w:rsidR="00CA7676" w:rsidRPr="00E14EE6" w:rsidRDefault="00CA7676" w:rsidP="00E14EE6">
            <w:pPr>
              <w:jc w:val="right"/>
              <w:rPr>
                <w:sz w:val="14"/>
                <w:szCs w:val="14"/>
              </w:rPr>
            </w:pPr>
            <w:r w:rsidRPr="00E14EE6">
              <w:rPr>
                <w:sz w:val="14"/>
              </w:rPr>
              <w:t>4.3</w:t>
            </w:r>
          </w:p>
        </w:tc>
      </w:tr>
      <w:tr w:rsidR="00CA7676" w:rsidRPr="00E14EE6" w14:paraId="3C00BC6E" w14:textId="77777777" w:rsidTr="00FD6B66">
        <w:trPr>
          <w:trHeight w:val="20"/>
        </w:trPr>
        <w:tc>
          <w:tcPr>
            <w:tcW w:w="1411" w:type="pct"/>
            <w:noWrap/>
            <w:hideMark/>
          </w:tcPr>
          <w:p w14:paraId="4B328984" w14:textId="77777777" w:rsidR="00CA7676" w:rsidRPr="00E14EE6" w:rsidRDefault="00CA7676" w:rsidP="00E14EE6">
            <w:pPr>
              <w:ind w:left="227"/>
              <w:jc w:val="left"/>
              <w:rPr>
                <w:sz w:val="14"/>
                <w:szCs w:val="14"/>
              </w:rPr>
            </w:pPr>
            <w:r w:rsidRPr="00E14EE6">
              <w:rPr>
                <w:sz w:val="14"/>
              </w:rPr>
              <w:t>Beverages and tobacco products</w:t>
            </w:r>
          </w:p>
        </w:tc>
        <w:tc>
          <w:tcPr>
            <w:tcW w:w="399" w:type="pct"/>
            <w:noWrap/>
            <w:hideMark/>
          </w:tcPr>
          <w:p w14:paraId="6CD276AD" w14:textId="77777777" w:rsidR="00CA7676" w:rsidRPr="00E14EE6" w:rsidRDefault="00CA7676" w:rsidP="00E14EE6">
            <w:pPr>
              <w:jc w:val="right"/>
              <w:rPr>
                <w:sz w:val="14"/>
                <w:szCs w:val="14"/>
              </w:rPr>
            </w:pPr>
            <w:r w:rsidRPr="00E14EE6">
              <w:rPr>
                <w:sz w:val="14"/>
              </w:rPr>
              <w:t>1.2</w:t>
            </w:r>
          </w:p>
        </w:tc>
        <w:tc>
          <w:tcPr>
            <w:tcW w:w="399" w:type="pct"/>
            <w:noWrap/>
            <w:hideMark/>
          </w:tcPr>
          <w:p w14:paraId="611FB000" w14:textId="77777777" w:rsidR="00CA7676" w:rsidRPr="00E14EE6" w:rsidRDefault="00CA7676" w:rsidP="00E14EE6">
            <w:pPr>
              <w:jc w:val="right"/>
              <w:rPr>
                <w:sz w:val="14"/>
                <w:szCs w:val="14"/>
              </w:rPr>
            </w:pPr>
            <w:r w:rsidRPr="00E14EE6">
              <w:rPr>
                <w:sz w:val="14"/>
              </w:rPr>
              <w:t>1.3</w:t>
            </w:r>
          </w:p>
        </w:tc>
        <w:tc>
          <w:tcPr>
            <w:tcW w:w="399" w:type="pct"/>
            <w:noWrap/>
            <w:hideMark/>
          </w:tcPr>
          <w:p w14:paraId="17AFD23C" w14:textId="77777777" w:rsidR="00CA7676" w:rsidRPr="00E14EE6" w:rsidRDefault="00CA7676" w:rsidP="00E14EE6">
            <w:pPr>
              <w:jc w:val="right"/>
              <w:rPr>
                <w:sz w:val="14"/>
                <w:szCs w:val="14"/>
              </w:rPr>
            </w:pPr>
            <w:r w:rsidRPr="00E14EE6">
              <w:rPr>
                <w:sz w:val="14"/>
              </w:rPr>
              <w:t>1.3</w:t>
            </w:r>
          </w:p>
        </w:tc>
        <w:tc>
          <w:tcPr>
            <w:tcW w:w="399" w:type="pct"/>
            <w:noWrap/>
            <w:hideMark/>
          </w:tcPr>
          <w:p w14:paraId="4F21004B" w14:textId="77777777" w:rsidR="00CA7676" w:rsidRPr="00E14EE6" w:rsidRDefault="00CA7676" w:rsidP="00E14EE6">
            <w:pPr>
              <w:jc w:val="right"/>
              <w:rPr>
                <w:sz w:val="14"/>
                <w:szCs w:val="14"/>
              </w:rPr>
            </w:pPr>
            <w:r w:rsidRPr="00E14EE6">
              <w:rPr>
                <w:sz w:val="14"/>
              </w:rPr>
              <w:t>1.4</w:t>
            </w:r>
          </w:p>
        </w:tc>
        <w:tc>
          <w:tcPr>
            <w:tcW w:w="399" w:type="pct"/>
            <w:noWrap/>
            <w:hideMark/>
          </w:tcPr>
          <w:p w14:paraId="40151570" w14:textId="77777777" w:rsidR="00CA7676" w:rsidRPr="00E14EE6" w:rsidRDefault="00CA7676" w:rsidP="00E14EE6">
            <w:pPr>
              <w:jc w:val="right"/>
              <w:rPr>
                <w:sz w:val="14"/>
                <w:szCs w:val="14"/>
              </w:rPr>
            </w:pPr>
            <w:r w:rsidRPr="00E14EE6">
              <w:rPr>
                <w:sz w:val="14"/>
              </w:rPr>
              <w:t>1.3</w:t>
            </w:r>
          </w:p>
        </w:tc>
        <w:tc>
          <w:tcPr>
            <w:tcW w:w="399" w:type="pct"/>
            <w:noWrap/>
            <w:hideMark/>
          </w:tcPr>
          <w:p w14:paraId="03E43B83" w14:textId="77777777" w:rsidR="00CA7676" w:rsidRPr="00E14EE6" w:rsidRDefault="00CA7676" w:rsidP="00E14EE6">
            <w:pPr>
              <w:jc w:val="right"/>
              <w:rPr>
                <w:sz w:val="14"/>
                <w:szCs w:val="14"/>
              </w:rPr>
            </w:pPr>
            <w:r w:rsidRPr="00E14EE6">
              <w:rPr>
                <w:sz w:val="14"/>
              </w:rPr>
              <w:t>1.3</w:t>
            </w:r>
          </w:p>
        </w:tc>
        <w:tc>
          <w:tcPr>
            <w:tcW w:w="399" w:type="pct"/>
            <w:noWrap/>
            <w:hideMark/>
          </w:tcPr>
          <w:p w14:paraId="65CBD18D" w14:textId="77777777" w:rsidR="00CA7676" w:rsidRPr="00E14EE6" w:rsidRDefault="00CA7676" w:rsidP="00E14EE6">
            <w:pPr>
              <w:jc w:val="right"/>
              <w:rPr>
                <w:sz w:val="14"/>
                <w:szCs w:val="14"/>
              </w:rPr>
            </w:pPr>
            <w:r w:rsidRPr="00E14EE6">
              <w:rPr>
                <w:sz w:val="14"/>
              </w:rPr>
              <w:t>1.4</w:t>
            </w:r>
          </w:p>
        </w:tc>
        <w:tc>
          <w:tcPr>
            <w:tcW w:w="399" w:type="pct"/>
            <w:noWrap/>
            <w:hideMark/>
          </w:tcPr>
          <w:p w14:paraId="5732FA91" w14:textId="77777777" w:rsidR="00CA7676" w:rsidRPr="00E14EE6" w:rsidRDefault="00CA7676" w:rsidP="00E14EE6">
            <w:pPr>
              <w:jc w:val="right"/>
              <w:rPr>
                <w:sz w:val="14"/>
                <w:szCs w:val="14"/>
              </w:rPr>
            </w:pPr>
            <w:r w:rsidRPr="00E14EE6">
              <w:rPr>
                <w:sz w:val="14"/>
              </w:rPr>
              <w:t>1.4</w:t>
            </w:r>
          </w:p>
        </w:tc>
        <w:tc>
          <w:tcPr>
            <w:tcW w:w="399" w:type="pct"/>
          </w:tcPr>
          <w:p w14:paraId="59C37F8A" w14:textId="77777777" w:rsidR="00CA7676" w:rsidRPr="00E14EE6" w:rsidRDefault="00CA7676" w:rsidP="00E14EE6">
            <w:pPr>
              <w:jc w:val="right"/>
              <w:rPr>
                <w:sz w:val="14"/>
                <w:szCs w:val="14"/>
              </w:rPr>
            </w:pPr>
            <w:r w:rsidRPr="00E14EE6">
              <w:rPr>
                <w:sz w:val="14"/>
              </w:rPr>
              <w:t>1.3</w:t>
            </w:r>
          </w:p>
        </w:tc>
      </w:tr>
      <w:tr w:rsidR="00CA7676" w:rsidRPr="00E14EE6" w14:paraId="4E31D665" w14:textId="77777777" w:rsidTr="00FD6B66">
        <w:trPr>
          <w:cnfStyle w:val="000000010000" w:firstRow="0" w:lastRow="0" w:firstColumn="0" w:lastColumn="0" w:oddVBand="0" w:evenVBand="0" w:oddHBand="0" w:evenHBand="1" w:firstRowFirstColumn="0" w:firstRowLastColumn="0" w:lastRowFirstColumn="0" w:lastRowLastColumn="0"/>
          <w:trHeight w:val="20"/>
        </w:trPr>
        <w:tc>
          <w:tcPr>
            <w:tcW w:w="1411" w:type="pct"/>
            <w:noWrap/>
            <w:hideMark/>
          </w:tcPr>
          <w:p w14:paraId="0349A600" w14:textId="77777777" w:rsidR="00CA7676" w:rsidRPr="00E14EE6" w:rsidRDefault="00CA7676" w:rsidP="00E14EE6">
            <w:pPr>
              <w:ind w:left="227"/>
              <w:jc w:val="left"/>
              <w:rPr>
                <w:sz w:val="14"/>
                <w:szCs w:val="14"/>
              </w:rPr>
            </w:pPr>
            <w:r w:rsidRPr="00E14EE6">
              <w:rPr>
                <w:sz w:val="14"/>
              </w:rPr>
              <w:t>Manufacture of refined petroleum products and chemicals</w:t>
            </w:r>
          </w:p>
        </w:tc>
        <w:tc>
          <w:tcPr>
            <w:tcW w:w="399" w:type="pct"/>
            <w:noWrap/>
            <w:hideMark/>
          </w:tcPr>
          <w:p w14:paraId="3B71FFE7" w14:textId="77777777" w:rsidR="00CA7676" w:rsidRPr="00E14EE6" w:rsidRDefault="00CA7676" w:rsidP="00E14EE6">
            <w:pPr>
              <w:jc w:val="right"/>
              <w:rPr>
                <w:sz w:val="14"/>
                <w:szCs w:val="14"/>
              </w:rPr>
            </w:pPr>
            <w:r w:rsidRPr="00E14EE6">
              <w:rPr>
                <w:sz w:val="14"/>
              </w:rPr>
              <w:t>1.1</w:t>
            </w:r>
          </w:p>
        </w:tc>
        <w:tc>
          <w:tcPr>
            <w:tcW w:w="399" w:type="pct"/>
            <w:noWrap/>
            <w:hideMark/>
          </w:tcPr>
          <w:p w14:paraId="1F7319B6" w14:textId="77777777" w:rsidR="00CA7676" w:rsidRPr="00E14EE6" w:rsidRDefault="00CA7676" w:rsidP="00E14EE6">
            <w:pPr>
              <w:jc w:val="right"/>
              <w:rPr>
                <w:sz w:val="14"/>
                <w:szCs w:val="14"/>
              </w:rPr>
            </w:pPr>
            <w:r w:rsidRPr="00E14EE6">
              <w:rPr>
                <w:sz w:val="14"/>
              </w:rPr>
              <w:t>1.0</w:t>
            </w:r>
          </w:p>
        </w:tc>
        <w:tc>
          <w:tcPr>
            <w:tcW w:w="399" w:type="pct"/>
            <w:noWrap/>
            <w:hideMark/>
          </w:tcPr>
          <w:p w14:paraId="1DAE2EF7" w14:textId="77777777" w:rsidR="00CA7676" w:rsidRPr="00E14EE6" w:rsidRDefault="00CA7676" w:rsidP="00E14EE6">
            <w:pPr>
              <w:jc w:val="right"/>
              <w:rPr>
                <w:sz w:val="14"/>
                <w:szCs w:val="14"/>
              </w:rPr>
            </w:pPr>
            <w:r w:rsidRPr="00E14EE6">
              <w:rPr>
                <w:sz w:val="14"/>
              </w:rPr>
              <w:t>1.0</w:t>
            </w:r>
          </w:p>
        </w:tc>
        <w:tc>
          <w:tcPr>
            <w:tcW w:w="399" w:type="pct"/>
            <w:noWrap/>
            <w:hideMark/>
          </w:tcPr>
          <w:p w14:paraId="3E4C7706" w14:textId="77777777" w:rsidR="00CA7676" w:rsidRPr="00E14EE6" w:rsidRDefault="00CA7676" w:rsidP="00E14EE6">
            <w:pPr>
              <w:jc w:val="right"/>
              <w:rPr>
                <w:sz w:val="14"/>
                <w:szCs w:val="14"/>
              </w:rPr>
            </w:pPr>
            <w:r w:rsidRPr="00E14EE6">
              <w:rPr>
                <w:sz w:val="14"/>
              </w:rPr>
              <w:t>1.0</w:t>
            </w:r>
          </w:p>
        </w:tc>
        <w:tc>
          <w:tcPr>
            <w:tcW w:w="399" w:type="pct"/>
            <w:noWrap/>
            <w:hideMark/>
          </w:tcPr>
          <w:p w14:paraId="167EEAFD" w14:textId="77777777" w:rsidR="00CA7676" w:rsidRPr="00E14EE6" w:rsidRDefault="00CA7676" w:rsidP="00E14EE6">
            <w:pPr>
              <w:jc w:val="right"/>
              <w:rPr>
                <w:sz w:val="14"/>
                <w:szCs w:val="14"/>
              </w:rPr>
            </w:pPr>
            <w:r w:rsidRPr="00E14EE6">
              <w:rPr>
                <w:sz w:val="14"/>
              </w:rPr>
              <w:t>1.1</w:t>
            </w:r>
          </w:p>
        </w:tc>
        <w:tc>
          <w:tcPr>
            <w:tcW w:w="399" w:type="pct"/>
            <w:noWrap/>
            <w:hideMark/>
          </w:tcPr>
          <w:p w14:paraId="1E099C2B" w14:textId="77777777" w:rsidR="00CA7676" w:rsidRPr="00E14EE6" w:rsidRDefault="00CA7676" w:rsidP="00E14EE6">
            <w:pPr>
              <w:jc w:val="right"/>
              <w:rPr>
                <w:sz w:val="14"/>
                <w:szCs w:val="14"/>
              </w:rPr>
            </w:pPr>
            <w:r w:rsidRPr="00E14EE6">
              <w:rPr>
                <w:sz w:val="14"/>
              </w:rPr>
              <w:t>1.0</w:t>
            </w:r>
          </w:p>
        </w:tc>
        <w:tc>
          <w:tcPr>
            <w:tcW w:w="399" w:type="pct"/>
            <w:noWrap/>
            <w:hideMark/>
          </w:tcPr>
          <w:p w14:paraId="71B8D032" w14:textId="77777777" w:rsidR="00CA7676" w:rsidRPr="00E14EE6" w:rsidRDefault="00CA7676" w:rsidP="00E14EE6">
            <w:pPr>
              <w:jc w:val="right"/>
              <w:rPr>
                <w:sz w:val="14"/>
                <w:szCs w:val="14"/>
              </w:rPr>
            </w:pPr>
            <w:r w:rsidRPr="00E14EE6">
              <w:rPr>
                <w:sz w:val="14"/>
              </w:rPr>
              <w:t>1.1</w:t>
            </w:r>
          </w:p>
        </w:tc>
        <w:tc>
          <w:tcPr>
            <w:tcW w:w="399" w:type="pct"/>
            <w:noWrap/>
            <w:hideMark/>
          </w:tcPr>
          <w:p w14:paraId="5A17FF4E" w14:textId="77777777" w:rsidR="00CA7676" w:rsidRPr="00E14EE6" w:rsidRDefault="00CA7676" w:rsidP="00E14EE6">
            <w:pPr>
              <w:jc w:val="right"/>
              <w:rPr>
                <w:sz w:val="14"/>
                <w:szCs w:val="14"/>
              </w:rPr>
            </w:pPr>
            <w:r w:rsidRPr="00E14EE6">
              <w:rPr>
                <w:sz w:val="14"/>
              </w:rPr>
              <w:t>1.2</w:t>
            </w:r>
          </w:p>
        </w:tc>
        <w:tc>
          <w:tcPr>
            <w:tcW w:w="399" w:type="pct"/>
          </w:tcPr>
          <w:p w14:paraId="65AA37F6" w14:textId="77777777" w:rsidR="00CA7676" w:rsidRPr="00E14EE6" w:rsidRDefault="00CA7676" w:rsidP="00E14EE6">
            <w:pPr>
              <w:jc w:val="right"/>
              <w:rPr>
                <w:sz w:val="14"/>
                <w:szCs w:val="14"/>
              </w:rPr>
            </w:pPr>
            <w:r w:rsidRPr="00E14EE6">
              <w:rPr>
                <w:sz w:val="14"/>
              </w:rPr>
              <w:t>1.2</w:t>
            </w:r>
          </w:p>
        </w:tc>
      </w:tr>
      <w:tr w:rsidR="00CA7676" w:rsidRPr="00E14EE6" w14:paraId="7053E48A" w14:textId="77777777" w:rsidTr="00FD6B66">
        <w:trPr>
          <w:trHeight w:val="20"/>
        </w:trPr>
        <w:tc>
          <w:tcPr>
            <w:tcW w:w="1411" w:type="pct"/>
            <w:noWrap/>
            <w:hideMark/>
          </w:tcPr>
          <w:p w14:paraId="68FACE76" w14:textId="77777777" w:rsidR="00CA7676" w:rsidRPr="00E14EE6" w:rsidRDefault="00CA7676" w:rsidP="00E14EE6">
            <w:pPr>
              <w:ind w:left="340"/>
              <w:jc w:val="left"/>
              <w:rPr>
                <w:sz w:val="14"/>
                <w:szCs w:val="14"/>
              </w:rPr>
            </w:pPr>
            <w:r w:rsidRPr="00E14EE6">
              <w:rPr>
                <w:sz w:val="14"/>
              </w:rPr>
              <w:t>Other manufactures</w:t>
            </w:r>
          </w:p>
        </w:tc>
        <w:tc>
          <w:tcPr>
            <w:tcW w:w="399" w:type="pct"/>
            <w:noWrap/>
            <w:hideMark/>
          </w:tcPr>
          <w:p w14:paraId="78CF62AD" w14:textId="77777777" w:rsidR="00CA7676" w:rsidRPr="00E14EE6" w:rsidRDefault="00CA7676" w:rsidP="00E14EE6">
            <w:pPr>
              <w:jc w:val="right"/>
              <w:rPr>
                <w:sz w:val="14"/>
                <w:szCs w:val="14"/>
              </w:rPr>
            </w:pPr>
            <w:r w:rsidRPr="00E14EE6">
              <w:rPr>
                <w:sz w:val="14"/>
              </w:rPr>
              <w:t>4.6</w:t>
            </w:r>
          </w:p>
        </w:tc>
        <w:tc>
          <w:tcPr>
            <w:tcW w:w="399" w:type="pct"/>
            <w:noWrap/>
            <w:hideMark/>
          </w:tcPr>
          <w:p w14:paraId="47097092" w14:textId="77777777" w:rsidR="00CA7676" w:rsidRPr="00E14EE6" w:rsidRDefault="00CA7676" w:rsidP="00E14EE6">
            <w:pPr>
              <w:jc w:val="right"/>
              <w:rPr>
                <w:sz w:val="14"/>
                <w:szCs w:val="14"/>
              </w:rPr>
            </w:pPr>
            <w:r w:rsidRPr="00E14EE6">
              <w:rPr>
                <w:sz w:val="14"/>
              </w:rPr>
              <w:t>4.6</w:t>
            </w:r>
          </w:p>
        </w:tc>
        <w:tc>
          <w:tcPr>
            <w:tcW w:w="399" w:type="pct"/>
            <w:noWrap/>
            <w:hideMark/>
          </w:tcPr>
          <w:p w14:paraId="50307644" w14:textId="77777777" w:rsidR="00CA7676" w:rsidRPr="00E14EE6" w:rsidRDefault="00CA7676" w:rsidP="00E14EE6">
            <w:pPr>
              <w:jc w:val="right"/>
              <w:rPr>
                <w:sz w:val="14"/>
                <w:szCs w:val="14"/>
              </w:rPr>
            </w:pPr>
            <w:r w:rsidRPr="00E14EE6">
              <w:rPr>
                <w:sz w:val="14"/>
              </w:rPr>
              <w:t>4.3</w:t>
            </w:r>
          </w:p>
        </w:tc>
        <w:tc>
          <w:tcPr>
            <w:tcW w:w="399" w:type="pct"/>
            <w:noWrap/>
            <w:hideMark/>
          </w:tcPr>
          <w:p w14:paraId="6E35F7C0" w14:textId="77777777" w:rsidR="00CA7676" w:rsidRPr="00E14EE6" w:rsidRDefault="00CA7676" w:rsidP="00E14EE6">
            <w:pPr>
              <w:jc w:val="right"/>
              <w:rPr>
                <w:sz w:val="14"/>
                <w:szCs w:val="14"/>
              </w:rPr>
            </w:pPr>
            <w:r w:rsidRPr="00E14EE6">
              <w:rPr>
                <w:sz w:val="14"/>
              </w:rPr>
              <w:t>4.1</w:t>
            </w:r>
          </w:p>
        </w:tc>
        <w:tc>
          <w:tcPr>
            <w:tcW w:w="399" w:type="pct"/>
            <w:noWrap/>
            <w:hideMark/>
          </w:tcPr>
          <w:p w14:paraId="276E73EB" w14:textId="77777777" w:rsidR="00CA7676" w:rsidRPr="00E14EE6" w:rsidRDefault="00CA7676" w:rsidP="00E14EE6">
            <w:pPr>
              <w:jc w:val="right"/>
              <w:rPr>
                <w:sz w:val="14"/>
                <w:szCs w:val="14"/>
              </w:rPr>
            </w:pPr>
            <w:r w:rsidRPr="00E14EE6">
              <w:rPr>
                <w:sz w:val="14"/>
              </w:rPr>
              <w:t>4.2</w:t>
            </w:r>
          </w:p>
        </w:tc>
        <w:tc>
          <w:tcPr>
            <w:tcW w:w="399" w:type="pct"/>
            <w:noWrap/>
            <w:hideMark/>
          </w:tcPr>
          <w:p w14:paraId="5361B8E4" w14:textId="77777777" w:rsidR="00CA7676" w:rsidRPr="00E14EE6" w:rsidRDefault="00CA7676" w:rsidP="00E14EE6">
            <w:pPr>
              <w:jc w:val="right"/>
              <w:rPr>
                <w:sz w:val="14"/>
                <w:szCs w:val="14"/>
              </w:rPr>
            </w:pPr>
            <w:r w:rsidRPr="00E14EE6">
              <w:rPr>
                <w:sz w:val="14"/>
              </w:rPr>
              <w:t>4.1</w:t>
            </w:r>
          </w:p>
        </w:tc>
        <w:tc>
          <w:tcPr>
            <w:tcW w:w="399" w:type="pct"/>
            <w:noWrap/>
            <w:hideMark/>
          </w:tcPr>
          <w:p w14:paraId="66FED758" w14:textId="77777777" w:rsidR="00CA7676" w:rsidRPr="00E14EE6" w:rsidRDefault="00CA7676" w:rsidP="00E14EE6">
            <w:pPr>
              <w:jc w:val="right"/>
              <w:rPr>
                <w:sz w:val="14"/>
                <w:szCs w:val="14"/>
              </w:rPr>
            </w:pPr>
            <w:r w:rsidRPr="00E14EE6">
              <w:rPr>
                <w:sz w:val="14"/>
              </w:rPr>
              <w:t>3.9</w:t>
            </w:r>
          </w:p>
        </w:tc>
        <w:tc>
          <w:tcPr>
            <w:tcW w:w="399" w:type="pct"/>
            <w:noWrap/>
            <w:hideMark/>
          </w:tcPr>
          <w:p w14:paraId="599846F9" w14:textId="77777777" w:rsidR="00CA7676" w:rsidRPr="00E14EE6" w:rsidRDefault="00CA7676" w:rsidP="00E14EE6">
            <w:pPr>
              <w:jc w:val="right"/>
              <w:rPr>
                <w:sz w:val="14"/>
                <w:szCs w:val="14"/>
              </w:rPr>
            </w:pPr>
            <w:r w:rsidRPr="00E14EE6">
              <w:rPr>
                <w:sz w:val="14"/>
              </w:rPr>
              <w:t>4.5</w:t>
            </w:r>
          </w:p>
        </w:tc>
        <w:tc>
          <w:tcPr>
            <w:tcW w:w="399" w:type="pct"/>
          </w:tcPr>
          <w:p w14:paraId="41E7AFE6" w14:textId="77777777" w:rsidR="00CA7676" w:rsidRPr="00E14EE6" w:rsidRDefault="00CA7676" w:rsidP="00E14EE6">
            <w:pPr>
              <w:jc w:val="right"/>
              <w:rPr>
                <w:sz w:val="14"/>
                <w:szCs w:val="14"/>
              </w:rPr>
            </w:pPr>
            <w:r w:rsidRPr="00E14EE6">
              <w:rPr>
                <w:sz w:val="14"/>
              </w:rPr>
              <w:t>4.5</w:t>
            </w:r>
          </w:p>
        </w:tc>
      </w:tr>
      <w:tr w:rsidR="00CA7676" w:rsidRPr="00E14EE6" w14:paraId="7D3D2794" w14:textId="77777777" w:rsidTr="00FD6B66">
        <w:trPr>
          <w:cnfStyle w:val="000000010000" w:firstRow="0" w:lastRow="0" w:firstColumn="0" w:lastColumn="0" w:oddVBand="0" w:evenVBand="0" w:oddHBand="0" w:evenHBand="1" w:firstRowFirstColumn="0" w:firstRowLastColumn="0" w:lastRowFirstColumn="0" w:lastRowLastColumn="0"/>
          <w:trHeight w:val="20"/>
        </w:trPr>
        <w:tc>
          <w:tcPr>
            <w:tcW w:w="1411" w:type="pct"/>
            <w:noWrap/>
            <w:hideMark/>
          </w:tcPr>
          <w:p w14:paraId="5D73881A" w14:textId="32F2EB15" w:rsidR="00CA7676" w:rsidRPr="00E14EE6" w:rsidRDefault="00CA7676" w:rsidP="00E14EE6">
            <w:pPr>
              <w:ind w:left="113"/>
              <w:jc w:val="left"/>
              <w:rPr>
                <w:sz w:val="14"/>
                <w:szCs w:val="14"/>
              </w:rPr>
            </w:pPr>
            <w:r w:rsidRPr="00E14EE6">
              <w:rPr>
                <w:sz w:val="14"/>
              </w:rPr>
              <w:t>Free</w:t>
            </w:r>
            <w:r w:rsidR="00E14EE6" w:rsidRPr="00E14EE6">
              <w:rPr>
                <w:sz w:val="14"/>
              </w:rPr>
              <w:noBreakHyphen/>
            </w:r>
            <w:r w:rsidRPr="00E14EE6">
              <w:rPr>
                <w:sz w:val="14"/>
              </w:rPr>
              <w:t>zone manufacturing</w:t>
            </w:r>
          </w:p>
        </w:tc>
        <w:tc>
          <w:tcPr>
            <w:tcW w:w="399" w:type="pct"/>
            <w:noWrap/>
            <w:hideMark/>
          </w:tcPr>
          <w:p w14:paraId="343944F5" w14:textId="77777777" w:rsidR="00CA7676" w:rsidRPr="00E14EE6" w:rsidRDefault="00CA7676" w:rsidP="00E14EE6">
            <w:pPr>
              <w:jc w:val="right"/>
              <w:rPr>
                <w:sz w:val="14"/>
                <w:szCs w:val="14"/>
              </w:rPr>
            </w:pPr>
            <w:r w:rsidRPr="00E14EE6">
              <w:rPr>
                <w:sz w:val="14"/>
              </w:rPr>
              <w:t>3.3</w:t>
            </w:r>
          </w:p>
        </w:tc>
        <w:tc>
          <w:tcPr>
            <w:tcW w:w="399" w:type="pct"/>
            <w:noWrap/>
            <w:hideMark/>
          </w:tcPr>
          <w:p w14:paraId="141739FB" w14:textId="77777777" w:rsidR="00CA7676" w:rsidRPr="00E14EE6" w:rsidRDefault="00CA7676" w:rsidP="00E14EE6">
            <w:pPr>
              <w:jc w:val="right"/>
              <w:rPr>
                <w:sz w:val="14"/>
                <w:szCs w:val="14"/>
              </w:rPr>
            </w:pPr>
            <w:r w:rsidRPr="00E14EE6">
              <w:rPr>
                <w:sz w:val="14"/>
              </w:rPr>
              <w:t>3.3</w:t>
            </w:r>
          </w:p>
        </w:tc>
        <w:tc>
          <w:tcPr>
            <w:tcW w:w="399" w:type="pct"/>
            <w:noWrap/>
            <w:hideMark/>
          </w:tcPr>
          <w:p w14:paraId="5A1816E4" w14:textId="77777777" w:rsidR="00CA7676" w:rsidRPr="00E14EE6" w:rsidRDefault="00CA7676" w:rsidP="00E14EE6">
            <w:pPr>
              <w:jc w:val="right"/>
              <w:rPr>
                <w:sz w:val="14"/>
                <w:szCs w:val="14"/>
              </w:rPr>
            </w:pPr>
            <w:r w:rsidRPr="00E14EE6">
              <w:rPr>
                <w:sz w:val="14"/>
              </w:rPr>
              <w:t>3.3</w:t>
            </w:r>
          </w:p>
        </w:tc>
        <w:tc>
          <w:tcPr>
            <w:tcW w:w="399" w:type="pct"/>
            <w:noWrap/>
            <w:hideMark/>
          </w:tcPr>
          <w:p w14:paraId="69331852" w14:textId="77777777" w:rsidR="00CA7676" w:rsidRPr="00E14EE6" w:rsidRDefault="00CA7676" w:rsidP="00E14EE6">
            <w:pPr>
              <w:jc w:val="right"/>
              <w:rPr>
                <w:sz w:val="14"/>
                <w:szCs w:val="14"/>
              </w:rPr>
            </w:pPr>
            <w:r w:rsidRPr="00E14EE6">
              <w:rPr>
                <w:sz w:val="14"/>
              </w:rPr>
              <w:t>3.3</w:t>
            </w:r>
          </w:p>
        </w:tc>
        <w:tc>
          <w:tcPr>
            <w:tcW w:w="399" w:type="pct"/>
            <w:noWrap/>
            <w:hideMark/>
          </w:tcPr>
          <w:p w14:paraId="6838E66A" w14:textId="77777777" w:rsidR="00CA7676" w:rsidRPr="00E14EE6" w:rsidRDefault="00CA7676" w:rsidP="00E14EE6">
            <w:pPr>
              <w:jc w:val="right"/>
              <w:rPr>
                <w:sz w:val="14"/>
                <w:szCs w:val="14"/>
              </w:rPr>
            </w:pPr>
            <w:r w:rsidRPr="00E14EE6">
              <w:rPr>
                <w:sz w:val="14"/>
              </w:rPr>
              <w:t>3.3</w:t>
            </w:r>
          </w:p>
        </w:tc>
        <w:tc>
          <w:tcPr>
            <w:tcW w:w="399" w:type="pct"/>
            <w:noWrap/>
            <w:hideMark/>
          </w:tcPr>
          <w:p w14:paraId="69EC6E89" w14:textId="77777777" w:rsidR="00CA7676" w:rsidRPr="00E14EE6" w:rsidRDefault="00CA7676" w:rsidP="00E14EE6">
            <w:pPr>
              <w:jc w:val="right"/>
              <w:rPr>
                <w:sz w:val="14"/>
                <w:szCs w:val="14"/>
              </w:rPr>
            </w:pPr>
            <w:r w:rsidRPr="00E14EE6">
              <w:rPr>
                <w:sz w:val="14"/>
              </w:rPr>
              <w:t>3.2</w:t>
            </w:r>
          </w:p>
        </w:tc>
        <w:tc>
          <w:tcPr>
            <w:tcW w:w="399" w:type="pct"/>
            <w:noWrap/>
            <w:hideMark/>
          </w:tcPr>
          <w:p w14:paraId="2E596B8A" w14:textId="77777777" w:rsidR="00CA7676" w:rsidRPr="00E14EE6" w:rsidRDefault="00CA7676" w:rsidP="00E14EE6">
            <w:pPr>
              <w:jc w:val="right"/>
              <w:rPr>
                <w:sz w:val="14"/>
                <w:szCs w:val="14"/>
              </w:rPr>
            </w:pPr>
            <w:r w:rsidRPr="00E14EE6">
              <w:rPr>
                <w:sz w:val="14"/>
              </w:rPr>
              <w:t>3.5</w:t>
            </w:r>
          </w:p>
        </w:tc>
        <w:tc>
          <w:tcPr>
            <w:tcW w:w="399" w:type="pct"/>
            <w:noWrap/>
            <w:hideMark/>
          </w:tcPr>
          <w:p w14:paraId="377F6AF2" w14:textId="77777777" w:rsidR="00CA7676" w:rsidRPr="00E14EE6" w:rsidRDefault="00CA7676" w:rsidP="00E14EE6">
            <w:pPr>
              <w:jc w:val="right"/>
              <w:rPr>
                <w:sz w:val="14"/>
                <w:szCs w:val="14"/>
              </w:rPr>
            </w:pPr>
            <w:r w:rsidRPr="00E14EE6">
              <w:rPr>
                <w:sz w:val="14"/>
              </w:rPr>
              <w:t>3.6</w:t>
            </w:r>
          </w:p>
        </w:tc>
        <w:tc>
          <w:tcPr>
            <w:tcW w:w="399" w:type="pct"/>
          </w:tcPr>
          <w:p w14:paraId="2E368947" w14:textId="77777777" w:rsidR="00CA7676" w:rsidRPr="00E14EE6" w:rsidRDefault="00CA7676" w:rsidP="00E14EE6">
            <w:pPr>
              <w:jc w:val="right"/>
              <w:rPr>
                <w:sz w:val="14"/>
                <w:szCs w:val="14"/>
              </w:rPr>
            </w:pPr>
            <w:r w:rsidRPr="00E14EE6">
              <w:rPr>
                <w:sz w:val="14"/>
              </w:rPr>
              <w:t>3.3</w:t>
            </w:r>
          </w:p>
        </w:tc>
      </w:tr>
      <w:tr w:rsidR="00CA7676" w:rsidRPr="00E14EE6" w14:paraId="6EAF7B4C" w14:textId="77777777" w:rsidTr="00FD6B66">
        <w:trPr>
          <w:trHeight w:val="20"/>
        </w:trPr>
        <w:tc>
          <w:tcPr>
            <w:tcW w:w="1411" w:type="pct"/>
            <w:noWrap/>
            <w:hideMark/>
          </w:tcPr>
          <w:p w14:paraId="2E246136" w14:textId="77777777" w:rsidR="00CA7676" w:rsidRPr="00E14EE6" w:rsidRDefault="00CA7676" w:rsidP="00E14EE6">
            <w:pPr>
              <w:ind w:left="113"/>
              <w:jc w:val="left"/>
              <w:rPr>
                <w:sz w:val="14"/>
                <w:szCs w:val="14"/>
              </w:rPr>
            </w:pPr>
            <w:r w:rsidRPr="00E14EE6">
              <w:rPr>
                <w:sz w:val="14"/>
              </w:rPr>
              <w:t>Construction</w:t>
            </w:r>
          </w:p>
        </w:tc>
        <w:tc>
          <w:tcPr>
            <w:tcW w:w="399" w:type="pct"/>
            <w:noWrap/>
            <w:hideMark/>
          </w:tcPr>
          <w:p w14:paraId="44B2259D" w14:textId="77777777" w:rsidR="00CA7676" w:rsidRPr="00E14EE6" w:rsidRDefault="00CA7676" w:rsidP="00E14EE6">
            <w:pPr>
              <w:jc w:val="right"/>
              <w:rPr>
                <w:sz w:val="14"/>
                <w:szCs w:val="14"/>
              </w:rPr>
            </w:pPr>
            <w:r w:rsidRPr="00E14EE6">
              <w:rPr>
                <w:sz w:val="14"/>
              </w:rPr>
              <w:t>10.7</w:t>
            </w:r>
          </w:p>
        </w:tc>
        <w:tc>
          <w:tcPr>
            <w:tcW w:w="399" w:type="pct"/>
            <w:noWrap/>
            <w:hideMark/>
          </w:tcPr>
          <w:p w14:paraId="0159DF71" w14:textId="77777777" w:rsidR="00CA7676" w:rsidRPr="00E14EE6" w:rsidRDefault="00CA7676" w:rsidP="00E14EE6">
            <w:pPr>
              <w:jc w:val="right"/>
              <w:rPr>
                <w:sz w:val="14"/>
                <w:szCs w:val="14"/>
              </w:rPr>
            </w:pPr>
            <w:r w:rsidRPr="00E14EE6">
              <w:rPr>
                <w:sz w:val="14"/>
              </w:rPr>
              <w:t>10.2</w:t>
            </w:r>
          </w:p>
        </w:tc>
        <w:tc>
          <w:tcPr>
            <w:tcW w:w="399" w:type="pct"/>
            <w:noWrap/>
            <w:hideMark/>
          </w:tcPr>
          <w:p w14:paraId="6FDD98A3" w14:textId="77777777" w:rsidR="00CA7676" w:rsidRPr="00E14EE6" w:rsidRDefault="00CA7676" w:rsidP="00E14EE6">
            <w:pPr>
              <w:jc w:val="right"/>
              <w:rPr>
                <w:sz w:val="14"/>
                <w:szCs w:val="14"/>
              </w:rPr>
            </w:pPr>
            <w:r w:rsidRPr="00E14EE6">
              <w:rPr>
                <w:sz w:val="14"/>
              </w:rPr>
              <w:t>9.5</w:t>
            </w:r>
          </w:p>
        </w:tc>
        <w:tc>
          <w:tcPr>
            <w:tcW w:w="399" w:type="pct"/>
            <w:noWrap/>
            <w:hideMark/>
          </w:tcPr>
          <w:p w14:paraId="233593F6" w14:textId="77777777" w:rsidR="00CA7676" w:rsidRPr="00E14EE6" w:rsidRDefault="00CA7676" w:rsidP="00E14EE6">
            <w:pPr>
              <w:jc w:val="right"/>
              <w:rPr>
                <w:sz w:val="14"/>
                <w:szCs w:val="14"/>
              </w:rPr>
            </w:pPr>
            <w:r w:rsidRPr="00E14EE6">
              <w:rPr>
                <w:sz w:val="14"/>
              </w:rPr>
              <w:t>10.5</w:t>
            </w:r>
          </w:p>
        </w:tc>
        <w:tc>
          <w:tcPr>
            <w:tcW w:w="399" w:type="pct"/>
            <w:noWrap/>
            <w:hideMark/>
          </w:tcPr>
          <w:p w14:paraId="597A1537" w14:textId="77777777" w:rsidR="00CA7676" w:rsidRPr="00E14EE6" w:rsidRDefault="00CA7676" w:rsidP="00E14EE6">
            <w:pPr>
              <w:jc w:val="right"/>
              <w:rPr>
                <w:sz w:val="14"/>
                <w:szCs w:val="14"/>
              </w:rPr>
            </w:pPr>
            <w:r w:rsidRPr="00E14EE6">
              <w:rPr>
                <w:sz w:val="14"/>
              </w:rPr>
              <w:t>11.4</w:t>
            </w:r>
          </w:p>
        </w:tc>
        <w:tc>
          <w:tcPr>
            <w:tcW w:w="399" w:type="pct"/>
            <w:noWrap/>
            <w:hideMark/>
          </w:tcPr>
          <w:p w14:paraId="3B8CB872" w14:textId="77777777" w:rsidR="00CA7676" w:rsidRPr="00E14EE6" w:rsidRDefault="00CA7676" w:rsidP="00E14EE6">
            <w:pPr>
              <w:jc w:val="right"/>
              <w:rPr>
                <w:sz w:val="14"/>
                <w:szCs w:val="14"/>
              </w:rPr>
            </w:pPr>
            <w:r w:rsidRPr="00E14EE6">
              <w:rPr>
                <w:sz w:val="14"/>
              </w:rPr>
              <w:t>12.0</w:t>
            </w:r>
          </w:p>
        </w:tc>
        <w:tc>
          <w:tcPr>
            <w:tcW w:w="399" w:type="pct"/>
            <w:noWrap/>
            <w:hideMark/>
          </w:tcPr>
          <w:p w14:paraId="208CC29C" w14:textId="77777777" w:rsidR="00CA7676" w:rsidRPr="00E14EE6" w:rsidRDefault="00CA7676" w:rsidP="00E14EE6">
            <w:pPr>
              <w:jc w:val="right"/>
              <w:rPr>
                <w:sz w:val="14"/>
                <w:szCs w:val="14"/>
              </w:rPr>
            </w:pPr>
            <w:r w:rsidRPr="00E14EE6">
              <w:rPr>
                <w:sz w:val="14"/>
              </w:rPr>
              <w:t>12.2</w:t>
            </w:r>
          </w:p>
        </w:tc>
        <w:tc>
          <w:tcPr>
            <w:tcW w:w="399" w:type="pct"/>
            <w:noWrap/>
            <w:hideMark/>
          </w:tcPr>
          <w:p w14:paraId="5312A24D" w14:textId="77777777" w:rsidR="00CA7676" w:rsidRPr="00E14EE6" w:rsidRDefault="00CA7676" w:rsidP="00E14EE6">
            <w:pPr>
              <w:jc w:val="right"/>
              <w:rPr>
                <w:sz w:val="14"/>
                <w:szCs w:val="14"/>
              </w:rPr>
            </w:pPr>
            <w:r w:rsidRPr="00E14EE6">
              <w:rPr>
                <w:sz w:val="14"/>
              </w:rPr>
              <w:t>14.3</w:t>
            </w:r>
          </w:p>
        </w:tc>
        <w:tc>
          <w:tcPr>
            <w:tcW w:w="399" w:type="pct"/>
          </w:tcPr>
          <w:p w14:paraId="0CE956B1" w14:textId="77777777" w:rsidR="00CA7676" w:rsidRPr="00E14EE6" w:rsidRDefault="00CA7676" w:rsidP="00E14EE6">
            <w:pPr>
              <w:jc w:val="right"/>
              <w:rPr>
                <w:sz w:val="14"/>
                <w:szCs w:val="14"/>
              </w:rPr>
            </w:pPr>
            <w:r w:rsidRPr="00E14EE6">
              <w:rPr>
                <w:sz w:val="14"/>
              </w:rPr>
              <w:t>17.0</w:t>
            </w:r>
          </w:p>
        </w:tc>
      </w:tr>
      <w:tr w:rsidR="00CA7676" w:rsidRPr="00E14EE6" w14:paraId="5A131A12" w14:textId="77777777" w:rsidTr="00FD6B66">
        <w:trPr>
          <w:cnfStyle w:val="000000010000" w:firstRow="0" w:lastRow="0" w:firstColumn="0" w:lastColumn="0" w:oddVBand="0" w:evenVBand="0" w:oddHBand="0" w:evenHBand="1" w:firstRowFirstColumn="0" w:firstRowLastColumn="0" w:lastRowFirstColumn="0" w:lastRowLastColumn="0"/>
          <w:trHeight w:val="20"/>
        </w:trPr>
        <w:tc>
          <w:tcPr>
            <w:tcW w:w="1411" w:type="pct"/>
            <w:noWrap/>
            <w:hideMark/>
          </w:tcPr>
          <w:p w14:paraId="5D19F8E3" w14:textId="77777777" w:rsidR="00CA7676" w:rsidRPr="00E14EE6" w:rsidRDefault="00CA7676" w:rsidP="00E14EE6">
            <w:pPr>
              <w:jc w:val="left"/>
              <w:rPr>
                <w:sz w:val="14"/>
                <w:szCs w:val="14"/>
              </w:rPr>
            </w:pPr>
            <w:r w:rsidRPr="00E14EE6">
              <w:rPr>
                <w:sz w:val="14"/>
              </w:rPr>
              <w:t>Services</w:t>
            </w:r>
          </w:p>
        </w:tc>
        <w:tc>
          <w:tcPr>
            <w:tcW w:w="399" w:type="pct"/>
            <w:noWrap/>
            <w:hideMark/>
          </w:tcPr>
          <w:p w14:paraId="486DF40E" w14:textId="77777777" w:rsidR="00CA7676" w:rsidRPr="00E14EE6" w:rsidRDefault="00CA7676" w:rsidP="00E14EE6">
            <w:pPr>
              <w:jc w:val="right"/>
              <w:rPr>
                <w:sz w:val="14"/>
                <w:szCs w:val="14"/>
              </w:rPr>
            </w:pPr>
            <w:r w:rsidRPr="00E14EE6">
              <w:rPr>
                <w:sz w:val="14"/>
              </w:rPr>
              <w:t>61.2</w:t>
            </w:r>
          </w:p>
        </w:tc>
        <w:tc>
          <w:tcPr>
            <w:tcW w:w="399" w:type="pct"/>
            <w:noWrap/>
            <w:hideMark/>
          </w:tcPr>
          <w:p w14:paraId="3D38A3E3" w14:textId="77777777" w:rsidR="00CA7676" w:rsidRPr="00E14EE6" w:rsidRDefault="00CA7676" w:rsidP="00E14EE6">
            <w:pPr>
              <w:jc w:val="right"/>
              <w:rPr>
                <w:sz w:val="14"/>
                <w:szCs w:val="14"/>
              </w:rPr>
            </w:pPr>
            <w:r w:rsidRPr="00E14EE6">
              <w:rPr>
                <w:sz w:val="14"/>
              </w:rPr>
              <w:t>61.1</w:t>
            </w:r>
          </w:p>
        </w:tc>
        <w:tc>
          <w:tcPr>
            <w:tcW w:w="399" w:type="pct"/>
            <w:noWrap/>
            <w:hideMark/>
          </w:tcPr>
          <w:p w14:paraId="40F41D65" w14:textId="77777777" w:rsidR="00CA7676" w:rsidRPr="00E14EE6" w:rsidRDefault="00CA7676" w:rsidP="00E14EE6">
            <w:pPr>
              <w:jc w:val="right"/>
              <w:rPr>
                <w:sz w:val="14"/>
                <w:szCs w:val="14"/>
              </w:rPr>
            </w:pPr>
            <w:r w:rsidRPr="00E14EE6">
              <w:rPr>
                <w:sz w:val="14"/>
              </w:rPr>
              <w:t>61.6</w:t>
            </w:r>
          </w:p>
        </w:tc>
        <w:tc>
          <w:tcPr>
            <w:tcW w:w="399" w:type="pct"/>
            <w:noWrap/>
            <w:hideMark/>
          </w:tcPr>
          <w:p w14:paraId="7018950A" w14:textId="77777777" w:rsidR="00CA7676" w:rsidRPr="00E14EE6" w:rsidRDefault="00CA7676" w:rsidP="00E14EE6">
            <w:pPr>
              <w:jc w:val="right"/>
              <w:rPr>
                <w:sz w:val="14"/>
                <w:szCs w:val="14"/>
              </w:rPr>
            </w:pPr>
            <w:r w:rsidRPr="00E14EE6">
              <w:rPr>
                <w:sz w:val="14"/>
              </w:rPr>
              <w:t>61.1</w:t>
            </w:r>
          </w:p>
        </w:tc>
        <w:tc>
          <w:tcPr>
            <w:tcW w:w="399" w:type="pct"/>
            <w:noWrap/>
            <w:hideMark/>
          </w:tcPr>
          <w:p w14:paraId="7A1A894E" w14:textId="77777777" w:rsidR="00CA7676" w:rsidRPr="00E14EE6" w:rsidRDefault="00CA7676" w:rsidP="00E14EE6">
            <w:pPr>
              <w:jc w:val="right"/>
              <w:rPr>
                <w:sz w:val="14"/>
                <w:szCs w:val="14"/>
              </w:rPr>
            </w:pPr>
            <w:r w:rsidRPr="00E14EE6">
              <w:rPr>
                <w:sz w:val="14"/>
              </w:rPr>
              <w:t>60.2</w:t>
            </w:r>
          </w:p>
        </w:tc>
        <w:tc>
          <w:tcPr>
            <w:tcW w:w="399" w:type="pct"/>
            <w:noWrap/>
            <w:hideMark/>
          </w:tcPr>
          <w:p w14:paraId="67126C18" w14:textId="77777777" w:rsidR="00CA7676" w:rsidRPr="00E14EE6" w:rsidRDefault="00CA7676" w:rsidP="00E14EE6">
            <w:pPr>
              <w:jc w:val="right"/>
              <w:rPr>
                <w:sz w:val="14"/>
                <w:szCs w:val="14"/>
              </w:rPr>
            </w:pPr>
            <w:r w:rsidRPr="00E14EE6">
              <w:rPr>
                <w:sz w:val="14"/>
              </w:rPr>
              <w:t>59.9</w:t>
            </w:r>
          </w:p>
        </w:tc>
        <w:tc>
          <w:tcPr>
            <w:tcW w:w="399" w:type="pct"/>
            <w:noWrap/>
            <w:hideMark/>
          </w:tcPr>
          <w:p w14:paraId="48C9D12D" w14:textId="77777777" w:rsidR="00CA7676" w:rsidRPr="00E14EE6" w:rsidRDefault="00CA7676" w:rsidP="00E14EE6">
            <w:pPr>
              <w:jc w:val="right"/>
              <w:rPr>
                <w:sz w:val="14"/>
                <w:szCs w:val="14"/>
              </w:rPr>
            </w:pPr>
            <w:r w:rsidRPr="00E14EE6">
              <w:rPr>
                <w:sz w:val="14"/>
              </w:rPr>
              <w:t>58.8</w:t>
            </w:r>
          </w:p>
        </w:tc>
        <w:tc>
          <w:tcPr>
            <w:tcW w:w="399" w:type="pct"/>
            <w:noWrap/>
            <w:hideMark/>
          </w:tcPr>
          <w:p w14:paraId="016A79E0" w14:textId="77777777" w:rsidR="00CA7676" w:rsidRPr="00E14EE6" w:rsidRDefault="00CA7676" w:rsidP="00E14EE6">
            <w:pPr>
              <w:jc w:val="right"/>
              <w:rPr>
                <w:sz w:val="14"/>
                <w:szCs w:val="14"/>
              </w:rPr>
            </w:pPr>
            <w:r w:rsidRPr="00E14EE6">
              <w:rPr>
                <w:sz w:val="14"/>
              </w:rPr>
              <w:t>56.0</w:t>
            </w:r>
          </w:p>
        </w:tc>
        <w:tc>
          <w:tcPr>
            <w:tcW w:w="399" w:type="pct"/>
          </w:tcPr>
          <w:p w14:paraId="6CD247A3" w14:textId="77777777" w:rsidR="00CA7676" w:rsidRPr="00E14EE6" w:rsidRDefault="00CA7676" w:rsidP="00E14EE6">
            <w:pPr>
              <w:jc w:val="right"/>
              <w:rPr>
                <w:sz w:val="14"/>
                <w:szCs w:val="14"/>
              </w:rPr>
            </w:pPr>
            <w:r w:rsidRPr="00E14EE6">
              <w:rPr>
                <w:sz w:val="14"/>
              </w:rPr>
              <w:t>54.9</w:t>
            </w:r>
          </w:p>
        </w:tc>
      </w:tr>
      <w:tr w:rsidR="00CA7676" w:rsidRPr="00E14EE6" w14:paraId="16563A10" w14:textId="77777777" w:rsidTr="00FD6B66">
        <w:trPr>
          <w:trHeight w:val="20"/>
        </w:trPr>
        <w:tc>
          <w:tcPr>
            <w:tcW w:w="1411" w:type="pct"/>
            <w:noWrap/>
            <w:hideMark/>
          </w:tcPr>
          <w:p w14:paraId="29DC1276" w14:textId="77777777" w:rsidR="00CA7676" w:rsidRPr="00E14EE6" w:rsidRDefault="00CA7676" w:rsidP="00E14EE6">
            <w:pPr>
              <w:ind w:left="113"/>
              <w:jc w:val="left"/>
              <w:rPr>
                <w:sz w:val="14"/>
                <w:szCs w:val="14"/>
              </w:rPr>
            </w:pPr>
            <w:r w:rsidRPr="00E14EE6">
              <w:rPr>
                <w:sz w:val="14"/>
              </w:rPr>
              <w:t>Energy and water</w:t>
            </w:r>
          </w:p>
        </w:tc>
        <w:tc>
          <w:tcPr>
            <w:tcW w:w="399" w:type="pct"/>
            <w:noWrap/>
            <w:hideMark/>
          </w:tcPr>
          <w:p w14:paraId="7ABCFE3F" w14:textId="77777777" w:rsidR="00CA7676" w:rsidRPr="00E14EE6" w:rsidRDefault="00CA7676" w:rsidP="00E14EE6">
            <w:pPr>
              <w:jc w:val="right"/>
              <w:rPr>
                <w:sz w:val="14"/>
                <w:szCs w:val="14"/>
              </w:rPr>
            </w:pPr>
            <w:r w:rsidRPr="00E14EE6">
              <w:rPr>
                <w:sz w:val="14"/>
              </w:rPr>
              <w:t>2.5</w:t>
            </w:r>
          </w:p>
        </w:tc>
        <w:tc>
          <w:tcPr>
            <w:tcW w:w="399" w:type="pct"/>
            <w:noWrap/>
            <w:hideMark/>
          </w:tcPr>
          <w:p w14:paraId="3F72BEBB" w14:textId="77777777" w:rsidR="00CA7676" w:rsidRPr="00E14EE6" w:rsidRDefault="00CA7676" w:rsidP="00E14EE6">
            <w:pPr>
              <w:jc w:val="right"/>
              <w:rPr>
                <w:sz w:val="14"/>
                <w:szCs w:val="14"/>
              </w:rPr>
            </w:pPr>
            <w:r w:rsidRPr="00E14EE6">
              <w:rPr>
                <w:sz w:val="14"/>
              </w:rPr>
              <w:t>2.0</w:t>
            </w:r>
          </w:p>
        </w:tc>
        <w:tc>
          <w:tcPr>
            <w:tcW w:w="399" w:type="pct"/>
            <w:noWrap/>
            <w:hideMark/>
          </w:tcPr>
          <w:p w14:paraId="300BF1EA" w14:textId="77777777" w:rsidR="00CA7676" w:rsidRPr="00E14EE6" w:rsidRDefault="00CA7676" w:rsidP="00E14EE6">
            <w:pPr>
              <w:jc w:val="right"/>
              <w:rPr>
                <w:sz w:val="14"/>
                <w:szCs w:val="14"/>
              </w:rPr>
            </w:pPr>
            <w:r w:rsidRPr="00E14EE6">
              <w:rPr>
                <w:sz w:val="14"/>
              </w:rPr>
              <w:t>1.7</w:t>
            </w:r>
          </w:p>
        </w:tc>
        <w:tc>
          <w:tcPr>
            <w:tcW w:w="399" w:type="pct"/>
            <w:noWrap/>
            <w:hideMark/>
          </w:tcPr>
          <w:p w14:paraId="554C59A6" w14:textId="77777777" w:rsidR="00CA7676" w:rsidRPr="00E14EE6" w:rsidRDefault="00CA7676" w:rsidP="00E14EE6">
            <w:pPr>
              <w:jc w:val="right"/>
              <w:rPr>
                <w:sz w:val="14"/>
                <w:szCs w:val="14"/>
              </w:rPr>
            </w:pPr>
            <w:r w:rsidRPr="00E14EE6">
              <w:rPr>
                <w:sz w:val="14"/>
              </w:rPr>
              <w:t>1.6</w:t>
            </w:r>
          </w:p>
        </w:tc>
        <w:tc>
          <w:tcPr>
            <w:tcW w:w="399" w:type="pct"/>
            <w:noWrap/>
            <w:hideMark/>
          </w:tcPr>
          <w:p w14:paraId="6D18259F" w14:textId="77777777" w:rsidR="00CA7676" w:rsidRPr="00E14EE6" w:rsidRDefault="00CA7676" w:rsidP="00E14EE6">
            <w:pPr>
              <w:jc w:val="right"/>
              <w:rPr>
                <w:sz w:val="14"/>
                <w:szCs w:val="14"/>
              </w:rPr>
            </w:pPr>
            <w:r w:rsidRPr="00E14EE6">
              <w:rPr>
                <w:sz w:val="14"/>
              </w:rPr>
              <w:t>1.6</w:t>
            </w:r>
          </w:p>
        </w:tc>
        <w:tc>
          <w:tcPr>
            <w:tcW w:w="399" w:type="pct"/>
            <w:noWrap/>
            <w:hideMark/>
          </w:tcPr>
          <w:p w14:paraId="52682951" w14:textId="77777777" w:rsidR="00CA7676" w:rsidRPr="00E14EE6" w:rsidRDefault="00CA7676" w:rsidP="00E14EE6">
            <w:pPr>
              <w:jc w:val="right"/>
              <w:rPr>
                <w:sz w:val="14"/>
                <w:szCs w:val="14"/>
              </w:rPr>
            </w:pPr>
            <w:r w:rsidRPr="00E14EE6">
              <w:rPr>
                <w:sz w:val="14"/>
              </w:rPr>
              <w:t>1.6</w:t>
            </w:r>
          </w:p>
        </w:tc>
        <w:tc>
          <w:tcPr>
            <w:tcW w:w="399" w:type="pct"/>
            <w:noWrap/>
            <w:hideMark/>
          </w:tcPr>
          <w:p w14:paraId="0105D947" w14:textId="77777777" w:rsidR="00CA7676" w:rsidRPr="00E14EE6" w:rsidRDefault="00CA7676" w:rsidP="00E14EE6">
            <w:pPr>
              <w:jc w:val="right"/>
              <w:rPr>
                <w:sz w:val="14"/>
                <w:szCs w:val="14"/>
              </w:rPr>
            </w:pPr>
            <w:r w:rsidRPr="00E14EE6">
              <w:rPr>
                <w:sz w:val="14"/>
              </w:rPr>
              <w:t>1.6</w:t>
            </w:r>
          </w:p>
        </w:tc>
        <w:tc>
          <w:tcPr>
            <w:tcW w:w="399" w:type="pct"/>
            <w:noWrap/>
            <w:hideMark/>
          </w:tcPr>
          <w:p w14:paraId="586D2BE5" w14:textId="77777777" w:rsidR="00CA7676" w:rsidRPr="00E14EE6" w:rsidRDefault="00CA7676" w:rsidP="00E14EE6">
            <w:pPr>
              <w:jc w:val="right"/>
              <w:rPr>
                <w:sz w:val="14"/>
                <w:szCs w:val="14"/>
              </w:rPr>
            </w:pPr>
            <w:r w:rsidRPr="00E14EE6">
              <w:rPr>
                <w:sz w:val="14"/>
              </w:rPr>
              <w:t>1.4</w:t>
            </w:r>
          </w:p>
        </w:tc>
        <w:tc>
          <w:tcPr>
            <w:tcW w:w="399" w:type="pct"/>
          </w:tcPr>
          <w:p w14:paraId="6F39C562" w14:textId="77777777" w:rsidR="00CA7676" w:rsidRPr="00E14EE6" w:rsidRDefault="00CA7676" w:rsidP="00E14EE6">
            <w:pPr>
              <w:jc w:val="right"/>
              <w:rPr>
                <w:sz w:val="14"/>
                <w:szCs w:val="14"/>
              </w:rPr>
            </w:pPr>
            <w:r w:rsidRPr="00E14EE6">
              <w:rPr>
                <w:sz w:val="14"/>
              </w:rPr>
              <w:t>1.4</w:t>
            </w:r>
          </w:p>
        </w:tc>
      </w:tr>
      <w:tr w:rsidR="00CA7676" w:rsidRPr="00E14EE6" w14:paraId="576B3DC1" w14:textId="77777777" w:rsidTr="00FD6B66">
        <w:trPr>
          <w:cnfStyle w:val="000000010000" w:firstRow="0" w:lastRow="0" w:firstColumn="0" w:lastColumn="0" w:oddVBand="0" w:evenVBand="0" w:oddHBand="0" w:evenHBand="1" w:firstRowFirstColumn="0" w:firstRowLastColumn="0" w:lastRowFirstColumn="0" w:lastRowLastColumn="0"/>
          <w:trHeight w:val="20"/>
        </w:trPr>
        <w:tc>
          <w:tcPr>
            <w:tcW w:w="1411" w:type="pct"/>
            <w:noWrap/>
            <w:hideMark/>
          </w:tcPr>
          <w:p w14:paraId="04FE3C3A" w14:textId="77777777" w:rsidR="00CA7676" w:rsidRPr="00E14EE6" w:rsidRDefault="00CA7676" w:rsidP="00E14EE6">
            <w:pPr>
              <w:ind w:left="113"/>
              <w:jc w:val="left"/>
              <w:rPr>
                <w:sz w:val="14"/>
                <w:szCs w:val="14"/>
              </w:rPr>
            </w:pPr>
            <w:r w:rsidRPr="00E14EE6">
              <w:rPr>
                <w:sz w:val="14"/>
              </w:rPr>
              <w:t>Commerce</w:t>
            </w:r>
          </w:p>
        </w:tc>
        <w:tc>
          <w:tcPr>
            <w:tcW w:w="399" w:type="pct"/>
            <w:noWrap/>
            <w:hideMark/>
          </w:tcPr>
          <w:p w14:paraId="28592A54" w14:textId="77777777" w:rsidR="00CA7676" w:rsidRPr="00E14EE6" w:rsidRDefault="00CA7676" w:rsidP="00E14EE6">
            <w:pPr>
              <w:jc w:val="right"/>
              <w:rPr>
                <w:sz w:val="14"/>
                <w:szCs w:val="14"/>
              </w:rPr>
            </w:pPr>
            <w:r w:rsidRPr="00E14EE6">
              <w:rPr>
                <w:sz w:val="14"/>
              </w:rPr>
              <w:t>9.8</w:t>
            </w:r>
          </w:p>
        </w:tc>
        <w:tc>
          <w:tcPr>
            <w:tcW w:w="399" w:type="pct"/>
            <w:noWrap/>
            <w:hideMark/>
          </w:tcPr>
          <w:p w14:paraId="7FB9A743" w14:textId="77777777" w:rsidR="00CA7676" w:rsidRPr="00E14EE6" w:rsidRDefault="00CA7676" w:rsidP="00E14EE6">
            <w:pPr>
              <w:jc w:val="right"/>
              <w:rPr>
                <w:sz w:val="14"/>
                <w:szCs w:val="14"/>
              </w:rPr>
            </w:pPr>
            <w:r w:rsidRPr="00E14EE6">
              <w:rPr>
                <w:sz w:val="14"/>
              </w:rPr>
              <w:t>10.4</w:t>
            </w:r>
          </w:p>
        </w:tc>
        <w:tc>
          <w:tcPr>
            <w:tcW w:w="399" w:type="pct"/>
            <w:noWrap/>
            <w:hideMark/>
          </w:tcPr>
          <w:p w14:paraId="1052B1E0" w14:textId="77777777" w:rsidR="00CA7676" w:rsidRPr="00E14EE6" w:rsidRDefault="00CA7676" w:rsidP="00E14EE6">
            <w:pPr>
              <w:jc w:val="right"/>
              <w:rPr>
                <w:sz w:val="14"/>
                <w:szCs w:val="14"/>
              </w:rPr>
            </w:pPr>
            <w:r w:rsidRPr="00E14EE6">
              <w:rPr>
                <w:sz w:val="14"/>
              </w:rPr>
              <w:t>10.7</w:t>
            </w:r>
          </w:p>
        </w:tc>
        <w:tc>
          <w:tcPr>
            <w:tcW w:w="399" w:type="pct"/>
            <w:noWrap/>
            <w:hideMark/>
          </w:tcPr>
          <w:p w14:paraId="4F7E8DA7" w14:textId="77777777" w:rsidR="00CA7676" w:rsidRPr="00E14EE6" w:rsidRDefault="00CA7676" w:rsidP="00E14EE6">
            <w:pPr>
              <w:jc w:val="right"/>
              <w:rPr>
                <w:sz w:val="14"/>
                <w:szCs w:val="14"/>
              </w:rPr>
            </w:pPr>
            <w:r w:rsidRPr="00E14EE6">
              <w:rPr>
                <w:sz w:val="14"/>
              </w:rPr>
              <w:t>10.4</w:t>
            </w:r>
          </w:p>
        </w:tc>
        <w:tc>
          <w:tcPr>
            <w:tcW w:w="399" w:type="pct"/>
            <w:noWrap/>
            <w:hideMark/>
          </w:tcPr>
          <w:p w14:paraId="450D311C" w14:textId="77777777" w:rsidR="00CA7676" w:rsidRPr="00E14EE6" w:rsidRDefault="00CA7676" w:rsidP="00E14EE6">
            <w:pPr>
              <w:jc w:val="right"/>
              <w:rPr>
                <w:sz w:val="14"/>
                <w:szCs w:val="14"/>
              </w:rPr>
            </w:pPr>
            <w:r w:rsidRPr="00E14EE6">
              <w:rPr>
                <w:sz w:val="14"/>
              </w:rPr>
              <w:t>10.3</w:t>
            </w:r>
          </w:p>
        </w:tc>
        <w:tc>
          <w:tcPr>
            <w:tcW w:w="399" w:type="pct"/>
            <w:noWrap/>
            <w:hideMark/>
          </w:tcPr>
          <w:p w14:paraId="2621D92A" w14:textId="77777777" w:rsidR="00CA7676" w:rsidRPr="00E14EE6" w:rsidRDefault="00CA7676" w:rsidP="00E14EE6">
            <w:pPr>
              <w:jc w:val="right"/>
              <w:rPr>
                <w:sz w:val="14"/>
                <w:szCs w:val="14"/>
              </w:rPr>
            </w:pPr>
            <w:r w:rsidRPr="00E14EE6">
              <w:rPr>
                <w:sz w:val="14"/>
              </w:rPr>
              <w:t>10.1</w:t>
            </w:r>
          </w:p>
        </w:tc>
        <w:tc>
          <w:tcPr>
            <w:tcW w:w="399" w:type="pct"/>
            <w:noWrap/>
            <w:hideMark/>
          </w:tcPr>
          <w:p w14:paraId="7B94D980" w14:textId="77777777" w:rsidR="00CA7676" w:rsidRPr="00E14EE6" w:rsidRDefault="00CA7676" w:rsidP="00E14EE6">
            <w:pPr>
              <w:jc w:val="right"/>
              <w:rPr>
                <w:sz w:val="14"/>
                <w:szCs w:val="14"/>
              </w:rPr>
            </w:pPr>
            <w:r w:rsidRPr="00E14EE6">
              <w:rPr>
                <w:sz w:val="14"/>
              </w:rPr>
              <w:t>10.6</w:t>
            </w:r>
          </w:p>
        </w:tc>
        <w:tc>
          <w:tcPr>
            <w:tcW w:w="399" w:type="pct"/>
            <w:noWrap/>
            <w:hideMark/>
          </w:tcPr>
          <w:p w14:paraId="1868FB03" w14:textId="77777777" w:rsidR="00CA7676" w:rsidRPr="00E14EE6" w:rsidRDefault="00CA7676" w:rsidP="00E14EE6">
            <w:pPr>
              <w:jc w:val="right"/>
              <w:rPr>
                <w:sz w:val="14"/>
                <w:szCs w:val="14"/>
              </w:rPr>
            </w:pPr>
            <w:r w:rsidRPr="00E14EE6">
              <w:rPr>
                <w:sz w:val="14"/>
              </w:rPr>
              <w:t>10.9</w:t>
            </w:r>
          </w:p>
        </w:tc>
        <w:tc>
          <w:tcPr>
            <w:tcW w:w="399" w:type="pct"/>
          </w:tcPr>
          <w:p w14:paraId="0E727124" w14:textId="77777777" w:rsidR="00CA7676" w:rsidRPr="00E14EE6" w:rsidRDefault="00CA7676" w:rsidP="00E14EE6">
            <w:pPr>
              <w:jc w:val="right"/>
              <w:rPr>
                <w:sz w:val="14"/>
                <w:szCs w:val="14"/>
              </w:rPr>
            </w:pPr>
            <w:r w:rsidRPr="00E14EE6">
              <w:rPr>
                <w:sz w:val="14"/>
              </w:rPr>
              <w:t>10.2</w:t>
            </w:r>
          </w:p>
        </w:tc>
      </w:tr>
      <w:tr w:rsidR="00CA7676" w:rsidRPr="00E14EE6" w14:paraId="0B92251D" w14:textId="77777777" w:rsidTr="00FD6B66">
        <w:trPr>
          <w:trHeight w:val="20"/>
        </w:trPr>
        <w:tc>
          <w:tcPr>
            <w:tcW w:w="1411" w:type="pct"/>
            <w:noWrap/>
            <w:hideMark/>
          </w:tcPr>
          <w:p w14:paraId="482D007C" w14:textId="77777777" w:rsidR="00CA7676" w:rsidRPr="00E14EE6" w:rsidRDefault="00CA7676" w:rsidP="00E14EE6">
            <w:pPr>
              <w:ind w:left="113"/>
              <w:jc w:val="left"/>
              <w:rPr>
                <w:sz w:val="14"/>
                <w:szCs w:val="14"/>
              </w:rPr>
            </w:pPr>
            <w:r w:rsidRPr="00E14EE6">
              <w:rPr>
                <w:sz w:val="14"/>
              </w:rPr>
              <w:t>Hotels, bars and restaurants</w:t>
            </w:r>
          </w:p>
        </w:tc>
        <w:tc>
          <w:tcPr>
            <w:tcW w:w="399" w:type="pct"/>
            <w:noWrap/>
            <w:hideMark/>
          </w:tcPr>
          <w:p w14:paraId="01787A0E" w14:textId="77777777" w:rsidR="00CA7676" w:rsidRPr="00E14EE6" w:rsidRDefault="00CA7676" w:rsidP="00E14EE6">
            <w:pPr>
              <w:jc w:val="right"/>
              <w:rPr>
                <w:sz w:val="14"/>
                <w:szCs w:val="14"/>
              </w:rPr>
            </w:pPr>
            <w:r w:rsidRPr="00E14EE6">
              <w:rPr>
                <w:sz w:val="14"/>
              </w:rPr>
              <w:t>7.5</w:t>
            </w:r>
          </w:p>
        </w:tc>
        <w:tc>
          <w:tcPr>
            <w:tcW w:w="399" w:type="pct"/>
            <w:noWrap/>
            <w:hideMark/>
          </w:tcPr>
          <w:p w14:paraId="05EF18DF" w14:textId="77777777" w:rsidR="00CA7676" w:rsidRPr="00E14EE6" w:rsidRDefault="00CA7676" w:rsidP="00E14EE6">
            <w:pPr>
              <w:jc w:val="right"/>
              <w:rPr>
                <w:sz w:val="14"/>
                <w:szCs w:val="14"/>
              </w:rPr>
            </w:pPr>
            <w:r w:rsidRPr="00E14EE6">
              <w:rPr>
                <w:sz w:val="14"/>
              </w:rPr>
              <w:t>7.8</w:t>
            </w:r>
          </w:p>
        </w:tc>
        <w:tc>
          <w:tcPr>
            <w:tcW w:w="399" w:type="pct"/>
            <w:noWrap/>
            <w:hideMark/>
          </w:tcPr>
          <w:p w14:paraId="4099D5D1" w14:textId="77777777" w:rsidR="00CA7676" w:rsidRPr="00E14EE6" w:rsidRDefault="00CA7676" w:rsidP="00E14EE6">
            <w:pPr>
              <w:jc w:val="right"/>
              <w:rPr>
                <w:sz w:val="14"/>
                <w:szCs w:val="14"/>
              </w:rPr>
            </w:pPr>
            <w:r w:rsidRPr="00E14EE6">
              <w:rPr>
                <w:sz w:val="14"/>
              </w:rPr>
              <w:t>7.8</w:t>
            </w:r>
          </w:p>
        </w:tc>
        <w:tc>
          <w:tcPr>
            <w:tcW w:w="399" w:type="pct"/>
            <w:noWrap/>
            <w:hideMark/>
          </w:tcPr>
          <w:p w14:paraId="68AC77BE" w14:textId="77777777" w:rsidR="00CA7676" w:rsidRPr="00E14EE6" w:rsidRDefault="00CA7676" w:rsidP="00E14EE6">
            <w:pPr>
              <w:jc w:val="right"/>
              <w:rPr>
                <w:sz w:val="14"/>
                <w:szCs w:val="14"/>
              </w:rPr>
            </w:pPr>
            <w:r w:rsidRPr="00E14EE6">
              <w:rPr>
                <w:sz w:val="14"/>
              </w:rPr>
              <w:t>7.8</w:t>
            </w:r>
          </w:p>
        </w:tc>
        <w:tc>
          <w:tcPr>
            <w:tcW w:w="399" w:type="pct"/>
            <w:noWrap/>
            <w:hideMark/>
          </w:tcPr>
          <w:p w14:paraId="3B7A932F" w14:textId="77777777" w:rsidR="00CA7676" w:rsidRPr="00E14EE6" w:rsidRDefault="00CA7676" w:rsidP="00E14EE6">
            <w:pPr>
              <w:jc w:val="right"/>
              <w:rPr>
                <w:sz w:val="14"/>
                <w:szCs w:val="14"/>
              </w:rPr>
            </w:pPr>
            <w:r w:rsidRPr="00E14EE6">
              <w:rPr>
                <w:sz w:val="14"/>
              </w:rPr>
              <w:t>7.6</w:t>
            </w:r>
          </w:p>
        </w:tc>
        <w:tc>
          <w:tcPr>
            <w:tcW w:w="399" w:type="pct"/>
            <w:noWrap/>
            <w:hideMark/>
          </w:tcPr>
          <w:p w14:paraId="686D3FC6" w14:textId="77777777" w:rsidR="00CA7676" w:rsidRPr="00E14EE6" w:rsidRDefault="00CA7676" w:rsidP="00E14EE6">
            <w:pPr>
              <w:jc w:val="right"/>
              <w:rPr>
                <w:sz w:val="14"/>
                <w:szCs w:val="14"/>
              </w:rPr>
            </w:pPr>
            <w:r w:rsidRPr="00E14EE6">
              <w:rPr>
                <w:sz w:val="14"/>
              </w:rPr>
              <w:t>7.4</w:t>
            </w:r>
          </w:p>
        </w:tc>
        <w:tc>
          <w:tcPr>
            <w:tcW w:w="399" w:type="pct"/>
            <w:noWrap/>
            <w:hideMark/>
          </w:tcPr>
          <w:p w14:paraId="423476A1" w14:textId="77777777" w:rsidR="00CA7676" w:rsidRPr="00E14EE6" w:rsidRDefault="00CA7676" w:rsidP="00E14EE6">
            <w:pPr>
              <w:jc w:val="right"/>
              <w:rPr>
                <w:sz w:val="14"/>
                <w:szCs w:val="14"/>
              </w:rPr>
            </w:pPr>
            <w:r w:rsidRPr="00E14EE6">
              <w:rPr>
                <w:sz w:val="14"/>
              </w:rPr>
              <w:t>4.1</w:t>
            </w:r>
          </w:p>
        </w:tc>
        <w:tc>
          <w:tcPr>
            <w:tcW w:w="399" w:type="pct"/>
            <w:noWrap/>
            <w:hideMark/>
          </w:tcPr>
          <w:p w14:paraId="71B7E74F" w14:textId="77777777" w:rsidR="00CA7676" w:rsidRPr="00E14EE6" w:rsidRDefault="00CA7676" w:rsidP="00E14EE6">
            <w:pPr>
              <w:jc w:val="right"/>
              <w:rPr>
                <w:sz w:val="14"/>
                <w:szCs w:val="14"/>
              </w:rPr>
            </w:pPr>
            <w:r w:rsidRPr="00E14EE6">
              <w:rPr>
                <w:sz w:val="14"/>
              </w:rPr>
              <w:t>5.3</w:t>
            </w:r>
          </w:p>
        </w:tc>
        <w:tc>
          <w:tcPr>
            <w:tcW w:w="399" w:type="pct"/>
          </w:tcPr>
          <w:p w14:paraId="3731C653" w14:textId="77777777" w:rsidR="00CA7676" w:rsidRPr="00E14EE6" w:rsidRDefault="00CA7676" w:rsidP="00E14EE6">
            <w:pPr>
              <w:jc w:val="right"/>
              <w:rPr>
                <w:sz w:val="14"/>
                <w:szCs w:val="14"/>
              </w:rPr>
            </w:pPr>
            <w:r w:rsidRPr="00E14EE6">
              <w:rPr>
                <w:sz w:val="14"/>
              </w:rPr>
              <w:t>5.6</w:t>
            </w:r>
          </w:p>
        </w:tc>
      </w:tr>
      <w:tr w:rsidR="00CA7676" w:rsidRPr="00E14EE6" w14:paraId="4E42DE88" w14:textId="77777777" w:rsidTr="00FD6B66">
        <w:trPr>
          <w:cnfStyle w:val="000000010000" w:firstRow="0" w:lastRow="0" w:firstColumn="0" w:lastColumn="0" w:oddVBand="0" w:evenVBand="0" w:oddHBand="0" w:evenHBand="1" w:firstRowFirstColumn="0" w:firstRowLastColumn="0" w:lastRowFirstColumn="0" w:lastRowLastColumn="0"/>
          <w:trHeight w:val="20"/>
        </w:trPr>
        <w:tc>
          <w:tcPr>
            <w:tcW w:w="1411" w:type="pct"/>
            <w:noWrap/>
            <w:hideMark/>
          </w:tcPr>
          <w:p w14:paraId="00A67D8A" w14:textId="77777777" w:rsidR="00CA7676" w:rsidRPr="00E14EE6" w:rsidRDefault="00CA7676" w:rsidP="00E14EE6">
            <w:pPr>
              <w:ind w:left="113"/>
              <w:jc w:val="left"/>
              <w:rPr>
                <w:sz w:val="14"/>
                <w:szCs w:val="14"/>
              </w:rPr>
            </w:pPr>
            <w:r w:rsidRPr="00E14EE6">
              <w:rPr>
                <w:sz w:val="14"/>
              </w:rPr>
              <w:t>Transport and storage</w:t>
            </w:r>
          </w:p>
        </w:tc>
        <w:tc>
          <w:tcPr>
            <w:tcW w:w="399" w:type="pct"/>
            <w:noWrap/>
            <w:hideMark/>
          </w:tcPr>
          <w:p w14:paraId="0E2ACCDC" w14:textId="77777777" w:rsidR="00CA7676" w:rsidRPr="00E14EE6" w:rsidRDefault="00CA7676" w:rsidP="00E14EE6">
            <w:pPr>
              <w:jc w:val="right"/>
              <w:rPr>
                <w:sz w:val="14"/>
                <w:szCs w:val="14"/>
              </w:rPr>
            </w:pPr>
            <w:r w:rsidRPr="00E14EE6">
              <w:rPr>
                <w:sz w:val="14"/>
              </w:rPr>
              <w:t>8.4</w:t>
            </w:r>
          </w:p>
        </w:tc>
        <w:tc>
          <w:tcPr>
            <w:tcW w:w="399" w:type="pct"/>
            <w:noWrap/>
            <w:hideMark/>
          </w:tcPr>
          <w:p w14:paraId="1B01D078" w14:textId="77777777" w:rsidR="00CA7676" w:rsidRPr="00E14EE6" w:rsidRDefault="00CA7676" w:rsidP="00E14EE6">
            <w:pPr>
              <w:jc w:val="right"/>
              <w:rPr>
                <w:sz w:val="14"/>
                <w:szCs w:val="14"/>
              </w:rPr>
            </w:pPr>
            <w:r w:rsidRPr="00E14EE6">
              <w:rPr>
                <w:sz w:val="14"/>
              </w:rPr>
              <w:t>8.3</w:t>
            </w:r>
          </w:p>
        </w:tc>
        <w:tc>
          <w:tcPr>
            <w:tcW w:w="399" w:type="pct"/>
            <w:noWrap/>
            <w:hideMark/>
          </w:tcPr>
          <w:p w14:paraId="2FA74195" w14:textId="77777777" w:rsidR="00CA7676" w:rsidRPr="00E14EE6" w:rsidRDefault="00CA7676" w:rsidP="00E14EE6">
            <w:pPr>
              <w:jc w:val="right"/>
              <w:rPr>
                <w:sz w:val="14"/>
                <w:szCs w:val="14"/>
              </w:rPr>
            </w:pPr>
            <w:r w:rsidRPr="00E14EE6">
              <w:rPr>
                <w:sz w:val="14"/>
              </w:rPr>
              <w:t>8.2</w:t>
            </w:r>
          </w:p>
        </w:tc>
        <w:tc>
          <w:tcPr>
            <w:tcW w:w="399" w:type="pct"/>
            <w:noWrap/>
            <w:hideMark/>
          </w:tcPr>
          <w:p w14:paraId="3E8BB2E1" w14:textId="77777777" w:rsidR="00CA7676" w:rsidRPr="00E14EE6" w:rsidRDefault="00CA7676" w:rsidP="00E14EE6">
            <w:pPr>
              <w:jc w:val="right"/>
              <w:rPr>
                <w:sz w:val="14"/>
                <w:szCs w:val="14"/>
              </w:rPr>
            </w:pPr>
            <w:r w:rsidRPr="00E14EE6">
              <w:rPr>
                <w:sz w:val="14"/>
              </w:rPr>
              <w:t>8.3</w:t>
            </w:r>
          </w:p>
        </w:tc>
        <w:tc>
          <w:tcPr>
            <w:tcW w:w="399" w:type="pct"/>
            <w:noWrap/>
            <w:hideMark/>
          </w:tcPr>
          <w:p w14:paraId="105A3759" w14:textId="77777777" w:rsidR="00CA7676" w:rsidRPr="00E14EE6" w:rsidRDefault="00CA7676" w:rsidP="00E14EE6">
            <w:pPr>
              <w:jc w:val="right"/>
              <w:rPr>
                <w:sz w:val="14"/>
                <w:szCs w:val="14"/>
              </w:rPr>
            </w:pPr>
            <w:r w:rsidRPr="00E14EE6">
              <w:rPr>
                <w:sz w:val="14"/>
              </w:rPr>
              <w:t>8.2</w:t>
            </w:r>
          </w:p>
        </w:tc>
        <w:tc>
          <w:tcPr>
            <w:tcW w:w="399" w:type="pct"/>
            <w:noWrap/>
            <w:hideMark/>
          </w:tcPr>
          <w:p w14:paraId="700A05C7" w14:textId="77777777" w:rsidR="00CA7676" w:rsidRPr="00E14EE6" w:rsidRDefault="00CA7676" w:rsidP="00E14EE6">
            <w:pPr>
              <w:jc w:val="right"/>
              <w:rPr>
                <w:sz w:val="14"/>
                <w:szCs w:val="14"/>
              </w:rPr>
            </w:pPr>
            <w:r w:rsidRPr="00E14EE6">
              <w:rPr>
                <w:sz w:val="14"/>
              </w:rPr>
              <w:t>8.3</w:t>
            </w:r>
          </w:p>
        </w:tc>
        <w:tc>
          <w:tcPr>
            <w:tcW w:w="399" w:type="pct"/>
            <w:noWrap/>
            <w:hideMark/>
          </w:tcPr>
          <w:p w14:paraId="4B8CA930" w14:textId="77777777" w:rsidR="00CA7676" w:rsidRPr="00E14EE6" w:rsidRDefault="00CA7676" w:rsidP="00E14EE6">
            <w:pPr>
              <w:jc w:val="right"/>
              <w:rPr>
                <w:sz w:val="14"/>
                <w:szCs w:val="14"/>
              </w:rPr>
            </w:pPr>
            <w:r w:rsidRPr="00E14EE6">
              <w:rPr>
                <w:sz w:val="14"/>
              </w:rPr>
              <w:t>8.3</w:t>
            </w:r>
          </w:p>
        </w:tc>
        <w:tc>
          <w:tcPr>
            <w:tcW w:w="399" w:type="pct"/>
            <w:noWrap/>
            <w:hideMark/>
          </w:tcPr>
          <w:p w14:paraId="6E43870D" w14:textId="77777777" w:rsidR="00CA7676" w:rsidRPr="00E14EE6" w:rsidRDefault="00CA7676" w:rsidP="00E14EE6">
            <w:pPr>
              <w:jc w:val="right"/>
              <w:rPr>
                <w:sz w:val="14"/>
                <w:szCs w:val="14"/>
              </w:rPr>
            </w:pPr>
            <w:r w:rsidRPr="00E14EE6">
              <w:rPr>
                <w:sz w:val="14"/>
              </w:rPr>
              <w:t>8.5</w:t>
            </w:r>
          </w:p>
        </w:tc>
        <w:tc>
          <w:tcPr>
            <w:tcW w:w="399" w:type="pct"/>
          </w:tcPr>
          <w:p w14:paraId="2FA0FE27" w14:textId="77777777" w:rsidR="00CA7676" w:rsidRPr="00E14EE6" w:rsidRDefault="00CA7676" w:rsidP="00E14EE6">
            <w:pPr>
              <w:jc w:val="right"/>
              <w:rPr>
                <w:sz w:val="14"/>
                <w:szCs w:val="14"/>
              </w:rPr>
            </w:pPr>
            <w:r w:rsidRPr="00E14EE6">
              <w:rPr>
                <w:sz w:val="14"/>
              </w:rPr>
              <w:t>8.9</w:t>
            </w:r>
          </w:p>
        </w:tc>
      </w:tr>
      <w:tr w:rsidR="00CA7676" w:rsidRPr="00E14EE6" w14:paraId="178C9792" w14:textId="77777777" w:rsidTr="00FD6B66">
        <w:trPr>
          <w:trHeight w:val="20"/>
        </w:trPr>
        <w:tc>
          <w:tcPr>
            <w:tcW w:w="1411" w:type="pct"/>
            <w:noWrap/>
            <w:hideMark/>
          </w:tcPr>
          <w:p w14:paraId="765FE25E" w14:textId="77777777" w:rsidR="00CA7676" w:rsidRPr="00E14EE6" w:rsidRDefault="00CA7676" w:rsidP="00E14EE6">
            <w:pPr>
              <w:ind w:left="113"/>
              <w:jc w:val="left"/>
              <w:rPr>
                <w:sz w:val="14"/>
                <w:szCs w:val="14"/>
              </w:rPr>
            </w:pPr>
            <w:r w:rsidRPr="00E14EE6">
              <w:rPr>
                <w:sz w:val="14"/>
              </w:rPr>
              <w:t>Communications</w:t>
            </w:r>
          </w:p>
        </w:tc>
        <w:tc>
          <w:tcPr>
            <w:tcW w:w="399" w:type="pct"/>
            <w:noWrap/>
            <w:hideMark/>
          </w:tcPr>
          <w:p w14:paraId="577C1D9E" w14:textId="77777777" w:rsidR="00CA7676" w:rsidRPr="00E14EE6" w:rsidRDefault="00CA7676" w:rsidP="00E14EE6">
            <w:pPr>
              <w:jc w:val="right"/>
              <w:rPr>
                <w:sz w:val="14"/>
                <w:szCs w:val="14"/>
              </w:rPr>
            </w:pPr>
            <w:r w:rsidRPr="00E14EE6">
              <w:rPr>
                <w:sz w:val="14"/>
              </w:rPr>
              <w:t>1.1</w:t>
            </w:r>
          </w:p>
        </w:tc>
        <w:tc>
          <w:tcPr>
            <w:tcW w:w="399" w:type="pct"/>
            <w:noWrap/>
            <w:hideMark/>
          </w:tcPr>
          <w:p w14:paraId="4F891EC6" w14:textId="77777777" w:rsidR="00CA7676" w:rsidRPr="00E14EE6" w:rsidRDefault="00CA7676" w:rsidP="00E14EE6">
            <w:pPr>
              <w:jc w:val="right"/>
              <w:rPr>
                <w:sz w:val="14"/>
                <w:szCs w:val="14"/>
              </w:rPr>
            </w:pPr>
            <w:r w:rsidRPr="00E14EE6">
              <w:rPr>
                <w:sz w:val="14"/>
              </w:rPr>
              <w:t>1.0</w:t>
            </w:r>
          </w:p>
        </w:tc>
        <w:tc>
          <w:tcPr>
            <w:tcW w:w="399" w:type="pct"/>
            <w:noWrap/>
            <w:hideMark/>
          </w:tcPr>
          <w:p w14:paraId="5A6E6CBE" w14:textId="77777777" w:rsidR="00CA7676" w:rsidRPr="00E14EE6" w:rsidRDefault="00CA7676" w:rsidP="00E14EE6">
            <w:pPr>
              <w:jc w:val="right"/>
              <w:rPr>
                <w:sz w:val="14"/>
                <w:szCs w:val="14"/>
              </w:rPr>
            </w:pPr>
            <w:r w:rsidRPr="00E14EE6">
              <w:rPr>
                <w:sz w:val="14"/>
              </w:rPr>
              <w:t>1.0</w:t>
            </w:r>
          </w:p>
        </w:tc>
        <w:tc>
          <w:tcPr>
            <w:tcW w:w="399" w:type="pct"/>
            <w:noWrap/>
            <w:hideMark/>
          </w:tcPr>
          <w:p w14:paraId="594E948E" w14:textId="77777777" w:rsidR="00CA7676" w:rsidRPr="00E14EE6" w:rsidRDefault="00CA7676" w:rsidP="00E14EE6">
            <w:pPr>
              <w:jc w:val="right"/>
              <w:rPr>
                <w:sz w:val="14"/>
                <w:szCs w:val="14"/>
              </w:rPr>
            </w:pPr>
            <w:r w:rsidRPr="00E14EE6">
              <w:rPr>
                <w:sz w:val="14"/>
              </w:rPr>
              <w:t>1.0</w:t>
            </w:r>
          </w:p>
        </w:tc>
        <w:tc>
          <w:tcPr>
            <w:tcW w:w="399" w:type="pct"/>
            <w:noWrap/>
            <w:hideMark/>
          </w:tcPr>
          <w:p w14:paraId="36A5FC21" w14:textId="77777777" w:rsidR="00CA7676" w:rsidRPr="00E14EE6" w:rsidRDefault="00CA7676" w:rsidP="00E14EE6">
            <w:pPr>
              <w:jc w:val="right"/>
              <w:rPr>
                <w:sz w:val="14"/>
                <w:szCs w:val="14"/>
              </w:rPr>
            </w:pPr>
            <w:r w:rsidRPr="00E14EE6">
              <w:rPr>
                <w:sz w:val="14"/>
              </w:rPr>
              <w:t>1.0</w:t>
            </w:r>
          </w:p>
        </w:tc>
        <w:tc>
          <w:tcPr>
            <w:tcW w:w="399" w:type="pct"/>
            <w:noWrap/>
            <w:hideMark/>
          </w:tcPr>
          <w:p w14:paraId="18C65116" w14:textId="77777777" w:rsidR="00CA7676" w:rsidRPr="00E14EE6" w:rsidRDefault="00CA7676" w:rsidP="00E14EE6">
            <w:pPr>
              <w:jc w:val="right"/>
              <w:rPr>
                <w:sz w:val="14"/>
                <w:szCs w:val="14"/>
              </w:rPr>
            </w:pPr>
            <w:r w:rsidRPr="00E14EE6">
              <w:rPr>
                <w:sz w:val="14"/>
              </w:rPr>
              <w:t>0.8</w:t>
            </w:r>
          </w:p>
        </w:tc>
        <w:tc>
          <w:tcPr>
            <w:tcW w:w="399" w:type="pct"/>
            <w:noWrap/>
            <w:hideMark/>
          </w:tcPr>
          <w:p w14:paraId="0B217D55" w14:textId="77777777" w:rsidR="00CA7676" w:rsidRPr="00E14EE6" w:rsidRDefault="00CA7676" w:rsidP="00E14EE6">
            <w:pPr>
              <w:jc w:val="right"/>
              <w:rPr>
                <w:sz w:val="14"/>
                <w:szCs w:val="14"/>
              </w:rPr>
            </w:pPr>
            <w:r w:rsidRPr="00E14EE6">
              <w:rPr>
                <w:sz w:val="14"/>
              </w:rPr>
              <w:t>0.9</w:t>
            </w:r>
          </w:p>
        </w:tc>
        <w:tc>
          <w:tcPr>
            <w:tcW w:w="399" w:type="pct"/>
            <w:noWrap/>
            <w:hideMark/>
          </w:tcPr>
          <w:p w14:paraId="1ED1CC2B" w14:textId="77777777" w:rsidR="00CA7676" w:rsidRPr="00E14EE6" w:rsidRDefault="00CA7676" w:rsidP="00E14EE6">
            <w:pPr>
              <w:jc w:val="right"/>
              <w:rPr>
                <w:sz w:val="14"/>
                <w:szCs w:val="14"/>
              </w:rPr>
            </w:pPr>
            <w:r w:rsidRPr="00E14EE6">
              <w:rPr>
                <w:sz w:val="14"/>
              </w:rPr>
              <w:t>0.8</w:t>
            </w:r>
          </w:p>
        </w:tc>
        <w:tc>
          <w:tcPr>
            <w:tcW w:w="399" w:type="pct"/>
          </w:tcPr>
          <w:p w14:paraId="7192607D" w14:textId="77777777" w:rsidR="00CA7676" w:rsidRPr="00E14EE6" w:rsidRDefault="00CA7676" w:rsidP="00E14EE6">
            <w:pPr>
              <w:jc w:val="right"/>
              <w:rPr>
                <w:sz w:val="14"/>
                <w:szCs w:val="14"/>
              </w:rPr>
            </w:pPr>
            <w:r w:rsidRPr="00E14EE6">
              <w:rPr>
                <w:sz w:val="14"/>
              </w:rPr>
              <w:t>0.8</w:t>
            </w:r>
          </w:p>
        </w:tc>
      </w:tr>
      <w:tr w:rsidR="00CA7676" w:rsidRPr="00E14EE6" w14:paraId="6765C5C5" w14:textId="77777777" w:rsidTr="00FD6B66">
        <w:trPr>
          <w:cnfStyle w:val="000000010000" w:firstRow="0" w:lastRow="0" w:firstColumn="0" w:lastColumn="0" w:oddVBand="0" w:evenVBand="0" w:oddHBand="0" w:evenHBand="1" w:firstRowFirstColumn="0" w:firstRowLastColumn="0" w:lastRowFirstColumn="0" w:lastRowLastColumn="0"/>
          <w:trHeight w:val="20"/>
        </w:trPr>
        <w:tc>
          <w:tcPr>
            <w:tcW w:w="1411" w:type="pct"/>
            <w:noWrap/>
            <w:hideMark/>
          </w:tcPr>
          <w:p w14:paraId="079F6EC5" w14:textId="77777777" w:rsidR="00CA7676" w:rsidRPr="00E14EE6" w:rsidRDefault="00CA7676" w:rsidP="00E14EE6">
            <w:pPr>
              <w:ind w:left="113"/>
              <w:jc w:val="left"/>
              <w:rPr>
                <w:sz w:val="14"/>
                <w:szCs w:val="14"/>
              </w:rPr>
            </w:pPr>
            <w:r w:rsidRPr="00E14EE6">
              <w:rPr>
                <w:sz w:val="14"/>
              </w:rPr>
              <w:t>Financial intermediation, insurance and related activities</w:t>
            </w:r>
          </w:p>
        </w:tc>
        <w:tc>
          <w:tcPr>
            <w:tcW w:w="399" w:type="pct"/>
            <w:noWrap/>
            <w:hideMark/>
          </w:tcPr>
          <w:p w14:paraId="0A692DEC" w14:textId="77777777" w:rsidR="00CA7676" w:rsidRPr="00E14EE6" w:rsidRDefault="00CA7676" w:rsidP="00E14EE6">
            <w:pPr>
              <w:jc w:val="right"/>
              <w:rPr>
                <w:sz w:val="14"/>
                <w:szCs w:val="14"/>
              </w:rPr>
            </w:pPr>
            <w:r w:rsidRPr="00E14EE6">
              <w:rPr>
                <w:sz w:val="14"/>
              </w:rPr>
              <w:t>3.9</w:t>
            </w:r>
          </w:p>
        </w:tc>
        <w:tc>
          <w:tcPr>
            <w:tcW w:w="399" w:type="pct"/>
            <w:noWrap/>
            <w:hideMark/>
          </w:tcPr>
          <w:p w14:paraId="00136C9D" w14:textId="77777777" w:rsidR="00CA7676" w:rsidRPr="00E14EE6" w:rsidRDefault="00CA7676" w:rsidP="00E14EE6">
            <w:pPr>
              <w:jc w:val="right"/>
              <w:rPr>
                <w:sz w:val="14"/>
                <w:szCs w:val="14"/>
              </w:rPr>
            </w:pPr>
            <w:r w:rsidRPr="00E14EE6">
              <w:rPr>
                <w:sz w:val="14"/>
              </w:rPr>
              <w:t>4.0</w:t>
            </w:r>
          </w:p>
        </w:tc>
        <w:tc>
          <w:tcPr>
            <w:tcW w:w="399" w:type="pct"/>
            <w:noWrap/>
            <w:hideMark/>
          </w:tcPr>
          <w:p w14:paraId="043A6728" w14:textId="77777777" w:rsidR="00CA7676" w:rsidRPr="00E14EE6" w:rsidRDefault="00CA7676" w:rsidP="00E14EE6">
            <w:pPr>
              <w:jc w:val="right"/>
              <w:rPr>
                <w:sz w:val="14"/>
                <w:szCs w:val="14"/>
              </w:rPr>
            </w:pPr>
            <w:r w:rsidRPr="00E14EE6">
              <w:rPr>
                <w:sz w:val="14"/>
              </w:rPr>
              <w:t>4.2</w:t>
            </w:r>
          </w:p>
        </w:tc>
        <w:tc>
          <w:tcPr>
            <w:tcW w:w="399" w:type="pct"/>
            <w:noWrap/>
            <w:hideMark/>
          </w:tcPr>
          <w:p w14:paraId="4F940BC6" w14:textId="77777777" w:rsidR="00CA7676" w:rsidRPr="00E14EE6" w:rsidRDefault="00CA7676" w:rsidP="00E14EE6">
            <w:pPr>
              <w:jc w:val="right"/>
              <w:rPr>
                <w:sz w:val="14"/>
                <w:szCs w:val="14"/>
              </w:rPr>
            </w:pPr>
            <w:r w:rsidRPr="00E14EE6">
              <w:rPr>
                <w:sz w:val="14"/>
              </w:rPr>
              <w:t>4.2</w:t>
            </w:r>
          </w:p>
        </w:tc>
        <w:tc>
          <w:tcPr>
            <w:tcW w:w="399" w:type="pct"/>
            <w:noWrap/>
            <w:hideMark/>
          </w:tcPr>
          <w:p w14:paraId="7D9492CC" w14:textId="77777777" w:rsidR="00CA7676" w:rsidRPr="00E14EE6" w:rsidRDefault="00CA7676" w:rsidP="00E14EE6">
            <w:pPr>
              <w:jc w:val="right"/>
              <w:rPr>
                <w:sz w:val="14"/>
                <w:szCs w:val="14"/>
              </w:rPr>
            </w:pPr>
            <w:r w:rsidRPr="00E14EE6">
              <w:rPr>
                <w:sz w:val="14"/>
              </w:rPr>
              <w:t>4.1</w:t>
            </w:r>
          </w:p>
        </w:tc>
        <w:tc>
          <w:tcPr>
            <w:tcW w:w="399" w:type="pct"/>
            <w:noWrap/>
            <w:hideMark/>
          </w:tcPr>
          <w:p w14:paraId="47D08B01" w14:textId="77777777" w:rsidR="00CA7676" w:rsidRPr="00E14EE6" w:rsidRDefault="00CA7676" w:rsidP="00E14EE6">
            <w:pPr>
              <w:jc w:val="right"/>
              <w:rPr>
                <w:sz w:val="14"/>
                <w:szCs w:val="14"/>
              </w:rPr>
            </w:pPr>
            <w:r w:rsidRPr="00E14EE6">
              <w:rPr>
                <w:sz w:val="14"/>
              </w:rPr>
              <w:t>4.2</w:t>
            </w:r>
          </w:p>
        </w:tc>
        <w:tc>
          <w:tcPr>
            <w:tcW w:w="399" w:type="pct"/>
            <w:noWrap/>
            <w:hideMark/>
          </w:tcPr>
          <w:p w14:paraId="2671789C" w14:textId="77777777" w:rsidR="00CA7676" w:rsidRPr="00E14EE6" w:rsidRDefault="00CA7676" w:rsidP="00E14EE6">
            <w:pPr>
              <w:jc w:val="right"/>
              <w:rPr>
                <w:sz w:val="14"/>
                <w:szCs w:val="14"/>
              </w:rPr>
            </w:pPr>
            <w:r w:rsidRPr="00E14EE6">
              <w:rPr>
                <w:sz w:val="14"/>
              </w:rPr>
              <w:t>4.7</w:t>
            </w:r>
          </w:p>
        </w:tc>
        <w:tc>
          <w:tcPr>
            <w:tcW w:w="399" w:type="pct"/>
            <w:noWrap/>
            <w:hideMark/>
          </w:tcPr>
          <w:p w14:paraId="6A2CCAF1" w14:textId="77777777" w:rsidR="00CA7676" w:rsidRPr="00E14EE6" w:rsidRDefault="00CA7676" w:rsidP="00E14EE6">
            <w:pPr>
              <w:jc w:val="right"/>
              <w:rPr>
                <w:sz w:val="14"/>
                <w:szCs w:val="14"/>
              </w:rPr>
            </w:pPr>
            <w:r w:rsidRPr="00E14EE6">
              <w:rPr>
                <w:sz w:val="14"/>
              </w:rPr>
              <w:t>3.9</w:t>
            </w:r>
          </w:p>
        </w:tc>
        <w:tc>
          <w:tcPr>
            <w:tcW w:w="399" w:type="pct"/>
          </w:tcPr>
          <w:p w14:paraId="53726A53" w14:textId="77777777" w:rsidR="00CA7676" w:rsidRPr="00E14EE6" w:rsidRDefault="00CA7676" w:rsidP="00E14EE6">
            <w:pPr>
              <w:jc w:val="right"/>
              <w:rPr>
                <w:sz w:val="14"/>
                <w:szCs w:val="14"/>
              </w:rPr>
            </w:pPr>
            <w:r w:rsidRPr="00E14EE6">
              <w:rPr>
                <w:sz w:val="14"/>
              </w:rPr>
              <w:t>4.0</w:t>
            </w:r>
          </w:p>
        </w:tc>
      </w:tr>
      <w:tr w:rsidR="00CA7676" w:rsidRPr="00E14EE6" w14:paraId="14A77BEF" w14:textId="77777777" w:rsidTr="00FD6B66">
        <w:trPr>
          <w:trHeight w:val="20"/>
        </w:trPr>
        <w:tc>
          <w:tcPr>
            <w:tcW w:w="1411" w:type="pct"/>
            <w:noWrap/>
            <w:hideMark/>
          </w:tcPr>
          <w:p w14:paraId="46610BAE" w14:textId="77777777" w:rsidR="00CA7676" w:rsidRPr="00E14EE6" w:rsidRDefault="00CA7676" w:rsidP="00E14EE6">
            <w:pPr>
              <w:ind w:left="113"/>
              <w:jc w:val="left"/>
              <w:rPr>
                <w:sz w:val="14"/>
                <w:szCs w:val="14"/>
              </w:rPr>
            </w:pPr>
            <w:r w:rsidRPr="00E14EE6">
              <w:rPr>
                <w:sz w:val="14"/>
              </w:rPr>
              <w:t>Real estate and rental activities</w:t>
            </w:r>
          </w:p>
        </w:tc>
        <w:tc>
          <w:tcPr>
            <w:tcW w:w="399" w:type="pct"/>
            <w:noWrap/>
            <w:hideMark/>
          </w:tcPr>
          <w:p w14:paraId="1409E862" w14:textId="77777777" w:rsidR="00CA7676" w:rsidRPr="00E14EE6" w:rsidRDefault="00CA7676" w:rsidP="00E14EE6">
            <w:pPr>
              <w:jc w:val="right"/>
              <w:rPr>
                <w:sz w:val="14"/>
                <w:szCs w:val="14"/>
              </w:rPr>
            </w:pPr>
            <w:r w:rsidRPr="00E14EE6">
              <w:rPr>
                <w:sz w:val="14"/>
              </w:rPr>
              <w:t>8.6</w:t>
            </w:r>
          </w:p>
        </w:tc>
        <w:tc>
          <w:tcPr>
            <w:tcW w:w="399" w:type="pct"/>
            <w:noWrap/>
            <w:hideMark/>
          </w:tcPr>
          <w:p w14:paraId="5B24A6BB" w14:textId="77777777" w:rsidR="00CA7676" w:rsidRPr="00E14EE6" w:rsidRDefault="00CA7676" w:rsidP="00E14EE6">
            <w:pPr>
              <w:jc w:val="right"/>
              <w:rPr>
                <w:sz w:val="14"/>
                <w:szCs w:val="14"/>
              </w:rPr>
            </w:pPr>
            <w:r w:rsidRPr="00E14EE6">
              <w:rPr>
                <w:sz w:val="14"/>
              </w:rPr>
              <w:t>8.2</w:t>
            </w:r>
          </w:p>
        </w:tc>
        <w:tc>
          <w:tcPr>
            <w:tcW w:w="399" w:type="pct"/>
            <w:noWrap/>
            <w:hideMark/>
          </w:tcPr>
          <w:p w14:paraId="281D3771" w14:textId="77777777" w:rsidR="00CA7676" w:rsidRPr="00E14EE6" w:rsidRDefault="00CA7676" w:rsidP="00E14EE6">
            <w:pPr>
              <w:jc w:val="right"/>
              <w:rPr>
                <w:sz w:val="14"/>
                <w:szCs w:val="14"/>
              </w:rPr>
            </w:pPr>
            <w:r w:rsidRPr="00E14EE6">
              <w:rPr>
                <w:sz w:val="14"/>
              </w:rPr>
              <w:t>8.1</w:t>
            </w:r>
          </w:p>
        </w:tc>
        <w:tc>
          <w:tcPr>
            <w:tcW w:w="399" w:type="pct"/>
            <w:noWrap/>
            <w:hideMark/>
          </w:tcPr>
          <w:p w14:paraId="03E4A5EC" w14:textId="77777777" w:rsidR="00CA7676" w:rsidRPr="00E14EE6" w:rsidRDefault="00CA7676" w:rsidP="00E14EE6">
            <w:pPr>
              <w:jc w:val="right"/>
              <w:rPr>
                <w:sz w:val="14"/>
                <w:szCs w:val="14"/>
              </w:rPr>
            </w:pPr>
            <w:r w:rsidRPr="00E14EE6">
              <w:rPr>
                <w:sz w:val="14"/>
              </w:rPr>
              <w:t>7.9</w:t>
            </w:r>
          </w:p>
        </w:tc>
        <w:tc>
          <w:tcPr>
            <w:tcW w:w="399" w:type="pct"/>
            <w:noWrap/>
            <w:hideMark/>
          </w:tcPr>
          <w:p w14:paraId="75BE073A" w14:textId="77777777" w:rsidR="00CA7676" w:rsidRPr="00E14EE6" w:rsidRDefault="00CA7676" w:rsidP="00E14EE6">
            <w:pPr>
              <w:jc w:val="right"/>
              <w:rPr>
                <w:sz w:val="14"/>
                <w:szCs w:val="14"/>
              </w:rPr>
            </w:pPr>
            <w:r w:rsidRPr="00E14EE6">
              <w:rPr>
                <w:sz w:val="14"/>
              </w:rPr>
              <w:t>7.6</w:t>
            </w:r>
          </w:p>
        </w:tc>
        <w:tc>
          <w:tcPr>
            <w:tcW w:w="399" w:type="pct"/>
            <w:noWrap/>
            <w:hideMark/>
          </w:tcPr>
          <w:p w14:paraId="16283AA1" w14:textId="77777777" w:rsidR="00CA7676" w:rsidRPr="00E14EE6" w:rsidRDefault="00CA7676" w:rsidP="00E14EE6">
            <w:pPr>
              <w:jc w:val="right"/>
              <w:rPr>
                <w:sz w:val="14"/>
                <w:szCs w:val="14"/>
              </w:rPr>
            </w:pPr>
            <w:r w:rsidRPr="00E14EE6">
              <w:rPr>
                <w:sz w:val="14"/>
              </w:rPr>
              <w:t>7.5</w:t>
            </w:r>
          </w:p>
        </w:tc>
        <w:tc>
          <w:tcPr>
            <w:tcW w:w="399" w:type="pct"/>
            <w:noWrap/>
            <w:hideMark/>
          </w:tcPr>
          <w:p w14:paraId="205DDE06" w14:textId="77777777" w:rsidR="00CA7676" w:rsidRPr="00E14EE6" w:rsidRDefault="00CA7676" w:rsidP="00E14EE6">
            <w:pPr>
              <w:jc w:val="right"/>
              <w:rPr>
                <w:sz w:val="14"/>
                <w:szCs w:val="14"/>
              </w:rPr>
            </w:pPr>
            <w:r w:rsidRPr="00E14EE6">
              <w:rPr>
                <w:sz w:val="14"/>
              </w:rPr>
              <w:t>8.1</w:t>
            </w:r>
          </w:p>
        </w:tc>
        <w:tc>
          <w:tcPr>
            <w:tcW w:w="399" w:type="pct"/>
            <w:noWrap/>
            <w:hideMark/>
          </w:tcPr>
          <w:p w14:paraId="4C1B541C" w14:textId="77777777" w:rsidR="00CA7676" w:rsidRPr="00E14EE6" w:rsidRDefault="00CA7676" w:rsidP="00E14EE6">
            <w:pPr>
              <w:jc w:val="right"/>
              <w:rPr>
                <w:sz w:val="14"/>
                <w:szCs w:val="14"/>
              </w:rPr>
            </w:pPr>
            <w:r w:rsidRPr="00E14EE6">
              <w:rPr>
                <w:sz w:val="14"/>
              </w:rPr>
              <w:t>7.0</w:t>
            </w:r>
          </w:p>
        </w:tc>
        <w:tc>
          <w:tcPr>
            <w:tcW w:w="399" w:type="pct"/>
          </w:tcPr>
          <w:p w14:paraId="4F769E66" w14:textId="77777777" w:rsidR="00CA7676" w:rsidRPr="00E14EE6" w:rsidRDefault="00CA7676" w:rsidP="00E14EE6">
            <w:pPr>
              <w:jc w:val="right"/>
              <w:rPr>
                <w:sz w:val="14"/>
                <w:szCs w:val="14"/>
              </w:rPr>
            </w:pPr>
            <w:r w:rsidRPr="00E14EE6">
              <w:rPr>
                <w:sz w:val="14"/>
              </w:rPr>
              <w:t>6.8</w:t>
            </w:r>
          </w:p>
        </w:tc>
      </w:tr>
      <w:tr w:rsidR="00CA7676" w:rsidRPr="00E14EE6" w14:paraId="5E1416EC" w14:textId="77777777" w:rsidTr="00FD6B66">
        <w:trPr>
          <w:cnfStyle w:val="000000010000" w:firstRow="0" w:lastRow="0" w:firstColumn="0" w:lastColumn="0" w:oddVBand="0" w:evenVBand="0" w:oddHBand="0" w:evenHBand="1" w:firstRowFirstColumn="0" w:firstRowLastColumn="0" w:lastRowFirstColumn="0" w:lastRowLastColumn="0"/>
          <w:trHeight w:val="20"/>
        </w:trPr>
        <w:tc>
          <w:tcPr>
            <w:tcW w:w="1411" w:type="pct"/>
            <w:noWrap/>
            <w:hideMark/>
          </w:tcPr>
          <w:p w14:paraId="784A413C" w14:textId="77777777" w:rsidR="00CA7676" w:rsidRPr="00E14EE6" w:rsidRDefault="00CA7676" w:rsidP="00E14EE6">
            <w:pPr>
              <w:ind w:left="113"/>
              <w:jc w:val="left"/>
              <w:rPr>
                <w:sz w:val="14"/>
                <w:szCs w:val="14"/>
              </w:rPr>
            </w:pPr>
            <w:r w:rsidRPr="00E14EE6">
              <w:rPr>
                <w:sz w:val="14"/>
              </w:rPr>
              <w:t>Education</w:t>
            </w:r>
          </w:p>
        </w:tc>
        <w:tc>
          <w:tcPr>
            <w:tcW w:w="399" w:type="pct"/>
            <w:noWrap/>
            <w:hideMark/>
          </w:tcPr>
          <w:p w14:paraId="53B58A97" w14:textId="77777777" w:rsidR="00CA7676" w:rsidRPr="00E14EE6" w:rsidRDefault="00CA7676" w:rsidP="00E14EE6">
            <w:pPr>
              <w:jc w:val="right"/>
              <w:rPr>
                <w:sz w:val="14"/>
                <w:szCs w:val="14"/>
              </w:rPr>
            </w:pPr>
            <w:r w:rsidRPr="00E14EE6">
              <w:rPr>
                <w:sz w:val="14"/>
              </w:rPr>
              <w:t>4.6</w:t>
            </w:r>
          </w:p>
        </w:tc>
        <w:tc>
          <w:tcPr>
            <w:tcW w:w="399" w:type="pct"/>
            <w:noWrap/>
            <w:hideMark/>
          </w:tcPr>
          <w:p w14:paraId="76929CFE" w14:textId="77777777" w:rsidR="00CA7676" w:rsidRPr="00E14EE6" w:rsidRDefault="00CA7676" w:rsidP="00E14EE6">
            <w:pPr>
              <w:jc w:val="right"/>
              <w:rPr>
                <w:sz w:val="14"/>
                <w:szCs w:val="14"/>
              </w:rPr>
            </w:pPr>
            <w:r w:rsidRPr="00E14EE6">
              <w:rPr>
                <w:sz w:val="14"/>
              </w:rPr>
              <w:t>5.0</w:t>
            </w:r>
          </w:p>
        </w:tc>
        <w:tc>
          <w:tcPr>
            <w:tcW w:w="399" w:type="pct"/>
            <w:noWrap/>
            <w:hideMark/>
          </w:tcPr>
          <w:p w14:paraId="719DA9D1" w14:textId="77777777" w:rsidR="00CA7676" w:rsidRPr="00E14EE6" w:rsidRDefault="00CA7676" w:rsidP="00E14EE6">
            <w:pPr>
              <w:jc w:val="right"/>
              <w:rPr>
                <w:sz w:val="14"/>
                <w:szCs w:val="14"/>
              </w:rPr>
            </w:pPr>
            <w:r w:rsidRPr="00E14EE6">
              <w:rPr>
                <w:sz w:val="14"/>
              </w:rPr>
              <w:t>5.3</w:t>
            </w:r>
          </w:p>
        </w:tc>
        <w:tc>
          <w:tcPr>
            <w:tcW w:w="399" w:type="pct"/>
            <w:noWrap/>
            <w:hideMark/>
          </w:tcPr>
          <w:p w14:paraId="4888A658" w14:textId="77777777" w:rsidR="00CA7676" w:rsidRPr="00E14EE6" w:rsidRDefault="00CA7676" w:rsidP="00E14EE6">
            <w:pPr>
              <w:jc w:val="right"/>
              <w:rPr>
                <w:sz w:val="14"/>
                <w:szCs w:val="14"/>
              </w:rPr>
            </w:pPr>
            <w:r w:rsidRPr="00E14EE6">
              <w:rPr>
                <w:sz w:val="14"/>
              </w:rPr>
              <w:t>5.4</w:t>
            </w:r>
          </w:p>
        </w:tc>
        <w:tc>
          <w:tcPr>
            <w:tcW w:w="399" w:type="pct"/>
            <w:noWrap/>
            <w:hideMark/>
          </w:tcPr>
          <w:p w14:paraId="3D625BB4" w14:textId="77777777" w:rsidR="00CA7676" w:rsidRPr="00E14EE6" w:rsidRDefault="00CA7676" w:rsidP="00E14EE6">
            <w:pPr>
              <w:jc w:val="right"/>
              <w:rPr>
                <w:sz w:val="14"/>
                <w:szCs w:val="14"/>
              </w:rPr>
            </w:pPr>
            <w:r w:rsidRPr="00E14EE6">
              <w:rPr>
                <w:sz w:val="14"/>
              </w:rPr>
              <w:t>5.3</w:t>
            </w:r>
          </w:p>
        </w:tc>
        <w:tc>
          <w:tcPr>
            <w:tcW w:w="399" w:type="pct"/>
            <w:noWrap/>
            <w:hideMark/>
          </w:tcPr>
          <w:p w14:paraId="0164EB26" w14:textId="77777777" w:rsidR="00CA7676" w:rsidRPr="00E14EE6" w:rsidRDefault="00CA7676" w:rsidP="00E14EE6">
            <w:pPr>
              <w:jc w:val="right"/>
              <w:rPr>
                <w:sz w:val="14"/>
                <w:szCs w:val="14"/>
              </w:rPr>
            </w:pPr>
            <w:r w:rsidRPr="00E14EE6">
              <w:rPr>
                <w:sz w:val="14"/>
              </w:rPr>
              <w:t>5.5</w:t>
            </w:r>
          </w:p>
        </w:tc>
        <w:tc>
          <w:tcPr>
            <w:tcW w:w="399" w:type="pct"/>
            <w:noWrap/>
            <w:hideMark/>
          </w:tcPr>
          <w:p w14:paraId="179DD3B8" w14:textId="77777777" w:rsidR="00CA7676" w:rsidRPr="00E14EE6" w:rsidRDefault="00CA7676" w:rsidP="00E14EE6">
            <w:pPr>
              <w:jc w:val="right"/>
              <w:rPr>
                <w:sz w:val="14"/>
                <w:szCs w:val="14"/>
              </w:rPr>
            </w:pPr>
            <w:r w:rsidRPr="00E14EE6">
              <w:rPr>
                <w:sz w:val="14"/>
              </w:rPr>
              <w:t>5.5</w:t>
            </w:r>
          </w:p>
        </w:tc>
        <w:tc>
          <w:tcPr>
            <w:tcW w:w="399" w:type="pct"/>
            <w:noWrap/>
            <w:hideMark/>
          </w:tcPr>
          <w:p w14:paraId="1CCFF531" w14:textId="77777777" w:rsidR="00CA7676" w:rsidRPr="00E14EE6" w:rsidRDefault="00CA7676" w:rsidP="00E14EE6">
            <w:pPr>
              <w:jc w:val="right"/>
              <w:rPr>
                <w:sz w:val="14"/>
                <w:szCs w:val="14"/>
              </w:rPr>
            </w:pPr>
            <w:r w:rsidRPr="00E14EE6">
              <w:rPr>
                <w:sz w:val="14"/>
              </w:rPr>
              <w:t>4.8</w:t>
            </w:r>
          </w:p>
        </w:tc>
        <w:tc>
          <w:tcPr>
            <w:tcW w:w="399" w:type="pct"/>
          </w:tcPr>
          <w:p w14:paraId="70FE1261" w14:textId="77777777" w:rsidR="00CA7676" w:rsidRPr="00E14EE6" w:rsidRDefault="00CA7676" w:rsidP="00E14EE6">
            <w:pPr>
              <w:jc w:val="right"/>
              <w:rPr>
                <w:sz w:val="14"/>
                <w:szCs w:val="14"/>
              </w:rPr>
            </w:pPr>
            <w:r w:rsidRPr="00E14EE6">
              <w:rPr>
                <w:sz w:val="14"/>
              </w:rPr>
              <w:t>4.1</w:t>
            </w:r>
          </w:p>
        </w:tc>
      </w:tr>
      <w:tr w:rsidR="00CA7676" w:rsidRPr="00E14EE6" w14:paraId="11068798" w14:textId="77777777" w:rsidTr="00FD6B66">
        <w:trPr>
          <w:trHeight w:val="20"/>
        </w:trPr>
        <w:tc>
          <w:tcPr>
            <w:tcW w:w="1411" w:type="pct"/>
            <w:noWrap/>
            <w:hideMark/>
          </w:tcPr>
          <w:p w14:paraId="43C051BF" w14:textId="77777777" w:rsidR="00CA7676" w:rsidRPr="00E14EE6" w:rsidRDefault="00CA7676" w:rsidP="00E14EE6">
            <w:pPr>
              <w:ind w:left="113"/>
              <w:jc w:val="left"/>
              <w:rPr>
                <w:sz w:val="14"/>
                <w:szCs w:val="14"/>
              </w:rPr>
            </w:pPr>
            <w:r w:rsidRPr="00E14EE6">
              <w:rPr>
                <w:sz w:val="14"/>
              </w:rPr>
              <w:t>Health</w:t>
            </w:r>
          </w:p>
        </w:tc>
        <w:tc>
          <w:tcPr>
            <w:tcW w:w="399" w:type="pct"/>
            <w:noWrap/>
            <w:hideMark/>
          </w:tcPr>
          <w:p w14:paraId="440CE973" w14:textId="77777777" w:rsidR="00CA7676" w:rsidRPr="00E14EE6" w:rsidRDefault="00CA7676" w:rsidP="00E14EE6">
            <w:pPr>
              <w:jc w:val="right"/>
              <w:rPr>
                <w:sz w:val="14"/>
                <w:szCs w:val="14"/>
              </w:rPr>
            </w:pPr>
            <w:r w:rsidRPr="00E14EE6">
              <w:rPr>
                <w:sz w:val="14"/>
              </w:rPr>
              <w:t>2.8</w:t>
            </w:r>
          </w:p>
        </w:tc>
        <w:tc>
          <w:tcPr>
            <w:tcW w:w="399" w:type="pct"/>
            <w:noWrap/>
            <w:hideMark/>
          </w:tcPr>
          <w:p w14:paraId="3E64AB2E" w14:textId="77777777" w:rsidR="00CA7676" w:rsidRPr="00E14EE6" w:rsidRDefault="00CA7676" w:rsidP="00E14EE6">
            <w:pPr>
              <w:jc w:val="right"/>
              <w:rPr>
                <w:sz w:val="14"/>
                <w:szCs w:val="14"/>
              </w:rPr>
            </w:pPr>
            <w:r w:rsidRPr="00E14EE6">
              <w:rPr>
                <w:sz w:val="14"/>
              </w:rPr>
              <w:t>2.9</w:t>
            </w:r>
          </w:p>
        </w:tc>
        <w:tc>
          <w:tcPr>
            <w:tcW w:w="399" w:type="pct"/>
            <w:noWrap/>
            <w:hideMark/>
          </w:tcPr>
          <w:p w14:paraId="3707EBB6" w14:textId="77777777" w:rsidR="00CA7676" w:rsidRPr="00E14EE6" w:rsidRDefault="00CA7676" w:rsidP="00E14EE6">
            <w:pPr>
              <w:jc w:val="right"/>
              <w:rPr>
                <w:sz w:val="14"/>
                <w:szCs w:val="14"/>
              </w:rPr>
            </w:pPr>
            <w:r w:rsidRPr="00E14EE6">
              <w:rPr>
                <w:sz w:val="14"/>
              </w:rPr>
              <w:t>3.0</w:t>
            </w:r>
          </w:p>
        </w:tc>
        <w:tc>
          <w:tcPr>
            <w:tcW w:w="399" w:type="pct"/>
            <w:noWrap/>
            <w:hideMark/>
          </w:tcPr>
          <w:p w14:paraId="45EA8374" w14:textId="77777777" w:rsidR="00CA7676" w:rsidRPr="00E14EE6" w:rsidRDefault="00CA7676" w:rsidP="00E14EE6">
            <w:pPr>
              <w:jc w:val="right"/>
              <w:rPr>
                <w:sz w:val="14"/>
                <w:szCs w:val="14"/>
              </w:rPr>
            </w:pPr>
            <w:r w:rsidRPr="00E14EE6">
              <w:rPr>
                <w:sz w:val="14"/>
              </w:rPr>
              <w:t>3.1</w:t>
            </w:r>
          </w:p>
        </w:tc>
        <w:tc>
          <w:tcPr>
            <w:tcW w:w="399" w:type="pct"/>
            <w:noWrap/>
            <w:hideMark/>
          </w:tcPr>
          <w:p w14:paraId="50C1C6EA" w14:textId="77777777" w:rsidR="00CA7676" w:rsidRPr="00E14EE6" w:rsidRDefault="00CA7676" w:rsidP="00E14EE6">
            <w:pPr>
              <w:jc w:val="right"/>
              <w:rPr>
                <w:sz w:val="14"/>
                <w:szCs w:val="14"/>
              </w:rPr>
            </w:pPr>
            <w:r w:rsidRPr="00E14EE6">
              <w:rPr>
                <w:sz w:val="14"/>
              </w:rPr>
              <w:t>3.2</w:t>
            </w:r>
          </w:p>
        </w:tc>
        <w:tc>
          <w:tcPr>
            <w:tcW w:w="399" w:type="pct"/>
            <w:noWrap/>
            <w:hideMark/>
          </w:tcPr>
          <w:p w14:paraId="34F8EDAE" w14:textId="77777777" w:rsidR="00CA7676" w:rsidRPr="00E14EE6" w:rsidRDefault="00CA7676" w:rsidP="00E14EE6">
            <w:pPr>
              <w:jc w:val="right"/>
              <w:rPr>
                <w:sz w:val="14"/>
                <w:szCs w:val="14"/>
              </w:rPr>
            </w:pPr>
            <w:r w:rsidRPr="00E14EE6">
              <w:rPr>
                <w:sz w:val="14"/>
              </w:rPr>
              <w:t>3.2</w:t>
            </w:r>
          </w:p>
        </w:tc>
        <w:tc>
          <w:tcPr>
            <w:tcW w:w="399" w:type="pct"/>
            <w:noWrap/>
            <w:hideMark/>
          </w:tcPr>
          <w:p w14:paraId="4CC2EA8D" w14:textId="77777777" w:rsidR="00CA7676" w:rsidRPr="00E14EE6" w:rsidRDefault="00CA7676" w:rsidP="00E14EE6">
            <w:pPr>
              <w:jc w:val="right"/>
              <w:rPr>
                <w:sz w:val="14"/>
                <w:szCs w:val="14"/>
              </w:rPr>
            </w:pPr>
            <w:r w:rsidRPr="00E14EE6">
              <w:rPr>
                <w:sz w:val="14"/>
              </w:rPr>
              <w:t>3.9</w:t>
            </w:r>
          </w:p>
        </w:tc>
        <w:tc>
          <w:tcPr>
            <w:tcW w:w="399" w:type="pct"/>
            <w:noWrap/>
            <w:hideMark/>
          </w:tcPr>
          <w:p w14:paraId="6CAD01DB" w14:textId="77777777" w:rsidR="00CA7676" w:rsidRPr="00E14EE6" w:rsidRDefault="00CA7676" w:rsidP="00E14EE6">
            <w:pPr>
              <w:jc w:val="right"/>
              <w:rPr>
                <w:sz w:val="14"/>
                <w:szCs w:val="14"/>
              </w:rPr>
            </w:pPr>
            <w:r w:rsidRPr="00E14EE6">
              <w:rPr>
                <w:sz w:val="14"/>
              </w:rPr>
              <w:t>3.4</w:t>
            </w:r>
          </w:p>
        </w:tc>
        <w:tc>
          <w:tcPr>
            <w:tcW w:w="399" w:type="pct"/>
          </w:tcPr>
          <w:p w14:paraId="442D1835" w14:textId="77777777" w:rsidR="00CA7676" w:rsidRPr="00E14EE6" w:rsidRDefault="00CA7676" w:rsidP="00E14EE6">
            <w:pPr>
              <w:jc w:val="right"/>
              <w:rPr>
                <w:sz w:val="14"/>
                <w:szCs w:val="14"/>
              </w:rPr>
            </w:pPr>
            <w:r w:rsidRPr="00E14EE6">
              <w:rPr>
                <w:sz w:val="14"/>
              </w:rPr>
              <w:t>3.3</w:t>
            </w:r>
          </w:p>
        </w:tc>
      </w:tr>
      <w:tr w:rsidR="00CA7676" w:rsidRPr="00E14EE6" w14:paraId="03931CDC" w14:textId="77777777" w:rsidTr="00FD6B66">
        <w:trPr>
          <w:cnfStyle w:val="000000010000" w:firstRow="0" w:lastRow="0" w:firstColumn="0" w:lastColumn="0" w:oddVBand="0" w:evenVBand="0" w:oddHBand="0" w:evenHBand="1" w:firstRowFirstColumn="0" w:firstRowLastColumn="0" w:lastRowFirstColumn="0" w:lastRowLastColumn="0"/>
          <w:trHeight w:val="20"/>
        </w:trPr>
        <w:tc>
          <w:tcPr>
            <w:tcW w:w="1411" w:type="pct"/>
            <w:noWrap/>
            <w:hideMark/>
          </w:tcPr>
          <w:p w14:paraId="428C79A2" w14:textId="77777777" w:rsidR="00CA7676" w:rsidRPr="00E14EE6" w:rsidRDefault="00CA7676" w:rsidP="00E14EE6">
            <w:pPr>
              <w:ind w:left="113"/>
              <w:jc w:val="left"/>
              <w:rPr>
                <w:sz w:val="14"/>
                <w:szCs w:val="14"/>
              </w:rPr>
            </w:pPr>
            <w:r w:rsidRPr="00E14EE6">
              <w:rPr>
                <w:sz w:val="14"/>
              </w:rPr>
              <w:t>Other market services</w:t>
            </w:r>
          </w:p>
        </w:tc>
        <w:tc>
          <w:tcPr>
            <w:tcW w:w="399" w:type="pct"/>
            <w:noWrap/>
            <w:hideMark/>
          </w:tcPr>
          <w:p w14:paraId="22230429" w14:textId="77777777" w:rsidR="00CA7676" w:rsidRPr="00E14EE6" w:rsidRDefault="00CA7676" w:rsidP="00E14EE6">
            <w:pPr>
              <w:jc w:val="right"/>
              <w:rPr>
                <w:sz w:val="14"/>
                <w:szCs w:val="14"/>
              </w:rPr>
            </w:pPr>
            <w:r w:rsidRPr="00E14EE6">
              <w:rPr>
                <w:sz w:val="14"/>
              </w:rPr>
              <w:t>7.6</w:t>
            </w:r>
          </w:p>
        </w:tc>
        <w:tc>
          <w:tcPr>
            <w:tcW w:w="399" w:type="pct"/>
            <w:noWrap/>
            <w:hideMark/>
          </w:tcPr>
          <w:p w14:paraId="3463573C" w14:textId="77777777" w:rsidR="00CA7676" w:rsidRPr="00E14EE6" w:rsidRDefault="00CA7676" w:rsidP="00E14EE6">
            <w:pPr>
              <w:jc w:val="right"/>
              <w:rPr>
                <w:sz w:val="14"/>
                <w:szCs w:val="14"/>
              </w:rPr>
            </w:pPr>
            <w:r w:rsidRPr="00E14EE6">
              <w:rPr>
                <w:sz w:val="14"/>
              </w:rPr>
              <w:t>7.5</w:t>
            </w:r>
          </w:p>
        </w:tc>
        <w:tc>
          <w:tcPr>
            <w:tcW w:w="399" w:type="pct"/>
            <w:noWrap/>
            <w:hideMark/>
          </w:tcPr>
          <w:p w14:paraId="6216776E" w14:textId="77777777" w:rsidR="00CA7676" w:rsidRPr="00E14EE6" w:rsidRDefault="00CA7676" w:rsidP="00E14EE6">
            <w:pPr>
              <w:jc w:val="right"/>
              <w:rPr>
                <w:sz w:val="14"/>
                <w:szCs w:val="14"/>
              </w:rPr>
            </w:pPr>
            <w:r w:rsidRPr="00E14EE6">
              <w:rPr>
                <w:sz w:val="14"/>
              </w:rPr>
              <w:t>7.6</w:t>
            </w:r>
          </w:p>
        </w:tc>
        <w:tc>
          <w:tcPr>
            <w:tcW w:w="399" w:type="pct"/>
            <w:noWrap/>
            <w:hideMark/>
          </w:tcPr>
          <w:p w14:paraId="12F0A09D" w14:textId="77777777" w:rsidR="00CA7676" w:rsidRPr="00E14EE6" w:rsidRDefault="00CA7676" w:rsidP="00E14EE6">
            <w:pPr>
              <w:jc w:val="right"/>
              <w:rPr>
                <w:sz w:val="14"/>
                <w:szCs w:val="14"/>
              </w:rPr>
            </w:pPr>
            <w:r w:rsidRPr="00E14EE6">
              <w:rPr>
                <w:sz w:val="14"/>
              </w:rPr>
              <w:t>7.4</w:t>
            </w:r>
          </w:p>
        </w:tc>
        <w:tc>
          <w:tcPr>
            <w:tcW w:w="399" w:type="pct"/>
            <w:noWrap/>
            <w:hideMark/>
          </w:tcPr>
          <w:p w14:paraId="344E5EDC" w14:textId="77777777" w:rsidR="00CA7676" w:rsidRPr="00E14EE6" w:rsidRDefault="00CA7676" w:rsidP="00E14EE6">
            <w:pPr>
              <w:jc w:val="right"/>
              <w:rPr>
                <w:sz w:val="14"/>
                <w:szCs w:val="14"/>
              </w:rPr>
            </w:pPr>
            <w:r w:rsidRPr="00E14EE6">
              <w:rPr>
                <w:sz w:val="14"/>
              </w:rPr>
              <w:t>7.2</w:t>
            </w:r>
          </w:p>
        </w:tc>
        <w:tc>
          <w:tcPr>
            <w:tcW w:w="399" w:type="pct"/>
            <w:noWrap/>
            <w:hideMark/>
          </w:tcPr>
          <w:p w14:paraId="3D99DDC3" w14:textId="77777777" w:rsidR="00CA7676" w:rsidRPr="00E14EE6" w:rsidRDefault="00CA7676" w:rsidP="00E14EE6">
            <w:pPr>
              <w:jc w:val="right"/>
              <w:rPr>
                <w:sz w:val="14"/>
                <w:szCs w:val="14"/>
              </w:rPr>
            </w:pPr>
            <w:r w:rsidRPr="00E14EE6">
              <w:rPr>
                <w:sz w:val="14"/>
              </w:rPr>
              <w:t>7.3</w:t>
            </w:r>
          </w:p>
        </w:tc>
        <w:tc>
          <w:tcPr>
            <w:tcW w:w="399" w:type="pct"/>
            <w:noWrap/>
            <w:hideMark/>
          </w:tcPr>
          <w:p w14:paraId="52DD5263" w14:textId="77777777" w:rsidR="00CA7676" w:rsidRPr="00E14EE6" w:rsidRDefault="00CA7676" w:rsidP="00E14EE6">
            <w:pPr>
              <w:jc w:val="right"/>
              <w:rPr>
                <w:sz w:val="14"/>
                <w:szCs w:val="14"/>
              </w:rPr>
            </w:pPr>
            <w:r w:rsidRPr="00E14EE6">
              <w:rPr>
                <w:sz w:val="14"/>
              </w:rPr>
              <w:t>6.8</w:t>
            </w:r>
          </w:p>
        </w:tc>
        <w:tc>
          <w:tcPr>
            <w:tcW w:w="399" w:type="pct"/>
            <w:noWrap/>
            <w:hideMark/>
          </w:tcPr>
          <w:p w14:paraId="0FAE83EC" w14:textId="77777777" w:rsidR="00CA7676" w:rsidRPr="00E14EE6" w:rsidRDefault="00CA7676" w:rsidP="00E14EE6">
            <w:pPr>
              <w:jc w:val="right"/>
              <w:rPr>
                <w:sz w:val="14"/>
                <w:szCs w:val="14"/>
              </w:rPr>
            </w:pPr>
            <w:r w:rsidRPr="00E14EE6">
              <w:rPr>
                <w:sz w:val="14"/>
              </w:rPr>
              <w:t>6.2</w:t>
            </w:r>
          </w:p>
        </w:tc>
        <w:tc>
          <w:tcPr>
            <w:tcW w:w="399" w:type="pct"/>
          </w:tcPr>
          <w:p w14:paraId="3507B40D" w14:textId="77777777" w:rsidR="00CA7676" w:rsidRPr="00E14EE6" w:rsidRDefault="00CA7676" w:rsidP="00E14EE6">
            <w:pPr>
              <w:jc w:val="right"/>
              <w:rPr>
                <w:sz w:val="14"/>
                <w:szCs w:val="14"/>
              </w:rPr>
            </w:pPr>
            <w:r w:rsidRPr="00E14EE6">
              <w:rPr>
                <w:sz w:val="14"/>
              </w:rPr>
              <w:t>6.6</w:t>
            </w:r>
          </w:p>
        </w:tc>
      </w:tr>
      <w:tr w:rsidR="00CA7676" w:rsidRPr="00E14EE6" w14:paraId="0713EC77" w14:textId="77777777" w:rsidTr="00FD6B66">
        <w:trPr>
          <w:trHeight w:val="20"/>
        </w:trPr>
        <w:tc>
          <w:tcPr>
            <w:tcW w:w="1411" w:type="pct"/>
            <w:noWrap/>
            <w:hideMark/>
          </w:tcPr>
          <w:p w14:paraId="3DC6D7FF" w14:textId="651ACE7A" w:rsidR="00CA7676" w:rsidRPr="00E14EE6" w:rsidRDefault="00CA7676" w:rsidP="00E14EE6">
            <w:pPr>
              <w:ind w:left="113"/>
              <w:jc w:val="left"/>
              <w:rPr>
                <w:sz w:val="14"/>
                <w:szCs w:val="14"/>
              </w:rPr>
            </w:pPr>
            <w:r w:rsidRPr="00E14EE6">
              <w:rPr>
                <w:sz w:val="14"/>
              </w:rPr>
              <w:lastRenderedPageBreak/>
              <w:t>Public administration and defence, compulsory social security and other services</w:t>
            </w:r>
          </w:p>
        </w:tc>
        <w:tc>
          <w:tcPr>
            <w:tcW w:w="399" w:type="pct"/>
            <w:noWrap/>
            <w:hideMark/>
          </w:tcPr>
          <w:p w14:paraId="105934B2" w14:textId="77777777" w:rsidR="00CA7676" w:rsidRPr="00E14EE6" w:rsidRDefault="00CA7676" w:rsidP="00E14EE6">
            <w:pPr>
              <w:jc w:val="right"/>
              <w:rPr>
                <w:sz w:val="14"/>
                <w:szCs w:val="14"/>
              </w:rPr>
            </w:pPr>
            <w:r w:rsidRPr="00E14EE6">
              <w:rPr>
                <w:sz w:val="14"/>
              </w:rPr>
              <w:t>4.4</w:t>
            </w:r>
          </w:p>
        </w:tc>
        <w:tc>
          <w:tcPr>
            <w:tcW w:w="399" w:type="pct"/>
            <w:noWrap/>
            <w:hideMark/>
          </w:tcPr>
          <w:p w14:paraId="49474916" w14:textId="77777777" w:rsidR="00CA7676" w:rsidRPr="00E14EE6" w:rsidRDefault="00CA7676" w:rsidP="00E14EE6">
            <w:pPr>
              <w:jc w:val="right"/>
              <w:rPr>
                <w:sz w:val="14"/>
                <w:szCs w:val="14"/>
              </w:rPr>
            </w:pPr>
            <w:r w:rsidRPr="00E14EE6">
              <w:rPr>
                <w:sz w:val="14"/>
              </w:rPr>
              <w:t>4.0</w:t>
            </w:r>
          </w:p>
        </w:tc>
        <w:tc>
          <w:tcPr>
            <w:tcW w:w="399" w:type="pct"/>
            <w:noWrap/>
            <w:hideMark/>
          </w:tcPr>
          <w:p w14:paraId="4ECBA237" w14:textId="77777777" w:rsidR="00CA7676" w:rsidRPr="00E14EE6" w:rsidRDefault="00CA7676" w:rsidP="00E14EE6">
            <w:pPr>
              <w:jc w:val="right"/>
              <w:rPr>
                <w:sz w:val="14"/>
                <w:szCs w:val="14"/>
              </w:rPr>
            </w:pPr>
            <w:r w:rsidRPr="00E14EE6">
              <w:rPr>
                <w:sz w:val="14"/>
              </w:rPr>
              <w:t>3.9</w:t>
            </w:r>
          </w:p>
        </w:tc>
        <w:tc>
          <w:tcPr>
            <w:tcW w:w="399" w:type="pct"/>
            <w:noWrap/>
            <w:hideMark/>
          </w:tcPr>
          <w:p w14:paraId="751AEDEC" w14:textId="77777777" w:rsidR="00CA7676" w:rsidRPr="00E14EE6" w:rsidRDefault="00CA7676" w:rsidP="00E14EE6">
            <w:pPr>
              <w:jc w:val="right"/>
              <w:rPr>
                <w:sz w:val="14"/>
                <w:szCs w:val="14"/>
              </w:rPr>
            </w:pPr>
            <w:r w:rsidRPr="00E14EE6">
              <w:rPr>
                <w:sz w:val="14"/>
              </w:rPr>
              <w:t>4.1</w:t>
            </w:r>
          </w:p>
        </w:tc>
        <w:tc>
          <w:tcPr>
            <w:tcW w:w="399" w:type="pct"/>
            <w:noWrap/>
            <w:hideMark/>
          </w:tcPr>
          <w:p w14:paraId="25265DB0" w14:textId="77777777" w:rsidR="00CA7676" w:rsidRPr="00E14EE6" w:rsidRDefault="00CA7676" w:rsidP="00E14EE6">
            <w:pPr>
              <w:jc w:val="right"/>
              <w:rPr>
                <w:sz w:val="14"/>
                <w:szCs w:val="14"/>
              </w:rPr>
            </w:pPr>
            <w:r w:rsidRPr="00E14EE6">
              <w:rPr>
                <w:sz w:val="14"/>
              </w:rPr>
              <w:t>4.1</w:t>
            </w:r>
          </w:p>
        </w:tc>
        <w:tc>
          <w:tcPr>
            <w:tcW w:w="399" w:type="pct"/>
            <w:noWrap/>
            <w:hideMark/>
          </w:tcPr>
          <w:p w14:paraId="4BE4F297" w14:textId="77777777" w:rsidR="00CA7676" w:rsidRPr="00E14EE6" w:rsidRDefault="00CA7676" w:rsidP="00E14EE6">
            <w:pPr>
              <w:jc w:val="right"/>
              <w:rPr>
                <w:sz w:val="14"/>
                <w:szCs w:val="14"/>
              </w:rPr>
            </w:pPr>
            <w:r w:rsidRPr="00E14EE6">
              <w:rPr>
                <w:sz w:val="14"/>
              </w:rPr>
              <w:t>4.1</w:t>
            </w:r>
          </w:p>
        </w:tc>
        <w:tc>
          <w:tcPr>
            <w:tcW w:w="399" w:type="pct"/>
            <w:noWrap/>
            <w:hideMark/>
          </w:tcPr>
          <w:p w14:paraId="293B79E7" w14:textId="77777777" w:rsidR="00CA7676" w:rsidRPr="00E14EE6" w:rsidRDefault="00CA7676" w:rsidP="00E14EE6">
            <w:pPr>
              <w:jc w:val="right"/>
              <w:rPr>
                <w:sz w:val="14"/>
                <w:szCs w:val="14"/>
              </w:rPr>
            </w:pPr>
            <w:r w:rsidRPr="00E14EE6">
              <w:rPr>
                <w:sz w:val="14"/>
              </w:rPr>
              <w:t>4.2</w:t>
            </w:r>
          </w:p>
        </w:tc>
        <w:tc>
          <w:tcPr>
            <w:tcW w:w="399" w:type="pct"/>
            <w:noWrap/>
            <w:hideMark/>
          </w:tcPr>
          <w:p w14:paraId="69C04DBC" w14:textId="77777777" w:rsidR="00CA7676" w:rsidRPr="00E14EE6" w:rsidRDefault="00CA7676" w:rsidP="00E14EE6">
            <w:pPr>
              <w:jc w:val="right"/>
              <w:rPr>
                <w:sz w:val="14"/>
                <w:szCs w:val="14"/>
              </w:rPr>
            </w:pPr>
            <w:r w:rsidRPr="00E14EE6">
              <w:rPr>
                <w:sz w:val="14"/>
              </w:rPr>
              <w:t>3.9</w:t>
            </w:r>
          </w:p>
        </w:tc>
        <w:tc>
          <w:tcPr>
            <w:tcW w:w="399" w:type="pct"/>
          </w:tcPr>
          <w:p w14:paraId="117315B1" w14:textId="77777777" w:rsidR="00CA7676" w:rsidRPr="00E14EE6" w:rsidRDefault="00CA7676" w:rsidP="00E14EE6">
            <w:pPr>
              <w:jc w:val="right"/>
              <w:rPr>
                <w:sz w:val="14"/>
                <w:szCs w:val="14"/>
              </w:rPr>
            </w:pPr>
            <w:r w:rsidRPr="00E14EE6">
              <w:rPr>
                <w:sz w:val="14"/>
              </w:rPr>
              <w:t>3.2</w:t>
            </w:r>
          </w:p>
        </w:tc>
      </w:tr>
      <w:tr w:rsidR="00CA7676" w:rsidRPr="00E14EE6" w14:paraId="4C2A955B" w14:textId="77777777" w:rsidTr="00FD6B66">
        <w:trPr>
          <w:cnfStyle w:val="000000010000" w:firstRow="0" w:lastRow="0" w:firstColumn="0" w:lastColumn="0" w:oddVBand="0" w:evenVBand="0" w:oddHBand="0" w:evenHBand="1" w:firstRowFirstColumn="0" w:firstRowLastColumn="0" w:lastRowFirstColumn="0" w:lastRowLastColumn="0"/>
          <w:trHeight w:val="20"/>
        </w:trPr>
        <w:tc>
          <w:tcPr>
            <w:tcW w:w="1411" w:type="pct"/>
            <w:noWrap/>
            <w:hideMark/>
          </w:tcPr>
          <w:p w14:paraId="22633772" w14:textId="77777777" w:rsidR="00CA7676" w:rsidRPr="00E14EE6" w:rsidRDefault="00CA7676" w:rsidP="00E14EE6">
            <w:pPr>
              <w:jc w:val="left"/>
              <w:rPr>
                <w:sz w:val="14"/>
                <w:szCs w:val="14"/>
              </w:rPr>
            </w:pPr>
            <w:r w:rsidRPr="00E14EE6">
              <w:rPr>
                <w:sz w:val="14"/>
              </w:rPr>
              <w:t>Value added</w:t>
            </w:r>
          </w:p>
        </w:tc>
        <w:tc>
          <w:tcPr>
            <w:tcW w:w="399" w:type="pct"/>
            <w:noWrap/>
            <w:hideMark/>
          </w:tcPr>
          <w:p w14:paraId="5352DC51" w14:textId="77777777" w:rsidR="00CA7676" w:rsidRPr="00E14EE6" w:rsidRDefault="00CA7676" w:rsidP="00E14EE6">
            <w:pPr>
              <w:jc w:val="right"/>
              <w:rPr>
                <w:sz w:val="14"/>
                <w:szCs w:val="14"/>
              </w:rPr>
            </w:pPr>
            <w:r w:rsidRPr="00E14EE6">
              <w:rPr>
                <w:sz w:val="14"/>
              </w:rPr>
              <w:t>93.7</w:t>
            </w:r>
          </w:p>
        </w:tc>
        <w:tc>
          <w:tcPr>
            <w:tcW w:w="399" w:type="pct"/>
            <w:noWrap/>
            <w:hideMark/>
          </w:tcPr>
          <w:p w14:paraId="2CDAE957" w14:textId="77777777" w:rsidR="00CA7676" w:rsidRPr="00E14EE6" w:rsidRDefault="00CA7676" w:rsidP="00E14EE6">
            <w:pPr>
              <w:jc w:val="right"/>
              <w:rPr>
                <w:sz w:val="14"/>
                <w:szCs w:val="14"/>
              </w:rPr>
            </w:pPr>
            <w:r w:rsidRPr="00E14EE6">
              <w:rPr>
                <w:sz w:val="14"/>
              </w:rPr>
              <w:t>93.0</w:t>
            </w:r>
          </w:p>
        </w:tc>
        <w:tc>
          <w:tcPr>
            <w:tcW w:w="399" w:type="pct"/>
            <w:noWrap/>
            <w:hideMark/>
          </w:tcPr>
          <w:p w14:paraId="6536873E" w14:textId="77777777" w:rsidR="00CA7676" w:rsidRPr="00E14EE6" w:rsidRDefault="00CA7676" w:rsidP="00E14EE6">
            <w:pPr>
              <w:jc w:val="right"/>
              <w:rPr>
                <w:sz w:val="14"/>
                <w:szCs w:val="14"/>
              </w:rPr>
            </w:pPr>
            <w:r w:rsidRPr="00E14EE6">
              <w:rPr>
                <w:sz w:val="14"/>
              </w:rPr>
              <w:t>92.9</w:t>
            </w:r>
          </w:p>
        </w:tc>
        <w:tc>
          <w:tcPr>
            <w:tcW w:w="399" w:type="pct"/>
            <w:noWrap/>
            <w:hideMark/>
          </w:tcPr>
          <w:p w14:paraId="77EF5127" w14:textId="77777777" w:rsidR="00CA7676" w:rsidRPr="00E14EE6" w:rsidRDefault="00CA7676" w:rsidP="00E14EE6">
            <w:pPr>
              <w:jc w:val="right"/>
              <w:rPr>
                <w:sz w:val="14"/>
                <w:szCs w:val="14"/>
              </w:rPr>
            </w:pPr>
            <w:r w:rsidRPr="00E14EE6">
              <w:rPr>
                <w:sz w:val="14"/>
              </w:rPr>
              <w:t>92.8</w:t>
            </w:r>
          </w:p>
        </w:tc>
        <w:tc>
          <w:tcPr>
            <w:tcW w:w="399" w:type="pct"/>
            <w:noWrap/>
            <w:hideMark/>
          </w:tcPr>
          <w:p w14:paraId="33093A22" w14:textId="77777777" w:rsidR="00CA7676" w:rsidRPr="00E14EE6" w:rsidRDefault="00CA7676" w:rsidP="00E14EE6">
            <w:pPr>
              <w:jc w:val="right"/>
              <w:rPr>
                <w:sz w:val="14"/>
                <w:szCs w:val="14"/>
              </w:rPr>
            </w:pPr>
            <w:r w:rsidRPr="00E14EE6">
              <w:rPr>
                <w:sz w:val="14"/>
              </w:rPr>
              <w:t>92.6</w:t>
            </w:r>
          </w:p>
        </w:tc>
        <w:tc>
          <w:tcPr>
            <w:tcW w:w="399" w:type="pct"/>
            <w:noWrap/>
            <w:hideMark/>
          </w:tcPr>
          <w:p w14:paraId="0407F2A9" w14:textId="77777777" w:rsidR="00CA7676" w:rsidRPr="00E14EE6" w:rsidRDefault="00CA7676" w:rsidP="00E14EE6">
            <w:pPr>
              <w:jc w:val="right"/>
              <w:rPr>
                <w:sz w:val="14"/>
                <w:szCs w:val="14"/>
              </w:rPr>
            </w:pPr>
            <w:r w:rsidRPr="00E14EE6">
              <w:rPr>
                <w:sz w:val="14"/>
              </w:rPr>
              <w:t>92.6</w:t>
            </w:r>
          </w:p>
        </w:tc>
        <w:tc>
          <w:tcPr>
            <w:tcW w:w="399" w:type="pct"/>
            <w:noWrap/>
            <w:hideMark/>
          </w:tcPr>
          <w:p w14:paraId="3FF4FBBC" w14:textId="77777777" w:rsidR="00CA7676" w:rsidRPr="00E14EE6" w:rsidRDefault="00CA7676" w:rsidP="00E14EE6">
            <w:pPr>
              <w:jc w:val="right"/>
              <w:rPr>
                <w:sz w:val="14"/>
                <w:szCs w:val="14"/>
              </w:rPr>
            </w:pPr>
            <w:r w:rsidRPr="00E14EE6">
              <w:rPr>
                <w:sz w:val="14"/>
              </w:rPr>
              <w:t>93.5</w:t>
            </w:r>
          </w:p>
        </w:tc>
        <w:tc>
          <w:tcPr>
            <w:tcW w:w="399" w:type="pct"/>
            <w:noWrap/>
            <w:hideMark/>
          </w:tcPr>
          <w:p w14:paraId="346A39EF" w14:textId="77777777" w:rsidR="00CA7676" w:rsidRPr="00E14EE6" w:rsidRDefault="00CA7676" w:rsidP="00E14EE6">
            <w:pPr>
              <w:jc w:val="right"/>
              <w:rPr>
                <w:sz w:val="14"/>
                <w:szCs w:val="14"/>
              </w:rPr>
            </w:pPr>
            <w:r w:rsidRPr="00E14EE6">
              <w:rPr>
                <w:sz w:val="14"/>
              </w:rPr>
              <w:t>93.0</w:t>
            </w:r>
          </w:p>
        </w:tc>
        <w:tc>
          <w:tcPr>
            <w:tcW w:w="399" w:type="pct"/>
          </w:tcPr>
          <w:p w14:paraId="6A3D491C" w14:textId="77777777" w:rsidR="00CA7676" w:rsidRPr="00E14EE6" w:rsidRDefault="00CA7676" w:rsidP="00E14EE6">
            <w:pPr>
              <w:jc w:val="right"/>
              <w:rPr>
                <w:sz w:val="14"/>
                <w:szCs w:val="14"/>
              </w:rPr>
            </w:pPr>
            <w:r w:rsidRPr="00E14EE6">
              <w:rPr>
                <w:sz w:val="14"/>
              </w:rPr>
              <w:t>92.8</w:t>
            </w:r>
          </w:p>
        </w:tc>
      </w:tr>
      <w:tr w:rsidR="00CA7676" w:rsidRPr="00E14EE6" w14:paraId="0CB27E58" w14:textId="77777777" w:rsidTr="00FD6B66">
        <w:trPr>
          <w:trHeight w:val="20"/>
        </w:trPr>
        <w:tc>
          <w:tcPr>
            <w:tcW w:w="1411" w:type="pct"/>
            <w:noWrap/>
            <w:hideMark/>
          </w:tcPr>
          <w:p w14:paraId="18B0AA43" w14:textId="77777777" w:rsidR="00CA7676" w:rsidRPr="00E14EE6" w:rsidRDefault="00CA7676" w:rsidP="00E14EE6">
            <w:pPr>
              <w:jc w:val="left"/>
              <w:rPr>
                <w:sz w:val="14"/>
                <w:szCs w:val="14"/>
              </w:rPr>
            </w:pPr>
            <w:r w:rsidRPr="00E14EE6">
              <w:rPr>
                <w:sz w:val="14"/>
              </w:rPr>
              <w:t>Taxes on production, net of subsidies</w:t>
            </w:r>
          </w:p>
        </w:tc>
        <w:tc>
          <w:tcPr>
            <w:tcW w:w="399" w:type="pct"/>
            <w:noWrap/>
            <w:hideMark/>
          </w:tcPr>
          <w:p w14:paraId="4C809CE3" w14:textId="77777777" w:rsidR="00CA7676" w:rsidRPr="00E14EE6" w:rsidRDefault="00CA7676" w:rsidP="00E14EE6">
            <w:pPr>
              <w:jc w:val="right"/>
              <w:rPr>
                <w:sz w:val="14"/>
                <w:szCs w:val="14"/>
              </w:rPr>
            </w:pPr>
            <w:r w:rsidRPr="00E14EE6">
              <w:rPr>
                <w:sz w:val="14"/>
              </w:rPr>
              <w:t>6.3</w:t>
            </w:r>
          </w:p>
        </w:tc>
        <w:tc>
          <w:tcPr>
            <w:tcW w:w="399" w:type="pct"/>
            <w:noWrap/>
            <w:hideMark/>
          </w:tcPr>
          <w:p w14:paraId="7D0F946A" w14:textId="77777777" w:rsidR="00CA7676" w:rsidRPr="00E14EE6" w:rsidRDefault="00CA7676" w:rsidP="00E14EE6">
            <w:pPr>
              <w:jc w:val="right"/>
              <w:rPr>
                <w:sz w:val="14"/>
                <w:szCs w:val="14"/>
              </w:rPr>
            </w:pPr>
            <w:r w:rsidRPr="00E14EE6">
              <w:rPr>
                <w:sz w:val="14"/>
              </w:rPr>
              <w:t>7.0</w:t>
            </w:r>
          </w:p>
        </w:tc>
        <w:tc>
          <w:tcPr>
            <w:tcW w:w="399" w:type="pct"/>
            <w:noWrap/>
            <w:hideMark/>
          </w:tcPr>
          <w:p w14:paraId="59BDB28C" w14:textId="77777777" w:rsidR="00CA7676" w:rsidRPr="00E14EE6" w:rsidRDefault="00CA7676" w:rsidP="00E14EE6">
            <w:pPr>
              <w:jc w:val="right"/>
              <w:rPr>
                <w:sz w:val="14"/>
                <w:szCs w:val="14"/>
              </w:rPr>
            </w:pPr>
            <w:r w:rsidRPr="00E14EE6">
              <w:rPr>
                <w:sz w:val="14"/>
              </w:rPr>
              <w:t>7.1</w:t>
            </w:r>
          </w:p>
        </w:tc>
        <w:tc>
          <w:tcPr>
            <w:tcW w:w="399" w:type="pct"/>
            <w:noWrap/>
            <w:hideMark/>
          </w:tcPr>
          <w:p w14:paraId="5D77916E" w14:textId="77777777" w:rsidR="00CA7676" w:rsidRPr="00E14EE6" w:rsidRDefault="00CA7676" w:rsidP="00E14EE6">
            <w:pPr>
              <w:jc w:val="right"/>
              <w:rPr>
                <w:sz w:val="14"/>
                <w:szCs w:val="14"/>
              </w:rPr>
            </w:pPr>
            <w:r w:rsidRPr="00E14EE6">
              <w:rPr>
                <w:sz w:val="14"/>
              </w:rPr>
              <w:t>7.2</w:t>
            </w:r>
          </w:p>
        </w:tc>
        <w:tc>
          <w:tcPr>
            <w:tcW w:w="399" w:type="pct"/>
            <w:noWrap/>
            <w:hideMark/>
          </w:tcPr>
          <w:p w14:paraId="4F130A5E" w14:textId="77777777" w:rsidR="00CA7676" w:rsidRPr="00E14EE6" w:rsidRDefault="00CA7676" w:rsidP="00E14EE6">
            <w:pPr>
              <w:jc w:val="right"/>
              <w:rPr>
                <w:sz w:val="14"/>
                <w:szCs w:val="14"/>
              </w:rPr>
            </w:pPr>
            <w:r w:rsidRPr="00E14EE6">
              <w:rPr>
                <w:sz w:val="14"/>
              </w:rPr>
              <w:t>7.4</w:t>
            </w:r>
          </w:p>
        </w:tc>
        <w:tc>
          <w:tcPr>
            <w:tcW w:w="399" w:type="pct"/>
            <w:noWrap/>
            <w:hideMark/>
          </w:tcPr>
          <w:p w14:paraId="28819716" w14:textId="77777777" w:rsidR="00CA7676" w:rsidRPr="00E14EE6" w:rsidRDefault="00CA7676" w:rsidP="00E14EE6">
            <w:pPr>
              <w:jc w:val="right"/>
              <w:rPr>
                <w:sz w:val="14"/>
                <w:szCs w:val="14"/>
              </w:rPr>
            </w:pPr>
            <w:r w:rsidRPr="00E14EE6">
              <w:rPr>
                <w:sz w:val="14"/>
              </w:rPr>
              <w:t>7.4</w:t>
            </w:r>
          </w:p>
        </w:tc>
        <w:tc>
          <w:tcPr>
            <w:tcW w:w="399" w:type="pct"/>
            <w:noWrap/>
            <w:hideMark/>
          </w:tcPr>
          <w:p w14:paraId="0E8DDFCB" w14:textId="77777777" w:rsidR="00CA7676" w:rsidRPr="00E14EE6" w:rsidRDefault="00CA7676" w:rsidP="00E14EE6">
            <w:pPr>
              <w:jc w:val="right"/>
              <w:rPr>
                <w:sz w:val="14"/>
                <w:szCs w:val="14"/>
              </w:rPr>
            </w:pPr>
            <w:r w:rsidRPr="00E14EE6">
              <w:rPr>
                <w:sz w:val="14"/>
              </w:rPr>
              <w:t>6.5</w:t>
            </w:r>
          </w:p>
        </w:tc>
        <w:tc>
          <w:tcPr>
            <w:tcW w:w="399" w:type="pct"/>
            <w:noWrap/>
            <w:hideMark/>
          </w:tcPr>
          <w:p w14:paraId="73CF1615" w14:textId="77777777" w:rsidR="00CA7676" w:rsidRPr="00E14EE6" w:rsidRDefault="00CA7676" w:rsidP="00E14EE6">
            <w:pPr>
              <w:jc w:val="right"/>
              <w:rPr>
                <w:sz w:val="14"/>
                <w:szCs w:val="14"/>
              </w:rPr>
            </w:pPr>
            <w:r w:rsidRPr="00E14EE6">
              <w:rPr>
                <w:sz w:val="14"/>
              </w:rPr>
              <w:t>7.0</w:t>
            </w:r>
          </w:p>
        </w:tc>
        <w:tc>
          <w:tcPr>
            <w:tcW w:w="399" w:type="pct"/>
          </w:tcPr>
          <w:p w14:paraId="6A8F0B54" w14:textId="77777777" w:rsidR="00CA7676" w:rsidRPr="00E14EE6" w:rsidRDefault="00CA7676" w:rsidP="00E14EE6">
            <w:pPr>
              <w:jc w:val="right"/>
              <w:rPr>
                <w:sz w:val="14"/>
                <w:szCs w:val="14"/>
              </w:rPr>
            </w:pPr>
            <w:r w:rsidRPr="00E14EE6">
              <w:rPr>
                <w:sz w:val="14"/>
              </w:rPr>
              <w:t>7.2</w:t>
            </w:r>
          </w:p>
        </w:tc>
      </w:tr>
      <w:tr w:rsidR="00CA7676" w:rsidRPr="00E14EE6" w14:paraId="0D0BE476" w14:textId="77777777" w:rsidTr="00FD6B66">
        <w:trPr>
          <w:cnfStyle w:val="000000010000" w:firstRow="0" w:lastRow="0" w:firstColumn="0" w:lastColumn="0" w:oddVBand="0" w:evenVBand="0" w:oddHBand="0" w:evenHBand="1" w:firstRowFirstColumn="0" w:firstRowLastColumn="0" w:lastRowFirstColumn="0" w:lastRowLastColumn="0"/>
          <w:trHeight w:val="20"/>
        </w:trPr>
        <w:tc>
          <w:tcPr>
            <w:tcW w:w="5000" w:type="pct"/>
            <w:gridSpan w:val="10"/>
            <w:noWrap/>
            <w:hideMark/>
          </w:tcPr>
          <w:p w14:paraId="36A5ADDE" w14:textId="587BD96F" w:rsidR="00CA7676" w:rsidRPr="00E14EE6" w:rsidRDefault="00CA7676" w:rsidP="00E14EE6">
            <w:pPr>
              <w:jc w:val="left"/>
              <w:rPr>
                <w:b/>
                <w:bCs/>
                <w:sz w:val="14"/>
                <w:szCs w:val="14"/>
              </w:rPr>
            </w:pPr>
            <w:r w:rsidRPr="00E14EE6">
              <w:rPr>
                <w:b/>
                <w:sz w:val="14"/>
              </w:rPr>
              <w:t xml:space="preserve">GDP by expenditure category (% of </w:t>
            </w:r>
            <w:r w:rsidR="007459E2" w:rsidRPr="00E14EE6">
              <w:rPr>
                <w:b/>
                <w:sz w:val="14"/>
              </w:rPr>
              <w:t xml:space="preserve">current </w:t>
            </w:r>
            <w:r w:rsidRPr="00E14EE6">
              <w:rPr>
                <w:b/>
                <w:sz w:val="14"/>
              </w:rPr>
              <w:t>GDP)</w:t>
            </w:r>
          </w:p>
        </w:tc>
      </w:tr>
      <w:tr w:rsidR="00CA7676" w:rsidRPr="00E14EE6" w14:paraId="17D4FCFB" w14:textId="77777777" w:rsidTr="00FD6B66">
        <w:trPr>
          <w:trHeight w:val="20"/>
        </w:trPr>
        <w:tc>
          <w:tcPr>
            <w:tcW w:w="1411" w:type="pct"/>
            <w:noWrap/>
            <w:hideMark/>
          </w:tcPr>
          <w:p w14:paraId="1C4828EF" w14:textId="77777777" w:rsidR="00CA7676" w:rsidRPr="00E14EE6" w:rsidRDefault="00CA7676" w:rsidP="00E14EE6">
            <w:pPr>
              <w:jc w:val="left"/>
              <w:rPr>
                <w:sz w:val="14"/>
                <w:szCs w:val="14"/>
              </w:rPr>
            </w:pPr>
            <w:r w:rsidRPr="00E14EE6">
              <w:rPr>
                <w:sz w:val="14"/>
              </w:rPr>
              <w:t>Final consumption</w:t>
            </w:r>
          </w:p>
        </w:tc>
        <w:tc>
          <w:tcPr>
            <w:tcW w:w="399" w:type="pct"/>
            <w:noWrap/>
            <w:hideMark/>
          </w:tcPr>
          <w:p w14:paraId="175716CB" w14:textId="77777777" w:rsidR="00CA7676" w:rsidRPr="00E14EE6" w:rsidRDefault="00CA7676" w:rsidP="00E14EE6">
            <w:pPr>
              <w:jc w:val="right"/>
              <w:rPr>
                <w:sz w:val="14"/>
                <w:szCs w:val="14"/>
              </w:rPr>
            </w:pPr>
            <w:r w:rsidRPr="00E14EE6">
              <w:rPr>
                <w:sz w:val="14"/>
              </w:rPr>
              <w:t>82.1</w:t>
            </w:r>
          </w:p>
        </w:tc>
        <w:tc>
          <w:tcPr>
            <w:tcW w:w="399" w:type="pct"/>
            <w:noWrap/>
            <w:hideMark/>
          </w:tcPr>
          <w:p w14:paraId="0312258B" w14:textId="77777777" w:rsidR="00CA7676" w:rsidRPr="00E14EE6" w:rsidRDefault="00CA7676" w:rsidP="00E14EE6">
            <w:pPr>
              <w:jc w:val="right"/>
              <w:rPr>
                <w:sz w:val="14"/>
                <w:szCs w:val="14"/>
              </w:rPr>
            </w:pPr>
            <w:r w:rsidRPr="00E14EE6">
              <w:rPr>
                <w:sz w:val="14"/>
              </w:rPr>
              <w:t>81.2</w:t>
            </w:r>
          </w:p>
        </w:tc>
        <w:tc>
          <w:tcPr>
            <w:tcW w:w="399" w:type="pct"/>
            <w:noWrap/>
            <w:hideMark/>
          </w:tcPr>
          <w:p w14:paraId="6A36F705" w14:textId="77777777" w:rsidR="00CA7676" w:rsidRPr="00E14EE6" w:rsidRDefault="00CA7676" w:rsidP="00E14EE6">
            <w:pPr>
              <w:jc w:val="right"/>
              <w:rPr>
                <w:sz w:val="14"/>
                <w:szCs w:val="14"/>
              </w:rPr>
            </w:pPr>
            <w:r w:rsidRPr="00E14EE6">
              <w:rPr>
                <w:sz w:val="14"/>
              </w:rPr>
              <w:t>80.8</w:t>
            </w:r>
          </w:p>
        </w:tc>
        <w:tc>
          <w:tcPr>
            <w:tcW w:w="399" w:type="pct"/>
            <w:noWrap/>
            <w:hideMark/>
          </w:tcPr>
          <w:p w14:paraId="59AF7D7E" w14:textId="77777777" w:rsidR="00CA7676" w:rsidRPr="00E14EE6" w:rsidRDefault="00CA7676" w:rsidP="00E14EE6">
            <w:pPr>
              <w:jc w:val="right"/>
              <w:rPr>
                <w:sz w:val="14"/>
                <w:szCs w:val="14"/>
              </w:rPr>
            </w:pPr>
            <w:r w:rsidRPr="00E14EE6">
              <w:rPr>
                <w:sz w:val="14"/>
              </w:rPr>
              <w:t>80.4</w:t>
            </w:r>
          </w:p>
        </w:tc>
        <w:tc>
          <w:tcPr>
            <w:tcW w:w="399" w:type="pct"/>
            <w:noWrap/>
            <w:hideMark/>
          </w:tcPr>
          <w:p w14:paraId="3C6E3339" w14:textId="77777777" w:rsidR="00CA7676" w:rsidRPr="00E14EE6" w:rsidRDefault="00CA7676" w:rsidP="00E14EE6">
            <w:pPr>
              <w:jc w:val="right"/>
              <w:rPr>
                <w:sz w:val="14"/>
                <w:szCs w:val="14"/>
              </w:rPr>
            </w:pPr>
            <w:r w:rsidRPr="00E14EE6">
              <w:rPr>
                <w:sz w:val="14"/>
              </w:rPr>
              <w:t>79.2</w:t>
            </w:r>
          </w:p>
        </w:tc>
        <w:tc>
          <w:tcPr>
            <w:tcW w:w="399" w:type="pct"/>
            <w:noWrap/>
            <w:hideMark/>
          </w:tcPr>
          <w:p w14:paraId="6AAFF37C" w14:textId="77777777" w:rsidR="00CA7676" w:rsidRPr="00E14EE6" w:rsidRDefault="00CA7676" w:rsidP="00E14EE6">
            <w:pPr>
              <w:jc w:val="right"/>
              <w:rPr>
                <w:sz w:val="14"/>
                <w:szCs w:val="14"/>
              </w:rPr>
            </w:pPr>
            <w:r w:rsidRPr="00E14EE6">
              <w:rPr>
                <w:sz w:val="14"/>
              </w:rPr>
              <w:t>78.9</w:t>
            </w:r>
          </w:p>
        </w:tc>
        <w:tc>
          <w:tcPr>
            <w:tcW w:w="399" w:type="pct"/>
            <w:noWrap/>
            <w:hideMark/>
          </w:tcPr>
          <w:p w14:paraId="7B1CDDD2" w14:textId="77777777" w:rsidR="00CA7676" w:rsidRPr="00E14EE6" w:rsidRDefault="00CA7676" w:rsidP="00E14EE6">
            <w:pPr>
              <w:jc w:val="right"/>
              <w:rPr>
                <w:sz w:val="14"/>
                <w:szCs w:val="14"/>
              </w:rPr>
            </w:pPr>
            <w:r w:rsidRPr="00E14EE6">
              <w:rPr>
                <w:sz w:val="14"/>
              </w:rPr>
              <w:t>82.3</w:t>
            </w:r>
          </w:p>
        </w:tc>
        <w:tc>
          <w:tcPr>
            <w:tcW w:w="399" w:type="pct"/>
            <w:noWrap/>
            <w:hideMark/>
          </w:tcPr>
          <w:p w14:paraId="1D76B235" w14:textId="77777777" w:rsidR="00CA7676" w:rsidRPr="00E14EE6" w:rsidRDefault="00CA7676" w:rsidP="00E14EE6">
            <w:pPr>
              <w:jc w:val="right"/>
              <w:rPr>
                <w:sz w:val="14"/>
                <w:szCs w:val="14"/>
              </w:rPr>
            </w:pPr>
            <w:r w:rsidRPr="00E14EE6">
              <w:rPr>
                <w:sz w:val="14"/>
              </w:rPr>
              <w:t>77.9</w:t>
            </w:r>
          </w:p>
        </w:tc>
        <w:tc>
          <w:tcPr>
            <w:tcW w:w="399" w:type="pct"/>
          </w:tcPr>
          <w:p w14:paraId="6D9F6AE6" w14:textId="77777777" w:rsidR="00CA7676" w:rsidRPr="00E14EE6" w:rsidRDefault="00CA7676" w:rsidP="00E14EE6">
            <w:pPr>
              <w:jc w:val="right"/>
              <w:rPr>
                <w:sz w:val="14"/>
                <w:szCs w:val="14"/>
              </w:rPr>
            </w:pPr>
            <w:r w:rsidRPr="00E14EE6">
              <w:rPr>
                <w:sz w:val="14"/>
              </w:rPr>
              <w:t>73.4</w:t>
            </w:r>
          </w:p>
        </w:tc>
      </w:tr>
      <w:tr w:rsidR="00CA7676" w:rsidRPr="00E14EE6" w14:paraId="17C1F9F9" w14:textId="77777777" w:rsidTr="00FD6B66">
        <w:trPr>
          <w:cnfStyle w:val="000000010000" w:firstRow="0" w:lastRow="0" w:firstColumn="0" w:lastColumn="0" w:oddVBand="0" w:evenVBand="0" w:oddHBand="0" w:evenHBand="1" w:firstRowFirstColumn="0" w:firstRowLastColumn="0" w:lastRowFirstColumn="0" w:lastRowLastColumn="0"/>
          <w:trHeight w:val="20"/>
        </w:trPr>
        <w:tc>
          <w:tcPr>
            <w:tcW w:w="1411" w:type="pct"/>
            <w:noWrap/>
            <w:hideMark/>
          </w:tcPr>
          <w:p w14:paraId="60F9F3BC" w14:textId="77777777" w:rsidR="00CA7676" w:rsidRPr="00E14EE6" w:rsidRDefault="00CA7676" w:rsidP="00E14EE6">
            <w:pPr>
              <w:ind w:left="113"/>
              <w:jc w:val="left"/>
              <w:rPr>
                <w:sz w:val="14"/>
                <w:szCs w:val="14"/>
              </w:rPr>
            </w:pPr>
            <w:r w:rsidRPr="00E14EE6">
              <w:rPr>
                <w:sz w:val="14"/>
              </w:rPr>
              <w:t>Private consumption</w:t>
            </w:r>
          </w:p>
        </w:tc>
        <w:tc>
          <w:tcPr>
            <w:tcW w:w="399" w:type="pct"/>
            <w:noWrap/>
            <w:hideMark/>
          </w:tcPr>
          <w:p w14:paraId="7008693B" w14:textId="77777777" w:rsidR="00CA7676" w:rsidRPr="00E14EE6" w:rsidRDefault="00CA7676" w:rsidP="00E14EE6">
            <w:pPr>
              <w:jc w:val="right"/>
              <w:rPr>
                <w:sz w:val="14"/>
                <w:szCs w:val="14"/>
              </w:rPr>
            </w:pPr>
            <w:r w:rsidRPr="00E14EE6">
              <w:rPr>
                <w:sz w:val="14"/>
              </w:rPr>
              <w:t>71.6</w:t>
            </w:r>
          </w:p>
        </w:tc>
        <w:tc>
          <w:tcPr>
            <w:tcW w:w="399" w:type="pct"/>
            <w:noWrap/>
            <w:hideMark/>
          </w:tcPr>
          <w:p w14:paraId="0DB9F8E5" w14:textId="77777777" w:rsidR="00CA7676" w:rsidRPr="00E14EE6" w:rsidRDefault="00CA7676" w:rsidP="00E14EE6">
            <w:pPr>
              <w:jc w:val="right"/>
              <w:rPr>
                <w:sz w:val="14"/>
                <w:szCs w:val="14"/>
              </w:rPr>
            </w:pPr>
            <w:r w:rsidRPr="00E14EE6">
              <w:rPr>
                <w:sz w:val="14"/>
              </w:rPr>
              <w:t>70.9</w:t>
            </w:r>
          </w:p>
        </w:tc>
        <w:tc>
          <w:tcPr>
            <w:tcW w:w="399" w:type="pct"/>
            <w:noWrap/>
            <w:hideMark/>
          </w:tcPr>
          <w:p w14:paraId="328E116E" w14:textId="77777777" w:rsidR="00CA7676" w:rsidRPr="00E14EE6" w:rsidRDefault="00CA7676" w:rsidP="00E14EE6">
            <w:pPr>
              <w:jc w:val="right"/>
              <w:rPr>
                <w:sz w:val="14"/>
                <w:szCs w:val="14"/>
              </w:rPr>
            </w:pPr>
            <w:r w:rsidRPr="00E14EE6">
              <w:rPr>
                <w:sz w:val="14"/>
              </w:rPr>
              <w:t>70.5</w:t>
            </w:r>
          </w:p>
        </w:tc>
        <w:tc>
          <w:tcPr>
            <w:tcW w:w="399" w:type="pct"/>
            <w:noWrap/>
            <w:hideMark/>
          </w:tcPr>
          <w:p w14:paraId="0F3F7132" w14:textId="77777777" w:rsidR="00CA7676" w:rsidRPr="00E14EE6" w:rsidRDefault="00CA7676" w:rsidP="00E14EE6">
            <w:pPr>
              <w:jc w:val="right"/>
              <w:rPr>
                <w:sz w:val="14"/>
                <w:szCs w:val="14"/>
              </w:rPr>
            </w:pPr>
            <w:r w:rsidRPr="00E14EE6">
              <w:rPr>
                <w:sz w:val="14"/>
              </w:rPr>
              <w:t>69.5</w:t>
            </w:r>
          </w:p>
        </w:tc>
        <w:tc>
          <w:tcPr>
            <w:tcW w:w="399" w:type="pct"/>
            <w:noWrap/>
            <w:hideMark/>
          </w:tcPr>
          <w:p w14:paraId="0FE6428A" w14:textId="77777777" w:rsidR="00CA7676" w:rsidRPr="00E14EE6" w:rsidRDefault="00CA7676" w:rsidP="00E14EE6">
            <w:pPr>
              <w:jc w:val="right"/>
              <w:rPr>
                <w:sz w:val="14"/>
                <w:szCs w:val="14"/>
              </w:rPr>
            </w:pPr>
            <w:r w:rsidRPr="00E14EE6">
              <w:rPr>
                <w:sz w:val="14"/>
              </w:rPr>
              <w:t>68.3</w:t>
            </w:r>
          </w:p>
        </w:tc>
        <w:tc>
          <w:tcPr>
            <w:tcW w:w="399" w:type="pct"/>
            <w:noWrap/>
            <w:hideMark/>
          </w:tcPr>
          <w:p w14:paraId="0F936487" w14:textId="77777777" w:rsidR="00CA7676" w:rsidRPr="00E14EE6" w:rsidRDefault="00CA7676" w:rsidP="00E14EE6">
            <w:pPr>
              <w:jc w:val="right"/>
              <w:rPr>
                <w:sz w:val="14"/>
                <w:szCs w:val="14"/>
              </w:rPr>
            </w:pPr>
            <w:r w:rsidRPr="00E14EE6">
              <w:rPr>
                <w:sz w:val="14"/>
              </w:rPr>
              <w:t>67.8</w:t>
            </w:r>
          </w:p>
        </w:tc>
        <w:tc>
          <w:tcPr>
            <w:tcW w:w="399" w:type="pct"/>
            <w:noWrap/>
            <w:hideMark/>
          </w:tcPr>
          <w:p w14:paraId="248451F5" w14:textId="77777777" w:rsidR="00CA7676" w:rsidRPr="00E14EE6" w:rsidRDefault="00CA7676" w:rsidP="00E14EE6">
            <w:pPr>
              <w:jc w:val="right"/>
              <w:rPr>
                <w:sz w:val="14"/>
                <w:szCs w:val="14"/>
              </w:rPr>
            </w:pPr>
            <w:r w:rsidRPr="00E14EE6">
              <w:rPr>
                <w:sz w:val="14"/>
              </w:rPr>
              <w:t>69.7</w:t>
            </w:r>
          </w:p>
        </w:tc>
        <w:tc>
          <w:tcPr>
            <w:tcW w:w="399" w:type="pct"/>
            <w:noWrap/>
            <w:hideMark/>
          </w:tcPr>
          <w:p w14:paraId="0348DF5A" w14:textId="77777777" w:rsidR="00CA7676" w:rsidRPr="00E14EE6" w:rsidRDefault="00CA7676" w:rsidP="00E14EE6">
            <w:pPr>
              <w:jc w:val="right"/>
              <w:rPr>
                <w:sz w:val="14"/>
                <w:szCs w:val="14"/>
              </w:rPr>
            </w:pPr>
            <w:r w:rsidRPr="00E14EE6">
              <w:rPr>
                <w:sz w:val="14"/>
              </w:rPr>
              <w:t>66.4</w:t>
            </w:r>
          </w:p>
        </w:tc>
        <w:tc>
          <w:tcPr>
            <w:tcW w:w="399" w:type="pct"/>
          </w:tcPr>
          <w:p w14:paraId="1DAD2DC7" w14:textId="77777777" w:rsidR="00CA7676" w:rsidRPr="00E14EE6" w:rsidRDefault="00CA7676" w:rsidP="00E14EE6">
            <w:pPr>
              <w:jc w:val="right"/>
              <w:rPr>
                <w:sz w:val="14"/>
                <w:szCs w:val="14"/>
              </w:rPr>
            </w:pPr>
            <w:r w:rsidRPr="00E14EE6">
              <w:rPr>
                <w:sz w:val="14"/>
              </w:rPr>
              <w:t>63.6</w:t>
            </w:r>
          </w:p>
        </w:tc>
      </w:tr>
      <w:tr w:rsidR="00CA7676" w:rsidRPr="00E14EE6" w14:paraId="47D71FF4" w14:textId="77777777" w:rsidTr="00FD6B66">
        <w:trPr>
          <w:trHeight w:val="20"/>
        </w:trPr>
        <w:tc>
          <w:tcPr>
            <w:tcW w:w="1411" w:type="pct"/>
            <w:noWrap/>
            <w:hideMark/>
          </w:tcPr>
          <w:p w14:paraId="079F854D" w14:textId="77777777" w:rsidR="00CA7676" w:rsidRPr="00E14EE6" w:rsidRDefault="00CA7676" w:rsidP="00E14EE6">
            <w:pPr>
              <w:ind w:left="113"/>
              <w:jc w:val="left"/>
              <w:rPr>
                <w:sz w:val="14"/>
                <w:szCs w:val="14"/>
              </w:rPr>
            </w:pPr>
            <w:r w:rsidRPr="00E14EE6">
              <w:rPr>
                <w:sz w:val="14"/>
              </w:rPr>
              <w:t>Public consumption</w:t>
            </w:r>
          </w:p>
        </w:tc>
        <w:tc>
          <w:tcPr>
            <w:tcW w:w="399" w:type="pct"/>
            <w:noWrap/>
            <w:hideMark/>
          </w:tcPr>
          <w:p w14:paraId="0DC98529" w14:textId="77777777" w:rsidR="00CA7676" w:rsidRPr="00E14EE6" w:rsidRDefault="00CA7676" w:rsidP="00E14EE6">
            <w:pPr>
              <w:jc w:val="right"/>
              <w:rPr>
                <w:sz w:val="14"/>
                <w:szCs w:val="14"/>
              </w:rPr>
            </w:pPr>
            <w:r w:rsidRPr="00E14EE6">
              <w:rPr>
                <w:sz w:val="14"/>
              </w:rPr>
              <w:t>10.5</w:t>
            </w:r>
          </w:p>
        </w:tc>
        <w:tc>
          <w:tcPr>
            <w:tcW w:w="399" w:type="pct"/>
            <w:noWrap/>
            <w:hideMark/>
          </w:tcPr>
          <w:p w14:paraId="0706337D" w14:textId="77777777" w:rsidR="00CA7676" w:rsidRPr="00E14EE6" w:rsidRDefault="00CA7676" w:rsidP="00E14EE6">
            <w:pPr>
              <w:jc w:val="right"/>
              <w:rPr>
                <w:sz w:val="14"/>
                <w:szCs w:val="14"/>
              </w:rPr>
            </w:pPr>
            <w:r w:rsidRPr="00E14EE6">
              <w:rPr>
                <w:sz w:val="14"/>
              </w:rPr>
              <w:t>10.3</w:t>
            </w:r>
          </w:p>
        </w:tc>
        <w:tc>
          <w:tcPr>
            <w:tcW w:w="399" w:type="pct"/>
            <w:noWrap/>
            <w:hideMark/>
          </w:tcPr>
          <w:p w14:paraId="13F201BA" w14:textId="77777777" w:rsidR="00CA7676" w:rsidRPr="00E14EE6" w:rsidRDefault="00CA7676" w:rsidP="00E14EE6">
            <w:pPr>
              <w:jc w:val="right"/>
              <w:rPr>
                <w:sz w:val="14"/>
                <w:szCs w:val="14"/>
              </w:rPr>
            </w:pPr>
            <w:r w:rsidRPr="00E14EE6">
              <w:rPr>
                <w:sz w:val="14"/>
              </w:rPr>
              <w:t>10.3</w:t>
            </w:r>
          </w:p>
        </w:tc>
        <w:tc>
          <w:tcPr>
            <w:tcW w:w="399" w:type="pct"/>
            <w:noWrap/>
            <w:hideMark/>
          </w:tcPr>
          <w:p w14:paraId="463902B4" w14:textId="77777777" w:rsidR="00CA7676" w:rsidRPr="00E14EE6" w:rsidRDefault="00CA7676" w:rsidP="00E14EE6">
            <w:pPr>
              <w:jc w:val="right"/>
              <w:rPr>
                <w:sz w:val="14"/>
                <w:szCs w:val="14"/>
              </w:rPr>
            </w:pPr>
            <w:r w:rsidRPr="00E14EE6">
              <w:rPr>
                <w:sz w:val="14"/>
              </w:rPr>
              <w:t>10.9</w:t>
            </w:r>
          </w:p>
        </w:tc>
        <w:tc>
          <w:tcPr>
            <w:tcW w:w="399" w:type="pct"/>
            <w:noWrap/>
            <w:hideMark/>
          </w:tcPr>
          <w:p w14:paraId="14298DD5" w14:textId="77777777" w:rsidR="00CA7676" w:rsidRPr="00E14EE6" w:rsidRDefault="00CA7676" w:rsidP="00E14EE6">
            <w:pPr>
              <w:jc w:val="right"/>
              <w:rPr>
                <w:sz w:val="14"/>
                <w:szCs w:val="14"/>
              </w:rPr>
            </w:pPr>
            <w:r w:rsidRPr="00E14EE6">
              <w:rPr>
                <w:sz w:val="14"/>
              </w:rPr>
              <w:t>10.9</w:t>
            </w:r>
          </w:p>
        </w:tc>
        <w:tc>
          <w:tcPr>
            <w:tcW w:w="399" w:type="pct"/>
            <w:noWrap/>
            <w:hideMark/>
          </w:tcPr>
          <w:p w14:paraId="1932E113" w14:textId="77777777" w:rsidR="00CA7676" w:rsidRPr="00E14EE6" w:rsidRDefault="00CA7676" w:rsidP="00E14EE6">
            <w:pPr>
              <w:jc w:val="right"/>
              <w:rPr>
                <w:sz w:val="14"/>
                <w:szCs w:val="14"/>
              </w:rPr>
            </w:pPr>
            <w:r w:rsidRPr="00E14EE6">
              <w:rPr>
                <w:sz w:val="14"/>
              </w:rPr>
              <w:t>11.1</w:t>
            </w:r>
          </w:p>
        </w:tc>
        <w:tc>
          <w:tcPr>
            <w:tcW w:w="399" w:type="pct"/>
            <w:noWrap/>
            <w:hideMark/>
          </w:tcPr>
          <w:p w14:paraId="4FF14E53" w14:textId="77777777" w:rsidR="00CA7676" w:rsidRPr="00E14EE6" w:rsidRDefault="00CA7676" w:rsidP="00E14EE6">
            <w:pPr>
              <w:jc w:val="right"/>
              <w:rPr>
                <w:sz w:val="14"/>
                <w:szCs w:val="14"/>
              </w:rPr>
            </w:pPr>
            <w:r w:rsidRPr="00E14EE6">
              <w:rPr>
                <w:sz w:val="14"/>
              </w:rPr>
              <w:t>12.6</w:t>
            </w:r>
          </w:p>
        </w:tc>
        <w:tc>
          <w:tcPr>
            <w:tcW w:w="399" w:type="pct"/>
            <w:noWrap/>
            <w:hideMark/>
          </w:tcPr>
          <w:p w14:paraId="7756975F" w14:textId="77777777" w:rsidR="00CA7676" w:rsidRPr="00E14EE6" w:rsidRDefault="00CA7676" w:rsidP="00E14EE6">
            <w:pPr>
              <w:jc w:val="right"/>
              <w:rPr>
                <w:sz w:val="14"/>
                <w:szCs w:val="14"/>
              </w:rPr>
            </w:pPr>
            <w:r w:rsidRPr="00E14EE6">
              <w:rPr>
                <w:sz w:val="14"/>
              </w:rPr>
              <w:t>11.5</w:t>
            </w:r>
          </w:p>
        </w:tc>
        <w:tc>
          <w:tcPr>
            <w:tcW w:w="399" w:type="pct"/>
          </w:tcPr>
          <w:p w14:paraId="4FFA13D1" w14:textId="77777777" w:rsidR="00CA7676" w:rsidRPr="00E14EE6" w:rsidRDefault="00CA7676" w:rsidP="00E14EE6">
            <w:pPr>
              <w:jc w:val="right"/>
              <w:rPr>
                <w:sz w:val="14"/>
                <w:szCs w:val="14"/>
              </w:rPr>
            </w:pPr>
            <w:r w:rsidRPr="00E14EE6">
              <w:rPr>
                <w:sz w:val="14"/>
              </w:rPr>
              <w:t>9.8</w:t>
            </w:r>
          </w:p>
        </w:tc>
      </w:tr>
      <w:tr w:rsidR="00CA7676" w:rsidRPr="00E14EE6" w14:paraId="69132D7F" w14:textId="77777777" w:rsidTr="00FD6B66">
        <w:trPr>
          <w:cnfStyle w:val="000000010000" w:firstRow="0" w:lastRow="0" w:firstColumn="0" w:lastColumn="0" w:oddVBand="0" w:evenVBand="0" w:oddHBand="0" w:evenHBand="1" w:firstRowFirstColumn="0" w:firstRowLastColumn="0" w:lastRowFirstColumn="0" w:lastRowLastColumn="0"/>
          <w:trHeight w:val="20"/>
        </w:trPr>
        <w:tc>
          <w:tcPr>
            <w:tcW w:w="1411" w:type="pct"/>
            <w:noWrap/>
            <w:hideMark/>
          </w:tcPr>
          <w:p w14:paraId="22F1A41E" w14:textId="77777777" w:rsidR="00CA7676" w:rsidRPr="00E14EE6" w:rsidRDefault="00CA7676" w:rsidP="00E14EE6">
            <w:pPr>
              <w:jc w:val="left"/>
              <w:rPr>
                <w:sz w:val="14"/>
                <w:szCs w:val="14"/>
              </w:rPr>
            </w:pPr>
            <w:r w:rsidRPr="00E14EE6">
              <w:rPr>
                <w:sz w:val="14"/>
              </w:rPr>
              <w:t>Gross capital formation</w:t>
            </w:r>
          </w:p>
        </w:tc>
        <w:tc>
          <w:tcPr>
            <w:tcW w:w="399" w:type="pct"/>
            <w:noWrap/>
            <w:hideMark/>
          </w:tcPr>
          <w:p w14:paraId="2B31C986" w14:textId="77777777" w:rsidR="00CA7676" w:rsidRPr="00E14EE6" w:rsidRDefault="00CA7676" w:rsidP="00E14EE6">
            <w:pPr>
              <w:jc w:val="right"/>
              <w:rPr>
                <w:sz w:val="14"/>
                <w:szCs w:val="14"/>
              </w:rPr>
            </w:pPr>
            <w:r w:rsidRPr="00E14EE6">
              <w:rPr>
                <w:sz w:val="14"/>
              </w:rPr>
              <w:t>23.1</w:t>
            </w:r>
          </w:p>
        </w:tc>
        <w:tc>
          <w:tcPr>
            <w:tcW w:w="399" w:type="pct"/>
            <w:noWrap/>
            <w:hideMark/>
          </w:tcPr>
          <w:p w14:paraId="300CDD1E" w14:textId="77777777" w:rsidR="00CA7676" w:rsidRPr="00E14EE6" w:rsidRDefault="00CA7676" w:rsidP="00E14EE6">
            <w:pPr>
              <w:jc w:val="right"/>
              <w:rPr>
                <w:sz w:val="14"/>
                <w:szCs w:val="14"/>
              </w:rPr>
            </w:pPr>
            <w:r w:rsidRPr="00E14EE6">
              <w:rPr>
                <w:sz w:val="14"/>
              </w:rPr>
              <w:t>23.4</w:t>
            </w:r>
          </w:p>
        </w:tc>
        <w:tc>
          <w:tcPr>
            <w:tcW w:w="399" w:type="pct"/>
            <w:noWrap/>
            <w:hideMark/>
          </w:tcPr>
          <w:p w14:paraId="788B8DA7" w14:textId="77777777" w:rsidR="00CA7676" w:rsidRPr="00E14EE6" w:rsidRDefault="00CA7676" w:rsidP="00E14EE6">
            <w:pPr>
              <w:jc w:val="right"/>
              <w:rPr>
                <w:sz w:val="14"/>
                <w:szCs w:val="14"/>
              </w:rPr>
            </w:pPr>
            <w:r w:rsidRPr="00E14EE6">
              <w:rPr>
                <w:sz w:val="14"/>
              </w:rPr>
              <w:t>23.0</w:t>
            </w:r>
          </w:p>
        </w:tc>
        <w:tc>
          <w:tcPr>
            <w:tcW w:w="399" w:type="pct"/>
            <w:noWrap/>
            <w:hideMark/>
          </w:tcPr>
          <w:p w14:paraId="1CC643FE" w14:textId="77777777" w:rsidR="00CA7676" w:rsidRPr="00E14EE6" w:rsidRDefault="00CA7676" w:rsidP="00E14EE6">
            <w:pPr>
              <w:jc w:val="right"/>
              <w:rPr>
                <w:sz w:val="14"/>
                <w:szCs w:val="14"/>
              </w:rPr>
            </w:pPr>
            <w:r w:rsidRPr="00E14EE6">
              <w:rPr>
                <w:sz w:val="14"/>
              </w:rPr>
              <w:t>22.5</w:t>
            </w:r>
          </w:p>
        </w:tc>
        <w:tc>
          <w:tcPr>
            <w:tcW w:w="399" w:type="pct"/>
            <w:noWrap/>
            <w:hideMark/>
          </w:tcPr>
          <w:p w14:paraId="7D2B38B8" w14:textId="77777777" w:rsidR="00CA7676" w:rsidRPr="00E14EE6" w:rsidRDefault="00CA7676" w:rsidP="00E14EE6">
            <w:pPr>
              <w:jc w:val="right"/>
              <w:rPr>
                <w:sz w:val="14"/>
                <w:szCs w:val="14"/>
              </w:rPr>
            </w:pPr>
            <w:r w:rsidRPr="00E14EE6">
              <w:rPr>
                <w:sz w:val="14"/>
              </w:rPr>
              <w:t>25.8</w:t>
            </w:r>
          </w:p>
        </w:tc>
        <w:tc>
          <w:tcPr>
            <w:tcW w:w="399" w:type="pct"/>
            <w:noWrap/>
            <w:hideMark/>
          </w:tcPr>
          <w:p w14:paraId="7E2BD5B0" w14:textId="77777777" w:rsidR="00CA7676" w:rsidRPr="00E14EE6" w:rsidRDefault="00CA7676" w:rsidP="00E14EE6">
            <w:pPr>
              <w:jc w:val="right"/>
              <w:rPr>
                <w:sz w:val="14"/>
                <w:szCs w:val="14"/>
              </w:rPr>
            </w:pPr>
            <w:r w:rsidRPr="00E14EE6">
              <w:rPr>
                <w:sz w:val="14"/>
              </w:rPr>
              <w:t>26.0</w:t>
            </w:r>
          </w:p>
        </w:tc>
        <w:tc>
          <w:tcPr>
            <w:tcW w:w="399" w:type="pct"/>
            <w:noWrap/>
            <w:hideMark/>
          </w:tcPr>
          <w:p w14:paraId="72B1C209" w14:textId="77777777" w:rsidR="00CA7676" w:rsidRPr="00E14EE6" w:rsidRDefault="00CA7676" w:rsidP="00E14EE6">
            <w:pPr>
              <w:jc w:val="right"/>
              <w:rPr>
                <w:sz w:val="14"/>
                <w:szCs w:val="14"/>
              </w:rPr>
            </w:pPr>
            <w:r w:rsidRPr="00E14EE6">
              <w:rPr>
                <w:sz w:val="14"/>
              </w:rPr>
              <w:t>25.4</w:t>
            </w:r>
          </w:p>
        </w:tc>
        <w:tc>
          <w:tcPr>
            <w:tcW w:w="399" w:type="pct"/>
            <w:noWrap/>
            <w:hideMark/>
          </w:tcPr>
          <w:p w14:paraId="286DD246" w14:textId="77777777" w:rsidR="00CA7676" w:rsidRPr="00E14EE6" w:rsidRDefault="00CA7676" w:rsidP="00E14EE6">
            <w:pPr>
              <w:jc w:val="right"/>
              <w:rPr>
                <w:sz w:val="14"/>
                <w:szCs w:val="14"/>
              </w:rPr>
            </w:pPr>
            <w:r w:rsidRPr="00E14EE6">
              <w:rPr>
                <w:sz w:val="14"/>
              </w:rPr>
              <w:t>31.4</w:t>
            </w:r>
          </w:p>
        </w:tc>
        <w:tc>
          <w:tcPr>
            <w:tcW w:w="399" w:type="pct"/>
          </w:tcPr>
          <w:p w14:paraId="18289CC7" w14:textId="77777777" w:rsidR="00CA7676" w:rsidRPr="00E14EE6" w:rsidRDefault="00CA7676" w:rsidP="00E14EE6">
            <w:pPr>
              <w:jc w:val="right"/>
              <w:rPr>
                <w:sz w:val="14"/>
                <w:szCs w:val="14"/>
              </w:rPr>
            </w:pPr>
            <w:r w:rsidRPr="00E14EE6">
              <w:rPr>
                <w:sz w:val="14"/>
              </w:rPr>
              <w:t>36.3</w:t>
            </w:r>
          </w:p>
        </w:tc>
      </w:tr>
      <w:tr w:rsidR="00CA7676" w:rsidRPr="00E14EE6" w14:paraId="262E5CFB" w14:textId="77777777" w:rsidTr="00FD6B66">
        <w:trPr>
          <w:trHeight w:val="20"/>
        </w:trPr>
        <w:tc>
          <w:tcPr>
            <w:tcW w:w="1411" w:type="pct"/>
            <w:noWrap/>
            <w:hideMark/>
          </w:tcPr>
          <w:p w14:paraId="1FC54B9D" w14:textId="77777777" w:rsidR="00CA7676" w:rsidRPr="00E14EE6" w:rsidRDefault="00CA7676" w:rsidP="00E14EE6">
            <w:pPr>
              <w:ind w:left="113"/>
              <w:jc w:val="left"/>
              <w:rPr>
                <w:sz w:val="14"/>
                <w:szCs w:val="14"/>
              </w:rPr>
            </w:pPr>
            <w:r w:rsidRPr="00E14EE6">
              <w:rPr>
                <w:sz w:val="14"/>
              </w:rPr>
              <w:t>Gross fixed capital formation</w:t>
            </w:r>
          </w:p>
        </w:tc>
        <w:tc>
          <w:tcPr>
            <w:tcW w:w="399" w:type="pct"/>
            <w:noWrap/>
            <w:hideMark/>
          </w:tcPr>
          <w:p w14:paraId="6EF27DC7" w14:textId="77777777" w:rsidR="00CA7676" w:rsidRPr="00E14EE6" w:rsidRDefault="00CA7676" w:rsidP="00E14EE6">
            <w:pPr>
              <w:jc w:val="right"/>
              <w:rPr>
                <w:sz w:val="14"/>
                <w:szCs w:val="14"/>
              </w:rPr>
            </w:pPr>
            <w:r w:rsidRPr="00E14EE6">
              <w:rPr>
                <w:sz w:val="14"/>
              </w:rPr>
              <w:t>22.8</w:t>
            </w:r>
          </w:p>
        </w:tc>
        <w:tc>
          <w:tcPr>
            <w:tcW w:w="399" w:type="pct"/>
            <w:noWrap/>
            <w:hideMark/>
          </w:tcPr>
          <w:p w14:paraId="67D040E3" w14:textId="77777777" w:rsidR="00CA7676" w:rsidRPr="00E14EE6" w:rsidRDefault="00CA7676" w:rsidP="00E14EE6">
            <w:pPr>
              <w:jc w:val="right"/>
              <w:rPr>
                <w:sz w:val="14"/>
                <w:szCs w:val="14"/>
              </w:rPr>
            </w:pPr>
            <w:r w:rsidRPr="00E14EE6">
              <w:rPr>
                <w:sz w:val="14"/>
              </w:rPr>
              <w:t>23.3</w:t>
            </w:r>
          </w:p>
        </w:tc>
        <w:tc>
          <w:tcPr>
            <w:tcW w:w="399" w:type="pct"/>
            <w:noWrap/>
            <w:hideMark/>
          </w:tcPr>
          <w:p w14:paraId="3B563F93" w14:textId="77777777" w:rsidR="00CA7676" w:rsidRPr="00E14EE6" w:rsidRDefault="00CA7676" w:rsidP="00E14EE6">
            <w:pPr>
              <w:jc w:val="right"/>
              <w:rPr>
                <w:sz w:val="14"/>
                <w:szCs w:val="14"/>
              </w:rPr>
            </w:pPr>
            <w:r w:rsidRPr="00E14EE6">
              <w:rPr>
                <w:sz w:val="14"/>
              </w:rPr>
              <w:t>22.9</w:t>
            </w:r>
          </w:p>
        </w:tc>
        <w:tc>
          <w:tcPr>
            <w:tcW w:w="399" w:type="pct"/>
            <w:noWrap/>
            <w:hideMark/>
          </w:tcPr>
          <w:p w14:paraId="76D1AE96" w14:textId="77777777" w:rsidR="00CA7676" w:rsidRPr="00E14EE6" w:rsidRDefault="00CA7676" w:rsidP="00E14EE6">
            <w:pPr>
              <w:jc w:val="right"/>
              <w:rPr>
                <w:sz w:val="14"/>
                <w:szCs w:val="14"/>
              </w:rPr>
            </w:pPr>
            <w:r w:rsidRPr="00E14EE6">
              <w:rPr>
                <w:sz w:val="14"/>
              </w:rPr>
              <w:t>23.7</w:t>
            </w:r>
          </w:p>
        </w:tc>
        <w:tc>
          <w:tcPr>
            <w:tcW w:w="399" w:type="pct"/>
            <w:noWrap/>
            <w:hideMark/>
          </w:tcPr>
          <w:p w14:paraId="65239592" w14:textId="77777777" w:rsidR="00CA7676" w:rsidRPr="00E14EE6" w:rsidRDefault="00CA7676" w:rsidP="00E14EE6">
            <w:pPr>
              <w:jc w:val="right"/>
              <w:rPr>
                <w:sz w:val="14"/>
                <w:szCs w:val="14"/>
              </w:rPr>
            </w:pPr>
            <w:r w:rsidRPr="00E14EE6">
              <w:rPr>
                <w:sz w:val="14"/>
              </w:rPr>
              <w:t>25.8</w:t>
            </w:r>
          </w:p>
        </w:tc>
        <w:tc>
          <w:tcPr>
            <w:tcW w:w="399" w:type="pct"/>
            <w:noWrap/>
            <w:hideMark/>
          </w:tcPr>
          <w:p w14:paraId="212DDD3B" w14:textId="77777777" w:rsidR="00CA7676" w:rsidRPr="00E14EE6" w:rsidRDefault="00CA7676" w:rsidP="00E14EE6">
            <w:pPr>
              <w:jc w:val="right"/>
              <w:rPr>
                <w:sz w:val="14"/>
                <w:szCs w:val="14"/>
              </w:rPr>
            </w:pPr>
            <w:r w:rsidRPr="00E14EE6">
              <w:rPr>
                <w:sz w:val="14"/>
              </w:rPr>
              <w:t>26.8</w:t>
            </w:r>
          </w:p>
        </w:tc>
        <w:tc>
          <w:tcPr>
            <w:tcW w:w="399" w:type="pct"/>
            <w:noWrap/>
            <w:hideMark/>
          </w:tcPr>
          <w:p w14:paraId="778CD614" w14:textId="77777777" w:rsidR="00CA7676" w:rsidRPr="00E14EE6" w:rsidRDefault="00CA7676" w:rsidP="00E14EE6">
            <w:pPr>
              <w:jc w:val="right"/>
              <w:rPr>
                <w:sz w:val="14"/>
                <w:szCs w:val="14"/>
              </w:rPr>
            </w:pPr>
            <w:r w:rsidRPr="00E14EE6">
              <w:rPr>
                <w:sz w:val="14"/>
              </w:rPr>
              <w:t>27.3</w:t>
            </w:r>
          </w:p>
        </w:tc>
        <w:tc>
          <w:tcPr>
            <w:tcW w:w="399" w:type="pct"/>
            <w:noWrap/>
            <w:hideMark/>
          </w:tcPr>
          <w:p w14:paraId="70FDBF90" w14:textId="77777777" w:rsidR="00CA7676" w:rsidRPr="00E14EE6" w:rsidRDefault="00CA7676" w:rsidP="00E14EE6">
            <w:pPr>
              <w:jc w:val="right"/>
              <w:rPr>
                <w:sz w:val="14"/>
                <w:szCs w:val="14"/>
              </w:rPr>
            </w:pPr>
            <w:r w:rsidRPr="00E14EE6">
              <w:rPr>
                <w:sz w:val="14"/>
              </w:rPr>
              <w:t>31.0</w:t>
            </w:r>
          </w:p>
        </w:tc>
        <w:tc>
          <w:tcPr>
            <w:tcW w:w="399" w:type="pct"/>
          </w:tcPr>
          <w:p w14:paraId="51AAF2B8" w14:textId="77777777" w:rsidR="00CA7676" w:rsidRPr="00E14EE6" w:rsidRDefault="00CA7676" w:rsidP="00E14EE6">
            <w:pPr>
              <w:jc w:val="right"/>
              <w:rPr>
                <w:sz w:val="14"/>
                <w:szCs w:val="14"/>
              </w:rPr>
            </w:pPr>
            <w:r w:rsidRPr="00E14EE6">
              <w:rPr>
                <w:sz w:val="14"/>
              </w:rPr>
              <w:t>34.8</w:t>
            </w:r>
          </w:p>
        </w:tc>
      </w:tr>
      <w:tr w:rsidR="00CA7676" w:rsidRPr="00E14EE6" w14:paraId="0793164C" w14:textId="77777777" w:rsidTr="00FD6B66">
        <w:trPr>
          <w:cnfStyle w:val="000000010000" w:firstRow="0" w:lastRow="0" w:firstColumn="0" w:lastColumn="0" w:oddVBand="0" w:evenVBand="0" w:oddHBand="0" w:evenHBand="1" w:firstRowFirstColumn="0" w:firstRowLastColumn="0" w:lastRowFirstColumn="0" w:lastRowLastColumn="0"/>
          <w:trHeight w:val="20"/>
        </w:trPr>
        <w:tc>
          <w:tcPr>
            <w:tcW w:w="1411" w:type="pct"/>
            <w:noWrap/>
            <w:hideMark/>
          </w:tcPr>
          <w:p w14:paraId="5BB1BE62" w14:textId="77777777" w:rsidR="00CA7676" w:rsidRPr="00E14EE6" w:rsidRDefault="00CA7676" w:rsidP="00E14EE6">
            <w:pPr>
              <w:ind w:left="113"/>
              <w:jc w:val="left"/>
              <w:rPr>
                <w:sz w:val="14"/>
                <w:szCs w:val="14"/>
              </w:rPr>
            </w:pPr>
            <w:r w:rsidRPr="00E14EE6">
              <w:rPr>
                <w:sz w:val="14"/>
              </w:rPr>
              <w:t>Variation in inventories</w:t>
            </w:r>
          </w:p>
        </w:tc>
        <w:tc>
          <w:tcPr>
            <w:tcW w:w="399" w:type="pct"/>
            <w:noWrap/>
            <w:hideMark/>
          </w:tcPr>
          <w:p w14:paraId="4CE18E17" w14:textId="77777777" w:rsidR="00CA7676" w:rsidRPr="00E14EE6" w:rsidRDefault="00CA7676" w:rsidP="00E14EE6">
            <w:pPr>
              <w:jc w:val="right"/>
              <w:rPr>
                <w:sz w:val="14"/>
                <w:szCs w:val="14"/>
              </w:rPr>
            </w:pPr>
            <w:r w:rsidRPr="00E14EE6">
              <w:rPr>
                <w:sz w:val="14"/>
              </w:rPr>
              <w:t>0.3</w:t>
            </w:r>
          </w:p>
        </w:tc>
        <w:tc>
          <w:tcPr>
            <w:tcW w:w="399" w:type="pct"/>
            <w:noWrap/>
            <w:hideMark/>
          </w:tcPr>
          <w:p w14:paraId="0414F60E" w14:textId="77777777" w:rsidR="00CA7676" w:rsidRPr="00E14EE6" w:rsidRDefault="00CA7676" w:rsidP="00E14EE6">
            <w:pPr>
              <w:jc w:val="right"/>
              <w:rPr>
                <w:sz w:val="14"/>
                <w:szCs w:val="14"/>
              </w:rPr>
            </w:pPr>
            <w:r w:rsidRPr="00E14EE6">
              <w:rPr>
                <w:sz w:val="14"/>
              </w:rPr>
              <w:t>0.2</w:t>
            </w:r>
          </w:p>
        </w:tc>
        <w:tc>
          <w:tcPr>
            <w:tcW w:w="399" w:type="pct"/>
            <w:noWrap/>
            <w:hideMark/>
          </w:tcPr>
          <w:p w14:paraId="33302791" w14:textId="77777777" w:rsidR="00CA7676" w:rsidRPr="00E14EE6" w:rsidRDefault="00CA7676" w:rsidP="00E14EE6">
            <w:pPr>
              <w:jc w:val="right"/>
              <w:rPr>
                <w:sz w:val="14"/>
                <w:szCs w:val="14"/>
              </w:rPr>
            </w:pPr>
            <w:r w:rsidRPr="00E14EE6">
              <w:rPr>
                <w:sz w:val="14"/>
              </w:rPr>
              <w:t>0.0</w:t>
            </w:r>
          </w:p>
        </w:tc>
        <w:tc>
          <w:tcPr>
            <w:tcW w:w="399" w:type="pct"/>
            <w:noWrap/>
            <w:hideMark/>
          </w:tcPr>
          <w:p w14:paraId="596AAD28" w14:textId="7B47472E" w:rsidR="00CA7676" w:rsidRPr="00E14EE6" w:rsidRDefault="00E14EE6" w:rsidP="00E14EE6">
            <w:pPr>
              <w:jc w:val="right"/>
              <w:rPr>
                <w:sz w:val="14"/>
                <w:szCs w:val="14"/>
              </w:rPr>
            </w:pPr>
            <w:r w:rsidRPr="00E14EE6">
              <w:rPr>
                <w:sz w:val="14"/>
              </w:rPr>
              <w:noBreakHyphen/>
            </w:r>
            <w:r w:rsidR="00CA7676" w:rsidRPr="00E14EE6">
              <w:rPr>
                <w:sz w:val="14"/>
              </w:rPr>
              <w:t>1.3</w:t>
            </w:r>
          </w:p>
        </w:tc>
        <w:tc>
          <w:tcPr>
            <w:tcW w:w="399" w:type="pct"/>
            <w:noWrap/>
            <w:hideMark/>
          </w:tcPr>
          <w:p w14:paraId="6C81BC4F" w14:textId="77777777" w:rsidR="00CA7676" w:rsidRPr="00E14EE6" w:rsidRDefault="00CA7676" w:rsidP="00E14EE6">
            <w:pPr>
              <w:jc w:val="right"/>
              <w:rPr>
                <w:sz w:val="14"/>
                <w:szCs w:val="14"/>
              </w:rPr>
            </w:pPr>
            <w:r w:rsidRPr="00E14EE6">
              <w:rPr>
                <w:sz w:val="14"/>
              </w:rPr>
              <w:t>0.0</w:t>
            </w:r>
          </w:p>
        </w:tc>
        <w:tc>
          <w:tcPr>
            <w:tcW w:w="399" w:type="pct"/>
            <w:noWrap/>
            <w:hideMark/>
          </w:tcPr>
          <w:p w14:paraId="4822084D" w14:textId="45F194CB" w:rsidR="00CA7676" w:rsidRPr="00E14EE6" w:rsidRDefault="00E14EE6" w:rsidP="00E14EE6">
            <w:pPr>
              <w:jc w:val="right"/>
              <w:rPr>
                <w:sz w:val="14"/>
                <w:szCs w:val="14"/>
              </w:rPr>
            </w:pPr>
            <w:r w:rsidRPr="00E14EE6">
              <w:rPr>
                <w:sz w:val="14"/>
              </w:rPr>
              <w:noBreakHyphen/>
            </w:r>
            <w:r w:rsidR="00CA7676" w:rsidRPr="00E14EE6">
              <w:rPr>
                <w:sz w:val="14"/>
              </w:rPr>
              <w:t>0.8</w:t>
            </w:r>
          </w:p>
        </w:tc>
        <w:tc>
          <w:tcPr>
            <w:tcW w:w="399" w:type="pct"/>
            <w:noWrap/>
            <w:hideMark/>
          </w:tcPr>
          <w:p w14:paraId="5CA55780" w14:textId="16C59445" w:rsidR="00CA7676" w:rsidRPr="00E14EE6" w:rsidRDefault="00E14EE6" w:rsidP="00E14EE6">
            <w:pPr>
              <w:jc w:val="right"/>
              <w:rPr>
                <w:sz w:val="14"/>
                <w:szCs w:val="14"/>
              </w:rPr>
            </w:pPr>
            <w:r w:rsidRPr="00E14EE6">
              <w:rPr>
                <w:sz w:val="14"/>
              </w:rPr>
              <w:noBreakHyphen/>
            </w:r>
            <w:r w:rsidR="00CA7676" w:rsidRPr="00E14EE6">
              <w:rPr>
                <w:sz w:val="14"/>
              </w:rPr>
              <w:t>2.0</w:t>
            </w:r>
          </w:p>
        </w:tc>
        <w:tc>
          <w:tcPr>
            <w:tcW w:w="399" w:type="pct"/>
            <w:noWrap/>
            <w:hideMark/>
          </w:tcPr>
          <w:p w14:paraId="4E1AA80F" w14:textId="77777777" w:rsidR="00CA7676" w:rsidRPr="00E14EE6" w:rsidRDefault="00CA7676" w:rsidP="00E14EE6">
            <w:pPr>
              <w:jc w:val="right"/>
              <w:rPr>
                <w:sz w:val="14"/>
                <w:szCs w:val="14"/>
              </w:rPr>
            </w:pPr>
            <w:r w:rsidRPr="00E14EE6">
              <w:rPr>
                <w:sz w:val="14"/>
              </w:rPr>
              <w:t>0.4</w:t>
            </w:r>
          </w:p>
        </w:tc>
        <w:tc>
          <w:tcPr>
            <w:tcW w:w="399" w:type="pct"/>
          </w:tcPr>
          <w:p w14:paraId="6FAE2A21" w14:textId="77777777" w:rsidR="00CA7676" w:rsidRPr="00E14EE6" w:rsidRDefault="00CA7676" w:rsidP="00E14EE6">
            <w:pPr>
              <w:jc w:val="right"/>
              <w:rPr>
                <w:sz w:val="14"/>
                <w:szCs w:val="14"/>
              </w:rPr>
            </w:pPr>
            <w:r w:rsidRPr="00E14EE6">
              <w:rPr>
                <w:sz w:val="14"/>
              </w:rPr>
              <w:t>1.5</w:t>
            </w:r>
          </w:p>
        </w:tc>
      </w:tr>
      <w:tr w:rsidR="00CA7676" w:rsidRPr="00E14EE6" w14:paraId="2F2A20D8" w14:textId="77777777" w:rsidTr="00FD6B66">
        <w:trPr>
          <w:trHeight w:val="20"/>
        </w:trPr>
        <w:tc>
          <w:tcPr>
            <w:tcW w:w="1411" w:type="pct"/>
            <w:noWrap/>
            <w:hideMark/>
          </w:tcPr>
          <w:p w14:paraId="30CB2113" w14:textId="77777777" w:rsidR="00CA7676" w:rsidRPr="00E14EE6" w:rsidRDefault="00CA7676" w:rsidP="00E14EE6">
            <w:pPr>
              <w:jc w:val="left"/>
              <w:rPr>
                <w:sz w:val="14"/>
                <w:szCs w:val="14"/>
              </w:rPr>
            </w:pPr>
            <w:r w:rsidRPr="00E14EE6">
              <w:rPr>
                <w:sz w:val="14"/>
              </w:rPr>
              <w:t>Exports</w:t>
            </w:r>
          </w:p>
        </w:tc>
        <w:tc>
          <w:tcPr>
            <w:tcW w:w="399" w:type="pct"/>
            <w:noWrap/>
            <w:hideMark/>
          </w:tcPr>
          <w:p w14:paraId="7BC0A9F8" w14:textId="77777777" w:rsidR="00CA7676" w:rsidRPr="00E14EE6" w:rsidRDefault="00CA7676" w:rsidP="00E14EE6">
            <w:pPr>
              <w:jc w:val="right"/>
              <w:rPr>
                <w:sz w:val="14"/>
                <w:szCs w:val="14"/>
              </w:rPr>
            </w:pPr>
            <w:r w:rsidRPr="00E14EE6">
              <w:rPr>
                <w:sz w:val="14"/>
              </w:rPr>
              <w:t>25.2</w:t>
            </w:r>
          </w:p>
        </w:tc>
        <w:tc>
          <w:tcPr>
            <w:tcW w:w="399" w:type="pct"/>
            <w:noWrap/>
            <w:hideMark/>
          </w:tcPr>
          <w:p w14:paraId="294587A8" w14:textId="77777777" w:rsidR="00CA7676" w:rsidRPr="00E14EE6" w:rsidRDefault="00CA7676" w:rsidP="00E14EE6">
            <w:pPr>
              <w:jc w:val="right"/>
              <w:rPr>
                <w:sz w:val="14"/>
                <w:szCs w:val="14"/>
              </w:rPr>
            </w:pPr>
            <w:r w:rsidRPr="00E14EE6">
              <w:rPr>
                <w:sz w:val="14"/>
              </w:rPr>
              <w:t>23.8</w:t>
            </w:r>
          </w:p>
        </w:tc>
        <w:tc>
          <w:tcPr>
            <w:tcW w:w="399" w:type="pct"/>
            <w:noWrap/>
            <w:hideMark/>
          </w:tcPr>
          <w:p w14:paraId="6B71F58C" w14:textId="77777777" w:rsidR="00CA7676" w:rsidRPr="00E14EE6" w:rsidRDefault="00CA7676" w:rsidP="00E14EE6">
            <w:pPr>
              <w:jc w:val="right"/>
              <w:rPr>
                <w:sz w:val="14"/>
                <w:szCs w:val="14"/>
              </w:rPr>
            </w:pPr>
            <w:r w:rsidRPr="00E14EE6">
              <w:rPr>
                <w:sz w:val="14"/>
              </w:rPr>
              <w:t>23.9</w:t>
            </w:r>
          </w:p>
        </w:tc>
        <w:tc>
          <w:tcPr>
            <w:tcW w:w="399" w:type="pct"/>
            <w:noWrap/>
            <w:hideMark/>
          </w:tcPr>
          <w:p w14:paraId="0DE5DA92" w14:textId="77777777" w:rsidR="00CA7676" w:rsidRPr="00E14EE6" w:rsidRDefault="00CA7676" w:rsidP="00E14EE6">
            <w:pPr>
              <w:jc w:val="right"/>
              <w:rPr>
                <w:sz w:val="14"/>
                <w:szCs w:val="14"/>
              </w:rPr>
            </w:pPr>
            <w:r w:rsidRPr="00E14EE6">
              <w:rPr>
                <w:sz w:val="14"/>
              </w:rPr>
              <w:t>23.7</w:t>
            </w:r>
          </w:p>
        </w:tc>
        <w:tc>
          <w:tcPr>
            <w:tcW w:w="399" w:type="pct"/>
            <w:noWrap/>
            <w:hideMark/>
          </w:tcPr>
          <w:p w14:paraId="45FEDD4B" w14:textId="77777777" w:rsidR="00CA7676" w:rsidRPr="00E14EE6" w:rsidRDefault="00CA7676" w:rsidP="00E14EE6">
            <w:pPr>
              <w:jc w:val="right"/>
              <w:rPr>
                <w:sz w:val="14"/>
                <w:szCs w:val="14"/>
              </w:rPr>
            </w:pPr>
            <w:r w:rsidRPr="00E14EE6">
              <w:rPr>
                <w:sz w:val="14"/>
              </w:rPr>
              <w:t>23.6</w:t>
            </w:r>
          </w:p>
        </w:tc>
        <w:tc>
          <w:tcPr>
            <w:tcW w:w="399" w:type="pct"/>
            <w:noWrap/>
            <w:hideMark/>
          </w:tcPr>
          <w:p w14:paraId="5D7C604F" w14:textId="77777777" w:rsidR="00CA7676" w:rsidRPr="00E14EE6" w:rsidRDefault="00CA7676" w:rsidP="00E14EE6">
            <w:pPr>
              <w:jc w:val="right"/>
              <w:rPr>
                <w:sz w:val="14"/>
                <w:szCs w:val="14"/>
              </w:rPr>
            </w:pPr>
            <w:r w:rsidRPr="00E14EE6">
              <w:rPr>
                <w:sz w:val="14"/>
              </w:rPr>
              <w:t>23.1</w:t>
            </w:r>
          </w:p>
        </w:tc>
        <w:tc>
          <w:tcPr>
            <w:tcW w:w="399" w:type="pct"/>
            <w:noWrap/>
            <w:hideMark/>
          </w:tcPr>
          <w:p w14:paraId="07879D48" w14:textId="77777777" w:rsidR="00CA7676" w:rsidRPr="00E14EE6" w:rsidRDefault="00CA7676" w:rsidP="00E14EE6">
            <w:pPr>
              <w:jc w:val="right"/>
              <w:rPr>
                <w:sz w:val="14"/>
                <w:szCs w:val="14"/>
              </w:rPr>
            </w:pPr>
            <w:r w:rsidRPr="00E14EE6">
              <w:rPr>
                <w:sz w:val="14"/>
              </w:rPr>
              <w:t>18.3</w:t>
            </w:r>
          </w:p>
        </w:tc>
        <w:tc>
          <w:tcPr>
            <w:tcW w:w="399" w:type="pct"/>
            <w:noWrap/>
            <w:hideMark/>
          </w:tcPr>
          <w:p w14:paraId="78A979D1" w14:textId="77777777" w:rsidR="00CA7676" w:rsidRPr="00E14EE6" w:rsidRDefault="00CA7676" w:rsidP="00E14EE6">
            <w:pPr>
              <w:jc w:val="right"/>
              <w:rPr>
                <w:sz w:val="14"/>
                <w:szCs w:val="14"/>
              </w:rPr>
            </w:pPr>
            <w:r w:rsidRPr="00E14EE6">
              <w:rPr>
                <w:sz w:val="14"/>
              </w:rPr>
              <w:t>21.8</w:t>
            </w:r>
          </w:p>
        </w:tc>
        <w:tc>
          <w:tcPr>
            <w:tcW w:w="399" w:type="pct"/>
          </w:tcPr>
          <w:p w14:paraId="18B33CA4" w14:textId="77777777" w:rsidR="00CA7676" w:rsidRPr="00E14EE6" w:rsidRDefault="00CA7676" w:rsidP="00E14EE6">
            <w:pPr>
              <w:jc w:val="right"/>
              <w:rPr>
                <w:sz w:val="14"/>
                <w:szCs w:val="14"/>
              </w:rPr>
            </w:pPr>
            <w:r w:rsidRPr="00E14EE6">
              <w:rPr>
                <w:sz w:val="14"/>
              </w:rPr>
              <w:t>23.7</w:t>
            </w:r>
          </w:p>
        </w:tc>
      </w:tr>
      <w:tr w:rsidR="00CA7676" w:rsidRPr="00E14EE6" w14:paraId="6BB4D0A4" w14:textId="77777777" w:rsidTr="00FD6B66">
        <w:trPr>
          <w:cnfStyle w:val="000000010000" w:firstRow="0" w:lastRow="0" w:firstColumn="0" w:lastColumn="0" w:oddVBand="0" w:evenVBand="0" w:oddHBand="0" w:evenHBand="1" w:firstRowFirstColumn="0" w:firstRowLastColumn="0" w:lastRowFirstColumn="0" w:lastRowLastColumn="0"/>
          <w:trHeight w:val="20"/>
        </w:trPr>
        <w:tc>
          <w:tcPr>
            <w:tcW w:w="1411" w:type="pct"/>
            <w:noWrap/>
            <w:hideMark/>
          </w:tcPr>
          <w:p w14:paraId="7E3AB9F5" w14:textId="77777777" w:rsidR="00CA7676" w:rsidRPr="00E14EE6" w:rsidRDefault="00CA7676" w:rsidP="00E14EE6">
            <w:pPr>
              <w:jc w:val="left"/>
              <w:rPr>
                <w:sz w:val="14"/>
                <w:szCs w:val="14"/>
              </w:rPr>
            </w:pPr>
            <w:r w:rsidRPr="00E14EE6">
              <w:rPr>
                <w:sz w:val="14"/>
              </w:rPr>
              <w:t>Imports</w:t>
            </w:r>
          </w:p>
        </w:tc>
        <w:tc>
          <w:tcPr>
            <w:tcW w:w="399" w:type="pct"/>
            <w:noWrap/>
            <w:hideMark/>
          </w:tcPr>
          <w:p w14:paraId="2DFCF4C0" w14:textId="77777777" w:rsidR="00CA7676" w:rsidRPr="00E14EE6" w:rsidRDefault="00CA7676" w:rsidP="00E14EE6">
            <w:pPr>
              <w:jc w:val="right"/>
              <w:rPr>
                <w:sz w:val="14"/>
                <w:szCs w:val="14"/>
              </w:rPr>
            </w:pPr>
            <w:r w:rsidRPr="00E14EE6">
              <w:rPr>
                <w:sz w:val="14"/>
              </w:rPr>
              <w:t>30.3</w:t>
            </w:r>
          </w:p>
        </w:tc>
        <w:tc>
          <w:tcPr>
            <w:tcW w:w="399" w:type="pct"/>
            <w:noWrap/>
            <w:hideMark/>
          </w:tcPr>
          <w:p w14:paraId="5C463042" w14:textId="77777777" w:rsidR="00CA7676" w:rsidRPr="00E14EE6" w:rsidRDefault="00CA7676" w:rsidP="00E14EE6">
            <w:pPr>
              <w:jc w:val="right"/>
              <w:rPr>
                <w:sz w:val="14"/>
                <w:szCs w:val="14"/>
              </w:rPr>
            </w:pPr>
            <w:r w:rsidRPr="00E14EE6">
              <w:rPr>
                <w:sz w:val="14"/>
              </w:rPr>
              <w:t>28.4</w:t>
            </w:r>
          </w:p>
        </w:tc>
        <w:tc>
          <w:tcPr>
            <w:tcW w:w="399" w:type="pct"/>
            <w:noWrap/>
            <w:hideMark/>
          </w:tcPr>
          <w:p w14:paraId="0BB62AE6" w14:textId="77777777" w:rsidR="00CA7676" w:rsidRPr="00E14EE6" w:rsidRDefault="00CA7676" w:rsidP="00E14EE6">
            <w:pPr>
              <w:jc w:val="right"/>
              <w:rPr>
                <w:sz w:val="14"/>
                <w:szCs w:val="14"/>
              </w:rPr>
            </w:pPr>
            <w:r w:rsidRPr="00E14EE6">
              <w:rPr>
                <w:sz w:val="14"/>
              </w:rPr>
              <w:t>27.7</w:t>
            </w:r>
          </w:p>
        </w:tc>
        <w:tc>
          <w:tcPr>
            <w:tcW w:w="399" w:type="pct"/>
            <w:noWrap/>
            <w:hideMark/>
          </w:tcPr>
          <w:p w14:paraId="669861A4" w14:textId="77777777" w:rsidR="00CA7676" w:rsidRPr="00E14EE6" w:rsidRDefault="00CA7676" w:rsidP="00E14EE6">
            <w:pPr>
              <w:jc w:val="right"/>
              <w:rPr>
                <w:sz w:val="14"/>
                <w:szCs w:val="14"/>
              </w:rPr>
            </w:pPr>
            <w:r w:rsidRPr="00E14EE6">
              <w:rPr>
                <w:sz w:val="14"/>
              </w:rPr>
              <w:t>26.5</w:t>
            </w:r>
          </w:p>
        </w:tc>
        <w:tc>
          <w:tcPr>
            <w:tcW w:w="399" w:type="pct"/>
            <w:noWrap/>
            <w:hideMark/>
          </w:tcPr>
          <w:p w14:paraId="7EE6B13B" w14:textId="77777777" w:rsidR="00CA7676" w:rsidRPr="00E14EE6" w:rsidRDefault="00CA7676" w:rsidP="00E14EE6">
            <w:pPr>
              <w:jc w:val="right"/>
              <w:rPr>
                <w:sz w:val="14"/>
                <w:szCs w:val="14"/>
              </w:rPr>
            </w:pPr>
            <w:r w:rsidRPr="00E14EE6">
              <w:rPr>
                <w:sz w:val="14"/>
              </w:rPr>
              <w:t>28.5</w:t>
            </w:r>
          </w:p>
        </w:tc>
        <w:tc>
          <w:tcPr>
            <w:tcW w:w="399" w:type="pct"/>
            <w:noWrap/>
            <w:hideMark/>
          </w:tcPr>
          <w:p w14:paraId="732A30C6" w14:textId="77777777" w:rsidR="00CA7676" w:rsidRPr="00E14EE6" w:rsidRDefault="00CA7676" w:rsidP="00E14EE6">
            <w:pPr>
              <w:jc w:val="right"/>
              <w:rPr>
                <w:sz w:val="14"/>
                <w:szCs w:val="14"/>
              </w:rPr>
            </w:pPr>
            <w:r w:rsidRPr="00E14EE6">
              <w:rPr>
                <w:sz w:val="14"/>
              </w:rPr>
              <w:t>27.9</w:t>
            </w:r>
          </w:p>
        </w:tc>
        <w:tc>
          <w:tcPr>
            <w:tcW w:w="399" w:type="pct"/>
            <w:noWrap/>
            <w:hideMark/>
          </w:tcPr>
          <w:p w14:paraId="349DFE03" w14:textId="77777777" w:rsidR="00CA7676" w:rsidRPr="00E14EE6" w:rsidRDefault="00CA7676" w:rsidP="00E14EE6">
            <w:pPr>
              <w:jc w:val="right"/>
              <w:rPr>
                <w:sz w:val="14"/>
                <w:szCs w:val="14"/>
              </w:rPr>
            </w:pPr>
            <w:r w:rsidRPr="00E14EE6">
              <w:rPr>
                <w:sz w:val="14"/>
              </w:rPr>
              <w:t>26.0</w:t>
            </w:r>
          </w:p>
        </w:tc>
        <w:tc>
          <w:tcPr>
            <w:tcW w:w="399" w:type="pct"/>
            <w:noWrap/>
            <w:hideMark/>
          </w:tcPr>
          <w:p w14:paraId="2C268A17" w14:textId="77777777" w:rsidR="00CA7676" w:rsidRPr="00E14EE6" w:rsidRDefault="00CA7676" w:rsidP="00E14EE6">
            <w:pPr>
              <w:jc w:val="right"/>
              <w:rPr>
                <w:sz w:val="14"/>
                <w:szCs w:val="14"/>
              </w:rPr>
            </w:pPr>
            <w:r w:rsidRPr="00E14EE6">
              <w:rPr>
                <w:sz w:val="14"/>
              </w:rPr>
              <w:t>31.0</w:t>
            </w:r>
          </w:p>
        </w:tc>
        <w:tc>
          <w:tcPr>
            <w:tcW w:w="399" w:type="pct"/>
          </w:tcPr>
          <w:p w14:paraId="5D8C5564" w14:textId="77777777" w:rsidR="00CA7676" w:rsidRPr="00E14EE6" w:rsidRDefault="00CA7676" w:rsidP="00E14EE6">
            <w:pPr>
              <w:jc w:val="right"/>
              <w:rPr>
                <w:sz w:val="14"/>
                <w:szCs w:val="14"/>
              </w:rPr>
            </w:pPr>
            <w:r w:rsidRPr="00E14EE6">
              <w:rPr>
                <w:sz w:val="14"/>
              </w:rPr>
              <w:t>33.5</w:t>
            </w:r>
          </w:p>
        </w:tc>
      </w:tr>
      <w:tr w:rsidR="00CA7676" w:rsidRPr="00E14EE6" w14:paraId="478CBF9C" w14:textId="77777777" w:rsidTr="00FD6B66">
        <w:trPr>
          <w:trHeight w:val="20"/>
        </w:trPr>
        <w:tc>
          <w:tcPr>
            <w:tcW w:w="5000" w:type="pct"/>
            <w:gridSpan w:val="10"/>
            <w:noWrap/>
            <w:hideMark/>
          </w:tcPr>
          <w:p w14:paraId="12B51253" w14:textId="77777777" w:rsidR="00CA7676" w:rsidRPr="00E14EE6" w:rsidRDefault="00CA7676" w:rsidP="00E14EE6">
            <w:pPr>
              <w:jc w:val="left"/>
              <w:rPr>
                <w:b/>
                <w:bCs/>
                <w:sz w:val="14"/>
                <w:szCs w:val="14"/>
              </w:rPr>
            </w:pPr>
            <w:r w:rsidRPr="00E14EE6">
              <w:rPr>
                <w:b/>
                <w:sz w:val="14"/>
              </w:rPr>
              <w:t>GDP by expenditure category (real annual growth rate)</w:t>
            </w:r>
          </w:p>
        </w:tc>
      </w:tr>
      <w:tr w:rsidR="00CA7676" w:rsidRPr="00E14EE6" w14:paraId="4FEF9D7C" w14:textId="77777777" w:rsidTr="00FD6B66">
        <w:trPr>
          <w:cnfStyle w:val="000000010000" w:firstRow="0" w:lastRow="0" w:firstColumn="0" w:lastColumn="0" w:oddVBand="0" w:evenVBand="0" w:oddHBand="0" w:evenHBand="1" w:firstRowFirstColumn="0" w:firstRowLastColumn="0" w:lastRowFirstColumn="0" w:lastRowLastColumn="0"/>
          <w:trHeight w:val="20"/>
        </w:trPr>
        <w:tc>
          <w:tcPr>
            <w:tcW w:w="1411" w:type="pct"/>
            <w:noWrap/>
            <w:hideMark/>
          </w:tcPr>
          <w:p w14:paraId="7D9FAC1E" w14:textId="77777777" w:rsidR="00CA7676" w:rsidRPr="00E14EE6" w:rsidRDefault="00CA7676" w:rsidP="00E14EE6">
            <w:pPr>
              <w:jc w:val="left"/>
              <w:rPr>
                <w:sz w:val="14"/>
                <w:szCs w:val="14"/>
              </w:rPr>
            </w:pPr>
            <w:bookmarkStart w:id="32" w:name="_Hlk110327150"/>
            <w:r w:rsidRPr="00E14EE6">
              <w:rPr>
                <w:sz w:val="14"/>
              </w:rPr>
              <w:t>Final consumption</w:t>
            </w:r>
          </w:p>
        </w:tc>
        <w:tc>
          <w:tcPr>
            <w:tcW w:w="399" w:type="pct"/>
            <w:noWrap/>
            <w:hideMark/>
          </w:tcPr>
          <w:p w14:paraId="719B030A" w14:textId="77777777" w:rsidR="00CA7676" w:rsidRPr="00E14EE6" w:rsidRDefault="00CA7676" w:rsidP="00E14EE6">
            <w:pPr>
              <w:jc w:val="right"/>
              <w:rPr>
                <w:sz w:val="14"/>
                <w:szCs w:val="14"/>
              </w:rPr>
            </w:pPr>
            <w:r w:rsidRPr="00E14EE6">
              <w:rPr>
                <w:sz w:val="14"/>
              </w:rPr>
              <w:t>5.1</w:t>
            </w:r>
          </w:p>
        </w:tc>
        <w:tc>
          <w:tcPr>
            <w:tcW w:w="399" w:type="pct"/>
            <w:noWrap/>
            <w:hideMark/>
          </w:tcPr>
          <w:p w14:paraId="62D0987B" w14:textId="77777777" w:rsidR="00CA7676" w:rsidRPr="00E14EE6" w:rsidRDefault="00CA7676" w:rsidP="00E14EE6">
            <w:pPr>
              <w:jc w:val="right"/>
              <w:rPr>
                <w:sz w:val="14"/>
                <w:szCs w:val="14"/>
              </w:rPr>
            </w:pPr>
            <w:r w:rsidRPr="00E14EE6">
              <w:rPr>
                <w:sz w:val="14"/>
              </w:rPr>
              <w:t>6.5</w:t>
            </w:r>
          </w:p>
        </w:tc>
        <w:tc>
          <w:tcPr>
            <w:tcW w:w="399" w:type="pct"/>
            <w:noWrap/>
            <w:hideMark/>
          </w:tcPr>
          <w:p w14:paraId="77769EA4" w14:textId="77777777" w:rsidR="00CA7676" w:rsidRPr="00E14EE6" w:rsidRDefault="00CA7676" w:rsidP="00E14EE6">
            <w:pPr>
              <w:jc w:val="right"/>
              <w:rPr>
                <w:sz w:val="14"/>
                <w:szCs w:val="14"/>
              </w:rPr>
            </w:pPr>
            <w:r w:rsidRPr="00E14EE6">
              <w:rPr>
                <w:sz w:val="14"/>
              </w:rPr>
              <w:t>5.5</w:t>
            </w:r>
          </w:p>
        </w:tc>
        <w:tc>
          <w:tcPr>
            <w:tcW w:w="399" w:type="pct"/>
            <w:noWrap/>
            <w:hideMark/>
          </w:tcPr>
          <w:p w14:paraId="1CB0F25D" w14:textId="77777777" w:rsidR="00CA7676" w:rsidRPr="00E14EE6" w:rsidRDefault="00CA7676" w:rsidP="00E14EE6">
            <w:pPr>
              <w:jc w:val="right"/>
              <w:rPr>
                <w:sz w:val="14"/>
                <w:szCs w:val="14"/>
              </w:rPr>
            </w:pPr>
            <w:r w:rsidRPr="00E14EE6">
              <w:rPr>
                <w:sz w:val="14"/>
              </w:rPr>
              <w:t>3.9</w:t>
            </w:r>
          </w:p>
        </w:tc>
        <w:tc>
          <w:tcPr>
            <w:tcW w:w="399" w:type="pct"/>
            <w:noWrap/>
            <w:hideMark/>
          </w:tcPr>
          <w:p w14:paraId="4B4EAC22" w14:textId="77777777" w:rsidR="00CA7676" w:rsidRPr="00E14EE6" w:rsidRDefault="00CA7676" w:rsidP="00E14EE6">
            <w:pPr>
              <w:jc w:val="right"/>
              <w:rPr>
                <w:sz w:val="14"/>
                <w:szCs w:val="14"/>
              </w:rPr>
            </w:pPr>
            <w:r w:rsidRPr="00E14EE6">
              <w:rPr>
                <w:sz w:val="14"/>
              </w:rPr>
              <w:t>5.2</w:t>
            </w:r>
          </w:p>
        </w:tc>
        <w:tc>
          <w:tcPr>
            <w:tcW w:w="399" w:type="pct"/>
            <w:noWrap/>
            <w:hideMark/>
          </w:tcPr>
          <w:p w14:paraId="242E5FBB" w14:textId="77777777" w:rsidR="00CA7676" w:rsidRPr="00E14EE6" w:rsidRDefault="00CA7676" w:rsidP="00E14EE6">
            <w:pPr>
              <w:jc w:val="right"/>
              <w:rPr>
                <w:sz w:val="14"/>
                <w:szCs w:val="14"/>
              </w:rPr>
            </w:pPr>
            <w:r w:rsidRPr="00E14EE6">
              <w:rPr>
                <w:sz w:val="14"/>
              </w:rPr>
              <w:t>4.8</w:t>
            </w:r>
          </w:p>
        </w:tc>
        <w:tc>
          <w:tcPr>
            <w:tcW w:w="399" w:type="pct"/>
            <w:noWrap/>
            <w:hideMark/>
          </w:tcPr>
          <w:p w14:paraId="221B586F" w14:textId="0CA316AB" w:rsidR="00CA7676" w:rsidRPr="00E14EE6" w:rsidRDefault="00E14EE6" w:rsidP="00E14EE6">
            <w:pPr>
              <w:jc w:val="right"/>
              <w:rPr>
                <w:sz w:val="14"/>
                <w:szCs w:val="14"/>
              </w:rPr>
            </w:pPr>
            <w:r w:rsidRPr="00E14EE6">
              <w:rPr>
                <w:sz w:val="14"/>
              </w:rPr>
              <w:noBreakHyphen/>
            </w:r>
            <w:r w:rsidR="00CA7676" w:rsidRPr="00E14EE6">
              <w:rPr>
                <w:sz w:val="14"/>
              </w:rPr>
              <w:t>2.4</w:t>
            </w:r>
          </w:p>
        </w:tc>
        <w:tc>
          <w:tcPr>
            <w:tcW w:w="399" w:type="pct"/>
            <w:noWrap/>
            <w:hideMark/>
          </w:tcPr>
          <w:p w14:paraId="0E1C6974" w14:textId="77777777" w:rsidR="00CA7676" w:rsidRPr="00E14EE6" w:rsidRDefault="00CA7676" w:rsidP="00E14EE6">
            <w:pPr>
              <w:jc w:val="right"/>
              <w:rPr>
                <w:sz w:val="14"/>
                <w:szCs w:val="14"/>
              </w:rPr>
            </w:pPr>
            <w:r w:rsidRPr="00E14EE6">
              <w:rPr>
                <w:sz w:val="14"/>
              </w:rPr>
              <w:t>5.6</w:t>
            </w:r>
          </w:p>
        </w:tc>
        <w:tc>
          <w:tcPr>
            <w:tcW w:w="399" w:type="pct"/>
          </w:tcPr>
          <w:p w14:paraId="7306336C" w14:textId="77777777" w:rsidR="00CA7676" w:rsidRPr="00E14EE6" w:rsidRDefault="00CA7676" w:rsidP="00E14EE6">
            <w:pPr>
              <w:jc w:val="right"/>
              <w:rPr>
                <w:sz w:val="14"/>
                <w:szCs w:val="14"/>
              </w:rPr>
            </w:pPr>
            <w:r w:rsidRPr="00E14EE6">
              <w:rPr>
                <w:sz w:val="14"/>
              </w:rPr>
              <w:t>4.5</w:t>
            </w:r>
          </w:p>
        </w:tc>
      </w:tr>
      <w:tr w:rsidR="00CA7676" w:rsidRPr="00E14EE6" w14:paraId="2363D9E6" w14:textId="77777777" w:rsidTr="00FD6B66">
        <w:trPr>
          <w:trHeight w:val="20"/>
        </w:trPr>
        <w:tc>
          <w:tcPr>
            <w:tcW w:w="1411" w:type="pct"/>
            <w:noWrap/>
            <w:hideMark/>
          </w:tcPr>
          <w:p w14:paraId="36798393" w14:textId="77777777" w:rsidR="00CA7676" w:rsidRPr="00E14EE6" w:rsidRDefault="00CA7676" w:rsidP="00E14EE6">
            <w:pPr>
              <w:ind w:left="113"/>
              <w:jc w:val="left"/>
              <w:rPr>
                <w:sz w:val="14"/>
                <w:szCs w:val="14"/>
              </w:rPr>
            </w:pPr>
            <w:r w:rsidRPr="00E14EE6">
              <w:rPr>
                <w:sz w:val="14"/>
              </w:rPr>
              <w:t>Private consumption</w:t>
            </w:r>
          </w:p>
        </w:tc>
        <w:tc>
          <w:tcPr>
            <w:tcW w:w="399" w:type="pct"/>
            <w:noWrap/>
            <w:hideMark/>
          </w:tcPr>
          <w:p w14:paraId="6EB97CF6" w14:textId="77777777" w:rsidR="00CA7676" w:rsidRPr="00E14EE6" w:rsidRDefault="00CA7676" w:rsidP="00E14EE6">
            <w:pPr>
              <w:jc w:val="right"/>
              <w:rPr>
                <w:sz w:val="14"/>
                <w:szCs w:val="14"/>
              </w:rPr>
            </w:pPr>
            <w:r w:rsidRPr="00E14EE6">
              <w:rPr>
                <w:sz w:val="14"/>
              </w:rPr>
              <w:t>5.3</w:t>
            </w:r>
          </w:p>
        </w:tc>
        <w:tc>
          <w:tcPr>
            <w:tcW w:w="399" w:type="pct"/>
            <w:noWrap/>
            <w:hideMark/>
          </w:tcPr>
          <w:p w14:paraId="5CFBCC0C" w14:textId="77777777" w:rsidR="00CA7676" w:rsidRPr="00E14EE6" w:rsidRDefault="00CA7676" w:rsidP="00E14EE6">
            <w:pPr>
              <w:jc w:val="right"/>
              <w:rPr>
                <w:sz w:val="14"/>
                <w:szCs w:val="14"/>
              </w:rPr>
            </w:pPr>
            <w:r w:rsidRPr="00E14EE6">
              <w:rPr>
                <w:sz w:val="14"/>
              </w:rPr>
              <w:t>6.4</w:t>
            </w:r>
          </w:p>
        </w:tc>
        <w:tc>
          <w:tcPr>
            <w:tcW w:w="399" w:type="pct"/>
            <w:noWrap/>
            <w:hideMark/>
          </w:tcPr>
          <w:p w14:paraId="42CFCABE" w14:textId="77777777" w:rsidR="00CA7676" w:rsidRPr="00E14EE6" w:rsidRDefault="00CA7676" w:rsidP="00E14EE6">
            <w:pPr>
              <w:jc w:val="right"/>
              <w:rPr>
                <w:sz w:val="14"/>
                <w:szCs w:val="14"/>
              </w:rPr>
            </w:pPr>
            <w:r w:rsidRPr="00E14EE6">
              <w:rPr>
                <w:sz w:val="14"/>
              </w:rPr>
              <w:t>6.0</w:t>
            </w:r>
          </w:p>
        </w:tc>
        <w:tc>
          <w:tcPr>
            <w:tcW w:w="399" w:type="pct"/>
            <w:noWrap/>
            <w:hideMark/>
          </w:tcPr>
          <w:p w14:paraId="38A1A175" w14:textId="77777777" w:rsidR="00CA7676" w:rsidRPr="00E14EE6" w:rsidRDefault="00CA7676" w:rsidP="00E14EE6">
            <w:pPr>
              <w:jc w:val="right"/>
              <w:rPr>
                <w:sz w:val="14"/>
                <w:szCs w:val="14"/>
              </w:rPr>
            </w:pPr>
            <w:r w:rsidRPr="00E14EE6">
              <w:rPr>
                <w:sz w:val="14"/>
              </w:rPr>
              <w:t>4.4</w:t>
            </w:r>
          </w:p>
        </w:tc>
        <w:tc>
          <w:tcPr>
            <w:tcW w:w="399" w:type="pct"/>
            <w:noWrap/>
            <w:hideMark/>
          </w:tcPr>
          <w:p w14:paraId="2BBBD574" w14:textId="77777777" w:rsidR="00CA7676" w:rsidRPr="00E14EE6" w:rsidRDefault="00CA7676" w:rsidP="00E14EE6">
            <w:pPr>
              <w:jc w:val="right"/>
              <w:rPr>
                <w:sz w:val="14"/>
                <w:szCs w:val="14"/>
              </w:rPr>
            </w:pPr>
            <w:r w:rsidRPr="00E14EE6">
              <w:rPr>
                <w:sz w:val="14"/>
              </w:rPr>
              <w:t>5.7</w:t>
            </w:r>
          </w:p>
        </w:tc>
        <w:tc>
          <w:tcPr>
            <w:tcW w:w="399" w:type="pct"/>
            <w:noWrap/>
            <w:hideMark/>
          </w:tcPr>
          <w:p w14:paraId="5FF895B6" w14:textId="77777777" w:rsidR="00CA7676" w:rsidRPr="00E14EE6" w:rsidRDefault="00CA7676" w:rsidP="00E14EE6">
            <w:pPr>
              <w:jc w:val="right"/>
              <w:rPr>
                <w:sz w:val="14"/>
                <w:szCs w:val="14"/>
              </w:rPr>
            </w:pPr>
            <w:r w:rsidRPr="00E14EE6">
              <w:rPr>
                <w:sz w:val="14"/>
              </w:rPr>
              <w:t>4.6</w:t>
            </w:r>
          </w:p>
        </w:tc>
        <w:tc>
          <w:tcPr>
            <w:tcW w:w="399" w:type="pct"/>
            <w:noWrap/>
            <w:hideMark/>
          </w:tcPr>
          <w:p w14:paraId="5E944766" w14:textId="64BAB71E" w:rsidR="00CA7676" w:rsidRPr="00E14EE6" w:rsidRDefault="00E14EE6" w:rsidP="00E14EE6">
            <w:pPr>
              <w:jc w:val="right"/>
              <w:rPr>
                <w:sz w:val="14"/>
                <w:szCs w:val="14"/>
              </w:rPr>
            </w:pPr>
            <w:r w:rsidRPr="00E14EE6">
              <w:rPr>
                <w:sz w:val="14"/>
              </w:rPr>
              <w:noBreakHyphen/>
            </w:r>
            <w:r w:rsidR="00CA7676" w:rsidRPr="00E14EE6">
              <w:rPr>
                <w:sz w:val="14"/>
              </w:rPr>
              <w:t>3.4</w:t>
            </w:r>
          </w:p>
        </w:tc>
        <w:tc>
          <w:tcPr>
            <w:tcW w:w="399" w:type="pct"/>
            <w:noWrap/>
            <w:hideMark/>
          </w:tcPr>
          <w:p w14:paraId="7983FD8D" w14:textId="77777777" w:rsidR="00CA7676" w:rsidRPr="00E14EE6" w:rsidRDefault="00CA7676" w:rsidP="00E14EE6">
            <w:pPr>
              <w:jc w:val="right"/>
              <w:rPr>
                <w:sz w:val="14"/>
                <w:szCs w:val="14"/>
              </w:rPr>
            </w:pPr>
            <w:r w:rsidRPr="00E14EE6">
              <w:rPr>
                <w:sz w:val="14"/>
              </w:rPr>
              <w:t>6.6</w:t>
            </w:r>
          </w:p>
        </w:tc>
        <w:tc>
          <w:tcPr>
            <w:tcW w:w="399" w:type="pct"/>
          </w:tcPr>
          <w:p w14:paraId="57A300D5" w14:textId="77777777" w:rsidR="00CA7676" w:rsidRPr="00E14EE6" w:rsidRDefault="00CA7676" w:rsidP="00E14EE6">
            <w:pPr>
              <w:jc w:val="right"/>
              <w:rPr>
                <w:sz w:val="14"/>
                <w:szCs w:val="14"/>
              </w:rPr>
            </w:pPr>
            <w:r w:rsidRPr="00E14EE6">
              <w:rPr>
                <w:sz w:val="14"/>
              </w:rPr>
              <w:t>4.4</w:t>
            </w:r>
          </w:p>
        </w:tc>
      </w:tr>
      <w:tr w:rsidR="00CA7676" w:rsidRPr="00E14EE6" w14:paraId="580C67C0" w14:textId="77777777" w:rsidTr="00FD6B66">
        <w:trPr>
          <w:cnfStyle w:val="000000010000" w:firstRow="0" w:lastRow="0" w:firstColumn="0" w:lastColumn="0" w:oddVBand="0" w:evenVBand="0" w:oddHBand="0" w:evenHBand="1" w:firstRowFirstColumn="0" w:firstRowLastColumn="0" w:lastRowFirstColumn="0" w:lastRowLastColumn="0"/>
          <w:trHeight w:val="20"/>
        </w:trPr>
        <w:tc>
          <w:tcPr>
            <w:tcW w:w="1411" w:type="pct"/>
            <w:noWrap/>
            <w:hideMark/>
          </w:tcPr>
          <w:p w14:paraId="48AB2352" w14:textId="77777777" w:rsidR="00CA7676" w:rsidRPr="00E14EE6" w:rsidRDefault="00CA7676" w:rsidP="00E14EE6">
            <w:pPr>
              <w:ind w:left="113"/>
              <w:jc w:val="left"/>
              <w:rPr>
                <w:sz w:val="14"/>
                <w:szCs w:val="14"/>
              </w:rPr>
            </w:pPr>
            <w:r w:rsidRPr="00E14EE6">
              <w:rPr>
                <w:sz w:val="14"/>
              </w:rPr>
              <w:t>Public consumption</w:t>
            </w:r>
          </w:p>
        </w:tc>
        <w:tc>
          <w:tcPr>
            <w:tcW w:w="399" w:type="pct"/>
            <w:noWrap/>
            <w:hideMark/>
          </w:tcPr>
          <w:p w14:paraId="6876E7AA" w14:textId="77777777" w:rsidR="00CA7676" w:rsidRPr="00E14EE6" w:rsidRDefault="00CA7676" w:rsidP="00E14EE6">
            <w:pPr>
              <w:jc w:val="right"/>
              <w:rPr>
                <w:sz w:val="14"/>
                <w:szCs w:val="14"/>
              </w:rPr>
            </w:pPr>
            <w:r w:rsidRPr="00E14EE6">
              <w:rPr>
                <w:sz w:val="14"/>
              </w:rPr>
              <w:t>4.3</w:t>
            </w:r>
          </w:p>
        </w:tc>
        <w:tc>
          <w:tcPr>
            <w:tcW w:w="399" w:type="pct"/>
            <w:noWrap/>
            <w:hideMark/>
          </w:tcPr>
          <w:p w14:paraId="34A24DA9" w14:textId="77777777" w:rsidR="00CA7676" w:rsidRPr="00E14EE6" w:rsidRDefault="00CA7676" w:rsidP="00E14EE6">
            <w:pPr>
              <w:jc w:val="right"/>
              <w:rPr>
                <w:sz w:val="14"/>
                <w:szCs w:val="14"/>
              </w:rPr>
            </w:pPr>
            <w:r w:rsidRPr="00E14EE6">
              <w:rPr>
                <w:sz w:val="14"/>
              </w:rPr>
              <w:t>6.9</w:t>
            </w:r>
          </w:p>
        </w:tc>
        <w:tc>
          <w:tcPr>
            <w:tcW w:w="399" w:type="pct"/>
            <w:noWrap/>
            <w:hideMark/>
          </w:tcPr>
          <w:p w14:paraId="518A0B42" w14:textId="77777777" w:rsidR="00CA7676" w:rsidRPr="00E14EE6" w:rsidRDefault="00CA7676" w:rsidP="00E14EE6">
            <w:pPr>
              <w:jc w:val="right"/>
              <w:rPr>
                <w:sz w:val="14"/>
                <w:szCs w:val="14"/>
              </w:rPr>
            </w:pPr>
            <w:r w:rsidRPr="00E14EE6">
              <w:rPr>
                <w:sz w:val="14"/>
              </w:rPr>
              <w:t>1.9</w:t>
            </w:r>
          </w:p>
        </w:tc>
        <w:tc>
          <w:tcPr>
            <w:tcW w:w="399" w:type="pct"/>
            <w:noWrap/>
            <w:hideMark/>
          </w:tcPr>
          <w:p w14:paraId="37DECC07" w14:textId="77777777" w:rsidR="00CA7676" w:rsidRPr="00E14EE6" w:rsidRDefault="00CA7676" w:rsidP="00E14EE6">
            <w:pPr>
              <w:jc w:val="right"/>
              <w:rPr>
                <w:sz w:val="14"/>
                <w:szCs w:val="14"/>
              </w:rPr>
            </w:pPr>
            <w:r w:rsidRPr="00E14EE6">
              <w:rPr>
                <w:sz w:val="14"/>
              </w:rPr>
              <w:t>0.8</w:t>
            </w:r>
          </w:p>
        </w:tc>
        <w:tc>
          <w:tcPr>
            <w:tcW w:w="399" w:type="pct"/>
            <w:noWrap/>
            <w:hideMark/>
          </w:tcPr>
          <w:p w14:paraId="7945F557" w14:textId="77777777" w:rsidR="00CA7676" w:rsidRPr="00E14EE6" w:rsidRDefault="00CA7676" w:rsidP="00E14EE6">
            <w:pPr>
              <w:jc w:val="right"/>
              <w:rPr>
                <w:sz w:val="14"/>
                <w:szCs w:val="14"/>
              </w:rPr>
            </w:pPr>
            <w:r w:rsidRPr="00E14EE6">
              <w:rPr>
                <w:sz w:val="14"/>
              </w:rPr>
              <w:t>2.8</w:t>
            </w:r>
          </w:p>
        </w:tc>
        <w:tc>
          <w:tcPr>
            <w:tcW w:w="399" w:type="pct"/>
            <w:noWrap/>
            <w:hideMark/>
          </w:tcPr>
          <w:p w14:paraId="0BE211C8" w14:textId="77777777" w:rsidR="00CA7676" w:rsidRPr="00E14EE6" w:rsidRDefault="00CA7676" w:rsidP="00E14EE6">
            <w:pPr>
              <w:jc w:val="right"/>
              <w:rPr>
                <w:sz w:val="14"/>
                <w:szCs w:val="14"/>
              </w:rPr>
            </w:pPr>
            <w:r w:rsidRPr="00E14EE6">
              <w:rPr>
                <w:sz w:val="14"/>
              </w:rPr>
              <w:t>6.3</w:t>
            </w:r>
          </w:p>
        </w:tc>
        <w:tc>
          <w:tcPr>
            <w:tcW w:w="399" w:type="pct"/>
            <w:noWrap/>
            <w:hideMark/>
          </w:tcPr>
          <w:p w14:paraId="7AD0CCD7" w14:textId="77777777" w:rsidR="00CA7676" w:rsidRPr="00E14EE6" w:rsidRDefault="00CA7676" w:rsidP="00E14EE6">
            <w:pPr>
              <w:jc w:val="right"/>
              <w:rPr>
                <w:sz w:val="14"/>
                <w:szCs w:val="14"/>
              </w:rPr>
            </w:pPr>
            <w:r w:rsidRPr="00E14EE6">
              <w:rPr>
                <w:sz w:val="14"/>
              </w:rPr>
              <w:t>4.9</w:t>
            </w:r>
          </w:p>
        </w:tc>
        <w:tc>
          <w:tcPr>
            <w:tcW w:w="399" w:type="pct"/>
            <w:noWrap/>
            <w:hideMark/>
          </w:tcPr>
          <w:p w14:paraId="374F543C" w14:textId="77777777" w:rsidR="00CA7676" w:rsidRPr="00E14EE6" w:rsidRDefault="00CA7676" w:rsidP="00E14EE6">
            <w:pPr>
              <w:jc w:val="right"/>
              <w:rPr>
                <w:sz w:val="14"/>
                <w:szCs w:val="14"/>
              </w:rPr>
            </w:pPr>
            <w:r w:rsidRPr="00E14EE6">
              <w:rPr>
                <w:sz w:val="14"/>
              </w:rPr>
              <w:t>0.1</w:t>
            </w:r>
          </w:p>
        </w:tc>
        <w:tc>
          <w:tcPr>
            <w:tcW w:w="399" w:type="pct"/>
          </w:tcPr>
          <w:p w14:paraId="795F4CA6" w14:textId="77777777" w:rsidR="00CA7676" w:rsidRPr="00E14EE6" w:rsidRDefault="00CA7676" w:rsidP="00E14EE6">
            <w:pPr>
              <w:jc w:val="right"/>
              <w:rPr>
                <w:sz w:val="14"/>
                <w:szCs w:val="14"/>
              </w:rPr>
            </w:pPr>
            <w:r w:rsidRPr="00E14EE6">
              <w:rPr>
                <w:sz w:val="14"/>
              </w:rPr>
              <w:t>4.0</w:t>
            </w:r>
          </w:p>
        </w:tc>
      </w:tr>
      <w:tr w:rsidR="00CA7676" w:rsidRPr="00E14EE6" w14:paraId="408498DD" w14:textId="77777777" w:rsidTr="00FD6B66">
        <w:trPr>
          <w:trHeight w:val="20"/>
        </w:trPr>
        <w:tc>
          <w:tcPr>
            <w:tcW w:w="1411" w:type="pct"/>
            <w:noWrap/>
            <w:hideMark/>
          </w:tcPr>
          <w:p w14:paraId="6EF51CDE" w14:textId="77777777" w:rsidR="00CA7676" w:rsidRPr="00E14EE6" w:rsidRDefault="00CA7676" w:rsidP="00E14EE6">
            <w:pPr>
              <w:jc w:val="left"/>
              <w:rPr>
                <w:sz w:val="14"/>
                <w:szCs w:val="14"/>
              </w:rPr>
            </w:pPr>
            <w:r w:rsidRPr="00E14EE6">
              <w:rPr>
                <w:sz w:val="14"/>
              </w:rPr>
              <w:t>Gross capital formation</w:t>
            </w:r>
          </w:p>
        </w:tc>
        <w:tc>
          <w:tcPr>
            <w:tcW w:w="399" w:type="pct"/>
            <w:noWrap/>
            <w:hideMark/>
          </w:tcPr>
          <w:p w14:paraId="4C6174F9" w14:textId="22515D87" w:rsidR="00CA7676" w:rsidRPr="00E14EE6" w:rsidRDefault="00F843AD" w:rsidP="00E14EE6">
            <w:pPr>
              <w:jc w:val="right"/>
              <w:rPr>
                <w:bCs/>
                <w:sz w:val="14"/>
                <w:szCs w:val="14"/>
              </w:rPr>
            </w:pPr>
            <w:r w:rsidRPr="00E14EE6">
              <w:rPr>
                <w:bCs/>
                <w:sz w:val="14"/>
              </w:rPr>
              <w:t>..</w:t>
            </w:r>
          </w:p>
        </w:tc>
        <w:tc>
          <w:tcPr>
            <w:tcW w:w="399" w:type="pct"/>
            <w:noWrap/>
            <w:hideMark/>
          </w:tcPr>
          <w:p w14:paraId="51D145E7" w14:textId="267DD498" w:rsidR="00CA7676" w:rsidRPr="00E14EE6" w:rsidRDefault="00F843AD" w:rsidP="00E14EE6">
            <w:pPr>
              <w:jc w:val="right"/>
              <w:rPr>
                <w:bCs/>
                <w:sz w:val="14"/>
                <w:szCs w:val="14"/>
              </w:rPr>
            </w:pPr>
            <w:r w:rsidRPr="00E14EE6">
              <w:rPr>
                <w:bCs/>
                <w:sz w:val="14"/>
              </w:rPr>
              <w:t>..</w:t>
            </w:r>
          </w:p>
        </w:tc>
        <w:tc>
          <w:tcPr>
            <w:tcW w:w="399" w:type="pct"/>
            <w:noWrap/>
            <w:hideMark/>
          </w:tcPr>
          <w:p w14:paraId="647399C4" w14:textId="445188CF" w:rsidR="00CA7676" w:rsidRPr="00E14EE6" w:rsidRDefault="00F843AD" w:rsidP="00E14EE6">
            <w:pPr>
              <w:jc w:val="right"/>
              <w:rPr>
                <w:bCs/>
                <w:sz w:val="14"/>
                <w:szCs w:val="14"/>
              </w:rPr>
            </w:pPr>
            <w:r w:rsidRPr="00E14EE6">
              <w:rPr>
                <w:bCs/>
                <w:sz w:val="14"/>
              </w:rPr>
              <w:t>..</w:t>
            </w:r>
          </w:p>
        </w:tc>
        <w:tc>
          <w:tcPr>
            <w:tcW w:w="399" w:type="pct"/>
            <w:noWrap/>
            <w:hideMark/>
          </w:tcPr>
          <w:p w14:paraId="41DECECB" w14:textId="06FA52E1" w:rsidR="00CA7676" w:rsidRPr="00E14EE6" w:rsidRDefault="00F843AD" w:rsidP="00E14EE6">
            <w:pPr>
              <w:jc w:val="right"/>
              <w:rPr>
                <w:bCs/>
                <w:sz w:val="14"/>
                <w:szCs w:val="14"/>
              </w:rPr>
            </w:pPr>
            <w:r w:rsidRPr="00E14EE6">
              <w:rPr>
                <w:bCs/>
                <w:sz w:val="14"/>
              </w:rPr>
              <w:t>..</w:t>
            </w:r>
          </w:p>
        </w:tc>
        <w:tc>
          <w:tcPr>
            <w:tcW w:w="399" w:type="pct"/>
            <w:noWrap/>
            <w:hideMark/>
          </w:tcPr>
          <w:p w14:paraId="1BB00C61" w14:textId="4C4A47DF" w:rsidR="00CA7676" w:rsidRPr="00E14EE6" w:rsidRDefault="00F843AD" w:rsidP="00E14EE6">
            <w:pPr>
              <w:jc w:val="right"/>
              <w:rPr>
                <w:bCs/>
                <w:sz w:val="14"/>
                <w:szCs w:val="14"/>
              </w:rPr>
            </w:pPr>
            <w:r w:rsidRPr="00E14EE6">
              <w:rPr>
                <w:bCs/>
                <w:sz w:val="14"/>
              </w:rPr>
              <w:t>..</w:t>
            </w:r>
          </w:p>
        </w:tc>
        <w:tc>
          <w:tcPr>
            <w:tcW w:w="399" w:type="pct"/>
            <w:noWrap/>
            <w:hideMark/>
          </w:tcPr>
          <w:p w14:paraId="4BD7956B" w14:textId="58B41073" w:rsidR="00CA7676" w:rsidRPr="00E14EE6" w:rsidRDefault="00F843AD" w:rsidP="00E14EE6">
            <w:pPr>
              <w:jc w:val="right"/>
              <w:rPr>
                <w:bCs/>
                <w:sz w:val="14"/>
                <w:szCs w:val="14"/>
              </w:rPr>
            </w:pPr>
            <w:r w:rsidRPr="00E14EE6">
              <w:rPr>
                <w:bCs/>
                <w:sz w:val="14"/>
              </w:rPr>
              <w:t>..</w:t>
            </w:r>
          </w:p>
        </w:tc>
        <w:tc>
          <w:tcPr>
            <w:tcW w:w="399" w:type="pct"/>
            <w:noWrap/>
            <w:hideMark/>
          </w:tcPr>
          <w:p w14:paraId="288BFBD8" w14:textId="0EE7EED6" w:rsidR="00CA7676" w:rsidRPr="00E14EE6" w:rsidRDefault="00F843AD" w:rsidP="00E14EE6">
            <w:pPr>
              <w:jc w:val="right"/>
              <w:rPr>
                <w:bCs/>
                <w:sz w:val="14"/>
                <w:szCs w:val="14"/>
              </w:rPr>
            </w:pPr>
            <w:r w:rsidRPr="00E14EE6">
              <w:rPr>
                <w:bCs/>
                <w:sz w:val="14"/>
              </w:rPr>
              <w:t>..</w:t>
            </w:r>
          </w:p>
        </w:tc>
        <w:tc>
          <w:tcPr>
            <w:tcW w:w="399" w:type="pct"/>
            <w:noWrap/>
            <w:hideMark/>
          </w:tcPr>
          <w:p w14:paraId="1D495C5F" w14:textId="72C24029" w:rsidR="00CA7676" w:rsidRPr="00E14EE6" w:rsidRDefault="00F843AD" w:rsidP="00E14EE6">
            <w:pPr>
              <w:jc w:val="right"/>
              <w:rPr>
                <w:bCs/>
                <w:sz w:val="14"/>
                <w:szCs w:val="14"/>
              </w:rPr>
            </w:pPr>
            <w:r w:rsidRPr="00E14EE6">
              <w:rPr>
                <w:bCs/>
                <w:sz w:val="14"/>
              </w:rPr>
              <w:t>..</w:t>
            </w:r>
          </w:p>
        </w:tc>
        <w:tc>
          <w:tcPr>
            <w:tcW w:w="399" w:type="pct"/>
          </w:tcPr>
          <w:p w14:paraId="22696641" w14:textId="21245C7B" w:rsidR="00CA7676" w:rsidRPr="00E14EE6" w:rsidRDefault="00F843AD" w:rsidP="00E14EE6">
            <w:pPr>
              <w:jc w:val="right"/>
              <w:rPr>
                <w:bCs/>
                <w:sz w:val="14"/>
                <w:szCs w:val="14"/>
              </w:rPr>
            </w:pPr>
            <w:r w:rsidRPr="00E14EE6">
              <w:rPr>
                <w:bCs/>
                <w:sz w:val="14"/>
              </w:rPr>
              <w:t>..</w:t>
            </w:r>
          </w:p>
        </w:tc>
      </w:tr>
      <w:tr w:rsidR="00CA7676" w:rsidRPr="00E14EE6" w14:paraId="31D7C76E" w14:textId="77777777" w:rsidTr="00FD6B66">
        <w:trPr>
          <w:cnfStyle w:val="000000010000" w:firstRow="0" w:lastRow="0" w:firstColumn="0" w:lastColumn="0" w:oddVBand="0" w:evenVBand="0" w:oddHBand="0" w:evenHBand="1" w:firstRowFirstColumn="0" w:firstRowLastColumn="0" w:lastRowFirstColumn="0" w:lastRowLastColumn="0"/>
          <w:trHeight w:val="20"/>
        </w:trPr>
        <w:tc>
          <w:tcPr>
            <w:tcW w:w="1411" w:type="pct"/>
            <w:noWrap/>
            <w:hideMark/>
          </w:tcPr>
          <w:p w14:paraId="39E93A8A" w14:textId="77777777" w:rsidR="00CA7676" w:rsidRPr="00E14EE6" w:rsidRDefault="00CA7676" w:rsidP="00E14EE6">
            <w:pPr>
              <w:ind w:left="113"/>
              <w:jc w:val="left"/>
              <w:rPr>
                <w:sz w:val="14"/>
                <w:szCs w:val="14"/>
              </w:rPr>
            </w:pPr>
            <w:r w:rsidRPr="00E14EE6">
              <w:rPr>
                <w:sz w:val="14"/>
              </w:rPr>
              <w:t>Gross fixed capital formation</w:t>
            </w:r>
          </w:p>
        </w:tc>
        <w:tc>
          <w:tcPr>
            <w:tcW w:w="399" w:type="pct"/>
            <w:noWrap/>
            <w:hideMark/>
          </w:tcPr>
          <w:p w14:paraId="43779B52" w14:textId="77777777" w:rsidR="00CA7676" w:rsidRPr="00E14EE6" w:rsidRDefault="00CA7676" w:rsidP="00E14EE6">
            <w:pPr>
              <w:jc w:val="right"/>
              <w:rPr>
                <w:sz w:val="14"/>
                <w:szCs w:val="14"/>
              </w:rPr>
            </w:pPr>
            <w:r w:rsidRPr="00E14EE6">
              <w:rPr>
                <w:sz w:val="14"/>
              </w:rPr>
              <w:t>9.3</w:t>
            </w:r>
          </w:p>
        </w:tc>
        <w:tc>
          <w:tcPr>
            <w:tcW w:w="399" w:type="pct"/>
            <w:noWrap/>
            <w:hideMark/>
          </w:tcPr>
          <w:p w14:paraId="5E8E74CD" w14:textId="77777777" w:rsidR="00CA7676" w:rsidRPr="00E14EE6" w:rsidRDefault="00CA7676" w:rsidP="00E14EE6">
            <w:pPr>
              <w:jc w:val="right"/>
              <w:rPr>
                <w:sz w:val="14"/>
                <w:szCs w:val="14"/>
              </w:rPr>
            </w:pPr>
            <w:r w:rsidRPr="00E14EE6">
              <w:rPr>
                <w:sz w:val="14"/>
              </w:rPr>
              <w:t>18.9</w:t>
            </w:r>
          </w:p>
        </w:tc>
        <w:tc>
          <w:tcPr>
            <w:tcW w:w="399" w:type="pct"/>
            <w:noWrap/>
            <w:hideMark/>
          </w:tcPr>
          <w:p w14:paraId="1A23B86A" w14:textId="77777777" w:rsidR="00CA7676" w:rsidRPr="00E14EE6" w:rsidRDefault="00CA7676" w:rsidP="00E14EE6">
            <w:pPr>
              <w:jc w:val="right"/>
              <w:rPr>
                <w:sz w:val="14"/>
                <w:szCs w:val="14"/>
              </w:rPr>
            </w:pPr>
            <w:r w:rsidRPr="00E14EE6">
              <w:rPr>
                <w:sz w:val="14"/>
              </w:rPr>
              <w:t>12.3</w:t>
            </w:r>
          </w:p>
        </w:tc>
        <w:tc>
          <w:tcPr>
            <w:tcW w:w="399" w:type="pct"/>
            <w:noWrap/>
            <w:hideMark/>
          </w:tcPr>
          <w:p w14:paraId="6766691C" w14:textId="7C4C0A8D" w:rsidR="00CA7676" w:rsidRPr="00E14EE6" w:rsidRDefault="00E14EE6" w:rsidP="00E14EE6">
            <w:pPr>
              <w:jc w:val="right"/>
              <w:rPr>
                <w:sz w:val="14"/>
                <w:szCs w:val="14"/>
              </w:rPr>
            </w:pPr>
            <w:r w:rsidRPr="00E14EE6">
              <w:rPr>
                <w:sz w:val="14"/>
              </w:rPr>
              <w:noBreakHyphen/>
            </w:r>
            <w:r w:rsidR="00CA7676" w:rsidRPr="00E14EE6">
              <w:rPr>
                <w:sz w:val="14"/>
              </w:rPr>
              <w:t>0.3</w:t>
            </w:r>
          </w:p>
        </w:tc>
        <w:tc>
          <w:tcPr>
            <w:tcW w:w="399" w:type="pct"/>
            <w:noWrap/>
            <w:hideMark/>
          </w:tcPr>
          <w:p w14:paraId="5EDB56A0" w14:textId="77777777" w:rsidR="00CA7676" w:rsidRPr="00E14EE6" w:rsidRDefault="00CA7676" w:rsidP="00E14EE6">
            <w:pPr>
              <w:jc w:val="right"/>
              <w:rPr>
                <w:sz w:val="14"/>
                <w:szCs w:val="14"/>
              </w:rPr>
            </w:pPr>
            <w:r w:rsidRPr="00E14EE6">
              <w:rPr>
                <w:sz w:val="14"/>
              </w:rPr>
              <w:t>13.3</w:t>
            </w:r>
          </w:p>
        </w:tc>
        <w:tc>
          <w:tcPr>
            <w:tcW w:w="399" w:type="pct"/>
            <w:noWrap/>
            <w:hideMark/>
          </w:tcPr>
          <w:p w14:paraId="1F9710D8" w14:textId="77777777" w:rsidR="00CA7676" w:rsidRPr="00E14EE6" w:rsidRDefault="00CA7676" w:rsidP="00E14EE6">
            <w:pPr>
              <w:jc w:val="right"/>
              <w:rPr>
                <w:sz w:val="14"/>
                <w:szCs w:val="14"/>
              </w:rPr>
            </w:pPr>
            <w:r w:rsidRPr="00E14EE6">
              <w:rPr>
                <w:sz w:val="14"/>
              </w:rPr>
              <w:t>8.1</w:t>
            </w:r>
          </w:p>
        </w:tc>
        <w:tc>
          <w:tcPr>
            <w:tcW w:w="399" w:type="pct"/>
            <w:noWrap/>
            <w:hideMark/>
          </w:tcPr>
          <w:p w14:paraId="016DE459" w14:textId="3A78E795" w:rsidR="00CA7676" w:rsidRPr="00E14EE6" w:rsidRDefault="00E14EE6" w:rsidP="00E14EE6">
            <w:pPr>
              <w:jc w:val="right"/>
              <w:rPr>
                <w:sz w:val="14"/>
                <w:szCs w:val="14"/>
              </w:rPr>
            </w:pPr>
            <w:r w:rsidRPr="00E14EE6">
              <w:rPr>
                <w:sz w:val="14"/>
              </w:rPr>
              <w:noBreakHyphen/>
            </w:r>
            <w:r w:rsidR="00CA7676" w:rsidRPr="00E14EE6">
              <w:rPr>
                <w:sz w:val="14"/>
              </w:rPr>
              <w:t>12.1</w:t>
            </w:r>
          </w:p>
        </w:tc>
        <w:tc>
          <w:tcPr>
            <w:tcW w:w="399" w:type="pct"/>
            <w:noWrap/>
            <w:hideMark/>
          </w:tcPr>
          <w:p w14:paraId="6FDDCE72" w14:textId="77777777" w:rsidR="00CA7676" w:rsidRPr="00E14EE6" w:rsidRDefault="00CA7676" w:rsidP="00E14EE6">
            <w:pPr>
              <w:jc w:val="right"/>
              <w:rPr>
                <w:sz w:val="14"/>
                <w:szCs w:val="14"/>
              </w:rPr>
            </w:pPr>
            <w:r w:rsidRPr="00E14EE6">
              <w:rPr>
                <w:sz w:val="14"/>
              </w:rPr>
              <w:t>22.1</w:t>
            </w:r>
          </w:p>
        </w:tc>
        <w:tc>
          <w:tcPr>
            <w:tcW w:w="399" w:type="pct"/>
          </w:tcPr>
          <w:p w14:paraId="2B45DA63" w14:textId="77777777" w:rsidR="00CA7676" w:rsidRPr="00E14EE6" w:rsidRDefault="00CA7676" w:rsidP="00E14EE6">
            <w:pPr>
              <w:jc w:val="right"/>
              <w:rPr>
                <w:sz w:val="14"/>
                <w:szCs w:val="14"/>
              </w:rPr>
            </w:pPr>
            <w:r w:rsidRPr="00E14EE6">
              <w:rPr>
                <w:sz w:val="14"/>
              </w:rPr>
              <w:t>8.4</w:t>
            </w:r>
          </w:p>
        </w:tc>
      </w:tr>
      <w:tr w:rsidR="00CA7676" w:rsidRPr="00E14EE6" w14:paraId="1608C7E8" w14:textId="77777777" w:rsidTr="00FD6B66">
        <w:trPr>
          <w:trHeight w:val="20"/>
        </w:trPr>
        <w:tc>
          <w:tcPr>
            <w:tcW w:w="1411" w:type="pct"/>
            <w:noWrap/>
            <w:hideMark/>
          </w:tcPr>
          <w:p w14:paraId="3E0A9B08" w14:textId="77777777" w:rsidR="00CA7676" w:rsidRPr="00E14EE6" w:rsidRDefault="00CA7676" w:rsidP="00E14EE6">
            <w:pPr>
              <w:ind w:left="113"/>
              <w:jc w:val="left"/>
              <w:rPr>
                <w:sz w:val="14"/>
                <w:szCs w:val="14"/>
              </w:rPr>
            </w:pPr>
            <w:r w:rsidRPr="00E14EE6">
              <w:rPr>
                <w:sz w:val="14"/>
              </w:rPr>
              <w:t>Variation in inventories</w:t>
            </w:r>
          </w:p>
        </w:tc>
        <w:tc>
          <w:tcPr>
            <w:tcW w:w="399" w:type="pct"/>
            <w:noWrap/>
            <w:hideMark/>
          </w:tcPr>
          <w:p w14:paraId="37EA541A" w14:textId="0AFCB0A1" w:rsidR="00CA7676" w:rsidRPr="00E14EE6" w:rsidRDefault="00F843AD" w:rsidP="00E14EE6">
            <w:pPr>
              <w:jc w:val="right"/>
              <w:rPr>
                <w:bCs/>
                <w:sz w:val="14"/>
                <w:szCs w:val="14"/>
              </w:rPr>
            </w:pPr>
            <w:r w:rsidRPr="00E14EE6">
              <w:rPr>
                <w:bCs/>
                <w:sz w:val="14"/>
              </w:rPr>
              <w:t>..</w:t>
            </w:r>
          </w:p>
        </w:tc>
        <w:tc>
          <w:tcPr>
            <w:tcW w:w="399" w:type="pct"/>
            <w:noWrap/>
            <w:hideMark/>
          </w:tcPr>
          <w:p w14:paraId="33A94D40" w14:textId="1B10D114" w:rsidR="00CA7676" w:rsidRPr="00E14EE6" w:rsidRDefault="00F843AD" w:rsidP="00E14EE6">
            <w:pPr>
              <w:jc w:val="right"/>
              <w:rPr>
                <w:bCs/>
                <w:sz w:val="14"/>
                <w:szCs w:val="14"/>
              </w:rPr>
            </w:pPr>
            <w:r w:rsidRPr="00E14EE6">
              <w:rPr>
                <w:bCs/>
                <w:sz w:val="14"/>
              </w:rPr>
              <w:t>..</w:t>
            </w:r>
          </w:p>
        </w:tc>
        <w:tc>
          <w:tcPr>
            <w:tcW w:w="399" w:type="pct"/>
            <w:noWrap/>
            <w:hideMark/>
          </w:tcPr>
          <w:p w14:paraId="010567FF" w14:textId="6F31B5C5" w:rsidR="00CA7676" w:rsidRPr="00E14EE6" w:rsidRDefault="00F843AD" w:rsidP="00E14EE6">
            <w:pPr>
              <w:jc w:val="right"/>
              <w:rPr>
                <w:bCs/>
                <w:sz w:val="14"/>
                <w:szCs w:val="14"/>
              </w:rPr>
            </w:pPr>
            <w:r w:rsidRPr="00E14EE6">
              <w:rPr>
                <w:bCs/>
                <w:sz w:val="14"/>
              </w:rPr>
              <w:t>..</w:t>
            </w:r>
          </w:p>
        </w:tc>
        <w:tc>
          <w:tcPr>
            <w:tcW w:w="399" w:type="pct"/>
            <w:noWrap/>
            <w:hideMark/>
          </w:tcPr>
          <w:p w14:paraId="477349A6" w14:textId="611727AC" w:rsidR="00CA7676" w:rsidRPr="00E14EE6" w:rsidRDefault="00F843AD" w:rsidP="00E14EE6">
            <w:pPr>
              <w:jc w:val="right"/>
              <w:rPr>
                <w:bCs/>
                <w:sz w:val="14"/>
                <w:szCs w:val="14"/>
              </w:rPr>
            </w:pPr>
            <w:r w:rsidRPr="00E14EE6">
              <w:rPr>
                <w:bCs/>
                <w:sz w:val="14"/>
              </w:rPr>
              <w:t>..</w:t>
            </w:r>
          </w:p>
        </w:tc>
        <w:tc>
          <w:tcPr>
            <w:tcW w:w="399" w:type="pct"/>
            <w:noWrap/>
            <w:hideMark/>
          </w:tcPr>
          <w:p w14:paraId="2CDD3EFF" w14:textId="5059DAE8" w:rsidR="00CA7676" w:rsidRPr="00E14EE6" w:rsidRDefault="00F843AD" w:rsidP="00E14EE6">
            <w:pPr>
              <w:jc w:val="right"/>
              <w:rPr>
                <w:bCs/>
                <w:sz w:val="14"/>
                <w:szCs w:val="14"/>
              </w:rPr>
            </w:pPr>
            <w:r w:rsidRPr="00E14EE6">
              <w:rPr>
                <w:bCs/>
                <w:sz w:val="14"/>
              </w:rPr>
              <w:t>..</w:t>
            </w:r>
          </w:p>
        </w:tc>
        <w:tc>
          <w:tcPr>
            <w:tcW w:w="399" w:type="pct"/>
            <w:noWrap/>
            <w:hideMark/>
          </w:tcPr>
          <w:p w14:paraId="3EC68BD6" w14:textId="222FE5ED" w:rsidR="00CA7676" w:rsidRPr="00E14EE6" w:rsidRDefault="00F843AD" w:rsidP="00E14EE6">
            <w:pPr>
              <w:jc w:val="right"/>
              <w:rPr>
                <w:bCs/>
                <w:sz w:val="14"/>
                <w:szCs w:val="14"/>
              </w:rPr>
            </w:pPr>
            <w:r w:rsidRPr="00E14EE6">
              <w:rPr>
                <w:bCs/>
                <w:sz w:val="14"/>
              </w:rPr>
              <w:t>..</w:t>
            </w:r>
          </w:p>
        </w:tc>
        <w:tc>
          <w:tcPr>
            <w:tcW w:w="399" w:type="pct"/>
            <w:noWrap/>
            <w:hideMark/>
          </w:tcPr>
          <w:p w14:paraId="61EF6A5B" w14:textId="2294814D" w:rsidR="00CA7676" w:rsidRPr="00E14EE6" w:rsidRDefault="00F843AD" w:rsidP="00E14EE6">
            <w:pPr>
              <w:jc w:val="right"/>
              <w:rPr>
                <w:bCs/>
                <w:sz w:val="14"/>
                <w:szCs w:val="14"/>
              </w:rPr>
            </w:pPr>
            <w:r w:rsidRPr="00E14EE6">
              <w:rPr>
                <w:bCs/>
                <w:sz w:val="14"/>
              </w:rPr>
              <w:t>..</w:t>
            </w:r>
          </w:p>
        </w:tc>
        <w:tc>
          <w:tcPr>
            <w:tcW w:w="399" w:type="pct"/>
            <w:noWrap/>
            <w:hideMark/>
          </w:tcPr>
          <w:p w14:paraId="38D00831" w14:textId="36313666" w:rsidR="00CA7676" w:rsidRPr="00E14EE6" w:rsidRDefault="00F843AD" w:rsidP="00E14EE6">
            <w:pPr>
              <w:jc w:val="right"/>
              <w:rPr>
                <w:bCs/>
                <w:sz w:val="14"/>
                <w:szCs w:val="14"/>
              </w:rPr>
            </w:pPr>
            <w:r w:rsidRPr="00E14EE6">
              <w:rPr>
                <w:bCs/>
                <w:sz w:val="14"/>
              </w:rPr>
              <w:t>..</w:t>
            </w:r>
          </w:p>
        </w:tc>
        <w:tc>
          <w:tcPr>
            <w:tcW w:w="399" w:type="pct"/>
          </w:tcPr>
          <w:p w14:paraId="1FD6FF31" w14:textId="1900AF37" w:rsidR="00CA7676" w:rsidRPr="00E14EE6" w:rsidRDefault="00F843AD" w:rsidP="00E14EE6">
            <w:pPr>
              <w:jc w:val="right"/>
              <w:rPr>
                <w:bCs/>
                <w:sz w:val="14"/>
                <w:szCs w:val="14"/>
              </w:rPr>
            </w:pPr>
            <w:r w:rsidRPr="00E14EE6">
              <w:rPr>
                <w:bCs/>
                <w:sz w:val="14"/>
              </w:rPr>
              <w:t>..</w:t>
            </w:r>
          </w:p>
        </w:tc>
      </w:tr>
      <w:tr w:rsidR="00CA7676" w:rsidRPr="00E14EE6" w14:paraId="4E860B7A" w14:textId="77777777" w:rsidTr="00FD6B66">
        <w:trPr>
          <w:cnfStyle w:val="000000010000" w:firstRow="0" w:lastRow="0" w:firstColumn="0" w:lastColumn="0" w:oddVBand="0" w:evenVBand="0" w:oddHBand="0" w:evenHBand="1" w:firstRowFirstColumn="0" w:firstRowLastColumn="0" w:lastRowFirstColumn="0" w:lastRowLastColumn="0"/>
          <w:trHeight w:val="20"/>
        </w:trPr>
        <w:tc>
          <w:tcPr>
            <w:tcW w:w="1411" w:type="pct"/>
            <w:noWrap/>
            <w:hideMark/>
          </w:tcPr>
          <w:p w14:paraId="69E9BF3C" w14:textId="77777777" w:rsidR="00CA7676" w:rsidRPr="00E14EE6" w:rsidRDefault="00CA7676" w:rsidP="00E14EE6">
            <w:pPr>
              <w:jc w:val="left"/>
              <w:rPr>
                <w:sz w:val="14"/>
                <w:szCs w:val="14"/>
              </w:rPr>
            </w:pPr>
            <w:r w:rsidRPr="00E14EE6">
              <w:rPr>
                <w:sz w:val="14"/>
              </w:rPr>
              <w:t>Exports</w:t>
            </w:r>
          </w:p>
        </w:tc>
        <w:tc>
          <w:tcPr>
            <w:tcW w:w="399" w:type="pct"/>
            <w:noWrap/>
            <w:hideMark/>
          </w:tcPr>
          <w:p w14:paraId="475A443A" w14:textId="77777777" w:rsidR="00CA7676" w:rsidRPr="00E14EE6" w:rsidRDefault="00CA7676" w:rsidP="00E14EE6">
            <w:pPr>
              <w:jc w:val="right"/>
              <w:rPr>
                <w:sz w:val="14"/>
                <w:szCs w:val="14"/>
              </w:rPr>
            </w:pPr>
            <w:r w:rsidRPr="00E14EE6">
              <w:rPr>
                <w:sz w:val="14"/>
              </w:rPr>
              <w:t>8.7</w:t>
            </w:r>
          </w:p>
        </w:tc>
        <w:tc>
          <w:tcPr>
            <w:tcW w:w="399" w:type="pct"/>
            <w:noWrap/>
            <w:hideMark/>
          </w:tcPr>
          <w:p w14:paraId="6CF84055" w14:textId="77777777" w:rsidR="00CA7676" w:rsidRPr="00E14EE6" w:rsidRDefault="00CA7676" w:rsidP="00E14EE6">
            <w:pPr>
              <w:jc w:val="right"/>
              <w:rPr>
                <w:sz w:val="14"/>
                <w:szCs w:val="14"/>
              </w:rPr>
            </w:pPr>
            <w:r w:rsidRPr="00E14EE6">
              <w:rPr>
                <w:sz w:val="14"/>
              </w:rPr>
              <w:t>3.1</w:t>
            </w:r>
          </w:p>
        </w:tc>
        <w:tc>
          <w:tcPr>
            <w:tcW w:w="399" w:type="pct"/>
            <w:noWrap/>
            <w:hideMark/>
          </w:tcPr>
          <w:p w14:paraId="0AC8DFDD" w14:textId="77777777" w:rsidR="00CA7676" w:rsidRPr="00E14EE6" w:rsidRDefault="00CA7676" w:rsidP="00E14EE6">
            <w:pPr>
              <w:jc w:val="right"/>
              <w:rPr>
                <w:sz w:val="14"/>
                <w:szCs w:val="14"/>
              </w:rPr>
            </w:pPr>
            <w:r w:rsidRPr="00E14EE6">
              <w:rPr>
                <w:sz w:val="14"/>
              </w:rPr>
              <w:t>7.5</w:t>
            </w:r>
          </w:p>
        </w:tc>
        <w:tc>
          <w:tcPr>
            <w:tcW w:w="399" w:type="pct"/>
            <w:noWrap/>
            <w:hideMark/>
          </w:tcPr>
          <w:p w14:paraId="5740D2D0" w14:textId="77777777" w:rsidR="00CA7676" w:rsidRPr="00E14EE6" w:rsidRDefault="00CA7676" w:rsidP="00E14EE6">
            <w:pPr>
              <w:jc w:val="right"/>
              <w:rPr>
                <w:sz w:val="14"/>
                <w:szCs w:val="14"/>
              </w:rPr>
            </w:pPr>
            <w:r w:rsidRPr="00E14EE6">
              <w:rPr>
                <w:sz w:val="14"/>
              </w:rPr>
              <w:t>4.9</w:t>
            </w:r>
          </w:p>
        </w:tc>
        <w:tc>
          <w:tcPr>
            <w:tcW w:w="399" w:type="pct"/>
            <w:noWrap/>
            <w:hideMark/>
          </w:tcPr>
          <w:p w14:paraId="6CE451DF" w14:textId="77777777" w:rsidR="00CA7676" w:rsidRPr="00E14EE6" w:rsidRDefault="00CA7676" w:rsidP="00E14EE6">
            <w:pPr>
              <w:jc w:val="right"/>
              <w:rPr>
                <w:sz w:val="14"/>
                <w:szCs w:val="14"/>
              </w:rPr>
            </w:pPr>
            <w:r w:rsidRPr="00E14EE6">
              <w:rPr>
                <w:sz w:val="14"/>
              </w:rPr>
              <w:t>6.1</w:t>
            </w:r>
          </w:p>
        </w:tc>
        <w:tc>
          <w:tcPr>
            <w:tcW w:w="399" w:type="pct"/>
            <w:noWrap/>
            <w:hideMark/>
          </w:tcPr>
          <w:p w14:paraId="0E25CFD3" w14:textId="77777777" w:rsidR="00CA7676" w:rsidRPr="00E14EE6" w:rsidRDefault="00CA7676" w:rsidP="00E14EE6">
            <w:pPr>
              <w:jc w:val="right"/>
              <w:rPr>
                <w:sz w:val="14"/>
                <w:szCs w:val="14"/>
              </w:rPr>
            </w:pPr>
            <w:r w:rsidRPr="00E14EE6">
              <w:rPr>
                <w:sz w:val="14"/>
              </w:rPr>
              <w:t>1.5</w:t>
            </w:r>
          </w:p>
        </w:tc>
        <w:tc>
          <w:tcPr>
            <w:tcW w:w="399" w:type="pct"/>
            <w:noWrap/>
            <w:hideMark/>
          </w:tcPr>
          <w:p w14:paraId="5BA29636" w14:textId="35A3C24F" w:rsidR="00CA7676" w:rsidRPr="00E14EE6" w:rsidRDefault="00E14EE6" w:rsidP="00E14EE6">
            <w:pPr>
              <w:jc w:val="right"/>
              <w:rPr>
                <w:sz w:val="14"/>
                <w:szCs w:val="14"/>
              </w:rPr>
            </w:pPr>
            <w:r w:rsidRPr="00E14EE6">
              <w:rPr>
                <w:sz w:val="14"/>
              </w:rPr>
              <w:noBreakHyphen/>
            </w:r>
            <w:r w:rsidR="00CA7676" w:rsidRPr="00E14EE6">
              <w:rPr>
                <w:sz w:val="14"/>
              </w:rPr>
              <w:t>30.3</w:t>
            </w:r>
          </w:p>
        </w:tc>
        <w:tc>
          <w:tcPr>
            <w:tcW w:w="399" w:type="pct"/>
            <w:noWrap/>
            <w:hideMark/>
          </w:tcPr>
          <w:p w14:paraId="0769772D" w14:textId="77777777" w:rsidR="00CA7676" w:rsidRPr="00E14EE6" w:rsidRDefault="00CA7676" w:rsidP="00E14EE6">
            <w:pPr>
              <w:jc w:val="right"/>
              <w:rPr>
                <w:sz w:val="14"/>
                <w:szCs w:val="14"/>
              </w:rPr>
            </w:pPr>
            <w:r w:rsidRPr="00E14EE6">
              <w:rPr>
                <w:sz w:val="14"/>
              </w:rPr>
              <w:t>36.2</w:t>
            </w:r>
          </w:p>
        </w:tc>
        <w:tc>
          <w:tcPr>
            <w:tcW w:w="399" w:type="pct"/>
          </w:tcPr>
          <w:p w14:paraId="740DBFDA" w14:textId="77777777" w:rsidR="00CA7676" w:rsidRPr="00E14EE6" w:rsidRDefault="00CA7676" w:rsidP="00E14EE6">
            <w:pPr>
              <w:jc w:val="right"/>
              <w:rPr>
                <w:sz w:val="14"/>
                <w:szCs w:val="14"/>
              </w:rPr>
            </w:pPr>
            <w:r w:rsidRPr="00E14EE6">
              <w:rPr>
                <w:sz w:val="14"/>
              </w:rPr>
              <w:t>32.2</w:t>
            </w:r>
          </w:p>
        </w:tc>
      </w:tr>
      <w:tr w:rsidR="00CA7676" w:rsidRPr="00E14EE6" w14:paraId="6C30F6B8" w14:textId="77777777" w:rsidTr="00FD6B66">
        <w:trPr>
          <w:trHeight w:val="20"/>
        </w:trPr>
        <w:tc>
          <w:tcPr>
            <w:tcW w:w="1411" w:type="pct"/>
            <w:noWrap/>
            <w:hideMark/>
          </w:tcPr>
          <w:p w14:paraId="077315C6" w14:textId="77777777" w:rsidR="00CA7676" w:rsidRPr="00E14EE6" w:rsidRDefault="00CA7676" w:rsidP="00E14EE6">
            <w:pPr>
              <w:jc w:val="left"/>
              <w:rPr>
                <w:sz w:val="14"/>
                <w:szCs w:val="14"/>
              </w:rPr>
            </w:pPr>
            <w:r w:rsidRPr="00E14EE6">
              <w:rPr>
                <w:sz w:val="14"/>
              </w:rPr>
              <w:t>Imports</w:t>
            </w:r>
          </w:p>
        </w:tc>
        <w:tc>
          <w:tcPr>
            <w:tcW w:w="399" w:type="pct"/>
            <w:noWrap/>
            <w:hideMark/>
          </w:tcPr>
          <w:p w14:paraId="65170739" w14:textId="77777777" w:rsidR="00CA7676" w:rsidRPr="00E14EE6" w:rsidRDefault="00CA7676" w:rsidP="00E14EE6">
            <w:pPr>
              <w:jc w:val="right"/>
              <w:rPr>
                <w:sz w:val="14"/>
                <w:szCs w:val="14"/>
              </w:rPr>
            </w:pPr>
            <w:r w:rsidRPr="00E14EE6">
              <w:rPr>
                <w:sz w:val="14"/>
              </w:rPr>
              <w:t>4.8</w:t>
            </w:r>
          </w:p>
        </w:tc>
        <w:tc>
          <w:tcPr>
            <w:tcW w:w="399" w:type="pct"/>
            <w:noWrap/>
            <w:hideMark/>
          </w:tcPr>
          <w:p w14:paraId="3F7CFBAF" w14:textId="77777777" w:rsidR="00CA7676" w:rsidRPr="00E14EE6" w:rsidRDefault="00CA7676" w:rsidP="00E14EE6">
            <w:pPr>
              <w:jc w:val="right"/>
              <w:rPr>
                <w:sz w:val="14"/>
                <w:szCs w:val="14"/>
              </w:rPr>
            </w:pPr>
            <w:r w:rsidRPr="00E14EE6">
              <w:rPr>
                <w:sz w:val="14"/>
              </w:rPr>
              <w:t>11.0</w:t>
            </w:r>
          </w:p>
        </w:tc>
        <w:tc>
          <w:tcPr>
            <w:tcW w:w="399" w:type="pct"/>
            <w:noWrap/>
            <w:hideMark/>
          </w:tcPr>
          <w:p w14:paraId="38D04A95" w14:textId="77777777" w:rsidR="00CA7676" w:rsidRPr="00E14EE6" w:rsidRDefault="00CA7676" w:rsidP="00E14EE6">
            <w:pPr>
              <w:jc w:val="right"/>
              <w:rPr>
                <w:sz w:val="14"/>
                <w:szCs w:val="14"/>
              </w:rPr>
            </w:pPr>
            <w:r w:rsidRPr="00E14EE6">
              <w:rPr>
                <w:sz w:val="14"/>
              </w:rPr>
              <w:t>8.1</w:t>
            </w:r>
          </w:p>
        </w:tc>
        <w:tc>
          <w:tcPr>
            <w:tcW w:w="399" w:type="pct"/>
            <w:noWrap/>
            <w:hideMark/>
          </w:tcPr>
          <w:p w14:paraId="29CA0016" w14:textId="5C12C3D1" w:rsidR="00CA7676" w:rsidRPr="00E14EE6" w:rsidRDefault="00E14EE6" w:rsidP="00E14EE6">
            <w:pPr>
              <w:jc w:val="right"/>
              <w:rPr>
                <w:sz w:val="14"/>
                <w:szCs w:val="14"/>
              </w:rPr>
            </w:pPr>
            <w:r w:rsidRPr="00E14EE6">
              <w:rPr>
                <w:sz w:val="14"/>
              </w:rPr>
              <w:noBreakHyphen/>
            </w:r>
            <w:r w:rsidR="00CA7676" w:rsidRPr="00E14EE6">
              <w:rPr>
                <w:sz w:val="14"/>
              </w:rPr>
              <w:t>3.0</w:t>
            </w:r>
          </w:p>
        </w:tc>
        <w:tc>
          <w:tcPr>
            <w:tcW w:w="399" w:type="pct"/>
            <w:noWrap/>
            <w:hideMark/>
          </w:tcPr>
          <w:p w14:paraId="45720A2F" w14:textId="77777777" w:rsidR="00CA7676" w:rsidRPr="00E14EE6" w:rsidRDefault="00CA7676" w:rsidP="00E14EE6">
            <w:pPr>
              <w:jc w:val="right"/>
              <w:rPr>
                <w:sz w:val="14"/>
                <w:szCs w:val="14"/>
              </w:rPr>
            </w:pPr>
            <w:r w:rsidRPr="00E14EE6">
              <w:rPr>
                <w:sz w:val="14"/>
              </w:rPr>
              <w:t>8.5</w:t>
            </w:r>
          </w:p>
        </w:tc>
        <w:tc>
          <w:tcPr>
            <w:tcW w:w="399" w:type="pct"/>
            <w:noWrap/>
            <w:hideMark/>
          </w:tcPr>
          <w:p w14:paraId="42FD7DC6" w14:textId="77777777" w:rsidR="00CA7676" w:rsidRPr="00E14EE6" w:rsidRDefault="00CA7676" w:rsidP="00E14EE6">
            <w:pPr>
              <w:jc w:val="right"/>
              <w:rPr>
                <w:sz w:val="14"/>
                <w:szCs w:val="14"/>
              </w:rPr>
            </w:pPr>
            <w:r w:rsidRPr="00E14EE6">
              <w:rPr>
                <w:sz w:val="14"/>
              </w:rPr>
              <w:t>5.8</w:t>
            </w:r>
          </w:p>
        </w:tc>
        <w:tc>
          <w:tcPr>
            <w:tcW w:w="399" w:type="pct"/>
            <w:noWrap/>
            <w:hideMark/>
          </w:tcPr>
          <w:p w14:paraId="11CEE076" w14:textId="2BAB7AF8" w:rsidR="00CA7676" w:rsidRPr="00E14EE6" w:rsidRDefault="00E14EE6" w:rsidP="00E14EE6">
            <w:pPr>
              <w:jc w:val="right"/>
              <w:rPr>
                <w:sz w:val="14"/>
                <w:szCs w:val="14"/>
              </w:rPr>
            </w:pPr>
            <w:r w:rsidRPr="00E14EE6">
              <w:rPr>
                <w:sz w:val="14"/>
              </w:rPr>
              <w:noBreakHyphen/>
            </w:r>
            <w:r w:rsidR="00CA7676" w:rsidRPr="00E14EE6">
              <w:rPr>
                <w:sz w:val="14"/>
              </w:rPr>
              <w:t>14.6</w:t>
            </w:r>
          </w:p>
        </w:tc>
        <w:tc>
          <w:tcPr>
            <w:tcW w:w="399" w:type="pct"/>
            <w:noWrap/>
            <w:hideMark/>
          </w:tcPr>
          <w:p w14:paraId="4885C5F0" w14:textId="77777777" w:rsidR="00CA7676" w:rsidRPr="00E14EE6" w:rsidRDefault="00CA7676" w:rsidP="00E14EE6">
            <w:pPr>
              <w:jc w:val="right"/>
              <w:rPr>
                <w:sz w:val="14"/>
                <w:szCs w:val="14"/>
              </w:rPr>
            </w:pPr>
            <w:r w:rsidRPr="00E14EE6">
              <w:rPr>
                <w:sz w:val="14"/>
              </w:rPr>
              <w:t>24.7</w:t>
            </w:r>
          </w:p>
        </w:tc>
        <w:tc>
          <w:tcPr>
            <w:tcW w:w="399" w:type="pct"/>
          </w:tcPr>
          <w:p w14:paraId="4F07756F" w14:textId="77777777" w:rsidR="00CA7676" w:rsidRPr="00E14EE6" w:rsidRDefault="00CA7676" w:rsidP="00E14EE6">
            <w:pPr>
              <w:jc w:val="right"/>
              <w:rPr>
                <w:sz w:val="14"/>
                <w:szCs w:val="14"/>
              </w:rPr>
            </w:pPr>
            <w:r w:rsidRPr="00E14EE6">
              <w:rPr>
                <w:sz w:val="14"/>
              </w:rPr>
              <w:t>23.5</w:t>
            </w:r>
          </w:p>
        </w:tc>
      </w:tr>
      <w:bookmarkEnd w:id="32"/>
      <w:tr w:rsidR="00CA7676" w:rsidRPr="00E14EE6" w14:paraId="2979C24A" w14:textId="77777777" w:rsidTr="00FD6B66">
        <w:trPr>
          <w:cnfStyle w:val="000000010000" w:firstRow="0" w:lastRow="0" w:firstColumn="0" w:lastColumn="0" w:oddVBand="0" w:evenVBand="0" w:oddHBand="0" w:evenHBand="1" w:firstRowFirstColumn="0" w:firstRowLastColumn="0" w:lastRowFirstColumn="0" w:lastRowLastColumn="0"/>
          <w:trHeight w:val="20"/>
        </w:trPr>
        <w:tc>
          <w:tcPr>
            <w:tcW w:w="1411" w:type="pct"/>
            <w:noWrap/>
            <w:hideMark/>
          </w:tcPr>
          <w:p w14:paraId="2D75D10E" w14:textId="77777777" w:rsidR="00CA7676" w:rsidRPr="00E14EE6" w:rsidRDefault="00CA7676" w:rsidP="00E14EE6">
            <w:pPr>
              <w:jc w:val="left"/>
              <w:rPr>
                <w:b/>
                <w:bCs/>
                <w:sz w:val="14"/>
                <w:szCs w:val="14"/>
              </w:rPr>
            </w:pPr>
            <w:r w:rsidRPr="00E14EE6">
              <w:rPr>
                <w:b/>
                <w:sz w:val="14"/>
              </w:rPr>
              <w:t>Employment</w:t>
            </w:r>
          </w:p>
        </w:tc>
        <w:tc>
          <w:tcPr>
            <w:tcW w:w="399" w:type="pct"/>
            <w:noWrap/>
            <w:hideMark/>
          </w:tcPr>
          <w:p w14:paraId="1BE1C242" w14:textId="77777777" w:rsidR="00CA7676" w:rsidRPr="00E14EE6" w:rsidRDefault="00CA7676" w:rsidP="00E14EE6">
            <w:pPr>
              <w:jc w:val="right"/>
              <w:rPr>
                <w:sz w:val="14"/>
                <w:szCs w:val="14"/>
              </w:rPr>
            </w:pPr>
          </w:p>
        </w:tc>
        <w:tc>
          <w:tcPr>
            <w:tcW w:w="399" w:type="pct"/>
            <w:noWrap/>
            <w:hideMark/>
          </w:tcPr>
          <w:p w14:paraId="3EE60BFC" w14:textId="77777777" w:rsidR="00CA7676" w:rsidRPr="00E14EE6" w:rsidRDefault="00CA7676" w:rsidP="00E14EE6">
            <w:pPr>
              <w:jc w:val="right"/>
              <w:rPr>
                <w:sz w:val="14"/>
                <w:szCs w:val="14"/>
              </w:rPr>
            </w:pPr>
          </w:p>
        </w:tc>
        <w:tc>
          <w:tcPr>
            <w:tcW w:w="399" w:type="pct"/>
            <w:noWrap/>
            <w:hideMark/>
          </w:tcPr>
          <w:p w14:paraId="1A668A42" w14:textId="77777777" w:rsidR="00CA7676" w:rsidRPr="00E14EE6" w:rsidRDefault="00CA7676" w:rsidP="00E14EE6">
            <w:pPr>
              <w:jc w:val="right"/>
              <w:rPr>
                <w:sz w:val="14"/>
                <w:szCs w:val="14"/>
              </w:rPr>
            </w:pPr>
          </w:p>
        </w:tc>
        <w:tc>
          <w:tcPr>
            <w:tcW w:w="399" w:type="pct"/>
            <w:noWrap/>
            <w:hideMark/>
          </w:tcPr>
          <w:p w14:paraId="6AD2B2EE" w14:textId="77777777" w:rsidR="00CA7676" w:rsidRPr="00E14EE6" w:rsidRDefault="00CA7676" w:rsidP="00E14EE6">
            <w:pPr>
              <w:jc w:val="right"/>
              <w:rPr>
                <w:sz w:val="14"/>
                <w:szCs w:val="14"/>
              </w:rPr>
            </w:pPr>
          </w:p>
        </w:tc>
        <w:tc>
          <w:tcPr>
            <w:tcW w:w="399" w:type="pct"/>
            <w:noWrap/>
            <w:hideMark/>
          </w:tcPr>
          <w:p w14:paraId="30275411" w14:textId="77777777" w:rsidR="00CA7676" w:rsidRPr="00E14EE6" w:rsidRDefault="00CA7676" w:rsidP="00E14EE6">
            <w:pPr>
              <w:jc w:val="right"/>
              <w:rPr>
                <w:sz w:val="14"/>
                <w:szCs w:val="14"/>
              </w:rPr>
            </w:pPr>
          </w:p>
        </w:tc>
        <w:tc>
          <w:tcPr>
            <w:tcW w:w="399" w:type="pct"/>
            <w:noWrap/>
            <w:hideMark/>
          </w:tcPr>
          <w:p w14:paraId="6FD0D089" w14:textId="77777777" w:rsidR="00CA7676" w:rsidRPr="00E14EE6" w:rsidRDefault="00CA7676" w:rsidP="00E14EE6">
            <w:pPr>
              <w:jc w:val="right"/>
              <w:rPr>
                <w:sz w:val="14"/>
                <w:szCs w:val="14"/>
              </w:rPr>
            </w:pPr>
          </w:p>
        </w:tc>
        <w:tc>
          <w:tcPr>
            <w:tcW w:w="399" w:type="pct"/>
            <w:noWrap/>
            <w:hideMark/>
          </w:tcPr>
          <w:p w14:paraId="38DD1919" w14:textId="77777777" w:rsidR="00CA7676" w:rsidRPr="00E14EE6" w:rsidRDefault="00CA7676" w:rsidP="00E14EE6">
            <w:pPr>
              <w:jc w:val="right"/>
              <w:rPr>
                <w:sz w:val="14"/>
                <w:szCs w:val="14"/>
              </w:rPr>
            </w:pPr>
          </w:p>
        </w:tc>
        <w:tc>
          <w:tcPr>
            <w:tcW w:w="399" w:type="pct"/>
            <w:noWrap/>
            <w:hideMark/>
          </w:tcPr>
          <w:p w14:paraId="15189B57" w14:textId="77777777" w:rsidR="00CA7676" w:rsidRPr="00E14EE6" w:rsidRDefault="00CA7676" w:rsidP="00E14EE6">
            <w:pPr>
              <w:jc w:val="right"/>
              <w:rPr>
                <w:sz w:val="14"/>
                <w:szCs w:val="14"/>
              </w:rPr>
            </w:pPr>
          </w:p>
        </w:tc>
        <w:tc>
          <w:tcPr>
            <w:tcW w:w="399" w:type="pct"/>
          </w:tcPr>
          <w:p w14:paraId="6C0C287A" w14:textId="77777777" w:rsidR="00CA7676" w:rsidRPr="00E14EE6" w:rsidRDefault="00CA7676" w:rsidP="00E14EE6">
            <w:pPr>
              <w:jc w:val="right"/>
              <w:rPr>
                <w:sz w:val="14"/>
                <w:szCs w:val="14"/>
              </w:rPr>
            </w:pPr>
          </w:p>
        </w:tc>
      </w:tr>
      <w:tr w:rsidR="00CA7676" w:rsidRPr="00E14EE6" w14:paraId="4604CABC" w14:textId="77777777" w:rsidTr="00FD6B66">
        <w:trPr>
          <w:trHeight w:val="20"/>
        </w:trPr>
        <w:tc>
          <w:tcPr>
            <w:tcW w:w="1411" w:type="pct"/>
            <w:noWrap/>
            <w:hideMark/>
          </w:tcPr>
          <w:p w14:paraId="3F1F4F00" w14:textId="77777777" w:rsidR="00CA7676" w:rsidRPr="00E14EE6" w:rsidRDefault="00CA7676" w:rsidP="00E14EE6">
            <w:pPr>
              <w:jc w:val="left"/>
              <w:rPr>
                <w:sz w:val="14"/>
                <w:szCs w:val="14"/>
              </w:rPr>
            </w:pPr>
            <w:r w:rsidRPr="00E14EE6">
              <w:rPr>
                <w:sz w:val="14"/>
              </w:rPr>
              <w:t>Employment rate (%, annual average)</w:t>
            </w:r>
          </w:p>
        </w:tc>
        <w:tc>
          <w:tcPr>
            <w:tcW w:w="399" w:type="pct"/>
            <w:noWrap/>
            <w:hideMark/>
          </w:tcPr>
          <w:p w14:paraId="2F267CBB" w14:textId="77777777" w:rsidR="00CA7676" w:rsidRPr="00E14EE6" w:rsidRDefault="00CA7676" w:rsidP="00E14EE6">
            <w:pPr>
              <w:jc w:val="right"/>
              <w:rPr>
                <w:sz w:val="14"/>
                <w:szCs w:val="14"/>
              </w:rPr>
            </w:pPr>
            <w:r w:rsidRPr="00E14EE6">
              <w:rPr>
                <w:sz w:val="14"/>
              </w:rPr>
              <w:t>56.8</w:t>
            </w:r>
          </w:p>
        </w:tc>
        <w:tc>
          <w:tcPr>
            <w:tcW w:w="399" w:type="pct"/>
            <w:noWrap/>
            <w:hideMark/>
          </w:tcPr>
          <w:p w14:paraId="728BE194" w14:textId="77777777" w:rsidR="00CA7676" w:rsidRPr="00E14EE6" w:rsidRDefault="00CA7676" w:rsidP="00E14EE6">
            <w:pPr>
              <w:jc w:val="right"/>
              <w:rPr>
                <w:sz w:val="14"/>
                <w:szCs w:val="14"/>
              </w:rPr>
            </w:pPr>
            <w:r w:rsidRPr="00E14EE6">
              <w:rPr>
                <w:sz w:val="14"/>
              </w:rPr>
              <w:t>57.3</w:t>
            </w:r>
          </w:p>
        </w:tc>
        <w:tc>
          <w:tcPr>
            <w:tcW w:w="399" w:type="pct"/>
            <w:noWrap/>
            <w:hideMark/>
          </w:tcPr>
          <w:p w14:paraId="7B59EE30" w14:textId="77777777" w:rsidR="00CA7676" w:rsidRPr="00E14EE6" w:rsidRDefault="00CA7676" w:rsidP="00E14EE6">
            <w:pPr>
              <w:jc w:val="right"/>
              <w:rPr>
                <w:sz w:val="14"/>
                <w:szCs w:val="14"/>
              </w:rPr>
            </w:pPr>
            <w:r w:rsidRPr="00E14EE6">
              <w:rPr>
                <w:sz w:val="14"/>
              </w:rPr>
              <w:t>57.9</w:t>
            </w:r>
          </w:p>
        </w:tc>
        <w:tc>
          <w:tcPr>
            <w:tcW w:w="399" w:type="pct"/>
            <w:noWrap/>
            <w:hideMark/>
          </w:tcPr>
          <w:p w14:paraId="4413985B" w14:textId="77777777" w:rsidR="00CA7676" w:rsidRPr="00E14EE6" w:rsidRDefault="00CA7676" w:rsidP="00E14EE6">
            <w:pPr>
              <w:jc w:val="right"/>
              <w:rPr>
                <w:sz w:val="14"/>
                <w:szCs w:val="14"/>
              </w:rPr>
            </w:pPr>
            <w:r w:rsidRPr="00E14EE6">
              <w:rPr>
                <w:sz w:val="14"/>
              </w:rPr>
              <w:t>58.7</w:t>
            </w:r>
          </w:p>
        </w:tc>
        <w:tc>
          <w:tcPr>
            <w:tcW w:w="399" w:type="pct"/>
            <w:noWrap/>
            <w:hideMark/>
          </w:tcPr>
          <w:p w14:paraId="3EC8AAB5" w14:textId="77777777" w:rsidR="00CA7676" w:rsidRPr="00E14EE6" w:rsidRDefault="00CA7676" w:rsidP="00E14EE6">
            <w:pPr>
              <w:jc w:val="right"/>
              <w:rPr>
                <w:sz w:val="14"/>
                <w:szCs w:val="14"/>
              </w:rPr>
            </w:pPr>
            <w:r w:rsidRPr="00E14EE6">
              <w:rPr>
                <w:sz w:val="14"/>
              </w:rPr>
              <w:t>60.0</w:t>
            </w:r>
          </w:p>
        </w:tc>
        <w:tc>
          <w:tcPr>
            <w:tcW w:w="399" w:type="pct"/>
            <w:noWrap/>
            <w:hideMark/>
          </w:tcPr>
          <w:p w14:paraId="3349BED1" w14:textId="77777777" w:rsidR="00CA7676" w:rsidRPr="00E14EE6" w:rsidRDefault="00CA7676" w:rsidP="00E14EE6">
            <w:pPr>
              <w:jc w:val="right"/>
              <w:rPr>
                <w:sz w:val="14"/>
                <w:szCs w:val="14"/>
              </w:rPr>
            </w:pPr>
            <w:r w:rsidRPr="00E14EE6">
              <w:rPr>
                <w:sz w:val="14"/>
              </w:rPr>
              <w:t>61.0</w:t>
            </w:r>
          </w:p>
        </w:tc>
        <w:tc>
          <w:tcPr>
            <w:tcW w:w="399" w:type="pct"/>
            <w:noWrap/>
            <w:hideMark/>
          </w:tcPr>
          <w:p w14:paraId="2F2A2255" w14:textId="77777777" w:rsidR="00CA7676" w:rsidRPr="00E14EE6" w:rsidRDefault="00CA7676" w:rsidP="00E14EE6">
            <w:pPr>
              <w:jc w:val="right"/>
              <w:rPr>
                <w:sz w:val="14"/>
                <w:szCs w:val="14"/>
              </w:rPr>
            </w:pPr>
            <w:r w:rsidRPr="00E14EE6">
              <w:rPr>
                <w:sz w:val="14"/>
              </w:rPr>
              <w:t>56.7</w:t>
            </w:r>
          </w:p>
        </w:tc>
        <w:tc>
          <w:tcPr>
            <w:tcW w:w="399" w:type="pct"/>
            <w:noWrap/>
            <w:hideMark/>
          </w:tcPr>
          <w:p w14:paraId="7E73D883" w14:textId="77777777" w:rsidR="00CA7676" w:rsidRPr="00E14EE6" w:rsidRDefault="00CA7676" w:rsidP="00E14EE6">
            <w:pPr>
              <w:jc w:val="right"/>
              <w:rPr>
                <w:sz w:val="14"/>
                <w:szCs w:val="14"/>
              </w:rPr>
            </w:pPr>
            <w:r w:rsidRPr="00E14EE6">
              <w:rPr>
                <w:sz w:val="14"/>
              </w:rPr>
              <w:t>58.3</w:t>
            </w:r>
          </w:p>
        </w:tc>
        <w:tc>
          <w:tcPr>
            <w:tcW w:w="399" w:type="pct"/>
          </w:tcPr>
          <w:p w14:paraId="3D461E4A" w14:textId="77777777" w:rsidR="00CA7676" w:rsidRPr="00E14EE6" w:rsidRDefault="00CA7676" w:rsidP="00E14EE6">
            <w:pPr>
              <w:jc w:val="right"/>
              <w:rPr>
                <w:sz w:val="14"/>
                <w:szCs w:val="14"/>
              </w:rPr>
            </w:pPr>
            <w:r w:rsidRPr="00E14EE6">
              <w:rPr>
                <w:sz w:val="14"/>
              </w:rPr>
              <w:t>59.4</w:t>
            </w:r>
          </w:p>
        </w:tc>
      </w:tr>
      <w:tr w:rsidR="00CA7676" w:rsidRPr="00E14EE6" w14:paraId="24D93454" w14:textId="77777777" w:rsidTr="00FD6B66">
        <w:trPr>
          <w:cnfStyle w:val="000000010000" w:firstRow="0" w:lastRow="0" w:firstColumn="0" w:lastColumn="0" w:oddVBand="0" w:evenVBand="0" w:oddHBand="0" w:evenHBand="1" w:firstRowFirstColumn="0" w:firstRowLastColumn="0" w:lastRowFirstColumn="0" w:lastRowLastColumn="0"/>
          <w:trHeight w:val="20"/>
        </w:trPr>
        <w:tc>
          <w:tcPr>
            <w:tcW w:w="1411" w:type="pct"/>
            <w:noWrap/>
            <w:hideMark/>
          </w:tcPr>
          <w:p w14:paraId="40E25D92" w14:textId="7A227C50" w:rsidR="00CA7676" w:rsidRPr="00E14EE6" w:rsidRDefault="00CA7676" w:rsidP="00E14EE6">
            <w:pPr>
              <w:jc w:val="left"/>
              <w:rPr>
                <w:sz w:val="14"/>
                <w:szCs w:val="14"/>
              </w:rPr>
            </w:pPr>
            <w:r w:rsidRPr="00E14EE6">
              <w:rPr>
                <w:sz w:val="14"/>
              </w:rPr>
              <w:t xml:space="preserve">Open unemployment </w:t>
            </w:r>
            <w:proofErr w:type="spellStart"/>
            <w:r w:rsidRPr="00E14EE6">
              <w:rPr>
                <w:sz w:val="14"/>
              </w:rPr>
              <w:t>rate</w:t>
            </w:r>
            <w:r w:rsidRPr="00E14EE6">
              <w:rPr>
                <w:sz w:val="14"/>
                <w:vertAlign w:val="superscript"/>
              </w:rPr>
              <w:t>b</w:t>
            </w:r>
            <w:proofErr w:type="spellEnd"/>
            <w:r w:rsidRPr="00E14EE6">
              <w:rPr>
                <w:sz w:val="14"/>
              </w:rPr>
              <w:t xml:space="preserve"> (%, annual average)</w:t>
            </w:r>
            <w:r w:rsidRPr="00E14EE6">
              <w:rPr>
                <w:sz w:val="14"/>
                <w:vertAlign w:val="superscript"/>
              </w:rPr>
              <w:t>c</w:t>
            </w:r>
          </w:p>
        </w:tc>
        <w:tc>
          <w:tcPr>
            <w:tcW w:w="399" w:type="pct"/>
            <w:noWrap/>
            <w:hideMark/>
          </w:tcPr>
          <w:p w14:paraId="472C8A9F" w14:textId="77777777" w:rsidR="00CA7676" w:rsidRPr="00E14EE6" w:rsidRDefault="00CA7676" w:rsidP="00E14EE6">
            <w:pPr>
              <w:jc w:val="right"/>
              <w:rPr>
                <w:sz w:val="14"/>
                <w:szCs w:val="14"/>
              </w:rPr>
            </w:pPr>
            <w:r w:rsidRPr="00E14EE6">
              <w:rPr>
                <w:sz w:val="14"/>
              </w:rPr>
              <w:t>8.3</w:t>
            </w:r>
          </w:p>
        </w:tc>
        <w:tc>
          <w:tcPr>
            <w:tcW w:w="399" w:type="pct"/>
            <w:noWrap/>
            <w:hideMark/>
          </w:tcPr>
          <w:p w14:paraId="12CED4C6" w14:textId="77777777" w:rsidR="00CA7676" w:rsidRPr="00E14EE6" w:rsidRDefault="00CA7676" w:rsidP="00E14EE6">
            <w:pPr>
              <w:jc w:val="right"/>
              <w:rPr>
                <w:sz w:val="14"/>
                <w:szCs w:val="14"/>
              </w:rPr>
            </w:pPr>
            <w:r w:rsidRPr="00E14EE6">
              <w:rPr>
                <w:sz w:val="14"/>
              </w:rPr>
              <w:t>7.3</w:t>
            </w:r>
          </w:p>
        </w:tc>
        <w:tc>
          <w:tcPr>
            <w:tcW w:w="399" w:type="pct"/>
            <w:noWrap/>
            <w:hideMark/>
          </w:tcPr>
          <w:p w14:paraId="23C56FB2" w14:textId="77777777" w:rsidR="00CA7676" w:rsidRPr="00E14EE6" w:rsidRDefault="00CA7676" w:rsidP="00E14EE6">
            <w:pPr>
              <w:jc w:val="right"/>
              <w:rPr>
                <w:sz w:val="14"/>
                <w:szCs w:val="14"/>
              </w:rPr>
            </w:pPr>
            <w:r w:rsidRPr="00E14EE6">
              <w:rPr>
                <w:sz w:val="14"/>
              </w:rPr>
              <w:t>7.1</w:t>
            </w:r>
          </w:p>
        </w:tc>
        <w:tc>
          <w:tcPr>
            <w:tcW w:w="399" w:type="pct"/>
            <w:noWrap/>
            <w:hideMark/>
          </w:tcPr>
          <w:p w14:paraId="685AC93E" w14:textId="77777777" w:rsidR="00CA7676" w:rsidRPr="00E14EE6" w:rsidRDefault="00CA7676" w:rsidP="00E14EE6">
            <w:pPr>
              <w:jc w:val="right"/>
              <w:rPr>
                <w:sz w:val="14"/>
                <w:szCs w:val="14"/>
              </w:rPr>
            </w:pPr>
            <w:r w:rsidRPr="00E14EE6">
              <w:rPr>
                <w:sz w:val="14"/>
              </w:rPr>
              <w:t>5.5</w:t>
            </w:r>
          </w:p>
        </w:tc>
        <w:tc>
          <w:tcPr>
            <w:tcW w:w="399" w:type="pct"/>
            <w:noWrap/>
            <w:hideMark/>
          </w:tcPr>
          <w:p w14:paraId="7DE73798" w14:textId="77777777" w:rsidR="00CA7676" w:rsidRPr="00E14EE6" w:rsidRDefault="00CA7676" w:rsidP="00E14EE6">
            <w:pPr>
              <w:jc w:val="right"/>
              <w:rPr>
                <w:sz w:val="14"/>
                <w:szCs w:val="14"/>
              </w:rPr>
            </w:pPr>
            <w:r w:rsidRPr="00E14EE6">
              <w:rPr>
                <w:sz w:val="14"/>
              </w:rPr>
              <w:t>5.7</w:t>
            </w:r>
          </w:p>
        </w:tc>
        <w:tc>
          <w:tcPr>
            <w:tcW w:w="399" w:type="pct"/>
            <w:noWrap/>
            <w:hideMark/>
          </w:tcPr>
          <w:p w14:paraId="2A4CCDE3" w14:textId="77777777" w:rsidR="00CA7676" w:rsidRPr="00E14EE6" w:rsidRDefault="00CA7676" w:rsidP="00E14EE6">
            <w:pPr>
              <w:jc w:val="right"/>
              <w:rPr>
                <w:sz w:val="14"/>
                <w:szCs w:val="14"/>
              </w:rPr>
            </w:pPr>
            <w:r w:rsidRPr="00E14EE6">
              <w:rPr>
                <w:sz w:val="14"/>
              </w:rPr>
              <w:t>6.2</w:t>
            </w:r>
          </w:p>
        </w:tc>
        <w:tc>
          <w:tcPr>
            <w:tcW w:w="399" w:type="pct"/>
            <w:noWrap/>
            <w:hideMark/>
          </w:tcPr>
          <w:p w14:paraId="5F83471E" w14:textId="77777777" w:rsidR="00CA7676" w:rsidRPr="00E14EE6" w:rsidRDefault="00CA7676" w:rsidP="00E14EE6">
            <w:pPr>
              <w:jc w:val="right"/>
              <w:rPr>
                <w:sz w:val="14"/>
                <w:szCs w:val="14"/>
              </w:rPr>
            </w:pPr>
            <w:r w:rsidRPr="00E14EE6">
              <w:rPr>
                <w:sz w:val="14"/>
              </w:rPr>
              <w:t>5.8</w:t>
            </w:r>
          </w:p>
        </w:tc>
        <w:tc>
          <w:tcPr>
            <w:tcW w:w="399" w:type="pct"/>
            <w:noWrap/>
            <w:hideMark/>
          </w:tcPr>
          <w:p w14:paraId="4A4C38F1" w14:textId="77777777" w:rsidR="00CA7676" w:rsidRPr="00E14EE6" w:rsidRDefault="00CA7676" w:rsidP="00E14EE6">
            <w:pPr>
              <w:jc w:val="right"/>
              <w:rPr>
                <w:sz w:val="14"/>
                <w:szCs w:val="14"/>
              </w:rPr>
            </w:pPr>
            <w:r w:rsidRPr="00E14EE6">
              <w:rPr>
                <w:sz w:val="14"/>
              </w:rPr>
              <w:t>7.4</w:t>
            </w:r>
          </w:p>
        </w:tc>
        <w:tc>
          <w:tcPr>
            <w:tcW w:w="399" w:type="pct"/>
          </w:tcPr>
          <w:p w14:paraId="693156BB" w14:textId="77777777" w:rsidR="00CA7676" w:rsidRPr="00E14EE6" w:rsidRDefault="00CA7676" w:rsidP="00E14EE6">
            <w:pPr>
              <w:jc w:val="right"/>
              <w:rPr>
                <w:sz w:val="14"/>
                <w:szCs w:val="14"/>
              </w:rPr>
            </w:pPr>
            <w:r w:rsidRPr="00E14EE6">
              <w:rPr>
                <w:sz w:val="14"/>
              </w:rPr>
              <w:t>6.4</w:t>
            </w:r>
          </w:p>
        </w:tc>
      </w:tr>
      <w:tr w:rsidR="00CA7676" w:rsidRPr="00E14EE6" w14:paraId="4CCC9C6D" w14:textId="77777777" w:rsidTr="00FD6B66">
        <w:trPr>
          <w:trHeight w:val="20"/>
        </w:trPr>
        <w:tc>
          <w:tcPr>
            <w:tcW w:w="5000" w:type="pct"/>
            <w:gridSpan w:val="10"/>
            <w:noWrap/>
            <w:hideMark/>
          </w:tcPr>
          <w:p w14:paraId="3BB93FAD" w14:textId="77777777" w:rsidR="00CA7676" w:rsidRPr="00E14EE6" w:rsidRDefault="00CA7676" w:rsidP="00E14EE6">
            <w:pPr>
              <w:jc w:val="left"/>
              <w:rPr>
                <w:sz w:val="14"/>
                <w:szCs w:val="14"/>
              </w:rPr>
            </w:pPr>
            <w:r w:rsidRPr="00E14EE6">
              <w:rPr>
                <w:sz w:val="14"/>
              </w:rPr>
              <w:t>Employed population by branch of activity (% of total)</w:t>
            </w:r>
          </w:p>
        </w:tc>
      </w:tr>
      <w:tr w:rsidR="00CA7676" w:rsidRPr="00E14EE6" w14:paraId="42C7C46A" w14:textId="77777777" w:rsidTr="00FD6B66">
        <w:trPr>
          <w:cnfStyle w:val="000000010000" w:firstRow="0" w:lastRow="0" w:firstColumn="0" w:lastColumn="0" w:oddVBand="0" w:evenVBand="0" w:oddHBand="0" w:evenHBand="1" w:firstRowFirstColumn="0" w:firstRowLastColumn="0" w:lastRowFirstColumn="0" w:lastRowLastColumn="0"/>
          <w:trHeight w:val="20"/>
        </w:trPr>
        <w:tc>
          <w:tcPr>
            <w:tcW w:w="1411" w:type="pct"/>
            <w:noWrap/>
            <w:hideMark/>
          </w:tcPr>
          <w:p w14:paraId="6099CD80" w14:textId="77777777" w:rsidR="00CA7676" w:rsidRPr="00E14EE6" w:rsidRDefault="00CA7676" w:rsidP="00E14EE6">
            <w:pPr>
              <w:jc w:val="left"/>
              <w:rPr>
                <w:sz w:val="14"/>
                <w:szCs w:val="14"/>
              </w:rPr>
            </w:pPr>
            <w:r w:rsidRPr="00E14EE6">
              <w:rPr>
                <w:sz w:val="14"/>
              </w:rPr>
              <w:t>Agriculture and livestock</w:t>
            </w:r>
          </w:p>
        </w:tc>
        <w:tc>
          <w:tcPr>
            <w:tcW w:w="399" w:type="pct"/>
            <w:noWrap/>
            <w:hideMark/>
          </w:tcPr>
          <w:p w14:paraId="076D816B" w14:textId="77777777" w:rsidR="00CA7676" w:rsidRPr="00E14EE6" w:rsidRDefault="00CA7676" w:rsidP="00E14EE6">
            <w:pPr>
              <w:jc w:val="right"/>
              <w:rPr>
                <w:sz w:val="14"/>
                <w:szCs w:val="14"/>
              </w:rPr>
            </w:pPr>
            <w:r w:rsidRPr="00E14EE6">
              <w:rPr>
                <w:sz w:val="14"/>
              </w:rPr>
              <w:t>10.8</w:t>
            </w:r>
          </w:p>
        </w:tc>
        <w:tc>
          <w:tcPr>
            <w:tcW w:w="399" w:type="pct"/>
            <w:noWrap/>
            <w:hideMark/>
          </w:tcPr>
          <w:p w14:paraId="0F0A9827" w14:textId="77777777" w:rsidR="00CA7676" w:rsidRPr="00E14EE6" w:rsidRDefault="00CA7676" w:rsidP="00E14EE6">
            <w:pPr>
              <w:jc w:val="right"/>
              <w:rPr>
                <w:sz w:val="14"/>
                <w:szCs w:val="14"/>
              </w:rPr>
            </w:pPr>
            <w:r w:rsidRPr="00E14EE6">
              <w:rPr>
                <w:sz w:val="14"/>
              </w:rPr>
              <w:t>9.7</w:t>
            </w:r>
          </w:p>
        </w:tc>
        <w:tc>
          <w:tcPr>
            <w:tcW w:w="399" w:type="pct"/>
            <w:noWrap/>
            <w:hideMark/>
          </w:tcPr>
          <w:p w14:paraId="247BBF13" w14:textId="77777777" w:rsidR="00CA7676" w:rsidRPr="00E14EE6" w:rsidRDefault="00CA7676" w:rsidP="00E14EE6">
            <w:pPr>
              <w:jc w:val="right"/>
              <w:rPr>
                <w:sz w:val="14"/>
                <w:szCs w:val="14"/>
              </w:rPr>
            </w:pPr>
            <w:r w:rsidRPr="00E14EE6">
              <w:rPr>
                <w:sz w:val="14"/>
              </w:rPr>
              <w:t>8.9</w:t>
            </w:r>
          </w:p>
        </w:tc>
        <w:tc>
          <w:tcPr>
            <w:tcW w:w="399" w:type="pct"/>
            <w:noWrap/>
            <w:hideMark/>
          </w:tcPr>
          <w:p w14:paraId="3A5E0A81" w14:textId="77777777" w:rsidR="00CA7676" w:rsidRPr="00E14EE6" w:rsidRDefault="00CA7676" w:rsidP="00E14EE6">
            <w:pPr>
              <w:jc w:val="right"/>
              <w:rPr>
                <w:sz w:val="14"/>
                <w:szCs w:val="14"/>
              </w:rPr>
            </w:pPr>
            <w:r w:rsidRPr="00E14EE6">
              <w:rPr>
                <w:sz w:val="14"/>
              </w:rPr>
              <w:t>9.6</w:t>
            </w:r>
          </w:p>
        </w:tc>
        <w:tc>
          <w:tcPr>
            <w:tcW w:w="399" w:type="pct"/>
            <w:noWrap/>
            <w:hideMark/>
          </w:tcPr>
          <w:p w14:paraId="44C5BF18" w14:textId="77777777" w:rsidR="00CA7676" w:rsidRPr="00E14EE6" w:rsidRDefault="00CA7676" w:rsidP="00E14EE6">
            <w:pPr>
              <w:jc w:val="right"/>
              <w:rPr>
                <w:sz w:val="14"/>
                <w:szCs w:val="14"/>
              </w:rPr>
            </w:pPr>
            <w:r w:rsidRPr="00E14EE6">
              <w:rPr>
                <w:sz w:val="14"/>
              </w:rPr>
              <w:t>9.3</w:t>
            </w:r>
          </w:p>
        </w:tc>
        <w:tc>
          <w:tcPr>
            <w:tcW w:w="399" w:type="pct"/>
            <w:noWrap/>
            <w:hideMark/>
          </w:tcPr>
          <w:p w14:paraId="7140D974" w14:textId="77777777" w:rsidR="00CA7676" w:rsidRPr="00E14EE6" w:rsidRDefault="00CA7676" w:rsidP="00E14EE6">
            <w:pPr>
              <w:jc w:val="right"/>
              <w:rPr>
                <w:sz w:val="14"/>
                <w:szCs w:val="14"/>
              </w:rPr>
            </w:pPr>
            <w:r w:rsidRPr="00E14EE6">
              <w:rPr>
                <w:sz w:val="14"/>
              </w:rPr>
              <w:t>8.8</w:t>
            </w:r>
          </w:p>
        </w:tc>
        <w:tc>
          <w:tcPr>
            <w:tcW w:w="399" w:type="pct"/>
            <w:noWrap/>
            <w:hideMark/>
          </w:tcPr>
          <w:p w14:paraId="5FE319E5" w14:textId="77777777" w:rsidR="00CA7676" w:rsidRPr="00E14EE6" w:rsidRDefault="00CA7676" w:rsidP="00E14EE6">
            <w:pPr>
              <w:jc w:val="right"/>
              <w:rPr>
                <w:sz w:val="14"/>
                <w:szCs w:val="14"/>
              </w:rPr>
            </w:pPr>
            <w:r w:rsidRPr="00E14EE6">
              <w:rPr>
                <w:sz w:val="14"/>
              </w:rPr>
              <w:t>9.0</w:t>
            </w:r>
          </w:p>
        </w:tc>
        <w:tc>
          <w:tcPr>
            <w:tcW w:w="399" w:type="pct"/>
            <w:noWrap/>
            <w:hideMark/>
          </w:tcPr>
          <w:p w14:paraId="26654F9E" w14:textId="77777777" w:rsidR="00CA7676" w:rsidRPr="00E14EE6" w:rsidRDefault="00CA7676" w:rsidP="00E14EE6">
            <w:pPr>
              <w:jc w:val="right"/>
              <w:rPr>
                <w:sz w:val="14"/>
                <w:szCs w:val="14"/>
              </w:rPr>
            </w:pPr>
            <w:r w:rsidRPr="00E14EE6">
              <w:rPr>
                <w:sz w:val="14"/>
              </w:rPr>
              <w:t>8.0</w:t>
            </w:r>
          </w:p>
        </w:tc>
        <w:tc>
          <w:tcPr>
            <w:tcW w:w="399" w:type="pct"/>
          </w:tcPr>
          <w:p w14:paraId="17AC29AE" w14:textId="77777777" w:rsidR="00CA7676" w:rsidRPr="00E14EE6" w:rsidRDefault="00CA7676" w:rsidP="00E14EE6">
            <w:pPr>
              <w:jc w:val="right"/>
              <w:rPr>
                <w:sz w:val="14"/>
                <w:szCs w:val="14"/>
              </w:rPr>
            </w:pPr>
            <w:r w:rsidRPr="00E14EE6">
              <w:rPr>
                <w:sz w:val="14"/>
              </w:rPr>
              <w:t>7.9</w:t>
            </w:r>
          </w:p>
        </w:tc>
      </w:tr>
      <w:tr w:rsidR="00CA7676" w:rsidRPr="00E14EE6" w14:paraId="3357067D" w14:textId="77777777" w:rsidTr="00FD6B66">
        <w:trPr>
          <w:trHeight w:val="20"/>
        </w:trPr>
        <w:tc>
          <w:tcPr>
            <w:tcW w:w="1411" w:type="pct"/>
            <w:noWrap/>
            <w:hideMark/>
          </w:tcPr>
          <w:p w14:paraId="04C6E5F0" w14:textId="77777777" w:rsidR="00CA7676" w:rsidRPr="00E14EE6" w:rsidRDefault="00CA7676" w:rsidP="00E14EE6">
            <w:pPr>
              <w:jc w:val="left"/>
              <w:rPr>
                <w:sz w:val="14"/>
                <w:szCs w:val="14"/>
              </w:rPr>
            </w:pPr>
            <w:proofErr w:type="spellStart"/>
            <w:r w:rsidRPr="00E14EE6">
              <w:rPr>
                <w:sz w:val="14"/>
              </w:rPr>
              <w:t>Industry</w:t>
            </w:r>
            <w:r w:rsidRPr="00E14EE6">
              <w:rPr>
                <w:sz w:val="14"/>
                <w:vertAlign w:val="superscript"/>
              </w:rPr>
              <w:t>c</w:t>
            </w:r>
            <w:proofErr w:type="spellEnd"/>
          </w:p>
        </w:tc>
        <w:tc>
          <w:tcPr>
            <w:tcW w:w="399" w:type="pct"/>
            <w:noWrap/>
            <w:hideMark/>
          </w:tcPr>
          <w:p w14:paraId="5D6FC9FB" w14:textId="77777777" w:rsidR="00CA7676" w:rsidRPr="00E14EE6" w:rsidRDefault="00CA7676" w:rsidP="00E14EE6">
            <w:pPr>
              <w:jc w:val="right"/>
              <w:rPr>
                <w:sz w:val="14"/>
                <w:szCs w:val="14"/>
              </w:rPr>
            </w:pPr>
            <w:r w:rsidRPr="00E14EE6">
              <w:rPr>
                <w:sz w:val="14"/>
              </w:rPr>
              <w:t>10.4</w:t>
            </w:r>
          </w:p>
        </w:tc>
        <w:tc>
          <w:tcPr>
            <w:tcW w:w="399" w:type="pct"/>
            <w:noWrap/>
            <w:hideMark/>
          </w:tcPr>
          <w:p w14:paraId="24A478F4" w14:textId="77777777" w:rsidR="00CA7676" w:rsidRPr="00E14EE6" w:rsidRDefault="00CA7676" w:rsidP="00E14EE6">
            <w:pPr>
              <w:jc w:val="right"/>
              <w:rPr>
                <w:sz w:val="14"/>
                <w:szCs w:val="14"/>
              </w:rPr>
            </w:pPr>
            <w:r w:rsidRPr="00E14EE6">
              <w:rPr>
                <w:sz w:val="14"/>
              </w:rPr>
              <w:t>10.1</w:t>
            </w:r>
          </w:p>
        </w:tc>
        <w:tc>
          <w:tcPr>
            <w:tcW w:w="399" w:type="pct"/>
            <w:noWrap/>
            <w:hideMark/>
          </w:tcPr>
          <w:p w14:paraId="54C0E927" w14:textId="77777777" w:rsidR="00CA7676" w:rsidRPr="00E14EE6" w:rsidRDefault="00CA7676" w:rsidP="00E14EE6">
            <w:pPr>
              <w:jc w:val="right"/>
              <w:rPr>
                <w:sz w:val="14"/>
                <w:szCs w:val="14"/>
              </w:rPr>
            </w:pPr>
            <w:r w:rsidRPr="00E14EE6">
              <w:rPr>
                <w:sz w:val="14"/>
              </w:rPr>
              <w:t>10.4</w:t>
            </w:r>
          </w:p>
        </w:tc>
        <w:tc>
          <w:tcPr>
            <w:tcW w:w="399" w:type="pct"/>
            <w:noWrap/>
            <w:hideMark/>
          </w:tcPr>
          <w:p w14:paraId="07BD6612" w14:textId="77777777" w:rsidR="00CA7676" w:rsidRPr="00E14EE6" w:rsidRDefault="00CA7676" w:rsidP="00E14EE6">
            <w:pPr>
              <w:jc w:val="right"/>
              <w:rPr>
                <w:sz w:val="14"/>
                <w:szCs w:val="14"/>
              </w:rPr>
            </w:pPr>
            <w:r w:rsidRPr="00E14EE6">
              <w:rPr>
                <w:sz w:val="14"/>
              </w:rPr>
              <w:t>10.2</w:t>
            </w:r>
          </w:p>
        </w:tc>
        <w:tc>
          <w:tcPr>
            <w:tcW w:w="399" w:type="pct"/>
            <w:noWrap/>
            <w:hideMark/>
          </w:tcPr>
          <w:p w14:paraId="08017F68" w14:textId="77777777" w:rsidR="00CA7676" w:rsidRPr="00E14EE6" w:rsidRDefault="00CA7676" w:rsidP="00E14EE6">
            <w:pPr>
              <w:jc w:val="right"/>
              <w:rPr>
                <w:sz w:val="14"/>
                <w:szCs w:val="14"/>
              </w:rPr>
            </w:pPr>
            <w:r w:rsidRPr="00E14EE6">
              <w:rPr>
                <w:sz w:val="14"/>
              </w:rPr>
              <w:t>10.0</w:t>
            </w:r>
          </w:p>
        </w:tc>
        <w:tc>
          <w:tcPr>
            <w:tcW w:w="399" w:type="pct"/>
            <w:noWrap/>
            <w:hideMark/>
          </w:tcPr>
          <w:p w14:paraId="3C817B78" w14:textId="77777777" w:rsidR="00CA7676" w:rsidRPr="00E14EE6" w:rsidRDefault="00CA7676" w:rsidP="00E14EE6">
            <w:pPr>
              <w:jc w:val="right"/>
              <w:rPr>
                <w:sz w:val="14"/>
                <w:szCs w:val="14"/>
              </w:rPr>
            </w:pPr>
            <w:r w:rsidRPr="00E14EE6">
              <w:rPr>
                <w:sz w:val="14"/>
              </w:rPr>
              <w:t>10.2</w:t>
            </w:r>
          </w:p>
        </w:tc>
        <w:tc>
          <w:tcPr>
            <w:tcW w:w="399" w:type="pct"/>
            <w:noWrap/>
            <w:hideMark/>
          </w:tcPr>
          <w:p w14:paraId="4E6A7765" w14:textId="77777777" w:rsidR="00CA7676" w:rsidRPr="00E14EE6" w:rsidRDefault="00CA7676" w:rsidP="00E14EE6">
            <w:pPr>
              <w:jc w:val="right"/>
              <w:rPr>
                <w:sz w:val="14"/>
                <w:szCs w:val="14"/>
              </w:rPr>
            </w:pPr>
            <w:r w:rsidRPr="00E14EE6">
              <w:rPr>
                <w:sz w:val="14"/>
              </w:rPr>
              <w:t>10.7</w:t>
            </w:r>
          </w:p>
        </w:tc>
        <w:tc>
          <w:tcPr>
            <w:tcW w:w="399" w:type="pct"/>
            <w:noWrap/>
            <w:hideMark/>
          </w:tcPr>
          <w:p w14:paraId="65733E7F" w14:textId="77777777" w:rsidR="00CA7676" w:rsidRPr="00E14EE6" w:rsidRDefault="00CA7676" w:rsidP="00E14EE6">
            <w:pPr>
              <w:jc w:val="right"/>
              <w:rPr>
                <w:sz w:val="14"/>
                <w:szCs w:val="14"/>
              </w:rPr>
            </w:pPr>
            <w:r w:rsidRPr="00E14EE6">
              <w:rPr>
                <w:sz w:val="14"/>
              </w:rPr>
              <w:t>10.1</w:t>
            </w:r>
          </w:p>
        </w:tc>
        <w:tc>
          <w:tcPr>
            <w:tcW w:w="399" w:type="pct"/>
          </w:tcPr>
          <w:p w14:paraId="1131820E" w14:textId="77777777" w:rsidR="00CA7676" w:rsidRPr="00E14EE6" w:rsidRDefault="00CA7676" w:rsidP="00E14EE6">
            <w:pPr>
              <w:jc w:val="right"/>
              <w:rPr>
                <w:sz w:val="14"/>
                <w:szCs w:val="14"/>
              </w:rPr>
            </w:pPr>
            <w:r w:rsidRPr="00E14EE6">
              <w:rPr>
                <w:sz w:val="14"/>
              </w:rPr>
              <w:t>9.9</w:t>
            </w:r>
          </w:p>
        </w:tc>
      </w:tr>
      <w:tr w:rsidR="00CA7676" w:rsidRPr="00E14EE6" w14:paraId="798E6527" w14:textId="77777777" w:rsidTr="00FD6B66">
        <w:trPr>
          <w:cnfStyle w:val="000000010000" w:firstRow="0" w:lastRow="0" w:firstColumn="0" w:lastColumn="0" w:oddVBand="0" w:evenVBand="0" w:oddHBand="0" w:evenHBand="1" w:firstRowFirstColumn="0" w:firstRowLastColumn="0" w:lastRowFirstColumn="0" w:lastRowLastColumn="0"/>
          <w:trHeight w:val="20"/>
        </w:trPr>
        <w:tc>
          <w:tcPr>
            <w:tcW w:w="1411" w:type="pct"/>
            <w:noWrap/>
            <w:hideMark/>
          </w:tcPr>
          <w:p w14:paraId="2CA0B41D" w14:textId="77777777" w:rsidR="00CA7676" w:rsidRPr="00E14EE6" w:rsidRDefault="00CA7676" w:rsidP="00E14EE6">
            <w:pPr>
              <w:jc w:val="left"/>
              <w:rPr>
                <w:sz w:val="14"/>
                <w:szCs w:val="14"/>
              </w:rPr>
            </w:pPr>
            <w:r w:rsidRPr="00E14EE6">
              <w:rPr>
                <w:sz w:val="14"/>
              </w:rPr>
              <w:t>Electricity and water</w:t>
            </w:r>
          </w:p>
        </w:tc>
        <w:tc>
          <w:tcPr>
            <w:tcW w:w="399" w:type="pct"/>
            <w:noWrap/>
            <w:hideMark/>
          </w:tcPr>
          <w:p w14:paraId="2C2A9A0C" w14:textId="77777777" w:rsidR="00CA7676" w:rsidRPr="00E14EE6" w:rsidRDefault="00CA7676" w:rsidP="00E14EE6">
            <w:pPr>
              <w:jc w:val="right"/>
              <w:rPr>
                <w:sz w:val="14"/>
                <w:szCs w:val="14"/>
              </w:rPr>
            </w:pPr>
            <w:r w:rsidRPr="00E14EE6">
              <w:rPr>
                <w:sz w:val="14"/>
              </w:rPr>
              <w:t>1.5</w:t>
            </w:r>
          </w:p>
        </w:tc>
        <w:tc>
          <w:tcPr>
            <w:tcW w:w="399" w:type="pct"/>
            <w:noWrap/>
            <w:hideMark/>
          </w:tcPr>
          <w:p w14:paraId="79648C35" w14:textId="77777777" w:rsidR="00CA7676" w:rsidRPr="00E14EE6" w:rsidRDefault="00CA7676" w:rsidP="00E14EE6">
            <w:pPr>
              <w:jc w:val="right"/>
              <w:rPr>
                <w:sz w:val="14"/>
                <w:szCs w:val="14"/>
              </w:rPr>
            </w:pPr>
            <w:r w:rsidRPr="00E14EE6">
              <w:rPr>
                <w:sz w:val="14"/>
              </w:rPr>
              <w:t>1.4</w:t>
            </w:r>
          </w:p>
        </w:tc>
        <w:tc>
          <w:tcPr>
            <w:tcW w:w="399" w:type="pct"/>
            <w:noWrap/>
            <w:hideMark/>
          </w:tcPr>
          <w:p w14:paraId="2163C2E5" w14:textId="77777777" w:rsidR="00CA7676" w:rsidRPr="00E14EE6" w:rsidRDefault="00CA7676" w:rsidP="00E14EE6">
            <w:pPr>
              <w:jc w:val="right"/>
              <w:rPr>
                <w:sz w:val="14"/>
                <w:szCs w:val="14"/>
              </w:rPr>
            </w:pPr>
            <w:r w:rsidRPr="00E14EE6">
              <w:rPr>
                <w:sz w:val="14"/>
              </w:rPr>
              <w:t>1.7</w:t>
            </w:r>
          </w:p>
        </w:tc>
        <w:tc>
          <w:tcPr>
            <w:tcW w:w="399" w:type="pct"/>
            <w:noWrap/>
            <w:hideMark/>
          </w:tcPr>
          <w:p w14:paraId="0B388590" w14:textId="77777777" w:rsidR="00CA7676" w:rsidRPr="00E14EE6" w:rsidRDefault="00CA7676" w:rsidP="00E14EE6">
            <w:pPr>
              <w:jc w:val="right"/>
              <w:rPr>
                <w:sz w:val="14"/>
                <w:szCs w:val="14"/>
              </w:rPr>
            </w:pPr>
            <w:r w:rsidRPr="00E14EE6">
              <w:rPr>
                <w:sz w:val="14"/>
              </w:rPr>
              <w:t>1.5</w:t>
            </w:r>
          </w:p>
        </w:tc>
        <w:tc>
          <w:tcPr>
            <w:tcW w:w="399" w:type="pct"/>
            <w:noWrap/>
            <w:hideMark/>
          </w:tcPr>
          <w:p w14:paraId="1268ABE6" w14:textId="77777777" w:rsidR="00CA7676" w:rsidRPr="00E14EE6" w:rsidRDefault="00CA7676" w:rsidP="00E14EE6">
            <w:pPr>
              <w:jc w:val="right"/>
              <w:rPr>
                <w:sz w:val="14"/>
                <w:szCs w:val="14"/>
              </w:rPr>
            </w:pPr>
            <w:r w:rsidRPr="00E14EE6">
              <w:rPr>
                <w:sz w:val="14"/>
              </w:rPr>
              <w:t>1.5</w:t>
            </w:r>
          </w:p>
        </w:tc>
        <w:tc>
          <w:tcPr>
            <w:tcW w:w="399" w:type="pct"/>
            <w:noWrap/>
            <w:hideMark/>
          </w:tcPr>
          <w:p w14:paraId="54974E13" w14:textId="77777777" w:rsidR="00CA7676" w:rsidRPr="00E14EE6" w:rsidRDefault="00CA7676" w:rsidP="00E14EE6">
            <w:pPr>
              <w:jc w:val="right"/>
              <w:rPr>
                <w:sz w:val="14"/>
                <w:szCs w:val="14"/>
              </w:rPr>
            </w:pPr>
            <w:r w:rsidRPr="00E14EE6">
              <w:rPr>
                <w:sz w:val="14"/>
              </w:rPr>
              <w:t>1.2</w:t>
            </w:r>
          </w:p>
        </w:tc>
        <w:tc>
          <w:tcPr>
            <w:tcW w:w="399" w:type="pct"/>
            <w:noWrap/>
            <w:hideMark/>
          </w:tcPr>
          <w:p w14:paraId="4B9B1F98" w14:textId="77777777" w:rsidR="00CA7676" w:rsidRPr="00E14EE6" w:rsidRDefault="00CA7676" w:rsidP="00E14EE6">
            <w:pPr>
              <w:jc w:val="right"/>
              <w:rPr>
                <w:sz w:val="14"/>
                <w:szCs w:val="14"/>
              </w:rPr>
            </w:pPr>
            <w:r w:rsidRPr="00E14EE6">
              <w:rPr>
                <w:sz w:val="14"/>
              </w:rPr>
              <w:t>1.4</w:t>
            </w:r>
          </w:p>
        </w:tc>
        <w:tc>
          <w:tcPr>
            <w:tcW w:w="399" w:type="pct"/>
            <w:noWrap/>
            <w:hideMark/>
          </w:tcPr>
          <w:p w14:paraId="1917EB41" w14:textId="77777777" w:rsidR="00CA7676" w:rsidRPr="00E14EE6" w:rsidRDefault="00CA7676" w:rsidP="00E14EE6">
            <w:pPr>
              <w:jc w:val="right"/>
              <w:rPr>
                <w:sz w:val="14"/>
                <w:szCs w:val="14"/>
              </w:rPr>
            </w:pPr>
            <w:r w:rsidRPr="00E14EE6">
              <w:rPr>
                <w:sz w:val="14"/>
              </w:rPr>
              <w:t>1.6</w:t>
            </w:r>
          </w:p>
        </w:tc>
        <w:tc>
          <w:tcPr>
            <w:tcW w:w="399" w:type="pct"/>
          </w:tcPr>
          <w:p w14:paraId="45A8D8B5" w14:textId="77777777" w:rsidR="00CA7676" w:rsidRPr="00E14EE6" w:rsidRDefault="00CA7676" w:rsidP="00E14EE6">
            <w:pPr>
              <w:jc w:val="right"/>
              <w:rPr>
                <w:sz w:val="14"/>
                <w:szCs w:val="14"/>
              </w:rPr>
            </w:pPr>
            <w:r w:rsidRPr="00E14EE6">
              <w:rPr>
                <w:sz w:val="14"/>
              </w:rPr>
              <w:t>1.5</w:t>
            </w:r>
          </w:p>
        </w:tc>
      </w:tr>
      <w:tr w:rsidR="00CA7676" w:rsidRPr="00E14EE6" w14:paraId="1069CBA8" w14:textId="77777777" w:rsidTr="00FD6B66">
        <w:trPr>
          <w:trHeight w:val="20"/>
        </w:trPr>
        <w:tc>
          <w:tcPr>
            <w:tcW w:w="1411" w:type="pct"/>
            <w:noWrap/>
            <w:hideMark/>
          </w:tcPr>
          <w:p w14:paraId="66CB7B5B" w14:textId="77777777" w:rsidR="00CA7676" w:rsidRPr="00E14EE6" w:rsidRDefault="00CA7676" w:rsidP="00E14EE6">
            <w:pPr>
              <w:jc w:val="left"/>
              <w:rPr>
                <w:sz w:val="14"/>
                <w:szCs w:val="14"/>
              </w:rPr>
            </w:pPr>
            <w:r w:rsidRPr="00E14EE6">
              <w:rPr>
                <w:sz w:val="14"/>
              </w:rPr>
              <w:t>Construction</w:t>
            </w:r>
          </w:p>
        </w:tc>
        <w:tc>
          <w:tcPr>
            <w:tcW w:w="399" w:type="pct"/>
            <w:noWrap/>
            <w:hideMark/>
          </w:tcPr>
          <w:p w14:paraId="27484B5F" w14:textId="77777777" w:rsidR="00CA7676" w:rsidRPr="00E14EE6" w:rsidRDefault="00CA7676" w:rsidP="00E14EE6">
            <w:pPr>
              <w:jc w:val="right"/>
              <w:rPr>
                <w:sz w:val="14"/>
                <w:szCs w:val="14"/>
              </w:rPr>
            </w:pPr>
            <w:r w:rsidRPr="00E14EE6">
              <w:rPr>
                <w:sz w:val="14"/>
              </w:rPr>
              <w:t>7.2</w:t>
            </w:r>
          </w:p>
        </w:tc>
        <w:tc>
          <w:tcPr>
            <w:tcW w:w="399" w:type="pct"/>
            <w:noWrap/>
            <w:hideMark/>
          </w:tcPr>
          <w:p w14:paraId="1B8031EA" w14:textId="77777777" w:rsidR="00CA7676" w:rsidRPr="00E14EE6" w:rsidRDefault="00CA7676" w:rsidP="00E14EE6">
            <w:pPr>
              <w:jc w:val="right"/>
              <w:rPr>
                <w:sz w:val="14"/>
                <w:szCs w:val="14"/>
              </w:rPr>
            </w:pPr>
            <w:r w:rsidRPr="00E14EE6">
              <w:rPr>
                <w:sz w:val="14"/>
              </w:rPr>
              <w:t>6.9</w:t>
            </w:r>
          </w:p>
        </w:tc>
        <w:tc>
          <w:tcPr>
            <w:tcW w:w="399" w:type="pct"/>
            <w:noWrap/>
            <w:hideMark/>
          </w:tcPr>
          <w:p w14:paraId="20078C8A" w14:textId="77777777" w:rsidR="00CA7676" w:rsidRPr="00E14EE6" w:rsidRDefault="00CA7676" w:rsidP="00E14EE6">
            <w:pPr>
              <w:jc w:val="right"/>
              <w:rPr>
                <w:sz w:val="14"/>
                <w:szCs w:val="14"/>
              </w:rPr>
            </w:pPr>
            <w:r w:rsidRPr="00E14EE6">
              <w:rPr>
                <w:sz w:val="14"/>
              </w:rPr>
              <w:t>6.9</w:t>
            </w:r>
          </w:p>
        </w:tc>
        <w:tc>
          <w:tcPr>
            <w:tcW w:w="399" w:type="pct"/>
            <w:noWrap/>
            <w:hideMark/>
          </w:tcPr>
          <w:p w14:paraId="5CA75C41" w14:textId="77777777" w:rsidR="00CA7676" w:rsidRPr="00E14EE6" w:rsidRDefault="00CA7676" w:rsidP="00E14EE6">
            <w:pPr>
              <w:jc w:val="right"/>
              <w:rPr>
                <w:sz w:val="14"/>
                <w:szCs w:val="14"/>
              </w:rPr>
            </w:pPr>
            <w:r w:rsidRPr="00E14EE6">
              <w:rPr>
                <w:sz w:val="14"/>
              </w:rPr>
              <w:t>7.7</w:t>
            </w:r>
          </w:p>
        </w:tc>
        <w:tc>
          <w:tcPr>
            <w:tcW w:w="399" w:type="pct"/>
            <w:noWrap/>
            <w:hideMark/>
          </w:tcPr>
          <w:p w14:paraId="1B8B0674" w14:textId="77777777" w:rsidR="00CA7676" w:rsidRPr="00E14EE6" w:rsidRDefault="00CA7676" w:rsidP="00E14EE6">
            <w:pPr>
              <w:jc w:val="right"/>
              <w:rPr>
                <w:sz w:val="14"/>
                <w:szCs w:val="14"/>
              </w:rPr>
            </w:pPr>
            <w:r w:rsidRPr="00E14EE6">
              <w:rPr>
                <w:sz w:val="14"/>
              </w:rPr>
              <w:t>8.1</w:t>
            </w:r>
          </w:p>
        </w:tc>
        <w:tc>
          <w:tcPr>
            <w:tcW w:w="399" w:type="pct"/>
            <w:noWrap/>
            <w:hideMark/>
          </w:tcPr>
          <w:p w14:paraId="3F8345A4" w14:textId="77777777" w:rsidR="00CA7676" w:rsidRPr="00E14EE6" w:rsidRDefault="00CA7676" w:rsidP="00E14EE6">
            <w:pPr>
              <w:jc w:val="right"/>
              <w:rPr>
                <w:sz w:val="14"/>
                <w:szCs w:val="14"/>
              </w:rPr>
            </w:pPr>
            <w:r w:rsidRPr="00E14EE6">
              <w:rPr>
                <w:sz w:val="14"/>
              </w:rPr>
              <w:t>7.4</w:t>
            </w:r>
          </w:p>
        </w:tc>
        <w:tc>
          <w:tcPr>
            <w:tcW w:w="399" w:type="pct"/>
            <w:noWrap/>
            <w:hideMark/>
          </w:tcPr>
          <w:p w14:paraId="2A137295" w14:textId="77777777" w:rsidR="00CA7676" w:rsidRPr="00E14EE6" w:rsidRDefault="00CA7676" w:rsidP="00E14EE6">
            <w:pPr>
              <w:jc w:val="right"/>
              <w:rPr>
                <w:sz w:val="14"/>
                <w:szCs w:val="14"/>
              </w:rPr>
            </w:pPr>
            <w:r w:rsidRPr="00E14EE6">
              <w:rPr>
                <w:sz w:val="14"/>
              </w:rPr>
              <w:t>7.4</w:t>
            </w:r>
          </w:p>
        </w:tc>
        <w:tc>
          <w:tcPr>
            <w:tcW w:w="399" w:type="pct"/>
            <w:noWrap/>
            <w:hideMark/>
          </w:tcPr>
          <w:p w14:paraId="471F74FA" w14:textId="77777777" w:rsidR="00CA7676" w:rsidRPr="00E14EE6" w:rsidRDefault="00CA7676" w:rsidP="00E14EE6">
            <w:pPr>
              <w:jc w:val="right"/>
              <w:rPr>
                <w:sz w:val="14"/>
                <w:szCs w:val="14"/>
              </w:rPr>
            </w:pPr>
            <w:r w:rsidRPr="00E14EE6">
              <w:rPr>
                <w:sz w:val="14"/>
              </w:rPr>
              <w:t>8.6</w:t>
            </w:r>
          </w:p>
        </w:tc>
        <w:tc>
          <w:tcPr>
            <w:tcW w:w="399" w:type="pct"/>
          </w:tcPr>
          <w:p w14:paraId="1CD7732A" w14:textId="77777777" w:rsidR="00CA7676" w:rsidRPr="00E14EE6" w:rsidRDefault="00CA7676" w:rsidP="00E14EE6">
            <w:pPr>
              <w:jc w:val="right"/>
              <w:rPr>
                <w:sz w:val="14"/>
                <w:szCs w:val="14"/>
              </w:rPr>
            </w:pPr>
            <w:r w:rsidRPr="00E14EE6">
              <w:rPr>
                <w:sz w:val="14"/>
              </w:rPr>
              <w:t>8.3</w:t>
            </w:r>
          </w:p>
        </w:tc>
      </w:tr>
      <w:tr w:rsidR="00CA7676" w:rsidRPr="00E14EE6" w14:paraId="05BA475F" w14:textId="77777777" w:rsidTr="00FD6B66">
        <w:trPr>
          <w:cnfStyle w:val="000000010000" w:firstRow="0" w:lastRow="0" w:firstColumn="0" w:lastColumn="0" w:oddVBand="0" w:evenVBand="0" w:oddHBand="0" w:evenHBand="1" w:firstRowFirstColumn="0" w:firstRowLastColumn="0" w:lastRowFirstColumn="0" w:lastRowLastColumn="0"/>
          <w:trHeight w:val="20"/>
        </w:trPr>
        <w:tc>
          <w:tcPr>
            <w:tcW w:w="1411" w:type="pct"/>
            <w:noWrap/>
            <w:hideMark/>
          </w:tcPr>
          <w:p w14:paraId="45B6A4C0" w14:textId="77777777" w:rsidR="00CA7676" w:rsidRPr="00E14EE6" w:rsidRDefault="00CA7676" w:rsidP="00E14EE6">
            <w:pPr>
              <w:jc w:val="left"/>
              <w:rPr>
                <w:sz w:val="14"/>
                <w:szCs w:val="14"/>
              </w:rPr>
            </w:pPr>
            <w:r w:rsidRPr="00E14EE6">
              <w:rPr>
                <w:sz w:val="14"/>
              </w:rPr>
              <w:t>Services</w:t>
            </w:r>
          </w:p>
        </w:tc>
        <w:tc>
          <w:tcPr>
            <w:tcW w:w="399" w:type="pct"/>
            <w:noWrap/>
            <w:hideMark/>
          </w:tcPr>
          <w:p w14:paraId="0ADB46D9" w14:textId="77777777" w:rsidR="00CA7676" w:rsidRPr="00E14EE6" w:rsidRDefault="00CA7676" w:rsidP="00E14EE6">
            <w:pPr>
              <w:jc w:val="right"/>
              <w:rPr>
                <w:sz w:val="14"/>
                <w:szCs w:val="14"/>
              </w:rPr>
            </w:pPr>
            <w:r w:rsidRPr="00E14EE6">
              <w:rPr>
                <w:sz w:val="14"/>
              </w:rPr>
              <w:t>70.2</w:t>
            </w:r>
          </w:p>
        </w:tc>
        <w:tc>
          <w:tcPr>
            <w:tcW w:w="399" w:type="pct"/>
            <w:noWrap/>
            <w:hideMark/>
          </w:tcPr>
          <w:p w14:paraId="1939B84B" w14:textId="77777777" w:rsidR="00CA7676" w:rsidRPr="00E14EE6" w:rsidRDefault="00CA7676" w:rsidP="00E14EE6">
            <w:pPr>
              <w:jc w:val="right"/>
              <w:rPr>
                <w:sz w:val="14"/>
                <w:szCs w:val="14"/>
              </w:rPr>
            </w:pPr>
            <w:r w:rsidRPr="00E14EE6">
              <w:rPr>
                <w:sz w:val="14"/>
              </w:rPr>
              <w:t>71.9</w:t>
            </w:r>
          </w:p>
        </w:tc>
        <w:tc>
          <w:tcPr>
            <w:tcW w:w="399" w:type="pct"/>
            <w:noWrap/>
            <w:hideMark/>
          </w:tcPr>
          <w:p w14:paraId="565FD755" w14:textId="77777777" w:rsidR="00CA7676" w:rsidRPr="00E14EE6" w:rsidRDefault="00CA7676" w:rsidP="00E14EE6">
            <w:pPr>
              <w:jc w:val="right"/>
              <w:rPr>
                <w:sz w:val="14"/>
                <w:szCs w:val="14"/>
              </w:rPr>
            </w:pPr>
            <w:r w:rsidRPr="00E14EE6">
              <w:rPr>
                <w:sz w:val="14"/>
              </w:rPr>
              <w:t>72.1</w:t>
            </w:r>
          </w:p>
        </w:tc>
        <w:tc>
          <w:tcPr>
            <w:tcW w:w="399" w:type="pct"/>
            <w:noWrap/>
            <w:hideMark/>
          </w:tcPr>
          <w:p w14:paraId="35D4B9A9" w14:textId="77777777" w:rsidR="00CA7676" w:rsidRPr="00E14EE6" w:rsidRDefault="00CA7676" w:rsidP="00E14EE6">
            <w:pPr>
              <w:jc w:val="right"/>
              <w:rPr>
                <w:sz w:val="14"/>
                <w:szCs w:val="14"/>
              </w:rPr>
            </w:pPr>
            <w:r w:rsidRPr="00E14EE6">
              <w:rPr>
                <w:sz w:val="14"/>
              </w:rPr>
              <w:t>71.0</w:t>
            </w:r>
          </w:p>
        </w:tc>
        <w:tc>
          <w:tcPr>
            <w:tcW w:w="399" w:type="pct"/>
            <w:noWrap/>
            <w:hideMark/>
          </w:tcPr>
          <w:p w14:paraId="3CE363CF" w14:textId="77777777" w:rsidR="00CA7676" w:rsidRPr="00E14EE6" w:rsidRDefault="00CA7676" w:rsidP="00E14EE6">
            <w:pPr>
              <w:jc w:val="right"/>
              <w:rPr>
                <w:sz w:val="14"/>
                <w:szCs w:val="14"/>
              </w:rPr>
            </w:pPr>
            <w:r w:rsidRPr="00E14EE6">
              <w:rPr>
                <w:sz w:val="14"/>
              </w:rPr>
              <w:t>71.1</w:t>
            </w:r>
          </w:p>
        </w:tc>
        <w:tc>
          <w:tcPr>
            <w:tcW w:w="399" w:type="pct"/>
            <w:noWrap/>
            <w:hideMark/>
          </w:tcPr>
          <w:p w14:paraId="7A78C6C0" w14:textId="77777777" w:rsidR="00CA7676" w:rsidRPr="00E14EE6" w:rsidRDefault="00CA7676" w:rsidP="00E14EE6">
            <w:pPr>
              <w:jc w:val="right"/>
              <w:rPr>
                <w:sz w:val="14"/>
                <w:szCs w:val="14"/>
              </w:rPr>
            </w:pPr>
            <w:r w:rsidRPr="00E14EE6">
              <w:rPr>
                <w:sz w:val="14"/>
              </w:rPr>
              <w:t>72.4</w:t>
            </w:r>
          </w:p>
        </w:tc>
        <w:tc>
          <w:tcPr>
            <w:tcW w:w="399" w:type="pct"/>
            <w:noWrap/>
            <w:hideMark/>
          </w:tcPr>
          <w:p w14:paraId="066DA9B1" w14:textId="77777777" w:rsidR="00CA7676" w:rsidRPr="00E14EE6" w:rsidRDefault="00CA7676" w:rsidP="00E14EE6">
            <w:pPr>
              <w:jc w:val="right"/>
              <w:rPr>
                <w:sz w:val="14"/>
                <w:szCs w:val="14"/>
              </w:rPr>
            </w:pPr>
            <w:r w:rsidRPr="00E14EE6">
              <w:rPr>
                <w:sz w:val="14"/>
              </w:rPr>
              <w:t>71.6</w:t>
            </w:r>
          </w:p>
        </w:tc>
        <w:tc>
          <w:tcPr>
            <w:tcW w:w="399" w:type="pct"/>
            <w:noWrap/>
            <w:hideMark/>
          </w:tcPr>
          <w:p w14:paraId="38139B2E" w14:textId="77777777" w:rsidR="00CA7676" w:rsidRPr="00E14EE6" w:rsidRDefault="00CA7676" w:rsidP="00E14EE6">
            <w:pPr>
              <w:jc w:val="right"/>
              <w:rPr>
                <w:sz w:val="14"/>
                <w:szCs w:val="14"/>
              </w:rPr>
            </w:pPr>
            <w:r w:rsidRPr="00E14EE6">
              <w:rPr>
                <w:sz w:val="14"/>
              </w:rPr>
              <w:t>71.7</w:t>
            </w:r>
          </w:p>
        </w:tc>
        <w:tc>
          <w:tcPr>
            <w:tcW w:w="399" w:type="pct"/>
          </w:tcPr>
          <w:p w14:paraId="6335102C" w14:textId="77777777" w:rsidR="00CA7676" w:rsidRPr="00E14EE6" w:rsidRDefault="00CA7676" w:rsidP="00E14EE6">
            <w:pPr>
              <w:jc w:val="right"/>
              <w:rPr>
                <w:sz w:val="14"/>
                <w:szCs w:val="14"/>
              </w:rPr>
            </w:pPr>
            <w:r w:rsidRPr="00E14EE6">
              <w:rPr>
                <w:sz w:val="14"/>
              </w:rPr>
              <w:t>72.4</w:t>
            </w:r>
          </w:p>
        </w:tc>
      </w:tr>
      <w:tr w:rsidR="00CA7676" w:rsidRPr="00E14EE6" w14:paraId="470D2B2C" w14:textId="77777777" w:rsidTr="00FD6B66">
        <w:trPr>
          <w:trHeight w:val="20"/>
        </w:trPr>
        <w:tc>
          <w:tcPr>
            <w:tcW w:w="1411" w:type="pct"/>
            <w:noWrap/>
            <w:hideMark/>
          </w:tcPr>
          <w:p w14:paraId="5650C3C1" w14:textId="77777777" w:rsidR="00CA7676" w:rsidRPr="00E14EE6" w:rsidRDefault="00CA7676" w:rsidP="00E14EE6">
            <w:pPr>
              <w:ind w:left="113"/>
              <w:jc w:val="left"/>
              <w:rPr>
                <w:sz w:val="14"/>
                <w:szCs w:val="14"/>
              </w:rPr>
            </w:pPr>
            <w:r w:rsidRPr="00E14EE6">
              <w:rPr>
                <w:sz w:val="14"/>
              </w:rPr>
              <w:t>Commerce</w:t>
            </w:r>
          </w:p>
        </w:tc>
        <w:tc>
          <w:tcPr>
            <w:tcW w:w="399" w:type="pct"/>
            <w:noWrap/>
            <w:hideMark/>
          </w:tcPr>
          <w:p w14:paraId="73729E73" w14:textId="77777777" w:rsidR="00CA7676" w:rsidRPr="00E14EE6" w:rsidRDefault="00CA7676" w:rsidP="00E14EE6">
            <w:pPr>
              <w:jc w:val="right"/>
              <w:rPr>
                <w:sz w:val="14"/>
                <w:szCs w:val="14"/>
              </w:rPr>
            </w:pPr>
            <w:r w:rsidRPr="00E14EE6">
              <w:rPr>
                <w:sz w:val="14"/>
              </w:rPr>
              <w:t>20.6</w:t>
            </w:r>
          </w:p>
        </w:tc>
        <w:tc>
          <w:tcPr>
            <w:tcW w:w="399" w:type="pct"/>
            <w:noWrap/>
            <w:hideMark/>
          </w:tcPr>
          <w:p w14:paraId="0F358BBB" w14:textId="77777777" w:rsidR="00CA7676" w:rsidRPr="00E14EE6" w:rsidRDefault="00CA7676" w:rsidP="00E14EE6">
            <w:pPr>
              <w:jc w:val="right"/>
              <w:rPr>
                <w:sz w:val="14"/>
                <w:szCs w:val="14"/>
              </w:rPr>
            </w:pPr>
            <w:r w:rsidRPr="00E14EE6">
              <w:rPr>
                <w:sz w:val="14"/>
              </w:rPr>
              <w:t>20.0</w:t>
            </w:r>
          </w:p>
        </w:tc>
        <w:tc>
          <w:tcPr>
            <w:tcW w:w="399" w:type="pct"/>
            <w:noWrap/>
            <w:hideMark/>
          </w:tcPr>
          <w:p w14:paraId="143E326B" w14:textId="77777777" w:rsidR="00CA7676" w:rsidRPr="00E14EE6" w:rsidRDefault="00CA7676" w:rsidP="00E14EE6">
            <w:pPr>
              <w:jc w:val="right"/>
              <w:rPr>
                <w:sz w:val="14"/>
                <w:szCs w:val="14"/>
              </w:rPr>
            </w:pPr>
            <w:r w:rsidRPr="00E14EE6">
              <w:rPr>
                <w:sz w:val="14"/>
              </w:rPr>
              <w:t>19.9</w:t>
            </w:r>
          </w:p>
        </w:tc>
        <w:tc>
          <w:tcPr>
            <w:tcW w:w="399" w:type="pct"/>
            <w:noWrap/>
            <w:hideMark/>
          </w:tcPr>
          <w:p w14:paraId="3120F02A" w14:textId="77777777" w:rsidR="00CA7676" w:rsidRPr="00E14EE6" w:rsidRDefault="00CA7676" w:rsidP="00E14EE6">
            <w:pPr>
              <w:jc w:val="right"/>
              <w:rPr>
                <w:sz w:val="14"/>
                <w:szCs w:val="14"/>
              </w:rPr>
            </w:pPr>
            <w:r w:rsidRPr="00E14EE6">
              <w:rPr>
                <w:sz w:val="14"/>
              </w:rPr>
              <w:t>19.6</w:t>
            </w:r>
          </w:p>
        </w:tc>
        <w:tc>
          <w:tcPr>
            <w:tcW w:w="399" w:type="pct"/>
            <w:noWrap/>
            <w:hideMark/>
          </w:tcPr>
          <w:p w14:paraId="57AA4510" w14:textId="77777777" w:rsidR="00CA7676" w:rsidRPr="00E14EE6" w:rsidRDefault="00CA7676" w:rsidP="00E14EE6">
            <w:pPr>
              <w:jc w:val="right"/>
              <w:rPr>
                <w:sz w:val="14"/>
                <w:szCs w:val="14"/>
              </w:rPr>
            </w:pPr>
            <w:r w:rsidRPr="00E14EE6">
              <w:rPr>
                <w:sz w:val="14"/>
              </w:rPr>
              <w:t>20.0</w:t>
            </w:r>
          </w:p>
        </w:tc>
        <w:tc>
          <w:tcPr>
            <w:tcW w:w="399" w:type="pct"/>
            <w:noWrap/>
            <w:hideMark/>
          </w:tcPr>
          <w:p w14:paraId="3A284D6E" w14:textId="77777777" w:rsidR="00CA7676" w:rsidRPr="00E14EE6" w:rsidRDefault="00CA7676" w:rsidP="00E14EE6">
            <w:pPr>
              <w:jc w:val="right"/>
              <w:rPr>
                <w:sz w:val="14"/>
                <w:szCs w:val="14"/>
              </w:rPr>
            </w:pPr>
            <w:r w:rsidRPr="00E14EE6">
              <w:rPr>
                <w:sz w:val="14"/>
              </w:rPr>
              <w:t>20.4</w:t>
            </w:r>
          </w:p>
        </w:tc>
        <w:tc>
          <w:tcPr>
            <w:tcW w:w="399" w:type="pct"/>
            <w:noWrap/>
            <w:hideMark/>
          </w:tcPr>
          <w:p w14:paraId="372F4DE7" w14:textId="77777777" w:rsidR="00CA7676" w:rsidRPr="00E14EE6" w:rsidRDefault="00CA7676" w:rsidP="00E14EE6">
            <w:pPr>
              <w:jc w:val="right"/>
              <w:rPr>
                <w:sz w:val="14"/>
                <w:szCs w:val="14"/>
              </w:rPr>
            </w:pPr>
            <w:r w:rsidRPr="00E14EE6">
              <w:rPr>
                <w:sz w:val="14"/>
              </w:rPr>
              <w:t>20.8</w:t>
            </w:r>
          </w:p>
        </w:tc>
        <w:tc>
          <w:tcPr>
            <w:tcW w:w="399" w:type="pct"/>
            <w:noWrap/>
            <w:hideMark/>
          </w:tcPr>
          <w:p w14:paraId="2CCC61B3" w14:textId="77777777" w:rsidR="00CA7676" w:rsidRPr="00E14EE6" w:rsidRDefault="00CA7676" w:rsidP="00E14EE6">
            <w:pPr>
              <w:jc w:val="right"/>
              <w:rPr>
                <w:sz w:val="14"/>
                <w:szCs w:val="14"/>
              </w:rPr>
            </w:pPr>
            <w:r w:rsidRPr="00E14EE6">
              <w:rPr>
                <w:sz w:val="14"/>
              </w:rPr>
              <w:t>20.7</w:t>
            </w:r>
          </w:p>
        </w:tc>
        <w:tc>
          <w:tcPr>
            <w:tcW w:w="399" w:type="pct"/>
          </w:tcPr>
          <w:p w14:paraId="37CCCE25" w14:textId="77777777" w:rsidR="00CA7676" w:rsidRPr="00E14EE6" w:rsidRDefault="00CA7676" w:rsidP="00E14EE6">
            <w:pPr>
              <w:jc w:val="right"/>
              <w:rPr>
                <w:sz w:val="14"/>
                <w:szCs w:val="14"/>
              </w:rPr>
            </w:pPr>
            <w:r w:rsidRPr="00E14EE6">
              <w:rPr>
                <w:sz w:val="14"/>
              </w:rPr>
              <w:t>21.2</w:t>
            </w:r>
          </w:p>
        </w:tc>
      </w:tr>
      <w:tr w:rsidR="00CA7676" w:rsidRPr="00E14EE6" w14:paraId="5611318B" w14:textId="77777777" w:rsidTr="00FD6B66">
        <w:trPr>
          <w:cnfStyle w:val="000000010000" w:firstRow="0" w:lastRow="0" w:firstColumn="0" w:lastColumn="0" w:oddVBand="0" w:evenVBand="0" w:oddHBand="0" w:evenHBand="1" w:firstRowFirstColumn="0" w:firstRowLastColumn="0" w:lastRowFirstColumn="0" w:lastRowLastColumn="0"/>
          <w:trHeight w:val="20"/>
        </w:trPr>
        <w:tc>
          <w:tcPr>
            <w:tcW w:w="1411" w:type="pct"/>
            <w:noWrap/>
            <w:hideMark/>
          </w:tcPr>
          <w:p w14:paraId="5F3E06A2" w14:textId="77777777" w:rsidR="00CA7676" w:rsidRPr="00E14EE6" w:rsidRDefault="00CA7676" w:rsidP="00E14EE6">
            <w:pPr>
              <w:ind w:left="113"/>
              <w:jc w:val="left"/>
              <w:rPr>
                <w:sz w:val="14"/>
                <w:szCs w:val="14"/>
              </w:rPr>
            </w:pPr>
            <w:r w:rsidRPr="00E14EE6">
              <w:rPr>
                <w:sz w:val="14"/>
              </w:rPr>
              <w:t>Hotels, bars and restaurants</w:t>
            </w:r>
          </w:p>
        </w:tc>
        <w:tc>
          <w:tcPr>
            <w:tcW w:w="399" w:type="pct"/>
            <w:noWrap/>
            <w:hideMark/>
          </w:tcPr>
          <w:p w14:paraId="699151E9" w14:textId="77777777" w:rsidR="00CA7676" w:rsidRPr="00E14EE6" w:rsidRDefault="00CA7676" w:rsidP="00E14EE6">
            <w:pPr>
              <w:jc w:val="right"/>
              <w:rPr>
                <w:sz w:val="14"/>
                <w:szCs w:val="14"/>
              </w:rPr>
            </w:pPr>
            <w:r w:rsidRPr="00E14EE6">
              <w:rPr>
                <w:sz w:val="14"/>
              </w:rPr>
              <w:t>7.0</w:t>
            </w:r>
          </w:p>
        </w:tc>
        <w:tc>
          <w:tcPr>
            <w:tcW w:w="399" w:type="pct"/>
            <w:noWrap/>
            <w:hideMark/>
          </w:tcPr>
          <w:p w14:paraId="0700486A" w14:textId="77777777" w:rsidR="00CA7676" w:rsidRPr="00E14EE6" w:rsidRDefault="00CA7676" w:rsidP="00E14EE6">
            <w:pPr>
              <w:jc w:val="right"/>
              <w:rPr>
                <w:sz w:val="14"/>
                <w:szCs w:val="14"/>
              </w:rPr>
            </w:pPr>
            <w:r w:rsidRPr="00E14EE6">
              <w:rPr>
                <w:sz w:val="14"/>
              </w:rPr>
              <w:t>7.9</w:t>
            </w:r>
          </w:p>
        </w:tc>
        <w:tc>
          <w:tcPr>
            <w:tcW w:w="399" w:type="pct"/>
            <w:noWrap/>
            <w:hideMark/>
          </w:tcPr>
          <w:p w14:paraId="30E6CC25" w14:textId="77777777" w:rsidR="00CA7676" w:rsidRPr="00E14EE6" w:rsidRDefault="00CA7676" w:rsidP="00E14EE6">
            <w:pPr>
              <w:jc w:val="right"/>
              <w:rPr>
                <w:sz w:val="14"/>
                <w:szCs w:val="14"/>
              </w:rPr>
            </w:pPr>
            <w:r w:rsidRPr="00E14EE6">
              <w:rPr>
                <w:sz w:val="14"/>
              </w:rPr>
              <w:t>7.5</w:t>
            </w:r>
          </w:p>
        </w:tc>
        <w:tc>
          <w:tcPr>
            <w:tcW w:w="399" w:type="pct"/>
            <w:noWrap/>
            <w:hideMark/>
          </w:tcPr>
          <w:p w14:paraId="213285C7" w14:textId="77777777" w:rsidR="00CA7676" w:rsidRPr="00E14EE6" w:rsidRDefault="00CA7676" w:rsidP="00E14EE6">
            <w:pPr>
              <w:jc w:val="right"/>
              <w:rPr>
                <w:sz w:val="14"/>
                <w:szCs w:val="14"/>
              </w:rPr>
            </w:pPr>
            <w:r w:rsidRPr="00E14EE6">
              <w:rPr>
                <w:sz w:val="14"/>
              </w:rPr>
              <w:t>7.6</w:t>
            </w:r>
          </w:p>
        </w:tc>
        <w:tc>
          <w:tcPr>
            <w:tcW w:w="399" w:type="pct"/>
            <w:noWrap/>
            <w:hideMark/>
          </w:tcPr>
          <w:p w14:paraId="2A42F112" w14:textId="77777777" w:rsidR="00CA7676" w:rsidRPr="00E14EE6" w:rsidRDefault="00CA7676" w:rsidP="00E14EE6">
            <w:pPr>
              <w:jc w:val="right"/>
              <w:rPr>
                <w:sz w:val="14"/>
                <w:szCs w:val="14"/>
              </w:rPr>
            </w:pPr>
            <w:r w:rsidRPr="00E14EE6">
              <w:rPr>
                <w:sz w:val="14"/>
              </w:rPr>
              <w:t>7.1</w:t>
            </w:r>
          </w:p>
        </w:tc>
        <w:tc>
          <w:tcPr>
            <w:tcW w:w="399" w:type="pct"/>
            <w:noWrap/>
            <w:hideMark/>
          </w:tcPr>
          <w:p w14:paraId="652707D8" w14:textId="77777777" w:rsidR="00CA7676" w:rsidRPr="00E14EE6" w:rsidRDefault="00CA7676" w:rsidP="00E14EE6">
            <w:pPr>
              <w:jc w:val="right"/>
              <w:rPr>
                <w:sz w:val="14"/>
                <w:szCs w:val="14"/>
              </w:rPr>
            </w:pPr>
            <w:r w:rsidRPr="00E14EE6">
              <w:rPr>
                <w:sz w:val="14"/>
              </w:rPr>
              <w:t>7.4</w:t>
            </w:r>
          </w:p>
        </w:tc>
        <w:tc>
          <w:tcPr>
            <w:tcW w:w="399" w:type="pct"/>
            <w:noWrap/>
            <w:hideMark/>
          </w:tcPr>
          <w:p w14:paraId="2564CE2D" w14:textId="77777777" w:rsidR="00CA7676" w:rsidRPr="00E14EE6" w:rsidRDefault="00CA7676" w:rsidP="00E14EE6">
            <w:pPr>
              <w:jc w:val="right"/>
              <w:rPr>
                <w:sz w:val="14"/>
                <w:szCs w:val="14"/>
              </w:rPr>
            </w:pPr>
            <w:r w:rsidRPr="00E14EE6">
              <w:rPr>
                <w:sz w:val="14"/>
              </w:rPr>
              <w:t>6.5</w:t>
            </w:r>
          </w:p>
        </w:tc>
        <w:tc>
          <w:tcPr>
            <w:tcW w:w="399" w:type="pct"/>
            <w:noWrap/>
            <w:hideMark/>
          </w:tcPr>
          <w:p w14:paraId="27464C9F" w14:textId="77777777" w:rsidR="00CA7676" w:rsidRPr="00E14EE6" w:rsidRDefault="00CA7676" w:rsidP="00E14EE6">
            <w:pPr>
              <w:jc w:val="right"/>
              <w:rPr>
                <w:sz w:val="14"/>
                <w:szCs w:val="14"/>
              </w:rPr>
            </w:pPr>
            <w:r w:rsidRPr="00E14EE6">
              <w:rPr>
                <w:sz w:val="14"/>
              </w:rPr>
              <w:t>6.8</w:t>
            </w:r>
          </w:p>
        </w:tc>
        <w:tc>
          <w:tcPr>
            <w:tcW w:w="399" w:type="pct"/>
          </w:tcPr>
          <w:p w14:paraId="4EF6330C" w14:textId="77777777" w:rsidR="00CA7676" w:rsidRPr="00E14EE6" w:rsidRDefault="00CA7676" w:rsidP="00E14EE6">
            <w:pPr>
              <w:jc w:val="right"/>
              <w:rPr>
                <w:sz w:val="14"/>
                <w:szCs w:val="14"/>
              </w:rPr>
            </w:pPr>
            <w:r w:rsidRPr="00E14EE6">
              <w:rPr>
                <w:sz w:val="14"/>
              </w:rPr>
              <w:t>7.4</w:t>
            </w:r>
          </w:p>
        </w:tc>
      </w:tr>
      <w:tr w:rsidR="00CA7676" w:rsidRPr="00E14EE6" w14:paraId="08F63F39" w14:textId="77777777" w:rsidTr="00FD6B66">
        <w:trPr>
          <w:trHeight w:val="20"/>
        </w:trPr>
        <w:tc>
          <w:tcPr>
            <w:tcW w:w="1411" w:type="pct"/>
            <w:noWrap/>
            <w:hideMark/>
          </w:tcPr>
          <w:p w14:paraId="6CA687B2" w14:textId="77777777" w:rsidR="00CA7676" w:rsidRPr="00E14EE6" w:rsidRDefault="00CA7676" w:rsidP="00E14EE6">
            <w:pPr>
              <w:ind w:left="113"/>
              <w:jc w:val="left"/>
              <w:rPr>
                <w:sz w:val="14"/>
                <w:szCs w:val="14"/>
              </w:rPr>
            </w:pPr>
            <w:r w:rsidRPr="00E14EE6">
              <w:rPr>
                <w:sz w:val="14"/>
              </w:rPr>
              <w:t>Transport and communications</w:t>
            </w:r>
          </w:p>
        </w:tc>
        <w:tc>
          <w:tcPr>
            <w:tcW w:w="399" w:type="pct"/>
            <w:noWrap/>
            <w:hideMark/>
          </w:tcPr>
          <w:p w14:paraId="4BB0AE93" w14:textId="77777777" w:rsidR="00CA7676" w:rsidRPr="00E14EE6" w:rsidRDefault="00CA7676" w:rsidP="00E14EE6">
            <w:pPr>
              <w:jc w:val="right"/>
              <w:rPr>
                <w:sz w:val="14"/>
                <w:szCs w:val="14"/>
              </w:rPr>
            </w:pPr>
            <w:r w:rsidRPr="00E14EE6">
              <w:rPr>
                <w:sz w:val="14"/>
              </w:rPr>
              <w:t>7.4</w:t>
            </w:r>
          </w:p>
        </w:tc>
        <w:tc>
          <w:tcPr>
            <w:tcW w:w="399" w:type="pct"/>
            <w:noWrap/>
            <w:hideMark/>
          </w:tcPr>
          <w:p w14:paraId="5426216E" w14:textId="77777777" w:rsidR="00CA7676" w:rsidRPr="00E14EE6" w:rsidRDefault="00CA7676" w:rsidP="00E14EE6">
            <w:pPr>
              <w:jc w:val="right"/>
              <w:rPr>
                <w:sz w:val="14"/>
                <w:szCs w:val="14"/>
              </w:rPr>
            </w:pPr>
            <w:r w:rsidRPr="00E14EE6">
              <w:rPr>
                <w:sz w:val="14"/>
              </w:rPr>
              <w:t>7.6</w:t>
            </w:r>
          </w:p>
        </w:tc>
        <w:tc>
          <w:tcPr>
            <w:tcW w:w="399" w:type="pct"/>
            <w:noWrap/>
            <w:hideMark/>
          </w:tcPr>
          <w:p w14:paraId="55DD659B" w14:textId="77777777" w:rsidR="00CA7676" w:rsidRPr="00E14EE6" w:rsidRDefault="00CA7676" w:rsidP="00E14EE6">
            <w:pPr>
              <w:jc w:val="right"/>
              <w:rPr>
                <w:sz w:val="14"/>
                <w:szCs w:val="14"/>
              </w:rPr>
            </w:pPr>
            <w:r w:rsidRPr="00E14EE6">
              <w:rPr>
                <w:sz w:val="14"/>
              </w:rPr>
              <w:t>7.8</w:t>
            </w:r>
          </w:p>
        </w:tc>
        <w:tc>
          <w:tcPr>
            <w:tcW w:w="399" w:type="pct"/>
            <w:noWrap/>
            <w:hideMark/>
          </w:tcPr>
          <w:p w14:paraId="298FD3AF" w14:textId="77777777" w:rsidR="00CA7676" w:rsidRPr="00E14EE6" w:rsidRDefault="00CA7676" w:rsidP="00E14EE6">
            <w:pPr>
              <w:jc w:val="right"/>
              <w:rPr>
                <w:sz w:val="14"/>
                <w:szCs w:val="14"/>
              </w:rPr>
            </w:pPr>
            <w:r w:rsidRPr="00E14EE6">
              <w:rPr>
                <w:sz w:val="14"/>
              </w:rPr>
              <w:t>7.6</w:t>
            </w:r>
          </w:p>
        </w:tc>
        <w:tc>
          <w:tcPr>
            <w:tcW w:w="399" w:type="pct"/>
            <w:noWrap/>
            <w:hideMark/>
          </w:tcPr>
          <w:p w14:paraId="0DB8BB64" w14:textId="77777777" w:rsidR="00CA7676" w:rsidRPr="00E14EE6" w:rsidRDefault="00CA7676" w:rsidP="00E14EE6">
            <w:pPr>
              <w:jc w:val="right"/>
              <w:rPr>
                <w:sz w:val="14"/>
                <w:szCs w:val="14"/>
              </w:rPr>
            </w:pPr>
            <w:r w:rsidRPr="00E14EE6">
              <w:rPr>
                <w:sz w:val="14"/>
              </w:rPr>
              <w:t>7.4</w:t>
            </w:r>
          </w:p>
        </w:tc>
        <w:tc>
          <w:tcPr>
            <w:tcW w:w="399" w:type="pct"/>
            <w:noWrap/>
            <w:hideMark/>
          </w:tcPr>
          <w:p w14:paraId="02F9A481" w14:textId="77777777" w:rsidR="00CA7676" w:rsidRPr="00E14EE6" w:rsidRDefault="00CA7676" w:rsidP="00E14EE6">
            <w:pPr>
              <w:jc w:val="right"/>
              <w:rPr>
                <w:sz w:val="14"/>
                <w:szCs w:val="14"/>
              </w:rPr>
            </w:pPr>
            <w:r w:rsidRPr="00E14EE6">
              <w:rPr>
                <w:sz w:val="14"/>
              </w:rPr>
              <w:t>7.0</w:t>
            </w:r>
          </w:p>
        </w:tc>
        <w:tc>
          <w:tcPr>
            <w:tcW w:w="399" w:type="pct"/>
            <w:noWrap/>
            <w:hideMark/>
          </w:tcPr>
          <w:p w14:paraId="3E288CAE" w14:textId="77777777" w:rsidR="00CA7676" w:rsidRPr="00E14EE6" w:rsidRDefault="00CA7676" w:rsidP="00E14EE6">
            <w:pPr>
              <w:jc w:val="right"/>
              <w:rPr>
                <w:sz w:val="14"/>
                <w:szCs w:val="14"/>
              </w:rPr>
            </w:pPr>
            <w:r w:rsidRPr="00E14EE6">
              <w:rPr>
                <w:sz w:val="14"/>
              </w:rPr>
              <w:t>7.8</w:t>
            </w:r>
          </w:p>
        </w:tc>
        <w:tc>
          <w:tcPr>
            <w:tcW w:w="399" w:type="pct"/>
            <w:noWrap/>
            <w:hideMark/>
          </w:tcPr>
          <w:p w14:paraId="34A9C24F" w14:textId="77777777" w:rsidR="00CA7676" w:rsidRPr="00E14EE6" w:rsidRDefault="00CA7676" w:rsidP="00E14EE6">
            <w:pPr>
              <w:jc w:val="right"/>
              <w:rPr>
                <w:sz w:val="14"/>
                <w:szCs w:val="14"/>
              </w:rPr>
            </w:pPr>
            <w:r w:rsidRPr="00E14EE6">
              <w:rPr>
                <w:sz w:val="14"/>
              </w:rPr>
              <w:t>7.6</w:t>
            </w:r>
          </w:p>
        </w:tc>
        <w:tc>
          <w:tcPr>
            <w:tcW w:w="399" w:type="pct"/>
          </w:tcPr>
          <w:p w14:paraId="6F902C09" w14:textId="77777777" w:rsidR="00CA7676" w:rsidRPr="00E14EE6" w:rsidRDefault="00CA7676" w:rsidP="00E14EE6">
            <w:pPr>
              <w:jc w:val="right"/>
              <w:rPr>
                <w:sz w:val="14"/>
                <w:szCs w:val="14"/>
              </w:rPr>
            </w:pPr>
            <w:r w:rsidRPr="00E14EE6">
              <w:rPr>
                <w:sz w:val="14"/>
              </w:rPr>
              <w:t>7.0</w:t>
            </w:r>
          </w:p>
        </w:tc>
      </w:tr>
      <w:tr w:rsidR="00CA7676" w:rsidRPr="00E14EE6" w14:paraId="354137EA" w14:textId="77777777" w:rsidTr="00FD6B66">
        <w:trPr>
          <w:cnfStyle w:val="000000010000" w:firstRow="0" w:lastRow="0" w:firstColumn="0" w:lastColumn="0" w:oddVBand="0" w:evenVBand="0" w:oddHBand="0" w:evenHBand="1" w:firstRowFirstColumn="0" w:firstRowLastColumn="0" w:lastRowFirstColumn="0" w:lastRowLastColumn="0"/>
          <w:trHeight w:val="20"/>
        </w:trPr>
        <w:tc>
          <w:tcPr>
            <w:tcW w:w="1411" w:type="pct"/>
            <w:noWrap/>
            <w:hideMark/>
          </w:tcPr>
          <w:p w14:paraId="69E41B30" w14:textId="77777777" w:rsidR="00CA7676" w:rsidRPr="00E14EE6" w:rsidRDefault="00CA7676" w:rsidP="00E14EE6">
            <w:pPr>
              <w:ind w:left="113"/>
              <w:jc w:val="left"/>
              <w:rPr>
                <w:sz w:val="14"/>
                <w:szCs w:val="14"/>
              </w:rPr>
            </w:pPr>
            <w:r w:rsidRPr="00E14EE6">
              <w:rPr>
                <w:sz w:val="14"/>
              </w:rPr>
              <w:t>Financial intermediation and insurance</w:t>
            </w:r>
          </w:p>
        </w:tc>
        <w:tc>
          <w:tcPr>
            <w:tcW w:w="399" w:type="pct"/>
            <w:noWrap/>
            <w:hideMark/>
          </w:tcPr>
          <w:p w14:paraId="6EF3E417" w14:textId="77777777" w:rsidR="00CA7676" w:rsidRPr="00E14EE6" w:rsidRDefault="00CA7676" w:rsidP="00E14EE6">
            <w:pPr>
              <w:jc w:val="right"/>
              <w:rPr>
                <w:sz w:val="14"/>
                <w:szCs w:val="14"/>
              </w:rPr>
            </w:pPr>
            <w:r w:rsidRPr="00E14EE6">
              <w:rPr>
                <w:sz w:val="14"/>
              </w:rPr>
              <w:t>2.0</w:t>
            </w:r>
          </w:p>
        </w:tc>
        <w:tc>
          <w:tcPr>
            <w:tcW w:w="399" w:type="pct"/>
            <w:noWrap/>
            <w:hideMark/>
          </w:tcPr>
          <w:p w14:paraId="1D823687" w14:textId="77777777" w:rsidR="00CA7676" w:rsidRPr="00E14EE6" w:rsidRDefault="00CA7676" w:rsidP="00E14EE6">
            <w:pPr>
              <w:jc w:val="right"/>
              <w:rPr>
                <w:sz w:val="14"/>
                <w:szCs w:val="14"/>
              </w:rPr>
            </w:pPr>
            <w:r w:rsidRPr="00E14EE6">
              <w:rPr>
                <w:sz w:val="14"/>
              </w:rPr>
              <w:t>2.2</w:t>
            </w:r>
          </w:p>
        </w:tc>
        <w:tc>
          <w:tcPr>
            <w:tcW w:w="399" w:type="pct"/>
            <w:noWrap/>
            <w:hideMark/>
          </w:tcPr>
          <w:p w14:paraId="27728960" w14:textId="77777777" w:rsidR="00CA7676" w:rsidRPr="00E14EE6" w:rsidRDefault="00CA7676" w:rsidP="00E14EE6">
            <w:pPr>
              <w:jc w:val="right"/>
              <w:rPr>
                <w:sz w:val="14"/>
                <w:szCs w:val="14"/>
              </w:rPr>
            </w:pPr>
            <w:r w:rsidRPr="00E14EE6">
              <w:rPr>
                <w:sz w:val="14"/>
              </w:rPr>
              <w:t>2.4</w:t>
            </w:r>
          </w:p>
        </w:tc>
        <w:tc>
          <w:tcPr>
            <w:tcW w:w="399" w:type="pct"/>
            <w:noWrap/>
            <w:hideMark/>
          </w:tcPr>
          <w:p w14:paraId="700CE16B" w14:textId="77777777" w:rsidR="00CA7676" w:rsidRPr="00E14EE6" w:rsidRDefault="00CA7676" w:rsidP="00E14EE6">
            <w:pPr>
              <w:jc w:val="right"/>
              <w:rPr>
                <w:sz w:val="14"/>
                <w:szCs w:val="14"/>
              </w:rPr>
            </w:pPr>
            <w:r w:rsidRPr="00E14EE6">
              <w:rPr>
                <w:sz w:val="14"/>
              </w:rPr>
              <w:t>2.2</w:t>
            </w:r>
          </w:p>
        </w:tc>
        <w:tc>
          <w:tcPr>
            <w:tcW w:w="399" w:type="pct"/>
            <w:noWrap/>
            <w:hideMark/>
          </w:tcPr>
          <w:p w14:paraId="3930B2E4" w14:textId="77777777" w:rsidR="00CA7676" w:rsidRPr="00E14EE6" w:rsidRDefault="00CA7676" w:rsidP="00E14EE6">
            <w:pPr>
              <w:jc w:val="right"/>
              <w:rPr>
                <w:sz w:val="14"/>
                <w:szCs w:val="14"/>
              </w:rPr>
            </w:pPr>
            <w:r w:rsidRPr="00E14EE6">
              <w:rPr>
                <w:sz w:val="14"/>
              </w:rPr>
              <w:t>2.4</w:t>
            </w:r>
          </w:p>
        </w:tc>
        <w:tc>
          <w:tcPr>
            <w:tcW w:w="399" w:type="pct"/>
            <w:noWrap/>
            <w:hideMark/>
          </w:tcPr>
          <w:p w14:paraId="1C4BB9C2" w14:textId="77777777" w:rsidR="00CA7676" w:rsidRPr="00E14EE6" w:rsidRDefault="00CA7676" w:rsidP="00E14EE6">
            <w:pPr>
              <w:jc w:val="right"/>
              <w:rPr>
                <w:sz w:val="14"/>
                <w:szCs w:val="14"/>
              </w:rPr>
            </w:pPr>
            <w:r w:rsidRPr="00E14EE6">
              <w:rPr>
                <w:sz w:val="14"/>
              </w:rPr>
              <w:t>2.5</w:t>
            </w:r>
          </w:p>
        </w:tc>
        <w:tc>
          <w:tcPr>
            <w:tcW w:w="399" w:type="pct"/>
            <w:noWrap/>
            <w:hideMark/>
          </w:tcPr>
          <w:p w14:paraId="202214A8" w14:textId="77777777" w:rsidR="00CA7676" w:rsidRPr="00E14EE6" w:rsidRDefault="00CA7676" w:rsidP="00E14EE6">
            <w:pPr>
              <w:jc w:val="right"/>
              <w:rPr>
                <w:sz w:val="14"/>
                <w:szCs w:val="14"/>
              </w:rPr>
            </w:pPr>
            <w:r w:rsidRPr="00E14EE6">
              <w:rPr>
                <w:sz w:val="14"/>
              </w:rPr>
              <w:t>2.2</w:t>
            </w:r>
          </w:p>
        </w:tc>
        <w:tc>
          <w:tcPr>
            <w:tcW w:w="399" w:type="pct"/>
            <w:noWrap/>
            <w:hideMark/>
          </w:tcPr>
          <w:p w14:paraId="567F27F4" w14:textId="77777777" w:rsidR="00CA7676" w:rsidRPr="00E14EE6" w:rsidRDefault="00CA7676" w:rsidP="00E14EE6">
            <w:pPr>
              <w:jc w:val="right"/>
              <w:rPr>
                <w:sz w:val="14"/>
                <w:szCs w:val="14"/>
              </w:rPr>
            </w:pPr>
            <w:r w:rsidRPr="00E14EE6">
              <w:rPr>
                <w:sz w:val="14"/>
              </w:rPr>
              <w:t>2.3</w:t>
            </w:r>
          </w:p>
        </w:tc>
        <w:tc>
          <w:tcPr>
            <w:tcW w:w="399" w:type="pct"/>
          </w:tcPr>
          <w:p w14:paraId="672C9AF3" w14:textId="77777777" w:rsidR="00CA7676" w:rsidRPr="00E14EE6" w:rsidRDefault="00CA7676" w:rsidP="00E14EE6">
            <w:pPr>
              <w:jc w:val="right"/>
              <w:rPr>
                <w:sz w:val="14"/>
                <w:szCs w:val="14"/>
              </w:rPr>
            </w:pPr>
            <w:r w:rsidRPr="00E14EE6">
              <w:rPr>
                <w:sz w:val="14"/>
              </w:rPr>
              <w:t>2.2</w:t>
            </w:r>
          </w:p>
        </w:tc>
      </w:tr>
      <w:tr w:rsidR="00CA7676" w:rsidRPr="00E14EE6" w14:paraId="3F2B9F4D" w14:textId="77777777" w:rsidTr="00FD6B66">
        <w:trPr>
          <w:trHeight w:val="20"/>
        </w:trPr>
        <w:tc>
          <w:tcPr>
            <w:tcW w:w="1411" w:type="pct"/>
            <w:noWrap/>
            <w:hideMark/>
          </w:tcPr>
          <w:p w14:paraId="220AEB78" w14:textId="77777777" w:rsidR="00CA7676" w:rsidRPr="00E14EE6" w:rsidRDefault="00CA7676" w:rsidP="00E14EE6">
            <w:pPr>
              <w:ind w:left="113"/>
              <w:jc w:val="left"/>
              <w:rPr>
                <w:sz w:val="14"/>
                <w:szCs w:val="14"/>
              </w:rPr>
            </w:pPr>
            <w:r w:rsidRPr="00E14EE6">
              <w:rPr>
                <w:sz w:val="14"/>
              </w:rPr>
              <w:t>Public administration and defence</w:t>
            </w:r>
          </w:p>
        </w:tc>
        <w:tc>
          <w:tcPr>
            <w:tcW w:w="399" w:type="pct"/>
            <w:noWrap/>
            <w:hideMark/>
          </w:tcPr>
          <w:p w14:paraId="17F81DCF" w14:textId="77777777" w:rsidR="00CA7676" w:rsidRPr="00E14EE6" w:rsidRDefault="00CA7676" w:rsidP="00E14EE6">
            <w:pPr>
              <w:jc w:val="right"/>
              <w:rPr>
                <w:sz w:val="14"/>
                <w:szCs w:val="14"/>
              </w:rPr>
            </w:pPr>
            <w:r w:rsidRPr="00E14EE6">
              <w:rPr>
                <w:sz w:val="14"/>
              </w:rPr>
              <w:t>6.0</w:t>
            </w:r>
          </w:p>
        </w:tc>
        <w:tc>
          <w:tcPr>
            <w:tcW w:w="399" w:type="pct"/>
            <w:noWrap/>
            <w:hideMark/>
          </w:tcPr>
          <w:p w14:paraId="249C3F0E" w14:textId="77777777" w:rsidR="00CA7676" w:rsidRPr="00E14EE6" w:rsidRDefault="00CA7676" w:rsidP="00E14EE6">
            <w:pPr>
              <w:jc w:val="right"/>
              <w:rPr>
                <w:sz w:val="14"/>
                <w:szCs w:val="14"/>
              </w:rPr>
            </w:pPr>
            <w:r w:rsidRPr="00E14EE6">
              <w:rPr>
                <w:sz w:val="14"/>
              </w:rPr>
              <w:t>5.5</w:t>
            </w:r>
          </w:p>
        </w:tc>
        <w:tc>
          <w:tcPr>
            <w:tcW w:w="399" w:type="pct"/>
            <w:noWrap/>
            <w:hideMark/>
          </w:tcPr>
          <w:p w14:paraId="192BC00C" w14:textId="77777777" w:rsidR="00CA7676" w:rsidRPr="00E14EE6" w:rsidRDefault="00CA7676" w:rsidP="00E14EE6">
            <w:pPr>
              <w:jc w:val="right"/>
              <w:rPr>
                <w:sz w:val="14"/>
                <w:szCs w:val="14"/>
              </w:rPr>
            </w:pPr>
            <w:r w:rsidRPr="00E14EE6">
              <w:rPr>
                <w:sz w:val="14"/>
              </w:rPr>
              <w:t>5.3</w:t>
            </w:r>
          </w:p>
        </w:tc>
        <w:tc>
          <w:tcPr>
            <w:tcW w:w="399" w:type="pct"/>
            <w:noWrap/>
            <w:hideMark/>
          </w:tcPr>
          <w:p w14:paraId="3E735C88" w14:textId="77777777" w:rsidR="00CA7676" w:rsidRPr="00E14EE6" w:rsidRDefault="00CA7676" w:rsidP="00E14EE6">
            <w:pPr>
              <w:jc w:val="right"/>
              <w:rPr>
                <w:sz w:val="14"/>
                <w:szCs w:val="14"/>
              </w:rPr>
            </w:pPr>
            <w:r w:rsidRPr="00E14EE6">
              <w:rPr>
                <w:sz w:val="14"/>
              </w:rPr>
              <w:t>4.9</w:t>
            </w:r>
          </w:p>
        </w:tc>
        <w:tc>
          <w:tcPr>
            <w:tcW w:w="399" w:type="pct"/>
            <w:noWrap/>
            <w:hideMark/>
          </w:tcPr>
          <w:p w14:paraId="6AB1B4E1" w14:textId="77777777" w:rsidR="00CA7676" w:rsidRPr="00E14EE6" w:rsidRDefault="00CA7676" w:rsidP="00E14EE6">
            <w:pPr>
              <w:jc w:val="right"/>
              <w:rPr>
                <w:sz w:val="14"/>
                <w:szCs w:val="14"/>
              </w:rPr>
            </w:pPr>
            <w:r w:rsidRPr="00E14EE6">
              <w:rPr>
                <w:sz w:val="14"/>
              </w:rPr>
              <w:t>5.0</w:t>
            </w:r>
          </w:p>
        </w:tc>
        <w:tc>
          <w:tcPr>
            <w:tcW w:w="399" w:type="pct"/>
            <w:noWrap/>
            <w:hideMark/>
          </w:tcPr>
          <w:p w14:paraId="3E751606" w14:textId="77777777" w:rsidR="00CA7676" w:rsidRPr="00E14EE6" w:rsidRDefault="00CA7676" w:rsidP="00E14EE6">
            <w:pPr>
              <w:jc w:val="right"/>
              <w:rPr>
                <w:sz w:val="14"/>
                <w:szCs w:val="14"/>
              </w:rPr>
            </w:pPr>
            <w:r w:rsidRPr="00E14EE6">
              <w:rPr>
                <w:sz w:val="14"/>
              </w:rPr>
              <w:t>5.4</w:t>
            </w:r>
          </w:p>
        </w:tc>
        <w:tc>
          <w:tcPr>
            <w:tcW w:w="399" w:type="pct"/>
            <w:noWrap/>
            <w:hideMark/>
          </w:tcPr>
          <w:p w14:paraId="2CDAA871" w14:textId="77777777" w:rsidR="00CA7676" w:rsidRPr="00E14EE6" w:rsidRDefault="00CA7676" w:rsidP="00E14EE6">
            <w:pPr>
              <w:jc w:val="right"/>
              <w:rPr>
                <w:sz w:val="14"/>
                <w:szCs w:val="14"/>
              </w:rPr>
            </w:pPr>
            <w:r w:rsidRPr="00E14EE6">
              <w:rPr>
                <w:sz w:val="14"/>
              </w:rPr>
              <w:t>5.9</w:t>
            </w:r>
          </w:p>
        </w:tc>
        <w:tc>
          <w:tcPr>
            <w:tcW w:w="399" w:type="pct"/>
            <w:noWrap/>
            <w:hideMark/>
          </w:tcPr>
          <w:p w14:paraId="5B7CBCBC" w14:textId="77777777" w:rsidR="00CA7676" w:rsidRPr="00E14EE6" w:rsidRDefault="00CA7676" w:rsidP="00E14EE6">
            <w:pPr>
              <w:jc w:val="right"/>
              <w:rPr>
                <w:sz w:val="14"/>
                <w:szCs w:val="14"/>
              </w:rPr>
            </w:pPr>
            <w:r w:rsidRPr="00E14EE6">
              <w:rPr>
                <w:sz w:val="14"/>
              </w:rPr>
              <w:t>5.6</w:t>
            </w:r>
          </w:p>
        </w:tc>
        <w:tc>
          <w:tcPr>
            <w:tcW w:w="399" w:type="pct"/>
          </w:tcPr>
          <w:p w14:paraId="5B614F4A" w14:textId="77777777" w:rsidR="00CA7676" w:rsidRPr="00E14EE6" w:rsidRDefault="00CA7676" w:rsidP="00E14EE6">
            <w:pPr>
              <w:jc w:val="right"/>
              <w:rPr>
                <w:sz w:val="14"/>
                <w:szCs w:val="14"/>
              </w:rPr>
            </w:pPr>
            <w:r w:rsidRPr="00E14EE6">
              <w:rPr>
                <w:sz w:val="14"/>
              </w:rPr>
              <w:t>5.7</w:t>
            </w:r>
          </w:p>
        </w:tc>
      </w:tr>
      <w:tr w:rsidR="00CA7676" w:rsidRPr="00E14EE6" w14:paraId="18725B30" w14:textId="77777777" w:rsidTr="00FD6B66">
        <w:trPr>
          <w:cnfStyle w:val="000000010000" w:firstRow="0" w:lastRow="0" w:firstColumn="0" w:lastColumn="0" w:oddVBand="0" w:evenVBand="0" w:oddHBand="0" w:evenHBand="1" w:firstRowFirstColumn="0" w:firstRowLastColumn="0" w:lastRowFirstColumn="0" w:lastRowLastColumn="0"/>
          <w:trHeight w:val="20"/>
        </w:trPr>
        <w:tc>
          <w:tcPr>
            <w:tcW w:w="1411" w:type="pct"/>
            <w:noWrap/>
            <w:hideMark/>
          </w:tcPr>
          <w:p w14:paraId="078B2983" w14:textId="77777777" w:rsidR="00CA7676" w:rsidRPr="00E14EE6" w:rsidRDefault="00CA7676" w:rsidP="00E14EE6">
            <w:pPr>
              <w:ind w:left="113"/>
              <w:jc w:val="left"/>
              <w:rPr>
                <w:sz w:val="14"/>
                <w:szCs w:val="14"/>
              </w:rPr>
            </w:pPr>
            <w:r w:rsidRPr="00E14EE6">
              <w:rPr>
                <w:sz w:val="14"/>
              </w:rPr>
              <w:t>Education</w:t>
            </w:r>
          </w:p>
        </w:tc>
        <w:tc>
          <w:tcPr>
            <w:tcW w:w="399" w:type="pct"/>
            <w:noWrap/>
            <w:hideMark/>
          </w:tcPr>
          <w:p w14:paraId="00C44695" w14:textId="77777777" w:rsidR="00CA7676" w:rsidRPr="00E14EE6" w:rsidRDefault="00CA7676" w:rsidP="00E14EE6">
            <w:pPr>
              <w:jc w:val="right"/>
              <w:rPr>
                <w:sz w:val="14"/>
                <w:szCs w:val="14"/>
              </w:rPr>
            </w:pPr>
            <w:r w:rsidRPr="00E14EE6">
              <w:rPr>
                <w:sz w:val="14"/>
              </w:rPr>
              <w:t>5.4</w:t>
            </w:r>
          </w:p>
        </w:tc>
        <w:tc>
          <w:tcPr>
            <w:tcW w:w="399" w:type="pct"/>
            <w:noWrap/>
            <w:hideMark/>
          </w:tcPr>
          <w:p w14:paraId="04D47A41" w14:textId="77777777" w:rsidR="00CA7676" w:rsidRPr="00E14EE6" w:rsidRDefault="00CA7676" w:rsidP="00E14EE6">
            <w:pPr>
              <w:jc w:val="right"/>
              <w:rPr>
                <w:sz w:val="14"/>
                <w:szCs w:val="14"/>
              </w:rPr>
            </w:pPr>
            <w:r w:rsidRPr="00E14EE6">
              <w:rPr>
                <w:sz w:val="14"/>
              </w:rPr>
              <w:t>6.0</w:t>
            </w:r>
          </w:p>
        </w:tc>
        <w:tc>
          <w:tcPr>
            <w:tcW w:w="399" w:type="pct"/>
            <w:noWrap/>
            <w:hideMark/>
          </w:tcPr>
          <w:p w14:paraId="6662C4F6" w14:textId="77777777" w:rsidR="00CA7676" w:rsidRPr="00E14EE6" w:rsidRDefault="00CA7676" w:rsidP="00E14EE6">
            <w:pPr>
              <w:jc w:val="right"/>
              <w:rPr>
                <w:sz w:val="14"/>
                <w:szCs w:val="14"/>
              </w:rPr>
            </w:pPr>
            <w:r w:rsidRPr="00E14EE6">
              <w:rPr>
                <w:sz w:val="14"/>
              </w:rPr>
              <w:t>6.0</w:t>
            </w:r>
          </w:p>
        </w:tc>
        <w:tc>
          <w:tcPr>
            <w:tcW w:w="399" w:type="pct"/>
            <w:noWrap/>
            <w:hideMark/>
          </w:tcPr>
          <w:p w14:paraId="762B034A" w14:textId="77777777" w:rsidR="00CA7676" w:rsidRPr="00E14EE6" w:rsidRDefault="00CA7676" w:rsidP="00E14EE6">
            <w:pPr>
              <w:jc w:val="right"/>
              <w:rPr>
                <w:sz w:val="14"/>
                <w:szCs w:val="14"/>
              </w:rPr>
            </w:pPr>
            <w:r w:rsidRPr="00E14EE6">
              <w:rPr>
                <w:sz w:val="14"/>
              </w:rPr>
              <w:t>6.2</w:t>
            </w:r>
          </w:p>
        </w:tc>
        <w:tc>
          <w:tcPr>
            <w:tcW w:w="399" w:type="pct"/>
            <w:noWrap/>
            <w:hideMark/>
          </w:tcPr>
          <w:p w14:paraId="6B2A1A60" w14:textId="77777777" w:rsidR="00CA7676" w:rsidRPr="00E14EE6" w:rsidRDefault="00CA7676" w:rsidP="00E14EE6">
            <w:pPr>
              <w:jc w:val="right"/>
              <w:rPr>
                <w:sz w:val="14"/>
                <w:szCs w:val="14"/>
              </w:rPr>
            </w:pPr>
            <w:r w:rsidRPr="00E14EE6">
              <w:rPr>
                <w:sz w:val="14"/>
              </w:rPr>
              <w:t>6.2</w:t>
            </w:r>
          </w:p>
        </w:tc>
        <w:tc>
          <w:tcPr>
            <w:tcW w:w="399" w:type="pct"/>
            <w:noWrap/>
            <w:hideMark/>
          </w:tcPr>
          <w:p w14:paraId="4942D5AD" w14:textId="77777777" w:rsidR="00CA7676" w:rsidRPr="00E14EE6" w:rsidRDefault="00CA7676" w:rsidP="00E14EE6">
            <w:pPr>
              <w:jc w:val="right"/>
              <w:rPr>
                <w:sz w:val="14"/>
                <w:szCs w:val="14"/>
              </w:rPr>
            </w:pPr>
            <w:r w:rsidRPr="00E14EE6">
              <w:rPr>
                <w:sz w:val="14"/>
              </w:rPr>
              <w:t>5.8</w:t>
            </w:r>
          </w:p>
        </w:tc>
        <w:tc>
          <w:tcPr>
            <w:tcW w:w="399" w:type="pct"/>
            <w:noWrap/>
            <w:hideMark/>
          </w:tcPr>
          <w:p w14:paraId="240C30FB" w14:textId="77777777" w:rsidR="00CA7676" w:rsidRPr="00E14EE6" w:rsidRDefault="00CA7676" w:rsidP="00E14EE6">
            <w:pPr>
              <w:jc w:val="right"/>
              <w:rPr>
                <w:sz w:val="14"/>
                <w:szCs w:val="14"/>
              </w:rPr>
            </w:pPr>
            <w:r w:rsidRPr="00E14EE6">
              <w:rPr>
                <w:sz w:val="14"/>
              </w:rPr>
              <w:t>5.9</w:t>
            </w:r>
          </w:p>
        </w:tc>
        <w:tc>
          <w:tcPr>
            <w:tcW w:w="399" w:type="pct"/>
            <w:noWrap/>
            <w:hideMark/>
          </w:tcPr>
          <w:p w14:paraId="02BFCC94" w14:textId="77777777" w:rsidR="00CA7676" w:rsidRPr="00E14EE6" w:rsidRDefault="00CA7676" w:rsidP="00E14EE6">
            <w:pPr>
              <w:jc w:val="right"/>
              <w:rPr>
                <w:sz w:val="14"/>
                <w:szCs w:val="14"/>
              </w:rPr>
            </w:pPr>
            <w:r w:rsidRPr="00E14EE6">
              <w:rPr>
                <w:sz w:val="14"/>
              </w:rPr>
              <w:t>5.9</w:t>
            </w:r>
          </w:p>
        </w:tc>
        <w:tc>
          <w:tcPr>
            <w:tcW w:w="399" w:type="pct"/>
          </w:tcPr>
          <w:p w14:paraId="1317F082" w14:textId="77777777" w:rsidR="00CA7676" w:rsidRPr="00E14EE6" w:rsidRDefault="00CA7676" w:rsidP="00E14EE6">
            <w:pPr>
              <w:jc w:val="right"/>
              <w:rPr>
                <w:sz w:val="14"/>
                <w:szCs w:val="14"/>
              </w:rPr>
            </w:pPr>
            <w:r w:rsidRPr="00E14EE6">
              <w:rPr>
                <w:sz w:val="14"/>
              </w:rPr>
              <w:t>5.7</w:t>
            </w:r>
          </w:p>
        </w:tc>
      </w:tr>
      <w:tr w:rsidR="00CA7676" w:rsidRPr="00E14EE6" w14:paraId="7E899422" w14:textId="77777777" w:rsidTr="00FD6B66">
        <w:trPr>
          <w:trHeight w:val="20"/>
        </w:trPr>
        <w:tc>
          <w:tcPr>
            <w:tcW w:w="1411" w:type="pct"/>
            <w:noWrap/>
            <w:hideMark/>
          </w:tcPr>
          <w:p w14:paraId="7620EE24" w14:textId="77777777" w:rsidR="00CA7676" w:rsidRPr="00E14EE6" w:rsidRDefault="00CA7676" w:rsidP="00E14EE6">
            <w:pPr>
              <w:ind w:left="113"/>
              <w:jc w:val="left"/>
              <w:rPr>
                <w:sz w:val="14"/>
                <w:szCs w:val="14"/>
              </w:rPr>
            </w:pPr>
            <w:r w:rsidRPr="00E14EE6">
              <w:rPr>
                <w:sz w:val="14"/>
              </w:rPr>
              <w:t>Health and social welfare</w:t>
            </w:r>
          </w:p>
        </w:tc>
        <w:tc>
          <w:tcPr>
            <w:tcW w:w="399" w:type="pct"/>
            <w:noWrap/>
            <w:hideMark/>
          </w:tcPr>
          <w:p w14:paraId="685CD3A3" w14:textId="77777777" w:rsidR="00CA7676" w:rsidRPr="00E14EE6" w:rsidRDefault="00CA7676" w:rsidP="00E14EE6">
            <w:pPr>
              <w:jc w:val="right"/>
              <w:rPr>
                <w:sz w:val="14"/>
                <w:szCs w:val="14"/>
              </w:rPr>
            </w:pPr>
            <w:r w:rsidRPr="00E14EE6">
              <w:rPr>
                <w:sz w:val="14"/>
              </w:rPr>
              <w:t>3.4</w:t>
            </w:r>
          </w:p>
        </w:tc>
        <w:tc>
          <w:tcPr>
            <w:tcW w:w="399" w:type="pct"/>
            <w:noWrap/>
            <w:hideMark/>
          </w:tcPr>
          <w:p w14:paraId="4C2FF818" w14:textId="77777777" w:rsidR="00CA7676" w:rsidRPr="00E14EE6" w:rsidRDefault="00CA7676" w:rsidP="00E14EE6">
            <w:pPr>
              <w:jc w:val="right"/>
              <w:rPr>
                <w:sz w:val="14"/>
                <w:szCs w:val="14"/>
              </w:rPr>
            </w:pPr>
            <w:r w:rsidRPr="00E14EE6">
              <w:rPr>
                <w:sz w:val="14"/>
              </w:rPr>
              <w:t>3.5</w:t>
            </w:r>
          </w:p>
        </w:tc>
        <w:tc>
          <w:tcPr>
            <w:tcW w:w="399" w:type="pct"/>
            <w:noWrap/>
            <w:hideMark/>
          </w:tcPr>
          <w:p w14:paraId="674D8F6D" w14:textId="77777777" w:rsidR="00CA7676" w:rsidRPr="00E14EE6" w:rsidRDefault="00CA7676" w:rsidP="00E14EE6">
            <w:pPr>
              <w:jc w:val="right"/>
              <w:rPr>
                <w:sz w:val="14"/>
                <w:szCs w:val="14"/>
              </w:rPr>
            </w:pPr>
            <w:r w:rsidRPr="00E14EE6">
              <w:rPr>
                <w:sz w:val="14"/>
              </w:rPr>
              <w:t>3.6</w:t>
            </w:r>
          </w:p>
        </w:tc>
        <w:tc>
          <w:tcPr>
            <w:tcW w:w="399" w:type="pct"/>
            <w:noWrap/>
            <w:hideMark/>
          </w:tcPr>
          <w:p w14:paraId="25843938" w14:textId="77777777" w:rsidR="00CA7676" w:rsidRPr="00E14EE6" w:rsidRDefault="00CA7676" w:rsidP="00E14EE6">
            <w:pPr>
              <w:jc w:val="right"/>
              <w:rPr>
                <w:sz w:val="14"/>
                <w:szCs w:val="14"/>
              </w:rPr>
            </w:pPr>
            <w:r w:rsidRPr="00E14EE6">
              <w:rPr>
                <w:sz w:val="14"/>
              </w:rPr>
              <w:t>3.8</w:t>
            </w:r>
          </w:p>
        </w:tc>
        <w:tc>
          <w:tcPr>
            <w:tcW w:w="399" w:type="pct"/>
            <w:noWrap/>
            <w:hideMark/>
          </w:tcPr>
          <w:p w14:paraId="5C93CD0B" w14:textId="77777777" w:rsidR="00CA7676" w:rsidRPr="00E14EE6" w:rsidRDefault="00CA7676" w:rsidP="00E14EE6">
            <w:pPr>
              <w:jc w:val="right"/>
              <w:rPr>
                <w:sz w:val="14"/>
                <w:szCs w:val="14"/>
              </w:rPr>
            </w:pPr>
            <w:r w:rsidRPr="00E14EE6">
              <w:rPr>
                <w:sz w:val="14"/>
              </w:rPr>
              <w:t>4.0</w:t>
            </w:r>
          </w:p>
        </w:tc>
        <w:tc>
          <w:tcPr>
            <w:tcW w:w="399" w:type="pct"/>
            <w:noWrap/>
            <w:hideMark/>
          </w:tcPr>
          <w:p w14:paraId="2D2E0593" w14:textId="77777777" w:rsidR="00CA7676" w:rsidRPr="00E14EE6" w:rsidRDefault="00CA7676" w:rsidP="00E14EE6">
            <w:pPr>
              <w:jc w:val="right"/>
              <w:rPr>
                <w:sz w:val="14"/>
                <w:szCs w:val="14"/>
              </w:rPr>
            </w:pPr>
            <w:r w:rsidRPr="00E14EE6">
              <w:rPr>
                <w:sz w:val="14"/>
              </w:rPr>
              <w:t>4.1</w:t>
            </w:r>
          </w:p>
        </w:tc>
        <w:tc>
          <w:tcPr>
            <w:tcW w:w="399" w:type="pct"/>
            <w:noWrap/>
            <w:hideMark/>
          </w:tcPr>
          <w:p w14:paraId="5998A56D" w14:textId="77777777" w:rsidR="00CA7676" w:rsidRPr="00E14EE6" w:rsidRDefault="00CA7676" w:rsidP="00E14EE6">
            <w:pPr>
              <w:jc w:val="right"/>
              <w:rPr>
                <w:sz w:val="14"/>
                <w:szCs w:val="14"/>
              </w:rPr>
            </w:pPr>
            <w:r w:rsidRPr="00E14EE6">
              <w:rPr>
                <w:sz w:val="14"/>
              </w:rPr>
              <w:t>4.1</w:t>
            </w:r>
          </w:p>
        </w:tc>
        <w:tc>
          <w:tcPr>
            <w:tcW w:w="399" w:type="pct"/>
            <w:noWrap/>
            <w:hideMark/>
          </w:tcPr>
          <w:p w14:paraId="500F3C4F" w14:textId="77777777" w:rsidR="00CA7676" w:rsidRPr="00E14EE6" w:rsidRDefault="00CA7676" w:rsidP="00E14EE6">
            <w:pPr>
              <w:jc w:val="right"/>
              <w:rPr>
                <w:sz w:val="14"/>
                <w:szCs w:val="14"/>
              </w:rPr>
            </w:pPr>
            <w:r w:rsidRPr="00E14EE6">
              <w:rPr>
                <w:sz w:val="14"/>
              </w:rPr>
              <w:t>3.9</w:t>
            </w:r>
          </w:p>
        </w:tc>
        <w:tc>
          <w:tcPr>
            <w:tcW w:w="399" w:type="pct"/>
          </w:tcPr>
          <w:p w14:paraId="73898A3F" w14:textId="77777777" w:rsidR="00CA7676" w:rsidRPr="00E14EE6" w:rsidRDefault="00CA7676" w:rsidP="00E14EE6">
            <w:pPr>
              <w:jc w:val="right"/>
              <w:rPr>
                <w:sz w:val="14"/>
                <w:szCs w:val="14"/>
              </w:rPr>
            </w:pPr>
            <w:r w:rsidRPr="00E14EE6">
              <w:rPr>
                <w:sz w:val="14"/>
              </w:rPr>
              <w:t>4.2</w:t>
            </w:r>
          </w:p>
        </w:tc>
      </w:tr>
      <w:tr w:rsidR="00CA7676" w:rsidRPr="00E14EE6" w14:paraId="18AE0552" w14:textId="77777777" w:rsidTr="00FD6B66">
        <w:trPr>
          <w:cnfStyle w:val="000000010000" w:firstRow="0" w:lastRow="0" w:firstColumn="0" w:lastColumn="0" w:oddVBand="0" w:evenVBand="0" w:oddHBand="0" w:evenHBand="1" w:firstRowFirstColumn="0" w:firstRowLastColumn="0" w:lastRowFirstColumn="0" w:lastRowLastColumn="0"/>
          <w:trHeight w:val="20"/>
        </w:trPr>
        <w:tc>
          <w:tcPr>
            <w:tcW w:w="1411" w:type="pct"/>
            <w:noWrap/>
            <w:hideMark/>
          </w:tcPr>
          <w:p w14:paraId="7F04E94A" w14:textId="77777777" w:rsidR="00CA7676" w:rsidRPr="00E14EE6" w:rsidRDefault="00CA7676" w:rsidP="00E14EE6">
            <w:pPr>
              <w:ind w:left="113"/>
              <w:jc w:val="left"/>
              <w:rPr>
                <w:sz w:val="14"/>
                <w:szCs w:val="14"/>
              </w:rPr>
            </w:pPr>
            <w:r w:rsidRPr="00E14EE6">
              <w:rPr>
                <w:sz w:val="14"/>
              </w:rPr>
              <w:t>Other services</w:t>
            </w:r>
          </w:p>
        </w:tc>
        <w:tc>
          <w:tcPr>
            <w:tcW w:w="399" w:type="pct"/>
            <w:noWrap/>
            <w:hideMark/>
          </w:tcPr>
          <w:p w14:paraId="7A76AF58" w14:textId="77777777" w:rsidR="00CA7676" w:rsidRPr="00E14EE6" w:rsidRDefault="00CA7676" w:rsidP="00E14EE6">
            <w:pPr>
              <w:jc w:val="right"/>
              <w:rPr>
                <w:sz w:val="14"/>
                <w:szCs w:val="14"/>
              </w:rPr>
            </w:pPr>
            <w:r w:rsidRPr="00E14EE6">
              <w:rPr>
                <w:sz w:val="14"/>
              </w:rPr>
              <w:t>18.3</w:t>
            </w:r>
          </w:p>
        </w:tc>
        <w:tc>
          <w:tcPr>
            <w:tcW w:w="399" w:type="pct"/>
            <w:noWrap/>
            <w:hideMark/>
          </w:tcPr>
          <w:p w14:paraId="3631BFBA" w14:textId="77777777" w:rsidR="00CA7676" w:rsidRPr="00E14EE6" w:rsidRDefault="00CA7676" w:rsidP="00E14EE6">
            <w:pPr>
              <w:jc w:val="right"/>
              <w:rPr>
                <w:sz w:val="14"/>
                <w:szCs w:val="14"/>
              </w:rPr>
            </w:pPr>
            <w:r w:rsidRPr="00E14EE6">
              <w:rPr>
                <w:sz w:val="14"/>
              </w:rPr>
              <w:t>19.3</w:t>
            </w:r>
          </w:p>
        </w:tc>
        <w:tc>
          <w:tcPr>
            <w:tcW w:w="399" w:type="pct"/>
            <w:noWrap/>
            <w:hideMark/>
          </w:tcPr>
          <w:p w14:paraId="2D9506AE" w14:textId="77777777" w:rsidR="00CA7676" w:rsidRPr="00E14EE6" w:rsidRDefault="00CA7676" w:rsidP="00E14EE6">
            <w:pPr>
              <w:jc w:val="right"/>
              <w:rPr>
                <w:sz w:val="14"/>
                <w:szCs w:val="14"/>
              </w:rPr>
            </w:pPr>
            <w:r w:rsidRPr="00E14EE6">
              <w:rPr>
                <w:sz w:val="14"/>
              </w:rPr>
              <w:t>19.6</w:t>
            </w:r>
          </w:p>
        </w:tc>
        <w:tc>
          <w:tcPr>
            <w:tcW w:w="399" w:type="pct"/>
            <w:noWrap/>
            <w:hideMark/>
          </w:tcPr>
          <w:p w14:paraId="492E1F52" w14:textId="77777777" w:rsidR="00CA7676" w:rsidRPr="00E14EE6" w:rsidRDefault="00CA7676" w:rsidP="00E14EE6">
            <w:pPr>
              <w:jc w:val="right"/>
              <w:rPr>
                <w:sz w:val="14"/>
                <w:szCs w:val="14"/>
              </w:rPr>
            </w:pPr>
            <w:r w:rsidRPr="00E14EE6">
              <w:rPr>
                <w:sz w:val="14"/>
              </w:rPr>
              <w:t>19.1</w:t>
            </w:r>
          </w:p>
        </w:tc>
        <w:tc>
          <w:tcPr>
            <w:tcW w:w="399" w:type="pct"/>
            <w:noWrap/>
            <w:hideMark/>
          </w:tcPr>
          <w:p w14:paraId="09746C07" w14:textId="77777777" w:rsidR="00CA7676" w:rsidRPr="00E14EE6" w:rsidRDefault="00CA7676" w:rsidP="00E14EE6">
            <w:pPr>
              <w:jc w:val="right"/>
              <w:rPr>
                <w:sz w:val="14"/>
                <w:szCs w:val="14"/>
              </w:rPr>
            </w:pPr>
            <w:r w:rsidRPr="00E14EE6">
              <w:rPr>
                <w:sz w:val="14"/>
              </w:rPr>
              <w:t>19.0</w:t>
            </w:r>
          </w:p>
        </w:tc>
        <w:tc>
          <w:tcPr>
            <w:tcW w:w="399" w:type="pct"/>
            <w:noWrap/>
            <w:hideMark/>
          </w:tcPr>
          <w:p w14:paraId="5260F6D9" w14:textId="77777777" w:rsidR="00CA7676" w:rsidRPr="00E14EE6" w:rsidRDefault="00CA7676" w:rsidP="00E14EE6">
            <w:pPr>
              <w:jc w:val="right"/>
              <w:rPr>
                <w:sz w:val="14"/>
                <w:szCs w:val="14"/>
              </w:rPr>
            </w:pPr>
            <w:r w:rsidRPr="00E14EE6">
              <w:rPr>
                <w:sz w:val="14"/>
              </w:rPr>
              <w:t>19.7</w:t>
            </w:r>
          </w:p>
        </w:tc>
        <w:tc>
          <w:tcPr>
            <w:tcW w:w="399" w:type="pct"/>
            <w:noWrap/>
            <w:hideMark/>
          </w:tcPr>
          <w:p w14:paraId="6CEAC669" w14:textId="77777777" w:rsidR="00CA7676" w:rsidRPr="00E14EE6" w:rsidRDefault="00CA7676" w:rsidP="00E14EE6">
            <w:pPr>
              <w:jc w:val="right"/>
              <w:rPr>
                <w:sz w:val="14"/>
                <w:szCs w:val="14"/>
              </w:rPr>
            </w:pPr>
            <w:r w:rsidRPr="00E14EE6">
              <w:rPr>
                <w:sz w:val="14"/>
              </w:rPr>
              <w:t>18.2</w:t>
            </w:r>
          </w:p>
        </w:tc>
        <w:tc>
          <w:tcPr>
            <w:tcW w:w="399" w:type="pct"/>
            <w:noWrap/>
            <w:hideMark/>
          </w:tcPr>
          <w:p w14:paraId="05CA9359" w14:textId="77777777" w:rsidR="00CA7676" w:rsidRPr="00E14EE6" w:rsidRDefault="00CA7676" w:rsidP="00E14EE6">
            <w:pPr>
              <w:jc w:val="right"/>
              <w:rPr>
                <w:sz w:val="14"/>
                <w:szCs w:val="14"/>
              </w:rPr>
            </w:pPr>
            <w:r w:rsidRPr="00E14EE6">
              <w:rPr>
                <w:sz w:val="14"/>
              </w:rPr>
              <w:t>19.0</w:t>
            </w:r>
          </w:p>
        </w:tc>
        <w:tc>
          <w:tcPr>
            <w:tcW w:w="399" w:type="pct"/>
          </w:tcPr>
          <w:p w14:paraId="478371B5" w14:textId="77777777" w:rsidR="00CA7676" w:rsidRPr="00E14EE6" w:rsidRDefault="00CA7676" w:rsidP="00E14EE6">
            <w:pPr>
              <w:jc w:val="right"/>
              <w:rPr>
                <w:sz w:val="14"/>
                <w:szCs w:val="14"/>
              </w:rPr>
            </w:pPr>
            <w:r w:rsidRPr="00E14EE6">
              <w:rPr>
                <w:sz w:val="14"/>
              </w:rPr>
              <w:t>19.0</w:t>
            </w:r>
          </w:p>
        </w:tc>
      </w:tr>
      <w:tr w:rsidR="00CA7676" w:rsidRPr="00E14EE6" w14:paraId="15AEE8EE" w14:textId="77777777" w:rsidTr="00FD6B66">
        <w:trPr>
          <w:trHeight w:val="20"/>
        </w:trPr>
        <w:tc>
          <w:tcPr>
            <w:tcW w:w="1411" w:type="pct"/>
            <w:noWrap/>
            <w:hideMark/>
          </w:tcPr>
          <w:p w14:paraId="670EE916" w14:textId="77777777" w:rsidR="00CA7676" w:rsidRPr="00E14EE6" w:rsidRDefault="00CA7676" w:rsidP="00E14EE6">
            <w:pPr>
              <w:jc w:val="left"/>
              <w:rPr>
                <w:sz w:val="14"/>
                <w:szCs w:val="14"/>
              </w:rPr>
            </w:pPr>
            <w:r w:rsidRPr="00E14EE6">
              <w:rPr>
                <w:b/>
                <w:bCs/>
                <w:sz w:val="14"/>
              </w:rPr>
              <w:t>Population (thousand)</w:t>
            </w:r>
          </w:p>
        </w:tc>
        <w:tc>
          <w:tcPr>
            <w:tcW w:w="399" w:type="pct"/>
            <w:noWrap/>
            <w:hideMark/>
          </w:tcPr>
          <w:p w14:paraId="4210EA14" w14:textId="77777777" w:rsidR="00CA7676" w:rsidRPr="00E14EE6" w:rsidRDefault="00CA7676" w:rsidP="00E14EE6">
            <w:pPr>
              <w:jc w:val="right"/>
              <w:rPr>
                <w:sz w:val="14"/>
                <w:szCs w:val="14"/>
              </w:rPr>
            </w:pPr>
            <w:r w:rsidRPr="00E14EE6">
              <w:rPr>
                <w:sz w:val="14"/>
              </w:rPr>
              <w:t>9,883</w:t>
            </w:r>
          </w:p>
        </w:tc>
        <w:tc>
          <w:tcPr>
            <w:tcW w:w="399" w:type="pct"/>
            <w:noWrap/>
            <w:hideMark/>
          </w:tcPr>
          <w:p w14:paraId="1DF0C920" w14:textId="77777777" w:rsidR="00CA7676" w:rsidRPr="00E14EE6" w:rsidRDefault="00CA7676" w:rsidP="00E14EE6">
            <w:pPr>
              <w:jc w:val="right"/>
              <w:rPr>
                <w:sz w:val="14"/>
                <w:szCs w:val="14"/>
              </w:rPr>
            </w:pPr>
            <w:r w:rsidRPr="00E14EE6">
              <w:rPr>
                <w:sz w:val="14"/>
              </w:rPr>
              <w:t>9,980</w:t>
            </w:r>
          </w:p>
        </w:tc>
        <w:tc>
          <w:tcPr>
            <w:tcW w:w="399" w:type="pct"/>
            <w:noWrap/>
            <w:hideMark/>
          </w:tcPr>
          <w:p w14:paraId="39608B85" w14:textId="77777777" w:rsidR="00CA7676" w:rsidRPr="00E14EE6" w:rsidRDefault="00CA7676" w:rsidP="00E14EE6">
            <w:pPr>
              <w:jc w:val="right"/>
              <w:rPr>
                <w:sz w:val="14"/>
                <w:szCs w:val="14"/>
              </w:rPr>
            </w:pPr>
            <w:r w:rsidRPr="00E14EE6">
              <w:rPr>
                <w:sz w:val="14"/>
              </w:rPr>
              <w:t>10,075</w:t>
            </w:r>
          </w:p>
        </w:tc>
        <w:tc>
          <w:tcPr>
            <w:tcW w:w="399" w:type="pct"/>
            <w:noWrap/>
            <w:hideMark/>
          </w:tcPr>
          <w:p w14:paraId="47D53E50" w14:textId="77777777" w:rsidR="00CA7676" w:rsidRPr="00E14EE6" w:rsidRDefault="00CA7676" w:rsidP="00E14EE6">
            <w:pPr>
              <w:jc w:val="right"/>
              <w:rPr>
                <w:sz w:val="14"/>
                <w:szCs w:val="14"/>
              </w:rPr>
            </w:pPr>
            <w:r w:rsidRPr="00E14EE6">
              <w:rPr>
                <w:sz w:val="14"/>
              </w:rPr>
              <w:t>10,169</w:t>
            </w:r>
          </w:p>
        </w:tc>
        <w:tc>
          <w:tcPr>
            <w:tcW w:w="399" w:type="pct"/>
            <w:noWrap/>
            <w:hideMark/>
          </w:tcPr>
          <w:p w14:paraId="5AC46A76" w14:textId="77777777" w:rsidR="00CA7676" w:rsidRPr="00E14EE6" w:rsidRDefault="00CA7676" w:rsidP="00E14EE6">
            <w:pPr>
              <w:jc w:val="right"/>
              <w:rPr>
                <w:sz w:val="14"/>
                <w:szCs w:val="14"/>
              </w:rPr>
            </w:pPr>
            <w:r w:rsidRPr="00E14EE6">
              <w:rPr>
                <w:sz w:val="14"/>
              </w:rPr>
              <w:t>10,266</w:t>
            </w:r>
          </w:p>
        </w:tc>
        <w:tc>
          <w:tcPr>
            <w:tcW w:w="399" w:type="pct"/>
            <w:noWrap/>
            <w:hideMark/>
          </w:tcPr>
          <w:p w14:paraId="3C35242F" w14:textId="77777777" w:rsidR="00CA7676" w:rsidRPr="00E14EE6" w:rsidRDefault="00CA7676" w:rsidP="00E14EE6">
            <w:pPr>
              <w:jc w:val="right"/>
              <w:rPr>
                <w:sz w:val="14"/>
                <w:szCs w:val="14"/>
              </w:rPr>
            </w:pPr>
            <w:r w:rsidRPr="00E14EE6">
              <w:rPr>
                <w:sz w:val="14"/>
              </w:rPr>
              <w:t>10,358</w:t>
            </w:r>
          </w:p>
        </w:tc>
        <w:tc>
          <w:tcPr>
            <w:tcW w:w="399" w:type="pct"/>
            <w:noWrap/>
            <w:hideMark/>
          </w:tcPr>
          <w:p w14:paraId="5DB9E774" w14:textId="77777777" w:rsidR="00CA7676" w:rsidRPr="00E14EE6" w:rsidRDefault="00CA7676" w:rsidP="00E14EE6">
            <w:pPr>
              <w:jc w:val="right"/>
              <w:rPr>
                <w:sz w:val="14"/>
                <w:szCs w:val="14"/>
              </w:rPr>
            </w:pPr>
            <w:r w:rsidRPr="00E14EE6">
              <w:rPr>
                <w:sz w:val="14"/>
              </w:rPr>
              <w:t>10,448</w:t>
            </w:r>
          </w:p>
        </w:tc>
        <w:tc>
          <w:tcPr>
            <w:tcW w:w="399" w:type="pct"/>
            <w:noWrap/>
            <w:hideMark/>
          </w:tcPr>
          <w:p w14:paraId="3FF138D0" w14:textId="77777777" w:rsidR="00CA7676" w:rsidRPr="00E14EE6" w:rsidRDefault="00CA7676" w:rsidP="00E14EE6">
            <w:pPr>
              <w:jc w:val="right"/>
              <w:rPr>
                <w:sz w:val="14"/>
                <w:szCs w:val="14"/>
              </w:rPr>
            </w:pPr>
            <w:r w:rsidRPr="00E14EE6">
              <w:rPr>
                <w:sz w:val="14"/>
              </w:rPr>
              <w:t>10,536</w:t>
            </w:r>
          </w:p>
        </w:tc>
        <w:tc>
          <w:tcPr>
            <w:tcW w:w="399" w:type="pct"/>
          </w:tcPr>
          <w:p w14:paraId="241D5E14" w14:textId="77777777" w:rsidR="00CA7676" w:rsidRPr="00E14EE6" w:rsidRDefault="00CA7676" w:rsidP="00E14EE6">
            <w:pPr>
              <w:jc w:val="right"/>
              <w:rPr>
                <w:sz w:val="14"/>
                <w:szCs w:val="14"/>
              </w:rPr>
            </w:pPr>
            <w:r w:rsidRPr="00E14EE6">
              <w:rPr>
                <w:sz w:val="14"/>
              </w:rPr>
              <w:t>10,590</w:t>
            </w:r>
          </w:p>
        </w:tc>
      </w:tr>
    </w:tbl>
    <w:p w14:paraId="29CB11D5" w14:textId="06E11F67" w:rsidR="00232DF8" w:rsidRPr="00E14EE6" w:rsidRDefault="00232DF8" w:rsidP="000A1B1A">
      <w:pPr>
        <w:pStyle w:val="NoteText"/>
        <w:spacing w:before="120"/>
      </w:pPr>
      <w:r w:rsidRPr="00E14EE6">
        <w:t>..</w:t>
      </w:r>
      <w:r w:rsidRPr="00E14EE6">
        <w:tab/>
        <w:t>Not available.</w:t>
      </w:r>
    </w:p>
    <w:p w14:paraId="722AA6C2" w14:textId="42676192" w:rsidR="00CA7676" w:rsidRPr="00E14EE6" w:rsidRDefault="00CA7676" w:rsidP="000A1B1A">
      <w:pPr>
        <w:pStyle w:val="NoteText"/>
        <w:spacing w:before="120"/>
      </w:pPr>
      <w:r w:rsidRPr="00E14EE6">
        <w:t>a</w:t>
      </w:r>
      <w:r w:rsidR="008B1E85" w:rsidRPr="00E14EE6">
        <w:tab/>
      </w:r>
      <w:r w:rsidRPr="00E14EE6">
        <w:t>Preliminary figures.</w:t>
      </w:r>
    </w:p>
    <w:p w14:paraId="694C586F" w14:textId="77777777" w:rsidR="00CA7676" w:rsidRPr="00E14EE6" w:rsidRDefault="00CA7676" w:rsidP="00E14EE6">
      <w:pPr>
        <w:pStyle w:val="NoteText"/>
      </w:pPr>
      <w:r w:rsidRPr="00E14EE6">
        <w:t>b</w:t>
      </w:r>
      <w:r w:rsidRPr="00E14EE6">
        <w:tab/>
        <w:t>Ratio of the open unemployed to the workforce.</w:t>
      </w:r>
    </w:p>
    <w:p w14:paraId="30E9932F" w14:textId="77777777" w:rsidR="007C74EF" w:rsidRPr="00E14EE6" w:rsidRDefault="00CA7676" w:rsidP="00E14EE6">
      <w:pPr>
        <w:pStyle w:val="NoteText"/>
      </w:pPr>
      <w:r w:rsidRPr="00E14EE6">
        <w:t>c</w:t>
      </w:r>
      <w:r w:rsidRPr="00E14EE6">
        <w:tab/>
        <w:t>Including mining and quarrying.</w:t>
      </w:r>
    </w:p>
    <w:p w14:paraId="0BC04B64" w14:textId="7DFE27C4" w:rsidR="00CA7676" w:rsidRPr="00E14EE6" w:rsidRDefault="00CA7676" w:rsidP="000A1B1A">
      <w:pPr>
        <w:pStyle w:val="NoteText"/>
        <w:spacing w:before="120" w:after="240"/>
      </w:pPr>
      <w:r w:rsidRPr="00E14EE6">
        <w:t>Source:</w:t>
      </w:r>
      <w:r w:rsidRPr="00E14EE6">
        <w:tab/>
        <w:t>Central Bank of the Dominican Republic</w:t>
      </w:r>
      <w:r w:rsidR="007A3952" w:rsidRPr="00E14EE6">
        <w:t xml:space="preserve"> (</w:t>
      </w:r>
      <w:proofErr w:type="spellStart"/>
      <w:r w:rsidR="007A3952" w:rsidRPr="00E14EE6">
        <w:t>BCRD</w:t>
      </w:r>
      <w:proofErr w:type="spellEnd"/>
      <w:r w:rsidR="007A3952" w:rsidRPr="00E14EE6">
        <w:t>)</w:t>
      </w:r>
      <w:r w:rsidRPr="00E14EE6">
        <w:t>.</w:t>
      </w:r>
    </w:p>
    <w:p w14:paraId="6B190295" w14:textId="19B723D3" w:rsidR="007C74EF" w:rsidRPr="00E14EE6" w:rsidRDefault="00E14EE6" w:rsidP="00763857">
      <w:pPr>
        <w:pStyle w:val="BodyText"/>
      </w:pPr>
      <w:r w:rsidRPr="00E14EE6">
        <w:t>T</w:t>
      </w:r>
      <w:r w:rsidR="005147A6" w:rsidRPr="00E14EE6">
        <w:t>he Dominican economy was hit hard by the COVID</w:t>
      </w:r>
      <w:r w:rsidRPr="00E14EE6">
        <w:noBreakHyphen/>
      </w:r>
      <w:r w:rsidR="005147A6" w:rsidRPr="00E14EE6">
        <w:t>19 pandemic, particularly the tourism services sector</w:t>
      </w:r>
      <w:r w:rsidRPr="00E14EE6">
        <w:t>. M</w:t>
      </w:r>
      <w:r w:rsidR="005147A6" w:rsidRPr="00E14EE6">
        <w:t>ost economic activities contracted markedly, especially in the first few months of the pandemic</w:t>
      </w:r>
      <w:r w:rsidRPr="00E14EE6">
        <w:t>. T</w:t>
      </w:r>
      <w:r w:rsidR="005147A6" w:rsidRPr="00E14EE6">
        <w:t>hose most affected were the activities of hotels, bars and restaurants (</w:t>
      </w:r>
      <w:r w:rsidRPr="00E14EE6">
        <w:noBreakHyphen/>
      </w:r>
      <w:r w:rsidR="005147A6" w:rsidRPr="00E14EE6">
        <w:t>47.5</w:t>
      </w:r>
      <w:r>
        <w:t>%</w:t>
      </w:r>
      <w:r w:rsidR="005147A6" w:rsidRPr="00E14EE6">
        <w:t xml:space="preserve"> in 2020 compared </w:t>
      </w:r>
      <w:r w:rsidR="008B1E85" w:rsidRPr="00E14EE6">
        <w:t>with</w:t>
      </w:r>
      <w:r w:rsidR="005147A6" w:rsidRPr="00E14EE6">
        <w:t xml:space="preserve"> 2019), mining and quarrying (</w:t>
      </w:r>
      <w:r w:rsidRPr="00E14EE6">
        <w:noBreakHyphen/>
      </w:r>
      <w:r w:rsidR="005147A6" w:rsidRPr="00E14EE6">
        <w:t>12.5</w:t>
      </w:r>
      <w:r>
        <w:t>%</w:t>
      </w:r>
      <w:r w:rsidR="005147A6" w:rsidRPr="00E14EE6">
        <w:t xml:space="preserve">), other </w:t>
      </w:r>
      <w:r w:rsidR="004D0DDD" w:rsidRPr="00E14EE6">
        <w:t xml:space="preserve">service activities </w:t>
      </w:r>
      <w:r w:rsidR="005147A6" w:rsidRPr="00E14EE6">
        <w:t>(</w:t>
      </w:r>
      <w:r w:rsidRPr="00E14EE6">
        <w:noBreakHyphen/>
      </w:r>
      <w:r w:rsidR="005147A6" w:rsidRPr="00E14EE6">
        <w:t>11.1</w:t>
      </w:r>
      <w:r>
        <w:t>%</w:t>
      </w:r>
      <w:r w:rsidR="005147A6" w:rsidRPr="00E14EE6">
        <w:t>), construction (</w:t>
      </w:r>
      <w:r w:rsidRPr="00E14EE6">
        <w:noBreakHyphen/>
      </w:r>
      <w:r w:rsidR="005147A6" w:rsidRPr="00E14EE6">
        <w:t>10.7</w:t>
      </w:r>
      <w:r>
        <w:t>%</w:t>
      </w:r>
      <w:r w:rsidR="005147A6" w:rsidRPr="00E14EE6">
        <w:t>), transport and storage (</w:t>
      </w:r>
      <w:r w:rsidRPr="00E14EE6">
        <w:noBreakHyphen/>
      </w:r>
      <w:r w:rsidR="005147A6" w:rsidRPr="00E14EE6">
        <w:t>7.6</w:t>
      </w:r>
      <w:r>
        <w:t>%</w:t>
      </w:r>
      <w:r w:rsidR="005147A6" w:rsidRPr="00E14EE6">
        <w:t>), commerce (</w:t>
      </w:r>
      <w:r w:rsidRPr="00E14EE6">
        <w:noBreakHyphen/>
      </w:r>
      <w:r w:rsidR="005147A6" w:rsidRPr="00E14EE6">
        <w:t>4.8</w:t>
      </w:r>
      <w:r>
        <w:t>%</w:t>
      </w:r>
      <w:r w:rsidR="005147A6" w:rsidRPr="00E14EE6">
        <w:t>), education (</w:t>
      </w:r>
      <w:r w:rsidRPr="00E14EE6">
        <w:noBreakHyphen/>
      </w:r>
      <w:r w:rsidR="005147A6" w:rsidRPr="00E14EE6">
        <w:t>3.7</w:t>
      </w:r>
      <w:r>
        <w:t>%</w:t>
      </w:r>
      <w:r w:rsidR="005147A6" w:rsidRPr="00E14EE6">
        <w:t>), free zones (</w:t>
      </w:r>
      <w:r w:rsidRPr="00E14EE6">
        <w:noBreakHyphen/>
      </w:r>
      <w:r w:rsidR="005147A6" w:rsidRPr="00E14EE6">
        <w:t>2.7</w:t>
      </w:r>
      <w:r>
        <w:t>%</w:t>
      </w:r>
      <w:r w:rsidR="005147A6" w:rsidRPr="00E14EE6">
        <w:t>) and local manufacturing (</w:t>
      </w:r>
      <w:r w:rsidRPr="00E14EE6">
        <w:noBreakHyphen/>
      </w:r>
      <w:r w:rsidR="005147A6" w:rsidRPr="00E14EE6">
        <w:t>2.2</w:t>
      </w:r>
      <w:r>
        <w:t>%</w:t>
      </w:r>
      <w:r w:rsidR="005147A6" w:rsidRPr="00E14EE6">
        <w:t>)</w:t>
      </w:r>
      <w:r w:rsidRPr="00E14EE6">
        <w:t>. I</w:t>
      </w:r>
      <w:r w:rsidR="005147A6" w:rsidRPr="00E14EE6">
        <w:t>n general, these activities require a physical presence and/or the opening of establishments</w:t>
      </w:r>
      <w:r w:rsidRPr="00E14EE6">
        <w:t>. H</w:t>
      </w:r>
      <w:r w:rsidR="005147A6" w:rsidRPr="00E14EE6">
        <w:t>owever, other activities</w:t>
      </w:r>
      <w:r w:rsidR="004D0DDD" w:rsidRPr="00E14EE6">
        <w:t xml:space="preserve">, linked </w:t>
      </w:r>
      <w:r w:rsidR="00FF2DDC" w:rsidRPr="00E14EE6">
        <w:t xml:space="preserve">in some cases </w:t>
      </w:r>
      <w:r w:rsidR="004D0DDD" w:rsidRPr="00E14EE6">
        <w:t>to the development of the pandemic, or in other</w:t>
      </w:r>
      <w:r w:rsidR="00FF2DDC" w:rsidRPr="00E14EE6">
        <w:t xml:space="preserve"> cases</w:t>
      </w:r>
      <w:r w:rsidR="004D0DDD" w:rsidRPr="00E14EE6">
        <w:t>, not requiring physical presence</w:t>
      </w:r>
      <w:r w:rsidR="00A06D73" w:rsidRPr="00E14EE6">
        <w:t>,</w:t>
      </w:r>
      <w:r w:rsidR="004D0DDD" w:rsidRPr="00E14EE6">
        <w:t xml:space="preserve"> showed positive trends</w:t>
      </w:r>
      <w:r w:rsidRPr="00E14EE6">
        <w:t>.</w:t>
      </w:r>
      <w:bookmarkStart w:id="33" w:name="_Hlk110589003"/>
      <w:r w:rsidRPr="00E14EE6">
        <w:t xml:space="preserve"> T</w:t>
      </w:r>
      <w:r w:rsidR="005147A6" w:rsidRPr="00E14EE6">
        <w:t>his was the case for the following sectors</w:t>
      </w:r>
      <w:r w:rsidRPr="00E14EE6">
        <w:t>: h</w:t>
      </w:r>
      <w:r w:rsidR="005147A6" w:rsidRPr="00E14EE6">
        <w:t>ealth (12.5</w:t>
      </w:r>
      <w:r>
        <w:t>%</w:t>
      </w:r>
      <w:r w:rsidR="005147A6" w:rsidRPr="00E14EE6">
        <w:t>), financial services (7.1</w:t>
      </w:r>
      <w:r>
        <w:t>%</w:t>
      </w:r>
      <w:r w:rsidR="005147A6" w:rsidRPr="00E14EE6">
        <w:t>), real estate activities (3.8</w:t>
      </w:r>
      <w:r>
        <w:t>%</w:t>
      </w:r>
      <w:r w:rsidR="005147A6" w:rsidRPr="00E14EE6">
        <w:t>), agriculture (2.8</w:t>
      </w:r>
      <w:r>
        <w:t>%</w:t>
      </w:r>
      <w:r w:rsidR="005147A6" w:rsidRPr="00E14EE6">
        <w:t>), communications (</w:t>
      </w:r>
      <w:bookmarkEnd w:id="33"/>
      <w:r w:rsidR="005147A6" w:rsidRPr="00E14EE6">
        <w:t>2.7</w:t>
      </w:r>
      <w:r>
        <w:t>%</w:t>
      </w:r>
      <w:r w:rsidR="005147A6" w:rsidRPr="00E14EE6">
        <w:t>), public administration (0.8</w:t>
      </w:r>
      <w:r>
        <w:t>%</w:t>
      </w:r>
      <w:r w:rsidR="005147A6" w:rsidRPr="00E14EE6">
        <w:t>) and energy and water (0.4</w:t>
      </w:r>
      <w:r>
        <w:t>%</w:t>
      </w:r>
      <w:r w:rsidR="005147A6" w:rsidRPr="00E14EE6">
        <w:t>)</w:t>
      </w:r>
      <w:r w:rsidRPr="00E14EE6">
        <w:t>.</w:t>
      </w:r>
      <w:r w:rsidRPr="00E14EE6">
        <w:rPr>
          <w:rStyle w:val="FootnoteReference"/>
        </w:rPr>
        <w:footnoteReference w:id="1"/>
      </w:r>
      <w:r w:rsidRPr="00E14EE6">
        <w:t xml:space="preserve"> T</w:t>
      </w:r>
      <w:r w:rsidR="005147A6" w:rsidRPr="00E14EE6">
        <w:t>he contribution of hotel, bar and restaurant activity to nominal GDP fell from 7.4</w:t>
      </w:r>
      <w:r>
        <w:t>%</w:t>
      </w:r>
      <w:r w:rsidR="005147A6" w:rsidRPr="00E14EE6">
        <w:t xml:space="preserve"> in 2019 to 4.1</w:t>
      </w:r>
      <w:r>
        <w:t>%</w:t>
      </w:r>
      <w:r w:rsidR="005147A6" w:rsidRPr="00E14EE6">
        <w:t xml:space="preserve"> in 2020, before partially recovering in 2021 (5.3</w:t>
      </w:r>
      <w:r>
        <w:t>%</w:t>
      </w:r>
      <w:r w:rsidR="005147A6" w:rsidRPr="00E14EE6">
        <w:t>) and the first</w:t>
      </w:r>
      <w:r w:rsidR="00C5302C">
        <w:t> </w:t>
      </w:r>
      <w:r w:rsidR="005147A6" w:rsidRPr="00E14EE6">
        <w:t>quarter of 2022 (5.6</w:t>
      </w:r>
      <w:r>
        <w:t>%</w:t>
      </w:r>
      <w:r w:rsidR="005147A6" w:rsidRPr="00E14EE6">
        <w:t>).</w:t>
      </w:r>
    </w:p>
    <w:p w14:paraId="3985045E" w14:textId="4A4BABC7" w:rsidR="00CA7676" w:rsidRPr="00E14EE6" w:rsidRDefault="00E14EE6" w:rsidP="00763857">
      <w:pPr>
        <w:pStyle w:val="BodyText"/>
      </w:pPr>
      <w:r w:rsidRPr="00E14EE6">
        <w:lastRenderedPageBreak/>
        <w:t>A</w:t>
      </w:r>
      <w:r w:rsidR="005147A6" w:rsidRPr="00E14EE6">
        <w:t>n assessment of the</w:t>
      </w:r>
      <w:r w:rsidR="00142F16" w:rsidRPr="00E14EE6">
        <w:t xml:space="preserve"> economic</w:t>
      </w:r>
      <w:r w:rsidR="005147A6" w:rsidRPr="00E14EE6">
        <w:t xml:space="preserve"> performance in 2021 shows that the following economic activities accounted for the </w:t>
      </w:r>
      <w:r w:rsidR="00023657" w:rsidRPr="00E14EE6">
        <w:t>most considerable</w:t>
      </w:r>
      <w:r w:rsidR="005147A6" w:rsidRPr="00E14EE6">
        <w:t xml:space="preserve"> year</w:t>
      </w:r>
      <w:r w:rsidRPr="00E14EE6">
        <w:noBreakHyphen/>
      </w:r>
      <w:r w:rsidR="005147A6" w:rsidRPr="00E14EE6">
        <w:t>on</w:t>
      </w:r>
      <w:r w:rsidRPr="00E14EE6">
        <w:noBreakHyphen/>
      </w:r>
      <w:r w:rsidR="005147A6" w:rsidRPr="00E14EE6">
        <w:t>year growth in real terms</w:t>
      </w:r>
      <w:r w:rsidRPr="00E14EE6">
        <w:t>: h</w:t>
      </w:r>
      <w:r w:rsidR="005147A6" w:rsidRPr="00E14EE6">
        <w:t>otels, bars and restaurants (39.5</w:t>
      </w:r>
      <w:r>
        <w:t>%</w:t>
      </w:r>
      <w:r w:rsidR="005147A6" w:rsidRPr="00E14EE6">
        <w:t>), construction (23.4</w:t>
      </w:r>
      <w:r>
        <w:t>%</w:t>
      </w:r>
      <w:r w:rsidR="005147A6" w:rsidRPr="00E14EE6">
        <w:t>), local manufacturing (10.6</w:t>
      </w:r>
      <w:r>
        <w:t>%</w:t>
      </w:r>
      <w:r w:rsidR="005147A6" w:rsidRPr="00E14EE6">
        <w:t>), free zones (20.3</w:t>
      </w:r>
      <w:r>
        <w:t>%</w:t>
      </w:r>
      <w:r w:rsidR="005147A6" w:rsidRPr="00E14EE6">
        <w:t>), commerce (12.9</w:t>
      </w:r>
      <w:r>
        <w:t>%</w:t>
      </w:r>
      <w:r w:rsidR="005147A6" w:rsidRPr="00E14EE6">
        <w:t>) and transport and storage (12.9</w:t>
      </w:r>
      <w:r>
        <w:t>%</w:t>
      </w:r>
      <w:r w:rsidR="005147A6" w:rsidRPr="00E14EE6">
        <w:t>)</w:t>
      </w:r>
      <w:r w:rsidRPr="00E14EE6">
        <w:t>.</w:t>
      </w:r>
      <w:r w:rsidRPr="00E14EE6">
        <w:rPr>
          <w:rStyle w:val="FootnoteReference"/>
        </w:rPr>
        <w:footnoteReference w:id="2"/>
      </w:r>
      <w:r w:rsidRPr="00E14EE6">
        <w:t xml:space="preserve"> I</w:t>
      </w:r>
      <w:r w:rsidR="00A31B61" w:rsidRPr="00E14EE6">
        <w:t>n</w:t>
      </w:r>
      <w:r w:rsidR="005147A6" w:rsidRPr="00E14EE6">
        <w:t xml:space="preserve"> the January</w:t>
      </w:r>
      <w:r w:rsidRPr="00E14EE6">
        <w:noBreakHyphen/>
      </w:r>
      <w:r w:rsidR="005147A6" w:rsidRPr="00E14EE6">
        <w:t>March quarter of 2022, real GDP rose by 6.1</w:t>
      </w:r>
      <w:r>
        <w:t>%</w:t>
      </w:r>
      <w:r w:rsidR="005147A6" w:rsidRPr="00E14EE6">
        <w:t xml:space="preserve"> compared </w:t>
      </w:r>
      <w:r w:rsidR="00A31B61" w:rsidRPr="00E14EE6">
        <w:t>with</w:t>
      </w:r>
      <w:r w:rsidR="005147A6" w:rsidRPr="00E14EE6">
        <w:t xml:space="preserve"> the same period in 2021</w:t>
      </w:r>
      <w:r w:rsidRPr="00E14EE6">
        <w:t>. A</w:t>
      </w:r>
      <w:r w:rsidR="005147A6" w:rsidRPr="00E14EE6">
        <w:t xml:space="preserve">ccording to information </w:t>
      </w:r>
      <w:r w:rsidR="0061051B" w:rsidRPr="00E14EE6">
        <w:t>provided by</w:t>
      </w:r>
      <w:r w:rsidR="005147A6" w:rsidRPr="00E14EE6">
        <w:t xml:space="preserve"> the Central Bank of the Dominican Republic (</w:t>
      </w:r>
      <w:proofErr w:type="spellStart"/>
      <w:r w:rsidR="005147A6" w:rsidRPr="00E14EE6">
        <w:t>BCRD</w:t>
      </w:r>
      <w:proofErr w:type="spellEnd"/>
      <w:r w:rsidR="005147A6" w:rsidRPr="00E14EE6">
        <w:t>), the following economic activities showed a positive shift in the first quarter of 2022</w:t>
      </w:r>
      <w:r w:rsidRPr="00E14EE6">
        <w:t>: h</w:t>
      </w:r>
      <w:r w:rsidR="005147A6" w:rsidRPr="00E14EE6">
        <w:t>otels, bars and restaurants (+39.9</w:t>
      </w:r>
      <w:r>
        <w:t>%</w:t>
      </w:r>
      <w:r w:rsidR="005147A6" w:rsidRPr="00E14EE6">
        <w:t xml:space="preserve">), </w:t>
      </w:r>
      <w:r w:rsidR="004D0DDD" w:rsidRPr="00E14EE6">
        <w:t>other service activities</w:t>
      </w:r>
      <w:r w:rsidR="008B1E85" w:rsidRPr="00E14EE6">
        <w:t xml:space="preserve"> </w:t>
      </w:r>
      <w:r w:rsidR="005147A6" w:rsidRPr="00E14EE6">
        <w:t>(11.4</w:t>
      </w:r>
      <w:r>
        <w:t>%</w:t>
      </w:r>
      <w:r w:rsidR="005147A6" w:rsidRPr="00E14EE6">
        <w:t>), transport and storage (8.8</w:t>
      </w:r>
      <w:r>
        <w:t>%</w:t>
      </w:r>
      <w:r w:rsidR="005147A6" w:rsidRPr="00E14EE6">
        <w:t>), communications (8.2</w:t>
      </w:r>
      <w:r>
        <w:t>%</w:t>
      </w:r>
      <w:r w:rsidR="005147A6" w:rsidRPr="00E14EE6">
        <w:t>), commerce (8.0</w:t>
      </w:r>
      <w:r>
        <w:t>%</w:t>
      </w:r>
      <w:r w:rsidR="005147A6" w:rsidRPr="00E14EE6">
        <w:t>), free</w:t>
      </w:r>
      <w:r w:rsidRPr="00E14EE6">
        <w:noBreakHyphen/>
      </w:r>
      <w:r w:rsidR="005147A6" w:rsidRPr="00E14EE6">
        <w:t>zone manufacturing (7.6</w:t>
      </w:r>
      <w:r>
        <w:t>%</w:t>
      </w:r>
      <w:r w:rsidR="005147A6" w:rsidRPr="00E14EE6">
        <w:t>), energy and water (7.5</w:t>
      </w:r>
      <w:r>
        <w:t>%</w:t>
      </w:r>
      <w:r w:rsidR="005147A6" w:rsidRPr="00E14EE6">
        <w:t>), public administration (7.4</w:t>
      </w:r>
      <w:r>
        <w:t>%</w:t>
      </w:r>
      <w:r w:rsidR="005147A6" w:rsidRPr="00E14EE6">
        <w:t>), health (7.3</w:t>
      </w:r>
      <w:r>
        <w:t>%</w:t>
      </w:r>
      <w:r w:rsidR="005147A6" w:rsidRPr="00E14EE6">
        <w:t>), financial services (6.6</w:t>
      </w:r>
      <w:r>
        <w:t>%</w:t>
      </w:r>
      <w:r w:rsidR="005147A6" w:rsidRPr="00E14EE6">
        <w:t>), construction (5.8</w:t>
      </w:r>
      <w:r>
        <w:t>%</w:t>
      </w:r>
      <w:r w:rsidR="005147A6" w:rsidRPr="00E14EE6">
        <w:t>), education (5.3</w:t>
      </w:r>
      <w:r>
        <w:t>%</w:t>
      </w:r>
      <w:r w:rsidR="005147A6" w:rsidRPr="00E14EE6">
        <w:t>), local manufacturing (4.4</w:t>
      </w:r>
      <w:r>
        <w:t>%</w:t>
      </w:r>
      <w:r w:rsidR="005147A6" w:rsidRPr="00E14EE6">
        <w:t>), real estate and rental activities (4.2</w:t>
      </w:r>
      <w:r>
        <w:t>%</w:t>
      </w:r>
      <w:r w:rsidR="005147A6" w:rsidRPr="00E14EE6">
        <w:t>) and agriculture (2.1</w:t>
      </w:r>
      <w:r>
        <w:t>%</w:t>
      </w:r>
      <w:r w:rsidR="005147A6" w:rsidRPr="00E14EE6">
        <w:t>).</w:t>
      </w:r>
      <w:r w:rsidRPr="00E14EE6">
        <w:rPr>
          <w:rStyle w:val="FootnoteReference"/>
        </w:rPr>
        <w:footnoteReference w:id="3"/>
      </w:r>
    </w:p>
    <w:p w14:paraId="3F0555E7" w14:textId="5409E069" w:rsidR="00CA7676" w:rsidRPr="00E14EE6" w:rsidRDefault="005147A6" w:rsidP="00763857">
      <w:pPr>
        <w:pStyle w:val="Heading2"/>
      </w:pPr>
      <w:bookmarkStart w:id="35" w:name="_Toc117260591"/>
      <w:r w:rsidRPr="00E14EE6">
        <w:t xml:space="preserve">Recent </w:t>
      </w:r>
      <w:r w:rsidRPr="00B23112">
        <w:t>E</w:t>
      </w:r>
      <w:r w:rsidRPr="00E14EE6">
        <w:t xml:space="preserve">conomic </w:t>
      </w:r>
      <w:r w:rsidRPr="00B23112">
        <w:t>D</w:t>
      </w:r>
      <w:r w:rsidRPr="00E14EE6">
        <w:t>evelopments</w:t>
      </w:r>
      <w:bookmarkEnd w:id="35"/>
    </w:p>
    <w:p w14:paraId="4ABD4AE5" w14:textId="19F3044C" w:rsidR="00CA7676" w:rsidRPr="00E14EE6" w:rsidRDefault="005147A6" w:rsidP="00763857">
      <w:pPr>
        <w:pStyle w:val="Heading3"/>
      </w:pPr>
      <w:bookmarkStart w:id="36" w:name="_Toc117260592"/>
      <w:r w:rsidRPr="00E14EE6">
        <w:t>Real sector</w:t>
      </w:r>
      <w:bookmarkEnd w:id="36"/>
    </w:p>
    <w:p w14:paraId="5AEF1413" w14:textId="1AF89D85" w:rsidR="007C74EF" w:rsidRPr="00E14EE6" w:rsidRDefault="00E14EE6" w:rsidP="00763857">
      <w:pPr>
        <w:pStyle w:val="BodyText"/>
      </w:pPr>
      <w:r w:rsidRPr="00E14EE6">
        <w:t>R</w:t>
      </w:r>
      <w:r w:rsidR="005147A6" w:rsidRPr="00E14EE6">
        <w:t xml:space="preserve">eal GDP growth by expenditure category </w:t>
      </w:r>
      <w:r w:rsidR="00C40A44" w:rsidRPr="00E14EE6">
        <w:t>in</w:t>
      </w:r>
      <w:r w:rsidR="005147A6" w:rsidRPr="00E14EE6">
        <w:t xml:space="preserve"> 2014</w:t>
      </w:r>
      <w:r w:rsidRPr="00E14EE6">
        <w:noBreakHyphen/>
      </w:r>
      <w:r w:rsidR="005147A6" w:rsidRPr="00E14EE6">
        <w:t>19 was mainly supported by the strong performance of domestic demand, with an average increase of 5.2</w:t>
      </w:r>
      <w:r>
        <w:t>%</w:t>
      </w:r>
      <w:r w:rsidR="005147A6" w:rsidRPr="00E14EE6">
        <w:t xml:space="preserve"> in final consumption and 10.3</w:t>
      </w:r>
      <w:r>
        <w:t>%</w:t>
      </w:r>
      <w:r w:rsidR="005147A6" w:rsidRPr="00E14EE6">
        <w:t xml:space="preserve"> in gross fixed capital formation</w:t>
      </w:r>
      <w:r w:rsidRPr="00E14EE6">
        <w:t>. G</w:t>
      </w:r>
      <w:r w:rsidR="00B435C0" w:rsidRPr="00E14EE6">
        <w:t>rowth in the</w:t>
      </w:r>
      <w:r w:rsidR="005147A6" w:rsidRPr="00E14EE6">
        <w:t xml:space="preserve"> latter </w:t>
      </w:r>
      <w:r w:rsidR="00B435C0" w:rsidRPr="00E14EE6">
        <w:t xml:space="preserve">component was </w:t>
      </w:r>
      <w:r w:rsidR="005147A6" w:rsidRPr="00E14EE6">
        <w:t xml:space="preserve">largely </w:t>
      </w:r>
      <w:r w:rsidR="00C40A44" w:rsidRPr="00E14EE6">
        <w:t>due to</w:t>
      </w:r>
      <w:r w:rsidR="00B435C0" w:rsidRPr="00E14EE6">
        <w:t xml:space="preserve"> </w:t>
      </w:r>
      <w:r w:rsidR="005147A6" w:rsidRPr="00E14EE6">
        <w:t>the positive performance of the construction sector, which in turn was driven by public and private sector investments in the development of residential and non</w:t>
      </w:r>
      <w:r w:rsidRPr="00E14EE6">
        <w:noBreakHyphen/>
      </w:r>
      <w:r w:rsidR="005147A6" w:rsidRPr="00E14EE6">
        <w:t xml:space="preserve">residential infrastructure projects, land transport, </w:t>
      </w:r>
      <w:r w:rsidR="00B435C0" w:rsidRPr="00E14EE6">
        <w:t xml:space="preserve">and </w:t>
      </w:r>
      <w:r w:rsidR="005147A6" w:rsidRPr="00E14EE6">
        <w:t>energy sector works, among others.</w:t>
      </w:r>
    </w:p>
    <w:p w14:paraId="20E1F16C" w14:textId="38C53B9C" w:rsidR="007C74EF" w:rsidRPr="00E14EE6" w:rsidRDefault="00E14EE6" w:rsidP="00763857">
      <w:pPr>
        <w:pStyle w:val="BodyText"/>
      </w:pPr>
      <w:r w:rsidRPr="00E14EE6">
        <w:t>T</w:t>
      </w:r>
      <w:r w:rsidR="005147A6" w:rsidRPr="00E14EE6">
        <w:t>he COVID</w:t>
      </w:r>
      <w:r w:rsidRPr="00E14EE6">
        <w:noBreakHyphen/>
      </w:r>
      <w:r w:rsidR="005147A6" w:rsidRPr="00E14EE6">
        <w:t>19 pandemic prompted a tumble in economic activity, particularly in sectors such as tourism and construction, as well as a contraction in external demand</w:t>
      </w:r>
      <w:r w:rsidRPr="00E14EE6">
        <w:t>. T</w:t>
      </w:r>
      <w:r w:rsidR="005147A6" w:rsidRPr="00E14EE6">
        <w:t xml:space="preserve">his caused real GDP to </w:t>
      </w:r>
      <w:r w:rsidR="002A3B57" w:rsidRPr="00E14EE6">
        <w:t>shrink</w:t>
      </w:r>
      <w:r w:rsidR="005147A6" w:rsidRPr="00E14EE6">
        <w:t xml:space="preserve"> by 6.7</w:t>
      </w:r>
      <w:r>
        <w:t>%</w:t>
      </w:r>
      <w:r w:rsidR="005147A6" w:rsidRPr="00E14EE6">
        <w:t xml:space="preserve"> in 2020 and GDP per capita to fall to </w:t>
      </w:r>
      <w:r w:rsidRPr="00E14EE6">
        <w:t>USD 7</w:t>
      </w:r>
      <w:r w:rsidR="005147A6" w:rsidRPr="00E14EE6">
        <w:t xml:space="preserve">,500, </w:t>
      </w:r>
      <w:r w:rsidR="002A3B57" w:rsidRPr="00E14EE6">
        <w:t>that is, back to its 2016 level</w:t>
      </w:r>
      <w:r w:rsidRPr="00E14EE6">
        <w:t>. D</w:t>
      </w:r>
      <w:r w:rsidR="005147A6" w:rsidRPr="00E14EE6">
        <w:t xml:space="preserve">uring the pandemic, domestic demand was </w:t>
      </w:r>
      <w:r w:rsidR="00100C7E" w:rsidRPr="00E14EE6">
        <w:t>severely affected</w:t>
      </w:r>
      <w:r w:rsidR="005147A6" w:rsidRPr="00E14EE6">
        <w:t xml:space="preserve"> by lockdown and contracted by 3.6</w:t>
      </w:r>
      <w:r>
        <w:t>%</w:t>
      </w:r>
      <w:r w:rsidRPr="00E14EE6">
        <w:t>. H</w:t>
      </w:r>
      <w:r w:rsidR="005147A6" w:rsidRPr="00E14EE6">
        <w:t xml:space="preserve">owever, the monetary and fiscal measures that were adopted </w:t>
      </w:r>
      <w:r w:rsidR="001E1897" w:rsidRPr="00E14EE6">
        <w:t>–</w:t>
      </w:r>
      <w:r w:rsidR="005147A6" w:rsidRPr="00E14EE6">
        <w:t xml:space="preserve"> particularly in this latter area, those relating to social welfare spending </w:t>
      </w:r>
      <w:r w:rsidR="001E1897" w:rsidRPr="00E14EE6">
        <w:t>–</w:t>
      </w:r>
      <w:r w:rsidR="005147A6" w:rsidRPr="00E14EE6">
        <w:t xml:space="preserve"> </w:t>
      </w:r>
      <w:r w:rsidR="0091572B" w:rsidRPr="00E14EE6">
        <w:t>significantly helped to mitigate</w:t>
      </w:r>
      <w:r w:rsidR="005147A6" w:rsidRPr="00E14EE6">
        <w:t xml:space="preserve"> this contractionary effect in final consumption, which dropped by </w:t>
      </w:r>
      <w:r w:rsidR="001B7A85" w:rsidRPr="00E14EE6">
        <w:t xml:space="preserve">a moderate rate of </w:t>
      </w:r>
      <w:r w:rsidR="005147A6" w:rsidRPr="00E14EE6">
        <w:t>only 2.4</w:t>
      </w:r>
      <w:r>
        <w:t>%</w:t>
      </w:r>
      <w:r w:rsidR="009738EA" w:rsidRPr="00E14EE6">
        <w:t xml:space="preserve"> in 2020</w:t>
      </w:r>
      <w:r w:rsidRPr="00E14EE6">
        <w:t>. N</w:t>
      </w:r>
      <w:r w:rsidR="005147A6" w:rsidRPr="00E14EE6">
        <w:t>evertheless, investment contracted markedly by 12.1</w:t>
      </w:r>
      <w:r>
        <w:t>%</w:t>
      </w:r>
      <w:r w:rsidR="005147A6" w:rsidRPr="00E14EE6">
        <w:t>, bringing domestic demand down by 3.4</w:t>
      </w:r>
      <w:r>
        <w:t>%</w:t>
      </w:r>
      <w:r w:rsidRPr="00E14EE6">
        <w:t>. B</w:t>
      </w:r>
      <w:r w:rsidR="005147A6" w:rsidRPr="00E14EE6">
        <w:t>oth exports and imports of goods and services slumped in 2020, by 30.3</w:t>
      </w:r>
      <w:r>
        <w:t>%</w:t>
      </w:r>
      <w:r w:rsidR="005147A6" w:rsidRPr="00E14EE6">
        <w:t xml:space="preserve"> and 14.6</w:t>
      </w:r>
      <w:r>
        <w:t>%</w:t>
      </w:r>
      <w:r w:rsidR="005147A6" w:rsidRPr="00E14EE6">
        <w:t>, respectively</w:t>
      </w:r>
      <w:r w:rsidRPr="00E14EE6">
        <w:t>. T</w:t>
      </w:r>
      <w:r w:rsidR="005147A6" w:rsidRPr="00E14EE6">
        <w:t xml:space="preserve">he authorities indicated that the sharpest monthly drop in economic activity during the pandemic occurred in </w:t>
      </w:r>
      <w:r w:rsidRPr="00E14EE6">
        <w:t>April 2</w:t>
      </w:r>
      <w:r w:rsidR="005147A6" w:rsidRPr="00E14EE6">
        <w:t xml:space="preserve">020, but that economic performance started to improve </w:t>
      </w:r>
      <w:r w:rsidR="001E1897" w:rsidRPr="00E14EE6">
        <w:t>over</w:t>
      </w:r>
      <w:r w:rsidR="005147A6" w:rsidRPr="00E14EE6">
        <w:t xml:space="preserve"> the </w:t>
      </w:r>
      <w:r w:rsidR="001E1897" w:rsidRPr="00E14EE6">
        <w:t>following</w:t>
      </w:r>
      <w:r w:rsidR="005147A6" w:rsidRPr="00E14EE6">
        <w:t xml:space="preserve"> months, mainly as a result of the gradual reopening of non</w:t>
      </w:r>
      <w:r w:rsidRPr="00E14EE6">
        <w:noBreakHyphen/>
      </w:r>
      <w:r w:rsidR="005147A6" w:rsidRPr="00E14EE6">
        <w:t>essential economic activities, the relaxation of monetary policy measures to provide liquidity to the economy, the adoption of fiscal incentives and benefits to the productive sectors and increased public spending on welfare programmes.</w:t>
      </w:r>
      <w:r w:rsidRPr="00E14EE6">
        <w:rPr>
          <w:rStyle w:val="FootnoteReference"/>
        </w:rPr>
        <w:footnoteReference w:id="4"/>
      </w:r>
    </w:p>
    <w:p w14:paraId="16F791E1" w14:textId="018C9E80" w:rsidR="007C74EF" w:rsidRPr="00E14EE6" w:rsidRDefault="00E14EE6" w:rsidP="00763857">
      <w:pPr>
        <w:pStyle w:val="BodyText"/>
      </w:pPr>
      <w:r w:rsidRPr="00E14EE6">
        <w:t>D</w:t>
      </w:r>
      <w:r w:rsidR="005147A6" w:rsidRPr="00E14EE6">
        <w:t xml:space="preserve">uring the first </w:t>
      </w:r>
      <w:r w:rsidR="00D23558" w:rsidRPr="00E14EE6">
        <w:t xml:space="preserve">few </w:t>
      </w:r>
      <w:r w:rsidR="005147A6" w:rsidRPr="00E14EE6">
        <w:t xml:space="preserve">months of 2021, economic activity recovered </w:t>
      </w:r>
      <w:r w:rsidR="007B70FC" w:rsidRPr="00E14EE6">
        <w:t>more quickly</w:t>
      </w:r>
      <w:r w:rsidR="005147A6" w:rsidRPr="00E14EE6">
        <w:t xml:space="preserve"> than expected</w:t>
      </w:r>
      <w:r w:rsidRPr="00E14EE6">
        <w:t>. A</w:t>
      </w:r>
      <w:r w:rsidR="005147A6" w:rsidRPr="00E14EE6">
        <w:t xml:space="preserve">ccording to the authorities, this was helped by the effects of the fiscal and monetary policy measures implemented as of </w:t>
      </w:r>
      <w:r w:rsidRPr="00E14EE6">
        <w:t>March 2</w:t>
      </w:r>
      <w:r w:rsidR="005147A6" w:rsidRPr="00E14EE6">
        <w:t>020 to alleviate the adverse impact of the health crisis on the economy, and the impetus provided by the gradual reopening of economic activities, the easing and subsequent removal of mobility restrictions, and progress in implementing the National Vaccination Plan and the Responsible Tourism Recovery Plan</w:t>
      </w:r>
      <w:r w:rsidRPr="00E14EE6">
        <w:t>. I</w:t>
      </w:r>
      <w:r w:rsidR="005147A6" w:rsidRPr="00E14EE6">
        <w:t>n this regard</w:t>
      </w:r>
      <w:r w:rsidR="00D23558" w:rsidRPr="00E14EE6">
        <w:t>,</w:t>
      </w:r>
      <w:r w:rsidR="005147A6" w:rsidRPr="00E14EE6">
        <w:t xml:space="preserve"> and despite a slight slowdown in growth in the last </w:t>
      </w:r>
      <w:r w:rsidR="009738EA" w:rsidRPr="00E14EE6">
        <w:t xml:space="preserve">few </w:t>
      </w:r>
      <w:r w:rsidR="005147A6" w:rsidRPr="00E14EE6">
        <w:t>months of the year, real GDP grew by 12.3</w:t>
      </w:r>
      <w:r>
        <w:t>%</w:t>
      </w:r>
      <w:r w:rsidR="005147A6" w:rsidRPr="00E14EE6">
        <w:t xml:space="preserve"> in 2021, thus exceeding the pre</w:t>
      </w:r>
      <w:r w:rsidRPr="00E14EE6">
        <w:noBreakHyphen/>
      </w:r>
      <w:r w:rsidR="005147A6" w:rsidRPr="00E14EE6">
        <w:t>pandemic level of 2019 by 4.7</w:t>
      </w:r>
      <w:r>
        <w:t>%</w:t>
      </w:r>
      <w:r w:rsidRPr="00E14EE6">
        <w:t>. T</w:t>
      </w:r>
      <w:r w:rsidR="005147A6" w:rsidRPr="00E14EE6">
        <w:t xml:space="preserve">his pushed nominal GDP above </w:t>
      </w:r>
      <w:r w:rsidRPr="00E14EE6">
        <w:t>USD 94 billion</w:t>
      </w:r>
      <w:r w:rsidR="005147A6" w:rsidRPr="00E14EE6">
        <w:t xml:space="preserve"> and GDP per capita to almost </w:t>
      </w:r>
      <w:r w:rsidRPr="00E14EE6">
        <w:t>USD 9</w:t>
      </w:r>
      <w:r w:rsidR="005147A6" w:rsidRPr="00E14EE6">
        <w:t>,000.</w:t>
      </w:r>
      <w:r w:rsidRPr="00E14EE6">
        <w:rPr>
          <w:rStyle w:val="FootnoteReference"/>
        </w:rPr>
        <w:footnoteReference w:id="5"/>
      </w:r>
    </w:p>
    <w:p w14:paraId="32A42FD1" w14:textId="0AA94B47" w:rsidR="00CA7676" w:rsidRPr="00E14EE6" w:rsidRDefault="00E14EE6" w:rsidP="00763857">
      <w:pPr>
        <w:pStyle w:val="BodyText"/>
      </w:pPr>
      <w:r w:rsidRPr="00E14EE6">
        <w:t>T</w:t>
      </w:r>
      <w:r w:rsidR="005147A6" w:rsidRPr="00E14EE6">
        <w:t xml:space="preserve">urning to the expenditure side of </w:t>
      </w:r>
      <w:r w:rsidR="000707F5" w:rsidRPr="00E14EE6">
        <w:t xml:space="preserve">performance in </w:t>
      </w:r>
      <w:r w:rsidR="005147A6" w:rsidRPr="00E14EE6">
        <w:t xml:space="preserve">2021, domestic demand </w:t>
      </w:r>
      <w:r w:rsidR="00D23558" w:rsidRPr="00E14EE6">
        <w:t>grew</w:t>
      </w:r>
      <w:r w:rsidR="005147A6" w:rsidRPr="00E14EE6">
        <w:t xml:space="preserve"> by 11.1</w:t>
      </w:r>
      <w:r>
        <w:t>%</w:t>
      </w:r>
      <w:r w:rsidR="005147A6" w:rsidRPr="00E14EE6">
        <w:t>, notably due to a 22.1</w:t>
      </w:r>
      <w:r>
        <w:t>%</w:t>
      </w:r>
      <w:r w:rsidR="005147A6" w:rsidRPr="00E14EE6">
        <w:t xml:space="preserve"> increase in gross fixed capital formation and a 5.6</w:t>
      </w:r>
      <w:r>
        <w:t>%</w:t>
      </w:r>
      <w:r w:rsidR="005147A6" w:rsidRPr="00E14EE6">
        <w:t xml:space="preserve"> increase in final </w:t>
      </w:r>
      <w:r w:rsidR="005147A6" w:rsidRPr="00E14EE6">
        <w:lastRenderedPageBreak/>
        <w:t xml:space="preserve">consumption, mainly private consumption, which </w:t>
      </w:r>
      <w:r w:rsidR="00D23558" w:rsidRPr="00E14EE6">
        <w:t>rose</w:t>
      </w:r>
      <w:r w:rsidR="005147A6" w:rsidRPr="00E14EE6">
        <w:t xml:space="preserve"> by 6.6</w:t>
      </w:r>
      <w:r>
        <w:t>%</w:t>
      </w:r>
      <w:r w:rsidR="005147A6" w:rsidRPr="00E14EE6">
        <w:t xml:space="preserve"> (compared with public consumption, which grew by only 0.1</w:t>
      </w:r>
      <w:r>
        <w:t>%</w:t>
      </w:r>
      <w:r w:rsidR="005147A6" w:rsidRPr="00E14EE6">
        <w:t>)</w:t>
      </w:r>
      <w:r w:rsidRPr="00E14EE6">
        <w:t>. P</w:t>
      </w:r>
      <w:r w:rsidR="005147A6" w:rsidRPr="00E14EE6">
        <w:t xml:space="preserve">rivate consumption was boosted by monetary easing measures implemented in 2020, and by the historic level of remittances in 2021, which exceeded </w:t>
      </w:r>
      <w:r w:rsidRPr="00E14EE6">
        <w:t>USD 10 billion. T</w:t>
      </w:r>
      <w:r w:rsidR="005147A6" w:rsidRPr="00E14EE6">
        <w:t>he authorities indicated that trends in gross fixed capital formation reflect the dynamism shown by the construction sector, which has revived with the resumption of major projects in the tourism, commercial and residential sectors</w:t>
      </w:r>
      <w:r w:rsidRPr="00E14EE6">
        <w:t>. T</w:t>
      </w:r>
      <w:r w:rsidR="005147A6" w:rsidRPr="00E14EE6">
        <w:t>hey also consider that the positive investment climate and more favourable financial conditions contributed to the performance of this component of domestic demand</w:t>
      </w:r>
      <w:r w:rsidRPr="00E14EE6">
        <w:t>. A</w:t>
      </w:r>
      <w:r w:rsidR="005147A6" w:rsidRPr="00E14EE6">
        <w:t>s exports grew by 36.2</w:t>
      </w:r>
      <w:r>
        <w:t>%</w:t>
      </w:r>
      <w:r w:rsidR="005147A6" w:rsidRPr="00E14EE6">
        <w:t>, that is, faster than imports, which increased by 24.7</w:t>
      </w:r>
      <w:r>
        <w:t>%</w:t>
      </w:r>
      <w:r w:rsidR="005147A6" w:rsidRPr="00E14EE6">
        <w:t>, net exports thus contributed positively to real GDP.</w:t>
      </w:r>
      <w:r w:rsidRPr="00E14EE6">
        <w:rPr>
          <w:rStyle w:val="FootnoteReference"/>
        </w:rPr>
        <w:footnoteReference w:id="6"/>
      </w:r>
    </w:p>
    <w:p w14:paraId="5FCB3EEA" w14:textId="1BB98DCE" w:rsidR="00CA7676" w:rsidRPr="00E14EE6" w:rsidRDefault="00E14EE6" w:rsidP="00763857">
      <w:pPr>
        <w:pStyle w:val="BodyText"/>
      </w:pPr>
      <w:r w:rsidRPr="00E14EE6">
        <w:t>A</w:t>
      </w:r>
      <w:r w:rsidR="005147A6" w:rsidRPr="00E14EE6">
        <w:t>s noted above, real GDP grew by 6.1</w:t>
      </w:r>
      <w:r>
        <w:t>%</w:t>
      </w:r>
      <w:r w:rsidR="005147A6" w:rsidRPr="00E14EE6">
        <w:t xml:space="preserve"> during the first quarter of 2022 compared with the same period the previous year</w:t>
      </w:r>
      <w:r w:rsidRPr="00E14EE6">
        <w:t>. L</w:t>
      </w:r>
      <w:r w:rsidR="005147A6" w:rsidRPr="00E14EE6">
        <w:t>ooking at this result through the lens of expenditure, domestic demand grew by 8.0</w:t>
      </w:r>
      <w:r>
        <w:t>%</w:t>
      </w:r>
      <w:r w:rsidR="005147A6" w:rsidRPr="00E14EE6">
        <w:t>, driven mainly by an 8.4</w:t>
      </w:r>
      <w:r>
        <w:t>%</w:t>
      </w:r>
      <w:r w:rsidR="005147A6" w:rsidRPr="00E14EE6">
        <w:t xml:space="preserve"> increase in gross fixed capital formation and a 4.5</w:t>
      </w:r>
      <w:r>
        <w:t>%</w:t>
      </w:r>
      <w:r w:rsidR="005147A6" w:rsidRPr="00E14EE6">
        <w:t xml:space="preserve"> jump in final consumption</w:t>
      </w:r>
      <w:r w:rsidRPr="00E14EE6">
        <w:t>. E</w:t>
      </w:r>
      <w:r w:rsidR="005147A6" w:rsidRPr="00E14EE6">
        <w:t>xports and imports showed positive year</w:t>
      </w:r>
      <w:r w:rsidRPr="00E14EE6">
        <w:noBreakHyphen/>
      </w:r>
      <w:r w:rsidR="005147A6" w:rsidRPr="00E14EE6">
        <w:t>on</w:t>
      </w:r>
      <w:r w:rsidRPr="00E14EE6">
        <w:noBreakHyphen/>
      </w:r>
      <w:r w:rsidR="005147A6" w:rsidRPr="00E14EE6">
        <w:t>year changes of 32.2</w:t>
      </w:r>
      <w:r>
        <w:t>%</w:t>
      </w:r>
      <w:r w:rsidR="005147A6" w:rsidRPr="00E14EE6">
        <w:t xml:space="preserve"> and 23.5</w:t>
      </w:r>
      <w:r>
        <w:t>%</w:t>
      </w:r>
      <w:r w:rsidR="005147A6" w:rsidRPr="00E14EE6">
        <w:t>, respectively.</w:t>
      </w:r>
      <w:r w:rsidRPr="00E14EE6">
        <w:rPr>
          <w:rStyle w:val="FootnoteReference"/>
        </w:rPr>
        <w:footnoteReference w:id="7"/>
      </w:r>
    </w:p>
    <w:p w14:paraId="1339769F" w14:textId="3881E0DB" w:rsidR="00CA7676" w:rsidRPr="00E14EE6" w:rsidRDefault="00E14EE6" w:rsidP="00763857">
      <w:pPr>
        <w:pStyle w:val="BodyText"/>
      </w:pPr>
      <w:r w:rsidRPr="00E14EE6">
        <w:t>T</w:t>
      </w:r>
      <w:r w:rsidR="005147A6" w:rsidRPr="00E14EE6">
        <w:t xml:space="preserve">he economy's sustained growth between 2015 and 2019 </w:t>
      </w:r>
      <w:r w:rsidR="001A435B" w:rsidRPr="00E14EE6">
        <w:t xml:space="preserve">was </w:t>
      </w:r>
      <w:r w:rsidR="005147A6" w:rsidRPr="00E14EE6">
        <w:t xml:space="preserve">reflected </w:t>
      </w:r>
      <w:r w:rsidR="001A435B" w:rsidRPr="00E14EE6">
        <w:t xml:space="preserve">in </w:t>
      </w:r>
      <w:r w:rsidR="005147A6" w:rsidRPr="00E14EE6">
        <w:t xml:space="preserve">a drop in the open unemployment rate (the official unemployment rate), which fell from an average </w:t>
      </w:r>
      <w:r w:rsidR="001A435B" w:rsidRPr="00E14EE6">
        <w:t xml:space="preserve">of </w:t>
      </w:r>
      <w:r w:rsidR="005147A6" w:rsidRPr="00E14EE6">
        <w:t>7.3</w:t>
      </w:r>
      <w:r>
        <w:t>%</w:t>
      </w:r>
      <w:r w:rsidR="005147A6" w:rsidRPr="00E14EE6">
        <w:t xml:space="preserve"> in 2015 to 6</w:t>
      </w:r>
      <w:r w:rsidR="001A435B" w:rsidRPr="00E14EE6">
        <w:t>.</w:t>
      </w:r>
      <w:r w:rsidR="005147A6" w:rsidRPr="00E14EE6">
        <w:t>2</w:t>
      </w:r>
      <w:r>
        <w:t>%</w:t>
      </w:r>
      <w:r w:rsidR="005147A6" w:rsidRPr="00E14EE6">
        <w:t xml:space="preserve"> in 2019</w:t>
      </w:r>
      <w:r w:rsidRPr="00E14EE6">
        <w:t>. E</w:t>
      </w:r>
      <w:r w:rsidR="005147A6" w:rsidRPr="00E14EE6">
        <w:t xml:space="preserve">conomic growth and reduced unemployment led to </w:t>
      </w:r>
      <w:r w:rsidR="001A435B" w:rsidRPr="00E14EE6">
        <w:t>the</w:t>
      </w:r>
      <w:r w:rsidR="005147A6" w:rsidRPr="00E14EE6">
        <w:t xml:space="preserve"> overall poverty </w:t>
      </w:r>
      <w:r w:rsidR="001A435B" w:rsidRPr="00E14EE6">
        <w:t xml:space="preserve">rate dropping </w:t>
      </w:r>
      <w:r w:rsidR="005147A6" w:rsidRPr="00E14EE6">
        <w:t>from 30.8</w:t>
      </w:r>
      <w:r>
        <w:t>%</w:t>
      </w:r>
      <w:r w:rsidR="005147A6" w:rsidRPr="00E14EE6">
        <w:t xml:space="preserve"> in 2015 to 21.0</w:t>
      </w:r>
      <w:r>
        <w:t>%</w:t>
      </w:r>
      <w:r w:rsidR="005147A6" w:rsidRPr="00E14EE6">
        <w:t xml:space="preserve"> in 2019, while extreme poverty fell from 6.3</w:t>
      </w:r>
      <w:r>
        <w:t>%</w:t>
      </w:r>
      <w:r w:rsidR="005147A6" w:rsidRPr="00E14EE6">
        <w:t xml:space="preserve"> in 2015 to 2.7</w:t>
      </w:r>
      <w:r>
        <w:t>%</w:t>
      </w:r>
      <w:r w:rsidR="005147A6" w:rsidRPr="00E14EE6">
        <w:t xml:space="preserve"> in 2019</w:t>
      </w:r>
      <w:r w:rsidRPr="00E14EE6">
        <w:t>.</w:t>
      </w:r>
      <w:r w:rsidRPr="00E14EE6">
        <w:rPr>
          <w:rStyle w:val="FootnoteReference"/>
        </w:rPr>
        <w:footnoteReference w:id="8"/>
      </w:r>
      <w:r w:rsidRPr="00E14EE6">
        <w:t xml:space="preserve"> T</w:t>
      </w:r>
      <w:r w:rsidR="005147A6" w:rsidRPr="00E14EE6">
        <w:t xml:space="preserve">he average open unemployment rate </w:t>
      </w:r>
      <w:r w:rsidR="006859EB" w:rsidRPr="00E14EE6">
        <w:t>was</w:t>
      </w:r>
      <w:r w:rsidR="005147A6" w:rsidRPr="00E14EE6">
        <w:t xml:space="preserve"> 5.8</w:t>
      </w:r>
      <w:r>
        <w:t>%</w:t>
      </w:r>
      <w:r w:rsidR="005147A6" w:rsidRPr="00E14EE6">
        <w:t xml:space="preserve"> in 2020, below the rate in 2019, although this is partly due to the impact of the COVID</w:t>
      </w:r>
      <w:r w:rsidRPr="00E14EE6">
        <w:noBreakHyphen/>
      </w:r>
      <w:r w:rsidR="005147A6" w:rsidRPr="00E14EE6">
        <w:t>19 pandemic, as measures such as quarantine and the shutdown of non</w:t>
      </w:r>
      <w:r w:rsidRPr="00E14EE6">
        <w:noBreakHyphen/>
      </w:r>
      <w:r w:rsidR="005147A6" w:rsidRPr="00E14EE6">
        <w:t>essential economic activities had a strong impact on the labour market, causing part of the labour force to withdraw from the market</w:t>
      </w:r>
      <w:r w:rsidRPr="00E14EE6">
        <w:t>. I</w:t>
      </w:r>
      <w:r w:rsidR="005147A6" w:rsidRPr="00E14EE6">
        <w:t>n particular, for example, in the second quarter of 2020, the unemployment rate was 3.2</w:t>
      </w:r>
      <w:r>
        <w:t>%</w:t>
      </w:r>
      <w:r w:rsidR="005147A6" w:rsidRPr="00E14EE6">
        <w:t>, as people were unable to actively search for work due to lockdown measures</w:t>
      </w:r>
      <w:r w:rsidRPr="00E14EE6">
        <w:t>. I</w:t>
      </w:r>
      <w:r w:rsidR="005147A6" w:rsidRPr="00E14EE6">
        <w:t>n the third and fourth quarters of 2020, the labour market situation began to stabilize and people began job</w:t>
      </w:r>
      <w:r w:rsidRPr="00E14EE6">
        <w:noBreakHyphen/>
      </w:r>
      <w:r w:rsidR="005147A6" w:rsidRPr="00E14EE6">
        <w:t>hunting again, raising open unemployment rates to 7.1</w:t>
      </w:r>
      <w:r>
        <w:t>%</w:t>
      </w:r>
      <w:r w:rsidR="005147A6" w:rsidRPr="00E14EE6">
        <w:t xml:space="preserve"> and 7.4</w:t>
      </w:r>
      <w:r>
        <w:t>%</w:t>
      </w:r>
      <w:r w:rsidR="005147A6" w:rsidRPr="00E14EE6">
        <w:t>, respectively</w:t>
      </w:r>
      <w:r w:rsidRPr="00E14EE6">
        <w:t>.</w:t>
      </w:r>
      <w:r w:rsidRPr="00E14EE6">
        <w:rPr>
          <w:rStyle w:val="FootnoteReference"/>
        </w:rPr>
        <w:footnoteReference w:id="9"/>
      </w:r>
      <w:r w:rsidRPr="00E14EE6">
        <w:t xml:space="preserve"> I</w:t>
      </w:r>
      <w:r w:rsidR="005147A6" w:rsidRPr="00E14EE6">
        <w:t>n 2021, the labour market continued to stabilize with the average open unemployment rate remaining at 7.4</w:t>
      </w:r>
      <w:r>
        <w:t>%</w:t>
      </w:r>
      <w:r w:rsidR="005147A6" w:rsidRPr="00E14EE6">
        <w:t>, reflecting the fact that a large proportion of the inactive population began actively looking for work again</w:t>
      </w:r>
      <w:r w:rsidRPr="00E14EE6">
        <w:t>. H</w:t>
      </w:r>
      <w:r w:rsidR="005147A6" w:rsidRPr="00E14EE6">
        <w:t>owever, in the first quarter of 2022 the unemployment rate fell to 6.4</w:t>
      </w:r>
      <w:r>
        <w:t>%</w:t>
      </w:r>
      <w:r w:rsidR="005147A6" w:rsidRPr="00E14EE6">
        <w:t xml:space="preserve"> and the employment rate rose to 59.4</w:t>
      </w:r>
      <w:r>
        <w:t>%</w:t>
      </w:r>
      <w:r w:rsidR="005147A6" w:rsidRPr="00E14EE6">
        <w:t>, compared with 56.7</w:t>
      </w:r>
      <w:r>
        <w:t>%</w:t>
      </w:r>
      <w:r w:rsidR="005147A6" w:rsidRPr="00E14EE6">
        <w:t xml:space="preserve"> in 2020.</w:t>
      </w:r>
    </w:p>
    <w:p w14:paraId="1E885C8C" w14:textId="699BF88D" w:rsidR="00CA7676" w:rsidRPr="00E14EE6" w:rsidRDefault="00E14EE6" w:rsidP="00763857">
      <w:pPr>
        <w:pStyle w:val="BodyText"/>
      </w:pPr>
      <w:r w:rsidRPr="00E14EE6">
        <w:t>I</w:t>
      </w:r>
      <w:r w:rsidR="005147A6" w:rsidRPr="00E14EE6">
        <w:t xml:space="preserve">n its most recent Article IV review, in </w:t>
      </w:r>
      <w:r w:rsidRPr="00E14EE6">
        <w:t>May 2</w:t>
      </w:r>
      <w:r w:rsidR="005147A6" w:rsidRPr="00E14EE6">
        <w:t>022, the International Monetary Fund (IMF) noted that the Dominican Republic has experienced a strong recovery from the pandemic, supported by well</w:t>
      </w:r>
      <w:r w:rsidRPr="00E14EE6">
        <w:noBreakHyphen/>
      </w:r>
      <w:r w:rsidR="005147A6" w:rsidRPr="00E14EE6">
        <w:t>sequenced policies, an agile reopening and global economic growth</w:t>
      </w:r>
      <w:r w:rsidRPr="00E14EE6">
        <w:t>. T</w:t>
      </w:r>
      <w:r w:rsidR="005147A6" w:rsidRPr="00E14EE6">
        <w:t>he IMF indicated that this recovery allowed the authorities to take steps to secure policy sustainability, and that ongoing and planned reforms have the potential to improve policy frameworks and foster inclusive growth over the medium term</w:t>
      </w:r>
      <w:r w:rsidRPr="00E14EE6">
        <w:t>. S</w:t>
      </w:r>
      <w:r w:rsidR="005147A6" w:rsidRPr="00E14EE6">
        <w:t>pecifically, it highlights the resilience of the Dominican economy to global shocks, supported by sound policies, monetary policy support, a nimble COVID</w:t>
      </w:r>
      <w:r w:rsidRPr="00E14EE6">
        <w:noBreakHyphen/>
      </w:r>
      <w:r w:rsidR="005147A6" w:rsidRPr="00E14EE6">
        <w:t>19 vaccination campaign and a reopening that made the most of the global rebound</w:t>
      </w:r>
      <w:r w:rsidRPr="00E14EE6">
        <w:t>. T</w:t>
      </w:r>
      <w:r w:rsidR="005147A6" w:rsidRPr="00E14EE6">
        <w:t>he IMF noted that, by the end of 2021, GDP was about 5</w:t>
      </w:r>
      <w:r>
        <w:t>%</w:t>
      </w:r>
      <w:r w:rsidR="005147A6" w:rsidRPr="00E14EE6">
        <w:t xml:space="preserve"> above pre</w:t>
      </w:r>
      <w:r w:rsidRPr="00E14EE6">
        <w:noBreakHyphen/>
      </w:r>
      <w:r w:rsidR="005147A6" w:rsidRPr="00E14EE6">
        <w:t xml:space="preserve">pandemic levels, and that the external position was robust, with the current account financed by </w:t>
      </w:r>
      <w:proofErr w:type="spellStart"/>
      <w:r w:rsidR="000C21FB" w:rsidRPr="00E14EE6">
        <w:t>FDI</w:t>
      </w:r>
      <w:proofErr w:type="spellEnd"/>
      <w:r w:rsidR="005147A6" w:rsidRPr="00E14EE6">
        <w:t xml:space="preserve"> and attaining a significant accumulation of reserves</w:t>
      </w:r>
      <w:r w:rsidRPr="00E14EE6">
        <w:t>. A</w:t>
      </w:r>
      <w:r w:rsidR="005147A6" w:rsidRPr="00E14EE6">
        <w:t>ccording to the IMF's assessment, GDP growth was expected to converge to 5</w:t>
      </w:r>
      <w:r>
        <w:t>%</w:t>
      </w:r>
      <w:r w:rsidR="005147A6" w:rsidRPr="00E14EE6">
        <w:t xml:space="preserve"> </w:t>
      </w:r>
      <w:r w:rsidRPr="00E14EE6">
        <w:noBreakHyphen/>
      </w:r>
      <w:r w:rsidR="005147A6" w:rsidRPr="00E14EE6">
        <w:t xml:space="preserve"> around its potential </w:t>
      </w:r>
      <w:r w:rsidRPr="00E14EE6">
        <w:noBreakHyphen/>
      </w:r>
      <w:r w:rsidR="005147A6" w:rsidRPr="00E14EE6">
        <w:t xml:space="preserve"> and inflation to return to the target range (see below) in 2023 as the impact of global shocks recedes</w:t>
      </w:r>
      <w:r w:rsidRPr="00E14EE6">
        <w:t>. I</w:t>
      </w:r>
      <w:r w:rsidR="005147A6" w:rsidRPr="00E14EE6">
        <w:t>t was recommended that the monetary policy be data dependent, to keep inflation expectations well</w:t>
      </w:r>
      <w:r w:rsidRPr="00E14EE6">
        <w:noBreakHyphen/>
      </w:r>
      <w:r w:rsidR="005147A6" w:rsidRPr="00E14EE6">
        <w:t>anchored, to safeguard the credibility of the inflation targeting regime and to seek an inclusive fiscal consolidation that can secure the downward path in public debt</w:t>
      </w:r>
      <w:r w:rsidRPr="00E14EE6">
        <w:t>. T</w:t>
      </w:r>
      <w:r w:rsidR="005147A6" w:rsidRPr="00E14EE6">
        <w:t>o this end, it was suggested to strengthen both public financial management and the medium</w:t>
      </w:r>
      <w:r w:rsidRPr="00E14EE6">
        <w:noBreakHyphen/>
      </w:r>
      <w:r w:rsidR="005147A6" w:rsidRPr="00E14EE6">
        <w:t xml:space="preserve">term fiscal framework while </w:t>
      </w:r>
      <w:r w:rsidR="005147A6" w:rsidRPr="00E14EE6">
        <w:lastRenderedPageBreak/>
        <w:t>increasing transparency and governance, including in public procurement, and to continue improvements in the business climate and investing in infrastructure and human capital.</w:t>
      </w:r>
      <w:r w:rsidRPr="00E14EE6">
        <w:rPr>
          <w:rStyle w:val="FootnoteReference"/>
        </w:rPr>
        <w:footnoteReference w:id="10"/>
      </w:r>
    </w:p>
    <w:p w14:paraId="705335D5" w14:textId="1F9B2A38" w:rsidR="00CA7676" w:rsidRPr="00E14EE6" w:rsidRDefault="005147A6" w:rsidP="00763857">
      <w:pPr>
        <w:pStyle w:val="Heading3"/>
      </w:pPr>
      <w:bookmarkStart w:id="37" w:name="_Toc117260593"/>
      <w:r w:rsidRPr="00E14EE6">
        <w:t>Fiscal policy</w:t>
      </w:r>
      <w:bookmarkEnd w:id="37"/>
    </w:p>
    <w:p w14:paraId="43451774" w14:textId="1EAF5686" w:rsidR="00CA7676" w:rsidRPr="00E14EE6" w:rsidRDefault="00E14EE6" w:rsidP="00763857">
      <w:pPr>
        <w:pStyle w:val="BodyText"/>
      </w:pPr>
      <w:r w:rsidRPr="00E14EE6">
        <w:t>F</w:t>
      </w:r>
      <w:r w:rsidR="005147A6" w:rsidRPr="00E14EE6">
        <w:t>iscal policy in the Dominican Republic is developed and implemented by the Ministry of Finance</w:t>
      </w:r>
      <w:r w:rsidRPr="00E14EE6">
        <w:t>. T</w:t>
      </w:r>
      <w:r w:rsidR="005147A6" w:rsidRPr="00E14EE6">
        <w:t>he Ministry's mandate is to "ensure the sustainability of public finances, in order to contribute to macroeconomic stability through the efficient and equitable design and execution of revenue, expenditure and financing policies promoting the well</w:t>
      </w:r>
      <w:r w:rsidRPr="00E14EE6">
        <w:noBreakHyphen/>
      </w:r>
      <w:r w:rsidR="005147A6" w:rsidRPr="00E14EE6">
        <w:t>being of Dominican society".</w:t>
      </w:r>
      <w:r w:rsidRPr="00E14EE6">
        <w:rPr>
          <w:rStyle w:val="FootnoteReference"/>
        </w:rPr>
        <w:footnoteReference w:id="11"/>
      </w:r>
    </w:p>
    <w:p w14:paraId="4CA18658" w14:textId="479724A7" w:rsidR="007C74EF" w:rsidRPr="00E14EE6" w:rsidRDefault="00E14EE6" w:rsidP="00763857">
      <w:pPr>
        <w:pStyle w:val="BodyText"/>
      </w:pPr>
      <w:r w:rsidRPr="00E14EE6">
        <w:t>T</w:t>
      </w:r>
      <w:r w:rsidR="005147A6" w:rsidRPr="00E14EE6">
        <w:t>he medium</w:t>
      </w:r>
      <w:r w:rsidRPr="00E14EE6">
        <w:noBreakHyphen/>
      </w:r>
      <w:r w:rsidR="005147A6" w:rsidRPr="00E14EE6">
        <w:t>term fiscal policy guidelines aim to anchor the public debt path to the sustainability framework in order to ensure the allocation of public resources to meet social demands and position the Dominican Republic's sovereign rating at investment grade</w:t>
      </w:r>
      <w:r w:rsidRPr="00E14EE6">
        <w:t>. I</w:t>
      </w:r>
      <w:r w:rsidR="005147A6" w:rsidRPr="00E14EE6">
        <w:t>n accordance with the medium</w:t>
      </w:r>
      <w:r w:rsidRPr="00E14EE6">
        <w:noBreakHyphen/>
      </w:r>
      <w:r w:rsidR="005147A6" w:rsidRPr="00E14EE6">
        <w:t>term fiscal framework 2022</w:t>
      </w:r>
      <w:r w:rsidRPr="00E14EE6">
        <w:noBreakHyphen/>
      </w:r>
      <w:r w:rsidR="005147A6" w:rsidRPr="00E14EE6">
        <w:t>26, these objectives focus on fiscal discipline, strengthening tax revenues and targeting public resources</w:t>
      </w:r>
      <w:r w:rsidRPr="00E14EE6">
        <w:t>. T</w:t>
      </w:r>
      <w:r w:rsidR="005147A6" w:rsidRPr="00E14EE6">
        <w:t>he fulfilment of these objectives is expected to create the conditions to foster macroeconomic stability</w:t>
      </w:r>
      <w:r w:rsidRPr="00E14EE6">
        <w:t>. T</w:t>
      </w:r>
      <w:r w:rsidR="005147A6" w:rsidRPr="00E14EE6">
        <w:t>he authorities consider that fiscal leeway is needed to implement policies to address the country's structural problems without increasing fiscal risks or compromising the future of public finances</w:t>
      </w:r>
      <w:r w:rsidRPr="00E14EE6">
        <w:t>. T</w:t>
      </w:r>
      <w:r w:rsidR="005147A6" w:rsidRPr="00E14EE6">
        <w:t xml:space="preserve">he authorities </w:t>
      </w:r>
      <w:r w:rsidR="00041987" w:rsidRPr="00E14EE6">
        <w:t>are of the view</w:t>
      </w:r>
      <w:r w:rsidR="005147A6" w:rsidRPr="00E14EE6">
        <w:t xml:space="preserve"> that medium</w:t>
      </w:r>
      <w:r w:rsidRPr="00E14EE6">
        <w:noBreakHyphen/>
      </w:r>
      <w:r w:rsidR="005147A6" w:rsidRPr="00E14EE6">
        <w:t>term fiscal policy should focus on reducing gross financing needs and public debt levels while curbing unnecessary expenditure, increasing tax revenue and managing the debt portfolio efficiently.</w:t>
      </w:r>
      <w:r w:rsidRPr="00E14EE6">
        <w:rPr>
          <w:rStyle w:val="FootnoteReference"/>
        </w:rPr>
        <w:footnoteReference w:id="12"/>
      </w:r>
    </w:p>
    <w:p w14:paraId="6BABC990" w14:textId="0C65E992" w:rsidR="00CA7676" w:rsidRPr="00E14EE6" w:rsidRDefault="00E14EE6" w:rsidP="00763857">
      <w:pPr>
        <w:pStyle w:val="BodyText"/>
      </w:pPr>
      <w:r w:rsidRPr="00E14EE6">
        <w:t>T</w:t>
      </w:r>
      <w:r w:rsidR="005147A6" w:rsidRPr="00E14EE6">
        <w:t>he medium</w:t>
      </w:r>
      <w:r w:rsidRPr="00E14EE6">
        <w:noBreakHyphen/>
      </w:r>
      <w:r w:rsidR="005147A6" w:rsidRPr="00E14EE6">
        <w:t>term fiscal framework provides for a path of gradual and continuous consolidation of the fiscal deficit, in order to achieve balanced public finances and reduce the debt service burden on tax revenue</w:t>
      </w:r>
      <w:r w:rsidRPr="00E14EE6">
        <w:t>. A</w:t>
      </w:r>
      <w:r w:rsidR="005147A6" w:rsidRPr="00E14EE6">
        <w:t>nother key objective of the fiscal framework is to ensure the financing of public expenditure, prioritizing and streamlining it in line with expected revenue</w:t>
      </w:r>
      <w:r w:rsidRPr="00E14EE6">
        <w:t>. T</w:t>
      </w:r>
      <w:r w:rsidR="005147A6" w:rsidRPr="00E14EE6">
        <w:t xml:space="preserve">o this end, improving expenditure quality and efficiency is deemed necessary, which involves continuing to restructure </w:t>
      </w:r>
      <w:r w:rsidR="002D4BA7" w:rsidRPr="00E14EE6">
        <w:t>state</w:t>
      </w:r>
      <w:r w:rsidR="005147A6" w:rsidRPr="00E14EE6">
        <w:t xml:space="preserve"> institutions</w:t>
      </w:r>
      <w:r w:rsidRPr="00E14EE6">
        <w:t>. T</w:t>
      </w:r>
      <w:r w:rsidR="005147A6" w:rsidRPr="00E14EE6">
        <w:t>he medium</w:t>
      </w:r>
      <w:r w:rsidRPr="00E14EE6">
        <w:noBreakHyphen/>
      </w:r>
      <w:r w:rsidR="005147A6" w:rsidRPr="00E14EE6">
        <w:t>term tax policy guidelines are aimed at strengthening the tax system by adjusting it to the OECD's Inclusive Framework on Base Erosion and Profit Shifting (BEPS)</w:t>
      </w:r>
      <w:r w:rsidRPr="00E14EE6">
        <w:t>. A</w:t>
      </w:r>
      <w:r w:rsidR="005147A6" w:rsidRPr="00E14EE6">
        <w:t xml:space="preserve"> policy of increasing tax revenue will be pursued by making administrative improvements and using new technologies, such as electronic invoicing, for the purposes of tax collection and inspection to fight tax avoidance, evasion and fraud</w:t>
      </w:r>
      <w:r w:rsidRPr="00E14EE6">
        <w:t>. T</w:t>
      </w:r>
      <w:r w:rsidR="005147A6" w:rsidRPr="00E14EE6">
        <w:t>he debt management guidelines focus on minimizing financing costs and mitigating portfolio risks, and include increasing the share of debt with multilateral organizations and reducing reliance on bond issues in international markets</w:t>
      </w:r>
      <w:r w:rsidRPr="00E14EE6">
        <w:t>. E</w:t>
      </w:r>
      <w:r w:rsidR="005147A6" w:rsidRPr="00E14EE6">
        <w:t>fforts will also be made to further develop and deepen the local capital market.</w:t>
      </w:r>
      <w:r w:rsidRPr="00E14EE6">
        <w:rPr>
          <w:rStyle w:val="FootnoteReference"/>
        </w:rPr>
        <w:footnoteReference w:id="13"/>
      </w:r>
    </w:p>
    <w:p w14:paraId="38609339" w14:textId="2584D0F7" w:rsidR="007C74EF" w:rsidRPr="00E14EE6" w:rsidRDefault="00E14EE6" w:rsidP="00763857">
      <w:pPr>
        <w:pStyle w:val="BodyText"/>
      </w:pPr>
      <w:r w:rsidRPr="00E14EE6">
        <w:t>L</w:t>
      </w:r>
      <w:r w:rsidR="005147A6" w:rsidRPr="00E14EE6">
        <w:t>aw No. 139</w:t>
      </w:r>
      <w:r w:rsidRPr="00E14EE6">
        <w:noBreakHyphen/>
      </w:r>
      <w:r w:rsidR="005147A6" w:rsidRPr="00E14EE6">
        <w:t xml:space="preserve">11 and Law </w:t>
      </w:r>
      <w:bookmarkStart w:id="39" w:name="_Hlk113447718"/>
      <w:r w:rsidRPr="00E14EE6">
        <w:t>No.</w:t>
      </w:r>
      <w:bookmarkEnd w:id="39"/>
      <w:r w:rsidRPr="00E14EE6">
        <w:t> </w:t>
      </w:r>
      <w:r w:rsidR="005147A6" w:rsidRPr="00E14EE6">
        <w:t>253</w:t>
      </w:r>
      <w:r w:rsidRPr="00E14EE6">
        <w:noBreakHyphen/>
      </w:r>
      <w:r w:rsidR="005147A6" w:rsidRPr="00E14EE6">
        <w:t xml:space="preserve">12 on </w:t>
      </w:r>
      <w:r w:rsidR="002D4BA7" w:rsidRPr="00E14EE6">
        <w:t>s</w:t>
      </w:r>
      <w:r w:rsidR="005147A6" w:rsidRPr="00E14EE6">
        <w:t xml:space="preserve">trengthening the State's </w:t>
      </w:r>
      <w:r w:rsidR="002D4BA7" w:rsidRPr="00E14EE6">
        <w:t>r</w:t>
      </w:r>
      <w:r w:rsidR="005147A6" w:rsidRPr="00E14EE6">
        <w:t xml:space="preserve">evenue </w:t>
      </w:r>
      <w:r w:rsidR="002D4BA7" w:rsidRPr="00E14EE6">
        <w:t>c</w:t>
      </w:r>
      <w:r w:rsidR="005147A6" w:rsidRPr="00E14EE6">
        <w:t xml:space="preserve">apacity for </w:t>
      </w:r>
      <w:r w:rsidR="002D4BA7" w:rsidRPr="00E14EE6">
        <w:t>f</w:t>
      </w:r>
      <w:r w:rsidR="005147A6" w:rsidRPr="00E14EE6">
        <w:t xml:space="preserve">iscal </w:t>
      </w:r>
      <w:r w:rsidR="002D4BA7" w:rsidRPr="00E14EE6">
        <w:t>s</w:t>
      </w:r>
      <w:r w:rsidR="005147A6" w:rsidRPr="00E14EE6">
        <w:t xml:space="preserve">ustainability and </w:t>
      </w:r>
      <w:r w:rsidR="002D4BA7" w:rsidRPr="00E14EE6">
        <w:t>s</w:t>
      </w:r>
      <w:r w:rsidR="005147A6" w:rsidRPr="00E14EE6">
        <w:t xml:space="preserve">ustainable </w:t>
      </w:r>
      <w:r w:rsidR="002D4BA7" w:rsidRPr="00E14EE6">
        <w:t>d</w:t>
      </w:r>
      <w:r w:rsidR="005147A6" w:rsidRPr="00E14EE6">
        <w:t>evelopment</w:t>
      </w:r>
      <w:r w:rsidR="002D4BA7" w:rsidRPr="00E14EE6">
        <w:t>,</w:t>
      </w:r>
      <w:r w:rsidR="005147A6" w:rsidRPr="00E14EE6">
        <w:t xml:space="preserve"> led to significant changes in the taxes applied.</w:t>
      </w:r>
      <w:r w:rsidR="00A025A7">
        <w:t xml:space="preserve"> </w:t>
      </w:r>
      <w:r w:rsidR="005147A6" w:rsidRPr="00E14EE6">
        <w:t>Law</w:t>
      </w:r>
      <w:r w:rsidR="00A025A7">
        <w:t> </w:t>
      </w:r>
      <w:r w:rsidR="005147A6" w:rsidRPr="00E14EE6">
        <w:t>No. 253</w:t>
      </w:r>
      <w:r w:rsidRPr="00E14EE6">
        <w:noBreakHyphen/>
      </w:r>
      <w:r w:rsidR="005147A6" w:rsidRPr="00E14EE6">
        <w:t xml:space="preserve">12 provides that natural persons resident or domiciled in the Dominican Republic </w:t>
      </w:r>
      <w:r w:rsidR="002D4BA7" w:rsidRPr="00E14EE6">
        <w:t xml:space="preserve">shall </w:t>
      </w:r>
      <w:r w:rsidR="005147A6" w:rsidRPr="00E14EE6">
        <w:t>pay tax on the net taxable income of the fiscal year in question, calculated as the sum total resulting from applying an inflation</w:t>
      </w:r>
      <w:r w:rsidRPr="00E14EE6">
        <w:noBreakHyphen/>
      </w:r>
      <w:r w:rsidR="005147A6" w:rsidRPr="00E14EE6">
        <w:t>adjusted rates scale progressively</w:t>
      </w:r>
      <w:r w:rsidRPr="00E14EE6">
        <w:t>. I</w:t>
      </w:r>
      <w:r w:rsidR="005147A6" w:rsidRPr="00E14EE6">
        <w:t xml:space="preserve">n 2022, income from </w:t>
      </w:r>
      <w:r w:rsidRPr="00E14EE6">
        <w:t>DOP 416</w:t>
      </w:r>
      <w:r w:rsidR="005147A6" w:rsidRPr="00E14EE6">
        <w:t xml:space="preserve">,220.01 to </w:t>
      </w:r>
      <w:r w:rsidRPr="00E14EE6">
        <w:t>DOP 624</w:t>
      </w:r>
      <w:r w:rsidR="005147A6" w:rsidRPr="00E14EE6">
        <w:t>,329 will be levied at 15</w:t>
      </w:r>
      <w:r>
        <w:t>%</w:t>
      </w:r>
      <w:r w:rsidR="005147A6" w:rsidRPr="00E14EE6">
        <w:t xml:space="preserve"> of the surplus of </w:t>
      </w:r>
      <w:r w:rsidRPr="00E14EE6">
        <w:t>DOP 416</w:t>
      </w:r>
      <w:r w:rsidR="005147A6" w:rsidRPr="00E14EE6">
        <w:t>,220.01</w:t>
      </w:r>
      <w:r w:rsidRPr="00E14EE6">
        <w:t>; i</w:t>
      </w:r>
      <w:r w:rsidR="005147A6" w:rsidRPr="00E14EE6">
        <w:t xml:space="preserve">ncome from </w:t>
      </w:r>
      <w:r w:rsidRPr="00E14EE6">
        <w:t>DOP 624</w:t>
      </w:r>
      <w:r w:rsidR="005147A6" w:rsidRPr="00E14EE6">
        <w:t xml:space="preserve">,329.01 to </w:t>
      </w:r>
      <w:r w:rsidRPr="00E14EE6">
        <w:t>DOP 867</w:t>
      </w:r>
      <w:r w:rsidR="005147A6" w:rsidRPr="00E14EE6">
        <w:t>,123 pay</w:t>
      </w:r>
      <w:r w:rsidR="005219BC" w:rsidRPr="00E14EE6">
        <w:t>s</w:t>
      </w:r>
      <w:r w:rsidR="005147A6" w:rsidRPr="00E14EE6">
        <w:t xml:space="preserve"> </w:t>
      </w:r>
      <w:r w:rsidRPr="00E14EE6">
        <w:t>DOP 31</w:t>
      </w:r>
      <w:r w:rsidR="005147A6" w:rsidRPr="00E14EE6">
        <w:t>,216 plus 20</w:t>
      </w:r>
      <w:r>
        <w:t>%</w:t>
      </w:r>
      <w:r w:rsidR="005147A6" w:rsidRPr="00E14EE6">
        <w:t xml:space="preserve"> of the surplus of </w:t>
      </w:r>
      <w:r w:rsidRPr="00E14EE6">
        <w:t>DOP 624</w:t>
      </w:r>
      <w:r w:rsidR="005147A6" w:rsidRPr="00E14EE6">
        <w:t>,329.01</w:t>
      </w:r>
      <w:r w:rsidRPr="00E14EE6">
        <w:t>; i</w:t>
      </w:r>
      <w:r w:rsidR="005147A6" w:rsidRPr="00E14EE6">
        <w:t xml:space="preserve">ncome </w:t>
      </w:r>
      <w:r w:rsidR="005219BC" w:rsidRPr="00E14EE6">
        <w:t xml:space="preserve">exceeding </w:t>
      </w:r>
      <w:r w:rsidRPr="00E14EE6">
        <w:t>DOP 867</w:t>
      </w:r>
      <w:r w:rsidR="005147A6" w:rsidRPr="00E14EE6">
        <w:t>,123.01 pay</w:t>
      </w:r>
      <w:r w:rsidR="005219BC" w:rsidRPr="00E14EE6">
        <w:t>s</w:t>
      </w:r>
      <w:r w:rsidR="005147A6" w:rsidRPr="00E14EE6">
        <w:t xml:space="preserve"> </w:t>
      </w:r>
      <w:r w:rsidRPr="00E14EE6">
        <w:t>DOP 79</w:t>
      </w:r>
      <w:r w:rsidR="005147A6" w:rsidRPr="00E14EE6">
        <w:t>,776 plus 25</w:t>
      </w:r>
      <w:r>
        <w:t>%</w:t>
      </w:r>
      <w:r w:rsidR="005147A6" w:rsidRPr="00E14EE6">
        <w:t xml:space="preserve"> of the surplus of </w:t>
      </w:r>
      <w:r w:rsidRPr="00E14EE6">
        <w:t>DOP 867</w:t>
      </w:r>
      <w:r w:rsidR="005147A6" w:rsidRPr="00E14EE6">
        <w:t>,123.01</w:t>
      </w:r>
      <w:r w:rsidRPr="00E14EE6">
        <w:t>. I</w:t>
      </w:r>
      <w:r w:rsidR="005147A6" w:rsidRPr="00E14EE6">
        <w:t>ncome tax (</w:t>
      </w:r>
      <w:proofErr w:type="spellStart"/>
      <w:r w:rsidR="005147A6" w:rsidRPr="00E14EE6">
        <w:t>ISR</w:t>
      </w:r>
      <w:proofErr w:type="spellEnd"/>
      <w:r w:rsidR="005147A6" w:rsidRPr="00E14EE6">
        <w:t>) is levied at a rate of 27</w:t>
      </w:r>
      <w:r>
        <w:t>%</w:t>
      </w:r>
      <w:r w:rsidR="005147A6" w:rsidRPr="00E14EE6">
        <w:t xml:space="preserve"> for legal persons.</w:t>
      </w:r>
    </w:p>
    <w:p w14:paraId="6BFCB990" w14:textId="11C37B4E" w:rsidR="007C74EF" w:rsidRPr="00E14EE6" w:rsidRDefault="00E14EE6" w:rsidP="00763857">
      <w:pPr>
        <w:pStyle w:val="BodyText"/>
      </w:pPr>
      <w:r w:rsidRPr="00E14EE6">
        <w:t>D</w:t>
      </w:r>
      <w:r w:rsidR="005147A6" w:rsidRPr="00E14EE6">
        <w:t xml:space="preserve">uring most of the review period, 2020 being the main exception, the Dominican tax authorities pursued a prudent and </w:t>
      </w:r>
      <w:r w:rsidR="00F8452B" w:rsidRPr="00E14EE6">
        <w:t>rather tight</w:t>
      </w:r>
      <w:r w:rsidR="005147A6" w:rsidRPr="00E14EE6">
        <w:t xml:space="preserve"> fiscal policy, with a view to fiscal consolidation (</w:t>
      </w:r>
      <w:r w:rsidR="00404AFC" w:rsidRPr="00E14EE6">
        <w:t>Box</w:t>
      </w:r>
      <w:r w:rsidR="00A025A7">
        <w:t> </w:t>
      </w:r>
      <w:r w:rsidR="005147A6" w:rsidRPr="00E14EE6">
        <w:t>1.1).</w:t>
      </w:r>
    </w:p>
    <w:p w14:paraId="5967AA91" w14:textId="2A7055A8" w:rsidR="00CA7676" w:rsidRPr="00E14EE6" w:rsidRDefault="00CE2C80" w:rsidP="00CE2C80">
      <w:pPr>
        <w:pStyle w:val="Caption"/>
        <w:rPr>
          <w:szCs w:val="18"/>
        </w:rPr>
      </w:pPr>
      <w:bookmarkStart w:id="40" w:name="_Toc117238073"/>
      <w:r>
        <w:lastRenderedPageBreak/>
        <w:t xml:space="preserve">Box </w:t>
      </w:r>
      <w:r w:rsidR="00BD37F2">
        <w:fldChar w:fldCharType="begin"/>
      </w:r>
      <w:r w:rsidR="00BD37F2">
        <w:instrText xml:space="preserve"> STYLEREF 1 \s </w:instrText>
      </w:r>
      <w:r w:rsidR="00BD37F2">
        <w:fldChar w:fldCharType="separate"/>
      </w:r>
      <w:r>
        <w:rPr>
          <w:noProof/>
        </w:rPr>
        <w:t>1</w:t>
      </w:r>
      <w:r w:rsidR="00BD37F2">
        <w:rPr>
          <w:noProof/>
        </w:rPr>
        <w:fldChar w:fldCharType="end"/>
      </w:r>
      <w:r>
        <w:t>.</w:t>
      </w:r>
      <w:r w:rsidR="00BD37F2">
        <w:fldChar w:fldCharType="begin"/>
      </w:r>
      <w:r w:rsidR="00BD37F2">
        <w:instrText xml:space="preserve"> SEQ Box \* ARABIC \s 1 </w:instrText>
      </w:r>
      <w:r w:rsidR="00BD37F2">
        <w:fldChar w:fldCharType="separate"/>
      </w:r>
      <w:r>
        <w:rPr>
          <w:noProof/>
        </w:rPr>
        <w:t>1</w:t>
      </w:r>
      <w:r w:rsidR="00BD37F2">
        <w:rPr>
          <w:noProof/>
        </w:rPr>
        <w:fldChar w:fldCharType="end"/>
      </w:r>
      <w:r>
        <w:t xml:space="preserve"> </w:t>
      </w:r>
      <w:r w:rsidR="00CA7676" w:rsidRPr="00E14EE6">
        <w:t>Base primary balance, structural primary balance and fiscal stimulus</w:t>
      </w:r>
      <w:bookmarkEnd w:id="40"/>
    </w:p>
    <w:tbl>
      <w:tblPr>
        <w:tblStyle w:val="WTOBox1"/>
        <w:tblW w:w="5000" w:type="pct"/>
        <w:tblLook w:val="04A0" w:firstRow="1" w:lastRow="0" w:firstColumn="1" w:lastColumn="0" w:noHBand="0" w:noVBand="1"/>
      </w:tblPr>
      <w:tblGrid>
        <w:gridCol w:w="9026"/>
      </w:tblGrid>
      <w:tr w:rsidR="00CA7676" w:rsidRPr="00E14EE6" w14:paraId="2E01246A" w14:textId="77777777" w:rsidTr="00FD6B66">
        <w:trPr>
          <w:cantSplit/>
        </w:trPr>
        <w:tc>
          <w:tcPr>
            <w:tcW w:w="5000" w:type="pct"/>
          </w:tcPr>
          <w:p w14:paraId="7907742F" w14:textId="1576C6A5" w:rsidR="00CA7676" w:rsidRPr="00E14EE6" w:rsidRDefault="00CA7676" w:rsidP="00E14EE6">
            <w:r w:rsidRPr="00E14EE6">
              <w:rPr>
                <w:sz w:val="16"/>
              </w:rPr>
              <w:t>As the Dominican economy is susceptible to external shocks, the authorities rely on estimating balances that are free from the effects of the business cycle and components such as extraordinary revenue</w:t>
            </w:r>
            <w:r w:rsidR="00E14EE6" w:rsidRPr="00E14EE6">
              <w:rPr>
                <w:sz w:val="16"/>
              </w:rPr>
              <w:t>. T</w:t>
            </w:r>
            <w:r w:rsidRPr="00E14EE6">
              <w:rPr>
                <w:sz w:val="16"/>
              </w:rPr>
              <w:t>he base primary balance is the indicator of the fiscal balance, excluding interest payments, after adjusting for business cycle fluctuations, that is, it is the primary balance that would be obtained if GDP grew at its potential level</w:t>
            </w:r>
            <w:r w:rsidR="00E14EE6" w:rsidRPr="00E14EE6">
              <w:rPr>
                <w:sz w:val="16"/>
              </w:rPr>
              <w:t>. T</w:t>
            </w:r>
            <w:r w:rsidRPr="00E14EE6">
              <w:rPr>
                <w:sz w:val="16"/>
              </w:rPr>
              <w:t>he structural primary balance is an indicator that allows the fiscal stance to be viewed in isolation from the effects on the business cycle, as well as from commodity prices, non</w:t>
            </w:r>
            <w:r w:rsidR="00E14EE6" w:rsidRPr="00E14EE6">
              <w:rPr>
                <w:sz w:val="16"/>
              </w:rPr>
              <w:noBreakHyphen/>
            </w:r>
            <w:r w:rsidRPr="00E14EE6">
              <w:rPr>
                <w:sz w:val="16"/>
              </w:rPr>
              <w:t>recurring items and temporary extraordinary revenue</w:t>
            </w:r>
            <w:r w:rsidR="00E14EE6" w:rsidRPr="00E14EE6">
              <w:rPr>
                <w:sz w:val="16"/>
              </w:rPr>
              <w:t>. A</w:t>
            </w:r>
            <w:r w:rsidRPr="00E14EE6">
              <w:rPr>
                <w:sz w:val="16"/>
              </w:rPr>
              <w:t xml:space="preserve">ccording to the authorities' estimates, the Dominican Republic is characterized by a structural primary balance that, on average, is more negative than the base primary balance, that is, the structural primary deficit exceeded the base primary deficit during most years of the review </w:t>
            </w:r>
            <w:proofErr w:type="spellStart"/>
            <w:r w:rsidRPr="00E14EE6">
              <w:rPr>
                <w:sz w:val="16"/>
              </w:rPr>
              <w:t>period.</w:t>
            </w:r>
            <w:r w:rsidRPr="00E14EE6">
              <w:rPr>
                <w:sz w:val="16"/>
                <w:vertAlign w:val="superscript"/>
              </w:rPr>
              <w:t>a</w:t>
            </w:r>
            <w:proofErr w:type="spellEnd"/>
          </w:p>
        </w:tc>
      </w:tr>
      <w:tr w:rsidR="00CA7676" w:rsidRPr="00E14EE6" w14:paraId="2335DC4F" w14:textId="77777777" w:rsidTr="00FD6B66">
        <w:trPr>
          <w:cantSplit/>
        </w:trPr>
        <w:tc>
          <w:tcPr>
            <w:tcW w:w="5000" w:type="pct"/>
          </w:tcPr>
          <w:p w14:paraId="7CDEBB5D" w14:textId="047583EA" w:rsidR="00CA7676" w:rsidRPr="00E14EE6" w:rsidRDefault="00CA7676" w:rsidP="00E14EE6">
            <w:pPr>
              <w:rPr>
                <w:sz w:val="16"/>
                <w:szCs w:val="16"/>
              </w:rPr>
            </w:pPr>
            <w:r w:rsidRPr="00E14EE6">
              <w:rPr>
                <w:sz w:val="16"/>
              </w:rPr>
              <w:t xml:space="preserve">The fiscal stance </w:t>
            </w:r>
            <w:r w:rsidR="00752D38" w:rsidRPr="00E14EE6">
              <w:rPr>
                <w:sz w:val="16"/>
              </w:rPr>
              <w:t>is the change in</w:t>
            </w:r>
            <w:r w:rsidRPr="00E14EE6">
              <w:rPr>
                <w:sz w:val="16"/>
              </w:rPr>
              <w:t xml:space="preserve"> the structural primary balance</w:t>
            </w:r>
            <w:r w:rsidR="00E14EE6" w:rsidRPr="00E14EE6">
              <w:rPr>
                <w:sz w:val="16"/>
              </w:rPr>
              <w:t>. F</w:t>
            </w:r>
            <w:r w:rsidRPr="00E14EE6">
              <w:rPr>
                <w:sz w:val="16"/>
              </w:rPr>
              <w:t xml:space="preserve">iscal stimulus </w:t>
            </w:r>
            <w:r w:rsidR="001D5F29" w:rsidRPr="00E14EE6">
              <w:rPr>
                <w:sz w:val="16"/>
              </w:rPr>
              <w:t>is</w:t>
            </w:r>
            <w:r w:rsidRPr="00E14EE6">
              <w:rPr>
                <w:sz w:val="16"/>
              </w:rPr>
              <w:t xml:space="preserve"> a change in fiscal stance</w:t>
            </w:r>
            <w:r w:rsidR="00E14EE6" w:rsidRPr="00E14EE6">
              <w:rPr>
                <w:sz w:val="16"/>
              </w:rPr>
              <w:t>. I</w:t>
            </w:r>
            <w:r w:rsidRPr="00E14EE6">
              <w:rPr>
                <w:sz w:val="16"/>
              </w:rPr>
              <w:t>t is the indicator that quantifies the additional fiscal effort that the Government contributes to the economy over a given period</w:t>
            </w:r>
            <w:r w:rsidR="00E14EE6" w:rsidRPr="00E14EE6">
              <w:rPr>
                <w:sz w:val="16"/>
              </w:rPr>
              <w:t>. F</w:t>
            </w:r>
            <w:r w:rsidRPr="00E14EE6">
              <w:rPr>
                <w:sz w:val="16"/>
              </w:rPr>
              <w:t>or most of the pre</w:t>
            </w:r>
            <w:r w:rsidR="00E14EE6" w:rsidRPr="00E14EE6">
              <w:rPr>
                <w:sz w:val="16"/>
              </w:rPr>
              <w:noBreakHyphen/>
            </w:r>
            <w:r w:rsidRPr="00E14EE6">
              <w:rPr>
                <w:sz w:val="16"/>
              </w:rPr>
              <w:t>pandemic years, the Government provided a negative fiscal impulse</w:t>
            </w:r>
            <w:r w:rsidR="00E14EE6" w:rsidRPr="00E14EE6">
              <w:rPr>
                <w:sz w:val="16"/>
              </w:rPr>
              <w:t>. H</w:t>
            </w:r>
            <w:r w:rsidRPr="00E14EE6">
              <w:rPr>
                <w:sz w:val="16"/>
              </w:rPr>
              <w:t xml:space="preserve">owever, during periods of high expenditure, such as times of economic crisis, the fiscal stimulus is positive, due to </w:t>
            </w:r>
            <w:r w:rsidR="002C0257" w:rsidRPr="00E14EE6">
              <w:rPr>
                <w:sz w:val="16"/>
              </w:rPr>
              <w:t>g</w:t>
            </w:r>
            <w:r w:rsidRPr="00E14EE6">
              <w:rPr>
                <w:sz w:val="16"/>
              </w:rPr>
              <w:t xml:space="preserve">overnment policies to mitigate the adversities arising from such </w:t>
            </w:r>
            <w:proofErr w:type="spellStart"/>
            <w:r w:rsidRPr="00E14EE6">
              <w:rPr>
                <w:sz w:val="16"/>
              </w:rPr>
              <w:t>crises.</w:t>
            </w:r>
            <w:r w:rsidRPr="00E14EE6">
              <w:rPr>
                <w:sz w:val="16"/>
                <w:vertAlign w:val="superscript"/>
              </w:rPr>
              <w:t>b</w:t>
            </w:r>
            <w:proofErr w:type="spellEnd"/>
          </w:p>
          <w:p w14:paraId="07C6DC38" w14:textId="77777777" w:rsidR="00CA7676" w:rsidRPr="00E14EE6" w:rsidRDefault="00CA7676" w:rsidP="00E14EE6"/>
          <w:p w14:paraId="72FB0684" w14:textId="3E05E272" w:rsidR="00CA7676" w:rsidRPr="00E14EE6" w:rsidRDefault="00CA7676" w:rsidP="00E14EE6">
            <w:r w:rsidRPr="00E14EE6">
              <w:rPr>
                <w:sz w:val="16"/>
              </w:rPr>
              <w:t>When fiscal impulse is broken down into its revenue and expenditure components, it becomes even clearer how, during periods of macroeconomic instability, the Government prefers to implement an expansionary fiscal policy, consisting of an increase in public spending and a reduction in tax revenue</w:t>
            </w:r>
            <w:r w:rsidR="00E14EE6" w:rsidRPr="00E14EE6">
              <w:rPr>
                <w:sz w:val="16"/>
              </w:rPr>
              <w:t>. T</w:t>
            </w:r>
            <w:r w:rsidRPr="00E14EE6">
              <w:rPr>
                <w:sz w:val="16"/>
              </w:rPr>
              <w:t>his can be seen quite clearly in 2020, when expenditure increased, mainly on programmes to counter the effects of the pandemic</w:t>
            </w:r>
            <w:r w:rsidR="00E14EE6" w:rsidRPr="00E14EE6">
              <w:rPr>
                <w:sz w:val="16"/>
              </w:rPr>
              <w:t>. T</w:t>
            </w:r>
            <w:r w:rsidRPr="00E14EE6">
              <w:rPr>
                <w:sz w:val="16"/>
              </w:rPr>
              <w:t>hese programmes had two main aims</w:t>
            </w:r>
            <w:r w:rsidR="00E14EE6" w:rsidRPr="00E14EE6">
              <w:rPr>
                <w:sz w:val="16"/>
              </w:rPr>
              <w:t>: i</w:t>
            </w:r>
            <w:r w:rsidRPr="00E14EE6">
              <w:rPr>
                <w:sz w:val="16"/>
              </w:rPr>
              <w:t>ncome protection for vulnerable households and informal workers (</w:t>
            </w:r>
            <w:proofErr w:type="spellStart"/>
            <w:r w:rsidRPr="00E14EE6">
              <w:rPr>
                <w:i/>
                <w:iCs/>
                <w:sz w:val="16"/>
              </w:rPr>
              <w:t>Quédate</w:t>
            </w:r>
            <w:proofErr w:type="spellEnd"/>
            <w:r w:rsidRPr="00E14EE6">
              <w:rPr>
                <w:i/>
                <w:iCs/>
                <w:sz w:val="16"/>
              </w:rPr>
              <w:t xml:space="preserve"> </w:t>
            </w:r>
            <w:proofErr w:type="spellStart"/>
            <w:r w:rsidRPr="00E14EE6">
              <w:rPr>
                <w:i/>
                <w:iCs/>
                <w:sz w:val="16"/>
              </w:rPr>
              <w:t>en</w:t>
            </w:r>
            <w:proofErr w:type="spellEnd"/>
            <w:r w:rsidRPr="00E14EE6">
              <w:rPr>
                <w:i/>
                <w:iCs/>
                <w:sz w:val="16"/>
              </w:rPr>
              <w:t xml:space="preserve"> casa</w:t>
            </w:r>
            <w:r w:rsidRPr="00E14EE6">
              <w:rPr>
                <w:sz w:val="16"/>
              </w:rPr>
              <w:t xml:space="preserve"> ("Stay at home")</w:t>
            </w:r>
            <w:r w:rsidR="00070785" w:rsidRPr="00E14EE6">
              <w:rPr>
                <w:sz w:val="16"/>
              </w:rPr>
              <w:t xml:space="preserve"> programme</w:t>
            </w:r>
            <w:r w:rsidRPr="00E14EE6">
              <w:rPr>
                <w:sz w:val="16"/>
              </w:rPr>
              <w:t xml:space="preserve"> and the Self</w:t>
            </w:r>
            <w:r w:rsidR="00E14EE6" w:rsidRPr="00E14EE6">
              <w:rPr>
                <w:sz w:val="16"/>
              </w:rPr>
              <w:noBreakHyphen/>
            </w:r>
            <w:r w:rsidRPr="00E14EE6">
              <w:rPr>
                <w:sz w:val="16"/>
              </w:rPr>
              <w:t>Employment Assistance Programme) and job and income protection for formal workers (Employee Solidarity Assistance Fund)</w:t>
            </w:r>
            <w:r w:rsidR="00E14EE6" w:rsidRPr="00E14EE6">
              <w:rPr>
                <w:sz w:val="16"/>
              </w:rPr>
              <w:t>. I</w:t>
            </w:r>
            <w:r w:rsidRPr="00E14EE6">
              <w:rPr>
                <w:sz w:val="16"/>
              </w:rPr>
              <w:t xml:space="preserve">n 2021, the social </w:t>
            </w:r>
            <w:r w:rsidR="007A3D34" w:rsidRPr="00E14EE6">
              <w:rPr>
                <w:sz w:val="16"/>
              </w:rPr>
              <w:t>welfare</w:t>
            </w:r>
            <w:r w:rsidRPr="00E14EE6">
              <w:rPr>
                <w:sz w:val="16"/>
              </w:rPr>
              <w:t xml:space="preserve"> programmes implemented in 2020 were gradually scaled back, due to an overall recovery from the COVID</w:t>
            </w:r>
            <w:r w:rsidR="00E14EE6" w:rsidRPr="00E14EE6">
              <w:rPr>
                <w:sz w:val="16"/>
              </w:rPr>
              <w:noBreakHyphen/>
            </w:r>
            <w:r w:rsidRPr="00E14EE6">
              <w:rPr>
                <w:sz w:val="16"/>
              </w:rPr>
              <w:t>19 pandemic, and the fiscal impulse almost entirely disappeared</w:t>
            </w:r>
            <w:r w:rsidR="00E14EE6" w:rsidRPr="00E14EE6">
              <w:rPr>
                <w:sz w:val="16"/>
              </w:rPr>
              <w:t>. T</w:t>
            </w:r>
            <w:r w:rsidRPr="00E14EE6">
              <w:rPr>
                <w:sz w:val="16"/>
              </w:rPr>
              <w:t>he fiscal impulse is expected to remain negative in 2022.</w:t>
            </w:r>
          </w:p>
        </w:tc>
      </w:tr>
      <w:tr w:rsidR="00CA7676" w:rsidRPr="00E14EE6" w14:paraId="24E765BF" w14:textId="77777777" w:rsidTr="00FD6B66">
        <w:trPr>
          <w:cantSplit/>
        </w:trPr>
        <w:tc>
          <w:tcPr>
            <w:tcW w:w="5000" w:type="pct"/>
          </w:tcPr>
          <w:p w14:paraId="64517AF8" w14:textId="6E3B5CF6" w:rsidR="00CA7676" w:rsidRPr="00E14EE6" w:rsidRDefault="00CA7676" w:rsidP="00E14EE6">
            <w:r w:rsidRPr="00E14EE6">
              <w:rPr>
                <w:sz w:val="16"/>
              </w:rPr>
              <w:t>A recent paper published by the Ministry of Finance examines the Dominican Republic's pre</w:t>
            </w:r>
            <w:r w:rsidR="00E14EE6" w:rsidRPr="00E14EE6">
              <w:rPr>
                <w:sz w:val="16"/>
              </w:rPr>
              <w:noBreakHyphen/>
            </w:r>
            <w:r w:rsidRPr="00E14EE6">
              <w:rPr>
                <w:sz w:val="16"/>
              </w:rPr>
              <w:t>pandemic fiscal performance, using indicators such as fiscal stance and fiscal stimulus, and reaches conclusions in line with the above assessment</w:t>
            </w:r>
            <w:r w:rsidR="00E14EE6" w:rsidRPr="00E14EE6">
              <w:rPr>
                <w:sz w:val="16"/>
              </w:rPr>
              <w:t>. T</w:t>
            </w:r>
            <w:r w:rsidRPr="00E14EE6">
              <w:rPr>
                <w:sz w:val="16"/>
              </w:rPr>
              <w:t xml:space="preserve">he findings show, from 2012 onwards, an increasingly </w:t>
            </w:r>
            <w:r w:rsidR="0099299F" w:rsidRPr="00E14EE6">
              <w:rPr>
                <w:sz w:val="16"/>
              </w:rPr>
              <w:t>tight</w:t>
            </w:r>
            <w:r w:rsidRPr="00E14EE6">
              <w:rPr>
                <w:sz w:val="16"/>
              </w:rPr>
              <w:t xml:space="preserve"> and countercyclical fiscal </w:t>
            </w:r>
            <w:proofErr w:type="spellStart"/>
            <w:r w:rsidRPr="00E14EE6">
              <w:rPr>
                <w:sz w:val="16"/>
              </w:rPr>
              <w:t>stance.</w:t>
            </w:r>
            <w:r w:rsidRPr="00E14EE6">
              <w:rPr>
                <w:sz w:val="16"/>
                <w:vertAlign w:val="superscript"/>
              </w:rPr>
              <w:t>c</w:t>
            </w:r>
            <w:proofErr w:type="spellEnd"/>
            <w:r w:rsidRPr="00E14EE6">
              <w:rPr>
                <w:sz w:val="16"/>
              </w:rPr>
              <w:t xml:space="preserve"> According to the paper, when the fiscal stimulus is disaggregated into its revenue and expenditure components, it appears that, while the revenue stimulus was on average contractionary, through tax increases, for example, its effect was offset by an expansionary expenditure stimulus</w:t>
            </w:r>
            <w:r w:rsidR="00E14EE6" w:rsidRPr="00E14EE6">
              <w:rPr>
                <w:sz w:val="16"/>
              </w:rPr>
              <w:t>. A</w:t>
            </w:r>
            <w:r w:rsidRPr="00E14EE6">
              <w:rPr>
                <w:sz w:val="16"/>
              </w:rPr>
              <w:t xml:space="preserve">ccording to the findings, in 2013 and 2014, fiscal policy was </w:t>
            </w:r>
            <w:r w:rsidR="001E4A54" w:rsidRPr="00E14EE6">
              <w:rPr>
                <w:sz w:val="16"/>
              </w:rPr>
              <w:t>tight</w:t>
            </w:r>
            <w:r w:rsidRPr="00E14EE6">
              <w:rPr>
                <w:sz w:val="16"/>
              </w:rPr>
              <w:t xml:space="preserve"> due to increased tax collection, reduced investment spending and lower non</w:t>
            </w:r>
            <w:r w:rsidR="00E14EE6" w:rsidRPr="00E14EE6">
              <w:rPr>
                <w:sz w:val="16"/>
              </w:rPr>
              <w:noBreakHyphen/>
            </w:r>
            <w:r w:rsidRPr="00E14EE6">
              <w:rPr>
                <w:sz w:val="16"/>
              </w:rPr>
              <w:t>electronic capital transfers</w:t>
            </w:r>
            <w:r w:rsidR="00E14EE6" w:rsidRPr="00E14EE6">
              <w:rPr>
                <w:sz w:val="16"/>
              </w:rPr>
              <w:t>. I</w:t>
            </w:r>
            <w:r w:rsidRPr="00E14EE6">
              <w:rPr>
                <w:sz w:val="16"/>
              </w:rPr>
              <w:t>n 2015, the fiscal stimulus was expansionary (decrease in the structural primary deficit) and was marked by a decrease in income tax collection combined with an increase in capital spending on infrastructure and transport</w:t>
            </w:r>
            <w:r w:rsidR="00E14EE6" w:rsidRPr="00E14EE6">
              <w:rPr>
                <w:sz w:val="16"/>
              </w:rPr>
              <w:t>. F</w:t>
            </w:r>
            <w:r w:rsidRPr="00E14EE6">
              <w:rPr>
                <w:sz w:val="16"/>
              </w:rPr>
              <w:t>rom 2016 to 2019, the fiscal stimulus was negative on average, with higher tax revenues, a fall in capital spending and improved public finances management in accordance with the needs of the economy</w:t>
            </w:r>
            <w:r w:rsidR="00E14EE6" w:rsidRPr="00E14EE6">
              <w:rPr>
                <w:sz w:val="16"/>
              </w:rPr>
              <w:t>. I</w:t>
            </w:r>
            <w:r w:rsidRPr="00E14EE6">
              <w:rPr>
                <w:sz w:val="16"/>
              </w:rPr>
              <w:t>n 2020, an expansionary fiscal policy was adopted in response to the pandemic.</w:t>
            </w:r>
          </w:p>
        </w:tc>
      </w:tr>
    </w:tbl>
    <w:p w14:paraId="5C370835" w14:textId="729C7ED7" w:rsidR="00CA7676" w:rsidRPr="00E14EE6" w:rsidRDefault="00CA7676" w:rsidP="00CE2C80">
      <w:pPr>
        <w:pStyle w:val="NoteText"/>
        <w:spacing w:before="120"/>
      </w:pPr>
      <w:proofErr w:type="spellStart"/>
      <w:r w:rsidRPr="00E14EE6">
        <w:t>a</w:t>
      </w:r>
      <w:proofErr w:type="spellEnd"/>
      <w:r w:rsidRPr="00E14EE6">
        <w:tab/>
        <w:t xml:space="preserve">The structural primary balance was </w:t>
      </w:r>
      <w:r w:rsidR="00E14EE6" w:rsidRPr="00E14EE6">
        <w:noBreakHyphen/>
      </w:r>
      <w:r w:rsidRPr="00E14EE6">
        <w:t>1.6</w:t>
      </w:r>
      <w:r w:rsidR="00E14EE6">
        <w:t>%</w:t>
      </w:r>
      <w:r w:rsidRPr="00E14EE6">
        <w:t xml:space="preserve"> in 2014</w:t>
      </w:r>
      <w:r w:rsidR="00E14EE6" w:rsidRPr="00E14EE6">
        <w:t xml:space="preserve">; </w:t>
      </w:r>
      <w:r w:rsidR="00E14EE6" w:rsidRPr="00E14EE6">
        <w:noBreakHyphen/>
      </w:r>
      <w:r w:rsidRPr="00E14EE6">
        <w:t>1.3</w:t>
      </w:r>
      <w:r w:rsidR="00E14EE6">
        <w:t>%</w:t>
      </w:r>
      <w:r w:rsidRPr="00E14EE6">
        <w:t xml:space="preserve"> in 2015</w:t>
      </w:r>
      <w:r w:rsidR="00E14EE6" w:rsidRPr="00E14EE6">
        <w:t xml:space="preserve">; </w:t>
      </w:r>
      <w:r w:rsidR="00E14EE6" w:rsidRPr="00E14EE6">
        <w:noBreakHyphen/>
      </w:r>
      <w:r w:rsidRPr="00E14EE6">
        <w:t>0.9</w:t>
      </w:r>
      <w:r w:rsidR="00E14EE6">
        <w:t>%</w:t>
      </w:r>
      <w:r w:rsidRPr="00E14EE6">
        <w:t xml:space="preserve"> in 2016</w:t>
      </w:r>
      <w:r w:rsidR="00E14EE6" w:rsidRPr="00E14EE6">
        <w:t xml:space="preserve">; </w:t>
      </w:r>
      <w:r w:rsidR="00E14EE6" w:rsidRPr="00E14EE6">
        <w:noBreakHyphen/>
      </w:r>
      <w:r w:rsidRPr="00E14EE6">
        <w:t>0.3</w:t>
      </w:r>
      <w:r w:rsidR="00E14EE6">
        <w:t>%</w:t>
      </w:r>
      <w:r w:rsidRPr="00E14EE6">
        <w:t xml:space="preserve"> in 2017</w:t>
      </w:r>
      <w:r w:rsidR="00E14EE6" w:rsidRPr="00E14EE6">
        <w:t>; 0</w:t>
      </w:r>
      <w:r w:rsidRPr="00E14EE6">
        <w:t>.1</w:t>
      </w:r>
      <w:r w:rsidR="00E14EE6">
        <w:t>%</w:t>
      </w:r>
      <w:r w:rsidRPr="00E14EE6">
        <w:t xml:space="preserve"> in 2018</w:t>
      </w:r>
      <w:r w:rsidR="00E14EE6" w:rsidRPr="00E14EE6">
        <w:t>; 0</w:t>
      </w:r>
      <w:r w:rsidRPr="00E14EE6">
        <w:t>.5</w:t>
      </w:r>
      <w:r w:rsidR="00E14EE6">
        <w:t>%</w:t>
      </w:r>
      <w:r w:rsidRPr="00E14EE6">
        <w:t xml:space="preserve"> in 2019</w:t>
      </w:r>
      <w:r w:rsidR="00E14EE6" w:rsidRPr="00E14EE6">
        <w:t xml:space="preserve">; </w:t>
      </w:r>
      <w:r w:rsidR="00E14EE6" w:rsidRPr="00E14EE6">
        <w:noBreakHyphen/>
      </w:r>
      <w:r w:rsidRPr="00E14EE6">
        <w:t>9.4</w:t>
      </w:r>
      <w:r w:rsidR="00E14EE6">
        <w:t>%</w:t>
      </w:r>
      <w:r w:rsidRPr="00E14EE6">
        <w:t xml:space="preserve"> in 2020</w:t>
      </w:r>
      <w:r w:rsidR="00E14EE6" w:rsidRPr="00E14EE6">
        <w:t>; a</w:t>
      </w:r>
      <w:r w:rsidRPr="00E14EE6">
        <w:t xml:space="preserve">nd </w:t>
      </w:r>
      <w:r w:rsidR="00E14EE6" w:rsidRPr="00E14EE6">
        <w:noBreakHyphen/>
      </w:r>
      <w:r w:rsidRPr="00E14EE6">
        <w:t>1.5</w:t>
      </w:r>
      <w:r w:rsidR="00E14EE6">
        <w:t>%</w:t>
      </w:r>
      <w:r w:rsidRPr="00E14EE6">
        <w:t xml:space="preserve"> in 2021</w:t>
      </w:r>
      <w:r w:rsidR="00E14EE6" w:rsidRPr="00E14EE6">
        <w:t>. S</w:t>
      </w:r>
      <w:r w:rsidRPr="00E14EE6">
        <w:t>ource</w:t>
      </w:r>
      <w:r w:rsidR="00E14EE6" w:rsidRPr="00E14EE6">
        <w:t>: D</w:t>
      </w:r>
      <w:r w:rsidRPr="00E14EE6">
        <w:t>irectorate</w:t>
      </w:r>
      <w:r w:rsidR="00E14EE6" w:rsidRPr="00E14EE6">
        <w:noBreakHyphen/>
      </w:r>
      <w:r w:rsidRPr="00E14EE6">
        <w:t>General of Fiscal Analysis and Policy.</w:t>
      </w:r>
    </w:p>
    <w:p w14:paraId="4642BF75" w14:textId="0AE125D3" w:rsidR="00CA7676" w:rsidRPr="00E14EE6" w:rsidRDefault="00CA7676" w:rsidP="00E14EE6">
      <w:pPr>
        <w:pStyle w:val="NoteText"/>
      </w:pPr>
      <w:r w:rsidRPr="00E14EE6">
        <w:t>b</w:t>
      </w:r>
      <w:r w:rsidRPr="00E14EE6">
        <w:tab/>
        <w:t>Government of the Dominican Republic</w:t>
      </w:r>
      <w:r w:rsidR="00E14EE6" w:rsidRPr="00E14EE6">
        <w:t>. M</w:t>
      </w:r>
      <w:r w:rsidRPr="00E14EE6">
        <w:t xml:space="preserve">inistry of Finance, </w:t>
      </w:r>
      <w:r w:rsidRPr="00E14EE6">
        <w:rPr>
          <w:i/>
          <w:iCs/>
        </w:rPr>
        <w:t xml:space="preserve">Marco Fiscal de </w:t>
      </w:r>
      <w:proofErr w:type="spellStart"/>
      <w:r w:rsidRPr="00E14EE6">
        <w:rPr>
          <w:i/>
          <w:iCs/>
        </w:rPr>
        <w:t>Mediano</w:t>
      </w:r>
      <w:proofErr w:type="spellEnd"/>
      <w:r w:rsidRPr="00E14EE6">
        <w:rPr>
          <w:i/>
          <w:iCs/>
        </w:rPr>
        <w:t xml:space="preserve"> </w:t>
      </w:r>
      <w:proofErr w:type="spellStart"/>
      <w:r w:rsidRPr="00E14EE6">
        <w:rPr>
          <w:i/>
          <w:iCs/>
        </w:rPr>
        <w:t>Plazo</w:t>
      </w:r>
      <w:proofErr w:type="spellEnd"/>
      <w:r w:rsidRPr="00E14EE6">
        <w:rPr>
          <w:i/>
          <w:iCs/>
        </w:rPr>
        <w:t xml:space="preserve"> 2022</w:t>
      </w:r>
      <w:r w:rsidR="00E14EE6" w:rsidRPr="00E14EE6">
        <w:rPr>
          <w:i/>
          <w:iCs/>
        </w:rPr>
        <w:noBreakHyphen/>
      </w:r>
      <w:r w:rsidRPr="00E14EE6">
        <w:rPr>
          <w:i/>
          <w:iCs/>
        </w:rPr>
        <w:t>2026</w:t>
      </w:r>
      <w:r w:rsidRPr="00E14EE6">
        <w:t xml:space="preserve">, </w:t>
      </w:r>
      <w:r w:rsidR="00E14EE6" w:rsidRPr="00E14EE6">
        <w:t>April 2</w:t>
      </w:r>
      <w:r w:rsidRPr="00E14EE6">
        <w:t>022</w:t>
      </w:r>
      <w:r w:rsidR="00E14EE6" w:rsidRPr="00E14EE6">
        <w:t>. V</w:t>
      </w:r>
      <w:r w:rsidRPr="00E14EE6">
        <w:t xml:space="preserve">iewed at: </w:t>
      </w:r>
      <w:hyperlink r:id="rId14" w:history="1">
        <w:r w:rsidR="00E14EE6" w:rsidRPr="00E14EE6">
          <w:rPr>
            <w:rStyle w:val="Hyperlink"/>
          </w:rPr>
          <w:t>https://www.hacienda.gob.do/wp</w:t>
        </w:r>
        <w:r w:rsidR="00E14EE6" w:rsidRPr="00E14EE6">
          <w:rPr>
            <w:rStyle w:val="Hyperlink"/>
          </w:rPr>
          <w:noBreakHyphen/>
          <w:t>content/uploads/2022/05/MFMP</w:t>
        </w:r>
        <w:r w:rsidR="00E14EE6" w:rsidRPr="00E14EE6">
          <w:rPr>
            <w:rStyle w:val="Hyperlink"/>
          </w:rPr>
          <w:noBreakHyphen/>
          <w:t>2022</w:t>
        </w:r>
        <w:r w:rsidR="00E14EE6" w:rsidRPr="00E14EE6">
          <w:rPr>
            <w:rStyle w:val="Hyperlink"/>
          </w:rPr>
          <w:noBreakHyphen/>
          <w:t>2026</w:t>
        </w:r>
        <w:r w:rsidR="00E14EE6" w:rsidRPr="00E14EE6">
          <w:rPr>
            <w:rStyle w:val="Hyperlink"/>
          </w:rPr>
          <w:noBreakHyphen/>
          <w:t>30042022</w:t>
        </w:r>
        <w:r w:rsidR="00E14EE6" w:rsidRPr="00E14EE6">
          <w:rPr>
            <w:rStyle w:val="Hyperlink"/>
          </w:rPr>
          <w:noBreakHyphen/>
          <w:t>86.pdf</w:t>
        </w:r>
      </w:hyperlink>
      <w:r w:rsidRPr="00E14EE6">
        <w:t>.</w:t>
      </w:r>
    </w:p>
    <w:p w14:paraId="09B7BC0E" w14:textId="565B1F80" w:rsidR="00CA7676" w:rsidRPr="00E14EE6" w:rsidRDefault="00CA7676" w:rsidP="00E14EE6">
      <w:pPr>
        <w:pStyle w:val="NoteText"/>
      </w:pPr>
      <w:r w:rsidRPr="00E14EE6">
        <w:t>c</w:t>
      </w:r>
      <w:r w:rsidRPr="00E14EE6">
        <w:tab/>
        <w:t>Ministry of Finance of the Dominican Republic (2020), Directorate</w:t>
      </w:r>
      <w:r w:rsidR="00E14EE6" w:rsidRPr="00E14EE6">
        <w:noBreakHyphen/>
      </w:r>
      <w:r w:rsidRPr="00E14EE6">
        <w:t xml:space="preserve">General of Fiscal Analysis and Policy, </w:t>
      </w:r>
      <w:proofErr w:type="spellStart"/>
      <w:r w:rsidRPr="00E14EE6">
        <w:rPr>
          <w:i/>
        </w:rPr>
        <w:t>Impulso</w:t>
      </w:r>
      <w:proofErr w:type="spellEnd"/>
      <w:r w:rsidRPr="00E14EE6">
        <w:rPr>
          <w:i/>
        </w:rPr>
        <w:t xml:space="preserve"> Fiscal de la República </w:t>
      </w:r>
      <w:proofErr w:type="spellStart"/>
      <w:r w:rsidRPr="00E14EE6">
        <w:rPr>
          <w:i/>
        </w:rPr>
        <w:t>Dominicana</w:t>
      </w:r>
      <w:proofErr w:type="spellEnd"/>
      <w:r w:rsidR="00E14EE6" w:rsidRPr="00E14EE6">
        <w:rPr>
          <w:i/>
        </w:rPr>
        <w:t>: U</w:t>
      </w:r>
      <w:r w:rsidRPr="00E14EE6">
        <w:rPr>
          <w:i/>
        </w:rPr>
        <w:t xml:space="preserve">na Mirada a la </w:t>
      </w:r>
      <w:proofErr w:type="spellStart"/>
      <w:r w:rsidRPr="00E14EE6">
        <w:rPr>
          <w:i/>
        </w:rPr>
        <w:t>Posición</w:t>
      </w:r>
      <w:proofErr w:type="spellEnd"/>
      <w:r w:rsidRPr="00E14EE6">
        <w:rPr>
          <w:i/>
        </w:rPr>
        <w:t xml:space="preserve"> de Política Fiscal</w:t>
      </w:r>
      <w:r w:rsidR="00E14EE6" w:rsidRPr="00E14EE6">
        <w:t>. A</w:t>
      </w:r>
      <w:r w:rsidRPr="00E14EE6">
        <w:t>uthors</w:t>
      </w:r>
      <w:r w:rsidR="00E14EE6" w:rsidRPr="00E14EE6">
        <w:t>: P</w:t>
      </w:r>
      <w:r w:rsidRPr="00E14EE6">
        <w:t xml:space="preserve">aola </w:t>
      </w:r>
      <w:proofErr w:type="spellStart"/>
      <w:r w:rsidRPr="00E14EE6">
        <w:t>Brens</w:t>
      </w:r>
      <w:proofErr w:type="spellEnd"/>
      <w:r w:rsidRPr="00E14EE6">
        <w:t xml:space="preserve"> and Elizabeth Santana</w:t>
      </w:r>
      <w:r w:rsidR="00E14EE6" w:rsidRPr="00E14EE6">
        <w:t>. R</w:t>
      </w:r>
      <w:r w:rsidRPr="00E14EE6">
        <w:t xml:space="preserve">esearch paper series </w:t>
      </w:r>
      <w:r w:rsidR="00E14EE6" w:rsidRPr="00E14EE6">
        <w:t>No. </w:t>
      </w:r>
      <w:r w:rsidRPr="00E14EE6">
        <w:t>2020</w:t>
      </w:r>
      <w:r w:rsidR="00E14EE6" w:rsidRPr="00E14EE6">
        <w:noBreakHyphen/>
      </w:r>
      <w:r w:rsidRPr="00E14EE6">
        <w:t xml:space="preserve">01, </w:t>
      </w:r>
      <w:r w:rsidR="00E14EE6" w:rsidRPr="00E14EE6">
        <w:t>July 2</w:t>
      </w:r>
      <w:r w:rsidRPr="00E14EE6">
        <w:t>020</w:t>
      </w:r>
      <w:r w:rsidR="00E14EE6" w:rsidRPr="00E14EE6">
        <w:t>. V</w:t>
      </w:r>
      <w:r w:rsidRPr="00E14EE6">
        <w:t>iewed</w:t>
      </w:r>
      <w:r w:rsidR="00A025A7">
        <w:t xml:space="preserve"> </w:t>
      </w:r>
      <w:r w:rsidRPr="00E14EE6">
        <w:t xml:space="preserve">at: </w:t>
      </w:r>
      <w:hyperlink r:id="rId15" w:history="1">
        <w:r w:rsidR="00E14EE6" w:rsidRPr="00E14EE6">
          <w:rPr>
            <w:rStyle w:val="Hyperlink"/>
          </w:rPr>
          <w:t>https://www.hacienda.gob.do/wp</w:t>
        </w:r>
        <w:r w:rsidR="00E14EE6" w:rsidRPr="00E14EE6">
          <w:rPr>
            <w:rStyle w:val="Hyperlink"/>
          </w:rPr>
          <w:noBreakHyphen/>
          <w:t>content/uploads/2020/08/2020</w:t>
        </w:r>
        <w:r w:rsidR="00E14EE6" w:rsidRPr="00E14EE6">
          <w:rPr>
            <w:rStyle w:val="Hyperlink"/>
          </w:rPr>
          <w:noBreakHyphen/>
          <w:t>01</w:t>
        </w:r>
        <w:r w:rsidR="00E14EE6" w:rsidRPr="00E14EE6">
          <w:rPr>
            <w:rStyle w:val="Hyperlink"/>
          </w:rPr>
          <w:noBreakHyphen/>
          <w:t>IF_compressed.pdf</w:t>
        </w:r>
      </w:hyperlink>
      <w:r w:rsidRPr="00E14EE6">
        <w:t>.</w:t>
      </w:r>
    </w:p>
    <w:p w14:paraId="68B622AD" w14:textId="77777777" w:rsidR="007C74EF" w:rsidRPr="00E14EE6" w:rsidRDefault="00CA7676" w:rsidP="00CE2C80">
      <w:pPr>
        <w:pStyle w:val="NoteText"/>
        <w:spacing w:before="120" w:after="240"/>
      </w:pPr>
      <w:r w:rsidRPr="00E14EE6">
        <w:t>Source:</w:t>
      </w:r>
      <w:r w:rsidRPr="00E14EE6">
        <w:tab/>
        <w:t>WTO Secretariat.</w:t>
      </w:r>
      <w:bookmarkStart w:id="41" w:name="_Hlk113364396"/>
    </w:p>
    <w:p w14:paraId="2E5D2C87" w14:textId="78D0D488" w:rsidR="00CA7676" w:rsidRPr="00E14EE6" w:rsidRDefault="00E14EE6" w:rsidP="00763857">
      <w:pPr>
        <w:pStyle w:val="BodyText"/>
      </w:pPr>
      <w:r w:rsidRPr="00E14EE6">
        <w:t>D</w:t>
      </w:r>
      <w:r w:rsidR="005147A6" w:rsidRPr="00E14EE6">
        <w:t xml:space="preserve">espite the </w:t>
      </w:r>
      <w:r w:rsidR="00477E5B" w:rsidRPr="00E14EE6">
        <w:t>rather tight</w:t>
      </w:r>
      <w:r w:rsidR="005147A6" w:rsidRPr="00E14EE6">
        <w:t xml:space="preserve"> fiscal policy, both the central Government and the non</w:t>
      </w:r>
      <w:r w:rsidRPr="00E14EE6">
        <w:noBreakHyphen/>
      </w:r>
      <w:r w:rsidR="005147A6" w:rsidRPr="00E14EE6">
        <w:t>financial public sector (</w:t>
      </w:r>
      <w:proofErr w:type="spellStart"/>
      <w:r w:rsidR="005147A6" w:rsidRPr="00E14EE6">
        <w:t>NFPS</w:t>
      </w:r>
      <w:proofErr w:type="spellEnd"/>
      <w:r w:rsidR="005147A6" w:rsidRPr="00E14EE6">
        <w:t>) posted deficits throughout the period under review, with total expenditures exceeding revenue in each year of the period</w:t>
      </w:r>
      <w:r w:rsidRPr="00E14EE6">
        <w:t>. T</w:t>
      </w:r>
      <w:r w:rsidR="005147A6" w:rsidRPr="00E14EE6">
        <w:t>his result is partly explained by a relatively low share of revenue in GDP, which was 15.6</w:t>
      </w:r>
      <w:r>
        <w:t>%</w:t>
      </w:r>
      <w:r w:rsidR="005147A6" w:rsidRPr="00E14EE6">
        <w:t xml:space="preserve"> in 2021, while the share of tax revenue was 14.4</w:t>
      </w:r>
      <w:r>
        <w:t>%</w:t>
      </w:r>
      <w:r w:rsidRPr="00E14EE6">
        <w:t>. W</w:t>
      </w:r>
      <w:r w:rsidR="005147A6" w:rsidRPr="00E14EE6">
        <w:t xml:space="preserve">hile tax revenue grew </w:t>
      </w:r>
      <w:r w:rsidR="00CF62F3" w:rsidRPr="00E14EE6">
        <w:t>as a result</w:t>
      </w:r>
      <w:r w:rsidR="005147A6" w:rsidRPr="00E14EE6">
        <w:t xml:space="preserve"> of stronger economic growth and the effects of </w:t>
      </w:r>
      <w:r w:rsidR="00CF62F3" w:rsidRPr="00E14EE6">
        <w:t>tax administration</w:t>
      </w:r>
      <w:r w:rsidR="005147A6" w:rsidRPr="00E14EE6">
        <w:t xml:space="preserve"> reforms, control of expenditure </w:t>
      </w:r>
      <w:r w:rsidR="0098513C" w:rsidRPr="00E14EE6">
        <w:t>was</w:t>
      </w:r>
      <w:r w:rsidR="005147A6" w:rsidRPr="00E14EE6">
        <w:t xml:space="preserve"> less effective</w:t>
      </w:r>
      <w:r w:rsidRPr="00E14EE6">
        <w:t>. T</w:t>
      </w:r>
      <w:r w:rsidR="005147A6" w:rsidRPr="00E14EE6">
        <w:t xml:space="preserve">he overall </w:t>
      </w:r>
      <w:proofErr w:type="spellStart"/>
      <w:r w:rsidR="005147A6" w:rsidRPr="00E14EE6">
        <w:t>NFPS</w:t>
      </w:r>
      <w:proofErr w:type="spellEnd"/>
      <w:r w:rsidR="005147A6" w:rsidRPr="00E14EE6">
        <w:t xml:space="preserve"> deficit fluctuated between 2.3</w:t>
      </w:r>
      <w:r>
        <w:t>%</w:t>
      </w:r>
      <w:r w:rsidR="005147A6" w:rsidRPr="00E14EE6">
        <w:t xml:space="preserve"> and 2.7</w:t>
      </w:r>
      <w:r>
        <w:t>%</w:t>
      </w:r>
      <w:r w:rsidR="005147A6" w:rsidRPr="00E14EE6">
        <w:t xml:space="preserve"> of GDP between 2016 and 2019, before skyrocketing to 7.6</w:t>
      </w:r>
      <w:r>
        <w:t>%</w:t>
      </w:r>
      <w:r w:rsidR="005147A6" w:rsidRPr="00E14EE6">
        <w:t xml:space="preserve"> in 2020 to finance support programmes in response to the pandemic</w:t>
      </w:r>
      <w:bookmarkEnd w:id="41"/>
      <w:r w:rsidR="005147A6" w:rsidRPr="00E14EE6">
        <w:t>, yielding an expenditure</w:t>
      </w:r>
      <w:r w:rsidRPr="00E14EE6">
        <w:noBreakHyphen/>
      </w:r>
      <w:r w:rsidR="005147A6" w:rsidRPr="00E14EE6">
        <w:t>to</w:t>
      </w:r>
      <w:r w:rsidRPr="00E14EE6">
        <w:noBreakHyphen/>
      </w:r>
      <w:r w:rsidR="005147A6" w:rsidRPr="00E14EE6">
        <w:t>GDP ratio of 20.8</w:t>
      </w:r>
      <w:r>
        <w:t>%</w:t>
      </w:r>
      <w:r w:rsidRPr="00E14EE6">
        <w:t>. H</w:t>
      </w:r>
      <w:r w:rsidR="005147A6" w:rsidRPr="00E14EE6">
        <w:t>owever, due to strong GDP recovery in 2021, and despite the expenditure</w:t>
      </w:r>
      <w:r w:rsidRPr="00E14EE6">
        <w:noBreakHyphen/>
      </w:r>
      <w:r w:rsidR="005147A6" w:rsidRPr="00E14EE6">
        <w:t>to</w:t>
      </w:r>
      <w:r w:rsidRPr="00E14EE6">
        <w:noBreakHyphen/>
      </w:r>
      <w:r w:rsidR="005147A6" w:rsidRPr="00E14EE6">
        <w:t>GDP ratio of 17.2</w:t>
      </w:r>
      <w:r>
        <w:t>%</w:t>
      </w:r>
      <w:r w:rsidR="005147A6" w:rsidRPr="00E14EE6">
        <w:t xml:space="preserve"> remaining high, the deficit shrank to 2.6</w:t>
      </w:r>
      <w:r>
        <w:t>%</w:t>
      </w:r>
      <w:r w:rsidR="005147A6" w:rsidRPr="00E14EE6">
        <w:t xml:space="preserve"> of GDP (Table 1.2).</w:t>
      </w:r>
    </w:p>
    <w:p w14:paraId="4781FD2D" w14:textId="6E4C3864" w:rsidR="00CA7676" w:rsidRPr="00E14EE6" w:rsidRDefault="00CE2C80" w:rsidP="00CE2C80">
      <w:pPr>
        <w:pStyle w:val="Caption"/>
      </w:pPr>
      <w:bookmarkStart w:id="42" w:name="_Toc117238024"/>
      <w:r>
        <w:lastRenderedPageBreak/>
        <w:t xml:space="preserve">Table </w:t>
      </w:r>
      <w:r w:rsidR="00BD37F2">
        <w:fldChar w:fldCharType="begin"/>
      </w:r>
      <w:r w:rsidR="00BD37F2">
        <w:instrText xml:space="preserve"> STYLEREF 1 \s </w:instrText>
      </w:r>
      <w:r w:rsidR="00BD37F2">
        <w:fldChar w:fldCharType="separate"/>
      </w:r>
      <w:r w:rsidR="00323DC1">
        <w:rPr>
          <w:noProof/>
        </w:rPr>
        <w:t>1</w:t>
      </w:r>
      <w:r w:rsidR="00BD37F2">
        <w:rPr>
          <w:noProof/>
        </w:rPr>
        <w:fldChar w:fldCharType="end"/>
      </w:r>
      <w:r w:rsidR="00323DC1">
        <w:t>.</w:t>
      </w:r>
      <w:r w:rsidR="00BD37F2">
        <w:fldChar w:fldCharType="begin"/>
      </w:r>
      <w:r w:rsidR="00BD37F2">
        <w:instrText xml:space="preserve"> SEQ Table \* ARABIC \s 1 </w:instrText>
      </w:r>
      <w:r w:rsidR="00BD37F2">
        <w:fldChar w:fldCharType="separate"/>
      </w:r>
      <w:r w:rsidR="00323DC1">
        <w:rPr>
          <w:noProof/>
        </w:rPr>
        <w:t>2</w:t>
      </w:r>
      <w:r w:rsidR="00BD37F2">
        <w:rPr>
          <w:noProof/>
        </w:rPr>
        <w:fldChar w:fldCharType="end"/>
      </w:r>
      <w:r>
        <w:t xml:space="preserve"> </w:t>
      </w:r>
      <w:r w:rsidR="00CA7676" w:rsidRPr="00E14EE6">
        <w:t xml:space="preserve">Statement of central Government and </w:t>
      </w:r>
      <w:proofErr w:type="spellStart"/>
      <w:r w:rsidR="00CA7676" w:rsidRPr="00E14EE6">
        <w:t>NFPS</w:t>
      </w:r>
      <w:proofErr w:type="spellEnd"/>
      <w:r w:rsidR="00CA7676" w:rsidRPr="00E14EE6">
        <w:t xml:space="preserve"> budgetary operations, 2014</w:t>
      </w:r>
      <w:r w:rsidR="00E14EE6" w:rsidRPr="00E14EE6">
        <w:noBreakHyphen/>
      </w:r>
      <w:r w:rsidR="00EF35A4" w:rsidRPr="00E14EE6">
        <w:t>f</w:t>
      </w:r>
      <w:r w:rsidR="00CA7676" w:rsidRPr="00E14EE6">
        <w:t>irst</w:t>
      </w:r>
      <w:r w:rsidR="00A025A7">
        <w:t> </w:t>
      </w:r>
      <w:r w:rsidR="00CA7676" w:rsidRPr="00E14EE6">
        <w:t>quarter 2022</w:t>
      </w:r>
      <w:bookmarkEnd w:id="42"/>
    </w:p>
    <w:p w14:paraId="60DA81C9" w14:textId="42937A5F" w:rsidR="00CA7676" w:rsidRPr="00E14EE6" w:rsidRDefault="00E14EE6" w:rsidP="00E14EE6">
      <w:pPr>
        <w:pStyle w:val="NoteText"/>
      </w:pPr>
      <w:r w:rsidRPr="00E14EE6">
        <w:t>(</w:t>
      </w:r>
      <w:r>
        <w:t>%</w:t>
      </w:r>
      <w:r w:rsidR="00CA7676" w:rsidRPr="00E14EE6">
        <w:t xml:space="preserve"> of GDP at current prices)</w:t>
      </w:r>
    </w:p>
    <w:tbl>
      <w:tblPr>
        <w:tblStyle w:val="WTOTable1"/>
        <w:tblW w:w="5000" w:type="pct"/>
        <w:tblLayout w:type="fixed"/>
        <w:tblLook w:val="04A0" w:firstRow="1" w:lastRow="0" w:firstColumn="1" w:lastColumn="0" w:noHBand="0" w:noVBand="1"/>
      </w:tblPr>
      <w:tblGrid>
        <w:gridCol w:w="2691"/>
        <w:gridCol w:w="702"/>
        <w:gridCol w:w="704"/>
        <w:gridCol w:w="703"/>
        <w:gridCol w:w="703"/>
        <w:gridCol w:w="703"/>
        <w:gridCol w:w="703"/>
        <w:gridCol w:w="703"/>
        <w:gridCol w:w="703"/>
        <w:gridCol w:w="701"/>
      </w:tblGrid>
      <w:tr w:rsidR="00CA7676" w:rsidRPr="00E14EE6" w14:paraId="68DF99E6" w14:textId="77777777" w:rsidTr="00FD6B66">
        <w:trPr>
          <w:cnfStyle w:val="100000000000" w:firstRow="1" w:lastRow="0" w:firstColumn="0" w:lastColumn="0" w:oddVBand="0" w:evenVBand="0" w:oddHBand="0" w:evenHBand="0" w:firstRowFirstColumn="0" w:firstRowLastColumn="0" w:lastRowFirstColumn="0" w:lastRowLastColumn="0"/>
          <w:cantSplit/>
          <w:trHeight w:val="20"/>
          <w:tblHeader/>
        </w:trPr>
        <w:tc>
          <w:tcPr>
            <w:tcW w:w="1492" w:type="pct"/>
            <w:noWrap/>
            <w:vAlign w:val="center"/>
            <w:hideMark/>
          </w:tcPr>
          <w:p w14:paraId="39B1DF13" w14:textId="77777777" w:rsidR="00CA7676" w:rsidRPr="00E14EE6" w:rsidRDefault="00CA7676" w:rsidP="00E14EE6">
            <w:pPr>
              <w:jc w:val="left"/>
              <w:rPr>
                <w:rFonts w:eastAsia="Times New Roman" w:cs="Times New Roman"/>
                <w:bCs/>
                <w:color w:val="auto"/>
                <w:sz w:val="14"/>
                <w:szCs w:val="14"/>
                <w:lang w:eastAsia="en-GB"/>
              </w:rPr>
            </w:pPr>
          </w:p>
        </w:tc>
        <w:tc>
          <w:tcPr>
            <w:tcW w:w="389" w:type="pct"/>
            <w:noWrap/>
            <w:vAlign w:val="center"/>
            <w:hideMark/>
          </w:tcPr>
          <w:p w14:paraId="77C7BAAF" w14:textId="77777777" w:rsidR="00CA7676" w:rsidRPr="00E14EE6" w:rsidRDefault="00CA7676" w:rsidP="00E14EE6">
            <w:pPr>
              <w:jc w:val="right"/>
              <w:rPr>
                <w:rFonts w:eastAsia="Times New Roman" w:cs="Times New Roman"/>
                <w:bCs/>
                <w:color w:val="FFFFFF" w:themeColor="background1"/>
                <w:sz w:val="14"/>
                <w:szCs w:val="14"/>
              </w:rPr>
            </w:pPr>
            <w:r w:rsidRPr="00E14EE6">
              <w:rPr>
                <w:color w:val="FFFFFF" w:themeColor="background1"/>
                <w:sz w:val="14"/>
              </w:rPr>
              <w:t>2014</w:t>
            </w:r>
          </w:p>
        </w:tc>
        <w:tc>
          <w:tcPr>
            <w:tcW w:w="390" w:type="pct"/>
            <w:noWrap/>
            <w:vAlign w:val="center"/>
            <w:hideMark/>
          </w:tcPr>
          <w:p w14:paraId="4451C329" w14:textId="77777777" w:rsidR="00CA7676" w:rsidRPr="00E14EE6" w:rsidRDefault="00CA7676" w:rsidP="00E14EE6">
            <w:pPr>
              <w:jc w:val="right"/>
              <w:rPr>
                <w:rFonts w:eastAsia="Times New Roman" w:cs="Times New Roman"/>
                <w:color w:val="FFFFFF" w:themeColor="background1"/>
                <w:sz w:val="20"/>
                <w:szCs w:val="20"/>
              </w:rPr>
            </w:pPr>
            <w:r w:rsidRPr="00E14EE6">
              <w:rPr>
                <w:color w:val="FFFFFF" w:themeColor="background1"/>
                <w:sz w:val="14"/>
              </w:rPr>
              <w:t>2015</w:t>
            </w:r>
          </w:p>
        </w:tc>
        <w:tc>
          <w:tcPr>
            <w:tcW w:w="390" w:type="pct"/>
            <w:noWrap/>
            <w:vAlign w:val="center"/>
            <w:hideMark/>
          </w:tcPr>
          <w:p w14:paraId="0FB8D1D7" w14:textId="77777777" w:rsidR="00CA7676" w:rsidRPr="00E14EE6" w:rsidRDefault="00CA7676" w:rsidP="00E14EE6">
            <w:pPr>
              <w:jc w:val="right"/>
              <w:rPr>
                <w:rFonts w:eastAsia="Times New Roman" w:cs="Times New Roman"/>
                <w:color w:val="FFFFFF" w:themeColor="background1"/>
                <w:sz w:val="20"/>
                <w:szCs w:val="20"/>
              </w:rPr>
            </w:pPr>
            <w:r w:rsidRPr="00E14EE6">
              <w:rPr>
                <w:color w:val="FFFFFF" w:themeColor="background1"/>
                <w:sz w:val="14"/>
              </w:rPr>
              <w:t>2016</w:t>
            </w:r>
          </w:p>
        </w:tc>
        <w:tc>
          <w:tcPr>
            <w:tcW w:w="390" w:type="pct"/>
            <w:noWrap/>
            <w:vAlign w:val="center"/>
            <w:hideMark/>
          </w:tcPr>
          <w:p w14:paraId="4056E5B2" w14:textId="77777777" w:rsidR="00CA7676" w:rsidRPr="00E14EE6" w:rsidRDefault="00CA7676" w:rsidP="00E14EE6">
            <w:pPr>
              <w:jc w:val="right"/>
              <w:rPr>
                <w:rFonts w:eastAsia="Times New Roman" w:cs="Times New Roman"/>
                <w:color w:val="FFFFFF" w:themeColor="background1"/>
                <w:sz w:val="20"/>
                <w:szCs w:val="20"/>
              </w:rPr>
            </w:pPr>
            <w:r w:rsidRPr="00E14EE6">
              <w:rPr>
                <w:sz w:val="14"/>
              </w:rPr>
              <w:t>2017</w:t>
            </w:r>
            <w:r w:rsidRPr="00E14EE6">
              <w:rPr>
                <w:sz w:val="14"/>
                <w:vertAlign w:val="superscript"/>
              </w:rPr>
              <w:t>a</w:t>
            </w:r>
          </w:p>
        </w:tc>
        <w:tc>
          <w:tcPr>
            <w:tcW w:w="390" w:type="pct"/>
            <w:noWrap/>
            <w:vAlign w:val="center"/>
            <w:hideMark/>
          </w:tcPr>
          <w:p w14:paraId="60B6A72B" w14:textId="77777777" w:rsidR="00CA7676" w:rsidRPr="00E14EE6" w:rsidRDefault="00CA7676" w:rsidP="00E14EE6">
            <w:pPr>
              <w:jc w:val="right"/>
              <w:rPr>
                <w:rFonts w:eastAsia="Times New Roman" w:cs="Times New Roman"/>
                <w:color w:val="FFFFFF" w:themeColor="background1"/>
                <w:sz w:val="20"/>
                <w:szCs w:val="20"/>
              </w:rPr>
            </w:pPr>
            <w:r w:rsidRPr="00E14EE6">
              <w:rPr>
                <w:sz w:val="14"/>
              </w:rPr>
              <w:t>2018</w:t>
            </w:r>
            <w:r w:rsidRPr="00E14EE6">
              <w:rPr>
                <w:sz w:val="14"/>
                <w:vertAlign w:val="superscript"/>
              </w:rPr>
              <w:t>a</w:t>
            </w:r>
          </w:p>
        </w:tc>
        <w:tc>
          <w:tcPr>
            <w:tcW w:w="390" w:type="pct"/>
            <w:noWrap/>
            <w:vAlign w:val="center"/>
            <w:hideMark/>
          </w:tcPr>
          <w:p w14:paraId="5A37FDBA" w14:textId="77777777" w:rsidR="00CA7676" w:rsidRPr="00E14EE6" w:rsidRDefault="00CA7676" w:rsidP="00E14EE6">
            <w:pPr>
              <w:jc w:val="right"/>
              <w:rPr>
                <w:rFonts w:eastAsia="Times New Roman" w:cs="Times New Roman"/>
                <w:color w:val="FFFFFF" w:themeColor="background1"/>
                <w:sz w:val="20"/>
                <w:szCs w:val="20"/>
              </w:rPr>
            </w:pPr>
            <w:r w:rsidRPr="00E14EE6">
              <w:rPr>
                <w:sz w:val="14"/>
              </w:rPr>
              <w:t>2019</w:t>
            </w:r>
            <w:r w:rsidRPr="00E14EE6">
              <w:rPr>
                <w:sz w:val="14"/>
                <w:vertAlign w:val="superscript"/>
              </w:rPr>
              <w:t>a</w:t>
            </w:r>
          </w:p>
        </w:tc>
        <w:tc>
          <w:tcPr>
            <w:tcW w:w="390" w:type="pct"/>
            <w:noWrap/>
            <w:vAlign w:val="center"/>
            <w:hideMark/>
          </w:tcPr>
          <w:p w14:paraId="310DB1FF" w14:textId="77777777" w:rsidR="00CA7676" w:rsidRPr="00E14EE6" w:rsidRDefault="00CA7676" w:rsidP="00E14EE6">
            <w:pPr>
              <w:jc w:val="right"/>
              <w:rPr>
                <w:rFonts w:eastAsia="Times New Roman" w:cs="Times New Roman"/>
                <w:color w:val="FFFFFF" w:themeColor="background1"/>
                <w:sz w:val="20"/>
                <w:szCs w:val="20"/>
              </w:rPr>
            </w:pPr>
            <w:r w:rsidRPr="00E14EE6">
              <w:rPr>
                <w:sz w:val="14"/>
              </w:rPr>
              <w:t>2020</w:t>
            </w:r>
            <w:r w:rsidRPr="00E14EE6">
              <w:rPr>
                <w:sz w:val="14"/>
                <w:vertAlign w:val="superscript"/>
              </w:rPr>
              <w:t>a</w:t>
            </w:r>
          </w:p>
        </w:tc>
        <w:tc>
          <w:tcPr>
            <w:tcW w:w="390" w:type="pct"/>
            <w:noWrap/>
            <w:vAlign w:val="center"/>
            <w:hideMark/>
          </w:tcPr>
          <w:p w14:paraId="75724CEA" w14:textId="77777777" w:rsidR="00CA7676" w:rsidRPr="00E14EE6" w:rsidRDefault="00CA7676" w:rsidP="00E14EE6">
            <w:pPr>
              <w:jc w:val="right"/>
              <w:rPr>
                <w:rFonts w:eastAsia="Times New Roman" w:cs="Times New Roman"/>
                <w:color w:val="FFFFFF" w:themeColor="background1"/>
                <w:sz w:val="20"/>
                <w:szCs w:val="20"/>
              </w:rPr>
            </w:pPr>
            <w:r w:rsidRPr="00E14EE6">
              <w:rPr>
                <w:sz w:val="14"/>
              </w:rPr>
              <w:t>2021</w:t>
            </w:r>
            <w:r w:rsidRPr="00E14EE6">
              <w:rPr>
                <w:sz w:val="14"/>
                <w:vertAlign w:val="superscript"/>
              </w:rPr>
              <w:t>a</w:t>
            </w:r>
          </w:p>
        </w:tc>
        <w:tc>
          <w:tcPr>
            <w:tcW w:w="390" w:type="pct"/>
            <w:noWrap/>
            <w:vAlign w:val="center"/>
            <w:hideMark/>
          </w:tcPr>
          <w:p w14:paraId="3CFD9F93" w14:textId="6461512F" w:rsidR="00CA7676" w:rsidRPr="00E14EE6" w:rsidRDefault="00CA7676" w:rsidP="00E14EE6">
            <w:pPr>
              <w:jc w:val="right"/>
              <w:rPr>
                <w:rFonts w:eastAsia="Times New Roman" w:cs="Times New Roman"/>
                <w:color w:val="FFFFFF" w:themeColor="background1"/>
                <w:sz w:val="20"/>
                <w:szCs w:val="20"/>
              </w:rPr>
            </w:pPr>
            <w:r w:rsidRPr="00E14EE6">
              <w:rPr>
                <w:sz w:val="14"/>
              </w:rPr>
              <w:t>2022</w:t>
            </w:r>
            <w:r w:rsidR="0098068E" w:rsidRPr="00E14EE6">
              <w:rPr>
                <w:sz w:val="14"/>
              </w:rPr>
              <w:t>Q</w:t>
            </w:r>
            <w:r w:rsidRPr="00E14EE6">
              <w:rPr>
                <w:sz w:val="14"/>
              </w:rPr>
              <w:t>1</w:t>
            </w:r>
            <w:r w:rsidRPr="00E14EE6">
              <w:rPr>
                <w:sz w:val="14"/>
                <w:vertAlign w:val="superscript"/>
              </w:rPr>
              <w:t>a</w:t>
            </w:r>
          </w:p>
        </w:tc>
      </w:tr>
      <w:tr w:rsidR="00CA7676" w:rsidRPr="00E14EE6" w14:paraId="5CD6F0F6" w14:textId="77777777" w:rsidTr="00FD6B66">
        <w:trPr>
          <w:cantSplit/>
          <w:trHeight w:val="20"/>
        </w:trPr>
        <w:tc>
          <w:tcPr>
            <w:tcW w:w="1492" w:type="pct"/>
            <w:noWrap/>
            <w:hideMark/>
          </w:tcPr>
          <w:p w14:paraId="6520020A" w14:textId="7292EE6F" w:rsidR="00CA7676" w:rsidRPr="00E14EE6" w:rsidRDefault="00CA7676" w:rsidP="00E14EE6">
            <w:pPr>
              <w:jc w:val="left"/>
              <w:rPr>
                <w:rFonts w:eastAsia="Times New Roman" w:cs="Times New Roman"/>
                <w:b/>
                <w:bCs/>
                <w:sz w:val="14"/>
                <w:szCs w:val="14"/>
              </w:rPr>
            </w:pPr>
            <w:r w:rsidRPr="00E14EE6">
              <w:rPr>
                <w:b/>
                <w:sz w:val="14"/>
              </w:rPr>
              <w:t>Revenue</w:t>
            </w:r>
          </w:p>
        </w:tc>
        <w:tc>
          <w:tcPr>
            <w:tcW w:w="389" w:type="pct"/>
            <w:noWrap/>
            <w:hideMark/>
          </w:tcPr>
          <w:p w14:paraId="17FB32A5" w14:textId="77777777" w:rsidR="00CA7676" w:rsidRPr="00E14EE6" w:rsidRDefault="00CA7676" w:rsidP="00E14EE6">
            <w:pPr>
              <w:jc w:val="right"/>
              <w:rPr>
                <w:rFonts w:eastAsia="Times New Roman" w:cs="Times New Roman"/>
                <w:b/>
                <w:bCs/>
                <w:color w:val="000000"/>
                <w:sz w:val="14"/>
                <w:szCs w:val="14"/>
              </w:rPr>
            </w:pPr>
            <w:r w:rsidRPr="00E14EE6">
              <w:rPr>
                <w:b/>
                <w:sz w:val="14"/>
              </w:rPr>
              <w:t>14.2</w:t>
            </w:r>
          </w:p>
        </w:tc>
        <w:tc>
          <w:tcPr>
            <w:tcW w:w="390" w:type="pct"/>
            <w:noWrap/>
            <w:hideMark/>
          </w:tcPr>
          <w:p w14:paraId="1AD2A4D5" w14:textId="77777777" w:rsidR="00CA7676" w:rsidRPr="00E14EE6" w:rsidRDefault="00CA7676" w:rsidP="00E14EE6">
            <w:pPr>
              <w:jc w:val="right"/>
              <w:rPr>
                <w:rFonts w:eastAsia="Times New Roman" w:cs="Times New Roman"/>
                <w:b/>
                <w:bCs/>
                <w:color w:val="000000"/>
                <w:sz w:val="14"/>
                <w:szCs w:val="14"/>
              </w:rPr>
            </w:pPr>
            <w:r w:rsidRPr="00E14EE6">
              <w:rPr>
                <w:b/>
                <w:sz w:val="14"/>
              </w:rPr>
              <w:t>16.6</w:t>
            </w:r>
          </w:p>
        </w:tc>
        <w:tc>
          <w:tcPr>
            <w:tcW w:w="390" w:type="pct"/>
            <w:noWrap/>
            <w:hideMark/>
          </w:tcPr>
          <w:p w14:paraId="1E0A3E65" w14:textId="77777777" w:rsidR="00CA7676" w:rsidRPr="00E14EE6" w:rsidRDefault="00CA7676" w:rsidP="00E14EE6">
            <w:pPr>
              <w:jc w:val="right"/>
              <w:rPr>
                <w:rFonts w:eastAsia="Times New Roman" w:cs="Times New Roman"/>
                <w:b/>
                <w:bCs/>
                <w:color w:val="000000"/>
                <w:sz w:val="14"/>
                <w:szCs w:val="14"/>
              </w:rPr>
            </w:pPr>
            <w:r w:rsidRPr="00E14EE6">
              <w:rPr>
                <w:b/>
                <w:sz w:val="14"/>
              </w:rPr>
              <w:t>13.9</w:t>
            </w:r>
          </w:p>
        </w:tc>
        <w:tc>
          <w:tcPr>
            <w:tcW w:w="390" w:type="pct"/>
            <w:noWrap/>
            <w:hideMark/>
          </w:tcPr>
          <w:p w14:paraId="0A087951" w14:textId="77777777" w:rsidR="00CA7676" w:rsidRPr="00E14EE6" w:rsidRDefault="00CA7676" w:rsidP="00E14EE6">
            <w:pPr>
              <w:jc w:val="right"/>
              <w:rPr>
                <w:rFonts w:eastAsia="Times New Roman" w:cs="Times New Roman"/>
                <w:b/>
                <w:bCs/>
                <w:color w:val="000000"/>
                <w:sz w:val="14"/>
                <w:szCs w:val="14"/>
              </w:rPr>
            </w:pPr>
            <w:r w:rsidRPr="00E14EE6">
              <w:rPr>
                <w:b/>
                <w:sz w:val="14"/>
              </w:rPr>
              <w:t>14.0</w:t>
            </w:r>
          </w:p>
        </w:tc>
        <w:tc>
          <w:tcPr>
            <w:tcW w:w="390" w:type="pct"/>
            <w:noWrap/>
            <w:hideMark/>
          </w:tcPr>
          <w:p w14:paraId="0222DCFD" w14:textId="77777777" w:rsidR="00CA7676" w:rsidRPr="00E14EE6" w:rsidRDefault="00CA7676" w:rsidP="00E14EE6">
            <w:pPr>
              <w:jc w:val="right"/>
              <w:rPr>
                <w:rFonts w:eastAsia="Times New Roman" w:cs="Times New Roman"/>
                <w:b/>
                <w:bCs/>
                <w:color w:val="000000"/>
                <w:sz w:val="14"/>
                <w:szCs w:val="14"/>
              </w:rPr>
            </w:pPr>
            <w:r w:rsidRPr="00E14EE6">
              <w:rPr>
                <w:b/>
                <w:sz w:val="14"/>
              </w:rPr>
              <w:t>14.2</w:t>
            </w:r>
          </w:p>
        </w:tc>
        <w:tc>
          <w:tcPr>
            <w:tcW w:w="390" w:type="pct"/>
            <w:noWrap/>
            <w:hideMark/>
          </w:tcPr>
          <w:p w14:paraId="0E84911B" w14:textId="77777777" w:rsidR="00CA7676" w:rsidRPr="00E14EE6" w:rsidRDefault="00CA7676" w:rsidP="00E14EE6">
            <w:pPr>
              <w:jc w:val="right"/>
              <w:rPr>
                <w:rFonts w:eastAsia="Times New Roman" w:cs="Times New Roman"/>
                <w:b/>
                <w:bCs/>
                <w:color w:val="000000"/>
                <w:sz w:val="14"/>
                <w:szCs w:val="14"/>
              </w:rPr>
            </w:pPr>
            <w:r w:rsidRPr="00E14EE6">
              <w:rPr>
                <w:b/>
                <w:sz w:val="14"/>
              </w:rPr>
              <w:t>14.4</w:t>
            </w:r>
          </w:p>
        </w:tc>
        <w:tc>
          <w:tcPr>
            <w:tcW w:w="390" w:type="pct"/>
            <w:noWrap/>
            <w:hideMark/>
          </w:tcPr>
          <w:p w14:paraId="0EBF7F52" w14:textId="77777777" w:rsidR="00CA7676" w:rsidRPr="00E14EE6" w:rsidRDefault="00CA7676" w:rsidP="00E14EE6">
            <w:pPr>
              <w:jc w:val="right"/>
              <w:rPr>
                <w:rFonts w:eastAsia="Times New Roman" w:cs="Times New Roman"/>
                <w:b/>
                <w:bCs/>
                <w:color w:val="000000"/>
                <w:sz w:val="14"/>
                <w:szCs w:val="14"/>
              </w:rPr>
            </w:pPr>
            <w:r w:rsidRPr="00E14EE6">
              <w:rPr>
                <w:b/>
                <w:sz w:val="14"/>
              </w:rPr>
              <w:t>14.2</w:t>
            </w:r>
          </w:p>
        </w:tc>
        <w:tc>
          <w:tcPr>
            <w:tcW w:w="390" w:type="pct"/>
            <w:noWrap/>
            <w:hideMark/>
          </w:tcPr>
          <w:p w14:paraId="63843458" w14:textId="77777777" w:rsidR="00CA7676" w:rsidRPr="00E14EE6" w:rsidRDefault="00CA7676" w:rsidP="00E14EE6">
            <w:pPr>
              <w:jc w:val="right"/>
              <w:rPr>
                <w:rFonts w:eastAsia="Times New Roman" w:cs="Times New Roman"/>
                <w:b/>
                <w:bCs/>
                <w:color w:val="000000"/>
                <w:sz w:val="14"/>
                <w:szCs w:val="14"/>
              </w:rPr>
            </w:pPr>
            <w:r w:rsidRPr="00E14EE6">
              <w:rPr>
                <w:b/>
                <w:sz w:val="14"/>
              </w:rPr>
              <w:t>15.6</w:t>
            </w:r>
          </w:p>
        </w:tc>
        <w:tc>
          <w:tcPr>
            <w:tcW w:w="390" w:type="pct"/>
            <w:noWrap/>
            <w:hideMark/>
          </w:tcPr>
          <w:p w14:paraId="61D8FFB7" w14:textId="77777777" w:rsidR="00CA7676" w:rsidRPr="00E14EE6" w:rsidRDefault="00CA7676" w:rsidP="00E14EE6">
            <w:pPr>
              <w:jc w:val="right"/>
              <w:rPr>
                <w:rFonts w:eastAsia="Times New Roman" w:cs="Times New Roman"/>
                <w:b/>
                <w:bCs/>
                <w:sz w:val="14"/>
                <w:szCs w:val="14"/>
              </w:rPr>
            </w:pPr>
            <w:r w:rsidRPr="00E14EE6">
              <w:rPr>
                <w:b/>
                <w:sz w:val="14"/>
              </w:rPr>
              <w:t>15.0</w:t>
            </w:r>
          </w:p>
        </w:tc>
      </w:tr>
      <w:tr w:rsidR="00CA7676" w:rsidRPr="00E14EE6" w14:paraId="01E65AE3" w14:textId="77777777" w:rsidTr="00FD6B66">
        <w:trPr>
          <w:cnfStyle w:val="000000010000" w:firstRow="0" w:lastRow="0" w:firstColumn="0" w:lastColumn="0" w:oddVBand="0" w:evenVBand="0" w:oddHBand="0" w:evenHBand="1" w:firstRowFirstColumn="0" w:firstRowLastColumn="0" w:lastRowFirstColumn="0" w:lastRowLastColumn="0"/>
          <w:cantSplit/>
          <w:trHeight w:val="20"/>
        </w:trPr>
        <w:tc>
          <w:tcPr>
            <w:tcW w:w="1492" w:type="pct"/>
            <w:noWrap/>
            <w:hideMark/>
          </w:tcPr>
          <w:p w14:paraId="3CE6F345" w14:textId="09D213F6" w:rsidR="00CA7676" w:rsidRPr="00E14EE6" w:rsidRDefault="00CA7676" w:rsidP="00E14EE6">
            <w:pPr>
              <w:ind w:firstLineChars="100" w:firstLine="140"/>
              <w:jc w:val="left"/>
              <w:rPr>
                <w:rFonts w:eastAsia="Times New Roman" w:cs="Times New Roman"/>
                <w:sz w:val="14"/>
                <w:szCs w:val="14"/>
              </w:rPr>
            </w:pPr>
            <w:r w:rsidRPr="00E14EE6">
              <w:rPr>
                <w:sz w:val="14"/>
              </w:rPr>
              <w:t>Taxes</w:t>
            </w:r>
          </w:p>
        </w:tc>
        <w:tc>
          <w:tcPr>
            <w:tcW w:w="389" w:type="pct"/>
            <w:noWrap/>
            <w:hideMark/>
          </w:tcPr>
          <w:p w14:paraId="030F791C" w14:textId="77777777" w:rsidR="00CA7676" w:rsidRPr="00E14EE6" w:rsidRDefault="00CA7676" w:rsidP="00E14EE6">
            <w:pPr>
              <w:jc w:val="right"/>
              <w:rPr>
                <w:rFonts w:eastAsia="Times New Roman" w:cs="Times New Roman"/>
                <w:color w:val="000000"/>
                <w:sz w:val="14"/>
                <w:szCs w:val="14"/>
              </w:rPr>
            </w:pPr>
            <w:r w:rsidRPr="00E14EE6">
              <w:rPr>
                <w:sz w:val="14"/>
              </w:rPr>
              <w:t>13.3</w:t>
            </w:r>
          </w:p>
        </w:tc>
        <w:tc>
          <w:tcPr>
            <w:tcW w:w="390" w:type="pct"/>
            <w:noWrap/>
            <w:hideMark/>
          </w:tcPr>
          <w:p w14:paraId="03A5CEE3" w14:textId="77777777" w:rsidR="00CA7676" w:rsidRPr="00E14EE6" w:rsidRDefault="00CA7676" w:rsidP="00E14EE6">
            <w:pPr>
              <w:jc w:val="right"/>
              <w:rPr>
                <w:rFonts w:eastAsia="Times New Roman" w:cs="Times New Roman"/>
                <w:color w:val="000000"/>
                <w:sz w:val="14"/>
                <w:szCs w:val="14"/>
              </w:rPr>
            </w:pPr>
            <w:r w:rsidRPr="00E14EE6">
              <w:rPr>
                <w:sz w:val="14"/>
              </w:rPr>
              <w:t>12.8</w:t>
            </w:r>
          </w:p>
        </w:tc>
        <w:tc>
          <w:tcPr>
            <w:tcW w:w="390" w:type="pct"/>
            <w:noWrap/>
            <w:hideMark/>
          </w:tcPr>
          <w:p w14:paraId="0AFE9849" w14:textId="77777777" w:rsidR="00CA7676" w:rsidRPr="00E14EE6" w:rsidRDefault="00CA7676" w:rsidP="00E14EE6">
            <w:pPr>
              <w:jc w:val="right"/>
              <w:rPr>
                <w:rFonts w:eastAsia="Times New Roman" w:cs="Times New Roman"/>
                <w:color w:val="000000"/>
                <w:sz w:val="14"/>
                <w:szCs w:val="14"/>
              </w:rPr>
            </w:pPr>
            <w:r w:rsidRPr="00E14EE6">
              <w:rPr>
                <w:sz w:val="14"/>
              </w:rPr>
              <w:t>12.9</w:t>
            </w:r>
          </w:p>
        </w:tc>
        <w:tc>
          <w:tcPr>
            <w:tcW w:w="390" w:type="pct"/>
            <w:noWrap/>
            <w:hideMark/>
          </w:tcPr>
          <w:p w14:paraId="6424ED5E" w14:textId="77777777" w:rsidR="00CA7676" w:rsidRPr="00E14EE6" w:rsidRDefault="00CA7676" w:rsidP="00E14EE6">
            <w:pPr>
              <w:jc w:val="right"/>
              <w:rPr>
                <w:rFonts w:eastAsia="Times New Roman" w:cs="Times New Roman"/>
                <w:color w:val="000000"/>
                <w:sz w:val="14"/>
                <w:szCs w:val="14"/>
              </w:rPr>
            </w:pPr>
            <w:r w:rsidRPr="00E14EE6">
              <w:rPr>
                <w:sz w:val="14"/>
              </w:rPr>
              <w:t>13.0</w:t>
            </w:r>
          </w:p>
        </w:tc>
        <w:tc>
          <w:tcPr>
            <w:tcW w:w="390" w:type="pct"/>
            <w:noWrap/>
            <w:hideMark/>
          </w:tcPr>
          <w:p w14:paraId="77B31D51" w14:textId="77777777" w:rsidR="00CA7676" w:rsidRPr="00E14EE6" w:rsidRDefault="00CA7676" w:rsidP="00E14EE6">
            <w:pPr>
              <w:jc w:val="right"/>
              <w:rPr>
                <w:rFonts w:eastAsia="Times New Roman" w:cs="Times New Roman"/>
                <w:color w:val="000000"/>
                <w:sz w:val="14"/>
                <w:szCs w:val="14"/>
              </w:rPr>
            </w:pPr>
            <w:r w:rsidRPr="00E14EE6">
              <w:rPr>
                <w:sz w:val="14"/>
              </w:rPr>
              <w:t>13.0</w:t>
            </w:r>
          </w:p>
        </w:tc>
        <w:tc>
          <w:tcPr>
            <w:tcW w:w="390" w:type="pct"/>
            <w:noWrap/>
            <w:hideMark/>
          </w:tcPr>
          <w:p w14:paraId="2D78B47F" w14:textId="77777777" w:rsidR="00CA7676" w:rsidRPr="00E14EE6" w:rsidRDefault="00CA7676" w:rsidP="00E14EE6">
            <w:pPr>
              <w:jc w:val="right"/>
              <w:rPr>
                <w:rFonts w:eastAsia="Times New Roman" w:cs="Times New Roman"/>
                <w:color w:val="000000"/>
                <w:sz w:val="14"/>
                <w:szCs w:val="14"/>
              </w:rPr>
            </w:pPr>
            <w:r w:rsidRPr="00E14EE6">
              <w:rPr>
                <w:sz w:val="14"/>
              </w:rPr>
              <w:t>13.3</w:t>
            </w:r>
          </w:p>
        </w:tc>
        <w:tc>
          <w:tcPr>
            <w:tcW w:w="390" w:type="pct"/>
            <w:noWrap/>
            <w:hideMark/>
          </w:tcPr>
          <w:p w14:paraId="0AB14096" w14:textId="77777777" w:rsidR="00CA7676" w:rsidRPr="00E14EE6" w:rsidRDefault="00CA7676" w:rsidP="00E14EE6">
            <w:pPr>
              <w:jc w:val="right"/>
              <w:rPr>
                <w:rFonts w:eastAsia="Times New Roman" w:cs="Times New Roman"/>
                <w:color w:val="000000"/>
                <w:sz w:val="14"/>
                <w:szCs w:val="14"/>
              </w:rPr>
            </w:pPr>
            <w:r w:rsidRPr="00E14EE6">
              <w:rPr>
                <w:sz w:val="14"/>
              </w:rPr>
              <w:t>12.4</w:t>
            </w:r>
          </w:p>
        </w:tc>
        <w:tc>
          <w:tcPr>
            <w:tcW w:w="390" w:type="pct"/>
            <w:noWrap/>
            <w:hideMark/>
          </w:tcPr>
          <w:p w14:paraId="4D0762CE" w14:textId="77777777" w:rsidR="00CA7676" w:rsidRPr="00E14EE6" w:rsidRDefault="00CA7676" w:rsidP="00E14EE6">
            <w:pPr>
              <w:jc w:val="right"/>
              <w:rPr>
                <w:rFonts w:eastAsia="Times New Roman" w:cs="Times New Roman"/>
                <w:color w:val="000000"/>
                <w:sz w:val="14"/>
                <w:szCs w:val="14"/>
              </w:rPr>
            </w:pPr>
            <w:r w:rsidRPr="00E14EE6">
              <w:rPr>
                <w:sz w:val="14"/>
              </w:rPr>
              <w:t>14.4</w:t>
            </w:r>
          </w:p>
        </w:tc>
        <w:tc>
          <w:tcPr>
            <w:tcW w:w="390" w:type="pct"/>
            <w:noWrap/>
            <w:hideMark/>
          </w:tcPr>
          <w:p w14:paraId="2F664809" w14:textId="77777777" w:rsidR="00CA7676" w:rsidRPr="00E14EE6" w:rsidRDefault="00CA7676" w:rsidP="00E14EE6">
            <w:pPr>
              <w:jc w:val="right"/>
              <w:rPr>
                <w:rFonts w:eastAsia="Times New Roman" w:cs="Times New Roman"/>
                <w:sz w:val="14"/>
                <w:szCs w:val="14"/>
              </w:rPr>
            </w:pPr>
            <w:r w:rsidRPr="00E14EE6">
              <w:rPr>
                <w:sz w:val="14"/>
              </w:rPr>
              <w:t>13.7</w:t>
            </w:r>
          </w:p>
        </w:tc>
      </w:tr>
      <w:tr w:rsidR="00CA7676" w:rsidRPr="00E14EE6" w14:paraId="337B182E" w14:textId="77777777" w:rsidTr="00FD6B66">
        <w:trPr>
          <w:cantSplit/>
          <w:trHeight w:val="20"/>
        </w:trPr>
        <w:tc>
          <w:tcPr>
            <w:tcW w:w="1492" w:type="pct"/>
            <w:noWrap/>
            <w:hideMark/>
          </w:tcPr>
          <w:p w14:paraId="7D39733A" w14:textId="77777777" w:rsidR="00CA7676" w:rsidRPr="00E14EE6" w:rsidRDefault="00CA7676" w:rsidP="00E14EE6">
            <w:pPr>
              <w:ind w:firstLineChars="200" w:firstLine="280"/>
              <w:jc w:val="left"/>
              <w:rPr>
                <w:rFonts w:eastAsia="Times New Roman" w:cs="Times New Roman"/>
                <w:sz w:val="14"/>
                <w:szCs w:val="14"/>
              </w:rPr>
            </w:pPr>
            <w:r w:rsidRPr="00E14EE6">
              <w:rPr>
                <w:sz w:val="14"/>
              </w:rPr>
              <w:t>Taxes on income, profits, and capital gains</w:t>
            </w:r>
          </w:p>
        </w:tc>
        <w:tc>
          <w:tcPr>
            <w:tcW w:w="389" w:type="pct"/>
            <w:noWrap/>
            <w:hideMark/>
          </w:tcPr>
          <w:p w14:paraId="20068431" w14:textId="77777777" w:rsidR="00CA7676" w:rsidRPr="00E14EE6" w:rsidRDefault="00CA7676" w:rsidP="00E14EE6">
            <w:pPr>
              <w:jc w:val="right"/>
              <w:rPr>
                <w:rFonts w:eastAsia="Times New Roman" w:cs="Times New Roman"/>
                <w:color w:val="000000"/>
                <w:sz w:val="14"/>
                <w:szCs w:val="14"/>
              </w:rPr>
            </w:pPr>
            <w:r w:rsidRPr="00E14EE6">
              <w:rPr>
                <w:sz w:val="14"/>
              </w:rPr>
              <w:t>4.2</w:t>
            </w:r>
          </w:p>
        </w:tc>
        <w:tc>
          <w:tcPr>
            <w:tcW w:w="390" w:type="pct"/>
            <w:noWrap/>
            <w:hideMark/>
          </w:tcPr>
          <w:p w14:paraId="350A099E" w14:textId="77777777" w:rsidR="00CA7676" w:rsidRPr="00E14EE6" w:rsidRDefault="00CA7676" w:rsidP="00E14EE6">
            <w:pPr>
              <w:jc w:val="right"/>
              <w:rPr>
                <w:rFonts w:eastAsia="Times New Roman" w:cs="Times New Roman"/>
                <w:color w:val="000000"/>
                <w:sz w:val="14"/>
                <w:szCs w:val="14"/>
              </w:rPr>
            </w:pPr>
            <w:r w:rsidRPr="00E14EE6">
              <w:rPr>
                <w:sz w:val="14"/>
              </w:rPr>
              <w:t>3.7</w:t>
            </w:r>
          </w:p>
        </w:tc>
        <w:tc>
          <w:tcPr>
            <w:tcW w:w="390" w:type="pct"/>
            <w:noWrap/>
            <w:hideMark/>
          </w:tcPr>
          <w:p w14:paraId="5D1FC69E" w14:textId="77777777" w:rsidR="00CA7676" w:rsidRPr="00E14EE6" w:rsidRDefault="00CA7676" w:rsidP="00E14EE6">
            <w:pPr>
              <w:jc w:val="right"/>
              <w:rPr>
                <w:rFonts w:eastAsia="Times New Roman" w:cs="Times New Roman"/>
                <w:color w:val="000000"/>
                <w:sz w:val="14"/>
                <w:szCs w:val="14"/>
              </w:rPr>
            </w:pPr>
            <w:r w:rsidRPr="00E14EE6">
              <w:rPr>
                <w:sz w:val="14"/>
              </w:rPr>
              <w:t>3.9</w:t>
            </w:r>
          </w:p>
        </w:tc>
        <w:tc>
          <w:tcPr>
            <w:tcW w:w="390" w:type="pct"/>
            <w:noWrap/>
            <w:hideMark/>
          </w:tcPr>
          <w:p w14:paraId="27137B89" w14:textId="77777777" w:rsidR="00CA7676" w:rsidRPr="00E14EE6" w:rsidRDefault="00CA7676" w:rsidP="00E14EE6">
            <w:pPr>
              <w:jc w:val="right"/>
              <w:rPr>
                <w:rFonts w:eastAsia="Times New Roman" w:cs="Times New Roman"/>
                <w:color w:val="000000"/>
                <w:sz w:val="14"/>
                <w:szCs w:val="14"/>
              </w:rPr>
            </w:pPr>
            <w:r w:rsidRPr="00E14EE6">
              <w:rPr>
                <w:sz w:val="14"/>
              </w:rPr>
              <w:t>4.0</w:t>
            </w:r>
          </w:p>
        </w:tc>
        <w:tc>
          <w:tcPr>
            <w:tcW w:w="390" w:type="pct"/>
            <w:noWrap/>
            <w:hideMark/>
          </w:tcPr>
          <w:p w14:paraId="3176EBF8" w14:textId="77777777" w:rsidR="00CA7676" w:rsidRPr="00E14EE6" w:rsidRDefault="00CA7676" w:rsidP="00E14EE6">
            <w:pPr>
              <w:jc w:val="right"/>
              <w:rPr>
                <w:rFonts w:eastAsia="Times New Roman" w:cs="Times New Roman"/>
                <w:color w:val="000000"/>
                <w:sz w:val="14"/>
                <w:szCs w:val="14"/>
              </w:rPr>
            </w:pPr>
            <w:r w:rsidRPr="00E14EE6">
              <w:rPr>
                <w:sz w:val="14"/>
              </w:rPr>
              <w:t>4.0</w:t>
            </w:r>
          </w:p>
        </w:tc>
        <w:tc>
          <w:tcPr>
            <w:tcW w:w="390" w:type="pct"/>
            <w:noWrap/>
            <w:hideMark/>
          </w:tcPr>
          <w:p w14:paraId="3A476196" w14:textId="77777777" w:rsidR="00CA7676" w:rsidRPr="00E14EE6" w:rsidRDefault="00CA7676" w:rsidP="00E14EE6">
            <w:pPr>
              <w:jc w:val="right"/>
              <w:rPr>
                <w:rFonts w:eastAsia="Times New Roman" w:cs="Times New Roman"/>
                <w:color w:val="000000"/>
                <w:sz w:val="14"/>
                <w:szCs w:val="14"/>
              </w:rPr>
            </w:pPr>
            <w:r w:rsidRPr="00E14EE6">
              <w:rPr>
                <w:sz w:val="14"/>
              </w:rPr>
              <w:t>4.2</w:t>
            </w:r>
          </w:p>
        </w:tc>
        <w:tc>
          <w:tcPr>
            <w:tcW w:w="390" w:type="pct"/>
            <w:noWrap/>
            <w:hideMark/>
          </w:tcPr>
          <w:p w14:paraId="5F777ED3" w14:textId="77777777" w:rsidR="00CA7676" w:rsidRPr="00E14EE6" w:rsidRDefault="00CA7676" w:rsidP="00E14EE6">
            <w:pPr>
              <w:jc w:val="right"/>
              <w:rPr>
                <w:rFonts w:eastAsia="Times New Roman" w:cs="Times New Roman"/>
                <w:color w:val="000000"/>
                <w:sz w:val="14"/>
                <w:szCs w:val="14"/>
              </w:rPr>
            </w:pPr>
            <w:r w:rsidRPr="00E14EE6">
              <w:rPr>
                <w:sz w:val="14"/>
              </w:rPr>
              <w:t>4.2</w:t>
            </w:r>
          </w:p>
        </w:tc>
        <w:tc>
          <w:tcPr>
            <w:tcW w:w="390" w:type="pct"/>
            <w:noWrap/>
            <w:hideMark/>
          </w:tcPr>
          <w:p w14:paraId="06493B80" w14:textId="77777777" w:rsidR="00CA7676" w:rsidRPr="00E14EE6" w:rsidRDefault="00CA7676" w:rsidP="00E14EE6">
            <w:pPr>
              <w:jc w:val="right"/>
              <w:rPr>
                <w:rFonts w:eastAsia="Times New Roman" w:cs="Times New Roman"/>
                <w:color w:val="000000"/>
                <w:sz w:val="14"/>
                <w:szCs w:val="14"/>
              </w:rPr>
            </w:pPr>
            <w:r w:rsidRPr="00E14EE6">
              <w:rPr>
                <w:sz w:val="14"/>
              </w:rPr>
              <w:t>4.9</w:t>
            </w:r>
          </w:p>
        </w:tc>
        <w:tc>
          <w:tcPr>
            <w:tcW w:w="390" w:type="pct"/>
            <w:noWrap/>
            <w:hideMark/>
          </w:tcPr>
          <w:p w14:paraId="427C3E9E" w14:textId="77777777" w:rsidR="00CA7676" w:rsidRPr="00E14EE6" w:rsidRDefault="00CA7676" w:rsidP="00E14EE6">
            <w:pPr>
              <w:jc w:val="right"/>
              <w:rPr>
                <w:rFonts w:eastAsia="Times New Roman" w:cs="Times New Roman"/>
                <w:sz w:val="14"/>
                <w:szCs w:val="14"/>
              </w:rPr>
            </w:pPr>
            <w:r w:rsidRPr="00E14EE6">
              <w:rPr>
                <w:sz w:val="14"/>
              </w:rPr>
              <w:t>4.0</w:t>
            </w:r>
          </w:p>
        </w:tc>
      </w:tr>
      <w:tr w:rsidR="00CA7676" w:rsidRPr="00E14EE6" w14:paraId="5A32547D" w14:textId="77777777" w:rsidTr="00FD6B66">
        <w:trPr>
          <w:cnfStyle w:val="000000010000" w:firstRow="0" w:lastRow="0" w:firstColumn="0" w:lastColumn="0" w:oddVBand="0" w:evenVBand="0" w:oddHBand="0" w:evenHBand="1" w:firstRowFirstColumn="0" w:firstRowLastColumn="0" w:lastRowFirstColumn="0" w:lastRowLastColumn="0"/>
          <w:cantSplit/>
          <w:trHeight w:val="20"/>
        </w:trPr>
        <w:tc>
          <w:tcPr>
            <w:tcW w:w="1492" w:type="pct"/>
            <w:noWrap/>
            <w:hideMark/>
          </w:tcPr>
          <w:p w14:paraId="145B5BF4" w14:textId="77777777" w:rsidR="00CA7676" w:rsidRPr="00E14EE6" w:rsidRDefault="00CA7676" w:rsidP="00E14EE6">
            <w:pPr>
              <w:ind w:firstLineChars="200" w:firstLine="280"/>
              <w:jc w:val="left"/>
              <w:rPr>
                <w:rFonts w:eastAsia="Times New Roman" w:cs="Times New Roman"/>
                <w:sz w:val="14"/>
                <w:szCs w:val="14"/>
              </w:rPr>
            </w:pPr>
            <w:r w:rsidRPr="00E14EE6">
              <w:rPr>
                <w:sz w:val="14"/>
              </w:rPr>
              <w:t>Taxes on property</w:t>
            </w:r>
          </w:p>
        </w:tc>
        <w:tc>
          <w:tcPr>
            <w:tcW w:w="389" w:type="pct"/>
            <w:noWrap/>
            <w:hideMark/>
          </w:tcPr>
          <w:p w14:paraId="0FE35ECF" w14:textId="77777777" w:rsidR="00CA7676" w:rsidRPr="00E14EE6" w:rsidRDefault="00CA7676" w:rsidP="00E14EE6">
            <w:pPr>
              <w:jc w:val="right"/>
              <w:rPr>
                <w:rFonts w:eastAsia="Times New Roman" w:cs="Times New Roman"/>
                <w:color w:val="000000"/>
                <w:sz w:val="14"/>
                <w:szCs w:val="14"/>
              </w:rPr>
            </w:pPr>
            <w:r w:rsidRPr="00E14EE6">
              <w:rPr>
                <w:sz w:val="14"/>
              </w:rPr>
              <w:t>0.2</w:t>
            </w:r>
          </w:p>
        </w:tc>
        <w:tc>
          <w:tcPr>
            <w:tcW w:w="390" w:type="pct"/>
            <w:noWrap/>
            <w:hideMark/>
          </w:tcPr>
          <w:p w14:paraId="20B8E366" w14:textId="77777777" w:rsidR="00CA7676" w:rsidRPr="00E14EE6" w:rsidRDefault="00CA7676" w:rsidP="00E14EE6">
            <w:pPr>
              <w:jc w:val="right"/>
              <w:rPr>
                <w:rFonts w:eastAsia="Times New Roman" w:cs="Times New Roman"/>
                <w:color w:val="000000"/>
                <w:sz w:val="14"/>
                <w:szCs w:val="14"/>
              </w:rPr>
            </w:pPr>
            <w:r w:rsidRPr="00E14EE6">
              <w:rPr>
                <w:sz w:val="14"/>
              </w:rPr>
              <w:t>0.2</w:t>
            </w:r>
          </w:p>
        </w:tc>
        <w:tc>
          <w:tcPr>
            <w:tcW w:w="390" w:type="pct"/>
            <w:noWrap/>
            <w:hideMark/>
          </w:tcPr>
          <w:p w14:paraId="6FF87C5F" w14:textId="77777777" w:rsidR="00CA7676" w:rsidRPr="00E14EE6" w:rsidRDefault="00CA7676" w:rsidP="00E14EE6">
            <w:pPr>
              <w:jc w:val="right"/>
              <w:rPr>
                <w:rFonts w:eastAsia="Times New Roman" w:cs="Times New Roman"/>
                <w:color w:val="000000"/>
                <w:sz w:val="14"/>
                <w:szCs w:val="14"/>
              </w:rPr>
            </w:pPr>
            <w:r w:rsidRPr="00E14EE6">
              <w:rPr>
                <w:sz w:val="14"/>
              </w:rPr>
              <w:t>0.2</w:t>
            </w:r>
          </w:p>
        </w:tc>
        <w:tc>
          <w:tcPr>
            <w:tcW w:w="390" w:type="pct"/>
            <w:noWrap/>
            <w:hideMark/>
          </w:tcPr>
          <w:p w14:paraId="2AC82AD2" w14:textId="77777777" w:rsidR="00CA7676" w:rsidRPr="00E14EE6" w:rsidRDefault="00CA7676" w:rsidP="00E14EE6">
            <w:pPr>
              <w:jc w:val="right"/>
              <w:rPr>
                <w:rFonts w:eastAsia="Times New Roman" w:cs="Times New Roman"/>
                <w:color w:val="000000"/>
                <w:sz w:val="14"/>
                <w:szCs w:val="14"/>
              </w:rPr>
            </w:pPr>
            <w:r w:rsidRPr="00E14EE6">
              <w:rPr>
                <w:sz w:val="14"/>
              </w:rPr>
              <w:t>0.2</w:t>
            </w:r>
          </w:p>
        </w:tc>
        <w:tc>
          <w:tcPr>
            <w:tcW w:w="390" w:type="pct"/>
            <w:noWrap/>
            <w:hideMark/>
          </w:tcPr>
          <w:p w14:paraId="5C1F79C0" w14:textId="77777777" w:rsidR="00CA7676" w:rsidRPr="00E14EE6" w:rsidRDefault="00CA7676" w:rsidP="00E14EE6">
            <w:pPr>
              <w:jc w:val="right"/>
              <w:rPr>
                <w:rFonts w:eastAsia="Times New Roman" w:cs="Times New Roman"/>
                <w:color w:val="000000"/>
                <w:sz w:val="14"/>
                <w:szCs w:val="14"/>
              </w:rPr>
            </w:pPr>
            <w:r w:rsidRPr="00E14EE6">
              <w:rPr>
                <w:sz w:val="14"/>
              </w:rPr>
              <w:t>0.2</w:t>
            </w:r>
          </w:p>
        </w:tc>
        <w:tc>
          <w:tcPr>
            <w:tcW w:w="390" w:type="pct"/>
            <w:noWrap/>
            <w:hideMark/>
          </w:tcPr>
          <w:p w14:paraId="3E8EB52F" w14:textId="77777777" w:rsidR="00CA7676" w:rsidRPr="00E14EE6" w:rsidRDefault="00CA7676" w:rsidP="00E14EE6">
            <w:pPr>
              <w:jc w:val="right"/>
              <w:rPr>
                <w:rFonts w:eastAsia="Times New Roman" w:cs="Times New Roman"/>
                <w:color w:val="000000"/>
                <w:sz w:val="14"/>
                <w:szCs w:val="14"/>
              </w:rPr>
            </w:pPr>
            <w:r w:rsidRPr="00E14EE6">
              <w:rPr>
                <w:sz w:val="14"/>
              </w:rPr>
              <w:t>0.2</w:t>
            </w:r>
          </w:p>
        </w:tc>
        <w:tc>
          <w:tcPr>
            <w:tcW w:w="390" w:type="pct"/>
            <w:noWrap/>
            <w:hideMark/>
          </w:tcPr>
          <w:p w14:paraId="03C99E46" w14:textId="77777777" w:rsidR="00CA7676" w:rsidRPr="00E14EE6" w:rsidRDefault="00CA7676" w:rsidP="00E14EE6">
            <w:pPr>
              <w:jc w:val="right"/>
              <w:rPr>
                <w:rFonts w:eastAsia="Times New Roman" w:cs="Times New Roman"/>
                <w:color w:val="000000"/>
                <w:sz w:val="14"/>
                <w:szCs w:val="14"/>
              </w:rPr>
            </w:pPr>
            <w:r w:rsidRPr="00E14EE6">
              <w:rPr>
                <w:sz w:val="14"/>
              </w:rPr>
              <w:t>0.2</w:t>
            </w:r>
          </w:p>
        </w:tc>
        <w:tc>
          <w:tcPr>
            <w:tcW w:w="390" w:type="pct"/>
            <w:noWrap/>
            <w:hideMark/>
          </w:tcPr>
          <w:p w14:paraId="68C9A0DE" w14:textId="77777777" w:rsidR="00CA7676" w:rsidRPr="00E14EE6" w:rsidRDefault="00CA7676" w:rsidP="00E14EE6">
            <w:pPr>
              <w:jc w:val="right"/>
              <w:rPr>
                <w:rFonts w:eastAsia="Times New Roman" w:cs="Times New Roman"/>
                <w:color w:val="000000"/>
                <w:sz w:val="14"/>
                <w:szCs w:val="14"/>
              </w:rPr>
            </w:pPr>
            <w:r w:rsidRPr="00E14EE6">
              <w:rPr>
                <w:sz w:val="14"/>
              </w:rPr>
              <w:t>0.3</w:t>
            </w:r>
          </w:p>
        </w:tc>
        <w:tc>
          <w:tcPr>
            <w:tcW w:w="390" w:type="pct"/>
            <w:noWrap/>
            <w:hideMark/>
          </w:tcPr>
          <w:p w14:paraId="1A2D62C1" w14:textId="77777777" w:rsidR="00CA7676" w:rsidRPr="00E14EE6" w:rsidRDefault="00CA7676" w:rsidP="00E14EE6">
            <w:pPr>
              <w:jc w:val="right"/>
              <w:rPr>
                <w:rFonts w:eastAsia="Times New Roman" w:cs="Times New Roman"/>
                <w:sz w:val="14"/>
                <w:szCs w:val="14"/>
              </w:rPr>
            </w:pPr>
            <w:r w:rsidRPr="00E14EE6">
              <w:rPr>
                <w:sz w:val="14"/>
              </w:rPr>
              <w:t>0.2</w:t>
            </w:r>
          </w:p>
        </w:tc>
      </w:tr>
      <w:tr w:rsidR="00CA7676" w:rsidRPr="00E14EE6" w14:paraId="42831AA7" w14:textId="77777777" w:rsidTr="00FD6B66">
        <w:trPr>
          <w:cantSplit/>
          <w:trHeight w:val="20"/>
        </w:trPr>
        <w:tc>
          <w:tcPr>
            <w:tcW w:w="1492" w:type="pct"/>
            <w:noWrap/>
            <w:hideMark/>
          </w:tcPr>
          <w:p w14:paraId="57E01919" w14:textId="77777777" w:rsidR="00CA7676" w:rsidRPr="00E14EE6" w:rsidRDefault="00CA7676" w:rsidP="00E14EE6">
            <w:pPr>
              <w:ind w:firstLineChars="200" w:firstLine="280"/>
              <w:jc w:val="left"/>
              <w:rPr>
                <w:rFonts w:eastAsia="Times New Roman" w:cs="Times New Roman"/>
                <w:sz w:val="14"/>
                <w:szCs w:val="14"/>
              </w:rPr>
            </w:pPr>
            <w:r w:rsidRPr="00E14EE6">
              <w:rPr>
                <w:sz w:val="14"/>
              </w:rPr>
              <w:t>Taxes on goods and services</w:t>
            </w:r>
          </w:p>
        </w:tc>
        <w:tc>
          <w:tcPr>
            <w:tcW w:w="389" w:type="pct"/>
            <w:noWrap/>
            <w:hideMark/>
          </w:tcPr>
          <w:p w14:paraId="4B2FBE2E" w14:textId="77777777" w:rsidR="00CA7676" w:rsidRPr="00E14EE6" w:rsidRDefault="00CA7676" w:rsidP="00E14EE6">
            <w:pPr>
              <w:jc w:val="right"/>
              <w:rPr>
                <w:rFonts w:eastAsia="Times New Roman" w:cs="Times New Roman"/>
                <w:color w:val="000000"/>
                <w:sz w:val="14"/>
                <w:szCs w:val="14"/>
              </w:rPr>
            </w:pPr>
            <w:r w:rsidRPr="00E14EE6">
              <w:rPr>
                <w:sz w:val="14"/>
              </w:rPr>
              <w:t>8.0</w:t>
            </w:r>
          </w:p>
        </w:tc>
        <w:tc>
          <w:tcPr>
            <w:tcW w:w="390" w:type="pct"/>
            <w:noWrap/>
            <w:hideMark/>
          </w:tcPr>
          <w:p w14:paraId="019FCC59" w14:textId="77777777" w:rsidR="00CA7676" w:rsidRPr="00E14EE6" w:rsidRDefault="00CA7676" w:rsidP="00E14EE6">
            <w:pPr>
              <w:jc w:val="right"/>
              <w:rPr>
                <w:rFonts w:eastAsia="Times New Roman" w:cs="Times New Roman"/>
                <w:color w:val="000000"/>
                <w:sz w:val="14"/>
                <w:szCs w:val="14"/>
              </w:rPr>
            </w:pPr>
            <w:r w:rsidRPr="00E14EE6">
              <w:rPr>
                <w:sz w:val="14"/>
              </w:rPr>
              <w:t>8.0</w:t>
            </w:r>
          </w:p>
        </w:tc>
        <w:tc>
          <w:tcPr>
            <w:tcW w:w="390" w:type="pct"/>
            <w:noWrap/>
            <w:hideMark/>
          </w:tcPr>
          <w:p w14:paraId="6A6F1971" w14:textId="77777777" w:rsidR="00CA7676" w:rsidRPr="00E14EE6" w:rsidRDefault="00CA7676" w:rsidP="00E14EE6">
            <w:pPr>
              <w:jc w:val="right"/>
              <w:rPr>
                <w:rFonts w:eastAsia="Times New Roman" w:cs="Times New Roman"/>
                <w:color w:val="000000"/>
                <w:sz w:val="14"/>
                <w:szCs w:val="14"/>
              </w:rPr>
            </w:pPr>
            <w:r w:rsidRPr="00E14EE6">
              <w:rPr>
                <w:sz w:val="14"/>
              </w:rPr>
              <w:t>7.9</w:t>
            </w:r>
          </w:p>
        </w:tc>
        <w:tc>
          <w:tcPr>
            <w:tcW w:w="390" w:type="pct"/>
            <w:noWrap/>
            <w:hideMark/>
          </w:tcPr>
          <w:p w14:paraId="432FFD36" w14:textId="77777777" w:rsidR="00CA7676" w:rsidRPr="00E14EE6" w:rsidRDefault="00CA7676" w:rsidP="00E14EE6">
            <w:pPr>
              <w:jc w:val="right"/>
              <w:rPr>
                <w:rFonts w:eastAsia="Times New Roman" w:cs="Times New Roman"/>
                <w:color w:val="000000"/>
                <w:sz w:val="14"/>
                <w:szCs w:val="14"/>
              </w:rPr>
            </w:pPr>
            <w:r w:rsidRPr="00E14EE6">
              <w:rPr>
                <w:sz w:val="14"/>
              </w:rPr>
              <w:t>7.8</w:t>
            </w:r>
          </w:p>
        </w:tc>
        <w:tc>
          <w:tcPr>
            <w:tcW w:w="390" w:type="pct"/>
            <w:noWrap/>
            <w:hideMark/>
          </w:tcPr>
          <w:p w14:paraId="2311DAE8" w14:textId="77777777" w:rsidR="00CA7676" w:rsidRPr="00E14EE6" w:rsidRDefault="00CA7676" w:rsidP="00E14EE6">
            <w:pPr>
              <w:jc w:val="right"/>
              <w:rPr>
                <w:rFonts w:eastAsia="Times New Roman" w:cs="Times New Roman"/>
                <w:color w:val="000000"/>
                <w:sz w:val="14"/>
                <w:szCs w:val="14"/>
              </w:rPr>
            </w:pPr>
            <w:r w:rsidRPr="00E14EE6">
              <w:rPr>
                <w:sz w:val="14"/>
              </w:rPr>
              <w:t>7.9</w:t>
            </w:r>
          </w:p>
        </w:tc>
        <w:tc>
          <w:tcPr>
            <w:tcW w:w="390" w:type="pct"/>
            <w:noWrap/>
            <w:hideMark/>
          </w:tcPr>
          <w:p w14:paraId="7F07CB65" w14:textId="77777777" w:rsidR="00CA7676" w:rsidRPr="00E14EE6" w:rsidRDefault="00CA7676" w:rsidP="00E14EE6">
            <w:pPr>
              <w:jc w:val="right"/>
              <w:rPr>
                <w:rFonts w:eastAsia="Times New Roman" w:cs="Times New Roman"/>
                <w:color w:val="000000"/>
                <w:sz w:val="14"/>
                <w:szCs w:val="14"/>
              </w:rPr>
            </w:pPr>
            <w:r w:rsidRPr="00E14EE6">
              <w:rPr>
                <w:sz w:val="14"/>
              </w:rPr>
              <w:t>8.0</w:t>
            </w:r>
          </w:p>
        </w:tc>
        <w:tc>
          <w:tcPr>
            <w:tcW w:w="390" w:type="pct"/>
            <w:noWrap/>
            <w:hideMark/>
          </w:tcPr>
          <w:p w14:paraId="6912EF14" w14:textId="77777777" w:rsidR="00CA7676" w:rsidRPr="00E14EE6" w:rsidRDefault="00CA7676" w:rsidP="00E14EE6">
            <w:pPr>
              <w:jc w:val="right"/>
              <w:rPr>
                <w:rFonts w:eastAsia="Times New Roman" w:cs="Times New Roman"/>
                <w:color w:val="000000"/>
                <w:sz w:val="14"/>
                <w:szCs w:val="14"/>
              </w:rPr>
            </w:pPr>
            <w:r w:rsidRPr="00E14EE6">
              <w:rPr>
                <w:sz w:val="14"/>
              </w:rPr>
              <w:t>7.2</w:t>
            </w:r>
          </w:p>
        </w:tc>
        <w:tc>
          <w:tcPr>
            <w:tcW w:w="390" w:type="pct"/>
            <w:noWrap/>
            <w:hideMark/>
          </w:tcPr>
          <w:p w14:paraId="166AC92E" w14:textId="77777777" w:rsidR="00CA7676" w:rsidRPr="00E14EE6" w:rsidRDefault="00CA7676" w:rsidP="00E14EE6">
            <w:pPr>
              <w:jc w:val="right"/>
              <w:rPr>
                <w:rFonts w:eastAsia="Times New Roman" w:cs="Times New Roman"/>
                <w:color w:val="000000"/>
                <w:sz w:val="14"/>
                <w:szCs w:val="14"/>
              </w:rPr>
            </w:pPr>
            <w:r w:rsidRPr="00E14EE6">
              <w:rPr>
                <w:sz w:val="14"/>
              </w:rPr>
              <w:t>8.3</w:t>
            </w:r>
          </w:p>
        </w:tc>
        <w:tc>
          <w:tcPr>
            <w:tcW w:w="390" w:type="pct"/>
            <w:noWrap/>
            <w:hideMark/>
          </w:tcPr>
          <w:p w14:paraId="19B4A74E" w14:textId="77777777" w:rsidR="00CA7676" w:rsidRPr="00E14EE6" w:rsidRDefault="00CA7676" w:rsidP="00E14EE6">
            <w:pPr>
              <w:jc w:val="right"/>
              <w:rPr>
                <w:rFonts w:eastAsia="Times New Roman" w:cs="Times New Roman"/>
                <w:sz w:val="14"/>
                <w:szCs w:val="14"/>
              </w:rPr>
            </w:pPr>
            <w:r w:rsidRPr="00E14EE6">
              <w:rPr>
                <w:sz w:val="14"/>
              </w:rPr>
              <w:t>8.5</w:t>
            </w:r>
          </w:p>
        </w:tc>
      </w:tr>
      <w:tr w:rsidR="00CA7676" w:rsidRPr="00E14EE6" w14:paraId="3284790C" w14:textId="77777777" w:rsidTr="00FD6B66">
        <w:trPr>
          <w:cnfStyle w:val="000000010000" w:firstRow="0" w:lastRow="0" w:firstColumn="0" w:lastColumn="0" w:oddVBand="0" w:evenVBand="0" w:oddHBand="0" w:evenHBand="1" w:firstRowFirstColumn="0" w:firstRowLastColumn="0" w:lastRowFirstColumn="0" w:lastRowLastColumn="0"/>
          <w:cantSplit/>
          <w:trHeight w:val="20"/>
        </w:trPr>
        <w:tc>
          <w:tcPr>
            <w:tcW w:w="1492" w:type="pct"/>
            <w:noWrap/>
            <w:hideMark/>
          </w:tcPr>
          <w:p w14:paraId="3AA23ECD" w14:textId="77777777" w:rsidR="00CA7676" w:rsidRPr="00E14EE6" w:rsidRDefault="00CA7676" w:rsidP="00E14EE6">
            <w:pPr>
              <w:ind w:firstLineChars="300" w:firstLine="420"/>
              <w:jc w:val="left"/>
              <w:rPr>
                <w:rFonts w:eastAsia="Times New Roman" w:cs="Times New Roman"/>
                <w:sz w:val="14"/>
                <w:szCs w:val="14"/>
              </w:rPr>
            </w:pPr>
            <w:r w:rsidRPr="00E14EE6">
              <w:rPr>
                <w:sz w:val="14"/>
              </w:rPr>
              <w:t>General taxes on goods and services</w:t>
            </w:r>
          </w:p>
        </w:tc>
        <w:tc>
          <w:tcPr>
            <w:tcW w:w="389" w:type="pct"/>
            <w:noWrap/>
            <w:hideMark/>
          </w:tcPr>
          <w:p w14:paraId="7D5018E8" w14:textId="77777777" w:rsidR="00CA7676" w:rsidRPr="00E14EE6" w:rsidRDefault="00CA7676" w:rsidP="00E14EE6">
            <w:pPr>
              <w:jc w:val="right"/>
              <w:rPr>
                <w:rFonts w:eastAsia="Times New Roman" w:cs="Times New Roman"/>
                <w:color w:val="000000"/>
                <w:sz w:val="14"/>
                <w:szCs w:val="14"/>
              </w:rPr>
            </w:pPr>
            <w:r w:rsidRPr="00E14EE6">
              <w:rPr>
                <w:sz w:val="14"/>
              </w:rPr>
              <w:t>4.9</w:t>
            </w:r>
          </w:p>
        </w:tc>
        <w:tc>
          <w:tcPr>
            <w:tcW w:w="390" w:type="pct"/>
            <w:noWrap/>
            <w:hideMark/>
          </w:tcPr>
          <w:p w14:paraId="04D885B4" w14:textId="77777777" w:rsidR="00CA7676" w:rsidRPr="00E14EE6" w:rsidRDefault="00CA7676" w:rsidP="00E14EE6">
            <w:pPr>
              <w:jc w:val="right"/>
              <w:rPr>
                <w:rFonts w:eastAsia="Times New Roman" w:cs="Times New Roman"/>
                <w:color w:val="000000"/>
                <w:sz w:val="14"/>
                <w:szCs w:val="14"/>
              </w:rPr>
            </w:pPr>
            <w:r w:rsidRPr="00E14EE6">
              <w:rPr>
                <w:sz w:val="14"/>
              </w:rPr>
              <w:t>5.0</w:t>
            </w:r>
          </w:p>
        </w:tc>
        <w:tc>
          <w:tcPr>
            <w:tcW w:w="390" w:type="pct"/>
            <w:noWrap/>
            <w:hideMark/>
          </w:tcPr>
          <w:p w14:paraId="018E02F7" w14:textId="77777777" w:rsidR="00CA7676" w:rsidRPr="00E14EE6" w:rsidRDefault="00CA7676" w:rsidP="00E14EE6">
            <w:pPr>
              <w:jc w:val="right"/>
              <w:rPr>
                <w:rFonts w:eastAsia="Times New Roman" w:cs="Times New Roman"/>
                <w:color w:val="000000"/>
                <w:sz w:val="14"/>
                <w:szCs w:val="14"/>
              </w:rPr>
            </w:pPr>
            <w:r w:rsidRPr="00E14EE6">
              <w:rPr>
                <w:sz w:val="14"/>
              </w:rPr>
              <w:t>4.9</w:t>
            </w:r>
          </w:p>
        </w:tc>
        <w:tc>
          <w:tcPr>
            <w:tcW w:w="390" w:type="pct"/>
            <w:noWrap/>
            <w:hideMark/>
          </w:tcPr>
          <w:p w14:paraId="40147687" w14:textId="77777777" w:rsidR="00CA7676" w:rsidRPr="00E14EE6" w:rsidRDefault="00CA7676" w:rsidP="00E14EE6">
            <w:pPr>
              <w:jc w:val="right"/>
              <w:rPr>
                <w:rFonts w:eastAsia="Times New Roman" w:cs="Times New Roman"/>
                <w:color w:val="000000"/>
                <w:sz w:val="14"/>
                <w:szCs w:val="14"/>
              </w:rPr>
            </w:pPr>
            <w:r w:rsidRPr="00E14EE6">
              <w:rPr>
                <w:sz w:val="14"/>
              </w:rPr>
              <w:t>4.8</w:t>
            </w:r>
          </w:p>
        </w:tc>
        <w:tc>
          <w:tcPr>
            <w:tcW w:w="390" w:type="pct"/>
            <w:noWrap/>
            <w:hideMark/>
          </w:tcPr>
          <w:p w14:paraId="6C13E6BE" w14:textId="77777777" w:rsidR="00CA7676" w:rsidRPr="00E14EE6" w:rsidRDefault="00CA7676" w:rsidP="00E14EE6">
            <w:pPr>
              <w:jc w:val="right"/>
              <w:rPr>
                <w:rFonts w:eastAsia="Times New Roman" w:cs="Times New Roman"/>
                <w:color w:val="000000"/>
                <w:sz w:val="14"/>
                <w:szCs w:val="14"/>
              </w:rPr>
            </w:pPr>
            <w:r w:rsidRPr="00E14EE6">
              <w:rPr>
                <w:sz w:val="14"/>
              </w:rPr>
              <w:t>5.0</w:t>
            </w:r>
          </w:p>
        </w:tc>
        <w:tc>
          <w:tcPr>
            <w:tcW w:w="390" w:type="pct"/>
            <w:noWrap/>
            <w:hideMark/>
          </w:tcPr>
          <w:p w14:paraId="5287FA30" w14:textId="77777777" w:rsidR="00CA7676" w:rsidRPr="00E14EE6" w:rsidRDefault="00CA7676" w:rsidP="00E14EE6">
            <w:pPr>
              <w:jc w:val="right"/>
              <w:rPr>
                <w:rFonts w:eastAsia="Times New Roman" w:cs="Times New Roman"/>
                <w:color w:val="000000"/>
                <w:sz w:val="14"/>
                <w:szCs w:val="14"/>
              </w:rPr>
            </w:pPr>
            <w:r w:rsidRPr="00E14EE6">
              <w:rPr>
                <w:sz w:val="14"/>
              </w:rPr>
              <w:t>5.1</w:t>
            </w:r>
          </w:p>
        </w:tc>
        <w:tc>
          <w:tcPr>
            <w:tcW w:w="390" w:type="pct"/>
            <w:noWrap/>
            <w:hideMark/>
          </w:tcPr>
          <w:p w14:paraId="4595E452" w14:textId="77777777" w:rsidR="00CA7676" w:rsidRPr="00E14EE6" w:rsidRDefault="00CA7676" w:rsidP="00E14EE6">
            <w:pPr>
              <w:jc w:val="right"/>
              <w:rPr>
                <w:rFonts w:eastAsia="Times New Roman" w:cs="Times New Roman"/>
                <w:color w:val="000000"/>
                <w:sz w:val="14"/>
                <w:szCs w:val="14"/>
              </w:rPr>
            </w:pPr>
            <w:r w:rsidRPr="00E14EE6">
              <w:rPr>
                <w:sz w:val="14"/>
              </w:rPr>
              <w:t>4.7</w:t>
            </w:r>
          </w:p>
        </w:tc>
        <w:tc>
          <w:tcPr>
            <w:tcW w:w="390" w:type="pct"/>
            <w:noWrap/>
            <w:hideMark/>
          </w:tcPr>
          <w:p w14:paraId="2264F24F" w14:textId="77777777" w:rsidR="00CA7676" w:rsidRPr="00E14EE6" w:rsidRDefault="00CA7676" w:rsidP="00E14EE6">
            <w:pPr>
              <w:jc w:val="right"/>
              <w:rPr>
                <w:rFonts w:eastAsia="Times New Roman" w:cs="Times New Roman"/>
                <w:color w:val="000000"/>
                <w:sz w:val="14"/>
                <w:szCs w:val="14"/>
              </w:rPr>
            </w:pPr>
            <w:r w:rsidRPr="00E14EE6">
              <w:rPr>
                <w:sz w:val="14"/>
              </w:rPr>
              <w:t>5.4</w:t>
            </w:r>
          </w:p>
        </w:tc>
        <w:tc>
          <w:tcPr>
            <w:tcW w:w="390" w:type="pct"/>
            <w:noWrap/>
            <w:hideMark/>
          </w:tcPr>
          <w:p w14:paraId="15B09658" w14:textId="77777777" w:rsidR="00CA7676" w:rsidRPr="00E14EE6" w:rsidRDefault="00CA7676" w:rsidP="00E14EE6">
            <w:pPr>
              <w:jc w:val="right"/>
              <w:rPr>
                <w:rFonts w:eastAsia="Times New Roman" w:cs="Times New Roman"/>
                <w:sz w:val="14"/>
                <w:szCs w:val="14"/>
              </w:rPr>
            </w:pPr>
            <w:r w:rsidRPr="00E14EE6">
              <w:rPr>
                <w:sz w:val="14"/>
              </w:rPr>
              <w:t>5.6</w:t>
            </w:r>
          </w:p>
        </w:tc>
      </w:tr>
      <w:tr w:rsidR="00CA7676" w:rsidRPr="00E14EE6" w14:paraId="41D08E13" w14:textId="77777777" w:rsidTr="00FD6B66">
        <w:trPr>
          <w:cantSplit/>
          <w:trHeight w:val="20"/>
        </w:trPr>
        <w:tc>
          <w:tcPr>
            <w:tcW w:w="1492" w:type="pct"/>
            <w:noWrap/>
            <w:hideMark/>
          </w:tcPr>
          <w:p w14:paraId="1F249B5A" w14:textId="77777777" w:rsidR="00CA7676" w:rsidRPr="00E14EE6" w:rsidRDefault="00CA7676" w:rsidP="00E14EE6">
            <w:pPr>
              <w:ind w:firstLineChars="400" w:firstLine="560"/>
              <w:jc w:val="left"/>
              <w:rPr>
                <w:rFonts w:eastAsia="Times New Roman" w:cs="Times New Roman"/>
                <w:sz w:val="14"/>
                <w:szCs w:val="14"/>
              </w:rPr>
            </w:pPr>
            <w:r w:rsidRPr="00E14EE6">
              <w:rPr>
                <w:sz w:val="14"/>
              </w:rPr>
              <w:t>Value added tax (</w:t>
            </w:r>
            <w:proofErr w:type="spellStart"/>
            <w:r w:rsidRPr="00E14EE6">
              <w:rPr>
                <w:sz w:val="14"/>
              </w:rPr>
              <w:t>ITBIS</w:t>
            </w:r>
            <w:proofErr w:type="spellEnd"/>
            <w:r w:rsidRPr="00E14EE6">
              <w:rPr>
                <w:sz w:val="14"/>
              </w:rPr>
              <w:t>)</w:t>
            </w:r>
          </w:p>
        </w:tc>
        <w:tc>
          <w:tcPr>
            <w:tcW w:w="389" w:type="pct"/>
            <w:noWrap/>
            <w:hideMark/>
          </w:tcPr>
          <w:p w14:paraId="5A6884F0" w14:textId="77777777" w:rsidR="00CA7676" w:rsidRPr="00E14EE6" w:rsidRDefault="00CA7676" w:rsidP="00E14EE6">
            <w:pPr>
              <w:jc w:val="right"/>
              <w:rPr>
                <w:rFonts w:eastAsia="Times New Roman" w:cs="Times New Roman"/>
                <w:color w:val="000000"/>
                <w:sz w:val="14"/>
                <w:szCs w:val="14"/>
              </w:rPr>
            </w:pPr>
            <w:r w:rsidRPr="00E14EE6">
              <w:rPr>
                <w:sz w:val="14"/>
              </w:rPr>
              <w:t>4.5</w:t>
            </w:r>
          </w:p>
        </w:tc>
        <w:tc>
          <w:tcPr>
            <w:tcW w:w="390" w:type="pct"/>
            <w:noWrap/>
            <w:hideMark/>
          </w:tcPr>
          <w:p w14:paraId="76C0E2B2" w14:textId="77777777" w:rsidR="00CA7676" w:rsidRPr="00E14EE6" w:rsidRDefault="00CA7676" w:rsidP="00E14EE6">
            <w:pPr>
              <w:jc w:val="right"/>
              <w:rPr>
                <w:rFonts w:eastAsia="Times New Roman" w:cs="Times New Roman"/>
                <w:color w:val="000000"/>
                <w:sz w:val="14"/>
                <w:szCs w:val="14"/>
              </w:rPr>
            </w:pPr>
            <w:r w:rsidRPr="00E14EE6">
              <w:rPr>
                <w:sz w:val="14"/>
              </w:rPr>
              <w:t>4.6</w:t>
            </w:r>
          </w:p>
        </w:tc>
        <w:tc>
          <w:tcPr>
            <w:tcW w:w="390" w:type="pct"/>
            <w:noWrap/>
            <w:hideMark/>
          </w:tcPr>
          <w:p w14:paraId="60C5BC00" w14:textId="77777777" w:rsidR="00CA7676" w:rsidRPr="00E14EE6" w:rsidRDefault="00CA7676" w:rsidP="00E14EE6">
            <w:pPr>
              <w:jc w:val="right"/>
              <w:rPr>
                <w:rFonts w:eastAsia="Times New Roman" w:cs="Times New Roman"/>
                <w:color w:val="000000"/>
                <w:sz w:val="14"/>
                <w:szCs w:val="14"/>
              </w:rPr>
            </w:pPr>
            <w:r w:rsidRPr="00E14EE6">
              <w:rPr>
                <w:sz w:val="14"/>
              </w:rPr>
              <w:t>4.6</w:t>
            </w:r>
          </w:p>
        </w:tc>
        <w:tc>
          <w:tcPr>
            <w:tcW w:w="390" w:type="pct"/>
            <w:noWrap/>
            <w:hideMark/>
          </w:tcPr>
          <w:p w14:paraId="1CCA373A" w14:textId="77777777" w:rsidR="00CA7676" w:rsidRPr="00E14EE6" w:rsidRDefault="00CA7676" w:rsidP="00E14EE6">
            <w:pPr>
              <w:jc w:val="right"/>
              <w:rPr>
                <w:rFonts w:eastAsia="Times New Roman" w:cs="Times New Roman"/>
                <w:color w:val="000000"/>
                <w:sz w:val="14"/>
                <w:szCs w:val="14"/>
              </w:rPr>
            </w:pPr>
            <w:r w:rsidRPr="00E14EE6">
              <w:rPr>
                <w:sz w:val="14"/>
              </w:rPr>
              <w:t>4.5</w:t>
            </w:r>
          </w:p>
        </w:tc>
        <w:tc>
          <w:tcPr>
            <w:tcW w:w="390" w:type="pct"/>
            <w:noWrap/>
            <w:hideMark/>
          </w:tcPr>
          <w:p w14:paraId="14B55CC7" w14:textId="77777777" w:rsidR="00CA7676" w:rsidRPr="00E14EE6" w:rsidRDefault="00CA7676" w:rsidP="00E14EE6">
            <w:pPr>
              <w:jc w:val="right"/>
              <w:rPr>
                <w:rFonts w:eastAsia="Times New Roman" w:cs="Times New Roman"/>
                <w:color w:val="000000"/>
                <w:sz w:val="14"/>
                <w:szCs w:val="14"/>
              </w:rPr>
            </w:pPr>
            <w:r w:rsidRPr="00E14EE6">
              <w:rPr>
                <w:sz w:val="14"/>
              </w:rPr>
              <w:t>4.6</w:t>
            </w:r>
          </w:p>
        </w:tc>
        <w:tc>
          <w:tcPr>
            <w:tcW w:w="390" w:type="pct"/>
            <w:noWrap/>
            <w:hideMark/>
          </w:tcPr>
          <w:p w14:paraId="0CB4F452" w14:textId="77777777" w:rsidR="00CA7676" w:rsidRPr="00E14EE6" w:rsidRDefault="00CA7676" w:rsidP="00E14EE6">
            <w:pPr>
              <w:jc w:val="right"/>
              <w:rPr>
                <w:rFonts w:eastAsia="Times New Roman" w:cs="Times New Roman"/>
                <w:color w:val="000000"/>
                <w:sz w:val="14"/>
                <w:szCs w:val="14"/>
              </w:rPr>
            </w:pPr>
            <w:r w:rsidRPr="00E14EE6">
              <w:rPr>
                <w:sz w:val="14"/>
              </w:rPr>
              <w:t>4.7</w:t>
            </w:r>
          </w:p>
        </w:tc>
        <w:tc>
          <w:tcPr>
            <w:tcW w:w="390" w:type="pct"/>
            <w:noWrap/>
            <w:hideMark/>
          </w:tcPr>
          <w:p w14:paraId="150D9FD8" w14:textId="77777777" w:rsidR="00CA7676" w:rsidRPr="00E14EE6" w:rsidRDefault="00CA7676" w:rsidP="00E14EE6">
            <w:pPr>
              <w:jc w:val="right"/>
              <w:rPr>
                <w:rFonts w:eastAsia="Times New Roman" w:cs="Times New Roman"/>
                <w:color w:val="000000"/>
                <w:sz w:val="14"/>
                <w:szCs w:val="14"/>
              </w:rPr>
            </w:pPr>
            <w:r w:rsidRPr="00E14EE6">
              <w:rPr>
                <w:sz w:val="14"/>
              </w:rPr>
              <w:t>4.4</w:t>
            </w:r>
          </w:p>
        </w:tc>
        <w:tc>
          <w:tcPr>
            <w:tcW w:w="390" w:type="pct"/>
            <w:noWrap/>
            <w:hideMark/>
          </w:tcPr>
          <w:p w14:paraId="46B9E1D5" w14:textId="77777777" w:rsidR="00CA7676" w:rsidRPr="00E14EE6" w:rsidRDefault="00CA7676" w:rsidP="00E14EE6">
            <w:pPr>
              <w:jc w:val="right"/>
              <w:rPr>
                <w:rFonts w:eastAsia="Times New Roman" w:cs="Times New Roman"/>
                <w:color w:val="000000"/>
                <w:sz w:val="14"/>
                <w:szCs w:val="14"/>
              </w:rPr>
            </w:pPr>
            <w:r w:rsidRPr="00E14EE6">
              <w:rPr>
                <w:sz w:val="14"/>
              </w:rPr>
              <w:t>4.8</w:t>
            </w:r>
          </w:p>
        </w:tc>
        <w:tc>
          <w:tcPr>
            <w:tcW w:w="390" w:type="pct"/>
            <w:noWrap/>
            <w:hideMark/>
          </w:tcPr>
          <w:p w14:paraId="64198357" w14:textId="77777777" w:rsidR="00CA7676" w:rsidRPr="00E14EE6" w:rsidRDefault="00CA7676" w:rsidP="00E14EE6">
            <w:pPr>
              <w:jc w:val="right"/>
              <w:rPr>
                <w:rFonts w:eastAsia="Times New Roman" w:cs="Times New Roman"/>
                <w:sz w:val="14"/>
                <w:szCs w:val="14"/>
              </w:rPr>
            </w:pPr>
            <w:r w:rsidRPr="00E14EE6">
              <w:rPr>
                <w:sz w:val="14"/>
              </w:rPr>
              <w:t>5.1</w:t>
            </w:r>
          </w:p>
        </w:tc>
      </w:tr>
      <w:tr w:rsidR="00CA7676" w:rsidRPr="00E14EE6" w14:paraId="29BBCAF4" w14:textId="77777777" w:rsidTr="00FD6B66">
        <w:trPr>
          <w:cnfStyle w:val="000000010000" w:firstRow="0" w:lastRow="0" w:firstColumn="0" w:lastColumn="0" w:oddVBand="0" w:evenVBand="0" w:oddHBand="0" w:evenHBand="1" w:firstRowFirstColumn="0" w:firstRowLastColumn="0" w:lastRowFirstColumn="0" w:lastRowLastColumn="0"/>
          <w:cantSplit/>
          <w:trHeight w:val="20"/>
        </w:trPr>
        <w:tc>
          <w:tcPr>
            <w:tcW w:w="1492" w:type="pct"/>
            <w:noWrap/>
            <w:hideMark/>
          </w:tcPr>
          <w:p w14:paraId="78E75733" w14:textId="77777777" w:rsidR="00CA7676" w:rsidRPr="00E14EE6" w:rsidRDefault="00CA7676" w:rsidP="00E14EE6">
            <w:pPr>
              <w:ind w:firstLineChars="400" w:firstLine="560"/>
              <w:jc w:val="left"/>
              <w:rPr>
                <w:rFonts w:eastAsia="Times New Roman" w:cs="Times New Roman"/>
                <w:sz w:val="14"/>
                <w:szCs w:val="14"/>
              </w:rPr>
            </w:pPr>
            <w:r w:rsidRPr="00E14EE6">
              <w:rPr>
                <w:sz w:val="14"/>
              </w:rPr>
              <w:t>Taxes on financial and capital transactions</w:t>
            </w:r>
          </w:p>
        </w:tc>
        <w:tc>
          <w:tcPr>
            <w:tcW w:w="389" w:type="pct"/>
            <w:noWrap/>
            <w:hideMark/>
          </w:tcPr>
          <w:p w14:paraId="5E0939BC" w14:textId="77777777" w:rsidR="00CA7676" w:rsidRPr="00E14EE6" w:rsidRDefault="00CA7676" w:rsidP="00E14EE6">
            <w:pPr>
              <w:jc w:val="right"/>
              <w:rPr>
                <w:rFonts w:eastAsia="Times New Roman" w:cs="Times New Roman"/>
                <w:color w:val="000000"/>
                <w:sz w:val="14"/>
                <w:szCs w:val="14"/>
              </w:rPr>
            </w:pPr>
            <w:r w:rsidRPr="00E14EE6">
              <w:rPr>
                <w:sz w:val="14"/>
              </w:rPr>
              <w:t>0.4</w:t>
            </w:r>
          </w:p>
        </w:tc>
        <w:tc>
          <w:tcPr>
            <w:tcW w:w="390" w:type="pct"/>
            <w:noWrap/>
            <w:hideMark/>
          </w:tcPr>
          <w:p w14:paraId="22F8C507" w14:textId="77777777" w:rsidR="00CA7676" w:rsidRPr="00E14EE6" w:rsidRDefault="00CA7676" w:rsidP="00E14EE6">
            <w:pPr>
              <w:jc w:val="right"/>
              <w:rPr>
                <w:rFonts w:eastAsia="Times New Roman" w:cs="Times New Roman"/>
                <w:color w:val="000000"/>
                <w:sz w:val="14"/>
                <w:szCs w:val="14"/>
              </w:rPr>
            </w:pPr>
            <w:r w:rsidRPr="00E14EE6">
              <w:rPr>
                <w:sz w:val="14"/>
              </w:rPr>
              <w:t>0.4</w:t>
            </w:r>
          </w:p>
        </w:tc>
        <w:tc>
          <w:tcPr>
            <w:tcW w:w="390" w:type="pct"/>
            <w:noWrap/>
            <w:hideMark/>
          </w:tcPr>
          <w:p w14:paraId="3CAB6E51" w14:textId="77777777" w:rsidR="00CA7676" w:rsidRPr="00E14EE6" w:rsidRDefault="00CA7676" w:rsidP="00E14EE6">
            <w:pPr>
              <w:jc w:val="right"/>
              <w:rPr>
                <w:rFonts w:eastAsia="Times New Roman" w:cs="Times New Roman"/>
                <w:color w:val="000000"/>
                <w:sz w:val="14"/>
                <w:szCs w:val="14"/>
              </w:rPr>
            </w:pPr>
            <w:r w:rsidRPr="00E14EE6">
              <w:rPr>
                <w:sz w:val="14"/>
              </w:rPr>
              <w:t>0.4</w:t>
            </w:r>
          </w:p>
        </w:tc>
        <w:tc>
          <w:tcPr>
            <w:tcW w:w="390" w:type="pct"/>
            <w:noWrap/>
            <w:hideMark/>
          </w:tcPr>
          <w:p w14:paraId="17B3EBED" w14:textId="77777777" w:rsidR="00CA7676" w:rsidRPr="00E14EE6" w:rsidRDefault="00CA7676" w:rsidP="00E14EE6">
            <w:pPr>
              <w:jc w:val="right"/>
              <w:rPr>
                <w:rFonts w:eastAsia="Times New Roman" w:cs="Times New Roman"/>
                <w:color w:val="000000"/>
                <w:sz w:val="14"/>
                <w:szCs w:val="14"/>
              </w:rPr>
            </w:pPr>
            <w:r w:rsidRPr="00E14EE6">
              <w:rPr>
                <w:sz w:val="14"/>
              </w:rPr>
              <w:t>0.4</w:t>
            </w:r>
          </w:p>
        </w:tc>
        <w:tc>
          <w:tcPr>
            <w:tcW w:w="390" w:type="pct"/>
            <w:noWrap/>
            <w:hideMark/>
          </w:tcPr>
          <w:p w14:paraId="6C6E960C" w14:textId="77777777" w:rsidR="00CA7676" w:rsidRPr="00E14EE6" w:rsidRDefault="00CA7676" w:rsidP="00E14EE6">
            <w:pPr>
              <w:jc w:val="right"/>
              <w:rPr>
                <w:rFonts w:eastAsia="Times New Roman" w:cs="Times New Roman"/>
                <w:color w:val="000000"/>
                <w:sz w:val="14"/>
                <w:szCs w:val="14"/>
              </w:rPr>
            </w:pPr>
            <w:r w:rsidRPr="00E14EE6">
              <w:rPr>
                <w:sz w:val="14"/>
              </w:rPr>
              <w:t>0.4</w:t>
            </w:r>
          </w:p>
        </w:tc>
        <w:tc>
          <w:tcPr>
            <w:tcW w:w="390" w:type="pct"/>
            <w:noWrap/>
            <w:hideMark/>
          </w:tcPr>
          <w:p w14:paraId="697F37FA" w14:textId="77777777" w:rsidR="00CA7676" w:rsidRPr="00E14EE6" w:rsidRDefault="00CA7676" w:rsidP="00E14EE6">
            <w:pPr>
              <w:jc w:val="right"/>
              <w:rPr>
                <w:rFonts w:eastAsia="Times New Roman" w:cs="Times New Roman"/>
                <w:color w:val="000000"/>
                <w:sz w:val="14"/>
                <w:szCs w:val="14"/>
              </w:rPr>
            </w:pPr>
            <w:r w:rsidRPr="00E14EE6">
              <w:rPr>
                <w:sz w:val="14"/>
              </w:rPr>
              <w:t>0.4</w:t>
            </w:r>
          </w:p>
        </w:tc>
        <w:tc>
          <w:tcPr>
            <w:tcW w:w="390" w:type="pct"/>
            <w:noWrap/>
            <w:hideMark/>
          </w:tcPr>
          <w:p w14:paraId="50936822" w14:textId="77777777" w:rsidR="00CA7676" w:rsidRPr="00E14EE6" w:rsidRDefault="00CA7676" w:rsidP="00E14EE6">
            <w:pPr>
              <w:jc w:val="right"/>
              <w:rPr>
                <w:rFonts w:eastAsia="Times New Roman" w:cs="Times New Roman"/>
                <w:color w:val="000000"/>
                <w:sz w:val="14"/>
                <w:szCs w:val="14"/>
              </w:rPr>
            </w:pPr>
            <w:r w:rsidRPr="00E14EE6">
              <w:rPr>
                <w:sz w:val="14"/>
              </w:rPr>
              <w:t>0.4</w:t>
            </w:r>
          </w:p>
        </w:tc>
        <w:tc>
          <w:tcPr>
            <w:tcW w:w="390" w:type="pct"/>
            <w:noWrap/>
            <w:hideMark/>
          </w:tcPr>
          <w:p w14:paraId="420EB2EC" w14:textId="77777777" w:rsidR="00CA7676" w:rsidRPr="00E14EE6" w:rsidRDefault="00CA7676" w:rsidP="00E14EE6">
            <w:pPr>
              <w:jc w:val="right"/>
              <w:rPr>
                <w:rFonts w:eastAsia="Times New Roman" w:cs="Times New Roman"/>
                <w:color w:val="000000"/>
                <w:sz w:val="14"/>
                <w:szCs w:val="14"/>
              </w:rPr>
            </w:pPr>
            <w:r w:rsidRPr="00E14EE6">
              <w:rPr>
                <w:sz w:val="14"/>
              </w:rPr>
              <w:t>0.6</w:t>
            </w:r>
          </w:p>
        </w:tc>
        <w:tc>
          <w:tcPr>
            <w:tcW w:w="390" w:type="pct"/>
            <w:noWrap/>
            <w:hideMark/>
          </w:tcPr>
          <w:p w14:paraId="48F2E804" w14:textId="77777777" w:rsidR="00CA7676" w:rsidRPr="00E14EE6" w:rsidRDefault="00CA7676" w:rsidP="00E14EE6">
            <w:pPr>
              <w:jc w:val="right"/>
              <w:rPr>
                <w:rFonts w:eastAsia="Times New Roman" w:cs="Times New Roman"/>
                <w:sz w:val="14"/>
                <w:szCs w:val="14"/>
              </w:rPr>
            </w:pPr>
            <w:r w:rsidRPr="00E14EE6">
              <w:rPr>
                <w:sz w:val="14"/>
              </w:rPr>
              <w:t>0.4</w:t>
            </w:r>
          </w:p>
        </w:tc>
      </w:tr>
      <w:tr w:rsidR="00CA7676" w:rsidRPr="00E14EE6" w14:paraId="72E8166C" w14:textId="77777777" w:rsidTr="00FD6B66">
        <w:trPr>
          <w:cantSplit/>
          <w:trHeight w:val="20"/>
        </w:trPr>
        <w:tc>
          <w:tcPr>
            <w:tcW w:w="1492" w:type="pct"/>
            <w:noWrap/>
            <w:hideMark/>
          </w:tcPr>
          <w:p w14:paraId="2465C2E4" w14:textId="77777777" w:rsidR="00CA7676" w:rsidRPr="00E14EE6" w:rsidRDefault="00CA7676" w:rsidP="00E14EE6">
            <w:pPr>
              <w:ind w:firstLineChars="300" w:firstLine="420"/>
              <w:jc w:val="left"/>
              <w:rPr>
                <w:rFonts w:eastAsia="Times New Roman" w:cs="Times New Roman"/>
                <w:sz w:val="14"/>
                <w:szCs w:val="14"/>
              </w:rPr>
            </w:pPr>
            <w:r w:rsidRPr="00E14EE6">
              <w:rPr>
                <w:sz w:val="14"/>
              </w:rPr>
              <w:t>Selective goods tax</w:t>
            </w:r>
          </w:p>
        </w:tc>
        <w:tc>
          <w:tcPr>
            <w:tcW w:w="389" w:type="pct"/>
            <w:noWrap/>
            <w:hideMark/>
          </w:tcPr>
          <w:p w14:paraId="6EF26CE8" w14:textId="77777777" w:rsidR="00CA7676" w:rsidRPr="00E14EE6" w:rsidRDefault="00CA7676" w:rsidP="00E14EE6">
            <w:pPr>
              <w:jc w:val="right"/>
              <w:rPr>
                <w:rFonts w:eastAsia="Times New Roman" w:cs="Times New Roman"/>
                <w:color w:val="000000"/>
                <w:sz w:val="14"/>
                <w:szCs w:val="14"/>
              </w:rPr>
            </w:pPr>
            <w:r w:rsidRPr="00E14EE6">
              <w:rPr>
                <w:sz w:val="14"/>
              </w:rPr>
              <w:t>2.4</w:t>
            </w:r>
          </w:p>
        </w:tc>
        <w:tc>
          <w:tcPr>
            <w:tcW w:w="390" w:type="pct"/>
            <w:noWrap/>
            <w:hideMark/>
          </w:tcPr>
          <w:p w14:paraId="6548F671" w14:textId="77777777" w:rsidR="00CA7676" w:rsidRPr="00E14EE6" w:rsidRDefault="00CA7676" w:rsidP="00E14EE6">
            <w:pPr>
              <w:jc w:val="right"/>
              <w:rPr>
                <w:rFonts w:eastAsia="Times New Roman" w:cs="Times New Roman"/>
                <w:color w:val="000000"/>
                <w:sz w:val="14"/>
                <w:szCs w:val="14"/>
              </w:rPr>
            </w:pPr>
            <w:r w:rsidRPr="00E14EE6">
              <w:rPr>
                <w:sz w:val="14"/>
              </w:rPr>
              <w:t>2.3</w:t>
            </w:r>
          </w:p>
        </w:tc>
        <w:tc>
          <w:tcPr>
            <w:tcW w:w="390" w:type="pct"/>
            <w:noWrap/>
            <w:hideMark/>
          </w:tcPr>
          <w:p w14:paraId="3B233820" w14:textId="77777777" w:rsidR="00CA7676" w:rsidRPr="00E14EE6" w:rsidRDefault="00CA7676" w:rsidP="00E14EE6">
            <w:pPr>
              <w:jc w:val="right"/>
              <w:rPr>
                <w:rFonts w:eastAsia="Times New Roman" w:cs="Times New Roman"/>
                <w:color w:val="000000"/>
                <w:sz w:val="14"/>
                <w:szCs w:val="14"/>
              </w:rPr>
            </w:pPr>
            <w:r w:rsidRPr="00E14EE6">
              <w:rPr>
                <w:sz w:val="14"/>
              </w:rPr>
              <w:t>2.2</w:t>
            </w:r>
          </w:p>
        </w:tc>
        <w:tc>
          <w:tcPr>
            <w:tcW w:w="390" w:type="pct"/>
            <w:noWrap/>
            <w:hideMark/>
          </w:tcPr>
          <w:p w14:paraId="512CECC1" w14:textId="77777777" w:rsidR="00CA7676" w:rsidRPr="00E14EE6" w:rsidRDefault="00CA7676" w:rsidP="00E14EE6">
            <w:pPr>
              <w:jc w:val="right"/>
              <w:rPr>
                <w:rFonts w:eastAsia="Times New Roman" w:cs="Times New Roman"/>
                <w:color w:val="000000"/>
                <w:sz w:val="14"/>
                <w:szCs w:val="14"/>
              </w:rPr>
            </w:pPr>
            <w:r w:rsidRPr="00E14EE6">
              <w:rPr>
                <w:sz w:val="14"/>
              </w:rPr>
              <w:t>2.3</w:t>
            </w:r>
          </w:p>
        </w:tc>
        <w:tc>
          <w:tcPr>
            <w:tcW w:w="390" w:type="pct"/>
            <w:noWrap/>
            <w:hideMark/>
          </w:tcPr>
          <w:p w14:paraId="43838CBE" w14:textId="77777777" w:rsidR="00CA7676" w:rsidRPr="00E14EE6" w:rsidRDefault="00CA7676" w:rsidP="00E14EE6">
            <w:pPr>
              <w:jc w:val="right"/>
              <w:rPr>
                <w:rFonts w:eastAsia="Times New Roman" w:cs="Times New Roman"/>
                <w:color w:val="000000"/>
                <w:sz w:val="14"/>
                <w:szCs w:val="14"/>
              </w:rPr>
            </w:pPr>
            <w:r w:rsidRPr="00E14EE6">
              <w:rPr>
                <w:sz w:val="14"/>
              </w:rPr>
              <w:t>2.2</w:t>
            </w:r>
          </w:p>
        </w:tc>
        <w:tc>
          <w:tcPr>
            <w:tcW w:w="390" w:type="pct"/>
            <w:noWrap/>
            <w:hideMark/>
          </w:tcPr>
          <w:p w14:paraId="28BB2CB1" w14:textId="77777777" w:rsidR="00CA7676" w:rsidRPr="00E14EE6" w:rsidRDefault="00CA7676" w:rsidP="00E14EE6">
            <w:pPr>
              <w:jc w:val="right"/>
              <w:rPr>
                <w:rFonts w:eastAsia="Times New Roman" w:cs="Times New Roman"/>
                <w:color w:val="000000"/>
                <w:sz w:val="14"/>
                <w:szCs w:val="14"/>
              </w:rPr>
            </w:pPr>
            <w:r w:rsidRPr="00E14EE6">
              <w:rPr>
                <w:sz w:val="14"/>
              </w:rPr>
              <w:t>2.2</w:t>
            </w:r>
          </w:p>
        </w:tc>
        <w:tc>
          <w:tcPr>
            <w:tcW w:w="390" w:type="pct"/>
            <w:noWrap/>
            <w:hideMark/>
          </w:tcPr>
          <w:p w14:paraId="2FAE49B5" w14:textId="77777777" w:rsidR="00CA7676" w:rsidRPr="00E14EE6" w:rsidRDefault="00CA7676" w:rsidP="00E14EE6">
            <w:pPr>
              <w:jc w:val="right"/>
              <w:rPr>
                <w:rFonts w:eastAsia="Times New Roman" w:cs="Times New Roman"/>
                <w:color w:val="000000"/>
                <w:sz w:val="14"/>
                <w:szCs w:val="14"/>
              </w:rPr>
            </w:pPr>
            <w:r w:rsidRPr="00E14EE6">
              <w:rPr>
                <w:sz w:val="14"/>
              </w:rPr>
              <w:t>1.9</w:t>
            </w:r>
          </w:p>
        </w:tc>
        <w:tc>
          <w:tcPr>
            <w:tcW w:w="390" w:type="pct"/>
            <w:noWrap/>
            <w:hideMark/>
          </w:tcPr>
          <w:p w14:paraId="4C4E8290" w14:textId="77777777" w:rsidR="00CA7676" w:rsidRPr="00E14EE6" w:rsidRDefault="00CA7676" w:rsidP="00E14EE6">
            <w:pPr>
              <w:jc w:val="right"/>
              <w:rPr>
                <w:rFonts w:eastAsia="Times New Roman" w:cs="Times New Roman"/>
                <w:color w:val="000000"/>
                <w:sz w:val="14"/>
                <w:szCs w:val="14"/>
              </w:rPr>
            </w:pPr>
            <w:r w:rsidRPr="00E14EE6">
              <w:rPr>
                <w:sz w:val="14"/>
              </w:rPr>
              <w:t>2.1</w:t>
            </w:r>
          </w:p>
        </w:tc>
        <w:tc>
          <w:tcPr>
            <w:tcW w:w="390" w:type="pct"/>
            <w:noWrap/>
            <w:hideMark/>
          </w:tcPr>
          <w:p w14:paraId="7AF3B808" w14:textId="77777777" w:rsidR="00CA7676" w:rsidRPr="00E14EE6" w:rsidRDefault="00CA7676" w:rsidP="00E14EE6">
            <w:pPr>
              <w:jc w:val="right"/>
              <w:rPr>
                <w:rFonts w:eastAsia="Times New Roman" w:cs="Times New Roman"/>
                <w:sz w:val="14"/>
                <w:szCs w:val="14"/>
              </w:rPr>
            </w:pPr>
            <w:r w:rsidRPr="00E14EE6">
              <w:rPr>
                <w:sz w:val="14"/>
              </w:rPr>
              <w:t>2.1</w:t>
            </w:r>
          </w:p>
        </w:tc>
      </w:tr>
      <w:tr w:rsidR="00CA7676" w:rsidRPr="00E14EE6" w14:paraId="5BD761AF" w14:textId="77777777" w:rsidTr="00FD6B66">
        <w:trPr>
          <w:cnfStyle w:val="000000010000" w:firstRow="0" w:lastRow="0" w:firstColumn="0" w:lastColumn="0" w:oddVBand="0" w:evenVBand="0" w:oddHBand="0" w:evenHBand="1" w:firstRowFirstColumn="0" w:firstRowLastColumn="0" w:lastRowFirstColumn="0" w:lastRowLastColumn="0"/>
          <w:cantSplit/>
          <w:trHeight w:val="20"/>
        </w:trPr>
        <w:tc>
          <w:tcPr>
            <w:tcW w:w="1492" w:type="pct"/>
            <w:noWrap/>
            <w:hideMark/>
          </w:tcPr>
          <w:p w14:paraId="4CB10F77" w14:textId="77777777" w:rsidR="00CA7676" w:rsidRPr="00E14EE6" w:rsidRDefault="00CA7676" w:rsidP="00E14EE6">
            <w:pPr>
              <w:ind w:firstLineChars="300" w:firstLine="420"/>
              <w:jc w:val="left"/>
              <w:rPr>
                <w:rFonts w:eastAsia="Times New Roman" w:cs="Times New Roman"/>
                <w:sz w:val="14"/>
                <w:szCs w:val="14"/>
              </w:rPr>
            </w:pPr>
            <w:r w:rsidRPr="00E14EE6">
              <w:rPr>
                <w:sz w:val="14"/>
              </w:rPr>
              <w:t>Taxes on specific services</w:t>
            </w:r>
          </w:p>
        </w:tc>
        <w:tc>
          <w:tcPr>
            <w:tcW w:w="389" w:type="pct"/>
            <w:noWrap/>
            <w:hideMark/>
          </w:tcPr>
          <w:p w14:paraId="3FAB272A" w14:textId="77777777" w:rsidR="00CA7676" w:rsidRPr="00E14EE6" w:rsidRDefault="00CA7676" w:rsidP="00E14EE6">
            <w:pPr>
              <w:jc w:val="right"/>
              <w:rPr>
                <w:rFonts w:eastAsia="Times New Roman" w:cs="Times New Roman"/>
                <w:color w:val="000000"/>
                <w:sz w:val="14"/>
                <w:szCs w:val="14"/>
              </w:rPr>
            </w:pPr>
            <w:r w:rsidRPr="00E14EE6">
              <w:rPr>
                <w:sz w:val="14"/>
              </w:rPr>
              <w:t>0.4</w:t>
            </w:r>
          </w:p>
        </w:tc>
        <w:tc>
          <w:tcPr>
            <w:tcW w:w="390" w:type="pct"/>
            <w:noWrap/>
            <w:hideMark/>
          </w:tcPr>
          <w:p w14:paraId="240A556B" w14:textId="77777777" w:rsidR="00CA7676" w:rsidRPr="00E14EE6" w:rsidRDefault="00CA7676" w:rsidP="00E14EE6">
            <w:pPr>
              <w:jc w:val="right"/>
              <w:rPr>
                <w:rFonts w:eastAsia="Times New Roman" w:cs="Times New Roman"/>
                <w:color w:val="000000"/>
                <w:sz w:val="14"/>
                <w:szCs w:val="14"/>
              </w:rPr>
            </w:pPr>
            <w:r w:rsidRPr="00E14EE6">
              <w:rPr>
                <w:sz w:val="14"/>
              </w:rPr>
              <w:t>0.4</w:t>
            </w:r>
          </w:p>
        </w:tc>
        <w:tc>
          <w:tcPr>
            <w:tcW w:w="390" w:type="pct"/>
            <w:noWrap/>
            <w:hideMark/>
          </w:tcPr>
          <w:p w14:paraId="3B7BB793" w14:textId="77777777" w:rsidR="00CA7676" w:rsidRPr="00E14EE6" w:rsidRDefault="00CA7676" w:rsidP="00E14EE6">
            <w:pPr>
              <w:jc w:val="right"/>
              <w:rPr>
                <w:rFonts w:eastAsia="Times New Roman" w:cs="Times New Roman"/>
                <w:color w:val="000000"/>
                <w:sz w:val="14"/>
                <w:szCs w:val="14"/>
              </w:rPr>
            </w:pPr>
            <w:r w:rsidRPr="00E14EE6">
              <w:rPr>
                <w:sz w:val="14"/>
              </w:rPr>
              <w:t>0.4</w:t>
            </w:r>
          </w:p>
        </w:tc>
        <w:tc>
          <w:tcPr>
            <w:tcW w:w="390" w:type="pct"/>
            <w:noWrap/>
            <w:hideMark/>
          </w:tcPr>
          <w:p w14:paraId="143E43BE" w14:textId="77777777" w:rsidR="00CA7676" w:rsidRPr="00E14EE6" w:rsidRDefault="00CA7676" w:rsidP="00E14EE6">
            <w:pPr>
              <w:jc w:val="right"/>
              <w:rPr>
                <w:rFonts w:eastAsia="Times New Roman" w:cs="Times New Roman"/>
                <w:color w:val="000000"/>
                <w:sz w:val="14"/>
                <w:szCs w:val="14"/>
              </w:rPr>
            </w:pPr>
            <w:r w:rsidRPr="00E14EE6">
              <w:rPr>
                <w:sz w:val="14"/>
              </w:rPr>
              <w:t>0.4</w:t>
            </w:r>
          </w:p>
        </w:tc>
        <w:tc>
          <w:tcPr>
            <w:tcW w:w="390" w:type="pct"/>
            <w:noWrap/>
            <w:hideMark/>
          </w:tcPr>
          <w:p w14:paraId="33B9927C" w14:textId="77777777" w:rsidR="00CA7676" w:rsidRPr="00E14EE6" w:rsidRDefault="00CA7676" w:rsidP="00E14EE6">
            <w:pPr>
              <w:jc w:val="right"/>
              <w:rPr>
                <w:rFonts w:eastAsia="Times New Roman" w:cs="Times New Roman"/>
                <w:color w:val="000000"/>
                <w:sz w:val="14"/>
                <w:szCs w:val="14"/>
              </w:rPr>
            </w:pPr>
            <w:r w:rsidRPr="00E14EE6">
              <w:rPr>
                <w:sz w:val="14"/>
              </w:rPr>
              <w:t>0.4</w:t>
            </w:r>
          </w:p>
        </w:tc>
        <w:tc>
          <w:tcPr>
            <w:tcW w:w="390" w:type="pct"/>
            <w:noWrap/>
            <w:hideMark/>
          </w:tcPr>
          <w:p w14:paraId="71357D4E" w14:textId="77777777" w:rsidR="00CA7676" w:rsidRPr="00E14EE6" w:rsidRDefault="00CA7676" w:rsidP="00E14EE6">
            <w:pPr>
              <w:jc w:val="right"/>
              <w:rPr>
                <w:rFonts w:eastAsia="Times New Roman" w:cs="Times New Roman"/>
                <w:color w:val="000000"/>
                <w:sz w:val="14"/>
                <w:szCs w:val="14"/>
              </w:rPr>
            </w:pPr>
            <w:r w:rsidRPr="00E14EE6">
              <w:rPr>
                <w:sz w:val="14"/>
              </w:rPr>
              <w:t>0.4</w:t>
            </w:r>
          </w:p>
        </w:tc>
        <w:tc>
          <w:tcPr>
            <w:tcW w:w="390" w:type="pct"/>
            <w:noWrap/>
            <w:hideMark/>
          </w:tcPr>
          <w:p w14:paraId="2C150682" w14:textId="77777777" w:rsidR="00CA7676" w:rsidRPr="00E14EE6" w:rsidRDefault="00CA7676" w:rsidP="00E14EE6">
            <w:pPr>
              <w:jc w:val="right"/>
              <w:rPr>
                <w:rFonts w:eastAsia="Times New Roman" w:cs="Times New Roman"/>
                <w:color w:val="000000"/>
                <w:sz w:val="14"/>
                <w:szCs w:val="14"/>
              </w:rPr>
            </w:pPr>
            <w:r w:rsidRPr="00E14EE6">
              <w:rPr>
                <w:sz w:val="14"/>
              </w:rPr>
              <w:t>0.4</w:t>
            </w:r>
          </w:p>
        </w:tc>
        <w:tc>
          <w:tcPr>
            <w:tcW w:w="390" w:type="pct"/>
            <w:noWrap/>
            <w:hideMark/>
          </w:tcPr>
          <w:p w14:paraId="3DA775BB" w14:textId="77777777" w:rsidR="00CA7676" w:rsidRPr="00E14EE6" w:rsidRDefault="00CA7676" w:rsidP="00E14EE6">
            <w:pPr>
              <w:jc w:val="right"/>
              <w:rPr>
                <w:rFonts w:eastAsia="Times New Roman" w:cs="Times New Roman"/>
                <w:color w:val="000000"/>
                <w:sz w:val="14"/>
                <w:szCs w:val="14"/>
              </w:rPr>
            </w:pPr>
            <w:r w:rsidRPr="00E14EE6">
              <w:rPr>
                <w:sz w:val="14"/>
              </w:rPr>
              <w:t>0.4</w:t>
            </w:r>
          </w:p>
        </w:tc>
        <w:tc>
          <w:tcPr>
            <w:tcW w:w="390" w:type="pct"/>
            <w:noWrap/>
            <w:hideMark/>
          </w:tcPr>
          <w:p w14:paraId="5C5C4BDE" w14:textId="77777777" w:rsidR="00CA7676" w:rsidRPr="00E14EE6" w:rsidRDefault="00CA7676" w:rsidP="00E14EE6">
            <w:pPr>
              <w:jc w:val="right"/>
              <w:rPr>
                <w:rFonts w:eastAsia="Times New Roman" w:cs="Times New Roman"/>
                <w:sz w:val="14"/>
                <w:szCs w:val="14"/>
              </w:rPr>
            </w:pPr>
            <w:r w:rsidRPr="00E14EE6">
              <w:rPr>
                <w:sz w:val="14"/>
              </w:rPr>
              <w:t>0.4</w:t>
            </w:r>
          </w:p>
        </w:tc>
      </w:tr>
      <w:tr w:rsidR="00CA7676" w:rsidRPr="00E14EE6" w14:paraId="03727CFC" w14:textId="77777777" w:rsidTr="00FD6B66">
        <w:trPr>
          <w:cantSplit/>
          <w:trHeight w:val="20"/>
        </w:trPr>
        <w:tc>
          <w:tcPr>
            <w:tcW w:w="1492" w:type="pct"/>
            <w:noWrap/>
            <w:hideMark/>
          </w:tcPr>
          <w:p w14:paraId="70CB4ED6" w14:textId="77777777" w:rsidR="00CA7676" w:rsidRPr="00E14EE6" w:rsidRDefault="00CA7676" w:rsidP="00E14EE6">
            <w:pPr>
              <w:ind w:firstLineChars="300" w:firstLine="420"/>
              <w:jc w:val="left"/>
              <w:rPr>
                <w:rFonts w:eastAsia="Times New Roman" w:cs="Times New Roman"/>
                <w:sz w:val="14"/>
                <w:szCs w:val="14"/>
              </w:rPr>
            </w:pPr>
            <w:r w:rsidRPr="00E14EE6">
              <w:rPr>
                <w:sz w:val="14"/>
              </w:rPr>
              <w:t>Taxes on use of goods and on permission to use goods or perform activities</w:t>
            </w:r>
          </w:p>
        </w:tc>
        <w:tc>
          <w:tcPr>
            <w:tcW w:w="389" w:type="pct"/>
            <w:noWrap/>
            <w:hideMark/>
          </w:tcPr>
          <w:p w14:paraId="429C66E5" w14:textId="77777777" w:rsidR="00CA7676" w:rsidRPr="00E14EE6" w:rsidRDefault="00CA7676" w:rsidP="00E14EE6">
            <w:pPr>
              <w:jc w:val="right"/>
              <w:rPr>
                <w:rFonts w:eastAsia="Times New Roman" w:cs="Times New Roman"/>
                <w:color w:val="000000"/>
                <w:sz w:val="14"/>
                <w:szCs w:val="14"/>
              </w:rPr>
            </w:pPr>
            <w:r w:rsidRPr="00E14EE6">
              <w:rPr>
                <w:sz w:val="14"/>
              </w:rPr>
              <w:t>0.3</w:t>
            </w:r>
          </w:p>
        </w:tc>
        <w:tc>
          <w:tcPr>
            <w:tcW w:w="390" w:type="pct"/>
            <w:noWrap/>
            <w:hideMark/>
          </w:tcPr>
          <w:p w14:paraId="0524427A" w14:textId="77777777" w:rsidR="00CA7676" w:rsidRPr="00E14EE6" w:rsidRDefault="00CA7676" w:rsidP="00E14EE6">
            <w:pPr>
              <w:jc w:val="right"/>
              <w:rPr>
                <w:rFonts w:eastAsia="Times New Roman" w:cs="Times New Roman"/>
                <w:color w:val="000000"/>
                <w:sz w:val="14"/>
                <w:szCs w:val="14"/>
              </w:rPr>
            </w:pPr>
            <w:r w:rsidRPr="00E14EE6">
              <w:rPr>
                <w:sz w:val="14"/>
              </w:rPr>
              <w:t>0.3</w:t>
            </w:r>
          </w:p>
        </w:tc>
        <w:tc>
          <w:tcPr>
            <w:tcW w:w="390" w:type="pct"/>
            <w:noWrap/>
            <w:hideMark/>
          </w:tcPr>
          <w:p w14:paraId="5B16E948" w14:textId="77777777" w:rsidR="00CA7676" w:rsidRPr="00E14EE6" w:rsidRDefault="00CA7676" w:rsidP="00E14EE6">
            <w:pPr>
              <w:jc w:val="right"/>
              <w:rPr>
                <w:rFonts w:eastAsia="Times New Roman" w:cs="Times New Roman"/>
                <w:color w:val="000000"/>
                <w:sz w:val="14"/>
                <w:szCs w:val="14"/>
              </w:rPr>
            </w:pPr>
            <w:r w:rsidRPr="00E14EE6">
              <w:rPr>
                <w:sz w:val="14"/>
              </w:rPr>
              <w:t>0.4</w:t>
            </w:r>
          </w:p>
        </w:tc>
        <w:tc>
          <w:tcPr>
            <w:tcW w:w="390" w:type="pct"/>
            <w:noWrap/>
            <w:hideMark/>
          </w:tcPr>
          <w:p w14:paraId="19005A62" w14:textId="77777777" w:rsidR="00CA7676" w:rsidRPr="00E14EE6" w:rsidRDefault="00CA7676" w:rsidP="00E14EE6">
            <w:pPr>
              <w:jc w:val="right"/>
              <w:rPr>
                <w:rFonts w:eastAsia="Times New Roman" w:cs="Times New Roman"/>
                <w:color w:val="000000"/>
                <w:sz w:val="14"/>
                <w:szCs w:val="14"/>
              </w:rPr>
            </w:pPr>
            <w:r w:rsidRPr="00E14EE6">
              <w:rPr>
                <w:sz w:val="14"/>
              </w:rPr>
              <w:t>0.3</w:t>
            </w:r>
          </w:p>
        </w:tc>
        <w:tc>
          <w:tcPr>
            <w:tcW w:w="390" w:type="pct"/>
            <w:noWrap/>
            <w:hideMark/>
          </w:tcPr>
          <w:p w14:paraId="3D98124E" w14:textId="77777777" w:rsidR="00CA7676" w:rsidRPr="00E14EE6" w:rsidRDefault="00CA7676" w:rsidP="00E14EE6">
            <w:pPr>
              <w:jc w:val="right"/>
              <w:rPr>
                <w:rFonts w:eastAsia="Times New Roman" w:cs="Times New Roman"/>
                <w:color w:val="000000"/>
                <w:sz w:val="14"/>
                <w:szCs w:val="14"/>
              </w:rPr>
            </w:pPr>
            <w:r w:rsidRPr="00E14EE6">
              <w:rPr>
                <w:sz w:val="14"/>
              </w:rPr>
              <w:t>0.3</w:t>
            </w:r>
          </w:p>
        </w:tc>
        <w:tc>
          <w:tcPr>
            <w:tcW w:w="390" w:type="pct"/>
            <w:noWrap/>
            <w:hideMark/>
          </w:tcPr>
          <w:p w14:paraId="0E0316BA" w14:textId="77777777" w:rsidR="00CA7676" w:rsidRPr="00E14EE6" w:rsidRDefault="00CA7676" w:rsidP="00E14EE6">
            <w:pPr>
              <w:jc w:val="right"/>
              <w:rPr>
                <w:rFonts w:eastAsia="Times New Roman" w:cs="Times New Roman"/>
                <w:color w:val="000000"/>
                <w:sz w:val="14"/>
                <w:szCs w:val="14"/>
              </w:rPr>
            </w:pPr>
            <w:r w:rsidRPr="00E14EE6">
              <w:rPr>
                <w:sz w:val="14"/>
              </w:rPr>
              <w:t>0.4</w:t>
            </w:r>
          </w:p>
        </w:tc>
        <w:tc>
          <w:tcPr>
            <w:tcW w:w="390" w:type="pct"/>
            <w:noWrap/>
            <w:hideMark/>
          </w:tcPr>
          <w:p w14:paraId="278B8FA0" w14:textId="77777777" w:rsidR="00CA7676" w:rsidRPr="00E14EE6" w:rsidRDefault="00CA7676" w:rsidP="00E14EE6">
            <w:pPr>
              <w:jc w:val="right"/>
              <w:rPr>
                <w:rFonts w:eastAsia="Times New Roman" w:cs="Times New Roman"/>
                <w:color w:val="000000"/>
                <w:sz w:val="14"/>
                <w:szCs w:val="14"/>
              </w:rPr>
            </w:pPr>
            <w:r w:rsidRPr="00E14EE6">
              <w:rPr>
                <w:sz w:val="14"/>
              </w:rPr>
              <w:t>0.3</w:t>
            </w:r>
          </w:p>
        </w:tc>
        <w:tc>
          <w:tcPr>
            <w:tcW w:w="390" w:type="pct"/>
            <w:noWrap/>
            <w:hideMark/>
          </w:tcPr>
          <w:p w14:paraId="3011AD7D" w14:textId="77777777" w:rsidR="00CA7676" w:rsidRPr="00E14EE6" w:rsidRDefault="00CA7676" w:rsidP="00E14EE6">
            <w:pPr>
              <w:jc w:val="right"/>
              <w:rPr>
                <w:rFonts w:eastAsia="Times New Roman" w:cs="Times New Roman"/>
                <w:color w:val="000000"/>
                <w:sz w:val="14"/>
                <w:szCs w:val="14"/>
              </w:rPr>
            </w:pPr>
            <w:r w:rsidRPr="00E14EE6">
              <w:rPr>
                <w:sz w:val="14"/>
              </w:rPr>
              <w:t>0.4</w:t>
            </w:r>
          </w:p>
        </w:tc>
        <w:tc>
          <w:tcPr>
            <w:tcW w:w="390" w:type="pct"/>
            <w:noWrap/>
            <w:hideMark/>
          </w:tcPr>
          <w:p w14:paraId="31396F60" w14:textId="77777777" w:rsidR="00CA7676" w:rsidRPr="00E14EE6" w:rsidRDefault="00CA7676" w:rsidP="00E14EE6">
            <w:pPr>
              <w:jc w:val="right"/>
              <w:rPr>
                <w:rFonts w:eastAsia="Times New Roman" w:cs="Times New Roman"/>
                <w:sz w:val="14"/>
                <w:szCs w:val="14"/>
              </w:rPr>
            </w:pPr>
            <w:r w:rsidRPr="00E14EE6">
              <w:rPr>
                <w:sz w:val="14"/>
              </w:rPr>
              <w:t>0.5</w:t>
            </w:r>
          </w:p>
        </w:tc>
      </w:tr>
      <w:tr w:rsidR="00CA7676" w:rsidRPr="00E14EE6" w14:paraId="7D96D47B" w14:textId="77777777" w:rsidTr="00FD6B66">
        <w:trPr>
          <w:cnfStyle w:val="000000010000" w:firstRow="0" w:lastRow="0" w:firstColumn="0" w:lastColumn="0" w:oddVBand="0" w:evenVBand="0" w:oddHBand="0" w:evenHBand="1" w:firstRowFirstColumn="0" w:firstRowLastColumn="0" w:lastRowFirstColumn="0" w:lastRowLastColumn="0"/>
          <w:cantSplit/>
          <w:trHeight w:val="20"/>
        </w:trPr>
        <w:tc>
          <w:tcPr>
            <w:tcW w:w="1492" w:type="pct"/>
            <w:noWrap/>
            <w:hideMark/>
          </w:tcPr>
          <w:p w14:paraId="5A31917C" w14:textId="77777777" w:rsidR="00CA7676" w:rsidRPr="00E14EE6" w:rsidRDefault="00CA7676" w:rsidP="00E14EE6">
            <w:pPr>
              <w:ind w:firstLineChars="200" w:firstLine="280"/>
              <w:jc w:val="left"/>
              <w:rPr>
                <w:rFonts w:eastAsia="Times New Roman" w:cs="Times New Roman"/>
                <w:sz w:val="14"/>
                <w:szCs w:val="14"/>
              </w:rPr>
            </w:pPr>
            <w:r w:rsidRPr="00E14EE6">
              <w:rPr>
                <w:sz w:val="14"/>
              </w:rPr>
              <w:t>Taxes on international trade and transactions</w:t>
            </w:r>
          </w:p>
        </w:tc>
        <w:tc>
          <w:tcPr>
            <w:tcW w:w="389" w:type="pct"/>
            <w:noWrap/>
            <w:hideMark/>
          </w:tcPr>
          <w:p w14:paraId="3AA715E4" w14:textId="77777777" w:rsidR="00CA7676" w:rsidRPr="00E14EE6" w:rsidRDefault="00CA7676" w:rsidP="00E14EE6">
            <w:pPr>
              <w:jc w:val="right"/>
              <w:rPr>
                <w:rFonts w:eastAsia="Times New Roman" w:cs="Times New Roman"/>
                <w:color w:val="000000"/>
                <w:sz w:val="14"/>
                <w:szCs w:val="14"/>
              </w:rPr>
            </w:pPr>
            <w:r w:rsidRPr="00E14EE6">
              <w:rPr>
                <w:sz w:val="14"/>
              </w:rPr>
              <w:t>0.9</w:t>
            </w:r>
          </w:p>
        </w:tc>
        <w:tc>
          <w:tcPr>
            <w:tcW w:w="390" w:type="pct"/>
            <w:noWrap/>
            <w:hideMark/>
          </w:tcPr>
          <w:p w14:paraId="36FFAF7C" w14:textId="77777777" w:rsidR="00CA7676" w:rsidRPr="00E14EE6" w:rsidRDefault="00CA7676" w:rsidP="00E14EE6">
            <w:pPr>
              <w:jc w:val="right"/>
              <w:rPr>
                <w:rFonts w:eastAsia="Times New Roman" w:cs="Times New Roman"/>
                <w:color w:val="000000"/>
                <w:sz w:val="14"/>
                <w:szCs w:val="14"/>
              </w:rPr>
            </w:pPr>
            <w:r w:rsidRPr="00E14EE6">
              <w:rPr>
                <w:sz w:val="14"/>
              </w:rPr>
              <w:t>1.0</w:t>
            </w:r>
          </w:p>
        </w:tc>
        <w:tc>
          <w:tcPr>
            <w:tcW w:w="390" w:type="pct"/>
            <w:noWrap/>
            <w:hideMark/>
          </w:tcPr>
          <w:p w14:paraId="09FBF1DB" w14:textId="77777777" w:rsidR="00CA7676" w:rsidRPr="00E14EE6" w:rsidRDefault="00CA7676" w:rsidP="00E14EE6">
            <w:pPr>
              <w:jc w:val="right"/>
              <w:rPr>
                <w:rFonts w:eastAsia="Times New Roman" w:cs="Times New Roman"/>
                <w:color w:val="000000"/>
                <w:sz w:val="14"/>
                <w:szCs w:val="14"/>
              </w:rPr>
            </w:pPr>
            <w:r w:rsidRPr="00E14EE6">
              <w:rPr>
                <w:sz w:val="14"/>
              </w:rPr>
              <w:t>1.0</w:t>
            </w:r>
          </w:p>
        </w:tc>
        <w:tc>
          <w:tcPr>
            <w:tcW w:w="390" w:type="pct"/>
            <w:noWrap/>
            <w:hideMark/>
          </w:tcPr>
          <w:p w14:paraId="217A0ED1" w14:textId="77777777" w:rsidR="00CA7676" w:rsidRPr="00E14EE6" w:rsidRDefault="00CA7676" w:rsidP="00E14EE6">
            <w:pPr>
              <w:jc w:val="right"/>
              <w:rPr>
                <w:rFonts w:eastAsia="Times New Roman" w:cs="Times New Roman"/>
                <w:color w:val="000000"/>
                <w:sz w:val="14"/>
                <w:szCs w:val="14"/>
              </w:rPr>
            </w:pPr>
            <w:r w:rsidRPr="00E14EE6">
              <w:rPr>
                <w:sz w:val="14"/>
              </w:rPr>
              <w:t>0.9</w:t>
            </w:r>
          </w:p>
        </w:tc>
        <w:tc>
          <w:tcPr>
            <w:tcW w:w="390" w:type="pct"/>
            <w:noWrap/>
            <w:hideMark/>
          </w:tcPr>
          <w:p w14:paraId="62971A80" w14:textId="77777777" w:rsidR="00CA7676" w:rsidRPr="00E14EE6" w:rsidRDefault="00CA7676" w:rsidP="00E14EE6">
            <w:pPr>
              <w:jc w:val="right"/>
              <w:rPr>
                <w:rFonts w:eastAsia="Times New Roman" w:cs="Times New Roman"/>
                <w:color w:val="000000"/>
                <w:sz w:val="14"/>
                <w:szCs w:val="14"/>
              </w:rPr>
            </w:pPr>
            <w:r w:rsidRPr="00E14EE6">
              <w:rPr>
                <w:sz w:val="14"/>
              </w:rPr>
              <w:t>0.9</w:t>
            </w:r>
          </w:p>
        </w:tc>
        <w:tc>
          <w:tcPr>
            <w:tcW w:w="390" w:type="pct"/>
            <w:noWrap/>
            <w:hideMark/>
          </w:tcPr>
          <w:p w14:paraId="59E091A4" w14:textId="77777777" w:rsidR="00CA7676" w:rsidRPr="00E14EE6" w:rsidRDefault="00CA7676" w:rsidP="00E14EE6">
            <w:pPr>
              <w:jc w:val="right"/>
              <w:rPr>
                <w:rFonts w:eastAsia="Times New Roman" w:cs="Times New Roman"/>
                <w:color w:val="000000"/>
                <w:sz w:val="14"/>
                <w:szCs w:val="14"/>
              </w:rPr>
            </w:pPr>
            <w:r w:rsidRPr="00E14EE6">
              <w:rPr>
                <w:sz w:val="14"/>
              </w:rPr>
              <w:t>0.9</w:t>
            </w:r>
          </w:p>
        </w:tc>
        <w:tc>
          <w:tcPr>
            <w:tcW w:w="390" w:type="pct"/>
            <w:noWrap/>
            <w:hideMark/>
          </w:tcPr>
          <w:p w14:paraId="1740250F" w14:textId="77777777" w:rsidR="00CA7676" w:rsidRPr="00E14EE6" w:rsidRDefault="00CA7676" w:rsidP="00E14EE6">
            <w:pPr>
              <w:jc w:val="right"/>
              <w:rPr>
                <w:rFonts w:eastAsia="Times New Roman" w:cs="Times New Roman"/>
                <w:color w:val="000000"/>
                <w:sz w:val="14"/>
                <w:szCs w:val="14"/>
              </w:rPr>
            </w:pPr>
            <w:r w:rsidRPr="00E14EE6">
              <w:rPr>
                <w:sz w:val="14"/>
              </w:rPr>
              <w:t>0.7</w:t>
            </w:r>
          </w:p>
        </w:tc>
        <w:tc>
          <w:tcPr>
            <w:tcW w:w="390" w:type="pct"/>
            <w:noWrap/>
            <w:hideMark/>
          </w:tcPr>
          <w:p w14:paraId="12DA7A2F" w14:textId="77777777" w:rsidR="00CA7676" w:rsidRPr="00E14EE6" w:rsidRDefault="00CA7676" w:rsidP="00E14EE6">
            <w:pPr>
              <w:jc w:val="right"/>
              <w:rPr>
                <w:rFonts w:eastAsia="Times New Roman" w:cs="Times New Roman"/>
                <w:color w:val="000000"/>
                <w:sz w:val="14"/>
                <w:szCs w:val="14"/>
              </w:rPr>
            </w:pPr>
            <w:r w:rsidRPr="00E14EE6">
              <w:rPr>
                <w:sz w:val="14"/>
              </w:rPr>
              <w:t>0.9</w:t>
            </w:r>
          </w:p>
        </w:tc>
        <w:tc>
          <w:tcPr>
            <w:tcW w:w="390" w:type="pct"/>
            <w:noWrap/>
            <w:hideMark/>
          </w:tcPr>
          <w:p w14:paraId="628E065C" w14:textId="77777777" w:rsidR="00CA7676" w:rsidRPr="00E14EE6" w:rsidRDefault="00CA7676" w:rsidP="00E14EE6">
            <w:pPr>
              <w:jc w:val="right"/>
              <w:rPr>
                <w:rFonts w:eastAsia="Times New Roman" w:cs="Times New Roman"/>
                <w:sz w:val="14"/>
                <w:szCs w:val="14"/>
              </w:rPr>
            </w:pPr>
            <w:r w:rsidRPr="00E14EE6">
              <w:rPr>
                <w:sz w:val="14"/>
              </w:rPr>
              <w:t>1.0</w:t>
            </w:r>
          </w:p>
        </w:tc>
      </w:tr>
      <w:tr w:rsidR="00CA7676" w:rsidRPr="00E14EE6" w14:paraId="5979DFBA" w14:textId="77777777" w:rsidTr="00FD6B66">
        <w:trPr>
          <w:cantSplit/>
          <w:trHeight w:val="20"/>
        </w:trPr>
        <w:tc>
          <w:tcPr>
            <w:tcW w:w="1492" w:type="pct"/>
            <w:noWrap/>
            <w:hideMark/>
          </w:tcPr>
          <w:p w14:paraId="1E626374" w14:textId="77777777" w:rsidR="00CA7676" w:rsidRPr="00E14EE6" w:rsidRDefault="00CA7676" w:rsidP="00E14EE6">
            <w:pPr>
              <w:ind w:firstLineChars="200" w:firstLine="280"/>
              <w:jc w:val="left"/>
              <w:rPr>
                <w:rFonts w:eastAsia="Times New Roman" w:cs="Times New Roman"/>
                <w:sz w:val="14"/>
                <w:szCs w:val="14"/>
              </w:rPr>
            </w:pPr>
            <w:r w:rsidRPr="00E14EE6">
              <w:rPr>
                <w:sz w:val="14"/>
              </w:rPr>
              <w:t>Other taxes</w:t>
            </w:r>
          </w:p>
        </w:tc>
        <w:tc>
          <w:tcPr>
            <w:tcW w:w="389" w:type="pct"/>
            <w:noWrap/>
            <w:hideMark/>
          </w:tcPr>
          <w:p w14:paraId="3F8E1ADA" w14:textId="77777777" w:rsidR="00CA7676" w:rsidRPr="00E14EE6" w:rsidRDefault="00CA7676" w:rsidP="00E14EE6">
            <w:pPr>
              <w:jc w:val="right"/>
              <w:rPr>
                <w:rFonts w:eastAsia="Times New Roman" w:cs="Times New Roman"/>
                <w:color w:val="000000"/>
                <w:sz w:val="14"/>
                <w:szCs w:val="14"/>
              </w:rPr>
            </w:pPr>
            <w:r w:rsidRPr="00E14EE6">
              <w:rPr>
                <w:sz w:val="14"/>
              </w:rPr>
              <w:t>0.0</w:t>
            </w:r>
          </w:p>
        </w:tc>
        <w:tc>
          <w:tcPr>
            <w:tcW w:w="390" w:type="pct"/>
            <w:noWrap/>
            <w:hideMark/>
          </w:tcPr>
          <w:p w14:paraId="49A90280" w14:textId="77777777" w:rsidR="00CA7676" w:rsidRPr="00E14EE6" w:rsidRDefault="00CA7676" w:rsidP="00E14EE6">
            <w:pPr>
              <w:jc w:val="right"/>
              <w:rPr>
                <w:rFonts w:eastAsia="Times New Roman" w:cs="Times New Roman"/>
                <w:color w:val="000000"/>
                <w:sz w:val="14"/>
                <w:szCs w:val="14"/>
              </w:rPr>
            </w:pPr>
            <w:r w:rsidRPr="00E14EE6">
              <w:rPr>
                <w:sz w:val="14"/>
              </w:rPr>
              <w:t>0.0</w:t>
            </w:r>
          </w:p>
        </w:tc>
        <w:tc>
          <w:tcPr>
            <w:tcW w:w="390" w:type="pct"/>
            <w:noWrap/>
            <w:hideMark/>
          </w:tcPr>
          <w:p w14:paraId="73D1B227" w14:textId="77777777" w:rsidR="00CA7676" w:rsidRPr="00E14EE6" w:rsidRDefault="00CA7676" w:rsidP="00E14EE6">
            <w:pPr>
              <w:jc w:val="right"/>
              <w:rPr>
                <w:rFonts w:eastAsia="Times New Roman" w:cs="Times New Roman"/>
                <w:color w:val="000000"/>
                <w:sz w:val="14"/>
                <w:szCs w:val="14"/>
              </w:rPr>
            </w:pPr>
            <w:r w:rsidRPr="00E14EE6">
              <w:rPr>
                <w:sz w:val="14"/>
              </w:rPr>
              <w:t>0.0</w:t>
            </w:r>
          </w:p>
        </w:tc>
        <w:tc>
          <w:tcPr>
            <w:tcW w:w="390" w:type="pct"/>
            <w:noWrap/>
            <w:hideMark/>
          </w:tcPr>
          <w:p w14:paraId="4EAC7136" w14:textId="77777777" w:rsidR="00CA7676" w:rsidRPr="00E14EE6" w:rsidRDefault="00CA7676" w:rsidP="00E14EE6">
            <w:pPr>
              <w:jc w:val="right"/>
              <w:rPr>
                <w:rFonts w:eastAsia="Times New Roman" w:cs="Times New Roman"/>
                <w:color w:val="000000"/>
                <w:sz w:val="14"/>
                <w:szCs w:val="14"/>
              </w:rPr>
            </w:pPr>
            <w:r w:rsidRPr="00E14EE6">
              <w:rPr>
                <w:sz w:val="14"/>
              </w:rPr>
              <w:t>0.0</w:t>
            </w:r>
          </w:p>
        </w:tc>
        <w:tc>
          <w:tcPr>
            <w:tcW w:w="390" w:type="pct"/>
            <w:noWrap/>
            <w:hideMark/>
          </w:tcPr>
          <w:p w14:paraId="488005F3" w14:textId="77777777" w:rsidR="00CA7676" w:rsidRPr="00E14EE6" w:rsidRDefault="00CA7676" w:rsidP="00E14EE6">
            <w:pPr>
              <w:jc w:val="right"/>
              <w:rPr>
                <w:rFonts w:eastAsia="Times New Roman" w:cs="Times New Roman"/>
                <w:color w:val="000000"/>
                <w:sz w:val="14"/>
                <w:szCs w:val="14"/>
              </w:rPr>
            </w:pPr>
            <w:r w:rsidRPr="00E14EE6">
              <w:rPr>
                <w:sz w:val="14"/>
              </w:rPr>
              <w:t>0.0</w:t>
            </w:r>
          </w:p>
        </w:tc>
        <w:tc>
          <w:tcPr>
            <w:tcW w:w="390" w:type="pct"/>
            <w:noWrap/>
            <w:hideMark/>
          </w:tcPr>
          <w:p w14:paraId="7271133E" w14:textId="77777777" w:rsidR="00CA7676" w:rsidRPr="00E14EE6" w:rsidRDefault="00CA7676" w:rsidP="00E14EE6">
            <w:pPr>
              <w:jc w:val="right"/>
              <w:rPr>
                <w:rFonts w:eastAsia="Times New Roman" w:cs="Times New Roman"/>
                <w:color w:val="000000"/>
                <w:sz w:val="14"/>
                <w:szCs w:val="14"/>
              </w:rPr>
            </w:pPr>
            <w:r w:rsidRPr="00E14EE6">
              <w:rPr>
                <w:sz w:val="14"/>
              </w:rPr>
              <w:t>0.0</w:t>
            </w:r>
          </w:p>
        </w:tc>
        <w:tc>
          <w:tcPr>
            <w:tcW w:w="390" w:type="pct"/>
            <w:noWrap/>
            <w:hideMark/>
          </w:tcPr>
          <w:p w14:paraId="76FC14CD" w14:textId="77777777" w:rsidR="00CA7676" w:rsidRPr="00E14EE6" w:rsidRDefault="00CA7676" w:rsidP="00E14EE6">
            <w:pPr>
              <w:jc w:val="right"/>
              <w:rPr>
                <w:rFonts w:eastAsia="Times New Roman" w:cs="Times New Roman"/>
                <w:color w:val="000000"/>
                <w:sz w:val="14"/>
                <w:szCs w:val="14"/>
              </w:rPr>
            </w:pPr>
            <w:r w:rsidRPr="00E14EE6">
              <w:rPr>
                <w:sz w:val="14"/>
              </w:rPr>
              <w:t>0.0</w:t>
            </w:r>
          </w:p>
        </w:tc>
        <w:tc>
          <w:tcPr>
            <w:tcW w:w="390" w:type="pct"/>
            <w:noWrap/>
            <w:hideMark/>
          </w:tcPr>
          <w:p w14:paraId="3FB6F03D" w14:textId="77777777" w:rsidR="00CA7676" w:rsidRPr="00E14EE6" w:rsidRDefault="00CA7676" w:rsidP="00E14EE6">
            <w:pPr>
              <w:jc w:val="right"/>
              <w:rPr>
                <w:rFonts w:eastAsia="Times New Roman" w:cs="Times New Roman"/>
                <w:color w:val="000000"/>
                <w:sz w:val="14"/>
                <w:szCs w:val="14"/>
              </w:rPr>
            </w:pPr>
            <w:r w:rsidRPr="00E14EE6">
              <w:rPr>
                <w:sz w:val="14"/>
              </w:rPr>
              <w:t>0.0</w:t>
            </w:r>
          </w:p>
        </w:tc>
        <w:tc>
          <w:tcPr>
            <w:tcW w:w="390" w:type="pct"/>
            <w:noWrap/>
            <w:hideMark/>
          </w:tcPr>
          <w:p w14:paraId="682B200F" w14:textId="77777777" w:rsidR="00CA7676" w:rsidRPr="00E14EE6" w:rsidRDefault="00CA7676" w:rsidP="00E14EE6">
            <w:pPr>
              <w:jc w:val="right"/>
              <w:rPr>
                <w:rFonts w:eastAsia="Times New Roman" w:cs="Times New Roman"/>
                <w:sz w:val="14"/>
                <w:szCs w:val="14"/>
              </w:rPr>
            </w:pPr>
            <w:r w:rsidRPr="00E14EE6">
              <w:rPr>
                <w:sz w:val="14"/>
              </w:rPr>
              <w:t>0.0</w:t>
            </w:r>
          </w:p>
        </w:tc>
      </w:tr>
      <w:tr w:rsidR="00CA7676" w:rsidRPr="00E14EE6" w14:paraId="44B2ACCE" w14:textId="77777777" w:rsidTr="00FD6B66">
        <w:trPr>
          <w:cnfStyle w:val="000000010000" w:firstRow="0" w:lastRow="0" w:firstColumn="0" w:lastColumn="0" w:oddVBand="0" w:evenVBand="0" w:oddHBand="0" w:evenHBand="1" w:firstRowFirstColumn="0" w:firstRowLastColumn="0" w:lastRowFirstColumn="0" w:lastRowLastColumn="0"/>
          <w:cantSplit/>
          <w:trHeight w:val="20"/>
        </w:trPr>
        <w:tc>
          <w:tcPr>
            <w:tcW w:w="1492" w:type="pct"/>
            <w:noWrap/>
            <w:hideMark/>
          </w:tcPr>
          <w:p w14:paraId="3388BB36" w14:textId="5B546CC1" w:rsidR="00CA7676" w:rsidRPr="00E14EE6" w:rsidRDefault="00CA7676" w:rsidP="00E14EE6">
            <w:pPr>
              <w:ind w:firstLineChars="100" w:firstLine="140"/>
              <w:jc w:val="left"/>
              <w:rPr>
                <w:rFonts w:eastAsia="Times New Roman" w:cs="Times New Roman"/>
                <w:sz w:val="14"/>
                <w:szCs w:val="14"/>
              </w:rPr>
            </w:pPr>
            <w:r w:rsidRPr="00E14EE6">
              <w:rPr>
                <w:sz w:val="14"/>
              </w:rPr>
              <w:t>Social contributions</w:t>
            </w:r>
          </w:p>
        </w:tc>
        <w:tc>
          <w:tcPr>
            <w:tcW w:w="389" w:type="pct"/>
            <w:noWrap/>
            <w:hideMark/>
          </w:tcPr>
          <w:p w14:paraId="1F82DBE3" w14:textId="77777777" w:rsidR="00CA7676" w:rsidRPr="00E14EE6" w:rsidRDefault="00CA7676" w:rsidP="00E14EE6">
            <w:pPr>
              <w:jc w:val="right"/>
              <w:rPr>
                <w:rFonts w:eastAsia="Times New Roman" w:cs="Times New Roman"/>
                <w:color w:val="000000"/>
                <w:sz w:val="14"/>
                <w:szCs w:val="14"/>
              </w:rPr>
            </w:pPr>
            <w:r w:rsidRPr="00E14EE6">
              <w:rPr>
                <w:sz w:val="14"/>
              </w:rPr>
              <w:t>0.1</w:t>
            </w:r>
          </w:p>
        </w:tc>
        <w:tc>
          <w:tcPr>
            <w:tcW w:w="390" w:type="pct"/>
            <w:noWrap/>
            <w:hideMark/>
          </w:tcPr>
          <w:p w14:paraId="7A3A6210" w14:textId="77777777" w:rsidR="00CA7676" w:rsidRPr="00E14EE6" w:rsidRDefault="00CA7676" w:rsidP="00E14EE6">
            <w:pPr>
              <w:jc w:val="right"/>
              <w:rPr>
                <w:rFonts w:eastAsia="Times New Roman" w:cs="Times New Roman"/>
                <w:color w:val="000000"/>
                <w:sz w:val="14"/>
                <w:szCs w:val="14"/>
              </w:rPr>
            </w:pPr>
            <w:r w:rsidRPr="00E14EE6">
              <w:rPr>
                <w:sz w:val="14"/>
              </w:rPr>
              <w:t>0.0</w:t>
            </w:r>
          </w:p>
        </w:tc>
        <w:tc>
          <w:tcPr>
            <w:tcW w:w="390" w:type="pct"/>
            <w:noWrap/>
            <w:hideMark/>
          </w:tcPr>
          <w:p w14:paraId="2CD0EE68" w14:textId="77777777" w:rsidR="00CA7676" w:rsidRPr="00E14EE6" w:rsidRDefault="00CA7676" w:rsidP="00E14EE6">
            <w:pPr>
              <w:jc w:val="right"/>
              <w:rPr>
                <w:rFonts w:eastAsia="Times New Roman" w:cs="Times New Roman"/>
                <w:color w:val="000000"/>
                <w:sz w:val="14"/>
                <w:szCs w:val="14"/>
              </w:rPr>
            </w:pPr>
            <w:r w:rsidRPr="00E14EE6">
              <w:rPr>
                <w:sz w:val="14"/>
              </w:rPr>
              <w:t>0.0</w:t>
            </w:r>
          </w:p>
        </w:tc>
        <w:tc>
          <w:tcPr>
            <w:tcW w:w="390" w:type="pct"/>
            <w:noWrap/>
            <w:hideMark/>
          </w:tcPr>
          <w:p w14:paraId="6656E984" w14:textId="77777777" w:rsidR="00CA7676" w:rsidRPr="00E14EE6" w:rsidRDefault="00CA7676" w:rsidP="00E14EE6">
            <w:pPr>
              <w:jc w:val="right"/>
              <w:rPr>
                <w:rFonts w:eastAsia="Times New Roman" w:cs="Times New Roman"/>
                <w:color w:val="000000"/>
                <w:sz w:val="14"/>
                <w:szCs w:val="14"/>
              </w:rPr>
            </w:pPr>
            <w:r w:rsidRPr="00E14EE6">
              <w:rPr>
                <w:sz w:val="14"/>
              </w:rPr>
              <w:t>0.1</w:t>
            </w:r>
          </w:p>
        </w:tc>
        <w:tc>
          <w:tcPr>
            <w:tcW w:w="390" w:type="pct"/>
            <w:noWrap/>
            <w:hideMark/>
          </w:tcPr>
          <w:p w14:paraId="2F494FB6" w14:textId="77777777" w:rsidR="00CA7676" w:rsidRPr="00E14EE6" w:rsidRDefault="00CA7676" w:rsidP="00E14EE6">
            <w:pPr>
              <w:jc w:val="right"/>
              <w:rPr>
                <w:rFonts w:eastAsia="Times New Roman" w:cs="Times New Roman"/>
                <w:color w:val="000000"/>
                <w:sz w:val="14"/>
                <w:szCs w:val="14"/>
              </w:rPr>
            </w:pPr>
            <w:r w:rsidRPr="00E14EE6">
              <w:rPr>
                <w:sz w:val="14"/>
              </w:rPr>
              <w:t>0.1</w:t>
            </w:r>
          </w:p>
        </w:tc>
        <w:tc>
          <w:tcPr>
            <w:tcW w:w="390" w:type="pct"/>
            <w:noWrap/>
            <w:hideMark/>
          </w:tcPr>
          <w:p w14:paraId="2A83BC08" w14:textId="77777777" w:rsidR="00CA7676" w:rsidRPr="00E14EE6" w:rsidRDefault="00CA7676" w:rsidP="00E14EE6">
            <w:pPr>
              <w:jc w:val="right"/>
              <w:rPr>
                <w:rFonts w:eastAsia="Times New Roman" w:cs="Times New Roman"/>
                <w:color w:val="000000"/>
                <w:sz w:val="14"/>
                <w:szCs w:val="14"/>
              </w:rPr>
            </w:pPr>
            <w:r w:rsidRPr="00E14EE6">
              <w:rPr>
                <w:sz w:val="14"/>
              </w:rPr>
              <w:t>0.1</w:t>
            </w:r>
          </w:p>
        </w:tc>
        <w:tc>
          <w:tcPr>
            <w:tcW w:w="390" w:type="pct"/>
            <w:noWrap/>
            <w:hideMark/>
          </w:tcPr>
          <w:p w14:paraId="1AD13A41" w14:textId="77777777" w:rsidR="00CA7676" w:rsidRPr="00E14EE6" w:rsidRDefault="00CA7676" w:rsidP="00E14EE6">
            <w:pPr>
              <w:jc w:val="right"/>
              <w:rPr>
                <w:rFonts w:eastAsia="Times New Roman" w:cs="Times New Roman"/>
                <w:color w:val="000000"/>
                <w:sz w:val="14"/>
                <w:szCs w:val="14"/>
              </w:rPr>
            </w:pPr>
            <w:r w:rsidRPr="00E14EE6">
              <w:rPr>
                <w:sz w:val="14"/>
              </w:rPr>
              <w:t>0.1</w:t>
            </w:r>
          </w:p>
        </w:tc>
        <w:tc>
          <w:tcPr>
            <w:tcW w:w="390" w:type="pct"/>
            <w:noWrap/>
            <w:hideMark/>
          </w:tcPr>
          <w:p w14:paraId="67B47DB1" w14:textId="77777777" w:rsidR="00CA7676" w:rsidRPr="00E14EE6" w:rsidRDefault="00CA7676" w:rsidP="00E14EE6">
            <w:pPr>
              <w:jc w:val="right"/>
              <w:rPr>
                <w:rFonts w:eastAsia="Times New Roman" w:cs="Times New Roman"/>
                <w:color w:val="000000"/>
                <w:sz w:val="14"/>
                <w:szCs w:val="14"/>
              </w:rPr>
            </w:pPr>
            <w:r w:rsidRPr="00E14EE6">
              <w:rPr>
                <w:sz w:val="14"/>
              </w:rPr>
              <w:t>0.1</w:t>
            </w:r>
          </w:p>
        </w:tc>
        <w:tc>
          <w:tcPr>
            <w:tcW w:w="390" w:type="pct"/>
            <w:noWrap/>
            <w:hideMark/>
          </w:tcPr>
          <w:p w14:paraId="1246E458" w14:textId="77777777" w:rsidR="00CA7676" w:rsidRPr="00E14EE6" w:rsidRDefault="00CA7676" w:rsidP="00E14EE6">
            <w:pPr>
              <w:jc w:val="right"/>
              <w:rPr>
                <w:rFonts w:eastAsia="Times New Roman" w:cs="Times New Roman"/>
                <w:sz w:val="14"/>
                <w:szCs w:val="14"/>
              </w:rPr>
            </w:pPr>
            <w:r w:rsidRPr="00E14EE6">
              <w:rPr>
                <w:sz w:val="14"/>
              </w:rPr>
              <w:t>0.1</w:t>
            </w:r>
          </w:p>
        </w:tc>
      </w:tr>
      <w:tr w:rsidR="00CA7676" w:rsidRPr="00E14EE6" w14:paraId="70B4FBF0" w14:textId="77777777" w:rsidTr="00FD6B66">
        <w:trPr>
          <w:cantSplit/>
          <w:trHeight w:val="20"/>
        </w:trPr>
        <w:tc>
          <w:tcPr>
            <w:tcW w:w="1492" w:type="pct"/>
            <w:noWrap/>
            <w:hideMark/>
          </w:tcPr>
          <w:p w14:paraId="159C3474" w14:textId="77777777" w:rsidR="00CA7676" w:rsidRPr="00E14EE6" w:rsidRDefault="00CA7676" w:rsidP="00E14EE6">
            <w:pPr>
              <w:ind w:firstLineChars="100" w:firstLine="140"/>
              <w:jc w:val="left"/>
              <w:rPr>
                <w:rFonts w:eastAsia="Times New Roman" w:cs="Times New Roman"/>
                <w:sz w:val="14"/>
                <w:szCs w:val="14"/>
              </w:rPr>
            </w:pPr>
            <w:proofErr w:type="spellStart"/>
            <w:r w:rsidRPr="00E14EE6">
              <w:rPr>
                <w:sz w:val="14"/>
              </w:rPr>
              <w:t>Grants</w:t>
            </w:r>
            <w:r w:rsidRPr="00E14EE6">
              <w:rPr>
                <w:sz w:val="14"/>
                <w:vertAlign w:val="superscript"/>
              </w:rPr>
              <w:t>b</w:t>
            </w:r>
            <w:proofErr w:type="spellEnd"/>
          </w:p>
        </w:tc>
        <w:tc>
          <w:tcPr>
            <w:tcW w:w="389" w:type="pct"/>
            <w:noWrap/>
            <w:hideMark/>
          </w:tcPr>
          <w:p w14:paraId="249502E9" w14:textId="77777777" w:rsidR="00CA7676" w:rsidRPr="00E14EE6" w:rsidRDefault="00CA7676" w:rsidP="00E14EE6">
            <w:pPr>
              <w:jc w:val="right"/>
              <w:rPr>
                <w:rFonts w:eastAsia="Times New Roman" w:cs="Times New Roman"/>
                <w:color w:val="000000"/>
                <w:sz w:val="14"/>
                <w:szCs w:val="14"/>
              </w:rPr>
            </w:pPr>
            <w:r w:rsidRPr="00E14EE6">
              <w:rPr>
                <w:sz w:val="14"/>
              </w:rPr>
              <w:t>0.2</w:t>
            </w:r>
          </w:p>
        </w:tc>
        <w:tc>
          <w:tcPr>
            <w:tcW w:w="390" w:type="pct"/>
            <w:noWrap/>
            <w:hideMark/>
          </w:tcPr>
          <w:p w14:paraId="039D640A" w14:textId="77777777" w:rsidR="00CA7676" w:rsidRPr="00E14EE6" w:rsidRDefault="00CA7676" w:rsidP="00E14EE6">
            <w:pPr>
              <w:jc w:val="right"/>
              <w:rPr>
                <w:rFonts w:eastAsia="Times New Roman" w:cs="Times New Roman"/>
                <w:color w:val="000000"/>
                <w:sz w:val="14"/>
                <w:szCs w:val="14"/>
              </w:rPr>
            </w:pPr>
            <w:r w:rsidRPr="00E14EE6">
              <w:rPr>
                <w:sz w:val="14"/>
              </w:rPr>
              <w:t>3.0</w:t>
            </w:r>
          </w:p>
        </w:tc>
        <w:tc>
          <w:tcPr>
            <w:tcW w:w="390" w:type="pct"/>
            <w:noWrap/>
            <w:hideMark/>
          </w:tcPr>
          <w:p w14:paraId="48137A5F" w14:textId="77777777" w:rsidR="00CA7676" w:rsidRPr="00E14EE6" w:rsidRDefault="00CA7676" w:rsidP="00E14EE6">
            <w:pPr>
              <w:jc w:val="right"/>
              <w:rPr>
                <w:rFonts w:eastAsia="Times New Roman" w:cs="Times New Roman"/>
                <w:color w:val="000000"/>
                <w:sz w:val="14"/>
                <w:szCs w:val="14"/>
              </w:rPr>
            </w:pPr>
            <w:r w:rsidRPr="00E14EE6">
              <w:rPr>
                <w:sz w:val="14"/>
              </w:rPr>
              <w:t>0.0</w:t>
            </w:r>
          </w:p>
        </w:tc>
        <w:tc>
          <w:tcPr>
            <w:tcW w:w="390" w:type="pct"/>
            <w:noWrap/>
            <w:hideMark/>
          </w:tcPr>
          <w:p w14:paraId="2E4A64D5" w14:textId="77777777" w:rsidR="00CA7676" w:rsidRPr="00E14EE6" w:rsidRDefault="00CA7676" w:rsidP="00E14EE6">
            <w:pPr>
              <w:jc w:val="right"/>
              <w:rPr>
                <w:rFonts w:eastAsia="Times New Roman" w:cs="Times New Roman"/>
                <w:color w:val="000000"/>
                <w:sz w:val="14"/>
                <w:szCs w:val="14"/>
              </w:rPr>
            </w:pPr>
            <w:r w:rsidRPr="00E14EE6">
              <w:rPr>
                <w:sz w:val="14"/>
              </w:rPr>
              <w:t>0.1</w:t>
            </w:r>
          </w:p>
        </w:tc>
        <w:tc>
          <w:tcPr>
            <w:tcW w:w="390" w:type="pct"/>
            <w:noWrap/>
            <w:hideMark/>
          </w:tcPr>
          <w:p w14:paraId="770AFC71" w14:textId="77777777" w:rsidR="00CA7676" w:rsidRPr="00E14EE6" w:rsidRDefault="00CA7676" w:rsidP="00E14EE6">
            <w:pPr>
              <w:jc w:val="right"/>
              <w:rPr>
                <w:rFonts w:eastAsia="Times New Roman" w:cs="Times New Roman"/>
                <w:color w:val="000000"/>
                <w:sz w:val="14"/>
                <w:szCs w:val="14"/>
              </w:rPr>
            </w:pPr>
            <w:r w:rsidRPr="00E14EE6">
              <w:rPr>
                <w:sz w:val="14"/>
              </w:rPr>
              <w:t>0.0</w:t>
            </w:r>
          </w:p>
        </w:tc>
        <w:tc>
          <w:tcPr>
            <w:tcW w:w="390" w:type="pct"/>
            <w:noWrap/>
            <w:hideMark/>
          </w:tcPr>
          <w:p w14:paraId="7B837CAC" w14:textId="77777777" w:rsidR="00CA7676" w:rsidRPr="00E14EE6" w:rsidRDefault="00CA7676" w:rsidP="00E14EE6">
            <w:pPr>
              <w:jc w:val="right"/>
              <w:rPr>
                <w:rFonts w:eastAsia="Times New Roman" w:cs="Times New Roman"/>
                <w:color w:val="000000"/>
                <w:sz w:val="14"/>
                <w:szCs w:val="14"/>
              </w:rPr>
            </w:pPr>
            <w:r w:rsidRPr="00E14EE6">
              <w:rPr>
                <w:sz w:val="14"/>
              </w:rPr>
              <w:t>0.0</w:t>
            </w:r>
          </w:p>
        </w:tc>
        <w:tc>
          <w:tcPr>
            <w:tcW w:w="390" w:type="pct"/>
            <w:noWrap/>
            <w:hideMark/>
          </w:tcPr>
          <w:p w14:paraId="7E52DBF9" w14:textId="77777777" w:rsidR="00CA7676" w:rsidRPr="00E14EE6" w:rsidRDefault="00CA7676" w:rsidP="00E14EE6">
            <w:pPr>
              <w:jc w:val="right"/>
              <w:rPr>
                <w:rFonts w:eastAsia="Times New Roman" w:cs="Times New Roman"/>
                <w:color w:val="000000"/>
                <w:sz w:val="14"/>
                <w:szCs w:val="14"/>
              </w:rPr>
            </w:pPr>
            <w:r w:rsidRPr="00E14EE6">
              <w:rPr>
                <w:sz w:val="14"/>
              </w:rPr>
              <w:t>0.3</w:t>
            </w:r>
          </w:p>
        </w:tc>
        <w:tc>
          <w:tcPr>
            <w:tcW w:w="390" w:type="pct"/>
            <w:noWrap/>
            <w:hideMark/>
          </w:tcPr>
          <w:p w14:paraId="4BCDEBA6" w14:textId="77777777" w:rsidR="00CA7676" w:rsidRPr="00E14EE6" w:rsidRDefault="00CA7676" w:rsidP="00E14EE6">
            <w:pPr>
              <w:jc w:val="right"/>
              <w:rPr>
                <w:rFonts w:eastAsia="Times New Roman" w:cs="Times New Roman"/>
                <w:color w:val="000000"/>
                <w:sz w:val="14"/>
                <w:szCs w:val="14"/>
              </w:rPr>
            </w:pPr>
            <w:r w:rsidRPr="00E14EE6">
              <w:rPr>
                <w:sz w:val="14"/>
              </w:rPr>
              <w:t>0.1</w:t>
            </w:r>
          </w:p>
        </w:tc>
        <w:tc>
          <w:tcPr>
            <w:tcW w:w="390" w:type="pct"/>
            <w:noWrap/>
            <w:hideMark/>
          </w:tcPr>
          <w:p w14:paraId="35D61373" w14:textId="77777777" w:rsidR="00CA7676" w:rsidRPr="00E14EE6" w:rsidRDefault="00CA7676" w:rsidP="00E14EE6">
            <w:pPr>
              <w:jc w:val="right"/>
              <w:rPr>
                <w:rFonts w:eastAsia="Times New Roman" w:cs="Times New Roman"/>
                <w:sz w:val="14"/>
                <w:szCs w:val="14"/>
              </w:rPr>
            </w:pPr>
            <w:r w:rsidRPr="00E14EE6">
              <w:rPr>
                <w:sz w:val="14"/>
              </w:rPr>
              <w:t>0.0</w:t>
            </w:r>
          </w:p>
        </w:tc>
      </w:tr>
      <w:tr w:rsidR="00CA7676" w:rsidRPr="00E14EE6" w14:paraId="5D9BA0F6" w14:textId="77777777" w:rsidTr="00FD6B66">
        <w:trPr>
          <w:cnfStyle w:val="000000010000" w:firstRow="0" w:lastRow="0" w:firstColumn="0" w:lastColumn="0" w:oddVBand="0" w:evenVBand="0" w:oddHBand="0" w:evenHBand="1" w:firstRowFirstColumn="0" w:firstRowLastColumn="0" w:lastRowFirstColumn="0" w:lastRowLastColumn="0"/>
          <w:cantSplit/>
          <w:trHeight w:val="20"/>
        </w:trPr>
        <w:tc>
          <w:tcPr>
            <w:tcW w:w="1492" w:type="pct"/>
            <w:noWrap/>
            <w:hideMark/>
          </w:tcPr>
          <w:p w14:paraId="6A322C3B" w14:textId="77777777" w:rsidR="00CA7676" w:rsidRPr="00E14EE6" w:rsidRDefault="00CA7676" w:rsidP="00E14EE6">
            <w:pPr>
              <w:ind w:firstLineChars="100" w:firstLine="140"/>
              <w:jc w:val="left"/>
              <w:rPr>
                <w:rFonts w:eastAsia="Times New Roman" w:cs="Times New Roman"/>
                <w:sz w:val="14"/>
                <w:szCs w:val="14"/>
              </w:rPr>
            </w:pPr>
            <w:r w:rsidRPr="00E14EE6">
              <w:rPr>
                <w:sz w:val="14"/>
              </w:rPr>
              <w:t>Other revenue</w:t>
            </w:r>
          </w:p>
        </w:tc>
        <w:tc>
          <w:tcPr>
            <w:tcW w:w="389" w:type="pct"/>
            <w:noWrap/>
            <w:hideMark/>
          </w:tcPr>
          <w:p w14:paraId="21D7D1FD" w14:textId="77777777" w:rsidR="00CA7676" w:rsidRPr="00E14EE6" w:rsidRDefault="00CA7676" w:rsidP="00E14EE6">
            <w:pPr>
              <w:jc w:val="right"/>
              <w:rPr>
                <w:rFonts w:eastAsia="Times New Roman" w:cs="Times New Roman"/>
                <w:color w:val="000000"/>
                <w:sz w:val="14"/>
                <w:szCs w:val="14"/>
              </w:rPr>
            </w:pPr>
            <w:r w:rsidRPr="00E14EE6">
              <w:rPr>
                <w:sz w:val="14"/>
              </w:rPr>
              <w:t>0.7</w:t>
            </w:r>
          </w:p>
        </w:tc>
        <w:tc>
          <w:tcPr>
            <w:tcW w:w="390" w:type="pct"/>
            <w:noWrap/>
            <w:hideMark/>
          </w:tcPr>
          <w:p w14:paraId="6F9FA8BB" w14:textId="77777777" w:rsidR="00CA7676" w:rsidRPr="00E14EE6" w:rsidRDefault="00CA7676" w:rsidP="00E14EE6">
            <w:pPr>
              <w:jc w:val="right"/>
              <w:rPr>
                <w:rFonts w:eastAsia="Times New Roman" w:cs="Times New Roman"/>
                <w:color w:val="000000"/>
                <w:sz w:val="14"/>
                <w:szCs w:val="14"/>
              </w:rPr>
            </w:pPr>
            <w:r w:rsidRPr="00E14EE6">
              <w:rPr>
                <w:sz w:val="14"/>
              </w:rPr>
              <w:t>0.8</w:t>
            </w:r>
          </w:p>
        </w:tc>
        <w:tc>
          <w:tcPr>
            <w:tcW w:w="390" w:type="pct"/>
            <w:noWrap/>
            <w:hideMark/>
          </w:tcPr>
          <w:p w14:paraId="5B18F542" w14:textId="77777777" w:rsidR="00CA7676" w:rsidRPr="00E14EE6" w:rsidRDefault="00CA7676" w:rsidP="00E14EE6">
            <w:pPr>
              <w:jc w:val="right"/>
              <w:rPr>
                <w:rFonts w:eastAsia="Times New Roman" w:cs="Times New Roman"/>
                <w:color w:val="000000"/>
                <w:sz w:val="14"/>
                <w:szCs w:val="14"/>
              </w:rPr>
            </w:pPr>
            <w:r w:rsidRPr="00E14EE6">
              <w:rPr>
                <w:sz w:val="14"/>
              </w:rPr>
              <w:t>0.9</w:t>
            </w:r>
          </w:p>
        </w:tc>
        <w:tc>
          <w:tcPr>
            <w:tcW w:w="390" w:type="pct"/>
            <w:noWrap/>
            <w:hideMark/>
          </w:tcPr>
          <w:p w14:paraId="6785D165" w14:textId="77777777" w:rsidR="00CA7676" w:rsidRPr="00E14EE6" w:rsidRDefault="00CA7676" w:rsidP="00E14EE6">
            <w:pPr>
              <w:jc w:val="right"/>
              <w:rPr>
                <w:rFonts w:eastAsia="Times New Roman" w:cs="Times New Roman"/>
                <w:color w:val="000000"/>
                <w:sz w:val="14"/>
                <w:szCs w:val="14"/>
              </w:rPr>
            </w:pPr>
            <w:r w:rsidRPr="00E14EE6">
              <w:rPr>
                <w:sz w:val="14"/>
              </w:rPr>
              <w:t>0.9</w:t>
            </w:r>
          </w:p>
        </w:tc>
        <w:tc>
          <w:tcPr>
            <w:tcW w:w="390" w:type="pct"/>
            <w:noWrap/>
            <w:hideMark/>
          </w:tcPr>
          <w:p w14:paraId="13BF0987" w14:textId="77777777" w:rsidR="00CA7676" w:rsidRPr="00E14EE6" w:rsidRDefault="00CA7676" w:rsidP="00E14EE6">
            <w:pPr>
              <w:jc w:val="right"/>
              <w:rPr>
                <w:rFonts w:eastAsia="Times New Roman" w:cs="Times New Roman"/>
                <w:color w:val="000000"/>
                <w:sz w:val="14"/>
                <w:szCs w:val="14"/>
              </w:rPr>
            </w:pPr>
            <w:r w:rsidRPr="00E14EE6">
              <w:rPr>
                <w:sz w:val="14"/>
              </w:rPr>
              <w:t>1.1</w:t>
            </w:r>
          </w:p>
        </w:tc>
        <w:tc>
          <w:tcPr>
            <w:tcW w:w="390" w:type="pct"/>
            <w:noWrap/>
            <w:hideMark/>
          </w:tcPr>
          <w:p w14:paraId="22DD40DC" w14:textId="77777777" w:rsidR="00CA7676" w:rsidRPr="00E14EE6" w:rsidRDefault="00CA7676" w:rsidP="00E14EE6">
            <w:pPr>
              <w:jc w:val="right"/>
              <w:rPr>
                <w:rFonts w:eastAsia="Times New Roman" w:cs="Times New Roman"/>
                <w:color w:val="000000"/>
                <w:sz w:val="14"/>
                <w:szCs w:val="14"/>
              </w:rPr>
            </w:pPr>
            <w:r w:rsidRPr="00E14EE6">
              <w:rPr>
                <w:sz w:val="14"/>
              </w:rPr>
              <w:t>1.0</w:t>
            </w:r>
          </w:p>
        </w:tc>
        <w:tc>
          <w:tcPr>
            <w:tcW w:w="390" w:type="pct"/>
            <w:noWrap/>
            <w:hideMark/>
          </w:tcPr>
          <w:p w14:paraId="1D0DEFF8" w14:textId="77777777" w:rsidR="00CA7676" w:rsidRPr="00E14EE6" w:rsidRDefault="00CA7676" w:rsidP="00E14EE6">
            <w:pPr>
              <w:jc w:val="right"/>
              <w:rPr>
                <w:rFonts w:eastAsia="Times New Roman" w:cs="Times New Roman"/>
                <w:color w:val="000000"/>
                <w:sz w:val="14"/>
                <w:szCs w:val="14"/>
              </w:rPr>
            </w:pPr>
            <w:r w:rsidRPr="00E14EE6">
              <w:rPr>
                <w:sz w:val="14"/>
              </w:rPr>
              <w:t>1.4</w:t>
            </w:r>
          </w:p>
        </w:tc>
        <w:tc>
          <w:tcPr>
            <w:tcW w:w="390" w:type="pct"/>
            <w:noWrap/>
            <w:hideMark/>
          </w:tcPr>
          <w:p w14:paraId="3ABBD1D7" w14:textId="77777777" w:rsidR="00CA7676" w:rsidRPr="00E14EE6" w:rsidRDefault="00CA7676" w:rsidP="00E14EE6">
            <w:pPr>
              <w:jc w:val="right"/>
              <w:rPr>
                <w:rFonts w:eastAsia="Times New Roman" w:cs="Times New Roman"/>
                <w:color w:val="000000"/>
                <w:sz w:val="14"/>
                <w:szCs w:val="14"/>
              </w:rPr>
            </w:pPr>
            <w:r w:rsidRPr="00E14EE6">
              <w:rPr>
                <w:sz w:val="14"/>
              </w:rPr>
              <w:t>1.1</w:t>
            </w:r>
          </w:p>
        </w:tc>
        <w:tc>
          <w:tcPr>
            <w:tcW w:w="390" w:type="pct"/>
            <w:noWrap/>
            <w:hideMark/>
          </w:tcPr>
          <w:p w14:paraId="526DE94A" w14:textId="77777777" w:rsidR="00CA7676" w:rsidRPr="00E14EE6" w:rsidRDefault="00CA7676" w:rsidP="00E14EE6">
            <w:pPr>
              <w:jc w:val="right"/>
              <w:rPr>
                <w:rFonts w:eastAsia="Times New Roman" w:cs="Times New Roman"/>
                <w:sz w:val="14"/>
                <w:szCs w:val="14"/>
              </w:rPr>
            </w:pPr>
            <w:r w:rsidRPr="00E14EE6">
              <w:rPr>
                <w:sz w:val="14"/>
              </w:rPr>
              <w:t>1.2</w:t>
            </w:r>
          </w:p>
        </w:tc>
      </w:tr>
      <w:tr w:rsidR="00CA7676" w:rsidRPr="00E14EE6" w14:paraId="1ACE9F0D" w14:textId="77777777" w:rsidTr="00FD6B66">
        <w:trPr>
          <w:cantSplit/>
          <w:trHeight w:val="20"/>
        </w:trPr>
        <w:tc>
          <w:tcPr>
            <w:tcW w:w="1492" w:type="pct"/>
            <w:noWrap/>
            <w:hideMark/>
          </w:tcPr>
          <w:p w14:paraId="367AD87B" w14:textId="77777777" w:rsidR="00CA7676" w:rsidRPr="00E14EE6" w:rsidRDefault="00CA7676" w:rsidP="00E14EE6">
            <w:pPr>
              <w:jc w:val="left"/>
              <w:rPr>
                <w:rFonts w:eastAsia="Times New Roman" w:cs="Times New Roman"/>
                <w:b/>
                <w:bCs/>
                <w:sz w:val="14"/>
                <w:szCs w:val="14"/>
              </w:rPr>
            </w:pPr>
            <w:r w:rsidRPr="00E14EE6">
              <w:rPr>
                <w:b/>
                <w:sz w:val="14"/>
              </w:rPr>
              <w:t>Expenditure</w:t>
            </w:r>
          </w:p>
        </w:tc>
        <w:tc>
          <w:tcPr>
            <w:tcW w:w="389" w:type="pct"/>
            <w:noWrap/>
            <w:hideMark/>
          </w:tcPr>
          <w:p w14:paraId="21CFBBBB" w14:textId="77777777" w:rsidR="00CA7676" w:rsidRPr="00E14EE6" w:rsidRDefault="00CA7676" w:rsidP="00E14EE6">
            <w:pPr>
              <w:jc w:val="right"/>
              <w:rPr>
                <w:rFonts w:eastAsia="Times New Roman" w:cs="Times New Roman"/>
                <w:b/>
                <w:bCs/>
                <w:color w:val="000000"/>
                <w:sz w:val="14"/>
                <w:szCs w:val="14"/>
              </w:rPr>
            </w:pPr>
            <w:r w:rsidRPr="00E14EE6">
              <w:rPr>
                <w:b/>
                <w:sz w:val="14"/>
              </w:rPr>
              <w:t>15.0</w:t>
            </w:r>
          </w:p>
        </w:tc>
        <w:tc>
          <w:tcPr>
            <w:tcW w:w="390" w:type="pct"/>
            <w:noWrap/>
            <w:hideMark/>
          </w:tcPr>
          <w:p w14:paraId="3961AEA1" w14:textId="77777777" w:rsidR="00CA7676" w:rsidRPr="00E14EE6" w:rsidRDefault="00CA7676" w:rsidP="00E14EE6">
            <w:pPr>
              <w:jc w:val="right"/>
              <w:rPr>
                <w:rFonts w:eastAsia="Times New Roman" w:cs="Times New Roman"/>
                <w:b/>
                <w:bCs/>
                <w:color w:val="000000"/>
                <w:sz w:val="14"/>
                <w:szCs w:val="14"/>
              </w:rPr>
            </w:pPr>
            <w:r w:rsidRPr="00E14EE6">
              <w:rPr>
                <w:b/>
                <w:sz w:val="14"/>
              </w:rPr>
              <w:t>14.5</w:t>
            </w:r>
          </w:p>
        </w:tc>
        <w:tc>
          <w:tcPr>
            <w:tcW w:w="390" w:type="pct"/>
            <w:noWrap/>
            <w:hideMark/>
          </w:tcPr>
          <w:p w14:paraId="73752B14" w14:textId="77777777" w:rsidR="00CA7676" w:rsidRPr="00E14EE6" w:rsidRDefault="00CA7676" w:rsidP="00E14EE6">
            <w:pPr>
              <w:jc w:val="right"/>
              <w:rPr>
                <w:rFonts w:eastAsia="Times New Roman" w:cs="Times New Roman"/>
                <w:b/>
                <w:bCs/>
                <w:color w:val="000000"/>
                <w:sz w:val="14"/>
                <w:szCs w:val="14"/>
              </w:rPr>
            </w:pPr>
            <w:r w:rsidRPr="00E14EE6">
              <w:rPr>
                <w:b/>
                <w:sz w:val="14"/>
              </w:rPr>
              <w:t>15.2</w:t>
            </w:r>
          </w:p>
        </w:tc>
        <w:tc>
          <w:tcPr>
            <w:tcW w:w="390" w:type="pct"/>
            <w:noWrap/>
            <w:hideMark/>
          </w:tcPr>
          <w:p w14:paraId="7102A13D" w14:textId="77777777" w:rsidR="00CA7676" w:rsidRPr="00E14EE6" w:rsidRDefault="00CA7676" w:rsidP="00E14EE6">
            <w:pPr>
              <w:jc w:val="right"/>
              <w:rPr>
                <w:rFonts w:eastAsia="Times New Roman" w:cs="Times New Roman"/>
                <w:b/>
                <w:bCs/>
                <w:color w:val="000000"/>
                <w:sz w:val="14"/>
                <w:szCs w:val="14"/>
              </w:rPr>
            </w:pPr>
            <w:r w:rsidRPr="00E14EE6">
              <w:rPr>
                <w:b/>
                <w:sz w:val="14"/>
              </w:rPr>
              <w:t>15.6</w:t>
            </w:r>
          </w:p>
        </w:tc>
        <w:tc>
          <w:tcPr>
            <w:tcW w:w="390" w:type="pct"/>
            <w:noWrap/>
            <w:hideMark/>
          </w:tcPr>
          <w:p w14:paraId="0CF08E7C" w14:textId="77777777" w:rsidR="00CA7676" w:rsidRPr="00E14EE6" w:rsidRDefault="00CA7676" w:rsidP="00E14EE6">
            <w:pPr>
              <w:jc w:val="right"/>
              <w:rPr>
                <w:rFonts w:eastAsia="Times New Roman" w:cs="Times New Roman"/>
                <w:b/>
                <w:bCs/>
                <w:color w:val="000000"/>
                <w:sz w:val="14"/>
                <w:szCs w:val="14"/>
              </w:rPr>
            </w:pPr>
            <w:r w:rsidRPr="00E14EE6">
              <w:rPr>
                <w:b/>
                <w:sz w:val="14"/>
              </w:rPr>
              <w:t>15.0</w:t>
            </w:r>
          </w:p>
        </w:tc>
        <w:tc>
          <w:tcPr>
            <w:tcW w:w="390" w:type="pct"/>
            <w:noWrap/>
            <w:hideMark/>
          </w:tcPr>
          <w:p w14:paraId="0396DF20" w14:textId="77777777" w:rsidR="00CA7676" w:rsidRPr="00E14EE6" w:rsidRDefault="00CA7676" w:rsidP="00E14EE6">
            <w:pPr>
              <w:jc w:val="right"/>
              <w:rPr>
                <w:rFonts w:eastAsia="Times New Roman" w:cs="Times New Roman"/>
                <w:b/>
                <w:bCs/>
                <w:color w:val="000000"/>
                <w:sz w:val="14"/>
                <w:szCs w:val="14"/>
              </w:rPr>
            </w:pPr>
            <w:r w:rsidRPr="00E14EE6">
              <w:rPr>
                <w:b/>
                <w:sz w:val="14"/>
              </w:rPr>
              <w:t>15.2</w:t>
            </w:r>
          </w:p>
        </w:tc>
        <w:tc>
          <w:tcPr>
            <w:tcW w:w="390" w:type="pct"/>
            <w:noWrap/>
            <w:hideMark/>
          </w:tcPr>
          <w:p w14:paraId="4DFA8B51" w14:textId="77777777" w:rsidR="00CA7676" w:rsidRPr="00E14EE6" w:rsidRDefault="00CA7676" w:rsidP="00E14EE6">
            <w:pPr>
              <w:jc w:val="right"/>
              <w:rPr>
                <w:rFonts w:eastAsia="Times New Roman" w:cs="Times New Roman"/>
                <w:b/>
                <w:bCs/>
                <w:color w:val="000000"/>
                <w:sz w:val="14"/>
                <w:szCs w:val="14"/>
              </w:rPr>
            </w:pPr>
            <w:r w:rsidRPr="00E14EE6">
              <w:rPr>
                <w:b/>
                <w:sz w:val="14"/>
              </w:rPr>
              <w:t>20.8</w:t>
            </w:r>
          </w:p>
        </w:tc>
        <w:tc>
          <w:tcPr>
            <w:tcW w:w="390" w:type="pct"/>
            <w:noWrap/>
            <w:hideMark/>
          </w:tcPr>
          <w:p w14:paraId="1FBF8136" w14:textId="77777777" w:rsidR="00CA7676" w:rsidRPr="00E14EE6" w:rsidRDefault="00CA7676" w:rsidP="00E14EE6">
            <w:pPr>
              <w:jc w:val="right"/>
              <w:rPr>
                <w:rFonts w:eastAsia="Times New Roman" w:cs="Times New Roman"/>
                <w:b/>
                <w:bCs/>
                <w:color w:val="000000"/>
                <w:sz w:val="14"/>
                <w:szCs w:val="14"/>
              </w:rPr>
            </w:pPr>
            <w:r w:rsidRPr="00E14EE6">
              <w:rPr>
                <w:b/>
                <w:sz w:val="14"/>
              </w:rPr>
              <w:t>17.1</w:t>
            </w:r>
          </w:p>
        </w:tc>
        <w:tc>
          <w:tcPr>
            <w:tcW w:w="390" w:type="pct"/>
            <w:noWrap/>
            <w:hideMark/>
          </w:tcPr>
          <w:p w14:paraId="10CCC5D8" w14:textId="77777777" w:rsidR="00CA7676" w:rsidRPr="00E14EE6" w:rsidRDefault="00CA7676" w:rsidP="00E14EE6">
            <w:pPr>
              <w:jc w:val="right"/>
              <w:rPr>
                <w:rFonts w:eastAsia="Times New Roman" w:cs="Times New Roman"/>
                <w:b/>
                <w:bCs/>
                <w:sz w:val="14"/>
                <w:szCs w:val="14"/>
              </w:rPr>
            </w:pPr>
            <w:r w:rsidRPr="00E14EE6">
              <w:rPr>
                <w:b/>
                <w:sz w:val="14"/>
              </w:rPr>
              <w:t>15.8</w:t>
            </w:r>
          </w:p>
        </w:tc>
      </w:tr>
      <w:tr w:rsidR="00CA7676" w:rsidRPr="00E14EE6" w14:paraId="2D248933" w14:textId="77777777" w:rsidTr="00FD6B66">
        <w:trPr>
          <w:cnfStyle w:val="000000010000" w:firstRow="0" w:lastRow="0" w:firstColumn="0" w:lastColumn="0" w:oddVBand="0" w:evenVBand="0" w:oddHBand="0" w:evenHBand="1" w:firstRowFirstColumn="0" w:firstRowLastColumn="0" w:lastRowFirstColumn="0" w:lastRowLastColumn="0"/>
          <w:cantSplit/>
          <w:trHeight w:val="20"/>
        </w:trPr>
        <w:tc>
          <w:tcPr>
            <w:tcW w:w="1492" w:type="pct"/>
            <w:noWrap/>
            <w:hideMark/>
          </w:tcPr>
          <w:p w14:paraId="03B87651" w14:textId="50DCFE48" w:rsidR="00CA7676" w:rsidRPr="00E14EE6" w:rsidRDefault="00CA7676" w:rsidP="00E14EE6">
            <w:pPr>
              <w:ind w:firstLineChars="100" w:firstLine="140"/>
              <w:jc w:val="left"/>
              <w:rPr>
                <w:rFonts w:eastAsia="Times New Roman" w:cs="Times New Roman"/>
                <w:sz w:val="14"/>
                <w:szCs w:val="14"/>
              </w:rPr>
            </w:pPr>
            <w:r w:rsidRPr="00E14EE6">
              <w:rPr>
                <w:sz w:val="14"/>
              </w:rPr>
              <w:t>Compensation of employees</w:t>
            </w:r>
          </w:p>
        </w:tc>
        <w:tc>
          <w:tcPr>
            <w:tcW w:w="389" w:type="pct"/>
            <w:noWrap/>
            <w:hideMark/>
          </w:tcPr>
          <w:p w14:paraId="569FA491" w14:textId="77777777" w:rsidR="00CA7676" w:rsidRPr="00E14EE6" w:rsidRDefault="00CA7676" w:rsidP="00E14EE6">
            <w:pPr>
              <w:jc w:val="right"/>
              <w:rPr>
                <w:rFonts w:eastAsia="Times New Roman" w:cs="Times New Roman"/>
                <w:color w:val="000000"/>
                <w:sz w:val="14"/>
                <w:szCs w:val="14"/>
              </w:rPr>
            </w:pPr>
            <w:r w:rsidRPr="00E14EE6">
              <w:rPr>
                <w:sz w:val="14"/>
              </w:rPr>
              <w:t>4.3</w:t>
            </w:r>
          </w:p>
        </w:tc>
        <w:tc>
          <w:tcPr>
            <w:tcW w:w="390" w:type="pct"/>
            <w:noWrap/>
            <w:hideMark/>
          </w:tcPr>
          <w:p w14:paraId="45792FC8" w14:textId="77777777" w:rsidR="00CA7676" w:rsidRPr="00E14EE6" w:rsidRDefault="00CA7676" w:rsidP="00E14EE6">
            <w:pPr>
              <w:jc w:val="right"/>
              <w:rPr>
                <w:rFonts w:eastAsia="Times New Roman" w:cs="Times New Roman"/>
                <w:color w:val="000000"/>
                <w:sz w:val="14"/>
                <w:szCs w:val="14"/>
              </w:rPr>
            </w:pPr>
            <w:r w:rsidRPr="00E14EE6">
              <w:rPr>
                <w:sz w:val="14"/>
              </w:rPr>
              <w:t>4.8</w:t>
            </w:r>
          </w:p>
        </w:tc>
        <w:tc>
          <w:tcPr>
            <w:tcW w:w="390" w:type="pct"/>
            <w:noWrap/>
            <w:hideMark/>
          </w:tcPr>
          <w:p w14:paraId="552AF514" w14:textId="77777777" w:rsidR="00CA7676" w:rsidRPr="00E14EE6" w:rsidRDefault="00CA7676" w:rsidP="00E14EE6">
            <w:pPr>
              <w:jc w:val="right"/>
              <w:rPr>
                <w:rFonts w:eastAsia="Times New Roman" w:cs="Times New Roman"/>
                <w:color w:val="000000"/>
                <w:sz w:val="14"/>
                <w:szCs w:val="14"/>
              </w:rPr>
            </w:pPr>
            <w:r w:rsidRPr="00E14EE6">
              <w:rPr>
                <w:sz w:val="14"/>
              </w:rPr>
              <w:t>4.3</w:t>
            </w:r>
          </w:p>
        </w:tc>
        <w:tc>
          <w:tcPr>
            <w:tcW w:w="390" w:type="pct"/>
            <w:noWrap/>
            <w:hideMark/>
          </w:tcPr>
          <w:p w14:paraId="6C08EFE8" w14:textId="77777777" w:rsidR="00CA7676" w:rsidRPr="00E14EE6" w:rsidRDefault="00CA7676" w:rsidP="00E14EE6">
            <w:pPr>
              <w:jc w:val="right"/>
              <w:rPr>
                <w:rFonts w:eastAsia="Times New Roman" w:cs="Times New Roman"/>
                <w:color w:val="000000"/>
                <w:sz w:val="14"/>
                <w:szCs w:val="14"/>
              </w:rPr>
            </w:pPr>
            <w:r w:rsidRPr="00E14EE6">
              <w:rPr>
                <w:sz w:val="14"/>
              </w:rPr>
              <w:t>4.4</w:t>
            </w:r>
          </w:p>
        </w:tc>
        <w:tc>
          <w:tcPr>
            <w:tcW w:w="390" w:type="pct"/>
            <w:noWrap/>
            <w:hideMark/>
          </w:tcPr>
          <w:p w14:paraId="2DE889D9" w14:textId="77777777" w:rsidR="00CA7676" w:rsidRPr="00E14EE6" w:rsidRDefault="00CA7676" w:rsidP="00E14EE6">
            <w:pPr>
              <w:jc w:val="right"/>
              <w:rPr>
                <w:rFonts w:eastAsia="Times New Roman" w:cs="Times New Roman"/>
                <w:color w:val="000000"/>
                <w:sz w:val="14"/>
                <w:szCs w:val="14"/>
              </w:rPr>
            </w:pPr>
            <w:r w:rsidRPr="00E14EE6">
              <w:rPr>
                <w:sz w:val="14"/>
              </w:rPr>
              <w:t>4.5</w:t>
            </w:r>
          </w:p>
        </w:tc>
        <w:tc>
          <w:tcPr>
            <w:tcW w:w="390" w:type="pct"/>
            <w:noWrap/>
            <w:hideMark/>
          </w:tcPr>
          <w:p w14:paraId="4CFD1955" w14:textId="77777777" w:rsidR="00CA7676" w:rsidRPr="00E14EE6" w:rsidRDefault="00CA7676" w:rsidP="00E14EE6">
            <w:pPr>
              <w:jc w:val="right"/>
              <w:rPr>
                <w:rFonts w:eastAsia="Times New Roman" w:cs="Times New Roman"/>
                <w:color w:val="000000"/>
                <w:sz w:val="14"/>
                <w:szCs w:val="14"/>
              </w:rPr>
            </w:pPr>
            <w:r w:rsidRPr="00E14EE6">
              <w:rPr>
                <w:sz w:val="14"/>
              </w:rPr>
              <w:t>4.5</w:t>
            </w:r>
          </w:p>
        </w:tc>
        <w:tc>
          <w:tcPr>
            <w:tcW w:w="390" w:type="pct"/>
            <w:noWrap/>
            <w:hideMark/>
          </w:tcPr>
          <w:p w14:paraId="24C1A101" w14:textId="77777777" w:rsidR="00CA7676" w:rsidRPr="00E14EE6" w:rsidRDefault="00CA7676" w:rsidP="00E14EE6">
            <w:pPr>
              <w:jc w:val="right"/>
              <w:rPr>
                <w:rFonts w:eastAsia="Times New Roman" w:cs="Times New Roman"/>
                <w:color w:val="000000"/>
                <w:sz w:val="14"/>
                <w:szCs w:val="14"/>
              </w:rPr>
            </w:pPr>
            <w:r w:rsidRPr="00E14EE6">
              <w:rPr>
                <w:sz w:val="14"/>
              </w:rPr>
              <w:t>4.8</w:t>
            </w:r>
          </w:p>
        </w:tc>
        <w:tc>
          <w:tcPr>
            <w:tcW w:w="390" w:type="pct"/>
            <w:noWrap/>
            <w:hideMark/>
          </w:tcPr>
          <w:p w14:paraId="334A7603" w14:textId="77777777" w:rsidR="00CA7676" w:rsidRPr="00E14EE6" w:rsidRDefault="00CA7676" w:rsidP="00E14EE6">
            <w:pPr>
              <w:jc w:val="right"/>
              <w:rPr>
                <w:rFonts w:eastAsia="Times New Roman" w:cs="Times New Roman"/>
                <w:color w:val="000000"/>
                <w:sz w:val="14"/>
                <w:szCs w:val="14"/>
              </w:rPr>
            </w:pPr>
            <w:r w:rsidRPr="00E14EE6">
              <w:rPr>
                <w:sz w:val="14"/>
              </w:rPr>
              <w:t>4.4</w:t>
            </w:r>
          </w:p>
        </w:tc>
        <w:tc>
          <w:tcPr>
            <w:tcW w:w="390" w:type="pct"/>
            <w:noWrap/>
            <w:hideMark/>
          </w:tcPr>
          <w:p w14:paraId="4A9E11FA" w14:textId="77777777" w:rsidR="00CA7676" w:rsidRPr="00E14EE6" w:rsidRDefault="00CA7676" w:rsidP="00E14EE6">
            <w:pPr>
              <w:jc w:val="right"/>
              <w:rPr>
                <w:rFonts w:eastAsia="Times New Roman" w:cs="Times New Roman"/>
                <w:sz w:val="14"/>
                <w:szCs w:val="14"/>
              </w:rPr>
            </w:pPr>
            <w:r w:rsidRPr="00E14EE6">
              <w:rPr>
                <w:sz w:val="14"/>
              </w:rPr>
              <w:t>4.0</w:t>
            </w:r>
          </w:p>
        </w:tc>
      </w:tr>
      <w:tr w:rsidR="00CA7676" w:rsidRPr="00E14EE6" w14:paraId="1E624870" w14:textId="77777777" w:rsidTr="00FD6B66">
        <w:trPr>
          <w:cantSplit/>
          <w:trHeight w:val="20"/>
        </w:trPr>
        <w:tc>
          <w:tcPr>
            <w:tcW w:w="1492" w:type="pct"/>
            <w:noWrap/>
            <w:hideMark/>
          </w:tcPr>
          <w:p w14:paraId="6DB03A26" w14:textId="77777777" w:rsidR="00CA7676" w:rsidRPr="00E14EE6" w:rsidRDefault="00CA7676" w:rsidP="00E14EE6">
            <w:pPr>
              <w:ind w:firstLineChars="200" w:firstLine="280"/>
              <w:jc w:val="left"/>
              <w:rPr>
                <w:rFonts w:eastAsia="Times New Roman" w:cs="Times New Roman"/>
                <w:sz w:val="14"/>
                <w:szCs w:val="14"/>
              </w:rPr>
            </w:pPr>
            <w:r w:rsidRPr="00E14EE6">
              <w:rPr>
                <w:sz w:val="14"/>
              </w:rPr>
              <w:t>Wages and salaries</w:t>
            </w:r>
          </w:p>
        </w:tc>
        <w:tc>
          <w:tcPr>
            <w:tcW w:w="389" w:type="pct"/>
            <w:noWrap/>
            <w:hideMark/>
          </w:tcPr>
          <w:p w14:paraId="1CB3AEBB" w14:textId="77777777" w:rsidR="00CA7676" w:rsidRPr="00E14EE6" w:rsidRDefault="00CA7676" w:rsidP="00E14EE6">
            <w:pPr>
              <w:jc w:val="right"/>
              <w:rPr>
                <w:rFonts w:eastAsia="Times New Roman" w:cs="Times New Roman"/>
                <w:color w:val="000000"/>
                <w:sz w:val="14"/>
                <w:szCs w:val="14"/>
              </w:rPr>
            </w:pPr>
            <w:r w:rsidRPr="00E14EE6">
              <w:rPr>
                <w:sz w:val="14"/>
              </w:rPr>
              <w:t>3.9</w:t>
            </w:r>
          </w:p>
        </w:tc>
        <w:tc>
          <w:tcPr>
            <w:tcW w:w="390" w:type="pct"/>
            <w:noWrap/>
            <w:hideMark/>
          </w:tcPr>
          <w:p w14:paraId="3442F734" w14:textId="77777777" w:rsidR="00CA7676" w:rsidRPr="00E14EE6" w:rsidRDefault="00CA7676" w:rsidP="00E14EE6">
            <w:pPr>
              <w:jc w:val="right"/>
              <w:rPr>
                <w:rFonts w:eastAsia="Times New Roman" w:cs="Times New Roman"/>
                <w:color w:val="000000"/>
                <w:sz w:val="14"/>
                <w:szCs w:val="14"/>
              </w:rPr>
            </w:pPr>
            <w:r w:rsidRPr="00E14EE6">
              <w:rPr>
                <w:sz w:val="14"/>
              </w:rPr>
              <w:t>4.3</w:t>
            </w:r>
          </w:p>
        </w:tc>
        <w:tc>
          <w:tcPr>
            <w:tcW w:w="390" w:type="pct"/>
            <w:noWrap/>
            <w:hideMark/>
          </w:tcPr>
          <w:p w14:paraId="0812535F" w14:textId="77777777" w:rsidR="00CA7676" w:rsidRPr="00E14EE6" w:rsidRDefault="00CA7676" w:rsidP="00E14EE6">
            <w:pPr>
              <w:jc w:val="right"/>
              <w:rPr>
                <w:rFonts w:eastAsia="Times New Roman" w:cs="Times New Roman"/>
                <w:color w:val="000000"/>
                <w:sz w:val="14"/>
                <w:szCs w:val="14"/>
              </w:rPr>
            </w:pPr>
            <w:r w:rsidRPr="00E14EE6">
              <w:rPr>
                <w:sz w:val="14"/>
              </w:rPr>
              <w:t>3.9</w:t>
            </w:r>
          </w:p>
        </w:tc>
        <w:tc>
          <w:tcPr>
            <w:tcW w:w="390" w:type="pct"/>
            <w:noWrap/>
            <w:hideMark/>
          </w:tcPr>
          <w:p w14:paraId="42150FF2" w14:textId="77777777" w:rsidR="00CA7676" w:rsidRPr="00E14EE6" w:rsidRDefault="00CA7676" w:rsidP="00E14EE6">
            <w:pPr>
              <w:jc w:val="right"/>
              <w:rPr>
                <w:rFonts w:eastAsia="Times New Roman" w:cs="Times New Roman"/>
                <w:color w:val="000000"/>
                <w:sz w:val="14"/>
                <w:szCs w:val="14"/>
              </w:rPr>
            </w:pPr>
            <w:r w:rsidRPr="00E14EE6">
              <w:rPr>
                <w:sz w:val="14"/>
              </w:rPr>
              <w:t>3.9</w:t>
            </w:r>
          </w:p>
        </w:tc>
        <w:tc>
          <w:tcPr>
            <w:tcW w:w="390" w:type="pct"/>
            <w:noWrap/>
            <w:hideMark/>
          </w:tcPr>
          <w:p w14:paraId="3D1185BD" w14:textId="77777777" w:rsidR="00CA7676" w:rsidRPr="00E14EE6" w:rsidRDefault="00CA7676" w:rsidP="00E14EE6">
            <w:pPr>
              <w:jc w:val="right"/>
              <w:rPr>
                <w:rFonts w:eastAsia="Times New Roman" w:cs="Times New Roman"/>
                <w:color w:val="000000"/>
                <w:sz w:val="14"/>
                <w:szCs w:val="14"/>
              </w:rPr>
            </w:pPr>
            <w:r w:rsidRPr="00E14EE6">
              <w:rPr>
                <w:sz w:val="14"/>
              </w:rPr>
              <w:t>4.0</w:t>
            </w:r>
          </w:p>
        </w:tc>
        <w:tc>
          <w:tcPr>
            <w:tcW w:w="390" w:type="pct"/>
            <w:noWrap/>
            <w:hideMark/>
          </w:tcPr>
          <w:p w14:paraId="644480CB" w14:textId="77777777" w:rsidR="00CA7676" w:rsidRPr="00E14EE6" w:rsidRDefault="00CA7676" w:rsidP="00E14EE6">
            <w:pPr>
              <w:jc w:val="right"/>
              <w:rPr>
                <w:rFonts w:eastAsia="Times New Roman" w:cs="Times New Roman"/>
                <w:color w:val="000000"/>
                <w:sz w:val="14"/>
                <w:szCs w:val="14"/>
              </w:rPr>
            </w:pPr>
            <w:r w:rsidRPr="00E14EE6">
              <w:rPr>
                <w:sz w:val="14"/>
              </w:rPr>
              <w:t>4.0</w:t>
            </w:r>
          </w:p>
        </w:tc>
        <w:tc>
          <w:tcPr>
            <w:tcW w:w="390" w:type="pct"/>
            <w:noWrap/>
            <w:hideMark/>
          </w:tcPr>
          <w:p w14:paraId="330DE37C" w14:textId="77777777" w:rsidR="00CA7676" w:rsidRPr="00E14EE6" w:rsidRDefault="00CA7676" w:rsidP="00E14EE6">
            <w:pPr>
              <w:jc w:val="right"/>
              <w:rPr>
                <w:rFonts w:eastAsia="Times New Roman" w:cs="Times New Roman"/>
                <w:color w:val="000000"/>
                <w:sz w:val="14"/>
                <w:szCs w:val="14"/>
              </w:rPr>
            </w:pPr>
            <w:r w:rsidRPr="00E14EE6">
              <w:rPr>
                <w:sz w:val="14"/>
              </w:rPr>
              <w:t>4.3</w:t>
            </w:r>
          </w:p>
        </w:tc>
        <w:tc>
          <w:tcPr>
            <w:tcW w:w="390" w:type="pct"/>
            <w:noWrap/>
            <w:hideMark/>
          </w:tcPr>
          <w:p w14:paraId="36DCC990" w14:textId="77777777" w:rsidR="00CA7676" w:rsidRPr="00E14EE6" w:rsidRDefault="00CA7676" w:rsidP="00E14EE6">
            <w:pPr>
              <w:jc w:val="right"/>
              <w:rPr>
                <w:rFonts w:eastAsia="Times New Roman" w:cs="Times New Roman"/>
                <w:color w:val="000000"/>
                <w:sz w:val="14"/>
                <w:szCs w:val="14"/>
              </w:rPr>
            </w:pPr>
            <w:r w:rsidRPr="00E14EE6">
              <w:rPr>
                <w:sz w:val="14"/>
              </w:rPr>
              <w:t>3.9</w:t>
            </w:r>
          </w:p>
        </w:tc>
        <w:tc>
          <w:tcPr>
            <w:tcW w:w="390" w:type="pct"/>
            <w:noWrap/>
            <w:hideMark/>
          </w:tcPr>
          <w:p w14:paraId="4F2D7805" w14:textId="77777777" w:rsidR="00CA7676" w:rsidRPr="00E14EE6" w:rsidRDefault="00CA7676" w:rsidP="00E14EE6">
            <w:pPr>
              <w:jc w:val="right"/>
              <w:rPr>
                <w:rFonts w:eastAsia="Times New Roman" w:cs="Times New Roman"/>
                <w:sz w:val="14"/>
                <w:szCs w:val="14"/>
              </w:rPr>
            </w:pPr>
            <w:r w:rsidRPr="00E14EE6">
              <w:rPr>
                <w:sz w:val="14"/>
              </w:rPr>
              <w:t>3.5</w:t>
            </w:r>
          </w:p>
        </w:tc>
      </w:tr>
      <w:tr w:rsidR="00CA7676" w:rsidRPr="00E14EE6" w14:paraId="4ED14052" w14:textId="77777777" w:rsidTr="00FD6B66">
        <w:trPr>
          <w:cnfStyle w:val="000000010000" w:firstRow="0" w:lastRow="0" w:firstColumn="0" w:lastColumn="0" w:oddVBand="0" w:evenVBand="0" w:oddHBand="0" w:evenHBand="1" w:firstRowFirstColumn="0" w:firstRowLastColumn="0" w:lastRowFirstColumn="0" w:lastRowLastColumn="0"/>
          <w:cantSplit/>
          <w:trHeight w:val="20"/>
        </w:trPr>
        <w:tc>
          <w:tcPr>
            <w:tcW w:w="1492" w:type="pct"/>
            <w:noWrap/>
            <w:hideMark/>
          </w:tcPr>
          <w:p w14:paraId="3B81A463" w14:textId="77777777" w:rsidR="00CA7676" w:rsidRPr="00E14EE6" w:rsidRDefault="00CA7676" w:rsidP="00E14EE6">
            <w:pPr>
              <w:ind w:firstLineChars="200" w:firstLine="280"/>
              <w:jc w:val="left"/>
              <w:rPr>
                <w:rFonts w:eastAsia="Times New Roman" w:cs="Times New Roman"/>
                <w:sz w:val="14"/>
                <w:szCs w:val="14"/>
              </w:rPr>
            </w:pPr>
            <w:r w:rsidRPr="00E14EE6">
              <w:rPr>
                <w:sz w:val="14"/>
              </w:rPr>
              <w:t>Employers' social contributions</w:t>
            </w:r>
          </w:p>
        </w:tc>
        <w:tc>
          <w:tcPr>
            <w:tcW w:w="389" w:type="pct"/>
            <w:noWrap/>
            <w:hideMark/>
          </w:tcPr>
          <w:p w14:paraId="778C508A" w14:textId="77777777" w:rsidR="00CA7676" w:rsidRPr="00E14EE6" w:rsidRDefault="00CA7676" w:rsidP="00E14EE6">
            <w:pPr>
              <w:jc w:val="right"/>
              <w:rPr>
                <w:rFonts w:eastAsia="Times New Roman" w:cs="Times New Roman"/>
                <w:color w:val="000000"/>
                <w:sz w:val="14"/>
                <w:szCs w:val="14"/>
              </w:rPr>
            </w:pPr>
            <w:r w:rsidRPr="00E14EE6">
              <w:rPr>
                <w:sz w:val="14"/>
              </w:rPr>
              <w:t>0.4</w:t>
            </w:r>
          </w:p>
        </w:tc>
        <w:tc>
          <w:tcPr>
            <w:tcW w:w="390" w:type="pct"/>
            <w:noWrap/>
            <w:hideMark/>
          </w:tcPr>
          <w:p w14:paraId="5CFAB185" w14:textId="77777777" w:rsidR="00CA7676" w:rsidRPr="00E14EE6" w:rsidRDefault="00CA7676" w:rsidP="00E14EE6">
            <w:pPr>
              <w:jc w:val="right"/>
              <w:rPr>
                <w:rFonts w:eastAsia="Times New Roman" w:cs="Times New Roman"/>
                <w:color w:val="000000"/>
                <w:sz w:val="14"/>
                <w:szCs w:val="14"/>
              </w:rPr>
            </w:pPr>
            <w:r w:rsidRPr="00E14EE6">
              <w:rPr>
                <w:sz w:val="14"/>
              </w:rPr>
              <w:t>0.5</w:t>
            </w:r>
          </w:p>
        </w:tc>
        <w:tc>
          <w:tcPr>
            <w:tcW w:w="390" w:type="pct"/>
            <w:noWrap/>
            <w:hideMark/>
          </w:tcPr>
          <w:p w14:paraId="18793108" w14:textId="77777777" w:rsidR="00CA7676" w:rsidRPr="00E14EE6" w:rsidRDefault="00CA7676" w:rsidP="00E14EE6">
            <w:pPr>
              <w:jc w:val="right"/>
              <w:rPr>
                <w:rFonts w:eastAsia="Times New Roman" w:cs="Times New Roman"/>
                <w:color w:val="000000"/>
                <w:sz w:val="14"/>
                <w:szCs w:val="14"/>
              </w:rPr>
            </w:pPr>
            <w:r w:rsidRPr="00E14EE6">
              <w:rPr>
                <w:sz w:val="14"/>
              </w:rPr>
              <w:t>0.4</w:t>
            </w:r>
          </w:p>
        </w:tc>
        <w:tc>
          <w:tcPr>
            <w:tcW w:w="390" w:type="pct"/>
            <w:noWrap/>
            <w:hideMark/>
          </w:tcPr>
          <w:p w14:paraId="7C5AC117" w14:textId="77777777" w:rsidR="00CA7676" w:rsidRPr="00E14EE6" w:rsidRDefault="00CA7676" w:rsidP="00E14EE6">
            <w:pPr>
              <w:jc w:val="right"/>
              <w:rPr>
                <w:rFonts w:eastAsia="Times New Roman" w:cs="Times New Roman"/>
                <w:color w:val="000000"/>
                <w:sz w:val="14"/>
                <w:szCs w:val="14"/>
              </w:rPr>
            </w:pPr>
            <w:r w:rsidRPr="00E14EE6">
              <w:rPr>
                <w:sz w:val="14"/>
              </w:rPr>
              <w:t>0.5</w:t>
            </w:r>
          </w:p>
        </w:tc>
        <w:tc>
          <w:tcPr>
            <w:tcW w:w="390" w:type="pct"/>
            <w:noWrap/>
            <w:hideMark/>
          </w:tcPr>
          <w:p w14:paraId="40AE909B" w14:textId="77777777" w:rsidR="00CA7676" w:rsidRPr="00E14EE6" w:rsidRDefault="00CA7676" w:rsidP="00E14EE6">
            <w:pPr>
              <w:jc w:val="right"/>
              <w:rPr>
                <w:rFonts w:eastAsia="Times New Roman" w:cs="Times New Roman"/>
                <w:color w:val="000000"/>
                <w:sz w:val="14"/>
                <w:szCs w:val="14"/>
              </w:rPr>
            </w:pPr>
            <w:r w:rsidRPr="00E14EE6">
              <w:rPr>
                <w:sz w:val="14"/>
              </w:rPr>
              <w:t>0.5</w:t>
            </w:r>
          </w:p>
        </w:tc>
        <w:tc>
          <w:tcPr>
            <w:tcW w:w="390" w:type="pct"/>
            <w:noWrap/>
            <w:hideMark/>
          </w:tcPr>
          <w:p w14:paraId="03EE70E4" w14:textId="77777777" w:rsidR="00CA7676" w:rsidRPr="00E14EE6" w:rsidRDefault="00CA7676" w:rsidP="00E14EE6">
            <w:pPr>
              <w:jc w:val="right"/>
              <w:rPr>
                <w:rFonts w:eastAsia="Times New Roman" w:cs="Times New Roman"/>
                <w:color w:val="000000"/>
                <w:sz w:val="14"/>
                <w:szCs w:val="14"/>
              </w:rPr>
            </w:pPr>
            <w:r w:rsidRPr="00E14EE6">
              <w:rPr>
                <w:sz w:val="14"/>
              </w:rPr>
              <w:t>0.5</w:t>
            </w:r>
          </w:p>
        </w:tc>
        <w:tc>
          <w:tcPr>
            <w:tcW w:w="390" w:type="pct"/>
            <w:noWrap/>
            <w:hideMark/>
          </w:tcPr>
          <w:p w14:paraId="6D6D817D" w14:textId="77777777" w:rsidR="00CA7676" w:rsidRPr="00E14EE6" w:rsidRDefault="00CA7676" w:rsidP="00E14EE6">
            <w:pPr>
              <w:jc w:val="right"/>
              <w:rPr>
                <w:rFonts w:eastAsia="Times New Roman" w:cs="Times New Roman"/>
                <w:color w:val="000000"/>
                <w:sz w:val="14"/>
                <w:szCs w:val="14"/>
              </w:rPr>
            </w:pPr>
            <w:r w:rsidRPr="00E14EE6">
              <w:rPr>
                <w:sz w:val="14"/>
              </w:rPr>
              <w:t>0.5</w:t>
            </w:r>
          </w:p>
        </w:tc>
        <w:tc>
          <w:tcPr>
            <w:tcW w:w="390" w:type="pct"/>
            <w:noWrap/>
            <w:hideMark/>
          </w:tcPr>
          <w:p w14:paraId="1D0D8E20" w14:textId="77777777" w:rsidR="00CA7676" w:rsidRPr="00E14EE6" w:rsidRDefault="00CA7676" w:rsidP="00E14EE6">
            <w:pPr>
              <w:jc w:val="right"/>
              <w:rPr>
                <w:rFonts w:eastAsia="Times New Roman" w:cs="Times New Roman"/>
                <w:color w:val="000000"/>
                <w:sz w:val="14"/>
                <w:szCs w:val="14"/>
              </w:rPr>
            </w:pPr>
            <w:r w:rsidRPr="00E14EE6">
              <w:rPr>
                <w:sz w:val="14"/>
              </w:rPr>
              <w:t>0.5</w:t>
            </w:r>
          </w:p>
        </w:tc>
        <w:tc>
          <w:tcPr>
            <w:tcW w:w="390" w:type="pct"/>
            <w:noWrap/>
            <w:hideMark/>
          </w:tcPr>
          <w:p w14:paraId="2C1222E4" w14:textId="77777777" w:rsidR="00CA7676" w:rsidRPr="00E14EE6" w:rsidRDefault="00CA7676" w:rsidP="00E14EE6">
            <w:pPr>
              <w:jc w:val="right"/>
              <w:rPr>
                <w:rFonts w:eastAsia="Times New Roman" w:cs="Times New Roman"/>
                <w:sz w:val="14"/>
                <w:szCs w:val="14"/>
              </w:rPr>
            </w:pPr>
            <w:r w:rsidRPr="00E14EE6">
              <w:rPr>
                <w:sz w:val="14"/>
              </w:rPr>
              <w:t>0.5</w:t>
            </w:r>
          </w:p>
        </w:tc>
      </w:tr>
      <w:tr w:rsidR="00CA7676" w:rsidRPr="00E14EE6" w14:paraId="2A9EE07B" w14:textId="77777777" w:rsidTr="00FD6B66">
        <w:trPr>
          <w:cantSplit/>
          <w:trHeight w:val="20"/>
        </w:trPr>
        <w:tc>
          <w:tcPr>
            <w:tcW w:w="1492" w:type="pct"/>
            <w:noWrap/>
            <w:hideMark/>
          </w:tcPr>
          <w:p w14:paraId="4C9D6C2B" w14:textId="4913E5A6" w:rsidR="00CA7676" w:rsidRPr="00E14EE6" w:rsidRDefault="00CA7676" w:rsidP="00E14EE6">
            <w:pPr>
              <w:ind w:firstLineChars="100" w:firstLine="140"/>
              <w:jc w:val="left"/>
              <w:rPr>
                <w:rFonts w:eastAsia="Times New Roman" w:cs="Times New Roman"/>
                <w:sz w:val="14"/>
                <w:szCs w:val="14"/>
              </w:rPr>
            </w:pPr>
            <w:r w:rsidRPr="00E14EE6">
              <w:rPr>
                <w:sz w:val="14"/>
              </w:rPr>
              <w:t>Use of goods and services</w:t>
            </w:r>
          </w:p>
        </w:tc>
        <w:tc>
          <w:tcPr>
            <w:tcW w:w="389" w:type="pct"/>
            <w:noWrap/>
            <w:hideMark/>
          </w:tcPr>
          <w:p w14:paraId="4E4B9A6B" w14:textId="77777777" w:rsidR="00CA7676" w:rsidRPr="00E14EE6" w:rsidRDefault="00CA7676" w:rsidP="00E14EE6">
            <w:pPr>
              <w:jc w:val="right"/>
              <w:rPr>
                <w:rFonts w:eastAsia="Times New Roman" w:cs="Times New Roman"/>
                <w:color w:val="000000"/>
                <w:sz w:val="14"/>
                <w:szCs w:val="14"/>
              </w:rPr>
            </w:pPr>
            <w:r w:rsidRPr="00E14EE6">
              <w:rPr>
                <w:sz w:val="14"/>
              </w:rPr>
              <w:t>1.5</w:t>
            </w:r>
          </w:p>
        </w:tc>
        <w:tc>
          <w:tcPr>
            <w:tcW w:w="390" w:type="pct"/>
            <w:noWrap/>
            <w:hideMark/>
          </w:tcPr>
          <w:p w14:paraId="456FCAD2" w14:textId="77777777" w:rsidR="00CA7676" w:rsidRPr="00E14EE6" w:rsidRDefault="00CA7676" w:rsidP="00E14EE6">
            <w:pPr>
              <w:jc w:val="right"/>
              <w:rPr>
                <w:rFonts w:eastAsia="Times New Roman" w:cs="Times New Roman"/>
                <w:color w:val="000000"/>
                <w:sz w:val="14"/>
                <w:szCs w:val="14"/>
              </w:rPr>
            </w:pPr>
            <w:r w:rsidRPr="00E14EE6">
              <w:rPr>
                <w:sz w:val="14"/>
              </w:rPr>
              <w:t>1.5</w:t>
            </w:r>
          </w:p>
        </w:tc>
        <w:tc>
          <w:tcPr>
            <w:tcW w:w="390" w:type="pct"/>
            <w:noWrap/>
            <w:hideMark/>
          </w:tcPr>
          <w:p w14:paraId="6CC4ACDC" w14:textId="77777777" w:rsidR="00CA7676" w:rsidRPr="00E14EE6" w:rsidRDefault="00CA7676" w:rsidP="00E14EE6">
            <w:pPr>
              <w:jc w:val="right"/>
              <w:rPr>
                <w:rFonts w:eastAsia="Times New Roman" w:cs="Times New Roman"/>
                <w:color w:val="000000"/>
                <w:sz w:val="14"/>
                <w:szCs w:val="14"/>
              </w:rPr>
            </w:pPr>
            <w:r w:rsidRPr="00E14EE6">
              <w:rPr>
                <w:sz w:val="14"/>
              </w:rPr>
              <w:t>1.4</w:t>
            </w:r>
          </w:p>
        </w:tc>
        <w:tc>
          <w:tcPr>
            <w:tcW w:w="390" w:type="pct"/>
            <w:noWrap/>
            <w:hideMark/>
          </w:tcPr>
          <w:p w14:paraId="50285434" w14:textId="77777777" w:rsidR="00CA7676" w:rsidRPr="00E14EE6" w:rsidRDefault="00CA7676" w:rsidP="00E14EE6">
            <w:pPr>
              <w:jc w:val="right"/>
              <w:rPr>
                <w:rFonts w:eastAsia="Times New Roman" w:cs="Times New Roman"/>
                <w:color w:val="000000"/>
                <w:sz w:val="14"/>
                <w:szCs w:val="14"/>
              </w:rPr>
            </w:pPr>
            <w:r w:rsidRPr="00E14EE6">
              <w:rPr>
                <w:sz w:val="14"/>
              </w:rPr>
              <w:t>1.8</w:t>
            </w:r>
          </w:p>
        </w:tc>
        <w:tc>
          <w:tcPr>
            <w:tcW w:w="390" w:type="pct"/>
            <w:noWrap/>
            <w:hideMark/>
          </w:tcPr>
          <w:p w14:paraId="36333877" w14:textId="77777777" w:rsidR="00CA7676" w:rsidRPr="00E14EE6" w:rsidRDefault="00CA7676" w:rsidP="00E14EE6">
            <w:pPr>
              <w:jc w:val="right"/>
              <w:rPr>
                <w:rFonts w:eastAsia="Times New Roman" w:cs="Times New Roman"/>
                <w:color w:val="000000"/>
                <w:sz w:val="14"/>
                <w:szCs w:val="14"/>
              </w:rPr>
            </w:pPr>
            <w:r w:rsidRPr="00E14EE6">
              <w:rPr>
                <w:sz w:val="14"/>
              </w:rPr>
              <w:t>1.7</w:t>
            </w:r>
          </w:p>
        </w:tc>
        <w:tc>
          <w:tcPr>
            <w:tcW w:w="390" w:type="pct"/>
            <w:noWrap/>
            <w:hideMark/>
          </w:tcPr>
          <w:p w14:paraId="660A0472" w14:textId="77777777" w:rsidR="00CA7676" w:rsidRPr="00E14EE6" w:rsidRDefault="00CA7676" w:rsidP="00E14EE6">
            <w:pPr>
              <w:jc w:val="right"/>
              <w:rPr>
                <w:rFonts w:eastAsia="Times New Roman" w:cs="Times New Roman"/>
                <w:color w:val="000000"/>
                <w:sz w:val="14"/>
                <w:szCs w:val="14"/>
              </w:rPr>
            </w:pPr>
            <w:r w:rsidRPr="00E14EE6">
              <w:rPr>
                <w:sz w:val="14"/>
              </w:rPr>
              <w:t>1.9</w:t>
            </w:r>
          </w:p>
        </w:tc>
        <w:tc>
          <w:tcPr>
            <w:tcW w:w="390" w:type="pct"/>
            <w:noWrap/>
            <w:hideMark/>
          </w:tcPr>
          <w:p w14:paraId="295973BD" w14:textId="77777777" w:rsidR="00CA7676" w:rsidRPr="00E14EE6" w:rsidRDefault="00CA7676" w:rsidP="00E14EE6">
            <w:pPr>
              <w:jc w:val="right"/>
              <w:rPr>
                <w:rFonts w:eastAsia="Times New Roman" w:cs="Times New Roman"/>
                <w:color w:val="000000"/>
                <w:sz w:val="14"/>
                <w:szCs w:val="14"/>
              </w:rPr>
            </w:pPr>
            <w:r w:rsidRPr="00E14EE6">
              <w:rPr>
                <w:sz w:val="14"/>
              </w:rPr>
              <w:t>2.3</w:t>
            </w:r>
          </w:p>
        </w:tc>
        <w:tc>
          <w:tcPr>
            <w:tcW w:w="390" w:type="pct"/>
            <w:noWrap/>
            <w:hideMark/>
          </w:tcPr>
          <w:p w14:paraId="67B9E9D5" w14:textId="77777777" w:rsidR="00CA7676" w:rsidRPr="00E14EE6" w:rsidRDefault="00CA7676" w:rsidP="00E14EE6">
            <w:pPr>
              <w:jc w:val="right"/>
              <w:rPr>
                <w:rFonts w:eastAsia="Times New Roman" w:cs="Times New Roman"/>
                <w:color w:val="000000"/>
                <w:sz w:val="14"/>
                <w:szCs w:val="14"/>
              </w:rPr>
            </w:pPr>
            <w:r w:rsidRPr="00E14EE6">
              <w:rPr>
                <w:sz w:val="14"/>
              </w:rPr>
              <w:t>2.1</w:t>
            </w:r>
          </w:p>
        </w:tc>
        <w:tc>
          <w:tcPr>
            <w:tcW w:w="390" w:type="pct"/>
            <w:noWrap/>
            <w:hideMark/>
          </w:tcPr>
          <w:p w14:paraId="624C77DA" w14:textId="77777777" w:rsidR="00CA7676" w:rsidRPr="00E14EE6" w:rsidRDefault="00CA7676" w:rsidP="00E14EE6">
            <w:pPr>
              <w:jc w:val="right"/>
              <w:rPr>
                <w:rFonts w:eastAsia="Times New Roman" w:cs="Times New Roman"/>
                <w:sz w:val="14"/>
                <w:szCs w:val="14"/>
              </w:rPr>
            </w:pPr>
            <w:r w:rsidRPr="00E14EE6">
              <w:rPr>
                <w:sz w:val="14"/>
              </w:rPr>
              <w:t>1.4</w:t>
            </w:r>
          </w:p>
        </w:tc>
      </w:tr>
      <w:tr w:rsidR="00CA7676" w:rsidRPr="00E14EE6" w14:paraId="79D5E71A" w14:textId="77777777" w:rsidTr="00FD6B66">
        <w:trPr>
          <w:cnfStyle w:val="000000010000" w:firstRow="0" w:lastRow="0" w:firstColumn="0" w:lastColumn="0" w:oddVBand="0" w:evenVBand="0" w:oddHBand="0" w:evenHBand="1" w:firstRowFirstColumn="0" w:firstRowLastColumn="0" w:lastRowFirstColumn="0" w:lastRowLastColumn="0"/>
          <w:cantSplit/>
          <w:trHeight w:val="20"/>
        </w:trPr>
        <w:tc>
          <w:tcPr>
            <w:tcW w:w="1492" w:type="pct"/>
            <w:noWrap/>
            <w:hideMark/>
          </w:tcPr>
          <w:p w14:paraId="2C1692F2" w14:textId="1B5DF4D0" w:rsidR="00CA7676" w:rsidRPr="00E14EE6" w:rsidRDefault="00CA7676" w:rsidP="00E14EE6">
            <w:pPr>
              <w:ind w:firstLineChars="100" w:firstLine="140"/>
              <w:jc w:val="left"/>
              <w:rPr>
                <w:rFonts w:eastAsia="Times New Roman" w:cs="Times New Roman"/>
                <w:sz w:val="14"/>
                <w:szCs w:val="14"/>
              </w:rPr>
            </w:pPr>
            <w:r w:rsidRPr="00E14EE6">
              <w:rPr>
                <w:sz w:val="14"/>
              </w:rPr>
              <w:t>Interests</w:t>
            </w:r>
          </w:p>
        </w:tc>
        <w:tc>
          <w:tcPr>
            <w:tcW w:w="389" w:type="pct"/>
            <w:noWrap/>
            <w:hideMark/>
          </w:tcPr>
          <w:p w14:paraId="79101398" w14:textId="77777777" w:rsidR="00CA7676" w:rsidRPr="00E14EE6" w:rsidRDefault="00CA7676" w:rsidP="00E14EE6">
            <w:pPr>
              <w:jc w:val="right"/>
              <w:rPr>
                <w:rFonts w:eastAsia="Times New Roman" w:cs="Times New Roman"/>
                <w:color w:val="000000"/>
                <w:sz w:val="14"/>
                <w:szCs w:val="14"/>
              </w:rPr>
            </w:pPr>
            <w:r w:rsidRPr="00E14EE6">
              <w:rPr>
                <w:sz w:val="14"/>
              </w:rPr>
              <w:t>2.4</w:t>
            </w:r>
          </w:p>
        </w:tc>
        <w:tc>
          <w:tcPr>
            <w:tcW w:w="390" w:type="pct"/>
            <w:noWrap/>
            <w:hideMark/>
          </w:tcPr>
          <w:p w14:paraId="78CCAB92" w14:textId="77777777" w:rsidR="00CA7676" w:rsidRPr="00E14EE6" w:rsidRDefault="00CA7676" w:rsidP="00E14EE6">
            <w:pPr>
              <w:jc w:val="right"/>
              <w:rPr>
                <w:rFonts w:eastAsia="Times New Roman" w:cs="Times New Roman"/>
                <w:color w:val="000000"/>
                <w:sz w:val="14"/>
                <w:szCs w:val="14"/>
              </w:rPr>
            </w:pPr>
            <w:r w:rsidRPr="00E14EE6">
              <w:rPr>
                <w:sz w:val="14"/>
              </w:rPr>
              <w:t>2.3</w:t>
            </w:r>
          </w:p>
        </w:tc>
        <w:tc>
          <w:tcPr>
            <w:tcW w:w="390" w:type="pct"/>
            <w:noWrap/>
            <w:hideMark/>
          </w:tcPr>
          <w:p w14:paraId="5EDEFBE5" w14:textId="77777777" w:rsidR="00CA7676" w:rsidRPr="00E14EE6" w:rsidRDefault="00CA7676" w:rsidP="00E14EE6">
            <w:pPr>
              <w:jc w:val="right"/>
              <w:rPr>
                <w:rFonts w:eastAsia="Times New Roman" w:cs="Times New Roman"/>
                <w:color w:val="000000"/>
                <w:sz w:val="14"/>
                <w:szCs w:val="14"/>
              </w:rPr>
            </w:pPr>
            <w:r w:rsidRPr="00E14EE6">
              <w:rPr>
                <w:sz w:val="14"/>
              </w:rPr>
              <w:t>2.5</w:t>
            </w:r>
          </w:p>
        </w:tc>
        <w:tc>
          <w:tcPr>
            <w:tcW w:w="390" w:type="pct"/>
            <w:noWrap/>
            <w:hideMark/>
          </w:tcPr>
          <w:p w14:paraId="2B7263C6" w14:textId="77777777" w:rsidR="00CA7676" w:rsidRPr="00E14EE6" w:rsidRDefault="00CA7676" w:rsidP="00E14EE6">
            <w:pPr>
              <w:jc w:val="right"/>
              <w:rPr>
                <w:rFonts w:eastAsia="Times New Roman" w:cs="Times New Roman"/>
                <w:color w:val="000000"/>
                <w:sz w:val="14"/>
                <w:szCs w:val="14"/>
              </w:rPr>
            </w:pPr>
            <w:r w:rsidRPr="00E14EE6">
              <w:rPr>
                <w:sz w:val="14"/>
              </w:rPr>
              <w:t>2.5</w:t>
            </w:r>
          </w:p>
        </w:tc>
        <w:tc>
          <w:tcPr>
            <w:tcW w:w="390" w:type="pct"/>
            <w:noWrap/>
            <w:hideMark/>
          </w:tcPr>
          <w:p w14:paraId="5E6A65C4" w14:textId="77777777" w:rsidR="00CA7676" w:rsidRPr="00E14EE6" w:rsidRDefault="00CA7676" w:rsidP="00E14EE6">
            <w:pPr>
              <w:jc w:val="right"/>
              <w:rPr>
                <w:rFonts w:eastAsia="Times New Roman" w:cs="Times New Roman"/>
                <w:color w:val="000000"/>
                <w:sz w:val="14"/>
                <w:szCs w:val="14"/>
              </w:rPr>
            </w:pPr>
            <w:r w:rsidRPr="00E14EE6">
              <w:rPr>
                <w:sz w:val="14"/>
              </w:rPr>
              <w:t>2.6</w:t>
            </w:r>
          </w:p>
        </w:tc>
        <w:tc>
          <w:tcPr>
            <w:tcW w:w="390" w:type="pct"/>
            <w:noWrap/>
            <w:hideMark/>
          </w:tcPr>
          <w:p w14:paraId="32CEEAF1" w14:textId="77777777" w:rsidR="00CA7676" w:rsidRPr="00E14EE6" w:rsidRDefault="00CA7676" w:rsidP="00E14EE6">
            <w:pPr>
              <w:jc w:val="right"/>
              <w:rPr>
                <w:rFonts w:eastAsia="Times New Roman" w:cs="Times New Roman"/>
                <w:color w:val="000000"/>
                <w:sz w:val="14"/>
                <w:szCs w:val="14"/>
              </w:rPr>
            </w:pPr>
            <w:r w:rsidRPr="00E14EE6">
              <w:rPr>
                <w:sz w:val="14"/>
              </w:rPr>
              <w:t>2.7</w:t>
            </w:r>
          </w:p>
        </w:tc>
        <w:tc>
          <w:tcPr>
            <w:tcW w:w="390" w:type="pct"/>
            <w:noWrap/>
            <w:hideMark/>
          </w:tcPr>
          <w:p w14:paraId="4717F81E" w14:textId="77777777" w:rsidR="00CA7676" w:rsidRPr="00E14EE6" w:rsidRDefault="00CA7676" w:rsidP="00E14EE6">
            <w:pPr>
              <w:jc w:val="right"/>
              <w:rPr>
                <w:rFonts w:eastAsia="Times New Roman" w:cs="Times New Roman"/>
                <w:color w:val="000000"/>
                <w:sz w:val="14"/>
                <w:szCs w:val="14"/>
              </w:rPr>
            </w:pPr>
            <w:r w:rsidRPr="00E14EE6">
              <w:rPr>
                <w:sz w:val="14"/>
              </w:rPr>
              <w:t>3.2</w:t>
            </w:r>
          </w:p>
        </w:tc>
        <w:tc>
          <w:tcPr>
            <w:tcW w:w="390" w:type="pct"/>
            <w:noWrap/>
            <w:hideMark/>
          </w:tcPr>
          <w:p w14:paraId="7D966532" w14:textId="77777777" w:rsidR="00CA7676" w:rsidRPr="00E14EE6" w:rsidRDefault="00CA7676" w:rsidP="00E14EE6">
            <w:pPr>
              <w:jc w:val="right"/>
              <w:rPr>
                <w:rFonts w:eastAsia="Times New Roman" w:cs="Times New Roman"/>
                <w:color w:val="000000"/>
                <w:sz w:val="14"/>
                <w:szCs w:val="14"/>
              </w:rPr>
            </w:pPr>
            <w:r w:rsidRPr="00E14EE6">
              <w:rPr>
                <w:sz w:val="14"/>
              </w:rPr>
              <w:t>3.1</w:t>
            </w:r>
          </w:p>
        </w:tc>
        <w:tc>
          <w:tcPr>
            <w:tcW w:w="390" w:type="pct"/>
            <w:noWrap/>
            <w:hideMark/>
          </w:tcPr>
          <w:p w14:paraId="0DB52840" w14:textId="77777777" w:rsidR="00CA7676" w:rsidRPr="00E14EE6" w:rsidRDefault="00CA7676" w:rsidP="00E14EE6">
            <w:pPr>
              <w:jc w:val="right"/>
              <w:rPr>
                <w:rFonts w:eastAsia="Times New Roman" w:cs="Times New Roman"/>
                <w:sz w:val="14"/>
                <w:szCs w:val="14"/>
              </w:rPr>
            </w:pPr>
            <w:r w:rsidRPr="00E14EE6">
              <w:rPr>
                <w:sz w:val="14"/>
              </w:rPr>
              <w:t>4.0</w:t>
            </w:r>
          </w:p>
        </w:tc>
      </w:tr>
      <w:tr w:rsidR="00CA7676" w:rsidRPr="00E14EE6" w14:paraId="3150757C" w14:textId="77777777" w:rsidTr="00FD6B66">
        <w:trPr>
          <w:cantSplit/>
          <w:trHeight w:val="20"/>
        </w:trPr>
        <w:tc>
          <w:tcPr>
            <w:tcW w:w="1492" w:type="pct"/>
            <w:noWrap/>
            <w:hideMark/>
          </w:tcPr>
          <w:p w14:paraId="1E0FD811" w14:textId="28B773C3" w:rsidR="00CA7676" w:rsidRPr="00E14EE6" w:rsidRDefault="00CA7676" w:rsidP="00E14EE6">
            <w:pPr>
              <w:ind w:firstLineChars="200" w:firstLine="280"/>
              <w:jc w:val="left"/>
              <w:rPr>
                <w:rFonts w:eastAsia="Times New Roman" w:cs="Times New Roman"/>
                <w:sz w:val="14"/>
                <w:szCs w:val="14"/>
              </w:rPr>
            </w:pPr>
            <w:r w:rsidRPr="00E14EE6">
              <w:rPr>
                <w:sz w:val="14"/>
              </w:rPr>
              <w:t>To non</w:t>
            </w:r>
            <w:r w:rsidR="00E14EE6" w:rsidRPr="00E14EE6">
              <w:rPr>
                <w:sz w:val="14"/>
              </w:rPr>
              <w:noBreakHyphen/>
            </w:r>
            <w:r w:rsidRPr="00E14EE6">
              <w:rPr>
                <w:sz w:val="14"/>
              </w:rPr>
              <w:t>residents</w:t>
            </w:r>
          </w:p>
        </w:tc>
        <w:tc>
          <w:tcPr>
            <w:tcW w:w="389" w:type="pct"/>
            <w:noWrap/>
            <w:hideMark/>
          </w:tcPr>
          <w:p w14:paraId="60E0D552" w14:textId="77777777" w:rsidR="00CA7676" w:rsidRPr="00E14EE6" w:rsidRDefault="00CA7676" w:rsidP="00E14EE6">
            <w:pPr>
              <w:jc w:val="right"/>
              <w:rPr>
                <w:rFonts w:eastAsia="Times New Roman" w:cs="Times New Roman"/>
                <w:color w:val="000000"/>
                <w:sz w:val="14"/>
                <w:szCs w:val="14"/>
              </w:rPr>
            </w:pPr>
            <w:r w:rsidRPr="00E14EE6">
              <w:rPr>
                <w:sz w:val="14"/>
              </w:rPr>
              <w:t>0.9</w:t>
            </w:r>
          </w:p>
        </w:tc>
        <w:tc>
          <w:tcPr>
            <w:tcW w:w="390" w:type="pct"/>
            <w:noWrap/>
            <w:hideMark/>
          </w:tcPr>
          <w:p w14:paraId="2C64A021" w14:textId="77777777" w:rsidR="00CA7676" w:rsidRPr="00E14EE6" w:rsidRDefault="00CA7676" w:rsidP="00E14EE6">
            <w:pPr>
              <w:jc w:val="right"/>
              <w:rPr>
                <w:rFonts w:eastAsia="Times New Roman" w:cs="Times New Roman"/>
                <w:color w:val="000000"/>
                <w:sz w:val="14"/>
                <w:szCs w:val="14"/>
              </w:rPr>
            </w:pPr>
            <w:r w:rsidRPr="00E14EE6">
              <w:rPr>
                <w:sz w:val="14"/>
              </w:rPr>
              <w:t>1.0</w:t>
            </w:r>
          </w:p>
        </w:tc>
        <w:tc>
          <w:tcPr>
            <w:tcW w:w="390" w:type="pct"/>
            <w:noWrap/>
            <w:hideMark/>
          </w:tcPr>
          <w:p w14:paraId="2B5FD6B3" w14:textId="77777777" w:rsidR="00CA7676" w:rsidRPr="00E14EE6" w:rsidRDefault="00CA7676" w:rsidP="00E14EE6">
            <w:pPr>
              <w:jc w:val="right"/>
              <w:rPr>
                <w:rFonts w:eastAsia="Times New Roman" w:cs="Times New Roman"/>
                <w:color w:val="000000"/>
                <w:sz w:val="14"/>
                <w:szCs w:val="14"/>
              </w:rPr>
            </w:pPr>
            <w:r w:rsidRPr="00E14EE6">
              <w:rPr>
                <w:sz w:val="14"/>
              </w:rPr>
              <w:t>1.2</w:t>
            </w:r>
          </w:p>
        </w:tc>
        <w:tc>
          <w:tcPr>
            <w:tcW w:w="390" w:type="pct"/>
            <w:noWrap/>
            <w:hideMark/>
          </w:tcPr>
          <w:p w14:paraId="16BC5A29" w14:textId="77777777" w:rsidR="00CA7676" w:rsidRPr="00E14EE6" w:rsidRDefault="00CA7676" w:rsidP="00E14EE6">
            <w:pPr>
              <w:jc w:val="right"/>
              <w:rPr>
                <w:rFonts w:eastAsia="Times New Roman" w:cs="Times New Roman"/>
                <w:color w:val="000000"/>
                <w:sz w:val="14"/>
                <w:szCs w:val="14"/>
              </w:rPr>
            </w:pPr>
            <w:r w:rsidRPr="00E14EE6">
              <w:rPr>
                <w:sz w:val="14"/>
              </w:rPr>
              <w:t>1.2</w:t>
            </w:r>
          </w:p>
        </w:tc>
        <w:tc>
          <w:tcPr>
            <w:tcW w:w="390" w:type="pct"/>
            <w:noWrap/>
            <w:hideMark/>
          </w:tcPr>
          <w:p w14:paraId="52DB9529" w14:textId="77777777" w:rsidR="00CA7676" w:rsidRPr="00E14EE6" w:rsidRDefault="00CA7676" w:rsidP="00E14EE6">
            <w:pPr>
              <w:jc w:val="right"/>
              <w:rPr>
                <w:rFonts w:eastAsia="Times New Roman" w:cs="Times New Roman"/>
                <w:color w:val="000000"/>
                <w:sz w:val="14"/>
                <w:szCs w:val="14"/>
              </w:rPr>
            </w:pPr>
            <w:r w:rsidRPr="00E14EE6">
              <w:rPr>
                <w:sz w:val="14"/>
              </w:rPr>
              <w:t>1.3</w:t>
            </w:r>
          </w:p>
        </w:tc>
        <w:tc>
          <w:tcPr>
            <w:tcW w:w="390" w:type="pct"/>
            <w:noWrap/>
            <w:hideMark/>
          </w:tcPr>
          <w:p w14:paraId="4CF61D8F" w14:textId="77777777" w:rsidR="00CA7676" w:rsidRPr="00E14EE6" w:rsidRDefault="00CA7676" w:rsidP="00E14EE6">
            <w:pPr>
              <w:jc w:val="right"/>
              <w:rPr>
                <w:rFonts w:eastAsia="Times New Roman" w:cs="Times New Roman"/>
                <w:color w:val="000000"/>
                <w:sz w:val="14"/>
                <w:szCs w:val="14"/>
              </w:rPr>
            </w:pPr>
            <w:r w:rsidRPr="00E14EE6">
              <w:rPr>
                <w:sz w:val="14"/>
              </w:rPr>
              <w:t>1.5</w:t>
            </w:r>
          </w:p>
        </w:tc>
        <w:tc>
          <w:tcPr>
            <w:tcW w:w="390" w:type="pct"/>
            <w:noWrap/>
            <w:hideMark/>
          </w:tcPr>
          <w:p w14:paraId="18D8E4B9" w14:textId="77777777" w:rsidR="00CA7676" w:rsidRPr="00E14EE6" w:rsidRDefault="00CA7676" w:rsidP="00E14EE6">
            <w:pPr>
              <w:jc w:val="right"/>
              <w:rPr>
                <w:rFonts w:eastAsia="Times New Roman" w:cs="Times New Roman"/>
                <w:color w:val="000000"/>
                <w:sz w:val="14"/>
                <w:szCs w:val="14"/>
              </w:rPr>
            </w:pPr>
            <w:r w:rsidRPr="00E14EE6">
              <w:rPr>
                <w:sz w:val="14"/>
              </w:rPr>
              <w:t>1.7</w:t>
            </w:r>
          </w:p>
        </w:tc>
        <w:tc>
          <w:tcPr>
            <w:tcW w:w="390" w:type="pct"/>
            <w:noWrap/>
            <w:hideMark/>
          </w:tcPr>
          <w:p w14:paraId="53CB44A7" w14:textId="77777777" w:rsidR="00CA7676" w:rsidRPr="00E14EE6" w:rsidRDefault="00CA7676" w:rsidP="00E14EE6">
            <w:pPr>
              <w:jc w:val="right"/>
              <w:rPr>
                <w:rFonts w:eastAsia="Times New Roman" w:cs="Times New Roman"/>
                <w:color w:val="000000"/>
                <w:sz w:val="14"/>
                <w:szCs w:val="14"/>
              </w:rPr>
            </w:pPr>
            <w:r w:rsidRPr="00E14EE6">
              <w:rPr>
                <w:sz w:val="14"/>
              </w:rPr>
              <w:t>1.7</w:t>
            </w:r>
          </w:p>
        </w:tc>
        <w:tc>
          <w:tcPr>
            <w:tcW w:w="390" w:type="pct"/>
            <w:noWrap/>
            <w:hideMark/>
          </w:tcPr>
          <w:p w14:paraId="3815A465" w14:textId="77777777" w:rsidR="00CA7676" w:rsidRPr="00E14EE6" w:rsidRDefault="00CA7676" w:rsidP="00E14EE6">
            <w:pPr>
              <w:jc w:val="right"/>
              <w:rPr>
                <w:rFonts w:eastAsia="Times New Roman" w:cs="Times New Roman"/>
                <w:sz w:val="14"/>
                <w:szCs w:val="14"/>
              </w:rPr>
            </w:pPr>
            <w:r w:rsidRPr="00E14EE6">
              <w:rPr>
                <w:sz w:val="14"/>
              </w:rPr>
              <w:t>2.4</w:t>
            </w:r>
          </w:p>
        </w:tc>
      </w:tr>
      <w:tr w:rsidR="00CA7676" w:rsidRPr="00E14EE6" w14:paraId="287C3768" w14:textId="77777777" w:rsidTr="00FD6B66">
        <w:trPr>
          <w:cnfStyle w:val="000000010000" w:firstRow="0" w:lastRow="0" w:firstColumn="0" w:lastColumn="0" w:oddVBand="0" w:evenVBand="0" w:oddHBand="0" w:evenHBand="1" w:firstRowFirstColumn="0" w:firstRowLastColumn="0" w:lastRowFirstColumn="0" w:lastRowLastColumn="0"/>
          <w:cantSplit/>
          <w:trHeight w:val="20"/>
        </w:trPr>
        <w:tc>
          <w:tcPr>
            <w:tcW w:w="1492" w:type="pct"/>
            <w:noWrap/>
            <w:hideMark/>
          </w:tcPr>
          <w:p w14:paraId="76B7D1C3" w14:textId="77777777" w:rsidR="00CA7676" w:rsidRPr="00E14EE6" w:rsidRDefault="00CA7676" w:rsidP="00E14EE6">
            <w:pPr>
              <w:ind w:firstLineChars="200" w:firstLine="280"/>
              <w:jc w:val="left"/>
              <w:rPr>
                <w:rFonts w:eastAsia="Times New Roman" w:cs="Times New Roman"/>
                <w:sz w:val="14"/>
                <w:szCs w:val="14"/>
              </w:rPr>
            </w:pPr>
            <w:r w:rsidRPr="00E14EE6">
              <w:rPr>
                <w:sz w:val="14"/>
              </w:rPr>
              <w:t>To residents</w:t>
            </w:r>
          </w:p>
        </w:tc>
        <w:tc>
          <w:tcPr>
            <w:tcW w:w="389" w:type="pct"/>
            <w:noWrap/>
            <w:hideMark/>
          </w:tcPr>
          <w:p w14:paraId="04F71D21" w14:textId="77777777" w:rsidR="00CA7676" w:rsidRPr="00E14EE6" w:rsidRDefault="00CA7676" w:rsidP="00E14EE6">
            <w:pPr>
              <w:jc w:val="right"/>
              <w:rPr>
                <w:rFonts w:eastAsia="Times New Roman" w:cs="Times New Roman"/>
                <w:color w:val="000000"/>
                <w:sz w:val="14"/>
                <w:szCs w:val="14"/>
              </w:rPr>
            </w:pPr>
            <w:r w:rsidRPr="00E14EE6">
              <w:rPr>
                <w:sz w:val="14"/>
              </w:rPr>
              <w:t>1.5</w:t>
            </w:r>
          </w:p>
        </w:tc>
        <w:tc>
          <w:tcPr>
            <w:tcW w:w="390" w:type="pct"/>
            <w:noWrap/>
            <w:hideMark/>
          </w:tcPr>
          <w:p w14:paraId="1725350F" w14:textId="77777777" w:rsidR="00CA7676" w:rsidRPr="00E14EE6" w:rsidRDefault="00CA7676" w:rsidP="00E14EE6">
            <w:pPr>
              <w:jc w:val="right"/>
              <w:rPr>
                <w:rFonts w:eastAsia="Times New Roman" w:cs="Times New Roman"/>
                <w:color w:val="000000"/>
                <w:sz w:val="14"/>
                <w:szCs w:val="14"/>
              </w:rPr>
            </w:pPr>
            <w:r w:rsidRPr="00E14EE6">
              <w:rPr>
                <w:sz w:val="14"/>
              </w:rPr>
              <w:t>1.3</w:t>
            </w:r>
          </w:p>
        </w:tc>
        <w:tc>
          <w:tcPr>
            <w:tcW w:w="390" w:type="pct"/>
            <w:noWrap/>
            <w:hideMark/>
          </w:tcPr>
          <w:p w14:paraId="09715186" w14:textId="77777777" w:rsidR="00CA7676" w:rsidRPr="00E14EE6" w:rsidRDefault="00CA7676" w:rsidP="00E14EE6">
            <w:pPr>
              <w:jc w:val="right"/>
              <w:rPr>
                <w:rFonts w:eastAsia="Times New Roman" w:cs="Times New Roman"/>
                <w:color w:val="000000"/>
                <w:sz w:val="14"/>
                <w:szCs w:val="14"/>
              </w:rPr>
            </w:pPr>
            <w:r w:rsidRPr="00E14EE6">
              <w:rPr>
                <w:sz w:val="14"/>
              </w:rPr>
              <w:t>1.4</w:t>
            </w:r>
          </w:p>
        </w:tc>
        <w:tc>
          <w:tcPr>
            <w:tcW w:w="390" w:type="pct"/>
            <w:noWrap/>
            <w:hideMark/>
          </w:tcPr>
          <w:p w14:paraId="5B5149AF" w14:textId="77777777" w:rsidR="00CA7676" w:rsidRPr="00E14EE6" w:rsidRDefault="00CA7676" w:rsidP="00E14EE6">
            <w:pPr>
              <w:jc w:val="right"/>
              <w:rPr>
                <w:rFonts w:eastAsia="Times New Roman" w:cs="Times New Roman"/>
                <w:color w:val="000000"/>
                <w:sz w:val="14"/>
                <w:szCs w:val="14"/>
              </w:rPr>
            </w:pPr>
            <w:r w:rsidRPr="00E14EE6">
              <w:rPr>
                <w:sz w:val="14"/>
              </w:rPr>
              <w:t>1.3</w:t>
            </w:r>
          </w:p>
        </w:tc>
        <w:tc>
          <w:tcPr>
            <w:tcW w:w="390" w:type="pct"/>
            <w:noWrap/>
            <w:hideMark/>
          </w:tcPr>
          <w:p w14:paraId="5884ADC4" w14:textId="77777777" w:rsidR="00CA7676" w:rsidRPr="00E14EE6" w:rsidRDefault="00CA7676" w:rsidP="00E14EE6">
            <w:pPr>
              <w:jc w:val="right"/>
              <w:rPr>
                <w:rFonts w:eastAsia="Times New Roman" w:cs="Times New Roman"/>
                <w:color w:val="000000"/>
                <w:sz w:val="14"/>
                <w:szCs w:val="14"/>
              </w:rPr>
            </w:pPr>
            <w:r w:rsidRPr="00E14EE6">
              <w:rPr>
                <w:sz w:val="14"/>
              </w:rPr>
              <w:t>1.3</w:t>
            </w:r>
          </w:p>
        </w:tc>
        <w:tc>
          <w:tcPr>
            <w:tcW w:w="390" w:type="pct"/>
            <w:noWrap/>
            <w:hideMark/>
          </w:tcPr>
          <w:p w14:paraId="750B2752" w14:textId="77777777" w:rsidR="00CA7676" w:rsidRPr="00E14EE6" w:rsidRDefault="00CA7676" w:rsidP="00E14EE6">
            <w:pPr>
              <w:jc w:val="right"/>
              <w:rPr>
                <w:rFonts w:eastAsia="Times New Roman" w:cs="Times New Roman"/>
                <w:color w:val="000000"/>
                <w:sz w:val="14"/>
                <w:szCs w:val="14"/>
              </w:rPr>
            </w:pPr>
            <w:r w:rsidRPr="00E14EE6">
              <w:rPr>
                <w:sz w:val="14"/>
              </w:rPr>
              <w:t>1.3</w:t>
            </w:r>
          </w:p>
        </w:tc>
        <w:tc>
          <w:tcPr>
            <w:tcW w:w="390" w:type="pct"/>
            <w:noWrap/>
            <w:hideMark/>
          </w:tcPr>
          <w:p w14:paraId="47F05CF0" w14:textId="77777777" w:rsidR="00CA7676" w:rsidRPr="00E14EE6" w:rsidRDefault="00CA7676" w:rsidP="00E14EE6">
            <w:pPr>
              <w:jc w:val="right"/>
              <w:rPr>
                <w:rFonts w:eastAsia="Times New Roman" w:cs="Times New Roman"/>
                <w:color w:val="000000"/>
                <w:sz w:val="14"/>
                <w:szCs w:val="14"/>
              </w:rPr>
            </w:pPr>
            <w:r w:rsidRPr="00E14EE6">
              <w:rPr>
                <w:sz w:val="14"/>
              </w:rPr>
              <w:t>1.5</w:t>
            </w:r>
          </w:p>
        </w:tc>
        <w:tc>
          <w:tcPr>
            <w:tcW w:w="390" w:type="pct"/>
            <w:noWrap/>
            <w:hideMark/>
          </w:tcPr>
          <w:p w14:paraId="6B2A4F9B" w14:textId="77777777" w:rsidR="00CA7676" w:rsidRPr="00E14EE6" w:rsidRDefault="00CA7676" w:rsidP="00E14EE6">
            <w:pPr>
              <w:jc w:val="right"/>
              <w:rPr>
                <w:rFonts w:eastAsia="Times New Roman" w:cs="Times New Roman"/>
                <w:color w:val="000000"/>
                <w:sz w:val="14"/>
                <w:szCs w:val="14"/>
              </w:rPr>
            </w:pPr>
            <w:r w:rsidRPr="00E14EE6">
              <w:rPr>
                <w:sz w:val="14"/>
              </w:rPr>
              <w:t>1.4</w:t>
            </w:r>
          </w:p>
        </w:tc>
        <w:tc>
          <w:tcPr>
            <w:tcW w:w="390" w:type="pct"/>
            <w:noWrap/>
            <w:hideMark/>
          </w:tcPr>
          <w:p w14:paraId="513CE724" w14:textId="77777777" w:rsidR="00CA7676" w:rsidRPr="00E14EE6" w:rsidRDefault="00CA7676" w:rsidP="00E14EE6">
            <w:pPr>
              <w:jc w:val="right"/>
              <w:rPr>
                <w:rFonts w:eastAsia="Times New Roman" w:cs="Times New Roman"/>
                <w:sz w:val="14"/>
                <w:szCs w:val="14"/>
              </w:rPr>
            </w:pPr>
            <w:r w:rsidRPr="00E14EE6">
              <w:rPr>
                <w:sz w:val="14"/>
              </w:rPr>
              <w:t>1.5</w:t>
            </w:r>
          </w:p>
        </w:tc>
      </w:tr>
      <w:tr w:rsidR="00CA7676" w:rsidRPr="00E14EE6" w14:paraId="611AD07F" w14:textId="77777777" w:rsidTr="00FD6B66">
        <w:trPr>
          <w:cantSplit/>
          <w:trHeight w:val="20"/>
        </w:trPr>
        <w:tc>
          <w:tcPr>
            <w:tcW w:w="1492" w:type="pct"/>
            <w:noWrap/>
            <w:hideMark/>
          </w:tcPr>
          <w:p w14:paraId="406656C4" w14:textId="4319B4EC" w:rsidR="00CA7676" w:rsidRPr="00E14EE6" w:rsidRDefault="00CA7676" w:rsidP="00E14EE6">
            <w:pPr>
              <w:ind w:firstLineChars="300" w:firstLine="420"/>
              <w:jc w:val="left"/>
              <w:rPr>
                <w:rFonts w:eastAsia="Times New Roman" w:cs="Times New Roman"/>
                <w:sz w:val="14"/>
                <w:szCs w:val="14"/>
              </w:rPr>
            </w:pPr>
            <w:r w:rsidRPr="00E14EE6">
              <w:rPr>
                <w:sz w:val="14"/>
              </w:rPr>
              <w:t>including</w:t>
            </w:r>
            <w:r w:rsidR="00E14EE6" w:rsidRPr="00E14EE6">
              <w:rPr>
                <w:sz w:val="14"/>
              </w:rPr>
              <w:t>: C</w:t>
            </w:r>
            <w:r w:rsidRPr="00E14EE6">
              <w:rPr>
                <w:sz w:val="14"/>
              </w:rPr>
              <w:t xml:space="preserve">entral Bank capitalization </w:t>
            </w:r>
            <w:proofErr w:type="spellStart"/>
            <w:r w:rsidRPr="00E14EE6">
              <w:rPr>
                <w:sz w:val="14"/>
              </w:rPr>
              <w:t>bonds</w:t>
            </w:r>
            <w:r w:rsidRPr="00E14EE6">
              <w:rPr>
                <w:sz w:val="14"/>
                <w:vertAlign w:val="superscript"/>
              </w:rPr>
              <w:t>c</w:t>
            </w:r>
            <w:proofErr w:type="spellEnd"/>
          </w:p>
        </w:tc>
        <w:tc>
          <w:tcPr>
            <w:tcW w:w="389" w:type="pct"/>
            <w:noWrap/>
            <w:hideMark/>
          </w:tcPr>
          <w:p w14:paraId="311B69B5" w14:textId="77777777" w:rsidR="00CA7676" w:rsidRPr="00E14EE6" w:rsidRDefault="00CA7676" w:rsidP="00E14EE6">
            <w:pPr>
              <w:jc w:val="right"/>
              <w:rPr>
                <w:rFonts w:eastAsia="Times New Roman" w:cs="Times New Roman"/>
                <w:color w:val="000000"/>
                <w:sz w:val="14"/>
                <w:szCs w:val="14"/>
              </w:rPr>
            </w:pPr>
            <w:r w:rsidRPr="00E14EE6">
              <w:rPr>
                <w:sz w:val="14"/>
              </w:rPr>
              <w:t>0.6</w:t>
            </w:r>
          </w:p>
        </w:tc>
        <w:tc>
          <w:tcPr>
            <w:tcW w:w="390" w:type="pct"/>
            <w:noWrap/>
            <w:hideMark/>
          </w:tcPr>
          <w:p w14:paraId="03B309B1" w14:textId="77777777" w:rsidR="00CA7676" w:rsidRPr="00E14EE6" w:rsidRDefault="00CA7676" w:rsidP="00E14EE6">
            <w:pPr>
              <w:jc w:val="right"/>
              <w:rPr>
                <w:rFonts w:eastAsia="Times New Roman" w:cs="Times New Roman"/>
                <w:color w:val="000000"/>
                <w:sz w:val="14"/>
                <w:szCs w:val="14"/>
              </w:rPr>
            </w:pPr>
            <w:r w:rsidRPr="00E14EE6">
              <w:rPr>
                <w:sz w:val="14"/>
              </w:rPr>
              <w:t>0.5</w:t>
            </w:r>
          </w:p>
        </w:tc>
        <w:tc>
          <w:tcPr>
            <w:tcW w:w="390" w:type="pct"/>
            <w:noWrap/>
            <w:hideMark/>
          </w:tcPr>
          <w:p w14:paraId="068782FA" w14:textId="77777777" w:rsidR="00CA7676" w:rsidRPr="00E14EE6" w:rsidRDefault="00CA7676" w:rsidP="00E14EE6">
            <w:pPr>
              <w:jc w:val="right"/>
              <w:rPr>
                <w:rFonts w:eastAsia="Times New Roman" w:cs="Times New Roman"/>
                <w:color w:val="000000"/>
                <w:sz w:val="14"/>
                <w:szCs w:val="14"/>
              </w:rPr>
            </w:pPr>
            <w:r w:rsidRPr="00E14EE6">
              <w:rPr>
                <w:sz w:val="14"/>
              </w:rPr>
              <w:t>0.5</w:t>
            </w:r>
          </w:p>
        </w:tc>
        <w:tc>
          <w:tcPr>
            <w:tcW w:w="390" w:type="pct"/>
            <w:noWrap/>
            <w:hideMark/>
          </w:tcPr>
          <w:p w14:paraId="17B862BA" w14:textId="77777777" w:rsidR="00CA7676" w:rsidRPr="00E14EE6" w:rsidRDefault="00CA7676" w:rsidP="00E14EE6">
            <w:pPr>
              <w:jc w:val="right"/>
              <w:rPr>
                <w:rFonts w:eastAsia="Times New Roman" w:cs="Times New Roman"/>
                <w:color w:val="000000"/>
                <w:sz w:val="14"/>
                <w:szCs w:val="14"/>
              </w:rPr>
            </w:pPr>
            <w:r w:rsidRPr="00E14EE6">
              <w:rPr>
                <w:sz w:val="14"/>
              </w:rPr>
              <w:t>0.4</w:t>
            </w:r>
          </w:p>
        </w:tc>
        <w:tc>
          <w:tcPr>
            <w:tcW w:w="390" w:type="pct"/>
            <w:noWrap/>
            <w:hideMark/>
          </w:tcPr>
          <w:p w14:paraId="17B02C00" w14:textId="77777777" w:rsidR="00CA7676" w:rsidRPr="00E14EE6" w:rsidRDefault="00CA7676" w:rsidP="00E14EE6">
            <w:pPr>
              <w:jc w:val="right"/>
              <w:rPr>
                <w:rFonts w:eastAsia="Times New Roman" w:cs="Times New Roman"/>
                <w:color w:val="000000"/>
                <w:sz w:val="14"/>
                <w:szCs w:val="14"/>
              </w:rPr>
            </w:pPr>
            <w:r w:rsidRPr="00E14EE6">
              <w:rPr>
                <w:sz w:val="14"/>
              </w:rPr>
              <w:t>0.4</w:t>
            </w:r>
          </w:p>
        </w:tc>
        <w:tc>
          <w:tcPr>
            <w:tcW w:w="390" w:type="pct"/>
            <w:noWrap/>
            <w:hideMark/>
          </w:tcPr>
          <w:p w14:paraId="5C94B8D7" w14:textId="77777777" w:rsidR="00CA7676" w:rsidRPr="00E14EE6" w:rsidRDefault="00CA7676" w:rsidP="00E14EE6">
            <w:pPr>
              <w:jc w:val="right"/>
              <w:rPr>
                <w:rFonts w:eastAsia="Times New Roman" w:cs="Times New Roman"/>
                <w:color w:val="000000"/>
                <w:sz w:val="14"/>
                <w:szCs w:val="14"/>
              </w:rPr>
            </w:pPr>
            <w:r w:rsidRPr="00E14EE6">
              <w:rPr>
                <w:sz w:val="14"/>
              </w:rPr>
              <w:t>0.4</w:t>
            </w:r>
          </w:p>
        </w:tc>
        <w:tc>
          <w:tcPr>
            <w:tcW w:w="390" w:type="pct"/>
            <w:noWrap/>
            <w:hideMark/>
          </w:tcPr>
          <w:p w14:paraId="5083FCD3" w14:textId="77777777" w:rsidR="00CA7676" w:rsidRPr="00E14EE6" w:rsidRDefault="00CA7676" w:rsidP="00E14EE6">
            <w:pPr>
              <w:jc w:val="right"/>
              <w:rPr>
                <w:rFonts w:eastAsia="Times New Roman" w:cs="Times New Roman"/>
                <w:color w:val="000000"/>
                <w:sz w:val="14"/>
                <w:szCs w:val="14"/>
              </w:rPr>
            </w:pPr>
            <w:r w:rsidRPr="00E14EE6">
              <w:rPr>
                <w:sz w:val="14"/>
              </w:rPr>
              <w:t>0.3</w:t>
            </w:r>
          </w:p>
        </w:tc>
        <w:tc>
          <w:tcPr>
            <w:tcW w:w="390" w:type="pct"/>
            <w:noWrap/>
            <w:hideMark/>
          </w:tcPr>
          <w:p w14:paraId="728719FE" w14:textId="77777777" w:rsidR="00CA7676" w:rsidRPr="00E14EE6" w:rsidRDefault="00CA7676" w:rsidP="00E14EE6">
            <w:pPr>
              <w:jc w:val="right"/>
              <w:rPr>
                <w:rFonts w:eastAsia="Times New Roman" w:cs="Times New Roman"/>
                <w:color w:val="000000"/>
                <w:sz w:val="14"/>
                <w:szCs w:val="14"/>
              </w:rPr>
            </w:pPr>
            <w:r w:rsidRPr="00E14EE6">
              <w:rPr>
                <w:sz w:val="14"/>
              </w:rPr>
              <w:t>0.2</w:t>
            </w:r>
          </w:p>
        </w:tc>
        <w:tc>
          <w:tcPr>
            <w:tcW w:w="390" w:type="pct"/>
            <w:noWrap/>
            <w:hideMark/>
          </w:tcPr>
          <w:p w14:paraId="43FD2254" w14:textId="77777777" w:rsidR="00CA7676" w:rsidRPr="00E14EE6" w:rsidRDefault="00CA7676" w:rsidP="00E14EE6">
            <w:pPr>
              <w:jc w:val="right"/>
              <w:rPr>
                <w:rFonts w:eastAsia="Times New Roman" w:cs="Times New Roman"/>
                <w:sz w:val="14"/>
                <w:szCs w:val="14"/>
              </w:rPr>
            </w:pPr>
            <w:r w:rsidRPr="00E14EE6">
              <w:rPr>
                <w:sz w:val="14"/>
              </w:rPr>
              <w:t>0.1</w:t>
            </w:r>
          </w:p>
        </w:tc>
      </w:tr>
      <w:tr w:rsidR="00CA7676" w:rsidRPr="00E14EE6" w14:paraId="2317095E" w14:textId="77777777" w:rsidTr="00FD6B66">
        <w:trPr>
          <w:cnfStyle w:val="000000010000" w:firstRow="0" w:lastRow="0" w:firstColumn="0" w:lastColumn="0" w:oddVBand="0" w:evenVBand="0" w:oddHBand="0" w:evenHBand="1" w:firstRowFirstColumn="0" w:firstRowLastColumn="0" w:lastRowFirstColumn="0" w:lastRowLastColumn="0"/>
          <w:cantSplit/>
          <w:trHeight w:val="20"/>
        </w:trPr>
        <w:tc>
          <w:tcPr>
            <w:tcW w:w="1492" w:type="pct"/>
            <w:noWrap/>
            <w:hideMark/>
          </w:tcPr>
          <w:p w14:paraId="5CBD8C20" w14:textId="77777777" w:rsidR="00CA7676" w:rsidRPr="00E14EE6" w:rsidRDefault="00CA7676" w:rsidP="00E14EE6">
            <w:pPr>
              <w:ind w:firstLineChars="100" w:firstLine="140"/>
              <w:jc w:val="left"/>
              <w:rPr>
                <w:rFonts w:eastAsia="Times New Roman" w:cs="Times New Roman"/>
                <w:sz w:val="14"/>
                <w:szCs w:val="14"/>
              </w:rPr>
            </w:pPr>
            <w:r w:rsidRPr="00E14EE6">
              <w:rPr>
                <w:sz w:val="14"/>
              </w:rPr>
              <w:t>Subsidies</w:t>
            </w:r>
          </w:p>
        </w:tc>
        <w:tc>
          <w:tcPr>
            <w:tcW w:w="389" w:type="pct"/>
            <w:noWrap/>
            <w:hideMark/>
          </w:tcPr>
          <w:p w14:paraId="6EB5885B" w14:textId="77777777" w:rsidR="00CA7676" w:rsidRPr="00E14EE6" w:rsidRDefault="00CA7676" w:rsidP="00E14EE6">
            <w:pPr>
              <w:jc w:val="right"/>
              <w:rPr>
                <w:rFonts w:eastAsia="Times New Roman" w:cs="Times New Roman"/>
                <w:color w:val="000000"/>
                <w:sz w:val="14"/>
                <w:szCs w:val="14"/>
              </w:rPr>
            </w:pPr>
            <w:r w:rsidRPr="00E14EE6">
              <w:rPr>
                <w:sz w:val="14"/>
              </w:rPr>
              <w:t>1.6</w:t>
            </w:r>
          </w:p>
        </w:tc>
        <w:tc>
          <w:tcPr>
            <w:tcW w:w="390" w:type="pct"/>
            <w:noWrap/>
            <w:hideMark/>
          </w:tcPr>
          <w:p w14:paraId="453CF801" w14:textId="77777777" w:rsidR="00CA7676" w:rsidRPr="00E14EE6" w:rsidRDefault="00CA7676" w:rsidP="00E14EE6">
            <w:pPr>
              <w:jc w:val="right"/>
              <w:rPr>
                <w:rFonts w:eastAsia="Times New Roman" w:cs="Times New Roman"/>
                <w:color w:val="000000"/>
                <w:sz w:val="14"/>
                <w:szCs w:val="14"/>
              </w:rPr>
            </w:pPr>
            <w:r w:rsidRPr="00E14EE6">
              <w:rPr>
                <w:sz w:val="14"/>
              </w:rPr>
              <w:t>1.0</w:t>
            </w:r>
          </w:p>
        </w:tc>
        <w:tc>
          <w:tcPr>
            <w:tcW w:w="390" w:type="pct"/>
            <w:noWrap/>
            <w:hideMark/>
          </w:tcPr>
          <w:p w14:paraId="4F031C66" w14:textId="77777777" w:rsidR="00CA7676" w:rsidRPr="00E14EE6" w:rsidRDefault="00CA7676" w:rsidP="00E14EE6">
            <w:pPr>
              <w:jc w:val="right"/>
              <w:rPr>
                <w:rFonts w:eastAsia="Times New Roman" w:cs="Times New Roman"/>
                <w:color w:val="000000"/>
                <w:sz w:val="14"/>
                <w:szCs w:val="14"/>
              </w:rPr>
            </w:pPr>
            <w:r w:rsidRPr="00E14EE6">
              <w:rPr>
                <w:sz w:val="14"/>
              </w:rPr>
              <w:t>0.8</w:t>
            </w:r>
          </w:p>
        </w:tc>
        <w:tc>
          <w:tcPr>
            <w:tcW w:w="390" w:type="pct"/>
            <w:noWrap/>
            <w:hideMark/>
          </w:tcPr>
          <w:p w14:paraId="45654D52" w14:textId="77777777" w:rsidR="00CA7676" w:rsidRPr="00E14EE6" w:rsidRDefault="00CA7676" w:rsidP="00E14EE6">
            <w:pPr>
              <w:jc w:val="right"/>
              <w:rPr>
                <w:rFonts w:eastAsia="Times New Roman" w:cs="Times New Roman"/>
                <w:color w:val="000000"/>
                <w:sz w:val="14"/>
                <w:szCs w:val="14"/>
              </w:rPr>
            </w:pPr>
            <w:r w:rsidRPr="00E14EE6">
              <w:rPr>
                <w:sz w:val="14"/>
              </w:rPr>
              <w:t>0.7</w:t>
            </w:r>
          </w:p>
        </w:tc>
        <w:tc>
          <w:tcPr>
            <w:tcW w:w="390" w:type="pct"/>
            <w:noWrap/>
            <w:hideMark/>
          </w:tcPr>
          <w:p w14:paraId="5A541B94" w14:textId="77777777" w:rsidR="00CA7676" w:rsidRPr="00E14EE6" w:rsidRDefault="00CA7676" w:rsidP="00E14EE6">
            <w:pPr>
              <w:jc w:val="right"/>
              <w:rPr>
                <w:rFonts w:eastAsia="Times New Roman" w:cs="Times New Roman"/>
                <w:color w:val="000000"/>
                <w:sz w:val="14"/>
                <w:szCs w:val="14"/>
              </w:rPr>
            </w:pPr>
            <w:r w:rsidRPr="00E14EE6">
              <w:rPr>
                <w:sz w:val="14"/>
              </w:rPr>
              <w:t>0.6</w:t>
            </w:r>
          </w:p>
        </w:tc>
        <w:tc>
          <w:tcPr>
            <w:tcW w:w="390" w:type="pct"/>
            <w:noWrap/>
            <w:hideMark/>
          </w:tcPr>
          <w:p w14:paraId="67B2DFF8" w14:textId="77777777" w:rsidR="00CA7676" w:rsidRPr="00E14EE6" w:rsidRDefault="00CA7676" w:rsidP="00E14EE6">
            <w:pPr>
              <w:jc w:val="right"/>
              <w:rPr>
                <w:rFonts w:eastAsia="Times New Roman" w:cs="Times New Roman"/>
                <w:color w:val="000000"/>
                <w:sz w:val="14"/>
                <w:szCs w:val="14"/>
              </w:rPr>
            </w:pPr>
            <w:r w:rsidRPr="00E14EE6">
              <w:rPr>
                <w:sz w:val="14"/>
              </w:rPr>
              <w:t>0.7</w:t>
            </w:r>
          </w:p>
        </w:tc>
        <w:tc>
          <w:tcPr>
            <w:tcW w:w="390" w:type="pct"/>
            <w:noWrap/>
            <w:hideMark/>
          </w:tcPr>
          <w:p w14:paraId="544719D0" w14:textId="77777777" w:rsidR="00CA7676" w:rsidRPr="00E14EE6" w:rsidRDefault="00CA7676" w:rsidP="00E14EE6">
            <w:pPr>
              <w:jc w:val="right"/>
              <w:rPr>
                <w:rFonts w:eastAsia="Times New Roman" w:cs="Times New Roman"/>
                <w:color w:val="000000"/>
                <w:sz w:val="14"/>
                <w:szCs w:val="14"/>
              </w:rPr>
            </w:pPr>
            <w:r w:rsidRPr="00E14EE6">
              <w:rPr>
                <w:sz w:val="14"/>
              </w:rPr>
              <w:t>0.9</w:t>
            </w:r>
          </w:p>
        </w:tc>
        <w:tc>
          <w:tcPr>
            <w:tcW w:w="390" w:type="pct"/>
            <w:noWrap/>
            <w:hideMark/>
          </w:tcPr>
          <w:p w14:paraId="46B62FE8" w14:textId="77777777" w:rsidR="00CA7676" w:rsidRPr="00E14EE6" w:rsidRDefault="00CA7676" w:rsidP="00E14EE6">
            <w:pPr>
              <w:jc w:val="right"/>
              <w:rPr>
                <w:rFonts w:eastAsia="Times New Roman" w:cs="Times New Roman"/>
                <w:color w:val="000000"/>
                <w:sz w:val="14"/>
                <w:szCs w:val="14"/>
              </w:rPr>
            </w:pPr>
            <w:r w:rsidRPr="00E14EE6">
              <w:rPr>
                <w:sz w:val="14"/>
              </w:rPr>
              <w:t>1.4</w:t>
            </w:r>
          </w:p>
        </w:tc>
        <w:tc>
          <w:tcPr>
            <w:tcW w:w="390" w:type="pct"/>
            <w:noWrap/>
            <w:hideMark/>
          </w:tcPr>
          <w:p w14:paraId="5658ADF9" w14:textId="77777777" w:rsidR="00CA7676" w:rsidRPr="00E14EE6" w:rsidRDefault="00CA7676" w:rsidP="00E14EE6">
            <w:pPr>
              <w:jc w:val="right"/>
              <w:rPr>
                <w:rFonts w:eastAsia="Times New Roman" w:cs="Times New Roman"/>
                <w:sz w:val="14"/>
                <w:szCs w:val="14"/>
              </w:rPr>
            </w:pPr>
            <w:r w:rsidRPr="00E14EE6">
              <w:rPr>
                <w:sz w:val="14"/>
              </w:rPr>
              <w:t>1.2</w:t>
            </w:r>
          </w:p>
        </w:tc>
      </w:tr>
      <w:tr w:rsidR="00CA7676" w:rsidRPr="00E14EE6" w14:paraId="4BCE0BE7" w14:textId="77777777" w:rsidTr="00FD6B66">
        <w:trPr>
          <w:cantSplit/>
          <w:trHeight w:val="20"/>
        </w:trPr>
        <w:tc>
          <w:tcPr>
            <w:tcW w:w="1492" w:type="pct"/>
            <w:noWrap/>
            <w:hideMark/>
          </w:tcPr>
          <w:p w14:paraId="45CF21CE" w14:textId="77777777" w:rsidR="00CA7676" w:rsidRPr="00E14EE6" w:rsidRDefault="00CA7676" w:rsidP="00E14EE6">
            <w:pPr>
              <w:ind w:firstLineChars="200" w:firstLine="280"/>
              <w:jc w:val="left"/>
              <w:rPr>
                <w:rFonts w:eastAsia="Times New Roman" w:cs="Times New Roman"/>
                <w:sz w:val="14"/>
                <w:szCs w:val="14"/>
              </w:rPr>
            </w:pPr>
            <w:r w:rsidRPr="00E14EE6">
              <w:rPr>
                <w:sz w:val="14"/>
              </w:rPr>
              <w:t>To public corporations</w:t>
            </w:r>
          </w:p>
        </w:tc>
        <w:tc>
          <w:tcPr>
            <w:tcW w:w="389" w:type="pct"/>
            <w:noWrap/>
            <w:hideMark/>
          </w:tcPr>
          <w:p w14:paraId="3650C0B1" w14:textId="77777777" w:rsidR="00CA7676" w:rsidRPr="00E14EE6" w:rsidRDefault="00CA7676" w:rsidP="00E14EE6">
            <w:pPr>
              <w:jc w:val="right"/>
              <w:rPr>
                <w:rFonts w:eastAsia="Times New Roman" w:cs="Times New Roman"/>
                <w:color w:val="000000"/>
                <w:sz w:val="14"/>
                <w:szCs w:val="14"/>
              </w:rPr>
            </w:pPr>
            <w:r w:rsidRPr="00E14EE6">
              <w:rPr>
                <w:sz w:val="14"/>
              </w:rPr>
              <w:t>1.6</w:t>
            </w:r>
          </w:p>
        </w:tc>
        <w:tc>
          <w:tcPr>
            <w:tcW w:w="390" w:type="pct"/>
            <w:noWrap/>
            <w:hideMark/>
          </w:tcPr>
          <w:p w14:paraId="52FD0C82" w14:textId="77777777" w:rsidR="00CA7676" w:rsidRPr="00E14EE6" w:rsidRDefault="00CA7676" w:rsidP="00E14EE6">
            <w:pPr>
              <w:jc w:val="right"/>
              <w:rPr>
                <w:rFonts w:eastAsia="Times New Roman" w:cs="Times New Roman"/>
                <w:color w:val="000000"/>
                <w:sz w:val="14"/>
                <w:szCs w:val="14"/>
              </w:rPr>
            </w:pPr>
            <w:r w:rsidRPr="00E14EE6">
              <w:rPr>
                <w:sz w:val="14"/>
              </w:rPr>
              <w:t>1.0</w:t>
            </w:r>
          </w:p>
        </w:tc>
        <w:tc>
          <w:tcPr>
            <w:tcW w:w="390" w:type="pct"/>
            <w:noWrap/>
            <w:hideMark/>
          </w:tcPr>
          <w:p w14:paraId="50D5B8A2" w14:textId="77777777" w:rsidR="00CA7676" w:rsidRPr="00E14EE6" w:rsidRDefault="00CA7676" w:rsidP="00E14EE6">
            <w:pPr>
              <w:jc w:val="right"/>
              <w:rPr>
                <w:rFonts w:eastAsia="Times New Roman" w:cs="Times New Roman"/>
                <w:color w:val="000000"/>
                <w:sz w:val="14"/>
                <w:szCs w:val="14"/>
              </w:rPr>
            </w:pPr>
            <w:r w:rsidRPr="00E14EE6">
              <w:rPr>
                <w:sz w:val="14"/>
              </w:rPr>
              <w:t>0.8</w:t>
            </w:r>
          </w:p>
        </w:tc>
        <w:tc>
          <w:tcPr>
            <w:tcW w:w="390" w:type="pct"/>
            <w:noWrap/>
            <w:hideMark/>
          </w:tcPr>
          <w:p w14:paraId="3218FDC9" w14:textId="77777777" w:rsidR="00CA7676" w:rsidRPr="00E14EE6" w:rsidRDefault="00CA7676" w:rsidP="00E14EE6">
            <w:pPr>
              <w:jc w:val="right"/>
              <w:rPr>
                <w:rFonts w:eastAsia="Times New Roman" w:cs="Times New Roman"/>
                <w:color w:val="000000"/>
                <w:sz w:val="14"/>
                <w:szCs w:val="14"/>
              </w:rPr>
            </w:pPr>
            <w:r w:rsidRPr="00E14EE6">
              <w:rPr>
                <w:sz w:val="14"/>
              </w:rPr>
              <w:t>0.6</w:t>
            </w:r>
          </w:p>
        </w:tc>
        <w:tc>
          <w:tcPr>
            <w:tcW w:w="390" w:type="pct"/>
            <w:noWrap/>
            <w:hideMark/>
          </w:tcPr>
          <w:p w14:paraId="03CCE72F" w14:textId="77777777" w:rsidR="00CA7676" w:rsidRPr="00E14EE6" w:rsidRDefault="00CA7676" w:rsidP="00E14EE6">
            <w:pPr>
              <w:jc w:val="right"/>
              <w:rPr>
                <w:rFonts w:eastAsia="Times New Roman" w:cs="Times New Roman"/>
                <w:color w:val="000000"/>
                <w:sz w:val="14"/>
                <w:szCs w:val="14"/>
              </w:rPr>
            </w:pPr>
            <w:r w:rsidRPr="00E14EE6">
              <w:rPr>
                <w:sz w:val="14"/>
              </w:rPr>
              <w:t>0.6</w:t>
            </w:r>
          </w:p>
        </w:tc>
        <w:tc>
          <w:tcPr>
            <w:tcW w:w="390" w:type="pct"/>
            <w:noWrap/>
            <w:hideMark/>
          </w:tcPr>
          <w:p w14:paraId="66CD9D69" w14:textId="77777777" w:rsidR="00CA7676" w:rsidRPr="00E14EE6" w:rsidRDefault="00CA7676" w:rsidP="00E14EE6">
            <w:pPr>
              <w:jc w:val="right"/>
              <w:rPr>
                <w:rFonts w:eastAsia="Times New Roman" w:cs="Times New Roman"/>
                <w:color w:val="000000"/>
                <w:sz w:val="14"/>
                <w:szCs w:val="14"/>
              </w:rPr>
            </w:pPr>
            <w:r w:rsidRPr="00E14EE6">
              <w:rPr>
                <w:sz w:val="14"/>
              </w:rPr>
              <w:t>0.6</w:t>
            </w:r>
          </w:p>
        </w:tc>
        <w:tc>
          <w:tcPr>
            <w:tcW w:w="390" w:type="pct"/>
            <w:noWrap/>
            <w:hideMark/>
          </w:tcPr>
          <w:p w14:paraId="791CACD8" w14:textId="77777777" w:rsidR="00CA7676" w:rsidRPr="00E14EE6" w:rsidRDefault="00CA7676" w:rsidP="00E14EE6">
            <w:pPr>
              <w:jc w:val="right"/>
              <w:rPr>
                <w:rFonts w:eastAsia="Times New Roman" w:cs="Times New Roman"/>
                <w:color w:val="000000"/>
                <w:sz w:val="14"/>
                <w:szCs w:val="14"/>
              </w:rPr>
            </w:pPr>
            <w:r w:rsidRPr="00E14EE6">
              <w:rPr>
                <w:sz w:val="14"/>
              </w:rPr>
              <w:t>0.8</w:t>
            </w:r>
          </w:p>
        </w:tc>
        <w:tc>
          <w:tcPr>
            <w:tcW w:w="390" w:type="pct"/>
            <w:noWrap/>
            <w:hideMark/>
          </w:tcPr>
          <w:p w14:paraId="5C1FC34B" w14:textId="77777777" w:rsidR="00CA7676" w:rsidRPr="00E14EE6" w:rsidRDefault="00CA7676" w:rsidP="00E14EE6">
            <w:pPr>
              <w:jc w:val="right"/>
              <w:rPr>
                <w:rFonts w:eastAsia="Times New Roman" w:cs="Times New Roman"/>
                <w:color w:val="000000"/>
                <w:sz w:val="14"/>
                <w:szCs w:val="14"/>
              </w:rPr>
            </w:pPr>
            <w:r w:rsidRPr="00E14EE6">
              <w:rPr>
                <w:sz w:val="14"/>
              </w:rPr>
              <w:t>1.1</w:t>
            </w:r>
          </w:p>
        </w:tc>
        <w:tc>
          <w:tcPr>
            <w:tcW w:w="390" w:type="pct"/>
            <w:noWrap/>
            <w:hideMark/>
          </w:tcPr>
          <w:p w14:paraId="4993F295" w14:textId="77777777" w:rsidR="00CA7676" w:rsidRPr="00E14EE6" w:rsidRDefault="00CA7676" w:rsidP="00E14EE6">
            <w:pPr>
              <w:jc w:val="right"/>
              <w:rPr>
                <w:rFonts w:eastAsia="Times New Roman" w:cs="Times New Roman"/>
                <w:sz w:val="14"/>
                <w:szCs w:val="14"/>
              </w:rPr>
            </w:pPr>
            <w:r w:rsidRPr="00E14EE6">
              <w:rPr>
                <w:sz w:val="14"/>
              </w:rPr>
              <w:t>0.9</w:t>
            </w:r>
          </w:p>
        </w:tc>
      </w:tr>
      <w:tr w:rsidR="00CA7676" w:rsidRPr="00E14EE6" w14:paraId="3A0FD0C3" w14:textId="77777777" w:rsidTr="00FD6B66">
        <w:trPr>
          <w:cnfStyle w:val="000000010000" w:firstRow="0" w:lastRow="0" w:firstColumn="0" w:lastColumn="0" w:oddVBand="0" w:evenVBand="0" w:oddHBand="0" w:evenHBand="1" w:firstRowFirstColumn="0" w:firstRowLastColumn="0" w:lastRowFirstColumn="0" w:lastRowLastColumn="0"/>
          <w:cantSplit/>
          <w:trHeight w:val="20"/>
        </w:trPr>
        <w:tc>
          <w:tcPr>
            <w:tcW w:w="1492" w:type="pct"/>
            <w:noWrap/>
            <w:hideMark/>
          </w:tcPr>
          <w:p w14:paraId="3AAB8B96" w14:textId="4A9C8C75" w:rsidR="00CA7676" w:rsidRPr="00E14EE6" w:rsidRDefault="00CA7676" w:rsidP="00E14EE6">
            <w:pPr>
              <w:ind w:firstLineChars="300" w:firstLine="420"/>
              <w:jc w:val="left"/>
              <w:rPr>
                <w:rFonts w:eastAsia="Times New Roman" w:cs="Times New Roman"/>
                <w:sz w:val="14"/>
                <w:szCs w:val="14"/>
              </w:rPr>
            </w:pPr>
            <w:r w:rsidRPr="00E14EE6">
              <w:rPr>
                <w:sz w:val="14"/>
              </w:rPr>
              <w:t>including</w:t>
            </w:r>
            <w:r w:rsidR="00E14EE6" w:rsidRPr="00E14EE6">
              <w:rPr>
                <w:sz w:val="14"/>
              </w:rPr>
              <w:t>: t</w:t>
            </w:r>
            <w:r w:rsidRPr="00E14EE6">
              <w:rPr>
                <w:sz w:val="14"/>
              </w:rPr>
              <w:t>o the electricity sector</w:t>
            </w:r>
          </w:p>
        </w:tc>
        <w:tc>
          <w:tcPr>
            <w:tcW w:w="389" w:type="pct"/>
            <w:noWrap/>
            <w:hideMark/>
          </w:tcPr>
          <w:p w14:paraId="6216DE32" w14:textId="77777777" w:rsidR="00CA7676" w:rsidRPr="00E14EE6" w:rsidRDefault="00CA7676" w:rsidP="00E14EE6">
            <w:pPr>
              <w:jc w:val="right"/>
              <w:rPr>
                <w:rFonts w:eastAsia="Times New Roman" w:cs="Times New Roman"/>
                <w:color w:val="000000"/>
                <w:sz w:val="14"/>
                <w:szCs w:val="14"/>
              </w:rPr>
            </w:pPr>
            <w:r w:rsidRPr="00E14EE6">
              <w:rPr>
                <w:sz w:val="14"/>
              </w:rPr>
              <w:t>1.4</w:t>
            </w:r>
          </w:p>
        </w:tc>
        <w:tc>
          <w:tcPr>
            <w:tcW w:w="390" w:type="pct"/>
            <w:noWrap/>
            <w:hideMark/>
          </w:tcPr>
          <w:p w14:paraId="225702CD" w14:textId="77777777" w:rsidR="00CA7676" w:rsidRPr="00E14EE6" w:rsidRDefault="00CA7676" w:rsidP="00E14EE6">
            <w:pPr>
              <w:jc w:val="right"/>
              <w:rPr>
                <w:rFonts w:eastAsia="Times New Roman" w:cs="Times New Roman"/>
                <w:color w:val="000000"/>
                <w:sz w:val="14"/>
                <w:szCs w:val="14"/>
              </w:rPr>
            </w:pPr>
            <w:r w:rsidRPr="00E14EE6">
              <w:rPr>
                <w:sz w:val="14"/>
              </w:rPr>
              <w:t>0.8</w:t>
            </w:r>
          </w:p>
        </w:tc>
        <w:tc>
          <w:tcPr>
            <w:tcW w:w="390" w:type="pct"/>
            <w:noWrap/>
            <w:hideMark/>
          </w:tcPr>
          <w:p w14:paraId="7F1335C1" w14:textId="77777777" w:rsidR="00CA7676" w:rsidRPr="00E14EE6" w:rsidRDefault="00CA7676" w:rsidP="00E14EE6">
            <w:pPr>
              <w:jc w:val="right"/>
              <w:rPr>
                <w:rFonts w:eastAsia="Times New Roman" w:cs="Times New Roman"/>
                <w:color w:val="000000"/>
                <w:sz w:val="14"/>
                <w:szCs w:val="14"/>
              </w:rPr>
            </w:pPr>
            <w:r w:rsidRPr="00E14EE6">
              <w:rPr>
                <w:sz w:val="14"/>
              </w:rPr>
              <w:t>0.6</w:t>
            </w:r>
          </w:p>
        </w:tc>
        <w:tc>
          <w:tcPr>
            <w:tcW w:w="390" w:type="pct"/>
            <w:noWrap/>
            <w:hideMark/>
          </w:tcPr>
          <w:p w14:paraId="1F0231AA" w14:textId="77777777" w:rsidR="00CA7676" w:rsidRPr="00E14EE6" w:rsidRDefault="00CA7676" w:rsidP="00E14EE6">
            <w:pPr>
              <w:jc w:val="right"/>
              <w:rPr>
                <w:rFonts w:eastAsia="Times New Roman" w:cs="Times New Roman"/>
                <w:color w:val="000000"/>
                <w:sz w:val="14"/>
                <w:szCs w:val="14"/>
              </w:rPr>
            </w:pPr>
            <w:r w:rsidRPr="00E14EE6">
              <w:rPr>
                <w:sz w:val="14"/>
              </w:rPr>
              <w:t>0.5</w:t>
            </w:r>
          </w:p>
        </w:tc>
        <w:tc>
          <w:tcPr>
            <w:tcW w:w="390" w:type="pct"/>
            <w:noWrap/>
            <w:hideMark/>
          </w:tcPr>
          <w:p w14:paraId="323806AC" w14:textId="77777777" w:rsidR="00CA7676" w:rsidRPr="00E14EE6" w:rsidRDefault="00CA7676" w:rsidP="00E14EE6">
            <w:pPr>
              <w:jc w:val="right"/>
              <w:rPr>
                <w:rFonts w:eastAsia="Times New Roman" w:cs="Times New Roman"/>
                <w:color w:val="000000"/>
                <w:sz w:val="14"/>
                <w:szCs w:val="14"/>
              </w:rPr>
            </w:pPr>
            <w:r w:rsidRPr="00E14EE6">
              <w:rPr>
                <w:sz w:val="14"/>
              </w:rPr>
              <w:t>0.4</w:t>
            </w:r>
          </w:p>
        </w:tc>
        <w:tc>
          <w:tcPr>
            <w:tcW w:w="390" w:type="pct"/>
            <w:noWrap/>
            <w:hideMark/>
          </w:tcPr>
          <w:p w14:paraId="2A64CC01" w14:textId="77777777" w:rsidR="00CA7676" w:rsidRPr="00E14EE6" w:rsidRDefault="00CA7676" w:rsidP="00E14EE6">
            <w:pPr>
              <w:jc w:val="right"/>
              <w:rPr>
                <w:rFonts w:eastAsia="Times New Roman" w:cs="Times New Roman"/>
                <w:color w:val="000000"/>
                <w:sz w:val="14"/>
                <w:szCs w:val="14"/>
              </w:rPr>
            </w:pPr>
            <w:r w:rsidRPr="00E14EE6">
              <w:rPr>
                <w:sz w:val="14"/>
              </w:rPr>
              <w:t>0.5</w:t>
            </w:r>
          </w:p>
        </w:tc>
        <w:tc>
          <w:tcPr>
            <w:tcW w:w="390" w:type="pct"/>
            <w:noWrap/>
            <w:hideMark/>
          </w:tcPr>
          <w:p w14:paraId="77F2FBD5" w14:textId="77777777" w:rsidR="00CA7676" w:rsidRPr="00E14EE6" w:rsidRDefault="00CA7676" w:rsidP="00E14EE6">
            <w:pPr>
              <w:jc w:val="right"/>
              <w:rPr>
                <w:rFonts w:eastAsia="Times New Roman" w:cs="Times New Roman"/>
                <w:color w:val="000000"/>
                <w:sz w:val="14"/>
                <w:szCs w:val="14"/>
              </w:rPr>
            </w:pPr>
            <w:r w:rsidRPr="00E14EE6">
              <w:rPr>
                <w:sz w:val="14"/>
              </w:rPr>
              <w:t>0.6</w:t>
            </w:r>
          </w:p>
        </w:tc>
        <w:tc>
          <w:tcPr>
            <w:tcW w:w="390" w:type="pct"/>
            <w:noWrap/>
            <w:hideMark/>
          </w:tcPr>
          <w:p w14:paraId="3FB4006E" w14:textId="77777777" w:rsidR="00CA7676" w:rsidRPr="00E14EE6" w:rsidRDefault="00CA7676" w:rsidP="00E14EE6">
            <w:pPr>
              <w:jc w:val="right"/>
              <w:rPr>
                <w:rFonts w:eastAsia="Times New Roman" w:cs="Times New Roman"/>
                <w:color w:val="000000"/>
                <w:sz w:val="14"/>
                <w:szCs w:val="14"/>
              </w:rPr>
            </w:pPr>
            <w:r w:rsidRPr="00E14EE6">
              <w:rPr>
                <w:sz w:val="14"/>
              </w:rPr>
              <w:t>0.9</w:t>
            </w:r>
          </w:p>
        </w:tc>
        <w:tc>
          <w:tcPr>
            <w:tcW w:w="390" w:type="pct"/>
            <w:noWrap/>
            <w:hideMark/>
          </w:tcPr>
          <w:p w14:paraId="77816515" w14:textId="77777777" w:rsidR="00CA7676" w:rsidRPr="00E14EE6" w:rsidRDefault="00CA7676" w:rsidP="00E14EE6">
            <w:pPr>
              <w:jc w:val="right"/>
              <w:rPr>
                <w:rFonts w:eastAsia="Times New Roman" w:cs="Times New Roman"/>
                <w:sz w:val="14"/>
                <w:szCs w:val="14"/>
              </w:rPr>
            </w:pPr>
            <w:r w:rsidRPr="00E14EE6">
              <w:rPr>
                <w:sz w:val="14"/>
              </w:rPr>
              <w:t>0.8</w:t>
            </w:r>
          </w:p>
        </w:tc>
      </w:tr>
      <w:tr w:rsidR="00CA7676" w:rsidRPr="00E14EE6" w14:paraId="4AF0C530" w14:textId="77777777" w:rsidTr="00FD6B66">
        <w:trPr>
          <w:cantSplit/>
          <w:trHeight w:val="20"/>
        </w:trPr>
        <w:tc>
          <w:tcPr>
            <w:tcW w:w="1492" w:type="pct"/>
            <w:noWrap/>
            <w:hideMark/>
          </w:tcPr>
          <w:p w14:paraId="0BC8A5AE" w14:textId="77777777" w:rsidR="00CA7676" w:rsidRPr="00E14EE6" w:rsidRDefault="00CA7676" w:rsidP="00E14EE6">
            <w:pPr>
              <w:ind w:firstLineChars="200" w:firstLine="280"/>
              <w:jc w:val="left"/>
              <w:rPr>
                <w:rFonts w:eastAsia="Times New Roman" w:cs="Times New Roman"/>
                <w:sz w:val="14"/>
                <w:szCs w:val="14"/>
              </w:rPr>
            </w:pPr>
            <w:r w:rsidRPr="00E14EE6">
              <w:rPr>
                <w:sz w:val="14"/>
              </w:rPr>
              <w:t>To private companies</w:t>
            </w:r>
          </w:p>
        </w:tc>
        <w:tc>
          <w:tcPr>
            <w:tcW w:w="389" w:type="pct"/>
            <w:noWrap/>
            <w:hideMark/>
          </w:tcPr>
          <w:p w14:paraId="2B88B9B6" w14:textId="77777777" w:rsidR="00CA7676" w:rsidRPr="00E14EE6" w:rsidRDefault="00CA7676" w:rsidP="00E14EE6">
            <w:pPr>
              <w:jc w:val="right"/>
              <w:rPr>
                <w:rFonts w:eastAsia="Times New Roman" w:cs="Times New Roman"/>
                <w:color w:val="000000"/>
                <w:sz w:val="14"/>
                <w:szCs w:val="14"/>
              </w:rPr>
            </w:pPr>
            <w:r w:rsidRPr="00E14EE6">
              <w:rPr>
                <w:sz w:val="14"/>
              </w:rPr>
              <w:t>0.1</w:t>
            </w:r>
          </w:p>
        </w:tc>
        <w:tc>
          <w:tcPr>
            <w:tcW w:w="390" w:type="pct"/>
            <w:noWrap/>
            <w:hideMark/>
          </w:tcPr>
          <w:p w14:paraId="3749491E" w14:textId="77777777" w:rsidR="00CA7676" w:rsidRPr="00E14EE6" w:rsidRDefault="00CA7676" w:rsidP="00E14EE6">
            <w:pPr>
              <w:jc w:val="right"/>
              <w:rPr>
                <w:rFonts w:eastAsia="Times New Roman" w:cs="Times New Roman"/>
                <w:color w:val="000000"/>
                <w:sz w:val="14"/>
                <w:szCs w:val="14"/>
              </w:rPr>
            </w:pPr>
            <w:r w:rsidRPr="00E14EE6">
              <w:rPr>
                <w:sz w:val="14"/>
              </w:rPr>
              <w:t>0.1</w:t>
            </w:r>
          </w:p>
        </w:tc>
        <w:tc>
          <w:tcPr>
            <w:tcW w:w="390" w:type="pct"/>
            <w:noWrap/>
            <w:hideMark/>
          </w:tcPr>
          <w:p w14:paraId="1186E11D" w14:textId="77777777" w:rsidR="00CA7676" w:rsidRPr="00E14EE6" w:rsidRDefault="00CA7676" w:rsidP="00E14EE6">
            <w:pPr>
              <w:jc w:val="right"/>
              <w:rPr>
                <w:rFonts w:eastAsia="Times New Roman" w:cs="Times New Roman"/>
                <w:color w:val="000000"/>
                <w:sz w:val="14"/>
                <w:szCs w:val="14"/>
              </w:rPr>
            </w:pPr>
            <w:r w:rsidRPr="00E14EE6">
              <w:rPr>
                <w:sz w:val="14"/>
              </w:rPr>
              <w:t>0.1</w:t>
            </w:r>
          </w:p>
        </w:tc>
        <w:tc>
          <w:tcPr>
            <w:tcW w:w="390" w:type="pct"/>
            <w:noWrap/>
            <w:hideMark/>
          </w:tcPr>
          <w:p w14:paraId="7E76C782" w14:textId="77777777" w:rsidR="00CA7676" w:rsidRPr="00E14EE6" w:rsidRDefault="00CA7676" w:rsidP="00E14EE6">
            <w:pPr>
              <w:jc w:val="right"/>
              <w:rPr>
                <w:rFonts w:eastAsia="Times New Roman" w:cs="Times New Roman"/>
                <w:color w:val="000000"/>
                <w:sz w:val="14"/>
                <w:szCs w:val="14"/>
              </w:rPr>
            </w:pPr>
            <w:r w:rsidRPr="00E14EE6">
              <w:rPr>
                <w:sz w:val="14"/>
              </w:rPr>
              <w:t>0.1</w:t>
            </w:r>
          </w:p>
        </w:tc>
        <w:tc>
          <w:tcPr>
            <w:tcW w:w="390" w:type="pct"/>
            <w:noWrap/>
            <w:hideMark/>
          </w:tcPr>
          <w:p w14:paraId="2DD0CC5A" w14:textId="77777777" w:rsidR="00CA7676" w:rsidRPr="00E14EE6" w:rsidRDefault="00CA7676" w:rsidP="00E14EE6">
            <w:pPr>
              <w:jc w:val="right"/>
              <w:rPr>
                <w:rFonts w:eastAsia="Times New Roman" w:cs="Times New Roman"/>
                <w:color w:val="000000"/>
                <w:sz w:val="14"/>
                <w:szCs w:val="14"/>
              </w:rPr>
            </w:pPr>
            <w:r w:rsidRPr="00E14EE6">
              <w:rPr>
                <w:sz w:val="14"/>
              </w:rPr>
              <w:t>0.0</w:t>
            </w:r>
          </w:p>
        </w:tc>
        <w:tc>
          <w:tcPr>
            <w:tcW w:w="390" w:type="pct"/>
            <w:noWrap/>
            <w:hideMark/>
          </w:tcPr>
          <w:p w14:paraId="3E3C5191" w14:textId="77777777" w:rsidR="00CA7676" w:rsidRPr="00E14EE6" w:rsidRDefault="00CA7676" w:rsidP="00E14EE6">
            <w:pPr>
              <w:jc w:val="right"/>
              <w:rPr>
                <w:rFonts w:eastAsia="Times New Roman" w:cs="Times New Roman"/>
                <w:color w:val="000000"/>
                <w:sz w:val="14"/>
                <w:szCs w:val="14"/>
              </w:rPr>
            </w:pPr>
            <w:r w:rsidRPr="00E14EE6">
              <w:rPr>
                <w:sz w:val="14"/>
              </w:rPr>
              <w:t>0.1</w:t>
            </w:r>
          </w:p>
        </w:tc>
        <w:tc>
          <w:tcPr>
            <w:tcW w:w="390" w:type="pct"/>
            <w:noWrap/>
            <w:hideMark/>
          </w:tcPr>
          <w:p w14:paraId="2B11FC59" w14:textId="77777777" w:rsidR="00CA7676" w:rsidRPr="00E14EE6" w:rsidRDefault="00CA7676" w:rsidP="00E14EE6">
            <w:pPr>
              <w:jc w:val="right"/>
              <w:rPr>
                <w:rFonts w:eastAsia="Times New Roman" w:cs="Times New Roman"/>
                <w:color w:val="000000"/>
                <w:sz w:val="14"/>
                <w:szCs w:val="14"/>
              </w:rPr>
            </w:pPr>
            <w:r w:rsidRPr="00E14EE6">
              <w:rPr>
                <w:sz w:val="14"/>
              </w:rPr>
              <w:t>0.1</w:t>
            </w:r>
          </w:p>
        </w:tc>
        <w:tc>
          <w:tcPr>
            <w:tcW w:w="390" w:type="pct"/>
            <w:noWrap/>
            <w:hideMark/>
          </w:tcPr>
          <w:p w14:paraId="6C0A9F8C" w14:textId="77777777" w:rsidR="00CA7676" w:rsidRPr="00E14EE6" w:rsidRDefault="00CA7676" w:rsidP="00E14EE6">
            <w:pPr>
              <w:jc w:val="right"/>
              <w:rPr>
                <w:rFonts w:eastAsia="Times New Roman" w:cs="Times New Roman"/>
                <w:color w:val="000000"/>
                <w:sz w:val="14"/>
                <w:szCs w:val="14"/>
              </w:rPr>
            </w:pPr>
            <w:r w:rsidRPr="00E14EE6">
              <w:rPr>
                <w:sz w:val="14"/>
              </w:rPr>
              <w:t>0.3</w:t>
            </w:r>
          </w:p>
        </w:tc>
        <w:tc>
          <w:tcPr>
            <w:tcW w:w="390" w:type="pct"/>
            <w:noWrap/>
            <w:hideMark/>
          </w:tcPr>
          <w:p w14:paraId="6E97A70E" w14:textId="77777777" w:rsidR="00CA7676" w:rsidRPr="00E14EE6" w:rsidRDefault="00CA7676" w:rsidP="00E14EE6">
            <w:pPr>
              <w:jc w:val="right"/>
              <w:rPr>
                <w:rFonts w:eastAsia="Times New Roman" w:cs="Times New Roman"/>
                <w:sz w:val="14"/>
                <w:szCs w:val="14"/>
              </w:rPr>
            </w:pPr>
            <w:r w:rsidRPr="00E14EE6">
              <w:rPr>
                <w:sz w:val="14"/>
              </w:rPr>
              <w:t>0.3</w:t>
            </w:r>
          </w:p>
        </w:tc>
      </w:tr>
      <w:tr w:rsidR="00CA7676" w:rsidRPr="00E14EE6" w14:paraId="6AADE5C8" w14:textId="77777777" w:rsidTr="00FD6B66">
        <w:trPr>
          <w:cnfStyle w:val="000000010000" w:firstRow="0" w:lastRow="0" w:firstColumn="0" w:lastColumn="0" w:oddVBand="0" w:evenVBand="0" w:oddHBand="0" w:evenHBand="1" w:firstRowFirstColumn="0" w:firstRowLastColumn="0" w:lastRowFirstColumn="0" w:lastRowLastColumn="0"/>
          <w:cantSplit/>
          <w:trHeight w:val="20"/>
        </w:trPr>
        <w:tc>
          <w:tcPr>
            <w:tcW w:w="1492" w:type="pct"/>
            <w:noWrap/>
            <w:hideMark/>
          </w:tcPr>
          <w:p w14:paraId="11C99B15" w14:textId="7E858B6D" w:rsidR="00CA7676" w:rsidRPr="00E14EE6" w:rsidRDefault="00CA7676" w:rsidP="00E14EE6">
            <w:pPr>
              <w:ind w:firstLineChars="100" w:firstLine="140"/>
              <w:jc w:val="left"/>
              <w:rPr>
                <w:rFonts w:eastAsia="Times New Roman" w:cs="Times New Roman"/>
                <w:sz w:val="14"/>
                <w:szCs w:val="14"/>
              </w:rPr>
            </w:pPr>
            <w:r w:rsidRPr="00E14EE6">
              <w:rPr>
                <w:sz w:val="14"/>
              </w:rPr>
              <w:t>Grants</w:t>
            </w:r>
          </w:p>
        </w:tc>
        <w:tc>
          <w:tcPr>
            <w:tcW w:w="389" w:type="pct"/>
            <w:noWrap/>
            <w:hideMark/>
          </w:tcPr>
          <w:p w14:paraId="7E4F2388" w14:textId="77777777" w:rsidR="00CA7676" w:rsidRPr="00E14EE6" w:rsidRDefault="00CA7676" w:rsidP="00E14EE6">
            <w:pPr>
              <w:jc w:val="right"/>
              <w:rPr>
                <w:rFonts w:eastAsia="Times New Roman" w:cs="Times New Roman"/>
                <w:color w:val="000000"/>
                <w:sz w:val="14"/>
                <w:szCs w:val="14"/>
              </w:rPr>
            </w:pPr>
            <w:r w:rsidRPr="00E14EE6">
              <w:rPr>
                <w:sz w:val="14"/>
              </w:rPr>
              <w:t>2.8</w:t>
            </w:r>
          </w:p>
        </w:tc>
        <w:tc>
          <w:tcPr>
            <w:tcW w:w="390" w:type="pct"/>
            <w:noWrap/>
            <w:hideMark/>
          </w:tcPr>
          <w:p w14:paraId="3D130D5F" w14:textId="77777777" w:rsidR="00CA7676" w:rsidRPr="00E14EE6" w:rsidRDefault="00CA7676" w:rsidP="00E14EE6">
            <w:pPr>
              <w:jc w:val="right"/>
              <w:rPr>
                <w:rFonts w:eastAsia="Times New Roman" w:cs="Times New Roman"/>
                <w:color w:val="000000"/>
                <w:sz w:val="14"/>
                <w:szCs w:val="14"/>
              </w:rPr>
            </w:pPr>
            <w:r w:rsidRPr="00E14EE6">
              <w:rPr>
                <w:sz w:val="14"/>
              </w:rPr>
              <w:t>2.3</w:t>
            </w:r>
          </w:p>
        </w:tc>
        <w:tc>
          <w:tcPr>
            <w:tcW w:w="390" w:type="pct"/>
            <w:noWrap/>
            <w:hideMark/>
          </w:tcPr>
          <w:p w14:paraId="1EF4BDD2" w14:textId="77777777" w:rsidR="00CA7676" w:rsidRPr="00E14EE6" w:rsidRDefault="00CA7676" w:rsidP="00E14EE6">
            <w:pPr>
              <w:jc w:val="right"/>
              <w:rPr>
                <w:rFonts w:eastAsia="Times New Roman" w:cs="Times New Roman"/>
                <w:color w:val="000000"/>
                <w:sz w:val="14"/>
                <w:szCs w:val="14"/>
              </w:rPr>
            </w:pPr>
            <w:r w:rsidRPr="00E14EE6">
              <w:rPr>
                <w:sz w:val="14"/>
              </w:rPr>
              <w:t>3.0</w:t>
            </w:r>
          </w:p>
        </w:tc>
        <w:tc>
          <w:tcPr>
            <w:tcW w:w="390" w:type="pct"/>
            <w:noWrap/>
            <w:hideMark/>
          </w:tcPr>
          <w:p w14:paraId="2E22DFA1" w14:textId="77777777" w:rsidR="00CA7676" w:rsidRPr="00E14EE6" w:rsidRDefault="00CA7676" w:rsidP="00E14EE6">
            <w:pPr>
              <w:jc w:val="right"/>
              <w:rPr>
                <w:rFonts w:eastAsia="Times New Roman" w:cs="Times New Roman"/>
                <w:color w:val="000000"/>
                <w:sz w:val="14"/>
                <w:szCs w:val="14"/>
              </w:rPr>
            </w:pPr>
            <w:r w:rsidRPr="00E14EE6">
              <w:rPr>
                <w:sz w:val="14"/>
              </w:rPr>
              <w:t>2.7</w:t>
            </w:r>
          </w:p>
        </w:tc>
        <w:tc>
          <w:tcPr>
            <w:tcW w:w="390" w:type="pct"/>
            <w:noWrap/>
            <w:hideMark/>
          </w:tcPr>
          <w:p w14:paraId="0AEA0220" w14:textId="77777777" w:rsidR="00CA7676" w:rsidRPr="00E14EE6" w:rsidRDefault="00CA7676" w:rsidP="00E14EE6">
            <w:pPr>
              <w:jc w:val="right"/>
              <w:rPr>
                <w:rFonts w:eastAsia="Times New Roman" w:cs="Times New Roman"/>
                <w:color w:val="000000"/>
                <w:sz w:val="14"/>
                <w:szCs w:val="14"/>
              </w:rPr>
            </w:pPr>
            <w:r w:rsidRPr="00E14EE6">
              <w:rPr>
                <w:sz w:val="14"/>
              </w:rPr>
              <w:t>2.6</w:t>
            </w:r>
          </w:p>
        </w:tc>
        <w:tc>
          <w:tcPr>
            <w:tcW w:w="390" w:type="pct"/>
            <w:noWrap/>
            <w:hideMark/>
          </w:tcPr>
          <w:p w14:paraId="4E6048E9" w14:textId="77777777" w:rsidR="00CA7676" w:rsidRPr="00E14EE6" w:rsidRDefault="00CA7676" w:rsidP="00E14EE6">
            <w:pPr>
              <w:jc w:val="right"/>
              <w:rPr>
                <w:rFonts w:eastAsia="Times New Roman" w:cs="Times New Roman"/>
                <w:color w:val="000000"/>
                <w:sz w:val="14"/>
                <w:szCs w:val="14"/>
              </w:rPr>
            </w:pPr>
            <w:r w:rsidRPr="00E14EE6">
              <w:rPr>
                <w:sz w:val="14"/>
              </w:rPr>
              <w:t>2.7</w:t>
            </w:r>
          </w:p>
        </w:tc>
        <w:tc>
          <w:tcPr>
            <w:tcW w:w="390" w:type="pct"/>
            <w:noWrap/>
            <w:hideMark/>
          </w:tcPr>
          <w:p w14:paraId="5ED9F0D4" w14:textId="77777777" w:rsidR="00CA7676" w:rsidRPr="00E14EE6" w:rsidRDefault="00CA7676" w:rsidP="00E14EE6">
            <w:pPr>
              <w:jc w:val="right"/>
              <w:rPr>
                <w:rFonts w:eastAsia="Times New Roman" w:cs="Times New Roman"/>
                <w:color w:val="000000"/>
                <w:sz w:val="14"/>
                <w:szCs w:val="14"/>
              </w:rPr>
            </w:pPr>
            <w:r w:rsidRPr="00E14EE6">
              <w:rPr>
                <w:sz w:val="14"/>
              </w:rPr>
              <w:t>3.4</w:t>
            </w:r>
          </w:p>
        </w:tc>
        <w:tc>
          <w:tcPr>
            <w:tcW w:w="390" w:type="pct"/>
            <w:noWrap/>
            <w:hideMark/>
          </w:tcPr>
          <w:p w14:paraId="69F8DB37" w14:textId="77777777" w:rsidR="00CA7676" w:rsidRPr="00E14EE6" w:rsidRDefault="00CA7676" w:rsidP="00E14EE6">
            <w:pPr>
              <w:jc w:val="right"/>
              <w:rPr>
                <w:rFonts w:eastAsia="Times New Roman" w:cs="Times New Roman"/>
                <w:color w:val="000000"/>
                <w:sz w:val="14"/>
                <w:szCs w:val="14"/>
              </w:rPr>
            </w:pPr>
            <w:r w:rsidRPr="00E14EE6">
              <w:rPr>
                <w:sz w:val="14"/>
              </w:rPr>
              <w:t>3.3</w:t>
            </w:r>
          </w:p>
        </w:tc>
        <w:tc>
          <w:tcPr>
            <w:tcW w:w="390" w:type="pct"/>
            <w:noWrap/>
            <w:hideMark/>
          </w:tcPr>
          <w:p w14:paraId="0AFEC3E5" w14:textId="77777777" w:rsidR="00CA7676" w:rsidRPr="00E14EE6" w:rsidRDefault="00CA7676" w:rsidP="00E14EE6">
            <w:pPr>
              <w:jc w:val="right"/>
              <w:rPr>
                <w:rFonts w:eastAsia="Times New Roman" w:cs="Times New Roman"/>
                <w:sz w:val="14"/>
                <w:szCs w:val="14"/>
              </w:rPr>
            </w:pPr>
            <w:r w:rsidRPr="00E14EE6">
              <w:rPr>
                <w:sz w:val="14"/>
              </w:rPr>
              <w:t>2.5</w:t>
            </w:r>
          </w:p>
        </w:tc>
      </w:tr>
      <w:tr w:rsidR="00CA7676" w:rsidRPr="00E14EE6" w14:paraId="145278CE" w14:textId="77777777" w:rsidTr="00FD6B66">
        <w:trPr>
          <w:cantSplit/>
          <w:trHeight w:val="20"/>
        </w:trPr>
        <w:tc>
          <w:tcPr>
            <w:tcW w:w="1492" w:type="pct"/>
            <w:noWrap/>
            <w:hideMark/>
          </w:tcPr>
          <w:p w14:paraId="2C550F56" w14:textId="77777777" w:rsidR="00CA7676" w:rsidRPr="00E14EE6" w:rsidRDefault="00CA7676" w:rsidP="00E14EE6">
            <w:pPr>
              <w:ind w:firstLineChars="200" w:firstLine="280"/>
              <w:jc w:val="left"/>
              <w:rPr>
                <w:rFonts w:eastAsia="Times New Roman" w:cs="Times New Roman"/>
                <w:sz w:val="14"/>
                <w:szCs w:val="14"/>
              </w:rPr>
            </w:pPr>
            <w:r w:rsidRPr="00E14EE6">
              <w:rPr>
                <w:sz w:val="14"/>
              </w:rPr>
              <w:t>To foreign governments</w:t>
            </w:r>
          </w:p>
        </w:tc>
        <w:tc>
          <w:tcPr>
            <w:tcW w:w="389" w:type="pct"/>
            <w:noWrap/>
            <w:hideMark/>
          </w:tcPr>
          <w:p w14:paraId="563A1C60" w14:textId="77777777" w:rsidR="00CA7676" w:rsidRPr="00E14EE6" w:rsidRDefault="00CA7676" w:rsidP="00E14EE6">
            <w:pPr>
              <w:jc w:val="right"/>
              <w:rPr>
                <w:rFonts w:eastAsia="Times New Roman" w:cs="Times New Roman"/>
                <w:color w:val="000000"/>
                <w:sz w:val="14"/>
                <w:szCs w:val="14"/>
              </w:rPr>
            </w:pPr>
            <w:r w:rsidRPr="00E14EE6">
              <w:rPr>
                <w:sz w:val="14"/>
              </w:rPr>
              <w:t>0.0</w:t>
            </w:r>
          </w:p>
        </w:tc>
        <w:tc>
          <w:tcPr>
            <w:tcW w:w="390" w:type="pct"/>
            <w:noWrap/>
            <w:hideMark/>
          </w:tcPr>
          <w:p w14:paraId="0E5F6951" w14:textId="77777777" w:rsidR="00CA7676" w:rsidRPr="00E14EE6" w:rsidRDefault="00CA7676" w:rsidP="00E14EE6">
            <w:pPr>
              <w:jc w:val="right"/>
              <w:rPr>
                <w:rFonts w:eastAsia="Times New Roman" w:cs="Times New Roman"/>
                <w:color w:val="000000"/>
                <w:sz w:val="14"/>
                <w:szCs w:val="14"/>
              </w:rPr>
            </w:pPr>
            <w:r w:rsidRPr="00E14EE6">
              <w:rPr>
                <w:sz w:val="14"/>
              </w:rPr>
              <w:t>0.0</w:t>
            </w:r>
          </w:p>
        </w:tc>
        <w:tc>
          <w:tcPr>
            <w:tcW w:w="390" w:type="pct"/>
            <w:noWrap/>
            <w:hideMark/>
          </w:tcPr>
          <w:p w14:paraId="7D58051D" w14:textId="77777777" w:rsidR="00CA7676" w:rsidRPr="00E14EE6" w:rsidRDefault="00CA7676" w:rsidP="00E14EE6">
            <w:pPr>
              <w:jc w:val="right"/>
              <w:rPr>
                <w:rFonts w:eastAsia="Times New Roman" w:cs="Times New Roman"/>
                <w:color w:val="000000"/>
                <w:sz w:val="14"/>
                <w:szCs w:val="14"/>
              </w:rPr>
            </w:pPr>
            <w:r w:rsidRPr="00E14EE6">
              <w:rPr>
                <w:sz w:val="14"/>
              </w:rPr>
              <w:t>0.0</w:t>
            </w:r>
          </w:p>
        </w:tc>
        <w:tc>
          <w:tcPr>
            <w:tcW w:w="390" w:type="pct"/>
            <w:noWrap/>
            <w:hideMark/>
          </w:tcPr>
          <w:p w14:paraId="34C92EAF" w14:textId="77777777" w:rsidR="00CA7676" w:rsidRPr="00E14EE6" w:rsidRDefault="00CA7676" w:rsidP="00E14EE6">
            <w:pPr>
              <w:jc w:val="right"/>
              <w:rPr>
                <w:rFonts w:eastAsia="Times New Roman" w:cs="Times New Roman"/>
                <w:color w:val="000000"/>
                <w:sz w:val="14"/>
                <w:szCs w:val="14"/>
              </w:rPr>
            </w:pPr>
            <w:r w:rsidRPr="00E14EE6">
              <w:rPr>
                <w:sz w:val="14"/>
              </w:rPr>
              <w:t>0.0</w:t>
            </w:r>
          </w:p>
        </w:tc>
        <w:tc>
          <w:tcPr>
            <w:tcW w:w="390" w:type="pct"/>
            <w:noWrap/>
            <w:hideMark/>
          </w:tcPr>
          <w:p w14:paraId="2510C0E0" w14:textId="77777777" w:rsidR="00CA7676" w:rsidRPr="00E14EE6" w:rsidRDefault="00CA7676" w:rsidP="00E14EE6">
            <w:pPr>
              <w:jc w:val="right"/>
              <w:rPr>
                <w:rFonts w:eastAsia="Times New Roman" w:cs="Times New Roman"/>
                <w:color w:val="000000"/>
                <w:sz w:val="14"/>
                <w:szCs w:val="14"/>
              </w:rPr>
            </w:pPr>
            <w:r w:rsidRPr="00E14EE6">
              <w:rPr>
                <w:sz w:val="14"/>
              </w:rPr>
              <w:t>0.0</w:t>
            </w:r>
          </w:p>
        </w:tc>
        <w:tc>
          <w:tcPr>
            <w:tcW w:w="390" w:type="pct"/>
            <w:noWrap/>
            <w:hideMark/>
          </w:tcPr>
          <w:p w14:paraId="0EC407ED" w14:textId="77777777" w:rsidR="00CA7676" w:rsidRPr="00E14EE6" w:rsidRDefault="00CA7676" w:rsidP="00E14EE6">
            <w:pPr>
              <w:jc w:val="right"/>
              <w:rPr>
                <w:rFonts w:eastAsia="Times New Roman" w:cs="Times New Roman"/>
                <w:color w:val="000000"/>
                <w:sz w:val="14"/>
                <w:szCs w:val="14"/>
              </w:rPr>
            </w:pPr>
            <w:r w:rsidRPr="00E14EE6">
              <w:rPr>
                <w:sz w:val="14"/>
              </w:rPr>
              <w:t>0.0</w:t>
            </w:r>
          </w:p>
        </w:tc>
        <w:tc>
          <w:tcPr>
            <w:tcW w:w="390" w:type="pct"/>
            <w:noWrap/>
            <w:hideMark/>
          </w:tcPr>
          <w:p w14:paraId="1170CB91" w14:textId="77777777" w:rsidR="00CA7676" w:rsidRPr="00E14EE6" w:rsidRDefault="00CA7676" w:rsidP="00E14EE6">
            <w:pPr>
              <w:jc w:val="right"/>
              <w:rPr>
                <w:rFonts w:eastAsia="Times New Roman" w:cs="Times New Roman"/>
                <w:color w:val="000000"/>
                <w:sz w:val="14"/>
                <w:szCs w:val="14"/>
              </w:rPr>
            </w:pPr>
            <w:r w:rsidRPr="00E14EE6">
              <w:rPr>
                <w:sz w:val="14"/>
              </w:rPr>
              <w:t>0.0</w:t>
            </w:r>
          </w:p>
        </w:tc>
        <w:tc>
          <w:tcPr>
            <w:tcW w:w="390" w:type="pct"/>
            <w:noWrap/>
            <w:hideMark/>
          </w:tcPr>
          <w:p w14:paraId="2F3E438E" w14:textId="77777777" w:rsidR="00CA7676" w:rsidRPr="00E14EE6" w:rsidRDefault="00CA7676" w:rsidP="00E14EE6">
            <w:pPr>
              <w:jc w:val="right"/>
              <w:rPr>
                <w:rFonts w:eastAsia="Times New Roman" w:cs="Times New Roman"/>
                <w:color w:val="000000"/>
                <w:sz w:val="14"/>
                <w:szCs w:val="14"/>
              </w:rPr>
            </w:pPr>
            <w:r w:rsidRPr="00E14EE6">
              <w:rPr>
                <w:sz w:val="14"/>
              </w:rPr>
              <w:t>0.0</w:t>
            </w:r>
          </w:p>
        </w:tc>
        <w:tc>
          <w:tcPr>
            <w:tcW w:w="390" w:type="pct"/>
            <w:noWrap/>
            <w:hideMark/>
          </w:tcPr>
          <w:p w14:paraId="02B27C2D" w14:textId="77777777" w:rsidR="00CA7676" w:rsidRPr="00E14EE6" w:rsidRDefault="00CA7676" w:rsidP="00E14EE6">
            <w:pPr>
              <w:jc w:val="right"/>
              <w:rPr>
                <w:rFonts w:eastAsia="Times New Roman" w:cs="Times New Roman"/>
                <w:sz w:val="14"/>
                <w:szCs w:val="14"/>
              </w:rPr>
            </w:pPr>
            <w:r w:rsidRPr="00E14EE6">
              <w:rPr>
                <w:sz w:val="14"/>
              </w:rPr>
              <w:t>0.0</w:t>
            </w:r>
          </w:p>
        </w:tc>
      </w:tr>
      <w:tr w:rsidR="00CA7676" w:rsidRPr="00E14EE6" w14:paraId="2690B9FA" w14:textId="77777777" w:rsidTr="00FD6B66">
        <w:trPr>
          <w:cnfStyle w:val="000000010000" w:firstRow="0" w:lastRow="0" w:firstColumn="0" w:lastColumn="0" w:oddVBand="0" w:evenVBand="0" w:oddHBand="0" w:evenHBand="1" w:firstRowFirstColumn="0" w:firstRowLastColumn="0" w:lastRowFirstColumn="0" w:lastRowLastColumn="0"/>
          <w:cantSplit/>
          <w:trHeight w:val="20"/>
        </w:trPr>
        <w:tc>
          <w:tcPr>
            <w:tcW w:w="1492" w:type="pct"/>
            <w:noWrap/>
            <w:hideMark/>
          </w:tcPr>
          <w:p w14:paraId="3AF141FE" w14:textId="77777777" w:rsidR="00CA7676" w:rsidRPr="00E14EE6" w:rsidRDefault="00CA7676" w:rsidP="00E14EE6">
            <w:pPr>
              <w:ind w:firstLineChars="200" w:firstLine="280"/>
              <w:jc w:val="left"/>
              <w:rPr>
                <w:rFonts w:eastAsia="Times New Roman" w:cs="Times New Roman"/>
                <w:sz w:val="14"/>
                <w:szCs w:val="14"/>
              </w:rPr>
            </w:pPr>
            <w:r w:rsidRPr="00E14EE6">
              <w:rPr>
                <w:sz w:val="14"/>
              </w:rPr>
              <w:t>To international organizations</w:t>
            </w:r>
          </w:p>
        </w:tc>
        <w:tc>
          <w:tcPr>
            <w:tcW w:w="389" w:type="pct"/>
            <w:noWrap/>
            <w:hideMark/>
          </w:tcPr>
          <w:p w14:paraId="547D7EDF" w14:textId="77777777" w:rsidR="00CA7676" w:rsidRPr="00E14EE6" w:rsidRDefault="00CA7676" w:rsidP="00E14EE6">
            <w:pPr>
              <w:jc w:val="right"/>
              <w:rPr>
                <w:rFonts w:eastAsia="Times New Roman" w:cs="Times New Roman"/>
                <w:color w:val="000000"/>
                <w:sz w:val="14"/>
                <w:szCs w:val="14"/>
              </w:rPr>
            </w:pPr>
            <w:r w:rsidRPr="00E14EE6">
              <w:rPr>
                <w:sz w:val="14"/>
              </w:rPr>
              <w:t>0.0</w:t>
            </w:r>
          </w:p>
        </w:tc>
        <w:tc>
          <w:tcPr>
            <w:tcW w:w="390" w:type="pct"/>
            <w:noWrap/>
            <w:hideMark/>
          </w:tcPr>
          <w:p w14:paraId="6D79036E" w14:textId="77777777" w:rsidR="00CA7676" w:rsidRPr="00E14EE6" w:rsidRDefault="00CA7676" w:rsidP="00E14EE6">
            <w:pPr>
              <w:jc w:val="right"/>
              <w:rPr>
                <w:rFonts w:eastAsia="Times New Roman" w:cs="Times New Roman"/>
                <w:color w:val="000000"/>
                <w:sz w:val="14"/>
                <w:szCs w:val="14"/>
              </w:rPr>
            </w:pPr>
            <w:r w:rsidRPr="00E14EE6">
              <w:rPr>
                <w:sz w:val="14"/>
              </w:rPr>
              <w:t>0.0</w:t>
            </w:r>
          </w:p>
        </w:tc>
        <w:tc>
          <w:tcPr>
            <w:tcW w:w="390" w:type="pct"/>
            <w:noWrap/>
            <w:hideMark/>
          </w:tcPr>
          <w:p w14:paraId="56858BAB" w14:textId="77777777" w:rsidR="00CA7676" w:rsidRPr="00E14EE6" w:rsidRDefault="00CA7676" w:rsidP="00E14EE6">
            <w:pPr>
              <w:jc w:val="right"/>
              <w:rPr>
                <w:rFonts w:eastAsia="Times New Roman" w:cs="Times New Roman"/>
                <w:color w:val="000000"/>
                <w:sz w:val="14"/>
                <w:szCs w:val="14"/>
              </w:rPr>
            </w:pPr>
            <w:r w:rsidRPr="00E14EE6">
              <w:rPr>
                <w:sz w:val="14"/>
              </w:rPr>
              <w:t>0.0</w:t>
            </w:r>
          </w:p>
        </w:tc>
        <w:tc>
          <w:tcPr>
            <w:tcW w:w="390" w:type="pct"/>
            <w:noWrap/>
            <w:hideMark/>
          </w:tcPr>
          <w:p w14:paraId="5C4C10F0" w14:textId="77777777" w:rsidR="00CA7676" w:rsidRPr="00E14EE6" w:rsidRDefault="00CA7676" w:rsidP="00E14EE6">
            <w:pPr>
              <w:jc w:val="right"/>
              <w:rPr>
                <w:rFonts w:eastAsia="Times New Roman" w:cs="Times New Roman"/>
                <w:color w:val="000000"/>
                <w:sz w:val="14"/>
                <w:szCs w:val="14"/>
              </w:rPr>
            </w:pPr>
            <w:r w:rsidRPr="00E14EE6">
              <w:rPr>
                <w:sz w:val="14"/>
              </w:rPr>
              <w:t>0.0</w:t>
            </w:r>
          </w:p>
        </w:tc>
        <w:tc>
          <w:tcPr>
            <w:tcW w:w="390" w:type="pct"/>
            <w:noWrap/>
            <w:hideMark/>
          </w:tcPr>
          <w:p w14:paraId="6D329DA7" w14:textId="77777777" w:rsidR="00CA7676" w:rsidRPr="00E14EE6" w:rsidRDefault="00CA7676" w:rsidP="00E14EE6">
            <w:pPr>
              <w:jc w:val="right"/>
              <w:rPr>
                <w:rFonts w:eastAsia="Times New Roman" w:cs="Times New Roman"/>
                <w:color w:val="000000"/>
                <w:sz w:val="14"/>
                <w:szCs w:val="14"/>
              </w:rPr>
            </w:pPr>
            <w:r w:rsidRPr="00E14EE6">
              <w:rPr>
                <w:sz w:val="14"/>
              </w:rPr>
              <w:t>0.0</w:t>
            </w:r>
          </w:p>
        </w:tc>
        <w:tc>
          <w:tcPr>
            <w:tcW w:w="390" w:type="pct"/>
            <w:noWrap/>
            <w:hideMark/>
          </w:tcPr>
          <w:p w14:paraId="49D70109" w14:textId="77777777" w:rsidR="00CA7676" w:rsidRPr="00E14EE6" w:rsidRDefault="00CA7676" w:rsidP="00E14EE6">
            <w:pPr>
              <w:jc w:val="right"/>
              <w:rPr>
                <w:rFonts w:eastAsia="Times New Roman" w:cs="Times New Roman"/>
                <w:color w:val="000000"/>
                <w:sz w:val="14"/>
                <w:szCs w:val="14"/>
              </w:rPr>
            </w:pPr>
            <w:r w:rsidRPr="00E14EE6">
              <w:rPr>
                <w:sz w:val="14"/>
              </w:rPr>
              <w:t>0.0</w:t>
            </w:r>
          </w:p>
        </w:tc>
        <w:tc>
          <w:tcPr>
            <w:tcW w:w="390" w:type="pct"/>
            <w:noWrap/>
            <w:hideMark/>
          </w:tcPr>
          <w:p w14:paraId="584F895D" w14:textId="77777777" w:rsidR="00CA7676" w:rsidRPr="00E14EE6" w:rsidRDefault="00CA7676" w:rsidP="00E14EE6">
            <w:pPr>
              <w:jc w:val="right"/>
              <w:rPr>
                <w:rFonts w:eastAsia="Times New Roman" w:cs="Times New Roman"/>
                <w:color w:val="000000"/>
                <w:sz w:val="14"/>
                <w:szCs w:val="14"/>
              </w:rPr>
            </w:pPr>
            <w:r w:rsidRPr="00E14EE6">
              <w:rPr>
                <w:sz w:val="14"/>
              </w:rPr>
              <w:t>0.0</w:t>
            </w:r>
          </w:p>
        </w:tc>
        <w:tc>
          <w:tcPr>
            <w:tcW w:w="390" w:type="pct"/>
            <w:noWrap/>
            <w:hideMark/>
          </w:tcPr>
          <w:p w14:paraId="7E559F7B" w14:textId="77777777" w:rsidR="00CA7676" w:rsidRPr="00E14EE6" w:rsidRDefault="00CA7676" w:rsidP="00E14EE6">
            <w:pPr>
              <w:jc w:val="right"/>
              <w:rPr>
                <w:rFonts w:eastAsia="Times New Roman" w:cs="Times New Roman"/>
                <w:color w:val="000000"/>
                <w:sz w:val="14"/>
                <w:szCs w:val="14"/>
              </w:rPr>
            </w:pPr>
            <w:r w:rsidRPr="00E14EE6">
              <w:rPr>
                <w:sz w:val="14"/>
              </w:rPr>
              <w:t>0.1</w:t>
            </w:r>
          </w:p>
        </w:tc>
        <w:tc>
          <w:tcPr>
            <w:tcW w:w="390" w:type="pct"/>
            <w:noWrap/>
            <w:hideMark/>
          </w:tcPr>
          <w:p w14:paraId="35D424B3" w14:textId="77777777" w:rsidR="00CA7676" w:rsidRPr="00E14EE6" w:rsidRDefault="00CA7676" w:rsidP="00E14EE6">
            <w:pPr>
              <w:jc w:val="right"/>
              <w:rPr>
                <w:rFonts w:eastAsia="Times New Roman" w:cs="Times New Roman"/>
                <w:sz w:val="14"/>
                <w:szCs w:val="14"/>
              </w:rPr>
            </w:pPr>
            <w:r w:rsidRPr="00E14EE6">
              <w:rPr>
                <w:sz w:val="14"/>
              </w:rPr>
              <w:t>0.0</w:t>
            </w:r>
          </w:p>
        </w:tc>
      </w:tr>
      <w:tr w:rsidR="00CA7676" w:rsidRPr="00E14EE6" w14:paraId="736AD410" w14:textId="77777777" w:rsidTr="00FD6B66">
        <w:trPr>
          <w:cantSplit/>
          <w:trHeight w:val="20"/>
        </w:trPr>
        <w:tc>
          <w:tcPr>
            <w:tcW w:w="1492" w:type="pct"/>
            <w:noWrap/>
            <w:hideMark/>
          </w:tcPr>
          <w:p w14:paraId="193B6239" w14:textId="77777777" w:rsidR="00CA7676" w:rsidRPr="00E14EE6" w:rsidRDefault="00CA7676" w:rsidP="00E14EE6">
            <w:pPr>
              <w:ind w:firstLineChars="200" w:firstLine="280"/>
              <w:jc w:val="left"/>
              <w:rPr>
                <w:rFonts w:eastAsia="Times New Roman" w:cs="Times New Roman"/>
                <w:sz w:val="14"/>
                <w:szCs w:val="14"/>
              </w:rPr>
            </w:pPr>
            <w:r w:rsidRPr="00E14EE6">
              <w:rPr>
                <w:sz w:val="14"/>
              </w:rPr>
              <w:t>To other units of the general Government</w:t>
            </w:r>
          </w:p>
        </w:tc>
        <w:tc>
          <w:tcPr>
            <w:tcW w:w="389" w:type="pct"/>
            <w:noWrap/>
            <w:hideMark/>
          </w:tcPr>
          <w:p w14:paraId="1633D33E" w14:textId="77777777" w:rsidR="00CA7676" w:rsidRPr="00E14EE6" w:rsidRDefault="00CA7676" w:rsidP="00E14EE6">
            <w:pPr>
              <w:jc w:val="right"/>
              <w:rPr>
                <w:rFonts w:eastAsia="Times New Roman" w:cs="Times New Roman"/>
                <w:color w:val="000000"/>
                <w:sz w:val="14"/>
                <w:szCs w:val="14"/>
              </w:rPr>
            </w:pPr>
            <w:r w:rsidRPr="00E14EE6">
              <w:rPr>
                <w:sz w:val="14"/>
              </w:rPr>
              <w:t>2.8</w:t>
            </w:r>
          </w:p>
        </w:tc>
        <w:tc>
          <w:tcPr>
            <w:tcW w:w="390" w:type="pct"/>
            <w:noWrap/>
            <w:hideMark/>
          </w:tcPr>
          <w:p w14:paraId="5D3B9D48" w14:textId="77777777" w:rsidR="00CA7676" w:rsidRPr="00E14EE6" w:rsidRDefault="00CA7676" w:rsidP="00E14EE6">
            <w:pPr>
              <w:jc w:val="right"/>
              <w:rPr>
                <w:rFonts w:eastAsia="Times New Roman" w:cs="Times New Roman"/>
                <w:color w:val="000000"/>
                <w:sz w:val="14"/>
                <w:szCs w:val="14"/>
              </w:rPr>
            </w:pPr>
            <w:r w:rsidRPr="00E14EE6">
              <w:rPr>
                <w:sz w:val="14"/>
              </w:rPr>
              <w:t>2.3</w:t>
            </w:r>
          </w:p>
        </w:tc>
        <w:tc>
          <w:tcPr>
            <w:tcW w:w="390" w:type="pct"/>
            <w:noWrap/>
            <w:hideMark/>
          </w:tcPr>
          <w:p w14:paraId="530DAFFE" w14:textId="77777777" w:rsidR="00CA7676" w:rsidRPr="00E14EE6" w:rsidRDefault="00CA7676" w:rsidP="00E14EE6">
            <w:pPr>
              <w:jc w:val="right"/>
              <w:rPr>
                <w:rFonts w:eastAsia="Times New Roman" w:cs="Times New Roman"/>
                <w:color w:val="000000"/>
                <w:sz w:val="14"/>
                <w:szCs w:val="14"/>
              </w:rPr>
            </w:pPr>
            <w:r w:rsidRPr="00E14EE6">
              <w:rPr>
                <w:sz w:val="14"/>
              </w:rPr>
              <w:t>3.0</w:t>
            </w:r>
          </w:p>
        </w:tc>
        <w:tc>
          <w:tcPr>
            <w:tcW w:w="390" w:type="pct"/>
            <w:noWrap/>
            <w:hideMark/>
          </w:tcPr>
          <w:p w14:paraId="4F257F23" w14:textId="77777777" w:rsidR="00CA7676" w:rsidRPr="00E14EE6" w:rsidRDefault="00CA7676" w:rsidP="00E14EE6">
            <w:pPr>
              <w:jc w:val="right"/>
              <w:rPr>
                <w:rFonts w:eastAsia="Times New Roman" w:cs="Times New Roman"/>
                <w:color w:val="000000"/>
                <w:sz w:val="14"/>
                <w:szCs w:val="14"/>
              </w:rPr>
            </w:pPr>
            <w:r w:rsidRPr="00E14EE6">
              <w:rPr>
                <w:sz w:val="14"/>
              </w:rPr>
              <w:t>2.7</w:t>
            </w:r>
          </w:p>
        </w:tc>
        <w:tc>
          <w:tcPr>
            <w:tcW w:w="390" w:type="pct"/>
            <w:noWrap/>
            <w:hideMark/>
          </w:tcPr>
          <w:p w14:paraId="6C8B2FB6" w14:textId="77777777" w:rsidR="00CA7676" w:rsidRPr="00E14EE6" w:rsidRDefault="00CA7676" w:rsidP="00E14EE6">
            <w:pPr>
              <w:jc w:val="right"/>
              <w:rPr>
                <w:rFonts w:eastAsia="Times New Roman" w:cs="Times New Roman"/>
                <w:color w:val="000000"/>
                <w:sz w:val="14"/>
                <w:szCs w:val="14"/>
              </w:rPr>
            </w:pPr>
            <w:r w:rsidRPr="00E14EE6">
              <w:rPr>
                <w:sz w:val="14"/>
              </w:rPr>
              <w:t>2.6</w:t>
            </w:r>
          </w:p>
        </w:tc>
        <w:tc>
          <w:tcPr>
            <w:tcW w:w="390" w:type="pct"/>
            <w:noWrap/>
            <w:hideMark/>
          </w:tcPr>
          <w:p w14:paraId="32B25CB1" w14:textId="77777777" w:rsidR="00CA7676" w:rsidRPr="00E14EE6" w:rsidRDefault="00CA7676" w:rsidP="00E14EE6">
            <w:pPr>
              <w:jc w:val="right"/>
              <w:rPr>
                <w:rFonts w:eastAsia="Times New Roman" w:cs="Times New Roman"/>
                <w:color w:val="000000"/>
                <w:sz w:val="14"/>
                <w:szCs w:val="14"/>
              </w:rPr>
            </w:pPr>
            <w:r w:rsidRPr="00E14EE6">
              <w:rPr>
                <w:sz w:val="14"/>
              </w:rPr>
              <w:t>2.7</w:t>
            </w:r>
          </w:p>
        </w:tc>
        <w:tc>
          <w:tcPr>
            <w:tcW w:w="390" w:type="pct"/>
            <w:noWrap/>
            <w:hideMark/>
          </w:tcPr>
          <w:p w14:paraId="7F9ACAA3" w14:textId="77777777" w:rsidR="00CA7676" w:rsidRPr="00E14EE6" w:rsidRDefault="00CA7676" w:rsidP="00E14EE6">
            <w:pPr>
              <w:jc w:val="right"/>
              <w:rPr>
                <w:rFonts w:eastAsia="Times New Roman" w:cs="Times New Roman"/>
                <w:color w:val="000000"/>
                <w:sz w:val="14"/>
                <w:szCs w:val="14"/>
              </w:rPr>
            </w:pPr>
            <w:r w:rsidRPr="00E14EE6">
              <w:rPr>
                <w:sz w:val="14"/>
              </w:rPr>
              <w:t>3.3</w:t>
            </w:r>
          </w:p>
        </w:tc>
        <w:tc>
          <w:tcPr>
            <w:tcW w:w="390" w:type="pct"/>
            <w:noWrap/>
            <w:hideMark/>
          </w:tcPr>
          <w:p w14:paraId="705CD555" w14:textId="77777777" w:rsidR="00CA7676" w:rsidRPr="00E14EE6" w:rsidRDefault="00CA7676" w:rsidP="00E14EE6">
            <w:pPr>
              <w:jc w:val="right"/>
              <w:rPr>
                <w:rFonts w:eastAsia="Times New Roman" w:cs="Times New Roman"/>
                <w:color w:val="000000"/>
                <w:sz w:val="14"/>
                <w:szCs w:val="14"/>
              </w:rPr>
            </w:pPr>
            <w:r w:rsidRPr="00E14EE6">
              <w:rPr>
                <w:sz w:val="14"/>
              </w:rPr>
              <w:t>3.3</w:t>
            </w:r>
          </w:p>
        </w:tc>
        <w:tc>
          <w:tcPr>
            <w:tcW w:w="390" w:type="pct"/>
            <w:noWrap/>
            <w:hideMark/>
          </w:tcPr>
          <w:p w14:paraId="3471237A" w14:textId="77777777" w:rsidR="00CA7676" w:rsidRPr="00E14EE6" w:rsidRDefault="00CA7676" w:rsidP="00E14EE6">
            <w:pPr>
              <w:jc w:val="right"/>
              <w:rPr>
                <w:rFonts w:eastAsia="Times New Roman" w:cs="Times New Roman"/>
                <w:sz w:val="14"/>
                <w:szCs w:val="14"/>
              </w:rPr>
            </w:pPr>
            <w:r w:rsidRPr="00E14EE6">
              <w:rPr>
                <w:sz w:val="14"/>
              </w:rPr>
              <w:t>2.5</w:t>
            </w:r>
          </w:p>
        </w:tc>
      </w:tr>
      <w:tr w:rsidR="00CA7676" w:rsidRPr="00E14EE6" w14:paraId="66778805" w14:textId="77777777" w:rsidTr="00FD6B66">
        <w:trPr>
          <w:cnfStyle w:val="000000010000" w:firstRow="0" w:lastRow="0" w:firstColumn="0" w:lastColumn="0" w:oddVBand="0" w:evenVBand="0" w:oddHBand="0" w:evenHBand="1" w:firstRowFirstColumn="0" w:firstRowLastColumn="0" w:lastRowFirstColumn="0" w:lastRowLastColumn="0"/>
          <w:cantSplit/>
          <w:trHeight w:val="20"/>
        </w:trPr>
        <w:tc>
          <w:tcPr>
            <w:tcW w:w="1492" w:type="pct"/>
            <w:noWrap/>
            <w:hideMark/>
          </w:tcPr>
          <w:p w14:paraId="6456545C" w14:textId="6442D9D1" w:rsidR="00CA7676" w:rsidRPr="00E14EE6" w:rsidRDefault="00CA7676" w:rsidP="00E14EE6">
            <w:pPr>
              <w:ind w:firstLineChars="100" w:firstLine="140"/>
              <w:jc w:val="left"/>
              <w:rPr>
                <w:rFonts w:eastAsia="Times New Roman" w:cs="Times New Roman"/>
                <w:sz w:val="14"/>
                <w:szCs w:val="14"/>
              </w:rPr>
            </w:pPr>
            <w:r w:rsidRPr="00E14EE6">
              <w:rPr>
                <w:sz w:val="14"/>
              </w:rPr>
              <w:t>Social benefits</w:t>
            </w:r>
          </w:p>
        </w:tc>
        <w:tc>
          <w:tcPr>
            <w:tcW w:w="389" w:type="pct"/>
            <w:noWrap/>
            <w:hideMark/>
          </w:tcPr>
          <w:p w14:paraId="5EEF32A6" w14:textId="77777777" w:rsidR="00CA7676" w:rsidRPr="00E14EE6" w:rsidRDefault="00CA7676" w:rsidP="00E14EE6">
            <w:pPr>
              <w:jc w:val="right"/>
              <w:rPr>
                <w:rFonts w:eastAsia="Times New Roman" w:cs="Times New Roman"/>
                <w:color w:val="000000"/>
                <w:sz w:val="14"/>
                <w:szCs w:val="14"/>
              </w:rPr>
            </w:pPr>
            <w:r w:rsidRPr="00E14EE6">
              <w:rPr>
                <w:sz w:val="14"/>
              </w:rPr>
              <w:t>1.4</w:t>
            </w:r>
          </w:p>
        </w:tc>
        <w:tc>
          <w:tcPr>
            <w:tcW w:w="390" w:type="pct"/>
            <w:noWrap/>
            <w:hideMark/>
          </w:tcPr>
          <w:p w14:paraId="1976F35B" w14:textId="77777777" w:rsidR="00CA7676" w:rsidRPr="00E14EE6" w:rsidRDefault="00CA7676" w:rsidP="00E14EE6">
            <w:pPr>
              <w:jc w:val="right"/>
              <w:rPr>
                <w:rFonts w:eastAsia="Times New Roman" w:cs="Times New Roman"/>
                <w:color w:val="000000"/>
                <w:sz w:val="14"/>
                <w:szCs w:val="14"/>
              </w:rPr>
            </w:pPr>
            <w:r w:rsidRPr="00E14EE6">
              <w:rPr>
                <w:sz w:val="14"/>
              </w:rPr>
              <w:t>1.3</w:t>
            </w:r>
          </w:p>
        </w:tc>
        <w:tc>
          <w:tcPr>
            <w:tcW w:w="390" w:type="pct"/>
            <w:noWrap/>
            <w:hideMark/>
          </w:tcPr>
          <w:p w14:paraId="0362B6DD" w14:textId="77777777" w:rsidR="00CA7676" w:rsidRPr="00E14EE6" w:rsidRDefault="00CA7676" w:rsidP="00E14EE6">
            <w:pPr>
              <w:jc w:val="right"/>
              <w:rPr>
                <w:rFonts w:eastAsia="Times New Roman" w:cs="Times New Roman"/>
                <w:color w:val="000000"/>
                <w:sz w:val="14"/>
                <w:szCs w:val="14"/>
              </w:rPr>
            </w:pPr>
            <w:r w:rsidRPr="00E14EE6">
              <w:rPr>
                <w:sz w:val="14"/>
              </w:rPr>
              <w:t>1.2</w:t>
            </w:r>
          </w:p>
        </w:tc>
        <w:tc>
          <w:tcPr>
            <w:tcW w:w="390" w:type="pct"/>
            <w:noWrap/>
            <w:hideMark/>
          </w:tcPr>
          <w:p w14:paraId="7D0DF6BA" w14:textId="77777777" w:rsidR="00CA7676" w:rsidRPr="00E14EE6" w:rsidRDefault="00CA7676" w:rsidP="00E14EE6">
            <w:pPr>
              <w:jc w:val="right"/>
              <w:rPr>
                <w:rFonts w:eastAsia="Times New Roman" w:cs="Times New Roman"/>
                <w:color w:val="000000"/>
                <w:sz w:val="14"/>
                <w:szCs w:val="14"/>
              </w:rPr>
            </w:pPr>
            <w:r w:rsidRPr="00E14EE6">
              <w:rPr>
                <w:sz w:val="14"/>
              </w:rPr>
              <w:t>1.3</w:t>
            </w:r>
          </w:p>
        </w:tc>
        <w:tc>
          <w:tcPr>
            <w:tcW w:w="390" w:type="pct"/>
            <w:noWrap/>
            <w:hideMark/>
          </w:tcPr>
          <w:p w14:paraId="1BBF317D" w14:textId="77777777" w:rsidR="00CA7676" w:rsidRPr="00E14EE6" w:rsidRDefault="00CA7676" w:rsidP="00E14EE6">
            <w:pPr>
              <w:jc w:val="right"/>
              <w:rPr>
                <w:rFonts w:eastAsia="Times New Roman" w:cs="Times New Roman"/>
                <w:color w:val="000000"/>
                <w:sz w:val="14"/>
                <w:szCs w:val="14"/>
              </w:rPr>
            </w:pPr>
            <w:r w:rsidRPr="00E14EE6">
              <w:rPr>
                <w:sz w:val="14"/>
              </w:rPr>
              <w:t>1.2</w:t>
            </w:r>
          </w:p>
        </w:tc>
        <w:tc>
          <w:tcPr>
            <w:tcW w:w="390" w:type="pct"/>
            <w:noWrap/>
            <w:hideMark/>
          </w:tcPr>
          <w:p w14:paraId="10DA3BE4" w14:textId="77777777" w:rsidR="00CA7676" w:rsidRPr="00E14EE6" w:rsidRDefault="00CA7676" w:rsidP="00E14EE6">
            <w:pPr>
              <w:jc w:val="right"/>
              <w:rPr>
                <w:rFonts w:eastAsia="Times New Roman" w:cs="Times New Roman"/>
                <w:color w:val="000000"/>
                <w:sz w:val="14"/>
                <w:szCs w:val="14"/>
              </w:rPr>
            </w:pPr>
            <w:r w:rsidRPr="00E14EE6">
              <w:rPr>
                <w:sz w:val="14"/>
              </w:rPr>
              <w:t>1.3</w:t>
            </w:r>
          </w:p>
        </w:tc>
        <w:tc>
          <w:tcPr>
            <w:tcW w:w="390" w:type="pct"/>
            <w:noWrap/>
            <w:hideMark/>
          </w:tcPr>
          <w:p w14:paraId="1F384524" w14:textId="77777777" w:rsidR="00CA7676" w:rsidRPr="00E14EE6" w:rsidRDefault="00CA7676" w:rsidP="00E14EE6">
            <w:pPr>
              <w:jc w:val="right"/>
              <w:rPr>
                <w:rFonts w:eastAsia="Times New Roman" w:cs="Times New Roman"/>
                <w:color w:val="000000"/>
                <w:sz w:val="14"/>
                <w:szCs w:val="14"/>
              </w:rPr>
            </w:pPr>
            <w:r w:rsidRPr="00E14EE6">
              <w:rPr>
                <w:sz w:val="14"/>
              </w:rPr>
              <w:t>4.2</w:t>
            </w:r>
          </w:p>
        </w:tc>
        <w:tc>
          <w:tcPr>
            <w:tcW w:w="390" w:type="pct"/>
            <w:noWrap/>
            <w:hideMark/>
          </w:tcPr>
          <w:p w14:paraId="4CC1291B" w14:textId="77777777" w:rsidR="00CA7676" w:rsidRPr="00E14EE6" w:rsidRDefault="00CA7676" w:rsidP="00E14EE6">
            <w:pPr>
              <w:jc w:val="right"/>
              <w:rPr>
                <w:rFonts w:eastAsia="Times New Roman" w:cs="Times New Roman"/>
                <w:color w:val="000000"/>
                <w:sz w:val="14"/>
                <w:szCs w:val="14"/>
              </w:rPr>
            </w:pPr>
            <w:r w:rsidRPr="00E14EE6">
              <w:rPr>
                <w:sz w:val="14"/>
              </w:rPr>
              <w:t>1.7</w:t>
            </w:r>
          </w:p>
        </w:tc>
        <w:tc>
          <w:tcPr>
            <w:tcW w:w="390" w:type="pct"/>
            <w:noWrap/>
            <w:hideMark/>
          </w:tcPr>
          <w:p w14:paraId="2952BF09" w14:textId="77777777" w:rsidR="00CA7676" w:rsidRPr="00E14EE6" w:rsidRDefault="00CA7676" w:rsidP="00E14EE6">
            <w:pPr>
              <w:jc w:val="right"/>
              <w:rPr>
                <w:rFonts w:eastAsia="Times New Roman" w:cs="Times New Roman"/>
                <w:sz w:val="14"/>
                <w:szCs w:val="14"/>
              </w:rPr>
            </w:pPr>
            <w:r w:rsidRPr="00E14EE6">
              <w:rPr>
                <w:sz w:val="14"/>
              </w:rPr>
              <w:t>1.4</w:t>
            </w:r>
          </w:p>
        </w:tc>
      </w:tr>
      <w:tr w:rsidR="00CA7676" w:rsidRPr="00E14EE6" w14:paraId="1B13A791" w14:textId="77777777" w:rsidTr="00FD6B66">
        <w:trPr>
          <w:cantSplit/>
          <w:trHeight w:val="20"/>
        </w:trPr>
        <w:tc>
          <w:tcPr>
            <w:tcW w:w="1492" w:type="pct"/>
            <w:noWrap/>
            <w:hideMark/>
          </w:tcPr>
          <w:p w14:paraId="12AA1A29" w14:textId="73AB25A0" w:rsidR="00CA7676" w:rsidRPr="00E14EE6" w:rsidRDefault="00CA7676" w:rsidP="00E14EE6">
            <w:pPr>
              <w:ind w:firstLineChars="100" w:firstLine="140"/>
              <w:jc w:val="left"/>
              <w:rPr>
                <w:rFonts w:eastAsia="Times New Roman" w:cs="Times New Roman"/>
                <w:sz w:val="14"/>
                <w:szCs w:val="14"/>
              </w:rPr>
            </w:pPr>
            <w:r w:rsidRPr="00E14EE6">
              <w:rPr>
                <w:sz w:val="14"/>
              </w:rPr>
              <w:t>Other expenditure</w:t>
            </w:r>
          </w:p>
        </w:tc>
        <w:tc>
          <w:tcPr>
            <w:tcW w:w="389" w:type="pct"/>
            <w:noWrap/>
            <w:hideMark/>
          </w:tcPr>
          <w:p w14:paraId="22BA516A" w14:textId="77777777" w:rsidR="00CA7676" w:rsidRPr="00E14EE6" w:rsidRDefault="00CA7676" w:rsidP="00E14EE6">
            <w:pPr>
              <w:jc w:val="right"/>
              <w:rPr>
                <w:rFonts w:eastAsia="Times New Roman" w:cs="Times New Roman"/>
                <w:color w:val="000000"/>
                <w:sz w:val="14"/>
                <w:szCs w:val="14"/>
              </w:rPr>
            </w:pPr>
            <w:r w:rsidRPr="00E14EE6">
              <w:rPr>
                <w:sz w:val="14"/>
              </w:rPr>
              <w:t>0.9</w:t>
            </w:r>
          </w:p>
        </w:tc>
        <w:tc>
          <w:tcPr>
            <w:tcW w:w="390" w:type="pct"/>
            <w:noWrap/>
            <w:hideMark/>
          </w:tcPr>
          <w:p w14:paraId="60D22406" w14:textId="77777777" w:rsidR="00CA7676" w:rsidRPr="00E14EE6" w:rsidRDefault="00CA7676" w:rsidP="00E14EE6">
            <w:pPr>
              <w:jc w:val="right"/>
              <w:rPr>
                <w:rFonts w:eastAsia="Times New Roman" w:cs="Times New Roman"/>
                <w:color w:val="000000"/>
                <w:sz w:val="14"/>
                <w:szCs w:val="14"/>
              </w:rPr>
            </w:pPr>
            <w:r w:rsidRPr="00E14EE6">
              <w:rPr>
                <w:sz w:val="14"/>
              </w:rPr>
              <w:t>1.2</w:t>
            </w:r>
          </w:p>
        </w:tc>
        <w:tc>
          <w:tcPr>
            <w:tcW w:w="390" w:type="pct"/>
            <w:noWrap/>
            <w:hideMark/>
          </w:tcPr>
          <w:p w14:paraId="78BCF62F" w14:textId="77777777" w:rsidR="00CA7676" w:rsidRPr="00E14EE6" w:rsidRDefault="00CA7676" w:rsidP="00E14EE6">
            <w:pPr>
              <w:jc w:val="right"/>
              <w:rPr>
                <w:rFonts w:eastAsia="Times New Roman" w:cs="Times New Roman"/>
                <w:color w:val="000000"/>
                <w:sz w:val="14"/>
                <w:szCs w:val="14"/>
              </w:rPr>
            </w:pPr>
            <w:r w:rsidRPr="00E14EE6">
              <w:rPr>
                <w:sz w:val="14"/>
              </w:rPr>
              <w:t>1.8</w:t>
            </w:r>
          </w:p>
        </w:tc>
        <w:tc>
          <w:tcPr>
            <w:tcW w:w="390" w:type="pct"/>
            <w:noWrap/>
            <w:hideMark/>
          </w:tcPr>
          <w:p w14:paraId="043D5A85" w14:textId="77777777" w:rsidR="00CA7676" w:rsidRPr="00E14EE6" w:rsidRDefault="00CA7676" w:rsidP="00E14EE6">
            <w:pPr>
              <w:jc w:val="right"/>
              <w:rPr>
                <w:rFonts w:eastAsia="Times New Roman" w:cs="Times New Roman"/>
                <w:color w:val="000000"/>
                <w:sz w:val="14"/>
                <w:szCs w:val="14"/>
              </w:rPr>
            </w:pPr>
            <w:r w:rsidRPr="00E14EE6">
              <w:rPr>
                <w:sz w:val="14"/>
              </w:rPr>
              <w:t>2.2</w:t>
            </w:r>
          </w:p>
        </w:tc>
        <w:tc>
          <w:tcPr>
            <w:tcW w:w="390" w:type="pct"/>
            <w:noWrap/>
            <w:hideMark/>
          </w:tcPr>
          <w:p w14:paraId="40C65418" w14:textId="77777777" w:rsidR="00CA7676" w:rsidRPr="00E14EE6" w:rsidRDefault="00CA7676" w:rsidP="00E14EE6">
            <w:pPr>
              <w:jc w:val="right"/>
              <w:rPr>
                <w:rFonts w:eastAsia="Times New Roman" w:cs="Times New Roman"/>
                <w:color w:val="000000"/>
                <w:sz w:val="14"/>
                <w:szCs w:val="14"/>
              </w:rPr>
            </w:pPr>
            <w:r w:rsidRPr="00E14EE6">
              <w:rPr>
                <w:sz w:val="14"/>
              </w:rPr>
              <w:t>1.8</w:t>
            </w:r>
          </w:p>
        </w:tc>
        <w:tc>
          <w:tcPr>
            <w:tcW w:w="390" w:type="pct"/>
            <w:noWrap/>
            <w:hideMark/>
          </w:tcPr>
          <w:p w14:paraId="1394E3E7" w14:textId="77777777" w:rsidR="00CA7676" w:rsidRPr="00E14EE6" w:rsidRDefault="00CA7676" w:rsidP="00E14EE6">
            <w:pPr>
              <w:jc w:val="right"/>
              <w:rPr>
                <w:rFonts w:eastAsia="Times New Roman" w:cs="Times New Roman"/>
                <w:color w:val="000000"/>
                <w:sz w:val="14"/>
                <w:szCs w:val="14"/>
              </w:rPr>
            </w:pPr>
            <w:r w:rsidRPr="00E14EE6">
              <w:rPr>
                <w:sz w:val="14"/>
              </w:rPr>
              <w:t>1.5</w:t>
            </w:r>
          </w:p>
        </w:tc>
        <w:tc>
          <w:tcPr>
            <w:tcW w:w="390" w:type="pct"/>
            <w:noWrap/>
            <w:hideMark/>
          </w:tcPr>
          <w:p w14:paraId="51F7DDD3" w14:textId="77777777" w:rsidR="00CA7676" w:rsidRPr="00E14EE6" w:rsidRDefault="00CA7676" w:rsidP="00E14EE6">
            <w:pPr>
              <w:jc w:val="right"/>
              <w:rPr>
                <w:rFonts w:eastAsia="Times New Roman" w:cs="Times New Roman"/>
                <w:color w:val="000000"/>
                <w:sz w:val="14"/>
                <w:szCs w:val="14"/>
              </w:rPr>
            </w:pPr>
            <w:r w:rsidRPr="00E14EE6">
              <w:rPr>
                <w:sz w:val="14"/>
              </w:rPr>
              <w:t>2.0</w:t>
            </w:r>
          </w:p>
        </w:tc>
        <w:tc>
          <w:tcPr>
            <w:tcW w:w="390" w:type="pct"/>
            <w:noWrap/>
            <w:hideMark/>
          </w:tcPr>
          <w:p w14:paraId="2D05B761" w14:textId="77777777" w:rsidR="00CA7676" w:rsidRPr="00E14EE6" w:rsidRDefault="00CA7676" w:rsidP="00E14EE6">
            <w:pPr>
              <w:jc w:val="right"/>
              <w:rPr>
                <w:rFonts w:eastAsia="Times New Roman" w:cs="Times New Roman"/>
                <w:color w:val="000000"/>
                <w:sz w:val="14"/>
                <w:szCs w:val="14"/>
              </w:rPr>
            </w:pPr>
            <w:r w:rsidRPr="00E14EE6">
              <w:rPr>
                <w:sz w:val="14"/>
              </w:rPr>
              <w:t>1.1</w:t>
            </w:r>
          </w:p>
        </w:tc>
        <w:tc>
          <w:tcPr>
            <w:tcW w:w="390" w:type="pct"/>
            <w:noWrap/>
            <w:hideMark/>
          </w:tcPr>
          <w:p w14:paraId="4F58C1E7" w14:textId="77777777" w:rsidR="00CA7676" w:rsidRPr="00E14EE6" w:rsidRDefault="00CA7676" w:rsidP="00E14EE6">
            <w:pPr>
              <w:jc w:val="right"/>
              <w:rPr>
                <w:rFonts w:eastAsia="Times New Roman" w:cs="Times New Roman"/>
                <w:sz w:val="14"/>
                <w:szCs w:val="14"/>
              </w:rPr>
            </w:pPr>
            <w:r w:rsidRPr="00E14EE6">
              <w:rPr>
                <w:sz w:val="14"/>
              </w:rPr>
              <w:t>1.2</w:t>
            </w:r>
          </w:p>
        </w:tc>
      </w:tr>
      <w:tr w:rsidR="00CA7676" w:rsidRPr="00E14EE6" w14:paraId="373EC0F3" w14:textId="77777777" w:rsidTr="00FD6B66">
        <w:trPr>
          <w:cnfStyle w:val="000000010000" w:firstRow="0" w:lastRow="0" w:firstColumn="0" w:lastColumn="0" w:oddVBand="0" w:evenVBand="0" w:oddHBand="0" w:evenHBand="1" w:firstRowFirstColumn="0" w:firstRowLastColumn="0" w:lastRowFirstColumn="0" w:lastRowLastColumn="0"/>
          <w:cantSplit/>
          <w:trHeight w:val="20"/>
        </w:trPr>
        <w:tc>
          <w:tcPr>
            <w:tcW w:w="1492" w:type="pct"/>
            <w:noWrap/>
            <w:hideMark/>
          </w:tcPr>
          <w:p w14:paraId="5C1027B0" w14:textId="77777777" w:rsidR="00CA7676" w:rsidRPr="00E14EE6" w:rsidRDefault="00CA7676" w:rsidP="00E14EE6">
            <w:pPr>
              <w:ind w:firstLineChars="200" w:firstLine="280"/>
              <w:jc w:val="left"/>
              <w:rPr>
                <w:rFonts w:eastAsia="Times New Roman" w:cs="Times New Roman"/>
                <w:sz w:val="14"/>
                <w:szCs w:val="14"/>
              </w:rPr>
            </w:pPr>
            <w:r w:rsidRPr="00E14EE6">
              <w:rPr>
                <w:sz w:val="14"/>
              </w:rPr>
              <w:t>Transfers not included under another heading</w:t>
            </w:r>
          </w:p>
        </w:tc>
        <w:tc>
          <w:tcPr>
            <w:tcW w:w="389" w:type="pct"/>
            <w:noWrap/>
            <w:hideMark/>
          </w:tcPr>
          <w:p w14:paraId="72CF65BF" w14:textId="77777777" w:rsidR="00CA7676" w:rsidRPr="00E14EE6" w:rsidRDefault="00CA7676" w:rsidP="00E14EE6">
            <w:pPr>
              <w:jc w:val="right"/>
              <w:rPr>
                <w:rFonts w:eastAsia="Times New Roman" w:cs="Times New Roman"/>
                <w:color w:val="000000"/>
                <w:sz w:val="14"/>
                <w:szCs w:val="14"/>
              </w:rPr>
            </w:pPr>
            <w:r w:rsidRPr="00E14EE6">
              <w:rPr>
                <w:sz w:val="14"/>
              </w:rPr>
              <w:t>0.9</w:t>
            </w:r>
          </w:p>
        </w:tc>
        <w:tc>
          <w:tcPr>
            <w:tcW w:w="390" w:type="pct"/>
            <w:noWrap/>
            <w:hideMark/>
          </w:tcPr>
          <w:p w14:paraId="197F5649" w14:textId="77777777" w:rsidR="00CA7676" w:rsidRPr="00E14EE6" w:rsidRDefault="00CA7676" w:rsidP="00E14EE6">
            <w:pPr>
              <w:jc w:val="right"/>
              <w:rPr>
                <w:rFonts w:eastAsia="Times New Roman" w:cs="Times New Roman"/>
                <w:color w:val="000000"/>
                <w:sz w:val="14"/>
                <w:szCs w:val="14"/>
              </w:rPr>
            </w:pPr>
            <w:r w:rsidRPr="00E14EE6">
              <w:rPr>
                <w:sz w:val="14"/>
              </w:rPr>
              <w:t>1.2</w:t>
            </w:r>
          </w:p>
        </w:tc>
        <w:tc>
          <w:tcPr>
            <w:tcW w:w="390" w:type="pct"/>
            <w:noWrap/>
            <w:hideMark/>
          </w:tcPr>
          <w:p w14:paraId="451DF8C6" w14:textId="77777777" w:rsidR="00CA7676" w:rsidRPr="00E14EE6" w:rsidRDefault="00CA7676" w:rsidP="00E14EE6">
            <w:pPr>
              <w:jc w:val="right"/>
              <w:rPr>
                <w:rFonts w:eastAsia="Times New Roman" w:cs="Times New Roman"/>
                <w:color w:val="000000"/>
                <w:sz w:val="14"/>
                <w:szCs w:val="14"/>
              </w:rPr>
            </w:pPr>
            <w:r w:rsidRPr="00E14EE6">
              <w:rPr>
                <w:sz w:val="14"/>
              </w:rPr>
              <w:t>1.8</w:t>
            </w:r>
          </w:p>
        </w:tc>
        <w:tc>
          <w:tcPr>
            <w:tcW w:w="390" w:type="pct"/>
            <w:noWrap/>
            <w:hideMark/>
          </w:tcPr>
          <w:p w14:paraId="29DD9DFF" w14:textId="77777777" w:rsidR="00CA7676" w:rsidRPr="00E14EE6" w:rsidRDefault="00CA7676" w:rsidP="00E14EE6">
            <w:pPr>
              <w:jc w:val="right"/>
              <w:rPr>
                <w:rFonts w:eastAsia="Times New Roman" w:cs="Times New Roman"/>
                <w:color w:val="000000"/>
                <w:sz w:val="14"/>
                <w:szCs w:val="14"/>
              </w:rPr>
            </w:pPr>
            <w:r w:rsidRPr="00E14EE6">
              <w:rPr>
                <w:sz w:val="14"/>
              </w:rPr>
              <w:t>2.2</w:t>
            </w:r>
          </w:p>
        </w:tc>
        <w:tc>
          <w:tcPr>
            <w:tcW w:w="390" w:type="pct"/>
            <w:noWrap/>
            <w:hideMark/>
          </w:tcPr>
          <w:p w14:paraId="3602FFDA" w14:textId="77777777" w:rsidR="00CA7676" w:rsidRPr="00E14EE6" w:rsidRDefault="00CA7676" w:rsidP="00E14EE6">
            <w:pPr>
              <w:jc w:val="right"/>
              <w:rPr>
                <w:rFonts w:eastAsia="Times New Roman" w:cs="Times New Roman"/>
                <w:color w:val="000000"/>
                <w:sz w:val="14"/>
                <w:szCs w:val="14"/>
              </w:rPr>
            </w:pPr>
            <w:r w:rsidRPr="00E14EE6">
              <w:rPr>
                <w:sz w:val="14"/>
              </w:rPr>
              <w:t>1.8</w:t>
            </w:r>
          </w:p>
        </w:tc>
        <w:tc>
          <w:tcPr>
            <w:tcW w:w="390" w:type="pct"/>
            <w:noWrap/>
            <w:hideMark/>
          </w:tcPr>
          <w:p w14:paraId="2C1E1B39" w14:textId="77777777" w:rsidR="00CA7676" w:rsidRPr="00E14EE6" w:rsidRDefault="00CA7676" w:rsidP="00E14EE6">
            <w:pPr>
              <w:jc w:val="right"/>
              <w:rPr>
                <w:rFonts w:eastAsia="Times New Roman" w:cs="Times New Roman"/>
                <w:color w:val="000000"/>
                <w:sz w:val="14"/>
                <w:szCs w:val="14"/>
              </w:rPr>
            </w:pPr>
            <w:r w:rsidRPr="00E14EE6">
              <w:rPr>
                <w:sz w:val="14"/>
              </w:rPr>
              <w:t>1.5</w:t>
            </w:r>
          </w:p>
        </w:tc>
        <w:tc>
          <w:tcPr>
            <w:tcW w:w="390" w:type="pct"/>
            <w:noWrap/>
            <w:hideMark/>
          </w:tcPr>
          <w:p w14:paraId="1A07290F" w14:textId="77777777" w:rsidR="00CA7676" w:rsidRPr="00E14EE6" w:rsidRDefault="00CA7676" w:rsidP="00E14EE6">
            <w:pPr>
              <w:jc w:val="right"/>
              <w:rPr>
                <w:rFonts w:eastAsia="Times New Roman" w:cs="Times New Roman"/>
                <w:color w:val="000000"/>
                <w:sz w:val="14"/>
                <w:szCs w:val="14"/>
              </w:rPr>
            </w:pPr>
            <w:r w:rsidRPr="00E14EE6">
              <w:rPr>
                <w:sz w:val="14"/>
              </w:rPr>
              <w:t>2.0</w:t>
            </w:r>
          </w:p>
        </w:tc>
        <w:tc>
          <w:tcPr>
            <w:tcW w:w="390" w:type="pct"/>
            <w:noWrap/>
            <w:hideMark/>
          </w:tcPr>
          <w:p w14:paraId="1FBEE5A4" w14:textId="77777777" w:rsidR="00CA7676" w:rsidRPr="00E14EE6" w:rsidRDefault="00CA7676" w:rsidP="00E14EE6">
            <w:pPr>
              <w:jc w:val="right"/>
              <w:rPr>
                <w:rFonts w:eastAsia="Times New Roman" w:cs="Times New Roman"/>
                <w:color w:val="000000"/>
                <w:sz w:val="14"/>
                <w:szCs w:val="14"/>
              </w:rPr>
            </w:pPr>
            <w:r w:rsidRPr="00E14EE6">
              <w:rPr>
                <w:sz w:val="14"/>
              </w:rPr>
              <w:t>1.1</w:t>
            </w:r>
          </w:p>
        </w:tc>
        <w:tc>
          <w:tcPr>
            <w:tcW w:w="390" w:type="pct"/>
            <w:noWrap/>
            <w:hideMark/>
          </w:tcPr>
          <w:p w14:paraId="797C791A" w14:textId="77777777" w:rsidR="00CA7676" w:rsidRPr="00E14EE6" w:rsidRDefault="00CA7676" w:rsidP="00E14EE6">
            <w:pPr>
              <w:jc w:val="right"/>
              <w:rPr>
                <w:rFonts w:eastAsia="Times New Roman" w:cs="Times New Roman"/>
                <w:sz w:val="14"/>
                <w:szCs w:val="14"/>
              </w:rPr>
            </w:pPr>
            <w:r w:rsidRPr="00E14EE6">
              <w:rPr>
                <w:sz w:val="14"/>
              </w:rPr>
              <w:t>1.2</w:t>
            </w:r>
          </w:p>
        </w:tc>
      </w:tr>
      <w:tr w:rsidR="00CA7676" w:rsidRPr="00E14EE6" w14:paraId="2768771E" w14:textId="77777777" w:rsidTr="00FD6B66">
        <w:trPr>
          <w:cantSplit/>
          <w:trHeight w:val="20"/>
        </w:trPr>
        <w:tc>
          <w:tcPr>
            <w:tcW w:w="1492" w:type="pct"/>
            <w:noWrap/>
            <w:hideMark/>
          </w:tcPr>
          <w:p w14:paraId="7D7CF055" w14:textId="77777777" w:rsidR="00CA7676" w:rsidRPr="00E14EE6" w:rsidRDefault="00CA7676" w:rsidP="00E14EE6">
            <w:pPr>
              <w:ind w:firstLineChars="300" w:firstLine="420"/>
              <w:jc w:val="left"/>
              <w:rPr>
                <w:rFonts w:eastAsia="Times New Roman" w:cs="Times New Roman"/>
                <w:sz w:val="14"/>
                <w:szCs w:val="14"/>
              </w:rPr>
            </w:pPr>
            <w:r w:rsidRPr="00E14EE6">
              <w:rPr>
                <w:sz w:val="14"/>
              </w:rPr>
              <w:t>Current transfers not included under another heading</w:t>
            </w:r>
          </w:p>
        </w:tc>
        <w:tc>
          <w:tcPr>
            <w:tcW w:w="389" w:type="pct"/>
            <w:noWrap/>
            <w:hideMark/>
          </w:tcPr>
          <w:p w14:paraId="3D1CE6B6" w14:textId="77777777" w:rsidR="00CA7676" w:rsidRPr="00E14EE6" w:rsidRDefault="00CA7676" w:rsidP="00E14EE6">
            <w:pPr>
              <w:jc w:val="right"/>
              <w:rPr>
                <w:rFonts w:eastAsia="Times New Roman" w:cs="Times New Roman"/>
                <w:color w:val="000000"/>
                <w:sz w:val="14"/>
                <w:szCs w:val="14"/>
              </w:rPr>
            </w:pPr>
            <w:r w:rsidRPr="00E14EE6">
              <w:rPr>
                <w:sz w:val="14"/>
              </w:rPr>
              <w:t>0.3</w:t>
            </w:r>
          </w:p>
        </w:tc>
        <w:tc>
          <w:tcPr>
            <w:tcW w:w="390" w:type="pct"/>
            <w:noWrap/>
            <w:hideMark/>
          </w:tcPr>
          <w:p w14:paraId="18CBBB72" w14:textId="77777777" w:rsidR="00CA7676" w:rsidRPr="00E14EE6" w:rsidRDefault="00CA7676" w:rsidP="00E14EE6">
            <w:pPr>
              <w:jc w:val="right"/>
              <w:rPr>
                <w:rFonts w:eastAsia="Times New Roman" w:cs="Times New Roman"/>
                <w:color w:val="000000"/>
                <w:sz w:val="14"/>
                <w:szCs w:val="14"/>
              </w:rPr>
            </w:pPr>
            <w:r w:rsidRPr="00E14EE6">
              <w:rPr>
                <w:sz w:val="14"/>
              </w:rPr>
              <w:t>0.4</w:t>
            </w:r>
          </w:p>
        </w:tc>
        <w:tc>
          <w:tcPr>
            <w:tcW w:w="390" w:type="pct"/>
            <w:noWrap/>
            <w:hideMark/>
          </w:tcPr>
          <w:p w14:paraId="5AE2CA65" w14:textId="77777777" w:rsidR="00CA7676" w:rsidRPr="00E14EE6" w:rsidRDefault="00CA7676" w:rsidP="00E14EE6">
            <w:pPr>
              <w:jc w:val="right"/>
              <w:rPr>
                <w:rFonts w:eastAsia="Times New Roman" w:cs="Times New Roman"/>
                <w:color w:val="000000"/>
                <w:sz w:val="14"/>
                <w:szCs w:val="14"/>
              </w:rPr>
            </w:pPr>
            <w:r w:rsidRPr="00E14EE6">
              <w:rPr>
                <w:sz w:val="14"/>
              </w:rPr>
              <w:t>0.5</w:t>
            </w:r>
          </w:p>
        </w:tc>
        <w:tc>
          <w:tcPr>
            <w:tcW w:w="390" w:type="pct"/>
            <w:noWrap/>
            <w:hideMark/>
          </w:tcPr>
          <w:p w14:paraId="497B778E" w14:textId="77777777" w:rsidR="00CA7676" w:rsidRPr="00E14EE6" w:rsidRDefault="00CA7676" w:rsidP="00E14EE6">
            <w:pPr>
              <w:jc w:val="right"/>
              <w:rPr>
                <w:rFonts w:eastAsia="Times New Roman" w:cs="Times New Roman"/>
                <w:color w:val="000000"/>
                <w:sz w:val="14"/>
                <w:szCs w:val="14"/>
              </w:rPr>
            </w:pPr>
            <w:r w:rsidRPr="00E14EE6">
              <w:rPr>
                <w:sz w:val="14"/>
              </w:rPr>
              <w:t>0.5</w:t>
            </w:r>
          </w:p>
        </w:tc>
        <w:tc>
          <w:tcPr>
            <w:tcW w:w="390" w:type="pct"/>
            <w:noWrap/>
            <w:hideMark/>
          </w:tcPr>
          <w:p w14:paraId="20A66DE3" w14:textId="77777777" w:rsidR="00CA7676" w:rsidRPr="00E14EE6" w:rsidRDefault="00CA7676" w:rsidP="00E14EE6">
            <w:pPr>
              <w:jc w:val="right"/>
              <w:rPr>
                <w:rFonts w:eastAsia="Times New Roman" w:cs="Times New Roman"/>
                <w:color w:val="000000"/>
                <w:sz w:val="14"/>
                <w:szCs w:val="14"/>
              </w:rPr>
            </w:pPr>
            <w:r w:rsidRPr="00E14EE6">
              <w:rPr>
                <w:sz w:val="14"/>
              </w:rPr>
              <w:t>0.5</w:t>
            </w:r>
          </w:p>
        </w:tc>
        <w:tc>
          <w:tcPr>
            <w:tcW w:w="390" w:type="pct"/>
            <w:noWrap/>
            <w:hideMark/>
          </w:tcPr>
          <w:p w14:paraId="2BD25523" w14:textId="77777777" w:rsidR="00CA7676" w:rsidRPr="00E14EE6" w:rsidRDefault="00CA7676" w:rsidP="00E14EE6">
            <w:pPr>
              <w:jc w:val="right"/>
              <w:rPr>
                <w:rFonts w:eastAsia="Times New Roman" w:cs="Times New Roman"/>
                <w:color w:val="000000"/>
                <w:sz w:val="14"/>
                <w:szCs w:val="14"/>
              </w:rPr>
            </w:pPr>
            <w:r w:rsidRPr="00E14EE6">
              <w:rPr>
                <w:sz w:val="14"/>
              </w:rPr>
              <w:t>0.6</w:t>
            </w:r>
          </w:p>
        </w:tc>
        <w:tc>
          <w:tcPr>
            <w:tcW w:w="390" w:type="pct"/>
            <w:noWrap/>
            <w:hideMark/>
          </w:tcPr>
          <w:p w14:paraId="3F18F7FB" w14:textId="77777777" w:rsidR="00CA7676" w:rsidRPr="00E14EE6" w:rsidRDefault="00CA7676" w:rsidP="00E14EE6">
            <w:pPr>
              <w:jc w:val="right"/>
              <w:rPr>
                <w:rFonts w:eastAsia="Times New Roman" w:cs="Times New Roman"/>
                <w:color w:val="000000"/>
                <w:sz w:val="14"/>
                <w:szCs w:val="14"/>
              </w:rPr>
            </w:pPr>
            <w:r w:rsidRPr="00E14EE6">
              <w:rPr>
                <w:sz w:val="14"/>
              </w:rPr>
              <w:t>0.3</w:t>
            </w:r>
          </w:p>
        </w:tc>
        <w:tc>
          <w:tcPr>
            <w:tcW w:w="390" w:type="pct"/>
            <w:noWrap/>
            <w:hideMark/>
          </w:tcPr>
          <w:p w14:paraId="3BEE30F9" w14:textId="77777777" w:rsidR="00CA7676" w:rsidRPr="00E14EE6" w:rsidRDefault="00CA7676" w:rsidP="00E14EE6">
            <w:pPr>
              <w:jc w:val="right"/>
              <w:rPr>
                <w:rFonts w:eastAsia="Times New Roman" w:cs="Times New Roman"/>
                <w:color w:val="000000"/>
                <w:sz w:val="14"/>
                <w:szCs w:val="14"/>
              </w:rPr>
            </w:pPr>
            <w:r w:rsidRPr="00E14EE6">
              <w:rPr>
                <w:sz w:val="14"/>
              </w:rPr>
              <w:t>0.2</w:t>
            </w:r>
          </w:p>
        </w:tc>
        <w:tc>
          <w:tcPr>
            <w:tcW w:w="390" w:type="pct"/>
            <w:noWrap/>
            <w:hideMark/>
          </w:tcPr>
          <w:p w14:paraId="3BD9A3AA" w14:textId="77777777" w:rsidR="00CA7676" w:rsidRPr="00E14EE6" w:rsidRDefault="00CA7676" w:rsidP="00E14EE6">
            <w:pPr>
              <w:jc w:val="right"/>
              <w:rPr>
                <w:rFonts w:eastAsia="Times New Roman" w:cs="Times New Roman"/>
                <w:sz w:val="14"/>
                <w:szCs w:val="14"/>
              </w:rPr>
            </w:pPr>
            <w:r w:rsidRPr="00E14EE6">
              <w:rPr>
                <w:sz w:val="14"/>
              </w:rPr>
              <w:t>0.7</w:t>
            </w:r>
          </w:p>
        </w:tc>
      </w:tr>
      <w:tr w:rsidR="00CA7676" w:rsidRPr="00E14EE6" w14:paraId="06EDF5C7" w14:textId="77777777" w:rsidTr="00FD6B66">
        <w:trPr>
          <w:cnfStyle w:val="000000010000" w:firstRow="0" w:lastRow="0" w:firstColumn="0" w:lastColumn="0" w:oddVBand="0" w:evenVBand="0" w:oddHBand="0" w:evenHBand="1" w:firstRowFirstColumn="0" w:firstRowLastColumn="0" w:lastRowFirstColumn="0" w:lastRowLastColumn="0"/>
          <w:cantSplit/>
          <w:trHeight w:val="20"/>
        </w:trPr>
        <w:tc>
          <w:tcPr>
            <w:tcW w:w="1492" w:type="pct"/>
            <w:noWrap/>
            <w:hideMark/>
          </w:tcPr>
          <w:p w14:paraId="6DAE82E0" w14:textId="4A49CCB8" w:rsidR="00CA7676" w:rsidRPr="00E14EE6" w:rsidRDefault="00CA7676" w:rsidP="00E14EE6">
            <w:pPr>
              <w:ind w:firstLineChars="400" w:firstLine="560"/>
              <w:jc w:val="left"/>
              <w:rPr>
                <w:rFonts w:eastAsia="Times New Roman" w:cs="Times New Roman"/>
                <w:sz w:val="14"/>
                <w:szCs w:val="14"/>
              </w:rPr>
            </w:pPr>
            <w:r w:rsidRPr="00E14EE6">
              <w:rPr>
                <w:sz w:val="14"/>
              </w:rPr>
              <w:t>including</w:t>
            </w:r>
            <w:r w:rsidR="00E14EE6" w:rsidRPr="00E14EE6">
              <w:rPr>
                <w:sz w:val="14"/>
              </w:rPr>
              <w:t>: C</w:t>
            </w:r>
            <w:r w:rsidRPr="00E14EE6">
              <w:rPr>
                <w:sz w:val="14"/>
              </w:rPr>
              <w:t xml:space="preserve">entral Bank capitalization </w:t>
            </w:r>
            <w:proofErr w:type="spellStart"/>
            <w:r w:rsidRPr="00E14EE6">
              <w:rPr>
                <w:sz w:val="14"/>
              </w:rPr>
              <w:t>transfers</w:t>
            </w:r>
            <w:r w:rsidRPr="00E14EE6">
              <w:rPr>
                <w:sz w:val="14"/>
                <w:vertAlign w:val="superscript"/>
              </w:rPr>
              <w:t>c</w:t>
            </w:r>
            <w:proofErr w:type="spellEnd"/>
          </w:p>
        </w:tc>
        <w:tc>
          <w:tcPr>
            <w:tcW w:w="389" w:type="pct"/>
            <w:noWrap/>
            <w:hideMark/>
          </w:tcPr>
          <w:p w14:paraId="5ADFC86E" w14:textId="77777777" w:rsidR="00CA7676" w:rsidRPr="00E14EE6" w:rsidRDefault="00CA7676" w:rsidP="00E14EE6">
            <w:pPr>
              <w:jc w:val="right"/>
              <w:rPr>
                <w:rFonts w:eastAsia="Times New Roman" w:cs="Times New Roman"/>
                <w:color w:val="000000"/>
                <w:sz w:val="14"/>
                <w:szCs w:val="14"/>
              </w:rPr>
            </w:pPr>
            <w:r w:rsidRPr="00E14EE6">
              <w:rPr>
                <w:sz w:val="14"/>
              </w:rPr>
              <w:t>0.0</w:t>
            </w:r>
          </w:p>
        </w:tc>
        <w:tc>
          <w:tcPr>
            <w:tcW w:w="390" w:type="pct"/>
            <w:noWrap/>
            <w:hideMark/>
          </w:tcPr>
          <w:p w14:paraId="561903F1" w14:textId="77777777" w:rsidR="00CA7676" w:rsidRPr="00E14EE6" w:rsidRDefault="00CA7676" w:rsidP="00E14EE6">
            <w:pPr>
              <w:jc w:val="right"/>
              <w:rPr>
                <w:rFonts w:eastAsia="Times New Roman" w:cs="Times New Roman"/>
                <w:color w:val="000000"/>
                <w:sz w:val="14"/>
                <w:szCs w:val="14"/>
              </w:rPr>
            </w:pPr>
            <w:r w:rsidRPr="00E14EE6">
              <w:rPr>
                <w:sz w:val="14"/>
              </w:rPr>
              <w:t>0.1</w:t>
            </w:r>
          </w:p>
        </w:tc>
        <w:tc>
          <w:tcPr>
            <w:tcW w:w="390" w:type="pct"/>
            <w:noWrap/>
            <w:hideMark/>
          </w:tcPr>
          <w:p w14:paraId="18B9288B" w14:textId="77777777" w:rsidR="00CA7676" w:rsidRPr="00E14EE6" w:rsidRDefault="00CA7676" w:rsidP="00E14EE6">
            <w:pPr>
              <w:jc w:val="right"/>
              <w:rPr>
                <w:rFonts w:eastAsia="Times New Roman" w:cs="Times New Roman"/>
                <w:color w:val="000000"/>
                <w:sz w:val="14"/>
                <w:szCs w:val="14"/>
              </w:rPr>
            </w:pPr>
            <w:r w:rsidRPr="00E14EE6">
              <w:rPr>
                <w:sz w:val="14"/>
              </w:rPr>
              <w:t>0.2</w:t>
            </w:r>
          </w:p>
        </w:tc>
        <w:tc>
          <w:tcPr>
            <w:tcW w:w="390" w:type="pct"/>
            <w:noWrap/>
            <w:hideMark/>
          </w:tcPr>
          <w:p w14:paraId="125516DE" w14:textId="77777777" w:rsidR="00CA7676" w:rsidRPr="00E14EE6" w:rsidRDefault="00CA7676" w:rsidP="00E14EE6">
            <w:pPr>
              <w:jc w:val="right"/>
              <w:rPr>
                <w:rFonts w:eastAsia="Times New Roman" w:cs="Times New Roman"/>
                <w:color w:val="000000"/>
                <w:sz w:val="14"/>
                <w:szCs w:val="14"/>
              </w:rPr>
            </w:pPr>
            <w:r w:rsidRPr="00E14EE6">
              <w:rPr>
                <w:sz w:val="14"/>
              </w:rPr>
              <w:t>0.2</w:t>
            </w:r>
          </w:p>
        </w:tc>
        <w:tc>
          <w:tcPr>
            <w:tcW w:w="390" w:type="pct"/>
            <w:noWrap/>
            <w:hideMark/>
          </w:tcPr>
          <w:p w14:paraId="655B093B" w14:textId="77777777" w:rsidR="00CA7676" w:rsidRPr="00E14EE6" w:rsidRDefault="00CA7676" w:rsidP="00E14EE6">
            <w:pPr>
              <w:jc w:val="right"/>
              <w:rPr>
                <w:rFonts w:eastAsia="Times New Roman" w:cs="Times New Roman"/>
                <w:color w:val="000000"/>
                <w:sz w:val="14"/>
                <w:szCs w:val="14"/>
              </w:rPr>
            </w:pPr>
            <w:r w:rsidRPr="00E14EE6">
              <w:rPr>
                <w:sz w:val="14"/>
              </w:rPr>
              <w:t>0.2</w:t>
            </w:r>
          </w:p>
        </w:tc>
        <w:tc>
          <w:tcPr>
            <w:tcW w:w="390" w:type="pct"/>
            <w:noWrap/>
            <w:hideMark/>
          </w:tcPr>
          <w:p w14:paraId="707DFA51" w14:textId="77777777" w:rsidR="00CA7676" w:rsidRPr="00E14EE6" w:rsidRDefault="00CA7676" w:rsidP="00E14EE6">
            <w:pPr>
              <w:jc w:val="right"/>
              <w:rPr>
                <w:rFonts w:eastAsia="Times New Roman" w:cs="Times New Roman"/>
                <w:color w:val="000000"/>
                <w:sz w:val="14"/>
                <w:szCs w:val="14"/>
              </w:rPr>
            </w:pPr>
            <w:r w:rsidRPr="00E14EE6">
              <w:rPr>
                <w:sz w:val="14"/>
              </w:rPr>
              <w:t>0.3</w:t>
            </w:r>
          </w:p>
        </w:tc>
        <w:tc>
          <w:tcPr>
            <w:tcW w:w="390" w:type="pct"/>
            <w:noWrap/>
            <w:hideMark/>
          </w:tcPr>
          <w:p w14:paraId="2BF8E61F" w14:textId="77777777" w:rsidR="00CA7676" w:rsidRPr="00E14EE6" w:rsidRDefault="00CA7676" w:rsidP="00E14EE6">
            <w:pPr>
              <w:jc w:val="right"/>
              <w:rPr>
                <w:rFonts w:eastAsia="Times New Roman" w:cs="Times New Roman"/>
                <w:color w:val="000000"/>
                <w:sz w:val="14"/>
                <w:szCs w:val="14"/>
              </w:rPr>
            </w:pPr>
            <w:r w:rsidRPr="00E14EE6">
              <w:rPr>
                <w:sz w:val="14"/>
              </w:rPr>
              <w:t>0.0</w:t>
            </w:r>
          </w:p>
        </w:tc>
        <w:tc>
          <w:tcPr>
            <w:tcW w:w="390" w:type="pct"/>
            <w:noWrap/>
            <w:hideMark/>
          </w:tcPr>
          <w:p w14:paraId="06A0EDEF" w14:textId="77777777" w:rsidR="00CA7676" w:rsidRPr="00E14EE6" w:rsidRDefault="00CA7676" w:rsidP="00E14EE6">
            <w:pPr>
              <w:jc w:val="right"/>
              <w:rPr>
                <w:rFonts w:eastAsia="Times New Roman" w:cs="Times New Roman"/>
                <w:color w:val="000000"/>
                <w:sz w:val="14"/>
                <w:szCs w:val="14"/>
              </w:rPr>
            </w:pPr>
            <w:r w:rsidRPr="00E14EE6">
              <w:rPr>
                <w:sz w:val="14"/>
              </w:rPr>
              <w:t>0.0</w:t>
            </w:r>
          </w:p>
        </w:tc>
        <w:tc>
          <w:tcPr>
            <w:tcW w:w="390" w:type="pct"/>
            <w:noWrap/>
            <w:hideMark/>
          </w:tcPr>
          <w:p w14:paraId="66D4A5EA" w14:textId="77777777" w:rsidR="00CA7676" w:rsidRPr="00E14EE6" w:rsidRDefault="00CA7676" w:rsidP="00E14EE6">
            <w:pPr>
              <w:jc w:val="right"/>
              <w:rPr>
                <w:rFonts w:eastAsia="Times New Roman" w:cs="Times New Roman"/>
                <w:sz w:val="14"/>
                <w:szCs w:val="14"/>
              </w:rPr>
            </w:pPr>
            <w:r w:rsidRPr="00E14EE6">
              <w:rPr>
                <w:sz w:val="14"/>
              </w:rPr>
              <w:t>0.5</w:t>
            </w:r>
          </w:p>
        </w:tc>
      </w:tr>
      <w:tr w:rsidR="00CA7676" w:rsidRPr="00E14EE6" w14:paraId="14B14612" w14:textId="77777777" w:rsidTr="00FD6B66">
        <w:trPr>
          <w:cantSplit/>
          <w:trHeight w:val="20"/>
        </w:trPr>
        <w:tc>
          <w:tcPr>
            <w:tcW w:w="1492" w:type="pct"/>
            <w:noWrap/>
            <w:hideMark/>
          </w:tcPr>
          <w:p w14:paraId="71FA78C1" w14:textId="77777777" w:rsidR="00CA7676" w:rsidRPr="00E14EE6" w:rsidRDefault="00CA7676" w:rsidP="00E14EE6">
            <w:pPr>
              <w:ind w:firstLineChars="300" w:firstLine="420"/>
              <w:jc w:val="left"/>
              <w:rPr>
                <w:rFonts w:eastAsia="Times New Roman" w:cs="Times New Roman"/>
                <w:sz w:val="14"/>
                <w:szCs w:val="14"/>
              </w:rPr>
            </w:pPr>
            <w:r w:rsidRPr="00E14EE6">
              <w:rPr>
                <w:sz w:val="14"/>
              </w:rPr>
              <w:t>Capital transfers not included under other headings</w:t>
            </w:r>
          </w:p>
        </w:tc>
        <w:tc>
          <w:tcPr>
            <w:tcW w:w="389" w:type="pct"/>
            <w:noWrap/>
            <w:hideMark/>
          </w:tcPr>
          <w:p w14:paraId="30F77D6C" w14:textId="77777777" w:rsidR="00CA7676" w:rsidRPr="00E14EE6" w:rsidRDefault="00CA7676" w:rsidP="00E14EE6">
            <w:pPr>
              <w:jc w:val="right"/>
              <w:rPr>
                <w:rFonts w:eastAsia="Times New Roman" w:cs="Times New Roman"/>
                <w:color w:val="000000"/>
                <w:sz w:val="14"/>
                <w:szCs w:val="14"/>
              </w:rPr>
            </w:pPr>
            <w:r w:rsidRPr="00E14EE6">
              <w:rPr>
                <w:sz w:val="14"/>
              </w:rPr>
              <w:t>0.6</w:t>
            </w:r>
          </w:p>
        </w:tc>
        <w:tc>
          <w:tcPr>
            <w:tcW w:w="390" w:type="pct"/>
            <w:noWrap/>
            <w:hideMark/>
          </w:tcPr>
          <w:p w14:paraId="21937513" w14:textId="77777777" w:rsidR="00CA7676" w:rsidRPr="00E14EE6" w:rsidRDefault="00CA7676" w:rsidP="00E14EE6">
            <w:pPr>
              <w:jc w:val="right"/>
              <w:rPr>
                <w:rFonts w:eastAsia="Times New Roman" w:cs="Times New Roman"/>
                <w:color w:val="000000"/>
                <w:sz w:val="14"/>
                <w:szCs w:val="14"/>
              </w:rPr>
            </w:pPr>
            <w:r w:rsidRPr="00E14EE6">
              <w:rPr>
                <w:sz w:val="14"/>
              </w:rPr>
              <w:t>0.8</w:t>
            </w:r>
          </w:p>
        </w:tc>
        <w:tc>
          <w:tcPr>
            <w:tcW w:w="390" w:type="pct"/>
            <w:noWrap/>
            <w:hideMark/>
          </w:tcPr>
          <w:p w14:paraId="30FF0F67" w14:textId="77777777" w:rsidR="00CA7676" w:rsidRPr="00E14EE6" w:rsidRDefault="00CA7676" w:rsidP="00E14EE6">
            <w:pPr>
              <w:jc w:val="right"/>
              <w:rPr>
                <w:rFonts w:eastAsia="Times New Roman" w:cs="Times New Roman"/>
                <w:color w:val="000000"/>
                <w:sz w:val="14"/>
                <w:szCs w:val="14"/>
              </w:rPr>
            </w:pPr>
            <w:r w:rsidRPr="00E14EE6">
              <w:rPr>
                <w:sz w:val="14"/>
              </w:rPr>
              <w:t>1.4</w:t>
            </w:r>
          </w:p>
        </w:tc>
        <w:tc>
          <w:tcPr>
            <w:tcW w:w="390" w:type="pct"/>
            <w:noWrap/>
            <w:hideMark/>
          </w:tcPr>
          <w:p w14:paraId="43FEB06B" w14:textId="77777777" w:rsidR="00CA7676" w:rsidRPr="00E14EE6" w:rsidRDefault="00CA7676" w:rsidP="00E14EE6">
            <w:pPr>
              <w:jc w:val="right"/>
              <w:rPr>
                <w:rFonts w:eastAsia="Times New Roman" w:cs="Times New Roman"/>
                <w:color w:val="000000"/>
                <w:sz w:val="14"/>
                <w:szCs w:val="14"/>
              </w:rPr>
            </w:pPr>
            <w:r w:rsidRPr="00E14EE6">
              <w:rPr>
                <w:sz w:val="14"/>
              </w:rPr>
              <w:t>1.6</w:t>
            </w:r>
          </w:p>
        </w:tc>
        <w:tc>
          <w:tcPr>
            <w:tcW w:w="390" w:type="pct"/>
            <w:noWrap/>
            <w:hideMark/>
          </w:tcPr>
          <w:p w14:paraId="1CC2D616" w14:textId="77777777" w:rsidR="00CA7676" w:rsidRPr="00E14EE6" w:rsidRDefault="00CA7676" w:rsidP="00E14EE6">
            <w:pPr>
              <w:jc w:val="right"/>
              <w:rPr>
                <w:rFonts w:eastAsia="Times New Roman" w:cs="Times New Roman"/>
                <w:color w:val="000000"/>
                <w:sz w:val="14"/>
                <w:szCs w:val="14"/>
              </w:rPr>
            </w:pPr>
            <w:r w:rsidRPr="00E14EE6">
              <w:rPr>
                <w:sz w:val="14"/>
              </w:rPr>
              <w:t>1.2</w:t>
            </w:r>
          </w:p>
        </w:tc>
        <w:tc>
          <w:tcPr>
            <w:tcW w:w="390" w:type="pct"/>
            <w:noWrap/>
            <w:hideMark/>
          </w:tcPr>
          <w:p w14:paraId="799BBBF7" w14:textId="77777777" w:rsidR="00CA7676" w:rsidRPr="00E14EE6" w:rsidRDefault="00CA7676" w:rsidP="00E14EE6">
            <w:pPr>
              <w:jc w:val="right"/>
              <w:rPr>
                <w:rFonts w:eastAsia="Times New Roman" w:cs="Times New Roman"/>
                <w:color w:val="000000"/>
                <w:sz w:val="14"/>
                <w:szCs w:val="14"/>
              </w:rPr>
            </w:pPr>
            <w:r w:rsidRPr="00E14EE6">
              <w:rPr>
                <w:sz w:val="14"/>
              </w:rPr>
              <w:t>0.9</w:t>
            </w:r>
          </w:p>
        </w:tc>
        <w:tc>
          <w:tcPr>
            <w:tcW w:w="390" w:type="pct"/>
            <w:noWrap/>
            <w:hideMark/>
          </w:tcPr>
          <w:p w14:paraId="6686F8DA" w14:textId="77777777" w:rsidR="00CA7676" w:rsidRPr="00E14EE6" w:rsidRDefault="00CA7676" w:rsidP="00E14EE6">
            <w:pPr>
              <w:jc w:val="right"/>
              <w:rPr>
                <w:rFonts w:eastAsia="Times New Roman" w:cs="Times New Roman"/>
                <w:color w:val="000000"/>
                <w:sz w:val="14"/>
                <w:szCs w:val="14"/>
              </w:rPr>
            </w:pPr>
            <w:r w:rsidRPr="00E14EE6">
              <w:rPr>
                <w:sz w:val="14"/>
              </w:rPr>
              <w:t>1.7</w:t>
            </w:r>
          </w:p>
        </w:tc>
        <w:tc>
          <w:tcPr>
            <w:tcW w:w="390" w:type="pct"/>
            <w:noWrap/>
            <w:hideMark/>
          </w:tcPr>
          <w:p w14:paraId="6305A26D" w14:textId="77777777" w:rsidR="00CA7676" w:rsidRPr="00E14EE6" w:rsidRDefault="00CA7676" w:rsidP="00E14EE6">
            <w:pPr>
              <w:jc w:val="right"/>
              <w:rPr>
                <w:rFonts w:eastAsia="Times New Roman" w:cs="Times New Roman"/>
                <w:color w:val="000000"/>
                <w:sz w:val="14"/>
                <w:szCs w:val="14"/>
              </w:rPr>
            </w:pPr>
            <w:r w:rsidRPr="00E14EE6">
              <w:rPr>
                <w:sz w:val="14"/>
              </w:rPr>
              <w:t>0.9</w:t>
            </w:r>
          </w:p>
        </w:tc>
        <w:tc>
          <w:tcPr>
            <w:tcW w:w="390" w:type="pct"/>
            <w:noWrap/>
            <w:hideMark/>
          </w:tcPr>
          <w:p w14:paraId="6A352AA1" w14:textId="77777777" w:rsidR="00CA7676" w:rsidRPr="00E14EE6" w:rsidRDefault="00CA7676" w:rsidP="00E14EE6">
            <w:pPr>
              <w:jc w:val="right"/>
              <w:rPr>
                <w:rFonts w:eastAsia="Times New Roman" w:cs="Times New Roman"/>
                <w:sz w:val="14"/>
                <w:szCs w:val="14"/>
              </w:rPr>
            </w:pPr>
            <w:r w:rsidRPr="00E14EE6">
              <w:rPr>
                <w:sz w:val="14"/>
              </w:rPr>
              <w:t>0.5</w:t>
            </w:r>
          </w:p>
        </w:tc>
      </w:tr>
      <w:tr w:rsidR="00CA7676" w:rsidRPr="00E14EE6" w14:paraId="411A54F3" w14:textId="77777777" w:rsidTr="00FD6B66">
        <w:trPr>
          <w:cnfStyle w:val="000000010000" w:firstRow="0" w:lastRow="0" w:firstColumn="0" w:lastColumn="0" w:oddVBand="0" w:evenVBand="0" w:oddHBand="0" w:evenHBand="1" w:firstRowFirstColumn="0" w:firstRowLastColumn="0" w:lastRowFirstColumn="0" w:lastRowLastColumn="0"/>
          <w:cantSplit/>
          <w:trHeight w:val="20"/>
        </w:trPr>
        <w:tc>
          <w:tcPr>
            <w:tcW w:w="1492" w:type="pct"/>
            <w:noWrap/>
            <w:hideMark/>
          </w:tcPr>
          <w:p w14:paraId="6FD9E35F" w14:textId="76A274FD" w:rsidR="00CA7676" w:rsidRPr="00E14EE6" w:rsidRDefault="00CA7676" w:rsidP="00E14EE6">
            <w:pPr>
              <w:ind w:firstLineChars="400" w:firstLine="560"/>
              <w:jc w:val="left"/>
              <w:rPr>
                <w:rFonts w:eastAsia="Times New Roman" w:cs="Times New Roman"/>
                <w:sz w:val="14"/>
                <w:szCs w:val="14"/>
              </w:rPr>
            </w:pPr>
            <w:r w:rsidRPr="00E14EE6">
              <w:rPr>
                <w:sz w:val="14"/>
              </w:rPr>
              <w:t>including</w:t>
            </w:r>
            <w:r w:rsidR="00E14EE6" w:rsidRPr="00E14EE6">
              <w:rPr>
                <w:sz w:val="14"/>
              </w:rPr>
              <w:t>: f</w:t>
            </w:r>
            <w:r w:rsidRPr="00E14EE6">
              <w:rPr>
                <w:sz w:val="14"/>
              </w:rPr>
              <w:t>or investment projects</w:t>
            </w:r>
          </w:p>
        </w:tc>
        <w:tc>
          <w:tcPr>
            <w:tcW w:w="389" w:type="pct"/>
            <w:noWrap/>
            <w:hideMark/>
          </w:tcPr>
          <w:p w14:paraId="14F4B49E" w14:textId="77777777" w:rsidR="00CA7676" w:rsidRPr="00E14EE6" w:rsidRDefault="00CA7676" w:rsidP="00E14EE6">
            <w:pPr>
              <w:jc w:val="right"/>
              <w:rPr>
                <w:rFonts w:eastAsia="Times New Roman" w:cs="Times New Roman"/>
                <w:color w:val="000000"/>
                <w:sz w:val="14"/>
                <w:szCs w:val="14"/>
              </w:rPr>
            </w:pPr>
            <w:r w:rsidRPr="00E14EE6">
              <w:rPr>
                <w:sz w:val="14"/>
              </w:rPr>
              <w:t>0.6</w:t>
            </w:r>
          </w:p>
        </w:tc>
        <w:tc>
          <w:tcPr>
            <w:tcW w:w="390" w:type="pct"/>
            <w:noWrap/>
            <w:hideMark/>
          </w:tcPr>
          <w:p w14:paraId="0AC1C3AE" w14:textId="77777777" w:rsidR="00CA7676" w:rsidRPr="00E14EE6" w:rsidRDefault="00CA7676" w:rsidP="00E14EE6">
            <w:pPr>
              <w:jc w:val="right"/>
              <w:rPr>
                <w:rFonts w:eastAsia="Times New Roman" w:cs="Times New Roman"/>
                <w:color w:val="000000"/>
                <w:sz w:val="14"/>
                <w:szCs w:val="14"/>
              </w:rPr>
            </w:pPr>
            <w:r w:rsidRPr="00E14EE6">
              <w:rPr>
                <w:sz w:val="14"/>
              </w:rPr>
              <w:t>0.8</w:t>
            </w:r>
          </w:p>
        </w:tc>
        <w:tc>
          <w:tcPr>
            <w:tcW w:w="390" w:type="pct"/>
            <w:noWrap/>
            <w:hideMark/>
          </w:tcPr>
          <w:p w14:paraId="467C991E" w14:textId="77777777" w:rsidR="00CA7676" w:rsidRPr="00E14EE6" w:rsidRDefault="00CA7676" w:rsidP="00E14EE6">
            <w:pPr>
              <w:jc w:val="right"/>
              <w:rPr>
                <w:rFonts w:eastAsia="Times New Roman" w:cs="Times New Roman"/>
                <w:color w:val="000000"/>
                <w:sz w:val="14"/>
                <w:szCs w:val="14"/>
              </w:rPr>
            </w:pPr>
            <w:r w:rsidRPr="00E14EE6">
              <w:rPr>
                <w:sz w:val="14"/>
              </w:rPr>
              <w:t>1.1</w:t>
            </w:r>
          </w:p>
        </w:tc>
        <w:tc>
          <w:tcPr>
            <w:tcW w:w="390" w:type="pct"/>
            <w:noWrap/>
            <w:hideMark/>
          </w:tcPr>
          <w:p w14:paraId="350AE280" w14:textId="77777777" w:rsidR="00CA7676" w:rsidRPr="00E14EE6" w:rsidRDefault="00CA7676" w:rsidP="00E14EE6">
            <w:pPr>
              <w:jc w:val="right"/>
              <w:rPr>
                <w:rFonts w:eastAsia="Times New Roman" w:cs="Times New Roman"/>
                <w:color w:val="000000"/>
                <w:sz w:val="14"/>
                <w:szCs w:val="14"/>
              </w:rPr>
            </w:pPr>
            <w:r w:rsidRPr="00E14EE6">
              <w:rPr>
                <w:sz w:val="14"/>
              </w:rPr>
              <w:t>1.3</w:t>
            </w:r>
          </w:p>
        </w:tc>
        <w:tc>
          <w:tcPr>
            <w:tcW w:w="390" w:type="pct"/>
            <w:noWrap/>
            <w:hideMark/>
          </w:tcPr>
          <w:p w14:paraId="7DA010BA" w14:textId="77777777" w:rsidR="00CA7676" w:rsidRPr="00E14EE6" w:rsidRDefault="00CA7676" w:rsidP="00E14EE6">
            <w:pPr>
              <w:jc w:val="right"/>
              <w:rPr>
                <w:rFonts w:eastAsia="Times New Roman" w:cs="Times New Roman"/>
                <w:color w:val="000000"/>
                <w:sz w:val="14"/>
                <w:szCs w:val="14"/>
              </w:rPr>
            </w:pPr>
            <w:r w:rsidRPr="00E14EE6">
              <w:rPr>
                <w:sz w:val="14"/>
              </w:rPr>
              <w:t>0.8</w:t>
            </w:r>
          </w:p>
        </w:tc>
        <w:tc>
          <w:tcPr>
            <w:tcW w:w="390" w:type="pct"/>
            <w:noWrap/>
            <w:hideMark/>
          </w:tcPr>
          <w:p w14:paraId="00AEB3AC" w14:textId="77777777" w:rsidR="00CA7676" w:rsidRPr="00E14EE6" w:rsidRDefault="00CA7676" w:rsidP="00E14EE6">
            <w:pPr>
              <w:jc w:val="right"/>
              <w:rPr>
                <w:rFonts w:eastAsia="Times New Roman" w:cs="Times New Roman"/>
                <w:color w:val="000000"/>
                <w:sz w:val="14"/>
                <w:szCs w:val="14"/>
              </w:rPr>
            </w:pPr>
            <w:r w:rsidRPr="00E14EE6">
              <w:rPr>
                <w:sz w:val="14"/>
              </w:rPr>
              <w:t>0.5</w:t>
            </w:r>
          </w:p>
        </w:tc>
        <w:tc>
          <w:tcPr>
            <w:tcW w:w="390" w:type="pct"/>
            <w:noWrap/>
            <w:hideMark/>
          </w:tcPr>
          <w:p w14:paraId="492F89F4" w14:textId="77777777" w:rsidR="00CA7676" w:rsidRPr="00E14EE6" w:rsidRDefault="00CA7676" w:rsidP="00E14EE6">
            <w:pPr>
              <w:jc w:val="right"/>
              <w:rPr>
                <w:rFonts w:eastAsia="Times New Roman" w:cs="Times New Roman"/>
                <w:color w:val="000000"/>
                <w:sz w:val="14"/>
                <w:szCs w:val="14"/>
              </w:rPr>
            </w:pPr>
            <w:r w:rsidRPr="00E14EE6">
              <w:rPr>
                <w:sz w:val="14"/>
              </w:rPr>
              <w:t>0.9</w:t>
            </w:r>
          </w:p>
        </w:tc>
        <w:tc>
          <w:tcPr>
            <w:tcW w:w="390" w:type="pct"/>
            <w:noWrap/>
            <w:hideMark/>
          </w:tcPr>
          <w:p w14:paraId="3FCC1F85" w14:textId="77777777" w:rsidR="00CA7676" w:rsidRPr="00E14EE6" w:rsidRDefault="00CA7676" w:rsidP="00E14EE6">
            <w:pPr>
              <w:jc w:val="right"/>
              <w:rPr>
                <w:rFonts w:eastAsia="Times New Roman" w:cs="Times New Roman"/>
                <w:color w:val="000000"/>
                <w:sz w:val="14"/>
                <w:szCs w:val="14"/>
              </w:rPr>
            </w:pPr>
            <w:r w:rsidRPr="00E14EE6">
              <w:rPr>
                <w:sz w:val="14"/>
              </w:rPr>
              <w:t>0.9</w:t>
            </w:r>
          </w:p>
        </w:tc>
        <w:tc>
          <w:tcPr>
            <w:tcW w:w="390" w:type="pct"/>
            <w:noWrap/>
            <w:hideMark/>
          </w:tcPr>
          <w:p w14:paraId="14E21A5E" w14:textId="77777777" w:rsidR="00CA7676" w:rsidRPr="00E14EE6" w:rsidRDefault="00CA7676" w:rsidP="00E14EE6">
            <w:pPr>
              <w:jc w:val="right"/>
              <w:rPr>
                <w:rFonts w:eastAsia="Times New Roman" w:cs="Times New Roman"/>
                <w:sz w:val="14"/>
                <w:szCs w:val="14"/>
              </w:rPr>
            </w:pPr>
            <w:r w:rsidRPr="00E14EE6">
              <w:rPr>
                <w:sz w:val="14"/>
              </w:rPr>
              <w:t>0.3</w:t>
            </w:r>
          </w:p>
        </w:tc>
      </w:tr>
      <w:tr w:rsidR="00CA7676" w:rsidRPr="00E14EE6" w14:paraId="08C22EB7" w14:textId="77777777" w:rsidTr="00FD6B66">
        <w:trPr>
          <w:cantSplit/>
          <w:trHeight w:val="20"/>
        </w:trPr>
        <w:tc>
          <w:tcPr>
            <w:tcW w:w="1492" w:type="pct"/>
            <w:noWrap/>
            <w:hideMark/>
          </w:tcPr>
          <w:p w14:paraId="2A39CF16" w14:textId="77777777" w:rsidR="00CA7676" w:rsidRPr="00E14EE6" w:rsidRDefault="00CA7676" w:rsidP="00E14EE6">
            <w:pPr>
              <w:jc w:val="left"/>
              <w:rPr>
                <w:rFonts w:eastAsia="Times New Roman" w:cs="Times New Roman"/>
                <w:b/>
                <w:bCs/>
                <w:i/>
                <w:iCs/>
                <w:sz w:val="14"/>
                <w:szCs w:val="14"/>
              </w:rPr>
            </w:pPr>
            <w:r w:rsidRPr="00E14EE6">
              <w:rPr>
                <w:b/>
                <w:i/>
                <w:sz w:val="14"/>
              </w:rPr>
              <w:t>Gross operating balance</w:t>
            </w:r>
            <w:r w:rsidRPr="00E14EE6">
              <w:rPr>
                <w:b/>
                <w:i/>
                <w:sz w:val="14"/>
                <w:vertAlign w:val="superscript"/>
              </w:rPr>
              <w:t>d</w:t>
            </w:r>
          </w:p>
        </w:tc>
        <w:tc>
          <w:tcPr>
            <w:tcW w:w="389" w:type="pct"/>
            <w:noWrap/>
            <w:hideMark/>
          </w:tcPr>
          <w:p w14:paraId="06CA4C8C" w14:textId="6C2E63D7" w:rsidR="00CA7676" w:rsidRPr="00E14EE6" w:rsidRDefault="00E14EE6" w:rsidP="00E14EE6">
            <w:pPr>
              <w:jc w:val="right"/>
              <w:rPr>
                <w:rFonts w:eastAsia="Times New Roman" w:cs="Times New Roman"/>
                <w:b/>
                <w:bCs/>
                <w:color w:val="000000"/>
                <w:sz w:val="14"/>
                <w:szCs w:val="14"/>
              </w:rPr>
            </w:pPr>
            <w:r w:rsidRPr="00E14EE6">
              <w:rPr>
                <w:b/>
                <w:sz w:val="14"/>
              </w:rPr>
              <w:noBreakHyphen/>
            </w:r>
            <w:r w:rsidR="00CA7676" w:rsidRPr="00E14EE6">
              <w:rPr>
                <w:b/>
                <w:sz w:val="14"/>
              </w:rPr>
              <w:t>0.7</w:t>
            </w:r>
          </w:p>
        </w:tc>
        <w:tc>
          <w:tcPr>
            <w:tcW w:w="390" w:type="pct"/>
            <w:noWrap/>
            <w:hideMark/>
          </w:tcPr>
          <w:p w14:paraId="19E74A43" w14:textId="77777777" w:rsidR="00CA7676" w:rsidRPr="00E14EE6" w:rsidRDefault="00CA7676" w:rsidP="00E14EE6">
            <w:pPr>
              <w:jc w:val="right"/>
              <w:rPr>
                <w:rFonts w:eastAsia="Times New Roman" w:cs="Times New Roman"/>
                <w:b/>
                <w:bCs/>
                <w:color w:val="000000"/>
                <w:sz w:val="14"/>
                <w:szCs w:val="14"/>
              </w:rPr>
            </w:pPr>
            <w:r w:rsidRPr="00E14EE6">
              <w:rPr>
                <w:b/>
                <w:sz w:val="14"/>
              </w:rPr>
              <w:t>2.2</w:t>
            </w:r>
          </w:p>
        </w:tc>
        <w:tc>
          <w:tcPr>
            <w:tcW w:w="390" w:type="pct"/>
            <w:noWrap/>
            <w:hideMark/>
          </w:tcPr>
          <w:p w14:paraId="5918B70B" w14:textId="39174C63" w:rsidR="00CA7676" w:rsidRPr="00E14EE6" w:rsidRDefault="00E14EE6" w:rsidP="00E14EE6">
            <w:pPr>
              <w:jc w:val="right"/>
              <w:rPr>
                <w:rFonts w:eastAsia="Times New Roman" w:cs="Times New Roman"/>
                <w:b/>
                <w:bCs/>
                <w:color w:val="000000"/>
                <w:sz w:val="14"/>
                <w:szCs w:val="14"/>
              </w:rPr>
            </w:pPr>
            <w:r w:rsidRPr="00E14EE6">
              <w:rPr>
                <w:b/>
                <w:sz w:val="14"/>
              </w:rPr>
              <w:noBreakHyphen/>
            </w:r>
            <w:r w:rsidR="00CA7676" w:rsidRPr="00E14EE6">
              <w:rPr>
                <w:b/>
                <w:sz w:val="14"/>
              </w:rPr>
              <w:t>1.3</w:t>
            </w:r>
          </w:p>
        </w:tc>
        <w:tc>
          <w:tcPr>
            <w:tcW w:w="390" w:type="pct"/>
            <w:noWrap/>
            <w:hideMark/>
          </w:tcPr>
          <w:p w14:paraId="2432FE82" w14:textId="48E3234B" w:rsidR="00CA7676" w:rsidRPr="00E14EE6" w:rsidRDefault="00E14EE6" w:rsidP="00E14EE6">
            <w:pPr>
              <w:jc w:val="right"/>
              <w:rPr>
                <w:rFonts w:eastAsia="Times New Roman" w:cs="Times New Roman"/>
                <w:b/>
                <w:bCs/>
                <w:color w:val="000000"/>
                <w:sz w:val="14"/>
                <w:szCs w:val="14"/>
              </w:rPr>
            </w:pPr>
            <w:r w:rsidRPr="00E14EE6">
              <w:rPr>
                <w:b/>
                <w:sz w:val="14"/>
              </w:rPr>
              <w:noBreakHyphen/>
            </w:r>
            <w:r w:rsidR="00CA7676" w:rsidRPr="00E14EE6">
              <w:rPr>
                <w:b/>
                <w:sz w:val="14"/>
              </w:rPr>
              <w:t>1.6</w:t>
            </w:r>
          </w:p>
        </w:tc>
        <w:tc>
          <w:tcPr>
            <w:tcW w:w="390" w:type="pct"/>
            <w:noWrap/>
            <w:hideMark/>
          </w:tcPr>
          <w:p w14:paraId="535A8F14" w14:textId="10D7B79B" w:rsidR="00CA7676" w:rsidRPr="00E14EE6" w:rsidRDefault="00E14EE6" w:rsidP="00E14EE6">
            <w:pPr>
              <w:jc w:val="right"/>
              <w:rPr>
                <w:rFonts w:eastAsia="Times New Roman" w:cs="Times New Roman"/>
                <w:b/>
                <w:bCs/>
                <w:color w:val="000000"/>
                <w:sz w:val="14"/>
                <w:szCs w:val="14"/>
              </w:rPr>
            </w:pPr>
            <w:r w:rsidRPr="00E14EE6">
              <w:rPr>
                <w:b/>
                <w:sz w:val="14"/>
              </w:rPr>
              <w:noBreakHyphen/>
            </w:r>
            <w:r w:rsidR="00CA7676" w:rsidRPr="00E14EE6">
              <w:rPr>
                <w:b/>
                <w:sz w:val="14"/>
              </w:rPr>
              <w:t>0.8</w:t>
            </w:r>
          </w:p>
        </w:tc>
        <w:tc>
          <w:tcPr>
            <w:tcW w:w="390" w:type="pct"/>
            <w:noWrap/>
            <w:hideMark/>
          </w:tcPr>
          <w:p w14:paraId="542FC18A" w14:textId="4F056E08" w:rsidR="00CA7676" w:rsidRPr="00E14EE6" w:rsidRDefault="00E14EE6" w:rsidP="00E14EE6">
            <w:pPr>
              <w:jc w:val="right"/>
              <w:rPr>
                <w:rFonts w:eastAsia="Times New Roman" w:cs="Times New Roman"/>
                <w:b/>
                <w:bCs/>
                <w:color w:val="000000"/>
                <w:sz w:val="14"/>
                <w:szCs w:val="14"/>
              </w:rPr>
            </w:pPr>
            <w:r w:rsidRPr="00E14EE6">
              <w:rPr>
                <w:b/>
                <w:sz w:val="14"/>
              </w:rPr>
              <w:noBreakHyphen/>
            </w:r>
            <w:r w:rsidR="00CA7676" w:rsidRPr="00E14EE6">
              <w:rPr>
                <w:b/>
                <w:sz w:val="14"/>
              </w:rPr>
              <w:t>0.8</w:t>
            </w:r>
          </w:p>
        </w:tc>
        <w:tc>
          <w:tcPr>
            <w:tcW w:w="390" w:type="pct"/>
            <w:noWrap/>
            <w:hideMark/>
          </w:tcPr>
          <w:p w14:paraId="4720ABB7" w14:textId="22DE9E12" w:rsidR="00CA7676" w:rsidRPr="00E14EE6" w:rsidRDefault="00E14EE6" w:rsidP="00E14EE6">
            <w:pPr>
              <w:jc w:val="right"/>
              <w:rPr>
                <w:rFonts w:eastAsia="Times New Roman" w:cs="Times New Roman"/>
                <w:b/>
                <w:bCs/>
                <w:color w:val="000000"/>
                <w:sz w:val="14"/>
                <w:szCs w:val="14"/>
              </w:rPr>
            </w:pPr>
            <w:r w:rsidRPr="00E14EE6">
              <w:rPr>
                <w:b/>
                <w:sz w:val="14"/>
              </w:rPr>
              <w:noBreakHyphen/>
            </w:r>
            <w:r w:rsidR="00CA7676" w:rsidRPr="00E14EE6">
              <w:rPr>
                <w:b/>
                <w:sz w:val="14"/>
              </w:rPr>
              <w:t>6.6</w:t>
            </w:r>
          </w:p>
        </w:tc>
        <w:tc>
          <w:tcPr>
            <w:tcW w:w="390" w:type="pct"/>
            <w:noWrap/>
            <w:hideMark/>
          </w:tcPr>
          <w:p w14:paraId="4B686A7D" w14:textId="5AB47386" w:rsidR="00CA7676" w:rsidRPr="00E14EE6" w:rsidRDefault="00E14EE6" w:rsidP="00E14EE6">
            <w:pPr>
              <w:jc w:val="right"/>
              <w:rPr>
                <w:rFonts w:eastAsia="Times New Roman" w:cs="Times New Roman"/>
                <w:b/>
                <w:bCs/>
                <w:color w:val="000000"/>
                <w:sz w:val="14"/>
                <w:szCs w:val="14"/>
              </w:rPr>
            </w:pPr>
            <w:r w:rsidRPr="00E14EE6">
              <w:rPr>
                <w:b/>
                <w:sz w:val="14"/>
              </w:rPr>
              <w:noBreakHyphen/>
            </w:r>
            <w:r w:rsidR="00CA7676" w:rsidRPr="00E14EE6">
              <w:rPr>
                <w:b/>
                <w:sz w:val="14"/>
              </w:rPr>
              <w:t>1.5</w:t>
            </w:r>
          </w:p>
        </w:tc>
        <w:tc>
          <w:tcPr>
            <w:tcW w:w="390" w:type="pct"/>
            <w:noWrap/>
            <w:hideMark/>
          </w:tcPr>
          <w:p w14:paraId="7FCA2389" w14:textId="17BB5896" w:rsidR="00CA7676" w:rsidRPr="00E14EE6" w:rsidRDefault="00E14EE6" w:rsidP="00E14EE6">
            <w:pPr>
              <w:jc w:val="right"/>
              <w:rPr>
                <w:rFonts w:eastAsia="Times New Roman" w:cs="Times New Roman"/>
                <w:b/>
                <w:bCs/>
                <w:sz w:val="14"/>
                <w:szCs w:val="14"/>
              </w:rPr>
            </w:pPr>
            <w:r w:rsidRPr="00E14EE6">
              <w:rPr>
                <w:b/>
                <w:sz w:val="14"/>
              </w:rPr>
              <w:noBreakHyphen/>
            </w:r>
            <w:r w:rsidR="00CA7676" w:rsidRPr="00E14EE6">
              <w:rPr>
                <w:b/>
                <w:sz w:val="14"/>
              </w:rPr>
              <w:t>0.7</w:t>
            </w:r>
          </w:p>
        </w:tc>
      </w:tr>
      <w:tr w:rsidR="00CA7676" w:rsidRPr="00E14EE6" w14:paraId="6B13096D" w14:textId="77777777" w:rsidTr="00FD6B66">
        <w:trPr>
          <w:cnfStyle w:val="000000010000" w:firstRow="0" w:lastRow="0" w:firstColumn="0" w:lastColumn="0" w:oddVBand="0" w:evenVBand="0" w:oddHBand="0" w:evenHBand="1" w:firstRowFirstColumn="0" w:firstRowLastColumn="0" w:lastRowFirstColumn="0" w:lastRowLastColumn="0"/>
          <w:cantSplit/>
          <w:trHeight w:val="20"/>
        </w:trPr>
        <w:tc>
          <w:tcPr>
            <w:tcW w:w="1492" w:type="pct"/>
            <w:noWrap/>
            <w:hideMark/>
          </w:tcPr>
          <w:p w14:paraId="1C86E458" w14:textId="49C00C61" w:rsidR="00CA7676" w:rsidRPr="00E14EE6" w:rsidRDefault="00CA7676" w:rsidP="00E14EE6">
            <w:pPr>
              <w:jc w:val="left"/>
              <w:rPr>
                <w:rFonts w:eastAsia="Times New Roman" w:cs="Times New Roman"/>
                <w:b/>
                <w:bCs/>
                <w:sz w:val="14"/>
                <w:szCs w:val="14"/>
              </w:rPr>
            </w:pPr>
            <w:r w:rsidRPr="00E14EE6">
              <w:rPr>
                <w:b/>
                <w:sz w:val="14"/>
              </w:rPr>
              <w:t>Gross investment in non</w:t>
            </w:r>
            <w:r w:rsidR="00E14EE6" w:rsidRPr="00E14EE6">
              <w:rPr>
                <w:b/>
                <w:sz w:val="14"/>
              </w:rPr>
              <w:noBreakHyphen/>
            </w:r>
            <w:r w:rsidRPr="00E14EE6">
              <w:rPr>
                <w:b/>
                <w:sz w:val="14"/>
              </w:rPr>
              <w:t>financial assets</w:t>
            </w:r>
          </w:p>
        </w:tc>
        <w:tc>
          <w:tcPr>
            <w:tcW w:w="389" w:type="pct"/>
            <w:noWrap/>
            <w:hideMark/>
          </w:tcPr>
          <w:p w14:paraId="7DF2D0D7" w14:textId="77777777" w:rsidR="00CA7676" w:rsidRPr="00E14EE6" w:rsidRDefault="00CA7676" w:rsidP="00E14EE6">
            <w:pPr>
              <w:jc w:val="right"/>
              <w:rPr>
                <w:rFonts w:eastAsia="Times New Roman" w:cs="Times New Roman"/>
                <w:b/>
                <w:bCs/>
                <w:color w:val="000000"/>
                <w:sz w:val="14"/>
                <w:szCs w:val="14"/>
              </w:rPr>
            </w:pPr>
            <w:r w:rsidRPr="00E14EE6">
              <w:rPr>
                <w:b/>
                <w:sz w:val="14"/>
              </w:rPr>
              <w:t>2.0</w:t>
            </w:r>
          </w:p>
        </w:tc>
        <w:tc>
          <w:tcPr>
            <w:tcW w:w="390" w:type="pct"/>
            <w:noWrap/>
            <w:hideMark/>
          </w:tcPr>
          <w:p w14:paraId="6742D63E" w14:textId="77777777" w:rsidR="00CA7676" w:rsidRPr="00E14EE6" w:rsidRDefault="00CA7676" w:rsidP="00E14EE6">
            <w:pPr>
              <w:jc w:val="right"/>
              <w:rPr>
                <w:rFonts w:eastAsia="Times New Roman" w:cs="Times New Roman"/>
                <w:b/>
                <w:bCs/>
                <w:color w:val="000000"/>
                <w:sz w:val="14"/>
                <w:szCs w:val="14"/>
              </w:rPr>
            </w:pPr>
            <w:r w:rsidRPr="00E14EE6">
              <w:rPr>
                <w:b/>
                <w:sz w:val="14"/>
              </w:rPr>
              <w:t>2.1</w:t>
            </w:r>
          </w:p>
        </w:tc>
        <w:tc>
          <w:tcPr>
            <w:tcW w:w="390" w:type="pct"/>
            <w:noWrap/>
            <w:hideMark/>
          </w:tcPr>
          <w:p w14:paraId="0A21F865" w14:textId="77777777" w:rsidR="00CA7676" w:rsidRPr="00E14EE6" w:rsidRDefault="00CA7676" w:rsidP="00E14EE6">
            <w:pPr>
              <w:jc w:val="right"/>
              <w:rPr>
                <w:rFonts w:eastAsia="Times New Roman" w:cs="Times New Roman"/>
                <w:b/>
                <w:bCs/>
                <w:color w:val="000000"/>
                <w:sz w:val="14"/>
                <w:szCs w:val="14"/>
              </w:rPr>
            </w:pPr>
            <w:r w:rsidRPr="00E14EE6">
              <w:rPr>
                <w:b/>
                <w:sz w:val="14"/>
              </w:rPr>
              <w:t>1.7</w:t>
            </w:r>
          </w:p>
        </w:tc>
        <w:tc>
          <w:tcPr>
            <w:tcW w:w="390" w:type="pct"/>
            <w:noWrap/>
            <w:hideMark/>
          </w:tcPr>
          <w:p w14:paraId="5442F56F" w14:textId="77777777" w:rsidR="00CA7676" w:rsidRPr="00E14EE6" w:rsidRDefault="00CA7676" w:rsidP="00E14EE6">
            <w:pPr>
              <w:jc w:val="right"/>
              <w:rPr>
                <w:rFonts w:eastAsia="Times New Roman" w:cs="Times New Roman"/>
                <w:b/>
                <w:bCs/>
                <w:color w:val="000000"/>
                <w:sz w:val="14"/>
                <w:szCs w:val="14"/>
              </w:rPr>
            </w:pPr>
            <w:r w:rsidRPr="00E14EE6">
              <w:rPr>
                <w:b/>
                <w:sz w:val="14"/>
              </w:rPr>
              <w:t>1.8</w:t>
            </w:r>
          </w:p>
        </w:tc>
        <w:tc>
          <w:tcPr>
            <w:tcW w:w="390" w:type="pct"/>
            <w:noWrap/>
            <w:hideMark/>
          </w:tcPr>
          <w:p w14:paraId="27CE8CC0" w14:textId="77777777" w:rsidR="00CA7676" w:rsidRPr="00E14EE6" w:rsidRDefault="00CA7676" w:rsidP="00E14EE6">
            <w:pPr>
              <w:jc w:val="right"/>
              <w:rPr>
                <w:rFonts w:eastAsia="Times New Roman" w:cs="Times New Roman"/>
                <w:b/>
                <w:bCs/>
                <w:color w:val="000000"/>
                <w:sz w:val="14"/>
                <w:szCs w:val="14"/>
              </w:rPr>
            </w:pPr>
            <w:r w:rsidRPr="00E14EE6">
              <w:rPr>
                <w:b/>
                <w:sz w:val="14"/>
              </w:rPr>
              <w:t>1.5</w:t>
            </w:r>
          </w:p>
        </w:tc>
        <w:tc>
          <w:tcPr>
            <w:tcW w:w="390" w:type="pct"/>
            <w:noWrap/>
            <w:hideMark/>
          </w:tcPr>
          <w:p w14:paraId="39FA6B08" w14:textId="77777777" w:rsidR="00CA7676" w:rsidRPr="00E14EE6" w:rsidRDefault="00CA7676" w:rsidP="00E14EE6">
            <w:pPr>
              <w:jc w:val="right"/>
              <w:rPr>
                <w:rFonts w:eastAsia="Times New Roman" w:cs="Times New Roman"/>
                <w:b/>
                <w:bCs/>
                <w:color w:val="000000"/>
                <w:sz w:val="14"/>
                <w:szCs w:val="14"/>
              </w:rPr>
            </w:pPr>
            <w:r w:rsidRPr="00E14EE6">
              <w:rPr>
                <w:b/>
                <w:sz w:val="14"/>
              </w:rPr>
              <w:t>1.5</w:t>
            </w:r>
          </w:p>
        </w:tc>
        <w:tc>
          <w:tcPr>
            <w:tcW w:w="390" w:type="pct"/>
            <w:noWrap/>
            <w:hideMark/>
          </w:tcPr>
          <w:p w14:paraId="56E8DE1B" w14:textId="77777777" w:rsidR="00CA7676" w:rsidRPr="00E14EE6" w:rsidRDefault="00CA7676" w:rsidP="00E14EE6">
            <w:pPr>
              <w:jc w:val="right"/>
              <w:rPr>
                <w:rFonts w:eastAsia="Times New Roman" w:cs="Times New Roman"/>
                <w:b/>
                <w:bCs/>
                <w:color w:val="000000"/>
                <w:sz w:val="14"/>
                <w:szCs w:val="14"/>
              </w:rPr>
            </w:pPr>
            <w:r w:rsidRPr="00E14EE6">
              <w:rPr>
                <w:b/>
                <w:sz w:val="14"/>
              </w:rPr>
              <w:t>1.7</w:t>
            </w:r>
          </w:p>
        </w:tc>
        <w:tc>
          <w:tcPr>
            <w:tcW w:w="390" w:type="pct"/>
            <w:noWrap/>
            <w:hideMark/>
          </w:tcPr>
          <w:p w14:paraId="3E9DA799" w14:textId="77777777" w:rsidR="00CA7676" w:rsidRPr="00E14EE6" w:rsidRDefault="00CA7676" w:rsidP="00E14EE6">
            <w:pPr>
              <w:jc w:val="right"/>
              <w:rPr>
                <w:rFonts w:eastAsia="Times New Roman" w:cs="Times New Roman"/>
                <w:b/>
                <w:bCs/>
                <w:color w:val="000000"/>
                <w:sz w:val="14"/>
                <w:szCs w:val="14"/>
              </w:rPr>
            </w:pPr>
            <w:r w:rsidRPr="00E14EE6">
              <w:rPr>
                <w:b/>
                <w:sz w:val="14"/>
              </w:rPr>
              <w:t>1.5</w:t>
            </w:r>
          </w:p>
        </w:tc>
        <w:tc>
          <w:tcPr>
            <w:tcW w:w="390" w:type="pct"/>
            <w:noWrap/>
            <w:hideMark/>
          </w:tcPr>
          <w:p w14:paraId="413360BD" w14:textId="77777777" w:rsidR="00CA7676" w:rsidRPr="00E14EE6" w:rsidRDefault="00CA7676" w:rsidP="00E14EE6">
            <w:pPr>
              <w:jc w:val="right"/>
              <w:rPr>
                <w:rFonts w:eastAsia="Times New Roman" w:cs="Times New Roman"/>
                <w:b/>
                <w:bCs/>
                <w:sz w:val="14"/>
                <w:szCs w:val="14"/>
              </w:rPr>
            </w:pPr>
            <w:r w:rsidRPr="00E14EE6">
              <w:rPr>
                <w:b/>
                <w:sz w:val="14"/>
              </w:rPr>
              <w:t>0.8</w:t>
            </w:r>
          </w:p>
        </w:tc>
      </w:tr>
      <w:tr w:rsidR="00CA7676" w:rsidRPr="00E14EE6" w14:paraId="27C0A852" w14:textId="77777777" w:rsidTr="00FD6B66">
        <w:trPr>
          <w:cantSplit/>
          <w:trHeight w:val="20"/>
        </w:trPr>
        <w:tc>
          <w:tcPr>
            <w:tcW w:w="1492" w:type="pct"/>
            <w:noWrap/>
            <w:hideMark/>
          </w:tcPr>
          <w:p w14:paraId="545D8179" w14:textId="3C385D1F" w:rsidR="00CA7676" w:rsidRPr="00E14EE6" w:rsidRDefault="00CA7676" w:rsidP="00E14EE6">
            <w:pPr>
              <w:ind w:firstLineChars="100" w:firstLine="140"/>
              <w:jc w:val="left"/>
              <w:rPr>
                <w:rFonts w:eastAsia="Times New Roman" w:cs="Times New Roman"/>
                <w:sz w:val="14"/>
                <w:szCs w:val="14"/>
              </w:rPr>
            </w:pPr>
            <w:r w:rsidRPr="00E14EE6">
              <w:rPr>
                <w:sz w:val="14"/>
              </w:rPr>
              <w:t>Fixed assets</w:t>
            </w:r>
          </w:p>
        </w:tc>
        <w:tc>
          <w:tcPr>
            <w:tcW w:w="389" w:type="pct"/>
            <w:noWrap/>
            <w:hideMark/>
          </w:tcPr>
          <w:p w14:paraId="223CE7EF" w14:textId="77777777" w:rsidR="00CA7676" w:rsidRPr="00E14EE6" w:rsidRDefault="00CA7676" w:rsidP="00E14EE6">
            <w:pPr>
              <w:jc w:val="right"/>
              <w:rPr>
                <w:rFonts w:eastAsia="Times New Roman" w:cs="Times New Roman"/>
                <w:color w:val="000000"/>
                <w:sz w:val="14"/>
                <w:szCs w:val="14"/>
              </w:rPr>
            </w:pPr>
            <w:r w:rsidRPr="00E14EE6">
              <w:rPr>
                <w:sz w:val="14"/>
              </w:rPr>
              <w:t>2.0</w:t>
            </w:r>
          </w:p>
        </w:tc>
        <w:tc>
          <w:tcPr>
            <w:tcW w:w="390" w:type="pct"/>
            <w:noWrap/>
            <w:hideMark/>
          </w:tcPr>
          <w:p w14:paraId="159A81A9" w14:textId="77777777" w:rsidR="00CA7676" w:rsidRPr="00E14EE6" w:rsidRDefault="00CA7676" w:rsidP="00E14EE6">
            <w:pPr>
              <w:jc w:val="right"/>
              <w:rPr>
                <w:rFonts w:eastAsia="Times New Roman" w:cs="Times New Roman"/>
                <w:color w:val="000000"/>
                <w:sz w:val="14"/>
                <w:szCs w:val="14"/>
              </w:rPr>
            </w:pPr>
            <w:r w:rsidRPr="00E14EE6">
              <w:rPr>
                <w:sz w:val="14"/>
              </w:rPr>
              <w:t>2.1</w:t>
            </w:r>
          </w:p>
        </w:tc>
        <w:tc>
          <w:tcPr>
            <w:tcW w:w="390" w:type="pct"/>
            <w:noWrap/>
            <w:hideMark/>
          </w:tcPr>
          <w:p w14:paraId="636CEEF5" w14:textId="77777777" w:rsidR="00CA7676" w:rsidRPr="00E14EE6" w:rsidRDefault="00CA7676" w:rsidP="00E14EE6">
            <w:pPr>
              <w:jc w:val="right"/>
              <w:rPr>
                <w:rFonts w:eastAsia="Times New Roman" w:cs="Times New Roman"/>
                <w:color w:val="000000"/>
                <w:sz w:val="14"/>
                <w:szCs w:val="14"/>
              </w:rPr>
            </w:pPr>
            <w:r w:rsidRPr="00E14EE6">
              <w:rPr>
                <w:sz w:val="14"/>
              </w:rPr>
              <w:t>1.6</w:t>
            </w:r>
          </w:p>
        </w:tc>
        <w:tc>
          <w:tcPr>
            <w:tcW w:w="390" w:type="pct"/>
            <w:noWrap/>
            <w:hideMark/>
          </w:tcPr>
          <w:p w14:paraId="6518208B" w14:textId="77777777" w:rsidR="00CA7676" w:rsidRPr="00E14EE6" w:rsidRDefault="00CA7676" w:rsidP="00E14EE6">
            <w:pPr>
              <w:jc w:val="right"/>
              <w:rPr>
                <w:rFonts w:eastAsia="Times New Roman" w:cs="Times New Roman"/>
                <w:color w:val="000000"/>
                <w:sz w:val="14"/>
                <w:szCs w:val="14"/>
              </w:rPr>
            </w:pPr>
            <w:r w:rsidRPr="00E14EE6">
              <w:rPr>
                <w:sz w:val="14"/>
              </w:rPr>
              <w:t>1.7</w:t>
            </w:r>
          </w:p>
        </w:tc>
        <w:tc>
          <w:tcPr>
            <w:tcW w:w="390" w:type="pct"/>
            <w:noWrap/>
            <w:hideMark/>
          </w:tcPr>
          <w:p w14:paraId="69A551C8" w14:textId="77777777" w:rsidR="00CA7676" w:rsidRPr="00E14EE6" w:rsidRDefault="00CA7676" w:rsidP="00E14EE6">
            <w:pPr>
              <w:jc w:val="right"/>
              <w:rPr>
                <w:rFonts w:eastAsia="Times New Roman" w:cs="Times New Roman"/>
                <w:color w:val="000000"/>
                <w:sz w:val="14"/>
                <w:szCs w:val="14"/>
              </w:rPr>
            </w:pPr>
            <w:r w:rsidRPr="00E14EE6">
              <w:rPr>
                <w:sz w:val="14"/>
              </w:rPr>
              <w:t>1.5</w:t>
            </w:r>
          </w:p>
        </w:tc>
        <w:tc>
          <w:tcPr>
            <w:tcW w:w="390" w:type="pct"/>
            <w:noWrap/>
            <w:hideMark/>
          </w:tcPr>
          <w:p w14:paraId="063F44F8" w14:textId="77777777" w:rsidR="00CA7676" w:rsidRPr="00E14EE6" w:rsidRDefault="00CA7676" w:rsidP="00E14EE6">
            <w:pPr>
              <w:jc w:val="right"/>
              <w:rPr>
                <w:rFonts w:eastAsia="Times New Roman" w:cs="Times New Roman"/>
                <w:color w:val="000000"/>
                <w:sz w:val="14"/>
                <w:szCs w:val="14"/>
              </w:rPr>
            </w:pPr>
            <w:r w:rsidRPr="00E14EE6">
              <w:rPr>
                <w:sz w:val="14"/>
              </w:rPr>
              <w:t>1.5</w:t>
            </w:r>
          </w:p>
        </w:tc>
        <w:tc>
          <w:tcPr>
            <w:tcW w:w="390" w:type="pct"/>
            <w:noWrap/>
            <w:hideMark/>
          </w:tcPr>
          <w:p w14:paraId="4445935E" w14:textId="77777777" w:rsidR="00CA7676" w:rsidRPr="00E14EE6" w:rsidRDefault="00CA7676" w:rsidP="00E14EE6">
            <w:pPr>
              <w:jc w:val="right"/>
              <w:rPr>
                <w:rFonts w:eastAsia="Times New Roman" w:cs="Times New Roman"/>
                <w:color w:val="000000"/>
                <w:sz w:val="14"/>
                <w:szCs w:val="14"/>
              </w:rPr>
            </w:pPr>
            <w:r w:rsidRPr="00E14EE6">
              <w:rPr>
                <w:sz w:val="14"/>
              </w:rPr>
              <w:t>1.6</w:t>
            </w:r>
          </w:p>
        </w:tc>
        <w:tc>
          <w:tcPr>
            <w:tcW w:w="390" w:type="pct"/>
            <w:noWrap/>
            <w:hideMark/>
          </w:tcPr>
          <w:p w14:paraId="3C335C9C" w14:textId="77777777" w:rsidR="00CA7676" w:rsidRPr="00E14EE6" w:rsidRDefault="00CA7676" w:rsidP="00E14EE6">
            <w:pPr>
              <w:jc w:val="right"/>
              <w:rPr>
                <w:rFonts w:eastAsia="Times New Roman" w:cs="Times New Roman"/>
                <w:color w:val="000000"/>
                <w:sz w:val="14"/>
                <w:szCs w:val="14"/>
              </w:rPr>
            </w:pPr>
            <w:r w:rsidRPr="00E14EE6">
              <w:rPr>
                <w:sz w:val="14"/>
              </w:rPr>
              <w:t>1.5</w:t>
            </w:r>
          </w:p>
        </w:tc>
        <w:tc>
          <w:tcPr>
            <w:tcW w:w="390" w:type="pct"/>
            <w:noWrap/>
            <w:hideMark/>
          </w:tcPr>
          <w:p w14:paraId="19748FE3" w14:textId="77777777" w:rsidR="00CA7676" w:rsidRPr="00E14EE6" w:rsidRDefault="00CA7676" w:rsidP="00E14EE6">
            <w:pPr>
              <w:jc w:val="right"/>
              <w:rPr>
                <w:rFonts w:eastAsia="Times New Roman" w:cs="Times New Roman"/>
                <w:sz w:val="14"/>
                <w:szCs w:val="14"/>
              </w:rPr>
            </w:pPr>
            <w:r w:rsidRPr="00E14EE6">
              <w:rPr>
                <w:sz w:val="14"/>
              </w:rPr>
              <w:t>0.8</w:t>
            </w:r>
          </w:p>
        </w:tc>
      </w:tr>
      <w:tr w:rsidR="00CA7676" w:rsidRPr="00E14EE6" w14:paraId="7AAB2A00" w14:textId="77777777" w:rsidTr="00FD6B66">
        <w:trPr>
          <w:cnfStyle w:val="000000010000" w:firstRow="0" w:lastRow="0" w:firstColumn="0" w:lastColumn="0" w:oddVBand="0" w:evenVBand="0" w:oddHBand="0" w:evenHBand="1" w:firstRowFirstColumn="0" w:firstRowLastColumn="0" w:lastRowFirstColumn="0" w:lastRowLastColumn="0"/>
          <w:cantSplit/>
          <w:trHeight w:val="20"/>
        </w:trPr>
        <w:tc>
          <w:tcPr>
            <w:tcW w:w="1492" w:type="pct"/>
            <w:noWrap/>
            <w:hideMark/>
          </w:tcPr>
          <w:p w14:paraId="250615C0" w14:textId="595942EE" w:rsidR="00CA7676" w:rsidRPr="00E14EE6" w:rsidRDefault="00CA7676" w:rsidP="00E14EE6">
            <w:pPr>
              <w:ind w:firstLineChars="100" w:firstLine="140"/>
              <w:jc w:val="left"/>
              <w:rPr>
                <w:rFonts w:eastAsia="Times New Roman" w:cs="Times New Roman"/>
                <w:sz w:val="14"/>
                <w:szCs w:val="14"/>
              </w:rPr>
            </w:pPr>
            <w:r w:rsidRPr="00E14EE6">
              <w:rPr>
                <w:sz w:val="14"/>
              </w:rPr>
              <w:t>Valuables</w:t>
            </w:r>
          </w:p>
        </w:tc>
        <w:tc>
          <w:tcPr>
            <w:tcW w:w="389" w:type="pct"/>
            <w:noWrap/>
            <w:hideMark/>
          </w:tcPr>
          <w:p w14:paraId="757D36EC" w14:textId="77777777" w:rsidR="00CA7676" w:rsidRPr="00E14EE6" w:rsidRDefault="00CA7676" w:rsidP="00E14EE6">
            <w:pPr>
              <w:jc w:val="right"/>
              <w:rPr>
                <w:rFonts w:eastAsia="Times New Roman" w:cs="Times New Roman"/>
                <w:color w:val="000000"/>
                <w:sz w:val="14"/>
                <w:szCs w:val="14"/>
              </w:rPr>
            </w:pPr>
            <w:r w:rsidRPr="00E14EE6">
              <w:rPr>
                <w:sz w:val="14"/>
              </w:rPr>
              <w:t>0.0</w:t>
            </w:r>
          </w:p>
        </w:tc>
        <w:tc>
          <w:tcPr>
            <w:tcW w:w="390" w:type="pct"/>
            <w:noWrap/>
            <w:hideMark/>
          </w:tcPr>
          <w:p w14:paraId="5FB0E335" w14:textId="77777777" w:rsidR="00CA7676" w:rsidRPr="00E14EE6" w:rsidRDefault="00CA7676" w:rsidP="00E14EE6">
            <w:pPr>
              <w:jc w:val="right"/>
              <w:rPr>
                <w:rFonts w:eastAsia="Times New Roman" w:cs="Times New Roman"/>
                <w:color w:val="000000"/>
                <w:sz w:val="14"/>
                <w:szCs w:val="14"/>
              </w:rPr>
            </w:pPr>
            <w:r w:rsidRPr="00E14EE6">
              <w:rPr>
                <w:sz w:val="14"/>
              </w:rPr>
              <w:t>0.0</w:t>
            </w:r>
          </w:p>
        </w:tc>
        <w:tc>
          <w:tcPr>
            <w:tcW w:w="390" w:type="pct"/>
            <w:noWrap/>
            <w:hideMark/>
          </w:tcPr>
          <w:p w14:paraId="2009629D" w14:textId="77777777" w:rsidR="00CA7676" w:rsidRPr="00E14EE6" w:rsidRDefault="00CA7676" w:rsidP="00E14EE6">
            <w:pPr>
              <w:jc w:val="right"/>
              <w:rPr>
                <w:rFonts w:eastAsia="Times New Roman" w:cs="Times New Roman"/>
                <w:color w:val="000000"/>
                <w:sz w:val="14"/>
                <w:szCs w:val="14"/>
              </w:rPr>
            </w:pPr>
            <w:r w:rsidRPr="00E14EE6">
              <w:rPr>
                <w:sz w:val="14"/>
              </w:rPr>
              <w:t>0.0</w:t>
            </w:r>
          </w:p>
        </w:tc>
        <w:tc>
          <w:tcPr>
            <w:tcW w:w="390" w:type="pct"/>
            <w:noWrap/>
            <w:hideMark/>
          </w:tcPr>
          <w:p w14:paraId="2318EC44" w14:textId="77777777" w:rsidR="00CA7676" w:rsidRPr="00E14EE6" w:rsidRDefault="00CA7676" w:rsidP="00E14EE6">
            <w:pPr>
              <w:jc w:val="right"/>
              <w:rPr>
                <w:rFonts w:eastAsia="Times New Roman" w:cs="Times New Roman"/>
                <w:color w:val="000000"/>
                <w:sz w:val="14"/>
                <w:szCs w:val="14"/>
              </w:rPr>
            </w:pPr>
            <w:r w:rsidRPr="00E14EE6">
              <w:rPr>
                <w:sz w:val="14"/>
              </w:rPr>
              <w:t>0.0</w:t>
            </w:r>
          </w:p>
        </w:tc>
        <w:tc>
          <w:tcPr>
            <w:tcW w:w="390" w:type="pct"/>
            <w:noWrap/>
            <w:hideMark/>
          </w:tcPr>
          <w:p w14:paraId="0E2CAE45" w14:textId="77777777" w:rsidR="00CA7676" w:rsidRPr="00E14EE6" w:rsidRDefault="00CA7676" w:rsidP="00E14EE6">
            <w:pPr>
              <w:jc w:val="right"/>
              <w:rPr>
                <w:rFonts w:eastAsia="Times New Roman" w:cs="Times New Roman"/>
                <w:color w:val="000000"/>
                <w:sz w:val="14"/>
                <w:szCs w:val="14"/>
              </w:rPr>
            </w:pPr>
            <w:r w:rsidRPr="00E14EE6">
              <w:rPr>
                <w:sz w:val="14"/>
              </w:rPr>
              <w:t>0.0</w:t>
            </w:r>
          </w:p>
        </w:tc>
        <w:tc>
          <w:tcPr>
            <w:tcW w:w="390" w:type="pct"/>
            <w:noWrap/>
            <w:hideMark/>
          </w:tcPr>
          <w:p w14:paraId="63263E11" w14:textId="77777777" w:rsidR="00CA7676" w:rsidRPr="00E14EE6" w:rsidRDefault="00CA7676" w:rsidP="00E14EE6">
            <w:pPr>
              <w:jc w:val="right"/>
              <w:rPr>
                <w:rFonts w:eastAsia="Times New Roman" w:cs="Times New Roman"/>
                <w:color w:val="000000"/>
                <w:sz w:val="14"/>
                <w:szCs w:val="14"/>
              </w:rPr>
            </w:pPr>
            <w:r w:rsidRPr="00E14EE6">
              <w:rPr>
                <w:sz w:val="14"/>
              </w:rPr>
              <w:t>0.0</w:t>
            </w:r>
          </w:p>
        </w:tc>
        <w:tc>
          <w:tcPr>
            <w:tcW w:w="390" w:type="pct"/>
            <w:noWrap/>
            <w:hideMark/>
          </w:tcPr>
          <w:p w14:paraId="4D280A6F" w14:textId="77777777" w:rsidR="00CA7676" w:rsidRPr="00E14EE6" w:rsidRDefault="00CA7676" w:rsidP="00E14EE6">
            <w:pPr>
              <w:jc w:val="right"/>
              <w:rPr>
                <w:rFonts w:eastAsia="Times New Roman" w:cs="Times New Roman"/>
                <w:color w:val="000000"/>
                <w:sz w:val="14"/>
                <w:szCs w:val="14"/>
              </w:rPr>
            </w:pPr>
            <w:r w:rsidRPr="00E14EE6">
              <w:rPr>
                <w:sz w:val="14"/>
              </w:rPr>
              <w:t>0.0</w:t>
            </w:r>
          </w:p>
        </w:tc>
        <w:tc>
          <w:tcPr>
            <w:tcW w:w="390" w:type="pct"/>
            <w:noWrap/>
            <w:hideMark/>
          </w:tcPr>
          <w:p w14:paraId="1425329F" w14:textId="77777777" w:rsidR="00CA7676" w:rsidRPr="00E14EE6" w:rsidRDefault="00CA7676" w:rsidP="00E14EE6">
            <w:pPr>
              <w:jc w:val="right"/>
              <w:rPr>
                <w:rFonts w:eastAsia="Times New Roman" w:cs="Times New Roman"/>
                <w:color w:val="000000"/>
                <w:sz w:val="14"/>
                <w:szCs w:val="14"/>
              </w:rPr>
            </w:pPr>
            <w:r w:rsidRPr="00E14EE6">
              <w:rPr>
                <w:sz w:val="14"/>
              </w:rPr>
              <w:t>0.0</w:t>
            </w:r>
          </w:p>
        </w:tc>
        <w:tc>
          <w:tcPr>
            <w:tcW w:w="390" w:type="pct"/>
            <w:noWrap/>
            <w:hideMark/>
          </w:tcPr>
          <w:p w14:paraId="7213BF9F" w14:textId="77777777" w:rsidR="00CA7676" w:rsidRPr="00E14EE6" w:rsidRDefault="00CA7676" w:rsidP="00E14EE6">
            <w:pPr>
              <w:jc w:val="right"/>
              <w:rPr>
                <w:rFonts w:eastAsia="Times New Roman" w:cs="Times New Roman"/>
                <w:sz w:val="14"/>
                <w:szCs w:val="14"/>
              </w:rPr>
            </w:pPr>
            <w:r w:rsidRPr="00E14EE6">
              <w:rPr>
                <w:sz w:val="14"/>
              </w:rPr>
              <w:t>0.0</w:t>
            </w:r>
          </w:p>
        </w:tc>
      </w:tr>
      <w:tr w:rsidR="00CA7676" w:rsidRPr="00E14EE6" w14:paraId="60C630ED" w14:textId="77777777" w:rsidTr="00FD6B66">
        <w:trPr>
          <w:cantSplit/>
          <w:trHeight w:val="20"/>
        </w:trPr>
        <w:tc>
          <w:tcPr>
            <w:tcW w:w="1492" w:type="pct"/>
            <w:noWrap/>
            <w:hideMark/>
          </w:tcPr>
          <w:p w14:paraId="137729EE" w14:textId="276EAA0E" w:rsidR="00CA7676" w:rsidRPr="00E14EE6" w:rsidRDefault="00CA7676" w:rsidP="00E14EE6">
            <w:pPr>
              <w:ind w:firstLineChars="100" w:firstLine="140"/>
              <w:jc w:val="left"/>
              <w:rPr>
                <w:rFonts w:eastAsia="Times New Roman" w:cs="Times New Roman"/>
                <w:sz w:val="14"/>
                <w:szCs w:val="14"/>
              </w:rPr>
            </w:pPr>
            <w:r w:rsidRPr="00E14EE6">
              <w:rPr>
                <w:sz w:val="14"/>
              </w:rPr>
              <w:t>Non</w:t>
            </w:r>
            <w:r w:rsidR="00E14EE6" w:rsidRPr="00E14EE6">
              <w:rPr>
                <w:sz w:val="14"/>
              </w:rPr>
              <w:noBreakHyphen/>
            </w:r>
            <w:r w:rsidRPr="00E14EE6">
              <w:rPr>
                <w:sz w:val="14"/>
              </w:rPr>
              <w:t>produced assets</w:t>
            </w:r>
          </w:p>
        </w:tc>
        <w:tc>
          <w:tcPr>
            <w:tcW w:w="389" w:type="pct"/>
            <w:noWrap/>
            <w:hideMark/>
          </w:tcPr>
          <w:p w14:paraId="5D90408A" w14:textId="77777777" w:rsidR="00CA7676" w:rsidRPr="00E14EE6" w:rsidRDefault="00CA7676" w:rsidP="00E14EE6">
            <w:pPr>
              <w:jc w:val="right"/>
              <w:rPr>
                <w:rFonts w:eastAsia="Times New Roman" w:cs="Times New Roman"/>
                <w:color w:val="000000"/>
                <w:sz w:val="14"/>
                <w:szCs w:val="14"/>
              </w:rPr>
            </w:pPr>
            <w:r w:rsidRPr="00E14EE6">
              <w:rPr>
                <w:sz w:val="14"/>
              </w:rPr>
              <w:t>0.1</w:t>
            </w:r>
          </w:p>
        </w:tc>
        <w:tc>
          <w:tcPr>
            <w:tcW w:w="390" w:type="pct"/>
            <w:noWrap/>
            <w:hideMark/>
          </w:tcPr>
          <w:p w14:paraId="0208C700" w14:textId="77777777" w:rsidR="00CA7676" w:rsidRPr="00E14EE6" w:rsidRDefault="00CA7676" w:rsidP="00E14EE6">
            <w:pPr>
              <w:jc w:val="right"/>
              <w:rPr>
                <w:rFonts w:eastAsia="Times New Roman" w:cs="Times New Roman"/>
                <w:color w:val="000000"/>
                <w:sz w:val="14"/>
                <w:szCs w:val="14"/>
              </w:rPr>
            </w:pPr>
            <w:r w:rsidRPr="00E14EE6">
              <w:rPr>
                <w:sz w:val="14"/>
              </w:rPr>
              <w:t>0.1</w:t>
            </w:r>
          </w:p>
        </w:tc>
        <w:tc>
          <w:tcPr>
            <w:tcW w:w="390" w:type="pct"/>
            <w:noWrap/>
            <w:hideMark/>
          </w:tcPr>
          <w:p w14:paraId="25C70ED0" w14:textId="77777777" w:rsidR="00CA7676" w:rsidRPr="00E14EE6" w:rsidRDefault="00CA7676" w:rsidP="00E14EE6">
            <w:pPr>
              <w:jc w:val="right"/>
              <w:rPr>
                <w:rFonts w:eastAsia="Times New Roman" w:cs="Times New Roman"/>
                <w:color w:val="000000"/>
                <w:sz w:val="14"/>
                <w:szCs w:val="14"/>
              </w:rPr>
            </w:pPr>
            <w:r w:rsidRPr="00E14EE6">
              <w:rPr>
                <w:sz w:val="14"/>
              </w:rPr>
              <w:t>0.1</w:t>
            </w:r>
          </w:p>
        </w:tc>
        <w:tc>
          <w:tcPr>
            <w:tcW w:w="390" w:type="pct"/>
            <w:noWrap/>
            <w:hideMark/>
          </w:tcPr>
          <w:p w14:paraId="609003CD" w14:textId="77777777" w:rsidR="00CA7676" w:rsidRPr="00E14EE6" w:rsidRDefault="00CA7676" w:rsidP="00E14EE6">
            <w:pPr>
              <w:jc w:val="right"/>
              <w:rPr>
                <w:rFonts w:eastAsia="Times New Roman" w:cs="Times New Roman"/>
                <w:color w:val="000000"/>
                <w:sz w:val="14"/>
                <w:szCs w:val="14"/>
              </w:rPr>
            </w:pPr>
            <w:r w:rsidRPr="00E14EE6">
              <w:rPr>
                <w:sz w:val="14"/>
              </w:rPr>
              <w:t>0.1</w:t>
            </w:r>
          </w:p>
        </w:tc>
        <w:tc>
          <w:tcPr>
            <w:tcW w:w="390" w:type="pct"/>
            <w:noWrap/>
            <w:hideMark/>
          </w:tcPr>
          <w:p w14:paraId="0FEEAFD5" w14:textId="77777777" w:rsidR="00CA7676" w:rsidRPr="00E14EE6" w:rsidRDefault="00CA7676" w:rsidP="00E14EE6">
            <w:pPr>
              <w:jc w:val="right"/>
              <w:rPr>
                <w:rFonts w:eastAsia="Times New Roman" w:cs="Times New Roman"/>
                <w:color w:val="000000"/>
                <w:sz w:val="14"/>
                <w:szCs w:val="14"/>
              </w:rPr>
            </w:pPr>
            <w:r w:rsidRPr="00E14EE6">
              <w:rPr>
                <w:sz w:val="14"/>
              </w:rPr>
              <w:t>0.0</w:t>
            </w:r>
          </w:p>
        </w:tc>
        <w:tc>
          <w:tcPr>
            <w:tcW w:w="390" w:type="pct"/>
            <w:noWrap/>
            <w:hideMark/>
          </w:tcPr>
          <w:p w14:paraId="52DC487B" w14:textId="77777777" w:rsidR="00CA7676" w:rsidRPr="00E14EE6" w:rsidRDefault="00CA7676" w:rsidP="00E14EE6">
            <w:pPr>
              <w:jc w:val="right"/>
              <w:rPr>
                <w:rFonts w:eastAsia="Times New Roman" w:cs="Times New Roman"/>
                <w:color w:val="000000"/>
                <w:sz w:val="14"/>
                <w:szCs w:val="14"/>
              </w:rPr>
            </w:pPr>
            <w:r w:rsidRPr="00E14EE6">
              <w:rPr>
                <w:sz w:val="14"/>
              </w:rPr>
              <w:t>0.0</w:t>
            </w:r>
          </w:p>
        </w:tc>
        <w:tc>
          <w:tcPr>
            <w:tcW w:w="390" w:type="pct"/>
            <w:noWrap/>
            <w:hideMark/>
          </w:tcPr>
          <w:p w14:paraId="67D5892C" w14:textId="77777777" w:rsidR="00CA7676" w:rsidRPr="00E14EE6" w:rsidRDefault="00CA7676" w:rsidP="00E14EE6">
            <w:pPr>
              <w:jc w:val="right"/>
              <w:rPr>
                <w:rFonts w:eastAsia="Times New Roman" w:cs="Times New Roman"/>
                <w:color w:val="000000"/>
                <w:sz w:val="14"/>
                <w:szCs w:val="14"/>
              </w:rPr>
            </w:pPr>
            <w:r w:rsidRPr="00E14EE6">
              <w:rPr>
                <w:sz w:val="14"/>
              </w:rPr>
              <w:t>0.0</w:t>
            </w:r>
          </w:p>
        </w:tc>
        <w:tc>
          <w:tcPr>
            <w:tcW w:w="390" w:type="pct"/>
            <w:noWrap/>
            <w:hideMark/>
          </w:tcPr>
          <w:p w14:paraId="05FC4BCF" w14:textId="77777777" w:rsidR="00CA7676" w:rsidRPr="00E14EE6" w:rsidRDefault="00CA7676" w:rsidP="00E14EE6">
            <w:pPr>
              <w:jc w:val="right"/>
              <w:rPr>
                <w:rFonts w:eastAsia="Times New Roman" w:cs="Times New Roman"/>
                <w:color w:val="000000"/>
                <w:sz w:val="14"/>
                <w:szCs w:val="14"/>
              </w:rPr>
            </w:pPr>
            <w:r w:rsidRPr="00E14EE6">
              <w:rPr>
                <w:sz w:val="14"/>
              </w:rPr>
              <w:t>0.0</w:t>
            </w:r>
          </w:p>
        </w:tc>
        <w:tc>
          <w:tcPr>
            <w:tcW w:w="390" w:type="pct"/>
            <w:noWrap/>
            <w:hideMark/>
          </w:tcPr>
          <w:p w14:paraId="3AF4EA1D" w14:textId="77777777" w:rsidR="00CA7676" w:rsidRPr="00E14EE6" w:rsidRDefault="00CA7676" w:rsidP="00E14EE6">
            <w:pPr>
              <w:jc w:val="right"/>
              <w:rPr>
                <w:rFonts w:eastAsia="Times New Roman" w:cs="Times New Roman"/>
                <w:sz w:val="14"/>
                <w:szCs w:val="14"/>
              </w:rPr>
            </w:pPr>
            <w:r w:rsidRPr="00E14EE6">
              <w:rPr>
                <w:sz w:val="14"/>
              </w:rPr>
              <w:t>0.0</w:t>
            </w:r>
          </w:p>
        </w:tc>
      </w:tr>
      <w:tr w:rsidR="00CA7676" w:rsidRPr="00E14EE6" w14:paraId="50511FDF" w14:textId="77777777" w:rsidTr="00FD6B66">
        <w:trPr>
          <w:cnfStyle w:val="000000010000" w:firstRow="0" w:lastRow="0" w:firstColumn="0" w:lastColumn="0" w:oddVBand="0" w:evenVBand="0" w:oddHBand="0" w:evenHBand="1" w:firstRowFirstColumn="0" w:firstRowLastColumn="0" w:lastRowFirstColumn="0" w:lastRowLastColumn="0"/>
          <w:cantSplit/>
          <w:trHeight w:val="20"/>
        </w:trPr>
        <w:tc>
          <w:tcPr>
            <w:tcW w:w="1492" w:type="pct"/>
            <w:noWrap/>
            <w:hideMark/>
          </w:tcPr>
          <w:p w14:paraId="2E4FDE7F" w14:textId="06122FD4" w:rsidR="00CA7676" w:rsidRPr="00E14EE6" w:rsidRDefault="00CA7676" w:rsidP="00E14EE6">
            <w:pPr>
              <w:jc w:val="left"/>
              <w:rPr>
                <w:rFonts w:eastAsia="Times New Roman" w:cs="Times New Roman"/>
                <w:i/>
                <w:iCs/>
                <w:sz w:val="14"/>
                <w:szCs w:val="14"/>
              </w:rPr>
            </w:pPr>
            <w:r w:rsidRPr="00E14EE6">
              <w:rPr>
                <w:i/>
                <w:sz w:val="14"/>
              </w:rPr>
              <w:t>Memorandum item</w:t>
            </w:r>
            <w:r w:rsidR="00E14EE6" w:rsidRPr="00E14EE6">
              <w:rPr>
                <w:i/>
                <w:sz w:val="14"/>
              </w:rPr>
              <w:t>: C</w:t>
            </w:r>
            <w:r w:rsidRPr="00E14EE6">
              <w:rPr>
                <w:i/>
                <w:sz w:val="14"/>
              </w:rPr>
              <w:t>apital expenditure (IMF FSM Manual 1986)</w:t>
            </w:r>
            <w:r w:rsidRPr="00E14EE6">
              <w:rPr>
                <w:i/>
                <w:sz w:val="14"/>
                <w:vertAlign w:val="superscript"/>
              </w:rPr>
              <w:t>g</w:t>
            </w:r>
          </w:p>
        </w:tc>
        <w:tc>
          <w:tcPr>
            <w:tcW w:w="389" w:type="pct"/>
            <w:noWrap/>
            <w:hideMark/>
          </w:tcPr>
          <w:p w14:paraId="49178547" w14:textId="77777777" w:rsidR="00CA7676" w:rsidRPr="00E14EE6" w:rsidRDefault="00CA7676" w:rsidP="00E14EE6">
            <w:pPr>
              <w:jc w:val="right"/>
              <w:rPr>
                <w:rFonts w:eastAsia="Times New Roman" w:cs="Times New Roman"/>
                <w:color w:val="000000"/>
                <w:sz w:val="14"/>
                <w:szCs w:val="14"/>
              </w:rPr>
            </w:pPr>
            <w:r w:rsidRPr="00E14EE6">
              <w:rPr>
                <w:sz w:val="14"/>
              </w:rPr>
              <w:t>2.9</w:t>
            </w:r>
          </w:p>
        </w:tc>
        <w:tc>
          <w:tcPr>
            <w:tcW w:w="390" w:type="pct"/>
            <w:noWrap/>
            <w:hideMark/>
          </w:tcPr>
          <w:p w14:paraId="2660D826" w14:textId="77777777" w:rsidR="00CA7676" w:rsidRPr="00E14EE6" w:rsidRDefault="00CA7676" w:rsidP="00E14EE6">
            <w:pPr>
              <w:jc w:val="right"/>
              <w:rPr>
                <w:rFonts w:eastAsia="Times New Roman" w:cs="Times New Roman"/>
                <w:color w:val="000000"/>
                <w:sz w:val="14"/>
                <w:szCs w:val="14"/>
              </w:rPr>
            </w:pPr>
            <w:r w:rsidRPr="00E14EE6">
              <w:rPr>
                <w:sz w:val="14"/>
              </w:rPr>
              <w:t>3.3</w:t>
            </w:r>
          </w:p>
        </w:tc>
        <w:tc>
          <w:tcPr>
            <w:tcW w:w="390" w:type="pct"/>
            <w:noWrap/>
            <w:hideMark/>
          </w:tcPr>
          <w:p w14:paraId="6C50FE19" w14:textId="77777777" w:rsidR="00CA7676" w:rsidRPr="00E14EE6" w:rsidRDefault="00CA7676" w:rsidP="00E14EE6">
            <w:pPr>
              <w:jc w:val="right"/>
              <w:rPr>
                <w:rFonts w:eastAsia="Times New Roman" w:cs="Times New Roman"/>
                <w:color w:val="000000"/>
                <w:sz w:val="14"/>
                <w:szCs w:val="14"/>
              </w:rPr>
            </w:pPr>
            <w:r w:rsidRPr="00E14EE6">
              <w:rPr>
                <w:sz w:val="14"/>
              </w:rPr>
              <w:t>3.0</w:t>
            </w:r>
          </w:p>
        </w:tc>
        <w:tc>
          <w:tcPr>
            <w:tcW w:w="390" w:type="pct"/>
            <w:noWrap/>
            <w:hideMark/>
          </w:tcPr>
          <w:p w14:paraId="7A30EC2E" w14:textId="77777777" w:rsidR="00CA7676" w:rsidRPr="00E14EE6" w:rsidRDefault="00CA7676" w:rsidP="00E14EE6">
            <w:pPr>
              <w:jc w:val="right"/>
              <w:rPr>
                <w:rFonts w:eastAsia="Times New Roman" w:cs="Times New Roman"/>
                <w:color w:val="000000"/>
                <w:sz w:val="14"/>
                <w:szCs w:val="14"/>
              </w:rPr>
            </w:pPr>
            <w:r w:rsidRPr="00E14EE6">
              <w:rPr>
                <w:sz w:val="14"/>
              </w:rPr>
              <w:t>3.4</w:t>
            </w:r>
          </w:p>
        </w:tc>
        <w:tc>
          <w:tcPr>
            <w:tcW w:w="390" w:type="pct"/>
            <w:noWrap/>
            <w:hideMark/>
          </w:tcPr>
          <w:p w14:paraId="41E19E84" w14:textId="77777777" w:rsidR="00CA7676" w:rsidRPr="00E14EE6" w:rsidRDefault="00CA7676" w:rsidP="00E14EE6">
            <w:pPr>
              <w:jc w:val="right"/>
              <w:rPr>
                <w:rFonts w:eastAsia="Times New Roman" w:cs="Times New Roman"/>
                <w:color w:val="000000"/>
                <w:sz w:val="14"/>
                <w:szCs w:val="14"/>
              </w:rPr>
            </w:pPr>
            <w:r w:rsidRPr="00E14EE6">
              <w:rPr>
                <w:sz w:val="14"/>
              </w:rPr>
              <w:t>2.7</w:t>
            </w:r>
          </w:p>
        </w:tc>
        <w:tc>
          <w:tcPr>
            <w:tcW w:w="390" w:type="pct"/>
            <w:noWrap/>
            <w:hideMark/>
          </w:tcPr>
          <w:p w14:paraId="078B06E6" w14:textId="77777777" w:rsidR="00CA7676" w:rsidRPr="00E14EE6" w:rsidRDefault="00CA7676" w:rsidP="00E14EE6">
            <w:pPr>
              <w:jc w:val="right"/>
              <w:rPr>
                <w:rFonts w:eastAsia="Times New Roman" w:cs="Times New Roman"/>
                <w:color w:val="000000"/>
                <w:sz w:val="14"/>
                <w:szCs w:val="14"/>
              </w:rPr>
            </w:pPr>
            <w:r w:rsidRPr="00E14EE6">
              <w:rPr>
                <w:sz w:val="14"/>
              </w:rPr>
              <w:t>2.3</w:t>
            </w:r>
          </w:p>
        </w:tc>
        <w:tc>
          <w:tcPr>
            <w:tcW w:w="390" w:type="pct"/>
            <w:noWrap/>
            <w:hideMark/>
          </w:tcPr>
          <w:p w14:paraId="7B9449F7" w14:textId="77777777" w:rsidR="00CA7676" w:rsidRPr="00E14EE6" w:rsidRDefault="00CA7676" w:rsidP="00E14EE6">
            <w:pPr>
              <w:jc w:val="right"/>
              <w:rPr>
                <w:rFonts w:eastAsia="Times New Roman" w:cs="Times New Roman"/>
                <w:color w:val="000000"/>
                <w:sz w:val="14"/>
                <w:szCs w:val="14"/>
              </w:rPr>
            </w:pPr>
            <w:r w:rsidRPr="00E14EE6">
              <w:rPr>
                <w:sz w:val="14"/>
              </w:rPr>
              <w:t>2.9</w:t>
            </w:r>
          </w:p>
        </w:tc>
        <w:tc>
          <w:tcPr>
            <w:tcW w:w="390" w:type="pct"/>
            <w:noWrap/>
            <w:hideMark/>
          </w:tcPr>
          <w:p w14:paraId="02E69394" w14:textId="77777777" w:rsidR="00CA7676" w:rsidRPr="00E14EE6" w:rsidRDefault="00CA7676" w:rsidP="00E14EE6">
            <w:pPr>
              <w:jc w:val="right"/>
              <w:rPr>
                <w:rFonts w:eastAsia="Times New Roman" w:cs="Times New Roman"/>
                <w:color w:val="000000"/>
                <w:sz w:val="14"/>
                <w:szCs w:val="14"/>
              </w:rPr>
            </w:pPr>
            <w:r w:rsidRPr="00E14EE6">
              <w:rPr>
                <w:sz w:val="14"/>
              </w:rPr>
              <w:t>2.8</w:t>
            </w:r>
          </w:p>
        </w:tc>
        <w:tc>
          <w:tcPr>
            <w:tcW w:w="390" w:type="pct"/>
            <w:noWrap/>
            <w:hideMark/>
          </w:tcPr>
          <w:p w14:paraId="62B83834" w14:textId="77777777" w:rsidR="00CA7676" w:rsidRPr="00E14EE6" w:rsidRDefault="00CA7676" w:rsidP="00E14EE6">
            <w:pPr>
              <w:jc w:val="right"/>
              <w:rPr>
                <w:rFonts w:eastAsia="Times New Roman" w:cs="Times New Roman"/>
                <w:sz w:val="14"/>
                <w:szCs w:val="14"/>
              </w:rPr>
            </w:pPr>
            <w:r w:rsidRPr="00E14EE6">
              <w:rPr>
                <w:sz w:val="14"/>
              </w:rPr>
              <w:t>1.3</w:t>
            </w:r>
          </w:p>
        </w:tc>
      </w:tr>
      <w:tr w:rsidR="00CA7676" w:rsidRPr="00E14EE6" w14:paraId="6EB041E0" w14:textId="77777777" w:rsidTr="00FD6B66">
        <w:trPr>
          <w:cantSplit/>
          <w:trHeight w:val="20"/>
        </w:trPr>
        <w:tc>
          <w:tcPr>
            <w:tcW w:w="1492" w:type="pct"/>
            <w:noWrap/>
            <w:hideMark/>
          </w:tcPr>
          <w:p w14:paraId="53409DF4" w14:textId="77777777" w:rsidR="00CA7676" w:rsidRPr="00E14EE6" w:rsidRDefault="00CA7676" w:rsidP="00E14EE6">
            <w:pPr>
              <w:jc w:val="left"/>
              <w:rPr>
                <w:rFonts w:eastAsia="Times New Roman" w:cs="Times New Roman"/>
                <w:b/>
                <w:bCs/>
                <w:i/>
                <w:iCs/>
                <w:sz w:val="14"/>
                <w:szCs w:val="14"/>
              </w:rPr>
            </w:pPr>
            <w:r w:rsidRPr="00E14EE6">
              <w:rPr>
                <w:b/>
                <w:i/>
                <w:sz w:val="14"/>
              </w:rPr>
              <w:t>Expenditure</w:t>
            </w:r>
          </w:p>
        </w:tc>
        <w:tc>
          <w:tcPr>
            <w:tcW w:w="389" w:type="pct"/>
            <w:noWrap/>
            <w:hideMark/>
          </w:tcPr>
          <w:p w14:paraId="70F881B7" w14:textId="77777777" w:rsidR="00CA7676" w:rsidRPr="00E14EE6" w:rsidRDefault="00CA7676" w:rsidP="00E14EE6">
            <w:pPr>
              <w:jc w:val="right"/>
              <w:rPr>
                <w:rFonts w:eastAsia="Times New Roman" w:cs="Times New Roman"/>
                <w:b/>
                <w:bCs/>
                <w:color w:val="000000"/>
                <w:sz w:val="14"/>
                <w:szCs w:val="14"/>
              </w:rPr>
            </w:pPr>
            <w:r w:rsidRPr="00E14EE6">
              <w:rPr>
                <w:b/>
                <w:sz w:val="14"/>
              </w:rPr>
              <w:t>17.0</w:t>
            </w:r>
          </w:p>
        </w:tc>
        <w:tc>
          <w:tcPr>
            <w:tcW w:w="390" w:type="pct"/>
            <w:noWrap/>
            <w:hideMark/>
          </w:tcPr>
          <w:p w14:paraId="08952ECA" w14:textId="77777777" w:rsidR="00CA7676" w:rsidRPr="00E14EE6" w:rsidRDefault="00CA7676" w:rsidP="00E14EE6">
            <w:pPr>
              <w:jc w:val="right"/>
              <w:rPr>
                <w:rFonts w:eastAsia="Times New Roman" w:cs="Times New Roman"/>
                <w:b/>
                <w:bCs/>
                <w:color w:val="000000"/>
                <w:sz w:val="14"/>
                <w:szCs w:val="14"/>
              </w:rPr>
            </w:pPr>
            <w:r w:rsidRPr="00E14EE6">
              <w:rPr>
                <w:b/>
                <w:sz w:val="14"/>
              </w:rPr>
              <w:t>16.6</w:t>
            </w:r>
          </w:p>
        </w:tc>
        <w:tc>
          <w:tcPr>
            <w:tcW w:w="390" w:type="pct"/>
            <w:noWrap/>
            <w:hideMark/>
          </w:tcPr>
          <w:p w14:paraId="5E309EAC" w14:textId="77777777" w:rsidR="00CA7676" w:rsidRPr="00E14EE6" w:rsidRDefault="00CA7676" w:rsidP="00E14EE6">
            <w:pPr>
              <w:jc w:val="right"/>
              <w:rPr>
                <w:rFonts w:eastAsia="Times New Roman" w:cs="Times New Roman"/>
                <w:b/>
                <w:bCs/>
                <w:color w:val="000000"/>
                <w:sz w:val="14"/>
                <w:szCs w:val="14"/>
              </w:rPr>
            </w:pPr>
            <w:r w:rsidRPr="00E14EE6">
              <w:rPr>
                <w:b/>
                <w:sz w:val="14"/>
              </w:rPr>
              <w:t>16.9</w:t>
            </w:r>
          </w:p>
        </w:tc>
        <w:tc>
          <w:tcPr>
            <w:tcW w:w="390" w:type="pct"/>
            <w:noWrap/>
            <w:hideMark/>
          </w:tcPr>
          <w:p w14:paraId="0A441B88" w14:textId="77777777" w:rsidR="00CA7676" w:rsidRPr="00E14EE6" w:rsidRDefault="00CA7676" w:rsidP="00E14EE6">
            <w:pPr>
              <w:jc w:val="right"/>
              <w:rPr>
                <w:rFonts w:eastAsia="Times New Roman" w:cs="Times New Roman"/>
                <w:b/>
                <w:bCs/>
                <w:color w:val="000000"/>
                <w:sz w:val="14"/>
                <w:szCs w:val="14"/>
              </w:rPr>
            </w:pPr>
            <w:r w:rsidRPr="00E14EE6">
              <w:rPr>
                <w:b/>
                <w:sz w:val="14"/>
              </w:rPr>
              <w:t>17.4</w:t>
            </w:r>
          </w:p>
        </w:tc>
        <w:tc>
          <w:tcPr>
            <w:tcW w:w="390" w:type="pct"/>
            <w:noWrap/>
            <w:hideMark/>
          </w:tcPr>
          <w:p w14:paraId="71E0EB39" w14:textId="77777777" w:rsidR="00CA7676" w:rsidRPr="00E14EE6" w:rsidRDefault="00CA7676" w:rsidP="00E14EE6">
            <w:pPr>
              <w:jc w:val="right"/>
              <w:rPr>
                <w:rFonts w:eastAsia="Times New Roman" w:cs="Times New Roman"/>
                <w:b/>
                <w:bCs/>
                <w:color w:val="000000"/>
                <w:sz w:val="14"/>
                <w:szCs w:val="14"/>
              </w:rPr>
            </w:pPr>
            <w:r w:rsidRPr="00E14EE6">
              <w:rPr>
                <w:b/>
                <w:sz w:val="14"/>
              </w:rPr>
              <w:t>16.5</w:t>
            </w:r>
          </w:p>
        </w:tc>
        <w:tc>
          <w:tcPr>
            <w:tcW w:w="390" w:type="pct"/>
            <w:noWrap/>
            <w:hideMark/>
          </w:tcPr>
          <w:p w14:paraId="5CACDA19" w14:textId="77777777" w:rsidR="00CA7676" w:rsidRPr="00E14EE6" w:rsidRDefault="00CA7676" w:rsidP="00E14EE6">
            <w:pPr>
              <w:jc w:val="right"/>
              <w:rPr>
                <w:rFonts w:eastAsia="Times New Roman" w:cs="Times New Roman"/>
                <w:b/>
                <w:bCs/>
                <w:color w:val="000000"/>
                <w:sz w:val="14"/>
                <w:szCs w:val="14"/>
              </w:rPr>
            </w:pPr>
            <w:r w:rsidRPr="00E14EE6">
              <w:rPr>
                <w:b/>
                <w:sz w:val="14"/>
              </w:rPr>
              <w:t>16.7</w:t>
            </w:r>
          </w:p>
        </w:tc>
        <w:tc>
          <w:tcPr>
            <w:tcW w:w="390" w:type="pct"/>
            <w:noWrap/>
            <w:hideMark/>
          </w:tcPr>
          <w:p w14:paraId="6E37DC9A" w14:textId="77777777" w:rsidR="00CA7676" w:rsidRPr="00E14EE6" w:rsidRDefault="00CA7676" w:rsidP="00E14EE6">
            <w:pPr>
              <w:jc w:val="right"/>
              <w:rPr>
                <w:rFonts w:eastAsia="Times New Roman" w:cs="Times New Roman"/>
                <w:b/>
                <w:bCs/>
                <w:color w:val="000000"/>
                <w:sz w:val="14"/>
                <w:szCs w:val="14"/>
              </w:rPr>
            </w:pPr>
            <w:r w:rsidRPr="00E14EE6">
              <w:rPr>
                <w:b/>
                <w:sz w:val="14"/>
              </w:rPr>
              <w:t>22.5</w:t>
            </w:r>
          </w:p>
        </w:tc>
        <w:tc>
          <w:tcPr>
            <w:tcW w:w="390" w:type="pct"/>
            <w:noWrap/>
            <w:hideMark/>
          </w:tcPr>
          <w:p w14:paraId="7016F2E2" w14:textId="77777777" w:rsidR="00CA7676" w:rsidRPr="00E14EE6" w:rsidRDefault="00CA7676" w:rsidP="00E14EE6">
            <w:pPr>
              <w:jc w:val="right"/>
              <w:rPr>
                <w:rFonts w:eastAsia="Times New Roman" w:cs="Times New Roman"/>
                <w:b/>
                <w:bCs/>
                <w:color w:val="000000"/>
                <w:sz w:val="14"/>
                <w:szCs w:val="14"/>
              </w:rPr>
            </w:pPr>
            <w:r w:rsidRPr="00E14EE6">
              <w:rPr>
                <w:b/>
                <w:sz w:val="14"/>
              </w:rPr>
              <w:t>18.6</w:t>
            </w:r>
          </w:p>
        </w:tc>
        <w:tc>
          <w:tcPr>
            <w:tcW w:w="390" w:type="pct"/>
            <w:noWrap/>
            <w:hideMark/>
          </w:tcPr>
          <w:p w14:paraId="3B70BA85" w14:textId="77777777" w:rsidR="00CA7676" w:rsidRPr="00E14EE6" w:rsidRDefault="00CA7676" w:rsidP="00E14EE6">
            <w:pPr>
              <w:jc w:val="right"/>
              <w:rPr>
                <w:rFonts w:eastAsia="Times New Roman" w:cs="Times New Roman"/>
                <w:b/>
                <w:bCs/>
                <w:sz w:val="14"/>
                <w:szCs w:val="14"/>
              </w:rPr>
            </w:pPr>
            <w:r w:rsidRPr="00E14EE6">
              <w:rPr>
                <w:b/>
                <w:sz w:val="14"/>
              </w:rPr>
              <w:t>16.5</w:t>
            </w:r>
          </w:p>
        </w:tc>
      </w:tr>
      <w:tr w:rsidR="00CA7676" w:rsidRPr="00E14EE6" w14:paraId="40D7DDC5" w14:textId="77777777" w:rsidTr="00FD6B66">
        <w:trPr>
          <w:cnfStyle w:val="000000010000" w:firstRow="0" w:lastRow="0" w:firstColumn="0" w:lastColumn="0" w:oddVBand="0" w:evenVBand="0" w:oddHBand="0" w:evenHBand="1" w:firstRowFirstColumn="0" w:firstRowLastColumn="0" w:lastRowFirstColumn="0" w:lastRowLastColumn="0"/>
          <w:cantSplit/>
          <w:trHeight w:val="20"/>
        </w:trPr>
        <w:tc>
          <w:tcPr>
            <w:tcW w:w="1492" w:type="pct"/>
            <w:noWrap/>
            <w:hideMark/>
          </w:tcPr>
          <w:p w14:paraId="7ADC2C1A" w14:textId="77777777" w:rsidR="00CA7676" w:rsidRPr="00E14EE6" w:rsidRDefault="00CA7676" w:rsidP="00E14EE6">
            <w:pPr>
              <w:jc w:val="left"/>
              <w:rPr>
                <w:rFonts w:eastAsia="Times New Roman" w:cs="Times New Roman"/>
                <w:b/>
                <w:bCs/>
                <w:i/>
                <w:iCs/>
                <w:sz w:val="14"/>
                <w:szCs w:val="14"/>
              </w:rPr>
            </w:pPr>
            <w:r w:rsidRPr="00E14EE6">
              <w:rPr>
                <w:b/>
                <w:i/>
                <w:sz w:val="14"/>
              </w:rPr>
              <w:t>Primary balance</w:t>
            </w:r>
          </w:p>
        </w:tc>
        <w:tc>
          <w:tcPr>
            <w:tcW w:w="389" w:type="pct"/>
            <w:noWrap/>
            <w:hideMark/>
          </w:tcPr>
          <w:p w14:paraId="6B94D9DA" w14:textId="233E0452" w:rsidR="00CA7676" w:rsidRPr="00E14EE6" w:rsidRDefault="00E14EE6" w:rsidP="00E14EE6">
            <w:pPr>
              <w:jc w:val="right"/>
              <w:rPr>
                <w:rFonts w:eastAsia="Times New Roman" w:cs="Times New Roman"/>
                <w:b/>
                <w:bCs/>
                <w:color w:val="000000"/>
                <w:sz w:val="14"/>
                <w:szCs w:val="14"/>
              </w:rPr>
            </w:pPr>
            <w:r w:rsidRPr="00E14EE6">
              <w:rPr>
                <w:b/>
                <w:sz w:val="14"/>
              </w:rPr>
              <w:noBreakHyphen/>
            </w:r>
            <w:r w:rsidR="00CA7676" w:rsidRPr="00E14EE6">
              <w:rPr>
                <w:b/>
                <w:sz w:val="14"/>
              </w:rPr>
              <w:t>0.4</w:t>
            </w:r>
          </w:p>
        </w:tc>
        <w:tc>
          <w:tcPr>
            <w:tcW w:w="390" w:type="pct"/>
            <w:noWrap/>
            <w:hideMark/>
          </w:tcPr>
          <w:p w14:paraId="48767C80" w14:textId="77777777" w:rsidR="00CA7676" w:rsidRPr="00E14EE6" w:rsidRDefault="00CA7676" w:rsidP="00E14EE6">
            <w:pPr>
              <w:jc w:val="right"/>
              <w:rPr>
                <w:rFonts w:eastAsia="Times New Roman" w:cs="Times New Roman"/>
                <w:b/>
                <w:bCs/>
                <w:color w:val="000000"/>
                <w:sz w:val="14"/>
                <w:szCs w:val="14"/>
              </w:rPr>
            </w:pPr>
            <w:r w:rsidRPr="00E14EE6">
              <w:rPr>
                <w:b/>
                <w:sz w:val="14"/>
              </w:rPr>
              <w:t>2.3</w:t>
            </w:r>
          </w:p>
        </w:tc>
        <w:tc>
          <w:tcPr>
            <w:tcW w:w="390" w:type="pct"/>
            <w:noWrap/>
            <w:hideMark/>
          </w:tcPr>
          <w:p w14:paraId="04932188" w14:textId="1B43D985" w:rsidR="00CA7676" w:rsidRPr="00E14EE6" w:rsidRDefault="00E14EE6" w:rsidP="00E14EE6">
            <w:pPr>
              <w:jc w:val="right"/>
              <w:rPr>
                <w:rFonts w:eastAsia="Times New Roman" w:cs="Times New Roman"/>
                <w:b/>
                <w:bCs/>
                <w:color w:val="000000"/>
                <w:sz w:val="14"/>
                <w:szCs w:val="14"/>
              </w:rPr>
            </w:pPr>
            <w:r w:rsidRPr="00E14EE6">
              <w:rPr>
                <w:b/>
                <w:sz w:val="14"/>
              </w:rPr>
              <w:noBreakHyphen/>
            </w:r>
            <w:r w:rsidR="00CA7676" w:rsidRPr="00E14EE6">
              <w:rPr>
                <w:b/>
                <w:sz w:val="14"/>
              </w:rPr>
              <w:t>0.6</w:t>
            </w:r>
          </w:p>
        </w:tc>
        <w:tc>
          <w:tcPr>
            <w:tcW w:w="390" w:type="pct"/>
            <w:noWrap/>
            <w:hideMark/>
          </w:tcPr>
          <w:p w14:paraId="1B7A0885" w14:textId="39318432" w:rsidR="00CA7676" w:rsidRPr="00E14EE6" w:rsidRDefault="00E14EE6" w:rsidP="00E14EE6">
            <w:pPr>
              <w:jc w:val="right"/>
              <w:rPr>
                <w:rFonts w:eastAsia="Times New Roman" w:cs="Times New Roman"/>
                <w:b/>
                <w:bCs/>
                <w:color w:val="000000"/>
                <w:sz w:val="14"/>
                <w:szCs w:val="14"/>
              </w:rPr>
            </w:pPr>
            <w:r w:rsidRPr="00E14EE6">
              <w:rPr>
                <w:b/>
                <w:sz w:val="14"/>
              </w:rPr>
              <w:noBreakHyphen/>
            </w:r>
            <w:r w:rsidR="00CA7676" w:rsidRPr="00E14EE6">
              <w:rPr>
                <w:b/>
                <w:sz w:val="14"/>
              </w:rPr>
              <w:t>0.5</w:t>
            </w:r>
          </w:p>
        </w:tc>
        <w:tc>
          <w:tcPr>
            <w:tcW w:w="390" w:type="pct"/>
            <w:noWrap/>
            <w:hideMark/>
          </w:tcPr>
          <w:p w14:paraId="33A58CF1" w14:textId="77777777" w:rsidR="00CA7676" w:rsidRPr="00E14EE6" w:rsidRDefault="00CA7676" w:rsidP="00E14EE6">
            <w:pPr>
              <w:jc w:val="right"/>
              <w:rPr>
                <w:rFonts w:eastAsia="Times New Roman" w:cs="Times New Roman"/>
                <w:b/>
                <w:bCs/>
                <w:color w:val="000000"/>
                <w:sz w:val="14"/>
                <w:szCs w:val="14"/>
              </w:rPr>
            </w:pPr>
            <w:r w:rsidRPr="00E14EE6">
              <w:rPr>
                <w:b/>
                <w:sz w:val="14"/>
              </w:rPr>
              <w:t>0.4</w:t>
            </w:r>
          </w:p>
        </w:tc>
        <w:tc>
          <w:tcPr>
            <w:tcW w:w="390" w:type="pct"/>
            <w:noWrap/>
            <w:hideMark/>
          </w:tcPr>
          <w:p w14:paraId="711CBCFC" w14:textId="77777777" w:rsidR="00CA7676" w:rsidRPr="00E14EE6" w:rsidRDefault="00CA7676" w:rsidP="00E14EE6">
            <w:pPr>
              <w:jc w:val="right"/>
              <w:rPr>
                <w:rFonts w:eastAsia="Times New Roman" w:cs="Times New Roman"/>
                <w:b/>
                <w:bCs/>
                <w:color w:val="000000"/>
                <w:sz w:val="14"/>
                <w:szCs w:val="14"/>
              </w:rPr>
            </w:pPr>
            <w:r w:rsidRPr="00E14EE6">
              <w:rPr>
                <w:b/>
                <w:sz w:val="14"/>
              </w:rPr>
              <w:t>0.6</w:t>
            </w:r>
          </w:p>
        </w:tc>
        <w:tc>
          <w:tcPr>
            <w:tcW w:w="390" w:type="pct"/>
            <w:noWrap/>
            <w:hideMark/>
          </w:tcPr>
          <w:p w14:paraId="768AFBAA" w14:textId="6984EC25" w:rsidR="00CA7676" w:rsidRPr="00E14EE6" w:rsidRDefault="00E14EE6" w:rsidP="00E14EE6">
            <w:pPr>
              <w:jc w:val="right"/>
              <w:rPr>
                <w:rFonts w:eastAsia="Times New Roman" w:cs="Times New Roman"/>
                <w:b/>
                <w:bCs/>
                <w:color w:val="000000"/>
                <w:sz w:val="14"/>
                <w:szCs w:val="14"/>
              </w:rPr>
            </w:pPr>
            <w:r w:rsidRPr="00E14EE6">
              <w:rPr>
                <w:b/>
                <w:sz w:val="14"/>
              </w:rPr>
              <w:noBreakHyphen/>
            </w:r>
            <w:r w:rsidR="00CA7676" w:rsidRPr="00E14EE6">
              <w:rPr>
                <w:b/>
                <w:sz w:val="14"/>
              </w:rPr>
              <w:t>4.7</w:t>
            </w:r>
          </w:p>
        </w:tc>
        <w:tc>
          <w:tcPr>
            <w:tcW w:w="390" w:type="pct"/>
            <w:noWrap/>
            <w:hideMark/>
          </w:tcPr>
          <w:p w14:paraId="4CE5AD28" w14:textId="77777777" w:rsidR="00CA7676" w:rsidRPr="00E14EE6" w:rsidRDefault="00CA7676" w:rsidP="00E14EE6">
            <w:pPr>
              <w:jc w:val="right"/>
              <w:rPr>
                <w:rFonts w:eastAsia="Times New Roman" w:cs="Times New Roman"/>
                <w:b/>
                <w:bCs/>
                <w:color w:val="000000"/>
                <w:sz w:val="14"/>
                <w:szCs w:val="14"/>
              </w:rPr>
            </w:pPr>
            <w:r w:rsidRPr="00E14EE6">
              <w:rPr>
                <w:b/>
                <w:sz w:val="14"/>
              </w:rPr>
              <w:t>0.2</w:t>
            </w:r>
          </w:p>
        </w:tc>
        <w:tc>
          <w:tcPr>
            <w:tcW w:w="390" w:type="pct"/>
            <w:noWrap/>
            <w:hideMark/>
          </w:tcPr>
          <w:p w14:paraId="2230AFE0" w14:textId="77777777" w:rsidR="00CA7676" w:rsidRPr="00E14EE6" w:rsidRDefault="00CA7676" w:rsidP="00E14EE6">
            <w:pPr>
              <w:jc w:val="right"/>
              <w:rPr>
                <w:rFonts w:eastAsia="Times New Roman" w:cs="Times New Roman"/>
                <w:b/>
                <w:bCs/>
                <w:sz w:val="14"/>
                <w:szCs w:val="14"/>
              </w:rPr>
            </w:pPr>
            <w:r w:rsidRPr="00E14EE6">
              <w:rPr>
                <w:b/>
                <w:sz w:val="14"/>
              </w:rPr>
              <w:t>3.0</w:t>
            </w:r>
          </w:p>
        </w:tc>
      </w:tr>
      <w:tr w:rsidR="00CA7676" w:rsidRPr="00E14EE6" w14:paraId="4B3818D8" w14:textId="77777777" w:rsidTr="00FD6B66">
        <w:trPr>
          <w:cantSplit/>
          <w:trHeight w:val="20"/>
        </w:trPr>
        <w:tc>
          <w:tcPr>
            <w:tcW w:w="1492" w:type="pct"/>
            <w:noWrap/>
            <w:hideMark/>
          </w:tcPr>
          <w:p w14:paraId="3463ADA7" w14:textId="3DDE9BFD" w:rsidR="00CA7676" w:rsidRPr="00E14EE6" w:rsidRDefault="00CA7676" w:rsidP="00E14EE6">
            <w:pPr>
              <w:jc w:val="left"/>
              <w:rPr>
                <w:rFonts w:eastAsia="Times New Roman" w:cs="Times New Roman"/>
                <w:b/>
                <w:bCs/>
                <w:i/>
                <w:iCs/>
                <w:sz w:val="14"/>
                <w:szCs w:val="14"/>
              </w:rPr>
            </w:pPr>
            <w:r w:rsidRPr="00E14EE6">
              <w:rPr>
                <w:b/>
                <w:i/>
                <w:sz w:val="14"/>
              </w:rPr>
              <w:t>Net lending (+) / net borrowing (</w:t>
            </w:r>
            <w:r w:rsidR="00E14EE6" w:rsidRPr="00E14EE6">
              <w:rPr>
                <w:b/>
                <w:i/>
                <w:sz w:val="14"/>
              </w:rPr>
              <w:noBreakHyphen/>
            </w:r>
            <w:r w:rsidRPr="00E14EE6">
              <w:rPr>
                <w:b/>
                <w:i/>
                <w:sz w:val="14"/>
              </w:rPr>
              <w:t>)</w:t>
            </w:r>
            <w:r w:rsidRPr="00E14EE6">
              <w:rPr>
                <w:b/>
                <w:i/>
                <w:sz w:val="14"/>
                <w:vertAlign w:val="superscript"/>
              </w:rPr>
              <w:t>e</w:t>
            </w:r>
          </w:p>
        </w:tc>
        <w:tc>
          <w:tcPr>
            <w:tcW w:w="389" w:type="pct"/>
            <w:noWrap/>
            <w:hideMark/>
          </w:tcPr>
          <w:p w14:paraId="6F09A666" w14:textId="16F3FF3A" w:rsidR="00CA7676" w:rsidRPr="00E14EE6" w:rsidRDefault="00E14EE6" w:rsidP="00E14EE6">
            <w:pPr>
              <w:jc w:val="right"/>
              <w:rPr>
                <w:rFonts w:eastAsia="Times New Roman" w:cs="Times New Roman"/>
                <w:b/>
                <w:bCs/>
                <w:color w:val="000000"/>
                <w:sz w:val="14"/>
                <w:szCs w:val="14"/>
              </w:rPr>
            </w:pPr>
            <w:r w:rsidRPr="00E14EE6">
              <w:rPr>
                <w:b/>
                <w:sz w:val="14"/>
              </w:rPr>
              <w:noBreakHyphen/>
            </w:r>
            <w:r w:rsidR="00CA7676" w:rsidRPr="00E14EE6">
              <w:rPr>
                <w:b/>
                <w:sz w:val="14"/>
              </w:rPr>
              <w:t>2.8</w:t>
            </w:r>
          </w:p>
        </w:tc>
        <w:tc>
          <w:tcPr>
            <w:tcW w:w="390" w:type="pct"/>
            <w:noWrap/>
            <w:hideMark/>
          </w:tcPr>
          <w:p w14:paraId="604182E0" w14:textId="77777777" w:rsidR="00CA7676" w:rsidRPr="00E14EE6" w:rsidRDefault="00CA7676" w:rsidP="00E14EE6">
            <w:pPr>
              <w:jc w:val="right"/>
              <w:rPr>
                <w:rFonts w:eastAsia="Times New Roman" w:cs="Times New Roman"/>
                <w:b/>
                <w:bCs/>
                <w:color w:val="000000"/>
                <w:sz w:val="14"/>
                <w:szCs w:val="14"/>
              </w:rPr>
            </w:pPr>
            <w:r w:rsidRPr="00E14EE6">
              <w:rPr>
                <w:b/>
                <w:sz w:val="14"/>
              </w:rPr>
              <w:t>0.0</w:t>
            </w:r>
          </w:p>
        </w:tc>
        <w:tc>
          <w:tcPr>
            <w:tcW w:w="390" w:type="pct"/>
            <w:noWrap/>
            <w:hideMark/>
          </w:tcPr>
          <w:p w14:paraId="4C46B3E6" w14:textId="0983ECCD" w:rsidR="00CA7676" w:rsidRPr="00E14EE6" w:rsidRDefault="00E14EE6" w:rsidP="00E14EE6">
            <w:pPr>
              <w:jc w:val="right"/>
              <w:rPr>
                <w:rFonts w:eastAsia="Times New Roman" w:cs="Times New Roman"/>
                <w:b/>
                <w:bCs/>
                <w:color w:val="000000"/>
                <w:sz w:val="14"/>
                <w:szCs w:val="14"/>
              </w:rPr>
            </w:pPr>
            <w:r w:rsidRPr="00E14EE6">
              <w:rPr>
                <w:b/>
                <w:sz w:val="14"/>
              </w:rPr>
              <w:noBreakHyphen/>
            </w:r>
            <w:r w:rsidR="00CA7676" w:rsidRPr="00E14EE6">
              <w:rPr>
                <w:b/>
                <w:sz w:val="14"/>
              </w:rPr>
              <w:t>3.1</w:t>
            </w:r>
          </w:p>
        </w:tc>
        <w:tc>
          <w:tcPr>
            <w:tcW w:w="390" w:type="pct"/>
            <w:noWrap/>
            <w:hideMark/>
          </w:tcPr>
          <w:p w14:paraId="4F70674E" w14:textId="5E13C22A" w:rsidR="00CA7676" w:rsidRPr="00E14EE6" w:rsidRDefault="00E14EE6" w:rsidP="00E14EE6">
            <w:pPr>
              <w:jc w:val="right"/>
              <w:rPr>
                <w:rFonts w:eastAsia="Times New Roman" w:cs="Times New Roman"/>
                <w:b/>
                <w:bCs/>
                <w:color w:val="000000"/>
                <w:sz w:val="14"/>
                <w:szCs w:val="14"/>
              </w:rPr>
            </w:pPr>
            <w:r w:rsidRPr="00E14EE6">
              <w:rPr>
                <w:b/>
                <w:sz w:val="14"/>
              </w:rPr>
              <w:noBreakHyphen/>
            </w:r>
            <w:r w:rsidR="00CA7676" w:rsidRPr="00E14EE6">
              <w:rPr>
                <w:b/>
                <w:sz w:val="14"/>
              </w:rPr>
              <w:t>3.1</w:t>
            </w:r>
          </w:p>
        </w:tc>
        <w:tc>
          <w:tcPr>
            <w:tcW w:w="390" w:type="pct"/>
            <w:noWrap/>
            <w:hideMark/>
          </w:tcPr>
          <w:p w14:paraId="2637F2A1" w14:textId="7A5472D8" w:rsidR="00CA7676" w:rsidRPr="00E14EE6" w:rsidRDefault="00E14EE6" w:rsidP="00E14EE6">
            <w:pPr>
              <w:jc w:val="right"/>
              <w:rPr>
                <w:rFonts w:eastAsia="Times New Roman" w:cs="Times New Roman"/>
                <w:b/>
                <w:bCs/>
                <w:color w:val="000000"/>
                <w:sz w:val="14"/>
                <w:szCs w:val="14"/>
              </w:rPr>
            </w:pPr>
            <w:r w:rsidRPr="00E14EE6">
              <w:rPr>
                <w:b/>
                <w:sz w:val="14"/>
              </w:rPr>
              <w:noBreakHyphen/>
            </w:r>
            <w:r w:rsidR="00CA7676" w:rsidRPr="00E14EE6">
              <w:rPr>
                <w:b/>
                <w:sz w:val="14"/>
              </w:rPr>
              <w:t>2.2</w:t>
            </w:r>
          </w:p>
        </w:tc>
        <w:tc>
          <w:tcPr>
            <w:tcW w:w="390" w:type="pct"/>
            <w:noWrap/>
            <w:hideMark/>
          </w:tcPr>
          <w:p w14:paraId="4B63D56B" w14:textId="2A691082" w:rsidR="00CA7676" w:rsidRPr="00E14EE6" w:rsidRDefault="00E14EE6" w:rsidP="00E14EE6">
            <w:pPr>
              <w:jc w:val="right"/>
              <w:rPr>
                <w:rFonts w:eastAsia="Times New Roman" w:cs="Times New Roman"/>
                <w:b/>
                <w:bCs/>
                <w:color w:val="000000"/>
                <w:sz w:val="14"/>
                <w:szCs w:val="14"/>
              </w:rPr>
            </w:pPr>
            <w:r w:rsidRPr="00E14EE6">
              <w:rPr>
                <w:b/>
                <w:sz w:val="14"/>
              </w:rPr>
              <w:noBreakHyphen/>
            </w:r>
            <w:r w:rsidR="00CA7676" w:rsidRPr="00E14EE6">
              <w:rPr>
                <w:b/>
                <w:sz w:val="14"/>
              </w:rPr>
              <w:t>2.2</w:t>
            </w:r>
          </w:p>
        </w:tc>
        <w:tc>
          <w:tcPr>
            <w:tcW w:w="390" w:type="pct"/>
            <w:noWrap/>
            <w:hideMark/>
          </w:tcPr>
          <w:p w14:paraId="4FFF35EC" w14:textId="0FAB6F7F" w:rsidR="00CA7676" w:rsidRPr="00E14EE6" w:rsidRDefault="00E14EE6" w:rsidP="00E14EE6">
            <w:pPr>
              <w:jc w:val="right"/>
              <w:rPr>
                <w:rFonts w:eastAsia="Times New Roman" w:cs="Times New Roman"/>
                <w:b/>
                <w:bCs/>
                <w:color w:val="000000"/>
                <w:sz w:val="14"/>
                <w:szCs w:val="14"/>
              </w:rPr>
            </w:pPr>
            <w:r w:rsidRPr="00E14EE6">
              <w:rPr>
                <w:b/>
                <w:sz w:val="14"/>
              </w:rPr>
              <w:noBreakHyphen/>
            </w:r>
            <w:r w:rsidR="00CA7676" w:rsidRPr="00E14EE6">
              <w:rPr>
                <w:b/>
                <w:sz w:val="14"/>
              </w:rPr>
              <w:t>7.9</w:t>
            </w:r>
          </w:p>
        </w:tc>
        <w:tc>
          <w:tcPr>
            <w:tcW w:w="390" w:type="pct"/>
            <w:noWrap/>
            <w:hideMark/>
          </w:tcPr>
          <w:p w14:paraId="0CC48697" w14:textId="5DFFABEB" w:rsidR="00CA7676" w:rsidRPr="00E14EE6" w:rsidRDefault="00E14EE6" w:rsidP="00E14EE6">
            <w:pPr>
              <w:jc w:val="right"/>
              <w:rPr>
                <w:rFonts w:eastAsia="Times New Roman" w:cs="Times New Roman"/>
                <w:b/>
                <w:bCs/>
                <w:color w:val="000000"/>
                <w:sz w:val="14"/>
                <w:szCs w:val="14"/>
              </w:rPr>
            </w:pPr>
            <w:r w:rsidRPr="00E14EE6">
              <w:rPr>
                <w:b/>
                <w:sz w:val="14"/>
              </w:rPr>
              <w:noBreakHyphen/>
            </w:r>
            <w:r w:rsidR="00CA7676" w:rsidRPr="00E14EE6">
              <w:rPr>
                <w:b/>
                <w:sz w:val="14"/>
              </w:rPr>
              <w:t>2.9</w:t>
            </w:r>
          </w:p>
        </w:tc>
        <w:tc>
          <w:tcPr>
            <w:tcW w:w="390" w:type="pct"/>
            <w:noWrap/>
            <w:hideMark/>
          </w:tcPr>
          <w:p w14:paraId="6A6BF8E3" w14:textId="42947336" w:rsidR="00CA7676" w:rsidRPr="00E14EE6" w:rsidRDefault="00E14EE6" w:rsidP="00E14EE6">
            <w:pPr>
              <w:jc w:val="right"/>
              <w:rPr>
                <w:rFonts w:eastAsia="Times New Roman" w:cs="Times New Roman"/>
                <w:b/>
                <w:bCs/>
                <w:sz w:val="14"/>
                <w:szCs w:val="14"/>
              </w:rPr>
            </w:pPr>
            <w:r w:rsidRPr="00E14EE6">
              <w:rPr>
                <w:b/>
                <w:sz w:val="14"/>
              </w:rPr>
              <w:noBreakHyphen/>
            </w:r>
            <w:r w:rsidR="00CA7676" w:rsidRPr="00E14EE6">
              <w:rPr>
                <w:b/>
                <w:sz w:val="14"/>
              </w:rPr>
              <w:t>1.0</w:t>
            </w:r>
          </w:p>
        </w:tc>
      </w:tr>
      <w:tr w:rsidR="00CA7676" w:rsidRPr="00E14EE6" w14:paraId="17AF05E3" w14:textId="77777777" w:rsidTr="00FD6B66">
        <w:trPr>
          <w:cnfStyle w:val="000000010000" w:firstRow="0" w:lastRow="0" w:firstColumn="0" w:lastColumn="0" w:oddVBand="0" w:evenVBand="0" w:oddHBand="0" w:evenHBand="1" w:firstRowFirstColumn="0" w:firstRowLastColumn="0" w:lastRowFirstColumn="0" w:lastRowLastColumn="0"/>
          <w:cantSplit/>
          <w:trHeight w:val="20"/>
        </w:trPr>
        <w:tc>
          <w:tcPr>
            <w:tcW w:w="1492" w:type="pct"/>
            <w:noWrap/>
            <w:hideMark/>
          </w:tcPr>
          <w:p w14:paraId="421E0464" w14:textId="7B94D0D4" w:rsidR="00CA7676" w:rsidRPr="00E14EE6" w:rsidRDefault="00CA7676" w:rsidP="00E14EE6">
            <w:pPr>
              <w:jc w:val="left"/>
              <w:rPr>
                <w:rFonts w:eastAsia="Times New Roman" w:cs="Times New Roman"/>
                <w:b/>
                <w:bCs/>
                <w:sz w:val="14"/>
                <w:szCs w:val="14"/>
              </w:rPr>
            </w:pPr>
            <w:r w:rsidRPr="00E14EE6">
              <w:rPr>
                <w:b/>
                <w:sz w:val="14"/>
              </w:rPr>
              <w:t>Net acquisition of financial assets</w:t>
            </w:r>
          </w:p>
        </w:tc>
        <w:tc>
          <w:tcPr>
            <w:tcW w:w="389" w:type="pct"/>
            <w:noWrap/>
            <w:hideMark/>
          </w:tcPr>
          <w:p w14:paraId="149B35B7" w14:textId="399C1630" w:rsidR="00CA7676" w:rsidRPr="00E14EE6" w:rsidRDefault="00E14EE6" w:rsidP="00E14EE6">
            <w:pPr>
              <w:jc w:val="right"/>
              <w:rPr>
                <w:rFonts w:eastAsia="Times New Roman" w:cs="Times New Roman"/>
                <w:b/>
                <w:bCs/>
                <w:color w:val="000000"/>
                <w:sz w:val="14"/>
                <w:szCs w:val="14"/>
              </w:rPr>
            </w:pPr>
            <w:r w:rsidRPr="00E14EE6">
              <w:rPr>
                <w:b/>
                <w:sz w:val="14"/>
              </w:rPr>
              <w:noBreakHyphen/>
            </w:r>
            <w:r w:rsidR="00CA7676" w:rsidRPr="00E14EE6">
              <w:rPr>
                <w:b/>
                <w:sz w:val="14"/>
              </w:rPr>
              <w:t>0.8</w:t>
            </w:r>
          </w:p>
        </w:tc>
        <w:tc>
          <w:tcPr>
            <w:tcW w:w="390" w:type="pct"/>
            <w:noWrap/>
            <w:hideMark/>
          </w:tcPr>
          <w:p w14:paraId="2168689A" w14:textId="48E18799" w:rsidR="00CA7676" w:rsidRPr="00E14EE6" w:rsidRDefault="00E14EE6" w:rsidP="00E14EE6">
            <w:pPr>
              <w:jc w:val="right"/>
              <w:rPr>
                <w:rFonts w:eastAsia="Times New Roman" w:cs="Times New Roman"/>
                <w:b/>
                <w:bCs/>
                <w:color w:val="000000"/>
                <w:sz w:val="14"/>
                <w:szCs w:val="14"/>
              </w:rPr>
            </w:pPr>
            <w:r w:rsidRPr="00E14EE6">
              <w:rPr>
                <w:b/>
                <w:sz w:val="14"/>
              </w:rPr>
              <w:noBreakHyphen/>
            </w:r>
            <w:r w:rsidR="00CA7676" w:rsidRPr="00E14EE6">
              <w:rPr>
                <w:b/>
                <w:sz w:val="14"/>
              </w:rPr>
              <w:t>0.1</w:t>
            </w:r>
          </w:p>
        </w:tc>
        <w:tc>
          <w:tcPr>
            <w:tcW w:w="390" w:type="pct"/>
            <w:noWrap/>
            <w:hideMark/>
          </w:tcPr>
          <w:p w14:paraId="3D819B7C" w14:textId="77777777" w:rsidR="00CA7676" w:rsidRPr="00E14EE6" w:rsidRDefault="00CA7676" w:rsidP="00E14EE6">
            <w:pPr>
              <w:jc w:val="right"/>
              <w:rPr>
                <w:rFonts w:eastAsia="Times New Roman" w:cs="Times New Roman"/>
                <w:b/>
                <w:bCs/>
                <w:color w:val="000000"/>
                <w:sz w:val="14"/>
                <w:szCs w:val="14"/>
              </w:rPr>
            </w:pPr>
            <w:r w:rsidRPr="00E14EE6">
              <w:rPr>
                <w:b/>
                <w:sz w:val="14"/>
              </w:rPr>
              <w:t>0.3</w:t>
            </w:r>
          </w:p>
        </w:tc>
        <w:tc>
          <w:tcPr>
            <w:tcW w:w="390" w:type="pct"/>
            <w:noWrap/>
            <w:hideMark/>
          </w:tcPr>
          <w:p w14:paraId="3036BF16" w14:textId="77777777" w:rsidR="00CA7676" w:rsidRPr="00E14EE6" w:rsidRDefault="00CA7676" w:rsidP="00E14EE6">
            <w:pPr>
              <w:jc w:val="right"/>
              <w:rPr>
                <w:rFonts w:eastAsia="Times New Roman" w:cs="Times New Roman"/>
                <w:b/>
                <w:bCs/>
                <w:color w:val="000000"/>
                <w:sz w:val="14"/>
                <w:szCs w:val="14"/>
              </w:rPr>
            </w:pPr>
            <w:r w:rsidRPr="00E14EE6">
              <w:rPr>
                <w:b/>
                <w:sz w:val="14"/>
              </w:rPr>
              <w:t>0.3</w:t>
            </w:r>
          </w:p>
        </w:tc>
        <w:tc>
          <w:tcPr>
            <w:tcW w:w="390" w:type="pct"/>
            <w:noWrap/>
            <w:hideMark/>
          </w:tcPr>
          <w:p w14:paraId="3F4D7D11" w14:textId="77777777" w:rsidR="00CA7676" w:rsidRPr="00E14EE6" w:rsidRDefault="00CA7676" w:rsidP="00E14EE6">
            <w:pPr>
              <w:jc w:val="right"/>
              <w:rPr>
                <w:rFonts w:eastAsia="Times New Roman" w:cs="Times New Roman"/>
                <w:b/>
                <w:bCs/>
                <w:color w:val="000000"/>
                <w:sz w:val="14"/>
                <w:szCs w:val="14"/>
              </w:rPr>
            </w:pPr>
            <w:r w:rsidRPr="00E14EE6">
              <w:rPr>
                <w:b/>
                <w:sz w:val="14"/>
              </w:rPr>
              <w:t>0.8</w:t>
            </w:r>
          </w:p>
        </w:tc>
        <w:tc>
          <w:tcPr>
            <w:tcW w:w="390" w:type="pct"/>
            <w:noWrap/>
            <w:hideMark/>
          </w:tcPr>
          <w:p w14:paraId="1AC3D95C" w14:textId="77777777" w:rsidR="00CA7676" w:rsidRPr="00E14EE6" w:rsidRDefault="00CA7676" w:rsidP="00E14EE6">
            <w:pPr>
              <w:jc w:val="right"/>
              <w:rPr>
                <w:rFonts w:eastAsia="Times New Roman" w:cs="Times New Roman"/>
                <w:b/>
                <w:bCs/>
                <w:color w:val="000000"/>
                <w:sz w:val="14"/>
                <w:szCs w:val="14"/>
              </w:rPr>
            </w:pPr>
            <w:r w:rsidRPr="00E14EE6">
              <w:rPr>
                <w:b/>
                <w:sz w:val="14"/>
              </w:rPr>
              <w:t>1.6</w:t>
            </w:r>
          </w:p>
        </w:tc>
        <w:tc>
          <w:tcPr>
            <w:tcW w:w="390" w:type="pct"/>
            <w:noWrap/>
            <w:hideMark/>
          </w:tcPr>
          <w:p w14:paraId="66764C47" w14:textId="77777777" w:rsidR="00CA7676" w:rsidRPr="00E14EE6" w:rsidRDefault="00CA7676" w:rsidP="00E14EE6">
            <w:pPr>
              <w:jc w:val="right"/>
              <w:rPr>
                <w:rFonts w:eastAsia="Times New Roman" w:cs="Times New Roman"/>
                <w:b/>
                <w:bCs/>
                <w:color w:val="000000"/>
                <w:sz w:val="14"/>
                <w:szCs w:val="14"/>
              </w:rPr>
            </w:pPr>
            <w:r w:rsidRPr="00E14EE6">
              <w:rPr>
                <w:b/>
                <w:sz w:val="14"/>
              </w:rPr>
              <w:t>3.2</w:t>
            </w:r>
          </w:p>
        </w:tc>
        <w:tc>
          <w:tcPr>
            <w:tcW w:w="390" w:type="pct"/>
            <w:noWrap/>
            <w:hideMark/>
          </w:tcPr>
          <w:p w14:paraId="63591FED" w14:textId="77777777" w:rsidR="00CA7676" w:rsidRPr="00E14EE6" w:rsidRDefault="00CA7676" w:rsidP="00E14EE6">
            <w:pPr>
              <w:jc w:val="right"/>
              <w:rPr>
                <w:rFonts w:eastAsia="Times New Roman" w:cs="Times New Roman"/>
                <w:b/>
                <w:bCs/>
                <w:color w:val="000000"/>
                <w:sz w:val="14"/>
                <w:szCs w:val="14"/>
              </w:rPr>
            </w:pPr>
            <w:r w:rsidRPr="00E14EE6">
              <w:rPr>
                <w:b/>
                <w:sz w:val="14"/>
              </w:rPr>
              <w:t>0.6</w:t>
            </w:r>
          </w:p>
        </w:tc>
        <w:tc>
          <w:tcPr>
            <w:tcW w:w="390" w:type="pct"/>
            <w:noWrap/>
            <w:hideMark/>
          </w:tcPr>
          <w:p w14:paraId="6D2AA2A8" w14:textId="77777777" w:rsidR="00CA7676" w:rsidRPr="00E14EE6" w:rsidRDefault="00CA7676" w:rsidP="00E14EE6">
            <w:pPr>
              <w:jc w:val="right"/>
              <w:rPr>
                <w:rFonts w:eastAsia="Times New Roman" w:cs="Times New Roman"/>
                <w:b/>
                <w:bCs/>
                <w:sz w:val="14"/>
                <w:szCs w:val="14"/>
              </w:rPr>
            </w:pPr>
            <w:r w:rsidRPr="00E14EE6">
              <w:rPr>
                <w:b/>
                <w:sz w:val="14"/>
              </w:rPr>
              <w:t>4.8</w:t>
            </w:r>
          </w:p>
        </w:tc>
      </w:tr>
      <w:tr w:rsidR="00CA7676" w:rsidRPr="00E14EE6" w14:paraId="5343613D" w14:textId="77777777" w:rsidTr="00FD6B66">
        <w:trPr>
          <w:cantSplit/>
          <w:trHeight w:val="20"/>
        </w:trPr>
        <w:tc>
          <w:tcPr>
            <w:tcW w:w="1492" w:type="pct"/>
            <w:noWrap/>
            <w:hideMark/>
          </w:tcPr>
          <w:p w14:paraId="30819CDF" w14:textId="171C561F" w:rsidR="00CA7676" w:rsidRPr="00E14EE6" w:rsidRDefault="00CA7676" w:rsidP="00E14EE6">
            <w:pPr>
              <w:ind w:firstLineChars="100" w:firstLine="141"/>
              <w:jc w:val="left"/>
              <w:rPr>
                <w:rFonts w:eastAsia="Times New Roman" w:cs="Times New Roman"/>
                <w:b/>
                <w:bCs/>
                <w:sz w:val="14"/>
                <w:szCs w:val="14"/>
              </w:rPr>
            </w:pPr>
            <w:r w:rsidRPr="00E14EE6">
              <w:rPr>
                <w:b/>
                <w:sz w:val="14"/>
              </w:rPr>
              <w:t>Internal receivables</w:t>
            </w:r>
          </w:p>
        </w:tc>
        <w:tc>
          <w:tcPr>
            <w:tcW w:w="389" w:type="pct"/>
            <w:noWrap/>
            <w:hideMark/>
          </w:tcPr>
          <w:p w14:paraId="776BF4D2" w14:textId="3C248B39" w:rsidR="00CA7676" w:rsidRPr="00E14EE6" w:rsidRDefault="00E14EE6" w:rsidP="00E14EE6">
            <w:pPr>
              <w:jc w:val="right"/>
              <w:rPr>
                <w:rFonts w:eastAsia="Times New Roman" w:cs="Times New Roman"/>
                <w:b/>
                <w:bCs/>
                <w:color w:val="000000"/>
                <w:sz w:val="14"/>
                <w:szCs w:val="14"/>
              </w:rPr>
            </w:pPr>
            <w:r w:rsidRPr="00E14EE6">
              <w:rPr>
                <w:b/>
                <w:sz w:val="14"/>
              </w:rPr>
              <w:noBreakHyphen/>
            </w:r>
            <w:r w:rsidR="00CA7676" w:rsidRPr="00E14EE6">
              <w:rPr>
                <w:b/>
                <w:sz w:val="14"/>
              </w:rPr>
              <w:t>0.8</w:t>
            </w:r>
          </w:p>
        </w:tc>
        <w:tc>
          <w:tcPr>
            <w:tcW w:w="390" w:type="pct"/>
            <w:noWrap/>
            <w:hideMark/>
          </w:tcPr>
          <w:p w14:paraId="039C0604" w14:textId="05297964" w:rsidR="00CA7676" w:rsidRPr="00E14EE6" w:rsidRDefault="00E14EE6" w:rsidP="00E14EE6">
            <w:pPr>
              <w:jc w:val="right"/>
              <w:rPr>
                <w:rFonts w:eastAsia="Times New Roman" w:cs="Times New Roman"/>
                <w:b/>
                <w:bCs/>
                <w:color w:val="000000"/>
                <w:sz w:val="14"/>
                <w:szCs w:val="14"/>
              </w:rPr>
            </w:pPr>
            <w:r w:rsidRPr="00E14EE6">
              <w:rPr>
                <w:b/>
                <w:sz w:val="14"/>
              </w:rPr>
              <w:noBreakHyphen/>
            </w:r>
            <w:r w:rsidR="00CA7676" w:rsidRPr="00E14EE6">
              <w:rPr>
                <w:b/>
                <w:sz w:val="14"/>
              </w:rPr>
              <w:t>0.1</w:t>
            </w:r>
          </w:p>
        </w:tc>
        <w:tc>
          <w:tcPr>
            <w:tcW w:w="390" w:type="pct"/>
            <w:noWrap/>
            <w:hideMark/>
          </w:tcPr>
          <w:p w14:paraId="139F8652" w14:textId="77777777" w:rsidR="00CA7676" w:rsidRPr="00E14EE6" w:rsidRDefault="00CA7676" w:rsidP="00E14EE6">
            <w:pPr>
              <w:jc w:val="right"/>
              <w:rPr>
                <w:rFonts w:eastAsia="Times New Roman" w:cs="Times New Roman"/>
                <w:b/>
                <w:bCs/>
                <w:color w:val="000000"/>
                <w:sz w:val="14"/>
                <w:szCs w:val="14"/>
              </w:rPr>
            </w:pPr>
            <w:r w:rsidRPr="00E14EE6">
              <w:rPr>
                <w:b/>
                <w:sz w:val="14"/>
              </w:rPr>
              <w:t>0.3</w:t>
            </w:r>
          </w:p>
        </w:tc>
        <w:tc>
          <w:tcPr>
            <w:tcW w:w="390" w:type="pct"/>
            <w:noWrap/>
            <w:hideMark/>
          </w:tcPr>
          <w:p w14:paraId="69F0BA79" w14:textId="77777777" w:rsidR="00CA7676" w:rsidRPr="00E14EE6" w:rsidRDefault="00CA7676" w:rsidP="00E14EE6">
            <w:pPr>
              <w:jc w:val="right"/>
              <w:rPr>
                <w:rFonts w:eastAsia="Times New Roman" w:cs="Times New Roman"/>
                <w:b/>
                <w:bCs/>
                <w:color w:val="000000"/>
                <w:sz w:val="14"/>
                <w:szCs w:val="14"/>
              </w:rPr>
            </w:pPr>
            <w:r w:rsidRPr="00E14EE6">
              <w:rPr>
                <w:b/>
                <w:sz w:val="14"/>
              </w:rPr>
              <w:t>0.2</w:t>
            </w:r>
          </w:p>
        </w:tc>
        <w:tc>
          <w:tcPr>
            <w:tcW w:w="390" w:type="pct"/>
            <w:noWrap/>
            <w:hideMark/>
          </w:tcPr>
          <w:p w14:paraId="532EA71F" w14:textId="77777777" w:rsidR="00CA7676" w:rsidRPr="00E14EE6" w:rsidRDefault="00CA7676" w:rsidP="00E14EE6">
            <w:pPr>
              <w:jc w:val="right"/>
              <w:rPr>
                <w:rFonts w:eastAsia="Times New Roman" w:cs="Times New Roman"/>
                <w:b/>
                <w:bCs/>
                <w:color w:val="000000"/>
                <w:sz w:val="14"/>
                <w:szCs w:val="14"/>
              </w:rPr>
            </w:pPr>
            <w:r w:rsidRPr="00E14EE6">
              <w:rPr>
                <w:b/>
                <w:sz w:val="14"/>
              </w:rPr>
              <w:t>0.8</w:t>
            </w:r>
          </w:p>
        </w:tc>
        <w:tc>
          <w:tcPr>
            <w:tcW w:w="390" w:type="pct"/>
            <w:noWrap/>
            <w:hideMark/>
          </w:tcPr>
          <w:p w14:paraId="3FCE3112" w14:textId="77777777" w:rsidR="00CA7676" w:rsidRPr="00E14EE6" w:rsidRDefault="00CA7676" w:rsidP="00E14EE6">
            <w:pPr>
              <w:jc w:val="right"/>
              <w:rPr>
                <w:rFonts w:eastAsia="Times New Roman" w:cs="Times New Roman"/>
                <w:b/>
                <w:bCs/>
                <w:color w:val="000000"/>
                <w:sz w:val="14"/>
                <w:szCs w:val="14"/>
              </w:rPr>
            </w:pPr>
            <w:r w:rsidRPr="00E14EE6">
              <w:rPr>
                <w:b/>
                <w:sz w:val="14"/>
              </w:rPr>
              <w:t>1.6</w:t>
            </w:r>
          </w:p>
        </w:tc>
        <w:tc>
          <w:tcPr>
            <w:tcW w:w="390" w:type="pct"/>
            <w:noWrap/>
            <w:hideMark/>
          </w:tcPr>
          <w:p w14:paraId="643D4D17" w14:textId="77777777" w:rsidR="00CA7676" w:rsidRPr="00E14EE6" w:rsidRDefault="00CA7676" w:rsidP="00E14EE6">
            <w:pPr>
              <w:jc w:val="right"/>
              <w:rPr>
                <w:rFonts w:eastAsia="Times New Roman" w:cs="Times New Roman"/>
                <w:b/>
                <w:bCs/>
                <w:color w:val="000000"/>
                <w:sz w:val="14"/>
                <w:szCs w:val="14"/>
              </w:rPr>
            </w:pPr>
            <w:r w:rsidRPr="00E14EE6">
              <w:rPr>
                <w:b/>
                <w:sz w:val="14"/>
              </w:rPr>
              <w:t>3.2</w:t>
            </w:r>
          </w:p>
        </w:tc>
        <w:tc>
          <w:tcPr>
            <w:tcW w:w="390" w:type="pct"/>
            <w:noWrap/>
            <w:hideMark/>
          </w:tcPr>
          <w:p w14:paraId="1EC3451F" w14:textId="77777777" w:rsidR="00CA7676" w:rsidRPr="00E14EE6" w:rsidRDefault="00CA7676" w:rsidP="00E14EE6">
            <w:pPr>
              <w:jc w:val="right"/>
              <w:rPr>
                <w:rFonts w:eastAsia="Times New Roman" w:cs="Times New Roman"/>
                <w:b/>
                <w:bCs/>
                <w:color w:val="000000"/>
                <w:sz w:val="14"/>
                <w:szCs w:val="14"/>
              </w:rPr>
            </w:pPr>
            <w:r w:rsidRPr="00E14EE6">
              <w:rPr>
                <w:b/>
                <w:sz w:val="14"/>
              </w:rPr>
              <w:t>0.6</w:t>
            </w:r>
          </w:p>
        </w:tc>
        <w:tc>
          <w:tcPr>
            <w:tcW w:w="390" w:type="pct"/>
            <w:noWrap/>
            <w:hideMark/>
          </w:tcPr>
          <w:p w14:paraId="443F80F7" w14:textId="77777777" w:rsidR="00CA7676" w:rsidRPr="00E14EE6" w:rsidRDefault="00CA7676" w:rsidP="00E14EE6">
            <w:pPr>
              <w:jc w:val="right"/>
              <w:rPr>
                <w:rFonts w:eastAsia="Times New Roman" w:cs="Times New Roman"/>
                <w:b/>
                <w:bCs/>
                <w:sz w:val="14"/>
                <w:szCs w:val="14"/>
              </w:rPr>
            </w:pPr>
            <w:r w:rsidRPr="00E14EE6">
              <w:rPr>
                <w:b/>
                <w:sz w:val="14"/>
              </w:rPr>
              <w:t>4.8</w:t>
            </w:r>
          </w:p>
        </w:tc>
      </w:tr>
      <w:tr w:rsidR="00CA7676" w:rsidRPr="00E14EE6" w14:paraId="6337B3EB" w14:textId="77777777" w:rsidTr="00FD6B66">
        <w:trPr>
          <w:cnfStyle w:val="000000010000" w:firstRow="0" w:lastRow="0" w:firstColumn="0" w:lastColumn="0" w:oddVBand="0" w:evenVBand="0" w:oddHBand="0" w:evenHBand="1" w:firstRowFirstColumn="0" w:firstRowLastColumn="0" w:lastRowFirstColumn="0" w:lastRowLastColumn="0"/>
          <w:cantSplit/>
          <w:trHeight w:val="20"/>
        </w:trPr>
        <w:tc>
          <w:tcPr>
            <w:tcW w:w="1492" w:type="pct"/>
            <w:noWrap/>
            <w:hideMark/>
          </w:tcPr>
          <w:p w14:paraId="5AF6555F" w14:textId="3520958A" w:rsidR="00CA7676" w:rsidRPr="00E14EE6" w:rsidRDefault="00CA7676" w:rsidP="00E14EE6">
            <w:pPr>
              <w:ind w:firstLineChars="200" w:firstLine="280"/>
              <w:jc w:val="left"/>
              <w:rPr>
                <w:rFonts w:eastAsia="Times New Roman" w:cs="Times New Roman"/>
                <w:sz w:val="14"/>
                <w:szCs w:val="14"/>
              </w:rPr>
            </w:pPr>
            <w:r w:rsidRPr="00E14EE6">
              <w:rPr>
                <w:sz w:val="14"/>
              </w:rPr>
              <w:t>Currency and deposits</w:t>
            </w:r>
          </w:p>
        </w:tc>
        <w:tc>
          <w:tcPr>
            <w:tcW w:w="389" w:type="pct"/>
            <w:noWrap/>
            <w:hideMark/>
          </w:tcPr>
          <w:p w14:paraId="37361326" w14:textId="03EB1B12" w:rsidR="00CA7676" w:rsidRPr="00E14EE6" w:rsidRDefault="00E14EE6" w:rsidP="00E14EE6">
            <w:pPr>
              <w:jc w:val="right"/>
              <w:rPr>
                <w:rFonts w:eastAsia="Times New Roman" w:cs="Times New Roman"/>
                <w:color w:val="000000"/>
                <w:sz w:val="14"/>
                <w:szCs w:val="14"/>
              </w:rPr>
            </w:pPr>
            <w:r w:rsidRPr="00E14EE6">
              <w:rPr>
                <w:sz w:val="14"/>
              </w:rPr>
              <w:noBreakHyphen/>
            </w:r>
            <w:r w:rsidR="00CA7676" w:rsidRPr="00E14EE6">
              <w:rPr>
                <w:sz w:val="14"/>
              </w:rPr>
              <w:t>0.7</w:t>
            </w:r>
          </w:p>
        </w:tc>
        <w:tc>
          <w:tcPr>
            <w:tcW w:w="390" w:type="pct"/>
            <w:noWrap/>
            <w:hideMark/>
          </w:tcPr>
          <w:p w14:paraId="30897963" w14:textId="0528426E" w:rsidR="00CA7676" w:rsidRPr="00E14EE6" w:rsidRDefault="00E14EE6" w:rsidP="00E14EE6">
            <w:pPr>
              <w:jc w:val="right"/>
              <w:rPr>
                <w:rFonts w:eastAsia="Times New Roman" w:cs="Times New Roman"/>
                <w:color w:val="000000"/>
                <w:sz w:val="14"/>
                <w:szCs w:val="14"/>
              </w:rPr>
            </w:pPr>
            <w:r w:rsidRPr="00E14EE6">
              <w:rPr>
                <w:sz w:val="14"/>
              </w:rPr>
              <w:noBreakHyphen/>
            </w:r>
            <w:r w:rsidR="00CA7676" w:rsidRPr="00E14EE6">
              <w:rPr>
                <w:sz w:val="14"/>
              </w:rPr>
              <w:t>0.1</w:t>
            </w:r>
          </w:p>
        </w:tc>
        <w:tc>
          <w:tcPr>
            <w:tcW w:w="390" w:type="pct"/>
            <w:noWrap/>
            <w:hideMark/>
          </w:tcPr>
          <w:p w14:paraId="2502A9FA" w14:textId="77777777" w:rsidR="00CA7676" w:rsidRPr="00E14EE6" w:rsidRDefault="00CA7676" w:rsidP="00E14EE6">
            <w:pPr>
              <w:jc w:val="right"/>
              <w:rPr>
                <w:rFonts w:eastAsia="Times New Roman" w:cs="Times New Roman"/>
                <w:color w:val="000000"/>
                <w:sz w:val="14"/>
                <w:szCs w:val="14"/>
              </w:rPr>
            </w:pPr>
            <w:r w:rsidRPr="00E14EE6">
              <w:rPr>
                <w:sz w:val="14"/>
              </w:rPr>
              <w:t>0.2</w:t>
            </w:r>
          </w:p>
        </w:tc>
        <w:tc>
          <w:tcPr>
            <w:tcW w:w="390" w:type="pct"/>
            <w:noWrap/>
            <w:hideMark/>
          </w:tcPr>
          <w:p w14:paraId="723F9B95" w14:textId="77777777" w:rsidR="00CA7676" w:rsidRPr="00E14EE6" w:rsidRDefault="00CA7676" w:rsidP="00E14EE6">
            <w:pPr>
              <w:jc w:val="right"/>
              <w:rPr>
                <w:rFonts w:eastAsia="Times New Roman" w:cs="Times New Roman"/>
                <w:color w:val="000000"/>
                <w:sz w:val="14"/>
                <w:szCs w:val="14"/>
              </w:rPr>
            </w:pPr>
            <w:r w:rsidRPr="00E14EE6">
              <w:rPr>
                <w:sz w:val="14"/>
              </w:rPr>
              <w:t>0.2</w:t>
            </w:r>
          </w:p>
        </w:tc>
        <w:tc>
          <w:tcPr>
            <w:tcW w:w="390" w:type="pct"/>
            <w:noWrap/>
            <w:hideMark/>
          </w:tcPr>
          <w:p w14:paraId="0D409313" w14:textId="77777777" w:rsidR="00CA7676" w:rsidRPr="00E14EE6" w:rsidRDefault="00CA7676" w:rsidP="00E14EE6">
            <w:pPr>
              <w:jc w:val="right"/>
              <w:rPr>
                <w:rFonts w:eastAsia="Times New Roman" w:cs="Times New Roman"/>
                <w:color w:val="000000"/>
                <w:sz w:val="14"/>
                <w:szCs w:val="14"/>
              </w:rPr>
            </w:pPr>
            <w:r w:rsidRPr="00E14EE6">
              <w:rPr>
                <w:sz w:val="14"/>
              </w:rPr>
              <w:t>0.7</w:t>
            </w:r>
          </w:p>
        </w:tc>
        <w:tc>
          <w:tcPr>
            <w:tcW w:w="390" w:type="pct"/>
            <w:noWrap/>
            <w:hideMark/>
          </w:tcPr>
          <w:p w14:paraId="015701C5" w14:textId="77777777" w:rsidR="00CA7676" w:rsidRPr="00E14EE6" w:rsidRDefault="00CA7676" w:rsidP="00E14EE6">
            <w:pPr>
              <w:jc w:val="right"/>
              <w:rPr>
                <w:rFonts w:eastAsia="Times New Roman" w:cs="Times New Roman"/>
                <w:color w:val="000000"/>
                <w:sz w:val="14"/>
                <w:szCs w:val="14"/>
              </w:rPr>
            </w:pPr>
            <w:r w:rsidRPr="00E14EE6">
              <w:rPr>
                <w:sz w:val="14"/>
              </w:rPr>
              <w:t>0.3</w:t>
            </w:r>
          </w:p>
        </w:tc>
        <w:tc>
          <w:tcPr>
            <w:tcW w:w="390" w:type="pct"/>
            <w:noWrap/>
            <w:hideMark/>
          </w:tcPr>
          <w:p w14:paraId="01EB8915" w14:textId="77777777" w:rsidR="00CA7676" w:rsidRPr="00E14EE6" w:rsidRDefault="00CA7676" w:rsidP="00E14EE6">
            <w:pPr>
              <w:jc w:val="right"/>
              <w:rPr>
                <w:rFonts w:eastAsia="Times New Roman" w:cs="Times New Roman"/>
                <w:color w:val="000000"/>
                <w:sz w:val="14"/>
                <w:szCs w:val="14"/>
              </w:rPr>
            </w:pPr>
            <w:r w:rsidRPr="00E14EE6">
              <w:rPr>
                <w:sz w:val="14"/>
              </w:rPr>
              <w:t>3.0</w:t>
            </w:r>
          </w:p>
        </w:tc>
        <w:tc>
          <w:tcPr>
            <w:tcW w:w="390" w:type="pct"/>
            <w:noWrap/>
            <w:hideMark/>
          </w:tcPr>
          <w:p w14:paraId="43F6AC0B" w14:textId="77777777" w:rsidR="00CA7676" w:rsidRPr="00E14EE6" w:rsidRDefault="00CA7676" w:rsidP="00E14EE6">
            <w:pPr>
              <w:jc w:val="right"/>
              <w:rPr>
                <w:rFonts w:eastAsia="Times New Roman" w:cs="Times New Roman"/>
                <w:color w:val="000000"/>
                <w:sz w:val="14"/>
                <w:szCs w:val="14"/>
              </w:rPr>
            </w:pPr>
            <w:r w:rsidRPr="00E14EE6">
              <w:rPr>
                <w:sz w:val="14"/>
              </w:rPr>
              <w:t>0.3</w:t>
            </w:r>
          </w:p>
        </w:tc>
        <w:tc>
          <w:tcPr>
            <w:tcW w:w="390" w:type="pct"/>
            <w:noWrap/>
            <w:hideMark/>
          </w:tcPr>
          <w:p w14:paraId="6932F6EC" w14:textId="77777777" w:rsidR="00CA7676" w:rsidRPr="00E14EE6" w:rsidRDefault="00CA7676" w:rsidP="00E14EE6">
            <w:pPr>
              <w:jc w:val="right"/>
              <w:rPr>
                <w:rFonts w:eastAsia="Times New Roman" w:cs="Times New Roman"/>
                <w:sz w:val="14"/>
                <w:szCs w:val="14"/>
              </w:rPr>
            </w:pPr>
            <w:r w:rsidRPr="00E14EE6">
              <w:rPr>
                <w:sz w:val="14"/>
              </w:rPr>
              <w:t>4.8</w:t>
            </w:r>
          </w:p>
        </w:tc>
      </w:tr>
      <w:tr w:rsidR="00CA7676" w:rsidRPr="00E14EE6" w14:paraId="2ABADBB0" w14:textId="77777777" w:rsidTr="00FD6B66">
        <w:trPr>
          <w:cantSplit/>
          <w:trHeight w:val="20"/>
        </w:trPr>
        <w:tc>
          <w:tcPr>
            <w:tcW w:w="1492" w:type="pct"/>
            <w:noWrap/>
            <w:hideMark/>
          </w:tcPr>
          <w:p w14:paraId="6AFE25B2" w14:textId="3E15A467" w:rsidR="00CA7676" w:rsidRPr="00E14EE6" w:rsidRDefault="00CA7676" w:rsidP="00E14EE6">
            <w:pPr>
              <w:ind w:firstLineChars="200" w:firstLine="280"/>
              <w:jc w:val="left"/>
              <w:rPr>
                <w:rFonts w:eastAsia="Times New Roman" w:cs="Times New Roman"/>
                <w:sz w:val="14"/>
                <w:szCs w:val="14"/>
              </w:rPr>
            </w:pPr>
            <w:r w:rsidRPr="00E14EE6">
              <w:rPr>
                <w:sz w:val="14"/>
              </w:rPr>
              <w:t>Equity and investment fund shares</w:t>
            </w:r>
          </w:p>
        </w:tc>
        <w:tc>
          <w:tcPr>
            <w:tcW w:w="389" w:type="pct"/>
            <w:noWrap/>
            <w:hideMark/>
          </w:tcPr>
          <w:p w14:paraId="32F90A03" w14:textId="77777777" w:rsidR="00CA7676" w:rsidRPr="00E14EE6" w:rsidRDefault="00CA7676" w:rsidP="00E14EE6">
            <w:pPr>
              <w:jc w:val="right"/>
              <w:rPr>
                <w:rFonts w:eastAsia="Times New Roman" w:cs="Times New Roman"/>
                <w:color w:val="000000"/>
                <w:sz w:val="14"/>
                <w:szCs w:val="14"/>
              </w:rPr>
            </w:pPr>
            <w:r w:rsidRPr="00E14EE6">
              <w:rPr>
                <w:sz w:val="14"/>
              </w:rPr>
              <w:t>0.1</w:t>
            </w:r>
          </w:p>
        </w:tc>
        <w:tc>
          <w:tcPr>
            <w:tcW w:w="390" w:type="pct"/>
            <w:noWrap/>
            <w:hideMark/>
          </w:tcPr>
          <w:p w14:paraId="1701E1BF" w14:textId="77777777" w:rsidR="00CA7676" w:rsidRPr="00E14EE6" w:rsidRDefault="00CA7676" w:rsidP="00E14EE6">
            <w:pPr>
              <w:jc w:val="right"/>
              <w:rPr>
                <w:rFonts w:eastAsia="Times New Roman" w:cs="Times New Roman"/>
                <w:color w:val="000000"/>
                <w:sz w:val="14"/>
                <w:szCs w:val="14"/>
              </w:rPr>
            </w:pPr>
            <w:r w:rsidRPr="00E14EE6">
              <w:rPr>
                <w:sz w:val="14"/>
              </w:rPr>
              <w:t>0.1</w:t>
            </w:r>
          </w:p>
        </w:tc>
        <w:tc>
          <w:tcPr>
            <w:tcW w:w="390" w:type="pct"/>
            <w:noWrap/>
            <w:hideMark/>
          </w:tcPr>
          <w:p w14:paraId="3E3E08E5" w14:textId="77777777" w:rsidR="00CA7676" w:rsidRPr="00E14EE6" w:rsidRDefault="00CA7676" w:rsidP="00E14EE6">
            <w:pPr>
              <w:jc w:val="right"/>
              <w:rPr>
                <w:rFonts w:eastAsia="Times New Roman" w:cs="Times New Roman"/>
                <w:color w:val="000000"/>
                <w:sz w:val="14"/>
                <w:szCs w:val="14"/>
              </w:rPr>
            </w:pPr>
            <w:r w:rsidRPr="00E14EE6">
              <w:rPr>
                <w:sz w:val="14"/>
              </w:rPr>
              <w:t>0.1</w:t>
            </w:r>
          </w:p>
        </w:tc>
        <w:tc>
          <w:tcPr>
            <w:tcW w:w="390" w:type="pct"/>
            <w:noWrap/>
            <w:hideMark/>
          </w:tcPr>
          <w:p w14:paraId="6CE80EFB" w14:textId="77777777" w:rsidR="00CA7676" w:rsidRPr="00E14EE6" w:rsidRDefault="00CA7676" w:rsidP="00E14EE6">
            <w:pPr>
              <w:jc w:val="right"/>
              <w:rPr>
                <w:rFonts w:eastAsia="Times New Roman" w:cs="Times New Roman"/>
                <w:color w:val="000000"/>
                <w:sz w:val="14"/>
                <w:szCs w:val="14"/>
              </w:rPr>
            </w:pPr>
            <w:r w:rsidRPr="00E14EE6">
              <w:rPr>
                <w:sz w:val="14"/>
              </w:rPr>
              <w:t>0.1</w:t>
            </w:r>
          </w:p>
        </w:tc>
        <w:tc>
          <w:tcPr>
            <w:tcW w:w="390" w:type="pct"/>
            <w:noWrap/>
            <w:hideMark/>
          </w:tcPr>
          <w:p w14:paraId="1D93B290" w14:textId="77777777" w:rsidR="00CA7676" w:rsidRPr="00E14EE6" w:rsidRDefault="00CA7676" w:rsidP="00E14EE6">
            <w:pPr>
              <w:jc w:val="right"/>
              <w:rPr>
                <w:rFonts w:eastAsia="Times New Roman" w:cs="Times New Roman"/>
                <w:color w:val="000000"/>
                <w:sz w:val="14"/>
                <w:szCs w:val="14"/>
              </w:rPr>
            </w:pPr>
            <w:r w:rsidRPr="00E14EE6">
              <w:rPr>
                <w:sz w:val="14"/>
              </w:rPr>
              <w:t>0.1</w:t>
            </w:r>
          </w:p>
        </w:tc>
        <w:tc>
          <w:tcPr>
            <w:tcW w:w="390" w:type="pct"/>
            <w:noWrap/>
            <w:hideMark/>
          </w:tcPr>
          <w:p w14:paraId="4636100F" w14:textId="77777777" w:rsidR="00CA7676" w:rsidRPr="00E14EE6" w:rsidRDefault="00CA7676" w:rsidP="00E14EE6">
            <w:pPr>
              <w:jc w:val="right"/>
              <w:rPr>
                <w:rFonts w:eastAsia="Times New Roman" w:cs="Times New Roman"/>
                <w:color w:val="000000"/>
                <w:sz w:val="14"/>
                <w:szCs w:val="14"/>
              </w:rPr>
            </w:pPr>
            <w:r w:rsidRPr="00E14EE6">
              <w:rPr>
                <w:sz w:val="14"/>
              </w:rPr>
              <w:t>0.0</w:t>
            </w:r>
          </w:p>
        </w:tc>
        <w:tc>
          <w:tcPr>
            <w:tcW w:w="390" w:type="pct"/>
            <w:noWrap/>
            <w:hideMark/>
          </w:tcPr>
          <w:p w14:paraId="2312EFCF" w14:textId="77777777" w:rsidR="00CA7676" w:rsidRPr="00E14EE6" w:rsidRDefault="00CA7676" w:rsidP="00E14EE6">
            <w:pPr>
              <w:jc w:val="right"/>
              <w:rPr>
                <w:rFonts w:eastAsia="Times New Roman" w:cs="Times New Roman"/>
                <w:color w:val="000000"/>
                <w:sz w:val="14"/>
                <w:szCs w:val="14"/>
              </w:rPr>
            </w:pPr>
            <w:r w:rsidRPr="00E14EE6">
              <w:rPr>
                <w:sz w:val="14"/>
              </w:rPr>
              <w:t>0.2</w:t>
            </w:r>
          </w:p>
        </w:tc>
        <w:tc>
          <w:tcPr>
            <w:tcW w:w="390" w:type="pct"/>
            <w:noWrap/>
            <w:hideMark/>
          </w:tcPr>
          <w:p w14:paraId="2886A24E" w14:textId="77777777" w:rsidR="00CA7676" w:rsidRPr="00E14EE6" w:rsidRDefault="00CA7676" w:rsidP="00E14EE6">
            <w:pPr>
              <w:jc w:val="right"/>
              <w:rPr>
                <w:rFonts w:eastAsia="Times New Roman" w:cs="Times New Roman"/>
                <w:color w:val="000000"/>
                <w:sz w:val="14"/>
                <w:szCs w:val="14"/>
              </w:rPr>
            </w:pPr>
            <w:r w:rsidRPr="00E14EE6">
              <w:rPr>
                <w:sz w:val="14"/>
              </w:rPr>
              <w:t>0.3</w:t>
            </w:r>
          </w:p>
        </w:tc>
        <w:tc>
          <w:tcPr>
            <w:tcW w:w="390" w:type="pct"/>
            <w:noWrap/>
            <w:hideMark/>
          </w:tcPr>
          <w:p w14:paraId="500D5676" w14:textId="77777777" w:rsidR="00CA7676" w:rsidRPr="00E14EE6" w:rsidRDefault="00CA7676" w:rsidP="00E14EE6">
            <w:pPr>
              <w:jc w:val="right"/>
              <w:rPr>
                <w:rFonts w:eastAsia="Times New Roman" w:cs="Times New Roman"/>
                <w:sz w:val="14"/>
                <w:szCs w:val="14"/>
              </w:rPr>
            </w:pPr>
            <w:r w:rsidRPr="00E14EE6">
              <w:rPr>
                <w:sz w:val="14"/>
              </w:rPr>
              <w:t>0.0</w:t>
            </w:r>
          </w:p>
        </w:tc>
      </w:tr>
      <w:tr w:rsidR="00CA7676" w:rsidRPr="00E14EE6" w14:paraId="32135B80" w14:textId="77777777" w:rsidTr="00FD6B66">
        <w:trPr>
          <w:cnfStyle w:val="000000010000" w:firstRow="0" w:lastRow="0" w:firstColumn="0" w:lastColumn="0" w:oddVBand="0" w:evenVBand="0" w:oddHBand="0" w:evenHBand="1" w:firstRowFirstColumn="0" w:firstRowLastColumn="0" w:lastRowFirstColumn="0" w:lastRowLastColumn="0"/>
          <w:cantSplit/>
          <w:trHeight w:val="20"/>
        </w:trPr>
        <w:tc>
          <w:tcPr>
            <w:tcW w:w="1492" w:type="pct"/>
            <w:noWrap/>
            <w:hideMark/>
          </w:tcPr>
          <w:p w14:paraId="5D8ABB37" w14:textId="5F50D204" w:rsidR="00CA7676" w:rsidRPr="00E14EE6" w:rsidRDefault="00CA7676" w:rsidP="00E14EE6">
            <w:pPr>
              <w:ind w:firstLineChars="200" w:firstLine="280"/>
              <w:jc w:val="left"/>
              <w:rPr>
                <w:rFonts w:eastAsia="Times New Roman" w:cs="Times New Roman"/>
                <w:sz w:val="14"/>
                <w:szCs w:val="14"/>
              </w:rPr>
            </w:pPr>
            <w:r w:rsidRPr="00E14EE6">
              <w:rPr>
                <w:sz w:val="14"/>
              </w:rPr>
              <w:lastRenderedPageBreak/>
              <w:t>Other accounts receivable</w:t>
            </w:r>
          </w:p>
        </w:tc>
        <w:tc>
          <w:tcPr>
            <w:tcW w:w="389" w:type="pct"/>
            <w:noWrap/>
            <w:hideMark/>
          </w:tcPr>
          <w:p w14:paraId="2E3D0360" w14:textId="4CA5C3C2" w:rsidR="00CA7676" w:rsidRPr="00E14EE6" w:rsidRDefault="00E14EE6" w:rsidP="00E14EE6">
            <w:pPr>
              <w:jc w:val="right"/>
              <w:rPr>
                <w:rFonts w:eastAsia="Times New Roman" w:cs="Times New Roman"/>
                <w:color w:val="000000"/>
                <w:sz w:val="14"/>
                <w:szCs w:val="14"/>
              </w:rPr>
            </w:pPr>
            <w:r w:rsidRPr="00E14EE6">
              <w:rPr>
                <w:sz w:val="14"/>
              </w:rPr>
              <w:noBreakHyphen/>
            </w:r>
            <w:r w:rsidR="00CA7676" w:rsidRPr="00E14EE6">
              <w:rPr>
                <w:sz w:val="14"/>
              </w:rPr>
              <w:t>0.1</w:t>
            </w:r>
          </w:p>
        </w:tc>
        <w:tc>
          <w:tcPr>
            <w:tcW w:w="390" w:type="pct"/>
            <w:noWrap/>
            <w:hideMark/>
          </w:tcPr>
          <w:p w14:paraId="75B73DE8" w14:textId="77777777" w:rsidR="00CA7676" w:rsidRPr="00E14EE6" w:rsidRDefault="00CA7676" w:rsidP="00E14EE6">
            <w:pPr>
              <w:jc w:val="right"/>
              <w:rPr>
                <w:rFonts w:eastAsia="Times New Roman" w:cs="Times New Roman"/>
                <w:color w:val="000000"/>
                <w:sz w:val="14"/>
                <w:szCs w:val="14"/>
              </w:rPr>
            </w:pPr>
            <w:r w:rsidRPr="00E14EE6">
              <w:rPr>
                <w:sz w:val="14"/>
              </w:rPr>
              <w:t>0.0</w:t>
            </w:r>
          </w:p>
        </w:tc>
        <w:tc>
          <w:tcPr>
            <w:tcW w:w="390" w:type="pct"/>
            <w:noWrap/>
            <w:hideMark/>
          </w:tcPr>
          <w:p w14:paraId="11CEEACA" w14:textId="77777777" w:rsidR="00CA7676" w:rsidRPr="00E14EE6" w:rsidRDefault="00CA7676" w:rsidP="00E14EE6">
            <w:pPr>
              <w:jc w:val="right"/>
              <w:rPr>
                <w:rFonts w:eastAsia="Times New Roman" w:cs="Times New Roman"/>
                <w:color w:val="000000"/>
                <w:sz w:val="14"/>
                <w:szCs w:val="14"/>
              </w:rPr>
            </w:pPr>
            <w:r w:rsidRPr="00E14EE6">
              <w:rPr>
                <w:sz w:val="14"/>
              </w:rPr>
              <w:t>0.0</w:t>
            </w:r>
          </w:p>
        </w:tc>
        <w:tc>
          <w:tcPr>
            <w:tcW w:w="390" w:type="pct"/>
            <w:noWrap/>
            <w:hideMark/>
          </w:tcPr>
          <w:p w14:paraId="4A120473" w14:textId="77777777" w:rsidR="00CA7676" w:rsidRPr="00E14EE6" w:rsidRDefault="00CA7676" w:rsidP="00E14EE6">
            <w:pPr>
              <w:jc w:val="right"/>
              <w:rPr>
                <w:rFonts w:eastAsia="Times New Roman" w:cs="Times New Roman"/>
                <w:color w:val="000000"/>
                <w:sz w:val="14"/>
                <w:szCs w:val="14"/>
              </w:rPr>
            </w:pPr>
            <w:r w:rsidRPr="00E14EE6">
              <w:rPr>
                <w:sz w:val="14"/>
              </w:rPr>
              <w:t>0.0</w:t>
            </w:r>
          </w:p>
        </w:tc>
        <w:tc>
          <w:tcPr>
            <w:tcW w:w="390" w:type="pct"/>
            <w:noWrap/>
            <w:hideMark/>
          </w:tcPr>
          <w:p w14:paraId="30418B0B" w14:textId="77777777" w:rsidR="00CA7676" w:rsidRPr="00E14EE6" w:rsidRDefault="00CA7676" w:rsidP="00E14EE6">
            <w:pPr>
              <w:jc w:val="right"/>
              <w:rPr>
                <w:rFonts w:eastAsia="Times New Roman" w:cs="Times New Roman"/>
                <w:color w:val="000000"/>
                <w:sz w:val="14"/>
                <w:szCs w:val="14"/>
              </w:rPr>
            </w:pPr>
            <w:r w:rsidRPr="00E14EE6">
              <w:rPr>
                <w:sz w:val="14"/>
              </w:rPr>
              <w:t>0.0</w:t>
            </w:r>
          </w:p>
        </w:tc>
        <w:tc>
          <w:tcPr>
            <w:tcW w:w="390" w:type="pct"/>
            <w:noWrap/>
            <w:hideMark/>
          </w:tcPr>
          <w:p w14:paraId="5D7FE19D" w14:textId="77777777" w:rsidR="00CA7676" w:rsidRPr="00E14EE6" w:rsidRDefault="00CA7676" w:rsidP="00E14EE6">
            <w:pPr>
              <w:jc w:val="right"/>
              <w:rPr>
                <w:rFonts w:eastAsia="Times New Roman" w:cs="Times New Roman"/>
                <w:color w:val="000000"/>
                <w:sz w:val="14"/>
                <w:szCs w:val="14"/>
              </w:rPr>
            </w:pPr>
            <w:r w:rsidRPr="00E14EE6">
              <w:rPr>
                <w:sz w:val="14"/>
              </w:rPr>
              <w:t>1.3</w:t>
            </w:r>
          </w:p>
        </w:tc>
        <w:tc>
          <w:tcPr>
            <w:tcW w:w="390" w:type="pct"/>
            <w:noWrap/>
            <w:hideMark/>
          </w:tcPr>
          <w:p w14:paraId="0DFF1BDB" w14:textId="77777777" w:rsidR="00CA7676" w:rsidRPr="00E14EE6" w:rsidRDefault="00CA7676" w:rsidP="00E14EE6">
            <w:pPr>
              <w:jc w:val="right"/>
              <w:rPr>
                <w:rFonts w:eastAsia="Times New Roman" w:cs="Times New Roman"/>
                <w:color w:val="000000"/>
                <w:sz w:val="14"/>
                <w:szCs w:val="14"/>
              </w:rPr>
            </w:pPr>
            <w:r w:rsidRPr="00E14EE6">
              <w:rPr>
                <w:sz w:val="14"/>
              </w:rPr>
              <w:t>0.0</w:t>
            </w:r>
          </w:p>
        </w:tc>
        <w:tc>
          <w:tcPr>
            <w:tcW w:w="390" w:type="pct"/>
            <w:noWrap/>
            <w:hideMark/>
          </w:tcPr>
          <w:p w14:paraId="0EDC4F8B" w14:textId="77777777" w:rsidR="00CA7676" w:rsidRPr="00E14EE6" w:rsidRDefault="00CA7676" w:rsidP="00E14EE6">
            <w:pPr>
              <w:jc w:val="right"/>
              <w:rPr>
                <w:rFonts w:eastAsia="Times New Roman" w:cs="Times New Roman"/>
                <w:color w:val="000000"/>
                <w:sz w:val="14"/>
                <w:szCs w:val="14"/>
              </w:rPr>
            </w:pPr>
            <w:r w:rsidRPr="00E14EE6">
              <w:rPr>
                <w:sz w:val="14"/>
              </w:rPr>
              <w:t>0.0</w:t>
            </w:r>
          </w:p>
        </w:tc>
        <w:tc>
          <w:tcPr>
            <w:tcW w:w="390" w:type="pct"/>
            <w:noWrap/>
            <w:hideMark/>
          </w:tcPr>
          <w:p w14:paraId="34E436B4" w14:textId="77777777" w:rsidR="00CA7676" w:rsidRPr="00E14EE6" w:rsidRDefault="00CA7676" w:rsidP="00E14EE6">
            <w:pPr>
              <w:jc w:val="right"/>
              <w:rPr>
                <w:rFonts w:eastAsia="Times New Roman" w:cs="Times New Roman"/>
                <w:sz w:val="14"/>
                <w:szCs w:val="14"/>
              </w:rPr>
            </w:pPr>
            <w:r w:rsidRPr="00E14EE6">
              <w:rPr>
                <w:sz w:val="14"/>
              </w:rPr>
              <w:t>0.0</w:t>
            </w:r>
          </w:p>
        </w:tc>
      </w:tr>
      <w:tr w:rsidR="00CA7676" w:rsidRPr="00E14EE6" w14:paraId="63D2EF05" w14:textId="77777777" w:rsidTr="00FD6B66">
        <w:trPr>
          <w:cantSplit/>
          <w:trHeight w:val="20"/>
        </w:trPr>
        <w:tc>
          <w:tcPr>
            <w:tcW w:w="1492" w:type="pct"/>
            <w:noWrap/>
            <w:hideMark/>
          </w:tcPr>
          <w:p w14:paraId="2BAA1B9D" w14:textId="3A95D20C" w:rsidR="00CA7676" w:rsidRPr="00E14EE6" w:rsidRDefault="00CA7676" w:rsidP="00E14EE6">
            <w:pPr>
              <w:ind w:firstLineChars="100" w:firstLine="141"/>
              <w:jc w:val="left"/>
              <w:rPr>
                <w:rFonts w:eastAsia="Times New Roman" w:cs="Times New Roman"/>
                <w:b/>
                <w:bCs/>
                <w:sz w:val="14"/>
                <w:szCs w:val="14"/>
              </w:rPr>
            </w:pPr>
            <w:r w:rsidRPr="00E14EE6">
              <w:rPr>
                <w:b/>
                <w:sz w:val="14"/>
              </w:rPr>
              <w:t>External receivables</w:t>
            </w:r>
          </w:p>
        </w:tc>
        <w:tc>
          <w:tcPr>
            <w:tcW w:w="389" w:type="pct"/>
            <w:noWrap/>
            <w:hideMark/>
          </w:tcPr>
          <w:p w14:paraId="37F20EE8" w14:textId="77777777" w:rsidR="00CA7676" w:rsidRPr="00E14EE6" w:rsidRDefault="00CA7676" w:rsidP="00E14EE6">
            <w:pPr>
              <w:jc w:val="right"/>
              <w:rPr>
                <w:rFonts w:eastAsia="Times New Roman" w:cs="Times New Roman"/>
                <w:b/>
                <w:bCs/>
                <w:color w:val="000000"/>
                <w:sz w:val="14"/>
                <w:szCs w:val="14"/>
              </w:rPr>
            </w:pPr>
            <w:r w:rsidRPr="00E14EE6">
              <w:rPr>
                <w:b/>
                <w:sz w:val="14"/>
              </w:rPr>
              <w:t>0.0</w:t>
            </w:r>
          </w:p>
        </w:tc>
        <w:tc>
          <w:tcPr>
            <w:tcW w:w="390" w:type="pct"/>
            <w:noWrap/>
            <w:hideMark/>
          </w:tcPr>
          <w:p w14:paraId="5C32AEF3" w14:textId="77777777" w:rsidR="00CA7676" w:rsidRPr="00E14EE6" w:rsidRDefault="00CA7676" w:rsidP="00E14EE6">
            <w:pPr>
              <w:jc w:val="right"/>
              <w:rPr>
                <w:rFonts w:eastAsia="Times New Roman" w:cs="Times New Roman"/>
                <w:b/>
                <w:bCs/>
                <w:color w:val="000000"/>
                <w:sz w:val="14"/>
                <w:szCs w:val="14"/>
              </w:rPr>
            </w:pPr>
            <w:r w:rsidRPr="00E14EE6">
              <w:rPr>
                <w:b/>
                <w:sz w:val="14"/>
              </w:rPr>
              <w:t>0.0</w:t>
            </w:r>
          </w:p>
        </w:tc>
        <w:tc>
          <w:tcPr>
            <w:tcW w:w="390" w:type="pct"/>
            <w:noWrap/>
            <w:hideMark/>
          </w:tcPr>
          <w:p w14:paraId="1F6E83DC" w14:textId="77777777" w:rsidR="00CA7676" w:rsidRPr="00E14EE6" w:rsidRDefault="00CA7676" w:rsidP="00E14EE6">
            <w:pPr>
              <w:jc w:val="right"/>
              <w:rPr>
                <w:rFonts w:eastAsia="Times New Roman" w:cs="Times New Roman"/>
                <w:b/>
                <w:bCs/>
                <w:color w:val="000000"/>
                <w:sz w:val="14"/>
                <w:szCs w:val="14"/>
              </w:rPr>
            </w:pPr>
            <w:r w:rsidRPr="00E14EE6">
              <w:rPr>
                <w:b/>
                <w:sz w:val="14"/>
              </w:rPr>
              <w:t>0.0</w:t>
            </w:r>
          </w:p>
        </w:tc>
        <w:tc>
          <w:tcPr>
            <w:tcW w:w="390" w:type="pct"/>
            <w:noWrap/>
            <w:hideMark/>
          </w:tcPr>
          <w:p w14:paraId="6DC551C1" w14:textId="77777777" w:rsidR="00CA7676" w:rsidRPr="00E14EE6" w:rsidRDefault="00CA7676" w:rsidP="00E14EE6">
            <w:pPr>
              <w:jc w:val="right"/>
              <w:rPr>
                <w:rFonts w:eastAsia="Times New Roman" w:cs="Times New Roman"/>
                <w:b/>
                <w:bCs/>
                <w:color w:val="000000"/>
                <w:sz w:val="14"/>
                <w:szCs w:val="14"/>
              </w:rPr>
            </w:pPr>
            <w:r w:rsidRPr="00E14EE6">
              <w:rPr>
                <w:b/>
                <w:sz w:val="14"/>
              </w:rPr>
              <w:t>0.1</w:t>
            </w:r>
          </w:p>
        </w:tc>
        <w:tc>
          <w:tcPr>
            <w:tcW w:w="390" w:type="pct"/>
            <w:noWrap/>
            <w:hideMark/>
          </w:tcPr>
          <w:p w14:paraId="45DE5A37" w14:textId="77777777" w:rsidR="00CA7676" w:rsidRPr="00E14EE6" w:rsidRDefault="00CA7676" w:rsidP="00E14EE6">
            <w:pPr>
              <w:jc w:val="right"/>
              <w:rPr>
                <w:rFonts w:eastAsia="Times New Roman" w:cs="Times New Roman"/>
                <w:b/>
                <w:bCs/>
                <w:color w:val="000000"/>
                <w:sz w:val="14"/>
                <w:szCs w:val="14"/>
              </w:rPr>
            </w:pPr>
            <w:r w:rsidRPr="00E14EE6">
              <w:rPr>
                <w:b/>
                <w:sz w:val="14"/>
              </w:rPr>
              <w:t>0.0</w:t>
            </w:r>
          </w:p>
        </w:tc>
        <w:tc>
          <w:tcPr>
            <w:tcW w:w="390" w:type="pct"/>
            <w:noWrap/>
            <w:hideMark/>
          </w:tcPr>
          <w:p w14:paraId="7E37C89E" w14:textId="77777777" w:rsidR="00CA7676" w:rsidRPr="00E14EE6" w:rsidRDefault="00CA7676" w:rsidP="00E14EE6">
            <w:pPr>
              <w:jc w:val="right"/>
              <w:rPr>
                <w:rFonts w:eastAsia="Times New Roman" w:cs="Times New Roman"/>
                <w:b/>
                <w:bCs/>
                <w:color w:val="000000"/>
                <w:sz w:val="14"/>
                <w:szCs w:val="14"/>
              </w:rPr>
            </w:pPr>
            <w:r w:rsidRPr="00E14EE6">
              <w:rPr>
                <w:b/>
                <w:sz w:val="14"/>
              </w:rPr>
              <w:t>0.0</w:t>
            </w:r>
          </w:p>
        </w:tc>
        <w:tc>
          <w:tcPr>
            <w:tcW w:w="390" w:type="pct"/>
            <w:noWrap/>
            <w:hideMark/>
          </w:tcPr>
          <w:p w14:paraId="3D185108" w14:textId="77777777" w:rsidR="00CA7676" w:rsidRPr="00E14EE6" w:rsidRDefault="00CA7676" w:rsidP="00E14EE6">
            <w:pPr>
              <w:jc w:val="right"/>
              <w:rPr>
                <w:rFonts w:eastAsia="Times New Roman" w:cs="Times New Roman"/>
                <w:b/>
                <w:bCs/>
                <w:color w:val="000000"/>
                <w:sz w:val="14"/>
                <w:szCs w:val="14"/>
              </w:rPr>
            </w:pPr>
            <w:r w:rsidRPr="00E14EE6">
              <w:rPr>
                <w:b/>
                <w:sz w:val="14"/>
              </w:rPr>
              <w:t>0.0</w:t>
            </w:r>
          </w:p>
        </w:tc>
        <w:tc>
          <w:tcPr>
            <w:tcW w:w="390" w:type="pct"/>
            <w:noWrap/>
            <w:hideMark/>
          </w:tcPr>
          <w:p w14:paraId="68E96EA7" w14:textId="77777777" w:rsidR="00CA7676" w:rsidRPr="00E14EE6" w:rsidRDefault="00CA7676" w:rsidP="00E14EE6">
            <w:pPr>
              <w:jc w:val="right"/>
              <w:rPr>
                <w:rFonts w:eastAsia="Times New Roman" w:cs="Times New Roman"/>
                <w:b/>
                <w:bCs/>
                <w:color w:val="000000"/>
                <w:sz w:val="14"/>
                <w:szCs w:val="14"/>
              </w:rPr>
            </w:pPr>
            <w:r w:rsidRPr="00E14EE6">
              <w:rPr>
                <w:b/>
                <w:sz w:val="14"/>
              </w:rPr>
              <w:t>0.0</w:t>
            </w:r>
          </w:p>
        </w:tc>
        <w:tc>
          <w:tcPr>
            <w:tcW w:w="390" w:type="pct"/>
            <w:noWrap/>
            <w:hideMark/>
          </w:tcPr>
          <w:p w14:paraId="5E46F932" w14:textId="77777777" w:rsidR="00CA7676" w:rsidRPr="00E14EE6" w:rsidRDefault="00CA7676" w:rsidP="00E14EE6">
            <w:pPr>
              <w:jc w:val="right"/>
              <w:rPr>
                <w:rFonts w:eastAsia="Times New Roman" w:cs="Times New Roman"/>
                <w:b/>
                <w:bCs/>
                <w:sz w:val="14"/>
                <w:szCs w:val="14"/>
              </w:rPr>
            </w:pPr>
            <w:r w:rsidRPr="00E14EE6">
              <w:rPr>
                <w:b/>
                <w:sz w:val="14"/>
              </w:rPr>
              <w:t>0.0</w:t>
            </w:r>
          </w:p>
        </w:tc>
      </w:tr>
      <w:tr w:rsidR="00CA7676" w:rsidRPr="00E14EE6" w14:paraId="06FB2D9D" w14:textId="77777777" w:rsidTr="00FD6B66">
        <w:trPr>
          <w:cnfStyle w:val="000000010000" w:firstRow="0" w:lastRow="0" w:firstColumn="0" w:lastColumn="0" w:oddVBand="0" w:evenVBand="0" w:oddHBand="0" w:evenHBand="1" w:firstRowFirstColumn="0" w:firstRowLastColumn="0" w:lastRowFirstColumn="0" w:lastRowLastColumn="0"/>
          <w:cantSplit/>
          <w:trHeight w:val="20"/>
        </w:trPr>
        <w:tc>
          <w:tcPr>
            <w:tcW w:w="1492" w:type="pct"/>
            <w:noWrap/>
            <w:hideMark/>
          </w:tcPr>
          <w:p w14:paraId="2E287653" w14:textId="20A7F419" w:rsidR="00CA7676" w:rsidRPr="00E14EE6" w:rsidRDefault="00CA7676" w:rsidP="00E14EE6">
            <w:pPr>
              <w:ind w:firstLineChars="200" w:firstLine="280"/>
              <w:jc w:val="left"/>
              <w:rPr>
                <w:rFonts w:eastAsia="Times New Roman" w:cs="Times New Roman"/>
                <w:sz w:val="14"/>
                <w:szCs w:val="14"/>
              </w:rPr>
            </w:pPr>
            <w:r w:rsidRPr="00E14EE6">
              <w:rPr>
                <w:sz w:val="14"/>
              </w:rPr>
              <w:t>Equity and investment fund shares</w:t>
            </w:r>
          </w:p>
        </w:tc>
        <w:tc>
          <w:tcPr>
            <w:tcW w:w="389" w:type="pct"/>
            <w:noWrap/>
            <w:hideMark/>
          </w:tcPr>
          <w:p w14:paraId="61500A05" w14:textId="77777777" w:rsidR="00CA7676" w:rsidRPr="00E14EE6" w:rsidRDefault="00CA7676" w:rsidP="00E14EE6">
            <w:pPr>
              <w:jc w:val="right"/>
              <w:rPr>
                <w:rFonts w:eastAsia="Times New Roman" w:cs="Times New Roman"/>
                <w:color w:val="000000"/>
                <w:sz w:val="14"/>
                <w:szCs w:val="14"/>
              </w:rPr>
            </w:pPr>
            <w:r w:rsidRPr="00E14EE6">
              <w:rPr>
                <w:sz w:val="14"/>
              </w:rPr>
              <w:t>0.0</w:t>
            </w:r>
          </w:p>
        </w:tc>
        <w:tc>
          <w:tcPr>
            <w:tcW w:w="390" w:type="pct"/>
            <w:noWrap/>
            <w:hideMark/>
          </w:tcPr>
          <w:p w14:paraId="569D40AD" w14:textId="77777777" w:rsidR="00CA7676" w:rsidRPr="00E14EE6" w:rsidRDefault="00CA7676" w:rsidP="00E14EE6">
            <w:pPr>
              <w:jc w:val="right"/>
              <w:rPr>
                <w:rFonts w:eastAsia="Times New Roman" w:cs="Times New Roman"/>
                <w:color w:val="000000"/>
                <w:sz w:val="14"/>
                <w:szCs w:val="14"/>
              </w:rPr>
            </w:pPr>
            <w:r w:rsidRPr="00E14EE6">
              <w:rPr>
                <w:sz w:val="14"/>
              </w:rPr>
              <w:t>0.0</w:t>
            </w:r>
          </w:p>
        </w:tc>
        <w:tc>
          <w:tcPr>
            <w:tcW w:w="390" w:type="pct"/>
            <w:noWrap/>
            <w:hideMark/>
          </w:tcPr>
          <w:p w14:paraId="69C70509" w14:textId="77777777" w:rsidR="00CA7676" w:rsidRPr="00E14EE6" w:rsidRDefault="00CA7676" w:rsidP="00E14EE6">
            <w:pPr>
              <w:jc w:val="right"/>
              <w:rPr>
                <w:rFonts w:eastAsia="Times New Roman" w:cs="Times New Roman"/>
                <w:color w:val="000000"/>
                <w:sz w:val="14"/>
                <w:szCs w:val="14"/>
              </w:rPr>
            </w:pPr>
            <w:r w:rsidRPr="00E14EE6">
              <w:rPr>
                <w:sz w:val="14"/>
              </w:rPr>
              <w:t>0.0</w:t>
            </w:r>
          </w:p>
        </w:tc>
        <w:tc>
          <w:tcPr>
            <w:tcW w:w="390" w:type="pct"/>
            <w:noWrap/>
            <w:hideMark/>
          </w:tcPr>
          <w:p w14:paraId="13192275" w14:textId="77777777" w:rsidR="00CA7676" w:rsidRPr="00E14EE6" w:rsidRDefault="00CA7676" w:rsidP="00E14EE6">
            <w:pPr>
              <w:jc w:val="right"/>
              <w:rPr>
                <w:rFonts w:eastAsia="Times New Roman" w:cs="Times New Roman"/>
                <w:color w:val="000000"/>
                <w:sz w:val="14"/>
                <w:szCs w:val="14"/>
              </w:rPr>
            </w:pPr>
            <w:r w:rsidRPr="00E14EE6">
              <w:rPr>
                <w:sz w:val="14"/>
              </w:rPr>
              <w:t>0.1</w:t>
            </w:r>
          </w:p>
        </w:tc>
        <w:tc>
          <w:tcPr>
            <w:tcW w:w="390" w:type="pct"/>
            <w:noWrap/>
            <w:hideMark/>
          </w:tcPr>
          <w:p w14:paraId="464BA377" w14:textId="77777777" w:rsidR="00CA7676" w:rsidRPr="00E14EE6" w:rsidRDefault="00CA7676" w:rsidP="00E14EE6">
            <w:pPr>
              <w:jc w:val="right"/>
              <w:rPr>
                <w:rFonts w:eastAsia="Times New Roman" w:cs="Times New Roman"/>
                <w:color w:val="000000"/>
                <w:sz w:val="14"/>
                <w:szCs w:val="14"/>
              </w:rPr>
            </w:pPr>
            <w:r w:rsidRPr="00E14EE6">
              <w:rPr>
                <w:sz w:val="14"/>
              </w:rPr>
              <w:t>0.0</w:t>
            </w:r>
          </w:p>
        </w:tc>
        <w:tc>
          <w:tcPr>
            <w:tcW w:w="390" w:type="pct"/>
            <w:noWrap/>
            <w:hideMark/>
          </w:tcPr>
          <w:p w14:paraId="5ECAF893" w14:textId="77777777" w:rsidR="00CA7676" w:rsidRPr="00E14EE6" w:rsidRDefault="00CA7676" w:rsidP="00E14EE6">
            <w:pPr>
              <w:jc w:val="right"/>
              <w:rPr>
                <w:rFonts w:eastAsia="Times New Roman" w:cs="Times New Roman"/>
                <w:color w:val="000000"/>
                <w:sz w:val="14"/>
                <w:szCs w:val="14"/>
              </w:rPr>
            </w:pPr>
            <w:r w:rsidRPr="00E14EE6">
              <w:rPr>
                <w:sz w:val="14"/>
              </w:rPr>
              <w:t>0.0</w:t>
            </w:r>
          </w:p>
        </w:tc>
        <w:tc>
          <w:tcPr>
            <w:tcW w:w="390" w:type="pct"/>
            <w:noWrap/>
            <w:hideMark/>
          </w:tcPr>
          <w:p w14:paraId="2BAF1245" w14:textId="77777777" w:rsidR="00CA7676" w:rsidRPr="00E14EE6" w:rsidRDefault="00CA7676" w:rsidP="00E14EE6">
            <w:pPr>
              <w:jc w:val="right"/>
              <w:rPr>
                <w:rFonts w:eastAsia="Times New Roman" w:cs="Times New Roman"/>
                <w:color w:val="000000"/>
                <w:sz w:val="14"/>
                <w:szCs w:val="14"/>
              </w:rPr>
            </w:pPr>
            <w:r w:rsidRPr="00E14EE6">
              <w:rPr>
                <w:sz w:val="14"/>
              </w:rPr>
              <w:t>0.0</w:t>
            </w:r>
          </w:p>
        </w:tc>
        <w:tc>
          <w:tcPr>
            <w:tcW w:w="390" w:type="pct"/>
            <w:noWrap/>
            <w:hideMark/>
          </w:tcPr>
          <w:p w14:paraId="765CA5FF" w14:textId="77777777" w:rsidR="00CA7676" w:rsidRPr="00E14EE6" w:rsidRDefault="00CA7676" w:rsidP="00E14EE6">
            <w:pPr>
              <w:jc w:val="right"/>
              <w:rPr>
                <w:rFonts w:eastAsia="Times New Roman" w:cs="Times New Roman"/>
                <w:color w:val="000000"/>
                <w:sz w:val="14"/>
                <w:szCs w:val="14"/>
              </w:rPr>
            </w:pPr>
            <w:r w:rsidRPr="00E14EE6">
              <w:rPr>
                <w:sz w:val="14"/>
              </w:rPr>
              <w:t>0.0</w:t>
            </w:r>
          </w:p>
        </w:tc>
        <w:tc>
          <w:tcPr>
            <w:tcW w:w="390" w:type="pct"/>
            <w:noWrap/>
            <w:hideMark/>
          </w:tcPr>
          <w:p w14:paraId="5B592C09" w14:textId="77777777" w:rsidR="00CA7676" w:rsidRPr="00E14EE6" w:rsidRDefault="00CA7676" w:rsidP="00E14EE6">
            <w:pPr>
              <w:jc w:val="right"/>
              <w:rPr>
                <w:rFonts w:eastAsia="Times New Roman" w:cs="Times New Roman"/>
                <w:sz w:val="14"/>
                <w:szCs w:val="14"/>
              </w:rPr>
            </w:pPr>
            <w:r w:rsidRPr="00E14EE6">
              <w:rPr>
                <w:sz w:val="14"/>
              </w:rPr>
              <w:t>0.0</w:t>
            </w:r>
          </w:p>
        </w:tc>
      </w:tr>
      <w:tr w:rsidR="00CA7676" w:rsidRPr="00E14EE6" w14:paraId="7C41C4C1" w14:textId="77777777" w:rsidTr="00FD6B66">
        <w:trPr>
          <w:cantSplit/>
          <w:trHeight w:val="20"/>
        </w:trPr>
        <w:tc>
          <w:tcPr>
            <w:tcW w:w="1492" w:type="pct"/>
            <w:noWrap/>
            <w:hideMark/>
          </w:tcPr>
          <w:p w14:paraId="6D11996E" w14:textId="664C1F79" w:rsidR="00CA7676" w:rsidRPr="00E14EE6" w:rsidRDefault="00CA7676" w:rsidP="00E14EE6">
            <w:pPr>
              <w:jc w:val="left"/>
              <w:rPr>
                <w:rFonts w:eastAsia="Times New Roman" w:cs="Times New Roman"/>
                <w:b/>
                <w:bCs/>
                <w:sz w:val="14"/>
                <w:szCs w:val="14"/>
              </w:rPr>
            </w:pPr>
            <w:r w:rsidRPr="00E14EE6">
              <w:rPr>
                <w:b/>
                <w:sz w:val="14"/>
              </w:rPr>
              <w:t>Net incurrence of liabilities</w:t>
            </w:r>
          </w:p>
        </w:tc>
        <w:tc>
          <w:tcPr>
            <w:tcW w:w="389" w:type="pct"/>
            <w:noWrap/>
            <w:hideMark/>
          </w:tcPr>
          <w:p w14:paraId="5737F00B" w14:textId="77777777" w:rsidR="00CA7676" w:rsidRPr="00E14EE6" w:rsidRDefault="00CA7676" w:rsidP="00E14EE6">
            <w:pPr>
              <w:jc w:val="right"/>
              <w:rPr>
                <w:rFonts w:eastAsia="Times New Roman" w:cs="Times New Roman"/>
                <w:b/>
                <w:bCs/>
                <w:color w:val="000000"/>
                <w:sz w:val="14"/>
                <w:szCs w:val="14"/>
              </w:rPr>
            </w:pPr>
            <w:r w:rsidRPr="00E14EE6">
              <w:rPr>
                <w:b/>
                <w:sz w:val="14"/>
              </w:rPr>
              <w:t>2.0</w:t>
            </w:r>
          </w:p>
        </w:tc>
        <w:tc>
          <w:tcPr>
            <w:tcW w:w="390" w:type="pct"/>
            <w:noWrap/>
            <w:hideMark/>
          </w:tcPr>
          <w:p w14:paraId="1800C32B" w14:textId="77777777" w:rsidR="00CA7676" w:rsidRPr="00E14EE6" w:rsidRDefault="00CA7676" w:rsidP="00E14EE6">
            <w:pPr>
              <w:jc w:val="right"/>
              <w:rPr>
                <w:rFonts w:eastAsia="Times New Roman" w:cs="Times New Roman"/>
                <w:b/>
                <w:bCs/>
                <w:color w:val="000000"/>
                <w:sz w:val="14"/>
                <w:szCs w:val="14"/>
              </w:rPr>
            </w:pPr>
            <w:r w:rsidRPr="00E14EE6">
              <w:rPr>
                <w:b/>
                <w:sz w:val="14"/>
              </w:rPr>
              <w:t>0.0</w:t>
            </w:r>
          </w:p>
        </w:tc>
        <w:tc>
          <w:tcPr>
            <w:tcW w:w="390" w:type="pct"/>
            <w:noWrap/>
            <w:hideMark/>
          </w:tcPr>
          <w:p w14:paraId="704C150C" w14:textId="77777777" w:rsidR="00CA7676" w:rsidRPr="00E14EE6" w:rsidRDefault="00CA7676" w:rsidP="00E14EE6">
            <w:pPr>
              <w:jc w:val="right"/>
              <w:rPr>
                <w:rFonts w:eastAsia="Times New Roman" w:cs="Times New Roman"/>
                <w:b/>
                <w:bCs/>
                <w:color w:val="000000"/>
                <w:sz w:val="14"/>
                <w:szCs w:val="14"/>
              </w:rPr>
            </w:pPr>
            <w:r w:rsidRPr="00E14EE6">
              <w:rPr>
                <w:b/>
                <w:sz w:val="14"/>
              </w:rPr>
              <w:t>3.4</w:t>
            </w:r>
          </w:p>
        </w:tc>
        <w:tc>
          <w:tcPr>
            <w:tcW w:w="390" w:type="pct"/>
            <w:noWrap/>
            <w:hideMark/>
          </w:tcPr>
          <w:p w14:paraId="31D051B1" w14:textId="77777777" w:rsidR="00CA7676" w:rsidRPr="00E14EE6" w:rsidRDefault="00CA7676" w:rsidP="00E14EE6">
            <w:pPr>
              <w:jc w:val="right"/>
              <w:rPr>
                <w:rFonts w:eastAsia="Times New Roman" w:cs="Times New Roman"/>
                <w:b/>
                <w:bCs/>
                <w:color w:val="000000"/>
                <w:sz w:val="14"/>
                <w:szCs w:val="14"/>
              </w:rPr>
            </w:pPr>
            <w:r w:rsidRPr="00E14EE6">
              <w:rPr>
                <w:b/>
                <w:sz w:val="14"/>
              </w:rPr>
              <w:t>3.4</w:t>
            </w:r>
          </w:p>
        </w:tc>
        <w:tc>
          <w:tcPr>
            <w:tcW w:w="390" w:type="pct"/>
            <w:noWrap/>
            <w:hideMark/>
          </w:tcPr>
          <w:p w14:paraId="1FDAAF2C" w14:textId="77777777" w:rsidR="00CA7676" w:rsidRPr="00E14EE6" w:rsidRDefault="00CA7676" w:rsidP="00E14EE6">
            <w:pPr>
              <w:jc w:val="right"/>
              <w:rPr>
                <w:rFonts w:eastAsia="Times New Roman" w:cs="Times New Roman"/>
                <w:b/>
                <w:bCs/>
                <w:color w:val="000000"/>
                <w:sz w:val="14"/>
                <w:szCs w:val="14"/>
              </w:rPr>
            </w:pPr>
            <w:r w:rsidRPr="00E14EE6">
              <w:rPr>
                <w:b/>
                <w:sz w:val="14"/>
              </w:rPr>
              <w:t>3.0</w:t>
            </w:r>
          </w:p>
        </w:tc>
        <w:tc>
          <w:tcPr>
            <w:tcW w:w="390" w:type="pct"/>
            <w:noWrap/>
            <w:hideMark/>
          </w:tcPr>
          <w:p w14:paraId="237EE37B" w14:textId="77777777" w:rsidR="00CA7676" w:rsidRPr="00E14EE6" w:rsidRDefault="00CA7676" w:rsidP="00E14EE6">
            <w:pPr>
              <w:jc w:val="right"/>
              <w:rPr>
                <w:rFonts w:eastAsia="Times New Roman" w:cs="Times New Roman"/>
                <w:b/>
                <w:bCs/>
                <w:color w:val="000000"/>
                <w:sz w:val="14"/>
                <w:szCs w:val="14"/>
              </w:rPr>
            </w:pPr>
            <w:r w:rsidRPr="00E14EE6">
              <w:rPr>
                <w:b/>
                <w:sz w:val="14"/>
              </w:rPr>
              <w:t>3.8</w:t>
            </w:r>
          </w:p>
        </w:tc>
        <w:tc>
          <w:tcPr>
            <w:tcW w:w="390" w:type="pct"/>
            <w:noWrap/>
            <w:hideMark/>
          </w:tcPr>
          <w:p w14:paraId="55E9BDE0" w14:textId="77777777" w:rsidR="00CA7676" w:rsidRPr="00E14EE6" w:rsidRDefault="00CA7676" w:rsidP="00E14EE6">
            <w:pPr>
              <w:jc w:val="right"/>
              <w:rPr>
                <w:rFonts w:eastAsia="Times New Roman" w:cs="Times New Roman"/>
                <w:b/>
                <w:bCs/>
                <w:color w:val="000000"/>
                <w:sz w:val="14"/>
                <w:szCs w:val="14"/>
              </w:rPr>
            </w:pPr>
            <w:r w:rsidRPr="00E14EE6">
              <w:rPr>
                <w:b/>
                <w:sz w:val="14"/>
              </w:rPr>
              <w:t>11.1</w:t>
            </w:r>
          </w:p>
        </w:tc>
        <w:tc>
          <w:tcPr>
            <w:tcW w:w="390" w:type="pct"/>
            <w:noWrap/>
            <w:hideMark/>
          </w:tcPr>
          <w:p w14:paraId="03260C33" w14:textId="77777777" w:rsidR="00CA7676" w:rsidRPr="00E14EE6" w:rsidRDefault="00CA7676" w:rsidP="00E14EE6">
            <w:pPr>
              <w:jc w:val="right"/>
              <w:rPr>
                <w:rFonts w:eastAsia="Times New Roman" w:cs="Times New Roman"/>
                <w:b/>
                <w:bCs/>
                <w:color w:val="000000"/>
                <w:sz w:val="14"/>
                <w:szCs w:val="14"/>
              </w:rPr>
            </w:pPr>
            <w:r w:rsidRPr="00E14EE6">
              <w:rPr>
                <w:b/>
                <w:sz w:val="14"/>
              </w:rPr>
              <w:t>3.5</w:t>
            </w:r>
          </w:p>
        </w:tc>
        <w:tc>
          <w:tcPr>
            <w:tcW w:w="390" w:type="pct"/>
            <w:noWrap/>
            <w:hideMark/>
          </w:tcPr>
          <w:p w14:paraId="65AEC17D" w14:textId="77777777" w:rsidR="00CA7676" w:rsidRPr="00E14EE6" w:rsidRDefault="00CA7676" w:rsidP="00E14EE6">
            <w:pPr>
              <w:jc w:val="right"/>
              <w:rPr>
                <w:rFonts w:eastAsia="Times New Roman" w:cs="Times New Roman"/>
                <w:b/>
                <w:bCs/>
                <w:sz w:val="14"/>
                <w:szCs w:val="14"/>
              </w:rPr>
            </w:pPr>
            <w:r w:rsidRPr="00E14EE6">
              <w:rPr>
                <w:b/>
                <w:sz w:val="14"/>
              </w:rPr>
              <w:t>5.8</w:t>
            </w:r>
          </w:p>
        </w:tc>
      </w:tr>
      <w:tr w:rsidR="00CA7676" w:rsidRPr="00E14EE6" w14:paraId="59576AE1" w14:textId="77777777" w:rsidTr="00FD6B66">
        <w:trPr>
          <w:cnfStyle w:val="000000010000" w:firstRow="0" w:lastRow="0" w:firstColumn="0" w:lastColumn="0" w:oddVBand="0" w:evenVBand="0" w:oddHBand="0" w:evenHBand="1" w:firstRowFirstColumn="0" w:firstRowLastColumn="0" w:lastRowFirstColumn="0" w:lastRowLastColumn="0"/>
          <w:cantSplit/>
          <w:trHeight w:val="20"/>
        </w:trPr>
        <w:tc>
          <w:tcPr>
            <w:tcW w:w="1492" w:type="pct"/>
            <w:noWrap/>
            <w:hideMark/>
          </w:tcPr>
          <w:p w14:paraId="022629FC" w14:textId="11604E3C" w:rsidR="00CA7676" w:rsidRPr="00E14EE6" w:rsidRDefault="00CA7676" w:rsidP="00E14EE6">
            <w:pPr>
              <w:ind w:firstLineChars="100" w:firstLine="141"/>
              <w:jc w:val="left"/>
              <w:rPr>
                <w:rFonts w:eastAsia="Times New Roman" w:cs="Times New Roman"/>
                <w:b/>
                <w:bCs/>
                <w:sz w:val="14"/>
                <w:szCs w:val="14"/>
              </w:rPr>
            </w:pPr>
            <w:r w:rsidRPr="00E14EE6">
              <w:rPr>
                <w:b/>
                <w:sz w:val="14"/>
              </w:rPr>
              <w:t>Domestic creditors</w:t>
            </w:r>
          </w:p>
        </w:tc>
        <w:tc>
          <w:tcPr>
            <w:tcW w:w="389" w:type="pct"/>
            <w:noWrap/>
            <w:hideMark/>
          </w:tcPr>
          <w:p w14:paraId="0D25646B" w14:textId="77777777" w:rsidR="00CA7676" w:rsidRPr="00E14EE6" w:rsidRDefault="00CA7676" w:rsidP="00E14EE6">
            <w:pPr>
              <w:jc w:val="right"/>
              <w:rPr>
                <w:rFonts w:eastAsia="Times New Roman" w:cs="Times New Roman"/>
                <w:b/>
                <w:bCs/>
                <w:color w:val="000000"/>
                <w:sz w:val="14"/>
                <w:szCs w:val="14"/>
              </w:rPr>
            </w:pPr>
            <w:r w:rsidRPr="00E14EE6">
              <w:rPr>
                <w:b/>
                <w:sz w:val="14"/>
              </w:rPr>
              <w:t>0.3</w:t>
            </w:r>
          </w:p>
        </w:tc>
        <w:tc>
          <w:tcPr>
            <w:tcW w:w="390" w:type="pct"/>
            <w:noWrap/>
            <w:hideMark/>
          </w:tcPr>
          <w:p w14:paraId="6E8A155E" w14:textId="77777777" w:rsidR="00CA7676" w:rsidRPr="00E14EE6" w:rsidRDefault="00CA7676" w:rsidP="00E14EE6">
            <w:pPr>
              <w:jc w:val="right"/>
              <w:rPr>
                <w:rFonts w:eastAsia="Times New Roman" w:cs="Times New Roman"/>
                <w:b/>
                <w:bCs/>
                <w:color w:val="000000"/>
                <w:sz w:val="14"/>
                <w:szCs w:val="14"/>
              </w:rPr>
            </w:pPr>
            <w:r w:rsidRPr="00E14EE6">
              <w:rPr>
                <w:b/>
                <w:sz w:val="14"/>
              </w:rPr>
              <w:t>0.1</w:t>
            </w:r>
          </w:p>
        </w:tc>
        <w:tc>
          <w:tcPr>
            <w:tcW w:w="390" w:type="pct"/>
            <w:noWrap/>
            <w:hideMark/>
          </w:tcPr>
          <w:p w14:paraId="4262A655" w14:textId="77777777" w:rsidR="00CA7676" w:rsidRPr="00E14EE6" w:rsidRDefault="00CA7676" w:rsidP="00E14EE6">
            <w:pPr>
              <w:jc w:val="right"/>
              <w:rPr>
                <w:rFonts w:eastAsia="Times New Roman" w:cs="Times New Roman"/>
                <w:b/>
                <w:bCs/>
                <w:color w:val="000000"/>
                <w:sz w:val="14"/>
                <w:szCs w:val="14"/>
              </w:rPr>
            </w:pPr>
            <w:r w:rsidRPr="00E14EE6">
              <w:rPr>
                <w:b/>
                <w:sz w:val="14"/>
              </w:rPr>
              <w:t>1.6</w:t>
            </w:r>
          </w:p>
        </w:tc>
        <w:tc>
          <w:tcPr>
            <w:tcW w:w="390" w:type="pct"/>
            <w:noWrap/>
            <w:hideMark/>
          </w:tcPr>
          <w:p w14:paraId="5D93EADC" w14:textId="77777777" w:rsidR="00CA7676" w:rsidRPr="00E14EE6" w:rsidRDefault="00CA7676" w:rsidP="00E14EE6">
            <w:pPr>
              <w:jc w:val="right"/>
              <w:rPr>
                <w:rFonts w:eastAsia="Times New Roman" w:cs="Times New Roman"/>
                <w:b/>
                <w:bCs/>
                <w:color w:val="000000"/>
                <w:sz w:val="14"/>
                <w:szCs w:val="14"/>
              </w:rPr>
            </w:pPr>
            <w:r w:rsidRPr="00E14EE6">
              <w:rPr>
                <w:b/>
                <w:sz w:val="14"/>
              </w:rPr>
              <w:t>2.0</w:t>
            </w:r>
          </w:p>
        </w:tc>
        <w:tc>
          <w:tcPr>
            <w:tcW w:w="390" w:type="pct"/>
            <w:noWrap/>
            <w:hideMark/>
          </w:tcPr>
          <w:p w14:paraId="0EA5EDEA" w14:textId="3C67E3E5" w:rsidR="00CA7676" w:rsidRPr="00E14EE6" w:rsidRDefault="00E14EE6" w:rsidP="00E14EE6">
            <w:pPr>
              <w:jc w:val="right"/>
              <w:rPr>
                <w:rFonts w:eastAsia="Times New Roman" w:cs="Times New Roman"/>
                <w:b/>
                <w:bCs/>
                <w:color w:val="000000"/>
                <w:sz w:val="14"/>
                <w:szCs w:val="14"/>
              </w:rPr>
            </w:pPr>
            <w:r w:rsidRPr="00E14EE6">
              <w:rPr>
                <w:b/>
                <w:sz w:val="14"/>
              </w:rPr>
              <w:noBreakHyphen/>
            </w:r>
            <w:r w:rsidR="00CA7676" w:rsidRPr="00E14EE6">
              <w:rPr>
                <w:b/>
                <w:sz w:val="14"/>
              </w:rPr>
              <w:t>0.1</w:t>
            </w:r>
          </w:p>
        </w:tc>
        <w:tc>
          <w:tcPr>
            <w:tcW w:w="390" w:type="pct"/>
            <w:noWrap/>
            <w:hideMark/>
          </w:tcPr>
          <w:p w14:paraId="0EA4E461" w14:textId="77777777" w:rsidR="00CA7676" w:rsidRPr="00E14EE6" w:rsidRDefault="00CA7676" w:rsidP="00E14EE6">
            <w:pPr>
              <w:jc w:val="right"/>
              <w:rPr>
                <w:rFonts w:eastAsia="Times New Roman" w:cs="Times New Roman"/>
                <w:b/>
                <w:bCs/>
                <w:color w:val="000000"/>
                <w:sz w:val="14"/>
                <w:szCs w:val="14"/>
              </w:rPr>
            </w:pPr>
            <w:r w:rsidRPr="00E14EE6">
              <w:rPr>
                <w:b/>
                <w:sz w:val="14"/>
              </w:rPr>
              <w:t>1.7</w:t>
            </w:r>
          </w:p>
        </w:tc>
        <w:tc>
          <w:tcPr>
            <w:tcW w:w="390" w:type="pct"/>
            <w:noWrap/>
            <w:hideMark/>
          </w:tcPr>
          <w:p w14:paraId="66DA23D2" w14:textId="77777777" w:rsidR="00CA7676" w:rsidRPr="00E14EE6" w:rsidRDefault="00CA7676" w:rsidP="00E14EE6">
            <w:pPr>
              <w:jc w:val="right"/>
              <w:rPr>
                <w:rFonts w:eastAsia="Times New Roman" w:cs="Times New Roman"/>
                <w:b/>
                <w:bCs/>
                <w:color w:val="000000"/>
                <w:sz w:val="14"/>
                <w:szCs w:val="14"/>
              </w:rPr>
            </w:pPr>
            <w:r w:rsidRPr="00E14EE6">
              <w:rPr>
                <w:b/>
                <w:sz w:val="14"/>
              </w:rPr>
              <w:t>1.8</w:t>
            </w:r>
          </w:p>
        </w:tc>
        <w:tc>
          <w:tcPr>
            <w:tcW w:w="390" w:type="pct"/>
            <w:noWrap/>
            <w:hideMark/>
          </w:tcPr>
          <w:p w14:paraId="599D0D2C" w14:textId="77777777" w:rsidR="00CA7676" w:rsidRPr="00E14EE6" w:rsidRDefault="00CA7676" w:rsidP="00E14EE6">
            <w:pPr>
              <w:jc w:val="right"/>
              <w:rPr>
                <w:rFonts w:eastAsia="Times New Roman" w:cs="Times New Roman"/>
                <w:b/>
                <w:bCs/>
                <w:color w:val="000000"/>
                <w:sz w:val="14"/>
                <w:szCs w:val="14"/>
              </w:rPr>
            </w:pPr>
            <w:r w:rsidRPr="00E14EE6">
              <w:rPr>
                <w:b/>
                <w:sz w:val="14"/>
              </w:rPr>
              <w:t>0.6</w:t>
            </w:r>
          </w:p>
        </w:tc>
        <w:tc>
          <w:tcPr>
            <w:tcW w:w="390" w:type="pct"/>
            <w:noWrap/>
            <w:hideMark/>
          </w:tcPr>
          <w:p w14:paraId="790F41AC" w14:textId="7750AEDF" w:rsidR="00CA7676" w:rsidRPr="00E14EE6" w:rsidRDefault="00E14EE6" w:rsidP="00E14EE6">
            <w:pPr>
              <w:jc w:val="right"/>
              <w:rPr>
                <w:rFonts w:eastAsia="Times New Roman" w:cs="Times New Roman"/>
                <w:b/>
                <w:bCs/>
                <w:sz w:val="14"/>
                <w:szCs w:val="14"/>
              </w:rPr>
            </w:pPr>
            <w:r w:rsidRPr="00E14EE6">
              <w:rPr>
                <w:b/>
                <w:sz w:val="14"/>
              </w:rPr>
              <w:noBreakHyphen/>
            </w:r>
            <w:r w:rsidR="00CA7676" w:rsidRPr="00E14EE6">
              <w:rPr>
                <w:b/>
                <w:sz w:val="14"/>
              </w:rPr>
              <w:t>5.6</w:t>
            </w:r>
          </w:p>
        </w:tc>
      </w:tr>
      <w:tr w:rsidR="00CA7676" w:rsidRPr="00E14EE6" w14:paraId="59F12367" w14:textId="77777777" w:rsidTr="00FD6B66">
        <w:trPr>
          <w:cantSplit/>
          <w:trHeight w:val="20"/>
        </w:trPr>
        <w:tc>
          <w:tcPr>
            <w:tcW w:w="1492" w:type="pct"/>
            <w:noWrap/>
            <w:hideMark/>
          </w:tcPr>
          <w:p w14:paraId="09AC1C46" w14:textId="36A60F24" w:rsidR="00CA7676" w:rsidRPr="00E14EE6" w:rsidRDefault="00CA7676" w:rsidP="00E14EE6">
            <w:pPr>
              <w:ind w:firstLineChars="200" w:firstLine="280"/>
              <w:jc w:val="left"/>
              <w:rPr>
                <w:rFonts w:eastAsia="Times New Roman" w:cs="Times New Roman"/>
                <w:sz w:val="14"/>
                <w:szCs w:val="14"/>
              </w:rPr>
            </w:pPr>
            <w:r w:rsidRPr="00E14EE6">
              <w:rPr>
                <w:sz w:val="14"/>
              </w:rPr>
              <w:t>Debt securities</w:t>
            </w:r>
          </w:p>
        </w:tc>
        <w:tc>
          <w:tcPr>
            <w:tcW w:w="389" w:type="pct"/>
            <w:noWrap/>
            <w:hideMark/>
          </w:tcPr>
          <w:p w14:paraId="2AC55770" w14:textId="77777777" w:rsidR="00CA7676" w:rsidRPr="00E14EE6" w:rsidRDefault="00CA7676" w:rsidP="00E14EE6">
            <w:pPr>
              <w:jc w:val="right"/>
              <w:rPr>
                <w:rFonts w:eastAsia="Times New Roman" w:cs="Times New Roman"/>
                <w:color w:val="000000"/>
                <w:sz w:val="14"/>
                <w:szCs w:val="14"/>
              </w:rPr>
            </w:pPr>
            <w:r w:rsidRPr="00E14EE6">
              <w:rPr>
                <w:sz w:val="14"/>
              </w:rPr>
              <w:t>1.1</w:t>
            </w:r>
          </w:p>
        </w:tc>
        <w:tc>
          <w:tcPr>
            <w:tcW w:w="390" w:type="pct"/>
            <w:noWrap/>
            <w:hideMark/>
          </w:tcPr>
          <w:p w14:paraId="6FB82B64" w14:textId="77777777" w:rsidR="00CA7676" w:rsidRPr="00E14EE6" w:rsidRDefault="00CA7676" w:rsidP="00E14EE6">
            <w:pPr>
              <w:jc w:val="right"/>
              <w:rPr>
                <w:rFonts w:eastAsia="Times New Roman" w:cs="Times New Roman"/>
                <w:color w:val="000000"/>
                <w:sz w:val="14"/>
                <w:szCs w:val="14"/>
              </w:rPr>
            </w:pPr>
            <w:r w:rsidRPr="00E14EE6">
              <w:rPr>
                <w:sz w:val="14"/>
              </w:rPr>
              <w:t>1.2</w:t>
            </w:r>
          </w:p>
        </w:tc>
        <w:tc>
          <w:tcPr>
            <w:tcW w:w="390" w:type="pct"/>
            <w:noWrap/>
            <w:hideMark/>
          </w:tcPr>
          <w:p w14:paraId="07659504" w14:textId="77777777" w:rsidR="00CA7676" w:rsidRPr="00E14EE6" w:rsidRDefault="00CA7676" w:rsidP="00E14EE6">
            <w:pPr>
              <w:jc w:val="right"/>
              <w:rPr>
                <w:rFonts w:eastAsia="Times New Roman" w:cs="Times New Roman"/>
                <w:color w:val="000000"/>
                <w:sz w:val="14"/>
                <w:szCs w:val="14"/>
              </w:rPr>
            </w:pPr>
            <w:r w:rsidRPr="00E14EE6">
              <w:rPr>
                <w:sz w:val="14"/>
              </w:rPr>
              <w:t>2.3</w:t>
            </w:r>
          </w:p>
        </w:tc>
        <w:tc>
          <w:tcPr>
            <w:tcW w:w="390" w:type="pct"/>
            <w:noWrap/>
            <w:hideMark/>
          </w:tcPr>
          <w:p w14:paraId="5F126D54" w14:textId="77777777" w:rsidR="00CA7676" w:rsidRPr="00E14EE6" w:rsidRDefault="00CA7676" w:rsidP="00E14EE6">
            <w:pPr>
              <w:jc w:val="right"/>
              <w:rPr>
                <w:rFonts w:eastAsia="Times New Roman" w:cs="Times New Roman"/>
                <w:color w:val="000000"/>
                <w:sz w:val="14"/>
                <w:szCs w:val="14"/>
              </w:rPr>
            </w:pPr>
            <w:r w:rsidRPr="00E14EE6">
              <w:rPr>
                <w:sz w:val="14"/>
              </w:rPr>
              <w:t>2.0</w:t>
            </w:r>
          </w:p>
        </w:tc>
        <w:tc>
          <w:tcPr>
            <w:tcW w:w="390" w:type="pct"/>
            <w:noWrap/>
            <w:hideMark/>
          </w:tcPr>
          <w:p w14:paraId="60F9162A" w14:textId="77777777" w:rsidR="00CA7676" w:rsidRPr="00E14EE6" w:rsidRDefault="00CA7676" w:rsidP="00E14EE6">
            <w:pPr>
              <w:jc w:val="right"/>
              <w:rPr>
                <w:rFonts w:eastAsia="Times New Roman" w:cs="Times New Roman"/>
                <w:color w:val="000000"/>
                <w:sz w:val="14"/>
                <w:szCs w:val="14"/>
              </w:rPr>
            </w:pPr>
            <w:r w:rsidRPr="00E14EE6">
              <w:rPr>
                <w:sz w:val="14"/>
              </w:rPr>
              <w:t>0.4</w:t>
            </w:r>
          </w:p>
        </w:tc>
        <w:tc>
          <w:tcPr>
            <w:tcW w:w="390" w:type="pct"/>
            <w:noWrap/>
            <w:hideMark/>
          </w:tcPr>
          <w:p w14:paraId="4ED4439D" w14:textId="77777777" w:rsidR="00CA7676" w:rsidRPr="00E14EE6" w:rsidRDefault="00CA7676" w:rsidP="00E14EE6">
            <w:pPr>
              <w:jc w:val="right"/>
              <w:rPr>
                <w:rFonts w:eastAsia="Times New Roman" w:cs="Times New Roman"/>
                <w:color w:val="000000"/>
                <w:sz w:val="14"/>
                <w:szCs w:val="14"/>
              </w:rPr>
            </w:pPr>
            <w:r w:rsidRPr="00E14EE6">
              <w:rPr>
                <w:sz w:val="14"/>
              </w:rPr>
              <w:t>2.3</w:t>
            </w:r>
          </w:p>
        </w:tc>
        <w:tc>
          <w:tcPr>
            <w:tcW w:w="390" w:type="pct"/>
            <w:noWrap/>
            <w:hideMark/>
          </w:tcPr>
          <w:p w14:paraId="4032CFA0" w14:textId="77777777" w:rsidR="00CA7676" w:rsidRPr="00E14EE6" w:rsidRDefault="00CA7676" w:rsidP="00E14EE6">
            <w:pPr>
              <w:jc w:val="right"/>
              <w:rPr>
                <w:rFonts w:eastAsia="Times New Roman" w:cs="Times New Roman"/>
                <w:color w:val="000000"/>
                <w:sz w:val="14"/>
                <w:szCs w:val="14"/>
              </w:rPr>
            </w:pPr>
            <w:r w:rsidRPr="00E14EE6">
              <w:rPr>
                <w:sz w:val="14"/>
              </w:rPr>
              <w:t>3.7</w:t>
            </w:r>
          </w:p>
        </w:tc>
        <w:tc>
          <w:tcPr>
            <w:tcW w:w="390" w:type="pct"/>
            <w:noWrap/>
            <w:hideMark/>
          </w:tcPr>
          <w:p w14:paraId="7854150C" w14:textId="77777777" w:rsidR="00CA7676" w:rsidRPr="00E14EE6" w:rsidRDefault="00CA7676" w:rsidP="00E14EE6">
            <w:pPr>
              <w:jc w:val="right"/>
              <w:rPr>
                <w:rFonts w:eastAsia="Times New Roman" w:cs="Times New Roman"/>
                <w:color w:val="000000"/>
                <w:sz w:val="14"/>
                <w:szCs w:val="14"/>
              </w:rPr>
            </w:pPr>
            <w:r w:rsidRPr="00E14EE6">
              <w:rPr>
                <w:sz w:val="14"/>
              </w:rPr>
              <w:t>0.7</w:t>
            </w:r>
          </w:p>
        </w:tc>
        <w:tc>
          <w:tcPr>
            <w:tcW w:w="390" w:type="pct"/>
            <w:noWrap/>
            <w:hideMark/>
          </w:tcPr>
          <w:p w14:paraId="4CB86B17" w14:textId="6CE52C48" w:rsidR="00CA7676" w:rsidRPr="00E14EE6" w:rsidRDefault="00E14EE6" w:rsidP="00E14EE6">
            <w:pPr>
              <w:jc w:val="right"/>
              <w:rPr>
                <w:rFonts w:eastAsia="Times New Roman" w:cs="Times New Roman"/>
                <w:sz w:val="14"/>
                <w:szCs w:val="14"/>
              </w:rPr>
            </w:pPr>
            <w:r w:rsidRPr="00E14EE6">
              <w:rPr>
                <w:sz w:val="14"/>
              </w:rPr>
              <w:noBreakHyphen/>
            </w:r>
            <w:r w:rsidR="00CA7676" w:rsidRPr="00E14EE6">
              <w:rPr>
                <w:sz w:val="14"/>
              </w:rPr>
              <w:t>2.6</w:t>
            </w:r>
          </w:p>
        </w:tc>
      </w:tr>
      <w:tr w:rsidR="00CA7676" w:rsidRPr="00E14EE6" w14:paraId="0D989E96" w14:textId="77777777" w:rsidTr="00FD6B66">
        <w:trPr>
          <w:cnfStyle w:val="000000010000" w:firstRow="0" w:lastRow="0" w:firstColumn="0" w:lastColumn="0" w:oddVBand="0" w:evenVBand="0" w:oddHBand="0" w:evenHBand="1" w:firstRowFirstColumn="0" w:firstRowLastColumn="0" w:lastRowFirstColumn="0" w:lastRowLastColumn="0"/>
          <w:cantSplit/>
          <w:trHeight w:val="20"/>
        </w:trPr>
        <w:tc>
          <w:tcPr>
            <w:tcW w:w="1492" w:type="pct"/>
            <w:noWrap/>
            <w:hideMark/>
          </w:tcPr>
          <w:p w14:paraId="12E7FC4A" w14:textId="0CC7ECB7" w:rsidR="00CA7676" w:rsidRPr="00E14EE6" w:rsidRDefault="00CA7676" w:rsidP="00E14EE6">
            <w:pPr>
              <w:ind w:firstLineChars="300" w:firstLine="420"/>
              <w:jc w:val="left"/>
              <w:rPr>
                <w:rFonts w:eastAsia="Times New Roman" w:cs="Times New Roman"/>
                <w:sz w:val="14"/>
                <w:szCs w:val="14"/>
              </w:rPr>
            </w:pPr>
            <w:r w:rsidRPr="00E14EE6">
              <w:rPr>
                <w:sz w:val="14"/>
              </w:rPr>
              <w:t>including</w:t>
            </w:r>
            <w:r w:rsidR="00E14EE6" w:rsidRPr="00E14EE6">
              <w:rPr>
                <w:sz w:val="14"/>
              </w:rPr>
              <w:t>: d</w:t>
            </w:r>
            <w:r w:rsidRPr="00E14EE6">
              <w:rPr>
                <w:sz w:val="14"/>
              </w:rPr>
              <w:t>omestic bonds</w:t>
            </w:r>
          </w:p>
        </w:tc>
        <w:tc>
          <w:tcPr>
            <w:tcW w:w="389" w:type="pct"/>
            <w:noWrap/>
            <w:hideMark/>
          </w:tcPr>
          <w:p w14:paraId="68C65C80" w14:textId="77777777" w:rsidR="00CA7676" w:rsidRPr="00E14EE6" w:rsidRDefault="00CA7676" w:rsidP="00E14EE6">
            <w:pPr>
              <w:jc w:val="right"/>
              <w:rPr>
                <w:rFonts w:eastAsia="Times New Roman" w:cs="Times New Roman"/>
                <w:color w:val="000000"/>
                <w:sz w:val="14"/>
                <w:szCs w:val="14"/>
              </w:rPr>
            </w:pPr>
            <w:r w:rsidRPr="00E14EE6">
              <w:rPr>
                <w:sz w:val="14"/>
              </w:rPr>
              <w:t>1.0</w:t>
            </w:r>
          </w:p>
        </w:tc>
        <w:tc>
          <w:tcPr>
            <w:tcW w:w="390" w:type="pct"/>
            <w:noWrap/>
            <w:hideMark/>
          </w:tcPr>
          <w:p w14:paraId="1CD78E7E" w14:textId="77777777" w:rsidR="00CA7676" w:rsidRPr="00E14EE6" w:rsidRDefault="00CA7676" w:rsidP="00E14EE6">
            <w:pPr>
              <w:jc w:val="right"/>
              <w:rPr>
                <w:rFonts w:eastAsia="Times New Roman" w:cs="Times New Roman"/>
                <w:color w:val="000000"/>
                <w:sz w:val="14"/>
                <w:szCs w:val="14"/>
              </w:rPr>
            </w:pPr>
            <w:r w:rsidRPr="00E14EE6">
              <w:rPr>
                <w:sz w:val="14"/>
              </w:rPr>
              <w:t>1.1</w:t>
            </w:r>
          </w:p>
        </w:tc>
        <w:tc>
          <w:tcPr>
            <w:tcW w:w="390" w:type="pct"/>
            <w:noWrap/>
            <w:hideMark/>
          </w:tcPr>
          <w:p w14:paraId="14823225" w14:textId="77777777" w:rsidR="00CA7676" w:rsidRPr="00E14EE6" w:rsidRDefault="00CA7676" w:rsidP="00E14EE6">
            <w:pPr>
              <w:jc w:val="right"/>
              <w:rPr>
                <w:rFonts w:eastAsia="Times New Roman" w:cs="Times New Roman"/>
                <w:color w:val="000000"/>
                <w:sz w:val="14"/>
                <w:szCs w:val="14"/>
              </w:rPr>
            </w:pPr>
            <w:r w:rsidRPr="00E14EE6">
              <w:rPr>
                <w:sz w:val="14"/>
              </w:rPr>
              <w:t>2.0</w:t>
            </w:r>
          </w:p>
        </w:tc>
        <w:tc>
          <w:tcPr>
            <w:tcW w:w="390" w:type="pct"/>
            <w:noWrap/>
            <w:hideMark/>
          </w:tcPr>
          <w:p w14:paraId="61CA7C06" w14:textId="77777777" w:rsidR="00CA7676" w:rsidRPr="00E14EE6" w:rsidRDefault="00CA7676" w:rsidP="00E14EE6">
            <w:pPr>
              <w:jc w:val="right"/>
              <w:rPr>
                <w:rFonts w:eastAsia="Times New Roman" w:cs="Times New Roman"/>
                <w:color w:val="000000"/>
                <w:sz w:val="14"/>
                <w:szCs w:val="14"/>
              </w:rPr>
            </w:pPr>
            <w:r w:rsidRPr="00E14EE6">
              <w:rPr>
                <w:sz w:val="14"/>
              </w:rPr>
              <w:t>2.1</w:t>
            </w:r>
          </w:p>
        </w:tc>
        <w:tc>
          <w:tcPr>
            <w:tcW w:w="390" w:type="pct"/>
            <w:noWrap/>
            <w:hideMark/>
          </w:tcPr>
          <w:p w14:paraId="3004D011" w14:textId="77777777" w:rsidR="00CA7676" w:rsidRPr="00E14EE6" w:rsidRDefault="00CA7676" w:rsidP="00E14EE6">
            <w:pPr>
              <w:jc w:val="right"/>
              <w:rPr>
                <w:rFonts w:eastAsia="Times New Roman" w:cs="Times New Roman"/>
                <w:color w:val="000000"/>
                <w:sz w:val="14"/>
                <w:szCs w:val="14"/>
              </w:rPr>
            </w:pPr>
            <w:r w:rsidRPr="00E14EE6">
              <w:rPr>
                <w:sz w:val="14"/>
              </w:rPr>
              <w:t>0.4</w:t>
            </w:r>
          </w:p>
        </w:tc>
        <w:tc>
          <w:tcPr>
            <w:tcW w:w="390" w:type="pct"/>
            <w:noWrap/>
            <w:hideMark/>
          </w:tcPr>
          <w:p w14:paraId="43AEE681" w14:textId="77777777" w:rsidR="00CA7676" w:rsidRPr="00E14EE6" w:rsidRDefault="00CA7676" w:rsidP="00E14EE6">
            <w:pPr>
              <w:jc w:val="right"/>
              <w:rPr>
                <w:rFonts w:eastAsia="Times New Roman" w:cs="Times New Roman"/>
                <w:color w:val="000000"/>
                <w:sz w:val="14"/>
                <w:szCs w:val="14"/>
              </w:rPr>
            </w:pPr>
            <w:r w:rsidRPr="00E14EE6">
              <w:rPr>
                <w:sz w:val="14"/>
              </w:rPr>
              <w:t>2.3</w:t>
            </w:r>
          </w:p>
        </w:tc>
        <w:tc>
          <w:tcPr>
            <w:tcW w:w="390" w:type="pct"/>
            <w:noWrap/>
            <w:hideMark/>
          </w:tcPr>
          <w:p w14:paraId="27CDC3E6" w14:textId="77777777" w:rsidR="00CA7676" w:rsidRPr="00E14EE6" w:rsidRDefault="00CA7676" w:rsidP="00E14EE6">
            <w:pPr>
              <w:jc w:val="right"/>
              <w:rPr>
                <w:rFonts w:eastAsia="Times New Roman" w:cs="Times New Roman"/>
                <w:color w:val="000000"/>
                <w:sz w:val="14"/>
                <w:szCs w:val="14"/>
              </w:rPr>
            </w:pPr>
            <w:r w:rsidRPr="00E14EE6">
              <w:rPr>
                <w:sz w:val="14"/>
              </w:rPr>
              <w:t>3.7</w:t>
            </w:r>
          </w:p>
        </w:tc>
        <w:tc>
          <w:tcPr>
            <w:tcW w:w="390" w:type="pct"/>
            <w:noWrap/>
            <w:hideMark/>
          </w:tcPr>
          <w:p w14:paraId="1BE10AA6" w14:textId="77777777" w:rsidR="00CA7676" w:rsidRPr="00E14EE6" w:rsidRDefault="00CA7676" w:rsidP="00E14EE6">
            <w:pPr>
              <w:jc w:val="right"/>
              <w:rPr>
                <w:rFonts w:eastAsia="Times New Roman" w:cs="Times New Roman"/>
                <w:color w:val="000000"/>
                <w:sz w:val="14"/>
                <w:szCs w:val="14"/>
              </w:rPr>
            </w:pPr>
            <w:r w:rsidRPr="00E14EE6">
              <w:rPr>
                <w:sz w:val="14"/>
              </w:rPr>
              <w:t>0.6</w:t>
            </w:r>
          </w:p>
        </w:tc>
        <w:tc>
          <w:tcPr>
            <w:tcW w:w="390" w:type="pct"/>
            <w:noWrap/>
            <w:hideMark/>
          </w:tcPr>
          <w:p w14:paraId="23624FB5" w14:textId="7C9A3208" w:rsidR="00CA7676" w:rsidRPr="00E14EE6" w:rsidRDefault="00E14EE6" w:rsidP="00E14EE6">
            <w:pPr>
              <w:jc w:val="right"/>
              <w:rPr>
                <w:rFonts w:eastAsia="Times New Roman" w:cs="Times New Roman"/>
                <w:sz w:val="14"/>
                <w:szCs w:val="14"/>
              </w:rPr>
            </w:pPr>
            <w:r w:rsidRPr="00E14EE6">
              <w:rPr>
                <w:sz w:val="14"/>
              </w:rPr>
              <w:noBreakHyphen/>
            </w:r>
            <w:r w:rsidR="00CA7676" w:rsidRPr="00E14EE6">
              <w:rPr>
                <w:sz w:val="14"/>
              </w:rPr>
              <w:t>2.3</w:t>
            </w:r>
          </w:p>
        </w:tc>
      </w:tr>
      <w:tr w:rsidR="00CA7676" w:rsidRPr="00E14EE6" w14:paraId="4B674A60" w14:textId="77777777" w:rsidTr="00FD6B66">
        <w:trPr>
          <w:cantSplit/>
          <w:trHeight w:val="20"/>
        </w:trPr>
        <w:tc>
          <w:tcPr>
            <w:tcW w:w="1492" w:type="pct"/>
            <w:noWrap/>
            <w:hideMark/>
          </w:tcPr>
          <w:p w14:paraId="33088D13" w14:textId="77777777" w:rsidR="00CA7676" w:rsidRPr="00E14EE6" w:rsidRDefault="00CA7676" w:rsidP="00E14EE6">
            <w:pPr>
              <w:ind w:firstLineChars="400" w:firstLine="560"/>
              <w:jc w:val="left"/>
              <w:rPr>
                <w:rFonts w:eastAsia="Times New Roman" w:cs="Times New Roman"/>
                <w:sz w:val="14"/>
                <w:szCs w:val="14"/>
              </w:rPr>
            </w:pPr>
            <w:r w:rsidRPr="00E14EE6">
              <w:rPr>
                <w:sz w:val="14"/>
              </w:rPr>
              <w:t>Issues</w:t>
            </w:r>
          </w:p>
        </w:tc>
        <w:tc>
          <w:tcPr>
            <w:tcW w:w="389" w:type="pct"/>
            <w:noWrap/>
            <w:hideMark/>
          </w:tcPr>
          <w:p w14:paraId="6A18EEA9" w14:textId="77777777" w:rsidR="00CA7676" w:rsidRPr="00E14EE6" w:rsidRDefault="00CA7676" w:rsidP="00E14EE6">
            <w:pPr>
              <w:jc w:val="right"/>
              <w:rPr>
                <w:rFonts w:eastAsia="Times New Roman" w:cs="Times New Roman"/>
                <w:color w:val="000000"/>
                <w:sz w:val="14"/>
                <w:szCs w:val="14"/>
              </w:rPr>
            </w:pPr>
            <w:r w:rsidRPr="00E14EE6">
              <w:rPr>
                <w:sz w:val="14"/>
              </w:rPr>
              <w:t>1.1</w:t>
            </w:r>
          </w:p>
        </w:tc>
        <w:tc>
          <w:tcPr>
            <w:tcW w:w="390" w:type="pct"/>
            <w:noWrap/>
            <w:hideMark/>
          </w:tcPr>
          <w:p w14:paraId="5988C4A6" w14:textId="77777777" w:rsidR="00CA7676" w:rsidRPr="00E14EE6" w:rsidRDefault="00CA7676" w:rsidP="00E14EE6">
            <w:pPr>
              <w:jc w:val="right"/>
              <w:rPr>
                <w:rFonts w:eastAsia="Times New Roman" w:cs="Times New Roman"/>
                <w:color w:val="000000"/>
                <w:sz w:val="14"/>
                <w:szCs w:val="14"/>
              </w:rPr>
            </w:pPr>
            <w:r w:rsidRPr="00E14EE6">
              <w:rPr>
                <w:sz w:val="14"/>
              </w:rPr>
              <w:t>1.3</w:t>
            </w:r>
          </w:p>
        </w:tc>
        <w:tc>
          <w:tcPr>
            <w:tcW w:w="390" w:type="pct"/>
            <w:noWrap/>
            <w:hideMark/>
          </w:tcPr>
          <w:p w14:paraId="6EED0CC9" w14:textId="77777777" w:rsidR="00CA7676" w:rsidRPr="00E14EE6" w:rsidRDefault="00CA7676" w:rsidP="00E14EE6">
            <w:pPr>
              <w:jc w:val="right"/>
              <w:rPr>
                <w:rFonts w:eastAsia="Times New Roman" w:cs="Times New Roman"/>
                <w:color w:val="000000"/>
                <w:sz w:val="14"/>
                <w:szCs w:val="14"/>
              </w:rPr>
            </w:pPr>
            <w:r w:rsidRPr="00E14EE6">
              <w:rPr>
                <w:sz w:val="14"/>
              </w:rPr>
              <w:t>2.3</w:t>
            </w:r>
          </w:p>
        </w:tc>
        <w:tc>
          <w:tcPr>
            <w:tcW w:w="390" w:type="pct"/>
            <w:noWrap/>
            <w:hideMark/>
          </w:tcPr>
          <w:p w14:paraId="17107E39" w14:textId="77777777" w:rsidR="00CA7676" w:rsidRPr="00E14EE6" w:rsidRDefault="00CA7676" w:rsidP="00E14EE6">
            <w:pPr>
              <w:jc w:val="right"/>
              <w:rPr>
                <w:rFonts w:eastAsia="Times New Roman" w:cs="Times New Roman"/>
                <w:color w:val="000000"/>
                <w:sz w:val="14"/>
                <w:szCs w:val="14"/>
              </w:rPr>
            </w:pPr>
            <w:r w:rsidRPr="00E14EE6">
              <w:rPr>
                <w:sz w:val="14"/>
              </w:rPr>
              <w:t>2.2</w:t>
            </w:r>
          </w:p>
        </w:tc>
        <w:tc>
          <w:tcPr>
            <w:tcW w:w="390" w:type="pct"/>
            <w:noWrap/>
            <w:hideMark/>
          </w:tcPr>
          <w:p w14:paraId="6EC70647" w14:textId="77777777" w:rsidR="00CA7676" w:rsidRPr="00E14EE6" w:rsidRDefault="00CA7676" w:rsidP="00E14EE6">
            <w:pPr>
              <w:jc w:val="right"/>
              <w:rPr>
                <w:rFonts w:eastAsia="Times New Roman" w:cs="Times New Roman"/>
                <w:color w:val="000000"/>
                <w:sz w:val="14"/>
                <w:szCs w:val="14"/>
              </w:rPr>
            </w:pPr>
            <w:r w:rsidRPr="00E14EE6">
              <w:rPr>
                <w:sz w:val="14"/>
              </w:rPr>
              <w:t>0.7</w:t>
            </w:r>
          </w:p>
        </w:tc>
        <w:tc>
          <w:tcPr>
            <w:tcW w:w="390" w:type="pct"/>
            <w:noWrap/>
            <w:hideMark/>
          </w:tcPr>
          <w:p w14:paraId="6448CD20" w14:textId="77777777" w:rsidR="00CA7676" w:rsidRPr="00E14EE6" w:rsidRDefault="00CA7676" w:rsidP="00E14EE6">
            <w:pPr>
              <w:jc w:val="right"/>
              <w:rPr>
                <w:rFonts w:eastAsia="Times New Roman" w:cs="Times New Roman"/>
                <w:color w:val="000000"/>
                <w:sz w:val="14"/>
                <w:szCs w:val="14"/>
              </w:rPr>
            </w:pPr>
            <w:r w:rsidRPr="00E14EE6">
              <w:rPr>
                <w:sz w:val="14"/>
              </w:rPr>
              <w:t>2.6</w:t>
            </w:r>
          </w:p>
        </w:tc>
        <w:tc>
          <w:tcPr>
            <w:tcW w:w="390" w:type="pct"/>
            <w:noWrap/>
            <w:hideMark/>
          </w:tcPr>
          <w:p w14:paraId="57F21DDD" w14:textId="77777777" w:rsidR="00CA7676" w:rsidRPr="00E14EE6" w:rsidRDefault="00CA7676" w:rsidP="00E14EE6">
            <w:pPr>
              <w:jc w:val="right"/>
              <w:rPr>
                <w:rFonts w:eastAsia="Times New Roman" w:cs="Times New Roman"/>
                <w:color w:val="000000"/>
                <w:sz w:val="14"/>
                <w:szCs w:val="14"/>
              </w:rPr>
            </w:pPr>
            <w:r w:rsidRPr="00E14EE6">
              <w:rPr>
                <w:sz w:val="14"/>
              </w:rPr>
              <w:t>3.9</w:t>
            </w:r>
          </w:p>
        </w:tc>
        <w:tc>
          <w:tcPr>
            <w:tcW w:w="390" w:type="pct"/>
            <w:noWrap/>
            <w:hideMark/>
          </w:tcPr>
          <w:p w14:paraId="7E708DEF" w14:textId="77777777" w:rsidR="00CA7676" w:rsidRPr="00E14EE6" w:rsidRDefault="00CA7676" w:rsidP="00E14EE6">
            <w:pPr>
              <w:jc w:val="right"/>
              <w:rPr>
                <w:rFonts w:eastAsia="Times New Roman" w:cs="Times New Roman"/>
                <w:color w:val="000000"/>
                <w:sz w:val="14"/>
                <w:szCs w:val="14"/>
              </w:rPr>
            </w:pPr>
            <w:r w:rsidRPr="00E14EE6">
              <w:rPr>
                <w:sz w:val="14"/>
              </w:rPr>
              <w:t>2.8</w:t>
            </w:r>
          </w:p>
        </w:tc>
        <w:tc>
          <w:tcPr>
            <w:tcW w:w="390" w:type="pct"/>
            <w:noWrap/>
            <w:hideMark/>
          </w:tcPr>
          <w:p w14:paraId="3F02042F" w14:textId="77777777" w:rsidR="00CA7676" w:rsidRPr="00E14EE6" w:rsidRDefault="00CA7676" w:rsidP="00E14EE6">
            <w:pPr>
              <w:jc w:val="right"/>
              <w:rPr>
                <w:rFonts w:eastAsia="Times New Roman" w:cs="Times New Roman"/>
                <w:sz w:val="14"/>
                <w:szCs w:val="14"/>
              </w:rPr>
            </w:pPr>
            <w:r w:rsidRPr="00E14EE6">
              <w:rPr>
                <w:sz w:val="14"/>
              </w:rPr>
              <w:t>0.0</w:t>
            </w:r>
          </w:p>
        </w:tc>
      </w:tr>
      <w:tr w:rsidR="00CA7676" w:rsidRPr="00E14EE6" w14:paraId="3887B583" w14:textId="77777777" w:rsidTr="00FD6B66">
        <w:trPr>
          <w:cnfStyle w:val="000000010000" w:firstRow="0" w:lastRow="0" w:firstColumn="0" w:lastColumn="0" w:oddVBand="0" w:evenVBand="0" w:oddHBand="0" w:evenHBand="1" w:firstRowFirstColumn="0" w:firstRowLastColumn="0" w:lastRowFirstColumn="0" w:lastRowLastColumn="0"/>
          <w:cantSplit/>
          <w:trHeight w:val="20"/>
        </w:trPr>
        <w:tc>
          <w:tcPr>
            <w:tcW w:w="1492" w:type="pct"/>
            <w:noWrap/>
            <w:hideMark/>
          </w:tcPr>
          <w:p w14:paraId="549D33C5" w14:textId="77777777" w:rsidR="00CA7676" w:rsidRPr="00E14EE6" w:rsidRDefault="00CA7676" w:rsidP="00E14EE6">
            <w:pPr>
              <w:ind w:firstLineChars="400" w:firstLine="560"/>
              <w:jc w:val="left"/>
              <w:rPr>
                <w:rFonts w:eastAsia="Times New Roman" w:cs="Times New Roman"/>
                <w:sz w:val="14"/>
                <w:szCs w:val="14"/>
              </w:rPr>
            </w:pPr>
            <w:r w:rsidRPr="00E14EE6">
              <w:rPr>
                <w:sz w:val="14"/>
              </w:rPr>
              <w:t>Amortization</w:t>
            </w:r>
          </w:p>
        </w:tc>
        <w:tc>
          <w:tcPr>
            <w:tcW w:w="389" w:type="pct"/>
            <w:noWrap/>
            <w:hideMark/>
          </w:tcPr>
          <w:p w14:paraId="2DD7DFD0" w14:textId="0570655E" w:rsidR="00CA7676" w:rsidRPr="00E14EE6" w:rsidRDefault="00E14EE6" w:rsidP="00E14EE6">
            <w:pPr>
              <w:jc w:val="right"/>
              <w:rPr>
                <w:rFonts w:eastAsia="Times New Roman" w:cs="Times New Roman"/>
                <w:color w:val="000000"/>
                <w:sz w:val="14"/>
                <w:szCs w:val="14"/>
              </w:rPr>
            </w:pPr>
            <w:r w:rsidRPr="00E14EE6">
              <w:rPr>
                <w:sz w:val="14"/>
              </w:rPr>
              <w:noBreakHyphen/>
            </w:r>
            <w:r w:rsidR="00CA7676" w:rsidRPr="00E14EE6">
              <w:rPr>
                <w:sz w:val="14"/>
              </w:rPr>
              <w:t>0.2</w:t>
            </w:r>
          </w:p>
        </w:tc>
        <w:tc>
          <w:tcPr>
            <w:tcW w:w="390" w:type="pct"/>
            <w:noWrap/>
            <w:hideMark/>
          </w:tcPr>
          <w:p w14:paraId="4DB200D5" w14:textId="089A3CE5" w:rsidR="00CA7676" w:rsidRPr="00E14EE6" w:rsidRDefault="00E14EE6" w:rsidP="00E14EE6">
            <w:pPr>
              <w:jc w:val="right"/>
              <w:rPr>
                <w:rFonts w:eastAsia="Times New Roman" w:cs="Times New Roman"/>
                <w:color w:val="000000"/>
                <w:sz w:val="14"/>
                <w:szCs w:val="14"/>
              </w:rPr>
            </w:pPr>
            <w:r w:rsidRPr="00E14EE6">
              <w:rPr>
                <w:sz w:val="14"/>
              </w:rPr>
              <w:noBreakHyphen/>
            </w:r>
            <w:r w:rsidR="00CA7676" w:rsidRPr="00E14EE6">
              <w:rPr>
                <w:sz w:val="14"/>
              </w:rPr>
              <w:t>0.2</w:t>
            </w:r>
          </w:p>
        </w:tc>
        <w:tc>
          <w:tcPr>
            <w:tcW w:w="390" w:type="pct"/>
            <w:noWrap/>
            <w:hideMark/>
          </w:tcPr>
          <w:p w14:paraId="40D6D627" w14:textId="5A93D225" w:rsidR="00CA7676" w:rsidRPr="00E14EE6" w:rsidRDefault="00E14EE6" w:rsidP="00E14EE6">
            <w:pPr>
              <w:jc w:val="right"/>
              <w:rPr>
                <w:rFonts w:eastAsia="Times New Roman" w:cs="Times New Roman"/>
                <w:color w:val="000000"/>
                <w:sz w:val="14"/>
                <w:szCs w:val="14"/>
              </w:rPr>
            </w:pPr>
            <w:r w:rsidRPr="00E14EE6">
              <w:rPr>
                <w:sz w:val="14"/>
              </w:rPr>
              <w:noBreakHyphen/>
            </w:r>
            <w:r w:rsidR="00CA7676" w:rsidRPr="00E14EE6">
              <w:rPr>
                <w:sz w:val="14"/>
              </w:rPr>
              <w:t>0.3</w:t>
            </w:r>
          </w:p>
        </w:tc>
        <w:tc>
          <w:tcPr>
            <w:tcW w:w="390" w:type="pct"/>
            <w:noWrap/>
            <w:hideMark/>
          </w:tcPr>
          <w:p w14:paraId="0CE269CB" w14:textId="19CFCF7A" w:rsidR="00CA7676" w:rsidRPr="00E14EE6" w:rsidRDefault="00E14EE6" w:rsidP="00E14EE6">
            <w:pPr>
              <w:jc w:val="right"/>
              <w:rPr>
                <w:rFonts w:eastAsia="Times New Roman" w:cs="Times New Roman"/>
                <w:color w:val="000000"/>
                <w:sz w:val="14"/>
                <w:szCs w:val="14"/>
              </w:rPr>
            </w:pPr>
            <w:r w:rsidRPr="00E14EE6">
              <w:rPr>
                <w:sz w:val="14"/>
              </w:rPr>
              <w:noBreakHyphen/>
            </w:r>
            <w:r w:rsidR="00CA7676" w:rsidRPr="00E14EE6">
              <w:rPr>
                <w:sz w:val="14"/>
              </w:rPr>
              <w:t>0.2</w:t>
            </w:r>
          </w:p>
        </w:tc>
        <w:tc>
          <w:tcPr>
            <w:tcW w:w="390" w:type="pct"/>
            <w:noWrap/>
            <w:hideMark/>
          </w:tcPr>
          <w:p w14:paraId="65013921" w14:textId="32B336DD" w:rsidR="00CA7676" w:rsidRPr="00E14EE6" w:rsidRDefault="00E14EE6" w:rsidP="00E14EE6">
            <w:pPr>
              <w:jc w:val="right"/>
              <w:rPr>
                <w:rFonts w:eastAsia="Times New Roman" w:cs="Times New Roman"/>
                <w:color w:val="000000"/>
                <w:sz w:val="14"/>
                <w:szCs w:val="14"/>
              </w:rPr>
            </w:pPr>
            <w:r w:rsidRPr="00E14EE6">
              <w:rPr>
                <w:sz w:val="14"/>
              </w:rPr>
              <w:noBreakHyphen/>
            </w:r>
            <w:r w:rsidR="00CA7676" w:rsidRPr="00E14EE6">
              <w:rPr>
                <w:sz w:val="14"/>
              </w:rPr>
              <w:t>0.4</w:t>
            </w:r>
          </w:p>
        </w:tc>
        <w:tc>
          <w:tcPr>
            <w:tcW w:w="390" w:type="pct"/>
            <w:noWrap/>
            <w:hideMark/>
          </w:tcPr>
          <w:p w14:paraId="7AF9A384" w14:textId="35111C55" w:rsidR="00CA7676" w:rsidRPr="00E14EE6" w:rsidRDefault="00E14EE6" w:rsidP="00E14EE6">
            <w:pPr>
              <w:jc w:val="right"/>
              <w:rPr>
                <w:rFonts w:eastAsia="Times New Roman" w:cs="Times New Roman"/>
                <w:color w:val="000000"/>
                <w:sz w:val="14"/>
                <w:szCs w:val="14"/>
              </w:rPr>
            </w:pPr>
            <w:r w:rsidRPr="00E14EE6">
              <w:rPr>
                <w:sz w:val="14"/>
              </w:rPr>
              <w:noBreakHyphen/>
            </w:r>
            <w:r w:rsidR="00CA7676" w:rsidRPr="00E14EE6">
              <w:rPr>
                <w:sz w:val="14"/>
              </w:rPr>
              <w:t>0.4</w:t>
            </w:r>
          </w:p>
        </w:tc>
        <w:tc>
          <w:tcPr>
            <w:tcW w:w="390" w:type="pct"/>
            <w:noWrap/>
            <w:hideMark/>
          </w:tcPr>
          <w:p w14:paraId="5602FACF" w14:textId="6EF2A89A" w:rsidR="00CA7676" w:rsidRPr="00E14EE6" w:rsidRDefault="00E14EE6" w:rsidP="00E14EE6">
            <w:pPr>
              <w:jc w:val="right"/>
              <w:rPr>
                <w:rFonts w:eastAsia="Times New Roman" w:cs="Times New Roman"/>
                <w:color w:val="000000"/>
                <w:sz w:val="14"/>
                <w:szCs w:val="14"/>
              </w:rPr>
            </w:pPr>
            <w:r w:rsidRPr="00E14EE6">
              <w:rPr>
                <w:sz w:val="14"/>
              </w:rPr>
              <w:noBreakHyphen/>
            </w:r>
            <w:r w:rsidR="00CA7676" w:rsidRPr="00E14EE6">
              <w:rPr>
                <w:sz w:val="14"/>
              </w:rPr>
              <w:t>0.2</w:t>
            </w:r>
          </w:p>
        </w:tc>
        <w:tc>
          <w:tcPr>
            <w:tcW w:w="390" w:type="pct"/>
            <w:noWrap/>
            <w:hideMark/>
          </w:tcPr>
          <w:p w14:paraId="4B5CBAC7" w14:textId="69105973" w:rsidR="00CA7676" w:rsidRPr="00E14EE6" w:rsidRDefault="00E14EE6" w:rsidP="00E14EE6">
            <w:pPr>
              <w:jc w:val="right"/>
              <w:rPr>
                <w:rFonts w:eastAsia="Times New Roman" w:cs="Times New Roman"/>
                <w:color w:val="000000"/>
                <w:sz w:val="14"/>
                <w:szCs w:val="14"/>
              </w:rPr>
            </w:pPr>
            <w:r w:rsidRPr="00E14EE6">
              <w:rPr>
                <w:sz w:val="14"/>
              </w:rPr>
              <w:noBreakHyphen/>
            </w:r>
            <w:r w:rsidR="00CA7676" w:rsidRPr="00E14EE6">
              <w:rPr>
                <w:sz w:val="14"/>
              </w:rPr>
              <w:t>2.2</w:t>
            </w:r>
          </w:p>
        </w:tc>
        <w:tc>
          <w:tcPr>
            <w:tcW w:w="390" w:type="pct"/>
            <w:noWrap/>
            <w:hideMark/>
          </w:tcPr>
          <w:p w14:paraId="3F764D7E" w14:textId="68584068" w:rsidR="00CA7676" w:rsidRPr="00E14EE6" w:rsidRDefault="00E14EE6" w:rsidP="00E14EE6">
            <w:pPr>
              <w:jc w:val="right"/>
              <w:rPr>
                <w:rFonts w:eastAsia="Times New Roman" w:cs="Times New Roman"/>
                <w:sz w:val="14"/>
                <w:szCs w:val="14"/>
              </w:rPr>
            </w:pPr>
            <w:r w:rsidRPr="00E14EE6">
              <w:rPr>
                <w:sz w:val="14"/>
              </w:rPr>
              <w:noBreakHyphen/>
            </w:r>
            <w:r w:rsidR="00CA7676" w:rsidRPr="00E14EE6">
              <w:rPr>
                <w:sz w:val="14"/>
              </w:rPr>
              <w:t>2.3</w:t>
            </w:r>
          </w:p>
        </w:tc>
      </w:tr>
      <w:tr w:rsidR="00CA7676" w:rsidRPr="00E14EE6" w14:paraId="3FC85497" w14:textId="77777777" w:rsidTr="00FD6B66">
        <w:trPr>
          <w:cantSplit/>
          <w:trHeight w:val="20"/>
        </w:trPr>
        <w:tc>
          <w:tcPr>
            <w:tcW w:w="1492" w:type="pct"/>
            <w:noWrap/>
            <w:hideMark/>
          </w:tcPr>
          <w:p w14:paraId="494B3B28" w14:textId="6EC2A1F1" w:rsidR="00CA7676" w:rsidRPr="00E14EE6" w:rsidRDefault="00CA7676" w:rsidP="00E14EE6">
            <w:pPr>
              <w:ind w:firstLineChars="400" w:firstLine="560"/>
              <w:jc w:val="left"/>
              <w:rPr>
                <w:rFonts w:eastAsia="Times New Roman" w:cs="Times New Roman"/>
                <w:sz w:val="14"/>
                <w:szCs w:val="14"/>
              </w:rPr>
            </w:pPr>
            <w:proofErr w:type="spellStart"/>
            <w:r w:rsidRPr="00E14EE6">
              <w:rPr>
                <w:sz w:val="14"/>
              </w:rPr>
              <w:t>Balance</w:t>
            </w:r>
            <w:r w:rsidR="00AE2C21" w:rsidRPr="00E14EE6">
              <w:rPr>
                <w:rFonts w:eastAsia="Times New Roman" w:cs="Times New Roman"/>
                <w:sz w:val="14"/>
                <w:szCs w:val="14"/>
                <w:vertAlign w:val="superscript"/>
                <w:lang w:eastAsia="en-GB"/>
              </w:rPr>
              <w:t>f</w:t>
            </w:r>
            <w:proofErr w:type="spellEnd"/>
          </w:p>
        </w:tc>
        <w:tc>
          <w:tcPr>
            <w:tcW w:w="389" w:type="pct"/>
            <w:noWrap/>
            <w:hideMark/>
          </w:tcPr>
          <w:p w14:paraId="66293BD4" w14:textId="77777777" w:rsidR="00CA7676" w:rsidRPr="00E14EE6" w:rsidRDefault="00CA7676" w:rsidP="00E14EE6">
            <w:pPr>
              <w:jc w:val="right"/>
              <w:rPr>
                <w:rFonts w:eastAsia="Times New Roman" w:cs="Times New Roman"/>
                <w:color w:val="000000"/>
                <w:sz w:val="14"/>
                <w:szCs w:val="14"/>
              </w:rPr>
            </w:pPr>
            <w:r w:rsidRPr="00E14EE6">
              <w:rPr>
                <w:sz w:val="14"/>
              </w:rPr>
              <w:t>0.0</w:t>
            </w:r>
          </w:p>
        </w:tc>
        <w:tc>
          <w:tcPr>
            <w:tcW w:w="390" w:type="pct"/>
            <w:noWrap/>
            <w:hideMark/>
          </w:tcPr>
          <w:p w14:paraId="56E92D19" w14:textId="77777777" w:rsidR="00CA7676" w:rsidRPr="00E14EE6" w:rsidRDefault="00CA7676" w:rsidP="00E14EE6">
            <w:pPr>
              <w:jc w:val="right"/>
              <w:rPr>
                <w:rFonts w:eastAsia="Times New Roman" w:cs="Times New Roman"/>
                <w:color w:val="000000"/>
                <w:sz w:val="14"/>
                <w:szCs w:val="14"/>
              </w:rPr>
            </w:pPr>
            <w:r w:rsidRPr="00E14EE6">
              <w:rPr>
                <w:sz w:val="14"/>
              </w:rPr>
              <w:t>0.0</w:t>
            </w:r>
          </w:p>
        </w:tc>
        <w:tc>
          <w:tcPr>
            <w:tcW w:w="390" w:type="pct"/>
            <w:noWrap/>
            <w:hideMark/>
          </w:tcPr>
          <w:p w14:paraId="4A74064D" w14:textId="77777777" w:rsidR="00CA7676" w:rsidRPr="00E14EE6" w:rsidRDefault="00CA7676" w:rsidP="00E14EE6">
            <w:pPr>
              <w:jc w:val="right"/>
              <w:rPr>
                <w:rFonts w:eastAsia="Times New Roman" w:cs="Times New Roman"/>
                <w:color w:val="000000"/>
                <w:sz w:val="14"/>
                <w:szCs w:val="14"/>
              </w:rPr>
            </w:pPr>
            <w:r w:rsidRPr="00E14EE6">
              <w:rPr>
                <w:sz w:val="14"/>
              </w:rPr>
              <w:t>0.0</w:t>
            </w:r>
          </w:p>
        </w:tc>
        <w:tc>
          <w:tcPr>
            <w:tcW w:w="390" w:type="pct"/>
            <w:noWrap/>
            <w:hideMark/>
          </w:tcPr>
          <w:p w14:paraId="6022993A" w14:textId="77777777" w:rsidR="00CA7676" w:rsidRPr="00E14EE6" w:rsidRDefault="00CA7676" w:rsidP="00E14EE6">
            <w:pPr>
              <w:jc w:val="right"/>
              <w:rPr>
                <w:rFonts w:eastAsia="Times New Roman" w:cs="Times New Roman"/>
                <w:color w:val="000000"/>
                <w:sz w:val="14"/>
                <w:szCs w:val="14"/>
              </w:rPr>
            </w:pPr>
            <w:r w:rsidRPr="00E14EE6">
              <w:rPr>
                <w:sz w:val="14"/>
              </w:rPr>
              <w:t>0.1</w:t>
            </w:r>
          </w:p>
        </w:tc>
        <w:tc>
          <w:tcPr>
            <w:tcW w:w="390" w:type="pct"/>
            <w:noWrap/>
            <w:hideMark/>
          </w:tcPr>
          <w:p w14:paraId="2A5D3D6F" w14:textId="77777777" w:rsidR="00CA7676" w:rsidRPr="00E14EE6" w:rsidRDefault="00CA7676" w:rsidP="00E14EE6">
            <w:pPr>
              <w:jc w:val="right"/>
              <w:rPr>
                <w:rFonts w:eastAsia="Times New Roman" w:cs="Times New Roman"/>
                <w:color w:val="000000"/>
                <w:sz w:val="14"/>
                <w:szCs w:val="14"/>
              </w:rPr>
            </w:pPr>
            <w:r w:rsidRPr="00E14EE6">
              <w:rPr>
                <w:sz w:val="14"/>
              </w:rPr>
              <w:t>0.0</w:t>
            </w:r>
          </w:p>
        </w:tc>
        <w:tc>
          <w:tcPr>
            <w:tcW w:w="390" w:type="pct"/>
            <w:noWrap/>
            <w:hideMark/>
          </w:tcPr>
          <w:p w14:paraId="560A8C5C" w14:textId="77777777" w:rsidR="00CA7676" w:rsidRPr="00E14EE6" w:rsidRDefault="00CA7676" w:rsidP="00E14EE6">
            <w:pPr>
              <w:jc w:val="right"/>
              <w:rPr>
                <w:rFonts w:eastAsia="Times New Roman" w:cs="Times New Roman"/>
                <w:color w:val="000000"/>
                <w:sz w:val="14"/>
                <w:szCs w:val="14"/>
              </w:rPr>
            </w:pPr>
            <w:r w:rsidRPr="00E14EE6">
              <w:rPr>
                <w:sz w:val="14"/>
              </w:rPr>
              <w:t>0.1</w:t>
            </w:r>
          </w:p>
        </w:tc>
        <w:tc>
          <w:tcPr>
            <w:tcW w:w="390" w:type="pct"/>
            <w:noWrap/>
            <w:hideMark/>
          </w:tcPr>
          <w:p w14:paraId="6DB798BC" w14:textId="77777777" w:rsidR="00CA7676" w:rsidRPr="00E14EE6" w:rsidRDefault="00CA7676" w:rsidP="00E14EE6">
            <w:pPr>
              <w:jc w:val="right"/>
              <w:rPr>
                <w:rFonts w:eastAsia="Times New Roman" w:cs="Times New Roman"/>
                <w:color w:val="000000"/>
                <w:sz w:val="14"/>
                <w:szCs w:val="14"/>
              </w:rPr>
            </w:pPr>
            <w:r w:rsidRPr="00E14EE6">
              <w:rPr>
                <w:sz w:val="14"/>
              </w:rPr>
              <w:t>0.0</w:t>
            </w:r>
          </w:p>
        </w:tc>
        <w:tc>
          <w:tcPr>
            <w:tcW w:w="390" w:type="pct"/>
            <w:noWrap/>
            <w:hideMark/>
          </w:tcPr>
          <w:p w14:paraId="376B530B" w14:textId="77777777" w:rsidR="00CA7676" w:rsidRPr="00E14EE6" w:rsidRDefault="00CA7676" w:rsidP="00E14EE6">
            <w:pPr>
              <w:jc w:val="right"/>
              <w:rPr>
                <w:rFonts w:eastAsia="Times New Roman" w:cs="Times New Roman"/>
                <w:color w:val="000000"/>
                <w:sz w:val="14"/>
                <w:szCs w:val="14"/>
              </w:rPr>
            </w:pPr>
            <w:r w:rsidRPr="00E14EE6">
              <w:rPr>
                <w:sz w:val="14"/>
              </w:rPr>
              <w:t>0.0</w:t>
            </w:r>
          </w:p>
        </w:tc>
        <w:tc>
          <w:tcPr>
            <w:tcW w:w="390" w:type="pct"/>
            <w:noWrap/>
            <w:hideMark/>
          </w:tcPr>
          <w:p w14:paraId="2B5D9275" w14:textId="77777777" w:rsidR="00CA7676" w:rsidRPr="00E14EE6" w:rsidRDefault="00CA7676" w:rsidP="00E14EE6">
            <w:pPr>
              <w:jc w:val="right"/>
              <w:rPr>
                <w:rFonts w:eastAsia="Times New Roman" w:cs="Times New Roman"/>
                <w:sz w:val="14"/>
                <w:szCs w:val="14"/>
              </w:rPr>
            </w:pPr>
            <w:r w:rsidRPr="00E14EE6">
              <w:rPr>
                <w:sz w:val="14"/>
              </w:rPr>
              <w:t>0.0</w:t>
            </w:r>
          </w:p>
        </w:tc>
      </w:tr>
      <w:tr w:rsidR="00CA7676" w:rsidRPr="00E14EE6" w14:paraId="642EFC30" w14:textId="77777777" w:rsidTr="00FD6B66">
        <w:trPr>
          <w:cnfStyle w:val="000000010000" w:firstRow="0" w:lastRow="0" w:firstColumn="0" w:lastColumn="0" w:oddVBand="0" w:evenVBand="0" w:oddHBand="0" w:evenHBand="1" w:firstRowFirstColumn="0" w:firstRowLastColumn="0" w:lastRowFirstColumn="0" w:lastRowLastColumn="0"/>
          <w:cantSplit/>
          <w:trHeight w:val="20"/>
        </w:trPr>
        <w:tc>
          <w:tcPr>
            <w:tcW w:w="1492" w:type="pct"/>
            <w:noWrap/>
            <w:hideMark/>
          </w:tcPr>
          <w:p w14:paraId="036206A4" w14:textId="1B9FAC86" w:rsidR="00CA7676" w:rsidRPr="00E14EE6" w:rsidRDefault="00CA7676" w:rsidP="00E14EE6">
            <w:pPr>
              <w:ind w:firstLineChars="200" w:firstLine="280"/>
              <w:jc w:val="left"/>
              <w:rPr>
                <w:rFonts w:eastAsia="Times New Roman" w:cs="Times New Roman"/>
                <w:sz w:val="14"/>
                <w:szCs w:val="14"/>
              </w:rPr>
            </w:pPr>
            <w:r w:rsidRPr="00E14EE6">
              <w:rPr>
                <w:sz w:val="14"/>
              </w:rPr>
              <w:t>Loans</w:t>
            </w:r>
          </w:p>
        </w:tc>
        <w:tc>
          <w:tcPr>
            <w:tcW w:w="389" w:type="pct"/>
            <w:noWrap/>
            <w:hideMark/>
          </w:tcPr>
          <w:p w14:paraId="62A576A0" w14:textId="03156613" w:rsidR="00CA7676" w:rsidRPr="00E14EE6" w:rsidRDefault="00E14EE6" w:rsidP="00E14EE6">
            <w:pPr>
              <w:jc w:val="right"/>
              <w:rPr>
                <w:rFonts w:eastAsia="Times New Roman" w:cs="Times New Roman"/>
                <w:color w:val="000000"/>
                <w:sz w:val="14"/>
                <w:szCs w:val="14"/>
              </w:rPr>
            </w:pPr>
            <w:r w:rsidRPr="00E14EE6">
              <w:rPr>
                <w:sz w:val="14"/>
              </w:rPr>
              <w:noBreakHyphen/>
            </w:r>
            <w:r w:rsidR="00CA7676" w:rsidRPr="00E14EE6">
              <w:rPr>
                <w:sz w:val="14"/>
              </w:rPr>
              <w:t>1.0</w:t>
            </w:r>
          </w:p>
        </w:tc>
        <w:tc>
          <w:tcPr>
            <w:tcW w:w="390" w:type="pct"/>
            <w:noWrap/>
            <w:hideMark/>
          </w:tcPr>
          <w:p w14:paraId="00C4C90C" w14:textId="77777777" w:rsidR="00CA7676" w:rsidRPr="00E14EE6" w:rsidRDefault="00CA7676" w:rsidP="00E14EE6">
            <w:pPr>
              <w:jc w:val="right"/>
              <w:rPr>
                <w:rFonts w:eastAsia="Times New Roman" w:cs="Times New Roman"/>
                <w:color w:val="000000"/>
                <w:sz w:val="14"/>
                <w:szCs w:val="14"/>
              </w:rPr>
            </w:pPr>
            <w:r w:rsidRPr="00E14EE6">
              <w:rPr>
                <w:sz w:val="14"/>
              </w:rPr>
              <w:t>0.4</w:t>
            </w:r>
          </w:p>
        </w:tc>
        <w:tc>
          <w:tcPr>
            <w:tcW w:w="390" w:type="pct"/>
            <w:noWrap/>
            <w:hideMark/>
          </w:tcPr>
          <w:p w14:paraId="18617A93" w14:textId="0F1D5E81" w:rsidR="00CA7676" w:rsidRPr="00E14EE6" w:rsidRDefault="00E14EE6" w:rsidP="00E14EE6">
            <w:pPr>
              <w:jc w:val="right"/>
              <w:rPr>
                <w:rFonts w:eastAsia="Times New Roman" w:cs="Times New Roman"/>
                <w:color w:val="000000"/>
                <w:sz w:val="14"/>
                <w:szCs w:val="14"/>
              </w:rPr>
            </w:pPr>
            <w:r w:rsidRPr="00E14EE6">
              <w:rPr>
                <w:sz w:val="14"/>
              </w:rPr>
              <w:noBreakHyphen/>
            </w:r>
            <w:r w:rsidR="00CA7676" w:rsidRPr="00E14EE6">
              <w:rPr>
                <w:sz w:val="14"/>
              </w:rPr>
              <w:t>0.3</w:t>
            </w:r>
          </w:p>
        </w:tc>
        <w:tc>
          <w:tcPr>
            <w:tcW w:w="390" w:type="pct"/>
            <w:noWrap/>
            <w:hideMark/>
          </w:tcPr>
          <w:p w14:paraId="6EA80921" w14:textId="6683E437" w:rsidR="00CA7676" w:rsidRPr="00E14EE6" w:rsidRDefault="00E14EE6" w:rsidP="00E14EE6">
            <w:pPr>
              <w:jc w:val="right"/>
              <w:rPr>
                <w:rFonts w:eastAsia="Times New Roman" w:cs="Times New Roman"/>
                <w:color w:val="000000"/>
                <w:sz w:val="14"/>
                <w:szCs w:val="14"/>
              </w:rPr>
            </w:pPr>
            <w:r w:rsidRPr="00E14EE6">
              <w:rPr>
                <w:sz w:val="14"/>
              </w:rPr>
              <w:noBreakHyphen/>
            </w:r>
            <w:r w:rsidR="00CA7676" w:rsidRPr="00E14EE6">
              <w:rPr>
                <w:sz w:val="14"/>
              </w:rPr>
              <w:t>0.1</w:t>
            </w:r>
          </w:p>
        </w:tc>
        <w:tc>
          <w:tcPr>
            <w:tcW w:w="390" w:type="pct"/>
            <w:noWrap/>
            <w:hideMark/>
          </w:tcPr>
          <w:p w14:paraId="3F733761" w14:textId="0CF09FA7" w:rsidR="00CA7676" w:rsidRPr="00E14EE6" w:rsidRDefault="00E14EE6" w:rsidP="00E14EE6">
            <w:pPr>
              <w:jc w:val="right"/>
              <w:rPr>
                <w:rFonts w:eastAsia="Times New Roman" w:cs="Times New Roman"/>
                <w:color w:val="000000"/>
                <w:sz w:val="14"/>
                <w:szCs w:val="14"/>
              </w:rPr>
            </w:pPr>
            <w:r w:rsidRPr="00E14EE6">
              <w:rPr>
                <w:sz w:val="14"/>
              </w:rPr>
              <w:noBreakHyphen/>
            </w:r>
            <w:r w:rsidR="00CA7676" w:rsidRPr="00E14EE6">
              <w:rPr>
                <w:sz w:val="14"/>
              </w:rPr>
              <w:t>0.1</w:t>
            </w:r>
          </w:p>
        </w:tc>
        <w:tc>
          <w:tcPr>
            <w:tcW w:w="390" w:type="pct"/>
            <w:noWrap/>
            <w:hideMark/>
          </w:tcPr>
          <w:p w14:paraId="42205430" w14:textId="77777777" w:rsidR="00CA7676" w:rsidRPr="00E14EE6" w:rsidRDefault="00CA7676" w:rsidP="00E14EE6">
            <w:pPr>
              <w:jc w:val="right"/>
              <w:rPr>
                <w:rFonts w:eastAsia="Times New Roman" w:cs="Times New Roman"/>
                <w:color w:val="000000"/>
                <w:sz w:val="14"/>
                <w:szCs w:val="14"/>
              </w:rPr>
            </w:pPr>
            <w:r w:rsidRPr="00E14EE6">
              <w:rPr>
                <w:sz w:val="14"/>
              </w:rPr>
              <w:t>0.5</w:t>
            </w:r>
          </w:p>
        </w:tc>
        <w:tc>
          <w:tcPr>
            <w:tcW w:w="390" w:type="pct"/>
            <w:noWrap/>
            <w:hideMark/>
          </w:tcPr>
          <w:p w14:paraId="6D4A8802" w14:textId="022E350C" w:rsidR="00CA7676" w:rsidRPr="00E14EE6" w:rsidRDefault="00E14EE6" w:rsidP="00E14EE6">
            <w:pPr>
              <w:jc w:val="right"/>
              <w:rPr>
                <w:rFonts w:eastAsia="Times New Roman" w:cs="Times New Roman"/>
                <w:color w:val="000000"/>
                <w:sz w:val="14"/>
                <w:szCs w:val="14"/>
              </w:rPr>
            </w:pPr>
            <w:r w:rsidRPr="00E14EE6">
              <w:rPr>
                <w:sz w:val="14"/>
              </w:rPr>
              <w:noBreakHyphen/>
            </w:r>
            <w:r w:rsidR="00CA7676" w:rsidRPr="00E14EE6">
              <w:rPr>
                <w:sz w:val="14"/>
              </w:rPr>
              <w:t>0.4</w:t>
            </w:r>
          </w:p>
        </w:tc>
        <w:tc>
          <w:tcPr>
            <w:tcW w:w="390" w:type="pct"/>
            <w:noWrap/>
            <w:hideMark/>
          </w:tcPr>
          <w:p w14:paraId="5F509502" w14:textId="7399F016" w:rsidR="00CA7676" w:rsidRPr="00E14EE6" w:rsidRDefault="00E14EE6" w:rsidP="00E14EE6">
            <w:pPr>
              <w:jc w:val="right"/>
              <w:rPr>
                <w:rFonts w:eastAsia="Times New Roman" w:cs="Times New Roman"/>
                <w:color w:val="000000"/>
                <w:sz w:val="14"/>
                <w:szCs w:val="14"/>
              </w:rPr>
            </w:pPr>
            <w:r w:rsidRPr="00E14EE6">
              <w:rPr>
                <w:sz w:val="14"/>
              </w:rPr>
              <w:noBreakHyphen/>
            </w:r>
            <w:r w:rsidR="00CA7676" w:rsidRPr="00E14EE6">
              <w:rPr>
                <w:sz w:val="14"/>
              </w:rPr>
              <w:t>0.1</w:t>
            </w:r>
          </w:p>
        </w:tc>
        <w:tc>
          <w:tcPr>
            <w:tcW w:w="390" w:type="pct"/>
            <w:noWrap/>
            <w:hideMark/>
          </w:tcPr>
          <w:p w14:paraId="3171574D" w14:textId="55FEF45B" w:rsidR="00CA7676" w:rsidRPr="00E14EE6" w:rsidRDefault="00E14EE6" w:rsidP="00E14EE6">
            <w:pPr>
              <w:jc w:val="right"/>
              <w:rPr>
                <w:rFonts w:eastAsia="Times New Roman" w:cs="Times New Roman"/>
                <w:sz w:val="14"/>
                <w:szCs w:val="14"/>
              </w:rPr>
            </w:pPr>
            <w:r w:rsidRPr="00E14EE6">
              <w:rPr>
                <w:sz w:val="14"/>
              </w:rPr>
              <w:noBreakHyphen/>
            </w:r>
            <w:r w:rsidR="00CA7676" w:rsidRPr="00E14EE6">
              <w:rPr>
                <w:sz w:val="14"/>
              </w:rPr>
              <w:t>0.2</w:t>
            </w:r>
          </w:p>
        </w:tc>
      </w:tr>
      <w:tr w:rsidR="00CA7676" w:rsidRPr="00E14EE6" w14:paraId="159D552F" w14:textId="77777777" w:rsidTr="00FD6B66">
        <w:trPr>
          <w:cantSplit/>
          <w:trHeight w:val="20"/>
        </w:trPr>
        <w:tc>
          <w:tcPr>
            <w:tcW w:w="1492" w:type="pct"/>
            <w:noWrap/>
            <w:hideMark/>
          </w:tcPr>
          <w:p w14:paraId="798DA7C2" w14:textId="77777777" w:rsidR="00CA7676" w:rsidRPr="00E14EE6" w:rsidRDefault="00CA7676" w:rsidP="00E14EE6">
            <w:pPr>
              <w:ind w:firstLineChars="300" w:firstLine="420"/>
              <w:jc w:val="left"/>
              <w:rPr>
                <w:rFonts w:eastAsia="Times New Roman" w:cs="Times New Roman"/>
                <w:sz w:val="14"/>
                <w:szCs w:val="14"/>
              </w:rPr>
            </w:pPr>
            <w:r w:rsidRPr="00E14EE6">
              <w:rPr>
                <w:sz w:val="14"/>
              </w:rPr>
              <w:t>With the banking sector</w:t>
            </w:r>
          </w:p>
        </w:tc>
        <w:tc>
          <w:tcPr>
            <w:tcW w:w="389" w:type="pct"/>
            <w:noWrap/>
            <w:hideMark/>
          </w:tcPr>
          <w:p w14:paraId="4A69B403" w14:textId="2D9EE832" w:rsidR="00CA7676" w:rsidRPr="00E14EE6" w:rsidRDefault="00E14EE6" w:rsidP="00E14EE6">
            <w:pPr>
              <w:jc w:val="right"/>
              <w:rPr>
                <w:rFonts w:eastAsia="Times New Roman" w:cs="Times New Roman"/>
                <w:color w:val="000000"/>
                <w:sz w:val="14"/>
                <w:szCs w:val="14"/>
              </w:rPr>
            </w:pPr>
            <w:r w:rsidRPr="00E14EE6">
              <w:rPr>
                <w:sz w:val="14"/>
              </w:rPr>
              <w:noBreakHyphen/>
            </w:r>
            <w:r w:rsidR="00CA7676" w:rsidRPr="00E14EE6">
              <w:rPr>
                <w:sz w:val="14"/>
              </w:rPr>
              <w:t>1.4</w:t>
            </w:r>
          </w:p>
        </w:tc>
        <w:tc>
          <w:tcPr>
            <w:tcW w:w="390" w:type="pct"/>
            <w:noWrap/>
            <w:hideMark/>
          </w:tcPr>
          <w:p w14:paraId="542BBEB7" w14:textId="77777777" w:rsidR="00CA7676" w:rsidRPr="00E14EE6" w:rsidRDefault="00CA7676" w:rsidP="00E14EE6">
            <w:pPr>
              <w:jc w:val="right"/>
              <w:rPr>
                <w:rFonts w:eastAsia="Times New Roman" w:cs="Times New Roman"/>
                <w:color w:val="000000"/>
                <w:sz w:val="14"/>
                <w:szCs w:val="14"/>
              </w:rPr>
            </w:pPr>
            <w:r w:rsidRPr="00E14EE6">
              <w:rPr>
                <w:sz w:val="14"/>
              </w:rPr>
              <w:t>0.4</w:t>
            </w:r>
          </w:p>
        </w:tc>
        <w:tc>
          <w:tcPr>
            <w:tcW w:w="390" w:type="pct"/>
            <w:noWrap/>
            <w:hideMark/>
          </w:tcPr>
          <w:p w14:paraId="2D405457" w14:textId="2C8B11B7" w:rsidR="00CA7676" w:rsidRPr="00E14EE6" w:rsidRDefault="00E14EE6" w:rsidP="00E14EE6">
            <w:pPr>
              <w:jc w:val="right"/>
              <w:rPr>
                <w:rFonts w:eastAsia="Times New Roman" w:cs="Times New Roman"/>
                <w:color w:val="000000"/>
                <w:sz w:val="14"/>
                <w:szCs w:val="14"/>
              </w:rPr>
            </w:pPr>
            <w:r w:rsidRPr="00E14EE6">
              <w:rPr>
                <w:sz w:val="14"/>
              </w:rPr>
              <w:noBreakHyphen/>
            </w:r>
            <w:r w:rsidR="00CA7676" w:rsidRPr="00E14EE6">
              <w:rPr>
                <w:sz w:val="14"/>
              </w:rPr>
              <w:t>0.4</w:t>
            </w:r>
          </w:p>
        </w:tc>
        <w:tc>
          <w:tcPr>
            <w:tcW w:w="390" w:type="pct"/>
            <w:noWrap/>
            <w:hideMark/>
          </w:tcPr>
          <w:p w14:paraId="17F049A0" w14:textId="77777777" w:rsidR="00CA7676" w:rsidRPr="00E14EE6" w:rsidRDefault="00CA7676" w:rsidP="00E14EE6">
            <w:pPr>
              <w:jc w:val="right"/>
              <w:rPr>
                <w:rFonts w:eastAsia="Times New Roman" w:cs="Times New Roman"/>
                <w:color w:val="000000"/>
                <w:sz w:val="14"/>
                <w:szCs w:val="14"/>
              </w:rPr>
            </w:pPr>
            <w:r w:rsidRPr="00E14EE6">
              <w:rPr>
                <w:sz w:val="14"/>
              </w:rPr>
              <w:t>0.0</w:t>
            </w:r>
          </w:p>
        </w:tc>
        <w:tc>
          <w:tcPr>
            <w:tcW w:w="390" w:type="pct"/>
            <w:noWrap/>
            <w:hideMark/>
          </w:tcPr>
          <w:p w14:paraId="7845458E" w14:textId="46466930" w:rsidR="00CA7676" w:rsidRPr="00E14EE6" w:rsidRDefault="00E14EE6" w:rsidP="00E14EE6">
            <w:pPr>
              <w:jc w:val="right"/>
              <w:rPr>
                <w:rFonts w:eastAsia="Times New Roman" w:cs="Times New Roman"/>
                <w:color w:val="000000"/>
                <w:sz w:val="14"/>
                <w:szCs w:val="14"/>
              </w:rPr>
            </w:pPr>
            <w:r w:rsidRPr="00E14EE6">
              <w:rPr>
                <w:sz w:val="14"/>
              </w:rPr>
              <w:noBreakHyphen/>
            </w:r>
            <w:r w:rsidR="00CA7676" w:rsidRPr="00E14EE6">
              <w:rPr>
                <w:sz w:val="14"/>
              </w:rPr>
              <w:t>0.1</w:t>
            </w:r>
          </w:p>
        </w:tc>
        <w:tc>
          <w:tcPr>
            <w:tcW w:w="390" w:type="pct"/>
            <w:noWrap/>
            <w:hideMark/>
          </w:tcPr>
          <w:p w14:paraId="148A4EE7" w14:textId="77777777" w:rsidR="00CA7676" w:rsidRPr="00E14EE6" w:rsidRDefault="00CA7676" w:rsidP="00E14EE6">
            <w:pPr>
              <w:jc w:val="right"/>
              <w:rPr>
                <w:rFonts w:eastAsia="Times New Roman" w:cs="Times New Roman"/>
                <w:color w:val="000000"/>
                <w:sz w:val="14"/>
                <w:szCs w:val="14"/>
              </w:rPr>
            </w:pPr>
            <w:r w:rsidRPr="00E14EE6">
              <w:rPr>
                <w:sz w:val="14"/>
              </w:rPr>
              <w:t>0.5</w:t>
            </w:r>
          </w:p>
        </w:tc>
        <w:tc>
          <w:tcPr>
            <w:tcW w:w="390" w:type="pct"/>
            <w:noWrap/>
            <w:hideMark/>
          </w:tcPr>
          <w:p w14:paraId="1901A034" w14:textId="68620166" w:rsidR="00CA7676" w:rsidRPr="00E14EE6" w:rsidRDefault="00E14EE6" w:rsidP="00E14EE6">
            <w:pPr>
              <w:jc w:val="right"/>
              <w:rPr>
                <w:rFonts w:eastAsia="Times New Roman" w:cs="Times New Roman"/>
                <w:color w:val="000000"/>
                <w:sz w:val="14"/>
                <w:szCs w:val="14"/>
              </w:rPr>
            </w:pPr>
            <w:r w:rsidRPr="00E14EE6">
              <w:rPr>
                <w:sz w:val="14"/>
              </w:rPr>
              <w:noBreakHyphen/>
            </w:r>
            <w:r w:rsidR="00CA7676" w:rsidRPr="00E14EE6">
              <w:rPr>
                <w:sz w:val="14"/>
              </w:rPr>
              <w:t>0.4</w:t>
            </w:r>
          </w:p>
        </w:tc>
        <w:tc>
          <w:tcPr>
            <w:tcW w:w="390" w:type="pct"/>
            <w:noWrap/>
            <w:hideMark/>
          </w:tcPr>
          <w:p w14:paraId="6E6BABC7" w14:textId="313CF931" w:rsidR="00CA7676" w:rsidRPr="00E14EE6" w:rsidRDefault="00E14EE6" w:rsidP="00E14EE6">
            <w:pPr>
              <w:jc w:val="right"/>
              <w:rPr>
                <w:rFonts w:eastAsia="Times New Roman" w:cs="Times New Roman"/>
                <w:color w:val="000000"/>
                <w:sz w:val="14"/>
                <w:szCs w:val="14"/>
              </w:rPr>
            </w:pPr>
            <w:r w:rsidRPr="00E14EE6">
              <w:rPr>
                <w:sz w:val="14"/>
              </w:rPr>
              <w:noBreakHyphen/>
            </w:r>
            <w:r w:rsidR="00CA7676" w:rsidRPr="00E14EE6">
              <w:rPr>
                <w:sz w:val="14"/>
              </w:rPr>
              <w:t>0.1</w:t>
            </w:r>
          </w:p>
        </w:tc>
        <w:tc>
          <w:tcPr>
            <w:tcW w:w="390" w:type="pct"/>
            <w:noWrap/>
            <w:hideMark/>
          </w:tcPr>
          <w:p w14:paraId="33A9D6AC" w14:textId="615C56F1" w:rsidR="00CA7676" w:rsidRPr="00E14EE6" w:rsidRDefault="00E14EE6" w:rsidP="00E14EE6">
            <w:pPr>
              <w:jc w:val="right"/>
              <w:rPr>
                <w:rFonts w:eastAsia="Times New Roman" w:cs="Times New Roman"/>
                <w:sz w:val="14"/>
                <w:szCs w:val="14"/>
              </w:rPr>
            </w:pPr>
            <w:r w:rsidRPr="00E14EE6">
              <w:rPr>
                <w:sz w:val="14"/>
              </w:rPr>
              <w:noBreakHyphen/>
            </w:r>
            <w:r w:rsidR="00CA7676" w:rsidRPr="00E14EE6">
              <w:rPr>
                <w:sz w:val="14"/>
              </w:rPr>
              <w:t>0.2</w:t>
            </w:r>
          </w:p>
        </w:tc>
      </w:tr>
      <w:tr w:rsidR="00CA7676" w:rsidRPr="00E14EE6" w14:paraId="7392878F" w14:textId="77777777" w:rsidTr="00FD6B66">
        <w:trPr>
          <w:cnfStyle w:val="000000010000" w:firstRow="0" w:lastRow="0" w:firstColumn="0" w:lastColumn="0" w:oddVBand="0" w:evenVBand="0" w:oddHBand="0" w:evenHBand="1" w:firstRowFirstColumn="0" w:firstRowLastColumn="0" w:lastRowFirstColumn="0" w:lastRowLastColumn="0"/>
          <w:cantSplit/>
          <w:trHeight w:val="20"/>
        </w:trPr>
        <w:tc>
          <w:tcPr>
            <w:tcW w:w="1492" w:type="pct"/>
            <w:noWrap/>
            <w:hideMark/>
          </w:tcPr>
          <w:p w14:paraId="4FD9B79A" w14:textId="0B3624D8" w:rsidR="00CA7676" w:rsidRPr="00E14EE6" w:rsidRDefault="00CA7676" w:rsidP="00E14EE6">
            <w:pPr>
              <w:ind w:firstLineChars="300" w:firstLine="420"/>
              <w:jc w:val="left"/>
              <w:rPr>
                <w:rFonts w:eastAsia="Times New Roman" w:cs="Times New Roman"/>
                <w:sz w:val="14"/>
                <w:szCs w:val="14"/>
              </w:rPr>
            </w:pPr>
            <w:r w:rsidRPr="00E14EE6">
              <w:rPr>
                <w:sz w:val="14"/>
              </w:rPr>
              <w:t>With the non</w:t>
            </w:r>
            <w:r w:rsidR="00E14EE6" w:rsidRPr="00E14EE6">
              <w:rPr>
                <w:sz w:val="14"/>
              </w:rPr>
              <w:noBreakHyphen/>
            </w:r>
            <w:r w:rsidRPr="00E14EE6">
              <w:rPr>
                <w:sz w:val="14"/>
              </w:rPr>
              <w:t>banking sector</w:t>
            </w:r>
          </w:p>
        </w:tc>
        <w:tc>
          <w:tcPr>
            <w:tcW w:w="389" w:type="pct"/>
            <w:noWrap/>
            <w:hideMark/>
          </w:tcPr>
          <w:p w14:paraId="6E656C61" w14:textId="77777777" w:rsidR="00CA7676" w:rsidRPr="00E14EE6" w:rsidRDefault="00CA7676" w:rsidP="00E14EE6">
            <w:pPr>
              <w:jc w:val="right"/>
              <w:rPr>
                <w:rFonts w:eastAsia="Times New Roman" w:cs="Times New Roman"/>
                <w:color w:val="000000"/>
                <w:sz w:val="14"/>
                <w:szCs w:val="14"/>
              </w:rPr>
            </w:pPr>
            <w:r w:rsidRPr="00E14EE6">
              <w:rPr>
                <w:sz w:val="14"/>
              </w:rPr>
              <w:t>0.4</w:t>
            </w:r>
          </w:p>
        </w:tc>
        <w:tc>
          <w:tcPr>
            <w:tcW w:w="390" w:type="pct"/>
            <w:noWrap/>
            <w:hideMark/>
          </w:tcPr>
          <w:p w14:paraId="43FBB27C" w14:textId="77777777" w:rsidR="00CA7676" w:rsidRPr="00E14EE6" w:rsidRDefault="00CA7676" w:rsidP="00E14EE6">
            <w:pPr>
              <w:jc w:val="right"/>
              <w:rPr>
                <w:rFonts w:eastAsia="Times New Roman" w:cs="Times New Roman"/>
                <w:color w:val="000000"/>
                <w:sz w:val="14"/>
                <w:szCs w:val="14"/>
              </w:rPr>
            </w:pPr>
            <w:r w:rsidRPr="00E14EE6">
              <w:rPr>
                <w:sz w:val="14"/>
              </w:rPr>
              <w:t>0.0</w:t>
            </w:r>
          </w:p>
        </w:tc>
        <w:tc>
          <w:tcPr>
            <w:tcW w:w="390" w:type="pct"/>
            <w:noWrap/>
            <w:hideMark/>
          </w:tcPr>
          <w:p w14:paraId="29FB1298" w14:textId="77777777" w:rsidR="00CA7676" w:rsidRPr="00E14EE6" w:rsidRDefault="00CA7676" w:rsidP="00E14EE6">
            <w:pPr>
              <w:jc w:val="right"/>
              <w:rPr>
                <w:rFonts w:eastAsia="Times New Roman" w:cs="Times New Roman"/>
                <w:color w:val="000000"/>
                <w:sz w:val="14"/>
                <w:szCs w:val="14"/>
              </w:rPr>
            </w:pPr>
            <w:r w:rsidRPr="00E14EE6">
              <w:rPr>
                <w:sz w:val="14"/>
              </w:rPr>
              <w:t>0.1</w:t>
            </w:r>
          </w:p>
        </w:tc>
        <w:tc>
          <w:tcPr>
            <w:tcW w:w="390" w:type="pct"/>
            <w:noWrap/>
            <w:hideMark/>
          </w:tcPr>
          <w:p w14:paraId="20051901" w14:textId="4CFE88A8" w:rsidR="00CA7676" w:rsidRPr="00E14EE6" w:rsidRDefault="00E14EE6" w:rsidP="00E14EE6">
            <w:pPr>
              <w:jc w:val="right"/>
              <w:rPr>
                <w:rFonts w:eastAsia="Times New Roman" w:cs="Times New Roman"/>
                <w:color w:val="000000"/>
                <w:sz w:val="14"/>
                <w:szCs w:val="14"/>
              </w:rPr>
            </w:pPr>
            <w:r w:rsidRPr="00E14EE6">
              <w:rPr>
                <w:sz w:val="14"/>
              </w:rPr>
              <w:noBreakHyphen/>
            </w:r>
            <w:r w:rsidR="00CA7676" w:rsidRPr="00E14EE6">
              <w:rPr>
                <w:sz w:val="14"/>
              </w:rPr>
              <w:t>0.1</w:t>
            </w:r>
          </w:p>
        </w:tc>
        <w:tc>
          <w:tcPr>
            <w:tcW w:w="390" w:type="pct"/>
            <w:noWrap/>
            <w:hideMark/>
          </w:tcPr>
          <w:p w14:paraId="7E9CEF49" w14:textId="77777777" w:rsidR="00CA7676" w:rsidRPr="00E14EE6" w:rsidRDefault="00CA7676" w:rsidP="00E14EE6">
            <w:pPr>
              <w:jc w:val="right"/>
              <w:rPr>
                <w:rFonts w:eastAsia="Times New Roman" w:cs="Times New Roman"/>
                <w:color w:val="000000"/>
                <w:sz w:val="14"/>
                <w:szCs w:val="14"/>
              </w:rPr>
            </w:pPr>
            <w:r w:rsidRPr="00E14EE6">
              <w:rPr>
                <w:sz w:val="14"/>
              </w:rPr>
              <w:t>0.0</w:t>
            </w:r>
          </w:p>
        </w:tc>
        <w:tc>
          <w:tcPr>
            <w:tcW w:w="390" w:type="pct"/>
            <w:noWrap/>
            <w:hideMark/>
          </w:tcPr>
          <w:p w14:paraId="6594BF00" w14:textId="77777777" w:rsidR="00CA7676" w:rsidRPr="00E14EE6" w:rsidRDefault="00CA7676" w:rsidP="00E14EE6">
            <w:pPr>
              <w:jc w:val="right"/>
              <w:rPr>
                <w:rFonts w:eastAsia="Times New Roman" w:cs="Times New Roman"/>
                <w:color w:val="000000"/>
                <w:sz w:val="14"/>
                <w:szCs w:val="14"/>
              </w:rPr>
            </w:pPr>
            <w:r w:rsidRPr="00E14EE6">
              <w:rPr>
                <w:sz w:val="14"/>
              </w:rPr>
              <w:t>0.0</w:t>
            </w:r>
          </w:p>
        </w:tc>
        <w:tc>
          <w:tcPr>
            <w:tcW w:w="390" w:type="pct"/>
            <w:noWrap/>
            <w:hideMark/>
          </w:tcPr>
          <w:p w14:paraId="16704A07" w14:textId="77777777" w:rsidR="00CA7676" w:rsidRPr="00E14EE6" w:rsidRDefault="00CA7676" w:rsidP="00E14EE6">
            <w:pPr>
              <w:jc w:val="right"/>
              <w:rPr>
                <w:rFonts w:eastAsia="Times New Roman" w:cs="Times New Roman"/>
                <w:color w:val="000000"/>
                <w:sz w:val="14"/>
                <w:szCs w:val="14"/>
              </w:rPr>
            </w:pPr>
            <w:r w:rsidRPr="00E14EE6">
              <w:rPr>
                <w:sz w:val="14"/>
              </w:rPr>
              <w:t>0.0</w:t>
            </w:r>
          </w:p>
        </w:tc>
        <w:tc>
          <w:tcPr>
            <w:tcW w:w="390" w:type="pct"/>
            <w:noWrap/>
            <w:hideMark/>
          </w:tcPr>
          <w:p w14:paraId="6CD4BF03" w14:textId="77777777" w:rsidR="00CA7676" w:rsidRPr="00E14EE6" w:rsidRDefault="00CA7676" w:rsidP="00E14EE6">
            <w:pPr>
              <w:jc w:val="right"/>
              <w:rPr>
                <w:rFonts w:eastAsia="Times New Roman" w:cs="Times New Roman"/>
                <w:color w:val="000000"/>
                <w:sz w:val="14"/>
                <w:szCs w:val="14"/>
              </w:rPr>
            </w:pPr>
            <w:r w:rsidRPr="00E14EE6">
              <w:rPr>
                <w:sz w:val="14"/>
              </w:rPr>
              <w:t>0.0</w:t>
            </w:r>
          </w:p>
        </w:tc>
        <w:tc>
          <w:tcPr>
            <w:tcW w:w="390" w:type="pct"/>
            <w:noWrap/>
            <w:hideMark/>
          </w:tcPr>
          <w:p w14:paraId="38B0D971" w14:textId="77777777" w:rsidR="00CA7676" w:rsidRPr="00E14EE6" w:rsidRDefault="00CA7676" w:rsidP="00E14EE6">
            <w:pPr>
              <w:jc w:val="right"/>
              <w:rPr>
                <w:rFonts w:eastAsia="Times New Roman" w:cs="Times New Roman"/>
                <w:sz w:val="14"/>
                <w:szCs w:val="14"/>
              </w:rPr>
            </w:pPr>
            <w:r w:rsidRPr="00E14EE6">
              <w:rPr>
                <w:sz w:val="14"/>
              </w:rPr>
              <w:t>0.0</w:t>
            </w:r>
          </w:p>
        </w:tc>
      </w:tr>
      <w:tr w:rsidR="00CA7676" w:rsidRPr="00E14EE6" w14:paraId="78C5DFFF" w14:textId="77777777" w:rsidTr="00FD6B66">
        <w:trPr>
          <w:cantSplit/>
          <w:trHeight w:val="20"/>
        </w:trPr>
        <w:tc>
          <w:tcPr>
            <w:tcW w:w="1492" w:type="pct"/>
            <w:noWrap/>
            <w:hideMark/>
          </w:tcPr>
          <w:p w14:paraId="57676C0A" w14:textId="77777777" w:rsidR="00CA7676" w:rsidRPr="00E14EE6" w:rsidRDefault="00CA7676" w:rsidP="00E14EE6">
            <w:pPr>
              <w:ind w:firstLineChars="200" w:firstLine="280"/>
              <w:jc w:val="left"/>
              <w:rPr>
                <w:rFonts w:eastAsia="Times New Roman" w:cs="Times New Roman"/>
                <w:sz w:val="14"/>
                <w:szCs w:val="14"/>
              </w:rPr>
            </w:pPr>
            <w:r w:rsidRPr="00E14EE6">
              <w:rPr>
                <w:sz w:val="14"/>
              </w:rPr>
              <w:t>Other liabilities</w:t>
            </w:r>
          </w:p>
        </w:tc>
        <w:tc>
          <w:tcPr>
            <w:tcW w:w="389" w:type="pct"/>
            <w:noWrap/>
            <w:hideMark/>
          </w:tcPr>
          <w:p w14:paraId="35A89579" w14:textId="77777777" w:rsidR="00CA7676" w:rsidRPr="00E14EE6" w:rsidRDefault="00CA7676" w:rsidP="00E14EE6">
            <w:pPr>
              <w:jc w:val="right"/>
              <w:rPr>
                <w:rFonts w:eastAsia="Times New Roman" w:cs="Times New Roman"/>
                <w:color w:val="000000"/>
                <w:sz w:val="14"/>
                <w:szCs w:val="14"/>
              </w:rPr>
            </w:pPr>
            <w:r w:rsidRPr="00E14EE6">
              <w:rPr>
                <w:sz w:val="14"/>
              </w:rPr>
              <w:t>0.1</w:t>
            </w:r>
          </w:p>
        </w:tc>
        <w:tc>
          <w:tcPr>
            <w:tcW w:w="390" w:type="pct"/>
            <w:noWrap/>
            <w:hideMark/>
          </w:tcPr>
          <w:p w14:paraId="1F7B14A2" w14:textId="71740614" w:rsidR="00CA7676" w:rsidRPr="00E14EE6" w:rsidRDefault="00E14EE6" w:rsidP="00E14EE6">
            <w:pPr>
              <w:jc w:val="right"/>
              <w:rPr>
                <w:rFonts w:eastAsia="Times New Roman" w:cs="Times New Roman"/>
                <w:color w:val="000000"/>
                <w:sz w:val="14"/>
                <w:szCs w:val="14"/>
              </w:rPr>
            </w:pPr>
            <w:r w:rsidRPr="00E14EE6">
              <w:rPr>
                <w:sz w:val="14"/>
              </w:rPr>
              <w:noBreakHyphen/>
            </w:r>
            <w:r w:rsidR="00CA7676" w:rsidRPr="00E14EE6">
              <w:rPr>
                <w:sz w:val="14"/>
              </w:rPr>
              <w:t>1.6</w:t>
            </w:r>
          </w:p>
        </w:tc>
        <w:tc>
          <w:tcPr>
            <w:tcW w:w="390" w:type="pct"/>
            <w:noWrap/>
            <w:hideMark/>
          </w:tcPr>
          <w:p w14:paraId="4FD33DE1" w14:textId="06E49F9F" w:rsidR="00CA7676" w:rsidRPr="00E14EE6" w:rsidRDefault="00E14EE6" w:rsidP="00E14EE6">
            <w:pPr>
              <w:jc w:val="right"/>
              <w:rPr>
                <w:rFonts w:eastAsia="Times New Roman" w:cs="Times New Roman"/>
                <w:color w:val="000000"/>
                <w:sz w:val="14"/>
                <w:szCs w:val="14"/>
              </w:rPr>
            </w:pPr>
            <w:r w:rsidRPr="00E14EE6">
              <w:rPr>
                <w:sz w:val="14"/>
              </w:rPr>
              <w:noBreakHyphen/>
            </w:r>
            <w:r w:rsidR="00CA7676" w:rsidRPr="00E14EE6">
              <w:rPr>
                <w:sz w:val="14"/>
              </w:rPr>
              <w:t>0.4</w:t>
            </w:r>
          </w:p>
        </w:tc>
        <w:tc>
          <w:tcPr>
            <w:tcW w:w="390" w:type="pct"/>
            <w:noWrap/>
            <w:hideMark/>
          </w:tcPr>
          <w:p w14:paraId="75F9AEF6" w14:textId="77777777" w:rsidR="00CA7676" w:rsidRPr="00E14EE6" w:rsidRDefault="00CA7676" w:rsidP="00E14EE6">
            <w:pPr>
              <w:jc w:val="right"/>
              <w:rPr>
                <w:rFonts w:eastAsia="Times New Roman" w:cs="Times New Roman"/>
                <w:color w:val="000000"/>
                <w:sz w:val="14"/>
                <w:szCs w:val="14"/>
              </w:rPr>
            </w:pPr>
            <w:r w:rsidRPr="00E14EE6">
              <w:rPr>
                <w:sz w:val="14"/>
              </w:rPr>
              <w:t>0.1</w:t>
            </w:r>
          </w:p>
        </w:tc>
        <w:tc>
          <w:tcPr>
            <w:tcW w:w="390" w:type="pct"/>
            <w:noWrap/>
            <w:hideMark/>
          </w:tcPr>
          <w:p w14:paraId="06BA057D" w14:textId="34E49361" w:rsidR="00CA7676" w:rsidRPr="00E14EE6" w:rsidRDefault="00E14EE6" w:rsidP="00E14EE6">
            <w:pPr>
              <w:jc w:val="right"/>
              <w:rPr>
                <w:rFonts w:eastAsia="Times New Roman" w:cs="Times New Roman"/>
                <w:color w:val="000000"/>
                <w:sz w:val="14"/>
                <w:szCs w:val="14"/>
              </w:rPr>
            </w:pPr>
            <w:r w:rsidRPr="00E14EE6">
              <w:rPr>
                <w:sz w:val="14"/>
              </w:rPr>
              <w:noBreakHyphen/>
            </w:r>
            <w:r w:rsidR="00CA7676" w:rsidRPr="00E14EE6">
              <w:rPr>
                <w:sz w:val="14"/>
              </w:rPr>
              <w:t>0.4</w:t>
            </w:r>
          </w:p>
        </w:tc>
        <w:tc>
          <w:tcPr>
            <w:tcW w:w="390" w:type="pct"/>
            <w:noWrap/>
            <w:hideMark/>
          </w:tcPr>
          <w:p w14:paraId="2971321A" w14:textId="78F29B99" w:rsidR="00CA7676" w:rsidRPr="00E14EE6" w:rsidRDefault="00E14EE6" w:rsidP="00E14EE6">
            <w:pPr>
              <w:jc w:val="right"/>
              <w:rPr>
                <w:rFonts w:eastAsia="Times New Roman" w:cs="Times New Roman"/>
                <w:color w:val="000000"/>
                <w:sz w:val="14"/>
                <w:szCs w:val="14"/>
              </w:rPr>
            </w:pPr>
            <w:r w:rsidRPr="00E14EE6">
              <w:rPr>
                <w:sz w:val="14"/>
              </w:rPr>
              <w:noBreakHyphen/>
            </w:r>
            <w:r w:rsidR="00CA7676" w:rsidRPr="00E14EE6">
              <w:rPr>
                <w:sz w:val="14"/>
              </w:rPr>
              <w:t>1.0</w:t>
            </w:r>
          </w:p>
        </w:tc>
        <w:tc>
          <w:tcPr>
            <w:tcW w:w="390" w:type="pct"/>
            <w:noWrap/>
            <w:hideMark/>
          </w:tcPr>
          <w:p w14:paraId="769BD0EE" w14:textId="0561D08F" w:rsidR="00CA7676" w:rsidRPr="00E14EE6" w:rsidRDefault="00E14EE6" w:rsidP="00E14EE6">
            <w:pPr>
              <w:jc w:val="right"/>
              <w:rPr>
                <w:rFonts w:eastAsia="Times New Roman" w:cs="Times New Roman"/>
                <w:color w:val="000000"/>
                <w:sz w:val="14"/>
                <w:szCs w:val="14"/>
              </w:rPr>
            </w:pPr>
            <w:r w:rsidRPr="00E14EE6">
              <w:rPr>
                <w:sz w:val="14"/>
              </w:rPr>
              <w:noBreakHyphen/>
            </w:r>
            <w:r w:rsidR="00CA7676" w:rsidRPr="00E14EE6">
              <w:rPr>
                <w:sz w:val="14"/>
              </w:rPr>
              <w:t>1.5</w:t>
            </w:r>
          </w:p>
        </w:tc>
        <w:tc>
          <w:tcPr>
            <w:tcW w:w="390" w:type="pct"/>
            <w:noWrap/>
            <w:hideMark/>
          </w:tcPr>
          <w:p w14:paraId="52AB3139" w14:textId="77777777" w:rsidR="00CA7676" w:rsidRPr="00E14EE6" w:rsidRDefault="00CA7676" w:rsidP="00E14EE6">
            <w:pPr>
              <w:jc w:val="right"/>
              <w:rPr>
                <w:rFonts w:eastAsia="Times New Roman" w:cs="Times New Roman"/>
                <w:color w:val="000000"/>
                <w:sz w:val="14"/>
                <w:szCs w:val="14"/>
              </w:rPr>
            </w:pPr>
            <w:r w:rsidRPr="00E14EE6">
              <w:rPr>
                <w:sz w:val="14"/>
              </w:rPr>
              <w:t>0.1</w:t>
            </w:r>
          </w:p>
        </w:tc>
        <w:tc>
          <w:tcPr>
            <w:tcW w:w="390" w:type="pct"/>
            <w:noWrap/>
            <w:hideMark/>
          </w:tcPr>
          <w:p w14:paraId="0C8C2DCE" w14:textId="289D0A92" w:rsidR="00CA7676" w:rsidRPr="00E14EE6" w:rsidRDefault="00E14EE6" w:rsidP="00E14EE6">
            <w:pPr>
              <w:jc w:val="right"/>
              <w:rPr>
                <w:rFonts w:eastAsia="Times New Roman" w:cs="Times New Roman"/>
                <w:sz w:val="14"/>
                <w:szCs w:val="14"/>
              </w:rPr>
            </w:pPr>
            <w:r w:rsidRPr="00E14EE6">
              <w:rPr>
                <w:sz w:val="14"/>
              </w:rPr>
              <w:noBreakHyphen/>
            </w:r>
            <w:r w:rsidR="00CA7676" w:rsidRPr="00E14EE6">
              <w:rPr>
                <w:sz w:val="14"/>
              </w:rPr>
              <w:t>2.8</w:t>
            </w:r>
          </w:p>
        </w:tc>
      </w:tr>
      <w:tr w:rsidR="00CA7676" w:rsidRPr="00E14EE6" w14:paraId="20A2DB7C" w14:textId="77777777" w:rsidTr="00FD6B66">
        <w:trPr>
          <w:cnfStyle w:val="000000010000" w:firstRow="0" w:lastRow="0" w:firstColumn="0" w:lastColumn="0" w:oddVBand="0" w:evenVBand="0" w:oddHBand="0" w:evenHBand="1" w:firstRowFirstColumn="0" w:firstRowLastColumn="0" w:lastRowFirstColumn="0" w:lastRowLastColumn="0"/>
          <w:cantSplit/>
          <w:trHeight w:val="20"/>
        </w:trPr>
        <w:tc>
          <w:tcPr>
            <w:tcW w:w="1492" w:type="pct"/>
            <w:noWrap/>
            <w:hideMark/>
          </w:tcPr>
          <w:p w14:paraId="5A2F2143" w14:textId="57AA5F5A" w:rsidR="00CA7676" w:rsidRPr="00E14EE6" w:rsidRDefault="00CA7676" w:rsidP="00E14EE6">
            <w:pPr>
              <w:ind w:firstLineChars="100" w:firstLine="141"/>
              <w:jc w:val="left"/>
              <w:rPr>
                <w:rFonts w:eastAsia="Times New Roman" w:cs="Times New Roman"/>
                <w:b/>
                <w:bCs/>
                <w:sz w:val="14"/>
                <w:szCs w:val="14"/>
              </w:rPr>
            </w:pPr>
            <w:r w:rsidRPr="00E14EE6">
              <w:rPr>
                <w:b/>
                <w:sz w:val="14"/>
              </w:rPr>
              <w:t>External creditors</w:t>
            </w:r>
          </w:p>
        </w:tc>
        <w:tc>
          <w:tcPr>
            <w:tcW w:w="389" w:type="pct"/>
            <w:noWrap/>
            <w:hideMark/>
          </w:tcPr>
          <w:p w14:paraId="5D1BE945" w14:textId="77777777" w:rsidR="00CA7676" w:rsidRPr="00E14EE6" w:rsidRDefault="00CA7676" w:rsidP="00E14EE6">
            <w:pPr>
              <w:jc w:val="right"/>
              <w:rPr>
                <w:rFonts w:eastAsia="Times New Roman" w:cs="Times New Roman"/>
                <w:b/>
                <w:bCs/>
                <w:color w:val="000000"/>
                <w:sz w:val="14"/>
                <w:szCs w:val="14"/>
              </w:rPr>
            </w:pPr>
            <w:r w:rsidRPr="00E14EE6">
              <w:rPr>
                <w:b/>
                <w:sz w:val="14"/>
              </w:rPr>
              <w:t>1.7</w:t>
            </w:r>
          </w:p>
        </w:tc>
        <w:tc>
          <w:tcPr>
            <w:tcW w:w="390" w:type="pct"/>
            <w:noWrap/>
            <w:hideMark/>
          </w:tcPr>
          <w:p w14:paraId="12D0E56B" w14:textId="67B259EF" w:rsidR="00CA7676" w:rsidRPr="00E14EE6" w:rsidRDefault="00E14EE6" w:rsidP="00E14EE6">
            <w:pPr>
              <w:jc w:val="right"/>
              <w:rPr>
                <w:rFonts w:eastAsia="Times New Roman" w:cs="Times New Roman"/>
                <w:b/>
                <w:bCs/>
                <w:color w:val="000000"/>
                <w:sz w:val="14"/>
                <w:szCs w:val="14"/>
              </w:rPr>
            </w:pPr>
            <w:r w:rsidRPr="00E14EE6">
              <w:rPr>
                <w:b/>
                <w:sz w:val="14"/>
              </w:rPr>
              <w:noBreakHyphen/>
            </w:r>
            <w:r w:rsidR="00CA7676" w:rsidRPr="00E14EE6">
              <w:rPr>
                <w:b/>
                <w:sz w:val="14"/>
              </w:rPr>
              <w:t>0.1</w:t>
            </w:r>
          </w:p>
        </w:tc>
        <w:tc>
          <w:tcPr>
            <w:tcW w:w="390" w:type="pct"/>
            <w:noWrap/>
            <w:hideMark/>
          </w:tcPr>
          <w:p w14:paraId="72FDFC2E" w14:textId="77777777" w:rsidR="00CA7676" w:rsidRPr="00E14EE6" w:rsidRDefault="00CA7676" w:rsidP="00E14EE6">
            <w:pPr>
              <w:jc w:val="right"/>
              <w:rPr>
                <w:rFonts w:eastAsia="Times New Roman" w:cs="Times New Roman"/>
                <w:b/>
                <w:bCs/>
                <w:color w:val="000000"/>
                <w:sz w:val="14"/>
                <w:szCs w:val="14"/>
              </w:rPr>
            </w:pPr>
            <w:r w:rsidRPr="00E14EE6">
              <w:rPr>
                <w:b/>
                <w:sz w:val="14"/>
              </w:rPr>
              <w:t>1.8</w:t>
            </w:r>
          </w:p>
        </w:tc>
        <w:tc>
          <w:tcPr>
            <w:tcW w:w="390" w:type="pct"/>
            <w:noWrap/>
            <w:hideMark/>
          </w:tcPr>
          <w:p w14:paraId="14C06766" w14:textId="77777777" w:rsidR="00CA7676" w:rsidRPr="00E14EE6" w:rsidRDefault="00CA7676" w:rsidP="00E14EE6">
            <w:pPr>
              <w:jc w:val="right"/>
              <w:rPr>
                <w:rFonts w:eastAsia="Times New Roman" w:cs="Times New Roman"/>
                <w:b/>
                <w:bCs/>
                <w:color w:val="000000"/>
                <w:sz w:val="14"/>
                <w:szCs w:val="14"/>
              </w:rPr>
            </w:pPr>
            <w:r w:rsidRPr="00E14EE6">
              <w:rPr>
                <w:b/>
                <w:sz w:val="14"/>
              </w:rPr>
              <w:t>1.4</w:t>
            </w:r>
          </w:p>
        </w:tc>
        <w:tc>
          <w:tcPr>
            <w:tcW w:w="390" w:type="pct"/>
            <w:noWrap/>
            <w:hideMark/>
          </w:tcPr>
          <w:p w14:paraId="344B831B" w14:textId="77777777" w:rsidR="00CA7676" w:rsidRPr="00E14EE6" w:rsidRDefault="00CA7676" w:rsidP="00E14EE6">
            <w:pPr>
              <w:jc w:val="right"/>
              <w:rPr>
                <w:rFonts w:eastAsia="Times New Roman" w:cs="Times New Roman"/>
                <w:b/>
                <w:bCs/>
                <w:color w:val="000000"/>
                <w:sz w:val="14"/>
                <w:szCs w:val="14"/>
              </w:rPr>
            </w:pPr>
            <w:r w:rsidRPr="00E14EE6">
              <w:rPr>
                <w:b/>
                <w:sz w:val="14"/>
              </w:rPr>
              <w:t>3.1</w:t>
            </w:r>
          </w:p>
        </w:tc>
        <w:tc>
          <w:tcPr>
            <w:tcW w:w="390" w:type="pct"/>
            <w:noWrap/>
            <w:hideMark/>
          </w:tcPr>
          <w:p w14:paraId="4FF16E7C" w14:textId="77777777" w:rsidR="00CA7676" w:rsidRPr="00E14EE6" w:rsidRDefault="00CA7676" w:rsidP="00E14EE6">
            <w:pPr>
              <w:jc w:val="right"/>
              <w:rPr>
                <w:rFonts w:eastAsia="Times New Roman" w:cs="Times New Roman"/>
                <w:b/>
                <w:bCs/>
                <w:color w:val="000000"/>
                <w:sz w:val="14"/>
                <w:szCs w:val="14"/>
              </w:rPr>
            </w:pPr>
            <w:r w:rsidRPr="00E14EE6">
              <w:rPr>
                <w:b/>
                <w:sz w:val="14"/>
              </w:rPr>
              <w:t>2.1</w:t>
            </w:r>
          </w:p>
        </w:tc>
        <w:tc>
          <w:tcPr>
            <w:tcW w:w="390" w:type="pct"/>
            <w:noWrap/>
            <w:hideMark/>
          </w:tcPr>
          <w:p w14:paraId="7C28766A" w14:textId="77777777" w:rsidR="00CA7676" w:rsidRPr="00E14EE6" w:rsidRDefault="00CA7676" w:rsidP="00E14EE6">
            <w:pPr>
              <w:jc w:val="right"/>
              <w:rPr>
                <w:rFonts w:eastAsia="Times New Roman" w:cs="Times New Roman"/>
                <w:b/>
                <w:bCs/>
                <w:color w:val="000000"/>
                <w:sz w:val="14"/>
                <w:szCs w:val="14"/>
              </w:rPr>
            </w:pPr>
            <w:r w:rsidRPr="00E14EE6">
              <w:rPr>
                <w:b/>
                <w:sz w:val="14"/>
              </w:rPr>
              <w:t>9.3</w:t>
            </w:r>
          </w:p>
        </w:tc>
        <w:tc>
          <w:tcPr>
            <w:tcW w:w="390" w:type="pct"/>
            <w:noWrap/>
            <w:hideMark/>
          </w:tcPr>
          <w:p w14:paraId="3753CBE0" w14:textId="77777777" w:rsidR="00CA7676" w:rsidRPr="00E14EE6" w:rsidRDefault="00CA7676" w:rsidP="00E14EE6">
            <w:pPr>
              <w:jc w:val="right"/>
              <w:rPr>
                <w:rFonts w:eastAsia="Times New Roman" w:cs="Times New Roman"/>
                <w:b/>
                <w:bCs/>
                <w:color w:val="000000"/>
                <w:sz w:val="14"/>
                <w:szCs w:val="14"/>
              </w:rPr>
            </w:pPr>
            <w:r w:rsidRPr="00E14EE6">
              <w:rPr>
                <w:b/>
                <w:sz w:val="14"/>
              </w:rPr>
              <w:t>2.9</w:t>
            </w:r>
          </w:p>
        </w:tc>
        <w:tc>
          <w:tcPr>
            <w:tcW w:w="390" w:type="pct"/>
            <w:noWrap/>
            <w:hideMark/>
          </w:tcPr>
          <w:p w14:paraId="24C12485" w14:textId="77777777" w:rsidR="00CA7676" w:rsidRPr="00E14EE6" w:rsidRDefault="00CA7676" w:rsidP="00E14EE6">
            <w:pPr>
              <w:jc w:val="right"/>
              <w:rPr>
                <w:rFonts w:eastAsia="Times New Roman" w:cs="Times New Roman"/>
                <w:b/>
                <w:bCs/>
                <w:sz w:val="14"/>
                <w:szCs w:val="14"/>
              </w:rPr>
            </w:pPr>
            <w:r w:rsidRPr="00E14EE6">
              <w:rPr>
                <w:b/>
                <w:sz w:val="14"/>
              </w:rPr>
              <w:t>11.4</w:t>
            </w:r>
          </w:p>
        </w:tc>
      </w:tr>
      <w:tr w:rsidR="00CA7676" w:rsidRPr="00E14EE6" w14:paraId="3F99E40D" w14:textId="77777777" w:rsidTr="00FD6B66">
        <w:trPr>
          <w:cantSplit/>
          <w:trHeight w:val="20"/>
        </w:trPr>
        <w:tc>
          <w:tcPr>
            <w:tcW w:w="1492" w:type="pct"/>
            <w:noWrap/>
            <w:hideMark/>
          </w:tcPr>
          <w:p w14:paraId="22CADD5E" w14:textId="3E18F542" w:rsidR="00CA7676" w:rsidRPr="00E14EE6" w:rsidRDefault="00CA7676" w:rsidP="00E14EE6">
            <w:pPr>
              <w:ind w:firstLineChars="200" w:firstLine="280"/>
              <w:jc w:val="left"/>
              <w:rPr>
                <w:rFonts w:eastAsia="Times New Roman" w:cs="Times New Roman"/>
                <w:sz w:val="14"/>
                <w:szCs w:val="14"/>
              </w:rPr>
            </w:pPr>
            <w:r w:rsidRPr="00E14EE6">
              <w:rPr>
                <w:sz w:val="14"/>
              </w:rPr>
              <w:t>Debt securities</w:t>
            </w:r>
          </w:p>
        </w:tc>
        <w:tc>
          <w:tcPr>
            <w:tcW w:w="389" w:type="pct"/>
            <w:noWrap/>
            <w:hideMark/>
          </w:tcPr>
          <w:p w14:paraId="5B9B3743" w14:textId="77777777" w:rsidR="00CA7676" w:rsidRPr="00E14EE6" w:rsidRDefault="00CA7676" w:rsidP="00E14EE6">
            <w:pPr>
              <w:jc w:val="right"/>
              <w:rPr>
                <w:rFonts w:eastAsia="Times New Roman" w:cs="Times New Roman"/>
                <w:color w:val="000000"/>
                <w:sz w:val="14"/>
                <w:szCs w:val="14"/>
              </w:rPr>
            </w:pPr>
            <w:r w:rsidRPr="00E14EE6">
              <w:rPr>
                <w:sz w:val="14"/>
              </w:rPr>
              <w:t>2.1</w:t>
            </w:r>
          </w:p>
        </w:tc>
        <w:tc>
          <w:tcPr>
            <w:tcW w:w="390" w:type="pct"/>
            <w:noWrap/>
            <w:hideMark/>
          </w:tcPr>
          <w:p w14:paraId="6CA3F68E" w14:textId="77777777" w:rsidR="00CA7676" w:rsidRPr="00E14EE6" w:rsidRDefault="00CA7676" w:rsidP="00E14EE6">
            <w:pPr>
              <w:jc w:val="right"/>
              <w:rPr>
                <w:rFonts w:eastAsia="Times New Roman" w:cs="Times New Roman"/>
                <w:color w:val="000000"/>
                <w:sz w:val="14"/>
                <w:szCs w:val="14"/>
              </w:rPr>
            </w:pPr>
            <w:r w:rsidRPr="00E14EE6">
              <w:rPr>
                <w:sz w:val="14"/>
              </w:rPr>
              <w:t>4.7</w:t>
            </w:r>
          </w:p>
        </w:tc>
        <w:tc>
          <w:tcPr>
            <w:tcW w:w="390" w:type="pct"/>
            <w:noWrap/>
            <w:hideMark/>
          </w:tcPr>
          <w:p w14:paraId="69369108" w14:textId="77777777" w:rsidR="00CA7676" w:rsidRPr="00E14EE6" w:rsidRDefault="00CA7676" w:rsidP="00E14EE6">
            <w:pPr>
              <w:jc w:val="right"/>
              <w:rPr>
                <w:rFonts w:eastAsia="Times New Roman" w:cs="Times New Roman"/>
                <w:color w:val="000000"/>
                <w:sz w:val="14"/>
                <w:szCs w:val="14"/>
              </w:rPr>
            </w:pPr>
            <w:r w:rsidRPr="00E14EE6">
              <w:rPr>
                <w:sz w:val="14"/>
              </w:rPr>
              <w:t>1.9</w:t>
            </w:r>
          </w:p>
        </w:tc>
        <w:tc>
          <w:tcPr>
            <w:tcW w:w="390" w:type="pct"/>
            <w:noWrap/>
            <w:hideMark/>
          </w:tcPr>
          <w:p w14:paraId="6D66CC06" w14:textId="77777777" w:rsidR="00CA7676" w:rsidRPr="00E14EE6" w:rsidRDefault="00CA7676" w:rsidP="00E14EE6">
            <w:pPr>
              <w:jc w:val="right"/>
              <w:rPr>
                <w:rFonts w:eastAsia="Times New Roman" w:cs="Times New Roman"/>
                <w:color w:val="000000"/>
                <w:sz w:val="14"/>
                <w:szCs w:val="14"/>
              </w:rPr>
            </w:pPr>
            <w:r w:rsidRPr="00E14EE6">
              <w:rPr>
                <w:sz w:val="14"/>
              </w:rPr>
              <w:t>2.0</w:t>
            </w:r>
          </w:p>
        </w:tc>
        <w:tc>
          <w:tcPr>
            <w:tcW w:w="390" w:type="pct"/>
            <w:noWrap/>
            <w:hideMark/>
          </w:tcPr>
          <w:p w14:paraId="1BAE0681" w14:textId="77777777" w:rsidR="00CA7676" w:rsidRPr="00E14EE6" w:rsidRDefault="00CA7676" w:rsidP="00E14EE6">
            <w:pPr>
              <w:jc w:val="right"/>
              <w:rPr>
                <w:rFonts w:eastAsia="Times New Roman" w:cs="Times New Roman"/>
                <w:color w:val="000000"/>
                <w:sz w:val="14"/>
                <w:szCs w:val="14"/>
              </w:rPr>
            </w:pPr>
            <w:r w:rsidRPr="00E14EE6">
              <w:rPr>
                <w:sz w:val="14"/>
              </w:rPr>
              <w:t>3.5</w:t>
            </w:r>
          </w:p>
        </w:tc>
        <w:tc>
          <w:tcPr>
            <w:tcW w:w="390" w:type="pct"/>
            <w:noWrap/>
            <w:hideMark/>
          </w:tcPr>
          <w:p w14:paraId="7E3C544F" w14:textId="77777777" w:rsidR="00CA7676" w:rsidRPr="00E14EE6" w:rsidRDefault="00CA7676" w:rsidP="00E14EE6">
            <w:pPr>
              <w:jc w:val="right"/>
              <w:rPr>
                <w:rFonts w:eastAsia="Times New Roman" w:cs="Times New Roman"/>
                <w:color w:val="000000"/>
                <w:sz w:val="14"/>
                <w:szCs w:val="14"/>
              </w:rPr>
            </w:pPr>
            <w:r w:rsidRPr="00E14EE6">
              <w:rPr>
                <w:sz w:val="14"/>
              </w:rPr>
              <w:t>2.2</w:t>
            </w:r>
          </w:p>
        </w:tc>
        <w:tc>
          <w:tcPr>
            <w:tcW w:w="390" w:type="pct"/>
            <w:noWrap/>
            <w:hideMark/>
          </w:tcPr>
          <w:p w14:paraId="6B7B458B" w14:textId="77777777" w:rsidR="00CA7676" w:rsidRPr="00E14EE6" w:rsidRDefault="00CA7676" w:rsidP="00E14EE6">
            <w:pPr>
              <w:jc w:val="right"/>
              <w:rPr>
                <w:rFonts w:eastAsia="Times New Roman" w:cs="Times New Roman"/>
                <w:color w:val="000000"/>
                <w:sz w:val="14"/>
                <w:szCs w:val="14"/>
              </w:rPr>
            </w:pPr>
            <w:r w:rsidRPr="00E14EE6">
              <w:rPr>
                <w:sz w:val="14"/>
              </w:rPr>
              <w:t>7.2</w:t>
            </w:r>
          </w:p>
        </w:tc>
        <w:tc>
          <w:tcPr>
            <w:tcW w:w="390" w:type="pct"/>
            <w:noWrap/>
            <w:hideMark/>
          </w:tcPr>
          <w:p w14:paraId="7327E698" w14:textId="77777777" w:rsidR="00CA7676" w:rsidRPr="00E14EE6" w:rsidRDefault="00CA7676" w:rsidP="00E14EE6">
            <w:pPr>
              <w:jc w:val="right"/>
              <w:rPr>
                <w:rFonts w:eastAsia="Times New Roman" w:cs="Times New Roman"/>
                <w:color w:val="000000"/>
                <w:sz w:val="14"/>
                <w:szCs w:val="14"/>
              </w:rPr>
            </w:pPr>
            <w:r w:rsidRPr="00E14EE6">
              <w:rPr>
                <w:sz w:val="14"/>
              </w:rPr>
              <w:t>2.9</w:t>
            </w:r>
          </w:p>
        </w:tc>
        <w:tc>
          <w:tcPr>
            <w:tcW w:w="390" w:type="pct"/>
            <w:noWrap/>
            <w:hideMark/>
          </w:tcPr>
          <w:p w14:paraId="5CC65439" w14:textId="77777777" w:rsidR="00CA7676" w:rsidRPr="00E14EE6" w:rsidRDefault="00CA7676" w:rsidP="00E14EE6">
            <w:pPr>
              <w:jc w:val="right"/>
              <w:rPr>
                <w:rFonts w:eastAsia="Times New Roman" w:cs="Times New Roman"/>
                <w:sz w:val="14"/>
                <w:szCs w:val="14"/>
              </w:rPr>
            </w:pPr>
            <w:r w:rsidRPr="00E14EE6">
              <w:rPr>
                <w:sz w:val="14"/>
              </w:rPr>
              <w:t>10.5</w:t>
            </w:r>
          </w:p>
        </w:tc>
      </w:tr>
      <w:tr w:rsidR="00CA7676" w:rsidRPr="00E14EE6" w14:paraId="33DD048D" w14:textId="77777777" w:rsidTr="00FD6B66">
        <w:trPr>
          <w:cnfStyle w:val="000000010000" w:firstRow="0" w:lastRow="0" w:firstColumn="0" w:lastColumn="0" w:oddVBand="0" w:evenVBand="0" w:oddHBand="0" w:evenHBand="1" w:firstRowFirstColumn="0" w:firstRowLastColumn="0" w:lastRowFirstColumn="0" w:lastRowLastColumn="0"/>
          <w:cantSplit/>
          <w:trHeight w:val="20"/>
        </w:trPr>
        <w:tc>
          <w:tcPr>
            <w:tcW w:w="1492" w:type="pct"/>
            <w:noWrap/>
            <w:hideMark/>
          </w:tcPr>
          <w:p w14:paraId="0DCE9C4B" w14:textId="77777777" w:rsidR="00CA7676" w:rsidRPr="00E14EE6" w:rsidRDefault="00CA7676" w:rsidP="00E14EE6">
            <w:pPr>
              <w:ind w:firstLineChars="300" w:firstLine="420"/>
              <w:jc w:val="left"/>
              <w:rPr>
                <w:rFonts w:eastAsia="Times New Roman" w:cs="Times New Roman"/>
                <w:sz w:val="14"/>
                <w:szCs w:val="14"/>
              </w:rPr>
            </w:pPr>
            <w:r w:rsidRPr="00E14EE6">
              <w:rPr>
                <w:sz w:val="14"/>
              </w:rPr>
              <w:t>Issues</w:t>
            </w:r>
          </w:p>
        </w:tc>
        <w:tc>
          <w:tcPr>
            <w:tcW w:w="389" w:type="pct"/>
            <w:noWrap/>
            <w:hideMark/>
          </w:tcPr>
          <w:p w14:paraId="4A4EAD5B" w14:textId="77777777" w:rsidR="00CA7676" w:rsidRPr="00E14EE6" w:rsidRDefault="00CA7676" w:rsidP="00E14EE6">
            <w:pPr>
              <w:jc w:val="right"/>
              <w:rPr>
                <w:rFonts w:eastAsia="Times New Roman" w:cs="Times New Roman"/>
                <w:color w:val="000000"/>
                <w:sz w:val="14"/>
                <w:szCs w:val="14"/>
              </w:rPr>
            </w:pPr>
            <w:r w:rsidRPr="00E14EE6">
              <w:rPr>
                <w:sz w:val="14"/>
              </w:rPr>
              <w:t>2.2</w:t>
            </w:r>
          </w:p>
        </w:tc>
        <w:tc>
          <w:tcPr>
            <w:tcW w:w="390" w:type="pct"/>
            <w:noWrap/>
            <w:hideMark/>
          </w:tcPr>
          <w:p w14:paraId="475D5A2B" w14:textId="77777777" w:rsidR="00CA7676" w:rsidRPr="00E14EE6" w:rsidRDefault="00CA7676" w:rsidP="00E14EE6">
            <w:pPr>
              <w:jc w:val="right"/>
              <w:rPr>
                <w:rFonts w:eastAsia="Times New Roman" w:cs="Times New Roman"/>
                <w:color w:val="000000"/>
                <w:sz w:val="14"/>
                <w:szCs w:val="14"/>
              </w:rPr>
            </w:pPr>
            <w:r w:rsidRPr="00E14EE6">
              <w:rPr>
                <w:sz w:val="14"/>
              </w:rPr>
              <w:t>4.9</w:t>
            </w:r>
          </w:p>
        </w:tc>
        <w:tc>
          <w:tcPr>
            <w:tcW w:w="390" w:type="pct"/>
            <w:noWrap/>
            <w:hideMark/>
          </w:tcPr>
          <w:p w14:paraId="635902DA" w14:textId="77777777" w:rsidR="00CA7676" w:rsidRPr="00E14EE6" w:rsidRDefault="00CA7676" w:rsidP="00E14EE6">
            <w:pPr>
              <w:jc w:val="right"/>
              <w:rPr>
                <w:rFonts w:eastAsia="Times New Roman" w:cs="Times New Roman"/>
                <w:color w:val="000000"/>
                <w:sz w:val="14"/>
                <w:szCs w:val="14"/>
              </w:rPr>
            </w:pPr>
            <w:r w:rsidRPr="00E14EE6">
              <w:rPr>
                <w:sz w:val="14"/>
              </w:rPr>
              <w:t>2.0</w:t>
            </w:r>
          </w:p>
        </w:tc>
        <w:tc>
          <w:tcPr>
            <w:tcW w:w="390" w:type="pct"/>
            <w:noWrap/>
            <w:hideMark/>
          </w:tcPr>
          <w:p w14:paraId="68CF603A" w14:textId="77777777" w:rsidR="00CA7676" w:rsidRPr="00E14EE6" w:rsidRDefault="00CA7676" w:rsidP="00E14EE6">
            <w:pPr>
              <w:jc w:val="right"/>
              <w:rPr>
                <w:rFonts w:eastAsia="Times New Roman" w:cs="Times New Roman"/>
                <w:color w:val="000000"/>
                <w:sz w:val="14"/>
                <w:szCs w:val="14"/>
              </w:rPr>
            </w:pPr>
            <w:r w:rsidRPr="00E14EE6">
              <w:rPr>
                <w:sz w:val="14"/>
              </w:rPr>
              <w:t>2.1</w:t>
            </w:r>
          </w:p>
        </w:tc>
        <w:tc>
          <w:tcPr>
            <w:tcW w:w="390" w:type="pct"/>
            <w:noWrap/>
            <w:hideMark/>
          </w:tcPr>
          <w:p w14:paraId="76AB74A6" w14:textId="77777777" w:rsidR="00CA7676" w:rsidRPr="00E14EE6" w:rsidRDefault="00CA7676" w:rsidP="00E14EE6">
            <w:pPr>
              <w:jc w:val="right"/>
              <w:rPr>
                <w:rFonts w:eastAsia="Times New Roman" w:cs="Times New Roman"/>
                <w:color w:val="000000"/>
                <w:sz w:val="14"/>
                <w:szCs w:val="14"/>
              </w:rPr>
            </w:pPr>
            <w:r w:rsidRPr="00E14EE6">
              <w:rPr>
                <w:sz w:val="14"/>
              </w:rPr>
              <w:t>3.6</w:t>
            </w:r>
          </w:p>
        </w:tc>
        <w:tc>
          <w:tcPr>
            <w:tcW w:w="390" w:type="pct"/>
            <w:noWrap/>
            <w:hideMark/>
          </w:tcPr>
          <w:p w14:paraId="2AA6ED81" w14:textId="77777777" w:rsidR="00CA7676" w:rsidRPr="00E14EE6" w:rsidRDefault="00CA7676" w:rsidP="00E14EE6">
            <w:pPr>
              <w:jc w:val="right"/>
              <w:rPr>
                <w:rFonts w:eastAsia="Times New Roman" w:cs="Times New Roman"/>
                <w:color w:val="000000"/>
                <w:sz w:val="14"/>
                <w:szCs w:val="14"/>
              </w:rPr>
            </w:pPr>
            <w:r w:rsidRPr="00E14EE6">
              <w:rPr>
                <w:sz w:val="14"/>
              </w:rPr>
              <w:t>2.7</w:t>
            </w:r>
          </w:p>
        </w:tc>
        <w:tc>
          <w:tcPr>
            <w:tcW w:w="390" w:type="pct"/>
            <w:noWrap/>
            <w:hideMark/>
          </w:tcPr>
          <w:p w14:paraId="60F2489A" w14:textId="77777777" w:rsidR="00CA7676" w:rsidRPr="00E14EE6" w:rsidRDefault="00CA7676" w:rsidP="00E14EE6">
            <w:pPr>
              <w:jc w:val="right"/>
              <w:rPr>
                <w:rFonts w:eastAsia="Times New Roman" w:cs="Times New Roman"/>
                <w:color w:val="000000"/>
                <w:sz w:val="14"/>
                <w:szCs w:val="14"/>
              </w:rPr>
            </w:pPr>
            <w:r w:rsidRPr="00E14EE6">
              <w:rPr>
                <w:sz w:val="14"/>
              </w:rPr>
              <w:t>9.4</w:t>
            </w:r>
          </w:p>
        </w:tc>
        <w:tc>
          <w:tcPr>
            <w:tcW w:w="390" w:type="pct"/>
            <w:noWrap/>
            <w:hideMark/>
          </w:tcPr>
          <w:p w14:paraId="49D81483" w14:textId="77777777" w:rsidR="00CA7676" w:rsidRPr="00E14EE6" w:rsidRDefault="00CA7676" w:rsidP="00E14EE6">
            <w:pPr>
              <w:jc w:val="right"/>
              <w:rPr>
                <w:rFonts w:eastAsia="Times New Roman" w:cs="Times New Roman"/>
                <w:color w:val="000000"/>
                <w:sz w:val="14"/>
                <w:szCs w:val="14"/>
              </w:rPr>
            </w:pPr>
            <w:r w:rsidRPr="00E14EE6">
              <w:rPr>
                <w:sz w:val="14"/>
              </w:rPr>
              <w:t>3.0</w:t>
            </w:r>
          </w:p>
        </w:tc>
        <w:tc>
          <w:tcPr>
            <w:tcW w:w="390" w:type="pct"/>
            <w:noWrap/>
            <w:hideMark/>
          </w:tcPr>
          <w:p w14:paraId="0197B3E5" w14:textId="77777777" w:rsidR="00CA7676" w:rsidRPr="00E14EE6" w:rsidRDefault="00CA7676" w:rsidP="00E14EE6">
            <w:pPr>
              <w:jc w:val="right"/>
              <w:rPr>
                <w:rFonts w:eastAsia="Times New Roman" w:cs="Times New Roman"/>
                <w:sz w:val="14"/>
                <w:szCs w:val="14"/>
              </w:rPr>
            </w:pPr>
            <w:r w:rsidRPr="00E14EE6">
              <w:rPr>
                <w:sz w:val="14"/>
              </w:rPr>
              <w:t>13.5</w:t>
            </w:r>
          </w:p>
        </w:tc>
      </w:tr>
      <w:tr w:rsidR="00CA7676" w:rsidRPr="00E14EE6" w14:paraId="0D71DF08" w14:textId="77777777" w:rsidTr="00FD6B66">
        <w:trPr>
          <w:cantSplit/>
          <w:trHeight w:val="20"/>
        </w:trPr>
        <w:tc>
          <w:tcPr>
            <w:tcW w:w="1492" w:type="pct"/>
            <w:noWrap/>
            <w:hideMark/>
          </w:tcPr>
          <w:p w14:paraId="41045D15" w14:textId="4652EDCA" w:rsidR="00CA7676" w:rsidRPr="00E14EE6" w:rsidRDefault="00CA7676" w:rsidP="00E14EE6">
            <w:pPr>
              <w:ind w:firstLineChars="300" w:firstLine="420"/>
              <w:jc w:val="left"/>
              <w:rPr>
                <w:rFonts w:eastAsia="Times New Roman" w:cs="Times New Roman"/>
                <w:sz w:val="14"/>
                <w:szCs w:val="14"/>
              </w:rPr>
            </w:pPr>
            <w:r w:rsidRPr="00E14EE6">
              <w:rPr>
                <w:sz w:val="14"/>
              </w:rPr>
              <w:t>Amortization</w:t>
            </w:r>
          </w:p>
        </w:tc>
        <w:tc>
          <w:tcPr>
            <w:tcW w:w="389" w:type="pct"/>
            <w:noWrap/>
            <w:hideMark/>
          </w:tcPr>
          <w:p w14:paraId="5F73B506" w14:textId="3719DCE6" w:rsidR="00CA7676" w:rsidRPr="00E14EE6" w:rsidRDefault="00E14EE6" w:rsidP="00E14EE6">
            <w:pPr>
              <w:jc w:val="right"/>
              <w:rPr>
                <w:rFonts w:eastAsia="Times New Roman" w:cs="Times New Roman"/>
                <w:color w:val="000000"/>
                <w:sz w:val="14"/>
                <w:szCs w:val="14"/>
              </w:rPr>
            </w:pPr>
            <w:r w:rsidRPr="00E14EE6">
              <w:rPr>
                <w:sz w:val="14"/>
              </w:rPr>
              <w:noBreakHyphen/>
            </w:r>
            <w:r w:rsidR="00CA7676" w:rsidRPr="00E14EE6">
              <w:rPr>
                <w:sz w:val="14"/>
              </w:rPr>
              <w:t>0.2</w:t>
            </w:r>
          </w:p>
        </w:tc>
        <w:tc>
          <w:tcPr>
            <w:tcW w:w="390" w:type="pct"/>
            <w:noWrap/>
            <w:hideMark/>
          </w:tcPr>
          <w:p w14:paraId="74F486C9" w14:textId="7F290794" w:rsidR="00CA7676" w:rsidRPr="00E14EE6" w:rsidRDefault="00E14EE6" w:rsidP="00E14EE6">
            <w:pPr>
              <w:jc w:val="right"/>
              <w:rPr>
                <w:rFonts w:eastAsia="Times New Roman" w:cs="Times New Roman"/>
                <w:color w:val="000000"/>
                <w:sz w:val="14"/>
                <w:szCs w:val="14"/>
              </w:rPr>
            </w:pPr>
            <w:r w:rsidRPr="00E14EE6">
              <w:rPr>
                <w:sz w:val="14"/>
              </w:rPr>
              <w:noBreakHyphen/>
            </w:r>
            <w:r w:rsidR="00CA7676" w:rsidRPr="00E14EE6">
              <w:rPr>
                <w:sz w:val="14"/>
              </w:rPr>
              <w:t>0.2</w:t>
            </w:r>
          </w:p>
        </w:tc>
        <w:tc>
          <w:tcPr>
            <w:tcW w:w="390" w:type="pct"/>
            <w:noWrap/>
            <w:hideMark/>
          </w:tcPr>
          <w:p w14:paraId="63E3C487" w14:textId="07067681" w:rsidR="00CA7676" w:rsidRPr="00E14EE6" w:rsidRDefault="00E14EE6" w:rsidP="00E14EE6">
            <w:pPr>
              <w:jc w:val="right"/>
              <w:rPr>
                <w:rFonts w:eastAsia="Times New Roman" w:cs="Times New Roman"/>
                <w:color w:val="000000"/>
                <w:sz w:val="14"/>
                <w:szCs w:val="14"/>
              </w:rPr>
            </w:pPr>
            <w:r w:rsidRPr="00E14EE6">
              <w:rPr>
                <w:sz w:val="14"/>
              </w:rPr>
              <w:noBreakHyphen/>
            </w:r>
            <w:r w:rsidR="00CA7676" w:rsidRPr="00E14EE6">
              <w:rPr>
                <w:sz w:val="14"/>
              </w:rPr>
              <w:t>0.2</w:t>
            </w:r>
          </w:p>
        </w:tc>
        <w:tc>
          <w:tcPr>
            <w:tcW w:w="390" w:type="pct"/>
            <w:noWrap/>
            <w:hideMark/>
          </w:tcPr>
          <w:p w14:paraId="33F76475" w14:textId="09E10BFF" w:rsidR="00CA7676" w:rsidRPr="00E14EE6" w:rsidRDefault="00E14EE6" w:rsidP="00E14EE6">
            <w:pPr>
              <w:jc w:val="right"/>
              <w:rPr>
                <w:rFonts w:eastAsia="Times New Roman" w:cs="Times New Roman"/>
                <w:color w:val="000000"/>
                <w:sz w:val="14"/>
                <w:szCs w:val="14"/>
              </w:rPr>
            </w:pPr>
            <w:r w:rsidRPr="00E14EE6">
              <w:rPr>
                <w:sz w:val="14"/>
              </w:rPr>
              <w:noBreakHyphen/>
            </w:r>
            <w:r w:rsidR="00CA7676" w:rsidRPr="00E14EE6">
              <w:rPr>
                <w:sz w:val="14"/>
              </w:rPr>
              <w:t>0.2</w:t>
            </w:r>
          </w:p>
        </w:tc>
        <w:tc>
          <w:tcPr>
            <w:tcW w:w="390" w:type="pct"/>
            <w:noWrap/>
            <w:hideMark/>
          </w:tcPr>
          <w:p w14:paraId="34D5A82F" w14:textId="28841F0B" w:rsidR="00CA7676" w:rsidRPr="00E14EE6" w:rsidRDefault="00E14EE6" w:rsidP="00E14EE6">
            <w:pPr>
              <w:jc w:val="right"/>
              <w:rPr>
                <w:rFonts w:eastAsia="Times New Roman" w:cs="Times New Roman"/>
                <w:color w:val="000000"/>
                <w:sz w:val="14"/>
                <w:szCs w:val="14"/>
              </w:rPr>
            </w:pPr>
            <w:r w:rsidRPr="00E14EE6">
              <w:rPr>
                <w:sz w:val="14"/>
              </w:rPr>
              <w:noBreakHyphen/>
            </w:r>
            <w:r w:rsidR="00CA7676" w:rsidRPr="00E14EE6">
              <w:rPr>
                <w:sz w:val="14"/>
              </w:rPr>
              <w:t>0.1</w:t>
            </w:r>
          </w:p>
        </w:tc>
        <w:tc>
          <w:tcPr>
            <w:tcW w:w="390" w:type="pct"/>
            <w:noWrap/>
            <w:hideMark/>
          </w:tcPr>
          <w:p w14:paraId="03A1D816" w14:textId="0F639A84" w:rsidR="00CA7676" w:rsidRPr="00E14EE6" w:rsidRDefault="00E14EE6" w:rsidP="00E14EE6">
            <w:pPr>
              <w:jc w:val="right"/>
              <w:rPr>
                <w:rFonts w:eastAsia="Times New Roman" w:cs="Times New Roman"/>
                <w:color w:val="000000"/>
                <w:sz w:val="14"/>
                <w:szCs w:val="14"/>
              </w:rPr>
            </w:pPr>
            <w:r w:rsidRPr="00E14EE6">
              <w:rPr>
                <w:sz w:val="14"/>
              </w:rPr>
              <w:noBreakHyphen/>
            </w:r>
            <w:r w:rsidR="00CA7676" w:rsidRPr="00E14EE6">
              <w:rPr>
                <w:sz w:val="14"/>
              </w:rPr>
              <w:t>0.6</w:t>
            </w:r>
          </w:p>
        </w:tc>
        <w:tc>
          <w:tcPr>
            <w:tcW w:w="390" w:type="pct"/>
            <w:noWrap/>
            <w:hideMark/>
          </w:tcPr>
          <w:p w14:paraId="72EB82A1" w14:textId="4CFD9C07" w:rsidR="00CA7676" w:rsidRPr="00E14EE6" w:rsidRDefault="00E14EE6" w:rsidP="00E14EE6">
            <w:pPr>
              <w:jc w:val="right"/>
              <w:rPr>
                <w:rFonts w:eastAsia="Times New Roman" w:cs="Times New Roman"/>
                <w:color w:val="000000"/>
                <w:sz w:val="14"/>
                <w:szCs w:val="14"/>
              </w:rPr>
            </w:pPr>
            <w:r w:rsidRPr="00E14EE6">
              <w:rPr>
                <w:sz w:val="14"/>
              </w:rPr>
              <w:noBreakHyphen/>
            </w:r>
            <w:r w:rsidR="00CA7676" w:rsidRPr="00E14EE6">
              <w:rPr>
                <w:sz w:val="14"/>
              </w:rPr>
              <w:t>2.3</w:t>
            </w:r>
          </w:p>
        </w:tc>
        <w:tc>
          <w:tcPr>
            <w:tcW w:w="390" w:type="pct"/>
            <w:noWrap/>
            <w:hideMark/>
          </w:tcPr>
          <w:p w14:paraId="4FFF54FF" w14:textId="139FFF61" w:rsidR="00CA7676" w:rsidRPr="00E14EE6" w:rsidRDefault="00E14EE6" w:rsidP="00E14EE6">
            <w:pPr>
              <w:jc w:val="right"/>
              <w:rPr>
                <w:rFonts w:eastAsia="Times New Roman" w:cs="Times New Roman"/>
                <w:color w:val="000000"/>
                <w:sz w:val="14"/>
                <w:szCs w:val="14"/>
              </w:rPr>
            </w:pPr>
            <w:r w:rsidRPr="00E14EE6">
              <w:rPr>
                <w:sz w:val="14"/>
              </w:rPr>
              <w:noBreakHyphen/>
            </w:r>
            <w:r w:rsidR="00CA7676" w:rsidRPr="00E14EE6">
              <w:rPr>
                <w:sz w:val="14"/>
              </w:rPr>
              <w:t>0.1</w:t>
            </w:r>
          </w:p>
        </w:tc>
        <w:tc>
          <w:tcPr>
            <w:tcW w:w="390" w:type="pct"/>
            <w:noWrap/>
            <w:hideMark/>
          </w:tcPr>
          <w:p w14:paraId="116C93E1" w14:textId="48727A2B" w:rsidR="00CA7676" w:rsidRPr="00E14EE6" w:rsidRDefault="00E14EE6" w:rsidP="00E14EE6">
            <w:pPr>
              <w:jc w:val="right"/>
              <w:rPr>
                <w:rFonts w:eastAsia="Times New Roman" w:cs="Times New Roman"/>
                <w:sz w:val="14"/>
                <w:szCs w:val="14"/>
              </w:rPr>
            </w:pPr>
            <w:r w:rsidRPr="00E14EE6">
              <w:rPr>
                <w:sz w:val="14"/>
              </w:rPr>
              <w:noBreakHyphen/>
            </w:r>
            <w:r w:rsidR="00CA7676" w:rsidRPr="00E14EE6">
              <w:rPr>
                <w:sz w:val="14"/>
              </w:rPr>
              <w:t>3.1</w:t>
            </w:r>
          </w:p>
        </w:tc>
      </w:tr>
      <w:tr w:rsidR="00CA7676" w:rsidRPr="00E14EE6" w14:paraId="2DB85838" w14:textId="77777777" w:rsidTr="00FD6B66">
        <w:trPr>
          <w:cnfStyle w:val="000000010000" w:firstRow="0" w:lastRow="0" w:firstColumn="0" w:lastColumn="0" w:oddVBand="0" w:evenVBand="0" w:oddHBand="0" w:evenHBand="1" w:firstRowFirstColumn="0" w:firstRowLastColumn="0" w:lastRowFirstColumn="0" w:lastRowLastColumn="0"/>
          <w:cantSplit/>
          <w:trHeight w:val="20"/>
        </w:trPr>
        <w:tc>
          <w:tcPr>
            <w:tcW w:w="1492" w:type="pct"/>
            <w:noWrap/>
            <w:hideMark/>
          </w:tcPr>
          <w:p w14:paraId="6485E389" w14:textId="6155AC84" w:rsidR="00CA7676" w:rsidRPr="00E14EE6" w:rsidRDefault="00CA7676" w:rsidP="00E14EE6">
            <w:pPr>
              <w:ind w:firstLineChars="300" w:firstLine="420"/>
              <w:jc w:val="left"/>
              <w:rPr>
                <w:rFonts w:eastAsia="Times New Roman" w:cs="Times New Roman"/>
                <w:sz w:val="14"/>
                <w:szCs w:val="14"/>
              </w:rPr>
            </w:pPr>
            <w:proofErr w:type="spellStart"/>
            <w:r w:rsidRPr="00E14EE6">
              <w:rPr>
                <w:sz w:val="14"/>
              </w:rPr>
              <w:t>Balance</w:t>
            </w:r>
            <w:r w:rsidR="00AE2C21" w:rsidRPr="00E14EE6">
              <w:rPr>
                <w:rFonts w:eastAsia="Times New Roman" w:cs="Times New Roman"/>
                <w:sz w:val="14"/>
                <w:szCs w:val="14"/>
                <w:vertAlign w:val="superscript"/>
                <w:lang w:eastAsia="en-GB"/>
              </w:rPr>
              <w:t>f</w:t>
            </w:r>
            <w:proofErr w:type="spellEnd"/>
          </w:p>
        </w:tc>
        <w:tc>
          <w:tcPr>
            <w:tcW w:w="389" w:type="pct"/>
            <w:noWrap/>
            <w:hideMark/>
          </w:tcPr>
          <w:p w14:paraId="7F76F05B" w14:textId="77777777" w:rsidR="00CA7676" w:rsidRPr="00E14EE6" w:rsidRDefault="00CA7676" w:rsidP="00E14EE6">
            <w:pPr>
              <w:jc w:val="right"/>
              <w:rPr>
                <w:rFonts w:eastAsia="Times New Roman" w:cs="Times New Roman"/>
                <w:color w:val="000000"/>
                <w:sz w:val="14"/>
                <w:szCs w:val="14"/>
              </w:rPr>
            </w:pPr>
            <w:r w:rsidRPr="00E14EE6">
              <w:rPr>
                <w:sz w:val="14"/>
              </w:rPr>
              <w:t>0.0</w:t>
            </w:r>
          </w:p>
        </w:tc>
        <w:tc>
          <w:tcPr>
            <w:tcW w:w="390" w:type="pct"/>
            <w:noWrap/>
            <w:hideMark/>
          </w:tcPr>
          <w:p w14:paraId="10EFE15A" w14:textId="77777777" w:rsidR="00CA7676" w:rsidRPr="00E14EE6" w:rsidRDefault="00CA7676" w:rsidP="00E14EE6">
            <w:pPr>
              <w:jc w:val="right"/>
              <w:rPr>
                <w:rFonts w:eastAsia="Times New Roman" w:cs="Times New Roman"/>
                <w:color w:val="000000"/>
                <w:sz w:val="14"/>
                <w:szCs w:val="14"/>
              </w:rPr>
            </w:pPr>
            <w:r w:rsidRPr="00E14EE6">
              <w:rPr>
                <w:sz w:val="14"/>
              </w:rPr>
              <w:t>0.0</w:t>
            </w:r>
          </w:p>
        </w:tc>
        <w:tc>
          <w:tcPr>
            <w:tcW w:w="390" w:type="pct"/>
            <w:noWrap/>
            <w:hideMark/>
          </w:tcPr>
          <w:p w14:paraId="5DA4EAC6" w14:textId="77777777" w:rsidR="00CA7676" w:rsidRPr="00E14EE6" w:rsidRDefault="00CA7676" w:rsidP="00E14EE6">
            <w:pPr>
              <w:jc w:val="right"/>
              <w:rPr>
                <w:rFonts w:eastAsia="Times New Roman" w:cs="Times New Roman"/>
                <w:color w:val="000000"/>
                <w:sz w:val="14"/>
                <w:szCs w:val="14"/>
              </w:rPr>
            </w:pPr>
            <w:r w:rsidRPr="00E14EE6">
              <w:rPr>
                <w:sz w:val="14"/>
              </w:rPr>
              <w:t>0.1</w:t>
            </w:r>
          </w:p>
        </w:tc>
        <w:tc>
          <w:tcPr>
            <w:tcW w:w="390" w:type="pct"/>
            <w:noWrap/>
            <w:hideMark/>
          </w:tcPr>
          <w:p w14:paraId="1ACF86CC" w14:textId="77777777" w:rsidR="00CA7676" w:rsidRPr="00E14EE6" w:rsidRDefault="00CA7676" w:rsidP="00E14EE6">
            <w:pPr>
              <w:jc w:val="right"/>
              <w:rPr>
                <w:rFonts w:eastAsia="Times New Roman" w:cs="Times New Roman"/>
                <w:color w:val="000000"/>
                <w:sz w:val="14"/>
                <w:szCs w:val="14"/>
              </w:rPr>
            </w:pPr>
            <w:r w:rsidRPr="00E14EE6">
              <w:rPr>
                <w:sz w:val="14"/>
              </w:rPr>
              <w:t>0.0</w:t>
            </w:r>
          </w:p>
        </w:tc>
        <w:tc>
          <w:tcPr>
            <w:tcW w:w="390" w:type="pct"/>
            <w:noWrap/>
            <w:hideMark/>
          </w:tcPr>
          <w:p w14:paraId="267303EC" w14:textId="77777777" w:rsidR="00CA7676" w:rsidRPr="00E14EE6" w:rsidRDefault="00CA7676" w:rsidP="00E14EE6">
            <w:pPr>
              <w:jc w:val="right"/>
              <w:rPr>
                <w:rFonts w:eastAsia="Times New Roman" w:cs="Times New Roman"/>
                <w:color w:val="000000"/>
                <w:sz w:val="14"/>
                <w:szCs w:val="14"/>
              </w:rPr>
            </w:pPr>
            <w:r w:rsidRPr="00E14EE6">
              <w:rPr>
                <w:sz w:val="14"/>
              </w:rPr>
              <w:t>0.0</w:t>
            </w:r>
          </w:p>
        </w:tc>
        <w:tc>
          <w:tcPr>
            <w:tcW w:w="390" w:type="pct"/>
            <w:noWrap/>
            <w:hideMark/>
          </w:tcPr>
          <w:p w14:paraId="256A36F9" w14:textId="77777777" w:rsidR="00CA7676" w:rsidRPr="00E14EE6" w:rsidRDefault="00CA7676" w:rsidP="00E14EE6">
            <w:pPr>
              <w:jc w:val="right"/>
              <w:rPr>
                <w:rFonts w:eastAsia="Times New Roman" w:cs="Times New Roman"/>
                <w:color w:val="000000"/>
                <w:sz w:val="14"/>
                <w:szCs w:val="14"/>
              </w:rPr>
            </w:pPr>
            <w:r w:rsidRPr="00E14EE6">
              <w:rPr>
                <w:sz w:val="14"/>
              </w:rPr>
              <w:t>0.0</w:t>
            </w:r>
          </w:p>
        </w:tc>
        <w:tc>
          <w:tcPr>
            <w:tcW w:w="390" w:type="pct"/>
            <w:noWrap/>
            <w:hideMark/>
          </w:tcPr>
          <w:p w14:paraId="76CBB7CF" w14:textId="77777777" w:rsidR="00CA7676" w:rsidRPr="00E14EE6" w:rsidRDefault="00CA7676" w:rsidP="00E14EE6">
            <w:pPr>
              <w:jc w:val="right"/>
              <w:rPr>
                <w:rFonts w:eastAsia="Times New Roman" w:cs="Times New Roman"/>
                <w:color w:val="000000"/>
                <w:sz w:val="14"/>
                <w:szCs w:val="14"/>
              </w:rPr>
            </w:pPr>
            <w:r w:rsidRPr="00E14EE6">
              <w:rPr>
                <w:sz w:val="14"/>
              </w:rPr>
              <w:t>0.0</w:t>
            </w:r>
          </w:p>
        </w:tc>
        <w:tc>
          <w:tcPr>
            <w:tcW w:w="390" w:type="pct"/>
            <w:noWrap/>
            <w:hideMark/>
          </w:tcPr>
          <w:p w14:paraId="005779BD" w14:textId="77777777" w:rsidR="00CA7676" w:rsidRPr="00E14EE6" w:rsidRDefault="00CA7676" w:rsidP="00E14EE6">
            <w:pPr>
              <w:jc w:val="right"/>
              <w:rPr>
                <w:rFonts w:eastAsia="Times New Roman" w:cs="Times New Roman"/>
                <w:color w:val="000000"/>
                <w:sz w:val="14"/>
                <w:szCs w:val="14"/>
              </w:rPr>
            </w:pPr>
            <w:r w:rsidRPr="00E14EE6">
              <w:rPr>
                <w:sz w:val="14"/>
              </w:rPr>
              <w:t>0.0</w:t>
            </w:r>
          </w:p>
        </w:tc>
        <w:tc>
          <w:tcPr>
            <w:tcW w:w="390" w:type="pct"/>
            <w:noWrap/>
            <w:hideMark/>
          </w:tcPr>
          <w:p w14:paraId="36E5ECC0" w14:textId="77777777" w:rsidR="00CA7676" w:rsidRPr="00E14EE6" w:rsidRDefault="00CA7676" w:rsidP="00E14EE6">
            <w:pPr>
              <w:jc w:val="right"/>
              <w:rPr>
                <w:rFonts w:eastAsia="Times New Roman" w:cs="Times New Roman"/>
                <w:sz w:val="14"/>
                <w:szCs w:val="14"/>
              </w:rPr>
            </w:pPr>
            <w:r w:rsidRPr="00E14EE6">
              <w:rPr>
                <w:sz w:val="14"/>
              </w:rPr>
              <w:t>0.0</w:t>
            </w:r>
          </w:p>
        </w:tc>
      </w:tr>
      <w:tr w:rsidR="00CA7676" w:rsidRPr="00E14EE6" w14:paraId="7D463E8B" w14:textId="77777777" w:rsidTr="00FD6B66">
        <w:trPr>
          <w:cantSplit/>
          <w:trHeight w:val="20"/>
        </w:trPr>
        <w:tc>
          <w:tcPr>
            <w:tcW w:w="1492" w:type="pct"/>
            <w:noWrap/>
            <w:hideMark/>
          </w:tcPr>
          <w:p w14:paraId="141D35BC" w14:textId="5E85BE97" w:rsidR="00CA7676" w:rsidRPr="00E14EE6" w:rsidRDefault="00CA7676" w:rsidP="00E14EE6">
            <w:pPr>
              <w:ind w:firstLineChars="200" w:firstLine="280"/>
              <w:jc w:val="left"/>
              <w:rPr>
                <w:rFonts w:eastAsia="Times New Roman" w:cs="Times New Roman"/>
                <w:sz w:val="14"/>
                <w:szCs w:val="14"/>
              </w:rPr>
            </w:pPr>
            <w:r w:rsidRPr="00E14EE6">
              <w:rPr>
                <w:sz w:val="14"/>
              </w:rPr>
              <w:t>Loans</w:t>
            </w:r>
          </w:p>
        </w:tc>
        <w:tc>
          <w:tcPr>
            <w:tcW w:w="389" w:type="pct"/>
            <w:noWrap/>
            <w:hideMark/>
          </w:tcPr>
          <w:p w14:paraId="3FA33B86" w14:textId="3B4A7D20" w:rsidR="00CA7676" w:rsidRPr="00E14EE6" w:rsidRDefault="00E14EE6" w:rsidP="00E14EE6">
            <w:pPr>
              <w:jc w:val="right"/>
              <w:rPr>
                <w:rFonts w:eastAsia="Times New Roman" w:cs="Times New Roman"/>
                <w:color w:val="000000"/>
                <w:sz w:val="14"/>
                <w:szCs w:val="14"/>
              </w:rPr>
            </w:pPr>
            <w:r w:rsidRPr="00E14EE6">
              <w:rPr>
                <w:sz w:val="14"/>
              </w:rPr>
              <w:noBreakHyphen/>
            </w:r>
            <w:r w:rsidR="00CA7676" w:rsidRPr="00E14EE6">
              <w:rPr>
                <w:sz w:val="14"/>
              </w:rPr>
              <w:t>0.3</w:t>
            </w:r>
          </w:p>
        </w:tc>
        <w:tc>
          <w:tcPr>
            <w:tcW w:w="390" w:type="pct"/>
            <w:noWrap/>
            <w:hideMark/>
          </w:tcPr>
          <w:p w14:paraId="742F4F6E" w14:textId="5BF3521C" w:rsidR="00CA7676" w:rsidRPr="00E14EE6" w:rsidRDefault="00E14EE6" w:rsidP="00E14EE6">
            <w:pPr>
              <w:jc w:val="right"/>
              <w:rPr>
                <w:rFonts w:eastAsia="Times New Roman" w:cs="Times New Roman"/>
                <w:color w:val="000000"/>
                <w:sz w:val="14"/>
                <w:szCs w:val="14"/>
              </w:rPr>
            </w:pPr>
            <w:r w:rsidRPr="00E14EE6">
              <w:rPr>
                <w:sz w:val="14"/>
              </w:rPr>
              <w:noBreakHyphen/>
            </w:r>
            <w:r w:rsidR="00CA7676" w:rsidRPr="00E14EE6">
              <w:rPr>
                <w:sz w:val="14"/>
              </w:rPr>
              <w:t>4.9</w:t>
            </w:r>
          </w:p>
        </w:tc>
        <w:tc>
          <w:tcPr>
            <w:tcW w:w="390" w:type="pct"/>
            <w:noWrap/>
            <w:hideMark/>
          </w:tcPr>
          <w:p w14:paraId="5607214D" w14:textId="77777777" w:rsidR="00CA7676" w:rsidRPr="00E14EE6" w:rsidRDefault="00CA7676" w:rsidP="00E14EE6">
            <w:pPr>
              <w:jc w:val="right"/>
              <w:rPr>
                <w:rFonts w:eastAsia="Times New Roman" w:cs="Times New Roman"/>
                <w:color w:val="000000"/>
                <w:sz w:val="14"/>
                <w:szCs w:val="14"/>
              </w:rPr>
            </w:pPr>
            <w:r w:rsidRPr="00E14EE6">
              <w:rPr>
                <w:sz w:val="14"/>
              </w:rPr>
              <w:t>0.0</w:t>
            </w:r>
          </w:p>
        </w:tc>
        <w:tc>
          <w:tcPr>
            <w:tcW w:w="390" w:type="pct"/>
            <w:noWrap/>
            <w:hideMark/>
          </w:tcPr>
          <w:p w14:paraId="6A956801" w14:textId="7F171AAB" w:rsidR="00CA7676" w:rsidRPr="00E14EE6" w:rsidRDefault="00E14EE6" w:rsidP="00E14EE6">
            <w:pPr>
              <w:jc w:val="right"/>
              <w:rPr>
                <w:rFonts w:eastAsia="Times New Roman" w:cs="Times New Roman"/>
                <w:color w:val="000000"/>
                <w:sz w:val="14"/>
                <w:szCs w:val="14"/>
              </w:rPr>
            </w:pPr>
            <w:r w:rsidRPr="00E14EE6">
              <w:rPr>
                <w:sz w:val="14"/>
              </w:rPr>
              <w:noBreakHyphen/>
            </w:r>
            <w:r w:rsidR="00CA7676" w:rsidRPr="00E14EE6">
              <w:rPr>
                <w:sz w:val="14"/>
              </w:rPr>
              <w:t>0.6</w:t>
            </w:r>
          </w:p>
        </w:tc>
        <w:tc>
          <w:tcPr>
            <w:tcW w:w="390" w:type="pct"/>
            <w:noWrap/>
            <w:hideMark/>
          </w:tcPr>
          <w:p w14:paraId="00C3D0D3" w14:textId="6F6AE097" w:rsidR="00CA7676" w:rsidRPr="00E14EE6" w:rsidRDefault="00E14EE6" w:rsidP="00E14EE6">
            <w:pPr>
              <w:jc w:val="right"/>
              <w:rPr>
                <w:rFonts w:eastAsia="Times New Roman" w:cs="Times New Roman"/>
                <w:color w:val="000000"/>
                <w:sz w:val="14"/>
                <w:szCs w:val="14"/>
              </w:rPr>
            </w:pPr>
            <w:r w:rsidRPr="00E14EE6">
              <w:rPr>
                <w:sz w:val="14"/>
              </w:rPr>
              <w:noBreakHyphen/>
            </w:r>
            <w:r w:rsidR="00CA7676" w:rsidRPr="00E14EE6">
              <w:rPr>
                <w:sz w:val="14"/>
              </w:rPr>
              <w:t>0.4</w:t>
            </w:r>
          </w:p>
        </w:tc>
        <w:tc>
          <w:tcPr>
            <w:tcW w:w="390" w:type="pct"/>
            <w:noWrap/>
            <w:hideMark/>
          </w:tcPr>
          <w:p w14:paraId="732ED5B0" w14:textId="3F7EB8D2" w:rsidR="00CA7676" w:rsidRPr="00E14EE6" w:rsidRDefault="00E14EE6" w:rsidP="00E14EE6">
            <w:pPr>
              <w:jc w:val="right"/>
              <w:rPr>
                <w:rFonts w:eastAsia="Times New Roman" w:cs="Times New Roman"/>
                <w:color w:val="000000"/>
                <w:sz w:val="14"/>
                <w:szCs w:val="14"/>
              </w:rPr>
            </w:pPr>
            <w:r w:rsidRPr="00E14EE6">
              <w:rPr>
                <w:sz w:val="14"/>
              </w:rPr>
              <w:noBreakHyphen/>
            </w:r>
            <w:r w:rsidR="00CA7676" w:rsidRPr="00E14EE6">
              <w:rPr>
                <w:sz w:val="14"/>
              </w:rPr>
              <w:t>0.1</w:t>
            </w:r>
          </w:p>
        </w:tc>
        <w:tc>
          <w:tcPr>
            <w:tcW w:w="390" w:type="pct"/>
            <w:noWrap/>
            <w:hideMark/>
          </w:tcPr>
          <w:p w14:paraId="66C8B321" w14:textId="77777777" w:rsidR="00CA7676" w:rsidRPr="00E14EE6" w:rsidRDefault="00CA7676" w:rsidP="00E14EE6">
            <w:pPr>
              <w:jc w:val="right"/>
              <w:rPr>
                <w:rFonts w:eastAsia="Times New Roman" w:cs="Times New Roman"/>
                <w:color w:val="000000"/>
                <w:sz w:val="14"/>
                <w:szCs w:val="14"/>
              </w:rPr>
            </w:pPr>
            <w:r w:rsidRPr="00E14EE6">
              <w:rPr>
                <w:sz w:val="14"/>
              </w:rPr>
              <w:t>2.1</w:t>
            </w:r>
          </w:p>
        </w:tc>
        <w:tc>
          <w:tcPr>
            <w:tcW w:w="390" w:type="pct"/>
            <w:noWrap/>
            <w:hideMark/>
          </w:tcPr>
          <w:p w14:paraId="3C8CD779" w14:textId="77777777" w:rsidR="00CA7676" w:rsidRPr="00E14EE6" w:rsidRDefault="00CA7676" w:rsidP="00E14EE6">
            <w:pPr>
              <w:jc w:val="right"/>
              <w:rPr>
                <w:rFonts w:eastAsia="Times New Roman" w:cs="Times New Roman"/>
                <w:color w:val="000000"/>
                <w:sz w:val="14"/>
                <w:szCs w:val="14"/>
              </w:rPr>
            </w:pPr>
            <w:r w:rsidRPr="00E14EE6">
              <w:rPr>
                <w:sz w:val="14"/>
              </w:rPr>
              <w:t>0.0</w:t>
            </w:r>
          </w:p>
        </w:tc>
        <w:tc>
          <w:tcPr>
            <w:tcW w:w="390" w:type="pct"/>
            <w:noWrap/>
            <w:hideMark/>
          </w:tcPr>
          <w:p w14:paraId="023318AC" w14:textId="77777777" w:rsidR="00CA7676" w:rsidRPr="00E14EE6" w:rsidRDefault="00CA7676" w:rsidP="00E14EE6">
            <w:pPr>
              <w:jc w:val="right"/>
              <w:rPr>
                <w:rFonts w:eastAsia="Times New Roman" w:cs="Times New Roman"/>
                <w:sz w:val="14"/>
                <w:szCs w:val="14"/>
              </w:rPr>
            </w:pPr>
            <w:r w:rsidRPr="00E14EE6">
              <w:rPr>
                <w:sz w:val="14"/>
              </w:rPr>
              <w:t>1.0</w:t>
            </w:r>
          </w:p>
        </w:tc>
      </w:tr>
      <w:tr w:rsidR="00CA7676" w:rsidRPr="00E14EE6" w14:paraId="5F23CCD1" w14:textId="77777777" w:rsidTr="00FD6B66">
        <w:trPr>
          <w:cnfStyle w:val="000000010000" w:firstRow="0" w:lastRow="0" w:firstColumn="0" w:lastColumn="0" w:oddVBand="0" w:evenVBand="0" w:oddHBand="0" w:evenHBand="1" w:firstRowFirstColumn="0" w:firstRowLastColumn="0" w:lastRowFirstColumn="0" w:lastRowLastColumn="0"/>
          <w:cantSplit/>
          <w:trHeight w:val="20"/>
        </w:trPr>
        <w:tc>
          <w:tcPr>
            <w:tcW w:w="1492" w:type="pct"/>
            <w:noWrap/>
            <w:hideMark/>
          </w:tcPr>
          <w:p w14:paraId="0ADA6651" w14:textId="77777777" w:rsidR="00CA7676" w:rsidRPr="00E14EE6" w:rsidRDefault="00CA7676" w:rsidP="00E14EE6">
            <w:pPr>
              <w:ind w:firstLineChars="300" w:firstLine="420"/>
              <w:jc w:val="left"/>
              <w:rPr>
                <w:rFonts w:eastAsia="Times New Roman" w:cs="Times New Roman"/>
                <w:sz w:val="14"/>
                <w:szCs w:val="14"/>
              </w:rPr>
            </w:pPr>
            <w:r w:rsidRPr="00E14EE6">
              <w:rPr>
                <w:sz w:val="14"/>
              </w:rPr>
              <w:t>Outlays</w:t>
            </w:r>
          </w:p>
        </w:tc>
        <w:tc>
          <w:tcPr>
            <w:tcW w:w="389" w:type="pct"/>
            <w:noWrap/>
            <w:hideMark/>
          </w:tcPr>
          <w:p w14:paraId="7793F9BB" w14:textId="77777777" w:rsidR="00CA7676" w:rsidRPr="00E14EE6" w:rsidRDefault="00CA7676" w:rsidP="00E14EE6">
            <w:pPr>
              <w:jc w:val="right"/>
              <w:rPr>
                <w:rFonts w:eastAsia="Times New Roman" w:cs="Times New Roman"/>
                <w:color w:val="000000"/>
                <w:sz w:val="14"/>
                <w:szCs w:val="14"/>
              </w:rPr>
            </w:pPr>
            <w:r w:rsidRPr="00E14EE6">
              <w:rPr>
                <w:sz w:val="14"/>
              </w:rPr>
              <w:t>1.2</w:t>
            </w:r>
          </w:p>
        </w:tc>
        <w:tc>
          <w:tcPr>
            <w:tcW w:w="390" w:type="pct"/>
            <w:noWrap/>
            <w:hideMark/>
          </w:tcPr>
          <w:p w14:paraId="02E05FA4" w14:textId="77777777" w:rsidR="00CA7676" w:rsidRPr="00E14EE6" w:rsidRDefault="00CA7676" w:rsidP="00E14EE6">
            <w:pPr>
              <w:jc w:val="right"/>
              <w:rPr>
                <w:rFonts w:eastAsia="Times New Roman" w:cs="Times New Roman"/>
                <w:color w:val="000000"/>
                <w:sz w:val="14"/>
                <w:szCs w:val="14"/>
              </w:rPr>
            </w:pPr>
            <w:r w:rsidRPr="00E14EE6">
              <w:rPr>
                <w:sz w:val="14"/>
              </w:rPr>
              <w:t>2.1</w:t>
            </w:r>
          </w:p>
        </w:tc>
        <w:tc>
          <w:tcPr>
            <w:tcW w:w="390" w:type="pct"/>
            <w:noWrap/>
            <w:hideMark/>
          </w:tcPr>
          <w:p w14:paraId="74C1CED9" w14:textId="77777777" w:rsidR="00CA7676" w:rsidRPr="00E14EE6" w:rsidRDefault="00CA7676" w:rsidP="00E14EE6">
            <w:pPr>
              <w:jc w:val="right"/>
              <w:rPr>
                <w:rFonts w:eastAsia="Times New Roman" w:cs="Times New Roman"/>
                <w:color w:val="000000"/>
                <w:sz w:val="14"/>
                <w:szCs w:val="14"/>
              </w:rPr>
            </w:pPr>
            <w:r w:rsidRPr="00E14EE6">
              <w:rPr>
                <w:sz w:val="14"/>
              </w:rPr>
              <w:t>1.0</w:t>
            </w:r>
          </w:p>
        </w:tc>
        <w:tc>
          <w:tcPr>
            <w:tcW w:w="390" w:type="pct"/>
            <w:noWrap/>
            <w:hideMark/>
          </w:tcPr>
          <w:p w14:paraId="4A29447C" w14:textId="77777777" w:rsidR="00CA7676" w:rsidRPr="00E14EE6" w:rsidRDefault="00CA7676" w:rsidP="00E14EE6">
            <w:pPr>
              <w:jc w:val="right"/>
              <w:rPr>
                <w:rFonts w:eastAsia="Times New Roman" w:cs="Times New Roman"/>
                <w:color w:val="000000"/>
                <w:sz w:val="14"/>
                <w:szCs w:val="14"/>
              </w:rPr>
            </w:pPr>
            <w:r w:rsidRPr="00E14EE6">
              <w:rPr>
                <w:sz w:val="14"/>
              </w:rPr>
              <w:t>0.5</w:t>
            </w:r>
          </w:p>
        </w:tc>
        <w:tc>
          <w:tcPr>
            <w:tcW w:w="390" w:type="pct"/>
            <w:noWrap/>
            <w:hideMark/>
          </w:tcPr>
          <w:p w14:paraId="2C3517F3" w14:textId="77777777" w:rsidR="00CA7676" w:rsidRPr="00E14EE6" w:rsidRDefault="00CA7676" w:rsidP="00E14EE6">
            <w:pPr>
              <w:jc w:val="right"/>
              <w:rPr>
                <w:rFonts w:eastAsia="Times New Roman" w:cs="Times New Roman"/>
                <w:color w:val="000000"/>
                <w:sz w:val="14"/>
                <w:szCs w:val="14"/>
              </w:rPr>
            </w:pPr>
            <w:r w:rsidRPr="00E14EE6">
              <w:rPr>
                <w:sz w:val="14"/>
              </w:rPr>
              <w:t>0.6</w:t>
            </w:r>
          </w:p>
        </w:tc>
        <w:tc>
          <w:tcPr>
            <w:tcW w:w="390" w:type="pct"/>
            <w:noWrap/>
            <w:hideMark/>
          </w:tcPr>
          <w:p w14:paraId="0BE48306" w14:textId="77777777" w:rsidR="00CA7676" w:rsidRPr="00E14EE6" w:rsidRDefault="00CA7676" w:rsidP="00E14EE6">
            <w:pPr>
              <w:jc w:val="right"/>
              <w:rPr>
                <w:rFonts w:eastAsia="Times New Roman" w:cs="Times New Roman"/>
                <w:color w:val="000000"/>
                <w:sz w:val="14"/>
                <w:szCs w:val="14"/>
              </w:rPr>
            </w:pPr>
            <w:r w:rsidRPr="00E14EE6">
              <w:rPr>
                <w:sz w:val="14"/>
              </w:rPr>
              <w:t>0.7</w:t>
            </w:r>
          </w:p>
        </w:tc>
        <w:tc>
          <w:tcPr>
            <w:tcW w:w="390" w:type="pct"/>
            <w:noWrap/>
            <w:hideMark/>
          </w:tcPr>
          <w:p w14:paraId="58832411" w14:textId="77777777" w:rsidR="00CA7676" w:rsidRPr="00E14EE6" w:rsidRDefault="00CA7676" w:rsidP="00E14EE6">
            <w:pPr>
              <w:jc w:val="right"/>
              <w:rPr>
                <w:rFonts w:eastAsia="Times New Roman" w:cs="Times New Roman"/>
                <w:color w:val="000000"/>
                <w:sz w:val="14"/>
                <w:szCs w:val="14"/>
              </w:rPr>
            </w:pPr>
            <w:r w:rsidRPr="00E14EE6">
              <w:rPr>
                <w:sz w:val="14"/>
              </w:rPr>
              <w:t>2.7</w:t>
            </w:r>
          </w:p>
        </w:tc>
        <w:tc>
          <w:tcPr>
            <w:tcW w:w="390" w:type="pct"/>
            <w:noWrap/>
            <w:hideMark/>
          </w:tcPr>
          <w:p w14:paraId="3A0B846E" w14:textId="77777777" w:rsidR="00CA7676" w:rsidRPr="00E14EE6" w:rsidRDefault="00CA7676" w:rsidP="00E14EE6">
            <w:pPr>
              <w:jc w:val="right"/>
              <w:rPr>
                <w:rFonts w:eastAsia="Times New Roman" w:cs="Times New Roman"/>
                <w:color w:val="000000"/>
                <w:sz w:val="14"/>
                <w:szCs w:val="14"/>
              </w:rPr>
            </w:pPr>
            <w:r w:rsidRPr="00E14EE6">
              <w:rPr>
                <w:sz w:val="14"/>
              </w:rPr>
              <w:t>0.4</w:t>
            </w:r>
          </w:p>
        </w:tc>
        <w:tc>
          <w:tcPr>
            <w:tcW w:w="390" w:type="pct"/>
            <w:noWrap/>
            <w:hideMark/>
          </w:tcPr>
          <w:p w14:paraId="66E44B26" w14:textId="77777777" w:rsidR="00CA7676" w:rsidRPr="00E14EE6" w:rsidRDefault="00CA7676" w:rsidP="00E14EE6">
            <w:pPr>
              <w:jc w:val="right"/>
              <w:rPr>
                <w:rFonts w:eastAsia="Times New Roman" w:cs="Times New Roman"/>
                <w:sz w:val="14"/>
                <w:szCs w:val="14"/>
              </w:rPr>
            </w:pPr>
            <w:r w:rsidRPr="00E14EE6">
              <w:rPr>
                <w:sz w:val="14"/>
              </w:rPr>
              <w:t>1.3</w:t>
            </w:r>
          </w:p>
        </w:tc>
      </w:tr>
      <w:tr w:rsidR="00CA7676" w:rsidRPr="00E14EE6" w14:paraId="074C1A36" w14:textId="77777777" w:rsidTr="00FD6B66">
        <w:trPr>
          <w:cantSplit/>
          <w:trHeight w:val="20"/>
        </w:trPr>
        <w:tc>
          <w:tcPr>
            <w:tcW w:w="1492" w:type="pct"/>
            <w:noWrap/>
            <w:hideMark/>
          </w:tcPr>
          <w:p w14:paraId="7B7549DC" w14:textId="76794482" w:rsidR="00CA7676" w:rsidRPr="00E14EE6" w:rsidRDefault="00CA7676" w:rsidP="00E14EE6">
            <w:pPr>
              <w:ind w:firstLineChars="300" w:firstLine="420"/>
              <w:jc w:val="left"/>
              <w:rPr>
                <w:rFonts w:eastAsia="Times New Roman" w:cs="Times New Roman"/>
                <w:sz w:val="14"/>
                <w:szCs w:val="14"/>
              </w:rPr>
            </w:pPr>
            <w:proofErr w:type="spellStart"/>
            <w:r w:rsidRPr="00E14EE6">
              <w:rPr>
                <w:sz w:val="14"/>
              </w:rPr>
              <w:t>Amortization</w:t>
            </w:r>
            <w:r w:rsidR="00AE2C21" w:rsidRPr="00E14EE6">
              <w:rPr>
                <w:rFonts w:eastAsia="Times New Roman" w:cs="Times New Roman"/>
                <w:sz w:val="14"/>
                <w:szCs w:val="14"/>
                <w:vertAlign w:val="superscript"/>
                <w:lang w:eastAsia="en-GB"/>
              </w:rPr>
              <w:t>b</w:t>
            </w:r>
            <w:proofErr w:type="spellEnd"/>
          </w:p>
        </w:tc>
        <w:tc>
          <w:tcPr>
            <w:tcW w:w="389" w:type="pct"/>
            <w:noWrap/>
            <w:hideMark/>
          </w:tcPr>
          <w:p w14:paraId="5D9F7841" w14:textId="3CED99D6" w:rsidR="00CA7676" w:rsidRPr="00E14EE6" w:rsidRDefault="00E14EE6" w:rsidP="00E14EE6">
            <w:pPr>
              <w:jc w:val="right"/>
              <w:rPr>
                <w:rFonts w:eastAsia="Times New Roman" w:cs="Times New Roman"/>
                <w:color w:val="000000"/>
                <w:sz w:val="14"/>
                <w:szCs w:val="14"/>
              </w:rPr>
            </w:pPr>
            <w:r w:rsidRPr="00E14EE6">
              <w:rPr>
                <w:sz w:val="14"/>
              </w:rPr>
              <w:noBreakHyphen/>
            </w:r>
            <w:r w:rsidR="00CA7676" w:rsidRPr="00E14EE6">
              <w:rPr>
                <w:sz w:val="14"/>
              </w:rPr>
              <w:t>2.1</w:t>
            </w:r>
          </w:p>
        </w:tc>
        <w:tc>
          <w:tcPr>
            <w:tcW w:w="390" w:type="pct"/>
            <w:noWrap/>
            <w:hideMark/>
          </w:tcPr>
          <w:p w14:paraId="49D52EDA" w14:textId="0B68B65C" w:rsidR="00CA7676" w:rsidRPr="00E14EE6" w:rsidRDefault="00E14EE6" w:rsidP="00E14EE6">
            <w:pPr>
              <w:jc w:val="right"/>
              <w:rPr>
                <w:rFonts w:eastAsia="Times New Roman" w:cs="Times New Roman"/>
                <w:color w:val="000000"/>
                <w:sz w:val="14"/>
                <w:szCs w:val="14"/>
              </w:rPr>
            </w:pPr>
            <w:r w:rsidRPr="00E14EE6">
              <w:rPr>
                <w:sz w:val="14"/>
              </w:rPr>
              <w:noBreakHyphen/>
            </w:r>
            <w:r w:rsidR="00CA7676" w:rsidRPr="00E14EE6">
              <w:rPr>
                <w:sz w:val="14"/>
              </w:rPr>
              <w:t>6.9</w:t>
            </w:r>
          </w:p>
        </w:tc>
        <w:tc>
          <w:tcPr>
            <w:tcW w:w="390" w:type="pct"/>
            <w:noWrap/>
            <w:hideMark/>
          </w:tcPr>
          <w:p w14:paraId="127347DA" w14:textId="6E4A238C" w:rsidR="00CA7676" w:rsidRPr="00E14EE6" w:rsidRDefault="00E14EE6" w:rsidP="00E14EE6">
            <w:pPr>
              <w:jc w:val="right"/>
              <w:rPr>
                <w:rFonts w:eastAsia="Times New Roman" w:cs="Times New Roman"/>
                <w:color w:val="000000"/>
                <w:sz w:val="14"/>
                <w:szCs w:val="14"/>
              </w:rPr>
            </w:pPr>
            <w:r w:rsidRPr="00E14EE6">
              <w:rPr>
                <w:sz w:val="14"/>
              </w:rPr>
              <w:noBreakHyphen/>
            </w:r>
            <w:r w:rsidR="00CA7676" w:rsidRPr="00E14EE6">
              <w:rPr>
                <w:sz w:val="14"/>
              </w:rPr>
              <w:t>1.0</w:t>
            </w:r>
          </w:p>
        </w:tc>
        <w:tc>
          <w:tcPr>
            <w:tcW w:w="390" w:type="pct"/>
            <w:noWrap/>
            <w:hideMark/>
          </w:tcPr>
          <w:p w14:paraId="6B9823D3" w14:textId="71431251" w:rsidR="00CA7676" w:rsidRPr="00E14EE6" w:rsidRDefault="00E14EE6" w:rsidP="00E14EE6">
            <w:pPr>
              <w:jc w:val="right"/>
              <w:rPr>
                <w:rFonts w:eastAsia="Times New Roman" w:cs="Times New Roman"/>
                <w:color w:val="000000"/>
                <w:sz w:val="14"/>
                <w:szCs w:val="14"/>
              </w:rPr>
            </w:pPr>
            <w:r w:rsidRPr="00E14EE6">
              <w:rPr>
                <w:sz w:val="14"/>
              </w:rPr>
              <w:noBreakHyphen/>
            </w:r>
            <w:r w:rsidR="00CA7676" w:rsidRPr="00E14EE6">
              <w:rPr>
                <w:sz w:val="14"/>
              </w:rPr>
              <w:t>0.9</w:t>
            </w:r>
          </w:p>
        </w:tc>
        <w:tc>
          <w:tcPr>
            <w:tcW w:w="390" w:type="pct"/>
            <w:noWrap/>
            <w:hideMark/>
          </w:tcPr>
          <w:p w14:paraId="46A3473E" w14:textId="09DF9FB1" w:rsidR="00CA7676" w:rsidRPr="00E14EE6" w:rsidRDefault="00E14EE6" w:rsidP="00E14EE6">
            <w:pPr>
              <w:jc w:val="right"/>
              <w:rPr>
                <w:rFonts w:eastAsia="Times New Roman" w:cs="Times New Roman"/>
                <w:color w:val="000000"/>
                <w:sz w:val="14"/>
                <w:szCs w:val="14"/>
              </w:rPr>
            </w:pPr>
            <w:r w:rsidRPr="00E14EE6">
              <w:rPr>
                <w:sz w:val="14"/>
              </w:rPr>
              <w:noBreakHyphen/>
            </w:r>
            <w:r w:rsidR="00CA7676" w:rsidRPr="00E14EE6">
              <w:rPr>
                <w:sz w:val="14"/>
              </w:rPr>
              <w:t>0.9</w:t>
            </w:r>
          </w:p>
        </w:tc>
        <w:tc>
          <w:tcPr>
            <w:tcW w:w="390" w:type="pct"/>
            <w:noWrap/>
            <w:hideMark/>
          </w:tcPr>
          <w:p w14:paraId="00F0FD74" w14:textId="44055968" w:rsidR="00CA7676" w:rsidRPr="00E14EE6" w:rsidRDefault="00E14EE6" w:rsidP="00E14EE6">
            <w:pPr>
              <w:jc w:val="right"/>
              <w:rPr>
                <w:rFonts w:eastAsia="Times New Roman" w:cs="Times New Roman"/>
                <w:color w:val="000000"/>
                <w:sz w:val="14"/>
                <w:szCs w:val="14"/>
              </w:rPr>
            </w:pPr>
            <w:r w:rsidRPr="00E14EE6">
              <w:rPr>
                <w:sz w:val="14"/>
              </w:rPr>
              <w:noBreakHyphen/>
            </w:r>
            <w:r w:rsidR="00CA7676" w:rsidRPr="00E14EE6">
              <w:rPr>
                <w:sz w:val="14"/>
              </w:rPr>
              <w:t>0.8</w:t>
            </w:r>
          </w:p>
        </w:tc>
        <w:tc>
          <w:tcPr>
            <w:tcW w:w="390" w:type="pct"/>
            <w:noWrap/>
            <w:hideMark/>
          </w:tcPr>
          <w:p w14:paraId="3837FC25" w14:textId="6DE0C4AF" w:rsidR="00CA7676" w:rsidRPr="00E14EE6" w:rsidRDefault="00E14EE6" w:rsidP="00E14EE6">
            <w:pPr>
              <w:jc w:val="right"/>
              <w:rPr>
                <w:rFonts w:eastAsia="Times New Roman" w:cs="Times New Roman"/>
                <w:color w:val="000000"/>
                <w:sz w:val="14"/>
                <w:szCs w:val="14"/>
              </w:rPr>
            </w:pPr>
            <w:r w:rsidRPr="00E14EE6">
              <w:rPr>
                <w:sz w:val="14"/>
              </w:rPr>
              <w:noBreakHyphen/>
            </w:r>
            <w:r w:rsidR="00CA7676" w:rsidRPr="00E14EE6">
              <w:rPr>
                <w:sz w:val="14"/>
              </w:rPr>
              <w:t>0.7</w:t>
            </w:r>
          </w:p>
        </w:tc>
        <w:tc>
          <w:tcPr>
            <w:tcW w:w="390" w:type="pct"/>
            <w:noWrap/>
            <w:hideMark/>
          </w:tcPr>
          <w:p w14:paraId="56D0E957" w14:textId="393A0937" w:rsidR="00CA7676" w:rsidRPr="00E14EE6" w:rsidRDefault="00E14EE6" w:rsidP="00E14EE6">
            <w:pPr>
              <w:jc w:val="right"/>
              <w:rPr>
                <w:rFonts w:eastAsia="Times New Roman" w:cs="Times New Roman"/>
                <w:color w:val="000000"/>
                <w:sz w:val="14"/>
                <w:szCs w:val="14"/>
              </w:rPr>
            </w:pPr>
            <w:r w:rsidRPr="00E14EE6">
              <w:rPr>
                <w:sz w:val="14"/>
              </w:rPr>
              <w:noBreakHyphen/>
            </w:r>
            <w:r w:rsidR="00CA7676" w:rsidRPr="00E14EE6">
              <w:rPr>
                <w:sz w:val="14"/>
              </w:rPr>
              <w:t>0.5</w:t>
            </w:r>
          </w:p>
        </w:tc>
        <w:tc>
          <w:tcPr>
            <w:tcW w:w="390" w:type="pct"/>
            <w:noWrap/>
            <w:hideMark/>
          </w:tcPr>
          <w:p w14:paraId="27948201" w14:textId="115BD721" w:rsidR="00CA7676" w:rsidRPr="00E14EE6" w:rsidRDefault="00E14EE6" w:rsidP="00E14EE6">
            <w:pPr>
              <w:jc w:val="right"/>
              <w:rPr>
                <w:rFonts w:eastAsia="Times New Roman" w:cs="Times New Roman"/>
                <w:sz w:val="14"/>
                <w:szCs w:val="14"/>
              </w:rPr>
            </w:pPr>
            <w:r w:rsidRPr="00E14EE6">
              <w:rPr>
                <w:sz w:val="14"/>
              </w:rPr>
              <w:noBreakHyphen/>
            </w:r>
            <w:r w:rsidR="00CA7676" w:rsidRPr="00E14EE6">
              <w:rPr>
                <w:sz w:val="14"/>
              </w:rPr>
              <w:t>0.4</w:t>
            </w:r>
          </w:p>
        </w:tc>
      </w:tr>
      <w:tr w:rsidR="00CA7676" w:rsidRPr="00E14EE6" w14:paraId="052AB961" w14:textId="77777777" w:rsidTr="00FD6B66">
        <w:trPr>
          <w:cnfStyle w:val="000000010000" w:firstRow="0" w:lastRow="0" w:firstColumn="0" w:lastColumn="0" w:oddVBand="0" w:evenVBand="0" w:oddHBand="0" w:evenHBand="1" w:firstRowFirstColumn="0" w:firstRowLastColumn="0" w:lastRowFirstColumn="0" w:lastRowLastColumn="0"/>
          <w:cantSplit/>
          <w:trHeight w:val="20"/>
        </w:trPr>
        <w:tc>
          <w:tcPr>
            <w:tcW w:w="1492" w:type="pct"/>
            <w:noWrap/>
            <w:hideMark/>
          </w:tcPr>
          <w:p w14:paraId="0D9645CA" w14:textId="62804ACE" w:rsidR="00CA7676" w:rsidRPr="00E14EE6" w:rsidRDefault="00CA7676" w:rsidP="00E14EE6">
            <w:pPr>
              <w:ind w:firstLineChars="300" w:firstLine="420"/>
              <w:jc w:val="left"/>
              <w:rPr>
                <w:rFonts w:eastAsia="Times New Roman" w:cs="Times New Roman"/>
                <w:sz w:val="14"/>
                <w:szCs w:val="14"/>
              </w:rPr>
            </w:pPr>
            <w:r w:rsidRPr="00E14EE6">
              <w:rPr>
                <w:sz w:val="14"/>
              </w:rPr>
              <w:t>Balance</w:t>
            </w:r>
          </w:p>
        </w:tc>
        <w:tc>
          <w:tcPr>
            <w:tcW w:w="389" w:type="pct"/>
            <w:noWrap/>
            <w:hideMark/>
          </w:tcPr>
          <w:p w14:paraId="59000463" w14:textId="77777777" w:rsidR="00CA7676" w:rsidRPr="00E14EE6" w:rsidRDefault="00CA7676" w:rsidP="00E14EE6">
            <w:pPr>
              <w:jc w:val="right"/>
              <w:rPr>
                <w:rFonts w:eastAsia="Times New Roman" w:cs="Times New Roman"/>
                <w:color w:val="000000"/>
                <w:sz w:val="14"/>
                <w:szCs w:val="14"/>
              </w:rPr>
            </w:pPr>
            <w:r w:rsidRPr="00E14EE6">
              <w:rPr>
                <w:sz w:val="14"/>
              </w:rPr>
              <w:t>0.6</w:t>
            </w:r>
          </w:p>
        </w:tc>
        <w:tc>
          <w:tcPr>
            <w:tcW w:w="390" w:type="pct"/>
            <w:noWrap/>
            <w:hideMark/>
          </w:tcPr>
          <w:p w14:paraId="70B53808" w14:textId="77777777" w:rsidR="00CA7676" w:rsidRPr="00E14EE6" w:rsidRDefault="00CA7676" w:rsidP="00E14EE6">
            <w:pPr>
              <w:jc w:val="right"/>
              <w:rPr>
                <w:rFonts w:eastAsia="Times New Roman" w:cs="Times New Roman"/>
                <w:color w:val="000000"/>
                <w:sz w:val="14"/>
                <w:szCs w:val="14"/>
              </w:rPr>
            </w:pPr>
            <w:r w:rsidRPr="00E14EE6">
              <w:rPr>
                <w:sz w:val="14"/>
              </w:rPr>
              <w:t>0.0</w:t>
            </w:r>
          </w:p>
        </w:tc>
        <w:tc>
          <w:tcPr>
            <w:tcW w:w="390" w:type="pct"/>
            <w:noWrap/>
            <w:hideMark/>
          </w:tcPr>
          <w:p w14:paraId="73338496" w14:textId="669A60E1" w:rsidR="00CA7676" w:rsidRPr="00E14EE6" w:rsidRDefault="00E14EE6" w:rsidP="00E14EE6">
            <w:pPr>
              <w:jc w:val="right"/>
              <w:rPr>
                <w:rFonts w:eastAsia="Times New Roman" w:cs="Times New Roman"/>
                <w:color w:val="000000"/>
                <w:sz w:val="14"/>
                <w:szCs w:val="14"/>
              </w:rPr>
            </w:pPr>
            <w:r w:rsidRPr="00E14EE6">
              <w:rPr>
                <w:sz w:val="14"/>
              </w:rPr>
              <w:noBreakHyphen/>
            </w:r>
            <w:r w:rsidR="00CA7676" w:rsidRPr="00E14EE6">
              <w:rPr>
                <w:sz w:val="14"/>
              </w:rPr>
              <w:t>0.1</w:t>
            </w:r>
          </w:p>
        </w:tc>
        <w:tc>
          <w:tcPr>
            <w:tcW w:w="390" w:type="pct"/>
            <w:noWrap/>
            <w:hideMark/>
          </w:tcPr>
          <w:p w14:paraId="1A726E19" w14:textId="0DF0BDB3" w:rsidR="00CA7676" w:rsidRPr="00E14EE6" w:rsidRDefault="00E14EE6" w:rsidP="00E14EE6">
            <w:pPr>
              <w:jc w:val="right"/>
              <w:rPr>
                <w:rFonts w:eastAsia="Times New Roman" w:cs="Times New Roman"/>
                <w:color w:val="000000"/>
                <w:sz w:val="14"/>
                <w:szCs w:val="14"/>
              </w:rPr>
            </w:pPr>
            <w:r w:rsidRPr="00E14EE6">
              <w:rPr>
                <w:sz w:val="14"/>
              </w:rPr>
              <w:noBreakHyphen/>
            </w:r>
            <w:r w:rsidR="00CA7676" w:rsidRPr="00E14EE6">
              <w:rPr>
                <w:sz w:val="14"/>
              </w:rPr>
              <w:t>0.1</w:t>
            </w:r>
          </w:p>
        </w:tc>
        <w:tc>
          <w:tcPr>
            <w:tcW w:w="390" w:type="pct"/>
            <w:noWrap/>
            <w:hideMark/>
          </w:tcPr>
          <w:p w14:paraId="32F67572" w14:textId="0571CA9C" w:rsidR="00CA7676" w:rsidRPr="00E14EE6" w:rsidRDefault="00E14EE6" w:rsidP="00E14EE6">
            <w:pPr>
              <w:jc w:val="right"/>
              <w:rPr>
                <w:rFonts w:eastAsia="Times New Roman" w:cs="Times New Roman"/>
                <w:color w:val="000000"/>
                <w:sz w:val="14"/>
                <w:szCs w:val="14"/>
              </w:rPr>
            </w:pPr>
            <w:r w:rsidRPr="00E14EE6">
              <w:rPr>
                <w:sz w:val="14"/>
              </w:rPr>
              <w:noBreakHyphen/>
            </w:r>
            <w:r w:rsidR="00CA7676" w:rsidRPr="00E14EE6">
              <w:rPr>
                <w:sz w:val="14"/>
              </w:rPr>
              <w:t>0.1</w:t>
            </w:r>
          </w:p>
        </w:tc>
        <w:tc>
          <w:tcPr>
            <w:tcW w:w="390" w:type="pct"/>
            <w:noWrap/>
            <w:hideMark/>
          </w:tcPr>
          <w:p w14:paraId="34047161" w14:textId="77777777" w:rsidR="00CA7676" w:rsidRPr="00E14EE6" w:rsidRDefault="00CA7676" w:rsidP="00E14EE6">
            <w:pPr>
              <w:jc w:val="right"/>
              <w:rPr>
                <w:rFonts w:eastAsia="Times New Roman" w:cs="Times New Roman"/>
                <w:color w:val="000000"/>
                <w:sz w:val="14"/>
                <w:szCs w:val="14"/>
              </w:rPr>
            </w:pPr>
            <w:r w:rsidRPr="00E14EE6">
              <w:rPr>
                <w:sz w:val="14"/>
              </w:rPr>
              <w:t>0.0</w:t>
            </w:r>
          </w:p>
        </w:tc>
        <w:tc>
          <w:tcPr>
            <w:tcW w:w="390" w:type="pct"/>
            <w:noWrap/>
            <w:hideMark/>
          </w:tcPr>
          <w:p w14:paraId="297E5D59" w14:textId="77777777" w:rsidR="00CA7676" w:rsidRPr="00E14EE6" w:rsidRDefault="00CA7676" w:rsidP="00E14EE6">
            <w:pPr>
              <w:jc w:val="right"/>
              <w:rPr>
                <w:rFonts w:eastAsia="Times New Roman" w:cs="Times New Roman"/>
                <w:color w:val="000000"/>
                <w:sz w:val="14"/>
                <w:szCs w:val="14"/>
              </w:rPr>
            </w:pPr>
            <w:r w:rsidRPr="00E14EE6">
              <w:rPr>
                <w:sz w:val="14"/>
              </w:rPr>
              <w:t>0.0</w:t>
            </w:r>
          </w:p>
        </w:tc>
        <w:tc>
          <w:tcPr>
            <w:tcW w:w="390" w:type="pct"/>
            <w:noWrap/>
            <w:hideMark/>
          </w:tcPr>
          <w:p w14:paraId="6FCFE144" w14:textId="77777777" w:rsidR="00CA7676" w:rsidRPr="00E14EE6" w:rsidRDefault="00CA7676" w:rsidP="00E14EE6">
            <w:pPr>
              <w:jc w:val="right"/>
              <w:rPr>
                <w:rFonts w:eastAsia="Times New Roman" w:cs="Times New Roman"/>
                <w:color w:val="000000"/>
                <w:sz w:val="14"/>
                <w:szCs w:val="14"/>
              </w:rPr>
            </w:pPr>
            <w:r w:rsidRPr="00E14EE6">
              <w:rPr>
                <w:sz w:val="14"/>
              </w:rPr>
              <w:t>0.0</w:t>
            </w:r>
          </w:p>
        </w:tc>
        <w:tc>
          <w:tcPr>
            <w:tcW w:w="390" w:type="pct"/>
            <w:noWrap/>
            <w:hideMark/>
          </w:tcPr>
          <w:p w14:paraId="1501E7EA" w14:textId="77777777" w:rsidR="00CA7676" w:rsidRPr="00E14EE6" w:rsidRDefault="00CA7676" w:rsidP="00E14EE6">
            <w:pPr>
              <w:jc w:val="right"/>
              <w:rPr>
                <w:rFonts w:eastAsia="Times New Roman" w:cs="Times New Roman"/>
                <w:sz w:val="14"/>
                <w:szCs w:val="14"/>
              </w:rPr>
            </w:pPr>
            <w:r w:rsidRPr="00E14EE6">
              <w:rPr>
                <w:sz w:val="14"/>
              </w:rPr>
              <w:t>0.0</w:t>
            </w:r>
          </w:p>
        </w:tc>
      </w:tr>
      <w:tr w:rsidR="00CA7676" w:rsidRPr="00E14EE6" w14:paraId="0840524F" w14:textId="77777777" w:rsidTr="00FD6B66">
        <w:trPr>
          <w:cantSplit/>
          <w:trHeight w:val="20"/>
        </w:trPr>
        <w:tc>
          <w:tcPr>
            <w:tcW w:w="1492" w:type="pct"/>
            <w:noWrap/>
            <w:hideMark/>
          </w:tcPr>
          <w:p w14:paraId="531668A6" w14:textId="4EB44412" w:rsidR="00CA7676" w:rsidRPr="00E14EE6" w:rsidRDefault="00CA7676" w:rsidP="00E14EE6">
            <w:pPr>
              <w:jc w:val="left"/>
              <w:rPr>
                <w:rFonts w:eastAsia="Times New Roman" w:cs="Times New Roman"/>
                <w:b/>
                <w:bCs/>
                <w:i/>
                <w:iCs/>
                <w:sz w:val="14"/>
                <w:szCs w:val="14"/>
              </w:rPr>
            </w:pPr>
            <w:r w:rsidRPr="00E14EE6">
              <w:rPr>
                <w:b/>
                <w:i/>
                <w:sz w:val="14"/>
              </w:rPr>
              <w:t xml:space="preserve">Overall statistical </w:t>
            </w:r>
            <w:proofErr w:type="spellStart"/>
            <w:r w:rsidRPr="00E14EE6">
              <w:rPr>
                <w:b/>
                <w:i/>
                <w:sz w:val="14"/>
              </w:rPr>
              <w:t>discrepancy</w:t>
            </w:r>
            <w:r w:rsidR="00BF2D93" w:rsidRPr="00E14EE6">
              <w:rPr>
                <w:rFonts w:eastAsia="Times New Roman" w:cs="Times New Roman"/>
                <w:b/>
                <w:bCs/>
                <w:i/>
                <w:iCs/>
                <w:sz w:val="14"/>
                <w:szCs w:val="14"/>
                <w:vertAlign w:val="superscript"/>
                <w:lang w:eastAsia="en-GB"/>
              </w:rPr>
              <w:t>g</w:t>
            </w:r>
            <w:proofErr w:type="spellEnd"/>
          </w:p>
        </w:tc>
        <w:tc>
          <w:tcPr>
            <w:tcW w:w="389" w:type="pct"/>
            <w:noWrap/>
            <w:hideMark/>
          </w:tcPr>
          <w:p w14:paraId="1DB97ACE" w14:textId="77777777" w:rsidR="00CA7676" w:rsidRPr="00E14EE6" w:rsidRDefault="00CA7676" w:rsidP="00E14EE6">
            <w:pPr>
              <w:jc w:val="right"/>
              <w:rPr>
                <w:rFonts w:eastAsia="Times New Roman" w:cs="Times New Roman"/>
                <w:b/>
                <w:bCs/>
                <w:color w:val="000000"/>
                <w:sz w:val="14"/>
                <w:szCs w:val="14"/>
              </w:rPr>
            </w:pPr>
            <w:r w:rsidRPr="00E14EE6">
              <w:rPr>
                <w:b/>
                <w:sz w:val="14"/>
              </w:rPr>
              <w:t>0.0</w:t>
            </w:r>
          </w:p>
        </w:tc>
        <w:tc>
          <w:tcPr>
            <w:tcW w:w="390" w:type="pct"/>
            <w:noWrap/>
            <w:hideMark/>
          </w:tcPr>
          <w:p w14:paraId="6FA8E3C9" w14:textId="5196965B" w:rsidR="00CA7676" w:rsidRPr="00E14EE6" w:rsidRDefault="00E14EE6" w:rsidP="00E14EE6">
            <w:pPr>
              <w:jc w:val="right"/>
              <w:rPr>
                <w:rFonts w:eastAsia="Times New Roman" w:cs="Times New Roman"/>
                <w:b/>
                <w:bCs/>
                <w:color w:val="000000"/>
                <w:sz w:val="14"/>
                <w:szCs w:val="14"/>
              </w:rPr>
            </w:pPr>
            <w:r w:rsidRPr="00E14EE6">
              <w:rPr>
                <w:b/>
                <w:sz w:val="14"/>
              </w:rPr>
              <w:noBreakHyphen/>
            </w:r>
            <w:r w:rsidR="00CA7676" w:rsidRPr="00E14EE6">
              <w:rPr>
                <w:b/>
                <w:sz w:val="14"/>
              </w:rPr>
              <w:t>0.1</w:t>
            </w:r>
          </w:p>
        </w:tc>
        <w:tc>
          <w:tcPr>
            <w:tcW w:w="390" w:type="pct"/>
            <w:noWrap/>
            <w:hideMark/>
          </w:tcPr>
          <w:p w14:paraId="3D3783A4" w14:textId="06C02BC9" w:rsidR="00CA7676" w:rsidRPr="00E14EE6" w:rsidRDefault="00E14EE6" w:rsidP="00E14EE6">
            <w:pPr>
              <w:jc w:val="right"/>
              <w:rPr>
                <w:rFonts w:eastAsia="Times New Roman" w:cs="Times New Roman"/>
                <w:b/>
                <w:bCs/>
                <w:color w:val="000000"/>
                <w:sz w:val="14"/>
                <w:szCs w:val="14"/>
              </w:rPr>
            </w:pPr>
            <w:r w:rsidRPr="00E14EE6">
              <w:rPr>
                <w:b/>
                <w:sz w:val="14"/>
              </w:rPr>
              <w:noBreakHyphen/>
            </w:r>
            <w:r w:rsidR="00CA7676" w:rsidRPr="00E14EE6">
              <w:rPr>
                <w:b/>
                <w:sz w:val="14"/>
              </w:rPr>
              <w:t>0.1</w:t>
            </w:r>
          </w:p>
        </w:tc>
        <w:tc>
          <w:tcPr>
            <w:tcW w:w="390" w:type="pct"/>
            <w:noWrap/>
            <w:hideMark/>
          </w:tcPr>
          <w:p w14:paraId="15C1FA88" w14:textId="77777777" w:rsidR="00CA7676" w:rsidRPr="00E14EE6" w:rsidRDefault="00CA7676" w:rsidP="00E14EE6">
            <w:pPr>
              <w:jc w:val="right"/>
              <w:rPr>
                <w:rFonts w:eastAsia="Times New Roman" w:cs="Times New Roman"/>
                <w:b/>
                <w:bCs/>
                <w:color w:val="000000"/>
                <w:sz w:val="14"/>
                <w:szCs w:val="14"/>
              </w:rPr>
            </w:pPr>
            <w:r w:rsidRPr="00E14EE6">
              <w:rPr>
                <w:b/>
                <w:sz w:val="14"/>
              </w:rPr>
              <w:t>0.3</w:t>
            </w:r>
          </w:p>
        </w:tc>
        <w:tc>
          <w:tcPr>
            <w:tcW w:w="390" w:type="pct"/>
            <w:noWrap/>
            <w:hideMark/>
          </w:tcPr>
          <w:p w14:paraId="4DB4DF9D" w14:textId="77777777" w:rsidR="00CA7676" w:rsidRPr="00E14EE6" w:rsidRDefault="00CA7676" w:rsidP="00E14EE6">
            <w:pPr>
              <w:jc w:val="right"/>
              <w:rPr>
                <w:rFonts w:eastAsia="Times New Roman" w:cs="Times New Roman"/>
                <w:b/>
                <w:bCs/>
                <w:color w:val="000000"/>
                <w:sz w:val="14"/>
                <w:szCs w:val="14"/>
              </w:rPr>
            </w:pPr>
            <w:r w:rsidRPr="00E14EE6">
              <w:rPr>
                <w:b/>
                <w:sz w:val="14"/>
              </w:rPr>
              <w:t>0.2</w:t>
            </w:r>
          </w:p>
        </w:tc>
        <w:tc>
          <w:tcPr>
            <w:tcW w:w="390" w:type="pct"/>
            <w:noWrap/>
            <w:hideMark/>
          </w:tcPr>
          <w:p w14:paraId="2EF36A52" w14:textId="77777777" w:rsidR="00CA7676" w:rsidRPr="00E14EE6" w:rsidRDefault="00CA7676" w:rsidP="00E14EE6">
            <w:pPr>
              <w:jc w:val="right"/>
              <w:rPr>
                <w:rFonts w:eastAsia="Times New Roman" w:cs="Times New Roman"/>
                <w:b/>
                <w:bCs/>
                <w:color w:val="000000"/>
                <w:sz w:val="14"/>
                <w:szCs w:val="14"/>
              </w:rPr>
            </w:pPr>
            <w:r w:rsidRPr="00E14EE6">
              <w:rPr>
                <w:b/>
                <w:sz w:val="14"/>
              </w:rPr>
              <w:t>0.1</w:t>
            </w:r>
          </w:p>
        </w:tc>
        <w:tc>
          <w:tcPr>
            <w:tcW w:w="390" w:type="pct"/>
            <w:noWrap/>
            <w:hideMark/>
          </w:tcPr>
          <w:p w14:paraId="4B428EED" w14:textId="77777777" w:rsidR="00CA7676" w:rsidRPr="00E14EE6" w:rsidRDefault="00CA7676" w:rsidP="00E14EE6">
            <w:pPr>
              <w:jc w:val="right"/>
              <w:rPr>
                <w:rFonts w:eastAsia="Times New Roman" w:cs="Times New Roman"/>
                <w:b/>
                <w:bCs/>
                <w:color w:val="000000"/>
                <w:sz w:val="14"/>
                <w:szCs w:val="14"/>
              </w:rPr>
            </w:pPr>
            <w:r w:rsidRPr="00E14EE6">
              <w:rPr>
                <w:b/>
                <w:sz w:val="14"/>
              </w:rPr>
              <w:t>0.4</w:t>
            </w:r>
          </w:p>
        </w:tc>
        <w:tc>
          <w:tcPr>
            <w:tcW w:w="390" w:type="pct"/>
            <w:noWrap/>
            <w:hideMark/>
          </w:tcPr>
          <w:p w14:paraId="5371EA58" w14:textId="77777777" w:rsidR="00CA7676" w:rsidRPr="00E14EE6" w:rsidRDefault="00CA7676" w:rsidP="00E14EE6">
            <w:pPr>
              <w:jc w:val="right"/>
              <w:rPr>
                <w:rFonts w:eastAsia="Times New Roman" w:cs="Times New Roman"/>
                <w:b/>
                <w:bCs/>
                <w:color w:val="000000"/>
                <w:sz w:val="14"/>
                <w:szCs w:val="14"/>
              </w:rPr>
            </w:pPr>
            <w:r w:rsidRPr="00E14EE6">
              <w:rPr>
                <w:b/>
                <w:sz w:val="14"/>
              </w:rPr>
              <w:t>0.1</w:t>
            </w:r>
          </w:p>
        </w:tc>
        <w:tc>
          <w:tcPr>
            <w:tcW w:w="390" w:type="pct"/>
            <w:noWrap/>
            <w:hideMark/>
          </w:tcPr>
          <w:p w14:paraId="5438206A" w14:textId="77777777" w:rsidR="00CA7676" w:rsidRPr="00E14EE6" w:rsidRDefault="00CA7676" w:rsidP="00E14EE6">
            <w:pPr>
              <w:jc w:val="right"/>
              <w:rPr>
                <w:rFonts w:eastAsia="Times New Roman" w:cs="Times New Roman"/>
                <w:b/>
                <w:bCs/>
                <w:sz w:val="14"/>
                <w:szCs w:val="14"/>
              </w:rPr>
            </w:pPr>
            <w:r w:rsidRPr="00E14EE6">
              <w:rPr>
                <w:b/>
                <w:sz w:val="14"/>
              </w:rPr>
              <w:t>0.6</w:t>
            </w:r>
          </w:p>
        </w:tc>
      </w:tr>
      <w:tr w:rsidR="00CA7676" w:rsidRPr="00E14EE6" w14:paraId="01C526B4" w14:textId="77777777" w:rsidTr="00FD6B66">
        <w:trPr>
          <w:cnfStyle w:val="000000010000" w:firstRow="0" w:lastRow="0" w:firstColumn="0" w:lastColumn="0" w:oddVBand="0" w:evenVBand="0" w:oddHBand="0" w:evenHBand="1" w:firstRowFirstColumn="0" w:firstRowLastColumn="0" w:lastRowFirstColumn="0" w:lastRowLastColumn="0"/>
          <w:cantSplit/>
          <w:trHeight w:val="20"/>
        </w:trPr>
        <w:tc>
          <w:tcPr>
            <w:tcW w:w="1492" w:type="pct"/>
            <w:noWrap/>
            <w:hideMark/>
          </w:tcPr>
          <w:p w14:paraId="26A26556" w14:textId="77777777" w:rsidR="00CA7676" w:rsidRPr="00E14EE6" w:rsidRDefault="00CA7676" w:rsidP="00E14EE6">
            <w:pPr>
              <w:jc w:val="left"/>
              <w:rPr>
                <w:rFonts w:eastAsia="Times New Roman" w:cs="Times New Roman"/>
                <w:b/>
                <w:bCs/>
                <w:color w:val="000000"/>
                <w:sz w:val="14"/>
                <w:szCs w:val="14"/>
              </w:rPr>
            </w:pPr>
            <w:r w:rsidRPr="00E14EE6">
              <w:rPr>
                <w:b/>
                <w:sz w:val="14"/>
              </w:rPr>
              <w:t xml:space="preserve">Rest of the </w:t>
            </w:r>
            <w:proofErr w:type="spellStart"/>
            <w:r w:rsidRPr="00E14EE6">
              <w:rPr>
                <w:b/>
                <w:sz w:val="14"/>
              </w:rPr>
              <w:t>NFPS</w:t>
            </w:r>
            <w:r w:rsidRPr="00E14EE6">
              <w:rPr>
                <w:b/>
                <w:sz w:val="14"/>
                <w:vertAlign w:val="superscript"/>
              </w:rPr>
              <w:t>h</w:t>
            </w:r>
            <w:proofErr w:type="spellEnd"/>
          </w:p>
        </w:tc>
        <w:tc>
          <w:tcPr>
            <w:tcW w:w="389" w:type="pct"/>
            <w:noWrap/>
            <w:hideMark/>
          </w:tcPr>
          <w:p w14:paraId="3F165667" w14:textId="77777777" w:rsidR="00CA7676" w:rsidRPr="00E14EE6" w:rsidRDefault="00CA7676" w:rsidP="00E14EE6">
            <w:pPr>
              <w:jc w:val="right"/>
              <w:rPr>
                <w:rFonts w:eastAsia="Times New Roman" w:cs="Times New Roman"/>
                <w:b/>
                <w:bCs/>
                <w:color w:val="000000"/>
                <w:sz w:val="14"/>
                <w:szCs w:val="14"/>
              </w:rPr>
            </w:pPr>
            <w:r w:rsidRPr="00E14EE6">
              <w:rPr>
                <w:b/>
                <w:sz w:val="14"/>
              </w:rPr>
              <w:t>0.0</w:t>
            </w:r>
          </w:p>
        </w:tc>
        <w:tc>
          <w:tcPr>
            <w:tcW w:w="390" w:type="pct"/>
            <w:noWrap/>
            <w:hideMark/>
          </w:tcPr>
          <w:p w14:paraId="56FD962B" w14:textId="77777777" w:rsidR="00CA7676" w:rsidRPr="00E14EE6" w:rsidRDefault="00CA7676" w:rsidP="00E14EE6">
            <w:pPr>
              <w:jc w:val="right"/>
              <w:rPr>
                <w:rFonts w:eastAsia="Times New Roman" w:cs="Times New Roman"/>
                <w:b/>
                <w:bCs/>
                <w:color w:val="000000"/>
                <w:sz w:val="14"/>
                <w:szCs w:val="14"/>
              </w:rPr>
            </w:pPr>
            <w:r w:rsidRPr="00E14EE6">
              <w:rPr>
                <w:b/>
                <w:sz w:val="14"/>
              </w:rPr>
              <w:t>0.0</w:t>
            </w:r>
          </w:p>
        </w:tc>
        <w:tc>
          <w:tcPr>
            <w:tcW w:w="390" w:type="pct"/>
            <w:noWrap/>
            <w:hideMark/>
          </w:tcPr>
          <w:p w14:paraId="5976C6E9" w14:textId="77777777" w:rsidR="00CA7676" w:rsidRPr="00E14EE6" w:rsidRDefault="00CA7676" w:rsidP="00E14EE6">
            <w:pPr>
              <w:jc w:val="right"/>
              <w:rPr>
                <w:rFonts w:eastAsia="Times New Roman" w:cs="Times New Roman"/>
                <w:b/>
                <w:bCs/>
                <w:color w:val="000000"/>
                <w:sz w:val="14"/>
                <w:szCs w:val="14"/>
              </w:rPr>
            </w:pPr>
            <w:r w:rsidRPr="00E14EE6">
              <w:rPr>
                <w:b/>
                <w:sz w:val="14"/>
              </w:rPr>
              <w:t>0.0</w:t>
            </w:r>
          </w:p>
        </w:tc>
        <w:tc>
          <w:tcPr>
            <w:tcW w:w="390" w:type="pct"/>
            <w:noWrap/>
            <w:hideMark/>
          </w:tcPr>
          <w:p w14:paraId="3CB9C9F0" w14:textId="77777777" w:rsidR="00CA7676" w:rsidRPr="00E14EE6" w:rsidRDefault="00CA7676" w:rsidP="00E14EE6">
            <w:pPr>
              <w:jc w:val="right"/>
              <w:rPr>
                <w:rFonts w:eastAsia="Times New Roman" w:cs="Times New Roman"/>
                <w:b/>
                <w:bCs/>
                <w:color w:val="000000"/>
                <w:sz w:val="14"/>
                <w:szCs w:val="14"/>
              </w:rPr>
            </w:pPr>
            <w:r w:rsidRPr="00E14EE6">
              <w:rPr>
                <w:b/>
                <w:sz w:val="14"/>
              </w:rPr>
              <w:t>0.0</w:t>
            </w:r>
          </w:p>
        </w:tc>
        <w:tc>
          <w:tcPr>
            <w:tcW w:w="390" w:type="pct"/>
            <w:noWrap/>
            <w:hideMark/>
          </w:tcPr>
          <w:p w14:paraId="3E84C83D" w14:textId="77777777" w:rsidR="00CA7676" w:rsidRPr="00E14EE6" w:rsidRDefault="00CA7676" w:rsidP="00E14EE6">
            <w:pPr>
              <w:jc w:val="right"/>
              <w:rPr>
                <w:rFonts w:eastAsia="Times New Roman" w:cs="Times New Roman"/>
                <w:b/>
                <w:bCs/>
                <w:color w:val="000000"/>
                <w:sz w:val="14"/>
                <w:szCs w:val="14"/>
              </w:rPr>
            </w:pPr>
            <w:r w:rsidRPr="00E14EE6">
              <w:rPr>
                <w:b/>
                <w:sz w:val="14"/>
              </w:rPr>
              <w:t>0.0</w:t>
            </w:r>
          </w:p>
        </w:tc>
        <w:tc>
          <w:tcPr>
            <w:tcW w:w="390" w:type="pct"/>
            <w:noWrap/>
            <w:hideMark/>
          </w:tcPr>
          <w:p w14:paraId="0702B404" w14:textId="77777777" w:rsidR="00CA7676" w:rsidRPr="00E14EE6" w:rsidRDefault="00CA7676" w:rsidP="00E14EE6">
            <w:pPr>
              <w:jc w:val="right"/>
              <w:rPr>
                <w:rFonts w:eastAsia="Times New Roman" w:cs="Times New Roman"/>
                <w:b/>
                <w:bCs/>
                <w:color w:val="000000"/>
                <w:sz w:val="14"/>
                <w:szCs w:val="14"/>
              </w:rPr>
            </w:pPr>
            <w:r w:rsidRPr="00E14EE6">
              <w:rPr>
                <w:b/>
                <w:sz w:val="14"/>
              </w:rPr>
              <w:t>0.0</w:t>
            </w:r>
          </w:p>
        </w:tc>
        <w:tc>
          <w:tcPr>
            <w:tcW w:w="390" w:type="pct"/>
            <w:noWrap/>
            <w:hideMark/>
          </w:tcPr>
          <w:p w14:paraId="0DC0A77E" w14:textId="77777777" w:rsidR="00CA7676" w:rsidRPr="00E14EE6" w:rsidRDefault="00CA7676" w:rsidP="00E14EE6">
            <w:pPr>
              <w:jc w:val="right"/>
              <w:rPr>
                <w:rFonts w:eastAsia="Times New Roman" w:cs="Times New Roman"/>
                <w:b/>
                <w:bCs/>
                <w:color w:val="000000"/>
                <w:sz w:val="14"/>
                <w:szCs w:val="14"/>
              </w:rPr>
            </w:pPr>
            <w:r w:rsidRPr="00E14EE6">
              <w:rPr>
                <w:b/>
                <w:sz w:val="14"/>
              </w:rPr>
              <w:t>0.0</w:t>
            </w:r>
          </w:p>
        </w:tc>
        <w:tc>
          <w:tcPr>
            <w:tcW w:w="390" w:type="pct"/>
            <w:noWrap/>
            <w:hideMark/>
          </w:tcPr>
          <w:p w14:paraId="32E63C6E" w14:textId="77777777" w:rsidR="00CA7676" w:rsidRPr="00E14EE6" w:rsidRDefault="00CA7676" w:rsidP="00E14EE6">
            <w:pPr>
              <w:jc w:val="right"/>
              <w:rPr>
                <w:rFonts w:eastAsia="Times New Roman" w:cs="Times New Roman"/>
                <w:b/>
                <w:bCs/>
                <w:color w:val="000000"/>
                <w:sz w:val="14"/>
                <w:szCs w:val="14"/>
              </w:rPr>
            </w:pPr>
            <w:r w:rsidRPr="00E14EE6">
              <w:rPr>
                <w:b/>
                <w:sz w:val="14"/>
              </w:rPr>
              <w:t>0.0</w:t>
            </w:r>
          </w:p>
        </w:tc>
        <w:tc>
          <w:tcPr>
            <w:tcW w:w="390" w:type="pct"/>
            <w:noWrap/>
            <w:hideMark/>
          </w:tcPr>
          <w:p w14:paraId="45A90F84" w14:textId="77777777" w:rsidR="00CA7676" w:rsidRPr="00E14EE6" w:rsidRDefault="00CA7676" w:rsidP="00E14EE6">
            <w:pPr>
              <w:jc w:val="right"/>
              <w:rPr>
                <w:rFonts w:eastAsia="Times New Roman" w:cs="Times New Roman"/>
                <w:b/>
                <w:bCs/>
                <w:sz w:val="14"/>
                <w:szCs w:val="14"/>
              </w:rPr>
            </w:pPr>
            <w:r w:rsidRPr="00E14EE6">
              <w:rPr>
                <w:b/>
                <w:sz w:val="14"/>
              </w:rPr>
              <w:t>0.0</w:t>
            </w:r>
          </w:p>
        </w:tc>
      </w:tr>
      <w:tr w:rsidR="00CA7676" w:rsidRPr="00E14EE6" w14:paraId="27F81D26" w14:textId="77777777" w:rsidTr="00FD6B66">
        <w:trPr>
          <w:cantSplit/>
          <w:trHeight w:val="20"/>
        </w:trPr>
        <w:tc>
          <w:tcPr>
            <w:tcW w:w="1492" w:type="pct"/>
            <w:noWrap/>
            <w:hideMark/>
          </w:tcPr>
          <w:p w14:paraId="036A8283" w14:textId="14F9B824" w:rsidR="00CA7676" w:rsidRPr="00E14EE6" w:rsidRDefault="00CA7676" w:rsidP="00E14EE6">
            <w:pPr>
              <w:jc w:val="left"/>
              <w:rPr>
                <w:rFonts w:eastAsia="Times New Roman" w:cs="Times New Roman"/>
                <w:b/>
                <w:bCs/>
                <w:i/>
                <w:iCs/>
                <w:sz w:val="14"/>
                <w:szCs w:val="14"/>
              </w:rPr>
            </w:pPr>
            <w:r w:rsidRPr="00E14EE6">
              <w:rPr>
                <w:b/>
                <w:i/>
                <w:sz w:val="14"/>
              </w:rPr>
              <w:t>Net lending (+) / net borrowing (</w:t>
            </w:r>
            <w:r w:rsidR="00E14EE6" w:rsidRPr="00E14EE6">
              <w:rPr>
                <w:b/>
                <w:i/>
                <w:sz w:val="14"/>
              </w:rPr>
              <w:noBreakHyphen/>
            </w:r>
            <w:r w:rsidRPr="00E14EE6">
              <w:rPr>
                <w:b/>
                <w:i/>
                <w:sz w:val="14"/>
              </w:rPr>
              <w:t>)</w:t>
            </w:r>
            <w:r w:rsidRPr="00E14EE6">
              <w:rPr>
                <w:b/>
                <w:i/>
                <w:sz w:val="14"/>
                <w:vertAlign w:val="superscript"/>
              </w:rPr>
              <w:t>e</w:t>
            </w:r>
          </w:p>
        </w:tc>
        <w:tc>
          <w:tcPr>
            <w:tcW w:w="389" w:type="pct"/>
            <w:noWrap/>
            <w:hideMark/>
          </w:tcPr>
          <w:p w14:paraId="281D9B22" w14:textId="3F61AFE9" w:rsidR="00CA7676" w:rsidRPr="00E14EE6" w:rsidRDefault="00E14EE6" w:rsidP="00E14EE6">
            <w:pPr>
              <w:jc w:val="right"/>
              <w:rPr>
                <w:rFonts w:eastAsia="Times New Roman" w:cs="Times New Roman"/>
                <w:b/>
                <w:bCs/>
                <w:color w:val="000000"/>
                <w:sz w:val="14"/>
                <w:szCs w:val="14"/>
              </w:rPr>
            </w:pPr>
            <w:r w:rsidRPr="00E14EE6">
              <w:rPr>
                <w:b/>
                <w:sz w:val="14"/>
              </w:rPr>
              <w:noBreakHyphen/>
            </w:r>
            <w:r w:rsidR="00CA7676" w:rsidRPr="00E14EE6">
              <w:rPr>
                <w:b/>
                <w:sz w:val="14"/>
              </w:rPr>
              <w:t>0.7</w:t>
            </w:r>
          </w:p>
        </w:tc>
        <w:tc>
          <w:tcPr>
            <w:tcW w:w="390" w:type="pct"/>
            <w:noWrap/>
            <w:hideMark/>
          </w:tcPr>
          <w:p w14:paraId="12D53306" w14:textId="0515461F" w:rsidR="00CA7676" w:rsidRPr="00E14EE6" w:rsidRDefault="00E14EE6" w:rsidP="00E14EE6">
            <w:pPr>
              <w:jc w:val="right"/>
              <w:rPr>
                <w:rFonts w:eastAsia="Times New Roman" w:cs="Times New Roman"/>
                <w:b/>
                <w:bCs/>
                <w:color w:val="000000"/>
                <w:sz w:val="14"/>
                <w:szCs w:val="14"/>
              </w:rPr>
            </w:pPr>
            <w:r w:rsidRPr="00E14EE6">
              <w:rPr>
                <w:b/>
                <w:sz w:val="14"/>
              </w:rPr>
              <w:noBreakHyphen/>
            </w:r>
            <w:r w:rsidR="00CA7676" w:rsidRPr="00E14EE6">
              <w:rPr>
                <w:b/>
                <w:sz w:val="14"/>
              </w:rPr>
              <w:t>0.2</w:t>
            </w:r>
          </w:p>
        </w:tc>
        <w:tc>
          <w:tcPr>
            <w:tcW w:w="390" w:type="pct"/>
            <w:noWrap/>
            <w:hideMark/>
          </w:tcPr>
          <w:p w14:paraId="181322F2" w14:textId="77777777" w:rsidR="00CA7676" w:rsidRPr="00E14EE6" w:rsidRDefault="00CA7676" w:rsidP="00E14EE6">
            <w:pPr>
              <w:jc w:val="right"/>
              <w:rPr>
                <w:rFonts w:eastAsia="Times New Roman" w:cs="Times New Roman"/>
                <w:b/>
                <w:bCs/>
                <w:color w:val="000000"/>
                <w:sz w:val="14"/>
                <w:szCs w:val="14"/>
              </w:rPr>
            </w:pPr>
            <w:r w:rsidRPr="00E14EE6">
              <w:rPr>
                <w:b/>
                <w:sz w:val="14"/>
              </w:rPr>
              <w:t>0.4</w:t>
            </w:r>
          </w:p>
        </w:tc>
        <w:tc>
          <w:tcPr>
            <w:tcW w:w="390" w:type="pct"/>
            <w:noWrap/>
            <w:hideMark/>
          </w:tcPr>
          <w:p w14:paraId="31304AC3" w14:textId="77777777" w:rsidR="00CA7676" w:rsidRPr="00E14EE6" w:rsidRDefault="00CA7676" w:rsidP="00E14EE6">
            <w:pPr>
              <w:jc w:val="right"/>
              <w:rPr>
                <w:rFonts w:eastAsia="Times New Roman" w:cs="Times New Roman"/>
                <w:b/>
                <w:bCs/>
                <w:color w:val="000000"/>
                <w:sz w:val="14"/>
                <w:szCs w:val="14"/>
              </w:rPr>
            </w:pPr>
            <w:r w:rsidRPr="00E14EE6">
              <w:rPr>
                <w:b/>
                <w:sz w:val="14"/>
              </w:rPr>
              <w:t>0.3</w:t>
            </w:r>
          </w:p>
        </w:tc>
        <w:tc>
          <w:tcPr>
            <w:tcW w:w="390" w:type="pct"/>
            <w:noWrap/>
            <w:hideMark/>
          </w:tcPr>
          <w:p w14:paraId="24B0D673" w14:textId="6DD72A20" w:rsidR="00CA7676" w:rsidRPr="00E14EE6" w:rsidRDefault="00E14EE6" w:rsidP="00E14EE6">
            <w:pPr>
              <w:jc w:val="right"/>
              <w:rPr>
                <w:rFonts w:eastAsia="Times New Roman" w:cs="Times New Roman"/>
                <w:b/>
                <w:bCs/>
                <w:color w:val="000000"/>
                <w:sz w:val="14"/>
                <w:szCs w:val="14"/>
              </w:rPr>
            </w:pPr>
            <w:r w:rsidRPr="00E14EE6">
              <w:rPr>
                <w:b/>
                <w:sz w:val="14"/>
              </w:rPr>
              <w:noBreakHyphen/>
            </w:r>
            <w:r w:rsidR="00CA7676" w:rsidRPr="00E14EE6">
              <w:rPr>
                <w:b/>
                <w:sz w:val="14"/>
              </w:rPr>
              <w:t>0.1</w:t>
            </w:r>
          </w:p>
        </w:tc>
        <w:tc>
          <w:tcPr>
            <w:tcW w:w="390" w:type="pct"/>
            <w:noWrap/>
            <w:hideMark/>
          </w:tcPr>
          <w:p w14:paraId="2F1FAD11" w14:textId="014D2010" w:rsidR="00CA7676" w:rsidRPr="00E14EE6" w:rsidRDefault="00E14EE6" w:rsidP="00E14EE6">
            <w:pPr>
              <w:jc w:val="right"/>
              <w:rPr>
                <w:rFonts w:eastAsia="Times New Roman" w:cs="Times New Roman"/>
                <w:b/>
                <w:bCs/>
                <w:color w:val="000000"/>
                <w:sz w:val="14"/>
                <w:szCs w:val="14"/>
              </w:rPr>
            </w:pPr>
            <w:r w:rsidRPr="00E14EE6">
              <w:rPr>
                <w:b/>
                <w:sz w:val="14"/>
              </w:rPr>
              <w:noBreakHyphen/>
            </w:r>
            <w:r w:rsidR="00CA7676" w:rsidRPr="00E14EE6">
              <w:rPr>
                <w:b/>
                <w:sz w:val="14"/>
              </w:rPr>
              <w:t>0.1</w:t>
            </w:r>
          </w:p>
        </w:tc>
        <w:tc>
          <w:tcPr>
            <w:tcW w:w="390" w:type="pct"/>
            <w:noWrap/>
            <w:hideMark/>
          </w:tcPr>
          <w:p w14:paraId="6D3F389B" w14:textId="77777777" w:rsidR="00CA7676" w:rsidRPr="00E14EE6" w:rsidRDefault="00CA7676" w:rsidP="00E14EE6">
            <w:pPr>
              <w:jc w:val="right"/>
              <w:rPr>
                <w:rFonts w:eastAsia="Times New Roman" w:cs="Times New Roman"/>
                <w:b/>
                <w:bCs/>
                <w:color w:val="000000"/>
                <w:sz w:val="14"/>
                <w:szCs w:val="14"/>
              </w:rPr>
            </w:pPr>
            <w:r w:rsidRPr="00E14EE6">
              <w:rPr>
                <w:b/>
                <w:sz w:val="14"/>
              </w:rPr>
              <w:t>0.3</w:t>
            </w:r>
          </w:p>
        </w:tc>
        <w:tc>
          <w:tcPr>
            <w:tcW w:w="390" w:type="pct"/>
            <w:noWrap/>
            <w:hideMark/>
          </w:tcPr>
          <w:p w14:paraId="2D6B892F" w14:textId="77777777" w:rsidR="00CA7676" w:rsidRPr="00E14EE6" w:rsidRDefault="00CA7676" w:rsidP="00E14EE6">
            <w:pPr>
              <w:jc w:val="right"/>
              <w:rPr>
                <w:rFonts w:eastAsia="Times New Roman" w:cs="Times New Roman"/>
                <w:b/>
                <w:bCs/>
                <w:color w:val="000000"/>
                <w:sz w:val="14"/>
                <w:szCs w:val="14"/>
              </w:rPr>
            </w:pPr>
            <w:r w:rsidRPr="00E14EE6">
              <w:rPr>
                <w:b/>
                <w:sz w:val="14"/>
              </w:rPr>
              <w:t>0.2</w:t>
            </w:r>
          </w:p>
        </w:tc>
        <w:tc>
          <w:tcPr>
            <w:tcW w:w="390" w:type="pct"/>
            <w:noWrap/>
            <w:hideMark/>
          </w:tcPr>
          <w:p w14:paraId="117A9D7A" w14:textId="77777777" w:rsidR="00CA7676" w:rsidRPr="00E14EE6" w:rsidRDefault="00CA7676" w:rsidP="00E14EE6">
            <w:pPr>
              <w:jc w:val="right"/>
              <w:rPr>
                <w:rFonts w:eastAsia="Times New Roman" w:cs="Times New Roman"/>
                <w:b/>
                <w:bCs/>
                <w:sz w:val="14"/>
                <w:szCs w:val="14"/>
              </w:rPr>
            </w:pPr>
            <w:r w:rsidRPr="00E14EE6">
              <w:rPr>
                <w:b/>
                <w:sz w:val="14"/>
              </w:rPr>
              <w:t>1.5</w:t>
            </w:r>
          </w:p>
        </w:tc>
      </w:tr>
      <w:tr w:rsidR="00CA7676" w:rsidRPr="00E14EE6" w14:paraId="658980BE" w14:textId="77777777" w:rsidTr="00FD6B66">
        <w:trPr>
          <w:cnfStyle w:val="000000010000" w:firstRow="0" w:lastRow="0" w:firstColumn="0" w:lastColumn="0" w:oddVBand="0" w:evenVBand="0" w:oddHBand="0" w:evenHBand="1" w:firstRowFirstColumn="0" w:firstRowLastColumn="0" w:lastRowFirstColumn="0" w:lastRowLastColumn="0"/>
          <w:cantSplit/>
          <w:trHeight w:val="20"/>
        </w:trPr>
        <w:tc>
          <w:tcPr>
            <w:tcW w:w="1492" w:type="pct"/>
            <w:noWrap/>
            <w:hideMark/>
          </w:tcPr>
          <w:p w14:paraId="74830DBF" w14:textId="4BED89FC" w:rsidR="00CA7676" w:rsidRPr="00E14EE6" w:rsidRDefault="00CA7676" w:rsidP="00E14EE6">
            <w:pPr>
              <w:jc w:val="left"/>
              <w:rPr>
                <w:rFonts w:eastAsia="Times New Roman" w:cs="Times New Roman"/>
                <w:b/>
                <w:bCs/>
                <w:sz w:val="14"/>
                <w:szCs w:val="14"/>
              </w:rPr>
            </w:pPr>
            <w:r w:rsidRPr="00E14EE6">
              <w:rPr>
                <w:b/>
                <w:sz w:val="14"/>
              </w:rPr>
              <w:t>Net acquisition of financial assets</w:t>
            </w:r>
          </w:p>
        </w:tc>
        <w:tc>
          <w:tcPr>
            <w:tcW w:w="389" w:type="pct"/>
            <w:noWrap/>
            <w:hideMark/>
          </w:tcPr>
          <w:p w14:paraId="62B35B82" w14:textId="77777777" w:rsidR="00CA7676" w:rsidRPr="00E14EE6" w:rsidRDefault="00CA7676" w:rsidP="00E14EE6">
            <w:pPr>
              <w:jc w:val="right"/>
              <w:rPr>
                <w:rFonts w:eastAsia="Times New Roman" w:cs="Times New Roman"/>
                <w:b/>
                <w:bCs/>
                <w:color w:val="000000"/>
                <w:sz w:val="14"/>
                <w:szCs w:val="14"/>
              </w:rPr>
            </w:pPr>
            <w:r w:rsidRPr="00E14EE6">
              <w:rPr>
                <w:b/>
                <w:sz w:val="14"/>
              </w:rPr>
              <w:t>0.4</w:t>
            </w:r>
          </w:p>
        </w:tc>
        <w:tc>
          <w:tcPr>
            <w:tcW w:w="390" w:type="pct"/>
            <w:noWrap/>
            <w:hideMark/>
          </w:tcPr>
          <w:p w14:paraId="15CA85A3" w14:textId="77777777" w:rsidR="00CA7676" w:rsidRPr="00E14EE6" w:rsidRDefault="00CA7676" w:rsidP="00E14EE6">
            <w:pPr>
              <w:jc w:val="right"/>
              <w:rPr>
                <w:rFonts w:eastAsia="Times New Roman" w:cs="Times New Roman"/>
                <w:b/>
                <w:bCs/>
                <w:color w:val="000000"/>
                <w:sz w:val="14"/>
                <w:szCs w:val="14"/>
              </w:rPr>
            </w:pPr>
            <w:r w:rsidRPr="00E14EE6">
              <w:rPr>
                <w:b/>
                <w:sz w:val="14"/>
              </w:rPr>
              <w:t>0.0</w:t>
            </w:r>
          </w:p>
        </w:tc>
        <w:tc>
          <w:tcPr>
            <w:tcW w:w="390" w:type="pct"/>
            <w:noWrap/>
            <w:hideMark/>
          </w:tcPr>
          <w:p w14:paraId="157577EA" w14:textId="77777777" w:rsidR="00CA7676" w:rsidRPr="00E14EE6" w:rsidRDefault="00CA7676" w:rsidP="00E14EE6">
            <w:pPr>
              <w:jc w:val="right"/>
              <w:rPr>
                <w:rFonts w:eastAsia="Times New Roman" w:cs="Times New Roman"/>
                <w:b/>
                <w:bCs/>
                <w:color w:val="000000"/>
                <w:sz w:val="14"/>
                <w:szCs w:val="14"/>
              </w:rPr>
            </w:pPr>
            <w:r w:rsidRPr="00E14EE6">
              <w:rPr>
                <w:b/>
                <w:sz w:val="14"/>
              </w:rPr>
              <w:t>0.4</w:t>
            </w:r>
          </w:p>
        </w:tc>
        <w:tc>
          <w:tcPr>
            <w:tcW w:w="390" w:type="pct"/>
            <w:noWrap/>
            <w:hideMark/>
          </w:tcPr>
          <w:p w14:paraId="5685FA3D" w14:textId="77777777" w:rsidR="00CA7676" w:rsidRPr="00E14EE6" w:rsidRDefault="00CA7676" w:rsidP="00E14EE6">
            <w:pPr>
              <w:jc w:val="right"/>
              <w:rPr>
                <w:rFonts w:eastAsia="Times New Roman" w:cs="Times New Roman"/>
                <w:b/>
                <w:bCs/>
                <w:color w:val="000000"/>
                <w:sz w:val="14"/>
                <w:szCs w:val="14"/>
              </w:rPr>
            </w:pPr>
            <w:r w:rsidRPr="00E14EE6">
              <w:rPr>
                <w:b/>
                <w:sz w:val="14"/>
              </w:rPr>
              <w:t>0.1</w:t>
            </w:r>
          </w:p>
        </w:tc>
        <w:tc>
          <w:tcPr>
            <w:tcW w:w="390" w:type="pct"/>
            <w:noWrap/>
            <w:hideMark/>
          </w:tcPr>
          <w:p w14:paraId="6CDDD2C5" w14:textId="77777777" w:rsidR="00CA7676" w:rsidRPr="00E14EE6" w:rsidRDefault="00CA7676" w:rsidP="00E14EE6">
            <w:pPr>
              <w:jc w:val="right"/>
              <w:rPr>
                <w:rFonts w:eastAsia="Times New Roman" w:cs="Times New Roman"/>
                <w:b/>
                <w:bCs/>
                <w:color w:val="000000"/>
                <w:sz w:val="14"/>
                <w:szCs w:val="14"/>
              </w:rPr>
            </w:pPr>
            <w:r w:rsidRPr="00E14EE6">
              <w:rPr>
                <w:b/>
                <w:sz w:val="14"/>
              </w:rPr>
              <w:t>0.2</w:t>
            </w:r>
          </w:p>
        </w:tc>
        <w:tc>
          <w:tcPr>
            <w:tcW w:w="390" w:type="pct"/>
            <w:noWrap/>
            <w:hideMark/>
          </w:tcPr>
          <w:p w14:paraId="14EBBCE4" w14:textId="77777777" w:rsidR="00CA7676" w:rsidRPr="00E14EE6" w:rsidRDefault="00CA7676" w:rsidP="00E14EE6">
            <w:pPr>
              <w:jc w:val="right"/>
              <w:rPr>
                <w:rFonts w:eastAsia="Times New Roman" w:cs="Times New Roman"/>
                <w:b/>
                <w:bCs/>
                <w:color w:val="000000"/>
                <w:sz w:val="14"/>
                <w:szCs w:val="14"/>
              </w:rPr>
            </w:pPr>
            <w:r w:rsidRPr="00E14EE6">
              <w:rPr>
                <w:b/>
                <w:sz w:val="14"/>
              </w:rPr>
              <w:t>0.1</w:t>
            </w:r>
          </w:p>
        </w:tc>
        <w:tc>
          <w:tcPr>
            <w:tcW w:w="390" w:type="pct"/>
            <w:noWrap/>
            <w:hideMark/>
          </w:tcPr>
          <w:p w14:paraId="32BA2AE8" w14:textId="01C8F0F5" w:rsidR="00CA7676" w:rsidRPr="00E14EE6" w:rsidRDefault="00E14EE6" w:rsidP="00E14EE6">
            <w:pPr>
              <w:jc w:val="right"/>
              <w:rPr>
                <w:rFonts w:eastAsia="Times New Roman" w:cs="Times New Roman"/>
                <w:b/>
                <w:bCs/>
                <w:color w:val="000000"/>
                <w:sz w:val="14"/>
                <w:szCs w:val="14"/>
              </w:rPr>
            </w:pPr>
            <w:r w:rsidRPr="00E14EE6">
              <w:rPr>
                <w:b/>
                <w:sz w:val="14"/>
              </w:rPr>
              <w:noBreakHyphen/>
            </w:r>
            <w:r w:rsidR="00CA7676" w:rsidRPr="00E14EE6">
              <w:rPr>
                <w:b/>
                <w:sz w:val="14"/>
              </w:rPr>
              <w:t>0.1</w:t>
            </w:r>
          </w:p>
        </w:tc>
        <w:tc>
          <w:tcPr>
            <w:tcW w:w="390" w:type="pct"/>
            <w:noWrap/>
            <w:hideMark/>
          </w:tcPr>
          <w:p w14:paraId="2B0CC2FA" w14:textId="77777777" w:rsidR="00CA7676" w:rsidRPr="00E14EE6" w:rsidRDefault="00CA7676" w:rsidP="00E14EE6">
            <w:pPr>
              <w:jc w:val="right"/>
              <w:rPr>
                <w:rFonts w:eastAsia="Times New Roman" w:cs="Times New Roman"/>
                <w:b/>
                <w:bCs/>
                <w:color w:val="000000"/>
                <w:sz w:val="14"/>
                <w:szCs w:val="14"/>
              </w:rPr>
            </w:pPr>
            <w:r w:rsidRPr="00E14EE6">
              <w:rPr>
                <w:b/>
                <w:sz w:val="14"/>
              </w:rPr>
              <w:t>0.3</w:t>
            </w:r>
          </w:p>
        </w:tc>
        <w:tc>
          <w:tcPr>
            <w:tcW w:w="390" w:type="pct"/>
            <w:noWrap/>
            <w:hideMark/>
          </w:tcPr>
          <w:p w14:paraId="23A0A93E" w14:textId="77777777" w:rsidR="00CA7676" w:rsidRPr="00E14EE6" w:rsidRDefault="00CA7676" w:rsidP="00E14EE6">
            <w:pPr>
              <w:jc w:val="right"/>
              <w:rPr>
                <w:rFonts w:eastAsia="Times New Roman" w:cs="Times New Roman"/>
                <w:b/>
                <w:bCs/>
                <w:sz w:val="14"/>
                <w:szCs w:val="14"/>
              </w:rPr>
            </w:pPr>
            <w:r w:rsidRPr="00E14EE6">
              <w:rPr>
                <w:b/>
                <w:sz w:val="14"/>
              </w:rPr>
              <w:t>1.3</w:t>
            </w:r>
          </w:p>
        </w:tc>
      </w:tr>
      <w:tr w:rsidR="00CA7676" w:rsidRPr="00E14EE6" w14:paraId="58C62A1A" w14:textId="77777777" w:rsidTr="00FD6B66">
        <w:trPr>
          <w:cantSplit/>
          <w:trHeight w:val="20"/>
        </w:trPr>
        <w:tc>
          <w:tcPr>
            <w:tcW w:w="1492" w:type="pct"/>
            <w:noWrap/>
            <w:hideMark/>
          </w:tcPr>
          <w:p w14:paraId="671CF554" w14:textId="72D36E4C" w:rsidR="00CA7676" w:rsidRPr="00E14EE6" w:rsidRDefault="00CA7676" w:rsidP="00E14EE6">
            <w:pPr>
              <w:ind w:firstLineChars="100" w:firstLine="140"/>
              <w:jc w:val="left"/>
              <w:rPr>
                <w:rFonts w:eastAsia="Times New Roman" w:cs="Times New Roman"/>
                <w:sz w:val="14"/>
                <w:szCs w:val="14"/>
              </w:rPr>
            </w:pPr>
            <w:r w:rsidRPr="00E14EE6">
              <w:rPr>
                <w:sz w:val="14"/>
              </w:rPr>
              <w:t>Internal receivables</w:t>
            </w:r>
          </w:p>
        </w:tc>
        <w:tc>
          <w:tcPr>
            <w:tcW w:w="389" w:type="pct"/>
            <w:noWrap/>
            <w:hideMark/>
          </w:tcPr>
          <w:p w14:paraId="5CFC7E77" w14:textId="77777777" w:rsidR="00CA7676" w:rsidRPr="00E14EE6" w:rsidRDefault="00CA7676" w:rsidP="00E14EE6">
            <w:pPr>
              <w:jc w:val="right"/>
              <w:rPr>
                <w:rFonts w:eastAsia="Times New Roman" w:cs="Times New Roman"/>
                <w:color w:val="000000"/>
                <w:sz w:val="14"/>
                <w:szCs w:val="14"/>
              </w:rPr>
            </w:pPr>
            <w:r w:rsidRPr="00E14EE6">
              <w:rPr>
                <w:sz w:val="14"/>
              </w:rPr>
              <w:t>0.4</w:t>
            </w:r>
          </w:p>
        </w:tc>
        <w:tc>
          <w:tcPr>
            <w:tcW w:w="390" w:type="pct"/>
            <w:noWrap/>
            <w:hideMark/>
          </w:tcPr>
          <w:p w14:paraId="5D8C8B19" w14:textId="77777777" w:rsidR="00CA7676" w:rsidRPr="00E14EE6" w:rsidRDefault="00CA7676" w:rsidP="00E14EE6">
            <w:pPr>
              <w:jc w:val="right"/>
              <w:rPr>
                <w:rFonts w:eastAsia="Times New Roman" w:cs="Times New Roman"/>
                <w:color w:val="000000"/>
                <w:sz w:val="14"/>
                <w:szCs w:val="14"/>
              </w:rPr>
            </w:pPr>
            <w:r w:rsidRPr="00E14EE6">
              <w:rPr>
                <w:sz w:val="14"/>
              </w:rPr>
              <w:t>0.0</w:t>
            </w:r>
          </w:p>
        </w:tc>
        <w:tc>
          <w:tcPr>
            <w:tcW w:w="390" w:type="pct"/>
            <w:noWrap/>
            <w:hideMark/>
          </w:tcPr>
          <w:p w14:paraId="73C11F30" w14:textId="77777777" w:rsidR="00CA7676" w:rsidRPr="00E14EE6" w:rsidRDefault="00CA7676" w:rsidP="00E14EE6">
            <w:pPr>
              <w:jc w:val="right"/>
              <w:rPr>
                <w:rFonts w:eastAsia="Times New Roman" w:cs="Times New Roman"/>
                <w:color w:val="000000"/>
                <w:sz w:val="14"/>
                <w:szCs w:val="14"/>
              </w:rPr>
            </w:pPr>
            <w:r w:rsidRPr="00E14EE6">
              <w:rPr>
                <w:sz w:val="14"/>
              </w:rPr>
              <w:t>0.4</w:t>
            </w:r>
          </w:p>
        </w:tc>
        <w:tc>
          <w:tcPr>
            <w:tcW w:w="390" w:type="pct"/>
            <w:noWrap/>
            <w:hideMark/>
          </w:tcPr>
          <w:p w14:paraId="52D65DDC" w14:textId="77777777" w:rsidR="00CA7676" w:rsidRPr="00E14EE6" w:rsidRDefault="00CA7676" w:rsidP="00E14EE6">
            <w:pPr>
              <w:jc w:val="right"/>
              <w:rPr>
                <w:rFonts w:eastAsia="Times New Roman" w:cs="Times New Roman"/>
                <w:color w:val="000000"/>
                <w:sz w:val="14"/>
                <w:szCs w:val="14"/>
              </w:rPr>
            </w:pPr>
            <w:r w:rsidRPr="00E14EE6">
              <w:rPr>
                <w:sz w:val="14"/>
              </w:rPr>
              <w:t>0.1</w:t>
            </w:r>
          </w:p>
        </w:tc>
        <w:tc>
          <w:tcPr>
            <w:tcW w:w="390" w:type="pct"/>
            <w:noWrap/>
            <w:hideMark/>
          </w:tcPr>
          <w:p w14:paraId="04DBB0A5" w14:textId="77777777" w:rsidR="00CA7676" w:rsidRPr="00E14EE6" w:rsidRDefault="00CA7676" w:rsidP="00E14EE6">
            <w:pPr>
              <w:jc w:val="right"/>
              <w:rPr>
                <w:rFonts w:eastAsia="Times New Roman" w:cs="Times New Roman"/>
                <w:color w:val="000000"/>
                <w:sz w:val="14"/>
                <w:szCs w:val="14"/>
              </w:rPr>
            </w:pPr>
            <w:r w:rsidRPr="00E14EE6">
              <w:rPr>
                <w:sz w:val="14"/>
              </w:rPr>
              <w:t>0.2</w:t>
            </w:r>
          </w:p>
        </w:tc>
        <w:tc>
          <w:tcPr>
            <w:tcW w:w="390" w:type="pct"/>
            <w:noWrap/>
            <w:hideMark/>
          </w:tcPr>
          <w:p w14:paraId="7B1456BF" w14:textId="77777777" w:rsidR="00CA7676" w:rsidRPr="00E14EE6" w:rsidRDefault="00CA7676" w:rsidP="00E14EE6">
            <w:pPr>
              <w:jc w:val="right"/>
              <w:rPr>
                <w:rFonts w:eastAsia="Times New Roman" w:cs="Times New Roman"/>
                <w:color w:val="000000"/>
                <w:sz w:val="14"/>
                <w:szCs w:val="14"/>
              </w:rPr>
            </w:pPr>
            <w:r w:rsidRPr="00E14EE6">
              <w:rPr>
                <w:sz w:val="14"/>
              </w:rPr>
              <w:t>0.1</w:t>
            </w:r>
          </w:p>
        </w:tc>
        <w:tc>
          <w:tcPr>
            <w:tcW w:w="390" w:type="pct"/>
            <w:noWrap/>
            <w:hideMark/>
          </w:tcPr>
          <w:p w14:paraId="5650CF0D" w14:textId="2411E7C9" w:rsidR="00CA7676" w:rsidRPr="00E14EE6" w:rsidRDefault="00E14EE6" w:rsidP="00E14EE6">
            <w:pPr>
              <w:jc w:val="right"/>
              <w:rPr>
                <w:rFonts w:eastAsia="Times New Roman" w:cs="Times New Roman"/>
                <w:color w:val="000000"/>
                <w:sz w:val="14"/>
                <w:szCs w:val="14"/>
              </w:rPr>
            </w:pPr>
            <w:r w:rsidRPr="00E14EE6">
              <w:rPr>
                <w:sz w:val="14"/>
              </w:rPr>
              <w:noBreakHyphen/>
            </w:r>
            <w:r w:rsidR="00CA7676" w:rsidRPr="00E14EE6">
              <w:rPr>
                <w:sz w:val="14"/>
              </w:rPr>
              <w:t>0.1</w:t>
            </w:r>
          </w:p>
        </w:tc>
        <w:tc>
          <w:tcPr>
            <w:tcW w:w="390" w:type="pct"/>
            <w:noWrap/>
            <w:hideMark/>
          </w:tcPr>
          <w:p w14:paraId="752414B0" w14:textId="77777777" w:rsidR="00CA7676" w:rsidRPr="00E14EE6" w:rsidRDefault="00CA7676" w:rsidP="00E14EE6">
            <w:pPr>
              <w:jc w:val="right"/>
              <w:rPr>
                <w:rFonts w:eastAsia="Times New Roman" w:cs="Times New Roman"/>
                <w:color w:val="000000"/>
                <w:sz w:val="14"/>
                <w:szCs w:val="14"/>
              </w:rPr>
            </w:pPr>
            <w:r w:rsidRPr="00E14EE6">
              <w:rPr>
                <w:sz w:val="14"/>
              </w:rPr>
              <w:t>0.3</w:t>
            </w:r>
          </w:p>
        </w:tc>
        <w:tc>
          <w:tcPr>
            <w:tcW w:w="390" w:type="pct"/>
            <w:noWrap/>
            <w:hideMark/>
          </w:tcPr>
          <w:p w14:paraId="043AA485" w14:textId="77777777" w:rsidR="00CA7676" w:rsidRPr="00E14EE6" w:rsidRDefault="00CA7676" w:rsidP="00E14EE6">
            <w:pPr>
              <w:jc w:val="right"/>
              <w:rPr>
                <w:rFonts w:eastAsia="Times New Roman" w:cs="Times New Roman"/>
                <w:sz w:val="14"/>
                <w:szCs w:val="14"/>
              </w:rPr>
            </w:pPr>
            <w:r w:rsidRPr="00E14EE6">
              <w:rPr>
                <w:sz w:val="14"/>
              </w:rPr>
              <w:t>1.3</w:t>
            </w:r>
          </w:p>
        </w:tc>
      </w:tr>
      <w:tr w:rsidR="00CA7676" w:rsidRPr="00E14EE6" w14:paraId="57F65CE6" w14:textId="77777777" w:rsidTr="00FD6B66">
        <w:trPr>
          <w:cnfStyle w:val="000000010000" w:firstRow="0" w:lastRow="0" w:firstColumn="0" w:lastColumn="0" w:oddVBand="0" w:evenVBand="0" w:oddHBand="0" w:evenHBand="1" w:firstRowFirstColumn="0" w:firstRowLastColumn="0" w:lastRowFirstColumn="0" w:lastRowLastColumn="0"/>
          <w:cantSplit/>
          <w:trHeight w:val="20"/>
        </w:trPr>
        <w:tc>
          <w:tcPr>
            <w:tcW w:w="1492" w:type="pct"/>
            <w:noWrap/>
            <w:hideMark/>
          </w:tcPr>
          <w:p w14:paraId="454A1298" w14:textId="343B4D13" w:rsidR="00CA7676" w:rsidRPr="00E14EE6" w:rsidRDefault="00CA7676" w:rsidP="00E14EE6">
            <w:pPr>
              <w:ind w:firstLineChars="100" w:firstLine="140"/>
              <w:jc w:val="left"/>
              <w:rPr>
                <w:rFonts w:eastAsia="Times New Roman" w:cs="Times New Roman"/>
                <w:sz w:val="14"/>
                <w:szCs w:val="14"/>
              </w:rPr>
            </w:pPr>
            <w:r w:rsidRPr="00E14EE6">
              <w:rPr>
                <w:sz w:val="14"/>
              </w:rPr>
              <w:t>External receivables</w:t>
            </w:r>
          </w:p>
        </w:tc>
        <w:tc>
          <w:tcPr>
            <w:tcW w:w="389" w:type="pct"/>
            <w:noWrap/>
            <w:hideMark/>
          </w:tcPr>
          <w:p w14:paraId="45B82151" w14:textId="77777777" w:rsidR="00CA7676" w:rsidRPr="00E14EE6" w:rsidRDefault="00CA7676" w:rsidP="00E14EE6">
            <w:pPr>
              <w:jc w:val="right"/>
              <w:rPr>
                <w:rFonts w:eastAsia="Times New Roman" w:cs="Times New Roman"/>
                <w:color w:val="000000"/>
                <w:sz w:val="14"/>
                <w:szCs w:val="14"/>
              </w:rPr>
            </w:pPr>
            <w:r w:rsidRPr="00E14EE6">
              <w:rPr>
                <w:sz w:val="14"/>
              </w:rPr>
              <w:t>0.0</w:t>
            </w:r>
          </w:p>
        </w:tc>
        <w:tc>
          <w:tcPr>
            <w:tcW w:w="390" w:type="pct"/>
            <w:noWrap/>
            <w:hideMark/>
          </w:tcPr>
          <w:p w14:paraId="43E300EF" w14:textId="77777777" w:rsidR="00CA7676" w:rsidRPr="00E14EE6" w:rsidRDefault="00CA7676" w:rsidP="00E14EE6">
            <w:pPr>
              <w:jc w:val="right"/>
              <w:rPr>
                <w:rFonts w:eastAsia="Times New Roman" w:cs="Times New Roman"/>
                <w:color w:val="000000"/>
                <w:sz w:val="14"/>
                <w:szCs w:val="14"/>
              </w:rPr>
            </w:pPr>
            <w:r w:rsidRPr="00E14EE6">
              <w:rPr>
                <w:sz w:val="14"/>
              </w:rPr>
              <w:t>0.0</w:t>
            </w:r>
          </w:p>
        </w:tc>
        <w:tc>
          <w:tcPr>
            <w:tcW w:w="390" w:type="pct"/>
            <w:noWrap/>
            <w:hideMark/>
          </w:tcPr>
          <w:p w14:paraId="76A7A8DD" w14:textId="77777777" w:rsidR="00CA7676" w:rsidRPr="00E14EE6" w:rsidRDefault="00CA7676" w:rsidP="00E14EE6">
            <w:pPr>
              <w:jc w:val="right"/>
              <w:rPr>
                <w:rFonts w:eastAsia="Times New Roman" w:cs="Times New Roman"/>
                <w:color w:val="000000"/>
                <w:sz w:val="14"/>
                <w:szCs w:val="14"/>
              </w:rPr>
            </w:pPr>
            <w:r w:rsidRPr="00E14EE6">
              <w:rPr>
                <w:sz w:val="14"/>
              </w:rPr>
              <w:t>0.0</w:t>
            </w:r>
          </w:p>
        </w:tc>
        <w:tc>
          <w:tcPr>
            <w:tcW w:w="390" w:type="pct"/>
            <w:noWrap/>
            <w:hideMark/>
          </w:tcPr>
          <w:p w14:paraId="19061089" w14:textId="77777777" w:rsidR="00CA7676" w:rsidRPr="00E14EE6" w:rsidRDefault="00CA7676" w:rsidP="00E14EE6">
            <w:pPr>
              <w:jc w:val="right"/>
              <w:rPr>
                <w:rFonts w:eastAsia="Times New Roman" w:cs="Times New Roman"/>
                <w:color w:val="000000"/>
                <w:sz w:val="14"/>
                <w:szCs w:val="14"/>
              </w:rPr>
            </w:pPr>
            <w:r w:rsidRPr="00E14EE6">
              <w:rPr>
                <w:sz w:val="14"/>
              </w:rPr>
              <w:t>0.0</w:t>
            </w:r>
          </w:p>
        </w:tc>
        <w:tc>
          <w:tcPr>
            <w:tcW w:w="390" w:type="pct"/>
            <w:noWrap/>
            <w:hideMark/>
          </w:tcPr>
          <w:p w14:paraId="18B52121" w14:textId="77777777" w:rsidR="00CA7676" w:rsidRPr="00E14EE6" w:rsidRDefault="00CA7676" w:rsidP="00E14EE6">
            <w:pPr>
              <w:jc w:val="right"/>
              <w:rPr>
                <w:rFonts w:eastAsia="Times New Roman" w:cs="Times New Roman"/>
                <w:color w:val="000000"/>
                <w:sz w:val="14"/>
                <w:szCs w:val="14"/>
              </w:rPr>
            </w:pPr>
            <w:r w:rsidRPr="00E14EE6">
              <w:rPr>
                <w:sz w:val="14"/>
              </w:rPr>
              <w:t>0.0</w:t>
            </w:r>
          </w:p>
        </w:tc>
        <w:tc>
          <w:tcPr>
            <w:tcW w:w="390" w:type="pct"/>
            <w:noWrap/>
            <w:hideMark/>
          </w:tcPr>
          <w:p w14:paraId="77C49BCB" w14:textId="77777777" w:rsidR="00CA7676" w:rsidRPr="00E14EE6" w:rsidRDefault="00CA7676" w:rsidP="00E14EE6">
            <w:pPr>
              <w:jc w:val="right"/>
              <w:rPr>
                <w:rFonts w:eastAsia="Times New Roman" w:cs="Times New Roman"/>
                <w:color w:val="000000"/>
                <w:sz w:val="14"/>
                <w:szCs w:val="14"/>
              </w:rPr>
            </w:pPr>
            <w:r w:rsidRPr="00E14EE6">
              <w:rPr>
                <w:sz w:val="14"/>
              </w:rPr>
              <w:t>0.0</w:t>
            </w:r>
          </w:p>
        </w:tc>
        <w:tc>
          <w:tcPr>
            <w:tcW w:w="390" w:type="pct"/>
            <w:noWrap/>
            <w:hideMark/>
          </w:tcPr>
          <w:p w14:paraId="4C99AC69" w14:textId="77777777" w:rsidR="00CA7676" w:rsidRPr="00E14EE6" w:rsidRDefault="00CA7676" w:rsidP="00E14EE6">
            <w:pPr>
              <w:jc w:val="right"/>
              <w:rPr>
                <w:rFonts w:eastAsia="Times New Roman" w:cs="Times New Roman"/>
                <w:color w:val="000000"/>
                <w:sz w:val="14"/>
                <w:szCs w:val="14"/>
              </w:rPr>
            </w:pPr>
            <w:r w:rsidRPr="00E14EE6">
              <w:rPr>
                <w:sz w:val="14"/>
              </w:rPr>
              <w:t>0.0</w:t>
            </w:r>
          </w:p>
        </w:tc>
        <w:tc>
          <w:tcPr>
            <w:tcW w:w="390" w:type="pct"/>
            <w:noWrap/>
            <w:hideMark/>
          </w:tcPr>
          <w:p w14:paraId="3E78271D" w14:textId="77777777" w:rsidR="00CA7676" w:rsidRPr="00E14EE6" w:rsidRDefault="00CA7676" w:rsidP="00E14EE6">
            <w:pPr>
              <w:jc w:val="right"/>
              <w:rPr>
                <w:rFonts w:eastAsia="Times New Roman" w:cs="Times New Roman"/>
                <w:color w:val="000000"/>
                <w:sz w:val="14"/>
                <w:szCs w:val="14"/>
              </w:rPr>
            </w:pPr>
            <w:r w:rsidRPr="00E14EE6">
              <w:rPr>
                <w:sz w:val="14"/>
              </w:rPr>
              <w:t>0.0</w:t>
            </w:r>
          </w:p>
        </w:tc>
        <w:tc>
          <w:tcPr>
            <w:tcW w:w="390" w:type="pct"/>
            <w:noWrap/>
            <w:hideMark/>
          </w:tcPr>
          <w:p w14:paraId="22815DC0" w14:textId="77777777" w:rsidR="00CA7676" w:rsidRPr="00E14EE6" w:rsidRDefault="00CA7676" w:rsidP="00E14EE6">
            <w:pPr>
              <w:jc w:val="right"/>
              <w:rPr>
                <w:rFonts w:eastAsia="Times New Roman" w:cs="Times New Roman"/>
                <w:sz w:val="14"/>
                <w:szCs w:val="14"/>
              </w:rPr>
            </w:pPr>
            <w:r w:rsidRPr="00E14EE6">
              <w:rPr>
                <w:sz w:val="14"/>
              </w:rPr>
              <w:t>0.0</w:t>
            </w:r>
          </w:p>
        </w:tc>
      </w:tr>
      <w:tr w:rsidR="00CA7676" w:rsidRPr="00E14EE6" w14:paraId="6550E86C" w14:textId="77777777" w:rsidTr="00FD6B66">
        <w:trPr>
          <w:cantSplit/>
          <w:trHeight w:val="20"/>
        </w:trPr>
        <w:tc>
          <w:tcPr>
            <w:tcW w:w="1492" w:type="pct"/>
            <w:noWrap/>
            <w:hideMark/>
          </w:tcPr>
          <w:p w14:paraId="2156CEB4" w14:textId="6208A84B" w:rsidR="00CA7676" w:rsidRPr="00E14EE6" w:rsidRDefault="00CA7676" w:rsidP="00E14EE6">
            <w:pPr>
              <w:jc w:val="left"/>
              <w:rPr>
                <w:rFonts w:eastAsia="Times New Roman" w:cs="Times New Roman"/>
                <w:b/>
                <w:bCs/>
                <w:sz w:val="14"/>
                <w:szCs w:val="14"/>
              </w:rPr>
            </w:pPr>
            <w:r w:rsidRPr="00E14EE6">
              <w:rPr>
                <w:b/>
                <w:sz w:val="14"/>
              </w:rPr>
              <w:t>Net incurrence of liabilities</w:t>
            </w:r>
          </w:p>
        </w:tc>
        <w:tc>
          <w:tcPr>
            <w:tcW w:w="389" w:type="pct"/>
            <w:noWrap/>
            <w:hideMark/>
          </w:tcPr>
          <w:p w14:paraId="1A449F7E" w14:textId="77777777" w:rsidR="00CA7676" w:rsidRPr="00E14EE6" w:rsidRDefault="00CA7676" w:rsidP="00E14EE6">
            <w:pPr>
              <w:jc w:val="right"/>
              <w:rPr>
                <w:rFonts w:eastAsia="Times New Roman" w:cs="Times New Roman"/>
                <w:b/>
                <w:bCs/>
                <w:color w:val="000000"/>
                <w:sz w:val="14"/>
                <w:szCs w:val="14"/>
              </w:rPr>
            </w:pPr>
            <w:r w:rsidRPr="00E14EE6">
              <w:rPr>
                <w:b/>
                <w:sz w:val="14"/>
              </w:rPr>
              <w:t>1.1</w:t>
            </w:r>
          </w:p>
        </w:tc>
        <w:tc>
          <w:tcPr>
            <w:tcW w:w="390" w:type="pct"/>
            <w:noWrap/>
            <w:hideMark/>
          </w:tcPr>
          <w:p w14:paraId="55A75EEB" w14:textId="77777777" w:rsidR="00CA7676" w:rsidRPr="00E14EE6" w:rsidRDefault="00CA7676" w:rsidP="00E14EE6">
            <w:pPr>
              <w:jc w:val="right"/>
              <w:rPr>
                <w:rFonts w:eastAsia="Times New Roman" w:cs="Times New Roman"/>
                <w:b/>
                <w:bCs/>
                <w:color w:val="000000"/>
                <w:sz w:val="14"/>
                <w:szCs w:val="14"/>
              </w:rPr>
            </w:pPr>
            <w:r w:rsidRPr="00E14EE6">
              <w:rPr>
                <w:b/>
                <w:sz w:val="14"/>
              </w:rPr>
              <w:t>0.2</w:t>
            </w:r>
          </w:p>
        </w:tc>
        <w:tc>
          <w:tcPr>
            <w:tcW w:w="390" w:type="pct"/>
            <w:noWrap/>
            <w:hideMark/>
          </w:tcPr>
          <w:p w14:paraId="10F1356A" w14:textId="378631F8" w:rsidR="00CA7676" w:rsidRPr="00E14EE6" w:rsidRDefault="00E14EE6" w:rsidP="00E14EE6">
            <w:pPr>
              <w:jc w:val="right"/>
              <w:rPr>
                <w:rFonts w:eastAsia="Times New Roman" w:cs="Times New Roman"/>
                <w:b/>
                <w:bCs/>
                <w:color w:val="000000"/>
                <w:sz w:val="14"/>
                <w:szCs w:val="14"/>
              </w:rPr>
            </w:pPr>
            <w:r w:rsidRPr="00E14EE6">
              <w:rPr>
                <w:b/>
                <w:sz w:val="14"/>
              </w:rPr>
              <w:noBreakHyphen/>
            </w:r>
            <w:r w:rsidR="00CA7676" w:rsidRPr="00E14EE6">
              <w:rPr>
                <w:b/>
                <w:sz w:val="14"/>
              </w:rPr>
              <w:t>0.1</w:t>
            </w:r>
          </w:p>
        </w:tc>
        <w:tc>
          <w:tcPr>
            <w:tcW w:w="390" w:type="pct"/>
            <w:noWrap/>
            <w:hideMark/>
          </w:tcPr>
          <w:p w14:paraId="109AE765" w14:textId="2123A056" w:rsidR="00CA7676" w:rsidRPr="00E14EE6" w:rsidRDefault="00E14EE6" w:rsidP="00E14EE6">
            <w:pPr>
              <w:jc w:val="right"/>
              <w:rPr>
                <w:rFonts w:eastAsia="Times New Roman" w:cs="Times New Roman"/>
                <w:b/>
                <w:bCs/>
                <w:color w:val="000000"/>
                <w:sz w:val="14"/>
                <w:szCs w:val="14"/>
              </w:rPr>
            </w:pPr>
            <w:r w:rsidRPr="00E14EE6">
              <w:rPr>
                <w:b/>
                <w:sz w:val="14"/>
              </w:rPr>
              <w:noBreakHyphen/>
            </w:r>
            <w:r w:rsidR="00CA7676" w:rsidRPr="00E14EE6">
              <w:rPr>
                <w:b/>
                <w:sz w:val="14"/>
              </w:rPr>
              <w:t>0.2</w:t>
            </w:r>
          </w:p>
        </w:tc>
        <w:tc>
          <w:tcPr>
            <w:tcW w:w="390" w:type="pct"/>
            <w:noWrap/>
            <w:hideMark/>
          </w:tcPr>
          <w:p w14:paraId="21ABD6E6" w14:textId="77777777" w:rsidR="00CA7676" w:rsidRPr="00E14EE6" w:rsidRDefault="00CA7676" w:rsidP="00E14EE6">
            <w:pPr>
              <w:jc w:val="right"/>
              <w:rPr>
                <w:rFonts w:eastAsia="Times New Roman" w:cs="Times New Roman"/>
                <w:b/>
                <w:bCs/>
                <w:color w:val="000000"/>
                <w:sz w:val="14"/>
                <w:szCs w:val="14"/>
              </w:rPr>
            </w:pPr>
            <w:r w:rsidRPr="00E14EE6">
              <w:rPr>
                <w:b/>
                <w:sz w:val="14"/>
              </w:rPr>
              <w:t>0.3</w:t>
            </w:r>
          </w:p>
        </w:tc>
        <w:tc>
          <w:tcPr>
            <w:tcW w:w="390" w:type="pct"/>
            <w:noWrap/>
            <w:hideMark/>
          </w:tcPr>
          <w:p w14:paraId="585FFACA" w14:textId="77777777" w:rsidR="00CA7676" w:rsidRPr="00E14EE6" w:rsidRDefault="00CA7676" w:rsidP="00E14EE6">
            <w:pPr>
              <w:jc w:val="right"/>
              <w:rPr>
                <w:rFonts w:eastAsia="Times New Roman" w:cs="Times New Roman"/>
                <w:b/>
                <w:bCs/>
                <w:color w:val="000000"/>
                <w:sz w:val="14"/>
                <w:szCs w:val="14"/>
              </w:rPr>
            </w:pPr>
            <w:r w:rsidRPr="00E14EE6">
              <w:rPr>
                <w:b/>
                <w:sz w:val="14"/>
              </w:rPr>
              <w:t>0.2</w:t>
            </w:r>
          </w:p>
        </w:tc>
        <w:tc>
          <w:tcPr>
            <w:tcW w:w="390" w:type="pct"/>
            <w:noWrap/>
            <w:hideMark/>
          </w:tcPr>
          <w:p w14:paraId="7524EAED" w14:textId="74968292" w:rsidR="00CA7676" w:rsidRPr="00E14EE6" w:rsidRDefault="00E14EE6" w:rsidP="00E14EE6">
            <w:pPr>
              <w:jc w:val="right"/>
              <w:rPr>
                <w:rFonts w:eastAsia="Times New Roman" w:cs="Times New Roman"/>
                <w:b/>
                <w:bCs/>
                <w:color w:val="000000"/>
                <w:sz w:val="14"/>
                <w:szCs w:val="14"/>
              </w:rPr>
            </w:pPr>
            <w:r w:rsidRPr="00E14EE6">
              <w:rPr>
                <w:b/>
                <w:sz w:val="14"/>
              </w:rPr>
              <w:noBreakHyphen/>
            </w:r>
            <w:r w:rsidR="00CA7676" w:rsidRPr="00E14EE6">
              <w:rPr>
                <w:b/>
                <w:sz w:val="14"/>
              </w:rPr>
              <w:t>0.4</w:t>
            </w:r>
          </w:p>
        </w:tc>
        <w:tc>
          <w:tcPr>
            <w:tcW w:w="390" w:type="pct"/>
            <w:noWrap/>
            <w:hideMark/>
          </w:tcPr>
          <w:p w14:paraId="2455743F" w14:textId="77777777" w:rsidR="00CA7676" w:rsidRPr="00E14EE6" w:rsidRDefault="00CA7676" w:rsidP="00E14EE6">
            <w:pPr>
              <w:jc w:val="right"/>
              <w:rPr>
                <w:rFonts w:eastAsia="Times New Roman" w:cs="Times New Roman"/>
                <w:b/>
                <w:bCs/>
                <w:color w:val="000000"/>
                <w:sz w:val="14"/>
                <w:szCs w:val="14"/>
              </w:rPr>
            </w:pPr>
            <w:r w:rsidRPr="00E14EE6">
              <w:rPr>
                <w:b/>
                <w:sz w:val="14"/>
              </w:rPr>
              <w:t>0.1</w:t>
            </w:r>
          </w:p>
        </w:tc>
        <w:tc>
          <w:tcPr>
            <w:tcW w:w="390" w:type="pct"/>
            <w:noWrap/>
            <w:hideMark/>
          </w:tcPr>
          <w:p w14:paraId="7D5948F5" w14:textId="472ECF39" w:rsidR="00CA7676" w:rsidRPr="00E14EE6" w:rsidRDefault="00E14EE6" w:rsidP="00E14EE6">
            <w:pPr>
              <w:jc w:val="right"/>
              <w:rPr>
                <w:rFonts w:eastAsia="Times New Roman" w:cs="Times New Roman"/>
                <w:b/>
                <w:bCs/>
                <w:sz w:val="14"/>
                <w:szCs w:val="14"/>
              </w:rPr>
            </w:pPr>
            <w:r w:rsidRPr="00E14EE6">
              <w:rPr>
                <w:b/>
                <w:sz w:val="14"/>
              </w:rPr>
              <w:noBreakHyphen/>
            </w:r>
            <w:r w:rsidR="00CA7676" w:rsidRPr="00E14EE6">
              <w:rPr>
                <w:b/>
                <w:sz w:val="14"/>
              </w:rPr>
              <w:t>0.2</w:t>
            </w:r>
          </w:p>
        </w:tc>
      </w:tr>
      <w:tr w:rsidR="00CA7676" w:rsidRPr="00E14EE6" w14:paraId="053804A6" w14:textId="77777777" w:rsidTr="00FD6B66">
        <w:trPr>
          <w:cnfStyle w:val="000000010000" w:firstRow="0" w:lastRow="0" w:firstColumn="0" w:lastColumn="0" w:oddVBand="0" w:evenVBand="0" w:oddHBand="0" w:evenHBand="1" w:firstRowFirstColumn="0" w:firstRowLastColumn="0" w:lastRowFirstColumn="0" w:lastRowLastColumn="0"/>
          <w:cantSplit/>
          <w:trHeight w:val="20"/>
        </w:trPr>
        <w:tc>
          <w:tcPr>
            <w:tcW w:w="1492" w:type="pct"/>
            <w:noWrap/>
            <w:hideMark/>
          </w:tcPr>
          <w:p w14:paraId="6BF1562B" w14:textId="012D2FA6" w:rsidR="00CA7676" w:rsidRPr="00E14EE6" w:rsidRDefault="00CA7676" w:rsidP="00E14EE6">
            <w:pPr>
              <w:ind w:firstLineChars="100" w:firstLine="140"/>
              <w:jc w:val="left"/>
              <w:rPr>
                <w:rFonts w:eastAsia="Times New Roman" w:cs="Times New Roman"/>
                <w:sz w:val="14"/>
                <w:szCs w:val="14"/>
              </w:rPr>
            </w:pPr>
            <w:r w:rsidRPr="00E14EE6">
              <w:rPr>
                <w:sz w:val="14"/>
              </w:rPr>
              <w:t>Domestic creditors</w:t>
            </w:r>
          </w:p>
        </w:tc>
        <w:tc>
          <w:tcPr>
            <w:tcW w:w="389" w:type="pct"/>
            <w:noWrap/>
            <w:hideMark/>
          </w:tcPr>
          <w:p w14:paraId="24838EC8" w14:textId="77777777" w:rsidR="00CA7676" w:rsidRPr="00E14EE6" w:rsidRDefault="00CA7676" w:rsidP="00E14EE6">
            <w:pPr>
              <w:jc w:val="right"/>
              <w:rPr>
                <w:rFonts w:eastAsia="Times New Roman" w:cs="Times New Roman"/>
                <w:color w:val="000000"/>
                <w:sz w:val="14"/>
                <w:szCs w:val="14"/>
              </w:rPr>
            </w:pPr>
            <w:r w:rsidRPr="00E14EE6">
              <w:rPr>
                <w:sz w:val="14"/>
              </w:rPr>
              <w:t>1.1</w:t>
            </w:r>
          </w:p>
        </w:tc>
        <w:tc>
          <w:tcPr>
            <w:tcW w:w="390" w:type="pct"/>
            <w:noWrap/>
            <w:hideMark/>
          </w:tcPr>
          <w:p w14:paraId="66095C81" w14:textId="77777777" w:rsidR="00CA7676" w:rsidRPr="00E14EE6" w:rsidRDefault="00CA7676" w:rsidP="00E14EE6">
            <w:pPr>
              <w:jc w:val="right"/>
              <w:rPr>
                <w:rFonts w:eastAsia="Times New Roman" w:cs="Times New Roman"/>
                <w:color w:val="000000"/>
                <w:sz w:val="14"/>
                <w:szCs w:val="14"/>
              </w:rPr>
            </w:pPr>
            <w:r w:rsidRPr="00E14EE6">
              <w:rPr>
                <w:sz w:val="14"/>
              </w:rPr>
              <w:t>0.2</w:t>
            </w:r>
          </w:p>
        </w:tc>
        <w:tc>
          <w:tcPr>
            <w:tcW w:w="390" w:type="pct"/>
            <w:noWrap/>
            <w:hideMark/>
          </w:tcPr>
          <w:p w14:paraId="102EB681" w14:textId="02838556" w:rsidR="00CA7676" w:rsidRPr="00E14EE6" w:rsidRDefault="00E14EE6" w:rsidP="00E14EE6">
            <w:pPr>
              <w:jc w:val="right"/>
              <w:rPr>
                <w:rFonts w:eastAsia="Times New Roman" w:cs="Times New Roman"/>
                <w:color w:val="000000"/>
                <w:sz w:val="14"/>
                <w:szCs w:val="14"/>
              </w:rPr>
            </w:pPr>
            <w:r w:rsidRPr="00E14EE6">
              <w:rPr>
                <w:sz w:val="14"/>
              </w:rPr>
              <w:noBreakHyphen/>
            </w:r>
            <w:r w:rsidR="00CA7676" w:rsidRPr="00E14EE6">
              <w:rPr>
                <w:sz w:val="14"/>
              </w:rPr>
              <w:t>0.1</w:t>
            </w:r>
          </w:p>
        </w:tc>
        <w:tc>
          <w:tcPr>
            <w:tcW w:w="390" w:type="pct"/>
            <w:noWrap/>
            <w:hideMark/>
          </w:tcPr>
          <w:p w14:paraId="6B1C2D15" w14:textId="0E1AE4CA" w:rsidR="00CA7676" w:rsidRPr="00E14EE6" w:rsidRDefault="00E14EE6" w:rsidP="00E14EE6">
            <w:pPr>
              <w:jc w:val="right"/>
              <w:rPr>
                <w:rFonts w:eastAsia="Times New Roman" w:cs="Times New Roman"/>
                <w:color w:val="000000"/>
                <w:sz w:val="14"/>
                <w:szCs w:val="14"/>
              </w:rPr>
            </w:pPr>
            <w:r w:rsidRPr="00E14EE6">
              <w:rPr>
                <w:sz w:val="14"/>
              </w:rPr>
              <w:noBreakHyphen/>
            </w:r>
            <w:r w:rsidR="00CA7676" w:rsidRPr="00E14EE6">
              <w:rPr>
                <w:sz w:val="14"/>
              </w:rPr>
              <w:t>0.2</w:t>
            </w:r>
          </w:p>
        </w:tc>
        <w:tc>
          <w:tcPr>
            <w:tcW w:w="390" w:type="pct"/>
            <w:noWrap/>
            <w:hideMark/>
          </w:tcPr>
          <w:p w14:paraId="32FA5DA4" w14:textId="77777777" w:rsidR="00CA7676" w:rsidRPr="00E14EE6" w:rsidRDefault="00CA7676" w:rsidP="00E14EE6">
            <w:pPr>
              <w:jc w:val="right"/>
              <w:rPr>
                <w:rFonts w:eastAsia="Times New Roman" w:cs="Times New Roman"/>
                <w:color w:val="000000"/>
                <w:sz w:val="14"/>
                <w:szCs w:val="14"/>
              </w:rPr>
            </w:pPr>
            <w:r w:rsidRPr="00E14EE6">
              <w:rPr>
                <w:sz w:val="14"/>
              </w:rPr>
              <w:t>0.3</w:t>
            </w:r>
          </w:p>
        </w:tc>
        <w:tc>
          <w:tcPr>
            <w:tcW w:w="390" w:type="pct"/>
            <w:noWrap/>
            <w:hideMark/>
          </w:tcPr>
          <w:p w14:paraId="49E71C58" w14:textId="77777777" w:rsidR="00CA7676" w:rsidRPr="00E14EE6" w:rsidRDefault="00CA7676" w:rsidP="00E14EE6">
            <w:pPr>
              <w:jc w:val="right"/>
              <w:rPr>
                <w:rFonts w:eastAsia="Times New Roman" w:cs="Times New Roman"/>
                <w:color w:val="000000"/>
                <w:sz w:val="14"/>
                <w:szCs w:val="14"/>
              </w:rPr>
            </w:pPr>
            <w:r w:rsidRPr="00E14EE6">
              <w:rPr>
                <w:sz w:val="14"/>
              </w:rPr>
              <w:t>0.2</w:t>
            </w:r>
          </w:p>
        </w:tc>
        <w:tc>
          <w:tcPr>
            <w:tcW w:w="390" w:type="pct"/>
            <w:noWrap/>
            <w:hideMark/>
          </w:tcPr>
          <w:p w14:paraId="4237258C" w14:textId="62279F58" w:rsidR="00CA7676" w:rsidRPr="00E14EE6" w:rsidRDefault="00E14EE6" w:rsidP="00E14EE6">
            <w:pPr>
              <w:jc w:val="right"/>
              <w:rPr>
                <w:rFonts w:eastAsia="Times New Roman" w:cs="Times New Roman"/>
                <w:color w:val="000000"/>
                <w:sz w:val="14"/>
                <w:szCs w:val="14"/>
              </w:rPr>
            </w:pPr>
            <w:r w:rsidRPr="00E14EE6">
              <w:rPr>
                <w:sz w:val="14"/>
              </w:rPr>
              <w:noBreakHyphen/>
            </w:r>
            <w:r w:rsidR="00CA7676" w:rsidRPr="00E14EE6">
              <w:rPr>
                <w:sz w:val="14"/>
              </w:rPr>
              <w:t>0.4</w:t>
            </w:r>
          </w:p>
        </w:tc>
        <w:tc>
          <w:tcPr>
            <w:tcW w:w="390" w:type="pct"/>
            <w:noWrap/>
            <w:hideMark/>
          </w:tcPr>
          <w:p w14:paraId="58A853EF" w14:textId="77777777" w:rsidR="00CA7676" w:rsidRPr="00E14EE6" w:rsidRDefault="00CA7676" w:rsidP="00E14EE6">
            <w:pPr>
              <w:jc w:val="right"/>
              <w:rPr>
                <w:rFonts w:eastAsia="Times New Roman" w:cs="Times New Roman"/>
                <w:color w:val="000000"/>
                <w:sz w:val="14"/>
                <w:szCs w:val="14"/>
              </w:rPr>
            </w:pPr>
            <w:r w:rsidRPr="00E14EE6">
              <w:rPr>
                <w:sz w:val="14"/>
              </w:rPr>
              <w:t>0.1</w:t>
            </w:r>
          </w:p>
        </w:tc>
        <w:tc>
          <w:tcPr>
            <w:tcW w:w="390" w:type="pct"/>
            <w:noWrap/>
            <w:hideMark/>
          </w:tcPr>
          <w:p w14:paraId="4CA8DD20" w14:textId="46C02CFA" w:rsidR="00CA7676" w:rsidRPr="00E14EE6" w:rsidRDefault="00E14EE6" w:rsidP="00E14EE6">
            <w:pPr>
              <w:jc w:val="right"/>
              <w:rPr>
                <w:rFonts w:eastAsia="Times New Roman" w:cs="Times New Roman"/>
                <w:sz w:val="14"/>
                <w:szCs w:val="14"/>
              </w:rPr>
            </w:pPr>
            <w:r w:rsidRPr="00E14EE6">
              <w:rPr>
                <w:sz w:val="14"/>
              </w:rPr>
              <w:noBreakHyphen/>
            </w:r>
            <w:r w:rsidR="00CA7676" w:rsidRPr="00E14EE6">
              <w:rPr>
                <w:sz w:val="14"/>
              </w:rPr>
              <w:t>0.2</w:t>
            </w:r>
          </w:p>
        </w:tc>
      </w:tr>
      <w:tr w:rsidR="00CA7676" w:rsidRPr="00E14EE6" w14:paraId="0149B58A" w14:textId="77777777" w:rsidTr="00FD6B66">
        <w:trPr>
          <w:cantSplit/>
          <w:trHeight w:val="20"/>
        </w:trPr>
        <w:tc>
          <w:tcPr>
            <w:tcW w:w="1492" w:type="pct"/>
            <w:noWrap/>
            <w:hideMark/>
          </w:tcPr>
          <w:p w14:paraId="5116F69F" w14:textId="3D89A415" w:rsidR="00CA7676" w:rsidRPr="00E14EE6" w:rsidRDefault="00CA7676" w:rsidP="00E14EE6">
            <w:pPr>
              <w:ind w:firstLineChars="100" w:firstLine="140"/>
              <w:jc w:val="left"/>
              <w:rPr>
                <w:rFonts w:eastAsia="Times New Roman" w:cs="Times New Roman"/>
                <w:sz w:val="14"/>
                <w:szCs w:val="14"/>
              </w:rPr>
            </w:pPr>
            <w:r w:rsidRPr="00E14EE6">
              <w:rPr>
                <w:sz w:val="14"/>
              </w:rPr>
              <w:t>External creditors</w:t>
            </w:r>
          </w:p>
        </w:tc>
        <w:tc>
          <w:tcPr>
            <w:tcW w:w="389" w:type="pct"/>
            <w:noWrap/>
            <w:hideMark/>
          </w:tcPr>
          <w:p w14:paraId="790012F1" w14:textId="77777777" w:rsidR="00CA7676" w:rsidRPr="00E14EE6" w:rsidRDefault="00CA7676" w:rsidP="00E14EE6">
            <w:pPr>
              <w:jc w:val="right"/>
              <w:rPr>
                <w:rFonts w:eastAsia="Times New Roman" w:cs="Times New Roman"/>
                <w:color w:val="000000"/>
                <w:sz w:val="14"/>
                <w:szCs w:val="14"/>
              </w:rPr>
            </w:pPr>
            <w:r w:rsidRPr="00E14EE6">
              <w:rPr>
                <w:sz w:val="14"/>
              </w:rPr>
              <w:t>0.0</w:t>
            </w:r>
          </w:p>
        </w:tc>
        <w:tc>
          <w:tcPr>
            <w:tcW w:w="390" w:type="pct"/>
            <w:noWrap/>
            <w:hideMark/>
          </w:tcPr>
          <w:p w14:paraId="12E397F2" w14:textId="77777777" w:rsidR="00CA7676" w:rsidRPr="00E14EE6" w:rsidRDefault="00CA7676" w:rsidP="00E14EE6">
            <w:pPr>
              <w:jc w:val="right"/>
              <w:rPr>
                <w:rFonts w:eastAsia="Times New Roman" w:cs="Times New Roman"/>
                <w:color w:val="000000"/>
                <w:sz w:val="14"/>
                <w:szCs w:val="14"/>
              </w:rPr>
            </w:pPr>
            <w:r w:rsidRPr="00E14EE6">
              <w:rPr>
                <w:sz w:val="14"/>
              </w:rPr>
              <w:t>0.0</w:t>
            </w:r>
          </w:p>
        </w:tc>
        <w:tc>
          <w:tcPr>
            <w:tcW w:w="390" w:type="pct"/>
            <w:noWrap/>
            <w:hideMark/>
          </w:tcPr>
          <w:p w14:paraId="4048E413" w14:textId="77777777" w:rsidR="00CA7676" w:rsidRPr="00E14EE6" w:rsidRDefault="00CA7676" w:rsidP="00E14EE6">
            <w:pPr>
              <w:jc w:val="right"/>
              <w:rPr>
                <w:rFonts w:eastAsia="Times New Roman" w:cs="Times New Roman"/>
                <w:color w:val="000000"/>
                <w:sz w:val="14"/>
                <w:szCs w:val="14"/>
              </w:rPr>
            </w:pPr>
            <w:r w:rsidRPr="00E14EE6">
              <w:rPr>
                <w:sz w:val="14"/>
              </w:rPr>
              <w:t>0.0</w:t>
            </w:r>
          </w:p>
        </w:tc>
        <w:tc>
          <w:tcPr>
            <w:tcW w:w="390" w:type="pct"/>
            <w:noWrap/>
            <w:hideMark/>
          </w:tcPr>
          <w:p w14:paraId="4762797B" w14:textId="77777777" w:rsidR="00CA7676" w:rsidRPr="00E14EE6" w:rsidRDefault="00CA7676" w:rsidP="00E14EE6">
            <w:pPr>
              <w:jc w:val="right"/>
              <w:rPr>
                <w:rFonts w:eastAsia="Times New Roman" w:cs="Times New Roman"/>
                <w:color w:val="000000"/>
                <w:sz w:val="14"/>
                <w:szCs w:val="14"/>
              </w:rPr>
            </w:pPr>
            <w:r w:rsidRPr="00E14EE6">
              <w:rPr>
                <w:sz w:val="14"/>
              </w:rPr>
              <w:t>0.0</w:t>
            </w:r>
          </w:p>
        </w:tc>
        <w:tc>
          <w:tcPr>
            <w:tcW w:w="390" w:type="pct"/>
            <w:noWrap/>
            <w:hideMark/>
          </w:tcPr>
          <w:p w14:paraId="27DB2F96" w14:textId="77777777" w:rsidR="00CA7676" w:rsidRPr="00E14EE6" w:rsidRDefault="00CA7676" w:rsidP="00E14EE6">
            <w:pPr>
              <w:jc w:val="right"/>
              <w:rPr>
                <w:rFonts w:eastAsia="Times New Roman" w:cs="Times New Roman"/>
                <w:color w:val="000000"/>
                <w:sz w:val="14"/>
                <w:szCs w:val="14"/>
              </w:rPr>
            </w:pPr>
            <w:r w:rsidRPr="00E14EE6">
              <w:rPr>
                <w:sz w:val="14"/>
              </w:rPr>
              <w:t>0.0</w:t>
            </w:r>
          </w:p>
        </w:tc>
        <w:tc>
          <w:tcPr>
            <w:tcW w:w="390" w:type="pct"/>
            <w:noWrap/>
            <w:hideMark/>
          </w:tcPr>
          <w:p w14:paraId="1EBD6769" w14:textId="77777777" w:rsidR="00CA7676" w:rsidRPr="00E14EE6" w:rsidRDefault="00CA7676" w:rsidP="00E14EE6">
            <w:pPr>
              <w:jc w:val="right"/>
              <w:rPr>
                <w:rFonts w:eastAsia="Times New Roman" w:cs="Times New Roman"/>
                <w:color w:val="000000"/>
                <w:sz w:val="14"/>
                <w:szCs w:val="14"/>
              </w:rPr>
            </w:pPr>
            <w:r w:rsidRPr="00E14EE6">
              <w:rPr>
                <w:sz w:val="14"/>
              </w:rPr>
              <w:t>0.0</w:t>
            </w:r>
          </w:p>
        </w:tc>
        <w:tc>
          <w:tcPr>
            <w:tcW w:w="390" w:type="pct"/>
            <w:noWrap/>
            <w:hideMark/>
          </w:tcPr>
          <w:p w14:paraId="6334D96B" w14:textId="77777777" w:rsidR="00CA7676" w:rsidRPr="00E14EE6" w:rsidRDefault="00CA7676" w:rsidP="00E14EE6">
            <w:pPr>
              <w:jc w:val="right"/>
              <w:rPr>
                <w:rFonts w:eastAsia="Times New Roman" w:cs="Times New Roman"/>
                <w:color w:val="000000"/>
                <w:sz w:val="14"/>
                <w:szCs w:val="14"/>
              </w:rPr>
            </w:pPr>
            <w:r w:rsidRPr="00E14EE6">
              <w:rPr>
                <w:sz w:val="14"/>
              </w:rPr>
              <w:t>0.0</w:t>
            </w:r>
          </w:p>
        </w:tc>
        <w:tc>
          <w:tcPr>
            <w:tcW w:w="390" w:type="pct"/>
            <w:noWrap/>
            <w:hideMark/>
          </w:tcPr>
          <w:p w14:paraId="7D85D980" w14:textId="77777777" w:rsidR="00CA7676" w:rsidRPr="00E14EE6" w:rsidRDefault="00CA7676" w:rsidP="00E14EE6">
            <w:pPr>
              <w:jc w:val="right"/>
              <w:rPr>
                <w:rFonts w:eastAsia="Times New Roman" w:cs="Times New Roman"/>
                <w:color w:val="000000"/>
                <w:sz w:val="14"/>
                <w:szCs w:val="14"/>
              </w:rPr>
            </w:pPr>
            <w:r w:rsidRPr="00E14EE6">
              <w:rPr>
                <w:sz w:val="14"/>
              </w:rPr>
              <w:t>0.0</w:t>
            </w:r>
          </w:p>
        </w:tc>
        <w:tc>
          <w:tcPr>
            <w:tcW w:w="390" w:type="pct"/>
            <w:noWrap/>
            <w:hideMark/>
          </w:tcPr>
          <w:p w14:paraId="12F5F877" w14:textId="77777777" w:rsidR="00CA7676" w:rsidRPr="00E14EE6" w:rsidRDefault="00CA7676" w:rsidP="00E14EE6">
            <w:pPr>
              <w:jc w:val="right"/>
              <w:rPr>
                <w:rFonts w:eastAsia="Times New Roman" w:cs="Times New Roman"/>
                <w:sz w:val="14"/>
                <w:szCs w:val="14"/>
              </w:rPr>
            </w:pPr>
            <w:r w:rsidRPr="00E14EE6">
              <w:rPr>
                <w:sz w:val="14"/>
              </w:rPr>
              <w:t>0.0</w:t>
            </w:r>
          </w:p>
        </w:tc>
      </w:tr>
      <w:tr w:rsidR="00CA7676" w:rsidRPr="00E14EE6" w14:paraId="3A19DC6E" w14:textId="77777777" w:rsidTr="00FD6B66">
        <w:trPr>
          <w:cnfStyle w:val="000000010000" w:firstRow="0" w:lastRow="0" w:firstColumn="0" w:lastColumn="0" w:oddVBand="0" w:evenVBand="0" w:oddHBand="0" w:evenHBand="1" w:firstRowFirstColumn="0" w:firstRowLastColumn="0" w:lastRowFirstColumn="0" w:lastRowLastColumn="0"/>
          <w:cantSplit/>
          <w:trHeight w:val="20"/>
        </w:trPr>
        <w:tc>
          <w:tcPr>
            <w:tcW w:w="1492" w:type="pct"/>
            <w:noWrap/>
            <w:hideMark/>
          </w:tcPr>
          <w:p w14:paraId="03C62D7A" w14:textId="389FBF0E" w:rsidR="00CA7676" w:rsidRPr="00E14EE6" w:rsidRDefault="00CA7676" w:rsidP="00E14EE6">
            <w:pPr>
              <w:jc w:val="left"/>
              <w:rPr>
                <w:rFonts w:eastAsia="Times New Roman" w:cs="Times New Roman"/>
                <w:b/>
                <w:bCs/>
                <w:color w:val="000000"/>
                <w:sz w:val="14"/>
                <w:szCs w:val="14"/>
              </w:rPr>
            </w:pPr>
            <w:r w:rsidRPr="00E14EE6">
              <w:rPr>
                <w:b/>
                <w:sz w:val="14"/>
              </w:rPr>
              <w:t>Non</w:t>
            </w:r>
            <w:r w:rsidR="00E14EE6" w:rsidRPr="00E14EE6">
              <w:rPr>
                <w:rFonts w:cs="Cambria Math"/>
                <w:b/>
                <w:sz w:val="14"/>
              </w:rPr>
              <w:noBreakHyphen/>
            </w:r>
            <w:r w:rsidRPr="00E14EE6">
              <w:rPr>
                <w:b/>
                <w:sz w:val="14"/>
              </w:rPr>
              <w:t xml:space="preserve">financial public </w:t>
            </w:r>
            <w:proofErr w:type="spellStart"/>
            <w:r w:rsidRPr="00E14EE6">
              <w:rPr>
                <w:b/>
                <w:sz w:val="14"/>
              </w:rPr>
              <w:t>sector</w:t>
            </w:r>
            <w:r w:rsidRPr="00E14EE6">
              <w:rPr>
                <w:b/>
                <w:sz w:val="14"/>
                <w:vertAlign w:val="superscript"/>
              </w:rPr>
              <w:t>i</w:t>
            </w:r>
            <w:proofErr w:type="spellEnd"/>
          </w:p>
        </w:tc>
        <w:tc>
          <w:tcPr>
            <w:tcW w:w="389" w:type="pct"/>
            <w:noWrap/>
            <w:hideMark/>
          </w:tcPr>
          <w:p w14:paraId="64CB5997" w14:textId="77777777" w:rsidR="00CA7676" w:rsidRPr="00E14EE6" w:rsidRDefault="00CA7676" w:rsidP="00E14EE6">
            <w:pPr>
              <w:jc w:val="right"/>
              <w:rPr>
                <w:rFonts w:eastAsia="Times New Roman" w:cs="Times New Roman"/>
                <w:b/>
                <w:bCs/>
                <w:sz w:val="14"/>
                <w:szCs w:val="14"/>
                <w:lang w:eastAsia="en-GB"/>
              </w:rPr>
            </w:pPr>
          </w:p>
        </w:tc>
        <w:tc>
          <w:tcPr>
            <w:tcW w:w="390" w:type="pct"/>
            <w:noWrap/>
            <w:hideMark/>
          </w:tcPr>
          <w:p w14:paraId="6838EB00" w14:textId="77777777" w:rsidR="00CA7676" w:rsidRPr="00E14EE6" w:rsidRDefault="00CA7676" w:rsidP="00E14EE6">
            <w:pPr>
              <w:jc w:val="right"/>
              <w:rPr>
                <w:rFonts w:eastAsia="Times New Roman" w:cs="Times New Roman"/>
                <w:sz w:val="14"/>
                <w:szCs w:val="14"/>
                <w:lang w:eastAsia="en-GB"/>
              </w:rPr>
            </w:pPr>
          </w:p>
        </w:tc>
        <w:tc>
          <w:tcPr>
            <w:tcW w:w="390" w:type="pct"/>
            <w:noWrap/>
            <w:hideMark/>
          </w:tcPr>
          <w:p w14:paraId="6A9C443A" w14:textId="77777777" w:rsidR="00CA7676" w:rsidRPr="00E14EE6" w:rsidRDefault="00CA7676" w:rsidP="00E14EE6">
            <w:pPr>
              <w:jc w:val="right"/>
              <w:rPr>
                <w:rFonts w:eastAsia="Times New Roman" w:cs="Times New Roman"/>
                <w:sz w:val="14"/>
                <w:szCs w:val="14"/>
                <w:lang w:eastAsia="en-GB"/>
              </w:rPr>
            </w:pPr>
          </w:p>
        </w:tc>
        <w:tc>
          <w:tcPr>
            <w:tcW w:w="390" w:type="pct"/>
            <w:noWrap/>
            <w:hideMark/>
          </w:tcPr>
          <w:p w14:paraId="07F24E20" w14:textId="77777777" w:rsidR="00CA7676" w:rsidRPr="00E14EE6" w:rsidRDefault="00CA7676" w:rsidP="00E14EE6">
            <w:pPr>
              <w:jc w:val="right"/>
              <w:rPr>
                <w:rFonts w:eastAsia="Times New Roman" w:cs="Times New Roman"/>
                <w:sz w:val="14"/>
                <w:szCs w:val="14"/>
                <w:lang w:eastAsia="en-GB"/>
              </w:rPr>
            </w:pPr>
          </w:p>
        </w:tc>
        <w:tc>
          <w:tcPr>
            <w:tcW w:w="390" w:type="pct"/>
            <w:noWrap/>
            <w:hideMark/>
          </w:tcPr>
          <w:p w14:paraId="75ABC80F" w14:textId="77777777" w:rsidR="00CA7676" w:rsidRPr="00E14EE6" w:rsidRDefault="00CA7676" w:rsidP="00E14EE6">
            <w:pPr>
              <w:jc w:val="right"/>
              <w:rPr>
                <w:rFonts w:eastAsia="Times New Roman" w:cs="Times New Roman"/>
                <w:sz w:val="14"/>
                <w:szCs w:val="14"/>
                <w:lang w:eastAsia="en-GB"/>
              </w:rPr>
            </w:pPr>
          </w:p>
        </w:tc>
        <w:tc>
          <w:tcPr>
            <w:tcW w:w="390" w:type="pct"/>
            <w:noWrap/>
            <w:hideMark/>
          </w:tcPr>
          <w:p w14:paraId="5A26EE9E" w14:textId="77777777" w:rsidR="00CA7676" w:rsidRPr="00E14EE6" w:rsidRDefault="00CA7676" w:rsidP="00E14EE6">
            <w:pPr>
              <w:jc w:val="right"/>
              <w:rPr>
                <w:rFonts w:eastAsia="Times New Roman" w:cs="Times New Roman"/>
                <w:sz w:val="14"/>
                <w:szCs w:val="14"/>
                <w:lang w:eastAsia="en-GB"/>
              </w:rPr>
            </w:pPr>
          </w:p>
        </w:tc>
        <w:tc>
          <w:tcPr>
            <w:tcW w:w="390" w:type="pct"/>
            <w:noWrap/>
            <w:hideMark/>
          </w:tcPr>
          <w:p w14:paraId="229D1751" w14:textId="77777777" w:rsidR="00CA7676" w:rsidRPr="00E14EE6" w:rsidRDefault="00CA7676" w:rsidP="00E14EE6">
            <w:pPr>
              <w:jc w:val="right"/>
              <w:rPr>
                <w:rFonts w:eastAsia="Times New Roman" w:cs="Times New Roman"/>
                <w:sz w:val="14"/>
                <w:szCs w:val="14"/>
                <w:lang w:eastAsia="en-GB"/>
              </w:rPr>
            </w:pPr>
          </w:p>
        </w:tc>
        <w:tc>
          <w:tcPr>
            <w:tcW w:w="390" w:type="pct"/>
            <w:noWrap/>
            <w:hideMark/>
          </w:tcPr>
          <w:p w14:paraId="7F9431D3" w14:textId="77777777" w:rsidR="00CA7676" w:rsidRPr="00E14EE6" w:rsidRDefault="00CA7676" w:rsidP="00E14EE6">
            <w:pPr>
              <w:jc w:val="right"/>
              <w:rPr>
                <w:rFonts w:eastAsia="Times New Roman" w:cs="Times New Roman"/>
                <w:sz w:val="14"/>
                <w:szCs w:val="14"/>
                <w:lang w:eastAsia="en-GB"/>
              </w:rPr>
            </w:pPr>
          </w:p>
        </w:tc>
        <w:tc>
          <w:tcPr>
            <w:tcW w:w="390" w:type="pct"/>
            <w:noWrap/>
            <w:hideMark/>
          </w:tcPr>
          <w:p w14:paraId="73485CB7" w14:textId="77777777" w:rsidR="00CA7676" w:rsidRPr="00E14EE6" w:rsidRDefault="00CA7676" w:rsidP="00E14EE6">
            <w:pPr>
              <w:jc w:val="right"/>
              <w:rPr>
                <w:rFonts w:eastAsia="Times New Roman" w:cs="Times New Roman"/>
                <w:sz w:val="14"/>
                <w:szCs w:val="14"/>
                <w:lang w:eastAsia="en-GB"/>
              </w:rPr>
            </w:pPr>
          </w:p>
        </w:tc>
      </w:tr>
      <w:tr w:rsidR="00CA7676" w:rsidRPr="00E14EE6" w14:paraId="556D1AC3" w14:textId="77777777" w:rsidTr="00FD6B66">
        <w:trPr>
          <w:cantSplit/>
          <w:trHeight w:val="20"/>
        </w:trPr>
        <w:tc>
          <w:tcPr>
            <w:tcW w:w="1492" w:type="pct"/>
            <w:noWrap/>
            <w:hideMark/>
          </w:tcPr>
          <w:p w14:paraId="0D2A3CDC" w14:textId="0C76283B" w:rsidR="00CA7676" w:rsidRPr="00E14EE6" w:rsidRDefault="00CA7676" w:rsidP="00E14EE6">
            <w:pPr>
              <w:jc w:val="left"/>
              <w:rPr>
                <w:rFonts w:eastAsia="Times New Roman" w:cs="Times New Roman"/>
                <w:b/>
                <w:bCs/>
                <w:i/>
                <w:iCs/>
                <w:sz w:val="14"/>
                <w:szCs w:val="14"/>
              </w:rPr>
            </w:pPr>
            <w:r w:rsidRPr="00E14EE6">
              <w:rPr>
                <w:b/>
                <w:i/>
                <w:sz w:val="14"/>
              </w:rPr>
              <w:t>Net lending (+) / net borrowing (</w:t>
            </w:r>
            <w:r w:rsidR="00E14EE6" w:rsidRPr="00E14EE6">
              <w:rPr>
                <w:b/>
                <w:i/>
                <w:sz w:val="14"/>
              </w:rPr>
              <w:noBreakHyphen/>
            </w:r>
            <w:r w:rsidRPr="00E14EE6">
              <w:rPr>
                <w:b/>
                <w:i/>
                <w:sz w:val="14"/>
              </w:rPr>
              <w:t>)</w:t>
            </w:r>
            <w:r w:rsidRPr="00E14EE6">
              <w:rPr>
                <w:b/>
                <w:i/>
                <w:sz w:val="14"/>
                <w:vertAlign w:val="superscript"/>
              </w:rPr>
              <w:t>e</w:t>
            </w:r>
          </w:p>
        </w:tc>
        <w:tc>
          <w:tcPr>
            <w:tcW w:w="389" w:type="pct"/>
            <w:noWrap/>
            <w:hideMark/>
          </w:tcPr>
          <w:p w14:paraId="286D6FAF" w14:textId="039DC5DC" w:rsidR="00CA7676" w:rsidRPr="00E14EE6" w:rsidRDefault="00E14EE6" w:rsidP="00E14EE6">
            <w:pPr>
              <w:jc w:val="right"/>
              <w:rPr>
                <w:rFonts w:eastAsia="Times New Roman" w:cs="Times New Roman"/>
                <w:b/>
                <w:bCs/>
                <w:color w:val="000000"/>
                <w:sz w:val="14"/>
                <w:szCs w:val="14"/>
              </w:rPr>
            </w:pPr>
            <w:r w:rsidRPr="00E14EE6">
              <w:rPr>
                <w:b/>
                <w:sz w:val="14"/>
              </w:rPr>
              <w:noBreakHyphen/>
            </w:r>
            <w:r w:rsidR="00CA7676" w:rsidRPr="00E14EE6">
              <w:rPr>
                <w:b/>
                <w:sz w:val="14"/>
              </w:rPr>
              <w:t>3.5</w:t>
            </w:r>
          </w:p>
        </w:tc>
        <w:tc>
          <w:tcPr>
            <w:tcW w:w="390" w:type="pct"/>
            <w:noWrap/>
            <w:hideMark/>
          </w:tcPr>
          <w:p w14:paraId="0962430D" w14:textId="0E8B450C" w:rsidR="00CA7676" w:rsidRPr="00E14EE6" w:rsidRDefault="00E14EE6" w:rsidP="00E14EE6">
            <w:pPr>
              <w:jc w:val="right"/>
              <w:rPr>
                <w:rFonts w:eastAsia="Times New Roman" w:cs="Times New Roman"/>
                <w:b/>
                <w:bCs/>
                <w:color w:val="000000"/>
                <w:sz w:val="14"/>
                <w:szCs w:val="14"/>
              </w:rPr>
            </w:pPr>
            <w:r w:rsidRPr="00E14EE6">
              <w:rPr>
                <w:b/>
                <w:sz w:val="14"/>
              </w:rPr>
              <w:noBreakHyphen/>
            </w:r>
            <w:r w:rsidR="00CA7676" w:rsidRPr="00E14EE6">
              <w:rPr>
                <w:b/>
                <w:sz w:val="14"/>
              </w:rPr>
              <w:t>0.3</w:t>
            </w:r>
          </w:p>
        </w:tc>
        <w:tc>
          <w:tcPr>
            <w:tcW w:w="390" w:type="pct"/>
            <w:noWrap/>
            <w:hideMark/>
          </w:tcPr>
          <w:p w14:paraId="19B2FF39" w14:textId="51FC2C3A" w:rsidR="00CA7676" w:rsidRPr="00E14EE6" w:rsidRDefault="00E14EE6" w:rsidP="00E14EE6">
            <w:pPr>
              <w:jc w:val="right"/>
              <w:rPr>
                <w:rFonts w:eastAsia="Times New Roman" w:cs="Times New Roman"/>
                <w:b/>
                <w:bCs/>
                <w:color w:val="000000"/>
                <w:sz w:val="14"/>
                <w:szCs w:val="14"/>
              </w:rPr>
            </w:pPr>
            <w:r w:rsidRPr="00E14EE6">
              <w:rPr>
                <w:b/>
                <w:sz w:val="14"/>
              </w:rPr>
              <w:noBreakHyphen/>
            </w:r>
            <w:r w:rsidR="00CA7676" w:rsidRPr="00E14EE6">
              <w:rPr>
                <w:b/>
                <w:sz w:val="14"/>
              </w:rPr>
              <w:t>2.7</w:t>
            </w:r>
          </w:p>
        </w:tc>
        <w:tc>
          <w:tcPr>
            <w:tcW w:w="390" w:type="pct"/>
            <w:noWrap/>
            <w:hideMark/>
          </w:tcPr>
          <w:p w14:paraId="02F5FBB6" w14:textId="06802D39" w:rsidR="00CA7676" w:rsidRPr="00E14EE6" w:rsidRDefault="00E14EE6" w:rsidP="00E14EE6">
            <w:pPr>
              <w:jc w:val="right"/>
              <w:rPr>
                <w:rFonts w:eastAsia="Times New Roman" w:cs="Times New Roman"/>
                <w:b/>
                <w:bCs/>
                <w:color w:val="000000"/>
                <w:sz w:val="14"/>
                <w:szCs w:val="14"/>
              </w:rPr>
            </w:pPr>
            <w:r w:rsidRPr="00E14EE6">
              <w:rPr>
                <w:b/>
                <w:sz w:val="14"/>
              </w:rPr>
              <w:noBreakHyphen/>
            </w:r>
            <w:r w:rsidR="00CA7676" w:rsidRPr="00E14EE6">
              <w:rPr>
                <w:b/>
                <w:sz w:val="14"/>
              </w:rPr>
              <w:t>2.8</w:t>
            </w:r>
          </w:p>
        </w:tc>
        <w:tc>
          <w:tcPr>
            <w:tcW w:w="390" w:type="pct"/>
            <w:noWrap/>
            <w:hideMark/>
          </w:tcPr>
          <w:p w14:paraId="31C62BF7" w14:textId="66D063C5" w:rsidR="00CA7676" w:rsidRPr="00E14EE6" w:rsidRDefault="00E14EE6" w:rsidP="00E14EE6">
            <w:pPr>
              <w:jc w:val="right"/>
              <w:rPr>
                <w:rFonts w:eastAsia="Times New Roman" w:cs="Times New Roman"/>
                <w:b/>
                <w:bCs/>
                <w:color w:val="000000"/>
                <w:sz w:val="14"/>
                <w:szCs w:val="14"/>
              </w:rPr>
            </w:pPr>
            <w:r w:rsidRPr="00E14EE6">
              <w:rPr>
                <w:b/>
                <w:sz w:val="14"/>
              </w:rPr>
              <w:noBreakHyphen/>
            </w:r>
            <w:r w:rsidR="00CA7676" w:rsidRPr="00E14EE6">
              <w:rPr>
                <w:b/>
                <w:sz w:val="14"/>
              </w:rPr>
              <w:t>2.3</w:t>
            </w:r>
          </w:p>
        </w:tc>
        <w:tc>
          <w:tcPr>
            <w:tcW w:w="390" w:type="pct"/>
            <w:noWrap/>
            <w:hideMark/>
          </w:tcPr>
          <w:p w14:paraId="1A917B13" w14:textId="38F2A488" w:rsidR="00CA7676" w:rsidRPr="00E14EE6" w:rsidRDefault="00E14EE6" w:rsidP="00E14EE6">
            <w:pPr>
              <w:jc w:val="right"/>
              <w:rPr>
                <w:rFonts w:eastAsia="Times New Roman" w:cs="Times New Roman"/>
                <w:b/>
                <w:bCs/>
                <w:color w:val="000000"/>
                <w:sz w:val="14"/>
                <w:szCs w:val="14"/>
              </w:rPr>
            </w:pPr>
            <w:r w:rsidRPr="00E14EE6">
              <w:rPr>
                <w:b/>
                <w:sz w:val="14"/>
              </w:rPr>
              <w:noBreakHyphen/>
            </w:r>
            <w:r w:rsidR="00CA7676" w:rsidRPr="00E14EE6">
              <w:rPr>
                <w:b/>
                <w:sz w:val="14"/>
              </w:rPr>
              <w:t>2.3</w:t>
            </w:r>
          </w:p>
        </w:tc>
        <w:tc>
          <w:tcPr>
            <w:tcW w:w="390" w:type="pct"/>
            <w:noWrap/>
            <w:hideMark/>
          </w:tcPr>
          <w:p w14:paraId="5A2B584D" w14:textId="1ADD716C" w:rsidR="00CA7676" w:rsidRPr="00E14EE6" w:rsidRDefault="00E14EE6" w:rsidP="00E14EE6">
            <w:pPr>
              <w:jc w:val="right"/>
              <w:rPr>
                <w:rFonts w:eastAsia="Times New Roman" w:cs="Times New Roman"/>
                <w:b/>
                <w:bCs/>
                <w:color w:val="000000"/>
                <w:sz w:val="14"/>
                <w:szCs w:val="14"/>
              </w:rPr>
            </w:pPr>
            <w:r w:rsidRPr="00E14EE6">
              <w:rPr>
                <w:b/>
                <w:sz w:val="14"/>
              </w:rPr>
              <w:noBreakHyphen/>
            </w:r>
            <w:r w:rsidR="00CA7676" w:rsidRPr="00E14EE6">
              <w:rPr>
                <w:b/>
                <w:sz w:val="14"/>
              </w:rPr>
              <w:t>7.6</w:t>
            </w:r>
          </w:p>
        </w:tc>
        <w:tc>
          <w:tcPr>
            <w:tcW w:w="390" w:type="pct"/>
            <w:noWrap/>
            <w:hideMark/>
          </w:tcPr>
          <w:p w14:paraId="4BE757FD" w14:textId="24A78652" w:rsidR="00CA7676" w:rsidRPr="00E14EE6" w:rsidRDefault="00E14EE6" w:rsidP="00E14EE6">
            <w:pPr>
              <w:jc w:val="right"/>
              <w:rPr>
                <w:rFonts w:eastAsia="Times New Roman" w:cs="Times New Roman"/>
                <w:b/>
                <w:bCs/>
                <w:color w:val="000000"/>
                <w:sz w:val="14"/>
                <w:szCs w:val="14"/>
              </w:rPr>
            </w:pPr>
            <w:r w:rsidRPr="00E14EE6">
              <w:rPr>
                <w:b/>
                <w:sz w:val="14"/>
              </w:rPr>
              <w:noBreakHyphen/>
            </w:r>
            <w:r w:rsidR="00CA7676" w:rsidRPr="00E14EE6">
              <w:rPr>
                <w:b/>
                <w:sz w:val="14"/>
              </w:rPr>
              <w:t>2.7</w:t>
            </w:r>
          </w:p>
        </w:tc>
        <w:tc>
          <w:tcPr>
            <w:tcW w:w="390" w:type="pct"/>
            <w:noWrap/>
            <w:hideMark/>
          </w:tcPr>
          <w:p w14:paraId="052772D5" w14:textId="77777777" w:rsidR="00CA7676" w:rsidRPr="00E14EE6" w:rsidRDefault="00CA7676" w:rsidP="00E14EE6">
            <w:pPr>
              <w:jc w:val="right"/>
              <w:rPr>
                <w:rFonts w:eastAsia="Times New Roman" w:cs="Times New Roman"/>
                <w:b/>
                <w:bCs/>
                <w:sz w:val="14"/>
                <w:szCs w:val="14"/>
              </w:rPr>
            </w:pPr>
            <w:r w:rsidRPr="00E14EE6">
              <w:rPr>
                <w:b/>
                <w:sz w:val="14"/>
              </w:rPr>
              <w:t>0.5</w:t>
            </w:r>
          </w:p>
        </w:tc>
      </w:tr>
    </w:tbl>
    <w:p w14:paraId="55A88C52" w14:textId="3B35B21E" w:rsidR="00CA7676" w:rsidRPr="00E14EE6" w:rsidRDefault="00E14EE6" w:rsidP="00CE2C80">
      <w:pPr>
        <w:pStyle w:val="NoteText"/>
        <w:spacing w:before="120"/>
      </w:pPr>
      <w:r w:rsidRPr="00E14EE6">
        <w:t>a</w:t>
      </w:r>
      <w:r w:rsidR="00C27618" w:rsidRPr="00E14EE6">
        <w:tab/>
      </w:r>
      <w:r w:rsidR="00CA7676" w:rsidRPr="00E14EE6">
        <w:t>Preliminary figures.</w:t>
      </w:r>
    </w:p>
    <w:p w14:paraId="3E1C0BB1" w14:textId="5DC6449A" w:rsidR="00CA7676" w:rsidRPr="00E14EE6" w:rsidRDefault="00CA7676" w:rsidP="00E14EE6">
      <w:pPr>
        <w:pStyle w:val="NoteText"/>
      </w:pPr>
      <w:r w:rsidRPr="00E14EE6">
        <w:t>b</w:t>
      </w:r>
      <w:r w:rsidRPr="00E14EE6">
        <w:tab/>
        <w:t xml:space="preserve">In 2015, </w:t>
      </w:r>
      <w:r w:rsidR="00E14EE6" w:rsidRPr="00E14EE6">
        <w:t>DOP 93</w:t>
      </w:r>
      <w:r w:rsidRPr="00E14EE6">
        <w:t>,157.2</w:t>
      </w:r>
      <w:r w:rsidR="00E14EE6" w:rsidRPr="00E14EE6">
        <w:t> million</w:t>
      </w:r>
      <w:r w:rsidRPr="00E14EE6">
        <w:t xml:space="preserve"> relating to the discount on the face value of the prepaid debt to </w:t>
      </w:r>
      <w:proofErr w:type="spellStart"/>
      <w:r w:rsidRPr="00E14EE6">
        <w:t>Petróleos</w:t>
      </w:r>
      <w:proofErr w:type="spellEnd"/>
      <w:r w:rsidRPr="00E14EE6">
        <w:t xml:space="preserve"> de Venezuela, S.A. and </w:t>
      </w:r>
      <w:r w:rsidR="00E14EE6" w:rsidRPr="00E14EE6">
        <w:t>DOP 179</w:t>
      </w:r>
      <w:r w:rsidRPr="00E14EE6">
        <w:t>,148.6</w:t>
      </w:r>
      <w:r w:rsidR="00E14EE6" w:rsidRPr="00E14EE6">
        <w:t> million</w:t>
      </w:r>
      <w:r w:rsidRPr="00E14EE6">
        <w:t xml:space="preserve"> for the repayment of 97.7</w:t>
      </w:r>
      <w:r w:rsidR="00E14EE6">
        <w:t>%</w:t>
      </w:r>
      <w:r w:rsidRPr="00E14EE6">
        <w:t xml:space="preserve"> of the accumulated debt as at </w:t>
      </w:r>
      <w:r w:rsidR="00E14EE6" w:rsidRPr="00E14EE6">
        <w:t>December 2</w:t>
      </w:r>
      <w:r w:rsidRPr="00E14EE6">
        <w:t>014 are included as grant income.</w:t>
      </w:r>
    </w:p>
    <w:p w14:paraId="54F96056" w14:textId="39C3100C" w:rsidR="00CA7676" w:rsidRPr="00E14EE6" w:rsidRDefault="00CA7676" w:rsidP="00E14EE6">
      <w:pPr>
        <w:pStyle w:val="NoteText"/>
      </w:pPr>
      <w:r w:rsidRPr="00E14EE6">
        <w:t>c</w:t>
      </w:r>
      <w:r w:rsidRPr="00E14EE6">
        <w:tab/>
        <w:t xml:space="preserve">Includes bonds to capitalize the Central Bank (Law </w:t>
      </w:r>
      <w:r w:rsidR="00E14EE6" w:rsidRPr="00E14EE6">
        <w:t>No. </w:t>
      </w:r>
      <w:r w:rsidRPr="00E14EE6">
        <w:t>121</w:t>
      </w:r>
      <w:r w:rsidR="00E14EE6" w:rsidRPr="00E14EE6">
        <w:noBreakHyphen/>
      </w:r>
      <w:r w:rsidRPr="00E14EE6">
        <w:t>05) and bonds to recapitalize the Central</w:t>
      </w:r>
      <w:r w:rsidR="00C5302C">
        <w:t> </w:t>
      </w:r>
      <w:r w:rsidRPr="00E14EE6">
        <w:t xml:space="preserve">Bank (Law </w:t>
      </w:r>
      <w:r w:rsidR="00E14EE6" w:rsidRPr="00E14EE6">
        <w:t>No. </w:t>
      </w:r>
      <w:r w:rsidRPr="00E14EE6">
        <w:t>167</w:t>
      </w:r>
      <w:r w:rsidR="00E14EE6" w:rsidRPr="00E14EE6">
        <w:noBreakHyphen/>
      </w:r>
      <w:r w:rsidRPr="00E14EE6">
        <w:t>07)</w:t>
      </w:r>
      <w:r w:rsidR="00E14EE6" w:rsidRPr="00E14EE6">
        <w:t>. T</w:t>
      </w:r>
      <w:r w:rsidRPr="00E14EE6">
        <w:t xml:space="preserve">he Law on Recapitalization is </w:t>
      </w:r>
      <w:r w:rsidR="00E854C5" w:rsidRPr="00E14EE6">
        <w:t xml:space="preserve">divided </w:t>
      </w:r>
      <w:r w:rsidRPr="00E14EE6">
        <w:t>into two parts</w:t>
      </w:r>
      <w:r w:rsidR="00E14EE6" w:rsidRPr="00E14EE6">
        <w:t>: (</w:t>
      </w:r>
      <w:r w:rsidRPr="00E14EE6">
        <w:t>1) Bonds issued, interest payments on bonds and arrears on those payments are included under the following headings</w:t>
      </w:r>
      <w:r w:rsidR="00E14EE6" w:rsidRPr="00E14EE6">
        <w:t>: (</w:t>
      </w:r>
      <w:proofErr w:type="spellStart"/>
      <w:r w:rsidRPr="00E14EE6">
        <w:t>i</w:t>
      </w:r>
      <w:proofErr w:type="spellEnd"/>
      <w:r w:rsidRPr="00E14EE6">
        <w:t>) interest, and (ii) debt securities</w:t>
      </w:r>
      <w:r w:rsidR="00E14EE6" w:rsidRPr="00E14EE6">
        <w:t>; a</w:t>
      </w:r>
      <w:r w:rsidRPr="00E14EE6">
        <w:t xml:space="preserve">nd (2) when interest on bonds issued falls short of the amount committed by the </w:t>
      </w:r>
      <w:r w:rsidR="00AD3D99" w:rsidRPr="00E14EE6">
        <w:t>c</w:t>
      </w:r>
      <w:r w:rsidRPr="00E14EE6">
        <w:t>entral Government through the schedule stipulated in the Law or through the General State Budget, the shortfall is classified as</w:t>
      </w:r>
      <w:r w:rsidR="00E14EE6" w:rsidRPr="00E14EE6">
        <w:t>: (</w:t>
      </w:r>
      <w:proofErr w:type="spellStart"/>
      <w:r w:rsidRPr="00E14EE6">
        <w:t>i</w:t>
      </w:r>
      <w:proofErr w:type="spellEnd"/>
      <w:r w:rsidRPr="00E14EE6">
        <w:t>) current transfers not elsewhere classified, and (ii) other liabilities.</w:t>
      </w:r>
    </w:p>
    <w:p w14:paraId="7DF1B7AD" w14:textId="28AE2EAE" w:rsidR="00CA7676" w:rsidRPr="00E14EE6" w:rsidRDefault="00CA7676" w:rsidP="00E14EE6">
      <w:pPr>
        <w:pStyle w:val="NoteText"/>
      </w:pPr>
      <w:r w:rsidRPr="00E14EE6">
        <w:t>d</w:t>
      </w:r>
      <w:r w:rsidRPr="00E14EE6">
        <w:tab/>
        <w:t>Income minus expenditure, except consumption of fixed capital</w:t>
      </w:r>
      <w:r w:rsidR="00E14EE6" w:rsidRPr="00E14EE6">
        <w:t>. C</w:t>
      </w:r>
      <w:r w:rsidRPr="00E14EE6">
        <w:t>onsumption of fixed capital is not registered due to the unavailability of high</w:t>
      </w:r>
      <w:r w:rsidR="00E14EE6" w:rsidRPr="00E14EE6">
        <w:noBreakHyphen/>
      </w:r>
      <w:r w:rsidRPr="00E14EE6">
        <w:t>frequency data.</w:t>
      </w:r>
    </w:p>
    <w:p w14:paraId="3D207264" w14:textId="77777777" w:rsidR="00CA7676" w:rsidRPr="00E14EE6" w:rsidRDefault="00CA7676" w:rsidP="00E14EE6">
      <w:pPr>
        <w:pStyle w:val="NoteText"/>
      </w:pPr>
      <w:r w:rsidRPr="00E14EE6">
        <w:t>e</w:t>
      </w:r>
      <w:r w:rsidRPr="00E14EE6">
        <w:tab/>
        <w:t>Net lending/borrowing is equivalent to the former "balance sheet" or "surplus/deficit" of public sector institutional units.</w:t>
      </w:r>
    </w:p>
    <w:p w14:paraId="20D13AA0" w14:textId="77777777" w:rsidR="00CA7676" w:rsidRPr="00E14EE6" w:rsidRDefault="00CA7676" w:rsidP="00E14EE6">
      <w:pPr>
        <w:pStyle w:val="NoteText"/>
      </w:pPr>
      <w:r w:rsidRPr="00E14EE6">
        <w:t>f</w:t>
      </w:r>
      <w:r w:rsidRPr="00E14EE6">
        <w:tab/>
        <w:t>Includes net arrears, capitalizations, renegotiations, assignments of debts and net adjustments for premium on issue of debt securities and accrued interest on the placement.</w:t>
      </w:r>
    </w:p>
    <w:p w14:paraId="15C2CCDE" w14:textId="0795CB8B" w:rsidR="00CA7676" w:rsidRPr="00E14EE6" w:rsidRDefault="00CA7676" w:rsidP="00E14EE6">
      <w:pPr>
        <w:pStyle w:val="NoteText"/>
      </w:pPr>
      <w:r w:rsidRPr="00E14EE6">
        <w:t>g</w:t>
      </w:r>
      <w:r w:rsidRPr="00E14EE6">
        <w:tab/>
        <w:t>The overall statistical discrepancy is the difference between net lending/net borrowing calculated in two ways</w:t>
      </w:r>
      <w:r w:rsidR="00E14EE6" w:rsidRPr="00E14EE6">
        <w:t>: (</w:t>
      </w:r>
      <w:r w:rsidRPr="00E14EE6">
        <w:t>1) net acquisition of financial assets minus net incurrence of liabilities</w:t>
      </w:r>
      <w:r w:rsidR="00E14EE6" w:rsidRPr="00E14EE6">
        <w:t>; a</w:t>
      </w:r>
      <w:r w:rsidRPr="00E14EE6">
        <w:t>nd (2) income minus expenditure.</w:t>
      </w:r>
    </w:p>
    <w:p w14:paraId="6D3A11B9" w14:textId="7C34A84B" w:rsidR="00CA7676" w:rsidRPr="00E14EE6" w:rsidRDefault="00CA7676" w:rsidP="00E14EE6">
      <w:pPr>
        <w:pStyle w:val="NoteText"/>
      </w:pPr>
      <w:r w:rsidRPr="00E14EE6">
        <w:t>h</w:t>
      </w:r>
      <w:r w:rsidRPr="00E14EE6">
        <w:tab/>
        <w:t xml:space="preserve">The rest of the </w:t>
      </w:r>
      <w:proofErr w:type="spellStart"/>
      <w:r w:rsidR="00787F4C" w:rsidRPr="00E14EE6">
        <w:t>NFPS</w:t>
      </w:r>
      <w:proofErr w:type="spellEnd"/>
      <w:r w:rsidRPr="00E14EE6">
        <w:t xml:space="preserve"> includes the extra</w:t>
      </w:r>
      <w:r w:rsidR="00E14EE6" w:rsidRPr="00E14EE6">
        <w:noBreakHyphen/>
      </w:r>
      <w:r w:rsidRPr="00E14EE6">
        <w:t xml:space="preserve">budgetary </w:t>
      </w:r>
      <w:r w:rsidR="00C11832" w:rsidRPr="00E14EE6">
        <w:t>c</w:t>
      </w:r>
      <w:r w:rsidRPr="00E14EE6">
        <w:t>entral Government, local governments (city councils), social security funds and non</w:t>
      </w:r>
      <w:r w:rsidR="00E14EE6" w:rsidRPr="00E14EE6">
        <w:noBreakHyphen/>
      </w:r>
      <w:r w:rsidRPr="00E14EE6">
        <w:t>financial public corporations (non</w:t>
      </w:r>
      <w:r w:rsidR="00E14EE6" w:rsidRPr="00E14EE6">
        <w:noBreakHyphen/>
      </w:r>
      <w:r w:rsidRPr="00E14EE6">
        <w:t>financial public enterprises)</w:t>
      </w:r>
      <w:r w:rsidR="00E14EE6" w:rsidRPr="00E14EE6">
        <w:t>. T</w:t>
      </w:r>
      <w:r w:rsidRPr="00E14EE6">
        <w:t>he term "extra</w:t>
      </w:r>
      <w:r w:rsidR="00E14EE6" w:rsidRPr="00E14EE6">
        <w:noBreakHyphen/>
      </w:r>
      <w:r w:rsidRPr="00E14EE6">
        <w:t xml:space="preserve">budgetary" indicates that these institutions receive transfers from the budgetary </w:t>
      </w:r>
      <w:r w:rsidR="00AD3D99" w:rsidRPr="00E14EE6">
        <w:t>c</w:t>
      </w:r>
      <w:r w:rsidRPr="00E14EE6">
        <w:t>entral Government and use the funds independently</w:t>
      </w:r>
      <w:r w:rsidR="00E14EE6" w:rsidRPr="00E14EE6">
        <w:t>. D</w:t>
      </w:r>
      <w:r w:rsidRPr="00E14EE6">
        <w:t>ue to data availability, only financing of these institutions, which gives the net lending/borrowing amount, is presented here.</w:t>
      </w:r>
    </w:p>
    <w:p w14:paraId="67C6E56F" w14:textId="370FFBD9" w:rsidR="00CA7676" w:rsidRPr="00E14EE6" w:rsidRDefault="00CA7676" w:rsidP="00E14EE6">
      <w:pPr>
        <w:pStyle w:val="NoteText"/>
      </w:pPr>
      <w:proofErr w:type="spellStart"/>
      <w:r w:rsidRPr="00E14EE6">
        <w:t>i</w:t>
      </w:r>
      <w:proofErr w:type="spellEnd"/>
      <w:r w:rsidRPr="00E14EE6">
        <w:tab/>
        <w:t xml:space="preserve">The </w:t>
      </w:r>
      <w:proofErr w:type="spellStart"/>
      <w:r w:rsidR="00787F4C" w:rsidRPr="00E14EE6">
        <w:t>NFPS</w:t>
      </w:r>
      <w:proofErr w:type="spellEnd"/>
      <w:r w:rsidRPr="00E14EE6">
        <w:t xml:space="preserve"> includes general Government (</w:t>
      </w:r>
      <w:r w:rsidR="00AD3D99" w:rsidRPr="00E14EE6">
        <w:t>c</w:t>
      </w:r>
      <w:r w:rsidRPr="00E14EE6">
        <w:t>entral Government as well as local governments (city councils</w:t>
      </w:r>
      <w:r w:rsidR="00C11832" w:rsidRPr="00E14EE6">
        <w:t>)</w:t>
      </w:r>
      <w:r w:rsidRPr="00E14EE6">
        <w:t>) and non</w:t>
      </w:r>
      <w:r w:rsidR="00E14EE6" w:rsidRPr="00E14EE6">
        <w:noBreakHyphen/>
      </w:r>
      <w:r w:rsidRPr="00E14EE6">
        <w:t>financial public corporations (non</w:t>
      </w:r>
      <w:r w:rsidR="00E14EE6" w:rsidRPr="00E14EE6">
        <w:noBreakHyphen/>
      </w:r>
      <w:r w:rsidRPr="00E14EE6">
        <w:t>financial public enterprises).</w:t>
      </w:r>
    </w:p>
    <w:p w14:paraId="545CBDA6" w14:textId="3930FA46" w:rsidR="00CA7676" w:rsidRPr="00E14EE6" w:rsidRDefault="00CA7676" w:rsidP="00CE2C80">
      <w:pPr>
        <w:pStyle w:val="NoteText"/>
        <w:spacing w:before="120" w:after="240"/>
      </w:pPr>
      <w:r w:rsidRPr="00E14EE6">
        <w:t>Source:</w:t>
      </w:r>
      <w:r w:rsidRPr="00E14EE6">
        <w:tab/>
      </w:r>
      <w:proofErr w:type="spellStart"/>
      <w:r w:rsidR="007A3952" w:rsidRPr="00E14EE6">
        <w:t>BCRD</w:t>
      </w:r>
      <w:proofErr w:type="spellEnd"/>
      <w:r w:rsidRPr="00E14EE6">
        <w:t>.</w:t>
      </w:r>
    </w:p>
    <w:p w14:paraId="04E4597B" w14:textId="2C74399E" w:rsidR="007C74EF" w:rsidRPr="00E14EE6" w:rsidRDefault="00E14EE6" w:rsidP="00763857">
      <w:pPr>
        <w:pStyle w:val="BodyText"/>
      </w:pPr>
      <w:r w:rsidRPr="00E14EE6">
        <w:t>T</w:t>
      </w:r>
      <w:r w:rsidR="005147A6" w:rsidRPr="00E14EE6">
        <w:t>o address the effects of the pandemic, the Government implemented a package of measures to protect jobs and support the productive sectors</w:t>
      </w:r>
      <w:r w:rsidRPr="00E14EE6">
        <w:t>. T</w:t>
      </w:r>
      <w:r w:rsidR="005147A6" w:rsidRPr="00E14EE6">
        <w:t>he package includes tax assistance for businesses of all sizes, and ranges from the deferral of tax payments owed to the adjustment of advance payments, including relief at the time of execution</w:t>
      </w:r>
      <w:r w:rsidRPr="00E14EE6">
        <w:t>. T</w:t>
      </w:r>
      <w:r w:rsidR="005147A6" w:rsidRPr="00E14EE6">
        <w:t xml:space="preserve">he initial package, announced in </w:t>
      </w:r>
      <w:r w:rsidRPr="00E14EE6">
        <w:lastRenderedPageBreak/>
        <w:t>March 2</w:t>
      </w:r>
      <w:r w:rsidR="005147A6" w:rsidRPr="00E14EE6">
        <w:t xml:space="preserve">020, included assistance programmes, as well as support programmes for citizens and businesses, totalling </w:t>
      </w:r>
      <w:r w:rsidRPr="00E14EE6">
        <w:t>DOP 32</w:t>
      </w:r>
      <w:r w:rsidR="005147A6" w:rsidRPr="00E14EE6">
        <w:t>,062.5</w:t>
      </w:r>
      <w:r w:rsidRPr="00E14EE6">
        <w:t> million</w:t>
      </w:r>
      <w:r w:rsidR="005147A6" w:rsidRPr="00E14EE6">
        <w:t xml:space="preserve"> (about </w:t>
      </w:r>
      <w:r w:rsidRPr="00E14EE6">
        <w:t>USD 576 million</w:t>
      </w:r>
      <w:r w:rsidR="005147A6" w:rsidRPr="00E14EE6">
        <w:t>, or 0.75</w:t>
      </w:r>
      <w:r>
        <w:t>%</w:t>
      </w:r>
      <w:r w:rsidR="005147A6" w:rsidRPr="00E14EE6">
        <w:t xml:space="preserve"> of GDP) from the following financial sources</w:t>
      </w:r>
      <w:r w:rsidRPr="00E14EE6">
        <w:t>: DOP 12 billion</w:t>
      </w:r>
      <w:r w:rsidR="005147A6" w:rsidRPr="00E14EE6">
        <w:t xml:space="preserve"> from the technical reserves of the Dominican Institute for the Protection and Prevention of Occupational Hazards (</w:t>
      </w:r>
      <w:proofErr w:type="spellStart"/>
      <w:r w:rsidR="005147A6" w:rsidRPr="00E14EE6">
        <w:t>IDOPRIL</w:t>
      </w:r>
      <w:proofErr w:type="spellEnd"/>
      <w:r w:rsidR="005147A6" w:rsidRPr="00E14EE6">
        <w:t>)</w:t>
      </w:r>
      <w:r w:rsidRPr="00E14EE6">
        <w:t>; DOP 12 billion</w:t>
      </w:r>
      <w:r w:rsidR="005147A6" w:rsidRPr="00E14EE6">
        <w:t xml:space="preserve"> from a Central</w:t>
      </w:r>
      <w:r w:rsidR="00A025A7">
        <w:t> </w:t>
      </w:r>
      <w:r w:rsidR="005147A6" w:rsidRPr="00E14EE6">
        <w:t>Bank loan to the Government</w:t>
      </w:r>
      <w:r w:rsidRPr="00E14EE6">
        <w:t>; a</w:t>
      </w:r>
      <w:r w:rsidR="005147A6" w:rsidRPr="00E14EE6">
        <w:t xml:space="preserve">nd </w:t>
      </w:r>
      <w:r w:rsidRPr="00E14EE6">
        <w:t>USD 150 million</w:t>
      </w:r>
      <w:r w:rsidR="005147A6" w:rsidRPr="00E14EE6">
        <w:t xml:space="preserve"> from a loan granted by the World</w:t>
      </w:r>
      <w:r w:rsidR="002C6DF6">
        <w:t> </w:t>
      </w:r>
      <w:r w:rsidR="005147A6" w:rsidRPr="00E14EE6">
        <w:t>Bank in 2017 for emergency purposes.</w:t>
      </w:r>
      <w:r w:rsidRPr="00E14EE6">
        <w:rPr>
          <w:rStyle w:val="FootnoteReference"/>
        </w:rPr>
        <w:footnoteReference w:id="14"/>
      </w:r>
    </w:p>
    <w:p w14:paraId="474984CC" w14:textId="3AD5EA0E" w:rsidR="007C74EF" w:rsidRPr="00E14EE6" w:rsidRDefault="00E14EE6" w:rsidP="00763857">
      <w:pPr>
        <w:pStyle w:val="BodyText"/>
      </w:pPr>
      <w:r w:rsidRPr="00E14EE6">
        <w:t>T</w:t>
      </w:r>
      <w:r w:rsidR="005147A6" w:rsidRPr="00E14EE6">
        <w:t xml:space="preserve">he original economic measures included several social spending programmes, in particular, the </w:t>
      </w:r>
      <w:proofErr w:type="spellStart"/>
      <w:r w:rsidR="005147A6" w:rsidRPr="00E14EE6">
        <w:rPr>
          <w:i/>
          <w:iCs/>
        </w:rPr>
        <w:t>Quédate</w:t>
      </w:r>
      <w:proofErr w:type="spellEnd"/>
      <w:r w:rsidR="005147A6" w:rsidRPr="00E14EE6">
        <w:rPr>
          <w:i/>
          <w:iCs/>
        </w:rPr>
        <w:t xml:space="preserve"> </w:t>
      </w:r>
      <w:proofErr w:type="spellStart"/>
      <w:r w:rsidR="005147A6" w:rsidRPr="00E14EE6">
        <w:rPr>
          <w:i/>
          <w:iCs/>
        </w:rPr>
        <w:t>en</w:t>
      </w:r>
      <w:proofErr w:type="spellEnd"/>
      <w:r w:rsidR="005147A6" w:rsidRPr="00E14EE6">
        <w:rPr>
          <w:i/>
          <w:iCs/>
        </w:rPr>
        <w:t xml:space="preserve"> Casa</w:t>
      </w:r>
      <w:r w:rsidR="005147A6" w:rsidRPr="00E14EE6">
        <w:t xml:space="preserve"> programme, with resources of </w:t>
      </w:r>
      <w:r w:rsidRPr="00E14EE6">
        <w:t>DOP 16</w:t>
      </w:r>
      <w:r w:rsidR="0072021D" w:rsidRPr="00E14EE6">
        <w:t>,980</w:t>
      </w:r>
      <w:r w:rsidRPr="00E14EE6">
        <w:t> million</w:t>
      </w:r>
      <w:r w:rsidR="005147A6" w:rsidRPr="00E14EE6">
        <w:t>, to subsidize 1.5</w:t>
      </w:r>
      <w:r w:rsidRPr="00E14EE6">
        <w:t> million</w:t>
      </w:r>
      <w:r w:rsidR="005147A6" w:rsidRPr="00E14EE6">
        <w:t xml:space="preserve"> households identified as poor or vulnerable</w:t>
      </w:r>
      <w:r w:rsidRPr="00E14EE6">
        <w:t>. T</w:t>
      </w:r>
      <w:r w:rsidR="005147A6" w:rsidRPr="00E14EE6">
        <w:t xml:space="preserve">he programme extended coverage of the existing </w:t>
      </w:r>
      <w:r w:rsidR="005147A6" w:rsidRPr="00E14EE6">
        <w:rPr>
          <w:i/>
          <w:iCs/>
        </w:rPr>
        <w:t>Comer es Primero</w:t>
      </w:r>
      <w:r w:rsidR="005147A6" w:rsidRPr="00E14EE6">
        <w:t xml:space="preserve"> ("Eating comes first") programme, which paid </w:t>
      </w:r>
      <w:r w:rsidRPr="00E14EE6">
        <w:t>DOP 5</w:t>
      </w:r>
      <w:r w:rsidR="005147A6" w:rsidRPr="00E14EE6">
        <w:t>,000 per month (about</w:t>
      </w:r>
      <w:r w:rsidR="00FC4069">
        <w:t> </w:t>
      </w:r>
      <w:r w:rsidRPr="00E14EE6">
        <w:t>USD 90</w:t>
      </w:r>
      <w:r w:rsidR="005147A6" w:rsidRPr="00E14EE6">
        <w:t>) to 811,003 families, to include 688,997 new households over a two</w:t>
      </w:r>
      <w:r w:rsidRPr="00E14EE6">
        <w:noBreakHyphen/>
      </w:r>
      <w:r w:rsidR="005147A6" w:rsidRPr="00E14EE6">
        <w:t>month period</w:t>
      </w:r>
      <w:r w:rsidRPr="00E14EE6">
        <w:t>. T</w:t>
      </w:r>
      <w:r w:rsidR="005147A6" w:rsidRPr="00E14EE6">
        <w:t xml:space="preserve">he programme also made an additional transfer of up to </w:t>
      </w:r>
      <w:r w:rsidRPr="00E14EE6">
        <w:t>DOP 2</w:t>
      </w:r>
      <w:r w:rsidR="005147A6" w:rsidRPr="00E14EE6">
        <w:t>,000 to households with a member over 60 years of age or with pre</w:t>
      </w:r>
      <w:r w:rsidRPr="00E14EE6">
        <w:noBreakHyphen/>
      </w:r>
      <w:r w:rsidR="005147A6" w:rsidRPr="00E14EE6">
        <w:t>existing health problems</w:t>
      </w:r>
      <w:r w:rsidRPr="00E14EE6">
        <w:t>. T</w:t>
      </w:r>
      <w:r w:rsidR="005147A6" w:rsidRPr="00E14EE6">
        <w:t>he Employee Solidarity Assistance Fund (</w:t>
      </w:r>
      <w:proofErr w:type="spellStart"/>
      <w:r w:rsidR="005147A6" w:rsidRPr="00E14EE6">
        <w:t>FASE</w:t>
      </w:r>
      <w:proofErr w:type="spellEnd"/>
      <w:r w:rsidR="005147A6" w:rsidRPr="00E14EE6">
        <w:t xml:space="preserve">) was also created, with a budget of up to </w:t>
      </w:r>
      <w:r w:rsidRPr="00E14EE6">
        <w:t>USD 15 billion</w:t>
      </w:r>
      <w:r w:rsidR="005147A6" w:rsidRPr="00E14EE6">
        <w:t>, providing some 754,000</w:t>
      </w:r>
      <w:r w:rsidR="00FC4069">
        <w:t> </w:t>
      </w:r>
      <w:r w:rsidR="005147A6" w:rsidRPr="00E14EE6">
        <w:t>families of laid</w:t>
      </w:r>
      <w:r w:rsidRPr="00E14EE6">
        <w:noBreakHyphen/>
      </w:r>
      <w:r w:rsidR="005147A6" w:rsidRPr="00E14EE6">
        <w:t>off formal workers with a monthly transfer of up to 70</w:t>
      </w:r>
      <w:r>
        <w:t>%</w:t>
      </w:r>
      <w:r w:rsidR="005147A6" w:rsidRPr="00E14EE6">
        <w:t xml:space="preserve"> of their last formal salaries, of at least </w:t>
      </w:r>
      <w:r w:rsidRPr="00E14EE6">
        <w:t>DOP 5</w:t>
      </w:r>
      <w:r w:rsidR="005147A6" w:rsidRPr="00E14EE6">
        <w:t>,000</w:t>
      </w:r>
      <w:r w:rsidRPr="00E14EE6">
        <w:t>. I</w:t>
      </w:r>
      <w:r w:rsidR="005147A6" w:rsidRPr="00E14EE6">
        <w:t xml:space="preserve">n </w:t>
      </w:r>
      <w:r w:rsidRPr="00E14EE6">
        <w:t>May 2</w:t>
      </w:r>
      <w:r w:rsidR="005147A6" w:rsidRPr="00E14EE6">
        <w:t xml:space="preserve">020, a new programme entitled </w:t>
      </w:r>
      <w:r w:rsidR="005147A6" w:rsidRPr="00E14EE6">
        <w:rPr>
          <w:i/>
          <w:iCs/>
        </w:rPr>
        <w:t xml:space="preserve">Pa' </w:t>
      </w:r>
      <w:proofErr w:type="spellStart"/>
      <w:r w:rsidR="005147A6" w:rsidRPr="00E14EE6">
        <w:rPr>
          <w:i/>
          <w:iCs/>
        </w:rPr>
        <w:t>Ti</w:t>
      </w:r>
      <w:proofErr w:type="spellEnd"/>
      <w:r w:rsidR="005147A6" w:rsidRPr="00E14EE6">
        <w:t xml:space="preserve"> (</w:t>
      </w:r>
      <w:r w:rsidR="00070785" w:rsidRPr="00E14EE6">
        <w:t>"</w:t>
      </w:r>
      <w:r w:rsidR="005147A6" w:rsidRPr="00E14EE6">
        <w:t>For You</w:t>
      </w:r>
      <w:r w:rsidR="00070785" w:rsidRPr="00E14EE6">
        <w:t>"</w:t>
      </w:r>
      <w:r w:rsidR="005147A6" w:rsidRPr="00E14EE6">
        <w:t xml:space="preserve">) was introduced with an estimated budget of </w:t>
      </w:r>
      <w:r w:rsidRPr="00E14EE6">
        <w:t>DOP 2</w:t>
      </w:r>
      <w:r w:rsidR="005147A6" w:rsidRPr="00E14EE6">
        <w:t>.4</w:t>
      </w:r>
      <w:r w:rsidRPr="00E14EE6">
        <w:t> billion</w:t>
      </w:r>
      <w:r w:rsidR="005147A6" w:rsidRPr="00E14EE6">
        <w:t xml:space="preserve"> to support the self</w:t>
      </w:r>
      <w:r w:rsidRPr="00E14EE6">
        <w:noBreakHyphen/>
      </w:r>
      <w:r w:rsidR="005147A6" w:rsidRPr="00E14EE6">
        <w:t xml:space="preserve">employed, providing </w:t>
      </w:r>
      <w:r w:rsidRPr="00E14EE6">
        <w:t>DOP 5</w:t>
      </w:r>
      <w:r w:rsidR="005147A6" w:rsidRPr="00E14EE6">
        <w:t xml:space="preserve">,000 per month to each beneficiary, as well as a </w:t>
      </w:r>
      <w:r w:rsidR="007A3D34" w:rsidRPr="00E14EE6">
        <w:t xml:space="preserve">further </w:t>
      </w:r>
      <w:r w:rsidR="005147A6" w:rsidRPr="00E14EE6">
        <w:t>subsidy available for health care</w:t>
      </w:r>
      <w:r w:rsidRPr="00E14EE6">
        <w:t>. T</w:t>
      </w:r>
      <w:r w:rsidR="005147A6" w:rsidRPr="00E14EE6">
        <w:t xml:space="preserve">he new Government extended the duration of all social </w:t>
      </w:r>
      <w:r w:rsidR="007A3D34" w:rsidRPr="00E14EE6">
        <w:t>welfare</w:t>
      </w:r>
      <w:r w:rsidR="005147A6" w:rsidRPr="00E14EE6">
        <w:t xml:space="preserve"> programmes until </w:t>
      </w:r>
      <w:r w:rsidR="00EC692F" w:rsidRPr="00E14EE6">
        <w:t xml:space="preserve">the </w:t>
      </w:r>
      <w:r w:rsidR="005147A6" w:rsidRPr="00E14EE6">
        <w:t>end</w:t>
      </w:r>
      <w:r w:rsidR="00EC692F" w:rsidRPr="00E14EE6">
        <w:t xml:space="preserve"> of </w:t>
      </w:r>
      <w:r w:rsidR="005147A6" w:rsidRPr="00E14EE6">
        <w:t>2020.</w:t>
      </w:r>
      <w:r w:rsidRPr="00E14EE6">
        <w:rPr>
          <w:rStyle w:val="FootnoteReference"/>
        </w:rPr>
        <w:footnoteReference w:id="15"/>
      </w:r>
    </w:p>
    <w:p w14:paraId="6A785A07" w14:textId="25D770AF" w:rsidR="00CA7676" w:rsidRPr="00E14EE6" w:rsidRDefault="00E14EE6" w:rsidP="00763857">
      <w:pPr>
        <w:pStyle w:val="BodyText"/>
      </w:pPr>
      <w:r w:rsidRPr="00E14EE6">
        <w:t>O</w:t>
      </w:r>
      <w:r w:rsidR="005147A6" w:rsidRPr="00E14EE6">
        <w:t>ther pandemic</w:t>
      </w:r>
      <w:r w:rsidRPr="00E14EE6">
        <w:noBreakHyphen/>
      </w:r>
      <w:r w:rsidR="005147A6" w:rsidRPr="00E14EE6">
        <w:t xml:space="preserve">response measures include a decision by the Central Bank to reduce the monetary policy rate </w:t>
      </w:r>
      <w:r w:rsidR="00414730" w:rsidRPr="00E14EE6">
        <w:t>(</w:t>
      </w:r>
      <w:proofErr w:type="spellStart"/>
      <w:r w:rsidR="00414730" w:rsidRPr="00E14EE6">
        <w:t>MPR</w:t>
      </w:r>
      <w:proofErr w:type="spellEnd"/>
      <w:r w:rsidR="00414730" w:rsidRPr="00E14EE6">
        <w:t xml:space="preserve">) </w:t>
      </w:r>
      <w:r w:rsidR="005147A6" w:rsidRPr="00E14EE6">
        <w:t>by 100 basis points and to inject liquidity</w:t>
      </w:r>
      <w:r w:rsidR="002074C9" w:rsidRPr="00E14EE6">
        <w:t xml:space="preserve"> exceeding </w:t>
      </w:r>
      <w:r w:rsidRPr="00E14EE6">
        <w:t>DOP 80 million</w:t>
      </w:r>
      <w:r w:rsidR="002074C9" w:rsidRPr="00E14EE6">
        <w:t xml:space="preserve"> and </w:t>
      </w:r>
      <w:r w:rsidRPr="00E14EE6">
        <w:t>USD 600 million</w:t>
      </w:r>
      <w:r w:rsidR="005147A6" w:rsidRPr="00E14EE6">
        <w:t xml:space="preserve"> into financial intermediaries, and to increase funds released from the reserve requirement to </w:t>
      </w:r>
      <w:r w:rsidRPr="00E14EE6">
        <w:t>DOP 30</w:t>
      </w:r>
      <w:r w:rsidR="005147A6" w:rsidRPr="00E14EE6">
        <w:t>,133.4</w:t>
      </w:r>
      <w:r w:rsidRPr="00E14EE6">
        <w:t> million</w:t>
      </w:r>
      <w:r w:rsidR="005147A6" w:rsidRPr="00E14EE6">
        <w:t xml:space="preserve"> to facilitate lending to households and productive sectors</w:t>
      </w:r>
      <w:r w:rsidRPr="00E14EE6">
        <w:t>. F</w:t>
      </w:r>
      <w:r w:rsidR="005147A6" w:rsidRPr="00E14EE6">
        <w:t xml:space="preserve">urther measures included granting extensions to companies and individuals for the payment of </w:t>
      </w:r>
      <w:r w:rsidR="005D1C13">
        <w:t xml:space="preserve">the </w:t>
      </w:r>
      <w:proofErr w:type="spellStart"/>
      <w:r w:rsidR="005147A6" w:rsidRPr="00E14EE6">
        <w:t>ISR</w:t>
      </w:r>
      <w:proofErr w:type="spellEnd"/>
      <w:r w:rsidR="005147A6" w:rsidRPr="00E14EE6">
        <w:t xml:space="preserve"> and a 10</w:t>
      </w:r>
      <w:r w:rsidRPr="00E14EE6">
        <w:noBreakHyphen/>
      </w:r>
      <w:r w:rsidR="005147A6" w:rsidRPr="00E14EE6">
        <w:t>day grace period for the declaration and payment of</w:t>
      </w:r>
      <w:r w:rsidR="005D1C13">
        <w:t xml:space="preserve"> the</w:t>
      </w:r>
      <w:r w:rsidR="005147A6" w:rsidRPr="00E14EE6">
        <w:t xml:space="preserve"> </w:t>
      </w:r>
      <w:r w:rsidR="005D1C13">
        <w:t>tax on the transfer of industrialized goods and services (</w:t>
      </w:r>
      <w:proofErr w:type="spellStart"/>
      <w:r w:rsidR="005147A6" w:rsidRPr="00E14EE6">
        <w:t>ITBIS</w:t>
      </w:r>
      <w:proofErr w:type="spellEnd"/>
      <w:r w:rsidR="005D1C13">
        <w:t>)</w:t>
      </w:r>
      <w:r w:rsidR="005147A6" w:rsidRPr="00E14EE6">
        <w:t>, and the possibility of paying in four equal instalments without incurring penalties</w:t>
      </w:r>
      <w:r w:rsidRPr="00E14EE6">
        <w:t>; h</w:t>
      </w:r>
      <w:r w:rsidR="005147A6" w:rsidRPr="00E14EE6">
        <w:t>alving instalment amounts of all existing payment agreements, thereby doubling their validity period</w:t>
      </w:r>
      <w:r w:rsidRPr="00E14EE6">
        <w:t>; a</w:t>
      </w:r>
      <w:r w:rsidR="005147A6" w:rsidRPr="00E14EE6">
        <w:t>nd enabling taxpayers in arrears to regularize their payments without incurring penalties.</w:t>
      </w:r>
    </w:p>
    <w:p w14:paraId="2622A92B" w14:textId="4C3AFB3E" w:rsidR="00CA7676" w:rsidRPr="00E14EE6" w:rsidRDefault="00E14EE6" w:rsidP="00763857">
      <w:pPr>
        <w:pStyle w:val="BodyText"/>
      </w:pPr>
      <w:r w:rsidRPr="00E14EE6">
        <w:t>U</w:t>
      </w:r>
      <w:r w:rsidR="005147A6" w:rsidRPr="00E14EE6">
        <w:t xml:space="preserve">nder Decree </w:t>
      </w:r>
      <w:r w:rsidRPr="00E14EE6">
        <w:t>No. </w:t>
      </w:r>
      <w:r w:rsidR="005147A6" w:rsidRPr="00E14EE6">
        <w:t>358</w:t>
      </w:r>
      <w:r w:rsidRPr="00E14EE6">
        <w:noBreakHyphen/>
      </w:r>
      <w:r w:rsidR="005147A6" w:rsidRPr="00E14EE6">
        <w:t>20 of 1</w:t>
      </w:r>
      <w:r w:rsidRPr="00E14EE6">
        <w:t>9 August 2</w:t>
      </w:r>
      <w:r w:rsidR="005147A6" w:rsidRPr="00E14EE6">
        <w:t xml:space="preserve">020, the new Government extended the validity of the programmes </w:t>
      </w:r>
      <w:proofErr w:type="spellStart"/>
      <w:r w:rsidR="005147A6" w:rsidRPr="00E14EE6">
        <w:t>FASE</w:t>
      </w:r>
      <w:proofErr w:type="spellEnd"/>
      <w:r w:rsidR="005147A6" w:rsidRPr="00E14EE6">
        <w:t xml:space="preserve"> I, </w:t>
      </w:r>
      <w:proofErr w:type="spellStart"/>
      <w:r w:rsidR="005147A6" w:rsidRPr="00E14EE6">
        <w:t>FASE</w:t>
      </w:r>
      <w:proofErr w:type="spellEnd"/>
      <w:r w:rsidR="005147A6" w:rsidRPr="00E14EE6">
        <w:t xml:space="preserve"> II, </w:t>
      </w:r>
      <w:proofErr w:type="spellStart"/>
      <w:r w:rsidR="005147A6" w:rsidRPr="00E14EE6">
        <w:rPr>
          <w:i/>
          <w:iCs/>
        </w:rPr>
        <w:t>Quédate</w:t>
      </w:r>
      <w:proofErr w:type="spellEnd"/>
      <w:r w:rsidR="005147A6" w:rsidRPr="00E14EE6">
        <w:rPr>
          <w:i/>
          <w:iCs/>
        </w:rPr>
        <w:t xml:space="preserve"> </w:t>
      </w:r>
      <w:proofErr w:type="spellStart"/>
      <w:r w:rsidR="005147A6" w:rsidRPr="00E14EE6">
        <w:rPr>
          <w:i/>
          <w:iCs/>
        </w:rPr>
        <w:t>en</w:t>
      </w:r>
      <w:proofErr w:type="spellEnd"/>
      <w:r w:rsidR="005147A6" w:rsidRPr="00E14EE6">
        <w:rPr>
          <w:i/>
          <w:iCs/>
        </w:rPr>
        <w:t xml:space="preserve"> Casa</w:t>
      </w:r>
      <w:r w:rsidR="005147A6" w:rsidRPr="00E14EE6">
        <w:t xml:space="preserve"> and </w:t>
      </w:r>
      <w:r w:rsidR="005147A6" w:rsidRPr="00E14EE6">
        <w:rPr>
          <w:i/>
          <w:iCs/>
        </w:rPr>
        <w:t xml:space="preserve">Pa' </w:t>
      </w:r>
      <w:proofErr w:type="spellStart"/>
      <w:r w:rsidR="005147A6" w:rsidRPr="00E14EE6">
        <w:rPr>
          <w:i/>
          <w:iCs/>
        </w:rPr>
        <w:t>Ti</w:t>
      </w:r>
      <w:proofErr w:type="spellEnd"/>
      <w:r w:rsidR="005147A6" w:rsidRPr="00E14EE6">
        <w:t xml:space="preserve"> until 3</w:t>
      </w:r>
      <w:r w:rsidRPr="00E14EE6">
        <w:t>1 December 2</w:t>
      </w:r>
      <w:r w:rsidR="005147A6" w:rsidRPr="00E14EE6">
        <w:t>020</w:t>
      </w:r>
      <w:r w:rsidRPr="00E14EE6">
        <w:t>. T</w:t>
      </w:r>
      <w:r w:rsidR="005147A6" w:rsidRPr="00E14EE6">
        <w:t xml:space="preserve">he </w:t>
      </w:r>
      <w:proofErr w:type="spellStart"/>
      <w:r w:rsidR="005147A6" w:rsidRPr="00E14EE6">
        <w:t>FASE</w:t>
      </w:r>
      <w:proofErr w:type="spellEnd"/>
      <w:r w:rsidR="00FC4069">
        <w:t> </w:t>
      </w:r>
      <w:r w:rsidR="005147A6" w:rsidRPr="00E14EE6">
        <w:t xml:space="preserve">I programme was subsequently extended again until </w:t>
      </w:r>
      <w:r w:rsidRPr="00E14EE6">
        <w:t>April 2</w:t>
      </w:r>
      <w:r w:rsidR="005147A6" w:rsidRPr="00E14EE6">
        <w:t xml:space="preserve">021 and the </w:t>
      </w:r>
      <w:r w:rsidR="005147A6" w:rsidRPr="00E14EE6">
        <w:rPr>
          <w:i/>
          <w:iCs/>
        </w:rPr>
        <w:t xml:space="preserve">Navidad para </w:t>
      </w:r>
      <w:proofErr w:type="spellStart"/>
      <w:r w:rsidR="005147A6" w:rsidRPr="00E14EE6">
        <w:rPr>
          <w:i/>
          <w:iCs/>
        </w:rPr>
        <w:t>los</w:t>
      </w:r>
      <w:proofErr w:type="spellEnd"/>
      <w:r w:rsidR="005147A6" w:rsidRPr="00E14EE6">
        <w:rPr>
          <w:i/>
          <w:iCs/>
        </w:rPr>
        <w:t xml:space="preserve"> </w:t>
      </w:r>
      <w:proofErr w:type="spellStart"/>
      <w:r w:rsidR="005147A6" w:rsidRPr="00E14EE6">
        <w:rPr>
          <w:i/>
          <w:iCs/>
        </w:rPr>
        <w:t>trabajadores</w:t>
      </w:r>
      <w:proofErr w:type="spellEnd"/>
      <w:r w:rsidR="005147A6" w:rsidRPr="00E14EE6">
        <w:t xml:space="preserve"> ("Christmas for Workers") </w:t>
      </w:r>
      <w:r w:rsidR="002074C9" w:rsidRPr="00E14EE6">
        <w:t>f</w:t>
      </w:r>
      <w:r w:rsidR="005147A6" w:rsidRPr="00E14EE6">
        <w:t>und was set up, providing all laid</w:t>
      </w:r>
      <w:r w:rsidRPr="00E14EE6">
        <w:noBreakHyphen/>
      </w:r>
      <w:r w:rsidR="005147A6" w:rsidRPr="00E14EE6">
        <w:t xml:space="preserve">off employees benefiting from the </w:t>
      </w:r>
      <w:proofErr w:type="spellStart"/>
      <w:r w:rsidR="005147A6" w:rsidRPr="00E14EE6">
        <w:t>FASE</w:t>
      </w:r>
      <w:proofErr w:type="spellEnd"/>
      <w:r w:rsidR="00FC4069">
        <w:t> </w:t>
      </w:r>
      <w:r w:rsidR="005147A6" w:rsidRPr="00E14EE6">
        <w:t xml:space="preserve">I programme with a transfer equivalent to one twelfth of the amount received under the </w:t>
      </w:r>
      <w:proofErr w:type="spellStart"/>
      <w:r w:rsidR="005147A6" w:rsidRPr="00E14EE6">
        <w:t>FASE</w:t>
      </w:r>
      <w:proofErr w:type="spellEnd"/>
      <w:r w:rsidR="00FC4069">
        <w:t> </w:t>
      </w:r>
      <w:r w:rsidR="005147A6" w:rsidRPr="00E14EE6">
        <w:t xml:space="preserve">I welfare programme, </w:t>
      </w:r>
      <w:r w:rsidR="002074C9" w:rsidRPr="00E14EE6">
        <w:t xml:space="preserve">with total expenditure amounting </w:t>
      </w:r>
      <w:r w:rsidR="005147A6" w:rsidRPr="00E14EE6">
        <w:t xml:space="preserve">to </w:t>
      </w:r>
      <w:r w:rsidRPr="00E14EE6">
        <w:t>DOP 2</w:t>
      </w:r>
      <w:r w:rsidR="005147A6" w:rsidRPr="00E14EE6">
        <w:t>.3</w:t>
      </w:r>
      <w:r w:rsidRPr="00E14EE6">
        <w:t> billion. I</w:t>
      </w:r>
      <w:r w:rsidR="005147A6" w:rsidRPr="00E14EE6">
        <w:t xml:space="preserve">n June and </w:t>
      </w:r>
      <w:r w:rsidRPr="00E14EE6">
        <w:t>September 2</w:t>
      </w:r>
      <w:r w:rsidR="005147A6" w:rsidRPr="00E14EE6">
        <w:t>020, amended budgets were approved</w:t>
      </w:r>
      <w:r w:rsidRPr="00E14EE6">
        <w:t>. I</w:t>
      </w:r>
      <w:r w:rsidR="005147A6" w:rsidRPr="00E14EE6">
        <w:t xml:space="preserve">n </w:t>
      </w:r>
      <w:r w:rsidRPr="00E14EE6">
        <w:t>January 2</w:t>
      </w:r>
      <w:r w:rsidR="005147A6" w:rsidRPr="00E14EE6">
        <w:t xml:space="preserve">021, the President announced that the </w:t>
      </w:r>
      <w:proofErr w:type="spellStart"/>
      <w:r w:rsidR="005147A6" w:rsidRPr="00E14EE6">
        <w:rPr>
          <w:i/>
          <w:iCs/>
        </w:rPr>
        <w:t>Quédate</w:t>
      </w:r>
      <w:proofErr w:type="spellEnd"/>
      <w:r w:rsidR="005147A6" w:rsidRPr="00E14EE6">
        <w:rPr>
          <w:i/>
          <w:iCs/>
        </w:rPr>
        <w:t xml:space="preserve"> </w:t>
      </w:r>
      <w:proofErr w:type="spellStart"/>
      <w:r w:rsidR="005147A6" w:rsidRPr="00E14EE6">
        <w:rPr>
          <w:i/>
          <w:iCs/>
        </w:rPr>
        <w:t>en</w:t>
      </w:r>
      <w:proofErr w:type="spellEnd"/>
      <w:r w:rsidR="005147A6" w:rsidRPr="00E14EE6">
        <w:rPr>
          <w:i/>
          <w:iCs/>
        </w:rPr>
        <w:t xml:space="preserve"> Casa</w:t>
      </w:r>
      <w:r w:rsidR="005147A6" w:rsidRPr="00E14EE6">
        <w:t xml:space="preserve"> programme would be extended until </w:t>
      </w:r>
      <w:r w:rsidRPr="00E14EE6">
        <w:t>April 2</w:t>
      </w:r>
      <w:r w:rsidR="005147A6" w:rsidRPr="00E14EE6">
        <w:t xml:space="preserve">021 and possibly replaced by a new programme, </w:t>
      </w:r>
      <w:proofErr w:type="spellStart"/>
      <w:r w:rsidR="005147A6" w:rsidRPr="00E14EE6">
        <w:rPr>
          <w:i/>
          <w:iCs/>
        </w:rPr>
        <w:t>Supérate</w:t>
      </w:r>
      <w:proofErr w:type="spellEnd"/>
      <w:r w:rsidR="005147A6" w:rsidRPr="00E14EE6">
        <w:t xml:space="preserve"> ("Get ahead")</w:t>
      </w:r>
      <w:r w:rsidRPr="00E14EE6">
        <w:t>. W</w:t>
      </w:r>
      <w:r w:rsidR="005147A6" w:rsidRPr="00E14EE6">
        <w:t xml:space="preserve">hile </w:t>
      </w:r>
      <w:proofErr w:type="spellStart"/>
      <w:r w:rsidR="005147A6" w:rsidRPr="00E14EE6">
        <w:rPr>
          <w:i/>
          <w:iCs/>
        </w:rPr>
        <w:t>Quédate</w:t>
      </w:r>
      <w:proofErr w:type="spellEnd"/>
      <w:r w:rsidR="005147A6" w:rsidRPr="00E14EE6">
        <w:rPr>
          <w:i/>
          <w:iCs/>
        </w:rPr>
        <w:t xml:space="preserve"> </w:t>
      </w:r>
      <w:proofErr w:type="spellStart"/>
      <w:r w:rsidR="005147A6" w:rsidRPr="00E14EE6">
        <w:rPr>
          <w:i/>
          <w:iCs/>
        </w:rPr>
        <w:t>en</w:t>
      </w:r>
      <w:proofErr w:type="spellEnd"/>
      <w:r w:rsidR="005147A6" w:rsidRPr="00E14EE6">
        <w:rPr>
          <w:i/>
          <w:iCs/>
        </w:rPr>
        <w:t xml:space="preserve"> Casa</w:t>
      </w:r>
      <w:r w:rsidR="005147A6" w:rsidRPr="00E14EE6">
        <w:t xml:space="preserve"> and </w:t>
      </w:r>
      <w:proofErr w:type="spellStart"/>
      <w:r w:rsidR="005147A6" w:rsidRPr="00E14EE6">
        <w:t>FASE</w:t>
      </w:r>
      <w:proofErr w:type="spellEnd"/>
      <w:r w:rsidR="005147A6" w:rsidRPr="00E14EE6">
        <w:t xml:space="preserve"> I ended in late April, the Government announced a further </w:t>
      </w:r>
      <w:proofErr w:type="spellStart"/>
      <w:r w:rsidR="005147A6" w:rsidRPr="00E14EE6">
        <w:t>FASE</w:t>
      </w:r>
      <w:proofErr w:type="spellEnd"/>
      <w:r w:rsidR="005147A6" w:rsidRPr="00E14EE6">
        <w:t xml:space="preserve"> programme up until </w:t>
      </w:r>
      <w:r w:rsidRPr="00E14EE6">
        <w:t>July 2</w:t>
      </w:r>
      <w:r w:rsidR="005147A6" w:rsidRPr="00E14EE6">
        <w:t>021 for workers in the tourism sector</w:t>
      </w:r>
      <w:r w:rsidRPr="00E14EE6">
        <w:t>. T</w:t>
      </w:r>
      <w:r w:rsidR="005147A6" w:rsidRPr="00E14EE6">
        <w:t xml:space="preserve">able 1.3 presents the data on </w:t>
      </w:r>
      <w:r w:rsidR="002C0257" w:rsidRPr="00E14EE6">
        <w:t>g</w:t>
      </w:r>
      <w:r w:rsidR="005147A6" w:rsidRPr="00E14EE6">
        <w:t>overnment expenditure on social protection programmes in response to the COVID</w:t>
      </w:r>
      <w:r w:rsidRPr="00E14EE6">
        <w:noBreakHyphen/>
      </w:r>
      <w:r w:rsidR="005147A6" w:rsidRPr="00E14EE6">
        <w:t xml:space="preserve">19 pandemic, as of </w:t>
      </w:r>
      <w:r w:rsidRPr="00E14EE6">
        <w:t>February 2</w:t>
      </w:r>
      <w:r w:rsidR="005147A6" w:rsidRPr="00E14EE6">
        <w:t>022.</w:t>
      </w:r>
    </w:p>
    <w:p w14:paraId="1AC09C4F" w14:textId="716E9D99" w:rsidR="00CA7676" w:rsidRPr="00E14EE6" w:rsidRDefault="00CE2C80" w:rsidP="00CE2C80">
      <w:pPr>
        <w:pStyle w:val="Caption"/>
      </w:pPr>
      <w:bookmarkStart w:id="43" w:name="_Toc117238025"/>
      <w:bookmarkStart w:id="44" w:name="_Hlk113456324"/>
      <w:r>
        <w:t xml:space="preserve">Table </w:t>
      </w:r>
      <w:r w:rsidR="00BD37F2">
        <w:fldChar w:fldCharType="begin"/>
      </w:r>
      <w:r w:rsidR="00BD37F2">
        <w:instrText xml:space="preserve"> STYLEREF 1 \s </w:instrText>
      </w:r>
      <w:r w:rsidR="00BD37F2">
        <w:fldChar w:fldCharType="separate"/>
      </w:r>
      <w:r w:rsidR="00323DC1">
        <w:rPr>
          <w:noProof/>
        </w:rPr>
        <w:t>1</w:t>
      </w:r>
      <w:r w:rsidR="00BD37F2">
        <w:rPr>
          <w:noProof/>
        </w:rPr>
        <w:fldChar w:fldCharType="end"/>
      </w:r>
      <w:r w:rsidR="00323DC1">
        <w:t>.</w:t>
      </w:r>
      <w:r w:rsidR="00BD37F2">
        <w:fldChar w:fldCharType="begin"/>
      </w:r>
      <w:r w:rsidR="00BD37F2">
        <w:instrText xml:space="preserve"> SEQ Table \* ARABIC \s 1 </w:instrText>
      </w:r>
      <w:r w:rsidR="00BD37F2">
        <w:fldChar w:fldCharType="separate"/>
      </w:r>
      <w:r w:rsidR="00323DC1">
        <w:rPr>
          <w:noProof/>
        </w:rPr>
        <w:t>3</w:t>
      </w:r>
      <w:r w:rsidR="00BD37F2">
        <w:rPr>
          <w:noProof/>
        </w:rPr>
        <w:fldChar w:fldCharType="end"/>
      </w:r>
      <w:r>
        <w:t xml:space="preserve"> </w:t>
      </w:r>
      <w:r w:rsidR="00CA7676" w:rsidRPr="00E14EE6">
        <w:t>Central Government expenditure on social protection programmes in response to COVID</w:t>
      </w:r>
      <w:r w:rsidR="00E14EE6" w:rsidRPr="00E14EE6">
        <w:noBreakHyphen/>
      </w:r>
      <w:r w:rsidR="00CA7676" w:rsidRPr="00E14EE6">
        <w:t xml:space="preserve">19, </w:t>
      </w:r>
      <w:r w:rsidR="00E14EE6" w:rsidRPr="00E14EE6">
        <w:t>February 2</w:t>
      </w:r>
      <w:r w:rsidR="00CA7676" w:rsidRPr="00E14EE6">
        <w:t>022</w:t>
      </w:r>
      <w:bookmarkEnd w:id="43"/>
    </w:p>
    <w:p w14:paraId="6A393353" w14:textId="0B3CECCB" w:rsidR="00CA7676" w:rsidRPr="00E14EE6" w:rsidRDefault="00CA7676" w:rsidP="00E14EE6">
      <w:pPr>
        <w:pStyle w:val="NoteText"/>
        <w:rPr>
          <w:b/>
          <w:bCs/>
        </w:rPr>
      </w:pPr>
      <w:r w:rsidRPr="00E14EE6">
        <w:t>(Expenditure in DOP</w:t>
      </w:r>
      <w:r w:rsidR="00E14EE6" w:rsidRPr="00E14EE6">
        <w:t> million</w:t>
      </w:r>
      <w:r w:rsidRPr="00E14EE6">
        <w:t>, number of beneficiaries and start/end date)</w:t>
      </w:r>
    </w:p>
    <w:tbl>
      <w:tblPr>
        <w:tblStyle w:val="WTOTable1"/>
        <w:tblW w:w="5000" w:type="pct"/>
        <w:tblLook w:val="04A0" w:firstRow="1" w:lastRow="0" w:firstColumn="1" w:lastColumn="0" w:noHBand="0" w:noVBand="1"/>
      </w:tblPr>
      <w:tblGrid>
        <w:gridCol w:w="2911"/>
        <w:gridCol w:w="1309"/>
        <w:gridCol w:w="1729"/>
        <w:gridCol w:w="1702"/>
        <w:gridCol w:w="1365"/>
      </w:tblGrid>
      <w:tr w:rsidR="00CA7676" w:rsidRPr="00E14EE6" w14:paraId="43BA5CC5" w14:textId="77777777" w:rsidTr="00FD6B66">
        <w:trPr>
          <w:cnfStyle w:val="100000000000" w:firstRow="1" w:lastRow="0" w:firstColumn="0" w:lastColumn="0" w:oddVBand="0" w:evenVBand="0" w:oddHBand="0" w:evenHBand="0" w:firstRowFirstColumn="0" w:firstRowLastColumn="0" w:lastRowFirstColumn="0" w:lastRowLastColumn="0"/>
          <w:trHeight w:val="20"/>
          <w:tblHeader/>
        </w:trPr>
        <w:tc>
          <w:tcPr>
            <w:tcW w:w="1614" w:type="pct"/>
            <w:hideMark/>
          </w:tcPr>
          <w:p w14:paraId="2F72F2EF" w14:textId="77777777" w:rsidR="00CA7676" w:rsidRPr="00E14EE6" w:rsidRDefault="00CA7676" w:rsidP="00E14EE6">
            <w:pPr>
              <w:jc w:val="center"/>
              <w:rPr>
                <w:rFonts w:eastAsia="Times New Roman" w:cs="Calibri"/>
                <w:b w:val="0"/>
                <w:bCs/>
                <w:color w:val="FFFFFF" w:themeColor="background1"/>
                <w:sz w:val="15"/>
                <w:szCs w:val="15"/>
              </w:rPr>
            </w:pPr>
            <w:r w:rsidRPr="00E14EE6">
              <w:rPr>
                <w:color w:val="FFFFFF" w:themeColor="background1"/>
                <w:sz w:val="15"/>
              </w:rPr>
              <w:t>Initiative</w:t>
            </w:r>
          </w:p>
        </w:tc>
        <w:tc>
          <w:tcPr>
            <w:tcW w:w="726" w:type="pct"/>
            <w:hideMark/>
          </w:tcPr>
          <w:p w14:paraId="67DE975C" w14:textId="77777777" w:rsidR="00CA7676" w:rsidRPr="00E14EE6" w:rsidRDefault="00CA7676" w:rsidP="00E14EE6">
            <w:pPr>
              <w:jc w:val="center"/>
              <w:rPr>
                <w:rFonts w:eastAsia="Times New Roman" w:cs="Calibri"/>
                <w:b w:val="0"/>
                <w:bCs/>
                <w:color w:val="FFFFFF" w:themeColor="background1"/>
                <w:sz w:val="15"/>
                <w:szCs w:val="15"/>
              </w:rPr>
            </w:pPr>
            <w:r w:rsidRPr="00E14EE6">
              <w:rPr>
                <w:color w:val="FFFFFF" w:themeColor="background1"/>
                <w:sz w:val="15"/>
              </w:rPr>
              <w:t>Expenditure</w:t>
            </w:r>
          </w:p>
        </w:tc>
        <w:tc>
          <w:tcPr>
            <w:tcW w:w="959" w:type="pct"/>
            <w:hideMark/>
          </w:tcPr>
          <w:p w14:paraId="61618AC6" w14:textId="77777777" w:rsidR="00CA7676" w:rsidRPr="00E14EE6" w:rsidRDefault="00CA7676" w:rsidP="00E14EE6">
            <w:pPr>
              <w:jc w:val="center"/>
              <w:rPr>
                <w:rFonts w:eastAsia="Times New Roman" w:cs="Calibri"/>
                <w:b w:val="0"/>
                <w:bCs/>
                <w:color w:val="FFFFFF" w:themeColor="background1"/>
                <w:sz w:val="15"/>
                <w:szCs w:val="15"/>
              </w:rPr>
            </w:pPr>
            <w:r w:rsidRPr="00E14EE6">
              <w:rPr>
                <w:color w:val="FFFFFF" w:themeColor="background1"/>
                <w:sz w:val="15"/>
              </w:rPr>
              <w:t>Beneficiaries</w:t>
            </w:r>
          </w:p>
        </w:tc>
        <w:tc>
          <w:tcPr>
            <w:tcW w:w="944" w:type="pct"/>
            <w:hideMark/>
          </w:tcPr>
          <w:p w14:paraId="7615AC69" w14:textId="77777777" w:rsidR="00CA7676" w:rsidRPr="00E14EE6" w:rsidRDefault="00CA7676" w:rsidP="00E14EE6">
            <w:pPr>
              <w:jc w:val="center"/>
              <w:rPr>
                <w:rFonts w:eastAsia="Times New Roman" w:cs="Calibri"/>
                <w:b w:val="0"/>
                <w:bCs/>
                <w:color w:val="FFFFFF" w:themeColor="background1"/>
                <w:sz w:val="15"/>
                <w:szCs w:val="15"/>
              </w:rPr>
            </w:pPr>
            <w:r w:rsidRPr="00E14EE6">
              <w:rPr>
                <w:color w:val="FFFFFF" w:themeColor="background1"/>
                <w:sz w:val="15"/>
              </w:rPr>
              <w:t>Start</w:t>
            </w:r>
          </w:p>
        </w:tc>
        <w:tc>
          <w:tcPr>
            <w:tcW w:w="757" w:type="pct"/>
            <w:hideMark/>
          </w:tcPr>
          <w:p w14:paraId="38843A39" w14:textId="77777777" w:rsidR="00CA7676" w:rsidRPr="00E14EE6" w:rsidRDefault="00CA7676" w:rsidP="00E14EE6">
            <w:pPr>
              <w:jc w:val="center"/>
              <w:rPr>
                <w:rFonts w:eastAsia="Times New Roman" w:cs="Calibri"/>
                <w:b w:val="0"/>
                <w:bCs/>
                <w:color w:val="FFFFFF" w:themeColor="background1"/>
                <w:sz w:val="15"/>
                <w:szCs w:val="15"/>
              </w:rPr>
            </w:pPr>
            <w:r w:rsidRPr="00E14EE6">
              <w:rPr>
                <w:color w:val="FFFFFF" w:themeColor="background1"/>
                <w:sz w:val="15"/>
              </w:rPr>
              <w:t>End</w:t>
            </w:r>
          </w:p>
        </w:tc>
      </w:tr>
      <w:tr w:rsidR="00CA7676" w:rsidRPr="00E14EE6" w14:paraId="0C3426CA" w14:textId="77777777" w:rsidTr="00FD6B66">
        <w:trPr>
          <w:trHeight w:val="20"/>
        </w:trPr>
        <w:tc>
          <w:tcPr>
            <w:tcW w:w="1614" w:type="pct"/>
            <w:hideMark/>
          </w:tcPr>
          <w:p w14:paraId="5F85D705" w14:textId="64689CFC" w:rsidR="00CA7676" w:rsidRPr="00E14EE6" w:rsidRDefault="00CA7676" w:rsidP="00E14EE6">
            <w:pPr>
              <w:jc w:val="left"/>
              <w:rPr>
                <w:rFonts w:eastAsia="Times New Roman" w:cs="Calibri"/>
                <w:sz w:val="15"/>
                <w:szCs w:val="15"/>
              </w:rPr>
            </w:pPr>
            <w:proofErr w:type="spellStart"/>
            <w:r w:rsidRPr="00E14EE6">
              <w:rPr>
                <w:i/>
                <w:iCs/>
                <w:sz w:val="15"/>
              </w:rPr>
              <w:t>Quédate</w:t>
            </w:r>
            <w:proofErr w:type="spellEnd"/>
            <w:r w:rsidRPr="00E14EE6">
              <w:rPr>
                <w:i/>
                <w:iCs/>
                <w:sz w:val="15"/>
              </w:rPr>
              <w:t xml:space="preserve"> </w:t>
            </w:r>
            <w:proofErr w:type="spellStart"/>
            <w:r w:rsidRPr="00E14EE6">
              <w:rPr>
                <w:i/>
                <w:iCs/>
                <w:sz w:val="15"/>
              </w:rPr>
              <w:t>en</w:t>
            </w:r>
            <w:proofErr w:type="spellEnd"/>
            <w:r w:rsidRPr="00E14EE6">
              <w:rPr>
                <w:i/>
                <w:iCs/>
                <w:sz w:val="15"/>
              </w:rPr>
              <w:t xml:space="preserve"> Casa</w:t>
            </w:r>
          </w:p>
        </w:tc>
        <w:tc>
          <w:tcPr>
            <w:tcW w:w="726" w:type="pct"/>
            <w:noWrap/>
            <w:hideMark/>
          </w:tcPr>
          <w:p w14:paraId="2C96B269" w14:textId="77777777" w:rsidR="00CA7676" w:rsidRPr="00E14EE6" w:rsidRDefault="00CA7676" w:rsidP="00E14EE6">
            <w:pPr>
              <w:ind w:right="284"/>
              <w:jc w:val="right"/>
              <w:rPr>
                <w:rFonts w:eastAsia="Times New Roman" w:cs="Calibri"/>
                <w:sz w:val="15"/>
                <w:szCs w:val="15"/>
                <w:u w:val="single"/>
              </w:rPr>
            </w:pPr>
            <w:r w:rsidRPr="00E14EE6">
              <w:rPr>
                <w:sz w:val="15"/>
                <w:u w:val="single"/>
              </w:rPr>
              <w:t>86,656</w:t>
            </w:r>
          </w:p>
        </w:tc>
        <w:tc>
          <w:tcPr>
            <w:tcW w:w="959" w:type="pct"/>
            <w:noWrap/>
            <w:hideMark/>
          </w:tcPr>
          <w:p w14:paraId="2C472696" w14:textId="77777777" w:rsidR="00CA7676" w:rsidRPr="00E14EE6" w:rsidRDefault="00CA7676" w:rsidP="00E14EE6">
            <w:pPr>
              <w:ind w:right="284"/>
              <w:jc w:val="right"/>
              <w:rPr>
                <w:rFonts w:eastAsia="Times New Roman" w:cs="Calibri"/>
                <w:sz w:val="15"/>
                <w:szCs w:val="15"/>
                <w:u w:val="single"/>
              </w:rPr>
            </w:pPr>
            <w:r w:rsidRPr="00E14EE6">
              <w:rPr>
                <w:sz w:val="15"/>
                <w:u w:val="single"/>
              </w:rPr>
              <w:t>1,570,760</w:t>
            </w:r>
          </w:p>
        </w:tc>
        <w:tc>
          <w:tcPr>
            <w:tcW w:w="944" w:type="pct"/>
            <w:hideMark/>
          </w:tcPr>
          <w:p w14:paraId="40A0040F" w14:textId="278949A9" w:rsidR="00CA7676" w:rsidRPr="00E14EE6" w:rsidRDefault="00CA7676" w:rsidP="00E14EE6">
            <w:pPr>
              <w:ind w:left="454"/>
              <w:jc w:val="left"/>
              <w:rPr>
                <w:rFonts w:eastAsia="Times New Roman" w:cs="Calibri"/>
                <w:sz w:val="15"/>
                <w:szCs w:val="15"/>
              </w:rPr>
            </w:pPr>
            <w:r w:rsidRPr="00E14EE6">
              <w:rPr>
                <w:sz w:val="15"/>
              </w:rPr>
              <w:t>Mar</w:t>
            </w:r>
            <w:r w:rsidR="00E14EE6" w:rsidRPr="00E14EE6">
              <w:rPr>
                <w:sz w:val="15"/>
              </w:rPr>
              <w:noBreakHyphen/>
            </w:r>
            <w:r w:rsidRPr="00E14EE6">
              <w:rPr>
                <w:sz w:val="15"/>
              </w:rPr>
              <w:t>20</w:t>
            </w:r>
          </w:p>
        </w:tc>
        <w:tc>
          <w:tcPr>
            <w:tcW w:w="757" w:type="pct"/>
            <w:noWrap/>
            <w:hideMark/>
          </w:tcPr>
          <w:p w14:paraId="55C89CCC" w14:textId="7B972467" w:rsidR="00CA7676" w:rsidRPr="00E14EE6" w:rsidRDefault="00CA7676" w:rsidP="00E14EE6">
            <w:pPr>
              <w:ind w:left="227"/>
              <w:jc w:val="left"/>
              <w:rPr>
                <w:rFonts w:eastAsia="Times New Roman" w:cs="Calibri"/>
                <w:sz w:val="15"/>
                <w:szCs w:val="15"/>
              </w:rPr>
            </w:pPr>
            <w:r w:rsidRPr="00E14EE6">
              <w:rPr>
                <w:sz w:val="15"/>
              </w:rPr>
              <w:t>Apr</w:t>
            </w:r>
            <w:r w:rsidR="00E14EE6" w:rsidRPr="00E14EE6">
              <w:rPr>
                <w:sz w:val="15"/>
              </w:rPr>
              <w:noBreakHyphen/>
            </w:r>
            <w:r w:rsidRPr="00E14EE6">
              <w:rPr>
                <w:sz w:val="15"/>
              </w:rPr>
              <w:t>21</w:t>
            </w:r>
          </w:p>
        </w:tc>
      </w:tr>
      <w:tr w:rsidR="00CA7676" w:rsidRPr="00E14EE6" w14:paraId="77AD4D80" w14:textId="77777777" w:rsidTr="00FD6B66">
        <w:trPr>
          <w:cnfStyle w:val="000000010000" w:firstRow="0" w:lastRow="0" w:firstColumn="0" w:lastColumn="0" w:oddVBand="0" w:evenVBand="0" w:oddHBand="0" w:evenHBand="1" w:firstRowFirstColumn="0" w:firstRowLastColumn="0" w:lastRowFirstColumn="0" w:lastRowLastColumn="0"/>
          <w:trHeight w:val="20"/>
        </w:trPr>
        <w:tc>
          <w:tcPr>
            <w:tcW w:w="1614" w:type="pct"/>
            <w:hideMark/>
          </w:tcPr>
          <w:p w14:paraId="47C0BD58" w14:textId="77777777" w:rsidR="00CA7676" w:rsidRPr="00E14EE6" w:rsidRDefault="00CA7676" w:rsidP="00E14EE6">
            <w:pPr>
              <w:jc w:val="left"/>
              <w:rPr>
                <w:rFonts w:eastAsia="Times New Roman" w:cs="Calibri"/>
                <w:sz w:val="15"/>
                <w:szCs w:val="15"/>
              </w:rPr>
            </w:pPr>
            <w:proofErr w:type="spellStart"/>
            <w:r w:rsidRPr="00E14EE6">
              <w:rPr>
                <w:sz w:val="15"/>
              </w:rPr>
              <w:t>FASE</w:t>
            </w:r>
            <w:proofErr w:type="spellEnd"/>
          </w:p>
        </w:tc>
        <w:tc>
          <w:tcPr>
            <w:tcW w:w="726" w:type="pct"/>
            <w:noWrap/>
            <w:hideMark/>
          </w:tcPr>
          <w:p w14:paraId="482CA805" w14:textId="77777777" w:rsidR="00CA7676" w:rsidRPr="00E14EE6" w:rsidRDefault="00CA7676" w:rsidP="00E14EE6">
            <w:pPr>
              <w:ind w:right="284"/>
              <w:jc w:val="right"/>
              <w:rPr>
                <w:rFonts w:eastAsia="Times New Roman" w:cs="Calibri"/>
                <w:sz w:val="15"/>
                <w:szCs w:val="15"/>
                <w:u w:val="single"/>
              </w:rPr>
            </w:pPr>
            <w:r w:rsidRPr="00E14EE6">
              <w:rPr>
                <w:sz w:val="15"/>
                <w:u w:val="single"/>
              </w:rPr>
              <w:t>51,019</w:t>
            </w:r>
          </w:p>
        </w:tc>
        <w:tc>
          <w:tcPr>
            <w:tcW w:w="959" w:type="pct"/>
            <w:noWrap/>
            <w:hideMark/>
          </w:tcPr>
          <w:p w14:paraId="7436937E" w14:textId="77777777" w:rsidR="00CA7676" w:rsidRPr="00E14EE6" w:rsidRDefault="00CA7676" w:rsidP="00E14EE6">
            <w:pPr>
              <w:ind w:right="284"/>
              <w:jc w:val="right"/>
              <w:rPr>
                <w:rFonts w:eastAsia="Times New Roman" w:cs="Calibri"/>
                <w:sz w:val="15"/>
                <w:szCs w:val="15"/>
                <w:u w:val="single"/>
              </w:rPr>
            </w:pPr>
            <w:r w:rsidRPr="00E14EE6">
              <w:rPr>
                <w:sz w:val="15"/>
                <w:u w:val="single"/>
              </w:rPr>
              <w:t>942,359</w:t>
            </w:r>
          </w:p>
        </w:tc>
        <w:tc>
          <w:tcPr>
            <w:tcW w:w="944" w:type="pct"/>
            <w:hideMark/>
          </w:tcPr>
          <w:p w14:paraId="6CC53425" w14:textId="26329388" w:rsidR="00CA7676" w:rsidRPr="00E14EE6" w:rsidRDefault="00CA7676" w:rsidP="00E14EE6">
            <w:pPr>
              <w:ind w:left="454"/>
              <w:jc w:val="left"/>
              <w:rPr>
                <w:rFonts w:eastAsia="Times New Roman" w:cs="Calibri"/>
                <w:sz w:val="15"/>
                <w:szCs w:val="15"/>
              </w:rPr>
            </w:pPr>
            <w:r w:rsidRPr="00E14EE6">
              <w:rPr>
                <w:sz w:val="15"/>
              </w:rPr>
              <w:t>Mar</w:t>
            </w:r>
            <w:r w:rsidR="00E14EE6" w:rsidRPr="00E14EE6">
              <w:rPr>
                <w:sz w:val="15"/>
              </w:rPr>
              <w:noBreakHyphen/>
            </w:r>
            <w:r w:rsidRPr="00E14EE6">
              <w:rPr>
                <w:sz w:val="15"/>
              </w:rPr>
              <w:t>20</w:t>
            </w:r>
          </w:p>
        </w:tc>
        <w:tc>
          <w:tcPr>
            <w:tcW w:w="757" w:type="pct"/>
            <w:noWrap/>
            <w:hideMark/>
          </w:tcPr>
          <w:p w14:paraId="646E5485" w14:textId="62168B5F" w:rsidR="00CA7676" w:rsidRPr="00E14EE6" w:rsidRDefault="00CA7676" w:rsidP="00E14EE6">
            <w:pPr>
              <w:ind w:left="227"/>
              <w:jc w:val="left"/>
              <w:rPr>
                <w:rFonts w:eastAsia="Times New Roman" w:cs="Calibri"/>
                <w:sz w:val="15"/>
                <w:szCs w:val="15"/>
              </w:rPr>
            </w:pPr>
            <w:r w:rsidRPr="00E14EE6">
              <w:rPr>
                <w:sz w:val="15"/>
              </w:rPr>
              <w:t>Jul</w:t>
            </w:r>
            <w:r w:rsidR="00E14EE6" w:rsidRPr="00E14EE6">
              <w:rPr>
                <w:sz w:val="15"/>
              </w:rPr>
              <w:noBreakHyphen/>
            </w:r>
            <w:r w:rsidRPr="00E14EE6">
              <w:rPr>
                <w:sz w:val="15"/>
              </w:rPr>
              <w:t>21</w:t>
            </w:r>
          </w:p>
        </w:tc>
      </w:tr>
      <w:tr w:rsidR="00CA7676" w:rsidRPr="00E14EE6" w14:paraId="41E05ACE" w14:textId="77777777" w:rsidTr="00FD6B66">
        <w:trPr>
          <w:trHeight w:val="20"/>
        </w:trPr>
        <w:tc>
          <w:tcPr>
            <w:tcW w:w="1614" w:type="pct"/>
            <w:hideMark/>
          </w:tcPr>
          <w:p w14:paraId="4E8329E0" w14:textId="77777777" w:rsidR="00CA7676" w:rsidRPr="00E14EE6" w:rsidRDefault="00CA7676" w:rsidP="00E14EE6">
            <w:pPr>
              <w:ind w:firstLineChars="100" w:firstLine="150"/>
              <w:jc w:val="left"/>
              <w:rPr>
                <w:rFonts w:eastAsia="Times New Roman" w:cs="Calibri"/>
                <w:iCs/>
                <w:sz w:val="15"/>
                <w:szCs w:val="15"/>
              </w:rPr>
            </w:pPr>
            <w:proofErr w:type="spellStart"/>
            <w:r w:rsidRPr="00E14EE6">
              <w:rPr>
                <w:sz w:val="15"/>
              </w:rPr>
              <w:t>Fase</w:t>
            </w:r>
            <w:proofErr w:type="spellEnd"/>
            <w:r w:rsidRPr="00E14EE6">
              <w:rPr>
                <w:sz w:val="15"/>
              </w:rPr>
              <w:t xml:space="preserve"> I/</w:t>
            </w:r>
            <w:proofErr w:type="spellStart"/>
            <w:r w:rsidRPr="00E14EE6">
              <w:rPr>
                <w:sz w:val="15"/>
              </w:rPr>
              <w:t>Fase</w:t>
            </w:r>
            <w:proofErr w:type="spellEnd"/>
            <w:r w:rsidRPr="00E14EE6">
              <w:rPr>
                <w:sz w:val="15"/>
              </w:rPr>
              <w:t xml:space="preserve"> I extended</w:t>
            </w:r>
          </w:p>
        </w:tc>
        <w:tc>
          <w:tcPr>
            <w:tcW w:w="726" w:type="pct"/>
            <w:tcBorders>
              <w:bottom w:val="nil"/>
            </w:tcBorders>
            <w:noWrap/>
            <w:hideMark/>
          </w:tcPr>
          <w:p w14:paraId="18EA5251" w14:textId="77777777" w:rsidR="00CA7676" w:rsidRPr="00E14EE6" w:rsidRDefault="00CA7676" w:rsidP="00E14EE6">
            <w:pPr>
              <w:ind w:right="284"/>
              <w:jc w:val="right"/>
              <w:rPr>
                <w:rFonts w:eastAsia="Times New Roman" w:cs="Calibri"/>
                <w:sz w:val="15"/>
                <w:szCs w:val="15"/>
              </w:rPr>
            </w:pPr>
            <w:r w:rsidRPr="00E14EE6">
              <w:rPr>
                <w:sz w:val="15"/>
              </w:rPr>
              <w:t>50,909</w:t>
            </w:r>
          </w:p>
        </w:tc>
        <w:tc>
          <w:tcPr>
            <w:tcW w:w="959" w:type="pct"/>
            <w:hideMark/>
          </w:tcPr>
          <w:p w14:paraId="70649C07" w14:textId="77777777" w:rsidR="00CA7676" w:rsidRPr="00E14EE6" w:rsidRDefault="00CA7676" w:rsidP="00E14EE6">
            <w:pPr>
              <w:ind w:right="284"/>
              <w:jc w:val="right"/>
              <w:rPr>
                <w:rFonts w:eastAsia="Times New Roman" w:cs="Calibri"/>
                <w:sz w:val="15"/>
                <w:szCs w:val="15"/>
              </w:rPr>
            </w:pPr>
            <w:r w:rsidRPr="00E14EE6">
              <w:rPr>
                <w:sz w:val="15"/>
              </w:rPr>
              <w:t>407,746</w:t>
            </w:r>
          </w:p>
        </w:tc>
        <w:tc>
          <w:tcPr>
            <w:tcW w:w="944" w:type="pct"/>
            <w:hideMark/>
          </w:tcPr>
          <w:p w14:paraId="5EC2B7FF" w14:textId="5B8F356E" w:rsidR="00CA7676" w:rsidRPr="00E14EE6" w:rsidRDefault="00CA7676" w:rsidP="00E14EE6">
            <w:pPr>
              <w:ind w:left="454"/>
              <w:jc w:val="left"/>
              <w:rPr>
                <w:rFonts w:eastAsia="Times New Roman" w:cs="Calibri"/>
                <w:sz w:val="15"/>
                <w:szCs w:val="15"/>
              </w:rPr>
            </w:pPr>
            <w:r w:rsidRPr="00E14EE6">
              <w:rPr>
                <w:sz w:val="15"/>
              </w:rPr>
              <w:t>Apr</w:t>
            </w:r>
            <w:r w:rsidR="00E14EE6" w:rsidRPr="00E14EE6">
              <w:rPr>
                <w:sz w:val="15"/>
              </w:rPr>
              <w:noBreakHyphen/>
            </w:r>
            <w:r w:rsidRPr="00E14EE6">
              <w:rPr>
                <w:sz w:val="15"/>
              </w:rPr>
              <w:t>20</w:t>
            </w:r>
          </w:p>
        </w:tc>
        <w:tc>
          <w:tcPr>
            <w:tcW w:w="757" w:type="pct"/>
            <w:noWrap/>
            <w:hideMark/>
          </w:tcPr>
          <w:p w14:paraId="6F198A6D" w14:textId="7739D132" w:rsidR="00CA7676" w:rsidRPr="00E14EE6" w:rsidRDefault="00CA7676" w:rsidP="00E14EE6">
            <w:pPr>
              <w:ind w:left="227"/>
              <w:jc w:val="left"/>
              <w:rPr>
                <w:rFonts w:eastAsia="Times New Roman" w:cs="Calibri"/>
                <w:sz w:val="15"/>
                <w:szCs w:val="15"/>
              </w:rPr>
            </w:pPr>
            <w:r w:rsidRPr="00E14EE6">
              <w:rPr>
                <w:sz w:val="15"/>
              </w:rPr>
              <w:t>Apr</w:t>
            </w:r>
            <w:r w:rsidR="00E14EE6" w:rsidRPr="00E14EE6">
              <w:rPr>
                <w:sz w:val="15"/>
              </w:rPr>
              <w:noBreakHyphen/>
            </w:r>
            <w:r w:rsidRPr="00E14EE6">
              <w:rPr>
                <w:sz w:val="15"/>
              </w:rPr>
              <w:t>21</w:t>
            </w:r>
          </w:p>
        </w:tc>
      </w:tr>
      <w:tr w:rsidR="00CA7676" w:rsidRPr="00E14EE6" w14:paraId="737E3961" w14:textId="77777777" w:rsidTr="00FD6B66">
        <w:trPr>
          <w:cnfStyle w:val="000000010000" w:firstRow="0" w:lastRow="0" w:firstColumn="0" w:lastColumn="0" w:oddVBand="0" w:evenVBand="0" w:oddHBand="0" w:evenHBand="1" w:firstRowFirstColumn="0" w:firstRowLastColumn="0" w:lastRowFirstColumn="0" w:lastRowLastColumn="0"/>
          <w:trHeight w:val="20"/>
        </w:trPr>
        <w:tc>
          <w:tcPr>
            <w:tcW w:w="1614" w:type="pct"/>
            <w:hideMark/>
          </w:tcPr>
          <w:p w14:paraId="57085731" w14:textId="77777777" w:rsidR="00CA7676" w:rsidRPr="00E14EE6" w:rsidRDefault="00CA7676" w:rsidP="00E14EE6">
            <w:pPr>
              <w:ind w:firstLineChars="100" w:firstLine="150"/>
              <w:jc w:val="left"/>
              <w:rPr>
                <w:rFonts w:eastAsia="Times New Roman" w:cs="Calibri"/>
                <w:iCs/>
                <w:sz w:val="15"/>
                <w:szCs w:val="15"/>
              </w:rPr>
            </w:pPr>
            <w:proofErr w:type="spellStart"/>
            <w:r w:rsidRPr="00E14EE6">
              <w:rPr>
                <w:sz w:val="15"/>
              </w:rPr>
              <w:t>Fase</w:t>
            </w:r>
            <w:proofErr w:type="spellEnd"/>
            <w:r w:rsidRPr="00E14EE6">
              <w:rPr>
                <w:sz w:val="15"/>
              </w:rPr>
              <w:t xml:space="preserve"> II</w:t>
            </w:r>
          </w:p>
        </w:tc>
        <w:tc>
          <w:tcPr>
            <w:tcW w:w="726" w:type="pct"/>
            <w:tcBorders>
              <w:top w:val="nil"/>
              <w:bottom w:val="nil"/>
            </w:tcBorders>
            <w:hideMark/>
          </w:tcPr>
          <w:p w14:paraId="7605E224" w14:textId="341E677D" w:rsidR="00CA7676" w:rsidRPr="00E14EE6" w:rsidRDefault="00E14EE6" w:rsidP="00E14EE6">
            <w:pPr>
              <w:ind w:right="284"/>
              <w:jc w:val="right"/>
              <w:rPr>
                <w:rFonts w:eastAsia="Times New Roman" w:cs="Calibri"/>
                <w:sz w:val="15"/>
                <w:szCs w:val="15"/>
              </w:rPr>
            </w:pPr>
            <w:r w:rsidRPr="00E14EE6">
              <w:rPr>
                <w:sz w:val="15"/>
              </w:rPr>
              <w:noBreakHyphen/>
            </w:r>
            <w:r w:rsidR="00CA7676" w:rsidRPr="00E14EE6">
              <w:rPr>
                <w:sz w:val="15"/>
                <w:vertAlign w:val="superscript"/>
              </w:rPr>
              <w:t>a</w:t>
            </w:r>
          </w:p>
        </w:tc>
        <w:tc>
          <w:tcPr>
            <w:tcW w:w="959" w:type="pct"/>
            <w:noWrap/>
            <w:hideMark/>
          </w:tcPr>
          <w:p w14:paraId="5AC17C22" w14:textId="77777777" w:rsidR="00CA7676" w:rsidRPr="00E14EE6" w:rsidRDefault="00CA7676" w:rsidP="00E14EE6">
            <w:pPr>
              <w:ind w:right="284"/>
              <w:jc w:val="right"/>
              <w:rPr>
                <w:rFonts w:eastAsia="Times New Roman" w:cs="Calibri"/>
                <w:sz w:val="15"/>
                <w:szCs w:val="15"/>
              </w:rPr>
            </w:pPr>
            <w:r w:rsidRPr="00E14EE6">
              <w:rPr>
                <w:sz w:val="15"/>
              </w:rPr>
              <w:t>534,613</w:t>
            </w:r>
          </w:p>
        </w:tc>
        <w:tc>
          <w:tcPr>
            <w:tcW w:w="944" w:type="pct"/>
            <w:noWrap/>
            <w:hideMark/>
          </w:tcPr>
          <w:p w14:paraId="4BC40456" w14:textId="5839499D" w:rsidR="00CA7676" w:rsidRPr="00E14EE6" w:rsidRDefault="00CA7676" w:rsidP="00E14EE6">
            <w:pPr>
              <w:ind w:left="454"/>
              <w:jc w:val="left"/>
              <w:rPr>
                <w:rFonts w:eastAsia="Times New Roman" w:cs="Calibri"/>
                <w:sz w:val="15"/>
                <w:szCs w:val="15"/>
              </w:rPr>
            </w:pPr>
            <w:r w:rsidRPr="00E14EE6">
              <w:rPr>
                <w:sz w:val="15"/>
              </w:rPr>
              <w:t>May</w:t>
            </w:r>
            <w:r w:rsidR="00E14EE6" w:rsidRPr="00E14EE6">
              <w:rPr>
                <w:sz w:val="15"/>
              </w:rPr>
              <w:noBreakHyphen/>
            </w:r>
            <w:r w:rsidRPr="00E14EE6">
              <w:rPr>
                <w:sz w:val="15"/>
              </w:rPr>
              <w:t>20</w:t>
            </w:r>
          </w:p>
        </w:tc>
        <w:tc>
          <w:tcPr>
            <w:tcW w:w="757" w:type="pct"/>
            <w:noWrap/>
            <w:hideMark/>
          </w:tcPr>
          <w:p w14:paraId="39E724DE" w14:textId="6841C8FB" w:rsidR="00CA7676" w:rsidRPr="00E14EE6" w:rsidRDefault="00CA7676" w:rsidP="00E14EE6">
            <w:pPr>
              <w:ind w:left="227"/>
              <w:jc w:val="left"/>
              <w:rPr>
                <w:rFonts w:eastAsia="Times New Roman" w:cs="Calibri"/>
                <w:sz w:val="15"/>
                <w:szCs w:val="15"/>
              </w:rPr>
            </w:pPr>
            <w:r w:rsidRPr="00E14EE6">
              <w:rPr>
                <w:sz w:val="15"/>
              </w:rPr>
              <w:t>Dec</w:t>
            </w:r>
            <w:r w:rsidR="00E14EE6" w:rsidRPr="00E14EE6">
              <w:rPr>
                <w:sz w:val="15"/>
              </w:rPr>
              <w:noBreakHyphen/>
            </w:r>
            <w:r w:rsidRPr="00E14EE6">
              <w:rPr>
                <w:sz w:val="15"/>
              </w:rPr>
              <w:t>20</w:t>
            </w:r>
          </w:p>
        </w:tc>
      </w:tr>
      <w:tr w:rsidR="00CA7676" w:rsidRPr="00E14EE6" w14:paraId="7860172E" w14:textId="77777777" w:rsidTr="00FD6B66">
        <w:trPr>
          <w:trHeight w:val="20"/>
        </w:trPr>
        <w:tc>
          <w:tcPr>
            <w:tcW w:w="1614" w:type="pct"/>
            <w:hideMark/>
          </w:tcPr>
          <w:p w14:paraId="4C6C2B2F" w14:textId="77777777" w:rsidR="00CA7676" w:rsidRPr="00E14EE6" w:rsidRDefault="00CA7676" w:rsidP="00E14EE6">
            <w:pPr>
              <w:ind w:firstLineChars="100" w:firstLine="150"/>
              <w:jc w:val="left"/>
              <w:rPr>
                <w:rFonts w:eastAsia="Times New Roman" w:cs="Calibri"/>
                <w:iCs/>
                <w:sz w:val="15"/>
                <w:szCs w:val="15"/>
              </w:rPr>
            </w:pPr>
            <w:r w:rsidRPr="00E14EE6">
              <w:rPr>
                <w:sz w:val="15"/>
              </w:rPr>
              <w:t>Tourism phase</w:t>
            </w:r>
          </w:p>
        </w:tc>
        <w:tc>
          <w:tcPr>
            <w:tcW w:w="726" w:type="pct"/>
            <w:tcBorders>
              <w:top w:val="nil"/>
            </w:tcBorders>
            <w:hideMark/>
          </w:tcPr>
          <w:p w14:paraId="6CC1881B" w14:textId="77777777" w:rsidR="00CA7676" w:rsidRPr="00E14EE6" w:rsidRDefault="00CA7676" w:rsidP="00E14EE6">
            <w:pPr>
              <w:ind w:right="284"/>
              <w:jc w:val="right"/>
              <w:rPr>
                <w:rFonts w:eastAsia="Times New Roman" w:cs="Calibri"/>
                <w:sz w:val="15"/>
                <w:szCs w:val="15"/>
              </w:rPr>
            </w:pPr>
            <w:r w:rsidRPr="00E14EE6">
              <w:rPr>
                <w:sz w:val="15"/>
              </w:rPr>
              <w:t>110</w:t>
            </w:r>
          </w:p>
        </w:tc>
        <w:tc>
          <w:tcPr>
            <w:tcW w:w="959" w:type="pct"/>
            <w:noWrap/>
            <w:hideMark/>
          </w:tcPr>
          <w:p w14:paraId="578F7270" w14:textId="77777777" w:rsidR="00CA7676" w:rsidRPr="00E14EE6" w:rsidRDefault="00CA7676" w:rsidP="00E14EE6">
            <w:pPr>
              <w:ind w:right="284"/>
              <w:jc w:val="right"/>
              <w:rPr>
                <w:rFonts w:eastAsia="Times New Roman" w:cs="Calibri"/>
                <w:sz w:val="15"/>
                <w:szCs w:val="15"/>
              </w:rPr>
            </w:pPr>
            <w:r w:rsidRPr="00E14EE6">
              <w:rPr>
                <w:sz w:val="15"/>
              </w:rPr>
              <w:t>5,854</w:t>
            </w:r>
          </w:p>
        </w:tc>
        <w:tc>
          <w:tcPr>
            <w:tcW w:w="944" w:type="pct"/>
            <w:hideMark/>
          </w:tcPr>
          <w:p w14:paraId="35260BA1" w14:textId="1F9A0C80" w:rsidR="00CA7676" w:rsidRPr="00E14EE6" w:rsidRDefault="00CA7676" w:rsidP="00E14EE6">
            <w:pPr>
              <w:ind w:left="454"/>
              <w:jc w:val="left"/>
              <w:rPr>
                <w:rFonts w:eastAsia="Times New Roman" w:cs="Calibri"/>
                <w:sz w:val="15"/>
                <w:szCs w:val="15"/>
              </w:rPr>
            </w:pPr>
            <w:r w:rsidRPr="00E14EE6">
              <w:rPr>
                <w:sz w:val="15"/>
              </w:rPr>
              <w:t>May</w:t>
            </w:r>
            <w:r w:rsidR="00E14EE6" w:rsidRPr="00E14EE6">
              <w:rPr>
                <w:sz w:val="15"/>
              </w:rPr>
              <w:noBreakHyphen/>
            </w:r>
            <w:r w:rsidRPr="00E14EE6">
              <w:rPr>
                <w:sz w:val="15"/>
              </w:rPr>
              <w:t>21</w:t>
            </w:r>
          </w:p>
        </w:tc>
        <w:tc>
          <w:tcPr>
            <w:tcW w:w="757" w:type="pct"/>
            <w:noWrap/>
            <w:hideMark/>
          </w:tcPr>
          <w:p w14:paraId="0F98EA45" w14:textId="305B4D3A" w:rsidR="00CA7676" w:rsidRPr="00E14EE6" w:rsidRDefault="00CA7676" w:rsidP="00E14EE6">
            <w:pPr>
              <w:ind w:left="227"/>
              <w:jc w:val="left"/>
              <w:rPr>
                <w:rFonts w:eastAsia="Times New Roman" w:cs="Calibri"/>
                <w:sz w:val="15"/>
                <w:szCs w:val="15"/>
              </w:rPr>
            </w:pPr>
            <w:r w:rsidRPr="00E14EE6">
              <w:rPr>
                <w:sz w:val="15"/>
              </w:rPr>
              <w:t>Jul</w:t>
            </w:r>
            <w:r w:rsidR="00E14EE6" w:rsidRPr="00E14EE6">
              <w:rPr>
                <w:sz w:val="15"/>
              </w:rPr>
              <w:noBreakHyphen/>
            </w:r>
            <w:r w:rsidRPr="00E14EE6">
              <w:rPr>
                <w:sz w:val="15"/>
              </w:rPr>
              <w:t>21</w:t>
            </w:r>
          </w:p>
        </w:tc>
      </w:tr>
      <w:tr w:rsidR="00CA7676" w:rsidRPr="00E14EE6" w14:paraId="0746AEED" w14:textId="77777777" w:rsidTr="00FD6B66">
        <w:trPr>
          <w:cnfStyle w:val="000000010000" w:firstRow="0" w:lastRow="0" w:firstColumn="0" w:lastColumn="0" w:oddVBand="0" w:evenVBand="0" w:oddHBand="0" w:evenHBand="1" w:firstRowFirstColumn="0" w:firstRowLastColumn="0" w:lastRowFirstColumn="0" w:lastRowLastColumn="0"/>
          <w:trHeight w:val="20"/>
        </w:trPr>
        <w:tc>
          <w:tcPr>
            <w:tcW w:w="1614" w:type="pct"/>
            <w:hideMark/>
          </w:tcPr>
          <w:p w14:paraId="19662FCE" w14:textId="3E75242E" w:rsidR="00CA7676" w:rsidRPr="00E14EE6" w:rsidRDefault="00CA7676" w:rsidP="00E14EE6">
            <w:pPr>
              <w:jc w:val="left"/>
              <w:rPr>
                <w:rFonts w:eastAsia="Times New Roman" w:cs="Calibri"/>
                <w:sz w:val="15"/>
                <w:szCs w:val="15"/>
              </w:rPr>
            </w:pPr>
            <w:r w:rsidRPr="00E14EE6">
              <w:rPr>
                <w:i/>
                <w:iCs/>
                <w:sz w:val="15"/>
              </w:rPr>
              <w:t xml:space="preserve">Pa' </w:t>
            </w:r>
            <w:proofErr w:type="spellStart"/>
            <w:r w:rsidRPr="00E14EE6">
              <w:rPr>
                <w:i/>
                <w:iCs/>
                <w:sz w:val="15"/>
              </w:rPr>
              <w:t>T</w:t>
            </w:r>
            <w:r w:rsidR="003801BF" w:rsidRPr="00E14EE6">
              <w:rPr>
                <w:i/>
                <w:iCs/>
                <w:sz w:val="15"/>
              </w:rPr>
              <w:t>i</w:t>
            </w:r>
            <w:proofErr w:type="spellEnd"/>
          </w:p>
        </w:tc>
        <w:tc>
          <w:tcPr>
            <w:tcW w:w="726" w:type="pct"/>
            <w:noWrap/>
            <w:hideMark/>
          </w:tcPr>
          <w:p w14:paraId="0044C17D" w14:textId="77777777" w:rsidR="00CA7676" w:rsidRPr="00E14EE6" w:rsidRDefault="00CA7676" w:rsidP="00E14EE6">
            <w:pPr>
              <w:ind w:right="284"/>
              <w:jc w:val="right"/>
              <w:rPr>
                <w:rFonts w:eastAsia="Times New Roman" w:cs="Calibri"/>
                <w:sz w:val="15"/>
                <w:szCs w:val="15"/>
                <w:u w:val="single"/>
              </w:rPr>
            </w:pPr>
            <w:r w:rsidRPr="00E14EE6">
              <w:rPr>
                <w:sz w:val="15"/>
                <w:u w:val="single"/>
              </w:rPr>
              <w:t>7,403</w:t>
            </w:r>
          </w:p>
        </w:tc>
        <w:tc>
          <w:tcPr>
            <w:tcW w:w="959" w:type="pct"/>
            <w:noWrap/>
            <w:hideMark/>
          </w:tcPr>
          <w:p w14:paraId="68BF8F1B" w14:textId="77777777" w:rsidR="00CA7676" w:rsidRPr="00E14EE6" w:rsidRDefault="00CA7676" w:rsidP="00E14EE6">
            <w:pPr>
              <w:ind w:right="284"/>
              <w:jc w:val="right"/>
              <w:rPr>
                <w:rFonts w:eastAsia="Times New Roman" w:cs="Calibri"/>
                <w:sz w:val="15"/>
                <w:szCs w:val="15"/>
                <w:u w:val="single"/>
              </w:rPr>
            </w:pPr>
            <w:r w:rsidRPr="00E14EE6">
              <w:rPr>
                <w:sz w:val="15"/>
                <w:u w:val="single"/>
              </w:rPr>
              <w:t>190,375</w:t>
            </w:r>
          </w:p>
        </w:tc>
        <w:tc>
          <w:tcPr>
            <w:tcW w:w="944" w:type="pct"/>
            <w:hideMark/>
          </w:tcPr>
          <w:p w14:paraId="17E1EF94" w14:textId="73D6F80B" w:rsidR="00CA7676" w:rsidRPr="00E14EE6" w:rsidRDefault="00CA7676" w:rsidP="00E14EE6">
            <w:pPr>
              <w:ind w:left="454"/>
              <w:jc w:val="left"/>
              <w:rPr>
                <w:rFonts w:eastAsia="Times New Roman" w:cs="Calibri"/>
                <w:sz w:val="15"/>
                <w:szCs w:val="15"/>
              </w:rPr>
            </w:pPr>
            <w:r w:rsidRPr="00E14EE6">
              <w:rPr>
                <w:sz w:val="15"/>
              </w:rPr>
              <w:t>May</w:t>
            </w:r>
            <w:r w:rsidR="00E14EE6" w:rsidRPr="00E14EE6">
              <w:rPr>
                <w:sz w:val="15"/>
              </w:rPr>
              <w:noBreakHyphen/>
            </w:r>
            <w:r w:rsidRPr="00E14EE6">
              <w:rPr>
                <w:sz w:val="15"/>
              </w:rPr>
              <w:t>20</w:t>
            </w:r>
          </w:p>
        </w:tc>
        <w:tc>
          <w:tcPr>
            <w:tcW w:w="757" w:type="pct"/>
            <w:noWrap/>
            <w:hideMark/>
          </w:tcPr>
          <w:p w14:paraId="51B0D0CA" w14:textId="4A05DDA4" w:rsidR="00CA7676" w:rsidRPr="00E14EE6" w:rsidRDefault="00CA7676" w:rsidP="00E14EE6">
            <w:pPr>
              <w:ind w:left="227"/>
              <w:jc w:val="left"/>
              <w:rPr>
                <w:rFonts w:eastAsia="Times New Roman" w:cs="Calibri"/>
                <w:sz w:val="15"/>
                <w:szCs w:val="15"/>
              </w:rPr>
            </w:pPr>
            <w:r w:rsidRPr="00E14EE6">
              <w:rPr>
                <w:sz w:val="15"/>
              </w:rPr>
              <w:t>Dec</w:t>
            </w:r>
            <w:r w:rsidR="00E14EE6" w:rsidRPr="00E14EE6">
              <w:rPr>
                <w:sz w:val="15"/>
              </w:rPr>
              <w:noBreakHyphen/>
            </w:r>
            <w:r w:rsidRPr="00E14EE6">
              <w:rPr>
                <w:sz w:val="15"/>
              </w:rPr>
              <w:t>20</w:t>
            </w:r>
          </w:p>
        </w:tc>
      </w:tr>
      <w:tr w:rsidR="00CA7676" w:rsidRPr="00E14EE6" w14:paraId="58627431" w14:textId="77777777" w:rsidTr="00FD6B66">
        <w:trPr>
          <w:trHeight w:val="20"/>
        </w:trPr>
        <w:tc>
          <w:tcPr>
            <w:tcW w:w="1614" w:type="pct"/>
            <w:hideMark/>
          </w:tcPr>
          <w:p w14:paraId="3DB16FE6" w14:textId="77777777" w:rsidR="00CA7676" w:rsidRPr="00E14EE6" w:rsidRDefault="00CA7676" w:rsidP="00E14EE6">
            <w:pPr>
              <w:jc w:val="left"/>
              <w:rPr>
                <w:rFonts w:eastAsia="Times New Roman" w:cs="Calibri"/>
                <w:sz w:val="15"/>
                <w:szCs w:val="15"/>
              </w:rPr>
            </w:pPr>
            <w:r w:rsidRPr="00E14EE6">
              <w:rPr>
                <w:sz w:val="15"/>
              </w:rPr>
              <w:t>Incentives for humanitarian work</w:t>
            </w:r>
          </w:p>
        </w:tc>
        <w:tc>
          <w:tcPr>
            <w:tcW w:w="726" w:type="pct"/>
            <w:noWrap/>
            <w:hideMark/>
          </w:tcPr>
          <w:p w14:paraId="5B1E8E10" w14:textId="77777777" w:rsidR="00CA7676" w:rsidRPr="00E14EE6" w:rsidRDefault="00CA7676" w:rsidP="00E14EE6">
            <w:pPr>
              <w:ind w:right="284"/>
              <w:jc w:val="right"/>
              <w:rPr>
                <w:rFonts w:eastAsia="Times New Roman" w:cs="Calibri"/>
                <w:sz w:val="15"/>
                <w:szCs w:val="15"/>
                <w:u w:val="single"/>
              </w:rPr>
            </w:pPr>
            <w:r w:rsidRPr="00E14EE6">
              <w:rPr>
                <w:sz w:val="15"/>
                <w:u w:val="single"/>
              </w:rPr>
              <w:t>8,341</w:t>
            </w:r>
          </w:p>
        </w:tc>
        <w:tc>
          <w:tcPr>
            <w:tcW w:w="959" w:type="pct"/>
            <w:hideMark/>
          </w:tcPr>
          <w:p w14:paraId="3E3CEEE7" w14:textId="77777777" w:rsidR="00CA7676" w:rsidRPr="00E14EE6" w:rsidRDefault="00CA7676" w:rsidP="00E14EE6">
            <w:pPr>
              <w:ind w:right="284"/>
              <w:jc w:val="right"/>
              <w:rPr>
                <w:rFonts w:eastAsia="Times New Roman" w:cs="Calibri"/>
                <w:sz w:val="15"/>
                <w:szCs w:val="15"/>
                <w:u w:val="single"/>
              </w:rPr>
            </w:pPr>
            <w:r w:rsidRPr="00E14EE6">
              <w:rPr>
                <w:sz w:val="15"/>
                <w:u w:val="single"/>
              </w:rPr>
              <w:t>177,872</w:t>
            </w:r>
          </w:p>
        </w:tc>
        <w:tc>
          <w:tcPr>
            <w:tcW w:w="944" w:type="pct"/>
            <w:hideMark/>
          </w:tcPr>
          <w:p w14:paraId="42A5EDC2" w14:textId="5AFD602C" w:rsidR="00CA7676" w:rsidRPr="00E14EE6" w:rsidRDefault="00CA7676" w:rsidP="00E14EE6">
            <w:pPr>
              <w:ind w:left="454"/>
              <w:jc w:val="left"/>
              <w:rPr>
                <w:rFonts w:eastAsia="Times New Roman" w:cs="Calibri"/>
                <w:sz w:val="15"/>
                <w:szCs w:val="15"/>
              </w:rPr>
            </w:pPr>
            <w:r w:rsidRPr="00E14EE6">
              <w:rPr>
                <w:sz w:val="15"/>
              </w:rPr>
              <w:t>Mar</w:t>
            </w:r>
            <w:r w:rsidR="00E14EE6" w:rsidRPr="00E14EE6">
              <w:rPr>
                <w:sz w:val="15"/>
              </w:rPr>
              <w:noBreakHyphen/>
            </w:r>
            <w:r w:rsidRPr="00E14EE6">
              <w:rPr>
                <w:sz w:val="15"/>
              </w:rPr>
              <w:t>20</w:t>
            </w:r>
          </w:p>
        </w:tc>
        <w:tc>
          <w:tcPr>
            <w:tcW w:w="757" w:type="pct"/>
            <w:noWrap/>
            <w:hideMark/>
          </w:tcPr>
          <w:p w14:paraId="729EFD25" w14:textId="76B2E7B9" w:rsidR="00CA7676" w:rsidRPr="00E14EE6" w:rsidRDefault="00CA7676" w:rsidP="00E14EE6">
            <w:pPr>
              <w:ind w:left="227"/>
              <w:jc w:val="left"/>
              <w:rPr>
                <w:rFonts w:eastAsia="Times New Roman" w:cs="Calibri"/>
                <w:sz w:val="15"/>
                <w:szCs w:val="15"/>
              </w:rPr>
            </w:pPr>
            <w:r w:rsidRPr="00E14EE6">
              <w:rPr>
                <w:sz w:val="15"/>
              </w:rPr>
              <w:t>Feb</w:t>
            </w:r>
            <w:r w:rsidR="00E14EE6" w:rsidRPr="00E14EE6">
              <w:rPr>
                <w:sz w:val="15"/>
              </w:rPr>
              <w:noBreakHyphen/>
            </w:r>
            <w:r w:rsidRPr="00E14EE6">
              <w:rPr>
                <w:sz w:val="15"/>
              </w:rPr>
              <w:t>22</w:t>
            </w:r>
          </w:p>
        </w:tc>
      </w:tr>
      <w:tr w:rsidR="00CA7676" w:rsidRPr="00E14EE6" w14:paraId="47D93E57" w14:textId="77777777" w:rsidTr="00FD6B66">
        <w:trPr>
          <w:cnfStyle w:val="000000010000" w:firstRow="0" w:lastRow="0" w:firstColumn="0" w:lastColumn="0" w:oddVBand="0" w:evenVBand="0" w:oddHBand="0" w:evenHBand="1" w:firstRowFirstColumn="0" w:firstRowLastColumn="0" w:lastRowFirstColumn="0" w:lastRowLastColumn="0"/>
          <w:trHeight w:val="20"/>
        </w:trPr>
        <w:tc>
          <w:tcPr>
            <w:tcW w:w="1614" w:type="pct"/>
            <w:hideMark/>
          </w:tcPr>
          <w:p w14:paraId="54107077" w14:textId="24A7FE96" w:rsidR="00CA7676" w:rsidRPr="00E14EE6" w:rsidRDefault="00CA7676" w:rsidP="00A75533">
            <w:pPr>
              <w:keepNext/>
              <w:keepLines/>
              <w:jc w:val="left"/>
              <w:rPr>
                <w:rFonts w:eastAsia="Times New Roman" w:cs="Calibri"/>
                <w:sz w:val="15"/>
                <w:szCs w:val="15"/>
              </w:rPr>
            </w:pPr>
            <w:r w:rsidRPr="00E14EE6">
              <w:rPr>
                <w:sz w:val="15"/>
              </w:rPr>
              <w:lastRenderedPageBreak/>
              <w:t>COVID</w:t>
            </w:r>
            <w:r w:rsidR="00E14EE6" w:rsidRPr="00E14EE6">
              <w:rPr>
                <w:sz w:val="15"/>
              </w:rPr>
              <w:noBreakHyphen/>
            </w:r>
            <w:r w:rsidRPr="00E14EE6">
              <w:rPr>
                <w:sz w:val="15"/>
              </w:rPr>
              <w:t>19 contracts</w:t>
            </w:r>
          </w:p>
        </w:tc>
        <w:tc>
          <w:tcPr>
            <w:tcW w:w="726" w:type="pct"/>
            <w:noWrap/>
            <w:hideMark/>
          </w:tcPr>
          <w:p w14:paraId="15B757F4" w14:textId="77777777" w:rsidR="00CA7676" w:rsidRPr="00E14EE6" w:rsidRDefault="00CA7676" w:rsidP="00A75533">
            <w:pPr>
              <w:keepNext/>
              <w:keepLines/>
              <w:ind w:right="284"/>
              <w:jc w:val="right"/>
              <w:rPr>
                <w:rFonts w:eastAsia="Times New Roman" w:cs="Calibri"/>
                <w:sz w:val="15"/>
                <w:szCs w:val="15"/>
                <w:u w:val="single"/>
              </w:rPr>
            </w:pPr>
            <w:r w:rsidRPr="00E14EE6">
              <w:rPr>
                <w:sz w:val="15"/>
                <w:u w:val="single"/>
              </w:rPr>
              <w:t>9,818</w:t>
            </w:r>
          </w:p>
        </w:tc>
        <w:tc>
          <w:tcPr>
            <w:tcW w:w="959" w:type="pct"/>
            <w:hideMark/>
          </w:tcPr>
          <w:p w14:paraId="35B5F37F" w14:textId="77777777" w:rsidR="00CA7676" w:rsidRPr="00E14EE6" w:rsidRDefault="00CA7676" w:rsidP="00A75533">
            <w:pPr>
              <w:keepNext/>
              <w:keepLines/>
              <w:ind w:right="284"/>
              <w:jc w:val="right"/>
              <w:rPr>
                <w:rFonts w:eastAsia="Times New Roman" w:cs="Calibri"/>
                <w:sz w:val="15"/>
                <w:szCs w:val="15"/>
                <w:u w:val="single"/>
              </w:rPr>
            </w:pPr>
            <w:r w:rsidRPr="00E14EE6">
              <w:rPr>
                <w:sz w:val="15"/>
                <w:u w:val="single"/>
              </w:rPr>
              <w:t>1,565</w:t>
            </w:r>
            <w:r w:rsidRPr="00E14EE6">
              <w:rPr>
                <w:sz w:val="15"/>
                <w:u w:val="single"/>
                <w:vertAlign w:val="superscript"/>
              </w:rPr>
              <w:t>b</w:t>
            </w:r>
          </w:p>
        </w:tc>
        <w:tc>
          <w:tcPr>
            <w:tcW w:w="944" w:type="pct"/>
            <w:hideMark/>
          </w:tcPr>
          <w:p w14:paraId="204B3065" w14:textId="01D14EB9" w:rsidR="00CA7676" w:rsidRPr="00E14EE6" w:rsidRDefault="00CA7676" w:rsidP="00A75533">
            <w:pPr>
              <w:keepNext/>
              <w:keepLines/>
              <w:ind w:left="454"/>
              <w:jc w:val="left"/>
              <w:rPr>
                <w:rFonts w:eastAsia="Times New Roman" w:cs="Calibri"/>
                <w:sz w:val="15"/>
                <w:szCs w:val="15"/>
              </w:rPr>
            </w:pPr>
            <w:r w:rsidRPr="00E14EE6">
              <w:rPr>
                <w:sz w:val="15"/>
              </w:rPr>
              <w:t>Mar</w:t>
            </w:r>
            <w:r w:rsidR="00E14EE6" w:rsidRPr="00E14EE6">
              <w:rPr>
                <w:sz w:val="15"/>
              </w:rPr>
              <w:noBreakHyphen/>
            </w:r>
            <w:r w:rsidRPr="00E14EE6">
              <w:rPr>
                <w:sz w:val="15"/>
              </w:rPr>
              <w:t>20</w:t>
            </w:r>
          </w:p>
        </w:tc>
        <w:tc>
          <w:tcPr>
            <w:tcW w:w="757" w:type="pct"/>
            <w:noWrap/>
            <w:hideMark/>
          </w:tcPr>
          <w:p w14:paraId="7F8C63AF" w14:textId="20BBCEE1" w:rsidR="00CA7676" w:rsidRPr="00E14EE6" w:rsidRDefault="00CA7676" w:rsidP="00A75533">
            <w:pPr>
              <w:keepNext/>
              <w:keepLines/>
              <w:ind w:left="227"/>
              <w:jc w:val="left"/>
              <w:rPr>
                <w:rFonts w:eastAsia="Times New Roman" w:cs="Calibri"/>
                <w:sz w:val="15"/>
                <w:szCs w:val="15"/>
              </w:rPr>
            </w:pPr>
            <w:r w:rsidRPr="00E14EE6">
              <w:rPr>
                <w:sz w:val="15"/>
              </w:rPr>
              <w:t>Feb</w:t>
            </w:r>
            <w:r w:rsidR="00E14EE6" w:rsidRPr="00E14EE6">
              <w:rPr>
                <w:sz w:val="15"/>
              </w:rPr>
              <w:noBreakHyphen/>
            </w:r>
            <w:r w:rsidRPr="00E14EE6">
              <w:rPr>
                <w:sz w:val="15"/>
              </w:rPr>
              <w:t>22</w:t>
            </w:r>
          </w:p>
        </w:tc>
      </w:tr>
      <w:tr w:rsidR="00CA7676" w:rsidRPr="00E14EE6" w14:paraId="1F51F81E" w14:textId="77777777" w:rsidTr="00FD6B66">
        <w:trPr>
          <w:trHeight w:val="20"/>
        </w:trPr>
        <w:tc>
          <w:tcPr>
            <w:tcW w:w="1614" w:type="pct"/>
            <w:hideMark/>
          </w:tcPr>
          <w:p w14:paraId="74395C8E" w14:textId="77777777" w:rsidR="00CA7676" w:rsidRPr="00E14EE6" w:rsidRDefault="00CA7676" w:rsidP="00A75533">
            <w:pPr>
              <w:keepNext/>
              <w:keepLines/>
              <w:jc w:val="left"/>
              <w:rPr>
                <w:rFonts w:eastAsia="Times New Roman" w:cs="Calibri"/>
                <w:sz w:val="15"/>
                <w:szCs w:val="15"/>
              </w:rPr>
            </w:pPr>
            <w:r w:rsidRPr="00E14EE6">
              <w:rPr>
                <w:sz w:val="15"/>
              </w:rPr>
              <w:t>Other expenditure</w:t>
            </w:r>
          </w:p>
        </w:tc>
        <w:tc>
          <w:tcPr>
            <w:tcW w:w="726" w:type="pct"/>
            <w:noWrap/>
            <w:hideMark/>
          </w:tcPr>
          <w:p w14:paraId="57A0A254" w14:textId="77777777" w:rsidR="00CA7676" w:rsidRPr="00E14EE6" w:rsidRDefault="00CA7676" w:rsidP="00A75533">
            <w:pPr>
              <w:keepNext/>
              <w:keepLines/>
              <w:ind w:right="284"/>
              <w:jc w:val="right"/>
              <w:rPr>
                <w:rFonts w:eastAsia="Times New Roman" w:cs="Calibri"/>
                <w:sz w:val="15"/>
                <w:szCs w:val="15"/>
                <w:u w:val="single"/>
              </w:rPr>
            </w:pPr>
            <w:r w:rsidRPr="00E14EE6">
              <w:rPr>
                <w:sz w:val="15"/>
                <w:u w:val="single"/>
              </w:rPr>
              <w:t>41,766</w:t>
            </w:r>
          </w:p>
        </w:tc>
        <w:tc>
          <w:tcPr>
            <w:tcW w:w="959" w:type="pct"/>
            <w:hideMark/>
          </w:tcPr>
          <w:p w14:paraId="48805C56" w14:textId="77777777" w:rsidR="00CA7676" w:rsidRPr="00E14EE6" w:rsidRDefault="00CA7676" w:rsidP="00A75533">
            <w:pPr>
              <w:keepNext/>
              <w:keepLines/>
              <w:ind w:right="284"/>
              <w:jc w:val="right"/>
              <w:rPr>
                <w:rFonts w:eastAsia="Times New Roman" w:cs="Calibri"/>
                <w:sz w:val="15"/>
                <w:szCs w:val="15"/>
              </w:rPr>
            </w:pPr>
            <w:r w:rsidRPr="00E14EE6">
              <w:rPr>
                <w:sz w:val="15"/>
              </w:rPr>
              <w:t>n/a</w:t>
            </w:r>
          </w:p>
        </w:tc>
        <w:tc>
          <w:tcPr>
            <w:tcW w:w="944" w:type="pct"/>
            <w:hideMark/>
          </w:tcPr>
          <w:p w14:paraId="7F6337B0" w14:textId="6B646C64" w:rsidR="00CA7676" w:rsidRPr="00E14EE6" w:rsidRDefault="00CA7676" w:rsidP="00A75533">
            <w:pPr>
              <w:keepNext/>
              <w:keepLines/>
              <w:ind w:left="454"/>
              <w:jc w:val="left"/>
              <w:rPr>
                <w:rFonts w:eastAsia="Times New Roman" w:cs="Calibri"/>
                <w:sz w:val="15"/>
                <w:szCs w:val="15"/>
              </w:rPr>
            </w:pPr>
            <w:r w:rsidRPr="00E14EE6">
              <w:rPr>
                <w:sz w:val="15"/>
              </w:rPr>
              <w:t>Mar</w:t>
            </w:r>
            <w:r w:rsidR="00E14EE6" w:rsidRPr="00E14EE6">
              <w:rPr>
                <w:sz w:val="15"/>
              </w:rPr>
              <w:noBreakHyphen/>
            </w:r>
            <w:r w:rsidRPr="00E14EE6">
              <w:rPr>
                <w:sz w:val="15"/>
              </w:rPr>
              <w:t>20</w:t>
            </w:r>
          </w:p>
        </w:tc>
        <w:tc>
          <w:tcPr>
            <w:tcW w:w="757" w:type="pct"/>
            <w:vMerge w:val="restart"/>
            <w:noWrap/>
            <w:hideMark/>
          </w:tcPr>
          <w:p w14:paraId="1C5C6316" w14:textId="77777777" w:rsidR="00CA7676" w:rsidRPr="00E14EE6" w:rsidRDefault="00CA7676" w:rsidP="00A75533">
            <w:pPr>
              <w:keepNext/>
              <w:keepLines/>
              <w:ind w:left="227"/>
              <w:jc w:val="left"/>
              <w:rPr>
                <w:rFonts w:eastAsia="Times New Roman" w:cs="Calibri"/>
                <w:sz w:val="15"/>
                <w:szCs w:val="15"/>
              </w:rPr>
            </w:pPr>
            <w:r w:rsidRPr="00E14EE6">
              <w:rPr>
                <w:sz w:val="15"/>
              </w:rPr>
              <w:t>Ongoing</w:t>
            </w:r>
          </w:p>
        </w:tc>
      </w:tr>
      <w:tr w:rsidR="00CA7676" w:rsidRPr="00E14EE6" w14:paraId="13361D5E" w14:textId="77777777" w:rsidTr="00FD6B66">
        <w:trPr>
          <w:cnfStyle w:val="000000010000" w:firstRow="0" w:lastRow="0" w:firstColumn="0" w:lastColumn="0" w:oddVBand="0" w:evenVBand="0" w:oddHBand="0" w:evenHBand="1" w:firstRowFirstColumn="0" w:firstRowLastColumn="0" w:lastRowFirstColumn="0" w:lastRowLastColumn="0"/>
          <w:trHeight w:val="20"/>
        </w:trPr>
        <w:tc>
          <w:tcPr>
            <w:tcW w:w="1614" w:type="pct"/>
            <w:hideMark/>
          </w:tcPr>
          <w:p w14:paraId="26A8686C" w14:textId="3BC13438" w:rsidR="00CA7676" w:rsidRPr="00E14EE6" w:rsidRDefault="00CA7676" w:rsidP="00A75533">
            <w:pPr>
              <w:keepNext/>
              <w:keepLines/>
              <w:jc w:val="left"/>
              <w:rPr>
                <w:rFonts w:eastAsia="Times New Roman" w:cs="Calibri"/>
                <w:sz w:val="15"/>
                <w:szCs w:val="15"/>
              </w:rPr>
            </w:pPr>
            <w:proofErr w:type="spellStart"/>
            <w:r w:rsidRPr="00E14EE6">
              <w:rPr>
                <w:i/>
                <w:iCs/>
                <w:sz w:val="15"/>
              </w:rPr>
              <w:t>Vacúnate</w:t>
            </w:r>
            <w:proofErr w:type="spellEnd"/>
            <w:r w:rsidRPr="00E14EE6">
              <w:rPr>
                <w:sz w:val="15"/>
              </w:rPr>
              <w:t xml:space="preserve"> </w:t>
            </w:r>
            <w:r w:rsidRPr="00E14EE6">
              <w:rPr>
                <w:i/>
                <w:iCs/>
                <w:sz w:val="15"/>
              </w:rPr>
              <w:t>RD</w:t>
            </w:r>
            <w:r w:rsidRPr="00E14EE6">
              <w:rPr>
                <w:sz w:val="15"/>
              </w:rPr>
              <w:t xml:space="preserve"> (</w:t>
            </w:r>
            <w:r w:rsidR="00843749" w:rsidRPr="00E14EE6">
              <w:rPr>
                <w:sz w:val="15"/>
              </w:rPr>
              <w:t>"</w:t>
            </w:r>
            <w:r w:rsidRPr="00E14EE6">
              <w:rPr>
                <w:sz w:val="15"/>
              </w:rPr>
              <w:t>Get vaccinated DR</w:t>
            </w:r>
            <w:r w:rsidR="00843749" w:rsidRPr="00E14EE6">
              <w:rPr>
                <w:sz w:val="15"/>
              </w:rPr>
              <w:t>"</w:t>
            </w:r>
            <w:r w:rsidRPr="00E14EE6">
              <w:rPr>
                <w:sz w:val="15"/>
              </w:rPr>
              <w:t>)</w:t>
            </w:r>
            <w:r w:rsidRPr="00E14EE6">
              <w:rPr>
                <w:sz w:val="15"/>
                <w:vertAlign w:val="superscript"/>
              </w:rPr>
              <w:t>c</w:t>
            </w:r>
            <w:r w:rsidRPr="00E14EE6">
              <w:rPr>
                <w:sz w:val="15"/>
              </w:rPr>
              <w:t>, total expenditure</w:t>
            </w:r>
          </w:p>
        </w:tc>
        <w:tc>
          <w:tcPr>
            <w:tcW w:w="726" w:type="pct"/>
            <w:noWrap/>
            <w:hideMark/>
          </w:tcPr>
          <w:p w14:paraId="25BAC2B0" w14:textId="77777777" w:rsidR="00CA7676" w:rsidRPr="00E14EE6" w:rsidRDefault="00CA7676" w:rsidP="00A75533">
            <w:pPr>
              <w:keepNext/>
              <w:keepLines/>
              <w:ind w:right="284"/>
              <w:jc w:val="right"/>
              <w:rPr>
                <w:rFonts w:eastAsia="Times New Roman" w:cs="Calibri"/>
                <w:sz w:val="15"/>
                <w:szCs w:val="15"/>
              </w:rPr>
            </w:pPr>
            <w:r w:rsidRPr="00E14EE6">
              <w:rPr>
                <w:sz w:val="15"/>
              </w:rPr>
              <w:t>21,176</w:t>
            </w:r>
          </w:p>
        </w:tc>
        <w:tc>
          <w:tcPr>
            <w:tcW w:w="959" w:type="pct"/>
            <w:hideMark/>
          </w:tcPr>
          <w:p w14:paraId="08CBB069" w14:textId="3776A1BD" w:rsidR="00CA7676" w:rsidRPr="00E14EE6" w:rsidRDefault="00CA7676" w:rsidP="00A75533">
            <w:pPr>
              <w:keepNext/>
              <w:keepLines/>
              <w:ind w:right="284"/>
              <w:jc w:val="left"/>
              <w:rPr>
                <w:rFonts w:eastAsia="Times New Roman" w:cs="Calibri"/>
                <w:sz w:val="15"/>
                <w:szCs w:val="15"/>
              </w:rPr>
            </w:pPr>
            <w:r w:rsidRPr="00E14EE6">
              <w:rPr>
                <w:sz w:val="15"/>
              </w:rPr>
              <w:t>35+</w:t>
            </w:r>
            <w:r w:rsidR="00E14EE6" w:rsidRPr="00E14EE6">
              <w:rPr>
                <w:sz w:val="15"/>
              </w:rPr>
              <w:t> million</w:t>
            </w:r>
            <w:r w:rsidRPr="00E14EE6">
              <w:rPr>
                <w:sz w:val="15"/>
              </w:rPr>
              <w:t xml:space="preserve"> doses</w:t>
            </w:r>
          </w:p>
        </w:tc>
        <w:tc>
          <w:tcPr>
            <w:tcW w:w="944" w:type="pct"/>
            <w:vMerge w:val="restart"/>
            <w:hideMark/>
          </w:tcPr>
          <w:p w14:paraId="093B50CA" w14:textId="23FB1A28" w:rsidR="00CA7676" w:rsidRPr="00E14EE6" w:rsidRDefault="00CA7676" w:rsidP="00A75533">
            <w:pPr>
              <w:keepNext/>
              <w:keepLines/>
              <w:ind w:left="454"/>
              <w:jc w:val="left"/>
              <w:rPr>
                <w:rFonts w:eastAsia="Times New Roman" w:cs="Calibri"/>
                <w:sz w:val="15"/>
                <w:szCs w:val="15"/>
              </w:rPr>
            </w:pPr>
            <w:r w:rsidRPr="00E14EE6">
              <w:rPr>
                <w:sz w:val="15"/>
              </w:rPr>
              <w:t>Feb</w:t>
            </w:r>
            <w:r w:rsidR="00E14EE6" w:rsidRPr="00E14EE6">
              <w:rPr>
                <w:sz w:val="15"/>
              </w:rPr>
              <w:noBreakHyphen/>
            </w:r>
            <w:r w:rsidRPr="00E14EE6">
              <w:rPr>
                <w:sz w:val="15"/>
              </w:rPr>
              <w:t>21</w:t>
            </w:r>
          </w:p>
        </w:tc>
        <w:tc>
          <w:tcPr>
            <w:tcW w:w="757" w:type="pct"/>
            <w:vMerge/>
            <w:hideMark/>
          </w:tcPr>
          <w:p w14:paraId="4397020A" w14:textId="77777777" w:rsidR="00CA7676" w:rsidRPr="00E14EE6" w:rsidRDefault="00CA7676" w:rsidP="00A75533">
            <w:pPr>
              <w:keepNext/>
              <w:keepLines/>
              <w:ind w:right="284"/>
              <w:jc w:val="right"/>
              <w:rPr>
                <w:rFonts w:eastAsia="Times New Roman" w:cs="Calibri"/>
                <w:color w:val="FF0000"/>
                <w:sz w:val="15"/>
                <w:szCs w:val="15"/>
                <w:lang w:val="es-DO" w:eastAsia="es-DO"/>
              </w:rPr>
            </w:pPr>
          </w:p>
        </w:tc>
      </w:tr>
      <w:tr w:rsidR="00CA7676" w:rsidRPr="00E14EE6" w14:paraId="7C7D5399" w14:textId="77777777" w:rsidTr="00FD6B66">
        <w:trPr>
          <w:trHeight w:val="20"/>
        </w:trPr>
        <w:tc>
          <w:tcPr>
            <w:tcW w:w="1614" w:type="pct"/>
            <w:hideMark/>
          </w:tcPr>
          <w:p w14:paraId="1E11498F" w14:textId="77777777" w:rsidR="00CA7676" w:rsidRPr="00E14EE6" w:rsidRDefault="00CA7676" w:rsidP="00E14EE6">
            <w:pPr>
              <w:ind w:firstLineChars="100" w:firstLine="150"/>
              <w:jc w:val="left"/>
              <w:rPr>
                <w:rFonts w:eastAsia="Times New Roman" w:cs="Calibri"/>
                <w:iCs/>
                <w:sz w:val="15"/>
                <w:szCs w:val="15"/>
              </w:rPr>
            </w:pPr>
            <w:r w:rsidRPr="00E14EE6">
              <w:rPr>
                <w:sz w:val="15"/>
              </w:rPr>
              <w:t>First dose</w:t>
            </w:r>
          </w:p>
        </w:tc>
        <w:tc>
          <w:tcPr>
            <w:tcW w:w="726" w:type="pct"/>
            <w:hideMark/>
          </w:tcPr>
          <w:p w14:paraId="183FC573" w14:textId="77777777" w:rsidR="00CA7676" w:rsidRPr="00E14EE6" w:rsidRDefault="00CA7676" w:rsidP="00E14EE6">
            <w:pPr>
              <w:ind w:right="284"/>
              <w:jc w:val="right"/>
              <w:rPr>
                <w:rFonts w:eastAsia="Times New Roman" w:cs="Calibri"/>
                <w:sz w:val="15"/>
                <w:szCs w:val="15"/>
                <w:lang w:val="es-DO" w:eastAsia="es-DO"/>
              </w:rPr>
            </w:pPr>
          </w:p>
        </w:tc>
        <w:tc>
          <w:tcPr>
            <w:tcW w:w="959" w:type="pct"/>
            <w:hideMark/>
          </w:tcPr>
          <w:p w14:paraId="61867FBA" w14:textId="77777777" w:rsidR="00CA7676" w:rsidRPr="00E14EE6" w:rsidRDefault="00CA7676" w:rsidP="00E14EE6">
            <w:pPr>
              <w:ind w:right="284"/>
              <w:jc w:val="right"/>
              <w:rPr>
                <w:rFonts w:eastAsia="Times New Roman" w:cs="Calibri"/>
                <w:sz w:val="15"/>
                <w:szCs w:val="15"/>
              </w:rPr>
            </w:pPr>
            <w:r w:rsidRPr="00E14EE6">
              <w:rPr>
                <w:sz w:val="15"/>
              </w:rPr>
              <w:t>7,263,927</w:t>
            </w:r>
          </w:p>
        </w:tc>
        <w:tc>
          <w:tcPr>
            <w:tcW w:w="944" w:type="pct"/>
            <w:vMerge/>
            <w:hideMark/>
          </w:tcPr>
          <w:p w14:paraId="7FDEF030" w14:textId="77777777" w:rsidR="00CA7676" w:rsidRPr="00E14EE6" w:rsidRDefault="00CA7676" w:rsidP="00E14EE6">
            <w:pPr>
              <w:ind w:right="284"/>
              <w:jc w:val="right"/>
              <w:rPr>
                <w:rFonts w:eastAsia="Times New Roman" w:cs="Calibri"/>
                <w:sz w:val="15"/>
                <w:szCs w:val="15"/>
                <w:lang w:val="es-DO" w:eastAsia="es-DO"/>
              </w:rPr>
            </w:pPr>
          </w:p>
        </w:tc>
        <w:tc>
          <w:tcPr>
            <w:tcW w:w="757" w:type="pct"/>
            <w:vMerge/>
            <w:hideMark/>
          </w:tcPr>
          <w:p w14:paraId="26B157AD" w14:textId="77777777" w:rsidR="00CA7676" w:rsidRPr="00E14EE6" w:rsidRDefault="00CA7676" w:rsidP="00E14EE6">
            <w:pPr>
              <w:ind w:right="284"/>
              <w:jc w:val="right"/>
              <w:rPr>
                <w:rFonts w:eastAsia="Times New Roman" w:cs="Calibri"/>
                <w:color w:val="FF0000"/>
                <w:sz w:val="15"/>
                <w:szCs w:val="15"/>
                <w:lang w:val="es-DO" w:eastAsia="es-DO"/>
              </w:rPr>
            </w:pPr>
          </w:p>
        </w:tc>
      </w:tr>
      <w:tr w:rsidR="00CA7676" w:rsidRPr="00E14EE6" w14:paraId="4F77DE3A" w14:textId="77777777" w:rsidTr="00FD6B66">
        <w:trPr>
          <w:cnfStyle w:val="000000010000" w:firstRow="0" w:lastRow="0" w:firstColumn="0" w:lastColumn="0" w:oddVBand="0" w:evenVBand="0" w:oddHBand="0" w:evenHBand="1" w:firstRowFirstColumn="0" w:firstRowLastColumn="0" w:lastRowFirstColumn="0" w:lastRowLastColumn="0"/>
          <w:trHeight w:val="20"/>
        </w:trPr>
        <w:tc>
          <w:tcPr>
            <w:tcW w:w="1614" w:type="pct"/>
            <w:hideMark/>
          </w:tcPr>
          <w:p w14:paraId="6EFD06EC" w14:textId="77777777" w:rsidR="00CA7676" w:rsidRPr="00E14EE6" w:rsidRDefault="00CA7676" w:rsidP="00E14EE6">
            <w:pPr>
              <w:keepNext/>
              <w:keepLines/>
              <w:ind w:firstLineChars="100" w:firstLine="150"/>
              <w:jc w:val="left"/>
              <w:rPr>
                <w:rFonts w:eastAsia="Times New Roman" w:cs="Calibri"/>
                <w:iCs/>
                <w:sz w:val="15"/>
                <w:szCs w:val="15"/>
              </w:rPr>
            </w:pPr>
            <w:r w:rsidRPr="00E14EE6">
              <w:rPr>
                <w:sz w:val="15"/>
              </w:rPr>
              <w:t>Second dose</w:t>
            </w:r>
          </w:p>
        </w:tc>
        <w:tc>
          <w:tcPr>
            <w:tcW w:w="726" w:type="pct"/>
            <w:hideMark/>
          </w:tcPr>
          <w:p w14:paraId="7BFF6CC3" w14:textId="77777777" w:rsidR="00CA7676" w:rsidRPr="00E14EE6" w:rsidRDefault="00CA7676" w:rsidP="00E14EE6">
            <w:pPr>
              <w:keepNext/>
              <w:keepLines/>
              <w:ind w:right="284"/>
              <w:jc w:val="right"/>
              <w:rPr>
                <w:rFonts w:eastAsia="Times New Roman" w:cs="Calibri"/>
                <w:sz w:val="15"/>
                <w:szCs w:val="15"/>
                <w:lang w:val="es-DO" w:eastAsia="es-DO"/>
              </w:rPr>
            </w:pPr>
          </w:p>
        </w:tc>
        <w:tc>
          <w:tcPr>
            <w:tcW w:w="959" w:type="pct"/>
            <w:hideMark/>
          </w:tcPr>
          <w:p w14:paraId="10FC7DBD" w14:textId="77777777" w:rsidR="00CA7676" w:rsidRPr="00E14EE6" w:rsidRDefault="00CA7676" w:rsidP="00E14EE6">
            <w:pPr>
              <w:keepNext/>
              <w:keepLines/>
              <w:ind w:right="284"/>
              <w:jc w:val="right"/>
              <w:rPr>
                <w:rFonts w:eastAsia="Times New Roman" w:cs="Calibri"/>
                <w:sz w:val="15"/>
                <w:szCs w:val="15"/>
              </w:rPr>
            </w:pPr>
            <w:r w:rsidRPr="00E14EE6">
              <w:rPr>
                <w:sz w:val="15"/>
              </w:rPr>
              <w:t>6,026,042</w:t>
            </w:r>
          </w:p>
        </w:tc>
        <w:tc>
          <w:tcPr>
            <w:tcW w:w="944" w:type="pct"/>
            <w:vMerge/>
            <w:hideMark/>
          </w:tcPr>
          <w:p w14:paraId="417069BE" w14:textId="77777777" w:rsidR="00CA7676" w:rsidRPr="00E14EE6" w:rsidRDefault="00CA7676" w:rsidP="00E14EE6">
            <w:pPr>
              <w:keepNext/>
              <w:keepLines/>
              <w:ind w:right="284"/>
              <w:jc w:val="right"/>
              <w:rPr>
                <w:rFonts w:eastAsia="Times New Roman" w:cs="Calibri"/>
                <w:sz w:val="15"/>
                <w:szCs w:val="15"/>
                <w:lang w:val="es-DO" w:eastAsia="es-DO"/>
              </w:rPr>
            </w:pPr>
          </w:p>
        </w:tc>
        <w:tc>
          <w:tcPr>
            <w:tcW w:w="757" w:type="pct"/>
            <w:vMerge/>
            <w:hideMark/>
          </w:tcPr>
          <w:p w14:paraId="10956CB4" w14:textId="77777777" w:rsidR="00CA7676" w:rsidRPr="00E14EE6" w:rsidRDefault="00CA7676" w:rsidP="00E14EE6">
            <w:pPr>
              <w:keepNext/>
              <w:keepLines/>
              <w:ind w:right="284"/>
              <w:jc w:val="right"/>
              <w:rPr>
                <w:rFonts w:eastAsia="Times New Roman" w:cs="Calibri"/>
                <w:color w:val="FF0000"/>
                <w:sz w:val="15"/>
                <w:szCs w:val="15"/>
                <w:lang w:val="es-DO" w:eastAsia="es-DO"/>
              </w:rPr>
            </w:pPr>
          </w:p>
        </w:tc>
      </w:tr>
      <w:tr w:rsidR="00CA7676" w:rsidRPr="00E14EE6" w14:paraId="79908FFD" w14:textId="77777777" w:rsidTr="00FD6B66">
        <w:trPr>
          <w:trHeight w:val="20"/>
        </w:trPr>
        <w:tc>
          <w:tcPr>
            <w:tcW w:w="1614" w:type="pct"/>
            <w:hideMark/>
          </w:tcPr>
          <w:p w14:paraId="449530AF" w14:textId="77777777" w:rsidR="00CA7676" w:rsidRPr="00E14EE6" w:rsidRDefault="00CA7676" w:rsidP="00E14EE6">
            <w:pPr>
              <w:keepNext/>
              <w:keepLines/>
              <w:ind w:firstLineChars="100" w:firstLine="150"/>
              <w:jc w:val="left"/>
              <w:rPr>
                <w:rFonts w:eastAsia="Times New Roman" w:cs="Calibri"/>
                <w:iCs/>
                <w:sz w:val="15"/>
                <w:szCs w:val="15"/>
              </w:rPr>
            </w:pPr>
            <w:r w:rsidRPr="00E14EE6">
              <w:rPr>
                <w:sz w:val="15"/>
              </w:rPr>
              <w:t>Booster</w:t>
            </w:r>
          </w:p>
        </w:tc>
        <w:tc>
          <w:tcPr>
            <w:tcW w:w="726" w:type="pct"/>
            <w:hideMark/>
          </w:tcPr>
          <w:p w14:paraId="2A798CB5" w14:textId="77777777" w:rsidR="00CA7676" w:rsidRPr="00E14EE6" w:rsidRDefault="00CA7676" w:rsidP="00E14EE6">
            <w:pPr>
              <w:keepNext/>
              <w:keepLines/>
              <w:ind w:right="284"/>
              <w:jc w:val="right"/>
              <w:rPr>
                <w:rFonts w:eastAsia="Times New Roman" w:cs="Calibri"/>
                <w:sz w:val="15"/>
                <w:szCs w:val="15"/>
                <w:lang w:val="es-DO" w:eastAsia="es-DO"/>
              </w:rPr>
            </w:pPr>
          </w:p>
        </w:tc>
        <w:tc>
          <w:tcPr>
            <w:tcW w:w="959" w:type="pct"/>
            <w:hideMark/>
          </w:tcPr>
          <w:p w14:paraId="1417BB25" w14:textId="77777777" w:rsidR="00CA7676" w:rsidRPr="00E14EE6" w:rsidRDefault="00CA7676" w:rsidP="00E14EE6">
            <w:pPr>
              <w:keepNext/>
              <w:keepLines/>
              <w:ind w:right="284"/>
              <w:jc w:val="right"/>
              <w:rPr>
                <w:rFonts w:eastAsia="Times New Roman" w:cs="Calibri"/>
                <w:sz w:val="15"/>
                <w:szCs w:val="15"/>
              </w:rPr>
            </w:pPr>
            <w:r w:rsidRPr="00E14EE6">
              <w:rPr>
                <w:sz w:val="15"/>
              </w:rPr>
              <w:t>2,430,927</w:t>
            </w:r>
          </w:p>
        </w:tc>
        <w:tc>
          <w:tcPr>
            <w:tcW w:w="944" w:type="pct"/>
            <w:vMerge/>
            <w:hideMark/>
          </w:tcPr>
          <w:p w14:paraId="6D73478A" w14:textId="77777777" w:rsidR="00CA7676" w:rsidRPr="00E14EE6" w:rsidRDefault="00CA7676" w:rsidP="00E14EE6">
            <w:pPr>
              <w:keepNext/>
              <w:keepLines/>
              <w:ind w:right="284"/>
              <w:jc w:val="right"/>
              <w:rPr>
                <w:rFonts w:eastAsia="Times New Roman" w:cs="Calibri"/>
                <w:sz w:val="15"/>
                <w:szCs w:val="15"/>
                <w:lang w:val="es-DO" w:eastAsia="es-DO"/>
              </w:rPr>
            </w:pPr>
          </w:p>
        </w:tc>
        <w:tc>
          <w:tcPr>
            <w:tcW w:w="757" w:type="pct"/>
            <w:vMerge/>
            <w:hideMark/>
          </w:tcPr>
          <w:p w14:paraId="7A8C75CF" w14:textId="77777777" w:rsidR="00CA7676" w:rsidRPr="00E14EE6" w:rsidRDefault="00CA7676" w:rsidP="00E14EE6">
            <w:pPr>
              <w:keepNext/>
              <w:keepLines/>
              <w:ind w:right="284"/>
              <w:jc w:val="right"/>
              <w:rPr>
                <w:rFonts w:eastAsia="Times New Roman" w:cs="Calibri"/>
                <w:color w:val="FF0000"/>
                <w:sz w:val="15"/>
                <w:szCs w:val="15"/>
                <w:lang w:val="es-DO" w:eastAsia="es-DO"/>
              </w:rPr>
            </w:pPr>
          </w:p>
        </w:tc>
      </w:tr>
      <w:tr w:rsidR="00CA7676" w:rsidRPr="00E14EE6" w14:paraId="390E065A" w14:textId="77777777" w:rsidTr="00FD6B66">
        <w:trPr>
          <w:cnfStyle w:val="000000010000" w:firstRow="0" w:lastRow="0" w:firstColumn="0" w:lastColumn="0" w:oddVBand="0" w:evenVBand="0" w:oddHBand="0" w:evenHBand="1" w:firstRowFirstColumn="0" w:firstRowLastColumn="0" w:lastRowFirstColumn="0" w:lastRowLastColumn="0"/>
          <w:trHeight w:val="20"/>
        </w:trPr>
        <w:tc>
          <w:tcPr>
            <w:tcW w:w="1614" w:type="pct"/>
            <w:hideMark/>
          </w:tcPr>
          <w:p w14:paraId="39F0DE9D" w14:textId="77777777" w:rsidR="00CA7676" w:rsidRPr="00895A69" w:rsidRDefault="00CA7676" w:rsidP="00E14EE6">
            <w:pPr>
              <w:keepNext/>
              <w:keepLines/>
              <w:rPr>
                <w:rFonts w:eastAsia="Times New Roman" w:cs="Calibri"/>
                <w:b/>
                <w:bCs/>
                <w:sz w:val="15"/>
                <w:szCs w:val="15"/>
                <w:u w:val="single"/>
              </w:rPr>
            </w:pPr>
            <w:r w:rsidRPr="00895A69">
              <w:rPr>
                <w:b/>
                <w:sz w:val="15"/>
                <w:u w:val="single"/>
              </w:rPr>
              <w:t>Overall total</w:t>
            </w:r>
          </w:p>
        </w:tc>
        <w:tc>
          <w:tcPr>
            <w:tcW w:w="726" w:type="pct"/>
            <w:noWrap/>
            <w:hideMark/>
          </w:tcPr>
          <w:p w14:paraId="6898F0B1" w14:textId="77777777" w:rsidR="00CA7676" w:rsidRPr="00895A69" w:rsidRDefault="00CA7676" w:rsidP="00E14EE6">
            <w:pPr>
              <w:keepNext/>
              <w:keepLines/>
              <w:ind w:right="284"/>
              <w:jc w:val="right"/>
              <w:rPr>
                <w:rFonts w:eastAsia="Times New Roman" w:cs="Calibri"/>
                <w:b/>
                <w:bCs/>
                <w:sz w:val="15"/>
                <w:szCs w:val="15"/>
                <w:u w:val="single"/>
              </w:rPr>
            </w:pPr>
            <w:r w:rsidRPr="00895A69">
              <w:rPr>
                <w:b/>
                <w:sz w:val="15"/>
                <w:u w:val="single"/>
              </w:rPr>
              <w:t>226,179</w:t>
            </w:r>
          </w:p>
        </w:tc>
        <w:tc>
          <w:tcPr>
            <w:tcW w:w="959" w:type="pct"/>
            <w:noWrap/>
            <w:hideMark/>
          </w:tcPr>
          <w:p w14:paraId="4E56B754" w14:textId="77777777" w:rsidR="00CA7676" w:rsidRPr="00895A69" w:rsidRDefault="00CA7676" w:rsidP="00E14EE6">
            <w:pPr>
              <w:keepNext/>
              <w:keepLines/>
              <w:ind w:right="284"/>
              <w:jc w:val="right"/>
              <w:rPr>
                <w:rFonts w:eastAsia="Times New Roman" w:cs="Calibri"/>
                <w:b/>
                <w:bCs/>
                <w:sz w:val="15"/>
                <w:szCs w:val="15"/>
                <w:u w:val="single"/>
              </w:rPr>
            </w:pPr>
            <w:r w:rsidRPr="00895A69">
              <w:rPr>
                <w:b/>
                <w:sz w:val="15"/>
                <w:u w:val="single"/>
              </w:rPr>
              <w:t>10,145,293</w:t>
            </w:r>
          </w:p>
        </w:tc>
        <w:tc>
          <w:tcPr>
            <w:tcW w:w="944" w:type="pct"/>
          </w:tcPr>
          <w:p w14:paraId="6FC3E31C" w14:textId="77777777" w:rsidR="00CA7676" w:rsidRPr="00E14EE6" w:rsidRDefault="00CA7676" w:rsidP="00E14EE6">
            <w:pPr>
              <w:keepNext/>
              <w:keepLines/>
              <w:ind w:right="284"/>
              <w:jc w:val="right"/>
              <w:rPr>
                <w:rFonts w:eastAsia="Times New Roman" w:cs="Calibri"/>
                <w:b/>
                <w:bCs/>
                <w:sz w:val="15"/>
                <w:szCs w:val="15"/>
                <w:lang w:val="es-DO" w:eastAsia="es-DO"/>
              </w:rPr>
            </w:pPr>
          </w:p>
        </w:tc>
        <w:tc>
          <w:tcPr>
            <w:tcW w:w="757" w:type="pct"/>
          </w:tcPr>
          <w:p w14:paraId="48ECA1F5" w14:textId="77777777" w:rsidR="00CA7676" w:rsidRPr="00E14EE6" w:rsidRDefault="00CA7676" w:rsidP="00E14EE6">
            <w:pPr>
              <w:keepNext/>
              <w:keepLines/>
              <w:ind w:right="284"/>
              <w:jc w:val="right"/>
              <w:rPr>
                <w:rFonts w:eastAsia="Times New Roman" w:cs="Calibri"/>
                <w:b/>
                <w:bCs/>
                <w:sz w:val="15"/>
                <w:szCs w:val="15"/>
                <w:lang w:eastAsia="es-DO"/>
              </w:rPr>
            </w:pPr>
          </w:p>
        </w:tc>
      </w:tr>
    </w:tbl>
    <w:p w14:paraId="6A167612" w14:textId="239DD011" w:rsidR="007C74EF" w:rsidRPr="00E14EE6" w:rsidRDefault="00CA7676" w:rsidP="00CE2C80">
      <w:pPr>
        <w:pStyle w:val="NoteText"/>
        <w:spacing w:before="120"/>
      </w:pPr>
      <w:r w:rsidRPr="00E14EE6">
        <w:t>Notes:</w:t>
      </w:r>
      <w:r w:rsidRPr="00E14EE6">
        <w:tab/>
        <w:t xml:space="preserve">Preliminary figures, subject to correction by the </w:t>
      </w:r>
      <w:r w:rsidR="005B3620" w:rsidRPr="00E14EE6">
        <w:t>competent</w:t>
      </w:r>
      <w:r w:rsidRPr="00E14EE6">
        <w:t xml:space="preserve"> </w:t>
      </w:r>
      <w:r w:rsidR="002C0257" w:rsidRPr="00E14EE6">
        <w:t>g</w:t>
      </w:r>
      <w:r w:rsidRPr="00E14EE6">
        <w:t>overnment agencies.</w:t>
      </w:r>
    </w:p>
    <w:p w14:paraId="7ABC8666" w14:textId="77777777" w:rsidR="00CA7676" w:rsidRPr="00E14EE6" w:rsidRDefault="00CA7676" w:rsidP="00CE2C80">
      <w:pPr>
        <w:pStyle w:val="NoteText"/>
        <w:spacing w:before="120"/>
      </w:pPr>
      <w:proofErr w:type="spellStart"/>
      <w:r w:rsidRPr="00E14EE6">
        <w:t>a</w:t>
      </w:r>
      <w:proofErr w:type="spellEnd"/>
      <w:r w:rsidRPr="00E14EE6">
        <w:tab/>
        <w:t xml:space="preserve">Included in </w:t>
      </w:r>
      <w:proofErr w:type="spellStart"/>
      <w:r w:rsidRPr="00E14EE6">
        <w:t>Fase</w:t>
      </w:r>
      <w:proofErr w:type="spellEnd"/>
      <w:r w:rsidRPr="00E14EE6">
        <w:t xml:space="preserve"> I total.</w:t>
      </w:r>
    </w:p>
    <w:p w14:paraId="2D7CEC8B" w14:textId="4FB9D0C3" w:rsidR="007C74EF" w:rsidRPr="00E14EE6" w:rsidRDefault="00CA7676" w:rsidP="00E14EE6">
      <w:pPr>
        <w:pStyle w:val="NoteText"/>
      </w:pPr>
      <w:r w:rsidRPr="00E14EE6">
        <w:t>b</w:t>
      </w:r>
      <w:r w:rsidRPr="00E14EE6">
        <w:tab/>
        <w:t>Total number of contracts concluded by the State in the context of COVID</w:t>
      </w:r>
      <w:r w:rsidR="00E14EE6" w:rsidRPr="00E14EE6">
        <w:noBreakHyphen/>
      </w:r>
      <w:r w:rsidRPr="00E14EE6">
        <w:t>19</w:t>
      </w:r>
      <w:r w:rsidR="00E14EE6" w:rsidRPr="00E14EE6">
        <w:t>. T</w:t>
      </w:r>
      <w:r w:rsidRPr="00E14EE6">
        <w:t>his figure does not include active contracts as of the date specified.</w:t>
      </w:r>
    </w:p>
    <w:p w14:paraId="2C8B6325" w14:textId="6C5649BE" w:rsidR="00CA7676" w:rsidRPr="00E14EE6" w:rsidRDefault="00CA7676" w:rsidP="00E14EE6">
      <w:pPr>
        <w:pStyle w:val="NoteText"/>
      </w:pPr>
      <w:r w:rsidRPr="00E14EE6">
        <w:t>c</w:t>
      </w:r>
      <w:r w:rsidRPr="00E14EE6">
        <w:tab/>
        <w:t xml:space="preserve">The expenditure figures reflect the amount accrued for the purchase of vaccine doses by the Ministry of Public Health between January and </w:t>
      </w:r>
      <w:r w:rsidR="00E14EE6" w:rsidRPr="00E14EE6">
        <w:t>September 2</w:t>
      </w:r>
      <w:r w:rsidRPr="00E14EE6">
        <w:t>021, in accordance with the Budget Implementation Report for the same semester published by the Directorate</w:t>
      </w:r>
      <w:r w:rsidR="00E14EE6" w:rsidRPr="00E14EE6">
        <w:noBreakHyphen/>
      </w:r>
      <w:r w:rsidRPr="00E14EE6">
        <w:t>General of the Budget (</w:t>
      </w:r>
      <w:proofErr w:type="spellStart"/>
      <w:r w:rsidRPr="00E14EE6">
        <w:t>DIGEPRES</w:t>
      </w:r>
      <w:proofErr w:type="spellEnd"/>
      <w:r w:rsidRPr="00E14EE6">
        <w:t>).</w:t>
      </w:r>
    </w:p>
    <w:p w14:paraId="7A674353" w14:textId="77777777" w:rsidR="00CA7676" w:rsidRPr="00E14EE6" w:rsidRDefault="00CA7676" w:rsidP="00CE2C80">
      <w:pPr>
        <w:pStyle w:val="NoteText"/>
        <w:spacing w:before="120" w:after="240"/>
      </w:pPr>
      <w:r w:rsidRPr="00E14EE6">
        <w:t>Source:</w:t>
      </w:r>
      <w:r w:rsidRPr="00E14EE6">
        <w:tab/>
        <w:t>Information provided by the authorities.</w:t>
      </w:r>
    </w:p>
    <w:bookmarkEnd w:id="44"/>
    <w:p w14:paraId="668ED2E4" w14:textId="16AB3591" w:rsidR="007C74EF" w:rsidRPr="00E14EE6" w:rsidRDefault="00E14EE6" w:rsidP="00763857">
      <w:pPr>
        <w:pStyle w:val="BodyText"/>
      </w:pPr>
      <w:r w:rsidRPr="00E14EE6">
        <w:t>I</w:t>
      </w:r>
      <w:r w:rsidR="005147A6" w:rsidRPr="00E14EE6">
        <w:t xml:space="preserve">n </w:t>
      </w:r>
      <w:r w:rsidRPr="00E14EE6">
        <w:t>October 2</w:t>
      </w:r>
      <w:r w:rsidR="005147A6" w:rsidRPr="00E14EE6">
        <w:t xml:space="preserve">020, the Government approved a further budget increase of </w:t>
      </w:r>
      <w:r w:rsidRPr="00E14EE6">
        <w:t>DOP 202</w:t>
      </w:r>
      <w:r w:rsidR="00375CA4">
        <w:t xml:space="preserve"> billion</w:t>
      </w:r>
      <w:r w:rsidR="005147A6" w:rsidRPr="00E14EE6">
        <w:t xml:space="preserve"> (4.5</w:t>
      </w:r>
      <w:r>
        <w:t>%</w:t>
      </w:r>
      <w:r w:rsidR="005147A6" w:rsidRPr="00E14EE6">
        <w:t xml:space="preserve"> of GDP) to mitigate the </w:t>
      </w:r>
      <w:r w:rsidR="00293D7F" w:rsidRPr="00E14EE6">
        <w:t>pandemic</w:t>
      </w:r>
      <w:r w:rsidRPr="00E14EE6">
        <w:noBreakHyphen/>
      </w:r>
      <w:r w:rsidR="00293D7F" w:rsidRPr="00E14EE6">
        <w:t xml:space="preserve">induced </w:t>
      </w:r>
      <w:r w:rsidR="005147A6" w:rsidRPr="00E14EE6">
        <w:t>crisis</w:t>
      </w:r>
      <w:r w:rsidRPr="00E14EE6">
        <w:t>. T</w:t>
      </w:r>
      <w:r w:rsidR="005147A6" w:rsidRPr="00E14EE6">
        <w:t>he budget was amended twice in 2021</w:t>
      </w:r>
      <w:r w:rsidRPr="00E14EE6">
        <w:t>. T</w:t>
      </w:r>
      <w:r w:rsidR="005147A6" w:rsidRPr="00E14EE6">
        <w:t>he first</w:t>
      </w:r>
      <w:r w:rsidR="00C5302C">
        <w:t> </w:t>
      </w:r>
      <w:r w:rsidR="005147A6" w:rsidRPr="00E14EE6">
        <w:t xml:space="preserve">amendment, approved in August through Law </w:t>
      </w:r>
      <w:r w:rsidRPr="00E14EE6">
        <w:t>No. </w:t>
      </w:r>
      <w:r w:rsidR="005147A6" w:rsidRPr="00E14EE6">
        <w:t>166</w:t>
      </w:r>
      <w:r w:rsidRPr="00E14EE6">
        <w:noBreakHyphen/>
      </w:r>
      <w:r w:rsidR="005147A6" w:rsidRPr="00E14EE6">
        <w:t>21, modified the total revenues, expenditures and financing due to the positive domestic environment and increasing pressures on expenditure in order to implement the vaccination programme, vital welfare programmes, and mechanisms to respond to rising international commodity prices</w:t>
      </w:r>
      <w:r w:rsidRPr="00E14EE6">
        <w:t>. B</w:t>
      </w:r>
      <w:r w:rsidR="005147A6" w:rsidRPr="00E14EE6">
        <w:t>ased on a positive revenue outlook and given higher spending on the above items, the fiscal deficit as a percentage of GDP was projected to increase, which savings from the debt buy</w:t>
      </w:r>
      <w:r w:rsidRPr="00E14EE6">
        <w:noBreakHyphen/>
      </w:r>
      <w:r w:rsidR="005147A6" w:rsidRPr="00E14EE6">
        <w:t>back in late 2020 would cover comfortably</w:t>
      </w:r>
      <w:r w:rsidRPr="00E14EE6">
        <w:t>. G</w:t>
      </w:r>
      <w:r w:rsidR="005147A6" w:rsidRPr="00E14EE6">
        <w:t xml:space="preserve">iven that revenues exceeded expectations, and in order to offset higher fuel and fertilizer prices, a new budget was approved, amended in December through Law </w:t>
      </w:r>
      <w:r w:rsidRPr="00E14EE6">
        <w:t>No. </w:t>
      </w:r>
      <w:r w:rsidR="005147A6" w:rsidRPr="00E14EE6">
        <w:t>341</w:t>
      </w:r>
      <w:r w:rsidRPr="00E14EE6">
        <w:noBreakHyphen/>
      </w:r>
      <w:r w:rsidR="005147A6" w:rsidRPr="00E14EE6">
        <w:t>21, which provided for a lower deficit as a percentage of GDP compared with the August amendment, thereby reverting to the levels of the initial budget</w:t>
      </w:r>
      <w:r w:rsidRPr="00E14EE6">
        <w:t>.</w:t>
      </w:r>
      <w:r w:rsidRPr="00E14EE6">
        <w:rPr>
          <w:rStyle w:val="FootnoteReference"/>
        </w:rPr>
        <w:footnoteReference w:id="16"/>
      </w:r>
      <w:r w:rsidRPr="00E14EE6">
        <w:t xml:space="preserve"> T</w:t>
      </w:r>
      <w:r w:rsidR="005147A6" w:rsidRPr="00E14EE6">
        <w:t xml:space="preserve">his was partly possible because, to protect itself from rising international prices of oil derivatives, the Dominican Government decided to purchase a call option for natural gas in </w:t>
      </w:r>
      <w:r w:rsidRPr="00E14EE6">
        <w:t>April 2</w:t>
      </w:r>
      <w:r w:rsidR="005147A6" w:rsidRPr="00E14EE6">
        <w:t xml:space="preserve">021 to guarantee a maximum price </w:t>
      </w:r>
      <w:r w:rsidR="00CA0023" w:rsidRPr="00E14EE6">
        <w:t>(</w:t>
      </w:r>
      <w:r w:rsidRPr="00E14EE6">
        <w:t>USD 3</w:t>
      </w:r>
      <w:r w:rsidR="005147A6" w:rsidRPr="00E14EE6">
        <w:t>.25 per MMBtu</w:t>
      </w:r>
      <w:r w:rsidR="00CA0023" w:rsidRPr="00E14EE6">
        <w:t>)</w:t>
      </w:r>
      <w:r w:rsidRPr="00E14EE6">
        <w:t>.</w:t>
      </w:r>
      <w:r w:rsidRPr="00E14EE6">
        <w:rPr>
          <w:rStyle w:val="FootnoteReference"/>
        </w:rPr>
        <w:footnoteReference w:id="17"/>
      </w:r>
      <w:r w:rsidRPr="00E14EE6">
        <w:t xml:space="preserve"> D</w:t>
      </w:r>
      <w:r w:rsidR="005147A6" w:rsidRPr="00E14EE6">
        <w:t xml:space="preserve">espite this, subsidies were the fastest growing expenditure item in 2021, with </w:t>
      </w:r>
      <w:r w:rsidRPr="00E14EE6">
        <w:t>DOP 13</w:t>
      </w:r>
      <w:r w:rsidR="005147A6" w:rsidRPr="00E14EE6">
        <w:t>,045.8</w:t>
      </w:r>
      <w:r w:rsidRPr="00E14EE6">
        <w:t> million</w:t>
      </w:r>
      <w:r w:rsidR="005147A6" w:rsidRPr="00E14EE6">
        <w:t xml:space="preserve"> allocated to mitigate the effect of increased prices of oil derivatives and </w:t>
      </w:r>
      <w:r w:rsidRPr="00E14EE6">
        <w:t>DOP 47</w:t>
      </w:r>
      <w:r w:rsidR="005147A6" w:rsidRPr="00E14EE6">
        <w:t>,397.6</w:t>
      </w:r>
      <w:r w:rsidRPr="00E14EE6">
        <w:t> million</w:t>
      </w:r>
      <w:r w:rsidR="005147A6" w:rsidRPr="00E14EE6">
        <w:t xml:space="preserve"> to subsidize expenditures on</w:t>
      </w:r>
      <w:r w:rsidR="00924E45" w:rsidRPr="00E14EE6">
        <w:t xml:space="preserve"> the liabilities of</w:t>
      </w:r>
      <w:r w:rsidR="005147A6" w:rsidRPr="00E14EE6">
        <w:t xml:space="preserve"> electricity distribution companies.</w:t>
      </w:r>
    </w:p>
    <w:p w14:paraId="103D6BE4" w14:textId="30BC7251" w:rsidR="007C74EF" w:rsidRPr="00E14EE6" w:rsidRDefault="00E14EE6" w:rsidP="00763857">
      <w:pPr>
        <w:pStyle w:val="BodyText"/>
      </w:pPr>
      <w:r w:rsidRPr="00E14EE6">
        <w:t>I</w:t>
      </w:r>
      <w:r w:rsidR="005147A6" w:rsidRPr="00E14EE6">
        <w:t xml:space="preserve">n </w:t>
      </w:r>
      <w:r w:rsidRPr="00E14EE6">
        <w:t>June 2</w:t>
      </w:r>
      <w:r w:rsidR="005147A6" w:rsidRPr="00E14EE6">
        <w:t xml:space="preserve">021, Decree </w:t>
      </w:r>
      <w:r w:rsidRPr="00E14EE6">
        <w:t>No. </w:t>
      </w:r>
      <w:r w:rsidR="005147A6" w:rsidRPr="00E14EE6">
        <w:t>396</w:t>
      </w:r>
      <w:r w:rsidRPr="00E14EE6">
        <w:noBreakHyphen/>
      </w:r>
      <w:r w:rsidR="005147A6" w:rsidRPr="00E14EE6">
        <w:t xml:space="preserve">21 reducing </w:t>
      </w:r>
      <w:r w:rsidR="0019439F" w:rsidRPr="00E14EE6">
        <w:t>superficial</w:t>
      </w:r>
      <w:r w:rsidR="005147A6" w:rsidRPr="00E14EE6">
        <w:t xml:space="preserve"> expenditure was approved, in order to address rising expenditure, which saved </w:t>
      </w:r>
      <w:r w:rsidRPr="00E14EE6">
        <w:t>DOP 12</w:t>
      </w:r>
      <w:r w:rsidR="005147A6" w:rsidRPr="00E14EE6">
        <w:t>,409.3</w:t>
      </w:r>
      <w:r w:rsidRPr="00E14EE6">
        <w:t> million</w:t>
      </w:r>
      <w:r w:rsidR="005147A6" w:rsidRPr="00E14EE6">
        <w:t>, according to the authorities</w:t>
      </w:r>
      <w:r w:rsidRPr="00E14EE6">
        <w:t>. A</w:t>
      </w:r>
      <w:r w:rsidR="005147A6" w:rsidRPr="00E14EE6">
        <w:t xml:space="preserve">s a result, the </w:t>
      </w:r>
      <w:r w:rsidR="00AD3D99" w:rsidRPr="00E14EE6">
        <w:t>c</w:t>
      </w:r>
      <w:r w:rsidR="005147A6" w:rsidRPr="00E14EE6">
        <w:t>entral Government posted a surplus of 0.2</w:t>
      </w:r>
      <w:r>
        <w:t>%</w:t>
      </w:r>
      <w:r w:rsidR="005147A6" w:rsidRPr="00E14EE6">
        <w:t xml:space="preserve"> of GDP in 2021, and an overall deficit of 2.9</w:t>
      </w:r>
      <w:r>
        <w:t>%</w:t>
      </w:r>
      <w:r w:rsidR="005147A6" w:rsidRPr="00E14EE6">
        <w:t xml:space="preserve"> of GDP</w:t>
      </w:r>
      <w:r w:rsidRPr="00E14EE6">
        <w:t>. T</w:t>
      </w:r>
      <w:r w:rsidR="005147A6" w:rsidRPr="00E14EE6">
        <w:t xml:space="preserve">he overall deficit of the </w:t>
      </w:r>
      <w:proofErr w:type="spellStart"/>
      <w:r w:rsidR="005147A6" w:rsidRPr="00E14EE6">
        <w:t>NFPS</w:t>
      </w:r>
      <w:proofErr w:type="spellEnd"/>
      <w:r w:rsidR="005147A6" w:rsidRPr="00E14EE6">
        <w:t xml:space="preserve"> was 2.7</w:t>
      </w:r>
      <w:r>
        <w:t>%</w:t>
      </w:r>
      <w:r w:rsidR="005147A6" w:rsidRPr="00E14EE6">
        <w:t xml:space="preserve"> of GDP</w:t>
      </w:r>
      <w:r w:rsidRPr="00E14EE6">
        <w:t>. E</w:t>
      </w:r>
      <w:r w:rsidR="005147A6" w:rsidRPr="00E14EE6">
        <w:t>xternal financing covered 83.6</w:t>
      </w:r>
      <w:r>
        <w:t>%</w:t>
      </w:r>
      <w:r w:rsidR="005147A6" w:rsidRPr="00E14EE6">
        <w:t xml:space="preserve"> of the deficit, through bonds issued on international markets and bilateral loans, </w:t>
      </w:r>
      <w:r w:rsidR="00CC009E" w:rsidRPr="00E14EE6">
        <w:t xml:space="preserve">while domestic financing covered </w:t>
      </w:r>
      <w:r w:rsidR="005147A6" w:rsidRPr="00E14EE6">
        <w:t>16.4</w:t>
      </w:r>
      <w:r>
        <w:t>%</w:t>
      </w:r>
      <w:r w:rsidR="005147A6" w:rsidRPr="00E14EE6">
        <w:t>, mostly through bonds issued on the local market.</w:t>
      </w:r>
      <w:r w:rsidRPr="00E14EE6">
        <w:rPr>
          <w:rStyle w:val="FootnoteReference"/>
        </w:rPr>
        <w:footnoteReference w:id="18"/>
      </w:r>
    </w:p>
    <w:p w14:paraId="1F60D55C" w14:textId="705C9430" w:rsidR="00CA7676" w:rsidRPr="00E14EE6" w:rsidRDefault="00E14EE6" w:rsidP="00763857">
      <w:pPr>
        <w:pStyle w:val="BodyText"/>
      </w:pPr>
      <w:r w:rsidRPr="00E14EE6">
        <w:t>I</w:t>
      </w:r>
      <w:r w:rsidR="005147A6" w:rsidRPr="00E14EE6">
        <w:t xml:space="preserve">n 2020, </w:t>
      </w:r>
      <w:r w:rsidRPr="00E14EE6">
        <w:t>USD 3</w:t>
      </w:r>
      <w:r w:rsidR="005147A6" w:rsidRPr="00E14EE6">
        <w:t>.8</w:t>
      </w:r>
      <w:r w:rsidRPr="00E14EE6">
        <w:t> billion</w:t>
      </w:r>
      <w:r w:rsidR="005147A6" w:rsidRPr="00E14EE6">
        <w:t xml:space="preserve"> of sovereign bonds were issued on the international market to deliver on welfare programmes and to expand the budget</w:t>
      </w:r>
      <w:r w:rsidRPr="00E14EE6">
        <w:t>.</w:t>
      </w:r>
      <w:r w:rsidRPr="00E14EE6">
        <w:rPr>
          <w:rStyle w:val="FootnoteReference"/>
        </w:rPr>
        <w:footnoteReference w:id="19"/>
      </w:r>
      <w:r w:rsidRPr="00E14EE6">
        <w:t xml:space="preserve"> T</w:t>
      </w:r>
      <w:r w:rsidR="00685CDC" w:rsidRPr="00E14EE6">
        <w:t>his ensured that</w:t>
      </w:r>
      <w:r w:rsidR="005147A6" w:rsidRPr="00E14EE6">
        <w:t xml:space="preserve"> the necessary resources were obtained to meet the commitments of the welfare programmes until year</w:t>
      </w:r>
      <w:r w:rsidRPr="00E14EE6">
        <w:noBreakHyphen/>
      </w:r>
      <w:r w:rsidR="005147A6" w:rsidRPr="00E14EE6">
        <w:t xml:space="preserve">end and the health sector </w:t>
      </w:r>
      <w:r w:rsidR="005147A6" w:rsidRPr="00E14EE6">
        <w:lastRenderedPageBreak/>
        <w:t>plans</w:t>
      </w:r>
      <w:r w:rsidRPr="00E14EE6">
        <w:t>. L</w:t>
      </w:r>
      <w:r w:rsidR="005147A6" w:rsidRPr="00E14EE6">
        <w:t>oans and trade credit lines were also obtained from the International Monetary Fund (IMF), the World Bank, the Inter</w:t>
      </w:r>
      <w:r w:rsidRPr="00E14EE6">
        <w:noBreakHyphen/>
      </w:r>
      <w:r w:rsidR="005147A6" w:rsidRPr="00E14EE6">
        <w:t>American Development Bank, the Development Bank of Latin America and the Central American Bank for Economic Integration</w:t>
      </w:r>
      <w:r w:rsidRPr="00E14EE6">
        <w:t>. A</w:t>
      </w:r>
      <w:r w:rsidR="005147A6" w:rsidRPr="00E14EE6">
        <w:t xml:space="preserve"> budget support subsidy of </w:t>
      </w:r>
      <w:r w:rsidRPr="00E14EE6">
        <w:t>DOP 725 million</w:t>
      </w:r>
      <w:r w:rsidR="005147A6" w:rsidRPr="00E14EE6">
        <w:t xml:space="preserve"> (</w:t>
      </w:r>
      <w:r w:rsidRPr="00E14EE6">
        <w:t>USD 12</w:t>
      </w:r>
      <w:r w:rsidR="005147A6" w:rsidRPr="00E14EE6">
        <w:t>.4</w:t>
      </w:r>
      <w:r w:rsidRPr="00E14EE6">
        <w:t> million</w:t>
      </w:r>
      <w:r w:rsidR="005147A6" w:rsidRPr="00E14EE6">
        <w:t xml:space="preserve">) was obtained from the European Union </w:t>
      </w:r>
      <w:r w:rsidR="00370BD0" w:rsidRPr="00E14EE6">
        <w:t xml:space="preserve">(EU) </w:t>
      </w:r>
      <w:r w:rsidR="005147A6" w:rsidRPr="00E14EE6">
        <w:t xml:space="preserve">and domestic debt of </w:t>
      </w:r>
      <w:r w:rsidRPr="00E14EE6">
        <w:t>USD 700 million</w:t>
      </w:r>
      <w:r w:rsidR="005147A6" w:rsidRPr="00E14EE6">
        <w:t xml:space="preserve"> was raised, with maturities ranging from 10 to 20 years at a 10</w:t>
      </w:r>
      <w:r w:rsidRPr="00E14EE6">
        <w:noBreakHyphen/>
      </w:r>
      <w:r w:rsidR="005147A6" w:rsidRPr="00E14EE6">
        <w:t>11</w:t>
      </w:r>
      <w:r>
        <w:t>%</w:t>
      </w:r>
      <w:r w:rsidR="005147A6" w:rsidRPr="00E14EE6">
        <w:t xml:space="preserve"> interest rate</w:t>
      </w:r>
      <w:r w:rsidRPr="00E14EE6">
        <w:t>. I</w:t>
      </w:r>
      <w:r w:rsidR="005147A6" w:rsidRPr="00E14EE6">
        <w:t>n December, the Government announced plans to reopen its 2032 global bonds to repurchase four</w:t>
      </w:r>
      <w:r w:rsidR="00C82666">
        <w:t> </w:t>
      </w:r>
      <w:r w:rsidR="005147A6" w:rsidRPr="00E14EE6">
        <w:t xml:space="preserve">series of dollar bonds maturing between 2021 and 2025, for up to </w:t>
      </w:r>
      <w:r w:rsidRPr="00E14EE6">
        <w:t>USD 3</w:t>
      </w:r>
      <w:r w:rsidR="005147A6" w:rsidRPr="00E14EE6">
        <w:t>.5</w:t>
      </w:r>
      <w:r w:rsidRPr="00E14EE6">
        <w:t> billion. I</w:t>
      </w:r>
      <w:r w:rsidR="005147A6" w:rsidRPr="00E14EE6">
        <w:t xml:space="preserve">n </w:t>
      </w:r>
      <w:r w:rsidRPr="00E14EE6">
        <w:t>January 2</w:t>
      </w:r>
      <w:r w:rsidR="005147A6" w:rsidRPr="00E14EE6">
        <w:t>021</w:t>
      </w:r>
      <w:r w:rsidR="00AF40C8" w:rsidRPr="00E14EE6">
        <w:t>,</w:t>
      </w:r>
      <w:r w:rsidR="005147A6" w:rsidRPr="00E14EE6">
        <w:t xml:space="preserve"> the Government issued an additional </w:t>
      </w:r>
      <w:r w:rsidRPr="00E14EE6">
        <w:t>USD 2</w:t>
      </w:r>
      <w:r w:rsidR="005147A6" w:rsidRPr="00E14EE6">
        <w:t>.5</w:t>
      </w:r>
      <w:r w:rsidRPr="00E14EE6">
        <w:t> billion</w:t>
      </w:r>
      <w:r w:rsidR="005147A6" w:rsidRPr="00E14EE6">
        <w:t>, with maturities of 10 and 40</w:t>
      </w:r>
      <w:r w:rsidR="00EF7CB7">
        <w:t> </w:t>
      </w:r>
      <w:r w:rsidR="005147A6" w:rsidRPr="00E14EE6">
        <w:t>years, and interest rates of 4.5</w:t>
      </w:r>
      <w:r>
        <w:t>%</w:t>
      </w:r>
      <w:r w:rsidR="005147A6" w:rsidRPr="00E14EE6">
        <w:t xml:space="preserve"> and 5.875</w:t>
      </w:r>
      <w:r>
        <w:t>%</w:t>
      </w:r>
      <w:r w:rsidR="005147A6" w:rsidRPr="00E14EE6">
        <w:t>, respectively.</w:t>
      </w:r>
    </w:p>
    <w:p w14:paraId="60E5E17E" w14:textId="1796D2E2" w:rsidR="007C74EF" w:rsidRPr="00E14EE6" w:rsidRDefault="00E14EE6" w:rsidP="00763857">
      <w:pPr>
        <w:pStyle w:val="BodyText"/>
      </w:pPr>
      <w:r w:rsidRPr="00E14EE6">
        <w:t>P</w:t>
      </w:r>
      <w:r w:rsidR="005147A6" w:rsidRPr="00E14EE6">
        <w:t>ublic debt buybacks continued in 2022</w:t>
      </w:r>
      <w:r w:rsidRPr="00E14EE6">
        <w:t>. T</w:t>
      </w:r>
      <w:r w:rsidR="005147A6" w:rsidRPr="00E14EE6">
        <w:t xml:space="preserve">he Government cancelled </w:t>
      </w:r>
      <w:r w:rsidRPr="00E14EE6">
        <w:t>USD 1</w:t>
      </w:r>
      <w:r w:rsidR="005147A6" w:rsidRPr="00E14EE6">
        <w:t>,162.2</w:t>
      </w:r>
      <w:r w:rsidRPr="00E14EE6">
        <w:t> million</w:t>
      </w:r>
      <w:r w:rsidR="005147A6" w:rsidRPr="00E14EE6">
        <w:t xml:space="preserve"> in obligations for 2022</w:t>
      </w:r>
      <w:r w:rsidRPr="00E14EE6">
        <w:noBreakHyphen/>
      </w:r>
      <w:r w:rsidR="005147A6" w:rsidRPr="00E14EE6">
        <w:t xml:space="preserve">24 through the </w:t>
      </w:r>
      <w:r w:rsidR="00D97DE8" w:rsidRPr="00E14EE6">
        <w:t>L</w:t>
      </w:r>
      <w:r w:rsidR="005147A6" w:rsidRPr="00E14EE6">
        <w:t xml:space="preserve">iability </w:t>
      </w:r>
      <w:r w:rsidR="00D97DE8" w:rsidRPr="00E14EE6">
        <w:t>M</w:t>
      </w:r>
      <w:r w:rsidR="005147A6" w:rsidRPr="00E14EE6">
        <w:t xml:space="preserve">anagement </w:t>
      </w:r>
      <w:r w:rsidR="00D97DE8" w:rsidRPr="00E14EE6">
        <w:t>O</w:t>
      </w:r>
      <w:r w:rsidR="005147A6" w:rsidRPr="00E14EE6">
        <w:t xml:space="preserve">peration in </w:t>
      </w:r>
      <w:r w:rsidRPr="00E14EE6">
        <w:t>February 2</w:t>
      </w:r>
      <w:r w:rsidR="005147A6" w:rsidRPr="00E14EE6">
        <w:t>022</w:t>
      </w:r>
      <w:r w:rsidRPr="00E14EE6">
        <w:t>.</w:t>
      </w:r>
      <w:r w:rsidRPr="00E14EE6">
        <w:rPr>
          <w:rStyle w:val="FootnoteReference"/>
        </w:rPr>
        <w:footnoteReference w:id="20"/>
      </w:r>
      <w:r w:rsidRPr="00E14EE6">
        <w:t xml:space="preserve"> T</w:t>
      </w:r>
      <w:r w:rsidR="005147A6" w:rsidRPr="00E14EE6">
        <w:t>wo new bonds were also issued, maturing in 2029 and 2033 with a coupon of 5.5</w:t>
      </w:r>
      <w:r>
        <w:t>%</w:t>
      </w:r>
      <w:r w:rsidR="005147A6" w:rsidRPr="00E14EE6">
        <w:t xml:space="preserve"> and 6.0</w:t>
      </w:r>
      <w:r>
        <w:t>%</w:t>
      </w:r>
      <w:r w:rsidR="005147A6" w:rsidRPr="00E14EE6">
        <w:t xml:space="preserve"> respectively</w:t>
      </w:r>
      <w:r w:rsidRPr="00E14EE6">
        <w:t>. T</w:t>
      </w:r>
      <w:r w:rsidR="005147A6" w:rsidRPr="00E14EE6">
        <w:t xml:space="preserve">he cost of </w:t>
      </w:r>
      <w:r w:rsidR="009E6AA5" w:rsidRPr="00E14EE6">
        <w:t xml:space="preserve">the </w:t>
      </w:r>
      <w:r w:rsidR="005147A6" w:rsidRPr="00E14EE6">
        <w:t>debt decreased by 3 basis points and the maturity of the dollar bond portfolio increased by 0.3 years</w:t>
      </w:r>
      <w:r w:rsidRPr="00E14EE6">
        <w:t>.</w:t>
      </w:r>
      <w:r w:rsidRPr="00E14EE6">
        <w:rPr>
          <w:rStyle w:val="FootnoteReference"/>
        </w:rPr>
        <w:footnoteReference w:id="21"/>
      </w:r>
      <w:r w:rsidRPr="00E14EE6">
        <w:t xml:space="preserve"> P</w:t>
      </w:r>
      <w:r w:rsidR="005147A6" w:rsidRPr="00E14EE6">
        <w:t>ublic debt levels fell in 2021 as a result of the debt buyback</w:t>
      </w:r>
      <w:r w:rsidRPr="00E14EE6">
        <w:t>. A</w:t>
      </w:r>
      <w:r w:rsidR="005147A6" w:rsidRPr="00E14EE6">
        <w:t xml:space="preserve">s of </w:t>
      </w:r>
      <w:r w:rsidRPr="00E14EE6">
        <w:t>December 2</w:t>
      </w:r>
      <w:r w:rsidR="005147A6" w:rsidRPr="00E14EE6">
        <w:t xml:space="preserve">021, </w:t>
      </w:r>
      <w:proofErr w:type="spellStart"/>
      <w:r w:rsidR="005147A6" w:rsidRPr="00E14EE6">
        <w:t>NFPS</w:t>
      </w:r>
      <w:proofErr w:type="spellEnd"/>
      <w:r w:rsidR="005147A6" w:rsidRPr="00E14EE6">
        <w:t xml:space="preserve"> debt amounted to </w:t>
      </w:r>
      <w:r w:rsidRPr="00E14EE6">
        <w:t>USD 47</w:t>
      </w:r>
      <w:r w:rsidR="005147A6" w:rsidRPr="00E14EE6">
        <w:t>,674.1</w:t>
      </w:r>
      <w:r w:rsidRPr="00E14EE6">
        <w:t> million</w:t>
      </w:r>
      <w:r w:rsidR="005147A6" w:rsidRPr="00E14EE6">
        <w:t>, equivalent to 50.5</w:t>
      </w:r>
      <w:r>
        <w:t>%</w:t>
      </w:r>
      <w:r w:rsidR="005147A6" w:rsidRPr="00E14EE6">
        <w:t xml:space="preserve"> of GDP (external debt accounted for 35.3</w:t>
      </w:r>
      <w:r>
        <w:t>%</w:t>
      </w:r>
      <w:r w:rsidR="005147A6" w:rsidRPr="00E14EE6">
        <w:t xml:space="preserve"> of GDP and domestic debt for 15.2</w:t>
      </w:r>
      <w:r>
        <w:t>%</w:t>
      </w:r>
      <w:r w:rsidR="005147A6" w:rsidRPr="00E14EE6">
        <w:t xml:space="preserve"> of GDP, respectively), compared with 56.7</w:t>
      </w:r>
      <w:r>
        <w:t>%</w:t>
      </w:r>
      <w:r w:rsidR="005147A6" w:rsidRPr="00E14EE6">
        <w:t xml:space="preserve"> in </w:t>
      </w:r>
      <w:r w:rsidRPr="00E14EE6">
        <w:t>December 2</w:t>
      </w:r>
      <w:r w:rsidR="005147A6" w:rsidRPr="00E14EE6">
        <w:t>020</w:t>
      </w:r>
      <w:r w:rsidRPr="00E14EE6">
        <w:t>.</w:t>
      </w:r>
      <w:r w:rsidRPr="00E14EE6">
        <w:rPr>
          <w:rStyle w:val="FootnoteReference"/>
        </w:rPr>
        <w:footnoteReference w:id="22"/>
      </w:r>
      <w:r w:rsidRPr="00E14EE6">
        <w:t xml:space="preserve"> T</w:t>
      </w:r>
      <w:r w:rsidR="005147A6" w:rsidRPr="00E14EE6">
        <w:t>he decrease as a percentage of GDP also reflects the accelerated GDP growth in 2021.</w:t>
      </w:r>
    </w:p>
    <w:p w14:paraId="6E088C04" w14:textId="01C8576C" w:rsidR="00CA7676" w:rsidRPr="00E14EE6" w:rsidRDefault="00E14EE6" w:rsidP="00763857">
      <w:pPr>
        <w:pStyle w:val="BodyText"/>
      </w:pPr>
      <w:r w:rsidRPr="00E14EE6">
        <w:t>D</w:t>
      </w:r>
      <w:r w:rsidR="005147A6" w:rsidRPr="00E14EE6">
        <w:t>uring the Dominican Republic's previous Article IV review, the IMF noted that there is scope to mobilize more tax revenue by broadening the tax base and streamlining exemptions while calibrating its distributional impact</w:t>
      </w:r>
      <w:r w:rsidRPr="00E14EE6">
        <w:t>. T</w:t>
      </w:r>
      <w:r w:rsidR="005147A6" w:rsidRPr="00E14EE6">
        <w:t>he IMF considers that this would contribute to inclusive fiscal consolidation in the medium term, while leaving room for essential expenditures</w:t>
      </w:r>
      <w:r w:rsidRPr="00E14EE6">
        <w:t>.</w:t>
      </w:r>
      <w:r w:rsidRPr="00E14EE6">
        <w:rPr>
          <w:rStyle w:val="FootnoteReference"/>
        </w:rPr>
        <w:footnoteReference w:id="23"/>
      </w:r>
      <w:r w:rsidRPr="00E14EE6">
        <w:t xml:space="preserve"> A</w:t>
      </w:r>
      <w:r w:rsidR="005147A6" w:rsidRPr="00E14EE6">
        <w:t>ccording to the IMF, fiscal authorities took advantage of the economic recovery in 2021 to front</w:t>
      </w:r>
      <w:r w:rsidRPr="00E14EE6">
        <w:noBreakHyphen/>
      </w:r>
      <w:r w:rsidR="005147A6" w:rsidRPr="00E14EE6">
        <w:t>load a consolidation, securing policy sustainability</w:t>
      </w:r>
      <w:r w:rsidRPr="00E14EE6">
        <w:t>. T</w:t>
      </w:r>
      <w:r w:rsidR="005147A6" w:rsidRPr="00E14EE6">
        <w:t>he budget redirected spending at aiding the reopening – especially through vaccination – and at mitigating the impact of rising commodity prices</w:t>
      </w:r>
      <w:r w:rsidRPr="00E14EE6">
        <w:t>. T</w:t>
      </w:r>
      <w:r w:rsidR="005147A6" w:rsidRPr="00E14EE6">
        <w:t>he recovery allowed the gradual phase</w:t>
      </w:r>
      <w:r w:rsidRPr="00E14EE6">
        <w:noBreakHyphen/>
      </w:r>
      <w:r w:rsidR="005147A6" w:rsidRPr="00E14EE6">
        <w:t>out of income and employment pandemic</w:t>
      </w:r>
      <w:r w:rsidRPr="00E14EE6">
        <w:noBreakHyphen/>
      </w:r>
      <w:r w:rsidR="005147A6" w:rsidRPr="00E14EE6">
        <w:t>related support, which along with strict expenditure controls, helped reduce the deficit by about 5</w:t>
      </w:r>
      <w:r>
        <w:t>%</w:t>
      </w:r>
      <w:r w:rsidR="005147A6" w:rsidRPr="00E14EE6">
        <w:t xml:space="preserve"> of GDP</w:t>
      </w:r>
      <w:r w:rsidRPr="00E14EE6">
        <w:t>.</w:t>
      </w:r>
      <w:r w:rsidRPr="00E14EE6">
        <w:rPr>
          <w:rStyle w:val="FootnoteReference"/>
        </w:rPr>
        <w:footnoteReference w:id="24"/>
      </w:r>
      <w:r w:rsidRPr="00E14EE6">
        <w:t xml:space="preserve"> T</w:t>
      </w:r>
      <w:r w:rsidR="005147A6" w:rsidRPr="00E14EE6">
        <w:t>he IMF noted that the 2022 budget continues to prioritize expenditure rationalization while mitigating the impact of higher commodity prices and that a neutral fiscal stance could be expected in 2022</w:t>
      </w:r>
      <w:r w:rsidRPr="00E14EE6">
        <w:t>. T</w:t>
      </w:r>
      <w:r w:rsidR="005147A6" w:rsidRPr="00E14EE6">
        <w:t>he authorities were expected to continue curbing current spending and proceed with reforms in the electricity sector</w:t>
      </w:r>
      <w:r w:rsidR="00C5302C">
        <w:t> </w:t>
      </w:r>
      <w:r w:rsidR="005147A6" w:rsidRPr="00E14EE6">
        <w:t>–</w:t>
      </w:r>
      <w:r w:rsidR="00C5302C">
        <w:t> </w:t>
      </w:r>
      <w:r w:rsidR="005147A6" w:rsidRPr="00E14EE6">
        <w:t>including gradually adjusting tariffs and replacing consumption</w:t>
      </w:r>
      <w:r w:rsidRPr="00E14EE6">
        <w:noBreakHyphen/>
      </w:r>
      <w:r w:rsidR="005147A6" w:rsidRPr="00E14EE6">
        <w:t>based subsidies with targeted transfers</w:t>
      </w:r>
      <w:r w:rsidRPr="00E14EE6">
        <w:t>. H</w:t>
      </w:r>
      <w:r w:rsidR="005147A6" w:rsidRPr="00E14EE6">
        <w:t>owever, 2022 subsidies were expected to remain elevated to mitigate the impact of higher energy and food prices.</w:t>
      </w:r>
    </w:p>
    <w:p w14:paraId="58F06F36" w14:textId="15FDBE11" w:rsidR="00CA7676" w:rsidRPr="00E14EE6" w:rsidRDefault="00E14EE6" w:rsidP="00A75533">
      <w:pPr>
        <w:pStyle w:val="BodyText"/>
        <w:keepNext/>
      </w:pPr>
      <w:r w:rsidRPr="00E14EE6">
        <w:t>T</w:t>
      </w:r>
      <w:r w:rsidR="005147A6" w:rsidRPr="00E14EE6">
        <w:t xml:space="preserve">he Dominican Republic publishes statistics on </w:t>
      </w:r>
      <w:r w:rsidR="005147A6" w:rsidRPr="00E14EE6">
        <w:rPr>
          <w:i/>
          <w:iCs/>
        </w:rPr>
        <w:t>ex ante</w:t>
      </w:r>
      <w:r w:rsidR="005147A6" w:rsidRPr="00E14EE6">
        <w:t xml:space="preserve"> estimates of tax expenditures</w:t>
      </w:r>
      <w:r w:rsidRPr="00E14EE6">
        <w:t>.</w:t>
      </w:r>
      <w:r w:rsidRPr="00E14EE6">
        <w:rPr>
          <w:rStyle w:val="FootnoteReference"/>
        </w:rPr>
        <w:footnoteReference w:id="25"/>
      </w:r>
      <w:r w:rsidRPr="00E14EE6">
        <w:t xml:space="preserve"> I</w:t>
      </w:r>
      <w:r w:rsidR="005147A6" w:rsidRPr="00E14EE6">
        <w:t>n accordance with these estimates, Chart 1.1 shows that tax expenditure as a percentage of GDP was on a downward path between 2016 and 2019, falling from 6.6</w:t>
      </w:r>
      <w:r>
        <w:t>%</w:t>
      </w:r>
      <w:r w:rsidR="005147A6" w:rsidRPr="00E14EE6">
        <w:t xml:space="preserve"> to 5.1</w:t>
      </w:r>
      <w:r>
        <w:t>%</w:t>
      </w:r>
      <w:r w:rsidR="005147A6" w:rsidRPr="00E14EE6">
        <w:t xml:space="preserve"> of GDP</w:t>
      </w:r>
      <w:r w:rsidRPr="00E14EE6">
        <w:t>. A</w:t>
      </w:r>
      <w:r w:rsidR="005147A6" w:rsidRPr="00E14EE6">
        <w:t>fter a slight upturn in 2020, partly explained by pandemic</w:t>
      </w:r>
      <w:r w:rsidRPr="00E14EE6">
        <w:noBreakHyphen/>
      </w:r>
      <w:r w:rsidR="005147A6" w:rsidRPr="00E14EE6">
        <w:t xml:space="preserve">response measures, tax expenditure entered a new </w:t>
      </w:r>
      <w:r w:rsidR="005147A6" w:rsidRPr="00E14EE6">
        <w:lastRenderedPageBreak/>
        <w:t>downward phase, accounting for 5</w:t>
      </w:r>
      <w:r>
        <w:t>%</w:t>
      </w:r>
      <w:r w:rsidR="005147A6" w:rsidRPr="00E14EE6">
        <w:t xml:space="preserve"> of GDP in 2021</w:t>
      </w:r>
      <w:r w:rsidRPr="00E14EE6">
        <w:rPr>
          <w:rStyle w:val="FootnoteReference"/>
        </w:rPr>
        <w:footnoteReference w:id="26"/>
      </w:r>
      <w:r w:rsidR="005147A6" w:rsidRPr="00E14EE6">
        <w:t xml:space="preserve"> and 4.9</w:t>
      </w:r>
      <w:r>
        <w:t>%</w:t>
      </w:r>
      <w:r w:rsidR="005147A6" w:rsidRPr="00E14EE6">
        <w:t xml:space="preserve"> of GDP estimated for 2022</w:t>
      </w:r>
      <w:r w:rsidRPr="00E14EE6">
        <w:t>. B</w:t>
      </w:r>
      <w:r w:rsidR="005147A6" w:rsidRPr="00E14EE6">
        <w:t>y tax type, the largest tax expenditure is value</w:t>
      </w:r>
      <w:r w:rsidRPr="00E14EE6">
        <w:noBreakHyphen/>
      </w:r>
      <w:r w:rsidR="005147A6" w:rsidRPr="00E14EE6">
        <w:t xml:space="preserve">added tax, or </w:t>
      </w:r>
      <w:r w:rsidR="005D1C13">
        <w:t xml:space="preserve">the </w:t>
      </w:r>
      <w:proofErr w:type="spellStart"/>
      <w:r w:rsidR="005147A6" w:rsidRPr="00E14EE6">
        <w:t>ITBIS</w:t>
      </w:r>
      <w:proofErr w:type="spellEnd"/>
      <w:r w:rsidR="005147A6" w:rsidRPr="00E14EE6">
        <w:t>, which accounted for 52.2</w:t>
      </w:r>
      <w:r>
        <w:t>%</w:t>
      </w:r>
      <w:r w:rsidR="005147A6" w:rsidRPr="00E14EE6">
        <w:t xml:space="preserve"> (2.9</w:t>
      </w:r>
      <w:r>
        <w:t>%</w:t>
      </w:r>
      <w:r w:rsidR="005147A6" w:rsidRPr="00E14EE6">
        <w:t xml:space="preserve"> of GDP during the period) of average estimated tax expenditure between 2016 and 2022</w:t>
      </w:r>
      <w:r w:rsidRPr="00E14EE6">
        <w:t>. T</w:t>
      </w:r>
      <w:r w:rsidR="005147A6" w:rsidRPr="00E14EE6">
        <w:t>his is followed by tax expenditure on income tax (14</w:t>
      </w:r>
      <w:r>
        <w:t>%</w:t>
      </w:r>
      <w:r w:rsidRPr="00E14EE6">
        <w:t>; 0</w:t>
      </w:r>
      <w:r w:rsidR="005147A6" w:rsidRPr="00E14EE6">
        <w:t>.78</w:t>
      </w:r>
      <w:r>
        <w:t>%</w:t>
      </w:r>
      <w:r w:rsidR="005147A6" w:rsidRPr="00E14EE6">
        <w:t xml:space="preserve"> of GDP) and fuel tax (9.7</w:t>
      </w:r>
      <w:r>
        <w:t>%</w:t>
      </w:r>
      <w:r w:rsidRPr="00E14EE6">
        <w:t>; 0</w:t>
      </w:r>
      <w:r w:rsidR="005147A6" w:rsidRPr="00E14EE6">
        <w:t>.54</w:t>
      </w:r>
      <w:r>
        <w:t>%</w:t>
      </w:r>
      <w:r w:rsidR="005147A6" w:rsidRPr="00E14EE6">
        <w:t xml:space="preserve"> of GDP)</w:t>
      </w:r>
      <w:r w:rsidRPr="00E14EE6">
        <w:t>.</w:t>
      </w:r>
      <w:r w:rsidRPr="00E14EE6">
        <w:rPr>
          <w:rStyle w:val="FootnoteReference"/>
        </w:rPr>
        <w:footnoteReference w:id="27"/>
      </w:r>
      <w:r w:rsidRPr="00E14EE6">
        <w:t xml:space="preserve"> O</w:t>
      </w:r>
      <w:r w:rsidR="005147A6" w:rsidRPr="00E14EE6">
        <w:t>f the total estimated tax expenditure, 90</w:t>
      </w:r>
      <w:r>
        <w:t>%</w:t>
      </w:r>
      <w:r w:rsidR="005147A6" w:rsidRPr="00E14EE6">
        <w:t xml:space="preserve"> relates to tax exemptions collected by the Director</w:t>
      </w:r>
      <w:r w:rsidRPr="00E14EE6">
        <w:noBreakHyphen/>
      </w:r>
      <w:r w:rsidR="005147A6" w:rsidRPr="00E14EE6">
        <w:t>General of Internal Revenue (</w:t>
      </w:r>
      <w:proofErr w:type="spellStart"/>
      <w:r w:rsidR="005147A6" w:rsidRPr="00E14EE6">
        <w:t>DGII</w:t>
      </w:r>
      <w:proofErr w:type="spellEnd"/>
      <w:r w:rsidR="005147A6" w:rsidRPr="00E14EE6">
        <w:t>) and 10</w:t>
      </w:r>
      <w:r>
        <w:t>%</w:t>
      </w:r>
      <w:r w:rsidR="005147A6" w:rsidRPr="00E14EE6">
        <w:t xml:space="preserve"> to taxes levied by the Directorate</w:t>
      </w:r>
      <w:r w:rsidRPr="00E14EE6">
        <w:noBreakHyphen/>
      </w:r>
      <w:r w:rsidR="005147A6" w:rsidRPr="00E14EE6">
        <w:t>General of Customs (DGA)</w:t>
      </w:r>
      <w:r w:rsidRPr="00E14EE6">
        <w:t>. T</w:t>
      </w:r>
      <w:r w:rsidR="005147A6" w:rsidRPr="00E14EE6">
        <w:t>ax expenditure on tariffs accounted for 0.1</w:t>
      </w:r>
      <w:r>
        <w:t>%</w:t>
      </w:r>
      <w:r w:rsidR="005147A6" w:rsidRPr="00E14EE6">
        <w:t xml:space="preserve"> of GDP in 2020 and 2021</w:t>
      </w:r>
      <w:r w:rsidRPr="00E14EE6">
        <w:t>. T</w:t>
      </w:r>
      <w:r w:rsidR="005147A6" w:rsidRPr="00E14EE6">
        <w:t>he main beneficiaries of tax expenditures are individuals (40</w:t>
      </w:r>
      <w:r>
        <w:t>%</w:t>
      </w:r>
      <w:r w:rsidR="005147A6" w:rsidRPr="00E14EE6">
        <w:t xml:space="preserve"> of the total), industrial areas (13</w:t>
      </w:r>
      <w:r>
        <w:t>%</w:t>
      </w:r>
      <w:r w:rsidR="005147A6" w:rsidRPr="00E14EE6">
        <w:t xml:space="preserve"> in 2021), health (10</w:t>
      </w:r>
      <w:r>
        <w:t>%</w:t>
      </w:r>
      <w:r w:rsidR="005147A6" w:rsidRPr="00E14EE6">
        <w:t>), power generation (5</w:t>
      </w:r>
      <w:r>
        <w:t>%</w:t>
      </w:r>
      <w:r w:rsidR="005147A6" w:rsidRPr="00E14EE6">
        <w:t>) and tourism (3</w:t>
      </w:r>
      <w:r>
        <w:t>%</w:t>
      </w:r>
      <w:r w:rsidR="005147A6" w:rsidRPr="00E14EE6">
        <w:t>).</w:t>
      </w:r>
    </w:p>
    <w:p w14:paraId="1AE74AE7" w14:textId="2F6D1AC7" w:rsidR="00CA7676" w:rsidRPr="00E14EE6" w:rsidRDefault="00CE2C80" w:rsidP="00CE2C80">
      <w:pPr>
        <w:pStyle w:val="Caption"/>
      </w:pPr>
      <w:bookmarkStart w:id="45" w:name="_Toc117238010"/>
      <w:r>
        <w:t xml:space="preserve">Chart </w:t>
      </w:r>
      <w:r w:rsidR="00BD37F2">
        <w:fldChar w:fldCharType="begin"/>
      </w:r>
      <w:r w:rsidR="00BD37F2">
        <w:instrText xml:space="preserve"> STYLEREF 1 \s </w:instrText>
      </w:r>
      <w:r w:rsidR="00BD37F2">
        <w:fldChar w:fldCharType="separate"/>
      </w:r>
      <w:r w:rsidR="00C5302C">
        <w:rPr>
          <w:noProof/>
        </w:rPr>
        <w:t>1</w:t>
      </w:r>
      <w:r w:rsidR="00BD37F2">
        <w:rPr>
          <w:noProof/>
        </w:rPr>
        <w:fldChar w:fldCharType="end"/>
      </w:r>
      <w:r w:rsidR="00C5302C">
        <w:t>.</w:t>
      </w:r>
      <w:r w:rsidR="00BD37F2">
        <w:fldChar w:fldCharType="begin"/>
      </w:r>
      <w:r w:rsidR="00BD37F2">
        <w:instrText xml:space="preserve"> SEQ Chart \* ARABIC \s 1 </w:instrText>
      </w:r>
      <w:r w:rsidR="00BD37F2">
        <w:fldChar w:fldCharType="separate"/>
      </w:r>
      <w:r w:rsidR="00C5302C">
        <w:rPr>
          <w:noProof/>
        </w:rPr>
        <w:t>1</w:t>
      </w:r>
      <w:r w:rsidR="00BD37F2">
        <w:rPr>
          <w:noProof/>
        </w:rPr>
        <w:fldChar w:fldCharType="end"/>
      </w:r>
      <w:r>
        <w:t xml:space="preserve"> </w:t>
      </w:r>
      <w:r w:rsidR="00CA7676" w:rsidRPr="00E14EE6">
        <w:t>Tax expenditure by tax type and as a percentage of GDP, 2015</w:t>
      </w:r>
      <w:r w:rsidR="00E14EE6" w:rsidRPr="00E14EE6">
        <w:noBreakHyphen/>
      </w:r>
      <w:r w:rsidR="00CA7676" w:rsidRPr="00E14EE6">
        <w:t>22</w:t>
      </w:r>
      <w:bookmarkEnd w:id="45"/>
    </w:p>
    <w:p w14:paraId="0137630B" w14:textId="5D357CE5" w:rsidR="00B54A4A" w:rsidRDefault="00B54A4A" w:rsidP="00B54A4A">
      <w:r w:rsidRPr="00B54A4A">
        <w:rPr>
          <w:noProof/>
        </w:rPr>
        <w:drawing>
          <wp:inline distT="0" distB="0" distL="0" distR="0" wp14:anchorId="1BF20C46" wp14:editId="5398394B">
            <wp:extent cx="5731510" cy="1934210"/>
            <wp:effectExtent l="0" t="0" r="254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731510" cy="1934210"/>
                    </a:xfrm>
                    <a:prstGeom prst="rect">
                      <a:avLst/>
                    </a:prstGeom>
                    <a:noFill/>
                    <a:ln>
                      <a:noFill/>
                    </a:ln>
                  </pic:spPr>
                </pic:pic>
              </a:graphicData>
            </a:graphic>
          </wp:inline>
        </w:drawing>
      </w:r>
    </w:p>
    <w:p w14:paraId="1AE64056" w14:textId="77777777" w:rsidR="00CA7676" w:rsidRPr="00E14EE6" w:rsidRDefault="00CA7676" w:rsidP="00CE2C80">
      <w:pPr>
        <w:pStyle w:val="NoteText"/>
        <w:spacing w:before="120" w:after="240"/>
      </w:pPr>
      <w:r w:rsidRPr="00E14EE6">
        <w:t>Source:</w:t>
      </w:r>
      <w:r w:rsidRPr="00E14EE6">
        <w:tab/>
        <w:t>Ministry of Finance.</w:t>
      </w:r>
    </w:p>
    <w:p w14:paraId="0E3EEB54" w14:textId="1F1B8BC8" w:rsidR="00CA7676" w:rsidRPr="00E14EE6" w:rsidRDefault="005147A6" w:rsidP="00E14EE6">
      <w:pPr>
        <w:pStyle w:val="Heading3"/>
      </w:pPr>
      <w:bookmarkStart w:id="46" w:name="_Toc117260594"/>
      <w:r w:rsidRPr="00E14EE6">
        <w:t>Monetary and exchange</w:t>
      </w:r>
      <w:r w:rsidR="00E14EE6" w:rsidRPr="00E14EE6">
        <w:noBreakHyphen/>
      </w:r>
      <w:r w:rsidRPr="00E14EE6">
        <w:t>rate policy</w:t>
      </w:r>
      <w:bookmarkEnd w:id="46"/>
    </w:p>
    <w:p w14:paraId="1ED69EF4" w14:textId="7ECE2DE7" w:rsidR="007C74EF" w:rsidRPr="00E14EE6" w:rsidRDefault="00E14EE6" w:rsidP="00763857">
      <w:pPr>
        <w:pStyle w:val="BodyText"/>
      </w:pPr>
      <w:r w:rsidRPr="00E14EE6">
        <w:t>T</w:t>
      </w:r>
      <w:r w:rsidR="005147A6" w:rsidRPr="00E14EE6">
        <w:t>he main objective of the Dominican Republic's monetary policy is price stability, as established by Monetary and Financial Law No. 183</w:t>
      </w:r>
      <w:r w:rsidRPr="00E14EE6">
        <w:noBreakHyphen/>
      </w:r>
      <w:r w:rsidR="005147A6" w:rsidRPr="00E14EE6">
        <w:t>02 and by the Dominican Constitution of 2010</w:t>
      </w:r>
      <w:r w:rsidRPr="00E14EE6">
        <w:t>. W</w:t>
      </w:r>
      <w:r w:rsidR="005147A6" w:rsidRPr="00E14EE6">
        <w:t xml:space="preserve">ith a view to complying with this legal mandate, since </w:t>
      </w:r>
      <w:r w:rsidRPr="00E14EE6">
        <w:t>January 2</w:t>
      </w:r>
      <w:r w:rsidR="005147A6" w:rsidRPr="00E14EE6">
        <w:t xml:space="preserve">012 the </w:t>
      </w:r>
      <w:proofErr w:type="spellStart"/>
      <w:r w:rsidR="005147A6" w:rsidRPr="00E14EE6">
        <w:t>BCRD</w:t>
      </w:r>
      <w:proofErr w:type="spellEnd"/>
      <w:r w:rsidR="005147A6" w:rsidRPr="00E14EE6">
        <w:t xml:space="preserve"> has conducted its monetary policy based on an inflation</w:t>
      </w:r>
      <w:r w:rsidRPr="00E14EE6">
        <w:noBreakHyphen/>
      </w:r>
      <w:r w:rsidR="005147A6" w:rsidRPr="00E14EE6">
        <w:t>targeting scheme</w:t>
      </w:r>
      <w:r w:rsidRPr="00E14EE6">
        <w:t>. P</w:t>
      </w:r>
      <w:r w:rsidR="005147A6" w:rsidRPr="00E14EE6">
        <w:t>olicy decisions are aimed at minimizing any future deviations of inflation from announced targets</w:t>
      </w:r>
      <w:r w:rsidRPr="00E14EE6">
        <w:t>. T</w:t>
      </w:r>
      <w:r w:rsidR="005147A6" w:rsidRPr="00E14EE6">
        <w:t xml:space="preserve">he main tool used by the monetary authority to achieve this objective is the </w:t>
      </w:r>
      <w:proofErr w:type="spellStart"/>
      <w:r w:rsidR="005147A6" w:rsidRPr="00E14EE6">
        <w:t>MPR</w:t>
      </w:r>
      <w:proofErr w:type="spellEnd"/>
      <w:r w:rsidR="005147A6" w:rsidRPr="00E14EE6">
        <w:t>, which affects the interbank rate and, potentially, other market interest rates</w:t>
      </w:r>
      <w:r w:rsidRPr="00E14EE6">
        <w:t>. L</w:t>
      </w:r>
      <w:r w:rsidR="005147A6" w:rsidRPr="00E14EE6">
        <w:t xml:space="preserve">astly, monetary policy transmission mechanisms work in such a way that adjustments in the </w:t>
      </w:r>
      <w:proofErr w:type="spellStart"/>
      <w:r w:rsidR="005147A6" w:rsidRPr="00E14EE6">
        <w:t>MPR</w:t>
      </w:r>
      <w:proofErr w:type="spellEnd"/>
      <w:r w:rsidR="005147A6" w:rsidRPr="00E14EE6">
        <w:t xml:space="preserve"> have an impact on private individuals' consumption, saving and investment decisions.</w:t>
      </w:r>
    </w:p>
    <w:p w14:paraId="2A9CBB47" w14:textId="46C3E43D" w:rsidR="007C74EF" w:rsidRPr="00E14EE6" w:rsidRDefault="00E14EE6" w:rsidP="00763857">
      <w:pPr>
        <w:pStyle w:val="BodyText"/>
      </w:pPr>
      <w:r w:rsidRPr="00E14EE6">
        <w:t>T</w:t>
      </w:r>
      <w:r w:rsidR="005147A6" w:rsidRPr="00E14EE6">
        <w:t>he preparation of the monetary programme under the inflation</w:t>
      </w:r>
      <w:r w:rsidRPr="00E14EE6">
        <w:noBreakHyphen/>
      </w:r>
      <w:r w:rsidR="005147A6" w:rsidRPr="00E14EE6">
        <w:t>targeting scheme takes into account the outlook for key variables in the monetary, fiscal, real and external sectors, which in turn, consider the implementation of the monetary policy measures required to meet the inflation target over the stipulated time horizon</w:t>
      </w:r>
      <w:r w:rsidRPr="00E14EE6">
        <w:t>. D</w:t>
      </w:r>
      <w:r w:rsidR="005147A6" w:rsidRPr="00E14EE6">
        <w:t>evelopments in the monetary base and other monetary aggregates are taken as indicative variables</w:t>
      </w:r>
      <w:r w:rsidRPr="00E14EE6">
        <w:t>.</w:t>
      </w:r>
      <w:r w:rsidRPr="00E14EE6">
        <w:rPr>
          <w:rStyle w:val="FootnoteReference"/>
        </w:rPr>
        <w:footnoteReference w:id="28"/>
      </w:r>
      <w:r w:rsidRPr="00E14EE6">
        <w:t xml:space="preserve"> T</w:t>
      </w:r>
      <w:r w:rsidR="005147A6" w:rsidRPr="00E14EE6">
        <w:t xml:space="preserve">he Central Bank's monetary programme has its legal </w:t>
      </w:r>
      <w:r w:rsidR="005147A6" w:rsidRPr="00E14EE6">
        <w:lastRenderedPageBreak/>
        <w:t xml:space="preserve">basis in the provisions of Article 26 of Monetary and Financial Law </w:t>
      </w:r>
      <w:r w:rsidRPr="00E14EE6">
        <w:t>No. </w:t>
      </w:r>
      <w:r w:rsidR="005147A6" w:rsidRPr="00E14EE6">
        <w:t>183</w:t>
      </w:r>
      <w:r w:rsidRPr="00E14EE6">
        <w:noBreakHyphen/>
      </w:r>
      <w:r w:rsidR="005147A6" w:rsidRPr="00E14EE6">
        <w:t>02 and its corresponding Regulations on the Monetary Programme and Monetary Policy Instruments.</w:t>
      </w:r>
    </w:p>
    <w:p w14:paraId="59C954F4" w14:textId="6417D299" w:rsidR="00CA7676" w:rsidRPr="00E14EE6" w:rsidRDefault="00E14EE6" w:rsidP="00763857">
      <w:pPr>
        <w:pStyle w:val="BodyText"/>
      </w:pPr>
      <w:r w:rsidRPr="00E14EE6">
        <w:t>T</w:t>
      </w:r>
      <w:r w:rsidR="005147A6" w:rsidRPr="00E14EE6">
        <w:t>he inflation</w:t>
      </w:r>
      <w:r w:rsidRPr="00E14EE6">
        <w:noBreakHyphen/>
      </w:r>
      <w:r w:rsidR="005147A6" w:rsidRPr="00E14EE6">
        <w:t>targeting scheme is based on four key elements</w:t>
      </w:r>
      <w:r w:rsidRPr="00E14EE6">
        <w:t>: (</w:t>
      </w:r>
      <w:r w:rsidR="005147A6" w:rsidRPr="00E14EE6">
        <w:t>a) price stability as the explicit and main goal of monetary policy, in addition to the establishment of quantitative targets for inflation</w:t>
      </w:r>
      <w:r w:rsidRPr="00E14EE6">
        <w:t>; (</w:t>
      </w:r>
      <w:r w:rsidR="005147A6" w:rsidRPr="00E14EE6">
        <w:t>b) use of a short</w:t>
      </w:r>
      <w:r w:rsidRPr="00E14EE6">
        <w:noBreakHyphen/>
      </w:r>
      <w:r w:rsidR="005147A6" w:rsidRPr="00E14EE6">
        <w:t>term interest rate to signal the monetary policy stance</w:t>
      </w:r>
      <w:r w:rsidRPr="00E14EE6">
        <w:t>; (</w:t>
      </w:r>
      <w:r w:rsidR="005147A6" w:rsidRPr="00E14EE6">
        <w:t>c) mechanisms to guarantee transparency and accountability</w:t>
      </w:r>
      <w:r w:rsidRPr="00E14EE6">
        <w:t>; a</w:t>
      </w:r>
      <w:r w:rsidR="005147A6" w:rsidRPr="00E14EE6">
        <w:t>nd (d) definition of a monetary policy stance from a forward</w:t>
      </w:r>
      <w:r w:rsidRPr="00E14EE6">
        <w:noBreakHyphen/>
      </w:r>
      <w:r w:rsidR="005147A6" w:rsidRPr="00E14EE6">
        <w:t>looking standpoint on inflationary pressures, and a number of other variables</w:t>
      </w:r>
      <w:r w:rsidRPr="00E14EE6">
        <w:t>. T</w:t>
      </w:r>
      <w:r w:rsidR="005147A6" w:rsidRPr="00E14EE6">
        <w:t>he established target is defined in terms of the year</w:t>
      </w:r>
      <w:r w:rsidRPr="00E14EE6">
        <w:noBreakHyphen/>
      </w:r>
      <w:r w:rsidR="005147A6" w:rsidRPr="00E14EE6">
        <w:t>on</w:t>
      </w:r>
      <w:r w:rsidRPr="00E14EE6">
        <w:noBreakHyphen/>
      </w:r>
      <w:r w:rsidR="005147A6" w:rsidRPr="00E14EE6">
        <w:t>year variation of the consumer price index, and includes a scale of inflation targets</w:t>
      </w:r>
      <w:r w:rsidRPr="00E14EE6">
        <w:t>. S</w:t>
      </w:r>
      <w:r w:rsidR="005147A6" w:rsidRPr="00E14EE6">
        <w:t>ince 2015, the general price index has been targeted to vary by 4.0 ± 1.0</w:t>
      </w:r>
      <w:r>
        <w:t>%</w:t>
      </w:r>
      <w:r w:rsidR="005147A6" w:rsidRPr="00E14EE6">
        <w:t xml:space="preserve"> per year</w:t>
      </w:r>
      <w:r w:rsidRPr="00E14EE6">
        <w:t>.</w:t>
      </w:r>
      <w:r w:rsidRPr="00E14EE6">
        <w:rPr>
          <w:rStyle w:val="FootnoteReference"/>
        </w:rPr>
        <w:footnoteReference w:id="29"/>
      </w:r>
      <w:r w:rsidRPr="00E14EE6">
        <w:t xml:space="preserve"> A</w:t>
      </w:r>
      <w:r w:rsidR="005147A6" w:rsidRPr="00E14EE6">
        <w:t xml:space="preserve"> long</w:t>
      </w:r>
      <w:r w:rsidRPr="00E14EE6">
        <w:noBreakHyphen/>
      </w:r>
      <w:r w:rsidR="005147A6" w:rsidRPr="00E14EE6">
        <w:t>term inflation target of 4.00</w:t>
      </w:r>
      <w:r>
        <w:t>%</w:t>
      </w:r>
      <w:r w:rsidR="005147A6" w:rsidRPr="00E14EE6">
        <w:t xml:space="preserve"> is deemed to be an optimum level compatible with a GDP growth rate that is sustainable over time and in line with its potential capacity.</w:t>
      </w:r>
    </w:p>
    <w:p w14:paraId="1BCCFD65" w14:textId="00F71AA4" w:rsidR="00CA7676" w:rsidRPr="00E14EE6" w:rsidRDefault="00E14EE6" w:rsidP="00763857">
      <w:pPr>
        <w:pStyle w:val="BodyText"/>
      </w:pPr>
      <w:r w:rsidRPr="00E14EE6">
        <w:t>U</w:t>
      </w:r>
      <w:r w:rsidR="005147A6" w:rsidRPr="00E14EE6">
        <w:t xml:space="preserve">nder the explicit inflation targeting system, the </w:t>
      </w:r>
      <w:proofErr w:type="spellStart"/>
      <w:r w:rsidR="005147A6" w:rsidRPr="00E14EE6">
        <w:t>BCRD</w:t>
      </w:r>
      <w:proofErr w:type="spellEnd"/>
      <w:r w:rsidR="005147A6" w:rsidRPr="00E14EE6">
        <w:t xml:space="preserve"> holds monthly meetings at which it indicates the monetary policy stance through decisions on the </w:t>
      </w:r>
      <w:proofErr w:type="spellStart"/>
      <w:r w:rsidR="0035783D" w:rsidRPr="00E14EE6">
        <w:t>MPR</w:t>
      </w:r>
      <w:proofErr w:type="spellEnd"/>
      <w:r w:rsidR="0035783D" w:rsidRPr="00E14EE6">
        <w:t xml:space="preserve"> </w:t>
      </w:r>
      <w:r w:rsidR="005147A6" w:rsidRPr="00E14EE6">
        <w:t>level, based on the domestic and international macroeconomic context, and recent developments in, and the outlook for, key economic indicators, particularly inflation</w:t>
      </w:r>
      <w:r w:rsidRPr="00E14EE6">
        <w:t>. A</w:t>
      </w:r>
      <w:r w:rsidR="005147A6" w:rsidRPr="00E14EE6">
        <w:t xml:space="preserve">fter the monthly meeting, the </w:t>
      </w:r>
      <w:proofErr w:type="spellStart"/>
      <w:r w:rsidR="005147A6" w:rsidRPr="00E14EE6">
        <w:t>BCRD</w:t>
      </w:r>
      <w:proofErr w:type="spellEnd"/>
      <w:r w:rsidR="005147A6" w:rsidRPr="00E14EE6">
        <w:t xml:space="preserve"> issues a monetary policy communiqué, which is published on the </w:t>
      </w:r>
      <w:proofErr w:type="spellStart"/>
      <w:r w:rsidR="005147A6" w:rsidRPr="00E14EE6">
        <w:t>BCRD's</w:t>
      </w:r>
      <w:proofErr w:type="spellEnd"/>
      <w:r w:rsidR="005147A6" w:rsidRPr="00E14EE6">
        <w:t xml:space="preserve"> website, containing the decision on the </w:t>
      </w:r>
      <w:proofErr w:type="spellStart"/>
      <w:r w:rsidR="005147A6" w:rsidRPr="00E14EE6">
        <w:t>MPR</w:t>
      </w:r>
      <w:proofErr w:type="spellEnd"/>
      <w:r w:rsidR="005147A6" w:rsidRPr="00E14EE6">
        <w:t xml:space="preserve"> and its rationale</w:t>
      </w:r>
      <w:r w:rsidRPr="00E14EE6">
        <w:t>. T</w:t>
      </w:r>
      <w:r w:rsidR="005147A6" w:rsidRPr="00E14EE6">
        <w:t xml:space="preserve">he </w:t>
      </w:r>
      <w:proofErr w:type="spellStart"/>
      <w:r w:rsidR="005147A6" w:rsidRPr="00E14EE6">
        <w:t>BCRD</w:t>
      </w:r>
      <w:proofErr w:type="spellEnd"/>
      <w:r w:rsidR="005147A6" w:rsidRPr="00E14EE6">
        <w:t xml:space="preserve"> also publishes a monetary policy report each year in June and December, reviewing the outcomes of the monetary policy implemented over the period and the short</w:t>
      </w:r>
      <w:r w:rsidRPr="00E14EE6">
        <w:noBreakHyphen/>
      </w:r>
      <w:r w:rsidR="005147A6" w:rsidRPr="00E14EE6">
        <w:t xml:space="preserve"> and medium</w:t>
      </w:r>
      <w:r w:rsidRPr="00E14EE6">
        <w:noBreakHyphen/>
      </w:r>
      <w:r w:rsidR="005147A6" w:rsidRPr="00E14EE6">
        <w:t>term outlook for macroeconomic variables.</w:t>
      </w:r>
    </w:p>
    <w:p w14:paraId="2221BC9F" w14:textId="22C5BE00" w:rsidR="00CA7676" w:rsidRPr="00E14EE6" w:rsidRDefault="00E14EE6" w:rsidP="00763857">
      <w:pPr>
        <w:pStyle w:val="BodyText"/>
      </w:pPr>
      <w:r w:rsidRPr="00E14EE6">
        <w:t>A</w:t>
      </w:r>
      <w:r w:rsidR="005147A6" w:rsidRPr="00E14EE6">
        <w:t xml:space="preserve">ccording to the authorities, monetary policy </w:t>
      </w:r>
      <w:r w:rsidR="00A47C3E" w:rsidRPr="00E14EE6">
        <w:t xml:space="preserve">was </w:t>
      </w:r>
      <w:r w:rsidR="005147A6" w:rsidRPr="00E14EE6">
        <w:t>actively used to respond to external shocks during the review period</w:t>
      </w:r>
      <w:r w:rsidRPr="00E14EE6">
        <w:t>. B</w:t>
      </w:r>
      <w:r w:rsidR="005147A6" w:rsidRPr="00E14EE6">
        <w:t>etween 2014 and 2015 the Dominican economy was affected by a significant reduction in the price of oil and other commodities, putting downward pressure on the general price level</w:t>
      </w:r>
      <w:r w:rsidRPr="00E14EE6">
        <w:t>. I</w:t>
      </w:r>
      <w:r w:rsidR="005147A6" w:rsidRPr="00E14EE6">
        <w:t xml:space="preserve">n 2014, the </w:t>
      </w:r>
      <w:proofErr w:type="spellStart"/>
      <w:r w:rsidR="005147A6" w:rsidRPr="00E14EE6">
        <w:t>BCRD's</w:t>
      </w:r>
      <w:proofErr w:type="spellEnd"/>
      <w:r w:rsidR="005147A6" w:rsidRPr="00E14EE6">
        <w:t xml:space="preserve"> monetary policy stance remained unchanged, leaving the </w:t>
      </w:r>
      <w:proofErr w:type="spellStart"/>
      <w:r w:rsidR="005147A6" w:rsidRPr="00E14EE6">
        <w:t>MPR</w:t>
      </w:r>
      <w:proofErr w:type="spellEnd"/>
      <w:r w:rsidR="005147A6" w:rsidRPr="00E14EE6">
        <w:t xml:space="preserve"> at 6.25</w:t>
      </w:r>
      <w:r>
        <w:t>%</w:t>
      </w:r>
      <w:r w:rsidR="005147A6" w:rsidRPr="00E14EE6">
        <w:t xml:space="preserve"> as in the previous year</w:t>
      </w:r>
      <w:r w:rsidRPr="00E14EE6">
        <w:t>. I</w:t>
      </w:r>
      <w:r w:rsidR="005147A6" w:rsidRPr="00E14EE6">
        <w:t>nflation reached 1.58</w:t>
      </w:r>
      <w:r>
        <w:t>%</w:t>
      </w:r>
      <w:r w:rsidR="005147A6" w:rsidRPr="00E14EE6">
        <w:t>, below the lower limit of the target range</w:t>
      </w:r>
      <w:r w:rsidRPr="00E14EE6">
        <w:t>. I</w:t>
      </w:r>
      <w:r w:rsidR="005147A6" w:rsidRPr="00E14EE6">
        <w:t>n 2015, inflationary expectations came under pressure from exchange rate volatility</w:t>
      </w:r>
      <w:r w:rsidRPr="00E14EE6">
        <w:t>. T</w:t>
      </w:r>
      <w:r w:rsidR="005147A6" w:rsidRPr="00E14EE6">
        <w:t xml:space="preserve">he </w:t>
      </w:r>
      <w:proofErr w:type="spellStart"/>
      <w:r w:rsidR="005147A6" w:rsidRPr="00E14EE6">
        <w:t>BCRD</w:t>
      </w:r>
      <w:proofErr w:type="spellEnd"/>
      <w:r w:rsidR="005147A6" w:rsidRPr="00E14EE6">
        <w:t xml:space="preserve"> responded by increasing the reserve requirement rate by </w:t>
      </w:r>
      <w:r w:rsidR="00D01970" w:rsidRPr="00E14EE6">
        <w:t xml:space="preserve">two </w:t>
      </w:r>
      <w:r w:rsidR="005147A6" w:rsidRPr="00E14EE6">
        <w:t xml:space="preserve">percentage points and intervening in the market by selling up to </w:t>
      </w:r>
      <w:r w:rsidRPr="00E14EE6">
        <w:t>USD 200 million</w:t>
      </w:r>
      <w:r w:rsidR="005147A6" w:rsidRPr="00E14EE6">
        <w:t>, thereby steadying expectations and lessening exchange rate volatility</w:t>
      </w:r>
      <w:r w:rsidRPr="00E14EE6">
        <w:t>. I</w:t>
      </w:r>
      <w:r w:rsidR="005147A6" w:rsidRPr="00E14EE6">
        <w:t xml:space="preserve">n this context, the </w:t>
      </w:r>
      <w:proofErr w:type="spellStart"/>
      <w:r w:rsidR="005147A6" w:rsidRPr="00E14EE6">
        <w:t>BCRD</w:t>
      </w:r>
      <w:proofErr w:type="spellEnd"/>
      <w:r w:rsidR="005147A6" w:rsidRPr="00E14EE6">
        <w:t xml:space="preserve"> lowered the </w:t>
      </w:r>
      <w:proofErr w:type="spellStart"/>
      <w:r w:rsidR="005147A6" w:rsidRPr="00E14EE6">
        <w:t>MPR</w:t>
      </w:r>
      <w:proofErr w:type="spellEnd"/>
      <w:r w:rsidR="005147A6" w:rsidRPr="00E14EE6">
        <w:t xml:space="preserve"> by 125 basis points between March and May to 5.00</w:t>
      </w:r>
      <w:r>
        <w:t>%</w:t>
      </w:r>
      <w:r w:rsidR="005147A6" w:rsidRPr="00E14EE6">
        <w:t xml:space="preserve"> per year, leaving it unchanged until the end of the year</w:t>
      </w:r>
      <w:r w:rsidRPr="00E14EE6">
        <w:t>. T</w:t>
      </w:r>
      <w:r w:rsidR="005147A6" w:rsidRPr="00E14EE6">
        <w:t xml:space="preserve">he </w:t>
      </w:r>
      <w:proofErr w:type="spellStart"/>
      <w:r w:rsidR="005147A6" w:rsidRPr="00E14EE6">
        <w:t>MPR</w:t>
      </w:r>
      <w:proofErr w:type="spellEnd"/>
      <w:r w:rsidR="005147A6" w:rsidRPr="00E14EE6">
        <w:t xml:space="preserve"> remained the same until </w:t>
      </w:r>
      <w:r w:rsidRPr="00E14EE6">
        <w:t>September 2</w:t>
      </w:r>
      <w:r w:rsidR="005147A6" w:rsidRPr="00E14EE6">
        <w:t>016</w:t>
      </w:r>
      <w:r w:rsidRPr="00E14EE6">
        <w:t>. I</w:t>
      </w:r>
      <w:r w:rsidR="005147A6" w:rsidRPr="00E14EE6">
        <w:t xml:space="preserve">n October, in view of a recovery in international oil prices, together with an upward trend in inflation forecasts, it was decided to increase the annual </w:t>
      </w:r>
      <w:proofErr w:type="spellStart"/>
      <w:r w:rsidR="005147A6" w:rsidRPr="00E14EE6">
        <w:t>MPR</w:t>
      </w:r>
      <w:proofErr w:type="spellEnd"/>
      <w:r w:rsidR="005147A6" w:rsidRPr="00E14EE6">
        <w:t xml:space="preserve"> by 50 basis points to 5.50</w:t>
      </w:r>
      <w:r>
        <w:t>%</w:t>
      </w:r>
      <w:r w:rsidR="005147A6" w:rsidRPr="00E14EE6">
        <w:t xml:space="preserve"> (Table 1.4)</w:t>
      </w:r>
      <w:r w:rsidRPr="00E14EE6">
        <w:t>. A</w:t>
      </w:r>
      <w:r w:rsidR="005147A6" w:rsidRPr="00E14EE6">
        <w:t>t the close of 2016, inflation was below the target range</w:t>
      </w:r>
      <w:r w:rsidRPr="00E14EE6">
        <w:t>. D</w:t>
      </w:r>
      <w:r w:rsidR="005147A6" w:rsidRPr="00E14EE6">
        <w:t>uring the first half of 2017</w:t>
      </w:r>
      <w:r w:rsidR="00D01970" w:rsidRPr="00E14EE6">
        <w:t>,</w:t>
      </w:r>
      <w:r w:rsidR="005147A6" w:rsidRPr="00E14EE6">
        <w:t xml:space="preserve"> monetary policy was neutral, followed by monetary easing in the second half of the year</w:t>
      </w:r>
      <w:r w:rsidRPr="00E14EE6">
        <w:t>. D</w:t>
      </w:r>
      <w:r w:rsidR="005147A6" w:rsidRPr="00E14EE6">
        <w:t xml:space="preserve">uring the first half of 2017, the </w:t>
      </w:r>
      <w:proofErr w:type="spellStart"/>
      <w:r w:rsidR="005147A6" w:rsidRPr="00E14EE6">
        <w:t>BCRD's</w:t>
      </w:r>
      <w:proofErr w:type="spellEnd"/>
      <w:r w:rsidR="005147A6" w:rsidRPr="00E14EE6">
        <w:t xml:space="preserve"> monetary policy measures were directed towards a more neutral stance that would keep inflation on target and GDP growth at its potential, by raising the </w:t>
      </w:r>
      <w:proofErr w:type="spellStart"/>
      <w:r w:rsidR="005147A6" w:rsidRPr="00E14EE6">
        <w:t>MPR</w:t>
      </w:r>
      <w:proofErr w:type="spellEnd"/>
      <w:r w:rsidR="005147A6" w:rsidRPr="00E14EE6">
        <w:t xml:space="preserve"> to 5.75</w:t>
      </w:r>
      <w:r>
        <w:t>%</w:t>
      </w:r>
      <w:r w:rsidR="005147A6" w:rsidRPr="00E14EE6">
        <w:t xml:space="preserve"> in March</w:t>
      </w:r>
      <w:r w:rsidRPr="00E14EE6">
        <w:t>. H</w:t>
      </w:r>
      <w:r w:rsidR="005147A6" w:rsidRPr="00E14EE6">
        <w:t>eadline inflation, in turn, stood at 4.20</w:t>
      </w:r>
      <w:r>
        <w:t>%</w:t>
      </w:r>
      <w:r w:rsidR="005147A6" w:rsidRPr="00E14EE6">
        <w:t xml:space="preserve"> in </w:t>
      </w:r>
      <w:r w:rsidRPr="00E14EE6">
        <w:t>December 2</w:t>
      </w:r>
      <w:r w:rsidR="005147A6" w:rsidRPr="00E14EE6">
        <w:t>017, reaching a level close to the central value of the target range of 4.0</w:t>
      </w:r>
      <w:r>
        <w:t>%</w:t>
      </w:r>
      <w:r w:rsidR="005147A6" w:rsidRPr="00E14EE6">
        <w:t xml:space="preserve"> ± 1.0</w:t>
      </w:r>
      <w:r>
        <w:t>%</w:t>
      </w:r>
      <w:r w:rsidR="005147A6" w:rsidRPr="00E14EE6">
        <w:t xml:space="preserve"> established in the monetary programme.</w:t>
      </w:r>
      <w:r w:rsidRPr="00E14EE6">
        <w:rPr>
          <w:rStyle w:val="FootnoteReference"/>
        </w:rPr>
        <w:footnoteReference w:id="30"/>
      </w:r>
    </w:p>
    <w:p w14:paraId="034DEAB2" w14:textId="0D03E3E2" w:rsidR="00CA7676" w:rsidRPr="00E14EE6" w:rsidRDefault="00CE2C80" w:rsidP="00CE2C80">
      <w:pPr>
        <w:pStyle w:val="Caption"/>
      </w:pPr>
      <w:bookmarkStart w:id="47" w:name="_Toc117238026"/>
      <w:r>
        <w:t xml:space="preserve">Table </w:t>
      </w:r>
      <w:r w:rsidR="00BD37F2">
        <w:fldChar w:fldCharType="begin"/>
      </w:r>
      <w:r w:rsidR="00BD37F2">
        <w:instrText xml:space="preserve"> STYLEREF 1 \s </w:instrText>
      </w:r>
      <w:r w:rsidR="00BD37F2">
        <w:fldChar w:fldCharType="separate"/>
      </w:r>
      <w:r w:rsidR="00323DC1">
        <w:rPr>
          <w:noProof/>
        </w:rPr>
        <w:t>1</w:t>
      </w:r>
      <w:r w:rsidR="00BD37F2">
        <w:rPr>
          <w:noProof/>
        </w:rPr>
        <w:fldChar w:fldCharType="end"/>
      </w:r>
      <w:r w:rsidR="00323DC1">
        <w:t>.</w:t>
      </w:r>
      <w:r w:rsidR="00BD37F2">
        <w:fldChar w:fldCharType="begin"/>
      </w:r>
      <w:r w:rsidR="00BD37F2">
        <w:instrText xml:space="preserve"> SEQ Table \* ARABIC \s 1 </w:instrText>
      </w:r>
      <w:r w:rsidR="00BD37F2">
        <w:fldChar w:fldCharType="separate"/>
      </w:r>
      <w:r w:rsidR="00323DC1">
        <w:rPr>
          <w:noProof/>
        </w:rPr>
        <w:t>4</w:t>
      </w:r>
      <w:r w:rsidR="00BD37F2">
        <w:rPr>
          <w:noProof/>
        </w:rPr>
        <w:fldChar w:fldCharType="end"/>
      </w:r>
      <w:r>
        <w:t xml:space="preserve"> </w:t>
      </w:r>
      <w:r w:rsidR="00CA7676" w:rsidRPr="00E14EE6">
        <w:t>Main monetary indicators, 2014</w:t>
      </w:r>
      <w:r w:rsidR="00E14EE6" w:rsidRPr="00E14EE6">
        <w:noBreakHyphen/>
      </w:r>
      <w:r w:rsidR="00D01970" w:rsidRPr="00E14EE6">
        <w:t>first quarter 20</w:t>
      </w:r>
      <w:r w:rsidR="00CA7676" w:rsidRPr="00E14EE6">
        <w:t>22</w:t>
      </w:r>
      <w:bookmarkEnd w:id="47"/>
    </w:p>
    <w:tbl>
      <w:tblPr>
        <w:tblStyle w:val="WTOTable1"/>
        <w:tblW w:w="5000" w:type="pct"/>
        <w:tblLayout w:type="fixed"/>
        <w:tblLook w:val="04A0" w:firstRow="1" w:lastRow="0" w:firstColumn="1" w:lastColumn="0" w:noHBand="0" w:noVBand="1"/>
      </w:tblPr>
      <w:tblGrid>
        <w:gridCol w:w="1981"/>
        <w:gridCol w:w="780"/>
        <w:gridCol w:w="782"/>
        <w:gridCol w:w="783"/>
        <w:gridCol w:w="781"/>
        <w:gridCol w:w="783"/>
        <w:gridCol w:w="783"/>
        <w:gridCol w:w="781"/>
        <w:gridCol w:w="783"/>
        <w:gridCol w:w="779"/>
      </w:tblGrid>
      <w:tr w:rsidR="00A75533" w:rsidRPr="00A75533" w14:paraId="247E4E92" w14:textId="77777777" w:rsidTr="00A75533">
        <w:trPr>
          <w:cnfStyle w:val="100000000000" w:firstRow="1" w:lastRow="0" w:firstColumn="0" w:lastColumn="0" w:oddVBand="0" w:evenVBand="0" w:oddHBand="0" w:evenHBand="0" w:firstRowFirstColumn="0" w:firstRowLastColumn="0" w:lastRowFirstColumn="0" w:lastRowLastColumn="0"/>
          <w:trHeight w:val="20"/>
          <w:tblHeader/>
        </w:trPr>
        <w:tc>
          <w:tcPr>
            <w:tcW w:w="1099" w:type="pct"/>
            <w:noWrap/>
            <w:vAlign w:val="center"/>
            <w:hideMark/>
          </w:tcPr>
          <w:p w14:paraId="5F31545A" w14:textId="77777777" w:rsidR="00CA7676" w:rsidRPr="00A75533" w:rsidRDefault="00CA7676" w:rsidP="00E14EE6">
            <w:pPr>
              <w:keepNext/>
              <w:keepLines/>
              <w:jc w:val="left"/>
              <w:rPr>
                <w:rFonts w:cstheme="minorHAnsi"/>
                <w:color w:val="FFFFFF" w:themeColor="background1"/>
                <w:sz w:val="14"/>
                <w:szCs w:val="14"/>
              </w:rPr>
            </w:pPr>
          </w:p>
        </w:tc>
        <w:tc>
          <w:tcPr>
            <w:tcW w:w="433" w:type="pct"/>
            <w:noWrap/>
            <w:vAlign w:val="center"/>
            <w:hideMark/>
          </w:tcPr>
          <w:p w14:paraId="027DE88D" w14:textId="77777777" w:rsidR="00CA7676" w:rsidRPr="00A75533" w:rsidRDefault="00CA7676" w:rsidP="00E14EE6">
            <w:pPr>
              <w:keepNext/>
              <w:keepLines/>
              <w:jc w:val="right"/>
              <w:rPr>
                <w:rFonts w:cstheme="minorHAnsi"/>
                <w:color w:val="FFFFFF" w:themeColor="background1"/>
                <w:sz w:val="14"/>
                <w:szCs w:val="14"/>
              </w:rPr>
            </w:pPr>
            <w:r w:rsidRPr="00A75533">
              <w:rPr>
                <w:color w:val="FFFFFF" w:themeColor="background1"/>
                <w:sz w:val="14"/>
              </w:rPr>
              <w:t>2014</w:t>
            </w:r>
          </w:p>
        </w:tc>
        <w:tc>
          <w:tcPr>
            <w:tcW w:w="434" w:type="pct"/>
            <w:noWrap/>
            <w:vAlign w:val="center"/>
            <w:hideMark/>
          </w:tcPr>
          <w:p w14:paraId="334F2A43" w14:textId="77777777" w:rsidR="00CA7676" w:rsidRPr="00A75533" w:rsidRDefault="00CA7676" w:rsidP="00E14EE6">
            <w:pPr>
              <w:keepNext/>
              <w:keepLines/>
              <w:jc w:val="right"/>
              <w:rPr>
                <w:rFonts w:cstheme="minorHAnsi"/>
                <w:color w:val="FFFFFF" w:themeColor="background1"/>
                <w:sz w:val="14"/>
                <w:szCs w:val="14"/>
              </w:rPr>
            </w:pPr>
            <w:r w:rsidRPr="00A75533">
              <w:rPr>
                <w:color w:val="FFFFFF" w:themeColor="background1"/>
                <w:sz w:val="14"/>
              </w:rPr>
              <w:t>2015</w:t>
            </w:r>
          </w:p>
        </w:tc>
        <w:tc>
          <w:tcPr>
            <w:tcW w:w="434" w:type="pct"/>
            <w:noWrap/>
            <w:vAlign w:val="center"/>
            <w:hideMark/>
          </w:tcPr>
          <w:p w14:paraId="7F15194A" w14:textId="77777777" w:rsidR="00CA7676" w:rsidRPr="00A75533" w:rsidRDefault="00CA7676" w:rsidP="00E14EE6">
            <w:pPr>
              <w:keepNext/>
              <w:keepLines/>
              <w:jc w:val="right"/>
              <w:rPr>
                <w:rFonts w:cstheme="minorHAnsi"/>
                <w:color w:val="FFFFFF" w:themeColor="background1"/>
                <w:sz w:val="14"/>
                <w:szCs w:val="14"/>
              </w:rPr>
            </w:pPr>
            <w:r w:rsidRPr="00A75533">
              <w:rPr>
                <w:color w:val="FFFFFF" w:themeColor="background1"/>
                <w:sz w:val="14"/>
              </w:rPr>
              <w:t>2016</w:t>
            </w:r>
          </w:p>
        </w:tc>
        <w:tc>
          <w:tcPr>
            <w:tcW w:w="433" w:type="pct"/>
            <w:noWrap/>
            <w:vAlign w:val="center"/>
            <w:hideMark/>
          </w:tcPr>
          <w:p w14:paraId="677831A1" w14:textId="77777777" w:rsidR="00CA7676" w:rsidRPr="00A75533" w:rsidRDefault="00CA7676" w:rsidP="00E14EE6">
            <w:pPr>
              <w:keepNext/>
              <w:keepLines/>
              <w:jc w:val="right"/>
              <w:rPr>
                <w:rFonts w:cstheme="minorHAnsi"/>
                <w:color w:val="FFFFFF" w:themeColor="background1"/>
                <w:sz w:val="14"/>
                <w:szCs w:val="14"/>
              </w:rPr>
            </w:pPr>
            <w:r w:rsidRPr="00A75533">
              <w:rPr>
                <w:color w:val="FFFFFF" w:themeColor="background1"/>
                <w:sz w:val="14"/>
              </w:rPr>
              <w:t>2017</w:t>
            </w:r>
          </w:p>
        </w:tc>
        <w:tc>
          <w:tcPr>
            <w:tcW w:w="434" w:type="pct"/>
            <w:noWrap/>
            <w:vAlign w:val="center"/>
            <w:hideMark/>
          </w:tcPr>
          <w:p w14:paraId="0914D02C" w14:textId="77777777" w:rsidR="00CA7676" w:rsidRPr="00A75533" w:rsidRDefault="00CA7676" w:rsidP="00E14EE6">
            <w:pPr>
              <w:keepNext/>
              <w:keepLines/>
              <w:jc w:val="right"/>
              <w:rPr>
                <w:rFonts w:cstheme="minorHAnsi"/>
                <w:color w:val="FFFFFF" w:themeColor="background1"/>
                <w:sz w:val="14"/>
                <w:szCs w:val="14"/>
              </w:rPr>
            </w:pPr>
            <w:r w:rsidRPr="00A75533">
              <w:rPr>
                <w:color w:val="FFFFFF" w:themeColor="background1"/>
                <w:sz w:val="14"/>
              </w:rPr>
              <w:t>2018</w:t>
            </w:r>
          </w:p>
        </w:tc>
        <w:tc>
          <w:tcPr>
            <w:tcW w:w="434" w:type="pct"/>
            <w:noWrap/>
            <w:vAlign w:val="center"/>
            <w:hideMark/>
          </w:tcPr>
          <w:p w14:paraId="7E82E3EC" w14:textId="77777777" w:rsidR="00CA7676" w:rsidRPr="00A75533" w:rsidRDefault="00CA7676" w:rsidP="00E14EE6">
            <w:pPr>
              <w:keepNext/>
              <w:keepLines/>
              <w:jc w:val="right"/>
              <w:rPr>
                <w:rFonts w:cstheme="minorHAnsi"/>
                <w:color w:val="FFFFFF" w:themeColor="background1"/>
                <w:sz w:val="14"/>
                <w:szCs w:val="14"/>
              </w:rPr>
            </w:pPr>
            <w:r w:rsidRPr="00A75533">
              <w:rPr>
                <w:color w:val="FFFFFF" w:themeColor="background1"/>
                <w:sz w:val="14"/>
              </w:rPr>
              <w:t>2019</w:t>
            </w:r>
          </w:p>
        </w:tc>
        <w:tc>
          <w:tcPr>
            <w:tcW w:w="433" w:type="pct"/>
            <w:noWrap/>
            <w:vAlign w:val="center"/>
            <w:hideMark/>
          </w:tcPr>
          <w:p w14:paraId="7E6EE0EC" w14:textId="77777777" w:rsidR="00CA7676" w:rsidRPr="00A75533" w:rsidRDefault="00CA7676" w:rsidP="00E14EE6">
            <w:pPr>
              <w:keepNext/>
              <w:keepLines/>
              <w:jc w:val="right"/>
              <w:rPr>
                <w:rFonts w:cstheme="minorHAnsi"/>
                <w:color w:val="FFFFFF" w:themeColor="background1"/>
                <w:sz w:val="14"/>
                <w:szCs w:val="14"/>
              </w:rPr>
            </w:pPr>
            <w:r w:rsidRPr="00A75533">
              <w:rPr>
                <w:color w:val="FFFFFF" w:themeColor="background1"/>
                <w:sz w:val="14"/>
              </w:rPr>
              <w:t>2020</w:t>
            </w:r>
          </w:p>
        </w:tc>
        <w:tc>
          <w:tcPr>
            <w:tcW w:w="434" w:type="pct"/>
            <w:noWrap/>
            <w:vAlign w:val="center"/>
            <w:hideMark/>
          </w:tcPr>
          <w:p w14:paraId="7EB7B83D" w14:textId="77777777" w:rsidR="00CA7676" w:rsidRPr="00A75533" w:rsidRDefault="00CA7676" w:rsidP="00E14EE6">
            <w:pPr>
              <w:keepNext/>
              <w:keepLines/>
              <w:jc w:val="right"/>
              <w:rPr>
                <w:rFonts w:cstheme="minorHAnsi"/>
                <w:color w:val="FFFFFF" w:themeColor="background1"/>
                <w:sz w:val="14"/>
                <w:szCs w:val="14"/>
              </w:rPr>
            </w:pPr>
            <w:r w:rsidRPr="00A75533">
              <w:rPr>
                <w:color w:val="FFFFFF" w:themeColor="background1"/>
                <w:sz w:val="14"/>
              </w:rPr>
              <w:t>2021</w:t>
            </w:r>
            <w:r w:rsidRPr="00A75533">
              <w:rPr>
                <w:color w:val="FFFFFF" w:themeColor="background1"/>
                <w:sz w:val="14"/>
                <w:vertAlign w:val="superscript"/>
              </w:rPr>
              <w:t>a</w:t>
            </w:r>
          </w:p>
        </w:tc>
        <w:tc>
          <w:tcPr>
            <w:tcW w:w="432" w:type="pct"/>
            <w:noWrap/>
            <w:vAlign w:val="center"/>
            <w:hideMark/>
          </w:tcPr>
          <w:p w14:paraId="6923FBC3" w14:textId="63C5DF93" w:rsidR="00CA7676" w:rsidRPr="00A75533" w:rsidRDefault="00CA7676" w:rsidP="00E14EE6">
            <w:pPr>
              <w:keepNext/>
              <w:keepLines/>
              <w:jc w:val="right"/>
              <w:rPr>
                <w:rFonts w:cstheme="minorHAnsi"/>
                <w:color w:val="FFFFFF" w:themeColor="background1"/>
                <w:sz w:val="14"/>
                <w:szCs w:val="14"/>
              </w:rPr>
            </w:pPr>
            <w:r w:rsidRPr="00A75533">
              <w:rPr>
                <w:color w:val="FFFFFF" w:themeColor="background1"/>
                <w:sz w:val="14"/>
              </w:rPr>
              <w:t>2022</w:t>
            </w:r>
            <w:r w:rsidRPr="00A75533">
              <w:rPr>
                <w:color w:val="FFFFFF" w:themeColor="background1"/>
                <w:sz w:val="14"/>
              </w:rPr>
              <w:br/>
            </w:r>
            <w:r w:rsidR="00D01970" w:rsidRPr="00A75533">
              <w:rPr>
                <w:color w:val="FFFFFF" w:themeColor="background1"/>
                <w:sz w:val="14"/>
              </w:rPr>
              <w:t>Q</w:t>
            </w:r>
            <w:r w:rsidRPr="00A75533">
              <w:rPr>
                <w:color w:val="FFFFFF" w:themeColor="background1"/>
                <w:sz w:val="14"/>
              </w:rPr>
              <w:t>1</w:t>
            </w:r>
            <w:r w:rsidRPr="00A75533">
              <w:rPr>
                <w:color w:val="FFFFFF" w:themeColor="background1"/>
                <w:sz w:val="14"/>
                <w:vertAlign w:val="superscript"/>
              </w:rPr>
              <w:t>a</w:t>
            </w:r>
          </w:p>
        </w:tc>
      </w:tr>
      <w:tr w:rsidR="00CA7676" w:rsidRPr="00E14EE6" w14:paraId="129F67F7" w14:textId="77777777" w:rsidTr="00A75533">
        <w:trPr>
          <w:trHeight w:val="20"/>
        </w:trPr>
        <w:tc>
          <w:tcPr>
            <w:tcW w:w="1099" w:type="pct"/>
            <w:noWrap/>
            <w:hideMark/>
          </w:tcPr>
          <w:p w14:paraId="1C98EBA4" w14:textId="77777777" w:rsidR="00CA7676" w:rsidRPr="00E14EE6" w:rsidRDefault="00CA7676" w:rsidP="00E14EE6">
            <w:pPr>
              <w:keepNext/>
              <w:keepLines/>
              <w:jc w:val="left"/>
              <w:rPr>
                <w:rFonts w:cstheme="minorHAnsi"/>
                <w:b/>
                <w:bCs/>
                <w:sz w:val="14"/>
                <w:szCs w:val="14"/>
              </w:rPr>
            </w:pPr>
            <w:r w:rsidRPr="00E14EE6">
              <w:rPr>
                <w:b/>
                <w:sz w:val="14"/>
              </w:rPr>
              <w:t>Monetary aggregates</w:t>
            </w:r>
          </w:p>
        </w:tc>
        <w:tc>
          <w:tcPr>
            <w:tcW w:w="433" w:type="pct"/>
            <w:noWrap/>
            <w:hideMark/>
          </w:tcPr>
          <w:p w14:paraId="3194B9B0" w14:textId="77777777" w:rsidR="00CA7676" w:rsidRPr="00E14EE6" w:rsidRDefault="00CA7676" w:rsidP="00E14EE6">
            <w:pPr>
              <w:keepNext/>
              <w:keepLines/>
              <w:jc w:val="right"/>
              <w:rPr>
                <w:rFonts w:cstheme="minorHAnsi"/>
                <w:b/>
                <w:bCs/>
                <w:sz w:val="14"/>
                <w:szCs w:val="14"/>
              </w:rPr>
            </w:pPr>
          </w:p>
        </w:tc>
        <w:tc>
          <w:tcPr>
            <w:tcW w:w="434" w:type="pct"/>
            <w:noWrap/>
            <w:hideMark/>
          </w:tcPr>
          <w:p w14:paraId="31A456E0" w14:textId="77777777" w:rsidR="00CA7676" w:rsidRPr="00E14EE6" w:rsidRDefault="00CA7676" w:rsidP="00E14EE6">
            <w:pPr>
              <w:keepNext/>
              <w:keepLines/>
              <w:jc w:val="right"/>
              <w:rPr>
                <w:rFonts w:cstheme="minorHAnsi"/>
                <w:sz w:val="14"/>
                <w:szCs w:val="14"/>
              </w:rPr>
            </w:pPr>
          </w:p>
        </w:tc>
        <w:tc>
          <w:tcPr>
            <w:tcW w:w="434" w:type="pct"/>
            <w:noWrap/>
            <w:hideMark/>
          </w:tcPr>
          <w:p w14:paraId="08A5A339" w14:textId="77777777" w:rsidR="00CA7676" w:rsidRPr="00E14EE6" w:rsidRDefault="00CA7676" w:rsidP="00E14EE6">
            <w:pPr>
              <w:keepNext/>
              <w:keepLines/>
              <w:jc w:val="right"/>
              <w:rPr>
                <w:rFonts w:cstheme="minorHAnsi"/>
                <w:sz w:val="14"/>
                <w:szCs w:val="14"/>
              </w:rPr>
            </w:pPr>
          </w:p>
        </w:tc>
        <w:tc>
          <w:tcPr>
            <w:tcW w:w="433" w:type="pct"/>
            <w:noWrap/>
            <w:hideMark/>
          </w:tcPr>
          <w:p w14:paraId="55737EFF" w14:textId="77777777" w:rsidR="00CA7676" w:rsidRPr="00E14EE6" w:rsidRDefault="00CA7676" w:rsidP="00E14EE6">
            <w:pPr>
              <w:keepNext/>
              <w:keepLines/>
              <w:jc w:val="right"/>
              <w:rPr>
                <w:rFonts w:cstheme="minorHAnsi"/>
                <w:sz w:val="14"/>
                <w:szCs w:val="14"/>
              </w:rPr>
            </w:pPr>
          </w:p>
        </w:tc>
        <w:tc>
          <w:tcPr>
            <w:tcW w:w="434" w:type="pct"/>
            <w:noWrap/>
            <w:hideMark/>
          </w:tcPr>
          <w:p w14:paraId="4ADBECCE" w14:textId="77777777" w:rsidR="00CA7676" w:rsidRPr="00E14EE6" w:rsidRDefault="00CA7676" w:rsidP="00E14EE6">
            <w:pPr>
              <w:keepNext/>
              <w:keepLines/>
              <w:jc w:val="right"/>
              <w:rPr>
                <w:rFonts w:cstheme="minorHAnsi"/>
                <w:sz w:val="14"/>
                <w:szCs w:val="14"/>
              </w:rPr>
            </w:pPr>
          </w:p>
        </w:tc>
        <w:tc>
          <w:tcPr>
            <w:tcW w:w="434" w:type="pct"/>
            <w:noWrap/>
            <w:hideMark/>
          </w:tcPr>
          <w:p w14:paraId="72187173" w14:textId="77777777" w:rsidR="00CA7676" w:rsidRPr="00E14EE6" w:rsidRDefault="00CA7676" w:rsidP="00E14EE6">
            <w:pPr>
              <w:keepNext/>
              <w:keepLines/>
              <w:jc w:val="right"/>
              <w:rPr>
                <w:rFonts w:cstheme="minorHAnsi"/>
                <w:sz w:val="14"/>
                <w:szCs w:val="14"/>
              </w:rPr>
            </w:pPr>
          </w:p>
        </w:tc>
        <w:tc>
          <w:tcPr>
            <w:tcW w:w="433" w:type="pct"/>
            <w:noWrap/>
            <w:hideMark/>
          </w:tcPr>
          <w:p w14:paraId="2EC54815" w14:textId="77777777" w:rsidR="00CA7676" w:rsidRPr="00E14EE6" w:rsidRDefault="00CA7676" w:rsidP="00E14EE6">
            <w:pPr>
              <w:keepNext/>
              <w:keepLines/>
              <w:jc w:val="right"/>
              <w:rPr>
                <w:rFonts w:cstheme="minorHAnsi"/>
                <w:sz w:val="14"/>
                <w:szCs w:val="14"/>
              </w:rPr>
            </w:pPr>
          </w:p>
        </w:tc>
        <w:tc>
          <w:tcPr>
            <w:tcW w:w="434" w:type="pct"/>
            <w:noWrap/>
            <w:hideMark/>
          </w:tcPr>
          <w:p w14:paraId="616B187B" w14:textId="77777777" w:rsidR="00CA7676" w:rsidRPr="00E14EE6" w:rsidRDefault="00CA7676" w:rsidP="00E14EE6">
            <w:pPr>
              <w:keepNext/>
              <w:keepLines/>
              <w:jc w:val="right"/>
              <w:rPr>
                <w:rFonts w:cstheme="minorHAnsi"/>
                <w:sz w:val="14"/>
                <w:szCs w:val="14"/>
              </w:rPr>
            </w:pPr>
          </w:p>
        </w:tc>
        <w:tc>
          <w:tcPr>
            <w:tcW w:w="432" w:type="pct"/>
            <w:noWrap/>
            <w:hideMark/>
          </w:tcPr>
          <w:p w14:paraId="64971221" w14:textId="77777777" w:rsidR="00CA7676" w:rsidRPr="00E14EE6" w:rsidRDefault="00CA7676" w:rsidP="00E14EE6">
            <w:pPr>
              <w:keepNext/>
              <w:keepLines/>
              <w:jc w:val="right"/>
              <w:rPr>
                <w:rFonts w:cstheme="minorHAnsi"/>
                <w:sz w:val="14"/>
                <w:szCs w:val="14"/>
              </w:rPr>
            </w:pPr>
          </w:p>
        </w:tc>
      </w:tr>
      <w:tr w:rsidR="00CA7676" w:rsidRPr="00E14EE6" w14:paraId="17418557" w14:textId="77777777" w:rsidTr="00A75533">
        <w:trPr>
          <w:cnfStyle w:val="000000010000" w:firstRow="0" w:lastRow="0" w:firstColumn="0" w:lastColumn="0" w:oddVBand="0" w:evenVBand="0" w:oddHBand="0" w:evenHBand="1" w:firstRowFirstColumn="0" w:firstRowLastColumn="0" w:lastRowFirstColumn="0" w:lastRowLastColumn="0"/>
          <w:trHeight w:val="20"/>
        </w:trPr>
        <w:tc>
          <w:tcPr>
            <w:tcW w:w="1099" w:type="pct"/>
            <w:noWrap/>
          </w:tcPr>
          <w:p w14:paraId="08641865" w14:textId="55EF0F55" w:rsidR="00CA7676" w:rsidRPr="00E14EE6" w:rsidRDefault="00CA7676" w:rsidP="00E14EE6">
            <w:pPr>
              <w:jc w:val="left"/>
              <w:rPr>
                <w:rFonts w:cstheme="minorHAnsi"/>
                <w:sz w:val="14"/>
                <w:szCs w:val="14"/>
              </w:rPr>
            </w:pPr>
            <w:r w:rsidRPr="00E14EE6">
              <w:rPr>
                <w:sz w:val="14"/>
              </w:rPr>
              <w:t>Base money, narrow definition, (end</w:t>
            </w:r>
            <w:r w:rsidR="00E14EE6" w:rsidRPr="00E14EE6">
              <w:rPr>
                <w:sz w:val="14"/>
              </w:rPr>
              <w:noBreakHyphen/>
            </w:r>
            <w:r w:rsidRPr="00E14EE6">
              <w:rPr>
                <w:sz w:val="14"/>
              </w:rPr>
              <w:t>of</w:t>
            </w:r>
            <w:r w:rsidR="00E14EE6" w:rsidRPr="00E14EE6">
              <w:rPr>
                <w:sz w:val="14"/>
              </w:rPr>
              <w:noBreakHyphen/>
            </w:r>
            <w:r w:rsidRPr="00E14EE6">
              <w:rPr>
                <w:sz w:val="14"/>
              </w:rPr>
              <w:t>period variation in %)</w:t>
            </w:r>
          </w:p>
        </w:tc>
        <w:tc>
          <w:tcPr>
            <w:tcW w:w="433" w:type="pct"/>
            <w:noWrap/>
          </w:tcPr>
          <w:p w14:paraId="03088DDF" w14:textId="77777777" w:rsidR="00CA7676" w:rsidRPr="00E14EE6" w:rsidRDefault="00CA7676" w:rsidP="00E14EE6">
            <w:pPr>
              <w:jc w:val="right"/>
              <w:rPr>
                <w:rFonts w:cstheme="minorHAnsi"/>
                <w:sz w:val="14"/>
                <w:szCs w:val="14"/>
              </w:rPr>
            </w:pPr>
            <w:r w:rsidRPr="00E14EE6">
              <w:rPr>
                <w:sz w:val="14"/>
              </w:rPr>
              <w:t>9.5</w:t>
            </w:r>
          </w:p>
        </w:tc>
        <w:tc>
          <w:tcPr>
            <w:tcW w:w="434" w:type="pct"/>
            <w:noWrap/>
          </w:tcPr>
          <w:p w14:paraId="7A3759CF" w14:textId="77777777" w:rsidR="00CA7676" w:rsidRPr="00E14EE6" w:rsidRDefault="00CA7676" w:rsidP="00E14EE6">
            <w:pPr>
              <w:jc w:val="right"/>
              <w:rPr>
                <w:rFonts w:cstheme="minorHAnsi"/>
                <w:sz w:val="14"/>
                <w:szCs w:val="14"/>
              </w:rPr>
            </w:pPr>
            <w:r w:rsidRPr="00E14EE6">
              <w:rPr>
                <w:sz w:val="14"/>
              </w:rPr>
              <w:t>19.3</w:t>
            </w:r>
          </w:p>
        </w:tc>
        <w:tc>
          <w:tcPr>
            <w:tcW w:w="434" w:type="pct"/>
            <w:noWrap/>
          </w:tcPr>
          <w:p w14:paraId="387D4413" w14:textId="77777777" w:rsidR="00CA7676" w:rsidRPr="00E14EE6" w:rsidRDefault="00CA7676" w:rsidP="00E14EE6">
            <w:pPr>
              <w:jc w:val="right"/>
              <w:rPr>
                <w:rFonts w:cstheme="minorHAnsi"/>
                <w:sz w:val="14"/>
                <w:szCs w:val="14"/>
              </w:rPr>
            </w:pPr>
            <w:r w:rsidRPr="00E14EE6">
              <w:rPr>
                <w:sz w:val="14"/>
              </w:rPr>
              <w:t>6.9</w:t>
            </w:r>
          </w:p>
        </w:tc>
        <w:tc>
          <w:tcPr>
            <w:tcW w:w="433" w:type="pct"/>
            <w:noWrap/>
          </w:tcPr>
          <w:p w14:paraId="38A970A2" w14:textId="697A729F" w:rsidR="00CA7676" w:rsidRPr="00E14EE6" w:rsidRDefault="00E14EE6" w:rsidP="00E14EE6">
            <w:pPr>
              <w:jc w:val="right"/>
              <w:rPr>
                <w:rFonts w:cstheme="minorHAnsi"/>
                <w:sz w:val="14"/>
                <w:szCs w:val="14"/>
              </w:rPr>
            </w:pPr>
            <w:r w:rsidRPr="00E14EE6">
              <w:rPr>
                <w:sz w:val="14"/>
              </w:rPr>
              <w:noBreakHyphen/>
            </w:r>
            <w:r w:rsidR="00CA7676" w:rsidRPr="00E14EE6">
              <w:rPr>
                <w:sz w:val="14"/>
              </w:rPr>
              <w:t>2.4</w:t>
            </w:r>
          </w:p>
        </w:tc>
        <w:tc>
          <w:tcPr>
            <w:tcW w:w="434" w:type="pct"/>
            <w:noWrap/>
          </w:tcPr>
          <w:p w14:paraId="5752C7A0" w14:textId="77777777" w:rsidR="00CA7676" w:rsidRPr="00E14EE6" w:rsidRDefault="00CA7676" w:rsidP="00E14EE6">
            <w:pPr>
              <w:jc w:val="right"/>
              <w:rPr>
                <w:rFonts w:cstheme="minorHAnsi"/>
                <w:sz w:val="14"/>
                <w:szCs w:val="14"/>
              </w:rPr>
            </w:pPr>
            <w:r w:rsidRPr="00E14EE6">
              <w:rPr>
                <w:sz w:val="14"/>
              </w:rPr>
              <w:t>5.9</w:t>
            </w:r>
          </w:p>
        </w:tc>
        <w:tc>
          <w:tcPr>
            <w:tcW w:w="434" w:type="pct"/>
            <w:noWrap/>
          </w:tcPr>
          <w:p w14:paraId="1DC117A0" w14:textId="77777777" w:rsidR="00CA7676" w:rsidRPr="00E14EE6" w:rsidRDefault="00CA7676" w:rsidP="00E14EE6">
            <w:pPr>
              <w:jc w:val="right"/>
              <w:rPr>
                <w:rFonts w:cstheme="minorHAnsi"/>
                <w:sz w:val="14"/>
                <w:szCs w:val="14"/>
              </w:rPr>
            </w:pPr>
            <w:r w:rsidRPr="00E14EE6">
              <w:rPr>
                <w:sz w:val="14"/>
              </w:rPr>
              <w:t>9.1</w:t>
            </w:r>
          </w:p>
        </w:tc>
        <w:tc>
          <w:tcPr>
            <w:tcW w:w="433" w:type="pct"/>
            <w:noWrap/>
          </w:tcPr>
          <w:p w14:paraId="13B40814" w14:textId="77777777" w:rsidR="00CA7676" w:rsidRPr="00E14EE6" w:rsidRDefault="00CA7676" w:rsidP="00E14EE6">
            <w:pPr>
              <w:jc w:val="right"/>
              <w:rPr>
                <w:rFonts w:cstheme="minorHAnsi"/>
                <w:sz w:val="14"/>
                <w:szCs w:val="14"/>
              </w:rPr>
            </w:pPr>
            <w:r w:rsidRPr="00E14EE6">
              <w:rPr>
                <w:sz w:val="14"/>
              </w:rPr>
              <w:t>21.0</w:t>
            </w:r>
          </w:p>
        </w:tc>
        <w:tc>
          <w:tcPr>
            <w:tcW w:w="434" w:type="pct"/>
            <w:noWrap/>
          </w:tcPr>
          <w:p w14:paraId="7CA6AE85" w14:textId="77777777" w:rsidR="00CA7676" w:rsidRPr="00E14EE6" w:rsidRDefault="00CA7676" w:rsidP="00E14EE6">
            <w:pPr>
              <w:jc w:val="right"/>
              <w:rPr>
                <w:rFonts w:cstheme="minorHAnsi"/>
                <w:sz w:val="14"/>
                <w:szCs w:val="14"/>
              </w:rPr>
            </w:pPr>
            <w:r w:rsidRPr="00E14EE6">
              <w:rPr>
                <w:sz w:val="14"/>
              </w:rPr>
              <w:t>13.4</w:t>
            </w:r>
          </w:p>
        </w:tc>
        <w:tc>
          <w:tcPr>
            <w:tcW w:w="432" w:type="pct"/>
            <w:noWrap/>
          </w:tcPr>
          <w:p w14:paraId="21821A8E" w14:textId="340CA016" w:rsidR="00CA7676" w:rsidRPr="00E14EE6" w:rsidRDefault="00E14EE6" w:rsidP="00E14EE6">
            <w:pPr>
              <w:jc w:val="right"/>
              <w:rPr>
                <w:rFonts w:cstheme="minorHAnsi"/>
                <w:sz w:val="14"/>
                <w:szCs w:val="14"/>
              </w:rPr>
            </w:pPr>
            <w:r w:rsidRPr="00E14EE6">
              <w:rPr>
                <w:sz w:val="14"/>
              </w:rPr>
              <w:noBreakHyphen/>
            </w:r>
            <w:r w:rsidR="00CA7676" w:rsidRPr="00E14EE6">
              <w:rPr>
                <w:sz w:val="14"/>
              </w:rPr>
              <w:t>7.0</w:t>
            </w:r>
          </w:p>
        </w:tc>
      </w:tr>
      <w:tr w:rsidR="00CA7676" w:rsidRPr="00E14EE6" w14:paraId="6E8F3745" w14:textId="77777777" w:rsidTr="00A75533">
        <w:trPr>
          <w:trHeight w:val="20"/>
        </w:trPr>
        <w:tc>
          <w:tcPr>
            <w:tcW w:w="1099" w:type="pct"/>
            <w:noWrap/>
            <w:hideMark/>
          </w:tcPr>
          <w:p w14:paraId="47A52695" w14:textId="296350E4" w:rsidR="00CA7676" w:rsidRPr="00E14EE6" w:rsidRDefault="00CA7676" w:rsidP="00E14EE6">
            <w:pPr>
              <w:jc w:val="left"/>
              <w:rPr>
                <w:rFonts w:cstheme="minorHAnsi"/>
                <w:sz w:val="14"/>
                <w:szCs w:val="14"/>
              </w:rPr>
            </w:pPr>
            <w:r w:rsidRPr="00E14EE6">
              <w:rPr>
                <w:sz w:val="14"/>
              </w:rPr>
              <w:t>Base money, broad definition, (end</w:t>
            </w:r>
            <w:r w:rsidR="00E14EE6" w:rsidRPr="00E14EE6">
              <w:rPr>
                <w:sz w:val="14"/>
              </w:rPr>
              <w:noBreakHyphen/>
            </w:r>
            <w:r w:rsidRPr="00E14EE6">
              <w:rPr>
                <w:sz w:val="14"/>
              </w:rPr>
              <w:t>of</w:t>
            </w:r>
            <w:r w:rsidR="00E14EE6" w:rsidRPr="00E14EE6">
              <w:rPr>
                <w:sz w:val="14"/>
              </w:rPr>
              <w:noBreakHyphen/>
            </w:r>
            <w:r w:rsidRPr="00E14EE6">
              <w:rPr>
                <w:sz w:val="14"/>
              </w:rPr>
              <w:t>period variation in %)</w:t>
            </w:r>
          </w:p>
        </w:tc>
        <w:tc>
          <w:tcPr>
            <w:tcW w:w="433" w:type="pct"/>
            <w:noWrap/>
            <w:hideMark/>
          </w:tcPr>
          <w:p w14:paraId="25C60303" w14:textId="77777777" w:rsidR="00CA7676" w:rsidRPr="00E14EE6" w:rsidRDefault="00CA7676" w:rsidP="00E14EE6">
            <w:pPr>
              <w:jc w:val="right"/>
              <w:rPr>
                <w:rFonts w:cstheme="minorHAnsi"/>
                <w:sz w:val="14"/>
                <w:szCs w:val="14"/>
              </w:rPr>
            </w:pPr>
            <w:r w:rsidRPr="00E14EE6">
              <w:rPr>
                <w:sz w:val="14"/>
              </w:rPr>
              <w:t>15.3</w:t>
            </w:r>
          </w:p>
        </w:tc>
        <w:tc>
          <w:tcPr>
            <w:tcW w:w="434" w:type="pct"/>
            <w:noWrap/>
            <w:hideMark/>
          </w:tcPr>
          <w:p w14:paraId="386E5E9C" w14:textId="77777777" w:rsidR="00CA7676" w:rsidRPr="00E14EE6" w:rsidRDefault="00CA7676" w:rsidP="00E14EE6">
            <w:pPr>
              <w:jc w:val="right"/>
              <w:rPr>
                <w:rFonts w:cstheme="minorHAnsi"/>
                <w:sz w:val="14"/>
                <w:szCs w:val="14"/>
              </w:rPr>
            </w:pPr>
            <w:r w:rsidRPr="00E14EE6">
              <w:rPr>
                <w:sz w:val="14"/>
              </w:rPr>
              <w:t>4.4</w:t>
            </w:r>
          </w:p>
        </w:tc>
        <w:tc>
          <w:tcPr>
            <w:tcW w:w="434" w:type="pct"/>
            <w:noWrap/>
            <w:hideMark/>
          </w:tcPr>
          <w:p w14:paraId="7D305C50" w14:textId="77777777" w:rsidR="00CA7676" w:rsidRPr="00E14EE6" w:rsidRDefault="00CA7676" w:rsidP="00E14EE6">
            <w:pPr>
              <w:jc w:val="right"/>
              <w:rPr>
                <w:rFonts w:cstheme="minorHAnsi"/>
                <w:sz w:val="14"/>
                <w:szCs w:val="14"/>
              </w:rPr>
            </w:pPr>
            <w:r w:rsidRPr="00E14EE6">
              <w:rPr>
                <w:sz w:val="14"/>
              </w:rPr>
              <w:t>14.7</w:t>
            </w:r>
          </w:p>
        </w:tc>
        <w:tc>
          <w:tcPr>
            <w:tcW w:w="433" w:type="pct"/>
            <w:noWrap/>
            <w:hideMark/>
          </w:tcPr>
          <w:p w14:paraId="43525A81" w14:textId="77777777" w:rsidR="00CA7676" w:rsidRPr="00E14EE6" w:rsidRDefault="00CA7676" w:rsidP="00E14EE6">
            <w:pPr>
              <w:jc w:val="right"/>
              <w:rPr>
                <w:rFonts w:cstheme="minorHAnsi"/>
                <w:sz w:val="14"/>
                <w:szCs w:val="14"/>
              </w:rPr>
            </w:pPr>
            <w:r w:rsidRPr="00E14EE6">
              <w:rPr>
                <w:sz w:val="14"/>
              </w:rPr>
              <w:t>12.3</w:t>
            </w:r>
          </w:p>
        </w:tc>
        <w:tc>
          <w:tcPr>
            <w:tcW w:w="434" w:type="pct"/>
            <w:noWrap/>
            <w:hideMark/>
          </w:tcPr>
          <w:p w14:paraId="4966E100" w14:textId="74479389" w:rsidR="00CA7676" w:rsidRPr="00E14EE6" w:rsidRDefault="00E14EE6" w:rsidP="00E14EE6">
            <w:pPr>
              <w:jc w:val="right"/>
              <w:rPr>
                <w:rFonts w:cstheme="minorHAnsi"/>
                <w:sz w:val="14"/>
                <w:szCs w:val="14"/>
              </w:rPr>
            </w:pPr>
            <w:r w:rsidRPr="00E14EE6">
              <w:rPr>
                <w:sz w:val="14"/>
              </w:rPr>
              <w:noBreakHyphen/>
            </w:r>
            <w:r w:rsidR="00CA7676" w:rsidRPr="00E14EE6">
              <w:rPr>
                <w:sz w:val="14"/>
              </w:rPr>
              <w:t>2.2</w:t>
            </w:r>
          </w:p>
        </w:tc>
        <w:tc>
          <w:tcPr>
            <w:tcW w:w="434" w:type="pct"/>
            <w:noWrap/>
            <w:hideMark/>
          </w:tcPr>
          <w:p w14:paraId="0AD2AA8C" w14:textId="77777777" w:rsidR="00CA7676" w:rsidRPr="00E14EE6" w:rsidRDefault="00CA7676" w:rsidP="00E14EE6">
            <w:pPr>
              <w:jc w:val="right"/>
              <w:rPr>
                <w:rFonts w:cstheme="minorHAnsi"/>
                <w:sz w:val="14"/>
                <w:szCs w:val="14"/>
              </w:rPr>
            </w:pPr>
            <w:r w:rsidRPr="00E14EE6">
              <w:rPr>
                <w:sz w:val="14"/>
              </w:rPr>
              <w:t>21.3</w:t>
            </w:r>
          </w:p>
        </w:tc>
        <w:tc>
          <w:tcPr>
            <w:tcW w:w="433" w:type="pct"/>
            <w:noWrap/>
            <w:hideMark/>
          </w:tcPr>
          <w:p w14:paraId="4EE585C4" w14:textId="77777777" w:rsidR="00CA7676" w:rsidRPr="00E14EE6" w:rsidRDefault="00CA7676" w:rsidP="00E14EE6">
            <w:pPr>
              <w:jc w:val="right"/>
              <w:rPr>
                <w:rFonts w:cstheme="minorHAnsi"/>
                <w:sz w:val="14"/>
                <w:szCs w:val="14"/>
              </w:rPr>
            </w:pPr>
            <w:r w:rsidRPr="00E14EE6">
              <w:rPr>
                <w:sz w:val="14"/>
              </w:rPr>
              <w:t>34.7</w:t>
            </w:r>
          </w:p>
        </w:tc>
        <w:tc>
          <w:tcPr>
            <w:tcW w:w="434" w:type="pct"/>
            <w:noWrap/>
            <w:hideMark/>
          </w:tcPr>
          <w:p w14:paraId="56497FED" w14:textId="77777777" w:rsidR="00CA7676" w:rsidRPr="00E14EE6" w:rsidRDefault="00CA7676" w:rsidP="00E14EE6">
            <w:pPr>
              <w:jc w:val="right"/>
              <w:rPr>
                <w:rFonts w:cstheme="minorHAnsi"/>
                <w:sz w:val="14"/>
                <w:szCs w:val="14"/>
              </w:rPr>
            </w:pPr>
            <w:r w:rsidRPr="00E14EE6">
              <w:rPr>
                <w:sz w:val="14"/>
              </w:rPr>
              <w:t>32.1</w:t>
            </w:r>
          </w:p>
        </w:tc>
        <w:tc>
          <w:tcPr>
            <w:tcW w:w="432" w:type="pct"/>
            <w:noWrap/>
            <w:hideMark/>
          </w:tcPr>
          <w:p w14:paraId="5CBD8B20" w14:textId="3F632C61" w:rsidR="00CA7676" w:rsidRPr="00E14EE6" w:rsidRDefault="00E14EE6" w:rsidP="00E14EE6">
            <w:pPr>
              <w:jc w:val="right"/>
              <w:rPr>
                <w:rFonts w:cstheme="minorHAnsi"/>
                <w:sz w:val="14"/>
                <w:szCs w:val="14"/>
              </w:rPr>
            </w:pPr>
            <w:r w:rsidRPr="00E14EE6">
              <w:rPr>
                <w:sz w:val="14"/>
              </w:rPr>
              <w:noBreakHyphen/>
            </w:r>
            <w:r w:rsidR="00CA7676" w:rsidRPr="00E14EE6">
              <w:rPr>
                <w:sz w:val="14"/>
              </w:rPr>
              <w:t>12.0</w:t>
            </w:r>
          </w:p>
        </w:tc>
      </w:tr>
      <w:tr w:rsidR="00CA7676" w:rsidRPr="00E14EE6" w14:paraId="1D6FC4AA" w14:textId="77777777" w:rsidTr="00A75533">
        <w:trPr>
          <w:cnfStyle w:val="000000010000" w:firstRow="0" w:lastRow="0" w:firstColumn="0" w:lastColumn="0" w:oddVBand="0" w:evenVBand="0" w:oddHBand="0" w:evenHBand="1" w:firstRowFirstColumn="0" w:firstRowLastColumn="0" w:lastRowFirstColumn="0" w:lastRowLastColumn="0"/>
          <w:trHeight w:val="20"/>
        </w:trPr>
        <w:tc>
          <w:tcPr>
            <w:tcW w:w="1099" w:type="pct"/>
            <w:noWrap/>
            <w:hideMark/>
          </w:tcPr>
          <w:p w14:paraId="07483A72" w14:textId="0C896FB2" w:rsidR="00CA7676" w:rsidRPr="00E14EE6" w:rsidRDefault="00CA7676" w:rsidP="00E14EE6">
            <w:pPr>
              <w:jc w:val="left"/>
              <w:rPr>
                <w:rFonts w:cstheme="minorHAnsi"/>
                <w:sz w:val="14"/>
                <w:szCs w:val="14"/>
              </w:rPr>
            </w:pPr>
            <w:r w:rsidRPr="00E14EE6">
              <w:rPr>
                <w:sz w:val="14"/>
              </w:rPr>
              <w:t>M1 (end</w:t>
            </w:r>
            <w:r w:rsidR="00E14EE6" w:rsidRPr="00E14EE6">
              <w:rPr>
                <w:sz w:val="14"/>
              </w:rPr>
              <w:noBreakHyphen/>
            </w:r>
            <w:r w:rsidRPr="00E14EE6">
              <w:rPr>
                <w:sz w:val="14"/>
              </w:rPr>
              <w:t>of</w:t>
            </w:r>
            <w:r w:rsidR="00E14EE6" w:rsidRPr="00E14EE6">
              <w:rPr>
                <w:sz w:val="14"/>
              </w:rPr>
              <w:noBreakHyphen/>
            </w:r>
            <w:r w:rsidRPr="00E14EE6">
              <w:rPr>
                <w:sz w:val="14"/>
              </w:rPr>
              <w:t>period variation in %)</w:t>
            </w:r>
          </w:p>
        </w:tc>
        <w:tc>
          <w:tcPr>
            <w:tcW w:w="433" w:type="pct"/>
            <w:noWrap/>
            <w:hideMark/>
          </w:tcPr>
          <w:p w14:paraId="78F6DBF0" w14:textId="77777777" w:rsidR="00CA7676" w:rsidRPr="00E14EE6" w:rsidRDefault="00CA7676" w:rsidP="00E14EE6">
            <w:pPr>
              <w:jc w:val="right"/>
              <w:rPr>
                <w:rFonts w:cstheme="minorHAnsi"/>
                <w:sz w:val="14"/>
                <w:szCs w:val="14"/>
              </w:rPr>
            </w:pPr>
            <w:r w:rsidRPr="00E14EE6">
              <w:rPr>
                <w:sz w:val="14"/>
              </w:rPr>
              <w:t>9.3</w:t>
            </w:r>
          </w:p>
        </w:tc>
        <w:tc>
          <w:tcPr>
            <w:tcW w:w="434" w:type="pct"/>
            <w:noWrap/>
            <w:hideMark/>
          </w:tcPr>
          <w:p w14:paraId="31606CB1" w14:textId="77777777" w:rsidR="00CA7676" w:rsidRPr="00E14EE6" w:rsidRDefault="00CA7676" w:rsidP="00E14EE6">
            <w:pPr>
              <w:jc w:val="right"/>
              <w:rPr>
                <w:rFonts w:cstheme="minorHAnsi"/>
                <w:sz w:val="14"/>
                <w:szCs w:val="14"/>
              </w:rPr>
            </w:pPr>
            <w:r w:rsidRPr="00E14EE6">
              <w:rPr>
                <w:sz w:val="14"/>
              </w:rPr>
              <w:t>12.2</w:t>
            </w:r>
          </w:p>
        </w:tc>
        <w:tc>
          <w:tcPr>
            <w:tcW w:w="434" w:type="pct"/>
            <w:noWrap/>
            <w:hideMark/>
          </w:tcPr>
          <w:p w14:paraId="5B36885B" w14:textId="77777777" w:rsidR="00CA7676" w:rsidRPr="00E14EE6" w:rsidRDefault="00CA7676" w:rsidP="00E14EE6">
            <w:pPr>
              <w:jc w:val="right"/>
              <w:rPr>
                <w:rFonts w:cstheme="minorHAnsi"/>
                <w:sz w:val="14"/>
                <w:szCs w:val="14"/>
              </w:rPr>
            </w:pPr>
            <w:r w:rsidRPr="00E14EE6">
              <w:rPr>
                <w:sz w:val="14"/>
              </w:rPr>
              <w:t>11.0</w:t>
            </w:r>
          </w:p>
        </w:tc>
        <w:tc>
          <w:tcPr>
            <w:tcW w:w="433" w:type="pct"/>
            <w:noWrap/>
            <w:hideMark/>
          </w:tcPr>
          <w:p w14:paraId="561A04E4" w14:textId="77777777" w:rsidR="00CA7676" w:rsidRPr="00E14EE6" w:rsidRDefault="00CA7676" w:rsidP="00E14EE6">
            <w:pPr>
              <w:jc w:val="right"/>
              <w:rPr>
                <w:rFonts w:cstheme="minorHAnsi"/>
                <w:sz w:val="14"/>
                <w:szCs w:val="14"/>
              </w:rPr>
            </w:pPr>
            <w:r w:rsidRPr="00E14EE6">
              <w:rPr>
                <w:sz w:val="14"/>
              </w:rPr>
              <w:t>12.2</w:t>
            </w:r>
          </w:p>
        </w:tc>
        <w:tc>
          <w:tcPr>
            <w:tcW w:w="434" w:type="pct"/>
            <w:noWrap/>
            <w:hideMark/>
          </w:tcPr>
          <w:p w14:paraId="3F3A8601" w14:textId="77777777" w:rsidR="00CA7676" w:rsidRPr="00E14EE6" w:rsidRDefault="00CA7676" w:rsidP="00E14EE6">
            <w:pPr>
              <w:jc w:val="right"/>
              <w:rPr>
                <w:rFonts w:cstheme="minorHAnsi"/>
                <w:sz w:val="14"/>
                <w:szCs w:val="14"/>
              </w:rPr>
            </w:pPr>
            <w:r w:rsidRPr="00E14EE6">
              <w:rPr>
                <w:sz w:val="14"/>
              </w:rPr>
              <w:t>6.6</w:t>
            </w:r>
          </w:p>
        </w:tc>
        <w:tc>
          <w:tcPr>
            <w:tcW w:w="434" w:type="pct"/>
            <w:noWrap/>
            <w:hideMark/>
          </w:tcPr>
          <w:p w14:paraId="4333B2C6" w14:textId="77777777" w:rsidR="00CA7676" w:rsidRPr="00E14EE6" w:rsidRDefault="00CA7676" w:rsidP="00E14EE6">
            <w:pPr>
              <w:jc w:val="right"/>
              <w:rPr>
                <w:rFonts w:cstheme="minorHAnsi"/>
                <w:sz w:val="14"/>
                <w:szCs w:val="14"/>
              </w:rPr>
            </w:pPr>
            <w:r w:rsidRPr="00E14EE6">
              <w:rPr>
                <w:sz w:val="14"/>
              </w:rPr>
              <w:t>20.7</w:t>
            </w:r>
          </w:p>
        </w:tc>
        <w:tc>
          <w:tcPr>
            <w:tcW w:w="433" w:type="pct"/>
            <w:noWrap/>
            <w:hideMark/>
          </w:tcPr>
          <w:p w14:paraId="315E2AAD" w14:textId="77777777" w:rsidR="00CA7676" w:rsidRPr="00E14EE6" w:rsidRDefault="00CA7676" w:rsidP="00E14EE6">
            <w:pPr>
              <w:jc w:val="right"/>
              <w:rPr>
                <w:rFonts w:cstheme="minorHAnsi"/>
                <w:sz w:val="14"/>
                <w:szCs w:val="14"/>
              </w:rPr>
            </w:pPr>
            <w:r w:rsidRPr="00E14EE6">
              <w:rPr>
                <w:sz w:val="14"/>
              </w:rPr>
              <w:t>28.9</w:t>
            </w:r>
          </w:p>
        </w:tc>
        <w:tc>
          <w:tcPr>
            <w:tcW w:w="434" w:type="pct"/>
            <w:noWrap/>
            <w:hideMark/>
          </w:tcPr>
          <w:p w14:paraId="0497F309" w14:textId="77777777" w:rsidR="00CA7676" w:rsidRPr="00E14EE6" w:rsidRDefault="00CA7676" w:rsidP="00E14EE6">
            <w:pPr>
              <w:jc w:val="right"/>
              <w:rPr>
                <w:rFonts w:cstheme="minorHAnsi"/>
                <w:sz w:val="14"/>
                <w:szCs w:val="14"/>
              </w:rPr>
            </w:pPr>
            <w:r w:rsidRPr="00E14EE6">
              <w:rPr>
                <w:sz w:val="14"/>
              </w:rPr>
              <w:t>20.8</w:t>
            </w:r>
          </w:p>
        </w:tc>
        <w:tc>
          <w:tcPr>
            <w:tcW w:w="432" w:type="pct"/>
            <w:noWrap/>
            <w:hideMark/>
          </w:tcPr>
          <w:p w14:paraId="54535EFC" w14:textId="701F41E3" w:rsidR="00CA7676" w:rsidRPr="00E14EE6" w:rsidRDefault="00E14EE6" w:rsidP="00E14EE6">
            <w:pPr>
              <w:jc w:val="right"/>
              <w:rPr>
                <w:rFonts w:cstheme="minorHAnsi"/>
                <w:sz w:val="14"/>
                <w:szCs w:val="14"/>
              </w:rPr>
            </w:pPr>
            <w:r w:rsidRPr="00E14EE6">
              <w:rPr>
                <w:sz w:val="14"/>
              </w:rPr>
              <w:noBreakHyphen/>
            </w:r>
            <w:r w:rsidR="00CA7676" w:rsidRPr="00E14EE6">
              <w:rPr>
                <w:sz w:val="14"/>
              </w:rPr>
              <w:t>2.8</w:t>
            </w:r>
          </w:p>
        </w:tc>
      </w:tr>
      <w:tr w:rsidR="00CA7676" w:rsidRPr="00E14EE6" w14:paraId="59296458" w14:textId="77777777" w:rsidTr="00A75533">
        <w:trPr>
          <w:trHeight w:val="20"/>
        </w:trPr>
        <w:tc>
          <w:tcPr>
            <w:tcW w:w="1099" w:type="pct"/>
            <w:noWrap/>
            <w:hideMark/>
          </w:tcPr>
          <w:p w14:paraId="63D85C70" w14:textId="57FF2A16" w:rsidR="00CA7676" w:rsidRPr="00E14EE6" w:rsidRDefault="00CA7676" w:rsidP="00E14EE6">
            <w:pPr>
              <w:jc w:val="left"/>
              <w:rPr>
                <w:rFonts w:cstheme="minorHAnsi"/>
                <w:sz w:val="14"/>
                <w:szCs w:val="14"/>
              </w:rPr>
            </w:pPr>
            <w:r w:rsidRPr="00E14EE6">
              <w:rPr>
                <w:sz w:val="14"/>
              </w:rPr>
              <w:t>M2 (end</w:t>
            </w:r>
            <w:r w:rsidR="00E14EE6" w:rsidRPr="00E14EE6">
              <w:rPr>
                <w:sz w:val="14"/>
              </w:rPr>
              <w:noBreakHyphen/>
            </w:r>
            <w:r w:rsidRPr="00E14EE6">
              <w:rPr>
                <w:sz w:val="14"/>
              </w:rPr>
              <w:t>of</w:t>
            </w:r>
            <w:r w:rsidR="00E14EE6" w:rsidRPr="00E14EE6">
              <w:rPr>
                <w:sz w:val="14"/>
              </w:rPr>
              <w:noBreakHyphen/>
            </w:r>
            <w:r w:rsidRPr="00E14EE6">
              <w:rPr>
                <w:sz w:val="14"/>
              </w:rPr>
              <w:t>period variation in %)</w:t>
            </w:r>
          </w:p>
        </w:tc>
        <w:tc>
          <w:tcPr>
            <w:tcW w:w="433" w:type="pct"/>
            <w:noWrap/>
            <w:hideMark/>
          </w:tcPr>
          <w:p w14:paraId="7E5F14BE" w14:textId="77777777" w:rsidR="00CA7676" w:rsidRPr="00E14EE6" w:rsidRDefault="00CA7676" w:rsidP="00E14EE6">
            <w:pPr>
              <w:jc w:val="right"/>
              <w:rPr>
                <w:rFonts w:cstheme="minorHAnsi"/>
                <w:sz w:val="14"/>
                <w:szCs w:val="14"/>
              </w:rPr>
            </w:pPr>
            <w:r w:rsidRPr="00E14EE6">
              <w:rPr>
                <w:sz w:val="14"/>
              </w:rPr>
              <w:t>10.2</w:t>
            </w:r>
          </w:p>
        </w:tc>
        <w:tc>
          <w:tcPr>
            <w:tcW w:w="434" w:type="pct"/>
            <w:noWrap/>
            <w:hideMark/>
          </w:tcPr>
          <w:p w14:paraId="20ABB7FC" w14:textId="77777777" w:rsidR="00CA7676" w:rsidRPr="00E14EE6" w:rsidRDefault="00CA7676" w:rsidP="00E14EE6">
            <w:pPr>
              <w:jc w:val="right"/>
              <w:rPr>
                <w:rFonts w:cstheme="minorHAnsi"/>
                <w:sz w:val="14"/>
                <w:szCs w:val="14"/>
              </w:rPr>
            </w:pPr>
            <w:r w:rsidRPr="00E14EE6">
              <w:rPr>
                <w:sz w:val="14"/>
              </w:rPr>
              <w:t>11.6</w:t>
            </w:r>
          </w:p>
        </w:tc>
        <w:tc>
          <w:tcPr>
            <w:tcW w:w="434" w:type="pct"/>
            <w:noWrap/>
            <w:hideMark/>
          </w:tcPr>
          <w:p w14:paraId="76BDF4DE" w14:textId="77777777" w:rsidR="00CA7676" w:rsidRPr="00E14EE6" w:rsidRDefault="00CA7676" w:rsidP="00E14EE6">
            <w:pPr>
              <w:jc w:val="right"/>
              <w:rPr>
                <w:rFonts w:cstheme="minorHAnsi"/>
                <w:sz w:val="14"/>
                <w:szCs w:val="14"/>
              </w:rPr>
            </w:pPr>
            <w:r w:rsidRPr="00E14EE6">
              <w:rPr>
                <w:sz w:val="14"/>
              </w:rPr>
              <w:t>10.0</w:t>
            </w:r>
          </w:p>
        </w:tc>
        <w:tc>
          <w:tcPr>
            <w:tcW w:w="433" w:type="pct"/>
            <w:noWrap/>
            <w:hideMark/>
          </w:tcPr>
          <w:p w14:paraId="7067DCEF" w14:textId="77777777" w:rsidR="00CA7676" w:rsidRPr="00E14EE6" w:rsidRDefault="00CA7676" w:rsidP="00E14EE6">
            <w:pPr>
              <w:jc w:val="right"/>
              <w:rPr>
                <w:rFonts w:cstheme="minorHAnsi"/>
                <w:sz w:val="14"/>
                <w:szCs w:val="14"/>
              </w:rPr>
            </w:pPr>
            <w:r w:rsidRPr="00E14EE6">
              <w:rPr>
                <w:sz w:val="14"/>
              </w:rPr>
              <w:t>10.3</w:t>
            </w:r>
          </w:p>
        </w:tc>
        <w:tc>
          <w:tcPr>
            <w:tcW w:w="434" w:type="pct"/>
            <w:noWrap/>
            <w:hideMark/>
          </w:tcPr>
          <w:p w14:paraId="5B93B96E" w14:textId="77777777" w:rsidR="00CA7676" w:rsidRPr="00E14EE6" w:rsidRDefault="00CA7676" w:rsidP="00E14EE6">
            <w:pPr>
              <w:jc w:val="right"/>
              <w:rPr>
                <w:rFonts w:cstheme="minorHAnsi"/>
                <w:sz w:val="14"/>
                <w:szCs w:val="14"/>
              </w:rPr>
            </w:pPr>
            <w:r w:rsidRPr="00E14EE6">
              <w:rPr>
                <w:sz w:val="14"/>
              </w:rPr>
              <w:t>4.5</w:t>
            </w:r>
          </w:p>
        </w:tc>
        <w:tc>
          <w:tcPr>
            <w:tcW w:w="434" w:type="pct"/>
            <w:noWrap/>
            <w:hideMark/>
          </w:tcPr>
          <w:p w14:paraId="4D3D8D7F" w14:textId="77777777" w:rsidR="00CA7676" w:rsidRPr="00E14EE6" w:rsidRDefault="00CA7676" w:rsidP="00E14EE6">
            <w:pPr>
              <w:jc w:val="right"/>
              <w:rPr>
                <w:rFonts w:cstheme="minorHAnsi"/>
                <w:sz w:val="14"/>
                <w:szCs w:val="14"/>
              </w:rPr>
            </w:pPr>
            <w:r w:rsidRPr="00E14EE6">
              <w:rPr>
                <w:sz w:val="14"/>
              </w:rPr>
              <w:t>10.4</w:t>
            </w:r>
          </w:p>
        </w:tc>
        <w:tc>
          <w:tcPr>
            <w:tcW w:w="433" w:type="pct"/>
            <w:noWrap/>
            <w:hideMark/>
          </w:tcPr>
          <w:p w14:paraId="4D6A277D" w14:textId="77777777" w:rsidR="00CA7676" w:rsidRPr="00E14EE6" w:rsidRDefault="00CA7676" w:rsidP="00E14EE6">
            <w:pPr>
              <w:jc w:val="right"/>
              <w:rPr>
                <w:rFonts w:cstheme="minorHAnsi"/>
                <w:sz w:val="14"/>
                <w:szCs w:val="14"/>
              </w:rPr>
            </w:pPr>
            <w:r w:rsidRPr="00E14EE6">
              <w:rPr>
                <w:sz w:val="14"/>
              </w:rPr>
              <w:t>16.0</w:t>
            </w:r>
          </w:p>
        </w:tc>
        <w:tc>
          <w:tcPr>
            <w:tcW w:w="434" w:type="pct"/>
            <w:noWrap/>
            <w:hideMark/>
          </w:tcPr>
          <w:p w14:paraId="7C79C4E4" w14:textId="77777777" w:rsidR="00CA7676" w:rsidRPr="00E14EE6" w:rsidRDefault="00CA7676" w:rsidP="00E14EE6">
            <w:pPr>
              <w:jc w:val="right"/>
              <w:rPr>
                <w:rFonts w:cstheme="minorHAnsi"/>
                <w:sz w:val="14"/>
                <w:szCs w:val="14"/>
              </w:rPr>
            </w:pPr>
            <w:r w:rsidRPr="00E14EE6">
              <w:rPr>
                <w:sz w:val="14"/>
              </w:rPr>
              <w:t>15.3</w:t>
            </w:r>
          </w:p>
        </w:tc>
        <w:tc>
          <w:tcPr>
            <w:tcW w:w="432" w:type="pct"/>
            <w:noWrap/>
            <w:hideMark/>
          </w:tcPr>
          <w:p w14:paraId="668360E7" w14:textId="27E48565" w:rsidR="00CA7676" w:rsidRPr="00E14EE6" w:rsidRDefault="00E14EE6" w:rsidP="00E14EE6">
            <w:pPr>
              <w:jc w:val="right"/>
              <w:rPr>
                <w:rFonts w:cstheme="minorHAnsi"/>
                <w:sz w:val="14"/>
                <w:szCs w:val="14"/>
              </w:rPr>
            </w:pPr>
            <w:r w:rsidRPr="00E14EE6">
              <w:rPr>
                <w:sz w:val="14"/>
              </w:rPr>
              <w:noBreakHyphen/>
            </w:r>
            <w:r w:rsidR="00CA7676" w:rsidRPr="00E14EE6">
              <w:rPr>
                <w:sz w:val="14"/>
              </w:rPr>
              <w:t>2.5</w:t>
            </w:r>
          </w:p>
        </w:tc>
      </w:tr>
      <w:tr w:rsidR="00CA7676" w:rsidRPr="00E14EE6" w14:paraId="6ADAC928" w14:textId="77777777" w:rsidTr="00A75533">
        <w:trPr>
          <w:cnfStyle w:val="000000010000" w:firstRow="0" w:lastRow="0" w:firstColumn="0" w:lastColumn="0" w:oddVBand="0" w:evenVBand="0" w:oddHBand="0" w:evenHBand="1" w:firstRowFirstColumn="0" w:firstRowLastColumn="0" w:lastRowFirstColumn="0" w:lastRowLastColumn="0"/>
          <w:trHeight w:val="20"/>
        </w:trPr>
        <w:tc>
          <w:tcPr>
            <w:tcW w:w="1099" w:type="pct"/>
            <w:noWrap/>
            <w:hideMark/>
          </w:tcPr>
          <w:p w14:paraId="23FB696C" w14:textId="208F2C88" w:rsidR="00CA7676" w:rsidRPr="00E14EE6" w:rsidRDefault="00CA7676" w:rsidP="00E14EE6">
            <w:pPr>
              <w:jc w:val="left"/>
              <w:rPr>
                <w:rFonts w:cstheme="minorHAnsi"/>
                <w:sz w:val="14"/>
                <w:szCs w:val="14"/>
              </w:rPr>
            </w:pPr>
            <w:r w:rsidRPr="00E14EE6">
              <w:rPr>
                <w:sz w:val="14"/>
              </w:rPr>
              <w:t>M3 (end</w:t>
            </w:r>
            <w:r w:rsidR="00E14EE6" w:rsidRPr="00E14EE6">
              <w:rPr>
                <w:sz w:val="14"/>
              </w:rPr>
              <w:noBreakHyphen/>
            </w:r>
            <w:r w:rsidRPr="00E14EE6">
              <w:rPr>
                <w:sz w:val="14"/>
              </w:rPr>
              <w:t>of</w:t>
            </w:r>
            <w:r w:rsidR="00E14EE6" w:rsidRPr="00E14EE6">
              <w:rPr>
                <w:sz w:val="14"/>
              </w:rPr>
              <w:noBreakHyphen/>
            </w:r>
            <w:r w:rsidRPr="00E14EE6">
              <w:rPr>
                <w:sz w:val="14"/>
              </w:rPr>
              <w:t>period variation in %)</w:t>
            </w:r>
          </w:p>
        </w:tc>
        <w:tc>
          <w:tcPr>
            <w:tcW w:w="433" w:type="pct"/>
            <w:noWrap/>
            <w:hideMark/>
          </w:tcPr>
          <w:p w14:paraId="7F082BD2" w14:textId="77777777" w:rsidR="00CA7676" w:rsidRPr="00E14EE6" w:rsidRDefault="00CA7676" w:rsidP="00E14EE6">
            <w:pPr>
              <w:jc w:val="right"/>
              <w:rPr>
                <w:rFonts w:cstheme="minorHAnsi"/>
                <w:sz w:val="14"/>
                <w:szCs w:val="14"/>
              </w:rPr>
            </w:pPr>
            <w:r w:rsidRPr="00E14EE6">
              <w:rPr>
                <w:sz w:val="14"/>
              </w:rPr>
              <w:t>9.3</w:t>
            </w:r>
          </w:p>
        </w:tc>
        <w:tc>
          <w:tcPr>
            <w:tcW w:w="434" w:type="pct"/>
            <w:noWrap/>
            <w:hideMark/>
          </w:tcPr>
          <w:p w14:paraId="77862473" w14:textId="77777777" w:rsidR="00CA7676" w:rsidRPr="00E14EE6" w:rsidRDefault="00CA7676" w:rsidP="00E14EE6">
            <w:pPr>
              <w:jc w:val="right"/>
              <w:rPr>
                <w:rFonts w:cstheme="minorHAnsi"/>
                <w:sz w:val="14"/>
                <w:szCs w:val="14"/>
              </w:rPr>
            </w:pPr>
            <w:r w:rsidRPr="00E14EE6">
              <w:rPr>
                <w:sz w:val="14"/>
              </w:rPr>
              <w:t>12.1</w:t>
            </w:r>
          </w:p>
        </w:tc>
        <w:tc>
          <w:tcPr>
            <w:tcW w:w="434" w:type="pct"/>
            <w:noWrap/>
            <w:hideMark/>
          </w:tcPr>
          <w:p w14:paraId="70315812" w14:textId="77777777" w:rsidR="00CA7676" w:rsidRPr="00E14EE6" w:rsidRDefault="00CA7676" w:rsidP="00E14EE6">
            <w:pPr>
              <w:jc w:val="right"/>
              <w:rPr>
                <w:rFonts w:cstheme="minorHAnsi"/>
                <w:sz w:val="14"/>
                <w:szCs w:val="14"/>
              </w:rPr>
            </w:pPr>
            <w:r w:rsidRPr="00E14EE6">
              <w:rPr>
                <w:sz w:val="14"/>
              </w:rPr>
              <w:t>9.8</w:t>
            </w:r>
          </w:p>
        </w:tc>
        <w:tc>
          <w:tcPr>
            <w:tcW w:w="433" w:type="pct"/>
            <w:noWrap/>
            <w:hideMark/>
          </w:tcPr>
          <w:p w14:paraId="300C93F7" w14:textId="77777777" w:rsidR="00CA7676" w:rsidRPr="00E14EE6" w:rsidRDefault="00CA7676" w:rsidP="00E14EE6">
            <w:pPr>
              <w:jc w:val="right"/>
              <w:rPr>
                <w:rFonts w:cstheme="minorHAnsi"/>
                <w:sz w:val="14"/>
                <w:szCs w:val="14"/>
              </w:rPr>
            </w:pPr>
            <w:r w:rsidRPr="00E14EE6">
              <w:rPr>
                <w:sz w:val="14"/>
              </w:rPr>
              <w:t>9.7</w:t>
            </w:r>
          </w:p>
        </w:tc>
        <w:tc>
          <w:tcPr>
            <w:tcW w:w="434" w:type="pct"/>
            <w:noWrap/>
            <w:hideMark/>
          </w:tcPr>
          <w:p w14:paraId="6D953415" w14:textId="77777777" w:rsidR="00CA7676" w:rsidRPr="00E14EE6" w:rsidRDefault="00CA7676" w:rsidP="00E14EE6">
            <w:pPr>
              <w:jc w:val="right"/>
              <w:rPr>
                <w:rFonts w:cstheme="minorHAnsi"/>
                <w:sz w:val="14"/>
                <w:szCs w:val="14"/>
              </w:rPr>
            </w:pPr>
            <w:r w:rsidRPr="00E14EE6">
              <w:rPr>
                <w:sz w:val="14"/>
              </w:rPr>
              <w:t>6.6</w:t>
            </w:r>
          </w:p>
        </w:tc>
        <w:tc>
          <w:tcPr>
            <w:tcW w:w="434" w:type="pct"/>
            <w:noWrap/>
            <w:hideMark/>
          </w:tcPr>
          <w:p w14:paraId="0FFC032A" w14:textId="77777777" w:rsidR="00CA7676" w:rsidRPr="00E14EE6" w:rsidRDefault="00CA7676" w:rsidP="00E14EE6">
            <w:pPr>
              <w:jc w:val="right"/>
              <w:rPr>
                <w:rFonts w:cstheme="minorHAnsi"/>
                <w:sz w:val="14"/>
                <w:szCs w:val="14"/>
              </w:rPr>
            </w:pPr>
            <w:r w:rsidRPr="00E14EE6">
              <w:rPr>
                <w:sz w:val="14"/>
              </w:rPr>
              <w:t>11.7</w:t>
            </w:r>
          </w:p>
        </w:tc>
        <w:tc>
          <w:tcPr>
            <w:tcW w:w="433" w:type="pct"/>
            <w:noWrap/>
            <w:hideMark/>
          </w:tcPr>
          <w:p w14:paraId="52122DB6" w14:textId="77777777" w:rsidR="00CA7676" w:rsidRPr="00E14EE6" w:rsidRDefault="00CA7676" w:rsidP="00E14EE6">
            <w:pPr>
              <w:jc w:val="right"/>
              <w:rPr>
                <w:rFonts w:cstheme="minorHAnsi"/>
                <w:sz w:val="14"/>
                <w:szCs w:val="14"/>
              </w:rPr>
            </w:pPr>
            <w:r w:rsidRPr="00E14EE6">
              <w:rPr>
                <w:sz w:val="14"/>
              </w:rPr>
              <w:t>21.8</w:t>
            </w:r>
          </w:p>
        </w:tc>
        <w:tc>
          <w:tcPr>
            <w:tcW w:w="434" w:type="pct"/>
            <w:noWrap/>
            <w:hideMark/>
          </w:tcPr>
          <w:p w14:paraId="1E707596" w14:textId="77777777" w:rsidR="00CA7676" w:rsidRPr="00E14EE6" w:rsidRDefault="00CA7676" w:rsidP="00E14EE6">
            <w:pPr>
              <w:jc w:val="right"/>
              <w:rPr>
                <w:rFonts w:cstheme="minorHAnsi"/>
                <w:sz w:val="14"/>
                <w:szCs w:val="14"/>
              </w:rPr>
            </w:pPr>
            <w:r w:rsidRPr="00E14EE6">
              <w:rPr>
                <w:sz w:val="14"/>
              </w:rPr>
              <w:t>13.7</w:t>
            </w:r>
          </w:p>
        </w:tc>
        <w:tc>
          <w:tcPr>
            <w:tcW w:w="432" w:type="pct"/>
            <w:noWrap/>
            <w:hideMark/>
          </w:tcPr>
          <w:p w14:paraId="5B5BC67E" w14:textId="778EFA14" w:rsidR="00CA7676" w:rsidRPr="00E14EE6" w:rsidRDefault="00E14EE6" w:rsidP="00E14EE6">
            <w:pPr>
              <w:jc w:val="right"/>
              <w:rPr>
                <w:rFonts w:cstheme="minorHAnsi"/>
                <w:sz w:val="14"/>
                <w:szCs w:val="14"/>
              </w:rPr>
            </w:pPr>
            <w:r w:rsidRPr="00E14EE6">
              <w:rPr>
                <w:sz w:val="14"/>
              </w:rPr>
              <w:noBreakHyphen/>
            </w:r>
            <w:r w:rsidR="00CA7676" w:rsidRPr="00E14EE6">
              <w:rPr>
                <w:sz w:val="14"/>
              </w:rPr>
              <w:t>1.7</w:t>
            </w:r>
          </w:p>
        </w:tc>
      </w:tr>
      <w:tr w:rsidR="00CA7676" w:rsidRPr="00E14EE6" w14:paraId="21ABC631" w14:textId="77777777" w:rsidTr="00A75533">
        <w:trPr>
          <w:trHeight w:val="20"/>
        </w:trPr>
        <w:tc>
          <w:tcPr>
            <w:tcW w:w="5000" w:type="pct"/>
            <w:gridSpan w:val="10"/>
            <w:noWrap/>
            <w:hideMark/>
          </w:tcPr>
          <w:p w14:paraId="6663E742" w14:textId="77777777" w:rsidR="00CA7676" w:rsidRPr="00E14EE6" w:rsidRDefault="00CA7676" w:rsidP="00A75533">
            <w:pPr>
              <w:keepNext/>
              <w:jc w:val="left"/>
              <w:rPr>
                <w:rFonts w:cstheme="minorHAnsi"/>
                <w:sz w:val="14"/>
                <w:szCs w:val="14"/>
              </w:rPr>
            </w:pPr>
            <w:r w:rsidRPr="00E14EE6">
              <w:rPr>
                <w:b/>
                <w:sz w:val="14"/>
              </w:rPr>
              <w:lastRenderedPageBreak/>
              <w:t>Interest rate (annual average %)</w:t>
            </w:r>
          </w:p>
        </w:tc>
      </w:tr>
      <w:tr w:rsidR="00CA7676" w:rsidRPr="00E14EE6" w14:paraId="4BA9B6BD" w14:textId="77777777" w:rsidTr="00A75533">
        <w:trPr>
          <w:cnfStyle w:val="000000010000" w:firstRow="0" w:lastRow="0" w:firstColumn="0" w:lastColumn="0" w:oddVBand="0" w:evenVBand="0" w:oddHBand="0" w:evenHBand="1" w:firstRowFirstColumn="0" w:firstRowLastColumn="0" w:lastRowFirstColumn="0" w:lastRowLastColumn="0"/>
          <w:trHeight w:val="20"/>
        </w:trPr>
        <w:tc>
          <w:tcPr>
            <w:tcW w:w="1099" w:type="pct"/>
            <w:noWrap/>
            <w:hideMark/>
          </w:tcPr>
          <w:p w14:paraId="55DEF8E7" w14:textId="49DD7A4C" w:rsidR="00CA7676" w:rsidRPr="00E14EE6" w:rsidRDefault="00CA7676" w:rsidP="00A75533">
            <w:pPr>
              <w:keepNext/>
              <w:jc w:val="left"/>
              <w:rPr>
                <w:rFonts w:cstheme="minorHAnsi"/>
                <w:sz w:val="14"/>
                <w:szCs w:val="14"/>
              </w:rPr>
            </w:pPr>
            <w:proofErr w:type="spellStart"/>
            <w:r w:rsidRPr="00E14EE6">
              <w:rPr>
                <w:sz w:val="14"/>
              </w:rPr>
              <w:t>M</w:t>
            </w:r>
            <w:r w:rsidR="00152A0F" w:rsidRPr="00E14EE6">
              <w:rPr>
                <w:sz w:val="14"/>
              </w:rPr>
              <w:t>PR</w:t>
            </w:r>
            <w:proofErr w:type="spellEnd"/>
          </w:p>
        </w:tc>
        <w:tc>
          <w:tcPr>
            <w:tcW w:w="433" w:type="pct"/>
            <w:noWrap/>
            <w:hideMark/>
          </w:tcPr>
          <w:p w14:paraId="65FF8B1C" w14:textId="77777777" w:rsidR="00CA7676" w:rsidRPr="00E14EE6" w:rsidRDefault="00CA7676" w:rsidP="00A75533">
            <w:pPr>
              <w:keepNext/>
              <w:jc w:val="right"/>
              <w:rPr>
                <w:rFonts w:cstheme="minorHAnsi"/>
                <w:sz w:val="14"/>
                <w:szCs w:val="14"/>
              </w:rPr>
            </w:pPr>
            <w:r w:rsidRPr="00E14EE6">
              <w:rPr>
                <w:sz w:val="14"/>
              </w:rPr>
              <w:t>6.3</w:t>
            </w:r>
          </w:p>
        </w:tc>
        <w:tc>
          <w:tcPr>
            <w:tcW w:w="434" w:type="pct"/>
            <w:noWrap/>
            <w:hideMark/>
          </w:tcPr>
          <w:p w14:paraId="17889F2B" w14:textId="77777777" w:rsidR="00CA7676" w:rsidRPr="00E14EE6" w:rsidRDefault="00CA7676" w:rsidP="00A75533">
            <w:pPr>
              <w:keepNext/>
              <w:jc w:val="right"/>
              <w:rPr>
                <w:rFonts w:cstheme="minorHAnsi"/>
                <w:sz w:val="14"/>
                <w:szCs w:val="14"/>
              </w:rPr>
            </w:pPr>
            <w:r w:rsidRPr="00E14EE6">
              <w:rPr>
                <w:sz w:val="14"/>
              </w:rPr>
              <w:t>5.4</w:t>
            </w:r>
          </w:p>
        </w:tc>
        <w:tc>
          <w:tcPr>
            <w:tcW w:w="434" w:type="pct"/>
            <w:noWrap/>
            <w:hideMark/>
          </w:tcPr>
          <w:p w14:paraId="6F4F00F8" w14:textId="77777777" w:rsidR="00CA7676" w:rsidRPr="00E14EE6" w:rsidRDefault="00CA7676" w:rsidP="00A75533">
            <w:pPr>
              <w:keepNext/>
              <w:jc w:val="right"/>
              <w:rPr>
                <w:rFonts w:cstheme="minorHAnsi"/>
                <w:sz w:val="14"/>
                <w:szCs w:val="14"/>
              </w:rPr>
            </w:pPr>
            <w:r w:rsidRPr="00E14EE6">
              <w:rPr>
                <w:sz w:val="14"/>
              </w:rPr>
              <w:t>5.1</w:t>
            </w:r>
          </w:p>
        </w:tc>
        <w:tc>
          <w:tcPr>
            <w:tcW w:w="433" w:type="pct"/>
            <w:noWrap/>
            <w:hideMark/>
          </w:tcPr>
          <w:p w14:paraId="44E52DD1" w14:textId="77777777" w:rsidR="00CA7676" w:rsidRPr="00E14EE6" w:rsidRDefault="00CA7676" w:rsidP="00A75533">
            <w:pPr>
              <w:keepNext/>
              <w:jc w:val="right"/>
              <w:rPr>
                <w:rFonts w:cstheme="minorHAnsi"/>
                <w:sz w:val="14"/>
                <w:szCs w:val="14"/>
              </w:rPr>
            </w:pPr>
            <w:r w:rsidRPr="00E14EE6">
              <w:rPr>
                <w:sz w:val="14"/>
              </w:rPr>
              <w:t>5.5</w:t>
            </w:r>
          </w:p>
        </w:tc>
        <w:tc>
          <w:tcPr>
            <w:tcW w:w="434" w:type="pct"/>
            <w:noWrap/>
            <w:hideMark/>
          </w:tcPr>
          <w:p w14:paraId="271B915B" w14:textId="77777777" w:rsidR="00CA7676" w:rsidRPr="00E14EE6" w:rsidRDefault="00CA7676" w:rsidP="00A75533">
            <w:pPr>
              <w:keepNext/>
              <w:jc w:val="right"/>
              <w:rPr>
                <w:rFonts w:cstheme="minorHAnsi"/>
                <w:sz w:val="14"/>
                <w:szCs w:val="14"/>
              </w:rPr>
            </w:pPr>
            <w:r w:rsidRPr="00E14EE6">
              <w:rPr>
                <w:sz w:val="14"/>
              </w:rPr>
              <w:t>5.4</w:t>
            </w:r>
          </w:p>
        </w:tc>
        <w:tc>
          <w:tcPr>
            <w:tcW w:w="434" w:type="pct"/>
            <w:noWrap/>
            <w:hideMark/>
          </w:tcPr>
          <w:p w14:paraId="67A40F25" w14:textId="77777777" w:rsidR="00CA7676" w:rsidRPr="00E14EE6" w:rsidRDefault="00CA7676" w:rsidP="00A75533">
            <w:pPr>
              <w:keepNext/>
              <w:jc w:val="right"/>
              <w:rPr>
                <w:rFonts w:cstheme="minorHAnsi"/>
                <w:sz w:val="14"/>
                <w:szCs w:val="14"/>
              </w:rPr>
            </w:pPr>
            <w:r w:rsidRPr="00E14EE6">
              <w:rPr>
                <w:sz w:val="14"/>
              </w:rPr>
              <w:t>5.1</w:t>
            </w:r>
          </w:p>
        </w:tc>
        <w:tc>
          <w:tcPr>
            <w:tcW w:w="433" w:type="pct"/>
            <w:noWrap/>
            <w:hideMark/>
          </w:tcPr>
          <w:p w14:paraId="1BE5FC66" w14:textId="77777777" w:rsidR="00CA7676" w:rsidRPr="00E14EE6" w:rsidRDefault="00CA7676" w:rsidP="00A75533">
            <w:pPr>
              <w:keepNext/>
              <w:jc w:val="right"/>
              <w:rPr>
                <w:rFonts w:cstheme="minorHAnsi"/>
                <w:sz w:val="14"/>
                <w:szCs w:val="14"/>
              </w:rPr>
            </w:pPr>
            <w:r w:rsidRPr="00E14EE6">
              <w:rPr>
                <w:sz w:val="14"/>
              </w:rPr>
              <w:t>3.5</w:t>
            </w:r>
          </w:p>
        </w:tc>
        <w:tc>
          <w:tcPr>
            <w:tcW w:w="434" w:type="pct"/>
            <w:noWrap/>
            <w:hideMark/>
          </w:tcPr>
          <w:p w14:paraId="6110957E" w14:textId="77777777" w:rsidR="00CA7676" w:rsidRPr="00E14EE6" w:rsidRDefault="00CA7676" w:rsidP="00A75533">
            <w:pPr>
              <w:keepNext/>
              <w:jc w:val="right"/>
              <w:rPr>
                <w:rFonts w:cstheme="minorHAnsi"/>
                <w:sz w:val="14"/>
                <w:szCs w:val="14"/>
              </w:rPr>
            </w:pPr>
            <w:r w:rsidRPr="00E14EE6">
              <w:rPr>
                <w:sz w:val="14"/>
              </w:rPr>
              <w:t>3.0</w:t>
            </w:r>
          </w:p>
        </w:tc>
        <w:tc>
          <w:tcPr>
            <w:tcW w:w="432" w:type="pct"/>
            <w:noWrap/>
            <w:hideMark/>
          </w:tcPr>
          <w:p w14:paraId="5443E4B4" w14:textId="77777777" w:rsidR="00CA7676" w:rsidRPr="00E14EE6" w:rsidRDefault="00CA7676" w:rsidP="00A75533">
            <w:pPr>
              <w:keepNext/>
              <w:jc w:val="right"/>
              <w:rPr>
                <w:rFonts w:cstheme="minorHAnsi"/>
                <w:sz w:val="14"/>
                <w:szCs w:val="14"/>
              </w:rPr>
            </w:pPr>
            <w:r w:rsidRPr="00E14EE6">
              <w:rPr>
                <w:sz w:val="14"/>
              </w:rPr>
              <w:t>4.8</w:t>
            </w:r>
          </w:p>
        </w:tc>
      </w:tr>
      <w:tr w:rsidR="00CA7676" w:rsidRPr="00E14EE6" w14:paraId="4C24308D" w14:textId="77777777" w:rsidTr="00A75533">
        <w:trPr>
          <w:trHeight w:val="20"/>
        </w:trPr>
        <w:tc>
          <w:tcPr>
            <w:tcW w:w="1099" w:type="pct"/>
            <w:noWrap/>
            <w:hideMark/>
          </w:tcPr>
          <w:p w14:paraId="48D45956" w14:textId="77777777" w:rsidR="00CA7676" w:rsidRPr="00E14EE6" w:rsidRDefault="00CA7676" w:rsidP="00E14EE6">
            <w:pPr>
              <w:jc w:val="left"/>
              <w:rPr>
                <w:rFonts w:cstheme="minorHAnsi"/>
                <w:sz w:val="14"/>
                <w:szCs w:val="14"/>
              </w:rPr>
            </w:pPr>
            <w:r w:rsidRPr="00E14EE6">
              <w:rPr>
                <w:sz w:val="14"/>
              </w:rPr>
              <w:t xml:space="preserve">Lending </w:t>
            </w:r>
            <w:proofErr w:type="spellStart"/>
            <w:r w:rsidRPr="00E14EE6">
              <w:rPr>
                <w:sz w:val="14"/>
              </w:rPr>
              <w:t>rate</w:t>
            </w:r>
            <w:r w:rsidRPr="00E14EE6">
              <w:rPr>
                <w:sz w:val="14"/>
                <w:vertAlign w:val="superscript"/>
              </w:rPr>
              <w:t>b</w:t>
            </w:r>
            <w:proofErr w:type="spellEnd"/>
          </w:p>
        </w:tc>
        <w:tc>
          <w:tcPr>
            <w:tcW w:w="433" w:type="pct"/>
            <w:noWrap/>
            <w:hideMark/>
          </w:tcPr>
          <w:p w14:paraId="15740891" w14:textId="77777777" w:rsidR="00CA7676" w:rsidRPr="00E14EE6" w:rsidRDefault="00CA7676" w:rsidP="00E14EE6">
            <w:pPr>
              <w:jc w:val="right"/>
              <w:rPr>
                <w:rFonts w:cstheme="minorHAnsi"/>
                <w:sz w:val="14"/>
                <w:szCs w:val="14"/>
              </w:rPr>
            </w:pPr>
            <w:r w:rsidRPr="00E14EE6">
              <w:rPr>
                <w:sz w:val="14"/>
              </w:rPr>
              <w:t>13.8</w:t>
            </w:r>
          </w:p>
        </w:tc>
        <w:tc>
          <w:tcPr>
            <w:tcW w:w="434" w:type="pct"/>
            <w:noWrap/>
            <w:hideMark/>
          </w:tcPr>
          <w:p w14:paraId="1F7971BA" w14:textId="77777777" w:rsidR="00CA7676" w:rsidRPr="00E14EE6" w:rsidRDefault="00CA7676" w:rsidP="00E14EE6">
            <w:pPr>
              <w:jc w:val="right"/>
              <w:rPr>
                <w:rFonts w:cstheme="minorHAnsi"/>
                <w:sz w:val="14"/>
                <w:szCs w:val="14"/>
              </w:rPr>
            </w:pPr>
            <w:r w:rsidRPr="00E14EE6">
              <w:rPr>
                <w:sz w:val="14"/>
              </w:rPr>
              <w:t>15.0</w:t>
            </w:r>
          </w:p>
        </w:tc>
        <w:tc>
          <w:tcPr>
            <w:tcW w:w="434" w:type="pct"/>
            <w:noWrap/>
            <w:hideMark/>
          </w:tcPr>
          <w:p w14:paraId="110CB840" w14:textId="77777777" w:rsidR="00CA7676" w:rsidRPr="00E14EE6" w:rsidRDefault="00CA7676" w:rsidP="00E14EE6">
            <w:pPr>
              <w:jc w:val="right"/>
              <w:rPr>
                <w:rFonts w:cstheme="minorHAnsi"/>
                <w:sz w:val="14"/>
                <w:szCs w:val="14"/>
              </w:rPr>
            </w:pPr>
            <w:r w:rsidRPr="00E14EE6">
              <w:rPr>
                <w:sz w:val="14"/>
              </w:rPr>
              <w:t>15.0</w:t>
            </w:r>
          </w:p>
        </w:tc>
        <w:tc>
          <w:tcPr>
            <w:tcW w:w="433" w:type="pct"/>
            <w:noWrap/>
            <w:hideMark/>
          </w:tcPr>
          <w:p w14:paraId="30053443" w14:textId="77777777" w:rsidR="00CA7676" w:rsidRPr="00E14EE6" w:rsidRDefault="00CA7676" w:rsidP="00E14EE6">
            <w:pPr>
              <w:jc w:val="right"/>
              <w:rPr>
                <w:rFonts w:cstheme="minorHAnsi"/>
                <w:strike/>
                <w:sz w:val="14"/>
                <w:szCs w:val="14"/>
              </w:rPr>
            </w:pPr>
            <w:r w:rsidRPr="00E14EE6">
              <w:rPr>
                <w:sz w:val="14"/>
              </w:rPr>
              <w:t>13.8</w:t>
            </w:r>
          </w:p>
        </w:tc>
        <w:tc>
          <w:tcPr>
            <w:tcW w:w="434" w:type="pct"/>
            <w:noWrap/>
            <w:hideMark/>
          </w:tcPr>
          <w:p w14:paraId="52B2ACFB" w14:textId="77777777" w:rsidR="00CA7676" w:rsidRPr="00E14EE6" w:rsidRDefault="00CA7676" w:rsidP="00E14EE6">
            <w:pPr>
              <w:jc w:val="right"/>
              <w:rPr>
                <w:rFonts w:cstheme="minorHAnsi"/>
                <w:strike/>
                <w:sz w:val="14"/>
                <w:szCs w:val="14"/>
              </w:rPr>
            </w:pPr>
            <w:r w:rsidRPr="00E14EE6">
              <w:rPr>
                <w:sz w:val="14"/>
              </w:rPr>
              <w:t>12.5</w:t>
            </w:r>
          </w:p>
        </w:tc>
        <w:tc>
          <w:tcPr>
            <w:tcW w:w="434" w:type="pct"/>
            <w:noWrap/>
            <w:hideMark/>
          </w:tcPr>
          <w:p w14:paraId="2BA2ED54" w14:textId="77777777" w:rsidR="00CA7676" w:rsidRPr="00E14EE6" w:rsidRDefault="00CA7676" w:rsidP="00E14EE6">
            <w:pPr>
              <w:jc w:val="right"/>
              <w:rPr>
                <w:rFonts w:cstheme="minorHAnsi"/>
                <w:strike/>
                <w:sz w:val="14"/>
                <w:szCs w:val="14"/>
              </w:rPr>
            </w:pPr>
            <w:r w:rsidRPr="00E14EE6">
              <w:rPr>
                <w:sz w:val="14"/>
              </w:rPr>
              <w:t>12.4</w:t>
            </w:r>
          </w:p>
        </w:tc>
        <w:tc>
          <w:tcPr>
            <w:tcW w:w="433" w:type="pct"/>
            <w:noWrap/>
            <w:hideMark/>
          </w:tcPr>
          <w:p w14:paraId="247788AF" w14:textId="77777777" w:rsidR="00CA7676" w:rsidRPr="00E14EE6" w:rsidRDefault="00CA7676" w:rsidP="00E14EE6">
            <w:pPr>
              <w:jc w:val="right"/>
              <w:rPr>
                <w:rFonts w:cstheme="minorHAnsi"/>
                <w:strike/>
                <w:sz w:val="14"/>
                <w:szCs w:val="14"/>
              </w:rPr>
            </w:pPr>
            <w:r w:rsidRPr="00E14EE6">
              <w:rPr>
                <w:sz w:val="14"/>
              </w:rPr>
              <w:t>10.8</w:t>
            </w:r>
          </w:p>
        </w:tc>
        <w:tc>
          <w:tcPr>
            <w:tcW w:w="434" w:type="pct"/>
            <w:noWrap/>
            <w:hideMark/>
          </w:tcPr>
          <w:p w14:paraId="18C35AE6" w14:textId="77777777" w:rsidR="00CA7676" w:rsidRPr="00E14EE6" w:rsidRDefault="00CA7676" w:rsidP="00E14EE6">
            <w:pPr>
              <w:jc w:val="right"/>
              <w:rPr>
                <w:rFonts w:cstheme="minorHAnsi"/>
                <w:strike/>
                <w:sz w:val="14"/>
                <w:szCs w:val="14"/>
              </w:rPr>
            </w:pPr>
            <w:r w:rsidRPr="00E14EE6">
              <w:rPr>
                <w:sz w:val="14"/>
              </w:rPr>
              <w:t>9.6</w:t>
            </w:r>
          </w:p>
        </w:tc>
        <w:tc>
          <w:tcPr>
            <w:tcW w:w="432" w:type="pct"/>
            <w:noWrap/>
            <w:hideMark/>
          </w:tcPr>
          <w:p w14:paraId="1982DB4F" w14:textId="77777777" w:rsidR="00CA7676" w:rsidRPr="00E14EE6" w:rsidRDefault="00CA7676" w:rsidP="00E14EE6">
            <w:pPr>
              <w:jc w:val="right"/>
              <w:rPr>
                <w:rFonts w:cstheme="minorHAnsi"/>
                <w:strike/>
                <w:sz w:val="14"/>
                <w:szCs w:val="14"/>
              </w:rPr>
            </w:pPr>
            <w:r w:rsidRPr="00E14EE6">
              <w:rPr>
                <w:sz w:val="14"/>
              </w:rPr>
              <w:t>10.0</w:t>
            </w:r>
          </w:p>
        </w:tc>
      </w:tr>
      <w:tr w:rsidR="00CA7676" w:rsidRPr="00E14EE6" w14:paraId="0DC39125" w14:textId="77777777" w:rsidTr="00A75533">
        <w:trPr>
          <w:cnfStyle w:val="000000010000" w:firstRow="0" w:lastRow="0" w:firstColumn="0" w:lastColumn="0" w:oddVBand="0" w:evenVBand="0" w:oddHBand="0" w:evenHBand="1" w:firstRowFirstColumn="0" w:firstRowLastColumn="0" w:lastRowFirstColumn="0" w:lastRowLastColumn="0"/>
          <w:trHeight w:val="20"/>
        </w:trPr>
        <w:tc>
          <w:tcPr>
            <w:tcW w:w="1099" w:type="pct"/>
            <w:noWrap/>
            <w:hideMark/>
          </w:tcPr>
          <w:p w14:paraId="23677CAC" w14:textId="77777777" w:rsidR="00CA7676" w:rsidRPr="00E14EE6" w:rsidRDefault="00CA7676" w:rsidP="00E14EE6">
            <w:pPr>
              <w:jc w:val="left"/>
              <w:rPr>
                <w:rFonts w:cstheme="minorHAnsi"/>
                <w:sz w:val="14"/>
                <w:szCs w:val="14"/>
              </w:rPr>
            </w:pPr>
            <w:r w:rsidRPr="00E14EE6">
              <w:rPr>
                <w:sz w:val="14"/>
              </w:rPr>
              <w:t xml:space="preserve">Deposit </w:t>
            </w:r>
            <w:proofErr w:type="spellStart"/>
            <w:r w:rsidRPr="00E14EE6">
              <w:rPr>
                <w:sz w:val="14"/>
              </w:rPr>
              <w:t>rate</w:t>
            </w:r>
            <w:r w:rsidRPr="00E14EE6">
              <w:rPr>
                <w:sz w:val="14"/>
                <w:vertAlign w:val="superscript"/>
              </w:rPr>
              <w:t>c</w:t>
            </w:r>
            <w:proofErr w:type="spellEnd"/>
          </w:p>
        </w:tc>
        <w:tc>
          <w:tcPr>
            <w:tcW w:w="433" w:type="pct"/>
            <w:noWrap/>
            <w:hideMark/>
          </w:tcPr>
          <w:p w14:paraId="54269818" w14:textId="77777777" w:rsidR="00CA7676" w:rsidRPr="00E14EE6" w:rsidRDefault="00CA7676" w:rsidP="00E14EE6">
            <w:pPr>
              <w:jc w:val="right"/>
              <w:rPr>
                <w:rFonts w:cstheme="minorHAnsi"/>
                <w:sz w:val="14"/>
                <w:szCs w:val="14"/>
              </w:rPr>
            </w:pPr>
            <w:r w:rsidRPr="00E14EE6">
              <w:rPr>
                <w:sz w:val="14"/>
              </w:rPr>
              <w:t>6.5</w:t>
            </w:r>
          </w:p>
        </w:tc>
        <w:tc>
          <w:tcPr>
            <w:tcW w:w="434" w:type="pct"/>
            <w:noWrap/>
            <w:hideMark/>
          </w:tcPr>
          <w:p w14:paraId="67A5A0BD" w14:textId="77777777" w:rsidR="00CA7676" w:rsidRPr="00E14EE6" w:rsidRDefault="00CA7676" w:rsidP="00E14EE6">
            <w:pPr>
              <w:jc w:val="right"/>
              <w:rPr>
                <w:rFonts w:cstheme="minorHAnsi"/>
                <w:sz w:val="14"/>
                <w:szCs w:val="14"/>
              </w:rPr>
            </w:pPr>
            <w:r w:rsidRPr="00E14EE6">
              <w:rPr>
                <w:sz w:val="14"/>
              </w:rPr>
              <w:t>6.5</w:t>
            </w:r>
          </w:p>
        </w:tc>
        <w:tc>
          <w:tcPr>
            <w:tcW w:w="434" w:type="pct"/>
            <w:noWrap/>
            <w:hideMark/>
          </w:tcPr>
          <w:p w14:paraId="58147290" w14:textId="77777777" w:rsidR="00CA7676" w:rsidRPr="00E14EE6" w:rsidRDefault="00CA7676" w:rsidP="00E14EE6">
            <w:pPr>
              <w:jc w:val="right"/>
              <w:rPr>
                <w:rFonts w:cstheme="minorHAnsi"/>
                <w:sz w:val="14"/>
                <w:szCs w:val="14"/>
              </w:rPr>
            </w:pPr>
            <w:r w:rsidRPr="00E14EE6">
              <w:rPr>
                <w:sz w:val="14"/>
              </w:rPr>
              <w:t>6.7</w:t>
            </w:r>
          </w:p>
        </w:tc>
        <w:tc>
          <w:tcPr>
            <w:tcW w:w="433" w:type="pct"/>
            <w:noWrap/>
            <w:hideMark/>
          </w:tcPr>
          <w:p w14:paraId="237BDA7A" w14:textId="77777777" w:rsidR="00CA7676" w:rsidRPr="00E14EE6" w:rsidRDefault="00CA7676" w:rsidP="00E14EE6">
            <w:pPr>
              <w:jc w:val="right"/>
              <w:rPr>
                <w:rFonts w:cstheme="minorHAnsi"/>
                <w:sz w:val="14"/>
                <w:szCs w:val="14"/>
              </w:rPr>
            </w:pPr>
            <w:r w:rsidRPr="00E14EE6">
              <w:rPr>
                <w:sz w:val="14"/>
              </w:rPr>
              <w:t>6.0</w:t>
            </w:r>
          </w:p>
        </w:tc>
        <w:tc>
          <w:tcPr>
            <w:tcW w:w="434" w:type="pct"/>
            <w:noWrap/>
            <w:hideMark/>
          </w:tcPr>
          <w:p w14:paraId="61793DD4" w14:textId="77777777" w:rsidR="00CA7676" w:rsidRPr="00E14EE6" w:rsidRDefault="00CA7676" w:rsidP="00E14EE6">
            <w:pPr>
              <w:jc w:val="right"/>
              <w:rPr>
                <w:rFonts w:cstheme="minorHAnsi"/>
                <w:sz w:val="14"/>
                <w:szCs w:val="14"/>
              </w:rPr>
            </w:pPr>
            <w:r w:rsidRPr="00E14EE6">
              <w:rPr>
                <w:sz w:val="14"/>
              </w:rPr>
              <w:t>6.0</w:t>
            </w:r>
          </w:p>
        </w:tc>
        <w:tc>
          <w:tcPr>
            <w:tcW w:w="434" w:type="pct"/>
            <w:noWrap/>
            <w:hideMark/>
          </w:tcPr>
          <w:p w14:paraId="0345E11C" w14:textId="77777777" w:rsidR="00CA7676" w:rsidRPr="00E14EE6" w:rsidRDefault="00CA7676" w:rsidP="00E14EE6">
            <w:pPr>
              <w:jc w:val="right"/>
              <w:rPr>
                <w:rFonts w:cstheme="minorHAnsi"/>
                <w:sz w:val="14"/>
                <w:szCs w:val="14"/>
              </w:rPr>
            </w:pPr>
            <w:r w:rsidRPr="00E14EE6">
              <w:rPr>
                <w:sz w:val="14"/>
              </w:rPr>
              <w:t>6.1</w:t>
            </w:r>
          </w:p>
        </w:tc>
        <w:tc>
          <w:tcPr>
            <w:tcW w:w="433" w:type="pct"/>
            <w:noWrap/>
            <w:hideMark/>
          </w:tcPr>
          <w:p w14:paraId="2AD9A2A6" w14:textId="77777777" w:rsidR="00CA7676" w:rsidRPr="00E14EE6" w:rsidRDefault="00CA7676" w:rsidP="00E14EE6">
            <w:pPr>
              <w:jc w:val="right"/>
              <w:rPr>
                <w:rFonts w:cstheme="minorHAnsi"/>
                <w:strike/>
                <w:sz w:val="14"/>
                <w:szCs w:val="14"/>
              </w:rPr>
            </w:pPr>
            <w:r w:rsidRPr="00E14EE6">
              <w:rPr>
                <w:sz w:val="14"/>
              </w:rPr>
              <w:t>4.7</w:t>
            </w:r>
          </w:p>
        </w:tc>
        <w:tc>
          <w:tcPr>
            <w:tcW w:w="434" w:type="pct"/>
            <w:noWrap/>
            <w:hideMark/>
          </w:tcPr>
          <w:p w14:paraId="7A418BFA" w14:textId="77777777" w:rsidR="00CA7676" w:rsidRPr="00E14EE6" w:rsidRDefault="00CA7676" w:rsidP="00E14EE6">
            <w:pPr>
              <w:jc w:val="right"/>
              <w:rPr>
                <w:rFonts w:cstheme="minorHAnsi"/>
                <w:sz w:val="14"/>
                <w:szCs w:val="14"/>
              </w:rPr>
            </w:pPr>
            <w:r w:rsidRPr="00E14EE6">
              <w:rPr>
                <w:sz w:val="14"/>
              </w:rPr>
              <w:t>2.5</w:t>
            </w:r>
          </w:p>
        </w:tc>
        <w:tc>
          <w:tcPr>
            <w:tcW w:w="432" w:type="pct"/>
            <w:noWrap/>
            <w:hideMark/>
          </w:tcPr>
          <w:p w14:paraId="3FA3E637" w14:textId="77777777" w:rsidR="00CA7676" w:rsidRPr="00E14EE6" w:rsidRDefault="00CA7676" w:rsidP="00E14EE6">
            <w:pPr>
              <w:jc w:val="right"/>
              <w:rPr>
                <w:rFonts w:cstheme="minorHAnsi"/>
                <w:sz w:val="14"/>
                <w:szCs w:val="14"/>
              </w:rPr>
            </w:pPr>
            <w:r w:rsidRPr="00E14EE6">
              <w:rPr>
                <w:sz w:val="14"/>
              </w:rPr>
              <w:t>3.9</w:t>
            </w:r>
          </w:p>
        </w:tc>
      </w:tr>
      <w:tr w:rsidR="00CA7676" w:rsidRPr="00E14EE6" w14:paraId="0F1FDEE7" w14:textId="77777777" w:rsidTr="00A75533">
        <w:trPr>
          <w:trHeight w:val="20"/>
        </w:trPr>
        <w:tc>
          <w:tcPr>
            <w:tcW w:w="1099" w:type="pct"/>
            <w:noWrap/>
            <w:hideMark/>
          </w:tcPr>
          <w:p w14:paraId="22A3DEA8" w14:textId="77777777" w:rsidR="00CA7676" w:rsidRPr="00E14EE6" w:rsidRDefault="00CA7676" w:rsidP="00E14EE6">
            <w:pPr>
              <w:jc w:val="left"/>
              <w:rPr>
                <w:rFonts w:cstheme="minorHAnsi"/>
                <w:sz w:val="14"/>
                <w:szCs w:val="14"/>
              </w:rPr>
            </w:pPr>
            <w:r w:rsidRPr="00E14EE6">
              <w:rPr>
                <w:sz w:val="14"/>
              </w:rPr>
              <w:t>Interbank rate</w:t>
            </w:r>
            <w:r w:rsidRPr="00E14EE6">
              <w:rPr>
                <w:sz w:val="14"/>
                <w:vertAlign w:val="superscript"/>
              </w:rPr>
              <w:t>d</w:t>
            </w:r>
          </w:p>
        </w:tc>
        <w:tc>
          <w:tcPr>
            <w:tcW w:w="433" w:type="pct"/>
            <w:noWrap/>
            <w:hideMark/>
          </w:tcPr>
          <w:p w14:paraId="03A19EF0" w14:textId="77777777" w:rsidR="00CA7676" w:rsidRPr="00E14EE6" w:rsidRDefault="00CA7676" w:rsidP="00E14EE6">
            <w:pPr>
              <w:jc w:val="right"/>
              <w:rPr>
                <w:rFonts w:cstheme="minorHAnsi"/>
                <w:sz w:val="14"/>
                <w:szCs w:val="14"/>
              </w:rPr>
            </w:pPr>
            <w:r w:rsidRPr="00E14EE6">
              <w:rPr>
                <w:sz w:val="14"/>
              </w:rPr>
              <w:t>6.5</w:t>
            </w:r>
          </w:p>
        </w:tc>
        <w:tc>
          <w:tcPr>
            <w:tcW w:w="434" w:type="pct"/>
            <w:noWrap/>
            <w:hideMark/>
          </w:tcPr>
          <w:p w14:paraId="6A5B10BC" w14:textId="77777777" w:rsidR="00CA7676" w:rsidRPr="00E14EE6" w:rsidRDefault="00CA7676" w:rsidP="00E14EE6">
            <w:pPr>
              <w:jc w:val="right"/>
              <w:rPr>
                <w:rFonts w:cstheme="minorHAnsi"/>
                <w:sz w:val="14"/>
                <w:szCs w:val="14"/>
              </w:rPr>
            </w:pPr>
            <w:r w:rsidRPr="00E14EE6">
              <w:rPr>
                <w:sz w:val="14"/>
              </w:rPr>
              <w:t>5.9</w:t>
            </w:r>
          </w:p>
        </w:tc>
        <w:tc>
          <w:tcPr>
            <w:tcW w:w="434" w:type="pct"/>
            <w:noWrap/>
            <w:hideMark/>
          </w:tcPr>
          <w:p w14:paraId="429DFB4D" w14:textId="77777777" w:rsidR="00CA7676" w:rsidRPr="00E14EE6" w:rsidRDefault="00CA7676" w:rsidP="00E14EE6">
            <w:pPr>
              <w:jc w:val="right"/>
              <w:rPr>
                <w:rFonts w:cstheme="minorHAnsi"/>
                <w:sz w:val="14"/>
                <w:szCs w:val="14"/>
              </w:rPr>
            </w:pPr>
            <w:r w:rsidRPr="00E14EE6">
              <w:rPr>
                <w:sz w:val="14"/>
              </w:rPr>
              <w:t>5.9</w:t>
            </w:r>
          </w:p>
        </w:tc>
        <w:tc>
          <w:tcPr>
            <w:tcW w:w="433" w:type="pct"/>
            <w:noWrap/>
            <w:hideMark/>
          </w:tcPr>
          <w:p w14:paraId="41BE8E3E" w14:textId="77777777" w:rsidR="00CA7676" w:rsidRPr="00E14EE6" w:rsidRDefault="00CA7676" w:rsidP="00E14EE6">
            <w:pPr>
              <w:jc w:val="right"/>
              <w:rPr>
                <w:rFonts w:cstheme="minorHAnsi"/>
                <w:sz w:val="14"/>
                <w:szCs w:val="14"/>
              </w:rPr>
            </w:pPr>
            <w:r w:rsidRPr="00E14EE6">
              <w:rPr>
                <w:sz w:val="14"/>
              </w:rPr>
              <w:t>6.3</w:t>
            </w:r>
          </w:p>
        </w:tc>
        <w:tc>
          <w:tcPr>
            <w:tcW w:w="434" w:type="pct"/>
            <w:noWrap/>
            <w:hideMark/>
          </w:tcPr>
          <w:p w14:paraId="4663AF20" w14:textId="77777777" w:rsidR="00CA7676" w:rsidRPr="00E14EE6" w:rsidRDefault="00CA7676" w:rsidP="00E14EE6">
            <w:pPr>
              <w:jc w:val="right"/>
              <w:rPr>
                <w:rFonts w:cstheme="minorHAnsi"/>
                <w:sz w:val="14"/>
                <w:szCs w:val="14"/>
              </w:rPr>
            </w:pPr>
            <w:r w:rsidRPr="00E14EE6">
              <w:rPr>
                <w:sz w:val="14"/>
              </w:rPr>
              <w:t>5.8</w:t>
            </w:r>
          </w:p>
        </w:tc>
        <w:tc>
          <w:tcPr>
            <w:tcW w:w="434" w:type="pct"/>
            <w:noWrap/>
            <w:hideMark/>
          </w:tcPr>
          <w:p w14:paraId="794226DA" w14:textId="77777777" w:rsidR="00CA7676" w:rsidRPr="00E14EE6" w:rsidRDefault="00CA7676" w:rsidP="00E14EE6">
            <w:pPr>
              <w:jc w:val="right"/>
              <w:rPr>
                <w:rFonts w:cstheme="minorHAnsi"/>
                <w:sz w:val="14"/>
                <w:szCs w:val="14"/>
              </w:rPr>
            </w:pPr>
            <w:r w:rsidRPr="00E14EE6">
              <w:rPr>
                <w:sz w:val="14"/>
              </w:rPr>
              <w:t>6.1</w:t>
            </w:r>
          </w:p>
        </w:tc>
        <w:tc>
          <w:tcPr>
            <w:tcW w:w="433" w:type="pct"/>
            <w:noWrap/>
            <w:hideMark/>
          </w:tcPr>
          <w:p w14:paraId="79D97D4A" w14:textId="77777777" w:rsidR="00CA7676" w:rsidRPr="00E14EE6" w:rsidRDefault="00CA7676" w:rsidP="00E14EE6">
            <w:pPr>
              <w:jc w:val="right"/>
              <w:rPr>
                <w:rFonts w:cstheme="minorHAnsi"/>
                <w:sz w:val="14"/>
                <w:szCs w:val="14"/>
              </w:rPr>
            </w:pPr>
            <w:r w:rsidRPr="00E14EE6">
              <w:rPr>
                <w:sz w:val="14"/>
              </w:rPr>
              <w:t>5.5</w:t>
            </w:r>
          </w:p>
        </w:tc>
        <w:tc>
          <w:tcPr>
            <w:tcW w:w="434" w:type="pct"/>
            <w:noWrap/>
            <w:hideMark/>
          </w:tcPr>
          <w:p w14:paraId="27A88914" w14:textId="77777777" w:rsidR="00CA7676" w:rsidRPr="00E14EE6" w:rsidRDefault="00CA7676" w:rsidP="00E14EE6">
            <w:pPr>
              <w:jc w:val="right"/>
              <w:rPr>
                <w:rFonts w:cstheme="minorHAnsi"/>
                <w:sz w:val="14"/>
                <w:szCs w:val="14"/>
              </w:rPr>
            </w:pPr>
            <w:r w:rsidRPr="00E14EE6">
              <w:rPr>
                <w:sz w:val="14"/>
              </w:rPr>
              <w:t>4.3</w:t>
            </w:r>
          </w:p>
        </w:tc>
        <w:tc>
          <w:tcPr>
            <w:tcW w:w="432" w:type="pct"/>
            <w:noWrap/>
            <w:hideMark/>
          </w:tcPr>
          <w:p w14:paraId="079F8E39" w14:textId="77777777" w:rsidR="00CA7676" w:rsidRPr="00E14EE6" w:rsidRDefault="00CA7676" w:rsidP="00E14EE6">
            <w:pPr>
              <w:jc w:val="right"/>
              <w:rPr>
                <w:rFonts w:cstheme="minorHAnsi"/>
                <w:sz w:val="14"/>
                <w:szCs w:val="14"/>
              </w:rPr>
            </w:pPr>
            <w:r w:rsidRPr="00E14EE6">
              <w:rPr>
                <w:sz w:val="14"/>
              </w:rPr>
              <w:t xml:space="preserve"> 5.9</w:t>
            </w:r>
          </w:p>
        </w:tc>
      </w:tr>
      <w:tr w:rsidR="00CA7676" w:rsidRPr="00E14EE6" w14:paraId="08DEFF25" w14:textId="77777777" w:rsidTr="00A75533">
        <w:trPr>
          <w:cnfStyle w:val="000000010000" w:firstRow="0" w:lastRow="0" w:firstColumn="0" w:lastColumn="0" w:oddVBand="0" w:evenVBand="0" w:oddHBand="0" w:evenHBand="1" w:firstRowFirstColumn="0" w:firstRowLastColumn="0" w:lastRowFirstColumn="0" w:lastRowLastColumn="0"/>
          <w:trHeight w:val="20"/>
        </w:trPr>
        <w:tc>
          <w:tcPr>
            <w:tcW w:w="5000" w:type="pct"/>
            <w:gridSpan w:val="10"/>
            <w:noWrap/>
            <w:hideMark/>
          </w:tcPr>
          <w:p w14:paraId="54B6EE40" w14:textId="77777777" w:rsidR="00CA7676" w:rsidRPr="00E14EE6" w:rsidRDefault="00CA7676" w:rsidP="00E14EE6">
            <w:pPr>
              <w:jc w:val="left"/>
              <w:rPr>
                <w:rFonts w:cstheme="minorHAnsi"/>
                <w:sz w:val="14"/>
                <w:szCs w:val="14"/>
              </w:rPr>
            </w:pPr>
            <w:r w:rsidRPr="00E14EE6">
              <w:rPr>
                <w:b/>
                <w:bCs/>
                <w:sz w:val="14"/>
              </w:rPr>
              <w:t>Inflation</w:t>
            </w:r>
            <w:r w:rsidRPr="00E14EE6">
              <w:rPr>
                <w:sz w:val="14"/>
              </w:rPr>
              <w:t xml:space="preserve"> (percentage change over 12 months)</w:t>
            </w:r>
          </w:p>
        </w:tc>
      </w:tr>
      <w:tr w:rsidR="00CA7676" w:rsidRPr="00E14EE6" w14:paraId="7F25DE8E" w14:textId="77777777" w:rsidTr="00A75533">
        <w:trPr>
          <w:trHeight w:val="20"/>
        </w:trPr>
        <w:tc>
          <w:tcPr>
            <w:tcW w:w="1099" w:type="pct"/>
            <w:noWrap/>
            <w:hideMark/>
          </w:tcPr>
          <w:p w14:paraId="6DEEE583" w14:textId="77777777" w:rsidR="00CA7676" w:rsidRPr="00E14EE6" w:rsidRDefault="00CA7676" w:rsidP="00E14EE6">
            <w:pPr>
              <w:jc w:val="left"/>
              <w:rPr>
                <w:rFonts w:cstheme="minorHAnsi"/>
                <w:sz w:val="14"/>
                <w:szCs w:val="14"/>
              </w:rPr>
            </w:pPr>
            <w:r w:rsidRPr="00E14EE6">
              <w:rPr>
                <w:sz w:val="14"/>
              </w:rPr>
              <w:t>Inflation target</w:t>
            </w:r>
          </w:p>
        </w:tc>
        <w:tc>
          <w:tcPr>
            <w:tcW w:w="433" w:type="pct"/>
            <w:noWrap/>
            <w:hideMark/>
          </w:tcPr>
          <w:p w14:paraId="00E7BFD7" w14:textId="451DE903" w:rsidR="00CA7676" w:rsidRPr="00E14EE6" w:rsidRDefault="00CA7676" w:rsidP="00E14EE6">
            <w:pPr>
              <w:jc w:val="right"/>
              <w:rPr>
                <w:rFonts w:cstheme="minorHAnsi"/>
                <w:sz w:val="14"/>
                <w:szCs w:val="14"/>
              </w:rPr>
            </w:pPr>
            <w:r w:rsidRPr="00E14EE6">
              <w:rPr>
                <w:sz w:val="14"/>
              </w:rPr>
              <w:t>4.5+/</w:t>
            </w:r>
            <w:r w:rsidR="00E14EE6" w:rsidRPr="00E14EE6">
              <w:rPr>
                <w:sz w:val="14"/>
              </w:rPr>
              <w:noBreakHyphen/>
            </w:r>
            <w:r w:rsidRPr="00E14EE6">
              <w:rPr>
                <w:sz w:val="14"/>
              </w:rPr>
              <w:t>1</w:t>
            </w:r>
          </w:p>
        </w:tc>
        <w:tc>
          <w:tcPr>
            <w:tcW w:w="434" w:type="pct"/>
            <w:noWrap/>
            <w:hideMark/>
          </w:tcPr>
          <w:p w14:paraId="55B74849" w14:textId="17837802" w:rsidR="00CA7676" w:rsidRPr="00E14EE6" w:rsidRDefault="00CA7676" w:rsidP="00E14EE6">
            <w:pPr>
              <w:jc w:val="right"/>
              <w:rPr>
                <w:rFonts w:cstheme="minorHAnsi"/>
                <w:sz w:val="14"/>
                <w:szCs w:val="14"/>
              </w:rPr>
            </w:pPr>
            <w:r w:rsidRPr="00E14EE6">
              <w:rPr>
                <w:sz w:val="14"/>
              </w:rPr>
              <w:t>4+/</w:t>
            </w:r>
            <w:r w:rsidR="00E14EE6" w:rsidRPr="00E14EE6">
              <w:rPr>
                <w:sz w:val="14"/>
              </w:rPr>
              <w:noBreakHyphen/>
            </w:r>
            <w:r w:rsidRPr="00E14EE6">
              <w:rPr>
                <w:sz w:val="14"/>
              </w:rPr>
              <w:t>1</w:t>
            </w:r>
          </w:p>
        </w:tc>
        <w:tc>
          <w:tcPr>
            <w:tcW w:w="434" w:type="pct"/>
            <w:noWrap/>
            <w:hideMark/>
          </w:tcPr>
          <w:p w14:paraId="735D06AA" w14:textId="6C95DDEE" w:rsidR="00CA7676" w:rsidRPr="00E14EE6" w:rsidRDefault="00CA7676" w:rsidP="00E14EE6">
            <w:pPr>
              <w:jc w:val="right"/>
              <w:rPr>
                <w:rFonts w:cstheme="minorHAnsi"/>
                <w:sz w:val="14"/>
                <w:szCs w:val="14"/>
              </w:rPr>
            </w:pPr>
            <w:r w:rsidRPr="00E14EE6">
              <w:rPr>
                <w:sz w:val="14"/>
              </w:rPr>
              <w:t>4+/</w:t>
            </w:r>
            <w:r w:rsidR="00E14EE6" w:rsidRPr="00E14EE6">
              <w:rPr>
                <w:sz w:val="14"/>
              </w:rPr>
              <w:noBreakHyphen/>
            </w:r>
            <w:r w:rsidRPr="00E14EE6">
              <w:rPr>
                <w:sz w:val="14"/>
              </w:rPr>
              <w:t>1</w:t>
            </w:r>
          </w:p>
        </w:tc>
        <w:tc>
          <w:tcPr>
            <w:tcW w:w="433" w:type="pct"/>
            <w:noWrap/>
            <w:hideMark/>
          </w:tcPr>
          <w:p w14:paraId="52D58D82" w14:textId="793AA819" w:rsidR="00CA7676" w:rsidRPr="00E14EE6" w:rsidRDefault="00CA7676" w:rsidP="00E14EE6">
            <w:pPr>
              <w:jc w:val="right"/>
              <w:rPr>
                <w:rFonts w:cstheme="minorHAnsi"/>
                <w:sz w:val="14"/>
                <w:szCs w:val="14"/>
              </w:rPr>
            </w:pPr>
            <w:r w:rsidRPr="00E14EE6">
              <w:rPr>
                <w:sz w:val="14"/>
              </w:rPr>
              <w:t>4+/</w:t>
            </w:r>
            <w:r w:rsidR="00E14EE6" w:rsidRPr="00E14EE6">
              <w:rPr>
                <w:sz w:val="14"/>
              </w:rPr>
              <w:noBreakHyphen/>
            </w:r>
            <w:r w:rsidRPr="00E14EE6">
              <w:rPr>
                <w:sz w:val="14"/>
              </w:rPr>
              <w:t>1</w:t>
            </w:r>
          </w:p>
        </w:tc>
        <w:tc>
          <w:tcPr>
            <w:tcW w:w="434" w:type="pct"/>
            <w:noWrap/>
            <w:hideMark/>
          </w:tcPr>
          <w:p w14:paraId="65A2A7D7" w14:textId="3F21C9EC" w:rsidR="00CA7676" w:rsidRPr="00E14EE6" w:rsidRDefault="00CA7676" w:rsidP="00E14EE6">
            <w:pPr>
              <w:jc w:val="right"/>
              <w:rPr>
                <w:rFonts w:cstheme="minorHAnsi"/>
                <w:sz w:val="14"/>
                <w:szCs w:val="14"/>
              </w:rPr>
            </w:pPr>
            <w:r w:rsidRPr="00E14EE6">
              <w:rPr>
                <w:sz w:val="14"/>
              </w:rPr>
              <w:t>4+/</w:t>
            </w:r>
            <w:r w:rsidR="00E14EE6" w:rsidRPr="00E14EE6">
              <w:rPr>
                <w:sz w:val="14"/>
              </w:rPr>
              <w:noBreakHyphen/>
            </w:r>
            <w:r w:rsidRPr="00E14EE6">
              <w:rPr>
                <w:sz w:val="14"/>
              </w:rPr>
              <w:t>1</w:t>
            </w:r>
          </w:p>
        </w:tc>
        <w:tc>
          <w:tcPr>
            <w:tcW w:w="434" w:type="pct"/>
            <w:noWrap/>
            <w:hideMark/>
          </w:tcPr>
          <w:p w14:paraId="2C0DC75C" w14:textId="1E43BF00" w:rsidR="00CA7676" w:rsidRPr="00E14EE6" w:rsidRDefault="00CA7676" w:rsidP="00E14EE6">
            <w:pPr>
              <w:jc w:val="right"/>
              <w:rPr>
                <w:rFonts w:cstheme="minorHAnsi"/>
                <w:sz w:val="14"/>
                <w:szCs w:val="14"/>
              </w:rPr>
            </w:pPr>
            <w:r w:rsidRPr="00E14EE6">
              <w:rPr>
                <w:sz w:val="14"/>
              </w:rPr>
              <w:t>4+/</w:t>
            </w:r>
            <w:r w:rsidR="00E14EE6" w:rsidRPr="00E14EE6">
              <w:rPr>
                <w:sz w:val="14"/>
              </w:rPr>
              <w:noBreakHyphen/>
            </w:r>
            <w:r w:rsidRPr="00E14EE6">
              <w:rPr>
                <w:sz w:val="14"/>
              </w:rPr>
              <w:t>1</w:t>
            </w:r>
          </w:p>
        </w:tc>
        <w:tc>
          <w:tcPr>
            <w:tcW w:w="433" w:type="pct"/>
            <w:noWrap/>
            <w:hideMark/>
          </w:tcPr>
          <w:p w14:paraId="27A5EF9D" w14:textId="1928FC01" w:rsidR="00CA7676" w:rsidRPr="00E14EE6" w:rsidRDefault="00CA7676" w:rsidP="00E14EE6">
            <w:pPr>
              <w:jc w:val="right"/>
              <w:rPr>
                <w:rFonts w:cstheme="minorHAnsi"/>
                <w:sz w:val="14"/>
                <w:szCs w:val="14"/>
              </w:rPr>
            </w:pPr>
            <w:r w:rsidRPr="00E14EE6">
              <w:rPr>
                <w:sz w:val="14"/>
              </w:rPr>
              <w:t>4+/</w:t>
            </w:r>
            <w:r w:rsidR="00E14EE6" w:rsidRPr="00E14EE6">
              <w:rPr>
                <w:sz w:val="14"/>
              </w:rPr>
              <w:noBreakHyphen/>
            </w:r>
            <w:r w:rsidRPr="00E14EE6">
              <w:rPr>
                <w:sz w:val="14"/>
              </w:rPr>
              <w:t>1</w:t>
            </w:r>
          </w:p>
        </w:tc>
        <w:tc>
          <w:tcPr>
            <w:tcW w:w="434" w:type="pct"/>
            <w:noWrap/>
            <w:hideMark/>
          </w:tcPr>
          <w:p w14:paraId="23E60FB0" w14:textId="601C45B2" w:rsidR="00CA7676" w:rsidRPr="00E14EE6" w:rsidRDefault="00CA7676" w:rsidP="00E14EE6">
            <w:pPr>
              <w:jc w:val="right"/>
              <w:rPr>
                <w:rFonts w:cstheme="minorHAnsi"/>
                <w:sz w:val="14"/>
                <w:szCs w:val="14"/>
              </w:rPr>
            </w:pPr>
            <w:r w:rsidRPr="00E14EE6">
              <w:rPr>
                <w:sz w:val="14"/>
              </w:rPr>
              <w:t>4+/</w:t>
            </w:r>
            <w:r w:rsidR="00E14EE6" w:rsidRPr="00E14EE6">
              <w:rPr>
                <w:sz w:val="14"/>
              </w:rPr>
              <w:noBreakHyphen/>
            </w:r>
            <w:r w:rsidRPr="00E14EE6">
              <w:rPr>
                <w:sz w:val="14"/>
              </w:rPr>
              <w:t>1</w:t>
            </w:r>
          </w:p>
        </w:tc>
        <w:tc>
          <w:tcPr>
            <w:tcW w:w="432" w:type="pct"/>
            <w:noWrap/>
            <w:hideMark/>
          </w:tcPr>
          <w:p w14:paraId="4BF48883" w14:textId="294341DA" w:rsidR="00CA7676" w:rsidRPr="00E14EE6" w:rsidRDefault="00CA7676" w:rsidP="00E14EE6">
            <w:pPr>
              <w:jc w:val="right"/>
              <w:rPr>
                <w:rFonts w:cstheme="minorHAnsi"/>
                <w:sz w:val="14"/>
                <w:szCs w:val="14"/>
              </w:rPr>
            </w:pPr>
            <w:r w:rsidRPr="00E14EE6">
              <w:rPr>
                <w:sz w:val="14"/>
              </w:rPr>
              <w:t>4+/</w:t>
            </w:r>
            <w:r w:rsidR="00E14EE6" w:rsidRPr="00E14EE6">
              <w:rPr>
                <w:sz w:val="14"/>
              </w:rPr>
              <w:noBreakHyphen/>
            </w:r>
            <w:r w:rsidRPr="00E14EE6">
              <w:rPr>
                <w:sz w:val="14"/>
              </w:rPr>
              <w:t>1</w:t>
            </w:r>
          </w:p>
        </w:tc>
      </w:tr>
      <w:tr w:rsidR="00CA7676" w:rsidRPr="00E14EE6" w14:paraId="41C24D31" w14:textId="77777777" w:rsidTr="00A75533">
        <w:trPr>
          <w:cnfStyle w:val="000000010000" w:firstRow="0" w:lastRow="0" w:firstColumn="0" w:lastColumn="0" w:oddVBand="0" w:evenVBand="0" w:oddHBand="0" w:evenHBand="1" w:firstRowFirstColumn="0" w:firstRowLastColumn="0" w:lastRowFirstColumn="0" w:lastRowLastColumn="0"/>
          <w:trHeight w:val="20"/>
        </w:trPr>
        <w:tc>
          <w:tcPr>
            <w:tcW w:w="1099" w:type="pct"/>
            <w:noWrap/>
            <w:hideMark/>
          </w:tcPr>
          <w:p w14:paraId="6AD7ED09" w14:textId="77777777" w:rsidR="00CA7676" w:rsidRPr="00E14EE6" w:rsidRDefault="00CA7676" w:rsidP="00E14EE6">
            <w:pPr>
              <w:jc w:val="left"/>
              <w:rPr>
                <w:rFonts w:cstheme="minorHAnsi"/>
                <w:sz w:val="14"/>
                <w:szCs w:val="14"/>
              </w:rPr>
            </w:pPr>
            <w:r w:rsidRPr="00E14EE6">
              <w:rPr>
                <w:sz w:val="14"/>
              </w:rPr>
              <w:t>National consumer price index (</w:t>
            </w:r>
            <w:proofErr w:type="spellStart"/>
            <w:r w:rsidRPr="00E14EE6">
              <w:rPr>
                <w:sz w:val="14"/>
              </w:rPr>
              <w:t>INPC</w:t>
            </w:r>
            <w:proofErr w:type="spellEnd"/>
            <w:r w:rsidRPr="00E14EE6">
              <w:rPr>
                <w:sz w:val="14"/>
              </w:rPr>
              <w:t>)</w:t>
            </w:r>
          </w:p>
        </w:tc>
        <w:tc>
          <w:tcPr>
            <w:tcW w:w="433" w:type="pct"/>
            <w:noWrap/>
            <w:hideMark/>
          </w:tcPr>
          <w:p w14:paraId="78AD716B" w14:textId="77777777" w:rsidR="00CA7676" w:rsidRPr="00E14EE6" w:rsidRDefault="00CA7676" w:rsidP="00E14EE6">
            <w:pPr>
              <w:jc w:val="right"/>
              <w:rPr>
                <w:rFonts w:cstheme="minorHAnsi"/>
                <w:sz w:val="14"/>
                <w:szCs w:val="14"/>
              </w:rPr>
            </w:pPr>
            <w:r w:rsidRPr="00E14EE6">
              <w:rPr>
                <w:sz w:val="14"/>
              </w:rPr>
              <w:t>3.0</w:t>
            </w:r>
          </w:p>
        </w:tc>
        <w:tc>
          <w:tcPr>
            <w:tcW w:w="434" w:type="pct"/>
            <w:noWrap/>
            <w:hideMark/>
          </w:tcPr>
          <w:p w14:paraId="30E51F84" w14:textId="77777777" w:rsidR="00CA7676" w:rsidRPr="00E14EE6" w:rsidRDefault="00CA7676" w:rsidP="00E14EE6">
            <w:pPr>
              <w:jc w:val="right"/>
              <w:rPr>
                <w:rFonts w:cstheme="minorHAnsi"/>
                <w:sz w:val="14"/>
                <w:szCs w:val="14"/>
              </w:rPr>
            </w:pPr>
            <w:r w:rsidRPr="00E14EE6">
              <w:rPr>
                <w:sz w:val="14"/>
              </w:rPr>
              <w:t>0.8</w:t>
            </w:r>
          </w:p>
        </w:tc>
        <w:tc>
          <w:tcPr>
            <w:tcW w:w="434" w:type="pct"/>
            <w:noWrap/>
            <w:hideMark/>
          </w:tcPr>
          <w:p w14:paraId="60F6D85A" w14:textId="77777777" w:rsidR="00CA7676" w:rsidRPr="00E14EE6" w:rsidRDefault="00CA7676" w:rsidP="00E14EE6">
            <w:pPr>
              <w:jc w:val="right"/>
              <w:rPr>
                <w:rFonts w:cstheme="minorHAnsi"/>
                <w:sz w:val="14"/>
                <w:szCs w:val="14"/>
              </w:rPr>
            </w:pPr>
            <w:r w:rsidRPr="00E14EE6">
              <w:rPr>
                <w:sz w:val="14"/>
              </w:rPr>
              <w:t>1.6</w:t>
            </w:r>
          </w:p>
        </w:tc>
        <w:tc>
          <w:tcPr>
            <w:tcW w:w="433" w:type="pct"/>
            <w:noWrap/>
            <w:hideMark/>
          </w:tcPr>
          <w:p w14:paraId="78D6E6E2" w14:textId="77777777" w:rsidR="00CA7676" w:rsidRPr="00E14EE6" w:rsidRDefault="00CA7676" w:rsidP="00E14EE6">
            <w:pPr>
              <w:jc w:val="right"/>
              <w:rPr>
                <w:rFonts w:cstheme="minorHAnsi"/>
                <w:sz w:val="14"/>
                <w:szCs w:val="14"/>
              </w:rPr>
            </w:pPr>
            <w:r w:rsidRPr="00E14EE6">
              <w:rPr>
                <w:sz w:val="14"/>
              </w:rPr>
              <w:t>3.3</w:t>
            </w:r>
          </w:p>
        </w:tc>
        <w:tc>
          <w:tcPr>
            <w:tcW w:w="434" w:type="pct"/>
            <w:noWrap/>
            <w:hideMark/>
          </w:tcPr>
          <w:p w14:paraId="67646569" w14:textId="77777777" w:rsidR="00CA7676" w:rsidRPr="00E14EE6" w:rsidRDefault="00CA7676" w:rsidP="00E14EE6">
            <w:pPr>
              <w:jc w:val="right"/>
              <w:rPr>
                <w:rFonts w:cstheme="minorHAnsi"/>
                <w:sz w:val="14"/>
                <w:szCs w:val="14"/>
              </w:rPr>
            </w:pPr>
            <w:r w:rsidRPr="00E14EE6">
              <w:rPr>
                <w:sz w:val="14"/>
              </w:rPr>
              <w:t>3.6</w:t>
            </w:r>
          </w:p>
        </w:tc>
        <w:tc>
          <w:tcPr>
            <w:tcW w:w="434" w:type="pct"/>
            <w:noWrap/>
            <w:hideMark/>
          </w:tcPr>
          <w:p w14:paraId="119349FC" w14:textId="77777777" w:rsidR="00CA7676" w:rsidRPr="00E14EE6" w:rsidRDefault="00CA7676" w:rsidP="00E14EE6">
            <w:pPr>
              <w:jc w:val="right"/>
              <w:rPr>
                <w:rFonts w:cstheme="minorHAnsi"/>
                <w:sz w:val="14"/>
                <w:szCs w:val="14"/>
              </w:rPr>
            </w:pPr>
            <w:r w:rsidRPr="00E14EE6">
              <w:rPr>
                <w:sz w:val="14"/>
              </w:rPr>
              <w:t>1.8</w:t>
            </w:r>
          </w:p>
        </w:tc>
        <w:tc>
          <w:tcPr>
            <w:tcW w:w="433" w:type="pct"/>
            <w:noWrap/>
            <w:hideMark/>
          </w:tcPr>
          <w:p w14:paraId="5A89FE0B" w14:textId="77777777" w:rsidR="00CA7676" w:rsidRPr="00E14EE6" w:rsidRDefault="00CA7676" w:rsidP="00E14EE6">
            <w:pPr>
              <w:jc w:val="right"/>
              <w:rPr>
                <w:rFonts w:cstheme="minorHAnsi"/>
                <w:sz w:val="14"/>
                <w:szCs w:val="14"/>
              </w:rPr>
            </w:pPr>
            <w:r w:rsidRPr="00E14EE6">
              <w:rPr>
                <w:sz w:val="14"/>
              </w:rPr>
              <w:t>3.8</w:t>
            </w:r>
          </w:p>
        </w:tc>
        <w:tc>
          <w:tcPr>
            <w:tcW w:w="434" w:type="pct"/>
            <w:noWrap/>
            <w:hideMark/>
          </w:tcPr>
          <w:p w14:paraId="7AE3E05B" w14:textId="77777777" w:rsidR="00CA7676" w:rsidRPr="00E14EE6" w:rsidRDefault="00CA7676" w:rsidP="00E14EE6">
            <w:pPr>
              <w:jc w:val="right"/>
              <w:rPr>
                <w:rFonts w:cstheme="minorHAnsi"/>
                <w:sz w:val="14"/>
                <w:szCs w:val="14"/>
              </w:rPr>
            </w:pPr>
            <w:r w:rsidRPr="00E14EE6">
              <w:rPr>
                <w:sz w:val="14"/>
              </w:rPr>
              <w:t>8.2</w:t>
            </w:r>
          </w:p>
        </w:tc>
        <w:tc>
          <w:tcPr>
            <w:tcW w:w="432" w:type="pct"/>
            <w:noWrap/>
            <w:hideMark/>
          </w:tcPr>
          <w:p w14:paraId="132306A3" w14:textId="77777777" w:rsidR="00CA7676" w:rsidRPr="00E14EE6" w:rsidRDefault="00CA7676" w:rsidP="00E14EE6">
            <w:pPr>
              <w:jc w:val="right"/>
              <w:rPr>
                <w:rFonts w:cstheme="minorHAnsi"/>
                <w:sz w:val="14"/>
                <w:szCs w:val="14"/>
              </w:rPr>
            </w:pPr>
            <w:r w:rsidRPr="00E14EE6">
              <w:rPr>
                <w:sz w:val="14"/>
              </w:rPr>
              <w:t>8.9</w:t>
            </w:r>
          </w:p>
        </w:tc>
      </w:tr>
      <w:tr w:rsidR="00CA7676" w:rsidRPr="00E14EE6" w14:paraId="433EEB96" w14:textId="77777777" w:rsidTr="00A75533">
        <w:trPr>
          <w:trHeight w:val="20"/>
        </w:trPr>
        <w:tc>
          <w:tcPr>
            <w:tcW w:w="1099" w:type="pct"/>
            <w:noWrap/>
            <w:hideMark/>
          </w:tcPr>
          <w:p w14:paraId="5618308F" w14:textId="77777777" w:rsidR="00CA7676" w:rsidRPr="00E14EE6" w:rsidRDefault="00CA7676" w:rsidP="00E14EE6">
            <w:pPr>
              <w:jc w:val="left"/>
              <w:rPr>
                <w:rFonts w:cstheme="minorHAnsi"/>
                <w:b/>
                <w:bCs/>
                <w:sz w:val="14"/>
                <w:szCs w:val="14"/>
              </w:rPr>
            </w:pPr>
            <w:r w:rsidRPr="00E14EE6">
              <w:rPr>
                <w:b/>
                <w:sz w:val="14"/>
              </w:rPr>
              <w:t>Exchange rate</w:t>
            </w:r>
          </w:p>
        </w:tc>
        <w:tc>
          <w:tcPr>
            <w:tcW w:w="433" w:type="pct"/>
            <w:noWrap/>
            <w:hideMark/>
          </w:tcPr>
          <w:p w14:paraId="790BBD08" w14:textId="77777777" w:rsidR="00CA7676" w:rsidRPr="00E14EE6" w:rsidRDefault="00CA7676" w:rsidP="00E14EE6">
            <w:pPr>
              <w:jc w:val="right"/>
              <w:rPr>
                <w:rFonts w:cstheme="minorHAnsi"/>
                <w:b/>
                <w:bCs/>
                <w:sz w:val="14"/>
                <w:szCs w:val="14"/>
              </w:rPr>
            </w:pPr>
          </w:p>
        </w:tc>
        <w:tc>
          <w:tcPr>
            <w:tcW w:w="434" w:type="pct"/>
            <w:noWrap/>
            <w:hideMark/>
          </w:tcPr>
          <w:p w14:paraId="525FC900" w14:textId="77777777" w:rsidR="00CA7676" w:rsidRPr="00E14EE6" w:rsidRDefault="00CA7676" w:rsidP="00E14EE6">
            <w:pPr>
              <w:jc w:val="right"/>
              <w:rPr>
                <w:rFonts w:cstheme="minorHAnsi"/>
                <w:sz w:val="14"/>
                <w:szCs w:val="14"/>
              </w:rPr>
            </w:pPr>
          </w:p>
        </w:tc>
        <w:tc>
          <w:tcPr>
            <w:tcW w:w="434" w:type="pct"/>
            <w:noWrap/>
            <w:hideMark/>
          </w:tcPr>
          <w:p w14:paraId="3FAEF0D2" w14:textId="77777777" w:rsidR="00CA7676" w:rsidRPr="00E14EE6" w:rsidRDefault="00CA7676" w:rsidP="00E14EE6">
            <w:pPr>
              <w:jc w:val="right"/>
              <w:rPr>
                <w:rFonts w:cstheme="minorHAnsi"/>
                <w:sz w:val="14"/>
                <w:szCs w:val="14"/>
              </w:rPr>
            </w:pPr>
          </w:p>
        </w:tc>
        <w:tc>
          <w:tcPr>
            <w:tcW w:w="433" w:type="pct"/>
            <w:noWrap/>
            <w:hideMark/>
          </w:tcPr>
          <w:p w14:paraId="355990BD" w14:textId="77777777" w:rsidR="00CA7676" w:rsidRPr="00E14EE6" w:rsidRDefault="00CA7676" w:rsidP="00E14EE6">
            <w:pPr>
              <w:jc w:val="right"/>
              <w:rPr>
                <w:rFonts w:cstheme="minorHAnsi"/>
                <w:sz w:val="14"/>
                <w:szCs w:val="14"/>
              </w:rPr>
            </w:pPr>
          </w:p>
        </w:tc>
        <w:tc>
          <w:tcPr>
            <w:tcW w:w="434" w:type="pct"/>
            <w:noWrap/>
            <w:hideMark/>
          </w:tcPr>
          <w:p w14:paraId="48128471" w14:textId="77777777" w:rsidR="00CA7676" w:rsidRPr="00E14EE6" w:rsidRDefault="00CA7676" w:rsidP="00E14EE6">
            <w:pPr>
              <w:jc w:val="right"/>
              <w:rPr>
                <w:rFonts w:cstheme="minorHAnsi"/>
                <w:sz w:val="14"/>
                <w:szCs w:val="14"/>
              </w:rPr>
            </w:pPr>
          </w:p>
        </w:tc>
        <w:tc>
          <w:tcPr>
            <w:tcW w:w="434" w:type="pct"/>
            <w:noWrap/>
            <w:hideMark/>
          </w:tcPr>
          <w:p w14:paraId="096FBE78" w14:textId="77777777" w:rsidR="00CA7676" w:rsidRPr="00E14EE6" w:rsidRDefault="00CA7676" w:rsidP="00E14EE6">
            <w:pPr>
              <w:jc w:val="right"/>
              <w:rPr>
                <w:rFonts w:cstheme="minorHAnsi"/>
                <w:sz w:val="14"/>
                <w:szCs w:val="14"/>
              </w:rPr>
            </w:pPr>
          </w:p>
        </w:tc>
        <w:tc>
          <w:tcPr>
            <w:tcW w:w="433" w:type="pct"/>
            <w:noWrap/>
            <w:hideMark/>
          </w:tcPr>
          <w:p w14:paraId="1EEAA5C9" w14:textId="77777777" w:rsidR="00CA7676" w:rsidRPr="00E14EE6" w:rsidRDefault="00CA7676" w:rsidP="00E14EE6">
            <w:pPr>
              <w:jc w:val="right"/>
              <w:rPr>
                <w:rFonts w:cstheme="minorHAnsi"/>
                <w:sz w:val="14"/>
                <w:szCs w:val="14"/>
              </w:rPr>
            </w:pPr>
          </w:p>
        </w:tc>
        <w:tc>
          <w:tcPr>
            <w:tcW w:w="434" w:type="pct"/>
            <w:noWrap/>
            <w:hideMark/>
          </w:tcPr>
          <w:p w14:paraId="2AE6DF98" w14:textId="77777777" w:rsidR="00CA7676" w:rsidRPr="00E14EE6" w:rsidRDefault="00CA7676" w:rsidP="00E14EE6">
            <w:pPr>
              <w:jc w:val="right"/>
              <w:rPr>
                <w:rFonts w:cstheme="minorHAnsi"/>
                <w:sz w:val="14"/>
                <w:szCs w:val="14"/>
              </w:rPr>
            </w:pPr>
          </w:p>
        </w:tc>
        <w:tc>
          <w:tcPr>
            <w:tcW w:w="432" w:type="pct"/>
            <w:noWrap/>
            <w:hideMark/>
          </w:tcPr>
          <w:p w14:paraId="761CA04F" w14:textId="77777777" w:rsidR="00CA7676" w:rsidRPr="00E14EE6" w:rsidRDefault="00CA7676" w:rsidP="00E14EE6">
            <w:pPr>
              <w:jc w:val="right"/>
              <w:rPr>
                <w:rFonts w:cstheme="minorHAnsi"/>
                <w:sz w:val="14"/>
                <w:szCs w:val="14"/>
              </w:rPr>
            </w:pPr>
          </w:p>
        </w:tc>
      </w:tr>
      <w:tr w:rsidR="00CA7676" w:rsidRPr="00E14EE6" w14:paraId="1B132DA1" w14:textId="77777777" w:rsidTr="00A75533">
        <w:trPr>
          <w:cnfStyle w:val="000000010000" w:firstRow="0" w:lastRow="0" w:firstColumn="0" w:lastColumn="0" w:oddVBand="0" w:evenVBand="0" w:oddHBand="0" w:evenHBand="1" w:firstRowFirstColumn="0" w:firstRowLastColumn="0" w:lastRowFirstColumn="0" w:lastRowLastColumn="0"/>
          <w:trHeight w:val="20"/>
        </w:trPr>
        <w:tc>
          <w:tcPr>
            <w:tcW w:w="1099" w:type="pct"/>
            <w:noWrap/>
            <w:hideMark/>
          </w:tcPr>
          <w:p w14:paraId="5FE0C11E" w14:textId="3218FB82" w:rsidR="00CA7676" w:rsidRPr="00E14EE6" w:rsidRDefault="00CA7676" w:rsidP="00E14EE6">
            <w:pPr>
              <w:jc w:val="left"/>
              <w:rPr>
                <w:rFonts w:cstheme="minorHAnsi"/>
                <w:sz w:val="14"/>
                <w:szCs w:val="14"/>
              </w:rPr>
            </w:pPr>
            <w:r w:rsidRPr="00E14EE6">
              <w:rPr>
                <w:sz w:val="14"/>
              </w:rPr>
              <w:t>End</w:t>
            </w:r>
            <w:r w:rsidR="00E14EE6" w:rsidRPr="00E14EE6">
              <w:rPr>
                <w:sz w:val="14"/>
              </w:rPr>
              <w:noBreakHyphen/>
            </w:r>
            <w:r w:rsidRPr="00E14EE6">
              <w:rPr>
                <w:sz w:val="14"/>
              </w:rPr>
              <w:t>of</w:t>
            </w:r>
            <w:r w:rsidR="00E14EE6" w:rsidRPr="00E14EE6">
              <w:rPr>
                <w:sz w:val="14"/>
              </w:rPr>
              <w:noBreakHyphen/>
            </w:r>
            <w:r w:rsidRPr="00E14EE6">
              <w:rPr>
                <w:sz w:val="14"/>
              </w:rPr>
              <w:t>period exchange rate (DOP/USD)</w:t>
            </w:r>
          </w:p>
        </w:tc>
        <w:tc>
          <w:tcPr>
            <w:tcW w:w="433" w:type="pct"/>
            <w:noWrap/>
            <w:hideMark/>
          </w:tcPr>
          <w:p w14:paraId="4C5D7DC1" w14:textId="77777777" w:rsidR="00CA7676" w:rsidRPr="00E14EE6" w:rsidRDefault="00CA7676" w:rsidP="00E14EE6">
            <w:pPr>
              <w:jc w:val="right"/>
              <w:rPr>
                <w:rFonts w:cstheme="minorHAnsi"/>
                <w:sz w:val="14"/>
                <w:szCs w:val="14"/>
              </w:rPr>
            </w:pPr>
            <w:r w:rsidRPr="00E14EE6">
              <w:rPr>
                <w:sz w:val="14"/>
              </w:rPr>
              <w:t>44.4</w:t>
            </w:r>
          </w:p>
        </w:tc>
        <w:tc>
          <w:tcPr>
            <w:tcW w:w="434" w:type="pct"/>
            <w:noWrap/>
            <w:hideMark/>
          </w:tcPr>
          <w:p w14:paraId="39AE377F" w14:textId="77777777" w:rsidR="00CA7676" w:rsidRPr="00E14EE6" w:rsidRDefault="00CA7676" w:rsidP="00E14EE6">
            <w:pPr>
              <w:jc w:val="right"/>
              <w:rPr>
                <w:rFonts w:cstheme="minorHAnsi"/>
                <w:sz w:val="14"/>
                <w:szCs w:val="14"/>
              </w:rPr>
            </w:pPr>
            <w:r w:rsidRPr="00E14EE6">
              <w:rPr>
                <w:sz w:val="14"/>
              </w:rPr>
              <w:t>45.6</w:t>
            </w:r>
          </w:p>
        </w:tc>
        <w:tc>
          <w:tcPr>
            <w:tcW w:w="434" w:type="pct"/>
            <w:noWrap/>
            <w:hideMark/>
          </w:tcPr>
          <w:p w14:paraId="6B93C991" w14:textId="77777777" w:rsidR="00CA7676" w:rsidRPr="00E14EE6" w:rsidRDefault="00CA7676" w:rsidP="00E14EE6">
            <w:pPr>
              <w:jc w:val="right"/>
              <w:rPr>
                <w:rFonts w:cstheme="minorHAnsi"/>
                <w:sz w:val="14"/>
                <w:szCs w:val="14"/>
              </w:rPr>
            </w:pPr>
            <w:r w:rsidRPr="00E14EE6">
              <w:rPr>
                <w:sz w:val="14"/>
              </w:rPr>
              <w:t>46.7</w:t>
            </w:r>
          </w:p>
        </w:tc>
        <w:tc>
          <w:tcPr>
            <w:tcW w:w="433" w:type="pct"/>
            <w:noWrap/>
            <w:hideMark/>
          </w:tcPr>
          <w:p w14:paraId="1FA8B5FD" w14:textId="77777777" w:rsidR="00CA7676" w:rsidRPr="00E14EE6" w:rsidRDefault="00CA7676" w:rsidP="00E14EE6">
            <w:pPr>
              <w:jc w:val="right"/>
              <w:rPr>
                <w:rFonts w:cstheme="minorHAnsi"/>
                <w:sz w:val="14"/>
                <w:szCs w:val="14"/>
              </w:rPr>
            </w:pPr>
            <w:r w:rsidRPr="00E14EE6">
              <w:rPr>
                <w:sz w:val="14"/>
              </w:rPr>
              <w:t>48.3</w:t>
            </w:r>
          </w:p>
        </w:tc>
        <w:tc>
          <w:tcPr>
            <w:tcW w:w="434" w:type="pct"/>
            <w:noWrap/>
            <w:hideMark/>
          </w:tcPr>
          <w:p w14:paraId="265A7D8F" w14:textId="77777777" w:rsidR="00CA7676" w:rsidRPr="00E14EE6" w:rsidRDefault="00CA7676" w:rsidP="00E14EE6">
            <w:pPr>
              <w:jc w:val="right"/>
              <w:rPr>
                <w:rFonts w:cstheme="minorHAnsi"/>
                <w:sz w:val="14"/>
                <w:szCs w:val="14"/>
              </w:rPr>
            </w:pPr>
            <w:r w:rsidRPr="00E14EE6">
              <w:rPr>
                <w:sz w:val="14"/>
              </w:rPr>
              <w:t>50.3</w:t>
            </w:r>
          </w:p>
        </w:tc>
        <w:tc>
          <w:tcPr>
            <w:tcW w:w="434" w:type="pct"/>
            <w:noWrap/>
            <w:hideMark/>
          </w:tcPr>
          <w:p w14:paraId="788F97D6" w14:textId="77777777" w:rsidR="00CA7676" w:rsidRPr="00E14EE6" w:rsidRDefault="00CA7676" w:rsidP="00E14EE6">
            <w:pPr>
              <w:jc w:val="right"/>
              <w:rPr>
                <w:rFonts w:cstheme="minorHAnsi"/>
                <w:sz w:val="14"/>
                <w:szCs w:val="14"/>
              </w:rPr>
            </w:pPr>
            <w:r w:rsidRPr="00E14EE6">
              <w:rPr>
                <w:sz w:val="14"/>
              </w:rPr>
              <w:t>53.0</w:t>
            </w:r>
          </w:p>
        </w:tc>
        <w:tc>
          <w:tcPr>
            <w:tcW w:w="433" w:type="pct"/>
            <w:noWrap/>
            <w:hideMark/>
          </w:tcPr>
          <w:p w14:paraId="37C0D21F" w14:textId="77777777" w:rsidR="00CA7676" w:rsidRPr="00E14EE6" w:rsidRDefault="00CA7676" w:rsidP="00E14EE6">
            <w:pPr>
              <w:jc w:val="right"/>
              <w:rPr>
                <w:rFonts w:cstheme="minorHAnsi"/>
                <w:sz w:val="14"/>
                <w:szCs w:val="14"/>
              </w:rPr>
            </w:pPr>
            <w:r w:rsidRPr="00E14EE6">
              <w:rPr>
                <w:sz w:val="14"/>
              </w:rPr>
              <w:t>58.3</w:t>
            </w:r>
          </w:p>
        </w:tc>
        <w:tc>
          <w:tcPr>
            <w:tcW w:w="434" w:type="pct"/>
            <w:noWrap/>
            <w:hideMark/>
          </w:tcPr>
          <w:p w14:paraId="7B49BFF5" w14:textId="77777777" w:rsidR="00CA7676" w:rsidRPr="00E14EE6" w:rsidRDefault="00CA7676" w:rsidP="00E14EE6">
            <w:pPr>
              <w:jc w:val="right"/>
              <w:rPr>
                <w:rFonts w:cstheme="minorHAnsi"/>
                <w:sz w:val="14"/>
                <w:szCs w:val="14"/>
              </w:rPr>
            </w:pPr>
            <w:r w:rsidRPr="00E14EE6">
              <w:rPr>
                <w:sz w:val="14"/>
              </w:rPr>
              <w:t>57.5</w:t>
            </w:r>
          </w:p>
        </w:tc>
        <w:tc>
          <w:tcPr>
            <w:tcW w:w="432" w:type="pct"/>
            <w:noWrap/>
            <w:hideMark/>
          </w:tcPr>
          <w:p w14:paraId="57560BE5" w14:textId="77777777" w:rsidR="00CA7676" w:rsidRPr="00E14EE6" w:rsidRDefault="00CA7676" w:rsidP="00E14EE6">
            <w:pPr>
              <w:jc w:val="right"/>
              <w:rPr>
                <w:rFonts w:cstheme="minorHAnsi"/>
                <w:sz w:val="14"/>
                <w:szCs w:val="14"/>
              </w:rPr>
            </w:pPr>
            <w:r w:rsidRPr="00E14EE6">
              <w:rPr>
                <w:sz w:val="14"/>
              </w:rPr>
              <w:t>55.2</w:t>
            </w:r>
          </w:p>
        </w:tc>
      </w:tr>
      <w:tr w:rsidR="00CA7676" w:rsidRPr="00E14EE6" w14:paraId="70EDFDE3" w14:textId="77777777" w:rsidTr="00A75533">
        <w:trPr>
          <w:trHeight w:val="20"/>
        </w:trPr>
        <w:tc>
          <w:tcPr>
            <w:tcW w:w="1099" w:type="pct"/>
            <w:noWrap/>
            <w:hideMark/>
          </w:tcPr>
          <w:p w14:paraId="49CA405F" w14:textId="77777777" w:rsidR="00CA7676" w:rsidRPr="00E14EE6" w:rsidRDefault="00CA7676" w:rsidP="00E14EE6">
            <w:pPr>
              <w:jc w:val="left"/>
              <w:rPr>
                <w:rFonts w:cstheme="minorHAnsi"/>
                <w:sz w:val="14"/>
                <w:szCs w:val="14"/>
              </w:rPr>
            </w:pPr>
            <w:r w:rsidRPr="00E14EE6">
              <w:rPr>
                <w:sz w:val="14"/>
              </w:rPr>
              <w:t>Period average exchange rate (DOP/USD)</w:t>
            </w:r>
          </w:p>
        </w:tc>
        <w:tc>
          <w:tcPr>
            <w:tcW w:w="433" w:type="pct"/>
            <w:noWrap/>
            <w:hideMark/>
          </w:tcPr>
          <w:p w14:paraId="6F144FE8" w14:textId="77777777" w:rsidR="00CA7676" w:rsidRPr="00E14EE6" w:rsidRDefault="00CA7676" w:rsidP="00E14EE6">
            <w:pPr>
              <w:jc w:val="right"/>
              <w:rPr>
                <w:rFonts w:cstheme="minorHAnsi"/>
                <w:sz w:val="14"/>
                <w:szCs w:val="14"/>
              </w:rPr>
            </w:pPr>
            <w:r w:rsidRPr="00E14EE6">
              <w:rPr>
                <w:sz w:val="14"/>
              </w:rPr>
              <w:t>43.6</w:t>
            </w:r>
          </w:p>
        </w:tc>
        <w:tc>
          <w:tcPr>
            <w:tcW w:w="434" w:type="pct"/>
            <w:noWrap/>
            <w:hideMark/>
          </w:tcPr>
          <w:p w14:paraId="794A577C" w14:textId="77777777" w:rsidR="00CA7676" w:rsidRPr="00E14EE6" w:rsidRDefault="00CA7676" w:rsidP="00E14EE6">
            <w:pPr>
              <w:jc w:val="right"/>
              <w:rPr>
                <w:rFonts w:cstheme="minorHAnsi"/>
                <w:sz w:val="14"/>
                <w:szCs w:val="14"/>
              </w:rPr>
            </w:pPr>
            <w:r w:rsidRPr="00E14EE6">
              <w:rPr>
                <w:sz w:val="14"/>
              </w:rPr>
              <w:t>45.1</w:t>
            </w:r>
          </w:p>
        </w:tc>
        <w:tc>
          <w:tcPr>
            <w:tcW w:w="434" w:type="pct"/>
            <w:noWrap/>
            <w:hideMark/>
          </w:tcPr>
          <w:p w14:paraId="340B38F1" w14:textId="77777777" w:rsidR="00CA7676" w:rsidRPr="00E14EE6" w:rsidRDefault="00CA7676" w:rsidP="00E14EE6">
            <w:pPr>
              <w:jc w:val="right"/>
              <w:rPr>
                <w:rFonts w:cstheme="minorHAnsi"/>
                <w:sz w:val="14"/>
                <w:szCs w:val="14"/>
              </w:rPr>
            </w:pPr>
            <w:r w:rsidRPr="00E14EE6">
              <w:rPr>
                <w:sz w:val="14"/>
              </w:rPr>
              <w:t>46.1</w:t>
            </w:r>
          </w:p>
        </w:tc>
        <w:tc>
          <w:tcPr>
            <w:tcW w:w="433" w:type="pct"/>
            <w:noWrap/>
            <w:hideMark/>
          </w:tcPr>
          <w:p w14:paraId="2D9449FF" w14:textId="77777777" w:rsidR="00CA7676" w:rsidRPr="00E14EE6" w:rsidRDefault="00CA7676" w:rsidP="00E14EE6">
            <w:pPr>
              <w:jc w:val="right"/>
              <w:rPr>
                <w:rFonts w:cstheme="minorHAnsi"/>
                <w:sz w:val="14"/>
                <w:szCs w:val="14"/>
              </w:rPr>
            </w:pPr>
            <w:r w:rsidRPr="00E14EE6">
              <w:rPr>
                <w:sz w:val="14"/>
              </w:rPr>
              <w:t>47.5</w:t>
            </w:r>
          </w:p>
        </w:tc>
        <w:tc>
          <w:tcPr>
            <w:tcW w:w="434" w:type="pct"/>
            <w:noWrap/>
            <w:hideMark/>
          </w:tcPr>
          <w:p w14:paraId="2CE78A50" w14:textId="77777777" w:rsidR="00CA7676" w:rsidRPr="00E14EE6" w:rsidRDefault="00CA7676" w:rsidP="00E14EE6">
            <w:pPr>
              <w:jc w:val="right"/>
              <w:rPr>
                <w:rFonts w:cstheme="minorHAnsi"/>
                <w:sz w:val="14"/>
                <w:szCs w:val="14"/>
              </w:rPr>
            </w:pPr>
            <w:r w:rsidRPr="00E14EE6">
              <w:rPr>
                <w:sz w:val="14"/>
              </w:rPr>
              <w:t>49.5</w:t>
            </w:r>
          </w:p>
        </w:tc>
        <w:tc>
          <w:tcPr>
            <w:tcW w:w="434" w:type="pct"/>
            <w:noWrap/>
            <w:hideMark/>
          </w:tcPr>
          <w:p w14:paraId="49B1EE43" w14:textId="77777777" w:rsidR="00CA7676" w:rsidRPr="00E14EE6" w:rsidRDefault="00CA7676" w:rsidP="00E14EE6">
            <w:pPr>
              <w:jc w:val="right"/>
              <w:rPr>
                <w:rFonts w:cstheme="minorHAnsi"/>
                <w:sz w:val="14"/>
                <w:szCs w:val="14"/>
              </w:rPr>
            </w:pPr>
            <w:r w:rsidRPr="00E14EE6">
              <w:rPr>
                <w:sz w:val="14"/>
              </w:rPr>
              <w:t>51.3</w:t>
            </w:r>
          </w:p>
        </w:tc>
        <w:tc>
          <w:tcPr>
            <w:tcW w:w="433" w:type="pct"/>
            <w:noWrap/>
            <w:hideMark/>
          </w:tcPr>
          <w:p w14:paraId="4A0E59F4" w14:textId="77777777" w:rsidR="00CA7676" w:rsidRPr="00E14EE6" w:rsidRDefault="00CA7676" w:rsidP="00E14EE6">
            <w:pPr>
              <w:jc w:val="right"/>
              <w:rPr>
                <w:rFonts w:cstheme="minorHAnsi"/>
                <w:sz w:val="14"/>
                <w:szCs w:val="14"/>
              </w:rPr>
            </w:pPr>
            <w:r w:rsidRPr="00E14EE6">
              <w:rPr>
                <w:sz w:val="14"/>
              </w:rPr>
              <w:t>56.6</w:t>
            </w:r>
          </w:p>
        </w:tc>
        <w:tc>
          <w:tcPr>
            <w:tcW w:w="434" w:type="pct"/>
            <w:noWrap/>
            <w:hideMark/>
          </w:tcPr>
          <w:p w14:paraId="239DC8C6" w14:textId="77777777" w:rsidR="00CA7676" w:rsidRPr="00E14EE6" w:rsidRDefault="00CA7676" w:rsidP="00E14EE6">
            <w:pPr>
              <w:jc w:val="right"/>
              <w:rPr>
                <w:rFonts w:cstheme="minorHAnsi"/>
                <w:sz w:val="14"/>
                <w:szCs w:val="14"/>
              </w:rPr>
            </w:pPr>
            <w:r w:rsidRPr="00E14EE6">
              <w:rPr>
                <w:sz w:val="14"/>
              </w:rPr>
              <w:t>57.2</w:t>
            </w:r>
          </w:p>
        </w:tc>
        <w:tc>
          <w:tcPr>
            <w:tcW w:w="432" w:type="pct"/>
            <w:noWrap/>
            <w:hideMark/>
          </w:tcPr>
          <w:p w14:paraId="772C1351" w14:textId="77777777" w:rsidR="00CA7676" w:rsidRPr="00E14EE6" w:rsidRDefault="00CA7676" w:rsidP="00E14EE6">
            <w:pPr>
              <w:jc w:val="right"/>
              <w:rPr>
                <w:rFonts w:cstheme="minorHAnsi"/>
                <w:sz w:val="14"/>
                <w:szCs w:val="14"/>
              </w:rPr>
            </w:pPr>
            <w:r w:rsidRPr="00E14EE6">
              <w:rPr>
                <w:sz w:val="14"/>
              </w:rPr>
              <w:t>56.5</w:t>
            </w:r>
          </w:p>
        </w:tc>
      </w:tr>
      <w:tr w:rsidR="00CA7676" w:rsidRPr="00E14EE6" w14:paraId="5E3DCB1D" w14:textId="77777777" w:rsidTr="00A75533">
        <w:trPr>
          <w:cnfStyle w:val="000000010000" w:firstRow="0" w:lastRow="0" w:firstColumn="0" w:lastColumn="0" w:oddVBand="0" w:evenVBand="0" w:oddHBand="0" w:evenHBand="1" w:firstRowFirstColumn="0" w:firstRowLastColumn="0" w:lastRowFirstColumn="0" w:lastRowLastColumn="0"/>
          <w:trHeight w:val="20"/>
        </w:trPr>
        <w:tc>
          <w:tcPr>
            <w:tcW w:w="1099" w:type="pct"/>
            <w:noWrap/>
            <w:hideMark/>
          </w:tcPr>
          <w:p w14:paraId="7531EA38" w14:textId="77777777" w:rsidR="00CA7676" w:rsidRPr="00E14EE6" w:rsidRDefault="00CA7676" w:rsidP="00E14EE6">
            <w:pPr>
              <w:jc w:val="left"/>
              <w:rPr>
                <w:rFonts w:cstheme="minorHAnsi"/>
                <w:sz w:val="14"/>
                <w:szCs w:val="14"/>
              </w:rPr>
            </w:pPr>
            <w:r w:rsidRPr="00E14EE6">
              <w:rPr>
                <w:sz w:val="14"/>
              </w:rPr>
              <w:t>Estimated real effective exchange rate (2010=100)</w:t>
            </w:r>
          </w:p>
        </w:tc>
        <w:tc>
          <w:tcPr>
            <w:tcW w:w="433" w:type="pct"/>
            <w:noWrap/>
            <w:hideMark/>
          </w:tcPr>
          <w:p w14:paraId="16F350D2" w14:textId="77777777" w:rsidR="00CA7676" w:rsidRPr="00E14EE6" w:rsidRDefault="00CA7676" w:rsidP="00E14EE6">
            <w:pPr>
              <w:jc w:val="right"/>
              <w:rPr>
                <w:rFonts w:cstheme="minorHAnsi"/>
                <w:sz w:val="14"/>
                <w:szCs w:val="14"/>
              </w:rPr>
            </w:pPr>
            <w:r w:rsidRPr="00E14EE6">
              <w:rPr>
                <w:sz w:val="14"/>
              </w:rPr>
              <w:t>105.8</w:t>
            </w:r>
          </w:p>
        </w:tc>
        <w:tc>
          <w:tcPr>
            <w:tcW w:w="434" w:type="pct"/>
            <w:noWrap/>
            <w:hideMark/>
          </w:tcPr>
          <w:p w14:paraId="0F70401D" w14:textId="77777777" w:rsidR="00CA7676" w:rsidRPr="00E14EE6" w:rsidRDefault="00CA7676" w:rsidP="00E14EE6">
            <w:pPr>
              <w:jc w:val="right"/>
              <w:rPr>
                <w:rFonts w:cstheme="minorHAnsi"/>
                <w:sz w:val="14"/>
                <w:szCs w:val="14"/>
              </w:rPr>
            </w:pPr>
            <w:r w:rsidRPr="00E14EE6">
              <w:rPr>
                <w:sz w:val="14"/>
              </w:rPr>
              <w:t>108.6</w:t>
            </w:r>
          </w:p>
        </w:tc>
        <w:tc>
          <w:tcPr>
            <w:tcW w:w="434" w:type="pct"/>
            <w:noWrap/>
            <w:hideMark/>
          </w:tcPr>
          <w:p w14:paraId="6058585F" w14:textId="77777777" w:rsidR="00CA7676" w:rsidRPr="00E14EE6" w:rsidRDefault="00CA7676" w:rsidP="00E14EE6">
            <w:pPr>
              <w:jc w:val="right"/>
              <w:rPr>
                <w:rFonts w:cstheme="minorHAnsi"/>
                <w:sz w:val="14"/>
                <w:szCs w:val="14"/>
              </w:rPr>
            </w:pPr>
            <w:r w:rsidRPr="00E14EE6">
              <w:rPr>
                <w:sz w:val="14"/>
              </w:rPr>
              <w:t>110.7</w:t>
            </w:r>
          </w:p>
        </w:tc>
        <w:tc>
          <w:tcPr>
            <w:tcW w:w="433" w:type="pct"/>
            <w:noWrap/>
            <w:hideMark/>
          </w:tcPr>
          <w:p w14:paraId="38432B6C" w14:textId="77777777" w:rsidR="00CA7676" w:rsidRPr="00E14EE6" w:rsidRDefault="00CA7676" w:rsidP="00E14EE6">
            <w:pPr>
              <w:jc w:val="right"/>
              <w:rPr>
                <w:rFonts w:cstheme="minorHAnsi"/>
                <w:sz w:val="14"/>
                <w:szCs w:val="14"/>
              </w:rPr>
            </w:pPr>
            <w:r w:rsidRPr="00E14EE6">
              <w:rPr>
                <w:sz w:val="14"/>
              </w:rPr>
              <w:t>113.0</w:t>
            </w:r>
          </w:p>
        </w:tc>
        <w:tc>
          <w:tcPr>
            <w:tcW w:w="434" w:type="pct"/>
            <w:noWrap/>
            <w:hideMark/>
          </w:tcPr>
          <w:p w14:paraId="03E5B231" w14:textId="77777777" w:rsidR="00CA7676" w:rsidRPr="00E14EE6" w:rsidRDefault="00CA7676" w:rsidP="00E14EE6">
            <w:pPr>
              <w:jc w:val="right"/>
              <w:rPr>
                <w:rFonts w:cstheme="minorHAnsi"/>
                <w:sz w:val="14"/>
                <w:szCs w:val="14"/>
              </w:rPr>
            </w:pPr>
            <w:r w:rsidRPr="00E14EE6">
              <w:rPr>
                <w:sz w:val="14"/>
              </w:rPr>
              <w:t>116.4</w:t>
            </w:r>
          </w:p>
        </w:tc>
        <w:tc>
          <w:tcPr>
            <w:tcW w:w="434" w:type="pct"/>
            <w:noWrap/>
            <w:hideMark/>
          </w:tcPr>
          <w:p w14:paraId="1DF1C11E" w14:textId="77777777" w:rsidR="00CA7676" w:rsidRPr="00E14EE6" w:rsidRDefault="00CA7676" w:rsidP="00E14EE6">
            <w:pPr>
              <w:jc w:val="right"/>
              <w:rPr>
                <w:rFonts w:cstheme="minorHAnsi"/>
                <w:sz w:val="14"/>
                <w:szCs w:val="14"/>
              </w:rPr>
            </w:pPr>
            <w:r w:rsidRPr="00E14EE6">
              <w:rPr>
                <w:sz w:val="14"/>
              </w:rPr>
              <w:t>120.6</w:t>
            </w:r>
          </w:p>
        </w:tc>
        <w:tc>
          <w:tcPr>
            <w:tcW w:w="433" w:type="pct"/>
            <w:noWrap/>
            <w:hideMark/>
          </w:tcPr>
          <w:p w14:paraId="5E8A6208" w14:textId="77777777" w:rsidR="00CA7676" w:rsidRPr="00E14EE6" w:rsidRDefault="00CA7676" w:rsidP="00E14EE6">
            <w:pPr>
              <w:jc w:val="right"/>
              <w:rPr>
                <w:rFonts w:cstheme="minorHAnsi"/>
                <w:sz w:val="14"/>
                <w:szCs w:val="14"/>
              </w:rPr>
            </w:pPr>
            <w:r w:rsidRPr="00E14EE6">
              <w:rPr>
                <w:sz w:val="14"/>
              </w:rPr>
              <w:t>129.6</w:t>
            </w:r>
          </w:p>
        </w:tc>
        <w:tc>
          <w:tcPr>
            <w:tcW w:w="434" w:type="pct"/>
            <w:noWrap/>
            <w:hideMark/>
          </w:tcPr>
          <w:p w14:paraId="7DDFA757" w14:textId="77777777" w:rsidR="00CA7676" w:rsidRPr="00E14EE6" w:rsidRDefault="00CA7676" w:rsidP="00E14EE6">
            <w:pPr>
              <w:jc w:val="right"/>
              <w:rPr>
                <w:rFonts w:cstheme="minorHAnsi"/>
                <w:sz w:val="14"/>
                <w:szCs w:val="14"/>
              </w:rPr>
            </w:pPr>
            <w:r w:rsidRPr="00E14EE6">
              <w:rPr>
                <w:sz w:val="14"/>
              </w:rPr>
              <w:t>126.9</w:t>
            </w:r>
          </w:p>
        </w:tc>
        <w:tc>
          <w:tcPr>
            <w:tcW w:w="432" w:type="pct"/>
            <w:noWrap/>
            <w:hideMark/>
          </w:tcPr>
          <w:p w14:paraId="0823BE07" w14:textId="77777777" w:rsidR="00CA7676" w:rsidRPr="00E14EE6" w:rsidRDefault="00CA7676" w:rsidP="00E14EE6">
            <w:pPr>
              <w:jc w:val="right"/>
              <w:rPr>
                <w:rFonts w:cstheme="minorHAnsi"/>
                <w:sz w:val="14"/>
                <w:szCs w:val="14"/>
              </w:rPr>
            </w:pPr>
            <w:r w:rsidRPr="00E14EE6">
              <w:rPr>
                <w:sz w:val="14"/>
              </w:rPr>
              <w:t>124.4</w:t>
            </w:r>
          </w:p>
        </w:tc>
      </w:tr>
    </w:tbl>
    <w:p w14:paraId="03A5F6B3" w14:textId="62864DE4" w:rsidR="00CA7676" w:rsidRPr="00E14EE6" w:rsidRDefault="00E14EE6" w:rsidP="00CE2C80">
      <w:pPr>
        <w:pStyle w:val="NoteText"/>
        <w:spacing w:before="120"/>
      </w:pPr>
      <w:r w:rsidRPr="00E14EE6">
        <w:t xml:space="preserve">a </w:t>
      </w:r>
      <w:r w:rsidR="00F23B97" w:rsidRPr="00E14EE6">
        <w:tab/>
      </w:r>
      <w:r w:rsidR="00CA7676" w:rsidRPr="00E14EE6">
        <w:t>Preliminary figures.</w:t>
      </w:r>
    </w:p>
    <w:p w14:paraId="10F5D85E" w14:textId="4F2FE826" w:rsidR="00CA7676" w:rsidRPr="00E14EE6" w:rsidRDefault="00E14EE6" w:rsidP="00E14EE6">
      <w:pPr>
        <w:pStyle w:val="NoteText"/>
      </w:pPr>
      <w:r w:rsidRPr="00E14EE6">
        <w:t xml:space="preserve">b </w:t>
      </w:r>
      <w:r w:rsidR="00F23B97" w:rsidRPr="00E14EE6">
        <w:tab/>
      </w:r>
      <w:r w:rsidR="00CA7676" w:rsidRPr="00E14EE6">
        <w:t>Annual weighted average of nominal lending rates at full</w:t>
      </w:r>
      <w:r w:rsidRPr="00E14EE6">
        <w:noBreakHyphen/>
      </w:r>
      <w:r w:rsidR="00CA7676" w:rsidRPr="00E14EE6">
        <w:t>service banks (</w:t>
      </w:r>
      <w:proofErr w:type="spellStart"/>
      <w:r w:rsidR="00CA7676" w:rsidRPr="00E14EE6">
        <w:rPr>
          <w:i/>
          <w:iCs/>
        </w:rPr>
        <w:t>bancos</w:t>
      </w:r>
      <w:proofErr w:type="spellEnd"/>
      <w:r w:rsidR="00CA7676" w:rsidRPr="00E14EE6">
        <w:rPr>
          <w:i/>
          <w:iCs/>
        </w:rPr>
        <w:t xml:space="preserve"> </w:t>
      </w:r>
      <w:proofErr w:type="spellStart"/>
      <w:r w:rsidR="00CA7676" w:rsidRPr="00E14EE6">
        <w:rPr>
          <w:i/>
          <w:iCs/>
        </w:rPr>
        <w:t>múltiples</w:t>
      </w:r>
      <w:proofErr w:type="spellEnd"/>
      <w:r w:rsidR="00CA7676" w:rsidRPr="00E14EE6">
        <w:t>).</w:t>
      </w:r>
    </w:p>
    <w:p w14:paraId="427A4F7C" w14:textId="54049724" w:rsidR="00CA7676" w:rsidRPr="00E14EE6" w:rsidRDefault="00E14EE6" w:rsidP="00E14EE6">
      <w:pPr>
        <w:pStyle w:val="NoteText"/>
      </w:pPr>
      <w:r w:rsidRPr="00E14EE6">
        <w:t xml:space="preserve">c </w:t>
      </w:r>
      <w:r w:rsidR="00F23B97" w:rsidRPr="00E14EE6">
        <w:tab/>
      </w:r>
      <w:r w:rsidR="00CA7676" w:rsidRPr="00E14EE6">
        <w:t>Annual weighted average of nominal deposit rates at full</w:t>
      </w:r>
      <w:r w:rsidRPr="00E14EE6">
        <w:noBreakHyphen/>
      </w:r>
      <w:r w:rsidR="00CA7676" w:rsidRPr="00E14EE6">
        <w:t>service banks (</w:t>
      </w:r>
      <w:proofErr w:type="spellStart"/>
      <w:r w:rsidR="00CA7676" w:rsidRPr="00E14EE6">
        <w:rPr>
          <w:i/>
          <w:iCs/>
        </w:rPr>
        <w:t>bancos</w:t>
      </w:r>
      <w:proofErr w:type="spellEnd"/>
      <w:r w:rsidR="00CA7676" w:rsidRPr="00E14EE6">
        <w:rPr>
          <w:i/>
          <w:iCs/>
        </w:rPr>
        <w:t xml:space="preserve"> </w:t>
      </w:r>
      <w:proofErr w:type="spellStart"/>
      <w:r w:rsidR="00CA7676" w:rsidRPr="00E14EE6">
        <w:rPr>
          <w:i/>
          <w:iCs/>
        </w:rPr>
        <w:t>múltiples</w:t>
      </w:r>
      <w:proofErr w:type="spellEnd"/>
      <w:r w:rsidR="00CA7676" w:rsidRPr="00E14EE6">
        <w:t>).</w:t>
      </w:r>
    </w:p>
    <w:p w14:paraId="694830DF" w14:textId="4C118CCE" w:rsidR="00CA7676" w:rsidRPr="00E14EE6" w:rsidRDefault="00F23B97" w:rsidP="00E14EE6">
      <w:pPr>
        <w:pStyle w:val="NoteText"/>
      </w:pPr>
      <w:r w:rsidRPr="00E14EE6">
        <w:t>d</w:t>
      </w:r>
      <w:r w:rsidRPr="00E14EE6">
        <w:tab/>
      </w:r>
      <w:r w:rsidR="00CA7676" w:rsidRPr="00E14EE6">
        <w:t>Annual weighted average interbank rate in domestic currency.</w:t>
      </w:r>
    </w:p>
    <w:p w14:paraId="1187B946" w14:textId="77777777" w:rsidR="00CA7676" w:rsidRPr="00E14EE6" w:rsidRDefault="00CA7676" w:rsidP="00CE2C80">
      <w:pPr>
        <w:pStyle w:val="NoteText"/>
        <w:spacing w:before="120" w:after="240"/>
      </w:pPr>
      <w:r w:rsidRPr="00E14EE6">
        <w:t>Source:</w:t>
      </w:r>
      <w:r w:rsidRPr="00E14EE6">
        <w:tab/>
      </w:r>
      <w:proofErr w:type="spellStart"/>
      <w:r w:rsidRPr="00E14EE6">
        <w:t>BCRD</w:t>
      </w:r>
      <w:proofErr w:type="spellEnd"/>
      <w:r w:rsidRPr="00E14EE6">
        <w:t>.</w:t>
      </w:r>
    </w:p>
    <w:p w14:paraId="1EDB793D" w14:textId="1716D73A" w:rsidR="00CA7676" w:rsidRPr="00E14EE6" w:rsidRDefault="00E14EE6" w:rsidP="00763857">
      <w:pPr>
        <w:pStyle w:val="BodyText"/>
      </w:pPr>
      <w:r w:rsidRPr="00E14EE6">
        <w:t>D</w:t>
      </w:r>
      <w:r w:rsidR="005147A6" w:rsidRPr="00E14EE6">
        <w:t xml:space="preserve">uring the first half of 2018, the monetary authorities kept the </w:t>
      </w:r>
      <w:proofErr w:type="spellStart"/>
      <w:r w:rsidR="00207282" w:rsidRPr="00E14EE6">
        <w:t>MPR</w:t>
      </w:r>
      <w:proofErr w:type="spellEnd"/>
      <w:r w:rsidR="00207282" w:rsidRPr="00E14EE6">
        <w:t xml:space="preserve"> </w:t>
      </w:r>
      <w:r w:rsidR="005147A6" w:rsidRPr="00E14EE6">
        <w:t>unchanged at 5.25</w:t>
      </w:r>
      <w:r>
        <w:t>%</w:t>
      </w:r>
      <w:r w:rsidR="005147A6" w:rsidRPr="00E14EE6">
        <w:t>, but raised it to 5.5</w:t>
      </w:r>
      <w:r>
        <w:t>%</w:t>
      </w:r>
      <w:r w:rsidR="005147A6" w:rsidRPr="00E14EE6">
        <w:t xml:space="preserve"> in July on the basis that the economy was growing above its potential and inflation was rising</w:t>
      </w:r>
      <w:r w:rsidRPr="00E14EE6">
        <w:t>. A</w:t>
      </w:r>
      <w:r w:rsidR="005147A6" w:rsidRPr="00E14EE6">
        <w:t>s a result, market lending and deposit rates increased, while private credit growth slowed</w:t>
      </w:r>
      <w:r w:rsidRPr="00E14EE6">
        <w:t>. Y</w:t>
      </w:r>
      <w:r w:rsidR="005147A6" w:rsidRPr="00E14EE6">
        <w:t>ear</w:t>
      </w:r>
      <w:r w:rsidRPr="00E14EE6">
        <w:noBreakHyphen/>
      </w:r>
      <w:r w:rsidR="005147A6" w:rsidRPr="00E14EE6">
        <w:t>on</w:t>
      </w:r>
      <w:r w:rsidRPr="00E14EE6">
        <w:noBreakHyphen/>
      </w:r>
      <w:r w:rsidR="005147A6" w:rsidRPr="00E14EE6">
        <w:t>year inflation followed a downward trend and ended the year at 1.17</w:t>
      </w:r>
      <w:r>
        <w:t>%</w:t>
      </w:r>
      <w:r w:rsidRPr="00E14EE6">
        <w:t>. I</w:t>
      </w:r>
      <w:r w:rsidR="005147A6" w:rsidRPr="00E14EE6">
        <w:t xml:space="preserve">n response to macroeconomic conditions affected by both external and domestic uncertainties, the </w:t>
      </w:r>
      <w:proofErr w:type="spellStart"/>
      <w:r w:rsidR="005147A6" w:rsidRPr="00E14EE6">
        <w:t>BCRD</w:t>
      </w:r>
      <w:proofErr w:type="spellEnd"/>
      <w:r w:rsidR="005147A6" w:rsidRPr="00E14EE6">
        <w:t xml:space="preserve"> lowered the </w:t>
      </w:r>
      <w:proofErr w:type="spellStart"/>
      <w:r w:rsidR="005147A6" w:rsidRPr="00E14EE6">
        <w:t>MPR</w:t>
      </w:r>
      <w:proofErr w:type="spellEnd"/>
      <w:r w:rsidR="005147A6" w:rsidRPr="00E14EE6">
        <w:t xml:space="preserve"> three times between June and </w:t>
      </w:r>
      <w:r w:rsidRPr="00E14EE6">
        <w:t>August 2</w:t>
      </w:r>
      <w:r w:rsidR="005147A6" w:rsidRPr="00E14EE6">
        <w:t xml:space="preserve">019, bringing the annual </w:t>
      </w:r>
      <w:proofErr w:type="spellStart"/>
      <w:r w:rsidR="005147A6" w:rsidRPr="00E14EE6">
        <w:t>MPR</w:t>
      </w:r>
      <w:proofErr w:type="spellEnd"/>
      <w:r w:rsidR="005147A6" w:rsidRPr="00E14EE6">
        <w:t xml:space="preserve"> to 4.50</w:t>
      </w:r>
      <w:r>
        <w:t>%</w:t>
      </w:r>
      <w:r w:rsidR="005147A6" w:rsidRPr="00E14EE6">
        <w:t xml:space="preserve"> at the close of 2019</w:t>
      </w:r>
      <w:r w:rsidRPr="00E14EE6">
        <w:t>. I</w:t>
      </w:r>
      <w:r w:rsidR="005147A6" w:rsidRPr="00E14EE6">
        <w:t xml:space="preserve">n addition, </w:t>
      </w:r>
      <w:r w:rsidRPr="00E14EE6">
        <w:t>DOP 34</w:t>
      </w:r>
      <w:r w:rsidR="005147A6" w:rsidRPr="00E14EE6">
        <w:t>,364.6</w:t>
      </w:r>
      <w:r w:rsidRPr="00E14EE6">
        <w:t> million</w:t>
      </w:r>
      <w:r w:rsidR="005147A6" w:rsidRPr="00E14EE6">
        <w:t xml:space="preserve"> were released from the reserve requirement in May to be channelled into the productive sectors</w:t>
      </w:r>
      <w:r w:rsidRPr="00E14EE6">
        <w:t>. T</w:t>
      </w:r>
      <w:r w:rsidR="005147A6" w:rsidRPr="00E14EE6">
        <w:t xml:space="preserve">he authorities indicated that, as a result of the monetary easing measures, economic activity regained </w:t>
      </w:r>
      <w:r w:rsidR="000B4501" w:rsidRPr="00E14EE6">
        <w:t xml:space="preserve">some </w:t>
      </w:r>
      <w:r w:rsidR="005147A6" w:rsidRPr="00E14EE6">
        <w:t>momentum, inflation returned to the target range and market interest rates fell, while the private credit growth rate improved.</w:t>
      </w:r>
      <w:r w:rsidRPr="00E14EE6">
        <w:rPr>
          <w:rStyle w:val="FootnoteReference"/>
        </w:rPr>
        <w:footnoteReference w:id="31"/>
      </w:r>
    </w:p>
    <w:p w14:paraId="64C6E596" w14:textId="624B8726" w:rsidR="007C74EF" w:rsidRPr="00E14EE6" w:rsidRDefault="00E14EE6" w:rsidP="00763857">
      <w:pPr>
        <w:pStyle w:val="BodyText"/>
      </w:pPr>
      <w:r w:rsidRPr="00E14EE6">
        <w:t>I</w:t>
      </w:r>
      <w:r w:rsidR="005147A6" w:rsidRPr="00E14EE6">
        <w:t xml:space="preserve">n 2020, the </w:t>
      </w:r>
      <w:proofErr w:type="spellStart"/>
      <w:r w:rsidR="005147A6" w:rsidRPr="00E14EE6">
        <w:t>BCRD</w:t>
      </w:r>
      <w:proofErr w:type="spellEnd"/>
      <w:r w:rsidR="005147A6" w:rsidRPr="00E14EE6">
        <w:t xml:space="preserve"> implemented a set of monetary easing measures to mitigate the adverse effects of the global health crisis on the Dominican economy</w:t>
      </w:r>
      <w:r w:rsidRPr="00E14EE6">
        <w:t>. T</w:t>
      </w:r>
      <w:r w:rsidR="005147A6" w:rsidRPr="00E14EE6">
        <w:t xml:space="preserve">he monetary authorities lowered the </w:t>
      </w:r>
      <w:proofErr w:type="spellStart"/>
      <w:r w:rsidR="005147A6" w:rsidRPr="00E14EE6">
        <w:t>MPR</w:t>
      </w:r>
      <w:proofErr w:type="spellEnd"/>
      <w:r w:rsidR="005147A6" w:rsidRPr="00E14EE6">
        <w:t xml:space="preserve"> by 150 basis points between March and August, from 4.50</w:t>
      </w:r>
      <w:r>
        <w:t>%</w:t>
      </w:r>
      <w:r w:rsidR="005147A6" w:rsidRPr="00E14EE6">
        <w:t xml:space="preserve"> to 3.00</w:t>
      </w:r>
      <w:r>
        <w:t>%</w:t>
      </w:r>
      <w:r w:rsidR="005147A6" w:rsidRPr="00E14EE6">
        <w:t>, the interest rate on the permanent liquidity expansion facility (</w:t>
      </w:r>
      <w:r w:rsidR="00A63DD1" w:rsidRPr="00E14EE6">
        <w:t>one</w:t>
      </w:r>
      <w:r w:rsidRPr="00E14EE6">
        <w:noBreakHyphen/>
      </w:r>
      <w:r w:rsidR="005147A6" w:rsidRPr="00E14EE6">
        <w:t>day repos) was reduced by 250 basis points to 3.50</w:t>
      </w:r>
      <w:r>
        <w:t>%</w:t>
      </w:r>
      <w:r w:rsidR="005147A6" w:rsidRPr="00E14EE6">
        <w:t xml:space="preserve"> per year, and the interest rate on short</w:t>
      </w:r>
      <w:r w:rsidRPr="00E14EE6">
        <w:noBreakHyphen/>
      </w:r>
      <w:r w:rsidR="005147A6" w:rsidRPr="00E14EE6">
        <w:t>term interest</w:t>
      </w:r>
      <w:r w:rsidRPr="00E14EE6">
        <w:noBreakHyphen/>
      </w:r>
      <w:r w:rsidR="005147A6" w:rsidRPr="00E14EE6">
        <w:t xml:space="preserve">bearing deposits at the </w:t>
      </w:r>
      <w:proofErr w:type="spellStart"/>
      <w:r w:rsidR="005147A6" w:rsidRPr="00E14EE6">
        <w:t>BCRD</w:t>
      </w:r>
      <w:proofErr w:type="spellEnd"/>
      <w:r w:rsidR="005147A6" w:rsidRPr="00E14EE6">
        <w:t xml:space="preserve"> (overnight) was lowered from 3.00</w:t>
      </w:r>
      <w:r>
        <w:t>%</w:t>
      </w:r>
      <w:r w:rsidR="005147A6" w:rsidRPr="00E14EE6">
        <w:t xml:space="preserve"> to 2.50</w:t>
      </w:r>
      <w:r>
        <w:t>%</w:t>
      </w:r>
      <w:r w:rsidRPr="00E14EE6">
        <w:t>. A</w:t>
      </w:r>
      <w:r w:rsidR="005147A6" w:rsidRPr="00E14EE6">
        <w:t xml:space="preserve">s a result, the interest rate corridor of the </w:t>
      </w:r>
      <w:proofErr w:type="spellStart"/>
      <w:r w:rsidR="005147A6" w:rsidRPr="00E14EE6">
        <w:t>BCRD's</w:t>
      </w:r>
      <w:proofErr w:type="spellEnd"/>
      <w:r w:rsidR="005147A6" w:rsidRPr="00E14EE6">
        <w:t xml:space="preserve"> permanent facilities decreased by 100 basis points (</w:t>
      </w:r>
      <w:r w:rsidR="000B4501" w:rsidRPr="00E14EE6">
        <w:t>bps</w:t>
      </w:r>
      <w:r w:rsidR="005147A6" w:rsidRPr="00E14EE6">
        <w:t xml:space="preserve">), from </w:t>
      </w:r>
      <w:proofErr w:type="spellStart"/>
      <w:r w:rsidR="005147A6" w:rsidRPr="00E14EE6">
        <w:t>MPR</w:t>
      </w:r>
      <w:proofErr w:type="spellEnd"/>
      <w:r w:rsidR="005147A6" w:rsidRPr="00E14EE6">
        <w:t xml:space="preserve"> ±150 b</w:t>
      </w:r>
      <w:r w:rsidR="000B4501" w:rsidRPr="00E14EE6">
        <w:t>ps</w:t>
      </w:r>
      <w:r w:rsidR="005147A6" w:rsidRPr="00E14EE6">
        <w:t xml:space="preserve"> to </w:t>
      </w:r>
      <w:proofErr w:type="spellStart"/>
      <w:r w:rsidR="005147A6" w:rsidRPr="00E14EE6">
        <w:t>MPR</w:t>
      </w:r>
      <w:proofErr w:type="spellEnd"/>
      <w:r w:rsidR="005147A6" w:rsidRPr="00E14EE6">
        <w:t xml:space="preserve"> ±50 b</w:t>
      </w:r>
      <w:r w:rsidR="000B4501" w:rsidRPr="00E14EE6">
        <w:t>ps</w:t>
      </w:r>
      <w:r w:rsidRPr="00E14EE6">
        <w:t>. A</w:t>
      </w:r>
      <w:r w:rsidR="005147A6" w:rsidRPr="00E14EE6">
        <w:t xml:space="preserve">s of </w:t>
      </w:r>
      <w:r w:rsidRPr="00E14EE6">
        <w:t>March 2</w:t>
      </w:r>
      <w:r w:rsidR="005147A6" w:rsidRPr="00E14EE6">
        <w:t xml:space="preserve">020, the </w:t>
      </w:r>
      <w:r w:rsidR="00C25F5B" w:rsidRPr="00E14EE6">
        <w:t>M</w:t>
      </w:r>
      <w:r w:rsidR="005147A6" w:rsidRPr="00E14EE6">
        <w:t xml:space="preserve">onetary </w:t>
      </w:r>
      <w:r w:rsidR="00C25F5B" w:rsidRPr="00E14EE6">
        <w:t>B</w:t>
      </w:r>
      <w:r w:rsidR="005147A6" w:rsidRPr="00E14EE6">
        <w:t>oard also authorized the implementation of liquidity</w:t>
      </w:r>
      <w:r w:rsidRPr="00E14EE6">
        <w:noBreakHyphen/>
      </w:r>
      <w:r w:rsidR="005147A6" w:rsidRPr="00E14EE6">
        <w:t>providing measures</w:t>
      </w:r>
      <w:r w:rsidRPr="00E14EE6">
        <w:t>. U</w:t>
      </w:r>
      <w:r w:rsidR="005147A6" w:rsidRPr="00E14EE6">
        <w:t xml:space="preserve">p to </w:t>
      </w:r>
      <w:r w:rsidRPr="00E14EE6">
        <w:t>DOP 190</w:t>
      </w:r>
      <w:r w:rsidR="005147A6" w:rsidRPr="00E14EE6">
        <w:t>,814.4</w:t>
      </w:r>
      <w:r w:rsidRPr="00E14EE6">
        <w:t> million</w:t>
      </w:r>
      <w:r w:rsidR="005147A6" w:rsidRPr="00E14EE6">
        <w:t xml:space="preserve"> was made available, including a rapid liquidity facility to be channelled to finance the productive sectors and households, and micro, small and medium</w:t>
      </w:r>
      <w:r w:rsidRPr="00E14EE6">
        <w:noBreakHyphen/>
      </w:r>
      <w:r w:rsidR="005147A6" w:rsidRPr="00E14EE6">
        <w:t>sized enterprises (MSMEs)</w:t>
      </w:r>
      <w:r w:rsidRPr="00E14EE6">
        <w:t>.</w:t>
      </w:r>
      <w:r w:rsidRPr="00E14EE6">
        <w:rPr>
          <w:rStyle w:val="FootnoteReference"/>
        </w:rPr>
        <w:footnoteReference w:id="32"/>
      </w:r>
      <w:r w:rsidRPr="00E14EE6">
        <w:t xml:space="preserve"> T</w:t>
      </w:r>
      <w:r w:rsidR="005147A6" w:rsidRPr="00E14EE6">
        <w:t xml:space="preserve">he provision of </w:t>
      </w:r>
      <w:r w:rsidRPr="00E14EE6">
        <w:t>USD 622</w:t>
      </w:r>
      <w:r w:rsidR="005147A6" w:rsidRPr="00E14EE6">
        <w:t>.4</w:t>
      </w:r>
      <w:r w:rsidRPr="00E14EE6">
        <w:t> million</w:t>
      </w:r>
      <w:r w:rsidR="005147A6" w:rsidRPr="00E14EE6">
        <w:t xml:space="preserve"> in foreign currency liquidity was also authorized</w:t>
      </w:r>
      <w:r w:rsidRPr="00E14EE6">
        <w:t>. T</w:t>
      </w:r>
      <w:r w:rsidR="005147A6" w:rsidRPr="00E14EE6">
        <w:t xml:space="preserve">he </w:t>
      </w:r>
      <w:proofErr w:type="spellStart"/>
      <w:r w:rsidR="005147A6" w:rsidRPr="00E14EE6">
        <w:t>BCRD</w:t>
      </w:r>
      <w:proofErr w:type="spellEnd"/>
      <w:r w:rsidR="005147A6" w:rsidRPr="00E14EE6">
        <w:t xml:space="preserve"> also participated actively in the foreign exchange market through the foreign exchange platform and the use of foreign currency hedging instruments, and implemented temporary measures to lessen the impact of the pandemic on the credit portfolio, including a temporary freeze on debtors' credit ratings and provisions</w:t>
      </w:r>
      <w:r w:rsidRPr="00E14EE6">
        <w:t>. T</w:t>
      </w:r>
      <w:r w:rsidR="005147A6" w:rsidRPr="00E14EE6">
        <w:t>he monetary easing measures led to a fall in lending and deposit market interest rates of around 300 basis points and an expansion of credit to the private sector</w:t>
      </w:r>
      <w:r w:rsidRPr="00E14EE6">
        <w:t>. D</w:t>
      </w:r>
      <w:r w:rsidR="005147A6" w:rsidRPr="00E14EE6">
        <w:t>riven by these measures, GDP started to recover in the second half of 2020, while inflation started to trend upwards, influenced by higher commodity prices, reaching 5.5</w:t>
      </w:r>
      <w:r>
        <w:t>%</w:t>
      </w:r>
      <w:r w:rsidR="005147A6" w:rsidRPr="00E14EE6">
        <w:t xml:space="preserve"> year</w:t>
      </w:r>
      <w:r w:rsidRPr="00E14EE6">
        <w:noBreakHyphen/>
      </w:r>
      <w:r w:rsidR="005147A6" w:rsidRPr="00E14EE6">
        <w:t>on</w:t>
      </w:r>
      <w:r w:rsidRPr="00E14EE6">
        <w:noBreakHyphen/>
      </w:r>
      <w:r w:rsidR="005147A6" w:rsidRPr="00E14EE6">
        <w:t>year at the end of December.</w:t>
      </w:r>
    </w:p>
    <w:p w14:paraId="3D628FD2" w14:textId="068CB269" w:rsidR="00CA7676" w:rsidRPr="00E14EE6" w:rsidRDefault="00E14EE6" w:rsidP="00983306">
      <w:pPr>
        <w:pStyle w:val="BodyText"/>
      </w:pPr>
      <w:r w:rsidRPr="00E14EE6">
        <w:lastRenderedPageBreak/>
        <w:t>I</w:t>
      </w:r>
      <w:r w:rsidR="005147A6" w:rsidRPr="00E14EE6">
        <w:t xml:space="preserve">n </w:t>
      </w:r>
      <w:r w:rsidRPr="00E14EE6">
        <w:t>February 2</w:t>
      </w:r>
      <w:r w:rsidR="005147A6" w:rsidRPr="00E14EE6">
        <w:t xml:space="preserve">021, the </w:t>
      </w:r>
      <w:proofErr w:type="spellStart"/>
      <w:r w:rsidR="005147A6" w:rsidRPr="00E14EE6">
        <w:t>BCRD</w:t>
      </w:r>
      <w:proofErr w:type="spellEnd"/>
      <w:r w:rsidR="005147A6" w:rsidRPr="00E14EE6">
        <w:t xml:space="preserve"> increased the amount available under the rapid liquidity facility by an additional </w:t>
      </w:r>
      <w:r w:rsidRPr="00E14EE6">
        <w:t>DOP 25 billion</w:t>
      </w:r>
      <w:r w:rsidR="005147A6" w:rsidRPr="00E14EE6">
        <w:t xml:space="preserve">, bringing the total amount of liquidity facilities provided as a result of the pandemic to </w:t>
      </w:r>
      <w:r w:rsidRPr="00E14EE6">
        <w:t>DOP 215 billion</w:t>
      </w:r>
      <w:r w:rsidR="005147A6" w:rsidRPr="00E14EE6">
        <w:t>, or about 5.0</w:t>
      </w:r>
      <w:r>
        <w:t>%</w:t>
      </w:r>
      <w:r w:rsidR="005147A6" w:rsidRPr="00E14EE6">
        <w:t xml:space="preserve"> of GDP</w:t>
      </w:r>
      <w:r w:rsidRPr="00E14EE6">
        <w:t>. T</w:t>
      </w:r>
      <w:r w:rsidR="005147A6" w:rsidRPr="00E14EE6">
        <w:t xml:space="preserve">he </w:t>
      </w:r>
      <w:proofErr w:type="spellStart"/>
      <w:r w:rsidR="005147A6" w:rsidRPr="00E14EE6">
        <w:t>MPR</w:t>
      </w:r>
      <w:proofErr w:type="spellEnd"/>
      <w:r w:rsidR="005147A6" w:rsidRPr="00E14EE6">
        <w:t xml:space="preserve"> remained unchanged during the first </w:t>
      </w:r>
      <w:r w:rsidR="00C5306B" w:rsidRPr="00E14EE6">
        <w:t xml:space="preserve">10 </w:t>
      </w:r>
      <w:r w:rsidR="005147A6" w:rsidRPr="00E14EE6">
        <w:t>months of 2021, at 3</w:t>
      </w:r>
      <w:r>
        <w:t>%</w:t>
      </w:r>
      <w:r w:rsidRPr="00E14EE6">
        <w:t>. I</w:t>
      </w:r>
      <w:r w:rsidR="005147A6" w:rsidRPr="00E14EE6">
        <w:t>nflationary pressures increased in 2021, mainly due to external factors, such as disruptions in global supply chains and higher oil and other commodity prices in international markets</w:t>
      </w:r>
      <w:r w:rsidRPr="00E14EE6">
        <w:t>. T</w:t>
      </w:r>
      <w:r w:rsidR="005147A6" w:rsidRPr="00E14EE6">
        <w:t xml:space="preserve">his led the </w:t>
      </w:r>
      <w:proofErr w:type="spellStart"/>
      <w:r w:rsidR="005147A6" w:rsidRPr="00E14EE6">
        <w:t>BCRD</w:t>
      </w:r>
      <w:proofErr w:type="spellEnd"/>
      <w:r w:rsidR="005147A6" w:rsidRPr="00E14EE6">
        <w:t xml:space="preserve"> to decide, in </w:t>
      </w:r>
      <w:r w:rsidRPr="00E14EE6">
        <w:t>August 2</w:t>
      </w:r>
      <w:r w:rsidR="005147A6" w:rsidRPr="00E14EE6">
        <w:t>021, to phase out the monetary stimulus in two stages</w:t>
      </w:r>
      <w:r w:rsidRPr="00E14EE6">
        <w:t>: (</w:t>
      </w:r>
      <w:r w:rsidR="005147A6" w:rsidRPr="00E14EE6">
        <w:t>a) by cancelling loans granted through the various liquidity facilities as customers repay their loans</w:t>
      </w:r>
      <w:r w:rsidRPr="00E14EE6">
        <w:t>; a</w:t>
      </w:r>
      <w:r w:rsidR="005147A6" w:rsidRPr="00E14EE6">
        <w:t xml:space="preserve">nd (b) by increasing the </w:t>
      </w:r>
      <w:proofErr w:type="spellStart"/>
      <w:r w:rsidR="005147A6" w:rsidRPr="00E14EE6">
        <w:t>MPR</w:t>
      </w:r>
      <w:proofErr w:type="spellEnd"/>
      <w:r w:rsidR="005147A6" w:rsidRPr="00E14EE6">
        <w:t xml:space="preserve"> by 150 basis points between November and December, returning it to its pre</w:t>
      </w:r>
      <w:r w:rsidRPr="00E14EE6">
        <w:noBreakHyphen/>
      </w:r>
      <w:r w:rsidR="005147A6" w:rsidRPr="00E14EE6">
        <w:t>pandemic level of 4.50</w:t>
      </w:r>
      <w:r>
        <w:t>%</w:t>
      </w:r>
      <w:r w:rsidR="005147A6" w:rsidRPr="00E14EE6">
        <w:t xml:space="preserve"> per year</w:t>
      </w:r>
      <w:r w:rsidRPr="00E14EE6">
        <w:t>. I</w:t>
      </w:r>
      <w:r w:rsidR="005147A6" w:rsidRPr="00E14EE6">
        <w:t>nflation, which continued to be affected by external developments, accelerated until closing the year at 8.50</w:t>
      </w:r>
      <w:r>
        <w:t>%</w:t>
      </w:r>
      <w:r w:rsidR="005147A6" w:rsidRPr="00E14EE6">
        <w:t>.</w:t>
      </w:r>
      <w:r w:rsidRPr="00E14EE6">
        <w:rPr>
          <w:rStyle w:val="FootnoteReference"/>
        </w:rPr>
        <w:footnoteReference w:id="33"/>
      </w:r>
    </w:p>
    <w:p w14:paraId="09344D73" w14:textId="5EA509A9" w:rsidR="00CA7676" w:rsidRPr="00E14EE6" w:rsidRDefault="00E14EE6" w:rsidP="00763857">
      <w:pPr>
        <w:pStyle w:val="BodyText"/>
      </w:pPr>
      <w:r w:rsidRPr="00E14EE6">
        <w:t>Y</w:t>
      </w:r>
      <w:r w:rsidR="005147A6" w:rsidRPr="00E14EE6">
        <w:t>ear</w:t>
      </w:r>
      <w:r w:rsidRPr="00E14EE6">
        <w:noBreakHyphen/>
      </w:r>
      <w:r w:rsidR="005147A6" w:rsidRPr="00E14EE6">
        <w:t>on</w:t>
      </w:r>
      <w:r w:rsidRPr="00E14EE6">
        <w:noBreakHyphen/>
      </w:r>
      <w:r w:rsidR="005147A6" w:rsidRPr="00E14EE6">
        <w:t>year inflation continued to accelerate in the first few months of 2022, reaching 9.05</w:t>
      </w:r>
      <w:r>
        <w:t>%</w:t>
      </w:r>
      <w:r w:rsidR="005147A6" w:rsidRPr="00E14EE6">
        <w:t xml:space="preserve"> in </w:t>
      </w:r>
      <w:r w:rsidRPr="00E14EE6">
        <w:t>March 2</w:t>
      </w:r>
      <w:r w:rsidR="005147A6" w:rsidRPr="00E14EE6">
        <w:t>022</w:t>
      </w:r>
      <w:r w:rsidRPr="00E14EE6">
        <w:t>. T</w:t>
      </w:r>
      <w:r w:rsidR="005147A6" w:rsidRPr="00E14EE6">
        <w:t xml:space="preserve">he </w:t>
      </w:r>
      <w:r w:rsidR="00112229" w:rsidRPr="00E14EE6">
        <w:t>consumer price index</w:t>
      </w:r>
      <w:r w:rsidR="005B7077" w:rsidRPr="00E14EE6">
        <w:t xml:space="preserve"> </w:t>
      </w:r>
      <w:r w:rsidR="005147A6" w:rsidRPr="00E14EE6">
        <w:t>posted a cumulative variation of 2.80</w:t>
      </w:r>
      <w:r>
        <w:t>%</w:t>
      </w:r>
      <w:r w:rsidR="005147A6" w:rsidRPr="00E14EE6">
        <w:t xml:space="preserve"> in the first quarter of 2022, which continued to reflect persistent external inflationary pressures causing additional increases in the prices of inputs and primary goods for production and high container shipping costs</w:t>
      </w:r>
      <w:r w:rsidRPr="00E14EE6">
        <w:t>. C</w:t>
      </w:r>
      <w:r w:rsidR="005147A6" w:rsidRPr="00E14EE6">
        <w:t>umulative core inflation recorded a variation of 1.78</w:t>
      </w:r>
      <w:r>
        <w:t>%</w:t>
      </w:r>
      <w:r w:rsidR="005147A6" w:rsidRPr="00E14EE6">
        <w:t xml:space="preserve"> between January and </w:t>
      </w:r>
      <w:r w:rsidRPr="00E14EE6">
        <w:t>March 2</w:t>
      </w:r>
      <w:r w:rsidR="005147A6" w:rsidRPr="00E14EE6">
        <w:t>022, partly reflecting effects on production related to external supply shocks</w:t>
      </w:r>
      <w:r w:rsidRPr="00E14EE6">
        <w:t>.</w:t>
      </w:r>
      <w:r w:rsidRPr="00E14EE6">
        <w:rPr>
          <w:rStyle w:val="FootnoteReference"/>
        </w:rPr>
        <w:footnoteReference w:id="34"/>
      </w:r>
      <w:r w:rsidRPr="00E14EE6">
        <w:t xml:space="preserve"> G</w:t>
      </w:r>
      <w:r w:rsidR="005147A6" w:rsidRPr="00E14EE6">
        <w:t xml:space="preserve">iven the rise in inflation above the target, the </w:t>
      </w:r>
      <w:proofErr w:type="spellStart"/>
      <w:r w:rsidR="005147A6" w:rsidRPr="00E14EE6">
        <w:t>BCRD</w:t>
      </w:r>
      <w:proofErr w:type="spellEnd"/>
      <w:r w:rsidR="005147A6" w:rsidRPr="00E14EE6">
        <w:t xml:space="preserve"> continued to implement measures to strengthen the monetary normalization that began in </w:t>
      </w:r>
      <w:r w:rsidRPr="00E14EE6">
        <w:t>November 2</w:t>
      </w:r>
      <w:r w:rsidR="005147A6" w:rsidRPr="00E14EE6">
        <w:t>021 in order to help bring inflation into the target range of 4.0</w:t>
      </w:r>
      <w:r>
        <w:t>%</w:t>
      </w:r>
      <w:r w:rsidR="005147A6" w:rsidRPr="00E14EE6">
        <w:t xml:space="preserve"> ± 1.0</w:t>
      </w:r>
      <w:r>
        <w:t>%</w:t>
      </w:r>
      <w:r w:rsidRPr="00E14EE6">
        <w:t>. I</w:t>
      </w:r>
      <w:r w:rsidR="005147A6" w:rsidRPr="00E14EE6">
        <w:t>n addition, measures were implemented to freeze fuel prices and subsidi</w:t>
      </w:r>
      <w:r w:rsidR="00900230" w:rsidRPr="00E14EE6">
        <w:t>z</w:t>
      </w:r>
      <w:r w:rsidR="005147A6" w:rsidRPr="00E14EE6">
        <w:t>e imported inputs for domestic production and vulnerable households through the provision of staple foods at preferential prices</w:t>
      </w:r>
      <w:r w:rsidRPr="00E14EE6">
        <w:t>. I</w:t>
      </w:r>
      <w:r w:rsidR="005147A6" w:rsidRPr="00E14EE6">
        <w:t xml:space="preserve">n an effort to control inflation, the </w:t>
      </w:r>
      <w:proofErr w:type="spellStart"/>
      <w:r w:rsidR="005147A6" w:rsidRPr="00E14EE6">
        <w:t>BCRD</w:t>
      </w:r>
      <w:proofErr w:type="spellEnd"/>
      <w:r w:rsidR="005147A6" w:rsidRPr="00E14EE6">
        <w:t xml:space="preserve"> increased the </w:t>
      </w:r>
      <w:proofErr w:type="spellStart"/>
      <w:r w:rsidR="005147A6" w:rsidRPr="00E14EE6">
        <w:t>MPR</w:t>
      </w:r>
      <w:proofErr w:type="spellEnd"/>
      <w:r w:rsidR="005147A6" w:rsidRPr="00E14EE6">
        <w:t xml:space="preserve"> by 50 basis points in January and </w:t>
      </w:r>
      <w:r w:rsidRPr="00E14EE6">
        <w:t>March 2</w:t>
      </w:r>
      <w:r w:rsidR="005147A6" w:rsidRPr="00E14EE6">
        <w:t>022, respectively, bringing it to 5.50</w:t>
      </w:r>
      <w:r>
        <w:t>%</w:t>
      </w:r>
      <w:r w:rsidR="005147A6" w:rsidRPr="00E14EE6">
        <w:t xml:space="preserve"> per year</w:t>
      </w:r>
      <w:r w:rsidRPr="00E14EE6">
        <w:t>. I</w:t>
      </w:r>
      <w:r w:rsidR="005147A6" w:rsidRPr="00E14EE6">
        <w:t>t also reduced the financial system's excess liquidity through open</w:t>
      </w:r>
      <w:r w:rsidRPr="00E14EE6">
        <w:noBreakHyphen/>
      </w:r>
      <w:r w:rsidR="005147A6" w:rsidRPr="00E14EE6">
        <w:t>market operations and the repayment of loans to businesses and households.</w:t>
      </w:r>
    </w:p>
    <w:p w14:paraId="368BE64E" w14:textId="7C7075FA" w:rsidR="00CA7676" w:rsidRPr="00E14EE6" w:rsidRDefault="00E14EE6" w:rsidP="00763857">
      <w:pPr>
        <w:pStyle w:val="BodyText"/>
      </w:pPr>
      <w:r w:rsidRPr="00E14EE6">
        <w:t>T</w:t>
      </w:r>
      <w:r w:rsidR="005147A6" w:rsidRPr="00E14EE6">
        <w:t>he Dominican Republic applies a managed floating exchange rate system without pre</w:t>
      </w:r>
      <w:r w:rsidRPr="00E14EE6">
        <w:noBreakHyphen/>
      </w:r>
      <w:r w:rsidR="005147A6" w:rsidRPr="00E14EE6">
        <w:t>announced targets, known as the "other managed system"</w:t>
      </w:r>
      <w:r w:rsidRPr="00E14EE6">
        <w:t>. T</w:t>
      </w:r>
      <w:r w:rsidR="005147A6" w:rsidRPr="00E14EE6">
        <w:t xml:space="preserve">he </w:t>
      </w:r>
      <w:proofErr w:type="spellStart"/>
      <w:r w:rsidR="005147A6" w:rsidRPr="00E14EE6">
        <w:t>BCRD</w:t>
      </w:r>
      <w:proofErr w:type="spellEnd"/>
      <w:r w:rsidR="005147A6" w:rsidRPr="00E14EE6">
        <w:t xml:space="preserve"> seeks to manage the exchange rate in line with its long</w:t>
      </w:r>
      <w:r w:rsidRPr="00E14EE6">
        <w:noBreakHyphen/>
      </w:r>
      <w:r w:rsidR="005147A6" w:rsidRPr="00E14EE6">
        <w:t>term equilibrium value and its inflation target</w:t>
      </w:r>
      <w:r w:rsidRPr="00E14EE6">
        <w:t>. T</w:t>
      </w:r>
      <w:r w:rsidR="005147A6" w:rsidRPr="00E14EE6">
        <w:t xml:space="preserve">he </w:t>
      </w:r>
      <w:proofErr w:type="spellStart"/>
      <w:r w:rsidR="005147A6" w:rsidRPr="00E14EE6">
        <w:t>BCRD</w:t>
      </w:r>
      <w:proofErr w:type="spellEnd"/>
      <w:r w:rsidR="005147A6" w:rsidRPr="00E14EE6">
        <w:t xml:space="preserve"> intervenes in the market in order to avoid excessive volatility in the exchange rate, by buying and selling foreign exchange on the electronic trading platform, and with entities authorized to operate on this platform.</w:t>
      </w:r>
    </w:p>
    <w:p w14:paraId="300F1AA6" w14:textId="016AF302" w:rsidR="007C74EF" w:rsidRPr="00E14EE6" w:rsidRDefault="00E14EE6" w:rsidP="00763857">
      <w:pPr>
        <w:pStyle w:val="BodyText"/>
      </w:pPr>
      <w:r w:rsidRPr="00E14EE6">
        <w:t>A</w:t>
      </w:r>
      <w:r w:rsidR="005147A6" w:rsidRPr="00E14EE6">
        <w:t>ccording to information provided by the authorities, between 2014 and 2021, the average nominal exchange rate depreciated by an average 3.8</w:t>
      </w:r>
      <w:r>
        <w:t>%</w:t>
      </w:r>
      <w:r w:rsidR="005147A6" w:rsidRPr="00E14EE6">
        <w:t xml:space="preserve"> per year</w:t>
      </w:r>
      <w:r w:rsidRPr="00E14EE6">
        <w:t>. T</w:t>
      </w:r>
      <w:r w:rsidR="005147A6" w:rsidRPr="00E14EE6">
        <w:t>he fall in foreign exchange income due to the pandemic resulted in exchange</w:t>
      </w:r>
      <w:r w:rsidRPr="00E14EE6">
        <w:noBreakHyphen/>
      </w:r>
      <w:r w:rsidR="005147A6" w:rsidRPr="00E14EE6">
        <w:t>rate depreciation of 9.3</w:t>
      </w:r>
      <w:r>
        <w:t>%</w:t>
      </w:r>
      <w:r w:rsidR="005147A6" w:rsidRPr="00E14EE6">
        <w:t xml:space="preserve"> in 2020</w:t>
      </w:r>
      <w:r w:rsidRPr="00E14EE6">
        <w:t>. I</w:t>
      </w:r>
      <w:r w:rsidR="005147A6" w:rsidRPr="00E14EE6">
        <w:t>n 2021, this situation turned around to some extent, due to the high level of international remittances and the upturn in activity</w:t>
      </w:r>
      <w:r w:rsidRPr="00E14EE6">
        <w:t>. T</w:t>
      </w:r>
      <w:r w:rsidR="005147A6" w:rsidRPr="00E14EE6">
        <w:t>his led to a year</w:t>
      </w:r>
      <w:r w:rsidRPr="00E14EE6">
        <w:noBreakHyphen/>
      </w:r>
      <w:r w:rsidR="005147A6" w:rsidRPr="00E14EE6">
        <w:t>on</w:t>
      </w:r>
      <w:r w:rsidRPr="00E14EE6">
        <w:noBreakHyphen/>
      </w:r>
      <w:r w:rsidR="005147A6" w:rsidRPr="00E14EE6">
        <w:t>year exchange rate depreciation of only 1.1</w:t>
      </w:r>
      <w:r>
        <w:t>%</w:t>
      </w:r>
      <w:r w:rsidR="005147A6" w:rsidRPr="00E14EE6">
        <w:t xml:space="preserve"> in 2021</w:t>
      </w:r>
      <w:r w:rsidRPr="00E14EE6">
        <w:t>. I</w:t>
      </w:r>
      <w:r w:rsidR="005147A6" w:rsidRPr="00E14EE6">
        <w:t>n the first half of 2022, cumulative appreciation was 4.8</w:t>
      </w:r>
      <w:r>
        <w:t>%</w:t>
      </w:r>
      <w:r w:rsidRPr="00E14EE6">
        <w:t>.</w:t>
      </w:r>
      <w:r w:rsidRPr="00E14EE6">
        <w:rPr>
          <w:rStyle w:val="FootnoteReference"/>
        </w:rPr>
        <w:footnoteReference w:id="35"/>
      </w:r>
      <w:r w:rsidRPr="00E14EE6">
        <w:t xml:space="preserve"> A</w:t>
      </w:r>
      <w:r w:rsidR="005147A6" w:rsidRPr="00E14EE6">
        <w:t>ccording to the authorities' calculations, in real terms, the bilateral and multilateral real exchange rates depreciated by 16.7</w:t>
      </w:r>
      <w:r>
        <w:t>%</w:t>
      </w:r>
      <w:r w:rsidR="005147A6" w:rsidRPr="00E14EE6">
        <w:t xml:space="preserve"> and 7.2</w:t>
      </w:r>
      <w:r>
        <w:t>%</w:t>
      </w:r>
      <w:r w:rsidR="005147A6" w:rsidRPr="00E14EE6">
        <w:t xml:space="preserve"> between 2014 and 2021, despite a real exchange rate appreciation in 2021</w:t>
      </w:r>
      <w:r w:rsidRPr="00E14EE6">
        <w:t>. T</w:t>
      </w:r>
      <w:r w:rsidR="005147A6" w:rsidRPr="00E14EE6">
        <w:t>he authorities consider that such depreciation suggests gains in competitiveness in respect of major trading partners.</w:t>
      </w:r>
    </w:p>
    <w:p w14:paraId="4E7E23C0" w14:textId="607AF008" w:rsidR="00CA7676" w:rsidRPr="00E14EE6" w:rsidRDefault="005147A6" w:rsidP="00E14EE6">
      <w:pPr>
        <w:pStyle w:val="Heading3"/>
      </w:pPr>
      <w:bookmarkStart w:id="48" w:name="_Toc117260595"/>
      <w:r w:rsidRPr="00E14EE6">
        <w:t>Balance of payments</w:t>
      </w:r>
      <w:bookmarkEnd w:id="48"/>
    </w:p>
    <w:p w14:paraId="582E6799" w14:textId="7EF93883" w:rsidR="00CA7676" w:rsidRPr="00E14EE6" w:rsidRDefault="00E14EE6" w:rsidP="00763857">
      <w:pPr>
        <w:pStyle w:val="BodyText"/>
      </w:pPr>
      <w:r w:rsidRPr="00E14EE6">
        <w:t>T</w:t>
      </w:r>
      <w:r w:rsidR="005147A6" w:rsidRPr="00E14EE6">
        <w:t>he current account of the Dominican balance of payments reports a structural deficit, which averaged 1.3</w:t>
      </w:r>
      <w:r>
        <w:t>%</w:t>
      </w:r>
      <w:r w:rsidR="005147A6" w:rsidRPr="00E14EE6">
        <w:t xml:space="preserve"> of GDP between 2015 and 2020</w:t>
      </w:r>
      <w:r w:rsidRPr="00E14EE6">
        <w:t>. T</w:t>
      </w:r>
      <w:r w:rsidR="005147A6" w:rsidRPr="00E14EE6">
        <w:t>he deficit reached its lowest level in 2017, when it amounted to only 0.2</w:t>
      </w:r>
      <w:r>
        <w:t>%</w:t>
      </w:r>
      <w:r w:rsidR="005147A6" w:rsidRPr="00E14EE6">
        <w:t xml:space="preserve"> of GDP</w:t>
      </w:r>
      <w:r w:rsidRPr="00E14EE6">
        <w:t>. R</w:t>
      </w:r>
      <w:r w:rsidR="005147A6" w:rsidRPr="00E14EE6">
        <w:t>emittances are an important component of the current account balance as they partly offset the negative merchandise trade balance</w:t>
      </w:r>
      <w:r w:rsidRPr="00E14EE6">
        <w:t>. I</w:t>
      </w:r>
      <w:r w:rsidR="005147A6" w:rsidRPr="00E14EE6">
        <w:t>n 2020, the current account deficit grew to a value equivalent to 1.7</w:t>
      </w:r>
      <w:r>
        <w:t>%</w:t>
      </w:r>
      <w:r w:rsidR="005147A6" w:rsidRPr="00E14EE6">
        <w:t xml:space="preserve"> of GDP due to COVID</w:t>
      </w:r>
      <w:r w:rsidRPr="00E14EE6">
        <w:noBreakHyphen/>
      </w:r>
      <w:r w:rsidR="005147A6" w:rsidRPr="00E14EE6">
        <w:t>19</w:t>
      </w:r>
      <w:r w:rsidRPr="00E14EE6">
        <w:noBreakHyphen/>
      </w:r>
      <w:r w:rsidR="005147A6" w:rsidRPr="00E14EE6">
        <w:t>related losses in tourism revenue</w:t>
      </w:r>
      <w:r w:rsidRPr="00E14EE6">
        <w:t>. A</w:t>
      </w:r>
      <w:r w:rsidR="005147A6" w:rsidRPr="00E14EE6">
        <w:t xml:space="preserve">s economic growth accelerated again in 2021 and imports increased, the current account </w:t>
      </w:r>
      <w:r w:rsidR="005147A6" w:rsidRPr="00E14EE6">
        <w:lastRenderedPageBreak/>
        <w:t>deficit for 2021 rose to 2.8</w:t>
      </w:r>
      <w:r>
        <w:t>%</w:t>
      </w:r>
      <w:r w:rsidR="005147A6" w:rsidRPr="00E14EE6">
        <w:t xml:space="preserve"> of GDP</w:t>
      </w:r>
      <w:r w:rsidRPr="00E14EE6">
        <w:t>. T</w:t>
      </w:r>
      <w:r w:rsidR="005147A6" w:rsidRPr="00E14EE6">
        <w:t>his was also driven by global supply chain problems, rising domestic demand and high commodity prices, especially of oil and other fuels.</w:t>
      </w:r>
    </w:p>
    <w:p w14:paraId="0749332D" w14:textId="39FA00EA" w:rsidR="00CA7676" w:rsidRPr="00E14EE6" w:rsidRDefault="00E14EE6" w:rsidP="00763857">
      <w:pPr>
        <w:pStyle w:val="BodyText"/>
      </w:pPr>
      <w:r w:rsidRPr="00E14EE6">
        <w:t>A</w:t>
      </w:r>
      <w:r w:rsidR="005147A6" w:rsidRPr="00E14EE6">
        <w:t>ccording to the authorities, during the review period, the Dominican Republic's trade balance largely responded to fluctuations in international commodity prices</w:t>
      </w:r>
      <w:r w:rsidRPr="00E14EE6">
        <w:t>. B</w:t>
      </w:r>
      <w:r w:rsidR="005147A6" w:rsidRPr="00E14EE6">
        <w:t>etween 2015 and 2017, prices of imported commodities, such as oil, were lower than those of exported commodities, such as gold, causing exports to grow faster than imports, and the trade deficit to remain relatively stable</w:t>
      </w:r>
      <w:r w:rsidRPr="00E14EE6">
        <w:t>. I</w:t>
      </w:r>
      <w:r w:rsidR="005147A6" w:rsidRPr="00E14EE6">
        <w:t>n 2018, after a shock in oil prices, imports jumped by 13.9</w:t>
      </w:r>
      <w:r>
        <w:t>%</w:t>
      </w:r>
      <w:r w:rsidR="005147A6" w:rsidRPr="00E14EE6">
        <w:t>, while exports grew by 5.0</w:t>
      </w:r>
      <w:r>
        <w:t>%</w:t>
      </w:r>
      <w:r w:rsidR="005147A6" w:rsidRPr="00E14EE6">
        <w:t>, thereby reversing the trend in the trade balance</w:t>
      </w:r>
      <w:r w:rsidRPr="00E14EE6">
        <w:t>. I</w:t>
      </w:r>
      <w:r w:rsidR="005147A6" w:rsidRPr="00E14EE6">
        <w:t>n 2019, oil prices normalized and imports increased by just 0.3</w:t>
      </w:r>
      <w:r>
        <w:t>%</w:t>
      </w:r>
      <w:r w:rsidR="005147A6" w:rsidRPr="00E14EE6">
        <w:t>, while the export growth rate hovered at 5.0</w:t>
      </w:r>
      <w:r>
        <w:t>%</w:t>
      </w:r>
      <w:r w:rsidRPr="00E14EE6">
        <w:t>. T</w:t>
      </w:r>
      <w:r w:rsidR="005147A6" w:rsidRPr="00E14EE6">
        <w:t>he adverse impact of the pandemic in 2020 drove down economic activity and international demand, leading to a 15.6</w:t>
      </w:r>
      <w:r>
        <w:t>%</w:t>
      </w:r>
      <w:r w:rsidR="005147A6" w:rsidRPr="00E14EE6">
        <w:t xml:space="preserve"> drop in imports and an 8.0</w:t>
      </w:r>
      <w:r>
        <w:t>%</w:t>
      </w:r>
      <w:r w:rsidR="005147A6" w:rsidRPr="00E14EE6">
        <w:t xml:space="preserve"> fall in exports</w:t>
      </w:r>
      <w:r w:rsidRPr="00E14EE6">
        <w:t>. I</w:t>
      </w:r>
      <w:r w:rsidR="005147A6" w:rsidRPr="00E14EE6">
        <w:t>n 2021, the external sector continued to perform well, despite the pandemic</w:t>
      </w:r>
      <w:r w:rsidRPr="00E14EE6">
        <w:t>. I</w:t>
      </w:r>
      <w:r w:rsidR="005147A6" w:rsidRPr="00E14EE6">
        <w:t>n 2021, with the economic recovery of some markets, domestic merchandise exports rose by 19.9</w:t>
      </w:r>
      <w:r>
        <w:t>%</w:t>
      </w:r>
      <w:r w:rsidR="005147A6" w:rsidRPr="00E14EE6">
        <w:t>, while exports from free zones grew by 21.8</w:t>
      </w:r>
      <w:r>
        <w:t>%</w:t>
      </w:r>
      <w:r w:rsidRPr="00E14EE6">
        <w:t>. M</w:t>
      </w:r>
      <w:r w:rsidR="005147A6" w:rsidRPr="00E14EE6">
        <w:t>eanwhile, total imports climbed by 41.1</w:t>
      </w:r>
      <w:r>
        <w:t>%</w:t>
      </w:r>
      <w:r w:rsidR="005147A6" w:rsidRPr="00E14EE6">
        <w:t>, mainly on the back of a rebound in domestic demand and higher oil prices on international markets (Table 1.5), pushing the oil bill up to twice that of 2020</w:t>
      </w:r>
      <w:r w:rsidRPr="00E14EE6">
        <w:t>. T</w:t>
      </w:r>
      <w:r w:rsidR="005147A6" w:rsidRPr="00E14EE6">
        <w:t>he trade deficit, which had stood at around 10.3</w:t>
      </w:r>
      <w:r>
        <w:t>%</w:t>
      </w:r>
      <w:r w:rsidR="005147A6" w:rsidRPr="00E14EE6">
        <w:t xml:space="preserve"> of GDP between 2015 and 2019, dropped to 8.6</w:t>
      </w:r>
      <w:r>
        <w:t>%</w:t>
      </w:r>
      <w:r w:rsidR="005147A6" w:rsidRPr="00E14EE6">
        <w:t xml:space="preserve"> in 2020, but rose to 12.4</w:t>
      </w:r>
      <w:r>
        <w:t>%</w:t>
      </w:r>
      <w:r w:rsidR="005147A6" w:rsidRPr="00E14EE6">
        <w:t xml:space="preserve"> of GDP in 2021.</w:t>
      </w:r>
    </w:p>
    <w:p w14:paraId="1E3CE99E" w14:textId="4701D1AC" w:rsidR="00CA7676" w:rsidRPr="00E14EE6" w:rsidRDefault="00E14EE6" w:rsidP="00763857">
      <w:pPr>
        <w:pStyle w:val="BodyText"/>
      </w:pPr>
      <w:bookmarkStart w:id="49" w:name="_Hlk110593238"/>
      <w:r w:rsidRPr="00E14EE6">
        <w:t>T</w:t>
      </w:r>
      <w:r w:rsidR="005147A6" w:rsidRPr="00E14EE6">
        <w:t>he services balance remained in surplus during the review period, despite the negative impact of the COVID</w:t>
      </w:r>
      <w:r w:rsidRPr="00E14EE6">
        <w:noBreakHyphen/>
      </w:r>
      <w:r w:rsidR="005147A6" w:rsidRPr="00E14EE6">
        <w:t>19 pandemic on tourism</w:t>
      </w:r>
      <w:bookmarkEnd w:id="49"/>
      <w:r w:rsidRPr="00E14EE6">
        <w:t>. E</w:t>
      </w:r>
      <w:r w:rsidR="005147A6" w:rsidRPr="00E14EE6">
        <w:t>xpenditure on freight, insurance and other items was outstripped by income from tourism and other services</w:t>
      </w:r>
      <w:r w:rsidRPr="00E14EE6">
        <w:t>. T</w:t>
      </w:r>
      <w:r w:rsidR="005147A6" w:rsidRPr="00E14EE6">
        <w:t>he primary income account, which registers, among other items, investment income, was in deficit in the period, reflecting payments made to foreign investors for their capital contributions</w:t>
      </w:r>
      <w:r w:rsidRPr="00E14EE6">
        <w:t>. T</w:t>
      </w:r>
      <w:r w:rsidR="005147A6" w:rsidRPr="00E14EE6">
        <w:t>he deficit increased by an average 8.7</w:t>
      </w:r>
      <w:r>
        <w:t>%</w:t>
      </w:r>
      <w:r w:rsidR="005147A6" w:rsidRPr="00E14EE6">
        <w:t xml:space="preserve"> per year until 2020, when it shrank by 6.0</w:t>
      </w:r>
      <w:r>
        <w:t>%</w:t>
      </w:r>
      <w:r w:rsidR="005147A6" w:rsidRPr="00E14EE6">
        <w:t>, also owing to the effects of the pandemic, which hit the profitability of foreign investment firms</w:t>
      </w:r>
      <w:r w:rsidRPr="00E14EE6">
        <w:t>. F</w:t>
      </w:r>
      <w:r w:rsidR="005147A6" w:rsidRPr="00E14EE6">
        <w:t>amily remittances from Dominican nationals abroad remain an important source of financing for other categories of the current account, as well as providing major support for domestic consumption and, hence, for GDP growth</w:t>
      </w:r>
      <w:r w:rsidRPr="00E14EE6">
        <w:t>. B</w:t>
      </w:r>
      <w:r w:rsidR="005147A6" w:rsidRPr="00E14EE6">
        <w:t>etween 2015 and 2019, remittances grew by an average 9.4</w:t>
      </w:r>
      <w:r>
        <w:t>%</w:t>
      </w:r>
      <w:r w:rsidR="005147A6" w:rsidRPr="00E14EE6">
        <w:t>, reaching 8.0</w:t>
      </w:r>
      <w:r>
        <w:t>%</w:t>
      </w:r>
      <w:r w:rsidR="005147A6" w:rsidRPr="00E14EE6">
        <w:t xml:space="preserve"> of GDP in 2019</w:t>
      </w:r>
      <w:r w:rsidRPr="00E14EE6">
        <w:t>. D</w:t>
      </w:r>
      <w:r w:rsidR="005147A6" w:rsidRPr="00E14EE6">
        <w:t>uring the pandemic, remittances saw substantial increases of 16.0</w:t>
      </w:r>
      <w:r>
        <w:t>%</w:t>
      </w:r>
      <w:r w:rsidR="005147A6" w:rsidRPr="00E14EE6">
        <w:t xml:space="preserve"> and 26.6</w:t>
      </w:r>
      <w:r>
        <w:t>%</w:t>
      </w:r>
      <w:r w:rsidR="005147A6" w:rsidRPr="00E14EE6">
        <w:t xml:space="preserve"> in 2020 and 2021, respectively, accounting for 11</w:t>
      </w:r>
      <w:r>
        <w:t>%</w:t>
      </w:r>
      <w:r w:rsidR="005147A6" w:rsidRPr="00E14EE6">
        <w:t xml:space="preserve"> of GDP</w:t>
      </w:r>
      <w:r w:rsidRPr="00E14EE6">
        <w:t>. I</w:t>
      </w:r>
      <w:r w:rsidR="005147A6" w:rsidRPr="00E14EE6">
        <w:t>n 2021, economic expansion in the United States boosted remittance inflows by record amounts</w:t>
      </w:r>
      <w:r w:rsidRPr="00E14EE6">
        <w:t>. T</w:t>
      </w:r>
      <w:r w:rsidR="005147A6" w:rsidRPr="00E14EE6">
        <w:t>his, combined with an improvement in the tourism sector due to the support of public policies, helped to offset the adverse impact of the terms of trade caused by global supply chain effects and higher oil prices on international markets.</w:t>
      </w:r>
    </w:p>
    <w:p w14:paraId="21DB0294" w14:textId="3B205FE5" w:rsidR="00CA7676" w:rsidRPr="00E14EE6" w:rsidRDefault="00CE2C80" w:rsidP="00CE2C80">
      <w:pPr>
        <w:pStyle w:val="Caption"/>
      </w:pPr>
      <w:bookmarkStart w:id="50" w:name="_Toc117238027"/>
      <w:r>
        <w:t xml:space="preserve">Table </w:t>
      </w:r>
      <w:r w:rsidR="00BD37F2">
        <w:fldChar w:fldCharType="begin"/>
      </w:r>
      <w:r w:rsidR="00BD37F2">
        <w:instrText xml:space="preserve"> STYLEREF 1 \s </w:instrText>
      </w:r>
      <w:r w:rsidR="00BD37F2">
        <w:fldChar w:fldCharType="separate"/>
      </w:r>
      <w:r w:rsidR="00323DC1">
        <w:rPr>
          <w:noProof/>
        </w:rPr>
        <w:t>1</w:t>
      </w:r>
      <w:r w:rsidR="00BD37F2">
        <w:rPr>
          <w:noProof/>
        </w:rPr>
        <w:fldChar w:fldCharType="end"/>
      </w:r>
      <w:r w:rsidR="00323DC1">
        <w:t>.</w:t>
      </w:r>
      <w:r w:rsidR="00BD37F2">
        <w:fldChar w:fldCharType="begin"/>
      </w:r>
      <w:r w:rsidR="00BD37F2">
        <w:instrText xml:space="preserve"> SEQ Table \* ARABIC \s 1 </w:instrText>
      </w:r>
      <w:r w:rsidR="00BD37F2">
        <w:fldChar w:fldCharType="separate"/>
      </w:r>
      <w:r w:rsidR="00323DC1">
        <w:rPr>
          <w:noProof/>
        </w:rPr>
        <w:t>5</w:t>
      </w:r>
      <w:r w:rsidR="00BD37F2">
        <w:rPr>
          <w:noProof/>
        </w:rPr>
        <w:fldChar w:fldCharType="end"/>
      </w:r>
      <w:r>
        <w:t xml:space="preserve"> </w:t>
      </w:r>
      <w:r w:rsidR="00CA7676" w:rsidRPr="00E14EE6">
        <w:t>Balance of payments, 2014</w:t>
      </w:r>
      <w:r w:rsidR="00E14EE6" w:rsidRPr="00E14EE6">
        <w:noBreakHyphen/>
      </w:r>
      <w:r w:rsidR="00CA7676" w:rsidRPr="00E14EE6">
        <w:t>21</w:t>
      </w:r>
      <w:bookmarkEnd w:id="50"/>
    </w:p>
    <w:p w14:paraId="69FEB9BC" w14:textId="2B23AE8F" w:rsidR="00CA7676" w:rsidRPr="00E14EE6" w:rsidRDefault="00CA7676" w:rsidP="00E14EE6">
      <w:pPr>
        <w:pStyle w:val="NoteText"/>
      </w:pPr>
      <w:r w:rsidRPr="00E14EE6">
        <w:t>(USD</w:t>
      </w:r>
      <w:r w:rsidR="00E14EE6" w:rsidRPr="00E14EE6">
        <w:t> million</w:t>
      </w:r>
      <w:r w:rsidRPr="00E14EE6">
        <w:t>)</w:t>
      </w:r>
    </w:p>
    <w:tbl>
      <w:tblPr>
        <w:tblStyle w:val="WTOTable1"/>
        <w:tblW w:w="5000" w:type="pct"/>
        <w:tblLayout w:type="fixed"/>
        <w:tblLook w:val="04A0" w:firstRow="1" w:lastRow="0" w:firstColumn="1" w:lastColumn="0" w:noHBand="0" w:noVBand="1"/>
      </w:tblPr>
      <w:tblGrid>
        <w:gridCol w:w="1838"/>
        <w:gridCol w:w="897"/>
        <w:gridCol w:w="897"/>
        <w:gridCol w:w="900"/>
        <w:gridCol w:w="896"/>
        <w:gridCol w:w="896"/>
        <w:gridCol w:w="898"/>
        <w:gridCol w:w="896"/>
        <w:gridCol w:w="898"/>
      </w:tblGrid>
      <w:tr w:rsidR="00CA7676" w:rsidRPr="00E14EE6" w14:paraId="6C4CAFF2" w14:textId="77777777" w:rsidTr="00FD6B66">
        <w:trPr>
          <w:cnfStyle w:val="100000000000" w:firstRow="1" w:lastRow="0" w:firstColumn="0" w:lastColumn="0" w:oddVBand="0" w:evenVBand="0" w:oddHBand="0" w:evenHBand="0" w:firstRowFirstColumn="0" w:firstRowLastColumn="0" w:lastRowFirstColumn="0" w:lastRowLastColumn="0"/>
          <w:cantSplit/>
          <w:trHeight w:val="20"/>
          <w:tblHeader/>
        </w:trPr>
        <w:tc>
          <w:tcPr>
            <w:tcW w:w="1019" w:type="pct"/>
            <w:noWrap/>
            <w:hideMark/>
          </w:tcPr>
          <w:p w14:paraId="6C28568F" w14:textId="77777777" w:rsidR="00CA7676" w:rsidRPr="00E14EE6" w:rsidRDefault="00CA7676" w:rsidP="00E14EE6">
            <w:pPr>
              <w:jc w:val="left"/>
              <w:rPr>
                <w:rFonts w:eastAsia="Times New Roman" w:cs="Times New Roman"/>
                <w:bCs/>
                <w:color w:val="auto"/>
                <w:sz w:val="14"/>
                <w:szCs w:val="14"/>
                <w:lang w:eastAsia="en-GB"/>
              </w:rPr>
            </w:pPr>
          </w:p>
        </w:tc>
        <w:tc>
          <w:tcPr>
            <w:tcW w:w="497" w:type="pct"/>
            <w:noWrap/>
            <w:hideMark/>
          </w:tcPr>
          <w:p w14:paraId="628D900D" w14:textId="77777777" w:rsidR="00CA7676" w:rsidRPr="00E14EE6" w:rsidRDefault="00CA7676" w:rsidP="00E14EE6">
            <w:pPr>
              <w:jc w:val="right"/>
              <w:rPr>
                <w:rFonts w:eastAsia="Times New Roman" w:cs="Times New Roman"/>
                <w:bCs/>
                <w:color w:val="FFFFFF" w:themeColor="background1"/>
                <w:sz w:val="14"/>
                <w:szCs w:val="14"/>
              </w:rPr>
            </w:pPr>
            <w:r w:rsidRPr="00E14EE6">
              <w:rPr>
                <w:color w:val="FFFFFF" w:themeColor="background1"/>
                <w:sz w:val="14"/>
              </w:rPr>
              <w:t>2014</w:t>
            </w:r>
          </w:p>
        </w:tc>
        <w:tc>
          <w:tcPr>
            <w:tcW w:w="497" w:type="pct"/>
            <w:noWrap/>
            <w:hideMark/>
          </w:tcPr>
          <w:p w14:paraId="6BDC3656" w14:textId="77777777" w:rsidR="00CA7676" w:rsidRPr="00E14EE6" w:rsidRDefault="00CA7676" w:rsidP="00E14EE6">
            <w:pPr>
              <w:jc w:val="right"/>
              <w:rPr>
                <w:rFonts w:eastAsia="Times New Roman" w:cs="Times New Roman"/>
                <w:color w:val="FFFFFF" w:themeColor="background1"/>
                <w:sz w:val="14"/>
                <w:szCs w:val="14"/>
              </w:rPr>
            </w:pPr>
            <w:r w:rsidRPr="00E14EE6">
              <w:rPr>
                <w:color w:val="FFFFFF" w:themeColor="background1"/>
                <w:sz w:val="14"/>
              </w:rPr>
              <w:t>2015</w:t>
            </w:r>
          </w:p>
        </w:tc>
        <w:tc>
          <w:tcPr>
            <w:tcW w:w="499" w:type="pct"/>
            <w:noWrap/>
            <w:hideMark/>
          </w:tcPr>
          <w:p w14:paraId="7A1D657E" w14:textId="77777777" w:rsidR="00CA7676" w:rsidRPr="00E14EE6" w:rsidRDefault="00CA7676" w:rsidP="00E14EE6">
            <w:pPr>
              <w:jc w:val="right"/>
              <w:rPr>
                <w:rFonts w:eastAsia="Times New Roman" w:cs="Times New Roman"/>
                <w:color w:val="FFFFFF" w:themeColor="background1"/>
                <w:sz w:val="14"/>
                <w:szCs w:val="14"/>
              </w:rPr>
            </w:pPr>
            <w:r w:rsidRPr="00E14EE6">
              <w:rPr>
                <w:color w:val="FFFFFF" w:themeColor="background1"/>
                <w:sz w:val="14"/>
              </w:rPr>
              <w:t>2016</w:t>
            </w:r>
          </w:p>
        </w:tc>
        <w:tc>
          <w:tcPr>
            <w:tcW w:w="497" w:type="pct"/>
            <w:noWrap/>
            <w:hideMark/>
          </w:tcPr>
          <w:p w14:paraId="54CB9479" w14:textId="77777777" w:rsidR="00CA7676" w:rsidRPr="00E14EE6" w:rsidRDefault="00CA7676" w:rsidP="00E14EE6">
            <w:pPr>
              <w:jc w:val="right"/>
              <w:rPr>
                <w:rFonts w:eastAsia="Times New Roman" w:cs="Times New Roman"/>
                <w:color w:val="FFFFFF" w:themeColor="background1"/>
                <w:sz w:val="14"/>
                <w:szCs w:val="14"/>
              </w:rPr>
            </w:pPr>
            <w:r w:rsidRPr="00E14EE6">
              <w:rPr>
                <w:color w:val="FFFFFF" w:themeColor="background1"/>
                <w:sz w:val="14"/>
              </w:rPr>
              <w:t>2017</w:t>
            </w:r>
          </w:p>
        </w:tc>
        <w:tc>
          <w:tcPr>
            <w:tcW w:w="497" w:type="pct"/>
            <w:noWrap/>
            <w:hideMark/>
          </w:tcPr>
          <w:p w14:paraId="210BCFFC" w14:textId="77777777" w:rsidR="00CA7676" w:rsidRPr="00E14EE6" w:rsidRDefault="00CA7676" w:rsidP="00E14EE6">
            <w:pPr>
              <w:jc w:val="right"/>
              <w:rPr>
                <w:rFonts w:eastAsia="Times New Roman" w:cs="Times New Roman"/>
                <w:color w:val="FFFFFF" w:themeColor="background1"/>
                <w:sz w:val="14"/>
                <w:szCs w:val="14"/>
              </w:rPr>
            </w:pPr>
            <w:r w:rsidRPr="00E14EE6">
              <w:rPr>
                <w:color w:val="FFFFFF" w:themeColor="background1"/>
                <w:sz w:val="14"/>
              </w:rPr>
              <w:t>2018</w:t>
            </w:r>
          </w:p>
        </w:tc>
        <w:tc>
          <w:tcPr>
            <w:tcW w:w="498" w:type="pct"/>
            <w:noWrap/>
            <w:hideMark/>
          </w:tcPr>
          <w:p w14:paraId="5D36AAD8" w14:textId="77777777" w:rsidR="00CA7676" w:rsidRPr="00E14EE6" w:rsidRDefault="00CA7676" w:rsidP="00E14EE6">
            <w:pPr>
              <w:jc w:val="right"/>
              <w:rPr>
                <w:rFonts w:eastAsia="Times New Roman" w:cs="Times New Roman"/>
                <w:color w:val="FFFFFF" w:themeColor="background1"/>
                <w:sz w:val="14"/>
                <w:szCs w:val="14"/>
              </w:rPr>
            </w:pPr>
            <w:r w:rsidRPr="00E14EE6">
              <w:rPr>
                <w:color w:val="FFFFFF" w:themeColor="background1"/>
                <w:sz w:val="14"/>
              </w:rPr>
              <w:t>2019</w:t>
            </w:r>
          </w:p>
        </w:tc>
        <w:tc>
          <w:tcPr>
            <w:tcW w:w="497" w:type="pct"/>
            <w:noWrap/>
            <w:hideMark/>
          </w:tcPr>
          <w:p w14:paraId="1545186F" w14:textId="77777777" w:rsidR="00CA7676" w:rsidRPr="00E14EE6" w:rsidRDefault="00CA7676" w:rsidP="00E14EE6">
            <w:pPr>
              <w:jc w:val="right"/>
              <w:rPr>
                <w:rFonts w:eastAsia="Times New Roman" w:cs="Times New Roman"/>
                <w:color w:val="FFFFFF" w:themeColor="background1"/>
                <w:sz w:val="14"/>
                <w:szCs w:val="14"/>
              </w:rPr>
            </w:pPr>
            <w:r w:rsidRPr="00E14EE6">
              <w:rPr>
                <w:color w:val="FFFFFF" w:themeColor="background1"/>
                <w:sz w:val="14"/>
              </w:rPr>
              <w:t>2020</w:t>
            </w:r>
          </w:p>
        </w:tc>
        <w:tc>
          <w:tcPr>
            <w:tcW w:w="498" w:type="pct"/>
            <w:noWrap/>
            <w:hideMark/>
          </w:tcPr>
          <w:p w14:paraId="16C70663" w14:textId="77777777" w:rsidR="00CA7676" w:rsidRPr="00E14EE6" w:rsidRDefault="00CA7676" w:rsidP="00E14EE6">
            <w:pPr>
              <w:jc w:val="right"/>
              <w:rPr>
                <w:rFonts w:eastAsia="Times New Roman" w:cs="Times New Roman"/>
                <w:color w:val="FFFFFF" w:themeColor="background1"/>
                <w:sz w:val="14"/>
                <w:szCs w:val="14"/>
              </w:rPr>
            </w:pPr>
            <w:r w:rsidRPr="00E14EE6">
              <w:rPr>
                <w:color w:val="FFFFFF" w:themeColor="background1"/>
                <w:sz w:val="14"/>
              </w:rPr>
              <w:t>2021</w:t>
            </w:r>
          </w:p>
        </w:tc>
      </w:tr>
      <w:tr w:rsidR="00CA7676" w:rsidRPr="00E14EE6" w14:paraId="6FDF7CAF" w14:textId="77777777" w:rsidTr="00FD6B66">
        <w:trPr>
          <w:cantSplit/>
          <w:trHeight w:val="20"/>
        </w:trPr>
        <w:tc>
          <w:tcPr>
            <w:tcW w:w="1019" w:type="pct"/>
            <w:noWrap/>
            <w:hideMark/>
          </w:tcPr>
          <w:p w14:paraId="5506C8A7" w14:textId="2C3F7D19" w:rsidR="00CA7676" w:rsidRPr="00E14EE6" w:rsidRDefault="00CA7676" w:rsidP="00E14EE6">
            <w:pPr>
              <w:jc w:val="left"/>
              <w:rPr>
                <w:rFonts w:eastAsia="Times New Roman" w:cs="Calibri"/>
                <w:b/>
                <w:bCs/>
                <w:sz w:val="14"/>
                <w:szCs w:val="14"/>
              </w:rPr>
            </w:pPr>
            <w:r w:rsidRPr="00E14EE6">
              <w:rPr>
                <w:b/>
                <w:sz w:val="14"/>
              </w:rPr>
              <w:t>1</w:t>
            </w:r>
            <w:r w:rsidR="00E14EE6" w:rsidRPr="00E14EE6">
              <w:rPr>
                <w:b/>
                <w:sz w:val="14"/>
              </w:rPr>
              <w:t>. C</w:t>
            </w:r>
            <w:r w:rsidRPr="00E14EE6">
              <w:rPr>
                <w:b/>
                <w:sz w:val="14"/>
              </w:rPr>
              <w:t>urrent account</w:t>
            </w:r>
          </w:p>
        </w:tc>
        <w:tc>
          <w:tcPr>
            <w:tcW w:w="497" w:type="pct"/>
            <w:noWrap/>
            <w:hideMark/>
          </w:tcPr>
          <w:p w14:paraId="004CA4AF" w14:textId="0B9BE103" w:rsidR="00CA7676" w:rsidRPr="00E14EE6" w:rsidRDefault="00E14EE6" w:rsidP="00E14EE6">
            <w:pPr>
              <w:jc w:val="right"/>
              <w:rPr>
                <w:rFonts w:eastAsia="Times New Roman" w:cs="Calibri"/>
                <w:b/>
                <w:bCs/>
                <w:sz w:val="14"/>
                <w:szCs w:val="14"/>
              </w:rPr>
            </w:pPr>
            <w:r w:rsidRPr="00E14EE6">
              <w:rPr>
                <w:b/>
                <w:sz w:val="14"/>
              </w:rPr>
              <w:noBreakHyphen/>
            </w:r>
            <w:r w:rsidR="00CA7676" w:rsidRPr="00E14EE6">
              <w:rPr>
                <w:b/>
                <w:sz w:val="14"/>
              </w:rPr>
              <w:t>2,170.2</w:t>
            </w:r>
          </w:p>
        </w:tc>
        <w:tc>
          <w:tcPr>
            <w:tcW w:w="497" w:type="pct"/>
            <w:noWrap/>
            <w:hideMark/>
          </w:tcPr>
          <w:p w14:paraId="17568446" w14:textId="7746FE3A" w:rsidR="00CA7676" w:rsidRPr="00E14EE6" w:rsidRDefault="00E14EE6" w:rsidP="00E14EE6">
            <w:pPr>
              <w:jc w:val="right"/>
              <w:rPr>
                <w:rFonts w:eastAsia="Times New Roman" w:cs="Calibri"/>
                <w:b/>
                <w:bCs/>
                <w:sz w:val="14"/>
                <w:szCs w:val="14"/>
              </w:rPr>
            </w:pPr>
            <w:r w:rsidRPr="00E14EE6">
              <w:rPr>
                <w:b/>
                <w:sz w:val="14"/>
              </w:rPr>
              <w:noBreakHyphen/>
            </w:r>
            <w:r w:rsidR="00CA7676" w:rsidRPr="00E14EE6">
              <w:rPr>
                <w:b/>
                <w:sz w:val="14"/>
              </w:rPr>
              <w:t>1,280.3</w:t>
            </w:r>
          </w:p>
        </w:tc>
        <w:tc>
          <w:tcPr>
            <w:tcW w:w="499" w:type="pct"/>
            <w:noWrap/>
            <w:hideMark/>
          </w:tcPr>
          <w:p w14:paraId="6D1D3BD5" w14:textId="3D6DBF92" w:rsidR="00CA7676" w:rsidRPr="00E14EE6" w:rsidRDefault="00E14EE6" w:rsidP="00E14EE6">
            <w:pPr>
              <w:jc w:val="right"/>
              <w:rPr>
                <w:rFonts w:eastAsia="Times New Roman" w:cs="Calibri"/>
                <w:b/>
                <w:bCs/>
                <w:sz w:val="14"/>
                <w:szCs w:val="14"/>
              </w:rPr>
            </w:pPr>
            <w:r w:rsidRPr="00E14EE6">
              <w:rPr>
                <w:b/>
                <w:sz w:val="14"/>
              </w:rPr>
              <w:noBreakHyphen/>
            </w:r>
            <w:r w:rsidR="00CA7676" w:rsidRPr="00E14EE6">
              <w:rPr>
                <w:b/>
                <w:sz w:val="14"/>
              </w:rPr>
              <w:t>814.7</w:t>
            </w:r>
          </w:p>
        </w:tc>
        <w:tc>
          <w:tcPr>
            <w:tcW w:w="497" w:type="pct"/>
            <w:noWrap/>
            <w:hideMark/>
          </w:tcPr>
          <w:p w14:paraId="158D50C0" w14:textId="62ACBA5B" w:rsidR="00CA7676" w:rsidRPr="00E14EE6" w:rsidRDefault="00E14EE6" w:rsidP="00E14EE6">
            <w:pPr>
              <w:jc w:val="right"/>
              <w:rPr>
                <w:rFonts w:eastAsia="Times New Roman" w:cs="Calibri"/>
                <w:b/>
                <w:bCs/>
                <w:sz w:val="14"/>
                <w:szCs w:val="14"/>
              </w:rPr>
            </w:pPr>
            <w:r w:rsidRPr="00E14EE6">
              <w:rPr>
                <w:b/>
                <w:sz w:val="14"/>
              </w:rPr>
              <w:noBreakHyphen/>
            </w:r>
            <w:r w:rsidR="00CA7676" w:rsidRPr="00E14EE6">
              <w:rPr>
                <w:b/>
                <w:sz w:val="14"/>
              </w:rPr>
              <w:t>133.1</w:t>
            </w:r>
          </w:p>
        </w:tc>
        <w:tc>
          <w:tcPr>
            <w:tcW w:w="497" w:type="pct"/>
            <w:noWrap/>
            <w:hideMark/>
          </w:tcPr>
          <w:p w14:paraId="695F90DE" w14:textId="2731DEB6" w:rsidR="00CA7676" w:rsidRPr="00E14EE6" w:rsidRDefault="00E14EE6" w:rsidP="00E14EE6">
            <w:pPr>
              <w:jc w:val="right"/>
              <w:rPr>
                <w:rFonts w:eastAsia="Times New Roman" w:cs="Calibri"/>
                <w:b/>
                <w:bCs/>
                <w:sz w:val="14"/>
                <w:szCs w:val="14"/>
              </w:rPr>
            </w:pPr>
            <w:r w:rsidRPr="00E14EE6">
              <w:rPr>
                <w:b/>
                <w:sz w:val="14"/>
              </w:rPr>
              <w:noBreakHyphen/>
            </w:r>
            <w:r w:rsidR="00CA7676" w:rsidRPr="00E14EE6">
              <w:rPr>
                <w:b/>
                <w:sz w:val="14"/>
              </w:rPr>
              <w:t>1,321.5</w:t>
            </w:r>
          </w:p>
        </w:tc>
        <w:tc>
          <w:tcPr>
            <w:tcW w:w="498" w:type="pct"/>
            <w:noWrap/>
            <w:hideMark/>
          </w:tcPr>
          <w:p w14:paraId="12457A8E" w14:textId="23E276E8" w:rsidR="00CA7676" w:rsidRPr="00E14EE6" w:rsidRDefault="00E14EE6" w:rsidP="00E14EE6">
            <w:pPr>
              <w:jc w:val="right"/>
              <w:rPr>
                <w:rFonts w:eastAsia="Times New Roman" w:cs="Calibri"/>
                <w:b/>
                <w:bCs/>
                <w:sz w:val="14"/>
                <w:szCs w:val="14"/>
              </w:rPr>
            </w:pPr>
            <w:r w:rsidRPr="00E14EE6">
              <w:rPr>
                <w:b/>
                <w:sz w:val="14"/>
              </w:rPr>
              <w:noBreakHyphen/>
            </w:r>
            <w:r w:rsidR="00CA7676" w:rsidRPr="00E14EE6">
              <w:rPr>
                <w:b/>
                <w:sz w:val="14"/>
              </w:rPr>
              <w:t>1,187.9</w:t>
            </w:r>
          </w:p>
        </w:tc>
        <w:tc>
          <w:tcPr>
            <w:tcW w:w="497" w:type="pct"/>
            <w:noWrap/>
            <w:hideMark/>
          </w:tcPr>
          <w:p w14:paraId="0E7B4E44" w14:textId="7085B38F" w:rsidR="00CA7676" w:rsidRPr="00E14EE6" w:rsidRDefault="00E14EE6" w:rsidP="00E14EE6">
            <w:pPr>
              <w:jc w:val="right"/>
              <w:rPr>
                <w:rFonts w:eastAsia="Times New Roman" w:cs="Calibri"/>
                <w:b/>
                <w:bCs/>
                <w:sz w:val="14"/>
                <w:szCs w:val="14"/>
              </w:rPr>
            </w:pPr>
            <w:r w:rsidRPr="00E14EE6">
              <w:rPr>
                <w:b/>
                <w:sz w:val="14"/>
              </w:rPr>
              <w:noBreakHyphen/>
            </w:r>
            <w:r w:rsidR="00CA7676" w:rsidRPr="00E14EE6">
              <w:rPr>
                <w:b/>
                <w:sz w:val="14"/>
              </w:rPr>
              <w:t>1,337.3</w:t>
            </w:r>
          </w:p>
        </w:tc>
        <w:tc>
          <w:tcPr>
            <w:tcW w:w="498" w:type="pct"/>
            <w:noWrap/>
            <w:hideMark/>
          </w:tcPr>
          <w:p w14:paraId="2B762E6B" w14:textId="2A77140B" w:rsidR="00CA7676" w:rsidRPr="00E14EE6" w:rsidRDefault="00E14EE6" w:rsidP="00E14EE6">
            <w:pPr>
              <w:jc w:val="right"/>
              <w:rPr>
                <w:rFonts w:eastAsia="Times New Roman" w:cs="Calibri"/>
                <w:b/>
                <w:bCs/>
                <w:sz w:val="14"/>
                <w:szCs w:val="14"/>
              </w:rPr>
            </w:pPr>
            <w:r w:rsidRPr="00E14EE6">
              <w:rPr>
                <w:b/>
                <w:sz w:val="14"/>
              </w:rPr>
              <w:noBreakHyphen/>
            </w:r>
            <w:r w:rsidR="00CA7676" w:rsidRPr="00E14EE6">
              <w:rPr>
                <w:b/>
                <w:sz w:val="14"/>
              </w:rPr>
              <w:t>2,688.7</w:t>
            </w:r>
          </w:p>
        </w:tc>
      </w:tr>
      <w:tr w:rsidR="00CA7676" w:rsidRPr="00E14EE6" w14:paraId="4969541C" w14:textId="77777777" w:rsidTr="00FD6B66">
        <w:trPr>
          <w:cnfStyle w:val="000000010000" w:firstRow="0" w:lastRow="0" w:firstColumn="0" w:lastColumn="0" w:oddVBand="0" w:evenVBand="0" w:oddHBand="0" w:evenHBand="1" w:firstRowFirstColumn="0" w:firstRowLastColumn="0" w:lastRowFirstColumn="0" w:lastRowLastColumn="0"/>
          <w:cantSplit/>
          <w:trHeight w:val="20"/>
        </w:trPr>
        <w:tc>
          <w:tcPr>
            <w:tcW w:w="1019" w:type="pct"/>
            <w:noWrap/>
            <w:hideMark/>
          </w:tcPr>
          <w:p w14:paraId="6BBF4028" w14:textId="77777777" w:rsidR="00CA7676" w:rsidRPr="00E14EE6" w:rsidRDefault="00CA7676" w:rsidP="00E14EE6">
            <w:pPr>
              <w:jc w:val="left"/>
              <w:rPr>
                <w:rFonts w:eastAsia="Times New Roman" w:cs="Calibri"/>
                <w:b/>
                <w:bCs/>
                <w:sz w:val="14"/>
                <w:szCs w:val="14"/>
              </w:rPr>
            </w:pPr>
            <w:r w:rsidRPr="00E14EE6">
              <w:rPr>
                <w:b/>
                <w:sz w:val="14"/>
              </w:rPr>
              <w:t>1.1 Goods and services balance</w:t>
            </w:r>
          </w:p>
        </w:tc>
        <w:tc>
          <w:tcPr>
            <w:tcW w:w="497" w:type="pct"/>
            <w:noWrap/>
            <w:hideMark/>
          </w:tcPr>
          <w:p w14:paraId="230D1EAB" w14:textId="3FB3C6C6" w:rsidR="00CA7676" w:rsidRPr="00E14EE6" w:rsidRDefault="00E14EE6" w:rsidP="00E14EE6">
            <w:pPr>
              <w:jc w:val="right"/>
              <w:rPr>
                <w:rFonts w:eastAsia="Times New Roman" w:cs="Calibri"/>
                <w:b/>
                <w:bCs/>
                <w:sz w:val="14"/>
                <w:szCs w:val="14"/>
              </w:rPr>
            </w:pPr>
            <w:r w:rsidRPr="00E14EE6">
              <w:rPr>
                <w:b/>
                <w:sz w:val="14"/>
              </w:rPr>
              <w:noBreakHyphen/>
            </w:r>
            <w:r w:rsidR="00CA7676" w:rsidRPr="00E14EE6">
              <w:rPr>
                <w:b/>
                <w:sz w:val="14"/>
              </w:rPr>
              <w:t>3,290.3</w:t>
            </w:r>
          </w:p>
        </w:tc>
        <w:tc>
          <w:tcPr>
            <w:tcW w:w="497" w:type="pct"/>
            <w:noWrap/>
            <w:hideMark/>
          </w:tcPr>
          <w:p w14:paraId="495E3B65" w14:textId="3FBAC93B" w:rsidR="00CA7676" w:rsidRPr="00E14EE6" w:rsidRDefault="00E14EE6" w:rsidP="00E14EE6">
            <w:pPr>
              <w:jc w:val="right"/>
              <w:rPr>
                <w:rFonts w:eastAsia="Times New Roman" w:cs="Calibri"/>
                <w:b/>
                <w:bCs/>
                <w:sz w:val="14"/>
                <w:szCs w:val="14"/>
              </w:rPr>
            </w:pPr>
            <w:r w:rsidRPr="00E14EE6">
              <w:rPr>
                <w:b/>
                <w:sz w:val="14"/>
              </w:rPr>
              <w:noBreakHyphen/>
            </w:r>
            <w:r w:rsidR="00CA7676" w:rsidRPr="00E14EE6">
              <w:rPr>
                <w:b/>
                <w:sz w:val="14"/>
              </w:rPr>
              <w:t>3,096.9</w:t>
            </w:r>
          </w:p>
        </w:tc>
        <w:tc>
          <w:tcPr>
            <w:tcW w:w="499" w:type="pct"/>
            <w:noWrap/>
            <w:hideMark/>
          </w:tcPr>
          <w:p w14:paraId="3F197127" w14:textId="11FDA516" w:rsidR="00CA7676" w:rsidRPr="00E14EE6" w:rsidRDefault="00E14EE6" w:rsidP="00E14EE6">
            <w:pPr>
              <w:jc w:val="right"/>
              <w:rPr>
                <w:rFonts w:eastAsia="Times New Roman" w:cs="Calibri"/>
                <w:b/>
                <w:bCs/>
                <w:sz w:val="14"/>
                <w:szCs w:val="14"/>
              </w:rPr>
            </w:pPr>
            <w:r w:rsidRPr="00E14EE6">
              <w:rPr>
                <w:b/>
                <w:sz w:val="14"/>
              </w:rPr>
              <w:noBreakHyphen/>
            </w:r>
            <w:r w:rsidR="00CA7676" w:rsidRPr="00E14EE6">
              <w:rPr>
                <w:b/>
                <w:sz w:val="14"/>
              </w:rPr>
              <w:t>2,619.4</w:t>
            </w:r>
          </w:p>
        </w:tc>
        <w:tc>
          <w:tcPr>
            <w:tcW w:w="497" w:type="pct"/>
            <w:noWrap/>
            <w:hideMark/>
          </w:tcPr>
          <w:p w14:paraId="4E16A861" w14:textId="4FA2E78A" w:rsidR="00CA7676" w:rsidRPr="00E14EE6" w:rsidRDefault="00E14EE6" w:rsidP="00E14EE6">
            <w:pPr>
              <w:jc w:val="right"/>
              <w:rPr>
                <w:rFonts w:eastAsia="Times New Roman" w:cs="Calibri"/>
                <w:b/>
                <w:bCs/>
                <w:sz w:val="14"/>
                <w:szCs w:val="14"/>
              </w:rPr>
            </w:pPr>
            <w:r w:rsidRPr="00E14EE6">
              <w:rPr>
                <w:b/>
                <w:sz w:val="14"/>
              </w:rPr>
              <w:noBreakHyphen/>
            </w:r>
            <w:r w:rsidR="00CA7676" w:rsidRPr="00E14EE6">
              <w:rPr>
                <w:b/>
                <w:sz w:val="14"/>
              </w:rPr>
              <w:t>2,049.9</w:t>
            </w:r>
          </w:p>
        </w:tc>
        <w:tc>
          <w:tcPr>
            <w:tcW w:w="497" w:type="pct"/>
            <w:noWrap/>
            <w:hideMark/>
          </w:tcPr>
          <w:p w14:paraId="56466874" w14:textId="14865003" w:rsidR="00CA7676" w:rsidRPr="00E14EE6" w:rsidRDefault="00E14EE6" w:rsidP="00E14EE6">
            <w:pPr>
              <w:jc w:val="right"/>
              <w:rPr>
                <w:rFonts w:eastAsia="Times New Roman" w:cs="Calibri"/>
                <w:b/>
                <w:bCs/>
                <w:sz w:val="14"/>
                <w:szCs w:val="14"/>
              </w:rPr>
            </w:pPr>
            <w:r w:rsidRPr="00E14EE6">
              <w:rPr>
                <w:b/>
                <w:sz w:val="14"/>
              </w:rPr>
              <w:noBreakHyphen/>
            </w:r>
            <w:r w:rsidR="00CA7676" w:rsidRPr="00E14EE6">
              <w:rPr>
                <w:b/>
                <w:sz w:val="14"/>
              </w:rPr>
              <w:t>4,062.7</w:t>
            </w:r>
          </w:p>
        </w:tc>
        <w:tc>
          <w:tcPr>
            <w:tcW w:w="498" w:type="pct"/>
            <w:noWrap/>
            <w:hideMark/>
          </w:tcPr>
          <w:p w14:paraId="66221476" w14:textId="5A489C61" w:rsidR="00CA7676" w:rsidRPr="00E14EE6" w:rsidRDefault="00E14EE6" w:rsidP="00E14EE6">
            <w:pPr>
              <w:jc w:val="right"/>
              <w:rPr>
                <w:rFonts w:eastAsia="Times New Roman" w:cs="Calibri"/>
                <w:b/>
                <w:bCs/>
                <w:sz w:val="14"/>
                <w:szCs w:val="14"/>
              </w:rPr>
            </w:pPr>
            <w:r w:rsidRPr="00E14EE6">
              <w:rPr>
                <w:b/>
                <w:sz w:val="14"/>
              </w:rPr>
              <w:noBreakHyphen/>
            </w:r>
            <w:r w:rsidR="00CA7676" w:rsidRPr="00E14EE6">
              <w:rPr>
                <w:b/>
                <w:sz w:val="14"/>
              </w:rPr>
              <w:t>4,016.8</w:t>
            </w:r>
          </w:p>
        </w:tc>
        <w:tc>
          <w:tcPr>
            <w:tcW w:w="497" w:type="pct"/>
            <w:noWrap/>
            <w:hideMark/>
          </w:tcPr>
          <w:p w14:paraId="4477E967" w14:textId="69222A12" w:rsidR="00CA7676" w:rsidRPr="00E14EE6" w:rsidRDefault="00E14EE6" w:rsidP="00E14EE6">
            <w:pPr>
              <w:jc w:val="right"/>
              <w:rPr>
                <w:rFonts w:eastAsia="Times New Roman" w:cs="Calibri"/>
                <w:b/>
                <w:bCs/>
                <w:sz w:val="14"/>
                <w:szCs w:val="14"/>
              </w:rPr>
            </w:pPr>
            <w:r w:rsidRPr="00E14EE6">
              <w:rPr>
                <w:b/>
                <w:sz w:val="14"/>
              </w:rPr>
              <w:noBreakHyphen/>
            </w:r>
            <w:r w:rsidR="00CA7676" w:rsidRPr="00E14EE6">
              <w:rPr>
                <w:b/>
                <w:sz w:val="14"/>
              </w:rPr>
              <w:t>5,412.5</w:t>
            </w:r>
          </w:p>
        </w:tc>
        <w:tc>
          <w:tcPr>
            <w:tcW w:w="498" w:type="pct"/>
            <w:noWrap/>
            <w:hideMark/>
          </w:tcPr>
          <w:p w14:paraId="4741FBE5" w14:textId="5C43CF8B" w:rsidR="00CA7676" w:rsidRPr="00E14EE6" w:rsidRDefault="00E14EE6" w:rsidP="00E14EE6">
            <w:pPr>
              <w:jc w:val="right"/>
              <w:rPr>
                <w:rFonts w:eastAsia="Times New Roman" w:cs="Calibri"/>
                <w:b/>
                <w:bCs/>
                <w:sz w:val="14"/>
                <w:szCs w:val="14"/>
              </w:rPr>
            </w:pPr>
            <w:r w:rsidRPr="00E14EE6">
              <w:rPr>
                <w:b/>
                <w:sz w:val="14"/>
              </w:rPr>
              <w:noBreakHyphen/>
            </w:r>
            <w:r w:rsidR="00CA7676" w:rsidRPr="00E14EE6">
              <w:rPr>
                <w:b/>
                <w:sz w:val="14"/>
              </w:rPr>
              <w:t>8,032.3</w:t>
            </w:r>
          </w:p>
        </w:tc>
      </w:tr>
      <w:tr w:rsidR="00CA7676" w:rsidRPr="00E14EE6" w14:paraId="13D73001" w14:textId="77777777" w:rsidTr="00FD6B66">
        <w:trPr>
          <w:cantSplit/>
          <w:trHeight w:val="20"/>
        </w:trPr>
        <w:tc>
          <w:tcPr>
            <w:tcW w:w="1019" w:type="pct"/>
            <w:noWrap/>
            <w:hideMark/>
          </w:tcPr>
          <w:p w14:paraId="68CCA0CB" w14:textId="53F7A85A" w:rsidR="00CA7676" w:rsidRPr="00E14EE6" w:rsidRDefault="00CA7676" w:rsidP="00E14EE6">
            <w:pPr>
              <w:jc w:val="left"/>
              <w:rPr>
                <w:rFonts w:eastAsia="Times New Roman" w:cs="Calibri"/>
                <w:b/>
                <w:bCs/>
                <w:sz w:val="13"/>
                <w:szCs w:val="13"/>
              </w:rPr>
            </w:pPr>
            <w:r w:rsidRPr="00E14EE6">
              <w:rPr>
                <w:b/>
                <w:sz w:val="13"/>
              </w:rPr>
              <w:t>1.1.</w:t>
            </w:r>
            <w:r w:rsidR="00E14EE6" w:rsidRPr="00E14EE6">
              <w:rPr>
                <w:b/>
                <w:sz w:val="13"/>
              </w:rPr>
              <w:t xml:space="preserve">1 </w:t>
            </w:r>
            <w:r w:rsidRPr="00E14EE6">
              <w:rPr>
                <w:b/>
                <w:sz w:val="13"/>
              </w:rPr>
              <w:t>Goods balance</w:t>
            </w:r>
          </w:p>
        </w:tc>
        <w:tc>
          <w:tcPr>
            <w:tcW w:w="497" w:type="pct"/>
            <w:noWrap/>
            <w:hideMark/>
          </w:tcPr>
          <w:p w14:paraId="0D4177CC" w14:textId="69CCDFCE" w:rsidR="00CA7676" w:rsidRPr="00E14EE6" w:rsidRDefault="00E14EE6" w:rsidP="00E14EE6">
            <w:pPr>
              <w:jc w:val="right"/>
              <w:rPr>
                <w:rFonts w:eastAsia="Times New Roman" w:cs="Calibri"/>
                <w:b/>
                <w:bCs/>
                <w:sz w:val="13"/>
                <w:szCs w:val="13"/>
              </w:rPr>
            </w:pPr>
            <w:r w:rsidRPr="00E14EE6">
              <w:rPr>
                <w:b/>
                <w:sz w:val="13"/>
              </w:rPr>
              <w:noBreakHyphen/>
            </w:r>
            <w:r w:rsidR="00CA7676" w:rsidRPr="00E14EE6">
              <w:rPr>
                <w:b/>
                <w:sz w:val="13"/>
              </w:rPr>
              <w:t>7,374.2</w:t>
            </w:r>
          </w:p>
        </w:tc>
        <w:tc>
          <w:tcPr>
            <w:tcW w:w="497" w:type="pct"/>
            <w:noWrap/>
            <w:hideMark/>
          </w:tcPr>
          <w:p w14:paraId="239D7DBD" w14:textId="304BAEAB" w:rsidR="00CA7676" w:rsidRPr="00E14EE6" w:rsidRDefault="00E14EE6" w:rsidP="00E14EE6">
            <w:pPr>
              <w:jc w:val="right"/>
              <w:rPr>
                <w:rFonts w:eastAsia="Times New Roman" w:cs="Calibri"/>
                <w:b/>
                <w:bCs/>
                <w:sz w:val="13"/>
                <w:szCs w:val="13"/>
              </w:rPr>
            </w:pPr>
            <w:r w:rsidRPr="00E14EE6">
              <w:rPr>
                <w:b/>
                <w:sz w:val="13"/>
              </w:rPr>
              <w:noBreakHyphen/>
            </w:r>
            <w:r w:rsidR="00CA7676" w:rsidRPr="00E14EE6">
              <w:rPr>
                <w:b/>
                <w:sz w:val="13"/>
              </w:rPr>
              <w:t>7,464.7</w:t>
            </w:r>
          </w:p>
        </w:tc>
        <w:tc>
          <w:tcPr>
            <w:tcW w:w="499" w:type="pct"/>
            <w:noWrap/>
            <w:hideMark/>
          </w:tcPr>
          <w:p w14:paraId="6BED9113" w14:textId="49C15086" w:rsidR="00CA7676" w:rsidRPr="00E14EE6" w:rsidRDefault="00E14EE6" w:rsidP="00E14EE6">
            <w:pPr>
              <w:jc w:val="right"/>
              <w:rPr>
                <w:rFonts w:eastAsia="Times New Roman" w:cs="Calibri"/>
                <w:b/>
                <w:bCs/>
                <w:sz w:val="13"/>
                <w:szCs w:val="13"/>
              </w:rPr>
            </w:pPr>
            <w:r w:rsidRPr="00E14EE6">
              <w:rPr>
                <w:b/>
                <w:sz w:val="13"/>
              </w:rPr>
              <w:noBreakHyphen/>
            </w:r>
            <w:r w:rsidR="00CA7676" w:rsidRPr="00E14EE6">
              <w:rPr>
                <w:b/>
                <w:sz w:val="13"/>
              </w:rPr>
              <w:t>7,559.0</w:t>
            </w:r>
          </w:p>
        </w:tc>
        <w:tc>
          <w:tcPr>
            <w:tcW w:w="497" w:type="pct"/>
            <w:noWrap/>
            <w:hideMark/>
          </w:tcPr>
          <w:p w14:paraId="13E388CE" w14:textId="2A5FC4B2" w:rsidR="00CA7676" w:rsidRPr="00E14EE6" w:rsidRDefault="00E14EE6" w:rsidP="00E14EE6">
            <w:pPr>
              <w:jc w:val="right"/>
              <w:rPr>
                <w:rFonts w:eastAsia="Times New Roman" w:cs="Calibri"/>
                <w:b/>
                <w:bCs/>
                <w:sz w:val="13"/>
                <w:szCs w:val="13"/>
              </w:rPr>
            </w:pPr>
            <w:r w:rsidRPr="00E14EE6">
              <w:rPr>
                <w:b/>
                <w:sz w:val="13"/>
              </w:rPr>
              <w:noBreakHyphen/>
            </w:r>
            <w:r w:rsidR="00CA7676" w:rsidRPr="00E14EE6">
              <w:rPr>
                <w:b/>
                <w:sz w:val="13"/>
              </w:rPr>
              <w:t>7,599.7</w:t>
            </w:r>
          </w:p>
        </w:tc>
        <w:tc>
          <w:tcPr>
            <w:tcW w:w="497" w:type="pct"/>
            <w:noWrap/>
            <w:hideMark/>
          </w:tcPr>
          <w:p w14:paraId="1B0406E7" w14:textId="0AC63E3B" w:rsidR="00CA7676" w:rsidRPr="00E14EE6" w:rsidRDefault="00E14EE6" w:rsidP="00E14EE6">
            <w:pPr>
              <w:jc w:val="right"/>
              <w:rPr>
                <w:rFonts w:eastAsia="Times New Roman" w:cs="Calibri"/>
                <w:b/>
                <w:bCs/>
                <w:sz w:val="13"/>
                <w:szCs w:val="13"/>
              </w:rPr>
            </w:pPr>
            <w:r w:rsidRPr="00E14EE6">
              <w:rPr>
                <w:b/>
                <w:sz w:val="13"/>
              </w:rPr>
              <w:noBreakHyphen/>
            </w:r>
            <w:r w:rsidR="00CA7676" w:rsidRPr="00E14EE6">
              <w:rPr>
                <w:b/>
                <w:sz w:val="13"/>
              </w:rPr>
              <w:t>9,559.2</w:t>
            </w:r>
          </w:p>
        </w:tc>
        <w:tc>
          <w:tcPr>
            <w:tcW w:w="498" w:type="pct"/>
            <w:noWrap/>
            <w:hideMark/>
          </w:tcPr>
          <w:p w14:paraId="04898B03" w14:textId="3647DF33" w:rsidR="00CA7676" w:rsidRPr="00E14EE6" w:rsidRDefault="00E14EE6" w:rsidP="00E14EE6">
            <w:pPr>
              <w:jc w:val="right"/>
              <w:rPr>
                <w:rFonts w:eastAsia="Times New Roman" w:cs="Calibri"/>
                <w:b/>
                <w:bCs/>
                <w:sz w:val="13"/>
                <w:szCs w:val="13"/>
              </w:rPr>
            </w:pPr>
            <w:r w:rsidRPr="00E14EE6">
              <w:rPr>
                <w:b/>
                <w:sz w:val="13"/>
              </w:rPr>
              <w:noBreakHyphen/>
            </w:r>
            <w:r w:rsidR="00CA7676" w:rsidRPr="00E14EE6">
              <w:rPr>
                <w:b/>
                <w:sz w:val="13"/>
              </w:rPr>
              <w:t>9,075.1</w:t>
            </w:r>
          </w:p>
        </w:tc>
        <w:tc>
          <w:tcPr>
            <w:tcW w:w="497" w:type="pct"/>
            <w:noWrap/>
            <w:hideMark/>
          </w:tcPr>
          <w:p w14:paraId="2BA6A352" w14:textId="096EDA8D" w:rsidR="00CA7676" w:rsidRPr="00E14EE6" w:rsidRDefault="00E14EE6" w:rsidP="00E14EE6">
            <w:pPr>
              <w:jc w:val="right"/>
              <w:rPr>
                <w:rFonts w:eastAsia="Times New Roman" w:cs="Calibri"/>
                <w:b/>
                <w:bCs/>
                <w:sz w:val="13"/>
                <w:szCs w:val="13"/>
              </w:rPr>
            </w:pPr>
            <w:r w:rsidRPr="00E14EE6">
              <w:rPr>
                <w:b/>
                <w:sz w:val="13"/>
              </w:rPr>
              <w:noBreakHyphen/>
            </w:r>
            <w:r w:rsidR="00CA7676" w:rsidRPr="00E14EE6">
              <w:rPr>
                <w:b/>
                <w:sz w:val="13"/>
              </w:rPr>
              <w:t>6,803.1</w:t>
            </w:r>
          </w:p>
        </w:tc>
        <w:tc>
          <w:tcPr>
            <w:tcW w:w="498" w:type="pct"/>
            <w:noWrap/>
            <w:hideMark/>
          </w:tcPr>
          <w:p w14:paraId="32D4413B" w14:textId="611E501C" w:rsidR="00CA7676" w:rsidRPr="00E14EE6" w:rsidRDefault="00E14EE6" w:rsidP="00E14EE6">
            <w:pPr>
              <w:jc w:val="right"/>
              <w:rPr>
                <w:rFonts w:eastAsia="Times New Roman" w:cs="Calibri"/>
                <w:b/>
                <w:bCs/>
                <w:sz w:val="12"/>
                <w:szCs w:val="12"/>
              </w:rPr>
            </w:pPr>
            <w:r w:rsidRPr="00E14EE6">
              <w:rPr>
                <w:b/>
                <w:sz w:val="12"/>
              </w:rPr>
              <w:noBreakHyphen/>
            </w:r>
            <w:r w:rsidR="00CA7676" w:rsidRPr="00E14EE6">
              <w:rPr>
                <w:b/>
                <w:sz w:val="12"/>
              </w:rPr>
              <w:t>11,681.2</w:t>
            </w:r>
          </w:p>
        </w:tc>
      </w:tr>
      <w:tr w:rsidR="00CA7676" w:rsidRPr="00E14EE6" w14:paraId="13080FCF" w14:textId="77777777" w:rsidTr="00FD6B66">
        <w:trPr>
          <w:cnfStyle w:val="000000010000" w:firstRow="0" w:lastRow="0" w:firstColumn="0" w:lastColumn="0" w:oddVBand="0" w:evenVBand="0" w:oddHBand="0" w:evenHBand="1" w:firstRowFirstColumn="0" w:firstRowLastColumn="0" w:lastRowFirstColumn="0" w:lastRowLastColumn="0"/>
          <w:cantSplit/>
          <w:trHeight w:val="20"/>
        </w:trPr>
        <w:tc>
          <w:tcPr>
            <w:tcW w:w="1019" w:type="pct"/>
            <w:noWrap/>
            <w:hideMark/>
          </w:tcPr>
          <w:p w14:paraId="41595959" w14:textId="77777777" w:rsidR="00CA7676" w:rsidRPr="00E14EE6" w:rsidRDefault="00CA7676" w:rsidP="00E14EE6">
            <w:pPr>
              <w:jc w:val="left"/>
              <w:rPr>
                <w:rFonts w:eastAsia="Times New Roman" w:cs="Calibri"/>
                <w:b/>
                <w:bCs/>
                <w:sz w:val="13"/>
                <w:szCs w:val="13"/>
              </w:rPr>
            </w:pPr>
            <w:r w:rsidRPr="00E14EE6">
              <w:rPr>
                <w:b/>
                <w:sz w:val="13"/>
              </w:rPr>
              <w:t>Exports</w:t>
            </w:r>
          </w:p>
        </w:tc>
        <w:tc>
          <w:tcPr>
            <w:tcW w:w="497" w:type="pct"/>
            <w:noWrap/>
            <w:hideMark/>
          </w:tcPr>
          <w:p w14:paraId="1BC59402" w14:textId="77777777" w:rsidR="00CA7676" w:rsidRPr="00E14EE6" w:rsidRDefault="00CA7676" w:rsidP="00E14EE6">
            <w:pPr>
              <w:jc w:val="right"/>
              <w:rPr>
                <w:rFonts w:eastAsia="Times New Roman" w:cs="Calibri"/>
                <w:b/>
                <w:bCs/>
                <w:sz w:val="13"/>
                <w:szCs w:val="13"/>
              </w:rPr>
            </w:pPr>
            <w:r w:rsidRPr="00E14EE6">
              <w:rPr>
                <w:b/>
                <w:sz w:val="13"/>
              </w:rPr>
              <w:t>9,898.9</w:t>
            </w:r>
          </w:p>
        </w:tc>
        <w:tc>
          <w:tcPr>
            <w:tcW w:w="497" w:type="pct"/>
            <w:noWrap/>
            <w:hideMark/>
          </w:tcPr>
          <w:p w14:paraId="05CBE10E" w14:textId="77777777" w:rsidR="00CA7676" w:rsidRPr="00E14EE6" w:rsidRDefault="00CA7676" w:rsidP="00E14EE6">
            <w:pPr>
              <w:jc w:val="right"/>
              <w:rPr>
                <w:rFonts w:eastAsia="Times New Roman" w:cs="Calibri"/>
                <w:b/>
                <w:bCs/>
                <w:sz w:val="13"/>
                <w:szCs w:val="13"/>
              </w:rPr>
            </w:pPr>
            <w:r w:rsidRPr="00E14EE6">
              <w:rPr>
                <w:b/>
                <w:sz w:val="13"/>
              </w:rPr>
              <w:t>9,441.8</w:t>
            </w:r>
          </w:p>
        </w:tc>
        <w:tc>
          <w:tcPr>
            <w:tcW w:w="499" w:type="pct"/>
            <w:noWrap/>
            <w:hideMark/>
          </w:tcPr>
          <w:p w14:paraId="79857EC5" w14:textId="77777777" w:rsidR="00CA7676" w:rsidRPr="00E14EE6" w:rsidRDefault="00CA7676" w:rsidP="00E14EE6">
            <w:pPr>
              <w:jc w:val="right"/>
              <w:rPr>
                <w:rFonts w:eastAsia="Times New Roman" w:cs="Calibri"/>
                <w:b/>
                <w:bCs/>
                <w:sz w:val="13"/>
                <w:szCs w:val="13"/>
              </w:rPr>
            </w:pPr>
            <w:r w:rsidRPr="00E14EE6">
              <w:rPr>
                <w:b/>
                <w:sz w:val="13"/>
              </w:rPr>
              <w:t>9,839.6</w:t>
            </w:r>
          </w:p>
        </w:tc>
        <w:tc>
          <w:tcPr>
            <w:tcW w:w="497" w:type="pct"/>
            <w:noWrap/>
            <w:hideMark/>
          </w:tcPr>
          <w:p w14:paraId="115D3D9C" w14:textId="77777777" w:rsidR="00CA7676" w:rsidRPr="00E14EE6" w:rsidRDefault="00CA7676" w:rsidP="00E14EE6">
            <w:pPr>
              <w:jc w:val="right"/>
              <w:rPr>
                <w:rFonts w:eastAsia="Times New Roman" w:cs="Calibri"/>
                <w:b/>
                <w:bCs/>
                <w:sz w:val="13"/>
                <w:szCs w:val="13"/>
              </w:rPr>
            </w:pPr>
            <w:r w:rsidRPr="00E14EE6">
              <w:rPr>
                <w:b/>
                <w:sz w:val="13"/>
              </w:rPr>
              <w:t>10,134.6</w:t>
            </w:r>
          </w:p>
        </w:tc>
        <w:tc>
          <w:tcPr>
            <w:tcW w:w="497" w:type="pct"/>
            <w:noWrap/>
            <w:hideMark/>
          </w:tcPr>
          <w:p w14:paraId="41114ED5" w14:textId="77777777" w:rsidR="00CA7676" w:rsidRPr="00E14EE6" w:rsidRDefault="00CA7676" w:rsidP="00E14EE6">
            <w:pPr>
              <w:jc w:val="right"/>
              <w:rPr>
                <w:rFonts w:eastAsia="Times New Roman" w:cs="Calibri"/>
                <w:b/>
                <w:bCs/>
                <w:sz w:val="13"/>
                <w:szCs w:val="13"/>
              </w:rPr>
            </w:pPr>
            <w:r w:rsidRPr="00E14EE6">
              <w:rPr>
                <w:b/>
                <w:sz w:val="13"/>
              </w:rPr>
              <w:t>10,638.1</w:t>
            </w:r>
          </w:p>
        </w:tc>
        <w:tc>
          <w:tcPr>
            <w:tcW w:w="498" w:type="pct"/>
            <w:noWrap/>
            <w:hideMark/>
          </w:tcPr>
          <w:p w14:paraId="500A0DF4" w14:textId="77777777" w:rsidR="00CA7676" w:rsidRPr="00E14EE6" w:rsidRDefault="00CA7676" w:rsidP="00E14EE6">
            <w:pPr>
              <w:jc w:val="right"/>
              <w:rPr>
                <w:rFonts w:eastAsia="Times New Roman" w:cs="Calibri"/>
                <w:b/>
                <w:bCs/>
                <w:sz w:val="13"/>
                <w:szCs w:val="13"/>
              </w:rPr>
            </w:pPr>
            <w:r w:rsidRPr="00E14EE6">
              <w:rPr>
                <w:b/>
                <w:sz w:val="13"/>
              </w:rPr>
              <w:t>11,192.7</w:t>
            </w:r>
          </w:p>
        </w:tc>
        <w:tc>
          <w:tcPr>
            <w:tcW w:w="497" w:type="pct"/>
            <w:noWrap/>
            <w:hideMark/>
          </w:tcPr>
          <w:p w14:paraId="2CC63BE8" w14:textId="77777777" w:rsidR="00CA7676" w:rsidRPr="00E14EE6" w:rsidRDefault="00CA7676" w:rsidP="00E14EE6">
            <w:pPr>
              <w:jc w:val="right"/>
              <w:rPr>
                <w:rFonts w:eastAsia="Times New Roman" w:cs="Calibri"/>
                <w:b/>
                <w:bCs/>
                <w:sz w:val="13"/>
                <w:szCs w:val="13"/>
              </w:rPr>
            </w:pPr>
            <w:r w:rsidRPr="00E14EE6">
              <w:rPr>
                <w:b/>
                <w:sz w:val="13"/>
              </w:rPr>
              <w:t>10,301.9</w:t>
            </w:r>
          </w:p>
        </w:tc>
        <w:tc>
          <w:tcPr>
            <w:tcW w:w="498" w:type="pct"/>
            <w:noWrap/>
            <w:hideMark/>
          </w:tcPr>
          <w:p w14:paraId="4BF50D32" w14:textId="77777777" w:rsidR="00CA7676" w:rsidRPr="00E14EE6" w:rsidRDefault="00CA7676" w:rsidP="00E14EE6">
            <w:pPr>
              <w:jc w:val="right"/>
              <w:rPr>
                <w:rFonts w:eastAsia="Times New Roman" w:cs="Calibri"/>
                <w:b/>
                <w:bCs/>
                <w:sz w:val="13"/>
                <w:szCs w:val="13"/>
              </w:rPr>
            </w:pPr>
            <w:r w:rsidRPr="00E14EE6">
              <w:rPr>
                <w:b/>
                <w:sz w:val="13"/>
              </w:rPr>
              <w:t>12,462.0</w:t>
            </w:r>
          </w:p>
        </w:tc>
      </w:tr>
      <w:tr w:rsidR="00CA7676" w:rsidRPr="00E14EE6" w14:paraId="2F78A726" w14:textId="77777777" w:rsidTr="00FD6B66">
        <w:trPr>
          <w:cantSplit/>
          <w:trHeight w:val="20"/>
        </w:trPr>
        <w:tc>
          <w:tcPr>
            <w:tcW w:w="1019" w:type="pct"/>
            <w:noWrap/>
            <w:hideMark/>
          </w:tcPr>
          <w:p w14:paraId="3753271B" w14:textId="77777777" w:rsidR="00CA7676" w:rsidRPr="00E14EE6" w:rsidRDefault="00CA7676" w:rsidP="00E14EE6">
            <w:pPr>
              <w:jc w:val="left"/>
              <w:rPr>
                <w:rFonts w:eastAsia="Times New Roman" w:cs="Calibri"/>
                <w:sz w:val="14"/>
                <w:szCs w:val="14"/>
              </w:rPr>
            </w:pPr>
            <w:r w:rsidRPr="00E14EE6">
              <w:rPr>
                <w:sz w:val="14"/>
              </w:rPr>
              <w:t>Domestic</w:t>
            </w:r>
          </w:p>
        </w:tc>
        <w:tc>
          <w:tcPr>
            <w:tcW w:w="497" w:type="pct"/>
            <w:noWrap/>
            <w:hideMark/>
          </w:tcPr>
          <w:p w14:paraId="0C100569" w14:textId="77777777" w:rsidR="00CA7676" w:rsidRPr="00E14EE6" w:rsidRDefault="00CA7676" w:rsidP="00E14EE6">
            <w:pPr>
              <w:jc w:val="right"/>
              <w:rPr>
                <w:rFonts w:eastAsia="Times New Roman" w:cs="Calibri"/>
                <w:sz w:val="14"/>
                <w:szCs w:val="14"/>
              </w:rPr>
            </w:pPr>
            <w:r w:rsidRPr="00E14EE6">
              <w:rPr>
                <w:sz w:val="14"/>
              </w:rPr>
              <w:t>4,637.2</w:t>
            </w:r>
          </w:p>
        </w:tc>
        <w:tc>
          <w:tcPr>
            <w:tcW w:w="497" w:type="pct"/>
            <w:noWrap/>
            <w:hideMark/>
          </w:tcPr>
          <w:p w14:paraId="5DAC5560" w14:textId="77777777" w:rsidR="00CA7676" w:rsidRPr="00E14EE6" w:rsidRDefault="00CA7676" w:rsidP="00E14EE6">
            <w:pPr>
              <w:jc w:val="right"/>
              <w:rPr>
                <w:rFonts w:eastAsia="Times New Roman" w:cs="Calibri"/>
                <w:sz w:val="14"/>
                <w:szCs w:val="14"/>
              </w:rPr>
            </w:pPr>
            <w:r w:rsidRPr="00E14EE6">
              <w:rPr>
                <w:sz w:val="14"/>
              </w:rPr>
              <w:t>4,018.2</w:t>
            </w:r>
          </w:p>
        </w:tc>
        <w:tc>
          <w:tcPr>
            <w:tcW w:w="499" w:type="pct"/>
            <w:noWrap/>
            <w:hideMark/>
          </w:tcPr>
          <w:p w14:paraId="3754219C" w14:textId="77777777" w:rsidR="00CA7676" w:rsidRPr="00E14EE6" w:rsidRDefault="00CA7676" w:rsidP="00E14EE6">
            <w:pPr>
              <w:jc w:val="right"/>
              <w:rPr>
                <w:rFonts w:eastAsia="Times New Roman" w:cs="Calibri"/>
                <w:sz w:val="14"/>
                <w:szCs w:val="14"/>
              </w:rPr>
            </w:pPr>
            <w:r w:rsidRPr="00E14EE6">
              <w:rPr>
                <w:sz w:val="14"/>
              </w:rPr>
              <w:t>4,335.7</w:t>
            </w:r>
          </w:p>
        </w:tc>
        <w:tc>
          <w:tcPr>
            <w:tcW w:w="497" w:type="pct"/>
            <w:noWrap/>
            <w:hideMark/>
          </w:tcPr>
          <w:p w14:paraId="319A406E" w14:textId="77777777" w:rsidR="00CA7676" w:rsidRPr="00E14EE6" w:rsidRDefault="00CA7676" w:rsidP="00E14EE6">
            <w:pPr>
              <w:jc w:val="right"/>
              <w:rPr>
                <w:rFonts w:eastAsia="Times New Roman" w:cs="Calibri"/>
                <w:sz w:val="14"/>
                <w:szCs w:val="14"/>
              </w:rPr>
            </w:pPr>
            <w:r w:rsidRPr="00E14EE6">
              <w:rPr>
                <w:sz w:val="14"/>
              </w:rPr>
              <w:t>4,425.0</w:t>
            </w:r>
          </w:p>
        </w:tc>
        <w:tc>
          <w:tcPr>
            <w:tcW w:w="497" w:type="pct"/>
            <w:noWrap/>
            <w:hideMark/>
          </w:tcPr>
          <w:p w14:paraId="05A67EE0" w14:textId="77777777" w:rsidR="00CA7676" w:rsidRPr="00E14EE6" w:rsidRDefault="00CA7676" w:rsidP="00E14EE6">
            <w:pPr>
              <w:jc w:val="right"/>
              <w:rPr>
                <w:rFonts w:eastAsia="Times New Roman" w:cs="Calibri"/>
                <w:sz w:val="14"/>
                <w:szCs w:val="14"/>
              </w:rPr>
            </w:pPr>
            <w:r w:rsidRPr="00E14EE6">
              <w:rPr>
                <w:sz w:val="14"/>
              </w:rPr>
              <w:t>4,602.9</w:t>
            </w:r>
          </w:p>
        </w:tc>
        <w:tc>
          <w:tcPr>
            <w:tcW w:w="498" w:type="pct"/>
            <w:noWrap/>
            <w:hideMark/>
          </w:tcPr>
          <w:p w14:paraId="5F5E12B7" w14:textId="77777777" w:rsidR="00CA7676" w:rsidRPr="00E14EE6" w:rsidRDefault="00CA7676" w:rsidP="00E14EE6">
            <w:pPr>
              <w:jc w:val="right"/>
              <w:rPr>
                <w:rFonts w:eastAsia="Times New Roman" w:cs="Calibri"/>
                <w:sz w:val="14"/>
                <w:szCs w:val="14"/>
              </w:rPr>
            </w:pPr>
            <w:r w:rsidRPr="00E14EE6">
              <w:rPr>
                <w:sz w:val="14"/>
              </w:rPr>
              <w:t>4,943.2</w:t>
            </w:r>
          </w:p>
        </w:tc>
        <w:tc>
          <w:tcPr>
            <w:tcW w:w="497" w:type="pct"/>
            <w:noWrap/>
            <w:hideMark/>
          </w:tcPr>
          <w:p w14:paraId="3700F14A" w14:textId="77777777" w:rsidR="00CA7676" w:rsidRPr="00E14EE6" w:rsidRDefault="00CA7676" w:rsidP="00E14EE6">
            <w:pPr>
              <w:jc w:val="right"/>
              <w:rPr>
                <w:rFonts w:eastAsia="Times New Roman" w:cs="Calibri"/>
                <w:sz w:val="14"/>
                <w:szCs w:val="14"/>
              </w:rPr>
            </w:pPr>
            <w:r w:rsidRPr="00E14EE6">
              <w:rPr>
                <w:sz w:val="14"/>
              </w:rPr>
              <w:t>4,407.4</w:t>
            </w:r>
          </w:p>
        </w:tc>
        <w:tc>
          <w:tcPr>
            <w:tcW w:w="498" w:type="pct"/>
            <w:noWrap/>
            <w:hideMark/>
          </w:tcPr>
          <w:p w14:paraId="3A35728F" w14:textId="77777777" w:rsidR="00CA7676" w:rsidRPr="00E14EE6" w:rsidRDefault="00CA7676" w:rsidP="00E14EE6">
            <w:pPr>
              <w:jc w:val="right"/>
              <w:rPr>
                <w:rFonts w:eastAsia="Times New Roman" w:cs="Calibri"/>
                <w:sz w:val="14"/>
                <w:szCs w:val="14"/>
              </w:rPr>
            </w:pPr>
            <w:r w:rsidRPr="00E14EE6">
              <w:rPr>
                <w:sz w:val="14"/>
              </w:rPr>
              <w:t>5,282.4</w:t>
            </w:r>
          </w:p>
        </w:tc>
      </w:tr>
      <w:tr w:rsidR="00CA7676" w:rsidRPr="00E14EE6" w14:paraId="0EEE4FEA" w14:textId="77777777" w:rsidTr="00FD6B66">
        <w:trPr>
          <w:cnfStyle w:val="000000010000" w:firstRow="0" w:lastRow="0" w:firstColumn="0" w:lastColumn="0" w:oddVBand="0" w:evenVBand="0" w:oddHBand="0" w:evenHBand="1" w:firstRowFirstColumn="0" w:firstRowLastColumn="0" w:lastRowFirstColumn="0" w:lastRowLastColumn="0"/>
          <w:cantSplit/>
          <w:trHeight w:val="20"/>
        </w:trPr>
        <w:tc>
          <w:tcPr>
            <w:tcW w:w="1019" w:type="pct"/>
            <w:noWrap/>
            <w:hideMark/>
          </w:tcPr>
          <w:p w14:paraId="42B1366B" w14:textId="77777777" w:rsidR="00CA7676" w:rsidRPr="00E14EE6" w:rsidRDefault="00CA7676" w:rsidP="00E14EE6">
            <w:pPr>
              <w:jc w:val="left"/>
              <w:rPr>
                <w:rFonts w:eastAsia="Times New Roman" w:cs="Calibri"/>
                <w:sz w:val="14"/>
                <w:szCs w:val="14"/>
              </w:rPr>
            </w:pPr>
            <w:r w:rsidRPr="00E14EE6">
              <w:rPr>
                <w:sz w:val="14"/>
              </w:rPr>
              <w:t>Free zones</w:t>
            </w:r>
          </w:p>
        </w:tc>
        <w:tc>
          <w:tcPr>
            <w:tcW w:w="497" w:type="pct"/>
            <w:noWrap/>
            <w:hideMark/>
          </w:tcPr>
          <w:p w14:paraId="23818A01" w14:textId="77777777" w:rsidR="00CA7676" w:rsidRPr="00E14EE6" w:rsidRDefault="00CA7676" w:rsidP="00E14EE6">
            <w:pPr>
              <w:jc w:val="right"/>
              <w:rPr>
                <w:rFonts w:eastAsia="Times New Roman" w:cs="Calibri"/>
                <w:sz w:val="14"/>
                <w:szCs w:val="14"/>
              </w:rPr>
            </w:pPr>
            <w:r w:rsidRPr="00E14EE6">
              <w:rPr>
                <w:sz w:val="14"/>
              </w:rPr>
              <w:t>5,261.7</w:t>
            </w:r>
          </w:p>
        </w:tc>
        <w:tc>
          <w:tcPr>
            <w:tcW w:w="497" w:type="pct"/>
            <w:noWrap/>
            <w:hideMark/>
          </w:tcPr>
          <w:p w14:paraId="3B9807C1" w14:textId="77777777" w:rsidR="00CA7676" w:rsidRPr="00E14EE6" w:rsidRDefault="00CA7676" w:rsidP="00E14EE6">
            <w:pPr>
              <w:jc w:val="right"/>
              <w:rPr>
                <w:rFonts w:eastAsia="Times New Roman" w:cs="Calibri"/>
                <w:sz w:val="14"/>
                <w:szCs w:val="14"/>
              </w:rPr>
            </w:pPr>
            <w:r w:rsidRPr="00E14EE6">
              <w:rPr>
                <w:sz w:val="14"/>
              </w:rPr>
              <w:t>5,423.6</w:t>
            </w:r>
          </w:p>
        </w:tc>
        <w:tc>
          <w:tcPr>
            <w:tcW w:w="499" w:type="pct"/>
            <w:noWrap/>
            <w:hideMark/>
          </w:tcPr>
          <w:p w14:paraId="526E4437" w14:textId="77777777" w:rsidR="00CA7676" w:rsidRPr="00E14EE6" w:rsidRDefault="00CA7676" w:rsidP="00E14EE6">
            <w:pPr>
              <w:jc w:val="right"/>
              <w:rPr>
                <w:rFonts w:eastAsia="Times New Roman" w:cs="Calibri"/>
                <w:sz w:val="14"/>
                <w:szCs w:val="14"/>
              </w:rPr>
            </w:pPr>
            <w:r w:rsidRPr="00E14EE6">
              <w:rPr>
                <w:sz w:val="14"/>
              </w:rPr>
              <w:t>5,503.9</w:t>
            </w:r>
          </w:p>
        </w:tc>
        <w:tc>
          <w:tcPr>
            <w:tcW w:w="497" w:type="pct"/>
            <w:noWrap/>
            <w:hideMark/>
          </w:tcPr>
          <w:p w14:paraId="6B3BC84C" w14:textId="77777777" w:rsidR="00CA7676" w:rsidRPr="00E14EE6" w:rsidRDefault="00CA7676" w:rsidP="00E14EE6">
            <w:pPr>
              <w:jc w:val="right"/>
              <w:rPr>
                <w:rFonts w:eastAsia="Times New Roman" w:cs="Calibri"/>
                <w:sz w:val="14"/>
                <w:szCs w:val="14"/>
              </w:rPr>
            </w:pPr>
            <w:r w:rsidRPr="00E14EE6">
              <w:rPr>
                <w:sz w:val="14"/>
              </w:rPr>
              <w:t>5,709.6</w:t>
            </w:r>
          </w:p>
        </w:tc>
        <w:tc>
          <w:tcPr>
            <w:tcW w:w="497" w:type="pct"/>
            <w:noWrap/>
            <w:hideMark/>
          </w:tcPr>
          <w:p w14:paraId="6F7FEF09" w14:textId="77777777" w:rsidR="00CA7676" w:rsidRPr="00E14EE6" w:rsidRDefault="00CA7676" w:rsidP="00E14EE6">
            <w:pPr>
              <w:jc w:val="right"/>
              <w:rPr>
                <w:rFonts w:eastAsia="Times New Roman" w:cs="Calibri"/>
                <w:sz w:val="14"/>
                <w:szCs w:val="14"/>
              </w:rPr>
            </w:pPr>
            <w:r w:rsidRPr="00E14EE6">
              <w:rPr>
                <w:sz w:val="14"/>
              </w:rPr>
              <w:t>6,035.2</w:t>
            </w:r>
          </w:p>
        </w:tc>
        <w:tc>
          <w:tcPr>
            <w:tcW w:w="498" w:type="pct"/>
            <w:noWrap/>
            <w:hideMark/>
          </w:tcPr>
          <w:p w14:paraId="1A022DF9" w14:textId="77777777" w:rsidR="00CA7676" w:rsidRPr="00E14EE6" w:rsidRDefault="00CA7676" w:rsidP="00E14EE6">
            <w:pPr>
              <w:jc w:val="right"/>
              <w:rPr>
                <w:rFonts w:eastAsia="Times New Roman" w:cs="Calibri"/>
                <w:sz w:val="14"/>
                <w:szCs w:val="14"/>
              </w:rPr>
            </w:pPr>
            <w:r w:rsidRPr="00E14EE6">
              <w:rPr>
                <w:sz w:val="14"/>
              </w:rPr>
              <w:t>6,249.5</w:t>
            </w:r>
          </w:p>
        </w:tc>
        <w:tc>
          <w:tcPr>
            <w:tcW w:w="497" w:type="pct"/>
            <w:noWrap/>
            <w:hideMark/>
          </w:tcPr>
          <w:p w14:paraId="60AA6D1E" w14:textId="77777777" w:rsidR="00CA7676" w:rsidRPr="00E14EE6" w:rsidRDefault="00CA7676" w:rsidP="00E14EE6">
            <w:pPr>
              <w:jc w:val="right"/>
              <w:rPr>
                <w:rFonts w:eastAsia="Times New Roman" w:cs="Calibri"/>
                <w:sz w:val="14"/>
                <w:szCs w:val="14"/>
              </w:rPr>
            </w:pPr>
            <w:r w:rsidRPr="00E14EE6">
              <w:rPr>
                <w:sz w:val="14"/>
              </w:rPr>
              <w:t>5,894.5</w:t>
            </w:r>
          </w:p>
        </w:tc>
        <w:tc>
          <w:tcPr>
            <w:tcW w:w="498" w:type="pct"/>
            <w:noWrap/>
            <w:hideMark/>
          </w:tcPr>
          <w:p w14:paraId="0528F291" w14:textId="77777777" w:rsidR="00CA7676" w:rsidRPr="00E14EE6" w:rsidRDefault="00CA7676" w:rsidP="00E14EE6">
            <w:pPr>
              <w:jc w:val="right"/>
              <w:rPr>
                <w:rFonts w:eastAsia="Times New Roman" w:cs="Calibri"/>
                <w:sz w:val="14"/>
                <w:szCs w:val="14"/>
              </w:rPr>
            </w:pPr>
            <w:r w:rsidRPr="00E14EE6">
              <w:rPr>
                <w:sz w:val="14"/>
              </w:rPr>
              <w:t>7,179.6</w:t>
            </w:r>
          </w:p>
        </w:tc>
      </w:tr>
      <w:tr w:rsidR="00CA7676" w:rsidRPr="00E14EE6" w14:paraId="1D76895D" w14:textId="77777777" w:rsidTr="00FD6B66">
        <w:trPr>
          <w:cantSplit/>
          <w:trHeight w:val="20"/>
        </w:trPr>
        <w:tc>
          <w:tcPr>
            <w:tcW w:w="1019" w:type="pct"/>
            <w:noWrap/>
            <w:hideMark/>
          </w:tcPr>
          <w:p w14:paraId="677C7010" w14:textId="77777777" w:rsidR="00CA7676" w:rsidRPr="00E14EE6" w:rsidRDefault="00CA7676" w:rsidP="00E14EE6">
            <w:pPr>
              <w:jc w:val="left"/>
              <w:rPr>
                <w:rFonts w:eastAsia="Times New Roman" w:cs="Calibri"/>
                <w:b/>
                <w:bCs/>
                <w:sz w:val="14"/>
                <w:szCs w:val="14"/>
              </w:rPr>
            </w:pPr>
            <w:r w:rsidRPr="00E14EE6">
              <w:rPr>
                <w:b/>
                <w:sz w:val="14"/>
              </w:rPr>
              <w:t>Imports</w:t>
            </w:r>
          </w:p>
        </w:tc>
        <w:tc>
          <w:tcPr>
            <w:tcW w:w="497" w:type="pct"/>
            <w:noWrap/>
            <w:hideMark/>
          </w:tcPr>
          <w:p w14:paraId="2BE40E86" w14:textId="77777777" w:rsidR="00CA7676" w:rsidRPr="00E14EE6" w:rsidRDefault="00CA7676" w:rsidP="00E14EE6">
            <w:pPr>
              <w:jc w:val="right"/>
              <w:rPr>
                <w:rFonts w:eastAsia="Times New Roman" w:cs="Calibri"/>
                <w:b/>
                <w:bCs/>
                <w:sz w:val="13"/>
                <w:szCs w:val="13"/>
              </w:rPr>
            </w:pPr>
            <w:r w:rsidRPr="00E14EE6">
              <w:rPr>
                <w:b/>
                <w:sz w:val="13"/>
              </w:rPr>
              <w:t>17,273.1</w:t>
            </w:r>
          </w:p>
        </w:tc>
        <w:tc>
          <w:tcPr>
            <w:tcW w:w="497" w:type="pct"/>
            <w:noWrap/>
            <w:hideMark/>
          </w:tcPr>
          <w:p w14:paraId="670DF60E" w14:textId="77777777" w:rsidR="00CA7676" w:rsidRPr="00E14EE6" w:rsidRDefault="00CA7676" w:rsidP="00E14EE6">
            <w:pPr>
              <w:jc w:val="right"/>
              <w:rPr>
                <w:rFonts w:eastAsia="Times New Roman" w:cs="Calibri"/>
                <w:b/>
                <w:bCs/>
                <w:sz w:val="13"/>
                <w:szCs w:val="13"/>
              </w:rPr>
            </w:pPr>
            <w:r w:rsidRPr="00E14EE6">
              <w:rPr>
                <w:b/>
                <w:sz w:val="13"/>
              </w:rPr>
              <w:t>16,906.5</w:t>
            </w:r>
          </w:p>
        </w:tc>
        <w:tc>
          <w:tcPr>
            <w:tcW w:w="499" w:type="pct"/>
            <w:noWrap/>
            <w:hideMark/>
          </w:tcPr>
          <w:p w14:paraId="1DA56CF3" w14:textId="77777777" w:rsidR="00CA7676" w:rsidRPr="00E14EE6" w:rsidRDefault="00CA7676" w:rsidP="00E14EE6">
            <w:pPr>
              <w:jc w:val="right"/>
              <w:rPr>
                <w:rFonts w:eastAsia="Times New Roman" w:cs="Calibri"/>
                <w:b/>
                <w:bCs/>
                <w:sz w:val="13"/>
                <w:szCs w:val="13"/>
              </w:rPr>
            </w:pPr>
            <w:r w:rsidRPr="00E14EE6">
              <w:rPr>
                <w:b/>
                <w:sz w:val="13"/>
              </w:rPr>
              <w:t>17,398.6</w:t>
            </w:r>
          </w:p>
        </w:tc>
        <w:tc>
          <w:tcPr>
            <w:tcW w:w="497" w:type="pct"/>
            <w:noWrap/>
            <w:hideMark/>
          </w:tcPr>
          <w:p w14:paraId="6E517566" w14:textId="77777777" w:rsidR="00CA7676" w:rsidRPr="00E14EE6" w:rsidRDefault="00CA7676" w:rsidP="00E14EE6">
            <w:pPr>
              <w:jc w:val="right"/>
              <w:rPr>
                <w:rFonts w:eastAsia="Times New Roman" w:cs="Calibri"/>
                <w:b/>
                <w:bCs/>
                <w:sz w:val="13"/>
                <w:szCs w:val="13"/>
              </w:rPr>
            </w:pPr>
            <w:r w:rsidRPr="00E14EE6">
              <w:rPr>
                <w:b/>
                <w:sz w:val="13"/>
              </w:rPr>
              <w:t>17,734.3</w:t>
            </w:r>
          </w:p>
        </w:tc>
        <w:tc>
          <w:tcPr>
            <w:tcW w:w="497" w:type="pct"/>
            <w:noWrap/>
            <w:hideMark/>
          </w:tcPr>
          <w:p w14:paraId="4611C310" w14:textId="77777777" w:rsidR="00CA7676" w:rsidRPr="00E14EE6" w:rsidRDefault="00CA7676" w:rsidP="00E14EE6">
            <w:pPr>
              <w:jc w:val="right"/>
              <w:rPr>
                <w:rFonts w:eastAsia="Times New Roman" w:cs="Calibri"/>
                <w:b/>
                <w:bCs/>
                <w:sz w:val="13"/>
                <w:szCs w:val="13"/>
              </w:rPr>
            </w:pPr>
            <w:r w:rsidRPr="00E14EE6">
              <w:rPr>
                <w:b/>
                <w:sz w:val="13"/>
              </w:rPr>
              <w:t>20,197.3</w:t>
            </w:r>
          </w:p>
        </w:tc>
        <w:tc>
          <w:tcPr>
            <w:tcW w:w="498" w:type="pct"/>
            <w:noWrap/>
            <w:hideMark/>
          </w:tcPr>
          <w:p w14:paraId="32752424" w14:textId="77777777" w:rsidR="00CA7676" w:rsidRPr="00E14EE6" w:rsidRDefault="00CA7676" w:rsidP="00E14EE6">
            <w:pPr>
              <w:jc w:val="right"/>
              <w:rPr>
                <w:rFonts w:eastAsia="Times New Roman" w:cs="Calibri"/>
                <w:b/>
                <w:bCs/>
                <w:sz w:val="13"/>
                <w:szCs w:val="13"/>
              </w:rPr>
            </w:pPr>
            <w:r w:rsidRPr="00E14EE6">
              <w:rPr>
                <w:b/>
                <w:sz w:val="13"/>
              </w:rPr>
              <w:t>20,267.8</w:t>
            </w:r>
          </w:p>
        </w:tc>
        <w:tc>
          <w:tcPr>
            <w:tcW w:w="497" w:type="pct"/>
            <w:noWrap/>
            <w:hideMark/>
          </w:tcPr>
          <w:p w14:paraId="52F83F0F" w14:textId="77777777" w:rsidR="00CA7676" w:rsidRPr="00E14EE6" w:rsidRDefault="00CA7676" w:rsidP="00E14EE6">
            <w:pPr>
              <w:jc w:val="right"/>
              <w:rPr>
                <w:rFonts w:eastAsia="Times New Roman" w:cs="Calibri"/>
                <w:b/>
                <w:bCs/>
                <w:sz w:val="13"/>
                <w:szCs w:val="13"/>
              </w:rPr>
            </w:pPr>
            <w:r w:rsidRPr="00E14EE6">
              <w:rPr>
                <w:b/>
                <w:sz w:val="13"/>
              </w:rPr>
              <w:t>17,105.0</w:t>
            </w:r>
          </w:p>
        </w:tc>
        <w:tc>
          <w:tcPr>
            <w:tcW w:w="498" w:type="pct"/>
            <w:noWrap/>
            <w:hideMark/>
          </w:tcPr>
          <w:p w14:paraId="18981551" w14:textId="77777777" w:rsidR="00CA7676" w:rsidRPr="00E14EE6" w:rsidRDefault="00CA7676" w:rsidP="00E14EE6">
            <w:pPr>
              <w:jc w:val="right"/>
              <w:rPr>
                <w:rFonts w:eastAsia="Times New Roman" w:cs="Calibri"/>
                <w:b/>
                <w:bCs/>
                <w:sz w:val="13"/>
                <w:szCs w:val="13"/>
              </w:rPr>
            </w:pPr>
            <w:r w:rsidRPr="00E14EE6">
              <w:rPr>
                <w:b/>
                <w:sz w:val="13"/>
              </w:rPr>
              <w:t>24,143.2</w:t>
            </w:r>
          </w:p>
        </w:tc>
      </w:tr>
      <w:tr w:rsidR="00CA7676" w:rsidRPr="00E14EE6" w14:paraId="6C8F9761" w14:textId="77777777" w:rsidTr="00FD6B66">
        <w:trPr>
          <w:cnfStyle w:val="000000010000" w:firstRow="0" w:lastRow="0" w:firstColumn="0" w:lastColumn="0" w:oddVBand="0" w:evenVBand="0" w:oddHBand="0" w:evenHBand="1" w:firstRowFirstColumn="0" w:firstRowLastColumn="0" w:lastRowFirstColumn="0" w:lastRowLastColumn="0"/>
          <w:cantSplit/>
          <w:trHeight w:val="20"/>
        </w:trPr>
        <w:tc>
          <w:tcPr>
            <w:tcW w:w="1019" w:type="pct"/>
            <w:noWrap/>
            <w:hideMark/>
          </w:tcPr>
          <w:p w14:paraId="67806C74" w14:textId="77777777" w:rsidR="00CA7676" w:rsidRPr="00E14EE6" w:rsidRDefault="00CA7676" w:rsidP="00E14EE6">
            <w:pPr>
              <w:jc w:val="left"/>
              <w:rPr>
                <w:rFonts w:eastAsia="Times New Roman" w:cs="Calibri"/>
                <w:sz w:val="14"/>
                <w:szCs w:val="14"/>
              </w:rPr>
            </w:pPr>
            <w:r w:rsidRPr="00E14EE6">
              <w:rPr>
                <w:sz w:val="14"/>
              </w:rPr>
              <w:t>Domestic</w:t>
            </w:r>
          </w:p>
        </w:tc>
        <w:tc>
          <w:tcPr>
            <w:tcW w:w="497" w:type="pct"/>
            <w:noWrap/>
            <w:hideMark/>
          </w:tcPr>
          <w:p w14:paraId="44CD9CC5" w14:textId="77777777" w:rsidR="00CA7676" w:rsidRPr="00E14EE6" w:rsidRDefault="00CA7676" w:rsidP="00E14EE6">
            <w:pPr>
              <w:jc w:val="right"/>
              <w:rPr>
                <w:rFonts w:eastAsia="Times New Roman" w:cs="Calibri"/>
                <w:sz w:val="14"/>
                <w:szCs w:val="14"/>
              </w:rPr>
            </w:pPr>
            <w:r w:rsidRPr="00E14EE6">
              <w:rPr>
                <w:sz w:val="14"/>
              </w:rPr>
              <w:t>13,849.3</w:t>
            </w:r>
          </w:p>
        </w:tc>
        <w:tc>
          <w:tcPr>
            <w:tcW w:w="497" w:type="pct"/>
            <w:noWrap/>
            <w:hideMark/>
          </w:tcPr>
          <w:p w14:paraId="1F040A5C" w14:textId="77777777" w:rsidR="00CA7676" w:rsidRPr="00E14EE6" w:rsidRDefault="00CA7676" w:rsidP="00E14EE6">
            <w:pPr>
              <w:jc w:val="right"/>
              <w:rPr>
                <w:rFonts w:eastAsia="Times New Roman" w:cs="Calibri"/>
                <w:sz w:val="14"/>
                <w:szCs w:val="14"/>
              </w:rPr>
            </w:pPr>
            <w:r w:rsidRPr="00E14EE6">
              <w:rPr>
                <w:sz w:val="14"/>
              </w:rPr>
              <w:t>13,408.5</w:t>
            </w:r>
          </w:p>
        </w:tc>
        <w:tc>
          <w:tcPr>
            <w:tcW w:w="499" w:type="pct"/>
            <w:noWrap/>
            <w:hideMark/>
          </w:tcPr>
          <w:p w14:paraId="790E2843" w14:textId="77777777" w:rsidR="00CA7676" w:rsidRPr="00E14EE6" w:rsidRDefault="00CA7676" w:rsidP="00E14EE6">
            <w:pPr>
              <w:jc w:val="right"/>
              <w:rPr>
                <w:rFonts w:eastAsia="Times New Roman" w:cs="Calibri"/>
                <w:sz w:val="14"/>
                <w:szCs w:val="14"/>
              </w:rPr>
            </w:pPr>
            <w:r w:rsidRPr="00E14EE6">
              <w:rPr>
                <w:sz w:val="14"/>
              </w:rPr>
              <w:t>13,864.5</w:t>
            </w:r>
          </w:p>
        </w:tc>
        <w:tc>
          <w:tcPr>
            <w:tcW w:w="497" w:type="pct"/>
            <w:noWrap/>
            <w:hideMark/>
          </w:tcPr>
          <w:p w14:paraId="2F2B7F10" w14:textId="77777777" w:rsidR="00CA7676" w:rsidRPr="00E14EE6" w:rsidRDefault="00CA7676" w:rsidP="00E14EE6">
            <w:pPr>
              <w:jc w:val="right"/>
              <w:rPr>
                <w:rFonts w:eastAsia="Times New Roman" w:cs="Calibri"/>
                <w:sz w:val="14"/>
                <w:szCs w:val="14"/>
              </w:rPr>
            </w:pPr>
            <w:r w:rsidRPr="00E14EE6">
              <w:rPr>
                <w:sz w:val="14"/>
              </w:rPr>
              <w:t>13,987.6</w:t>
            </w:r>
          </w:p>
        </w:tc>
        <w:tc>
          <w:tcPr>
            <w:tcW w:w="497" w:type="pct"/>
            <w:noWrap/>
            <w:hideMark/>
          </w:tcPr>
          <w:p w14:paraId="32B651DE" w14:textId="77777777" w:rsidR="00CA7676" w:rsidRPr="00E14EE6" w:rsidRDefault="00CA7676" w:rsidP="00E14EE6">
            <w:pPr>
              <w:jc w:val="right"/>
              <w:rPr>
                <w:rFonts w:eastAsia="Times New Roman" w:cs="Calibri"/>
                <w:sz w:val="14"/>
                <w:szCs w:val="14"/>
              </w:rPr>
            </w:pPr>
            <w:r w:rsidRPr="00E14EE6">
              <w:rPr>
                <w:sz w:val="14"/>
              </w:rPr>
              <w:t>16,359.7</w:t>
            </w:r>
          </w:p>
        </w:tc>
        <w:tc>
          <w:tcPr>
            <w:tcW w:w="498" w:type="pct"/>
            <w:noWrap/>
            <w:hideMark/>
          </w:tcPr>
          <w:p w14:paraId="176F8F50" w14:textId="77777777" w:rsidR="00CA7676" w:rsidRPr="00E14EE6" w:rsidRDefault="00CA7676" w:rsidP="00E14EE6">
            <w:pPr>
              <w:jc w:val="right"/>
              <w:rPr>
                <w:rFonts w:eastAsia="Times New Roman" w:cs="Calibri"/>
                <w:sz w:val="14"/>
                <w:szCs w:val="14"/>
              </w:rPr>
            </w:pPr>
            <w:r w:rsidRPr="00E14EE6">
              <w:rPr>
                <w:sz w:val="14"/>
              </w:rPr>
              <w:t>16,316.2</w:t>
            </w:r>
          </w:p>
        </w:tc>
        <w:tc>
          <w:tcPr>
            <w:tcW w:w="497" w:type="pct"/>
            <w:noWrap/>
            <w:hideMark/>
          </w:tcPr>
          <w:p w14:paraId="2DD9A57D" w14:textId="77777777" w:rsidR="00CA7676" w:rsidRPr="00E14EE6" w:rsidRDefault="00CA7676" w:rsidP="00E14EE6">
            <w:pPr>
              <w:jc w:val="right"/>
              <w:rPr>
                <w:rFonts w:eastAsia="Times New Roman" w:cs="Calibri"/>
                <w:sz w:val="14"/>
                <w:szCs w:val="14"/>
              </w:rPr>
            </w:pPr>
            <w:r w:rsidRPr="00E14EE6">
              <w:rPr>
                <w:sz w:val="14"/>
              </w:rPr>
              <w:t>13,484.8</w:t>
            </w:r>
          </w:p>
        </w:tc>
        <w:tc>
          <w:tcPr>
            <w:tcW w:w="498" w:type="pct"/>
            <w:noWrap/>
            <w:hideMark/>
          </w:tcPr>
          <w:p w14:paraId="11AE7372" w14:textId="77777777" w:rsidR="00CA7676" w:rsidRPr="00E14EE6" w:rsidRDefault="00CA7676" w:rsidP="00E14EE6">
            <w:pPr>
              <w:jc w:val="right"/>
              <w:rPr>
                <w:rFonts w:eastAsia="Times New Roman" w:cs="Calibri"/>
                <w:sz w:val="14"/>
                <w:szCs w:val="14"/>
              </w:rPr>
            </w:pPr>
            <w:r w:rsidRPr="00E14EE6">
              <w:rPr>
                <w:sz w:val="14"/>
              </w:rPr>
              <w:t>19,532.3</w:t>
            </w:r>
          </w:p>
        </w:tc>
      </w:tr>
      <w:tr w:rsidR="00CA7676" w:rsidRPr="00E14EE6" w14:paraId="0B6FABD2" w14:textId="77777777" w:rsidTr="00FD6B66">
        <w:trPr>
          <w:cantSplit/>
          <w:trHeight w:val="20"/>
        </w:trPr>
        <w:tc>
          <w:tcPr>
            <w:tcW w:w="1019" w:type="pct"/>
            <w:noWrap/>
            <w:hideMark/>
          </w:tcPr>
          <w:p w14:paraId="5BAF6291" w14:textId="77777777" w:rsidR="00CA7676" w:rsidRPr="00E14EE6" w:rsidRDefault="00CA7676" w:rsidP="00E14EE6">
            <w:pPr>
              <w:jc w:val="left"/>
              <w:rPr>
                <w:rFonts w:eastAsia="Times New Roman" w:cs="Calibri"/>
                <w:sz w:val="14"/>
                <w:szCs w:val="14"/>
              </w:rPr>
            </w:pPr>
            <w:r w:rsidRPr="00E14EE6">
              <w:rPr>
                <w:sz w:val="14"/>
              </w:rPr>
              <w:t>Free zones</w:t>
            </w:r>
          </w:p>
        </w:tc>
        <w:tc>
          <w:tcPr>
            <w:tcW w:w="497" w:type="pct"/>
            <w:noWrap/>
            <w:hideMark/>
          </w:tcPr>
          <w:p w14:paraId="7265381A" w14:textId="77777777" w:rsidR="00CA7676" w:rsidRPr="00E14EE6" w:rsidRDefault="00CA7676" w:rsidP="00E14EE6">
            <w:pPr>
              <w:jc w:val="right"/>
              <w:rPr>
                <w:rFonts w:eastAsia="Times New Roman" w:cs="Calibri"/>
                <w:sz w:val="14"/>
                <w:szCs w:val="14"/>
              </w:rPr>
            </w:pPr>
            <w:r w:rsidRPr="00E14EE6">
              <w:rPr>
                <w:sz w:val="14"/>
              </w:rPr>
              <w:t>3,423.8</w:t>
            </w:r>
          </w:p>
        </w:tc>
        <w:tc>
          <w:tcPr>
            <w:tcW w:w="497" w:type="pct"/>
            <w:noWrap/>
            <w:hideMark/>
          </w:tcPr>
          <w:p w14:paraId="30263F13" w14:textId="77777777" w:rsidR="00CA7676" w:rsidRPr="00E14EE6" w:rsidRDefault="00CA7676" w:rsidP="00E14EE6">
            <w:pPr>
              <w:jc w:val="right"/>
              <w:rPr>
                <w:rFonts w:eastAsia="Times New Roman" w:cs="Calibri"/>
                <w:sz w:val="14"/>
                <w:szCs w:val="14"/>
              </w:rPr>
            </w:pPr>
            <w:r w:rsidRPr="00E14EE6">
              <w:rPr>
                <w:sz w:val="14"/>
              </w:rPr>
              <w:t>3,498.0</w:t>
            </w:r>
          </w:p>
        </w:tc>
        <w:tc>
          <w:tcPr>
            <w:tcW w:w="499" w:type="pct"/>
            <w:noWrap/>
            <w:hideMark/>
          </w:tcPr>
          <w:p w14:paraId="464E78AB" w14:textId="77777777" w:rsidR="00CA7676" w:rsidRPr="00E14EE6" w:rsidRDefault="00CA7676" w:rsidP="00E14EE6">
            <w:pPr>
              <w:jc w:val="right"/>
              <w:rPr>
                <w:rFonts w:eastAsia="Times New Roman" w:cs="Calibri"/>
                <w:sz w:val="14"/>
                <w:szCs w:val="14"/>
              </w:rPr>
            </w:pPr>
            <w:r w:rsidRPr="00E14EE6">
              <w:rPr>
                <w:sz w:val="14"/>
              </w:rPr>
              <w:t>3,534.1</w:t>
            </w:r>
          </w:p>
        </w:tc>
        <w:tc>
          <w:tcPr>
            <w:tcW w:w="497" w:type="pct"/>
            <w:noWrap/>
            <w:hideMark/>
          </w:tcPr>
          <w:p w14:paraId="4B781DE0" w14:textId="77777777" w:rsidR="00CA7676" w:rsidRPr="00E14EE6" w:rsidRDefault="00CA7676" w:rsidP="00E14EE6">
            <w:pPr>
              <w:jc w:val="right"/>
              <w:rPr>
                <w:rFonts w:eastAsia="Times New Roman" w:cs="Calibri"/>
                <w:sz w:val="14"/>
                <w:szCs w:val="14"/>
              </w:rPr>
            </w:pPr>
            <w:r w:rsidRPr="00E14EE6">
              <w:rPr>
                <w:sz w:val="14"/>
              </w:rPr>
              <w:t>3,746.7</w:t>
            </w:r>
          </w:p>
        </w:tc>
        <w:tc>
          <w:tcPr>
            <w:tcW w:w="497" w:type="pct"/>
            <w:noWrap/>
            <w:hideMark/>
          </w:tcPr>
          <w:p w14:paraId="5A1EE77A" w14:textId="77777777" w:rsidR="00CA7676" w:rsidRPr="00E14EE6" w:rsidRDefault="00CA7676" w:rsidP="00E14EE6">
            <w:pPr>
              <w:jc w:val="right"/>
              <w:rPr>
                <w:rFonts w:eastAsia="Times New Roman" w:cs="Calibri"/>
                <w:sz w:val="14"/>
                <w:szCs w:val="14"/>
              </w:rPr>
            </w:pPr>
            <w:r w:rsidRPr="00E14EE6">
              <w:rPr>
                <w:sz w:val="14"/>
              </w:rPr>
              <w:t>3,837.6</w:t>
            </w:r>
          </w:p>
        </w:tc>
        <w:tc>
          <w:tcPr>
            <w:tcW w:w="498" w:type="pct"/>
            <w:noWrap/>
            <w:hideMark/>
          </w:tcPr>
          <w:p w14:paraId="6EA309A3" w14:textId="77777777" w:rsidR="00CA7676" w:rsidRPr="00E14EE6" w:rsidRDefault="00CA7676" w:rsidP="00E14EE6">
            <w:pPr>
              <w:jc w:val="right"/>
              <w:rPr>
                <w:rFonts w:eastAsia="Times New Roman" w:cs="Calibri"/>
                <w:sz w:val="14"/>
                <w:szCs w:val="14"/>
              </w:rPr>
            </w:pPr>
            <w:r w:rsidRPr="00E14EE6">
              <w:rPr>
                <w:sz w:val="14"/>
              </w:rPr>
              <w:t>3,951.6</w:t>
            </w:r>
          </w:p>
        </w:tc>
        <w:tc>
          <w:tcPr>
            <w:tcW w:w="497" w:type="pct"/>
            <w:noWrap/>
            <w:hideMark/>
          </w:tcPr>
          <w:p w14:paraId="7FB595A4" w14:textId="77777777" w:rsidR="00CA7676" w:rsidRPr="00E14EE6" w:rsidRDefault="00CA7676" w:rsidP="00E14EE6">
            <w:pPr>
              <w:jc w:val="right"/>
              <w:rPr>
                <w:rFonts w:eastAsia="Times New Roman" w:cs="Calibri"/>
                <w:sz w:val="14"/>
                <w:szCs w:val="14"/>
              </w:rPr>
            </w:pPr>
            <w:r w:rsidRPr="00E14EE6">
              <w:rPr>
                <w:sz w:val="14"/>
              </w:rPr>
              <w:t>3,620.2</w:t>
            </w:r>
          </w:p>
        </w:tc>
        <w:tc>
          <w:tcPr>
            <w:tcW w:w="498" w:type="pct"/>
            <w:noWrap/>
            <w:hideMark/>
          </w:tcPr>
          <w:p w14:paraId="743AB647" w14:textId="77777777" w:rsidR="00CA7676" w:rsidRPr="00E14EE6" w:rsidRDefault="00CA7676" w:rsidP="00E14EE6">
            <w:pPr>
              <w:jc w:val="right"/>
              <w:rPr>
                <w:rFonts w:eastAsia="Times New Roman" w:cs="Calibri"/>
                <w:sz w:val="14"/>
                <w:szCs w:val="14"/>
              </w:rPr>
            </w:pPr>
            <w:r w:rsidRPr="00E14EE6">
              <w:rPr>
                <w:sz w:val="14"/>
              </w:rPr>
              <w:t>4,610.9</w:t>
            </w:r>
          </w:p>
        </w:tc>
      </w:tr>
      <w:tr w:rsidR="00CA7676" w:rsidRPr="00E14EE6" w14:paraId="7570F3A7" w14:textId="77777777" w:rsidTr="00FD6B66">
        <w:trPr>
          <w:cnfStyle w:val="000000010000" w:firstRow="0" w:lastRow="0" w:firstColumn="0" w:lastColumn="0" w:oddVBand="0" w:evenVBand="0" w:oddHBand="0" w:evenHBand="1" w:firstRowFirstColumn="0" w:firstRowLastColumn="0" w:lastRowFirstColumn="0" w:lastRowLastColumn="0"/>
          <w:cantSplit/>
          <w:trHeight w:val="20"/>
        </w:trPr>
        <w:tc>
          <w:tcPr>
            <w:tcW w:w="1019" w:type="pct"/>
            <w:noWrap/>
            <w:hideMark/>
          </w:tcPr>
          <w:p w14:paraId="561F4BAA" w14:textId="1C81ED95" w:rsidR="00CA7676" w:rsidRPr="00E14EE6" w:rsidRDefault="00CA7676" w:rsidP="00E14EE6">
            <w:pPr>
              <w:jc w:val="left"/>
              <w:rPr>
                <w:rFonts w:eastAsia="Times New Roman" w:cs="Calibri"/>
                <w:b/>
                <w:bCs/>
                <w:sz w:val="14"/>
                <w:szCs w:val="14"/>
              </w:rPr>
            </w:pPr>
            <w:r w:rsidRPr="00E14EE6">
              <w:rPr>
                <w:b/>
                <w:sz w:val="14"/>
              </w:rPr>
              <w:t>1.1.</w:t>
            </w:r>
            <w:r w:rsidR="00E14EE6" w:rsidRPr="00E14EE6">
              <w:rPr>
                <w:b/>
                <w:sz w:val="14"/>
              </w:rPr>
              <w:t xml:space="preserve">2 </w:t>
            </w:r>
            <w:r w:rsidRPr="00E14EE6">
              <w:rPr>
                <w:b/>
                <w:sz w:val="14"/>
              </w:rPr>
              <w:t>Services balance</w:t>
            </w:r>
          </w:p>
        </w:tc>
        <w:tc>
          <w:tcPr>
            <w:tcW w:w="497" w:type="pct"/>
            <w:noWrap/>
            <w:hideMark/>
          </w:tcPr>
          <w:p w14:paraId="09A69154" w14:textId="77777777" w:rsidR="00CA7676" w:rsidRPr="00E14EE6" w:rsidRDefault="00CA7676" w:rsidP="00E14EE6">
            <w:pPr>
              <w:jc w:val="right"/>
              <w:rPr>
                <w:rFonts w:eastAsia="Times New Roman" w:cs="Calibri"/>
                <w:b/>
                <w:bCs/>
                <w:sz w:val="14"/>
                <w:szCs w:val="14"/>
              </w:rPr>
            </w:pPr>
            <w:r w:rsidRPr="00E14EE6">
              <w:rPr>
                <w:b/>
                <w:sz w:val="14"/>
              </w:rPr>
              <w:t>4,083.9</w:t>
            </w:r>
          </w:p>
        </w:tc>
        <w:tc>
          <w:tcPr>
            <w:tcW w:w="497" w:type="pct"/>
            <w:noWrap/>
            <w:hideMark/>
          </w:tcPr>
          <w:p w14:paraId="5621EB74" w14:textId="77777777" w:rsidR="00CA7676" w:rsidRPr="00E14EE6" w:rsidRDefault="00CA7676" w:rsidP="00E14EE6">
            <w:pPr>
              <w:jc w:val="right"/>
              <w:rPr>
                <w:rFonts w:eastAsia="Times New Roman" w:cs="Calibri"/>
                <w:b/>
                <w:bCs/>
                <w:sz w:val="14"/>
                <w:szCs w:val="14"/>
              </w:rPr>
            </w:pPr>
            <w:r w:rsidRPr="00E14EE6">
              <w:rPr>
                <w:b/>
                <w:sz w:val="14"/>
              </w:rPr>
              <w:t>4,367.8</w:t>
            </w:r>
          </w:p>
        </w:tc>
        <w:tc>
          <w:tcPr>
            <w:tcW w:w="499" w:type="pct"/>
            <w:noWrap/>
            <w:hideMark/>
          </w:tcPr>
          <w:p w14:paraId="6E5293DC" w14:textId="77777777" w:rsidR="00CA7676" w:rsidRPr="00E14EE6" w:rsidRDefault="00CA7676" w:rsidP="00E14EE6">
            <w:pPr>
              <w:jc w:val="right"/>
              <w:rPr>
                <w:rFonts w:eastAsia="Times New Roman" w:cs="Calibri"/>
                <w:b/>
                <w:bCs/>
                <w:sz w:val="14"/>
                <w:szCs w:val="14"/>
              </w:rPr>
            </w:pPr>
            <w:r w:rsidRPr="00E14EE6">
              <w:rPr>
                <w:b/>
                <w:sz w:val="14"/>
              </w:rPr>
              <w:t>4,939.6</w:t>
            </w:r>
          </w:p>
        </w:tc>
        <w:tc>
          <w:tcPr>
            <w:tcW w:w="497" w:type="pct"/>
            <w:noWrap/>
            <w:hideMark/>
          </w:tcPr>
          <w:p w14:paraId="70FF4D24" w14:textId="77777777" w:rsidR="00CA7676" w:rsidRPr="00E14EE6" w:rsidRDefault="00CA7676" w:rsidP="00E14EE6">
            <w:pPr>
              <w:jc w:val="right"/>
              <w:rPr>
                <w:rFonts w:eastAsia="Times New Roman" w:cs="Calibri"/>
                <w:b/>
                <w:bCs/>
                <w:sz w:val="14"/>
                <w:szCs w:val="14"/>
              </w:rPr>
            </w:pPr>
            <w:r w:rsidRPr="00E14EE6">
              <w:rPr>
                <w:b/>
                <w:sz w:val="14"/>
              </w:rPr>
              <w:t>5,549.8</w:t>
            </w:r>
          </w:p>
        </w:tc>
        <w:tc>
          <w:tcPr>
            <w:tcW w:w="497" w:type="pct"/>
            <w:noWrap/>
            <w:hideMark/>
          </w:tcPr>
          <w:p w14:paraId="0D3F3F6A" w14:textId="77777777" w:rsidR="00CA7676" w:rsidRPr="00E14EE6" w:rsidRDefault="00CA7676" w:rsidP="00E14EE6">
            <w:pPr>
              <w:jc w:val="right"/>
              <w:rPr>
                <w:rFonts w:eastAsia="Times New Roman" w:cs="Calibri"/>
                <w:b/>
                <w:bCs/>
                <w:sz w:val="14"/>
                <w:szCs w:val="14"/>
              </w:rPr>
            </w:pPr>
            <w:r w:rsidRPr="00E14EE6">
              <w:rPr>
                <w:b/>
                <w:sz w:val="14"/>
              </w:rPr>
              <w:t>5,496.5</w:t>
            </w:r>
          </w:p>
        </w:tc>
        <w:tc>
          <w:tcPr>
            <w:tcW w:w="498" w:type="pct"/>
            <w:noWrap/>
            <w:hideMark/>
          </w:tcPr>
          <w:p w14:paraId="4E70772F" w14:textId="77777777" w:rsidR="00CA7676" w:rsidRPr="00E14EE6" w:rsidRDefault="00CA7676" w:rsidP="00E14EE6">
            <w:pPr>
              <w:jc w:val="right"/>
              <w:rPr>
                <w:rFonts w:eastAsia="Times New Roman" w:cs="Calibri"/>
                <w:b/>
                <w:bCs/>
                <w:sz w:val="14"/>
                <w:szCs w:val="14"/>
              </w:rPr>
            </w:pPr>
            <w:r w:rsidRPr="00E14EE6">
              <w:rPr>
                <w:b/>
                <w:sz w:val="14"/>
              </w:rPr>
              <w:t>5,058.3</w:t>
            </w:r>
          </w:p>
        </w:tc>
        <w:tc>
          <w:tcPr>
            <w:tcW w:w="497" w:type="pct"/>
            <w:noWrap/>
            <w:hideMark/>
          </w:tcPr>
          <w:p w14:paraId="4B993052" w14:textId="77777777" w:rsidR="00CA7676" w:rsidRPr="00E14EE6" w:rsidRDefault="00CA7676" w:rsidP="00E14EE6">
            <w:pPr>
              <w:jc w:val="right"/>
              <w:rPr>
                <w:rFonts w:eastAsia="Times New Roman" w:cs="Calibri"/>
                <w:b/>
                <w:bCs/>
                <w:sz w:val="14"/>
                <w:szCs w:val="14"/>
              </w:rPr>
            </w:pPr>
            <w:r w:rsidRPr="00E14EE6">
              <w:rPr>
                <w:b/>
                <w:sz w:val="14"/>
              </w:rPr>
              <w:t>1,390.6</w:t>
            </w:r>
          </w:p>
        </w:tc>
        <w:tc>
          <w:tcPr>
            <w:tcW w:w="498" w:type="pct"/>
            <w:noWrap/>
            <w:hideMark/>
          </w:tcPr>
          <w:p w14:paraId="4EDFA95B" w14:textId="77777777" w:rsidR="00CA7676" w:rsidRPr="00E14EE6" w:rsidRDefault="00CA7676" w:rsidP="00E14EE6">
            <w:pPr>
              <w:jc w:val="right"/>
              <w:rPr>
                <w:rFonts w:eastAsia="Times New Roman" w:cs="Calibri"/>
                <w:b/>
                <w:bCs/>
                <w:sz w:val="14"/>
                <w:szCs w:val="14"/>
              </w:rPr>
            </w:pPr>
            <w:r w:rsidRPr="00E14EE6">
              <w:rPr>
                <w:b/>
                <w:sz w:val="14"/>
              </w:rPr>
              <w:t>3,648.9</w:t>
            </w:r>
          </w:p>
        </w:tc>
      </w:tr>
      <w:tr w:rsidR="00CA7676" w:rsidRPr="00E14EE6" w14:paraId="6354D6FF" w14:textId="77777777" w:rsidTr="00FD6B66">
        <w:trPr>
          <w:cantSplit/>
          <w:trHeight w:val="20"/>
        </w:trPr>
        <w:tc>
          <w:tcPr>
            <w:tcW w:w="1019" w:type="pct"/>
            <w:noWrap/>
            <w:hideMark/>
          </w:tcPr>
          <w:p w14:paraId="09404794" w14:textId="77777777" w:rsidR="00CA7676" w:rsidRPr="00E14EE6" w:rsidRDefault="00CA7676" w:rsidP="00E14EE6">
            <w:pPr>
              <w:ind w:left="170"/>
              <w:jc w:val="left"/>
              <w:rPr>
                <w:rFonts w:eastAsia="Times New Roman" w:cs="Calibri"/>
                <w:b/>
                <w:bCs/>
                <w:color w:val="000000"/>
                <w:sz w:val="14"/>
                <w:szCs w:val="14"/>
              </w:rPr>
            </w:pPr>
            <w:r w:rsidRPr="00E14EE6">
              <w:rPr>
                <w:b/>
                <w:sz w:val="14"/>
              </w:rPr>
              <w:t>Credit</w:t>
            </w:r>
          </w:p>
        </w:tc>
        <w:tc>
          <w:tcPr>
            <w:tcW w:w="497" w:type="pct"/>
            <w:noWrap/>
            <w:hideMark/>
          </w:tcPr>
          <w:p w14:paraId="0206C0A0" w14:textId="77777777" w:rsidR="00CA7676" w:rsidRPr="00E14EE6" w:rsidRDefault="00CA7676" w:rsidP="00E14EE6">
            <w:pPr>
              <w:jc w:val="right"/>
              <w:rPr>
                <w:rFonts w:eastAsia="Times New Roman" w:cs="Calibri"/>
                <w:b/>
                <w:bCs/>
                <w:color w:val="000000"/>
                <w:sz w:val="14"/>
                <w:szCs w:val="14"/>
              </w:rPr>
            </w:pPr>
            <w:r w:rsidRPr="00E14EE6">
              <w:rPr>
                <w:b/>
                <w:sz w:val="14"/>
              </w:rPr>
              <w:t>7,053.7</w:t>
            </w:r>
          </w:p>
        </w:tc>
        <w:tc>
          <w:tcPr>
            <w:tcW w:w="497" w:type="pct"/>
            <w:noWrap/>
            <w:hideMark/>
          </w:tcPr>
          <w:p w14:paraId="58187504" w14:textId="77777777" w:rsidR="00CA7676" w:rsidRPr="00E14EE6" w:rsidRDefault="00CA7676" w:rsidP="00E14EE6">
            <w:pPr>
              <w:jc w:val="right"/>
              <w:rPr>
                <w:rFonts w:eastAsia="Times New Roman" w:cs="Calibri"/>
                <w:b/>
                <w:bCs/>
                <w:color w:val="000000"/>
                <w:sz w:val="14"/>
                <w:szCs w:val="14"/>
              </w:rPr>
            </w:pPr>
            <w:r w:rsidRPr="00E14EE6">
              <w:rPr>
                <w:b/>
                <w:sz w:val="14"/>
              </w:rPr>
              <w:t>7,541.8</w:t>
            </w:r>
          </w:p>
        </w:tc>
        <w:tc>
          <w:tcPr>
            <w:tcW w:w="499" w:type="pct"/>
            <w:noWrap/>
            <w:hideMark/>
          </w:tcPr>
          <w:p w14:paraId="3D4E11D1" w14:textId="77777777" w:rsidR="00CA7676" w:rsidRPr="00E14EE6" w:rsidRDefault="00CA7676" w:rsidP="00E14EE6">
            <w:pPr>
              <w:jc w:val="right"/>
              <w:rPr>
                <w:rFonts w:eastAsia="Times New Roman" w:cs="Calibri"/>
                <w:b/>
                <w:bCs/>
                <w:color w:val="000000"/>
                <w:sz w:val="14"/>
                <w:szCs w:val="14"/>
              </w:rPr>
            </w:pPr>
            <w:r w:rsidRPr="00E14EE6">
              <w:rPr>
                <w:b/>
                <w:sz w:val="14"/>
              </w:rPr>
              <w:t>8,309.2</w:t>
            </w:r>
          </w:p>
        </w:tc>
        <w:tc>
          <w:tcPr>
            <w:tcW w:w="497" w:type="pct"/>
            <w:noWrap/>
            <w:hideMark/>
          </w:tcPr>
          <w:p w14:paraId="770E56F7" w14:textId="77777777" w:rsidR="00CA7676" w:rsidRPr="00E14EE6" w:rsidRDefault="00CA7676" w:rsidP="00E14EE6">
            <w:pPr>
              <w:jc w:val="right"/>
              <w:rPr>
                <w:rFonts w:eastAsia="Times New Roman" w:cs="Calibri"/>
                <w:b/>
                <w:bCs/>
                <w:color w:val="000000"/>
                <w:sz w:val="14"/>
                <w:szCs w:val="14"/>
              </w:rPr>
            </w:pPr>
            <w:r w:rsidRPr="00E14EE6">
              <w:rPr>
                <w:b/>
                <w:sz w:val="14"/>
              </w:rPr>
              <w:t>8,856.8</w:t>
            </w:r>
          </w:p>
        </w:tc>
        <w:tc>
          <w:tcPr>
            <w:tcW w:w="497" w:type="pct"/>
            <w:noWrap/>
            <w:hideMark/>
          </w:tcPr>
          <w:p w14:paraId="7C2B2BFA" w14:textId="77777777" w:rsidR="00CA7676" w:rsidRPr="00E14EE6" w:rsidRDefault="00CA7676" w:rsidP="00E14EE6">
            <w:pPr>
              <w:jc w:val="right"/>
              <w:rPr>
                <w:rFonts w:eastAsia="Times New Roman" w:cs="Calibri"/>
                <w:b/>
                <w:bCs/>
                <w:color w:val="000000"/>
                <w:sz w:val="14"/>
                <w:szCs w:val="14"/>
              </w:rPr>
            </w:pPr>
            <w:r w:rsidRPr="00E14EE6">
              <w:rPr>
                <w:b/>
                <w:sz w:val="14"/>
              </w:rPr>
              <w:t>9,413.6</w:t>
            </w:r>
          </w:p>
        </w:tc>
        <w:tc>
          <w:tcPr>
            <w:tcW w:w="498" w:type="pct"/>
            <w:noWrap/>
            <w:hideMark/>
          </w:tcPr>
          <w:p w14:paraId="1F43058A" w14:textId="77777777" w:rsidR="00CA7676" w:rsidRPr="00E14EE6" w:rsidRDefault="00CA7676" w:rsidP="00E14EE6">
            <w:pPr>
              <w:jc w:val="right"/>
              <w:rPr>
                <w:rFonts w:eastAsia="Times New Roman" w:cs="Calibri"/>
                <w:b/>
                <w:bCs/>
                <w:color w:val="000000"/>
                <w:sz w:val="14"/>
                <w:szCs w:val="14"/>
              </w:rPr>
            </w:pPr>
            <w:r w:rsidRPr="00E14EE6">
              <w:rPr>
                <w:b/>
                <w:sz w:val="14"/>
              </w:rPr>
              <w:t>9,316.5</w:t>
            </w:r>
          </w:p>
        </w:tc>
        <w:tc>
          <w:tcPr>
            <w:tcW w:w="497" w:type="pct"/>
            <w:noWrap/>
            <w:hideMark/>
          </w:tcPr>
          <w:p w14:paraId="69385260" w14:textId="77777777" w:rsidR="00CA7676" w:rsidRPr="00E14EE6" w:rsidRDefault="00CA7676" w:rsidP="00E14EE6">
            <w:pPr>
              <w:jc w:val="right"/>
              <w:rPr>
                <w:rFonts w:eastAsia="Times New Roman" w:cs="Calibri"/>
                <w:b/>
                <w:bCs/>
                <w:color w:val="000000"/>
                <w:sz w:val="14"/>
                <w:szCs w:val="14"/>
              </w:rPr>
            </w:pPr>
            <w:r w:rsidRPr="00E14EE6">
              <w:rPr>
                <w:b/>
                <w:sz w:val="14"/>
              </w:rPr>
              <w:t>4,587.5</w:t>
            </w:r>
          </w:p>
        </w:tc>
        <w:tc>
          <w:tcPr>
            <w:tcW w:w="498" w:type="pct"/>
            <w:noWrap/>
            <w:hideMark/>
          </w:tcPr>
          <w:p w14:paraId="30BD2583" w14:textId="77777777" w:rsidR="00CA7676" w:rsidRPr="00E14EE6" w:rsidRDefault="00CA7676" w:rsidP="00E14EE6">
            <w:pPr>
              <w:jc w:val="right"/>
              <w:rPr>
                <w:rFonts w:eastAsia="Times New Roman" w:cs="Calibri"/>
                <w:b/>
                <w:bCs/>
                <w:sz w:val="14"/>
                <w:szCs w:val="14"/>
              </w:rPr>
            </w:pPr>
            <w:r w:rsidRPr="00E14EE6">
              <w:rPr>
                <w:b/>
                <w:sz w:val="14"/>
              </w:rPr>
              <w:t>8,047.0</w:t>
            </w:r>
          </w:p>
        </w:tc>
      </w:tr>
      <w:tr w:rsidR="00CA7676" w:rsidRPr="00E14EE6" w14:paraId="373D811B" w14:textId="77777777" w:rsidTr="00FD6B66">
        <w:trPr>
          <w:cnfStyle w:val="000000010000" w:firstRow="0" w:lastRow="0" w:firstColumn="0" w:lastColumn="0" w:oddVBand="0" w:evenVBand="0" w:oddHBand="0" w:evenHBand="1" w:firstRowFirstColumn="0" w:firstRowLastColumn="0" w:lastRowFirstColumn="0" w:lastRowLastColumn="0"/>
          <w:cantSplit/>
          <w:trHeight w:val="20"/>
        </w:trPr>
        <w:tc>
          <w:tcPr>
            <w:tcW w:w="1019" w:type="pct"/>
            <w:noWrap/>
            <w:hideMark/>
          </w:tcPr>
          <w:p w14:paraId="48C8EE9F" w14:textId="77777777" w:rsidR="00CA7676" w:rsidRPr="00E14EE6" w:rsidRDefault="00CA7676" w:rsidP="00E14EE6">
            <w:pPr>
              <w:jc w:val="left"/>
              <w:rPr>
                <w:rFonts w:eastAsia="Times New Roman" w:cs="Calibri"/>
                <w:sz w:val="14"/>
                <w:szCs w:val="14"/>
              </w:rPr>
            </w:pPr>
            <w:r w:rsidRPr="00E14EE6">
              <w:rPr>
                <w:sz w:val="14"/>
              </w:rPr>
              <w:t>Travel</w:t>
            </w:r>
          </w:p>
        </w:tc>
        <w:tc>
          <w:tcPr>
            <w:tcW w:w="497" w:type="pct"/>
            <w:noWrap/>
            <w:hideMark/>
          </w:tcPr>
          <w:p w14:paraId="5F771882" w14:textId="77777777" w:rsidR="00CA7676" w:rsidRPr="00E14EE6" w:rsidRDefault="00CA7676" w:rsidP="00E14EE6">
            <w:pPr>
              <w:jc w:val="right"/>
              <w:rPr>
                <w:rFonts w:eastAsia="Times New Roman" w:cs="Calibri"/>
                <w:sz w:val="14"/>
                <w:szCs w:val="14"/>
              </w:rPr>
            </w:pPr>
            <w:r w:rsidRPr="00E14EE6">
              <w:rPr>
                <w:sz w:val="14"/>
              </w:rPr>
              <w:t>5,629.8</w:t>
            </w:r>
          </w:p>
        </w:tc>
        <w:tc>
          <w:tcPr>
            <w:tcW w:w="497" w:type="pct"/>
            <w:noWrap/>
            <w:hideMark/>
          </w:tcPr>
          <w:p w14:paraId="76F42FC1" w14:textId="77777777" w:rsidR="00CA7676" w:rsidRPr="00E14EE6" w:rsidRDefault="00CA7676" w:rsidP="00E14EE6">
            <w:pPr>
              <w:jc w:val="right"/>
              <w:rPr>
                <w:rFonts w:eastAsia="Times New Roman" w:cs="Calibri"/>
                <w:sz w:val="14"/>
                <w:szCs w:val="14"/>
              </w:rPr>
            </w:pPr>
            <w:r w:rsidRPr="00E14EE6">
              <w:rPr>
                <w:sz w:val="14"/>
              </w:rPr>
              <w:t>6,115.9</w:t>
            </w:r>
          </w:p>
        </w:tc>
        <w:tc>
          <w:tcPr>
            <w:tcW w:w="499" w:type="pct"/>
            <w:noWrap/>
            <w:hideMark/>
          </w:tcPr>
          <w:p w14:paraId="10D8FAF9" w14:textId="77777777" w:rsidR="00CA7676" w:rsidRPr="00E14EE6" w:rsidRDefault="00CA7676" w:rsidP="00E14EE6">
            <w:pPr>
              <w:jc w:val="right"/>
              <w:rPr>
                <w:rFonts w:eastAsia="Times New Roman" w:cs="Calibri"/>
                <w:sz w:val="14"/>
                <w:szCs w:val="14"/>
              </w:rPr>
            </w:pPr>
            <w:r w:rsidRPr="00E14EE6">
              <w:rPr>
                <w:sz w:val="14"/>
              </w:rPr>
              <w:t>6,719.6</w:t>
            </w:r>
          </w:p>
        </w:tc>
        <w:tc>
          <w:tcPr>
            <w:tcW w:w="497" w:type="pct"/>
            <w:noWrap/>
            <w:hideMark/>
          </w:tcPr>
          <w:p w14:paraId="6F20DFAC" w14:textId="77777777" w:rsidR="00CA7676" w:rsidRPr="00E14EE6" w:rsidRDefault="00CA7676" w:rsidP="00E14EE6">
            <w:pPr>
              <w:jc w:val="right"/>
              <w:rPr>
                <w:rFonts w:eastAsia="Times New Roman" w:cs="Calibri"/>
                <w:sz w:val="14"/>
                <w:szCs w:val="14"/>
              </w:rPr>
            </w:pPr>
            <w:r w:rsidRPr="00E14EE6">
              <w:rPr>
                <w:sz w:val="14"/>
              </w:rPr>
              <w:t>7,184.1</w:t>
            </w:r>
          </w:p>
        </w:tc>
        <w:tc>
          <w:tcPr>
            <w:tcW w:w="497" w:type="pct"/>
            <w:noWrap/>
            <w:hideMark/>
          </w:tcPr>
          <w:p w14:paraId="5B31B2AF" w14:textId="77777777" w:rsidR="00CA7676" w:rsidRPr="00E14EE6" w:rsidRDefault="00CA7676" w:rsidP="00E14EE6">
            <w:pPr>
              <w:jc w:val="right"/>
              <w:rPr>
                <w:rFonts w:eastAsia="Times New Roman" w:cs="Calibri"/>
                <w:sz w:val="14"/>
                <w:szCs w:val="14"/>
              </w:rPr>
            </w:pPr>
            <w:r w:rsidRPr="00E14EE6">
              <w:rPr>
                <w:sz w:val="14"/>
              </w:rPr>
              <w:t>7,547.7</w:t>
            </w:r>
          </w:p>
        </w:tc>
        <w:tc>
          <w:tcPr>
            <w:tcW w:w="498" w:type="pct"/>
            <w:noWrap/>
            <w:hideMark/>
          </w:tcPr>
          <w:p w14:paraId="1CA0BE51" w14:textId="77777777" w:rsidR="00CA7676" w:rsidRPr="00E14EE6" w:rsidRDefault="00CA7676" w:rsidP="00E14EE6">
            <w:pPr>
              <w:jc w:val="right"/>
              <w:rPr>
                <w:rFonts w:eastAsia="Times New Roman" w:cs="Calibri"/>
                <w:sz w:val="14"/>
                <w:szCs w:val="14"/>
              </w:rPr>
            </w:pPr>
            <w:r w:rsidRPr="00E14EE6">
              <w:rPr>
                <w:sz w:val="14"/>
              </w:rPr>
              <w:t>7,471.5</w:t>
            </w:r>
          </w:p>
        </w:tc>
        <w:tc>
          <w:tcPr>
            <w:tcW w:w="497" w:type="pct"/>
            <w:noWrap/>
            <w:hideMark/>
          </w:tcPr>
          <w:p w14:paraId="5DB1DBA0" w14:textId="77777777" w:rsidR="00CA7676" w:rsidRPr="00E14EE6" w:rsidRDefault="00CA7676" w:rsidP="00E14EE6">
            <w:pPr>
              <w:jc w:val="right"/>
              <w:rPr>
                <w:rFonts w:eastAsia="Times New Roman" w:cs="Calibri"/>
                <w:sz w:val="14"/>
                <w:szCs w:val="14"/>
              </w:rPr>
            </w:pPr>
            <w:r w:rsidRPr="00E14EE6">
              <w:rPr>
                <w:sz w:val="14"/>
              </w:rPr>
              <w:t>2,674.8</w:t>
            </w:r>
          </w:p>
        </w:tc>
        <w:tc>
          <w:tcPr>
            <w:tcW w:w="498" w:type="pct"/>
            <w:noWrap/>
            <w:hideMark/>
          </w:tcPr>
          <w:p w14:paraId="0B437DCB" w14:textId="77777777" w:rsidR="00CA7676" w:rsidRPr="00E14EE6" w:rsidRDefault="00CA7676" w:rsidP="00E14EE6">
            <w:pPr>
              <w:jc w:val="right"/>
              <w:rPr>
                <w:rFonts w:eastAsia="Times New Roman" w:cs="Calibri"/>
                <w:sz w:val="14"/>
                <w:szCs w:val="14"/>
              </w:rPr>
            </w:pPr>
            <w:r w:rsidRPr="00E14EE6">
              <w:rPr>
                <w:sz w:val="14"/>
              </w:rPr>
              <w:t>5,686.5</w:t>
            </w:r>
          </w:p>
        </w:tc>
      </w:tr>
      <w:tr w:rsidR="00CA7676" w:rsidRPr="00E14EE6" w14:paraId="791B651A" w14:textId="77777777" w:rsidTr="00FD6B66">
        <w:trPr>
          <w:cantSplit/>
          <w:trHeight w:val="20"/>
        </w:trPr>
        <w:tc>
          <w:tcPr>
            <w:tcW w:w="1019" w:type="pct"/>
            <w:noWrap/>
            <w:hideMark/>
          </w:tcPr>
          <w:p w14:paraId="4D8EB0AA" w14:textId="77777777" w:rsidR="00CA7676" w:rsidRPr="00E14EE6" w:rsidRDefault="00CA7676" w:rsidP="00E14EE6">
            <w:pPr>
              <w:jc w:val="left"/>
              <w:rPr>
                <w:rFonts w:eastAsia="Times New Roman" w:cs="Calibri"/>
                <w:sz w:val="14"/>
                <w:szCs w:val="14"/>
              </w:rPr>
            </w:pPr>
            <w:r w:rsidRPr="00E14EE6">
              <w:rPr>
                <w:sz w:val="14"/>
              </w:rPr>
              <w:t>Manufacturing services on physical inputs owned by others</w:t>
            </w:r>
          </w:p>
        </w:tc>
        <w:tc>
          <w:tcPr>
            <w:tcW w:w="497" w:type="pct"/>
            <w:noWrap/>
            <w:hideMark/>
          </w:tcPr>
          <w:p w14:paraId="761C4B03" w14:textId="77777777" w:rsidR="00CA7676" w:rsidRPr="00E14EE6" w:rsidRDefault="00CA7676" w:rsidP="00E14EE6">
            <w:pPr>
              <w:jc w:val="right"/>
              <w:rPr>
                <w:rFonts w:eastAsia="Times New Roman" w:cs="Calibri"/>
                <w:sz w:val="14"/>
                <w:szCs w:val="14"/>
              </w:rPr>
            </w:pPr>
            <w:r w:rsidRPr="00E14EE6">
              <w:rPr>
                <w:sz w:val="14"/>
              </w:rPr>
              <w:t>68.6</w:t>
            </w:r>
          </w:p>
        </w:tc>
        <w:tc>
          <w:tcPr>
            <w:tcW w:w="497" w:type="pct"/>
            <w:noWrap/>
            <w:hideMark/>
          </w:tcPr>
          <w:p w14:paraId="3676A974" w14:textId="77777777" w:rsidR="00CA7676" w:rsidRPr="00E14EE6" w:rsidRDefault="00CA7676" w:rsidP="00E14EE6">
            <w:pPr>
              <w:jc w:val="right"/>
              <w:rPr>
                <w:rFonts w:eastAsia="Times New Roman" w:cs="Calibri"/>
                <w:sz w:val="14"/>
                <w:szCs w:val="14"/>
              </w:rPr>
            </w:pPr>
            <w:r w:rsidRPr="00E14EE6">
              <w:rPr>
                <w:sz w:val="14"/>
              </w:rPr>
              <w:t>79.0</w:t>
            </w:r>
          </w:p>
        </w:tc>
        <w:tc>
          <w:tcPr>
            <w:tcW w:w="499" w:type="pct"/>
            <w:noWrap/>
            <w:hideMark/>
          </w:tcPr>
          <w:p w14:paraId="014F8842" w14:textId="77777777" w:rsidR="00CA7676" w:rsidRPr="00E14EE6" w:rsidRDefault="00CA7676" w:rsidP="00E14EE6">
            <w:pPr>
              <w:jc w:val="right"/>
              <w:rPr>
                <w:rFonts w:eastAsia="Times New Roman" w:cs="Calibri"/>
                <w:sz w:val="14"/>
                <w:szCs w:val="14"/>
              </w:rPr>
            </w:pPr>
            <w:r w:rsidRPr="00E14EE6">
              <w:rPr>
                <w:sz w:val="14"/>
              </w:rPr>
              <w:t>74.7</w:t>
            </w:r>
          </w:p>
        </w:tc>
        <w:tc>
          <w:tcPr>
            <w:tcW w:w="497" w:type="pct"/>
            <w:noWrap/>
            <w:hideMark/>
          </w:tcPr>
          <w:p w14:paraId="632AF988" w14:textId="77777777" w:rsidR="00CA7676" w:rsidRPr="00E14EE6" w:rsidRDefault="00CA7676" w:rsidP="00E14EE6">
            <w:pPr>
              <w:jc w:val="right"/>
              <w:rPr>
                <w:rFonts w:eastAsia="Times New Roman" w:cs="Calibri"/>
                <w:sz w:val="14"/>
                <w:szCs w:val="14"/>
              </w:rPr>
            </w:pPr>
            <w:r w:rsidRPr="00E14EE6">
              <w:rPr>
                <w:sz w:val="14"/>
              </w:rPr>
              <w:t>58.0</w:t>
            </w:r>
          </w:p>
        </w:tc>
        <w:tc>
          <w:tcPr>
            <w:tcW w:w="497" w:type="pct"/>
            <w:noWrap/>
            <w:hideMark/>
          </w:tcPr>
          <w:p w14:paraId="02B3C109" w14:textId="77777777" w:rsidR="00CA7676" w:rsidRPr="00E14EE6" w:rsidRDefault="00CA7676" w:rsidP="00E14EE6">
            <w:pPr>
              <w:jc w:val="right"/>
              <w:rPr>
                <w:rFonts w:eastAsia="Times New Roman" w:cs="Calibri"/>
                <w:sz w:val="14"/>
                <w:szCs w:val="14"/>
              </w:rPr>
            </w:pPr>
            <w:r w:rsidRPr="00E14EE6">
              <w:rPr>
                <w:sz w:val="14"/>
              </w:rPr>
              <w:t>54.5</w:t>
            </w:r>
          </w:p>
        </w:tc>
        <w:tc>
          <w:tcPr>
            <w:tcW w:w="498" w:type="pct"/>
            <w:noWrap/>
            <w:hideMark/>
          </w:tcPr>
          <w:p w14:paraId="4501210E" w14:textId="77777777" w:rsidR="00CA7676" w:rsidRPr="00E14EE6" w:rsidRDefault="00CA7676" w:rsidP="00E14EE6">
            <w:pPr>
              <w:jc w:val="right"/>
              <w:rPr>
                <w:rFonts w:eastAsia="Times New Roman" w:cs="Calibri"/>
                <w:sz w:val="14"/>
                <w:szCs w:val="14"/>
              </w:rPr>
            </w:pPr>
            <w:r w:rsidRPr="00E14EE6">
              <w:rPr>
                <w:sz w:val="14"/>
              </w:rPr>
              <w:t>55.4</w:t>
            </w:r>
          </w:p>
        </w:tc>
        <w:tc>
          <w:tcPr>
            <w:tcW w:w="497" w:type="pct"/>
            <w:noWrap/>
            <w:hideMark/>
          </w:tcPr>
          <w:p w14:paraId="575DE510" w14:textId="77777777" w:rsidR="00CA7676" w:rsidRPr="00E14EE6" w:rsidRDefault="00CA7676" w:rsidP="00E14EE6">
            <w:pPr>
              <w:jc w:val="right"/>
              <w:rPr>
                <w:rFonts w:eastAsia="Times New Roman" w:cs="Calibri"/>
                <w:sz w:val="14"/>
                <w:szCs w:val="14"/>
              </w:rPr>
            </w:pPr>
            <w:r w:rsidRPr="00E14EE6">
              <w:rPr>
                <w:sz w:val="14"/>
              </w:rPr>
              <w:t>31.7</w:t>
            </w:r>
          </w:p>
        </w:tc>
        <w:tc>
          <w:tcPr>
            <w:tcW w:w="498" w:type="pct"/>
            <w:noWrap/>
            <w:hideMark/>
          </w:tcPr>
          <w:p w14:paraId="48297286" w14:textId="77777777" w:rsidR="00CA7676" w:rsidRPr="00E14EE6" w:rsidRDefault="00CA7676" w:rsidP="00E14EE6">
            <w:pPr>
              <w:jc w:val="right"/>
              <w:rPr>
                <w:rFonts w:eastAsia="Times New Roman" w:cs="Calibri"/>
                <w:sz w:val="14"/>
                <w:szCs w:val="14"/>
              </w:rPr>
            </w:pPr>
            <w:r w:rsidRPr="00E14EE6">
              <w:rPr>
                <w:sz w:val="14"/>
              </w:rPr>
              <w:t>43.1</w:t>
            </w:r>
          </w:p>
        </w:tc>
      </w:tr>
      <w:tr w:rsidR="00CA7676" w:rsidRPr="00E14EE6" w14:paraId="0CED670D" w14:textId="77777777" w:rsidTr="00FD6B66">
        <w:trPr>
          <w:cnfStyle w:val="000000010000" w:firstRow="0" w:lastRow="0" w:firstColumn="0" w:lastColumn="0" w:oddVBand="0" w:evenVBand="0" w:oddHBand="0" w:evenHBand="1" w:firstRowFirstColumn="0" w:firstRowLastColumn="0" w:lastRowFirstColumn="0" w:lastRowLastColumn="0"/>
          <w:cantSplit/>
          <w:trHeight w:val="20"/>
        </w:trPr>
        <w:tc>
          <w:tcPr>
            <w:tcW w:w="1019" w:type="pct"/>
            <w:noWrap/>
            <w:hideMark/>
          </w:tcPr>
          <w:p w14:paraId="2B02A243" w14:textId="77777777" w:rsidR="00CA7676" w:rsidRPr="00E14EE6" w:rsidRDefault="00CA7676" w:rsidP="00E14EE6">
            <w:pPr>
              <w:jc w:val="left"/>
              <w:rPr>
                <w:rFonts w:eastAsia="Times New Roman" w:cs="Calibri"/>
                <w:color w:val="000000"/>
                <w:sz w:val="14"/>
                <w:szCs w:val="14"/>
              </w:rPr>
            </w:pPr>
            <w:r w:rsidRPr="00E14EE6">
              <w:rPr>
                <w:sz w:val="14"/>
              </w:rPr>
              <w:t>Other</w:t>
            </w:r>
          </w:p>
        </w:tc>
        <w:tc>
          <w:tcPr>
            <w:tcW w:w="497" w:type="pct"/>
            <w:noWrap/>
            <w:hideMark/>
          </w:tcPr>
          <w:p w14:paraId="1F17BC15" w14:textId="77777777" w:rsidR="00CA7676" w:rsidRPr="00E14EE6" w:rsidRDefault="00CA7676" w:rsidP="00E14EE6">
            <w:pPr>
              <w:jc w:val="right"/>
              <w:rPr>
                <w:rFonts w:eastAsia="Times New Roman" w:cs="Calibri"/>
                <w:color w:val="000000"/>
                <w:sz w:val="14"/>
                <w:szCs w:val="14"/>
              </w:rPr>
            </w:pPr>
            <w:r w:rsidRPr="00E14EE6">
              <w:rPr>
                <w:sz w:val="14"/>
              </w:rPr>
              <w:t>1,355.3</w:t>
            </w:r>
          </w:p>
        </w:tc>
        <w:tc>
          <w:tcPr>
            <w:tcW w:w="497" w:type="pct"/>
            <w:noWrap/>
            <w:hideMark/>
          </w:tcPr>
          <w:p w14:paraId="6C974000" w14:textId="77777777" w:rsidR="00CA7676" w:rsidRPr="00E14EE6" w:rsidRDefault="00CA7676" w:rsidP="00E14EE6">
            <w:pPr>
              <w:jc w:val="right"/>
              <w:rPr>
                <w:rFonts w:eastAsia="Times New Roman" w:cs="Calibri"/>
                <w:color w:val="000000"/>
                <w:sz w:val="14"/>
                <w:szCs w:val="14"/>
              </w:rPr>
            </w:pPr>
            <w:r w:rsidRPr="00E14EE6">
              <w:rPr>
                <w:sz w:val="14"/>
              </w:rPr>
              <w:t>1,346.9</w:t>
            </w:r>
          </w:p>
        </w:tc>
        <w:tc>
          <w:tcPr>
            <w:tcW w:w="499" w:type="pct"/>
            <w:noWrap/>
            <w:hideMark/>
          </w:tcPr>
          <w:p w14:paraId="017F400E" w14:textId="77777777" w:rsidR="00CA7676" w:rsidRPr="00E14EE6" w:rsidRDefault="00CA7676" w:rsidP="00E14EE6">
            <w:pPr>
              <w:jc w:val="right"/>
              <w:rPr>
                <w:rFonts w:eastAsia="Times New Roman" w:cs="Calibri"/>
                <w:color w:val="000000"/>
                <w:sz w:val="14"/>
                <w:szCs w:val="14"/>
              </w:rPr>
            </w:pPr>
            <w:r w:rsidRPr="00E14EE6">
              <w:rPr>
                <w:sz w:val="14"/>
              </w:rPr>
              <w:t>1,514.9</w:t>
            </w:r>
          </w:p>
        </w:tc>
        <w:tc>
          <w:tcPr>
            <w:tcW w:w="497" w:type="pct"/>
            <w:noWrap/>
            <w:hideMark/>
          </w:tcPr>
          <w:p w14:paraId="09C91CE6" w14:textId="77777777" w:rsidR="00CA7676" w:rsidRPr="00E14EE6" w:rsidRDefault="00CA7676" w:rsidP="00E14EE6">
            <w:pPr>
              <w:jc w:val="right"/>
              <w:rPr>
                <w:rFonts w:eastAsia="Times New Roman" w:cs="Calibri"/>
                <w:color w:val="000000"/>
                <w:sz w:val="14"/>
                <w:szCs w:val="14"/>
              </w:rPr>
            </w:pPr>
            <w:r w:rsidRPr="00E14EE6">
              <w:rPr>
                <w:sz w:val="14"/>
              </w:rPr>
              <w:t>1,614.7</w:t>
            </w:r>
          </w:p>
        </w:tc>
        <w:tc>
          <w:tcPr>
            <w:tcW w:w="497" w:type="pct"/>
            <w:noWrap/>
            <w:hideMark/>
          </w:tcPr>
          <w:p w14:paraId="036665CC" w14:textId="77777777" w:rsidR="00CA7676" w:rsidRPr="00E14EE6" w:rsidRDefault="00CA7676" w:rsidP="00E14EE6">
            <w:pPr>
              <w:jc w:val="right"/>
              <w:rPr>
                <w:rFonts w:eastAsia="Times New Roman" w:cs="Calibri"/>
                <w:color w:val="000000"/>
                <w:sz w:val="14"/>
                <w:szCs w:val="14"/>
              </w:rPr>
            </w:pPr>
            <w:r w:rsidRPr="00E14EE6">
              <w:rPr>
                <w:sz w:val="14"/>
              </w:rPr>
              <w:t>1,811.4</w:t>
            </w:r>
          </w:p>
        </w:tc>
        <w:tc>
          <w:tcPr>
            <w:tcW w:w="498" w:type="pct"/>
            <w:noWrap/>
            <w:hideMark/>
          </w:tcPr>
          <w:p w14:paraId="0A5BF19B" w14:textId="77777777" w:rsidR="00CA7676" w:rsidRPr="00E14EE6" w:rsidRDefault="00CA7676" w:rsidP="00E14EE6">
            <w:pPr>
              <w:jc w:val="right"/>
              <w:rPr>
                <w:rFonts w:eastAsia="Times New Roman" w:cs="Calibri"/>
                <w:color w:val="000000"/>
                <w:sz w:val="14"/>
                <w:szCs w:val="14"/>
              </w:rPr>
            </w:pPr>
            <w:r w:rsidRPr="00E14EE6">
              <w:rPr>
                <w:sz w:val="14"/>
              </w:rPr>
              <w:t>1,789.6</w:t>
            </w:r>
          </w:p>
        </w:tc>
        <w:tc>
          <w:tcPr>
            <w:tcW w:w="497" w:type="pct"/>
            <w:noWrap/>
            <w:hideMark/>
          </w:tcPr>
          <w:p w14:paraId="045082C5" w14:textId="77777777" w:rsidR="00CA7676" w:rsidRPr="00E14EE6" w:rsidRDefault="00CA7676" w:rsidP="00E14EE6">
            <w:pPr>
              <w:jc w:val="right"/>
              <w:rPr>
                <w:rFonts w:eastAsia="Times New Roman" w:cs="Calibri"/>
                <w:color w:val="000000"/>
                <w:sz w:val="14"/>
                <w:szCs w:val="14"/>
              </w:rPr>
            </w:pPr>
            <w:r w:rsidRPr="00E14EE6">
              <w:rPr>
                <w:sz w:val="14"/>
              </w:rPr>
              <w:t>1,881.0</w:t>
            </w:r>
          </w:p>
        </w:tc>
        <w:tc>
          <w:tcPr>
            <w:tcW w:w="498" w:type="pct"/>
            <w:noWrap/>
            <w:hideMark/>
          </w:tcPr>
          <w:p w14:paraId="1FB564EC" w14:textId="77777777" w:rsidR="00CA7676" w:rsidRPr="00E14EE6" w:rsidRDefault="00CA7676" w:rsidP="00E14EE6">
            <w:pPr>
              <w:jc w:val="right"/>
              <w:rPr>
                <w:rFonts w:eastAsia="Times New Roman" w:cs="Calibri"/>
                <w:sz w:val="14"/>
                <w:szCs w:val="14"/>
              </w:rPr>
            </w:pPr>
            <w:r w:rsidRPr="00E14EE6">
              <w:rPr>
                <w:sz w:val="14"/>
              </w:rPr>
              <w:t>2,317.4</w:t>
            </w:r>
          </w:p>
        </w:tc>
      </w:tr>
      <w:tr w:rsidR="00CA7676" w:rsidRPr="00E14EE6" w14:paraId="1F5EDE9B" w14:textId="77777777" w:rsidTr="00FD6B66">
        <w:trPr>
          <w:cantSplit/>
          <w:trHeight w:val="20"/>
        </w:trPr>
        <w:tc>
          <w:tcPr>
            <w:tcW w:w="1019" w:type="pct"/>
            <w:noWrap/>
            <w:hideMark/>
          </w:tcPr>
          <w:p w14:paraId="0A970720" w14:textId="77777777" w:rsidR="00CA7676" w:rsidRPr="00E14EE6" w:rsidRDefault="00CA7676" w:rsidP="00E14EE6">
            <w:pPr>
              <w:ind w:left="170"/>
              <w:jc w:val="left"/>
              <w:rPr>
                <w:rFonts w:eastAsia="Times New Roman" w:cs="Calibri"/>
                <w:b/>
                <w:bCs/>
                <w:color w:val="000000"/>
                <w:sz w:val="14"/>
                <w:szCs w:val="14"/>
              </w:rPr>
            </w:pPr>
            <w:r w:rsidRPr="00E14EE6">
              <w:rPr>
                <w:b/>
                <w:sz w:val="14"/>
              </w:rPr>
              <w:t>Debit</w:t>
            </w:r>
          </w:p>
        </w:tc>
        <w:tc>
          <w:tcPr>
            <w:tcW w:w="497" w:type="pct"/>
            <w:noWrap/>
            <w:hideMark/>
          </w:tcPr>
          <w:p w14:paraId="5EF90498" w14:textId="77777777" w:rsidR="00CA7676" w:rsidRPr="00E14EE6" w:rsidRDefault="00CA7676" w:rsidP="00E14EE6">
            <w:pPr>
              <w:jc w:val="right"/>
              <w:rPr>
                <w:rFonts w:eastAsia="Times New Roman" w:cs="Calibri"/>
                <w:b/>
                <w:bCs/>
                <w:color w:val="000000"/>
                <w:sz w:val="14"/>
                <w:szCs w:val="14"/>
              </w:rPr>
            </w:pPr>
            <w:r w:rsidRPr="00E14EE6">
              <w:rPr>
                <w:b/>
                <w:sz w:val="14"/>
              </w:rPr>
              <w:t>2,969.8</w:t>
            </w:r>
          </w:p>
        </w:tc>
        <w:tc>
          <w:tcPr>
            <w:tcW w:w="497" w:type="pct"/>
            <w:noWrap/>
            <w:hideMark/>
          </w:tcPr>
          <w:p w14:paraId="123212A0" w14:textId="77777777" w:rsidR="00CA7676" w:rsidRPr="00E14EE6" w:rsidRDefault="00CA7676" w:rsidP="00E14EE6">
            <w:pPr>
              <w:jc w:val="right"/>
              <w:rPr>
                <w:rFonts w:eastAsia="Times New Roman" w:cs="Calibri"/>
                <w:b/>
                <w:bCs/>
                <w:color w:val="000000"/>
                <w:sz w:val="14"/>
                <w:szCs w:val="14"/>
              </w:rPr>
            </w:pPr>
            <w:r w:rsidRPr="00E14EE6">
              <w:rPr>
                <w:b/>
                <w:sz w:val="14"/>
              </w:rPr>
              <w:t>3,174.0</w:t>
            </w:r>
          </w:p>
        </w:tc>
        <w:tc>
          <w:tcPr>
            <w:tcW w:w="499" w:type="pct"/>
            <w:noWrap/>
            <w:hideMark/>
          </w:tcPr>
          <w:p w14:paraId="2601465D" w14:textId="77777777" w:rsidR="00CA7676" w:rsidRPr="00E14EE6" w:rsidRDefault="00CA7676" w:rsidP="00E14EE6">
            <w:pPr>
              <w:jc w:val="right"/>
              <w:rPr>
                <w:rFonts w:eastAsia="Times New Roman" w:cs="Calibri"/>
                <w:b/>
                <w:bCs/>
                <w:color w:val="000000"/>
                <w:sz w:val="14"/>
                <w:szCs w:val="14"/>
              </w:rPr>
            </w:pPr>
            <w:r w:rsidRPr="00E14EE6">
              <w:rPr>
                <w:b/>
                <w:sz w:val="14"/>
              </w:rPr>
              <w:t>3,369.6</w:t>
            </w:r>
          </w:p>
        </w:tc>
        <w:tc>
          <w:tcPr>
            <w:tcW w:w="497" w:type="pct"/>
            <w:noWrap/>
            <w:hideMark/>
          </w:tcPr>
          <w:p w14:paraId="19F52725" w14:textId="77777777" w:rsidR="00CA7676" w:rsidRPr="00E14EE6" w:rsidRDefault="00CA7676" w:rsidP="00E14EE6">
            <w:pPr>
              <w:jc w:val="right"/>
              <w:rPr>
                <w:rFonts w:eastAsia="Times New Roman" w:cs="Calibri"/>
                <w:b/>
                <w:bCs/>
                <w:color w:val="000000"/>
                <w:sz w:val="14"/>
                <w:szCs w:val="14"/>
              </w:rPr>
            </w:pPr>
            <w:r w:rsidRPr="00E14EE6">
              <w:rPr>
                <w:b/>
                <w:sz w:val="14"/>
              </w:rPr>
              <w:t>3,307.0</w:t>
            </w:r>
          </w:p>
        </w:tc>
        <w:tc>
          <w:tcPr>
            <w:tcW w:w="497" w:type="pct"/>
            <w:noWrap/>
            <w:hideMark/>
          </w:tcPr>
          <w:p w14:paraId="6CEB633F" w14:textId="77777777" w:rsidR="00CA7676" w:rsidRPr="00E14EE6" w:rsidRDefault="00CA7676" w:rsidP="00E14EE6">
            <w:pPr>
              <w:jc w:val="right"/>
              <w:rPr>
                <w:rFonts w:eastAsia="Times New Roman" w:cs="Calibri"/>
                <w:b/>
                <w:bCs/>
                <w:color w:val="000000"/>
                <w:sz w:val="14"/>
                <w:szCs w:val="14"/>
              </w:rPr>
            </w:pPr>
            <w:r w:rsidRPr="00E14EE6">
              <w:rPr>
                <w:b/>
                <w:sz w:val="14"/>
              </w:rPr>
              <w:t>3,917.1</w:t>
            </w:r>
          </w:p>
        </w:tc>
        <w:tc>
          <w:tcPr>
            <w:tcW w:w="498" w:type="pct"/>
            <w:noWrap/>
            <w:hideMark/>
          </w:tcPr>
          <w:p w14:paraId="1D4B598E" w14:textId="77777777" w:rsidR="00CA7676" w:rsidRPr="00E14EE6" w:rsidRDefault="00CA7676" w:rsidP="00E14EE6">
            <w:pPr>
              <w:jc w:val="right"/>
              <w:rPr>
                <w:rFonts w:eastAsia="Times New Roman" w:cs="Calibri"/>
                <w:b/>
                <w:bCs/>
                <w:color w:val="000000"/>
                <w:sz w:val="14"/>
                <w:szCs w:val="14"/>
              </w:rPr>
            </w:pPr>
            <w:r w:rsidRPr="00E14EE6">
              <w:rPr>
                <w:b/>
                <w:sz w:val="14"/>
              </w:rPr>
              <w:t>4,258.2</w:t>
            </w:r>
          </w:p>
        </w:tc>
        <w:tc>
          <w:tcPr>
            <w:tcW w:w="497" w:type="pct"/>
            <w:noWrap/>
            <w:hideMark/>
          </w:tcPr>
          <w:p w14:paraId="6EB76530" w14:textId="77777777" w:rsidR="00CA7676" w:rsidRPr="00E14EE6" w:rsidRDefault="00CA7676" w:rsidP="00E14EE6">
            <w:pPr>
              <w:jc w:val="right"/>
              <w:rPr>
                <w:rFonts w:eastAsia="Times New Roman" w:cs="Calibri"/>
                <w:b/>
                <w:bCs/>
                <w:color w:val="000000"/>
                <w:sz w:val="14"/>
                <w:szCs w:val="14"/>
              </w:rPr>
            </w:pPr>
            <w:r w:rsidRPr="00E14EE6">
              <w:rPr>
                <w:b/>
                <w:sz w:val="14"/>
              </w:rPr>
              <w:t>3,196.9</w:t>
            </w:r>
          </w:p>
        </w:tc>
        <w:tc>
          <w:tcPr>
            <w:tcW w:w="498" w:type="pct"/>
            <w:noWrap/>
            <w:hideMark/>
          </w:tcPr>
          <w:p w14:paraId="0CB1E305" w14:textId="77777777" w:rsidR="00CA7676" w:rsidRPr="00E14EE6" w:rsidRDefault="00CA7676" w:rsidP="00E14EE6">
            <w:pPr>
              <w:jc w:val="right"/>
              <w:rPr>
                <w:rFonts w:eastAsia="Times New Roman" w:cs="Calibri"/>
                <w:b/>
                <w:bCs/>
                <w:sz w:val="14"/>
                <w:szCs w:val="14"/>
              </w:rPr>
            </w:pPr>
            <w:r w:rsidRPr="00E14EE6">
              <w:rPr>
                <w:b/>
                <w:sz w:val="14"/>
              </w:rPr>
              <w:t>4,398.1</w:t>
            </w:r>
          </w:p>
        </w:tc>
      </w:tr>
      <w:tr w:rsidR="00CA7676" w:rsidRPr="00E14EE6" w14:paraId="293457CB" w14:textId="77777777" w:rsidTr="00FD6B66">
        <w:trPr>
          <w:cnfStyle w:val="000000010000" w:firstRow="0" w:lastRow="0" w:firstColumn="0" w:lastColumn="0" w:oddVBand="0" w:evenVBand="0" w:oddHBand="0" w:evenHBand="1" w:firstRowFirstColumn="0" w:firstRowLastColumn="0" w:lastRowFirstColumn="0" w:lastRowLastColumn="0"/>
          <w:cantSplit/>
          <w:trHeight w:val="20"/>
        </w:trPr>
        <w:tc>
          <w:tcPr>
            <w:tcW w:w="1019" w:type="pct"/>
            <w:noWrap/>
            <w:hideMark/>
          </w:tcPr>
          <w:p w14:paraId="158EA518" w14:textId="77777777" w:rsidR="00CA7676" w:rsidRPr="00E14EE6" w:rsidRDefault="00CA7676" w:rsidP="00E14EE6">
            <w:pPr>
              <w:jc w:val="left"/>
              <w:rPr>
                <w:rFonts w:eastAsia="Times New Roman" w:cs="Calibri"/>
                <w:color w:val="000000"/>
                <w:sz w:val="14"/>
                <w:szCs w:val="14"/>
              </w:rPr>
            </w:pPr>
            <w:r w:rsidRPr="00E14EE6">
              <w:rPr>
                <w:sz w:val="14"/>
              </w:rPr>
              <w:t>Freight</w:t>
            </w:r>
          </w:p>
        </w:tc>
        <w:tc>
          <w:tcPr>
            <w:tcW w:w="497" w:type="pct"/>
            <w:noWrap/>
            <w:hideMark/>
          </w:tcPr>
          <w:p w14:paraId="1C6059D2" w14:textId="77777777" w:rsidR="00CA7676" w:rsidRPr="00E14EE6" w:rsidRDefault="00CA7676" w:rsidP="00E14EE6">
            <w:pPr>
              <w:jc w:val="right"/>
              <w:rPr>
                <w:rFonts w:eastAsia="Times New Roman" w:cs="Calibri"/>
                <w:color w:val="000000"/>
                <w:sz w:val="14"/>
                <w:szCs w:val="14"/>
              </w:rPr>
            </w:pPr>
            <w:r w:rsidRPr="00E14EE6">
              <w:rPr>
                <w:sz w:val="14"/>
              </w:rPr>
              <w:t>1,079.2</w:t>
            </w:r>
          </w:p>
        </w:tc>
        <w:tc>
          <w:tcPr>
            <w:tcW w:w="497" w:type="pct"/>
            <w:noWrap/>
            <w:hideMark/>
          </w:tcPr>
          <w:p w14:paraId="3762876F" w14:textId="77777777" w:rsidR="00CA7676" w:rsidRPr="00E14EE6" w:rsidRDefault="00CA7676" w:rsidP="00E14EE6">
            <w:pPr>
              <w:jc w:val="right"/>
              <w:rPr>
                <w:rFonts w:eastAsia="Times New Roman" w:cs="Calibri"/>
                <w:color w:val="000000"/>
                <w:sz w:val="14"/>
                <w:szCs w:val="14"/>
              </w:rPr>
            </w:pPr>
            <w:r w:rsidRPr="00E14EE6">
              <w:rPr>
                <w:sz w:val="14"/>
              </w:rPr>
              <w:t>1,155.9</w:t>
            </w:r>
          </w:p>
        </w:tc>
        <w:tc>
          <w:tcPr>
            <w:tcW w:w="499" w:type="pct"/>
            <w:noWrap/>
            <w:hideMark/>
          </w:tcPr>
          <w:p w14:paraId="59F2855D" w14:textId="77777777" w:rsidR="00CA7676" w:rsidRPr="00E14EE6" w:rsidRDefault="00CA7676" w:rsidP="00E14EE6">
            <w:pPr>
              <w:jc w:val="right"/>
              <w:rPr>
                <w:rFonts w:eastAsia="Times New Roman" w:cs="Calibri"/>
                <w:color w:val="000000"/>
                <w:sz w:val="14"/>
                <w:szCs w:val="14"/>
              </w:rPr>
            </w:pPr>
            <w:r w:rsidRPr="00E14EE6">
              <w:rPr>
                <w:sz w:val="14"/>
              </w:rPr>
              <w:t>1,190.7</w:t>
            </w:r>
          </w:p>
        </w:tc>
        <w:tc>
          <w:tcPr>
            <w:tcW w:w="497" w:type="pct"/>
            <w:noWrap/>
            <w:hideMark/>
          </w:tcPr>
          <w:p w14:paraId="47F32B09" w14:textId="77777777" w:rsidR="00CA7676" w:rsidRPr="00E14EE6" w:rsidRDefault="00CA7676" w:rsidP="00E14EE6">
            <w:pPr>
              <w:jc w:val="right"/>
              <w:rPr>
                <w:rFonts w:eastAsia="Times New Roman" w:cs="Calibri"/>
                <w:color w:val="000000"/>
                <w:sz w:val="14"/>
                <w:szCs w:val="14"/>
              </w:rPr>
            </w:pPr>
            <w:r w:rsidRPr="00E14EE6">
              <w:rPr>
                <w:sz w:val="14"/>
              </w:rPr>
              <w:t>1,103.1</w:t>
            </w:r>
          </w:p>
        </w:tc>
        <w:tc>
          <w:tcPr>
            <w:tcW w:w="497" w:type="pct"/>
            <w:noWrap/>
            <w:hideMark/>
          </w:tcPr>
          <w:p w14:paraId="56C6C179" w14:textId="77777777" w:rsidR="00CA7676" w:rsidRPr="00E14EE6" w:rsidRDefault="00CA7676" w:rsidP="00E14EE6">
            <w:pPr>
              <w:jc w:val="right"/>
              <w:rPr>
                <w:rFonts w:eastAsia="Times New Roman" w:cs="Calibri"/>
                <w:color w:val="000000"/>
                <w:sz w:val="14"/>
                <w:szCs w:val="14"/>
              </w:rPr>
            </w:pPr>
            <w:r w:rsidRPr="00E14EE6">
              <w:rPr>
                <w:sz w:val="14"/>
              </w:rPr>
              <w:t>1,132.1</w:t>
            </w:r>
          </w:p>
        </w:tc>
        <w:tc>
          <w:tcPr>
            <w:tcW w:w="498" w:type="pct"/>
            <w:noWrap/>
            <w:hideMark/>
          </w:tcPr>
          <w:p w14:paraId="21F92A8E" w14:textId="77777777" w:rsidR="00CA7676" w:rsidRPr="00E14EE6" w:rsidRDefault="00CA7676" w:rsidP="00E14EE6">
            <w:pPr>
              <w:jc w:val="right"/>
              <w:rPr>
                <w:rFonts w:eastAsia="Times New Roman" w:cs="Calibri"/>
                <w:color w:val="000000"/>
                <w:sz w:val="14"/>
                <w:szCs w:val="14"/>
              </w:rPr>
            </w:pPr>
            <w:r w:rsidRPr="00E14EE6">
              <w:rPr>
                <w:sz w:val="14"/>
              </w:rPr>
              <w:t>1,209.0</w:t>
            </w:r>
          </w:p>
        </w:tc>
        <w:tc>
          <w:tcPr>
            <w:tcW w:w="497" w:type="pct"/>
            <w:noWrap/>
            <w:hideMark/>
          </w:tcPr>
          <w:p w14:paraId="6EE25D21" w14:textId="77777777" w:rsidR="00CA7676" w:rsidRPr="00E14EE6" w:rsidRDefault="00CA7676" w:rsidP="00E14EE6">
            <w:pPr>
              <w:jc w:val="right"/>
              <w:rPr>
                <w:rFonts w:eastAsia="Times New Roman" w:cs="Calibri"/>
                <w:color w:val="000000"/>
                <w:sz w:val="14"/>
                <w:szCs w:val="14"/>
              </w:rPr>
            </w:pPr>
            <w:r w:rsidRPr="00E14EE6">
              <w:rPr>
                <w:sz w:val="14"/>
              </w:rPr>
              <w:t>1,140.5</w:t>
            </w:r>
          </w:p>
        </w:tc>
        <w:tc>
          <w:tcPr>
            <w:tcW w:w="498" w:type="pct"/>
            <w:noWrap/>
            <w:hideMark/>
          </w:tcPr>
          <w:p w14:paraId="7D1BA921" w14:textId="77777777" w:rsidR="00CA7676" w:rsidRPr="00E14EE6" w:rsidRDefault="00CA7676" w:rsidP="00E14EE6">
            <w:pPr>
              <w:jc w:val="right"/>
              <w:rPr>
                <w:rFonts w:eastAsia="Times New Roman" w:cs="Calibri"/>
                <w:sz w:val="14"/>
                <w:szCs w:val="14"/>
              </w:rPr>
            </w:pPr>
            <w:r w:rsidRPr="00E14EE6">
              <w:rPr>
                <w:sz w:val="14"/>
              </w:rPr>
              <w:t>1,734.0</w:t>
            </w:r>
          </w:p>
        </w:tc>
      </w:tr>
      <w:tr w:rsidR="00CA7676" w:rsidRPr="00E14EE6" w14:paraId="2205C5DE" w14:textId="77777777" w:rsidTr="00FD6B66">
        <w:trPr>
          <w:cantSplit/>
          <w:trHeight w:val="20"/>
        </w:trPr>
        <w:tc>
          <w:tcPr>
            <w:tcW w:w="1019" w:type="pct"/>
            <w:noWrap/>
            <w:hideMark/>
          </w:tcPr>
          <w:p w14:paraId="5818C383" w14:textId="77777777" w:rsidR="00CA7676" w:rsidRPr="00E14EE6" w:rsidRDefault="00CA7676" w:rsidP="00E14EE6">
            <w:pPr>
              <w:jc w:val="left"/>
              <w:rPr>
                <w:rFonts w:eastAsia="Times New Roman" w:cs="Calibri"/>
                <w:sz w:val="14"/>
                <w:szCs w:val="14"/>
              </w:rPr>
            </w:pPr>
            <w:r w:rsidRPr="00E14EE6">
              <w:rPr>
                <w:sz w:val="14"/>
              </w:rPr>
              <w:t>Other</w:t>
            </w:r>
          </w:p>
        </w:tc>
        <w:tc>
          <w:tcPr>
            <w:tcW w:w="497" w:type="pct"/>
            <w:noWrap/>
            <w:hideMark/>
          </w:tcPr>
          <w:p w14:paraId="49115E58" w14:textId="77777777" w:rsidR="00CA7676" w:rsidRPr="00E14EE6" w:rsidRDefault="00CA7676" w:rsidP="00E14EE6">
            <w:pPr>
              <w:jc w:val="right"/>
              <w:rPr>
                <w:rFonts w:eastAsia="Times New Roman" w:cs="Calibri"/>
                <w:sz w:val="14"/>
                <w:szCs w:val="14"/>
              </w:rPr>
            </w:pPr>
            <w:r w:rsidRPr="00E14EE6">
              <w:rPr>
                <w:sz w:val="14"/>
              </w:rPr>
              <w:t>1,890.6</w:t>
            </w:r>
          </w:p>
        </w:tc>
        <w:tc>
          <w:tcPr>
            <w:tcW w:w="497" w:type="pct"/>
            <w:noWrap/>
            <w:hideMark/>
          </w:tcPr>
          <w:p w14:paraId="3A5D2312" w14:textId="77777777" w:rsidR="00CA7676" w:rsidRPr="00E14EE6" w:rsidRDefault="00CA7676" w:rsidP="00E14EE6">
            <w:pPr>
              <w:jc w:val="right"/>
              <w:rPr>
                <w:rFonts w:eastAsia="Times New Roman" w:cs="Calibri"/>
                <w:color w:val="000000"/>
                <w:sz w:val="14"/>
                <w:szCs w:val="14"/>
              </w:rPr>
            </w:pPr>
            <w:r w:rsidRPr="00E14EE6">
              <w:rPr>
                <w:sz w:val="14"/>
              </w:rPr>
              <w:t>2,018.1</w:t>
            </w:r>
          </w:p>
        </w:tc>
        <w:tc>
          <w:tcPr>
            <w:tcW w:w="499" w:type="pct"/>
            <w:noWrap/>
            <w:hideMark/>
          </w:tcPr>
          <w:p w14:paraId="22173FDC" w14:textId="77777777" w:rsidR="00CA7676" w:rsidRPr="00E14EE6" w:rsidRDefault="00CA7676" w:rsidP="00E14EE6">
            <w:pPr>
              <w:jc w:val="right"/>
              <w:rPr>
                <w:rFonts w:eastAsia="Times New Roman" w:cs="Calibri"/>
                <w:color w:val="000000"/>
                <w:sz w:val="14"/>
                <w:szCs w:val="14"/>
              </w:rPr>
            </w:pPr>
            <w:r w:rsidRPr="00E14EE6">
              <w:rPr>
                <w:sz w:val="14"/>
              </w:rPr>
              <w:t>2,178.9</w:t>
            </w:r>
          </w:p>
        </w:tc>
        <w:tc>
          <w:tcPr>
            <w:tcW w:w="497" w:type="pct"/>
            <w:noWrap/>
            <w:hideMark/>
          </w:tcPr>
          <w:p w14:paraId="70F997FC" w14:textId="77777777" w:rsidR="00CA7676" w:rsidRPr="00E14EE6" w:rsidRDefault="00CA7676" w:rsidP="00E14EE6">
            <w:pPr>
              <w:jc w:val="right"/>
              <w:rPr>
                <w:rFonts w:eastAsia="Times New Roman" w:cs="Calibri"/>
                <w:color w:val="000000"/>
                <w:sz w:val="14"/>
                <w:szCs w:val="14"/>
              </w:rPr>
            </w:pPr>
            <w:r w:rsidRPr="00E14EE6">
              <w:rPr>
                <w:sz w:val="14"/>
              </w:rPr>
              <w:t>2,203.9</w:t>
            </w:r>
          </w:p>
        </w:tc>
        <w:tc>
          <w:tcPr>
            <w:tcW w:w="497" w:type="pct"/>
            <w:noWrap/>
            <w:hideMark/>
          </w:tcPr>
          <w:p w14:paraId="3248A02D" w14:textId="77777777" w:rsidR="00CA7676" w:rsidRPr="00E14EE6" w:rsidRDefault="00CA7676" w:rsidP="00E14EE6">
            <w:pPr>
              <w:jc w:val="right"/>
              <w:rPr>
                <w:rFonts w:eastAsia="Times New Roman" w:cs="Calibri"/>
                <w:color w:val="000000"/>
                <w:sz w:val="14"/>
                <w:szCs w:val="14"/>
              </w:rPr>
            </w:pPr>
            <w:r w:rsidRPr="00E14EE6">
              <w:rPr>
                <w:sz w:val="14"/>
              </w:rPr>
              <w:t>2,785.0</w:t>
            </w:r>
          </w:p>
        </w:tc>
        <w:tc>
          <w:tcPr>
            <w:tcW w:w="498" w:type="pct"/>
            <w:noWrap/>
            <w:hideMark/>
          </w:tcPr>
          <w:p w14:paraId="27359B1E" w14:textId="77777777" w:rsidR="00CA7676" w:rsidRPr="00E14EE6" w:rsidRDefault="00CA7676" w:rsidP="00E14EE6">
            <w:pPr>
              <w:jc w:val="right"/>
              <w:rPr>
                <w:rFonts w:eastAsia="Times New Roman" w:cs="Calibri"/>
                <w:color w:val="000000"/>
                <w:sz w:val="14"/>
                <w:szCs w:val="14"/>
              </w:rPr>
            </w:pPr>
            <w:r w:rsidRPr="00E14EE6">
              <w:rPr>
                <w:sz w:val="14"/>
              </w:rPr>
              <w:t>3,049.2</w:t>
            </w:r>
          </w:p>
        </w:tc>
        <w:tc>
          <w:tcPr>
            <w:tcW w:w="497" w:type="pct"/>
            <w:noWrap/>
            <w:hideMark/>
          </w:tcPr>
          <w:p w14:paraId="4E8C8D4A" w14:textId="77777777" w:rsidR="00CA7676" w:rsidRPr="00E14EE6" w:rsidRDefault="00CA7676" w:rsidP="00E14EE6">
            <w:pPr>
              <w:jc w:val="right"/>
              <w:rPr>
                <w:rFonts w:eastAsia="Times New Roman" w:cs="Calibri"/>
                <w:sz w:val="14"/>
                <w:szCs w:val="14"/>
              </w:rPr>
            </w:pPr>
            <w:r w:rsidRPr="00E14EE6">
              <w:rPr>
                <w:sz w:val="14"/>
              </w:rPr>
              <w:t>2,056.4</w:t>
            </w:r>
          </w:p>
        </w:tc>
        <w:tc>
          <w:tcPr>
            <w:tcW w:w="498" w:type="pct"/>
            <w:noWrap/>
            <w:hideMark/>
          </w:tcPr>
          <w:p w14:paraId="01151CFD" w14:textId="77777777" w:rsidR="00CA7676" w:rsidRPr="00E14EE6" w:rsidRDefault="00CA7676" w:rsidP="00E14EE6">
            <w:pPr>
              <w:jc w:val="right"/>
              <w:rPr>
                <w:rFonts w:eastAsia="Times New Roman" w:cs="Calibri"/>
                <w:sz w:val="14"/>
                <w:szCs w:val="14"/>
              </w:rPr>
            </w:pPr>
            <w:r w:rsidRPr="00E14EE6">
              <w:rPr>
                <w:sz w:val="14"/>
              </w:rPr>
              <w:t>2,664.1</w:t>
            </w:r>
          </w:p>
        </w:tc>
      </w:tr>
      <w:tr w:rsidR="00CA7676" w:rsidRPr="00E14EE6" w14:paraId="2AB279A9" w14:textId="77777777" w:rsidTr="00FD6B66">
        <w:trPr>
          <w:cnfStyle w:val="000000010000" w:firstRow="0" w:lastRow="0" w:firstColumn="0" w:lastColumn="0" w:oddVBand="0" w:evenVBand="0" w:oddHBand="0" w:evenHBand="1" w:firstRowFirstColumn="0" w:firstRowLastColumn="0" w:lastRowFirstColumn="0" w:lastRowLastColumn="0"/>
          <w:cantSplit/>
          <w:trHeight w:val="20"/>
        </w:trPr>
        <w:tc>
          <w:tcPr>
            <w:tcW w:w="1019" w:type="pct"/>
            <w:noWrap/>
            <w:hideMark/>
          </w:tcPr>
          <w:p w14:paraId="528492B7" w14:textId="77777777" w:rsidR="00CA7676" w:rsidRPr="00E14EE6" w:rsidRDefault="00CA7676" w:rsidP="00E14EE6">
            <w:pPr>
              <w:jc w:val="left"/>
              <w:rPr>
                <w:rFonts w:eastAsia="Times New Roman" w:cs="Calibri"/>
                <w:b/>
                <w:bCs/>
                <w:color w:val="000000"/>
                <w:sz w:val="14"/>
                <w:szCs w:val="14"/>
              </w:rPr>
            </w:pPr>
            <w:r w:rsidRPr="00E14EE6">
              <w:rPr>
                <w:b/>
                <w:sz w:val="14"/>
              </w:rPr>
              <w:t>1.2 Primary income</w:t>
            </w:r>
          </w:p>
        </w:tc>
        <w:tc>
          <w:tcPr>
            <w:tcW w:w="497" w:type="pct"/>
            <w:noWrap/>
            <w:hideMark/>
          </w:tcPr>
          <w:p w14:paraId="42FD5D3F" w14:textId="4EBD38E4" w:rsidR="00CA7676" w:rsidRPr="00E14EE6" w:rsidRDefault="00E14EE6" w:rsidP="00E14EE6">
            <w:pPr>
              <w:jc w:val="right"/>
              <w:rPr>
                <w:rFonts w:eastAsia="Times New Roman" w:cs="Calibri"/>
                <w:b/>
                <w:bCs/>
                <w:color w:val="000000"/>
                <w:sz w:val="14"/>
                <w:szCs w:val="14"/>
              </w:rPr>
            </w:pPr>
            <w:r w:rsidRPr="00E14EE6">
              <w:rPr>
                <w:b/>
                <w:sz w:val="14"/>
              </w:rPr>
              <w:noBreakHyphen/>
            </w:r>
            <w:r w:rsidR="00CA7676" w:rsidRPr="00E14EE6">
              <w:rPr>
                <w:b/>
                <w:sz w:val="14"/>
              </w:rPr>
              <w:t>3,247.4</w:t>
            </w:r>
          </w:p>
        </w:tc>
        <w:tc>
          <w:tcPr>
            <w:tcW w:w="497" w:type="pct"/>
            <w:noWrap/>
            <w:hideMark/>
          </w:tcPr>
          <w:p w14:paraId="0CEF051E" w14:textId="46147741" w:rsidR="00CA7676" w:rsidRPr="00E14EE6" w:rsidRDefault="00E14EE6" w:rsidP="00E14EE6">
            <w:pPr>
              <w:jc w:val="right"/>
              <w:rPr>
                <w:rFonts w:eastAsia="Times New Roman" w:cs="Calibri"/>
                <w:b/>
                <w:bCs/>
                <w:color w:val="000000"/>
                <w:sz w:val="14"/>
                <w:szCs w:val="14"/>
              </w:rPr>
            </w:pPr>
            <w:r w:rsidRPr="00E14EE6">
              <w:rPr>
                <w:b/>
                <w:sz w:val="14"/>
              </w:rPr>
              <w:noBreakHyphen/>
            </w:r>
            <w:r w:rsidR="00CA7676" w:rsidRPr="00E14EE6">
              <w:rPr>
                <w:b/>
                <w:sz w:val="14"/>
              </w:rPr>
              <w:t>2,936.4</w:t>
            </w:r>
          </w:p>
        </w:tc>
        <w:tc>
          <w:tcPr>
            <w:tcW w:w="499" w:type="pct"/>
            <w:noWrap/>
            <w:hideMark/>
          </w:tcPr>
          <w:p w14:paraId="48A41176" w14:textId="3786FF5D" w:rsidR="00CA7676" w:rsidRPr="00E14EE6" w:rsidRDefault="00E14EE6" w:rsidP="00E14EE6">
            <w:pPr>
              <w:jc w:val="right"/>
              <w:rPr>
                <w:rFonts w:eastAsia="Times New Roman" w:cs="Calibri"/>
                <w:b/>
                <w:bCs/>
                <w:color w:val="000000"/>
                <w:sz w:val="14"/>
                <w:szCs w:val="14"/>
              </w:rPr>
            </w:pPr>
            <w:r w:rsidRPr="00E14EE6">
              <w:rPr>
                <w:b/>
                <w:sz w:val="14"/>
              </w:rPr>
              <w:noBreakHyphen/>
            </w:r>
            <w:r w:rsidR="00CA7676" w:rsidRPr="00E14EE6">
              <w:rPr>
                <w:b/>
                <w:sz w:val="14"/>
              </w:rPr>
              <w:t>3,253.1</w:t>
            </w:r>
          </w:p>
        </w:tc>
        <w:tc>
          <w:tcPr>
            <w:tcW w:w="497" w:type="pct"/>
            <w:noWrap/>
            <w:hideMark/>
          </w:tcPr>
          <w:p w14:paraId="593EB33B" w14:textId="738F356E" w:rsidR="00CA7676" w:rsidRPr="00E14EE6" w:rsidRDefault="00E14EE6" w:rsidP="00E14EE6">
            <w:pPr>
              <w:jc w:val="right"/>
              <w:rPr>
                <w:rFonts w:eastAsia="Times New Roman" w:cs="Calibri"/>
                <w:b/>
                <w:bCs/>
                <w:color w:val="000000"/>
                <w:sz w:val="14"/>
                <w:szCs w:val="14"/>
              </w:rPr>
            </w:pPr>
            <w:r w:rsidRPr="00E14EE6">
              <w:rPr>
                <w:b/>
                <w:sz w:val="14"/>
              </w:rPr>
              <w:noBreakHyphen/>
            </w:r>
            <w:r w:rsidR="00CA7676" w:rsidRPr="00E14EE6">
              <w:rPr>
                <w:b/>
                <w:sz w:val="14"/>
              </w:rPr>
              <w:t>3,793.8</w:t>
            </w:r>
          </w:p>
        </w:tc>
        <w:tc>
          <w:tcPr>
            <w:tcW w:w="497" w:type="pct"/>
            <w:noWrap/>
            <w:hideMark/>
          </w:tcPr>
          <w:p w14:paraId="556ED6B1" w14:textId="543BD798" w:rsidR="00CA7676" w:rsidRPr="00E14EE6" w:rsidRDefault="00E14EE6" w:rsidP="00E14EE6">
            <w:pPr>
              <w:jc w:val="right"/>
              <w:rPr>
                <w:rFonts w:eastAsia="Times New Roman" w:cs="Calibri"/>
                <w:b/>
                <w:bCs/>
                <w:color w:val="000000"/>
                <w:sz w:val="14"/>
                <w:szCs w:val="14"/>
              </w:rPr>
            </w:pPr>
            <w:r w:rsidRPr="00E14EE6">
              <w:rPr>
                <w:b/>
                <w:sz w:val="14"/>
              </w:rPr>
              <w:noBreakHyphen/>
            </w:r>
            <w:r w:rsidR="00CA7676" w:rsidRPr="00E14EE6">
              <w:rPr>
                <w:b/>
                <w:sz w:val="14"/>
              </w:rPr>
              <w:t>3,691.7</w:t>
            </w:r>
          </w:p>
        </w:tc>
        <w:tc>
          <w:tcPr>
            <w:tcW w:w="498" w:type="pct"/>
            <w:noWrap/>
            <w:hideMark/>
          </w:tcPr>
          <w:p w14:paraId="182F3299" w14:textId="79588BBB" w:rsidR="00CA7676" w:rsidRPr="00E14EE6" w:rsidRDefault="00E14EE6" w:rsidP="00E14EE6">
            <w:pPr>
              <w:jc w:val="right"/>
              <w:rPr>
                <w:rFonts w:eastAsia="Times New Roman" w:cs="Calibri"/>
                <w:b/>
                <w:bCs/>
                <w:color w:val="000000"/>
                <w:sz w:val="14"/>
                <w:szCs w:val="14"/>
              </w:rPr>
            </w:pPr>
            <w:r w:rsidRPr="00E14EE6">
              <w:rPr>
                <w:b/>
                <w:sz w:val="14"/>
              </w:rPr>
              <w:noBreakHyphen/>
            </w:r>
            <w:r w:rsidR="00CA7676" w:rsidRPr="00E14EE6">
              <w:rPr>
                <w:b/>
                <w:sz w:val="14"/>
              </w:rPr>
              <w:t>4,068.9</w:t>
            </w:r>
          </w:p>
        </w:tc>
        <w:tc>
          <w:tcPr>
            <w:tcW w:w="497" w:type="pct"/>
            <w:noWrap/>
            <w:hideMark/>
          </w:tcPr>
          <w:p w14:paraId="65B4D971" w14:textId="6ABC38FA" w:rsidR="00CA7676" w:rsidRPr="00E14EE6" w:rsidRDefault="00E14EE6" w:rsidP="00E14EE6">
            <w:pPr>
              <w:jc w:val="right"/>
              <w:rPr>
                <w:rFonts w:eastAsia="Times New Roman" w:cs="Calibri"/>
                <w:b/>
                <w:bCs/>
                <w:color w:val="000000"/>
                <w:sz w:val="14"/>
                <w:szCs w:val="14"/>
              </w:rPr>
            </w:pPr>
            <w:r w:rsidRPr="00E14EE6">
              <w:rPr>
                <w:b/>
                <w:sz w:val="14"/>
              </w:rPr>
              <w:noBreakHyphen/>
            </w:r>
            <w:r w:rsidR="00CA7676" w:rsidRPr="00E14EE6">
              <w:rPr>
                <w:b/>
                <w:sz w:val="14"/>
              </w:rPr>
              <w:t>3,825.0</w:t>
            </w:r>
          </w:p>
        </w:tc>
        <w:tc>
          <w:tcPr>
            <w:tcW w:w="498" w:type="pct"/>
            <w:noWrap/>
            <w:hideMark/>
          </w:tcPr>
          <w:p w14:paraId="6606B74A" w14:textId="05358A78" w:rsidR="00CA7676" w:rsidRPr="00E14EE6" w:rsidRDefault="00E14EE6" w:rsidP="00E14EE6">
            <w:pPr>
              <w:jc w:val="right"/>
              <w:rPr>
                <w:rFonts w:eastAsia="Times New Roman" w:cs="Calibri"/>
                <w:b/>
                <w:bCs/>
                <w:sz w:val="14"/>
                <w:szCs w:val="14"/>
              </w:rPr>
            </w:pPr>
            <w:r w:rsidRPr="00E14EE6">
              <w:rPr>
                <w:b/>
                <w:sz w:val="14"/>
              </w:rPr>
              <w:noBreakHyphen/>
            </w:r>
            <w:r w:rsidR="00CA7676" w:rsidRPr="00E14EE6">
              <w:rPr>
                <w:b/>
                <w:sz w:val="14"/>
              </w:rPr>
              <w:t>4,706.2</w:t>
            </w:r>
          </w:p>
        </w:tc>
      </w:tr>
      <w:tr w:rsidR="00CA7676" w:rsidRPr="00E14EE6" w14:paraId="6C3B9FBA" w14:textId="77777777" w:rsidTr="00FD6B66">
        <w:trPr>
          <w:cantSplit/>
          <w:trHeight w:val="20"/>
        </w:trPr>
        <w:tc>
          <w:tcPr>
            <w:tcW w:w="1019" w:type="pct"/>
            <w:noWrap/>
            <w:hideMark/>
          </w:tcPr>
          <w:p w14:paraId="1BF211D4" w14:textId="77777777" w:rsidR="00CA7676" w:rsidRPr="00E14EE6" w:rsidRDefault="00CA7676" w:rsidP="00E14EE6">
            <w:pPr>
              <w:jc w:val="left"/>
              <w:rPr>
                <w:rFonts w:eastAsia="Times New Roman" w:cs="Calibri"/>
                <w:color w:val="000000"/>
                <w:sz w:val="14"/>
                <w:szCs w:val="14"/>
              </w:rPr>
            </w:pPr>
            <w:r w:rsidRPr="00E14EE6">
              <w:rPr>
                <w:sz w:val="14"/>
              </w:rPr>
              <w:t>Compensation of employees</w:t>
            </w:r>
          </w:p>
        </w:tc>
        <w:tc>
          <w:tcPr>
            <w:tcW w:w="497" w:type="pct"/>
            <w:noWrap/>
            <w:hideMark/>
          </w:tcPr>
          <w:p w14:paraId="30A2A5CB" w14:textId="77777777" w:rsidR="00CA7676" w:rsidRPr="00E14EE6" w:rsidRDefault="00CA7676" w:rsidP="00E14EE6">
            <w:pPr>
              <w:jc w:val="right"/>
              <w:rPr>
                <w:rFonts w:eastAsia="Times New Roman" w:cs="Calibri"/>
                <w:color w:val="000000"/>
                <w:sz w:val="14"/>
                <w:szCs w:val="14"/>
              </w:rPr>
            </w:pPr>
            <w:r w:rsidRPr="00E14EE6">
              <w:rPr>
                <w:sz w:val="14"/>
              </w:rPr>
              <w:t>84.5</w:t>
            </w:r>
          </w:p>
        </w:tc>
        <w:tc>
          <w:tcPr>
            <w:tcW w:w="497" w:type="pct"/>
            <w:noWrap/>
            <w:hideMark/>
          </w:tcPr>
          <w:p w14:paraId="6ABF23ED" w14:textId="77777777" w:rsidR="00CA7676" w:rsidRPr="00E14EE6" w:rsidRDefault="00CA7676" w:rsidP="00E14EE6">
            <w:pPr>
              <w:jc w:val="right"/>
              <w:rPr>
                <w:rFonts w:eastAsia="Times New Roman" w:cs="Calibri"/>
                <w:color w:val="000000"/>
                <w:sz w:val="14"/>
                <w:szCs w:val="14"/>
              </w:rPr>
            </w:pPr>
            <w:r w:rsidRPr="00E14EE6">
              <w:rPr>
                <w:sz w:val="14"/>
              </w:rPr>
              <w:t>75.3</w:t>
            </w:r>
          </w:p>
        </w:tc>
        <w:tc>
          <w:tcPr>
            <w:tcW w:w="499" w:type="pct"/>
            <w:noWrap/>
            <w:hideMark/>
          </w:tcPr>
          <w:p w14:paraId="41D22A5E" w14:textId="77777777" w:rsidR="00CA7676" w:rsidRPr="00E14EE6" w:rsidRDefault="00CA7676" w:rsidP="00E14EE6">
            <w:pPr>
              <w:jc w:val="right"/>
              <w:rPr>
                <w:rFonts w:eastAsia="Times New Roman" w:cs="Calibri"/>
                <w:color w:val="000000"/>
                <w:sz w:val="14"/>
                <w:szCs w:val="14"/>
              </w:rPr>
            </w:pPr>
            <w:r w:rsidRPr="00E14EE6">
              <w:rPr>
                <w:sz w:val="14"/>
              </w:rPr>
              <w:t>79.2</w:t>
            </w:r>
          </w:p>
        </w:tc>
        <w:tc>
          <w:tcPr>
            <w:tcW w:w="497" w:type="pct"/>
            <w:noWrap/>
            <w:hideMark/>
          </w:tcPr>
          <w:p w14:paraId="36B027DF" w14:textId="77777777" w:rsidR="00CA7676" w:rsidRPr="00E14EE6" w:rsidRDefault="00CA7676" w:rsidP="00E14EE6">
            <w:pPr>
              <w:jc w:val="right"/>
              <w:rPr>
                <w:rFonts w:eastAsia="Times New Roman" w:cs="Calibri"/>
                <w:color w:val="000000"/>
                <w:sz w:val="14"/>
                <w:szCs w:val="14"/>
              </w:rPr>
            </w:pPr>
            <w:r w:rsidRPr="00E14EE6">
              <w:rPr>
                <w:sz w:val="14"/>
              </w:rPr>
              <w:t>76.4</w:t>
            </w:r>
          </w:p>
        </w:tc>
        <w:tc>
          <w:tcPr>
            <w:tcW w:w="497" w:type="pct"/>
            <w:noWrap/>
            <w:hideMark/>
          </w:tcPr>
          <w:p w14:paraId="1EF67A0B" w14:textId="77777777" w:rsidR="00CA7676" w:rsidRPr="00E14EE6" w:rsidRDefault="00CA7676" w:rsidP="00E14EE6">
            <w:pPr>
              <w:jc w:val="right"/>
              <w:rPr>
                <w:rFonts w:eastAsia="Times New Roman" w:cs="Calibri"/>
                <w:color w:val="000000"/>
                <w:sz w:val="14"/>
                <w:szCs w:val="14"/>
              </w:rPr>
            </w:pPr>
            <w:r w:rsidRPr="00E14EE6">
              <w:rPr>
                <w:sz w:val="14"/>
              </w:rPr>
              <w:t>128.6</w:t>
            </w:r>
          </w:p>
        </w:tc>
        <w:tc>
          <w:tcPr>
            <w:tcW w:w="498" w:type="pct"/>
            <w:noWrap/>
            <w:hideMark/>
          </w:tcPr>
          <w:p w14:paraId="70B4BE47" w14:textId="77777777" w:rsidR="00CA7676" w:rsidRPr="00E14EE6" w:rsidRDefault="00CA7676" w:rsidP="00E14EE6">
            <w:pPr>
              <w:jc w:val="right"/>
              <w:rPr>
                <w:rFonts w:eastAsia="Times New Roman" w:cs="Calibri"/>
                <w:color w:val="000000"/>
                <w:sz w:val="14"/>
                <w:szCs w:val="14"/>
              </w:rPr>
            </w:pPr>
            <w:r w:rsidRPr="00E14EE6">
              <w:rPr>
                <w:sz w:val="14"/>
              </w:rPr>
              <w:t>76.2</w:t>
            </w:r>
          </w:p>
        </w:tc>
        <w:tc>
          <w:tcPr>
            <w:tcW w:w="497" w:type="pct"/>
            <w:noWrap/>
            <w:hideMark/>
          </w:tcPr>
          <w:p w14:paraId="60F4922B" w14:textId="152EE754" w:rsidR="00CA7676" w:rsidRPr="00E14EE6" w:rsidRDefault="00E14EE6" w:rsidP="00E14EE6">
            <w:pPr>
              <w:jc w:val="right"/>
              <w:rPr>
                <w:rFonts w:eastAsia="Times New Roman" w:cs="Calibri"/>
                <w:color w:val="000000"/>
                <w:sz w:val="14"/>
                <w:szCs w:val="14"/>
              </w:rPr>
            </w:pPr>
            <w:r w:rsidRPr="00E14EE6">
              <w:rPr>
                <w:sz w:val="14"/>
              </w:rPr>
              <w:noBreakHyphen/>
            </w:r>
            <w:r w:rsidR="00CA7676" w:rsidRPr="00E14EE6">
              <w:rPr>
                <w:sz w:val="14"/>
              </w:rPr>
              <w:t>121.0</w:t>
            </w:r>
          </w:p>
        </w:tc>
        <w:tc>
          <w:tcPr>
            <w:tcW w:w="498" w:type="pct"/>
            <w:noWrap/>
            <w:hideMark/>
          </w:tcPr>
          <w:p w14:paraId="21985683" w14:textId="77777777" w:rsidR="00CA7676" w:rsidRPr="00E14EE6" w:rsidRDefault="00CA7676" w:rsidP="00E14EE6">
            <w:pPr>
              <w:jc w:val="right"/>
              <w:rPr>
                <w:rFonts w:eastAsia="Times New Roman" w:cs="Calibri"/>
                <w:sz w:val="14"/>
                <w:szCs w:val="14"/>
              </w:rPr>
            </w:pPr>
            <w:r w:rsidRPr="00E14EE6">
              <w:rPr>
                <w:sz w:val="14"/>
              </w:rPr>
              <w:t>107.5</w:t>
            </w:r>
          </w:p>
        </w:tc>
      </w:tr>
      <w:tr w:rsidR="00CA7676" w:rsidRPr="00E14EE6" w14:paraId="400667A5" w14:textId="77777777" w:rsidTr="00FD6B66">
        <w:trPr>
          <w:cnfStyle w:val="000000010000" w:firstRow="0" w:lastRow="0" w:firstColumn="0" w:lastColumn="0" w:oddVBand="0" w:evenVBand="0" w:oddHBand="0" w:evenHBand="1" w:firstRowFirstColumn="0" w:firstRowLastColumn="0" w:lastRowFirstColumn="0" w:lastRowLastColumn="0"/>
          <w:cantSplit/>
          <w:trHeight w:val="20"/>
        </w:trPr>
        <w:tc>
          <w:tcPr>
            <w:tcW w:w="1019" w:type="pct"/>
            <w:noWrap/>
            <w:hideMark/>
          </w:tcPr>
          <w:p w14:paraId="466B8EFE" w14:textId="77777777" w:rsidR="00CA7676" w:rsidRPr="00E14EE6" w:rsidRDefault="00CA7676" w:rsidP="00E14EE6">
            <w:pPr>
              <w:ind w:left="170"/>
              <w:jc w:val="left"/>
              <w:rPr>
                <w:rFonts w:eastAsia="Times New Roman" w:cs="Calibri"/>
                <w:color w:val="000000"/>
                <w:sz w:val="14"/>
                <w:szCs w:val="14"/>
              </w:rPr>
            </w:pPr>
            <w:r w:rsidRPr="00E14EE6">
              <w:rPr>
                <w:sz w:val="14"/>
              </w:rPr>
              <w:t>Credit</w:t>
            </w:r>
          </w:p>
        </w:tc>
        <w:tc>
          <w:tcPr>
            <w:tcW w:w="497" w:type="pct"/>
            <w:noWrap/>
            <w:hideMark/>
          </w:tcPr>
          <w:p w14:paraId="275979D2" w14:textId="77777777" w:rsidR="00CA7676" w:rsidRPr="00E14EE6" w:rsidRDefault="00CA7676" w:rsidP="00E14EE6">
            <w:pPr>
              <w:jc w:val="right"/>
              <w:rPr>
                <w:rFonts w:eastAsia="Times New Roman" w:cs="Calibri"/>
                <w:color w:val="000000"/>
                <w:sz w:val="14"/>
                <w:szCs w:val="14"/>
              </w:rPr>
            </w:pPr>
            <w:r w:rsidRPr="00E14EE6">
              <w:rPr>
                <w:sz w:val="14"/>
              </w:rPr>
              <w:t>239.2</w:t>
            </w:r>
          </w:p>
        </w:tc>
        <w:tc>
          <w:tcPr>
            <w:tcW w:w="497" w:type="pct"/>
            <w:noWrap/>
            <w:hideMark/>
          </w:tcPr>
          <w:p w14:paraId="2EA33512" w14:textId="77777777" w:rsidR="00CA7676" w:rsidRPr="00E14EE6" w:rsidRDefault="00CA7676" w:rsidP="00E14EE6">
            <w:pPr>
              <w:jc w:val="right"/>
              <w:rPr>
                <w:rFonts w:eastAsia="Times New Roman" w:cs="Calibri"/>
                <w:color w:val="000000"/>
                <w:sz w:val="14"/>
                <w:szCs w:val="14"/>
              </w:rPr>
            </w:pPr>
            <w:r w:rsidRPr="00E14EE6">
              <w:rPr>
                <w:sz w:val="14"/>
              </w:rPr>
              <w:t>235.6</w:t>
            </w:r>
          </w:p>
        </w:tc>
        <w:tc>
          <w:tcPr>
            <w:tcW w:w="499" w:type="pct"/>
            <w:noWrap/>
            <w:hideMark/>
          </w:tcPr>
          <w:p w14:paraId="4637CDD4" w14:textId="77777777" w:rsidR="00CA7676" w:rsidRPr="00E14EE6" w:rsidRDefault="00CA7676" w:rsidP="00E14EE6">
            <w:pPr>
              <w:jc w:val="right"/>
              <w:rPr>
                <w:rFonts w:eastAsia="Times New Roman" w:cs="Calibri"/>
                <w:color w:val="000000"/>
                <w:sz w:val="14"/>
                <w:szCs w:val="14"/>
              </w:rPr>
            </w:pPr>
            <w:r w:rsidRPr="00E14EE6">
              <w:rPr>
                <w:sz w:val="14"/>
              </w:rPr>
              <w:t>247.6</w:t>
            </w:r>
          </w:p>
        </w:tc>
        <w:tc>
          <w:tcPr>
            <w:tcW w:w="497" w:type="pct"/>
            <w:noWrap/>
            <w:hideMark/>
          </w:tcPr>
          <w:p w14:paraId="65E01322" w14:textId="77777777" w:rsidR="00CA7676" w:rsidRPr="00E14EE6" w:rsidRDefault="00CA7676" w:rsidP="00E14EE6">
            <w:pPr>
              <w:jc w:val="right"/>
              <w:rPr>
                <w:rFonts w:eastAsia="Times New Roman" w:cs="Calibri"/>
                <w:color w:val="000000"/>
                <w:sz w:val="14"/>
                <w:szCs w:val="14"/>
              </w:rPr>
            </w:pPr>
            <w:r w:rsidRPr="00E14EE6">
              <w:rPr>
                <w:sz w:val="14"/>
              </w:rPr>
              <w:t>266.0</w:t>
            </w:r>
          </w:p>
        </w:tc>
        <w:tc>
          <w:tcPr>
            <w:tcW w:w="497" w:type="pct"/>
            <w:noWrap/>
            <w:hideMark/>
          </w:tcPr>
          <w:p w14:paraId="604AE660" w14:textId="77777777" w:rsidR="00CA7676" w:rsidRPr="00E14EE6" w:rsidRDefault="00CA7676" w:rsidP="00E14EE6">
            <w:pPr>
              <w:jc w:val="right"/>
              <w:rPr>
                <w:rFonts w:eastAsia="Times New Roman" w:cs="Calibri"/>
                <w:color w:val="000000"/>
                <w:sz w:val="14"/>
                <w:szCs w:val="14"/>
              </w:rPr>
            </w:pPr>
            <w:r w:rsidRPr="00E14EE6">
              <w:rPr>
                <w:sz w:val="14"/>
              </w:rPr>
              <w:t>323.5</w:t>
            </w:r>
          </w:p>
        </w:tc>
        <w:tc>
          <w:tcPr>
            <w:tcW w:w="498" w:type="pct"/>
            <w:noWrap/>
            <w:hideMark/>
          </w:tcPr>
          <w:p w14:paraId="3474E7B6" w14:textId="77777777" w:rsidR="00CA7676" w:rsidRPr="00E14EE6" w:rsidRDefault="00CA7676" w:rsidP="00E14EE6">
            <w:pPr>
              <w:jc w:val="right"/>
              <w:rPr>
                <w:rFonts w:eastAsia="Times New Roman" w:cs="Calibri"/>
                <w:color w:val="000000"/>
                <w:sz w:val="14"/>
                <w:szCs w:val="14"/>
              </w:rPr>
            </w:pPr>
            <w:r w:rsidRPr="00E14EE6">
              <w:rPr>
                <w:sz w:val="14"/>
              </w:rPr>
              <w:t>333.5</w:t>
            </w:r>
          </w:p>
        </w:tc>
        <w:tc>
          <w:tcPr>
            <w:tcW w:w="497" w:type="pct"/>
            <w:noWrap/>
            <w:hideMark/>
          </w:tcPr>
          <w:p w14:paraId="03EA0E1B" w14:textId="77777777" w:rsidR="00CA7676" w:rsidRPr="00E14EE6" w:rsidRDefault="00CA7676" w:rsidP="00E14EE6">
            <w:pPr>
              <w:jc w:val="right"/>
              <w:rPr>
                <w:rFonts w:eastAsia="Times New Roman" w:cs="Calibri"/>
                <w:sz w:val="14"/>
                <w:szCs w:val="14"/>
              </w:rPr>
            </w:pPr>
            <w:r w:rsidRPr="00E14EE6">
              <w:rPr>
                <w:sz w:val="14"/>
              </w:rPr>
              <w:t>112.4</w:t>
            </w:r>
          </w:p>
        </w:tc>
        <w:tc>
          <w:tcPr>
            <w:tcW w:w="498" w:type="pct"/>
            <w:noWrap/>
            <w:hideMark/>
          </w:tcPr>
          <w:p w14:paraId="452BE53E" w14:textId="77777777" w:rsidR="00CA7676" w:rsidRPr="00E14EE6" w:rsidRDefault="00CA7676" w:rsidP="00E14EE6">
            <w:pPr>
              <w:jc w:val="right"/>
              <w:rPr>
                <w:rFonts w:eastAsia="Times New Roman" w:cs="Calibri"/>
                <w:sz w:val="14"/>
                <w:szCs w:val="14"/>
              </w:rPr>
            </w:pPr>
            <w:r w:rsidRPr="00E14EE6">
              <w:rPr>
                <w:sz w:val="14"/>
              </w:rPr>
              <w:t>340.3</w:t>
            </w:r>
          </w:p>
        </w:tc>
      </w:tr>
      <w:tr w:rsidR="00CA7676" w:rsidRPr="00E14EE6" w14:paraId="2CB8BAAF" w14:textId="77777777" w:rsidTr="00FD6B66">
        <w:trPr>
          <w:cantSplit/>
          <w:trHeight w:val="20"/>
        </w:trPr>
        <w:tc>
          <w:tcPr>
            <w:tcW w:w="1019" w:type="pct"/>
            <w:noWrap/>
            <w:hideMark/>
          </w:tcPr>
          <w:p w14:paraId="50C302E7" w14:textId="77777777" w:rsidR="00CA7676" w:rsidRPr="00E14EE6" w:rsidRDefault="00CA7676" w:rsidP="00E14EE6">
            <w:pPr>
              <w:ind w:left="170"/>
              <w:jc w:val="left"/>
              <w:rPr>
                <w:rFonts w:eastAsia="Times New Roman" w:cs="Calibri"/>
                <w:color w:val="000000"/>
                <w:sz w:val="14"/>
                <w:szCs w:val="14"/>
              </w:rPr>
            </w:pPr>
            <w:r w:rsidRPr="00E14EE6">
              <w:rPr>
                <w:sz w:val="14"/>
              </w:rPr>
              <w:t>Debit</w:t>
            </w:r>
          </w:p>
        </w:tc>
        <w:tc>
          <w:tcPr>
            <w:tcW w:w="497" w:type="pct"/>
            <w:noWrap/>
            <w:hideMark/>
          </w:tcPr>
          <w:p w14:paraId="64532937" w14:textId="77777777" w:rsidR="00CA7676" w:rsidRPr="00E14EE6" w:rsidRDefault="00CA7676" w:rsidP="00E14EE6">
            <w:pPr>
              <w:jc w:val="right"/>
              <w:rPr>
                <w:rFonts w:eastAsia="Times New Roman" w:cs="Calibri"/>
                <w:color w:val="000000"/>
                <w:sz w:val="14"/>
                <w:szCs w:val="14"/>
              </w:rPr>
            </w:pPr>
            <w:r w:rsidRPr="00E14EE6">
              <w:rPr>
                <w:sz w:val="14"/>
              </w:rPr>
              <w:t>154.7</w:t>
            </w:r>
          </w:p>
        </w:tc>
        <w:tc>
          <w:tcPr>
            <w:tcW w:w="497" w:type="pct"/>
            <w:noWrap/>
            <w:hideMark/>
          </w:tcPr>
          <w:p w14:paraId="6560FFE4" w14:textId="77777777" w:rsidR="00CA7676" w:rsidRPr="00E14EE6" w:rsidRDefault="00CA7676" w:rsidP="00E14EE6">
            <w:pPr>
              <w:jc w:val="right"/>
              <w:rPr>
                <w:rFonts w:eastAsia="Times New Roman" w:cs="Calibri"/>
                <w:color w:val="000000"/>
                <w:sz w:val="14"/>
                <w:szCs w:val="14"/>
              </w:rPr>
            </w:pPr>
            <w:r w:rsidRPr="00E14EE6">
              <w:rPr>
                <w:sz w:val="14"/>
              </w:rPr>
              <w:t>160.3</w:t>
            </w:r>
          </w:p>
        </w:tc>
        <w:tc>
          <w:tcPr>
            <w:tcW w:w="499" w:type="pct"/>
            <w:noWrap/>
            <w:hideMark/>
          </w:tcPr>
          <w:p w14:paraId="5545B0A8" w14:textId="77777777" w:rsidR="00CA7676" w:rsidRPr="00E14EE6" w:rsidRDefault="00CA7676" w:rsidP="00E14EE6">
            <w:pPr>
              <w:jc w:val="right"/>
              <w:rPr>
                <w:rFonts w:eastAsia="Times New Roman" w:cs="Calibri"/>
                <w:color w:val="000000"/>
                <w:sz w:val="14"/>
                <w:szCs w:val="14"/>
              </w:rPr>
            </w:pPr>
            <w:r w:rsidRPr="00E14EE6">
              <w:rPr>
                <w:sz w:val="14"/>
              </w:rPr>
              <w:t>168.4</w:t>
            </w:r>
          </w:p>
        </w:tc>
        <w:tc>
          <w:tcPr>
            <w:tcW w:w="497" w:type="pct"/>
            <w:noWrap/>
            <w:hideMark/>
          </w:tcPr>
          <w:p w14:paraId="6D970D45" w14:textId="77777777" w:rsidR="00CA7676" w:rsidRPr="00E14EE6" w:rsidRDefault="00CA7676" w:rsidP="00E14EE6">
            <w:pPr>
              <w:jc w:val="right"/>
              <w:rPr>
                <w:rFonts w:eastAsia="Times New Roman" w:cs="Calibri"/>
                <w:color w:val="000000"/>
                <w:sz w:val="14"/>
                <w:szCs w:val="14"/>
              </w:rPr>
            </w:pPr>
            <w:r w:rsidRPr="00E14EE6">
              <w:rPr>
                <w:sz w:val="14"/>
              </w:rPr>
              <w:t>189.6</w:t>
            </w:r>
          </w:p>
        </w:tc>
        <w:tc>
          <w:tcPr>
            <w:tcW w:w="497" w:type="pct"/>
            <w:noWrap/>
            <w:hideMark/>
          </w:tcPr>
          <w:p w14:paraId="56E51404" w14:textId="77777777" w:rsidR="00CA7676" w:rsidRPr="00E14EE6" w:rsidRDefault="00CA7676" w:rsidP="00E14EE6">
            <w:pPr>
              <w:jc w:val="right"/>
              <w:rPr>
                <w:rFonts w:eastAsia="Times New Roman" w:cs="Calibri"/>
                <w:color w:val="000000"/>
                <w:sz w:val="14"/>
                <w:szCs w:val="14"/>
              </w:rPr>
            </w:pPr>
            <w:r w:rsidRPr="00E14EE6">
              <w:rPr>
                <w:sz w:val="14"/>
              </w:rPr>
              <w:t>194.9</w:t>
            </w:r>
          </w:p>
        </w:tc>
        <w:tc>
          <w:tcPr>
            <w:tcW w:w="498" w:type="pct"/>
            <w:noWrap/>
            <w:hideMark/>
          </w:tcPr>
          <w:p w14:paraId="2D3DB259" w14:textId="77777777" w:rsidR="00CA7676" w:rsidRPr="00E14EE6" w:rsidRDefault="00CA7676" w:rsidP="00E14EE6">
            <w:pPr>
              <w:jc w:val="right"/>
              <w:rPr>
                <w:rFonts w:eastAsia="Times New Roman" w:cs="Calibri"/>
                <w:color w:val="000000"/>
                <w:sz w:val="14"/>
                <w:szCs w:val="14"/>
              </w:rPr>
            </w:pPr>
            <w:r w:rsidRPr="00E14EE6">
              <w:rPr>
                <w:sz w:val="14"/>
              </w:rPr>
              <w:t>257.3</w:t>
            </w:r>
          </w:p>
        </w:tc>
        <w:tc>
          <w:tcPr>
            <w:tcW w:w="497" w:type="pct"/>
            <w:noWrap/>
            <w:hideMark/>
          </w:tcPr>
          <w:p w14:paraId="32EFD274" w14:textId="77777777" w:rsidR="00CA7676" w:rsidRPr="00E14EE6" w:rsidRDefault="00CA7676" w:rsidP="00E14EE6">
            <w:pPr>
              <w:jc w:val="right"/>
              <w:rPr>
                <w:rFonts w:eastAsia="Times New Roman" w:cs="Calibri"/>
                <w:sz w:val="14"/>
                <w:szCs w:val="14"/>
              </w:rPr>
            </w:pPr>
            <w:r w:rsidRPr="00E14EE6">
              <w:rPr>
                <w:sz w:val="14"/>
              </w:rPr>
              <w:t>233.4</w:t>
            </w:r>
          </w:p>
        </w:tc>
        <w:tc>
          <w:tcPr>
            <w:tcW w:w="498" w:type="pct"/>
            <w:noWrap/>
            <w:hideMark/>
          </w:tcPr>
          <w:p w14:paraId="356988FA" w14:textId="77777777" w:rsidR="00CA7676" w:rsidRPr="00E14EE6" w:rsidRDefault="00CA7676" w:rsidP="00E14EE6">
            <w:pPr>
              <w:jc w:val="right"/>
              <w:rPr>
                <w:rFonts w:eastAsia="Times New Roman" w:cs="Calibri"/>
                <w:sz w:val="14"/>
                <w:szCs w:val="14"/>
              </w:rPr>
            </w:pPr>
            <w:r w:rsidRPr="00E14EE6">
              <w:rPr>
                <w:sz w:val="14"/>
              </w:rPr>
              <w:t>232.8</w:t>
            </w:r>
          </w:p>
        </w:tc>
      </w:tr>
      <w:tr w:rsidR="00CA7676" w:rsidRPr="00E14EE6" w14:paraId="38D6FC8A" w14:textId="77777777" w:rsidTr="00FD6B66">
        <w:trPr>
          <w:cnfStyle w:val="000000010000" w:firstRow="0" w:lastRow="0" w:firstColumn="0" w:lastColumn="0" w:oddVBand="0" w:evenVBand="0" w:oddHBand="0" w:evenHBand="1" w:firstRowFirstColumn="0" w:firstRowLastColumn="0" w:lastRowFirstColumn="0" w:lastRowLastColumn="0"/>
          <w:cantSplit/>
          <w:trHeight w:val="20"/>
        </w:trPr>
        <w:tc>
          <w:tcPr>
            <w:tcW w:w="1019" w:type="pct"/>
            <w:noWrap/>
            <w:hideMark/>
          </w:tcPr>
          <w:p w14:paraId="45DE9993" w14:textId="77777777" w:rsidR="00CA7676" w:rsidRPr="00E14EE6" w:rsidRDefault="00CA7676" w:rsidP="00E14EE6">
            <w:pPr>
              <w:jc w:val="left"/>
              <w:rPr>
                <w:rFonts w:eastAsia="Times New Roman" w:cs="Calibri"/>
                <w:color w:val="000000"/>
                <w:sz w:val="14"/>
                <w:szCs w:val="14"/>
              </w:rPr>
            </w:pPr>
            <w:r w:rsidRPr="00E14EE6">
              <w:rPr>
                <w:sz w:val="14"/>
              </w:rPr>
              <w:t>Investment income</w:t>
            </w:r>
          </w:p>
        </w:tc>
        <w:tc>
          <w:tcPr>
            <w:tcW w:w="497" w:type="pct"/>
            <w:noWrap/>
            <w:hideMark/>
          </w:tcPr>
          <w:p w14:paraId="07B6799E" w14:textId="51A7AE26" w:rsidR="00CA7676" w:rsidRPr="00E14EE6" w:rsidRDefault="00E14EE6" w:rsidP="00E14EE6">
            <w:pPr>
              <w:jc w:val="right"/>
              <w:rPr>
                <w:rFonts w:eastAsia="Times New Roman" w:cs="Calibri"/>
                <w:color w:val="000000"/>
                <w:sz w:val="14"/>
                <w:szCs w:val="14"/>
              </w:rPr>
            </w:pPr>
            <w:r w:rsidRPr="00E14EE6">
              <w:rPr>
                <w:sz w:val="14"/>
              </w:rPr>
              <w:noBreakHyphen/>
            </w:r>
            <w:r w:rsidR="00CA7676" w:rsidRPr="00E14EE6">
              <w:rPr>
                <w:sz w:val="14"/>
              </w:rPr>
              <w:t>3,331.9</w:t>
            </w:r>
          </w:p>
        </w:tc>
        <w:tc>
          <w:tcPr>
            <w:tcW w:w="497" w:type="pct"/>
            <w:noWrap/>
            <w:hideMark/>
          </w:tcPr>
          <w:p w14:paraId="7E64545F" w14:textId="6CE959DE" w:rsidR="00CA7676" w:rsidRPr="00E14EE6" w:rsidRDefault="00E14EE6" w:rsidP="00E14EE6">
            <w:pPr>
              <w:jc w:val="right"/>
              <w:rPr>
                <w:rFonts w:eastAsia="Times New Roman" w:cs="Calibri"/>
                <w:color w:val="000000"/>
                <w:sz w:val="14"/>
                <w:szCs w:val="14"/>
              </w:rPr>
            </w:pPr>
            <w:r w:rsidRPr="00E14EE6">
              <w:rPr>
                <w:sz w:val="14"/>
              </w:rPr>
              <w:noBreakHyphen/>
            </w:r>
            <w:r w:rsidR="00CA7676" w:rsidRPr="00E14EE6">
              <w:rPr>
                <w:sz w:val="14"/>
              </w:rPr>
              <w:t>3,011.7</w:t>
            </w:r>
          </w:p>
        </w:tc>
        <w:tc>
          <w:tcPr>
            <w:tcW w:w="499" w:type="pct"/>
            <w:noWrap/>
            <w:hideMark/>
          </w:tcPr>
          <w:p w14:paraId="6A05C6A2" w14:textId="0884A304" w:rsidR="00CA7676" w:rsidRPr="00E14EE6" w:rsidRDefault="00E14EE6" w:rsidP="00E14EE6">
            <w:pPr>
              <w:jc w:val="right"/>
              <w:rPr>
                <w:rFonts w:eastAsia="Times New Roman" w:cs="Calibri"/>
                <w:color w:val="000000"/>
                <w:sz w:val="14"/>
                <w:szCs w:val="14"/>
              </w:rPr>
            </w:pPr>
            <w:r w:rsidRPr="00E14EE6">
              <w:rPr>
                <w:sz w:val="14"/>
              </w:rPr>
              <w:noBreakHyphen/>
            </w:r>
            <w:r w:rsidR="00CA7676" w:rsidRPr="00E14EE6">
              <w:rPr>
                <w:sz w:val="14"/>
              </w:rPr>
              <w:t>3,332.3</w:t>
            </w:r>
          </w:p>
        </w:tc>
        <w:tc>
          <w:tcPr>
            <w:tcW w:w="497" w:type="pct"/>
            <w:noWrap/>
            <w:hideMark/>
          </w:tcPr>
          <w:p w14:paraId="7AA21415" w14:textId="23CA9BFC" w:rsidR="00CA7676" w:rsidRPr="00E14EE6" w:rsidRDefault="00E14EE6" w:rsidP="00E14EE6">
            <w:pPr>
              <w:jc w:val="right"/>
              <w:rPr>
                <w:rFonts w:eastAsia="Times New Roman" w:cs="Calibri"/>
                <w:color w:val="000000"/>
                <w:sz w:val="14"/>
                <w:szCs w:val="14"/>
              </w:rPr>
            </w:pPr>
            <w:r w:rsidRPr="00E14EE6">
              <w:rPr>
                <w:sz w:val="14"/>
              </w:rPr>
              <w:noBreakHyphen/>
            </w:r>
            <w:r w:rsidR="00CA7676" w:rsidRPr="00E14EE6">
              <w:rPr>
                <w:sz w:val="14"/>
              </w:rPr>
              <w:t>3,870.2</w:t>
            </w:r>
          </w:p>
        </w:tc>
        <w:tc>
          <w:tcPr>
            <w:tcW w:w="497" w:type="pct"/>
            <w:noWrap/>
            <w:hideMark/>
          </w:tcPr>
          <w:p w14:paraId="36E964A9" w14:textId="51EDD38B" w:rsidR="00CA7676" w:rsidRPr="00E14EE6" w:rsidRDefault="00E14EE6" w:rsidP="00E14EE6">
            <w:pPr>
              <w:jc w:val="right"/>
              <w:rPr>
                <w:rFonts w:eastAsia="Times New Roman" w:cs="Calibri"/>
                <w:color w:val="000000"/>
                <w:sz w:val="14"/>
                <w:szCs w:val="14"/>
              </w:rPr>
            </w:pPr>
            <w:r w:rsidRPr="00E14EE6">
              <w:rPr>
                <w:sz w:val="14"/>
              </w:rPr>
              <w:noBreakHyphen/>
            </w:r>
            <w:r w:rsidR="00CA7676" w:rsidRPr="00E14EE6">
              <w:rPr>
                <w:sz w:val="14"/>
              </w:rPr>
              <w:t>3,820.3</w:t>
            </w:r>
          </w:p>
        </w:tc>
        <w:tc>
          <w:tcPr>
            <w:tcW w:w="498" w:type="pct"/>
            <w:noWrap/>
            <w:hideMark/>
          </w:tcPr>
          <w:p w14:paraId="32C78B20" w14:textId="4CD3A898" w:rsidR="00CA7676" w:rsidRPr="00E14EE6" w:rsidRDefault="00E14EE6" w:rsidP="00E14EE6">
            <w:pPr>
              <w:jc w:val="right"/>
              <w:rPr>
                <w:rFonts w:eastAsia="Times New Roman" w:cs="Calibri"/>
                <w:color w:val="000000"/>
                <w:sz w:val="14"/>
                <w:szCs w:val="14"/>
              </w:rPr>
            </w:pPr>
            <w:r w:rsidRPr="00E14EE6">
              <w:rPr>
                <w:sz w:val="14"/>
              </w:rPr>
              <w:noBreakHyphen/>
            </w:r>
            <w:r w:rsidR="00CA7676" w:rsidRPr="00E14EE6">
              <w:rPr>
                <w:sz w:val="14"/>
              </w:rPr>
              <w:t>4,145.1</w:t>
            </w:r>
          </w:p>
        </w:tc>
        <w:tc>
          <w:tcPr>
            <w:tcW w:w="497" w:type="pct"/>
            <w:noWrap/>
            <w:hideMark/>
          </w:tcPr>
          <w:p w14:paraId="2C311B66" w14:textId="2DAD5B2B" w:rsidR="00CA7676" w:rsidRPr="00E14EE6" w:rsidRDefault="00E14EE6" w:rsidP="00E14EE6">
            <w:pPr>
              <w:jc w:val="right"/>
              <w:rPr>
                <w:rFonts w:eastAsia="Times New Roman" w:cs="Calibri"/>
                <w:color w:val="000000"/>
                <w:sz w:val="14"/>
                <w:szCs w:val="14"/>
              </w:rPr>
            </w:pPr>
            <w:r w:rsidRPr="00E14EE6">
              <w:rPr>
                <w:sz w:val="14"/>
              </w:rPr>
              <w:noBreakHyphen/>
            </w:r>
            <w:r w:rsidR="00CA7676" w:rsidRPr="00E14EE6">
              <w:rPr>
                <w:sz w:val="14"/>
              </w:rPr>
              <w:t>3,704.0</w:t>
            </w:r>
          </w:p>
        </w:tc>
        <w:tc>
          <w:tcPr>
            <w:tcW w:w="498" w:type="pct"/>
            <w:noWrap/>
            <w:hideMark/>
          </w:tcPr>
          <w:p w14:paraId="72F4EA8C" w14:textId="07D6E8DC" w:rsidR="00CA7676" w:rsidRPr="00E14EE6" w:rsidRDefault="00E14EE6" w:rsidP="00E14EE6">
            <w:pPr>
              <w:jc w:val="right"/>
              <w:rPr>
                <w:rFonts w:eastAsia="Times New Roman" w:cs="Calibri"/>
                <w:sz w:val="14"/>
                <w:szCs w:val="14"/>
              </w:rPr>
            </w:pPr>
            <w:r w:rsidRPr="00E14EE6">
              <w:rPr>
                <w:sz w:val="14"/>
              </w:rPr>
              <w:noBreakHyphen/>
            </w:r>
            <w:r w:rsidR="00CA7676" w:rsidRPr="00E14EE6">
              <w:rPr>
                <w:sz w:val="14"/>
              </w:rPr>
              <w:t>4,813.7</w:t>
            </w:r>
          </w:p>
        </w:tc>
      </w:tr>
      <w:tr w:rsidR="00CA7676" w:rsidRPr="00E14EE6" w14:paraId="55F055CF" w14:textId="77777777" w:rsidTr="00FD6B66">
        <w:trPr>
          <w:cantSplit/>
          <w:trHeight w:val="20"/>
        </w:trPr>
        <w:tc>
          <w:tcPr>
            <w:tcW w:w="1019" w:type="pct"/>
            <w:noWrap/>
            <w:hideMark/>
          </w:tcPr>
          <w:p w14:paraId="2AA30164" w14:textId="044A25E7" w:rsidR="00CA7676" w:rsidRPr="00E14EE6" w:rsidRDefault="00CA7676" w:rsidP="00E14EE6">
            <w:pPr>
              <w:jc w:val="left"/>
              <w:rPr>
                <w:rFonts w:eastAsia="Times New Roman" w:cs="Calibri"/>
                <w:color w:val="000000"/>
                <w:sz w:val="14"/>
                <w:szCs w:val="14"/>
              </w:rPr>
            </w:pPr>
            <w:r w:rsidRPr="00E14EE6">
              <w:rPr>
                <w:sz w:val="14"/>
              </w:rPr>
              <w:t>Foreign direct investment</w:t>
            </w:r>
          </w:p>
        </w:tc>
        <w:tc>
          <w:tcPr>
            <w:tcW w:w="497" w:type="pct"/>
            <w:noWrap/>
            <w:hideMark/>
          </w:tcPr>
          <w:p w14:paraId="4A792934" w14:textId="2BBA5A7C" w:rsidR="00CA7676" w:rsidRPr="00E14EE6" w:rsidRDefault="00E14EE6" w:rsidP="00E14EE6">
            <w:pPr>
              <w:jc w:val="right"/>
              <w:rPr>
                <w:rFonts w:eastAsia="Times New Roman" w:cs="Calibri"/>
                <w:color w:val="000000"/>
                <w:sz w:val="14"/>
                <w:szCs w:val="14"/>
              </w:rPr>
            </w:pPr>
            <w:r w:rsidRPr="00E14EE6">
              <w:rPr>
                <w:sz w:val="14"/>
              </w:rPr>
              <w:noBreakHyphen/>
            </w:r>
            <w:r w:rsidR="00CA7676" w:rsidRPr="00E14EE6">
              <w:rPr>
                <w:sz w:val="14"/>
              </w:rPr>
              <w:t>2,745.3</w:t>
            </w:r>
          </w:p>
        </w:tc>
        <w:tc>
          <w:tcPr>
            <w:tcW w:w="497" w:type="pct"/>
            <w:noWrap/>
            <w:hideMark/>
          </w:tcPr>
          <w:p w14:paraId="252E7B7F" w14:textId="2F8837F3" w:rsidR="00CA7676" w:rsidRPr="00E14EE6" w:rsidRDefault="00E14EE6" w:rsidP="00E14EE6">
            <w:pPr>
              <w:jc w:val="right"/>
              <w:rPr>
                <w:rFonts w:eastAsia="Times New Roman" w:cs="Calibri"/>
                <w:color w:val="000000"/>
                <w:sz w:val="14"/>
                <w:szCs w:val="14"/>
              </w:rPr>
            </w:pPr>
            <w:r w:rsidRPr="00E14EE6">
              <w:rPr>
                <w:sz w:val="14"/>
              </w:rPr>
              <w:noBreakHyphen/>
            </w:r>
            <w:r w:rsidR="00CA7676" w:rsidRPr="00E14EE6">
              <w:rPr>
                <w:sz w:val="14"/>
              </w:rPr>
              <w:t>2,336.3</w:t>
            </w:r>
          </w:p>
        </w:tc>
        <w:tc>
          <w:tcPr>
            <w:tcW w:w="499" w:type="pct"/>
            <w:noWrap/>
            <w:hideMark/>
          </w:tcPr>
          <w:p w14:paraId="0344752E" w14:textId="34B1D532" w:rsidR="00CA7676" w:rsidRPr="00E14EE6" w:rsidRDefault="00E14EE6" w:rsidP="00E14EE6">
            <w:pPr>
              <w:jc w:val="right"/>
              <w:rPr>
                <w:rFonts w:eastAsia="Times New Roman" w:cs="Calibri"/>
                <w:color w:val="000000"/>
                <w:sz w:val="14"/>
                <w:szCs w:val="14"/>
              </w:rPr>
            </w:pPr>
            <w:r w:rsidRPr="00E14EE6">
              <w:rPr>
                <w:sz w:val="14"/>
              </w:rPr>
              <w:noBreakHyphen/>
            </w:r>
            <w:r w:rsidR="00CA7676" w:rsidRPr="00E14EE6">
              <w:rPr>
                <w:sz w:val="14"/>
              </w:rPr>
              <w:t>2,439.5</w:t>
            </w:r>
          </w:p>
        </w:tc>
        <w:tc>
          <w:tcPr>
            <w:tcW w:w="497" w:type="pct"/>
            <w:noWrap/>
            <w:hideMark/>
          </w:tcPr>
          <w:p w14:paraId="74502878" w14:textId="0AE97278" w:rsidR="00CA7676" w:rsidRPr="00E14EE6" w:rsidRDefault="00E14EE6" w:rsidP="00E14EE6">
            <w:pPr>
              <w:jc w:val="right"/>
              <w:rPr>
                <w:rFonts w:eastAsia="Times New Roman" w:cs="Calibri"/>
                <w:color w:val="000000"/>
                <w:sz w:val="14"/>
                <w:szCs w:val="14"/>
              </w:rPr>
            </w:pPr>
            <w:r w:rsidRPr="00E14EE6">
              <w:rPr>
                <w:sz w:val="14"/>
              </w:rPr>
              <w:noBreakHyphen/>
            </w:r>
            <w:r w:rsidR="00CA7676" w:rsidRPr="00E14EE6">
              <w:rPr>
                <w:sz w:val="14"/>
              </w:rPr>
              <w:t>2,724.5</w:t>
            </w:r>
          </w:p>
        </w:tc>
        <w:tc>
          <w:tcPr>
            <w:tcW w:w="497" w:type="pct"/>
            <w:noWrap/>
            <w:hideMark/>
          </w:tcPr>
          <w:p w14:paraId="422D7DBB" w14:textId="7E83781A" w:rsidR="00CA7676" w:rsidRPr="00E14EE6" w:rsidRDefault="00E14EE6" w:rsidP="00E14EE6">
            <w:pPr>
              <w:jc w:val="right"/>
              <w:rPr>
                <w:rFonts w:eastAsia="Times New Roman" w:cs="Calibri"/>
                <w:color w:val="000000"/>
                <w:sz w:val="14"/>
                <w:szCs w:val="14"/>
              </w:rPr>
            </w:pPr>
            <w:r w:rsidRPr="00E14EE6">
              <w:rPr>
                <w:sz w:val="14"/>
              </w:rPr>
              <w:noBreakHyphen/>
            </w:r>
            <w:r w:rsidR="00CA7676" w:rsidRPr="00E14EE6">
              <w:rPr>
                <w:sz w:val="14"/>
              </w:rPr>
              <w:t>2,761.0</w:t>
            </w:r>
          </w:p>
        </w:tc>
        <w:tc>
          <w:tcPr>
            <w:tcW w:w="498" w:type="pct"/>
            <w:noWrap/>
            <w:hideMark/>
          </w:tcPr>
          <w:p w14:paraId="663D3C55" w14:textId="5C26FCEF" w:rsidR="00CA7676" w:rsidRPr="00E14EE6" w:rsidRDefault="00E14EE6" w:rsidP="00E14EE6">
            <w:pPr>
              <w:jc w:val="right"/>
              <w:rPr>
                <w:rFonts w:eastAsia="Times New Roman" w:cs="Calibri"/>
                <w:color w:val="000000"/>
                <w:sz w:val="14"/>
                <w:szCs w:val="14"/>
              </w:rPr>
            </w:pPr>
            <w:r w:rsidRPr="00E14EE6">
              <w:rPr>
                <w:sz w:val="14"/>
              </w:rPr>
              <w:noBreakHyphen/>
            </w:r>
            <w:r w:rsidR="00CA7676" w:rsidRPr="00E14EE6">
              <w:rPr>
                <w:sz w:val="14"/>
              </w:rPr>
              <w:t>2,860.7</w:t>
            </w:r>
          </w:p>
        </w:tc>
        <w:tc>
          <w:tcPr>
            <w:tcW w:w="497" w:type="pct"/>
            <w:noWrap/>
            <w:hideMark/>
          </w:tcPr>
          <w:p w14:paraId="56407B12" w14:textId="5D86B49B" w:rsidR="00CA7676" w:rsidRPr="00E14EE6" w:rsidRDefault="00E14EE6" w:rsidP="00E14EE6">
            <w:pPr>
              <w:jc w:val="right"/>
              <w:rPr>
                <w:rFonts w:eastAsia="Times New Roman" w:cs="Calibri"/>
                <w:color w:val="000000"/>
                <w:sz w:val="14"/>
                <w:szCs w:val="14"/>
              </w:rPr>
            </w:pPr>
            <w:r w:rsidRPr="00E14EE6">
              <w:rPr>
                <w:sz w:val="14"/>
              </w:rPr>
              <w:noBreakHyphen/>
            </w:r>
            <w:r w:rsidR="00CA7676" w:rsidRPr="00E14EE6">
              <w:rPr>
                <w:sz w:val="14"/>
              </w:rPr>
              <w:t>2,442.0</w:t>
            </w:r>
          </w:p>
        </w:tc>
        <w:tc>
          <w:tcPr>
            <w:tcW w:w="498" w:type="pct"/>
            <w:noWrap/>
            <w:hideMark/>
          </w:tcPr>
          <w:p w14:paraId="02BE347D" w14:textId="03C98D92" w:rsidR="00CA7676" w:rsidRPr="00E14EE6" w:rsidRDefault="00E14EE6" w:rsidP="00E14EE6">
            <w:pPr>
              <w:jc w:val="right"/>
              <w:rPr>
                <w:rFonts w:eastAsia="Times New Roman" w:cs="Calibri"/>
                <w:sz w:val="14"/>
                <w:szCs w:val="14"/>
              </w:rPr>
            </w:pPr>
            <w:r w:rsidRPr="00E14EE6">
              <w:rPr>
                <w:sz w:val="14"/>
              </w:rPr>
              <w:noBreakHyphen/>
            </w:r>
            <w:r w:rsidR="00CA7676" w:rsidRPr="00E14EE6">
              <w:rPr>
                <w:sz w:val="14"/>
              </w:rPr>
              <w:t>3,015.0</w:t>
            </w:r>
          </w:p>
        </w:tc>
      </w:tr>
      <w:tr w:rsidR="00CA7676" w:rsidRPr="00E14EE6" w14:paraId="67A86218" w14:textId="77777777" w:rsidTr="00FD6B66">
        <w:trPr>
          <w:cnfStyle w:val="000000010000" w:firstRow="0" w:lastRow="0" w:firstColumn="0" w:lastColumn="0" w:oddVBand="0" w:evenVBand="0" w:oddHBand="0" w:evenHBand="1" w:firstRowFirstColumn="0" w:firstRowLastColumn="0" w:lastRowFirstColumn="0" w:lastRowLastColumn="0"/>
          <w:cantSplit/>
          <w:trHeight w:val="20"/>
        </w:trPr>
        <w:tc>
          <w:tcPr>
            <w:tcW w:w="1019" w:type="pct"/>
            <w:noWrap/>
            <w:hideMark/>
          </w:tcPr>
          <w:p w14:paraId="0018BB19" w14:textId="77777777" w:rsidR="00CA7676" w:rsidRPr="00E14EE6" w:rsidRDefault="00CA7676" w:rsidP="00E14EE6">
            <w:pPr>
              <w:ind w:left="170"/>
              <w:jc w:val="left"/>
              <w:rPr>
                <w:rFonts w:eastAsia="Times New Roman" w:cs="Calibri"/>
                <w:sz w:val="14"/>
                <w:szCs w:val="14"/>
              </w:rPr>
            </w:pPr>
            <w:r w:rsidRPr="00E14EE6">
              <w:rPr>
                <w:sz w:val="14"/>
              </w:rPr>
              <w:t>Credit</w:t>
            </w:r>
          </w:p>
        </w:tc>
        <w:tc>
          <w:tcPr>
            <w:tcW w:w="497" w:type="pct"/>
            <w:noWrap/>
            <w:hideMark/>
          </w:tcPr>
          <w:p w14:paraId="4FCE70D8" w14:textId="77777777" w:rsidR="00CA7676" w:rsidRPr="00E14EE6" w:rsidRDefault="00CA7676" w:rsidP="00E14EE6">
            <w:pPr>
              <w:jc w:val="right"/>
              <w:rPr>
                <w:rFonts w:eastAsia="Times New Roman" w:cs="Calibri"/>
                <w:sz w:val="14"/>
                <w:szCs w:val="14"/>
              </w:rPr>
            </w:pPr>
            <w:r w:rsidRPr="00E14EE6">
              <w:rPr>
                <w:sz w:val="14"/>
              </w:rPr>
              <w:t>0.0</w:t>
            </w:r>
          </w:p>
        </w:tc>
        <w:tc>
          <w:tcPr>
            <w:tcW w:w="497" w:type="pct"/>
            <w:noWrap/>
            <w:hideMark/>
          </w:tcPr>
          <w:p w14:paraId="3DCBE23E" w14:textId="77777777" w:rsidR="00CA7676" w:rsidRPr="00E14EE6" w:rsidRDefault="00CA7676" w:rsidP="00E14EE6">
            <w:pPr>
              <w:jc w:val="right"/>
              <w:rPr>
                <w:rFonts w:eastAsia="Times New Roman" w:cs="Calibri"/>
                <w:sz w:val="14"/>
                <w:szCs w:val="14"/>
              </w:rPr>
            </w:pPr>
            <w:r w:rsidRPr="00E14EE6">
              <w:rPr>
                <w:sz w:val="14"/>
              </w:rPr>
              <w:t>0.0</w:t>
            </w:r>
          </w:p>
        </w:tc>
        <w:tc>
          <w:tcPr>
            <w:tcW w:w="499" w:type="pct"/>
            <w:noWrap/>
            <w:hideMark/>
          </w:tcPr>
          <w:p w14:paraId="51B3287C" w14:textId="77777777" w:rsidR="00CA7676" w:rsidRPr="00E14EE6" w:rsidRDefault="00CA7676" w:rsidP="00E14EE6">
            <w:pPr>
              <w:jc w:val="right"/>
              <w:rPr>
                <w:rFonts w:eastAsia="Times New Roman" w:cs="Calibri"/>
                <w:sz w:val="14"/>
                <w:szCs w:val="14"/>
              </w:rPr>
            </w:pPr>
            <w:r w:rsidRPr="00E14EE6">
              <w:rPr>
                <w:sz w:val="14"/>
              </w:rPr>
              <w:t>0.0</w:t>
            </w:r>
          </w:p>
        </w:tc>
        <w:tc>
          <w:tcPr>
            <w:tcW w:w="497" w:type="pct"/>
            <w:noWrap/>
            <w:hideMark/>
          </w:tcPr>
          <w:p w14:paraId="6124ED38" w14:textId="77777777" w:rsidR="00CA7676" w:rsidRPr="00E14EE6" w:rsidRDefault="00CA7676" w:rsidP="00E14EE6">
            <w:pPr>
              <w:jc w:val="right"/>
              <w:rPr>
                <w:rFonts w:eastAsia="Times New Roman" w:cs="Calibri"/>
                <w:sz w:val="14"/>
                <w:szCs w:val="14"/>
              </w:rPr>
            </w:pPr>
            <w:r w:rsidRPr="00E14EE6">
              <w:rPr>
                <w:sz w:val="14"/>
              </w:rPr>
              <w:t>0.0</w:t>
            </w:r>
          </w:p>
        </w:tc>
        <w:tc>
          <w:tcPr>
            <w:tcW w:w="497" w:type="pct"/>
            <w:noWrap/>
            <w:hideMark/>
          </w:tcPr>
          <w:p w14:paraId="60AD64D1" w14:textId="77777777" w:rsidR="00CA7676" w:rsidRPr="00E14EE6" w:rsidRDefault="00CA7676" w:rsidP="00E14EE6">
            <w:pPr>
              <w:jc w:val="right"/>
              <w:rPr>
                <w:rFonts w:eastAsia="Times New Roman" w:cs="Calibri"/>
                <w:sz w:val="14"/>
                <w:szCs w:val="14"/>
              </w:rPr>
            </w:pPr>
            <w:r w:rsidRPr="00E14EE6">
              <w:rPr>
                <w:sz w:val="14"/>
              </w:rPr>
              <w:t>0.0</w:t>
            </w:r>
          </w:p>
        </w:tc>
        <w:tc>
          <w:tcPr>
            <w:tcW w:w="498" w:type="pct"/>
            <w:noWrap/>
            <w:hideMark/>
          </w:tcPr>
          <w:p w14:paraId="7701A035" w14:textId="77777777" w:rsidR="00CA7676" w:rsidRPr="00E14EE6" w:rsidRDefault="00CA7676" w:rsidP="00E14EE6">
            <w:pPr>
              <w:jc w:val="right"/>
              <w:rPr>
                <w:rFonts w:eastAsia="Times New Roman" w:cs="Calibri"/>
                <w:sz w:val="14"/>
                <w:szCs w:val="14"/>
              </w:rPr>
            </w:pPr>
            <w:r w:rsidRPr="00E14EE6">
              <w:rPr>
                <w:sz w:val="14"/>
              </w:rPr>
              <w:t>0.0</w:t>
            </w:r>
          </w:p>
        </w:tc>
        <w:tc>
          <w:tcPr>
            <w:tcW w:w="497" w:type="pct"/>
            <w:noWrap/>
            <w:hideMark/>
          </w:tcPr>
          <w:p w14:paraId="146BFBE1" w14:textId="77777777" w:rsidR="00CA7676" w:rsidRPr="00E14EE6" w:rsidRDefault="00CA7676" w:rsidP="00E14EE6">
            <w:pPr>
              <w:jc w:val="right"/>
              <w:rPr>
                <w:rFonts w:eastAsia="Times New Roman" w:cs="Calibri"/>
                <w:sz w:val="14"/>
                <w:szCs w:val="14"/>
              </w:rPr>
            </w:pPr>
            <w:r w:rsidRPr="00E14EE6">
              <w:rPr>
                <w:sz w:val="14"/>
              </w:rPr>
              <w:t>0.0</w:t>
            </w:r>
          </w:p>
        </w:tc>
        <w:tc>
          <w:tcPr>
            <w:tcW w:w="498" w:type="pct"/>
            <w:noWrap/>
            <w:hideMark/>
          </w:tcPr>
          <w:p w14:paraId="0DAAAC80" w14:textId="77777777" w:rsidR="00CA7676" w:rsidRPr="00E14EE6" w:rsidRDefault="00CA7676" w:rsidP="00E14EE6">
            <w:pPr>
              <w:jc w:val="right"/>
              <w:rPr>
                <w:rFonts w:eastAsia="Times New Roman" w:cs="Calibri"/>
                <w:sz w:val="14"/>
                <w:szCs w:val="14"/>
              </w:rPr>
            </w:pPr>
            <w:r w:rsidRPr="00E14EE6">
              <w:rPr>
                <w:sz w:val="14"/>
              </w:rPr>
              <w:t>0.0</w:t>
            </w:r>
          </w:p>
        </w:tc>
      </w:tr>
      <w:tr w:rsidR="00CA7676" w:rsidRPr="00E14EE6" w14:paraId="20640375" w14:textId="77777777" w:rsidTr="00FD6B66">
        <w:trPr>
          <w:cantSplit/>
          <w:trHeight w:val="20"/>
        </w:trPr>
        <w:tc>
          <w:tcPr>
            <w:tcW w:w="1019" w:type="pct"/>
            <w:noWrap/>
            <w:hideMark/>
          </w:tcPr>
          <w:p w14:paraId="41C82A61" w14:textId="77777777" w:rsidR="00CA7676" w:rsidRPr="00E14EE6" w:rsidRDefault="00CA7676" w:rsidP="00E14EE6">
            <w:pPr>
              <w:ind w:left="170"/>
              <w:jc w:val="left"/>
              <w:rPr>
                <w:rFonts w:eastAsia="Times New Roman" w:cs="Calibri"/>
                <w:sz w:val="14"/>
                <w:szCs w:val="14"/>
              </w:rPr>
            </w:pPr>
            <w:r w:rsidRPr="00E14EE6">
              <w:rPr>
                <w:sz w:val="14"/>
              </w:rPr>
              <w:t>Debit</w:t>
            </w:r>
          </w:p>
        </w:tc>
        <w:tc>
          <w:tcPr>
            <w:tcW w:w="497" w:type="pct"/>
            <w:noWrap/>
            <w:hideMark/>
          </w:tcPr>
          <w:p w14:paraId="370EA826" w14:textId="77777777" w:rsidR="00CA7676" w:rsidRPr="00E14EE6" w:rsidRDefault="00CA7676" w:rsidP="00E14EE6">
            <w:pPr>
              <w:jc w:val="right"/>
              <w:rPr>
                <w:rFonts w:eastAsia="Times New Roman" w:cs="Calibri"/>
                <w:sz w:val="14"/>
                <w:szCs w:val="14"/>
              </w:rPr>
            </w:pPr>
            <w:r w:rsidRPr="00E14EE6">
              <w:rPr>
                <w:sz w:val="14"/>
              </w:rPr>
              <w:t>2,745.3</w:t>
            </w:r>
          </w:p>
        </w:tc>
        <w:tc>
          <w:tcPr>
            <w:tcW w:w="497" w:type="pct"/>
            <w:noWrap/>
            <w:hideMark/>
          </w:tcPr>
          <w:p w14:paraId="48559CA3" w14:textId="77777777" w:rsidR="00CA7676" w:rsidRPr="00E14EE6" w:rsidRDefault="00CA7676" w:rsidP="00E14EE6">
            <w:pPr>
              <w:jc w:val="right"/>
              <w:rPr>
                <w:rFonts w:eastAsia="Times New Roman" w:cs="Calibri"/>
                <w:sz w:val="14"/>
                <w:szCs w:val="14"/>
              </w:rPr>
            </w:pPr>
            <w:r w:rsidRPr="00E14EE6">
              <w:rPr>
                <w:sz w:val="14"/>
              </w:rPr>
              <w:t>2,336.3</w:t>
            </w:r>
          </w:p>
        </w:tc>
        <w:tc>
          <w:tcPr>
            <w:tcW w:w="499" w:type="pct"/>
            <w:noWrap/>
            <w:hideMark/>
          </w:tcPr>
          <w:p w14:paraId="1766E319" w14:textId="77777777" w:rsidR="00CA7676" w:rsidRPr="00E14EE6" w:rsidRDefault="00CA7676" w:rsidP="00E14EE6">
            <w:pPr>
              <w:jc w:val="right"/>
              <w:rPr>
                <w:rFonts w:eastAsia="Times New Roman" w:cs="Calibri"/>
                <w:sz w:val="14"/>
                <w:szCs w:val="14"/>
              </w:rPr>
            </w:pPr>
            <w:r w:rsidRPr="00E14EE6">
              <w:rPr>
                <w:sz w:val="14"/>
              </w:rPr>
              <w:t>2,439.5</w:t>
            </w:r>
          </w:p>
        </w:tc>
        <w:tc>
          <w:tcPr>
            <w:tcW w:w="497" w:type="pct"/>
            <w:noWrap/>
            <w:hideMark/>
          </w:tcPr>
          <w:p w14:paraId="6122ED4D" w14:textId="77777777" w:rsidR="00CA7676" w:rsidRPr="00E14EE6" w:rsidRDefault="00CA7676" w:rsidP="00E14EE6">
            <w:pPr>
              <w:jc w:val="right"/>
              <w:rPr>
                <w:rFonts w:eastAsia="Times New Roman" w:cs="Calibri"/>
                <w:sz w:val="14"/>
                <w:szCs w:val="14"/>
              </w:rPr>
            </w:pPr>
            <w:r w:rsidRPr="00E14EE6">
              <w:rPr>
                <w:sz w:val="14"/>
              </w:rPr>
              <w:t>2,724.5</w:t>
            </w:r>
          </w:p>
        </w:tc>
        <w:tc>
          <w:tcPr>
            <w:tcW w:w="497" w:type="pct"/>
            <w:noWrap/>
            <w:hideMark/>
          </w:tcPr>
          <w:p w14:paraId="13F69E28" w14:textId="77777777" w:rsidR="00CA7676" w:rsidRPr="00E14EE6" w:rsidRDefault="00CA7676" w:rsidP="00E14EE6">
            <w:pPr>
              <w:jc w:val="right"/>
              <w:rPr>
                <w:rFonts w:eastAsia="Times New Roman" w:cs="Calibri"/>
                <w:sz w:val="14"/>
                <w:szCs w:val="14"/>
              </w:rPr>
            </w:pPr>
            <w:r w:rsidRPr="00E14EE6">
              <w:rPr>
                <w:sz w:val="14"/>
              </w:rPr>
              <w:t>2,761.0</w:t>
            </w:r>
          </w:p>
        </w:tc>
        <w:tc>
          <w:tcPr>
            <w:tcW w:w="498" w:type="pct"/>
            <w:noWrap/>
            <w:hideMark/>
          </w:tcPr>
          <w:p w14:paraId="771E2FAE" w14:textId="77777777" w:rsidR="00CA7676" w:rsidRPr="00E14EE6" w:rsidRDefault="00CA7676" w:rsidP="00E14EE6">
            <w:pPr>
              <w:jc w:val="right"/>
              <w:rPr>
                <w:rFonts w:eastAsia="Times New Roman" w:cs="Calibri"/>
                <w:sz w:val="14"/>
                <w:szCs w:val="14"/>
              </w:rPr>
            </w:pPr>
            <w:r w:rsidRPr="00E14EE6">
              <w:rPr>
                <w:sz w:val="14"/>
              </w:rPr>
              <w:t>2,860.7</w:t>
            </w:r>
          </w:p>
        </w:tc>
        <w:tc>
          <w:tcPr>
            <w:tcW w:w="497" w:type="pct"/>
            <w:noWrap/>
            <w:hideMark/>
          </w:tcPr>
          <w:p w14:paraId="5C182D88" w14:textId="77777777" w:rsidR="00CA7676" w:rsidRPr="00E14EE6" w:rsidRDefault="00CA7676" w:rsidP="00E14EE6">
            <w:pPr>
              <w:jc w:val="right"/>
              <w:rPr>
                <w:rFonts w:eastAsia="Times New Roman" w:cs="Calibri"/>
                <w:sz w:val="14"/>
                <w:szCs w:val="14"/>
              </w:rPr>
            </w:pPr>
            <w:r w:rsidRPr="00E14EE6">
              <w:rPr>
                <w:sz w:val="14"/>
              </w:rPr>
              <w:t>2,442.0</w:t>
            </w:r>
          </w:p>
        </w:tc>
        <w:tc>
          <w:tcPr>
            <w:tcW w:w="498" w:type="pct"/>
            <w:noWrap/>
            <w:hideMark/>
          </w:tcPr>
          <w:p w14:paraId="2697960C" w14:textId="77777777" w:rsidR="00CA7676" w:rsidRPr="00E14EE6" w:rsidRDefault="00CA7676" w:rsidP="00E14EE6">
            <w:pPr>
              <w:jc w:val="right"/>
              <w:rPr>
                <w:rFonts w:eastAsia="Times New Roman" w:cs="Calibri"/>
                <w:sz w:val="14"/>
                <w:szCs w:val="14"/>
              </w:rPr>
            </w:pPr>
            <w:r w:rsidRPr="00E14EE6">
              <w:rPr>
                <w:sz w:val="14"/>
              </w:rPr>
              <w:t>3,015.0</w:t>
            </w:r>
          </w:p>
        </w:tc>
      </w:tr>
      <w:tr w:rsidR="00CA7676" w:rsidRPr="00E14EE6" w14:paraId="2196DFBF" w14:textId="77777777" w:rsidTr="00FD6B66">
        <w:trPr>
          <w:cnfStyle w:val="000000010000" w:firstRow="0" w:lastRow="0" w:firstColumn="0" w:lastColumn="0" w:oddVBand="0" w:evenVBand="0" w:oddHBand="0" w:evenHBand="1" w:firstRowFirstColumn="0" w:firstRowLastColumn="0" w:lastRowFirstColumn="0" w:lastRowLastColumn="0"/>
          <w:cantSplit/>
          <w:trHeight w:val="20"/>
        </w:trPr>
        <w:tc>
          <w:tcPr>
            <w:tcW w:w="1019" w:type="pct"/>
            <w:noWrap/>
            <w:hideMark/>
          </w:tcPr>
          <w:p w14:paraId="37E562B7" w14:textId="77777777" w:rsidR="00CA7676" w:rsidRPr="00E14EE6" w:rsidRDefault="00CA7676" w:rsidP="00E14EE6">
            <w:pPr>
              <w:jc w:val="left"/>
              <w:rPr>
                <w:rFonts w:eastAsia="Times New Roman" w:cs="Calibri"/>
                <w:color w:val="000000"/>
                <w:sz w:val="14"/>
                <w:szCs w:val="14"/>
              </w:rPr>
            </w:pPr>
            <w:r w:rsidRPr="00E14EE6">
              <w:rPr>
                <w:sz w:val="14"/>
              </w:rPr>
              <w:lastRenderedPageBreak/>
              <w:t>Portfolio investment</w:t>
            </w:r>
          </w:p>
        </w:tc>
        <w:tc>
          <w:tcPr>
            <w:tcW w:w="497" w:type="pct"/>
            <w:noWrap/>
            <w:hideMark/>
          </w:tcPr>
          <w:p w14:paraId="7608DDB2" w14:textId="11297C54" w:rsidR="00CA7676" w:rsidRPr="00E14EE6" w:rsidRDefault="00E14EE6" w:rsidP="00E14EE6">
            <w:pPr>
              <w:jc w:val="right"/>
              <w:rPr>
                <w:rFonts w:eastAsia="Times New Roman" w:cs="Calibri"/>
                <w:color w:val="000000"/>
                <w:sz w:val="14"/>
                <w:szCs w:val="14"/>
              </w:rPr>
            </w:pPr>
            <w:r w:rsidRPr="00E14EE6">
              <w:rPr>
                <w:sz w:val="14"/>
              </w:rPr>
              <w:noBreakHyphen/>
            </w:r>
            <w:r w:rsidR="00CA7676" w:rsidRPr="00E14EE6">
              <w:rPr>
                <w:sz w:val="14"/>
              </w:rPr>
              <w:t>495.3</w:t>
            </w:r>
          </w:p>
        </w:tc>
        <w:tc>
          <w:tcPr>
            <w:tcW w:w="497" w:type="pct"/>
            <w:noWrap/>
            <w:hideMark/>
          </w:tcPr>
          <w:p w14:paraId="4D2DDFFD" w14:textId="5298DFF8" w:rsidR="00CA7676" w:rsidRPr="00E14EE6" w:rsidRDefault="00E14EE6" w:rsidP="00E14EE6">
            <w:pPr>
              <w:jc w:val="right"/>
              <w:rPr>
                <w:rFonts w:eastAsia="Times New Roman" w:cs="Calibri"/>
                <w:color w:val="000000"/>
                <w:sz w:val="14"/>
                <w:szCs w:val="14"/>
              </w:rPr>
            </w:pPr>
            <w:r w:rsidRPr="00E14EE6">
              <w:rPr>
                <w:sz w:val="14"/>
              </w:rPr>
              <w:noBreakHyphen/>
            </w:r>
            <w:r w:rsidR="00CA7676" w:rsidRPr="00E14EE6">
              <w:rPr>
                <w:sz w:val="14"/>
              </w:rPr>
              <w:t>637.2</w:t>
            </w:r>
          </w:p>
        </w:tc>
        <w:tc>
          <w:tcPr>
            <w:tcW w:w="499" w:type="pct"/>
            <w:noWrap/>
            <w:hideMark/>
          </w:tcPr>
          <w:p w14:paraId="73F6BD28" w14:textId="03746E19" w:rsidR="00CA7676" w:rsidRPr="00E14EE6" w:rsidRDefault="00E14EE6" w:rsidP="00E14EE6">
            <w:pPr>
              <w:jc w:val="right"/>
              <w:rPr>
                <w:rFonts w:eastAsia="Times New Roman" w:cs="Calibri"/>
                <w:color w:val="000000"/>
                <w:sz w:val="14"/>
                <w:szCs w:val="14"/>
              </w:rPr>
            </w:pPr>
            <w:r w:rsidRPr="00E14EE6">
              <w:rPr>
                <w:sz w:val="14"/>
              </w:rPr>
              <w:noBreakHyphen/>
            </w:r>
            <w:r w:rsidR="00CA7676" w:rsidRPr="00E14EE6">
              <w:rPr>
                <w:sz w:val="14"/>
              </w:rPr>
              <w:t>781.6</w:t>
            </w:r>
          </w:p>
        </w:tc>
        <w:tc>
          <w:tcPr>
            <w:tcW w:w="497" w:type="pct"/>
            <w:noWrap/>
            <w:hideMark/>
          </w:tcPr>
          <w:p w14:paraId="5BC395F9" w14:textId="21096C35" w:rsidR="00CA7676" w:rsidRPr="00E14EE6" w:rsidRDefault="00E14EE6" w:rsidP="00E14EE6">
            <w:pPr>
              <w:jc w:val="right"/>
              <w:rPr>
                <w:rFonts w:eastAsia="Times New Roman" w:cs="Calibri"/>
                <w:color w:val="000000"/>
                <w:sz w:val="14"/>
                <w:szCs w:val="14"/>
              </w:rPr>
            </w:pPr>
            <w:r w:rsidRPr="00E14EE6">
              <w:rPr>
                <w:sz w:val="14"/>
              </w:rPr>
              <w:noBreakHyphen/>
            </w:r>
            <w:r w:rsidR="00CA7676" w:rsidRPr="00E14EE6">
              <w:rPr>
                <w:sz w:val="14"/>
              </w:rPr>
              <w:t>975.9</w:t>
            </w:r>
          </w:p>
        </w:tc>
        <w:tc>
          <w:tcPr>
            <w:tcW w:w="497" w:type="pct"/>
            <w:noWrap/>
            <w:hideMark/>
          </w:tcPr>
          <w:p w14:paraId="795D67C4" w14:textId="7C5E6960" w:rsidR="00CA7676" w:rsidRPr="00E14EE6" w:rsidRDefault="00E14EE6" w:rsidP="00E14EE6">
            <w:pPr>
              <w:jc w:val="right"/>
              <w:rPr>
                <w:rFonts w:eastAsia="Times New Roman" w:cs="Calibri"/>
                <w:color w:val="000000"/>
                <w:sz w:val="14"/>
                <w:szCs w:val="14"/>
              </w:rPr>
            </w:pPr>
            <w:r w:rsidRPr="00E14EE6">
              <w:rPr>
                <w:sz w:val="14"/>
              </w:rPr>
              <w:noBreakHyphen/>
            </w:r>
            <w:r w:rsidR="00CA7676" w:rsidRPr="00E14EE6">
              <w:rPr>
                <w:sz w:val="14"/>
              </w:rPr>
              <w:t>1,053.8</w:t>
            </w:r>
          </w:p>
        </w:tc>
        <w:tc>
          <w:tcPr>
            <w:tcW w:w="498" w:type="pct"/>
            <w:noWrap/>
            <w:hideMark/>
          </w:tcPr>
          <w:p w14:paraId="0F62C324" w14:textId="3657392C" w:rsidR="00CA7676" w:rsidRPr="00E14EE6" w:rsidRDefault="00E14EE6" w:rsidP="00E14EE6">
            <w:pPr>
              <w:jc w:val="right"/>
              <w:rPr>
                <w:rFonts w:eastAsia="Times New Roman" w:cs="Calibri"/>
                <w:color w:val="000000"/>
                <w:sz w:val="14"/>
                <w:szCs w:val="14"/>
              </w:rPr>
            </w:pPr>
            <w:r w:rsidRPr="00E14EE6">
              <w:rPr>
                <w:sz w:val="14"/>
              </w:rPr>
              <w:noBreakHyphen/>
            </w:r>
            <w:r w:rsidR="00CA7676" w:rsidRPr="00E14EE6">
              <w:rPr>
                <w:sz w:val="14"/>
              </w:rPr>
              <w:t>1,288.7</w:t>
            </w:r>
          </w:p>
        </w:tc>
        <w:tc>
          <w:tcPr>
            <w:tcW w:w="497" w:type="pct"/>
            <w:noWrap/>
            <w:hideMark/>
          </w:tcPr>
          <w:p w14:paraId="5AE4F625" w14:textId="68CA32E3" w:rsidR="00CA7676" w:rsidRPr="00E14EE6" w:rsidRDefault="00E14EE6" w:rsidP="00E14EE6">
            <w:pPr>
              <w:jc w:val="right"/>
              <w:rPr>
                <w:rFonts w:eastAsia="Times New Roman" w:cs="Calibri"/>
                <w:color w:val="000000"/>
                <w:sz w:val="14"/>
                <w:szCs w:val="14"/>
              </w:rPr>
            </w:pPr>
            <w:r w:rsidRPr="00E14EE6">
              <w:rPr>
                <w:sz w:val="14"/>
              </w:rPr>
              <w:noBreakHyphen/>
            </w:r>
            <w:r w:rsidR="00CA7676" w:rsidRPr="00E14EE6">
              <w:rPr>
                <w:sz w:val="14"/>
              </w:rPr>
              <w:t>1,406.6</w:t>
            </w:r>
          </w:p>
        </w:tc>
        <w:tc>
          <w:tcPr>
            <w:tcW w:w="498" w:type="pct"/>
            <w:noWrap/>
            <w:hideMark/>
          </w:tcPr>
          <w:p w14:paraId="1CC3E0E1" w14:textId="4C23057B" w:rsidR="00CA7676" w:rsidRPr="00E14EE6" w:rsidRDefault="00E14EE6" w:rsidP="00E14EE6">
            <w:pPr>
              <w:jc w:val="right"/>
              <w:rPr>
                <w:rFonts w:eastAsia="Times New Roman" w:cs="Calibri"/>
                <w:sz w:val="14"/>
                <w:szCs w:val="14"/>
              </w:rPr>
            </w:pPr>
            <w:r w:rsidRPr="00E14EE6">
              <w:rPr>
                <w:sz w:val="14"/>
              </w:rPr>
              <w:noBreakHyphen/>
            </w:r>
            <w:r w:rsidR="00CA7676" w:rsidRPr="00E14EE6">
              <w:rPr>
                <w:sz w:val="14"/>
              </w:rPr>
              <w:t>1,831.6</w:t>
            </w:r>
          </w:p>
        </w:tc>
      </w:tr>
      <w:tr w:rsidR="00CA7676" w:rsidRPr="00E14EE6" w14:paraId="34FF1D14" w14:textId="77777777" w:rsidTr="00FD6B66">
        <w:trPr>
          <w:cantSplit/>
          <w:trHeight w:val="20"/>
        </w:trPr>
        <w:tc>
          <w:tcPr>
            <w:tcW w:w="1019" w:type="pct"/>
            <w:noWrap/>
            <w:hideMark/>
          </w:tcPr>
          <w:p w14:paraId="34126B38" w14:textId="77777777" w:rsidR="00CA7676" w:rsidRPr="00E14EE6" w:rsidRDefault="00CA7676" w:rsidP="00E14EE6">
            <w:pPr>
              <w:ind w:left="170"/>
              <w:jc w:val="left"/>
              <w:rPr>
                <w:rFonts w:eastAsia="Times New Roman" w:cs="Calibri"/>
                <w:sz w:val="14"/>
                <w:szCs w:val="14"/>
              </w:rPr>
            </w:pPr>
            <w:r w:rsidRPr="00E14EE6">
              <w:rPr>
                <w:sz w:val="14"/>
              </w:rPr>
              <w:t>Credit</w:t>
            </w:r>
          </w:p>
        </w:tc>
        <w:tc>
          <w:tcPr>
            <w:tcW w:w="497" w:type="pct"/>
            <w:noWrap/>
            <w:hideMark/>
          </w:tcPr>
          <w:p w14:paraId="41A80C19" w14:textId="77777777" w:rsidR="00CA7676" w:rsidRPr="00E14EE6" w:rsidRDefault="00CA7676" w:rsidP="00E14EE6">
            <w:pPr>
              <w:jc w:val="right"/>
              <w:rPr>
                <w:rFonts w:eastAsia="Times New Roman" w:cs="Calibri"/>
                <w:sz w:val="14"/>
                <w:szCs w:val="14"/>
              </w:rPr>
            </w:pPr>
            <w:r w:rsidRPr="00E14EE6">
              <w:rPr>
                <w:sz w:val="14"/>
              </w:rPr>
              <w:t>12.9</w:t>
            </w:r>
          </w:p>
        </w:tc>
        <w:tc>
          <w:tcPr>
            <w:tcW w:w="497" w:type="pct"/>
            <w:noWrap/>
            <w:hideMark/>
          </w:tcPr>
          <w:p w14:paraId="66E5033B" w14:textId="77777777" w:rsidR="00CA7676" w:rsidRPr="00E14EE6" w:rsidRDefault="00CA7676" w:rsidP="00E14EE6">
            <w:pPr>
              <w:jc w:val="right"/>
              <w:rPr>
                <w:rFonts w:eastAsia="Times New Roman" w:cs="Calibri"/>
                <w:sz w:val="14"/>
                <w:szCs w:val="14"/>
              </w:rPr>
            </w:pPr>
            <w:r w:rsidRPr="00E14EE6">
              <w:rPr>
                <w:sz w:val="14"/>
              </w:rPr>
              <w:t>13.9</w:t>
            </w:r>
          </w:p>
        </w:tc>
        <w:tc>
          <w:tcPr>
            <w:tcW w:w="499" w:type="pct"/>
            <w:noWrap/>
            <w:hideMark/>
          </w:tcPr>
          <w:p w14:paraId="7AB9DAB4" w14:textId="77777777" w:rsidR="00CA7676" w:rsidRPr="00E14EE6" w:rsidRDefault="00CA7676" w:rsidP="00E14EE6">
            <w:pPr>
              <w:jc w:val="right"/>
              <w:rPr>
                <w:rFonts w:eastAsia="Times New Roman" w:cs="Calibri"/>
                <w:sz w:val="14"/>
                <w:szCs w:val="14"/>
              </w:rPr>
            </w:pPr>
            <w:r w:rsidRPr="00E14EE6">
              <w:rPr>
                <w:sz w:val="14"/>
              </w:rPr>
              <w:t>15.0</w:t>
            </w:r>
          </w:p>
        </w:tc>
        <w:tc>
          <w:tcPr>
            <w:tcW w:w="497" w:type="pct"/>
            <w:noWrap/>
            <w:hideMark/>
          </w:tcPr>
          <w:p w14:paraId="4708174A" w14:textId="77777777" w:rsidR="00CA7676" w:rsidRPr="00E14EE6" w:rsidRDefault="00CA7676" w:rsidP="00E14EE6">
            <w:pPr>
              <w:jc w:val="right"/>
              <w:rPr>
                <w:rFonts w:eastAsia="Times New Roman" w:cs="Calibri"/>
                <w:sz w:val="14"/>
                <w:szCs w:val="14"/>
              </w:rPr>
            </w:pPr>
            <w:r w:rsidRPr="00E14EE6">
              <w:rPr>
                <w:sz w:val="14"/>
              </w:rPr>
              <w:t>7.9</w:t>
            </w:r>
          </w:p>
        </w:tc>
        <w:tc>
          <w:tcPr>
            <w:tcW w:w="497" w:type="pct"/>
            <w:noWrap/>
            <w:hideMark/>
          </w:tcPr>
          <w:p w14:paraId="1C723AF1" w14:textId="77777777" w:rsidR="00CA7676" w:rsidRPr="00E14EE6" w:rsidRDefault="00CA7676" w:rsidP="00E14EE6">
            <w:pPr>
              <w:jc w:val="right"/>
              <w:rPr>
                <w:rFonts w:eastAsia="Times New Roman" w:cs="Calibri"/>
                <w:sz w:val="14"/>
                <w:szCs w:val="14"/>
              </w:rPr>
            </w:pPr>
            <w:r w:rsidRPr="00E14EE6">
              <w:rPr>
                <w:sz w:val="14"/>
              </w:rPr>
              <w:t>0.0</w:t>
            </w:r>
          </w:p>
        </w:tc>
        <w:tc>
          <w:tcPr>
            <w:tcW w:w="498" w:type="pct"/>
            <w:noWrap/>
            <w:hideMark/>
          </w:tcPr>
          <w:p w14:paraId="654BE6D9" w14:textId="77777777" w:rsidR="00CA7676" w:rsidRPr="00E14EE6" w:rsidRDefault="00CA7676" w:rsidP="00E14EE6">
            <w:pPr>
              <w:jc w:val="right"/>
              <w:rPr>
                <w:rFonts w:eastAsia="Times New Roman" w:cs="Calibri"/>
                <w:sz w:val="14"/>
                <w:szCs w:val="14"/>
              </w:rPr>
            </w:pPr>
            <w:r w:rsidRPr="00E14EE6">
              <w:rPr>
                <w:sz w:val="14"/>
              </w:rPr>
              <w:t>0.0</w:t>
            </w:r>
          </w:p>
        </w:tc>
        <w:tc>
          <w:tcPr>
            <w:tcW w:w="497" w:type="pct"/>
            <w:noWrap/>
            <w:hideMark/>
          </w:tcPr>
          <w:p w14:paraId="2BE3EE9F" w14:textId="77777777" w:rsidR="00CA7676" w:rsidRPr="00E14EE6" w:rsidRDefault="00CA7676" w:rsidP="00E14EE6">
            <w:pPr>
              <w:jc w:val="right"/>
              <w:rPr>
                <w:rFonts w:eastAsia="Times New Roman" w:cs="Calibri"/>
                <w:sz w:val="14"/>
                <w:szCs w:val="14"/>
              </w:rPr>
            </w:pPr>
            <w:r w:rsidRPr="00E14EE6">
              <w:rPr>
                <w:sz w:val="14"/>
              </w:rPr>
              <w:t>0.0</w:t>
            </w:r>
          </w:p>
        </w:tc>
        <w:tc>
          <w:tcPr>
            <w:tcW w:w="498" w:type="pct"/>
            <w:noWrap/>
            <w:hideMark/>
          </w:tcPr>
          <w:p w14:paraId="624610CB" w14:textId="77777777" w:rsidR="00CA7676" w:rsidRPr="00E14EE6" w:rsidRDefault="00CA7676" w:rsidP="00E14EE6">
            <w:pPr>
              <w:jc w:val="right"/>
              <w:rPr>
                <w:rFonts w:eastAsia="Times New Roman" w:cs="Calibri"/>
                <w:sz w:val="14"/>
                <w:szCs w:val="14"/>
              </w:rPr>
            </w:pPr>
            <w:r w:rsidRPr="00E14EE6">
              <w:rPr>
                <w:sz w:val="14"/>
              </w:rPr>
              <w:t>0.0</w:t>
            </w:r>
          </w:p>
        </w:tc>
      </w:tr>
      <w:tr w:rsidR="00CA7676" w:rsidRPr="00E14EE6" w14:paraId="15DF4BFA" w14:textId="77777777" w:rsidTr="00FD6B66">
        <w:trPr>
          <w:cnfStyle w:val="000000010000" w:firstRow="0" w:lastRow="0" w:firstColumn="0" w:lastColumn="0" w:oddVBand="0" w:evenVBand="0" w:oddHBand="0" w:evenHBand="1" w:firstRowFirstColumn="0" w:firstRowLastColumn="0" w:lastRowFirstColumn="0" w:lastRowLastColumn="0"/>
          <w:cantSplit/>
          <w:trHeight w:val="20"/>
        </w:trPr>
        <w:tc>
          <w:tcPr>
            <w:tcW w:w="1019" w:type="pct"/>
            <w:noWrap/>
            <w:hideMark/>
          </w:tcPr>
          <w:p w14:paraId="3A0B603B" w14:textId="77777777" w:rsidR="00CA7676" w:rsidRPr="00E14EE6" w:rsidRDefault="00CA7676" w:rsidP="00E14EE6">
            <w:pPr>
              <w:ind w:left="170"/>
              <w:jc w:val="left"/>
              <w:rPr>
                <w:rFonts w:eastAsia="Times New Roman" w:cs="Calibri"/>
                <w:sz w:val="14"/>
                <w:szCs w:val="14"/>
              </w:rPr>
            </w:pPr>
            <w:r w:rsidRPr="00E14EE6">
              <w:rPr>
                <w:sz w:val="14"/>
              </w:rPr>
              <w:t>Debit</w:t>
            </w:r>
          </w:p>
        </w:tc>
        <w:tc>
          <w:tcPr>
            <w:tcW w:w="497" w:type="pct"/>
            <w:noWrap/>
            <w:hideMark/>
          </w:tcPr>
          <w:p w14:paraId="61779AB6" w14:textId="77777777" w:rsidR="00CA7676" w:rsidRPr="00E14EE6" w:rsidRDefault="00CA7676" w:rsidP="00E14EE6">
            <w:pPr>
              <w:jc w:val="right"/>
              <w:rPr>
                <w:rFonts w:eastAsia="Times New Roman" w:cs="Calibri"/>
                <w:sz w:val="14"/>
                <w:szCs w:val="14"/>
              </w:rPr>
            </w:pPr>
            <w:r w:rsidRPr="00E14EE6">
              <w:rPr>
                <w:sz w:val="14"/>
              </w:rPr>
              <w:t>508.2</w:t>
            </w:r>
          </w:p>
        </w:tc>
        <w:tc>
          <w:tcPr>
            <w:tcW w:w="497" w:type="pct"/>
            <w:noWrap/>
            <w:hideMark/>
          </w:tcPr>
          <w:p w14:paraId="44772BCE" w14:textId="77777777" w:rsidR="00CA7676" w:rsidRPr="00E14EE6" w:rsidRDefault="00CA7676" w:rsidP="00E14EE6">
            <w:pPr>
              <w:jc w:val="right"/>
              <w:rPr>
                <w:rFonts w:eastAsia="Times New Roman" w:cs="Calibri"/>
                <w:sz w:val="14"/>
                <w:szCs w:val="14"/>
              </w:rPr>
            </w:pPr>
            <w:r w:rsidRPr="00E14EE6">
              <w:rPr>
                <w:sz w:val="14"/>
              </w:rPr>
              <w:t>651.1</w:t>
            </w:r>
          </w:p>
        </w:tc>
        <w:tc>
          <w:tcPr>
            <w:tcW w:w="499" w:type="pct"/>
            <w:noWrap/>
            <w:hideMark/>
          </w:tcPr>
          <w:p w14:paraId="2AD8690F" w14:textId="77777777" w:rsidR="00CA7676" w:rsidRPr="00E14EE6" w:rsidRDefault="00CA7676" w:rsidP="00E14EE6">
            <w:pPr>
              <w:jc w:val="right"/>
              <w:rPr>
                <w:rFonts w:eastAsia="Times New Roman" w:cs="Calibri"/>
                <w:sz w:val="14"/>
                <w:szCs w:val="14"/>
              </w:rPr>
            </w:pPr>
            <w:r w:rsidRPr="00E14EE6">
              <w:rPr>
                <w:sz w:val="14"/>
              </w:rPr>
              <w:t>796.6</w:t>
            </w:r>
          </w:p>
        </w:tc>
        <w:tc>
          <w:tcPr>
            <w:tcW w:w="497" w:type="pct"/>
            <w:noWrap/>
            <w:hideMark/>
          </w:tcPr>
          <w:p w14:paraId="4B433B84" w14:textId="77777777" w:rsidR="00CA7676" w:rsidRPr="00E14EE6" w:rsidRDefault="00CA7676" w:rsidP="00E14EE6">
            <w:pPr>
              <w:jc w:val="right"/>
              <w:rPr>
                <w:rFonts w:eastAsia="Times New Roman" w:cs="Calibri"/>
                <w:sz w:val="14"/>
                <w:szCs w:val="14"/>
              </w:rPr>
            </w:pPr>
            <w:r w:rsidRPr="00E14EE6">
              <w:rPr>
                <w:sz w:val="14"/>
              </w:rPr>
              <w:t>983.8</w:t>
            </w:r>
          </w:p>
        </w:tc>
        <w:tc>
          <w:tcPr>
            <w:tcW w:w="497" w:type="pct"/>
            <w:noWrap/>
            <w:hideMark/>
          </w:tcPr>
          <w:p w14:paraId="6D4F1356" w14:textId="77777777" w:rsidR="00CA7676" w:rsidRPr="00E14EE6" w:rsidRDefault="00CA7676" w:rsidP="00E14EE6">
            <w:pPr>
              <w:jc w:val="right"/>
              <w:rPr>
                <w:rFonts w:eastAsia="Times New Roman" w:cs="Calibri"/>
                <w:sz w:val="14"/>
                <w:szCs w:val="14"/>
              </w:rPr>
            </w:pPr>
            <w:r w:rsidRPr="00E14EE6">
              <w:rPr>
                <w:sz w:val="14"/>
              </w:rPr>
              <w:t>1,053.8</w:t>
            </w:r>
          </w:p>
        </w:tc>
        <w:tc>
          <w:tcPr>
            <w:tcW w:w="498" w:type="pct"/>
            <w:noWrap/>
            <w:hideMark/>
          </w:tcPr>
          <w:p w14:paraId="0DA5C906" w14:textId="77777777" w:rsidR="00CA7676" w:rsidRPr="00E14EE6" w:rsidRDefault="00CA7676" w:rsidP="00E14EE6">
            <w:pPr>
              <w:jc w:val="right"/>
              <w:rPr>
                <w:rFonts w:eastAsia="Times New Roman" w:cs="Calibri"/>
                <w:sz w:val="14"/>
                <w:szCs w:val="14"/>
              </w:rPr>
            </w:pPr>
            <w:r w:rsidRPr="00E14EE6">
              <w:rPr>
                <w:sz w:val="14"/>
              </w:rPr>
              <w:t>1,288.7</w:t>
            </w:r>
          </w:p>
        </w:tc>
        <w:tc>
          <w:tcPr>
            <w:tcW w:w="497" w:type="pct"/>
            <w:noWrap/>
            <w:hideMark/>
          </w:tcPr>
          <w:p w14:paraId="2C1DAB8B" w14:textId="77777777" w:rsidR="00CA7676" w:rsidRPr="00E14EE6" w:rsidRDefault="00CA7676" w:rsidP="00E14EE6">
            <w:pPr>
              <w:jc w:val="right"/>
              <w:rPr>
                <w:rFonts w:eastAsia="Times New Roman" w:cs="Calibri"/>
                <w:sz w:val="14"/>
                <w:szCs w:val="14"/>
              </w:rPr>
            </w:pPr>
            <w:r w:rsidRPr="00E14EE6">
              <w:rPr>
                <w:sz w:val="14"/>
              </w:rPr>
              <w:t>1,406.6</w:t>
            </w:r>
          </w:p>
        </w:tc>
        <w:tc>
          <w:tcPr>
            <w:tcW w:w="498" w:type="pct"/>
            <w:noWrap/>
            <w:hideMark/>
          </w:tcPr>
          <w:p w14:paraId="094ACE76" w14:textId="77777777" w:rsidR="00CA7676" w:rsidRPr="00E14EE6" w:rsidRDefault="00CA7676" w:rsidP="00E14EE6">
            <w:pPr>
              <w:jc w:val="right"/>
              <w:rPr>
                <w:rFonts w:eastAsia="Times New Roman" w:cs="Calibri"/>
                <w:sz w:val="14"/>
                <w:szCs w:val="14"/>
              </w:rPr>
            </w:pPr>
            <w:r w:rsidRPr="00E14EE6">
              <w:rPr>
                <w:sz w:val="14"/>
              </w:rPr>
              <w:t>1,831.6</w:t>
            </w:r>
          </w:p>
        </w:tc>
      </w:tr>
      <w:tr w:rsidR="00CA7676" w:rsidRPr="00E14EE6" w14:paraId="28A386DA" w14:textId="77777777" w:rsidTr="00FD6B66">
        <w:trPr>
          <w:cantSplit/>
          <w:trHeight w:val="20"/>
        </w:trPr>
        <w:tc>
          <w:tcPr>
            <w:tcW w:w="1019" w:type="pct"/>
            <w:noWrap/>
            <w:hideMark/>
          </w:tcPr>
          <w:p w14:paraId="327277C2" w14:textId="77777777" w:rsidR="00CA7676" w:rsidRPr="00E14EE6" w:rsidRDefault="00CA7676" w:rsidP="00E14EE6">
            <w:pPr>
              <w:jc w:val="left"/>
              <w:rPr>
                <w:rFonts w:eastAsia="Times New Roman" w:cs="Calibri"/>
                <w:color w:val="000000"/>
                <w:sz w:val="14"/>
                <w:szCs w:val="14"/>
              </w:rPr>
            </w:pPr>
            <w:r w:rsidRPr="00E14EE6">
              <w:rPr>
                <w:sz w:val="14"/>
              </w:rPr>
              <w:t>Other investment</w:t>
            </w:r>
          </w:p>
        </w:tc>
        <w:tc>
          <w:tcPr>
            <w:tcW w:w="497" w:type="pct"/>
            <w:noWrap/>
            <w:hideMark/>
          </w:tcPr>
          <w:p w14:paraId="6C692152" w14:textId="78AE4C38" w:rsidR="00CA7676" w:rsidRPr="00E14EE6" w:rsidRDefault="00E14EE6" w:rsidP="00E14EE6">
            <w:pPr>
              <w:jc w:val="right"/>
              <w:rPr>
                <w:rFonts w:eastAsia="Times New Roman" w:cs="Calibri"/>
                <w:color w:val="000000"/>
                <w:sz w:val="14"/>
                <w:szCs w:val="14"/>
              </w:rPr>
            </w:pPr>
            <w:r w:rsidRPr="00E14EE6">
              <w:rPr>
                <w:sz w:val="14"/>
              </w:rPr>
              <w:noBreakHyphen/>
            </w:r>
            <w:r w:rsidR="00CA7676" w:rsidRPr="00E14EE6">
              <w:rPr>
                <w:sz w:val="14"/>
              </w:rPr>
              <w:t>91.3</w:t>
            </w:r>
          </w:p>
        </w:tc>
        <w:tc>
          <w:tcPr>
            <w:tcW w:w="497" w:type="pct"/>
            <w:noWrap/>
            <w:hideMark/>
          </w:tcPr>
          <w:p w14:paraId="18302A72" w14:textId="3E61F2E3" w:rsidR="00CA7676" w:rsidRPr="00E14EE6" w:rsidRDefault="00E14EE6" w:rsidP="00E14EE6">
            <w:pPr>
              <w:jc w:val="right"/>
              <w:rPr>
                <w:rFonts w:eastAsia="Times New Roman" w:cs="Calibri"/>
                <w:color w:val="000000"/>
                <w:sz w:val="14"/>
                <w:szCs w:val="14"/>
              </w:rPr>
            </w:pPr>
            <w:r w:rsidRPr="00E14EE6">
              <w:rPr>
                <w:sz w:val="14"/>
              </w:rPr>
              <w:noBreakHyphen/>
            </w:r>
            <w:r w:rsidR="00CA7676" w:rsidRPr="00E14EE6">
              <w:rPr>
                <w:sz w:val="14"/>
              </w:rPr>
              <w:t>38.2</w:t>
            </w:r>
          </w:p>
        </w:tc>
        <w:tc>
          <w:tcPr>
            <w:tcW w:w="499" w:type="pct"/>
            <w:noWrap/>
            <w:hideMark/>
          </w:tcPr>
          <w:p w14:paraId="0AD9215F" w14:textId="48734C35" w:rsidR="00CA7676" w:rsidRPr="00E14EE6" w:rsidRDefault="00E14EE6" w:rsidP="00E14EE6">
            <w:pPr>
              <w:jc w:val="right"/>
              <w:rPr>
                <w:rFonts w:eastAsia="Times New Roman" w:cs="Calibri"/>
                <w:color w:val="000000"/>
                <w:sz w:val="14"/>
                <w:szCs w:val="14"/>
              </w:rPr>
            </w:pPr>
            <w:r w:rsidRPr="00E14EE6">
              <w:rPr>
                <w:sz w:val="14"/>
              </w:rPr>
              <w:noBreakHyphen/>
            </w:r>
            <w:r w:rsidR="00CA7676" w:rsidRPr="00E14EE6">
              <w:rPr>
                <w:sz w:val="14"/>
              </w:rPr>
              <w:t>111.2</w:t>
            </w:r>
          </w:p>
        </w:tc>
        <w:tc>
          <w:tcPr>
            <w:tcW w:w="497" w:type="pct"/>
            <w:noWrap/>
            <w:hideMark/>
          </w:tcPr>
          <w:p w14:paraId="46E1F7B4" w14:textId="3C51C1AD" w:rsidR="00CA7676" w:rsidRPr="00E14EE6" w:rsidRDefault="00E14EE6" w:rsidP="00E14EE6">
            <w:pPr>
              <w:jc w:val="right"/>
              <w:rPr>
                <w:rFonts w:eastAsia="Times New Roman" w:cs="Calibri"/>
                <w:color w:val="000000"/>
                <w:sz w:val="14"/>
                <w:szCs w:val="14"/>
              </w:rPr>
            </w:pPr>
            <w:r w:rsidRPr="00E14EE6">
              <w:rPr>
                <w:sz w:val="14"/>
              </w:rPr>
              <w:noBreakHyphen/>
            </w:r>
            <w:r w:rsidR="00CA7676" w:rsidRPr="00E14EE6">
              <w:rPr>
                <w:sz w:val="14"/>
              </w:rPr>
              <w:t>169.8</w:t>
            </w:r>
          </w:p>
        </w:tc>
        <w:tc>
          <w:tcPr>
            <w:tcW w:w="497" w:type="pct"/>
            <w:noWrap/>
            <w:hideMark/>
          </w:tcPr>
          <w:p w14:paraId="65E88516" w14:textId="716B3BCE" w:rsidR="00CA7676" w:rsidRPr="00E14EE6" w:rsidRDefault="00E14EE6" w:rsidP="00E14EE6">
            <w:pPr>
              <w:jc w:val="right"/>
              <w:rPr>
                <w:rFonts w:eastAsia="Times New Roman" w:cs="Calibri"/>
                <w:color w:val="000000"/>
                <w:sz w:val="14"/>
                <w:szCs w:val="14"/>
              </w:rPr>
            </w:pPr>
            <w:r w:rsidRPr="00E14EE6">
              <w:rPr>
                <w:sz w:val="14"/>
              </w:rPr>
              <w:noBreakHyphen/>
            </w:r>
            <w:r w:rsidR="00CA7676" w:rsidRPr="00E14EE6">
              <w:rPr>
                <w:sz w:val="14"/>
              </w:rPr>
              <w:t>126.6</w:t>
            </w:r>
          </w:p>
        </w:tc>
        <w:tc>
          <w:tcPr>
            <w:tcW w:w="498" w:type="pct"/>
            <w:noWrap/>
            <w:hideMark/>
          </w:tcPr>
          <w:p w14:paraId="24468EE3" w14:textId="3621321D" w:rsidR="00CA7676" w:rsidRPr="00E14EE6" w:rsidRDefault="00E14EE6" w:rsidP="00E14EE6">
            <w:pPr>
              <w:jc w:val="right"/>
              <w:rPr>
                <w:rFonts w:eastAsia="Times New Roman" w:cs="Calibri"/>
                <w:color w:val="000000"/>
                <w:sz w:val="14"/>
                <w:szCs w:val="14"/>
              </w:rPr>
            </w:pPr>
            <w:r w:rsidRPr="00E14EE6">
              <w:rPr>
                <w:sz w:val="14"/>
              </w:rPr>
              <w:noBreakHyphen/>
            </w:r>
            <w:r w:rsidR="00CA7676" w:rsidRPr="00E14EE6">
              <w:rPr>
                <w:sz w:val="14"/>
              </w:rPr>
              <w:t>161.1</w:t>
            </w:r>
          </w:p>
        </w:tc>
        <w:tc>
          <w:tcPr>
            <w:tcW w:w="497" w:type="pct"/>
            <w:noWrap/>
            <w:hideMark/>
          </w:tcPr>
          <w:p w14:paraId="41E4518A" w14:textId="77777777" w:rsidR="00CA7676" w:rsidRPr="00E14EE6" w:rsidRDefault="00CA7676" w:rsidP="00E14EE6">
            <w:pPr>
              <w:jc w:val="right"/>
              <w:rPr>
                <w:rFonts w:eastAsia="Times New Roman" w:cs="Calibri"/>
                <w:color w:val="000000"/>
                <w:sz w:val="14"/>
                <w:szCs w:val="14"/>
              </w:rPr>
            </w:pPr>
            <w:r w:rsidRPr="00E14EE6">
              <w:rPr>
                <w:sz w:val="14"/>
              </w:rPr>
              <w:t>16.5</w:t>
            </w:r>
          </w:p>
        </w:tc>
        <w:tc>
          <w:tcPr>
            <w:tcW w:w="498" w:type="pct"/>
            <w:noWrap/>
            <w:hideMark/>
          </w:tcPr>
          <w:p w14:paraId="6F18E203" w14:textId="4B22DEAE" w:rsidR="00CA7676" w:rsidRPr="00E14EE6" w:rsidRDefault="00E14EE6" w:rsidP="00E14EE6">
            <w:pPr>
              <w:jc w:val="right"/>
              <w:rPr>
                <w:rFonts w:eastAsia="Times New Roman" w:cs="Calibri"/>
                <w:sz w:val="14"/>
                <w:szCs w:val="14"/>
              </w:rPr>
            </w:pPr>
            <w:r w:rsidRPr="00E14EE6">
              <w:rPr>
                <w:sz w:val="14"/>
              </w:rPr>
              <w:noBreakHyphen/>
            </w:r>
            <w:r w:rsidR="00CA7676" w:rsidRPr="00E14EE6">
              <w:rPr>
                <w:sz w:val="14"/>
              </w:rPr>
              <w:t>8.2</w:t>
            </w:r>
          </w:p>
        </w:tc>
      </w:tr>
      <w:tr w:rsidR="00CA7676" w:rsidRPr="00E14EE6" w14:paraId="40FA558C" w14:textId="77777777" w:rsidTr="00FD6B66">
        <w:trPr>
          <w:cnfStyle w:val="000000010000" w:firstRow="0" w:lastRow="0" w:firstColumn="0" w:lastColumn="0" w:oddVBand="0" w:evenVBand="0" w:oddHBand="0" w:evenHBand="1" w:firstRowFirstColumn="0" w:firstRowLastColumn="0" w:lastRowFirstColumn="0" w:lastRowLastColumn="0"/>
          <w:cantSplit/>
          <w:trHeight w:val="20"/>
        </w:trPr>
        <w:tc>
          <w:tcPr>
            <w:tcW w:w="1019" w:type="pct"/>
            <w:noWrap/>
            <w:hideMark/>
          </w:tcPr>
          <w:p w14:paraId="2479131E" w14:textId="77777777" w:rsidR="00CA7676" w:rsidRPr="00E14EE6" w:rsidRDefault="00CA7676" w:rsidP="00E14EE6">
            <w:pPr>
              <w:ind w:left="170"/>
              <w:jc w:val="left"/>
              <w:rPr>
                <w:rFonts w:eastAsia="Times New Roman" w:cs="Calibri"/>
                <w:sz w:val="14"/>
                <w:szCs w:val="14"/>
              </w:rPr>
            </w:pPr>
            <w:r w:rsidRPr="00E14EE6">
              <w:rPr>
                <w:sz w:val="14"/>
              </w:rPr>
              <w:t>Credit</w:t>
            </w:r>
          </w:p>
        </w:tc>
        <w:tc>
          <w:tcPr>
            <w:tcW w:w="497" w:type="pct"/>
            <w:noWrap/>
            <w:hideMark/>
          </w:tcPr>
          <w:p w14:paraId="53DF2909" w14:textId="77777777" w:rsidR="00CA7676" w:rsidRPr="00E14EE6" w:rsidRDefault="00CA7676" w:rsidP="00E14EE6">
            <w:pPr>
              <w:jc w:val="right"/>
              <w:rPr>
                <w:rFonts w:eastAsia="Times New Roman" w:cs="Calibri"/>
                <w:sz w:val="14"/>
                <w:szCs w:val="14"/>
              </w:rPr>
            </w:pPr>
            <w:r w:rsidRPr="00E14EE6">
              <w:rPr>
                <w:sz w:val="14"/>
              </w:rPr>
              <w:t>300.2</w:t>
            </w:r>
          </w:p>
        </w:tc>
        <w:tc>
          <w:tcPr>
            <w:tcW w:w="497" w:type="pct"/>
            <w:noWrap/>
            <w:hideMark/>
          </w:tcPr>
          <w:p w14:paraId="33360E85" w14:textId="77777777" w:rsidR="00CA7676" w:rsidRPr="00E14EE6" w:rsidRDefault="00CA7676" w:rsidP="00E14EE6">
            <w:pPr>
              <w:jc w:val="right"/>
              <w:rPr>
                <w:rFonts w:eastAsia="Times New Roman" w:cs="Calibri"/>
                <w:sz w:val="14"/>
                <w:szCs w:val="14"/>
              </w:rPr>
            </w:pPr>
            <w:r w:rsidRPr="00E14EE6">
              <w:rPr>
                <w:sz w:val="14"/>
              </w:rPr>
              <w:t>296.0</w:t>
            </w:r>
          </w:p>
        </w:tc>
        <w:tc>
          <w:tcPr>
            <w:tcW w:w="499" w:type="pct"/>
            <w:noWrap/>
            <w:hideMark/>
          </w:tcPr>
          <w:p w14:paraId="3BD7CC66" w14:textId="77777777" w:rsidR="00CA7676" w:rsidRPr="00E14EE6" w:rsidRDefault="00CA7676" w:rsidP="00E14EE6">
            <w:pPr>
              <w:jc w:val="right"/>
              <w:rPr>
                <w:rFonts w:eastAsia="Times New Roman" w:cs="Calibri"/>
                <w:sz w:val="14"/>
                <w:szCs w:val="14"/>
              </w:rPr>
            </w:pPr>
            <w:r w:rsidRPr="00E14EE6">
              <w:rPr>
                <w:sz w:val="14"/>
              </w:rPr>
              <w:t>216.1</w:t>
            </w:r>
          </w:p>
        </w:tc>
        <w:tc>
          <w:tcPr>
            <w:tcW w:w="497" w:type="pct"/>
            <w:noWrap/>
            <w:hideMark/>
          </w:tcPr>
          <w:p w14:paraId="60C934DA" w14:textId="77777777" w:rsidR="00CA7676" w:rsidRPr="00E14EE6" w:rsidRDefault="00CA7676" w:rsidP="00E14EE6">
            <w:pPr>
              <w:jc w:val="right"/>
              <w:rPr>
                <w:rFonts w:eastAsia="Times New Roman" w:cs="Calibri"/>
                <w:sz w:val="14"/>
                <w:szCs w:val="14"/>
              </w:rPr>
            </w:pPr>
            <w:r w:rsidRPr="00E14EE6">
              <w:rPr>
                <w:sz w:val="14"/>
              </w:rPr>
              <w:t>185.5</w:t>
            </w:r>
          </w:p>
        </w:tc>
        <w:tc>
          <w:tcPr>
            <w:tcW w:w="497" w:type="pct"/>
            <w:noWrap/>
            <w:hideMark/>
          </w:tcPr>
          <w:p w14:paraId="21FD7A32" w14:textId="77777777" w:rsidR="00CA7676" w:rsidRPr="00E14EE6" w:rsidRDefault="00CA7676" w:rsidP="00E14EE6">
            <w:pPr>
              <w:jc w:val="right"/>
              <w:rPr>
                <w:rFonts w:eastAsia="Times New Roman" w:cs="Calibri"/>
                <w:sz w:val="14"/>
                <w:szCs w:val="14"/>
              </w:rPr>
            </w:pPr>
            <w:r w:rsidRPr="00E14EE6">
              <w:rPr>
                <w:sz w:val="14"/>
              </w:rPr>
              <w:t>174.7</w:t>
            </w:r>
          </w:p>
        </w:tc>
        <w:tc>
          <w:tcPr>
            <w:tcW w:w="498" w:type="pct"/>
            <w:noWrap/>
            <w:hideMark/>
          </w:tcPr>
          <w:p w14:paraId="14459254" w14:textId="77777777" w:rsidR="00CA7676" w:rsidRPr="00E14EE6" w:rsidRDefault="00CA7676" w:rsidP="00E14EE6">
            <w:pPr>
              <w:jc w:val="right"/>
              <w:rPr>
                <w:rFonts w:eastAsia="Times New Roman" w:cs="Calibri"/>
                <w:sz w:val="14"/>
                <w:szCs w:val="14"/>
              </w:rPr>
            </w:pPr>
            <w:r w:rsidRPr="00E14EE6">
              <w:rPr>
                <w:sz w:val="14"/>
              </w:rPr>
              <w:t>167.0</w:t>
            </w:r>
          </w:p>
        </w:tc>
        <w:tc>
          <w:tcPr>
            <w:tcW w:w="497" w:type="pct"/>
            <w:noWrap/>
            <w:hideMark/>
          </w:tcPr>
          <w:p w14:paraId="4C0B62E7" w14:textId="77777777" w:rsidR="00CA7676" w:rsidRPr="00E14EE6" w:rsidRDefault="00CA7676" w:rsidP="00E14EE6">
            <w:pPr>
              <w:jc w:val="right"/>
              <w:rPr>
                <w:rFonts w:eastAsia="Times New Roman" w:cs="Calibri"/>
                <w:sz w:val="14"/>
                <w:szCs w:val="14"/>
              </w:rPr>
            </w:pPr>
            <w:r w:rsidRPr="00E14EE6">
              <w:rPr>
                <w:sz w:val="14"/>
              </w:rPr>
              <w:t>264.1</w:t>
            </w:r>
          </w:p>
        </w:tc>
        <w:tc>
          <w:tcPr>
            <w:tcW w:w="498" w:type="pct"/>
            <w:noWrap/>
            <w:hideMark/>
          </w:tcPr>
          <w:p w14:paraId="6BDE0F35" w14:textId="77777777" w:rsidR="00CA7676" w:rsidRPr="00E14EE6" w:rsidRDefault="00CA7676" w:rsidP="00E14EE6">
            <w:pPr>
              <w:jc w:val="right"/>
              <w:rPr>
                <w:rFonts w:eastAsia="Times New Roman" w:cs="Calibri"/>
                <w:sz w:val="14"/>
                <w:szCs w:val="14"/>
              </w:rPr>
            </w:pPr>
            <w:r w:rsidRPr="00E14EE6">
              <w:rPr>
                <w:sz w:val="14"/>
              </w:rPr>
              <w:t>198.1</w:t>
            </w:r>
          </w:p>
        </w:tc>
      </w:tr>
      <w:tr w:rsidR="00CA7676" w:rsidRPr="00E14EE6" w14:paraId="003F5D9B" w14:textId="77777777" w:rsidTr="00FD6B66">
        <w:trPr>
          <w:cantSplit/>
          <w:trHeight w:val="20"/>
        </w:trPr>
        <w:tc>
          <w:tcPr>
            <w:tcW w:w="1019" w:type="pct"/>
            <w:noWrap/>
            <w:hideMark/>
          </w:tcPr>
          <w:p w14:paraId="5EB0A7E9" w14:textId="77777777" w:rsidR="00CA7676" w:rsidRPr="00E14EE6" w:rsidRDefault="00CA7676" w:rsidP="00E14EE6">
            <w:pPr>
              <w:ind w:left="170"/>
              <w:jc w:val="left"/>
              <w:rPr>
                <w:rFonts w:eastAsia="Times New Roman" w:cs="Calibri"/>
                <w:sz w:val="14"/>
                <w:szCs w:val="14"/>
              </w:rPr>
            </w:pPr>
            <w:r w:rsidRPr="00E14EE6">
              <w:rPr>
                <w:sz w:val="14"/>
              </w:rPr>
              <w:t>Debit</w:t>
            </w:r>
          </w:p>
        </w:tc>
        <w:tc>
          <w:tcPr>
            <w:tcW w:w="497" w:type="pct"/>
            <w:noWrap/>
            <w:hideMark/>
          </w:tcPr>
          <w:p w14:paraId="3A267D7F" w14:textId="77777777" w:rsidR="00CA7676" w:rsidRPr="00E14EE6" w:rsidRDefault="00CA7676" w:rsidP="00E14EE6">
            <w:pPr>
              <w:jc w:val="right"/>
              <w:rPr>
                <w:rFonts w:eastAsia="Times New Roman" w:cs="Calibri"/>
                <w:sz w:val="14"/>
                <w:szCs w:val="14"/>
              </w:rPr>
            </w:pPr>
            <w:r w:rsidRPr="00E14EE6">
              <w:rPr>
                <w:sz w:val="14"/>
              </w:rPr>
              <w:t>391.5</w:t>
            </w:r>
          </w:p>
        </w:tc>
        <w:tc>
          <w:tcPr>
            <w:tcW w:w="497" w:type="pct"/>
            <w:noWrap/>
            <w:hideMark/>
          </w:tcPr>
          <w:p w14:paraId="71A94188" w14:textId="77777777" w:rsidR="00CA7676" w:rsidRPr="00E14EE6" w:rsidRDefault="00CA7676" w:rsidP="00E14EE6">
            <w:pPr>
              <w:jc w:val="right"/>
              <w:rPr>
                <w:rFonts w:eastAsia="Times New Roman" w:cs="Calibri"/>
                <w:sz w:val="14"/>
                <w:szCs w:val="14"/>
              </w:rPr>
            </w:pPr>
            <w:r w:rsidRPr="00E14EE6">
              <w:rPr>
                <w:sz w:val="14"/>
              </w:rPr>
              <w:t>334.2</w:t>
            </w:r>
          </w:p>
        </w:tc>
        <w:tc>
          <w:tcPr>
            <w:tcW w:w="499" w:type="pct"/>
            <w:noWrap/>
            <w:hideMark/>
          </w:tcPr>
          <w:p w14:paraId="0543FACB" w14:textId="77777777" w:rsidR="00CA7676" w:rsidRPr="00E14EE6" w:rsidRDefault="00CA7676" w:rsidP="00E14EE6">
            <w:pPr>
              <w:jc w:val="right"/>
              <w:rPr>
                <w:rFonts w:eastAsia="Times New Roman" w:cs="Calibri"/>
                <w:sz w:val="14"/>
                <w:szCs w:val="14"/>
              </w:rPr>
            </w:pPr>
            <w:r w:rsidRPr="00E14EE6">
              <w:rPr>
                <w:sz w:val="14"/>
              </w:rPr>
              <w:t>327.3</w:t>
            </w:r>
          </w:p>
        </w:tc>
        <w:tc>
          <w:tcPr>
            <w:tcW w:w="497" w:type="pct"/>
            <w:noWrap/>
            <w:hideMark/>
          </w:tcPr>
          <w:p w14:paraId="1BF8DEF1" w14:textId="77777777" w:rsidR="00CA7676" w:rsidRPr="00E14EE6" w:rsidRDefault="00CA7676" w:rsidP="00E14EE6">
            <w:pPr>
              <w:jc w:val="right"/>
              <w:rPr>
                <w:rFonts w:eastAsia="Times New Roman" w:cs="Calibri"/>
                <w:sz w:val="14"/>
                <w:szCs w:val="14"/>
              </w:rPr>
            </w:pPr>
            <w:r w:rsidRPr="00E14EE6">
              <w:rPr>
                <w:sz w:val="14"/>
              </w:rPr>
              <w:t>355.3</w:t>
            </w:r>
          </w:p>
        </w:tc>
        <w:tc>
          <w:tcPr>
            <w:tcW w:w="497" w:type="pct"/>
            <w:noWrap/>
            <w:hideMark/>
          </w:tcPr>
          <w:p w14:paraId="358D88EF" w14:textId="77777777" w:rsidR="00CA7676" w:rsidRPr="00E14EE6" w:rsidRDefault="00CA7676" w:rsidP="00E14EE6">
            <w:pPr>
              <w:jc w:val="right"/>
              <w:rPr>
                <w:rFonts w:eastAsia="Times New Roman" w:cs="Calibri"/>
                <w:sz w:val="14"/>
                <w:szCs w:val="14"/>
              </w:rPr>
            </w:pPr>
            <w:r w:rsidRPr="00E14EE6">
              <w:rPr>
                <w:sz w:val="14"/>
              </w:rPr>
              <w:t>301.3</w:t>
            </w:r>
          </w:p>
        </w:tc>
        <w:tc>
          <w:tcPr>
            <w:tcW w:w="498" w:type="pct"/>
            <w:noWrap/>
            <w:hideMark/>
          </w:tcPr>
          <w:p w14:paraId="11CB1A4F" w14:textId="77777777" w:rsidR="00CA7676" w:rsidRPr="00E14EE6" w:rsidRDefault="00CA7676" w:rsidP="00E14EE6">
            <w:pPr>
              <w:jc w:val="right"/>
              <w:rPr>
                <w:rFonts w:eastAsia="Times New Roman" w:cs="Calibri"/>
                <w:sz w:val="14"/>
                <w:szCs w:val="14"/>
              </w:rPr>
            </w:pPr>
            <w:r w:rsidRPr="00E14EE6">
              <w:rPr>
                <w:sz w:val="14"/>
              </w:rPr>
              <w:t>328.1</w:t>
            </w:r>
          </w:p>
        </w:tc>
        <w:tc>
          <w:tcPr>
            <w:tcW w:w="497" w:type="pct"/>
            <w:noWrap/>
            <w:hideMark/>
          </w:tcPr>
          <w:p w14:paraId="37BD083D" w14:textId="77777777" w:rsidR="00CA7676" w:rsidRPr="00E14EE6" w:rsidRDefault="00CA7676" w:rsidP="00E14EE6">
            <w:pPr>
              <w:jc w:val="right"/>
              <w:rPr>
                <w:rFonts w:eastAsia="Times New Roman" w:cs="Calibri"/>
                <w:sz w:val="14"/>
                <w:szCs w:val="14"/>
              </w:rPr>
            </w:pPr>
            <w:r w:rsidRPr="00E14EE6">
              <w:rPr>
                <w:sz w:val="14"/>
              </w:rPr>
              <w:t>247.6</w:t>
            </w:r>
          </w:p>
        </w:tc>
        <w:tc>
          <w:tcPr>
            <w:tcW w:w="498" w:type="pct"/>
            <w:noWrap/>
            <w:hideMark/>
          </w:tcPr>
          <w:p w14:paraId="69F1E732" w14:textId="77777777" w:rsidR="00CA7676" w:rsidRPr="00E14EE6" w:rsidRDefault="00CA7676" w:rsidP="00E14EE6">
            <w:pPr>
              <w:jc w:val="right"/>
              <w:rPr>
                <w:rFonts w:eastAsia="Times New Roman" w:cs="Calibri"/>
                <w:sz w:val="14"/>
                <w:szCs w:val="14"/>
              </w:rPr>
            </w:pPr>
            <w:r w:rsidRPr="00E14EE6">
              <w:rPr>
                <w:sz w:val="14"/>
              </w:rPr>
              <w:t>206.3</w:t>
            </w:r>
          </w:p>
        </w:tc>
      </w:tr>
      <w:tr w:rsidR="00CA7676" w:rsidRPr="00E14EE6" w14:paraId="6403AB14" w14:textId="77777777" w:rsidTr="00FD6B66">
        <w:trPr>
          <w:cnfStyle w:val="000000010000" w:firstRow="0" w:lastRow="0" w:firstColumn="0" w:lastColumn="0" w:oddVBand="0" w:evenVBand="0" w:oddHBand="0" w:evenHBand="1" w:firstRowFirstColumn="0" w:firstRowLastColumn="0" w:lastRowFirstColumn="0" w:lastRowLastColumn="0"/>
          <w:cantSplit/>
          <w:trHeight w:val="20"/>
        </w:trPr>
        <w:tc>
          <w:tcPr>
            <w:tcW w:w="1019" w:type="pct"/>
            <w:noWrap/>
            <w:hideMark/>
          </w:tcPr>
          <w:p w14:paraId="19F6C121" w14:textId="77777777" w:rsidR="00CA7676" w:rsidRPr="00E14EE6" w:rsidRDefault="00CA7676" w:rsidP="00E14EE6">
            <w:pPr>
              <w:jc w:val="left"/>
              <w:rPr>
                <w:rFonts w:eastAsia="Times New Roman" w:cs="Calibri"/>
                <w:sz w:val="14"/>
                <w:szCs w:val="14"/>
              </w:rPr>
            </w:pPr>
            <w:r w:rsidRPr="00E14EE6">
              <w:rPr>
                <w:sz w:val="14"/>
              </w:rPr>
              <w:t>Reserve assets</w:t>
            </w:r>
          </w:p>
        </w:tc>
        <w:tc>
          <w:tcPr>
            <w:tcW w:w="497" w:type="pct"/>
            <w:noWrap/>
            <w:hideMark/>
          </w:tcPr>
          <w:p w14:paraId="2A5BBCD9" w14:textId="77777777" w:rsidR="00CA7676" w:rsidRPr="00E14EE6" w:rsidRDefault="00CA7676" w:rsidP="00E14EE6">
            <w:pPr>
              <w:jc w:val="right"/>
              <w:rPr>
                <w:rFonts w:eastAsia="Times New Roman" w:cs="Calibri"/>
                <w:sz w:val="14"/>
                <w:szCs w:val="14"/>
              </w:rPr>
            </w:pPr>
            <w:r w:rsidRPr="00E14EE6">
              <w:rPr>
                <w:sz w:val="14"/>
              </w:rPr>
              <w:t>0.0</w:t>
            </w:r>
          </w:p>
        </w:tc>
        <w:tc>
          <w:tcPr>
            <w:tcW w:w="497" w:type="pct"/>
            <w:noWrap/>
            <w:hideMark/>
          </w:tcPr>
          <w:p w14:paraId="1C6898F9" w14:textId="77777777" w:rsidR="00CA7676" w:rsidRPr="00E14EE6" w:rsidRDefault="00CA7676" w:rsidP="00E14EE6">
            <w:pPr>
              <w:jc w:val="right"/>
              <w:rPr>
                <w:rFonts w:eastAsia="Times New Roman" w:cs="Calibri"/>
                <w:sz w:val="14"/>
                <w:szCs w:val="14"/>
              </w:rPr>
            </w:pPr>
            <w:r w:rsidRPr="00E14EE6">
              <w:rPr>
                <w:sz w:val="14"/>
              </w:rPr>
              <w:t>0.0</w:t>
            </w:r>
          </w:p>
        </w:tc>
        <w:tc>
          <w:tcPr>
            <w:tcW w:w="499" w:type="pct"/>
            <w:noWrap/>
            <w:hideMark/>
          </w:tcPr>
          <w:p w14:paraId="73C140BA" w14:textId="77777777" w:rsidR="00CA7676" w:rsidRPr="00E14EE6" w:rsidRDefault="00CA7676" w:rsidP="00E14EE6">
            <w:pPr>
              <w:jc w:val="right"/>
              <w:rPr>
                <w:rFonts w:eastAsia="Times New Roman" w:cs="Calibri"/>
                <w:sz w:val="14"/>
                <w:szCs w:val="14"/>
              </w:rPr>
            </w:pPr>
            <w:r w:rsidRPr="00E14EE6">
              <w:rPr>
                <w:sz w:val="14"/>
              </w:rPr>
              <w:t>0.0</w:t>
            </w:r>
          </w:p>
        </w:tc>
        <w:tc>
          <w:tcPr>
            <w:tcW w:w="497" w:type="pct"/>
            <w:noWrap/>
            <w:hideMark/>
          </w:tcPr>
          <w:p w14:paraId="57DD0938" w14:textId="77777777" w:rsidR="00CA7676" w:rsidRPr="00E14EE6" w:rsidRDefault="00CA7676" w:rsidP="00E14EE6">
            <w:pPr>
              <w:jc w:val="right"/>
              <w:rPr>
                <w:rFonts w:eastAsia="Times New Roman" w:cs="Calibri"/>
                <w:sz w:val="14"/>
                <w:szCs w:val="14"/>
              </w:rPr>
            </w:pPr>
            <w:r w:rsidRPr="00E14EE6">
              <w:rPr>
                <w:sz w:val="14"/>
              </w:rPr>
              <w:t>0.0</w:t>
            </w:r>
          </w:p>
        </w:tc>
        <w:tc>
          <w:tcPr>
            <w:tcW w:w="497" w:type="pct"/>
            <w:noWrap/>
            <w:hideMark/>
          </w:tcPr>
          <w:p w14:paraId="55B787AD" w14:textId="77777777" w:rsidR="00CA7676" w:rsidRPr="00E14EE6" w:rsidRDefault="00CA7676" w:rsidP="00E14EE6">
            <w:pPr>
              <w:jc w:val="right"/>
              <w:rPr>
                <w:rFonts w:eastAsia="Times New Roman" w:cs="Calibri"/>
                <w:color w:val="000000"/>
                <w:sz w:val="14"/>
                <w:szCs w:val="14"/>
              </w:rPr>
            </w:pPr>
            <w:r w:rsidRPr="00E14EE6">
              <w:rPr>
                <w:sz w:val="14"/>
              </w:rPr>
              <w:t>121.1</w:t>
            </w:r>
          </w:p>
        </w:tc>
        <w:tc>
          <w:tcPr>
            <w:tcW w:w="498" w:type="pct"/>
            <w:noWrap/>
            <w:hideMark/>
          </w:tcPr>
          <w:p w14:paraId="7CDCEBFC" w14:textId="77777777" w:rsidR="00CA7676" w:rsidRPr="00E14EE6" w:rsidRDefault="00CA7676" w:rsidP="00E14EE6">
            <w:pPr>
              <w:jc w:val="right"/>
              <w:rPr>
                <w:rFonts w:eastAsia="Times New Roman" w:cs="Calibri"/>
                <w:color w:val="000000"/>
                <w:sz w:val="14"/>
                <w:szCs w:val="14"/>
              </w:rPr>
            </w:pPr>
            <w:r w:rsidRPr="00E14EE6">
              <w:rPr>
                <w:sz w:val="14"/>
              </w:rPr>
              <w:t>165.4</w:t>
            </w:r>
          </w:p>
        </w:tc>
        <w:tc>
          <w:tcPr>
            <w:tcW w:w="497" w:type="pct"/>
            <w:noWrap/>
            <w:hideMark/>
          </w:tcPr>
          <w:p w14:paraId="42561137" w14:textId="77777777" w:rsidR="00CA7676" w:rsidRPr="00E14EE6" w:rsidRDefault="00CA7676" w:rsidP="00E14EE6">
            <w:pPr>
              <w:jc w:val="right"/>
              <w:rPr>
                <w:rFonts w:eastAsia="Times New Roman" w:cs="Calibri"/>
                <w:color w:val="000000"/>
                <w:sz w:val="14"/>
                <w:szCs w:val="14"/>
              </w:rPr>
            </w:pPr>
            <w:r w:rsidRPr="00E14EE6">
              <w:rPr>
                <w:sz w:val="14"/>
              </w:rPr>
              <w:t>128.1</w:t>
            </w:r>
          </w:p>
        </w:tc>
        <w:tc>
          <w:tcPr>
            <w:tcW w:w="498" w:type="pct"/>
            <w:noWrap/>
            <w:hideMark/>
          </w:tcPr>
          <w:p w14:paraId="7ADF4FC1" w14:textId="77777777" w:rsidR="00CA7676" w:rsidRPr="00E14EE6" w:rsidRDefault="00CA7676" w:rsidP="00E14EE6">
            <w:pPr>
              <w:jc w:val="right"/>
              <w:rPr>
                <w:rFonts w:eastAsia="Times New Roman" w:cs="Calibri"/>
                <w:sz w:val="14"/>
                <w:szCs w:val="14"/>
              </w:rPr>
            </w:pPr>
            <w:r w:rsidRPr="00E14EE6">
              <w:rPr>
                <w:sz w:val="14"/>
              </w:rPr>
              <w:t>41.1</w:t>
            </w:r>
          </w:p>
        </w:tc>
      </w:tr>
      <w:tr w:rsidR="00CA7676" w:rsidRPr="00E14EE6" w14:paraId="78AF4D3C" w14:textId="77777777" w:rsidTr="00FD6B66">
        <w:trPr>
          <w:cantSplit/>
          <w:trHeight w:val="20"/>
        </w:trPr>
        <w:tc>
          <w:tcPr>
            <w:tcW w:w="1019" w:type="pct"/>
            <w:noWrap/>
            <w:hideMark/>
          </w:tcPr>
          <w:p w14:paraId="7BC703CA" w14:textId="77777777" w:rsidR="00CA7676" w:rsidRPr="00E14EE6" w:rsidRDefault="00CA7676" w:rsidP="00E14EE6">
            <w:pPr>
              <w:ind w:left="170"/>
              <w:jc w:val="left"/>
              <w:rPr>
                <w:rFonts w:eastAsia="Times New Roman" w:cs="Calibri"/>
                <w:sz w:val="14"/>
                <w:szCs w:val="14"/>
              </w:rPr>
            </w:pPr>
            <w:r w:rsidRPr="00E14EE6">
              <w:rPr>
                <w:sz w:val="14"/>
              </w:rPr>
              <w:t>Credit</w:t>
            </w:r>
          </w:p>
        </w:tc>
        <w:tc>
          <w:tcPr>
            <w:tcW w:w="497" w:type="pct"/>
            <w:noWrap/>
            <w:hideMark/>
          </w:tcPr>
          <w:p w14:paraId="1CE9614F" w14:textId="77777777" w:rsidR="00CA7676" w:rsidRPr="00E14EE6" w:rsidRDefault="00CA7676" w:rsidP="00E14EE6">
            <w:pPr>
              <w:jc w:val="right"/>
              <w:rPr>
                <w:rFonts w:eastAsia="Times New Roman" w:cs="Calibri"/>
                <w:sz w:val="14"/>
                <w:szCs w:val="14"/>
              </w:rPr>
            </w:pPr>
            <w:r w:rsidRPr="00E14EE6">
              <w:rPr>
                <w:sz w:val="14"/>
              </w:rPr>
              <w:t>0.0</w:t>
            </w:r>
          </w:p>
        </w:tc>
        <w:tc>
          <w:tcPr>
            <w:tcW w:w="497" w:type="pct"/>
            <w:noWrap/>
            <w:hideMark/>
          </w:tcPr>
          <w:p w14:paraId="4046D02B" w14:textId="77777777" w:rsidR="00CA7676" w:rsidRPr="00E14EE6" w:rsidRDefault="00CA7676" w:rsidP="00E14EE6">
            <w:pPr>
              <w:jc w:val="right"/>
              <w:rPr>
                <w:rFonts w:eastAsia="Times New Roman" w:cs="Calibri"/>
                <w:sz w:val="14"/>
                <w:szCs w:val="14"/>
              </w:rPr>
            </w:pPr>
            <w:r w:rsidRPr="00E14EE6">
              <w:rPr>
                <w:sz w:val="14"/>
              </w:rPr>
              <w:t>0.0</w:t>
            </w:r>
          </w:p>
        </w:tc>
        <w:tc>
          <w:tcPr>
            <w:tcW w:w="499" w:type="pct"/>
            <w:noWrap/>
            <w:hideMark/>
          </w:tcPr>
          <w:p w14:paraId="77ACCB7F" w14:textId="77777777" w:rsidR="00CA7676" w:rsidRPr="00E14EE6" w:rsidRDefault="00CA7676" w:rsidP="00E14EE6">
            <w:pPr>
              <w:jc w:val="right"/>
              <w:rPr>
                <w:rFonts w:eastAsia="Times New Roman" w:cs="Calibri"/>
                <w:sz w:val="14"/>
                <w:szCs w:val="14"/>
              </w:rPr>
            </w:pPr>
            <w:r w:rsidRPr="00E14EE6">
              <w:rPr>
                <w:sz w:val="14"/>
              </w:rPr>
              <w:t>0.0</w:t>
            </w:r>
          </w:p>
        </w:tc>
        <w:tc>
          <w:tcPr>
            <w:tcW w:w="497" w:type="pct"/>
            <w:noWrap/>
            <w:hideMark/>
          </w:tcPr>
          <w:p w14:paraId="3B07CB16" w14:textId="77777777" w:rsidR="00CA7676" w:rsidRPr="00E14EE6" w:rsidRDefault="00CA7676" w:rsidP="00E14EE6">
            <w:pPr>
              <w:jc w:val="right"/>
              <w:rPr>
                <w:rFonts w:eastAsia="Times New Roman" w:cs="Calibri"/>
                <w:sz w:val="14"/>
                <w:szCs w:val="14"/>
              </w:rPr>
            </w:pPr>
            <w:r w:rsidRPr="00E14EE6">
              <w:rPr>
                <w:sz w:val="14"/>
              </w:rPr>
              <w:t>0.0</w:t>
            </w:r>
          </w:p>
        </w:tc>
        <w:tc>
          <w:tcPr>
            <w:tcW w:w="497" w:type="pct"/>
            <w:noWrap/>
            <w:hideMark/>
          </w:tcPr>
          <w:p w14:paraId="3506DFE3" w14:textId="77777777" w:rsidR="00CA7676" w:rsidRPr="00E14EE6" w:rsidRDefault="00CA7676" w:rsidP="00E14EE6">
            <w:pPr>
              <w:jc w:val="right"/>
              <w:rPr>
                <w:rFonts w:eastAsia="Times New Roman" w:cs="Calibri"/>
                <w:sz w:val="14"/>
                <w:szCs w:val="14"/>
              </w:rPr>
            </w:pPr>
            <w:r w:rsidRPr="00E14EE6">
              <w:rPr>
                <w:sz w:val="14"/>
              </w:rPr>
              <w:t>121.1</w:t>
            </w:r>
          </w:p>
        </w:tc>
        <w:tc>
          <w:tcPr>
            <w:tcW w:w="498" w:type="pct"/>
            <w:noWrap/>
            <w:hideMark/>
          </w:tcPr>
          <w:p w14:paraId="63C7D996" w14:textId="77777777" w:rsidR="00CA7676" w:rsidRPr="00E14EE6" w:rsidRDefault="00CA7676" w:rsidP="00E14EE6">
            <w:pPr>
              <w:jc w:val="right"/>
              <w:rPr>
                <w:rFonts w:eastAsia="Times New Roman" w:cs="Calibri"/>
                <w:sz w:val="14"/>
                <w:szCs w:val="14"/>
              </w:rPr>
            </w:pPr>
            <w:r w:rsidRPr="00E14EE6">
              <w:rPr>
                <w:sz w:val="14"/>
              </w:rPr>
              <w:t>165.4</w:t>
            </w:r>
          </w:p>
        </w:tc>
        <w:tc>
          <w:tcPr>
            <w:tcW w:w="497" w:type="pct"/>
            <w:noWrap/>
            <w:hideMark/>
          </w:tcPr>
          <w:p w14:paraId="04F32C55" w14:textId="77777777" w:rsidR="00CA7676" w:rsidRPr="00E14EE6" w:rsidRDefault="00CA7676" w:rsidP="00E14EE6">
            <w:pPr>
              <w:jc w:val="right"/>
              <w:rPr>
                <w:rFonts w:eastAsia="Times New Roman" w:cs="Calibri"/>
                <w:sz w:val="14"/>
                <w:szCs w:val="14"/>
              </w:rPr>
            </w:pPr>
            <w:r w:rsidRPr="00E14EE6">
              <w:rPr>
                <w:sz w:val="14"/>
              </w:rPr>
              <w:t>128.1</w:t>
            </w:r>
          </w:p>
        </w:tc>
        <w:tc>
          <w:tcPr>
            <w:tcW w:w="498" w:type="pct"/>
            <w:noWrap/>
            <w:hideMark/>
          </w:tcPr>
          <w:p w14:paraId="7FF86E60" w14:textId="77777777" w:rsidR="00CA7676" w:rsidRPr="00E14EE6" w:rsidRDefault="00CA7676" w:rsidP="00E14EE6">
            <w:pPr>
              <w:jc w:val="right"/>
              <w:rPr>
                <w:rFonts w:eastAsia="Times New Roman" w:cs="Calibri"/>
                <w:sz w:val="14"/>
                <w:szCs w:val="14"/>
              </w:rPr>
            </w:pPr>
            <w:r w:rsidRPr="00E14EE6">
              <w:rPr>
                <w:sz w:val="14"/>
              </w:rPr>
              <w:t>41.1</w:t>
            </w:r>
          </w:p>
        </w:tc>
      </w:tr>
      <w:tr w:rsidR="00CA7676" w:rsidRPr="00E14EE6" w14:paraId="55BB6F7C" w14:textId="77777777" w:rsidTr="00FD6B66">
        <w:trPr>
          <w:cnfStyle w:val="000000010000" w:firstRow="0" w:lastRow="0" w:firstColumn="0" w:lastColumn="0" w:oddVBand="0" w:evenVBand="0" w:oddHBand="0" w:evenHBand="1" w:firstRowFirstColumn="0" w:firstRowLastColumn="0" w:lastRowFirstColumn="0" w:lastRowLastColumn="0"/>
          <w:cantSplit/>
          <w:trHeight w:val="20"/>
        </w:trPr>
        <w:tc>
          <w:tcPr>
            <w:tcW w:w="1019" w:type="pct"/>
            <w:noWrap/>
            <w:hideMark/>
          </w:tcPr>
          <w:p w14:paraId="7832FA71" w14:textId="77777777" w:rsidR="00CA7676" w:rsidRPr="00E14EE6" w:rsidRDefault="00CA7676" w:rsidP="00E14EE6">
            <w:pPr>
              <w:ind w:left="170"/>
              <w:jc w:val="left"/>
              <w:rPr>
                <w:rFonts w:eastAsia="Times New Roman" w:cs="Calibri"/>
                <w:sz w:val="14"/>
                <w:szCs w:val="14"/>
              </w:rPr>
            </w:pPr>
            <w:r w:rsidRPr="00E14EE6">
              <w:rPr>
                <w:sz w:val="14"/>
              </w:rPr>
              <w:t>Debit</w:t>
            </w:r>
          </w:p>
        </w:tc>
        <w:tc>
          <w:tcPr>
            <w:tcW w:w="497" w:type="pct"/>
            <w:noWrap/>
            <w:hideMark/>
          </w:tcPr>
          <w:p w14:paraId="56BEC6CC" w14:textId="77777777" w:rsidR="00CA7676" w:rsidRPr="00E14EE6" w:rsidRDefault="00CA7676" w:rsidP="00E14EE6">
            <w:pPr>
              <w:jc w:val="right"/>
              <w:rPr>
                <w:rFonts w:eastAsia="Times New Roman" w:cs="Calibri"/>
                <w:sz w:val="14"/>
                <w:szCs w:val="14"/>
              </w:rPr>
            </w:pPr>
            <w:r w:rsidRPr="00E14EE6">
              <w:rPr>
                <w:sz w:val="14"/>
              </w:rPr>
              <w:t>0.0</w:t>
            </w:r>
          </w:p>
        </w:tc>
        <w:tc>
          <w:tcPr>
            <w:tcW w:w="497" w:type="pct"/>
            <w:noWrap/>
            <w:hideMark/>
          </w:tcPr>
          <w:p w14:paraId="6FDD62CA" w14:textId="77777777" w:rsidR="00CA7676" w:rsidRPr="00E14EE6" w:rsidRDefault="00CA7676" w:rsidP="00E14EE6">
            <w:pPr>
              <w:jc w:val="right"/>
              <w:rPr>
                <w:rFonts w:eastAsia="Times New Roman" w:cs="Calibri"/>
                <w:sz w:val="14"/>
                <w:szCs w:val="14"/>
              </w:rPr>
            </w:pPr>
            <w:r w:rsidRPr="00E14EE6">
              <w:rPr>
                <w:sz w:val="14"/>
              </w:rPr>
              <w:t>0.0</w:t>
            </w:r>
          </w:p>
        </w:tc>
        <w:tc>
          <w:tcPr>
            <w:tcW w:w="499" w:type="pct"/>
            <w:noWrap/>
            <w:hideMark/>
          </w:tcPr>
          <w:p w14:paraId="1B23C1B1" w14:textId="77777777" w:rsidR="00CA7676" w:rsidRPr="00E14EE6" w:rsidRDefault="00CA7676" w:rsidP="00E14EE6">
            <w:pPr>
              <w:jc w:val="right"/>
              <w:rPr>
                <w:rFonts w:eastAsia="Times New Roman" w:cs="Calibri"/>
                <w:sz w:val="14"/>
                <w:szCs w:val="14"/>
              </w:rPr>
            </w:pPr>
            <w:r w:rsidRPr="00E14EE6">
              <w:rPr>
                <w:sz w:val="14"/>
              </w:rPr>
              <w:t>0.0</w:t>
            </w:r>
          </w:p>
        </w:tc>
        <w:tc>
          <w:tcPr>
            <w:tcW w:w="497" w:type="pct"/>
            <w:noWrap/>
            <w:hideMark/>
          </w:tcPr>
          <w:p w14:paraId="45CA62C4" w14:textId="77777777" w:rsidR="00CA7676" w:rsidRPr="00E14EE6" w:rsidRDefault="00CA7676" w:rsidP="00E14EE6">
            <w:pPr>
              <w:jc w:val="right"/>
              <w:rPr>
                <w:rFonts w:eastAsia="Times New Roman" w:cs="Calibri"/>
                <w:sz w:val="14"/>
                <w:szCs w:val="14"/>
              </w:rPr>
            </w:pPr>
            <w:r w:rsidRPr="00E14EE6">
              <w:rPr>
                <w:sz w:val="14"/>
              </w:rPr>
              <w:t>0.0</w:t>
            </w:r>
          </w:p>
        </w:tc>
        <w:tc>
          <w:tcPr>
            <w:tcW w:w="497" w:type="pct"/>
            <w:noWrap/>
            <w:hideMark/>
          </w:tcPr>
          <w:p w14:paraId="003BCD47" w14:textId="77777777" w:rsidR="00CA7676" w:rsidRPr="00E14EE6" w:rsidRDefault="00CA7676" w:rsidP="00E14EE6">
            <w:pPr>
              <w:jc w:val="right"/>
              <w:rPr>
                <w:rFonts w:eastAsia="Times New Roman" w:cs="Calibri"/>
                <w:sz w:val="14"/>
                <w:szCs w:val="14"/>
              </w:rPr>
            </w:pPr>
            <w:r w:rsidRPr="00E14EE6">
              <w:rPr>
                <w:sz w:val="14"/>
              </w:rPr>
              <w:t>0.0</w:t>
            </w:r>
          </w:p>
        </w:tc>
        <w:tc>
          <w:tcPr>
            <w:tcW w:w="498" w:type="pct"/>
            <w:noWrap/>
            <w:hideMark/>
          </w:tcPr>
          <w:p w14:paraId="113EC8A1" w14:textId="77777777" w:rsidR="00CA7676" w:rsidRPr="00E14EE6" w:rsidRDefault="00CA7676" w:rsidP="00E14EE6">
            <w:pPr>
              <w:jc w:val="right"/>
              <w:rPr>
                <w:rFonts w:eastAsia="Times New Roman" w:cs="Calibri"/>
                <w:sz w:val="14"/>
                <w:szCs w:val="14"/>
              </w:rPr>
            </w:pPr>
            <w:r w:rsidRPr="00E14EE6">
              <w:rPr>
                <w:sz w:val="14"/>
              </w:rPr>
              <w:t>0.0</w:t>
            </w:r>
          </w:p>
        </w:tc>
        <w:tc>
          <w:tcPr>
            <w:tcW w:w="497" w:type="pct"/>
            <w:noWrap/>
            <w:hideMark/>
          </w:tcPr>
          <w:p w14:paraId="30A385EF" w14:textId="77777777" w:rsidR="00CA7676" w:rsidRPr="00E14EE6" w:rsidRDefault="00CA7676" w:rsidP="00E14EE6">
            <w:pPr>
              <w:jc w:val="right"/>
              <w:rPr>
                <w:rFonts w:eastAsia="Times New Roman" w:cs="Calibri"/>
                <w:sz w:val="14"/>
                <w:szCs w:val="14"/>
              </w:rPr>
            </w:pPr>
            <w:r w:rsidRPr="00E14EE6">
              <w:rPr>
                <w:sz w:val="14"/>
              </w:rPr>
              <w:t>0.0</w:t>
            </w:r>
          </w:p>
        </w:tc>
        <w:tc>
          <w:tcPr>
            <w:tcW w:w="498" w:type="pct"/>
            <w:noWrap/>
            <w:hideMark/>
          </w:tcPr>
          <w:p w14:paraId="0C55E193" w14:textId="77777777" w:rsidR="00CA7676" w:rsidRPr="00E14EE6" w:rsidRDefault="00CA7676" w:rsidP="00E14EE6">
            <w:pPr>
              <w:jc w:val="right"/>
              <w:rPr>
                <w:rFonts w:eastAsia="Times New Roman" w:cs="Calibri"/>
                <w:sz w:val="14"/>
                <w:szCs w:val="14"/>
              </w:rPr>
            </w:pPr>
            <w:r w:rsidRPr="00E14EE6">
              <w:rPr>
                <w:sz w:val="14"/>
              </w:rPr>
              <w:t>0.0</w:t>
            </w:r>
          </w:p>
        </w:tc>
      </w:tr>
      <w:tr w:rsidR="00CA7676" w:rsidRPr="00E14EE6" w14:paraId="5773186F" w14:textId="77777777" w:rsidTr="00FD6B66">
        <w:trPr>
          <w:cantSplit/>
          <w:trHeight w:val="20"/>
        </w:trPr>
        <w:tc>
          <w:tcPr>
            <w:tcW w:w="1019" w:type="pct"/>
            <w:noWrap/>
            <w:hideMark/>
          </w:tcPr>
          <w:p w14:paraId="12B0D2E6" w14:textId="77777777" w:rsidR="00CA7676" w:rsidRPr="00E14EE6" w:rsidRDefault="00CA7676" w:rsidP="00E14EE6">
            <w:pPr>
              <w:tabs>
                <w:tab w:val="left" w:pos="1414"/>
              </w:tabs>
              <w:jc w:val="left"/>
              <w:rPr>
                <w:rFonts w:eastAsia="Times New Roman" w:cs="Calibri"/>
                <w:b/>
                <w:bCs/>
                <w:color w:val="000000"/>
                <w:sz w:val="14"/>
                <w:szCs w:val="14"/>
              </w:rPr>
            </w:pPr>
            <w:r w:rsidRPr="00E14EE6">
              <w:rPr>
                <w:b/>
                <w:sz w:val="14"/>
              </w:rPr>
              <w:t>1.3 Secondary income</w:t>
            </w:r>
          </w:p>
        </w:tc>
        <w:tc>
          <w:tcPr>
            <w:tcW w:w="497" w:type="pct"/>
            <w:noWrap/>
            <w:hideMark/>
          </w:tcPr>
          <w:p w14:paraId="249775C8" w14:textId="77777777" w:rsidR="00CA7676" w:rsidRPr="00E14EE6" w:rsidRDefault="00CA7676" w:rsidP="00E14EE6">
            <w:pPr>
              <w:jc w:val="right"/>
              <w:rPr>
                <w:rFonts w:eastAsia="Times New Roman" w:cs="Calibri"/>
                <w:b/>
                <w:bCs/>
                <w:color w:val="000000"/>
                <w:sz w:val="14"/>
                <w:szCs w:val="14"/>
              </w:rPr>
            </w:pPr>
            <w:r w:rsidRPr="00E14EE6">
              <w:rPr>
                <w:b/>
                <w:sz w:val="14"/>
              </w:rPr>
              <w:t>4,367.5</w:t>
            </w:r>
          </w:p>
        </w:tc>
        <w:tc>
          <w:tcPr>
            <w:tcW w:w="497" w:type="pct"/>
            <w:noWrap/>
            <w:hideMark/>
          </w:tcPr>
          <w:p w14:paraId="618E4448" w14:textId="77777777" w:rsidR="00CA7676" w:rsidRPr="00E14EE6" w:rsidRDefault="00CA7676" w:rsidP="00E14EE6">
            <w:pPr>
              <w:jc w:val="right"/>
              <w:rPr>
                <w:rFonts w:eastAsia="Times New Roman" w:cs="Calibri"/>
                <w:b/>
                <w:bCs/>
                <w:color w:val="000000"/>
                <w:sz w:val="14"/>
                <w:szCs w:val="14"/>
              </w:rPr>
            </w:pPr>
            <w:r w:rsidRPr="00E14EE6">
              <w:rPr>
                <w:b/>
                <w:sz w:val="14"/>
              </w:rPr>
              <w:t>4,753.0</w:t>
            </w:r>
          </w:p>
        </w:tc>
        <w:tc>
          <w:tcPr>
            <w:tcW w:w="499" w:type="pct"/>
            <w:noWrap/>
            <w:hideMark/>
          </w:tcPr>
          <w:p w14:paraId="29DE7B10" w14:textId="77777777" w:rsidR="00CA7676" w:rsidRPr="00E14EE6" w:rsidRDefault="00CA7676" w:rsidP="00E14EE6">
            <w:pPr>
              <w:jc w:val="right"/>
              <w:rPr>
                <w:rFonts w:eastAsia="Times New Roman" w:cs="Calibri"/>
                <w:b/>
                <w:bCs/>
                <w:color w:val="000000"/>
                <w:sz w:val="14"/>
                <w:szCs w:val="14"/>
              </w:rPr>
            </w:pPr>
            <w:r w:rsidRPr="00E14EE6">
              <w:rPr>
                <w:b/>
                <w:sz w:val="14"/>
              </w:rPr>
              <w:t>5,057.8</w:t>
            </w:r>
          </w:p>
        </w:tc>
        <w:tc>
          <w:tcPr>
            <w:tcW w:w="497" w:type="pct"/>
            <w:noWrap/>
            <w:hideMark/>
          </w:tcPr>
          <w:p w14:paraId="5723E6C8" w14:textId="77777777" w:rsidR="00CA7676" w:rsidRPr="00E14EE6" w:rsidRDefault="00CA7676" w:rsidP="00E14EE6">
            <w:pPr>
              <w:jc w:val="right"/>
              <w:rPr>
                <w:rFonts w:eastAsia="Times New Roman" w:cs="Calibri"/>
                <w:b/>
                <w:bCs/>
                <w:color w:val="000000"/>
                <w:sz w:val="14"/>
                <w:szCs w:val="14"/>
              </w:rPr>
            </w:pPr>
            <w:r w:rsidRPr="00E14EE6">
              <w:rPr>
                <w:b/>
                <w:sz w:val="14"/>
              </w:rPr>
              <w:t>5,710.6</w:t>
            </w:r>
          </w:p>
        </w:tc>
        <w:tc>
          <w:tcPr>
            <w:tcW w:w="497" w:type="pct"/>
            <w:noWrap/>
            <w:hideMark/>
          </w:tcPr>
          <w:p w14:paraId="17597BEC" w14:textId="77777777" w:rsidR="00CA7676" w:rsidRPr="00E14EE6" w:rsidRDefault="00CA7676" w:rsidP="00E14EE6">
            <w:pPr>
              <w:jc w:val="right"/>
              <w:rPr>
                <w:rFonts w:eastAsia="Times New Roman" w:cs="Calibri"/>
                <w:b/>
                <w:bCs/>
                <w:color w:val="000000"/>
                <w:sz w:val="14"/>
                <w:szCs w:val="14"/>
              </w:rPr>
            </w:pPr>
            <w:r w:rsidRPr="00E14EE6">
              <w:rPr>
                <w:b/>
                <w:sz w:val="14"/>
              </w:rPr>
              <w:t>6,432.9</w:t>
            </w:r>
          </w:p>
        </w:tc>
        <w:tc>
          <w:tcPr>
            <w:tcW w:w="498" w:type="pct"/>
            <w:noWrap/>
            <w:hideMark/>
          </w:tcPr>
          <w:p w14:paraId="5EF3CA79" w14:textId="77777777" w:rsidR="00CA7676" w:rsidRPr="00E14EE6" w:rsidRDefault="00CA7676" w:rsidP="00E14EE6">
            <w:pPr>
              <w:jc w:val="right"/>
              <w:rPr>
                <w:rFonts w:eastAsia="Times New Roman" w:cs="Calibri"/>
                <w:b/>
                <w:bCs/>
                <w:color w:val="000000"/>
                <w:sz w:val="14"/>
                <w:szCs w:val="14"/>
              </w:rPr>
            </w:pPr>
            <w:r w:rsidRPr="00E14EE6">
              <w:rPr>
                <w:b/>
                <w:sz w:val="14"/>
              </w:rPr>
              <w:t>6,897.8</w:t>
            </w:r>
          </w:p>
        </w:tc>
        <w:tc>
          <w:tcPr>
            <w:tcW w:w="497" w:type="pct"/>
            <w:noWrap/>
            <w:hideMark/>
          </w:tcPr>
          <w:p w14:paraId="49AB7792" w14:textId="77777777" w:rsidR="00CA7676" w:rsidRPr="00E14EE6" w:rsidRDefault="00CA7676" w:rsidP="00E14EE6">
            <w:pPr>
              <w:jc w:val="right"/>
              <w:rPr>
                <w:rFonts w:eastAsia="Times New Roman" w:cs="Calibri"/>
                <w:b/>
                <w:bCs/>
                <w:color w:val="000000"/>
                <w:sz w:val="14"/>
                <w:szCs w:val="14"/>
              </w:rPr>
            </w:pPr>
            <w:r w:rsidRPr="00E14EE6">
              <w:rPr>
                <w:b/>
                <w:sz w:val="14"/>
              </w:rPr>
              <w:t>7,900.2</w:t>
            </w:r>
          </w:p>
        </w:tc>
        <w:tc>
          <w:tcPr>
            <w:tcW w:w="498" w:type="pct"/>
            <w:noWrap/>
            <w:hideMark/>
          </w:tcPr>
          <w:p w14:paraId="5217004B" w14:textId="77777777" w:rsidR="00CA7676" w:rsidRPr="00E14EE6" w:rsidRDefault="00CA7676" w:rsidP="00E14EE6">
            <w:pPr>
              <w:jc w:val="right"/>
              <w:rPr>
                <w:rFonts w:eastAsia="Times New Roman" w:cs="Calibri"/>
                <w:b/>
                <w:bCs/>
                <w:sz w:val="13"/>
                <w:szCs w:val="13"/>
              </w:rPr>
            </w:pPr>
            <w:r w:rsidRPr="00E14EE6">
              <w:rPr>
                <w:b/>
                <w:sz w:val="13"/>
              </w:rPr>
              <w:t>10,049.8</w:t>
            </w:r>
          </w:p>
        </w:tc>
      </w:tr>
      <w:tr w:rsidR="00CA7676" w:rsidRPr="00E14EE6" w14:paraId="757D93E4" w14:textId="77777777" w:rsidTr="00FD6B66">
        <w:trPr>
          <w:cnfStyle w:val="000000010000" w:firstRow="0" w:lastRow="0" w:firstColumn="0" w:lastColumn="0" w:oddVBand="0" w:evenVBand="0" w:oddHBand="0" w:evenHBand="1" w:firstRowFirstColumn="0" w:firstRowLastColumn="0" w:lastRowFirstColumn="0" w:lastRowLastColumn="0"/>
          <w:cantSplit/>
          <w:trHeight w:val="20"/>
        </w:trPr>
        <w:tc>
          <w:tcPr>
            <w:tcW w:w="1019" w:type="pct"/>
            <w:noWrap/>
            <w:hideMark/>
          </w:tcPr>
          <w:p w14:paraId="757D3655" w14:textId="77777777" w:rsidR="00CA7676" w:rsidRPr="00E14EE6" w:rsidRDefault="00CA7676" w:rsidP="00E14EE6">
            <w:pPr>
              <w:ind w:left="170"/>
              <w:jc w:val="left"/>
              <w:rPr>
                <w:rFonts w:eastAsia="Times New Roman" w:cs="Calibri"/>
                <w:color w:val="000000"/>
                <w:sz w:val="14"/>
                <w:szCs w:val="14"/>
              </w:rPr>
            </w:pPr>
            <w:r w:rsidRPr="00E14EE6">
              <w:rPr>
                <w:sz w:val="14"/>
              </w:rPr>
              <w:t>Credit</w:t>
            </w:r>
          </w:p>
        </w:tc>
        <w:tc>
          <w:tcPr>
            <w:tcW w:w="497" w:type="pct"/>
            <w:noWrap/>
            <w:hideMark/>
          </w:tcPr>
          <w:p w14:paraId="5F9A5D2D" w14:textId="77777777" w:rsidR="00CA7676" w:rsidRPr="00E14EE6" w:rsidRDefault="00CA7676" w:rsidP="00E14EE6">
            <w:pPr>
              <w:jc w:val="right"/>
              <w:rPr>
                <w:rFonts w:eastAsia="Times New Roman" w:cs="Calibri"/>
                <w:color w:val="000000"/>
                <w:sz w:val="14"/>
                <w:szCs w:val="14"/>
              </w:rPr>
            </w:pPr>
            <w:r w:rsidRPr="00E14EE6">
              <w:rPr>
                <w:sz w:val="14"/>
              </w:rPr>
              <w:t>5,214.0</w:t>
            </w:r>
          </w:p>
        </w:tc>
        <w:tc>
          <w:tcPr>
            <w:tcW w:w="497" w:type="pct"/>
            <w:noWrap/>
            <w:hideMark/>
          </w:tcPr>
          <w:p w14:paraId="3FF582C1" w14:textId="77777777" w:rsidR="00CA7676" w:rsidRPr="00E14EE6" w:rsidRDefault="00CA7676" w:rsidP="00E14EE6">
            <w:pPr>
              <w:jc w:val="right"/>
              <w:rPr>
                <w:rFonts w:eastAsia="Times New Roman" w:cs="Calibri"/>
                <w:color w:val="000000"/>
                <w:sz w:val="14"/>
                <w:szCs w:val="14"/>
              </w:rPr>
            </w:pPr>
            <w:r w:rsidRPr="00E14EE6">
              <w:rPr>
                <w:sz w:val="14"/>
              </w:rPr>
              <w:t>5,621.4</w:t>
            </w:r>
          </w:p>
        </w:tc>
        <w:tc>
          <w:tcPr>
            <w:tcW w:w="499" w:type="pct"/>
            <w:noWrap/>
            <w:hideMark/>
          </w:tcPr>
          <w:p w14:paraId="48A6062C" w14:textId="77777777" w:rsidR="00CA7676" w:rsidRPr="00E14EE6" w:rsidRDefault="00CA7676" w:rsidP="00E14EE6">
            <w:pPr>
              <w:jc w:val="right"/>
              <w:rPr>
                <w:rFonts w:eastAsia="Times New Roman" w:cs="Calibri"/>
                <w:color w:val="000000"/>
                <w:sz w:val="14"/>
                <w:szCs w:val="14"/>
              </w:rPr>
            </w:pPr>
            <w:r w:rsidRPr="00E14EE6">
              <w:rPr>
                <w:sz w:val="14"/>
              </w:rPr>
              <w:t>5,969.0</w:t>
            </w:r>
          </w:p>
        </w:tc>
        <w:tc>
          <w:tcPr>
            <w:tcW w:w="497" w:type="pct"/>
            <w:noWrap/>
            <w:hideMark/>
          </w:tcPr>
          <w:p w14:paraId="24479A95" w14:textId="77777777" w:rsidR="00CA7676" w:rsidRPr="00E14EE6" w:rsidRDefault="00CA7676" w:rsidP="00E14EE6">
            <w:pPr>
              <w:jc w:val="right"/>
              <w:rPr>
                <w:rFonts w:eastAsia="Times New Roman" w:cs="Calibri"/>
                <w:color w:val="000000"/>
                <w:sz w:val="14"/>
                <w:szCs w:val="14"/>
              </w:rPr>
            </w:pPr>
            <w:r w:rsidRPr="00E14EE6">
              <w:rPr>
                <w:sz w:val="14"/>
              </w:rPr>
              <w:t>6,695.3</w:t>
            </w:r>
          </w:p>
        </w:tc>
        <w:tc>
          <w:tcPr>
            <w:tcW w:w="497" w:type="pct"/>
            <w:noWrap/>
            <w:hideMark/>
          </w:tcPr>
          <w:p w14:paraId="6A01FC60" w14:textId="77777777" w:rsidR="00CA7676" w:rsidRPr="00E14EE6" w:rsidRDefault="00CA7676" w:rsidP="00E14EE6">
            <w:pPr>
              <w:jc w:val="right"/>
              <w:rPr>
                <w:rFonts w:eastAsia="Times New Roman" w:cs="Calibri"/>
                <w:color w:val="000000"/>
                <w:sz w:val="14"/>
                <w:szCs w:val="14"/>
              </w:rPr>
            </w:pPr>
            <w:r w:rsidRPr="00E14EE6">
              <w:rPr>
                <w:sz w:val="14"/>
              </w:rPr>
              <w:t>7,343.9</w:t>
            </w:r>
          </w:p>
        </w:tc>
        <w:tc>
          <w:tcPr>
            <w:tcW w:w="498" w:type="pct"/>
            <w:noWrap/>
            <w:hideMark/>
          </w:tcPr>
          <w:p w14:paraId="693BDC31" w14:textId="77777777" w:rsidR="00CA7676" w:rsidRPr="00E14EE6" w:rsidRDefault="00CA7676" w:rsidP="00E14EE6">
            <w:pPr>
              <w:jc w:val="right"/>
              <w:rPr>
                <w:rFonts w:eastAsia="Times New Roman" w:cs="Calibri"/>
                <w:color w:val="000000"/>
                <w:sz w:val="14"/>
                <w:szCs w:val="14"/>
              </w:rPr>
            </w:pPr>
            <w:r w:rsidRPr="00E14EE6">
              <w:rPr>
                <w:sz w:val="14"/>
              </w:rPr>
              <w:t>7,908.7</w:t>
            </w:r>
          </w:p>
        </w:tc>
        <w:tc>
          <w:tcPr>
            <w:tcW w:w="497" w:type="pct"/>
            <w:noWrap/>
            <w:hideMark/>
          </w:tcPr>
          <w:p w14:paraId="387B4487" w14:textId="77777777" w:rsidR="00CA7676" w:rsidRPr="00E14EE6" w:rsidRDefault="00CA7676" w:rsidP="00E14EE6">
            <w:pPr>
              <w:jc w:val="right"/>
              <w:rPr>
                <w:rFonts w:eastAsia="Times New Roman" w:cs="Calibri"/>
                <w:color w:val="000000"/>
                <w:sz w:val="14"/>
                <w:szCs w:val="14"/>
              </w:rPr>
            </w:pPr>
            <w:r w:rsidRPr="00E14EE6">
              <w:rPr>
                <w:sz w:val="14"/>
              </w:rPr>
              <w:t>8,940.4</w:t>
            </w:r>
          </w:p>
        </w:tc>
        <w:tc>
          <w:tcPr>
            <w:tcW w:w="498" w:type="pct"/>
            <w:noWrap/>
            <w:hideMark/>
          </w:tcPr>
          <w:p w14:paraId="6C00CB21" w14:textId="77777777" w:rsidR="00CA7676" w:rsidRPr="00E14EE6" w:rsidRDefault="00CA7676" w:rsidP="00E14EE6">
            <w:pPr>
              <w:jc w:val="right"/>
              <w:rPr>
                <w:rFonts w:eastAsia="Times New Roman" w:cs="Calibri"/>
                <w:sz w:val="14"/>
                <w:szCs w:val="14"/>
              </w:rPr>
            </w:pPr>
            <w:r w:rsidRPr="00E14EE6">
              <w:rPr>
                <w:sz w:val="14"/>
              </w:rPr>
              <w:t>11,252.5</w:t>
            </w:r>
          </w:p>
        </w:tc>
      </w:tr>
      <w:tr w:rsidR="00CA7676" w:rsidRPr="00E14EE6" w14:paraId="0AC0864C" w14:textId="77777777" w:rsidTr="00FD6B66">
        <w:trPr>
          <w:cantSplit/>
          <w:trHeight w:val="20"/>
        </w:trPr>
        <w:tc>
          <w:tcPr>
            <w:tcW w:w="1019" w:type="pct"/>
            <w:noWrap/>
            <w:hideMark/>
          </w:tcPr>
          <w:p w14:paraId="6D9F8909" w14:textId="77777777" w:rsidR="00CA7676" w:rsidRPr="00E14EE6" w:rsidRDefault="00CA7676" w:rsidP="00E14EE6">
            <w:pPr>
              <w:jc w:val="left"/>
              <w:rPr>
                <w:rFonts w:eastAsia="Times New Roman" w:cs="Calibri"/>
                <w:sz w:val="14"/>
                <w:szCs w:val="14"/>
              </w:rPr>
            </w:pPr>
            <w:r w:rsidRPr="00E14EE6">
              <w:rPr>
                <w:sz w:val="14"/>
              </w:rPr>
              <w:t>Family remittances</w:t>
            </w:r>
          </w:p>
        </w:tc>
        <w:tc>
          <w:tcPr>
            <w:tcW w:w="497" w:type="pct"/>
            <w:noWrap/>
            <w:hideMark/>
          </w:tcPr>
          <w:p w14:paraId="1C591E2D" w14:textId="77777777" w:rsidR="00CA7676" w:rsidRPr="00E14EE6" w:rsidRDefault="00CA7676" w:rsidP="00E14EE6">
            <w:pPr>
              <w:jc w:val="right"/>
              <w:rPr>
                <w:rFonts w:eastAsia="Times New Roman" w:cs="Calibri"/>
                <w:sz w:val="14"/>
                <w:szCs w:val="14"/>
              </w:rPr>
            </w:pPr>
            <w:r w:rsidRPr="00E14EE6">
              <w:rPr>
                <w:sz w:val="14"/>
              </w:rPr>
              <w:t>4,571.2</w:t>
            </w:r>
          </w:p>
        </w:tc>
        <w:tc>
          <w:tcPr>
            <w:tcW w:w="497" w:type="pct"/>
            <w:noWrap/>
            <w:hideMark/>
          </w:tcPr>
          <w:p w14:paraId="21E75A39" w14:textId="77777777" w:rsidR="00CA7676" w:rsidRPr="00E14EE6" w:rsidRDefault="00CA7676" w:rsidP="00E14EE6">
            <w:pPr>
              <w:jc w:val="right"/>
              <w:rPr>
                <w:rFonts w:eastAsia="Times New Roman" w:cs="Calibri"/>
                <w:sz w:val="14"/>
                <w:szCs w:val="14"/>
              </w:rPr>
            </w:pPr>
            <w:r w:rsidRPr="00E14EE6">
              <w:rPr>
                <w:sz w:val="14"/>
              </w:rPr>
              <w:t>4,960.6</w:t>
            </w:r>
          </w:p>
        </w:tc>
        <w:tc>
          <w:tcPr>
            <w:tcW w:w="499" w:type="pct"/>
            <w:noWrap/>
            <w:hideMark/>
          </w:tcPr>
          <w:p w14:paraId="437D0730" w14:textId="77777777" w:rsidR="00CA7676" w:rsidRPr="00E14EE6" w:rsidRDefault="00CA7676" w:rsidP="00E14EE6">
            <w:pPr>
              <w:jc w:val="right"/>
              <w:rPr>
                <w:rFonts w:eastAsia="Times New Roman" w:cs="Calibri"/>
                <w:sz w:val="14"/>
                <w:szCs w:val="14"/>
              </w:rPr>
            </w:pPr>
            <w:r w:rsidRPr="00E14EE6">
              <w:rPr>
                <w:sz w:val="14"/>
              </w:rPr>
              <w:t>5,260.8</w:t>
            </w:r>
          </w:p>
        </w:tc>
        <w:tc>
          <w:tcPr>
            <w:tcW w:w="497" w:type="pct"/>
            <w:noWrap/>
            <w:hideMark/>
          </w:tcPr>
          <w:p w14:paraId="2E89850B" w14:textId="77777777" w:rsidR="00CA7676" w:rsidRPr="00E14EE6" w:rsidRDefault="00CA7676" w:rsidP="00E14EE6">
            <w:pPr>
              <w:jc w:val="right"/>
              <w:rPr>
                <w:rFonts w:eastAsia="Times New Roman" w:cs="Calibri"/>
                <w:sz w:val="14"/>
                <w:szCs w:val="14"/>
              </w:rPr>
            </w:pPr>
            <w:r w:rsidRPr="00E14EE6">
              <w:rPr>
                <w:sz w:val="14"/>
              </w:rPr>
              <w:t>5,911.8</w:t>
            </w:r>
          </w:p>
        </w:tc>
        <w:tc>
          <w:tcPr>
            <w:tcW w:w="497" w:type="pct"/>
            <w:noWrap/>
            <w:hideMark/>
          </w:tcPr>
          <w:p w14:paraId="6CC1D135" w14:textId="77777777" w:rsidR="00CA7676" w:rsidRPr="00E14EE6" w:rsidRDefault="00CA7676" w:rsidP="00E14EE6">
            <w:pPr>
              <w:jc w:val="right"/>
              <w:rPr>
                <w:rFonts w:eastAsia="Times New Roman" w:cs="Calibri"/>
                <w:sz w:val="14"/>
                <w:szCs w:val="14"/>
              </w:rPr>
            </w:pPr>
            <w:r w:rsidRPr="00E14EE6">
              <w:rPr>
                <w:sz w:val="14"/>
              </w:rPr>
              <w:t>6,494.2</w:t>
            </w:r>
          </w:p>
        </w:tc>
        <w:tc>
          <w:tcPr>
            <w:tcW w:w="498" w:type="pct"/>
            <w:noWrap/>
            <w:hideMark/>
          </w:tcPr>
          <w:p w14:paraId="6283D2C4" w14:textId="77777777" w:rsidR="00CA7676" w:rsidRPr="00E14EE6" w:rsidRDefault="00CA7676" w:rsidP="00E14EE6">
            <w:pPr>
              <w:jc w:val="right"/>
              <w:rPr>
                <w:rFonts w:eastAsia="Times New Roman" w:cs="Calibri"/>
                <w:sz w:val="14"/>
                <w:szCs w:val="14"/>
              </w:rPr>
            </w:pPr>
            <w:r w:rsidRPr="00E14EE6">
              <w:rPr>
                <w:sz w:val="14"/>
              </w:rPr>
              <w:t>7,087.1</w:t>
            </w:r>
          </w:p>
        </w:tc>
        <w:tc>
          <w:tcPr>
            <w:tcW w:w="497" w:type="pct"/>
            <w:noWrap/>
            <w:hideMark/>
          </w:tcPr>
          <w:p w14:paraId="7639946C" w14:textId="77777777" w:rsidR="00CA7676" w:rsidRPr="00E14EE6" w:rsidRDefault="00CA7676" w:rsidP="00E14EE6">
            <w:pPr>
              <w:jc w:val="right"/>
              <w:rPr>
                <w:rFonts w:eastAsia="Times New Roman" w:cs="Calibri"/>
                <w:sz w:val="14"/>
                <w:szCs w:val="14"/>
              </w:rPr>
            </w:pPr>
            <w:r w:rsidRPr="00E14EE6">
              <w:rPr>
                <w:sz w:val="14"/>
              </w:rPr>
              <w:t>8,219.2</w:t>
            </w:r>
          </w:p>
        </w:tc>
        <w:tc>
          <w:tcPr>
            <w:tcW w:w="498" w:type="pct"/>
            <w:noWrap/>
            <w:hideMark/>
          </w:tcPr>
          <w:p w14:paraId="19FFF0AB" w14:textId="77777777" w:rsidR="00CA7676" w:rsidRPr="00E14EE6" w:rsidRDefault="00CA7676" w:rsidP="00E14EE6">
            <w:pPr>
              <w:jc w:val="right"/>
              <w:rPr>
                <w:rFonts w:eastAsia="Times New Roman" w:cs="Calibri"/>
                <w:sz w:val="14"/>
                <w:szCs w:val="14"/>
              </w:rPr>
            </w:pPr>
            <w:r w:rsidRPr="00E14EE6">
              <w:rPr>
                <w:sz w:val="14"/>
              </w:rPr>
              <w:t>10,402.5</w:t>
            </w:r>
          </w:p>
        </w:tc>
      </w:tr>
      <w:tr w:rsidR="00CA7676" w:rsidRPr="00E14EE6" w14:paraId="07941174" w14:textId="77777777" w:rsidTr="00FD6B66">
        <w:trPr>
          <w:cnfStyle w:val="000000010000" w:firstRow="0" w:lastRow="0" w:firstColumn="0" w:lastColumn="0" w:oddVBand="0" w:evenVBand="0" w:oddHBand="0" w:evenHBand="1" w:firstRowFirstColumn="0" w:firstRowLastColumn="0" w:lastRowFirstColumn="0" w:lastRowLastColumn="0"/>
          <w:cantSplit/>
          <w:trHeight w:val="20"/>
        </w:trPr>
        <w:tc>
          <w:tcPr>
            <w:tcW w:w="1019" w:type="pct"/>
            <w:noWrap/>
            <w:hideMark/>
          </w:tcPr>
          <w:p w14:paraId="16ECD19A" w14:textId="77777777" w:rsidR="00CA7676" w:rsidRPr="00E14EE6" w:rsidRDefault="00CA7676" w:rsidP="00E14EE6">
            <w:pPr>
              <w:jc w:val="left"/>
              <w:rPr>
                <w:rFonts w:eastAsia="Times New Roman" w:cs="Calibri"/>
                <w:sz w:val="14"/>
                <w:szCs w:val="14"/>
              </w:rPr>
            </w:pPr>
            <w:r w:rsidRPr="00E14EE6">
              <w:rPr>
                <w:sz w:val="14"/>
              </w:rPr>
              <w:t>Other transfers</w:t>
            </w:r>
          </w:p>
        </w:tc>
        <w:tc>
          <w:tcPr>
            <w:tcW w:w="497" w:type="pct"/>
            <w:noWrap/>
            <w:hideMark/>
          </w:tcPr>
          <w:p w14:paraId="1631B912" w14:textId="77777777" w:rsidR="00CA7676" w:rsidRPr="00E14EE6" w:rsidRDefault="00CA7676" w:rsidP="00E14EE6">
            <w:pPr>
              <w:jc w:val="right"/>
              <w:rPr>
                <w:rFonts w:eastAsia="Times New Roman" w:cs="Calibri"/>
                <w:sz w:val="14"/>
                <w:szCs w:val="14"/>
              </w:rPr>
            </w:pPr>
            <w:r w:rsidRPr="00E14EE6">
              <w:rPr>
                <w:sz w:val="14"/>
              </w:rPr>
              <w:t>642.8</w:t>
            </w:r>
          </w:p>
        </w:tc>
        <w:tc>
          <w:tcPr>
            <w:tcW w:w="497" w:type="pct"/>
            <w:noWrap/>
            <w:hideMark/>
          </w:tcPr>
          <w:p w14:paraId="0C959CE4" w14:textId="77777777" w:rsidR="00CA7676" w:rsidRPr="00E14EE6" w:rsidRDefault="00CA7676" w:rsidP="00E14EE6">
            <w:pPr>
              <w:jc w:val="right"/>
              <w:rPr>
                <w:rFonts w:eastAsia="Times New Roman" w:cs="Calibri"/>
                <w:sz w:val="14"/>
                <w:szCs w:val="14"/>
              </w:rPr>
            </w:pPr>
            <w:r w:rsidRPr="00E14EE6">
              <w:rPr>
                <w:sz w:val="14"/>
              </w:rPr>
              <w:t>660.8</w:t>
            </w:r>
          </w:p>
        </w:tc>
        <w:tc>
          <w:tcPr>
            <w:tcW w:w="499" w:type="pct"/>
            <w:noWrap/>
            <w:hideMark/>
          </w:tcPr>
          <w:p w14:paraId="62B096E4" w14:textId="77777777" w:rsidR="00CA7676" w:rsidRPr="00E14EE6" w:rsidRDefault="00CA7676" w:rsidP="00E14EE6">
            <w:pPr>
              <w:jc w:val="right"/>
              <w:rPr>
                <w:rFonts w:eastAsia="Times New Roman" w:cs="Calibri"/>
                <w:sz w:val="14"/>
                <w:szCs w:val="14"/>
              </w:rPr>
            </w:pPr>
            <w:r w:rsidRPr="00E14EE6">
              <w:rPr>
                <w:sz w:val="14"/>
              </w:rPr>
              <w:t>708.2</w:t>
            </w:r>
          </w:p>
        </w:tc>
        <w:tc>
          <w:tcPr>
            <w:tcW w:w="497" w:type="pct"/>
            <w:noWrap/>
            <w:hideMark/>
          </w:tcPr>
          <w:p w14:paraId="2B998E48" w14:textId="77777777" w:rsidR="00CA7676" w:rsidRPr="00E14EE6" w:rsidRDefault="00CA7676" w:rsidP="00E14EE6">
            <w:pPr>
              <w:jc w:val="right"/>
              <w:rPr>
                <w:rFonts w:eastAsia="Times New Roman" w:cs="Calibri"/>
                <w:sz w:val="14"/>
                <w:szCs w:val="14"/>
              </w:rPr>
            </w:pPr>
            <w:r w:rsidRPr="00E14EE6">
              <w:rPr>
                <w:sz w:val="14"/>
              </w:rPr>
              <w:t>783.5</w:t>
            </w:r>
          </w:p>
        </w:tc>
        <w:tc>
          <w:tcPr>
            <w:tcW w:w="497" w:type="pct"/>
            <w:noWrap/>
            <w:hideMark/>
          </w:tcPr>
          <w:p w14:paraId="3CF437BF" w14:textId="77777777" w:rsidR="00CA7676" w:rsidRPr="00E14EE6" w:rsidRDefault="00CA7676" w:rsidP="00E14EE6">
            <w:pPr>
              <w:jc w:val="right"/>
              <w:rPr>
                <w:rFonts w:eastAsia="Times New Roman" w:cs="Calibri"/>
                <w:sz w:val="14"/>
                <w:szCs w:val="14"/>
              </w:rPr>
            </w:pPr>
            <w:r w:rsidRPr="00E14EE6">
              <w:rPr>
                <w:sz w:val="14"/>
              </w:rPr>
              <w:t>849.7</w:t>
            </w:r>
          </w:p>
        </w:tc>
        <w:tc>
          <w:tcPr>
            <w:tcW w:w="498" w:type="pct"/>
            <w:noWrap/>
            <w:hideMark/>
          </w:tcPr>
          <w:p w14:paraId="000B8131" w14:textId="77777777" w:rsidR="00CA7676" w:rsidRPr="00E14EE6" w:rsidRDefault="00CA7676" w:rsidP="00E14EE6">
            <w:pPr>
              <w:jc w:val="right"/>
              <w:rPr>
                <w:rFonts w:eastAsia="Times New Roman" w:cs="Calibri"/>
                <w:sz w:val="14"/>
                <w:szCs w:val="14"/>
              </w:rPr>
            </w:pPr>
            <w:r w:rsidRPr="00E14EE6">
              <w:rPr>
                <w:sz w:val="14"/>
              </w:rPr>
              <w:t>821.6</w:t>
            </w:r>
          </w:p>
        </w:tc>
        <w:tc>
          <w:tcPr>
            <w:tcW w:w="497" w:type="pct"/>
            <w:noWrap/>
            <w:hideMark/>
          </w:tcPr>
          <w:p w14:paraId="5467F05E" w14:textId="77777777" w:rsidR="00CA7676" w:rsidRPr="00E14EE6" w:rsidRDefault="00CA7676" w:rsidP="00E14EE6">
            <w:pPr>
              <w:jc w:val="right"/>
              <w:rPr>
                <w:rFonts w:eastAsia="Times New Roman" w:cs="Calibri"/>
                <w:sz w:val="14"/>
                <w:szCs w:val="14"/>
              </w:rPr>
            </w:pPr>
            <w:r w:rsidRPr="00E14EE6">
              <w:rPr>
                <w:sz w:val="14"/>
              </w:rPr>
              <w:t>721.2</w:t>
            </w:r>
          </w:p>
        </w:tc>
        <w:tc>
          <w:tcPr>
            <w:tcW w:w="498" w:type="pct"/>
            <w:noWrap/>
            <w:hideMark/>
          </w:tcPr>
          <w:p w14:paraId="327D2F80" w14:textId="77777777" w:rsidR="00CA7676" w:rsidRPr="00E14EE6" w:rsidRDefault="00CA7676" w:rsidP="00E14EE6">
            <w:pPr>
              <w:jc w:val="right"/>
              <w:rPr>
                <w:rFonts w:eastAsia="Times New Roman" w:cs="Calibri"/>
                <w:sz w:val="14"/>
                <w:szCs w:val="14"/>
              </w:rPr>
            </w:pPr>
            <w:r w:rsidRPr="00E14EE6">
              <w:rPr>
                <w:sz w:val="14"/>
              </w:rPr>
              <w:t>850.0</w:t>
            </w:r>
          </w:p>
        </w:tc>
      </w:tr>
      <w:tr w:rsidR="00CA7676" w:rsidRPr="00E14EE6" w14:paraId="47D081E9" w14:textId="77777777" w:rsidTr="00FD6B66">
        <w:trPr>
          <w:cantSplit/>
          <w:trHeight w:val="20"/>
        </w:trPr>
        <w:tc>
          <w:tcPr>
            <w:tcW w:w="1019" w:type="pct"/>
            <w:noWrap/>
            <w:hideMark/>
          </w:tcPr>
          <w:p w14:paraId="566E3B59" w14:textId="77777777" w:rsidR="00CA7676" w:rsidRPr="00E14EE6" w:rsidRDefault="00CA7676" w:rsidP="00E14EE6">
            <w:pPr>
              <w:ind w:left="170"/>
              <w:jc w:val="left"/>
              <w:rPr>
                <w:rFonts w:eastAsia="Times New Roman" w:cs="Calibri"/>
                <w:color w:val="000000"/>
                <w:sz w:val="14"/>
                <w:szCs w:val="14"/>
              </w:rPr>
            </w:pPr>
            <w:r w:rsidRPr="00E14EE6">
              <w:rPr>
                <w:sz w:val="14"/>
              </w:rPr>
              <w:t>Debit</w:t>
            </w:r>
          </w:p>
        </w:tc>
        <w:tc>
          <w:tcPr>
            <w:tcW w:w="497" w:type="pct"/>
            <w:noWrap/>
            <w:hideMark/>
          </w:tcPr>
          <w:p w14:paraId="5DE7A59D" w14:textId="77777777" w:rsidR="00CA7676" w:rsidRPr="00E14EE6" w:rsidRDefault="00CA7676" w:rsidP="00E14EE6">
            <w:pPr>
              <w:jc w:val="right"/>
              <w:rPr>
                <w:rFonts w:eastAsia="Times New Roman" w:cs="Calibri"/>
                <w:color w:val="000000"/>
                <w:sz w:val="14"/>
                <w:szCs w:val="14"/>
              </w:rPr>
            </w:pPr>
            <w:r w:rsidRPr="00E14EE6">
              <w:rPr>
                <w:sz w:val="14"/>
              </w:rPr>
              <w:t>846.5</w:t>
            </w:r>
          </w:p>
        </w:tc>
        <w:tc>
          <w:tcPr>
            <w:tcW w:w="497" w:type="pct"/>
            <w:noWrap/>
            <w:hideMark/>
          </w:tcPr>
          <w:p w14:paraId="1AC96189" w14:textId="77777777" w:rsidR="00CA7676" w:rsidRPr="00E14EE6" w:rsidRDefault="00CA7676" w:rsidP="00E14EE6">
            <w:pPr>
              <w:jc w:val="right"/>
              <w:rPr>
                <w:rFonts w:eastAsia="Times New Roman" w:cs="Calibri"/>
                <w:color w:val="000000"/>
                <w:sz w:val="14"/>
                <w:szCs w:val="14"/>
              </w:rPr>
            </w:pPr>
            <w:r w:rsidRPr="00E14EE6">
              <w:rPr>
                <w:sz w:val="14"/>
              </w:rPr>
              <w:t>868.4</w:t>
            </w:r>
          </w:p>
        </w:tc>
        <w:tc>
          <w:tcPr>
            <w:tcW w:w="499" w:type="pct"/>
            <w:noWrap/>
            <w:hideMark/>
          </w:tcPr>
          <w:p w14:paraId="3AAF9505" w14:textId="77777777" w:rsidR="00CA7676" w:rsidRPr="00E14EE6" w:rsidRDefault="00CA7676" w:rsidP="00E14EE6">
            <w:pPr>
              <w:jc w:val="right"/>
              <w:rPr>
                <w:rFonts w:eastAsia="Times New Roman" w:cs="Calibri"/>
                <w:color w:val="000000"/>
                <w:sz w:val="14"/>
                <w:szCs w:val="14"/>
              </w:rPr>
            </w:pPr>
            <w:r w:rsidRPr="00E14EE6">
              <w:rPr>
                <w:sz w:val="14"/>
              </w:rPr>
              <w:t>911.2</w:t>
            </w:r>
          </w:p>
        </w:tc>
        <w:tc>
          <w:tcPr>
            <w:tcW w:w="497" w:type="pct"/>
            <w:noWrap/>
            <w:hideMark/>
          </w:tcPr>
          <w:p w14:paraId="7CF4A8E5" w14:textId="77777777" w:rsidR="00CA7676" w:rsidRPr="00E14EE6" w:rsidRDefault="00CA7676" w:rsidP="00E14EE6">
            <w:pPr>
              <w:jc w:val="right"/>
              <w:rPr>
                <w:rFonts w:eastAsia="Times New Roman" w:cs="Calibri"/>
                <w:color w:val="000000"/>
                <w:sz w:val="14"/>
                <w:szCs w:val="14"/>
              </w:rPr>
            </w:pPr>
            <w:r w:rsidRPr="00E14EE6">
              <w:rPr>
                <w:sz w:val="14"/>
              </w:rPr>
              <w:t>984.7</w:t>
            </w:r>
          </w:p>
        </w:tc>
        <w:tc>
          <w:tcPr>
            <w:tcW w:w="497" w:type="pct"/>
            <w:noWrap/>
            <w:hideMark/>
          </w:tcPr>
          <w:p w14:paraId="51004F5A" w14:textId="77777777" w:rsidR="00CA7676" w:rsidRPr="00E14EE6" w:rsidRDefault="00CA7676" w:rsidP="00E14EE6">
            <w:pPr>
              <w:jc w:val="right"/>
              <w:rPr>
                <w:rFonts w:eastAsia="Times New Roman" w:cs="Calibri"/>
                <w:color w:val="000000"/>
                <w:sz w:val="14"/>
                <w:szCs w:val="14"/>
              </w:rPr>
            </w:pPr>
            <w:r w:rsidRPr="00E14EE6">
              <w:rPr>
                <w:sz w:val="14"/>
              </w:rPr>
              <w:t>911.0</w:t>
            </w:r>
          </w:p>
        </w:tc>
        <w:tc>
          <w:tcPr>
            <w:tcW w:w="498" w:type="pct"/>
            <w:noWrap/>
            <w:hideMark/>
          </w:tcPr>
          <w:p w14:paraId="13F11AC5" w14:textId="77777777" w:rsidR="00CA7676" w:rsidRPr="00E14EE6" w:rsidRDefault="00CA7676" w:rsidP="00E14EE6">
            <w:pPr>
              <w:jc w:val="right"/>
              <w:rPr>
                <w:rFonts w:eastAsia="Times New Roman" w:cs="Calibri"/>
                <w:color w:val="000000"/>
                <w:sz w:val="14"/>
                <w:szCs w:val="14"/>
              </w:rPr>
            </w:pPr>
            <w:r w:rsidRPr="00E14EE6">
              <w:rPr>
                <w:sz w:val="14"/>
              </w:rPr>
              <w:t>1,010.9</w:t>
            </w:r>
          </w:p>
        </w:tc>
        <w:tc>
          <w:tcPr>
            <w:tcW w:w="497" w:type="pct"/>
            <w:noWrap/>
            <w:hideMark/>
          </w:tcPr>
          <w:p w14:paraId="239CC0B3" w14:textId="77777777" w:rsidR="00CA7676" w:rsidRPr="00E14EE6" w:rsidRDefault="00CA7676" w:rsidP="00E14EE6">
            <w:pPr>
              <w:jc w:val="right"/>
              <w:rPr>
                <w:rFonts w:eastAsia="Times New Roman" w:cs="Calibri"/>
                <w:color w:val="000000"/>
                <w:sz w:val="14"/>
                <w:szCs w:val="14"/>
              </w:rPr>
            </w:pPr>
            <w:r w:rsidRPr="00E14EE6">
              <w:rPr>
                <w:sz w:val="14"/>
              </w:rPr>
              <w:t>1,040.2</w:t>
            </w:r>
          </w:p>
        </w:tc>
        <w:tc>
          <w:tcPr>
            <w:tcW w:w="498" w:type="pct"/>
            <w:noWrap/>
            <w:hideMark/>
          </w:tcPr>
          <w:p w14:paraId="4F99514B" w14:textId="77777777" w:rsidR="00CA7676" w:rsidRPr="00E14EE6" w:rsidRDefault="00CA7676" w:rsidP="00E14EE6">
            <w:pPr>
              <w:jc w:val="right"/>
              <w:rPr>
                <w:rFonts w:eastAsia="Times New Roman" w:cs="Calibri"/>
                <w:sz w:val="14"/>
                <w:szCs w:val="14"/>
              </w:rPr>
            </w:pPr>
            <w:r w:rsidRPr="00E14EE6">
              <w:rPr>
                <w:sz w:val="14"/>
              </w:rPr>
              <w:t>1,202.7</w:t>
            </w:r>
          </w:p>
        </w:tc>
      </w:tr>
      <w:tr w:rsidR="00CA7676" w:rsidRPr="00E14EE6" w14:paraId="74C944AE" w14:textId="77777777" w:rsidTr="00FD6B66">
        <w:trPr>
          <w:cnfStyle w:val="000000010000" w:firstRow="0" w:lastRow="0" w:firstColumn="0" w:lastColumn="0" w:oddVBand="0" w:evenVBand="0" w:oddHBand="0" w:evenHBand="1" w:firstRowFirstColumn="0" w:firstRowLastColumn="0" w:lastRowFirstColumn="0" w:lastRowLastColumn="0"/>
          <w:cantSplit/>
          <w:trHeight w:val="20"/>
        </w:trPr>
        <w:tc>
          <w:tcPr>
            <w:tcW w:w="1019" w:type="pct"/>
            <w:noWrap/>
            <w:hideMark/>
          </w:tcPr>
          <w:p w14:paraId="2514B56B" w14:textId="77777777" w:rsidR="00CA7676" w:rsidRPr="00E14EE6" w:rsidRDefault="00CA7676" w:rsidP="00E14EE6">
            <w:pPr>
              <w:jc w:val="left"/>
              <w:rPr>
                <w:rFonts w:eastAsia="Times New Roman" w:cs="Calibri"/>
                <w:sz w:val="14"/>
                <w:szCs w:val="14"/>
              </w:rPr>
            </w:pPr>
            <w:r w:rsidRPr="00E14EE6">
              <w:rPr>
                <w:sz w:val="14"/>
              </w:rPr>
              <w:t>Family remittances</w:t>
            </w:r>
          </w:p>
        </w:tc>
        <w:tc>
          <w:tcPr>
            <w:tcW w:w="497" w:type="pct"/>
            <w:noWrap/>
            <w:hideMark/>
          </w:tcPr>
          <w:p w14:paraId="26808152" w14:textId="77777777" w:rsidR="00CA7676" w:rsidRPr="00E14EE6" w:rsidRDefault="00CA7676" w:rsidP="00E14EE6">
            <w:pPr>
              <w:jc w:val="right"/>
              <w:rPr>
                <w:rFonts w:eastAsia="Times New Roman" w:cs="Calibri"/>
                <w:sz w:val="14"/>
                <w:szCs w:val="14"/>
              </w:rPr>
            </w:pPr>
            <w:r w:rsidRPr="00E14EE6">
              <w:rPr>
                <w:sz w:val="14"/>
              </w:rPr>
              <w:t>420.1</w:t>
            </w:r>
          </w:p>
        </w:tc>
        <w:tc>
          <w:tcPr>
            <w:tcW w:w="497" w:type="pct"/>
            <w:noWrap/>
            <w:hideMark/>
          </w:tcPr>
          <w:p w14:paraId="2AEDEA27" w14:textId="77777777" w:rsidR="00CA7676" w:rsidRPr="00E14EE6" w:rsidRDefault="00CA7676" w:rsidP="00E14EE6">
            <w:pPr>
              <w:jc w:val="right"/>
              <w:rPr>
                <w:rFonts w:eastAsia="Times New Roman" w:cs="Calibri"/>
                <w:sz w:val="14"/>
                <w:szCs w:val="14"/>
              </w:rPr>
            </w:pPr>
            <w:r w:rsidRPr="00E14EE6">
              <w:rPr>
                <w:sz w:val="14"/>
              </w:rPr>
              <w:t>424.7</w:t>
            </w:r>
          </w:p>
        </w:tc>
        <w:tc>
          <w:tcPr>
            <w:tcW w:w="499" w:type="pct"/>
            <w:noWrap/>
            <w:hideMark/>
          </w:tcPr>
          <w:p w14:paraId="043C98F6" w14:textId="77777777" w:rsidR="00CA7676" w:rsidRPr="00E14EE6" w:rsidRDefault="00CA7676" w:rsidP="00E14EE6">
            <w:pPr>
              <w:jc w:val="right"/>
              <w:rPr>
                <w:rFonts w:eastAsia="Times New Roman" w:cs="Calibri"/>
                <w:sz w:val="14"/>
                <w:szCs w:val="14"/>
              </w:rPr>
            </w:pPr>
            <w:r w:rsidRPr="00E14EE6">
              <w:rPr>
                <w:sz w:val="14"/>
              </w:rPr>
              <w:t>448.7</w:t>
            </w:r>
          </w:p>
        </w:tc>
        <w:tc>
          <w:tcPr>
            <w:tcW w:w="497" w:type="pct"/>
            <w:noWrap/>
            <w:hideMark/>
          </w:tcPr>
          <w:p w14:paraId="23C4D116" w14:textId="77777777" w:rsidR="00CA7676" w:rsidRPr="00E14EE6" w:rsidRDefault="00CA7676" w:rsidP="00E14EE6">
            <w:pPr>
              <w:jc w:val="right"/>
              <w:rPr>
                <w:rFonts w:eastAsia="Times New Roman" w:cs="Calibri"/>
                <w:sz w:val="14"/>
                <w:szCs w:val="14"/>
              </w:rPr>
            </w:pPr>
            <w:r w:rsidRPr="00E14EE6">
              <w:rPr>
                <w:sz w:val="14"/>
              </w:rPr>
              <w:t>461.8</w:t>
            </w:r>
          </w:p>
        </w:tc>
        <w:tc>
          <w:tcPr>
            <w:tcW w:w="497" w:type="pct"/>
            <w:noWrap/>
            <w:hideMark/>
          </w:tcPr>
          <w:p w14:paraId="509609EA" w14:textId="77777777" w:rsidR="00CA7676" w:rsidRPr="00E14EE6" w:rsidRDefault="00CA7676" w:rsidP="00E14EE6">
            <w:pPr>
              <w:jc w:val="right"/>
              <w:rPr>
                <w:rFonts w:eastAsia="Times New Roman" w:cs="Calibri"/>
                <w:sz w:val="14"/>
                <w:szCs w:val="14"/>
              </w:rPr>
            </w:pPr>
            <w:r w:rsidRPr="00E14EE6">
              <w:rPr>
                <w:sz w:val="14"/>
              </w:rPr>
              <w:t>427.8</w:t>
            </w:r>
          </w:p>
        </w:tc>
        <w:tc>
          <w:tcPr>
            <w:tcW w:w="498" w:type="pct"/>
            <w:noWrap/>
            <w:hideMark/>
          </w:tcPr>
          <w:p w14:paraId="27073671" w14:textId="77777777" w:rsidR="00CA7676" w:rsidRPr="00E14EE6" w:rsidRDefault="00CA7676" w:rsidP="00E14EE6">
            <w:pPr>
              <w:jc w:val="right"/>
              <w:rPr>
                <w:rFonts w:eastAsia="Times New Roman" w:cs="Calibri"/>
                <w:sz w:val="14"/>
                <w:szCs w:val="14"/>
              </w:rPr>
            </w:pPr>
            <w:r w:rsidRPr="00E14EE6">
              <w:rPr>
                <w:sz w:val="14"/>
              </w:rPr>
              <w:t>483.8</w:t>
            </w:r>
          </w:p>
        </w:tc>
        <w:tc>
          <w:tcPr>
            <w:tcW w:w="497" w:type="pct"/>
            <w:noWrap/>
            <w:hideMark/>
          </w:tcPr>
          <w:p w14:paraId="5AC05E1F" w14:textId="77777777" w:rsidR="00CA7676" w:rsidRPr="00E14EE6" w:rsidRDefault="00CA7676" w:rsidP="00E14EE6">
            <w:pPr>
              <w:jc w:val="right"/>
              <w:rPr>
                <w:rFonts w:eastAsia="Times New Roman" w:cs="Calibri"/>
                <w:sz w:val="14"/>
                <w:szCs w:val="14"/>
              </w:rPr>
            </w:pPr>
            <w:r w:rsidRPr="00E14EE6">
              <w:rPr>
                <w:sz w:val="14"/>
              </w:rPr>
              <w:t>603.9</w:t>
            </w:r>
          </w:p>
        </w:tc>
        <w:tc>
          <w:tcPr>
            <w:tcW w:w="498" w:type="pct"/>
            <w:noWrap/>
            <w:hideMark/>
          </w:tcPr>
          <w:p w14:paraId="20E7B9A2" w14:textId="77777777" w:rsidR="00CA7676" w:rsidRPr="00E14EE6" w:rsidRDefault="00CA7676" w:rsidP="00E14EE6">
            <w:pPr>
              <w:jc w:val="right"/>
              <w:rPr>
                <w:rFonts w:eastAsia="Times New Roman" w:cs="Calibri"/>
                <w:sz w:val="14"/>
                <w:szCs w:val="14"/>
              </w:rPr>
            </w:pPr>
            <w:r w:rsidRPr="00E14EE6">
              <w:rPr>
                <w:sz w:val="14"/>
              </w:rPr>
              <w:t>639.0</w:t>
            </w:r>
          </w:p>
        </w:tc>
      </w:tr>
      <w:tr w:rsidR="00CA7676" w:rsidRPr="00E14EE6" w14:paraId="1D7E4CB6" w14:textId="77777777" w:rsidTr="00FD6B66">
        <w:trPr>
          <w:cantSplit/>
          <w:trHeight w:val="20"/>
        </w:trPr>
        <w:tc>
          <w:tcPr>
            <w:tcW w:w="1019" w:type="pct"/>
            <w:noWrap/>
            <w:hideMark/>
          </w:tcPr>
          <w:p w14:paraId="685CB654" w14:textId="77777777" w:rsidR="00CA7676" w:rsidRPr="00E14EE6" w:rsidRDefault="00CA7676" w:rsidP="00E14EE6">
            <w:pPr>
              <w:jc w:val="left"/>
              <w:rPr>
                <w:rFonts w:eastAsia="Times New Roman" w:cs="Calibri"/>
                <w:sz w:val="14"/>
                <w:szCs w:val="14"/>
              </w:rPr>
            </w:pPr>
            <w:r w:rsidRPr="00E14EE6">
              <w:rPr>
                <w:sz w:val="14"/>
              </w:rPr>
              <w:t>Other transfers</w:t>
            </w:r>
          </w:p>
        </w:tc>
        <w:tc>
          <w:tcPr>
            <w:tcW w:w="497" w:type="pct"/>
            <w:noWrap/>
            <w:hideMark/>
          </w:tcPr>
          <w:p w14:paraId="47CB9CBE" w14:textId="77777777" w:rsidR="00CA7676" w:rsidRPr="00E14EE6" w:rsidRDefault="00CA7676" w:rsidP="00E14EE6">
            <w:pPr>
              <w:jc w:val="right"/>
              <w:rPr>
                <w:rFonts w:eastAsia="Times New Roman" w:cs="Calibri"/>
                <w:sz w:val="14"/>
                <w:szCs w:val="14"/>
              </w:rPr>
            </w:pPr>
            <w:r w:rsidRPr="00E14EE6">
              <w:rPr>
                <w:sz w:val="14"/>
              </w:rPr>
              <w:t>426.4</w:t>
            </w:r>
          </w:p>
        </w:tc>
        <w:tc>
          <w:tcPr>
            <w:tcW w:w="497" w:type="pct"/>
            <w:noWrap/>
            <w:hideMark/>
          </w:tcPr>
          <w:p w14:paraId="6948F1E6" w14:textId="77777777" w:rsidR="00CA7676" w:rsidRPr="00E14EE6" w:rsidRDefault="00CA7676" w:rsidP="00E14EE6">
            <w:pPr>
              <w:jc w:val="right"/>
              <w:rPr>
                <w:rFonts w:eastAsia="Times New Roman" w:cs="Calibri"/>
                <w:sz w:val="14"/>
                <w:szCs w:val="14"/>
              </w:rPr>
            </w:pPr>
            <w:r w:rsidRPr="00E14EE6">
              <w:rPr>
                <w:sz w:val="14"/>
              </w:rPr>
              <w:t>443.7</w:t>
            </w:r>
          </w:p>
        </w:tc>
        <w:tc>
          <w:tcPr>
            <w:tcW w:w="499" w:type="pct"/>
            <w:noWrap/>
            <w:hideMark/>
          </w:tcPr>
          <w:p w14:paraId="2E74EC55" w14:textId="77777777" w:rsidR="00CA7676" w:rsidRPr="00E14EE6" w:rsidRDefault="00CA7676" w:rsidP="00E14EE6">
            <w:pPr>
              <w:jc w:val="right"/>
              <w:rPr>
                <w:rFonts w:eastAsia="Times New Roman" w:cs="Calibri"/>
                <w:sz w:val="14"/>
                <w:szCs w:val="14"/>
              </w:rPr>
            </w:pPr>
            <w:r w:rsidRPr="00E14EE6">
              <w:rPr>
                <w:sz w:val="14"/>
              </w:rPr>
              <w:t>462.5</w:t>
            </w:r>
          </w:p>
        </w:tc>
        <w:tc>
          <w:tcPr>
            <w:tcW w:w="497" w:type="pct"/>
            <w:noWrap/>
            <w:hideMark/>
          </w:tcPr>
          <w:p w14:paraId="569B424F" w14:textId="77777777" w:rsidR="00CA7676" w:rsidRPr="00E14EE6" w:rsidRDefault="00CA7676" w:rsidP="00E14EE6">
            <w:pPr>
              <w:jc w:val="right"/>
              <w:rPr>
                <w:rFonts w:eastAsia="Times New Roman" w:cs="Calibri"/>
                <w:sz w:val="14"/>
                <w:szCs w:val="14"/>
              </w:rPr>
            </w:pPr>
            <w:r w:rsidRPr="00E14EE6">
              <w:rPr>
                <w:sz w:val="14"/>
              </w:rPr>
              <w:t>522.9</w:t>
            </w:r>
          </w:p>
        </w:tc>
        <w:tc>
          <w:tcPr>
            <w:tcW w:w="497" w:type="pct"/>
            <w:noWrap/>
            <w:hideMark/>
          </w:tcPr>
          <w:p w14:paraId="1D4BAAD7" w14:textId="77777777" w:rsidR="00CA7676" w:rsidRPr="00E14EE6" w:rsidRDefault="00CA7676" w:rsidP="00E14EE6">
            <w:pPr>
              <w:jc w:val="right"/>
              <w:rPr>
                <w:rFonts w:eastAsia="Times New Roman" w:cs="Calibri"/>
                <w:sz w:val="14"/>
                <w:szCs w:val="14"/>
              </w:rPr>
            </w:pPr>
            <w:r w:rsidRPr="00E14EE6">
              <w:rPr>
                <w:sz w:val="14"/>
              </w:rPr>
              <w:t>483.2</w:t>
            </w:r>
          </w:p>
        </w:tc>
        <w:tc>
          <w:tcPr>
            <w:tcW w:w="498" w:type="pct"/>
            <w:noWrap/>
            <w:hideMark/>
          </w:tcPr>
          <w:p w14:paraId="7AE5C149" w14:textId="77777777" w:rsidR="00CA7676" w:rsidRPr="00E14EE6" w:rsidRDefault="00CA7676" w:rsidP="00E14EE6">
            <w:pPr>
              <w:jc w:val="right"/>
              <w:rPr>
                <w:rFonts w:eastAsia="Times New Roman" w:cs="Calibri"/>
                <w:sz w:val="14"/>
                <w:szCs w:val="14"/>
              </w:rPr>
            </w:pPr>
            <w:r w:rsidRPr="00E14EE6">
              <w:rPr>
                <w:sz w:val="14"/>
              </w:rPr>
              <w:t>527.1</w:t>
            </w:r>
          </w:p>
        </w:tc>
        <w:tc>
          <w:tcPr>
            <w:tcW w:w="497" w:type="pct"/>
            <w:noWrap/>
            <w:hideMark/>
          </w:tcPr>
          <w:p w14:paraId="5B34FCC9" w14:textId="77777777" w:rsidR="00CA7676" w:rsidRPr="00E14EE6" w:rsidRDefault="00CA7676" w:rsidP="00E14EE6">
            <w:pPr>
              <w:jc w:val="right"/>
              <w:rPr>
                <w:rFonts w:eastAsia="Times New Roman" w:cs="Calibri"/>
                <w:sz w:val="14"/>
                <w:szCs w:val="14"/>
              </w:rPr>
            </w:pPr>
            <w:r w:rsidRPr="00E14EE6">
              <w:rPr>
                <w:sz w:val="14"/>
              </w:rPr>
              <w:t>436.3</w:t>
            </w:r>
          </w:p>
        </w:tc>
        <w:tc>
          <w:tcPr>
            <w:tcW w:w="498" w:type="pct"/>
            <w:noWrap/>
            <w:hideMark/>
          </w:tcPr>
          <w:p w14:paraId="1AD2A12F" w14:textId="77777777" w:rsidR="00CA7676" w:rsidRPr="00E14EE6" w:rsidRDefault="00CA7676" w:rsidP="00E14EE6">
            <w:pPr>
              <w:jc w:val="right"/>
              <w:rPr>
                <w:rFonts w:eastAsia="Times New Roman" w:cs="Calibri"/>
                <w:sz w:val="14"/>
                <w:szCs w:val="14"/>
              </w:rPr>
            </w:pPr>
            <w:r w:rsidRPr="00E14EE6">
              <w:rPr>
                <w:sz w:val="14"/>
              </w:rPr>
              <w:t>563.7</w:t>
            </w:r>
          </w:p>
        </w:tc>
      </w:tr>
      <w:tr w:rsidR="00CA7676" w:rsidRPr="00E14EE6" w14:paraId="7F972D12" w14:textId="77777777" w:rsidTr="00FD6B66">
        <w:trPr>
          <w:cnfStyle w:val="000000010000" w:firstRow="0" w:lastRow="0" w:firstColumn="0" w:lastColumn="0" w:oddVBand="0" w:evenVBand="0" w:oddHBand="0" w:evenHBand="1" w:firstRowFirstColumn="0" w:firstRowLastColumn="0" w:lastRowFirstColumn="0" w:lastRowLastColumn="0"/>
          <w:cantSplit/>
          <w:trHeight w:val="20"/>
        </w:trPr>
        <w:tc>
          <w:tcPr>
            <w:tcW w:w="1019" w:type="pct"/>
            <w:noWrap/>
            <w:hideMark/>
          </w:tcPr>
          <w:p w14:paraId="1151A448" w14:textId="3FF4D5CD" w:rsidR="00CA7676" w:rsidRPr="00E14EE6" w:rsidRDefault="00CA7676" w:rsidP="00E14EE6">
            <w:pPr>
              <w:jc w:val="left"/>
              <w:rPr>
                <w:rFonts w:eastAsia="Times New Roman" w:cs="Calibri"/>
                <w:b/>
                <w:bCs/>
                <w:color w:val="000000"/>
                <w:sz w:val="14"/>
                <w:szCs w:val="14"/>
              </w:rPr>
            </w:pPr>
            <w:r w:rsidRPr="00E14EE6">
              <w:rPr>
                <w:b/>
                <w:sz w:val="14"/>
              </w:rPr>
              <w:t>2</w:t>
            </w:r>
            <w:r w:rsidR="00E14EE6" w:rsidRPr="00E14EE6">
              <w:rPr>
                <w:b/>
                <w:sz w:val="14"/>
              </w:rPr>
              <w:t>. C</w:t>
            </w:r>
            <w:r w:rsidRPr="00E14EE6">
              <w:rPr>
                <w:b/>
                <w:sz w:val="14"/>
              </w:rPr>
              <w:t xml:space="preserve">apital </w:t>
            </w:r>
            <w:proofErr w:type="spellStart"/>
            <w:r w:rsidRPr="00E14EE6">
              <w:rPr>
                <w:b/>
                <w:sz w:val="14"/>
              </w:rPr>
              <w:t>account</w:t>
            </w:r>
            <w:r w:rsidRPr="00E14EE6">
              <w:rPr>
                <w:b/>
                <w:sz w:val="14"/>
                <w:vertAlign w:val="superscript"/>
              </w:rPr>
              <w:t>a</w:t>
            </w:r>
            <w:proofErr w:type="spellEnd"/>
          </w:p>
        </w:tc>
        <w:tc>
          <w:tcPr>
            <w:tcW w:w="497" w:type="pct"/>
            <w:noWrap/>
            <w:hideMark/>
          </w:tcPr>
          <w:p w14:paraId="0418208C" w14:textId="77777777" w:rsidR="00CA7676" w:rsidRPr="00E14EE6" w:rsidRDefault="00CA7676" w:rsidP="00E14EE6">
            <w:pPr>
              <w:jc w:val="right"/>
              <w:rPr>
                <w:rFonts w:eastAsia="Times New Roman" w:cs="Calibri"/>
                <w:b/>
                <w:bCs/>
                <w:color w:val="000000"/>
                <w:sz w:val="14"/>
                <w:szCs w:val="14"/>
              </w:rPr>
            </w:pPr>
            <w:r w:rsidRPr="00E14EE6">
              <w:rPr>
                <w:b/>
                <w:sz w:val="14"/>
              </w:rPr>
              <w:t>0.0</w:t>
            </w:r>
          </w:p>
        </w:tc>
        <w:tc>
          <w:tcPr>
            <w:tcW w:w="497" w:type="pct"/>
            <w:noWrap/>
            <w:hideMark/>
          </w:tcPr>
          <w:p w14:paraId="2CA54BCA" w14:textId="1E76B3B1" w:rsidR="00CA7676" w:rsidRPr="00E14EE6" w:rsidRDefault="00CA7676" w:rsidP="00E14EE6">
            <w:pPr>
              <w:jc w:val="right"/>
              <w:rPr>
                <w:rFonts w:eastAsia="Times New Roman" w:cs="Calibri"/>
                <w:b/>
                <w:bCs/>
                <w:color w:val="000000"/>
                <w:sz w:val="14"/>
                <w:szCs w:val="14"/>
              </w:rPr>
            </w:pPr>
            <w:r w:rsidRPr="00E14EE6">
              <w:rPr>
                <w:b/>
                <w:sz w:val="14"/>
              </w:rPr>
              <w:t>2</w:t>
            </w:r>
            <w:r w:rsidR="00046234">
              <w:rPr>
                <w:b/>
                <w:sz w:val="14"/>
              </w:rPr>
              <w:t>,</w:t>
            </w:r>
            <w:r w:rsidRPr="00E14EE6">
              <w:rPr>
                <w:b/>
                <w:sz w:val="14"/>
              </w:rPr>
              <w:t>087.1</w:t>
            </w:r>
          </w:p>
        </w:tc>
        <w:tc>
          <w:tcPr>
            <w:tcW w:w="499" w:type="pct"/>
            <w:noWrap/>
            <w:hideMark/>
          </w:tcPr>
          <w:p w14:paraId="5C594F4F" w14:textId="77777777" w:rsidR="00CA7676" w:rsidRPr="00E14EE6" w:rsidRDefault="00CA7676" w:rsidP="00E14EE6">
            <w:pPr>
              <w:jc w:val="right"/>
              <w:rPr>
                <w:rFonts w:eastAsia="Times New Roman" w:cs="Calibri"/>
                <w:b/>
                <w:bCs/>
                <w:color w:val="000000"/>
                <w:sz w:val="14"/>
                <w:szCs w:val="14"/>
              </w:rPr>
            </w:pPr>
            <w:r w:rsidRPr="00E14EE6">
              <w:rPr>
                <w:b/>
                <w:sz w:val="14"/>
              </w:rPr>
              <w:t>0.0</w:t>
            </w:r>
          </w:p>
        </w:tc>
        <w:tc>
          <w:tcPr>
            <w:tcW w:w="497" w:type="pct"/>
            <w:noWrap/>
            <w:hideMark/>
          </w:tcPr>
          <w:p w14:paraId="69447C1D" w14:textId="77777777" w:rsidR="00CA7676" w:rsidRPr="00E14EE6" w:rsidRDefault="00CA7676" w:rsidP="00E14EE6">
            <w:pPr>
              <w:jc w:val="right"/>
              <w:rPr>
                <w:rFonts w:eastAsia="Times New Roman" w:cs="Calibri"/>
                <w:b/>
                <w:bCs/>
                <w:color w:val="000000"/>
                <w:sz w:val="14"/>
                <w:szCs w:val="14"/>
              </w:rPr>
            </w:pPr>
            <w:r w:rsidRPr="00E14EE6">
              <w:rPr>
                <w:b/>
                <w:sz w:val="14"/>
              </w:rPr>
              <w:t>0.0</w:t>
            </w:r>
          </w:p>
        </w:tc>
        <w:tc>
          <w:tcPr>
            <w:tcW w:w="497" w:type="pct"/>
            <w:noWrap/>
            <w:hideMark/>
          </w:tcPr>
          <w:p w14:paraId="035A4C64" w14:textId="77777777" w:rsidR="00CA7676" w:rsidRPr="00E14EE6" w:rsidRDefault="00CA7676" w:rsidP="00E14EE6">
            <w:pPr>
              <w:jc w:val="right"/>
              <w:rPr>
                <w:rFonts w:eastAsia="Times New Roman" w:cs="Calibri"/>
                <w:b/>
                <w:bCs/>
                <w:color w:val="000000"/>
                <w:sz w:val="14"/>
                <w:szCs w:val="14"/>
              </w:rPr>
            </w:pPr>
            <w:r w:rsidRPr="00E14EE6">
              <w:rPr>
                <w:b/>
                <w:sz w:val="14"/>
              </w:rPr>
              <w:t>0.0</w:t>
            </w:r>
          </w:p>
        </w:tc>
        <w:tc>
          <w:tcPr>
            <w:tcW w:w="498" w:type="pct"/>
            <w:noWrap/>
            <w:hideMark/>
          </w:tcPr>
          <w:p w14:paraId="3A31425D" w14:textId="77777777" w:rsidR="00CA7676" w:rsidRPr="00E14EE6" w:rsidRDefault="00CA7676" w:rsidP="00E14EE6">
            <w:pPr>
              <w:jc w:val="right"/>
              <w:rPr>
                <w:rFonts w:eastAsia="Times New Roman" w:cs="Calibri"/>
                <w:b/>
                <w:bCs/>
                <w:color w:val="000000"/>
                <w:sz w:val="14"/>
                <w:szCs w:val="14"/>
              </w:rPr>
            </w:pPr>
            <w:r w:rsidRPr="00E14EE6">
              <w:rPr>
                <w:b/>
                <w:sz w:val="14"/>
              </w:rPr>
              <w:t>0.0</w:t>
            </w:r>
          </w:p>
        </w:tc>
        <w:tc>
          <w:tcPr>
            <w:tcW w:w="497" w:type="pct"/>
            <w:noWrap/>
            <w:hideMark/>
          </w:tcPr>
          <w:p w14:paraId="0ECBBFCE" w14:textId="77777777" w:rsidR="00CA7676" w:rsidRPr="00E14EE6" w:rsidRDefault="00CA7676" w:rsidP="00E14EE6">
            <w:pPr>
              <w:jc w:val="right"/>
              <w:rPr>
                <w:rFonts w:eastAsia="Times New Roman" w:cs="Calibri"/>
                <w:b/>
                <w:bCs/>
                <w:color w:val="000000"/>
                <w:sz w:val="14"/>
                <w:szCs w:val="14"/>
              </w:rPr>
            </w:pPr>
            <w:r w:rsidRPr="00E14EE6">
              <w:rPr>
                <w:b/>
                <w:sz w:val="14"/>
              </w:rPr>
              <w:t>0.0</w:t>
            </w:r>
          </w:p>
        </w:tc>
        <w:tc>
          <w:tcPr>
            <w:tcW w:w="498" w:type="pct"/>
            <w:noWrap/>
            <w:hideMark/>
          </w:tcPr>
          <w:p w14:paraId="398A0965" w14:textId="77777777" w:rsidR="00CA7676" w:rsidRPr="00E14EE6" w:rsidRDefault="00CA7676" w:rsidP="00E14EE6">
            <w:pPr>
              <w:jc w:val="right"/>
              <w:rPr>
                <w:rFonts w:eastAsia="Times New Roman" w:cs="Calibri"/>
                <w:b/>
                <w:bCs/>
                <w:sz w:val="14"/>
                <w:szCs w:val="14"/>
              </w:rPr>
            </w:pPr>
            <w:r w:rsidRPr="00E14EE6">
              <w:rPr>
                <w:b/>
                <w:sz w:val="14"/>
              </w:rPr>
              <w:t>0.0</w:t>
            </w:r>
          </w:p>
        </w:tc>
      </w:tr>
      <w:tr w:rsidR="00CA7676" w:rsidRPr="00E14EE6" w14:paraId="33888EF1" w14:textId="77777777" w:rsidTr="00FD6B66">
        <w:trPr>
          <w:cantSplit/>
          <w:trHeight w:val="20"/>
        </w:trPr>
        <w:tc>
          <w:tcPr>
            <w:tcW w:w="1019" w:type="pct"/>
            <w:noWrap/>
            <w:hideMark/>
          </w:tcPr>
          <w:p w14:paraId="65A91362" w14:textId="053BD39D" w:rsidR="00CA7676" w:rsidRPr="00E14EE6" w:rsidRDefault="00CA7676" w:rsidP="00E14EE6">
            <w:pPr>
              <w:jc w:val="left"/>
              <w:rPr>
                <w:rFonts w:eastAsia="Times New Roman" w:cs="Calibri"/>
                <w:b/>
                <w:bCs/>
                <w:color w:val="000000"/>
                <w:sz w:val="14"/>
                <w:szCs w:val="14"/>
              </w:rPr>
            </w:pPr>
            <w:r w:rsidRPr="00E14EE6">
              <w:rPr>
                <w:b/>
                <w:sz w:val="14"/>
              </w:rPr>
              <w:t>3</w:t>
            </w:r>
            <w:r w:rsidR="00E14EE6" w:rsidRPr="00E14EE6">
              <w:rPr>
                <w:b/>
                <w:sz w:val="14"/>
              </w:rPr>
              <w:t>. N</w:t>
            </w:r>
            <w:r w:rsidRPr="00E14EE6">
              <w:rPr>
                <w:b/>
                <w:sz w:val="14"/>
              </w:rPr>
              <w:t>et lending/</w:t>
            </w:r>
            <w:r w:rsidRPr="00E14EE6">
              <w:rPr>
                <w:b/>
                <w:sz w:val="14"/>
              </w:rPr>
              <w:br/>
              <w:t>net borrowing (3=1+2)</w:t>
            </w:r>
          </w:p>
        </w:tc>
        <w:tc>
          <w:tcPr>
            <w:tcW w:w="497" w:type="pct"/>
            <w:noWrap/>
            <w:hideMark/>
          </w:tcPr>
          <w:p w14:paraId="22597C95" w14:textId="1DC10A3C" w:rsidR="00CA7676" w:rsidRPr="00E14EE6" w:rsidRDefault="00E14EE6" w:rsidP="00E14EE6">
            <w:pPr>
              <w:jc w:val="right"/>
              <w:rPr>
                <w:rFonts w:eastAsia="Times New Roman" w:cs="Calibri"/>
                <w:b/>
                <w:bCs/>
                <w:color w:val="000000"/>
                <w:sz w:val="14"/>
                <w:szCs w:val="14"/>
              </w:rPr>
            </w:pPr>
            <w:r w:rsidRPr="00E14EE6">
              <w:rPr>
                <w:b/>
                <w:sz w:val="14"/>
              </w:rPr>
              <w:noBreakHyphen/>
            </w:r>
            <w:r w:rsidR="00CA7676" w:rsidRPr="00E14EE6">
              <w:rPr>
                <w:b/>
                <w:sz w:val="14"/>
              </w:rPr>
              <w:t>2,170.2</w:t>
            </w:r>
          </w:p>
        </w:tc>
        <w:tc>
          <w:tcPr>
            <w:tcW w:w="497" w:type="pct"/>
            <w:noWrap/>
            <w:hideMark/>
          </w:tcPr>
          <w:p w14:paraId="5E0D1BC5" w14:textId="77777777" w:rsidR="00CA7676" w:rsidRPr="00E14EE6" w:rsidRDefault="00CA7676" w:rsidP="00E14EE6">
            <w:pPr>
              <w:jc w:val="right"/>
              <w:rPr>
                <w:rFonts w:eastAsia="Times New Roman" w:cs="Calibri"/>
                <w:b/>
                <w:bCs/>
                <w:color w:val="000000"/>
                <w:sz w:val="14"/>
                <w:szCs w:val="14"/>
              </w:rPr>
            </w:pPr>
            <w:r w:rsidRPr="00E14EE6">
              <w:rPr>
                <w:b/>
                <w:sz w:val="14"/>
              </w:rPr>
              <w:t>806.8</w:t>
            </w:r>
          </w:p>
        </w:tc>
        <w:tc>
          <w:tcPr>
            <w:tcW w:w="499" w:type="pct"/>
            <w:noWrap/>
            <w:hideMark/>
          </w:tcPr>
          <w:p w14:paraId="37EF44E2" w14:textId="015114AF" w:rsidR="00CA7676" w:rsidRPr="00E14EE6" w:rsidRDefault="00E14EE6" w:rsidP="00E14EE6">
            <w:pPr>
              <w:jc w:val="right"/>
              <w:rPr>
                <w:rFonts w:eastAsia="Times New Roman" w:cs="Calibri"/>
                <w:b/>
                <w:bCs/>
                <w:color w:val="000000"/>
                <w:sz w:val="14"/>
                <w:szCs w:val="14"/>
              </w:rPr>
            </w:pPr>
            <w:r w:rsidRPr="00E14EE6">
              <w:rPr>
                <w:b/>
                <w:sz w:val="14"/>
              </w:rPr>
              <w:noBreakHyphen/>
            </w:r>
            <w:r w:rsidR="00CA7676" w:rsidRPr="00E14EE6">
              <w:rPr>
                <w:b/>
                <w:sz w:val="14"/>
              </w:rPr>
              <w:t>814.7</w:t>
            </w:r>
          </w:p>
        </w:tc>
        <w:tc>
          <w:tcPr>
            <w:tcW w:w="497" w:type="pct"/>
            <w:noWrap/>
            <w:hideMark/>
          </w:tcPr>
          <w:p w14:paraId="713276A7" w14:textId="0EB0FE34" w:rsidR="00CA7676" w:rsidRPr="00E14EE6" w:rsidRDefault="00E14EE6" w:rsidP="00E14EE6">
            <w:pPr>
              <w:jc w:val="right"/>
              <w:rPr>
                <w:rFonts w:eastAsia="Times New Roman" w:cs="Calibri"/>
                <w:b/>
                <w:bCs/>
                <w:color w:val="000000"/>
                <w:sz w:val="14"/>
                <w:szCs w:val="14"/>
              </w:rPr>
            </w:pPr>
            <w:r w:rsidRPr="00E14EE6">
              <w:rPr>
                <w:b/>
                <w:sz w:val="14"/>
              </w:rPr>
              <w:noBreakHyphen/>
            </w:r>
            <w:r w:rsidR="00CA7676" w:rsidRPr="00E14EE6">
              <w:rPr>
                <w:b/>
                <w:sz w:val="14"/>
              </w:rPr>
              <w:t>133.1</w:t>
            </w:r>
          </w:p>
        </w:tc>
        <w:tc>
          <w:tcPr>
            <w:tcW w:w="497" w:type="pct"/>
            <w:noWrap/>
            <w:hideMark/>
          </w:tcPr>
          <w:p w14:paraId="37FEDBBB" w14:textId="324C90EE" w:rsidR="00CA7676" w:rsidRPr="00E14EE6" w:rsidRDefault="00E14EE6" w:rsidP="00E14EE6">
            <w:pPr>
              <w:jc w:val="right"/>
              <w:rPr>
                <w:rFonts w:eastAsia="Times New Roman" w:cs="Calibri"/>
                <w:b/>
                <w:bCs/>
                <w:color w:val="000000"/>
                <w:sz w:val="14"/>
                <w:szCs w:val="14"/>
              </w:rPr>
            </w:pPr>
            <w:r w:rsidRPr="00E14EE6">
              <w:rPr>
                <w:b/>
                <w:sz w:val="14"/>
              </w:rPr>
              <w:noBreakHyphen/>
            </w:r>
            <w:r w:rsidR="00CA7676" w:rsidRPr="00E14EE6">
              <w:rPr>
                <w:b/>
                <w:sz w:val="14"/>
              </w:rPr>
              <w:t>1,321.5</w:t>
            </w:r>
          </w:p>
        </w:tc>
        <w:tc>
          <w:tcPr>
            <w:tcW w:w="498" w:type="pct"/>
            <w:noWrap/>
            <w:hideMark/>
          </w:tcPr>
          <w:p w14:paraId="47406089" w14:textId="2233915D" w:rsidR="00CA7676" w:rsidRPr="00E14EE6" w:rsidRDefault="00E14EE6" w:rsidP="00E14EE6">
            <w:pPr>
              <w:jc w:val="right"/>
              <w:rPr>
                <w:rFonts w:eastAsia="Times New Roman" w:cs="Calibri"/>
                <w:b/>
                <w:bCs/>
                <w:color w:val="000000"/>
                <w:sz w:val="14"/>
                <w:szCs w:val="14"/>
              </w:rPr>
            </w:pPr>
            <w:r w:rsidRPr="00E14EE6">
              <w:rPr>
                <w:b/>
                <w:sz w:val="14"/>
              </w:rPr>
              <w:noBreakHyphen/>
            </w:r>
            <w:r w:rsidR="00CA7676" w:rsidRPr="00E14EE6">
              <w:rPr>
                <w:b/>
                <w:sz w:val="14"/>
              </w:rPr>
              <w:t>1,187.9</w:t>
            </w:r>
          </w:p>
        </w:tc>
        <w:tc>
          <w:tcPr>
            <w:tcW w:w="497" w:type="pct"/>
            <w:noWrap/>
            <w:hideMark/>
          </w:tcPr>
          <w:p w14:paraId="0BC44C2D" w14:textId="078D9D54" w:rsidR="00CA7676" w:rsidRPr="00E14EE6" w:rsidRDefault="00E14EE6" w:rsidP="00E14EE6">
            <w:pPr>
              <w:jc w:val="right"/>
              <w:rPr>
                <w:rFonts w:eastAsia="Times New Roman" w:cs="Calibri"/>
                <w:b/>
                <w:bCs/>
                <w:color w:val="000000"/>
                <w:sz w:val="14"/>
                <w:szCs w:val="14"/>
              </w:rPr>
            </w:pPr>
            <w:r w:rsidRPr="00E14EE6">
              <w:rPr>
                <w:b/>
                <w:sz w:val="14"/>
              </w:rPr>
              <w:noBreakHyphen/>
            </w:r>
            <w:r w:rsidR="00CA7676" w:rsidRPr="00E14EE6">
              <w:rPr>
                <w:b/>
                <w:sz w:val="14"/>
              </w:rPr>
              <w:t>1,337.3</w:t>
            </w:r>
          </w:p>
        </w:tc>
        <w:tc>
          <w:tcPr>
            <w:tcW w:w="498" w:type="pct"/>
            <w:noWrap/>
            <w:hideMark/>
          </w:tcPr>
          <w:p w14:paraId="04AB1D1D" w14:textId="53853E1B" w:rsidR="00CA7676" w:rsidRPr="00E14EE6" w:rsidRDefault="00E14EE6" w:rsidP="00E14EE6">
            <w:pPr>
              <w:jc w:val="right"/>
              <w:rPr>
                <w:rFonts w:eastAsia="Times New Roman" w:cs="Calibri"/>
                <w:b/>
                <w:bCs/>
                <w:sz w:val="14"/>
                <w:szCs w:val="14"/>
              </w:rPr>
            </w:pPr>
            <w:r w:rsidRPr="00E14EE6">
              <w:rPr>
                <w:b/>
                <w:sz w:val="14"/>
              </w:rPr>
              <w:noBreakHyphen/>
            </w:r>
            <w:r w:rsidR="00CA7676" w:rsidRPr="00E14EE6">
              <w:rPr>
                <w:b/>
                <w:sz w:val="14"/>
              </w:rPr>
              <w:t>2,688.7</w:t>
            </w:r>
          </w:p>
        </w:tc>
      </w:tr>
      <w:tr w:rsidR="00CA7676" w:rsidRPr="00E14EE6" w14:paraId="53765953" w14:textId="77777777" w:rsidTr="00FD6B66">
        <w:trPr>
          <w:cnfStyle w:val="000000010000" w:firstRow="0" w:lastRow="0" w:firstColumn="0" w:lastColumn="0" w:oddVBand="0" w:evenVBand="0" w:oddHBand="0" w:evenHBand="1" w:firstRowFirstColumn="0" w:firstRowLastColumn="0" w:lastRowFirstColumn="0" w:lastRowLastColumn="0"/>
          <w:cantSplit/>
          <w:trHeight w:val="20"/>
        </w:trPr>
        <w:tc>
          <w:tcPr>
            <w:tcW w:w="1019" w:type="pct"/>
            <w:noWrap/>
            <w:hideMark/>
          </w:tcPr>
          <w:p w14:paraId="18E0903D" w14:textId="341CBA59" w:rsidR="00CA7676" w:rsidRPr="00E14EE6" w:rsidRDefault="00CA7676" w:rsidP="00E14EE6">
            <w:pPr>
              <w:jc w:val="left"/>
              <w:rPr>
                <w:rFonts w:eastAsia="Times New Roman" w:cs="Calibri"/>
                <w:b/>
                <w:bCs/>
                <w:color w:val="000000"/>
                <w:sz w:val="14"/>
                <w:szCs w:val="14"/>
              </w:rPr>
            </w:pPr>
            <w:r w:rsidRPr="00E14EE6">
              <w:rPr>
                <w:b/>
                <w:sz w:val="14"/>
              </w:rPr>
              <w:t>4</w:t>
            </w:r>
            <w:r w:rsidR="00E14EE6" w:rsidRPr="00E14EE6">
              <w:rPr>
                <w:b/>
                <w:sz w:val="14"/>
              </w:rPr>
              <w:t>. F</w:t>
            </w:r>
            <w:r w:rsidRPr="00E14EE6">
              <w:rPr>
                <w:b/>
                <w:sz w:val="14"/>
              </w:rPr>
              <w:t>inancial account</w:t>
            </w:r>
          </w:p>
        </w:tc>
        <w:tc>
          <w:tcPr>
            <w:tcW w:w="497" w:type="pct"/>
            <w:noWrap/>
            <w:hideMark/>
          </w:tcPr>
          <w:p w14:paraId="7A0A4215" w14:textId="2981D042" w:rsidR="00CA7676" w:rsidRPr="00E14EE6" w:rsidRDefault="00E14EE6" w:rsidP="00E14EE6">
            <w:pPr>
              <w:jc w:val="right"/>
              <w:rPr>
                <w:rFonts w:eastAsia="Times New Roman" w:cs="Calibri"/>
                <w:b/>
                <w:bCs/>
                <w:color w:val="000000"/>
                <w:sz w:val="14"/>
                <w:szCs w:val="14"/>
              </w:rPr>
            </w:pPr>
            <w:r w:rsidRPr="00E14EE6">
              <w:rPr>
                <w:b/>
                <w:sz w:val="14"/>
              </w:rPr>
              <w:noBreakHyphen/>
            </w:r>
            <w:r w:rsidR="00CA7676" w:rsidRPr="00E14EE6">
              <w:rPr>
                <w:b/>
                <w:sz w:val="14"/>
              </w:rPr>
              <w:t>3,761.7</w:t>
            </w:r>
          </w:p>
        </w:tc>
        <w:tc>
          <w:tcPr>
            <w:tcW w:w="497" w:type="pct"/>
            <w:noWrap/>
            <w:hideMark/>
          </w:tcPr>
          <w:p w14:paraId="76961C3B" w14:textId="6EE24924" w:rsidR="00CA7676" w:rsidRPr="00E14EE6" w:rsidRDefault="00E14EE6" w:rsidP="00E14EE6">
            <w:pPr>
              <w:jc w:val="right"/>
              <w:rPr>
                <w:rFonts w:eastAsia="Times New Roman" w:cs="Calibri"/>
                <w:b/>
                <w:bCs/>
                <w:color w:val="000000"/>
                <w:sz w:val="14"/>
                <w:szCs w:val="14"/>
              </w:rPr>
            </w:pPr>
            <w:r w:rsidRPr="00E14EE6">
              <w:rPr>
                <w:b/>
                <w:sz w:val="14"/>
              </w:rPr>
              <w:noBreakHyphen/>
            </w:r>
            <w:r w:rsidR="00CA7676" w:rsidRPr="00E14EE6">
              <w:rPr>
                <w:b/>
                <w:sz w:val="14"/>
              </w:rPr>
              <w:t>1,512.9</w:t>
            </w:r>
          </w:p>
        </w:tc>
        <w:tc>
          <w:tcPr>
            <w:tcW w:w="499" w:type="pct"/>
            <w:noWrap/>
            <w:hideMark/>
          </w:tcPr>
          <w:p w14:paraId="77C60655" w14:textId="3EF084F6" w:rsidR="00CA7676" w:rsidRPr="00E14EE6" w:rsidRDefault="00E14EE6" w:rsidP="00E14EE6">
            <w:pPr>
              <w:jc w:val="right"/>
              <w:rPr>
                <w:rFonts w:eastAsia="Times New Roman" w:cs="Calibri"/>
                <w:b/>
                <w:bCs/>
                <w:color w:val="000000"/>
                <w:sz w:val="14"/>
                <w:szCs w:val="14"/>
              </w:rPr>
            </w:pPr>
            <w:r w:rsidRPr="00E14EE6">
              <w:rPr>
                <w:b/>
                <w:sz w:val="14"/>
              </w:rPr>
              <w:noBreakHyphen/>
            </w:r>
            <w:r w:rsidR="00CA7676" w:rsidRPr="00E14EE6">
              <w:rPr>
                <w:b/>
                <w:sz w:val="14"/>
              </w:rPr>
              <w:t>2,454.9</w:t>
            </w:r>
          </w:p>
        </w:tc>
        <w:tc>
          <w:tcPr>
            <w:tcW w:w="497" w:type="pct"/>
            <w:noWrap/>
            <w:hideMark/>
          </w:tcPr>
          <w:p w14:paraId="02EDD14F" w14:textId="5360BB88" w:rsidR="00CA7676" w:rsidRPr="00E14EE6" w:rsidRDefault="00E14EE6" w:rsidP="00E14EE6">
            <w:pPr>
              <w:jc w:val="right"/>
              <w:rPr>
                <w:rFonts w:eastAsia="Times New Roman" w:cs="Calibri"/>
                <w:b/>
                <w:bCs/>
                <w:color w:val="000000"/>
                <w:sz w:val="14"/>
                <w:szCs w:val="14"/>
              </w:rPr>
            </w:pPr>
            <w:r w:rsidRPr="00E14EE6">
              <w:rPr>
                <w:b/>
                <w:sz w:val="14"/>
              </w:rPr>
              <w:noBreakHyphen/>
            </w:r>
            <w:r w:rsidR="00CA7676" w:rsidRPr="00E14EE6">
              <w:rPr>
                <w:b/>
                <w:sz w:val="14"/>
              </w:rPr>
              <w:t>2,120.7</w:t>
            </w:r>
          </w:p>
        </w:tc>
        <w:tc>
          <w:tcPr>
            <w:tcW w:w="497" w:type="pct"/>
            <w:noWrap/>
            <w:hideMark/>
          </w:tcPr>
          <w:p w14:paraId="788382DC" w14:textId="4C67F37D" w:rsidR="00CA7676" w:rsidRPr="00E14EE6" w:rsidRDefault="00E14EE6" w:rsidP="00E14EE6">
            <w:pPr>
              <w:jc w:val="right"/>
              <w:rPr>
                <w:rFonts w:eastAsia="Times New Roman" w:cs="Calibri"/>
                <w:b/>
                <w:bCs/>
                <w:color w:val="000000"/>
                <w:sz w:val="14"/>
                <w:szCs w:val="14"/>
              </w:rPr>
            </w:pPr>
            <w:r w:rsidRPr="00E14EE6">
              <w:rPr>
                <w:b/>
                <w:sz w:val="14"/>
              </w:rPr>
              <w:noBreakHyphen/>
            </w:r>
            <w:r w:rsidR="00CA7676" w:rsidRPr="00E14EE6">
              <w:rPr>
                <w:b/>
                <w:sz w:val="14"/>
              </w:rPr>
              <w:t>3,083.0</w:t>
            </w:r>
          </w:p>
        </w:tc>
        <w:tc>
          <w:tcPr>
            <w:tcW w:w="498" w:type="pct"/>
            <w:noWrap/>
            <w:hideMark/>
          </w:tcPr>
          <w:p w14:paraId="684036D8" w14:textId="2D98A199" w:rsidR="00CA7676" w:rsidRPr="00E14EE6" w:rsidRDefault="00E14EE6" w:rsidP="00E14EE6">
            <w:pPr>
              <w:jc w:val="right"/>
              <w:rPr>
                <w:rFonts w:eastAsia="Times New Roman" w:cs="Calibri"/>
                <w:b/>
                <w:bCs/>
                <w:color w:val="000000"/>
                <w:sz w:val="14"/>
                <w:szCs w:val="14"/>
              </w:rPr>
            </w:pPr>
            <w:r w:rsidRPr="00E14EE6">
              <w:rPr>
                <w:b/>
                <w:sz w:val="14"/>
              </w:rPr>
              <w:noBreakHyphen/>
            </w:r>
            <w:r w:rsidR="00CA7676" w:rsidRPr="00E14EE6">
              <w:rPr>
                <w:b/>
                <w:sz w:val="14"/>
              </w:rPr>
              <w:t>3,138.7</w:t>
            </w:r>
          </w:p>
        </w:tc>
        <w:tc>
          <w:tcPr>
            <w:tcW w:w="497" w:type="pct"/>
            <w:noWrap/>
            <w:hideMark/>
          </w:tcPr>
          <w:p w14:paraId="0284F63B" w14:textId="5E90D4FA" w:rsidR="00CA7676" w:rsidRPr="00E14EE6" w:rsidRDefault="00E14EE6" w:rsidP="00E14EE6">
            <w:pPr>
              <w:jc w:val="right"/>
              <w:rPr>
                <w:rFonts w:eastAsia="Times New Roman" w:cs="Calibri"/>
                <w:b/>
                <w:bCs/>
                <w:color w:val="000000"/>
                <w:sz w:val="14"/>
                <w:szCs w:val="14"/>
              </w:rPr>
            </w:pPr>
            <w:r w:rsidRPr="00E14EE6">
              <w:rPr>
                <w:b/>
                <w:sz w:val="14"/>
              </w:rPr>
              <w:noBreakHyphen/>
            </w:r>
            <w:r w:rsidR="00CA7676" w:rsidRPr="00E14EE6">
              <w:rPr>
                <w:b/>
                <w:sz w:val="14"/>
              </w:rPr>
              <w:t>3,497.8</w:t>
            </w:r>
          </w:p>
        </w:tc>
        <w:tc>
          <w:tcPr>
            <w:tcW w:w="498" w:type="pct"/>
            <w:noWrap/>
            <w:hideMark/>
          </w:tcPr>
          <w:p w14:paraId="41E6EF47" w14:textId="50253F6C" w:rsidR="00CA7676" w:rsidRPr="00E14EE6" w:rsidRDefault="00E14EE6" w:rsidP="00E14EE6">
            <w:pPr>
              <w:jc w:val="right"/>
              <w:rPr>
                <w:rFonts w:eastAsia="Times New Roman" w:cs="Calibri"/>
                <w:b/>
                <w:bCs/>
                <w:sz w:val="14"/>
                <w:szCs w:val="14"/>
              </w:rPr>
            </w:pPr>
            <w:r w:rsidRPr="00E14EE6">
              <w:rPr>
                <w:b/>
                <w:sz w:val="14"/>
              </w:rPr>
              <w:noBreakHyphen/>
            </w:r>
            <w:r w:rsidR="00CA7676" w:rsidRPr="00E14EE6">
              <w:rPr>
                <w:b/>
                <w:sz w:val="14"/>
              </w:rPr>
              <w:t>4,786.1</w:t>
            </w:r>
          </w:p>
        </w:tc>
      </w:tr>
      <w:tr w:rsidR="00CA7676" w:rsidRPr="00E14EE6" w14:paraId="58BEAE05" w14:textId="77777777" w:rsidTr="00FD6B66">
        <w:trPr>
          <w:cantSplit/>
          <w:trHeight w:val="20"/>
        </w:trPr>
        <w:tc>
          <w:tcPr>
            <w:tcW w:w="1019" w:type="pct"/>
            <w:noWrap/>
            <w:hideMark/>
          </w:tcPr>
          <w:p w14:paraId="7E4DB085" w14:textId="77777777" w:rsidR="00CA7676" w:rsidRPr="00E14EE6" w:rsidRDefault="00CA7676" w:rsidP="00E14EE6">
            <w:pPr>
              <w:jc w:val="left"/>
              <w:rPr>
                <w:rFonts w:eastAsia="Times New Roman" w:cs="Calibri"/>
                <w:color w:val="000000"/>
                <w:sz w:val="14"/>
                <w:szCs w:val="14"/>
              </w:rPr>
            </w:pPr>
            <w:r w:rsidRPr="00E14EE6">
              <w:rPr>
                <w:sz w:val="14"/>
              </w:rPr>
              <w:t>Direct investment</w:t>
            </w:r>
          </w:p>
        </w:tc>
        <w:tc>
          <w:tcPr>
            <w:tcW w:w="497" w:type="pct"/>
            <w:noWrap/>
            <w:hideMark/>
          </w:tcPr>
          <w:p w14:paraId="0579E9B0" w14:textId="33FDCC31" w:rsidR="00CA7676" w:rsidRPr="00E14EE6" w:rsidRDefault="00E14EE6" w:rsidP="00E14EE6">
            <w:pPr>
              <w:jc w:val="right"/>
              <w:rPr>
                <w:rFonts w:eastAsia="Times New Roman" w:cs="Calibri"/>
                <w:color w:val="000000"/>
                <w:sz w:val="14"/>
                <w:szCs w:val="14"/>
              </w:rPr>
            </w:pPr>
            <w:r w:rsidRPr="00E14EE6">
              <w:rPr>
                <w:sz w:val="14"/>
              </w:rPr>
              <w:noBreakHyphen/>
            </w:r>
            <w:r w:rsidR="00CA7676" w:rsidRPr="00E14EE6">
              <w:rPr>
                <w:sz w:val="14"/>
              </w:rPr>
              <w:t>2,208.5</w:t>
            </w:r>
          </w:p>
        </w:tc>
        <w:tc>
          <w:tcPr>
            <w:tcW w:w="497" w:type="pct"/>
            <w:noWrap/>
            <w:hideMark/>
          </w:tcPr>
          <w:p w14:paraId="3106B2B8" w14:textId="570F9956" w:rsidR="00CA7676" w:rsidRPr="00E14EE6" w:rsidRDefault="00E14EE6" w:rsidP="00E14EE6">
            <w:pPr>
              <w:jc w:val="right"/>
              <w:rPr>
                <w:rFonts w:eastAsia="Times New Roman" w:cs="Calibri"/>
                <w:color w:val="000000"/>
                <w:sz w:val="14"/>
                <w:szCs w:val="14"/>
              </w:rPr>
            </w:pPr>
            <w:r w:rsidRPr="00E14EE6">
              <w:rPr>
                <w:sz w:val="14"/>
              </w:rPr>
              <w:noBreakHyphen/>
            </w:r>
            <w:r w:rsidR="00CA7676" w:rsidRPr="00E14EE6">
              <w:rPr>
                <w:sz w:val="14"/>
              </w:rPr>
              <w:t>2,204.9</w:t>
            </w:r>
          </w:p>
        </w:tc>
        <w:tc>
          <w:tcPr>
            <w:tcW w:w="499" w:type="pct"/>
            <w:noWrap/>
            <w:hideMark/>
          </w:tcPr>
          <w:p w14:paraId="69031602" w14:textId="4B21C782" w:rsidR="00CA7676" w:rsidRPr="00E14EE6" w:rsidRDefault="00E14EE6" w:rsidP="00E14EE6">
            <w:pPr>
              <w:jc w:val="right"/>
              <w:rPr>
                <w:rFonts w:eastAsia="Times New Roman" w:cs="Calibri"/>
                <w:color w:val="000000"/>
                <w:sz w:val="14"/>
                <w:szCs w:val="14"/>
              </w:rPr>
            </w:pPr>
            <w:r w:rsidRPr="00E14EE6">
              <w:rPr>
                <w:sz w:val="14"/>
              </w:rPr>
              <w:noBreakHyphen/>
            </w:r>
            <w:r w:rsidR="00CA7676" w:rsidRPr="00E14EE6">
              <w:rPr>
                <w:sz w:val="14"/>
              </w:rPr>
              <w:t>2,406.7</w:t>
            </w:r>
          </w:p>
        </w:tc>
        <w:tc>
          <w:tcPr>
            <w:tcW w:w="497" w:type="pct"/>
            <w:noWrap/>
            <w:hideMark/>
          </w:tcPr>
          <w:p w14:paraId="36702A69" w14:textId="29B13447" w:rsidR="00CA7676" w:rsidRPr="00E14EE6" w:rsidRDefault="00E14EE6" w:rsidP="00E14EE6">
            <w:pPr>
              <w:jc w:val="right"/>
              <w:rPr>
                <w:rFonts w:eastAsia="Times New Roman" w:cs="Calibri"/>
                <w:color w:val="000000"/>
                <w:sz w:val="14"/>
                <w:szCs w:val="14"/>
              </w:rPr>
            </w:pPr>
            <w:r w:rsidRPr="00E14EE6">
              <w:rPr>
                <w:sz w:val="14"/>
              </w:rPr>
              <w:noBreakHyphen/>
            </w:r>
            <w:r w:rsidR="00CA7676" w:rsidRPr="00E14EE6">
              <w:rPr>
                <w:sz w:val="14"/>
              </w:rPr>
              <w:t>3,570.7</w:t>
            </w:r>
          </w:p>
        </w:tc>
        <w:tc>
          <w:tcPr>
            <w:tcW w:w="497" w:type="pct"/>
            <w:noWrap/>
            <w:hideMark/>
          </w:tcPr>
          <w:p w14:paraId="0817D644" w14:textId="4AFAD2F0" w:rsidR="00CA7676" w:rsidRPr="00E14EE6" w:rsidRDefault="00E14EE6" w:rsidP="00E14EE6">
            <w:pPr>
              <w:jc w:val="right"/>
              <w:rPr>
                <w:rFonts w:eastAsia="Times New Roman" w:cs="Calibri"/>
                <w:color w:val="000000"/>
                <w:sz w:val="14"/>
                <w:szCs w:val="14"/>
              </w:rPr>
            </w:pPr>
            <w:r w:rsidRPr="00E14EE6">
              <w:rPr>
                <w:sz w:val="14"/>
              </w:rPr>
              <w:noBreakHyphen/>
            </w:r>
            <w:r w:rsidR="00CA7676" w:rsidRPr="00E14EE6">
              <w:rPr>
                <w:sz w:val="14"/>
              </w:rPr>
              <w:t>2,535.3</w:t>
            </w:r>
          </w:p>
        </w:tc>
        <w:tc>
          <w:tcPr>
            <w:tcW w:w="498" w:type="pct"/>
            <w:noWrap/>
            <w:hideMark/>
          </w:tcPr>
          <w:p w14:paraId="15839332" w14:textId="73DCF7D1" w:rsidR="00CA7676" w:rsidRPr="00E14EE6" w:rsidRDefault="00E14EE6" w:rsidP="00E14EE6">
            <w:pPr>
              <w:jc w:val="right"/>
              <w:rPr>
                <w:rFonts w:eastAsia="Times New Roman" w:cs="Calibri"/>
                <w:color w:val="000000"/>
                <w:sz w:val="14"/>
                <w:szCs w:val="14"/>
              </w:rPr>
            </w:pPr>
            <w:r w:rsidRPr="00E14EE6">
              <w:rPr>
                <w:sz w:val="14"/>
              </w:rPr>
              <w:noBreakHyphen/>
            </w:r>
            <w:r w:rsidR="00CA7676" w:rsidRPr="00E14EE6">
              <w:rPr>
                <w:sz w:val="14"/>
              </w:rPr>
              <w:t>3,021.0</w:t>
            </w:r>
          </w:p>
        </w:tc>
        <w:tc>
          <w:tcPr>
            <w:tcW w:w="497" w:type="pct"/>
            <w:noWrap/>
            <w:hideMark/>
          </w:tcPr>
          <w:p w14:paraId="73B2AA3F" w14:textId="71058A2F" w:rsidR="00CA7676" w:rsidRPr="00E14EE6" w:rsidRDefault="00E14EE6" w:rsidP="00E14EE6">
            <w:pPr>
              <w:jc w:val="right"/>
              <w:rPr>
                <w:rFonts w:eastAsia="Times New Roman" w:cs="Calibri"/>
                <w:color w:val="000000"/>
                <w:sz w:val="14"/>
                <w:szCs w:val="14"/>
              </w:rPr>
            </w:pPr>
            <w:r w:rsidRPr="00E14EE6">
              <w:rPr>
                <w:sz w:val="14"/>
              </w:rPr>
              <w:noBreakHyphen/>
            </w:r>
            <w:r w:rsidR="00CA7676" w:rsidRPr="00E14EE6">
              <w:rPr>
                <w:sz w:val="14"/>
              </w:rPr>
              <w:t>2,559.6</w:t>
            </w:r>
          </w:p>
        </w:tc>
        <w:tc>
          <w:tcPr>
            <w:tcW w:w="498" w:type="pct"/>
            <w:noWrap/>
            <w:hideMark/>
          </w:tcPr>
          <w:p w14:paraId="283A1EDC" w14:textId="3176F9FF" w:rsidR="00CA7676" w:rsidRPr="00E14EE6" w:rsidRDefault="00E14EE6" w:rsidP="00E14EE6">
            <w:pPr>
              <w:jc w:val="right"/>
              <w:rPr>
                <w:rFonts w:eastAsia="Times New Roman" w:cs="Calibri"/>
                <w:sz w:val="14"/>
                <w:szCs w:val="14"/>
              </w:rPr>
            </w:pPr>
            <w:r w:rsidRPr="00E14EE6">
              <w:rPr>
                <w:sz w:val="14"/>
              </w:rPr>
              <w:noBreakHyphen/>
            </w:r>
            <w:r w:rsidR="00CA7676" w:rsidRPr="00E14EE6">
              <w:rPr>
                <w:sz w:val="14"/>
              </w:rPr>
              <w:t>3,102.1</w:t>
            </w:r>
          </w:p>
        </w:tc>
      </w:tr>
      <w:tr w:rsidR="00CA7676" w:rsidRPr="00E14EE6" w14:paraId="2C65D2ED" w14:textId="77777777" w:rsidTr="00FD6B66">
        <w:trPr>
          <w:cnfStyle w:val="000000010000" w:firstRow="0" w:lastRow="0" w:firstColumn="0" w:lastColumn="0" w:oddVBand="0" w:evenVBand="0" w:oddHBand="0" w:evenHBand="1" w:firstRowFirstColumn="0" w:firstRowLastColumn="0" w:lastRowFirstColumn="0" w:lastRowLastColumn="0"/>
          <w:cantSplit/>
          <w:trHeight w:val="20"/>
        </w:trPr>
        <w:tc>
          <w:tcPr>
            <w:tcW w:w="1019" w:type="pct"/>
            <w:noWrap/>
            <w:hideMark/>
          </w:tcPr>
          <w:p w14:paraId="2626D653" w14:textId="77777777" w:rsidR="00CA7676" w:rsidRPr="00E14EE6" w:rsidRDefault="00CA7676" w:rsidP="00E14EE6">
            <w:pPr>
              <w:jc w:val="left"/>
              <w:rPr>
                <w:rFonts w:eastAsia="Times New Roman" w:cs="Calibri"/>
                <w:color w:val="000000"/>
                <w:sz w:val="14"/>
                <w:szCs w:val="14"/>
              </w:rPr>
            </w:pPr>
            <w:r w:rsidRPr="00E14EE6">
              <w:rPr>
                <w:sz w:val="14"/>
              </w:rPr>
              <w:t>Portfolio investment</w:t>
            </w:r>
          </w:p>
        </w:tc>
        <w:tc>
          <w:tcPr>
            <w:tcW w:w="497" w:type="pct"/>
            <w:noWrap/>
            <w:hideMark/>
          </w:tcPr>
          <w:p w14:paraId="3AF90632" w14:textId="00119B9F" w:rsidR="00CA7676" w:rsidRPr="00E14EE6" w:rsidRDefault="00E14EE6" w:rsidP="00E14EE6">
            <w:pPr>
              <w:jc w:val="right"/>
              <w:rPr>
                <w:rFonts w:eastAsia="Times New Roman" w:cs="Calibri"/>
                <w:color w:val="000000"/>
                <w:sz w:val="14"/>
                <w:szCs w:val="14"/>
              </w:rPr>
            </w:pPr>
            <w:r w:rsidRPr="00E14EE6">
              <w:rPr>
                <w:sz w:val="14"/>
              </w:rPr>
              <w:noBreakHyphen/>
            </w:r>
            <w:r w:rsidR="00CA7676" w:rsidRPr="00E14EE6">
              <w:rPr>
                <w:sz w:val="14"/>
              </w:rPr>
              <w:t>1,482.4</w:t>
            </w:r>
          </w:p>
        </w:tc>
        <w:tc>
          <w:tcPr>
            <w:tcW w:w="497" w:type="pct"/>
            <w:noWrap/>
            <w:hideMark/>
          </w:tcPr>
          <w:p w14:paraId="7E6F700C" w14:textId="17D45ABF" w:rsidR="00CA7676" w:rsidRPr="00E14EE6" w:rsidRDefault="00E14EE6" w:rsidP="00E14EE6">
            <w:pPr>
              <w:jc w:val="right"/>
              <w:rPr>
                <w:rFonts w:eastAsia="Times New Roman" w:cs="Calibri"/>
                <w:color w:val="000000"/>
                <w:sz w:val="14"/>
                <w:szCs w:val="14"/>
              </w:rPr>
            </w:pPr>
            <w:r w:rsidRPr="00E14EE6">
              <w:rPr>
                <w:sz w:val="14"/>
              </w:rPr>
              <w:noBreakHyphen/>
            </w:r>
            <w:r w:rsidR="00CA7676" w:rsidRPr="00E14EE6">
              <w:rPr>
                <w:sz w:val="14"/>
              </w:rPr>
              <w:t>3,457.7</w:t>
            </w:r>
          </w:p>
        </w:tc>
        <w:tc>
          <w:tcPr>
            <w:tcW w:w="499" w:type="pct"/>
            <w:noWrap/>
            <w:hideMark/>
          </w:tcPr>
          <w:p w14:paraId="142A6BEE" w14:textId="406F0297" w:rsidR="00CA7676" w:rsidRPr="00E14EE6" w:rsidRDefault="00E14EE6" w:rsidP="00E14EE6">
            <w:pPr>
              <w:jc w:val="right"/>
              <w:rPr>
                <w:rFonts w:eastAsia="Times New Roman" w:cs="Calibri"/>
                <w:color w:val="000000"/>
                <w:sz w:val="14"/>
                <w:szCs w:val="14"/>
              </w:rPr>
            </w:pPr>
            <w:r w:rsidRPr="00E14EE6">
              <w:rPr>
                <w:sz w:val="14"/>
              </w:rPr>
              <w:noBreakHyphen/>
            </w:r>
            <w:r w:rsidR="00CA7676" w:rsidRPr="00E14EE6">
              <w:rPr>
                <w:sz w:val="14"/>
              </w:rPr>
              <w:t>1,729.3</w:t>
            </w:r>
          </w:p>
        </w:tc>
        <w:tc>
          <w:tcPr>
            <w:tcW w:w="497" w:type="pct"/>
            <w:noWrap/>
            <w:hideMark/>
          </w:tcPr>
          <w:p w14:paraId="3A7B4EC5" w14:textId="465BD03B" w:rsidR="00CA7676" w:rsidRPr="00E14EE6" w:rsidRDefault="00E14EE6" w:rsidP="00E14EE6">
            <w:pPr>
              <w:jc w:val="right"/>
              <w:rPr>
                <w:rFonts w:eastAsia="Times New Roman" w:cs="Calibri"/>
                <w:color w:val="000000"/>
                <w:sz w:val="14"/>
                <w:szCs w:val="14"/>
              </w:rPr>
            </w:pPr>
            <w:r w:rsidRPr="00E14EE6">
              <w:rPr>
                <w:sz w:val="14"/>
              </w:rPr>
              <w:noBreakHyphen/>
            </w:r>
            <w:r w:rsidR="00CA7676" w:rsidRPr="00E14EE6">
              <w:rPr>
                <w:sz w:val="14"/>
              </w:rPr>
              <w:t>1,756.7</w:t>
            </w:r>
          </w:p>
        </w:tc>
        <w:tc>
          <w:tcPr>
            <w:tcW w:w="497" w:type="pct"/>
            <w:noWrap/>
            <w:hideMark/>
          </w:tcPr>
          <w:p w14:paraId="2789B615" w14:textId="609FEF34" w:rsidR="00CA7676" w:rsidRPr="00E14EE6" w:rsidRDefault="00E14EE6" w:rsidP="00E14EE6">
            <w:pPr>
              <w:jc w:val="right"/>
              <w:rPr>
                <w:rFonts w:eastAsia="Times New Roman" w:cs="Calibri"/>
                <w:color w:val="000000"/>
                <w:sz w:val="14"/>
                <w:szCs w:val="14"/>
              </w:rPr>
            </w:pPr>
            <w:r w:rsidRPr="00E14EE6">
              <w:rPr>
                <w:sz w:val="14"/>
              </w:rPr>
              <w:noBreakHyphen/>
            </w:r>
            <w:r w:rsidR="00CA7676" w:rsidRPr="00E14EE6">
              <w:rPr>
                <w:sz w:val="14"/>
              </w:rPr>
              <w:t>2,696.1</w:t>
            </w:r>
          </w:p>
        </w:tc>
        <w:tc>
          <w:tcPr>
            <w:tcW w:w="498" w:type="pct"/>
            <w:noWrap/>
            <w:hideMark/>
          </w:tcPr>
          <w:p w14:paraId="691B0749" w14:textId="4747AD1A" w:rsidR="00CA7676" w:rsidRPr="00E14EE6" w:rsidRDefault="00E14EE6" w:rsidP="00E14EE6">
            <w:pPr>
              <w:jc w:val="right"/>
              <w:rPr>
                <w:rFonts w:eastAsia="Times New Roman" w:cs="Calibri"/>
                <w:color w:val="000000"/>
                <w:sz w:val="14"/>
                <w:szCs w:val="14"/>
              </w:rPr>
            </w:pPr>
            <w:r w:rsidRPr="00E14EE6">
              <w:rPr>
                <w:sz w:val="14"/>
              </w:rPr>
              <w:noBreakHyphen/>
            </w:r>
            <w:r w:rsidR="00CA7676" w:rsidRPr="00E14EE6">
              <w:rPr>
                <w:sz w:val="14"/>
              </w:rPr>
              <w:t>2,177.6</w:t>
            </w:r>
          </w:p>
        </w:tc>
        <w:tc>
          <w:tcPr>
            <w:tcW w:w="497" w:type="pct"/>
            <w:noWrap/>
            <w:hideMark/>
          </w:tcPr>
          <w:p w14:paraId="4CF37C8C" w14:textId="6095850E" w:rsidR="00CA7676" w:rsidRPr="00E14EE6" w:rsidRDefault="00E14EE6" w:rsidP="00E14EE6">
            <w:pPr>
              <w:jc w:val="right"/>
              <w:rPr>
                <w:rFonts w:eastAsia="Times New Roman" w:cs="Calibri"/>
                <w:color w:val="000000"/>
                <w:sz w:val="14"/>
                <w:szCs w:val="14"/>
              </w:rPr>
            </w:pPr>
            <w:r w:rsidRPr="00E14EE6">
              <w:rPr>
                <w:sz w:val="14"/>
              </w:rPr>
              <w:noBreakHyphen/>
            </w:r>
            <w:r w:rsidR="00CA7676" w:rsidRPr="00E14EE6">
              <w:rPr>
                <w:sz w:val="14"/>
              </w:rPr>
              <w:t>5,620.1</w:t>
            </w:r>
          </w:p>
        </w:tc>
        <w:tc>
          <w:tcPr>
            <w:tcW w:w="498" w:type="pct"/>
            <w:noWrap/>
            <w:hideMark/>
          </w:tcPr>
          <w:p w14:paraId="33FDD875" w14:textId="1B31EBFF" w:rsidR="00CA7676" w:rsidRPr="00E14EE6" w:rsidRDefault="00E14EE6" w:rsidP="00E14EE6">
            <w:pPr>
              <w:jc w:val="right"/>
              <w:rPr>
                <w:rFonts w:eastAsia="Times New Roman" w:cs="Calibri"/>
                <w:sz w:val="14"/>
                <w:szCs w:val="14"/>
              </w:rPr>
            </w:pPr>
            <w:r w:rsidRPr="00E14EE6">
              <w:rPr>
                <w:sz w:val="14"/>
              </w:rPr>
              <w:noBreakHyphen/>
            </w:r>
            <w:r w:rsidR="00CA7676" w:rsidRPr="00E14EE6">
              <w:rPr>
                <w:sz w:val="14"/>
              </w:rPr>
              <w:t>2,596.4</w:t>
            </w:r>
          </w:p>
        </w:tc>
      </w:tr>
      <w:tr w:rsidR="00CA7676" w:rsidRPr="00E14EE6" w14:paraId="1893489A" w14:textId="77777777" w:rsidTr="00FD6B66">
        <w:trPr>
          <w:cantSplit/>
          <w:trHeight w:val="20"/>
        </w:trPr>
        <w:tc>
          <w:tcPr>
            <w:tcW w:w="1019" w:type="pct"/>
            <w:noWrap/>
            <w:hideMark/>
          </w:tcPr>
          <w:p w14:paraId="5959A071" w14:textId="64BE74DA" w:rsidR="00CA7676" w:rsidRPr="00E14EE6" w:rsidRDefault="00CA7676" w:rsidP="00E14EE6">
            <w:pPr>
              <w:jc w:val="left"/>
              <w:rPr>
                <w:rFonts w:eastAsia="Times New Roman" w:cs="Calibri"/>
                <w:color w:val="000000"/>
                <w:sz w:val="14"/>
                <w:szCs w:val="14"/>
              </w:rPr>
            </w:pPr>
            <w:r w:rsidRPr="00E14EE6">
              <w:rPr>
                <w:sz w:val="14"/>
              </w:rPr>
              <w:t>Medium</w:t>
            </w:r>
            <w:r w:rsidR="00E14EE6" w:rsidRPr="00E14EE6">
              <w:rPr>
                <w:sz w:val="14"/>
              </w:rPr>
              <w:noBreakHyphen/>
            </w:r>
            <w:r w:rsidRPr="00E14EE6">
              <w:rPr>
                <w:sz w:val="14"/>
              </w:rPr>
              <w:t xml:space="preserve"> and long</w:t>
            </w:r>
            <w:r w:rsidR="00E14EE6" w:rsidRPr="00E14EE6">
              <w:rPr>
                <w:sz w:val="14"/>
              </w:rPr>
              <w:noBreakHyphen/>
            </w:r>
            <w:r w:rsidRPr="00E14EE6">
              <w:rPr>
                <w:sz w:val="14"/>
              </w:rPr>
              <w:t>term public and private debt (net)</w:t>
            </w:r>
          </w:p>
        </w:tc>
        <w:tc>
          <w:tcPr>
            <w:tcW w:w="497" w:type="pct"/>
            <w:noWrap/>
            <w:hideMark/>
          </w:tcPr>
          <w:p w14:paraId="5E6D00CA" w14:textId="003FF064" w:rsidR="00CA7676" w:rsidRPr="00E14EE6" w:rsidRDefault="00E14EE6" w:rsidP="00E14EE6">
            <w:pPr>
              <w:jc w:val="right"/>
              <w:rPr>
                <w:rFonts w:eastAsia="Times New Roman" w:cs="Calibri"/>
                <w:color w:val="000000"/>
                <w:sz w:val="14"/>
                <w:szCs w:val="14"/>
              </w:rPr>
            </w:pPr>
            <w:r w:rsidRPr="00E14EE6">
              <w:rPr>
                <w:sz w:val="14"/>
              </w:rPr>
              <w:noBreakHyphen/>
            </w:r>
            <w:r w:rsidR="00CA7676" w:rsidRPr="00E14EE6">
              <w:rPr>
                <w:sz w:val="14"/>
              </w:rPr>
              <w:t>53.2</w:t>
            </w:r>
          </w:p>
        </w:tc>
        <w:tc>
          <w:tcPr>
            <w:tcW w:w="497" w:type="pct"/>
            <w:noWrap/>
            <w:hideMark/>
          </w:tcPr>
          <w:p w14:paraId="16C43B3F" w14:textId="77777777" w:rsidR="00CA7676" w:rsidRPr="00E14EE6" w:rsidRDefault="00CA7676" w:rsidP="00E14EE6">
            <w:pPr>
              <w:jc w:val="right"/>
              <w:rPr>
                <w:rFonts w:eastAsia="Times New Roman" w:cs="Calibri"/>
                <w:color w:val="000000"/>
                <w:sz w:val="14"/>
                <w:szCs w:val="14"/>
              </w:rPr>
            </w:pPr>
            <w:r w:rsidRPr="00E14EE6">
              <w:rPr>
                <w:sz w:val="14"/>
              </w:rPr>
              <w:t>4,101.6</w:t>
            </w:r>
          </w:p>
        </w:tc>
        <w:tc>
          <w:tcPr>
            <w:tcW w:w="499" w:type="pct"/>
            <w:noWrap/>
            <w:hideMark/>
          </w:tcPr>
          <w:p w14:paraId="0121AF04" w14:textId="77777777" w:rsidR="00CA7676" w:rsidRPr="00E14EE6" w:rsidRDefault="00CA7676" w:rsidP="00E14EE6">
            <w:pPr>
              <w:jc w:val="right"/>
              <w:rPr>
                <w:rFonts w:eastAsia="Times New Roman" w:cs="Calibri"/>
                <w:color w:val="000000"/>
                <w:sz w:val="14"/>
                <w:szCs w:val="14"/>
              </w:rPr>
            </w:pPr>
            <w:r w:rsidRPr="00E14EE6">
              <w:rPr>
                <w:sz w:val="14"/>
              </w:rPr>
              <w:t>692.5</w:t>
            </w:r>
          </w:p>
        </w:tc>
        <w:tc>
          <w:tcPr>
            <w:tcW w:w="497" w:type="pct"/>
            <w:noWrap/>
            <w:hideMark/>
          </w:tcPr>
          <w:p w14:paraId="0443D8BD" w14:textId="77777777" w:rsidR="00CA7676" w:rsidRPr="00E14EE6" w:rsidRDefault="00CA7676" w:rsidP="00E14EE6">
            <w:pPr>
              <w:jc w:val="right"/>
              <w:rPr>
                <w:rFonts w:eastAsia="Times New Roman" w:cs="Calibri"/>
                <w:color w:val="000000"/>
                <w:sz w:val="14"/>
                <w:szCs w:val="14"/>
              </w:rPr>
            </w:pPr>
            <w:r w:rsidRPr="00E14EE6">
              <w:rPr>
                <w:sz w:val="14"/>
              </w:rPr>
              <w:t>1,192.8</w:t>
            </w:r>
          </w:p>
        </w:tc>
        <w:tc>
          <w:tcPr>
            <w:tcW w:w="497" w:type="pct"/>
            <w:noWrap/>
            <w:hideMark/>
          </w:tcPr>
          <w:p w14:paraId="39DE8B8D" w14:textId="77777777" w:rsidR="00CA7676" w:rsidRPr="00E14EE6" w:rsidRDefault="00CA7676" w:rsidP="00E14EE6">
            <w:pPr>
              <w:jc w:val="right"/>
              <w:rPr>
                <w:rFonts w:eastAsia="Times New Roman" w:cs="Calibri"/>
                <w:color w:val="000000"/>
                <w:sz w:val="14"/>
                <w:szCs w:val="14"/>
              </w:rPr>
            </w:pPr>
            <w:r w:rsidRPr="00E14EE6">
              <w:rPr>
                <w:sz w:val="14"/>
              </w:rPr>
              <w:t>153.0</w:t>
            </w:r>
          </w:p>
        </w:tc>
        <w:tc>
          <w:tcPr>
            <w:tcW w:w="498" w:type="pct"/>
            <w:noWrap/>
            <w:hideMark/>
          </w:tcPr>
          <w:p w14:paraId="299C6ABC" w14:textId="77777777" w:rsidR="00CA7676" w:rsidRPr="00E14EE6" w:rsidRDefault="00CA7676" w:rsidP="00E14EE6">
            <w:pPr>
              <w:jc w:val="right"/>
              <w:rPr>
                <w:rFonts w:eastAsia="Times New Roman" w:cs="Calibri"/>
                <w:color w:val="000000"/>
                <w:sz w:val="14"/>
                <w:szCs w:val="14"/>
              </w:rPr>
            </w:pPr>
            <w:r w:rsidRPr="00E14EE6">
              <w:rPr>
                <w:sz w:val="14"/>
              </w:rPr>
              <w:t>650.1</w:t>
            </w:r>
          </w:p>
        </w:tc>
        <w:tc>
          <w:tcPr>
            <w:tcW w:w="497" w:type="pct"/>
            <w:noWrap/>
            <w:hideMark/>
          </w:tcPr>
          <w:p w14:paraId="70B785F6" w14:textId="0555C1FF" w:rsidR="00CA7676" w:rsidRPr="00E14EE6" w:rsidRDefault="00E14EE6" w:rsidP="00E14EE6">
            <w:pPr>
              <w:jc w:val="right"/>
              <w:rPr>
                <w:rFonts w:eastAsia="Times New Roman" w:cs="Calibri"/>
                <w:color w:val="000000"/>
                <w:sz w:val="14"/>
                <w:szCs w:val="14"/>
              </w:rPr>
            </w:pPr>
            <w:r w:rsidRPr="00E14EE6">
              <w:rPr>
                <w:sz w:val="14"/>
              </w:rPr>
              <w:noBreakHyphen/>
            </w:r>
            <w:r w:rsidR="00CA7676" w:rsidRPr="00E14EE6">
              <w:rPr>
                <w:sz w:val="14"/>
              </w:rPr>
              <w:t>312.4</w:t>
            </w:r>
          </w:p>
        </w:tc>
        <w:tc>
          <w:tcPr>
            <w:tcW w:w="498" w:type="pct"/>
            <w:noWrap/>
            <w:hideMark/>
          </w:tcPr>
          <w:p w14:paraId="4B9B1C23" w14:textId="77777777" w:rsidR="00CA7676" w:rsidRPr="00E14EE6" w:rsidRDefault="00CA7676" w:rsidP="00E14EE6">
            <w:pPr>
              <w:jc w:val="right"/>
              <w:rPr>
                <w:rFonts w:eastAsia="Times New Roman" w:cs="Calibri"/>
                <w:sz w:val="14"/>
                <w:szCs w:val="14"/>
              </w:rPr>
            </w:pPr>
            <w:r w:rsidRPr="00E14EE6">
              <w:rPr>
                <w:sz w:val="14"/>
              </w:rPr>
              <w:t>181.8</w:t>
            </w:r>
          </w:p>
        </w:tc>
      </w:tr>
      <w:tr w:rsidR="00CA7676" w:rsidRPr="00E14EE6" w14:paraId="12CECD32" w14:textId="77777777" w:rsidTr="00FD6B66">
        <w:trPr>
          <w:cnfStyle w:val="000000010000" w:firstRow="0" w:lastRow="0" w:firstColumn="0" w:lastColumn="0" w:oddVBand="0" w:evenVBand="0" w:oddHBand="0" w:evenHBand="1" w:firstRowFirstColumn="0" w:firstRowLastColumn="0" w:lastRowFirstColumn="0" w:lastRowLastColumn="0"/>
          <w:cantSplit/>
          <w:trHeight w:val="20"/>
        </w:trPr>
        <w:tc>
          <w:tcPr>
            <w:tcW w:w="1019" w:type="pct"/>
            <w:noWrap/>
            <w:hideMark/>
          </w:tcPr>
          <w:p w14:paraId="65550646" w14:textId="0C625B16" w:rsidR="00CA7676" w:rsidRPr="00E14EE6" w:rsidRDefault="00CA7676" w:rsidP="00E14EE6">
            <w:pPr>
              <w:jc w:val="left"/>
              <w:rPr>
                <w:rFonts w:eastAsia="Times New Roman" w:cs="Calibri"/>
                <w:color w:val="000000"/>
                <w:sz w:val="14"/>
                <w:szCs w:val="14"/>
              </w:rPr>
            </w:pPr>
            <w:r w:rsidRPr="00E14EE6">
              <w:rPr>
                <w:sz w:val="14"/>
              </w:rPr>
              <w:t>Short</w:t>
            </w:r>
            <w:r w:rsidR="00E14EE6" w:rsidRPr="00E14EE6">
              <w:rPr>
                <w:sz w:val="14"/>
              </w:rPr>
              <w:noBreakHyphen/>
            </w:r>
            <w:r w:rsidRPr="00E14EE6">
              <w:rPr>
                <w:sz w:val="14"/>
              </w:rPr>
              <w:t>term public and private debt (net)</w:t>
            </w:r>
          </w:p>
        </w:tc>
        <w:tc>
          <w:tcPr>
            <w:tcW w:w="497" w:type="pct"/>
            <w:noWrap/>
            <w:hideMark/>
          </w:tcPr>
          <w:p w14:paraId="09DE8C77" w14:textId="0CDA5021" w:rsidR="00CA7676" w:rsidRPr="00E14EE6" w:rsidRDefault="00E14EE6" w:rsidP="00E14EE6">
            <w:pPr>
              <w:jc w:val="right"/>
              <w:rPr>
                <w:rFonts w:eastAsia="Times New Roman" w:cs="Calibri"/>
                <w:color w:val="000000"/>
                <w:sz w:val="14"/>
                <w:szCs w:val="14"/>
              </w:rPr>
            </w:pPr>
            <w:r w:rsidRPr="00E14EE6">
              <w:rPr>
                <w:sz w:val="14"/>
              </w:rPr>
              <w:noBreakHyphen/>
            </w:r>
            <w:r w:rsidR="00CA7676" w:rsidRPr="00E14EE6">
              <w:rPr>
                <w:sz w:val="14"/>
              </w:rPr>
              <w:t>503.7</w:t>
            </w:r>
          </w:p>
        </w:tc>
        <w:tc>
          <w:tcPr>
            <w:tcW w:w="497" w:type="pct"/>
            <w:noWrap/>
            <w:hideMark/>
          </w:tcPr>
          <w:p w14:paraId="39BF6D53" w14:textId="0402A1F5" w:rsidR="00CA7676" w:rsidRPr="00E14EE6" w:rsidRDefault="00E14EE6" w:rsidP="00E14EE6">
            <w:pPr>
              <w:jc w:val="right"/>
              <w:rPr>
                <w:rFonts w:eastAsia="Times New Roman" w:cs="Calibri"/>
                <w:color w:val="000000"/>
                <w:sz w:val="14"/>
                <w:szCs w:val="14"/>
              </w:rPr>
            </w:pPr>
            <w:r w:rsidRPr="00E14EE6">
              <w:rPr>
                <w:sz w:val="14"/>
              </w:rPr>
              <w:noBreakHyphen/>
            </w:r>
            <w:r w:rsidR="00CA7676" w:rsidRPr="00E14EE6">
              <w:rPr>
                <w:sz w:val="14"/>
              </w:rPr>
              <w:t>206.9</w:t>
            </w:r>
          </w:p>
        </w:tc>
        <w:tc>
          <w:tcPr>
            <w:tcW w:w="499" w:type="pct"/>
            <w:noWrap/>
            <w:hideMark/>
          </w:tcPr>
          <w:p w14:paraId="7FD1D68D" w14:textId="08012841" w:rsidR="00CA7676" w:rsidRPr="00E14EE6" w:rsidRDefault="00E14EE6" w:rsidP="00E14EE6">
            <w:pPr>
              <w:jc w:val="right"/>
              <w:rPr>
                <w:rFonts w:eastAsia="Times New Roman" w:cs="Calibri"/>
                <w:color w:val="000000"/>
                <w:sz w:val="14"/>
                <w:szCs w:val="14"/>
              </w:rPr>
            </w:pPr>
            <w:r w:rsidRPr="00E14EE6">
              <w:rPr>
                <w:sz w:val="14"/>
              </w:rPr>
              <w:noBreakHyphen/>
            </w:r>
            <w:r w:rsidR="00CA7676" w:rsidRPr="00E14EE6">
              <w:rPr>
                <w:sz w:val="14"/>
              </w:rPr>
              <w:t>61.7</w:t>
            </w:r>
          </w:p>
        </w:tc>
        <w:tc>
          <w:tcPr>
            <w:tcW w:w="497" w:type="pct"/>
            <w:noWrap/>
            <w:hideMark/>
          </w:tcPr>
          <w:p w14:paraId="3020D16A" w14:textId="77777777" w:rsidR="00CA7676" w:rsidRPr="00E14EE6" w:rsidRDefault="00CA7676" w:rsidP="00E14EE6">
            <w:pPr>
              <w:jc w:val="right"/>
              <w:rPr>
                <w:rFonts w:eastAsia="Times New Roman" w:cs="Calibri"/>
                <w:color w:val="000000"/>
                <w:sz w:val="14"/>
                <w:szCs w:val="14"/>
              </w:rPr>
            </w:pPr>
            <w:r w:rsidRPr="00E14EE6">
              <w:rPr>
                <w:sz w:val="14"/>
              </w:rPr>
              <w:t>185.8</w:t>
            </w:r>
          </w:p>
        </w:tc>
        <w:tc>
          <w:tcPr>
            <w:tcW w:w="497" w:type="pct"/>
            <w:noWrap/>
            <w:hideMark/>
          </w:tcPr>
          <w:p w14:paraId="760EA273" w14:textId="77777777" w:rsidR="00CA7676" w:rsidRPr="00E14EE6" w:rsidRDefault="00CA7676" w:rsidP="00E14EE6">
            <w:pPr>
              <w:jc w:val="right"/>
              <w:rPr>
                <w:rFonts w:eastAsia="Times New Roman" w:cs="Calibri"/>
                <w:color w:val="000000"/>
                <w:sz w:val="14"/>
                <w:szCs w:val="14"/>
              </w:rPr>
            </w:pPr>
            <w:r w:rsidRPr="00E14EE6">
              <w:rPr>
                <w:sz w:val="14"/>
              </w:rPr>
              <w:t>235.4</w:t>
            </w:r>
          </w:p>
        </w:tc>
        <w:tc>
          <w:tcPr>
            <w:tcW w:w="498" w:type="pct"/>
            <w:noWrap/>
            <w:hideMark/>
          </w:tcPr>
          <w:p w14:paraId="2A7B18E7" w14:textId="44CF1D9C" w:rsidR="00CA7676" w:rsidRPr="00E14EE6" w:rsidRDefault="00E14EE6" w:rsidP="00E14EE6">
            <w:pPr>
              <w:jc w:val="right"/>
              <w:rPr>
                <w:rFonts w:eastAsia="Times New Roman" w:cs="Calibri"/>
                <w:color w:val="000000"/>
                <w:sz w:val="14"/>
                <w:szCs w:val="14"/>
              </w:rPr>
            </w:pPr>
            <w:r w:rsidRPr="00E14EE6">
              <w:rPr>
                <w:sz w:val="14"/>
              </w:rPr>
              <w:noBreakHyphen/>
            </w:r>
            <w:r w:rsidR="00CA7676" w:rsidRPr="00E14EE6">
              <w:rPr>
                <w:sz w:val="14"/>
              </w:rPr>
              <w:t>482.6</w:t>
            </w:r>
          </w:p>
        </w:tc>
        <w:tc>
          <w:tcPr>
            <w:tcW w:w="497" w:type="pct"/>
            <w:noWrap/>
            <w:hideMark/>
          </w:tcPr>
          <w:p w14:paraId="4F772AF6" w14:textId="77777777" w:rsidR="00CA7676" w:rsidRPr="00E14EE6" w:rsidRDefault="00CA7676" w:rsidP="00E14EE6">
            <w:pPr>
              <w:jc w:val="right"/>
              <w:rPr>
                <w:rFonts w:eastAsia="Times New Roman" w:cs="Calibri"/>
                <w:color w:val="000000"/>
                <w:sz w:val="14"/>
                <w:szCs w:val="14"/>
              </w:rPr>
            </w:pPr>
            <w:r w:rsidRPr="00E14EE6">
              <w:rPr>
                <w:sz w:val="14"/>
              </w:rPr>
              <w:t>590.3</w:t>
            </w:r>
          </w:p>
        </w:tc>
        <w:tc>
          <w:tcPr>
            <w:tcW w:w="498" w:type="pct"/>
            <w:noWrap/>
            <w:hideMark/>
          </w:tcPr>
          <w:p w14:paraId="29B7FF6D" w14:textId="6B287C09" w:rsidR="00CA7676" w:rsidRPr="00E14EE6" w:rsidRDefault="00E14EE6" w:rsidP="00E14EE6">
            <w:pPr>
              <w:jc w:val="right"/>
              <w:rPr>
                <w:rFonts w:eastAsia="Times New Roman" w:cs="Calibri"/>
                <w:sz w:val="14"/>
                <w:szCs w:val="14"/>
              </w:rPr>
            </w:pPr>
            <w:r w:rsidRPr="00E14EE6">
              <w:rPr>
                <w:sz w:val="14"/>
              </w:rPr>
              <w:noBreakHyphen/>
            </w:r>
            <w:r w:rsidR="00CA7676" w:rsidRPr="00E14EE6">
              <w:rPr>
                <w:sz w:val="14"/>
              </w:rPr>
              <w:t>186.4</w:t>
            </w:r>
          </w:p>
        </w:tc>
      </w:tr>
      <w:tr w:rsidR="00CA7676" w:rsidRPr="00E14EE6" w14:paraId="0C3A6821" w14:textId="77777777" w:rsidTr="00FD6B66">
        <w:trPr>
          <w:cantSplit/>
          <w:trHeight w:val="20"/>
        </w:trPr>
        <w:tc>
          <w:tcPr>
            <w:tcW w:w="1019" w:type="pct"/>
            <w:noWrap/>
            <w:hideMark/>
          </w:tcPr>
          <w:p w14:paraId="22A2AD6A" w14:textId="75FE426B" w:rsidR="00CA7676" w:rsidRPr="00E14EE6" w:rsidRDefault="00CA7676" w:rsidP="00E14EE6">
            <w:pPr>
              <w:jc w:val="left"/>
              <w:rPr>
                <w:rFonts w:eastAsia="Times New Roman" w:cs="Calibri"/>
                <w:color w:val="000000"/>
                <w:sz w:val="14"/>
                <w:szCs w:val="14"/>
              </w:rPr>
            </w:pPr>
            <w:r w:rsidRPr="00E14EE6">
              <w:rPr>
                <w:sz w:val="14"/>
              </w:rPr>
              <w:t>Currency and deposits</w:t>
            </w:r>
          </w:p>
        </w:tc>
        <w:tc>
          <w:tcPr>
            <w:tcW w:w="497" w:type="pct"/>
            <w:noWrap/>
            <w:hideMark/>
          </w:tcPr>
          <w:p w14:paraId="55E38277" w14:textId="77777777" w:rsidR="00CA7676" w:rsidRPr="00E14EE6" w:rsidRDefault="00CA7676" w:rsidP="00E14EE6">
            <w:pPr>
              <w:jc w:val="right"/>
              <w:rPr>
                <w:rFonts w:eastAsia="Times New Roman" w:cs="Calibri"/>
                <w:color w:val="000000"/>
                <w:sz w:val="14"/>
                <w:szCs w:val="14"/>
              </w:rPr>
            </w:pPr>
            <w:r w:rsidRPr="00E14EE6">
              <w:rPr>
                <w:sz w:val="14"/>
              </w:rPr>
              <w:t>361.3</w:t>
            </w:r>
          </w:p>
        </w:tc>
        <w:tc>
          <w:tcPr>
            <w:tcW w:w="497" w:type="pct"/>
            <w:noWrap/>
            <w:hideMark/>
          </w:tcPr>
          <w:p w14:paraId="1410E999" w14:textId="161DDB8A" w:rsidR="00CA7676" w:rsidRPr="00E14EE6" w:rsidRDefault="00E14EE6" w:rsidP="00E14EE6">
            <w:pPr>
              <w:jc w:val="right"/>
              <w:rPr>
                <w:rFonts w:eastAsia="Times New Roman" w:cs="Calibri"/>
                <w:color w:val="000000"/>
                <w:sz w:val="14"/>
                <w:szCs w:val="14"/>
              </w:rPr>
            </w:pPr>
            <w:r w:rsidRPr="00E14EE6">
              <w:rPr>
                <w:sz w:val="14"/>
              </w:rPr>
              <w:noBreakHyphen/>
            </w:r>
            <w:r w:rsidR="00CA7676" w:rsidRPr="00E14EE6">
              <w:rPr>
                <w:sz w:val="14"/>
              </w:rPr>
              <w:t>114.3</w:t>
            </w:r>
          </w:p>
        </w:tc>
        <w:tc>
          <w:tcPr>
            <w:tcW w:w="499" w:type="pct"/>
            <w:noWrap/>
            <w:hideMark/>
          </w:tcPr>
          <w:p w14:paraId="67DE484E" w14:textId="77777777" w:rsidR="00CA7676" w:rsidRPr="00E14EE6" w:rsidRDefault="00CA7676" w:rsidP="00E14EE6">
            <w:pPr>
              <w:jc w:val="right"/>
              <w:rPr>
                <w:rFonts w:eastAsia="Times New Roman" w:cs="Calibri"/>
                <w:color w:val="000000"/>
                <w:sz w:val="14"/>
                <w:szCs w:val="14"/>
              </w:rPr>
            </w:pPr>
            <w:r w:rsidRPr="00E14EE6">
              <w:rPr>
                <w:sz w:val="14"/>
              </w:rPr>
              <w:t>611.2</w:t>
            </w:r>
          </w:p>
        </w:tc>
        <w:tc>
          <w:tcPr>
            <w:tcW w:w="497" w:type="pct"/>
            <w:noWrap/>
            <w:hideMark/>
          </w:tcPr>
          <w:p w14:paraId="5588BB3E" w14:textId="77777777" w:rsidR="00CA7676" w:rsidRPr="00E14EE6" w:rsidRDefault="00CA7676" w:rsidP="00E14EE6">
            <w:pPr>
              <w:jc w:val="right"/>
              <w:rPr>
                <w:rFonts w:eastAsia="Times New Roman" w:cs="Calibri"/>
                <w:color w:val="000000"/>
                <w:sz w:val="14"/>
                <w:szCs w:val="14"/>
              </w:rPr>
            </w:pPr>
            <w:r w:rsidRPr="00E14EE6">
              <w:rPr>
                <w:sz w:val="14"/>
              </w:rPr>
              <w:t>1,289.4</w:t>
            </w:r>
          </w:p>
        </w:tc>
        <w:tc>
          <w:tcPr>
            <w:tcW w:w="497" w:type="pct"/>
            <w:noWrap/>
            <w:hideMark/>
          </w:tcPr>
          <w:p w14:paraId="79840A5E" w14:textId="77777777" w:rsidR="00CA7676" w:rsidRPr="00E14EE6" w:rsidRDefault="00CA7676" w:rsidP="00E14EE6">
            <w:pPr>
              <w:jc w:val="right"/>
              <w:rPr>
                <w:rFonts w:eastAsia="Times New Roman" w:cs="Calibri"/>
                <w:color w:val="000000"/>
                <w:sz w:val="14"/>
                <w:szCs w:val="14"/>
              </w:rPr>
            </w:pPr>
            <w:r w:rsidRPr="00E14EE6">
              <w:rPr>
                <w:sz w:val="14"/>
              </w:rPr>
              <w:t>1,293.5</w:t>
            </w:r>
          </w:p>
        </w:tc>
        <w:tc>
          <w:tcPr>
            <w:tcW w:w="498" w:type="pct"/>
            <w:noWrap/>
            <w:hideMark/>
          </w:tcPr>
          <w:p w14:paraId="598EB7FA" w14:textId="77777777" w:rsidR="00CA7676" w:rsidRPr="00E14EE6" w:rsidRDefault="00CA7676" w:rsidP="00E14EE6">
            <w:pPr>
              <w:jc w:val="right"/>
              <w:rPr>
                <w:rFonts w:eastAsia="Times New Roman" w:cs="Calibri"/>
                <w:color w:val="000000"/>
                <w:sz w:val="14"/>
                <w:szCs w:val="14"/>
              </w:rPr>
            </w:pPr>
            <w:r w:rsidRPr="00E14EE6">
              <w:rPr>
                <w:sz w:val="14"/>
              </w:rPr>
              <w:t>1,560.4</w:t>
            </w:r>
          </w:p>
        </w:tc>
        <w:tc>
          <w:tcPr>
            <w:tcW w:w="497" w:type="pct"/>
            <w:noWrap/>
            <w:hideMark/>
          </w:tcPr>
          <w:p w14:paraId="5334C72A" w14:textId="77777777" w:rsidR="00CA7676" w:rsidRPr="00E14EE6" w:rsidRDefault="00CA7676" w:rsidP="00E14EE6">
            <w:pPr>
              <w:jc w:val="right"/>
              <w:rPr>
                <w:rFonts w:eastAsia="Times New Roman" w:cs="Calibri"/>
                <w:color w:val="000000"/>
                <w:sz w:val="14"/>
                <w:szCs w:val="14"/>
              </w:rPr>
            </w:pPr>
            <w:r w:rsidRPr="00E14EE6">
              <w:rPr>
                <w:sz w:val="14"/>
              </w:rPr>
              <w:t>4,137.9</w:t>
            </w:r>
          </w:p>
        </w:tc>
        <w:tc>
          <w:tcPr>
            <w:tcW w:w="498" w:type="pct"/>
            <w:noWrap/>
            <w:hideMark/>
          </w:tcPr>
          <w:p w14:paraId="2AC96BD4" w14:textId="77777777" w:rsidR="00CA7676" w:rsidRPr="00E14EE6" w:rsidRDefault="00CA7676" w:rsidP="00E14EE6">
            <w:pPr>
              <w:jc w:val="right"/>
              <w:rPr>
                <w:rFonts w:eastAsia="Times New Roman" w:cs="Calibri"/>
                <w:sz w:val="14"/>
                <w:szCs w:val="14"/>
              </w:rPr>
            </w:pPr>
            <w:r w:rsidRPr="00E14EE6">
              <w:rPr>
                <w:sz w:val="14"/>
              </w:rPr>
              <w:t>243.3</w:t>
            </w:r>
          </w:p>
        </w:tc>
      </w:tr>
      <w:tr w:rsidR="00CA7676" w:rsidRPr="00E14EE6" w14:paraId="44F4F6E1" w14:textId="77777777" w:rsidTr="00FD6B66">
        <w:trPr>
          <w:cnfStyle w:val="000000010000" w:firstRow="0" w:lastRow="0" w:firstColumn="0" w:lastColumn="0" w:oddVBand="0" w:evenVBand="0" w:oddHBand="0" w:evenHBand="1" w:firstRowFirstColumn="0" w:firstRowLastColumn="0" w:lastRowFirstColumn="0" w:lastRowLastColumn="0"/>
          <w:cantSplit/>
          <w:trHeight w:val="20"/>
        </w:trPr>
        <w:tc>
          <w:tcPr>
            <w:tcW w:w="1019" w:type="pct"/>
            <w:noWrap/>
            <w:hideMark/>
          </w:tcPr>
          <w:p w14:paraId="37B971BC" w14:textId="77777777" w:rsidR="00CA7676" w:rsidRPr="00E14EE6" w:rsidRDefault="00CA7676" w:rsidP="00E14EE6">
            <w:pPr>
              <w:jc w:val="left"/>
              <w:rPr>
                <w:rFonts w:eastAsia="Times New Roman" w:cs="Calibri"/>
                <w:color w:val="000000"/>
                <w:sz w:val="14"/>
                <w:szCs w:val="14"/>
              </w:rPr>
            </w:pPr>
            <w:proofErr w:type="spellStart"/>
            <w:r w:rsidRPr="00E14EE6">
              <w:rPr>
                <w:sz w:val="14"/>
              </w:rPr>
              <w:t>Other</w:t>
            </w:r>
            <w:r w:rsidRPr="00E14EE6">
              <w:rPr>
                <w:sz w:val="14"/>
                <w:vertAlign w:val="superscript"/>
              </w:rPr>
              <w:t>b</w:t>
            </w:r>
            <w:proofErr w:type="spellEnd"/>
          </w:p>
        </w:tc>
        <w:tc>
          <w:tcPr>
            <w:tcW w:w="497" w:type="pct"/>
            <w:noWrap/>
            <w:hideMark/>
          </w:tcPr>
          <w:p w14:paraId="604D1887" w14:textId="77777777" w:rsidR="00CA7676" w:rsidRPr="00E14EE6" w:rsidRDefault="00CA7676" w:rsidP="00E14EE6">
            <w:pPr>
              <w:jc w:val="right"/>
              <w:rPr>
                <w:rFonts w:eastAsia="Times New Roman" w:cs="Calibri"/>
                <w:color w:val="000000"/>
                <w:sz w:val="14"/>
                <w:szCs w:val="14"/>
              </w:rPr>
            </w:pPr>
            <w:r w:rsidRPr="00E14EE6">
              <w:rPr>
                <w:sz w:val="14"/>
              </w:rPr>
              <w:t>124.8</w:t>
            </w:r>
          </w:p>
        </w:tc>
        <w:tc>
          <w:tcPr>
            <w:tcW w:w="497" w:type="pct"/>
            <w:noWrap/>
            <w:hideMark/>
          </w:tcPr>
          <w:p w14:paraId="08B2EE14" w14:textId="77777777" w:rsidR="00CA7676" w:rsidRPr="00E14EE6" w:rsidRDefault="00CA7676" w:rsidP="00E14EE6">
            <w:pPr>
              <w:jc w:val="right"/>
              <w:rPr>
                <w:rFonts w:eastAsia="Times New Roman" w:cs="Calibri"/>
                <w:color w:val="000000"/>
                <w:sz w:val="14"/>
                <w:szCs w:val="14"/>
              </w:rPr>
            </w:pPr>
            <w:r w:rsidRPr="00E14EE6">
              <w:rPr>
                <w:sz w:val="14"/>
              </w:rPr>
              <w:t>369.3</w:t>
            </w:r>
          </w:p>
        </w:tc>
        <w:tc>
          <w:tcPr>
            <w:tcW w:w="499" w:type="pct"/>
            <w:noWrap/>
            <w:hideMark/>
          </w:tcPr>
          <w:p w14:paraId="5364327B" w14:textId="77777777" w:rsidR="00CA7676" w:rsidRPr="00E14EE6" w:rsidRDefault="00CA7676" w:rsidP="00E14EE6">
            <w:pPr>
              <w:jc w:val="right"/>
              <w:rPr>
                <w:rFonts w:eastAsia="Times New Roman" w:cs="Calibri"/>
                <w:color w:val="000000"/>
                <w:sz w:val="14"/>
                <w:szCs w:val="14"/>
              </w:rPr>
            </w:pPr>
            <w:r w:rsidRPr="00E14EE6">
              <w:rPr>
                <w:sz w:val="14"/>
              </w:rPr>
              <w:t>439.1</w:t>
            </w:r>
          </w:p>
        </w:tc>
        <w:tc>
          <w:tcPr>
            <w:tcW w:w="497" w:type="pct"/>
            <w:noWrap/>
            <w:hideMark/>
          </w:tcPr>
          <w:p w14:paraId="45F181E2" w14:textId="77777777" w:rsidR="00CA7676" w:rsidRPr="00E14EE6" w:rsidRDefault="00CA7676" w:rsidP="00E14EE6">
            <w:pPr>
              <w:jc w:val="right"/>
              <w:rPr>
                <w:rFonts w:eastAsia="Times New Roman" w:cs="Calibri"/>
                <w:color w:val="000000"/>
                <w:sz w:val="14"/>
                <w:szCs w:val="14"/>
              </w:rPr>
            </w:pPr>
            <w:r w:rsidRPr="00E14EE6">
              <w:rPr>
                <w:sz w:val="14"/>
              </w:rPr>
              <w:t>538.7</w:t>
            </w:r>
          </w:p>
        </w:tc>
        <w:tc>
          <w:tcPr>
            <w:tcW w:w="497" w:type="pct"/>
            <w:noWrap/>
            <w:hideMark/>
          </w:tcPr>
          <w:p w14:paraId="5D1095D7" w14:textId="77777777" w:rsidR="00CA7676" w:rsidRPr="00E14EE6" w:rsidRDefault="00CA7676" w:rsidP="00E14EE6">
            <w:pPr>
              <w:jc w:val="right"/>
              <w:rPr>
                <w:rFonts w:eastAsia="Times New Roman" w:cs="Calibri"/>
                <w:color w:val="000000"/>
                <w:sz w:val="14"/>
                <w:szCs w:val="14"/>
              </w:rPr>
            </w:pPr>
            <w:r w:rsidRPr="00E14EE6">
              <w:rPr>
                <w:sz w:val="14"/>
              </w:rPr>
              <w:t>466.5</w:t>
            </w:r>
          </w:p>
        </w:tc>
        <w:tc>
          <w:tcPr>
            <w:tcW w:w="498" w:type="pct"/>
            <w:noWrap/>
            <w:hideMark/>
          </w:tcPr>
          <w:p w14:paraId="605131AB" w14:textId="77777777" w:rsidR="00CA7676" w:rsidRPr="00E14EE6" w:rsidRDefault="00CA7676" w:rsidP="00E14EE6">
            <w:pPr>
              <w:jc w:val="right"/>
              <w:rPr>
                <w:rFonts w:eastAsia="Times New Roman" w:cs="Calibri"/>
                <w:color w:val="000000"/>
                <w:sz w:val="14"/>
                <w:szCs w:val="14"/>
              </w:rPr>
            </w:pPr>
            <w:r w:rsidRPr="00E14EE6">
              <w:rPr>
                <w:sz w:val="14"/>
              </w:rPr>
              <w:t>332.0</w:t>
            </w:r>
          </w:p>
        </w:tc>
        <w:tc>
          <w:tcPr>
            <w:tcW w:w="497" w:type="pct"/>
            <w:noWrap/>
            <w:hideMark/>
          </w:tcPr>
          <w:p w14:paraId="25EB61C9" w14:textId="77777777" w:rsidR="00CA7676" w:rsidRPr="00E14EE6" w:rsidRDefault="00CA7676" w:rsidP="00E14EE6">
            <w:pPr>
              <w:jc w:val="right"/>
              <w:rPr>
                <w:rFonts w:eastAsia="Times New Roman" w:cs="Calibri"/>
                <w:color w:val="000000"/>
                <w:sz w:val="14"/>
                <w:szCs w:val="14"/>
              </w:rPr>
            </w:pPr>
            <w:r w:rsidRPr="00E14EE6">
              <w:rPr>
                <w:sz w:val="14"/>
              </w:rPr>
              <w:t>266.1</w:t>
            </w:r>
          </w:p>
        </w:tc>
        <w:tc>
          <w:tcPr>
            <w:tcW w:w="498" w:type="pct"/>
            <w:noWrap/>
            <w:hideMark/>
          </w:tcPr>
          <w:p w14:paraId="52132EBD" w14:textId="77777777" w:rsidR="00CA7676" w:rsidRPr="00E14EE6" w:rsidRDefault="00CA7676" w:rsidP="00E14EE6">
            <w:pPr>
              <w:jc w:val="right"/>
              <w:rPr>
                <w:rFonts w:eastAsia="Times New Roman" w:cs="Calibri"/>
                <w:sz w:val="14"/>
                <w:szCs w:val="14"/>
              </w:rPr>
            </w:pPr>
            <w:r w:rsidRPr="00E14EE6">
              <w:rPr>
                <w:sz w:val="14"/>
              </w:rPr>
              <w:t>673.7</w:t>
            </w:r>
          </w:p>
        </w:tc>
      </w:tr>
      <w:tr w:rsidR="00CA7676" w:rsidRPr="00E14EE6" w14:paraId="3AA24302" w14:textId="77777777" w:rsidTr="00FD6B66">
        <w:trPr>
          <w:cantSplit/>
          <w:trHeight w:val="20"/>
        </w:trPr>
        <w:tc>
          <w:tcPr>
            <w:tcW w:w="1019" w:type="pct"/>
            <w:noWrap/>
            <w:hideMark/>
          </w:tcPr>
          <w:p w14:paraId="04AFF700" w14:textId="71E06675" w:rsidR="00CA7676" w:rsidRPr="00E14EE6" w:rsidRDefault="00CA7676" w:rsidP="00E14EE6">
            <w:pPr>
              <w:jc w:val="left"/>
              <w:rPr>
                <w:rFonts w:eastAsia="Times New Roman" w:cs="Calibri"/>
                <w:b/>
                <w:bCs/>
                <w:color w:val="000000"/>
                <w:sz w:val="14"/>
                <w:szCs w:val="14"/>
              </w:rPr>
            </w:pPr>
            <w:r w:rsidRPr="00E14EE6">
              <w:rPr>
                <w:b/>
                <w:sz w:val="14"/>
              </w:rPr>
              <w:t>5</w:t>
            </w:r>
            <w:r w:rsidR="00E14EE6" w:rsidRPr="00E14EE6">
              <w:rPr>
                <w:b/>
                <w:sz w:val="14"/>
              </w:rPr>
              <w:t>. B</w:t>
            </w:r>
            <w:r w:rsidRPr="00E14EE6">
              <w:rPr>
                <w:b/>
                <w:sz w:val="14"/>
              </w:rPr>
              <w:t>alance</w:t>
            </w:r>
          </w:p>
        </w:tc>
        <w:tc>
          <w:tcPr>
            <w:tcW w:w="497" w:type="pct"/>
            <w:noWrap/>
            <w:hideMark/>
          </w:tcPr>
          <w:p w14:paraId="6DA365A2" w14:textId="77777777" w:rsidR="00CA7676" w:rsidRPr="00E14EE6" w:rsidRDefault="00CA7676" w:rsidP="00E14EE6">
            <w:pPr>
              <w:jc w:val="right"/>
              <w:rPr>
                <w:rFonts w:eastAsia="Times New Roman" w:cs="Calibri"/>
                <w:b/>
                <w:bCs/>
                <w:color w:val="000000"/>
                <w:sz w:val="14"/>
                <w:szCs w:val="14"/>
              </w:rPr>
            </w:pPr>
            <w:r w:rsidRPr="00E14EE6">
              <w:rPr>
                <w:b/>
                <w:sz w:val="14"/>
              </w:rPr>
              <w:t>650.1</w:t>
            </w:r>
          </w:p>
        </w:tc>
        <w:tc>
          <w:tcPr>
            <w:tcW w:w="497" w:type="pct"/>
            <w:noWrap/>
            <w:hideMark/>
          </w:tcPr>
          <w:p w14:paraId="307EDF41" w14:textId="77777777" w:rsidR="00CA7676" w:rsidRPr="00E14EE6" w:rsidRDefault="00CA7676" w:rsidP="00E14EE6">
            <w:pPr>
              <w:jc w:val="right"/>
              <w:rPr>
                <w:rFonts w:eastAsia="Times New Roman" w:cs="Calibri"/>
                <w:b/>
                <w:bCs/>
                <w:color w:val="000000"/>
                <w:sz w:val="14"/>
                <w:szCs w:val="14"/>
              </w:rPr>
            </w:pPr>
            <w:r w:rsidRPr="00E14EE6">
              <w:rPr>
                <w:b/>
                <w:sz w:val="14"/>
              </w:rPr>
              <w:t>770.2</w:t>
            </w:r>
          </w:p>
        </w:tc>
        <w:tc>
          <w:tcPr>
            <w:tcW w:w="499" w:type="pct"/>
            <w:noWrap/>
            <w:hideMark/>
          </w:tcPr>
          <w:p w14:paraId="0E478D91" w14:textId="77777777" w:rsidR="00CA7676" w:rsidRPr="00E14EE6" w:rsidRDefault="00CA7676" w:rsidP="00E14EE6">
            <w:pPr>
              <w:jc w:val="right"/>
              <w:rPr>
                <w:rFonts w:eastAsia="Times New Roman" w:cs="Calibri"/>
                <w:b/>
                <w:bCs/>
                <w:color w:val="000000"/>
                <w:sz w:val="14"/>
                <w:szCs w:val="14"/>
              </w:rPr>
            </w:pPr>
            <w:r w:rsidRPr="00E14EE6">
              <w:rPr>
                <w:b/>
                <w:sz w:val="14"/>
              </w:rPr>
              <w:t>891.9</w:t>
            </w:r>
          </w:p>
        </w:tc>
        <w:tc>
          <w:tcPr>
            <w:tcW w:w="497" w:type="pct"/>
            <w:noWrap/>
            <w:hideMark/>
          </w:tcPr>
          <w:p w14:paraId="6A0EBC0E" w14:textId="77777777" w:rsidR="00CA7676" w:rsidRPr="00E14EE6" w:rsidRDefault="00CA7676" w:rsidP="00E14EE6">
            <w:pPr>
              <w:jc w:val="right"/>
              <w:rPr>
                <w:rFonts w:eastAsia="Times New Roman" w:cs="Calibri"/>
                <w:b/>
                <w:bCs/>
                <w:color w:val="000000"/>
                <w:sz w:val="14"/>
                <w:szCs w:val="14"/>
              </w:rPr>
            </w:pPr>
            <w:r w:rsidRPr="00E14EE6">
              <w:rPr>
                <w:b/>
                <w:sz w:val="14"/>
              </w:rPr>
              <w:t>727.7</w:t>
            </w:r>
          </w:p>
        </w:tc>
        <w:tc>
          <w:tcPr>
            <w:tcW w:w="497" w:type="pct"/>
            <w:noWrap/>
            <w:hideMark/>
          </w:tcPr>
          <w:p w14:paraId="525150C2" w14:textId="77777777" w:rsidR="00CA7676" w:rsidRPr="00E14EE6" w:rsidRDefault="00CA7676" w:rsidP="00E14EE6">
            <w:pPr>
              <w:jc w:val="right"/>
              <w:rPr>
                <w:rFonts w:eastAsia="Times New Roman" w:cs="Calibri"/>
                <w:b/>
                <w:bCs/>
                <w:color w:val="000000"/>
                <w:sz w:val="14"/>
                <w:szCs w:val="14"/>
              </w:rPr>
            </w:pPr>
            <w:r w:rsidRPr="00E14EE6">
              <w:rPr>
                <w:b/>
                <w:sz w:val="14"/>
              </w:rPr>
              <w:t>833.1</w:t>
            </w:r>
          </w:p>
        </w:tc>
        <w:tc>
          <w:tcPr>
            <w:tcW w:w="498" w:type="pct"/>
            <w:noWrap/>
            <w:hideMark/>
          </w:tcPr>
          <w:p w14:paraId="1493FCFE" w14:textId="77777777" w:rsidR="00CA7676" w:rsidRPr="00E14EE6" w:rsidRDefault="00CA7676" w:rsidP="00E14EE6">
            <w:pPr>
              <w:jc w:val="right"/>
              <w:rPr>
                <w:rFonts w:eastAsia="Times New Roman" w:cs="Calibri"/>
                <w:b/>
                <w:bCs/>
                <w:color w:val="000000"/>
                <w:sz w:val="14"/>
                <w:szCs w:val="14"/>
              </w:rPr>
            </w:pPr>
            <w:r w:rsidRPr="00E14EE6">
              <w:rPr>
                <w:b/>
                <w:sz w:val="14"/>
              </w:rPr>
              <w:t>1,125.3</w:t>
            </w:r>
          </w:p>
        </w:tc>
        <w:tc>
          <w:tcPr>
            <w:tcW w:w="497" w:type="pct"/>
            <w:noWrap/>
            <w:hideMark/>
          </w:tcPr>
          <w:p w14:paraId="0C5D5FF0" w14:textId="77777777" w:rsidR="00CA7676" w:rsidRPr="00E14EE6" w:rsidRDefault="00CA7676" w:rsidP="00E14EE6">
            <w:pPr>
              <w:jc w:val="right"/>
              <w:rPr>
                <w:rFonts w:eastAsia="Times New Roman" w:cs="Calibri"/>
                <w:b/>
                <w:bCs/>
                <w:color w:val="000000"/>
                <w:sz w:val="14"/>
                <w:szCs w:val="14"/>
              </w:rPr>
            </w:pPr>
            <w:r w:rsidRPr="00E14EE6">
              <w:rPr>
                <w:b/>
                <w:sz w:val="14"/>
              </w:rPr>
              <w:t>1,295.0</w:t>
            </w:r>
          </w:p>
        </w:tc>
        <w:tc>
          <w:tcPr>
            <w:tcW w:w="498" w:type="pct"/>
            <w:noWrap/>
            <w:hideMark/>
          </w:tcPr>
          <w:p w14:paraId="75362E7C" w14:textId="77777777" w:rsidR="00CA7676" w:rsidRPr="00E14EE6" w:rsidRDefault="00CA7676" w:rsidP="00E14EE6">
            <w:pPr>
              <w:jc w:val="right"/>
              <w:rPr>
                <w:rFonts w:eastAsia="Times New Roman" w:cs="Calibri"/>
                <w:b/>
                <w:bCs/>
                <w:sz w:val="14"/>
                <w:szCs w:val="14"/>
              </w:rPr>
            </w:pPr>
            <w:r w:rsidRPr="00E14EE6">
              <w:rPr>
                <w:b/>
                <w:sz w:val="14"/>
              </w:rPr>
              <w:t>2,333.2</w:t>
            </w:r>
          </w:p>
        </w:tc>
      </w:tr>
      <w:tr w:rsidR="00CA7676" w:rsidRPr="00E14EE6" w14:paraId="370E4D42" w14:textId="77777777" w:rsidTr="00FD6B66">
        <w:trPr>
          <w:cnfStyle w:val="000000010000" w:firstRow="0" w:lastRow="0" w:firstColumn="0" w:lastColumn="0" w:oddVBand="0" w:evenVBand="0" w:oddHBand="0" w:evenHBand="1" w:firstRowFirstColumn="0" w:firstRowLastColumn="0" w:lastRowFirstColumn="0" w:lastRowLastColumn="0"/>
          <w:cantSplit/>
          <w:trHeight w:val="20"/>
        </w:trPr>
        <w:tc>
          <w:tcPr>
            <w:tcW w:w="1019" w:type="pct"/>
            <w:noWrap/>
            <w:hideMark/>
          </w:tcPr>
          <w:p w14:paraId="7DF17638" w14:textId="653B18E7" w:rsidR="00CA7676" w:rsidRPr="00E14EE6" w:rsidRDefault="00CA7676" w:rsidP="00E14EE6">
            <w:pPr>
              <w:jc w:val="left"/>
              <w:rPr>
                <w:rFonts w:eastAsia="Times New Roman" w:cs="Calibri"/>
                <w:b/>
                <w:bCs/>
                <w:color w:val="000000"/>
                <w:sz w:val="14"/>
                <w:szCs w:val="14"/>
              </w:rPr>
            </w:pPr>
            <w:r w:rsidRPr="00E14EE6">
              <w:rPr>
                <w:b/>
                <w:sz w:val="14"/>
              </w:rPr>
              <w:t>6</w:t>
            </w:r>
            <w:r w:rsidR="00E14EE6" w:rsidRPr="00E14EE6">
              <w:rPr>
                <w:b/>
                <w:sz w:val="14"/>
              </w:rPr>
              <w:t>. E</w:t>
            </w:r>
            <w:r w:rsidRPr="00E14EE6">
              <w:rPr>
                <w:b/>
                <w:sz w:val="14"/>
              </w:rPr>
              <w:t>rrors and omissions</w:t>
            </w:r>
          </w:p>
        </w:tc>
        <w:tc>
          <w:tcPr>
            <w:tcW w:w="497" w:type="pct"/>
            <w:noWrap/>
            <w:hideMark/>
          </w:tcPr>
          <w:p w14:paraId="33514206" w14:textId="3BE952E2" w:rsidR="00CA7676" w:rsidRPr="00E14EE6" w:rsidRDefault="00E14EE6" w:rsidP="00E14EE6">
            <w:pPr>
              <w:jc w:val="right"/>
              <w:rPr>
                <w:rFonts w:eastAsia="Times New Roman" w:cs="Calibri"/>
                <w:b/>
                <w:bCs/>
                <w:color w:val="000000"/>
                <w:sz w:val="14"/>
                <w:szCs w:val="14"/>
              </w:rPr>
            </w:pPr>
            <w:r w:rsidRPr="00E14EE6">
              <w:rPr>
                <w:b/>
                <w:sz w:val="14"/>
              </w:rPr>
              <w:noBreakHyphen/>
            </w:r>
            <w:r w:rsidR="00CA7676" w:rsidRPr="00E14EE6">
              <w:rPr>
                <w:b/>
                <w:sz w:val="14"/>
              </w:rPr>
              <w:t>941.4</w:t>
            </w:r>
          </w:p>
        </w:tc>
        <w:tc>
          <w:tcPr>
            <w:tcW w:w="497" w:type="pct"/>
            <w:noWrap/>
            <w:hideMark/>
          </w:tcPr>
          <w:p w14:paraId="4F5EA770" w14:textId="618DC910" w:rsidR="00CA7676" w:rsidRPr="00E14EE6" w:rsidRDefault="00E14EE6" w:rsidP="00E14EE6">
            <w:pPr>
              <w:jc w:val="right"/>
              <w:rPr>
                <w:rFonts w:eastAsia="Times New Roman" w:cs="Calibri"/>
                <w:b/>
                <w:bCs/>
                <w:color w:val="000000"/>
                <w:sz w:val="14"/>
                <w:szCs w:val="14"/>
              </w:rPr>
            </w:pPr>
            <w:r w:rsidRPr="00E14EE6">
              <w:rPr>
                <w:b/>
                <w:sz w:val="14"/>
              </w:rPr>
              <w:noBreakHyphen/>
            </w:r>
            <w:r w:rsidR="00CA7676" w:rsidRPr="00E14EE6">
              <w:rPr>
                <w:b/>
                <w:sz w:val="14"/>
              </w:rPr>
              <w:t>1,549.5</w:t>
            </w:r>
          </w:p>
        </w:tc>
        <w:tc>
          <w:tcPr>
            <w:tcW w:w="499" w:type="pct"/>
            <w:noWrap/>
            <w:hideMark/>
          </w:tcPr>
          <w:p w14:paraId="7D4A438F" w14:textId="6F6E3B8D" w:rsidR="00CA7676" w:rsidRPr="00E14EE6" w:rsidRDefault="00E14EE6" w:rsidP="00E14EE6">
            <w:pPr>
              <w:jc w:val="right"/>
              <w:rPr>
                <w:rFonts w:eastAsia="Times New Roman" w:cs="Calibri"/>
                <w:b/>
                <w:bCs/>
                <w:color w:val="000000"/>
                <w:sz w:val="14"/>
                <w:szCs w:val="14"/>
              </w:rPr>
            </w:pPr>
            <w:r w:rsidRPr="00E14EE6">
              <w:rPr>
                <w:b/>
                <w:sz w:val="14"/>
              </w:rPr>
              <w:noBreakHyphen/>
            </w:r>
            <w:r w:rsidR="00CA7676" w:rsidRPr="00E14EE6">
              <w:rPr>
                <w:b/>
                <w:sz w:val="14"/>
              </w:rPr>
              <w:t>748.3</w:t>
            </w:r>
          </w:p>
        </w:tc>
        <w:tc>
          <w:tcPr>
            <w:tcW w:w="497" w:type="pct"/>
            <w:noWrap/>
            <w:hideMark/>
          </w:tcPr>
          <w:p w14:paraId="250EB6EB" w14:textId="6AE93E53" w:rsidR="00CA7676" w:rsidRPr="00E14EE6" w:rsidRDefault="00E14EE6" w:rsidP="00E14EE6">
            <w:pPr>
              <w:jc w:val="right"/>
              <w:rPr>
                <w:rFonts w:eastAsia="Times New Roman" w:cs="Calibri"/>
                <w:b/>
                <w:bCs/>
                <w:color w:val="000000"/>
                <w:sz w:val="14"/>
                <w:szCs w:val="14"/>
              </w:rPr>
            </w:pPr>
            <w:r w:rsidRPr="00E14EE6">
              <w:rPr>
                <w:b/>
                <w:sz w:val="14"/>
              </w:rPr>
              <w:noBreakHyphen/>
            </w:r>
            <w:r w:rsidR="00CA7676" w:rsidRPr="00E14EE6">
              <w:rPr>
                <w:b/>
                <w:sz w:val="14"/>
              </w:rPr>
              <w:t>1,259.9</w:t>
            </w:r>
          </w:p>
        </w:tc>
        <w:tc>
          <w:tcPr>
            <w:tcW w:w="497" w:type="pct"/>
            <w:noWrap/>
            <w:hideMark/>
          </w:tcPr>
          <w:p w14:paraId="408C137D" w14:textId="1FB7949E" w:rsidR="00CA7676" w:rsidRPr="00E14EE6" w:rsidRDefault="00E14EE6" w:rsidP="00E14EE6">
            <w:pPr>
              <w:jc w:val="right"/>
              <w:rPr>
                <w:rFonts w:eastAsia="Times New Roman" w:cs="Calibri"/>
                <w:b/>
                <w:bCs/>
                <w:color w:val="000000"/>
                <w:sz w:val="14"/>
                <w:szCs w:val="14"/>
              </w:rPr>
            </w:pPr>
            <w:r w:rsidRPr="00E14EE6">
              <w:rPr>
                <w:b/>
                <w:sz w:val="14"/>
              </w:rPr>
              <w:noBreakHyphen/>
            </w:r>
            <w:r w:rsidR="00CA7676" w:rsidRPr="00E14EE6">
              <w:rPr>
                <w:b/>
                <w:sz w:val="14"/>
              </w:rPr>
              <w:t>928.4</w:t>
            </w:r>
          </w:p>
        </w:tc>
        <w:tc>
          <w:tcPr>
            <w:tcW w:w="498" w:type="pct"/>
            <w:noWrap/>
            <w:hideMark/>
          </w:tcPr>
          <w:p w14:paraId="58D46C23" w14:textId="3CEC2A6E" w:rsidR="00CA7676" w:rsidRPr="00E14EE6" w:rsidRDefault="00E14EE6" w:rsidP="00E14EE6">
            <w:pPr>
              <w:jc w:val="right"/>
              <w:rPr>
                <w:rFonts w:eastAsia="Times New Roman" w:cs="Calibri"/>
                <w:b/>
                <w:bCs/>
                <w:color w:val="000000"/>
                <w:sz w:val="14"/>
                <w:szCs w:val="14"/>
              </w:rPr>
            </w:pPr>
            <w:r w:rsidRPr="00E14EE6">
              <w:rPr>
                <w:b/>
                <w:sz w:val="14"/>
              </w:rPr>
              <w:noBreakHyphen/>
            </w:r>
            <w:r w:rsidR="00CA7676" w:rsidRPr="00E14EE6">
              <w:rPr>
                <w:b/>
                <w:sz w:val="14"/>
              </w:rPr>
              <w:t>825.5</w:t>
            </w:r>
          </w:p>
        </w:tc>
        <w:tc>
          <w:tcPr>
            <w:tcW w:w="497" w:type="pct"/>
            <w:noWrap/>
            <w:hideMark/>
          </w:tcPr>
          <w:p w14:paraId="684570BA" w14:textId="557609EE" w:rsidR="00CA7676" w:rsidRPr="00E14EE6" w:rsidRDefault="00E14EE6" w:rsidP="00E14EE6">
            <w:pPr>
              <w:jc w:val="right"/>
              <w:rPr>
                <w:rFonts w:eastAsia="Times New Roman" w:cs="Calibri"/>
                <w:b/>
                <w:bCs/>
                <w:color w:val="000000"/>
                <w:sz w:val="14"/>
                <w:szCs w:val="14"/>
              </w:rPr>
            </w:pPr>
            <w:r w:rsidRPr="00E14EE6">
              <w:rPr>
                <w:b/>
                <w:sz w:val="14"/>
              </w:rPr>
              <w:noBreakHyphen/>
            </w:r>
            <w:r w:rsidR="00CA7676" w:rsidRPr="00E14EE6">
              <w:rPr>
                <w:b/>
                <w:sz w:val="14"/>
              </w:rPr>
              <w:t>865.5</w:t>
            </w:r>
          </w:p>
        </w:tc>
        <w:tc>
          <w:tcPr>
            <w:tcW w:w="498" w:type="pct"/>
            <w:noWrap/>
            <w:hideMark/>
          </w:tcPr>
          <w:p w14:paraId="4B026CA2" w14:textId="77777777" w:rsidR="00CA7676" w:rsidRPr="00E14EE6" w:rsidRDefault="00CA7676" w:rsidP="00E14EE6">
            <w:pPr>
              <w:jc w:val="right"/>
              <w:rPr>
                <w:rFonts w:eastAsia="Times New Roman" w:cs="Calibri"/>
                <w:b/>
                <w:bCs/>
                <w:sz w:val="14"/>
                <w:szCs w:val="14"/>
              </w:rPr>
            </w:pPr>
            <w:r w:rsidRPr="00E14EE6">
              <w:rPr>
                <w:b/>
                <w:sz w:val="14"/>
              </w:rPr>
              <w:t>235.8</w:t>
            </w:r>
          </w:p>
        </w:tc>
      </w:tr>
      <w:tr w:rsidR="00CA7676" w:rsidRPr="00E14EE6" w14:paraId="1849B32C" w14:textId="77777777" w:rsidTr="00FD6B66">
        <w:trPr>
          <w:cantSplit/>
          <w:trHeight w:val="20"/>
        </w:trPr>
        <w:tc>
          <w:tcPr>
            <w:tcW w:w="1019" w:type="pct"/>
            <w:noWrap/>
            <w:hideMark/>
          </w:tcPr>
          <w:p w14:paraId="3AB69E9D" w14:textId="1CE327DE" w:rsidR="00CA7676" w:rsidRPr="00E14EE6" w:rsidRDefault="00CA7676" w:rsidP="00E14EE6">
            <w:pPr>
              <w:jc w:val="left"/>
              <w:rPr>
                <w:rFonts w:eastAsia="Times New Roman" w:cs="Calibri"/>
                <w:b/>
                <w:bCs/>
                <w:color w:val="000000"/>
                <w:sz w:val="14"/>
                <w:szCs w:val="14"/>
              </w:rPr>
            </w:pPr>
            <w:r w:rsidRPr="00E14EE6">
              <w:rPr>
                <w:b/>
                <w:sz w:val="14"/>
              </w:rPr>
              <w:t>7</w:t>
            </w:r>
            <w:r w:rsidR="00E14EE6" w:rsidRPr="00E14EE6">
              <w:rPr>
                <w:b/>
                <w:sz w:val="14"/>
              </w:rPr>
              <w:t>. F</w:t>
            </w:r>
            <w:r w:rsidRPr="00E14EE6">
              <w:rPr>
                <w:b/>
                <w:sz w:val="14"/>
              </w:rPr>
              <w:t>inancing</w:t>
            </w:r>
          </w:p>
        </w:tc>
        <w:tc>
          <w:tcPr>
            <w:tcW w:w="497" w:type="pct"/>
            <w:noWrap/>
            <w:hideMark/>
          </w:tcPr>
          <w:p w14:paraId="0AEFCB60" w14:textId="77777777" w:rsidR="00CA7676" w:rsidRPr="00E14EE6" w:rsidRDefault="00CA7676" w:rsidP="00E14EE6">
            <w:pPr>
              <w:jc w:val="right"/>
              <w:rPr>
                <w:rFonts w:eastAsia="Times New Roman" w:cs="Calibri"/>
                <w:b/>
                <w:bCs/>
                <w:color w:val="000000"/>
                <w:sz w:val="14"/>
                <w:szCs w:val="14"/>
              </w:rPr>
            </w:pPr>
            <w:r w:rsidRPr="00E14EE6">
              <w:rPr>
                <w:b/>
                <w:sz w:val="14"/>
              </w:rPr>
              <w:t>650.1</w:t>
            </w:r>
          </w:p>
        </w:tc>
        <w:tc>
          <w:tcPr>
            <w:tcW w:w="497" w:type="pct"/>
            <w:noWrap/>
            <w:hideMark/>
          </w:tcPr>
          <w:p w14:paraId="2C59C94A" w14:textId="77777777" w:rsidR="00CA7676" w:rsidRPr="00E14EE6" w:rsidRDefault="00CA7676" w:rsidP="00E14EE6">
            <w:pPr>
              <w:jc w:val="right"/>
              <w:rPr>
                <w:rFonts w:eastAsia="Times New Roman" w:cs="Calibri"/>
                <w:b/>
                <w:bCs/>
                <w:color w:val="000000"/>
                <w:sz w:val="14"/>
                <w:szCs w:val="14"/>
              </w:rPr>
            </w:pPr>
            <w:r w:rsidRPr="00E14EE6">
              <w:rPr>
                <w:b/>
                <w:sz w:val="14"/>
              </w:rPr>
              <w:t>770.2</w:t>
            </w:r>
          </w:p>
        </w:tc>
        <w:tc>
          <w:tcPr>
            <w:tcW w:w="499" w:type="pct"/>
            <w:noWrap/>
            <w:hideMark/>
          </w:tcPr>
          <w:p w14:paraId="0B8BE431" w14:textId="77777777" w:rsidR="00CA7676" w:rsidRPr="00E14EE6" w:rsidRDefault="00CA7676" w:rsidP="00E14EE6">
            <w:pPr>
              <w:jc w:val="right"/>
              <w:rPr>
                <w:rFonts w:eastAsia="Times New Roman" w:cs="Calibri"/>
                <w:b/>
                <w:bCs/>
                <w:color w:val="000000"/>
                <w:sz w:val="14"/>
                <w:szCs w:val="14"/>
              </w:rPr>
            </w:pPr>
            <w:r w:rsidRPr="00E14EE6">
              <w:rPr>
                <w:b/>
                <w:sz w:val="14"/>
              </w:rPr>
              <w:t>891.9</w:t>
            </w:r>
          </w:p>
        </w:tc>
        <w:tc>
          <w:tcPr>
            <w:tcW w:w="497" w:type="pct"/>
            <w:noWrap/>
            <w:hideMark/>
          </w:tcPr>
          <w:p w14:paraId="10BDEA25" w14:textId="77777777" w:rsidR="00CA7676" w:rsidRPr="00E14EE6" w:rsidRDefault="00CA7676" w:rsidP="00E14EE6">
            <w:pPr>
              <w:jc w:val="right"/>
              <w:rPr>
                <w:rFonts w:eastAsia="Times New Roman" w:cs="Calibri"/>
                <w:b/>
                <w:bCs/>
                <w:color w:val="000000"/>
                <w:sz w:val="14"/>
                <w:szCs w:val="14"/>
              </w:rPr>
            </w:pPr>
            <w:r w:rsidRPr="00E14EE6">
              <w:rPr>
                <w:b/>
                <w:sz w:val="14"/>
              </w:rPr>
              <w:t>727.7</w:t>
            </w:r>
          </w:p>
        </w:tc>
        <w:tc>
          <w:tcPr>
            <w:tcW w:w="497" w:type="pct"/>
            <w:noWrap/>
            <w:hideMark/>
          </w:tcPr>
          <w:p w14:paraId="60CC45B6" w14:textId="77777777" w:rsidR="00CA7676" w:rsidRPr="00E14EE6" w:rsidRDefault="00CA7676" w:rsidP="00E14EE6">
            <w:pPr>
              <w:jc w:val="right"/>
              <w:rPr>
                <w:rFonts w:eastAsia="Times New Roman" w:cs="Calibri"/>
                <w:b/>
                <w:bCs/>
                <w:color w:val="000000"/>
                <w:sz w:val="14"/>
                <w:szCs w:val="14"/>
              </w:rPr>
            </w:pPr>
            <w:r w:rsidRPr="00E14EE6">
              <w:rPr>
                <w:b/>
                <w:sz w:val="14"/>
              </w:rPr>
              <w:t>833.1</w:t>
            </w:r>
          </w:p>
        </w:tc>
        <w:tc>
          <w:tcPr>
            <w:tcW w:w="498" w:type="pct"/>
            <w:noWrap/>
            <w:hideMark/>
          </w:tcPr>
          <w:p w14:paraId="179B40C5" w14:textId="77777777" w:rsidR="00CA7676" w:rsidRPr="00E14EE6" w:rsidRDefault="00CA7676" w:rsidP="00E14EE6">
            <w:pPr>
              <w:jc w:val="right"/>
              <w:rPr>
                <w:rFonts w:eastAsia="Times New Roman" w:cs="Calibri"/>
                <w:b/>
                <w:bCs/>
                <w:color w:val="000000"/>
                <w:sz w:val="14"/>
                <w:szCs w:val="14"/>
              </w:rPr>
            </w:pPr>
            <w:r w:rsidRPr="00E14EE6">
              <w:rPr>
                <w:b/>
                <w:sz w:val="14"/>
              </w:rPr>
              <w:t>1,125.3</w:t>
            </w:r>
          </w:p>
        </w:tc>
        <w:tc>
          <w:tcPr>
            <w:tcW w:w="497" w:type="pct"/>
            <w:noWrap/>
            <w:hideMark/>
          </w:tcPr>
          <w:p w14:paraId="3A107D64" w14:textId="77777777" w:rsidR="00CA7676" w:rsidRPr="00E14EE6" w:rsidRDefault="00CA7676" w:rsidP="00E14EE6">
            <w:pPr>
              <w:jc w:val="right"/>
              <w:rPr>
                <w:rFonts w:eastAsia="Times New Roman" w:cs="Calibri"/>
                <w:b/>
                <w:bCs/>
                <w:color w:val="000000"/>
                <w:sz w:val="14"/>
                <w:szCs w:val="14"/>
              </w:rPr>
            </w:pPr>
            <w:r w:rsidRPr="00E14EE6">
              <w:rPr>
                <w:b/>
                <w:sz w:val="14"/>
              </w:rPr>
              <w:t>1,295.0</w:t>
            </w:r>
          </w:p>
        </w:tc>
        <w:tc>
          <w:tcPr>
            <w:tcW w:w="498" w:type="pct"/>
            <w:noWrap/>
            <w:hideMark/>
          </w:tcPr>
          <w:p w14:paraId="25A7252B" w14:textId="77777777" w:rsidR="00CA7676" w:rsidRPr="00E14EE6" w:rsidRDefault="00CA7676" w:rsidP="00E14EE6">
            <w:pPr>
              <w:jc w:val="right"/>
              <w:rPr>
                <w:rFonts w:eastAsia="Times New Roman" w:cs="Calibri"/>
                <w:b/>
                <w:bCs/>
                <w:sz w:val="14"/>
                <w:szCs w:val="14"/>
              </w:rPr>
            </w:pPr>
            <w:r w:rsidRPr="00E14EE6">
              <w:rPr>
                <w:b/>
                <w:sz w:val="14"/>
              </w:rPr>
              <w:t>2,333.2</w:t>
            </w:r>
          </w:p>
        </w:tc>
      </w:tr>
      <w:tr w:rsidR="00CA7676" w:rsidRPr="00E14EE6" w14:paraId="1742CCC1" w14:textId="77777777" w:rsidTr="00FD6B66">
        <w:trPr>
          <w:cnfStyle w:val="000000010000" w:firstRow="0" w:lastRow="0" w:firstColumn="0" w:lastColumn="0" w:oddVBand="0" w:evenVBand="0" w:oddHBand="0" w:evenHBand="1" w:firstRowFirstColumn="0" w:firstRowLastColumn="0" w:lastRowFirstColumn="0" w:lastRowLastColumn="0"/>
          <w:cantSplit/>
          <w:trHeight w:val="20"/>
        </w:trPr>
        <w:tc>
          <w:tcPr>
            <w:tcW w:w="1019" w:type="pct"/>
            <w:noWrap/>
            <w:hideMark/>
          </w:tcPr>
          <w:p w14:paraId="5E6B5C93" w14:textId="3646EFF8" w:rsidR="00CA7676" w:rsidRPr="00E14EE6" w:rsidRDefault="00CA7676" w:rsidP="00E14EE6">
            <w:pPr>
              <w:jc w:val="left"/>
              <w:rPr>
                <w:rFonts w:eastAsia="Times New Roman" w:cs="Calibri"/>
                <w:color w:val="000000"/>
                <w:sz w:val="14"/>
                <w:szCs w:val="14"/>
              </w:rPr>
            </w:pPr>
            <w:r w:rsidRPr="00E14EE6">
              <w:rPr>
                <w:sz w:val="14"/>
              </w:rPr>
              <w:t>Reserve assets</w:t>
            </w:r>
          </w:p>
        </w:tc>
        <w:tc>
          <w:tcPr>
            <w:tcW w:w="497" w:type="pct"/>
            <w:noWrap/>
            <w:hideMark/>
          </w:tcPr>
          <w:p w14:paraId="57CB5914" w14:textId="77777777" w:rsidR="00CA7676" w:rsidRPr="00E14EE6" w:rsidRDefault="00CA7676" w:rsidP="00E14EE6">
            <w:pPr>
              <w:jc w:val="right"/>
              <w:rPr>
                <w:rFonts w:eastAsia="Times New Roman" w:cs="Calibri"/>
                <w:color w:val="000000"/>
                <w:sz w:val="14"/>
                <w:szCs w:val="14"/>
              </w:rPr>
            </w:pPr>
            <w:r w:rsidRPr="00E14EE6">
              <w:rPr>
                <w:sz w:val="14"/>
              </w:rPr>
              <w:t>195.4</w:t>
            </w:r>
          </w:p>
        </w:tc>
        <w:tc>
          <w:tcPr>
            <w:tcW w:w="497" w:type="pct"/>
            <w:noWrap/>
            <w:hideMark/>
          </w:tcPr>
          <w:p w14:paraId="2F2540C3" w14:textId="77777777" w:rsidR="00CA7676" w:rsidRPr="00E14EE6" w:rsidRDefault="00CA7676" w:rsidP="00E14EE6">
            <w:pPr>
              <w:jc w:val="right"/>
              <w:rPr>
                <w:rFonts w:eastAsia="Times New Roman" w:cs="Calibri"/>
                <w:color w:val="000000"/>
                <w:sz w:val="14"/>
                <w:szCs w:val="14"/>
              </w:rPr>
            </w:pPr>
            <w:r w:rsidRPr="00E14EE6">
              <w:rPr>
                <w:sz w:val="14"/>
              </w:rPr>
              <w:t>406.9</w:t>
            </w:r>
          </w:p>
        </w:tc>
        <w:tc>
          <w:tcPr>
            <w:tcW w:w="499" w:type="pct"/>
            <w:noWrap/>
            <w:hideMark/>
          </w:tcPr>
          <w:p w14:paraId="43325347" w14:textId="77777777" w:rsidR="00CA7676" w:rsidRPr="00E14EE6" w:rsidRDefault="00CA7676" w:rsidP="00E14EE6">
            <w:pPr>
              <w:jc w:val="right"/>
              <w:rPr>
                <w:rFonts w:eastAsia="Times New Roman" w:cs="Calibri"/>
                <w:color w:val="000000"/>
                <w:sz w:val="14"/>
                <w:szCs w:val="14"/>
              </w:rPr>
            </w:pPr>
            <w:r w:rsidRPr="00E14EE6">
              <w:rPr>
                <w:sz w:val="14"/>
              </w:rPr>
              <w:t>779.7</w:t>
            </w:r>
          </w:p>
        </w:tc>
        <w:tc>
          <w:tcPr>
            <w:tcW w:w="497" w:type="pct"/>
            <w:noWrap/>
            <w:hideMark/>
          </w:tcPr>
          <w:p w14:paraId="7CB1ADD8" w14:textId="77777777" w:rsidR="00CA7676" w:rsidRPr="00E14EE6" w:rsidRDefault="00CA7676" w:rsidP="00E14EE6">
            <w:pPr>
              <w:jc w:val="right"/>
              <w:rPr>
                <w:rFonts w:eastAsia="Times New Roman" w:cs="Calibri"/>
                <w:color w:val="000000"/>
                <w:sz w:val="14"/>
                <w:szCs w:val="14"/>
              </w:rPr>
            </w:pPr>
            <w:r w:rsidRPr="00E14EE6">
              <w:rPr>
                <w:sz w:val="14"/>
              </w:rPr>
              <w:t>730.7</w:t>
            </w:r>
          </w:p>
        </w:tc>
        <w:tc>
          <w:tcPr>
            <w:tcW w:w="497" w:type="pct"/>
            <w:noWrap/>
            <w:hideMark/>
          </w:tcPr>
          <w:p w14:paraId="47673C9E" w14:textId="77777777" w:rsidR="00CA7676" w:rsidRPr="00E14EE6" w:rsidRDefault="00CA7676" w:rsidP="00E14EE6">
            <w:pPr>
              <w:jc w:val="right"/>
              <w:rPr>
                <w:rFonts w:eastAsia="Times New Roman" w:cs="Calibri"/>
                <w:color w:val="000000"/>
                <w:sz w:val="14"/>
                <w:szCs w:val="14"/>
              </w:rPr>
            </w:pPr>
            <w:r w:rsidRPr="00E14EE6">
              <w:rPr>
                <w:sz w:val="14"/>
              </w:rPr>
              <w:t>847.0</w:t>
            </w:r>
          </w:p>
        </w:tc>
        <w:tc>
          <w:tcPr>
            <w:tcW w:w="498" w:type="pct"/>
            <w:noWrap/>
            <w:hideMark/>
          </w:tcPr>
          <w:p w14:paraId="5E8D4AB2" w14:textId="77777777" w:rsidR="00CA7676" w:rsidRPr="00E14EE6" w:rsidRDefault="00CA7676" w:rsidP="00E14EE6">
            <w:pPr>
              <w:jc w:val="right"/>
              <w:rPr>
                <w:rFonts w:eastAsia="Times New Roman" w:cs="Calibri"/>
                <w:color w:val="000000"/>
                <w:sz w:val="14"/>
                <w:szCs w:val="14"/>
              </w:rPr>
            </w:pPr>
            <w:r w:rsidRPr="00E14EE6">
              <w:rPr>
                <w:sz w:val="14"/>
              </w:rPr>
              <w:t>1,149.5</w:t>
            </w:r>
          </w:p>
        </w:tc>
        <w:tc>
          <w:tcPr>
            <w:tcW w:w="497" w:type="pct"/>
            <w:noWrap/>
            <w:hideMark/>
          </w:tcPr>
          <w:p w14:paraId="6D776B93" w14:textId="77777777" w:rsidR="00CA7676" w:rsidRPr="00E14EE6" w:rsidRDefault="00CA7676" w:rsidP="00E14EE6">
            <w:pPr>
              <w:jc w:val="right"/>
              <w:rPr>
                <w:rFonts w:eastAsia="Times New Roman" w:cs="Calibri"/>
                <w:color w:val="000000"/>
                <w:sz w:val="14"/>
                <w:szCs w:val="14"/>
              </w:rPr>
            </w:pPr>
            <w:r w:rsidRPr="00E14EE6">
              <w:rPr>
                <w:sz w:val="14"/>
              </w:rPr>
              <w:t>1,962.9</w:t>
            </w:r>
          </w:p>
        </w:tc>
        <w:tc>
          <w:tcPr>
            <w:tcW w:w="498" w:type="pct"/>
            <w:noWrap/>
            <w:hideMark/>
          </w:tcPr>
          <w:p w14:paraId="1966C93C" w14:textId="77777777" w:rsidR="00CA7676" w:rsidRPr="00E14EE6" w:rsidRDefault="00CA7676" w:rsidP="00E14EE6">
            <w:pPr>
              <w:jc w:val="right"/>
              <w:rPr>
                <w:rFonts w:eastAsia="Times New Roman" w:cs="Calibri"/>
                <w:sz w:val="14"/>
                <w:szCs w:val="14"/>
              </w:rPr>
            </w:pPr>
            <w:r w:rsidRPr="00E14EE6">
              <w:rPr>
                <w:sz w:val="14"/>
              </w:rPr>
              <w:t>2,333.6</w:t>
            </w:r>
          </w:p>
        </w:tc>
      </w:tr>
      <w:tr w:rsidR="00CA7676" w:rsidRPr="00E14EE6" w14:paraId="33E53A78" w14:textId="77777777" w:rsidTr="00FD6B66">
        <w:trPr>
          <w:cantSplit/>
          <w:trHeight w:val="20"/>
        </w:trPr>
        <w:tc>
          <w:tcPr>
            <w:tcW w:w="1019" w:type="pct"/>
            <w:noWrap/>
            <w:hideMark/>
          </w:tcPr>
          <w:p w14:paraId="78B5C64D" w14:textId="77777777" w:rsidR="00CA7676" w:rsidRPr="00E14EE6" w:rsidRDefault="00CA7676" w:rsidP="00E14EE6">
            <w:pPr>
              <w:jc w:val="left"/>
              <w:rPr>
                <w:rFonts w:eastAsia="Times New Roman" w:cs="Calibri"/>
                <w:color w:val="000000"/>
                <w:sz w:val="14"/>
                <w:szCs w:val="14"/>
              </w:rPr>
            </w:pPr>
            <w:r w:rsidRPr="00E14EE6">
              <w:rPr>
                <w:sz w:val="14"/>
              </w:rPr>
              <w:t xml:space="preserve">Use of IMF credit and </w:t>
            </w:r>
            <w:proofErr w:type="spellStart"/>
            <w:r w:rsidRPr="00E14EE6">
              <w:rPr>
                <w:sz w:val="14"/>
              </w:rPr>
              <w:t>loans</w:t>
            </w:r>
            <w:r w:rsidRPr="00E14EE6">
              <w:rPr>
                <w:sz w:val="14"/>
                <w:vertAlign w:val="superscript"/>
              </w:rPr>
              <w:t>c</w:t>
            </w:r>
            <w:proofErr w:type="spellEnd"/>
          </w:p>
        </w:tc>
        <w:tc>
          <w:tcPr>
            <w:tcW w:w="497" w:type="pct"/>
            <w:noWrap/>
            <w:hideMark/>
          </w:tcPr>
          <w:p w14:paraId="70856F08" w14:textId="246BC31B" w:rsidR="00CA7676" w:rsidRPr="00E14EE6" w:rsidRDefault="00E14EE6" w:rsidP="00E14EE6">
            <w:pPr>
              <w:jc w:val="right"/>
              <w:rPr>
                <w:rFonts w:eastAsia="Times New Roman" w:cs="Calibri"/>
                <w:color w:val="000000"/>
                <w:sz w:val="14"/>
                <w:szCs w:val="14"/>
              </w:rPr>
            </w:pPr>
            <w:r w:rsidRPr="00E14EE6">
              <w:rPr>
                <w:sz w:val="14"/>
              </w:rPr>
              <w:noBreakHyphen/>
            </w:r>
            <w:r w:rsidR="00CA7676" w:rsidRPr="00E14EE6">
              <w:rPr>
                <w:sz w:val="14"/>
              </w:rPr>
              <w:t>456.9</w:t>
            </w:r>
          </w:p>
        </w:tc>
        <w:tc>
          <w:tcPr>
            <w:tcW w:w="497" w:type="pct"/>
            <w:noWrap/>
            <w:hideMark/>
          </w:tcPr>
          <w:p w14:paraId="4A0177DF" w14:textId="11455E41" w:rsidR="00CA7676" w:rsidRPr="00E14EE6" w:rsidRDefault="00E14EE6" w:rsidP="00E14EE6">
            <w:pPr>
              <w:jc w:val="right"/>
              <w:rPr>
                <w:rFonts w:eastAsia="Times New Roman" w:cs="Calibri"/>
                <w:color w:val="000000"/>
                <w:sz w:val="14"/>
                <w:szCs w:val="14"/>
              </w:rPr>
            </w:pPr>
            <w:r w:rsidRPr="00E14EE6">
              <w:rPr>
                <w:sz w:val="14"/>
              </w:rPr>
              <w:noBreakHyphen/>
            </w:r>
            <w:r w:rsidR="00CA7676" w:rsidRPr="00E14EE6">
              <w:rPr>
                <w:sz w:val="14"/>
              </w:rPr>
              <w:t>365.2</w:t>
            </w:r>
          </w:p>
        </w:tc>
        <w:tc>
          <w:tcPr>
            <w:tcW w:w="499" w:type="pct"/>
            <w:noWrap/>
            <w:hideMark/>
          </w:tcPr>
          <w:p w14:paraId="35608A7E" w14:textId="3104E612" w:rsidR="00CA7676" w:rsidRPr="00E14EE6" w:rsidRDefault="00E14EE6" w:rsidP="00E14EE6">
            <w:pPr>
              <w:jc w:val="right"/>
              <w:rPr>
                <w:rFonts w:eastAsia="Times New Roman" w:cs="Calibri"/>
                <w:color w:val="000000"/>
                <w:sz w:val="14"/>
                <w:szCs w:val="14"/>
              </w:rPr>
            </w:pPr>
            <w:r w:rsidRPr="00E14EE6">
              <w:rPr>
                <w:sz w:val="14"/>
              </w:rPr>
              <w:noBreakHyphen/>
            </w:r>
            <w:r w:rsidR="00CA7676" w:rsidRPr="00E14EE6">
              <w:rPr>
                <w:sz w:val="14"/>
              </w:rPr>
              <w:t>114.3</w:t>
            </w:r>
          </w:p>
        </w:tc>
        <w:tc>
          <w:tcPr>
            <w:tcW w:w="497" w:type="pct"/>
            <w:noWrap/>
            <w:hideMark/>
          </w:tcPr>
          <w:p w14:paraId="53ADCD81" w14:textId="77777777" w:rsidR="00CA7676" w:rsidRPr="00E14EE6" w:rsidRDefault="00CA7676" w:rsidP="00E14EE6">
            <w:pPr>
              <w:jc w:val="right"/>
              <w:rPr>
                <w:rFonts w:eastAsia="Times New Roman" w:cs="Calibri"/>
                <w:color w:val="000000"/>
                <w:sz w:val="14"/>
                <w:szCs w:val="14"/>
              </w:rPr>
            </w:pPr>
            <w:r w:rsidRPr="00E14EE6">
              <w:rPr>
                <w:sz w:val="14"/>
              </w:rPr>
              <w:t>0.0</w:t>
            </w:r>
          </w:p>
        </w:tc>
        <w:tc>
          <w:tcPr>
            <w:tcW w:w="497" w:type="pct"/>
            <w:noWrap/>
            <w:hideMark/>
          </w:tcPr>
          <w:p w14:paraId="4DB19D83" w14:textId="77777777" w:rsidR="00CA7676" w:rsidRPr="00E14EE6" w:rsidRDefault="00CA7676" w:rsidP="00E14EE6">
            <w:pPr>
              <w:jc w:val="right"/>
              <w:rPr>
                <w:rFonts w:eastAsia="Times New Roman" w:cs="Calibri"/>
                <w:color w:val="000000"/>
                <w:sz w:val="14"/>
                <w:szCs w:val="14"/>
              </w:rPr>
            </w:pPr>
            <w:r w:rsidRPr="00E14EE6">
              <w:rPr>
                <w:sz w:val="14"/>
              </w:rPr>
              <w:t>0.0</w:t>
            </w:r>
          </w:p>
        </w:tc>
        <w:tc>
          <w:tcPr>
            <w:tcW w:w="498" w:type="pct"/>
            <w:noWrap/>
            <w:hideMark/>
          </w:tcPr>
          <w:p w14:paraId="31F487A7" w14:textId="77777777" w:rsidR="00CA7676" w:rsidRPr="00E14EE6" w:rsidRDefault="00CA7676" w:rsidP="00E14EE6">
            <w:pPr>
              <w:jc w:val="right"/>
              <w:rPr>
                <w:rFonts w:eastAsia="Times New Roman" w:cs="Calibri"/>
                <w:color w:val="000000"/>
                <w:sz w:val="14"/>
                <w:szCs w:val="14"/>
              </w:rPr>
            </w:pPr>
            <w:r w:rsidRPr="00E14EE6">
              <w:rPr>
                <w:sz w:val="14"/>
              </w:rPr>
              <w:t>0.0</w:t>
            </w:r>
          </w:p>
        </w:tc>
        <w:tc>
          <w:tcPr>
            <w:tcW w:w="497" w:type="pct"/>
            <w:noWrap/>
            <w:hideMark/>
          </w:tcPr>
          <w:p w14:paraId="0D04DC13" w14:textId="77777777" w:rsidR="00CA7676" w:rsidRPr="00E14EE6" w:rsidRDefault="00CA7676" w:rsidP="00E14EE6">
            <w:pPr>
              <w:jc w:val="right"/>
              <w:rPr>
                <w:rFonts w:eastAsia="Times New Roman" w:cs="Calibri"/>
                <w:color w:val="000000"/>
                <w:sz w:val="14"/>
                <w:szCs w:val="14"/>
              </w:rPr>
            </w:pPr>
            <w:r w:rsidRPr="00E14EE6">
              <w:rPr>
                <w:sz w:val="14"/>
              </w:rPr>
              <w:t>651.1</w:t>
            </w:r>
          </w:p>
        </w:tc>
        <w:tc>
          <w:tcPr>
            <w:tcW w:w="498" w:type="pct"/>
            <w:noWrap/>
            <w:hideMark/>
          </w:tcPr>
          <w:p w14:paraId="0E7B868B" w14:textId="77777777" w:rsidR="00CA7676" w:rsidRPr="00E14EE6" w:rsidRDefault="00CA7676" w:rsidP="00E14EE6">
            <w:pPr>
              <w:jc w:val="right"/>
              <w:rPr>
                <w:rFonts w:eastAsia="Times New Roman" w:cs="Calibri"/>
                <w:sz w:val="14"/>
                <w:szCs w:val="14"/>
              </w:rPr>
            </w:pPr>
            <w:r w:rsidRPr="00E14EE6">
              <w:rPr>
                <w:sz w:val="14"/>
              </w:rPr>
              <w:t>0.0</w:t>
            </w:r>
          </w:p>
        </w:tc>
      </w:tr>
      <w:tr w:rsidR="00CA7676" w:rsidRPr="00E14EE6" w14:paraId="3DD25242" w14:textId="77777777" w:rsidTr="00FD6B66">
        <w:trPr>
          <w:cnfStyle w:val="000000010000" w:firstRow="0" w:lastRow="0" w:firstColumn="0" w:lastColumn="0" w:oddVBand="0" w:evenVBand="0" w:oddHBand="0" w:evenHBand="1" w:firstRowFirstColumn="0" w:firstRowLastColumn="0" w:lastRowFirstColumn="0" w:lastRowLastColumn="0"/>
          <w:cantSplit/>
          <w:trHeight w:val="20"/>
        </w:trPr>
        <w:tc>
          <w:tcPr>
            <w:tcW w:w="1019" w:type="pct"/>
            <w:noWrap/>
            <w:hideMark/>
          </w:tcPr>
          <w:p w14:paraId="7C00DB5E" w14:textId="77777777" w:rsidR="00CA7676" w:rsidRPr="00E14EE6" w:rsidRDefault="00CA7676" w:rsidP="00E14EE6">
            <w:pPr>
              <w:jc w:val="left"/>
              <w:rPr>
                <w:rFonts w:eastAsia="Times New Roman" w:cs="Calibri"/>
                <w:color w:val="000000"/>
                <w:sz w:val="14"/>
                <w:szCs w:val="14"/>
              </w:rPr>
            </w:pPr>
            <w:r w:rsidRPr="00E14EE6">
              <w:rPr>
                <w:sz w:val="14"/>
              </w:rPr>
              <w:t>Transfers (debt forgiveness)</w:t>
            </w:r>
          </w:p>
        </w:tc>
        <w:tc>
          <w:tcPr>
            <w:tcW w:w="497" w:type="pct"/>
            <w:noWrap/>
            <w:hideMark/>
          </w:tcPr>
          <w:p w14:paraId="47EC93D1" w14:textId="77777777" w:rsidR="00CA7676" w:rsidRPr="00E14EE6" w:rsidRDefault="00CA7676" w:rsidP="00E14EE6">
            <w:pPr>
              <w:jc w:val="right"/>
              <w:rPr>
                <w:rFonts w:eastAsia="Times New Roman" w:cs="Calibri"/>
                <w:color w:val="000000"/>
                <w:sz w:val="14"/>
                <w:szCs w:val="14"/>
              </w:rPr>
            </w:pPr>
            <w:r w:rsidRPr="00E14EE6">
              <w:rPr>
                <w:sz w:val="14"/>
              </w:rPr>
              <w:t>2.2</w:t>
            </w:r>
          </w:p>
        </w:tc>
        <w:tc>
          <w:tcPr>
            <w:tcW w:w="497" w:type="pct"/>
            <w:noWrap/>
            <w:hideMark/>
          </w:tcPr>
          <w:p w14:paraId="59EF9DB4" w14:textId="77777777" w:rsidR="00CA7676" w:rsidRPr="00E14EE6" w:rsidRDefault="00CA7676" w:rsidP="00E14EE6">
            <w:pPr>
              <w:jc w:val="right"/>
              <w:rPr>
                <w:rFonts w:eastAsia="Times New Roman" w:cs="Calibri"/>
                <w:color w:val="000000"/>
                <w:sz w:val="14"/>
                <w:szCs w:val="14"/>
              </w:rPr>
            </w:pPr>
            <w:r w:rsidRPr="00E14EE6">
              <w:rPr>
                <w:sz w:val="14"/>
              </w:rPr>
              <w:t>1.9</w:t>
            </w:r>
          </w:p>
        </w:tc>
        <w:tc>
          <w:tcPr>
            <w:tcW w:w="499" w:type="pct"/>
            <w:noWrap/>
            <w:hideMark/>
          </w:tcPr>
          <w:p w14:paraId="5881E7FE" w14:textId="77777777" w:rsidR="00CA7676" w:rsidRPr="00E14EE6" w:rsidRDefault="00CA7676" w:rsidP="00E14EE6">
            <w:pPr>
              <w:jc w:val="right"/>
              <w:rPr>
                <w:rFonts w:eastAsia="Times New Roman" w:cs="Calibri"/>
                <w:color w:val="000000"/>
                <w:sz w:val="14"/>
                <w:szCs w:val="14"/>
              </w:rPr>
            </w:pPr>
            <w:r w:rsidRPr="00E14EE6">
              <w:rPr>
                <w:sz w:val="14"/>
              </w:rPr>
              <w:t>2.0</w:t>
            </w:r>
          </w:p>
        </w:tc>
        <w:tc>
          <w:tcPr>
            <w:tcW w:w="497" w:type="pct"/>
            <w:noWrap/>
            <w:hideMark/>
          </w:tcPr>
          <w:p w14:paraId="0AADE0CE" w14:textId="77777777" w:rsidR="00CA7676" w:rsidRPr="00E14EE6" w:rsidRDefault="00CA7676" w:rsidP="00E14EE6">
            <w:pPr>
              <w:jc w:val="right"/>
              <w:rPr>
                <w:rFonts w:eastAsia="Times New Roman" w:cs="Calibri"/>
                <w:color w:val="000000"/>
                <w:sz w:val="14"/>
                <w:szCs w:val="14"/>
              </w:rPr>
            </w:pPr>
            <w:r w:rsidRPr="00E14EE6">
              <w:rPr>
                <w:sz w:val="14"/>
              </w:rPr>
              <w:t>1.5</w:t>
            </w:r>
          </w:p>
        </w:tc>
        <w:tc>
          <w:tcPr>
            <w:tcW w:w="497" w:type="pct"/>
            <w:noWrap/>
            <w:hideMark/>
          </w:tcPr>
          <w:p w14:paraId="4B95F708" w14:textId="77777777" w:rsidR="00CA7676" w:rsidRPr="00E14EE6" w:rsidRDefault="00CA7676" w:rsidP="00E14EE6">
            <w:pPr>
              <w:jc w:val="right"/>
              <w:rPr>
                <w:rFonts w:eastAsia="Times New Roman" w:cs="Calibri"/>
                <w:color w:val="000000"/>
                <w:sz w:val="14"/>
                <w:szCs w:val="14"/>
              </w:rPr>
            </w:pPr>
            <w:r w:rsidRPr="00E14EE6">
              <w:rPr>
                <w:sz w:val="14"/>
              </w:rPr>
              <w:t>2.2</w:t>
            </w:r>
          </w:p>
        </w:tc>
        <w:tc>
          <w:tcPr>
            <w:tcW w:w="498" w:type="pct"/>
            <w:noWrap/>
            <w:hideMark/>
          </w:tcPr>
          <w:p w14:paraId="5332D096" w14:textId="77777777" w:rsidR="00CA7676" w:rsidRPr="00E14EE6" w:rsidRDefault="00CA7676" w:rsidP="00E14EE6">
            <w:pPr>
              <w:jc w:val="right"/>
              <w:rPr>
                <w:rFonts w:eastAsia="Times New Roman" w:cs="Calibri"/>
                <w:color w:val="000000"/>
                <w:sz w:val="14"/>
                <w:szCs w:val="14"/>
              </w:rPr>
            </w:pPr>
            <w:r w:rsidRPr="00E14EE6">
              <w:rPr>
                <w:sz w:val="14"/>
              </w:rPr>
              <w:t>1.4</w:t>
            </w:r>
          </w:p>
        </w:tc>
        <w:tc>
          <w:tcPr>
            <w:tcW w:w="497" w:type="pct"/>
            <w:noWrap/>
            <w:hideMark/>
          </w:tcPr>
          <w:p w14:paraId="5F78ECCC" w14:textId="77777777" w:rsidR="00CA7676" w:rsidRPr="00E14EE6" w:rsidRDefault="00CA7676" w:rsidP="00E14EE6">
            <w:pPr>
              <w:jc w:val="right"/>
              <w:rPr>
                <w:rFonts w:eastAsia="Times New Roman" w:cs="Calibri"/>
                <w:color w:val="000000"/>
                <w:sz w:val="14"/>
                <w:szCs w:val="14"/>
              </w:rPr>
            </w:pPr>
            <w:r w:rsidRPr="00E14EE6">
              <w:rPr>
                <w:sz w:val="14"/>
              </w:rPr>
              <w:t>1.0</w:t>
            </w:r>
          </w:p>
        </w:tc>
        <w:tc>
          <w:tcPr>
            <w:tcW w:w="498" w:type="pct"/>
            <w:noWrap/>
            <w:hideMark/>
          </w:tcPr>
          <w:p w14:paraId="3D2133F0" w14:textId="77777777" w:rsidR="00CA7676" w:rsidRPr="00E14EE6" w:rsidRDefault="00CA7676" w:rsidP="00E14EE6">
            <w:pPr>
              <w:jc w:val="right"/>
              <w:rPr>
                <w:rFonts w:eastAsia="Times New Roman" w:cs="Calibri"/>
                <w:sz w:val="14"/>
                <w:szCs w:val="14"/>
              </w:rPr>
            </w:pPr>
            <w:r w:rsidRPr="00E14EE6">
              <w:rPr>
                <w:sz w:val="14"/>
              </w:rPr>
              <w:t>0.4</w:t>
            </w:r>
          </w:p>
        </w:tc>
      </w:tr>
      <w:tr w:rsidR="00CA7676" w:rsidRPr="00E14EE6" w14:paraId="5C2E453C" w14:textId="77777777" w:rsidTr="00FD6B66">
        <w:trPr>
          <w:cantSplit/>
          <w:trHeight w:val="20"/>
        </w:trPr>
        <w:tc>
          <w:tcPr>
            <w:tcW w:w="1019" w:type="pct"/>
            <w:noWrap/>
            <w:hideMark/>
          </w:tcPr>
          <w:p w14:paraId="48AA802C" w14:textId="77777777" w:rsidR="00CA7676" w:rsidRPr="00E14EE6" w:rsidRDefault="00CA7676" w:rsidP="00E14EE6">
            <w:pPr>
              <w:jc w:val="left"/>
              <w:rPr>
                <w:rFonts w:eastAsia="Times New Roman" w:cs="Calibri"/>
                <w:color w:val="000000"/>
                <w:sz w:val="14"/>
                <w:szCs w:val="14"/>
              </w:rPr>
            </w:pPr>
            <w:r w:rsidRPr="00E14EE6">
              <w:rPr>
                <w:sz w:val="14"/>
              </w:rPr>
              <w:t xml:space="preserve">Other investment </w:t>
            </w:r>
            <w:proofErr w:type="spellStart"/>
            <w:r w:rsidRPr="00E14EE6">
              <w:rPr>
                <w:sz w:val="14"/>
              </w:rPr>
              <w:t>liabilities</w:t>
            </w:r>
            <w:r w:rsidRPr="00E14EE6">
              <w:rPr>
                <w:sz w:val="14"/>
                <w:vertAlign w:val="superscript"/>
              </w:rPr>
              <w:t>d</w:t>
            </w:r>
            <w:proofErr w:type="spellEnd"/>
          </w:p>
        </w:tc>
        <w:tc>
          <w:tcPr>
            <w:tcW w:w="497" w:type="pct"/>
            <w:noWrap/>
            <w:hideMark/>
          </w:tcPr>
          <w:p w14:paraId="5003FBCA" w14:textId="77777777" w:rsidR="00CA7676" w:rsidRPr="00E14EE6" w:rsidRDefault="00CA7676" w:rsidP="00E14EE6">
            <w:pPr>
              <w:jc w:val="right"/>
              <w:rPr>
                <w:rFonts w:eastAsia="Times New Roman" w:cs="Calibri"/>
                <w:color w:val="000000"/>
                <w:sz w:val="14"/>
                <w:szCs w:val="14"/>
              </w:rPr>
            </w:pPr>
            <w:r w:rsidRPr="00E14EE6">
              <w:rPr>
                <w:sz w:val="14"/>
              </w:rPr>
              <w:t>0.0</w:t>
            </w:r>
          </w:p>
        </w:tc>
        <w:tc>
          <w:tcPr>
            <w:tcW w:w="497" w:type="pct"/>
            <w:noWrap/>
            <w:hideMark/>
          </w:tcPr>
          <w:p w14:paraId="43DF4C20" w14:textId="77777777" w:rsidR="00CA7676" w:rsidRPr="00E14EE6" w:rsidRDefault="00CA7676" w:rsidP="00E14EE6">
            <w:pPr>
              <w:jc w:val="right"/>
              <w:rPr>
                <w:rFonts w:eastAsia="Times New Roman" w:cs="Calibri"/>
                <w:color w:val="000000"/>
                <w:sz w:val="14"/>
                <w:szCs w:val="14"/>
              </w:rPr>
            </w:pPr>
            <w:r w:rsidRPr="00E14EE6">
              <w:rPr>
                <w:sz w:val="14"/>
              </w:rPr>
              <w:t>0.0</w:t>
            </w:r>
          </w:p>
        </w:tc>
        <w:tc>
          <w:tcPr>
            <w:tcW w:w="499" w:type="pct"/>
            <w:noWrap/>
            <w:hideMark/>
          </w:tcPr>
          <w:p w14:paraId="687835FF" w14:textId="77777777" w:rsidR="00CA7676" w:rsidRPr="00E14EE6" w:rsidRDefault="00CA7676" w:rsidP="00E14EE6">
            <w:pPr>
              <w:jc w:val="right"/>
              <w:rPr>
                <w:rFonts w:eastAsia="Times New Roman" w:cs="Calibri"/>
                <w:color w:val="000000"/>
                <w:sz w:val="14"/>
                <w:szCs w:val="14"/>
              </w:rPr>
            </w:pPr>
            <w:r w:rsidRPr="00E14EE6">
              <w:rPr>
                <w:sz w:val="14"/>
              </w:rPr>
              <w:t>0.1</w:t>
            </w:r>
          </w:p>
        </w:tc>
        <w:tc>
          <w:tcPr>
            <w:tcW w:w="497" w:type="pct"/>
            <w:noWrap/>
            <w:hideMark/>
          </w:tcPr>
          <w:p w14:paraId="66BC77B0" w14:textId="77777777" w:rsidR="00CA7676" w:rsidRPr="00E14EE6" w:rsidRDefault="00CA7676" w:rsidP="00E14EE6">
            <w:pPr>
              <w:jc w:val="right"/>
              <w:rPr>
                <w:rFonts w:eastAsia="Times New Roman" w:cs="Calibri"/>
                <w:color w:val="000000"/>
                <w:sz w:val="14"/>
                <w:szCs w:val="14"/>
              </w:rPr>
            </w:pPr>
            <w:r w:rsidRPr="00E14EE6">
              <w:rPr>
                <w:sz w:val="14"/>
              </w:rPr>
              <w:t>1.5</w:t>
            </w:r>
          </w:p>
        </w:tc>
        <w:tc>
          <w:tcPr>
            <w:tcW w:w="497" w:type="pct"/>
            <w:noWrap/>
            <w:hideMark/>
          </w:tcPr>
          <w:p w14:paraId="67488509" w14:textId="77777777" w:rsidR="00CA7676" w:rsidRPr="00E14EE6" w:rsidRDefault="00CA7676" w:rsidP="00E14EE6">
            <w:pPr>
              <w:jc w:val="right"/>
              <w:rPr>
                <w:rFonts w:eastAsia="Times New Roman" w:cs="Calibri"/>
                <w:color w:val="000000"/>
                <w:sz w:val="14"/>
                <w:szCs w:val="14"/>
              </w:rPr>
            </w:pPr>
            <w:r w:rsidRPr="00E14EE6">
              <w:rPr>
                <w:sz w:val="14"/>
              </w:rPr>
              <w:t>11.7</w:t>
            </w:r>
          </w:p>
        </w:tc>
        <w:tc>
          <w:tcPr>
            <w:tcW w:w="498" w:type="pct"/>
            <w:noWrap/>
            <w:hideMark/>
          </w:tcPr>
          <w:p w14:paraId="64248BE6" w14:textId="77777777" w:rsidR="00CA7676" w:rsidRPr="00E14EE6" w:rsidRDefault="00CA7676" w:rsidP="00E14EE6">
            <w:pPr>
              <w:jc w:val="right"/>
              <w:rPr>
                <w:rFonts w:eastAsia="Times New Roman" w:cs="Calibri"/>
                <w:color w:val="000000"/>
                <w:sz w:val="14"/>
                <w:szCs w:val="14"/>
              </w:rPr>
            </w:pPr>
            <w:r w:rsidRPr="00E14EE6">
              <w:rPr>
                <w:sz w:val="14"/>
              </w:rPr>
              <w:t>22.8</w:t>
            </w:r>
          </w:p>
        </w:tc>
        <w:tc>
          <w:tcPr>
            <w:tcW w:w="497" w:type="pct"/>
            <w:noWrap/>
            <w:hideMark/>
          </w:tcPr>
          <w:p w14:paraId="6917EA64" w14:textId="77777777" w:rsidR="00CA7676" w:rsidRPr="00E14EE6" w:rsidRDefault="00CA7676" w:rsidP="00E14EE6">
            <w:pPr>
              <w:jc w:val="right"/>
              <w:rPr>
                <w:rFonts w:eastAsia="Times New Roman" w:cs="Calibri"/>
                <w:color w:val="000000"/>
                <w:sz w:val="14"/>
                <w:szCs w:val="14"/>
              </w:rPr>
            </w:pPr>
            <w:r w:rsidRPr="00E14EE6">
              <w:rPr>
                <w:sz w:val="14"/>
              </w:rPr>
              <w:t>15.8</w:t>
            </w:r>
          </w:p>
        </w:tc>
        <w:tc>
          <w:tcPr>
            <w:tcW w:w="498" w:type="pct"/>
            <w:noWrap/>
            <w:hideMark/>
          </w:tcPr>
          <w:p w14:paraId="5587F77C" w14:textId="77777777" w:rsidR="00CA7676" w:rsidRPr="00E14EE6" w:rsidRDefault="00CA7676" w:rsidP="00E14EE6">
            <w:pPr>
              <w:jc w:val="right"/>
              <w:rPr>
                <w:rFonts w:eastAsia="Times New Roman" w:cs="Calibri"/>
                <w:sz w:val="14"/>
                <w:szCs w:val="14"/>
              </w:rPr>
            </w:pPr>
            <w:r w:rsidRPr="00E14EE6">
              <w:rPr>
                <w:sz w:val="14"/>
              </w:rPr>
              <w:t>0.0</w:t>
            </w:r>
          </w:p>
        </w:tc>
      </w:tr>
      <w:tr w:rsidR="00CA7676" w:rsidRPr="00E14EE6" w14:paraId="1B723308" w14:textId="77777777" w:rsidTr="00FD6B66">
        <w:trPr>
          <w:cnfStyle w:val="000000010000" w:firstRow="0" w:lastRow="0" w:firstColumn="0" w:lastColumn="0" w:oddVBand="0" w:evenVBand="0" w:oddHBand="0" w:evenHBand="1" w:firstRowFirstColumn="0" w:firstRowLastColumn="0" w:lastRowFirstColumn="0" w:lastRowLastColumn="0"/>
          <w:cantSplit/>
          <w:trHeight w:val="20"/>
        </w:trPr>
        <w:tc>
          <w:tcPr>
            <w:tcW w:w="1019" w:type="pct"/>
            <w:noWrap/>
          </w:tcPr>
          <w:p w14:paraId="7622EBEE" w14:textId="77777777" w:rsidR="00CA7676" w:rsidRPr="00E14EE6" w:rsidRDefault="00CA7676" w:rsidP="00E14EE6">
            <w:pPr>
              <w:jc w:val="left"/>
              <w:rPr>
                <w:rFonts w:eastAsia="Times New Roman" w:cs="Calibri"/>
                <w:color w:val="000000"/>
                <w:sz w:val="14"/>
                <w:szCs w:val="14"/>
              </w:rPr>
            </w:pPr>
            <w:r w:rsidRPr="00E14EE6">
              <w:rPr>
                <w:sz w:val="14"/>
              </w:rPr>
              <w:t>Memorandum item</w:t>
            </w:r>
          </w:p>
        </w:tc>
        <w:tc>
          <w:tcPr>
            <w:tcW w:w="497" w:type="pct"/>
            <w:noWrap/>
          </w:tcPr>
          <w:p w14:paraId="34C20133" w14:textId="77777777" w:rsidR="00CA7676" w:rsidRPr="00E14EE6" w:rsidRDefault="00CA7676" w:rsidP="00E14EE6">
            <w:pPr>
              <w:jc w:val="right"/>
              <w:rPr>
                <w:rFonts w:eastAsia="Times New Roman" w:cs="Calibri"/>
                <w:color w:val="000000"/>
                <w:sz w:val="14"/>
                <w:szCs w:val="14"/>
                <w:lang w:eastAsia="en-GB"/>
              </w:rPr>
            </w:pPr>
          </w:p>
        </w:tc>
        <w:tc>
          <w:tcPr>
            <w:tcW w:w="497" w:type="pct"/>
            <w:noWrap/>
          </w:tcPr>
          <w:p w14:paraId="11B4BF32" w14:textId="77777777" w:rsidR="00CA7676" w:rsidRPr="00E14EE6" w:rsidRDefault="00CA7676" w:rsidP="00E14EE6">
            <w:pPr>
              <w:jc w:val="right"/>
              <w:rPr>
                <w:rFonts w:eastAsia="Times New Roman" w:cs="Calibri"/>
                <w:color w:val="000000"/>
                <w:sz w:val="14"/>
                <w:szCs w:val="14"/>
                <w:lang w:eastAsia="en-GB"/>
              </w:rPr>
            </w:pPr>
          </w:p>
        </w:tc>
        <w:tc>
          <w:tcPr>
            <w:tcW w:w="499" w:type="pct"/>
            <w:noWrap/>
          </w:tcPr>
          <w:p w14:paraId="5E17A772" w14:textId="77777777" w:rsidR="00CA7676" w:rsidRPr="00E14EE6" w:rsidRDefault="00CA7676" w:rsidP="00E14EE6">
            <w:pPr>
              <w:jc w:val="right"/>
              <w:rPr>
                <w:rFonts w:eastAsia="Times New Roman" w:cs="Calibri"/>
                <w:color w:val="000000"/>
                <w:sz w:val="14"/>
                <w:szCs w:val="14"/>
                <w:lang w:eastAsia="en-GB"/>
              </w:rPr>
            </w:pPr>
          </w:p>
        </w:tc>
        <w:tc>
          <w:tcPr>
            <w:tcW w:w="497" w:type="pct"/>
            <w:noWrap/>
          </w:tcPr>
          <w:p w14:paraId="4C7FA8CA" w14:textId="77777777" w:rsidR="00CA7676" w:rsidRPr="00E14EE6" w:rsidRDefault="00CA7676" w:rsidP="00E14EE6">
            <w:pPr>
              <w:jc w:val="right"/>
              <w:rPr>
                <w:rFonts w:eastAsia="Times New Roman" w:cs="Calibri"/>
                <w:color w:val="000000"/>
                <w:sz w:val="14"/>
                <w:szCs w:val="14"/>
                <w:lang w:eastAsia="en-GB"/>
              </w:rPr>
            </w:pPr>
          </w:p>
        </w:tc>
        <w:tc>
          <w:tcPr>
            <w:tcW w:w="497" w:type="pct"/>
            <w:noWrap/>
          </w:tcPr>
          <w:p w14:paraId="587B2832" w14:textId="77777777" w:rsidR="00CA7676" w:rsidRPr="00E14EE6" w:rsidRDefault="00CA7676" w:rsidP="00E14EE6">
            <w:pPr>
              <w:jc w:val="right"/>
              <w:rPr>
                <w:rFonts w:eastAsia="Times New Roman" w:cs="Calibri"/>
                <w:color w:val="000000"/>
                <w:sz w:val="14"/>
                <w:szCs w:val="14"/>
                <w:lang w:eastAsia="en-GB"/>
              </w:rPr>
            </w:pPr>
          </w:p>
        </w:tc>
        <w:tc>
          <w:tcPr>
            <w:tcW w:w="498" w:type="pct"/>
            <w:noWrap/>
          </w:tcPr>
          <w:p w14:paraId="07C1E5B4" w14:textId="77777777" w:rsidR="00CA7676" w:rsidRPr="00E14EE6" w:rsidRDefault="00CA7676" w:rsidP="00E14EE6">
            <w:pPr>
              <w:jc w:val="right"/>
              <w:rPr>
                <w:rFonts w:eastAsia="Times New Roman" w:cs="Calibri"/>
                <w:color w:val="000000"/>
                <w:sz w:val="14"/>
                <w:szCs w:val="14"/>
                <w:lang w:eastAsia="en-GB"/>
              </w:rPr>
            </w:pPr>
          </w:p>
        </w:tc>
        <w:tc>
          <w:tcPr>
            <w:tcW w:w="497" w:type="pct"/>
            <w:noWrap/>
          </w:tcPr>
          <w:p w14:paraId="3495CE35" w14:textId="77777777" w:rsidR="00CA7676" w:rsidRPr="00E14EE6" w:rsidRDefault="00CA7676" w:rsidP="00E14EE6">
            <w:pPr>
              <w:jc w:val="right"/>
              <w:rPr>
                <w:rFonts w:eastAsia="Times New Roman" w:cs="Calibri"/>
                <w:color w:val="000000"/>
                <w:sz w:val="14"/>
                <w:szCs w:val="14"/>
                <w:lang w:eastAsia="en-GB"/>
              </w:rPr>
            </w:pPr>
          </w:p>
        </w:tc>
        <w:tc>
          <w:tcPr>
            <w:tcW w:w="498" w:type="pct"/>
            <w:noWrap/>
          </w:tcPr>
          <w:p w14:paraId="72149A59" w14:textId="77777777" w:rsidR="00CA7676" w:rsidRPr="00E14EE6" w:rsidRDefault="00CA7676" w:rsidP="00E14EE6">
            <w:pPr>
              <w:jc w:val="right"/>
              <w:rPr>
                <w:rFonts w:eastAsia="Times New Roman" w:cs="Calibri"/>
                <w:sz w:val="14"/>
                <w:szCs w:val="14"/>
                <w:lang w:eastAsia="en-GB"/>
              </w:rPr>
            </w:pPr>
          </w:p>
        </w:tc>
      </w:tr>
      <w:tr w:rsidR="00CA7676" w:rsidRPr="00E14EE6" w14:paraId="25AB85B8" w14:textId="77777777" w:rsidTr="00FD6B66">
        <w:trPr>
          <w:cantSplit/>
          <w:trHeight w:val="20"/>
        </w:trPr>
        <w:tc>
          <w:tcPr>
            <w:tcW w:w="1019" w:type="pct"/>
            <w:noWrap/>
          </w:tcPr>
          <w:p w14:paraId="071C8690" w14:textId="77777777" w:rsidR="00CA7676" w:rsidRPr="00E14EE6" w:rsidRDefault="00CA7676" w:rsidP="00E14EE6">
            <w:pPr>
              <w:jc w:val="left"/>
              <w:rPr>
                <w:rFonts w:eastAsia="Times New Roman" w:cs="Calibri"/>
                <w:b/>
                <w:bCs/>
                <w:color w:val="000000"/>
                <w:sz w:val="14"/>
                <w:szCs w:val="14"/>
              </w:rPr>
            </w:pPr>
            <w:r w:rsidRPr="00E14EE6">
              <w:rPr>
                <w:b/>
                <w:sz w:val="14"/>
              </w:rPr>
              <w:t>Current account/GDP (%)</w:t>
            </w:r>
          </w:p>
        </w:tc>
        <w:tc>
          <w:tcPr>
            <w:tcW w:w="497" w:type="pct"/>
            <w:noWrap/>
          </w:tcPr>
          <w:p w14:paraId="6C62EED1" w14:textId="77777777" w:rsidR="00CA7676" w:rsidRPr="00E14EE6" w:rsidRDefault="00CA7676" w:rsidP="00E14EE6">
            <w:pPr>
              <w:jc w:val="right"/>
              <w:rPr>
                <w:rFonts w:eastAsia="Times New Roman" w:cs="Calibri"/>
                <w:b/>
                <w:bCs/>
                <w:color w:val="000000"/>
                <w:sz w:val="14"/>
                <w:szCs w:val="14"/>
              </w:rPr>
            </w:pPr>
            <w:r w:rsidRPr="00E14EE6">
              <w:rPr>
                <w:b/>
                <w:sz w:val="14"/>
              </w:rPr>
              <w:t>3.2</w:t>
            </w:r>
          </w:p>
        </w:tc>
        <w:tc>
          <w:tcPr>
            <w:tcW w:w="497" w:type="pct"/>
            <w:noWrap/>
          </w:tcPr>
          <w:p w14:paraId="2A70C415" w14:textId="77777777" w:rsidR="00CA7676" w:rsidRPr="00E14EE6" w:rsidRDefault="00CA7676" w:rsidP="00E14EE6">
            <w:pPr>
              <w:jc w:val="right"/>
              <w:rPr>
                <w:rFonts w:eastAsia="Times New Roman" w:cs="Calibri"/>
                <w:b/>
                <w:bCs/>
                <w:color w:val="000000"/>
                <w:sz w:val="14"/>
                <w:szCs w:val="14"/>
              </w:rPr>
            </w:pPr>
            <w:r w:rsidRPr="00E14EE6">
              <w:rPr>
                <w:b/>
                <w:sz w:val="14"/>
              </w:rPr>
              <w:t>1.8</w:t>
            </w:r>
          </w:p>
        </w:tc>
        <w:tc>
          <w:tcPr>
            <w:tcW w:w="499" w:type="pct"/>
            <w:noWrap/>
          </w:tcPr>
          <w:p w14:paraId="431F32B8" w14:textId="77777777" w:rsidR="00CA7676" w:rsidRPr="00E14EE6" w:rsidRDefault="00CA7676" w:rsidP="00E14EE6">
            <w:pPr>
              <w:jc w:val="right"/>
              <w:rPr>
                <w:rFonts w:eastAsia="Times New Roman" w:cs="Calibri"/>
                <w:b/>
                <w:bCs/>
                <w:color w:val="000000"/>
                <w:sz w:val="14"/>
                <w:szCs w:val="14"/>
              </w:rPr>
            </w:pPr>
            <w:r w:rsidRPr="00E14EE6">
              <w:rPr>
                <w:b/>
                <w:sz w:val="14"/>
              </w:rPr>
              <w:t>1.1</w:t>
            </w:r>
          </w:p>
        </w:tc>
        <w:tc>
          <w:tcPr>
            <w:tcW w:w="497" w:type="pct"/>
            <w:noWrap/>
          </w:tcPr>
          <w:p w14:paraId="1EE99590" w14:textId="77777777" w:rsidR="00CA7676" w:rsidRPr="00E14EE6" w:rsidRDefault="00CA7676" w:rsidP="00E14EE6">
            <w:pPr>
              <w:jc w:val="right"/>
              <w:rPr>
                <w:rFonts w:eastAsia="Times New Roman" w:cs="Calibri"/>
                <w:b/>
                <w:bCs/>
                <w:color w:val="000000"/>
                <w:sz w:val="14"/>
                <w:szCs w:val="14"/>
              </w:rPr>
            </w:pPr>
            <w:r w:rsidRPr="00E14EE6">
              <w:rPr>
                <w:b/>
                <w:sz w:val="14"/>
              </w:rPr>
              <w:t>0.2</w:t>
            </w:r>
          </w:p>
        </w:tc>
        <w:tc>
          <w:tcPr>
            <w:tcW w:w="497" w:type="pct"/>
            <w:noWrap/>
          </w:tcPr>
          <w:p w14:paraId="021B6B31" w14:textId="77777777" w:rsidR="00CA7676" w:rsidRPr="00E14EE6" w:rsidRDefault="00CA7676" w:rsidP="00E14EE6">
            <w:pPr>
              <w:jc w:val="right"/>
              <w:rPr>
                <w:rFonts w:eastAsia="Times New Roman" w:cs="Calibri"/>
                <w:b/>
                <w:bCs/>
                <w:color w:val="000000"/>
                <w:sz w:val="14"/>
                <w:szCs w:val="14"/>
              </w:rPr>
            </w:pPr>
            <w:r w:rsidRPr="00E14EE6">
              <w:rPr>
                <w:b/>
                <w:sz w:val="14"/>
              </w:rPr>
              <w:t>1.5</w:t>
            </w:r>
          </w:p>
        </w:tc>
        <w:tc>
          <w:tcPr>
            <w:tcW w:w="498" w:type="pct"/>
            <w:noWrap/>
          </w:tcPr>
          <w:p w14:paraId="70EBDAEA" w14:textId="77777777" w:rsidR="00CA7676" w:rsidRPr="00E14EE6" w:rsidRDefault="00CA7676" w:rsidP="00E14EE6">
            <w:pPr>
              <w:jc w:val="right"/>
              <w:rPr>
                <w:rFonts w:eastAsia="Times New Roman" w:cs="Calibri"/>
                <w:b/>
                <w:bCs/>
                <w:color w:val="000000"/>
                <w:sz w:val="14"/>
                <w:szCs w:val="14"/>
              </w:rPr>
            </w:pPr>
            <w:r w:rsidRPr="00E14EE6">
              <w:rPr>
                <w:b/>
                <w:sz w:val="14"/>
              </w:rPr>
              <w:t>1.3</w:t>
            </w:r>
          </w:p>
        </w:tc>
        <w:tc>
          <w:tcPr>
            <w:tcW w:w="497" w:type="pct"/>
            <w:noWrap/>
          </w:tcPr>
          <w:p w14:paraId="233A31FB" w14:textId="77777777" w:rsidR="00CA7676" w:rsidRPr="00E14EE6" w:rsidRDefault="00CA7676" w:rsidP="00E14EE6">
            <w:pPr>
              <w:jc w:val="right"/>
              <w:rPr>
                <w:rFonts w:eastAsia="Times New Roman" w:cs="Calibri"/>
                <w:b/>
                <w:bCs/>
                <w:color w:val="000000"/>
                <w:sz w:val="14"/>
                <w:szCs w:val="14"/>
              </w:rPr>
            </w:pPr>
            <w:r w:rsidRPr="00E14EE6">
              <w:rPr>
                <w:b/>
                <w:sz w:val="14"/>
              </w:rPr>
              <w:t>1.7</w:t>
            </w:r>
          </w:p>
        </w:tc>
        <w:tc>
          <w:tcPr>
            <w:tcW w:w="498" w:type="pct"/>
            <w:noWrap/>
          </w:tcPr>
          <w:p w14:paraId="0A9C350A" w14:textId="77777777" w:rsidR="00CA7676" w:rsidRPr="00E14EE6" w:rsidRDefault="00CA7676" w:rsidP="00E14EE6">
            <w:pPr>
              <w:jc w:val="right"/>
              <w:rPr>
                <w:rFonts w:eastAsia="Times New Roman" w:cs="Calibri"/>
                <w:b/>
                <w:bCs/>
                <w:sz w:val="14"/>
                <w:szCs w:val="14"/>
              </w:rPr>
            </w:pPr>
            <w:r w:rsidRPr="00E14EE6">
              <w:rPr>
                <w:b/>
                <w:sz w:val="14"/>
              </w:rPr>
              <w:t>2.8</w:t>
            </w:r>
          </w:p>
        </w:tc>
      </w:tr>
    </w:tbl>
    <w:p w14:paraId="4035A974" w14:textId="3FEE15D6" w:rsidR="00CA7676" w:rsidRPr="00E14EE6" w:rsidRDefault="00E14EE6" w:rsidP="00CE2C80">
      <w:pPr>
        <w:pStyle w:val="NoteText"/>
        <w:spacing w:before="120"/>
      </w:pPr>
      <w:proofErr w:type="spellStart"/>
      <w:r w:rsidRPr="00E14EE6">
        <w:t>a</w:t>
      </w:r>
      <w:proofErr w:type="spellEnd"/>
      <w:r w:rsidRPr="00E14EE6">
        <w:t xml:space="preserve"> </w:t>
      </w:r>
      <w:r w:rsidR="00F52AEC" w:rsidRPr="00E14EE6">
        <w:tab/>
      </w:r>
      <w:r w:rsidR="00CA7676" w:rsidRPr="00E14EE6">
        <w:t xml:space="preserve">Excludes components classified as financing in </w:t>
      </w:r>
      <w:r w:rsidRPr="00E14EE6">
        <w:t>Group V. A</w:t>
      </w:r>
      <w:r w:rsidR="00CA7676" w:rsidRPr="00E14EE6">
        <w:t>ccording to the sixth version of the Balance of Payments Manual, only current payments are included in the capital account component, while the forgiveness of arrears on debts with official creditors (bilateral, multilateral) are recorded as exceptional financing.</w:t>
      </w:r>
    </w:p>
    <w:p w14:paraId="65B29729" w14:textId="60D09094" w:rsidR="00CA7676" w:rsidRPr="00E14EE6" w:rsidRDefault="00E14EE6" w:rsidP="00E14EE6">
      <w:pPr>
        <w:pStyle w:val="NoteText"/>
      </w:pPr>
      <w:r w:rsidRPr="00E14EE6">
        <w:t xml:space="preserve">b </w:t>
      </w:r>
      <w:r w:rsidR="00F52AEC" w:rsidRPr="00E14EE6">
        <w:tab/>
      </w:r>
      <w:r w:rsidR="00CA7676" w:rsidRPr="00E14EE6">
        <w:t>Includes commercial credits and other capital.</w:t>
      </w:r>
    </w:p>
    <w:p w14:paraId="0F5DFFCD" w14:textId="06381CCE" w:rsidR="00CA7676" w:rsidRPr="00E14EE6" w:rsidRDefault="00E14EE6" w:rsidP="00E14EE6">
      <w:pPr>
        <w:pStyle w:val="NoteText"/>
      </w:pPr>
      <w:r w:rsidRPr="00E14EE6">
        <w:t xml:space="preserve">c </w:t>
      </w:r>
      <w:r w:rsidR="00F52AEC" w:rsidRPr="00E14EE6">
        <w:tab/>
      </w:r>
      <w:r w:rsidR="00CA7676" w:rsidRPr="00E14EE6">
        <w:t>As from 2009, includes the use of IMF credit (disbursements and amortizations) by the Government.</w:t>
      </w:r>
    </w:p>
    <w:p w14:paraId="242B1146" w14:textId="1C4360A0" w:rsidR="00CA7676" w:rsidRPr="00E14EE6" w:rsidRDefault="00E14EE6" w:rsidP="00E14EE6">
      <w:pPr>
        <w:pStyle w:val="NoteText"/>
      </w:pPr>
      <w:r w:rsidRPr="00E14EE6">
        <w:t xml:space="preserve">d </w:t>
      </w:r>
      <w:r w:rsidR="00F52AEC" w:rsidRPr="00E14EE6">
        <w:tab/>
      </w:r>
      <w:r w:rsidR="00CA7676" w:rsidRPr="00E14EE6">
        <w:t>Includes drawings on new loans and loan prepayments.</w:t>
      </w:r>
    </w:p>
    <w:p w14:paraId="23426DF1" w14:textId="376E5BDF" w:rsidR="00CA7676" w:rsidRPr="00E14EE6" w:rsidRDefault="00CA7676" w:rsidP="00CE2C80">
      <w:pPr>
        <w:pStyle w:val="NoteText"/>
        <w:spacing w:before="120"/>
      </w:pPr>
      <w:r w:rsidRPr="00E14EE6">
        <w:t>Note:</w:t>
      </w:r>
      <w:r w:rsidRPr="00E14EE6">
        <w:tab/>
        <w:t>In the public debt figures, the sum of the quarters does not necessarily match the cumulative figures due to methodological differences</w:t>
      </w:r>
      <w:r w:rsidR="00E14EE6" w:rsidRPr="00E14EE6">
        <w:t>. R</w:t>
      </w:r>
      <w:r w:rsidRPr="00E14EE6">
        <w:t xml:space="preserve">esults in accordance with the </w:t>
      </w:r>
      <w:r w:rsidR="00A4574C" w:rsidRPr="00E14EE6">
        <w:t>s</w:t>
      </w:r>
      <w:r w:rsidRPr="00E14EE6">
        <w:t xml:space="preserve">ixth </w:t>
      </w:r>
      <w:r w:rsidR="00A4574C" w:rsidRPr="00E14EE6">
        <w:t>e</w:t>
      </w:r>
      <w:r w:rsidRPr="00E14EE6">
        <w:t>dition of the IMF's Balance of Payments and International Investment Position Manual (BPM6).</w:t>
      </w:r>
    </w:p>
    <w:p w14:paraId="46808347" w14:textId="6EE89E2E" w:rsidR="00CA7676" w:rsidRPr="00E14EE6" w:rsidRDefault="00CA7676" w:rsidP="00CE2C80">
      <w:pPr>
        <w:pStyle w:val="NoteText"/>
        <w:spacing w:before="120" w:after="240"/>
      </w:pPr>
      <w:r w:rsidRPr="00E14EE6">
        <w:t>Source:</w:t>
      </w:r>
      <w:r w:rsidRPr="00E14EE6">
        <w:tab/>
      </w:r>
      <w:proofErr w:type="spellStart"/>
      <w:r w:rsidRPr="00E14EE6">
        <w:t>BCRD</w:t>
      </w:r>
      <w:proofErr w:type="spellEnd"/>
      <w:r w:rsidRPr="00E14EE6">
        <w:t>, International Department, Balance of Payments Sub</w:t>
      </w:r>
      <w:r w:rsidR="00E14EE6" w:rsidRPr="00E14EE6">
        <w:noBreakHyphen/>
      </w:r>
      <w:r w:rsidRPr="00E14EE6">
        <w:t>Directorate.</w:t>
      </w:r>
    </w:p>
    <w:p w14:paraId="4B3914A2" w14:textId="263A1A56" w:rsidR="007C74EF" w:rsidRPr="00E14EE6" w:rsidRDefault="00E14EE6" w:rsidP="00763857">
      <w:pPr>
        <w:pStyle w:val="BodyText"/>
      </w:pPr>
      <w:r w:rsidRPr="00E14EE6">
        <w:t>D</w:t>
      </w:r>
      <w:r w:rsidR="005147A6" w:rsidRPr="00E14EE6">
        <w:t xml:space="preserve">uring the first quarter of 2022, the preliminary balance of payments shows a current account deficit of </w:t>
      </w:r>
      <w:r w:rsidRPr="00E14EE6">
        <w:t>USD 1</w:t>
      </w:r>
      <w:r w:rsidR="005147A6" w:rsidRPr="00E14EE6">
        <w:t>,029.2</w:t>
      </w:r>
      <w:r w:rsidRPr="00E14EE6">
        <w:t> million. T</w:t>
      </w:r>
      <w:r w:rsidR="005147A6" w:rsidRPr="00E14EE6">
        <w:t xml:space="preserve">his is mainly due to </w:t>
      </w:r>
      <w:r w:rsidR="003153A1" w:rsidRPr="00E14EE6">
        <w:t>a</w:t>
      </w:r>
      <w:r w:rsidR="005147A6" w:rsidRPr="00E14EE6">
        <w:t xml:space="preserve"> jump in imports by an additional </w:t>
      </w:r>
      <w:r w:rsidRPr="00E14EE6">
        <w:t>USD 1</w:t>
      </w:r>
      <w:r w:rsidR="005147A6" w:rsidRPr="00E14EE6">
        <w:t>,957.7</w:t>
      </w:r>
      <w:r w:rsidRPr="00E14EE6">
        <w:t> million</w:t>
      </w:r>
      <w:r w:rsidR="005147A6" w:rsidRPr="00E14EE6">
        <w:t xml:space="preserve"> (39.2</w:t>
      </w:r>
      <w:r>
        <w:t>%</w:t>
      </w:r>
      <w:r w:rsidR="005147A6" w:rsidRPr="00E14EE6">
        <w:t>) compared with the same period in 2021, and lower inflows from family remittances (</w:t>
      </w:r>
      <w:r w:rsidRPr="00E14EE6">
        <w:noBreakHyphen/>
      </w:r>
      <w:r w:rsidR="005147A6" w:rsidRPr="00E14EE6">
        <w:t>6.0</w:t>
      </w:r>
      <w:r>
        <w:t>%</w:t>
      </w:r>
      <w:r w:rsidR="005147A6" w:rsidRPr="00E14EE6">
        <w:t>) and gold exports (</w:t>
      </w:r>
      <w:r w:rsidRPr="00E14EE6">
        <w:noBreakHyphen/>
      </w:r>
      <w:r w:rsidR="005147A6" w:rsidRPr="00E14EE6">
        <w:t>25.0</w:t>
      </w:r>
      <w:r>
        <w:t>%</w:t>
      </w:r>
      <w:r w:rsidR="005147A6" w:rsidRPr="00E14EE6">
        <w:t>)</w:t>
      </w:r>
      <w:r w:rsidRPr="00E14EE6">
        <w:t>. T</w:t>
      </w:r>
      <w:r w:rsidR="005147A6" w:rsidRPr="00E14EE6">
        <w:t>otal exports expanded by 14.5</w:t>
      </w:r>
      <w:r>
        <w:t>%</w:t>
      </w:r>
      <w:r w:rsidR="005147A6" w:rsidRPr="00E14EE6">
        <w:t xml:space="preserve"> in the first</w:t>
      </w:r>
      <w:r w:rsidR="00C5302C">
        <w:t> </w:t>
      </w:r>
      <w:r w:rsidR="005147A6" w:rsidRPr="00E14EE6">
        <w:t xml:space="preserve">quarter of 2022 (an additional </w:t>
      </w:r>
      <w:r w:rsidRPr="00E14EE6">
        <w:t>USD 422</w:t>
      </w:r>
      <w:r w:rsidR="005147A6" w:rsidRPr="00E14EE6">
        <w:t>.7</w:t>
      </w:r>
      <w:r w:rsidRPr="00E14EE6">
        <w:t> million</w:t>
      </w:r>
      <w:r w:rsidR="005147A6" w:rsidRPr="00E14EE6">
        <w:t xml:space="preserve"> compared with the same period in 2021, reaching </w:t>
      </w:r>
      <w:r w:rsidRPr="00E14EE6">
        <w:t>USD 3</w:t>
      </w:r>
      <w:r w:rsidR="005147A6" w:rsidRPr="00E14EE6">
        <w:t>,328.0</w:t>
      </w:r>
      <w:r w:rsidRPr="00E14EE6">
        <w:t> million</w:t>
      </w:r>
      <w:r w:rsidR="005147A6" w:rsidRPr="00E14EE6">
        <w:t>)</w:t>
      </w:r>
      <w:r w:rsidRPr="00E14EE6">
        <w:t>. T</w:t>
      </w:r>
      <w:r w:rsidR="005147A6" w:rsidRPr="00E14EE6">
        <w:t xml:space="preserve">here was also extraordinary growth in income from tourism of </w:t>
      </w:r>
      <w:r w:rsidRPr="00E14EE6">
        <w:t>USD 1</w:t>
      </w:r>
      <w:r w:rsidR="005147A6" w:rsidRPr="00E14EE6">
        <w:t>,309.8</w:t>
      </w:r>
      <w:r w:rsidRPr="00E14EE6">
        <w:t> million</w:t>
      </w:r>
      <w:r w:rsidR="005147A6" w:rsidRPr="00E14EE6">
        <w:t xml:space="preserve"> (162.2</w:t>
      </w:r>
      <w:r>
        <w:t>%</w:t>
      </w:r>
      <w:r w:rsidR="005147A6" w:rsidRPr="00E14EE6">
        <w:t>) during the quarter, which offset these effects on the deficit.</w:t>
      </w:r>
      <w:r w:rsidRPr="00E14EE6">
        <w:rPr>
          <w:rStyle w:val="FootnoteReference"/>
        </w:rPr>
        <w:footnoteReference w:id="36"/>
      </w:r>
    </w:p>
    <w:p w14:paraId="67D95C85" w14:textId="26E9F2D4" w:rsidR="00CA7676" w:rsidRPr="00E14EE6" w:rsidRDefault="00E14EE6" w:rsidP="00763857">
      <w:pPr>
        <w:pStyle w:val="BodyText"/>
      </w:pPr>
      <w:r w:rsidRPr="00E14EE6">
        <w:t>G</w:t>
      </w:r>
      <w:r w:rsidR="005147A6" w:rsidRPr="00E14EE6">
        <w:t xml:space="preserve">ross international reserves increased from </w:t>
      </w:r>
      <w:r w:rsidRPr="00E14EE6">
        <w:t>USD 4</w:t>
      </w:r>
      <w:r w:rsidR="005147A6" w:rsidRPr="00E14EE6">
        <w:t>,861.8</w:t>
      </w:r>
      <w:r w:rsidRPr="00E14EE6">
        <w:t> million</w:t>
      </w:r>
      <w:r w:rsidR="005147A6" w:rsidRPr="00E14EE6">
        <w:t xml:space="preserve"> in 2014 to </w:t>
      </w:r>
      <w:r w:rsidRPr="00E14EE6">
        <w:t>USD 13</w:t>
      </w:r>
      <w:r w:rsidR="005147A6" w:rsidRPr="00E14EE6">
        <w:t>,034.0</w:t>
      </w:r>
      <w:r w:rsidRPr="00E14EE6">
        <w:t> million</w:t>
      </w:r>
      <w:r w:rsidR="005147A6" w:rsidRPr="00E14EE6">
        <w:t xml:space="preserve"> at the close of 2021, accounting for 6.6 months of imports and 14.0</w:t>
      </w:r>
      <w:r>
        <w:t>%</w:t>
      </w:r>
      <w:r w:rsidR="005147A6" w:rsidRPr="00E14EE6">
        <w:t xml:space="preserve"> as a </w:t>
      </w:r>
      <w:r w:rsidR="003B779A" w:rsidRPr="00E14EE6">
        <w:lastRenderedPageBreak/>
        <w:t>percentage</w:t>
      </w:r>
      <w:r w:rsidR="005147A6" w:rsidRPr="00E14EE6">
        <w:t xml:space="preserve"> of GDP</w:t>
      </w:r>
      <w:r w:rsidRPr="00E14EE6">
        <w:t>.</w:t>
      </w:r>
      <w:r w:rsidRPr="00E14EE6">
        <w:rPr>
          <w:rStyle w:val="FootnoteReference"/>
        </w:rPr>
        <w:footnoteReference w:id="37"/>
      </w:r>
      <w:r w:rsidRPr="00E14EE6">
        <w:t xml:space="preserve"> A</w:t>
      </w:r>
      <w:r w:rsidR="005147A6" w:rsidRPr="00E14EE6">
        <w:t>s of 3</w:t>
      </w:r>
      <w:r w:rsidRPr="00E14EE6">
        <w:t>1 March 2</w:t>
      </w:r>
      <w:r w:rsidR="005147A6" w:rsidRPr="00E14EE6">
        <w:t xml:space="preserve">022, gross international reserves amounted to </w:t>
      </w:r>
      <w:r w:rsidRPr="00E14EE6">
        <w:t>USD 14</w:t>
      </w:r>
      <w:r w:rsidR="005147A6" w:rsidRPr="00E14EE6">
        <w:t>,596.3</w:t>
      </w:r>
      <w:r w:rsidRPr="00E14EE6">
        <w:t> million</w:t>
      </w:r>
      <w:r w:rsidR="005147A6" w:rsidRPr="00E14EE6">
        <w:t>, equivalent to 13.6</w:t>
      </w:r>
      <w:r>
        <w:t>%</w:t>
      </w:r>
      <w:r w:rsidR="005147A6" w:rsidRPr="00E14EE6">
        <w:t xml:space="preserve"> of GDP and </w:t>
      </w:r>
      <w:r w:rsidR="00BD6D63" w:rsidRPr="00E14EE6">
        <w:t>six</w:t>
      </w:r>
      <w:r w:rsidR="005147A6" w:rsidRPr="00E14EE6">
        <w:t xml:space="preserve"> months of imports of goods and services, excluding free zones.</w:t>
      </w:r>
      <w:r w:rsidRPr="00E14EE6">
        <w:rPr>
          <w:rStyle w:val="FootnoteReference"/>
        </w:rPr>
        <w:footnoteReference w:id="38"/>
      </w:r>
    </w:p>
    <w:p w14:paraId="18BF5A12" w14:textId="43246772" w:rsidR="00CA7676" w:rsidRPr="00E14EE6" w:rsidRDefault="005147A6" w:rsidP="00DF0D53">
      <w:pPr>
        <w:pStyle w:val="Heading2"/>
        <w:rPr>
          <w:rFonts w:eastAsia="Times New Roman" w:cs="Times New Roman"/>
        </w:rPr>
      </w:pPr>
      <w:bookmarkStart w:id="51" w:name="_Toc208290226"/>
      <w:bookmarkStart w:id="52" w:name="_Toc417038433"/>
      <w:bookmarkStart w:id="53" w:name="_Toc117260596"/>
      <w:r w:rsidRPr="00E14EE6">
        <w:t xml:space="preserve">Developments in </w:t>
      </w:r>
      <w:r w:rsidR="00695BE9" w:rsidRPr="00E14EE6">
        <w:t>T</w:t>
      </w:r>
      <w:r w:rsidRPr="00E14EE6">
        <w:t xml:space="preserve">rade and </w:t>
      </w:r>
      <w:r w:rsidR="00695BE9" w:rsidRPr="00E14EE6">
        <w:t>I</w:t>
      </w:r>
      <w:r w:rsidRPr="00E14EE6">
        <w:t xml:space="preserve">nvestment </w:t>
      </w:r>
      <w:r w:rsidR="00695BE9" w:rsidRPr="00E14EE6">
        <w:t>F</w:t>
      </w:r>
      <w:r w:rsidRPr="00E14EE6">
        <w:t>lows</w:t>
      </w:r>
      <w:bookmarkEnd w:id="51"/>
      <w:bookmarkEnd w:id="52"/>
      <w:bookmarkEnd w:id="53"/>
    </w:p>
    <w:p w14:paraId="7FEF32C3" w14:textId="66A168F0" w:rsidR="00CA7676" w:rsidRPr="00E14EE6" w:rsidRDefault="005147A6" w:rsidP="00DF0D53">
      <w:pPr>
        <w:pStyle w:val="Heading3"/>
        <w:rPr>
          <w:rFonts w:eastAsia="Times New Roman" w:cs="Times New Roman"/>
        </w:rPr>
      </w:pPr>
      <w:bookmarkStart w:id="54" w:name="_Toc208290227"/>
      <w:bookmarkStart w:id="55" w:name="_Toc417038434"/>
      <w:bookmarkStart w:id="56" w:name="_Toc117260597"/>
      <w:r w:rsidRPr="00E14EE6">
        <w:t>Trade in goods</w:t>
      </w:r>
      <w:bookmarkEnd w:id="54"/>
      <w:bookmarkEnd w:id="55"/>
      <w:r w:rsidR="00E14EE6" w:rsidRPr="00E14EE6">
        <w:rPr>
          <w:rStyle w:val="FootnoteReference"/>
        </w:rPr>
        <w:footnoteReference w:id="39"/>
      </w:r>
      <w:bookmarkEnd w:id="56"/>
    </w:p>
    <w:p w14:paraId="167B54F5" w14:textId="5943A7F0" w:rsidR="00CA7676" w:rsidRPr="00E14EE6" w:rsidRDefault="005147A6" w:rsidP="00763857">
      <w:pPr>
        <w:pStyle w:val="Heading4"/>
        <w:rPr>
          <w:rFonts w:eastAsia="Times New Roman" w:cs="Times New Roman"/>
        </w:rPr>
      </w:pPr>
      <w:bookmarkStart w:id="57" w:name="_Toc417038435"/>
      <w:bookmarkStart w:id="58" w:name="_Toc117260598"/>
      <w:r w:rsidRPr="00E14EE6">
        <w:t>Composition of trade in goods</w:t>
      </w:r>
      <w:bookmarkEnd w:id="57"/>
      <w:bookmarkEnd w:id="58"/>
    </w:p>
    <w:p w14:paraId="1477070F" w14:textId="3E12F6EF" w:rsidR="00CA7676" w:rsidRPr="00E14EE6" w:rsidRDefault="00E14EE6" w:rsidP="00763857">
      <w:pPr>
        <w:pStyle w:val="BodyText"/>
        <w:rPr>
          <w:rFonts w:eastAsia="Verdana" w:cs="Times New Roman"/>
        </w:rPr>
      </w:pPr>
      <w:r w:rsidRPr="00E14EE6">
        <w:t>I</w:t>
      </w:r>
      <w:r w:rsidR="005147A6" w:rsidRPr="00E14EE6">
        <w:t xml:space="preserve">n terms of the composition of domestic </w:t>
      </w:r>
      <w:r w:rsidR="003401ED" w:rsidRPr="00E14EE6">
        <w:t xml:space="preserve">goods </w:t>
      </w:r>
      <w:r w:rsidR="005147A6" w:rsidRPr="00E14EE6">
        <w:t>exports, the share of products from the food industries continued to slip during the review period, down from 16.1</w:t>
      </w:r>
      <w:r>
        <w:t>%</w:t>
      </w:r>
      <w:r w:rsidR="005147A6" w:rsidRPr="00E14EE6">
        <w:t xml:space="preserve"> of the total in 2015 to 12.6</w:t>
      </w:r>
      <w:r>
        <w:t>%</w:t>
      </w:r>
      <w:r w:rsidR="005147A6" w:rsidRPr="00E14EE6">
        <w:t xml:space="preserve"> in 2021</w:t>
      </w:r>
      <w:r w:rsidRPr="00E14EE6">
        <w:t>. T</w:t>
      </w:r>
      <w:r w:rsidR="005147A6" w:rsidRPr="00E14EE6">
        <w:t xml:space="preserve">hese products include sugars and </w:t>
      </w:r>
      <w:r w:rsidR="00E864EA" w:rsidRPr="00E14EE6">
        <w:t xml:space="preserve">sugar </w:t>
      </w:r>
      <w:r w:rsidR="005147A6" w:rsidRPr="00E14EE6">
        <w:t>confectionery (3</w:t>
      </w:r>
      <w:r>
        <w:t>%</w:t>
      </w:r>
      <w:r w:rsidR="005147A6" w:rsidRPr="00E14EE6">
        <w:t xml:space="preserve">), beverages, </w:t>
      </w:r>
      <w:r w:rsidR="00E864EA" w:rsidRPr="00E14EE6">
        <w:t>spirits</w:t>
      </w:r>
      <w:r w:rsidR="005147A6" w:rsidRPr="00E14EE6">
        <w:t xml:space="preserve"> and vinegar</w:t>
      </w:r>
      <w:r w:rsidR="00EF7AF7" w:rsidRPr="00E14EE6">
        <w:t xml:space="preserve"> </w:t>
      </w:r>
      <w:r w:rsidR="005147A6" w:rsidRPr="00E14EE6">
        <w:t>(2.5</w:t>
      </w:r>
      <w:r>
        <w:t>%</w:t>
      </w:r>
      <w:r w:rsidR="005147A6" w:rsidRPr="00E14EE6">
        <w:t>), followed by cocoa (2.3</w:t>
      </w:r>
      <w:r>
        <w:t>%</w:t>
      </w:r>
      <w:r w:rsidR="005147A6" w:rsidRPr="00E14EE6">
        <w:t xml:space="preserve">) and </w:t>
      </w:r>
      <w:r w:rsidR="00EF7AF7" w:rsidRPr="00E14EE6">
        <w:t xml:space="preserve">edible </w:t>
      </w:r>
      <w:r w:rsidR="005147A6" w:rsidRPr="00E14EE6">
        <w:t>preparations (1.6</w:t>
      </w:r>
      <w:r>
        <w:t>%</w:t>
      </w:r>
      <w:r w:rsidR="005147A6" w:rsidRPr="00E14EE6">
        <w:t>)</w:t>
      </w:r>
      <w:r w:rsidRPr="00E14EE6">
        <w:t>. T</w:t>
      </w:r>
      <w:r w:rsidR="005147A6" w:rsidRPr="00E14EE6">
        <w:t>he share of precious metals increased to 38.1</w:t>
      </w:r>
      <w:r>
        <w:t>%</w:t>
      </w:r>
      <w:r w:rsidR="005147A6" w:rsidRPr="00E14EE6">
        <w:t xml:space="preserve"> of domestic exports in 2021, up from 32.0</w:t>
      </w:r>
      <w:r>
        <w:t>%</w:t>
      </w:r>
      <w:r w:rsidR="005147A6" w:rsidRPr="00E14EE6">
        <w:t xml:space="preserve"> in 2015</w:t>
      </w:r>
      <w:r w:rsidRPr="00E14EE6">
        <w:t>. G</w:t>
      </w:r>
      <w:r w:rsidR="005147A6" w:rsidRPr="00E14EE6">
        <w:t>old exports are particularly noteworthy, accounting for 38.0</w:t>
      </w:r>
      <w:r>
        <w:t>%</w:t>
      </w:r>
      <w:r w:rsidR="005147A6" w:rsidRPr="00E14EE6">
        <w:t xml:space="preserve"> of domestic exports and 10.8</w:t>
      </w:r>
      <w:r>
        <w:t>%</w:t>
      </w:r>
      <w:r w:rsidR="005147A6" w:rsidRPr="00E14EE6">
        <w:t xml:space="preserve"> of total exports in 2021</w:t>
      </w:r>
      <w:r w:rsidRPr="00E14EE6">
        <w:t>. T</w:t>
      </w:r>
      <w:r w:rsidR="005147A6" w:rsidRPr="00E14EE6">
        <w:t xml:space="preserve">he production of base metals and articles of base metal rebounded </w:t>
      </w:r>
      <w:r w:rsidR="00E137BA" w:rsidRPr="00E14EE6">
        <w:t>substantially</w:t>
      </w:r>
      <w:r w:rsidR="005147A6" w:rsidRPr="00E14EE6">
        <w:t xml:space="preserve"> from </w:t>
      </w:r>
      <w:r w:rsidR="00A45020">
        <w:t>4.4</w:t>
      </w:r>
      <w:r>
        <w:t>%</w:t>
      </w:r>
      <w:r w:rsidR="005147A6" w:rsidRPr="00E14EE6">
        <w:t xml:space="preserve"> of domestic exports in 20</w:t>
      </w:r>
      <w:r w:rsidR="000F7FD6" w:rsidRPr="00E14EE6">
        <w:t>1</w:t>
      </w:r>
      <w:r w:rsidR="00CF1714">
        <w:t>5</w:t>
      </w:r>
      <w:r w:rsidR="005147A6" w:rsidRPr="00E14EE6">
        <w:t xml:space="preserve"> to 14.9</w:t>
      </w:r>
      <w:r>
        <w:t>%</w:t>
      </w:r>
      <w:r w:rsidR="005147A6" w:rsidRPr="00E14EE6">
        <w:t xml:space="preserve"> in 2021 (Chart 1.2 and Table A1.1)</w:t>
      </w:r>
      <w:r w:rsidRPr="00E14EE6">
        <w:t>. T</w:t>
      </w:r>
      <w:r w:rsidR="005147A6" w:rsidRPr="00E14EE6">
        <w:t>he share of manufactures in total exports remained above 50</w:t>
      </w:r>
      <w:r>
        <w:t>%</w:t>
      </w:r>
      <w:r w:rsidR="005147A6" w:rsidRPr="00E14EE6">
        <w:t xml:space="preserve"> (Chart 1.2).</w:t>
      </w:r>
    </w:p>
    <w:p w14:paraId="35568BF0" w14:textId="681BADCC" w:rsidR="00CA7676" w:rsidRPr="00E14EE6" w:rsidRDefault="00E14EE6" w:rsidP="00763857">
      <w:pPr>
        <w:pStyle w:val="BodyText"/>
        <w:rPr>
          <w:rFonts w:eastAsia="Verdana" w:cs="Times New Roman"/>
        </w:rPr>
      </w:pPr>
      <w:bookmarkStart w:id="59" w:name="_Hlk113955813"/>
      <w:r w:rsidRPr="00E14EE6">
        <w:t>I</w:t>
      </w:r>
      <w:r w:rsidR="005147A6" w:rsidRPr="00E14EE6">
        <w:t>n free zones, manufactures accounted for the vast majority of total exports in 2021, as was the case in 2015 (Chart 1.3)</w:t>
      </w:r>
      <w:bookmarkEnd w:id="59"/>
      <w:r w:rsidRPr="00E14EE6">
        <w:t>. K</w:t>
      </w:r>
      <w:r w:rsidR="00941155" w:rsidRPr="00E14EE6">
        <w:t>ey e</w:t>
      </w:r>
      <w:r w:rsidR="005147A6" w:rsidRPr="00E14EE6">
        <w:t xml:space="preserve">xports </w:t>
      </w:r>
      <w:r w:rsidR="00941155" w:rsidRPr="00E14EE6">
        <w:t xml:space="preserve">include </w:t>
      </w:r>
      <w:r w:rsidR="005147A6" w:rsidRPr="00E14EE6">
        <w:t xml:space="preserve">food products, </w:t>
      </w:r>
      <w:r w:rsidR="00D61F3E" w:rsidRPr="00E14EE6">
        <w:t xml:space="preserve">and </w:t>
      </w:r>
      <w:r w:rsidR="005147A6" w:rsidRPr="00E14EE6">
        <w:t>tobacco (cigars)</w:t>
      </w:r>
      <w:r w:rsidR="00D61F3E" w:rsidRPr="00E14EE6">
        <w:t xml:space="preserve"> in particular</w:t>
      </w:r>
      <w:r w:rsidR="005147A6" w:rsidRPr="00E14EE6">
        <w:t xml:space="preserve">, </w:t>
      </w:r>
      <w:r w:rsidR="00D61F3E" w:rsidRPr="00E14EE6">
        <w:t xml:space="preserve">as well as </w:t>
      </w:r>
      <w:r w:rsidR="005147A6" w:rsidRPr="00E14EE6">
        <w:t>electrical machin</w:t>
      </w:r>
      <w:r w:rsidR="00D61F3E" w:rsidRPr="00E14EE6">
        <w:t>ery and equipment</w:t>
      </w:r>
      <w:r w:rsidR="005147A6" w:rsidRPr="00E14EE6">
        <w:t xml:space="preserve">, </w:t>
      </w:r>
      <w:r w:rsidR="00D61F3E" w:rsidRPr="00E14EE6">
        <w:t>articles of apparel</w:t>
      </w:r>
      <w:r w:rsidR="005147A6" w:rsidRPr="00E14EE6">
        <w:t>, footwear, medical instruments, made</w:t>
      </w:r>
      <w:r w:rsidRPr="00E14EE6">
        <w:noBreakHyphen/>
      </w:r>
      <w:r w:rsidR="005147A6" w:rsidRPr="00E14EE6">
        <w:t>up textile articles, jewellery and chemical products (Table A1.2).</w:t>
      </w:r>
    </w:p>
    <w:p w14:paraId="54434696" w14:textId="08E75908" w:rsidR="007C74EF" w:rsidRPr="00E14EE6" w:rsidRDefault="00E14EE6" w:rsidP="00763857">
      <w:pPr>
        <w:pStyle w:val="BodyText"/>
        <w:rPr>
          <w:rFonts w:eastAsia="Verdana" w:cs="Times New Roman"/>
        </w:rPr>
      </w:pPr>
      <w:r w:rsidRPr="00E14EE6">
        <w:t>M</w:t>
      </w:r>
      <w:r w:rsidR="005147A6" w:rsidRPr="00E14EE6">
        <w:t xml:space="preserve">anufactured goods </w:t>
      </w:r>
      <w:r w:rsidR="002750AD" w:rsidRPr="00E14EE6">
        <w:t xml:space="preserve">constitute the </w:t>
      </w:r>
      <w:r w:rsidR="005147A6" w:rsidRPr="00E14EE6">
        <w:t>main import category</w:t>
      </w:r>
      <w:r w:rsidRPr="00E14EE6">
        <w:t>. T</w:t>
      </w:r>
      <w:r w:rsidR="005147A6" w:rsidRPr="00E14EE6">
        <w:t>he</w:t>
      </w:r>
      <w:r w:rsidR="002750AD" w:rsidRPr="00E14EE6">
        <w:t>y</w:t>
      </w:r>
      <w:r w:rsidR="005147A6" w:rsidRPr="00E14EE6">
        <w:t xml:space="preserve"> include imports of electrical machine</w:t>
      </w:r>
      <w:r w:rsidR="002750AD" w:rsidRPr="00E14EE6">
        <w:t>ry</w:t>
      </w:r>
      <w:r w:rsidR="005147A6" w:rsidRPr="00E14EE6">
        <w:t xml:space="preserve"> and </w:t>
      </w:r>
      <w:r w:rsidR="002750AD" w:rsidRPr="00E14EE6">
        <w:t xml:space="preserve">equipment </w:t>
      </w:r>
      <w:r w:rsidR="005147A6" w:rsidRPr="00E14EE6">
        <w:t>(14.9</w:t>
      </w:r>
      <w:r>
        <w:t>%</w:t>
      </w:r>
      <w:r w:rsidR="005147A6" w:rsidRPr="00E14EE6">
        <w:t xml:space="preserve"> of total imports in 2021), along with chemical products (11.8</w:t>
      </w:r>
      <w:r>
        <w:t>%</w:t>
      </w:r>
      <w:r w:rsidR="005147A6" w:rsidRPr="00E14EE6">
        <w:t>) and transport equipment (8.9</w:t>
      </w:r>
      <w:r>
        <w:t>%</w:t>
      </w:r>
      <w:r w:rsidR="005147A6" w:rsidRPr="00E14EE6">
        <w:t>)</w:t>
      </w:r>
      <w:r w:rsidRPr="00E14EE6">
        <w:t>. I</w:t>
      </w:r>
      <w:r w:rsidR="005147A6" w:rsidRPr="00E14EE6">
        <w:t>mports of mineral products, mostly hydrocarbons, accounted for 20.9</w:t>
      </w:r>
      <w:r>
        <w:t>%</w:t>
      </w:r>
      <w:r w:rsidR="005147A6" w:rsidRPr="00E14EE6">
        <w:t xml:space="preserve"> of the total (Tables A1.3, A1.4 and A1.5).</w:t>
      </w:r>
    </w:p>
    <w:p w14:paraId="33F7BE83" w14:textId="08E5A489" w:rsidR="00CA7676" w:rsidRPr="00E14EE6" w:rsidRDefault="00F06AB8" w:rsidP="00F06AB8">
      <w:pPr>
        <w:pStyle w:val="Caption"/>
      </w:pPr>
      <w:bookmarkStart w:id="60" w:name="_Toc117238011"/>
      <w:r>
        <w:lastRenderedPageBreak/>
        <w:t xml:space="preserve">Chart </w:t>
      </w:r>
      <w:r w:rsidR="00BD37F2">
        <w:fldChar w:fldCharType="begin"/>
      </w:r>
      <w:r w:rsidR="00BD37F2">
        <w:instrText xml:space="preserve"> STYLEREF 1 \s </w:instrText>
      </w:r>
      <w:r w:rsidR="00BD37F2">
        <w:fldChar w:fldCharType="separate"/>
      </w:r>
      <w:r w:rsidR="00C5302C">
        <w:rPr>
          <w:noProof/>
        </w:rPr>
        <w:t>1</w:t>
      </w:r>
      <w:r w:rsidR="00BD37F2">
        <w:rPr>
          <w:noProof/>
        </w:rPr>
        <w:fldChar w:fldCharType="end"/>
      </w:r>
      <w:r w:rsidR="00C5302C">
        <w:t>.</w:t>
      </w:r>
      <w:r w:rsidR="00BD37F2">
        <w:fldChar w:fldCharType="begin"/>
      </w:r>
      <w:r w:rsidR="00BD37F2">
        <w:instrText xml:space="preserve"> SEQ Chart \* ARABIC \s 1 </w:instrText>
      </w:r>
      <w:r w:rsidR="00BD37F2">
        <w:fldChar w:fldCharType="separate"/>
      </w:r>
      <w:r w:rsidR="00C5302C">
        <w:rPr>
          <w:noProof/>
        </w:rPr>
        <w:t>2</w:t>
      </w:r>
      <w:r w:rsidR="00BD37F2">
        <w:rPr>
          <w:noProof/>
        </w:rPr>
        <w:fldChar w:fldCharType="end"/>
      </w:r>
      <w:r>
        <w:t xml:space="preserve"> </w:t>
      </w:r>
      <w:r w:rsidR="00CA7676" w:rsidRPr="00E14EE6">
        <w:t>Merchandise trade by main products, 2015 and 2021</w:t>
      </w:r>
      <w:bookmarkEnd w:id="60"/>
    </w:p>
    <w:p w14:paraId="151C5239" w14:textId="4347694C" w:rsidR="00C5302C" w:rsidRDefault="00C5302C" w:rsidP="00C5302C">
      <w:r w:rsidRPr="00C5302C">
        <w:rPr>
          <w:noProof/>
        </w:rPr>
        <w:drawing>
          <wp:inline distT="0" distB="0" distL="0" distR="0" wp14:anchorId="3254632B" wp14:editId="0D34F27D">
            <wp:extent cx="5731313" cy="6906768"/>
            <wp:effectExtent l="0" t="0" r="317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t="10417" b="5880"/>
                    <a:stretch/>
                  </pic:blipFill>
                  <pic:spPr bwMode="auto">
                    <a:xfrm>
                      <a:off x="0" y="0"/>
                      <a:ext cx="5731510" cy="6907005"/>
                    </a:xfrm>
                    <a:prstGeom prst="rect">
                      <a:avLst/>
                    </a:prstGeom>
                    <a:noFill/>
                    <a:ln>
                      <a:noFill/>
                    </a:ln>
                    <a:extLst>
                      <a:ext uri="{53640926-AAD7-44D8-BBD7-CCE9431645EC}">
                        <a14:shadowObscured xmlns:a14="http://schemas.microsoft.com/office/drawing/2010/main"/>
                      </a:ext>
                    </a:extLst>
                  </pic:spPr>
                </pic:pic>
              </a:graphicData>
            </a:graphic>
          </wp:inline>
        </w:drawing>
      </w:r>
    </w:p>
    <w:p w14:paraId="3C38CA30" w14:textId="6FA5EE34" w:rsidR="00CA7676" w:rsidRPr="00E14EE6" w:rsidRDefault="00CA7676" w:rsidP="00F06AB8">
      <w:pPr>
        <w:pStyle w:val="NoteText"/>
        <w:spacing w:before="120" w:after="240"/>
      </w:pPr>
      <w:r w:rsidRPr="00E14EE6">
        <w:t>Source:</w:t>
      </w:r>
      <w:r w:rsidRPr="00E14EE6">
        <w:tab/>
        <w:t>Calculations by the WTO Secretariat based on COMEX data.</w:t>
      </w:r>
    </w:p>
    <w:p w14:paraId="69B174EB" w14:textId="133354A3" w:rsidR="00CA7676" w:rsidRPr="00E14EE6" w:rsidRDefault="00F06AB8" w:rsidP="00F06AB8">
      <w:pPr>
        <w:pStyle w:val="Caption"/>
      </w:pPr>
      <w:bookmarkStart w:id="61" w:name="_Toc117238012"/>
      <w:r>
        <w:lastRenderedPageBreak/>
        <w:t xml:space="preserve">Chart </w:t>
      </w:r>
      <w:r w:rsidR="00BD37F2">
        <w:fldChar w:fldCharType="begin"/>
      </w:r>
      <w:r w:rsidR="00BD37F2">
        <w:instrText xml:space="preserve"> STYLEREF 1 \s </w:instrText>
      </w:r>
      <w:r w:rsidR="00BD37F2">
        <w:fldChar w:fldCharType="separate"/>
      </w:r>
      <w:r w:rsidR="00C5302C">
        <w:rPr>
          <w:noProof/>
        </w:rPr>
        <w:t>1</w:t>
      </w:r>
      <w:r w:rsidR="00BD37F2">
        <w:rPr>
          <w:noProof/>
        </w:rPr>
        <w:fldChar w:fldCharType="end"/>
      </w:r>
      <w:r w:rsidR="00C5302C">
        <w:t>.</w:t>
      </w:r>
      <w:r w:rsidR="00BD37F2">
        <w:fldChar w:fldCharType="begin"/>
      </w:r>
      <w:r w:rsidR="00BD37F2">
        <w:instrText xml:space="preserve"> SEQ Chart \* ARABIC \s 1 </w:instrText>
      </w:r>
      <w:r w:rsidR="00BD37F2">
        <w:fldChar w:fldCharType="separate"/>
      </w:r>
      <w:r w:rsidR="00C5302C">
        <w:rPr>
          <w:noProof/>
        </w:rPr>
        <w:t>3</w:t>
      </w:r>
      <w:r w:rsidR="00BD37F2">
        <w:rPr>
          <w:noProof/>
        </w:rPr>
        <w:fldChar w:fldCharType="end"/>
      </w:r>
      <w:r>
        <w:t xml:space="preserve"> </w:t>
      </w:r>
      <w:r w:rsidR="00CA7676" w:rsidRPr="00E14EE6">
        <w:t>Free zone trade by main products, 2015 and 2021</w:t>
      </w:r>
      <w:bookmarkEnd w:id="61"/>
    </w:p>
    <w:p w14:paraId="76E06C02" w14:textId="25398289" w:rsidR="00816663" w:rsidRDefault="00816663" w:rsidP="00816663">
      <w:r w:rsidRPr="00816663">
        <w:rPr>
          <w:noProof/>
        </w:rPr>
        <w:drawing>
          <wp:inline distT="0" distB="0" distL="0" distR="0" wp14:anchorId="56FE03EB" wp14:editId="075F28D6">
            <wp:extent cx="5731190" cy="6865495"/>
            <wp:effectExtent l="0" t="0" r="317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t="10169" b="5147"/>
                    <a:stretch/>
                  </pic:blipFill>
                  <pic:spPr bwMode="auto">
                    <a:xfrm>
                      <a:off x="0" y="0"/>
                      <a:ext cx="5731510" cy="6865878"/>
                    </a:xfrm>
                    <a:prstGeom prst="rect">
                      <a:avLst/>
                    </a:prstGeom>
                    <a:noFill/>
                    <a:ln>
                      <a:noFill/>
                    </a:ln>
                    <a:extLst>
                      <a:ext uri="{53640926-AAD7-44D8-BBD7-CCE9431645EC}">
                        <a14:shadowObscured xmlns:a14="http://schemas.microsoft.com/office/drawing/2010/main"/>
                      </a:ext>
                    </a:extLst>
                  </pic:spPr>
                </pic:pic>
              </a:graphicData>
            </a:graphic>
          </wp:inline>
        </w:drawing>
      </w:r>
    </w:p>
    <w:p w14:paraId="1757600D" w14:textId="7CE57A48" w:rsidR="00CD553E" w:rsidRPr="00E14EE6" w:rsidRDefault="00CA7676" w:rsidP="0093146B">
      <w:pPr>
        <w:pStyle w:val="NoteText"/>
        <w:spacing w:before="120" w:after="240"/>
      </w:pPr>
      <w:r w:rsidRPr="00E14EE6">
        <w:t>Source:</w:t>
      </w:r>
      <w:r w:rsidRPr="00E14EE6">
        <w:tab/>
        <w:t>Calculations by the WTO Secretariat based on COMEX data.</w:t>
      </w:r>
    </w:p>
    <w:p w14:paraId="39F0CAAB" w14:textId="071B39AC" w:rsidR="00CA7676" w:rsidRPr="00E14EE6" w:rsidRDefault="005147A6" w:rsidP="00DF0D53">
      <w:pPr>
        <w:pStyle w:val="Heading4"/>
        <w:rPr>
          <w:rFonts w:eastAsia="Times New Roman" w:cs="Times New Roman"/>
        </w:rPr>
      </w:pPr>
      <w:bookmarkStart w:id="62" w:name="_Toc417038436"/>
      <w:bookmarkStart w:id="63" w:name="_Toc117260599"/>
      <w:r w:rsidRPr="00E14EE6">
        <w:t>Direction of merchandise trade</w:t>
      </w:r>
      <w:bookmarkEnd w:id="62"/>
      <w:bookmarkEnd w:id="63"/>
    </w:p>
    <w:p w14:paraId="659BE64C" w14:textId="1F39CC9D" w:rsidR="00CA7676" w:rsidRPr="00E14EE6" w:rsidRDefault="00E14EE6" w:rsidP="00DF0D53">
      <w:pPr>
        <w:pStyle w:val="BodyText"/>
        <w:rPr>
          <w:rFonts w:eastAsia="Verdana" w:cs="Times New Roman"/>
        </w:rPr>
      </w:pPr>
      <w:r w:rsidRPr="00E14EE6">
        <w:t>T</w:t>
      </w:r>
      <w:r w:rsidR="005147A6" w:rsidRPr="00E14EE6">
        <w:t>he Dominican Republic's main export market is the United States</w:t>
      </w:r>
      <w:r w:rsidRPr="00E14EE6">
        <w:t>. I</w:t>
      </w:r>
      <w:r w:rsidR="005147A6" w:rsidRPr="00E14EE6">
        <w:t>ts share in total exports increased compared with the previous review</w:t>
      </w:r>
      <w:r w:rsidRPr="00E14EE6">
        <w:t>: f</w:t>
      </w:r>
      <w:r w:rsidR="005147A6" w:rsidRPr="00E14EE6">
        <w:t>rom 15.6</w:t>
      </w:r>
      <w:r>
        <w:t>%</w:t>
      </w:r>
      <w:r w:rsidR="005147A6" w:rsidRPr="00E14EE6">
        <w:t xml:space="preserve"> of total domestic exports in 2015 to 20.5</w:t>
      </w:r>
      <w:r>
        <w:t>%</w:t>
      </w:r>
      <w:r w:rsidR="005147A6" w:rsidRPr="00E14EE6">
        <w:t xml:space="preserve"> in 2021, and from 74.6</w:t>
      </w:r>
      <w:r>
        <w:t>%</w:t>
      </w:r>
      <w:r w:rsidR="005147A6" w:rsidRPr="00E14EE6">
        <w:t xml:space="preserve"> of total exports from free zones in 2015 to 78.2</w:t>
      </w:r>
      <w:r>
        <w:t>%</w:t>
      </w:r>
      <w:r w:rsidR="005147A6" w:rsidRPr="00E14EE6">
        <w:t xml:space="preserve"> in 2021 (Tables</w:t>
      </w:r>
      <w:r w:rsidR="0093146B">
        <w:t> </w:t>
      </w:r>
      <w:r w:rsidR="005147A6" w:rsidRPr="00E14EE6">
        <w:t>A1.6 and A1.7 and Charts 1.4 and 1.5)</w:t>
      </w:r>
      <w:r w:rsidRPr="00E14EE6">
        <w:t>. I</w:t>
      </w:r>
      <w:r w:rsidR="005147A6" w:rsidRPr="00E14EE6">
        <w:t>n the Americas, the second largest export market is Haiti, which absorbed 12.4</w:t>
      </w:r>
      <w:r>
        <w:t>%</w:t>
      </w:r>
      <w:r w:rsidR="005147A6" w:rsidRPr="00E14EE6">
        <w:t xml:space="preserve"> of domestic exports and 5.3</w:t>
      </w:r>
      <w:r>
        <w:t>%</w:t>
      </w:r>
      <w:r w:rsidR="005147A6" w:rsidRPr="00E14EE6">
        <w:t xml:space="preserve"> of free zone exports in 2021</w:t>
      </w:r>
      <w:r w:rsidRPr="00E14EE6">
        <w:t>. S</w:t>
      </w:r>
      <w:r w:rsidR="005147A6" w:rsidRPr="00E14EE6">
        <w:t>witzerland received 20.3</w:t>
      </w:r>
      <w:r>
        <w:t>%</w:t>
      </w:r>
      <w:r w:rsidR="005147A6" w:rsidRPr="00E14EE6">
        <w:t xml:space="preserve"> of the Dominican Republic's domestic exports in 2021, India 15.7</w:t>
      </w:r>
      <w:r>
        <w:t>%</w:t>
      </w:r>
      <w:r w:rsidR="005147A6" w:rsidRPr="00E14EE6">
        <w:t xml:space="preserve"> and the EU 11.3</w:t>
      </w:r>
      <w:r>
        <w:t>%</w:t>
      </w:r>
      <w:r w:rsidRPr="00E14EE6">
        <w:t>. E</w:t>
      </w:r>
      <w:r w:rsidR="005147A6" w:rsidRPr="00E14EE6">
        <w:t>xports to Asia increased from 16.2</w:t>
      </w:r>
      <w:r>
        <w:t>%</w:t>
      </w:r>
      <w:r w:rsidR="005147A6" w:rsidRPr="00E14EE6">
        <w:t xml:space="preserve"> of the total in 2015 to 22.0</w:t>
      </w:r>
      <w:r>
        <w:t>%</w:t>
      </w:r>
      <w:r w:rsidR="005147A6" w:rsidRPr="00E14EE6">
        <w:t xml:space="preserve"> in 2021.</w:t>
      </w:r>
    </w:p>
    <w:p w14:paraId="28DEEC32" w14:textId="3354F15E" w:rsidR="00CA7676" w:rsidRPr="00E14EE6" w:rsidRDefault="00E14EE6" w:rsidP="00DF0D53">
      <w:pPr>
        <w:pStyle w:val="BodyText"/>
        <w:rPr>
          <w:rFonts w:eastAsia="Verdana" w:cs="Times New Roman"/>
        </w:rPr>
      </w:pPr>
      <w:r w:rsidRPr="00E14EE6">
        <w:lastRenderedPageBreak/>
        <w:t>T</w:t>
      </w:r>
      <w:r w:rsidR="005147A6" w:rsidRPr="00E14EE6">
        <w:t>he United States is also the leading source of Dominican imports, contributing to 38.8</w:t>
      </w:r>
      <w:r>
        <w:t>%</w:t>
      </w:r>
      <w:r w:rsidR="005147A6" w:rsidRPr="00E14EE6">
        <w:t xml:space="preserve"> of the country's total imports in 2021 (Tables A1.8, A1.9 and A.10)</w:t>
      </w:r>
      <w:r w:rsidRPr="00E14EE6">
        <w:t>. C</w:t>
      </w:r>
      <w:r w:rsidR="005147A6" w:rsidRPr="00E14EE6">
        <w:t>hina was the source of 17.6</w:t>
      </w:r>
      <w:r>
        <w:t>%</w:t>
      </w:r>
      <w:r w:rsidR="005147A6" w:rsidRPr="00E14EE6">
        <w:t xml:space="preserve"> of total imports, while the </w:t>
      </w:r>
      <w:r w:rsidR="00370BD0" w:rsidRPr="00E14EE6">
        <w:t>EU</w:t>
      </w:r>
      <w:r w:rsidR="005147A6" w:rsidRPr="00E14EE6">
        <w:t xml:space="preserve"> accounted for 11.7</w:t>
      </w:r>
      <w:r>
        <w:t>%</w:t>
      </w:r>
      <w:r w:rsidR="005147A6" w:rsidRPr="00E14EE6">
        <w:t>.</w:t>
      </w:r>
    </w:p>
    <w:p w14:paraId="0B17F3F0" w14:textId="49A4BA1C" w:rsidR="00CA7676" w:rsidRDefault="00C5302C" w:rsidP="00C5302C">
      <w:pPr>
        <w:pStyle w:val="Caption"/>
      </w:pPr>
      <w:bookmarkStart w:id="64" w:name="_Toc117238013"/>
      <w:r>
        <w:t xml:space="preserve">Chart </w:t>
      </w:r>
      <w:r w:rsidR="00BD37F2">
        <w:fldChar w:fldCharType="begin"/>
      </w:r>
      <w:r w:rsidR="00BD37F2">
        <w:instrText xml:space="preserve"> STYLEREF 1 \s </w:instrText>
      </w:r>
      <w:r w:rsidR="00BD37F2">
        <w:fldChar w:fldCharType="separate"/>
      </w:r>
      <w:r>
        <w:rPr>
          <w:noProof/>
        </w:rPr>
        <w:t>1</w:t>
      </w:r>
      <w:r w:rsidR="00BD37F2">
        <w:rPr>
          <w:noProof/>
        </w:rPr>
        <w:fldChar w:fldCharType="end"/>
      </w:r>
      <w:r>
        <w:t>.</w:t>
      </w:r>
      <w:r w:rsidR="00BD37F2">
        <w:fldChar w:fldCharType="begin"/>
      </w:r>
      <w:r w:rsidR="00BD37F2">
        <w:instrText xml:space="preserve"> SEQ Chart \* ARABIC \s 1 </w:instrText>
      </w:r>
      <w:r w:rsidR="00BD37F2">
        <w:fldChar w:fldCharType="separate"/>
      </w:r>
      <w:r>
        <w:rPr>
          <w:noProof/>
        </w:rPr>
        <w:t>4</w:t>
      </w:r>
      <w:r w:rsidR="00BD37F2">
        <w:rPr>
          <w:noProof/>
        </w:rPr>
        <w:fldChar w:fldCharType="end"/>
      </w:r>
      <w:r>
        <w:t xml:space="preserve"> </w:t>
      </w:r>
      <w:r w:rsidR="00CA7676" w:rsidRPr="00E14EE6">
        <w:t>Merchandise trade by trading partner, 2015 and 2021</w:t>
      </w:r>
      <w:bookmarkEnd w:id="64"/>
    </w:p>
    <w:p w14:paraId="50A96E23" w14:textId="34ADE428" w:rsidR="003D0C00" w:rsidRDefault="003D0C00" w:rsidP="00816663">
      <w:pPr>
        <w:rPr>
          <w:lang w:eastAsia="en-GB"/>
        </w:rPr>
      </w:pPr>
      <w:r w:rsidRPr="003D0C00">
        <w:rPr>
          <w:noProof/>
        </w:rPr>
        <w:drawing>
          <wp:inline distT="0" distB="0" distL="0" distR="0" wp14:anchorId="639EE7CD" wp14:editId="2B28B197">
            <wp:extent cx="5731325" cy="6748272"/>
            <wp:effectExtent l="0" t="0" r="317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9" cstate="print">
                      <a:extLst>
                        <a:ext uri="{28A0092B-C50C-407E-A947-70E740481C1C}">
                          <a14:useLocalDpi xmlns:a14="http://schemas.microsoft.com/office/drawing/2010/main" val="0"/>
                        </a:ext>
                      </a:extLst>
                    </a:blip>
                    <a:srcRect t="9858" b="8454"/>
                    <a:stretch/>
                  </pic:blipFill>
                  <pic:spPr bwMode="auto">
                    <a:xfrm>
                      <a:off x="0" y="0"/>
                      <a:ext cx="5731510" cy="6748489"/>
                    </a:xfrm>
                    <a:prstGeom prst="rect">
                      <a:avLst/>
                    </a:prstGeom>
                    <a:noFill/>
                    <a:ln>
                      <a:noFill/>
                    </a:ln>
                    <a:extLst>
                      <a:ext uri="{53640926-AAD7-44D8-BBD7-CCE9431645EC}">
                        <a14:shadowObscured xmlns:a14="http://schemas.microsoft.com/office/drawing/2010/main"/>
                      </a:ext>
                    </a:extLst>
                  </pic:spPr>
                </pic:pic>
              </a:graphicData>
            </a:graphic>
          </wp:inline>
        </w:drawing>
      </w:r>
    </w:p>
    <w:p w14:paraId="0E16AE79" w14:textId="17300691" w:rsidR="00C5302C" w:rsidRDefault="00C5302C" w:rsidP="00C5302C">
      <w:pPr>
        <w:pStyle w:val="NoteText"/>
        <w:spacing w:before="120" w:after="240"/>
        <w:rPr>
          <w:lang w:eastAsia="en-GB"/>
        </w:rPr>
      </w:pPr>
      <w:r w:rsidRPr="00E14EE6">
        <w:t>Source:</w:t>
      </w:r>
      <w:r w:rsidRPr="00E14EE6">
        <w:tab/>
        <w:t>Calculations by the WTO Secretariat based on COMEX data.</w:t>
      </w:r>
    </w:p>
    <w:p w14:paraId="628350D5" w14:textId="40FADF84" w:rsidR="00CA7676" w:rsidRPr="00E14EE6" w:rsidRDefault="00C5302C" w:rsidP="00C5302C">
      <w:pPr>
        <w:pStyle w:val="Caption"/>
        <w:rPr>
          <w:rFonts w:eastAsia="Calibri"/>
        </w:rPr>
      </w:pPr>
      <w:bookmarkStart w:id="65" w:name="_Toc117238014"/>
      <w:r>
        <w:lastRenderedPageBreak/>
        <w:t xml:space="preserve">Chart </w:t>
      </w:r>
      <w:r w:rsidR="00BD37F2">
        <w:fldChar w:fldCharType="begin"/>
      </w:r>
      <w:r w:rsidR="00BD37F2">
        <w:instrText xml:space="preserve"> STYLEREF 1 \s </w:instrText>
      </w:r>
      <w:r w:rsidR="00BD37F2">
        <w:fldChar w:fldCharType="separate"/>
      </w:r>
      <w:r>
        <w:rPr>
          <w:noProof/>
        </w:rPr>
        <w:t>1</w:t>
      </w:r>
      <w:r w:rsidR="00BD37F2">
        <w:rPr>
          <w:noProof/>
        </w:rPr>
        <w:fldChar w:fldCharType="end"/>
      </w:r>
      <w:r>
        <w:t>.</w:t>
      </w:r>
      <w:r w:rsidR="00BD37F2">
        <w:fldChar w:fldCharType="begin"/>
      </w:r>
      <w:r w:rsidR="00BD37F2">
        <w:instrText xml:space="preserve"> SEQ Chart \* ARABIC \s 1 </w:instrText>
      </w:r>
      <w:r w:rsidR="00BD37F2">
        <w:fldChar w:fldCharType="separate"/>
      </w:r>
      <w:r>
        <w:rPr>
          <w:noProof/>
        </w:rPr>
        <w:t>5</w:t>
      </w:r>
      <w:r w:rsidR="00BD37F2">
        <w:rPr>
          <w:noProof/>
        </w:rPr>
        <w:fldChar w:fldCharType="end"/>
      </w:r>
      <w:r>
        <w:t xml:space="preserve"> </w:t>
      </w:r>
      <w:r w:rsidR="00CA7676" w:rsidRPr="00E14EE6">
        <w:t>Free zone merchandise trade by trading partner, 2015 and 2021</w:t>
      </w:r>
      <w:bookmarkEnd w:id="65"/>
    </w:p>
    <w:p w14:paraId="2463DDCE" w14:textId="696C33A1" w:rsidR="003D0C00" w:rsidRDefault="003D0C00" w:rsidP="003D0C00">
      <w:r w:rsidRPr="003D0C00">
        <w:rPr>
          <w:noProof/>
        </w:rPr>
        <w:drawing>
          <wp:inline distT="0" distB="0" distL="0" distR="0" wp14:anchorId="740CF977" wp14:editId="094F04CD">
            <wp:extent cx="5371429" cy="6370819"/>
            <wp:effectExtent l="0" t="0" r="127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20" cstate="print">
                      <a:extLst>
                        <a:ext uri="{28A0092B-C50C-407E-A947-70E740481C1C}">
                          <a14:useLocalDpi xmlns:a14="http://schemas.microsoft.com/office/drawing/2010/main" val="0"/>
                        </a:ext>
                      </a:extLst>
                    </a:blip>
                    <a:srcRect t="9625" b="8014"/>
                    <a:stretch/>
                  </pic:blipFill>
                  <pic:spPr bwMode="auto">
                    <a:xfrm>
                      <a:off x="0" y="0"/>
                      <a:ext cx="5375176" cy="6375264"/>
                    </a:xfrm>
                    <a:prstGeom prst="rect">
                      <a:avLst/>
                    </a:prstGeom>
                    <a:noFill/>
                    <a:ln>
                      <a:noFill/>
                    </a:ln>
                    <a:extLst>
                      <a:ext uri="{53640926-AAD7-44D8-BBD7-CCE9431645EC}">
                        <a14:shadowObscured xmlns:a14="http://schemas.microsoft.com/office/drawing/2010/main"/>
                      </a:ext>
                    </a:extLst>
                  </pic:spPr>
                </pic:pic>
              </a:graphicData>
            </a:graphic>
          </wp:inline>
        </w:drawing>
      </w:r>
    </w:p>
    <w:p w14:paraId="37C45D58" w14:textId="77777777" w:rsidR="00C5302C" w:rsidRPr="00E14EE6" w:rsidRDefault="00C5302C" w:rsidP="00C5302C">
      <w:pPr>
        <w:pStyle w:val="NoteText"/>
        <w:spacing w:before="120" w:after="240"/>
      </w:pPr>
      <w:r w:rsidRPr="00E14EE6">
        <w:t>Source:</w:t>
      </w:r>
      <w:r w:rsidRPr="00E14EE6">
        <w:tab/>
        <w:t>Calculations by the WTO Secretariat based on COMEX data.</w:t>
      </w:r>
    </w:p>
    <w:p w14:paraId="3B418A3C" w14:textId="67E72E63" w:rsidR="00CA7676" w:rsidRPr="00E14EE6" w:rsidRDefault="005147A6" w:rsidP="00E14EE6">
      <w:pPr>
        <w:pStyle w:val="Heading3"/>
      </w:pPr>
      <w:bookmarkStart w:id="66" w:name="_Toc117260600"/>
      <w:r w:rsidRPr="00E14EE6">
        <w:t>Trade in services</w:t>
      </w:r>
      <w:bookmarkEnd w:id="66"/>
    </w:p>
    <w:p w14:paraId="5C610566" w14:textId="22D7BACA" w:rsidR="007C74EF" w:rsidRPr="00E14EE6" w:rsidRDefault="00E14EE6" w:rsidP="00E14EE6">
      <w:pPr>
        <w:pStyle w:val="BodyText"/>
      </w:pPr>
      <w:r w:rsidRPr="00E14EE6">
        <w:t>T</w:t>
      </w:r>
      <w:r w:rsidR="005147A6" w:rsidRPr="00E14EE6">
        <w:t xml:space="preserve">rade in services is of </w:t>
      </w:r>
      <w:r w:rsidR="00FB0E9F" w:rsidRPr="00E14EE6">
        <w:t xml:space="preserve">the </w:t>
      </w:r>
      <w:r w:rsidR="005147A6" w:rsidRPr="00E14EE6">
        <w:t>utmost importance for the Dominican Republic, both in terms of value added and employment, and for its role as a generator of foreign exchange</w:t>
      </w:r>
      <w:r w:rsidRPr="00E14EE6">
        <w:t>. T</w:t>
      </w:r>
      <w:r w:rsidR="005147A6" w:rsidRPr="00E14EE6">
        <w:t>he services balance sustained its long</w:t>
      </w:r>
      <w:r w:rsidRPr="00E14EE6">
        <w:noBreakHyphen/>
      </w:r>
      <w:r w:rsidR="005147A6" w:rsidRPr="00E14EE6">
        <w:t xml:space="preserve">standing surplus between 2015 and 2021 and peaked at </w:t>
      </w:r>
      <w:r w:rsidRPr="00E14EE6">
        <w:t>USD 5</w:t>
      </w:r>
      <w:r w:rsidR="005147A6" w:rsidRPr="00E14EE6">
        <w:t>,549.8</w:t>
      </w:r>
      <w:r w:rsidRPr="00E14EE6">
        <w:t> million</w:t>
      </w:r>
      <w:r w:rsidR="005147A6" w:rsidRPr="00E14EE6">
        <w:t xml:space="preserve"> in 2017</w:t>
      </w:r>
      <w:r w:rsidRPr="00E14EE6">
        <w:t>. T</w:t>
      </w:r>
      <w:r w:rsidR="005147A6" w:rsidRPr="00E14EE6">
        <w:t>ourism is the main service export, with revenues averaging 8.7</w:t>
      </w:r>
      <w:r>
        <w:t>%</w:t>
      </w:r>
      <w:r w:rsidR="005147A6" w:rsidRPr="00E14EE6">
        <w:t xml:space="preserve"> of GDP between 2015 and 2019</w:t>
      </w:r>
      <w:r w:rsidRPr="00E14EE6">
        <w:t>. F</w:t>
      </w:r>
      <w:r w:rsidR="005147A6" w:rsidRPr="00E14EE6">
        <w:t>ollowing average annual growth of 7.3</w:t>
      </w:r>
      <w:r>
        <w:t>%</w:t>
      </w:r>
      <w:r w:rsidR="005147A6" w:rsidRPr="00E14EE6">
        <w:t xml:space="preserve"> between 2015 and 2018, income from tourism</w:t>
      </w:r>
      <w:r w:rsidR="00696EB0">
        <w:t xml:space="preserve"> (travel)</w:t>
      </w:r>
      <w:r w:rsidR="005147A6" w:rsidRPr="00E14EE6">
        <w:t xml:space="preserve"> declined by 1.0</w:t>
      </w:r>
      <w:r>
        <w:t>%</w:t>
      </w:r>
      <w:r w:rsidR="005147A6" w:rsidRPr="00E14EE6">
        <w:t xml:space="preserve"> in 2019</w:t>
      </w:r>
      <w:r w:rsidRPr="00E14EE6">
        <w:t>. I</w:t>
      </w:r>
      <w:r w:rsidR="005147A6" w:rsidRPr="00E14EE6">
        <w:t>n 2020, due to the closure of airports in the country and the travel restrictions put in place internationally to fight the effects of the COVID</w:t>
      </w:r>
      <w:r w:rsidRPr="00E14EE6">
        <w:noBreakHyphen/>
      </w:r>
      <w:r w:rsidR="005147A6" w:rsidRPr="00E14EE6">
        <w:t>19 pandemic, income from tourism fell by 64.2</w:t>
      </w:r>
      <w:r>
        <w:t>%</w:t>
      </w:r>
      <w:r w:rsidRPr="00E14EE6">
        <w:t>. T</w:t>
      </w:r>
      <w:r w:rsidR="005147A6" w:rsidRPr="00E14EE6">
        <w:t>his income increased by 112.6</w:t>
      </w:r>
      <w:r>
        <w:t>%</w:t>
      </w:r>
      <w:r w:rsidR="005147A6" w:rsidRPr="00E14EE6">
        <w:t xml:space="preserve"> year</w:t>
      </w:r>
      <w:r w:rsidRPr="00E14EE6">
        <w:noBreakHyphen/>
      </w:r>
      <w:r w:rsidR="005147A6" w:rsidRPr="00E14EE6">
        <w:t>on</w:t>
      </w:r>
      <w:r w:rsidRPr="00E14EE6">
        <w:noBreakHyphen/>
      </w:r>
      <w:r w:rsidR="005147A6" w:rsidRPr="00E14EE6">
        <w:t xml:space="preserve">year in 2021, which remained lower </w:t>
      </w:r>
      <w:r w:rsidR="005147A6" w:rsidRPr="00285A0F">
        <w:t>than in 20</w:t>
      </w:r>
      <w:r w:rsidR="00CC4E22" w:rsidRPr="00285A0F">
        <w:t>19</w:t>
      </w:r>
      <w:r w:rsidR="005147A6" w:rsidRPr="00285A0F">
        <w:t>, but</w:t>
      </w:r>
      <w:r w:rsidR="005147A6" w:rsidRPr="00E14EE6">
        <w:t xml:space="preserve"> demonstrated a recovery in the sector after the onset of the pandemic (Table 1.6)</w:t>
      </w:r>
      <w:r w:rsidRPr="00E14EE6">
        <w:t>. R</w:t>
      </w:r>
      <w:r w:rsidR="005147A6" w:rsidRPr="00E14EE6">
        <w:t xml:space="preserve">egarding service expenditures, transport is the main category, </w:t>
      </w:r>
      <w:r w:rsidR="005147A6" w:rsidRPr="00E14EE6">
        <w:lastRenderedPageBreak/>
        <w:t>accounting for 45.8</w:t>
      </w:r>
      <w:r>
        <w:t>%</w:t>
      </w:r>
      <w:r w:rsidR="005147A6" w:rsidRPr="00E14EE6">
        <w:t xml:space="preserve"> of the total between 2015 and 2021, increasing by an average 2.4</w:t>
      </w:r>
      <w:r>
        <w:t>%</w:t>
      </w:r>
      <w:r w:rsidR="005147A6" w:rsidRPr="00E14EE6">
        <w:t xml:space="preserve"> between 2015 and 2019</w:t>
      </w:r>
      <w:r w:rsidRPr="00E14EE6">
        <w:t>.</w:t>
      </w:r>
      <w:bookmarkStart w:id="67" w:name="_Hlk110593945"/>
      <w:r w:rsidRPr="00E14EE6">
        <w:t xml:space="preserve"> I</w:t>
      </w:r>
      <w:r w:rsidR="005147A6" w:rsidRPr="00E14EE6">
        <w:t>n common with other activities, it slumped dramatically due to the pandemic, and in 2021 saw rises because of the impact of the crisis on the global supply chain</w:t>
      </w:r>
      <w:bookmarkEnd w:id="67"/>
      <w:r w:rsidR="005147A6" w:rsidRPr="00E14EE6">
        <w:t>.</w:t>
      </w:r>
    </w:p>
    <w:p w14:paraId="1118FF96" w14:textId="1B667FAA" w:rsidR="00CA7676" w:rsidRPr="00E14EE6" w:rsidRDefault="00F06AB8" w:rsidP="00F06AB8">
      <w:pPr>
        <w:pStyle w:val="Caption"/>
      </w:pPr>
      <w:bookmarkStart w:id="68" w:name="_Toc117238028"/>
      <w:r>
        <w:t xml:space="preserve">Table </w:t>
      </w:r>
      <w:r w:rsidR="00BD37F2">
        <w:fldChar w:fldCharType="begin"/>
      </w:r>
      <w:r w:rsidR="00BD37F2">
        <w:instrText xml:space="preserve"> STYLEREF 1 \s </w:instrText>
      </w:r>
      <w:r w:rsidR="00BD37F2">
        <w:fldChar w:fldCharType="separate"/>
      </w:r>
      <w:r w:rsidR="00323DC1">
        <w:rPr>
          <w:noProof/>
        </w:rPr>
        <w:t>1</w:t>
      </w:r>
      <w:r w:rsidR="00BD37F2">
        <w:rPr>
          <w:noProof/>
        </w:rPr>
        <w:fldChar w:fldCharType="end"/>
      </w:r>
      <w:r w:rsidR="00323DC1">
        <w:t>.</w:t>
      </w:r>
      <w:r w:rsidR="00BD37F2">
        <w:fldChar w:fldCharType="begin"/>
      </w:r>
      <w:r w:rsidR="00BD37F2">
        <w:instrText xml:space="preserve"> SEQ Table \* ARABIC \s 1 </w:instrText>
      </w:r>
      <w:r w:rsidR="00BD37F2">
        <w:fldChar w:fldCharType="separate"/>
      </w:r>
      <w:r w:rsidR="00323DC1">
        <w:rPr>
          <w:noProof/>
        </w:rPr>
        <w:t>6</w:t>
      </w:r>
      <w:r w:rsidR="00BD37F2">
        <w:rPr>
          <w:noProof/>
        </w:rPr>
        <w:fldChar w:fldCharType="end"/>
      </w:r>
      <w:r>
        <w:t xml:space="preserve"> </w:t>
      </w:r>
      <w:r w:rsidR="00CA7676" w:rsidRPr="00E14EE6">
        <w:t>Services balance, 2015</w:t>
      </w:r>
      <w:r w:rsidR="00E14EE6" w:rsidRPr="00E14EE6">
        <w:noBreakHyphen/>
      </w:r>
      <w:r w:rsidR="00CA7676" w:rsidRPr="00E14EE6">
        <w:t>21</w:t>
      </w:r>
      <w:bookmarkEnd w:id="68"/>
    </w:p>
    <w:p w14:paraId="0711D5B1" w14:textId="77777777" w:rsidR="00CA7676" w:rsidRPr="00E14EE6" w:rsidRDefault="00CA7676" w:rsidP="00E14EE6">
      <w:pPr>
        <w:pStyle w:val="NoteText"/>
      </w:pPr>
      <w:r w:rsidRPr="00E14EE6">
        <w:t>(USD million)</w:t>
      </w:r>
    </w:p>
    <w:tbl>
      <w:tblPr>
        <w:tblStyle w:val="WTOTable1"/>
        <w:tblW w:w="5000" w:type="pct"/>
        <w:tblLayout w:type="fixed"/>
        <w:tblLook w:val="04A0" w:firstRow="1" w:lastRow="0" w:firstColumn="1" w:lastColumn="0" w:noHBand="0" w:noVBand="1"/>
      </w:tblPr>
      <w:tblGrid>
        <w:gridCol w:w="2691"/>
        <w:gridCol w:w="904"/>
        <w:gridCol w:w="904"/>
        <w:gridCol w:w="904"/>
        <w:gridCol w:w="904"/>
        <w:gridCol w:w="903"/>
        <w:gridCol w:w="903"/>
        <w:gridCol w:w="903"/>
      </w:tblGrid>
      <w:tr w:rsidR="00CA7676" w:rsidRPr="00E14EE6" w14:paraId="3E0A32A1" w14:textId="77777777" w:rsidTr="00FD6B66">
        <w:trPr>
          <w:cnfStyle w:val="100000000000" w:firstRow="1" w:lastRow="0" w:firstColumn="0" w:lastColumn="0" w:oddVBand="0" w:evenVBand="0" w:oddHBand="0" w:evenHBand="0" w:firstRowFirstColumn="0" w:firstRowLastColumn="0" w:lastRowFirstColumn="0" w:lastRowLastColumn="0"/>
          <w:cantSplit/>
          <w:tblHeader/>
        </w:trPr>
        <w:tc>
          <w:tcPr>
            <w:tcW w:w="1492" w:type="pct"/>
            <w:noWrap/>
            <w:hideMark/>
          </w:tcPr>
          <w:p w14:paraId="523FA39E" w14:textId="64DB15A6" w:rsidR="00CA7676" w:rsidRPr="00E14EE6" w:rsidRDefault="00CA7676" w:rsidP="00E14EE6">
            <w:pPr>
              <w:jc w:val="left"/>
              <w:rPr>
                <w:sz w:val="15"/>
                <w:szCs w:val="15"/>
              </w:rPr>
            </w:pPr>
            <w:r w:rsidRPr="00E14EE6">
              <w:rPr>
                <w:sz w:val="15"/>
              </w:rPr>
              <w:t>ITEMS</w:t>
            </w:r>
          </w:p>
        </w:tc>
        <w:tc>
          <w:tcPr>
            <w:tcW w:w="501" w:type="pct"/>
            <w:hideMark/>
          </w:tcPr>
          <w:p w14:paraId="6E74C6B4" w14:textId="77777777" w:rsidR="00CA7676" w:rsidRPr="00E14EE6" w:rsidRDefault="00CA7676" w:rsidP="00E14EE6">
            <w:pPr>
              <w:jc w:val="right"/>
              <w:rPr>
                <w:sz w:val="15"/>
                <w:szCs w:val="15"/>
              </w:rPr>
            </w:pPr>
            <w:r w:rsidRPr="00E14EE6">
              <w:rPr>
                <w:sz w:val="15"/>
              </w:rPr>
              <w:t>2015</w:t>
            </w:r>
          </w:p>
        </w:tc>
        <w:tc>
          <w:tcPr>
            <w:tcW w:w="501" w:type="pct"/>
            <w:hideMark/>
          </w:tcPr>
          <w:p w14:paraId="10F7CD39" w14:textId="77777777" w:rsidR="00CA7676" w:rsidRPr="00E14EE6" w:rsidRDefault="00CA7676" w:rsidP="00E14EE6">
            <w:pPr>
              <w:jc w:val="right"/>
              <w:rPr>
                <w:sz w:val="15"/>
                <w:szCs w:val="15"/>
              </w:rPr>
            </w:pPr>
            <w:r w:rsidRPr="00E14EE6">
              <w:rPr>
                <w:sz w:val="15"/>
              </w:rPr>
              <w:t>2016</w:t>
            </w:r>
          </w:p>
        </w:tc>
        <w:tc>
          <w:tcPr>
            <w:tcW w:w="501" w:type="pct"/>
            <w:hideMark/>
          </w:tcPr>
          <w:p w14:paraId="0D88B17E" w14:textId="77777777" w:rsidR="00CA7676" w:rsidRPr="00E14EE6" w:rsidRDefault="00CA7676" w:rsidP="00E14EE6">
            <w:pPr>
              <w:jc w:val="right"/>
              <w:rPr>
                <w:sz w:val="15"/>
                <w:szCs w:val="15"/>
              </w:rPr>
            </w:pPr>
            <w:r w:rsidRPr="00E14EE6">
              <w:rPr>
                <w:sz w:val="15"/>
              </w:rPr>
              <w:t>2017</w:t>
            </w:r>
          </w:p>
        </w:tc>
        <w:tc>
          <w:tcPr>
            <w:tcW w:w="501" w:type="pct"/>
            <w:hideMark/>
          </w:tcPr>
          <w:p w14:paraId="500DE193" w14:textId="77777777" w:rsidR="00CA7676" w:rsidRPr="00E14EE6" w:rsidRDefault="00CA7676" w:rsidP="00E14EE6">
            <w:pPr>
              <w:jc w:val="right"/>
              <w:rPr>
                <w:sz w:val="15"/>
                <w:szCs w:val="15"/>
              </w:rPr>
            </w:pPr>
            <w:r w:rsidRPr="00E14EE6">
              <w:rPr>
                <w:sz w:val="15"/>
              </w:rPr>
              <w:t>2018</w:t>
            </w:r>
          </w:p>
        </w:tc>
        <w:tc>
          <w:tcPr>
            <w:tcW w:w="501" w:type="pct"/>
            <w:hideMark/>
          </w:tcPr>
          <w:p w14:paraId="3F93A416" w14:textId="77777777" w:rsidR="00CA7676" w:rsidRPr="00E14EE6" w:rsidRDefault="00CA7676" w:rsidP="00E14EE6">
            <w:pPr>
              <w:jc w:val="right"/>
              <w:rPr>
                <w:sz w:val="15"/>
                <w:szCs w:val="15"/>
              </w:rPr>
            </w:pPr>
            <w:r w:rsidRPr="00E14EE6">
              <w:rPr>
                <w:sz w:val="15"/>
              </w:rPr>
              <w:t>2019</w:t>
            </w:r>
          </w:p>
        </w:tc>
        <w:tc>
          <w:tcPr>
            <w:tcW w:w="501" w:type="pct"/>
            <w:hideMark/>
          </w:tcPr>
          <w:p w14:paraId="1E0AB81C" w14:textId="77777777" w:rsidR="00CA7676" w:rsidRPr="00E14EE6" w:rsidRDefault="00CA7676" w:rsidP="00E14EE6">
            <w:pPr>
              <w:jc w:val="right"/>
              <w:rPr>
                <w:sz w:val="15"/>
                <w:szCs w:val="15"/>
              </w:rPr>
            </w:pPr>
            <w:r w:rsidRPr="00E14EE6">
              <w:rPr>
                <w:sz w:val="15"/>
              </w:rPr>
              <w:t>2020</w:t>
            </w:r>
          </w:p>
        </w:tc>
        <w:tc>
          <w:tcPr>
            <w:tcW w:w="501" w:type="pct"/>
            <w:hideMark/>
          </w:tcPr>
          <w:p w14:paraId="1C45D507" w14:textId="77777777" w:rsidR="00CA7676" w:rsidRPr="00E14EE6" w:rsidRDefault="00CA7676" w:rsidP="00E14EE6">
            <w:pPr>
              <w:jc w:val="right"/>
              <w:rPr>
                <w:sz w:val="15"/>
                <w:szCs w:val="15"/>
              </w:rPr>
            </w:pPr>
            <w:r w:rsidRPr="00E14EE6">
              <w:rPr>
                <w:sz w:val="15"/>
              </w:rPr>
              <w:t>2021</w:t>
            </w:r>
          </w:p>
        </w:tc>
      </w:tr>
      <w:tr w:rsidR="00CA7676" w:rsidRPr="00E14EE6" w14:paraId="026E3A1E" w14:textId="77777777" w:rsidTr="00FD6B66">
        <w:trPr>
          <w:cantSplit/>
        </w:trPr>
        <w:tc>
          <w:tcPr>
            <w:tcW w:w="1492" w:type="pct"/>
            <w:noWrap/>
            <w:hideMark/>
          </w:tcPr>
          <w:p w14:paraId="28451019" w14:textId="43180324" w:rsidR="00CA7676" w:rsidRPr="00E14EE6" w:rsidRDefault="00CA7676" w:rsidP="00E14EE6">
            <w:pPr>
              <w:jc w:val="left"/>
              <w:rPr>
                <w:b/>
                <w:bCs/>
                <w:sz w:val="15"/>
                <w:szCs w:val="15"/>
              </w:rPr>
            </w:pPr>
            <w:r w:rsidRPr="00E14EE6">
              <w:rPr>
                <w:b/>
                <w:sz w:val="15"/>
              </w:rPr>
              <w:t>I</w:t>
            </w:r>
            <w:r w:rsidR="00E14EE6" w:rsidRPr="00E14EE6">
              <w:rPr>
                <w:b/>
                <w:sz w:val="15"/>
              </w:rPr>
              <w:t>. C</w:t>
            </w:r>
            <w:r w:rsidRPr="00E14EE6">
              <w:rPr>
                <w:b/>
                <w:sz w:val="15"/>
              </w:rPr>
              <w:t>REDIT</w:t>
            </w:r>
          </w:p>
        </w:tc>
        <w:tc>
          <w:tcPr>
            <w:tcW w:w="501" w:type="pct"/>
            <w:noWrap/>
            <w:hideMark/>
          </w:tcPr>
          <w:p w14:paraId="7C875F1A" w14:textId="77777777" w:rsidR="00CA7676" w:rsidRPr="00E14EE6" w:rsidRDefault="00CA7676" w:rsidP="00E14EE6">
            <w:pPr>
              <w:jc w:val="right"/>
              <w:rPr>
                <w:b/>
                <w:bCs/>
                <w:sz w:val="15"/>
                <w:szCs w:val="15"/>
              </w:rPr>
            </w:pPr>
            <w:r w:rsidRPr="00E14EE6">
              <w:rPr>
                <w:b/>
                <w:sz w:val="15"/>
              </w:rPr>
              <w:t>7,541.8</w:t>
            </w:r>
          </w:p>
        </w:tc>
        <w:tc>
          <w:tcPr>
            <w:tcW w:w="501" w:type="pct"/>
            <w:noWrap/>
            <w:hideMark/>
          </w:tcPr>
          <w:p w14:paraId="70586858" w14:textId="77777777" w:rsidR="00CA7676" w:rsidRPr="00E14EE6" w:rsidRDefault="00CA7676" w:rsidP="00E14EE6">
            <w:pPr>
              <w:jc w:val="right"/>
              <w:rPr>
                <w:b/>
                <w:bCs/>
                <w:sz w:val="15"/>
                <w:szCs w:val="15"/>
              </w:rPr>
            </w:pPr>
            <w:r w:rsidRPr="00E14EE6">
              <w:rPr>
                <w:b/>
                <w:sz w:val="15"/>
              </w:rPr>
              <w:t>8,309.2</w:t>
            </w:r>
          </w:p>
        </w:tc>
        <w:tc>
          <w:tcPr>
            <w:tcW w:w="501" w:type="pct"/>
            <w:noWrap/>
            <w:hideMark/>
          </w:tcPr>
          <w:p w14:paraId="0AA7FA93" w14:textId="77777777" w:rsidR="00CA7676" w:rsidRPr="00E14EE6" w:rsidRDefault="00CA7676" w:rsidP="00E14EE6">
            <w:pPr>
              <w:jc w:val="right"/>
              <w:rPr>
                <w:b/>
                <w:bCs/>
                <w:sz w:val="15"/>
                <w:szCs w:val="15"/>
              </w:rPr>
            </w:pPr>
            <w:r w:rsidRPr="00E14EE6">
              <w:rPr>
                <w:b/>
                <w:sz w:val="15"/>
              </w:rPr>
              <w:t>8,856.8</w:t>
            </w:r>
          </w:p>
        </w:tc>
        <w:tc>
          <w:tcPr>
            <w:tcW w:w="501" w:type="pct"/>
            <w:noWrap/>
            <w:hideMark/>
          </w:tcPr>
          <w:p w14:paraId="69447D97" w14:textId="77777777" w:rsidR="00CA7676" w:rsidRPr="00E14EE6" w:rsidRDefault="00CA7676" w:rsidP="00E14EE6">
            <w:pPr>
              <w:jc w:val="right"/>
              <w:rPr>
                <w:b/>
                <w:bCs/>
                <w:sz w:val="15"/>
                <w:szCs w:val="15"/>
              </w:rPr>
            </w:pPr>
            <w:r w:rsidRPr="00E14EE6">
              <w:rPr>
                <w:b/>
                <w:sz w:val="15"/>
              </w:rPr>
              <w:t>9,413.6</w:t>
            </w:r>
          </w:p>
        </w:tc>
        <w:tc>
          <w:tcPr>
            <w:tcW w:w="501" w:type="pct"/>
            <w:noWrap/>
            <w:hideMark/>
          </w:tcPr>
          <w:p w14:paraId="0392FFCC" w14:textId="77777777" w:rsidR="00CA7676" w:rsidRPr="00E14EE6" w:rsidRDefault="00CA7676" w:rsidP="00E14EE6">
            <w:pPr>
              <w:jc w:val="right"/>
              <w:rPr>
                <w:b/>
                <w:bCs/>
                <w:sz w:val="15"/>
                <w:szCs w:val="15"/>
              </w:rPr>
            </w:pPr>
            <w:r w:rsidRPr="00E14EE6">
              <w:rPr>
                <w:b/>
                <w:sz w:val="15"/>
              </w:rPr>
              <w:t>9,316.5</w:t>
            </w:r>
          </w:p>
        </w:tc>
        <w:tc>
          <w:tcPr>
            <w:tcW w:w="501" w:type="pct"/>
            <w:noWrap/>
            <w:hideMark/>
          </w:tcPr>
          <w:p w14:paraId="396BE4D7" w14:textId="77777777" w:rsidR="00CA7676" w:rsidRPr="00E14EE6" w:rsidRDefault="00CA7676" w:rsidP="00E14EE6">
            <w:pPr>
              <w:jc w:val="right"/>
              <w:rPr>
                <w:b/>
                <w:bCs/>
                <w:sz w:val="15"/>
                <w:szCs w:val="15"/>
              </w:rPr>
            </w:pPr>
            <w:r w:rsidRPr="00E14EE6">
              <w:rPr>
                <w:b/>
                <w:sz w:val="15"/>
              </w:rPr>
              <w:t>4,587.5</w:t>
            </w:r>
          </w:p>
        </w:tc>
        <w:tc>
          <w:tcPr>
            <w:tcW w:w="501" w:type="pct"/>
            <w:noWrap/>
            <w:hideMark/>
          </w:tcPr>
          <w:p w14:paraId="7B36DAA1" w14:textId="77777777" w:rsidR="00CA7676" w:rsidRPr="00E14EE6" w:rsidRDefault="00CA7676" w:rsidP="00E14EE6">
            <w:pPr>
              <w:jc w:val="right"/>
              <w:rPr>
                <w:b/>
                <w:bCs/>
                <w:sz w:val="15"/>
                <w:szCs w:val="15"/>
              </w:rPr>
            </w:pPr>
            <w:r w:rsidRPr="00E14EE6">
              <w:rPr>
                <w:b/>
                <w:sz w:val="15"/>
              </w:rPr>
              <w:t>8,047.0</w:t>
            </w:r>
          </w:p>
        </w:tc>
      </w:tr>
      <w:tr w:rsidR="00CA7676" w:rsidRPr="00E14EE6" w14:paraId="1B122663" w14:textId="77777777" w:rsidTr="00FD6B66">
        <w:trPr>
          <w:cnfStyle w:val="000000010000" w:firstRow="0" w:lastRow="0" w:firstColumn="0" w:lastColumn="0" w:oddVBand="0" w:evenVBand="0" w:oddHBand="0" w:evenHBand="1" w:firstRowFirstColumn="0" w:firstRowLastColumn="0" w:lastRowFirstColumn="0" w:lastRowLastColumn="0"/>
          <w:cantSplit/>
        </w:trPr>
        <w:tc>
          <w:tcPr>
            <w:tcW w:w="1492" w:type="pct"/>
            <w:noWrap/>
            <w:hideMark/>
          </w:tcPr>
          <w:p w14:paraId="59B84C77" w14:textId="33CDFF92" w:rsidR="00CA7676" w:rsidRPr="00E14EE6" w:rsidRDefault="00CA7676" w:rsidP="00E14EE6">
            <w:pPr>
              <w:jc w:val="left"/>
              <w:rPr>
                <w:sz w:val="15"/>
                <w:szCs w:val="15"/>
              </w:rPr>
            </w:pPr>
            <w:r w:rsidRPr="00E14EE6">
              <w:rPr>
                <w:sz w:val="15"/>
              </w:rPr>
              <w:t>A</w:t>
            </w:r>
            <w:r w:rsidR="00E14EE6" w:rsidRPr="00E14EE6">
              <w:rPr>
                <w:sz w:val="15"/>
              </w:rPr>
              <w:t>. G</w:t>
            </w:r>
            <w:r w:rsidRPr="00E14EE6">
              <w:rPr>
                <w:sz w:val="15"/>
              </w:rPr>
              <w:t>oods for processing in the reporting economy</w:t>
            </w:r>
          </w:p>
        </w:tc>
        <w:tc>
          <w:tcPr>
            <w:tcW w:w="501" w:type="pct"/>
            <w:noWrap/>
            <w:hideMark/>
          </w:tcPr>
          <w:p w14:paraId="0E5A5A96" w14:textId="77777777" w:rsidR="00CA7676" w:rsidRPr="00E14EE6" w:rsidRDefault="00CA7676" w:rsidP="00E14EE6">
            <w:pPr>
              <w:jc w:val="right"/>
              <w:rPr>
                <w:sz w:val="15"/>
                <w:szCs w:val="15"/>
              </w:rPr>
            </w:pPr>
            <w:r w:rsidRPr="00E14EE6">
              <w:rPr>
                <w:sz w:val="15"/>
              </w:rPr>
              <w:t>79.0</w:t>
            </w:r>
          </w:p>
        </w:tc>
        <w:tc>
          <w:tcPr>
            <w:tcW w:w="501" w:type="pct"/>
            <w:noWrap/>
            <w:hideMark/>
          </w:tcPr>
          <w:p w14:paraId="3B51DF72" w14:textId="77777777" w:rsidR="00CA7676" w:rsidRPr="00E14EE6" w:rsidRDefault="00CA7676" w:rsidP="00E14EE6">
            <w:pPr>
              <w:jc w:val="right"/>
              <w:rPr>
                <w:sz w:val="15"/>
                <w:szCs w:val="15"/>
              </w:rPr>
            </w:pPr>
            <w:r w:rsidRPr="00E14EE6">
              <w:rPr>
                <w:sz w:val="15"/>
              </w:rPr>
              <w:t>74.7</w:t>
            </w:r>
          </w:p>
        </w:tc>
        <w:tc>
          <w:tcPr>
            <w:tcW w:w="501" w:type="pct"/>
            <w:noWrap/>
            <w:hideMark/>
          </w:tcPr>
          <w:p w14:paraId="4EF5DFAC" w14:textId="77777777" w:rsidR="00CA7676" w:rsidRPr="00E14EE6" w:rsidRDefault="00CA7676" w:rsidP="00E14EE6">
            <w:pPr>
              <w:jc w:val="right"/>
              <w:rPr>
                <w:sz w:val="15"/>
                <w:szCs w:val="15"/>
              </w:rPr>
            </w:pPr>
            <w:r w:rsidRPr="00E14EE6">
              <w:rPr>
                <w:sz w:val="15"/>
              </w:rPr>
              <w:t>58.0</w:t>
            </w:r>
          </w:p>
        </w:tc>
        <w:tc>
          <w:tcPr>
            <w:tcW w:w="501" w:type="pct"/>
            <w:noWrap/>
            <w:hideMark/>
          </w:tcPr>
          <w:p w14:paraId="4992995C" w14:textId="77777777" w:rsidR="00CA7676" w:rsidRPr="00E14EE6" w:rsidRDefault="00CA7676" w:rsidP="00E14EE6">
            <w:pPr>
              <w:jc w:val="right"/>
              <w:rPr>
                <w:sz w:val="15"/>
                <w:szCs w:val="15"/>
              </w:rPr>
            </w:pPr>
            <w:r w:rsidRPr="00E14EE6">
              <w:rPr>
                <w:sz w:val="15"/>
              </w:rPr>
              <w:t>54.5</w:t>
            </w:r>
          </w:p>
        </w:tc>
        <w:tc>
          <w:tcPr>
            <w:tcW w:w="501" w:type="pct"/>
            <w:noWrap/>
            <w:hideMark/>
          </w:tcPr>
          <w:p w14:paraId="18122A07" w14:textId="77777777" w:rsidR="00CA7676" w:rsidRPr="00E14EE6" w:rsidRDefault="00CA7676" w:rsidP="00E14EE6">
            <w:pPr>
              <w:jc w:val="right"/>
              <w:rPr>
                <w:sz w:val="15"/>
                <w:szCs w:val="15"/>
              </w:rPr>
            </w:pPr>
            <w:r w:rsidRPr="00E14EE6">
              <w:rPr>
                <w:sz w:val="15"/>
              </w:rPr>
              <w:t>55.4</w:t>
            </w:r>
          </w:p>
        </w:tc>
        <w:tc>
          <w:tcPr>
            <w:tcW w:w="501" w:type="pct"/>
            <w:noWrap/>
            <w:hideMark/>
          </w:tcPr>
          <w:p w14:paraId="0BE30C96" w14:textId="77777777" w:rsidR="00CA7676" w:rsidRPr="00E14EE6" w:rsidRDefault="00CA7676" w:rsidP="00E14EE6">
            <w:pPr>
              <w:jc w:val="right"/>
              <w:rPr>
                <w:sz w:val="15"/>
                <w:szCs w:val="15"/>
              </w:rPr>
            </w:pPr>
            <w:r w:rsidRPr="00E14EE6">
              <w:rPr>
                <w:sz w:val="15"/>
              </w:rPr>
              <w:t>31.7</w:t>
            </w:r>
          </w:p>
        </w:tc>
        <w:tc>
          <w:tcPr>
            <w:tcW w:w="501" w:type="pct"/>
            <w:noWrap/>
            <w:hideMark/>
          </w:tcPr>
          <w:p w14:paraId="20669941" w14:textId="77777777" w:rsidR="00CA7676" w:rsidRPr="00E14EE6" w:rsidRDefault="00CA7676" w:rsidP="00E14EE6">
            <w:pPr>
              <w:jc w:val="right"/>
              <w:rPr>
                <w:sz w:val="15"/>
                <w:szCs w:val="15"/>
              </w:rPr>
            </w:pPr>
            <w:r w:rsidRPr="00E14EE6">
              <w:rPr>
                <w:sz w:val="15"/>
              </w:rPr>
              <w:t>43.1</w:t>
            </w:r>
          </w:p>
        </w:tc>
      </w:tr>
      <w:tr w:rsidR="00CA7676" w:rsidRPr="00E14EE6" w14:paraId="6BD336CE" w14:textId="77777777" w:rsidTr="00FD6B66">
        <w:trPr>
          <w:cantSplit/>
        </w:trPr>
        <w:tc>
          <w:tcPr>
            <w:tcW w:w="1492" w:type="pct"/>
            <w:noWrap/>
            <w:hideMark/>
          </w:tcPr>
          <w:p w14:paraId="22575A4A" w14:textId="737E62CC" w:rsidR="00CA7676" w:rsidRPr="00E14EE6" w:rsidRDefault="00CA7676" w:rsidP="00E14EE6">
            <w:pPr>
              <w:jc w:val="left"/>
              <w:rPr>
                <w:sz w:val="15"/>
                <w:szCs w:val="15"/>
              </w:rPr>
            </w:pPr>
            <w:r w:rsidRPr="00E14EE6">
              <w:rPr>
                <w:sz w:val="15"/>
              </w:rPr>
              <w:t>B</w:t>
            </w:r>
            <w:r w:rsidR="00E14EE6" w:rsidRPr="00E14EE6">
              <w:rPr>
                <w:sz w:val="15"/>
              </w:rPr>
              <w:t>. T</w:t>
            </w:r>
            <w:r w:rsidRPr="00E14EE6">
              <w:rPr>
                <w:sz w:val="15"/>
              </w:rPr>
              <w:t>ransport</w:t>
            </w:r>
          </w:p>
        </w:tc>
        <w:tc>
          <w:tcPr>
            <w:tcW w:w="501" w:type="pct"/>
            <w:noWrap/>
            <w:hideMark/>
          </w:tcPr>
          <w:p w14:paraId="0C2F96D0" w14:textId="77777777" w:rsidR="00CA7676" w:rsidRPr="00E14EE6" w:rsidRDefault="00CA7676" w:rsidP="00E14EE6">
            <w:pPr>
              <w:jc w:val="right"/>
              <w:rPr>
                <w:sz w:val="15"/>
                <w:szCs w:val="15"/>
              </w:rPr>
            </w:pPr>
            <w:r w:rsidRPr="00E14EE6">
              <w:rPr>
                <w:sz w:val="15"/>
              </w:rPr>
              <w:t>547.7</w:t>
            </w:r>
          </w:p>
        </w:tc>
        <w:tc>
          <w:tcPr>
            <w:tcW w:w="501" w:type="pct"/>
            <w:noWrap/>
            <w:hideMark/>
          </w:tcPr>
          <w:p w14:paraId="18B95972" w14:textId="77777777" w:rsidR="00CA7676" w:rsidRPr="00E14EE6" w:rsidRDefault="00CA7676" w:rsidP="00E14EE6">
            <w:pPr>
              <w:jc w:val="right"/>
              <w:rPr>
                <w:sz w:val="15"/>
                <w:szCs w:val="15"/>
              </w:rPr>
            </w:pPr>
            <w:r w:rsidRPr="00E14EE6">
              <w:rPr>
                <w:sz w:val="15"/>
              </w:rPr>
              <w:t>581.0</w:t>
            </w:r>
          </w:p>
        </w:tc>
        <w:tc>
          <w:tcPr>
            <w:tcW w:w="501" w:type="pct"/>
            <w:noWrap/>
            <w:hideMark/>
          </w:tcPr>
          <w:p w14:paraId="19A92084" w14:textId="77777777" w:rsidR="00CA7676" w:rsidRPr="00E14EE6" w:rsidRDefault="00CA7676" w:rsidP="00E14EE6">
            <w:pPr>
              <w:jc w:val="right"/>
              <w:rPr>
                <w:sz w:val="15"/>
                <w:szCs w:val="15"/>
              </w:rPr>
            </w:pPr>
            <w:r w:rsidRPr="00E14EE6">
              <w:rPr>
                <w:sz w:val="15"/>
              </w:rPr>
              <w:t>609.6</w:t>
            </w:r>
          </w:p>
        </w:tc>
        <w:tc>
          <w:tcPr>
            <w:tcW w:w="501" w:type="pct"/>
            <w:noWrap/>
            <w:hideMark/>
          </w:tcPr>
          <w:p w14:paraId="085120FA" w14:textId="77777777" w:rsidR="00CA7676" w:rsidRPr="00E14EE6" w:rsidRDefault="00CA7676" w:rsidP="00E14EE6">
            <w:pPr>
              <w:jc w:val="right"/>
              <w:rPr>
                <w:sz w:val="15"/>
                <w:szCs w:val="15"/>
              </w:rPr>
            </w:pPr>
            <w:r w:rsidRPr="00E14EE6">
              <w:rPr>
                <w:sz w:val="15"/>
              </w:rPr>
              <w:t>645.5</w:t>
            </w:r>
          </w:p>
        </w:tc>
        <w:tc>
          <w:tcPr>
            <w:tcW w:w="501" w:type="pct"/>
            <w:noWrap/>
            <w:hideMark/>
          </w:tcPr>
          <w:p w14:paraId="2B6AD310" w14:textId="77777777" w:rsidR="00CA7676" w:rsidRPr="00E14EE6" w:rsidRDefault="00CA7676" w:rsidP="00E14EE6">
            <w:pPr>
              <w:jc w:val="right"/>
              <w:rPr>
                <w:sz w:val="15"/>
                <w:szCs w:val="15"/>
              </w:rPr>
            </w:pPr>
            <w:r w:rsidRPr="00E14EE6">
              <w:rPr>
                <w:sz w:val="15"/>
              </w:rPr>
              <w:t>671.7</w:t>
            </w:r>
          </w:p>
        </w:tc>
        <w:tc>
          <w:tcPr>
            <w:tcW w:w="501" w:type="pct"/>
            <w:noWrap/>
            <w:hideMark/>
          </w:tcPr>
          <w:p w14:paraId="3C2FE827" w14:textId="77777777" w:rsidR="00CA7676" w:rsidRPr="00E14EE6" w:rsidRDefault="00CA7676" w:rsidP="00E14EE6">
            <w:pPr>
              <w:jc w:val="right"/>
              <w:rPr>
                <w:sz w:val="15"/>
                <w:szCs w:val="15"/>
              </w:rPr>
            </w:pPr>
            <w:r w:rsidRPr="00E14EE6">
              <w:rPr>
                <w:sz w:val="15"/>
              </w:rPr>
              <w:t>341.2</w:t>
            </w:r>
          </w:p>
        </w:tc>
        <w:tc>
          <w:tcPr>
            <w:tcW w:w="501" w:type="pct"/>
            <w:noWrap/>
            <w:hideMark/>
          </w:tcPr>
          <w:p w14:paraId="14E9E3C2" w14:textId="77777777" w:rsidR="00CA7676" w:rsidRPr="00E14EE6" w:rsidRDefault="00CA7676" w:rsidP="00E14EE6">
            <w:pPr>
              <w:jc w:val="right"/>
              <w:rPr>
                <w:sz w:val="15"/>
                <w:szCs w:val="15"/>
              </w:rPr>
            </w:pPr>
            <w:r w:rsidRPr="00E14EE6">
              <w:rPr>
                <w:sz w:val="15"/>
              </w:rPr>
              <w:t>575.1</w:t>
            </w:r>
          </w:p>
        </w:tc>
      </w:tr>
      <w:tr w:rsidR="00CA7676" w:rsidRPr="00E14EE6" w14:paraId="70FAC31F" w14:textId="77777777" w:rsidTr="00FD6B66">
        <w:trPr>
          <w:cnfStyle w:val="000000010000" w:firstRow="0" w:lastRow="0" w:firstColumn="0" w:lastColumn="0" w:oddVBand="0" w:evenVBand="0" w:oddHBand="0" w:evenHBand="1" w:firstRowFirstColumn="0" w:firstRowLastColumn="0" w:lastRowFirstColumn="0" w:lastRowLastColumn="0"/>
          <w:cantSplit/>
        </w:trPr>
        <w:tc>
          <w:tcPr>
            <w:tcW w:w="1492" w:type="pct"/>
            <w:noWrap/>
            <w:hideMark/>
          </w:tcPr>
          <w:p w14:paraId="20EA78EB" w14:textId="6EAE36C0" w:rsidR="00CA7676" w:rsidRPr="00E14EE6" w:rsidRDefault="00CA7676" w:rsidP="00E14EE6">
            <w:pPr>
              <w:jc w:val="left"/>
              <w:rPr>
                <w:sz w:val="15"/>
                <w:szCs w:val="15"/>
              </w:rPr>
            </w:pPr>
            <w:r w:rsidRPr="00E14EE6">
              <w:rPr>
                <w:sz w:val="15"/>
              </w:rPr>
              <w:t>C</w:t>
            </w:r>
            <w:r w:rsidR="00E14EE6" w:rsidRPr="00E14EE6">
              <w:rPr>
                <w:sz w:val="15"/>
              </w:rPr>
              <w:t>. T</w:t>
            </w:r>
            <w:r w:rsidRPr="00E14EE6">
              <w:rPr>
                <w:sz w:val="15"/>
              </w:rPr>
              <w:t>ravel</w:t>
            </w:r>
          </w:p>
        </w:tc>
        <w:tc>
          <w:tcPr>
            <w:tcW w:w="501" w:type="pct"/>
            <w:noWrap/>
            <w:hideMark/>
          </w:tcPr>
          <w:p w14:paraId="5E2DA16B" w14:textId="77777777" w:rsidR="00CA7676" w:rsidRPr="00E14EE6" w:rsidRDefault="00CA7676" w:rsidP="00E14EE6">
            <w:pPr>
              <w:jc w:val="right"/>
              <w:rPr>
                <w:sz w:val="15"/>
                <w:szCs w:val="15"/>
              </w:rPr>
            </w:pPr>
            <w:r w:rsidRPr="00E14EE6">
              <w:rPr>
                <w:sz w:val="15"/>
              </w:rPr>
              <w:t>6,115.9</w:t>
            </w:r>
          </w:p>
        </w:tc>
        <w:tc>
          <w:tcPr>
            <w:tcW w:w="501" w:type="pct"/>
            <w:noWrap/>
            <w:hideMark/>
          </w:tcPr>
          <w:p w14:paraId="17965BBE" w14:textId="77777777" w:rsidR="00CA7676" w:rsidRPr="00E14EE6" w:rsidRDefault="00CA7676" w:rsidP="00E14EE6">
            <w:pPr>
              <w:jc w:val="right"/>
              <w:rPr>
                <w:sz w:val="15"/>
                <w:szCs w:val="15"/>
              </w:rPr>
            </w:pPr>
            <w:r w:rsidRPr="00E14EE6">
              <w:rPr>
                <w:sz w:val="15"/>
              </w:rPr>
              <w:t>6,719.6</w:t>
            </w:r>
          </w:p>
        </w:tc>
        <w:tc>
          <w:tcPr>
            <w:tcW w:w="501" w:type="pct"/>
            <w:noWrap/>
            <w:hideMark/>
          </w:tcPr>
          <w:p w14:paraId="7E4A41A4" w14:textId="058364F1" w:rsidR="00CA7676" w:rsidRPr="00E14EE6" w:rsidRDefault="00CA7676" w:rsidP="00E14EE6">
            <w:pPr>
              <w:jc w:val="right"/>
              <w:rPr>
                <w:sz w:val="15"/>
                <w:szCs w:val="15"/>
              </w:rPr>
            </w:pPr>
            <w:r w:rsidRPr="00E14EE6">
              <w:rPr>
                <w:sz w:val="15"/>
              </w:rPr>
              <w:t>7</w:t>
            </w:r>
            <w:r w:rsidR="00CA3A8E">
              <w:rPr>
                <w:sz w:val="15"/>
              </w:rPr>
              <w:t>,</w:t>
            </w:r>
            <w:r w:rsidRPr="00E14EE6">
              <w:rPr>
                <w:sz w:val="15"/>
              </w:rPr>
              <w:t>184.1</w:t>
            </w:r>
          </w:p>
        </w:tc>
        <w:tc>
          <w:tcPr>
            <w:tcW w:w="501" w:type="pct"/>
            <w:noWrap/>
            <w:hideMark/>
          </w:tcPr>
          <w:p w14:paraId="01C52492" w14:textId="2C5FE89F" w:rsidR="00CA7676" w:rsidRPr="00E14EE6" w:rsidRDefault="00CA7676" w:rsidP="00E14EE6">
            <w:pPr>
              <w:jc w:val="right"/>
              <w:rPr>
                <w:sz w:val="15"/>
                <w:szCs w:val="15"/>
              </w:rPr>
            </w:pPr>
            <w:r w:rsidRPr="00E14EE6">
              <w:rPr>
                <w:sz w:val="15"/>
              </w:rPr>
              <w:t>7</w:t>
            </w:r>
            <w:r w:rsidR="00CA3A8E">
              <w:rPr>
                <w:sz w:val="15"/>
              </w:rPr>
              <w:t>,</w:t>
            </w:r>
            <w:r w:rsidRPr="00E14EE6">
              <w:rPr>
                <w:sz w:val="15"/>
              </w:rPr>
              <w:t>547.7</w:t>
            </w:r>
          </w:p>
        </w:tc>
        <w:tc>
          <w:tcPr>
            <w:tcW w:w="501" w:type="pct"/>
            <w:noWrap/>
            <w:hideMark/>
          </w:tcPr>
          <w:p w14:paraId="0318AF6A" w14:textId="23E86714" w:rsidR="00CA7676" w:rsidRPr="00E14EE6" w:rsidRDefault="00CA7676" w:rsidP="00E14EE6">
            <w:pPr>
              <w:jc w:val="right"/>
              <w:rPr>
                <w:sz w:val="15"/>
                <w:szCs w:val="15"/>
              </w:rPr>
            </w:pPr>
            <w:r w:rsidRPr="00E14EE6">
              <w:rPr>
                <w:sz w:val="15"/>
              </w:rPr>
              <w:t>7</w:t>
            </w:r>
            <w:r w:rsidR="00CA3A8E">
              <w:rPr>
                <w:sz w:val="15"/>
              </w:rPr>
              <w:t>,</w:t>
            </w:r>
            <w:r w:rsidRPr="00E14EE6">
              <w:rPr>
                <w:sz w:val="15"/>
              </w:rPr>
              <w:t>471.5</w:t>
            </w:r>
          </w:p>
        </w:tc>
        <w:tc>
          <w:tcPr>
            <w:tcW w:w="501" w:type="pct"/>
            <w:noWrap/>
            <w:hideMark/>
          </w:tcPr>
          <w:p w14:paraId="650E15BA" w14:textId="77777777" w:rsidR="00CA7676" w:rsidRPr="00E14EE6" w:rsidRDefault="00CA7676" w:rsidP="00E14EE6">
            <w:pPr>
              <w:jc w:val="right"/>
              <w:rPr>
                <w:sz w:val="15"/>
                <w:szCs w:val="15"/>
              </w:rPr>
            </w:pPr>
            <w:r w:rsidRPr="00E14EE6">
              <w:rPr>
                <w:sz w:val="15"/>
              </w:rPr>
              <w:t>2,674.8</w:t>
            </w:r>
          </w:p>
        </w:tc>
        <w:tc>
          <w:tcPr>
            <w:tcW w:w="501" w:type="pct"/>
            <w:noWrap/>
            <w:hideMark/>
          </w:tcPr>
          <w:p w14:paraId="68647574" w14:textId="77777777" w:rsidR="00CA7676" w:rsidRPr="00E14EE6" w:rsidRDefault="00CA7676" w:rsidP="00E14EE6">
            <w:pPr>
              <w:jc w:val="right"/>
              <w:rPr>
                <w:sz w:val="15"/>
                <w:szCs w:val="15"/>
              </w:rPr>
            </w:pPr>
            <w:r w:rsidRPr="00E14EE6">
              <w:rPr>
                <w:sz w:val="15"/>
              </w:rPr>
              <w:t>5,686.5</w:t>
            </w:r>
          </w:p>
        </w:tc>
      </w:tr>
      <w:tr w:rsidR="00CA7676" w:rsidRPr="00E14EE6" w14:paraId="61788C1B" w14:textId="77777777" w:rsidTr="00FD6B66">
        <w:trPr>
          <w:cantSplit/>
        </w:trPr>
        <w:tc>
          <w:tcPr>
            <w:tcW w:w="1492" w:type="pct"/>
            <w:noWrap/>
            <w:hideMark/>
          </w:tcPr>
          <w:p w14:paraId="5F1C7040" w14:textId="29E1DB35" w:rsidR="00CA7676" w:rsidRPr="00E14EE6" w:rsidRDefault="00CA7676" w:rsidP="00E14EE6">
            <w:pPr>
              <w:jc w:val="left"/>
              <w:rPr>
                <w:sz w:val="15"/>
                <w:szCs w:val="15"/>
              </w:rPr>
            </w:pPr>
            <w:r w:rsidRPr="00E14EE6">
              <w:rPr>
                <w:sz w:val="15"/>
              </w:rPr>
              <w:t>D</w:t>
            </w:r>
            <w:r w:rsidR="00E14EE6" w:rsidRPr="00E14EE6">
              <w:rPr>
                <w:sz w:val="15"/>
              </w:rPr>
              <w:t>. T</w:t>
            </w:r>
            <w:r w:rsidRPr="00E14EE6">
              <w:rPr>
                <w:sz w:val="15"/>
              </w:rPr>
              <w:t>elecommunications, computer and information services</w:t>
            </w:r>
          </w:p>
        </w:tc>
        <w:tc>
          <w:tcPr>
            <w:tcW w:w="501" w:type="pct"/>
            <w:noWrap/>
            <w:hideMark/>
          </w:tcPr>
          <w:p w14:paraId="610B27FB" w14:textId="77777777" w:rsidR="00CA7676" w:rsidRPr="00E14EE6" w:rsidRDefault="00CA7676" w:rsidP="00E14EE6">
            <w:pPr>
              <w:jc w:val="right"/>
              <w:rPr>
                <w:sz w:val="15"/>
                <w:szCs w:val="15"/>
              </w:rPr>
            </w:pPr>
            <w:r w:rsidRPr="00E14EE6">
              <w:rPr>
                <w:sz w:val="15"/>
              </w:rPr>
              <w:t>168.3</w:t>
            </w:r>
          </w:p>
        </w:tc>
        <w:tc>
          <w:tcPr>
            <w:tcW w:w="501" w:type="pct"/>
            <w:noWrap/>
            <w:hideMark/>
          </w:tcPr>
          <w:p w14:paraId="0409B522" w14:textId="77777777" w:rsidR="00CA7676" w:rsidRPr="00E14EE6" w:rsidRDefault="00CA7676" w:rsidP="00E14EE6">
            <w:pPr>
              <w:jc w:val="right"/>
              <w:rPr>
                <w:sz w:val="15"/>
                <w:szCs w:val="15"/>
              </w:rPr>
            </w:pPr>
            <w:r w:rsidRPr="00E14EE6">
              <w:rPr>
                <w:sz w:val="15"/>
              </w:rPr>
              <w:t>147.2</w:t>
            </w:r>
          </w:p>
        </w:tc>
        <w:tc>
          <w:tcPr>
            <w:tcW w:w="501" w:type="pct"/>
            <w:noWrap/>
            <w:hideMark/>
          </w:tcPr>
          <w:p w14:paraId="037690E1" w14:textId="77777777" w:rsidR="00CA7676" w:rsidRPr="00E14EE6" w:rsidRDefault="00CA7676" w:rsidP="00E14EE6">
            <w:pPr>
              <w:jc w:val="right"/>
              <w:rPr>
                <w:sz w:val="15"/>
                <w:szCs w:val="15"/>
              </w:rPr>
            </w:pPr>
            <w:r w:rsidRPr="00E14EE6">
              <w:rPr>
                <w:sz w:val="15"/>
              </w:rPr>
              <w:t>130.1</w:t>
            </w:r>
          </w:p>
        </w:tc>
        <w:tc>
          <w:tcPr>
            <w:tcW w:w="501" w:type="pct"/>
            <w:noWrap/>
            <w:hideMark/>
          </w:tcPr>
          <w:p w14:paraId="76A0ABB3" w14:textId="77777777" w:rsidR="00CA7676" w:rsidRPr="00E14EE6" w:rsidRDefault="00CA7676" w:rsidP="00E14EE6">
            <w:pPr>
              <w:jc w:val="right"/>
              <w:rPr>
                <w:sz w:val="15"/>
                <w:szCs w:val="15"/>
              </w:rPr>
            </w:pPr>
            <w:r w:rsidRPr="00E14EE6">
              <w:rPr>
                <w:sz w:val="15"/>
              </w:rPr>
              <w:t>118.5</w:t>
            </w:r>
          </w:p>
        </w:tc>
        <w:tc>
          <w:tcPr>
            <w:tcW w:w="501" w:type="pct"/>
            <w:noWrap/>
            <w:hideMark/>
          </w:tcPr>
          <w:p w14:paraId="0CE7F96D" w14:textId="77777777" w:rsidR="00CA7676" w:rsidRPr="00E14EE6" w:rsidRDefault="00CA7676" w:rsidP="00E14EE6">
            <w:pPr>
              <w:jc w:val="right"/>
              <w:rPr>
                <w:sz w:val="15"/>
                <w:szCs w:val="15"/>
              </w:rPr>
            </w:pPr>
            <w:r w:rsidRPr="00E14EE6">
              <w:rPr>
                <w:sz w:val="15"/>
              </w:rPr>
              <w:t>98.3</w:t>
            </w:r>
          </w:p>
        </w:tc>
        <w:tc>
          <w:tcPr>
            <w:tcW w:w="501" w:type="pct"/>
            <w:noWrap/>
            <w:hideMark/>
          </w:tcPr>
          <w:p w14:paraId="3A5886C4" w14:textId="77777777" w:rsidR="00CA7676" w:rsidRPr="00E14EE6" w:rsidRDefault="00CA7676" w:rsidP="00E14EE6">
            <w:pPr>
              <w:jc w:val="right"/>
              <w:rPr>
                <w:sz w:val="15"/>
                <w:szCs w:val="15"/>
              </w:rPr>
            </w:pPr>
            <w:r w:rsidRPr="00E14EE6">
              <w:rPr>
                <w:sz w:val="15"/>
              </w:rPr>
              <w:t>84.6</w:t>
            </w:r>
          </w:p>
        </w:tc>
        <w:tc>
          <w:tcPr>
            <w:tcW w:w="501" w:type="pct"/>
            <w:noWrap/>
            <w:hideMark/>
          </w:tcPr>
          <w:p w14:paraId="7136E192" w14:textId="77777777" w:rsidR="00CA7676" w:rsidRPr="00E14EE6" w:rsidRDefault="00CA7676" w:rsidP="00E14EE6">
            <w:pPr>
              <w:jc w:val="right"/>
              <w:rPr>
                <w:sz w:val="15"/>
                <w:szCs w:val="15"/>
              </w:rPr>
            </w:pPr>
            <w:r w:rsidRPr="00E14EE6">
              <w:rPr>
                <w:sz w:val="15"/>
              </w:rPr>
              <w:t>67.6</w:t>
            </w:r>
          </w:p>
        </w:tc>
      </w:tr>
      <w:tr w:rsidR="00CA7676" w:rsidRPr="00E14EE6" w14:paraId="281E469B" w14:textId="77777777" w:rsidTr="00FD6B66">
        <w:trPr>
          <w:cnfStyle w:val="000000010000" w:firstRow="0" w:lastRow="0" w:firstColumn="0" w:lastColumn="0" w:oddVBand="0" w:evenVBand="0" w:oddHBand="0" w:evenHBand="1" w:firstRowFirstColumn="0" w:firstRowLastColumn="0" w:lastRowFirstColumn="0" w:lastRowLastColumn="0"/>
          <w:cantSplit/>
        </w:trPr>
        <w:tc>
          <w:tcPr>
            <w:tcW w:w="1492" w:type="pct"/>
            <w:noWrap/>
            <w:hideMark/>
          </w:tcPr>
          <w:p w14:paraId="68A3E191" w14:textId="58623378" w:rsidR="00CA7676" w:rsidRPr="00E14EE6" w:rsidRDefault="00CA7676" w:rsidP="00E14EE6">
            <w:pPr>
              <w:jc w:val="left"/>
              <w:rPr>
                <w:sz w:val="15"/>
                <w:szCs w:val="15"/>
              </w:rPr>
            </w:pPr>
            <w:r w:rsidRPr="00E14EE6">
              <w:rPr>
                <w:sz w:val="15"/>
              </w:rPr>
              <w:t>E</w:t>
            </w:r>
            <w:r w:rsidR="00E14EE6" w:rsidRPr="00E14EE6">
              <w:rPr>
                <w:sz w:val="15"/>
              </w:rPr>
              <w:t>. I</w:t>
            </w:r>
            <w:r w:rsidRPr="00E14EE6">
              <w:rPr>
                <w:sz w:val="15"/>
              </w:rPr>
              <w:t>nsurance and pension services</w:t>
            </w:r>
          </w:p>
        </w:tc>
        <w:tc>
          <w:tcPr>
            <w:tcW w:w="501" w:type="pct"/>
            <w:noWrap/>
            <w:hideMark/>
          </w:tcPr>
          <w:p w14:paraId="721157E2" w14:textId="77777777" w:rsidR="00CA7676" w:rsidRPr="00E14EE6" w:rsidRDefault="00CA7676" w:rsidP="00E14EE6">
            <w:pPr>
              <w:jc w:val="right"/>
              <w:rPr>
                <w:sz w:val="15"/>
                <w:szCs w:val="15"/>
              </w:rPr>
            </w:pPr>
            <w:r w:rsidRPr="00E14EE6">
              <w:rPr>
                <w:sz w:val="15"/>
              </w:rPr>
              <w:t>45.3</w:t>
            </w:r>
          </w:p>
        </w:tc>
        <w:tc>
          <w:tcPr>
            <w:tcW w:w="501" w:type="pct"/>
            <w:noWrap/>
            <w:hideMark/>
          </w:tcPr>
          <w:p w14:paraId="1E655BA2" w14:textId="77777777" w:rsidR="00CA7676" w:rsidRPr="00E14EE6" w:rsidRDefault="00CA7676" w:rsidP="00E14EE6">
            <w:pPr>
              <w:jc w:val="right"/>
              <w:rPr>
                <w:sz w:val="15"/>
                <w:szCs w:val="15"/>
              </w:rPr>
            </w:pPr>
            <w:r w:rsidRPr="00E14EE6">
              <w:rPr>
                <w:sz w:val="15"/>
              </w:rPr>
              <w:t>47.7</w:t>
            </w:r>
          </w:p>
        </w:tc>
        <w:tc>
          <w:tcPr>
            <w:tcW w:w="501" w:type="pct"/>
            <w:noWrap/>
            <w:hideMark/>
          </w:tcPr>
          <w:p w14:paraId="31792A4C" w14:textId="77777777" w:rsidR="00CA7676" w:rsidRPr="00E14EE6" w:rsidRDefault="00CA7676" w:rsidP="00E14EE6">
            <w:pPr>
              <w:jc w:val="right"/>
              <w:rPr>
                <w:sz w:val="15"/>
                <w:szCs w:val="15"/>
              </w:rPr>
            </w:pPr>
            <w:r w:rsidRPr="00E14EE6">
              <w:rPr>
                <w:sz w:val="15"/>
              </w:rPr>
              <w:t>68.6</w:t>
            </w:r>
          </w:p>
        </w:tc>
        <w:tc>
          <w:tcPr>
            <w:tcW w:w="501" w:type="pct"/>
            <w:noWrap/>
            <w:hideMark/>
          </w:tcPr>
          <w:p w14:paraId="1058744A" w14:textId="77777777" w:rsidR="00CA7676" w:rsidRPr="00E14EE6" w:rsidRDefault="00CA7676" w:rsidP="00E14EE6">
            <w:pPr>
              <w:jc w:val="right"/>
              <w:rPr>
                <w:sz w:val="15"/>
                <w:szCs w:val="15"/>
              </w:rPr>
            </w:pPr>
            <w:r w:rsidRPr="00E14EE6">
              <w:rPr>
                <w:sz w:val="15"/>
              </w:rPr>
              <w:t>73.5</w:t>
            </w:r>
          </w:p>
        </w:tc>
        <w:tc>
          <w:tcPr>
            <w:tcW w:w="501" w:type="pct"/>
            <w:noWrap/>
            <w:hideMark/>
          </w:tcPr>
          <w:p w14:paraId="2C71E3B8" w14:textId="77777777" w:rsidR="00CA7676" w:rsidRPr="00E14EE6" w:rsidRDefault="00CA7676" w:rsidP="00E14EE6">
            <w:pPr>
              <w:jc w:val="right"/>
              <w:rPr>
                <w:sz w:val="15"/>
                <w:szCs w:val="15"/>
              </w:rPr>
            </w:pPr>
            <w:r w:rsidRPr="00E14EE6">
              <w:rPr>
                <w:sz w:val="15"/>
              </w:rPr>
              <w:t>81.2</w:t>
            </w:r>
          </w:p>
        </w:tc>
        <w:tc>
          <w:tcPr>
            <w:tcW w:w="501" w:type="pct"/>
            <w:noWrap/>
            <w:hideMark/>
          </w:tcPr>
          <w:p w14:paraId="2839E376" w14:textId="77777777" w:rsidR="00CA7676" w:rsidRPr="00E14EE6" w:rsidRDefault="00CA7676" w:rsidP="00E14EE6">
            <w:pPr>
              <w:jc w:val="right"/>
              <w:rPr>
                <w:sz w:val="15"/>
                <w:szCs w:val="15"/>
              </w:rPr>
            </w:pPr>
            <w:r w:rsidRPr="00E14EE6">
              <w:rPr>
                <w:sz w:val="15"/>
              </w:rPr>
              <w:t>76.9</w:t>
            </w:r>
          </w:p>
        </w:tc>
        <w:tc>
          <w:tcPr>
            <w:tcW w:w="501" w:type="pct"/>
            <w:noWrap/>
            <w:hideMark/>
          </w:tcPr>
          <w:p w14:paraId="4FD7E2A2" w14:textId="77777777" w:rsidR="00CA7676" w:rsidRPr="00E14EE6" w:rsidRDefault="00CA7676" w:rsidP="00E14EE6">
            <w:pPr>
              <w:jc w:val="right"/>
              <w:rPr>
                <w:sz w:val="15"/>
                <w:szCs w:val="15"/>
              </w:rPr>
            </w:pPr>
            <w:r w:rsidRPr="00E14EE6">
              <w:rPr>
                <w:sz w:val="15"/>
              </w:rPr>
              <w:t>86.0</w:t>
            </w:r>
          </w:p>
        </w:tc>
      </w:tr>
      <w:tr w:rsidR="00CA7676" w:rsidRPr="00E14EE6" w14:paraId="02E04FC9" w14:textId="77777777" w:rsidTr="00FD6B66">
        <w:trPr>
          <w:cantSplit/>
        </w:trPr>
        <w:tc>
          <w:tcPr>
            <w:tcW w:w="1492" w:type="pct"/>
            <w:noWrap/>
            <w:hideMark/>
          </w:tcPr>
          <w:p w14:paraId="2C877569" w14:textId="2F71C299" w:rsidR="00CA7676" w:rsidRPr="00E14EE6" w:rsidRDefault="00CA7676" w:rsidP="00E14EE6">
            <w:pPr>
              <w:jc w:val="left"/>
              <w:rPr>
                <w:sz w:val="15"/>
                <w:szCs w:val="15"/>
              </w:rPr>
            </w:pPr>
            <w:r w:rsidRPr="00E14EE6">
              <w:rPr>
                <w:sz w:val="15"/>
              </w:rPr>
              <w:t>F</w:t>
            </w:r>
            <w:r w:rsidR="00E14EE6" w:rsidRPr="00E14EE6">
              <w:rPr>
                <w:sz w:val="15"/>
              </w:rPr>
              <w:t>. F</w:t>
            </w:r>
            <w:r w:rsidRPr="00E14EE6">
              <w:rPr>
                <w:sz w:val="15"/>
              </w:rPr>
              <w:t>inancial services</w:t>
            </w:r>
          </w:p>
        </w:tc>
        <w:tc>
          <w:tcPr>
            <w:tcW w:w="501" w:type="pct"/>
            <w:noWrap/>
            <w:hideMark/>
          </w:tcPr>
          <w:p w14:paraId="63B01376" w14:textId="77777777" w:rsidR="00CA7676" w:rsidRPr="00E14EE6" w:rsidRDefault="00CA7676" w:rsidP="00E14EE6">
            <w:pPr>
              <w:jc w:val="right"/>
              <w:rPr>
                <w:sz w:val="15"/>
                <w:szCs w:val="15"/>
              </w:rPr>
            </w:pPr>
            <w:r w:rsidRPr="00E14EE6">
              <w:rPr>
                <w:sz w:val="15"/>
              </w:rPr>
              <w:t>29.6</w:t>
            </w:r>
          </w:p>
        </w:tc>
        <w:tc>
          <w:tcPr>
            <w:tcW w:w="501" w:type="pct"/>
            <w:noWrap/>
            <w:hideMark/>
          </w:tcPr>
          <w:p w14:paraId="74E7794B" w14:textId="77777777" w:rsidR="00CA7676" w:rsidRPr="00E14EE6" w:rsidRDefault="00CA7676" w:rsidP="00E14EE6">
            <w:pPr>
              <w:jc w:val="right"/>
              <w:rPr>
                <w:sz w:val="15"/>
                <w:szCs w:val="15"/>
              </w:rPr>
            </w:pPr>
            <w:r w:rsidRPr="00E14EE6">
              <w:rPr>
                <w:sz w:val="15"/>
              </w:rPr>
              <w:t>39.0</w:t>
            </w:r>
          </w:p>
        </w:tc>
        <w:tc>
          <w:tcPr>
            <w:tcW w:w="501" w:type="pct"/>
            <w:noWrap/>
            <w:hideMark/>
          </w:tcPr>
          <w:p w14:paraId="6F2533DF" w14:textId="77777777" w:rsidR="00CA7676" w:rsidRPr="00E14EE6" w:rsidRDefault="00CA7676" w:rsidP="00E14EE6">
            <w:pPr>
              <w:jc w:val="right"/>
              <w:rPr>
                <w:sz w:val="15"/>
                <w:szCs w:val="15"/>
              </w:rPr>
            </w:pPr>
            <w:r w:rsidRPr="00E14EE6">
              <w:rPr>
                <w:sz w:val="15"/>
              </w:rPr>
              <w:t>46.1</w:t>
            </w:r>
          </w:p>
        </w:tc>
        <w:tc>
          <w:tcPr>
            <w:tcW w:w="501" w:type="pct"/>
            <w:noWrap/>
            <w:hideMark/>
          </w:tcPr>
          <w:p w14:paraId="0143D525" w14:textId="77777777" w:rsidR="00CA7676" w:rsidRPr="00E14EE6" w:rsidRDefault="00CA7676" w:rsidP="00E14EE6">
            <w:pPr>
              <w:jc w:val="right"/>
              <w:rPr>
                <w:sz w:val="15"/>
                <w:szCs w:val="15"/>
              </w:rPr>
            </w:pPr>
            <w:r w:rsidRPr="00E14EE6">
              <w:rPr>
                <w:sz w:val="15"/>
              </w:rPr>
              <w:t>44.4</w:t>
            </w:r>
          </w:p>
        </w:tc>
        <w:tc>
          <w:tcPr>
            <w:tcW w:w="501" w:type="pct"/>
            <w:noWrap/>
            <w:hideMark/>
          </w:tcPr>
          <w:p w14:paraId="2254ABE8" w14:textId="77777777" w:rsidR="00CA7676" w:rsidRPr="00E14EE6" w:rsidRDefault="00CA7676" w:rsidP="00E14EE6">
            <w:pPr>
              <w:jc w:val="right"/>
              <w:rPr>
                <w:sz w:val="15"/>
                <w:szCs w:val="15"/>
              </w:rPr>
            </w:pPr>
            <w:r w:rsidRPr="00E14EE6">
              <w:rPr>
                <w:sz w:val="15"/>
              </w:rPr>
              <w:t>45.7</w:t>
            </w:r>
          </w:p>
        </w:tc>
        <w:tc>
          <w:tcPr>
            <w:tcW w:w="501" w:type="pct"/>
            <w:noWrap/>
            <w:hideMark/>
          </w:tcPr>
          <w:p w14:paraId="2553B75B" w14:textId="77777777" w:rsidR="00CA7676" w:rsidRPr="00E14EE6" w:rsidRDefault="00CA7676" w:rsidP="00E14EE6">
            <w:pPr>
              <w:jc w:val="right"/>
              <w:rPr>
                <w:sz w:val="15"/>
                <w:szCs w:val="15"/>
              </w:rPr>
            </w:pPr>
            <w:r w:rsidRPr="00E14EE6">
              <w:rPr>
                <w:sz w:val="15"/>
              </w:rPr>
              <w:t>54.3</w:t>
            </w:r>
          </w:p>
        </w:tc>
        <w:tc>
          <w:tcPr>
            <w:tcW w:w="501" w:type="pct"/>
            <w:noWrap/>
            <w:hideMark/>
          </w:tcPr>
          <w:p w14:paraId="17ADD565" w14:textId="77777777" w:rsidR="00CA7676" w:rsidRPr="00E14EE6" w:rsidRDefault="00CA7676" w:rsidP="00E14EE6">
            <w:pPr>
              <w:jc w:val="right"/>
              <w:rPr>
                <w:sz w:val="15"/>
                <w:szCs w:val="15"/>
              </w:rPr>
            </w:pPr>
            <w:r w:rsidRPr="00E14EE6">
              <w:rPr>
                <w:sz w:val="15"/>
              </w:rPr>
              <w:t>225.0</w:t>
            </w:r>
          </w:p>
        </w:tc>
      </w:tr>
      <w:tr w:rsidR="00CA7676" w:rsidRPr="00E14EE6" w14:paraId="1E813E7F" w14:textId="77777777" w:rsidTr="00FD6B66">
        <w:trPr>
          <w:cnfStyle w:val="000000010000" w:firstRow="0" w:lastRow="0" w:firstColumn="0" w:lastColumn="0" w:oddVBand="0" w:evenVBand="0" w:oddHBand="0" w:evenHBand="1" w:firstRowFirstColumn="0" w:firstRowLastColumn="0" w:lastRowFirstColumn="0" w:lastRowLastColumn="0"/>
          <w:cantSplit/>
        </w:trPr>
        <w:tc>
          <w:tcPr>
            <w:tcW w:w="1492" w:type="pct"/>
            <w:noWrap/>
            <w:hideMark/>
          </w:tcPr>
          <w:p w14:paraId="726183CE" w14:textId="17B41422" w:rsidR="00CA7676" w:rsidRPr="00E14EE6" w:rsidRDefault="00CA7676" w:rsidP="00E14EE6">
            <w:pPr>
              <w:jc w:val="left"/>
              <w:rPr>
                <w:sz w:val="15"/>
                <w:szCs w:val="15"/>
              </w:rPr>
            </w:pPr>
            <w:r w:rsidRPr="00E14EE6">
              <w:rPr>
                <w:sz w:val="15"/>
              </w:rPr>
              <w:t>G</w:t>
            </w:r>
            <w:r w:rsidR="00E14EE6" w:rsidRPr="00E14EE6">
              <w:rPr>
                <w:sz w:val="15"/>
              </w:rPr>
              <w:t>. C</w:t>
            </w:r>
            <w:r w:rsidRPr="00E14EE6">
              <w:rPr>
                <w:sz w:val="15"/>
              </w:rPr>
              <w:t>harges for the use of intellectual property</w:t>
            </w:r>
          </w:p>
        </w:tc>
        <w:tc>
          <w:tcPr>
            <w:tcW w:w="501" w:type="pct"/>
            <w:noWrap/>
            <w:hideMark/>
          </w:tcPr>
          <w:p w14:paraId="220A7DB9" w14:textId="77777777" w:rsidR="00CA7676" w:rsidRPr="00E14EE6" w:rsidRDefault="00CA7676" w:rsidP="00E14EE6">
            <w:pPr>
              <w:jc w:val="right"/>
              <w:rPr>
                <w:sz w:val="15"/>
                <w:szCs w:val="15"/>
              </w:rPr>
            </w:pPr>
            <w:r w:rsidRPr="00E14EE6">
              <w:rPr>
                <w:sz w:val="15"/>
              </w:rPr>
              <w:t>0.0</w:t>
            </w:r>
          </w:p>
        </w:tc>
        <w:tc>
          <w:tcPr>
            <w:tcW w:w="501" w:type="pct"/>
            <w:noWrap/>
            <w:hideMark/>
          </w:tcPr>
          <w:p w14:paraId="0785E92B" w14:textId="77777777" w:rsidR="00CA7676" w:rsidRPr="00E14EE6" w:rsidRDefault="00CA7676" w:rsidP="00E14EE6">
            <w:pPr>
              <w:jc w:val="right"/>
              <w:rPr>
                <w:sz w:val="15"/>
                <w:szCs w:val="15"/>
              </w:rPr>
            </w:pPr>
            <w:r w:rsidRPr="00E14EE6">
              <w:rPr>
                <w:sz w:val="15"/>
              </w:rPr>
              <w:t>0.0</w:t>
            </w:r>
          </w:p>
        </w:tc>
        <w:tc>
          <w:tcPr>
            <w:tcW w:w="501" w:type="pct"/>
            <w:noWrap/>
            <w:hideMark/>
          </w:tcPr>
          <w:p w14:paraId="374ECA9F" w14:textId="77777777" w:rsidR="00CA7676" w:rsidRPr="00E14EE6" w:rsidRDefault="00CA7676" w:rsidP="00E14EE6">
            <w:pPr>
              <w:jc w:val="right"/>
              <w:rPr>
                <w:sz w:val="15"/>
                <w:szCs w:val="15"/>
              </w:rPr>
            </w:pPr>
            <w:r w:rsidRPr="00E14EE6">
              <w:rPr>
                <w:sz w:val="15"/>
              </w:rPr>
              <w:t>0.0</w:t>
            </w:r>
          </w:p>
        </w:tc>
        <w:tc>
          <w:tcPr>
            <w:tcW w:w="501" w:type="pct"/>
            <w:noWrap/>
            <w:hideMark/>
          </w:tcPr>
          <w:p w14:paraId="64C011D9" w14:textId="77777777" w:rsidR="00CA7676" w:rsidRPr="00E14EE6" w:rsidRDefault="00CA7676" w:rsidP="00E14EE6">
            <w:pPr>
              <w:jc w:val="right"/>
              <w:rPr>
                <w:sz w:val="15"/>
                <w:szCs w:val="15"/>
              </w:rPr>
            </w:pPr>
            <w:r w:rsidRPr="00E14EE6">
              <w:rPr>
                <w:sz w:val="15"/>
              </w:rPr>
              <w:t>0.0</w:t>
            </w:r>
          </w:p>
        </w:tc>
        <w:tc>
          <w:tcPr>
            <w:tcW w:w="501" w:type="pct"/>
            <w:noWrap/>
            <w:hideMark/>
          </w:tcPr>
          <w:p w14:paraId="377994BD" w14:textId="77777777" w:rsidR="00CA7676" w:rsidRPr="00E14EE6" w:rsidRDefault="00CA7676" w:rsidP="00E14EE6">
            <w:pPr>
              <w:jc w:val="right"/>
              <w:rPr>
                <w:sz w:val="15"/>
                <w:szCs w:val="15"/>
              </w:rPr>
            </w:pPr>
            <w:r w:rsidRPr="00E14EE6">
              <w:rPr>
                <w:sz w:val="15"/>
              </w:rPr>
              <w:t>0.0</w:t>
            </w:r>
          </w:p>
        </w:tc>
        <w:tc>
          <w:tcPr>
            <w:tcW w:w="501" w:type="pct"/>
            <w:noWrap/>
            <w:hideMark/>
          </w:tcPr>
          <w:p w14:paraId="4E4BE782" w14:textId="77777777" w:rsidR="00CA7676" w:rsidRPr="00E14EE6" w:rsidRDefault="00CA7676" w:rsidP="00E14EE6">
            <w:pPr>
              <w:jc w:val="right"/>
              <w:rPr>
                <w:sz w:val="15"/>
                <w:szCs w:val="15"/>
              </w:rPr>
            </w:pPr>
            <w:r w:rsidRPr="00E14EE6">
              <w:rPr>
                <w:sz w:val="15"/>
              </w:rPr>
              <w:t>0.0</w:t>
            </w:r>
          </w:p>
        </w:tc>
        <w:tc>
          <w:tcPr>
            <w:tcW w:w="501" w:type="pct"/>
            <w:noWrap/>
            <w:hideMark/>
          </w:tcPr>
          <w:p w14:paraId="50FD3FB1" w14:textId="77777777" w:rsidR="00CA7676" w:rsidRPr="00E14EE6" w:rsidRDefault="00CA7676" w:rsidP="00E14EE6">
            <w:pPr>
              <w:jc w:val="right"/>
              <w:rPr>
                <w:sz w:val="15"/>
                <w:szCs w:val="15"/>
              </w:rPr>
            </w:pPr>
            <w:r w:rsidRPr="00E14EE6">
              <w:rPr>
                <w:sz w:val="15"/>
              </w:rPr>
              <w:t>0.0</w:t>
            </w:r>
          </w:p>
        </w:tc>
      </w:tr>
      <w:tr w:rsidR="00CA7676" w:rsidRPr="00E14EE6" w14:paraId="656FB785" w14:textId="77777777" w:rsidTr="00FD6B66">
        <w:trPr>
          <w:cantSplit/>
        </w:trPr>
        <w:tc>
          <w:tcPr>
            <w:tcW w:w="1492" w:type="pct"/>
            <w:noWrap/>
            <w:hideMark/>
          </w:tcPr>
          <w:p w14:paraId="5F4755C4" w14:textId="72157998" w:rsidR="00CA7676" w:rsidRPr="00E14EE6" w:rsidRDefault="00CA7676" w:rsidP="00E14EE6">
            <w:pPr>
              <w:jc w:val="left"/>
              <w:rPr>
                <w:sz w:val="15"/>
                <w:szCs w:val="15"/>
              </w:rPr>
            </w:pPr>
            <w:r w:rsidRPr="00E14EE6">
              <w:rPr>
                <w:sz w:val="15"/>
              </w:rPr>
              <w:t>H</w:t>
            </w:r>
            <w:r w:rsidR="00E14EE6" w:rsidRPr="00E14EE6">
              <w:rPr>
                <w:sz w:val="15"/>
              </w:rPr>
              <w:t>. G</w:t>
            </w:r>
            <w:r w:rsidRPr="00E14EE6">
              <w:rPr>
                <w:sz w:val="15"/>
              </w:rPr>
              <w:t>overnment goods and services</w:t>
            </w:r>
          </w:p>
        </w:tc>
        <w:tc>
          <w:tcPr>
            <w:tcW w:w="501" w:type="pct"/>
            <w:noWrap/>
            <w:hideMark/>
          </w:tcPr>
          <w:p w14:paraId="4EB232EB" w14:textId="77777777" w:rsidR="00CA7676" w:rsidRPr="00E14EE6" w:rsidRDefault="00CA7676" w:rsidP="00E14EE6">
            <w:pPr>
              <w:jc w:val="right"/>
              <w:rPr>
                <w:sz w:val="15"/>
                <w:szCs w:val="15"/>
              </w:rPr>
            </w:pPr>
            <w:r w:rsidRPr="00E14EE6">
              <w:rPr>
                <w:sz w:val="15"/>
              </w:rPr>
              <w:t>274.4</w:t>
            </w:r>
          </w:p>
        </w:tc>
        <w:tc>
          <w:tcPr>
            <w:tcW w:w="501" w:type="pct"/>
            <w:noWrap/>
            <w:hideMark/>
          </w:tcPr>
          <w:p w14:paraId="25583EBC" w14:textId="77777777" w:rsidR="00CA7676" w:rsidRPr="00E14EE6" w:rsidRDefault="00CA7676" w:rsidP="00E14EE6">
            <w:pPr>
              <w:jc w:val="right"/>
              <w:rPr>
                <w:sz w:val="15"/>
                <w:szCs w:val="15"/>
              </w:rPr>
            </w:pPr>
            <w:r w:rsidRPr="00E14EE6">
              <w:rPr>
                <w:sz w:val="15"/>
              </w:rPr>
              <w:t>320.7</w:t>
            </w:r>
          </w:p>
        </w:tc>
        <w:tc>
          <w:tcPr>
            <w:tcW w:w="501" w:type="pct"/>
            <w:noWrap/>
            <w:hideMark/>
          </w:tcPr>
          <w:p w14:paraId="456B7236" w14:textId="77777777" w:rsidR="00CA7676" w:rsidRPr="00E14EE6" w:rsidRDefault="00CA7676" w:rsidP="00E14EE6">
            <w:pPr>
              <w:jc w:val="right"/>
              <w:rPr>
                <w:sz w:val="15"/>
                <w:szCs w:val="15"/>
              </w:rPr>
            </w:pPr>
            <w:r w:rsidRPr="00E14EE6">
              <w:rPr>
                <w:sz w:val="15"/>
              </w:rPr>
              <w:t>315.1</w:t>
            </w:r>
          </w:p>
        </w:tc>
        <w:tc>
          <w:tcPr>
            <w:tcW w:w="501" w:type="pct"/>
            <w:noWrap/>
            <w:hideMark/>
          </w:tcPr>
          <w:p w14:paraId="46095922" w14:textId="77777777" w:rsidR="00CA7676" w:rsidRPr="00E14EE6" w:rsidRDefault="00CA7676" w:rsidP="00E14EE6">
            <w:pPr>
              <w:jc w:val="right"/>
              <w:rPr>
                <w:sz w:val="15"/>
                <w:szCs w:val="15"/>
              </w:rPr>
            </w:pPr>
            <w:r w:rsidRPr="00E14EE6">
              <w:rPr>
                <w:sz w:val="15"/>
              </w:rPr>
              <w:t>310.0</w:t>
            </w:r>
          </w:p>
        </w:tc>
        <w:tc>
          <w:tcPr>
            <w:tcW w:w="501" w:type="pct"/>
            <w:noWrap/>
            <w:hideMark/>
          </w:tcPr>
          <w:p w14:paraId="6FAD4D2F" w14:textId="77777777" w:rsidR="00CA7676" w:rsidRPr="00E14EE6" w:rsidRDefault="00CA7676" w:rsidP="00E14EE6">
            <w:pPr>
              <w:jc w:val="right"/>
              <w:rPr>
                <w:sz w:val="15"/>
                <w:szCs w:val="15"/>
              </w:rPr>
            </w:pPr>
            <w:r w:rsidRPr="00E14EE6">
              <w:rPr>
                <w:sz w:val="15"/>
              </w:rPr>
              <w:t>314.3</w:t>
            </w:r>
          </w:p>
        </w:tc>
        <w:tc>
          <w:tcPr>
            <w:tcW w:w="501" w:type="pct"/>
            <w:noWrap/>
            <w:hideMark/>
          </w:tcPr>
          <w:p w14:paraId="6676EA20" w14:textId="77777777" w:rsidR="00CA7676" w:rsidRPr="00E14EE6" w:rsidRDefault="00CA7676" w:rsidP="00E14EE6">
            <w:pPr>
              <w:jc w:val="right"/>
              <w:rPr>
                <w:sz w:val="15"/>
                <w:szCs w:val="15"/>
              </w:rPr>
            </w:pPr>
            <w:r w:rsidRPr="00E14EE6">
              <w:rPr>
                <w:sz w:val="15"/>
              </w:rPr>
              <w:t>315.7</w:t>
            </w:r>
          </w:p>
        </w:tc>
        <w:tc>
          <w:tcPr>
            <w:tcW w:w="501" w:type="pct"/>
            <w:noWrap/>
            <w:hideMark/>
          </w:tcPr>
          <w:p w14:paraId="7B00B6BF" w14:textId="77777777" w:rsidR="00CA7676" w:rsidRPr="00E14EE6" w:rsidRDefault="00CA7676" w:rsidP="00E14EE6">
            <w:pPr>
              <w:jc w:val="right"/>
              <w:rPr>
                <w:sz w:val="15"/>
                <w:szCs w:val="15"/>
              </w:rPr>
            </w:pPr>
            <w:r w:rsidRPr="00E14EE6">
              <w:rPr>
                <w:sz w:val="15"/>
              </w:rPr>
              <w:t>317.4</w:t>
            </w:r>
          </w:p>
        </w:tc>
      </w:tr>
      <w:tr w:rsidR="00CA7676" w:rsidRPr="00E14EE6" w14:paraId="2490EB67" w14:textId="77777777" w:rsidTr="00FD6B66">
        <w:trPr>
          <w:cnfStyle w:val="000000010000" w:firstRow="0" w:lastRow="0" w:firstColumn="0" w:lastColumn="0" w:oddVBand="0" w:evenVBand="0" w:oddHBand="0" w:evenHBand="1" w:firstRowFirstColumn="0" w:firstRowLastColumn="0" w:lastRowFirstColumn="0" w:lastRowLastColumn="0"/>
          <w:cantSplit/>
        </w:trPr>
        <w:tc>
          <w:tcPr>
            <w:tcW w:w="1492" w:type="pct"/>
            <w:noWrap/>
            <w:hideMark/>
          </w:tcPr>
          <w:p w14:paraId="09E04628" w14:textId="7ACB3220" w:rsidR="00CA7676" w:rsidRPr="00E14EE6" w:rsidRDefault="00CA7676" w:rsidP="00E14EE6">
            <w:pPr>
              <w:jc w:val="left"/>
              <w:rPr>
                <w:sz w:val="15"/>
                <w:szCs w:val="15"/>
              </w:rPr>
            </w:pPr>
            <w:r w:rsidRPr="00E14EE6">
              <w:rPr>
                <w:sz w:val="15"/>
              </w:rPr>
              <w:t>I</w:t>
            </w:r>
            <w:r w:rsidR="00E14EE6" w:rsidRPr="00E14EE6">
              <w:rPr>
                <w:sz w:val="15"/>
              </w:rPr>
              <w:t>. O</w:t>
            </w:r>
            <w:r w:rsidRPr="00E14EE6">
              <w:rPr>
                <w:sz w:val="15"/>
              </w:rPr>
              <w:t>ther business services</w:t>
            </w:r>
          </w:p>
        </w:tc>
        <w:tc>
          <w:tcPr>
            <w:tcW w:w="501" w:type="pct"/>
            <w:noWrap/>
            <w:hideMark/>
          </w:tcPr>
          <w:p w14:paraId="7BF02207" w14:textId="77777777" w:rsidR="00CA7676" w:rsidRPr="00E14EE6" w:rsidRDefault="00CA7676" w:rsidP="00E14EE6">
            <w:pPr>
              <w:jc w:val="right"/>
              <w:rPr>
                <w:sz w:val="15"/>
                <w:szCs w:val="15"/>
              </w:rPr>
            </w:pPr>
            <w:r w:rsidRPr="00E14EE6">
              <w:rPr>
                <w:sz w:val="15"/>
              </w:rPr>
              <w:t>273.0</w:t>
            </w:r>
          </w:p>
        </w:tc>
        <w:tc>
          <w:tcPr>
            <w:tcW w:w="501" w:type="pct"/>
            <w:noWrap/>
            <w:hideMark/>
          </w:tcPr>
          <w:p w14:paraId="46565AE8" w14:textId="77777777" w:rsidR="00CA7676" w:rsidRPr="00E14EE6" w:rsidRDefault="00CA7676" w:rsidP="00E14EE6">
            <w:pPr>
              <w:jc w:val="right"/>
              <w:rPr>
                <w:sz w:val="15"/>
                <w:szCs w:val="15"/>
              </w:rPr>
            </w:pPr>
            <w:r w:rsidRPr="00E14EE6">
              <w:rPr>
                <w:sz w:val="15"/>
              </w:rPr>
              <w:t>336.1</w:t>
            </w:r>
          </w:p>
        </w:tc>
        <w:tc>
          <w:tcPr>
            <w:tcW w:w="501" w:type="pct"/>
            <w:noWrap/>
            <w:hideMark/>
          </w:tcPr>
          <w:p w14:paraId="79EA5390" w14:textId="77777777" w:rsidR="00CA7676" w:rsidRPr="00E14EE6" w:rsidRDefault="00CA7676" w:rsidP="00E14EE6">
            <w:pPr>
              <w:jc w:val="right"/>
              <w:rPr>
                <w:sz w:val="15"/>
                <w:szCs w:val="15"/>
              </w:rPr>
            </w:pPr>
            <w:r w:rsidRPr="00E14EE6">
              <w:rPr>
                <w:sz w:val="15"/>
              </w:rPr>
              <w:t>404.3</w:t>
            </w:r>
          </w:p>
        </w:tc>
        <w:tc>
          <w:tcPr>
            <w:tcW w:w="501" w:type="pct"/>
            <w:noWrap/>
            <w:hideMark/>
          </w:tcPr>
          <w:p w14:paraId="2D94C0FC" w14:textId="77777777" w:rsidR="00CA7676" w:rsidRPr="00E14EE6" w:rsidRDefault="00CA7676" w:rsidP="00E14EE6">
            <w:pPr>
              <w:jc w:val="right"/>
              <w:rPr>
                <w:sz w:val="15"/>
                <w:szCs w:val="15"/>
              </w:rPr>
            </w:pPr>
            <w:r w:rsidRPr="00E14EE6">
              <w:rPr>
                <w:sz w:val="15"/>
              </w:rPr>
              <w:t>554.4</w:t>
            </w:r>
          </w:p>
        </w:tc>
        <w:tc>
          <w:tcPr>
            <w:tcW w:w="501" w:type="pct"/>
            <w:noWrap/>
            <w:hideMark/>
          </w:tcPr>
          <w:p w14:paraId="3EBC5F2F" w14:textId="77777777" w:rsidR="00CA7676" w:rsidRPr="00E14EE6" w:rsidRDefault="00CA7676" w:rsidP="00E14EE6">
            <w:pPr>
              <w:jc w:val="right"/>
              <w:rPr>
                <w:sz w:val="15"/>
                <w:szCs w:val="15"/>
              </w:rPr>
            </w:pPr>
            <w:r w:rsidRPr="00E14EE6">
              <w:rPr>
                <w:sz w:val="15"/>
              </w:rPr>
              <w:t>559.9</w:t>
            </w:r>
          </w:p>
        </w:tc>
        <w:tc>
          <w:tcPr>
            <w:tcW w:w="501" w:type="pct"/>
            <w:noWrap/>
            <w:hideMark/>
          </w:tcPr>
          <w:p w14:paraId="5B9C6D88" w14:textId="77777777" w:rsidR="00CA7676" w:rsidRPr="00E14EE6" w:rsidRDefault="00CA7676" w:rsidP="00E14EE6">
            <w:pPr>
              <w:jc w:val="right"/>
              <w:rPr>
                <w:sz w:val="15"/>
                <w:szCs w:val="15"/>
              </w:rPr>
            </w:pPr>
            <w:r w:rsidRPr="00E14EE6">
              <w:rPr>
                <w:sz w:val="15"/>
              </w:rPr>
              <w:t>940.7</w:t>
            </w:r>
          </w:p>
        </w:tc>
        <w:tc>
          <w:tcPr>
            <w:tcW w:w="501" w:type="pct"/>
            <w:noWrap/>
            <w:hideMark/>
          </w:tcPr>
          <w:p w14:paraId="1B22E3FC" w14:textId="77777777" w:rsidR="00CA7676" w:rsidRPr="00E14EE6" w:rsidRDefault="00CA7676" w:rsidP="00E14EE6">
            <w:pPr>
              <w:jc w:val="right"/>
              <w:rPr>
                <w:sz w:val="15"/>
                <w:szCs w:val="15"/>
              </w:rPr>
            </w:pPr>
            <w:r w:rsidRPr="00E14EE6">
              <w:rPr>
                <w:sz w:val="15"/>
              </w:rPr>
              <w:t>936.3</w:t>
            </w:r>
          </w:p>
        </w:tc>
      </w:tr>
      <w:tr w:rsidR="00CA7676" w:rsidRPr="00E14EE6" w14:paraId="43EB28F7" w14:textId="77777777" w:rsidTr="00FD6B66">
        <w:trPr>
          <w:cantSplit/>
        </w:trPr>
        <w:tc>
          <w:tcPr>
            <w:tcW w:w="1492" w:type="pct"/>
            <w:noWrap/>
            <w:hideMark/>
          </w:tcPr>
          <w:p w14:paraId="66A39260" w14:textId="1B68D18F" w:rsidR="00CA7676" w:rsidRPr="00E14EE6" w:rsidRDefault="00CA7676" w:rsidP="00E14EE6">
            <w:pPr>
              <w:jc w:val="left"/>
              <w:rPr>
                <w:sz w:val="15"/>
                <w:szCs w:val="15"/>
              </w:rPr>
            </w:pPr>
            <w:r w:rsidRPr="00E14EE6">
              <w:rPr>
                <w:sz w:val="15"/>
              </w:rPr>
              <w:t>J</w:t>
            </w:r>
            <w:r w:rsidR="00E14EE6" w:rsidRPr="00E14EE6">
              <w:rPr>
                <w:sz w:val="15"/>
              </w:rPr>
              <w:t>. P</w:t>
            </w:r>
            <w:r w:rsidRPr="00E14EE6">
              <w:rPr>
                <w:sz w:val="15"/>
              </w:rPr>
              <w:t>ersonal, cultural and recreational services</w:t>
            </w:r>
          </w:p>
        </w:tc>
        <w:tc>
          <w:tcPr>
            <w:tcW w:w="501" w:type="pct"/>
            <w:noWrap/>
            <w:hideMark/>
          </w:tcPr>
          <w:p w14:paraId="2C33636A" w14:textId="77777777" w:rsidR="00CA7676" w:rsidRPr="00E14EE6" w:rsidRDefault="00CA7676" w:rsidP="00E14EE6">
            <w:pPr>
              <w:jc w:val="right"/>
              <w:rPr>
                <w:sz w:val="15"/>
                <w:szCs w:val="15"/>
              </w:rPr>
            </w:pPr>
            <w:r w:rsidRPr="00E14EE6">
              <w:rPr>
                <w:sz w:val="15"/>
              </w:rPr>
              <w:t>8.6</w:t>
            </w:r>
          </w:p>
        </w:tc>
        <w:tc>
          <w:tcPr>
            <w:tcW w:w="501" w:type="pct"/>
            <w:noWrap/>
            <w:hideMark/>
          </w:tcPr>
          <w:p w14:paraId="4A799A9F" w14:textId="77777777" w:rsidR="00CA7676" w:rsidRPr="00E14EE6" w:rsidRDefault="00CA7676" w:rsidP="00E14EE6">
            <w:pPr>
              <w:jc w:val="right"/>
              <w:rPr>
                <w:sz w:val="15"/>
                <w:szCs w:val="15"/>
              </w:rPr>
            </w:pPr>
            <w:r w:rsidRPr="00E14EE6">
              <w:rPr>
                <w:sz w:val="15"/>
              </w:rPr>
              <w:t>43.2</w:t>
            </w:r>
          </w:p>
        </w:tc>
        <w:tc>
          <w:tcPr>
            <w:tcW w:w="501" w:type="pct"/>
            <w:noWrap/>
            <w:hideMark/>
          </w:tcPr>
          <w:p w14:paraId="362D99AF" w14:textId="77777777" w:rsidR="00CA7676" w:rsidRPr="00E14EE6" w:rsidRDefault="00CA7676" w:rsidP="00E14EE6">
            <w:pPr>
              <w:jc w:val="right"/>
              <w:rPr>
                <w:sz w:val="15"/>
                <w:szCs w:val="15"/>
              </w:rPr>
            </w:pPr>
            <w:r w:rsidRPr="00E14EE6">
              <w:rPr>
                <w:sz w:val="15"/>
              </w:rPr>
              <w:t>40.9</w:t>
            </w:r>
          </w:p>
        </w:tc>
        <w:tc>
          <w:tcPr>
            <w:tcW w:w="501" w:type="pct"/>
            <w:noWrap/>
            <w:hideMark/>
          </w:tcPr>
          <w:p w14:paraId="0E6D92D6" w14:textId="77777777" w:rsidR="00CA7676" w:rsidRPr="00E14EE6" w:rsidRDefault="00CA7676" w:rsidP="00E14EE6">
            <w:pPr>
              <w:jc w:val="right"/>
              <w:rPr>
                <w:sz w:val="15"/>
                <w:szCs w:val="15"/>
              </w:rPr>
            </w:pPr>
            <w:r w:rsidRPr="00E14EE6">
              <w:rPr>
                <w:sz w:val="15"/>
              </w:rPr>
              <w:t>65.1</w:t>
            </w:r>
          </w:p>
        </w:tc>
        <w:tc>
          <w:tcPr>
            <w:tcW w:w="501" w:type="pct"/>
            <w:noWrap/>
            <w:hideMark/>
          </w:tcPr>
          <w:p w14:paraId="1CA6E16E" w14:textId="77777777" w:rsidR="00CA7676" w:rsidRPr="00E14EE6" w:rsidRDefault="00CA7676" w:rsidP="00E14EE6">
            <w:pPr>
              <w:jc w:val="right"/>
              <w:rPr>
                <w:sz w:val="15"/>
                <w:szCs w:val="15"/>
              </w:rPr>
            </w:pPr>
            <w:r w:rsidRPr="00E14EE6">
              <w:rPr>
                <w:sz w:val="15"/>
              </w:rPr>
              <w:t>18.5</w:t>
            </w:r>
          </w:p>
        </w:tc>
        <w:tc>
          <w:tcPr>
            <w:tcW w:w="501" w:type="pct"/>
            <w:noWrap/>
            <w:hideMark/>
          </w:tcPr>
          <w:p w14:paraId="4922E997" w14:textId="77777777" w:rsidR="00CA7676" w:rsidRPr="00E14EE6" w:rsidRDefault="00CA7676" w:rsidP="00E14EE6">
            <w:pPr>
              <w:jc w:val="right"/>
              <w:rPr>
                <w:sz w:val="15"/>
                <w:szCs w:val="15"/>
              </w:rPr>
            </w:pPr>
            <w:r w:rsidRPr="00E14EE6">
              <w:rPr>
                <w:sz w:val="15"/>
              </w:rPr>
              <w:t>67.6</w:t>
            </w:r>
          </w:p>
        </w:tc>
        <w:tc>
          <w:tcPr>
            <w:tcW w:w="501" w:type="pct"/>
            <w:noWrap/>
            <w:hideMark/>
          </w:tcPr>
          <w:p w14:paraId="5B681B46" w14:textId="77777777" w:rsidR="00CA7676" w:rsidRPr="00E14EE6" w:rsidRDefault="00CA7676" w:rsidP="00E14EE6">
            <w:pPr>
              <w:jc w:val="right"/>
              <w:rPr>
                <w:sz w:val="15"/>
                <w:szCs w:val="15"/>
              </w:rPr>
            </w:pPr>
            <w:r w:rsidRPr="00E14EE6">
              <w:rPr>
                <w:sz w:val="15"/>
              </w:rPr>
              <w:t>110.0</w:t>
            </w:r>
          </w:p>
        </w:tc>
      </w:tr>
      <w:tr w:rsidR="00CA7676" w:rsidRPr="00E14EE6" w14:paraId="56813BBC" w14:textId="77777777" w:rsidTr="00FD6B66">
        <w:trPr>
          <w:cnfStyle w:val="000000010000" w:firstRow="0" w:lastRow="0" w:firstColumn="0" w:lastColumn="0" w:oddVBand="0" w:evenVBand="0" w:oddHBand="0" w:evenHBand="1" w:firstRowFirstColumn="0" w:firstRowLastColumn="0" w:lastRowFirstColumn="0" w:lastRowLastColumn="0"/>
          <w:cantSplit/>
        </w:trPr>
        <w:tc>
          <w:tcPr>
            <w:tcW w:w="1492" w:type="pct"/>
            <w:noWrap/>
            <w:hideMark/>
          </w:tcPr>
          <w:p w14:paraId="2F8F7215" w14:textId="31BC69C4" w:rsidR="00CA7676" w:rsidRPr="00E14EE6" w:rsidRDefault="00CA7676" w:rsidP="00E14EE6">
            <w:pPr>
              <w:jc w:val="left"/>
              <w:rPr>
                <w:b/>
                <w:bCs/>
                <w:sz w:val="15"/>
                <w:szCs w:val="15"/>
              </w:rPr>
            </w:pPr>
            <w:r w:rsidRPr="00E14EE6">
              <w:rPr>
                <w:b/>
                <w:sz w:val="15"/>
              </w:rPr>
              <w:t>II</w:t>
            </w:r>
            <w:r w:rsidR="00E14EE6" w:rsidRPr="00E14EE6">
              <w:rPr>
                <w:b/>
                <w:sz w:val="15"/>
              </w:rPr>
              <w:t>. D</w:t>
            </w:r>
            <w:r w:rsidRPr="00E14EE6">
              <w:rPr>
                <w:b/>
                <w:sz w:val="15"/>
              </w:rPr>
              <w:t>EBIT</w:t>
            </w:r>
          </w:p>
        </w:tc>
        <w:tc>
          <w:tcPr>
            <w:tcW w:w="501" w:type="pct"/>
            <w:noWrap/>
            <w:hideMark/>
          </w:tcPr>
          <w:p w14:paraId="2D186E1D" w14:textId="77777777" w:rsidR="00CA7676" w:rsidRPr="00E14EE6" w:rsidRDefault="00CA7676" w:rsidP="00E14EE6">
            <w:pPr>
              <w:jc w:val="right"/>
              <w:rPr>
                <w:b/>
                <w:bCs/>
                <w:sz w:val="15"/>
                <w:szCs w:val="15"/>
              </w:rPr>
            </w:pPr>
            <w:r w:rsidRPr="00E14EE6">
              <w:rPr>
                <w:b/>
                <w:sz w:val="15"/>
              </w:rPr>
              <w:t>3,174.0</w:t>
            </w:r>
          </w:p>
        </w:tc>
        <w:tc>
          <w:tcPr>
            <w:tcW w:w="501" w:type="pct"/>
            <w:noWrap/>
            <w:hideMark/>
          </w:tcPr>
          <w:p w14:paraId="1D452A40" w14:textId="77777777" w:rsidR="00CA7676" w:rsidRPr="00E14EE6" w:rsidRDefault="00CA7676" w:rsidP="00E14EE6">
            <w:pPr>
              <w:jc w:val="right"/>
              <w:rPr>
                <w:b/>
                <w:bCs/>
                <w:sz w:val="15"/>
                <w:szCs w:val="15"/>
              </w:rPr>
            </w:pPr>
            <w:r w:rsidRPr="00E14EE6">
              <w:rPr>
                <w:b/>
                <w:sz w:val="15"/>
              </w:rPr>
              <w:t>3,369.6</w:t>
            </w:r>
          </w:p>
        </w:tc>
        <w:tc>
          <w:tcPr>
            <w:tcW w:w="501" w:type="pct"/>
            <w:noWrap/>
            <w:hideMark/>
          </w:tcPr>
          <w:p w14:paraId="01729951" w14:textId="77777777" w:rsidR="00CA7676" w:rsidRPr="00E14EE6" w:rsidRDefault="00CA7676" w:rsidP="00E14EE6">
            <w:pPr>
              <w:jc w:val="right"/>
              <w:rPr>
                <w:b/>
                <w:bCs/>
                <w:sz w:val="15"/>
                <w:szCs w:val="15"/>
              </w:rPr>
            </w:pPr>
            <w:r w:rsidRPr="00E14EE6">
              <w:rPr>
                <w:b/>
                <w:sz w:val="15"/>
              </w:rPr>
              <w:t>3,307.0</w:t>
            </w:r>
          </w:p>
        </w:tc>
        <w:tc>
          <w:tcPr>
            <w:tcW w:w="501" w:type="pct"/>
            <w:noWrap/>
            <w:hideMark/>
          </w:tcPr>
          <w:p w14:paraId="24707784" w14:textId="77777777" w:rsidR="00CA7676" w:rsidRPr="00E14EE6" w:rsidRDefault="00CA7676" w:rsidP="00E14EE6">
            <w:pPr>
              <w:jc w:val="right"/>
              <w:rPr>
                <w:b/>
                <w:bCs/>
                <w:sz w:val="15"/>
                <w:szCs w:val="15"/>
              </w:rPr>
            </w:pPr>
            <w:r w:rsidRPr="00E14EE6">
              <w:rPr>
                <w:b/>
                <w:sz w:val="15"/>
              </w:rPr>
              <w:t>3,917.1</w:t>
            </w:r>
          </w:p>
        </w:tc>
        <w:tc>
          <w:tcPr>
            <w:tcW w:w="501" w:type="pct"/>
            <w:noWrap/>
            <w:hideMark/>
          </w:tcPr>
          <w:p w14:paraId="09A5DA8D" w14:textId="77777777" w:rsidR="00CA7676" w:rsidRPr="00E14EE6" w:rsidRDefault="00CA7676" w:rsidP="00E14EE6">
            <w:pPr>
              <w:jc w:val="right"/>
              <w:rPr>
                <w:b/>
                <w:bCs/>
                <w:sz w:val="15"/>
                <w:szCs w:val="15"/>
              </w:rPr>
            </w:pPr>
            <w:r w:rsidRPr="00E14EE6">
              <w:rPr>
                <w:b/>
                <w:sz w:val="15"/>
              </w:rPr>
              <w:t>4,258.2</w:t>
            </w:r>
          </w:p>
        </w:tc>
        <w:tc>
          <w:tcPr>
            <w:tcW w:w="501" w:type="pct"/>
            <w:noWrap/>
            <w:hideMark/>
          </w:tcPr>
          <w:p w14:paraId="3ABDF8CD" w14:textId="77777777" w:rsidR="00CA7676" w:rsidRPr="00E14EE6" w:rsidRDefault="00CA7676" w:rsidP="00E14EE6">
            <w:pPr>
              <w:jc w:val="right"/>
              <w:rPr>
                <w:b/>
                <w:bCs/>
                <w:sz w:val="15"/>
                <w:szCs w:val="15"/>
              </w:rPr>
            </w:pPr>
            <w:r w:rsidRPr="00E14EE6">
              <w:rPr>
                <w:b/>
                <w:sz w:val="15"/>
              </w:rPr>
              <w:t>3,196.9</w:t>
            </w:r>
          </w:p>
        </w:tc>
        <w:tc>
          <w:tcPr>
            <w:tcW w:w="501" w:type="pct"/>
            <w:noWrap/>
            <w:hideMark/>
          </w:tcPr>
          <w:p w14:paraId="24FE9AB1" w14:textId="77777777" w:rsidR="00CA7676" w:rsidRPr="00E14EE6" w:rsidRDefault="00CA7676" w:rsidP="00E14EE6">
            <w:pPr>
              <w:jc w:val="right"/>
              <w:rPr>
                <w:b/>
                <w:bCs/>
                <w:sz w:val="15"/>
                <w:szCs w:val="15"/>
              </w:rPr>
            </w:pPr>
            <w:r w:rsidRPr="00E14EE6">
              <w:rPr>
                <w:b/>
                <w:sz w:val="15"/>
              </w:rPr>
              <w:t>4,398.1</w:t>
            </w:r>
          </w:p>
        </w:tc>
      </w:tr>
      <w:tr w:rsidR="00CA7676" w:rsidRPr="00E14EE6" w14:paraId="41434103" w14:textId="77777777" w:rsidTr="00FD6B66">
        <w:trPr>
          <w:cantSplit/>
        </w:trPr>
        <w:tc>
          <w:tcPr>
            <w:tcW w:w="1492" w:type="pct"/>
            <w:noWrap/>
            <w:hideMark/>
          </w:tcPr>
          <w:p w14:paraId="36DD876B" w14:textId="665A7939" w:rsidR="00CA7676" w:rsidRPr="00E14EE6" w:rsidRDefault="00CA7676" w:rsidP="00E14EE6">
            <w:pPr>
              <w:jc w:val="left"/>
              <w:rPr>
                <w:sz w:val="15"/>
                <w:szCs w:val="15"/>
              </w:rPr>
            </w:pPr>
            <w:r w:rsidRPr="00E14EE6">
              <w:rPr>
                <w:sz w:val="15"/>
              </w:rPr>
              <w:t>A</w:t>
            </w:r>
            <w:r w:rsidR="00E14EE6" w:rsidRPr="00E14EE6">
              <w:rPr>
                <w:sz w:val="15"/>
              </w:rPr>
              <w:t>. G</w:t>
            </w:r>
            <w:r w:rsidRPr="00E14EE6">
              <w:rPr>
                <w:sz w:val="15"/>
              </w:rPr>
              <w:t>oods for processing in the reporting economy</w:t>
            </w:r>
          </w:p>
        </w:tc>
        <w:tc>
          <w:tcPr>
            <w:tcW w:w="501" w:type="pct"/>
            <w:noWrap/>
            <w:hideMark/>
          </w:tcPr>
          <w:p w14:paraId="6BA0F1D4" w14:textId="77777777" w:rsidR="00CA7676" w:rsidRPr="00E14EE6" w:rsidRDefault="00CA7676" w:rsidP="00E14EE6">
            <w:pPr>
              <w:jc w:val="right"/>
              <w:rPr>
                <w:sz w:val="15"/>
                <w:szCs w:val="15"/>
              </w:rPr>
            </w:pPr>
            <w:r w:rsidRPr="00E14EE6">
              <w:rPr>
                <w:sz w:val="15"/>
              </w:rPr>
              <w:t>0.0</w:t>
            </w:r>
          </w:p>
        </w:tc>
        <w:tc>
          <w:tcPr>
            <w:tcW w:w="501" w:type="pct"/>
            <w:noWrap/>
            <w:hideMark/>
          </w:tcPr>
          <w:p w14:paraId="186A49AE" w14:textId="77777777" w:rsidR="00CA7676" w:rsidRPr="00E14EE6" w:rsidRDefault="00CA7676" w:rsidP="00E14EE6">
            <w:pPr>
              <w:jc w:val="right"/>
              <w:rPr>
                <w:sz w:val="15"/>
                <w:szCs w:val="15"/>
              </w:rPr>
            </w:pPr>
            <w:r w:rsidRPr="00E14EE6">
              <w:rPr>
                <w:sz w:val="15"/>
              </w:rPr>
              <w:t>0.0</w:t>
            </w:r>
          </w:p>
        </w:tc>
        <w:tc>
          <w:tcPr>
            <w:tcW w:w="501" w:type="pct"/>
            <w:noWrap/>
            <w:hideMark/>
          </w:tcPr>
          <w:p w14:paraId="40994ED5" w14:textId="77777777" w:rsidR="00CA7676" w:rsidRPr="00E14EE6" w:rsidRDefault="00CA7676" w:rsidP="00E14EE6">
            <w:pPr>
              <w:jc w:val="right"/>
              <w:rPr>
                <w:sz w:val="15"/>
                <w:szCs w:val="15"/>
              </w:rPr>
            </w:pPr>
            <w:r w:rsidRPr="00E14EE6">
              <w:rPr>
                <w:sz w:val="15"/>
              </w:rPr>
              <w:t>0.0</w:t>
            </w:r>
          </w:p>
        </w:tc>
        <w:tc>
          <w:tcPr>
            <w:tcW w:w="501" w:type="pct"/>
            <w:noWrap/>
            <w:hideMark/>
          </w:tcPr>
          <w:p w14:paraId="54722B2D" w14:textId="77777777" w:rsidR="00CA7676" w:rsidRPr="00E14EE6" w:rsidRDefault="00CA7676" w:rsidP="00E14EE6">
            <w:pPr>
              <w:jc w:val="right"/>
              <w:rPr>
                <w:sz w:val="15"/>
                <w:szCs w:val="15"/>
              </w:rPr>
            </w:pPr>
            <w:r w:rsidRPr="00E14EE6">
              <w:rPr>
                <w:sz w:val="15"/>
              </w:rPr>
              <w:t>0.0</w:t>
            </w:r>
          </w:p>
        </w:tc>
        <w:tc>
          <w:tcPr>
            <w:tcW w:w="501" w:type="pct"/>
            <w:noWrap/>
            <w:hideMark/>
          </w:tcPr>
          <w:p w14:paraId="3AEF4978" w14:textId="77777777" w:rsidR="00CA7676" w:rsidRPr="00E14EE6" w:rsidRDefault="00CA7676" w:rsidP="00E14EE6">
            <w:pPr>
              <w:jc w:val="right"/>
              <w:rPr>
                <w:sz w:val="15"/>
                <w:szCs w:val="15"/>
              </w:rPr>
            </w:pPr>
            <w:r w:rsidRPr="00E14EE6">
              <w:rPr>
                <w:sz w:val="15"/>
              </w:rPr>
              <w:t>0.0</w:t>
            </w:r>
          </w:p>
        </w:tc>
        <w:tc>
          <w:tcPr>
            <w:tcW w:w="501" w:type="pct"/>
            <w:noWrap/>
            <w:hideMark/>
          </w:tcPr>
          <w:p w14:paraId="08E25E8F" w14:textId="77777777" w:rsidR="00CA7676" w:rsidRPr="00E14EE6" w:rsidRDefault="00CA7676" w:rsidP="00E14EE6">
            <w:pPr>
              <w:jc w:val="right"/>
              <w:rPr>
                <w:sz w:val="15"/>
                <w:szCs w:val="15"/>
              </w:rPr>
            </w:pPr>
            <w:r w:rsidRPr="00E14EE6">
              <w:rPr>
                <w:sz w:val="15"/>
              </w:rPr>
              <w:t>0.0</w:t>
            </w:r>
          </w:p>
        </w:tc>
        <w:tc>
          <w:tcPr>
            <w:tcW w:w="501" w:type="pct"/>
            <w:noWrap/>
            <w:hideMark/>
          </w:tcPr>
          <w:p w14:paraId="6F523EE1" w14:textId="77777777" w:rsidR="00CA7676" w:rsidRPr="00E14EE6" w:rsidRDefault="00CA7676" w:rsidP="00E14EE6">
            <w:pPr>
              <w:jc w:val="right"/>
              <w:rPr>
                <w:sz w:val="15"/>
                <w:szCs w:val="15"/>
              </w:rPr>
            </w:pPr>
            <w:r w:rsidRPr="00E14EE6">
              <w:rPr>
                <w:sz w:val="15"/>
              </w:rPr>
              <w:t>0.0</w:t>
            </w:r>
          </w:p>
        </w:tc>
      </w:tr>
      <w:tr w:rsidR="00CA7676" w:rsidRPr="00E14EE6" w14:paraId="7E096AD7" w14:textId="77777777" w:rsidTr="00FD6B66">
        <w:trPr>
          <w:cnfStyle w:val="000000010000" w:firstRow="0" w:lastRow="0" w:firstColumn="0" w:lastColumn="0" w:oddVBand="0" w:evenVBand="0" w:oddHBand="0" w:evenHBand="1" w:firstRowFirstColumn="0" w:firstRowLastColumn="0" w:lastRowFirstColumn="0" w:lastRowLastColumn="0"/>
          <w:cantSplit/>
        </w:trPr>
        <w:tc>
          <w:tcPr>
            <w:tcW w:w="1492" w:type="pct"/>
            <w:noWrap/>
            <w:hideMark/>
          </w:tcPr>
          <w:p w14:paraId="4C21F2EB" w14:textId="6E3E9F76" w:rsidR="00CA7676" w:rsidRPr="00E14EE6" w:rsidRDefault="00CA7676" w:rsidP="00E14EE6">
            <w:pPr>
              <w:jc w:val="left"/>
              <w:rPr>
                <w:sz w:val="15"/>
                <w:szCs w:val="15"/>
              </w:rPr>
            </w:pPr>
            <w:r w:rsidRPr="00E14EE6">
              <w:rPr>
                <w:sz w:val="15"/>
              </w:rPr>
              <w:t>B</w:t>
            </w:r>
            <w:r w:rsidR="00E14EE6" w:rsidRPr="00E14EE6">
              <w:rPr>
                <w:sz w:val="15"/>
              </w:rPr>
              <w:t>. T</w:t>
            </w:r>
            <w:r w:rsidRPr="00E14EE6">
              <w:rPr>
                <w:sz w:val="15"/>
              </w:rPr>
              <w:t>ransport</w:t>
            </w:r>
          </w:p>
        </w:tc>
        <w:tc>
          <w:tcPr>
            <w:tcW w:w="501" w:type="pct"/>
            <w:noWrap/>
            <w:hideMark/>
          </w:tcPr>
          <w:p w14:paraId="4D71119D" w14:textId="77777777" w:rsidR="00CA7676" w:rsidRPr="00E14EE6" w:rsidRDefault="00CA7676" w:rsidP="00E14EE6">
            <w:pPr>
              <w:jc w:val="right"/>
              <w:rPr>
                <w:sz w:val="15"/>
                <w:szCs w:val="15"/>
              </w:rPr>
            </w:pPr>
            <w:r w:rsidRPr="00E14EE6">
              <w:rPr>
                <w:sz w:val="15"/>
              </w:rPr>
              <w:t>1,550.4</w:t>
            </w:r>
          </w:p>
        </w:tc>
        <w:tc>
          <w:tcPr>
            <w:tcW w:w="501" w:type="pct"/>
            <w:noWrap/>
            <w:hideMark/>
          </w:tcPr>
          <w:p w14:paraId="05BD91A0" w14:textId="77777777" w:rsidR="00CA7676" w:rsidRPr="00E14EE6" w:rsidRDefault="00CA7676" w:rsidP="00E14EE6">
            <w:pPr>
              <w:jc w:val="right"/>
              <w:rPr>
                <w:sz w:val="15"/>
                <w:szCs w:val="15"/>
              </w:rPr>
            </w:pPr>
            <w:r w:rsidRPr="00E14EE6">
              <w:rPr>
                <w:sz w:val="15"/>
              </w:rPr>
              <w:t>1,626.0</w:t>
            </w:r>
          </w:p>
        </w:tc>
        <w:tc>
          <w:tcPr>
            <w:tcW w:w="501" w:type="pct"/>
            <w:noWrap/>
            <w:hideMark/>
          </w:tcPr>
          <w:p w14:paraId="54885594" w14:textId="77777777" w:rsidR="00CA7676" w:rsidRPr="00E14EE6" w:rsidRDefault="00CA7676" w:rsidP="00E14EE6">
            <w:pPr>
              <w:jc w:val="right"/>
              <w:rPr>
                <w:sz w:val="15"/>
                <w:szCs w:val="15"/>
              </w:rPr>
            </w:pPr>
            <w:r w:rsidRPr="00E14EE6">
              <w:rPr>
                <w:sz w:val="15"/>
              </w:rPr>
              <w:t>1,571.1</w:t>
            </w:r>
          </w:p>
        </w:tc>
        <w:tc>
          <w:tcPr>
            <w:tcW w:w="501" w:type="pct"/>
            <w:noWrap/>
            <w:hideMark/>
          </w:tcPr>
          <w:p w14:paraId="0D480049" w14:textId="77777777" w:rsidR="00CA7676" w:rsidRPr="00E14EE6" w:rsidRDefault="00CA7676" w:rsidP="00E14EE6">
            <w:pPr>
              <w:jc w:val="right"/>
              <w:rPr>
                <w:sz w:val="15"/>
                <w:szCs w:val="15"/>
              </w:rPr>
            </w:pPr>
            <w:r w:rsidRPr="00E14EE6">
              <w:rPr>
                <w:sz w:val="15"/>
              </w:rPr>
              <w:t>1,646.3</w:t>
            </w:r>
          </w:p>
        </w:tc>
        <w:tc>
          <w:tcPr>
            <w:tcW w:w="501" w:type="pct"/>
            <w:noWrap/>
            <w:hideMark/>
          </w:tcPr>
          <w:p w14:paraId="1E3FAB1E" w14:textId="77777777" w:rsidR="00CA7676" w:rsidRPr="00E14EE6" w:rsidRDefault="00CA7676" w:rsidP="00E14EE6">
            <w:pPr>
              <w:jc w:val="right"/>
              <w:rPr>
                <w:sz w:val="15"/>
                <w:szCs w:val="15"/>
              </w:rPr>
            </w:pPr>
            <w:r w:rsidRPr="00E14EE6">
              <w:rPr>
                <w:sz w:val="15"/>
              </w:rPr>
              <w:t>1,703.9</w:t>
            </w:r>
          </w:p>
        </w:tc>
        <w:tc>
          <w:tcPr>
            <w:tcW w:w="501" w:type="pct"/>
            <w:noWrap/>
            <w:hideMark/>
          </w:tcPr>
          <w:p w14:paraId="0B945307" w14:textId="77777777" w:rsidR="00CA7676" w:rsidRPr="00E14EE6" w:rsidRDefault="00CA7676" w:rsidP="00E14EE6">
            <w:pPr>
              <w:jc w:val="right"/>
              <w:rPr>
                <w:sz w:val="15"/>
                <w:szCs w:val="15"/>
              </w:rPr>
            </w:pPr>
            <w:r w:rsidRPr="00E14EE6">
              <w:rPr>
                <w:sz w:val="15"/>
              </w:rPr>
              <w:t>1,408.3</w:t>
            </w:r>
          </w:p>
        </w:tc>
        <w:tc>
          <w:tcPr>
            <w:tcW w:w="501" w:type="pct"/>
            <w:noWrap/>
            <w:hideMark/>
          </w:tcPr>
          <w:p w14:paraId="5441DEB3" w14:textId="77777777" w:rsidR="00CA7676" w:rsidRPr="00E14EE6" w:rsidRDefault="00CA7676" w:rsidP="00E14EE6">
            <w:pPr>
              <w:jc w:val="right"/>
              <w:rPr>
                <w:sz w:val="15"/>
                <w:szCs w:val="15"/>
              </w:rPr>
            </w:pPr>
            <w:r w:rsidRPr="00E14EE6">
              <w:rPr>
                <w:sz w:val="15"/>
              </w:rPr>
              <w:t>2,199.6</w:t>
            </w:r>
          </w:p>
        </w:tc>
      </w:tr>
      <w:tr w:rsidR="00CA7676" w:rsidRPr="00E14EE6" w14:paraId="4EC88D20" w14:textId="77777777" w:rsidTr="00FD6B66">
        <w:trPr>
          <w:cantSplit/>
        </w:trPr>
        <w:tc>
          <w:tcPr>
            <w:tcW w:w="1492" w:type="pct"/>
            <w:noWrap/>
            <w:hideMark/>
          </w:tcPr>
          <w:p w14:paraId="4A54B6F0" w14:textId="1792F9E4" w:rsidR="00CA7676" w:rsidRPr="00E14EE6" w:rsidRDefault="00CA7676" w:rsidP="00E14EE6">
            <w:pPr>
              <w:jc w:val="left"/>
              <w:rPr>
                <w:sz w:val="15"/>
                <w:szCs w:val="15"/>
              </w:rPr>
            </w:pPr>
            <w:r w:rsidRPr="00E14EE6">
              <w:rPr>
                <w:sz w:val="15"/>
              </w:rPr>
              <w:t>C</w:t>
            </w:r>
            <w:r w:rsidR="00E14EE6" w:rsidRPr="00E14EE6">
              <w:rPr>
                <w:sz w:val="15"/>
              </w:rPr>
              <w:t>. T</w:t>
            </w:r>
            <w:r w:rsidRPr="00E14EE6">
              <w:rPr>
                <w:sz w:val="15"/>
              </w:rPr>
              <w:t>ravel</w:t>
            </w:r>
          </w:p>
        </w:tc>
        <w:tc>
          <w:tcPr>
            <w:tcW w:w="501" w:type="pct"/>
            <w:noWrap/>
            <w:hideMark/>
          </w:tcPr>
          <w:p w14:paraId="2EFAE058" w14:textId="77777777" w:rsidR="00CA7676" w:rsidRPr="00E14EE6" w:rsidRDefault="00CA7676" w:rsidP="00E14EE6">
            <w:pPr>
              <w:jc w:val="right"/>
              <w:rPr>
                <w:sz w:val="15"/>
                <w:szCs w:val="15"/>
              </w:rPr>
            </w:pPr>
            <w:r w:rsidRPr="00E14EE6">
              <w:rPr>
                <w:sz w:val="15"/>
              </w:rPr>
              <w:t>462.8</w:t>
            </w:r>
          </w:p>
        </w:tc>
        <w:tc>
          <w:tcPr>
            <w:tcW w:w="501" w:type="pct"/>
            <w:noWrap/>
            <w:hideMark/>
          </w:tcPr>
          <w:p w14:paraId="697D4A8F" w14:textId="77777777" w:rsidR="00CA7676" w:rsidRPr="00E14EE6" w:rsidRDefault="00CA7676" w:rsidP="00E14EE6">
            <w:pPr>
              <w:jc w:val="right"/>
              <w:rPr>
                <w:sz w:val="15"/>
                <w:szCs w:val="15"/>
              </w:rPr>
            </w:pPr>
            <w:r w:rsidRPr="00E14EE6">
              <w:rPr>
                <w:sz w:val="15"/>
              </w:rPr>
              <w:t>503.0</w:t>
            </w:r>
          </w:p>
        </w:tc>
        <w:tc>
          <w:tcPr>
            <w:tcW w:w="501" w:type="pct"/>
            <w:noWrap/>
            <w:hideMark/>
          </w:tcPr>
          <w:p w14:paraId="06A251CE" w14:textId="77777777" w:rsidR="00CA7676" w:rsidRPr="00E14EE6" w:rsidRDefault="00CA7676" w:rsidP="00E14EE6">
            <w:pPr>
              <w:jc w:val="right"/>
              <w:rPr>
                <w:sz w:val="15"/>
                <w:szCs w:val="15"/>
              </w:rPr>
            </w:pPr>
            <w:r w:rsidRPr="00E14EE6">
              <w:rPr>
                <w:sz w:val="15"/>
              </w:rPr>
              <w:t>530.3</w:t>
            </w:r>
          </w:p>
        </w:tc>
        <w:tc>
          <w:tcPr>
            <w:tcW w:w="501" w:type="pct"/>
            <w:noWrap/>
            <w:hideMark/>
          </w:tcPr>
          <w:p w14:paraId="1C28F6FF" w14:textId="77777777" w:rsidR="00CA7676" w:rsidRPr="00E14EE6" w:rsidRDefault="00CA7676" w:rsidP="00E14EE6">
            <w:pPr>
              <w:jc w:val="right"/>
              <w:rPr>
                <w:sz w:val="15"/>
                <w:szCs w:val="15"/>
              </w:rPr>
            </w:pPr>
            <w:r w:rsidRPr="00E14EE6">
              <w:rPr>
                <w:sz w:val="15"/>
              </w:rPr>
              <w:t>548.5</w:t>
            </w:r>
          </w:p>
        </w:tc>
        <w:tc>
          <w:tcPr>
            <w:tcW w:w="501" w:type="pct"/>
            <w:noWrap/>
            <w:hideMark/>
          </w:tcPr>
          <w:p w14:paraId="6A986016" w14:textId="77777777" w:rsidR="00CA7676" w:rsidRPr="00E14EE6" w:rsidRDefault="00CA7676" w:rsidP="00E14EE6">
            <w:pPr>
              <w:jc w:val="right"/>
              <w:rPr>
                <w:sz w:val="15"/>
                <w:szCs w:val="15"/>
              </w:rPr>
            </w:pPr>
            <w:r w:rsidRPr="00E14EE6">
              <w:rPr>
                <w:sz w:val="15"/>
              </w:rPr>
              <w:t>623.6</w:t>
            </w:r>
          </w:p>
        </w:tc>
        <w:tc>
          <w:tcPr>
            <w:tcW w:w="501" w:type="pct"/>
            <w:noWrap/>
            <w:hideMark/>
          </w:tcPr>
          <w:p w14:paraId="72AB28D2" w14:textId="77777777" w:rsidR="00CA7676" w:rsidRPr="00E14EE6" w:rsidRDefault="00CA7676" w:rsidP="00E14EE6">
            <w:pPr>
              <w:jc w:val="right"/>
              <w:rPr>
                <w:sz w:val="15"/>
                <w:szCs w:val="15"/>
              </w:rPr>
            </w:pPr>
            <w:r w:rsidRPr="00E14EE6">
              <w:rPr>
                <w:sz w:val="15"/>
              </w:rPr>
              <w:t>210.8</w:t>
            </w:r>
          </w:p>
        </w:tc>
        <w:tc>
          <w:tcPr>
            <w:tcW w:w="501" w:type="pct"/>
            <w:noWrap/>
            <w:hideMark/>
          </w:tcPr>
          <w:p w14:paraId="2B49F1A8" w14:textId="77777777" w:rsidR="00CA7676" w:rsidRPr="00E14EE6" w:rsidRDefault="00CA7676" w:rsidP="00E14EE6">
            <w:pPr>
              <w:jc w:val="right"/>
              <w:rPr>
                <w:sz w:val="15"/>
                <w:szCs w:val="15"/>
              </w:rPr>
            </w:pPr>
            <w:r w:rsidRPr="00E14EE6">
              <w:rPr>
                <w:sz w:val="15"/>
              </w:rPr>
              <w:t>692.8</w:t>
            </w:r>
          </w:p>
        </w:tc>
      </w:tr>
      <w:tr w:rsidR="00CA7676" w:rsidRPr="00E14EE6" w14:paraId="067ECE15" w14:textId="77777777" w:rsidTr="00FD6B66">
        <w:trPr>
          <w:cnfStyle w:val="000000010000" w:firstRow="0" w:lastRow="0" w:firstColumn="0" w:lastColumn="0" w:oddVBand="0" w:evenVBand="0" w:oddHBand="0" w:evenHBand="1" w:firstRowFirstColumn="0" w:firstRowLastColumn="0" w:lastRowFirstColumn="0" w:lastRowLastColumn="0"/>
          <w:cantSplit/>
        </w:trPr>
        <w:tc>
          <w:tcPr>
            <w:tcW w:w="1492" w:type="pct"/>
            <w:noWrap/>
            <w:hideMark/>
          </w:tcPr>
          <w:p w14:paraId="7EDAEF52" w14:textId="0886DD7E" w:rsidR="00CA7676" w:rsidRPr="00E14EE6" w:rsidRDefault="00CA7676" w:rsidP="00E14EE6">
            <w:pPr>
              <w:jc w:val="left"/>
              <w:rPr>
                <w:sz w:val="15"/>
                <w:szCs w:val="15"/>
              </w:rPr>
            </w:pPr>
            <w:r w:rsidRPr="00E14EE6">
              <w:rPr>
                <w:sz w:val="15"/>
              </w:rPr>
              <w:t>D</w:t>
            </w:r>
            <w:r w:rsidR="00E14EE6" w:rsidRPr="00E14EE6">
              <w:rPr>
                <w:sz w:val="15"/>
              </w:rPr>
              <w:t>. T</w:t>
            </w:r>
            <w:r w:rsidRPr="00E14EE6">
              <w:rPr>
                <w:sz w:val="15"/>
              </w:rPr>
              <w:t>elecommunications, computer and information services</w:t>
            </w:r>
          </w:p>
        </w:tc>
        <w:tc>
          <w:tcPr>
            <w:tcW w:w="501" w:type="pct"/>
            <w:noWrap/>
            <w:hideMark/>
          </w:tcPr>
          <w:p w14:paraId="301C0FCE" w14:textId="77777777" w:rsidR="00CA7676" w:rsidRPr="00E14EE6" w:rsidRDefault="00CA7676" w:rsidP="00E14EE6">
            <w:pPr>
              <w:jc w:val="right"/>
              <w:rPr>
                <w:sz w:val="15"/>
                <w:szCs w:val="15"/>
              </w:rPr>
            </w:pPr>
            <w:r w:rsidRPr="00E14EE6">
              <w:rPr>
                <w:sz w:val="15"/>
              </w:rPr>
              <w:t>63.1</w:t>
            </w:r>
          </w:p>
        </w:tc>
        <w:tc>
          <w:tcPr>
            <w:tcW w:w="501" w:type="pct"/>
            <w:noWrap/>
            <w:hideMark/>
          </w:tcPr>
          <w:p w14:paraId="3F9724C8" w14:textId="77777777" w:rsidR="00CA7676" w:rsidRPr="00E14EE6" w:rsidRDefault="00CA7676" w:rsidP="00E14EE6">
            <w:pPr>
              <w:jc w:val="right"/>
              <w:rPr>
                <w:sz w:val="15"/>
                <w:szCs w:val="15"/>
              </w:rPr>
            </w:pPr>
            <w:r w:rsidRPr="00E14EE6">
              <w:rPr>
                <w:sz w:val="15"/>
              </w:rPr>
              <w:t>88.3</w:t>
            </w:r>
          </w:p>
        </w:tc>
        <w:tc>
          <w:tcPr>
            <w:tcW w:w="501" w:type="pct"/>
            <w:noWrap/>
            <w:hideMark/>
          </w:tcPr>
          <w:p w14:paraId="246AE96B" w14:textId="77777777" w:rsidR="00CA7676" w:rsidRPr="00E14EE6" w:rsidRDefault="00CA7676" w:rsidP="00E14EE6">
            <w:pPr>
              <w:jc w:val="right"/>
              <w:rPr>
                <w:sz w:val="15"/>
                <w:szCs w:val="15"/>
              </w:rPr>
            </w:pPr>
            <w:r w:rsidRPr="00E14EE6">
              <w:rPr>
                <w:sz w:val="15"/>
              </w:rPr>
              <w:t>98.3</w:t>
            </w:r>
          </w:p>
        </w:tc>
        <w:tc>
          <w:tcPr>
            <w:tcW w:w="501" w:type="pct"/>
            <w:noWrap/>
            <w:hideMark/>
          </w:tcPr>
          <w:p w14:paraId="348982C4" w14:textId="77777777" w:rsidR="00CA7676" w:rsidRPr="00E14EE6" w:rsidRDefault="00CA7676" w:rsidP="00E14EE6">
            <w:pPr>
              <w:jc w:val="right"/>
              <w:rPr>
                <w:sz w:val="15"/>
                <w:szCs w:val="15"/>
              </w:rPr>
            </w:pPr>
            <w:r w:rsidRPr="00E14EE6">
              <w:rPr>
                <w:sz w:val="15"/>
              </w:rPr>
              <w:t>123.2</w:t>
            </w:r>
          </w:p>
        </w:tc>
        <w:tc>
          <w:tcPr>
            <w:tcW w:w="501" w:type="pct"/>
            <w:noWrap/>
            <w:hideMark/>
          </w:tcPr>
          <w:p w14:paraId="1A6A6B54" w14:textId="77777777" w:rsidR="00CA7676" w:rsidRPr="00E14EE6" w:rsidRDefault="00CA7676" w:rsidP="00E14EE6">
            <w:pPr>
              <w:jc w:val="right"/>
              <w:rPr>
                <w:sz w:val="15"/>
                <w:szCs w:val="15"/>
              </w:rPr>
            </w:pPr>
            <w:r w:rsidRPr="00E14EE6">
              <w:rPr>
                <w:sz w:val="15"/>
              </w:rPr>
              <w:t>149.2</w:t>
            </w:r>
          </w:p>
        </w:tc>
        <w:tc>
          <w:tcPr>
            <w:tcW w:w="501" w:type="pct"/>
            <w:noWrap/>
            <w:hideMark/>
          </w:tcPr>
          <w:p w14:paraId="7FA42BFC" w14:textId="77777777" w:rsidR="00CA7676" w:rsidRPr="00E14EE6" w:rsidRDefault="00CA7676" w:rsidP="00E14EE6">
            <w:pPr>
              <w:jc w:val="right"/>
              <w:rPr>
                <w:sz w:val="15"/>
                <w:szCs w:val="15"/>
              </w:rPr>
            </w:pPr>
            <w:r w:rsidRPr="00E14EE6">
              <w:rPr>
                <w:sz w:val="15"/>
              </w:rPr>
              <w:t>100.5</w:t>
            </w:r>
          </w:p>
        </w:tc>
        <w:tc>
          <w:tcPr>
            <w:tcW w:w="501" w:type="pct"/>
            <w:noWrap/>
            <w:hideMark/>
          </w:tcPr>
          <w:p w14:paraId="583864C5" w14:textId="77777777" w:rsidR="00CA7676" w:rsidRPr="00E14EE6" w:rsidRDefault="00CA7676" w:rsidP="00E14EE6">
            <w:pPr>
              <w:jc w:val="right"/>
              <w:rPr>
                <w:sz w:val="15"/>
                <w:szCs w:val="15"/>
              </w:rPr>
            </w:pPr>
            <w:r w:rsidRPr="00E14EE6">
              <w:rPr>
                <w:sz w:val="15"/>
              </w:rPr>
              <w:t>108.9</w:t>
            </w:r>
          </w:p>
        </w:tc>
      </w:tr>
      <w:tr w:rsidR="00CA7676" w:rsidRPr="00E14EE6" w14:paraId="224704A1" w14:textId="77777777" w:rsidTr="00FD6B66">
        <w:trPr>
          <w:cantSplit/>
        </w:trPr>
        <w:tc>
          <w:tcPr>
            <w:tcW w:w="1492" w:type="pct"/>
            <w:noWrap/>
            <w:hideMark/>
          </w:tcPr>
          <w:p w14:paraId="49B4C06A" w14:textId="141685E0" w:rsidR="00CA7676" w:rsidRPr="00E14EE6" w:rsidRDefault="00CA7676" w:rsidP="00E14EE6">
            <w:pPr>
              <w:jc w:val="left"/>
              <w:rPr>
                <w:sz w:val="15"/>
                <w:szCs w:val="15"/>
              </w:rPr>
            </w:pPr>
            <w:r w:rsidRPr="00E14EE6">
              <w:rPr>
                <w:sz w:val="15"/>
              </w:rPr>
              <w:t>E</w:t>
            </w:r>
            <w:r w:rsidR="00E14EE6" w:rsidRPr="00E14EE6">
              <w:rPr>
                <w:sz w:val="15"/>
              </w:rPr>
              <w:t>. I</w:t>
            </w:r>
            <w:r w:rsidRPr="00E14EE6">
              <w:rPr>
                <w:sz w:val="15"/>
              </w:rPr>
              <w:t>nsurance and pension services</w:t>
            </w:r>
          </w:p>
        </w:tc>
        <w:tc>
          <w:tcPr>
            <w:tcW w:w="501" w:type="pct"/>
            <w:noWrap/>
            <w:hideMark/>
          </w:tcPr>
          <w:p w14:paraId="3646729B" w14:textId="77777777" w:rsidR="00CA7676" w:rsidRPr="00E14EE6" w:rsidRDefault="00CA7676" w:rsidP="00E14EE6">
            <w:pPr>
              <w:jc w:val="right"/>
              <w:rPr>
                <w:sz w:val="15"/>
                <w:szCs w:val="15"/>
              </w:rPr>
            </w:pPr>
            <w:r w:rsidRPr="00E14EE6">
              <w:rPr>
                <w:sz w:val="15"/>
              </w:rPr>
              <w:t>189.3</w:t>
            </w:r>
          </w:p>
        </w:tc>
        <w:tc>
          <w:tcPr>
            <w:tcW w:w="501" w:type="pct"/>
            <w:noWrap/>
            <w:hideMark/>
          </w:tcPr>
          <w:p w14:paraId="47A784D1" w14:textId="77777777" w:rsidR="00CA7676" w:rsidRPr="00E14EE6" w:rsidRDefault="00CA7676" w:rsidP="00E14EE6">
            <w:pPr>
              <w:jc w:val="right"/>
              <w:rPr>
                <w:sz w:val="15"/>
                <w:szCs w:val="15"/>
              </w:rPr>
            </w:pPr>
            <w:r w:rsidRPr="00E14EE6">
              <w:rPr>
                <w:sz w:val="15"/>
              </w:rPr>
              <w:t>194.2</w:t>
            </w:r>
          </w:p>
        </w:tc>
        <w:tc>
          <w:tcPr>
            <w:tcW w:w="501" w:type="pct"/>
            <w:noWrap/>
            <w:hideMark/>
          </w:tcPr>
          <w:p w14:paraId="009F1DF9" w14:textId="77777777" w:rsidR="00CA7676" w:rsidRPr="00E14EE6" w:rsidRDefault="00CA7676" w:rsidP="00E14EE6">
            <w:pPr>
              <w:jc w:val="right"/>
              <w:rPr>
                <w:sz w:val="15"/>
                <w:szCs w:val="15"/>
              </w:rPr>
            </w:pPr>
            <w:r w:rsidRPr="00E14EE6">
              <w:rPr>
                <w:sz w:val="15"/>
              </w:rPr>
              <w:t>219.1</w:t>
            </w:r>
          </w:p>
        </w:tc>
        <w:tc>
          <w:tcPr>
            <w:tcW w:w="501" w:type="pct"/>
            <w:noWrap/>
            <w:hideMark/>
          </w:tcPr>
          <w:p w14:paraId="734D76FA" w14:textId="77777777" w:rsidR="00CA7676" w:rsidRPr="00E14EE6" w:rsidRDefault="00CA7676" w:rsidP="00E14EE6">
            <w:pPr>
              <w:jc w:val="right"/>
              <w:rPr>
                <w:sz w:val="15"/>
                <w:szCs w:val="15"/>
              </w:rPr>
            </w:pPr>
            <w:r w:rsidRPr="00E14EE6">
              <w:rPr>
                <w:sz w:val="15"/>
              </w:rPr>
              <w:t>234.7</w:t>
            </w:r>
          </w:p>
        </w:tc>
        <w:tc>
          <w:tcPr>
            <w:tcW w:w="501" w:type="pct"/>
            <w:noWrap/>
            <w:hideMark/>
          </w:tcPr>
          <w:p w14:paraId="7DDA4463" w14:textId="77777777" w:rsidR="00CA7676" w:rsidRPr="00E14EE6" w:rsidRDefault="00CA7676" w:rsidP="00E14EE6">
            <w:pPr>
              <w:jc w:val="right"/>
              <w:rPr>
                <w:sz w:val="15"/>
                <w:szCs w:val="15"/>
              </w:rPr>
            </w:pPr>
            <w:r w:rsidRPr="00E14EE6">
              <w:rPr>
                <w:sz w:val="15"/>
              </w:rPr>
              <w:t>252.7</w:t>
            </w:r>
          </w:p>
        </w:tc>
        <w:tc>
          <w:tcPr>
            <w:tcW w:w="501" w:type="pct"/>
            <w:noWrap/>
            <w:hideMark/>
          </w:tcPr>
          <w:p w14:paraId="397E812D" w14:textId="77777777" w:rsidR="00CA7676" w:rsidRPr="00E14EE6" w:rsidRDefault="00CA7676" w:rsidP="00E14EE6">
            <w:pPr>
              <w:jc w:val="right"/>
              <w:rPr>
                <w:sz w:val="15"/>
                <w:szCs w:val="15"/>
              </w:rPr>
            </w:pPr>
            <w:r w:rsidRPr="00E14EE6">
              <w:rPr>
                <w:sz w:val="15"/>
              </w:rPr>
              <w:t>236.9</w:t>
            </w:r>
          </w:p>
        </w:tc>
        <w:tc>
          <w:tcPr>
            <w:tcW w:w="501" w:type="pct"/>
            <w:noWrap/>
            <w:hideMark/>
          </w:tcPr>
          <w:p w14:paraId="452E74E3" w14:textId="77777777" w:rsidR="00CA7676" w:rsidRPr="00E14EE6" w:rsidRDefault="00CA7676" w:rsidP="00E14EE6">
            <w:pPr>
              <w:jc w:val="right"/>
              <w:rPr>
                <w:sz w:val="15"/>
                <w:szCs w:val="15"/>
              </w:rPr>
            </w:pPr>
            <w:r w:rsidRPr="00E14EE6">
              <w:rPr>
                <w:sz w:val="15"/>
              </w:rPr>
              <w:t>280.9</w:t>
            </w:r>
          </w:p>
        </w:tc>
      </w:tr>
      <w:tr w:rsidR="00CA7676" w:rsidRPr="00E14EE6" w14:paraId="2AE5161C" w14:textId="77777777" w:rsidTr="00FD6B66">
        <w:trPr>
          <w:cnfStyle w:val="000000010000" w:firstRow="0" w:lastRow="0" w:firstColumn="0" w:lastColumn="0" w:oddVBand="0" w:evenVBand="0" w:oddHBand="0" w:evenHBand="1" w:firstRowFirstColumn="0" w:firstRowLastColumn="0" w:lastRowFirstColumn="0" w:lastRowLastColumn="0"/>
          <w:cantSplit/>
        </w:trPr>
        <w:tc>
          <w:tcPr>
            <w:tcW w:w="1492" w:type="pct"/>
            <w:noWrap/>
            <w:hideMark/>
          </w:tcPr>
          <w:p w14:paraId="19895800" w14:textId="6AF3EDA6" w:rsidR="00CA7676" w:rsidRPr="00E14EE6" w:rsidRDefault="00CA7676" w:rsidP="00E14EE6">
            <w:pPr>
              <w:jc w:val="left"/>
              <w:rPr>
                <w:sz w:val="15"/>
                <w:szCs w:val="15"/>
              </w:rPr>
            </w:pPr>
            <w:r w:rsidRPr="00E14EE6">
              <w:rPr>
                <w:sz w:val="15"/>
              </w:rPr>
              <w:t>F</w:t>
            </w:r>
            <w:r w:rsidR="00E14EE6" w:rsidRPr="00E14EE6">
              <w:rPr>
                <w:sz w:val="15"/>
              </w:rPr>
              <w:t>. F</w:t>
            </w:r>
            <w:r w:rsidRPr="00E14EE6">
              <w:rPr>
                <w:sz w:val="15"/>
              </w:rPr>
              <w:t>inancial services</w:t>
            </w:r>
          </w:p>
        </w:tc>
        <w:tc>
          <w:tcPr>
            <w:tcW w:w="501" w:type="pct"/>
            <w:noWrap/>
            <w:hideMark/>
          </w:tcPr>
          <w:p w14:paraId="4501C4BA" w14:textId="77777777" w:rsidR="00CA7676" w:rsidRPr="00E14EE6" w:rsidRDefault="00CA7676" w:rsidP="00E14EE6">
            <w:pPr>
              <w:jc w:val="right"/>
              <w:rPr>
                <w:sz w:val="15"/>
                <w:szCs w:val="15"/>
              </w:rPr>
            </w:pPr>
            <w:r w:rsidRPr="00E14EE6">
              <w:rPr>
                <w:sz w:val="15"/>
              </w:rPr>
              <w:t>325.5</w:t>
            </w:r>
          </w:p>
        </w:tc>
        <w:tc>
          <w:tcPr>
            <w:tcW w:w="501" w:type="pct"/>
            <w:noWrap/>
            <w:hideMark/>
          </w:tcPr>
          <w:p w14:paraId="6FE4ED68" w14:textId="77777777" w:rsidR="00CA7676" w:rsidRPr="00E14EE6" w:rsidRDefault="00CA7676" w:rsidP="00E14EE6">
            <w:pPr>
              <w:jc w:val="right"/>
              <w:rPr>
                <w:sz w:val="15"/>
                <w:szCs w:val="15"/>
              </w:rPr>
            </w:pPr>
            <w:r w:rsidRPr="00E14EE6">
              <w:rPr>
                <w:sz w:val="15"/>
              </w:rPr>
              <w:t>257.5</w:t>
            </w:r>
          </w:p>
        </w:tc>
        <w:tc>
          <w:tcPr>
            <w:tcW w:w="501" w:type="pct"/>
            <w:noWrap/>
            <w:hideMark/>
          </w:tcPr>
          <w:p w14:paraId="3C74A6D1" w14:textId="77777777" w:rsidR="00CA7676" w:rsidRPr="00E14EE6" w:rsidRDefault="00CA7676" w:rsidP="00E14EE6">
            <w:pPr>
              <w:jc w:val="right"/>
              <w:rPr>
                <w:sz w:val="15"/>
                <w:szCs w:val="15"/>
              </w:rPr>
            </w:pPr>
            <w:r w:rsidRPr="00E14EE6">
              <w:rPr>
                <w:sz w:val="15"/>
              </w:rPr>
              <w:t>231.2</w:t>
            </w:r>
          </w:p>
        </w:tc>
        <w:tc>
          <w:tcPr>
            <w:tcW w:w="501" w:type="pct"/>
            <w:noWrap/>
            <w:hideMark/>
          </w:tcPr>
          <w:p w14:paraId="62307977" w14:textId="77777777" w:rsidR="00CA7676" w:rsidRPr="00E14EE6" w:rsidRDefault="00CA7676" w:rsidP="00E14EE6">
            <w:pPr>
              <w:jc w:val="right"/>
              <w:rPr>
                <w:sz w:val="15"/>
                <w:szCs w:val="15"/>
              </w:rPr>
            </w:pPr>
            <w:r w:rsidRPr="00E14EE6">
              <w:rPr>
                <w:sz w:val="15"/>
              </w:rPr>
              <w:t>216.0</w:t>
            </w:r>
          </w:p>
        </w:tc>
        <w:tc>
          <w:tcPr>
            <w:tcW w:w="501" w:type="pct"/>
            <w:noWrap/>
            <w:hideMark/>
          </w:tcPr>
          <w:p w14:paraId="78B0A664" w14:textId="77777777" w:rsidR="00CA7676" w:rsidRPr="00E14EE6" w:rsidRDefault="00CA7676" w:rsidP="00E14EE6">
            <w:pPr>
              <w:jc w:val="right"/>
              <w:rPr>
                <w:sz w:val="15"/>
                <w:szCs w:val="15"/>
              </w:rPr>
            </w:pPr>
            <w:r w:rsidRPr="00E14EE6">
              <w:rPr>
                <w:sz w:val="15"/>
              </w:rPr>
              <w:t>205.4</w:t>
            </w:r>
          </w:p>
        </w:tc>
        <w:tc>
          <w:tcPr>
            <w:tcW w:w="501" w:type="pct"/>
            <w:noWrap/>
            <w:hideMark/>
          </w:tcPr>
          <w:p w14:paraId="2BEC3434" w14:textId="77777777" w:rsidR="00CA7676" w:rsidRPr="00E14EE6" w:rsidRDefault="00CA7676" w:rsidP="00E14EE6">
            <w:pPr>
              <w:jc w:val="right"/>
              <w:rPr>
                <w:sz w:val="15"/>
                <w:szCs w:val="15"/>
              </w:rPr>
            </w:pPr>
            <w:r w:rsidRPr="00E14EE6">
              <w:rPr>
                <w:sz w:val="15"/>
              </w:rPr>
              <w:t>329.6</w:t>
            </w:r>
          </w:p>
        </w:tc>
        <w:tc>
          <w:tcPr>
            <w:tcW w:w="501" w:type="pct"/>
            <w:noWrap/>
            <w:hideMark/>
          </w:tcPr>
          <w:p w14:paraId="1F9B7BB2" w14:textId="77777777" w:rsidR="00CA7676" w:rsidRPr="00E14EE6" w:rsidRDefault="00CA7676" w:rsidP="00E14EE6">
            <w:pPr>
              <w:jc w:val="right"/>
              <w:rPr>
                <w:sz w:val="15"/>
                <w:szCs w:val="15"/>
              </w:rPr>
            </w:pPr>
            <w:r w:rsidRPr="00E14EE6">
              <w:rPr>
                <w:sz w:val="15"/>
              </w:rPr>
              <w:t>321.9</w:t>
            </w:r>
          </w:p>
        </w:tc>
      </w:tr>
      <w:tr w:rsidR="00CA7676" w:rsidRPr="00E14EE6" w14:paraId="2D596178" w14:textId="77777777" w:rsidTr="00FD6B66">
        <w:trPr>
          <w:cantSplit/>
        </w:trPr>
        <w:tc>
          <w:tcPr>
            <w:tcW w:w="1492" w:type="pct"/>
            <w:noWrap/>
            <w:hideMark/>
          </w:tcPr>
          <w:p w14:paraId="318DFDB9" w14:textId="54E935D0" w:rsidR="00CA7676" w:rsidRPr="00E14EE6" w:rsidRDefault="00CA7676" w:rsidP="00E14EE6">
            <w:pPr>
              <w:jc w:val="left"/>
              <w:rPr>
                <w:sz w:val="15"/>
                <w:szCs w:val="15"/>
              </w:rPr>
            </w:pPr>
            <w:r w:rsidRPr="00E14EE6">
              <w:rPr>
                <w:sz w:val="15"/>
              </w:rPr>
              <w:t>G</w:t>
            </w:r>
            <w:r w:rsidR="00E14EE6" w:rsidRPr="00E14EE6">
              <w:rPr>
                <w:sz w:val="15"/>
              </w:rPr>
              <w:t>. C</w:t>
            </w:r>
            <w:r w:rsidRPr="00E14EE6">
              <w:rPr>
                <w:sz w:val="15"/>
              </w:rPr>
              <w:t>harges for the use of intellectual property</w:t>
            </w:r>
          </w:p>
        </w:tc>
        <w:tc>
          <w:tcPr>
            <w:tcW w:w="501" w:type="pct"/>
            <w:noWrap/>
            <w:hideMark/>
          </w:tcPr>
          <w:p w14:paraId="2F4B7BF9" w14:textId="77777777" w:rsidR="00CA7676" w:rsidRPr="00E14EE6" w:rsidRDefault="00CA7676" w:rsidP="00E14EE6">
            <w:pPr>
              <w:jc w:val="right"/>
              <w:rPr>
                <w:sz w:val="15"/>
                <w:szCs w:val="15"/>
              </w:rPr>
            </w:pPr>
            <w:r w:rsidRPr="00E14EE6">
              <w:rPr>
                <w:sz w:val="15"/>
              </w:rPr>
              <w:t>88.9</w:t>
            </w:r>
          </w:p>
        </w:tc>
        <w:tc>
          <w:tcPr>
            <w:tcW w:w="501" w:type="pct"/>
            <w:noWrap/>
            <w:hideMark/>
          </w:tcPr>
          <w:p w14:paraId="7DDFCA28" w14:textId="77777777" w:rsidR="00CA7676" w:rsidRPr="00E14EE6" w:rsidRDefault="00CA7676" w:rsidP="00E14EE6">
            <w:pPr>
              <w:jc w:val="right"/>
              <w:rPr>
                <w:sz w:val="15"/>
                <w:szCs w:val="15"/>
              </w:rPr>
            </w:pPr>
            <w:r w:rsidRPr="00E14EE6">
              <w:rPr>
                <w:sz w:val="15"/>
              </w:rPr>
              <w:t>98.4</w:t>
            </w:r>
          </w:p>
        </w:tc>
        <w:tc>
          <w:tcPr>
            <w:tcW w:w="501" w:type="pct"/>
            <w:noWrap/>
            <w:hideMark/>
          </w:tcPr>
          <w:p w14:paraId="0D5B6469" w14:textId="77777777" w:rsidR="00CA7676" w:rsidRPr="00E14EE6" w:rsidRDefault="00CA7676" w:rsidP="00E14EE6">
            <w:pPr>
              <w:jc w:val="right"/>
              <w:rPr>
                <w:sz w:val="15"/>
                <w:szCs w:val="15"/>
              </w:rPr>
            </w:pPr>
            <w:r w:rsidRPr="00E14EE6">
              <w:rPr>
                <w:sz w:val="15"/>
              </w:rPr>
              <w:t>134.0</w:t>
            </w:r>
          </w:p>
        </w:tc>
        <w:tc>
          <w:tcPr>
            <w:tcW w:w="501" w:type="pct"/>
            <w:noWrap/>
            <w:hideMark/>
          </w:tcPr>
          <w:p w14:paraId="0627B7A3" w14:textId="77777777" w:rsidR="00CA7676" w:rsidRPr="00E14EE6" w:rsidRDefault="00CA7676" w:rsidP="00E14EE6">
            <w:pPr>
              <w:jc w:val="right"/>
              <w:rPr>
                <w:sz w:val="15"/>
                <w:szCs w:val="15"/>
              </w:rPr>
            </w:pPr>
            <w:r w:rsidRPr="00E14EE6">
              <w:rPr>
                <w:sz w:val="15"/>
              </w:rPr>
              <w:t>34.6</w:t>
            </w:r>
          </w:p>
        </w:tc>
        <w:tc>
          <w:tcPr>
            <w:tcW w:w="501" w:type="pct"/>
            <w:noWrap/>
            <w:hideMark/>
          </w:tcPr>
          <w:p w14:paraId="3CBC9120" w14:textId="77777777" w:rsidR="00CA7676" w:rsidRPr="00E14EE6" w:rsidRDefault="00CA7676" w:rsidP="00E14EE6">
            <w:pPr>
              <w:jc w:val="right"/>
              <w:rPr>
                <w:sz w:val="15"/>
                <w:szCs w:val="15"/>
              </w:rPr>
            </w:pPr>
            <w:r w:rsidRPr="00E14EE6">
              <w:rPr>
                <w:sz w:val="15"/>
              </w:rPr>
              <w:t>41.5</w:t>
            </w:r>
          </w:p>
        </w:tc>
        <w:tc>
          <w:tcPr>
            <w:tcW w:w="501" w:type="pct"/>
            <w:noWrap/>
            <w:hideMark/>
          </w:tcPr>
          <w:p w14:paraId="29185936" w14:textId="77777777" w:rsidR="00CA7676" w:rsidRPr="00E14EE6" w:rsidRDefault="00CA7676" w:rsidP="00E14EE6">
            <w:pPr>
              <w:jc w:val="right"/>
              <w:rPr>
                <w:sz w:val="15"/>
                <w:szCs w:val="15"/>
              </w:rPr>
            </w:pPr>
            <w:r w:rsidRPr="00E14EE6">
              <w:rPr>
                <w:sz w:val="15"/>
              </w:rPr>
              <w:t>81.9</w:t>
            </w:r>
          </w:p>
        </w:tc>
        <w:tc>
          <w:tcPr>
            <w:tcW w:w="501" w:type="pct"/>
            <w:noWrap/>
            <w:hideMark/>
          </w:tcPr>
          <w:p w14:paraId="26232544" w14:textId="77777777" w:rsidR="00CA7676" w:rsidRPr="00E14EE6" w:rsidRDefault="00CA7676" w:rsidP="00E14EE6">
            <w:pPr>
              <w:jc w:val="right"/>
              <w:rPr>
                <w:sz w:val="15"/>
                <w:szCs w:val="15"/>
              </w:rPr>
            </w:pPr>
            <w:r w:rsidRPr="00E14EE6">
              <w:rPr>
                <w:sz w:val="15"/>
              </w:rPr>
              <w:t>119.5</w:t>
            </w:r>
          </w:p>
        </w:tc>
      </w:tr>
      <w:tr w:rsidR="00CA7676" w:rsidRPr="00E14EE6" w14:paraId="263CF158" w14:textId="77777777" w:rsidTr="00FD6B66">
        <w:trPr>
          <w:cnfStyle w:val="000000010000" w:firstRow="0" w:lastRow="0" w:firstColumn="0" w:lastColumn="0" w:oddVBand="0" w:evenVBand="0" w:oddHBand="0" w:evenHBand="1" w:firstRowFirstColumn="0" w:firstRowLastColumn="0" w:lastRowFirstColumn="0" w:lastRowLastColumn="0"/>
          <w:cantSplit/>
        </w:trPr>
        <w:tc>
          <w:tcPr>
            <w:tcW w:w="1492" w:type="pct"/>
            <w:noWrap/>
            <w:hideMark/>
          </w:tcPr>
          <w:p w14:paraId="58FD022C" w14:textId="724E34E2" w:rsidR="00CA7676" w:rsidRPr="00E14EE6" w:rsidRDefault="00CA7676" w:rsidP="00E14EE6">
            <w:pPr>
              <w:jc w:val="left"/>
              <w:rPr>
                <w:sz w:val="15"/>
                <w:szCs w:val="15"/>
              </w:rPr>
            </w:pPr>
            <w:r w:rsidRPr="00E14EE6">
              <w:rPr>
                <w:sz w:val="15"/>
              </w:rPr>
              <w:t>H</w:t>
            </w:r>
            <w:r w:rsidR="00E14EE6" w:rsidRPr="00E14EE6">
              <w:rPr>
                <w:sz w:val="15"/>
              </w:rPr>
              <w:t>. G</w:t>
            </w:r>
            <w:r w:rsidRPr="00E14EE6">
              <w:rPr>
                <w:sz w:val="15"/>
              </w:rPr>
              <w:t>overnment goods and services</w:t>
            </w:r>
          </w:p>
        </w:tc>
        <w:tc>
          <w:tcPr>
            <w:tcW w:w="501" w:type="pct"/>
            <w:noWrap/>
            <w:hideMark/>
          </w:tcPr>
          <w:p w14:paraId="7D493A0E" w14:textId="77777777" w:rsidR="00CA7676" w:rsidRPr="00E14EE6" w:rsidRDefault="00CA7676" w:rsidP="00E14EE6">
            <w:pPr>
              <w:jc w:val="right"/>
              <w:rPr>
                <w:sz w:val="15"/>
                <w:szCs w:val="15"/>
              </w:rPr>
            </w:pPr>
            <w:r w:rsidRPr="00E14EE6">
              <w:rPr>
                <w:sz w:val="15"/>
              </w:rPr>
              <w:t>147.3</w:t>
            </w:r>
          </w:p>
        </w:tc>
        <w:tc>
          <w:tcPr>
            <w:tcW w:w="501" w:type="pct"/>
            <w:noWrap/>
            <w:hideMark/>
          </w:tcPr>
          <w:p w14:paraId="7D4536C0" w14:textId="77777777" w:rsidR="00CA7676" w:rsidRPr="00E14EE6" w:rsidRDefault="00CA7676" w:rsidP="00E14EE6">
            <w:pPr>
              <w:jc w:val="right"/>
              <w:rPr>
                <w:sz w:val="15"/>
                <w:szCs w:val="15"/>
              </w:rPr>
            </w:pPr>
            <w:r w:rsidRPr="00E14EE6">
              <w:rPr>
                <w:sz w:val="15"/>
              </w:rPr>
              <w:t>140.7</w:t>
            </w:r>
          </w:p>
        </w:tc>
        <w:tc>
          <w:tcPr>
            <w:tcW w:w="501" w:type="pct"/>
            <w:noWrap/>
            <w:hideMark/>
          </w:tcPr>
          <w:p w14:paraId="635253C4" w14:textId="77777777" w:rsidR="00CA7676" w:rsidRPr="00E14EE6" w:rsidRDefault="00CA7676" w:rsidP="00E14EE6">
            <w:pPr>
              <w:jc w:val="right"/>
              <w:rPr>
                <w:sz w:val="15"/>
                <w:szCs w:val="15"/>
              </w:rPr>
            </w:pPr>
            <w:r w:rsidRPr="00E14EE6">
              <w:rPr>
                <w:sz w:val="15"/>
              </w:rPr>
              <w:t>154.8</w:t>
            </w:r>
          </w:p>
        </w:tc>
        <w:tc>
          <w:tcPr>
            <w:tcW w:w="501" w:type="pct"/>
            <w:noWrap/>
            <w:hideMark/>
          </w:tcPr>
          <w:p w14:paraId="68647552" w14:textId="77777777" w:rsidR="00CA7676" w:rsidRPr="00E14EE6" w:rsidRDefault="00CA7676" w:rsidP="00E14EE6">
            <w:pPr>
              <w:jc w:val="right"/>
              <w:rPr>
                <w:sz w:val="15"/>
                <w:szCs w:val="15"/>
              </w:rPr>
            </w:pPr>
            <w:r w:rsidRPr="00E14EE6">
              <w:rPr>
                <w:sz w:val="15"/>
              </w:rPr>
              <w:t>152.0</w:t>
            </w:r>
          </w:p>
        </w:tc>
        <w:tc>
          <w:tcPr>
            <w:tcW w:w="501" w:type="pct"/>
            <w:noWrap/>
            <w:hideMark/>
          </w:tcPr>
          <w:p w14:paraId="70F5B2F0" w14:textId="77777777" w:rsidR="00CA7676" w:rsidRPr="00E14EE6" w:rsidRDefault="00CA7676" w:rsidP="00E14EE6">
            <w:pPr>
              <w:jc w:val="right"/>
              <w:rPr>
                <w:sz w:val="15"/>
                <w:szCs w:val="15"/>
              </w:rPr>
            </w:pPr>
            <w:r w:rsidRPr="00E14EE6">
              <w:rPr>
                <w:sz w:val="15"/>
              </w:rPr>
              <w:t>172.2</w:t>
            </w:r>
          </w:p>
        </w:tc>
        <w:tc>
          <w:tcPr>
            <w:tcW w:w="501" w:type="pct"/>
            <w:noWrap/>
            <w:hideMark/>
          </w:tcPr>
          <w:p w14:paraId="1CDE8D76" w14:textId="77777777" w:rsidR="00CA7676" w:rsidRPr="00E14EE6" w:rsidRDefault="00CA7676" w:rsidP="00E14EE6">
            <w:pPr>
              <w:jc w:val="right"/>
              <w:rPr>
                <w:sz w:val="15"/>
                <w:szCs w:val="15"/>
              </w:rPr>
            </w:pPr>
            <w:r w:rsidRPr="00E14EE6">
              <w:rPr>
                <w:sz w:val="15"/>
              </w:rPr>
              <w:t>139.3</w:t>
            </w:r>
          </w:p>
        </w:tc>
        <w:tc>
          <w:tcPr>
            <w:tcW w:w="501" w:type="pct"/>
            <w:noWrap/>
            <w:hideMark/>
          </w:tcPr>
          <w:p w14:paraId="20E5AD7A" w14:textId="77777777" w:rsidR="00CA7676" w:rsidRPr="00E14EE6" w:rsidRDefault="00CA7676" w:rsidP="00E14EE6">
            <w:pPr>
              <w:jc w:val="right"/>
              <w:rPr>
                <w:sz w:val="15"/>
                <w:szCs w:val="15"/>
              </w:rPr>
            </w:pPr>
            <w:r w:rsidRPr="00E14EE6">
              <w:rPr>
                <w:sz w:val="15"/>
              </w:rPr>
              <w:t>123.6</w:t>
            </w:r>
          </w:p>
        </w:tc>
      </w:tr>
      <w:tr w:rsidR="00CA7676" w:rsidRPr="00E14EE6" w14:paraId="000EAD6C" w14:textId="77777777" w:rsidTr="00FD6B66">
        <w:trPr>
          <w:cantSplit/>
        </w:trPr>
        <w:tc>
          <w:tcPr>
            <w:tcW w:w="1492" w:type="pct"/>
            <w:noWrap/>
            <w:hideMark/>
          </w:tcPr>
          <w:p w14:paraId="0B039683" w14:textId="268D9B44" w:rsidR="00CA7676" w:rsidRPr="00E14EE6" w:rsidRDefault="00CA7676" w:rsidP="00E14EE6">
            <w:pPr>
              <w:jc w:val="left"/>
              <w:rPr>
                <w:sz w:val="15"/>
                <w:szCs w:val="15"/>
              </w:rPr>
            </w:pPr>
            <w:r w:rsidRPr="00E14EE6">
              <w:rPr>
                <w:sz w:val="15"/>
              </w:rPr>
              <w:t>I</w:t>
            </w:r>
            <w:r w:rsidR="00E14EE6" w:rsidRPr="00E14EE6">
              <w:rPr>
                <w:sz w:val="15"/>
              </w:rPr>
              <w:t>. O</w:t>
            </w:r>
            <w:r w:rsidRPr="00E14EE6">
              <w:rPr>
                <w:sz w:val="15"/>
              </w:rPr>
              <w:t>ther business services</w:t>
            </w:r>
          </w:p>
        </w:tc>
        <w:tc>
          <w:tcPr>
            <w:tcW w:w="501" w:type="pct"/>
            <w:noWrap/>
            <w:hideMark/>
          </w:tcPr>
          <w:p w14:paraId="23B1D564" w14:textId="77777777" w:rsidR="00CA7676" w:rsidRPr="00E14EE6" w:rsidRDefault="00CA7676" w:rsidP="00E14EE6">
            <w:pPr>
              <w:jc w:val="right"/>
              <w:rPr>
                <w:sz w:val="15"/>
                <w:szCs w:val="15"/>
              </w:rPr>
            </w:pPr>
            <w:r w:rsidRPr="00E14EE6">
              <w:rPr>
                <w:sz w:val="15"/>
              </w:rPr>
              <w:t>329.4</w:t>
            </w:r>
          </w:p>
        </w:tc>
        <w:tc>
          <w:tcPr>
            <w:tcW w:w="501" w:type="pct"/>
            <w:noWrap/>
            <w:hideMark/>
          </w:tcPr>
          <w:p w14:paraId="785420D6" w14:textId="77777777" w:rsidR="00CA7676" w:rsidRPr="00E14EE6" w:rsidRDefault="00CA7676" w:rsidP="00E14EE6">
            <w:pPr>
              <w:jc w:val="right"/>
              <w:rPr>
                <w:sz w:val="15"/>
                <w:szCs w:val="15"/>
              </w:rPr>
            </w:pPr>
            <w:r w:rsidRPr="00E14EE6">
              <w:rPr>
                <w:sz w:val="15"/>
              </w:rPr>
              <w:t>432.6</w:t>
            </w:r>
          </w:p>
        </w:tc>
        <w:tc>
          <w:tcPr>
            <w:tcW w:w="501" w:type="pct"/>
            <w:noWrap/>
            <w:hideMark/>
          </w:tcPr>
          <w:p w14:paraId="4E7CA4D5" w14:textId="77777777" w:rsidR="00CA7676" w:rsidRPr="00E14EE6" w:rsidRDefault="00CA7676" w:rsidP="00E14EE6">
            <w:pPr>
              <w:jc w:val="right"/>
              <w:rPr>
                <w:sz w:val="15"/>
                <w:szCs w:val="15"/>
              </w:rPr>
            </w:pPr>
            <w:r w:rsidRPr="00E14EE6">
              <w:rPr>
                <w:sz w:val="15"/>
              </w:rPr>
              <w:t>332.5</w:t>
            </w:r>
          </w:p>
        </w:tc>
        <w:tc>
          <w:tcPr>
            <w:tcW w:w="501" w:type="pct"/>
            <w:noWrap/>
            <w:hideMark/>
          </w:tcPr>
          <w:p w14:paraId="1ECC5938" w14:textId="77777777" w:rsidR="00CA7676" w:rsidRPr="00E14EE6" w:rsidRDefault="00CA7676" w:rsidP="00E14EE6">
            <w:pPr>
              <w:jc w:val="right"/>
              <w:rPr>
                <w:sz w:val="15"/>
                <w:szCs w:val="15"/>
              </w:rPr>
            </w:pPr>
            <w:r w:rsidRPr="00E14EE6">
              <w:rPr>
                <w:sz w:val="15"/>
              </w:rPr>
              <w:t>922.6</w:t>
            </w:r>
          </w:p>
        </w:tc>
        <w:tc>
          <w:tcPr>
            <w:tcW w:w="501" w:type="pct"/>
            <w:noWrap/>
            <w:hideMark/>
          </w:tcPr>
          <w:p w14:paraId="20878B05" w14:textId="2333E026" w:rsidR="00CA7676" w:rsidRPr="00E14EE6" w:rsidRDefault="00CA7676" w:rsidP="00E14EE6">
            <w:pPr>
              <w:jc w:val="right"/>
              <w:rPr>
                <w:sz w:val="15"/>
                <w:szCs w:val="15"/>
              </w:rPr>
            </w:pPr>
            <w:r w:rsidRPr="00E14EE6">
              <w:rPr>
                <w:sz w:val="15"/>
              </w:rPr>
              <w:t>1</w:t>
            </w:r>
            <w:r w:rsidR="009A42B6">
              <w:rPr>
                <w:sz w:val="15"/>
              </w:rPr>
              <w:t>,</w:t>
            </w:r>
            <w:r w:rsidRPr="00E14EE6">
              <w:rPr>
                <w:sz w:val="15"/>
              </w:rPr>
              <w:t>071.8</w:t>
            </w:r>
          </w:p>
        </w:tc>
        <w:tc>
          <w:tcPr>
            <w:tcW w:w="501" w:type="pct"/>
            <w:noWrap/>
            <w:hideMark/>
          </w:tcPr>
          <w:p w14:paraId="0AECF1D9" w14:textId="77777777" w:rsidR="00CA7676" w:rsidRPr="00E14EE6" w:rsidRDefault="00CA7676" w:rsidP="00E14EE6">
            <w:pPr>
              <w:jc w:val="right"/>
              <w:rPr>
                <w:sz w:val="15"/>
                <w:szCs w:val="15"/>
              </w:rPr>
            </w:pPr>
            <w:r w:rsidRPr="00E14EE6">
              <w:rPr>
                <w:sz w:val="15"/>
              </w:rPr>
              <w:t>653.8</w:t>
            </w:r>
          </w:p>
        </w:tc>
        <w:tc>
          <w:tcPr>
            <w:tcW w:w="501" w:type="pct"/>
            <w:noWrap/>
            <w:hideMark/>
          </w:tcPr>
          <w:p w14:paraId="3F06B9B2" w14:textId="77777777" w:rsidR="00CA7676" w:rsidRPr="00E14EE6" w:rsidRDefault="00CA7676" w:rsidP="00E14EE6">
            <w:pPr>
              <w:jc w:val="right"/>
              <w:rPr>
                <w:sz w:val="15"/>
                <w:szCs w:val="15"/>
              </w:rPr>
            </w:pPr>
            <w:r w:rsidRPr="00E14EE6">
              <w:rPr>
                <w:sz w:val="15"/>
              </w:rPr>
              <w:t>513.0</w:t>
            </w:r>
          </w:p>
        </w:tc>
      </w:tr>
      <w:tr w:rsidR="00CA7676" w:rsidRPr="00E14EE6" w14:paraId="0845ED67" w14:textId="77777777" w:rsidTr="00FD6B66">
        <w:trPr>
          <w:cnfStyle w:val="000000010000" w:firstRow="0" w:lastRow="0" w:firstColumn="0" w:lastColumn="0" w:oddVBand="0" w:evenVBand="0" w:oddHBand="0" w:evenHBand="1" w:firstRowFirstColumn="0" w:firstRowLastColumn="0" w:lastRowFirstColumn="0" w:lastRowLastColumn="0"/>
          <w:cantSplit/>
        </w:trPr>
        <w:tc>
          <w:tcPr>
            <w:tcW w:w="1492" w:type="pct"/>
            <w:noWrap/>
            <w:hideMark/>
          </w:tcPr>
          <w:p w14:paraId="4E1FADD9" w14:textId="41759269" w:rsidR="00CA7676" w:rsidRPr="00E14EE6" w:rsidRDefault="00CA7676" w:rsidP="00E14EE6">
            <w:pPr>
              <w:jc w:val="left"/>
              <w:rPr>
                <w:sz w:val="15"/>
                <w:szCs w:val="15"/>
              </w:rPr>
            </w:pPr>
            <w:r w:rsidRPr="00E14EE6">
              <w:rPr>
                <w:sz w:val="15"/>
              </w:rPr>
              <w:t>J</w:t>
            </w:r>
            <w:r w:rsidR="00E14EE6" w:rsidRPr="00E14EE6">
              <w:rPr>
                <w:sz w:val="15"/>
              </w:rPr>
              <w:t>. P</w:t>
            </w:r>
            <w:r w:rsidRPr="00E14EE6">
              <w:rPr>
                <w:sz w:val="15"/>
              </w:rPr>
              <w:t>ersonal, cultural and recreational services</w:t>
            </w:r>
          </w:p>
        </w:tc>
        <w:tc>
          <w:tcPr>
            <w:tcW w:w="501" w:type="pct"/>
            <w:noWrap/>
            <w:hideMark/>
          </w:tcPr>
          <w:p w14:paraId="305D3EB8" w14:textId="77777777" w:rsidR="00CA7676" w:rsidRPr="00E14EE6" w:rsidRDefault="00CA7676" w:rsidP="00E14EE6">
            <w:pPr>
              <w:jc w:val="right"/>
              <w:rPr>
                <w:sz w:val="15"/>
                <w:szCs w:val="15"/>
              </w:rPr>
            </w:pPr>
            <w:r w:rsidRPr="00E14EE6">
              <w:rPr>
                <w:sz w:val="15"/>
              </w:rPr>
              <w:t>17.3</w:t>
            </w:r>
          </w:p>
        </w:tc>
        <w:tc>
          <w:tcPr>
            <w:tcW w:w="501" w:type="pct"/>
            <w:noWrap/>
            <w:hideMark/>
          </w:tcPr>
          <w:p w14:paraId="043BD4A4" w14:textId="77777777" w:rsidR="00CA7676" w:rsidRPr="00E14EE6" w:rsidRDefault="00CA7676" w:rsidP="00E14EE6">
            <w:pPr>
              <w:jc w:val="right"/>
              <w:rPr>
                <w:sz w:val="15"/>
                <w:szCs w:val="15"/>
              </w:rPr>
            </w:pPr>
            <w:r w:rsidRPr="00E14EE6">
              <w:rPr>
                <w:sz w:val="15"/>
              </w:rPr>
              <w:t>28.9</w:t>
            </w:r>
          </w:p>
        </w:tc>
        <w:tc>
          <w:tcPr>
            <w:tcW w:w="501" w:type="pct"/>
            <w:noWrap/>
            <w:hideMark/>
          </w:tcPr>
          <w:p w14:paraId="0659491C" w14:textId="77777777" w:rsidR="00CA7676" w:rsidRPr="00E14EE6" w:rsidRDefault="00CA7676" w:rsidP="00E14EE6">
            <w:pPr>
              <w:jc w:val="right"/>
              <w:rPr>
                <w:sz w:val="15"/>
                <w:szCs w:val="15"/>
              </w:rPr>
            </w:pPr>
            <w:r w:rsidRPr="00E14EE6">
              <w:rPr>
                <w:sz w:val="15"/>
              </w:rPr>
              <w:t>35.7</w:t>
            </w:r>
          </w:p>
        </w:tc>
        <w:tc>
          <w:tcPr>
            <w:tcW w:w="501" w:type="pct"/>
            <w:noWrap/>
            <w:hideMark/>
          </w:tcPr>
          <w:p w14:paraId="2A566D1F" w14:textId="77777777" w:rsidR="00CA7676" w:rsidRPr="00E14EE6" w:rsidRDefault="00CA7676" w:rsidP="00E14EE6">
            <w:pPr>
              <w:jc w:val="right"/>
              <w:rPr>
                <w:sz w:val="15"/>
                <w:szCs w:val="15"/>
              </w:rPr>
            </w:pPr>
            <w:r w:rsidRPr="00E14EE6">
              <w:rPr>
                <w:sz w:val="15"/>
              </w:rPr>
              <w:t>39.2</w:t>
            </w:r>
          </w:p>
        </w:tc>
        <w:tc>
          <w:tcPr>
            <w:tcW w:w="501" w:type="pct"/>
            <w:noWrap/>
            <w:hideMark/>
          </w:tcPr>
          <w:p w14:paraId="50A50FB5" w14:textId="77777777" w:rsidR="00CA7676" w:rsidRPr="00E14EE6" w:rsidRDefault="00CA7676" w:rsidP="00E14EE6">
            <w:pPr>
              <w:jc w:val="right"/>
              <w:rPr>
                <w:sz w:val="15"/>
                <w:szCs w:val="15"/>
              </w:rPr>
            </w:pPr>
            <w:r w:rsidRPr="00E14EE6">
              <w:rPr>
                <w:sz w:val="15"/>
              </w:rPr>
              <w:t>37.9</w:t>
            </w:r>
          </w:p>
        </w:tc>
        <w:tc>
          <w:tcPr>
            <w:tcW w:w="501" w:type="pct"/>
            <w:noWrap/>
            <w:hideMark/>
          </w:tcPr>
          <w:p w14:paraId="67587D99" w14:textId="77777777" w:rsidR="00CA7676" w:rsidRPr="00E14EE6" w:rsidRDefault="00CA7676" w:rsidP="00E14EE6">
            <w:pPr>
              <w:jc w:val="right"/>
              <w:rPr>
                <w:sz w:val="15"/>
                <w:szCs w:val="15"/>
              </w:rPr>
            </w:pPr>
            <w:r w:rsidRPr="00E14EE6">
              <w:rPr>
                <w:sz w:val="15"/>
              </w:rPr>
              <w:t>35.8</w:t>
            </w:r>
          </w:p>
        </w:tc>
        <w:tc>
          <w:tcPr>
            <w:tcW w:w="501" w:type="pct"/>
            <w:noWrap/>
            <w:hideMark/>
          </w:tcPr>
          <w:p w14:paraId="48D75789" w14:textId="77777777" w:rsidR="00CA7676" w:rsidRPr="00E14EE6" w:rsidRDefault="00CA7676" w:rsidP="00E14EE6">
            <w:pPr>
              <w:jc w:val="right"/>
              <w:rPr>
                <w:sz w:val="15"/>
                <w:szCs w:val="15"/>
              </w:rPr>
            </w:pPr>
            <w:r w:rsidRPr="00E14EE6">
              <w:rPr>
                <w:sz w:val="15"/>
              </w:rPr>
              <w:t>37.9</w:t>
            </w:r>
          </w:p>
        </w:tc>
      </w:tr>
      <w:tr w:rsidR="00CA7676" w:rsidRPr="00E14EE6" w14:paraId="58D9A8CC" w14:textId="77777777" w:rsidTr="00FD6B66">
        <w:trPr>
          <w:cantSplit/>
        </w:trPr>
        <w:tc>
          <w:tcPr>
            <w:tcW w:w="1492" w:type="pct"/>
            <w:noWrap/>
            <w:hideMark/>
          </w:tcPr>
          <w:p w14:paraId="7DB13898" w14:textId="5A4936B1" w:rsidR="00CA7676" w:rsidRPr="00E14EE6" w:rsidRDefault="00CA7676" w:rsidP="00E14EE6">
            <w:pPr>
              <w:jc w:val="left"/>
              <w:rPr>
                <w:b/>
                <w:bCs/>
                <w:sz w:val="15"/>
                <w:szCs w:val="15"/>
              </w:rPr>
            </w:pPr>
            <w:r w:rsidRPr="00E14EE6">
              <w:rPr>
                <w:b/>
                <w:sz w:val="15"/>
              </w:rPr>
              <w:t>III</w:t>
            </w:r>
            <w:r w:rsidR="00E14EE6" w:rsidRPr="00E14EE6">
              <w:rPr>
                <w:b/>
                <w:sz w:val="15"/>
              </w:rPr>
              <w:t>. B</w:t>
            </w:r>
            <w:r w:rsidRPr="00E14EE6">
              <w:rPr>
                <w:b/>
                <w:sz w:val="15"/>
              </w:rPr>
              <w:t>ALANCE (I</w:t>
            </w:r>
            <w:r w:rsidR="00E14EE6" w:rsidRPr="00E14EE6">
              <w:rPr>
                <w:b/>
                <w:sz w:val="15"/>
              </w:rPr>
              <w:noBreakHyphen/>
            </w:r>
            <w:r w:rsidRPr="00E14EE6">
              <w:rPr>
                <w:b/>
                <w:sz w:val="15"/>
              </w:rPr>
              <w:t>II)</w:t>
            </w:r>
          </w:p>
        </w:tc>
        <w:tc>
          <w:tcPr>
            <w:tcW w:w="501" w:type="pct"/>
            <w:noWrap/>
            <w:hideMark/>
          </w:tcPr>
          <w:p w14:paraId="12D5178F" w14:textId="77777777" w:rsidR="00CA7676" w:rsidRPr="00E14EE6" w:rsidRDefault="00CA7676" w:rsidP="00E14EE6">
            <w:pPr>
              <w:jc w:val="right"/>
              <w:rPr>
                <w:b/>
                <w:bCs/>
                <w:sz w:val="15"/>
                <w:szCs w:val="15"/>
              </w:rPr>
            </w:pPr>
            <w:r w:rsidRPr="00E14EE6">
              <w:rPr>
                <w:b/>
                <w:sz w:val="15"/>
              </w:rPr>
              <w:t>4,367.8</w:t>
            </w:r>
          </w:p>
        </w:tc>
        <w:tc>
          <w:tcPr>
            <w:tcW w:w="501" w:type="pct"/>
            <w:noWrap/>
            <w:hideMark/>
          </w:tcPr>
          <w:p w14:paraId="13F571A3" w14:textId="77777777" w:rsidR="00CA7676" w:rsidRPr="00E14EE6" w:rsidRDefault="00CA7676" w:rsidP="00E14EE6">
            <w:pPr>
              <w:jc w:val="right"/>
              <w:rPr>
                <w:b/>
                <w:bCs/>
                <w:sz w:val="15"/>
                <w:szCs w:val="15"/>
              </w:rPr>
            </w:pPr>
            <w:r w:rsidRPr="00E14EE6">
              <w:rPr>
                <w:b/>
                <w:sz w:val="15"/>
              </w:rPr>
              <w:t>4,939.6</w:t>
            </w:r>
          </w:p>
        </w:tc>
        <w:tc>
          <w:tcPr>
            <w:tcW w:w="501" w:type="pct"/>
            <w:noWrap/>
            <w:hideMark/>
          </w:tcPr>
          <w:p w14:paraId="4A1545E4" w14:textId="77777777" w:rsidR="00CA7676" w:rsidRPr="00E14EE6" w:rsidRDefault="00CA7676" w:rsidP="00E14EE6">
            <w:pPr>
              <w:jc w:val="right"/>
              <w:rPr>
                <w:b/>
                <w:bCs/>
                <w:sz w:val="15"/>
                <w:szCs w:val="15"/>
              </w:rPr>
            </w:pPr>
            <w:r w:rsidRPr="00E14EE6">
              <w:rPr>
                <w:b/>
                <w:sz w:val="15"/>
              </w:rPr>
              <w:t>5,549.8</w:t>
            </w:r>
          </w:p>
        </w:tc>
        <w:tc>
          <w:tcPr>
            <w:tcW w:w="501" w:type="pct"/>
            <w:noWrap/>
            <w:hideMark/>
          </w:tcPr>
          <w:p w14:paraId="2D272734" w14:textId="77777777" w:rsidR="00CA7676" w:rsidRPr="00E14EE6" w:rsidRDefault="00CA7676" w:rsidP="00E14EE6">
            <w:pPr>
              <w:jc w:val="right"/>
              <w:rPr>
                <w:b/>
                <w:bCs/>
                <w:sz w:val="15"/>
                <w:szCs w:val="15"/>
              </w:rPr>
            </w:pPr>
            <w:r w:rsidRPr="00E14EE6">
              <w:rPr>
                <w:b/>
                <w:sz w:val="15"/>
              </w:rPr>
              <w:t>5,496.5</w:t>
            </w:r>
          </w:p>
        </w:tc>
        <w:tc>
          <w:tcPr>
            <w:tcW w:w="501" w:type="pct"/>
            <w:noWrap/>
            <w:hideMark/>
          </w:tcPr>
          <w:p w14:paraId="5217B488" w14:textId="77777777" w:rsidR="00CA7676" w:rsidRPr="00E14EE6" w:rsidRDefault="00CA7676" w:rsidP="00E14EE6">
            <w:pPr>
              <w:jc w:val="right"/>
              <w:rPr>
                <w:b/>
                <w:bCs/>
                <w:sz w:val="15"/>
                <w:szCs w:val="15"/>
              </w:rPr>
            </w:pPr>
            <w:r w:rsidRPr="00E14EE6">
              <w:rPr>
                <w:b/>
                <w:sz w:val="15"/>
              </w:rPr>
              <w:t>5,058.3</w:t>
            </w:r>
          </w:p>
        </w:tc>
        <w:tc>
          <w:tcPr>
            <w:tcW w:w="501" w:type="pct"/>
            <w:noWrap/>
            <w:hideMark/>
          </w:tcPr>
          <w:p w14:paraId="7275998C" w14:textId="77777777" w:rsidR="00CA7676" w:rsidRPr="00E14EE6" w:rsidRDefault="00CA7676" w:rsidP="00E14EE6">
            <w:pPr>
              <w:jc w:val="right"/>
              <w:rPr>
                <w:b/>
                <w:bCs/>
                <w:sz w:val="15"/>
                <w:szCs w:val="15"/>
              </w:rPr>
            </w:pPr>
            <w:r w:rsidRPr="00E14EE6">
              <w:rPr>
                <w:b/>
                <w:sz w:val="15"/>
              </w:rPr>
              <w:t>1,390.6</w:t>
            </w:r>
          </w:p>
        </w:tc>
        <w:tc>
          <w:tcPr>
            <w:tcW w:w="501" w:type="pct"/>
            <w:noWrap/>
            <w:hideMark/>
          </w:tcPr>
          <w:p w14:paraId="24908F64" w14:textId="77777777" w:rsidR="00CA7676" w:rsidRPr="00E14EE6" w:rsidRDefault="00CA7676" w:rsidP="00E14EE6">
            <w:pPr>
              <w:jc w:val="right"/>
              <w:rPr>
                <w:b/>
                <w:bCs/>
                <w:sz w:val="15"/>
                <w:szCs w:val="15"/>
              </w:rPr>
            </w:pPr>
            <w:r w:rsidRPr="00E14EE6">
              <w:rPr>
                <w:b/>
                <w:sz w:val="15"/>
              </w:rPr>
              <w:t>3,648.9</w:t>
            </w:r>
          </w:p>
        </w:tc>
      </w:tr>
    </w:tbl>
    <w:p w14:paraId="312D802A" w14:textId="28FDF87A" w:rsidR="00CA7676" w:rsidRPr="00E14EE6" w:rsidRDefault="00CA7676" w:rsidP="00F06AB8">
      <w:pPr>
        <w:pStyle w:val="NoteText"/>
        <w:spacing w:before="120"/>
      </w:pPr>
      <w:r w:rsidRPr="00E14EE6">
        <w:t>Note:</w:t>
      </w:r>
      <w:r w:rsidRPr="00E14EE6">
        <w:tab/>
        <w:t xml:space="preserve">Statistics in accordance with the </w:t>
      </w:r>
      <w:r w:rsidR="00FB0E9F" w:rsidRPr="00E14EE6">
        <w:t>s</w:t>
      </w:r>
      <w:r w:rsidRPr="00E14EE6">
        <w:t xml:space="preserve">ixth </w:t>
      </w:r>
      <w:r w:rsidR="00FB0E9F" w:rsidRPr="00E14EE6">
        <w:t>e</w:t>
      </w:r>
      <w:r w:rsidRPr="00E14EE6">
        <w:t>dition of the IMF's Balance of Payments and International Investment Position Manual.</w:t>
      </w:r>
    </w:p>
    <w:p w14:paraId="399A8DDF" w14:textId="31E29F42" w:rsidR="00CA7676" w:rsidRPr="00E14EE6" w:rsidRDefault="00CA7676" w:rsidP="00F06AB8">
      <w:pPr>
        <w:pStyle w:val="NoteText"/>
        <w:spacing w:before="120" w:after="240"/>
        <w:rPr>
          <w:rFonts w:eastAsia="Calibri" w:cs="Times New Roman"/>
        </w:rPr>
      </w:pPr>
      <w:r w:rsidRPr="00E14EE6">
        <w:t>Source:</w:t>
      </w:r>
      <w:r w:rsidRPr="00E14EE6">
        <w:tab/>
        <w:t>International Department, Balance of Payments Sub</w:t>
      </w:r>
      <w:r w:rsidR="00E14EE6" w:rsidRPr="00E14EE6">
        <w:noBreakHyphen/>
      </w:r>
      <w:r w:rsidRPr="00E14EE6">
        <w:t>Directorate, Service Transaction Statistic</w:t>
      </w:r>
      <w:r w:rsidR="00FB5650" w:rsidRPr="00E14EE6">
        <w:t>s</w:t>
      </w:r>
      <w:r w:rsidRPr="00E14EE6">
        <w:t xml:space="preserve"> Division.</w:t>
      </w:r>
    </w:p>
    <w:p w14:paraId="794169D7" w14:textId="38FD4906" w:rsidR="00CA7676" w:rsidRPr="00E14EE6" w:rsidRDefault="005147A6" w:rsidP="00E14EE6">
      <w:pPr>
        <w:pStyle w:val="Heading3"/>
      </w:pPr>
      <w:bookmarkStart w:id="69" w:name="_Toc117260601"/>
      <w:r w:rsidRPr="00E14EE6">
        <w:t>Foreign direct investment</w:t>
      </w:r>
      <w:r w:rsidR="00360C1A" w:rsidRPr="00E14EE6">
        <w:t xml:space="preserve"> (</w:t>
      </w:r>
      <w:proofErr w:type="spellStart"/>
      <w:r w:rsidR="00360C1A" w:rsidRPr="00E14EE6">
        <w:t>FDI</w:t>
      </w:r>
      <w:proofErr w:type="spellEnd"/>
      <w:r w:rsidR="00360C1A" w:rsidRPr="00E14EE6">
        <w:t>)</w:t>
      </w:r>
      <w:bookmarkEnd w:id="69"/>
    </w:p>
    <w:p w14:paraId="5D866865" w14:textId="5FB7E9B1" w:rsidR="00CA7676" w:rsidRPr="00E14EE6" w:rsidRDefault="00E14EE6" w:rsidP="00E14EE6">
      <w:pPr>
        <w:pStyle w:val="BodyText"/>
      </w:pPr>
      <w:r w:rsidRPr="00E14EE6">
        <w:t>T</w:t>
      </w:r>
      <w:r w:rsidR="005147A6" w:rsidRPr="00E14EE6">
        <w:t xml:space="preserve">he Dominican Republic saw an upsurge in </w:t>
      </w:r>
      <w:proofErr w:type="spellStart"/>
      <w:r w:rsidR="005147A6" w:rsidRPr="00E14EE6">
        <w:t>FDI</w:t>
      </w:r>
      <w:proofErr w:type="spellEnd"/>
      <w:r w:rsidR="005147A6" w:rsidRPr="00E14EE6">
        <w:t xml:space="preserve"> during the review period</w:t>
      </w:r>
      <w:r w:rsidRPr="00E14EE6">
        <w:t xml:space="preserve">. </w:t>
      </w:r>
      <w:proofErr w:type="spellStart"/>
      <w:r w:rsidRPr="00E14EE6">
        <w:t>F</w:t>
      </w:r>
      <w:r w:rsidR="005147A6" w:rsidRPr="00E14EE6">
        <w:t>DI</w:t>
      </w:r>
      <w:proofErr w:type="spellEnd"/>
      <w:r w:rsidR="005147A6" w:rsidRPr="00E14EE6">
        <w:t xml:space="preserve"> flows to the Dominican Republic totalled </w:t>
      </w:r>
      <w:r w:rsidRPr="00E14EE6">
        <w:t>USD 21</w:t>
      </w:r>
      <w:r w:rsidR="005147A6" w:rsidRPr="00E14EE6">
        <w:t xml:space="preserve">,610 million between 2014 and 2021 (equivalent to an average of around </w:t>
      </w:r>
      <w:r w:rsidRPr="00E14EE6">
        <w:t>USD 2</w:t>
      </w:r>
      <w:r w:rsidR="00E66BF0" w:rsidRPr="00E14EE6">
        <w:t>.</w:t>
      </w:r>
      <w:r w:rsidR="005147A6" w:rsidRPr="00E14EE6">
        <w:t>7</w:t>
      </w:r>
      <w:r w:rsidRPr="00E14EE6">
        <w:t> billion</w:t>
      </w:r>
      <w:r w:rsidR="005147A6" w:rsidRPr="00E14EE6">
        <w:t xml:space="preserve"> per year)</w:t>
      </w:r>
      <w:r w:rsidRPr="00E14EE6">
        <w:t xml:space="preserve">. </w:t>
      </w:r>
      <w:proofErr w:type="spellStart"/>
      <w:r w:rsidRPr="00E14EE6">
        <w:t>F</w:t>
      </w:r>
      <w:r w:rsidR="005147A6" w:rsidRPr="00E14EE6">
        <w:t>DI</w:t>
      </w:r>
      <w:proofErr w:type="spellEnd"/>
      <w:r w:rsidR="005147A6" w:rsidRPr="00E14EE6">
        <w:t xml:space="preserve"> averaged 3.4</w:t>
      </w:r>
      <w:r>
        <w:t>%</w:t>
      </w:r>
      <w:r w:rsidR="005147A6" w:rsidRPr="00E14EE6">
        <w:t xml:space="preserve"> of GDP between 2014 and 2020</w:t>
      </w:r>
      <w:r w:rsidRPr="00E14EE6">
        <w:t>. T</w:t>
      </w:r>
      <w:r w:rsidR="005147A6" w:rsidRPr="00E14EE6">
        <w:t>he main sectors that received such investment were</w:t>
      </w:r>
      <w:r w:rsidRPr="00E14EE6">
        <w:t>: t</w:t>
      </w:r>
      <w:r w:rsidR="005147A6" w:rsidRPr="00E14EE6">
        <w:t>ourism (28.8</w:t>
      </w:r>
      <w:r>
        <w:t>%</w:t>
      </w:r>
      <w:r w:rsidR="005147A6" w:rsidRPr="00E14EE6">
        <w:t xml:space="preserve">), </w:t>
      </w:r>
      <w:r w:rsidR="005D1C13">
        <w:t>commerce</w:t>
      </w:r>
      <w:r w:rsidR="005147A6" w:rsidRPr="00E14EE6">
        <w:t xml:space="preserve"> (20.5</w:t>
      </w:r>
      <w:r>
        <w:t>%</w:t>
      </w:r>
      <w:r w:rsidR="005147A6" w:rsidRPr="00E14EE6">
        <w:t>) and real estate (17.4</w:t>
      </w:r>
      <w:r>
        <w:t>%</w:t>
      </w:r>
      <w:r w:rsidR="005147A6" w:rsidRPr="00E14EE6">
        <w:t>)</w:t>
      </w:r>
      <w:r w:rsidRPr="00E14EE6">
        <w:t>. T</w:t>
      </w:r>
      <w:r w:rsidR="005147A6" w:rsidRPr="00E14EE6">
        <w:t>he mining, free zone and energy sectors received 8.0</w:t>
      </w:r>
      <w:r>
        <w:t>%</w:t>
      </w:r>
      <w:r w:rsidR="005147A6" w:rsidRPr="00E14EE6">
        <w:t>, 8.9</w:t>
      </w:r>
      <w:r>
        <w:t>%</w:t>
      </w:r>
      <w:r w:rsidR="005147A6" w:rsidRPr="00E14EE6">
        <w:t xml:space="preserve"> and 6.9</w:t>
      </w:r>
      <w:r>
        <w:t>%</w:t>
      </w:r>
      <w:r w:rsidR="005147A6" w:rsidRPr="00E14EE6">
        <w:t xml:space="preserve">, respectively, of total </w:t>
      </w:r>
      <w:proofErr w:type="spellStart"/>
      <w:r w:rsidR="005147A6" w:rsidRPr="00E14EE6">
        <w:t>FDI</w:t>
      </w:r>
      <w:proofErr w:type="spellEnd"/>
      <w:r w:rsidR="005147A6" w:rsidRPr="00E14EE6">
        <w:t xml:space="preserve"> (Table 1.7).</w:t>
      </w:r>
    </w:p>
    <w:p w14:paraId="085FDE4F" w14:textId="1DCF0F86" w:rsidR="00CA7676" w:rsidRPr="00E14EE6" w:rsidRDefault="00F06AB8" w:rsidP="002C6DF6">
      <w:pPr>
        <w:pStyle w:val="Caption"/>
        <w:keepLines/>
      </w:pPr>
      <w:bookmarkStart w:id="70" w:name="_Toc117238029"/>
      <w:r>
        <w:lastRenderedPageBreak/>
        <w:t xml:space="preserve">Table </w:t>
      </w:r>
      <w:r w:rsidR="00BD37F2">
        <w:fldChar w:fldCharType="begin"/>
      </w:r>
      <w:r w:rsidR="00BD37F2">
        <w:instrText xml:space="preserve"> STYLEREF 1 \s </w:instrText>
      </w:r>
      <w:r w:rsidR="00BD37F2">
        <w:fldChar w:fldCharType="separate"/>
      </w:r>
      <w:r w:rsidR="00323DC1">
        <w:rPr>
          <w:noProof/>
        </w:rPr>
        <w:t>1</w:t>
      </w:r>
      <w:r w:rsidR="00BD37F2">
        <w:rPr>
          <w:noProof/>
        </w:rPr>
        <w:fldChar w:fldCharType="end"/>
      </w:r>
      <w:r w:rsidR="00323DC1">
        <w:t>.</w:t>
      </w:r>
      <w:r w:rsidR="00BD37F2">
        <w:fldChar w:fldCharType="begin"/>
      </w:r>
      <w:r w:rsidR="00BD37F2">
        <w:instrText xml:space="preserve"> SEQ Table \* ARABIC \s 1 </w:instrText>
      </w:r>
      <w:r w:rsidR="00BD37F2">
        <w:fldChar w:fldCharType="separate"/>
      </w:r>
      <w:r w:rsidR="00323DC1">
        <w:rPr>
          <w:noProof/>
        </w:rPr>
        <w:t>7</w:t>
      </w:r>
      <w:r w:rsidR="00BD37F2">
        <w:rPr>
          <w:noProof/>
        </w:rPr>
        <w:fldChar w:fldCharType="end"/>
      </w:r>
      <w:r>
        <w:t xml:space="preserve"> </w:t>
      </w:r>
      <w:proofErr w:type="spellStart"/>
      <w:r w:rsidR="00CA7676" w:rsidRPr="00E14EE6">
        <w:t>FDI</w:t>
      </w:r>
      <w:proofErr w:type="spellEnd"/>
      <w:r w:rsidR="00CA7676" w:rsidRPr="00E14EE6">
        <w:t xml:space="preserve"> </w:t>
      </w:r>
      <w:r w:rsidR="00A05611" w:rsidRPr="00E14EE6">
        <w:t xml:space="preserve">flows </w:t>
      </w:r>
      <w:r w:rsidR="00CA7676" w:rsidRPr="00E14EE6">
        <w:t>by sector, 2014</w:t>
      </w:r>
      <w:r w:rsidR="00E14EE6" w:rsidRPr="00E14EE6">
        <w:noBreakHyphen/>
      </w:r>
      <w:r w:rsidR="00CA7676" w:rsidRPr="00E14EE6">
        <w:t>21</w:t>
      </w:r>
      <w:bookmarkEnd w:id="70"/>
    </w:p>
    <w:p w14:paraId="60E03A97" w14:textId="77777777" w:rsidR="00CA7676" w:rsidRPr="00E14EE6" w:rsidRDefault="00CA7676" w:rsidP="002C6DF6">
      <w:pPr>
        <w:pStyle w:val="NoteText"/>
        <w:keepNext/>
        <w:keepLines/>
        <w:rPr>
          <w:rFonts w:eastAsia="Calibri" w:cs="Times New Roman"/>
        </w:rPr>
      </w:pPr>
      <w:r w:rsidRPr="00E14EE6">
        <w:t>(USD million)</w:t>
      </w:r>
    </w:p>
    <w:tbl>
      <w:tblPr>
        <w:tblStyle w:val="WTOTable1"/>
        <w:tblW w:w="5000" w:type="pct"/>
        <w:tblLook w:val="04A0" w:firstRow="1" w:lastRow="0" w:firstColumn="1" w:lastColumn="0" w:noHBand="0" w:noVBand="1"/>
      </w:tblPr>
      <w:tblGrid>
        <w:gridCol w:w="1952"/>
        <w:gridCol w:w="778"/>
        <w:gridCol w:w="778"/>
        <w:gridCol w:w="778"/>
        <w:gridCol w:w="778"/>
        <w:gridCol w:w="777"/>
        <w:gridCol w:w="777"/>
        <w:gridCol w:w="777"/>
        <w:gridCol w:w="777"/>
        <w:gridCol w:w="844"/>
      </w:tblGrid>
      <w:tr w:rsidR="00CA7676" w:rsidRPr="00E14EE6" w14:paraId="58490189" w14:textId="77777777" w:rsidTr="00FD6B66">
        <w:trPr>
          <w:cnfStyle w:val="100000000000" w:firstRow="1" w:lastRow="0" w:firstColumn="0" w:lastColumn="0" w:oddVBand="0" w:evenVBand="0" w:oddHBand="0" w:evenHBand="0" w:firstRowFirstColumn="0" w:firstRowLastColumn="0" w:lastRowFirstColumn="0" w:lastRowLastColumn="0"/>
          <w:trHeight w:val="20"/>
          <w:tblHeader/>
        </w:trPr>
        <w:tc>
          <w:tcPr>
            <w:tcW w:w="1082" w:type="pct"/>
            <w:noWrap/>
            <w:hideMark/>
          </w:tcPr>
          <w:p w14:paraId="15348E0C" w14:textId="77777777" w:rsidR="00CA7676" w:rsidRPr="00E14EE6" w:rsidRDefault="00CA7676" w:rsidP="002C6DF6">
            <w:pPr>
              <w:keepNext/>
              <w:keepLines/>
              <w:jc w:val="left"/>
              <w:rPr>
                <w:rFonts w:eastAsia="Times New Roman" w:cs="Calibri"/>
                <w:bCs/>
                <w:color w:val="auto"/>
                <w:sz w:val="15"/>
                <w:szCs w:val="15"/>
                <w:lang w:eastAsia="en-GB"/>
              </w:rPr>
            </w:pPr>
          </w:p>
        </w:tc>
        <w:tc>
          <w:tcPr>
            <w:tcW w:w="431" w:type="pct"/>
            <w:noWrap/>
            <w:hideMark/>
          </w:tcPr>
          <w:p w14:paraId="1C3A1803" w14:textId="77777777" w:rsidR="00CA7676" w:rsidRPr="00E14EE6" w:rsidRDefault="00CA7676" w:rsidP="002C6DF6">
            <w:pPr>
              <w:keepNext/>
              <w:keepLines/>
              <w:jc w:val="right"/>
              <w:rPr>
                <w:rFonts w:eastAsia="Times New Roman" w:cs="Calibri"/>
                <w:bCs/>
                <w:color w:val="FFFFFF" w:themeColor="background1"/>
                <w:sz w:val="15"/>
                <w:szCs w:val="15"/>
              </w:rPr>
            </w:pPr>
            <w:r w:rsidRPr="00E14EE6">
              <w:rPr>
                <w:color w:val="FFFFFF" w:themeColor="background1"/>
                <w:sz w:val="15"/>
              </w:rPr>
              <w:t>2014</w:t>
            </w:r>
          </w:p>
        </w:tc>
        <w:tc>
          <w:tcPr>
            <w:tcW w:w="431" w:type="pct"/>
            <w:noWrap/>
            <w:hideMark/>
          </w:tcPr>
          <w:p w14:paraId="7BB7E0A9" w14:textId="77777777" w:rsidR="00CA7676" w:rsidRPr="00E14EE6" w:rsidRDefault="00CA7676" w:rsidP="002C6DF6">
            <w:pPr>
              <w:keepNext/>
              <w:keepLines/>
              <w:jc w:val="right"/>
              <w:rPr>
                <w:rFonts w:eastAsia="Times New Roman" w:cs="Times New Roman"/>
                <w:color w:val="FFFFFF" w:themeColor="background1"/>
                <w:sz w:val="15"/>
                <w:szCs w:val="15"/>
              </w:rPr>
            </w:pPr>
            <w:r w:rsidRPr="00E14EE6">
              <w:rPr>
                <w:color w:val="FFFFFF" w:themeColor="background1"/>
                <w:sz w:val="15"/>
              </w:rPr>
              <w:t>2015</w:t>
            </w:r>
          </w:p>
        </w:tc>
        <w:tc>
          <w:tcPr>
            <w:tcW w:w="431" w:type="pct"/>
            <w:noWrap/>
            <w:hideMark/>
          </w:tcPr>
          <w:p w14:paraId="5832AEBA" w14:textId="77777777" w:rsidR="00CA7676" w:rsidRPr="00E14EE6" w:rsidRDefault="00CA7676" w:rsidP="002C6DF6">
            <w:pPr>
              <w:keepNext/>
              <w:keepLines/>
              <w:jc w:val="right"/>
              <w:rPr>
                <w:rFonts w:eastAsia="Times New Roman" w:cs="Times New Roman"/>
                <w:color w:val="FFFFFF" w:themeColor="background1"/>
                <w:sz w:val="15"/>
                <w:szCs w:val="15"/>
              </w:rPr>
            </w:pPr>
            <w:r w:rsidRPr="00E14EE6">
              <w:rPr>
                <w:color w:val="FFFFFF" w:themeColor="background1"/>
                <w:sz w:val="15"/>
              </w:rPr>
              <w:t>2016</w:t>
            </w:r>
          </w:p>
        </w:tc>
        <w:tc>
          <w:tcPr>
            <w:tcW w:w="431" w:type="pct"/>
            <w:noWrap/>
            <w:hideMark/>
          </w:tcPr>
          <w:p w14:paraId="2B65EED0" w14:textId="77777777" w:rsidR="00CA7676" w:rsidRPr="00E14EE6" w:rsidRDefault="00CA7676" w:rsidP="002C6DF6">
            <w:pPr>
              <w:keepNext/>
              <w:keepLines/>
              <w:jc w:val="right"/>
              <w:rPr>
                <w:rFonts w:eastAsia="Times New Roman" w:cs="Times New Roman"/>
                <w:color w:val="FFFFFF" w:themeColor="background1"/>
                <w:sz w:val="15"/>
                <w:szCs w:val="15"/>
              </w:rPr>
            </w:pPr>
            <w:r w:rsidRPr="00E14EE6">
              <w:rPr>
                <w:color w:val="FFFFFF" w:themeColor="background1"/>
                <w:sz w:val="15"/>
              </w:rPr>
              <w:t>2017</w:t>
            </w:r>
          </w:p>
        </w:tc>
        <w:tc>
          <w:tcPr>
            <w:tcW w:w="431" w:type="pct"/>
            <w:noWrap/>
            <w:hideMark/>
          </w:tcPr>
          <w:p w14:paraId="008761DB" w14:textId="77777777" w:rsidR="00CA7676" w:rsidRPr="00E14EE6" w:rsidRDefault="00CA7676" w:rsidP="002C6DF6">
            <w:pPr>
              <w:keepNext/>
              <w:keepLines/>
              <w:jc w:val="right"/>
              <w:rPr>
                <w:rFonts w:eastAsia="Times New Roman" w:cs="Times New Roman"/>
                <w:color w:val="FFFFFF" w:themeColor="background1"/>
                <w:sz w:val="15"/>
                <w:szCs w:val="15"/>
              </w:rPr>
            </w:pPr>
            <w:r w:rsidRPr="00E14EE6">
              <w:rPr>
                <w:color w:val="FFFFFF" w:themeColor="background1"/>
                <w:sz w:val="15"/>
              </w:rPr>
              <w:t>2018</w:t>
            </w:r>
          </w:p>
        </w:tc>
        <w:tc>
          <w:tcPr>
            <w:tcW w:w="431" w:type="pct"/>
            <w:noWrap/>
            <w:hideMark/>
          </w:tcPr>
          <w:p w14:paraId="64C1BC30" w14:textId="77777777" w:rsidR="00CA7676" w:rsidRPr="00E14EE6" w:rsidRDefault="00CA7676" w:rsidP="002C6DF6">
            <w:pPr>
              <w:keepNext/>
              <w:keepLines/>
              <w:jc w:val="right"/>
              <w:rPr>
                <w:rFonts w:eastAsia="Times New Roman" w:cs="Times New Roman"/>
                <w:color w:val="FFFFFF" w:themeColor="background1"/>
                <w:sz w:val="15"/>
                <w:szCs w:val="15"/>
              </w:rPr>
            </w:pPr>
            <w:r w:rsidRPr="00E14EE6">
              <w:rPr>
                <w:color w:val="FFFFFF" w:themeColor="background1"/>
                <w:sz w:val="15"/>
              </w:rPr>
              <w:t>2019</w:t>
            </w:r>
          </w:p>
        </w:tc>
        <w:tc>
          <w:tcPr>
            <w:tcW w:w="431" w:type="pct"/>
            <w:noWrap/>
            <w:hideMark/>
          </w:tcPr>
          <w:p w14:paraId="775D6F07" w14:textId="77777777" w:rsidR="00CA7676" w:rsidRPr="00E14EE6" w:rsidRDefault="00CA7676" w:rsidP="002C6DF6">
            <w:pPr>
              <w:keepNext/>
              <w:keepLines/>
              <w:jc w:val="right"/>
              <w:rPr>
                <w:rFonts w:eastAsia="Times New Roman" w:cs="Times New Roman"/>
                <w:color w:val="FFFFFF" w:themeColor="background1"/>
                <w:sz w:val="15"/>
                <w:szCs w:val="15"/>
              </w:rPr>
            </w:pPr>
            <w:r w:rsidRPr="00E14EE6">
              <w:rPr>
                <w:color w:val="FFFFFF" w:themeColor="background1"/>
                <w:sz w:val="15"/>
              </w:rPr>
              <w:t>2020</w:t>
            </w:r>
          </w:p>
        </w:tc>
        <w:tc>
          <w:tcPr>
            <w:tcW w:w="431" w:type="pct"/>
            <w:noWrap/>
            <w:hideMark/>
          </w:tcPr>
          <w:p w14:paraId="567952EE" w14:textId="77777777" w:rsidR="00CA7676" w:rsidRPr="00E14EE6" w:rsidRDefault="00CA7676" w:rsidP="002C6DF6">
            <w:pPr>
              <w:keepNext/>
              <w:keepLines/>
              <w:jc w:val="right"/>
              <w:rPr>
                <w:rFonts w:eastAsia="Times New Roman" w:cs="Times New Roman"/>
                <w:color w:val="FFFFFF" w:themeColor="background1"/>
                <w:sz w:val="15"/>
                <w:szCs w:val="15"/>
              </w:rPr>
            </w:pPr>
            <w:r w:rsidRPr="00E14EE6">
              <w:rPr>
                <w:color w:val="FFFFFF" w:themeColor="background1"/>
                <w:sz w:val="15"/>
              </w:rPr>
              <w:t>2021</w:t>
            </w:r>
          </w:p>
        </w:tc>
        <w:tc>
          <w:tcPr>
            <w:tcW w:w="468" w:type="pct"/>
          </w:tcPr>
          <w:p w14:paraId="076F6A2D" w14:textId="77777777" w:rsidR="00CA7676" w:rsidRPr="00E14EE6" w:rsidRDefault="00CA7676" w:rsidP="002C6DF6">
            <w:pPr>
              <w:keepNext/>
              <w:keepLines/>
              <w:jc w:val="right"/>
              <w:rPr>
                <w:rFonts w:eastAsia="Times New Roman" w:cs="Calibri"/>
                <w:color w:val="FFFFFF" w:themeColor="background1"/>
                <w:sz w:val="15"/>
                <w:szCs w:val="15"/>
              </w:rPr>
            </w:pPr>
            <w:r w:rsidRPr="00E14EE6">
              <w:rPr>
                <w:color w:val="FFFFFF" w:themeColor="background1"/>
                <w:sz w:val="15"/>
              </w:rPr>
              <w:t>Total</w:t>
            </w:r>
          </w:p>
        </w:tc>
      </w:tr>
      <w:tr w:rsidR="00CA7676" w:rsidRPr="00E14EE6" w14:paraId="50A717B4" w14:textId="77777777" w:rsidTr="00FD6B66">
        <w:trPr>
          <w:trHeight w:val="20"/>
        </w:trPr>
        <w:tc>
          <w:tcPr>
            <w:tcW w:w="1082" w:type="pct"/>
            <w:noWrap/>
            <w:hideMark/>
          </w:tcPr>
          <w:p w14:paraId="03CCBFA9" w14:textId="4BBE6FB9" w:rsidR="00CA7676" w:rsidRPr="00E14EE6" w:rsidRDefault="00CA7676" w:rsidP="002C6DF6">
            <w:pPr>
              <w:keepNext/>
              <w:keepLines/>
              <w:jc w:val="left"/>
              <w:rPr>
                <w:rFonts w:eastAsia="Times New Roman" w:cs="Calibri"/>
                <w:b/>
                <w:bCs/>
                <w:color w:val="000000"/>
                <w:sz w:val="15"/>
                <w:szCs w:val="15"/>
              </w:rPr>
            </w:pPr>
            <w:r w:rsidRPr="00E14EE6">
              <w:rPr>
                <w:b/>
                <w:sz w:val="15"/>
              </w:rPr>
              <w:t>Total</w:t>
            </w:r>
          </w:p>
        </w:tc>
        <w:tc>
          <w:tcPr>
            <w:tcW w:w="431" w:type="pct"/>
            <w:noWrap/>
            <w:hideMark/>
          </w:tcPr>
          <w:p w14:paraId="60E17688" w14:textId="77777777" w:rsidR="00CA7676" w:rsidRPr="00E14EE6" w:rsidRDefault="00CA7676" w:rsidP="002C6DF6">
            <w:pPr>
              <w:keepNext/>
              <w:keepLines/>
              <w:jc w:val="right"/>
              <w:rPr>
                <w:rFonts w:eastAsia="Times New Roman" w:cs="Calibri"/>
                <w:b/>
                <w:bCs/>
                <w:color w:val="000000"/>
                <w:sz w:val="15"/>
                <w:szCs w:val="15"/>
              </w:rPr>
            </w:pPr>
            <w:r w:rsidRPr="00E14EE6">
              <w:rPr>
                <w:b/>
                <w:sz w:val="15"/>
              </w:rPr>
              <w:t>2,209</w:t>
            </w:r>
          </w:p>
        </w:tc>
        <w:tc>
          <w:tcPr>
            <w:tcW w:w="431" w:type="pct"/>
            <w:noWrap/>
            <w:hideMark/>
          </w:tcPr>
          <w:p w14:paraId="448D2BD4" w14:textId="77777777" w:rsidR="00CA7676" w:rsidRPr="00E14EE6" w:rsidRDefault="00CA7676" w:rsidP="002C6DF6">
            <w:pPr>
              <w:keepNext/>
              <w:keepLines/>
              <w:jc w:val="right"/>
              <w:rPr>
                <w:rFonts w:eastAsia="Times New Roman" w:cs="Calibri"/>
                <w:b/>
                <w:bCs/>
                <w:color w:val="000000"/>
                <w:sz w:val="15"/>
                <w:szCs w:val="15"/>
              </w:rPr>
            </w:pPr>
            <w:r w:rsidRPr="00E14EE6">
              <w:rPr>
                <w:b/>
                <w:sz w:val="15"/>
              </w:rPr>
              <w:t>2,205</w:t>
            </w:r>
          </w:p>
        </w:tc>
        <w:tc>
          <w:tcPr>
            <w:tcW w:w="431" w:type="pct"/>
            <w:noWrap/>
            <w:hideMark/>
          </w:tcPr>
          <w:p w14:paraId="76D7377C" w14:textId="77777777" w:rsidR="00CA7676" w:rsidRPr="00E14EE6" w:rsidRDefault="00CA7676" w:rsidP="002C6DF6">
            <w:pPr>
              <w:keepNext/>
              <w:keepLines/>
              <w:jc w:val="right"/>
              <w:rPr>
                <w:rFonts w:eastAsia="Times New Roman" w:cs="Calibri"/>
                <w:b/>
                <w:bCs/>
                <w:color w:val="000000"/>
                <w:sz w:val="15"/>
                <w:szCs w:val="15"/>
              </w:rPr>
            </w:pPr>
            <w:r w:rsidRPr="00E14EE6">
              <w:rPr>
                <w:b/>
                <w:sz w:val="15"/>
              </w:rPr>
              <w:t>2,407</w:t>
            </w:r>
          </w:p>
        </w:tc>
        <w:tc>
          <w:tcPr>
            <w:tcW w:w="431" w:type="pct"/>
            <w:noWrap/>
            <w:hideMark/>
          </w:tcPr>
          <w:p w14:paraId="39787739" w14:textId="77777777" w:rsidR="00CA7676" w:rsidRPr="00E14EE6" w:rsidRDefault="00CA7676" w:rsidP="002C6DF6">
            <w:pPr>
              <w:keepNext/>
              <w:keepLines/>
              <w:jc w:val="right"/>
              <w:rPr>
                <w:rFonts w:eastAsia="Times New Roman" w:cs="Calibri"/>
                <w:b/>
                <w:bCs/>
                <w:color w:val="000000"/>
                <w:sz w:val="15"/>
                <w:szCs w:val="15"/>
              </w:rPr>
            </w:pPr>
            <w:r w:rsidRPr="00E14EE6">
              <w:rPr>
                <w:b/>
                <w:sz w:val="15"/>
              </w:rPr>
              <w:t>3,571</w:t>
            </w:r>
          </w:p>
        </w:tc>
        <w:tc>
          <w:tcPr>
            <w:tcW w:w="431" w:type="pct"/>
            <w:noWrap/>
            <w:hideMark/>
          </w:tcPr>
          <w:p w14:paraId="5D82A431" w14:textId="77777777" w:rsidR="00CA7676" w:rsidRPr="00E14EE6" w:rsidRDefault="00CA7676" w:rsidP="002C6DF6">
            <w:pPr>
              <w:keepNext/>
              <w:keepLines/>
              <w:jc w:val="right"/>
              <w:rPr>
                <w:rFonts w:eastAsia="Times New Roman" w:cs="Calibri"/>
                <w:b/>
                <w:bCs/>
                <w:color w:val="000000"/>
                <w:sz w:val="15"/>
                <w:szCs w:val="15"/>
              </w:rPr>
            </w:pPr>
            <w:r w:rsidRPr="00E14EE6">
              <w:rPr>
                <w:b/>
                <w:sz w:val="15"/>
              </w:rPr>
              <w:t>2,535</w:t>
            </w:r>
          </w:p>
        </w:tc>
        <w:tc>
          <w:tcPr>
            <w:tcW w:w="431" w:type="pct"/>
            <w:noWrap/>
            <w:hideMark/>
          </w:tcPr>
          <w:p w14:paraId="77E1C783" w14:textId="77777777" w:rsidR="00CA7676" w:rsidRPr="00E14EE6" w:rsidRDefault="00CA7676" w:rsidP="002C6DF6">
            <w:pPr>
              <w:keepNext/>
              <w:keepLines/>
              <w:jc w:val="right"/>
              <w:rPr>
                <w:rFonts w:eastAsia="Times New Roman" w:cs="Calibri"/>
                <w:b/>
                <w:bCs/>
                <w:color w:val="000000"/>
                <w:sz w:val="15"/>
                <w:szCs w:val="15"/>
              </w:rPr>
            </w:pPr>
            <w:r w:rsidRPr="00E14EE6">
              <w:rPr>
                <w:b/>
                <w:sz w:val="15"/>
              </w:rPr>
              <w:t>3,021</w:t>
            </w:r>
          </w:p>
        </w:tc>
        <w:tc>
          <w:tcPr>
            <w:tcW w:w="431" w:type="pct"/>
            <w:noWrap/>
            <w:hideMark/>
          </w:tcPr>
          <w:p w14:paraId="2BAFD305" w14:textId="77777777" w:rsidR="00CA7676" w:rsidRPr="00E14EE6" w:rsidRDefault="00CA7676" w:rsidP="002C6DF6">
            <w:pPr>
              <w:keepNext/>
              <w:keepLines/>
              <w:jc w:val="right"/>
              <w:rPr>
                <w:rFonts w:eastAsia="Times New Roman" w:cs="Calibri"/>
                <w:b/>
                <w:bCs/>
                <w:color w:val="000000"/>
                <w:sz w:val="15"/>
                <w:szCs w:val="15"/>
              </w:rPr>
            </w:pPr>
            <w:r w:rsidRPr="00E14EE6">
              <w:rPr>
                <w:b/>
                <w:sz w:val="15"/>
              </w:rPr>
              <w:t>2,560</w:t>
            </w:r>
          </w:p>
        </w:tc>
        <w:tc>
          <w:tcPr>
            <w:tcW w:w="431" w:type="pct"/>
            <w:noWrap/>
            <w:hideMark/>
          </w:tcPr>
          <w:p w14:paraId="133F25FC" w14:textId="77777777" w:rsidR="00CA7676" w:rsidRPr="00E14EE6" w:rsidRDefault="00CA7676" w:rsidP="002C6DF6">
            <w:pPr>
              <w:keepNext/>
              <w:keepLines/>
              <w:jc w:val="right"/>
              <w:rPr>
                <w:rFonts w:eastAsia="Times New Roman" w:cs="Calibri"/>
                <w:b/>
                <w:bCs/>
                <w:color w:val="000000"/>
                <w:sz w:val="15"/>
                <w:szCs w:val="15"/>
              </w:rPr>
            </w:pPr>
            <w:r w:rsidRPr="00E14EE6">
              <w:rPr>
                <w:b/>
                <w:sz w:val="15"/>
              </w:rPr>
              <w:t>3,102</w:t>
            </w:r>
          </w:p>
        </w:tc>
        <w:tc>
          <w:tcPr>
            <w:tcW w:w="468" w:type="pct"/>
          </w:tcPr>
          <w:p w14:paraId="78A0ECBD" w14:textId="77777777" w:rsidR="00CA7676" w:rsidRPr="00341687" w:rsidRDefault="00CA7676" w:rsidP="002C6DF6">
            <w:pPr>
              <w:keepNext/>
              <w:keepLines/>
              <w:jc w:val="right"/>
              <w:rPr>
                <w:rFonts w:eastAsia="Times New Roman" w:cs="Calibri"/>
                <w:b/>
                <w:bCs/>
                <w:sz w:val="15"/>
                <w:szCs w:val="15"/>
              </w:rPr>
            </w:pPr>
            <w:r w:rsidRPr="00341687">
              <w:rPr>
                <w:b/>
                <w:sz w:val="15"/>
              </w:rPr>
              <w:t>21,610</w:t>
            </w:r>
          </w:p>
        </w:tc>
      </w:tr>
      <w:tr w:rsidR="00CA7676" w:rsidRPr="00E14EE6" w14:paraId="6BF46531" w14:textId="77777777" w:rsidTr="00FD6B66">
        <w:trPr>
          <w:cnfStyle w:val="000000010000" w:firstRow="0" w:lastRow="0" w:firstColumn="0" w:lastColumn="0" w:oddVBand="0" w:evenVBand="0" w:oddHBand="0" w:evenHBand="1" w:firstRowFirstColumn="0" w:firstRowLastColumn="0" w:lastRowFirstColumn="0" w:lastRowLastColumn="0"/>
          <w:trHeight w:val="20"/>
        </w:trPr>
        <w:tc>
          <w:tcPr>
            <w:tcW w:w="1082" w:type="pct"/>
            <w:noWrap/>
            <w:hideMark/>
          </w:tcPr>
          <w:p w14:paraId="354536C6" w14:textId="77777777" w:rsidR="00CA7676" w:rsidRPr="00E14EE6" w:rsidRDefault="00CA7676" w:rsidP="002C6DF6">
            <w:pPr>
              <w:keepNext/>
              <w:keepLines/>
              <w:jc w:val="left"/>
              <w:rPr>
                <w:rFonts w:eastAsia="Times New Roman" w:cs="Calibri"/>
                <w:color w:val="000000"/>
                <w:sz w:val="15"/>
                <w:szCs w:val="15"/>
              </w:rPr>
            </w:pPr>
            <w:r w:rsidRPr="00E14EE6">
              <w:rPr>
                <w:sz w:val="15"/>
              </w:rPr>
              <w:t>Tourism</w:t>
            </w:r>
          </w:p>
        </w:tc>
        <w:tc>
          <w:tcPr>
            <w:tcW w:w="431" w:type="pct"/>
            <w:noWrap/>
            <w:hideMark/>
          </w:tcPr>
          <w:p w14:paraId="3B53105D" w14:textId="77777777" w:rsidR="00CA7676" w:rsidRPr="00E14EE6" w:rsidRDefault="00CA7676" w:rsidP="002C6DF6">
            <w:pPr>
              <w:keepNext/>
              <w:keepLines/>
              <w:jc w:val="right"/>
              <w:rPr>
                <w:rFonts w:eastAsia="Times New Roman" w:cs="Calibri"/>
                <w:color w:val="000000"/>
                <w:sz w:val="15"/>
                <w:szCs w:val="15"/>
              </w:rPr>
            </w:pPr>
            <w:r w:rsidRPr="00E14EE6">
              <w:rPr>
                <w:sz w:val="15"/>
              </w:rPr>
              <w:t>301</w:t>
            </w:r>
          </w:p>
        </w:tc>
        <w:tc>
          <w:tcPr>
            <w:tcW w:w="431" w:type="pct"/>
            <w:noWrap/>
            <w:hideMark/>
          </w:tcPr>
          <w:p w14:paraId="7CA78FBB" w14:textId="77777777" w:rsidR="00CA7676" w:rsidRPr="00E14EE6" w:rsidRDefault="00CA7676" w:rsidP="002C6DF6">
            <w:pPr>
              <w:keepNext/>
              <w:keepLines/>
              <w:jc w:val="right"/>
              <w:rPr>
                <w:rFonts w:eastAsia="Times New Roman" w:cs="Calibri"/>
                <w:color w:val="000000"/>
                <w:sz w:val="15"/>
                <w:szCs w:val="15"/>
              </w:rPr>
            </w:pPr>
            <w:r w:rsidRPr="00E14EE6">
              <w:rPr>
                <w:sz w:val="15"/>
              </w:rPr>
              <w:t>672</w:t>
            </w:r>
          </w:p>
        </w:tc>
        <w:tc>
          <w:tcPr>
            <w:tcW w:w="431" w:type="pct"/>
            <w:noWrap/>
            <w:hideMark/>
          </w:tcPr>
          <w:p w14:paraId="4341F1DE" w14:textId="77777777" w:rsidR="00CA7676" w:rsidRPr="00E14EE6" w:rsidRDefault="00CA7676" w:rsidP="002C6DF6">
            <w:pPr>
              <w:keepNext/>
              <w:keepLines/>
              <w:jc w:val="right"/>
              <w:rPr>
                <w:rFonts w:eastAsia="Times New Roman" w:cs="Calibri"/>
                <w:color w:val="000000"/>
                <w:sz w:val="15"/>
                <w:szCs w:val="15"/>
              </w:rPr>
            </w:pPr>
            <w:r w:rsidRPr="00E14EE6">
              <w:rPr>
                <w:sz w:val="15"/>
              </w:rPr>
              <w:t>790</w:t>
            </w:r>
          </w:p>
        </w:tc>
        <w:tc>
          <w:tcPr>
            <w:tcW w:w="431" w:type="pct"/>
            <w:noWrap/>
            <w:hideMark/>
          </w:tcPr>
          <w:p w14:paraId="53E8B215" w14:textId="77777777" w:rsidR="00CA7676" w:rsidRPr="00E14EE6" w:rsidRDefault="00CA7676" w:rsidP="002C6DF6">
            <w:pPr>
              <w:keepNext/>
              <w:keepLines/>
              <w:jc w:val="right"/>
              <w:rPr>
                <w:rFonts w:eastAsia="Times New Roman" w:cs="Calibri"/>
                <w:color w:val="000000"/>
                <w:sz w:val="15"/>
                <w:szCs w:val="15"/>
              </w:rPr>
            </w:pPr>
            <w:r w:rsidRPr="00E14EE6">
              <w:rPr>
                <w:sz w:val="15"/>
              </w:rPr>
              <w:t>704</w:t>
            </w:r>
          </w:p>
        </w:tc>
        <w:tc>
          <w:tcPr>
            <w:tcW w:w="431" w:type="pct"/>
            <w:noWrap/>
            <w:hideMark/>
          </w:tcPr>
          <w:p w14:paraId="2104A0B4" w14:textId="77777777" w:rsidR="00CA7676" w:rsidRPr="00E14EE6" w:rsidRDefault="00CA7676" w:rsidP="002C6DF6">
            <w:pPr>
              <w:keepNext/>
              <w:keepLines/>
              <w:jc w:val="right"/>
              <w:rPr>
                <w:rFonts w:eastAsia="Times New Roman" w:cs="Calibri"/>
                <w:color w:val="000000"/>
                <w:sz w:val="15"/>
                <w:szCs w:val="15"/>
              </w:rPr>
            </w:pPr>
            <w:r w:rsidRPr="00E14EE6">
              <w:rPr>
                <w:sz w:val="15"/>
              </w:rPr>
              <w:t>854</w:t>
            </w:r>
          </w:p>
        </w:tc>
        <w:tc>
          <w:tcPr>
            <w:tcW w:w="431" w:type="pct"/>
            <w:noWrap/>
            <w:hideMark/>
          </w:tcPr>
          <w:p w14:paraId="4995E165" w14:textId="77777777" w:rsidR="00CA7676" w:rsidRPr="00E14EE6" w:rsidRDefault="00CA7676" w:rsidP="002C6DF6">
            <w:pPr>
              <w:keepNext/>
              <w:keepLines/>
              <w:jc w:val="right"/>
              <w:rPr>
                <w:rFonts w:eastAsia="Times New Roman" w:cs="Calibri"/>
                <w:color w:val="000000"/>
                <w:sz w:val="15"/>
                <w:szCs w:val="15"/>
              </w:rPr>
            </w:pPr>
            <w:r w:rsidRPr="00E14EE6">
              <w:rPr>
                <w:sz w:val="15"/>
              </w:rPr>
              <w:t>994</w:t>
            </w:r>
          </w:p>
        </w:tc>
        <w:tc>
          <w:tcPr>
            <w:tcW w:w="431" w:type="pct"/>
            <w:noWrap/>
            <w:hideMark/>
          </w:tcPr>
          <w:p w14:paraId="15F4CEE3" w14:textId="77777777" w:rsidR="00CA7676" w:rsidRPr="00E14EE6" w:rsidRDefault="00CA7676" w:rsidP="002C6DF6">
            <w:pPr>
              <w:keepNext/>
              <w:keepLines/>
              <w:jc w:val="right"/>
              <w:rPr>
                <w:rFonts w:eastAsia="Times New Roman" w:cs="Calibri"/>
                <w:color w:val="000000"/>
                <w:sz w:val="15"/>
                <w:szCs w:val="15"/>
              </w:rPr>
            </w:pPr>
            <w:r w:rsidRPr="00E14EE6">
              <w:rPr>
                <w:sz w:val="15"/>
              </w:rPr>
              <w:t>954</w:t>
            </w:r>
          </w:p>
        </w:tc>
        <w:tc>
          <w:tcPr>
            <w:tcW w:w="431" w:type="pct"/>
            <w:noWrap/>
            <w:hideMark/>
          </w:tcPr>
          <w:p w14:paraId="6BB1A338" w14:textId="77777777" w:rsidR="00CA7676" w:rsidRPr="00E14EE6" w:rsidRDefault="00CA7676" w:rsidP="002C6DF6">
            <w:pPr>
              <w:keepNext/>
              <w:keepLines/>
              <w:jc w:val="right"/>
              <w:rPr>
                <w:rFonts w:eastAsia="Times New Roman" w:cs="Calibri"/>
                <w:color w:val="000000"/>
                <w:sz w:val="15"/>
                <w:szCs w:val="15"/>
              </w:rPr>
            </w:pPr>
            <w:r w:rsidRPr="00E14EE6">
              <w:rPr>
                <w:sz w:val="15"/>
              </w:rPr>
              <w:t>962</w:t>
            </w:r>
          </w:p>
        </w:tc>
        <w:tc>
          <w:tcPr>
            <w:tcW w:w="468" w:type="pct"/>
          </w:tcPr>
          <w:p w14:paraId="18CF837F" w14:textId="77777777" w:rsidR="00CA7676" w:rsidRPr="00341687" w:rsidRDefault="00CA7676" w:rsidP="002C6DF6">
            <w:pPr>
              <w:keepNext/>
              <w:keepLines/>
              <w:jc w:val="right"/>
              <w:rPr>
                <w:rFonts w:eastAsia="Times New Roman" w:cs="Calibri"/>
                <w:sz w:val="15"/>
                <w:szCs w:val="15"/>
              </w:rPr>
            </w:pPr>
            <w:r w:rsidRPr="00341687">
              <w:rPr>
                <w:sz w:val="15"/>
              </w:rPr>
              <w:t>6,231</w:t>
            </w:r>
          </w:p>
        </w:tc>
      </w:tr>
      <w:tr w:rsidR="00CA7676" w:rsidRPr="00E14EE6" w14:paraId="4E2B6A18" w14:textId="77777777" w:rsidTr="00FD6B66">
        <w:trPr>
          <w:trHeight w:val="20"/>
        </w:trPr>
        <w:tc>
          <w:tcPr>
            <w:tcW w:w="1082" w:type="pct"/>
            <w:noWrap/>
            <w:hideMark/>
          </w:tcPr>
          <w:p w14:paraId="19DB02A3" w14:textId="77777777" w:rsidR="00CA7676" w:rsidRPr="00E14EE6" w:rsidRDefault="00CA7676" w:rsidP="002C6DF6">
            <w:pPr>
              <w:keepNext/>
              <w:keepLines/>
              <w:jc w:val="left"/>
              <w:rPr>
                <w:rFonts w:eastAsia="Times New Roman" w:cs="Calibri"/>
                <w:color w:val="000000"/>
                <w:sz w:val="15"/>
                <w:szCs w:val="15"/>
              </w:rPr>
            </w:pPr>
            <w:r w:rsidRPr="00E14EE6">
              <w:rPr>
                <w:sz w:val="15"/>
              </w:rPr>
              <w:t>Trade/industry</w:t>
            </w:r>
          </w:p>
        </w:tc>
        <w:tc>
          <w:tcPr>
            <w:tcW w:w="431" w:type="pct"/>
            <w:noWrap/>
            <w:hideMark/>
          </w:tcPr>
          <w:p w14:paraId="0200E82F" w14:textId="77777777" w:rsidR="00CA7676" w:rsidRPr="00E14EE6" w:rsidRDefault="00CA7676" w:rsidP="002C6DF6">
            <w:pPr>
              <w:keepNext/>
              <w:keepLines/>
              <w:jc w:val="right"/>
              <w:rPr>
                <w:rFonts w:eastAsia="Times New Roman" w:cs="Calibri"/>
                <w:color w:val="000000"/>
                <w:sz w:val="15"/>
                <w:szCs w:val="15"/>
              </w:rPr>
            </w:pPr>
            <w:r w:rsidRPr="00E14EE6">
              <w:rPr>
                <w:sz w:val="15"/>
              </w:rPr>
              <w:t>607</w:t>
            </w:r>
          </w:p>
        </w:tc>
        <w:tc>
          <w:tcPr>
            <w:tcW w:w="431" w:type="pct"/>
            <w:noWrap/>
            <w:hideMark/>
          </w:tcPr>
          <w:p w14:paraId="77D7F2B1" w14:textId="77777777" w:rsidR="00CA7676" w:rsidRPr="00E14EE6" w:rsidRDefault="00CA7676" w:rsidP="002C6DF6">
            <w:pPr>
              <w:keepNext/>
              <w:keepLines/>
              <w:jc w:val="right"/>
              <w:rPr>
                <w:rFonts w:eastAsia="Times New Roman" w:cs="Calibri"/>
                <w:color w:val="000000"/>
                <w:sz w:val="15"/>
                <w:szCs w:val="15"/>
              </w:rPr>
            </w:pPr>
            <w:r w:rsidRPr="00E14EE6">
              <w:rPr>
                <w:sz w:val="15"/>
              </w:rPr>
              <w:t>368</w:t>
            </w:r>
          </w:p>
        </w:tc>
        <w:tc>
          <w:tcPr>
            <w:tcW w:w="431" w:type="pct"/>
            <w:noWrap/>
            <w:hideMark/>
          </w:tcPr>
          <w:p w14:paraId="3286632B" w14:textId="77777777" w:rsidR="00CA7676" w:rsidRPr="00E14EE6" w:rsidRDefault="00CA7676" w:rsidP="002C6DF6">
            <w:pPr>
              <w:keepNext/>
              <w:keepLines/>
              <w:jc w:val="right"/>
              <w:rPr>
                <w:rFonts w:eastAsia="Times New Roman" w:cs="Calibri"/>
                <w:color w:val="000000"/>
                <w:sz w:val="15"/>
                <w:szCs w:val="15"/>
              </w:rPr>
            </w:pPr>
            <w:r w:rsidRPr="00E14EE6">
              <w:rPr>
                <w:sz w:val="15"/>
              </w:rPr>
              <w:t>413</w:t>
            </w:r>
          </w:p>
        </w:tc>
        <w:tc>
          <w:tcPr>
            <w:tcW w:w="431" w:type="pct"/>
            <w:noWrap/>
            <w:hideMark/>
          </w:tcPr>
          <w:p w14:paraId="6897448E" w14:textId="77777777" w:rsidR="00CA7676" w:rsidRPr="00E14EE6" w:rsidRDefault="00CA7676" w:rsidP="002C6DF6">
            <w:pPr>
              <w:keepNext/>
              <w:keepLines/>
              <w:jc w:val="right"/>
              <w:rPr>
                <w:rFonts w:eastAsia="Times New Roman" w:cs="Calibri"/>
                <w:color w:val="000000"/>
                <w:sz w:val="15"/>
                <w:szCs w:val="15"/>
              </w:rPr>
            </w:pPr>
            <w:r w:rsidRPr="00E14EE6">
              <w:rPr>
                <w:sz w:val="15"/>
              </w:rPr>
              <w:t>1,365</w:t>
            </w:r>
          </w:p>
        </w:tc>
        <w:tc>
          <w:tcPr>
            <w:tcW w:w="431" w:type="pct"/>
            <w:noWrap/>
            <w:hideMark/>
          </w:tcPr>
          <w:p w14:paraId="0E2DF6EC" w14:textId="77777777" w:rsidR="00CA7676" w:rsidRPr="00E14EE6" w:rsidRDefault="00CA7676" w:rsidP="002C6DF6">
            <w:pPr>
              <w:keepNext/>
              <w:keepLines/>
              <w:jc w:val="right"/>
              <w:rPr>
                <w:rFonts w:eastAsia="Times New Roman" w:cs="Calibri"/>
                <w:color w:val="000000"/>
                <w:sz w:val="15"/>
                <w:szCs w:val="15"/>
              </w:rPr>
            </w:pPr>
            <w:r w:rsidRPr="00E14EE6">
              <w:rPr>
                <w:sz w:val="15"/>
              </w:rPr>
              <w:t>540</w:t>
            </w:r>
          </w:p>
        </w:tc>
        <w:tc>
          <w:tcPr>
            <w:tcW w:w="431" w:type="pct"/>
            <w:noWrap/>
            <w:hideMark/>
          </w:tcPr>
          <w:p w14:paraId="14666E77" w14:textId="77777777" w:rsidR="00CA7676" w:rsidRPr="00E14EE6" w:rsidRDefault="00CA7676" w:rsidP="002C6DF6">
            <w:pPr>
              <w:keepNext/>
              <w:keepLines/>
              <w:jc w:val="right"/>
              <w:rPr>
                <w:rFonts w:eastAsia="Times New Roman" w:cs="Calibri"/>
                <w:color w:val="000000"/>
                <w:sz w:val="15"/>
                <w:szCs w:val="15"/>
              </w:rPr>
            </w:pPr>
            <w:r w:rsidRPr="00E14EE6">
              <w:rPr>
                <w:sz w:val="15"/>
              </w:rPr>
              <w:t>356</w:t>
            </w:r>
          </w:p>
        </w:tc>
        <w:tc>
          <w:tcPr>
            <w:tcW w:w="431" w:type="pct"/>
            <w:noWrap/>
            <w:hideMark/>
          </w:tcPr>
          <w:p w14:paraId="38A87D95" w14:textId="77777777" w:rsidR="00CA7676" w:rsidRPr="00E14EE6" w:rsidRDefault="00CA7676" w:rsidP="002C6DF6">
            <w:pPr>
              <w:keepNext/>
              <w:keepLines/>
              <w:jc w:val="right"/>
              <w:rPr>
                <w:rFonts w:eastAsia="Times New Roman" w:cs="Calibri"/>
                <w:color w:val="000000"/>
                <w:sz w:val="15"/>
                <w:szCs w:val="15"/>
              </w:rPr>
            </w:pPr>
            <w:r w:rsidRPr="00E14EE6">
              <w:rPr>
                <w:sz w:val="15"/>
              </w:rPr>
              <w:t>441</w:t>
            </w:r>
          </w:p>
        </w:tc>
        <w:tc>
          <w:tcPr>
            <w:tcW w:w="431" w:type="pct"/>
            <w:noWrap/>
            <w:hideMark/>
          </w:tcPr>
          <w:p w14:paraId="32E6995E" w14:textId="77777777" w:rsidR="00CA7676" w:rsidRPr="00E14EE6" w:rsidRDefault="00CA7676" w:rsidP="002C6DF6">
            <w:pPr>
              <w:keepNext/>
              <w:keepLines/>
              <w:jc w:val="right"/>
              <w:rPr>
                <w:rFonts w:eastAsia="Times New Roman" w:cs="Calibri"/>
                <w:color w:val="000000"/>
                <w:sz w:val="15"/>
                <w:szCs w:val="15"/>
              </w:rPr>
            </w:pPr>
            <w:r w:rsidRPr="00E14EE6">
              <w:rPr>
                <w:sz w:val="15"/>
              </w:rPr>
              <w:t>331</w:t>
            </w:r>
          </w:p>
        </w:tc>
        <w:tc>
          <w:tcPr>
            <w:tcW w:w="468" w:type="pct"/>
          </w:tcPr>
          <w:p w14:paraId="539675A0" w14:textId="77777777" w:rsidR="00CA7676" w:rsidRPr="00341687" w:rsidRDefault="00CA7676" w:rsidP="002C6DF6">
            <w:pPr>
              <w:keepNext/>
              <w:keepLines/>
              <w:jc w:val="right"/>
              <w:rPr>
                <w:rFonts w:eastAsia="Times New Roman" w:cs="Calibri"/>
                <w:sz w:val="15"/>
                <w:szCs w:val="15"/>
              </w:rPr>
            </w:pPr>
            <w:r w:rsidRPr="00341687">
              <w:rPr>
                <w:sz w:val="15"/>
              </w:rPr>
              <w:t>4,421</w:t>
            </w:r>
          </w:p>
        </w:tc>
      </w:tr>
      <w:tr w:rsidR="00CA7676" w:rsidRPr="00E14EE6" w14:paraId="6E79BC9B" w14:textId="77777777" w:rsidTr="00FD6B66">
        <w:trPr>
          <w:cnfStyle w:val="000000010000" w:firstRow="0" w:lastRow="0" w:firstColumn="0" w:lastColumn="0" w:oddVBand="0" w:evenVBand="0" w:oddHBand="0" w:evenHBand="1" w:firstRowFirstColumn="0" w:firstRowLastColumn="0" w:lastRowFirstColumn="0" w:lastRowLastColumn="0"/>
          <w:trHeight w:val="20"/>
        </w:trPr>
        <w:tc>
          <w:tcPr>
            <w:tcW w:w="1082" w:type="pct"/>
            <w:noWrap/>
            <w:hideMark/>
          </w:tcPr>
          <w:p w14:paraId="7291F4EE" w14:textId="77777777" w:rsidR="00CA7676" w:rsidRPr="00E14EE6" w:rsidRDefault="00CA7676" w:rsidP="002C6DF6">
            <w:pPr>
              <w:keepNext/>
              <w:keepLines/>
              <w:jc w:val="left"/>
              <w:rPr>
                <w:rFonts w:eastAsia="Times New Roman" w:cs="Calibri"/>
                <w:color w:val="000000"/>
                <w:sz w:val="15"/>
                <w:szCs w:val="15"/>
              </w:rPr>
            </w:pPr>
            <w:r w:rsidRPr="00E14EE6">
              <w:rPr>
                <w:sz w:val="15"/>
              </w:rPr>
              <w:t>Telecommunications</w:t>
            </w:r>
          </w:p>
        </w:tc>
        <w:tc>
          <w:tcPr>
            <w:tcW w:w="431" w:type="pct"/>
            <w:noWrap/>
            <w:hideMark/>
          </w:tcPr>
          <w:p w14:paraId="646E42F9" w14:textId="77777777" w:rsidR="00CA7676" w:rsidRPr="00E14EE6" w:rsidRDefault="00CA7676" w:rsidP="002C6DF6">
            <w:pPr>
              <w:keepNext/>
              <w:keepLines/>
              <w:jc w:val="right"/>
              <w:rPr>
                <w:rFonts w:eastAsia="Times New Roman" w:cs="Calibri"/>
                <w:color w:val="000000"/>
                <w:sz w:val="15"/>
                <w:szCs w:val="15"/>
              </w:rPr>
            </w:pPr>
            <w:r w:rsidRPr="00E14EE6">
              <w:rPr>
                <w:sz w:val="15"/>
              </w:rPr>
              <w:t>257</w:t>
            </w:r>
          </w:p>
        </w:tc>
        <w:tc>
          <w:tcPr>
            <w:tcW w:w="431" w:type="pct"/>
            <w:noWrap/>
            <w:hideMark/>
          </w:tcPr>
          <w:p w14:paraId="750C35AD" w14:textId="77777777" w:rsidR="00CA7676" w:rsidRPr="00E14EE6" w:rsidRDefault="00CA7676" w:rsidP="002C6DF6">
            <w:pPr>
              <w:keepNext/>
              <w:keepLines/>
              <w:jc w:val="right"/>
              <w:rPr>
                <w:rFonts w:eastAsia="Times New Roman" w:cs="Calibri"/>
                <w:color w:val="000000"/>
                <w:sz w:val="15"/>
                <w:szCs w:val="15"/>
              </w:rPr>
            </w:pPr>
            <w:r w:rsidRPr="00E14EE6">
              <w:rPr>
                <w:sz w:val="15"/>
              </w:rPr>
              <w:t>336</w:t>
            </w:r>
          </w:p>
        </w:tc>
        <w:tc>
          <w:tcPr>
            <w:tcW w:w="431" w:type="pct"/>
            <w:noWrap/>
            <w:hideMark/>
          </w:tcPr>
          <w:p w14:paraId="70742B46" w14:textId="1E2FDFEC" w:rsidR="00CA7676" w:rsidRPr="00E14EE6" w:rsidRDefault="00E14EE6" w:rsidP="002C6DF6">
            <w:pPr>
              <w:keepNext/>
              <w:keepLines/>
              <w:jc w:val="right"/>
              <w:rPr>
                <w:rFonts w:eastAsia="Times New Roman" w:cs="Calibri"/>
                <w:color w:val="000000"/>
                <w:sz w:val="15"/>
                <w:szCs w:val="15"/>
              </w:rPr>
            </w:pPr>
            <w:r w:rsidRPr="00E14EE6">
              <w:rPr>
                <w:sz w:val="15"/>
              </w:rPr>
              <w:noBreakHyphen/>
            </w:r>
            <w:r w:rsidR="00CA7676" w:rsidRPr="00E14EE6">
              <w:rPr>
                <w:sz w:val="15"/>
              </w:rPr>
              <w:t>264</w:t>
            </w:r>
          </w:p>
        </w:tc>
        <w:tc>
          <w:tcPr>
            <w:tcW w:w="431" w:type="pct"/>
            <w:noWrap/>
            <w:hideMark/>
          </w:tcPr>
          <w:p w14:paraId="33AD1F55" w14:textId="77777777" w:rsidR="00CA7676" w:rsidRPr="00E14EE6" w:rsidRDefault="00CA7676" w:rsidP="002C6DF6">
            <w:pPr>
              <w:keepNext/>
              <w:keepLines/>
              <w:jc w:val="right"/>
              <w:rPr>
                <w:rFonts w:eastAsia="Times New Roman" w:cs="Calibri"/>
                <w:color w:val="000000"/>
                <w:sz w:val="15"/>
                <w:szCs w:val="15"/>
              </w:rPr>
            </w:pPr>
            <w:r w:rsidRPr="00E14EE6">
              <w:rPr>
                <w:sz w:val="15"/>
              </w:rPr>
              <w:t>67</w:t>
            </w:r>
          </w:p>
        </w:tc>
        <w:tc>
          <w:tcPr>
            <w:tcW w:w="431" w:type="pct"/>
            <w:noWrap/>
            <w:hideMark/>
          </w:tcPr>
          <w:p w14:paraId="1397BFF2" w14:textId="0F54D33A" w:rsidR="00CA7676" w:rsidRPr="00E14EE6" w:rsidRDefault="00E14EE6" w:rsidP="002C6DF6">
            <w:pPr>
              <w:keepNext/>
              <w:keepLines/>
              <w:jc w:val="right"/>
              <w:rPr>
                <w:rFonts w:eastAsia="Times New Roman" w:cs="Calibri"/>
                <w:color w:val="000000"/>
                <w:sz w:val="15"/>
                <w:szCs w:val="15"/>
              </w:rPr>
            </w:pPr>
            <w:r w:rsidRPr="00E14EE6">
              <w:rPr>
                <w:sz w:val="15"/>
              </w:rPr>
              <w:noBreakHyphen/>
            </w:r>
            <w:r w:rsidR="00CA7676" w:rsidRPr="00E14EE6">
              <w:rPr>
                <w:sz w:val="15"/>
              </w:rPr>
              <w:t>240</w:t>
            </w:r>
          </w:p>
        </w:tc>
        <w:tc>
          <w:tcPr>
            <w:tcW w:w="431" w:type="pct"/>
            <w:noWrap/>
            <w:hideMark/>
          </w:tcPr>
          <w:p w14:paraId="3FAB6601" w14:textId="77777777" w:rsidR="00CA7676" w:rsidRPr="00E14EE6" w:rsidRDefault="00CA7676" w:rsidP="002C6DF6">
            <w:pPr>
              <w:keepNext/>
              <w:keepLines/>
              <w:jc w:val="right"/>
              <w:rPr>
                <w:rFonts w:eastAsia="Times New Roman" w:cs="Calibri"/>
                <w:color w:val="000000"/>
                <w:sz w:val="15"/>
                <w:szCs w:val="15"/>
              </w:rPr>
            </w:pPr>
            <w:r w:rsidRPr="00E14EE6">
              <w:rPr>
                <w:sz w:val="15"/>
              </w:rPr>
              <w:t>312</w:t>
            </w:r>
          </w:p>
        </w:tc>
        <w:tc>
          <w:tcPr>
            <w:tcW w:w="431" w:type="pct"/>
            <w:noWrap/>
            <w:hideMark/>
          </w:tcPr>
          <w:p w14:paraId="2D750BF5" w14:textId="33B87BB3" w:rsidR="00CA7676" w:rsidRPr="00E14EE6" w:rsidRDefault="00E14EE6" w:rsidP="002C6DF6">
            <w:pPr>
              <w:keepNext/>
              <w:keepLines/>
              <w:jc w:val="right"/>
              <w:rPr>
                <w:rFonts w:eastAsia="Times New Roman" w:cs="Calibri"/>
                <w:color w:val="000000"/>
                <w:sz w:val="15"/>
                <w:szCs w:val="15"/>
              </w:rPr>
            </w:pPr>
            <w:r w:rsidRPr="00E14EE6">
              <w:rPr>
                <w:sz w:val="15"/>
              </w:rPr>
              <w:noBreakHyphen/>
            </w:r>
            <w:r w:rsidR="00CA7676" w:rsidRPr="00E14EE6">
              <w:rPr>
                <w:sz w:val="15"/>
              </w:rPr>
              <w:t>124</w:t>
            </w:r>
          </w:p>
        </w:tc>
        <w:tc>
          <w:tcPr>
            <w:tcW w:w="431" w:type="pct"/>
            <w:noWrap/>
            <w:hideMark/>
          </w:tcPr>
          <w:p w14:paraId="7E587670" w14:textId="77777777" w:rsidR="00CA7676" w:rsidRPr="00E14EE6" w:rsidRDefault="00CA7676" w:rsidP="002C6DF6">
            <w:pPr>
              <w:keepNext/>
              <w:keepLines/>
              <w:jc w:val="right"/>
              <w:rPr>
                <w:rFonts w:eastAsia="Times New Roman" w:cs="Calibri"/>
                <w:color w:val="000000"/>
                <w:sz w:val="15"/>
                <w:szCs w:val="15"/>
              </w:rPr>
            </w:pPr>
            <w:r w:rsidRPr="00E14EE6">
              <w:rPr>
                <w:sz w:val="15"/>
              </w:rPr>
              <w:t>84</w:t>
            </w:r>
          </w:p>
        </w:tc>
        <w:tc>
          <w:tcPr>
            <w:tcW w:w="468" w:type="pct"/>
          </w:tcPr>
          <w:p w14:paraId="22C4AEFC" w14:textId="77777777" w:rsidR="00CA7676" w:rsidRPr="00341687" w:rsidRDefault="00CA7676" w:rsidP="002C6DF6">
            <w:pPr>
              <w:keepNext/>
              <w:keepLines/>
              <w:jc w:val="right"/>
              <w:rPr>
                <w:rFonts w:eastAsia="Times New Roman" w:cs="Calibri"/>
                <w:sz w:val="15"/>
                <w:szCs w:val="15"/>
              </w:rPr>
            </w:pPr>
            <w:r w:rsidRPr="00341687">
              <w:rPr>
                <w:sz w:val="15"/>
              </w:rPr>
              <w:t>428</w:t>
            </w:r>
          </w:p>
        </w:tc>
      </w:tr>
      <w:tr w:rsidR="00CA7676" w:rsidRPr="00E14EE6" w14:paraId="352F3D50" w14:textId="77777777" w:rsidTr="00FD6B66">
        <w:trPr>
          <w:trHeight w:val="20"/>
        </w:trPr>
        <w:tc>
          <w:tcPr>
            <w:tcW w:w="1082" w:type="pct"/>
            <w:noWrap/>
            <w:hideMark/>
          </w:tcPr>
          <w:p w14:paraId="4F4575F3" w14:textId="77777777" w:rsidR="00CA7676" w:rsidRPr="00E14EE6" w:rsidRDefault="00CA7676" w:rsidP="002C6DF6">
            <w:pPr>
              <w:keepNext/>
              <w:keepLines/>
              <w:jc w:val="left"/>
              <w:rPr>
                <w:rFonts w:eastAsia="Times New Roman" w:cs="Calibri"/>
                <w:color w:val="000000"/>
                <w:sz w:val="15"/>
                <w:szCs w:val="15"/>
              </w:rPr>
            </w:pPr>
            <w:r w:rsidRPr="00E14EE6">
              <w:rPr>
                <w:sz w:val="15"/>
              </w:rPr>
              <w:t>Energy</w:t>
            </w:r>
          </w:p>
        </w:tc>
        <w:tc>
          <w:tcPr>
            <w:tcW w:w="431" w:type="pct"/>
            <w:noWrap/>
            <w:hideMark/>
          </w:tcPr>
          <w:p w14:paraId="36CADDFE" w14:textId="77777777" w:rsidR="00CA7676" w:rsidRPr="00E14EE6" w:rsidRDefault="00CA7676" w:rsidP="002C6DF6">
            <w:pPr>
              <w:keepNext/>
              <w:keepLines/>
              <w:jc w:val="right"/>
              <w:rPr>
                <w:rFonts w:eastAsia="Times New Roman" w:cs="Calibri"/>
                <w:color w:val="000000"/>
                <w:sz w:val="15"/>
                <w:szCs w:val="15"/>
              </w:rPr>
            </w:pPr>
            <w:r w:rsidRPr="00E14EE6">
              <w:rPr>
                <w:sz w:val="15"/>
              </w:rPr>
              <w:t>352</w:t>
            </w:r>
          </w:p>
        </w:tc>
        <w:tc>
          <w:tcPr>
            <w:tcW w:w="431" w:type="pct"/>
            <w:noWrap/>
            <w:hideMark/>
          </w:tcPr>
          <w:p w14:paraId="1FB336A3" w14:textId="6C6BABFC" w:rsidR="00CA7676" w:rsidRPr="00E14EE6" w:rsidRDefault="00E14EE6" w:rsidP="002C6DF6">
            <w:pPr>
              <w:keepNext/>
              <w:keepLines/>
              <w:jc w:val="right"/>
              <w:rPr>
                <w:rFonts w:eastAsia="Times New Roman" w:cs="Calibri"/>
                <w:color w:val="000000"/>
                <w:sz w:val="15"/>
                <w:szCs w:val="15"/>
              </w:rPr>
            </w:pPr>
            <w:r w:rsidRPr="00E14EE6">
              <w:rPr>
                <w:sz w:val="15"/>
              </w:rPr>
              <w:noBreakHyphen/>
            </w:r>
            <w:r w:rsidR="00CA7676" w:rsidRPr="00E14EE6">
              <w:rPr>
                <w:sz w:val="15"/>
              </w:rPr>
              <w:t>96</w:t>
            </w:r>
          </w:p>
        </w:tc>
        <w:tc>
          <w:tcPr>
            <w:tcW w:w="431" w:type="pct"/>
            <w:noWrap/>
            <w:hideMark/>
          </w:tcPr>
          <w:p w14:paraId="3943CB21" w14:textId="38F2CA76" w:rsidR="00CA7676" w:rsidRPr="00E14EE6" w:rsidRDefault="00E14EE6" w:rsidP="002C6DF6">
            <w:pPr>
              <w:keepNext/>
              <w:keepLines/>
              <w:jc w:val="right"/>
              <w:rPr>
                <w:rFonts w:eastAsia="Times New Roman" w:cs="Calibri"/>
                <w:color w:val="000000"/>
                <w:sz w:val="15"/>
                <w:szCs w:val="15"/>
              </w:rPr>
            </w:pPr>
            <w:r w:rsidRPr="00E14EE6">
              <w:rPr>
                <w:sz w:val="15"/>
              </w:rPr>
              <w:noBreakHyphen/>
            </w:r>
            <w:r w:rsidR="00CA7676" w:rsidRPr="00E14EE6">
              <w:rPr>
                <w:sz w:val="15"/>
              </w:rPr>
              <w:t>8</w:t>
            </w:r>
          </w:p>
        </w:tc>
        <w:tc>
          <w:tcPr>
            <w:tcW w:w="431" w:type="pct"/>
            <w:noWrap/>
            <w:hideMark/>
          </w:tcPr>
          <w:p w14:paraId="78D48880" w14:textId="77777777" w:rsidR="00CA7676" w:rsidRPr="00E14EE6" w:rsidRDefault="00CA7676" w:rsidP="002C6DF6">
            <w:pPr>
              <w:keepNext/>
              <w:keepLines/>
              <w:jc w:val="right"/>
              <w:rPr>
                <w:rFonts w:eastAsia="Times New Roman" w:cs="Calibri"/>
                <w:color w:val="000000"/>
                <w:sz w:val="15"/>
                <w:szCs w:val="15"/>
              </w:rPr>
            </w:pPr>
            <w:r w:rsidRPr="00E14EE6">
              <w:rPr>
                <w:sz w:val="15"/>
              </w:rPr>
              <w:t>64</w:t>
            </w:r>
          </w:p>
        </w:tc>
        <w:tc>
          <w:tcPr>
            <w:tcW w:w="431" w:type="pct"/>
            <w:noWrap/>
            <w:hideMark/>
          </w:tcPr>
          <w:p w14:paraId="0C859CB3" w14:textId="77777777" w:rsidR="00CA7676" w:rsidRPr="00E14EE6" w:rsidRDefault="00CA7676" w:rsidP="002C6DF6">
            <w:pPr>
              <w:keepNext/>
              <w:keepLines/>
              <w:jc w:val="right"/>
              <w:rPr>
                <w:rFonts w:eastAsia="Times New Roman" w:cs="Calibri"/>
                <w:color w:val="000000"/>
                <w:sz w:val="15"/>
                <w:szCs w:val="15"/>
              </w:rPr>
            </w:pPr>
            <w:r w:rsidRPr="00E14EE6">
              <w:rPr>
                <w:sz w:val="15"/>
              </w:rPr>
              <w:t>203</w:t>
            </w:r>
          </w:p>
        </w:tc>
        <w:tc>
          <w:tcPr>
            <w:tcW w:w="431" w:type="pct"/>
            <w:noWrap/>
            <w:hideMark/>
          </w:tcPr>
          <w:p w14:paraId="7CD93ECA" w14:textId="77777777" w:rsidR="00CA7676" w:rsidRPr="00E14EE6" w:rsidRDefault="00CA7676" w:rsidP="002C6DF6">
            <w:pPr>
              <w:keepNext/>
              <w:keepLines/>
              <w:jc w:val="right"/>
              <w:rPr>
                <w:rFonts w:eastAsia="Times New Roman" w:cs="Calibri"/>
                <w:color w:val="000000"/>
                <w:sz w:val="15"/>
                <w:szCs w:val="15"/>
              </w:rPr>
            </w:pPr>
            <w:r w:rsidRPr="00E14EE6">
              <w:rPr>
                <w:sz w:val="15"/>
              </w:rPr>
              <w:t>277</w:t>
            </w:r>
          </w:p>
        </w:tc>
        <w:tc>
          <w:tcPr>
            <w:tcW w:w="431" w:type="pct"/>
            <w:noWrap/>
            <w:hideMark/>
          </w:tcPr>
          <w:p w14:paraId="354ABB54" w14:textId="77777777" w:rsidR="00CA7676" w:rsidRPr="00E14EE6" w:rsidRDefault="00CA7676" w:rsidP="002C6DF6">
            <w:pPr>
              <w:keepNext/>
              <w:keepLines/>
              <w:jc w:val="right"/>
              <w:rPr>
                <w:rFonts w:eastAsia="Times New Roman" w:cs="Calibri"/>
                <w:color w:val="000000"/>
                <w:sz w:val="15"/>
                <w:szCs w:val="15"/>
              </w:rPr>
            </w:pPr>
            <w:r w:rsidRPr="00E14EE6">
              <w:rPr>
                <w:sz w:val="15"/>
              </w:rPr>
              <w:t>431</w:t>
            </w:r>
          </w:p>
        </w:tc>
        <w:tc>
          <w:tcPr>
            <w:tcW w:w="431" w:type="pct"/>
            <w:noWrap/>
            <w:hideMark/>
          </w:tcPr>
          <w:p w14:paraId="0F014762" w14:textId="77777777" w:rsidR="00CA7676" w:rsidRPr="00E14EE6" w:rsidRDefault="00CA7676" w:rsidP="002C6DF6">
            <w:pPr>
              <w:keepNext/>
              <w:keepLines/>
              <w:jc w:val="right"/>
              <w:rPr>
                <w:rFonts w:eastAsia="Times New Roman" w:cs="Calibri"/>
                <w:color w:val="000000"/>
                <w:sz w:val="15"/>
                <w:szCs w:val="15"/>
              </w:rPr>
            </w:pPr>
            <w:r w:rsidRPr="00E14EE6">
              <w:rPr>
                <w:sz w:val="15"/>
              </w:rPr>
              <w:t>280</w:t>
            </w:r>
          </w:p>
        </w:tc>
        <w:tc>
          <w:tcPr>
            <w:tcW w:w="468" w:type="pct"/>
          </w:tcPr>
          <w:p w14:paraId="3F1C211D" w14:textId="77777777" w:rsidR="00CA7676" w:rsidRPr="00341687" w:rsidRDefault="00CA7676" w:rsidP="002C6DF6">
            <w:pPr>
              <w:keepNext/>
              <w:keepLines/>
              <w:jc w:val="right"/>
              <w:rPr>
                <w:rFonts w:eastAsia="Times New Roman" w:cs="Calibri"/>
                <w:sz w:val="15"/>
                <w:szCs w:val="15"/>
              </w:rPr>
            </w:pPr>
            <w:r w:rsidRPr="00341687">
              <w:rPr>
                <w:sz w:val="15"/>
              </w:rPr>
              <w:t>1,503</w:t>
            </w:r>
          </w:p>
        </w:tc>
      </w:tr>
      <w:tr w:rsidR="00CA7676" w:rsidRPr="00E14EE6" w14:paraId="475989F1" w14:textId="77777777" w:rsidTr="00FD6B66">
        <w:trPr>
          <w:cnfStyle w:val="000000010000" w:firstRow="0" w:lastRow="0" w:firstColumn="0" w:lastColumn="0" w:oddVBand="0" w:evenVBand="0" w:oddHBand="0" w:evenHBand="1" w:firstRowFirstColumn="0" w:firstRowLastColumn="0" w:lastRowFirstColumn="0" w:lastRowLastColumn="0"/>
          <w:trHeight w:val="20"/>
        </w:trPr>
        <w:tc>
          <w:tcPr>
            <w:tcW w:w="1082" w:type="pct"/>
            <w:noWrap/>
            <w:hideMark/>
          </w:tcPr>
          <w:p w14:paraId="704FEF7D" w14:textId="77777777" w:rsidR="00CA7676" w:rsidRPr="00E14EE6" w:rsidRDefault="00CA7676" w:rsidP="002C6DF6">
            <w:pPr>
              <w:keepNext/>
              <w:keepLines/>
              <w:jc w:val="left"/>
              <w:rPr>
                <w:rFonts w:eastAsia="Times New Roman" w:cs="Calibri"/>
                <w:color w:val="000000"/>
                <w:sz w:val="15"/>
                <w:szCs w:val="15"/>
              </w:rPr>
            </w:pPr>
            <w:r w:rsidRPr="00E14EE6">
              <w:rPr>
                <w:sz w:val="15"/>
              </w:rPr>
              <w:t>Finance</w:t>
            </w:r>
          </w:p>
        </w:tc>
        <w:tc>
          <w:tcPr>
            <w:tcW w:w="431" w:type="pct"/>
            <w:noWrap/>
            <w:hideMark/>
          </w:tcPr>
          <w:p w14:paraId="45A38EEA" w14:textId="77777777" w:rsidR="00CA7676" w:rsidRPr="00E14EE6" w:rsidRDefault="00CA7676" w:rsidP="002C6DF6">
            <w:pPr>
              <w:keepNext/>
              <w:keepLines/>
              <w:jc w:val="right"/>
              <w:rPr>
                <w:rFonts w:eastAsia="Times New Roman" w:cs="Calibri"/>
                <w:color w:val="000000"/>
                <w:sz w:val="15"/>
                <w:szCs w:val="15"/>
              </w:rPr>
            </w:pPr>
            <w:r w:rsidRPr="00E14EE6">
              <w:rPr>
                <w:sz w:val="15"/>
              </w:rPr>
              <w:t>207</w:t>
            </w:r>
          </w:p>
        </w:tc>
        <w:tc>
          <w:tcPr>
            <w:tcW w:w="431" w:type="pct"/>
            <w:noWrap/>
            <w:hideMark/>
          </w:tcPr>
          <w:p w14:paraId="2EAE6E44" w14:textId="77777777" w:rsidR="00CA7676" w:rsidRPr="00E14EE6" w:rsidRDefault="00CA7676" w:rsidP="002C6DF6">
            <w:pPr>
              <w:keepNext/>
              <w:keepLines/>
              <w:jc w:val="right"/>
              <w:rPr>
                <w:rFonts w:eastAsia="Times New Roman" w:cs="Calibri"/>
                <w:color w:val="000000"/>
                <w:sz w:val="15"/>
                <w:szCs w:val="15"/>
              </w:rPr>
            </w:pPr>
            <w:r w:rsidRPr="00E14EE6">
              <w:rPr>
                <w:sz w:val="15"/>
              </w:rPr>
              <w:t>190</w:t>
            </w:r>
          </w:p>
        </w:tc>
        <w:tc>
          <w:tcPr>
            <w:tcW w:w="431" w:type="pct"/>
            <w:noWrap/>
            <w:hideMark/>
          </w:tcPr>
          <w:p w14:paraId="74C8F693" w14:textId="77777777" w:rsidR="00CA7676" w:rsidRPr="00E14EE6" w:rsidRDefault="00CA7676" w:rsidP="002C6DF6">
            <w:pPr>
              <w:keepNext/>
              <w:keepLines/>
              <w:jc w:val="right"/>
              <w:rPr>
                <w:rFonts w:eastAsia="Times New Roman" w:cs="Calibri"/>
                <w:color w:val="000000"/>
                <w:sz w:val="15"/>
                <w:szCs w:val="15"/>
              </w:rPr>
            </w:pPr>
            <w:r w:rsidRPr="00E14EE6">
              <w:rPr>
                <w:sz w:val="15"/>
              </w:rPr>
              <w:t>125</w:t>
            </w:r>
          </w:p>
        </w:tc>
        <w:tc>
          <w:tcPr>
            <w:tcW w:w="431" w:type="pct"/>
            <w:noWrap/>
            <w:hideMark/>
          </w:tcPr>
          <w:p w14:paraId="5CA8575E" w14:textId="77777777" w:rsidR="00CA7676" w:rsidRPr="00E14EE6" w:rsidRDefault="00CA7676" w:rsidP="002C6DF6">
            <w:pPr>
              <w:keepNext/>
              <w:keepLines/>
              <w:jc w:val="right"/>
              <w:rPr>
                <w:rFonts w:eastAsia="Times New Roman" w:cs="Calibri"/>
                <w:color w:val="000000"/>
                <w:sz w:val="15"/>
                <w:szCs w:val="15"/>
              </w:rPr>
            </w:pPr>
            <w:r w:rsidRPr="00E14EE6">
              <w:rPr>
                <w:sz w:val="15"/>
              </w:rPr>
              <w:t>91</w:t>
            </w:r>
          </w:p>
        </w:tc>
        <w:tc>
          <w:tcPr>
            <w:tcW w:w="431" w:type="pct"/>
            <w:noWrap/>
            <w:hideMark/>
          </w:tcPr>
          <w:p w14:paraId="412C95A1" w14:textId="77777777" w:rsidR="00CA7676" w:rsidRPr="00E14EE6" w:rsidRDefault="00CA7676" w:rsidP="002C6DF6">
            <w:pPr>
              <w:keepNext/>
              <w:keepLines/>
              <w:jc w:val="right"/>
              <w:rPr>
                <w:rFonts w:eastAsia="Times New Roman" w:cs="Calibri"/>
                <w:color w:val="000000"/>
                <w:sz w:val="15"/>
                <w:szCs w:val="15"/>
              </w:rPr>
            </w:pPr>
            <w:r w:rsidRPr="00E14EE6">
              <w:rPr>
                <w:sz w:val="15"/>
              </w:rPr>
              <w:t>179</w:t>
            </w:r>
          </w:p>
        </w:tc>
        <w:tc>
          <w:tcPr>
            <w:tcW w:w="431" w:type="pct"/>
            <w:noWrap/>
            <w:hideMark/>
          </w:tcPr>
          <w:p w14:paraId="66750B37" w14:textId="77777777" w:rsidR="00CA7676" w:rsidRPr="00E14EE6" w:rsidRDefault="00CA7676" w:rsidP="002C6DF6">
            <w:pPr>
              <w:keepNext/>
              <w:keepLines/>
              <w:jc w:val="right"/>
              <w:rPr>
                <w:rFonts w:eastAsia="Times New Roman" w:cs="Calibri"/>
                <w:color w:val="000000"/>
                <w:sz w:val="15"/>
                <w:szCs w:val="15"/>
              </w:rPr>
            </w:pPr>
            <w:r w:rsidRPr="00E14EE6">
              <w:rPr>
                <w:sz w:val="15"/>
              </w:rPr>
              <w:t>94</w:t>
            </w:r>
          </w:p>
        </w:tc>
        <w:tc>
          <w:tcPr>
            <w:tcW w:w="431" w:type="pct"/>
            <w:noWrap/>
            <w:hideMark/>
          </w:tcPr>
          <w:p w14:paraId="333C32FE" w14:textId="77777777" w:rsidR="00CA7676" w:rsidRPr="00E14EE6" w:rsidRDefault="00CA7676" w:rsidP="002C6DF6">
            <w:pPr>
              <w:keepNext/>
              <w:keepLines/>
              <w:jc w:val="right"/>
              <w:rPr>
                <w:rFonts w:eastAsia="Times New Roman" w:cs="Calibri"/>
                <w:color w:val="000000"/>
                <w:sz w:val="15"/>
                <w:szCs w:val="15"/>
              </w:rPr>
            </w:pPr>
            <w:r w:rsidRPr="00E14EE6">
              <w:rPr>
                <w:sz w:val="15"/>
              </w:rPr>
              <w:t>83</w:t>
            </w:r>
          </w:p>
        </w:tc>
        <w:tc>
          <w:tcPr>
            <w:tcW w:w="431" w:type="pct"/>
            <w:noWrap/>
            <w:hideMark/>
          </w:tcPr>
          <w:p w14:paraId="277D1756" w14:textId="77777777" w:rsidR="00CA7676" w:rsidRPr="00E14EE6" w:rsidRDefault="00CA7676" w:rsidP="002C6DF6">
            <w:pPr>
              <w:keepNext/>
              <w:keepLines/>
              <w:jc w:val="right"/>
              <w:rPr>
                <w:rFonts w:eastAsia="Times New Roman" w:cs="Calibri"/>
                <w:color w:val="000000"/>
                <w:sz w:val="15"/>
                <w:szCs w:val="15"/>
              </w:rPr>
            </w:pPr>
            <w:r w:rsidRPr="00E14EE6">
              <w:rPr>
                <w:sz w:val="15"/>
              </w:rPr>
              <w:t>121</w:t>
            </w:r>
          </w:p>
        </w:tc>
        <w:tc>
          <w:tcPr>
            <w:tcW w:w="468" w:type="pct"/>
          </w:tcPr>
          <w:p w14:paraId="04F508A6" w14:textId="77777777" w:rsidR="00CA7676" w:rsidRPr="00341687" w:rsidRDefault="00CA7676" w:rsidP="002C6DF6">
            <w:pPr>
              <w:keepNext/>
              <w:keepLines/>
              <w:jc w:val="right"/>
              <w:rPr>
                <w:rFonts w:eastAsia="Times New Roman" w:cs="Calibri"/>
                <w:sz w:val="15"/>
                <w:szCs w:val="15"/>
              </w:rPr>
            </w:pPr>
            <w:r w:rsidRPr="00341687">
              <w:rPr>
                <w:sz w:val="15"/>
              </w:rPr>
              <w:t>1,090</w:t>
            </w:r>
          </w:p>
        </w:tc>
      </w:tr>
      <w:tr w:rsidR="00CA7676" w:rsidRPr="00E14EE6" w14:paraId="39C306F6" w14:textId="77777777" w:rsidTr="00FD6B66">
        <w:trPr>
          <w:trHeight w:val="20"/>
        </w:trPr>
        <w:tc>
          <w:tcPr>
            <w:tcW w:w="1082" w:type="pct"/>
            <w:noWrap/>
            <w:hideMark/>
          </w:tcPr>
          <w:p w14:paraId="510DC0E3" w14:textId="77777777" w:rsidR="00CA7676" w:rsidRPr="00E14EE6" w:rsidRDefault="00CA7676" w:rsidP="002C6DF6">
            <w:pPr>
              <w:keepNext/>
              <w:keepLines/>
              <w:jc w:val="left"/>
              <w:rPr>
                <w:rFonts w:eastAsia="Times New Roman" w:cs="Calibri"/>
                <w:color w:val="000000"/>
                <w:sz w:val="15"/>
                <w:szCs w:val="15"/>
              </w:rPr>
            </w:pPr>
            <w:r w:rsidRPr="00E14EE6">
              <w:rPr>
                <w:sz w:val="15"/>
              </w:rPr>
              <w:t>Free zones</w:t>
            </w:r>
          </w:p>
        </w:tc>
        <w:tc>
          <w:tcPr>
            <w:tcW w:w="431" w:type="pct"/>
            <w:noWrap/>
            <w:hideMark/>
          </w:tcPr>
          <w:p w14:paraId="17AD923E" w14:textId="77777777" w:rsidR="00CA7676" w:rsidRPr="00E14EE6" w:rsidRDefault="00CA7676" w:rsidP="002C6DF6">
            <w:pPr>
              <w:keepNext/>
              <w:keepLines/>
              <w:jc w:val="right"/>
              <w:rPr>
                <w:rFonts w:eastAsia="Times New Roman" w:cs="Calibri"/>
                <w:color w:val="000000"/>
                <w:sz w:val="15"/>
                <w:szCs w:val="15"/>
              </w:rPr>
            </w:pPr>
            <w:r w:rsidRPr="00E14EE6">
              <w:rPr>
                <w:sz w:val="15"/>
              </w:rPr>
              <w:t>191</w:t>
            </w:r>
          </w:p>
        </w:tc>
        <w:tc>
          <w:tcPr>
            <w:tcW w:w="431" w:type="pct"/>
            <w:noWrap/>
            <w:hideMark/>
          </w:tcPr>
          <w:p w14:paraId="78D01CD3" w14:textId="77777777" w:rsidR="00CA7676" w:rsidRPr="00E14EE6" w:rsidRDefault="00CA7676" w:rsidP="002C6DF6">
            <w:pPr>
              <w:keepNext/>
              <w:keepLines/>
              <w:jc w:val="right"/>
              <w:rPr>
                <w:rFonts w:eastAsia="Times New Roman" w:cs="Calibri"/>
                <w:color w:val="000000"/>
                <w:sz w:val="15"/>
                <w:szCs w:val="15"/>
              </w:rPr>
            </w:pPr>
            <w:r w:rsidRPr="00E14EE6">
              <w:rPr>
                <w:sz w:val="15"/>
              </w:rPr>
              <w:t>237</w:t>
            </w:r>
          </w:p>
        </w:tc>
        <w:tc>
          <w:tcPr>
            <w:tcW w:w="431" w:type="pct"/>
            <w:noWrap/>
            <w:hideMark/>
          </w:tcPr>
          <w:p w14:paraId="62EED5B8" w14:textId="77777777" w:rsidR="00CA7676" w:rsidRPr="00E14EE6" w:rsidRDefault="00CA7676" w:rsidP="002C6DF6">
            <w:pPr>
              <w:keepNext/>
              <w:keepLines/>
              <w:jc w:val="right"/>
              <w:rPr>
                <w:rFonts w:eastAsia="Times New Roman" w:cs="Calibri"/>
                <w:color w:val="000000"/>
                <w:sz w:val="15"/>
                <w:szCs w:val="15"/>
              </w:rPr>
            </w:pPr>
            <w:r w:rsidRPr="00E14EE6">
              <w:rPr>
                <w:sz w:val="15"/>
              </w:rPr>
              <w:t>224</w:t>
            </w:r>
          </w:p>
        </w:tc>
        <w:tc>
          <w:tcPr>
            <w:tcW w:w="431" w:type="pct"/>
            <w:noWrap/>
            <w:hideMark/>
          </w:tcPr>
          <w:p w14:paraId="7F89D27A" w14:textId="77777777" w:rsidR="00CA7676" w:rsidRPr="00E14EE6" w:rsidRDefault="00CA7676" w:rsidP="002C6DF6">
            <w:pPr>
              <w:keepNext/>
              <w:keepLines/>
              <w:jc w:val="right"/>
              <w:rPr>
                <w:rFonts w:eastAsia="Times New Roman" w:cs="Calibri"/>
                <w:color w:val="000000"/>
                <w:sz w:val="15"/>
                <w:szCs w:val="15"/>
              </w:rPr>
            </w:pPr>
            <w:r w:rsidRPr="00E14EE6">
              <w:rPr>
                <w:sz w:val="15"/>
              </w:rPr>
              <w:t>264</w:t>
            </w:r>
          </w:p>
        </w:tc>
        <w:tc>
          <w:tcPr>
            <w:tcW w:w="431" w:type="pct"/>
            <w:noWrap/>
            <w:hideMark/>
          </w:tcPr>
          <w:p w14:paraId="655C7BF8" w14:textId="77777777" w:rsidR="00CA7676" w:rsidRPr="00E14EE6" w:rsidRDefault="00CA7676" w:rsidP="002C6DF6">
            <w:pPr>
              <w:keepNext/>
              <w:keepLines/>
              <w:jc w:val="right"/>
              <w:rPr>
                <w:rFonts w:eastAsia="Times New Roman" w:cs="Calibri"/>
                <w:color w:val="000000"/>
                <w:sz w:val="15"/>
                <w:szCs w:val="15"/>
              </w:rPr>
            </w:pPr>
            <w:r w:rsidRPr="00E14EE6">
              <w:rPr>
                <w:sz w:val="15"/>
              </w:rPr>
              <w:t>234</w:t>
            </w:r>
          </w:p>
        </w:tc>
        <w:tc>
          <w:tcPr>
            <w:tcW w:w="431" w:type="pct"/>
            <w:noWrap/>
            <w:hideMark/>
          </w:tcPr>
          <w:p w14:paraId="280CB76E" w14:textId="77777777" w:rsidR="00CA7676" w:rsidRPr="00E14EE6" w:rsidRDefault="00CA7676" w:rsidP="002C6DF6">
            <w:pPr>
              <w:keepNext/>
              <w:keepLines/>
              <w:jc w:val="right"/>
              <w:rPr>
                <w:rFonts w:eastAsia="Times New Roman" w:cs="Calibri"/>
                <w:color w:val="000000"/>
                <w:sz w:val="15"/>
                <w:szCs w:val="15"/>
              </w:rPr>
            </w:pPr>
            <w:r w:rsidRPr="00E14EE6">
              <w:rPr>
                <w:sz w:val="15"/>
              </w:rPr>
              <w:t>260</w:t>
            </w:r>
          </w:p>
        </w:tc>
        <w:tc>
          <w:tcPr>
            <w:tcW w:w="431" w:type="pct"/>
            <w:noWrap/>
            <w:hideMark/>
          </w:tcPr>
          <w:p w14:paraId="0AE5C4BD" w14:textId="77777777" w:rsidR="00CA7676" w:rsidRPr="00E14EE6" w:rsidRDefault="00CA7676" w:rsidP="002C6DF6">
            <w:pPr>
              <w:keepNext/>
              <w:keepLines/>
              <w:jc w:val="right"/>
              <w:rPr>
                <w:rFonts w:eastAsia="Times New Roman" w:cs="Calibri"/>
                <w:color w:val="000000"/>
                <w:sz w:val="15"/>
                <w:szCs w:val="15"/>
              </w:rPr>
            </w:pPr>
            <w:r w:rsidRPr="00E14EE6">
              <w:rPr>
                <w:sz w:val="15"/>
              </w:rPr>
              <w:t>232</w:t>
            </w:r>
          </w:p>
        </w:tc>
        <w:tc>
          <w:tcPr>
            <w:tcW w:w="431" w:type="pct"/>
            <w:noWrap/>
            <w:hideMark/>
          </w:tcPr>
          <w:p w14:paraId="2BB94EF8" w14:textId="77777777" w:rsidR="00CA7676" w:rsidRPr="00E14EE6" w:rsidRDefault="00CA7676" w:rsidP="002C6DF6">
            <w:pPr>
              <w:keepNext/>
              <w:keepLines/>
              <w:jc w:val="right"/>
              <w:rPr>
                <w:rFonts w:eastAsia="Times New Roman" w:cs="Calibri"/>
                <w:color w:val="000000"/>
                <w:sz w:val="15"/>
                <w:szCs w:val="15"/>
              </w:rPr>
            </w:pPr>
            <w:r w:rsidRPr="00E14EE6">
              <w:rPr>
                <w:sz w:val="15"/>
              </w:rPr>
              <w:t>286</w:t>
            </w:r>
          </w:p>
        </w:tc>
        <w:tc>
          <w:tcPr>
            <w:tcW w:w="468" w:type="pct"/>
          </w:tcPr>
          <w:p w14:paraId="7F173E6E" w14:textId="77777777" w:rsidR="00CA7676" w:rsidRPr="00341687" w:rsidRDefault="00CA7676" w:rsidP="002C6DF6">
            <w:pPr>
              <w:keepNext/>
              <w:keepLines/>
              <w:jc w:val="right"/>
              <w:rPr>
                <w:rFonts w:eastAsia="Times New Roman" w:cs="Calibri"/>
                <w:sz w:val="15"/>
                <w:szCs w:val="15"/>
              </w:rPr>
            </w:pPr>
            <w:r w:rsidRPr="00341687">
              <w:rPr>
                <w:sz w:val="15"/>
              </w:rPr>
              <w:t>1,928</w:t>
            </w:r>
          </w:p>
        </w:tc>
      </w:tr>
      <w:tr w:rsidR="00CA7676" w:rsidRPr="00E14EE6" w14:paraId="3D7C4EBC" w14:textId="77777777" w:rsidTr="00FD6B66">
        <w:trPr>
          <w:cnfStyle w:val="000000010000" w:firstRow="0" w:lastRow="0" w:firstColumn="0" w:lastColumn="0" w:oddVBand="0" w:evenVBand="0" w:oddHBand="0" w:evenHBand="1" w:firstRowFirstColumn="0" w:firstRowLastColumn="0" w:lastRowFirstColumn="0" w:lastRowLastColumn="0"/>
          <w:trHeight w:val="20"/>
        </w:trPr>
        <w:tc>
          <w:tcPr>
            <w:tcW w:w="1082" w:type="pct"/>
            <w:noWrap/>
            <w:hideMark/>
          </w:tcPr>
          <w:p w14:paraId="09EECEBB" w14:textId="77777777" w:rsidR="00CA7676" w:rsidRPr="00E14EE6" w:rsidRDefault="00CA7676" w:rsidP="002C6DF6">
            <w:pPr>
              <w:keepNext/>
              <w:keepLines/>
              <w:jc w:val="left"/>
              <w:rPr>
                <w:rFonts w:eastAsia="Times New Roman" w:cs="Calibri"/>
                <w:color w:val="000000"/>
                <w:sz w:val="15"/>
                <w:szCs w:val="15"/>
              </w:rPr>
            </w:pPr>
            <w:r w:rsidRPr="00E14EE6">
              <w:rPr>
                <w:sz w:val="15"/>
              </w:rPr>
              <w:t>Mining</w:t>
            </w:r>
          </w:p>
        </w:tc>
        <w:tc>
          <w:tcPr>
            <w:tcW w:w="431" w:type="pct"/>
            <w:noWrap/>
            <w:hideMark/>
          </w:tcPr>
          <w:p w14:paraId="297D9ABA" w14:textId="26019828" w:rsidR="00CA7676" w:rsidRPr="00E14EE6" w:rsidRDefault="00E14EE6" w:rsidP="002C6DF6">
            <w:pPr>
              <w:keepNext/>
              <w:keepLines/>
              <w:jc w:val="right"/>
              <w:rPr>
                <w:rFonts w:eastAsia="Times New Roman" w:cs="Calibri"/>
                <w:color w:val="000000"/>
                <w:sz w:val="15"/>
                <w:szCs w:val="15"/>
              </w:rPr>
            </w:pPr>
            <w:r w:rsidRPr="00E14EE6">
              <w:rPr>
                <w:sz w:val="15"/>
              </w:rPr>
              <w:noBreakHyphen/>
            </w:r>
            <w:r w:rsidR="00CA7676" w:rsidRPr="00E14EE6">
              <w:rPr>
                <w:sz w:val="15"/>
              </w:rPr>
              <w:t>39</w:t>
            </w:r>
          </w:p>
        </w:tc>
        <w:tc>
          <w:tcPr>
            <w:tcW w:w="431" w:type="pct"/>
            <w:noWrap/>
            <w:hideMark/>
          </w:tcPr>
          <w:p w14:paraId="52A58D4A" w14:textId="77777777" w:rsidR="00CA7676" w:rsidRPr="00E14EE6" w:rsidRDefault="00CA7676" w:rsidP="002C6DF6">
            <w:pPr>
              <w:keepNext/>
              <w:keepLines/>
              <w:jc w:val="right"/>
              <w:rPr>
                <w:rFonts w:eastAsia="Times New Roman" w:cs="Calibri"/>
                <w:color w:val="000000"/>
                <w:sz w:val="15"/>
                <w:szCs w:val="15"/>
              </w:rPr>
            </w:pPr>
            <w:r w:rsidRPr="00E14EE6">
              <w:rPr>
                <w:sz w:val="15"/>
              </w:rPr>
              <w:t>6</w:t>
            </w:r>
          </w:p>
        </w:tc>
        <w:tc>
          <w:tcPr>
            <w:tcW w:w="431" w:type="pct"/>
            <w:noWrap/>
            <w:hideMark/>
          </w:tcPr>
          <w:p w14:paraId="342A20CE" w14:textId="77777777" w:rsidR="00CA7676" w:rsidRPr="00E14EE6" w:rsidRDefault="00CA7676" w:rsidP="002C6DF6">
            <w:pPr>
              <w:keepNext/>
              <w:keepLines/>
              <w:jc w:val="right"/>
              <w:rPr>
                <w:rFonts w:eastAsia="Times New Roman" w:cs="Calibri"/>
                <w:color w:val="000000"/>
                <w:sz w:val="15"/>
                <w:szCs w:val="15"/>
              </w:rPr>
            </w:pPr>
            <w:r w:rsidRPr="00E14EE6">
              <w:rPr>
                <w:sz w:val="15"/>
              </w:rPr>
              <w:t>486</w:t>
            </w:r>
          </w:p>
        </w:tc>
        <w:tc>
          <w:tcPr>
            <w:tcW w:w="431" w:type="pct"/>
            <w:noWrap/>
            <w:hideMark/>
          </w:tcPr>
          <w:p w14:paraId="4F395F45" w14:textId="77777777" w:rsidR="00CA7676" w:rsidRPr="00E14EE6" w:rsidRDefault="00CA7676" w:rsidP="002C6DF6">
            <w:pPr>
              <w:keepNext/>
              <w:keepLines/>
              <w:jc w:val="right"/>
              <w:rPr>
                <w:rFonts w:eastAsia="Times New Roman" w:cs="Calibri"/>
                <w:color w:val="000000"/>
                <w:sz w:val="15"/>
                <w:szCs w:val="15"/>
              </w:rPr>
            </w:pPr>
            <w:r w:rsidRPr="00E14EE6">
              <w:rPr>
                <w:sz w:val="15"/>
              </w:rPr>
              <w:t>410</w:t>
            </w:r>
          </w:p>
        </w:tc>
        <w:tc>
          <w:tcPr>
            <w:tcW w:w="431" w:type="pct"/>
            <w:noWrap/>
            <w:hideMark/>
          </w:tcPr>
          <w:p w14:paraId="6708AB23" w14:textId="77777777" w:rsidR="00CA7676" w:rsidRPr="00E14EE6" w:rsidRDefault="00CA7676" w:rsidP="002C6DF6">
            <w:pPr>
              <w:keepNext/>
              <w:keepLines/>
              <w:jc w:val="right"/>
              <w:rPr>
                <w:rFonts w:eastAsia="Times New Roman" w:cs="Calibri"/>
                <w:color w:val="000000"/>
                <w:sz w:val="15"/>
                <w:szCs w:val="15"/>
              </w:rPr>
            </w:pPr>
            <w:r w:rsidRPr="00E14EE6">
              <w:rPr>
                <w:sz w:val="15"/>
              </w:rPr>
              <w:t>185</w:t>
            </w:r>
          </w:p>
        </w:tc>
        <w:tc>
          <w:tcPr>
            <w:tcW w:w="431" w:type="pct"/>
            <w:noWrap/>
            <w:hideMark/>
          </w:tcPr>
          <w:p w14:paraId="529A4C15" w14:textId="77777777" w:rsidR="00CA7676" w:rsidRPr="00E14EE6" w:rsidRDefault="00CA7676" w:rsidP="002C6DF6">
            <w:pPr>
              <w:keepNext/>
              <w:keepLines/>
              <w:jc w:val="right"/>
              <w:rPr>
                <w:rFonts w:eastAsia="Times New Roman" w:cs="Calibri"/>
                <w:color w:val="000000"/>
                <w:sz w:val="15"/>
                <w:szCs w:val="15"/>
              </w:rPr>
            </w:pPr>
            <w:r w:rsidRPr="00E14EE6">
              <w:rPr>
                <w:sz w:val="15"/>
              </w:rPr>
              <w:t>225</w:t>
            </w:r>
          </w:p>
        </w:tc>
        <w:tc>
          <w:tcPr>
            <w:tcW w:w="431" w:type="pct"/>
            <w:noWrap/>
            <w:hideMark/>
          </w:tcPr>
          <w:p w14:paraId="0465B0D4" w14:textId="26963F8D" w:rsidR="00CA7676" w:rsidRPr="00E14EE6" w:rsidRDefault="00E14EE6" w:rsidP="002C6DF6">
            <w:pPr>
              <w:keepNext/>
              <w:keepLines/>
              <w:jc w:val="right"/>
              <w:rPr>
                <w:rFonts w:eastAsia="Times New Roman" w:cs="Calibri"/>
                <w:color w:val="000000"/>
                <w:sz w:val="15"/>
                <w:szCs w:val="15"/>
              </w:rPr>
            </w:pPr>
            <w:r w:rsidRPr="00E14EE6">
              <w:rPr>
                <w:sz w:val="15"/>
              </w:rPr>
              <w:noBreakHyphen/>
            </w:r>
            <w:r w:rsidR="00CA7676" w:rsidRPr="00E14EE6">
              <w:rPr>
                <w:sz w:val="15"/>
              </w:rPr>
              <w:t>7</w:t>
            </w:r>
          </w:p>
        </w:tc>
        <w:tc>
          <w:tcPr>
            <w:tcW w:w="431" w:type="pct"/>
            <w:noWrap/>
            <w:hideMark/>
          </w:tcPr>
          <w:p w14:paraId="4C3D5768" w14:textId="77777777" w:rsidR="00CA7676" w:rsidRPr="00E14EE6" w:rsidRDefault="00CA7676" w:rsidP="002C6DF6">
            <w:pPr>
              <w:keepNext/>
              <w:keepLines/>
              <w:jc w:val="right"/>
              <w:rPr>
                <w:rFonts w:eastAsia="Times New Roman" w:cs="Calibri"/>
                <w:color w:val="000000"/>
                <w:sz w:val="15"/>
                <w:szCs w:val="15"/>
              </w:rPr>
            </w:pPr>
            <w:r w:rsidRPr="00E14EE6">
              <w:rPr>
                <w:sz w:val="15"/>
              </w:rPr>
              <w:t>473</w:t>
            </w:r>
          </w:p>
        </w:tc>
        <w:tc>
          <w:tcPr>
            <w:tcW w:w="468" w:type="pct"/>
          </w:tcPr>
          <w:p w14:paraId="684F18EE" w14:textId="77777777" w:rsidR="00CA7676" w:rsidRPr="00341687" w:rsidRDefault="00CA7676" w:rsidP="002C6DF6">
            <w:pPr>
              <w:keepNext/>
              <w:keepLines/>
              <w:jc w:val="right"/>
              <w:rPr>
                <w:rFonts w:eastAsia="Times New Roman" w:cs="Calibri"/>
                <w:sz w:val="15"/>
                <w:szCs w:val="15"/>
              </w:rPr>
            </w:pPr>
            <w:r w:rsidRPr="00341687">
              <w:rPr>
                <w:sz w:val="15"/>
              </w:rPr>
              <w:t>1,739</w:t>
            </w:r>
          </w:p>
        </w:tc>
      </w:tr>
      <w:tr w:rsidR="00CA7676" w:rsidRPr="00E14EE6" w14:paraId="2F981587" w14:textId="77777777" w:rsidTr="00FD6B66">
        <w:trPr>
          <w:trHeight w:val="20"/>
        </w:trPr>
        <w:tc>
          <w:tcPr>
            <w:tcW w:w="1082" w:type="pct"/>
            <w:noWrap/>
            <w:hideMark/>
          </w:tcPr>
          <w:p w14:paraId="64E547D4" w14:textId="77777777" w:rsidR="00CA7676" w:rsidRPr="00E14EE6" w:rsidRDefault="00CA7676" w:rsidP="00E14EE6">
            <w:pPr>
              <w:jc w:val="left"/>
              <w:rPr>
                <w:rFonts w:eastAsia="Times New Roman" w:cs="Calibri"/>
                <w:color w:val="000000"/>
                <w:sz w:val="15"/>
                <w:szCs w:val="15"/>
              </w:rPr>
            </w:pPr>
            <w:r w:rsidRPr="00E14EE6">
              <w:rPr>
                <w:sz w:val="15"/>
              </w:rPr>
              <w:t>Real estate</w:t>
            </w:r>
          </w:p>
        </w:tc>
        <w:tc>
          <w:tcPr>
            <w:tcW w:w="431" w:type="pct"/>
            <w:noWrap/>
            <w:hideMark/>
          </w:tcPr>
          <w:p w14:paraId="4B017F6F" w14:textId="77777777" w:rsidR="00CA7676" w:rsidRPr="00E14EE6" w:rsidRDefault="00CA7676" w:rsidP="00E14EE6">
            <w:pPr>
              <w:jc w:val="right"/>
              <w:rPr>
                <w:rFonts w:eastAsia="Times New Roman" w:cs="Calibri"/>
                <w:color w:val="000000"/>
                <w:sz w:val="15"/>
                <w:szCs w:val="15"/>
              </w:rPr>
            </w:pPr>
            <w:r w:rsidRPr="00E14EE6">
              <w:rPr>
                <w:sz w:val="15"/>
              </w:rPr>
              <w:t>306</w:t>
            </w:r>
          </w:p>
        </w:tc>
        <w:tc>
          <w:tcPr>
            <w:tcW w:w="431" w:type="pct"/>
            <w:noWrap/>
            <w:hideMark/>
          </w:tcPr>
          <w:p w14:paraId="1382A2FD" w14:textId="77777777" w:rsidR="00CA7676" w:rsidRPr="00E14EE6" w:rsidRDefault="00CA7676" w:rsidP="00E14EE6">
            <w:pPr>
              <w:jc w:val="right"/>
              <w:rPr>
                <w:rFonts w:eastAsia="Times New Roman" w:cs="Calibri"/>
                <w:color w:val="000000"/>
                <w:sz w:val="15"/>
                <w:szCs w:val="15"/>
              </w:rPr>
            </w:pPr>
            <w:r w:rsidRPr="00E14EE6">
              <w:rPr>
                <w:sz w:val="15"/>
              </w:rPr>
              <w:t>412</w:t>
            </w:r>
          </w:p>
        </w:tc>
        <w:tc>
          <w:tcPr>
            <w:tcW w:w="431" w:type="pct"/>
            <w:noWrap/>
            <w:hideMark/>
          </w:tcPr>
          <w:p w14:paraId="15B37956" w14:textId="77777777" w:rsidR="00CA7676" w:rsidRPr="00E14EE6" w:rsidRDefault="00CA7676" w:rsidP="00E14EE6">
            <w:pPr>
              <w:jc w:val="right"/>
              <w:rPr>
                <w:rFonts w:eastAsia="Times New Roman" w:cs="Calibri"/>
                <w:color w:val="000000"/>
                <w:sz w:val="15"/>
                <w:szCs w:val="15"/>
              </w:rPr>
            </w:pPr>
            <w:r w:rsidRPr="00E14EE6">
              <w:rPr>
                <w:sz w:val="15"/>
              </w:rPr>
              <w:t>587</w:t>
            </w:r>
          </w:p>
        </w:tc>
        <w:tc>
          <w:tcPr>
            <w:tcW w:w="431" w:type="pct"/>
            <w:noWrap/>
            <w:hideMark/>
          </w:tcPr>
          <w:p w14:paraId="21429F47" w14:textId="77777777" w:rsidR="00CA7676" w:rsidRPr="00E14EE6" w:rsidRDefault="00CA7676" w:rsidP="00E14EE6">
            <w:pPr>
              <w:jc w:val="right"/>
              <w:rPr>
                <w:rFonts w:eastAsia="Times New Roman" w:cs="Calibri"/>
                <w:color w:val="000000"/>
                <w:sz w:val="15"/>
                <w:szCs w:val="15"/>
              </w:rPr>
            </w:pPr>
            <w:r w:rsidRPr="00E14EE6">
              <w:rPr>
                <w:sz w:val="15"/>
              </w:rPr>
              <w:t>546</w:t>
            </w:r>
          </w:p>
        </w:tc>
        <w:tc>
          <w:tcPr>
            <w:tcW w:w="431" w:type="pct"/>
            <w:noWrap/>
            <w:hideMark/>
          </w:tcPr>
          <w:p w14:paraId="13E521C4" w14:textId="77777777" w:rsidR="00CA7676" w:rsidRPr="00E14EE6" w:rsidRDefault="00CA7676" w:rsidP="00E14EE6">
            <w:pPr>
              <w:jc w:val="right"/>
              <w:rPr>
                <w:rFonts w:eastAsia="Times New Roman" w:cs="Calibri"/>
                <w:color w:val="000000"/>
                <w:sz w:val="15"/>
                <w:szCs w:val="15"/>
              </w:rPr>
            </w:pPr>
            <w:r w:rsidRPr="00E14EE6">
              <w:rPr>
                <w:sz w:val="15"/>
              </w:rPr>
              <w:t>518</w:t>
            </w:r>
          </w:p>
        </w:tc>
        <w:tc>
          <w:tcPr>
            <w:tcW w:w="431" w:type="pct"/>
            <w:noWrap/>
            <w:hideMark/>
          </w:tcPr>
          <w:p w14:paraId="584D0DCE" w14:textId="77777777" w:rsidR="00CA7676" w:rsidRPr="00E14EE6" w:rsidRDefault="00CA7676" w:rsidP="00E14EE6">
            <w:pPr>
              <w:jc w:val="right"/>
              <w:rPr>
                <w:rFonts w:eastAsia="Times New Roman" w:cs="Calibri"/>
                <w:color w:val="000000"/>
                <w:sz w:val="15"/>
                <w:szCs w:val="15"/>
              </w:rPr>
            </w:pPr>
            <w:r w:rsidRPr="00E14EE6">
              <w:rPr>
                <w:sz w:val="15"/>
              </w:rPr>
              <w:t>441</w:t>
            </w:r>
          </w:p>
        </w:tc>
        <w:tc>
          <w:tcPr>
            <w:tcW w:w="431" w:type="pct"/>
            <w:noWrap/>
            <w:hideMark/>
          </w:tcPr>
          <w:p w14:paraId="1F177B1E" w14:textId="77777777" w:rsidR="00CA7676" w:rsidRPr="00E14EE6" w:rsidRDefault="00CA7676" w:rsidP="00E14EE6">
            <w:pPr>
              <w:jc w:val="right"/>
              <w:rPr>
                <w:rFonts w:eastAsia="Times New Roman" w:cs="Calibri"/>
                <w:color w:val="000000"/>
                <w:sz w:val="15"/>
                <w:szCs w:val="15"/>
              </w:rPr>
            </w:pPr>
            <w:r w:rsidRPr="00E14EE6">
              <w:rPr>
                <w:sz w:val="15"/>
              </w:rPr>
              <w:t>453</w:t>
            </w:r>
          </w:p>
        </w:tc>
        <w:tc>
          <w:tcPr>
            <w:tcW w:w="431" w:type="pct"/>
            <w:noWrap/>
            <w:hideMark/>
          </w:tcPr>
          <w:p w14:paraId="62DAFB39" w14:textId="77777777" w:rsidR="00CA7676" w:rsidRPr="00E14EE6" w:rsidRDefault="00CA7676" w:rsidP="00E14EE6">
            <w:pPr>
              <w:jc w:val="right"/>
              <w:rPr>
                <w:rFonts w:eastAsia="Times New Roman" w:cs="Calibri"/>
                <w:color w:val="000000"/>
                <w:sz w:val="15"/>
                <w:szCs w:val="15"/>
              </w:rPr>
            </w:pPr>
            <w:r w:rsidRPr="00E14EE6">
              <w:rPr>
                <w:sz w:val="15"/>
              </w:rPr>
              <w:t>497</w:t>
            </w:r>
          </w:p>
        </w:tc>
        <w:tc>
          <w:tcPr>
            <w:tcW w:w="468" w:type="pct"/>
          </w:tcPr>
          <w:p w14:paraId="05E4A4EF" w14:textId="77777777" w:rsidR="00CA7676" w:rsidRPr="00341687" w:rsidRDefault="00CA7676" w:rsidP="00E14EE6">
            <w:pPr>
              <w:jc w:val="right"/>
              <w:rPr>
                <w:rFonts w:eastAsia="Times New Roman" w:cs="Calibri"/>
                <w:sz w:val="15"/>
                <w:szCs w:val="15"/>
              </w:rPr>
            </w:pPr>
            <w:r w:rsidRPr="00341687">
              <w:rPr>
                <w:sz w:val="15"/>
              </w:rPr>
              <w:t>3,760</w:t>
            </w:r>
          </w:p>
        </w:tc>
      </w:tr>
      <w:tr w:rsidR="00CA7676" w:rsidRPr="00E14EE6" w14:paraId="50461CB0" w14:textId="77777777" w:rsidTr="00FD6B66">
        <w:trPr>
          <w:cnfStyle w:val="000000010000" w:firstRow="0" w:lastRow="0" w:firstColumn="0" w:lastColumn="0" w:oddVBand="0" w:evenVBand="0" w:oddHBand="0" w:evenHBand="1" w:firstRowFirstColumn="0" w:firstRowLastColumn="0" w:lastRowFirstColumn="0" w:lastRowLastColumn="0"/>
          <w:trHeight w:val="20"/>
        </w:trPr>
        <w:tc>
          <w:tcPr>
            <w:tcW w:w="1082" w:type="pct"/>
            <w:noWrap/>
            <w:hideMark/>
          </w:tcPr>
          <w:p w14:paraId="787EB86D" w14:textId="77777777" w:rsidR="00CA7676" w:rsidRPr="00E14EE6" w:rsidRDefault="00CA7676" w:rsidP="00E14EE6">
            <w:pPr>
              <w:jc w:val="left"/>
              <w:rPr>
                <w:rFonts w:eastAsia="Times New Roman" w:cs="Calibri"/>
                <w:color w:val="000000"/>
                <w:sz w:val="15"/>
                <w:szCs w:val="15"/>
              </w:rPr>
            </w:pPr>
            <w:r w:rsidRPr="00E14EE6">
              <w:rPr>
                <w:sz w:val="15"/>
              </w:rPr>
              <w:t>Transport</w:t>
            </w:r>
          </w:p>
        </w:tc>
        <w:tc>
          <w:tcPr>
            <w:tcW w:w="431" w:type="pct"/>
            <w:noWrap/>
            <w:hideMark/>
          </w:tcPr>
          <w:p w14:paraId="30762C61" w14:textId="77777777" w:rsidR="00CA7676" w:rsidRPr="00E14EE6" w:rsidRDefault="00CA7676" w:rsidP="00E14EE6">
            <w:pPr>
              <w:jc w:val="right"/>
              <w:rPr>
                <w:rFonts w:eastAsia="Times New Roman" w:cs="Calibri"/>
                <w:color w:val="000000"/>
                <w:sz w:val="15"/>
                <w:szCs w:val="15"/>
              </w:rPr>
            </w:pPr>
            <w:r w:rsidRPr="00E14EE6">
              <w:rPr>
                <w:sz w:val="15"/>
              </w:rPr>
              <w:t>27</w:t>
            </w:r>
          </w:p>
        </w:tc>
        <w:tc>
          <w:tcPr>
            <w:tcW w:w="431" w:type="pct"/>
            <w:noWrap/>
            <w:hideMark/>
          </w:tcPr>
          <w:p w14:paraId="4091459A" w14:textId="77777777" w:rsidR="00CA7676" w:rsidRPr="00E14EE6" w:rsidRDefault="00CA7676" w:rsidP="00E14EE6">
            <w:pPr>
              <w:jc w:val="right"/>
              <w:rPr>
                <w:rFonts w:eastAsia="Times New Roman" w:cs="Calibri"/>
                <w:color w:val="000000"/>
                <w:sz w:val="15"/>
                <w:szCs w:val="15"/>
              </w:rPr>
            </w:pPr>
            <w:r w:rsidRPr="00E14EE6">
              <w:rPr>
                <w:sz w:val="15"/>
              </w:rPr>
              <w:t>81</w:t>
            </w:r>
          </w:p>
        </w:tc>
        <w:tc>
          <w:tcPr>
            <w:tcW w:w="431" w:type="pct"/>
            <w:noWrap/>
            <w:hideMark/>
          </w:tcPr>
          <w:p w14:paraId="2027FFE9" w14:textId="77777777" w:rsidR="00CA7676" w:rsidRPr="00E14EE6" w:rsidRDefault="00CA7676" w:rsidP="00E14EE6">
            <w:pPr>
              <w:jc w:val="right"/>
              <w:rPr>
                <w:rFonts w:eastAsia="Times New Roman" w:cs="Calibri"/>
                <w:color w:val="000000"/>
                <w:sz w:val="15"/>
                <w:szCs w:val="15"/>
              </w:rPr>
            </w:pPr>
            <w:r w:rsidRPr="00E14EE6">
              <w:rPr>
                <w:sz w:val="15"/>
              </w:rPr>
              <w:t>54</w:t>
            </w:r>
          </w:p>
        </w:tc>
        <w:tc>
          <w:tcPr>
            <w:tcW w:w="431" w:type="pct"/>
            <w:noWrap/>
            <w:hideMark/>
          </w:tcPr>
          <w:p w14:paraId="399154C1" w14:textId="77777777" w:rsidR="00CA7676" w:rsidRPr="00E14EE6" w:rsidRDefault="00CA7676" w:rsidP="00E14EE6">
            <w:pPr>
              <w:jc w:val="right"/>
              <w:rPr>
                <w:rFonts w:eastAsia="Times New Roman" w:cs="Calibri"/>
                <w:color w:val="000000"/>
                <w:sz w:val="15"/>
                <w:szCs w:val="15"/>
              </w:rPr>
            </w:pPr>
            <w:r w:rsidRPr="00E14EE6">
              <w:rPr>
                <w:sz w:val="15"/>
              </w:rPr>
              <w:t>60</w:t>
            </w:r>
          </w:p>
        </w:tc>
        <w:tc>
          <w:tcPr>
            <w:tcW w:w="431" w:type="pct"/>
            <w:noWrap/>
            <w:hideMark/>
          </w:tcPr>
          <w:p w14:paraId="176D320E" w14:textId="77777777" w:rsidR="00CA7676" w:rsidRPr="00E14EE6" w:rsidRDefault="00CA7676" w:rsidP="00E14EE6">
            <w:pPr>
              <w:jc w:val="right"/>
              <w:rPr>
                <w:rFonts w:eastAsia="Times New Roman" w:cs="Calibri"/>
                <w:color w:val="000000"/>
                <w:sz w:val="15"/>
                <w:szCs w:val="15"/>
              </w:rPr>
            </w:pPr>
            <w:r w:rsidRPr="00E14EE6">
              <w:rPr>
                <w:sz w:val="15"/>
              </w:rPr>
              <w:t>63</w:t>
            </w:r>
          </w:p>
        </w:tc>
        <w:tc>
          <w:tcPr>
            <w:tcW w:w="431" w:type="pct"/>
            <w:noWrap/>
            <w:hideMark/>
          </w:tcPr>
          <w:p w14:paraId="5325F091" w14:textId="77777777" w:rsidR="00CA7676" w:rsidRPr="00E14EE6" w:rsidRDefault="00CA7676" w:rsidP="00E14EE6">
            <w:pPr>
              <w:jc w:val="right"/>
              <w:rPr>
                <w:rFonts w:eastAsia="Times New Roman" w:cs="Calibri"/>
                <w:color w:val="000000"/>
                <w:sz w:val="15"/>
                <w:szCs w:val="15"/>
              </w:rPr>
            </w:pPr>
            <w:r w:rsidRPr="00E14EE6">
              <w:rPr>
                <w:sz w:val="15"/>
              </w:rPr>
              <w:t>62</w:t>
            </w:r>
          </w:p>
        </w:tc>
        <w:tc>
          <w:tcPr>
            <w:tcW w:w="431" w:type="pct"/>
            <w:noWrap/>
            <w:hideMark/>
          </w:tcPr>
          <w:p w14:paraId="718ACE54" w14:textId="77777777" w:rsidR="00CA7676" w:rsidRPr="00E14EE6" w:rsidRDefault="00CA7676" w:rsidP="00E14EE6">
            <w:pPr>
              <w:jc w:val="right"/>
              <w:rPr>
                <w:rFonts w:eastAsia="Times New Roman" w:cs="Calibri"/>
                <w:color w:val="000000"/>
                <w:sz w:val="15"/>
                <w:szCs w:val="15"/>
              </w:rPr>
            </w:pPr>
            <w:r w:rsidRPr="00E14EE6">
              <w:rPr>
                <w:sz w:val="15"/>
              </w:rPr>
              <w:t>97</w:t>
            </w:r>
          </w:p>
        </w:tc>
        <w:tc>
          <w:tcPr>
            <w:tcW w:w="431" w:type="pct"/>
            <w:noWrap/>
            <w:hideMark/>
          </w:tcPr>
          <w:p w14:paraId="751A5CAE" w14:textId="77777777" w:rsidR="00CA7676" w:rsidRPr="00E14EE6" w:rsidRDefault="00CA7676" w:rsidP="00E14EE6">
            <w:pPr>
              <w:jc w:val="right"/>
              <w:rPr>
                <w:rFonts w:eastAsia="Times New Roman" w:cs="Calibri"/>
                <w:color w:val="000000"/>
                <w:sz w:val="15"/>
                <w:szCs w:val="15"/>
              </w:rPr>
            </w:pPr>
            <w:r w:rsidRPr="00E14EE6">
              <w:rPr>
                <w:sz w:val="15"/>
              </w:rPr>
              <w:t>69</w:t>
            </w:r>
          </w:p>
        </w:tc>
        <w:tc>
          <w:tcPr>
            <w:tcW w:w="468" w:type="pct"/>
          </w:tcPr>
          <w:p w14:paraId="0F627C45" w14:textId="77777777" w:rsidR="00CA7676" w:rsidRPr="00341687" w:rsidRDefault="00CA7676" w:rsidP="00E14EE6">
            <w:pPr>
              <w:jc w:val="right"/>
              <w:rPr>
                <w:rFonts w:eastAsia="Times New Roman" w:cs="Calibri"/>
                <w:sz w:val="15"/>
                <w:szCs w:val="15"/>
              </w:rPr>
            </w:pPr>
            <w:r w:rsidRPr="00341687">
              <w:rPr>
                <w:sz w:val="15"/>
              </w:rPr>
              <w:t>513</w:t>
            </w:r>
          </w:p>
        </w:tc>
      </w:tr>
    </w:tbl>
    <w:p w14:paraId="2CC75991" w14:textId="3F5940B0" w:rsidR="00CA7676" w:rsidRPr="00E14EE6" w:rsidRDefault="00CA7676" w:rsidP="00F06AB8">
      <w:pPr>
        <w:pStyle w:val="NoteText"/>
        <w:spacing w:before="120"/>
        <w:rPr>
          <w:rFonts w:eastAsia="Calibri" w:cs="Times New Roman"/>
        </w:rPr>
      </w:pPr>
      <w:r w:rsidRPr="00E14EE6">
        <w:t>Note:</w:t>
      </w:r>
      <w:r w:rsidRPr="00E14EE6">
        <w:tab/>
        <w:t>The negative figures shown for some sectors represent operational losses, disinvestment and/or dividend payments</w:t>
      </w:r>
      <w:r w:rsidR="00E14EE6" w:rsidRPr="00E14EE6">
        <w:t>. S</w:t>
      </w:r>
      <w:r w:rsidRPr="00E14EE6">
        <w:t xml:space="preserve">tatistics in accordance with the </w:t>
      </w:r>
      <w:r w:rsidR="00135824" w:rsidRPr="00E14EE6">
        <w:t>s</w:t>
      </w:r>
      <w:r w:rsidRPr="00E14EE6">
        <w:t xml:space="preserve">ixth </w:t>
      </w:r>
      <w:r w:rsidR="00135824" w:rsidRPr="00E14EE6">
        <w:t>e</w:t>
      </w:r>
      <w:r w:rsidRPr="00E14EE6">
        <w:t>dition of the IMF's Balance of Payments and International Investment Position Manual.</w:t>
      </w:r>
    </w:p>
    <w:p w14:paraId="76C3CA0B" w14:textId="396EF125" w:rsidR="00CA7676" w:rsidRPr="00E14EE6" w:rsidRDefault="00CA7676" w:rsidP="00F06AB8">
      <w:pPr>
        <w:pStyle w:val="NoteText"/>
        <w:spacing w:before="120" w:after="240"/>
        <w:rPr>
          <w:rFonts w:eastAsia="Calibri" w:cs="Times New Roman"/>
        </w:rPr>
      </w:pPr>
      <w:r w:rsidRPr="00E14EE6">
        <w:t>Source:</w:t>
      </w:r>
      <w:r w:rsidRPr="00E14EE6">
        <w:tab/>
        <w:t>International Department, Balance of Payments Sub</w:t>
      </w:r>
      <w:r w:rsidR="00E14EE6" w:rsidRPr="00E14EE6">
        <w:noBreakHyphen/>
      </w:r>
      <w:r w:rsidRPr="00E14EE6">
        <w:t>Directorate, Foreign Investment Statistics and Registration Division.</w:t>
      </w:r>
    </w:p>
    <w:p w14:paraId="502AF4F1" w14:textId="2955D154" w:rsidR="00CA7676" w:rsidRPr="00E14EE6" w:rsidRDefault="00E14EE6" w:rsidP="00E14EE6">
      <w:pPr>
        <w:pStyle w:val="BodyText"/>
      </w:pPr>
      <w:r w:rsidRPr="00E14EE6">
        <w:t>T</w:t>
      </w:r>
      <w:r w:rsidR="005147A6" w:rsidRPr="00E14EE6">
        <w:t xml:space="preserve">he main sources of </w:t>
      </w:r>
      <w:proofErr w:type="spellStart"/>
      <w:r w:rsidR="005147A6" w:rsidRPr="00E14EE6">
        <w:t>FDI</w:t>
      </w:r>
      <w:proofErr w:type="spellEnd"/>
      <w:r w:rsidR="005147A6" w:rsidRPr="00E14EE6">
        <w:t xml:space="preserve"> in 2014</w:t>
      </w:r>
      <w:r w:rsidRPr="00E14EE6">
        <w:noBreakHyphen/>
      </w:r>
      <w:r w:rsidR="005147A6" w:rsidRPr="00E14EE6">
        <w:t>21 were the United States (accounting for 25.7</w:t>
      </w:r>
      <w:r>
        <w:t>%</w:t>
      </w:r>
      <w:r w:rsidR="005147A6" w:rsidRPr="00E14EE6">
        <w:t xml:space="preserve"> of</w:t>
      </w:r>
      <w:r w:rsidR="00D16B0B">
        <w:t xml:space="preserve"> </w:t>
      </w:r>
      <w:r w:rsidR="005147A6" w:rsidRPr="00E14EE6">
        <w:t>total flows), Canada (10.2</w:t>
      </w:r>
      <w:r>
        <w:t>%</w:t>
      </w:r>
      <w:r w:rsidR="005147A6" w:rsidRPr="00E14EE6">
        <w:t>), Spain (7.3</w:t>
      </w:r>
      <w:r>
        <w:t>%</w:t>
      </w:r>
      <w:r w:rsidR="005147A6" w:rsidRPr="00E14EE6">
        <w:t>) and Mexico (7.3</w:t>
      </w:r>
      <w:r>
        <w:t>%</w:t>
      </w:r>
      <w:r w:rsidR="005147A6" w:rsidRPr="00E14EE6">
        <w:t>) (Table 1.8).</w:t>
      </w:r>
    </w:p>
    <w:p w14:paraId="1B039F97" w14:textId="13F6FEC3" w:rsidR="00CA7676" w:rsidRPr="00E14EE6" w:rsidRDefault="00323DC1" w:rsidP="00323DC1">
      <w:pPr>
        <w:pStyle w:val="Caption"/>
      </w:pPr>
      <w:bookmarkStart w:id="71" w:name="_Toc117238030"/>
      <w:r>
        <w:t xml:space="preserve">Table </w:t>
      </w:r>
      <w:r w:rsidR="00BD37F2">
        <w:fldChar w:fldCharType="begin"/>
      </w:r>
      <w:r w:rsidR="00BD37F2">
        <w:instrText xml:space="preserve"> STYLEREF 1 \s </w:instrText>
      </w:r>
      <w:r w:rsidR="00BD37F2">
        <w:fldChar w:fldCharType="separate"/>
      </w:r>
      <w:r>
        <w:rPr>
          <w:noProof/>
        </w:rPr>
        <w:t>1</w:t>
      </w:r>
      <w:r w:rsidR="00BD37F2">
        <w:rPr>
          <w:noProof/>
        </w:rPr>
        <w:fldChar w:fldCharType="end"/>
      </w:r>
      <w:r>
        <w:t>.</w:t>
      </w:r>
      <w:r w:rsidR="00BD37F2">
        <w:fldChar w:fldCharType="begin"/>
      </w:r>
      <w:r w:rsidR="00BD37F2">
        <w:instrText xml:space="preserve"> SEQ Table \* ARABIC \s 1 </w:instrText>
      </w:r>
      <w:r w:rsidR="00BD37F2">
        <w:fldChar w:fldCharType="separate"/>
      </w:r>
      <w:r>
        <w:rPr>
          <w:noProof/>
        </w:rPr>
        <w:t>8</w:t>
      </w:r>
      <w:r w:rsidR="00BD37F2">
        <w:rPr>
          <w:noProof/>
        </w:rPr>
        <w:fldChar w:fldCharType="end"/>
      </w:r>
      <w:r>
        <w:t xml:space="preserve"> </w:t>
      </w:r>
      <w:proofErr w:type="spellStart"/>
      <w:r w:rsidR="00CA7676" w:rsidRPr="00E14EE6">
        <w:t>FDI</w:t>
      </w:r>
      <w:proofErr w:type="spellEnd"/>
      <w:r w:rsidR="00CA7676" w:rsidRPr="00E14EE6">
        <w:t xml:space="preserve"> </w:t>
      </w:r>
      <w:r w:rsidR="00A05611" w:rsidRPr="00E14EE6">
        <w:t xml:space="preserve">flows </w:t>
      </w:r>
      <w:r w:rsidR="00CA7676" w:rsidRPr="00E14EE6">
        <w:t>by country of origin, 2014</w:t>
      </w:r>
      <w:r w:rsidR="00E14EE6" w:rsidRPr="00E14EE6">
        <w:noBreakHyphen/>
      </w:r>
      <w:r w:rsidR="00CA7676" w:rsidRPr="00E14EE6">
        <w:t>21</w:t>
      </w:r>
      <w:bookmarkEnd w:id="71"/>
    </w:p>
    <w:p w14:paraId="750E15C1" w14:textId="77777777" w:rsidR="00CA7676" w:rsidRPr="00E14EE6" w:rsidRDefault="00CA7676" w:rsidP="00C5302C">
      <w:pPr>
        <w:pStyle w:val="NoteText"/>
        <w:rPr>
          <w:rFonts w:eastAsia="Calibri" w:cs="Times New Roman"/>
          <w:szCs w:val="16"/>
        </w:rPr>
      </w:pPr>
      <w:r w:rsidRPr="00E14EE6">
        <w:t>(USD million)</w:t>
      </w:r>
    </w:p>
    <w:tbl>
      <w:tblPr>
        <w:tblStyle w:val="WTOTable1"/>
        <w:tblW w:w="5000" w:type="pct"/>
        <w:tblLook w:val="04A0" w:firstRow="1" w:lastRow="0" w:firstColumn="1" w:lastColumn="0" w:noHBand="0" w:noVBand="1"/>
      </w:tblPr>
      <w:tblGrid>
        <w:gridCol w:w="1780"/>
        <w:gridCol w:w="801"/>
        <w:gridCol w:w="801"/>
        <w:gridCol w:w="801"/>
        <w:gridCol w:w="802"/>
        <w:gridCol w:w="801"/>
        <w:gridCol w:w="801"/>
        <w:gridCol w:w="801"/>
        <w:gridCol w:w="802"/>
        <w:gridCol w:w="826"/>
      </w:tblGrid>
      <w:tr w:rsidR="00CA7676" w:rsidRPr="00E14EE6" w14:paraId="31931286" w14:textId="77777777" w:rsidTr="00A05611">
        <w:trPr>
          <w:cnfStyle w:val="100000000000" w:firstRow="1" w:lastRow="0" w:firstColumn="0" w:lastColumn="0" w:oddVBand="0" w:evenVBand="0" w:oddHBand="0" w:evenHBand="0" w:firstRowFirstColumn="0" w:firstRowLastColumn="0" w:lastRowFirstColumn="0" w:lastRowLastColumn="0"/>
          <w:cantSplit/>
          <w:trHeight w:val="20"/>
          <w:tblHeader/>
        </w:trPr>
        <w:tc>
          <w:tcPr>
            <w:tcW w:w="987" w:type="pct"/>
            <w:noWrap/>
            <w:hideMark/>
          </w:tcPr>
          <w:p w14:paraId="38658C44" w14:textId="77777777" w:rsidR="00CA7676" w:rsidRPr="00E14EE6" w:rsidRDefault="00CA7676" w:rsidP="00E14EE6">
            <w:pPr>
              <w:jc w:val="left"/>
              <w:rPr>
                <w:rFonts w:eastAsia="Calibri" w:cs="Times New Roman"/>
                <w:sz w:val="15"/>
                <w:szCs w:val="15"/>
              </w:rPr>
            </w:pPr>
          </w:p>
        </w:tc>
        <w:tc>
          <w:tcPr>
            <w:tcW w:w="444" w:type="pct"/>
            <w:noWrap/>
            <w:hideMark/>
          </w:tcPr>
          <w:p w14:paraId="2AC2EFFC" w14:textId="77777777" w:rsidR="00CA7676" w:rsidRPr="00E14EE6" w:rsidRDefault="00CA7676" w:rsidP="00E14EE6">
            <w:pPr>
              <w:jc w:val="right"/>
              <w:rPr>
                <w:rFonts w:eastAsia="Calibri" w:cs="Times New Roman"/>
                <w:sz w:val="15"/>
                <w:szCs w:val="15"/>
              </w:rPr>
            </w:pPr>
            <w:r w:rsidRPr="00E14EE6">
              <w:rPr>
                <w:sz w:val="15"/>
              </w:rPr>
              <w:t>2014</w:t>
            </w:r>
          </w:p>
        </w:tc>
        <w:tc>
          <w:tcPr>
            <w:tcW w:w="444" w:type="pct"/>
            <w:noWrap/>
            <w:hideMark/>
          </w:tcPr>
          <w:p w14:paraId="137D63E0" w14:textId="77777777" w:rsidR="00CA7676" w:rsidRPr="00E14EE6" w:rsidRDefault="00CA7676" w:rsidP="00E14EE6">
            <w:pPr>
              <w:jc w:val="right"/>
              <w:rPr>
                <w:rFonts w:eastAsia="Calibri" w:cs="Times New Roman"/>
                <w:sz w:val="15"/>
                <w:szCs w:val="15"/>
              </w:rPr>
            </w:pPr>
            <w:r w:rsidRPr="00E14EE6">
              <w:rPr>
                <w:sz w:val="15"/>
              </w:rPr>
              <w:t>2015</w:t>
            </w:r>
          </w:p>
        </w:tc>
        <w:tc>
          <w:tcPr>
            <w:tcW w:w="444" w:type="pct"/>
            <w:noWrap/>
            <w:hideMark/>
          </w:tcPr>
          <w:p w14:paraId="4C6D4D3C" w14:textId="77777777" w:rsidR="00CA7676" w:rsidRPr="00E14EE6" w:rsidRDefault="00CA7676" w:rsidP="00E14EE6">
            <w:pPr>
              <w:jc w:val="right"/>
              <w:rPr>
                <w:rFonts w:eastAsia="Calibri" w:cs="Times New Roman"/>
                <w:sz w:val="15"/>
                <w:szCs w:val="15"/>
              </w:rPr>
            </w:pPr>
            <w:r w:rsidRPr="00E14EE6">
              <w:rPr>
                <w:sz w:val="15"/>
              </w:rPr>
              <w:t>2016</w:t>
            </w:r>
          </w:p>
        </w:tc>
        <w:tc>
          <w:tcPr>
            <w:tcW w:w="445" w:type="pct"/>
            <w:noWrap/>
            <w:hideMark/>
          </w:tcPr>
          <w:p w14:paraId="1838CDDE" w14:textId="77777777" w:rsidR="00CA7676" w:rsidRPr="00E14EE6" w:rsidRDefault="00CA7676" w:rsidP="00E14EE6">
            <w:pPr>
              <w:jc w:val="right"/>
              <w:rPr>
                <w:rFonts w:eastAsia="Calibri" w:cs="Times New Roman"/>
                <w:sz w:val="15"/>
                <w:szCs w:val="15"/>
              </w:rPr>
            </w:pPr>
            <w:r w:rsidRPr="00E14EE6">
              <w:rPr>
                <w:sz w:val="15"/>
              </w:rPr>
              <w:t>2017</w:t>
            </w:r>
          </w:p>
        </w:tc>
        <w:tc>
          <w:tcPr>
            <w:tcW w:w="444" w:type="pct"/>
            <w:noWrap/>
            <w:hideMark/>
          </w:tcPr>
          <w:p w14:paraId="563E73AC" w14:textId="77777777" w:rsidR="00CA7676" w:rsidRPr="00E14EE6" w:rsidRDefault="00CA7676" w:rsidP="00E14EE6">
            <w:pPr>
              <w:jc w:val="right"/>
              <w:rPr>
                <w:rFonts w:eastAsia="Calibri" w:cs="Times New Roman"/>
                <w:sz w:val="15"/>
                <w:szCs w:val="15"/>
              </w:rPr>
            </w:pPr>
            <w:r w:rsidRPr="00E14EE6">
              <w:rPr>
                <w:sz w:val="15"/>
              </w:rPr>
              <w:t>2018</w:t>
            </w:r>
          </w:p>
        </w:tc>
        <w:tc>
          <w:tcPr>
            <w:tcW w:w="444" w:type="pct"/>
            <w:noWrap/>
            <w:hideMark/>
          </w:tcPr>
          <w:p w14:paraId="34E865E7" w14:textId="77777777" w:rsidR="00CA7676" w:rsidRPr="00E14EE6" w:rsidRDefault="00CA7676" w:rsidP="00E14EE6">
            <w:pPr>
              <w:jc w:val="right"/>
              <w:rPr>
                <w:rFonts w:eastAsia="Calibri" w:cs="Times New Roman"/>
                <w:sz w:val="15"/>
                <w:szCs w:val="15"/>
              </w:rPr>
            </w:pPr>
            <w:r w:rsidRPr="00E14EE6">
              <w:rPr>
                <w:sz w:val="15"/>
              </w:rPr>
              <w:t>2019</w:t>
            </w:r>
          </w:p>
        </w:tc>
        <w:tc>
          <w:tcPr>
            <w:tcW w:w="444" w:type="pct"/>
            <w:noWrap/>
            <w:hideMark/>
          </w:tcPr>
          <w:p w14:paraId="529A0F48" w14:textId="77777777" w:rsidR="00CA7676" w:rsidRPr="00E14EE6" w:rsidRDefault="00CA7676" w:rsidP="00E14EE6">
            <w:pPr>
              <w:jc w:val="right"/>
              <w:rPr>
                <w:rFonts w:eastAsia="Calibri" w:cs="Times New Roman"/>
                <w:sz w:val="15"/>
                <w:szCs w:val="15"/>
              </w:rPr>
            </w:pPr>
            <w:r w:rsidRPr="00E14EE6">
              <w:rPr>
                <w:sz w:val="15"/>
              </w:rPr>
              <w:t>2020</w:t>
            </w:r>
          </w:p>
        </w:tc>
        <w:tc>
          <w:tcPr>
            <w:tcW w:w="445" w:type="pct"/>
            <w:noWrap/>
            <w:hideMark/>
          </w:tcPr>
          <w:p w14:paraId="7B49181E" w14:textId="77777777" w:rsidR="00CA7676" w:rsidRPr="00E14EE6" w:rsidRDefault="00CA7676" w:rsidP="00E14EE6">
            <w:pPr>
              <w:jc w:val="right"/>
              <w:rPr>
                <w:rFonts w:eastAsia="Calibri" w:cs="Times New Roman"/>
                <w:sz w:val="15"/>
                <w:szCs w:val="15"/>
              </w:rPr>
            </w:pPr>
            <w:r w:rsidRPr="00E14EE6">
              <w:rPr>
                <w:sz w:val="15"/>
              </w:rPr>
              <w:t>2021</w:t>
            </w:r>
          </w:p>
        </w:tc>
        <w:tc>
          <w:tcPr>
            <w:tcW w:w="458" w:type="pct"/>
            <w:noWrap/>
            <w:hideMark/>
          </w:tcPr>
          <w:p w14:paraId="3E2F245E" w14:textId="77777777" w:rsidR="00CA7676" w:rsidRPr="00E14EE6" w:rsidRDefault="00CA7676" w:rsidP="00E14EE6">
            <w:pPr>
              <w:jc w:val="right"/>
              <w:rPr>
                <w:rFonts w:eastAsia="Calibri" w:cs="Times New Roman"/>
                <w:sz w:val="15"/>
                <w:szCs w:val="15"/>
              </w:rPr>
            </w:pPr>
            <w:r w:rsidRPr="00E14EE6">
              <w:rPr>
                <w:sz w:val="15"/>
              </w:rPr>
              <w:t>Total</w:t>
            </w:r>
          </w:p>
        </w:tc>
      </w:tr>
      <w:tr w:rsidR="00CA7676" w:rsidRPr="00E14EE6" w14:paraId="4148CDBE" w14:textId="77777777" w:rsidTr="00A05611">
        <w:trPr>
          <w:cantSplit/>
          <w:trHeight w:val="20"/>
        </w:trPr>
        <w:tc>
          <w:tcPr>
            <w:tcW w:w="987" w:type="pct"/>
            <w:noWrap/>
            <w:hideMark/>
          </w:tcPr>
          <w:p w14:paraId="723A797D" w14:textId="77777777" w:rsidR="00CA7676" w:rsidRPr="00E14EE6" w:rsidRDefault="00CA7676" w:rsidP="00E14EE6">
            <w:pPr>
              <w:jc w:val="left"/>
              <w:rPr>
                <w:rFonts w:eastAsia="Calibri" w:cs="Times New Roman"/>
                <w:b/>
                <w:bCs/>
                <w:sz w:val="15"/>
                <w:szCs w:val="15"/>
              </w:rPr>
            </w:pPr>
            <w:r w:rsidRPr="00E14EE6">
              <w:rPr>
                <w:b/>
                <w:sz w:val="15"/>
              </w:rPr>
              <w:t>Total flows</w:t>
            </w:r>
          </w:p>
        </w:tc>
        <w:tc>
          <w:tcPr>
            <w:tcW w:w="444" w:type="pct"/>
            <w:noWrap/>
            <w:hideMark/>
          </w:tcPr>
          <w:p w14:paraId="4853B64F" w14:textId="77777777" w:rsidR="00CA7676" w:rsidRPr="00E14EE6" w:rsidRDefault="00CA7676" w:rsidP="00E14EE6">
            <w:pPr>
              <w:jc w:val="right"/>
              <w:rPr>
                <w:rFonts w:eastAsia="Calibri" w:cs="Times New Roman"/>
                <w:b/>
                <w:bCs/>
                <w:sz w:val="15"/>
                <w:szCs w:val="15"/>
              </w:rPr>
            </w:pPr>
            <w:r w:rsidRPr="00E14EE6">
              <w:rPr>
                <w:b/>
                <w:sz w:val="15"/>
              </w:rPr>
              <w:t>2,209</w:t>
            </w:r>
          </w:p>
        </w:tc>
        <w:tc>
          <w:tcPr>
            <w:tcW w:w="444" w:type="pct"/>
            <w:noWrap/>
            <w:hideMark/>
          </w:tcPr>
          <w:p w14:paraId="4E85BEF4" w14:textId="77777777" w:rsidR="00CA7676" w:rsidRPr="00E14EE6" w:rsidRDefault="00CA7676" w:rsidP="00E14EE6">
            <w:pPr>
              <w:jc w:val="right"/>
              <w:rPr>
                <w:rFonts w:eastAsia="Calibri" w:cs="Times New Roman"/>
                <w:b/>
                <w:bCs/>
                <w:sz w:val="15"/>
                <w:szCs w:val="15"/>
              </w:rPr>
            </w:pPr>
            <w:r w:rsidRPr="00E14EE6">
              <w:rPr>
                <w:b/>
                <w:sz w:val="15"/>
              </w:rPr>
              <w:t>2,205</w:t>
            </w:r>
          </w:p>
        </w:tc>
        <w:tc>
          <w:tcPr>
            <w:tcW w:w="444" w:type="pct"/>
            <w:noWrap/>
            <w:hideMark/>
          </w:tcPr>
          <w:p w14:paraId="7BFB70B3" w14:textId="77777777" w:rsidR="00CA7676" w:rsidRPr="00E14EE6" w:rsidRDefault="00CA7676" w:rsidP="00E14EE6">
            <w:pPr>
              <w:jc w:val="right"/>
              <w:rPr>
                <w:rFonts w:eastAsia="Calibri" w:cs="Times New Roman"/>
                <w:b/>
                <w:bCs/>
                <w:sz w:val="15"/>
                <w:szCs w:val="15"/>
              </w:rPr>
            </w:pPr>
            <w:r w:rsidRPr="00E14EE6">
              <w:rPr>
                <w:b/>
                <w:sz w:val="15"/>
              </w:rPr>
              <w:t>2,407</w:t>
            </w:r>
          </w:p>
        </w:tc>
        <w:tc>
          <w:tcPr>
            <w:tcW w:w="445" w:type="pct"/>
            <w:noWrap/>
            <w:hideMark/>
          </w:tcPr>
          <w:p w14:paraId="781F8FF7" w14:textId="77777777" w:rsidR="00CA7676" w:rsidRPr="00E14EE6" w:rsidRDefault="00CA7676" w:rsidP="00E14EE6">
            <w:pPr>
              <w:jc w:val="right"/>
              <w:rPr>
                <w:rFonts w:eastAsia="Calibri" w:cs="Times New Roman"/>
                <w:b/>
                <w:bCs/>
                <w:sz w:val="15"/>
                <w:szCs w:val="15"/>
              </w:rPr>
            </w:pPr>
            <w:r w:rsidRPr="00E14EE6">
              <w:rPr>
                <w:b/>
                <w:sz w:val="15"/>
              </w:rPr>
              <w:t>3,571</w:t>
            </w:r>
          </w:p>
        </w:tc>
        <w:tc>
          <w:tcPr>
            <w:tcW w:w="444" w:type="pct"/>
            <w:noWrap/>
            <w:hideMark/>
          </w:tcPr>
          <w:p w14:paraId="6DE2EA31" w14:textId="77777777" w:rsidR="00CA7676" w:rsidRPr="00E14EE6" w:rsidRDefault="00CA7676" w:rsidP="00E14EE6">
            <w:pPr>
              <w:jc w:val="right"/>
              <w:rPr>
                <w:rFonts w:eastAsia="Calibri" w:cs="Times New Roman"/>
                <w:b/>
                <w:bCs/>
                <w:sz w:val="15"/>
                <w:szCs w:val="15"/>
              </w:rPr>
            </w:pPr>
            <w:r w:rsidRPr="00E14EE6">
              <w:rPr>
                <w:b/>
                <w:sz w:val="15"/>
              </w:rPr>
              <w:t>2,535</w:t>
            </w:r>
          </w:p>
        </w:tc>
        <w:tc>
          <w:tcPr>
            <w:tcW w:w="444" w:type="pct"/>
            <w:noWrap/>
            <w:hideMark/>
          </w:tcPr>
          <w:p w14:paraId="353F568F" w14:textId="77777777" w:rsidR="00CA7676" w:rsidRPr="00E14EE6" w:rsidRDefault="00CA7676" w:rsidP="00E14EE6">
            <w:pPr>
              <w:jc w:val="right"/>
              <w:rPr>
                <w:rFonts w:eastAsia="Calibri" w:cs="Times New Roman"/>
                <w:b/>
                <w:bCs/>
                <w:sz w:val="15"/>
                <w:szCs w:val="15"/>
              </w:rPr>
            </w:pPr>
            <w:r w:rsidRPr="00E14EE6">
              <w:rPr>
                <w:b/>
                <w:sz w:val="15"/>
              </w:rPr>
              <w:t>3,021</w:t>
            </w:r>
          </w:p>
        </w:tc>
        <w:tc>
          <w:tcPr>
            <w:tcW w:w="444" w:type="pct"/>
            <w:noWrap/>
            <w:hideMark/>
          </w:tcPr>
          <w:p w14:paraId="59E8700F" w14:textId="77777777" w:rsidR="00CA7676" w:rsidRPr="00E14EE6" w:rsidRDefault="00CA7676" w:rsidP="00E14EE6">
            <w:pPr>
              <w:jc w:val="right"/>
              <w:rPr>
                <w:rFonts w:eastAsia="Calibri" w:cs="Times New Roman"/>
                <w:b/>
                <w:bCs/>
                <w:sz w:val="15"/>
                <w:szCs w:val="15"/>
              </w:rPr>
            </w:pPr>
            <w:r w:rsidRPr="00E14EE6">
              <w:rPr>
                <w:b/>
                <w:sz w:val="15"/>
              </w:rPr>
              <w:t>2,560</w:t>
            </w:r>
          </w:p>
        </w:tc>
        <w:tc>
          <w:tcPr>
            <w:tcW w:w="445" w:type="pct"/>
            <w:noWrap/>
            <w:hideMark/>
          </w:tcPr>
          <w:p w14:paraId="451FCD8F" w14:textId="77777777" w:rsidR="00CA7676" w:rsidRPr="00E14EE6" w:rsidRDefault="00CA7676" w:rsidP="00E14EE6">
            <w:pPr>
              <w:jc w:val="right"/>
              <w:rPr>
                <w:rFonts w:eastAsia="Calibri" w:cs="Times New Roman"/>
                <w:b/>
                <w:bCs/>
                <w:sz w:val="15"/>
                <w:szCs w:val="15"/>
              </w:rPr>
            </w:pPr>
            <w:r w:rsidRPr="00E14EE6">
              <w:rPr>
                <w:b/>
                <w:sz w:val="15"/>
              </w:rPr>
              <w:t>3,102</w:t>
            </w:r>
          </w:p>
        </w:tc>
        <w:tc>
          <w:tcPr>
            <w:tcW w:w="458" w:type="pct"/>
            <w:noWrap/>
            <w:hideMark/>
          </w:tcPr>
          <w:p w14:paraId="701DC62E" w14:textId="77777777" w:rsidR="00CA7676" w:rsidRPr="00E97109" w:rsidRDefault="00CA7676" w:rsidP="00E14EE6">
            <w:pPr>
              <w:jc w:val="right"/>
              <w:rPr>
                <w:rFonts w:eastAsia="Calibri" w:cs="Times New Roman"/>
                <w:b/>
                <w:bCs/>
                <w:sz w:val="15"/>
                <w:szCs w:val="15"/>
                <w:highlight w:val="darkGray"/>
              </w:rPr>
            </w:pPr>
            <w:r w:rsidRPr="00E97109">
              <w:rPr>
                <w:b/>
                <w:sz w:val="15"/>
                <w:highlight w:val="darkGray"/>
              </w:rPr>
              <w:t>21,610</w:t>
            </w:r>
          </w:p>
        </w:tc>
      </w:tr>
      <w:tr w:rsidR="00CA7676" w:rsidRPr="00E14EE6" w14:paraId="72DC944A" w14:textId="77777777" w:rsidTr="00A05611">
        <w:trPr>
          <w:cnfStyle w:val="000000010000" w:firstRow="0" w:lastRow="0" w:firstColumn="0" w:lastColumn="0" w:oddVBand="0" w:evenVBand="0" w:oddHBand="0" w:evenHBand="1" w:firstRowFirstColumn="0" w:firstRowLastColumn="0" w:lastRowFirstColumn="0" w:lastRowLastColumn="0"/>
          <w:cantSplit/>
          <w:trHeight w:val="20"/>
        </w:trPr>
        <w:tc>
          <w:tcPr>
            <w:tcW w:w="987" w:type="pct"/>
            <w:noWrap/>
            <w:hideMark/>
          </w:tcPr>
          <w:p w14:paraId="2109D5C1" w14:textId="77777777" w:rsidR="00CA7676" w:rsidRPr="00E14EE6" w:rsidRDefault="00CA7676" w:rsidP="00E14EE6">
            <w:pPr>
              <w:jc w:val="left"/>
              <w:rPr>
                <w:rFonts w:eastAsia="Calibri" w:cs="Times New Roman"/>
                <w:sz w:val="15"/>
                <w:szCs w:val="15"/>
              </w:rPr>
            </w:pPr>
            <w:r w:rsidRPr="00E14EE6">
              <w:rPr>
                <w:sz w:val="15"/>
              </w:rPr>
              <w:t>United States</w:t>
            </w:r>
          </w:p>
        </w:tc>
        <w:tc>
          <w:tcPr>
            <w:tcW w:w="444" w:type="pct"/>
            <w:noWrap/>
            <w:hideMark/>
          </w:tcPr>
          <w:p w14:paraId="115A1DE4" w14:textId="77777777" w:rsidR="00CA7676" w:rsidRPr="00E14EE6" w:rsidRDefault="00CA7676" w:rsidP="00E14EE6">
            <w:pPr>
              <w:jc w:val="right"/>
              <w:rPr>
                <w:rFonts w:eastAsia="Calibri" w:cs="Times New Roman"/>
                <w:sz w:val="15"/>
                <w:szCs w:val="15"/>
              </w:rPr>
            </w:pPr>
            <w:r w:rsidRPr="00E14EE6">
              <w:rPr>
                <w:sz w:val="15"/>
              </w:rPr>
              <w:t>321</w:t>
            </w:r>
          </w:p>
        </w:tc>
        <w:tc>
          <w:tcPr>
            <w:tcW w:w="444" w:type="pct"/>
            <w:noWrap/>
            <w:hideMark/>
          </w:tcPr>
          <w:p w14:paraId="49395FF6" w14:textId="77777777" w:rsidR="00CA7676" w:rsidRPr="00E14EE6" w:rsidRDefault="00CA7676" w:rsidP="00E14EE6">
            <w:pPr>
              <w:jc w:val="right"/>
              <w:rPr>
                <w:rFonts w:eastAsia="Calibri" w:cs="Times New Roman"/>
                <w:sz w:val="15"/>
                <w:szCs w:val="15"/>
              </w:rPr>
            </w:pPr>
            <w:r w:rsidRPr="00E14EE6">
              <w:rPr>
                <w:sz w:val="15"/>
              </w:rPr>
              <w:t>405</w:t>
            </w:r>
          </w:p>
        </w:tc>
        <w:tc>
          <w:tcPr>
            <w:tcW w:w="444" w:type="pct"/>
            <w:noWrap/>
            <w:hideMark/>
          </w:tcPr>
          <w:p w14:paraId="392339AF" w14:textId="77777777" w:rsidR="00CA7676" w:rsidRPr="00E14EE6" w:rsidRDefault="00CA7676" w:rsidP="00E14EE6">
            <w:pPr>
              <w:jc w:val="right"/>
              <w:rPr>
                <w:rFonts w:eastAsia="Calibri" w:cs="Times New Roman"/>
                <w:sz w:val="15"/>
                <w:szCs w:val="15"/>
              </w:rPr>
            </w:pPr>
            <w:r w:rsidRPr="00E14EE6">
              <w:rPr>
                <w:sz w:val="15"/>
              </w:rPr>
              <w:t>356</w:t>
            </w:r>
          </w:p>
        </w:tc>
        <w:tc>
          <w:tcPr>
            <w:tcW w:w="445" w:type="pct"/>
            <w:noWrap/>
            <w:hideMark/>
          </w:tcPr>
          <w:p w14:paraId="1768B5D5" w14:textId="77777777" w:rsidR="00CA7676" w:rsidRPr="00E14EE6" w:rsidRDefault="00CA7676" w:rsidP="00E14EE6">
            <w:pPr>
              <w:jc w:val="right"/>
              <w:rPr>
                <w:rFonts w:eastAsia="Calibri" w:cs="Times New Roman"/>
                <w:sz w:val="15"/>
                <w:szCs w:val="15"/>
              </w:rPr>
            </w:pPr>
            <w:r w:rsidRPr="00E14EE6">
              <w:rPr>
                <w:sz w:val="15"/>
              </w:rPr>
              <w:t>732</w:t>
            </w:r>
          </w:p>
        </w:tc>
        <w:tc>
          <w:tcPr>
            <w:tcW w:w="444" w:type="pct"/>
            <w:noWrap/>
            <w:hideMark/>
          </w:tcPr>
          <w:p w14:paraId="27147C41" w14:textId="77777777" w:rsidR="00CA7676" w:rsidRPr="00E14EE6" w:rsidRDefault="00CA7676" w:rsidP="00E14EE6">
            <w:pPr>
              <w:jc w:val="right"/>
              <w:rPr>
                <w:rFonts w:eastAsia="Calibri" w:cs="Times New Roman"/>
                <w:sz w:val="15"/>
                <w:szCs w:val="15"/>
              </w:rPr>
            </w:pPr>
            <w:r w:rsidRPr="00E14EE6">
              <w:rPr>
                <w:sz w:val="15"/>
              </w:rPr>
              <w:t>709</w:t>
            </w:r>
          </w:p>
        </w:tc>
        <w:tc>
          <w:tcPr>
            <w:tcW w:w="444" w:type="pct"/>
            <w:noWrap/>
            <w:hideMark/>
          </w:tcPr>
          <w:p w14:paraId="57EF9537" w14:textId="77777777" w:rsidR="00CA7676" w:rsidRPr="00E14EE6" w:rsidRDefault="00CA7676" w:rsidP="00E14EE6">
            <w:pPr>
              <w:jc w:val="right"/>
              <w:rPr>
                <w:rFonts w:eastAsia="Calibri" w:cs="Times New Roman"/>
                <w:sz w:val="15"/>
                <w:szCs w:val="15"/>
              </w:rPr>
            </w:pPr>
            <w:r w:rsidRPr="00E14EE6">
              <w:rPr>
                <w:sz w:val="15"/>
              </w:rPr>
              <w:t>937</w:t>
            </w:r>
          </w:p>
        </w:tc>
        <w:tc>
          <w:tcPr>
            <w:tcW w:w="444" w:type="pct"/>
            <w:noWrap/>
            <w:hideMark/>
          </w:tcPr>
          <w:p w14:paraId="1D3C4363" w14:textId="77777777" w:rsidR="00CA7676" w:rsidRPr="00E14EE6" w:rsidRDefault="00CA7676" w:rsidP="00E14EE6">
            <w:pPr>
              <w:jc w:val="right"/>
              <w:rPr>
                <w:rFonts w:eastAsia="Calibri" w:cs="Times New Roman"/>
                <w:sz w:val="15"/>
                <w:szCs w:val="15"/>
              </w:rPr>
            </w:pPr>
            <w:r w:rsidRPr="00E14EE6">
              <w:rPr>
                <w:sz w:val="15"/>
              </w:rPr>
              <w:t>730</w:t>
            </w:r>
          </w:p>
        </w:tc>
        <w:tc>
          <w:tcPr>
            <w:tcW w:w="445" w:type="pct"/>
            <w:noWrap/>
            <w:hideMark/>
          </w:tcPr>
          <w:p w14:paraId="2BF1EFBA" w14:textId="77777777" w:rsidR="00CA7676" w:rsidRPr="00E14EE6" w:rsidRDefault="00CA7676" w:rsidP="00E14EE6">
            <w:pPr>
              <w:jc w:val="right"/>
              <w:rPr>
                <w:rFonts w:eastAsia="Calibri" w:cs="Times New Roman"/>
                <w:sz w:val="15"/>
                <w:szCs w:val="15"/>
              </w:rPr>
            </w:pPr>
            <w:r w:rsidRPr="00E14EE6">
              <w:rPr>
                <w:sz w:val="15"/>
              </w:rPr>
              <w:t>1,362</w:t>
            </w:r>
          </w:p>
        </w:tc>
        <w:tc>
          <w:tcPr>
            <w:tcW w:w="458" w:type="pct"/>
            <w:noWrap/>
            <w:hideMark/>
          </w:tcPr>
          <w:p w14:paraId="7B868656" w14:textId="77777777" w:rsidR="00CA7676" w:rsidRPr="00E97109" w:rsidRDefault="00CA7676" w:rsidP="00E14EE6">
            <w:pPr>
              <w:jc w:val="right"/>
              <w:rPr>
                <w:rFonts w:eastAsia="Calibri" w:cs="Times New Roman"/>
                <w:sz w:val="15"/>
                <w:szCs w:val="15"/>
                <w:highlight w:val="darkGray"/>
              </w:rPr>
            </w:pPr>
            <w:r w:rsidRPr="00E97109">
              <w:rPr>
                <w:sz w:val="15"/>
                <w:highlight w:val="darkGray"/>
              </w:rPr>
              <w:t>5,552</w:t>
            </w:r>
          </w:p>
        </w:tc>
      </w:tr>
      <w:tr w:rsidR="00CA7676" w:rsidRPr="00E14EE6" w14:paraId="5046E65D" w14:textId="77777777" w:rsidTr="00A05611">
        <w:trPr>
          <w:cantSplit/>
          <w:trHeight w:val="20"/>
        </w:trPr>
        <w:tc>
          <w:tcPr>
            <w:tcW w:w="987" w:type="pct"/>
            <w:noWrap/>
            <w:hideMark/>
          </w:tcPr>
          <w:p w14:paraId="1331CF40" w14:textId="77777777" w:rsidR="00CA7676" w:rsidRPr="00E14EE6" w:rsidRDefault="00CA7676" w:rsidP="00E14EE6">
            <w:pPr>
              <w:jc w:val="left"/>
              <w:rPr>
                <w:rFonts w:eastAsia="Calibri" w:cs="Times New Roman"/>
                <w:sz w:val="15"/>
                <w:szCs w:val="15"/>
              </w:rPr>
            </w:pPr>
            <w:r w:rsidRPr="00E14EE6">
              <w:rPr>
                <w:sz w:val="15"/>
              </w:rPr>
              <w:t>Mexico</w:t>
            </w:r>
          </w:p>
        </w:tc>
        <w:tc>
          <w:tcPr>
            <w:tcW w:w="444" w:type="pct"/>
            <w:noWrap/>
            <w:hideMark/>
          </w:tcPr>
          <w:p w14:paraId="78E8812B" w14:textId="77777777" w:rsidR="00CA7676" w:rsidRPr="00E14EE6" w:rsidRDefault="00CA7676" w:rsidP="00E14EE6">
            <w:pPr>
              <w:jc w:val="right"/>
              <w:rPr>
                <w:rFonts w:eastAsia="Calibri" w:cs="Times New Roman"/>
                <w:sz w:val="15"/>
                <w:szCs w:val="15"/>
              </w:rPr>
            </w:pPr>
            <w:r w:rsidRPr="00E14EE6">
              <w:rPr>
                <w:sz w:val="15"/>
              </w:rPr>
              <w:t>244</w:t>
            </w:r>
          </w:p>
        </w:tc>
        <w:tc>
          <w:tcPr>
            <w:tcW w:w="444" w:type="pct"/>
            <w:noWrap/>
            <w:hideMark/>
          </w:tcPr>
          <w:p w14:paraId="0AB0544C" w14:textId="0D363885" w:rsidR="00CA7676" w:rsidRPr="00E14EE6" w:rsidRDefault="00E14EE6" w:rsidP="00E14EE6">
            <w:pPr>
              <w:jc w:val="right"/>
              <w:rPr>
                <w:rFonts w:eastAsia="Calibri" w:cs="Times New Roman"/>
                <w:sz w:val="15"/>
                <w:szCs w:val="15"/>
              </w:rPr>
            </w:pPr>
            <w:r w:rsidRPr="00E14EE6">
              <w:rPr>
                <w:sz w:val="15"/>
              </w:rPr>
              <w:noBreakHyphen/>
            </w:r>
            <w:r w:rsidR="00CA7676" w:rsidRPr="00E14EE6">
              <w:rPr>
                <w:sz w:val="15"/>
              </w:rPr>
              <w:t>19</w:t>
            </w:r>
          </w:p>
        </w:tc>
        <w:tc>
          <w:tcPr>
            <w:tcW w:w="444" w:type="pct"/>
            <w:noWrap/>
            <w:hideMark/>
          </w:tcPr>
          <w:p w14:paraId="299E9CE3" w14:textId="77777777" w:rsidR="00CA7676" w:rsidRPr="00E14EE6" w:rsidRDefault="00CA7676" w:rsidP="00E14EE6">
            <w:pPr>
              <w:jc w:val="right"/>
              <w:rPr>
                <w:rFonts w:eastAsia="Calibri" w:cs="Times New Roman"/>
                <w:sz w:val="15"/>
                <w:szCs w:val="15"/>
              </w:rPr>
            </w:pPr>
            <w:r w:rsidRPr="00E14EE6">
              <w:rPr>
                <w:sz w:val="15"/>
              </w:rPr>
              <w:t>118</w:t>
            </w:r>
          </w:p>
        </w:tc>
        <w:tc>
          <w:tcPr>
            <w:tcW w:w="445" w:type="pct"/>
            <w:noWrap/>
            <w:hideMark/>
          </w:tcPr>
          <w:p w14:paraId="44F5698F" w14:textId="7CF2711F" w:rsidR="00CA7676" w:rsidRPr="00E14EE6" w:rsidRDefault="00E14EE6" w:rsidP="00E14EE6">
            <w:pPr>
              <w:jc w:val="right"/>
              <w:rPr>
                <w:rFonts w:eastAsia="Calibri" w:cs="Times New Roman"/>
                <w:sz w:val="15"/>
                <w:szCs w:val="15"/>
              </w:rPr>
            </w:pPr>
            <w:r w:rsidRPr="00E14EE6">
              <w:rPr>
                <w:sz w:val="15"/>
              </w:rPr>
              <w:noBreakHyphen/>
            </w:r>
            <w:r w:rsidR="00CA7676" w:rsidRPr="00E14EE6">
              <w:rPr>
                <w:sz w:val="15"/>
              </w:rPr>
              <w:t>45</w:t>
            </w:r>
          </w:p>
        </w:tc>
        <w:tc>
          <w:tcPr>
            <w:tcW w:w="444" w:type="pct"/>
            <w:noWrap/>
            <w:hideMark/>
          </w:tcPr>
          <w:p w14:paraId="15DF7C87" w14:textId="754ED6AA" w:rsidR="00CA7676" w:rsidRPr="00E14EE6" w:rsidRDefault="00E14EE6" w:rsidP="00E14EE6">
            <w:pPr>
              <w:jc w:val="right"/>
              <w:rPr>
                <w:rFonts w:eastAsia="Calibri" w:cs="Times New Roman"/>
                <w:sz w:val="15"/>
                <w:szCs w:val="15"/>
              </w:rPr>
            </w:pPr>
            <w:r w:rsidRPr="00E14EE6">
              <w:rPr>
                <w:sz w:val="15"/>
              </w:rPr>
              <w:noBreakHyphen/>
            </w:r>
            <w:r w:rsidR="00CA7676" w:rsidRPr="00E14EE6">
              <w:rPr>
                <w:sz w:val="15"/>
              </w:rPr>
              <w:t>80</w:t>
            </w:r>
          </w:p>
        </w:tc>
        <w:tc>
          <w:tcPr>
            <w:tcW w:w="444" w:type="pct"/>
            <w:noWrap/>
            <w:hideMark/>
          </w:tcPr>
          <w:p w14:paraId="39B8F7E6" w14:textId="77777777" w:rsidR="00CA7676" w:rsidRPr="00E14EE6" w:rsidRDefault="00CA7676" w:rsidP="00E14EE6">
            <w:pPr>
              <w:jc w:val="right"/>
              <w:rPr>
                <w:rFonts w:eastAsia="Calibri" w:cs="Times New Roman"/>
                <w:sz w:val="15"/>
                <w:szCs w:val="15"/>
              </w:rPr>
            </w:pPr>
            <w:r w:rsidRPr="00E14EE6">
              <w:rPr>
                <w:sz w:val="15"/>
              </w:rPr>
              <w:t>609</w:t>
            </w:r>
          </w:p>
        </w:tc>
        <w:tc>
          <w:tcPr>
            <w:tcW w:w="444" w:type="pct"/>
            <w:noWrap/>
            <w:hideMark/>
          </w:tcPr>
          <w:p w14:paraId="080AF685" w14:textId="77777777" w:rsidR="00CA7676" w:rsidRPr="00E14EE6" w:rsidRDefault="00CA7676" w:rsidP="00E14EE6">
            <w:pPr>
              <w:jc w:val="right"/>
              <w:rPr>
                <w:rFonts w:eastAsia="Calibri" w:cs="Times New Roman"/>
                <w:sz w:val="15"/>
                <w:szCs w:val="15"/>
              </w:rPr>
            </w:pPr>
            <w:r w:rsidRPr="00E14EE6">
              <w:rPr>
                <w:sz w:val="15"/>
              </w:rPr>
              <w:t>337</w:t>
            </w:r>
          </w:p>
        </w:tc>
        <w:tc>
          <w:tcPr>
            <w:tcW w:w="445" w:type="pct"/>
            <w:noWrap/>
            <w:hideMark/>
          </w:tcPr>
          <w:p w14:paraId="279FF621" w14:textId="77777777" w:rsidR="00CA7676" w:rsidRPr="00E14EE6" w:rsidRDefault="00CA7676" w:rsidP="00E14EE6">
            <w:pPr>
              <w:jc w:val="right"/>
              <w:rPr>
                <w:rFonts w:eastAsia="Calibri" w:cs="Times New Roman"/>
                <w:sz w:val="15"/>
                <w:szCs w:val="15"/>
              </w:rPr>
            </w:pPr>
            <w:r w:rsidRPr="00E14EE6">
              <w:rPr>
                <w:sz w:val="15"/>
              </w:rPr>
              <w:t>392</w:t>
            </w:r>
          </w:p>
        </w:tc>
        <w:tc>
          <w:tcPr>
            <w:tcW w:w="458" w:type="pct"/>
            <w:noWrap/>
            <w:hideMark/>
          </w:tcPr>
          <w:p w14:paraId="3EB2111A" w14:textId="77777777" w:rsidR="00CA7676" w:rsidRPr="00E97109" w:rsidRDefault="00CA7676" w:rsidP="00E14EE6">
            <w:pPr>
              <w:jc w:val="right"/>
              <w:rPr>
                <w:rFonts w:eastAsia="Calibri" w:cs="Times New Roman"/>
                <w:sz w:val="15"/>
                <w:szCs w:val="15"/>
                <w:highlight w:val="darkGray"/>
              </w:rPr>
            </w:pPr>
            <w:r w:rsidRPr="00E97109">
              <w:rPr>
                <w:sz w:val="15"/>
                <w:highlight w:val="darkGray"/>
              </w:rPr>
              <w:t>1,556</w:t>
            </w:r>
          </w:p>
        </w:tc>
      </w:tr>
      <w:tr w:rsidR="00CA7676" w:rsidRPr="00E14EE6" w14:paraId="26E1FCD7" w14:textId="77777777" w:rsidTr="00A05611">
        <w:trPr>
          <w:cnfStyle w:val="000000010000" w:firstRow="0" w:lastRow="0" w:firstColumn="0" w:lastColumn="0" w:oddVBand="0" w:evenVBand="0" w:oddHBand="0" w:evenHBand="1" w:firstRowFirstColumn="0" w:firstRowLastColumn="0" w:lastRowFirstColumn="0" w:lastRowLastColumn="0"/>
          <w:cantSplit/>
          <w:trHeight w:val="20"/>
        </w:trPr>
        <w:tc>
          <w:tcPr>
            <w:tcW w:w="987" w:type="pct"/>
            <w:noWrap/>
            <w:hideMark/>
          </w:tcPr>
          <w:p w14:paraId="4B006868" w14:textId="77777777" w:rsidR="00CA7676" w:rsidRPr="00E14EE6" w:rsidRDefault="00CA7676" w:rsidP="00E14EE6">
            <w:pPr>
              <w:jc w:val="left"/>
              <w:rPr>
                <w:rFonts w:eastAsia="Calibri" w:cs="Times New Roman"/>
                <w:sz w:val="15"/>
                <w:szCs w:val="15"/>
              </w:rPr>
            </w:pPr>
            <w:r w:rsidRPr="00E14EE6">
              <w:rPr>
                <w:sz w:val="15"/>
              </w:rPr>
              <w:t>Canada</w:t>
            </w:r>
          </w:p>
        </w:tc>
        <w:tc>
          <w:tcPr>
            <w:tcW w:w="444" w:type="pct"/>
            <w:noWrap/>
            <w:hideMark/>
          </w:tcPr>
          <w:p w14:paraId="69B249D3" w14:textId="77777777" w:rsidR="00CA7676" w:rsidRPr="00E14EE6" w:rsidRDefault="00CA7676" w:rsidP="00E14EE6">
            <w:pPr>
              <w:jc w:val="right"/>
              <w:rPr>
                <w:rFonts w:eastAsia="Calibri" w:cs="Times New Roman"/>
                <w:sz w:val="15"/>
                <w:szCs w:val="15"/>
              </w:rPr>
            </w:pPr>
            <w:r w:rsidRPr="00E14EE6">
              <w:rPr>
                <w:sz w:val="15"/>
              </w:rPr>
              <w:t>158</w:t>
            </w:r>
          </w:p>
        </w:tc>
        <w:tc>
          <w:tcPr>
            <w:tcW w:w="444" w:type="pct"/>
            <w:noWrap/>
            <w:hideMark/>
          </w:tcPr>
          <w:p w14:paraId="77C72101" w14:textId="77777777" w:rsidR="00CA7676" w:rsidRPr="00E14EE6" w:rsidRDefault="00CA7676" w:rsidP="00E14EE6">
            <w:pPr>
              <w:jc w:val="right"/>
              <w:rPr>
                <w:rFonts w:eastAsia="Calibri" w:cs="Times New Roman"/>
                <w:sz w:val="15"/>
                <w:szCs w:val="15"/>
              </w:rPr>
            </w:pPr>
            <w:r w:rsidRPr="00E14EE6">
              <w:rPr>
                <w:sz w:val="15"/>
              </w:rPr>
              <w:t>91</w:t>
            </w:r>
          </w:p>
        </w:tc>
        <w:tc>
          <w:tcPr>
            <w:tcW w:w="444" w:type="pct"/>
            <w:noWrap/>
            <w:hideMark/>
          </w:tcPr>
          <w:p w14:paraId="2D4A1F25" w14:textId="77777777" w:rsidR="00CA7676" w:rsidRPr="00E14EE6" w:rsidRDefault="00CA7676" w:rsidP="00E14EE6">
            <w:pPr>
              <w:jc w:val="right"/>
              <w:rPr>
                <w:rFonts w:eastAsia="Calibri" w:cs="Times New Roman"/>
                <w:sz w:val="15"/>
                <w:szCs w:val="15"/>
              </w:rPr>
            </w:pPr>
            <w:r w:rsidRPr="00E14EE6">
              <w:rPr>
                <w:sz w:val="15"/>
              </w:rPr>
              <w:t>480</w:t>
            </w:r>
          </w:p>
        </w:tc>
        <w:tc>
          <w:tcPr>
            <w:tcW w:w="445" w:type="pct"/>
            <w:noWrap/>
            <w:hideMark/>
          </w:tcPr>
          <w:p w14:paraId="0F99AAFB" w14:textId="77777777" w:rsidR="00CA7676" w:rsidRPr="00E14EE6" w:rsidRDefault="00CA7676" w:rsidP="00E14EE6">
            <w:pPr>
              <w:jc w:val="right"/>
              <w:rPr>
                <w:rFonts w:eastAsia="Calibri" w:cs="Times New Roman"/>
                <w:sz w:val="15"/>
                <w:szCs w:val="15"/>
              </w:rPr>
            </w:pPr>
            <w:r w:rsidRPr="00E14EE6">
              <w:rPr>
                <w:sz w:val="15"/>
              </w:rPr>
              <w:t>473</w:t>
            </w:r>
          </w:p>
        </w:tc>
        <w:tc>
          <w:tcPr>
            <w:tcW w:w="444" w:type="pct"/>
            <w:noWrap/>
            <w:hideMark/>
          </w:tcPr>
          <w:p w14:paraId="15411F2D" w14:textId="77777777" w:rsidR="00CA7676" w:rsidRPr="00E14EE6" w:rsidRDefault="00CA7676" w:rsidP="00E14EE6">
            <w:pPr>
              <w:jc w:val="right"/>
              <w:rPr>
                <w:rFonts w:eastAsia="Calibri" w:cs="Times New Roman"/>
                <w:sz w:val="15"/>
                <w:szCs w:val="15"/>
              </w:rPr>
            </w:pPr>
            <w:r w:rsidRPr="00E14EE6">
              <w:rPr>
                <w:sz w:val="15"/>
              </w:rPr>
              <w:t>329</w:t>
            </w:r>
          </w:p>
        </w:tc>
        <w:tc>
          <w:tcPr>
            <w:tcW w:w="444" w:type="pct"/>
            <w:noWrap/>
            <w:hideMark/>
          </w:tcPr>
          <w:p w14:paraId="7E55B977" w14:textId="77777777" w:rsidR="00CA7676" w:rsidRPr="00E14EE6" w:rsidRDefault="00CA7676" w:rsidP="00E14EE6">
            <w:pPr>
              <w:jc w:val="right"/>
              <w:rPr>
                <w:rFonts w:eastAsia="Calibri" w:cs="Times New Roman"/>
                <w:sz w:val="15"/>
                <w:szCs w:val="15"/>
              </w:rPr>
            </w:pPr>
            <w:r w:rsidRPr="00E14EE6">
              <w:rPr>
                <w:sz w:val="15"/>
              </w:rPr>
              <w:t>259</w:t>
            </w:r>
          </w:p>
        </w:tc>
        <w:tc>
          <w:tcPr>
            <w:tcW w:w="444" w:type="pct"/>
            <w:noWrap/>
            <w:hideMark/>
          </w:tcPr>
          <w:p w14:paraId="39B90C4F" w14:textId="77777777" w:rsidR="00CA7676" w:rsidRPr="00E14EE6" w:rsidRDefault="00CA7676" w:rsidP="00E14EE6">
            <w:pPr>
              <w:jc w:val="right"/>
              <w:rPr>
                <w:rFonts w:eastAsia="Calibri" w:cs="Times New Roman"/>
                <w:sz w:val="15"/>
                <w:szCs w:val="15"/>
              </w:rPr>
            </w:pPr>
            <w:r w:rsidRPr="00E14EE6">
              <w:rPr>
                <w:sz w:val="15"/>
              </w:rPr>
              <w:t>80</w:t>
            </w:r>
          </w:p>
        </w:tc>
        <w:tc>
          <w:tcPr>
            <w:tcW w:w="445" w:type="pct"/>
            <w:noWrap/>
            <w:hideMark/>
          </w:tcPr>
          <w:p w14:paraId="0B19F2C4" w14:textId="77777777" w:rsidR="00CA7676" w:rsidRPr="00E14EE6" w:rsidRDefault="00CA7676" w:rsidP="00E14EE6">
            <w:pPr>
              <w:jc w:val="right"/>
              <w:rPr>
                <w:rFonts w:eastAsia="Calibri" w:cs="Times New Roman"/>
                <w:sz w:val="15"/>
                <w:szCs w:val="15"/>
              </w:rPr>
            </w:pPr>
            <w:r w:rsidRPr="00E14EE6">
              <w:rPr>
                <w:sz w:val="15"/>
              </w:rPr>
              <w:t>342</w:t>
            </w:r>
          </w:p>
        </w:tc>
        <w:tc>
          <w:tcPr>
            <w:tcW w:w="458" w:type="pct"/>
            <w:noWrap/>
            <w:hideMark/>
          </w:tcPr>
          <w:p w14:paraId="7D83084A" w14:textId="77777777" w:rsidR="00CA7676" w:rsidRPr="00E97109" w:rsidRDefault="00CA7676" w:rsidP="00E14EE6">
            <w:pPr>
              <w:jc w:val="right"/>
              <w:rPr>
                <w:rFonts w:eastAsia="Calibri" w:cs="Times New Roman"/>
                <w:sz w:val="15"/>
                <w:szCs w:val="15"/>
                <w:highlight w:val="darkGray"/>
              </w:rPr>
            </w:pPr>
            <w:r w:rsidRPr="00E97109">
              <w:rPr>
                <w:sz w:val="15"/>
                <w:highlight w:val="darkGray"/>
              </w:rPr>
              <w:t>2,212</w:t>
            </w:r>
          </w:p>
        </w:tc>
      </w:tr>
      <w:tr w:rsidR="00CA7676" w:rsidRPr="00E14EE6" w14:paraId="08E90EAD" w14:textId="77777777" w:rsidTr="00A05611">
        <w:trPr>
          <w:cantSplit/>
          <w:trHeight w:val="20"/>
        </w:trPr>
        <w:tc>
          <w:tcPr>
            <w:tcW w:w="987" w:type="pct"/>
            <w:noWrap/>
            <w:hideMark/>
          </w:tcPr>
          <w:p w14:paraId="46AD849E" w14:textId="77777777" w:rsidR="00CA7676" w:rsidRPr="00E14EE6" w:rsidRDefault="00CA7676" w:rsidP="00E14EE6">
            <w:pPr>
              <w:jc w:val="left"/>
              <w:rPr>
                <w:rFonts w:eastAsia="Calibri" w:cs="Times New Roman"/>
                <w:sz w:val="15"/>
                <w:szCs w:val="15"/>
              </w:rPr>
            </w:pPr>
            <w:r w:rsidRPr="00E14EE6">
              <w:rPr>
                <w:sz w:val="15"/>
              </w:rPr>
              <w:t>British Virgin Islands</w:t>
            </w:r>
          </w:p>
        </w:tc>
        <w:tc>
          <w:tcPr>
            <w:tcW w:w="444" w:type="pct"/>
            <w:noWrap/>
            <w:hideMark/>
          </w:tcPr>
          <w:p w14:paraId="09C58A4D" w14:textId="77777777" w:rsidR="00CA7676" w:rsidRPr="00E14EE6" w:rsidRDefault="00CA7676" w:rsidP="00E14EE6">
            <w:pPr>
              <w:jc w:val="right"/>
              <w:rPr>
                <w:rFonts w:eastAsia="Calibri" w:cs="Times New Roman"/>
                <w:sz w:val="15"/>
                <w:szCs w:val="15"/>
              </w:rPr>
            </w:pPr>
            <w:r w:rsidRPr="00E14EE6">
              <w:rPr>
                <w:sz w:val="15"/>
              </w:rPr>
              <w:t>35</w:t>
            </w:r>
          </w:p>
        </w:tc>
        <w:tc>
          <w:tcPr>
            <w:tcW w:w="444" w:type="pct"/>
            <w:noWrap/>
            <w:hideMark/>
          </w:tcPr>
          <w:p w14:paraId="7A576AD6" w14:textId="77777777" w:rsidR="00CA7676" w:rsidRPr="00E14EE6" w:rsidRDefault="00CA7676" w:rsidP="00E14EE6">
            <w:pPr>
              <w:jc w:val="right"/>
              <w:rPr>
                <w:rFonts w:eastAsia="Calibri" w:cs="Times New Roman"/>
                <w:sz w:val="15"/>
                <w:szCs w:val="15"/>
              </w:rPr>
            </w:pPr>
            <w:r w:rsidRPr="00E14EE6">
              <w:rPr>
                <w:sz w:val="15"/>
              </w:rPr>
              <w:t>2</w:t>
            </w:r>
          </w:p>
        </w:tc>
        <w:tc>
          <w:tcPr>
            <w:tcW w:w="444" w:type="pct"/>
            <w:noWrap/>
            <w:hideMark/>
          </w:tcPr>
          <w:p w14:paraId="06AA7CCC" w14:textId="77777777" w:rsidR="00CA7676" w:rsidRPr="00E14EE6" w:rsidRDefault="00CA7676" w:rsidP="00E14EE6">
            <w:pPr>
              <w:jc w:val="right"/>
              <w:rPr>
                <w:rFonts w:eastAsia="Calibri" w:cs="Times New Roman"/>
                <w:sz w:val="15"/>
                <w:szCs w:val="15"/>
              </w:rPr>
            </w:pPr>
            <w:r w:rsidRPr="00E14EE6">
              <w:rPr>
                <w:sz w:val="15"/>
              </w:rPr>
              <w:t>24</w:t>
            </w:r>
          </w:p>
        </w:tc>
        <w:tc>
          <w:tcPr>
            <w:tcW w:w="445" w:type="pct"/>
            <w:noWrap/>
            <w:hideMark/>
          </w:tcPr>
          <w:p w14:paraId="558244B2" w14:textId="77777777" w:rsidR="00CA7676" w:rsidRPr="00E14EE6" w:rsidRDefault="00CA7676" w:rsidP="00E14EE6">
            <w:pPr>
              <w:jc w:val="right"/>
              <w:rPr>
                <w:rFonts w:eastAsia="Calibri" w:cs="Times New Roman"/>
                <w:sz w:val="15"/>
                <w:szCs w:val="15"/>
              </w:rPr>
            </w:pPr>
            <w:r w:rsidRPr="00E14EE6">
              <w:rPr>
                <w:sz w:val="15"/>
              </w:rPr>
              <w:t>52</w:t>
            </w:r>
          </w:p>
        </w:tc>
        <w:tc>
          <w:tcPr>
            <w:tcW w:w="444" w:type="pct"/>
            <w:noWrap/>
            <w:hideMark/>
          </w:tcPr>
          <w:p w14:paraId="01924F6A" w14:textId="77777777" w:rsidR="00CA7676" w:rsidRPr="00E14EE6" w:rsidRDefault="00CA7676" w:rsidP="00E14EE6">
            <w:pPr>
              <w:jc w:val="right"/>
              <w:rPr>
                <w:rFonts w:eastAsia="Calibri" w:cs="Times New Roman"/>
                <w:sz w:val="15"/>
                <w:szCs w:val="15"/>
              </w:rPr>
            </w:pPr>
            <w:r w:rsidRPr="00E14EE6">
              <w:rPr>
                <w:sz w:val="15"/>
              </w:rPr>
              <w:t>74</w:t>
            </w:r>
          </w:p>
        </w:tc>
        <w:tc>
          <w:tcPr>
            <w:tcW w:w="444" w:type="pct"/>
            <w:noWrap/>
            <w:hideMark/>
          </w:tcPr>
          <w:p w14:paraId="64FD3474" w14:textId="77777777" w:rsidR="00CA7676" w:rsidRPr="00E14EE6" w:rsidRDefault="00CA7676" w:rsidP="00E14EE6">
            <w:pPr>
              <w:jc w:val="right"/>
              <w:rPr>
                <w:rFonts w:eastAsia="Calibri" w:cs="Times New Roman"/>
                <w:sz w:val="15"/>
                <w:szCs w:val="15"/>
              </w:rPr>
            </w:pPr>
            <w:r w:rsidRPr="00E14EE6">
              <w:rPr>
                <w:sz w:val="15"/>
              </w:rPr>
              <w:t>62</w:t>
            </w:r>
          </w:p>
        </w:tc>
        <w:tc>
          <w:tcPr>
            <w:tcW w:w="444" w:type="pct"/>
            <w:noWrap/>
            <w:hideMark/>
          </w:tcPr>
          <w:p w14:paraId="60D220A7" w14:textId="77777777" w:rsidR="00CA7676" w:rsidRPr="00E14EE6" w:rsidRDefault="00CA7676" w:rsidP="00E14EE6">
            <w:pPr>
              <w:jc w:val="right"/>
              <w:rPr>
                <w:rFonts w:eastAsia="Calibri" w:cs="Times New Roman"/>
                <w:sz w:val="15"/>
                <w:szCs w:val="15"/>
              </w:rPr>
            </w:pPr>
            <w:r w:rsidRPr="00E14EE6">
              <w:rPr>
                <w:sz w:val="15"/>
              </w:rPr>
              <w:t>34</w:t>
            </w:r>
          </w:p>
        </w:tc>
        <w:tc>
          <w:tcPr>
            <w:tcW w:w="445" w:type="pct"/>
            <w:noWrap/>
            <w:hideMark/>
          </w:tcPr>
          <w:p w14:paraId="783B9C27" w14:textId="77777777" w:rsidR="00CA7676" w:rsidRPr="00E14EE6" w:rsidRDefault="00CA7676" w:rsidP="00E14EE6">
            <w:pPr>
              <w:jc w:val="right"/>
              <w:rPr>
                <w:rFonts w:eastAsia="Calibri" w:cs="Times New Roman"/>
                <w:sz w:val="15"/>
                <w:szCs w:val="15"/>
              </w:rPr>
            </w:pPr>
            <w:r w:rsidRPr="00E14EE6">
              <w:rPr>
                <w:sz w:val="15"/>
              </w:rPr>
              <w:t>279</w:t>
            </w:r>
          </w:p>
        </w:tc>
        <w:tc>
          <w:tcPr>
            <w:tcW w:w="458" w:type="pct"/>
            <w:noWrap/>
            <w:hideMark/>
          </w:tcPr>
          <w:p w14:paraId="21E27D2E" w14:textId="77777777" w:rsidR="00CA7676" w:rsidRPr="00E97109" w:rsidRDefault="00CA7676" w:rsidP="00E14EE6">
            <w:pPr>
              <w:jc w:val="right"/>
              <w:rPr>
                <w:rFonts w:eastAsia="Calibri" w:cs="Times New Roman"/>
                <w:sz w:val="15"/>
                <w:szCs w:val="15"/>
                <w:highlight w:val="darkGray"/>
              </w:rPr>
            </w:pPr>
            <w:r w:rsidRPr="00E97109">
              <w:rPr>
                <w:sz w:val="15"/>
                <w:highlight w:val="darkGray"/>
              </w:rPr>
              <w:t>562</w:t>
            </w:r>
          </w:p>
        </w:tc>
      </w:tr>
      <w:tr w:rsidR="00CA7676" w:rsidRPr="00E14EE6" w14:paraId="5BB2A231" w14:textId="77777777" w:rsidTr="00A05611">
        <w:trPr>
          <w:cnfStyle w:val="000000010000" w:firstRow="0" w:lastRow="0" w:firstColumn="0" w:lastColumn="0" w:oddVBand="0" w:evenVBand="0" w:oddHBand="0" w:evenHBand="1" w:firstRowFirstColumn="0" w:firstRowLastColumn="0" w:lastRowFirstColumn="0" w:lastRowLastColumn="0"/>
          <w:cantSplit/>
          <w:trHeight w:val="20"/>
        </w:trPr>
        <w:tc>
          <w:tcPr>
            <w:tcW w:w="987" w:type="pct"/>
            <w:noWrap/>
            <w:hideMark/>
          </w:tcPr>
          <w:p w14:paraId="6FE4C8D4" w14:textId="77777777" w:rsidR="00CA7676" w:rsidRPr="00E14EE6" w:rsidRDefault="00CA7676" w:rsidP="00E14EE6">
            <w:pPr>
              <w:jc w:val="left"/>
              <w:rPr>
                <w:rFonts w:eastAsia="Calibri" w:cs="Times New Roman"/>
                <w:sz w:val="15"/>
                <w:szCs w:val="15"/>
              </w:rPr>
            </w:pPr>
            <w:r w:rsidRPr="00E14EE6">
              <w:rPr>
                <w:sz w:val="15"/>
              </w:rPr>
              <w:t>Spain</w:t>
            </w:r>
          </w:p>
        </w:tc>
        <w:tc>
          <w:tcPr>
            <w:tcW w:w="444" w:type="pct"/>
            <w:noWrap/>
            <w:hideMark/>
          </w:tcPr>
          <w:p w14:paraId="36F95FE2" w14:textId="77777777" w:rsidR="00CA7676" w:rsidRPr="00E14EE6" w:rsidRDefault="00CA7676" w:rsidP="00E14EE6">
            <w:pPr>
              <w:jc w:val="right"/>
              <w:rPr>
                <w:rFonts w:eastAsia="Calibri" w:cs="Times New Roman"/>
                <w:sz w:val="15"/>
                <w:szCs w:val="15"/>
              </w:rPr>
            </w:pPr>
            <w:r w:rsidRPr="00E14EE6">
              <w:rPr>
                <w:sz w:val="15"/>
              </w:rPr>
              <w:t>7</w:t>
            </w:r>
          </w:p>
        </w:tc>
        <w:tc>
          <w:tcPr>
            <w:tcW w:w="444" w:type="pct"/>
            <w:noWrap/>
            <w:hideMark/>
          </w:tcPr>
          <w:p w14:paraId="17E0261D" w14:textId="77777777" w:rsidR="00CA7676" w:rsidRPr="00E14EE6" w:rsidRDefault="00CA7676" w:rsidP="00E14EE6">
            <w:pPr>
              <w:jc w:val="right"/>
              <w:rPr>
                <w:rFonts w:eastAsia="Calibri" w:cs="Times New Roman"/>
                <w:sz w:val="15"/>
                <w:szCs w:val="15"/>
              </w:rPr>
            </w:pPr>
            <w:r w:rsidRPr="00E14EE6">
              <w:rPr>
                <w:sz w:val="15"/>
              </w:rPr>
              <w:t>32</w:t>
            </w:r>
          </w:p>
        </w:tc>
        <w:tc>
          <w:tcPr>
            <w:tcW w:w="444" w:type="pct"/>
            <w:noWrap/>
            <w:hideMark/>
          </w:tcPr>
          <w:p w14:paraId="0D22E52E" w14:textId="77777777" w:rsidR="00CA7676" w:rsidRPr="00E14EE6" w:rsidRDefault="00CA7676" w:rsidP="00E14EE6">
            <w:pPr>
              <w:jc w:val="right"/>
              <w:rPr>
                <w:rFonts w:eastAsia="Calibri" w:cs="Times New Roman"/>
                <w:sz w:val="15"/>
                <w:szCs w:val="15"/>
              </w:rPr>
            </w:pPr>
            <w:r w:rsidRPr="00E14EE6">
              <w:rPr>
                <w:sz w:val="15"/>
              </w:rPr>
              <w:t>281</w:t>
            </w:r>
          </w:p>
        </w:tc>
        <w:tc>
          <w:tcPr>
            <w:tcW w:w="445" w:type="pct"/>
            <w:noWrap/>
            <w:hideMark/>
          </w:tcPr>
          <w:p w14:paraId="0EBEC37F" w14:textId="77777777" w:rsidR="00CA7676" w:rsidRPr="00E14EE6" w:rsidRDefault="00CA7676" w:rsidP="00E14EE6">
            <w:pPr>
              <w:jc w:val="right"/>
              <w:rPr>
                <w:rFonts w:eastAsia="Calibri" w:cs="Times New Roman"/>
                <w:sz w:val="15"/>
                <w:szCs w:val="15"/>
              </w:rPr>
            </w:pPr>
            <w:r w:rsidRPr="00E14EE6">
              <w:rPr>
                <w:sz w:val="15"/>
              </w:rPr>
              <w:t>206</w:t>
            </w:r>
          </w:p>
        </w:tc>
        <w:tc>
          <w:tcPr>
            <w:tcW w:w="444" w:type="pct"/>
            <w:noWrap/>
            <w:hideMark/>
          </w:tcPr>
          <w:p w14:paraId="475E91F0" w14:textId="77777777" w:rsidR="00CA7676" w:rsidRPr="00E14EE6" w:rsidRDefault="00CA7676" w:rsidP="00E14EE6">
            <w:pPr>
              <w:jc w:val="right"/>
              <w:rPr>
                <w:rFonts w:eastAsia="Calibri" w:cs="Times New Roman"/>
                <w:sz w:val="15"/>
                <w:szCs w:val="15"/>
              </w:rPr>
            </w:pPr>
            <w:r w:rsidRPr="00E14EE6">
              <w:rPr>
                <w:sz w:val="15"/>
              </w:rPr>
              <w:t>288</w:t>
            </w:r>
          </w:p>
        </w:tc>
        <w:tc>
          <w:tcPr>
            <w:tcW w:w="444" w:type="pct"/>
            <w:noWrap/>
            <w:hideMark/>
          </w:tcPr>
          <w:p w14:paraId="121183E0" w14:textId="77777777" w:rsidR="00CA7676" w:rsidRPr="00E14EE6" w:rsidRDefault="00CA7676" w:rsidP="00E14EE6">
            <w:pPr>
              <w:jc w:val="right"/>
              <w:rPr>
                <w:rFonts w:eastAsia="Calibri" w:cs="Times New Roman"/>
                <w:sz w:val="15"/>
                <w:szCs w:val="15"/>
              </w:rPr>
            </w:pPr>
            <w:r w:rsidRPr="00E14EE6">
              <w:rPr>
                <w:sz w:val="15"/>
              </w:rPr>
              <w:t>355</w:t>
            </w:r>
          </w:p>
        </w:tc>
        <w:tc>
          <w:tcPr>
            <w:tcW w:w="444" w:type="pct"/>
            <w:noWrap/>
            <w:hideMark/>
          </w:tcPr>
          <w:p w14:paraId="44FCDA21" w14:textId="77777777" w:rsidR="00CA7676" w:rsidRPr="00E14EE6" w:rsidRDefault="00CA7676" w:rsidP="00E14EE6">
            <w:pPr>
              <w:jc w:val="right"/>
              <w:rPr>
                <w:rFonts w:eastAsia="Calibri" w:cs="Times New Roman"/>
                <w:sz w:val="15"/>
                <w:szCs w:val="15"/>
              </w:rPr>
            </w:pPr>
            <w:r w:rsidRPr="00E14EE6">
              <w:rPr>
                <w:sz w:val="15"/>
              </w:rPr>
              <w:t>194</w:t>
            </w:r>
          </w:p>
        </w:tc>
        <w:tc>
          <w:tcPr>
            <w:tcW w:w="445" w:type="pct"/>
            <w:noWrap/>
            <w:hideMark/>
          </w:tcPr>
          <w:p w14:paraId="3348EED8" w14:textId="77777777" w:rsidR="00CA7676" w:rsidRPr="00E14EE6" w:rsidRDefault="00CA7676" w:rsidP="00E14EE6">
            <w:pPr>
              <w:jc w:val="right"/>
              <w:rPr>
                <w:rFonts w:eastAsia="Calibri" w:cs="Times New Roman"/>
                <w:sz w:val="15"/>
                <w:szCs w:val="15"/>
              </w:rPr>
            </w:pPr>
            <w:r w:rsidRPr="00E14EE6">
              <w:rPr>
                <w:sz w:val="15"/>
              </w:rPr>
              <w:t>210</w:t>
            </w:r>
          </w:p>
        </w:tc>
        <w:tc>
          <w:tcPr>
            <w:tcW w:w="458" w:type="pct"/>
            <w:noWrap/>
            <w:hideMark/>
          </w:tcPr>
          <w:p w14:paraId="0FFF998E" w14:textId="77777777" w:rsidR="00CA7676" w:rsidRPr="00E97109" w:rsidRDefault="00CA7676" w:rsidP="00E14EE6">
            <w:pPr>
              <w:jc w:val="right"/>
              <w:rPr>
                <w:rFonts w:eastAsia="Calibri" w:cs="Times New Roman"/>
                <w:sz w:val="15"/>
                <w:szCs w:val="15"/>
                <w:highlight w:val="darkGray"/>
              </w:rPr>
            </w:pPr>
            <w:r w:rsidRPr="00E97109">
              <w:rPr>
                <w:sz w:val="15"/>
                <w:highlight w:val="darkGray"/>
              </w:rPr>
              <w:t>1,573</w:t>
            </w:r>
          </w:p>
        </w:tc>
      </w:tr>
      <w:tr w:rsidR="00CA7676" w:rsidRPr="00E14EE6" w14:paraId="44EA1A3D" w14:textId="77777777" w:rsidTr="00A05611">
        <w:trPr>
          <w:cantSplit/>
          <w:trHeight w:val="20"/>
        </w:trPr>
        <w:tc>
          <w:tcPr>
            <w:tcW w:w="987" w:type="pct"/>
            <w:noWrap/>
            <w:hideMark/>
          </w:tcPr>
          <w:p w14:paraId="6F05282F" w14:textId="77777777" w:rsidR="00CA7676" w:rsidRPr="00E14EE6" w:rsidRDefault="00CA7676" w:rsidP="00E14EE6">
            <w:pPr>
              <w:jc w:val="left"/>
              <w:rPr>
                <w:rFonts w:eastAsia="Calibri" w:cs="Times New Roman"/>
                <w:sz w:val="15"/>
                <w:szCs w:val="15"/>
              </w:rPr>
            </w:pPr>
            <w:r w:rsidRPr="00E14EE6">
              <w:rPr>
                <w:sz w:val="15"/>
              </w:rPr>
              <w:t>Panama</w:t>
            </w:r>
          </w:p>
        </w:tc>
        <w:tc>
          <w:tcPr>
            <w:tcW w:w="444" w:type="pct"/>
            <w:noWrap/>
            <w:hideMark/>
          </w:tcPr>
          <w:p w14:paraId="33E392FA" w14:textId="267030D7" w:rsidR="00CA7676" w:rsidRPr="00E14EE6" w:rsidRDefault="00E14EE6" w:rsidP="00E14EE6">
            <w:pPr>
              <w:jc w:val="right"/>
              <w:rPr>
                <w:rFonts w:eastAsia="Calibri" w:cs="Times New Roman"/>
                <w:sz w:val="15"/>
                <w:szCs w:val="15"/>
              </w:rPr>
            </w:pPr>
            <w:r w:rsidRPr="00E14EE6">
              <w:rPr>
                <w:sz w:val="15"/>
              </w:rPr>
              <w:noBreakHyphen/>
            </w:r>
            <w:r w:rsidR="00CA7676" w:rsidRPr="00E14EE6">
              <w:rPr>
                <w:sz w:val="15"/>
              </w:rPr>
              <w:t>20</w:t>
            </w:r>
          </w:p>
        </w:tc>
        <w:tc>
          <w:tcPr>
            <w:tcW w:w="444" w:type="pct"/>
            <w:noWrap/>
            <w:hideMark/>
          </w:tcPr>
          <w:p w14:paraId="3C8A5D0F" w14:textId="77777777" w:rsidR="00CA7676" w:rsidRPr="00E14EE6" w:rsidRDefault="00CA7676" w:rsidP="00E14EE6">
            <w:pPr>
              <w:jc w:val="right"/>
              <w:rPr>
                <w:rFonts w:eastAsia="Calibri" w:cs="Times New Roman"/>
                <w:sz w:val="15"/>
                <w:szCs w:val="15"/>
              </w:rPr>
            </w:pPr>
            <w:r w:rsidRPr="00E14EE6">
              <w:rPr>
                <w:sz w:val="15"/>
              </w:rPr>
              <w:t>11</w:t>
            </w:r>
          </w:p>
        </w:tc>
        <w:tc>
          <w:tcPr>
            <w:tcW w:w="444" w:type="pct"/>
            <w:noWrap/>
            <w:hideMark/>
          </w:tcPr>
          <w:p w14:paraId="2320D2EE" w14:textId="77777777" w:rsidR="00CA7676" w:rsidRPr="00E14EE6" w:rsidRDefault="00CA7676" w:rsidP="00E14EE6">
            <w:pPr>
              <w:jc w:val="right"/>
              <w:rPr>
                <w:rFonts w:eastAsia="Calibri" w:cs="Times New Roman"/>
                <w:sz w:val="15"/>
                <w:szCs w:val="15"/>
              </w:rPr>
            </w:pPr>
            <w:r w:rsidRPr="00E14EE6">
              <w:rPr>
                <w:sz w:val="15"/>
              </w:rPr>
              <w:t>5</w:t>
            </w:r>
          </w:p>
        </w:tc>
        <w:tc>
          <w:tcPr>
            <w:tcW w:w="445" w:type="pct"/>
            <w:noWrap/>
            <w:hideMark/>
          </w:tcPr>
          <w:p w14:paraId="3D48BD11" w14:textId="77777777" w:rsidR="00CA7676" w:rsidRPr="00E14EE6" w:rsidRDefault="00CA7676" w:rsidP="00E14EE6">
            <w:pPr>
              <w:jc w:val="right"/>
              <w:rPr>
                <w:rFonts w:eastAsia="Calibri" w:cs="Times New Roman"/>
                <w:sz w:val="15"/>
                <w:szCs w:val="15"/>
              </w:rPr>
            </w:pPr>
            <w:r w:rsidRPr="00E14EE6">
              <w:rPr>
                <w:sz w:val="15"/>
              </w:rPr>
              <w:t>3</w:t>
            </w:r>
          </w:p>
        </w:tc>
        <w:tc>
          <w:tcPr>
            <w:tcW w:w="444" w:type="pct"/>
            <w:noWrap/>
            <w:hideMark/>
          </w:tcPr>
          <w:p w14:paraId="2A8A0F64" w14:textId="77777777" w:rsidR="00CA7676" w:rsidRPr="00E14EE6" w:rsidRDefault="00CA7676" w:rsidP="00E14EE6">
            <w:pPr>
              <w:jc w:val="right"/>
              <w:rPr>
                <w:rFonts w:eastAsia="Calibri" w:cs="Times New Roman"/>
                <w:sz w:val="15"/>
                <w:szCs w:val="15"/>
              </w:rPr>
            </w:pPr>
            <w:r w:rsidRPr="00E14EE6">
              <w:rPr>
                <w:sz w:val="15"/>
              </w:rPr>
              <w:t>12</w:t>
            </w:r>
          </w:p>
        </w:tc>
        <w:tc>
          <w:tcPr>
            <w:tcW w:w="444" w:type="pct"/>
            <w:noWrap/>
            <w:hideMark/>
          </w:tcPr>
          <w:p w14:paraId="0D7D3D7B" w14:textId="77777777" w:rsidR="00CA7676" w:rsidRPr="00E14EE6" w:rsidRDefault="00CA7676" w:rsidP="00E14EE6">
            <w:pPr>
              <w:jc w:val="right"/>
              <w:rPr>
                <w:rFonts w:eastAsia="Calibri" w:cs="Times New Roman"/>
                <w:sz w:val="15"/>
                <w:szCs w:val="15"/>
              </w:rPr>
            </w:pPr>
            <w:r w:rsidRPr="00E14EE6">
              <w:rPr>
                <w:sz w:val="15"/>
              </w:rPr>
              <w:t>12</w:t>
            </w:r>
          </w:p>
        </w:tc>
        <w:tc>
          <w:tcPr>
            <w:tcW w:w="444" w:type="pct"/>
            <w:noWrap/>
            <w:hideMark/>
          </w:tcPr>
          <w:p w14:paraId="18AC5C78" w14:textId="77777777" w:rsidR="00CA7676" w:rsidRPr="00E14EE6" w:rsidRDefault="00CA7676" w:rsidP="00E14EE6">
            <w:pPr>
              <w:jc w:val="right"/>
              <w:rPr>
                <w:rFonts w:eastAsia="Calibri" w:cs="Times New Roman"/>
                <w:sz w:val="15"/>
                <w:szCs w:val="15"/>
              </w:rPr>
            </w:pPr>
            <w:r w:rsidRPr="00E14EE6">
              <w:rPr>
                <w:sz w:val="15"/>
              </w:rPr>
              <w:t>84</w:t>
            </w:r>
          </w:p>
        </w:tc>
        <w:tc>
          <w:tcPr>
            <w:tcW w:w="445" w:type="pct"/>
            <w:noWrap/>
            <w:hideMark/>
          </w:tcPr>
          <w:p w14:paraId="276437B2" w14:textId="77777777" w:rsidR="00CA7676" w:rsidRPr="00E14EE6" w:rsidRDefault="00CA7676" w:rsidP="00E14EE6">
            <w:pPr>
              <w:jc w:val="right"/>
              <w:rPr>
                <w:rFonts w:eastAsia="Calibri" w:cs="Times New Roman"/>
                <w:sz w:val="15"/>
                <w:szCs w:val="15"/>
              </w:rPr>
            </w:pPr>
            <w:r w:rsidRPr="00E14EE6">
              <w:rPr>
                <w:sz w:val="15"/>
              </w:rPr>
              <w:t>98</w:t>
            </w:r>
          </w:p>
        </w:tc>
        <w:tc>
          <w:tcPr>
            <w:tcW w:w="458" w:type="pct"/>
            <w:noWrap/>
            <w:hideMark/>
          </w:tcPr>
          <w:p w14:paraId="4AB961CF" w14:textId="77777777" w:rsidR="00CA7676" w:rsidRPr="00E97109" w:rsidRDefault="00CA7676" w:rsidP="00E14EE6">
            <w:pPr>
              <w:jc w:val="right"/>
              <w:rPr>
                <w:rFonts w:eastAsia="Calibri" w:cs="Times New Roman"/>
                <w:sz w:val="15"/>
                <w:szCs w:val="15"/>
                <w:highlight w:val="darkGray"/>
              </w:rPr>
            </w:pPr>
            <w:r w:rsidRPr="00E97109">
              <w:rPr>
                <w:sz w:val="15"/>
                <w:highlight w:val="darkGray"/>
              </w:rPr>
              <w:t>205</w:t>
            </w:r>
          </w:p>
        </w:tc>
      </w:tr>
      <w:tr w:rsidR="00CA7676" w:rsidRPr="00E14EE6" w14:paraId="0A9FE513" w14:textId="77777777" w:rsidTr="00A05611">
        <w:trPr>
          <w:cnfStyle w:val="000000010000" w:firstRow="0" w:lastRow="0" w:firstColumn="0" w:lastColumn="0" w:oddVBand="0" w:evenVBand="0" w:oddHBand="0" w:evenHBand="1" w:firstRowFirstColumn="0" w:firstRowLastColumn="0" w:lastRowFirstColumn="0" w:lastRowLastColumn="0"/>
          <w:cantSplit/>
          <w:trHeight w:val="20"/>
        </w:trPr>
        <w:tc>
          <w:tcPr>
            <w:tcW w:w="987" w:type="pct"/>
            <w:noWrap/>
            <w:hideMark/>
          </w:tcPr>
          <w:p w14:paraId="63FD8068" w14:textId="77777777" w:rsidR="00CA7676" w:rsidRPr="00E14EE6" w:rsidRDefault="00CA7676" w:rsidP="00E14EE6">
            <w:pPr>
              <w:jc w:val="left"/>
              <w:rPr>
                <w:rFonts w:eastAsia="Calibri" w:cs="Times New Roman"/>
                <w:sz w:val="15"/>
                <w:szCs w:val="15"/>
              </w:rPr>
            </w:pPr>
            <w:r w:rsidRPr="00E14EE6">
              <w:rPr>
                <w:sz w:val="15"/>
              </w:rPr>
              <w:t>Denmark</w:t>
            </w:r>
          </w:p>
        </w:tc>
        <w:tc>
          <w:tcPr>
            <w:tcW w:w="444" w:type="pct"/>
            <w:noWrap/>
            <w:hideMark/>
          </w:tcPr>
          <w:p w14:paraId="0F34055A" w14:textId="77777777" w:rsidR="00CA7676" w:rsidRPr="00E14EE6" w:rsidRDefault="00CA7676" w:rsidP="00E14EE6">
            <w:pPr>
              <w:jc w:val="right"/>
              <w:rPr>
                <w:rFonts w:eastAsia="Calibri" w:cs="Times New Roman"/>
                <w:sz w:val="15"/>
                <w:szCs w:val="15"/>
              </w:rPr>
            </w:pPr>
            <w:r w:rsidRPr="00E14EE6">
              <w:rPr>
                <w:sz w:val="15"/>
              </w:rPr>
              <w:t>0</w:t>
            </w:r>
          </w:p>
        </w:tc>
        <w:tc>
          <w:tcPr>
            <w:tcW w:w="444" w:type="pct"/>
            <w:noWrap/>
            <w:hideMark/>
          </w:tcPr>
          <w:p w14:paraId="59BE12EE" w14:textId="77777777" w:rsidR="00CA7676" w:rsidRPr="00E14EE6" w:rsidRDefault="00CA7676" w:rsidP="00E14EE6">
            <w:pPr>
              <w:jc w:val="right"/>
              <w:rPr>
                <w:rFonts w:eastAsia="Calibri" w:cs="Times New Roman"/>
                <w:sz w:val="15"/>
                <w:szCs w:val="15"/>
              </w:rPr>
            </w:pPr>
            <w:r w:rsidRPr="00E14EE6">
              <w:rPr>
                <w:sz w:val="15"/>
              </w:rPr>
              <w:t>4</w:t>
            </w:r>
          </w:p>
        </w:tc>
        <w:tc>
          <w:tcPr>
            <w:tcW w:w="444" w:type="pct"/>
            <w:noWrap/>
            <w:hideMark/>
          </w:tcPr>
          <w:p w14:paraId="6BE90801" w14:textId="77777777" w:rsidR="00CA7676" w:rsidRPr="00E14EE6" w:rsidRDefault="00CA7676" w:rsidP="00E14EE6">
            <w:pPr>
              <w:jc w:val="right"/>
              <w:rPr>
                <w:rFonts w:eastAsia="Calibri" w:cs="Times New Roman"/>
                <w:sz w:val="15"/>
                <w:szCs w:val="15"/>
              </w:rPr>
            </w:pPr>
            <w:r w:rsidRPr="00E14EE6">
              <w:rPr>
                <w:sz w:val="15"/>
              </w:rPr>
              <w:t>32</w:t>
            </w:r>
          </w:p>
        </w:tc>
        <w:tc>
          <w:tcPr>
            <w:tcW w:w="445" w:type="pct"/>
            <w:noWrap/>
            <w:hideMark/>
          </w:tcPr>
          <w:p w14:paraId="65E4FC82" w14:textId="77777777" w:rsidR="00CA7676" w:rsidRPr="00E14EE6" w:rsidRDefault="00CA7676" w:rsidP="00E14EE6">
            <w:pPr>
              <w:jc w:val="right"/>
              <w:rPr>
                <w:rFonts w:eastAsia="Calibri" w:cs="Times New Roman"/>
                <w:sz w:val="15"/>
                <w:szCs w:val="15"/>
              </w:rPr>
            </w:pPr>
            <w:r w:rsidRPr="00E14EE6">
              <w:rPr>
                <w:sz w:val="15"/>
              </w:rPr>
              <w:t>63</w:t>
            </w:r>
          </w:p>
        </w:tc>
        <w:tc>
          <w:tcPr>
            <w:tcW w:w="444" w:type="pct"/>
            <w:noWrap/>
            <w:hideMark/>
          </w:tcPr>
          <w:p w14:paraId="1CB7E1AB" w14:textId="7B37829E" w:rsidR="00CA7676" w:rsidRPr="00E14EE6" w:rsidRDefault="00E14EE6" w:rsidP="00E14EE6">
            <w:pPr>
              <w:jc w:val="right"/>
              <w:rPr>
                <w:rFonts w:eastAsia="Calibri" w:cs="Times New Roman"/>
                <w:sz w:val="15"/>
                <w:szCs w:val="15"/>
              </w:rPr>
            </w:pPr>
            <w:r w:rsidRPr="00E14EE6">
              <w:rPr>
                <w:sz w:val="15"/>
              </w:rPr>
              <w:noBreakHyphen/>
            </w:r>
            <w:r w:rsidR="00CA7676" w:rsidRPr="00E14EE6">
              <w:rPr>
                <w:sz w:val="15"/>
              </w:rPr>
              <w:t>460</w:t>
            </w:r>
          </w:p>
        </w:tc>
        <w:tc>
          <w:tcPr>
            <w:tcW w:w="444" w:type="pct"/>
            <w:noWrap/>
            <w:hideMark/>
          </w:tcPr>
          <w:p w14:paraId="555919D0" w14:textId="77777777" w:rsidR="00CA7676" w:rsidRPr="00E14EE6" w:rsidRDefault="00CA7676" w:rsidP="00E14EE6">
            <w:pPr>
              <w:jc w:val="right"/>
              <w:rPr>
                <w:rFonts w:eastAsia="Calibri" w:cs="Times New Roman"/>
                <w:sz w:val="15"/>
                <w:szCs w:val="15"/>
              </w:rPr>
            </w:pPr>
            <w:r w:rsidRPr="00E14EE6">
              <w:rPr>
                <w:sz w:val="15"/>
              </w:rPr>
              <w:t>7</w:t>
            </w:r>
          </w:p>
        </w:tc>
        <w:tc>
          <w:tcPr>
            <w:tcW w:w="444" w:type="pct"/>
            <w:noWrap/>
            <w:hideMark/>
          </w:tcPr>
          <w:p w14:paraId="56401F59" w14:textId="2279FC43" w:rsidR="00CA7676" w:rsidRPr="00E14EE6" w:rsidRDefault="00E14EE6" w:rsidP="00E14EE6">
            <w:pPr>
              <w:jc w:val="right"/>
              <w:rPr>
                <w:rFonts w:eastAsia="Calibri" w:cs="Times New Roman"/>
                <w:sz w:val="15"/>
                <w:szCs w:val="15"/>
              </w:rPr>
            </w:pPr>
            <w:r w:rsidRPr="00E14EE6">
              <w:rPr>
                <w:sz w:val="15"/>
              </w:rPr>
              <w:noBreakHyphen/>
            </w:r>
            <w:r w:rsidR="00CA7676" w:rsidRPr="00E14EE6">
              <w:rPr>
                <w:sz w:val="15"/>
              </w:rPr>
              <w:t>114</w:t>
            </w:r>
          </w:p>
        </w:tc>
        <w:tc>
          <w:tcPr>
            <w:tcW w:w="445" w:type="pct"/>
            <w:noWrap/>
            <w:hideMark/>
          </w:tcPr>
          <w:p w14:paraId="74FF6A8D" w14:textId="77777777" w:rsidR="00CA7676" w:rsidRPr="00E14EE6" w:rsidRDefault="00CA7676" w:rsidP="00E14EE6">
            <w:pPr>
              <w:jc w:val="right"/>
              <w:rPr>
                <w:rFonts w:eastAsia="Calibri" w:cs="Times New Roman"/>
                <w:sz w:val="15"/>
                <w:szCs w:val="15"/>
              </w:rPr>
            </w:pPr>
            <w:r w:rsidRPr="00E14EE6">
              <w:rPr>
                <w:sz w:val="15"/>
              </w:rPr>
              <w:t>75</w:t>
            </w:r>
          </w:p>
        </w:tc>
        <w:tc>
          <w:tcPr>
            <w:tcW w:w="458" w:type="pct"/>
            <w:noWrap/>
            <w:hideMark/>
          </w:tcPr>
          <w:p w14:paraId="05A79F88" w14:textId="7871FB88" w:rsidR="00CA7676" w:rsidRPr="00E97109" w:rsidRDefault="00E14EE6" w:rsidP="00E14EE6">
            <w:pPr>
              <w:jc w:val="right"/>
              <w:rPr>
                <w:rFonts w:eastAsia="Calibri" w:cs="Times New Roman"/>
                <w:sz w:val="15"/>
                <w:szCs w:val="15"/>
                <w:highlight w:val="darkGray"/>
              </w:rPr>
            </w:pPr>
            <w:r w:rsidRPr="00E97109">
              <w:rPr>
                <w:sz w:val="15"/>
                <w:highlight w:val="darkGray"/>
              </w:rPr>
              <w:noBreakHyphen/>
            </w:r>
            <w:r w:rsidR="00CA7676" w:rsidRPr="00E97109">
              <w:rPr>
                <w:sz w:val="15"/>
                <w:highlight w:val="darkGray"/>
              </w:rPr>
              <w:t>393</w:t>
            </w:r>
          </w:p>
        </w:tc>
      </w:tr>
      <w:tr w:rsidR="00CA7676" w:rsidRPr="00E14EE6" w14:paraId="7181BC6C" w14:textId="77777777" w:rsidTr="00A05611">
        <w:trPr>
          <w:cantSplit/>
          <w:trHeight w:val="20"/>
        </w:trPr>
        <w:tc>
          <w:tcPr>
            <w:tcW w:w="987" w:type="pct"/>
            <w:noWrap/>
            <w:hideMark/>
          </w:tcPr>
          <w:p w14:paraId="3323B403" w14:textId="77777777" w:rsidR="00CA7676" w:rsidRPr="00E14EE6" w:rsidRDefault="00CA7676" w:rsidP="00E14EE6">
            <w:pPr>
              <w:jc w:val="left"/>
              <w:rPr>
                <w:rFonts w:eastAsia="Calibri" w:cs="Times New Roman"/>
                <w:sz w:val="15"/>
                <w:szCs w:val="15"/>
              </w:rPr>
            </w:pPr>
            <w:r w:rsidRPr="00E14EE6">
              <w:rPr>
                <w:sz w:val="15"/>
              </w:rPr>
              <w:t>France</w:t>
            </w:r>
          </w:p>
        </w:tc>
        <w:tc>
          <w:tcPr>
            <w:tcW w:w="444" w:type="pct"/>
            <w:noWrap/>
            <w:hideMark/>
          </w:tcPr>
          <w:p w14:paraId="7BBDB413" w14:textId="77777777" w:rsidR="00CA7676" w:rsidRPr="00E14EE6" w:rsidRDefault="00CA7676" w:rsidP="00E14EE6">
            <w:pPr>
              <w:jc w:val="right"/>
              <w:rPr>
                <w:rFonts w:eastAsia="Calibri" w:cs="Times New Roman"/>
                <w:sz w:val="15"/>
                <w:szCs w:val="15"/>
              </w:rPr>
            </w:pPr>
            <w:r w:rsidRPr="00E14EE6">
              <w:rPr>
                <w:sz w:val="15"/>
              </w:rPr>
              <w:t>40</w:t>
            </w:r>
          </w:p>
        </w:tc>
        <w:tc>
          <w:tcPr>
            <w:tcW w:w="444" w:type="pct"/>
            <w:noWrap/>
            <w:hideMark/>
          </w:tcPr>
          <w:p w14:paraId="37B226B4" w14:textId="77777777" w:rsidR="00CA7676" w:rsidRPr="00E14EE6" w:rsidRDefault="00CA7676" w:rsidP="00E14EE6">
            <w:pPr>
              <w:jc w:val="right"/>
              <w:rPr>
                <w:rFonts w:eastAsia="Calibri" w:cs="Times New Roman"/>
                <w:sz w:val="15"/>
                <w:szCs w:val="15"/>
              </w:rPr>
            </w:pPr>
            <w:r w:rsidRPr="00E14EE6">
              <w:rPr>
                <w:sz w:val="15"/>
              </w:rPr>
              <w:t>3</w:t>
            </w:r>
          </w:p>
        </w:tc>
        <w:tc>
          <w:tcPr>
            <w:tcW w:w="444" w:type="pct"/>
            <w:noWrap/>
            <w:hideMark/>
          </w:tcPr>
          <w:p w14:paraId="48838D26" w14:textId="77777777" w:rsidR="00CA7676" w:rsidRPr="00E14EE6" w:rsidRDefault="00CA7676" w:rsidP="00E14EE6">
            <w:pPr>
              <w:jc w:val="right"/>
              <w:rPr>
                <w:rFonts w:eastAsia="Calibri" w:cs="Times New Roman"/>
                <w:sz w:val="15"/>
                <w:szCs w:val="15"/>
              </w:rPr>
            </w:pPr>
            <w:r w:rsidRPr="00E14EE6">
              <w:rPr>
                <w:sz w:val="15"/>
              </w:rPr>
              <w:t>4</w:t>
            </w:r>
          </w:p>
        </w:tc>
        <w:tc>
          <w:tcPr>
            <w:tcW w:w="445" w:type="pct"/>
            <w:noWrap/>
            <w:hideMark/>
          </w:tcPr>
          <w:p w14:paraId="79CAC8C3" w14:textId="77777777" w:rsidR="00CA7676" w:rsidRPr="00E14EE6" w:rsidRDefault="00CA7676" w:rsidP="00E14EE6">
            <w:pPr>
              <w:jc w:val="right"/>
              <w:rPr>
                <w:rFonts w:eastAsia="Calibri" w:cs="Times New Roman"/>
                <w:sz w:val="15"/>
                <w:szCs w:val="15"/>
              </w:rPr>
            </w:pPr>
            <w:r w:rsidRPr="00E14EE6">
              <w:rPr>
                <w:sz w:val="15"/>
              </w:rPr>
              <w:t>6</w:t>
            </w:r>
          </w:p>
        </w:tc>
        <w:tc>
          <w:tcPr>
            <w:tcW w:w="444" w:type="pct"/>
            <w:noWrap/>
            <w:hideMark/>
          </w:tcPr>
          <w:p w14:paraId="7384D87F" w14:textId="77777777" w:rsidR="00CA7676" w:rsidRPr="00E14EE6" w:rsidRDefault="00CA7676" w:rsidP="00E14EE6">
            <w:pPr>
              <w:jc w:val="right"/>
              <w:rPr>
                <w:rFonts w:eastAsia="Calibri" w:cs="Times New Roman"/>
                <w:sz w:val="15"/>
                <w:szCs w:val="15"/>
              </w:rPr>
            </w:pPr>
            <w:r w:rsidRPr="00E14EE6">
              <w:rPr>
                <w:sz w:val="15"/>
              </w:rPr>
              <w:t>5</w:t>
            </w:r>
          </w:p>
        </w:tc>
        <w:tc>
          <w:tcPr>
            <w:tcW w:w="444" w:type="pct"/>
            <w:noWrap/>
            <w:hideMark/>
          </w:tcPr>
          <w:p w14:paraId="4A72837C" w14:textId="77777777" w:rsidR="00CA7676" w:rsidRPr="00E14EE6" w:rsidRDefault="00CA7676" w:rsidP="00E14EE6">
            <w:pPr>
              <w:jc w:val="right"/>
              <w:rPr>
                <w:rFonts w:eastAsia="Calibri" w:cs="Times New Roman"/>
                <w:sz w:val="15"/>
                <w:szCs w:val="15"/>
              </w:rPr>
            </w:pPr>
            <w:r w:rsidRPr="00E14EE6">
              <w:rPr>
                <w:sz w:val="15"/>
              </w:rPr>
              <w:t>239</w:t>
            </w:r>
          </w:p>
        </w:tc>
        <w:tc>
          <w:tcPr>
            <w:tcW w:w="444" w:type="pct"/>
            <w:noWrap/>
            <w:hideMark/>
          </w:tcPr>
          <w:p w14:paraId="262B15EC" w14:textId="77777777" w:rsidR="00CA7676" w:rsidRPr="00E14EE6" w:rsidRDefault="00CA7676" w:rsidP="00E14EE6">
            <w:pPr>
              <w:jc w:val="right"/>
              <w:rPr>
                <w:rFonts w:eastAsia="Calibri" w:cs="Times New Roman"/>
                <w:sz w:val="15"/>
                <w:szCs w:val="15"/>
              </w:rPr>
            </w:pPr>
            <w:r w:rsidRPr="00E14EE6">
              <w:rPr>
                <w:sz w:val="15"/>
              </w:rPr>
              <w:t>80</w:t>
            </w:r>
          </w:p>
        </w:tc>
        <w:tc>
          <w:tcPr>
            <w:tcW w:w="445" w:type="pct"/>
            <w:noWrap/>
            <w:hideMark/>
          </w:tcPr>
          <w:p w14:paraId="5DF4CB76" w14:textId="77777777" w:rsidR="00CA7676" w:rsidRPr="00E14EE6" w:rsidRDefault="00CA7676" w:rsidP="00E14EE6">
            <w:pPr>
              <w:jc w:val="right"/>
              <w:rPr>
                <w:rFonts w:eastAsia="Calibri" w:cs="Times New Roman"/>
                <w:sz w:val="15"/>
                <w:szCs w:val="15"/>
              </w:rPr>
            </w:pPr>
            <w:r w:rsidRPr="00E14EE6">
              <w:rPr>
                <w:sz w:val="15"/>
              </w:rPr>
              <w:t>44</w:t>
            </w:r>
          </w:p>
        </w:tc>
        <w:tc>
          <w:tcPr>
            <w:tcW w:w="458" w:type="pct"/>
            <w:noWrap/>
            <w:hideMark/>
          </w:tcPr>
          <w:p w14:paraId="132E47B6" w14:textId="77777777" w:rsidR="00CA7676" w:rsidRPr="00E97109" w:rsidRDefault="00CA7676" w:rsidP="00E14EE6">
            <w:pPr>
              <w:jc w:val="right"/>
              <w:rPr>
                <w:rFonts w:eastAsia="Calibri" w:cs="Times New Roman"/>
                <w:sz w:val="15"/>
                <w:szCs w:val="15"/>
                <w:highlight w:val="darkGray"/>
              </w:rPr>
            </w:pPr>
            <w:r w:rsidRPr="00E97109">
              <w:rPr>
                <w:sz w:val="15"/>
                <w:highlight w:val="darkGray"/>
              </w:rPr>
              <w:t>421</w:t>
            </w:r>
          </w:p>
        </w:tc>
      </w:tr>
      <w:tr w:rsidR="00CA7676" w:rsidRPr="00E14EE6" w14:paraId="47BEF236" w14:textId="77777777" w:rsidTr="00A05611">
        <w:trPr>
          <w:cnfStyle w:val="000000010000" w:firstRow="0" w:lastRow="0" w:firstColumn="0" w:lastColumn="0" w:oddVBand="0" w:evenVBand="0" w:oddHBand="0" w:evenHBand="1" w:firstRowFirstColumn="0" w:firstRowLastColumn="0" w:lastRowFirstColumn="0" w:lastRowLastColumn="0"/>
          <w:cantSplit/>
          <w:trHeight w:val="20"/>
        </w:trPr>
        <w:tc>
          <w:tcPr>
            <w:tcW w:w="987" w:type="pct"/>
            <w:noWrap/>
            <w:hideMark/>
          </w:tcPr>
          <w:p w14:paraId="19267AFD" w14:textId="77777777" w:rsidR="00CA7676" w:rsidRPr="00E14EE6" w:rsidRDefault="00CA7676" w:rsidP="00E14EE6">
            <w:pPr>
              <w:jc w:val="left"/>
              <w:rPr>
                <w:rFonts w:eastAsia="Calibri" w:cs="Times New Roman"/>
                <w:sz w:val="15"/>
                <w:szCs w:val="15"/>
              </w:rPr>
            </w:pPr>
            <w:r w:rsidRPr="00E14EE6">
              <w:rPr>
                <w:sz w:val="15"/>
              </w:rPr>
              <w:t>Italy</w:t>
            </w:r>
          </w:p>
        </w:tc>
        <w:tc>
          <w:tcPr>
            <w:tcW w:w="444" w:type="pct"/>
            <w:noWrap/>
            <w:hideMark/>
          </w:tcPr>
          <w:p w14:paraId="74490A35" w14:textId="77777777" w:rsidR="00CA7676" w:rsidRPr="00E14EE6" w:rsidRDefault="00CA7676" w:rsidP="00E14EE6">
            <w:pPr>
              <w:jc w:val="right"/>
              <w:rPr>
                <w:rFonts w:eastAsia="Calibri" w:cs="Times New Roman"/>
                <w:sz w:val="15"/>
                <w:szCs w:val="15"/>
              </w:rPr>
            </w:pPr>
            <w:r w:rsidRPr="00E14EE6">
              <w:rPr>
                <w:sz w:val="15"/>
              </w:rPr>
              <w:t>10</w:t>
            </w:r>
          </w:p>
        </w:tc>
        <w:tc>
          <w:tcPr>
            <w:tcW w:w="444" w:type="pct"/>
            <w:noWrap/>
            <w:hideMark/>
          </w:tcPr>
          <w:p w14:paraId="31198C57" w14:textId="6843994F" w:rsidR="00CA7676" w:rsidRPr="00E14EE6" w:rsidRDefault="00E14EE6" w:rsidP="00E14EE6">
            <w:pPr>
              <w:jc w:val="right"/>
              <w:rPr>
                <w:rFonts w:eastAsia="Calibri" w:cs="Times New Roman"/>
                <w:sz w:val="15"/>
                <w:szCs w:val="15"/>
              </w:rPr>
            </w:pPr>
            <w:r w:rsidRPr="00E14EE6">
              <w:rPr>
                <w:sz w:val="15"/>
              </w:rPr>
              <w:noBreakHyphen/>
            </w:r>
            <w:r w:rsidR="00CA7676" w:rsidRPr="00E14EE6">
              <w:rPr>
                <w:sz w:val="15"/>
              </w:rPr>
              <w:t>1</w:t>
            </w:r>
          </w:p>
        </w:tc>
        <w:tc>
          <w:tcPr>
            <w:tcW w:w="444" w:type="pct"/>
            <w:noWrap/>
            <w:hideMark/>
          </w:tcPr>
          <w:p w14:paraId="3C29AD76" w14:textId="77777777" w:rsidR="00CA7676" w:rsidRPr="00E14EE6" w:rsidRDefault="00CA7676" w:rsidP="00E14EE6">
            <w:pPr>
              <w:jc w:val="right"/>
              <w:rPr>
                <w:rFonts w:eastAsia="Calibri" w:cs="Times New Roman"/>
                <w:sz w:val="15"/>
                <w:szCs w:val="15"/>
              </w:rPr>
            </w:pPr>
            <w:r w:rsidRPr="00E14EE6">
              <w:rPr>
                <w:sz w:val="15"/>
              </w:rPr>
              <w:t>48</w:t>
            </w:r>
          </w:p>
        </w:tc>
        <w:tc>
          <w:tcPr>
            <w:tcW w:w="445" w:type="pct"/>
            <w:noWrap/>
            <w:hideMark/>
          </w:tcPr>
          <w:p w14:paraId="25F06920" w14:textId="77777777" w:rsidR="00CA7676" w:rsidRPr="00E14EE6" w:rsidRDefault="00CA7676" w:rsidP="00E14EE6">
            <w:pPr>
              <w:jc w:val="right"/>
              <w:rPr>
                <w:rFonts w:eastAsia="Calibri" w:cs="Times New Roman"/>
                <w:sz w:val="15"/>
                <w:szCs w:val="15"/>
              </w:rPr>
            </w:pPr>
            <w:r w:rsidRPr="00E14EE6">
              <w:rPr>
                <w:sz w:val="15"/>
              </w:rPr>
              <w:t>32</w:t>
            </w:r>
          </w:p>
        </w:tc>
        <w:tc>
          <w:tcPr>
            <w:tcW w:w="444" w:type="pct"/>
            <w:noWrap/>
            <w:hideMark/>
          </w:tcPr>
          <w:p w14:paraId="12FDC1A0" w14:textId="77777777" w:rsidR="00CA7676" w:rsidRPr="00E14EE6" w:rsidRDefault="00CA7676" w:rsidP="00E14EE6">
            <w:pPr>
              <w:jc w:val="right"/>
              <w:rPr>
                <w:rFonts w:eastAsia="Calibri" w:cs="Times New Roman"/>
                <w:sz w:val="15"/>
                <w:szCs w:val="15"/>
              </w:rPr>
            </w:pPr>
            <w:r w:rsidRPr="00E14EE6">
              <w:rPr>
                <w:sz w:val="15"/>
              </w:rPr>
              <w:t>24</w:t>
            </w:r>
          </w:p>
        </w:tc>
        <w:tc>
          <w:tcPr>
            <w:tcW w:w="444" w:type="pct"/>
            <w:noWrap/>
            <w:hideMark/>
          </w:tcPr>
          <w:p w14:paraId="2BF9D82A" w14:textId="77777777" w:rsidR="00CA7676" w:rsidRPr="00E14EE6" w:rsidRDefault="00CA7676" w:rsidP="00E14EE6">
            <w:pPr>
              <w:jc w:val="right"/>
              <w:rPr>
                <w:rFonts w:eastAsia="Calibri" w:cs="Times New Roman"/>
                <w:sz w:val="15"/>
                <w:szCs w:val="15"/>
              </w:rPr>
            </w:pPr>
            <w:r w:rsidRPr="00E14EE6">
              <w:rPr>
                <w:sz w:val="15"/>
              </w:rPr>
              <w:t>45</w:t>
            </w:r>
          </w:p>
        </w:tc>
        <w:tc>
          <w:tcPr>
            <w:tcW w:w="444" w:type="pct"/>
            <w:noWrap/>
            <w:hideMark/>
          </w:tcPr>
          <w:p w14:paraId="2AE69036" w14:textId="77777777" w:rsidR="00CA7676" w:rsidRPr="00E14EE6" w:rsidRDefault="00CA7676" w:rsidP="00E14EE6">
            <w:pPr>
              <w:jc w:val="right"/>
              <w:rPr>
                <w:rFonts w:eastAsia="Calibri" w:cs="Times New Roman"/>
                <w:sz w:val="15"/>
                <w:szCs w:val="15"/>
              </w:rPr>
            </w:pPr>
            <w:r w:rsidRPr="00E14EE6">
              <w:rPr>
                <w:sz w:val="15"/>
              </w:rPr>
              <w:t>19</w:t>
            </w:r>
          </w:p>
        </w:tc>
        <w:tc>
          <w:tcPr>
            <w:tcW w:w="445" w:type="pct"/>
            <w:noWrap/>
            <w:hideMark/>
          </w:tcPr>
          <w:p w14:paraId="6A372FFF" w14:textId="77777777" w:rsidR="00CA7676" w:rsidRPr="00E14EE6" w:rsidRDefault="00CA7676" w:rsidP="00E14EE6">
            <w:pPr>
              <w:jc w:val="right"/>
              <w:rPr>
                <w:rFonts w:eastAsia="Calibri" w:cs="Times New Roman"/>
                <w:sz w:val="15"/>
                <w:szCs w:val="15"/>
              </w:rPr>
            </w:pPr>
            <w:r w:rsidRPr="00E14EE6">
              <w:rPr>
                <w:sz w:val="15"/>
              </w:rPr>
              <w:t>38</w:t>
            </w:r>
          </w:p>
        </w:tc>
        <w:tc>
          <w:tcPr>
            <w:tcW w:w="458" w:type="pct"/>
            <w:noWrap/>
            <w:hideMark/>
          </w:tcPr>
          <w:p w14:paraId="6239354F" w14:textId="77777777" w:rsidR="00CA7676" w:rsidRPr="00E97109" w:rsidRDefault="00CA7676" w:rsidP="00E14EE6">
            <w:pPr>
              <w:jc w:val="right"/>
              <w:rPr>
                <w:rFonts w:eastAsia="Calibri" w:cs="Times New Roman"/>
                <w:sz w:val="15"/>
                <w:szCs w:val="15"/>
                <w:highlight w:val="darkGray"/>
              </w:rPr>
            </w:pPr>
            <w:r w:rsidRPr="00E97109">
              <w:rPr>
                <w:sz w:val="15"/>
                <w:highlight w:val="darkGray"/>
              </w:rPr>
              <w:t>215</w:t>
            </w:r>
          </w:p>
        </w:tc>
      </w:tr>
      <w:tr w:rsidR="00CA7676" w:rsidRPr="00E14EE6" w14:paraId="17B62314" w14:textId="77777777" w:rsidTr="00A05611">
        <w:trPr>
          <w:cantSplit/>
          <w:trHeight w:val="20"/>
        </w:trPr>
        <w:tc>
          <w:tcPr>
            <w:tcW w:w="987" w:type="pct"/>
            <w:noWrap/>
            <w:hideMark/>
          </w:tcPr>
          <w:p w14:paraId="035EEBA5" w14:textId="77777777" w:rsidR="00CA7676" w:rsidRPr="00E14EE6" w:rsidRDefault="00CA7676" w:rsidP="00E14EE6">
            <w:pPr>
              <w:jc w:val="left"/>
              <w:rPr>
                <w:rFonts w:eastAsia="Calibri" w:cs="Times New Roman"/>
                <w:sz w:val="15"/>
                <w:szCs w:val="15"/>
              </w:rPr>
            </w:pPr>
            <w:r w:rsidRPr="00E14EE6">
              <w:rPr>
                <w:sz w:val="15"/>
              </w:rPr>
              <w:t>Germany</w:t>
            </w:r>
          </w:p>
        </w:tc>
        <w:tc>
          <w:tcPr>
            <w:tcW w:w="444" w:type="pct"/>
            <w:noWrap/>
            <w:hideMark/>
          </w:tcPr>
          <w:p w14:paraId="6B82CD3D" w14:textId="77777777" w:rsidR="00CA7676" w:rsidRPr="00E14EE6" w:rsidRDefault="00CA7676" w:rsidP="00E14EE6">
            <w:pPr>
              <w:jc w:val="right"/>
              <w:rPr>
                <w:rFonts w:eastAsia="Calibri" w:cs="Times New Roman"/>
                <w:sz w:val="15"/>
                <w:szCs w:val="15"/>
              </w:rPr>
            </w:pPr>
            <w:r w:rsidRPr="00E14EE6">
              <w:rPr>
                <w:sz w:val="15"/>
              </w:rPr>
              <w:t>3</w:t>
            </w:r>
          </w:p>
        </w:tc>
        <w:tc>
          <w:tcPr>
            <w:tcW w:w="444" w:type="pct"/>
            <w:noWrap/>
            <w:hideMark/>
          </w:tcPr>
          <w:p w14:paraId="14089520" w14:textId="77777777" w:rsidR="00CA7676" w:rsidRPr="00E14EE6" w:rsidRDefault="00CA7676" w:rsidP="00E14EE6">
            <w:pPr>
              <w:jc w:val="right"/>
              <w:rPr>
                <w:rFonts w:eastAsia="Calibri" w:cs="Times New Roman"/>
                <w:sz w:val="15"/>
                <w:szCs w:val="15"/>
              </w:rPr>
            </w:pPr>
            <w:r w:rsidRPr="00E14EE6">
              <w:rPr>
                <w:sz w:val="15"/>
              </w:rPr>
              <w:t>8</w:t>
            </w:r>
          </w:p>
        </w:tc>
        <w:tc>
          <w:tcPr>
            <w:tcW w:w="444" w:type="pct"/>
            <w:noWrap/>
            <w:hideMark/>
          </w:tcPr>
          <w:p w14:paraId="284D98C2" w14:textId="77777777" w:rsidR="00CA7676" w:rsidRPr="00E14EE6" w:rsidRDefault="00CA7676" w:rsidP="00E14EE6">
            <w:pPr>
              <w:jc w:val="right"/>
              <w:rPr>
                <w:rFonts w:eastAsia="Calibri" w:cs="Times New Roman"/>
                <w:sz w:val="15"/>
                <w:szCs w:val="15"/>
              </w:rPr>
            </w:pPr>
            <w:r w:rsidRPr="00E14EE6">
              <w:rPr>
                <w:sz w:val="15"/>
              </w:rPr>
              <w:t>7</w:t>
            </w:r>
          </w:p>
        </w:tc>
        <w:tc>
          <w:tcPr>
            <w:tcW w:w="445" w:type="pct"/>
            <w:noWrap/>
            <w:hideMark/>
          </w:tcPr>
          <w:p w14:paraId="43EA23CB" w14:textId="77777777" w:rsidR="00CA7676" w:rsidRPr="00E14EE6" w:rsidRDefault="00CA7676" w:rsidP="00E14EE6">
            <w:pPr>
              <w:jc w:val="right"/>
              <w:rPr>
                <w:rFonts w:eastAsia="Calibri" w:cs="Times New Roman"/>
                <w:sz w:val="15"/>
                <w:szCs w:val="15"/>
              </w:rPr>
            </w:pPr>
            <w:r w:rsidRPr="00E14EE6">
              <w:rPr>
                <w:sz w:val="15"/>
              </w:rPr>
              <w:t>7</w:t>
            </w:r>
          </w:p>
        </w:tc>
        <w:tc>
          <w:tcPr>
            <w:tcW w:w="444" w:type="pct"/>
            <w:noWrap/>
            <w:hideMark/>
          </w:tcPr>
          <w:p w14:paraId="086BEA02" w14:textId="77777777" w:rsidR="00CA7676" w:rsidRPr="00E14EE6" w:rsidRDefault="00CA7676" w:rsidP="00E14EE6">
            <w:pPr>
              <w:jc w:val="right"/>
              <w:rPr>
                <w:rFonts w:eastAsia="Calibri" w:cs="Times New Roman"/>
                <w:sz w:val="15"/>
                <w:szCs w:val="15"/>
              </w:rPr>
            </w:pPr>
            <w:r w:rsidRPr="00E14EE6">
              <w:rPr>
                <w:sz w:val="15"/>
              </w:rPr>
              <w:t>20</w:t>
            </w:r>
          </w:p>
        </w:tc>
        <w:tc>
          <w:tcPr>
            <w:tcW w:w="444" w:type="pct"/>
            <w:noWrap/>
            <w:hideMark/>
          </w:tcPr>
          <w:p w14:paraId="2EFCF83D" w14:textId="77777777" w:rsidR="00CA7676" w:rsidRPr="00E14EE6" w:rsidRDefault="00CA7676" w:rsidP="00E14EE6">
            <w:pPr>
              <w:jc w:val="right"/>
              <w:rPr>
                <w:rFonts w:eastAsia="Calibri" w:cs="Times New Roman"/>
                <w:sz w:val="15"/>
                <w:szCs w:val="15"/>
              </w:rPr>
            </w:pPr>
            <w:r w:rsidRPr="00E14EE6">
              <w:rPr>
                <w:sz w:val="15"/>
              </w:rPr>
              <w:t>30</w:t>
            </w:r>
          </w:p>
        </w:tc>
        <w:tc>
          <w:tcPr>
            <w:tcW w:w="444" w:type="pct"/>
            <w:noWrap/>
            <w:hideMark/>
          </w:tcPr>
          <w:p w14:paraId="39CC07C3" w14:textId="77777777" w:rsidR="00CA7676" w:rsidRPr="00E14EE6" w:rsidRDefault="00CA7676" w:rsidP="00E14EE6">
            <w:pPr>
              <w:jc w:val="right"/>
              <w:rPr>
                <w:rFonts w:eastAsia="Calibri" w:cs="Times New Roman"/>
                <w:sz w:val="15"/>
                <w:szCs w:val="15"/>
              </w:rPr>
            </w:pPr>
            <w:r w:rsidRPr="00E14EE6">
              <w:rPr>
                <w:sz w:val="15"/>
              </w:rPr>
              <w:t>29</w:t>
            </w:r>
          </w:p>
        </w:tc>
        <w:tc>
          <w:tcPr>
            <w:tcW w:w="445" w:type="pct"/>
            <w:noWrap/>
            <w:hideMark/>
          </w:tcPr>
          <w:p w14:paraId="6352A83E" w14:textId="77777777" w:rsidR="00CA7676" w:rsidRPr="00E14EE6" w:rsidRDefault="00CA7676" w:rsidP="00E14EE6">
            <w:pPr>
              <w:jc w:val="right"/>
              <w:rPr>
                <w:rFonts w:eastAsia="Calibri" w:cs="Times New Roman"/>
                <w:sz w:val="15"/>
                <w:szCs w:val="15"/>
              </w:rPr>
            </w:pPr>
            <w:r w:rsidRPr="00E14EE6">
              <w:rPr>
                <w:sz w:val="15"/>
              </w:rPr>
              <w:t>27</w:t>
            </w:r>
          </w:p>
        </w:tc>
        <w:tc>
          <w:tcPr>
            <w:tcW w:w="458" w:type="pct"/>
            <w:noWrap/>
            <w:hideMark/>
          </w:tcPr>
          <w:p w14:paraId="750D3BA5" w14:textId="77777777" w:rsidR="00CA7676" w:rsidRPr="00E97109" w:rsidRDefault="00CA7676" w:rsidP="00E14EE6">
            <w:pPr>
              <w:jc w:val="right"/>
              <w:rPr>
                <w:rFonts w:eastAsia="Calibri" w:cs="Times New Roman"/>
                <w:sz w:val="15"/>
                <w:szCs w:val="15"/>
                <w:highlight w:val="darkGray"/>
              </w:rPr>
            </w:pPr>
            <w:r w:rsidRPr="00E97109">
              <w:rPr>
                <w:sz w:val="15"/>
                <w:highlight w:val="darkGray"/>
              </w:rPr>
              <w:t>131</w:t>
            </w:r>
          </w:p>
        </w:tc>
      </w:tr>
      <w:tr w:rsidR="00CA7676" w:rsidRPr="00E14EE6" w14:paraId="205F98F0" w14:textId="77777777" w:rsidTr="00A05611">
        <w:trPr>
          <w:cnfStyle w:val="000000010000" w:firstRow="0" w:lastRow="0" w:firstColumn="0" w:lastColumn="0" w:oddVBand="0" w:evenVBand="0" w:oddHBand="0" w:evenHBand="1" w:firstRowFirstColumn="0" w:firstRowLastColumn="0" w:lastRowFirstColumn="0" w:lastRowLastColumn="0"/>
          <w:cantSplit/>
          <w:trHeight w:val="20"/>
        </w:trPr>
        <w:tc>
          <w:tcPr>
            <w:tcW w:w="987" w:type="pct"/>
            <w:noWrap/>
            <w:hideMark/>
          </w:tcPr>
          <w:p w14:paraId="416C6CBD" w14:textId="77777777" w:rsidR="00CA7676" w:rsidRPr="00E14EE6" w:rsidRDefault="00CA7676" w:rsidP="00E14EE6">
            <w:pPr>
              <w:jc w:val="left"/>
              <w:rPr>
                <w:rFonts w:eastAsia="Calibri" w:cs="Times New Roman"/>
                <w:sz w:val="15"/>
                <w:szCs w:val="15"/>
              </w:rPr>
            </w:pPr>
            <w:r w:rsidRPr="00E14EE6">
              <w:rPr>
                <w:sz w:val="15"/>
              </w:rPr>
              <w:t>Switzerland</w:t>
            </w:r>
          </w:p>
        </w:tc>
        <w:tc>
          <w:tcPr>
            <w:tcW w:w="444" w:type="pct"/>
            <w:noWrap/>
            <w:hideMark/>
          </w:tcPr>
          <w:p w14:paraId="77946A85" w14:textId="77777777" w:rsidR="00CA7676" w:rsidRPr="00E14EE6" w:rsidRDefault="00CA7676" w:rsidP="00E14EE6">
            <w:pPr>
              <w:jc w:val="right"/>
              <w:rPr>
                <w:rFonts w:eastAsia="Calibri" w:cs="Times New Roman"/>
                <w:sz w:val="15"/>
                <w:szCs w:val="15"/>
              </w:rPr>
            </w:pPr>
            <w:r w:rsidRPr="00E14EE6">
              <w:rPr>
                <w:sz w:val="15"/>
              </w:rPr>
              <w:t>1</w:t>
            </w:r>
          </w:p>
        </w:tc>
        <w:tc>
          <w:tcPr>
            <w:tcW w:w="444" w:type="pct"/>
            <w:noWrap/>
            <w:hideMark/>
          </w:tcPr>
          <w:p w14:paraId="13C764AF" w14:textId="77777777" w:rsidR="00CA7676" w:rsidRPr="00E14EE6" w:rsidRDefault="00CA7676" w:rsidP="00E14EE6">
            <w:pPr>
              <w:jc w:val="right"/>
              <w:rPr>
                <w:rFonts w:eastAsia="Calibri" w:cs="Times New Roman"/>
                <w:sz w:val="15"/>
                <w:szCs w:val="15"/>
              </w:rPr>
            </w:pPr>
            <w:r w:rsidRPr="00E14EE6">
              <w:rPr>
                <w:sz w:val="15"/>
              </w:rPr>
              <w:t>5</w:t>
            </w:r>
          </w:p>
        </w:tc>
        <w:tc>
          <w:tcPr>
            <w:tcW w:w="444" w:type="pct"/>
            <w:noWrap/>
            <w:hideMark/>
          </w:tcPr>
          <w:p w14:paraId="636E447F" w14:textId="77777777" w:rsidR="00CA7676" w:rsidRPr="00E14EE6" w:rsidRDefault="00CA7676" w:rsidP="00E14EE6">
            <w:pPr>
              <w:jc w:val="right"/>
              <w:rPr>
                <w:rFonts w:eastAsia="Calibri" w:cs="Times New Roman"/>
                <w:sz w:val="15"/>
                <w:szCs w:val="15"/>
              </w:rPr>
            </w:pPr>
            <w:r w:rsidRPr="00E14EE6">
              <w:rPr>
                <w:sz w:val="15"/>
              </w:rPr>
              <w:t>12</w:t>
            </w:r>
          </w:p>
        </w:tc>
        <w:tc>
          <w:tcPr>
            <w:tcW w:w="445" w:type="pct"/>
            <w:noWrap/>
            <w:hideMark/>
          </w:tcPr>
          <w:p w14:paraId="18469B73" w14:textId="77777777" w:rsidR="00CA7676" w:rsidRPr="00E14EE6" w:rsidRDefault="00CA7676" w:rsidP="00E14EE6">
            <w:pPr>
              <w:jc w:val="right"/>
              <w:rPr>
                <w:rFonts w:eastAsia="Calibri" w:cs="Times New Roman"/>
                <w:sz w:val="15"/>
                <w:szCs w:val="15"/>
              </w:rPr>
            </w:pPr>
            <w:r w:rsidRPr="00E14EE6">
              <w:rPr>
                <w:sz w:val="15"/>
              </w:rPr>
              <w:t>9</w:t>
            </w:r>
          </w:p>
        </w:tc>
        <w:tc>
          <w:tcPr>
            <w:tcW w:w="444" w:type="pct"/>
            <w:noWrap/>
            <w:hideMark/>
          </w:tcPr>
          <w:p w14:paraId="67C6400D" w14:textId="77777777" w:rsidR="00CA7676" w:rsidRPr="00E14EE6" w:rsidRDefault="00CA7676" w:rsidP="00E14EE6">
            <w:pPr>
              <w:jc w:val="right"/>
              <w:rPr>
                <w:rFonts w:eastAsia="Calibri" w:cs="Times New Roman"/>
                <w:sz w:val="15"/>
                <w:szCs w:val="15"/>
              </w:rPr>
            </w:pPr>
            <w:r w:rsidRPr="00E14EE6">
              <w:rPr>
                <w:sz w:val="15"/>
              </w:rPr>
              <w:t>6</w:t>
            </w:r>
          </w:p>
        </w:tc>
        <w:tc>
          <w:tcPr>
            <w:tcW w:w="444" w:type="pct"/>
            <w:noWrap/>
            <w:hideMark/>
          </w:tcPr>
          <w:p w14:paraId="3B94122F" w14:textId="77777777" w:rsidR="00CA7676" w:rsidRPr="00E14EE6" w:rsidRDefault="00CA7676" w:rsidP="00E14EE6">
            <w:pPr>
              <w:jc w:val="right"/>
              <w:rPr>
                <w:rFonts w:eastAsia="Calibri" w:cs="Times New Roman"/>
                <w:sz w:val="15"/>
                <w:szCs w:val="15"/>
              </w:rPr>
            </w:pPr>
            <w:r w:rsidRPr="00E14EE6">
              <w:rPr>
                <w:sz w:val="15"/>
              </w:rPr>
              <w:t>17</w:t>
            </w:r>
          </w:p>
        </w:tc>
        <w:tc>
          <w:tcPr>
            <w:tcW w:w="444" w:type="pct"/>
            <w:noWrap/>
            <w:hideMark/>
          </w:tcPr>
          <w:p w14:paraId="3A8A5849" w14:textId="77777777" w:rsidR="00CA7676" w:rsidRPr="00E14EE6" w:rsidRDefault="00CA7676" w:rsidP="00E14EE6">
            <w:pPr>
              <w:jc w:val="right"/>
              <w:rPr>
                <w:rFonts w:eastAsia="Calibri" w:cs="Times New Roman"/>
                <w:sz w:val="15"/>
                <w:szCs w:val="15"/>
              </w:rPr>
            </w:pPr>
            <w:r w:rsidRPr="00E14EE6">
              <w:rPr>
                <w:sz w:val="15"/>
              </w:rPr>
              <w:t>12</w:t>
            </w:r>
          </w:p>
        </w:tc>
        <w:tc>
          <w:tcPr>
            <w:tcW w:w="445" w:type="pct"/>
            <w:noWrap/>
            <w:hideMark/>
          </w:tcPr>
          <w:p w14:paraId="6869BFBC" w14:textId="77777777" w:rsidR="00CA7676" w:rsidRPr="00E14EE6" w:rsidRDefault="00CA7676" w:rsidP="00E14EE6">
            <w:pPr>
              <w:jc w:val="right"/>
              <w:rPr>
                <w:rFonts w:eastAsia="Calibri" w:cs="Times New Roman"/>
                <w:sz w:val="15"/>
                <w:szCs w:val="15"/>
              </w:rPr>
            </w:pPr>
            <w:r w:rsidRPr="00E14EE6">
              <w:rPr>
                <w:sz w:val="15"/>
              </w:rPr>
              <w:t>23</w:t>
            </w:r>
          </w:p>
        </w:tc>
        <w:tc>
          <w:tcPr>
            <w:tcW w:w="458" w:type="pct"/>
            <w:noWrap/>
            <w:hideMark/>
          </w:tcPr>
          <w:p w14:paraId="3BED799F" w14:textId="77777777" w:rsidR="00CA7676" w:rsidRPr="00E97109" w:rsidRDefault="00CA7676" w:rsidP="00E14EE6">
            <w:pPr>
              <w:jc w:val="right"/>
              <w:rPr>
                <w:rFonts w:eastAsia="Calibri" w:cs="Times New Roman"/>
                <w:sz w:val="15"/>
                <w:szCs w:val="15"/>
                <w:highlight w:val="darkGray"/>
              </w:rPr>
            </w:pPr>
            <w:r w:rsidRPr="00E97109">
              <w:rPr>
                <w:sz w:val="15"/>
                <w:highlight w:val="darkGray"/>
              </w:rPr>
              <w:t>85</w:t>
            </w:r>
          </w:p>
        </w:tc>
      </w:tr>
      <w:tr w:rsidR="00CA7676" w:rsidRPr="00E14EE6" w14:paraId="6BA2E7AE" w14:textId="77777777" w:rsidTr="00A05611">
        <w:trPr>
          <w:cantSplit/>
          <w:trHeight w:val="20"/>
        </w:trPr>
        <w:tc>
          <w:tcPr>
            <w:tcW w:w="987" w:type="pct"/>
            <w:noWrap/>
            <w:hideMark/>
          </w:tcPr>
          <w:p w14:paraId="0E7AF04E" w14:textId="77777777" w:rsidR="00CA7676" w:rsidRPr="00E14EE6" w:rsidRDefault="00CA7676" w:rsidP="00E14EE6">
            <w:pPr>
              <w:jc w:val="left"/>
              <w:rPr>
                <w:rFonts w:eastAsia="Calibri" w:cs="Times New Roman"/>
                <w:sz w:val="15"/>
                <w:szCs w:val="15"/>
              </w:rPr>
            </w:pPr>
            <w:r w:rsidRPr="00E14EE6">
              <w:rPr>
                <w:sz w:val="15"/>
              </w:rPr>
              <w:t>United Kingdom</w:t>
            </w:r>
          </w:p>
        </w:tc>
        <w:tc>
          <w:tcPr>
            <w:tcW w:w="444" w:type="pct"/>
            <w:noWrap/>
            <w:hideMark/>
          </w:tcPr>
          <w:p w14:paraId="1D618DE5" w14:textId="77777777" w:rsidR="00CA7676" w:rsidRPr="00E14EE6" w:rsidRDefault="00CA7676" w:rsidP="00E14EE6">
            <w:pPr>
              <w:jc w:val="right"/>
              <w:rPr>
                <w:rFonts w:eastAsia="Calibri" w:cs="Times New Roman"/>
                <w:sz w:val="15"/>
                <w:szCs w:val="15"/>
              </w:rPr>
            </w:pPr>
            <w:r w:rsidRPr="00E14EE6">
              <w:rPr>
                <w:sz w:val="15"/>
              </w:rPr>
              <w:t>3</w:t>
            </w:r>
          </w:p>
        </w:tc>
        <w:tc>
          <w:tcPr>
            <w:tcW w:w="444" w:type="pct"/>
            <w:noWrap/>
            <w:hideMark/>
          </w:tcPr>
          <w:p w14:paraId="428D4E74" w14:textId="77777777" w:rsidR="00CA7676" w:rsidRPr="00E14EE6" w:rsidRDefault="00CA7676" w:rsidP="00E14EE6">
            <w:pPr>
              <w:jc w:val="right"/>
              <w:rPr>
                <w:rFonts w:eastAsia="Calibri" w:cs="Times New Roman"/>
                <w:sz w:val="15"/>
                <w:szCs w:val="15"/>
              </w:rPr>
            </w:pPr>
            <w:r w:rsidRPr="00E14EE6">
              <w:rPr>
                <w:sz w:val="15"/>
              </w:rPr>
              <w:t>11</w:t>
            </w:r>
          </w:p>
        </w:tc>
        <w:tc>
          <w:tcPr>
            <w:tcW w:w="444" w:type="pct"/>
            <w:noWrap/>
            <w:hideMark/>
          </w:tcPr>
          <w:p w14:paraId="42077DD3" w14:textId="77777777" w:rsidR="00CA7676" w:rsidRPr="00E14EE6" w:rsidRDefault="00CA7676" w:rsidP="00E14EE6">
            <w:pPr>
              <w:jc w:val="right"/>
              <w:rPr>
                <w:rFonts w:eastAsia="Calibri" w:cs="Times New Roman"/>
                <w:sz w:val="15"/>
                <w:szCs w:val="15"/>
              </w:rPr>
            </w:pPr>
            <w:r w:rsidRPr="00E14EE6">
              <w:rPr>
                <w:sz w:val="15"/>
              </w:rPr>
              <w:t>1</w:t>
            </w:r>
          </w:p>
        </w:tc>
        <w:tc>
          <w:tcPr>
            <w:tcW w:w="445" w:type="pct"/>
            <w:noWrap/>
            <w:hideMark/>
          </w:tcPr>
          <w:p w14:paraId="3472DEA5" w14:textId="77777777" w:rsidR="00CA7676" w:rsidRPr="00E14EE6" w:rsidRDefault="00CA7676" w:rsidP="00E14EE6">
            <w:pPr>
              <w:jc w:val="right"/>
              <w:rPr>
                <w:rFonts w:eastAsia="Calibri" w:cs="Times New Roman"/>
                <w:sz w:val="15"/>
                <w:szCs w:val="15"/>
              </w:rPr>
            </w:pPr>
            <w:r w:rsidRPr="00E14EE6">
              <w:rPr>
                <w:sz w:val="15"/>
              </w:rPr>
              <w:t>3</w:t>
            </w:r>
          </w:p>
        </w:tc>
        <w:tc>
          <w:tcPr>
            <w:tcW w:w="444" w:type="pct"/>
            <w:noWrap/>
            <w:hideMark/>
          </w:tcPr>
          <w:p w14:paraId="35D4355C" w14:textId="77777777" w:rsidR="00CA7676" w:rsidRPr="00E14EE6" w:rsidRDefault="00CA7676" w:rsidP="00E14EE6">
            <w:pPr>
              <w:jc w:val="right"/>
              <w:rPr>
                <w:rFonts w:eastAsia="Calibri" w:cs="Times New Roman"/>
                <w:sz w:val="15"/>
                <w:szCs w:val="15"/>
              </w:rPr>
            </w:pPr>
            <w:r w:rsidRPr="00E14EE6">
              <w:rPr>
                <w:sz w:val="15"/>
              </w:rPr>
              <w:t>5</w:t>
            </w:r>
          </w:p>
        </w:tc>
        <w:tc>
          <w:tcPr>
            <w:tcW w:w="444" w:type="pct"/>
            <w:noWrap/>
            <w:hideMark/>
          </w:tcPr>
          <w:p w14:paraId="290FE6F6" w14:textId="0D6C00D4" w:rsidR="00CA7676" w:rsidRPr="00E14EE6" w:rsidRDefault="00E14EE6" w:rsidP="00E14EE6">
            <w:pPr>
              <w:jc w:val="right"/>
              <w:rPr>
                <w:rFonts w:eastAsia="Calibri" w:cs="Times New Roman"/>
                <w:sz w:val="15"/>
                <w:szCs w:val="15"/>
              </w:rPr>
            </w:pPr>
            <w:r w:rsidRPr="00E14EE6">
              <w:rPr>
                <w:sz w:val="15"/>
              </w:rPr>
              <w:noBreakHyphen/>
            </w:r>
            <w:r w:rsidR="00CA7676" w:rsidRPr="00E14EE6">
              <w:rPr>
                <w:sz w:val="15"/>
              </w:rPr>
              <w:t>26</w:t>
            </w:r>
          </w:p>
        </w:tc>
        <w:tc>
          <w:tcPr>
            <w:tcW w:w="444" w:type="pct"/>
            <w:noWrap/>
            <w:hideMark/>
          </w:tcPr>
          <w:p w14:paraId="621C2B5B" w14:textId="77777777" w:rsidR="00CA7676" w:rsidRPr="00E14EE6" w:rsidRDefault="00CA7676" w:rsidP="00E14EE6">
            <w:pPr>
              <w:jc w:val="right"/>
              <w:rPr>
                <w:rFonts w:eastAsia="Calibri" w:cs="Times New Roman"/>
                <w:sz w:val="15"/>
                <w:szCs w:val="15"/>
              </w:rPr>
            </w:pPr>
            <w:r w:rsidRPr="00E14EE6">
              <w:rPr>
                <w:sz w:val="15"/>
              </w:rPr>
              <w:t>19</w:t>
            </w:r>
          </w:p>
        </w:tc>
        <w:tc>
          <w:tcPr>
            <w:tcW w:w="445" w:type="pct"/>
            <w:noWrap/>
            <w:hideMark/>
          </w:tcPr>
          <w:p w14:paraId="6DB8208A" w14:textId="77777777" w:rsidR="00CA7676" w:rsidRPr="00E14EE6" w:rsidRDefault="00CA7676" w:rsidP="00E14EE6">
            <w:pPr>
              <w:jc w:val="right"/>
              <w:rPr>
                <w:rFonts w:eastAsia="Calibri" w:cs="Times New Roman"/>
                <w:sz w:val="15"/>
                <w:szCs w:val="15"/>
              </w:rPr>
            </w:pPr>
            <w:r w:rsidRPr="00E14EE6">
              <w:rPr>
                <w:sz w:val="15"/>
              </w:rPr>
              <w:t>17</w:t>
            </w:r>
          </w:p>
        </w:tc>
        <w:tc>
          <w:tcPr>
            <w:tcW w:w="458" w:type="pct"/>
            <w:noWrap/>
            <w:hideMark/>
          </w:tcPr>
          <w:p w14:paraId="4BC55035" w14:textId="77777777" w:rsidR="00CA7676" w:rsidRPr="00E97109" w:rsidRDefault="00CA7676" w:rsidP="00E14EE6">
            <w:pPr>
              <w:jc w:val="right"/>
              <w:rPr>
                <w:rFonts w:eastAsia="Calibri" w:cs="Times New Roman"/>
                <w:sz w:val="15"/>
                <w:szCs w:val="15"/>
                <w:highlight w:val="darkGray"/>
              </w:rPr>
            </w:pPr>
            <w:r w:rsidRPr="00E97109">
              <w:rPr>
                <w:sz w:val="15"/>
                <w:highlight w:val="darkGray"/>
              </w:rPr>
              <w:t>33</w:t>
            </w:r>
          </w:p>
        </w:tc>
      </w:tr>
      <w:tr w:rsidR="00CA7676" w:rsidRPr="00E14EE6" w14:paraId="1664BC13" w14:textId="77777777" w:rsidTr="00A05611">
        <w:trPr>
          <w:cnfStyle w:val="000000010000" w:firstRow="0" w:lastRow="0" w:firstColumn="0" w:lastColumn="0" w:oddVBand="0" w:evenVBand="0" w:oddHBand="0" w:evenHBand="1" w:firstRowFirstColumn="0" w:firstRowLastColumn="0" w:lastRowFirstColumn="0" w:lastRowLastColumn="0"/>
          <w:cantSplit/>
          <w:trHeight w:val="20"/>
        </w:trPr>
        <w:tc>
          <w:tcPr>
            <w:tcW w:w="987" w:type="pct"/>
            <w:noWrap/>
            <w:hideMark/>
          </w:tcPr>
          <w:p w14:paraId="639EE3A9" w14:textId="77777777" w:rsidR="00CA7676" w:rsidRPr="00E14EE6" w:rsidRDefault="00CA7676" w:rsidP="00E14EE6">
            <w:pPr>
              <w:jc w:val="left"/>
              <w:rPr>
                <w:rFonts w:eastAsia="Calibri" w:cs="Times New Roman"/>
                <w:sz w:val="15"/>
                <w:szCs w:val="15"/>
              </w:rPr>
            </w:pPr>
            <w:r w:rsidRPr="00E14EE6">
              <w:rPr>
                <w:sz w:val="15"/>
              </w:rPr>
              <w:t>Colombia</w:t>
            </w:r>
          </w:p>
        </w:tc>
        <w:tc>
          <w:tcPr>
            <w:tcW w:w="444" w:type="pct"/>
            <w:noWrap/>
            <w:hideMark/>
          </w:tcPr>
          <w:p w14:paraId="6190C87F" w14:textId="77777777" w:rsidR="00CA7676" w:rsidRPr="00E14EE6" w:rsidRDefault="00CA7676" w:rsidP="00E14EE6">
            <w:pPr>
              <w:jc w:val="right"/>
              <w:rPr>
                <w:rFonts w:eastAsia="Calibri" w:cs="Times New Roman"/>
                <w:sz w:val="15"/>
                <w:szCs w:val="15"/>
              </w:rPr>
            </w:pPr>
            <w:r w:rsidRPr="00E14EE6">
              <w:rPr>
                <w:sz w:val="15"/>
              </w:rPr>
              <w:t>1</w:t>
            </w:r>
          </w:p>
        </w:tc>
        <w:tc>
          <w:tcPr>
            <w:tcW w:w="444" w:type="pct"/>
            <w:noWrap/>
            <w:hideMark/>
          </w:tcPr>
          <w:p w14:paraId="0A68A4E1" w14:textId="77777777" w:rsidR="00CA7676" w:rsidRPr="00E14EE6" w:rsidRDefault="00CA7676" w:rsidP="00E14EE6">
            <w:pPr>
              <w:jc w:val="right"/>
              <w:rPr>
                <w:rFonts w:eastAsia="Calibri" w:cs="Times New Roman"/>
                <w:sz w:val="15"/>
                <w:szCs w:val="15"/>
              </w:rPr>
            </w:pPr>
            <w:r w:rsidRPr="00E14EE6">
              <w:rPr>
                <w:sz w:val="15"/>
              </w:rPr>
              <w:t>4</w:t>
            </w:r>
          </w:p>
        </w:tc>
        <w:tc>
          <w:tcPr>
            <w:tcW w:w="444" w:type="pct"/>
            <w:noWrap/>
            <w:hideMark/>
          </w:tcPr>
          <w:p w14:paraId="6B89FF10" w14:textId="77777777" w:rsidR="00CA7676" w:rsidRPr="00E14EE6" w:rsidRDefault="00CA7676" w:rsidP="00E14EE6">
            <w:pPr>
              <w:jc w:val="right"/>
              <w:rPr>
                <w:rFonts w:eastAsia="Calibri" w:cs="Times New Roman"/>
                <w:sz w:val="15"/>
                <w:szCs w:val="15"/>
              </w:rPr>
            </w:pPr>
            <w:r w:rsidRPr="00E14EE6">
              <w:rPr>
                <w:sz w:val="15"/>
              </w:rPr>
              <w:t>4</w:t>
            </w:r>
          </w:p>
        </w:tc>
        <w:tc>
          <w:tcPr>
            <w:tcW w:w="445" w:type="pct"/>
            <w:noWrap/>
            <w:hideMark/>
          </w:tcPr>
          <w:p w14:paraId="280AF2EA" w14:textId="77777777" w:rsidR="00CA7676" w:rsidRPr="00E14EE6" w:rsidRDefault="00CA7676" w:rsidP="00E14EE6">
            <w:pPr>
              <w:jc w:val="right"/>
              <w:rPr>
                <w:rFonts w:eastAsia="Calibri" w:cs="Times New Roman"/>
                <w:sz w:val="15"/>
                <w:szCs w:val="15"/>
              </w:rPr>
            </w:pPr>
            <w:r w:rsidRPr="00E14EE6">
              <w:rPr>
                <w:sz w:val="15"/>
              </w:rPr>
              <w:t>2</w:t>
            </w:r>
          </w:p>
        </w:tc>
        <w:tc>
          <w:tcPr>
            <w:tcW w:w="444" w:type="pct"/>
            <w:noWrap/>
            <w:hideMark/>
          </w:tcPr>
          <w:p w14:paraId="4715B647" w14:textId="77777777" w:rsidR="00CA7676" w:rsidRPr="00E14EE6" w:rsidRDefault="00CA7676" w:rsidP="00E14EE6">
            <w:pPr>
              <w:jc w:val="right"/>
              <w:rPr>
                <w:rFonts w:eastAsia="Calibri" w:cs="Times New Roman"/>
                <w:sz w:val="15"/>
                <w:szCs w:val="15"/>
              </w:rPr>
            </w:pPr>
            <w:r w:rsidRPr="00E14EE6">
              <w:rPr>
                <w:sz w:val="15"/>
              </w:rPr>
              <w:t>1</w:t>
            </w:r>
          </w:p>
        </w:tc>
        <w:tc>
          <w:tcPr>
            <w:tcW w:w="444" w:type="pct"/>
            <w:noWrap/>
            <w:hideMark/>
          </w:tcPr>
          <w:p w14:paraId="26FE8F45" w14:textId="77777777" w:rsidR="00CA7676" w:rsidRPr="00E14EE6" w:rsidRDefault="00CA7676" w:rsidP="00E14EE6">
            <w:pPr>
              <w:jc w:val="right"/>
              <w:rPr>
                <w:rFonts w:eastAsia="Calibri" w:cs="Times New Roman"/>
                <w:sz w:val="15"/>
                <w:szCs w:val="15"/>
              </w:rPr>
            </w:pPr>
            <w:r w:rsidRPr="00E14EE6">
              <w:rPr>
                <w:sz w:val="15"/>
              </w:rPr>
              <w:t>5</w:t>
            </w:r>
          </w:p>
        </w:tc>
        <w:tc>
          <w:tcPr>
            <w:tcW w:w="444" w:type="pct"/>
            <w:noWrap/>
            <w:hideMark/>
          </w:tcPr>
          <w:p w14:paraId="0ECB1CDE" w14:textId="77777777" w:rsidR="00CA7676" w:rsidRPr="00E14EE6" w:rsidRDefault="00CA7676" w:rsidP="00E14EE6">
            <w:pPr>
              <w:jc w:val="right"/>
              <w:rPr>
                <w:rFonts w:eastAsia="Calibri" w:cs="Times New Roman"/>
                <w:sz w:val="15"/>
                <w:szCs w:val="15"/>
              </w:rPr>
            </w:pPr>
            <w:r w:rsidRPr="00E14EE6">
              <w:rPr>
                <w:sz w:val="15"/>
              </w:rPr>
              <w:t>18</w:t>
            </w:r>
          </w:p>
        </w:tc>
        <w:tc>
          <w:tcPr>
            <w:tcW w:w="445" w:type="pct"/>
            <w:noWrap/>
            <w:hideMark/>
          </w:tcPr>
          <w:p w14:paraId="211F191D" w14:textId="77777777" w:rsidR="00CA7676" w:rsidRPr="00E14EE6" w:rsidRDefault="00CA7676" w:rsidP="00E14EE6">
            <w:pPr>
              <w:jc w:val="right"/>
              <w:rPr>
                <w:rFonts w:eastAsia="Calibri" w:cs="Times New Roman"/>
                <w:sz w:val="15"/>
                <w:szCs w:val="15"/>
              </w:rPr>
            </w:pPr>
            <w:r w:rsidRPr="00E14EE6">
              <w:rPr>
                <w:sz w:val="15"/>
              </w:rPr>
              <w:t>16</w:t>
            </w:r>
          </w:p>
        </w:tc>
        <w:tc>
          <w:tcPr>
            <w:tcW w:w="458" w:type="pct"/>
            <w:noWrap/>
            <w:hideMark/>
          </w:tcPr>
          <w:p w14:paraId="4113244F" w14:textId="77777777" w:rsidR="00CA7676" w:rsidRPr="00E97109" w:rsidRDefault="00CA7676" w:rsidP="00E14EE6">
            <w:pPr>
              <w:jc w:val="right"/>
              <w:rPr>
                <w:rFonts w:eastAsia="Calibri" w:cs="Times New Roman"/>
                <w:sz w:val="15"/>
                <w:szCs w:val="15"/>
                <w:highlight w:val="darkGray"/>
              </w:rPr>
            </w:pPr>
            <w:r w:rsidRPr="00E97109">
              <w:rPr>
                <w:sz w:val="15"/>
                <w:highlight w:val="darkGray"/>
              </w:rPr>
              <w:t>51</w:t>
            </w:r>
          </w:p>
        </w:tc>
      </w:tr>
      <w:tr w:rsidR="00CA7676" w:rsidRPr="00E14EE6" w14:paraId="20AD5E35" w14:textId="77777777" w:rsidTr="00A05611">
        <w:trPr>
          <w:cantSplit/>
          <w:trHeight w:val="20"/>
        </w:trPr>
        <w:tc>
          <w:tcPr>
            <w:tcW w:w="987" w:type="pct"/>
            <w:noWrap/>
            <w:hideMark/>
          </w:tcPr>
          <w:p w14:paraId="318FE26B" w14:textId="77777777" w:rsidR="00CA7676" w:rsidRPr="00E14EE6" w:rsidRDefault="00CA7676" w:rsidP="00E14EE6">
            <w:pPr>
              <w:jc w:val="left"/>
              <w:rPr>
                <w:rFonts w:eastAsia="Calibri" w:cs="Times New Roman"/>
                <w:sz w:val="15"/>
                <w:szCs w:val="15"/>
              </w:rPr>
            </w:pPr>
            <w:r w:rsidRPr="00E14EE6">
              <w:rPr>
                <w:sz w:val="15"/>
              </w:rPr>
              <w:t>Netherlands</w:t>
            </w:r>
          </w:p>
        </w:tc>
        <w:tc>
          <w:tcPr>
            <w:tcW w:w="444" w:type="pct"/>
            <w:noWrap/>
            <w:hideMark/>
          </w:tcPr>
          <w:p w14:paraId="77EE0194" w14:textId="77777777" w:rsidR="00CA7676" w:rsidRPr="00E14EE6" w:rsidRDefault="00CA7676" w:rsidP="00E14EE6">
            <w:pPr>
              <w:jc w:val="right"/>
              <w:rPr>
                <w:rFonts w:eastAsia="Calibri" w:cs="Times New Roman"/>
                <w:sz w:val="15"/>
                <w:szCs w:val="15"/>
              </w:rPr>
            </w:pPr>
            <w:r w:rsidRPr="00E14EE6">
              <w:rPr>
                <w:sz w:val="15"/>
              </w:rPr>
              <w:t>70</w:t>
            </w:r>
          </w:p>
        </w:tc>
        <w:tc>
          <w:tcPr>
            <w:tcW w:w="444" w:type="pct"/>
            <w:noWrap/>
            <w:hideMark/>
          </w:tcPr>
          <w:p w14:paraId="00BF7B63" w14:textId="5AA9A285" w:rsidR="00CA7676" w:rsidRPr="00E14EE6" w:rsidRDefault="00E14EE6" w:rsidP="00E14EE6">
            <w:pPr>
              <w:jc w:val="right"/>
              <w:rPr>
                <w:rFonts w:eastAsia="Calibri" w:cs="Times New Roman"/>
                <w:sz w:val="15"/>
                <w:szCs w:val="15"/>
              </w:rPr>
            </w:pPr>
            <w:r w:rsidRPr="00E14EE6">
              <w:rPr>
                <w:sz w:val="15"/>
              </w:rPr>
              <w:noBreakHyphen/>
            </w:r>
            <w:r w:rsidR="00CA7676" w:rsidRPr="00E14EE6">
              <w:rPr>
                <w:sz w:val="15"/>
              </w:rPr>
              <w:t>134</w:t>
            </w:r>
          </w:p>
        </w:tc>
        <w:tc>
          <w:tcPr>
            <w:tcW w:w="444" w:type="pct"/>
            <w:noWrap/>
            <w:hideMark/>
          </w:tcPr>
          <w:p w14:paraId="4CED38BD" w14:textId="77777777" w:rsidR="00CA7676" w:rsidRPr="00E14EE6" w:rsidRDefault="00CA7676" w:rsidP="00E14EE6">
            <w:pPr>
              <w:jc w:val="right"/>
              <w:rPr>
                <w:rFonts w:eastAsia="Calibri" w:cs="Times New Roman"/>
                <w:sz w:val="15"/>
                <w:szCs w:val="15"/>
              </w:rPr>
            </w:pPr>
            <w:r w:rsidRPr="00E14EE6">
              <w:rPr>
                <w:sz w:val="15"/>
              </w:rPr>
              <w:t>35</w:t>
            </w:r>
          </w:p>
        </w:tc>
        <w:tc>
          <w:tcPr>
            <w:tcW w:w="445" w:type="pct"/>
            <w:noWrap/>
            <w:hideMark/>
          </w:tcPr>
          <w:p w14:paraId="43A69835" w14:textId="77777777" w:rsidR="00CA7676" w:rsidRPr="00E14EE6" w:rsidRDefault="00CA7676" w:rsidP="00E14EE6">
            <w:pPr>
              <w:jc w:val="right"/>
              <w:rPr>
                <w:rFonts w:eastAsia="Calibri" w:cs="Times New Roman"/>
                <w:sz w:val="15"/>
                <w:szCs w:val="15"/>
              </w:rPr>
            </w:pPr>
            <w:r w:rsidRPr="00E14EE6">
              <w:rPr>
                <w:sz w:val="15"/>
              </w:rPr>
              <w:t>31</w:t>
            </w:r>
          </w:p>
        </w:tc>
        <w:tc>
          <w:tcPr>
            <w:tcW w:w="444" w:type="pct"/>
            <w:noWrap/>
            <w:hideMark/>
          </w:tcPr>
          <w:p w14:paraId="6929FD9F" w14:textId="77777777" w:rsidR="00CA7676" w:rsidRPr="00E14EE6" w:rsidRDefault="00CA7676" w:rsidP="00E14EE6">
            <w:pPr>
              <w:jc w:val="right"/>
              <w:rPr>
                <w:rFonts w:eastAsia="Calibri" w:cs="Times New Roman"/>
                <w:sz w:val="15"/>
                <w:szCs w:val="15"/>
              </w:rPr>
            </w:pPr>
            <w:r w:rsidRPr="00E14EE6">
              <w:rPr>
                <w:sz w:val="15"/>
              </w:rPr>
              <w:t>37</w:t>
            </w:r>
          </w:p>
        </w:tc>
        <w:tc>
          <w:tcPr>
            <w:tcW w:w="444" w:type="pct"/>
            <w:noWrap/>
            <w:hideMark/>
          </w:tcPr>
          <w:p w14:paraId="0AF3AAD6" w14:textId="77777777" w:rsidR="00CA7676" w:rsidRPr="00E14EE6" w:rsidRDefault="00CA7676" w:rsidP="00E14EE6">
            <w:pPr>
              <w:jc w:val="right"/>
              <w:rPr>
                <w:rFonts w:eastAsia="Calibri" w:cs="Times New Roman"/>
                <w:sz w:val="15"/>
                <w:szCs w:val="15"/>
              </w:rPr>
            </w:pPr>
            <w:r w:rsidRPr="00E14EE6">
              <w:rPr>
                <w:sz w:val="15"/>
              </w:rPr>
              <w:t>54</w:t>
            </w:r>
          </w:p>
        </w:tc>
        <w:tc>
          <w:tcPr>
            <w:tcW w:w="444" w:type="pct"/>
            <w:noWrap/>
            <w:hideMark/>
          </w:tcPr>
          <w:p w14:paraId="40ED80B3" w14:textId="77777777" w:rsidR="00CA7676" w:rsidRPr="00E14EE6" w:rsidRDefault="00CA7676" w:rsidP="00E14EE6">
            <w:pPr>
              <w:jc w:val="right"/>
              <w:rPr>
                <w:rFonts w:eastAsia="Calibri" w:cs="Times New Roman"/>
                <w:sz w:val="15"/>
                <w:szCs w:val="15"/>
              </w:rPr>
            </w:pPr>
            <w:r w:rsidRPr="00E14EE6">
              <w:rPr>
                <w:sz w:val="15"/>
              </w:rPr>
              <w:t>46</w:t>
            </w:r>
          </w:p>
        </w:tc>
        <w:tc>
          <w:tcPr>
            <w:tcW w:w="445" w:type="pct"/>
            <w:noWrap/>
            <w:hideMark/>
          </w:tcPr>
          <w:p w14:paraId="726F2C44" w14:textId="77777777" w:rsidR="00CA7676" w:rsidRPr="00E14EE6" w:rsidRDefault="00CA7676" w:rsidP="00E14EE6">
            <w:pPr>
              <w:jc w:val="right"/>
              <w:rPr>
                <w:rFonts w:eastAsia="Calibri" w:cs="Times New Roman"/>
                <w:sz w:val="15"/>
                <w:szCs w:val="15"/>
              </w:rPr>
            </w:pPr>
            <w:r w:rsidRPr="00E14EE6">
              <w:rPr>
                <w:sz w:val="15"/>
              </w:rPr>
              <w:t>9</w:t>
            </w:r>
          </w:p>
        </w:tc>
        <w:tc>
          <w:tcPr>
            <w:tcW w:w="458" w:type="pct"/>
            <w:noWrap/>
            <w:hideMark/>
          </w:tcPr>
          <w:p w14:paraId="2E02135B" w14:textId="77777777" w:rsidR="00CA7676" w:rsidRPr="00E97109" w:rsidRDefault="00CA7676" w:rsidP="00E14EE6">
            <w:pPr>
              <w:jc w:val="right"/>
              <w:rPr>
                <w:rFonts w:eastAsia="Calibri" w:cs="Times New Roman"/>
                <w:sz w:val="15"/>
                <w:szCs w:val="15"/>
                <w:highlight w:val="darkGray"/>
              </w:rPr>
            </w:pPr>
            <w:r w:rsidRPr="00E97109">
              <w:rPr>
                <w:sz w:val="15"/>
                <w:highlight w:val="darkGray"/>
              </w:rPr>
              <w:t>148</w:t>
            </w:r>
          </w:p>
        </w:tc>
      </w:tr>
      <w:tr w:rsidR="00CA7676" w:rsidRPr="00E14EE6" w14:paraId="48DAD17B" w14:textId="77777777" w:rsidTr="00A05611">
        <w:trPr>
          <w:cnfStyle w:val="000000010000" w:firstRow="0" w:lastRow="0" w:firstColumn="0" w:lastColumn="0" w:oddVBand="0" w:evenVBand="0" w:oddHBand="0" w:evenHBand="1" w:firstRowFirstColumn="0" w:firstRowLastColumn="0" w:lastRowFirstColumn="0" w:lastRowLastColumn="0"/>
          <w:cantSplit/>
          <w:trHeight w:val="20"/>
        </w:trPr>
        <w:tc>
          <w:tcPr>
            <w:tcW w:w="987" w:type="pct"/>
            <w:noWrap/>
            <w:hideMark/>
          </w:tcPr>
          <w:p w14:paraId="3603CA0E" w14:textId="77777777" w:rsidR="00CA7676" w:rsidRPr="00E14EE6" w:rsidRDefault="00CA7676" w:rsidP="00E14EE6">
            <w:pPr>
              <w:jc w:val="left"/>
              <w:rPr>
                <w:rFonts w:eastAsia="Calibri" w:cs="Times New Roman"/>
                <w:sz w:val="15"/>
                <w:szCs w:val="15"/>
              </w:rPr>
            </w:pPr>
            <w:r w:rsidRPr="00E14EE6">
              <w:rPr>
                <w:sz w:val="15"/>
              </w:rPr>
              <w:t>Australia</w:t>
            </w:r>
          </w:p>
        </w:tc>
        <w:tc>
          <w:tcPr>
            <w:tcW w:w="444" w:type="pct"/>
            <w:noWrap/>
            <w:hideMark/>
          </w:tcPr>
          <w:p w14:paraId="4A6B5AC5" w14:textId="20C5A40E" w:rsidR="00CA7676" w:rsidRPr="00E14EE6" w:rsidRDefault="00E14EE6" w:rsidP="00E14EE6">
            <w:pPr>
              <w:jc w:val="right"/>
              <w:rPr>
                <w:rFonts w:eastAsia="Calibri" w:cs="Times New Roman"/>
                <w:sz w:val="15"/>
                <w:szCs w:val="15"/>
              </w:rPr>
            </w:pPr>
            <w:r w:rsidRPr="00E14EE6">
              <w:rPr>
                <w:sz w:val="15"/>
              </w:rPr>
              <w:noBreakHyphen/>
            </w:r>
            <w:r w:rsidR="00CA7676" w:rsidRPr="00E14EE6">
              <w:rPr>
                <w:sz w:val="15"/>
              </w:rPr>
              <w:t>14</w:t>
            </w:r>
          </w:p>
        </w:tc>
        <w:tc>
          <w:tcPr>
            <w:tcW w:w="444" w:type="pct"/>
            <w:noWrap/>
            <w:hideMark/>
          </w:tcPr>
          <w:p w14:paraId="13860FAF" w14:textId="77777777" w:rsidR="00CA7676" w:rsidRPr="00E14EE6" w:rsidRDefault="00CA7676" w:rsidP="00E14EE6">
            <w:pPr>
              <w:jc w:val="right"/>
              <w:rPr>
                <w:rFonts w:eastAsia="Calibri" w:cs="Times New Roman"/>
                <w:sz w:val="15"/>
                <w:szCs w:val="15"/>
              </w:rPr>
            </w:pPr>
            <w:r w:rsidRPr="00E14EE6">
              <w:rPr>
                <w:sz w:val="15"/>
              </w:rPr>
              <w:t>24</w:t>
            </w:r>
          </w:p>
        </w:tc>
        <w:tc>
          <w:tcPr>
            <w:tcW w:w="444" w:type="pct"/>
            <w:noWrap/>
            <w:hideMark/>
          </w:tcPr>
          <w:p w14:paraId="1914776E" w14:textId="24C41233" w:rsidR="00CA7676" w:rsidRPr="00E14EE6" w:rsidRDefault="00E14EE6" w:rsidP="00E14EE6">
            <w:pPr>
              <w:jc w:val="right"/>
              <w:rPr>
                <w:rFonts w:eastAsia="Calibri" w:cs="Times New Roman"/>
                <w:sz w:val="15"/>
                <w:szCs w:val="15"/>
              </w:rPr>
            </w:pPr>
            <w:r w:rsidRPr="00E14EE6">
              <w:rPr>
                <w:sz w:val="15"/>
              </w:rPr>
              <w:noBreakHyphen/>
            </w:r>
            <w:r w:rsidR="00CA7676" w:rsidRPr="00E14EE6">
              <w:rPr>
                <w:sz w:val="15"/>
              </w:rPr>
              <w:t>4</w:t>
            </w:r>
          </w:p>
        </w:tc>
        <w:tc>
          <w:tcPr>
            <w:tcW w:w="445" w:type="pct"/>
            <w:noWrap/>
            <w:hideMark/>
          </w:tcPr>
          <w:p w14:paraId="41367C0C" w14:textId="06EA8D71" w:rsidR="00CA7676" w:rsidRPr="00E14EE6" w:rsidRDefault="00E14EE6" w:rsidP="00E14EE6">
            <w:pPr>
              <w:jc w:val="right"/>
              <w:rPr>
                <w:rFonts w:eastAsia="Calibri" w:cs="Times New Roman"/>
                <w:sz w:val="15"/>
                <w:szCs w:val="15"/>
              </w:rPr>
            </w:pPr>
            <w:r w:rsidRPr="00E14EE6">
              <w:rPr>
                <w:sz w:val="15"/>
              </w:rPr>
              <w:noBreakHyphen/>
            </w:r>
            <w:r w:rsidR="00CA7676" w:rsidRPr="00E14EE6">
              <w:rPr>
                <w:sz w:val="15"/>
              </w:rPr>
              <w:t>8</w:t>
            </w:r>
          </w:p>
        </w:tc>
        <w:tc>
          <w:tcPr>
            <w:tcW w:w="444" w:type="pct"/>
            <w:noWrap/>
            <w:hideMark/>
          </w:tcPr>
          <w:p w14:paraId="62419DF7" w14:textId="77777777" w:rsidR="00CA7676" w:rsidRPr="00E14EE6" w:rsidRDefault="00CA7676" w:rsidP="00E14EE6">
            <w:pPr>
              <w:jc w:val="right"/>
              <w:rPr>
                <w:rFonts w:eastAsia="Calibri" w:cs="Times New Roman"/>
                <w:sz w:val="15"/>
                <w:szCs w:val="15"/>
              </w:rPr>
            </w:pPr>
            <w:r w:rsidRPr="00E14EE6">
              <w:rPr>
                <w:sz w:val="15"/>
              </w:rPr>
              <w:t>0</w:t>
            </w:r>
          </w:p>
        </w:tc>
        <w:tc>
          <w:tcPr>
            <w:tcW w:w="444" w:type="pct"/>
            <w:noWrap/>
            <w:hideMark/>
          </w:tcPr>
          <w:p w14:paraId="0A56031F" w14:textId="77777777" w:rsidR="00CA7676" w:rsidRPr="00E14EE6" w:rsidRDefault="00CA7676" w:rsidP="00E14EE6">
            <w:pPr>
              <w:jc w:val="right"/>
              <w:rPr>
                <w:rFonts w:eastAsia="Calibri" w:cs="Times New Roman"/>
                <w:sz w:val="15"/>
                <w:szCs w:val="15"/>
              </w:rPr>
            </w:pPr>
            <w:r w:rsidRPr="00E14EE6">
              <w:rPr>
                <w:sz w:val="15"/>
              </w:rPr>
              <w:t>8</w:t>
            </w:r>
          </w:p>
        </w:tc>
        <w:tc>
          <w:tcPr>
            <w:tcW w:w="444" w:type="pct"/>
            <w:noWrap/>
            <w:hideMark/>
          </w:tcPr>
          <w:p w14:paraId="20C26F71" w14:textId="77777777" w:rsidR="00CA7676" w:rsidRPr="00E14EE6" w:rsidRDefault="00CA7676" w:rsidP="00E14EE6">
            <w:pPr>
              <w:jc w:val="right"/>
              <w:rPr>
                <w:rFonts w:eastAsia="Calibri" w:cs="Times New Roman"/>
                <w:sz w:val="15"/>
                <w:szCs w:val="15"/>
              </w:rPr>
            </w:pPr>
            <w:r w:rsidRPr="00E14EE6">
              <w:rPr>
                <w:sz w:val="15"/>
              </w:rPr>
              <w:t>0</w:t>
            </w:r>
          </w:p>
        </w:tc>
        <w:tc>
          <w:tcPr>
            <w:tcW w:w="445" w:type="pct"/>
            <w:noWrap/>
            <w:hideMark/>
          </w:tcPr>
          <w:p w14:paraId="5E39F7D9" w14:textId="77777777" w:rsidR="00CA7676" w:rsidRPr="00E14EE6" w:rsidRDefault="00CA7676" w:rsidP="00E14EE6">
            <w:pPr>
              <w:jc w:val="right"/>
              <w:rPr>
                <w:rFonts w:eastAsia="Calibri" w:cs="Times New Roman"/>
                <w:sz w:val="15"/>
                <w:szCs w:val="15"/>
              </w:rPr>
            </w:pPr>
            <w:r w:rsidRPr="00E14EE6">
              <w:rPr>
                <w:sz w:val="15"/>
              </w:rPr>
              <w:t>0</w:t>
            </w:r>
          </w:p>
        </w:tc>
        <w:tc>
          <w:tcPr>
            <w:tcW w:w="458" w:type="pct"/>
            <w:noWrap/>
            <w:hideMark/>
          </w:tcPr>
          <w:p w14:paraId="70E629B4" w14:textId="77777777" w:rsidR="00CA7676" w:rsidRPr="00E97109" w:rsidRDefault="00CA7676" w:rsidP="00E14EE6">
            <w:pPr>
              <w:jc w:val="right"/>
              <w:rPr>
                <w:rFonts w:eastAsia="Calibri" w:cs="Times New Roman"/>
                <w:sz w:val="15"/>
                <w:szCs w:val="15"/>
                <w:highlight w:val="darkGray"/>
              </w:rPr>
            </w:pPr>
            <w:r w:rsidRPr="00E97109">
              <w:rPr>
                <w:sz w:val="15"/>
                <w:highlight w:val="darkGray"/>
              </w:rPr>
              <w:t>6</w:t>
            </w:r>
          </w:p>
        </w:tc>
      </w:tr>
      <w:tr w:rsidR="00CA7676" w:rsidRPr="00E14EE6" w14:paraId="6EB3FF9F" w14:textId="77777777" w:rsidTr="00A05611">
        <w:trPr>
          <w:cantSplit/>
          <w:trHeight w:val="20"/>
        </w:trPr>
        <w:tc>
          <w:tcPr>
            <w:tcW w:w="987" w:type="pct"/>
            <w:noWrap/>
            <w:hideMark/>
          </w:tcPr>
          <w:p w14:paraId="0DA33587" w14:textId="77777777" w:rsidR="00CA7676" w:rsidRPr="00E14EE6" w:rsidRDefault="00CA7676" w:rsidP="00E14EE6">
            <w:pPr>
              <w:jc w:val="left"/>
              <w:rPr>
                <w:rFonts w:eastAsia="Calibri" w:cs="Times New Roman"/>
                <w:sz w:val="15"/>
                <w:szCs w:val="15"/>
              </w:rPr>
            </w:pPr>
            <w:r w:rsidRPr="00E14EE6">
              <w:rPr>
                <w:sz w:val="15"/>
              </w:rPr>
              <w:t>Balance</w:t>
            </w:r>
          </w:p>
        </w:tc>
        <w:tc>
          <w:tcPr>
            <w:tcW w:w="444" w:type="pct"/>
            <w:noWrap/>
            <w:hideMark/>
          </w:tcPr>
          <w:p w14:paraId="4949275A" w14:textId="77777777" w:rsidR="00CA7676" w:rsidRPr="00E14EE6" w:rsidRDefault="00CA7676" w:rsidP="00E14EE6">
            <w:pPr>
              <w:jc w:val="right"/>
              <w:rPr>
                <w:rFonts w:eastAsia="Calibri" w:cs="Times New Roman"/>
                <w:sz w:val="15"/>
                <w:szCs w:val="15"/>
              </w:rPr>
            </w:pPr>
            <w:r w:rsidRPr="00E14EE6">
              <w:rPr>
                <w:sz w:val="15"/>
              </w:rPr>
              <w:t>1,351</w:t>
            </w:r>
          </w:p>
        </w:tc>
        <w:tc>
          <w:tcPr>
            <w:tcW w:w="444" w:type="pct"/>
            <w:noWrap/>
            <w:hideMark/>
          </w:tcPr>
          <w:p w14:paraId="16778116" w14:textId="77777777" w:rsidR="00CA7676" w:rsidRPr="00E14EE6" w:rsidRDefault="00CA7676" w:rsidP="00E14EE6">
            <w:pPr>
              <w:jc w:val="right"/>
              <w:rPr>
                <w:rFonts w:eastAsia="Calibri" w:cs="Times New Roman"/>
                <w:sz w:val="15"/>
                <w:szCs w:val="15"/>
              </w:rPr>
            </w:pPr>
            <w:r w:rsidRPr="00E14EE6">
              <w:rPr>
                <w:sz w:val="15"/>
              </w:rPr>
              <w:t>1,761</w:t>
            </w:r>
          </w:p>
        </w:tc>
        <w:tc>
          <w:tcPr>
            <w:tcW w:w="444" w:type="pct"/>
            <w:noWrap/>
            <w:hideMark/>
          </w:tcPr>
          <w:p w14:paraId="019FF739" w14:textId="77777777" w:rsidR="00CA7676" w:rsidRPr="00E14EE6" w:rsidRDefault="00CA7676" w:rsidP="00E14EE6">
            <w:pPr>
              <w:jc w:val="right"/>
              <w:rPr>
                <w:rFonts w:eastAsia="Calibri" w:cs="Times New Roman"/>
                <w:sz w:val="15"/>
                <w:szCs w:val="15"/>
              </w:rPr>
            </w:pPr>
            <w:r w:rsidRPr="00E14EE6">
              <w:rPr>
                <w:sz w:val="15"/>
              </w:rPr>
              <w:t>1,004</w:t>
            </w:r>
          </w:p>
        </w:tc>
        <w:tc>
          <w:tcPr>
            <w:tcW w:w="445" w:type="pct"/>
            <w:noWrap/>
            <w:hideMark/>
          </w:tcPr>
          <w:p w14:paraId="70DBEB18" w14:textId="77777777" w:rsidR="00CA7676" w:rsidRPr="00E14EE6" w:rsidRDefault="00CA7676" w:rsidP="00E14EE6">
            <w:pPr>
              <w:jc w:val="right"/>
              <w:rPr>
                <w:rFonts w:eastAsia="Calibri" w:cs="Times New Roman"/>
                <w:sz w:val="15"/>
                <w:szCs w:val="15"/>
              </w:rPr>
            </w:pPr>
            <w:r w:rsidRPr="00E14EE6">
              <w:rPr>
                <w:sz w:val="15"/>
              </w:rPr>
              <w:t>2,004</w:t>
            </w:r>
          </w:p>
        </w:tc>
        <w:tc>
          <w:tcPr>
            <w:tcW w:w="444" w:type="pct"/>
            <w:noWrap/>
            <w:hideMark/>
          </w:tcPr>
          <w:p w14:paraId="3FD6EA10" w14:textId="77777777" w:rsidR="00CA7676" w:rsidRPr="00E14EE6" w:rsidRDefault="00CA7676" w:rsidP="00E14EE6">
            <w:pPr>
              <w:jc w:val="right"/>
              <w:rPr>
                <w:rFonts w:eastAsia="Calibri" w:cs="Times New Roman"/>
                <w:sz w:val="15"/>
                <w:szCs w:val="15"/>
              </w:rPr>
            </w:pPr>
            <w:r w:rsidRPr="00E14EE6">
              <w:rPr>
                <w:sz w:val="15"/>
              </w:rPr>
              <w:t>1,566</w:t>
            </w:r>
          </w:p>
        </w:tc>
        <w:tc>
          <w:tcPr>
            <w:tcW w:w="444" w:type="pct"/>
            <w:noWrap/>
            <w:hideMark/>
          </w:tcPr>
          <w:p w14:paraId="32DE2DDF" w14:textId="77777777" w:rsidR="00CA7676" w:rsidRPr="00E14EE6" w:rsidRDefault="00CA7676" w:rsidP="00E14EE6">
            <w:pPr>
              <w:jc w:val="right"/>
              <w:rPr>
                <w:rFonts w:eastAsia="Calibri" w:cs="Times New Roman"/>
                <w:sz w:val="15"/>
                <w:szCs w:val="15"/>
              </w:rPr>
            </w:pPr>
            <w:r w:rsidRPr="00E14EE6">
              <w:rPr>
                <w:sz w:val="15"/>
              </w:rPr>
              <w:t>409</w:t>
            </w:r>
          </w:p>
        </w:tc>
        <w:tc>
          <w:tcPr>
            <w:tcW w:w="444" w:type="pct"/>
            <w:noWrap/>
            <w:hideMark/>
          </w:tcPr>
          <w:p w14:paraId="1092977C" w14:textId="77777777" w:rsidR="00CA7676" w:rsidRPr="00E14EE6" w:rsidRDefault="00CA7676" w:rsidP="00E14EE6">
            <w:pPr>
              <w:jc w:val="right"/>
              <w:rPr>
                <w:rFonts w:eastAsia="Calibri" w:cs="Times New Roman"/>
                <w:sz w:val="15"/>
                <w:szCs w:val="15"/>
              </w:rPr>
            </w:pPr>
            <w:r w:rsidRPr="00E14EE6">
              <w:rPr>
                <w:sz w:val="15"/>
              </w:rPr>
              <w:t>993</w:t>
            </w:r>
          </w:p>
        </w:tc>
        <w:tc>
          <w:tcPr>
            <w:tcW w:w="445" w:type="pct"/>
            <w:noWrap/>
            <w:hideMark/>
          </w:tcPr>
          <w:p w14:paraId="62CA30DC" w14:textId="77777777" w:rsidR="00CA7676" w:rsidRPr="00E14EE6" w:rsidRDefault="00CA7676" w:rsidP="00E14EE6">
            <w:pPr>
              <w:jc w:val="right"/>
              <w:rPr>
                <w:rFonts w:eastAsia="Calibri" w:cs="Times New Roman"/>
                <w:sz w:val="15"/>
                <w:szCs w:val="15"/>
              </w:rPr>
            </w:pPr>
            <w:r w:rsidRPr="00E14EE6">
              <w:rPr>
                <w:sz w:val="15"/>
              </w:rPr>
              <w:t>170</w:t>
            </w:r>
          </w:p>
        </w:tc>
        <w:tc>
          <w:tcPr>
            <w:tcW w:w="458" w:type="pct"/>
            <w:noWrap/>
            <w:hideMark/>
          </w:tcPr>
          <w:p w14:paraId="01C14656" w14:textId="77777777" w:rsidR="00CA7676" w:rsidRPr="00E97109" w:rsidRDefault="00CA7676" w:rsidP="00E14EE6">
            <w:pPr>
              <w:jc w:val="right"/>
              <w:rPr>
                <w:rFonts w:eastAsia="Calibri" w:cs="Times New Roman"/>
                <w:sz w:val="15"/>
                <w:szCs w:val="15"/>
                <w:highlight w:val="darkGray"/>
              </w:rPr>
            </w:pPr>
            <w:r w:rsidRPr="00E97109">
              <w:rPr>
                <w:sz w:val="15"/>
                <w:highlight w:val="darkGray"/>
              </w:rPr>
              <w:t>9,258</w:t>
            </w:r>
          </w:p>
        </w:tc>
      </w:tr>
    </w:tbl>
    <w:p w14:paraId="0A626151" w14:textId="48B30DDF" w:rsidR="00CA7676" w:rsidRPr="00E14EE6" w:rsidRDefault="00CA7676" w:rsidP="00323DC1">
      <w:pPr>
        <w:pStyle w:val="NoteText"/>
        <w:spacing w:before="120"/>
      </w:pPr>
      <w:r w:rsidRPr="00E14EE6">
        <w:t>Note:</w:t>
      </w:r>
      <w:r w:rsidRPr="00E14EE6">
        <w:tab/>
        <w:t xml:space="preserve">Statistics in accordance with the </w:t>
      </w:r>
      <w:r w:rsidR="00135824" w:rsidRPr="00E14EE6">
        <w:t>s</w:t>
      </w:r>
      <w:r w:rsidRPr="00E14EE6">
        <w:t xml:space="preserve">ixth </w:t>
      </w:r>
      <w:r w:rsidR="00135824" w:rsidRPr="00E14EE6">
        <w:t>e</w:t>
      </w:r>
      <w:r w:rsidRPr="00E14EE6">
        <w:t>dition of the IMF's Balance of Payments and International Investment Position Manual.</w:t>
      </w:r>
    </w:p>
    <w:p w14:paraId="6C0CF68E" w14:textId="77777777" w:rsidR="0093392F" w:rsidRDefault="00CA7676" w:rsidP="0093392F">
      <w:pPr>
        <w:pStyle w:val="NoteText"/>
        <w:spacing w:before="120"/>
      </w:pPr>
      <w:r w:rsidRPr="00E14EE6">
        <w:t>Source:</w:t>
      </w:r>
      <w:r w:rsidRPr="00E14EE6">
        <w:tab/>
        <w:t>International Department, Balance of Payments Sub</w:t>
      </w:r>
      <w:r w:rsidR="00E14EE6" w:rsidRPr="00E14EE6">
        <w:noBreakHyphen/>
      </w:r>
      <w:r w:rsidRPr="00E14EE6">
        <w:t>Directorate, Foreign Investment Statistics and Registration Division.</w:t>
      </w:r>
    </w:p>
    <w:p w14:paraId="7E6CEE21" w14:textId="77777777" w:rsidR="0093392F" w:rsidRDefault="0093392F" w:rsidP="0093392F">
      <w:pPr>
        <w:pStyle w:val="NoteText"/>
        <w:spacing w:before="120"/>
      </w:pPr>
    </w:p>
    <w:p w14:paraId="27EB5D29" w14:textId="485BA244" w:rsidR="0093392F" w:rsidRDefault="0093392F" w:rsidP="0093392F">
      <w:pPr>
        <w:pStyle w:val="NoteText"/>
        <w:spacing w:before="120"/>
        <w:sectPr w:rsidR="0093392F" w:rsidSect="00E14EE6">
          <w:headerReference w:type="even" r:id="rId21"/>
          <w:headerReference w:type="default" r:id="rId22"/>
          <w:footerReference w:type="even" r:id="rId23"/>
          <w:footerReference w:type="default" r:id="rId24"/>
          <w:footerReference w:type="first" r:id="rId25"/>
          <w:footnotePr>
            <w:numRestart w:val="eachSect"/>
          </w:footnotePr>
          <w:pgSz w:w="11906" w:h="16838" w:code="9"/>
          <w:pgMar w:top="1701" w:right="1440" w:bottom="1440" w:left="1440" w:header="720" w:footer="720" w:gutter="0"/>
          <w:cols w:space="720"/>
          <w:docGrid w:linePitch="360"/>
        </w:sectPr>
      </w:pPr>
    </w:p>
    <w:p w14:paraId="1E83D8F1" w14:textId="77777777" w:rsidR="006C6BEF" w:rsidRPr="0030249D" w:rsidRDefault="006C6BEF" w:rsidP="007A1233">
      <w:pPr>
        <w:pStyle w:val="Heading1"/>
        <w:rPr>
          <w:caps w:val="0"/>
        </w:rPr>
      </w:pPr>
      <w:bookmarkStart w:id="72" w:name="_Toc97198424"/>
      <w:bookmarkStart w:id="73" w:name="_Toc117260602"/>
      <w:r w:rsidRPr="0030249D">
        <w:rPr>
          <w:caps w:val="0"/>
        </w:rPr>
        <w:lastRenderedPageBreak/>
        <w:t>TRADE AND INVESTMENT REGIMES</w:t>
      </w:r>
      <w:bookmarkEnd w:id="72"/>
      <w:bookmarkEnd w:id="73"/>
    </w:p>
    <w:p w14:paraId="43264A86" w14:textId="77777777" w:rsidR="006C6BEF" w:rsidRPr="0030249D" w:rsidRDefault="006C6BEF" w:rsidP="007A1233">
      <w:pPr>
        <w:pStyle w:val="Heading2"/>
      </w:pPr>
      <w:bookmarkStart w:id="74" w:name="_Toc97198425"/>
      <w:bookmarkStart w:id="75" w:name="_Toc117260603"/>
      <w:r w:rsidRPr="0030249D">
        <w:t xml:space="preserve">General </w:t>
      </w:r>
      <w:r>
        <w:t>F</w:t>
      </w:r>
      <w:r w:rsidRPr="0030249D">
        <w:t>ramework</w:t>
      </w:r>
      <w:bookmarkEnd w:id="74"/>
      <w:bookmarkEnd w:id="75"/>
    </w:p>
    <w:p w14:paraId="2F05E0A1" w14:textId="77777777" w:rsidR="006C6BEF" w:rsidRPr="0030249D" w:rsidRDefault="006C6BEF" w:rsidP="00F461FE">
      <w:pPr>
        <w:pStyle w:val="BodyText"/>
      </w:pPr>
      <w:r w:rsidRPr="0030249D">
        <w:t>The Dominican State is governed by three independent powers: legislative, executive and judicial. Legislative power is vested in the National Congress, which consists of the Chamber of Deputies and the Senate of the Republic. Deputies (190) and senators (32) are elected for four</w:t>
      </w:r>
      <w:r>
        <w:t> </w:t>
      </w:r>
      <w:r w:rsidRPr="0030249D">
        <w:t>years, as is the President of the Republic, who is the head of the Executive power.</w:t>
      </w:r>
      <w:r w:rsidRPr="0030249D">
        <w:rPr>
          <w:rStyle w:val="FootnoteReference"/>
        </w:rPr>
        <w:footnoteReference w:id="40"/>
      </w:r>
      <w:r w:rsidRPr="0030249D">
        <w:t xml:space="preserve"> Since 2015, the President has been able to stand for re</w:t>
      </w:r>
      <w:r w:rsidRPr="0030249D">
        <w:noBreakHyphen/>
        <w:t>election for a second, consecutive, term of office.</w:t>
      </w:r>
      <w:r w:rsidRPr="0030249D">
        <w:rPr>
          <w:rStyle w:val="FootnoteReference"/>
        </w:rPr>
        <w:footnoteReference w:id="41"/>
      </w:r>
      <w:r w:rsidRPr="0030249D">
        <w:t xml:space="preserve"> The Judicial power consists of the Supreme Court of Justice and subordinate courts, such as the courts of appeal, the courts of first instance, the magistrates' courts and the courts with specialized jurisdictions. There is also a Constitutional Court, which is independent in carrying out its functions.</w:t>
      </w:r>
      <w:r w:rsidRPr="0030249D">
        <w:rPr>
          <w:rStyle w:val="FootnoteReference"/>
        </w:rPr>
        <w:footnoteReference w:id="42"/>
      </w:r>
    </w:p>
    <w:p w14:paraId="0F875430" w14:textId="77777777" w:rsidR="006C6BEF" w:rsidRPr="0030249D" w:rsidRDefault="006C6BEF" w:rsidP="007A1233">
      <w:pPr>
        <w:pStyle w:val="BodyText"/>
      </w:pPr>
      <w:r w:rsidRPr="0030249D">
        <w:t>During the period under review, there were no major changes in the composition of the Government of the Dominican Republic or the Executive. However, modifications made include changing the name of the Ministry of Industry and Trade to the Ministry of Industry, Trade and MSMEs (</w:t>
      </w:r>
      <w:proofErr w:type="spellStart"/>
      <w:r w:rsidRPr="0030249D">
        <w:t>MICM</w:t>
      </w:r>
      <w:proofErr w:type="spellEnd"/>
      <w:r w:rsidRPr="0030249D">
        <w:t>) in 2017, and the creation of the Ministry of Housing, Habitat and Buildings in 2021.</w:t>
      </w:r>
      <w:r w:rsidRPr="0030249D">
        <w:rPr>
          <w:rStyle w:val="FootnoteReference"/>
        </w:rPr>
        <w:footnoteReference w:id="43"/>
      </w:r>
      <w:r w:rsidRPr="0030249D">
        <w:t xml:space="preserve"> There are currently (August 2022) 23 ministries.</w:t>
      </w:r>
      <w:r w:rsidRPr="0030249D">
        <w:rPr>
          <w:rStyle w:val="FootnoteReference"/>
        </w:rPr>
        <w:footnoteReference w:id="44"/>
      </w:r>
    </w:p>
    <w:p w14:paraId="55B564CB" w14:textId="77777777" w:rsidR="006C6BEF" w:rsidRPr="0030249D" w:rsidRDefault="006C6BEF" w:rsidP="0030249D">
      <w:pPr>
        <w:pStyle w:val="BodyText"/>
      </w:pPr>
      <w:r w:rsidRPr="0030249D">
        <w:t>The Dominican Republic is composed of 31 provinces and a National District. The provinces are headed by a governor appointed by the Executive.</w:t>
      </w:r>
      <w:r w:rsidRPr="0030249D">
        <w:rPr>
          <w:rStyle w:val="FootnoteReference"/>
        </w:rPr>
        <w:footnoteReference w:id="45"/>
      </w:r>
      <w:r w:rsidRPr="0030249D">
        <w:t xml:space="preserve"> These are in turn divided into 158 municipalities (governed by a municipal council) and 235 municipal districts. The National District also has a district council like the municipalities.</w:t>
      </w:r>
      <w:r w:rsidRPr="0030249D">
        <w:rPr>
          <w:rStyle w:val="FootnoteReference"/>
        </w:rPr>
        <w:footnoteReference w:id="46"/>
      </w:r>
    </w:p>
    <w:p w14:paraId="2AE891CB" w14:textId="77777777" w:rsidR="006C6BEF" w:rsidRPr="0030249D" w:rsidRDefault="006C6BEF" w:rsidP="007A1233">
      <w:pPr>
        <w:pStyle w:val="BodyText"/>
      </w:pPr>
      <w:r w:rsidRPr="0030249D">
        <w:t>A new constitution was proclaimed in 2015, which included only one change from the 2010 Constitution, that of allowing the President to be re</w:t>
      </w:r>
      <w:r w:rsidRPr="0030249D">
        <w:noBreakHyphen/>
        <w:t>elected. The President or the National Congress have the power to launch a constitutional reform process (Box 2.1). In the legal hierarchy, the Constitution is the supreme law. International human rights treaties have the same rank as the Constitution.</w:t>
      </w:r>
      <w:r w:rsidRPr="0030249D">
        <w:rPr>
          <w:rStyle w:val="FootnoteReference"/>
        </w:rPr>
        <w:footnoteReference w:id="47"/>
      </w:r>
      <w:r w:rsidRPr="0030249D">
        <w:t xml:space="preserve"> Below the Constitution are other international treaties, laws, regulations and decrees issued by the Executive, and acts, resolutions and decisions.</w:t>
      </w:r>
      <w:r w:rsidRPr="0030249D">
        <w:rPr>
          <w:rStyle w:val="FootnoteReference"/>
        </w:rPr>
        <w:footnoteReference w:id="48"/>
      </w:r>
      <w:r w:rsidRPr="0030249D">
        <w:t xml:space="preserve"> To be incorporated into domestic legislation, international treaties must be ratified by the National Congress, after the Constitutional Court has checked that they comply with the Constitution. International treaties are signed by the President or, failing that, by the Foreign Minister.</w:t>
      </w:r>
    </w:p>
    <w:p w14:paraId="372DEE9D" w14:textId="77777777" w:rsidR="006C6BEF" w:rsidRPr="0030249D" w:rsidRDefault="006C6BEF" w:rsidP="00D56352">
      <w:pPr>
        <w:pStyle w:val="Caption"/>
      </w:pPr>
      <w:bookmarkStart w:id="76" w:name="_Toc117238074"/>
      <w:r>
        <w:lastRenderedPageBreak/>
        <w:t xml:space="preserve">Box </w:t>
      </w:r>
      <w:r w:rsidR="00BD37F2">
        <w:fldChar w:fldCharType="begin"/>
      </w:r>
      <w:r w:rsidR="00BD37F2">
        <w:instrText xml:space="preserve"> STYLEREF 1 \s </w:instrText>
      </w:r>
      <w:r w:rsidR="00BD37F2">
        <w:fldChar w:fldCharType="separate"/>
      </w:r>
      <w:r>
        <w:rPr>
          <w:noProof/>
        </w:rPr>
        <w:t>2</w:t>
      </w:r>
      <w:r w:rsidR="00BD37F2">
        <w:rPr>
          <w:noProof/>
        </w:rPr>
        <w:fldChar w:fldCharType="end"/>
      </w:r>
      <w:r>
        <w:t>.</w:t>
      </w:r>
      <w:r w:rsidR="00BD37F2">
        <w:fldChar w:fldCharType="begin"/>
      </w:r>
      <w:r w:rsidR="00BD37F2">
        <w:instrText xml:space="preserve"> SEQ Box \* ARABIC \s 1 </w:instrText>
      </w:r>
      <w:r w:rsidR="00BD37F2">
        <w:fldChar w:fldCharType="separate"/>
      </w:r>
      <w:r>
        <w:rPr>
          <w:noProof/>
        </w:rPr>
        <w:t>1</w:t>
      </w:r>
      <w:r w:rsidR="00BD37F2">
        <w:rPr>
          <w:noProof/>
        </w:rPr>
        <w:fldChar w:fldCharType="end"/>
      </w:r>
      <w:r>
        <w:rPr>
          <w:noProof/>
        </w:rPr>
        <w:t xml:space="preserve"> </w:t>
      </w:r>
      <w:r w:rsidRPr="0030249D">
        <w:t>Constitutional reform process</w:t>
      </w:r>
      <w:bookmarkEnd w:id="76"/>
    </w:p>
    <w:tbl>
      <w:tblPr>
        <w:tblStyle w:val="WTOBox1"/>
        <w:tblW w:w="0" w:type="auto"/>
        <w:tblLook w:val="04A0" w:firstRow="1" w:lastRow="0" w:firstColumn="1" w:lastColumn="0" w:noHBand="0" w:noVBand="1"/>
      </w:tblPr>
      <w:tblGrid>
        <w:gridCol w:w="9016"/>
      </w:tblGrid>
      <w:tr w:rsidR="006C6BEF" w:rsidRPr="0030249D" w14:paraId="2C56D672" w14:textId="77777777" w:rsidTr="00706642">
        <w:tc>
          <w:tcPr>
            <w:tcW w:w="9016" w:type="dxa"/>
          </w:tcPr>
          <w:p w14:paraId="7827DD04" w14:textId="77777777" w:rsidR="006C6BEF" w:rsidRPr="0030249D" w:rsidRDefault="006C6BEF" w:rsidP="0030249D">
            <w:pPr>
              <w:keepNext/>
              <w:keepLines/>
            </w:pPr>
            <w:r w:rsidRPr="0030249D">
              <w:rPr>
                <w:sz w:val="16"/>
              </w:rPr>
              <w:t>The National Congress and the President have the power to initiate constitutional reform. The National Congress issues a law declaring "the need to reform the Constitution of the Republic", which stipulates the purpose of the reform and the articles to be amended. All provisions of the Constitution may be subject to reform, except the system of government of the Dominican Republic, which will always be civilian, republican, democratic and representative. The reform bill is discussed in a national review meeting composed of deputies and senators; it must be approved by a qualified majority (two thirds). Amendments of certain provisions must be approved by referendum. This is the case for rights, fundamental guarantees and duties; land</w:t>
            </w:r>
            <w:r w:rsidRPr="0030249D">
              <w:rPr>
                <w:sz w:val="16"/>
              </w:rPr>
              <w:noBreakHyphen/>
              <w:t>use and town planning; the system for nationality, citizenship and alien affairs; the currency regime; and the reform processes laid down in the Constitution.</w:t>
            </w:r>
          </w:p>
        </w:tc>
      </w:tr>
    </w:tbl>
    <w:p w14:paraId="1A6D8DC9" w14:textId="77777777" w:rsidR="006C6BEF" w:rsidRPr="0030249D" w:rsidRDefault="006C6BEF" w:rsidP="007A1233">
      <w:pPr>
        <w:pStyle w:val="NoteText"/>
        <w:tabs>
          <w:tab w:val="clear" w:pos="851"/>
        </w:tabs>
        <w:spacing w:before="120" w:after="240"/>
      </w:pPr>
      <w:r w:rsidRPr="0030249D">
        <w:t>Source:</w:t>
      </w:r>
      <w:r w:rsidRPr="0030249D">
        <w:tab/>
        <w:t>Articles 267–272 of the Constitution.</w:t>
      </w:r>
    </w:p>
    <w:p w14:paraId="77E51E99" w14:textId="77777777" w:rsidR="006C6BEF" w:rsidRPr="0030249D" w:rsidRDefault="006C6BEF" w:rsidP="007A1233">
      <w:pPr>
        <w:pStyle w:val="BodyText"/>
      </w:pPr>
      <w:r w:rsidRPr="0030249D">
        <w:t>There are two types of laws in the Dominican Republic: ordinary laws; and organic laws that regulate certain matters, including the economic and financial regime (for example, the currency or banking regime).</w:t>
      </w:r>
      <w:r w:rsidRPr="0030249D">
        <w:rPr>
          <w:rStyle w:val="FootnoteReference"/>
        </w:rPr>
        <w:footnoteReference w:id="49"/>
      </w:r>
      <w:r w:rsidRPr="0030249D">
        <w:t xml:space="preserve"> The legislative procedure has not changed since 2015 (Box 2.2). Only the National Congress has the power to legislate; at no time, not even when a "state of emergency" is declared, is legislative power delegated to the Executive.</w:t>
      </w:r>
    </w:p>
    <w:p w14:paraId="2BD3D7D5" w14:textId="77777777" w:rsidR="006C6BEF" w:rsidRPr="0030249D" w:rsidRDefault="006C6BEF" w:rsidP="00D56352">
      <w:pPr>
        <w:pStyle w:val="Caption"/>
      </w:pPr>
      <w:bookmarkStart w:id="77" w:name="_Toc117238075"/>
      <w:r>
        <w:t xml:space="preserve">Box </w:t>
      </w:r>
      <w:r w:rsidR="00BD37F2">
        <w:fldChar w:fldCharType="begin"/>
      </w:r>
      <w:r w:rsidR="00BD37F2">
        <w:instrText xml:space="preserve"> STYLEREF 1 \s </w:instrText>
      </w:r>
      <w:r w:rsidR="00BD37F2">
        <w:fldChar w:fldCharType="separate"/>
      </w:r>
      <w:r>
        <w:rPr>
          <w:noProof/>
        </w:rPr>
        <w:t>2</w:t>
      </w:r>
      <w:r w:rsidR="00BD37F2">
        <w:rPr>
          <w:noProof/>
        </w:rPr>
        <w:fldChar w:fldCharType="end"/>
      </w:r>
      <w:r>
        <w:t>.</w:t>
      </w:r>
      <w:r w:rsidR="00BD37F2">
        <w:fldChar w:fldCharType="begin"/>
      </w:r>
      <w:r w:rsidR="00BD37F2">
        <w:instrText xml:space="preserve"> SEQ Box \* ARABIC \s 1 </w:instrText>
      </w:r>
      <w:r w:rsidR="00BD37F2">
        <w:fldChar w:fldCharType="separate"/>
      </w:r>
      <w:r>
        <w:rPr>
          <w:noProof/>
        </w:rPr>
        <w:t>2</w:t>
      </w:r>
      <w:r w:rsidR="00BD37F2">
        <w:rPr>
          <w:noProof/>
        </w:rPr>
        <w:fldChar w:fldCharType="end"/>
      </w:r>
      <w:r>
        <w:t xml:space="preserve"> </w:t>
      </w:r>
      <w:r w:rsidRPr="0030249D">
        <w:t>Legislative procedure</w:t>
      </w:r>
      <w:bookmarkEnd w:id="77"/>
    </w:p>
    <w:tbl>
      <w:tblPr>
        <w:tblStyle w:val="WTOBox1"/>
        <w:tblW w:w="0" w:type="auto"/>
        <w:tblLook w:val="04A0" w:firstRow="1" w:lastRow="0" w:firstColumn="1" w:lastColumn="0" w:noHBand="0" w:noVBand="1"/>
      </w:tblPr>
      <w:tblGrid>
        <w:gridCol w:w="1457"/>
        <w:gridCol w:w="7569"/>
      </w:tblGrid>
      <w:tr w:rsidR="006C6BEF" w:rsidRPr="0030249D" w14:paraId="49CFBB5E" w14:textId="77777777" w:rsidTr="00706642">
        <w:tc>
          <w:tcPr>
            <w:tcW w:w="1457" w:type="dxa"/>
          </w:tcPr>
          <w:p w14:paraId="790BD0C8" w14:textId="77777777" w:rsidR="006C6BEF" w:rsidRPr="0030249D" w:rsidRDefault="006C6BEF" w:rsidP="0030249D">
            <w:pPr>
              <w:jc w:val="left"/>
              <w:rPr>
                <w:b/>
                <w:bCs/>
                <w:sz w:val="16"/>
                <w:szCs w:val="20"/>
              </w:rPr>
            </w:pPr>
            <w:r w:rsidRPr="0030249D">
              <w:rPr>
                <w:b/>
                <w:sz w:val="16"/>
              </w:rPr>
              <w:t>Draft laws</w:t>
            </w:r>
          </w:p>
        </w:tc>
        <w:tc>
          <w:tcPr>
            <w:tcW w:w="7569" w:type="dxa"/>
          </w:tcPr>
          <w:p w14:paraId="555570A8" w14:textId="77777777" w:rsidR="006C6BEF" w:rsidRPr="0030249D" w:rsidRDefault="006C6BEF" w:rsidP="0030249D">
            <w:pPr>
              <w:rPr>
                <w:sz w:val="16"/>
                <w:szCs w:val="20"/>
              </w:rPr>
            </w:pPr>
            <w:r w:rsidRPr="0030249D">
              <w:rPr>
                <w:sz w:val="16"/>
              </w:rPr>
              <w:t>Regardless of the type of law, those who have the right to put forward draft laws are deputies, senators, the President, the Supreme Court of Justice (on judicial matters), the Central Electoral Board (on electoral issues) and citizens (with the support of 2% of persons registered on the electoral roll).</w:t>
            </w:r>
          </w:p>
        </w:tc>
      </w:tr>
      <w:tr w:rsidR="006C6BEF" w:rsidRPr="0030249D" w14:paraId="4307FE62" w14:textId="77777777" w:rsidTr="00706642">
        <w:tc>
          <w:tcPr>
            <w:tcW w:w="1457" w:type="dxa"/>
          </w:tcPr>
          <w:p w14:paraId="4153D2ED" w14:textId="77777777" w:rsidR="006C6BEF" w:rsidRPr="0030249D" w:rsidRDefault="006C6BEF" w:rsidP="0030249D">
            <w:pPr>
              <w:jc w:val="left"/>
              <w:rPr>
                <w:b/>
                <w:bCs/>
                <w:sz w:val="16"/>
                <w:szCs w:val="16"/>
              </w:rPr>
            </w:pPr>
            <w:r w:rsidRPr="0030249D">
              <w:rPr>
                <w:b/>
                <w:sz w:val="16"/>
              </w:rPr>
              <w:t>Formulation of laws</w:t>
            </w:r>
          </w:p>
        </w:tc>
        <w:tc>
          <w:tcPr>
            <w:tcW w:w="7569" w:type="dxa"/>
          </w:tcPr>
          <w:p w14:paraId="47CF9667" w14:textId="77777777" w:rsidR="006C6BEF" w:rsidRPr="0030249D" w:rsidRDefault="006C6BEF" w:rsidP="0030249D">
            <w:pPr>
              <w:spacing w:after="120"/>
              <w:rPr>
                <w:sz w:val="16"/>
                <w:szCs w:val="16"/>
              </w:rPr>
            </w:pPr>
            <w:r w:rsidRPr="0030249D">
              <w:rPr>
                <w:sz w:val="16"/>
                <w:szCs w:val="16"/>
              </w:rPr>
              <w:t>Draft laws may be presented either in the Chamber of Deputies or the Senate. The chamber in which the draft law is presented is the originating chamber and the other is the review chamber.</w:t>
            </w:r>
          </w:p>
          <w:p w14:paraId="01C9D220" w14:textId="77777777" w:rsidR="006C6BEF" w:rsidRPr="0030249D" w:rsidRDefault="006C6BEF" w:rsidP="0030249D">
            <w:pPr>
              <w:spacing w:after="120"/>
              <w:rPr>
                <w:sz w:val="16"/>
                <w:szCs w:val="16"/>
              </w:rPr>
            </w:pPr>
            <w:r w:rsidRPr="0030249D">
              <w:rPr>
                <w:sz w:val="16"/>
                <w:szCs w:val="16"/>
              </w:rPr>
              <w:t>The draft law passed by both chambers is forwarded to the Executive.</w:t>
            </w:r>
          </w:p>
          <w:p w14:paraId="368ECDE6" w14:textId="77777777" w:rsidR="006C6BEF" w:rsidRPr="0030249D" w:rsidRDefault="006C6BEF" w:rsidP="0030249D">
            <w:pPr>
              <w:spacing w:after="120"/>
              <w:rPr>
                <w:sz w:val="16"/>
                <w:szCs w:val="16"/>
              </w:rPr>
            </w:pPr>
            <w:r w:rsidRPr="0030249D">
              <w:rPr>
                <w:sz w:val="16"/>
                <w:szCs w:val="16"/>
              </w:rPr>
              <w:t>The review chamber amends and returns the draft law to the originating chamber. If the originating chamber approves the amendments, the draft law is sent to the Executive. If the originating chamber rejects the amendments, the draft law returns to the review chamber. In such cases, if the latter insists on its amendments, the draft law is sent back to the Executive.</w:t>
            </w:r>
          </w:p>
          <w:p w14:paraId="1F7DB3D8" w14:textId="77777777" w:rsidR="006C6BEF" w:rsidRPr="0030249D" w:rsidRDefault="006C6BEF" w:rsidP="0030249D">
            <w:pPr>
              <w:spacing w:after="120"/>
              <w:rPr>
                <w:sz w:val="16"/>
                <w:szCs w:val="16"/>
              </w:rPr>
            </w:pPr>
            <w:r w:rsidRPr="0030249D">
              <w:rPr>
                <w:sz w:val="16"/>
                <w:szCs w:val="16"/>
              </w:rPr>
              <w:t>A draft law is passed or amended by an absolute majority of those present in each chamber. For organic draft laws, a qualified majority (two thirds) of those present in both chambers is required, except if the draft law relates to the currency or banking regime, in which case a qualified majority of all deputies and senators is required.</w:t>
            </w:r>
          </w:p>
          <w:p w14:paraId="3469344B" w14:textId="77777777" w:rsidR="006C6BEF" w:rsidRPr="0030249D" w:rsidRDefault="006C6BEF" w:rsidP="0030249D">
            <w:pPr>
              <w:rPr>
                <w:sz w:val="16"/>
                <w:szCs w:val="16"/>
              </w:rPr>
            </w:pPr>
            <w:r w:rsidRPr="0030249D">
              <w:rPr>
                <w:sz w:val="16"/>
                <w:szCs w:val="16"/>
              </w:rPr>
              <w:t>Draft laws rejected by the originating chamber or the review chamber are shelved; they cannot be debated again during the same legislature.</w:t>
            </w:r>
          </w:p>
        </w:tc>
      </w:tr>
      <w:tr w:rsidR="006C6BEF" w:rsidRPr="0030249D" w14:paraId="78AB1054" w14:textId="77777777" w:rsidTr="00706642">
        <w:tc>
          <w:tcPr>
            <w:tcW w:w="1457" w:type="dxa"/>
          </w:tcPr>
          <w:p w14:paraId="24B6C6FA" w14:textId="77777777" w:rsidR="006C6BEF" w:rsidRPr="0030249D" w:rsidRDefault="006C6BEF" w:rsidP="0030249D">
            <w:pPr>
              <w:jc w:val="left"/>
              <w:rPr>
                <w:b/>
                <w:bCs/>
                <w:sz w:val="16"/>
                <w:szCs w:val="16"/>
              </w:rPr>
            </w:pPr>
            <w:r w:rsidRPr="0030249D">
              <w:rPr>
                <w:b/>
                <w:sz w:val="16"/>
              </w:rPr>
              <w:t>Observations and promulgation</w:t>
            </w:r>
          </w:p>
        </w:tc>
        <w:tc>
          <w:tcPr>
            <w:tcW w:w="7569" w:type="dxa"/>
          </w:tcPr>
          <w:p w14:paraId="12FC2257" w14:textId="77777777" w:rsidR="006C6BEF" w:rsidRPr="0030249D" w:rsidRDefault="006C6BEF" w:rsidP="0030249D">
            <w:pPr>
              <w:rPr>
                <w:sz w:val="16"/>
                <w:szCs w:val="16"/>
              </w:rPr>
            </w:pPr>
            <w:r w:rsidRPr="0030249D">
              <w:rPr>
                <w:sz w:val="16"/>
              </w:rPr>
              <w:t>If the Executive has no observations, the law is promulgated. Laws are published in the Official Journal.</w:t>
            </w:r>
          </w:p>
          <w:p w14:paraId="6DBE1BF3" w14:textId="77777777" w:rsidR="006C6BEF" w:rsidRPr="0030249D" w:rsidRDefault="006C6BEF" w:rsidP="0030249D">
            <w:pPr>
              <w:rPr>
                <w:sz w:val="16"/>
                <w:szCs w:val="16"/>
              </w:rPr>
            </w:pPr>
            <w:r w:rsidRPr="0030249D">
              <w:rPr>
                <w:sz w:val="16"/>
              </w:rPr>
              <w:t>If the Executive considers the draft law unconstitutional or objects to it on other grounds, it returns it, together with its observations, to the chamber that submitted it.</w:t>
            </w:r>
          </w:p>
          <w:p w14:paraId="314329E5" w14:textId="77777777" w:rsidR="006C6BEF" w:rsidRPr="0030249D" w:rsidRDefault="006C6BEF" w:rsidP="0030249D">
            <w:pPr>
              <w:rPr>
                <w:sz w:val="16"/>
                <w:szCs w:val="16"/>
              </w:rPr>
            </w:pPr>
            <w:r w:rsidRPr="0030249D">
              <w:rPr>
                <w:sz w:val="16"/>
              </w:rPr>
              <w:t>If the chamber insists on the original text (with the approval of a qualified majority of those present), it refers it to the other chamber; if the other chamber, in turn, approves the original text (by the same majority), it "shall be deemed to be law, promulgated and published".</w:t>
            </w:r>
          </w:p>
        </w:tc>
      </w:tr>
    </w:tbl>
    <w:p w14:paraId="559E540F" w14:textId="77777777" w:rsidR="006C6BEF" w:rsidRPr="0030249D" w:rsidRDefault="006C6BEF" w:rsidP="0029474F">
      <w:pPr>
        <w:pStyle w:val="NoteText"/>
        <w:spacing w:before="120" w:after="240"/>
      </w:pPr>
      <w:r w:rsidRPr="0030249D">
        <w:t>Source:</w:t>
      </w:r>
      <w:r w:rsidRPr="0030249D">
        <w:tab/>
        <w:t>Articles 96–113 and 232 of the Constitution.</w:t>
      </w:r>
    </w:p>
    <w:p w14:paraId="360BB2DE" w14:textId="77777777" w:rsidR="006C6BEF" w:rsidRPr="0030249D" w:rsidRDefault="006C6BEF" w:rsidP="007A1233">
      <w:pPr>
        <w:pStyle w:val="BodyText"/>
      </w:pPr>
      <w:r w:rsidRPr="0030249D">
        <w:t>The Dominican Republic's legislative framework is characterized by the fact that many existing laws are very old and may be outdated in some areas. Moreover, in a number of cases, the laws do not yet have implementing regulations, or the implementing regulations were enacted years after the law came into force. For example, in the area of trade, the Customs Law (No. 168</w:t>
      </w:r>
      <w:r w:rsidRPr="0030249D">
        <w:noBreakHyphen/>
        <w:t>21) was issued in 2021 to replace Law No. 3489</w:t>
      </w:r>
      <w:r w:rsidRPr="0030249D">
        <w:noBreakHyphen/>
        <w:t>53. However, according to the authorities, its implementing regulations are still being drafted and Law No. 3489</w:t>
      </w:r>
      <w:r w:rsidRPr="0030249D">
        <w:noBreakHyphen/>
        <w:t>53 is therefore largely still being implemented. The Mining Law (Law No. 146</w:t>
      </w:r>
      <w:r w:rsidRPr="0030249D">
        <w:noBreakHyphen/>
        <w:t xml:space="preserve">71), which is still in force, dates back to 1971, but its implementing </w:t>
      </w:r>
      <w:r w:rsidRPr="0030249D">
        <w:lastRenderedPageBreak/>
        <w:t>regulations (Decree No. 207</w:t>
      </w:r>
      <w:r w:rsidRPr="0030249D">
        <w:noBreakHyphen/>
        <w:t>98) were not issued until 1998, that is, 27 years after the Law's enactment. In other cases, it has not been possible to implement the law for a number of years because the implementing institution had not been established. This is so for the Competition Law, which was enacted in 2008 but only came into force in 2017, once the National Competition Commission (</w:t>
      </w:r>
      <w:r w:rsidRPr="0030249D">
        <w:rPr>
          <w:iCs/>
        </w:rPr>
        <w:t>Pro</w:t>
      </w:r>
      <w:r w:rsidRPr="0030249D">
        <w:rPr>
          <w:iCs/>
        </w:rPr>
        <w:noBreakHyphen/>
      </w:r>
      <w:proofErr w:type="spellStart"/>
      <w:r w:rsidRPr="0030249D">
        <w:rPr>
          <w:iCs/>
        </w:rPr>
        <w:t>Competencia</w:t>
      </w:r>
      <w:proofErr w:type="spellEnd"/>
      <w:r w:rsidRPr="0030249D">
        <w:t>) had been established.</w:t>
      </w:r>
      <w:r w:rsidRPr="0030249D">
        <w:rPr>
          <w:rStyle w:val="FootnoteReference"/>
        </w:rPr>
        <w:footnoteReference w:id="50"/>
      </w:r>
      <w:r w:rsidRPr="0030249D">
        <w:t xml:space="preserve"> A comprehensive review and update of the legislation might be necessary to provide economic operators with a more transparent and predictable environment, a process which, according to the authorities, has already started.</w:t>
      </w:r>
    </w:p>
    <w:p w14:paraId="79D9CC4E" w14:textId="77777777" w:rsidR="006C6BEF" w:rsidRPr="0030249D" w:rsidRDefault="006C6BEF" w:rsidP="007A1233">
      <w:pPr>
        <w:pStyle w:val="BodyText"/>
      </w:pPr>
      <w:r w:rsidRPr="0030249D">
        <w:t>The Dominican Republic's legislation is published online, which makes it easy to consult. However, there is no updated version of the legislation, with all the changes that have taken place over the years.</w:t>
      </w:r>
      <w:r w:rsidRPr="0030249D">
        <w:rPr>
          <w:rStyle w:val="FootnoteReference"/>
        </w:rPr>
        <w:footnoteReference w:id="51"/>
      </w:r>
    </w:p>
    <w:p w14:paraId="337FCE7D" w14:textId="77777777" w:rsidR="006C6BEF" w:rsidRPr="0030249D" w:rsidRDefault="006C6BEF" w:rsidP="00816437">
      <w:pPr>
        <w:pStyle w:val="Heading2"/>
      </w:pPr>
      <w:bookmarkStart w:id="78" w:name="_Toc97198426"/>
      <w:bookmarkStart w:id="79" w:name="_Toc117260604"/>
      <w:r w:rsidRPr="0030249D">
        <w:t xml:space="preserve">Trade </w:t>
      </w:r>
      <w:r>
        <w:t>P</w:t>
      </w:r>
      <w:r w:rsidRPr="0030249D">
        <w:t xml:space="preserve">olicy </w:t>
      </w:r>
      <w:r>
        <w:t>F</w:t>
      </w:r>
      <w:r w:rsidRPr="0030249D">
        <w:t xml:space="preserve">ormulation and </w:t>
      </w:r>
      <w:r>
        <w:t>O</w:t>
      </w:r>
      <w:r w:rsidRPr="0030249D">
        <w:t>bjectives</w:t>
      </w:r>
      <w:bookmarkEnd w:id="78"/>
      <w:bookmarkEnd w:id="79"/>
    </w:p>
    <w:p w14:paraId="49215884" w14:textId="77777777" w:rsidR="006C6BEF" w:rsidRPr="0030249D" w:rsidRDefault="006C6BEF" w:rsidP="007A1233">
      <w:pPr>
        <w:pStyle w:val="BodyText"/>
      </w:pPr>
      <w:r w:rsidRPr="0030249D">
        <w:t>The Dominican Republic's foreign trade policy continues to be set out in the National Development Strategy (END) 2030, adopted in 2012, which outlines the long</w:t>
      </w:r>
      <w:r w:rsidRPr="0030249D">
        <w:noBreakHyphen/>
        <w:t>term socio</w:t>
      </w:r>
      <w:r w:rsidRPr="0030249D">
        <w:noBreakHyphen/>
        <w:t>economic development guidance and objectives.</w:t>
      </w:r>
      <w:r w:rsidRPr="0030249D">
        <w:rPr>
          <w:rStyle w:val="FootnoteReference"/>
        </w:rPr>
        <w:footnoteReference w:id="52"/>
      </w:r>
      <w:r w:rsidRPr="0030249D">
        <w:t xml:space="preserve"> During the period under review, in order to implement the END 2030, the Dominican Republic completed implementation of the National Public Sector Multiannual Plan (</w:t>
      </w:r>
      <w:proofErr w:type="spellStart"/>
      <w:r w:rsidRPr="0030249D">
        <w:t>PNPSP</w:t>
      </w:r>
      <w:proofErr w:type="spellEnd"/>
      <w:r w:rsidRPr="0030249D">
        <w:t xml:space="preserve">) for the periods 2013–16 and 2017–20, and began implementation of the </w:t>
      </w:r>
      <w:proofErr w:type="spellStart"/>
      <w:r w:rsidRPr="0030249D">
        <w:t>PNPSP</w:t>
      </w:r>
      <w:proofErr w:type="spellEnd"/>
      <w:r w:rsidRPr="0030249D">
        <w:t> 2021–24, the National Export Development Plan (</w:t>
      </w:r>
      <w:proofErr w:type="spellStart"/>
      <w:r w:rsidRPr="0030249D">
        <w:t>PNFE</w:t>
      </w:r>
      <w:proofErr w:type="spellEnd"/>
      <w:r w:rsidRPr="0030249D">
        <w:t>) 2020–30 and the National Export Strategy for Modern Services (</w:t>
      </w:r>
      <w:proofErr w:type="spellStart"/>
      <w:r w:rsidRPr="0030249D">
        <w:t>ENESM</w:t>
      </w:r>
      <w:proofErr w:type="spellEnd"/>
      <w:r w:rsidRPr="0030249D">
        <w:t>) 2021–25.</w:t>
      </w:r>
    </w:p>
    <w:p w14:paraId="1F4DA841" w14:textId="77777777" w:rsidR="006C6BEF" w:rsidRPr="0030249D" w:rsidRDefault="006C6BEF" w:rsidP="007A1233">
      <w:pPr>
        <w:pStyle w:val="BodyText"/>
      </w:pPr>
      <w:r w:rsidRPr="0030249D">
        <w:t>The Ministry of Foreign Affairs (</w:t>
      </w:r>
      <w:proofErr w:type="spellStart"/>
      <w:r w:rsidRPr="0030249D">
        <w:t>MIREX</w:t>
      </w:r>
      <w:proofErr w:type="spellEnd"/>
      <w:r w:rsidRPr="0030249D">
        <w:t>), in coordination with other government institutions, formulates and implements the trade and foreign investment attraction policy, which includes the negotiation of trade agreements. Negotiations are conducted through the National Trade Negotiations Commission (</w:t>
      </w:r>
      <w:proofErr w:type="spellStart"/>
      <w:r w:rsidRPr="0030249D">
        <w:t>CNNC</w:t>
      </w:r>
      <w:proofErr w:type="spellEnd"/>
      <w:r w:rsidRPr="0030249D">
        <w:t xml:space="preserve">), headed by </w:t>
      </w:r>
      <w:proofErr w:type="spellStart"/>
      <w:r w:rsidRPr="0030249D">
        <w:t>MIREX</w:t>
      </w:r>
      <w:proofErr w:type="spellEnd"/>
      <w:r w:rsidRPr="0030249D">
        <w:t>, in which other ministries are involved, including the Ministry of Industry, Trade and MSMEs (</w:t>
      </w:r>
      <w:proofErr w:type="spellStart"/>
      <w:r w:rsidRPr="0030249D">
        <w:t>MICM</w:t>
      </w:r>
      <w:proofErr w:type="spellEnd"/>
      <w:r w:rsidRPr="0030249D">
        <w:t xml:space="preserve">). The </w:t>
      </w:r>
      <w:proofErr w:type="spellStart"/>
      <w:r w:rsidRPr="0030249D">
        <w:t>MICM</w:t>
      </w:r>
      <w:proofErr w:type="spellEnd"/>
      <w:r w:rsidRPr="0030249D">
        <w:t xml:space="preserve"> formulates and implements policies related to the promotion of foreign trade, in particular export promotion, the development of free zones and other special regimes, and the competitiveness of the industrial sector and MSMEs. It is also responsible for administering trade agreements; the Vice</w:t>
      </w:r>
      <w:r w:rsidRPr="0030249D">
        <w:noBreakHyphen/>
        <w:t>Ministry of Foreign Trade is used for this purpose.</w:t>
      </w:r>
    </w:p>
    <w:p w14:paraId="013C9976" w14:textId="77777777" w:rsidR="006C6BEF" w:rsidRPr="0030249D" w:rsidRDefault="006C6BEF" w:rsidP="007A1233">
      <w:pPr>
        <w:pStyle w:val="BodyText"/>
      </w:pPr>
      <w:r w:rsidRPr="0030249D">
        <w:t xml:space="preserve">In addition to </w:t>
      </w:r>
      <w:proofErr w:type="spellStart"/>
      <w:r w:rsidRPr="0030249D">
        <w:t>MIREX</w:t>
      </w:r>
      <w:proofErr w:type="spellEnd"/>
      <w:r w:rsidRPr="0030249D">
        <w:t xml:space="preserve"> and the </w:t>
      </w:r>
      <w:proofErr w:type="spellStart"/>
      <w:r w:rsidRPr="0030249D">
        <w:t>MICM</w:t>
      </w:r>
      <w:proofErr w:type="spellEnd"/>
      <w:r w:rsidRPr="0030249D">
        <w:t xml:space="preserve">, other ministries are also involved in the formulation and implementation of trade policy, notably the Ministry of Economic Affairs, Planning and Development and the Ministry of Finance, and, where necessary, the ministries responsible for sector portfolios, such as the Ministry of Agriculture or the Ministry of Tourism, and other institutions involved in foreign trade, for example, the Dominican Republic Export and Investment </w:t>
      </w:r>
      <w:proofErr w:type="spellStart"/>
      <w:r w:rsidRPr="0030249D">
        <w:t>Center</w:t>
      </w:r>
      <w:proofErr w:type="spellEnd"/>
      <w:r w:rsidRPr="0030249D">
        <w:t xml:space="preserve"> (</w:t>
      </w:r>
      <w:proofErr w:type="spellStart"/>
      <w:r w:rsidRPr="0030249D">
        <w:t>ProDominicana</w:t>
      </w:r>
      <w:proofErr w:type="spellEnd"/>
      <w:r w:rsidRPr="0030249D">
        <w:t>) or the National Council for Free Export Zones (</w:t>
      </w:r>
      <w:proofErr w:type="spellStart"/>
      <w:r w:rsidRPr="0030249D">
        <w:t>CNZFE</w:t>
      </w:r>
      <w:proofErr w:type="spellEnd"/>
      <w:r w:rsidRPr="0030249D">
        <w:t>).</w:t>
      </w:r>
      <w:r w:rsidRPr="0030249D">
        <w:rPr>
          <w:rStyle w:val="FootnoteReference"/>
        </w:rPr>
        <w:footnoteReference w:id="53"/>
      </w:r>
    </w:p>
    <w:p w14:paraId="0CD80129" w14:textId="77777777" w:rsidR="006C6BEF" w:rsidRPr="0030249D" w:rsidRDefault="006C6BEF" w:rsidP="007A1233">
      <w:pPr>
        <w:pStyle w:val="BodyText"/>
      </w:pPr>
      <w:r w:rsidRPr="0030249D">
        <w:t>Business and citizens' associations are also consulted when formulating trade policy. Since 2020, coordination with the private sector and civil society has been strengthened through consultative councils (known as "</w:t>
      </w:r>
      <w:proofErr w:type="spellStart"/>
      <w:r w:rsidRPr="0030249D">
        <w:rPr>
          <w:i/>
          <w:iCs/>
        </w:rPr>
        <w:t>gabinetes</w:t>
      </w:r>
      <w:proofErr w:type="spellEnd"/>
      <w:r w:rsidRPr="0030249D">
        <w:t>"), where the design and development of policies and strategies linked to the economy, agriculture, tourism and investment promotion are discussed.</w:t>
      </w:r>
      <w:r w:rsidRPr="0030249D">
        <w:rPr>
          <w:rStyle w:val="FootnoteReference"/>
        </w:rPr>
        <w:footnoteReference w:id="54"/>
      </w:r>
      <w:r w:rsidRPr="0030249D">
        <w:t xml:space="preserve"> For example, the Consultative Council for Export Development, attached to the </w:t>
      </w:r>
      <w:proofErr w:type="spellStart"/>
      <w:r w:rsidRPr="0030249D">
        <w:t>MICM</w:t>
      </w:r>
      <w:proofErr w:type="spellEnd"/>
      <w:r w:rsidRPr="0030249D">
        <w:t>, was established in 2022.</w:t>
      </w:r>
      <w:r w:rsidRPr="0030249D">
        <w:rPr>
          <w:rStyle w:val="FootnoteReference"/>
        </w:rPr>
        <w:footnoteReference w:id="55"/>
      </w:r>
      <w:r w:rsidRPr="0030249D">
        <w:t xml:space="preserve"> The Government's main partners include the Dominican Exporters' Association (</w:t>
      </w:r>
      <w:proofErr w:type="spellStart"/>
      <w:r w:rsidRPr="0030249D">
        <w:t>ADOEXPO</w:t>
      </w:r>
      <w:proofErr w:type="spellEnd"/>
      <w:r w:rsidRPr="0030249D">
        <w:t>) and the Dominican Agribusiness Board (</w:t>
      </w:r>
      <w:proofErr w:type="spellStart"/>
      <w:r w:rsidRPr="0030249D">
        <w:t>JAD</w:t>
      </w:r>
      <w:proofErr w:type="spellEnd"/>
      <w:r w:rsidRPr="0030249D">
        <w:t>).</w:t>
      </w:r>
    </w:p>
    <w:p w14:paraId="55B14BB3" w14:textId="77777777" w:rsidR="006C6BEF" w:rsidRPr="0030249D" w:rsidRDefault="006C6BEF" w:rsidP="007A1233">
      <w:pPr>
        <w:pStyle w:val="BodyText"/>
      </w:pPr>
      <w:proofErr w:type="spellStart"/>
      <w:r w:rsidRPr="0030249D">
        <w:t>ProDominicana</w:t>
      </w:r>
      <w:proofErr w:type="spellEnd"/>
      <w:r w:rsidRPr="0030249D">
        <w:t xml:space="preserve"> is the state agency that provides free advice and support to Dominican</w:t>
      </w:r>
      <w:r>
        <w:t> </w:t>
      </w:r>
      <w:r w:rsidRPr="0030249D">
        <w:t xml:space="preserve">exporters and foreign investors. In addition, both the </w:t>
      </w:r>
      <w:proofErr w:type="spellStart"/>
      <w:r w:rsidRPr="0030249D">
        <w:t>MICM</w:t>
      </w:r>
      <w:proofErr w:type="spellEnd"/>
      <w:r w:rsidRPr="0030249D">
        <w:t xml:space="preserve"> (Vice</w:t>
      </w:r>
      <w:r w:rsidRPr="0030249D">
        <w:noBreakHyphen/>
        <w:t xml:space="preserve">Ministry of Foreign Trade) and </w:t>
      </w:r>
      <w:proofErr w:type="spellStart"/>
      <w:r w:rsidRPr="0030249D">
        <w:t>MIREX</w:t>
      </w:r>
      <w:proofErr w:type="spellEnd"/>
      <w:r w:rsidRPr="0030249D">
        <w:t xml:space="preserve"> (Directorate of Trade and Investment Promotion) provide trade intelligence services and advice to investors.</w:t>
      </w:r>
      <w:bookmarkStart w:id="80" w:name="_Hlk113889725"/>
    </w:p>
    <w:p w14:paraId="0DB1F426" w14:textId="77777777" w:rsidR="006C6BEF" w:rsidRPr="0030249D" w:rsidRDefault="006C6BEF" w:rsidP="007A1233">
      <w:pPr>
        <w:pStyle w:val="BodyText"/>
      </w:pPr>
      <w:r w:rsidRPr="0030249D">
        <w:lastRenderedPageBreak/>
        <w:t>In 2021, the Dominican Republic enacted Law No. 167</w:t>
      </w:r>
      <w:r w:rsidRPr="0030249D">
        <w:noBreakHyphen/>
        <w:t>21 to support the regulatory improvement process. According to this law, all measures, including trade measures, must undergo a regulatory impact analysis (RIA). The analysis is conducted by the institution implementing the measure and submitted to the Ministry of Public Administration (MAP) for approval. The RIA is carried out only if the measure involves a cost to economic operators. The aim of the analysis is to ensure that the costs of implementing the measure are lower than the benefits and that requirements are minimized and procedures streamlined. Existing measures should be evaluated every five years (</w:t>
      </w:r>
      <w:r w:rsidRPr="0030249D">
        <w:rPr>
          <w:i/>
          <w:iCs/>
        </w:rPr>
        <w:t>ex</w:t>
      </w:r>
      <w:r>
        <w:rPr>
          <w:i/>
          <w:iCs/>
        </w:rPr>
        <w:t> </w:t>
      </w:r>
      <w:r w:rsidRPr="0030249D">
        <w:rPr>
          <w:i/>
          <w:iCs/>
        </w:rPr>
        <w:t>post</w:t>
      </w:r>
      <w:r w:rsidRPr="0030249D">
        <w:t xml:space="preserve"> RIA) to determine whether they need to be retained, amended or abolished.</w:t>
      </w:r>
    </w:p>
    <w:bookmarkEnd w:id="80"/>
    <w:p w14:paraId="7EF016FD" w14:textId="77777777" w:rsidR="006C6BEF" w:rsidRPr="0030249D" w:rsidRDefault="006C6BEF" w:rsidP="007A1233">
      <w:pPr>
        <w:pStyle w:val="BodyText"/>
      </w:pPr>
      <w:r w:rsidRPr="0030249D">
        <w:t xml:space="preserve">The Dominican Republic's trade policy objectives are to: increase exports and create a favourable environment for foreign investment as a tool to support export potential. To promote exports, the Dominican Republic gives priority to those products and services for which the country has traditionally been competitive. Since 2021, it has been developing a new exportable supply based on "modern services", those of the creative economy, the </w:t>
      </w:r>
      <w:proofErr w:type="spellStart"/>
      <w:r w:rsidRPr="0030249D">
        <w:t>audiovisual</w:t>
      </w:r>
      <w:proofErr w:type="spellEnd"/>
      <w:r w:rsidRPr="0030249D">
        <w:t xml:space="preserve"> industry, telecommunications and information technology. In addition, the aim is to achieve greater sophistication of the existing exportable supply, through innovation, improved quality and increased added value. Efforts are focused on taking advantage of existing market access conditions, as well as on seeking and developing new markets. Facilitating access to finance, streamlining export procedures and developing logistics systems are also elements that are actively sought to improve export competitiveness. A number of measures have been implemented in this regard (Table 2.1). The Dominican Republic is also continuing to implement the free zone regime, and the incentives granted under the </w:t>
      </w:r>
      <w:proofErr w:type="spellStart"/>
      <w:r w:rsidRPr="0030249D">
        <w:t>PROINDUSTRIA</w:t>
      </w:r>
      <w:proofErr w:type="spellEnd"/>
      <w:r w:rsidRPr="0030249D">
        <w:t xml:space="preserve"> regime for manufacturing. The Dominican Republic has adopted a digital transformation agenda (Digital Agenda 2030), which takes into account the digital economy, cybersecurity and technological innovation. According to an assessment of the END 2030, conducted by the Ministry of Economic Affairs, Planning and Development in 2020, both the volume and competitiveness of Dominican goods exports had increased between 2012 and 2018. By sector, </w:t>
      </w:r>
      <w:bookmarkStart w:id="81" w:name="_Hlk110496859"/>
      <w:r w:rsidRPr="0030249D">
        <w:t>agricultural exports were more competitive than manufacturing exports.</w:t>
      </w:r>
      <w:r w:rsidRPr="0030249D">
        <w:rPr>
          <w:rStyle w:val="FootnoteReference"/>
        </w:rPr>
        <w:footnoteReference w:id="56"/>
      </w:r>
    </w:p>
    <w:p w14:paraId="5BAEE929" w14:textId="7A892D64" w:rsidR="006C6BEF" w:rsidRPr="0030249D" w:rsidRDefault="006C6BEF" w:rsidP="00D56352">
      <w:pPr>
        <w:pStyle w:val="Caption"/>
      </w:pPr>
      <w:bookmarkStart w:id="82" w:name="_Toc117238031"/>
      <w:r>
        <w:t xml:space="preserve">Table </w:t>
      </w:r>
      <w:r w:rsidR="00BD37F2">
        <w:fldChar w:fldCharType="begin"/>
      </w:r>
      <w:r w:rsidR="00BD37F2">
        <w:instrText xml:space="preserve"> STYLEREF</w:instrText>
      </w:r>
      <w:r w:rsidR="00BD37F2">
        <w:instrText xml:space="preserve"> 1 \s </w:instrText>
      </w:r>
      <w:r w:rsidR="00BD37F2">
        <w:fldChar w:fldCharType="separate"/>
      </w:r>
      <w:r>
        <w:rPr>
          <w:noProof/>
        </w:rPr>
        <w:t>2</w:t>
      </w:r>
      <w:r w:rsidR="00BD37F2">
        <w:rPr>
          <w:noProof/>
        </w:rPr>
        <w:fldChar w:fldCharType="end"/>
      </w:r>
      <w:r>
        <w:t>.</w:t>
      </w:r>
      <w:r w:rsidR="00BD37F2">
        <w:fldChar w:fldCharType="begin"/>
      </w:r>
      <w:r w:rsidR="00BD37F2">
        <w:instrText xml:space="preserve"> SEQ Table \* ARABIC \s 1 </w:instrText>
      </w:r>
      <w:r w:rsidR="00BD37F2">
        <w:fldChar w:fldCharType="separate"/>
      </w:r>
      <w:r>
        <w:rPr>
          <w:noProof/>
        </w:rPr>
        <w:t>1</w:t>
      </w:r>
      <w:r w:rsidR="00BD37F2">
        <w:rPr>
          <w:noProof/>
        </w:rPr>
        <w:fldChar w:fldCharType="end"/>
      </w:r>
      <w:r>
        <w:t xml:space="preserve"> </w:t>
      </w:r>
      <w:r w:rsidRPr="0030249D">
        <w:t>Measures to promote exports, 2015–2</w:t>
      </w:r>
      <w:r w:rsidR="002D3D98">
        <w:t>1</w:t>
      </w:r>
      <w:bookmarkEnd w:id="82"/>
    </w:p>
    <w:tbl>
      <w:tblPr>
        <w:tblStyle w:val="WTOTable1"/>
        <w:tblW w:w="0" w:type="auto"/>
        <w:tblLook w:val="04A0" w:firstRow="1" w:lastRow="0" w:firstColumn="1" w:lastColumn="0" w:noHBand="0" w:noVBand="1"/>
      </w:tblPr>
      <w:tblGrid>
        <w:gridCol w:w="1413"/>
        <w:gridCol w:w="7603"/>
      </w:tblGrid>
      <w:tr w:rsidR="006C6BEF" w:rsidRPr="0030249D" w14:paraId="0E4838E6" w14:textId="77777777" w:rsidTr="00706642">
        <w:trPr>
          <w:cnfStyle w:val="100000000000" w:firstRow="1" w:lastRow="0" w:firstColumn="0" w:lastColumn="0" w:oddVBand="0" w:evenVBand="0" w:oddHBand="0" w:evenHBand="0" w:firstRowFirstColumn="0" w:firstRowLastColumn="0" w:lastRowFirstColumn="0" w:lastRowLastColumn="0"/>
          <w:tblHeader/>
        </w:trPr>
        <w:tc>
          <w:tcPr>
            <w:tcW w:w="1413" w:type="dxa"/>
          </w:tcPr>
          <w:p w14:paraId="6033B078" w14:textId="77777777" w:rsidR="006C6BEF" w:rsidRPr="0030249D" w:rsidRDefault="006C6BEF" w:rsidP="0030249D">
            <w:pPr>
              <w:jc w:val="left"/>
              <w:rPr>
                <w:rFonts w:eastAsia="SimSun" w:cs="Times New Roman"/>
                <w:sz w:val="15"/>
                <w:szCs w:val="15"/>
              </w:rPr>
            </w:pPr>
            <w:r w:rsidRPr="0030249D">
              <w:rPr>
                <w:sz w:val="15"/>
              </w:rPr>
              <w:t>Areas</w:t>
            </w:r>
          </w:p>
        </w:tc>
        <w:tc>
          <w:tcPr>
            <w:tcW w:w="7603" w:type="dxa"/>
          </w:tcPr>
          <w:p w14:paraId="3A05DEFC" w14:textId="77777777" w:rsidR="006C6BEF" w:rsidRPr="0030249D" w:rsidRDefault="006C6BEF" w:rsidP="0030249D">
            <w:pPr>
              <w:jc w:val="left"/>
              <w:rPr>
                <w:sz w:val="15"/>
                <w:szCs w:val="15"/>
              </w:rPr>
            </w:pPr>
            <w:r w:rsidRPr="0030249D">
              <w:rPr>
                <w:sz w:val="15"/>
              </w:rPr>
              <w:t>Measures implemented</w:t>
            </w:r>
          </w:p>
        </w:tc>
      </w:tr>
      <w:tr w:rsidR="006C6BEF" w:rsidRPr="0030249D" w14:paraId="001C74D6" w14:textId="77777777" w:rsidTr="00706642">
        <w:tc>
          <w:tcPr>
            <w:tcW w:w="1413" w:type="dxa"/>
          </w:tcPr>
          <w:p w14:paraId="03BB90BF" w14:textId="77777777" w:rsidR="006C6BEF" w:rsidRPr="0030249D" w:rsidRDefault="006C6BEF" w:rsidP="0030249D">
            <w:pPr>
              <w:jc w:val="left"/>
              <w:rPr>
                <w:sz w:val="15"/>
                <w:szCs w:val="15"/>
              </w:rPr>
            </w:pPr>
            <w:r w:rsidRPr="0030249D">
              <w:rPr>
                <w:sz w:val="15"/>
              </w:rPr>
              <w:t>Trade facilitation</w:t>
            </w:r>
          </w:p>
        </w:tc>
        <w:tc>
          <w:tcPr>
            <w:tcW w:w="7603" w:type="dxa"/>
          </w:tcPr>
          <w:p w14:paraId="4DACA3E9" w14:textId="77777777" w:rsidR="006C6BEF" w:rsidRPr="0030249D" w:rsidRDefault="006C6BEF" w:rsidP="0030249D">
            <w:pPr>
              <w:jc w:val="left"/>
              <w:rPr>
                <w:sz w:val="15"/>
                <w:szCs w:val="15"/>
              </w:rPr>
            </w:pPr>
            <w:r w:rsidRPr="0030249D">
              <w:rPr>
                <w:sz w:val="15"/>
              </w:rPr>
              <w:t>The "</w:t>
            </w:r>
            <w:proofErr w:type="spellStart"/>
            <w:r w:rsidRPr="0030249D">
              <w:rPr>
                <w:sz w:val="15"/>
              </w:rPr>
              <w:t>Exporta</w:t>
            </w:r>
            <w:proofErr w:type="spellEnd"/>
            <w:r w:rsidRPr="0030249D">
              <w:rPr>
                <w:sz w:val="15"/>
              </w:rPr>
              <w:t xml:space="preserve"> +" programme was introduced in 2021 with a view to speeding up container departures.</w:t>
            </w:r>
          </w:p>
          <w:p w14:paraId="73190825" w14:textId="77777777" w:rsidR="006C6BEF" w:rsidRPr="0030249D" w:rsidRDefault="006C6BEF" w:rsidP="0030249D">
            <w:pPr>
              <w:jc w:val="left"/>
              <w:rPr>
                <w:sz w:val="15"/>
                <w:szCs w:val="15"/>
              </w:rPr>
            </w:pPr>
            <w:r w:rsidRPr="0030249D">
              <w:rPr>
                <w:sz w:val="15"/>
              </w:rPr>
              <w:t>A practical guide for exporters was published, which stipulates the procedures and requirements for exporting.</w:t>
            </w:r>
          </w:p>
          <w:p w14:paraId="225A5FDD" w14:textId="77777777" w:rsidR="006C6BEF" w:rsidRPr="0030249D" w:rsidRDefault="006C6BEF" w:rsidP="0030249D">
            <w:pPr>
              <w:jc w:val="left"/>
              <w:rPr>
                <w:sz w:val="15"/>
                <w:szCs w:val="15"/>
              </w:rPr>
            </w:pPr>
            <w:r w:rsidRPr="0030249D">
              <w:rPr>
                <w:sz w:val="15"/>
              </w:rPr>
              <w:t>A new customs law (Law No. 168</w:t>
            </w:r>
            <w:r w:rsidRPr="0030249D">
              <w:rPr>
                <w:sz w:val="15"/>
              </w:rPr>
              <w:noBreakHyphen/>
              <w:t>21) was enacted.</w:t>
            </w:r>
          </w:p>
        </w:tc>
      </w:tr>
      <w:tr w:rsidR="006C6BEF" w:rsidRPr="0030249D" w14:paraId="7D426093" w14:textId="77777777" w:rsidTr="00706642">
        <w:trPr>
          <w:cnfStyle w:val="000000010000" w:firstRow="0" w:lastRow="0" w:firstColumn="0" w:lastColumn="0" w:oddVBand="0" w:evenVBand="0" w:oddHBand="0" w:evenHBand="1" w:firstRowFirstColumn="0" w:firstRowLastColumn="0" w:lastRowFirstColumn="0" w:lastRowLastColumn="0"/>
        </w:trPr>
        <w:tc>
          <w:tcPr>
            <w:tcW w:w="1413" w:type="dxa"/>
          </w:tcPr>
          <w:p w14:paraId="5EBAD729" w14:textId="77777777" w:rsidR="006C6BEF" w:rsidRPr="0030249D" w:rsidRDefault="006C6BEF" w:rsidP="0030249D">
            <w:pPr>
              <w:jc w:val="left"/>
              <w:rPr>
                <w:sz w:val="15"/>
                <w:szCs w:val="15"/>
              </w:rPr>
            </w:pPr>
            <w:r w:rsidRPr="0030249D">
              <w:rPr>
                <w:sz w:val="15"/>
              </w:rPr>
              <w:t>Export financing</w:t>
            </w:r>
          </w:p>
        </w:tc>
        <w:tc>
          <w:tcPr>
            <w:tcW w:w="7603" w:type="dxa"/>
          </w:tcPr>
          <w:p w14:paraId="40DD1A2F" w14:textId="4280D840" w:rsidR="006C6BEF" w:rsidRPr="0030249D" w:rsidRDefault="006C6BEF" w:rsidP="0030249D">
            <w:pPr>
              <w:jc w:val="left"/>
              <w:rPr>
                <w:sz w:val="15"/>
                <w:szCs w:val="15"/>
              </w:rPr>
            </w:pPr>
            <w:r w:rsidRPr="0030249D">
              <w:rPr>
                <w:sz w:val="15"/>
              </w:rPr>
              <w:t>In 2015, the National Bank for the Promotion of Housing and Production (</w:t>
            </w:r>
            <w:proofErr w:type="spellStart"/>
            <w:r w:rsidRPr="0030249D">
              <w:rPr>
                <w:sz w:val="15"/>
              </w:rPr>
              <w:t>BNV</w:t>
            </w:r>
            <w:proofErr w:type="spellEnd"/>
            <w:r w:rsidRPr="0030249D">
              <w:rPr>
                <w:sz w:val="15"/>
              </w:rPr>
              <w:t xml:space="preserve">) became the </w:t>
            </w:r>
            <w:r w:rsidR="005D1C13">
              <w:rPr>
                <w:sz w:val="15"/>
              </w:rPr>
              <w:t>National</w:t>
            </w:r>
            <w:r w:rsidRPr="0030249D">
              <w:rPr>
                <w:sz w:val="15"/>
              </w:rPr>
              <w:t xml:space="preserve"> Development Bank (</w:t>
            </w:r>
            <w:proofErr w:type="spellStart"/>
            <w:r w:rsidRPr="0030249D">
              <w:rPr>
                <w:sz w:val="15"/>
              </w:rPr>
              <w:t>BANDEX</w:t>
            </w:r>
            <w:proofErr w:type="spellEnd"/>
            <w:r w:rsidRPr="0030249D">
              <w:rPr>
                <w:sz w:val="15"/>
              </w:rPr>
              <w:t xml:space="preserve">). In 2021, this then became the </w:t>
            </w:r>
            <w:r w:rsidR="005D1C13" w:rsidRPr="0030249D">
              <w:rPr>
                <w:sz w:val="15"/>
              </w:rPr>
              <w:t xml:space="preserve">Export and </w:t>
            </w:r>
            <w:r w:rsidRPr="0030249D">
              <w:rPr>
                <w:sz w:val="15"/>
              </w:rPr>
              <w:t>Development Bank (</w:t>
            </w:r>
            <w:proofErr w:type="spellStart"/>
            <w:r w:rsidRPr="0030249D">
              <w:rPr>
                <w:sz w:val="15"/>
              </w:rPr>
              <w:t>BANDEX</w:t>
            </w:r>
            <w:proofErr w:type="spellEnd"/>
            <w:r w:rsidRPr="0030249D">
              <w:rPr>
                <w:sz w:val="15"/>
              </w:rPr>
              <w:t>). The bank operates as a first</w:t>
            </w:r>
            <w:r w:rsidRPr="0030249D">
              <w:rPr>
                <w:sz w:val="15"/>
              </w:rPr>
              <w:noBreakHyphen/>
              <w:t xml:space="preserve"> and second</w:t>
            </w:r>
            <w:r w:rsidRPr="0030249D">
              <w:rPr>
                <w:sz w:val="15"/>
              </w:rPr>
              <w:noBreakHyphen/>
              <w:t>tier bank.</w:t>
            </w:r>
          </w:p>
        </w:tc>
      </w:tr>
    </w:tbl>
    <w:p w14:paraId="767FEFFE" w14:textId="77777777" w:rsidR="006C6BEF" w:rsidRPr="0030249D" w:rsidRDefault="006C6BEF" w:rsidP="0029474F">
      <w:pPr>
        <w:pStyle w:val="NoteText"/>
        <w:spacing w:before="120" w:after="240"/>
      </w:pPr>
      <w:r w:rsidRPr="0030249D">
        <w:t>Source:</w:t>
      </w:r>
      <w:r w:rsidRPr="0030249D">
        <w:tab/>
        <w:t>WTO Secretariat and information provided by the authorities.</w:t>
      </w:r>
    </w:p>
    <w:p w14:paraId="2526E893" w14:textId="600A47E7" w:rsidR="006C6BEF" w:rsidRPr="0030249D" w:rsidRDefault="006C6BEF" w:rsidP="007A1233">
      <w:pPr>
        <w:pStyle w:val="BodyText"/>
      </w:pPr>
      <w:r w:rsidRPr="0030249D">
        <w:t>In its foreign trade strategy, the Dominican Republic promotes women's export culture as a tool to increase exports and turn women into drivers of growth and poverty reduction.</w:t>
      </w:r>
      <w:r w:rsidRPr="0030249D">
        <w:rPr>
          <w:rStyle w:val="FootnoteReference"/>
        </w:rPr>
        <w:footnoteReference w:id="57"/>
      </w:r>
      <w:r w:rsidRPr="0030249D">
        <w:t xml:space="preserve"> To achieve this goal, in 2020 the </w:t>
      </w:r>
      <w:r w:rsidR="005D1C13" w:rsidRPr="0030249D">
        <w:t xml:space="preserve">Export and </w:t>
      </w:r>
      <w:r w:rsidRPr="0030249D">
        <w:t>Development Bank (</w:t>
      </w:r>
      <w:proofErr w:type="spellStart"/>
      <w:r w:rsidRPr="0030249D">
        <w:t>BANDEX</w:t>
      </w:r>
      <w:proofErr w:type="spellEnd"/>
      <w:r w:rsidRPr="0030249D">
        <w:t>) created the Women Exporters Fund (DOP 500 million) to finance the export of products made by women</w:t>
      </w:r>
      <w:r w:rsidRPr="0030249D">
        <w:noBreakHyphen/>
        <w:t>led enterprises (</w:t>
      </w:r>
      <w:r>
        <w:t>S</w:t>
      </w:r>
      <w:r w:rsidRPr="0030249D">
        <w:t>ection</w:t>
      </w:r>
      <w:r>
        <w:t> </w:t>
      </w:r>
      <w:r w:rsidRPr="0030249D">
        <w:t>3.2.5).</w:t>
      </w:r>
      <w:r w:rsidRPr="0030249D">
        <w:rPr>
          <w:rStyle w:val="FootnoteReference"/>
        </w:rPr>
        <w:footnoteReference w:id="58"/>
      </w:r>
      <w:r w:rsidRPr="0030249D">
        <w:t xml:space="preserve"> </w:t>
      </w:r>
      <w:proofErr w:type="spellStart"/>
      <w:r w:rsidRPr="0030249D">
        <w:t>ProDominicana</w:t>
      </w:r>
      <w:proofErr w:type="spellEnd"/>
      <w:r w:rsidRPr="0030249D">
        <w:t xml:space="preserve"> has also been organizing an annual event called "</w:t>
      </w:r>
      <w:proofErr w:type="spellStart"/>
      <w:r w:rsidRPr="0030249D">
        <w:rPr>
          <w:i/>
          <w:iCs/>
        </w:rPr>
        <w:t>Mujeres</w:t>
      </w:r>
      <w:proofErr w:type="spellEnd"/>
      <w:r w:rsidRPr="0030249D">
        <w:rPr>
          <w:i/>
          <w:iCs/>
        </w:rPr>
        <w:t xml:space="preserve"> </w:t>
      </w:r>
      <w:proofErr w:type="spellStart"/>
      <w:r w:rsidRPr="0030249D">
        <w:rPr>
          <w:i/>
          <w:iCs/>
        </w:rPr>
        <w:t>Exportadoras</w:t>
      </w:r>
      <w:proofErr w:type="spellEnd"/>
      <w:r w:rsidRPr="0030249D">
        <w:t>" (Women Exporters) for the past two years to raise awareness of the role of women in exports and the Dominican economy (Box 2.3).</w:t>
      </w:r>
      <w:bookmarkEnd w:id="81"/>
      <w:r w:rsidRPr="0030249D">
        <w:rPr>
          <w:rStyle w:val="FootnoteReference"/>
        </w:rPr>
        <w:footnoteReference w:id="59"/>
      </w:r>
    </w:p>
    <w:p w14:paraId="60B50845" w14:textId="77777777" w:rsidR="006C6BEF" w:rsidRPr="0030249D" w:rsidRDefault="006C6BEF" w:rsidP="00D56352">
      <w:pPr>
        <w:pStyle w:val="Caption"/>
      </w:pPr>
      <w:bookmarkStart w:id="83" w:name="_Toc117238076"/>
      <w:r>
        <w:lastRenderedPageBreak/>
        <w:t xml:space="preserve">Box </w:t>
      </w:r>
      <w:r w:rsidR="00BD37F2">
        <w:fldChar w:fldCharType="begin"/>
      </w:r>
      <w:r w:rsidR="00BD37F2">
        <w:instrText xml:space="preserve"> STYLEREF 1 \s </w:instrText>
      </w:r>
      <w:r w:rsidR="00BD37F2">
        <w:fldChar w:fldCharType="separate"/>
      </w:r>
      <w:r>
        <w:rPr>
          <w:noProof/>
        </w:rPr>
        <w:t>2</w:t>
      </w:r>
      <w:r w:rsidR="00BD37F2">
        <w:rPr>
          <w:noProof/>
        </w:rPr>
        <w:fldChar w:fldCharType="end"/>
      </w:r>
      <w:r>
        <w:t>.</w:t>
      </w:r>
      <w:r w:rsidR="00BD37F2">
        <w:fldChar w:fldCharType="begin"/>
      </w:r>
      <w:r w:rsidR="00BD37F2">
        <w:instrText xml:space="preserve"> SEQ Box \* ARABIC \s 1 </w:instrText>
      </w:r>
      <w:r w:rsidR="00BD37F2">
        <w:fldChar w:fldCharType="separate"/>
      </w:r>
      <w:r>
        <w:rPr>
          <w:noProof/>
        </w:rPr>
        <w:t>3</w:t>
      </w:r>
      <w:r w:rsidR="00BD37F2">
        <w:rPr>
          <w:noProof/>
        </w:rPr>
        <w:fldChar w:fldCharType="end"/>
      </w:r>
      <w:r>
        <w:rPr>
          <w:noProof/>
        </w:rPr>
        <w:t xml:space="preserve"> </w:t>
      </w:r>
      <w:r w:rsidRPr="0030249D">
        <w:t>The role of women in Dominican exports</w:t>
      </w:r>
      <w:bookmarkEnd w:id="83"/>
    </w:p>
    <w:tbl>
      <w:tblPr>
        <w:tblStyle w:val="WTOBox1"/>
        <w:tblW w:w="9116" w:type="dxa"/>
        <w:tblLook w:val="04A0" w:firstRow="1" w:lastRow="0" w:firstColumn="1" w:lastColumn="0" w:noHBand="0" w:noVBand="1"/>
      </w:tblPr>
      <w:tblGrid>
        <w:gridCol w:w="9116"/>
      </w:tblGrid>
      <w:tr w:rsidR="006C6BEF" w:rsidRPr="0030249D" w14:paraId="70EAAECB" w14:textId="77777777" w:rsidTr="00D16B0B">
        <w:trPr>
          <w:trHeight w:hRule="exact" w:val="6516"/>
        </w:trPr>
        <w:tc>
          <w:tcPr>
            <w:tcW w:w="9116" w:type="dxa"/>
          </w:tcPr>
          <w:p w14:paraId="1C0B3A1A" w14:textId="77777777" w:rsidR="006C6BEF" w:rsidRPr="0030249D" w:rsidRDefault="006C6BEF" w:rsidP="0030249D">
            <w:pPr>
              <w:spacing w:after="120"/>
              <w:rPr>
                <w:sz w:val="16"/>
                <w:szCs w:val="16"/>
              </w:rPr>
            </w:pPr>
            <w:r w:rsidRPr="0030249D">
              <w:rPr>
                <w:sz w:val="16"/>
              </w:rPr>
              <w:t>In 2021, the Dominican Republic had 3,318 women exporters; 76.1% were natural persons. In 2021, women</w:t>
            </w:r>
            <w:r w:rsidRPr="0030249D">
              <w:rPr>
                <w:sz w:val="16"/>
              </w:rPr>
              <w:noBreakHyphen/>
              <w:t>led exporting enterprises employed around 26,000 people.</w:t>
            </w:r>
          </w:p>
          <w:p w14:paraId="75C0B4A9" w14:textId="77777777" w:rsidR="006C6BEF" w:rsidRPr="0030249D" w:rsidRDefault="006C6BEF" w:rsidP="0030249D">
            <w:pPr>
              <w:spacing w:after="120"/>
              <w:rPr>
                <w:sz w:val="16"/>
                <w:szCs w:val="16"/>
              </w:rPr>
            </w:pPr>
            <w:r w:rsidRPr="0030249D">
              <w:rPr>
                <w:sz w:val="16"/>
              </w:rPr>
              <w:t>In 2021, 55% of female</w:t>
            </w:r>
            <w:r w:rsidRPr="0030249D">
              <w:rPr>
                <w:sz w:val="16"/>
              </w:rPr>
              <w:noBreakHyphen/>
              <w:t>managed exporting enterprises had an export turnover of less than USD 10,000 and 0.8% had an export turnover of more than USD 10 million. Some 76.1% of enterprises recorded export values below USD 50,000.</w:t>
            </w:r>
          </w:p>
          <w:p w14:paraId="7CDFA097" w14:textId="77777777" w:rsidR="006C6BEF" w:rsidRPr="0030249D" w:rsidRDefault="006C6BEF" w:rsidP="0030249D">
            <w:pPr>
              <w:spacing w:after="120"/>
              <w:rPr>
                <w:sz w:val="16"/>
                <w:szCs w:val="16"/>
              </w:rPr>
            </w:pPr>
            <w:r w:rsidRPr="0030249D">
              <w:rPr>
                <w:sz w:val="16"/>
              </w:rPr>
              <w:t>Between 2015 and 2021, exports by women accounted for a substantial share of total Dominican exports, including gold: on average 17.7%. Excluding gold, their average share amounted to 2.5%.</w:t>
            </w:r>
          </w:p>
          <w:p w14:paraId="2A20C1F5" w14:textId="77777777" w:rsidR="006C6BEF" w:rsidRPr="0030249D" w:rsidRDefault="006C6BEF" w:rsidP="0030249D">
            <w:pPr>
              <w:pStyle w:val="Caption"/>
              <w:rPr>
                <w:sz w:val="16"/>
                <w:szCs w:val="16"/>
              </w:rPr>
            </w:pPr>
            <w:r w:rsidRPr="0030249D">
              <w:rPr>
                <w:sz w:val="16"/>
              </w:rPr>
              <w:t>Share of women exporters in Dominican exports, 2015–21</w:t>
            </w:r>
          </w:p>
          <w:tbl>
            <w:tblPr>
              <w:tblStyle w:val="WTOTable1"/>
              <w:tblW w:w="5000" w:type="pct"/>
              <w:tblLook w:val="04A0" w:firstRow="1" w:lastRow="0" w:firstColumn="1" w:lastColumn="0" w:noHBand="0" w:noVBand="1"/>
            </w:tblPr>
            <w:tblGrid>
              <w:gridCol w:w="1897"/>
              <w:gridCol w:w="998"/>
              <w:gridCol w:w="998"/>
              <w:gridCol w:w="998"/>
              <w:gridCol w:w="998"/>
              <w:gridCol w:w="998"/>
              <w:gridCol w:w="998"/>
              <w:gridCol w:w="995"/>
            </w:tblGrid>
            <w:tr w:rsidR="006C6BEF" w:rsidRPr="0030249D" w14:paraId="674CFC80" w14:textId="77777777" w:rsidTr="00706642">
              <w:trPr>
                <w:cnfStyle w:val="100000000000" w:firstRow="1" w:lastRow="0" w:firstColumn="0" w:lastColumn="0" w:oddVBand="0" w:evenVBand="0" w:oddHBand="0" w:evenHBand="0" w:firstRowFirstColumn="0" w:firstRowLastColumn="0" w:lastRowFirstColumn="0" w:lastRowLastColumn="0"/>
              </w:trPr>
              <w:tc>
                <w:tcPr>
                  <w:tcW w:w="1068" w:type="pct"/>
                </w:tcPr>
                <w:p w14:paraId="45BDACA5" w14:textId="77777777" w:rsidR="006C6BEF" w:rsidRPr="0030249D" w:rsidRDefault="006C6BEF" w:rsidP="0030249D">
                  <w:pPr>
                    <w:rPr>
                      <w:sz w:val="16"/>
                      <w:szCs w:val="16"/>
                    </w:rPr>
                  </w:pPr>
                </w:p>
              </w:tc>
              <w:tc>
                <w:tcPr>
                  <w:tcW w:w="562" w:type="pct"/>
                </w:tcPr>
                <w:p w14:paraId="18950B36" w14:textId="77777777" w:rsidR="006C6BEF" w:rsidRPr="0030249D" w:rsidRDefault="006C6BEF" w:rsidP="0030249D">
                  <w:pPr>
                    <w:jc w:val="right"/>
                    <w:rPr>
                      <w:sz w:val="16"/>
                      <w:szCs w:val="16"/>
                    </w:rPr>
                  </w:pPr>
                  <w:r w:rsidRPr="0030249D">
                    <w:rPr>
                      <w:sz w:val="16"/>
                    </w:rPr>
                    <w:t>2015</w:t>
                  </w:r>
                </w:p>
              </w:tc>
              <w:tc>
                <w:tcPr>
                  <w:tcW w:w="562" w:type="pct"/>
                </w:tcPr>
                <w:p w14:paraId="28DBE538" w14:textId="77777777" w:rsidR="006C6BEF" w:rsidRPr="0030249D" w:rsidRDefault="006C6BEF" w:rsidP="0030249D">
                  <w:pPr>
                    <w:jc w:val="right"/>
                    <w:rPr>
                      <w:sz w:val="16"/>
                      <w:szCs w:val="16"/>
                    </w:rPr>
                  </w:pPr>
                  <w:r w:rsidRPr="0030249D">
                    <w:rPr>
                      <w:sz w:val="16"/>
                    </w:rPr>
                    <w:t>2016</w:t>
                  </w:r>
                </w:p>
              </w:tc>
              <w:tc>
                <w:tcPr>
                  <w:tcW w:w="562" w:type="pct"/>
                </w:tcPr>
                <w:p w14:paraId="16F55D94" w14:textId="77777777" w:rsidR="006C6BEF" w:rsidRPr="0030249D" w:rsidRDefault="006C6BEF" w:rsidP="0030249D">
                  <w:pPr>
                    <w:jc w:val="right"/>
                    <w:rPr>
                      <w:sz w:val="16"/>
                      <w:szCs w:val="16"/>
                    </w:rPr>
                  </w:pPr>
                  <w:r w:rsidRPr="0030249D">
                    <w:rPr>
                      <w:sz w:val="16"/>
                    </w:rPr>
                    <w:t>2017</w:t>
                  </w:r>
                </w:p>
              </w:tc>
              <w:tc>
                <w:tcPr>
                  <w:tcW w:w="562" w:type="pct"/>
                </w:tcPr>
                <w:p w14:paraId="5E13AE23" w14:textId="77777777" w:rsidR="006C6BEF" w:rsidRPr="0030249D" w:rsidRDefault="006C6BEF" w:rsidP="0030249D">
                  <w:pPr>
                    <w:jc w:val="right"/>
                    <w:rPr>
                      <w:sz w:val="16"/>
                      <w:szCs w:val="16"/>
                    </w:rPr>
                  </w:pPr>
                  <w:r w:rsidRPr="0030249D">
                    <w:rPr>
                      <w:sz w:val="16"/>
                    </w:rPr>
                    <w:t>2018</w:t>
                  </w:r>
                </w:p>
              </w:tc>
              <w:tc>
                <w:tcPr>
                  <w:tcW w:w="562" w:type="pct"/>
                </w:tcPr>
                <w:p w14:paraId="340C5779" w14:textId="77777777" w:rsidR="006C6BEF" w:rsidRPr="0030249D" w:rsidRDefault="006C6BEF" w:rsidP="0030249D">
                  <w:pPr>
                    <w:jc w:val="right"/>
                    <w:rPr>
                      <w:sz w:val="16"/>
                      <w:szCs w:val="16"/>
                    </w:rPr>
                  </w:pPr>
                  <w:r w:rsidRPr="0030249D">
                    <w:rPr>
                      <w:sz w:val="16"/>
                    </w:rPr>
                    <w:t>2019</w:t>
                  </w:r>
                </w:p>
              </w:tc>
              <w:tc>
                <w:tcPr>
                  <w:tcW w:w="562" w:type="pct"/>
                </w:tcPr>
                <w:p w14:paraId="58847FDE" w14:textId="77777777" w:rsidR="006C6BEF" w:rsidRPr="0030249D" w:rsidRDefault="006C6BEF" w:rsidP="0030249D">
                  <w:pPr>
                    <w:jc w:val="right"/>
                    <w:rPr>
                      <w:sz w:val="16"/>
                      <w:szCs w:val="16"/>
                    </w:rPr>
                  </w:pPr>
                  <w:r w:rsidRPr="0030249D">
                    <w:rPr>
                      <w:sz w:val="16"/>
                    </w:rPr>
                    <w:t>2020</w:t>
                  </w:r>
                </w:p>
              </w:tc>
              <w:tc>
                <w:tcPr>
                  <w:tcW w:w="562" w:type="pct"/>
                </w:tcPr>
                <w:p w14:paraId="6E2A495A" w14:textId="77777777" w:rsidR="006C6BEF" w:rsidRPr="0030249D" w:rsidRDefault="006C6BEF" w:rsidP="0030249D">
                  <w:pPr>
                    <w:jc w:val="right"/>
                    <w:rPr>
                      <w:sz w:val="16"/>
                      <w:szCs w:val="16"/>
                    </w:rPr>
                  </w:pPr>
                  <w:r w:rsidRPr="0030249D">
                    <w:rPr>
                      <w:sz w:val="16"/>
                    </w:rPr>
                    <w:t>2021</w:t>
                  </w:r>
                </w:p>
              </w:tc>
            </w:tr>
            <w:tr w:rsidR="006C6BEF" w:rsidRPr="0030249D" w14:paraId="11C6358D" w14:textId="77777777" w:rsidTr="00706642">
              <w:tc>
                <w:tcPr>
                  <w:tcW w:w="1068" w:type="pct"/>
                </w:tcPr>
                <w:p w14:paraId="0F7FAF9E" w14:textId="77777777" w:rsidR="006C6BEF" w:rsidRPr="0030249D" w:rsidRDefault="006C6BEF" w:rsidP="0030249D">
                  <w:pPr>
                    <w:rPr>
                      <w:sz w:val="16"/>
                      <w:szCs w:val="16"/>
                    </w:rPr>
                  </w:pPr>
                  <w:r w:rsidRPr="0030249D">
                    <w:rPr>
                      <w:sz w:val="16"/>
                    </w:rPr>
                    <w:t>Including gold</w:t>
                  </w:r>
                </w:p>
              </w:tc>
              <w:tc>
                <w:tcPr>
                  <w:tcW w:w="562" w:type="pct"/>
                </w:tcPr>
                <w:p w14:paraId="3080F034" w14:textId="77777777" w:rsidR="006C6BEF" w:rsidRPr="0030249D" w:rsidRDefault="006C6BEF" w:rsidP="0030249D">
                  <w:pPr>
                    <w:jc w:val="right"/>
                    <w:rPr>
                      <w:sz w:val="16"/>
                      <w:szCs w:val="16"/>
                    </w:rPr>
                  </w:pPr>
                  <w:r w:rsidRPr="0030249D">
                    <w:rPr>
                      <w:sz w:val="16"/>
                    </w:rPr>
                    <w:t>17.0%</w:t>
                  </w:r>
                </w:p>
              </w:tc>
              <w:tc>
                <w:tcPr>
                  <w:tcW w:w="562" w:type="pct"/>
                </w:tcPr>
                <w:p w14:paraId="5D8BD062" w14:textId="77777777" w:rsidR="006C6BEF" w:rsidRPr="0030249D" w:rsidRDefault="006C6BEF" w:rsidP="0030249D">
                  <w:pPr>
                    <w:jc w:val="right"/>
                    <w:rPr>
                      <w:sz w:val="16"/>
                      <w:szCs w:val="16"/>
                    </w:rPr>
                  </w:pPr>
                  <w:r w:rsidRPr="0030249D">
                    <w:rPr>
                      <w:sz w:val="16"/>
                    </w:rPr>
                    <w:t>20.4%</w:t>
                  </w:r>
                </w:p>
              </w:tc>
              <w:tc>
                <w:tcPr>
                  <w:tcW w:w="562" w:type="pct"/>
                </w:tcPr>
                <w:p w14:paraId="57C6231B" w14:textId="77777777" w:rsidR="006C6BEF" w:rsidRPr="0030249D" w:rsidRDefault="006C6BEF" w:rsidP="0030249D">
                  <w:pPr>
                    <w:jc w:val="right"/>
                    <w:rPr>
                      <w:sz w:val="16"/>
                      <w:szCs w:val="16"/>
                    </w:rPr>
                  </w:pPr>
                  <w:r w:rsidRPr="0030249D">
                    <w:rPr>
                      <w:sz w:val="16"/>
                    </w:rPr>
                    <w:t>18.8%</w:t>
                  </w:r>
                </w:p>
              </w:tc>
              <w:tc>
                <w:tcPr>
                  <w:tcW w:w="562" w:type="pct"/>
                </w:tcPr>
                <w:p w14:paraId="673DA50A" w14:textId="77777777" w:rsidR="006C6BEF" w:rsidRPr="0030249D" w:rsidRDefault="006C6BEF" w:rsidP="0030249D">
                  <w:pPr>
                    <w:jc w:val="right"/>
                    <w:rPr>
                      <w:sz w:val="16"/>
                      <w:szCs w:val="16"/>
                    </w:rPr>
                  </w:pPr>
                  <w:r w:rsidRPr="0030249D">
                    <w:rPr>
                      <w:sz w:val="16"/>
                    </w:rPr>
                    <w:t>16.6%</w:t>
                  </w:r>
                </w:p>
              </w:tc>
              <w:tc>
                <w:tcPr>
                  <w:tcW w:w="562" w:type="pct"/>
                </w:tcPr>
                <w:p w14:paraId="42F14F7E" w14:textId="77777777" w:rsidR="006C6BEF" w:rsidRPr="0030249D" w:rsidRDefault="006C6BEF" w:rsidP="0030249D">
                  <w:pPr>
                    <w:jc w:val="right"/>
                    <w:rPr>
                      <w:sz w:val="16"/>
                      <w:szCs w:val="16"/>
                    </w:rPr>
                  </w:pPr>
                  <w:r w:rsidRPr="0030249D">
                    <w:rPr>
                      <w:sz w:val="16"/>
                    </w:rPr>
                    <w:t>16.4%</w:t>
                  </w:r>
                </w:p>
              </w:tc>
              <w:tc>
                <w:tcPr>
                  <w:tcW w:w="562" w:type="pct"/>
                </w:tcPr>
                <w:p w14:paraId="3E836CF7" w14:textId="77777777" w:rsidR="006C6BEF" w:rsidRPr="0030249D" w:rsidRDefault="006C6BEF" w:rsidP="0030249D">
                  <w:pPr>
                    <w:jc w:val="right"/>
                    <w:rPr>
                      <w:sz w:val="16"/>
                      <w:szCs w:val="16"/>
                    </w:rPr>
                  </w:pPr>
                  <w:r w:rsidRPr="0030249D">
                    <w:rPr>
                      <w:sz w:val="16"/>
                    </w:rPr>
                    <w:t>19.3%</w:t>
                  </w:r>
                </w:p>
              </w:tc>
              <w:tc>
                <w:tcPr>
                  <w:tcW w:w="562" w:type="pct"/>
                </w:tcPr>
                <w:p w14:paraId="52F8118D" w14:textId="77777777" w:rsidR="006C6BEF" w:rsidRPr="0030249D" w:rsidRDefault="006C6BEF" w:rsidP="0030249D">
                  <w:pPr>
                    <w:jc w:val="right"/>
                    <w:rPr>
                      <w:sz w:val="16"/>
                      <w:szCs w:val="16"/>
                    </w:rPr>
                  </w:pPr>
                  <w:r w:rsidRPr="0030249D">
                    <w:rPr>
                      <w:sz w:val="16"/>
                    </w:rPr>
                    <w:t>15.7%</w:t>
                  </w:r>
                </w:p>
              </w:tc>
            </w:tr>
            <w:tr w:rsidR="006C6BEF" w:rsidRPr="0030249D" w14:paraId="6686BDFF" w14:textId="77777777" w:rsidTr="00706642">
              <w:trPr>
                <w:cnfStyle w:val="000000010000" w:firstRow="0" w:lastRow="0" w:firstColumn="0" w:lastColumn="0" w:oddVBand="0" w:evenVBand="0" w:oddHBand="0" w:evenHBand="1" w:firstRowFirstColumn="0" w:firstRowLastColumn="0" w:lastRowFirstColumn="0" w:lastRowLastColumn="0"/>
              </w:trPr>
              <w:tc>
                <w:tcPr>
                  <w:tcW w:w="1068" w:type="pct"/>
                </w:tcPr>
                <w:p w14:paraId="7C012834" w14:textId="77777777" w:rsidR="006C6BEF" w:rsidRPr="0030249D" w:rsidRDefault="006C6BEF" w:rsidP="0030249D">
                  <w:pPr>
                    <w:rPr>
                      <w:sz w:val="16"/>
                      <w:szCs w:val="16"/>
                    </w:rPr>
                  </w:pPr>
                  <w:r w:rsidRPr="0030249D">
                    <w:rPr>
                      <w:sz w:val="16"/>
                    </w:rPr>
                    <w:t>Excluding gold</w:t>
                  </w:r>
                </w:p>
              </w:tc>
              <w:tc>
                <w:tcPr>
                  <w:tcW w:w="562" w:type="pct"/>
                </w:tcPr>
                <w:p w14:paraId="537045C1" w14:textId="77777777" w:rsidR="006C6BEF" w:rsidRPr="0030249D" w:rsidRDefault="006C6BEF" w:rsidP="0030249D">
                  <w:pPr>
                    <w:jc w:val="right"/>
                    <w:rPr>
                      <w:sz w:val="16"/>
                      <w:szCs w:val="16"/>
                    </w:rPr>
                  </w:pPr>
                  <w:r w:rsidRPr="0030249D">
                    <w:rPr>
                      <w:sz w:val="16"/>
                    </w:rPr>
                    <w:t>2.8%</w:t>
                  </w:r>
                </w:p>
              </w:tc>
              <w:tc>
                <w:tcPr>
                  <w:tcW w:w="562" w:type="pct"/>
                </w:tcPr>
                <w:p w14:paraId="1530E87D" w14:textId="77777777" w:rsidR="006C6BEF" w:rsidRPr="0030249D" w:rsidRDefault="006C6BEF" w:rsidP="0030249D">
                  <w:pPr>
                    <w:jc w:val="right"/>
                    <w:rPr>
                      <w:sz w:val="16"/>
                      <w:szCs w:val="16"/>
                    </w:rPr>
                  </w:pPr>
                  <w:r w:rsidRPr="0030249D">
                    <w:rPr>
                      <w:sz w:val="16"/>
                    </w:rPr>
                    <w:t>3.0%</w:t>
                  </w:r>
                </w:p>
              </w:tc>
              <w:tc>
                <w:tcPr>
                  <w:tcW w:w="562" w:type="pct"/>
                </w:tcPr>
                <w:p w14:paraId="1053C20E" w14:textId="77777777" w:rsidR="006C6BEF" w:rsidRPr="0030249D" w:rsidRDefault="006C6BEF" w:rsidP="0030249D">
                  <w:pPr>
                    <w:jc w:val="right"/>
                    <w:rPr>
                      <w:sz w:val="16"/>
                      <w:szCs w:val="16"/>
                    </w:rPr>
                  </w:pPr>
                  <w:r w:rsidRPr="0030249D">
                    <w:rPr>
                      <w:sz w:val="16"/>
                    </w:rPr>
                    <w:t>2.6%</w:t>
                  </w:r>
                </w:p>
              </w:tc>
              <w:tc>
                <w:tcPr>
                  <w:tcW w:w="562" w:type="pct"/>
                </w:tcPr>
                <w:p w14:paraId="784840DD" w14:textId="77777777" w:rsidR="006C6BEF" w:rsidRPr="0030249D" w:rsidRDefault="006C6BEF" w:rsidP="0030249D">
                  <w:pPr>
                    <w:jc w:val="right"/>
                    <w:rPr>
                      <w:sz w:val="16"/>
                      <w:szCs w:val="16"/>
                    </w:rPr>
                  </w:pPr>
                  <w:r w:rsidRPr="0030249D">
                    <w:rPr>
                      <w:sz w:val="16"/>
                    </w:rPr>
                    <w:t>2.6%</w:t>
                  </w:r>
                </w:p>
              </w:tc>
              <w:tc>
                <w:tcPr>
                  <w:tcW w:w="562" w:type="pct"/>
                </w:tcPr>
                <w:p w14:paraId="06ED5DD1" w14:textId="77777777" w:rsidR="006C6BEF" w:rsidRPr="0030249D" w:rsidRDefault="006C6BEF" w:rsidP="0030249D">
                  <w:pPr>
                    <w:jc w:val="right"/>
                    <w:rPr>
                      <w:sz w:val="16"/>
                      <w:szCs w:val="16"/>
                    </w:rPr>
                  </w:pPr>
                  <w:r w:rsidRPr="0030249D">
                    <w:rPr>
                      <w:sz w:val="16"/>
                    </w:rPr>
                    <w:t>2.3%</w:t>
                  </w:r>
                </w:p>
              </w:tc>
              <w:tc>
                <w:tcPr>
                  <w:tcW w:w="562" w:type="pct"/>
                </w:tcPr>
                <w:p w14:paraId="5B34D465" w14:textId="77777777" w:rsidR="006C6BEF" w:rsidRPr="0030249D" w:rsidRDefault="006C6BEF" w:rsidP="0030249D">
                  <w:pPr>
                    <w:jc w:val="right"/>
                    <w:rPr>
                      <w:sz w:val="16"/>
                      <w:szCs w:val="16"/>
                    </w:rPr>
                  </w:pPr>
                  <w:r w:rsidRPr="0030249D">
                    <w:rPr>
                      <w:sz w:val="16"/>
                    </w:rPr>
                    <w:t>2.2%</w:t>
                  </w:r>
                </w:p>
              </w:tc>
              <w:tc>
                <w:tcPr>
                  <w:tcW w:w="562" w:type="pct"/>
                </w:tcPr>
                <w:p w14:paraId="14C50CBF" w14:textId="77777777" w:rsidR="006C6BEF" w:rsidRPr="0030249D" w:rsidRDefault="006C6BEF" w:rsidP="0030249D">
                  <w:pPr>
                    <w:jc w:val="right"/>
                    <w:rPr>
                      <w:sz w:val="16"/>
                      <w:szCs w:val="16"/>
                    </w:rPr>
                  </w:pPr>
                  <w:r w:rsidRPr="0030249D">
                    <w:rPr>
                      <w:sz w:val="16"/>
                    </w:rPr>
                    <w:t>2.1%</w:t>
                  </w:r>
                </w:p>
              </w:tc>
            </w:tr>
          </w:tbl>
          <w:p w14:paraId="5A33CBD5" w14:textId="068611B0" w:rsidR="006C6BEF" w:rsidRPr="0030249D" w:rsidRDefault="006C6BEF" w:rsidP="0030249D">
            <w:pPr>
              <w:spacing w:before="120" w:after="120"/>
              <w:rPr>
                <w:sz w:val="16"/>
                <w:szCs w:val="16"/>
              </w:rPr>
            </w:pPr>
            <w:r w:rsidRPr="0030249D">
              <w:rPr>
                <w:sz w:val="16"/>
              </w:rPr>
              <w:t>Gold is the Dominican Republic's main export product, as well as the main product exported by Dominican</w:t>
            </w:r>
            <w:r w:rsidR="00CD42F7">
              <w:rPr>
                <w:sz w:val="16"/>
              </w:rPr>
              <w:t> </w:t>
            </w:r>
            <w:r w:rsidRPr="0030249D">
              <w:rPr>
                <w:sz w:val="16"/>
              </w:rPr>
              <w:t>women exporters. In 2020, gold accounted for 88.6% of the total value of goods exported by women, followed by cocoa beans, whole or broken, raw or roasted (2.5%). Other products exported by women were soybean oil (1.8% of the total value exported in 2020), sweet biscuits, bananas (fresh or dried), groats and meal of maize, fruit (guavas, mangoes and mangosteens), wheat or meslin flour and preparations for use on the hair.</w:t>
            </w:r>
          </w:p>
          <w:p w14:paraId="101F8F50" w14:textId="77777777" w:rsidR="006C6BEF" w:rsidRPr="0030249D" w:rsidRDefault="006C6BEF" w:rsidP="0030249D">
            <w:pPr>
              <w:spacing w:before="120" w:after="120"/>
              <w:rPr>
                <w:sz w:val="16"/>
                <w:szCs w:val="16"/>
              </w:rPr>
            </w:pPr>
            <w:r w:rsidRPr="0030249D">
              <w:rPr>
                <w:sz w:val="16"/>
              </w:rPr>
              <w:t>Products exported by women are destined for the traditional markets of the Dominican Republic. In 2021, 51.9% of women's exports, including gold, went to Switzerland, followed by India (34.8%) and Haiti (4.6%). Excluding gold, the main destinations were Haiti (34%), the United States (21%) and Puerto Rico (5.7%).</w:t>
            </w:r>
          </w:p>
          <w:p w14:paraId="25C996E1" w14:textId="77777777" w:rsidR="006C6BEF" w:rsidRPr="0030249D" w:rsidRDefault="006C6BEF" w:rsidP="0030249D">
            <w:pPr>
              <w:rPr>
                <w:sz w:val="16"/>
                <w:szCs w:val="16"/>
              </w:rPr>
            </w:pPr>
            <w:r w:rsidRPr="0030249D">
              <w:rPr>
                <w:sz w:val="16"/>
              </w:rPr>
              <w:t>Most of the products exported by women are produced outside the free zones. In the case of exports excluding gold, women make greater use of regimes such as free zones and temporary admission.</w:t>
            </w:r>
          </w:p>
          <w:p w14:paraId="41ADECA9" w14:textId="77777777" w:rsidR="006C6BEF" w:rsidRPr="0030249D" w:rsidRDefault="006C6BEF" w:rsidP="0030249D">
            <w:pPr>
              <w:pStyle w:val="Caption"/>
              <w:rPr>
                <w:sz w:val="16"/>
                <w:szCs w:val="16"/>
              </w:rPr>
            </w:pPr>
            <w:r w:rsidRPr="0030249D">
              <w:rPr>
                <w:sz w:val="16"/>
              </w:rPr>
              <w:t>Customs regimes used by women exporters in 2021</w:t>
            </w:r>
          </w:p>
          <w:tbl>
            <w:tblPr>
              <w:tblStyle w:val="WTOTable1"/>
              <w:tblW w:w="0" w:type="auto"/>
              <w:tblLook w:val="04A0" w:firstRow="1" w:lastRow="0" w:firstColumn="1" w:lastColumn="0" w:noHBand="0" w:noVBand="1"/>
            </w:tblPr>
            <w:tblGrid>
              <w:gridCol w:w="1756"/>
              <w:gridCol w:w="1958"/>
              <w:gridCol w:w="1688"/>
              <w:gridCol w:w="1689"/>
              <w:gridCol w:w="1689"/>
            </w:tblGrid>
            <w:tr w:rsidR="006C6BEF" w:rsidRPr="0030249D" w14:paraId="7E9905B8" w14:textId="77777777" w:rsidTr="00706642">
              <w:trPr>
                <w:cnfStyle w:val="100000000000" w:firstRow="1" w:lastRow="0" w:firstColumn="0" w:lastColumn="0" w:oddVBand="0" w:evenVBand="0" w:oddHBand="0" w:evenHBand="0" w:firstRowFirstColumn="0" w:firstRowLastColumn="0" w:lastRowFirstColumn="0" w:lastRowLastColumn="0"/>
              </w:trPr>
              <w:tc>
                <w:tcPr>
                  <w:tcW w:w="1756" w:type="dxa"/>
                </w:tcPr>
                <w:p w14:paraId="485CEEB4" w14:textId="77777777" w:rsidR="006C6BEF" w:rsidRPr="0030249D" w:rsidRDefault="006C6BEF" w:rsidP="0030249D">
                  <w:pPr>
                    <w:rPr>
                      <w:sz w:val="16"/>
                      <w:szCs w:val="16"/>
                      <w:lang w:eastAsia="en-GB"/>
                    </w:rPr>
                  </w:pPr>
                </w:p>
              </w:tc>
              <w:tc>
                <w:tcPr>
                  <w:tcW w:w="1958" w:type="dxa"/>
                </w:tcPr>
                <w:p w14:paraId="303E4B07" w14:textId="77777777" w:rsidR="006C6BEF" w:rsidRPr="0030249D" w:rsidRDefault="006C6BEF" w:rsidP="0030249D">
                  <w:pPr>
                    <w:jc w:val="center"/>
                    <w:rPr>
                      <w:sz w:val="16"/>
                      <w:szCs w:val="16"/>
                    </w:rPr>
                  </w:pPr>
                  <w:r w:rsidRPr="0030249D">
                    <w:rPr>
                      <w:sz w:val="16"/>
                    </w:rPr>
                    <w:t>National customs regime</w:t>
                  </w:r>
                </w:p>
              </w:tc>
              <w:tc>
                <w:tcPr>
                  <w:tcW w:w="1688" w:type="dxa"/>
                </w:tcPr>
                <w:p w14:paraId="60D12B00" w14:textId="77777777" w:rsidR="006C6BEF" w:rsidRPr="0030249D" w:rsidRDefault="006C6BEF" w:rsidP="0030249D">
                  <w:pPr>
                    <w:jc w:val="center"/>
                    <w:rPr>
                      <w:sz w:val="16"/>
                      <w:szCs w:val="16"/>
                    </w:rPr>
                  </w:pPr>
                  <w:r w:rsidRPr="0030249D">
                    <w:rPr>
                      <w:sz w:val="16"/>
                    </w:rPr>
                    <w:t>Industrial free zone</w:t>
                  </w:r>
                </w:p>
              </w:tc>
              <w:tc>
                <w:tcPr>
                  <w:tcW w:w="1689" w:type="dxa"/>
                </w:tcPr>
                <w:p w14:paraId="536B8893" w14:textId="77777777" w:rsidR="006C6BEF" w:rsidRPr="0030249D" w:rsidRDefault="006C6BEF" w:rsidP="0030249D">
                  <w:pPr>
                    <w:jc w:val="center"/>
                    <w:rPr>
                      <w:sz w:val="16"/>
                      <w:szCs w:val="16"/>
                    </w:rPr>
                  </w:pPr>
                  <w:r w:rsidRPr="0030249D">
                    <w:rPr>
                      <w:sz w:val="16"/>
                    </w:rPr>
                    <w:t>Temporary</w:t>
                  </w:r>
                  <w:r w:rsidRPr="0030249D">
                    <w:rPr>
                      <w:sz w:val="16"/>
                    </w:rPr>
                    <w:br/>
                    <w:t>admission</w:t>
                  </w:r>
                </w:p>
              </w:tc>
              <w:tc>
                <w:tcPr>
                  <w:tcW w:w="1689" w:type="dxa"/>
                </w:tcPr>
                <w:p w14:paraId="5F63469E" w14:textId="77777777" w:rsidR="006C6BEF" w:rsidRPr="0030249D" w:rsidRDefault="006C6BEF" w:rsidP="0030249D">
                  <w:pPr>
                    <w:jc w:val="center"/>
                    <w:rPr>
                      <w:sz w:val="16"/>
                      <w:szCs w:val="16"/>
                    </w:rPr>
                  </w:pPr>
                  <w:r w:rsidRPr="0030249D">
                    <w:rPr>
                      <w:sz w:val="16"/>
                    </w:rPr>
                    <w:t>Re</w:t>
                  </w:r>
                  <w:r w:rsidRPr="0030249D">
                    <w:rPr>
                      <w:sz w:val="16"/>
                    </w:rPr>
                    <w:noBreakHyphen/>
                    <w:t>exportation consumption</w:t>
                  </w:r>
                </w:p>
              </w:tc>
            </w:tr>
            <w:tr w:rsidR="006C6BEF" w:rsidRPr="0030249D" w14:paraId="27CC5BEC" w14:textId="77777777" w:rsidTr="00706642">
              <w:tc>
                <w:tcPr>
                  <w:tcW w:w="1756" w:type="dxa"/>
                </w:tcPr>
                <w:p w14:paraId="4F7D5A61" w14:textId="77777777" w:rsidR="006C6BEF" w:rsidRPr="0030249D" w:rsidRDefault="006C6BEF" w:rsidP="0030249D">
                  <w:pPr>
                    <w:rPr>
                      <w:sz w:val="16"/>
                      <w:szCs w:val="16"/>
                    </w:rPr>
                  </w:pPr>
                  <w:r w:rsidRPr="0030249D">
                    <w:rPr>
                      <w:sz w:val="16"/>
                    </w:rPr>
                    <w:t>Including gold</w:t>
                  </w:r>
                </w:p>
              </w:tc>
              <w:tc>
                <w:tcPr>
                  <w:tcW w:w="1958" w:type="dxa"/>
                </w:tcPr>
                <w:p w14:paraId="170122DE" w14:textId="77777777" w:rsidR="006C6BEF" w:rsidRPr="0030249D" w:rsidRDefault="006C6BEF" w:rsidP="0030249D">
                  <w:pPr>
                    <w:jc w:val="center"/>
                    <w:rPr>
                      <w:sz w:val="16"/>
                      <w:szCs w:val="16"/>
                    </w:rPr>
                  </w:pPr>
                  <w:r w:rsidRPr="0030249D">
                    <w:rPr>
                      <w:sz w:val="16"/>
                    </w:rPr>
                    <w:t>96%</w:t>
                  </w:r>
                </w:p>
              </w:tc>
              <w:tc>
                <w:tcPr>
                  <w:tcW w:w="1688" w:type="dxa"/>
                </w:tcPr>
                <w:p w14:paraId="21A35A25" w14:textId="77777777" w:rsidR="006C6BEF" w:rsidRPr="0030249D" w:rsidRDefault="006C6BEF" w:rsidP="0030249D">
                  <w:pPr>
                    <w:ind w:right="624"/>
                    <w:jc w:val="right"/>
                    <w:rPr>
                      <w:sz w:val="16"/>
                      <w:szCs w:val="16"/>
                    </w:rPr>
                  </w:pPr>
                  <w:r w:rsidRPr="0030249D">
                    <w:rPr>
                      <w:sz w:val="16"/>
                    </w:rPr>
                    <w:t>3%</w:t>
                  </w:r>
                </w:p>
              </w:tc>
              <w:tc>
                <w:tcPr>
                  <w:tcW w:w="1689" w:type="dxa"/>
                </w:tcPr>
                <w:p w14:paraId="12C5F976" w14:textId="77777777" w:rsidR="006C6BEF" w:rsidRPr="0030249D" w:rsidRDefault="006C6BEF" w:rsidP="0030249D">
                  <w:pPr>
                    <w:jc w:val="center"/>
                    <w:rPr>
                      <w:sz w:val="16"/>
                      <w:szCs w:val="16"/>
                    </w:rPr>
                  </w:pPr>
                  <w:r w:rsidRPr="0030249D">
                    <w:rPr>
                      <w:sz w:val="16"/>
                    </w:rPr>
                    <w:t>1%</w:t>
                  </w:r>
                </w:p>
              </w:tc>
              <w:tc>
                <w:tcPr>
                  <w:tcW w:w="1689" w:type="dxa"/>
                </w:tcPr>
                <w:p w14:paraId="4FFFEA4D" w14:textId="77777777" w:rsidR="006C6BEF" w:rsidRPr="0030249D" w:rsidRDefault="006C6BEF" w:rsidP="0030249D">
                  <w:pPr>
                    <w:jc w:val="center"/>
                    <w:rPr>
                      <w:sz w:val="16"/>
                      <w:szCs w:val="16"/>
                    </w:rPr>
                  </w:pPr>
                  <w:r w:rsidRPr="0030249D">
                    <w:rPr>
                      <w:sz w:val="16"/>
                    </w:rPr>
                    <w:t>0%</w:t>
                  </w:r>
                </w:p>
              </w:tc>
            </w:tr>
            <w:tr w:rsidR="006C6BEF" w:rsidRPr="0030249D" w14:paraId="4FDEE52B" w14:textId="77777777" w:rsidTr="00706642">
              <w:trPr>
                <w:cnfStyle w:val="000000010000" w:firstRow="0" w:lastRow="0" w:firstColumn="0" w:lastColumn="0" w:oddVBand="0" w:evenVBand="0" w:oddHBand="0" w:evenHBand="1" w:firstRowFirstColumn="0" w:firstRowLastColumn="0" w:lastRowFirstColumn="0" w:lastRowLastColumn="0"/>
              </w:trPr>
              <w:tc>
                <w:tcPr>
                  <w:tcW w:w="1756" w:type="dxa"/>
                </w:tcPr>
                <w:p w14:paraId="65EF3F4E" w14:textId="77777777" w:rsidR="006C6BEF" w:rsidRPr="0030249D" w:rsidRDefault="006C6BEF" w:rsidP="0030249D">
                  <w:pPr>
                    <w:rPr>
                      <w:sz w:val="16"/>
                      <w:szCs w:val="16"/>
                    </w:rPr>
                  </w:pPr>
                  <w:r w:rsidRPr="0030249D">
                    <w:rPr>
                      <w:sz w:val="16"/>
                    </w:rPr>
                    <w:t>Excluding gold</w:t>
                  </w:r>
                </w:p>
              </w:tc>
              <w:tc>
                <w:tcPr>
                  <w:tcW w:w="1958" w:type="dxa"/>
                </w:tcPr>
                <w:p w14:paraId="265C739F" w14:textId="77777777" w:rsidR="006C6BEF" w:rsidRPr="0030249D" w:rsidRDefault="006C6BEF" w:rsidP="0030249D">
                  <w:pPr>
                    <w:jc w:val="center"/>
                    <w:rPr>
                      <w:sz w:val="16"/>
                      <w:szCs w:val="16"/>
                    </w:rPr>
                  </w:pPr>
                  <w:r w:rsidRPr="0030249D">
                    <w:rPr>
                      <w:sz w:val="16"/>
                    </w:rPr>
                    <w:t>70%</w:t>
                  </w:r>
                </w:p>
              </w:tc>
              <w:tc>
                <w:tcPr>
                  <w:tcW w:w="1688" w:type="dxa"/>
                </w:tcPr>
                <w:p w14:paraId="43CC5DE6" w14:textId="77777777" w:rsidR="006C6BEF" w:rsidRPr="0030249D" w:rsidRDefault="006C6BEF" w:rsidP="0030249D">
                  <w:pPr>
                    <w:ind w:right="624"/>
                    <w:jc w:val="right"/>
                    <w:rPr>
                      <w:sz w:val="16"/>
                      <w:szCs w:val="16"/>
                    </w:rPr>
                  </w:pPr>
                  <w:r w:rsidRPr="0030249D">
                    <w:rPr>
                      <w:sz w:val="16"/>
                    </w:rPr>
                    <w:t>25%</w:t>
                  </w:r>
                </w:p>
              </w:tc>
              <w:tc>
                <w:tcPr>
                  <w:tcW w:w="1689" w:type="dxa"/>
                </w:tcPr>
                <w:p w14:paraId="123B10CE" w14:textId="77777777" w:rsidR="006C6BEF" w:rsidRPr="0030249D" w:rsidRDefault="006C6BEF" w:rsidP="0030249D">
                  <w:pPr>
                    <w:jc w:val="center"/>
                    <w:rPr>
                      <w:sz w:val="16"/>
                      <w:szCs w:val="16"/>
                    </w:rPr>
                  </w:pPr>
                  <w:r w:rsidRPr="0030249D">
                    <w:rPr>
                      <w:sz w:val="16"/>
                    </w:rPr>
                    <w:t>5%</w:t>
                  </w:r>
                </w:p>
              </w:tc>
              <w:tc>
                <w:tcPr>
                  <w:tcW w:w="1689" w:type="dxa"/>
                </w:tcPr>
                <w:p w14:paraId="7F0076EA" w14:textId="77777777" w:rsidR="006C6BEF" w:rsidRPr="0030249D" w:rsidRDefault="006C6BEF" w:rsidP="0030249D">
                  <w:pPr>
                    <w:jc w:val="center"/>
                    <w:rPr>
                      <w:sz w:val="16"/>
                      <w:szCs w:val="16"/>
                    </w:rPr>
                  </w:pPr>
                  <w:r w:rsidRPr="0030249D">
                    <w:rPr>
                      <w:sz w:val="16"/>
                    </w:rPr>
                    <w:t>0%</w:t>
                  </w:r>
                </w:p>
              </w:tc>
            </w:tr>
          </w:tbl>
          <w:p w14:paraId="350A8DB2" w14:textId="77777777" w:rsidR="006C6BEF" w:rsidRPr="0030249D" w:rsidRDefault="006C6BEF" w:rsidP="0030249D">
            <w:pPr>
              <w:spacing w:before="120"/>
              <w:rPr>
                <w:sz w:val="16"/>
                <w:szCs w:val="16"/>
                <w:lang w:eastAsia="en-GB"/>
              </w:rPr>
            </w:pPr>
          </w:p>
        </w:tc>
      </w:tr>
    </w:tbl>
    <w:p w14:paraId="7640865F" w14:textId="77777777" w:rsidR="006C6BEF" w:rsidRPr="0030249D" w:rsidRDefault="006C6BEF" w:rsidP="0029474F">
      <w:pPr>
        <w:pStyle w:val="NoteText"/>
        <w:spacing w:before="120" w:after="240"/>
      </w:pPr>
      <w:r w:rsidRPr="0030249D">
        <w:t>Source:</w:t>
      </w:r>
      <w:r w:rsidRPr="0030249D">
        <w:tab/>
      </w:r>
      <w:proofErr w:type="spellStart"/>
      <w:r w:rsidRPr="0030249D">
        <w:t>ProDominicana</w:t>
      </w:r>
      <w:proofErr w:type="spellEnd"/>
      <w:r w:rsidRPr="0030249D">
        <w:t xml:space="preserve"> (2020), </w:t>
      </w:r>
      <w:proofErr w:type="spellStart"/>
      <w:r w:rsidRPr="0030249D">
        <w:rPr>
          <w:i/>
        </w:rPr>
        <w:t>Mujeres</w:t>
      </w:r>
      <w:proofErr w:type="spellEnd"/>
      <w:r w:rsidRPr="0030249D">
        <w:rPr>
          <w:i/>
        </w:rPr>
        <w:t xml:space="preserve"> </w:t>
      </w:r>
      <w:proofErr w:type="spellStart"/>
      <w:r w:rsidRPr="0030249D">
        <w:rPr>
          <w:i/>
        </w:rPr>
        <w:t>Exportadoras</w:t>
      </w:r>
      <w:proofErr w:type="spellEnd"/>
      <w:r w:rsidRPr="0030249D">
        <w:rPr>
          <w:i/>
        </w:rPr>
        <w:t xml:space="preserve"> </w:t>
      </w:r>
      <w:proofErr w:type="spellStart"/>
      <w:r w:rsidRPr="0030249D">
        <w:rPr>
          <w:i/>
        </w:rPr>
        <w:t>en</w:t>
      </w:r>
      <w:proofErr w:type="spellEnd"/>
      <w:r w:rsidRPr="0030249D">
        <w:rPr>
          <w:i/>
        </w:rPr>
        <w:t xml:space="preserve"> República </w:t>
      </w:r>
      <w:proofErr w:type="spellStart"/>
      <w:r w:rsidRPr="0030249D">
        <w:rPr>
          <w:i/>
        </w:rPr>
        <w:t>Dominicana</w:t>
      </w:r>
      <w:proofErr w:type="spellEnd"/>
      <w:r w:rsidRPr="0030249D">
        <w:t xml:space="preserve">, viewed at: </w:t>
      </w:r>
      <w:hyperlink r:id="rId26" w:history="1">
        <w:r w:rsidRPr="0030249D">
          <w:rPr>
            <w:rStyle w:val="Hyperlink"/>
          </w:rPr>
          <w:t>https://prodominicana.gob.do/Documentos/Mujeres%20Exportadoras%20en%20Rep%C3 per centBAblica%20Dominicana.pdf</w:t>
        </w:r>
      </w:hyperlink>
      <w:r w:rsidRPr="0030249D">
        <w:t xml:space="preserve">; </w:t>
      </w:r>
      <w:proofErr w:type="spellStart"/>
      <w:r w:rsidRPr="0030249D">
        <w:t>ProDominicana</w:t>
      </w:r>
      <w:proofErr w:type="spellEnd"/>
      <w:r w:rsidRPr="0030249D">
        <w:t xml:space="preserve"> (2021), </w:t>
      </w:r>
      <w:r w:rsidRPr="0030249D">
        <w:rPr>
          <w:i/>
        </w:rPr>
        <w:t xml:space="preserve">II </w:t>
      </w:r>
      <w:proofErr w:type="spellStart"/>
      <w:r w:rsidRPr="0030249D">
        <w:rPr>
          <w:i/>
        </w:rPr>
        <w:t>Edición</w:t>
      </w:r>
      <w:proofErr w:type="spellEnd"/>
      <w:r w:rsidRPr="0030249D">
        <w:rPr>
          <w:i/>
        </w:rPr>
        <w:t xml:space="preserve"> </w:t>
      </w:r>
      <w:proofErr w:type="spellStart"/>
      <w:r w:rsidRPr="0030249D">
        <w:rPr>
          <w:i/>
        </w:rPr>
        <w:t>Mujeres</w:t>
      </w:r>
      <w:proofErr w:type="spellEnd"/>
      <w:r w:rsidRPr="0030249D">
        <w:rPr>
          <w:i/>
        </w:rPr>
        <w:t xml:space="preserve"> </w:t>
      </w:r>
      <w:proofErr w:type="spellStart"/>
      <w:r w:rsidRPr="0030249D">
        <w:rPr>
          <w:i/>
        </w:rPr>
        <w:t>en</w:t>
      </w:r>
      <w:proofErr w:type="spellEnd"/>
      <w:r w:rsidRPr="0030249D">
        <w:rPr>
          <w:i/>
        </w:rPr>
        <w:t xml:space="preserve"> </w:t>
      </w:r>
      <w:proofErr w:type="spellStart"/>
      <w:r w:rsidRPr="0030249D">
        <w:rPr>
          <w:i/>
        </w:rPr>
        <w:t>Exportación</w:t>
      </w:r>
      <w:proofErr w:type="spellEnd"/>
      <w:r w:rsidRPr="0030249D">
        <w:rPr>
          <w:i/>
        </w:rPr>
        <w:t xml:space="preserve">: </w:t>
      </w:r>
      <w:proofErr w:type="spellStart"/>
      <w:r w:rsidRPr="0030249D">
        <w:rPr>
          <w:i/>
        </w:rPr>
        <w:t>Hacía</w:t>
      </w:r>
      <w:proofErr w:type="spellEnd"/>
      <w:r w:rsidRPr="0030249D">
        <w:rPr>
          <w:i/>
        </w:rPr>
        <w:t xml:space="preserve"> la </w:t>
      </w:r>
      <w:proofErr w:type="spellStart"/>
      <w:r w:rsidRPr="0030249D">
        <w:rPr>
          <w:i/>
        </w:rPr>
        <w:t>Resiliencia</w:t>
      </w:r>
      <w:proofErr w:type="spellEnd"/>
      <w:r w:rsidRPr="0030249D">
        <w:t xml:space="preserve">, viewed at: </w:t>
      </w:r>
      <w:hyperlink r:id="rId27" w:history="1">
        <w:r w:rsidRPr="0030249D">
          <w:rPr>
            <w:rStyle w:val="Hyperlink"/>
          </w:rPr>
          <w:t>https://prodominicana.gob.do/Documentos/Mujeres%20en%20Exportacion.pdf</w:t>
        </w:r>
      </w:hyperlink>
      <w:r w:rsidRPr="0030249D">
        <w:t>; and information provided by the authorities.</w:t>
      </w:r>
    </w:p>
    <w:p w14:paraId="246FE89E" w14:textId="77777777" w:rsidR="006C6BEF" w:rsidRPr="0030249D" w:rsidRDefault="006C6BEF" w:rsidP="00816437">
      <w:pPr>
        <w:pStyle w:val="Heading2"/>
      </w:pPr>
      <w:bookmarkStart w:id="84" w:name="_Toc97198427"/>
      <w:bookmarkStart w:id="85" w:name="_Toc117260605"/>
      <w:r w:rsidRPr="0030249D">
        <w:t xml:space="preserve">Trade </w:t>
      </w:r>
      <w:r>
        <w:t>A</w:t>
      </w:r>
      <w:r w:rsidRPr="0030249D">
        <w:t>greements and</w:t>
      </w:r>
      <w:r>
        <w:t xml:space="preserve"> A</w:t>
      </w:r>
      <w:r w:rsidRPr="0030249D">
        <w:t>rrangements</w:t>
      </w:r>
      <w:bookmarkEnd w:id="84"/>
      <w:bookmarkEnd w:id="85"/>
    </w:p>
    <w:p w14:paraId="743BC3D8" w14:textId="77777777" w:rsidR="006C6BEF" w:rsidRPr="0030249D" w:rsidRDefault="006C6BEF" w:rsidP="00816437">
      <w:pPr>
        <w:pStyle w:val="Heading3"/>
      </w:pPr>
      <w:bookmarkStart w:id="86" w:name="_Toc97198428"/>
      <w:bookmarkStart w:id="87" w:name="_Toc117260606"/>
      <w:r w:rsidRPr="0030249D">
        <w:t>WTO</w:t>
      </w:r>
      <w:bookmarkEnd w:id="86"/>
      <w:bookmarkEnd w:id="87"/>
    </w:p>
    <w:p w14:paraId="33D53C7E" w14:textId="77777777" w:rsidR="006C6BEF" w:rsidRPr="0030249D" w:rsidRDefault="006C6BEF" w:rsidP="007A1233">
      <w:pPr>
        <w:pStyle w:val="BodyText"/>
      </w:pPr>
      <w:r w:rsidRPr="0030249D">
        <w:t>The Dominican Republic has been a Member of the WTO since 9 March 1995; it grants most</w:t>
      </w:r>
      <w:r w:rsidRPr="0030249D">
        <w:noBreakHyphen/>
        <w:t>favoured</w:t>
      </w:r>
      <w:r w:rsidRPr="0030249D">
        <w:noBreakHyphen/>
        <w:t>nation (MFN) treatment to all its trading partners. This is its fifth Trade Policy Review. Since the previous review in 2015, the Dominican Republic has notified several trade and trade</w:t>
      </w:r>
      <w:r w:rsidRPr="0030249D">
        <w:noBreakHyphen/>
        <w:t>related measures (Table A2.1).</w:t>
      </w:r>
    </w:p>
    <w:p w14:paraId="167E6D8A" w14:textId="77777777" w:rsidR="006C6BEF" w:rsidRPr="0030249D" w:rsidRDefault="006C6BEF" w:rsidP="007A1233">
      <w:pPr>
        <w:pStyle w:val="BodyText"/>
      </w:pPr>
      <w:r w:rsidRPr="0030249D">
        <w:t>International trade is of utmost importance to the Dominican Republic, as can be seen from the high growth rates it has experienced, which have contributed to job creation.</w:t>
      </w:r>
      <w:r w:rsidRPr="0030249D">
        <w:rPr>
          <w:rStyle w:val="FootnoteReference"/>
        </w:rPr>
        <w:footnoteReference w:id="60"/>
      </w:r>
      <w:r w:rsidRPr="0030249D">
        <w:t xml:space="preserve"> It is therefore important for the country to have a flexible multilateral trading system that contributes to inclusive, sustainable and fair development. To this end, the Dominican Republic supports the elimination of distortions in agricultural trade and greater inclusion of MSMEs in international trade, and highlights that 51</w:t>
      </w:r>
      <w:r>
        <w:t>%</w:t>
      </w:r>
      <w:r w:rsidRPr="0030249D">
        <w:t xml:space="preserve"> of Dominican MSMEs are headed by women.</w:t>
      </w:r>
      <w:r w:rsidRPr="0030249D">
        <w:rPr>
          <w:rStyle w:val="FootnoteReference"/>
        </w:rPr>
        <w:footnoteReference w:id="61"/>
      </w:r>
      <w:r w:rsidRPr="0030249D">
        <w:t xml:space="preserve"> The Dominican Republic therefore participates in the informal working group to support MSME participation in global trade, as well as in the informal discussions on investment facilitation for development.</w:t>
      </w:r>
    </w:p>
    <w:p w14:paraId="0B3D10B7" w14:textId="77777777" w:rsidR="006C6BEF" w:rsidRPr="0030249D" w:rsidRDefault="006C6BEF" w:rsidP="007A1233">
      <w:pPr>
        <w:pStyle w:val="BodyText"/>
      </w:pPr>
      <w:r w:rsidRPr="0030249D">
        <w:lastRenderedPageBreak/>
        <w:t>The Dominican Republic considers that, within the WTO, the needs of small and vulnerable economies, developing countries and least developed countries must be taken into account. The country therefore expresses the hope that, in the Agreements, special and differential treatment and the special agricultural safeguard mechanism will be maintained, and that a "permanent solution for public stockholding programmes" will be approved to guarantee food security.</w:t>
      </w:r>
      <w:r w:rsidRPr="0030249D">
        <w:rPr>
          <w:rStyle w:val="FootnoteReference"/>
        </w:rPr>
        <w:footnoteReference w:id="62"/>
      </w:r>
      <w:r w:rsidRPr="0030249D">
        <w:t xml:space="preserve"> The Dominican</w:t>
      </w:r>
      <w:r>
        <w:t> </w:t>
      </w:r>
      <w:r w:rsidRPr="0030249D">
        <w:t>Republic participates in several negotiating groups: the ACP Group, the G90, the Group of Small and Vulnerable Economies, the G33, the "W52" sponsors</w:t>
      </w:r>
      <w:r w:rsidRPr="0030249D">
        <w:rPr>
          <w:rStyle w:val="FootnoteReference"/>
        </w:rPr>
        <w:footnoteReference w:id="63"/>
      </w:r>
      <w:r w:rsidRPr="0030249D">
        <w:t xml:space="preserve"> and the group of sponsors of a joint proposal.</w:t>
      </w:r>
      <w:r w:rsidRPr="0030249D">
        <w:rPr>
          <w:rStyle w:val="FootnoteReference"/>
        </w:rPr>
        <w:footnoteReference w:id="64"/>
      </w:r>
    </w:p>
    <w:p w14:paraId="40B6FE31" w14:textId="77777777" w:rsidR="006C6BEF" w:rsidRPr="0030249D" w:rsidRDefault="006C6BEF" w:rsidP="007A1233">
      <w:pPr>
        <w:pStyle w:val="BodyText"/>
      </w:pPr>
      <w:r w:rsidRPr="0030249D">
        <w:t>During the Twelfth Ministerial Conference in June 2022, and faced with the challenges posed by the health and geopolitical crises, the Dominican Republic encouraged the WTO to reach a consensus on the stability of international trade. For the Dominican Republic, it is important that Members "advocate specific action (...) so that we undertake commitments geared towards global food security and an inclusive agricultural economy and development, resilient to current global tensions". The country also supports a reduction in the impact of trade on the environment and natural resources, especially marine resources and those linked to food production.</w:t>
      </w:r>
      <w:r w:rsidRPr="0030249D">
        <w:rPr>
          <w:rStyle w:val="FootnoteReference"/>
        </w:rPr>
        <w:footnoteReference w:id="65"/>
      </w:r>
    </w:p>
    <w:p w14:paraId="4742831B" w14:textId="77777777" w:rsidR="006C6BEF" w:rsidRPr="0030249D" w:rsidRDefault="006C6BEF" w:rsidP="007A1233">
      <w:pPr>
        <w:pStyle w:val="BodyText"/>
      </w:pPr>
      <w:r w:rsidRPr="0030249D">
        <w:t>In 2016, the Dominican Republic ratified the Trade Facilitation Agreement.</w:t>
      </w:r>
      <w:r w:rsidRPr="0030249D">
        <w:rPr>
          <w:rStyle w:val="FootnoteReference"/>
        </w:rPr>
        <w:footnoteReference w:id="66"/>
      </w:r>
      <w:r w:rsidRPr="0030249D">
        <w:t xml:space="preserve"> It entered into force in 2017, and the Dominican Republic established its National Trade Facilitation Committee (</w:t>
      </w:r>
      <w:proofErr w:type="spellStart"/>
      <w:r w:rsidRPr="0030249D">
        <w:t>NTFC</w:t>
      </w:r>
      <w:proofErr w:type="spellEnd"/>
      <w:r w:rsidRPr="0030249D">
        <w:t>) in the same year to coordinate the implementation of the Agreement.</w:t>
      </w:r>
      <w:r w:rsidRPr="0030249D">
        <w:rPr>
          <w:rStyle w:val="FootnoteReference"/>
        </w:rPr>
        <w:footnoteReference w:id="67"/>
      </w:r>
      <w:r w:rsidRPr="0030249D">
        <w:t xml:space="preserve"> The </w:t>
      </w:r>
      <w:proofErr w:type="spellStart"/>
      <w:r w:rsidRPr="0030249D">
        <w:t>NTFC</w:t>
      </w:r>
      <w:proofErr w:type="spellEnd"/>
      <w:r w:rsidRPr="0030249D">
        <w:t xml:space="preserve"> is composed of nine public</w:t>
      </w:r>
      <w:r w:rsidRPr="0030249D">
        <w:noBreakHyphen/>
        <w:t>sector agencies and bodies</w:t>
      </w:r>
      <w:r w:rsidRPr="0030249D">
        <w:rPr>
          <w:rStyle w:val="FootnoteReference"/>
        </w:rPr>
        <w:footnoteReference w:id="68"/>
      </w:r>
      <w:r w:rsidRPr="0030249D">
        <w:t xml:space="preserve"> and a similar number of private</w:t>
      </w:r>
      <w:r w:rsidRPr="0030249D">
        <w:noBreakHyphen/>
        <w:t>sector organizations</w:t>
      </w:r>
      <w:r w:rsidRPr="0030249D">
        <w:rPr>
          <w:rStyle w:val="FootnoteReference"/>
        </w:rPr>
        <w:footnoteReference w:id="69"/>
      </w:r>
      <w:r w:rsidRPr="0030249D">
        <w:t>; it is chaired by the Directorate</w:t>
      </w:r>
      <w:r w:rsidRPr="0030249D">
        <w:noBreakHyphen/>
        <w:t xml:space="preserve">General of Customs (DGA). In 2018, the Dominican </w:t>
      </w:r>
      <w:r>
        <w:rPr>
          <w:rStyle w:val="CommentReference"/>
        </w:rPr>
        <w:t> </w:t>
      </w:r>
      <w:r w:rsidRPr="0030249D">
        <w:t>Republic notified its commitments under the Agreement; by August 2022, 90.8</w:t>
      </w:r>
      <w:r>
        <w:t>%</w:t>
      </w:r>
      <w:r w:rsidRPr="0030249D">
        <w:t xml:space="preserve"> of these had been implemented and, according to the schedule, the remainder will be implemented by June 2023.</w:t>
      </w:r>
      <w:bookmarkStart w:id="88" w:name="_Toc97198429"/>
      <w:bookmarkStart w:id="89" w:name="_Hlk110496723"/>
      <w:r w:rsidRPr="0030249D">
        <w:rPr>
          <w:rStyle w:val="FootnoteReference"/>
        </w:rPr>
        <w:footnoteReference w:id="70"/>
      </w:r>
    </w:p>
    <w:p w14:paraId="5DAC6C76" w14:textId="77777777" w:rsidR="006C6BEF" w:rsidRPr="0030249D" w:rsidRDefault="006C6BEF" w:rsidP="007A1233">
      <w:pPr>
        <w:pStyle w:val="BodyText"/>
      </w:pPr>
      <w:r w:rsidRPr="0030249D">
        <w:t>The Dominican Republic accepted the Protocol amending the Agreement on Trade</w:t>
      </w:r>
      <w:r w:rsidRPr="0030249D">
        <w:noBreakHyphen/>
        <w:t>Related Aspects of Intellectual Property Rights (TRIPS). It is also party to the Information Technology Agreement (ITA); however, the authorities stated that the Dominican Republic had not ratified the Agreement.</w:t>
      </w:r>
      <w:bookmarkStart w:id="90" w:name="_Hlk62734908"/>
      <w:r w:rsidRPr="0030249D">
        <w:t xml:space="preserve"> It is not party to the Agreement on Government Procurement or the Agreement on Trade in Civil Aircraft</w:t>
      </w:r>
      <w:bookmarkEnd w:id="90"/>
      <w:r w:rsidRPr="0030249D">
        <w:t>; nor does it have observer status in the committees that administer those agreements.</w:t>
      </w:r>
      <w:bookmarkEnd w:id="88"/>
    </w:p>
    <w:bookmarkEnd w:id="89"/>
    <w:p w14:paraId="3AC9D9E9" w14:textId="77777777" w:rsidR="006C6BEF" w:rsidRPr="0030249D" w:rsidRDefault="006C6BEF" w:rsidP="007A1233">
      <w:pPr>
        <w:pStyle w:val="BodyText"/>
      </w:pPr>
      <w:r w:rsidRPr="0030249D">
        <w:t>From 2015 to 2022 (August), the Dominican Republic was involved in one dispute settlement case as a respondent</w:t>
      </w:r>
      <w:r w:rsidRPr="0030249D">
        <w:rPr>
          <w:rStyle w:val="FootnoteReference"/>
        </w:rPr>
        <w:footnoteReference w:id="71"/>
      </w:r>
      <w:r w:rsidRPr="0030249D">
        <w:t>; it has not had recourse to the dispute settlement mechanism as a complainant; and it was involved in two cases as a third party.</w:t>
      </w:r>
    </w:p>
    <w:p w14:paraId="6CB9A0D3" w14:textId="77777777" w:rsidR="006C6BEF" w:rsidRPr="0030249D" w:rsidRDefault="006C6BEF" w:rsidP="00816437">
      <w:pPr>
        <w:pStyle w:val="Heading3"/>
      </w:pPr>
      <w:bookmarkStart w:id="91" w:name="_Toc117260607"/>
      <w:r w:rsidRPr="0030249D">
        <w:t>Regional and preferential agreements</w:t>
      </w:r>
      <w:bookmarkEnd w:id="91"/>
    </w:p>
    <w:p w14:paraId="285BAF0C" w14:textId="77777777" w:rsidR="006C6BEF" w:rsidRPr="0030249D" w:rsidRDefault="006C6BEF" w:rsidP="007A1233">
      <w:pPr>
        <w:pStyle w:val="BodyText"/>
      </w:pPr>
      <w:r w:rsidRPr="0030249D">
        <w:t>The Dominican Republic has trade agreements with Central America, the United States, Panama, the United Kingdom, the European Union, the Caribbean Community and the member States of the Caribbean Forum (</w:t>
      </w:r>
      <w:proofErr w:type="spellStart"/>
      <w:r w:rsidRPr="0030249D">
        <w:t>CARIFORUM</w:t>
      </w:r>
      <w:proofErr w:type="spellEnd"/>
      <w:r w:rsidRPr="0030249D">
        <w:t>) (Chart 2.1). All the agreements in which the Dominican</w:t>
      </w:r>
      <w:r>
        <w:t> </w:t>
      </w:r>
      <w:r w:rsidRPr="0030249D">
        <w:t xml:space="preserve">Republic participates, except the agreement with Panama, include trade in goods and </w:t>
      </w:r>
      <w:r w:rsidRPr="0030249D">
        <w:lastRenderedPageBreak/>
        <w:t>services. The partial</w:t>
      </w:r>
      <w:r w:rsidRPr="0030249D">
        <w:noBreakHyphen/>
        <w:t>scope agreement with the Republic of Panama only covers trade in goods and only grants preferences to a limited number of products. The other agreements also include other trade disciplines; for example, investments, electronic commerce, intellectual property, or labour</w:t>
      </w:r>
      <w:r w:rsidRPr="0030249D">
        <w:noBreakHyphen/>
        <w:t xml:space="preserve"> or environment</w:t>
      </w:r>
      <w:r w:rsidRPr="0030249D">
        <w:noBreakHyphen/>
        <w:t>related aspects.</w:t>
      </w:r>
    </w:p>
    <w:p w14:paraId="60572484" w14:textId="77777777" w:rsidR="006C6BEF" w:rsidRPr="0030249D" w:rsidRDefault="006C6BEF" w:rsidP="00D56352">
      <w:pPr>
        <w:pStyle w:val="Caption"/>
      </w:pPr>
      <w:bookmarkStart w:id="92" w:name="_Toc117238015"/>
      <w:r>
        <w:t xml:space="preserve">Chart </w:t>
      </w:r>
      <w:r w:rsidR="00BD37F2">
        <w:fldChar w:fldCharType="begin"/>
      </w:r>
      <w:r w:rsidR="00BD37F2">
        <w:instrText xml:space="preserve"> STYLEREF 1 \s </w:instrText>
      </w:r>
      <w:r w:rsidR="00BD37F2">
        <w:fldChar w:fldCharType="separate"/>
      </w:r>
      <w:r>
        <w:rPr>
          <w:noProof/>
        </w:rPr>
        <w:t>2</w:t>
      </w:r>
      <w:r w:rsidR="00BD37F2">
        <w:rPr>
          <w:noProof/>
        </w:rPr>
        <w:fldChar w:fldCharType="end"/>
      </w:r>
      <w:r>
        <w:t>.</w:t>
      </w:r>
      <w:r w:rsidR="00BD37F2">
        <w:fldChar w:fldCharType="begin"/>
      </w:r>
      <w:r w:rsidR="00BD37F2">
        <w:instrText xml:space="preserve"> SEQ Chart \* ARABIC \s 1 </w:instrText>
      </w:r>
      <w:r w:rsidR="00BD37F2">
        <w:fldChar w:fldCharType="separate"/>
      </w:r>
      <w:r>
        <w:rPr>
          <w:noProof/>
        </w:rPr>
        <w:t>1</w:t>
      </w:r>
      <w:r w:rsidR="00BD37F2">
        <w:rPr>
          <w:noProof/>
        </w:rPr>
        <w:fldChar w:fldCharType="end"/>
      </w:r>
      <w:r>
        <w:t xml:space="preserve"> </w:t>
      </w:r>
      <w:r w:rsidRPr="0030249D">
        <w:t>Trade agreements in force in 2022</w:t>
      </w:r>
      <w:bookmarkEnd w:id="92"/>
    </w:p>
    <w:p w14:paraId="0A20CEE6" w14:textId="77777777" w:rsidR="006C6BEF" w:rsidRDefault="006C6BEF" w:rsidP="00FF79B7">
      <w:pPr>
        <w:rPr>
          <w:noProof/>
          <w:lang w:eastAsia="en-GB"/>
        </w:rPr>
      </w:pPr>
      <w:r w:rsidRPr="00FF79B7">
        <w:rPr>
          <w:noProof/>
        </w:rPr>
        <w:drawing>
          <wp:inline distT="0" distB="0" distL="0" distR="0" wp14:anchorId="4CE8026C" wp14:editId="7BB1CA1D">
            <wp:extent cx="5731510" cy="2200910"/>
            <wp:effectExtent l="0" t="0" r="0" b="889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5731510" cy="2200910"/>
                    </a:xfrm>
                    <a:prstGeom prst="rect">
                      <a:avLst/>
                    </a:prstGeom>
                    <a:noFill/>
                    <a:ln>
                      <a:noFill/>
                    </a:ln>
                  </pic:spPr>
                </pic:pic>
              </a:graphicData>
            </a:graphic>
          </wp:inline>
        </w:drawing>
      </w:r>
    </w:p>
    <w:p w14:paraId="27ADF318" w14:textId="77777777" w:rsidR="006C6BEF" w:rsidRPr="0030249D" w:rsidRDefault="006C6BEF" w:rsidP="0029474F">
      <w:pPr>
        <w:pStyle w:val="NoteText"/>
        <w:spacing w:before="120"/>
      </w:pPr>
      <w:proofErr w:type="spellStart"/>
      <w:r w:rsidRPr="0030249D">
        <w:t>a</w:t>
      </w:r>
      <w:proofErr w:type="spellEnd"/>
      <w:r w:rsidRPr="0030249D">
        <w:t xml:space="preserve"> </w:t>
      </w:r>
      <w:r w:rsidRPr="0030249D">
        <w:tab/>
        <w:t>The Bahamas and Haiti are members of CARICOM, but do not participate in the agreement with the Dominican Republic. They therefore do not appear in the CARICOM group.</w:t>
      </w:r>
    </w:p>
    <w:p w14:paraId="5753B9A2" w14:textId="77777777" w:rsidR="006C6BEF" w:rsidRPr="0030249D" w:rsidRDefault="006C6BEF" w:rsidP="00FF79B7">
      <w:pPr>
        <w:pStyle w:val="NoteText"/>
        <w:spacing w:before="120" w:after="120"/>
      </w:pPr>
      <w:r w:rsidRPr="0030249D">
        <w:t xml:space="preserve">b </w:t>
      </w:r>
      <w:r w:rsidRPr="0030249D">
        <w:tab/>
        <w:t xml:space="preserve">Cuba is part of </w:t>
      </w:r>
      <w:proofErr w:type="spellStart"/>
      <w:r w:rsidRPr="0030249D">
        <w:t>CARIFORUM</w:t>
      </w:r>
      <w:proofErr w:type="spellEnd"/>
      <w:r w:rsidRPr="0030249D">
        <w:t xml:space="preserve"> but does not participate in the agreements with the European Union and the United Kingdom and therefore does not appear on the chart.</w:t>
      </w:r>
    </w:p>
    <w:p w14:paraId="4205547E" w14:textId="77777777" w:rsidR="006C6BEF" w:rsidRPr="0030249D" w:rsidRDefault="006C6BEF" w:rsidP="0029474F">
      <w:pPr>
        <w:pStyle w:val="NoteText"/>
        <w:spacing w:after="240"/>
      </w:pPr>
      <w:r w:rsidRPr="0030249D">
        <w:t>Source:</w:t>
      </w:r>
      <w:r w:rsidRPr="0030249D">
        <w:tab/>
      </w:r>
      <w:proofErr w:type="spellStart"/>
      <w:r w:rsidRPr="0030249D">
        <w:t>MICM</w:t>
      </w:r>
      <w:proofErr w:type="spellEnd"/>
      <w:r w:rsidRPr="0030249D">
        <w:t xml:space="preserve">. Viewed at: </w:t>
      </w:r>
      <w:hyperlink r:id="rId29" w:history="1">
        <w:r w:rsidRPr="0030249D">
          <w:rPr>
            <w:rStyle w:val="Hyperlink"/>
          </w:rPr>
          <w:t>https://www.micm.gob.do/direcciones/comercio</w:t>
        </w:r>
        <w:r w:rsidRPr="0030249D">
          <w:rPr>
            <w:rStyle w:val="Hyperlink"/>
          </w:rPr>
          <w:noBreakHyphen/>
          <w:t>exterior/acuerdos</w:t>
        </w:r>
        <w:r w:rsidRPr="0030249D">
          <w:rPr>
            <w:rStyle w:val="Hyperlink"/>
          </w:rPr>
          <w:noBreakHyphen/>
          <w:t>comerciales</w:t>
        </w:r>
        <w:r w:rsidRPr="0030249D">
          <w:rPr>
            <w:rStyle w:val="Hyperlink"/>
          </w:rPr>
          <w:noBreakHyphen/>
          <w:t>vigentes</w:t>
        </w:r>
      </w:hyperlink>
      <w:r w:rsidRPr="0030249D">
        <w:t>.</w:t>
      </w:r>
      <w:bookmarkStart w:id="93" w:name="_Hlk107564064"/>
    </w:p>
    <w:p w14:paraId="61873B0A" w14:textId="77777777" w:rsidR="006C6BEF" w:rsidRPr="0030249D" w:rsidRDefault="006C6BEF" w:rsidP="007A1233">
      <w:pPr>
        <w:pStyle w:val="BodyText"/>
      </w:pPr>
      <w:r w:rsidRPr="0030249D">
        <w:t xml:space="preserve">In 2020, the Dominican Republic ratified a new agreement, the Economic Partnership Agreement (EPA) between the </w:t>
      </w:r>
      <w:proofErr w:type="spellStart"/>
      <w:r w:rsidRPr="0030249D">
        <w:t>CARIFORUM</w:t>
      </w:r>
      <w:proofErr w:type="spellEnd"/>
      <w:r w:rsidRPr="0030249D">
        <w:t xml:space="preserve"> States and the United Kingdom of Great Britain and Northern Ireland, which entered into force on 1 January 2021.</w:t>
      </w:r>
      <w:r w:rsidRPr="0030249D">
        <w:rPr>
          <w:rStyle w:val="FootnoteReference"/>
        </w:rPr>
        <w:footnoteReference w:id="72"/>
      </w:r>
      <w:r w:rsidRPr="0030249D">
        <w:t xml:space="preserve"> The EPA with the United Kingdom maintains the market access conditions and other trade disciplines agreed under the EPA with the European Union. As a result, no new commitments were agreed. Only the legal and technical changes required to implement the agreement were made in the EPA; for example, the rules of origin were adjusted to allow cumulation of origin with materials originating in the European Union. The authorities also indicated that, while the Dominican Republic granted a tariff rate quota for powdered milk under the EPA with the European Union, this quota was not negotiated with the United Kingdom.</w:t>
      </w:r>
    </w:p>
    <w:bookmarkEnd w:id="93"/>
    <w:p w14:paraId="1BF0E399" w14:textId="77777777" w:rsidR="006C6BEF" w:rsidRPr="0030249D" w:rsidRDefault="006C6BEF" w:rsidP="007A1233">
      <w:pPr>
        <w:pStyle w:val="BodyText"/>
      </w:pPr>
      <w:r w:rsidRPr="0030249D">
        <w:t>According to the Vice</w:t>
      </w:r>
      <w:r w:rsidRPr="0030249D">
        <w:noBreakHyphen/>
        <w:t>Ministry of Foreign Trade, much of the Dominican Republic's trade is conducted under preferential agreements; the CAFTA</w:t>
      </w:r>
      <w:r w:rsidRPr="0030249D">
        <w:noBreakHyphen/>
        <w:t>DR is the most important trade agreement.</w:t>
      </w:r>
      <w:r w:rsidRPr="0030249D">
        <w:rPr>
          <w:rStyle w:val="FootnoteReference"/>
        </w:rPr>
        <w:footnoteReference w:id="73"/>
      </w:r>
      <w:r w:rsidRPr="0030249D">
        <w:t xml:space="preserve"> Regarding tariffs, the Dominican Republic is continuing with the tariff reduction schedule negotiated in the CAFTA</w:t>
      </w:r>
      <w:r w:rsidRPr="0030249D">
        <w:noBreakHyphen/>
        <w:t>DR, according to which all tariff lines will be duty</w:t>
      </w:r>
      <w:r w:rsidRPr="0030249D">
        <w:noBreakHyphen/>
        <w:t>free for all the parties by 2025.</w:t>
      </w:r>
      <w:r w:rsidRPr="0030249D">
        <w:rPr>
          <w:rStyle w:val="FootnoteReference"/>
        </w:rPr>
        <w:footnoteReference w:id="74"/>
      </w:r>
      <w:r w:rsidRPr="0030249D">
        <w:t xml:space="preserve"> Under the treaty, the Dominican Republic has negotiated tariff rate quotas for agricultural products originating in Costa Rica, the United States and Nicaragua (</w:t>
      </w:r>
      <w:r>
        <w:t>S</w:t>
      </w:r>
      <w:r w:rsidRPr="0030249D">
        <w:t>ection 3.1.4). According to the authorities, some of these quotas with the United States were eliminated in 2017 and 2020.</w:t>
      </w:r>
    </w:p>
    <w:p w14:paraId="03582CD1" w14:textId="77777777" w:rsidR="006C6BEF" w:rsidRPr="0030249D" w:rsidRDefault="006C6BEF" w:rsidP="007A1233">
      <w:pPr>
        <w:pStyle w:val="BodyText"/>
      </w:pPr>
      <w:r w:rsidRPr="0030249D">
        <w:t xml:space="preserve">The Dominican </w:t>
      </w:r>
      <w:bookmarkStart w:id="94" w:name="_Hlk110496744"/>
      <w:r w:rsidRPr="0030249D">
        <w:t xml:space="preserve">Republic's </w:t>
      </w:r>
      <w:bookmarkEnd w:id="94"/>
      <w:r w:rsidRPr="0030249D">
        <w:t>trading relationship with Costa Rica, El Salvador, Honduras, Guatemala and Nicaragua continues to be governed by two trade agreements (Chart</w:t>
      </w:r>
      <w:r>
        <w:t> </w:t>
      </w:r>
      <w:r w:rsidRPr="0030249D">
        <w:t>2.1.) In the event of differences in tariff preferences, the agreement offering the least</w:t>
      </w:r>
      <w:r w:rsidRPr="0030249D">
        <w:noBreakHyphen/>
        <w:t>restrictive treatment is used.</w:t>
      </w:r>
      <w:bookmarkStart w:id="95" w:name="_Hlk110496773"/>
      <w:r w:rsidRPr="0030249D">
        <w:rPr>
          <w:rStyle w:val="FootnoteReference"/>
        </w:rPr>
        <w:footnoteReference w:id="75"/>
      </w:r>
    </w:p>
    <w:p w14:paraId="68BC054C" w14:textId="77777777" w:rsidR="006C6BEF" w:rsidRPr="0030249D" w:rsidRDefault="006C6BEF" w:rsidP="007A1233">
      <w:pPr>
        <w:pStyle w:val="BodyText"/>
      </w:pPr>
      <w:r w:rsidRPr="0030249D">
        <w:lastRenderedPageBreak/>
        <w:t>The Dominican Republic and Panama are in the process of negotiating the expansion of the partial</w:t>
      </w:r>
      <w:r w:rsidRPr="0030249D">
        <w:noBreakHyphen/>
        <w:t>scope trade agreement. According to the Vice</w:t>
      </w:r>
      <w:r w:rsidRPr="0030249D">
        <w:noBreakHyphen/>
        <w:t>Ministry of Foreign Trade, the agreement, which has been in force since 1985, is no longer in line with the Dominican "export matrix".</w:t>
      </w:r>
      <w:bookmarkEnd w:id="95"/>
      <w:r w:rsidRPr="0030249D">
        <w:rPr>
          <w:rStyle w:val="FootnoteReference"/>
        </w:rPr>
        <w:footnoteReference w:id="76"/>
      </w:r>
    </w:p>
    <w:p w14:paraId="1024175E" w14:textId="77777777" w:rsidR="006C6BEF" w:rsidRPr="0030249D" w:rsidRDefault="006C6BEF" w:rsidP="00816437">
      <w:pPr>
        <w:pStyle w:val="Heading3"/>
      </w:pPr>
      <w:bookmarkStart w:id="96" w:name="_Toc117260608"/>
      <w:r w:rsidRPr="0030249D">
        <w:t>Other agreements and arrangements</w:t>
      </w:r>
      <w:bookmarkEnd w:id="96"/>
    </w:p>
    <w:p w14:paraId="53A1340F" w14:textId="77777777" w:rsidR="006C6BEF" w:rsidRPr="0030249D" w:rsidRDefault="006C6BEF" w:rsidP="007A1233">
      <w:pPr>
        <w:pStyle w:val="BodyText"/>
      </w:pPr>
      <w:r w:rsidRPr="0030249D">
        <w:t xml:space="preserve">According to information provided by the authorities, Australia, Belarus, Japan, Kazakhstan, New Zealand, the Russian Federation, Switzerland and </w:t>
      </w:r>
      <w:proofErr w:type="spellStart"/>
      <w:r w:rsidRPr="0030249D">
        <w:t>Türkiye</w:t>
      </w:r>
      <w:proofErr w:type="spellEnd"/>
      <w:r w:rsidRPr="0030249D">
        <w:t xml:space="preserve"> offer preferential treatment to the Dominican Republic under the Generalized System of Preferences (</w:t>
      </w:r>
      <w:proofErr w:type="spellStart"/>
      <w:r w:rsidRPr="0030249D">
        <w:t>GSP</w:t>
      </w:r>
      <w:proofErr w:type="spellEnd"/>
      <w:r w:rsidRPr="0030249D">
        <w:t>).</w:t>
      </w:r>
    </w:p>
    <w:p w14:paraId="6A570527" w14:textId="77777777" w:rsidR="006C6BEF" w:rsidRPr="0030249D" w:rsidRDefault="006C6BEF" w:rsidP="00816437">
      <w:pPr>
        <w:pStyle w:val="Heading2"/>
      </w:pPr>
      <w:bookmarkStart w:id="97" w:name="_Toc97198431"/>
      <w:bookmarkStart w:id="98" w:name="_Toc117260609"/>
      <w:r w:rsidRPr="0030249D">
        <w:t>Investment Regime</w:t>
      </w:r>
      <w:bookmarkEnd w:id="97"/>
      <w:bookmarkEnd w:id="98"/>
    </w:p>
    <w:p w14:paraId="276DA3FA" w14:textId="77777777" w:rsidR="006C6BEF" w:rsidRPr="0030249D" w:rsidRDefault="006C6BEF" w:rsidP="00816437">
      <w:pPr>
        <w:pStyle w:val="Heading3"/>
      </w:pPr>
      <w:bookmarkStart w:id="99" w:name="_Toc117260610"/>
      <w:r w:rsidRPr="0030249D">
        <w:t>Legal framework</w:t>
      </w:r>
      <w:bookmarkEnd w:id="99"/>
    </w:p>
    <w:p w14:paraId="34387C7F" w14:textId="77777777" w:rsidR="006C6BEF" w:rsidRPr="0030249D" w:rsidRDefault="006C6BEF" w:rsidP="007A1233">
      <w:pPr>
        <w:pStyle w:val="BodyText"/>
      </w:pPr>
      <w:r w:rsidRPr="0030249D">
        <w:t>The legal framework for foreign investment in the Dominican Republic was not amended during the period under review and is regulated by the Constitution and by the Foreign Investment Law (Law No. 16</w:t>
      </w:r>
      <w:r w:rsidRPr="0030249D">
        <w:noBreakHyphen/>
        <w:t>95) and amendments and implementing regulations thereto.</w:t>
      </w:r>
      <w:r w:rsidRPr="0030249D">
        <w:rPr>
          <w:rStyle w:val="FootnoteReference"/>
        </w:rPr>
        <w:footnoteReference w:id="77"/>
      </w:r>
      <w:r w:rsidRPr="0030249D">
        <w:t xml:space="preserve"> This legislation also governs the signing of technology transfer contracts from abroad. The Law recognizes different types of investment (foreign direct investment (</w:t>
      </w:r>
      <w:proofErr w:type="spellStart"/>
      <w:r w:rsidRPr="0030249D">
        <w:t>FDI</w:t>
      </w:r>
      <w:proofErr w:type="spellEnd"/>
      <w:r w:rsidRPr="0030249D">
        <w:t>), foreign reinvestment, and new foreign investment)</w:t>
      </w:r>
      <w:r w:rsidRPr="0030249D">
        <w:rPr>
          <w:rStyle w:val="FootnoteReference"/>
        </w:rPr>
        <w:footnoteReference w:id="78"/>
      </w:r>
      <w:r w:rsidRPr="0030249D">
        <w:t>, regulates their destination and includes the principle of equal treatment between domestic and foreign investments, ensuring non</w:t>
      </w:r>
      <w:r w:rsidRPr="0030249D">
        <w:noBreakHyphen/>
        <w:t>discriminatory treatment, with the same rights and obligations.</w:t>
      </w:r>
      <w:r w:rsidRPr="0030249D">
        <w:rPr>
          <w:rStyle w:val="FootnoteReference"/>
        </w:rPr>
        <w:footnoteReference w:id="79"/>
      </w:r>
      <w:r w:rsidRPr="0030249D">
        <w:t xml:space="preserve"> The Constitution of the Dominican Republic also guarantees national treatment to foreign investors.</w:t>
      </w:r>
      <w:r w:rsidRPr="0030249D">
        <w:rPr>
          <w:rStyle w:val="FootnoteReference"/>
        </w:rPr>
        <w:footnoteReference w:id="80"/>
      </w:r>
      <w:r w:rsidRPr="0030249D">
        <w:t xml:space="preserve"> The right to property is also recognized and guaranteed by the Constitution (Article 51), which establishes that any expropriation is subject to financial compensation.</w:t>
      </w:r>
      <w:r w:rsidRPr="0030249D">
        <w:rPr>
          <w:rStyle w:val="FootnoteReference"/>
        </w:rPr>
        <w:footnoteReference w:id="81"/>
      </w:r>
      <w:r w:rsidRPr="0030249D">
        <w:t xml:space="preserve"> Recently, Law No. 47</w:t>
      </w:r>
      <w:r w:rsidRPr="0030249D">
        <w:noBreakHyphen/>
        <w:t>20 was adopted, which introduced a new regulatory framework for the development of public</w:t>
      </w:r>
      <w:r w:rsidRPr="0030249D">
        <w:noBreakHyphen/>
        <w:t>private partnerships (PPPs).</w:t>
      </w:r>
      <w:r w:rsidRPr="0030249D">
        <w:rPr>
          <w:rStyle w:val="FootnoteReference"/>
        </w:rPr>
        <w:footnoteReference w:id="82"/>
      </w:r>
    </w:p>
    <w:p w14:paraId="760CE355" w14:textId="77777777" w:rsidR="006C6BEF" w:rsidRPr="0030249D" w:rsidRDefault="006C6BEF" w:rsidP="007A1233">
      <w:pPr>
        <w:pStyle w:val="BodyText"/>
      </w:pPr>
      <w:r w:rsidRPr="0030249D">
        <w:t>Other sectoral laws, like trade agreements, have provisions on foreign investment. With the exception of the agreement with Panama, all the trade agreements signed by the Dominican Republic include detailed investment provisions. As of June 2022, the Dominican Republic had concluded several Agreements on the Reciprocal Promotion and Protection of Investments (</w:t>
      </w:r>
      <w:proofErr w:type="spellStart"/>
      <w:r w:rsidRPr="0030249D">
        <w:t>ARPPIs</w:t>
      </w:r>
      <w:proofErr w:type="spellEnd"/>
      <w:r w:rsidRPr="0030249D">
        <w:t>), and ratification of one more with Argentina is pending.</w:t>
      </w:r>
      <w:r w:rsidRPr="0030249D">
        <w:rPr>
          <w:rStyle w:val="FootnoteReference"/>
        </w:rPr>
        <w:footnoteReference w:id="83"/>
      </w:r>
      <w:r w:rsidRPr="0030249D">
        <w:t xml:space="preserve"> Although no new </w:t>
      </w:r>
      <w:proofErr w:type="spellStart"/>
      <w:r w:rsidRPr="0030249D">
        <w:t>ARPPIs</w:t>
      </w:r>
      <w:proofErr w:type="spellEnd"/>
      <w:r w:rsidRPr="0030249D">
        <w:t xml:space="preserve"> were signed during the period under review, the authorities have stated that the negotiation of such agreements continues to be part of the Dominican Republic's trade strategy.</w:t>
      </w:r>
      <w:r w:rsidRPr="0030249D">
        <w:rPr>
          <w:rStyle w:val="FootnoteReference"/>
        </w:rPr>
        <w:footnoteReference w:id="84"/>
      </w:r>
      <w:r w:rsidRPr="0030249D">
        <w:t xml:space="preserve"> In this regard, the Dominican</w:t>
      </w:r>
      <w:r>
        <w:t> </w:t>
      </w:r>
      <w:r w:rsidRPr="0030249D">
        <w:t xml:space="preserve">Republic is currently negotiating agreements with Qatar and </w:t>
      </w:r>
      <w:proofErr w:type="spellStart"/>
      <w:r w:rsidRPr="0030249D">
        <w:t>Türkiye</w:t>
      </w:r>
      <w:proofErr w:type="spellEnd"/>
      <w:r w:rsidRPr="0030249D">
        <w:t>. The Dominican</w:t>
      </w:r>
      <w:r>
        <w:rPr>
          <w:rStyle w:val="CommentReference"/>
        </w:rPr>
        <w:t> </w:t>
      </w:r>
      <w:r w:rsidRPr="0030249D">
        <w:t>Republic also has agreements with Canada and Spain to avoid double taxation, and a tax information exchange agreement with the United States to prevent tax evasion and fraud.</w:t>
      </w:r>
      <w:r w:rsidRPr="0030249D">
        <w:rPr>
          <w:rStyle w:val="FootnoteReference"/>
        </w:rPr>
        <w:footnoteReference w:id="85"/>
      </w:r>
    </w:p>
    <w:p w14:paraId="677A33DB" w14:textId="77777777" w:rsidR="006C6BEF" w:rsidRPr="0030249D" w:rsidRDefault="006C6BEF" w:rsidP="007A1233">
      <w:pPr>
        <w:pStyle w:val="BodyText"/>
      </w:pPr>
      <w:r w:rsidRPr="0030249D">
        <w:t xml:space="preserve">At the institutional level, the Dominican Republic Export and Investment </w:t>
      </w:r>
      <w:proofErr w:type="spellStart"/>
      <w:r w:rsidRPr="0030249D">
        <w:t>Center</w:t>
      </w:r>
      <w:proofErr w:type="spellEnd"/>
      <w:r w:rsidRPr="0030249D">
        <w:t xml:space="preserve"> (</w:t>
      </w:r>
      <w:proofErr w:type="spellStart"/>
      <w:r w:rsidRPr="0030249D">
        <w:t>ProDominicana</w:t>
      </w:r>
      <w:proofErr w:type="spellEnd"/>
      <w:r w:rsidRPr="0030249D">
        <w:t xml:space="preserve">), an institution attached to the </w:t>
      </w:r>
      <w:proofErr w:type="spellStart"/>
      <w:r w:rsidRPr="0030249D">
        <w:t>MICM</w:t>
      </w:r>
      <w:proofErr w:type="spellEnd"/>
      <w:r w:rsidRPr="0030249D">
        <w:t>, continues to be the state agency responsible for implementing the Foreign Investment Law and for promoting foreign investment.</w:t>
      </w:r>
      <w:r w:rsidRPr="0030249D">
        <w:rPr>
          <w:rStyle w:val="FootnoteReference"/>
        </w:rPr>
        <w:footnoteReference w:id="86"/>
      </w:r>
      <w:r w:rsidRPr="0030249D">
        <w:t xml:space="preserve"> </w:t>
      </w:r>
      <w:proofErr w:type="spellStart"/>
      <w:r w:rsidRPr="0030249D">
        <w:t>ProDominicana</w:t>
      </w:r>
      <w:proofErr w:type="spellEnd"/>
      <w:r w:rsidRPr="0030249D">
        <w:t xml:space="preserve"> assists </w:t>
      </w:r>
      <w:proofErr w:type="spellStart"/>
      <w:r w:rsidRPr="0030249D">
        <w:t>MIREX</w:t>
      </w:r>
      <w:proofErr w:type="spellEnd"/>
      <w:r w:rsidRPr="0030249D">
        <w:t xml:space="preserve"> in the negotiations on regional trade agreements that include </w:t>
      </w:r>
      <w:r w:rsidRPr="0030249D">
        <w:lastRenderedPageBreak/>
        <w:t>investment provisions. Other services offered, generally free of charge, include technical support to potential investors (strategic information, guidance and support for project installation and development, identification of local operators and infrastructure opportunities) and other post</w:t>
      </w:r>
      <w:r w:rsidRPr="0030249D">
        <w:noBreakHyphen/>
        <w:t>establishment services, including project expansion.</w:t>
      </w:r>
      <w:r w:rsidRPr="0030249D">
        <w:rPr>
          <w:rStyle w:val="FootnoteReference"/>
        </w:rPr>
        <w:footnoteReference w:id="87"/>
      </w:r>
      <w:r w:rsidRPr="0030249D">
        <w:t xml:space="preserve"> </w:t>
      </w:r>
      <w:proofErr w:type="spellStart"/>
      <w:r w:rsidRPr="0030249D">
        <w:t>ProDominicana</w:t>
      </w:r>
      <w:proofErr w:type="spellEnd"/>
      <w:r w:rsidRPr="0030249D">
        <w:t xml:space="preserve"> also manages the official register for foreign direct investment and maintains staff in some embassies or consulates abroad.</w:t>
      </w:r>
    </w:p>
    <w:p w14:paraId="56243BB0" w14:textId="77777777" w:rsidR="006C6BEF" w:rsidRPr="0030249D" w:rsidRDefault="006C6BEF" w:rsidP="007A1233">
      <w:pPr>
        <w:pStyle w:val="BodyText"/>
      </w:pPr>
      <w:r w:rsidRPr="0030249D">
        <w:t>The Dominican Republic is seeking to attract foreign investment to strategic sectors that are specified in different national plans, strategies and policy documents.</w:t>
      </w:r>
      <w:r w:rsidRPr="0030249D">
        <w:rPr>
          <w:rStyle w:val="FootnoteReference"/>
        </w:rPr>
        <w:footnoteReference w:id="88"/>
      </w:r>
      <w:r w:rsidRPr="0030249D">
        <w:t xml:space="preserve"> In 2020, the Consultative Council for Investment Promotion was established</w:t>
      </w:r>
      <w:r w:rsidRPr="0030249D">
        <w:rPr>
          <w:rStyle w:val="FootnoteReference"/>
        </w:rPr>
        <w:footnoteReference w:id="89"/>
      </w:r>
      <w:r w:rsidRPr="0030249D">
        <w:t>, chaired by the Vice</w:t>
      </w:r>
      <w:r w:rsidRPr="0030249D">
        <w:noBreakHyphen/>
        <w:t>President</w:t>
      </w:r>
      <w:bookmarkStart w:id="100" w:name="_Hlk108529209"/>
      <w:r w:rsidRPr="0030249D">
        <w:rPr>
          <w:rStyle w:val="FootnoteReference"/>
        </w:rPr>
        <w:footnoteReference w:id="90"/>
      </w:r>
      <w:r w:rsidRPr="0030249D">
        <w:t xml:space="preserve">, which designs policies aimed at improving the country's competitiveness. These projects </w:t>
      </w:r>
      <w:bookmarkEnd w:id="100"/>
      <w:r w:rsidRPr="0030249D">
        <w:t>and their implementation plans are discussed directly with the President. Pillar 4 (goal 4.3) of the National Export Development Plan (</w:t>
      </w:r>
      <w:proofErr w:type="spellStart"/>
      <w:r w:rsidRPr="0030249D">
        <w:t>PNFE</w:t>
      </w:r>
      <w:proofErr w:type="spellEnd"/>
      <w:r w:rsidRPr="0030249D">
        <w:t>) 2020–30 is also aimed at increasing foreign investment.</w:t>
      </w:r>
      <w:r w:rsidRPr="0030249D">
        <w:rPr>
          <w:rStyle w:val="FootnoteReference"/>
        </w:rPr>
        <w:footnoteReference w:id="91"/>
      </w:r>
      <w:r w:rsidRPr="0030249D">
        <w:t xml:space="preserve"> In this connection, the authorities have indicated that an assessment of the possible regulatory changes required to achieve this goal is under way.</w:t>
      </w:r>
    </w:p>
    <w:p w14:paraId="4712B4B1" w14:textId="77777777" w:rsidR="006C6BEF" w:rsidRPr="0030249D" w:rsidRDefault="006C6BEF" w:rsidP="007A1233">
      <w:pPr>
        <w:pStyle w:val="BodyText"/>
      </w:pPr>
      <w:r w:rsidRPr="0030249D">
        <w:t xml:space="preserve">In general, all economic activities are open to foreign investment except those specified in the Foreign Investment Law and in certain sectoral laws. Article 5 of the Law prohibits foreign investment in activities related to the handling of toxic, hazardous or radioactive waste produced abroad, as well as activities affecting public health, environmental balance or national security. In other words, there is no list of specific activities in which </w:t>
      </w:r>
      <w:proofErr w:type="spellStart"/>
      <w:r w:rsidRPr="0030249D">
        <w:t>FDI</w:t>
      </w:r>
      <w:proofErr w:type="spellEnd"/>
      <w:r w:rsidRPr="0030249D">
        <w:t xml:space="preserve"> is not allowed.</w:t>
      </w:r>
    </w:p>
    <w:p w14:paraId="33AAB767" w14:textId="77777777" w:rsidR="006C6BEF" w:rsidRPr="0030249D" w:rsidRDefault="006C6BEF" w:rsidP="007A1233">
      <w:pPr>
        <w:pStyle w:val="BodyText"/>
      </w:pPr>
      <w:r w:rsidRPr="0030249D">
        <w:t xml:space="preserve">There are </w:t>
      </w:r>
      <w:proofErr w:type="spellStart"/>
      <w:r w:rsidRPr="0030249D">
        <w:t>FDI</w:t>
      </w:r>
      <w:proofErr w:type="spellEnd"/>
      <w:r w:rsidRPr="0030249D">
        <w:t xml:space="preserve"> restrictions in the mining, energy, broadcasting and air transport sectors (Table</w:t>
      </w:r>
      <w:r>
        <w:t> </w:t>
      </w:r>
      <w:r w:rsidRPr="0030249D">
        <w:t>2.2), as well as in a number of professional services, such as legal, medical, auditing, architectural, nursing and engineering services. The provision of professional services in the Dominican Republic is regulated primarily by Law No. 111</w:t>
      </w:r>
      <w:r w:rsidRPr="0030249D">
        <w:noBreakHyphen/>
        <w:t>42, on the professional exequatur, which establishes the national system governing the process for obtaining the exequatur by persons wishing to practise a profession who have obtained higher education degrees in academic institutions in the country or abroad.</w:t>
      </w:r>
    </w:p>
    <w:p w14:paraId="374AC0BC" w14:textId="77777777" w:rsidR="006C6BEF" w:rsidRPr="0030249D" w:rsidRDefault="006C6BEF" w:rsidP="00D56352">
      <w:pPr>
        <w:pStyle w:val="Caption"/>
      </w:pPr>
      <w:bookmarkStart w:id="101" w:name="_Toc117238032"/>
      <w:r>
        <w:t xml:space="preserve">Table </w:t>
      </w:r>
      <w:r w:rsidR="00BD37F2">
        <w:fldChar w:fldCharType="begin"/>
      </w:r>
      <w:r w:rsidR="00BD37F2">
        <w:instrText xml:space="preserve"> STYLEREF 1 \s </w:instrText>
      </w:r>
      <w:r w:rsidR="00BD37F2">
        <w:fldChar w:fldCharType="separate"/>
      </w:r>
      <w:r>
        <w:rPr>
          <w:noProof/>
        </w:rPr>
        <w:t>2</w:t>
      </w:r>
      <w:r w:rsidR="00BD37F2">
        <w:rPr>
          <w:noProof/>
        </w:rPr>
        <w:fldChar w:fldCharType="end"/>
      </w:r>
      <w:r>
        <w:t>.</w:t>
      </w:r>
      <w:r w:rsidR="00BD37F2">
        <w:fldChar w:fldCharType="begin"/>
      </w:r>
      <w:r w:rsidR="00BD37F2">
        <w:instrText xml:space="preserve"> SEQ Table \* ARABIC \s 1 </w:instrText>
      </w:r>
      <w:r w:rsidR="00BD37F2">
        <w:fldChar w:fldCharType="separate"/>
      </w:r>
      <w:r>
        <w:rPr>
          <w:noProof/>
        </w:rPr>
        <w:t>2</w:t>
      </w:r>
      <w:r w:rsidR="00BD37F2">
        <w:rPr>
          <w:noProof/>
        </w:rPr>
        <w:fldChar w:fldCharType="end"/>
      </w:r>
      <w:r>
        <w:t xml:space="preserve"> </w:t>
      </w:r>
      <w:r w:rsidRPr="0030249D">
        <w:t>Restrictions on foreign investment, 2022</w:t>
      </w:r>
      <w:bookmarkEnd w:id="101"/>
    </w:p>
    <w:tbl>
      <w:tblPr>
        <w:tblStyle w:val="WTOTable1"/>
        <w:tblW w:w="9067" w:type="dxa"/>
        <w:tblLook w:val="04A0" w:firstRow="1" w:lastRow="0" w:firstColumn="1" w:lastColumn="0" w:noHBand="0" w:noVBand="1"/>
      </w:tblPr>
      <w:tblGrid>
        <w:gridCol w:w="1980"/>
        <w:gridCol w:w="4961"/>
        <w:gridCol w:w="2126"/>
      </w:tblGrid>
      <w:tr w:rsidR="006C6BEF" w:rsidRPr="004F1E44" w14:paraId="7B0D8C3C" w14:textId="77777777" w:rsidTr="00706642">
        <w:trPr>
          <w:cnfStyle w:val="100000000000" w:firstRow="1" w:lastRow="0" w:firstColumn="0" w:lastColumn="0" w:oddVBand="0" w:evenVBand="0" w:oddHBand="0" w:evenHBand="0" w:firstRowFirstColumn="0" w:firstRowLastColumn="0" w:lastRowFirstColumn="0" w:lastRowLastColumn="0"/>
          <w:cantSplit/>
          <w:tblHeader/>
        </w:trPr>
        <w:tc>
          <w:tcPr>
            <w:tcW w:w="1980" w:type="dxa"/>
            <w:vAlign w:val="bottom"/>
          </w:tcPr>
          <w:p w14:paraId="49D0CFBA" w14:textId="77777777" w:rsidR="006C6BEF" w:rsidRPr="004F1E44" w:rsidRDefault="006C6BEF" w:rsidP="004F1E44">
            <w:pPr>
              <w:rPr>
                <w:sz w:val="15"/>
                <w:szCs w:val="15"/>
              </w:rPr>
            </w:pPr>
            <w:r w:rsidRPr="004F1E44">
              <w:rPr>
                <w:sz w:val="15"/>
                <w:szCs w:val="15"/>
              </w:rPr>
              <w:t>Sector</w:t>
            </w:r>
          </w:p>
        </w:tc>
        <w:tc>
          <w:tcPr>
            <w:tcW w:w="4961" w:type="dxa"/>
            <w:vAlign w:val="bottom"/>
          </w:tcPr>
          <w:p w14:paraId="6ABDEDD5" w14:textId="77777777" w:rsidR="006C6BEF" w:rsidRPr="004F1E44" w:rsidRDefault="006C6BEF" w:rsidP="004F1E44">
            <w:pPr>
              <w:rPr>
                <w:sz w:val="15"/>
                <w:szCs w:val="15"/>
              </w:rPr>
            </w:pPr>
            <w:r w:rsidRPr="004F1E44">
              <w:rPr>
                <w:sz w:val="15"/>
                <w:szCs w:val="15"/>
              </w:rPr>
              <w:t>Provisions</w:t>
            </w:r>
          </w:p>
        </w:tc>
        <w:tc>
          <w:tcPr>
            <w:tcW w:w="2126" w:type="dxa"/>
            <w:vAlign w:val="bottom"/>
          </w:tcPr>
          <w:p w14:paraId="1359E75D" w14:textId="77777777" w:rsidR="006C6BEF" w:rsidRPr="004F1E44" w:rsidRDefault="006C6BEF" w:rsidP="004F1E44">
            <w:pPr>
              <w:rPr>
                <w:sz w:val="15"/>
                <w:szCs w:val="15"/>
              </w:rPr>
            </w:pPr>
            <w:r w:rsidRPr="004F1E44">
              <w:rPr>
                <w:sz w:val="15"/>
                <w:szCs w:val="15"/>
              </w:rPr>
              <w:t>Legal basis</w:t>
            </w:r>
          </w:p>
        </w:tc>
      </w:tr>
      <w:tr w:rsidR="006C6BEF" w:rsidRPr="004F1E44" w14:paraId="77D21B52" w14:textId="77777777" w:rsidTr="00706642">
        <w:trPr>
          <w:cantSplit/>
        </w:trPr>
        <w:tc>
          <w:tcPr>
            <w:tcW w:w="1980" w:type="dxa"/>
          </w:tcPr>
          <w:p w14:paraId="51C9D581" w14:textId="77777777" w:rsidR="006C6BEF" w:rsidRPr="004F1E44" w:rsidRDefault="006C6BEF" w:rsidP="00E361EC">
            <w:pPr>
              <w:jc w:val="left"/>
              <w:rPr>
                <w:sz w:val="15"/>
                <w:szCs w:val="15"/>
              </w:rPr>
            </w:pPr>
            <w:r w:rsidRPr="004F1E44">
              <w:rPr>
                <w:sz w:val="15"/>
                <w:szCs w:val="15"/>
              </w:rPr>
              <w:t>Communication and dissemination</w:t>
            </w:r>
          </w:p>
        </w:tc>
        <w:tc>
          <w:tcPr>
            <w:tcW w:w="4961" w:type="dxa"/>
          </w:tcPr>
          <w:p w14:paraId="47108B82" w14:textId="77777777" w:rsidR="006C6BEF" w:rsidRPr="004F1E44" w:rsidRDefault="006C6BEF" w:rsidP="00E361EC">
            <w:pPr>
              <w:jc w:val="left"/>
              <w:rPr>
                <w:sz w:val="15"/>
                <w:szCs w:val="15"/>
              </w:rPr>
            </w:pPr>
            <w:r w:rsidRPr="004F1E44">
              <w:rPr>
                <w:sz w:val="15"/>
                <w:szCs w:val="15"/>
              </w:rPr>
              <w:t>It is a requirement to be a Dominican national or a naturalized foreign national to hold a controlling share (51% or more) in the concession</w:t>
            </w:r>
            <w:r w:rsidRPr="004F1E44">
              <w:rPr>
                <w:sz w:val="15"/>
                <w:szCs w:val="15"/>
              </w:rPr>
              <w:noBreakHyphen/>
              <w:t>holding enterprise of public broadcasting services.</w:t>
            </w:r>
          </w:p>
        </w:tc>
        <w:tc>
          <w:tcPr>
            <w:tcW w:w="2126" w:type="dxa"/>
          </w:tcPr>
          <w:p w14:paraId="60C4C54E" w14:textId="77777777" w:rsidR="006C6BEF" w:rsidRPr="004F1E44" w:rsidRDefault="006C6BEF" w:rsidP="00E361EC">
            <w:pPr>
              <w:jc w:val="left"/>
              <w:rPr>
                <w:sz w:val="15"/>
                <w:szCs w:val="15"/>
              </w:rPr>
            </w:pPr>
            <w:r w:rsidRPr="004F1E44">
              <w:rPr>
                <w:sz w:val="15"/>
                <w:szCs w:val="15"/>
              </w:rPr>
              <w:t>General Law on Telecommunications No. 153</w:t>
            </w:r>
            <w:r w:rsidRPr="004F1E44">
              <w:rPr>
                <w:sz w:val="15"/>
                <w:szCs w:val="15"/>
              </w:rPr>
              <w:noBreakHyphen/>
              <w:t>98.</w:t>
            </w:r>
          </w:p>
        </w:tc>
      </w:tr>
      <w:tr w:rsidR="006C6BEF" w:rsidRPr="004F1E44" w14:paraId="3D2D482D" w14:textId="77777777" w:rsidTr="00706642">
        <w:trPr>
          <w:cnfStyle w:val="000000010000" w:firstRow="0" w:lastRow="0" w:firstColumn="0" w:lastColumn="0" w:oddVBand="0" w:evenVBand="0" w:oddHBand="0" w:evenHBand="1" w:firstRowFirstColumn="0" w:firstRowLastColumn="0" w:lastRowFirstColumn="0" w:lastRowLastColumn="0"/>
          <w:cantSplit/>
        </w:trPr>
        <w:tc>
          <w:tcPr>
            <w:tcW w:w="1980" w:type="dxa"/>
          </w:tcPr>
          <w:p w14:paraId="526F1EC3" w14:textId="77777777" w:rsidR="006C6BEF" w:rsidRPr="004F1E44" w:rsidRDefault="006C6BEF" w:rsidP="00E361EC">
            <w:pPr>
              <w:jc w:val="left"/>
              <w:rPr>
                <w:sz w:val="15"/>
                <w:szCs w:val="15"/>
              </w:rPr>
            </w:pPr>
            <w:r w:rsidRPr="004F1E44">
              <w:rPr>
                <w:sz w:val="15"/>
                <w:szCs w:val="15"/>
              </w:rPr>
              <w:t>Mining</w:t>
            </w:r>
          </w:p>
        </w:tc>
        <w:tc>
          <w:tcPr>
            <w:tcW w:w="4961" w:type="dxa"/>
          </w:tcPr>
          <w:p w14:paraId="0BFBEFFE" w14:textId="77777777" w:rsidR="006C6BEF" w:rsidRPr="004F1E44" w:rsidRDefault="006C6BEF" w:rsidP="00E361EC">
            <w:pPr>
              <w:jc w:val="left"/>
              <w:rPr>
                <w:sz w:val="15"/>
                <w:szCs w:val="15"/>
              </w:rPr>
            </w:pPr>
            <w:r w:rsidRPr="004F1E44">
              <w:rPr>
                <w:sz w:val="15"/>
                <w:szCs w:val="15"/>
              </w:rPr>
              <w:t>Mining concessions may not be granted to any foreign government, either directly or through the intermediation of a natural person or enterprise.</w:t>
            </w:r>
          </w:p>
        </w:tc>
        <w:tc>
          <w:tcPr>
            <w:tcW w:w="2126" w:type="dxa"/>
          </w:tcPr>
          <w:p w14:paraId="5B328BE2" w14:textId="77777777" w:rsidR="006C6BEF" w:rsidRPr="004F1E44" w:rsidRDefault="006C6BEF" w:rsidP="00E361EC">
            <w:pPr>
              <w:jc w:val="left"/>
              <w:rPr>
                <w:sz w:val="15"/>
                <w:szCs w:val="15"/>
              </w:rPr>
            </w:pPr>
            <w:r w:rsidRPr="004F1E44">
              <w:rPr>
                <w:sz w:val="15"/>
                <w:szCs w:val="15"/>
              </w:rPr>
              <w:t>Mining Law No. 146</w:t>
            </w:r>
            <w:r w:rsidRPr="004F1E44">
              <w:rPr>
                <w:sz w:val="15"/>
                <w:szCs w:val="15"/>
              </w:rPr>
              <w:noBreakHyphen/>
              <w:t>71 and amendments thereto.</w:t>
            </w:r>
          </w:p>
        </w:tc>
      </w:tr>
      <w:tr w:rsidR="006C6BEF" w:rsidRPr="004F1E44" w14:paraId="267A9F53" w14:textId="77777777" w:rsidTr="00706642">
        <w:trPr>
          <w:cantSplit/>
        </w:trPr>
        <w:tc>
          <w:tcPr>
            <w:tcW w:w="1980" w:type="dxa"/>
          </w:tcPr>
          <w:p w14:paraId="0D36AF7B" w14:textId="77777777" w:rsidR="006C6BEF" w:rsidRPr="004F1E44" w:rsidRDefault="006C6BEF" w:rsidP="00E361EC">
            <w:pPr>
              <w:jc w:val="left"/>
              <w:rPr>
                <w:sz w:val="15"/>
                <w:szCs w:val="15"/>
              </w:rPr>
            </w:pPr>
            <w:r w:rsidRPr="004F1E44">
              <w:rPr>
                <w:sz w:val="15"/>
                <w:szCs w:val="15"/>
              </w:rPr>
              <w:t>Oil extraction and exploitation</w:t>
            </w:r>
          </w:p>
        </w:tc>
        <w:tc>
          <w:tcPr>
            <w:tcW w:w="4961" w:type="dxa"/>
          </w:tcPr>
          <w:p w14:paraId="05F6BFF4" w14:textId="77777777" w:rsidR="006C6BEF" w:rsidRPr="004F1E44" w:rsidRDefault="006C6BEF" w:rsidP="00E361EC">
            <w:pPr>
              <w:jc w:val="left"/>
              <w:rPr>
                <w:sz w:val="15"/>
                <w:szCs w:val="15"/>
              </w:rPr>
            </w:pPr>
            <w:r w:rsidRPr="004F1E44">
              <w:rPr>
                <w:sz w:val="15"/>
                <w:szCs w:val="15"/>
              </w:rPr>
              <w:t>Foreign governments may not obtain exploration, exploitation and commercial rights in respect of petroleum and other hydrocarbons, nor may they be admitted as partners, joint partners, or shareholders by any person or company that holds such rights.</w:t>
            </w:r>
          </w:p>
        </w:tc>
        <w:tc>
          <w:tcPr>
            <w:tcW w:w="2126" w:type="dxa"/>
          </w:tcPr>
          <w:p w14:paraId="662EA4F1" w14:textId="77777777" w:rsidR="006C6BEF" w:rsidRPr="004F1E44" w:rsidRDefault="006C6BEF" w:rsidP="00E361EC">
            <w:pPr>
              <w:jc w:val="left"/>
              <w:rPr>
                <w:sz w:val="15"/>
                <w:szCs w:val="15"/>
              </w:rPr>
            </w:pPr>
            <w:r w:rsidRPr="004F1E44">
              <w:rPr>
                <w:sz w:val="15"/>
                <w:szCs w:val="15"/>
              </w:rPr>
              <w:t>Law No. 4532</w:t>
            </w:r>
            <w:r w:rsidRPr="004F1E44">
              <w:rPr>
                <w:sz w:val="15"/>
                <w:szCs w:val="15"/>
              </w:rPr>
              <w:noBreakHyphen/>
              <w:t>56 and amendments thereto.</w:t>
            </w:r>
          </w:p>
        </w:tc>
      </w:tr>
      <w:tr w:rsidR="006C6BEF" w:rsidRPr="004F1E44" w14:paraId="3A151F7E" w14:textId="77777777" w:rsidTr="00706642">
        <w:trPr>
          <w:cnfStyle w:val="000000010000" w:firstRow="0" w:lastRow="0" w:firstColumn="0" w:lastColumn="0" w:oddVBand="0" w:evenVBand="0" w:oddHBand="0" w:evenHBand="1" w:firstRowFirstColumn="0" w:firstRowLastColumn="0" w:lastRowFirstColumn="0" w:lastRowLastColumn="0"/>
          <w:cantSplit/>
        </w:trPr>
        <w:tc>
          <w:tcPr>
            <w:tcW w:w="1980" w:type="dxa"/>
          </w:tcPr>
          <w:p w14:paraId="493EEA99" w14:textId="77777777" w:rsidR="006C6BEF" w:rsidRPr="004F1E44" w:rsidRDefault="006C6BEF" w:rsidP="00E361EC">
            <w:pPr>
              <w:jc w:val="left"/>
              <w:rPr>
                <w:sz w:val="15"/>
                <w:szCs w:val="15"/>
              </w:rPr>
            </w:pPr>
            <w:r w:rsidRPr="004F1E44">
              <w:rPr>
                <w:sz w:val="15"/>
                <w:szCs w:val="15"/>
              </w:rPr>
              <w:t>Electricity generation and transmission</w:t>
            </w:r>
          </w:p>
        </w:tc>
        <w:tc>
          <w:tcPr>
            <w:tcW w:w="4961" w:type="dxa"/>
          </w:tcPr>
          <w:p w14:paraId="0DBAD94F" w14:textId="77777777" w:rsidR="006C6BEF" w:rsidRPr="004F1E44" w:rsidRDefault="006C6BEF" w:rsidP="00E361EC">
            <w:pPr>
              <w:jc w:val="left"/>
              <w:rPr>
                <w:sz w:val="15"/>
                <w:szCs w:val="15"/>
              </w:rPr>
            </w:pPr>
            <w:r w:rsidRPr="004F1E44">
              <w:rPr>
                <w:sz w:val="15"/>
                <w:szCs w:val="15"/>
              </w:rPr>
              <w:t>The State reserves for itself hydroelectric generation activities in excess of 5 MW and power transmission activities.</w:t>
            </w:r>
          </w:p>
        </w:tc>
        <w:tc>
          <w:tcPr>
            <w:tcW w:w="2126" w:type="dxa"/>
          </w:tcPr>
          <w:p w14:paraId="542F6A7D" w14:textId="77777777" w:rsidR="006C6BEF" w:rsidRPr="004F1E44" w:rsidRDefault="006C6BEF" w:rsidP="00E361EC">
            <w:pPr>
              <w:jc w:val="left"/>
              <w:rPr>
                <w:sz w:val="15"/>
                <w:szCs w:val="15"/>
              </w:rPr>
            </w:pPr>
            <w:r w:rsidRPr="004F1E44">
              <w:rPr>
                <w:sz w:val="15"/>
                <w:szCs w:val="15"/>
              </w:rPr>
              <w:t>General Law on Electricity No. 125</w:t>
            </w:r>
            <w:r w:rsidRPr="004F1E44">
              <w:rPr>
                <w:sz w:val="15"/>
                <w:szCs w:val="15"/>
              </w:rPr>
              <w:noBreakHyphen/>
              <w:t>01.</w:t>
            </w:r>
          </w:p>
        </w:tc>
      </w:tr>
      <w:tr w:rsidR="006C6BEF" w:rsidRPr="004F1E44" w14:paraId="4E7DB244" w14:textId="77777777" w:rsidTr="00913F55">
        <w:trPr>
          <w:cantSplit/>
          <w:trHeight w:val="2503"/>
        </w:trPr>
        <w:tc>
          <w:tcPr>
            <w:tcW w:w="0" w:type="dxa"/>
          </w:tcPr>
          <w:p w14:paraId="5765F5B2" w14:textId="77777777" w:rsidR="006C6BEF" w:rsidRPr="004F1E44" w:rsidRDefault="006C6BEF" w:rsidP="00E361EC">
            <w:pPr>
              <w:jc w:val="left"/>
              <w:rPr>
                <w:sz w:val="15"/>
                <w:szCs w:val="15"/>
              </w:rPr>
            </w:pPr>
            <w:r w:rsidRPr="004F1E44">
              <w:rPr>
                <w:sz w:val="15"/>
                <w:szCs w:val="15"/>
              </w:rPr>
              <w:lastRenderedPageBreak/>
              <w:t>Air transport</w:t>
            </w:r>
          </w:p>
        </w:tc>
        <w:tc>
          <w:tcPr>
            <w:tcW w:w="0" w:type="dxa"/>
          </w:tcPr>
          <w:p w14:paraId="7D8F8E18" w14:textId="77777777" w:rsidR="006C6BEF" w:rsidRPr="004F1E44" w:rsidRDefault="006C6BEF" w:rsidP="00E361EC">
            <w:pPr>
              <w:jc w:val="left"/>
              <w:rPr>
                <w:sz w:val="15"/>
                <w:szCs w:val="15"/>
              </w:rPr>
            </w:pPr>
            <w:r w:rsidRPr="004F1E44">
              <w:rPr>
                <w:sz w:val="15"/>
                <w:szCs w:val="15"/>
              </w:rPr>
              <w:t>Domestic or cabotage operations are reserved for air carriers set up under Dominican law, in which at least 51% of the capital or fixed assets belong to Dominican nationals, two thirds of the management staff are nationals, and which maintain effective control over their aircraft fleet.</w:t>
            </w:r>
            <w:r w:rsidRPr="004F1E44">
              <w:rPr>
                <w:sz w:val="15"/>
                <w:szCs w:val="15"/>
              </w:rPr>
              <w:br/>
              <w:t>Any enterprise acting as the operator, agent or trustee of charter flights must be set up in accordance with Dominican law; at least 51% must belong to Dominican nationals, and Dominican nationals must be employed in senior management. Foreign capital has been allowed to own up to 100% of enterprises operating charter flights, provided that the investment belongs to an internationally recognized foreign airline or a subsidiary authorized by the President.</w:t>
            </w:r>
          </w:p>
        </w:tc>
        <w:tc>
          <w:tcPr>
            <w:tcW w:w="0" w:type="dxa"/>
          </w:tcPr>
          <w:p w14:paraId="074B2629" w14:textId="77777777" w:rsidR="006C6BEF" w:rsidRPr="004F1E44" w:rsidRDefault="006C6BEF" w:rsidP="00E361EC">
            <w:pPr>
              <w:jc w:val="left"/>
              <w:rPr>
                <w:sz w:val="15"/>
                <w:szCs w:val="15"/>
              </w:rPr>
            </w:pPr>
            <w:r w:rsidRPr="004F1E44">
              <w:rPr>
                <w:sz w:val="15"/>
                <w:szCs w:val="15"/>
              </w:rPr>
              <w:t>Civil Aviation Law No. 491</w:t>
            </w:r>
            <w:r w:rsidRPr="004F1E44">
              <w:rPr>
                <w:sz w:val="15"/>
                <w:szCs w:val="15"/>
              </w:rPr>
              <w:noBreakHyphen/>
              <w:t>06 and amendments thereto.</w:t>
            </w:r>
          </w:p>
          <w:p w14:paraId="690394AF" w14:textId="77777777" w:rsidR="006C6BEF" w:rsidRPr="004F1E44" w:rsidRDefault="006C6BEF" w:rsidP="00E361EC">
            <w:pPr>
              <w:jc w:val="left"/>
              <w:rPr>
                <w:sz w:val="15"/>
                <w:szCs w:val="15"/>
              </w:rPr>
            </w:pPr>
          </w:p>
          <w:p w14:paraId="496BFAB4" w14:textId="77777777" w:rsidR="006C6BEF" w:rsidRPr="004F1E44" w:rsidRDefault="006C6BEF" w:rsidP="00E361EC">
            <w:pPr>
              <w:jc w:val="left"/>
              <w:rPr>
                <w:sz w:val="15"/>
                <w:szCs w:val="15"/>
              </w:rPr>
            </w:pPr>
            <w:r w:rsidRPr="004F1E44">
              <w:rPr>
                <w:sz w:val="15"/>
                <w:szCs w:val="15"/>
              </w:rPr>
              <w:t>Decree No. 751</w:t>
            </w:r>
            <w:r w:rsidRPr="004F1E44">
              <w:rPr>
                <w:sz w:val="15"/>
                <w:szCs w:val="15"/>
              </w:rPr>
              <w:noBreakHyphen/>
              <w:t>02 governing and regulating the operators, agents and trustees of charter flights.</w:t>
            </w:r>
          </w:p>
        </w:tc>
      </w:tr>
      <w:tr w:rsidR="006C6BEF" w:rsidRPr="004F1E44" w14:paraId="10955313" w14:textId="77777777" w:rsidTr="00706642">
        <w:trPr>
          <w:cnfStyle w:val="000000010000" w:firstRow="0" w:lastRow="0" w:firstColumn="0" w:lastColumn="0" w:oddVBand="0" w:evenVBand="0" w:oddHBand="0" w:evenHBand="1" w:firstRowFirstColumn="0" w:firstRowLastColumn="0" w:lastRowFirstColumn="0" w:lastRowLastColumn="0"/>
          <w:cantSplit/>
        </w:trPr>
        <w:tc>
          <w:tcPr>
            <w:tcW w:w="1980" w:type="dxa"/>
          </w:tcPr>
          <w:p w14:paraId="472CC39A" w14:textId="77777777" w:rsidR="006C6BEF" w:rsidRPr="004F1E44" w:rsidRDefault="006C6BEF" w:rsidP="00E361EC">
            <w:pPr>
              <w:jc w:val="left"/>
              <w:rPr>
                <w:sz w:val="15"/>
                <w:szCs w:val="15"/>
              </w:rPr>
            </w:pPr>
            <w:r w:rsidRPr="004F1E44">
              <w:rPr>
                <w:sz w:val="15"/>
                <w:szCs w:val="15"/>
              </w:rPr>
              <w:t>News agency services</w:t>
            </w:r>
          </w:p>
        </w:tc>
        <w:tc>
          <w:tcPr>
            <w:tcW w:w="4961" w:type="dxa"/>
          </w:tcPr>
          <w:p w14:paraId="1B58D02D" w14:textId="77777777" w:rsidR="006C6BEF" w:rsidRPr="004F1E44" w:rsidRDefault="006C6BEF" w:rsidP="00E361EC">
            <w:pPr>
              <w:jc w:val="left"/>
              <w:rPr>
                <w:sz w:val="15"/>
                <w:szCs w:val="15"/>
              </w:rPr>
            </w:pPr>
            <w:r w:rsidRPr="004F1E44">
              <w:rPr>
                <w:sz w:val="15"/>
                <w:szCs w:val="15"/>
              </w:rPr>
              <w:t>The director of any printed newspaper or periodical produced in the Dominican Republic must be a Dominican national.</w:t>
            </w:r>
          </w:p>
        </w:tc>
        <w:tc>
          <w:tcPr>
            <w:tcW w:w="2126" w:type="dxa"/>
          </w:tcPr>
          <w:p w14:paraId="39371109" w14:textId="77777777" w:rsidR="006C6BEF" w:rsidRPr="004F1E44" w:rsidRDefault="006C6BEF" w:rsidP="00E361EC">
            <w:pPr>
              <w:jc w:val="left"/>
              <w:rPr>
                <w:sz w:val="15"/>
                <w:szCs w:val="15"/>
              </w:rPr>
            </w:pPr>
            <w:r w:rsidRPr="004F1E44">
              <w:rPr>
                <w:sz w:val="15"/>
                <w:szCs w:val="15"/>
              </w:rPr>
              <w:t>Law No. 6132</w:t>
            </w:r>
            <w:r w:rsidRPr="004F1E44">
              <w:rPr>
                <w:sz w:val="15"/>
                <w:szCs w:val="15"/>
              </w:rPr>
              <w:noBreakHyphen/>
              <w:t>72.</w:t>
            </w:r>
          </w:p>
        </w:tc>
      </w:tr>
    </w:tbl>
    <w:p w14:paraId="4BA0BA59" w14:textId="77777777" w:rsidR="006C6BEF" w:rsidRPr="0030249D" w:rsidRDefault="006C6BEF" w:rsidP="0029474F">
      <w:pPr>
        <w:pStyle w:val="NoteText"/>
        <w:spacing w:before="120" w:after="240"/>
      </w:pPr>
      <w:r w:rsidRPr="0030249D">
        <w:t>Source:</w:t>
      </w:r>
      <w:r w:rsidRPr="0030249D">
        <w:tab/>
        <w:t>WTO Secretariat.</w:t>
      </w:r>
    </w:p>
    <w:p w14:paraId="7019B5E1" w14:textId="77777777" w:rsidR="006C6BEF" w:rsidRPr="0030249D" w:rsidRDefault="006C6BEF" w:rsidP="007A1233">
      <w:pPr>
        <w:pStyle w:val="BodyText"/>
      </w:pPr>
      <w:bookmarkStart w:id="102" w:name="_Hlk112428893"/>
      <w:r w:rsidRPr="0030249D">
        <w:t>In some of its trade agreements, the Dominican Republic reserved the right to adopt measures relating to the ownership or control of land within 20</w:t>
      </w:r>
      <w:r>
        <w:t> </w:t>
      </w:r>
      <w:r w:rsidRPr="0030249D">
        <w:t>km of the border.</w:t>
      </w:r>
      <w:r w:rsidRPr="0030249D">
        <w:rPr>
          <w:rStyle w:val="FootnoteReference"/>
        </w:rPr>
        <w:footnoteReference w:id="92"/>
      </w:r>
      <w:r w:rsidRPr="0030249D">
        <w:t xml:space="preserve"> The authorities have indicated that no such measures have been taken.</w:t>
      </w:r>
      <w:bookmarkEnd w:id="102"/>
    </w:p>
    <w:p w14:paraId="256378DE" w14:textId="77777777" w:rsidR="006C6BEF" w:rsidRPr="0030249D" w:rsidRDefault="006C6BEF" w:rsidP="007A1233">
      <w:pPr>
        <w:pStyle w:val="BodyText"/>
      </w:pPr>
      <w:r w:rsidRPr="0030249D">
        <w:t>Foreign investment does not require any prior approval in the Dominican Republic. For statistical purposes</w:t>
      </w:r>
      <w:r w:rsidRPr="0030249D">
        <w:rPr>
          <w:rStyle w:val="FootnoteReference"/>
        </w:rPr>
        <w:footnoteReference w:id="93"/>
      </w:r>
      <w:r w:rsidRPr="0030249D">
        <w:t xml:space="preserve">, </w:t>
      </w:r>
      <w:proofErr w:type="spellStart"/>
      <w:r w:rsidRPr="0030249D">
        <w:t>ProDominicana</w:t>
      </w:r>
      <w:proofErr w:type="spellEnd"/>
      <w:r w:rsidRPr="0030249D">
        <w:t xml:space="preserve"> keeps a register of foreign investment; it is free of charge and has been operating through a digital platform since 2021 for investments outside the free zones.</w:t>
      </w:r>
      <w:r w:rsidRPr="0030249D">
        <w:rPr>
          <w:rStyle w:val="FootnoteReference"/>
        </w:rPr>
        <w:footnoteReference w:id="94"/>
      </w:r>
      <w:r w:rsidRPr="0030249D">
        <w:t xml:space="preserve"> Foreign investors can register at any time. Investments in free zones are registered with the National Council for Free Export Zones (</w:t>
      </w:r>
      <w:proofErr w:type="spellStart"/>
      <w:r w:rsidRPr="0030249D">
        <w:t>CNZFE</w:t>
      </w:r>
      <w:proofErr w:type="spellEnd"/>
      <w:r w:rsidRPr="0030249D">
        <w:t xml:space="preserve">), which subsequently notifies </w:t>
      </w:r>
      <w:proofErr w:type="spellStart"/>
      <w:r w:rsidRPr="0030249D">
        <w:t>ProDominicana</w:t>
      </w:r>
      <w:proofErr w:type="spellEnd"/>
      <w:r w:rsidRPr="0030249D">
        <w:t>.</w:t>
      </w:r>
      <w:r w:rsidRPr="0030249D">
        <w:rPr>
          <w:rStyle w:val="FootnoteReference"/>
        </w:rPr>
        <w:footnoteReference w:id="95"/>
      </w:r>
    </w:p>
    <w:p w14:paraId="7420A780" w14:textId="77777777" w:rsidR="006C6BEF" w:rsidRPr="0030249D" w:rsidRDefault="006C6BEF" w:rsidP="007A1233">
      <w:pPr>
        <w:pStyle w:val="BodyText"/>
      </w:pPr>
      <w:r w:rsidRPr="0030249D">
        <w:t>In 2012, the Single Window for Investment (VUI) project was launched, which was to include a digital platform, to facilitate foreign investment.</w:t>
      </w:r>
      <w:r w:rsidRPr="0030249D">
        <w:rPr>
          <w:rStyle w:val="FootnoteReference"/>
        </w:rPr>
        <w:footnoteReference w:id="96"/>
      </w:r>
      <w:r w:rsidRPr="0030249D">
        <w:t xml:space="preserve"> To date, the digital platform is not up and running.</w:t>
      </w:r>
    </w:p>
    <w:p w14:paraId="23C6C4F3" w14:textId="77777777" w:rsidR="006C6BEF" w:rsidRPr="0030249D" w:rsidRDefault="006C6BEF" w:rsidP="007A1233">
      <w:pPr>
        <w:pStyle w:val="BodyText"/>
      </w:pPr>
      <w:r w:rsidRPr="0030249D">
        <w:t>In 2020, the law on public</w:t>
      </w:r>
      <w:r w:rsidRPr="0030249D">
        <w:noBreakHyphen/>
        <w:t>private partnerships (PPPs) was enacted, which in turn has an impact on foreign investment.</w:t>
      </w:r>
      <w:r w:rsidRPr="0030249D">
        <w:rPr>
          <w:rStyle w:val="FootnoteReference"/>
        </w:rPr>
        <w:footnoteReference w:id="97"/>
      </w:r>
      <w:r w:rsidRPr="0030249D">
        <w:t xml:space="preserve"> To regulate the different stages (for example, approval, implementation and conclusion) of PPPs, this law introduces the principles, </w:t>
      </w:r>
      <w:r w:rsidRPr="0030249D">
        <w:rPr>
          <w:i/>
          <w:iCs/>
        </w:rPr>
        <w:t>inter alia</w:t>
      </w:r>
      <w:r w:rsidRPr="0030249D">
        <w:t>, of equality (national treatment) and free competition, transparency, due process and risk sharing. The Directorate</w:t>
      </w:r>
      <w:r w:rsidRPr="0030249D">
        <w:noBreakHyphen/>
        <w:t>General for Private</w:t>
      </w:r>
      <w:r w:rsidRPr="0030249D">
        <w:noBreakHyphen/>
        <w:t>Public Partnerships, created in 2020, is the institution responsible for regulating and coordinating projects in the Dominican Republic under PPPs in any sector of the economy.</w:t>
      </w:r>
      <w:r w:rsidRPr="0030249D">
        <w:rPr>
          <w:rStyle w:val="FootnoteReference"/>
        </w:rPr>
        <w:footnoteReference w:id="98"/>
      </w:r>
    </w:p>
    <w:p w14:paraId="1B7E640A" w14:textId="77777777" w:rsidR="006C6BEF" w:rsidRPr="0030249D" w:rsidRDefault="006C6BEF" w:rsidP="007A1233">
      <w:pPr>
        <w:pStyle w:val="BodyText"/>
      </w:pPr>
      <w:r w:rsidRPr="0030249D">
        <w:t>The Dominican Republic signed, but has not yet ratified, the Convention on the Settlement of Investment Disputes between States and Nationals of Other States (Washington Convention of 1965 or the ICSID Convention) establishing the International Centre for the Settlement of Investment Disputes (ICSID).</w:t>
      </w:r>
      <w:r w:rsidRPr="0030249D">
        <w:rPr>
          <w:rStyle w:val="FootnoteReference"/>
        </w:rPr>
        <w:footnoteReference w:id="99"/>
      </w:r>
      <w:r w:rsidRPr="0030249D">
        <w:t xml:space="preserve"> The Dominican Republic implements the New York Convention (on the Recognition and Enforcement of Foreign Arbitral Awards) and the Inter</w:t>
      </w:r>
      <w:r w:rsidRPr="0030249D">
        <w:noBreakHyphen/>
        <w:t xml:space="preserve">American Convention on International Commercial Arbitration (ratified in 2008). The Dominican Republic is also a member of </w:t>
      </w:r>
      <w:r w:rsidRPr="0030249D">
        <w:lastRenderedPageBreak/>
        <w:t>the Multilateral Investment Guarantee Agency (MIGA) and of the Overseas Private Investment Corporation (</w:t>
      </w:r>
      <w:proofErr w:type="spellStart"/>
      <w:r w:rsidRPr="0030249D">
        <w:t>OPIC</w:t>
      </w:r>
      <w:proofErr w:type="spellEnd"/>
      <w:r w:rsidRPr="0030249D">
        <w:t>). During the period under review, one case was settled against the Dominican</w:t>
      </w:r>
      <w:r>
        <w:t> </w:t>
      </w:r>
      <w:r w:rsidRPr="0030249D">
        <w:t>Republic by ICSID involving the mining sector, and other proceedings are currently under way involving the construction and sugar industries. Two more cases were settled in the Permanent Court of Arbitration (</w:t>
      </w:r>
      <w:proofErr w:type="spellStart"/>
      <w:r w:rsidRPr="0030249D">
        <w:t>PCA</w:t>
      </w:r>
      <w:proofErr w:type="spellEnd"/>
      <w:r w:rsidRPr="0030249D">
        <w:t xml:space="preserve">), and other proceedings are currently under way in the </w:t>
      </w:r>
      <w:proofErr w:type="spellStart"/>
      <w:r w:rsidRPr="0030249D">
        <w:t>PCA</w:t>
      </w:r>
      <w:proofErr w:type="spellEnd"/>
      <w:r w:rsidRPr="0030249D">
        <w:t>.</w:t>
      </w:r>
      <w:bookmarkStart w:id="103" w:name="_Toc417038456"/>
    </w:p>
    <w:p w14:paraId="5AD08B3A" w14:textId="77777777" w:rsidR="006C6BEF" w:rsidRPr="0030249D" w:rsidRDefault="006C6BEF" w:rsidP="00816437">
      <w:pPr>
        <w:pStyle w:val="Heading3"/>
      </w:pPr>
      <w:bookmarkStart w:id="104" w:name="_Toc117260611"/>
      <w:r w:rsidRPr="0030249D">
        <w:t>Investment incentives</w:t>
      </w:r>
      <w:bookmarkEnd w:id="103"/>
      <w:bookmarkEnd w:id="104"/>
    </w:p>
    <w:p w14:paraId="0D7A27BC" w14:textId="77777777" w:rsidR="006C6BEF" w:rsidRPr="0030249D" w:rsidRDefault="006C6BEF" w:rsidP="007A1233">
      <w:pPr>
        <w:pStyle w:val="BodyText"/>
      </w:pPr>
      <w:r w:rsidRPr="0030249D">
        <w:t xml:space="preserve">The Dominican Republic continues to offer incentives, mainly tax incentives, to domestic and foreign investors with a view to promoting certain sectors or regions (Table 2.3). Through these programmes, for example, tariff concessions are granted on imports of machinery and other capital goods, as well as inputs and raw materials, and, in many cases, additional benefits are granted as a result of productive activity, such as the payment of the </w:t>
      </w:r>
      <w:proofErr w:type="spellStart"/>
      <w:r w:rsidRPr="0030249D">
        <w:t>ITBIS</w:t>
      </w:r>
      <w:proofErr w:type="spellEnd"/>
      <w:r w:rsidRPr="0030249D">
        <w:t xml:space="preserve"> and/or the ISR.</w:t>
      </w:r>
    </w:p>
    <w:p w14:paraId="22530DD9" w14:textId="77777777" w:rsidR="006C6BEF" w:rsidRPr="0030249D" w:rsidRDefault="006C6BEF" w:rsidP="007A1233">
      <w:pPr>
        <w:pStyle w:val="BodyText"/>
      </w:pPr>
      <w:r w:rsidRPr="0030249D">
        <w:t>During the period under review some of these incentives were amended, while other programmes, such as incentives to the film, mining, textiles and tourism industries, as well as the investment regime in free trade zones, have remained unchanged since the previous review (Table</w:t>
      </w:r>
      <w:r>
        <w:t> </w:t>
      </w:r>
      <w:r w:rsidRPr="0030249D">
        <w:t>2.3).</w:t>
      </w:r>
      <w:r w:rsidRPr="0030249D">
        <w:rPr>
          <w:rStyle w:val="FootnoteReference"/>
        </w:rPr>
        <w:footnoteReference w:id="100"/>
      </w:r>
    </w:p>
    <w:p w14:paraId="6746FA4C" w14:textId="77777777" w:rsidR="006C6BEF" w:rsidRPr="0030249D" w:rsidRDefault="006C6BEF" w:rsidP="00D56352">
      <w:pPr>
        <w:pStyle w:val="Caption"/>
      </w:pPr>
      <w:bookmarkStart w:id="105" w:name="_Toc117238033"/>
      <w:bookmarkStart w:id="106" w:name="_Hlk108046042"/>
      <w:r>
        <w:t xml:space="preserve">Table </w:t>
      </w:r>
      <w:r w:rsidR="00BD37F2">
        <w:fldChar w:fldCharType="begin"/>
      </w:r>
      <w:r w:rsidR="00BD37F2">
        <w:instrText xml:space="preserve"> STYLEREF 1 \s </w:instrText>
      </w:r>
      <w:r w:rsidR="00BD37F2">
        <w:fldChar w:fldCharType="separate"/>
      </w:r>
      <w:r>
        <w:rPr>
          <w:noProof/>
        </w:rPr>
        <w:t>2</w:t>
      </w:r>
      <w:r w:rsidR="00BD37F2">
        <w:rPr>
          <w:noProof/>
        </w:rPr>
        <w:fldChar w:fldCharType="end"/>
      </w:r>
      <w:r>
        <w:t>.</w:t>
      </w:r>
      <w:r w:rsidR="00BD37F2">
        <w:fldChar w:fldCharType="begin"/>
      </w:r>
      <w:r w:rsidR="00BD37F2">
        <w:instrText xml:space="preserve"> SEQ Table \* ARABIC \s 1 </w:instrText>
      </w:r>
      <w:r w:rsidR="00BD37F2">
        <w:fldChar w:fldCharType="separate"/>
      </w:r>
      <w:r>
        <w:rPr>
          <w:noProof/>
        </w:rPr>
        <w:t>3</w:t>
      </w:r>
      <w:r w:rsidR="00BD37F2">
        <w:rPr>
          <w:noProof/>
        </w:rPr>
        <w:fldChar w:fldCharType="end"/>
      </w:r>
      <w:r>
        <w:t xml:space="preserve"> </w:t>
      </w:r>
      <w:r w:rsidRPr="0030249D">
        <w:t>Investment and/or production incentives, 2022</w:t>
      </w:r>
      <w:bookmarkEnd w:id="105"/>
    </w:p>
    <w:tbl>
      <w:tblPr>
        <w:tblStyle w:val="WTOTable1"/>
        <w:tblW w:w="9067" w:type="dxa"/>
        <w:tblLook w:val="04A0" w:firstRow="1" w:lastRow="0" w:firstColumn="1" w:lastColumn="0" w:noHBand="0" w:noVBand="1"/>
      </w:tblPr>
      <w:tblGrid>
        <w:gridCol w:w="1778"/>
        <w:gridCol w:w="5730"/>
        <w:gridCol w:w="1559"/>
      </w:tblGrid>
      <w:tr w:rsidR="006C6BEF" w:rsidRPr="0030249D" w14:paraId="511B0D79" w14:textId="77777777" w:rsidTr="00706642">
        <w:trPr>
          <w:cnfStyle w:val="100000000000" w:firstRow="1" w:lastRow="0" w:firstColumn="0" w:lastColumn="0" w:oddVBand="0" w:evenVBand="0" w:oddHBand="0" w:evenHBand="0" w:firstRowFirstColumn="0" w:firstRowLastColumn="0" w:lastRowFirstColumn="0" w:lastRowLastColumn="0"/>
          <w:cantSplit/>
          <w:tblHeader/>
        </w:trPr>
        <w:tc>
          <w:tcPr>
            <w:tcW w:w="1778" w:type="dxa"/>
            <w:vAlign w:val="bottom"/>
          </w:tcPr>
          <w:p w14:paraId="28FD25DB" w14:textId="77777777" w:rsidR="006C6BEF" w:rsidRPr="00A7507E" w:rsidRDefault="006C6BEF" w:rsidP="004F1E44">
            <w:pPr>
              <w:rPr>
                <w:sz w:val="16"/>
                <w:szCs w:val="16"/>
              </w:rPr>
            </w:pPr>
            <w:r w:rsidRPr="00A7507E">
              <w:rPr>
                <w:sz w:val="16"/>
                <w:szCs w:val="16"/>
              </w:rPr>
              <w:t>Sector</w:t>
            </w:r>
          </w:p>
        </w:tc>
        <w:tc>
          <w:tcPr>
            <w:tcW w:w="5730" w:type="dxa"/>
            <w:vAlign w:val="bottom"/>
          </w:tcPr>
          <w:p w14:paraId="12A1F9C9" w14:textId="77777777" w:rsidR="006C6BEF" w:rsidRPr="00A7507E" w:rsidRDefault="006C6BEF" w:rsidP="004F1E44">
            <w:pPr>
              <w:rPr>
                <w:sz w:val="16"/>
                <w:szCs w:val="16"/>
              </w:rPr>
            </w:pPr>
            <w:r w:rsidRPr="00A7507E">
              <w:rPr>
                <w:sz w:val="16"/>
                <w:szCs w:val="16"/>
              </w:rPr>
              <w:t>Incentives</w:t>
            </w:r>
          </w:p>
        </w:tc>
        <w:tc>
          <w:tcPr>
            <w:tcW w:w="1559" w:type="dxa"/>
            <w:vAlign w:val="bottom"/>
          </w:tcPr>
          <w:p w14:paraId="6AF84279" w14:textId="77777777" w:rsidR="006C6BEF" w:rsidRPr="00A7507E" w:rsidRDefault="006C6BEF" w:rsidP="004F1E44">
            <w:pPr>
              <w:rPr>
                <w:sz w:val="16"/>
                <w:szCs w:val="16"/>
              </w:rPr>
            </w:pPr>
            <w:r w:rsidRPr="00A7507E">
              <w:rPr>
                <w:sz w:val="16"/>
                <w:szCs w:val="16"/>
              </w:rPr>
              <w:t>Legal basis</w:t>
            </w:r>
          </w:p>
        </w:tc>
      </w:tr>
      <w:tr w:rsidR="006C6BEF" w:rsidRPr="0030249D" w14:paraId="6998BB5D" w14:textId="77777777" w:rsidTr="00706642">
        <w:trPr>
          <w:cantSplit/>
        </w:trPr>
        <w:tc>
          <w:tcPr>
            <w:tcW w:w="9067" w:type="dxa"/>
            <w:gridSpan w:val="3"/>
          </w:tcPr>
          <w:p w14:paraId="15E0BBFE" w14:textId="77777777" w:rsidR="006C6BEF" w:rsidRPr="00A7507E" w:rsidRDefault="006C6BEF" w:rsidP="004F1E44">
            <w:pPr>
              <w:rPr>
                <w:b/>
                <w:bCs/>
                <w:sz w:val="16"/>
                <w:szCs w:val="16"/>
              </w:rPr>
            </w:pPr>
            <w:r w:rsidRPr="00A7507E">
              <w:rPr>
                <w:b/>
                <w:bCs/>
                <w:sz w:val="16"/>
                <w:szCs w:val="16"/>
              </w:rPr>
              <w:t>Amended or new programmes</w:t>
            </w:r>
          </w:p>
        </w:tc>
      </w:tr>
      <w:tr w:rsidR="006C6BEF" w:rsidRPr="0030249D" w14:paraId="7C685144" w14:textId="77777777" w:rsidTr="00706642">
        <w:trPr>
          <w:cnfStyle w:val="000000010000" w:firstRow="0" w:lastRow="0" w:firstColumn="0" w:lastColumn="0" w:oddVBand="0" w:evenVBand="0" w:oddHBand="0" w:evenHBand="1" w:firstRowFirstColumn="0" w:firstRowLastColumn="0" w:lastRowFirstColumn="0" w:lastRowLastColumn="0"/>
          <w:cantSplit/>
        </w:trPr>
        <w:tc>
          <w:tcPr>
            <w:tcW w:w="1778" w:type="dxa"/>
          </w:tcPr>
          <w:p w14:paraId="2358D28D" w14:textId="77777777" w:rsidR="006C6BEF" w:rsidRPr="00A7507E" w:rsidRDefault="006C6BEF" w:rsidP="00E361EC">
            <w:pPr>
              <w:jc w:val="left"/>
              <w:rPr>
                <w:rFonts w:asciiTheme="majorHAnsi" w:hAnsiTheme="majorHAnsi"/>
                <w:sz w:val="16"/>
                <w:szCs w:val="16"/>
              </w:rPr>
            </w:pPr>
            <w:r w:rsidRPr="00A7507E">
              <w:rPr>
                <w:rFonts w:asciiTheme="majorHAnsi" w:hAnsiTheme="majorHAnsi"/>
                <w:sz w:val="16"/>
                <w:szCs w:val="16"/>
              </w:rPr>
              <w:t>Renewable energies</w:t>
            </w:r>
          </w:p>
        </w:tc>
        <w:tc>
          <w:tcPr>
            <w:tcW w:w="5730" w:type="dxa"/>
          </w:tcPr>
          <w:p w14:paraId="2192370D" w14:textId="77777777" w:rsidR="006C6BEF" w:rsidRPr="00A7507E" w:rsidRDefault="006C6BEF" w:rsidP="00EB7374">
            <w:pPr>
              <w:pStyle w:val="ListParagraph"/>
              <w:numPr>
                <w:ilvl w:val="0"/>
                <w:numId w:val="10"/>
              </w:numPr>
              <w:ind w:left="376" w:hanging="376"/>
              <w:jc w:val="left"/>
              <w:rPr>
                <w:rFonts w:asciiTheme="majorHAnsi" w:hAnsiTheme="majorHAnsi"/>
                <w:sz w:val="16"/>
                <w:szCs w:val="16"/>
              </w:rPr>
            </w:pPr>
            <w:r w:rsidRPr="00A7507E">
              <w:rPr>
                <w:rFonts w:asciiTheme="majorHAnsi" w:hAnsiTheme="majorHAnsi"/>
                <w:sz w:val="16"/>
                <w:szCs w:val="16"/>
              </w:rPr>
              <w:t>Exemption from import taxes on equipment, machinery and accessories for the production of energy from renewable sources.</w:t>
            </w:r>
          </w:p>
          <w:p w14:paraId="0156C0AC" w14:textId="77777777" w:rsidR="006C6BEF" w:rsidRPr="00A7507E" w:rsidRDefault="006C6BEF" w:rsidP="00EB7374">
            <w:pPr>
              <w:pStyle w:val="ListParagraph"/>
              <w:numPr>
                <w:ilvl w:val="0"/>
                <w:numId w:val="10"/>
              </w:numPr>
              <w:ind w:left="376" w:hanging="376"/>
              <w:jc w:val="left"/>
              <w:rPr>
                <w:rFonts w:asciiTheme="majorHAnsi" w:hAnsiTheme="majorHAnsi"/>
                <w:sz w:val="16"/>
                <w:szCs w:val="16"/>
              </w:rPr>
            </w:pPr>
            <w:r w:rsidRPr="00A7507E">
              <w:rPr>
                <w:rFonts w:asciiTheme="majorHAnsi" w:hAnsiTheme="majorHAnsi"/>
                <w:sz w:val="16"/>
                <w:szCs w:val="16"/>
              </w:rPr>
              <w:t>Tax reduction (5% instead of 10%) on external financing on the value of interest paid.</w:t>
            </w:r>
          </w:p>
          <w:p w14:paraId="782A3CE1" w14:textId="77777777" w:rsidR="006C6BEF" w:rsidRPr="00A7507E" w:rsidRDefault="006C6BEF" w:rsidP="00EB7374">
            <w:pPr>
              <w:pStyle w:val="ListParagraph"/>
              <w:numPr>
                <w:ilvl w:val="0"/>
                <w:numId w:val="10"/>
              </w:numPr>
              <w:ind w:left="376" w:hanging="376"/>
              <w:jc w:val="left"/>
              <w:rPr>
                <w:rFonts w:asciiTheme="majorHAnsi" w:hAnsiTheme="majorHAnsi"/>
                <w:sz w:val="16"/>
                <w:szCs w:val="16"/>
              </w:rPr>
            </w:pPr>
            <w:r w:rsidRPr="00A7507E">
              <w:rPr>
                <w:rFonts w:asciiTheme="majorHAnsi" w:hAnsiTheme="majorHAnsi"/>
                <w:sz w:val="16"/>
                <w:szCs w:val="16"/>
              </w:rPr>
              <w:t>Self</w:t>
            </w:r>
            <w:r w:rsidRPr="00A7507E">
              <w:rPr>
                <w:rFonts w:asciiTheme="majorHAnsi" w:hAnsiTheme="majorHAnsi"/>
                <w:sz w:val="16"/>
                <w:szCs w:val="16"/>
              </w:rPr>
              <w:noBreakHyphen/>
              <w:t xml:space="preserve">producers can obtain a loan for the payment of the </w:t>
            </w:r>
            <w:proofErr w:type="spellStart"/>
            <w:r w:rsidRPr="00A7507E">
              <w:rPr>
                <w:rFonts w:asciiTheme="majorHAnsi" w:hAnsiTheme="majorHAnsi"/>
                <w:sz w:val="16"/>
                <w:szCs w:val="16"/>
              </w:rPr>
              <w:t>ISR</w:t>
            </w:r>
            <w:proofErr w:type="spellEnd"/>
            <w:r w:rsidRPr="00A7507E">
              <w:rPr>
                <w:rFonts w:asciiTheme="majorHAnsi" w:hAnsiTheme="majorHAnsi"/>
                <w:sz w:val="16"/>
                <w:szCs w:val="16"/>
              </w:rPr>
              <w:t xml:space="preserve"> based on their investment.</w:t>
            </w:r>
          </w:p>
          <w:p w14:paraId="076E7F00" w14:textId="77777777" w:rsidR="006C6BEF" w:rsidRPr="00A7507E" w:rsidRDefault="006C6BEF" w:rsidP="00EB7374">
            <w:pPr>
              <w:pStyle w:val="ListParagraph"/>
              <w:numPr>
                <w:ilvl w:val="0"/>
                <w:numId w:val="10"/>
              </w:numPr>
              <w:ind w:left="376" w:hanging="376"/>
              <w:jc w:val="left"/>
              <w:rPr>
                <w:rFonts w:asciiTheme="majorHAnsi" w:hAnsiTheme="majorHAnsi"/>
                <w:sz w:val="16"/>
                <w:szCs w:val="16"/>
              </w:rPr>
            </w:pPr>
            <w:r w:rsidRPr="00A7507E">
              <w:rPr>
                <w:rFonts w:asciiTheme="majorHAnsi" w:hAnsiTheme="majorHAnsi"/>
                <w:sz w:val="16"/>
                <w:szCs w:val="16"/>
                <w:shd w:val="clear" w:color="auto" w:fill="D9D9D9" w:themeFill="background1" w:themeFillShade="D9"/>
              </w:rPr>
              <w:t xml:space="preserve">Exemption from the </w:t>
            </w:r>
            <w:proofErr w:type="spellStart"/>
            <w:r w:rsidRPr="00A7507E">
              <w:rPr>
                <w:rFonts w:asciiTheme="majorHAnsi" w:hAnsiTheme="majorHAnsi"/>
                <w:sz w:val="16"/>
                <w:szCs w:val="16"/>
                <w:shd w:val="clear" w:color="auto" w:fill="D9D9D9" w:themeFill="background1" w:themeFillShade="D9"/>
              </w:rPr>
              <w:t>ISR</w:t>
            </w:r>
            <w:proofErr w:type="spellEnd"/>
            <w:r w:rsidRPr="00A7507E">
              <w:rPr>
                <w:rFonts w:asciiTheme="majorHAnsi" w:hAnsiTheme="majorHAnsi"/>
                <w:sz w:val="16"/>
                <w:szCs w:val="16"/>
                <w:shd w:val="clear" w:color="auto" w:fill="D9D9D9" w:themeFill="background1" w:themeFillShade="D9"/>
              </w:rPr>
              <w:t xml:space="preserve"> for 10 years, with a maximum time limit of 2020.</w:t>
            </w:r>
          </w:p>
        </w:tc>
        <w:tc>
          <w:tcPr>
            <w:tcW w:w="1559" w:type="dxa"/>
          </w:tcPr>
          <w:p w14:paraId="350ADA5F" w14:textId="77777777" w:rsidR="006C6BEF" w:rsidRPr="00A7507E" w:rsidRDefault="006C6BEF" w:rsidP="00E361EC">
            <w:pPr>
              <w:jc w:val="left"/>
              <w:rPr>
                <w:rFonts w:asciiTheme="majorHAnsi" w:hAnsiTheme="majorHAnsi"/>
                <w:sz w:val="16"/>
                <w:szCs w:val="16"/>
              </w:rPr>
            </w:pPr>
            <w:r w:rsidRPr="00A7507E">
              <w:rPr>
                <w:rFonts w:asciiTheme="majorHAnsi" w:hAnsiTheme="majorHAnsi"/>
                <w:sz w:val="16"/>
                <w:szCs w:val="16"/>
              </w:rPr>
              <w:t>Law No. 57</w:t>
            </w:r>
            <w:r w:rsidRPr="00A7507E">
              <w:rPr>
                <w:rFonts w:asciiTheme="majorHAnsi" w:hAnsiTheme="majorHAnsi"/>
                <w:sz w:val="16"/>
                <w:szCs w:val="16"/>
              </w:rPr>
              <w:noBreakHyphen/>
              <w:t>07, as amended by Law No. 115</w:t>
            </w:r>
            <w:r w:rsidRPr="00A7507E">
              <w:rPr>
                <w:rFonts w:asciiTheme="majorHAnsi" w:hAnsiTheme="majorHAnsi"/>
                <w:sz w:val="16"/>
                <w:szCs w:val="16"/>
              </w:rPr>
              <w:noBreakHyphen/>
              <w:t>15</w:t>
            </w:r>
          </w:p>
        </w:tc>
      </w:tr>
      <w:tr w:rsidR="006C6BEF" w:rsidRPr="00A7507E" w14:paraId="510A7DE5" w14:textId="77777777" w:rsidTr="00706642">
        <w:trPr>
          <w:cantSplit/>
        </w:trPr>
        <w:tc>
          <w:tcPr>
            <w:tcW w:w="1778" w:type="dxa"/>
          </w:tcPr>
          <w:p w14:paraId="490286FA" w14:textId="606E8CF8" w:rsidR="006C6BEF" w:rsidRPr="00A7507E" w:rsidRDefault="006C6BEF" w:rsidP="00E361EC">
            <w:pPr>
              <w:jc w:val="left"/>
              <w:rPr>
                <w:sz w:val="16"/>
                <w:szCs w:val="16"/>
              </w:rPr>
            </w:pPr>
            <w:r w:rsidRPr="00A7507E">
              <w:rPr>
                <w:sz w:val="16"/>
                <w:szCs w:val="16"/>
              </w:rPr>
              <w:t xml:space="preserve">Integrated management and </w:t>
            </w:r>
            <w:r w:rsidR="00161395">
              <w:rPr>
                <w:sz w:val="16"/>
                <w:szCs w:val="16"/>
              </w:rPr>
              <w:t>co-</w:t>
            </w:r>
            <w:r w:rsidRPr="00A7507E">
              <w:rPr>
                <w:sz w:val="16"/>
                <w:szCs w:val="16"/>
              </w:rPr>
              <w:t>processing of solid waste</w:t>
            </w:r>
          </w:p>
        </w:tc>
        <w:tc>
          <w:tcPr>
            <w:tcW w:w="5730" w:type="dxa"/>
          </w:tcPr>
          <w:p w14:paraId="0101069B" w14:textId="77777777" w:rsidR="006C6BEF" w:rsidRPr="00A7507E" w:rsidRDefault="006C6BEF" w:rsidP="00EB7374">
            <w:pPr>
              <w:pStyle w:val="ListParagraph"/>
              <w:numPr>
                <w:ilvl w:val="0"/>
                <w:numId w:val="11"/>
              </w:numPr>
              <w:ind w:left="376" w:hanging="376"/>
              <w:jc w:val="left"/>
              <w:rPr>
                <w:sz w:val="16"/>
                <w:szCs w:val="16"/>
              </w:rPr>
            </w:pPr>
            <w:r w:rsidRPr="00A7507E">
              <w:rPr>
                <w:sz w:val="16"/>
                <w:szCs w:val="16"/>
              </w:rPr>
              <w:t xml:space="preserve">Exemption from tax on assets for five years and from tariffs and the </w:t>
            </w:r>
            <w:proofErr w:type="spellStart"/>
            <w:r w:rsidRPr="00A7507E">
              <w:rPr>
                <w:sz w:val="16"/>
                <w:szCs w:val="16"/>
              </w:rPr>
              <w:t>ITBIS</w:t>
            </w:r>
            <w:proofErr w:type="spellEnd"/>
            <w:r w:rsidRPr="00A7507E">
              <w:rPr>
                <w:sz w:val="16"/>
                <w:szCs w:val="16"/>
              </w:rPr>
              <w:t xml:space="preserve"> levied on machinery and equipment needed for their operations.</w:t>
            </w:r>
          </w:p>
          <w:p w14:paraId="1F671D5C" w14:textId="77777777" w:rsidR="006C6BEF" w:rsidRPr="00A7507E" w:rsidRDefault="006C6BEF" w:rsidP="00EB7374">
            <w:pPr>
              <w:pStyle w:val="ListParagraph"/>
              <w:numPr>
                <w:ilvl w:val="0"/>
                <w:numId w:val="11"/>
              </w:numPr>
              <w:ind w:left="376" w:hanging="376"/>
              <w:jc w:val="left"/>
              <w:rPr>
                <w:sz w:val="16"/>
                <w:szCs w:val="16"/>
              </w:rPr>
            </w:pPr>
            <w:r w:rsidRPr="00A7507E">
              <w:rPr>
                <w:sz w:val="16"/>
                <w:szCs w:val="16"/>
                <w:shd w:val="clear" w:color="auto" w:fill="D9D9D9" w:themeFill="background1" w:themeFillShade="D9"/>
              </w:rPr>
              <w:t xml:space="preserve">Exemption from the </w:t>
            </w:r>
            <w:proofErr w:type="spellStart"/>
            <w:r w:rsidRPr="00A7507E">
              <w:rPr>
                <w:sz w:val="16"/>
                <w:szCs w:val="16"/>
                <w:shd w:val="clear" w:color="auto" w:fill="D9D9D9" w:themeFill="background1" w:themeFillShade="D9"/>
              </w:rPr>
              <w:t>ISR</w:t>
            </w:r>
            <w:proofErr w:type="spellEnd"/>
            <w:r w:rsidRPr="00A7507E">
              <w:rPr>
                <w:sz w:val="16"/>
                <w:szCs w:val="16"/>
                <w:shd w:val="clear" w:color="auto" w:fill="D9D9D9" w:themeFill="background1" w:themeFillShade="D9"/>
              </w:rPr>
              <w:t>, excluding dividends, for five years.</w:t>
            </w:r>
          </w:p>
        </w:tc>
        <w:tc>
          <w:tcPr>
            <w:tcW w:w="1559" w:type="dxa"/>
          </w:tcPr>
          <w:p w14:paraId="51DE1CFA" w14:textId="77777777" w:rsidR="006C6BEF" w:rsidRPr="00A7507E" w:rsidRDefault="006C6BEF" w:rsidP="00E361EC">
            <w:pPr>
              <w:jc w:val="left"/>
              <w:rPr>
                <w:sz w:val="16"/>
                <w:szCs w:val="16"/>
              </w:rPr>
            </w:pPr>
            <w:r w:rsidRPr="00A7507E">
              <w:rPr>
                <w:sz w:val="16"/>
                <w:szCs w:val="16"/>
              </w:rPr>
              <w:t>Law No. 225</w:t>
            </w:r>
            <w:r w:rsidRPr="00A7507E">
              <w:rPr>
                <w:sz w:val="16"/>
                <w:szCs w:val="16"/>
              </w:rPr>
              <w:noBreakHyphen/>
              <w:t>20</w:t>
            </w:r>
          </w:p>
        </w:tc>
      </w:tr>
      <w:tr w:rsidR="006C6BEF" w:rsidRPr="00A7507E" w14:paraId="3907BBEA" w14:textId="77777777" w:rsidTr="00706642">
        <w:trPr>
          <w:cnfStyle w:val="000000010000" w:firstRow="0" w:lastRow="0" w:firstColumn="0" w:lastColumn="0" w:oddVBand="0" w:evenVBand="0" w:oddHBand="0" w:evenHBand="1" w:firstRowFirstColumn="0" w:firstRowLastColumn="0" w:lastRowFirstColumn="0" w:lastRowLastColumn="0"/>
          <w:cantSplit/>
        </w:trPr>
        <w:tc>
          <w:tcPr>
            <w:tcW w:w="1778" w:type="dxa"/>
          </w:tcPr>
          <w:p w14:paraId="1A8C9EE6" w14:textId="77777777" w:rsidR="006C6BEF" w:rsidRPr="00A7507E" w:rsidRDefault="006C6BEF" w:rsidP="00E361EC">
            <w:pPr>
              <w:jc w:val="left"/>
              <w:rPr>
                <w:sz w:val="16"/>
                <w:szCs w:val="16"/>
              </w:rPr>
            </w:pPr>
            <w:r w:rsidRPr="00A7507E">
              <w:rPr>
                <w:sz w:val="16"/>
                <w:szCs w:val="16"/>
              </w:rPr>
              <w:t>Manufacturing and industry</w:t>
            </w:r>
          </w:p>
        </w:tc>
        <w:tc>
          <w:tcPr>
            <w:tcW w:w="5730" w:type="dxa"/>
          </w:tcPr>
          <w:p w14:paraId="1FB895D4" w14:textId="77777777" w:rsidR="006C6BEF" w:rsidRPr="00A7507E" w:rsidRDefault="006C6BEF" w:rsidP="00EB7374">
            <w:pPr>
              <w:pStyle w:val="ListParagraph"/>
              <w:numPr>
                <w:ilvl w:val="0"/>
                <w:numId w:val="11"/>
              </w:numPr>
              <w:ind w:left="376" w:hanging="376"/>
              <w:jc w:val="left"/>
              <w:rPr>
                <w:sz w:val="16"/>
                <w:szCs w:val="16"/>
              </w:rPr>
            </w:pPr>
            <w:r w:rsidRPr="00A7507E">
              <w:rPr>
                <w:sz w:val="16"/>
                <w:szCs w:val="16"/>
              </w:rPr>
              <w:t xml:space="preserve">50% exemption from the </w:t>
            </w:r>
            <w:proofErr w:type="spellStart"/>
            <w:r w:rsidRPr="00A7507E">
              <w:rPr>
                <w:sz w:val="16"/>
                <w:szCs w:val="16"/>
              </w:rPr>
              <w:t>ITBIS</w:t>
            </w:r>
            <w:proofErr w:type="spellEnd"/>
            <w:r w:rsidRPr="00A7507E">
              <w:rPr>
                <w:sz w:val="16"/>
                <w:szCs w:val="16"/>
              </w:rPr>
              <w:t xml:space="preserve"> for the importation of equipment and machinery used in the production process.</w:t>
            </w:r>
          </w:p>
          <w:p w14:paraId="0758A94E" w14:textId="77777777" w:rsidR="006C6BEF" w:rsidRPr="00A7507E" w:rsidRDefault="006C6BEF" w:rsidP="00EB7374">
            <w:pPr>
              <w:pStyle w:val="ListParagraph"/>
              <w:numPr>
                <w:ilvl w:val="0"/>
                <w:numId w:val="11"/>
              </w:numPr>
              <w:ind w:left="376" w:hanging="376"/>
              <w:jc w:val="left"/>
              <w:rPr>
                <w:sz w:val="16"/>
                <w:szCs w:val="16"/>
              </w:rPr>
            </w:pPr>
            <w:r w:rsidRPr="00A7507E">
              <w:rPr>
                <w:sz w:val="16"/>
                <w:szCs w:val="16"/>
              </w:rPr>
              <w:t>Reduction of up to 50% of the net taxable income relating to investments in the purchase of machinery, plant and technology.</w:t>
            </w:r>
          </w:p>
          <w:p w14:paraId="6F63CD28" w14:textId="77777777" w:rsidR="006C6BEF" w:rsidRPr="00A7507E" w:rsidRDefault="006C6BEF" w:rsidP="00EB7374">
            <w:pPr>
              <w:pStyle w:val="ListParagraph"/>
              <w:numPr>
                <w:ilvl w:val="0"/>
                <w:numId w:val="11"/>
              </w:numPr>
              <w:shd w:val="clear" w:color="auto" w:fill="D9D9D9" w:themeFill="background1" w:themeFillShade="D9"/>
              <w:ind w:left="376" w:hanging="376"/>
              <w:jc w:val="left"/>
              <w:rPr>
                <w:sz w:val="16"/>
                <w:szCs w:val="16"/>
                <w:shd w:val="clear" w:color="auto" w:fill="D9D9D9" w:themeFill="background1" w:themeFillShade="D9"/>
              </w:rPr>
            </w:pPr>
            <w:r w:rsidRPr="00A7507E">
              <w:rPr>
                <w:sz w:val="16"/>
                <w:szCs w:val="16"/>
                <w:shd w:val="clear" w:color="auto" w:fill="D9D9D9" w:themeFill="background1" w:themeFillShade="D9"/>
              </w:rPr>
              <w:t xml:space="preserve">50% exemption from the </w:t>
            </w:r>
            <w:proofErr w:type="spellStart"/>
            <w:r w:rsidRPr="00A7507E">
              <w:rPr>
                <w:sz w:val="16"/>
                <w:szCs w:val="16"/>
                <w:shd w:val="clear" w:color="auto" w:fill="D9D9D9" w:themeFill="background1" w:themeFillShade="D9"/>
              </w:rPr>
              <w:t>ITBIS</w:t>
            </w:r>
            <w:proofErr w:type="spellEnd"/>
            <w:r w:rsidRPr="00A7507E">
              <w:rPr>
                <w:sz w:val="16"/>
                <w:szCs w:val="16"/>
                <w:shd w:val="clear" w:color="auto" w:fill="D9D9D9" w:themeFill="background1" w:themeFillShade="D9"/>
              </w:rPr>
              <w:t xml:space="preserve"> levied on imports of raw materials and inputs.</w:t>
            </w:r>
          </w:p>
          <w:p w14:paraId="62C25DBB" w14:textId="77777777" w:rsidR="006C6BEF" w:rsidRPr="00A7507E" w:rsidRDefault="006C6BEF" w:rsidP="00EB7374">
            <w:pPr>
              <w:pStyle w:val="ListParagraph"/>
              <w:numPr>
                <w:ilvl w:val="0"/>
                <w:numId w:val="11"/>
              </w:numPr>
              <w:shd w:val="clear" w:color="auto" w:fill="D9D9D9" w:themeFill="background1" w:themeFillShade="D9"/>
              <w:ind w:left="376" w:hanging="376"/>
              <w:jc w:val="left"/>
              <w:rPr>
                <w:sz w:val="16"/>
                <w:szCs w:val="16"/>
                <w:shd w:val="clear" w:color="auto" w:fill="D9D9D9" w:themeFill="background1" w:themeFillShade="D9"/>
              </w:rPr>
            </w:pPr>
            <w:r w:rsidRPr="00A7507E">
              <w:rPr>
                <w:sz w:val="16"/>
                <w:szCs w:val="16"/>
                <w:shd w:val="clear" w:color="auto" w:fill="D9D9D9" w:themeFill="background1" w:themeFillShade="D9"/>
              </w:rPr>
              <w:t xml:space="preserve">Refund to exporters of the </w:t>
            </w:r>
            <w:proofErr w:type="spellStart"/>
            <w:r w:rsidRPr="00A7507E">
              <w:rPr>
                <w:sz w:val="16"/>
                <w:szCs w:val="16"/>
                <w:shd w:val="clear" w:color="auto" w:fill="D9D9D9" w:themeFill="background1" w:themeFillShade="D9"/>
              </w:rPr>
              <w:t>ITBIS</w:t>
            </w:r>
            <w:proofErr w:type="spellEnd"/>
            <w:r w:rsidRPr="00A7507E">
              <w:rPr>
                <w:sz w:val="16"/>
                <w:szCs w:val="16"/>
                <w:shd w:val="clear" w:color="auto" w:fill="D9D9D9" w:themeFill="background1" w:themeFillShade="D9"/>
              </w:rPr>
              <w:t>, the selective consumption tax (</w:t>
            </w:r>
            <w:proofErr w:type="spellStart"/>
            <w:r w:rsidRPr="00A7507E">
              <w:rPr>
                <w:sz w:val="16"/>
                <w:szCs w:val="16"/>
                <w:shd w:val="clear" w:color="auto" w:fill="D9D9D9" w:themeFill="background1" w:themeFillShade="D9"/>
              </w:rPr>
              <w:t>ISC</w:t>
            </w:r>
            <w:proofErr w:type="spellEnd"/>
            <w:r w:rsidRPr="00A7507E">
              <w:rPr>
                <w:sz w:val="16"/>
                <w:szCs w:val="16"/>
                <w:shd w:val="clear" w:color="auto" w:fill="D9D9D9" w:themeFill="background1" w:themeFillShade="D9"/>
              </w:rPr>
              <w:t>) and tax on cheques.</w:t>
            </w:r>
          </w:p>
          <w:p w14:paraId="5592C5D8" w14:textId="77777777" w:rsidR="006C6BEF" w:rsidRPr="00A7507E" w:rsidRDefault="006C6BEF" w:rsidP="00EB7374">
            <w:pPr>
              <w:pStyle w:val="ListParagraph"/>
              <w:numPr>
                <w:ilvl w:val="0"/>
                <w:numId w:val="11"/>
              </w:numPr>
              <w:shd w:val="clear" w:color="auto" w:fill="D9D9D9" w:themeFill="background1" w:themeFillShade="D9"/>
              <w:ind w:left="376" w:hanging="376"/>
              <w:jc w:val="left"/>
              <w:rPr>
                <w:sz w:val="16"/>
                <w:szCs w:val="16"/>
              </w:rPr>
            </w:pPr>
            <w:r w:rsidRPr="00A7507E">
              <w:rPr>
                <w:sz w:val="16"/>
                <w:szCs w:val="16"/>
                <w:shd w:val="clear" w:color="auto" w:fill="D9D9D9" w:themeFill="background1" w:themeFillShade="D9"/>
              </w:rPr>
              <w:t>Authorization for partial processing.</w:t>
            </w:r>
          </w:p>
        </w:tc>
        <w:tc>
          <w:tcPr>
            <w:tcW w:w="1559" w:type="dxa"/>
          </w:tcPr>
          <w:p w14:paraId="7ABCD36B" w14:textId="77777777" w:rsidR="006C6BEF" w:rsidRPr="00A7507E" w:rsidRDefault="006C6BEF" w:rsidP="00E361EC">
            <w:pPr>
              <w:jc w:val="left"/>
              <w:rPr>
                <w:sz w:val="16"/>
                <w:szCs w:val="16"/>
              </w:rPr>
            </w:pPr>
            <w:r w:rsidRPr="00A7507E">
              <w:rPr>
                <w:sz w:val="16"/>
                <w:szCs w:val="16"/>
              </w:rPr>
              <w:t>Law No. 392</w:t>
            </w:r>
            <w:r w:rsidRPr="00A7507E">
              <w:rPr>
                <w:sz w:val="16"/>
                <w:szCs w:val="16"/>
              </w:rPr>
              <w:noBreakHyphen/>
              <w:t>07, as amended by Law No. 242</w:t>
            </w:r>
            <w:r w:rsidRPr="00A7507E">
              <w:rPr>
                <w:sz w:val="16"/>
                <w:szCs w:val="16"/>
              </w:rPr>
              <w:noBreakHyphen/>
              <w:t>20</w:t>
            </w:r>
          </w:p>
        </w:tc>
      </w:tr>
      <w:tr w:rsidR="006C6BEF" w:rsidRPr="00A7507E" w14:paraId="2709A9C3" w14:textId="77777777" w:rsidTr="00706642">
        <w:trPr>
          <w:cantSplit/>
        </w:trPr>
        <w:tc>
          <w:tcPr>
            <w:tcW w:w="1778" w:type="dxa"/>
          </w:tcPr>
          <w:p w14:paraId="78C0C636" w14:textId="77777777" w:rsidR="006C6BEF" w:rsidRPr="00A7507E" w:rsidRDefault="006C6BEF" w:rsidP="00E361EC">
            <w:pPr>
              <w:jc w:val="left"/>
              <w:rPr>
                <w:sz w:val="16"/>
                <w:szCs w:val="16"/>
              </w:rPr>
            </w:pPr>
            <w:r w:rsidRPr="00A7507E">
              <w:rPr>
                <w:sz w:val="16"/>
                <w:szCs w:val="16"/>
              </w:rPr>
              <w:lastRenderedPageBreak/>
              <w:t>Special Integrated Border Development Zone</w:t>
            </w:r>
          </w:p>
        </w:tc>
        <w:tc>
          <w:tcPr>
            <w:tcW w:w="5730" w:type="dxa"/>
          </w:tcPr>
          <w:p w14:paraId="16810D64" w14:textId="77777777" w:rsidR="006C6BEF" w:rsidRPr="00A7507E" w:rsidRDefault="006C6BEF" w:rsidP="00EB7374">
            <w:pPr>
              <w:pStyle w:val="ListParagraph"/>
              <w:numPr>
                <w:ilvl w:val="0"/>
                <w:numId w:val="11"/>
              </w:numPr>
              <w:ind w:left="376" w:hanging="376"/>
              <w:jc w:val="left"/>
              <w:rPr>
                <w:sz w:val="16"/>
                <w:szCs w:val="16"/>
              </w:rPr>
            </w:pPr>
            <w:r w:rsidRPr="00A7507E">
              <w:rPr>
                <w:sz w:val="16"/>
                <w:szCs w:val="16"/>
              </w:rPr>
              <w:t xml:space="preserve">Exemption from the payment of tariffs and the </w:t>
            </w:r>
            <w:proofErr w:type="spellStart"/>
            <w:r w:rsidRPr="00A7507E">
              <w:rPr>
                <w:sz w:val="16"/>
                <w:szCs w:val="16"/>
              </w:rPr>
              <w:t>ITBIS</w:t>
            </w:r>
            <w:proofErr w:type="spellEnd"/>
            <w:r w:rsidRPr="00A7507E">
              <w:rPr>
                <w:sz w:val="16"/>
                <w:szCs w:val="16"/>
              </w:rPr>
              <w:t xml:space="preserve"> on machinery and equipment imported or purchased in the local market for the setting up and operational start</w:t>
            </w:r>
            <w:r w:rsidRPr="00A7507E">
              <w:rPr>
                <w:sz w:val="16"/>
                <w:szCs w:val="16"/>
              </w:rPr>
              <w:noBreakHyphen/>
              <w:t>up of the enterprise.</w:t>
            </w:r>
          </w:p>
          <w:p w14:paraId="6FEB6DE5" w14:textId="77777777" w:rsidR="006C6BEF" w:rsidRPr="00A7507E" w:rsidRDefault="006C6BEF" w:rsidP="00EB7374">
            <w:pPr>
              <w:pStyle w:val="ListParagraph"/>
              <w:numPr>
                <w:ilvl w:val="0"/>
                <w:numId w:val="11"/>
              </w:numPr>
              <w:ind w:left="376" w:hanging="376"/>
              <w:jc w:val="left"/>
              <w:rPr>
                <w:sz w:val="16"/>
                <w:szCs w:val="16"/>
              </w:rPr>
            </w:pPr>
            <w:r w:rsidRPr="00A7507E">
              <w:rPr>
                <w:sz w:val="16"/>
                <w:szCs w:val="16"/>
              </w:rPr>
              <w:t>Exemption from payment of property transfer tax and other taxes related to property transactions on the land and infrastructure where the project is being developed.</w:t>
            </w:r>
          </w:p>
          <w:p w14:paraId="35E3EFB7" w14:textId="77777777" w:rsidR="006C6BEF" w:rsidRPr="00A7507E" w:rsidRDefault="006C6BEF" w:rsidP="00EB7374">
            <w:pPr>
              <w:pStyle w:val="ListParagraph"/>
              <w:numPr>
                <w:ilvl w:val="0"/>
                <w:numId w:val="11"/>
              </w:numPr>
              <w:ind w:left="376" w:hanging="376"/>
              <w:jc w:val="left"/>
              <w:rPr>
                <w:sz w:val="16"/>
                <w:szCs w:val="16"/>
              </w:rPr>
            </w:pPr>
            <w:r w:rsidRPr="00A7507E">
              <w:rPr>
                <w:sz w:val="16"/>
                <w:szCs w:val="16"/>
              </w:rPr>
              <w:t>Exemption from taxes, fees and registration duties related to the increase in capital and transfer of shares in commercial enterprises within the Special Zone.</w:t>
            </w:r>
          </w:p>
          <w:p w14:paraId="04700D56" w14:textId="77777777" w:rsidR="006C6BEF" w:rsidRPr="00A7507E" w:rsidRDefault="006C6BEF" w:rsidP="00EB7374">
            <w:pPr>
              <w:pStyle w:val="ListParagraph"/>
              <w:numPr>
                <w:ilvl w:val="0"/>
                <w:numId w:val="11"/>
              </w:numPr>
              <w:shd w:val="clear" w:color="auto" w:fill="D9D9D9" w:themeFill="background1" w:themeFillShade="D9"/>
              <w:ind w:left="376" w:hanging="376"/>
              <w:jc w:val="left"/>
              <w:rPr>
                <w:sz w:val="16"/>
                <w:szCs w:val="16"/>
                <w:shd w:val="clear" w:color="auto" w:fill="D9D9D9" w:themeFill="background1" w:themeFillShade="D9"/>
              </w:rPr>
            </w:pPr>
            <w:r w:rsidRPr="00A7507E">
              <w:rPr>
                <w:sz w:val="16"/>
                <w:szCs w:val="16"/>
                <w:shd w:val="clear" w:color="auto" w:fill="D9D9D9" w:themeFill="background1" w:themeFillShade="D9"/>
              </w:rPr>
              <w:t xml:space="preserve">Exemption from the payment of the </w:t>
            </w:r>
            <w:proofErr w:type="spellStart"/>
            <w:r w:rsidRPr="00A7507E">
              <w:rPr>
                <w:sz w:val="16"/>
                <w:szCs w:val="16"/>
                <w:shd w:val="clear" w:color="auto" w:fill="D9D9D9" w:themeFill="background1" w:themeFillShade="D9"/>
              </w:rPr>
              <w:t>ISR</w:t>
            </w:r>
            <w:proofErr w:type="spellEnd"/>
            <w:r w:rsidRPr="00A7507E">
              <w:rPr>
                <w:sz w:val="16"/>
                <w:szCs w:val="16"/>
                <w:shd w:val="clear" w:color="auto" w:fill="D9D9D9" w:themeFill="background1" w:themeFillShade="D9"/>
              </w:rPr>
              <w:t xml:space="preserve"> and the </w:t>
            </w:r>
            <w:proofErr w:type="spellStart"/>
            <w:r w:rsidRPr="00A7507E">
              <w:rPr>
                <w:sz w:val="16"/>
                <w:szCs w:val="16"/>
                <w:shd w:val="clear" w:color="auto" w:fill="D9D9D9" w:themeFill="background1" w:themeFillShade="D9"/>
              </w:rPr>
              <w:t>ISC</w:t>
            </w:r>
            <w:proofErr w:type="spellEnd"/>
            <w:r w:rsidRPr="00A7507E">
              <w:rPr>
                <w:sz w:val="16"/>
                <w:szCs w:val="16"/>
                <w:shd w:val="clear" w:color="auto" w:fill="D9D9D9" w:themeFill="background1" w:themeFillShade="D9"/>
              </w:rPr>
              <w:t xml:space="preserve"> applicable to the use of telecommunications and insurance services for project facilities, the </w:t>
            </w:r>
            <w:proofErr w:type="spellStart"/>
            <w:r w:rsidRPr="00A7507E">
              <w:rPr>
                <w:sz w:val="16"/>
                <w:szCs w:val="16"/>
                <w:shd w:val="clear" w:color="auto" w:fill="D9D9D9" w:themeFill="background1" w:themeFillShade="D9"/>
              </w:rPr>
              <w:t>ITBIS</w:t>
            </w:r>
            <w:proofErr w:type="spellEnd"/>
            <w:r w:rsidRPr="00A7507E">
              <w:rPr>
                <w:sz w:val="16"/>
                <w:szCs w:val="16"/>
                <w:shd w:val="clear" w:color="auto" w:fill="D9D9D9" w:themeFill="background1" w:themeFillShade="D9"/>
              </w:rPr>
              <w:t xml:space="preserve"> for the purchase and importation of inputs and raw materials used in the production of goods exempt from the </w:t>
            </w:r>
            <w:proofErr w:type="spellStart"/>
            <w:r w:rsidRPr="00A7507E">
              <w:rPr>
                <w:sz w:val="16"/>
                <w:szCs w:val="16"/>
                <w:shd w:val="clear" w:color="auto" w:fill="D9D9D9" w:themeFill="background1" w:themeFillShade="D9"/>
              </w:rPr>
              <w:t>ITBIS</w:t>
            </w:r>
            <w:proofErr w:type="spellEnd"/>
            <w:r w:rsidRPr="00A7507E">
              <w:rPr>
                <w:sz w:val="16"/>
                <w:szCs w:val="16"/>
                <w:shd w:val="clear" w:color="auto" w:fill="D9D9D9" w:themeFill="background1" w:themeFillShade="D9"/>
              </w:rPr>
              <w:t>, and the tariff for the importation of production inputs and raw materials not produced in the country.</w:t>
            </w:r>
          </w:p>
          <w:p w14:paraId="59BC4527" w14:textId="77777777" w:rsidR="006C6BEF" w:rsidRPr="00A7507E" w:rsidRDefault="006C6BEF" w:rsidP="00EB7374">
            <w:pPr>
              <w:pStyle w:val="ListParagraph"/>
              <w:numPr>
                <w:ilvl w:val="0"/>
                <w:numId w:val="11"/>
              </w:numPr>
              <w:shd w:val="clear" w:color="auto" w:fill="D9D9D9" w:themeFill="background1" w:themeFillShade="D9"/>
              <w:ind w:left="376" w:hanging="376"/>
              <w:jc w:val="left"/>
              <w:rPr>
                <w:sz w:val="16"/>
                <w:szCs w:val="16"/>
              </w:rPr>
            </w:pPr>
            <w:r w:rsidRPr="00A7507E">
              <w:rPr>
                <w:sz w:val="16"/>
                <w:szCs w:val="16"/>
                <w:shd w:val="clear" w:color="auto" w:fill="D9D9D9" w:themeFill="background1" w:themeFillShade="D9"/>
              </w:rPr>
              <w:t xml:space="preserve">50% reduction in the </w:t>
            </w:r>
            <w:proofErr w:type="spellStart"/>
            <w:r w:rsidRPr="00A7507E">
              <w:rPr>
                <w:sz w:val="16"/>
                <w:szCs w:val="16"/>
                <w:shd w:val="clear" w:color="auto" w:fill="D9D9D9" w:themeFill="background1" w:themeFillShade="D9"/>
              </w:rPr>
              <w:t>ITBIS</w:t>
            </w:r>
            <w:proofErr w:type="spellEnd"/>
            <w:r w:rsidRPr="00A7507E">
              <w:rPr>
                <w:sz w:val="16"/>
                <w:szCs w:val="16"/>
                <w:shd w:val="clear" w:color="auto" w:fill="D9D9D9" w:themeFill="background1" w:themeFillShade="D9"/>
              </w:rPr>
              <w:t xml:space="preserve"> for the purchase and importation of inputs and raw materials used in the production of goods not exempt from the </w:t>
            </w:r>
            <w:proofErr w:type="spellStart"/>
            <w:r w:rsidRPr="00A7507E">
              <w:rPr>
                <w:sz w:val="16"/>
                <w:szCs w:val="16"/>
                <w:shd w:val="clear" w:color="auto" w:fill="D9D9D9" w:themeFill="background1" w:themeFillShade="D9"/>
              </w:rPr>
              <w:t>ITBIS</w:t>
            </w:r>
            <w:proofErr w:type="spellEnd"/>
            <w:r w:rsidRPr="00A7507E">
              <w:rPr>
                <w:sz w:val="16"/>
                <w:szCs w:val="16"/>
                <w:shd w:val="clear" w:color="auto" w:fill="D9D9D9" w:themeFill="background1" w:themeFillShade="D9"/>
              </w:rPr>
              <w:t>.</w:t>
            </w:r>
          </w:p>
        </w:tc>
        <w:tc>
          <w:tcPr>
            <w:tcW w:w="1559" w:type="dxa"/>
          </w:tcPr>
          <w:p w14:paraId="26B5C9C1" w14:textId="77777777" w:rsidR="006C6BEF" w:rsidRPr="00A7507E" w:rsidRDefault="006C6BEF" w:rsidP="00E361EC">
            <w:pPr>
              <w:jc w:val="left"/>
              <w:rPr>
                <w:sz w:val="16"/>
                <w:szCs w:val="16"/>
              </w:rPr>
            </w:pPr>
            <w:r w:rsidRPr="00A7507E">
              <w:rPr>
                <w:sz w:val="16"/>
                <w:szCs w:val="16"/>
              </w:rPr>
              <w:t>Law No. 12</w:t>
            </w:r>
            <w:r w:rsidRPr="00A7507E">
              <w:rPr>
                <w:sz w:val="16"/>
                <w:szCs w:val="16"/>
              </w:rPr>
              <w:noBreakHyphen/>
              <w:t>21</w:t>
            </w:r>
          </w:p>
        </w:tc>
      </w:tr>
      <w:tr w:rsidR="006C6BEF" w:rsidRPr="00A7507E" w14:paraId="4F5A4157" w14:textId="77777777" w:rsidTr="00A7507E">
        <w:trPr>
          <w:cnfStyle w:val="000000010000" w:firstRow="0" w:lastRow="0" w:firstColumn="0" w:lastColumn="0" w:oddVBand="0" w:evenVBand="0" w:oddHBand="0" w:evenHBand="1" w:firstRowFirstColumn="0" w:firstRowLastColumn="0" w:lastRowFirstColumn="0" w:lastRowLastColumn="0"/>
          <w:cantSplit/>
          <w:trHeight w:val="868"/>
        </w:trPr>
        <w:tc>
          <w:tcPr>
            <w:tcW w:w="1778" w:type="dxa"/>
          </w:tcPr>
          <w:p w14:paraId="38C25D9B" w14:textId="77777777" w:rsidR="006C6BEF" w:rsidRPr="00A7507E" w:rsidRDefault="006C6BEF" w:rsidP="00E361EC">
            <w:pPr>
              <w:jc w:val="left"/>
              <w:rPr>
                <w:sz w:val="16"/>
                <w:szCs w:val="16"/>
              </w:rPr>
            </w:pPr>
            <w:r w:rsidRPr="00A7507E">
              <w:rPr>
                <w:sz w:val="16"/>
                <w:szCs w:val="16"/>
              </w:rPr>
              <w:t>Public</w:t>
            </w:r>
            <w:r w:rsidRPr="00A7507E">
              <w:rPr>
                <w:sz w:val="16"/>
                <w:szCs w:val="16"/>
              </w:rPr>
              <w:noBreakHyphen/>
              <w:t>private partnerships (PPPs)</w:t>
            </w:r>
          </w:p>
        </w:tc>
        <w:tc>
          <w:tcPr>
            <w:tcW w:w="5730" w:type="dxa"/>
          </w:tcPr>
          <w:p w14:paraId="138DCCE4" w14:textId="77777777" w:rsidR="006C6BEF" w:rsidRPr="00A7507E" w:rsidRDefault="006C6BEF" w:rsidP="00EB7374">
            <w:pPr>
              <w:pStyle w:val="ListParagraph"/>
              <w:numPr>
                <w:ilvl w:val="0"/>
                <w:numId w:val="12"/>
              </w:numPr>
              <w:ind w:left="376" w:hanging="376"/>
              <w:jc w:val="left"/>
              <w:rPr>
                <w:sz w:val="16"/>
                <w:szCs w:val="16"/>
              </w:rPr>
            </w:pPr>
            <w:r w:rsidRPr="00A7507E">
              <w:rPr>
                <w:sz w:val="16"/>
                <w:szCs w:val="16"/>
              </w:rPr>
              <w:t xml:space="preserve">Exemption from the payment of the </w:t>
            </w:r>
            <w:proofErr w:type="spellStart"/>
            <w:r w:rsidRPr="00A7507E">
              <w:rPr>
                <w:sz w:val="16"/>
                <w:szCs w:val="16"/>
              </w:rPr>
              <w:t>ITBIS</w:t>
            </w:r>
            <w:proofErr w:type="spellEnd"/>
            <w:r w:rsidRPr="00A7507E">
              <w:rPr>
                <w:sz w:val="16"/>
                <w:szCs w:val="16"/>
              </w:rPr>
              <w:t xml:space="preserve"> for five years for the purchase or rental of equipment, materials and inputs directly related to the construction, repair or expansion of the goods and infrastructure covered by the PPP contract.</w:t>
            </w:r>
          </w:p>
          <w:p w14:paraId="41FA088A" w14:textId="77777777" w:rsidR="006C6BEF" w:rsidRPr="00A7507E" w:rsidRDefault="006C6BEF" w:rsidP="00EB7374">
            <w:pPr>
              <w:pStyle w:val="ListParagraph"/>
              <w:numPr>
                <w:ilvl w:val="0"/>
                <w:numId w:val="12"/>
              </w:numPr>
              <w:ind w:left="376" w:hanging="376"/>
              <w:jc w:val="left"/>
              <w:rPr>
                <w:sz w:val="16"/>
                <w:szCs w:val="16"/>
              </w:rPr>
            </w:pPr>
            <w:r w:rsidRPr="00A7507E">
              <w:rPr>
                <w:sz w:val="16"/>
                <w:szCs w:val="16"/>
              </w:rPr>
              <w:t>Accelerated depreciation and amortization system.</w:t>
            </w:r>
          </w:p>
        </w:tc>
        <w:tc>
          <w:tcPr>
            <w:tcW w:w="1559" w:type="dxa"/>
          </w:tcPr>
          <w:p w14:paraId="30267B70" w14:textId="77777777" w:rsidR="006C6BEF" w:rsidRPr="00A7507E" w:rsidRDefault="006C6BEF" w:rsidP="00E361EC">
            <w:pPr>
              <w:jc w:val="left"/>
              <w:rPr>
                <w:strike/>
                <w:sz w:val="16"/>
                <w:szCs w:val="16"/>
              </w:rPr>
            </w:pPr>
            <w:r w:rsidRPr="00A7507E">
              <w:rPr>
                <w:sz w:val="16"/>
                <w:szCs w:val="16"/>
              </w:rPr>
              <w:t>Law No. 47</w:t>
            </w:r>
            <w:r w:rsidRPr="00A7507E">
              <w:rPr>
                <w:sz w:val="16"/>
                <w:szCs w:val="16"/>
              </w:rPr>
              <w:noBreakHyphen/>
              <w:t>20</w:t>
            </w:r>
          </w:p>
        </w:tc>
      </w:tr>
      <w:tr w:rsidR="006C6BEF" w:rsidRPr="00A7507E" w14:paraId="3D3EE27D" w14:textId="77777777" w:rsidTr="00706642">
        <w:trPr>
          <w:cantSplit/>
        </w:trPr>
        <w:tc>
          <w:tcPr>
            <w:tcW w:w="9067" w:type="dxa"/>
            <w:gridSpan w:val="3"/>
          </w:tcPr>
          <w:p w14:paraId="548995A6" w14:textId="77777777" w:rsidR="006C6BEF" w:rsidRPr="00A7507E" w:rsidRDefault="006C6BEF" w:rsidP="00E361EC">
            <w:pPr>
              <w:jc w:val="left"/>
              <w:rPr>
                <w:b/>
                <w:bCs/>
                <w:sz w:val="16"/>
                <w:szCs w:val="16"/>
              </w:rPr>
            </w:pPr>
            <w:r w:rsidRPr="00A7507E">
              <w:rPr>
                <w:b/>
                <w:bCs/>
                <w:sz w:val="16"/>
                <w:szCs w:val="16"/>
              </w:rPr>
              <w:t>Incentive programmes that have not been changed</w:t>
            </w:r>
          </w:p>
        </w:tc>
      </w:tr>
      <w:tr w:rsidR="006C6BEF" w:rsidRPr="00A7507E" w14:paraId="0138C4E9" w14:textId="77777777" w:rsidTr="00706642">
        <w:trPr>
          <w:cnfStyle w:val="000000010000" w:firstRow="0" w:lastRow="0" w:firstColumn="0" w:lastColumn="0" w:oddVBand="0" w:evenVBand="0" w:oddHBand="0" w:evenHBand="1" w:firstRowFirstColumn="0" w:firstRowLastColumn="0" w:lastRowFirstColumn="0" w:lastRowLastColumn="0"/>
          <w:cantSplit/>
        </w:trPr>
        <w:tc>
          <w:tcPr>
            <w:tcW w:w="1778" w:type="dxa"/>
          </w:tcPr>
          <w:p w14:paraId="30839F71" w14:textId="77777777" w:rsidR="006C6BEF" w:rsidRPr="00A7507E" w:rsidRDefault="006C6BEF" w:rsidP="00E361EC">
            <w:pPr>
              <w:jc w:val="left"/>
              <w:rPr>
                <w:sz w:val="16"/>
                <w:szCs w:val="16"/>
              </w:rPr>
            </w:pPr>
            <w:r w:rsidRPr="00A7507E">
              <w:rPr>
                <w:sz w:val="16"/>
                <w:szCs w:val="16"/>
              </w:rPr>
              <w:t>Film industry</w:t>
            </w:r>
          </w:p>
        </w:tc>
        <w:tc>
          <w:tcPr>
            <w:tcW w:w="5730" w:type="dxa"/>
          </w:tcPr>
          <w:p w14:paraId="44887736" w14:textId="77777777" w:rsidR="006C6BEF" w:rsidRPr="00A7507E" w:rsidRDefault="006C6BEF" w:rsidP="00EB7374">
            <w:pPr>
              <w:pStyle w:val="ListParagraph"/>
              <w:numPr>
                <w:ilvl w:val="0"/>
                <w:numId w:val="13"/>
              </w:numPr>
              <w:ind w:left="376" w:hanging="376"/>
              <w:jc w:val="left"/>
              <w:rPr>
                <w:sz w:val="16"/>
                <w:szCs w:val="16"/>
              </w:rPr>
            </w:pPr>
            <w:r w:rsidRPr="00A7507E">
              <w:rPr>
                <w:sz w:val="16"/>
                <w:szCs w:val="16"/>
              </w:rPr>
              <w:t xml:space="preserve">Exemption from the </w:t>
            </w:r>
            <w:proofErr w:type="spellStart"/>
            <w:r w:rsidRPr="00A7507E">
              <w:rPr>
                <w:sz w:val="16"/>
                <w:szCs w:val="16"/>
              </w:rPr>
              <w:t>ISR</w:t>
            </w:r>
            <w:proofErr w:type="spellEnd"/>
            <w:r w:rsidRPr="00A7507E">
              <w:rPr>
                <w:sz w:val="16"/>
                <w:szCs w:val="16"/>
              </w:rPr>
              <w:t>: (</w:t>
            </w:r>
            <w:proofErr w:type="spellStart"/>
            <w:r w:rsidRPr="00A7507E">
              <w:rPr>
                <w:sz w:val="16"/>
                <w:szCs w:val="16"/>
              </w:rPr>
              <w:t>i</w:t>
            </w:r>
            <w:proofErr w:type="spellEnd"/>
            <w:r w:rsidRPr="00A7507E">
              <w:rPr>
                <w:sz w:val="16"/>
                <w:szCs w:val="16"/>
              </w:rPr>
              <w:t>) for the reinvestment of income earned by producers and distributors of Dominican feature films and exhibitors in the film sector; and (ii) for the construction of film and recording studios.</w:t>
            </w:r>
          </w:p>
          <w:p w14:paraId="42521F32" w14:textId="77777777" w:rsidR="006C6BEF" w:rsidRPr="00A7507E" w:rsidRDefault="006C6BEF" w:rsidP="00EB7374">
            <w:pPr>
              <w:pStyle w:val="ListParagraph"/>
              <w:numPr>
                <w:ilvl w:val="0"/>
                <w:numId w:val="13"/>
              </w:numPr>
              <w:ind w:left="376" w:hanging="376"/>
              <w:jc w:val="left"/>
              <w:rPr>
                <w:sz w:val="16"/>
                <w:szCs w:val="16"/>
              </w:rPr>
            </w:pPr>
            <w:r w:rsidRPr="00A7507E">
              <w:rPr>
                <w:sz w:val="16"/>
                <w:szCs w:val="16"/>
              </w:rPr>
              <w:t xml:space="preserve">Deduction of 100% of the actual value invested against the </w:t>
            </w:r>
            <w:proofErr w:type="spellStart"/>
            <w:r w:rsidRPr="00A7507E">
              <w:rPr>
                <w:sz w:val="16"/>
                <w:szCs w:val="16"/>
              </w:rPr>
              <w:t>ISR</w:t>
            </w:r>
            <w:proofErr w:type="spellEnd"/>
            <w:r w:rsidRPr="00A7507E">
              <w:rPr>
                <w:sz w:val="16"/>
                <w:szCs w:val="16"/>
              </w:rPr>
              <w:t xml:space="preserve"> (limited to 25% of the tax payable).</w:t>
            </w:r>
          </w:p>
          <w:p w14:paraId="63838D11" w14:textId="77777777" w:rsidR="006C6BEF" w:rsidRPr="00A7507E" w:rsidRDefault="006C6BEF" w:rsidP="00EB7374">
            <w:pPr>
              <w:pStyle w:val="ListParagraph"/>
              <w:numPr>
                <w:ilvl w:val="0"/>
                <w:numId w:val="13"/>
              </w:numPr>
              <w:shd w:val="clear" w:color="auto" w:fill="D9D9D9" w:themeFill="background1" w:themeFillShade="D9"/>
              <w:ind w:left="376" w:hanging="376"/>
              <w:jc w:val="left"/>
              <w:rPr>
                <w:sz w:val="16"/>
                <w:szCs w:val="16"/>
                <w:shd w:val="clear" w:color="auto" w:fill="D9D9D9" w:themeFill="background1" w:themeFillShade="D9"/>
              </w:rPr>
            </w:pPr>
            <w:r w:rsidRPr="00A7507E">
              <w:rPr>
                <w:sz w:val="16"/>
                <w:szCs w:val="16"/>
                <w:shd w:val="clear" w:color="auto" w:fill="D9D9D9" w:themeFill="background1" w:themeFillShade="D9"/>
              </w:rPr>
              <w:t xml:space="preserve">Exemption from the </w:t>
            </w:r>
            <w:proofErr w:type="spellStart"/>
            <w:r w:rsidRPr="00A7507E">
              <w:rPr>
                <w:sz w:val="16"/>
                <w:szCs w:val="16"/>
                <w:shd w:val="clear" w:color="auto" w:fill="D9D9D9" w:themeFill="background1" w:themeFillShade="D9"/>
              </w:rPr>
              <w:t>ITBIS</w:t>
            </w:r>
            <w:proofErr w:type="spellEnd"/>
            <w:r w:rsidRPr="00A7507E">
              <w:rPr>
                <w:sz w:val="16"/>
                <w:szCs w:val="16"/>
                <w:shd w:val="clear" w:color="auto" w:fill="D9D9D9" w:themeFill="background1" w:themeFillShade="D9"/>
              </w:rPr>
              <w:t xml:space="preserve"> for goods, services and/or leases directly related to the pre</w:t>
            </w:r>
            <w:r w:rsidRPr="00A7507E">
              <w:rPr>
                <w:sz w:val="16"/>
                <w:szCs w:val="16"/>
                <w:shd w:val="clear" w:color="auto" w:fill="D9D9D9" w:themeFill="background1" w:themeFillShade="D9"/>
              </w:rPr>
              <w:noBreakHyphen/>
              <w:t>production, production and post</w:t>
            </w:r>
            <w:r w:rsidRPr="00A7507E">
              <w:rPr>
                <w:sz w:val="16"/>
                <w:szCs w:val="16"/>
                <w:shd w:val="clear" w:color="auto" w:fill="D9D9D9" w:themeFill="background1" w:themeFillShade="D9"/>
              </w:rPr>
              <w:noBreakHyphen/>
              <w:t xml:space="preserve">production of film and </w:t>
            </w:r>
            <w:proofErr w:type="spellStart"/>
            <w:r w:rsidRPr="00A7507E">
              <w:rPr>
                <w:sz w:val="16"/>
                <w:szCs w:val="16"/>
                <w:shd w:val="clear" w:color="auto" w:fill="D9D9D9" w:themeFill="background1" w:themeFillShade="D9"/>
              </w:rPr>
              <w:t>audiovisual</w:t>
            </w:r>
            <w:proofErr w:type="spellEnd"/>
            <w:r w:rsidRPr="00A7507E">
              <w:rPr>
                <w:sz w:val="16"/>
                <w:szCs w:val="16"/>
                <w:shd w:val="clear" w:color="auto" w:fill="D9D9D9" w:themeFill="background1" w:themeFillShade="D9"/>
              </w:rPr>
              <w:t xml:space="preserve"> works.</w:t>
            </w:r>
          </w:p>
          <w:p w14:paraId="48C79F17" w14:textId="77777777" w:rsidR="006C6BEF" w:rsidRPr="00A7507E" w:rsidRDefault="006C6BEF" w:rsidP="00EB7374">
            <w:pPr>
              <w:pStyle w:val="ListParagraph"/>
              <w:numPr>
                <w:ilvl w:val="0"/>
                <w:numId w:val="12"/>
              </w:numPr>
              <w:shd w:val="clear" w:color="auto" w:fill="D9D9D9" w:themeFill="background1" w:themeFillShade="D9"/>
              <w:ind w:left="376" w:hanging="376"/>
              <w:jc w:val="left"/>
              <w:rPr>
                <w:sz w:val="16"/>
                <w:szCs w:val="16"/>
              </w:rPr>
            </w:pPr>
            <w:r w:rsidRPr="00A7507E">
              <w:rPr>
                <w:sz w:val="16"/>
                <w:szCs w:val="16"/>
                <w:shd w:val="clear" w:color="auto" w:fill="D9D9D9" w:themeFill="background1" w:themeFillShade="D9"/>
              </w:rPr>
              <w:t xml:space="preserve">Exemption from 50%–100% of the </w:t>
            </w:r>
            <w:proofErr w:type="spellStart"/>
            <w:r w:rsidRPr="00A7507E">
              <w:rPr>
                <w:sz w:val="16"/>
                <w:szCs w:val="16"/>
                <w:shd w:val="clear" w:color="auto" w:fill="D9D9D9" w:themeFill="background1" w:themeFillShade="D9"/>
              </w:rPr>
              <w:t>ISR</w:t>
            </w:r>
            <w:proofErr w:type="spellEnd"/>
            <w:r w:rsidRPr="00A7507E">
              <w:rPr>
                <w:sz w:val="16"/>
                <w:szCs w:val="16"/>
                <w:shd w:val="clear" w:color="auto" w:fill="D9D9D9" w:themeFill="background1" w:themeFillShade="D9"/>
              </w:rPr>
              <w:t xml:space="preserve"> for income received by cinemas.</w:t>
            </w:r>
          </w:p>
        </w:tc>
        <w:tc>
          <w:tcPr>
            <w:tcW w:w="1559" w:type="dxa"/>
          </w:tcPr>
          <w:p w14:paraId="2D2F0DFF" w14:textId="77777777" w:rsidR="006C6BEF" w:rsidRPr="00A7507E" w:rsidRDefault="006C6BEF" w:rsidP="00E361EC">
            <w:pPr>
              <w:jc w:val="left"/>
              <w:rPr>
                <w:sz w:val="16"/>
                <w:szCs w:val="16"/>
              </w:rPr>
            </w:pPr>
            <w:r w:rsidRPr="00A7507E">
              <w:rPr>
                <w:sz w:val="16"/>
                <w:szCs w:val="16"/>
              </w:rPr>
              <w:t>Law No. 108</w:t>
            </w:r>
            <w:r w:rsidRPr="00A7507E">
              <w:rPr>
                <w:sz w:val="16"/>
                <w:szCs w:val="16"/>
              </w:rPr>
              <w:noBreakHyphen/>
              <w:t>10 and amendments thereto</w:t>
            </w:r>
          </w:p>
        </w:tc>
      </w:tr>
      <w:tr w:rsidR="006C6BEF" w:rsidRPr="00A7507E" w14:paraId="7A6A4AF6" w14:textId="77777777" w:rsidTr="00706642">
        <w:trPr>
          <w:cantSplit/>
        </w:trPr>
        <w:tc>
          <w:tcPr>
            <w:tcW w:w="1778" w:type="dxa"/>
          </w:tcPr>
          <w:p w14:paraId="79E6C6E1" w14:textId="77777777" w:rsidR="006C6BEF" w:rsidRPr="00A7507E" w:rsidRDefault="006C6BEF" w:rsidP="00E361EC">
            <w:pPr>
              <w:jc w:val="left"/>
              <w:rPr>
                <w:sz w:val="16"/>
                <w:szCs w:val="16"/>
              </w:rPr>
            </w:pPr>
            <w:r w:rsidRPr="00A7507E">
              <w:rPr>
                <w:sz w:val="16"/>
                <w:szCs w:val="16"/>
              </w:rPr>
              <w:t>Textiles</w:t>
            </w:r>
          </w:p>
        </w:tc>
        <w:tc>
          <w:tcPr>
            <w:tcW w:w="5730" w:type="dxa"/>
          </w:tcPr>
          <w:p w14:paraId="25689456" w14:textId="77777777" w:rsidR="006C6BEF" w:rsidRPr="00A7507E" w:rsidRDefault="006C6BEF" w:rsidP="00EB7374">
            <w:pPr>
              <w:pStyle w:val="ListParagraph"/>
              <w:numPr>
                <w:ilvl w:val="0"/>
                <w:numId w:val="11"/>
              </w:numPr>
              <w:ind w:left="376" w:hanging="376"/>
              <w:jc w:val="left"/>
              <w:rPr>
                <w:sz w:val="16"/>
                <w:szCs w:val="16"/>
              </w:rPr>
            </w:pPr>
            <w:r w:rsidRPr="00A7507E">
              <w:rPr>
                <w:sz w:val="16"/>
                <w:szCs w:val="16"/>
              </w:rPr>
              <w:t xml:space="preserve">Exemption from payment of the </w:t>
            </w:r>
            <w:proofErr w:type="spellStart"/>
            <w:r w:rsidRPr="00A7507E">
              <w:rPr>
                <w:sz w:val="16"/>
                <w:szCs w:val="16"/>
              </w:rPr>
              <w:t>ITBIS</w:t>
            </w:r>
            <w:proofErr w:type="spellEnd"/>
            <w:r w:rsidRPr="00A7507E">
              <w:rPr>
                <w:sz w:val="16"/>
                <w:szCs w:val="16"/>
              </w:rPr>
              <w:t xml:space="preserve"> and other taxes on the importation and/or purchase of machinery and equipment.</w:t>
            </w:r>
          </w:p>
          <w:p w14:paraId="380F6A27" w14:textId="77777777" w:rsidR="006C6BEF" w:rsidRPr="00A7507E" w:rsidRDefault="006C6BEF" w:rsidP="00EB7374">
            <w:pPr>
              <w:pStyle w:val="ListParagraph"/>
              <w:numPr>
                <w:ilvl w:val="0"/>
                <w:numId w:val="11"/>
              </w:numPr>
              <w:shd w:val="clear" w:color="auto" w:fill="D9D9D9" w:themeFill="background1" w:themeFillShade="D9"/>
              <w:ind w:left="376" w:hanging="376"/>
              <w:jc w:val="left"/>
              <w:rPr>
                <w:sz w:val="16"/>
                <w:szCs w:val="16"/>
              </w:rPr>
            </w:pPr>
            <w:r w:rsidRPr="00A7507E">
              <w:rPr>
                <w:sz w:val="16"/>
                <w:szCs w:val="16"/>
              </w:rPr>
              <w:t xml:space="preserve">Exemption from payment of the </w:t>
            </w:r>
            <w:proofErr w:type="spellStart"/>
            <w:r w:rsidRPr="00A7507E">
              <w:rPr>
                <w:sz w:val="16"/>
                <w:szCs w:val="16"/>
              </w:rPr>
              <w:t>ITBIS</w:t>
            </w:r>
            <w:proofErr w:type="spellEnd"/>
            <w:r w:rsidRPr="00A7507E">
              <w:rPr>
                <w:sz w:val="16"/>
                <w:szCs w:val="16"/>
              </w:rPr>
              <w:t xml:space="preserve"> and other taxes on the importation and/or purchase of inputs, raw materials and services required.</w:t>
            </w:r>
          </w:p>
          <w:p w14:paraId="42683BE0" w14:textId="77777777" w:rsidR="006C6BEF" w:rsidRPr="00A7507E" w:rsidRDefault="006C6BEF" w:rsidP="00EB7374">
            <w:pPr>
              <w:pStyle w:val="ListParagraph"/>
              <w:numPr>
                <w:ilvl w:val="0"/>
                <w:numId w:val="11"/>
              </w:numPr>
              <w:shd w:val="clear" w:color="auto" w:fill="D9D9D9" w:themeFill="background1" w:themeFillShade="D9"/>
              <w:ind w:left="376" w:hanging="376"/>
              <w:jc w:val="left"/>
              <w:rPr>
                <w:sz w:val="16"/>
                <w:szCs w:val="16"/>
              </w:rPr>
            </w:pPr>
            <w:r w:rsidRPr="00A7507E">
              <w:rPr>
                <w:sz w:val="16"/>
                <w:szCs w:val="16"/>
              </w:rPr>
              <w:t xml:space="preserve">Exemption from payment of the </w:t>
            </w:r>
            <w:proofErr w:type="spellStart"/>
            <w:r w:rsidRPr="00A7507E">
              <w:rPr>
                <w:sz w:val="16"/>
                <w:szCs w:val="16"/>
              </w:rPr>
              <w:t>ISR</w:t>
            </w:r>
            <w:proofErr w:type="spellEnd"/>
            <w:r w:rsidRPr="00A7507E">
              <w:rPr>
                <w:sz w:val="16"/>
                <w:szCs w:val="16"/>
              </w:rPr>
              <w:t xml:space="preserve"> on the production process.</w:t>
            </w:r>
          </w:p>
        </w:tc>
        <w:tc>
          <w:tcPr>
            <w:tcW w:w="1559" w:type="dxa"/>
          </w:tcPr>
          <w:p w14:paraId="33CDD4D2" w14:textId="77777777" w:rsidR="006C6BEF" w:rsidRPr="00A7507E" w:rsidRDefault="006C6BEF" w:rsidP="00E361EC">
            <w:pPr>
              <w:jc w:val="left"/>
              <w:rPr>
                <w:sz w:val="16"/>
                <w:szCs w:val="16"/>
              </w:rPr>
            </w:pPr>
            <w:r w:rsidRPr="00A7507E">
              <w:rPr>
                <w:sz w:val="16"/>
                <w:szCs w:val="16"/>
              </w:rPr>
              <w:t>Law No. 56</w:t>
            </w:r>
            <w:r w:rsidRPr="00A7507E">
              <w:rPr>
                <w:sz w:val="16"/>
                <w:szCs w:val="16"/>
              </w:rPr>
              <w:noBreakHyphen/>
              <w:t>07</w:t>
            </w:r>
          </w:p>
        </w:tc>
      </w:tr>
      <w:tr w:rsidR="006C6BEF" w:rsidRPr="00A7507E" w14:paraId="645F17BB" w14:textId="77777777" w:rsidTr="00706642">
        <w:trPr>
          <w:cnfStyle w:val="000000010000" w:firstRow="0" w:lastRow="0" w:firstColumn="0" w:lastColumn="0" w:oddVBand="0" w:evenVBand="0" w:oddHBand="0" w:evenHBand="1" w:firstRowFirstColumn="0" w:firstRowLastColumn="0" w:lastRowFirstColumn="0" w:lastRowLastColumn="0"/>
          <w:cantSplit/>
        </w:trPr>
        <w:tc>
          <w:tcPr>
            <w:tcW w:w="1778" w:type="dxa"/>
          </w:tcPr>
          <w:p w14:paraId="5ACAB4EE" w14:textId="77777777" w:rsidR="006C6BEF" w:rsidRPr="00A7507E" w:rsidRDefault="006C6BEF" w:rsidP="00E361EC">
            <w:pPr>
              <w:jc w:val="left"/>
              <w:rPr>
                <w:sz w:val="16"/>
                <w:szCs w:val="16"/>
              </w:rPr>
            </w:pPr>
            <w:r w:rsidRPr="00A7507E">
              <w:rPr>
                <w:sz w:val="16"/>
                <w:szCs w:val="16"/>
              </w:rPr>
              <w:t>Tourism</w:t>
            </w:r>
          </w:p>
        </w:tc>
        <w:tc>
          <w:tcPr>
            <w:tcW w:w="5730" w:type="dxa"/>
          </w:tcPr>
          <w:p w14:paraId="2D8BE827" w14:textId="77777777" w:rsidR="006C6BEF" w:rsidRPr="00A7507E" w:rsidRDefault="006C6BEF" w:rsidP="00EB7374">
            <w:pPr>
              <w:pStyle w:val="ListParagraph"/>
              <w:numPr>
                <w:ilvl w:val="0"/>
                <w:numId w:val="11"/>
              </w:numPr>
              <w:ind w:left="376" w:hanging="376"/>
              <w:jc w:val="left"/>
              <w:rPr>
                <w:sz w:val="16"/>
                <w:szCs w:val="16"/>
              </w:rPr>
            </w:pPr>
            <w:r w:rsidRPr="00A7507E">
              <w:rPr>
                <w:sz w:val="16"/>
                <w:szCs w:val="16"/>
              </w:rPr>
              <w:t>Exemption from local and national registration and construction taxes.</w:t>
            </w:r>
          </w:p>
          <w:p w14:paraId="6B55E3E7" w14:textId="77777777" w:rsidR="006C6BEF" w:rsidRPr="00A7507E" w:rsidRDefault="006C6BEF" w:rsidP="00EB7374">
            <w:pPr>
              <w:pStyle w:val="ListParagraph"/>
              <w:numPr>
                <w:ilvl w:val="0"/>
                <w:numId w:val="11"/>
              </w:numPr>
              <w:ind w:left="376" w:hanging="376"/>
              <w:jc w:val="left"/>
              <w:rPr>
                <w:sz w:val="16"/>
                <w:szCs w:val="16"/>
              </w:rPr>
            </w:pPr>
            <w:r w:rsidRPr="00A7507E">
              <w:rPr>
                <w:sz w:val="16"/>
                <w:szCs w:val="16"/>
              </w:rPr>
              <w:t>Exemption from import duties and other applicable taxes on plant, equipment and furniture needed for the initial equipping and operational start</w:t>
            </w:r>
            <w:r w:rsidRPr="00A7507E">
              <w:rPr>
                <w:sz w:val="16"/>
                <w:szCs w:val="16"/>
              </w:rPr>
              <w:noBreakHyphen/>
              <w:t>up of the tourist facility concerned.</w:t>
            </w:r>
          </w:p>
          <w:p w14:paraId="5914F68C" w14:textId="77777777" w:rsidR="006C6BEF" w:rsidRPr="00A7507E" w:rsidRDefault="006C6BEF" w:rsidP="00EB7374">
            <w:pPr>
              <w:pStyle w:val="ListParagraph"/>
              <w:numPr>
                <w:ilvl w:val="0"/>
                <w:numId w:val="11"/>
              </w:numPr>
              <w:ind w:left="376" w:hanging="376"/>
              <w:jc w:val="left"/>
              <w:rPr>
                <w:sz w:val="16"/>
                <w:szCs w:val="16"/>
              </w:rPr>
            </w:pPr>
            <w:r w:rsidRPr="00A7507E">
              <w:rPr>
                <w:sz w:val="16"/>
                <w:szCs w:val="16"/>
              </w:rPr>
              <w:t>Deduction of the investment cost from other taxable income at a rate of 20% per annum for five years.</w:t>
            </w:r>
          </w:p>
          <w:p w14:paraId="14434CC7" w14:textId="77777777" w:rsidR="006C6BEF" w:rsidRPr="00A7507E" w:rsidRDefault="006C6BEF" w:rsidP="00EB7374">
            <w:pPr>
              <w:pStyle w:val="ListParagraph"/>
              <w:numPr>
                <w:ilvl w:val="0"/>
                <w:numId w:val="11"/>
              </w:numPr>
              <w:shd w:val="clear" w:color="auto" w:fill="D9D9D9" w:themeFill="background1" w:themeFillShade="D9"/>
              <w:ind w:left="376" w:hanging="376"/>
              <w:jc w:val="left"/>
              <w:rPr>
                <w:sz w:val="16"/>
                <w:szCs w:val="16"/>
              </w:rPr>
            </w:pPr>
            <w:r w:rsidRPr="00A7507E">
              <w:rPr>
                <w:sz w:val="16"/>
                <w:szCs w:val="16"/>
              </w:rPr>
              <w:t xml:space="preserve">Exemption from payment of taxes on gross sales and the </w:t>
            </w:r>
            <w:proofErr w:type="spellStart"/>
            <w:r w:rsidRPr="00A7507E">
              <w:rPr>
                <w:sz w:val="16"/>
                <w:szCs w:val="16"/>
              </w:rPr>
              <w:t>ITBIS</w:t>
            </w:r>
            <w:proofErr w:type="spellEnd"/>
            <w:r w:rsidRPr="00A7507E">
              <w:rPr>
                <w:sz w:val="16"/>
                <w:szCs w:val="16"/>
              </w:rPr>
              <w:t>.</w:t>
            </w:r>
          </w:p>
          <w:p w14:paraId="74E521B1" w14:textId="77777777" w:rsidR="006C6BEF" w:rsidRPr="00A7507E" w:rsidRDefault="006C6BEF" w:rsidP="00EB7374">
            <w:pPr>
              <w:pStyle w:val="ListParagraph"/>
              <w:numPr>
                <w:ilvl w:val="0"/>
                <w:numId w:val="11"/>
              </w:numPr>
              <w:shd w:val="clear" w:color="auto" w:fill="D9D9D9" w:themeFill="background1" w:themeFillShade="D9"/>
              <w:ind w:left="376" w:hanging="376"/>
              <w:jc w:val="left"/>
              <w:rPr>
                <w:sz w:val="16"/>
                <w:szCs w:val="16"/>
              </w:rPr>
            </w:pPr>
            <w:r w:rsidRPr="00A7507E">
              <w:rPr>
                <w:sz w:val="16"/>
                <w:szCs w:val="16"/>
              </w:rPr>
              <w:t>Exemption from the ISR.</w:t>
            </w:r>
          </w:p>
        </w:tc>
        <w:tc>
          <w:tcPr>
            <w:tcW w:w="1559" w:type="dxa"/>
          </w:tcPr>
          <w:p w14:paraId="154A745F" w14:textId="77777777" w:rsidR="006C6BEF" w:rsidRPr="00A7507E" w:rsidRDefault="006C6BEF" w:rsidP="00E361EC">
            <w:pPr>
              <w:jc w:val="left"/>
              <w:rPr>
                <w:sz w:val="16"/>
                <w:szCs w:val="16"/>
              </w:rPr>
            </w:pPr>
            <w:r w:rsidRPr="00A7507E">
              <w:rPr>
                <w:sz w:val="16"/>
                <w:szCs w:val="16"/>
              </w:rPr>
              <w:t>Law No. 158</w:t>
            </w:r>
            <w:r w:rsidRPr="00A7507E">
              <w:rPr>
                <w:sz w:val="16"/>
                <w:szCs w:val="16"/>
              </w:rPr>
              <w:noBreakHyphen/>
              <w:t>01 and amendments thereto</w:t>
            </w:r>
          </w:p>
        </w:tc>
      </w:tr>
      <w:tr w:rsidR="006C6BEF" w:rsidRPr="00A7507E" w14:paraId="12FE538D" w14:textId="77777777" w:rsidTr="00706642">
        <w:trPr>
          <w:cantSplit/>
        </w:trPr>
        <w:tc>
          <w:tcPr>
            <w:tcW w:w="1778" w:type="dxa"/>
          </w:tcPr>
          <w:p w14:paraId="2F1E5C1E" w14:textId="77777777" w:rsidR="006C6BEF" w:rsidRPr="00A7507E" w:rsidRDefault="006C6BEF" w:rsidP="00E361EC">
            <w:pPr>
              <w:jc w:val="left"/>
              <w:rPr>
                <w:sz w:val="16"/>
                <w:szCs w:val="16"/>
              </w:rPr>
            </w:pPr>
            <w:r w:rsidRPr="00A7507E">
              <w:rPr>
                <w:sz w:val="16"/>
                <w:szCs w:val="16"/>
              </w:rPr>
              <w:t>Free zones</w:t>
            </w:r>
          </w:p>
        </w:tc>
        <w:tc>
          <w:tcPr>
            <w:tcW w:w="5730" w:type="dxa"/>
          </w:tcPr>
          <w:p w14:paraId="3AC0B60D" w14:textId="77777777" w:rsidR="006C6BEF" w:rsidRPr="00A7507E" w:rsidRDefault="006C6BEF" w:rsidP="00EB7374">
            <w:pPr>
              <w:pStyle w:val="ListParagraph"/>
              <w:numPr>
                <w:ilvl w:val="0"/>
                <w:numId w:val="11"/>
              </w:numPr>
              <w:ind w:left="376" w:hanging="376"/>
              <w:jc w:val="left"/>
              <w:rPr>
                <w:sz w:val="16"/>
                <w:szCs w:val="16"/>
              </w:rPr>
            </w:pPr>
            <w:r w:rsidRPr="00A7507E">
              <w:rPr>
                <w:sz w:val="16"/>
                <w:szCs w:val="16"/>
              </w:rPr>
              <w:t>Tax exemptions of up to 100% of tax payments on the construction, registration and transfer of property; of taxes on the setting up of companies or increase in capital; and of customs duties on raw materials, equipment and building materials to be used for construction, equipping and operating in free zones.</w:t>
            </w:r>
          </w:p>
          <w:p w14:paraId="0E14F1AF" w14:textId="77777777" w:rsidR="006C6BEF" w:rsidRPr="00A7507E" w:rsidRDefault="006C6BEF" w:rsidP="00EB7374">
            <w:pPr>
              <w:pStyle w:val="ListParagraph"/>
              <w:numPr>
                <w:ilvl w:val="0"/>
                <w:numId w:val="11"/>
              </w:numPr>
              <w:ind w:left="376" w:hanging="376"/>
              <w:jc w:val="left"/>
              <w:rPr>
                <w:sz w:val="16"/>
                <w:szCs w:val="16"/>
              </w:rPr>
            </w:pPr>
            <w:r w:rsidRPr="00A7507E">
              <w:rPr>
                <w:sz w:val="16"/>
                <w:szCs w:val="16"/>
              </w:rPr>
              <w:t xml:space="preserve">Exemptions from the payment of the </w:t>
            </w:r>
            <w:proofErr w:type="spellStart"/>
            <w:r w:rsidRPr="00A7507E">
              <w:rPr>
                <w:sz w:val="16"/>
                <w:szCs w:val="16"/>
              </w:rPr>
              <w:t>ISR</w:t>
            </w:r>
            <w:proofErr w:type="spellEnd"/>
            <w:r w:rsidRPr="00A7507E">
              <w:rPr>
                <w:sz w:val="16"/>
                <w:szCs w:val="16"/>
              </w:rPr>
              <w:t xml:space="preserve"> and customs duties on the importation and exportation of the raw materials, equipment and machinery used to produce goods.</w:t>
            </w:r>
          </w:p>
        </w:tc>
        <w:tc>
          <w:tcPr>
            <w:tcW w:w="1559" w:type="dxa"/>
          </w:tcPr>
          <w:p w14:paraId="54887BB3" w14:textId="77777777" w:rsidR="006C6BEF" w:rsidRPr="00A7507E" w:rsidRDefault="006C6BEF" w:rsidP="00E361EC">
            <w:pPr>
              <w:jc w:val="left"/>
              <w:rPr>
                <w:sz w:val="16"/>
                <w:szCs w:val="16"/>
              </w:rPr>
            </w:pPr>
            <w:r w:rsidRPr="00A7507E">
              <w:rPr>
                <w:sz w:val="16"/>
                <w:szCs w:val="16"/>
              </w:rPr>
              <w:t>Law No. 8</w:t>
            </w:r>
            <w:r w:rsidRPr="00A7507E">
              <w:rPr>
                <w:sz w:val="16"/>
                <w:szCs w:val="16"/>
              </w:rPr>
              <w:noBreakHyphen/>
              <w:t>90 and the amendments thereto</w:t>
            </w:r>
          </w:p>
        </w:tc>
      </w:tr>
    </w:tbl>
    <w:p w14:paraId="41D813AD" w14:textId="77777777" w:rsidR="006C6BEF" w:rsidRPr="0030249D" w:rsidRDefault="006C6BEF" w:rsidP="004C7B3C">
      <w:pPr>
        <w:pStyle w:val="NoteText"/>
        <w:spacing w:before="120" w:after="120"/>
      </w:pPr>
      <w:r w:rsidRPr="0030249D">
        <w:t>Note:</w:t>
      </w:r>
      <w:r w:rsidRPr="0030249D">
        <w:tab/>
        <w:t>Production incentives are shown in grey background.</w:t>
      </w:r>
    </w:p>
    <w:bookmarkEnd w:id="106"/>
    <w:p w14:paraId="1977AA51" w14:textId="77777777" w:rsidR="006C6BEF" w:rsidRPr="0030249D" w:rsidRDefault="006C6BEF" w:rsidP="004F1E44">
      <w:pPr>
        <w:pStyle w:val="NoteText"/>
        <w:spacing w:before="120" w:after="240"/>
      </w:pPr>
      <w:r w:rsidRPr="0030249D">
        <w:t>Source:</w:t>
      </w:r>
      <w:r w:rsidRPr="0030249D">
        <w:tab/>
        <w:t>WTO Secretariat.</w:t>
      </w:r>
    </w:p>
    <w:p w14:paraId="1ECDB06E" w14:textId="77777777" w:rsidR="006C6BEF" w:rsidRPr="0030249D" w:rsidRDefault="006C6BEF" w:rsidP="007A1233">
      <w:pPr>
        <w:pStyle w:val="BodyText"/>
      </w:pPr>
      <w:bookmarkStart w:id="107" w:name="_Hlk108045902"/>
      <w:bookmarkStart w:id="108" w:name="_Hlk108470104"/>
      <w:r w:rsidRPr="0030249D">
        <w:lastRenderedPageBreak/>
        <w:t>In addition, a foreign investment regime, introduced in 2008, was abolished in June 2017, which allowed the establishment of international financial zones.</w:t>
      </w:r>
      <w:r w:rsidRPr="0030249D">
        <w:rPr>
          <w:rStyle w:val="FootnoteReference"/>
        </w:rPr>
        <w:footnoteReference w:id="101"/>
      </w:r>
      <w:r w:rsidRPr="0030249D">
        <w:t xml:space="preserve"> The authorities indicated that there were no operators established under this regime.</w:t>
      </w:r>
    </w:p>
    <w:p w14:paraId="53F63EFB" w14:textId="77777777" w:rsidR="006C6BEF" w:rsidRPr="0030249D" w:rsidRDefault="006C6BEF" w:rsidP="007A1233">
      <w:pPr>
        <w:pStyle w:val="BodyText"/>
      </w:pPr>
      <w:r w:rsidRPr="0030249D">
        <w:t>Since 2007, incentives have been offered to install plants using solar, wind, and hydro power and, in 2015, these incentives were extended to facilities producing energy from biomass and solid waste, as well as geothermal plants.</w:t>
      </w:r>
      <w:r w:rsidRPr="0030249D">
        <w:rPr>
          <w:rStyle w:val="FootnoteReference"/>
        </w:rPr>
        <w:footnoteReference w:id="102"/>
      </w:r>
      <w:r w:rsidRPr="0030249D">
        <w:t xml:space="preserve"> In addition, since 2020, incentives have been granted to energy and materials recovery plants, including processing.</w:t>
      </w:r>
      <w:r w:rsidRPr="0030249D">
        <w:rPr>
          <w:rStyle w:val="FootnoteReference"/>
        </w:rPr>
        <w:footnoteReference w:id="103"/>
      </w:r>
      <w:r w:rsidRPr="0030249D">
        <w:t xml:space="preserve"> These incentives include: (</w:t>
      </w:r>
      <w:proofErr w:type="spellStart"/>
      <w:r w:rsidRPr="0030249D">
        <w:t>i</w:t>
      </w:r>
      <w:proofErr w:type="spellEnd"/>
      <w:r w:rsidRPr="0030249D">
        <w:t>) 100</w:t>
      </w:r>
      <w:r>
        <w:t>%</w:t>
      </w:r>
      <w:r w:rsidRPr="0030249D">
        <w:t xml:space="preserve"> exemption from asset tax for five years; and (ii) 100</w:t>
      </w:r>
      <w:r>
        <w:t>%</w:t>
      </w:r>
      <w:r w:rsidRPr="0030249D">
        <w:t xml:space="preserve"> exemption from tariffs and the </w:t>
      </w:r>
      <w:proofErr w:type="spellStart"/>
      <w:r w:rsidRPr="0030249D">
        <w:t>ITBIS</w:t>
      </w:r>
      <w:proofErr w:type="spellEnd"/>
      <w:r w:rsidRPr="0030249D">
        <w:t xml:space="preserve"> on machinery and equipment.</w:t>
      </w:r>
      <w:r w:rsidRPr="0030249D">
        <w:rPr>
          <w:rStyle w:val="FootnoteReference"/>
        </w:rPr>
        <w:footnoteReference w:id="104"/>
      </w:r>
    </w:p>
    <w:p w14:paraId="28DB06EA" w14:textId="77777777" w:rsidR="006C6BEF" w:rsidRPr="0030249D" w:rsidRDefault="006C6BEF" w:rsidP="007A1233">
      <w:pPr>
        <w:pStyle w:val="BodyText"/>
      </w:pPr>
      <w:r w:rsidRPr="0030249D">
        <w:t>Similarly, in 2020, some incentives for the manufacturing industry, which had expired in 2017, were reinstated for 15 fiscal years.</w:t>
      </w:r>
      <w:r w:rsidRPr="0030249D">
        <w:rPr>
          <w:rStyle w:val="FootnoteReference"/>
        </w:rPr>
        <w:footnoteReference w:id="105"/>
      </w:r>
      <w:r w:rsidRPr="0030249D">
        <w:t xml:space="preserve"> In addition to other production incentives, the </w:t>
      </w:r>
      <w:proofErr w:type="spellStart"/>
      <w:r w:rsidRPr="0030249D">
        <w:t>ITBIS</w:t>
      </w:r>
      <w:proofErr w:type="spellEnd"/>
      <w:r w:rsidRPr="0030249D">
        <w:t xml:space="preserve"> reduction continues to be granted for the purchase of machinery, equipment and technologies used in the production process; however, this exemption is only 50</w:t>
      </w:r>
      <w:r>
        <w:t>%</w:t>
      </w:r>
      <w:r w:rsidRPr="0030249D">
        <w:t xml:space="preserve"> and not 100</w:t>
      </w:r>
      <w:r>
        <w:t>%</w:t>
      </w:r>
      <w:r w:rsidRPr="0030249D">
        <w:t xml:space="preserve"> as before.</w:t>
      </w:r>
    </w:p>
    <w:p w14:paraId="75A50FC7" w14:textId="7456C905" w:rsidR="006C6BEF" w:rsidRPr="0030249D" w:rsidRDefault="006C6BEF" w:rsidP="007A1233">
      <w:pPr>
        <w:pStyle w:val="BodyText"/>
      </w:pPr>
      <w:r w:rsidRPr="0030249D">
        <w:t>According to the 2015 Constitution (Article 221), special treatment may be given to investments located in less</w:t>
      </w:r>
      <w:r w:rsidRPr="0030249D">
        <w:noBreakHyphen/>
        <w:t>developed areas or investments in activities of national interest, particularly in the border provinces. The incentives regime for the Special Border Development Zone in place since 2001</w:t>
      </w:r>
      <w:r w:rsidRPr="0030249D">
        <w:rPr>
          <w:rStyle w:val="FootnoteReference"/>
        </w:rPr>
        <w:footnoteReference w:id="106"/>
      </w:r>
      <w:r w:rsidRPr="0030249D">
        <w:t xml:space="preserve"> expired in 2021 and was replaced by a new regime called the </w:t>
      </w:r>
      <w:r w:rsidR="00BD6559" w:rsidRPr="00BD6559">
        <w:t>Special Comprehensive Border Development Zone</w:t>
      </w:r>
      <w:r w:rsidRPr="0030249D">
        <w:t>.</w:t>
      </w:r>
      <w:r w:rsidRPr="0030249D">
        <w:rPr>
          <w:rStyle w:val="FootnoteReference"/>
        </w:rPr>
        <w:footnoteReference w:id="107"/>
      </w:r>
      <w:r w:rsidRPr="0030249D">
        <w:t xml:space="preserve"> The current regime, like the previous one, offers incentives to enterprises setting up in the provinces of Pedernales, </w:t>
      </w:r>
      <w:proofErr w:type="spellStart"/>
      <w:r w:rsidRPr="0030249D">
        <w:t>Independencia</w:t>
      </w:r>
      <w:proofErr w:type="spellEnd"/>
      <w:r w:rsidRPr="0030249D">
        <w:t xml:space="preserve">, Elías Piña, </w:t>
      </w:r>
      <w:proofErr w:type="spellStart"/>
      <w:r w:rsidRPr="0030249D">
        <w:t>Dajabón</w:t>
      </w:r>
      <w:proofErr w:type="spellEnd"/>
      <w:r w:rsidRPr="0030249D">
        <w:t xml:space="preserve">, </w:t>
      </w:r>
      <w:proofErr w:type="spellStart"/>
      <w:r w:rsidRPr="0030249D">
        <w:t>Montecristi</w:t>
      </w:r>
      <w:proofErr w:type="spellEnd"/>
      <w:r w:rsidRPr="0030249D">
        <w:t xml:space="preserve">, Santiago Rodríguez and </w:t>
      </w:r>
      <w:proofErr w:type="spellStart"/>
      <w:r w:rsidRPr="0030249D">
        <w:t>Bahoruco</w:t>
      </w:r>
      <w:proofErr w:type="spellEnd"/>
      <w:r w:rsidRPr="0030249D">
        <w:t xml:space="preserve">. The incentives granted specifically for investment were changed, however, to extend the period of validity to 30 years instead of 20 years. Some of the production incentives granted under the regime for the </w:t>
      </w:r>
      <w:r w:rsidR="00BD6559" w:rsidRPr="00BD6559">
        <w:t>Special Comprehensive Border Development Zone</w:t>
      </w:r>
      <w:r w:rsidRPr="0030249D">
        <w:t xml:space="preserve"> were changed; for example, the 50</w:t>
      </w:r>
      <w:r>
        <w:t>%</w:t>
      </w:r>
      <w:r w:rsidRPr="0030249D">
        <w:t xml:space="preserve"> exemption from payment for transit and use of ports and airports was abolished, and the </w:t>
      </w:r>
      <w:proofErr w:type="spellStart"/>
      <w:r w:rsidRPr="0030249D">
        <w:t>ITBIS</w:t>
      </w:r>
      <w:proofErr w:type="spellEnd"/>
      <w:r w:rsidRPr="0030249D">
        <w:t xml:space="preserve"> exemption for the purchase of inputs and raw materials used in the production of goods was reduced from 100</w:t>
      </w:r>
      <w:r>
        <w:t>%</w:t>
      </w:r>
      <w:r w:rsidRPr="0030249D">
        <w:t xml:space="preserve"> to 50</w:t>
      </w:r>
      <w:r>
        <w:t>%</w:t>
      </w:r>
      <w:r w:rsidRPr="0030249D">
        <w:t>. The period of validity was also extended.</w:t>
      </w:r>
      <w:bookmarkEnd w:id="107"/>
      <w:r w:rsidRPr="0030249D">
        <w:rPr>
          <w:rStyle w:val="FootnoteReference"/>
        </w:rPr>
        <w:footnoteReference w:id="108"/>
      </w:r>
    </w:p>
    <w:bookmarkEnd w:id="108"/>
    <w:p w14:paraId="585B3E27" w14:textId="77777777" w:rsidR="006C6BEF" w:rsidRDefault="006C6BEF" w:rsidP="007A1233">
      <w:pPr>
        <w:pStyle w:val="BodyText"/>
      </w:pPr>
      <w:r w:rsidRPr="0030249D">
        <w:t>Since 2020, PPPs have also been granted incentives (Table 2.3).</w:t>
      </w:r>
    </w:p>
    <w:p w14:paraId="3F6C378F" w14:textId="77777777" w:rsidR="006C6BEF" w:rsidRDefault="006C6BEF" w:rsidP="000218F9"/>
    <w:p w14:paraId="359C372D" w14:textId="77777777" w:rsidR="006C6BEF" w:rsidRDefault="006C6BEF" w:rsidP="000218F9">
      <w:pPr>
        <w:sectPr w:rsidR="006C6BEF" w:rsidSect="00AD4325">
          <w:headerReference w:type="even" r:id="rId30"/>
          <w:headerReference w:type="default" r:id="rId31"/>
          <w:footerReference w:type="even" r:id="rId32"/>
          <w:footerReference w:type="default" r:id="rId33"/>
          <w:footerReference w:type="first" r:id="rId34"/>
          <w:footnotePr>
            <w:numRestart w:val="eachSect"/>
          </w:footnotePr>
          <w:pgSz w:w="11906" w:h="16838" w:code="9"/>
          <w:pgMar w:top="1701" w:right="1440" w:bottom="1440" w:left="1440" w:header="720" w:footer="720" w:gutter="0"/>
          <w:cols w:space="720"/>
          <w:docGrid w:linePitch="360"/>
        </w:sectPr>
      </w:pPr>
    </w:p>
    <w:p w14:paraId="7124A7B4" w14:textId="5BEE6466" w:rsidR="001A500E" w:rsidRPr="006420F6" w:rsidRDefault="00B77AAF" w:rsidP="00574469">
      <w:pPr>
        <w:pStyle w:val="Heading1"/>
      </w:pPr>
      <w:bookmarkStart w:id="109" w:name="_Toc384214157"/>
      <w:bookmarkStart w:id="110" w:name="_Toc417038457"/>
      <w:bookmarkStart w:id="111" w:name="_Toc117260612"/>
      <w:r>
        <w:rPr>
          <w:caps w:val="0"/>
        </w:rPr>
        <w:lastRenderedPageBreak/>
        <w:t>TRADE POLICIES AND PRACTICES BY MEASURE</w:t>
      </w:r>
      <w:bookmarkEnd w:id="109"/>
      <w:bookmarkEnd w:id="110"/>
      <w:bookmarkEnd w:id="111"/>
    </w:p>
    <w:p w14:paraId="2642A92A" w14:textId="77777777" w:rsidR="001A500E" w:rsidRPr="006420F6" w:rsidRDefault="001A500E" w:rsidP="00574469">
      <w:pPr>
        <w:pStyle w:val="Heading2"/>
      </w:pPr>
      <w:bookmarkStart w:id="112" w:name="_Toc384214158"/>
      <w:bookmarkStart w:id="113" w:name="_Toc417038458"/>
      <w:bookmarkStart w:id="114" w:name="_Toc117260613"/>
      <w:r>
        <w:t>Measures Directly Affecting Imports</w:t>
      </w:r>
      <w:bookmarkEnd w:id="112"/>
      <w:bookmarkEnd w:id="113"/>
      <w:bookmarkEnd w:id="114"/>
    </w:p>
    <w:p w14:paraId="66608500" w14:textId="77777777" w:rsidR="001A500E" w:rsidRPr="007C74EF" w:rsidRDefault="001A500E" w:rsidP="00574469">
      <w:pPr>
        <w:pStyle w:val="Heading3"/>
      </w:pPr>
      <w:bookmarkStart w:id="115" w:name="_Toc384214159"/>
      <w:bookmarkStart w:id="116" w:name="_Toc417038459"/>
      <w:bookmarkStart w:id="117" w:name="_Toc117260614"/>
      <w:r>
        <w:t>Customs procedures and requirements</w:t>
      </w:r>
      <w:bookmarkEnd w:id="115"/>
      <w:bookmarkEnd w:id="116"/>
      <w:bookmarkEnd w:id="117"/>
    </w:p>
    <w:p w14:paraId="1FDB3B8D" w14:textId="77777777" w:rsidR="001A500E" w:rsidRPr="002D565C" w:rsidRDefault="001A500E" w:rsidP="00F461FE">
      <w:pPr>
        <w:pStyle w:val="BodyText"/>
      </w:pPr>
      <w:r>
        <w:t>Since the most recent review, conducted in 2015, substantial changes have been made to the Dominican Republic's customs regime, as a result of the enactment of new customs legislation aimed at modernizing and simplifying customs regimes and procedures</w:t>
      </w:r>
      <w:r w:rsidRPr="0060155B">
        <w:t>:</w:t>
      </w:r>
      <w:bookmarkStart w:id="118" w:name="_Hlk114040519"/>
      <w:r w:rsidRPr="0060155B">
        <w:t xml:space="preserve"> L</w:t>
      </w:r>
      <w:r>
        <w:t xml:space="preserve">aw </w:t>
      </w:r>
      <w:r w:rsidRPr="0060155B">
        <w:t>No. </w:t>
      </w:r>
      <w:r>
        <w:t>168</w:t>
      </w:r>
      <w:r w:rsidRPr="0060155B">
        <w:noBreakHyphen/>
      </w:r>
      <w:r>
        <w:t xml:space="preserve">21 </w:t>
      </w:r>
      <w:bookmarkEnd w:id="118"/>
      <w:r>
        <w:t xml:space="preserve">on Customs of the Dominican Republic, which superseded former General Customs Law </w:t>
      </w:r>
      <w:r w:rsidRPr="0060155B">
        <w:t>No. </w:t>
      </w:r>
      <w:r>
        <w:t>3489</w:t>
      </w:r>
      <w:r w:rsidRPr="0060155B">
        <w:noBreakHyphen/>
      </w:r>
      <w:r>
        <w:t>53 and constitutes the primary basis for customs procedures and the clearance of goods</w:t>
      </w:r>
      <w:r w:rsidRPr="0060155B">
        <w:t>. H</w:t>
      </w:r>
      <w:r>
        <w:t>owever, the authorities indicated that the new Law is not yet being fully implemented, since its implementing regulations are in the process of approval</w:t>
      </w:r>
      <w:r w:rsidRPr="0060155B">
        <w:t>. T</w:t>
      </w:r>
      <w:r>
        <w:t>he Law seeks to harmonize Dominican domestic legislation with the international multilateral and bilateral commitments undertaken by the country over the past three decades, such as the WTO Agreements, the International Convention on the Simplification and Harmonization of Customs Procedures (revised Kyoto Convention) and the free trade agreements to which the Dominican Republic is a party (Box 3.1)</w:t>
      </w:r>
      <w:r w:rsidRPr="0060155B">
        <w:t>. I</w:t>
      </w:r>
      <w:r>
        <w:t xml:space="preserve">t also harmonizes customs legislation with provisions of the Constitution and with other legislation such as the Code of Criminal Procedure, the Tax Code and Law </w:t>
      </w:r>
      <w:r w:rsidRPr="0060155B">
        <w:t>No. </w:t>
      </w:r>
      <w:r>
        <w:t>107</w:t>
      </w:r>
      <w:r w:rsidRPr="0060155B">
        <w:noBreakHyphen/>
      </w:r>
      <w:r>
        <w:t>13 on Administrative Procedures</w:t>
      </w:r>
      <w:r w:rsidRPr="0060155B">
        <w:t>. I</w:t>
      </w:r>
      <w:r>
        <w:t>n addition, the consolidation of legislation – since the new Law and its implementing regulations will nullify the various regulatory provisions that previously governed customs activities – facilitates a better understanding of, and compliance with, customs formalities and procedures.</w:t>
      </w:r>
    </w:p>
    <w:p w14:paraId="38884EF0" w14:textId="77777777" w:rsidR="001A500E" w:rsidRPr="006420F6" w:rsidRDefault="001A500E" w:rsidP="00A43EB6">
      <w:pPr>
        <w:pStyle w:val="Caption"/>
      </w:pPr>
      <w:bookmarkStart w:id="119" w:name="_Toc117238077"/>
      <w:r>
        <w:t xml:space="preserve">Box </w:t>
      </w:r>
      <w:r w:rsidR="00BD37F2">
        <w:fldChar w:fldCharType="begin"/>
      </w:r>
      <w:r w:rsidR="00BD37F2">
        <w:instrText xml:space="preserve"> STYLEREF 1 \s </w:instrText>
      </w:r>
      <w:r w:rsidR="00BD37F2">
        <w:fldChar w:fldCharType="separate"/>
      </w:r>
      <w:r>
        <w:rPr>
          <w:noProof/>
        </w:rPr>
        <w:t>3</w:t>
      </w:r>
      <w:r w:rsidR="00BD37F2">
        <w:rPr>
          <w:noProof/>
        </w:rPr>
        <w:fldChar w:fldCharType="end"/>
      </w:r>
      <w:r>
        <w:t>.</w:t>
      </w:r>
      <w:r w:rsidR="00BD37F2">
        <w:fldChar w:fldCharType="begin"/>
      </w:r>
      <w:r w:rsidR="00BD37F2">
        <w:instrText xml:space="preserve"> SEQ Box \* ARABIC \s 1 </w:instrText>
      </w:r>
      <w:r w:rsidR="00BD37F2">
        <w:fldChar w:fldCharType="separate"/>
      </w:r>
      <w:r>
        <w:rPr>
          <w:noProof/>
        </w:rPr>
        <w:t>1</w:t>
      </w:r>
      <w:r w:rsidR="00BD37F2">
        <w:rPr>
          <w:noProof/>
        </w:rPr>
        <w:fldChar w:fldCharType="end"/>
      </w:r>
      <w:r>
        <w:t xml:space="preserve"> Main changes introduced by Law </w:t>
      </w:r>
      <w:r w:rsidRPr="0060155B">
        <w:t>No. </w:t>
      </w:r>
      <w:r>
        <w:t>168</w:t>
      </w:r>
      <w:r w:rsidRPr="0060155B">
        <w:noBreakHyphen/>
      </w:r>
      <w:r>
        <w:t>21</w:t>
      </w:r>
      <w:bookmarkEnd w:id="119"/>
    </w:p>
    <w:tbl>
      <w:tblPr>
        <w:tblW w:w="0" w:type="auto"/>
        <w:tblBorders>
          <w:insideH w:val="single" w:sz="6" w:space="0" w:color="FFFFFF"/>
        </w:tblBorders>
        <w:tblCellMar>
          <w:top w:w="57" w:type="dxa"/>
          <w:left w:w="113" w:type="dxa"/>
          <w:bottom w:w="57" w:type="dxa"/>
          <w:right w:w="113" w:type="dxa"/>
        </w:tblCellMar>
        <w:tblLook w:val="04A0" w:firstRow="1" w:lastRow="0" w:firstColumn="1" w:lastColumn="0" w:noHBand="0" w:noVBand="1"/>
      </w:tblPr>
      <w:tblGrid>
        <w:gridCol w:w="8908"/>
      </w:tblGrid>
      <w:tr w:rsidR="001A500E" w:rsidRPr="006420F6" w14:paraId="719BE703" w14:textId="77777777" w:rsidTr="001F3C85">
        <w:trPr>
          <w:trHeight w:val="392"/>
        </w:trPr>
        <w:tc>
          <w:tcPr>
            <w:tcW w:w="8908" w:type="dxa"/>
            <w:shd w:val="clear" w:color="auto" w:fill="C9DED4"/>
          </w:tcPr>
          <w:p w14:paraId="6049284C" w14:textId="77777777" w:rsidR="001A500E" w:rsidRPr="006420F6" w:rsidRDefault="001A500E" w:rsidP="001F3C85">
            <w:pPr>
              <w:rPr>
                <w:sz w:val="16"/>
                <w:szCs w:val="16"/>
              </w:rPr>
            </w:pPr>
            <w:r>
              <w:rPr>
                <w:sz w:val="16"/>
              </w:rPr>
              <w:t xml:space="preserve">Customs legislation is harmonized with constitutional provisions, the Code of Criminal Procedure and Law </w:t>
            </w:r>
            <w:r w:rsidRPr="0060155B">
              <w:rPr>
                <w:sz w:val="16"/>
              </w:rPr>
              <w:t>No. </w:t>
            </w:r>
            <w:r>
              <w:rPr>
                <w:sz w:val="16"/>
              </w:rPr>
              <w:t>107</w:t>
            </w:r>
            <w:r w:rsidRPr="0060155B">
              <w:rPr>
                <w:sz w:val="16"/>
              </w:rPr>
              <w:noBreakHyphen/>
            </w:r>
            <w:r>
              <w:rPr>
                <w:sz w:val="16"/>
              </w:rPr>
              <w:t>13.</w:t>
            </w:r>
          </w:p>
        </w:tc>
      </w:tr>
      <w:tr w:rsidR="001A500E" w:rsidRPr="006420F6" w14:paraId="14EECA56" w14:textId="77777777" w:rsidTr="001F3C85">
        <w:trPr>
          <w:trHeight w:val="189"/>
        </w:trPr>
        <w:tc>
          <w:tcPr>
            <w:tcW w:w="8908" w:type="dxa"/>
            <w:shd w:val="clear" w:color="auto" w:fill="C9DED4"/>
          </w:tcPr>
          <w:p w14:paraId="04FA6484" w14:textId="77777777" w:rsidR="001A500E" w:rsidRPr="006420F6" w:rsidRDefault="001A500E" w:rsidP="001F3C85">
            <w:pPr>
              <w:rPr>
                <w:sz w:val="16"/>
                <w:szCs w:val="16"/>
              </w:rPr>
            </w:pPr>
            <w:r>
              <w:rPr>
                <w:sz w:val="16"/>
              </w:rPr>
              <w:t>Customs procedures and regimes are listed in a clear and orderly manner.</w:t>
            </w:r>
          </w:p>
        </w:tc>
      </w:tr>
      <w:tr w:rsidR="001A500E" w:rsidRPr="006420F6" w14:paraId="32D77FAD" w14:textId="77777777" w:rsidTr="001F3C85">
        <w:tc>
          <w:tcPr>
            <w:tcW w:w="8908" w:type="dxa"/>
            <w:shd w:val="clear" w:color="auto" w:fill="C9DED4"/>
          </w:tcPr>
          <w:p w14:paraId="27D5096E" w14:textId="77777777" w:rsidR="001A500E" w:rsidRPr="006420F6" w:rsidRDefault="001A500E" w:rsidP="001F3C85">
            <w:pPr>
              <w:rPr>
                <w:sz w:val="16"/>
                <w:szCs w:val="16"/>
              </w:rPr>
            </w:pPr>
            <w:bookmarkStart w:id="120" w:name="_Hlk99025211"/>
            <w:r>
              <w:rPr>
                <w:sz w:val="16"/>
              </w:rPr>
              <w:t>The Law provides for joint inspections by state para</w:t>
            </w:r>
            <w:r w:rsidRPr="0060155B">
              <w:rPr>
                <w:sz w:val="16"/>
              </w:rPr>
              <w:noBreakHyphen/>
            </w:r>
            <w:r>
              <w:rPr>
                <w:sz w:val="16"/>
              </w:rPr>
              <w:t xml:space="preserve">customs bodies under the coordination of Customs (Article 4 of Law </w:t>
            </w:r>
            <w:r w:rsidRPr="0060155B">
              <w:rPr>
                <w:sz w:val="16"/>
              </w:rPr>
              <w:t>No. </w:t>
            </w:r>
            <w:r>
              <w:rPr>
                <w:sz w:val="16"/>
              </w:rPr>
              <w:t>168</w:t>
            </w:r>
            <w:r w:rsidRPr="0060155B">
              <w:rPr>
                <w:sz w:val="16"/>
              </w:rPr>
              <w:noBreakHyphen/>
            </w:r>
            <w:r>
              <w:rPr>
                <w:sz w:val="16"/>
              </w:rPr>
              <w:t>21).</w:t>
            </w:r>
          </w:p>
        </w:tc>
      </w:tr>
      <w:bookmarkEnd w:id="120"/>
      <w:tr w:rsidR="001A500E" w:rsidRPr="006420F6" w14:paraId="7EC7B468" w14:textId="77777777" w:rsidTr="001F3C85">
        <w:tc>
          <w:tcPr>
            <w:tcW w:w="8908" w:type="dxa"/>
            <w:shd w:val="clear" w:color="auto" w:fill="C9DED4"/>
          </w:tcPr>
          <w:p w14:paraId="1049EAF7" w14:textId="77777777" w:rsidR="001A500E" w:rsidRPr="006420F6" w:rsidRDefault="001A500E" w:rsidP="001F3C85">
            <w:pPr>
              <w:rPr>
                <w:sz w:val="16"/>
                <w:szCs w:val="16"/>
              </w:rPr>
            </w:pPr>
            <w:r>
              <w:rPr>
                <w:sz w:val="16"/>
              </w:rPr>
              <w:t>There are provisions on the use of non</w:t>
            </w:r>
            <w:r w:rsidRPr="0060155B">
              <w:rPr>
                <w:sz w:val="16"/>
              </w:rPr>
              <w:noBreakHyphen/>
            </w:r>
            <w:r>
              <w:rPr>
                <w:sz w:val="16"/>
              </w:rPr>
              <w:t>intrusive or non</w:t>
            </w:r>
            <w:r w:rsidRPr="0060155B">
              <w:rPr>
                <w:sz w:val="16"/>
              </w:rPr>
              <w:noBreakHyphen/>
            </w:r>
            <w:r>
              <w:rPr>
                <w:sz w:val="16"/>
              </w:rPr>
              <w:t>invasive inspections.</w:t>
            </w:r>
          </w:p>
        </w:tc>
      </w:tr>
      <w:tr w:rsidR="001A500E" w:rsidRPr="006420F6" w14:paraId="7A519FA2" w14:textId="77777777" w:rsidTr="001F3C85">
        <w:tc>
          <w:tcPr>
            <w:tcW w:w="8908" w:type="dxa"/>
            <w:shd w:val="clear" w:color="auto" w:fill="C9DED4"/>
          </w:tcPr>
          <w:p w14:paraId="4E610034" w14:textId="77777777" w:rsidR="001A500E" w:rsidRPr="006420F6" w:rsidRDefault="001A500E" w:rsidP="001F3C85">
            <w:pPr>
              <w:rPr>
                <w:sz w:val="16"/>
                <w:szCs w:val="16"/>
              </w:rPr>
            </w:pPr>
            <w:r>
              <w:rPr>
                <w:sz w:val="16"/>
              </w:rPr>
              <w:t>There are provisions on the use of information technology, in particular electronic or digital signatures.</w:t>
            </w:r>
          </w:p>
        </w:tc>
      </w:tr>
      <w:tr w:rsidR="001A500E" w:rsidRPr="006420F6" w14:paraId="6A5DD248" w14:textId="77777777" w:rsidTr="001F3C85">
        <w:tc>
          <w:tcPr>
            <w:tcW w:w="8908" w:type="dxa"/>
            <w:shd w:val="clear" w:color="auto" w:fill="C9DED4"/>
          </w:tcPr>
          <w:p w14:paraId="2865F467" w14:textId="77777777" w:rsidR="001A500E" w:rsidRPr="006420F6" w:rsidRDefault="001A500E" w:rsidP="001F3C85">
            <w:pPr>
              <w:rPr>
                <w:sz w:val="16"/>
                <w:szCs w:val="16"/>
              </w:rPr>
            </w:pPr>
            <w:r>
              <w:rPr>
                <w:sz w:val="16"/>
              </w:rPr>
              <w:t>The deadline for submitting an import declaration is reduced from 10 to 5 calendar days from the arrival of the goods.</w:t>
            </w:r>
          </w:p>
        </w:tc>
      </w:tr>
      <w:tr w:rsidR="001A500E" w:rsidRPr="006420F6" w14:paraId="6CF6A70E" w14:textId="77777777" w:rsidTr="001F3C85">
        <w:tc>
          <w:tcPr>
            <w:tcW w:w="8908" w:type="dxa"/>
            <w:shd w:val="clear" w:color="auto" w:fill="C9DED4"/>
          </w:tcPr>
          <w:p w14:paraId="2C58FD35" w14:textId="77777777" w:rsidR="001A500E" w:rsidRPr="006420F6" w:rsidRDefault="001A500E" w:rsidP="001F3C85">
            <w:pPr>
              <w:rPr>
                <w:sz w:val="16"/>
                <w:szCs w:val="16"/>
              </w:rPr>
            </w:pPr>
            <w:r>
              <w:rPr>
                <w:sz w:val="16"/>
              </w:rPr>
              <w:t>The time frame for goods to be considered abandoned is shortened (from six months to between 15 and 90 days) in order to reduce congestion at ports and airports.</w:t>
            </w:r>
          </w:p>
        </w:tc>
      </w:tr>
      <w:tr w:rsidR="001A500E" w:rsidRPr="006420F6" w14:paraId="6889B2BD" w14:textId="77777777" w:rsidTr="001F3C85">
        <w:tc>
          <w:tcPr>
            <w:tcW w:w="8908" w:type="dxa"/>
            <w:shd w:val="clear" w:color="auto" w:fill="C9DED4"/>
          </w:tcPr>
          <w:p w14:paraId="4D73A4E5" w14:textId="77777777" w:rsidR="001A500E" w:rsidRPr="006420F6" w:rsidRDefault="001A500E" w:rsidP="001F3C85">
            <w:pPr>
              <w:rPr>
                <w:sz w:val="16"/>
                <w:szCs w:val="16"/>
              </w:rPr>
            </w:pPr>
            <w:r>
              <w:rPr>
                <w:sz w:val="16"/>
              </w:rPr>
              <w:t>There are provisions on payment through banking institutions.</w:t>
            </w:r>
          </w:p>
        </w:tc>
      </w:tr>
      <w:tr w:rsidR="001A500E" w:rsidRPr="006420F6" w14:paraId="25E09C17" w14:textId="77777777" w:rsidTr="001F3C85">
        <w:tc>
          <w:tcPr>
            <w:tcW w:w="8908" w:type="dxa"/>
            <w:shd w:val="clear" w:color="auto" w:fill="C9DED4"/>
          </w:tcPr>
          <w:p w14:paraId="059AFCCB" w14:textId="77777777" w:rsidR="001A500E" w:rsidRPr="006420F6" w:rsidRDefault="001A500E" w:rsidP="001F3C85">
            <w:pPr>
              <w:rPr>
                <w:sz w:val="16"/>
                <w:szCs w:val="16"/>
              </w:rPr>
            </w:pPr>
            <w:r>
              <w:rPr>
                <w:sz w:val="16"/>
              </w:rPr>
              <w:t>The statute of limitations is increased to three years, in line with the Tax Code.</w:t>
            </w:r>
          </w:p>
        </w:tc>
      </w:tr>
      <w:tr w:rsidR="001A500E" w:rsidRPr="006420F6" w14:paraId="4A9B83B7" w14:textId="77777777" w:rsidTr="001F3C85">
        <w:tc>
          <w:tcPr>
            <w:tcW w:w="8908" w:type="dxa"/>
            <w:shd w:val="clear" w:color="auto" w:fill="C9DED4"/>
          </w:tcPr>
          <w:p w14:paraId="34D0D581" w14:textId="77777777" w:rsidR="001A500E" w:rsidRPr="006420F6" w:rsidRDefault="001A500E" w:rsidP="001F3C85">
            <w:pPr>
              <w:rPr>
                <w:sz w:val="16"/>
                <w:szCs w:val="16"/>
              </w:rPr>
            </w:pPr>
            <w:r>
              <w:rPr>
                <w:sz w:val="16"/>
              </w:rPr>
              <w:t>There are provisions on advance declarations and rulings.</w:t>
            </w:r>
          </w:p>
        </w:tc>
      </w:tr>
      <w:tr w:rsidR="001A500E" w:rsidRPr="006420F6" w14:paraId="125A16B3" w14:textId="77777777" w:rsidTr="001F3C85">
        <w:tc>
          <w:tcPr>
            <w:tcW w:w="8908" w:type="dxa"/>
            <w:shd w:val="clear" w:color="auto" w:fill="C9DED4"/>
          </w:tcPr>
          <w:p w14:paraId="4B18D2C1" w14:textId="77777777" w:rsidR="001A500E" w:rsidRPr="006420F6" w:rsidRDefault="001A500E" w:rsidP="001F3C85">
            <w:pPr>
              <w:rPr>
                <w:sz w:val="16"/>
                <w:szCs w:val="16"/>
              </w:rPr>
            </w:pPr>
            <w:r>
              <w:rPr>
                <w:sz w:val="16"/>
              </w:rPr>
              <w:t>New criminal offences are established, including customs fraud, unlawful removal of property from customs supervision and falsification of documents.</w:t>
            </w:r>
          </w:p>
        </w:tc>
      </w:tr>
      <w:tr w:rsidR="001A500E" w:rsidRPr="006420F6" w14:paraId="2C1F719D" w14:textId="77777777" w:rsidTr="001F3C85">
        <w:tc>
          <w:tcPr>
            <w:tcW w:w="8908" w:type="dxa"/>
            <w:shd w:val="clear" w:color="auto" w:fill="C9DED4"/>
          </w:tcPr>
          <w:p w14:paraId="252589AD" w14:textId="77777777" w:rsidR="001A500E" w:rsidRPr="006420F6" w:rsidRDefault="001A500E" w:rsidP="001F3C85">
            <w:pPr>
              <w:rPr>
                <w:sz w:val="16"/>
                <w:szCs w:val="16"/>
              </w:rPr>
            </w:pPr>
            <w:r>
              <w:rPr>
                <w:sz w:val="16"/>
              </w:rPr>
              <w:t>The amount and type of guarantee will depend on the operator's level of risk.</w:t>
            </w:r>
          </w:p>
        </w:tc>
      </w:tr>
      <w:tr w:rsidR="001A500E" w:rsidRPr="006420F6" w14:paraId="0552381D" w14:textId="77777777" w:rsidTr="001F3C85">
        <w:tc>
          <w:tcPr>
            <w:tcW w:w="8908" w:type="dxa"/>
            <w:shd w:val="clear" w:color="auto" w:fill="C9DED4"/>
          </w:tcPr>
          <w:p w14:paraId="4D565D9D" w14:textId="77777777" w:rsidR="001A500E" w:rsidRPr="006420F6" w:rsidRDefault="001A500E" w:rsidP="001F3C85">
            <w:pPr>
              <w:rPr>
                <w:sz w:val="16"/>
                <w:szCs w:val="16"/>
              </w:rPr>
            </w:pPr>
            <w:r>
              <w:rPr>
                <w:sz w:val="16"/>
              </w:rPr>
              <w:t>The Law defines the qualitative elements of customs taxes and the tax</w:t>
            </w:r>
            <w:r w:rsidRPr="0060155B">
              <w:rPr>
                <w:sz w:val="16"/>
              </w:rPr>
              <w:noBreakHyphen/>
            </w:r>
            <w:r>
              <w:rPr>
                <w:sz w:val="16"/>
              </w:rPr>
              <w:t>law relationship in customs matters</w:t>
            </w:r>
            <w:r w:rsidRPr="0060155B">
              <w:rPr>
                <w:sz w:val="16"/>
              </w:rPr>
              <w:t>. T</w:t>
            </w:r>
            <w:r>
              <w:rPr>
                <w:sz w:val="16"/>
              </w:rPr>
              <w:t>he new Customs Law includes the concepts of "tax liability", "active subject" and "passive subject", which establish the relationship between taxpayers and the tax administration, i.e. the Directorate</w:t>
            </w:r>
            <w:r w:rsidRPr="0060155B">
              <w:rPr>
                <w:sz w:val="16"/>
              </w:rPr>
              <w:noBreakHyphen/>
            </w:r>
            <w:r>
              <w:rPr>
                <w:sz w:val="16"/>
              </w:rPr>
              <w:t>General of Internal Revenue and the Directorate</w:t>
            </w:r>
            <w:r w:rsidRPr="0060155B">
              <w:rPr>
                <w:sz w:val="16"/>
              </w:rPr>
              <w:noBreakHyphen/>
            </w:r>
            <w:r>
              <w:rPr>
                <w:sz w:val="16"/>
              </w:rPr>
              <w:t>General of Customs.</w:t>
            </w:r>
          </w:p>
        </w:tc>
      </w:tr>
      <w:tr w:rsidR="001A500E" w:rsidRPr="006420F6" w14:paraId="22A464FA" w14:textId="77777777" w:rsidTr="001F3C85">
        <w:tc>
          <w:tcPr>
            <w:tcW w:w="8908" w:type="dxa"/>
            <w:shd w:val="clear" w:color="auto" w:fill="C9DED4"/>
          </w:tcPr>
          <w:p w14:paraId="3E3F6F7A" w14:textId="77777777" w:rsidR="001A500E" w:rsidRPr="006420F6" w:rsidRDefault="001A500E" w:rsidP="001F3C85">
            <w:pPr>
              <w:rPr>
                <w:sz w:val="16"/>
                <w:szCs w:val="16"/>
              </w:rPr>
            </w:pPr>
            <w:r>
              <w:rPr>
                <w:sz w:val="16"/>
              </w:rPr>
              <w:t>The Law authorizes the administrative seizure of regulated or restricted goods, such as alcoholic beverages, tobacco products and fuels, the provenance of which is proven to be illicit.</w:t>
            </w:r>
          </w:p>
        </w:tc>
      </w:tr>
      <w:tr w:rsidR="001A500E" w:rsidRPr="006420F6" w14:paraId="1EA176AF" w14:textId="77777777" w:rsidTr="001F3C85">
        <w:tc>
          <w:tcPr>
            <w:tcW w:w="8908" w:type="dxa"/>
            <w:shd w:val="clear" w:color="auto" w:fill="C9DED4"/>
          </w:tcPr>
          <w:p w14:paraId="17C29381" w14:textId="77777777" w:rsidR="001A500E" w:rsidRPr="006420F6" w:rsidRDefault="001A500E" w:rsidP="001F3C85">
            <w:pPr>
              <w:rPr>
                <w:sz w:val="16"/>
                <w:szCs w:val="16"/>
              </w:rPr>
            </w:pPr>
            <w:r>
              <w:rPr>
                <w:sz w:val="16"/>
              </w:rPr>
              <w:t>It is possible to correct, rectify and reject a declaration without incurring penalties.</w:t>
            </w:r>
          </w:p>
        </w:tc>
      </w:tr>
      <w:tr w:rsidR="001A500E" w:rsidRPr="006420F6" w14:paraId="0DA5BC79" w14:textId="77777777" w:rsidTr="001F3C85">
        <w:tc>
          <w:tcPr>
            <w:tcW w:w="8908" w:type="dxa"/>
            <w:shd w:val="clear" w:color="auto" w:fill="C9DED4"/>
          </w:tcPr>
          <w:p w14:paraId="3352E19B" w14:textId="77777777" w:rsidR="001A500E" w:rsidRPr="006420F6" w:rsidRDefault="001A500E" w:rsidP="001F3C85">
            <w:pPr>
              <w:rPr>
                <w:sz w:val="16"/>
                <w:szCs w:val="16"/>
              </w:rPr>
            </w:pPr>
            <w:r>
              <w:rPr>
                <w:sz w:val="16"/>
              </w:rPr>
              <w:t>The Law incorporates trade facilitation measures such as the authorized economic operator and the single window for foreign trade, which were previously provided for in separate regulations.</w:t>
            </w:r>
          </w:p>
        </w:tc>
      </w:tr>
    </w:tbl>
    <w:p w14:paraId="2A3C142C" w14:textId="77777777" w:rsidR="001A500E" w:rsidRPr="006420F6" w:rsidRDefault="001A500E" w:rsidP="00E439A9">
      <w:pPr>
        <w:pStyle w:val="NoteText"/>
        <w:spacing w:before="120" w:after="240"/>
      </w:pPr>
      <w:r>
        <w:t>Source:</w:t>
      </w:r>
      <w:r>
        <w:tab/>
        <w:t>Information provided by the authorities and the Directorate</w:t>
      </w:r>
      <w:r w:rsidRPr="0060155B">
        <w:noBreakHyphen/>
      </w:r>
      <w:r>
        <w:t>General of Customs</w:t>
      </w:r>
      <w:r w:rsidRPr="0060155B">
        <w:t>.</w:t>
      </w:r>
      <w:bookmarkStart w:id="121" w:name="_Hlk97712436"/>
      <w:r w:rsidRPr="0060155B">
        <w:t xml:space="preserve"> V</w:t>
      </w:r>
      <w:r>
        <w:t xml:space="preserve">iewed at: </w:t>
      </w:r>
      <w:bookmarkEnd w:id="121"/>
      <w:r>
        <w:fldChar w:fldCharType="begin"/>
      </w:r>
      <w:r>
        <w:instrText>HYPERLINK "https://www.aduanas.gob.do/ley-168-21/"</w:instrText>
      </w:r>
      <w:r>
        <w:fldChar w:fldCharType="separate"/>
      </w:r>
      <w:r>
        <w:rPr>
          <w:rStyle w:val="Hyperlink"/>
          <w:szCs w:val="16"/>
        </w:rPr>
        <w:t>https://www.aduanas.gob.do/ley</w:t>
      </w:r>
      <w:r w:rsidRPr="0060155B">
        <w:rPr>
          <w:rStyle w:val="Hyperlink"/>
          <w:szCs w:val="16"/>
        </w:rPr>
        <w:noBreakHyphen/>
      </w:r>
      <w:r>
        <w:rPr>
          <w:rStyle w:val="Hyperlink"/>
          <w:szCs w:val="16"/>
        </w:rPr>
        <w:t>168</w:t>
      </w:r>
      <w:r w:rsidRPr="0060155B">
        <w:rPr>
          <w:rStyle w:val="Hyperlink"/>
          <w:szCs w:val="16"/>
        </w:rPr>
        <w:noBreakHyphen/>
      </w:r>
      <w:r>
        <w:rPr>
          <w:rStyle w:val="Hyperlink"/>
          <w:szCs w:val="16"/>
        </w:rPr>
        <w:t>21</w:t>
      </w:r>
      <w:r>
        <w:fldChar w:fldCharType="end"/>
      </w:r>
      <w:r>
        <w:t>.</w:t>
      </w:r>
    </w:p>
    <w:p w14:paraId="5DDEA7E3" w14:textId="77777777" w:rsidR="001A500E" w:rsidRPr="007C74EF" w:rsidRDefault="001A500E" w:rsidP="00574469">
      <w:pPr>
        <w:pStyle w:val="BodyText"/>
      </w:pPr>
      <w:r>
        <w:lastRenderedPageBreak/>
        <w:t xml:space="preserve">Other relevant customs laws are Law </w:t>
      </w:r>
      <w:r w:rsidRPr="0060155B">
        <w:t>No. </w:t>
      </w:r>
      <w:r>
        <w:t>8</w:t>
      </w:r>
      <w:r w:rsidRPr="0060155B">
        <w:noBreakHyphen/>
      </w:r>
      <w:r>
        <w:t>90 on the Promotion of Free Zones and Law No. 11</w:t>
      </w:r>
      <w:r>
        <w:noBreakHyphen/>
        <w:t>92 on the Tax Code (Table 3.1).</w:t>
      </w:r>
      <w:bookmarkStart w:id="122" w:name="_Toc417038618"/>
    </w:p>
    <w:p w14:paraId="41DB8961" w14:textId="77777777" w:rsidR="001A500E" w:rsidRPr="006420F6" w:rsidRDefault="001A500E" w:rsidP="00A43EB6">
      <w:pPr>
        <w:pStyle w:val="Caption"/>
      </w:pPr>
      <w:bookmarkStart w:id="123" w:name="_Toc117238034"/>
      <w:r>
        <w:t xml:space="preserve">Table </w:t>
      </w:r>
      <w:r w:rsidR="00BD37F2">
        <w:fldChar w:fldCharType="begin"/>
      </w:r>
      <w:r w:rsidR="00BD37F2">
        <w:instrText xml:space="preserve"> STYLEREF 1 \s </w:instrText>
      </w:r>
      <w:r w:rsidR="00BD37F2">
        <w:fldChar w:fldCharType="separate"/>
      </w:r>
      <w:r>
        <w:rPr>
          <w:noProof/>
        </w:rPr>
        <w:t>3</w:t>
      </w:r>
      <w:r w:rsidR="00BD37F2">
        <w:rPr>
          <w:noProof/>
        </w:rPr>
        <w:fldChar w:fldCharType="end"/>
      </w:r>
      <w:r>
        <w:t>.</w:t>
      </w:r>
      <w:r w:rsidR="00BD37F2">
        <w:fldChar w:fldCharType="begin"/>
      </w:r>
      <w:r w:rsidR="00BD37F2">
        <w:instrText xml:space="preserve"> SEQ Table \* ARABI</w:instrText>
      </w:r>
      <w:r w:rsidR="00BD37F2">
        <w:instrText xml:space="preserve">C \s 1 </w:instrText>
      </w:r>
      <w:r w:rsidR="00BD37F2">
        <w:fldChar w:fldCharType="separate"/>
      </w:r>
      <w:r>
        <w:rPr>
          <w:noProof/>
        </w:rPr>
        <w:t>1</w:t>
      </w:r>
      <w:r w:rsidR="00BD37F2">
        <w:rPr>
          <w:noProof/>
        </w:rPr>
        <w:fldChar w:fldCharType="end"/>
      </w:r>
      <w:r>
        <w:t xml:space="preserve"> Main laws relating to customs procedures, 2022</w:t>
      </w:r>
      <w:bookmarkEnd w:id="123"/>
    </w:p>
    <w:tbl>
      <w:tblPr>
        <w:tblStyle w:val="WTOTable1"/>
        <w:tblW w:w="5000" w:type="pct"/>
        <w:tblLook w:val="05E0" w:firstRow="1" w:lastRow="1" w:firstColumn="1" w:lastColumn="1" w:noHBand="0" w:noVBand="1"/>
      </w:tblPr>
      <w:tblGrid>
        <w:gridCol w:w="3826"/>
        <w:gridCol w:w="1730"/>
        <w:gridCol w:w="1729"/>
        <w:gridCol w:w="1731"/>
      </w:tblGrid>
      <w:tr w:rsidR="001A500E" w:rsidRPr="00A950CC" w14:paraId="77D99D1E" w14:textId="77777777" w:rsidTr="001F3C85">
        <w:trPr>
          <w:cnfStyle w:val="100000000000" w:firstRow="1" w:lastRow="0" w:firstColumn="0" w:lastColumn="0" w:oddVBand="0" w:evenVBand="0" w:oddHBand="0" w:evenHBand="0" w:firstRowFirstColumn="0" w:firstRowLastColumn="0" w:lastRowFirstColumn="0" w:lastRowLastColumn="0"/>
        </w:trPr>
        <w:tc>
          <w:tcPr>
            <w:tcW w:w="2121" w:type="pct"/>
            <w:vAlign w:val="center"/>
          </w:tcPr>
          <w:bookmarkEnd w:id="122"/>
          <w:p w14:paraId="1E3226E1" w14:textId="77777777" w:rsidR="001A500E" w:rsidRPr="00A950CC" w:rsidRDefault="001A500E" w:rsidP="001F3C85">
            <w:pPr>
              <w:tabs>
                <w:tab w:val="left" w:pos="720"/>
              </w:tabs>
              <w:jc w:val="left"/>
              <w:rPr>
                <w:rFonts w:eastAsia="Calibri"/>
                <w:b w:val="0"/>
                <w:sz w:val="15"/>
                <w:szCs w:val="15"/>
              </w:rPr>
            </w:pPr>
            <w:r>
              <w:rPr>
                <w:sz w:val="15"/>
              </w:rPr>
              <w:t>Law</w:t>
            </w:r>
          </w:p>
        </w:tc>
        <w:tc>
          <w:tcPr>
            <w:tcW w:w="959" w:type="pct"/>
            <w:vAlign w:val="center"/>
          </w:tcPr>
          <w:p w14:paraId="050A5B03" w14:textId="77777777" w:rsidR="001A500E" w:rsidRPr="00A950CC" w:rsidRDefault="001A500E" w:rsidP="001F3C85">
            <w:pPr>
              <w:tabs>
                <w:tab w:val="left" w:pos="720"/>
              </w:tabs>
              <w:jc w:val="left"/>
              <w:rPr>
                <w:rFonts w:eastAsia="Calibri"/>
                <w:b w:val="0"/>
                <w:sz w:val="15"/>
                <w:szCs w:val="15"/>
              </w:rPr>
            </w:pPr>
            <w:r>
              <w:rPr>
                <w:sz w:val="15"/>
              </w:rPr>
              <w:t>Legal framework</w:t>
            </w:r>
          </w:p>
        </w:tc>
        <w:tc>
          <w:tcPr>
            <w:tcW w:w="959" w:type="pct"/>
            <w:vAlign w:val="center"/>
          </w:tcPr>
          <w:p w14:paraId="79522A53" w14:textId="77777777" w:rsidR="001A500E" w:rsidRPr="00A950CC" w:rsidRDefault="001A500E" w:rsidP="001F3C85">
            <w:pPr>
              <w:tabs>
                <w:tab w:val="left" w:pos="720"/>
              </w:tabs>
              <w:jc w:val="left"/>
              <w:rPr>
                <w:rFonts w:eastAsia="Calibri"/>
                <w:b w:val="0"/>
                <w:sz w:val="15"/>
                <w:szCs w:val="15"/>
              </w:rPr>
            </w:pPr>
            <w:r>
              <w:rPr>
                <w:sz w:val="15"/>
              </w:rPr>
              <w:t xml:space="preserve">Date of enactment </w:t>
            </w:r>
          </w:p>
        </w:tc>
        <w:tc>
          <w:tcPr>
            <w:tcW w:w="960" w:type="pct"/>
            <w:vAlign w:val="center"/>
          </w:tcPr>
          <w:p w14:paraId="602EA0BF" w14:textId="77777777" w:rsidR="001A500E" w:rsidRPr="00A950CC" w:rsidRDefault="001A500E" w:rsidP="001F3C85">
            <w:pPr>
              <w:tabs>
                <w:tab w:val="left" w:pos="720"/>
              </w:tabs>
              <w:jc w:val="left"/>
              <w:rPr>
                <w:rFonts w:eastAsia="Calibri"/>
                <w:b w:val="0"/>
                <w:sz w:val="15"/>
                <w:szCs w:val="15"/>
              </w:rPr>
            </w:pPr>
            <w:r>
              <w:rPr>
                <w:sz w:val="15"/>
              </w:rPr>
              <w:t>Last amendment</w:t>
            </w:r>
          </w:p>
        </w:tc>
      </w:tr>
      <w:tr w:rsidR="001A500E" w:rsidRPr="00A950CC" w14:paraId="2768E901" w14:textId="77777777" w:rsidTr="001F3C85">
        <w:tc>
          <w:tcPr>
            <w:tcW w:w="2121" w:type="pct"/>
          </w:tcPr>
          <w:p w14:paraId="726D9104" w14:textId="77777777" w:rsidR="001A500E" w:rsidRPr="00A950CC" w:rsidRDefault="001A500E" w:rsidP="001F3C85">
            <w:pPr>
              <w:tabs>
                <w:tab w:val="left" w:pos="720"/>
              </w:tabs>
              <w:jc w:val="left"/>
              <w:rPr>
                <w:rFonts w:eastAsia="Calibri"/>
                <w:sz w:val="15"/>
                <w:szCs w:val="15"/>
              </w:rPr>
            </w:pPr>
            <w:r>
              <w:rPr>
                <w:sz w:val="15"/>
              </w:rPr>
              <w:t xml:space="preserve">Law </w:t>
            </w:r>
            <w:r w:rsidRPr="0060155B">
              <w:rPr>
                <w:sz w:val="15"/>
              </w:rPr>
              <w:t>No. </w:t>
            </w:r>
            <w:r>
              <w:rPr>
                <w:sz w:val="15"/>
              </w:rPr>
              <w:t>168</w:t>
            </w:r>
            <w:r w:rsidRPr="0060155B">
              <w:rPr>
                <w:sz w:val="15"/>
              </w:rPr>
              <w:noBreakHyphen/>
            </w:r>
            <w:r>
              <w:rPr>
                <w:sz w:val="15"/>
              </w:rPr>
              <w:t>21 on Customs of the Dominican Republic</w:t>
            </w:r>
          </w:p>
        </w:tc>
        <w:tc>
          <w:tcPr>
            <w:tcW w:w="959" w:type="pct"/>
          </w:tcPr>
          <w:p w14:paraId="70612FE0" w14:textId="77777777" w:rsidR="001A500E" w:rsidRPr="00A950CC" w:rsidRDefault="001A500E" w:rsidP="001F3C85">
            <w:pPr>
              <w:tabs>
                <w:tab w:val="left" w:pos="720"/>
              </w:tabs>
              <w:jc w:val="left"/>
              <w:rPr>
                <w:rFonts w:eastAsia="Calibri"/>
                <w:sz w:val="15"/>
                <w:szCs w:val="15"/>
              </w:rPr>
            </w:pPr>
            <w:r>
              <w:rPr>
                <w:sz w:val="15"/>
              </w:rPr>
              <w:t xml:space="preserve">Law </w:t>
            </w:r>
            <w:r w:rsidRPr="0060155B">
              <w:rPr>
                <w:sz w:val="15"/>
              </w:rPr>
              <w:t>No. </w:t>
            </w:r>
            <w:r>
              <w:rPr>
                <w:sz w:val="15"/>
              </w:rPr>
              <w:t>168</w:t>
            </w:r>
            <w:r w:rsidRPr="0060155B">
              <w:rPr>
                <w:sz w:val="15"/>
              </w:rPr>
              <w:noBreakHyphen/>
            </w:r>
            <w:r>
              <w:rPr>
                <w:sz w:val="15"/>
              </w:rPr>
              <w:t>21</w:t>
            </w:r>
          </w:p>
        </w:tc>
        <w:tc>
          <w:tcPr>
            <w:tcW w:w="959" w:type="pct"/>
          </w:tcPr>
          <w:p w14:paraId="5B769417" w14:textId="77777777" w:rsidR="001A500E" w:rsidRPr="00A950CC" w:rsidRDefault="001A500E" w:rsidP="001F3C85">
            <w:pPr>
              <w:tabs>
                <w:tab w:val="left" w:pos="720"/>
              </w:tabs>
              <w:jc w:val="left"/>
              <w:rPr>
                <w:rFonts w:eastAsia="Calibri"/>
                <w:b/>
                <w:sz w:val="15"/>
                <w:szCs w:val="15"/>
              </w:rPr>
            </w:pPr>
            <w:r w:rsidRPr="0060155B">
              <w:rPr>
                <w:sz w:val="15"/>
              </w:rPr>
              <w:t>9 August 2</w:t>
            </w:r>
            <w:r>
              <w:rPr>
                <w:sz w:val="15"/>
              </w:rPr>
              <w:t>021</w:t>
            </w:r>
          </w:p>
        </w:tc>
        <w:tc>
          <w:tcPr>
            <w:tcW w:w="960" w:type="pct"/>
          </w:tcPr>
          <w:p w14:paraId="6F1C2FF6" w14:textId="77777777" w:rsidR="001A500E" w:rsidRPr="00A950CC" w:rsidRDefault="001A500E" w:rsidP="001F3C85">
            <w:pPr>
              <w:tabs>
                <w:tab w:val="left" w:pos="720"/>
              </w:tabs>
              <w:jc w:val="left"/>
              <w:rPr>
                <w:sz w:val="15"/>
                <w:szCs w:val="15"/>
              </w:rPr>
            </w:pPr>
            <w:r>
              <w:rPr>
                <w:sz w:val="15"/>
              </w:rPr>
              <w:t>None</w:t>
            </w:r>
          </w:p>
        </w:tc>
      </w:tr>
      <w:tr w:rsidR="001A500E" w:rsidRPr="00A950CC" w14:paraId="58E00123" w14:textId="77777777" w:rsidTr="001F3C85">
        <w:trPr>
          <w:cnfStyle w:val="000000010000" w:firstRow="0" w:lastRow="0" w:firstColumn="0" w:lastColumn="0" w:oddVBand="0" w:evenVBand="0" w:oddHBand="0" w:evenHBand="1" w:firstRowFirstColumn="0" w:firstRowLastColumn="0" w:lastRowFirstColumn="0" w:lastRowLastColumn="0"/>
        </w:trPr>
        <w:tc>
          <w:tcPr>
            <w:tcW w:w="2121" w:type="pct"/>
          </w:tcPr>
          <w:p w14:paraId="7EBF8FEB" w14:textId="77777777" w:rsidR="001A500E" w:rsidRPr="00A950CC" w:rsidRDefault="001A500E" w:rsidP="001F3C85">
            <w:pPr>
              <w:tabs>
                <w:tab w:val="left" w:pos="720"/>
              </w:tabs>
              <w:jc w:val="left"/>
              <w:rPr>
                <w:rFonts w:eastAsia="Calibri"/>
                <w:sz w:val="15"/>
                <w:szCs w:val="15"/>
              </w:rPr>
            </w:pPr>
            <w:r>
              <w:rPr>
                <w:sz w:val="15"/>
              </w:rPr>
              <w:t xml:space="preserve">Tariff Reform Law, amending Law </w:t>
            </w:r>
            <w:r w:rsidRPr="0060155B">
              <w:rPr>
                <w:sz w:val="15"/>
              </w:rPr>
              <w:t>No. </w:t>
            </w:r>
            <w:r>
              <w:rPr>
                <w:sz w:val="15"/>
              </w:rPr>
              <w:t>14</w:t>
            </w:r>
            <w:r w:rsidRPr="0060155B">
              <w:rPr>
                <w:sz w:val="15"/>
              </w:rPr>
              <w:noBreakHyphen/>
            </w:r>
            <w:r>
              <w:rPr>
                <w:sz w:val="15"/>
              </w:rPr>
              <w:t>93 on the Customs Tariff</w:t>
            </w:r>
          </w:p>
        </w:tc>
        <w:tc>
          <w:tcPr>
            <w:tcW w:w="959" w:type="pct"/>
          </w:tcPr>
          <w:p w14:paraId="1601324B" w14:textId="77777777" w:rsidR="001A500E" w:rsidRPr="00A950CC" w:rsidRDefault="001A500E" w:rsidP="001F3C85">
            <w:pPr>
              <w:tabs>
                <w:tab w:val="left" w:pos="720"/>
              </w:tabs>
              <w:jc w:val="left"/>
              <w:rPr>
                <w:rFonts w:eastAsia="Calibri"/>
                <w:sz w:val="15"/>
                <w:szCs w:val="15"/>
              </w:rPr>
            </w:pPr>
            <w:r>
              <w:rPr>
                <w:sz w:val="15"/>
              </w:rPr>
              <w:t xml:space="preserve">Law </w:t>
            </w:r>
            <w:r w:rsidRPr="0060155B">
              <w:rPr>
                <w:sz w:val="15"/>
              </w:rPr>
              <w:t>No. </w:t>
            </w:r>
            <w:r>
              <w:rPr>
                <w:sz w:val="15"/>
              </w:rPr>
              <w:t>146</w:t>
            </w:r>
            <w:r w:rsidRPr="0060155B">
              <w:rPr>
                <w:sz w:val="15"/>
              </w:rPr>
              <w:noBreakHyphen/>
            </w:r>
            <w:r>
              <w:rPr>
                <w:sz w:val="15"/>
              </w:rPr>
              <w:t>00</w:t>
            </w:r>
          </w:p>
        </w:tc>
        <w:tc>
          <w:tcPr>
            <w:tcW w:w="959" w:type="pct"/>
          </w:tcPr>
          <w:p w14:paraId="46F32DE7" w14:textId="77777777" w:rsidR="001A500E" w:rsidRPr="00A950CC" w:rsidRDefault="001A500E" w:rsidP="001F3C85">
            <w:pPr>
              <w:tabs>
                <w:tab w:val="left" w:pos="720"/>
              </w:tabs>
              <w:jc w:val="left"/>
              <w:rPr>
                <w:rFonts w:eastAsia="Calibri"/>
                <w:sz w:val="15"/>
                <w:szCs w:val="15"/>
              </w:rPr>
            </w:pPr>
            <w:r>
              <w:rPr>
                <w:sz w:val="15"/>
              </w:rPr>
              <w:t>2</w:t>
            </w:r>
            <w:r w:rsidRPr="0060155B">
              <w:rPr>
                <w:sz w:val="15"/>
              </w:rPr>
              <w:t>7 December 2</w:t>
            </w:r>
            <w:r>
              <w:rPr>
                <w:sz w:val="15"/>
              </w:rPr>
              <w:t>000</w:t>
            </w:r>
          </w:p>
        </w:tc>
        <w:tc>
          <w:tcPr>
            <w:tcW w:w="960" w:type="pct"/>
          </w:tcPr>
          <w:p w14:paraId="7A34DBC5" w14:textId="77777777" w:rsidR="001A500E" w:rsidRPr="00A950CC" w:rsidRDefault="001A500E" w:rsidP="001F3C85">
            <w:pPr>
              <w:tabs>
                <w:tab w:val="left" w:pos="720"/>
              </w:tabs>
              <w:jc w:val="left"/>
              <w:rPr>
                <w:sz w:val="15"/>
                <w:szCs w:val="15"/>
              </w:rPr>
            </w:pPr>
            <w:r>
              <w:rPr>
                <w:sz w:val="15"/>
              </w:rPr>
              <w:t>3</w:t>
            </w:r>
            <w:r w:rsidRPr="0060155B">
              <w:rPr>
                <w:sz w:val="15"/>
              </w:rPr>
              <w:t>0 July 2</w:t>
            </w:r>
            <w:r>
              <w:rPr>
                <w:sz w:val="15"/>
              </w:rPr>
              <w:t>013</w:t>
            </w:r>
          </w:p>
        </w:tc>
      </w:tr>
      <w:tr w:rsidR="001A500E" w:rsidRPr="00A950CC" w14:paraId="44EE3944" w14:textId="77777777" w:rsidTr="001F3C85">
        <w:tc>
          <w:tcPr>
            <w:tcW w:w="2121" w:type="pct"/>
          </w:tcPr>
          <w:p w14:paraId="24987D33" w14:textId="77777777" w:rsidR="001A500E" w:rsidRPr="00A950CC" w:rsidRDefault="001A500E" w:rsidP="001F3C85">
            <w:pPr>
              <w:tabs>
                <w:tab w:val="left" w:pos="720"/>
              </w:tabs>
              <w:jc w:val="left"/>
              <w:rPr>
                <w:sz w:val="15"/>
                <w:szCs w:val="15"/>
              </w:rPr>
            </w:pPr>
            <w:r>
              <w:rPr>
                <w:sz w:val="15"/>
              </w:rPr>
              <w:t>Law on the Tax Code</w:t>
            </w:r>
          </w:p>
        </w:tc>
        <w:tc>
          <w:tcPr>
            <w:tcW w:w="959" w:type="pct"/>
          </w:tcPr>
          <w:p w14:paraId="0907CD12" w14:textId="77777777" w:rsidR="001A500E" w:rsidRPr="00A950CC" w:rsidRDefault="001A500E" w:rsidP="001F3C85">
            <w:pPr>
              <w:tabs>
                <w:tab w:val="left" w:pos="720"/>
              </w:tabs>
              <w:jc w:val="left"/>
              <w:rPr>
                <w:rFonts w:eastAsia="Calibri"/>
                <w:sz w:val="15"/>
                <w:szCs w:val="15"/>
              </w:rPr>
            </w:pPr>
            <w:r>
              <w:rPr>
                <w:sz w:val="15"/>
              </w:rPr>
              <w:t xml:space="preserve">Law </w:t>
            </w:r>
            <w:r w:rsidRPr="0060155B">
              <w:rPr>
                <w:sz w:val="15"/>
              </w:rPr>
              <w:t>No. </w:t>
            </w:r>
            <w:r>
              <w:rPr>
                <w:sz w:val="15"/>
              </w:rPr>
              <w:t>11</w:t>
            </w:r>
            <w:r w:rsidRPr="0060155B">
              <w:rPr>
                <w:sz w:val="15"/>
              </w:rPr>
              <w:noBreakHyphen/>
            </w:r>
            <w:r>
              <w:rPr>
                <w:sz w:val="15"/>
              </w:rPr>
              <w:t>92</w:t>
            </w:r>
          </w:p>
        </w:tc>
        <w:tc>
          <w:tcPr>
            <w:tcW w:w="959" w:type="pct"/>
          </w:tcPr>
          <w:p w14:paraId="0B52E038" w14:textId="77777777" w:rsidR="001A500E" w:rsidRPr="00A950CC" w:rsidRDefault="001A500E" w:rsidP="001F3C85">
            <w:pPr>
              <w:tabs>
                <w:tab w:val="left" w:pos="720"/>
              </w:tabs>
              <w:jc w:val="left"/>
              <w:rPr>
                <w:rFonts w:eastAsia="Calibri"/>
                <w:sz w:val="15"/>
                <w:szCs w:val="15"/>
              </w:rPr>
            </w:pPr>
            <w:r>
              <w:rPr>
                <w:sz w:val="15"/>
              </w:rPr>
              <w:t>1</w:t>
            </w:r>
            <w:r w:rsidRPr="0060155B">
              <w:rPr>
                <w:sz w:val="15"/>
              </w:rPr>
              <w:t>6 May 1</w:t>
            </w:r>
            <w:r>
              <w:rPr>
                <w:sz w:val="15"/>
              </w:rPr>
              <w:t>992</w:t>
            </w:r>
          </w:p>
        </w:tc>
        <w:tc>
          <w:tcPr>
            <w:tcW w:w="960" w:type="pct"/>
          </w:tcPr>
          <w:p w14:paraId="05706C0F" w14:textId="77777777" w:rsidR="001A500E" w:rsidRPr="00A950CC" w:rsidRDefault="001A500E" w:rsidP="001F3C85">
            <w:pPr>
              <w:tabs>
                <w:tab w:val="left" w:pos="720"/>
              </w:tabs>
              <w:jc w:val="left"/>
              <w:rPr>
                <w:rFonts w:eastAsia="Calibri"/>
                <w:sz w:val="15"/>
                <w:szCs w:val="15"/>
              </w:rPr>
            </w:pPr>
            <w:r w:rsidRPr="0060155B">
              <w:rPr>
                <w:sz w:val="15"/>
              </w:rPr>
              <w:t>9 November 2</w:t>
            </w:r>
            <w:r>
              <w:rPr>
                <w:sz w:val="15"/>
              </w:rPr>
              <w:t>012</w:t>
            </w:r>
          </w:p>
        </w:tc>
      </w:tr>
      <w:tr w:rsidR="001A500E" w:rsidRPr="00A950CC" w14:paraId="34FBFBCD" w14:textId="77777777" w:rsidTr="001F3C85">
        <w:trPr>
          <w:cnfStyle w:val="000000010000" w:firstRow="0" w:lastRow="0" w:firstColumn="0" w:lastColumn="0" w:oddVBand="0" w:evenVBand="0" w:oddHBand="0" w:evenHBand="1" w:firstRowFirstColumn="0" w:firstRowLastColumn="0" w:lastRowFirstColumn="0" w:lastRowLastColumn="0"/>
        </w:trPr>
        <w:tc>
          <w:tcPr>
            <w:tcW w:w="2121" w:type="pct"/>
          </w:tcPr>
          <w:p w14:paraId="0217B9ED" w14:textId="77777777" w:rsidR="001A500E" w:rsidRPr="00A950CC" w:rsidRDefault="001A500E" w:rsidP="001F3C85">
            <w:pPr>
              <w:tabs>
                <w:tab w:val="left" w:pos="720"/>
              </w:tabs>
              <w:jc w:val="left"/>
              <w:rPr>
                <w:sz w:val="15"/>
                <w:szCs w:val="15"/>
              </w:rPr>
            </w:pPr>
            <w:r>
              <w:rPr>
                <w:sz w:val="15"/>
              </w:rPr>
              <w:t>Law on Reviving and Promoting Exports</w:t>
            </w:r>
          </w:p>
        </w:tc>
        <w:tc>
          <w:tcPr>
            <w:tcW w:w="959" w:type="pct"/>
          </w:tcPr>
          <w:p w14:paraId="634472DE" w14:textId="77777777" w:rsidR="001A500E" w:rsidRPr="00A950CC" w:rsidRDefault="001A500E" w:rsidP="001F3C85">
            <w:pPr>
              <w:tabs>
                <w:tab w:val="left" w:pos="720"/>
              </w:tabs>
              <w:jc w:val="left"/>
              <w:rPr>
                <w:rFonts w:eastAsia="Calibri"/>
                <w:sz w:val="15"/>
                <w:szCs w:val="15"/>
              </w:rPr>
            </w:pPr>
            <w:r>
              <w:rPr>
                <w:sz w:val="15"/>
              </w:rPr>
              <w:t xml:space="preserve">Law </w:t>
            </w:r>
            <w:r w:rsidRPr="0060155B">
              <w:rPr>
                <w:sz w:val="15"/>
              </w:rPr>
              <w:t>No. </w:t>
            </w:r>
            <w:r>
              <w:rPr>
                <w:sz w:val="15"/>
              </w:rPr>
              <w:t>84</w:t>
            </w:r>
            <w:r w:rsidRPr="0060155B">
              <w:rPr>
                <w:sz w:val="15"/>
              </w:rPr>
              <w:noBreakHyphen/>
            </w:r>
            <w:r>
              <w:rPr>
                <w:sz w:val="15"/>
              </w:rPr>
              <w:t xml:space="preserve">99 </w:t>
            </w:r>
          </w:p>
        </w:tc>
        <w:tc>
          <w:tcPr>
            <w:tcW w:w="959" w:type="pct"/>
          </w:tcPr>
          <w:p w14:paraId="53F78A36" w14:textId="77777777" w:rsidR="001A500E" w:rsidRPr="00A950CC" w:rsidRDefault="001A500E" w:rsidP="001F3C85">
            <w:pPr>
              <w:tabs>
                <w:tab w:val="left" w:pos="720"/>
              </w:tabs>
              <w:jc w:val="left"/>
              <w:rPr>
                <w:rFonts w:eastAsia="Calibri"/>
                <w:sz w:val="15"/>
                <w:szCs w:val="15"/>
              </w:rPr>
            </w:pPr>
            <w:r w:rsidRPr="0060155B">
              <w:rPr>
                <w:sz w:val="15"/>
              </w:rPr>
              <w:t>6 August 1</w:t>
            </w:r>
            <w:r>
              <w:rPr>
                <w:sz w:val="15"/>
              </w:rPr>
              <w:t>999</w:t>
            </w:r>
          </w:p>
        </w:tc>
        <w:tc>
          <w:tcPr>
            <w:tcW w:w="960" w:type="pct"/>
          </w:tcPr>
          <w:p w14:paraId="5A7E291C" w14:textId="77777777" w:rsidR="001A500E" w:rsidRPr="00A950CC" w:rsidRDefault="001A500E" w:rsidP="001F3C85">
            <w:pPr>
              <w:tabs>
                <w:tab w:val="left" w:pos="720"/>
              </w:tabs>
              <w:jc w:val="left"/>
              <w:rPr>
                <w:rFonts w:eastAsia="Calibri"/>
                <w:sz w:val="15"/>
                <w:szCs w:val="15"/>
              </w:rPr>
            </w:pPr>
            <w:r>
              <w:rPr>
                <w:sz w:val="15"/>
              </w:rPr>
              <w:t>None</w:t>
            </w:r>
          </w:p>
        </w:tc>
      </w:tr>
      <w:tr w:rsidR="001A500E" w:rsidRPr="00A950CC" w14:paraId="627B17C7" w14:textId="77777777" w:rsidTr="001F3C85">
        <w:tc>
          <w:tcPr>
            <w:tcW w:w="2121" w:type="pct"/>
          </w:tcPr>
          <w:p w14:paraId="41F7BF24" w14:textId="77777777" w:rsidR="001A500E" w:rsidRPr="00A950CC" w:rsidRDefault="001A500E" w:rsidP="001F3C85">
            <w:pPr>
              <w:tabs>
                <w:tab w:val="left" w:pos="720"/>
              </w:tabs>
              <w:jc w:val="left"/>
              <w:rPr>
                <w:sz w:val="15"/>
                <w:szCs w:val="15"/>
              </w:rPr>
            </w:pPr>
            <w:r>
              <w:rPr>
                <w:sz w:val="15"/>
              </w:rPr>
              <w:t>Law on the Promotion of Free Zones</w:t>
            </w:r>
          </w:p>
        </w:tc>
        <w:tc>
          <w:tcPr>
            <w:tcW w:w="959" w:type="pct"/>
          </w:tcPr>
          <w:p w14:paraId="586C8F7C" w14:textId="77777777" w:rsidR="001A500E" w:rsidRPr="00A950CC" w:rsidRDefault="001A500E" w:rsidP="001F3C85">
            <w:pPr>
              <w:tabs>
                <w:tab w:val="left" w:pos="720"/>
              </w:tabs>
              <w:jc w:val="left"/>
              <w:rPr>
                <w:rFonts w:eastAsia="Calibri"/>
                <w:sz w:val="15"/>
                <w:szCs w:val="15"/>
              </w:rPr>
            </w:pPr>
            <w:r>
              <w:rPr>
                <w:sz w:val="15"/>
              </w:rPr>
              <w:t xml:space="preserve">Law </w:t>
            </w:r>
            <w:r w:rsidRPr="0060155B">
              <w:rPr>
                <w:sz w:val="15"/>
              </w:rPr>
              <w:t>No. </w:t>
            </w:r>
            <w:r>
              <w:rPr>
                <w:sz w:val="15"/>
              </w:rPr>
              <w:t>8</w:t>
            </w:r>
            <w:r w:rsidRPr="0060155B">
              <w:rPr>
                <w:sz w:val="15"/>
              </w:rPr>
              <w:noBreakHyphen/>
            </w:r>
            <w:r>
              <w:rPr>
                <w:sz w:val="15"/>
              </w:rPr>
              <w:t xml:space="preserve">90 </w:t>
            </w:r>
          </w:p>
        </w:tc>
        <w:tc>
          <w:tcPr>
            <w:tcW w:w="959" w:type="pct"/>
          </w:tcPr>
          <w:p w14:paraId="57C965DB" w14:textId="77777777" w:rsidR="001A500E" w:rsidRPr="00A950CC" w:rsidRDefault="001A500E" w:rsidP="001F3C85">
            <w:pPr>
              <w:tabs>
                <w:tab w:val="left" w:pos="720"/>
              </w:tabs>
              <w:jc w:val="left"/>
              <w:rPr>
                <w:rFonts w:eastAsia="Calibri"/>
                <w:sz w:val="15"/>
                <w:szCs w:val="15"/>
              </w:rPr>
            </w:pPr>
            <w:r>
              <w:rPr>
                <w:sz w:val="15"/>
              </w:rPr>
              <w:t>1</w:t>
            </w:r>
            <w:r w:rsidRPr="0060155B">
              <w:rPr>
                <w:sz w:val="15"/>
              </w:rPr>
              <w:t>5 January 1</w:t>
            </w:r>
            <w:r>
              <w:rPr>
                <w:sz w:val="15"/>
              </w:rPr>
              <w:t>990</w:t>
            </w:r>
          </w:p>
        </w:tc>
        <w:tc>
          <w:tcPr>
            <w:tcW w:w="960" w:type="pct"/>
          </w:tcPr>
          <w:p w14:paraId="64556C48" w14:textId="77777777" w:rsidR="001A500E" w:rsidRPr="00A950CC" w:rsidRDefault="001A500E" w:rsidP="001F3C85">
            <w:pPr>
              <w:tabs>
                <w:tab w:val="left" w:pos="720"/>
              </w:tabs>
              <w:jc w:val="left"/>
              <w:rPr>
                <w:rFonts w:eastAsia="Calibri"/>
                <w:sz w:val="15"/>
                <w:szCs w:val="15"/>
              </w:rPr>
            </w:pPr>
            <w:r w:rsidRPr="0060155B">
              <w:rPr>
                <w:sz w:val="15"/>
              </w:rPr>
              <w:t>9 November 2</w:t>
            </w:r>
            <w:r>
              <w:rPr>
                <w:sz w:val="15"/>
              </w:rPr>
              <w:t>012</w:t>
            </w:r>
          </w:p>
          <w:p w14:paraId="3C27EB4F" w14:textId="77777777" w:rsidR="001A500E" w:rsidRPr="00A950CC" w:rsidRDefault="001A500E" w:rsidP="001F3C85">
            <w:pPr>
              <w:tabs>
                <w:tab w:val="left" w:pos="720"/>
              </w:tabs>
              <w:jc w:val="left"/>
              <w:rPr>
                <w:rFonts w:eastAsia="Calibri"/>
                <w:sz w:val="15"/>
                <w:szCs w:val="15"/>
              </w:rPr>
            </w:pPr>
            <w:r w:rsidRPr="0060155B">
              <w:rPr>
                <w:sz w:val="15"/>
              </w:rPr>
              <w:t>3 February 2</w:t>
            </w:r>
            <w:r>
              <w:rPr>
                <w:sz w:val="15"/>
              </w:rPr>
              <w:t>017</w:t>
            </w:r>
          </w:p>
        </w:tc>
      </w:tr>
      <w:tr w:rsidR="001A500E" w:rsidRPr="00A950CC" w14:paraId="1E6F6F79" w14:textId="77777777" w:rsidTr="001F3C85">
        <w:trPr>
          <w:cnfStyle w:val="000000010000" w:firstRow="0" w:lastRow="0" w:firstColumn="0" w:lastColumn="0" w:oddVBand="0" w:evenVBand="0" w:oddHBand="0" w:evenHBand="1" w:firstRowFirstColumn="0" w:firstRowLastColumn="0" w:lastRowFirstColumn="0" w:lastRowLastColumn="0"/>
        </w:trPr>
        <w:tc>
          <w:tcPr>
            <w:tcW w:w="2121" w:type="pct"/>
          </w:tcPr>
          <w:p w14:paraId="274C2495" w14:textId="77777777" w:rsidR="001A500E" w:rsidRPr="00A950CC" w:rsidRDefault="001A500E" w:rsidP="001F3C85">
            <w:pPr>
              <w:tabs>
                <w:tab w:val="left" w:pos="720"/>
              </w:tabs>
              <w:jc w:val="left"/>
              <w:rPr>
                <w:sz w:val="15"/>
                <w:szCs w:val="15"/>
              </w:rPr>
            </w:pPr>
            <w:r>
              <w:rPr>
                <w:sz w:val="15"/>
              </w:rPr>
              <w:t>Regulations on Customs Valuation in conformity with the G</w:t>
            </w:r>
            <w:r w:rsidRPr="0060155B">
              <w:rPr>
                <w:sz w:val="15"/>
              </w:rPr>
              <w:t>ATT 1994</w:t>
            </w:r>
            <w:r>
              <w:rPr>
                <w:sz w:val="15"/>
              </w:rPr>
              <w:t xml:space="preserve"> Customs Valuation Agreement </w:t>
            </w:r>
          </w:p>
        </w:tc>
        <w:tc>
          <w:tcPr>
            <w:tcW w:w="959" w:type="pct"/>
          </w:tcPr>
          <w:p w14:paraId="2F242233" w14:textId="77777777" w:rsidR="001A500E" w:rsidRPr="00A950CC" w:rsidRDefault="001A500E" w:rsidP="001F3C85">
            <w:pPr>
              <w:tabs>
                <w:tab w:val="left" w:pos="720"/>
              </w:tabs>
              <w:jc w:val="left"/>
              <w:rPr>
                <w:rFonts w:eastAsia="Calibri"/>
                <w:sz w:val="15"/>
                <w:szCs w:val="15"/>
              </w:rPr>
            </w:pPr>
            <w:r>
              <w:rPr>
                <w:sz w:val="15"/>
              </w:rPr>
              <w:t xml:space="preserve">Decree </w:t>
            </w:r>
            <w:r w:rsidRPr="0060155B">
              <w:rPr>
                <w:sz w:val="15"/>
              </w:rPr>
              <w:t>No. </w:t>
            </w:r>
            <w:r>
              <w:rPr>
                <w:sz w:val="15"/>
              </w:rPr>
              <w:t>36</w:t>
            </w:r>
            <w:r w:rsidRPr="0060155B">
              <w:rPr>
                <w:sz w:val="15"/>
              </w:rPr>
              <w:noBreakHyphen/>
            </w:r>
            <w:r>
              <w:rPr>
                <w:sz w:val="15"/>
              </w:rPr>
              <w:t>11</w:t>
            </w:r>
          </w:p>
        </w:tc>
        <w:tc>
          <w:tcPr>
            <w:tcW w:w="959" w:type="pct"/>
          </w:tcPr>
          <w:p w14:paraId="1840CF9A" w14:textId="77777777" w:rsidR="001A500E" w:rsidRPr="00A950CC" w:rsidRDefault="001A500E" w:rsidP="001F3C85">
            <w:pPr>
              <w:tabs>
                <w:tab w:val="left" w:pos="720"/>
              </w:tabs>
              <w:jc w:val="left"/>
              <w:rPr>
                <w:rFonts w:eastAsia="Calibri"/>
                <w:b/>
                <w:sz w:val="15"/>
                <w:szCs w:val="15"/>
              </w:rPr>
            </w:pPr>
            <w:r>
              <w:rPr>
                <w:sz w:val="15"/>
              </w:rPr>
              <w:t>2</w:t>
            </w:r>
            <w:r w:rsidRPr="0060155B">
              <w:rPr>
                <w:sz w:val="15"/>
              </w:rPr>
              <w:t>0 January 2</w:t>
            </w:r>
            <w:r>
              <w:rPr>
                <w:sz w:val="15"/>
              </w:rPr>
              <w:t xml:space="preserve">011 </w:t>
            </w:r>
          </w:p>
        </w:tc>
        <w:tc>
          <w:tcPr>
            <w:tcW w:w="960" w:type="pct"/>
          </w:tcPr>
          <w:p w14:paraId="09690EF4" w14:textId="77777777" w:rsidR="001A500E" w:rsidRPr="00A950CC" w:rsidRDefault="001A500E" w:rsidP="001F3C85">
            <w:pPr>
              <w:tabs>
                <w:tab w:val="left" w:pos="720"/>
              </w:tabs>
              <w:jc w:val="left"/>
              <w:rPr>
                <w:rFonts w:eastAsia="Calibri"/>
                <w:sz w:val="15"/>
                <w:szCs w:val="15"/>
              </w:rPr>
            </w:pPr>
            <w:r>
              <w:rPr>
                <w:sz w:val="15"/>
              </w:rPr>
              <w:t>None</w:t>
            </w:r>
          </w:p>
        </w:tc>
      </w:tr>
      <w:tr w:rsidR="001A500E" w:rsidRPr="00A950CC" w14:paraId="48DCE71D" w14:textId="77777777" w:rsidTr="001F3C85">
        <w:tc>
          <w:tcPr>
            <w:tcW w:w="2121" w:type="pct"/>
          </w:tcPr>
          <w:p w14:paraId="34143DB7" w14:textId="77777777" w:rsidR="001A500E" w:rsidRPr="00A950CC" w:rsidRDefault="001A500E" w:rsidP="001F3C85">
            <w:pPr>
              <w:tabs>
                <w:tab w:val="left" w:pos="720"/>
              </w:tabs>
              <w:jc w:val="left"/>
              <w:rPr>
                <w:sz w:val="15"/>
                <w:szCs w:val="15"/>
              </w:rPr>
            </w:pPr>
            <w:r>
              <w:rPr>
                <w:sz w:val="15"/>
              </w:rPr>
              <w:t>Law on Industrial Competitiveness and Innovation</w:t>
            </w:r>
          </w:p>
        </w:tc>
        <w:tc>
          <w:tcPr>
            <w:tcW w:w="959" w:type="pct"/>
          </w:tcPr>
          <w:p w14:paraId="07905745" w14:textId="77777777" w:rsidR="001A500E" w:rsidRPr="00A950CC" w:rsidRDefault="001A500E" w:rsidP="001F3C85">
            <w:pPr>
              <w:tabs>
                <w:tab w:val="left" w:pos="720"/>
              </w:tabs>
              <w:jc w:val="left"/>
              <w:rPr>
                <w:rFonts w:eastAsia="Calibri"/>
                <w:sz w:val="15"/>
                <w:szCs w:val="15"/>
              </w:rPr>
            </w:pPr>
            <w:r>
              <w:rPr>
                <w:sz w:val="15"/>
              </w:rPr>
              <w:t xml:space="preserve">Law </w:t>
            </w:r>
            <w:r w:rsidRPr="0060155B">
              <w:rPr>
                <w:sz w:val="15"/>
              </w:rPr>
              <w:t>No. </w:t>
            </w:r>
            <w:r>
              <w:rPr>
                <w:sz w:val="15"/>
              </w:rPr>
              <w:t>392</w:t>
            </w:r>
            <w:r w:rsidRPr="0060155B">
              <w:rPr>
                <w:sz w:val="15"/>
              </w:rPr>
              <w:noBreakHyphen/>
            </w:r>
            <w:r>
              <w:rPr>
                <w:sz w:val="15"/>
              </w:rPr>
              <w:t>07</w:t>
            </w:r>
          </w:p>
        </w:tc>
        <w:tc>
          <w:tcPr>
            <w:tcW w:w="959" w:type="pct"/>
          </w:tcPr>
          <w:p w14:paraId="4770B7F9" w14:textId="77777777" w:rsidR="001A500E" w:rsidRPr="00A950CC" w:rsidRDefault="001A500E" w:rsidP="001F3C85">
            <w:pPr>
              <w:tabs>
                <w:tab w:val="left" w:pos="720"/>
              </w:tabs>
              <w:jc w:val="left"/>
              <w:rPr>
                <w:rFonts w:eastAsia="Calibri"/>
                <w:sz w:val="15"/>
                <w:szCs w:val="15"/>
              </w:rPr>
            </w:pPr>
            <w:r w:rsidRPr="0060155B">
              <w:rPr>
                <w:sz w:val="15"/>
              </w:rPr>
              <w:t>4 December 2</w:t>
            </w:r>
            <w:r>
              <w:rPr>
                <w:sz w:val="15"/>
              </w:rPr>
              <w:t>007</w:t>
            </w:r>
          </w:p>
        </w:tc>
        <w:tc>
          <w:tcPr>
            <w:tcW w:w="960" w:type="pct"/>
          </w:tcPr>
          <w:p w14:paraId="4A4EB75A" w14:textId="77777777" w:rsidR="001A500E" w:rsidRPr="00A950CC" w:rsidRDefault="001A500E" w:rsidP="001F3C85">
            <w:pPr>
              <w:tabs>
                <w:tab w:val="left" w:pos="720"/>
              </w:tabs>
              <w:jc w:val="left"/>
              <w:rPr>
                <w:rFonts w:eastAsia="Calibri"/>
                <w:sz w:val="15"/>
                <w:szCs w:val="15"/>
              </w:rPr>
            </w:pPr>
            <w:r w:rsidRPr="0060155B">
              <w:rPr>
                <w:sz w:val="15"/>
              </w:rPr>
              <w:t>5 December 2</w:t>
            </w:r>
            <w:r>
              <w:rPr>
                <w:sz w:val="15"/>
              </w:rPr>
              <w:t>014</w:t>
            </w:r>
          </w:p>
        </w:tc>
      </w:tr>
      <w:tr w:rsidR="001A500E" w:rsidRPr="00A950CC" w14:paraId="22D3D1E5" w14:textId="77777777" w:rsidTr="001F3C85">
        <w:trPr>
          <w:cnfStyle w:val="000000010000" w:firstRow="0" w:lastRow="0" w:firstColumn="0" w:lastColumn="0" w:oddVBand="0" w:evenVBand="0" w:oddHBand="0" w:evenHBand="1" w:firstRowFirstColumn="0" w:firstRowLastColumn="0" w:lastRowFirstColumn="0" w:lastRowLastColumn="0"/>
        </w:trPr>
        <w:tc>
          <w:tcPr>
            <w:tcW w:w="2121" w:type="pct"/>
          </w:tcPr>
          <w:p w14:paraId="5D9B2132" w14:textId="77777777" w:rsidR="001A500E" w:rsidRPr="00A950CC" w:rsidRDefault="001A500E" w:rsidP="001F3C85">
            <w:pPr>
              <w:tabs>
                <w:tab w:val="left" w:pos="720"/>
              </w:tabs>
              <w:jc w:val="left"/>
              <w:rPr>
                <w:sz w:val="15"/>
                <w:szCs w:val="15"/>
              </w:rPr>
            </w:pPr>
            <w:bookmarkStart w:id="124" w:name="_Hlk98493726"/>
            <w:r>
              <w:rPr>
                <w:sz w:val="15"/>
              </w:rPr>
              <w:t>Implementation of a Single Window for Foreign Trade</w:t>
            </w:r>
          </w:p>
        </w:tc>
        <w:tc>
          <w:tcPr>
            <w:tcW w:w="959" w:type="pct"/>
          </w:tcPr>
          <w:p w14:paraId="235556F4" w14:textId="77777777" w:rsidR="001A500E" w:rsidRPr="00A950CC" w:rsidRDefault="001A500E" w:rsidP="001F3C85">
            <w:pPr>
              <w:tabs>
                <w:tab w:val="left" w:pos="720"/>
              </w:tabs>
              <w:jc w:val="left"/>
              <w:rPr>
                <w:rFonts w:eastAsia="Calibri"/>
                <w:sz w:val="15"/>
                <w:szCs w:val="15"/>
              </w:rPr>
            </w:pPr>
            <w:r>
              <w:rPr>
                <w:sz w:val="15"/>
              </w:rPr>
              <w:t xml:space="preserve">Decree </w:t>
            </w:r>
            <w:r w:rsidRPr="0060155B">
              <w:rPr>
                <w:sz w:val="15"/>
              </w:rPr>
              <w:t>No. </w:t>
            </w:r>
            <w:r>
              <w:rPr>
                <w:sz w:val="15"/>
              </w:rPr>
              <w:t>470</w:t>
            </w:r>
            <w:r w:rsidRPr="0060155B">
              <w:rPr>
                <w:sz w:val="15"/>
              </w:rPr>
              <w:noBreakHyphen/>
            </w:r>
            <w:r>
              <w:rPr>
                <w:sz w:val="15"/>
              </w:rPr>
              <w:t>14</w:t>
            </w:r>
          </w:p>
        </w:tc>
        <w:tc>
          <w:tcPr>
            <w:tcW w:w="959" w:type="pct"/>
          </w:tcPr>
          <w:p w14:paraId="1BF595AD" w14:textId="77777777" w:rsidR="001A500E" w:rsidRPr="00A950CC" w:rsidRDefault="001A500E" w:rsidP="001F3C85">
            <w:pPr>
              <w:tabs>
                <w:tab w:val="left" w:pos="720"/>
              </w:tabs>
              <w:jc w:val="left"/>
              <w:rPr>
                <w:rFonts w:eastAsia="Calibri"/>
                <w:sz w:val="15"/>
                <w:szCs w:val="15"/>
              </w:rPr>
            </w:pPr>
            <w:r>
              <w:rPr>
                <w:sz w:val="15"/>
              </w:rPr>
              <w:t>1</w:t>
            </w:r>
            <w:r w:rsidRPr="0060155B">
              <w:rPr>
                <w:sz w:val="15"/>
              </w:rPr>
              <w:t>2 December 2</w:t>
            </w:r>
            <w:r>
              <w:rPr>
                <w:sz w:val="15"/>
              </w:rPr>
              <w:t>014</w:t>
            </w:r>
          </w:p>
        </w:tc>
        <w:tc>
          <w:tcPr>
            <w:tcW w:w="960" w:type="pct"/>
          </w:tcPr>
          <w:p w14:paraId="377BC8D1" w14:textId="77777777" w:rsidR="001A500E" w:rsidRPr="00A950CC" w:rsidRDefault="001A500E" w:rsidP="001F3C85">
            <w:pPr>
              <w:tabs>
                <w:tab w:val="left" w:pos="720"/>
              </w:tabs>
              <w:jc w:val="left"/>
              <w:rPr>
                <w:rFonts w:eastAsia="Calibri"/>
                <w:sz w:val="15"/>
                <w:szCs w:val="15"/>
              </w:rPr>
            </w:pPr>
            <w:r>
              <w:rPr>
                <w:sz w:val="15"/>
              </w:rPr>
              <w:t>None</w:t>
            </w:r>
          </w:p>
        </w:tc>
      </w:tr>
    </w:tbl>
    <w:bookmarkEnd w:id="124"/>
    <w:p w14:paraId="3327FB1C" w14:textId="77777777" w:rsidR="001A500E" w:rsidRPr="007C74EF" w:rsidRDefault="001A500E" w:rsidP="00E439A9">
      <w:pPr>
        <w:pStyle w:val="NoteText"/>
        <w:spacing w:before="120" w:after="240"/>
      </w:pPr>
      <w:r>
        <w:t>Source:</w:t>
      </w:r>
      <w:r>
        <w:tab/>
        <w:t>WTO Secretariat.</w:t>
      </w:r>
    </w:p>
    <w:p w14:paraId="1FD92E80" w14:textId="77777777" w:rsidR="001A500E" w:rsidRPr="007C74EF" w:rsidRDefault="001A500E" w:rsidP="00574469">
      <w:pPr>
        <w:pStyle w:val="BodyText"/>
      </w:pPr>
      <w:r>
        <w:t>The Directorate</w:t>
      </w:r>
      <w:r w:rsidRPr="0060155B">
        <w:noBreakHyphen/>
      </w:r>
      <w:r>
        <w:t>General of Customs (DGA) remains the authority responsible for facilitating and monitoring foreign trade and for collecting tariffs and other trade</w:t>
      </w:r>
      <w:r w:rsidRPr="0060155B">
        <w:noBreakHyphen/>
      </w:r>
      <w:r>
        <w:t>related duties, among other tasks</w:t>
      </w:r>
      <w:r w:rsidRPr="0060155B">
        <w:t>. T</w:t>
      </w:r>
      <w:r>
        <w:t>he Dominican Republic has several types of customs regime</w:t>
      </w:r>
      <w:r w:rsidRPr="0060155B">
        <w:t>. I</w:t>
      </w:r>
      <w:r>
        <w:t>n addition to definitive import and export regimes, which entail the full payment of customs duties, goods may be subject to other customs regimes, namely</w:t>
      </w:r>
      <w:r w:rsidRPr="0060155B">
        <w:t>: t</w:t>
      </w:r>
      <w:r>
        <w:t>emporary or duty suspension regimes</w:t>
      </w:r>
      <w:r w:rsidRPr="0060155B">
        <w:t>; d</w:t>
      </w:r>
      <w:r>
        <w:t>uty drawback regimes</w:t>
      </w:r>
      <w:r w:rsidRPr="0060155B">
        <w:t>; a</w:t>
      </w:r>
      <w:r>
        <w:t>nd duty exemption regimes (Table A3.1)</w:t>
      </w:r>
      <w:r w:rsidRPr="0060155B">
        <w:t>. T</w:t>
      </w:r>
      <w:r>
        <w:t>hese regimes already existed in 2014</w:t>
      </w:r>
      <w:r w:rsidRPr="0060155B">
        <w:t>; t</w:t>
      </w:r>
      <w:r>
        <w:t>he new customs legislation preserves their essence.</w:t>
      </w:r>
    </w:p>
    <w:p w14:paraId="69D9A95B" w14:textId="77777777" w:rsidR="001A500E" w:rsidRPr="006420F6" w:rsidRDefault="001A500E" w:rsidP="00574469">
      <w:pPr>
        <w:pStyle w:val="BodyText"/>
      </w:pPr>
      <w:r>
        <w:t>Under the new Customs Law, transit is considered a customs operation</w:t>
      </w:r>
      <w:r w:rsidRPr="0060155B">
        <w:t>. T</w:t>
      </w:r>
      <w:r>
        <w:t>he Law establishes that goods in transit are not subject to any duties, taxes or charges, and must be inspected only in exceptional cases for reasons of national security</w:t>
      </w:r>
      <w:r w:rsidRPr="0060155B">
        <w:t>. G</w:t>
      </w:r>
      <w:r>
        <w:t>oods in transit may remain in the country for up to one year</w:t>
      </w:r>
      <w:r w:rsidRPr="0060155B">
        <w:t>. W</w:t>
      </w:r>
      <w:r>
        <w:t>arehousing procedures are not governed by the new Law</w:t>
      </w:r>
      <w:r w:rsidRPr="0060155B">
        <w:t>; t</w:t>
      </w:r>
      <w:r>
        <w:t xml:space="preserve">hey continue to be regulated by Law </w:t>
      </w:r>
      <w:r w:rsidRPr="0060155B">
        <w:t>No. </w:t>
      </w:r>
      <w:r>
        <w:t>456</w:t>
      </w:r>
      <w:r w:rsidRPr="0060155B">
        <w:noBreakHyphen/>
      </w:r>
      <w:r>
        <w:t>73, which established them.</w:t>
      </w:r>
    </w:p>
    <w:p w14:paraId="5E43057D" w14:textId="77777777" w:rsidR="001A500E" w:rsidRPr="006420F6" w:rsidRDefault="001A500E" w:rsidP="00574469">
      <w:pPr>
        <w:pStyle w:val="BodyText"/>
      </w:pPr>
      <w:r>
        <w:t>Since 2014, when the single window for foreign trade (</w:t>
      </w:r>
      <w:proofErr w:type="spellStart"/>
      <w:r>
        <w:t>VUCE</w:t>
      </w:r>
      <w:proofErr w:type="spellEnd"/>
      <w:r>
        <w:t>) was launched, import (and export) procedures have been carried out electronically</w:t>
      </w:r>
      <w:r w:rsidRPr="0060155B">
        <w:t>.</w:t>
      </w:r>
      <w:r w:rsidRPr="0060155B">
        <w:rPr>
          <w:rStyle w:val="FootnoteReference"/>
        </w:rPr>
        <w:footnoteReference w:id="109"/>
      </w:r>
      <w:r w:rsidRPr="0060155B">
        <w:t xml:space="preserve"> T</w:t>
      </w:r>
      <w:r>
        <w:t xml:space="preserve">he </w:t>
      </w:r>
      <w:proofErr w:type="spellStart"/>
      <w:r>
        <w:t>VUCE</w:t>
      </w:r>
      <w:proofErr w:type="spellEnd"/>
      <w:r>
        <w:t xml:space="preserve"> includes the services offered by the government agencies that issue import (and export or transit) authorizations</w:t>
      </w:r>
      <w:r w:rsidRPr="0060155B">
        <w:t>.</w:t>
      </w:r>
      <w:r w:rsidRPr="0060155B">
        <w:rPr>
          <w:rStyle w:val="FootnoteReference"/>
        </w:rPr>
        <w:footnoteReference w:id="110"/>
      </w:r>
      <w:r w:rsidRPr="0060155B">
        <w:t xml:space="preserve"> T</w:t>
      </w:r>
      <w:r>
        <w:t xml:space="preserve">hrough the </w:t>
      </w:r>
      <w:proofErr w:type="spellStart"/>
      <w:r>
        <w:t>VUCE</w:t>
      </w:r>
      <w:proofErr w:type="spellEnd"/>
      <w:r>
        <w:t>, trade operators can consult the importation (and exportation or transit) procedures and requirements and request in advance the authorizations, permits, certifications or conformity assessments required by the various competent entities for the importation (and exportation or transit) of goods.</w:t>
      </w:r>
    </w:p>
    <w:p w14:paraId="4C3668CC" w14:textId="77777777" w:rsidR="001A500E" w:rsidRPr="00B47468" w:rsidRDefault="001A500E" w:rsidP="00574469">
      <w:pPr>
        <w:pStyle w:val="BodyText"/>
      </w:pPr>
      <w:r>
        <w:t>Both natural and legal persons may engage in foreign trade operations</w:t>
      </w:r>
      <w:r w:rsidRPr="0060155B">
        <w:t>. I</w:t>
      </w:r>
      <w:r>
        <w:t>n the Dominican Republic, importers (and exporters) are subject to specific mandatory registration with the DGA</w:t>
      </w:r>
      <w:r w:rsidRPr="0060155B">
        <w:t>; o</w:t>
      </w:r>
      <w:r>
        <w:t xml:space="preserve">ther foreign trade operators require a licence to operate (Article 34 of Customs Law </w:t>
      </w:r>
      <w:r w:rsidRPr="0060155B">
        <w:t>No. </w:t>
      </w:r>
      <w:r>
        <w:t>168</w:t>
      </w:r>
      <w:r w:rsidRPr="0060155B">
        <w:noBreakHyphen/>
      </w:r>
      <w:r>
        <w:t>21).</w:t>
      </w:r>
    </w:p>
    <w:p w14:paraId="5E5F3286" w14:textId="77777777" w:rsidR="001A500E" w:rsidRPr="00404DFC" w:rsidRDefault="001A500E" w:rsidP="00574469">
      <w:pPr>
        <w:pStyle w:val="BodyText"/>
      </w:pPr>
      <w:r>
        <w:t>In the Dominican Republic, it is not compulsory to use the services of a customs agent</w:t>
      </w:r>
      <w:r w:rsidRPr="0060155B">
        <w:t>. T</w:t>
      </w:r>
      <w:r>
        <w:t>o carry out imports or exports, or opt for a particular customs regime, the operator must use the Integrated Customs Management System (SIGA) (</w:t>
      </w:r>
      <w:hyperlink r:id="rId35" w:history="1">
        <w:r>
          <w:rPr>
            <w:rStyle w:val="Hyperlink"/>
          </w:rPr>
          <w:t>www.aduanas.gob.do</w:t>
        </w:r>
      </w:hyperlink>
      <w:r>
        <w:t>) to submit a single customs declaration, a commercial invoice, a transport document (bill of lading, air waybill or consignment note) and, for imports under preferential arrangements, a certificate of origin</w:t>
      </w:r>
      <w:r w:rsidRPr="0060155B">
        <w:t>. I</w:t>
      </w:r>
      <w:r>
        <w:t xml:space="preserve">n addition, depending on the nature of the product, import (or export) permits or authorizations and plant and animal </w:t>
      </w:r>
      <w:r>
        <w:lastRenderedPageBreak/>
        <w:t>health certificates must be submitted</w:t>
      </w:r>
      <w:r w:rsidRPr="0060155B">
        <w:t>. T</w:t>
      </w:r>
      <w:r>
        <w:t xml:space="preserve">hese are processed through the </w:t>
      </w:r>
      <w:proofErr w:type="spellStart"/>
      <w:r>
        <w:t>VUCE</w:t>
      </w:r>
      <w:proofErr w:type="spellEnd"/>
      <w:r>
        <w:t xml:space="preserve"> and presented in electronic format</w:t>
      </w:r>
      <w:r w:rsidRPr="0060155B">
        <w:t>. A</w:t>
      </w:r>
      <w:r>
        <w:t>ll types of payments (for permits/authorizations or customs services) are made through Internet banking</w:t>
      </w:r>
      <w:r w:rsidRPr="0060155B">
        <w:t>.</w:t>
      </w:r>
      <w:r w:rsidRPr="0060155B">
        <w:rPr>
          <w:rStyle w:val="FootnoteReference"/>
        </w:rPr>
        <w:footnoteReference w:id="111"/>
      </w:r>
      <w:r w:rsidRPr="0060155B">
        <w:t xml:space="preserve"> T</w:t>
      </w:r>
      <w:r>
        <w:t xml:space="preserve">he </w:t>
      </w:r>
      <w:proofErr w:type="spellStart"/>
      <w:r>
        <w:t>VUCE</w:t>
      </w:r>
      <w:proofErr w:type="spellEnd"/>
      <w:r>
        <w:t xml:space="preserve"> is free to use</w:t>
      </w:r>
      <w:r w:rsidRPr="0060155B">
        <w:t>; h</w:t>
      </w:r>
      <w:r>
        <w:t>owever, it costs DOP 200 to file a single customs declaration.</w:t>
      </w:r>
    </w:p>
    <w:p w14:paraId="05222569" w14:textId="77777777" w:rsidR="001A500E" w:rsidRPr="007C74EF" w:rsidRDefault="001A500E" w:rsidP="00574469">
      <w:pPr>
        <w:pStyle w:val="BodyText"/>
      </w:pPr>
      <w:r>
        <w:t>In addition to streamlining customs procedures, the new Customs Law legalized electronic declarations and the use of electronic means</w:t>
      </w:r>
      <w:r w:rsidRPr="0060155B">
        <w:t>. A</w:t>
      </w:r>
      <w:r>
        <w:t>s a result, commercial invoices and documents are now submitted electronically and can be presented in English.</w:t>
      </w:r>
    </w:p>
    <w:p w14:paraId="0A01E1BF" w14:textId="77777777" w:rsidR="001A500E" w:rsidRPr="007C74EF" w:rsidRDefault="001A500E" w:rsidP="00574469">
      <w:pPr>
        <w:pStyle w:val="BodyText"/>
      </w:pPr>
      <w:r>
        <w:t>All goods entering or leaving the customs territory must be declared, even if they are not subject to the payment of duties, by means of a customs declaration, with the exception of goods transported under international transit or transhipment conditions</w:t>
      </w:r>
      <w:r w:rsidRPr="0060155B">
        <w:t>. T</w:t>
      </w:r>
      <w:r>
        <w:t>he single customs declaration must provide the details required by Customs to apply the selected regime</w:t>
      </w:r>
      <w:r w:rsidRPr="0060155B">
        <w:t>. T</w:t>
      </w:r>
      <w:r>
        <w:t>he customs declaration must be made electronically, and only when this is physically impossible may the DGA exceptionally consider other ways of filing the declaration</w:t>
      </w:r>
      <w:r w:rsidRPr="0060155B">
        <w:t>. A</w:t>
      </w:r>
      <w:r>
        <w:t>n advance declaration may be used to expedite the process.</w:t>
      </w:r>
    </w:p>
    <w:p w14:paraId="053E237F" w14:textId="77777777" w:rsidR="001A500E" w:rsidRPr="007C74EF" w:rsidRDefault="001A500E" w:rsidP="00574469">
      <w:pPr>
        <w:pStyle w:val="BodyText"/>
      </w:pPr>
      <w:r>
        <w:t>Prior to the clearance of goods, the DGA carries out customs checks, which may require a documentary inspection or a documentary and physical inspection</w:t>
      </w:r>
      <w:r w:rsidRPr="0060155B">
        <w:t>. T</w:t>
      </w:r>
      <w:r>
        <w:t>he type of verification, valuation or inspection required is determined on the basis of a risk analysis</w:t>
      </w:r>
      <w:r w:rsidRPr="0060155B">
        <w:t>. T</w:t>
      </w:r>
      <w:r>
        <w:t>he physical and documentary checks may be full or partial, but must be performed within eight hours of the goods being placed at the disposal of the authorized customs official, unless a longer period of time is required for extraordinary reasons or because of the nature and characteristics of the goods</w:t>
      </w:r>
      <w:r w:rsidRPr="0060155B">
        <w:t>. I</w:t>
      </w:r>
      <w:r>
        <w:t>f, during the verification process, discrepancies are found with respect to the declaration, Customs shall notify the declarant or his/her representative within a period not exceeding eight hours</w:t>
      </w:r>
      <w:r w:rsidRPr="0060155B">
        <w:t>. C</w:t>
      </w:r>
      <w:r>
        <w:t>ustoms will correct the single customs declaration when the following discrepancies are detected</w:t>
      </w:r>
      <w:r w:rsidRPr="0060155B">
        <w:t>: (</w:t>
      </w:r>
      <w:r>
        <w:t>1) when the goods are found to be of a different nature, unit of measurement, quality or weight, to have different characteristics or to be in a different condition, or when the physical verification reveals an incorrect tariff classification, origin or value</w:t>
      </w:r>
      <w:r w:rsidRPr="0060155B">
        <w:t>; a</w:t>
      </w:r>
      <w:r>
        <w:t>nd (2) when errors or omissions are detected in the name of the importer (exporter), shipper or consignee, the size or number of the container, or the seals, among other aspects.</w:t>
      </w:r>
    </w:p>
    <w:p w14:paraId="3BE48113" w14:textId="77777777" w:rsidR="001A500E" w:rsidRPr="006420F6" w:rsidRDefault="001A500E" w:rsidP="00574469">
      <w:pPr>
        <w:pStyle w:val="BodyText"/>
      </w:pPr>
      <w:r>
        <w:t>For the goods to be released, the importer must have paid all duties and taxes in full, except in cases where a guarantee is provided</w:t>
      </w:r>
      <w:r w:rsidRPr="0060155B">
        <w:t>. T</w:t>
      </w:r>
      <w:r>
        <w:t>his may occur when it is necessary to delay the determination of the customs duty payable, for example when the final determination of the value is delayed, or when the importer contests, through an administrative appeal, the result of the tax determination</w:t>
      </w:r>
      <w:r w:rsidRPr="0060155B">
        <w:t>. I</w:t>
      </w:r>
      <w:r>
        <w:t>f, after the payment has been made, Customs finds, as a result of a review carried out within the time limit prescribed by the Law, that less tax and duty was paid than was due, it will demand payment of the difference and may impose penalties</w:t>
      </w:r>
      <w:r w:rsidRPr="0060155B">
        <w:t>. S</w:t>
      </w:r>
      <w:r>
        <w:t>imilarly, at the request of the importer, any excess duties that have been collected owing to an valuation or calculation error, or a duly verified error of any other nature, shall be reimbursed</w:t>
      </w:r>
      <w:r w:rsidRPr="0060155B">
        <w:t>. W</w:t>
      </w:r>
      <w:r>
        <w:t>ithin a period of five days after the goods have been unloaded, the manifest or transport document may be amended to specify the inbound goods not delivered to Customs and those that were delivered without being included in the document.</w:t>
      </w:r>
    </w:p>
    <w:p w14:paraId="483889BF" w14:textId="77777777" w:rsidR="001A500E" w:rsidRPr="007C74EF" w:rsidRDefault="001A500E" w:rsidP="00574469">
      <w:pPr>
        <w:pStyle w:val="BodyText"/>
      </w:pPr>
      <w:r>
        <w:t>Provisions on certification as an authorized economic operator (</w:t>
      </w:r>
      <w:proofErr w:type="spellStart"/>
      <w:r>
        <w:t>AEO</w:t>
      </w:r>
      <w:proofErr w:type="spellEnd"/>
      <w:r>
        <w:t>), which is free of charge, were adopted in the Dominican Republic in 2012 and are reiterated in the new Customs Law</w:t>
      </w:r>
      <w:r w:rsidRPr="0060155B">
        <w:t>.</w:t>
      </w:r>
      <w:r w:rsidRPr="0060155B">
        <w:rPr>
          <w:rStyle w:val="FootnoteReference"/>
        </w:rPr>
        <w:footnoteReference w:id="112"/>
      </w:r>
      <w:r w:rsidRPr="0060155B">
        <w:t xml:space="preserve"> </w:t>
      </w:r>
      <w:proofErr w:type="spellStart"/>
      <w:r w:rsidRPr="0060155B">
        <w:t>A</w:t>
      </w:r>
      <w:r>
        <w:t>EOs</w:t>
      </w:r>
      <w:proofErr w:type="spellEnd"/>
      <w:r>
        <w:t xml:space="preserve"> benefit from simplified customs processes and checks</w:t>
      </w:r>
      <w:r w:rsidRPr="0060155B">
        <w:t>.</w:t>
      </w:r>
      <w:r w:rsidRPr="0060155B">
        <w:rPr>
          <w:rStyle w:val="FootnoteReference"/>
        </w:rPr>
        <w:footnoteReference w:id="113"/>
      </w:r>
      <w:r w:rsidRPr="0060155B">
        <w:t xml:space="preserve"> A</w:t>
      </w:r>
      <w:r>
        <w:t>ny Dominican or foreign natural or legal person, lawfully established in the Dominican Republic, who is involved in the trade logistics chain and satisfies the prerequisites and minimum safety requirements may join the programme</w:t>
      </w:r>
      <w:r w:rsidRPr="0060155B">
        <w:t>.</w:t>
      </w:r>
      <w:r w:rsidRPr="0060155B">
        <w:rPr>
          <w:rStyle w:val="FootnoteReference"/>
        </w:rPr>
        <w:footnoteReference w:id="114"/>
      </w:r>
      <w:r w:rsidRPr="0060155B">
        <w:t xml:space="preserve"> T</w:t>
      </w:r>
      <w:r>
        <w:t xml:space="preserve">he authorities indicated that, as of 2022, more than 500 companies had been certified as </w:t>
      </w:r>
      <w:proofErr w:type="spellStart"/>
      <w:r>
        <w:t>AEOs</w:t>
      </w:r>
      <w:proofErr w:type="spellEnd"/>
      <w:r>
        <w:t>.</w:t>
      </w:r>
    </w:p>
    <w:p w14:paraId="3C09480B" w14:textId="77777777" w:rsidR="001A500E" w:rsidRPr="007C74EF" w:rsidRDefault="001A500E" w:rsidP="00574469">
      <w:pPr>
        <w:pStyle w:val="BodyText"/>
      </w:pPr>
      <w:r>
        <w:t>The National Committee on Trade Facilitation (</w:t>
      </w:r>
      <w:proofErr w:type="spellStart"/>
      <w:r>
        <w:t>CNFC</w:t>
      </w:r>
      <w:proofErr w:type="spellEnd"/>
      <w:r>
        <w:t>), chaired by the DGA, was created in 2017 to facilitate interaction with other trade control agencies and the private sector, and to implement the WTO Trade Facilitation Agreement</w:t>
      </w:r>
      <w:r w:rsidRPr="0060155B">
        <w:t>. I</w:t>
      </w:r>
      <w:r>
        <w:t xml:space="preserve">n addition, the Committee serves as a permanent </w:t>
      </w:r>
      <w:r>
        <w:lastRenderedPageBreak/>
        <w:t xml:space="preserve">forum for dialogue in which to address issues related to trade facilitation and logistics (Article 399 of Law </w:t>
      </w:r>
      <w:r w:rsidRPr="0060155B">
        <w:t>No. </w:t>
      </w:r>
      <w:r>
        <w:t>168</w:t>
      </w:r>
      <w:r w:rsidRPr="0060155B">
        <w:noBreakHyphen/>
      </w:r>
      <w:r>
        <w:t>21).</w:t>
      </w:r>
      <w:bookmarkStart w:id="125" w:name="_Toc384214160"/>
      <w:bookmarkStart w:id="126" w:name="_Toc417038460"/>
    </w:p>
    <w:p w14:paraId="4B1D97CD" w14:textId="77777777" w:rsidR="001A500E" w:rsidRPr="007C74EF" w:rsidRDefault="001A500E" w:rsidP="00574469">
      <w:pPr>
        <w:pStyle w:val="Heading3"/>
      </w:pPr>
      <w:bookmarkStart w:id="127" w:name="_Toc117260615"/>
      <w:r>
        <w:t>Customs valuation</w:t>
      </w:r>
      <w:bookmarkEnd w:id="125"/>
      <w:bookmarkEnd w:id="126"/>
      <w:bookmarkEnd w:id="127"/>
    </w:p>
    <w:p w14:paraId="49556A17" w14:textId="77777777" w:rsidR="001A500E" w:rsidRPr="006420F6" w:rsidRDefault="001A500E" w:rsidP="00574469">
      <w:pPr>
        <w:pStyle w:val="BodyText"/>
      </w:pPr>
      <w:r>
        <w:t>The Dominican Republic continues to apply a customs valuation system based on the WTO's Customs Valuation Agreement</w:t>
      </w:r>
      <w:r w:rsidRPr="0060155B">
        <w:t>.</w:t>
      </w:r>
      <w:r w:rsidRPr="0060155B">
        <w:rPr>
          <w:rStyle w:val="FootnoteReference"/>
        </w:rPr>
        <w:footnoteReference w:id="115"/>
      </w:r>
      <w:r w:rsidRPr="0060155B">
        <w:t xml:space="preserve"> A</w:t>
      </w:r>
      <w:r>
        <w:t>ccording to the Dominican authorities, the transaction value is used to determine customs value in around 84% of import transactions.</w:t>
      </w:r>
    </w:p>
    <w:p w14:paraId="6CD3CD4B" w14:textId="77777777" w:rsidR="001A500E" w:rsidRPr="001B40EF" w:rsidRDefault="001A500E" w:rsidP="00574469">
      <w:pPr>
        <w:pStyle w:val="BodyText"/>
        <w:rPr>
          <w:bCs/>
        </w:rPr>
      </w:pPr>
      <w:bookmarkStart w:id="128" w:name="_Hlk99026732"/>
      <w:r>
        <w:t>The Dominican Republic does not have legal instruments to set minimum/reference or official prices</w:t>
      </w:r>
      <w:r w:rsidRPr="0060155B">
        <w:t>. I</w:t>
      </w:r>
      <w:r>
        <w:t>n this regard, it may use reference values only for risk measurement purposes.</w:t>
      </w:r>
      <w:bookmarkEnd w:id="128"/>
    </w:p>
    <w:p w14:paraId="1477A764" w14:textId="77777777" w:rsidR="001A500E" w:rsidRPr="006420F6" w:rsidRDefault="001A500E" w:rsidP="00574469">
      <w:pPr>
        <w:pStyle w:val="BodyText"/>
      </w:pPr>
      <w:r>
        <w:t>With the aim of removing bureaucratic impediments to trade facilitation, the paper version of the value declaration form was scrapped in 2015</w:t>
      </w:r>
      <w:r w:rsidRPr="0060155B">
        <w:t>. T</w:t>
      </w:r>
      <w:r>
        <w:t>he most important elements of the form were incorporated into the electronic version of the single customs declaration – thus saving the importer from having to repeat information that is already contained in the declaration – and which include the importer's obligation to provide the information and documents required to determine the customs value.</w:t>
      </w:r>
      <w:r>
        <w:rPr>
          <w:rStyle w:val="FootnoteReference"/>
        </w:rPr>
        <w:footnoteReference w:id="116"/>
      </w:r>
    </w:p>
    <w:p w14:paraId="4D5D6598" w14:textId="77777777" w:rsidR="001A500E" w:rsidRPr="006420F6" w:rsidRDefault="001A500E" w:rsidP="00574469">
      <w:pPr>
        <w:pStyle w:val="BodyText"/>
      </w:pPr>
      <w:r>
        <w:t>The Dominican Republic issues advance rulings for all imports, irrespective of their origin or provenance, on the application of customs valuation criteria, among other issues</w:t>
      </w:r>
      <w:r w:rsidRPr="0060155B">
        <w:t>. R</w:t>
      </w:r>
      <w:r>
        <w:t>egarding checks or inspections, risk analysis systems continue to be used as a fundamental criterion in the selection of the goods to be inspected</w:t>
      </w:r>
      <w:r w:rsidRPr="0060155B">
        <w:t>. I</w:t>
      </w:r>
      <w:r>
        <w:t>n this regard, the Dominican Republic has adopted a risk</w:t>
      </w:r>
      <w:r w:rsidRPr="0060155B">
        <w:noBreakHyphen/>
      </w:r>
      <w:r>
        <w:t>based control methodology for the three stages</w:t>
      </w:r>
      <w:r w:rsidRPr="0060155B">
        <w:t>: b</w:t>
      </w:r>
      <w:r>
        <w:t>efore, during and after clearance</w:t>
      </w:r>
      <w:r w:rsidRPr="0060155B">
        <w:t>. P</w:t>
      </w:r>
      <w:r>
        <w:t>ost</w:t>
      </w:r>
      <w:r w:rsidRPr="0060155B">
        <w:noBreakHyphen/>
      </w:r>
      <w:r>
        <w:t>clearance control is considered important both as a facilitation tool and to ensure compliance with regulations related to the valuation of goods</w:t>
      </w:r>
      <w:r w:rsidRPr="0060155B">
        <w:t>. W</w:t>
      </w:r>
      <w:r>
        <w:t>ith regard to the latter, the authorities indicated that the World Customs Organization guidelines for post</w:t>
      </w:r>
      <w:r w:rsidRPr="0060155B">
        <w:noBreakHyphen/>
      </w:r>
      <w:r>
        <w:t>clearance audit are followed</w:t>
      </w:r>
      <w:r w:rsidRPr="0060155B">
        <w:t>. G</w:t>
      </w:r>
      <w:r>
        <w:t xml:space="preserve">oods may be withdrawn subject to provision of a guarantee if, in the course of determining the customs value, it becomes necessary to delay the final determination of that value (Article 30 of </w:t>
      </w:r>
      <w:bookmarkStart w:id="129" w:name="_Hlk114043436"/>
      <w:r>
        <w:t xml:space="preserve">Decree </w:t>
      </w:r>
      <w:r w:rsidRPr="0060155B">
        <w:t>No. </w:t>
      </w:r>
      <w:r>
        <w:t>36</w:t>
      </w:r>
      <w:r w:rsidRPr="0060155B">
        <w:noBreakHyphen/>
      </w:r>
      <w:r>
        <w:t>11</w:t>
      </w:r>
      <w:bookmarkEnd w:id="129"/>
      <w:r>
        <w:t>).</w:t>
      </w:r>
    </w:p>
    <w:p w14:paraId="130F4FE3" w14:textId="77777777" w:rsidR="001A500E" w:rsidRPr="006420F6" w:rsidRDefault="001A500E" w:rsidP="00574469">
      <w:pPr>
        <w:pStyle w:val="BodyText"/>
      </w:pPr>
      <w:r>
        <w:t>In 2019, the Dominican Republic notified the WTO of the provisions related to complaints and appeals against decisions of the customs authorities that take account of the right of appeal without penalty</w:t>
      </w:r>
      <w:r w:rsidRPr="0060155B">
        <w:t>.</w:t>
      </w:r>
      <w:r w:rsidRPr="0060155B">
        <w:rPr>
          <w:rStyle w:val="FootnoteReference"/>
        </w:rPr>
        <w:footnoteReference w:id="117"/>
      </w:r>
      <w:r w:rsidRPr="0060155B">
        <w:t xml:space="preserve"> T</w:t>
      </w:r>
      <w:r>
        <w:t>he Constitution of the Republic establishes the type of appeal that may be filed</w:t>
      </w:r>
      <w:r>
        <w:rPr>
          <w:rStyle w:val="FootnoteReference"/>
        </w:rPr>
        <w:footnoteReference w:id="118"/>
      </w:r>
      <w:r>
        <w:t xml:space="preserve"> and provides for precautionary measures intended to suspend the effects of an administrative act</w:t>
      </w:r>
      <w:r w:rsidRPr="0060155B">
        <w:t>. A</w:t>
      </w:r>
      <w:r>
        <w:t>ppellants are informed of their appeal rights when they are notified of an administrative or judicial act.</w:t>
      </w:r>
    </w:p>
    <w:p w14:paraId="4D787EDF" w14:textId="77777777" w:rsidR="001A500E" w:rsidRPr="006420F6" w:rsidRDefault="001A500E" w:rsidP="00574469">
      <w:pPr>
        <w:pStyle w:val="Heading3"/>
      </w:pPr>
      <w:bookmarkStart w:id="130" w:name="_Toc384214161"/>
      <w:bookmarkStart w:id="131" w:name="_Toc417038461"/>
      <w:bookmarkStart w:id="132" w:name="_Toc117260616"/>
      <w:r>
        <w:t>Rules of origin</w:t>
      </w:r>
      <w:bookmarkEnd w:id="130"/>
      <w:bookmarkEnd w:id="131"/>
      <w:bookmarkEnd w:id="132"/>
    </w:p>
    <w:p w14:paraId="22A80ED3" w14:textId="77777777" w:rsidR="001A500E" w:rsidRDefault="001A500E" w:rsidP="00574469">
      <w:pPr>
        <w:pStyle w:val="BodyText"/>
      </w:pPr>
      <w:r w:rsidRPr="00675F13">
        <w:t>The Dominican Republic</w:t>
      </w:r>
      <w:r>
        <w:t xml:space="preserve"> applies only preferential rules of origin</w:t>
      </w:r>
      <w:r w:rsidRPr="0060155B">
        <w:t>. H</w:t>
      </w:r>
      <w:r>
        <w:t>owever, according to the Law, the origin of the goods may be determined for non</w:t>
      </w:r>
      <w:r w:rsidRPr="0060155B">
        <w:noBreakHyphen/>
      </w:r>
      <w:r>
        <w:t>preferential purposes and for the imposition of countervailing duties, safeguards and quotas.</w:t>
      </w:r>
      <w:r>
        <w:rPr>
          <w:rStyle w:val="FootnoteReference"/>
        </w:rPr>
        <w:footnoteReference w:id="119"/>
      </w:r>
    </w:p>
    <w:p w14:paraId="244D7804" w14:textId="77777777" w:rsidR="001A500E" w:rsidRPr="008C0232" w:rsidRDefault="001A500E" w:rsidP="00574469">
      <w:pPr>
        <w:pStyle w:val="BodyText"/>
      </w:pPr>
      <w:r>
        <w:t>The preferential rules of origin were not substantially modified during the period 2015</w:t>
      </w:r>
      <w:r w:rsidRPr="0060155B">
        <w:noBreakHyphen/>
      </w:r>
      <w:r>
        <w:t>21</w:t>
      </w:r>
      <w:r w:rsidRPr="0060155B">
        <w:t>. D</w:t>
      </w:r>
      <w:r>
        <w:t>uring the review period, the Dominican Republic signed only one new trade agreement</w:t>
      </w:r>
      <w:r w:rsidRPr="0060155B">
        <w:t>: t</w:t>
      </w:r>
      <w:r>
        <w:t>he Economic Partnership Agreement (EPA) between the member countries of the Caribbean Forum (</w:t>
      </w:r>
      <w:proofErr w:type="spellStart"/>
      <w:r>
        <w:t>CARIFORUM</w:t>
      </w:r>
      <w:proofErr w:type="spellEnd"/>
      <w:r>
        <w:t>) and the United Kingdom of Great Britain and Northern Ireland</w:t>
      </w:r>
      <w:r w:rsidRPr="0060155B">
        <w:t>. T</w:t>
      </w:r>
      <w:r>
        <w:t>his Agreement maintained the rules of origin that had already been negotiated within the framework of the EPA with the EU.</w:t>
      </w:r>
    </w:p>
    <w:p w14:paraId="4B01F03E" w14:textId="77777777" w:rsidR="001A500E" w:rsidRPr="00871DB2" w:rsidRDefault="001A500E" w:rsidP="00574469">
      <w:pPr>
        <w:pStyle w:val="BodyText"/>
      </w:pPr>
      <w:r>
        <w:t>The criteria conferring origin may be general or specific</w:t>
      </w:r>
      <w:r w:rsidRPr="0060155B">
        <w:t>. T</w:t>
      </w:r>
      <w:r>
        <w:t>he use of non</w:t>
      </w:r>
      <w:r w:rsidRPr="0060155B">
        <w:noBreakHyphen/>
      </w:r>
      <w:r>
        <w:t>originating materials that do not undergo the change in tariff classification is permitted provided that they do not exceed a given percentage of the total cost or weight of the product</w:t>
      </w:r>
      <w:r w:rsidRPr="0060155B">
        <w:t>. C</w:t>
      </w:r>
      <w:r>
        <w:t xml:space="preserve">umulation of origin, including </w:t>
      </w:r>
      <w:r>
        <w:lastRenderedPageBreak/>
        <w:t>extended cumulation, is permitted, meaning inputs may be used from non</w:t>
      </w:r>
      <w:r w:rsidRPr="0060155B">
        <w:noBreakHyphen/>
      </w:r>
      <w:r>
        <w:t>party States with which the Parties have a trade agreement.</w:t>
      </w:r>
    </w:p>
    <w:p w14:paraId="246A5C9B" w14:textId="77777777" w:rsidR="001A500E" w:rsidRPr="006420F6" w:rsidRDefault="001A500E" w:rsidP="00574469">
      <w:pPr>
        <w:pStyle w:val="Heading3"/>
      </w:pPr>
      <w:bookmarkStart w:id="133" w:name="_Toc384214162"/>
      <w:bookmarkStart w:id="134" w:name="_Toc417038462"/>
      <w:bookmarkStart w:id="135" w:name="_Toc117260617"/>
      <w:r>
        <w:t>Tariffs</w:t>
      </w:r>
      <w:bookmarkEnd w:id="133"/>
      <w:bookmarkEnd w:id="134"/>
      <w:bookmarkEnd w:id="135"/>
    </w:p>
    <w:p w14:paraId="1F6F773C" w14:textId="77777777" w:rsidR="001A500E" w:rsidRPr="007C74EF" w:rsidRDefault="001A500E" w:rsidP="00574469">
      <w:pPr>
        <w:pStyle w:val="Heading4"/>
      </w:pPr>
      <w:bookmarkStart w:id="136" w:name="_Toc445461255"/>
      <w:bookmarkStart w:id="137" w:name="_Toc474743880"/>
      <w:bookmarkStart w:id="138" w:name="_Toc117260618"/>
      <w:r>
        <w:t>Structure and levels</w:t>
      </w:r>
      <w:bookmarkEnd w:id="136"/>
      <w:bookmarkEnd w:id="137"/>
      <w:bookmarkEnd w:id="138"/>
    </w:p>
    <w:p w14:paraId="123DF2DF" w14:textId="77777777" w:rsidR="001A500E" w:rsidRPr="00871DB2" w:rsidRDefault="001A500E" w:rsidP="00574469">
      <w:pPr>
        <w:pStyle w:val="BodyText"/>
      </w:pPr>
      <w:r>
        <w:t>In 2014, the Dominican Republic's tariff schedule contained 7,048 lines at the eight</w:t>
      </w:r>
      <w:r>
        <w:noBreakHyphen/>
        <w:t>digit level of the Harmonized System (HS 2012)</w:t>
      </w:r>
      <w:r w:rsidRPr="0060155B">
        <w:t>. A</w:t>
      </w:r>
      <w:r>
        <w:t>s of 2021, it contains 7,242 lines at the eight</w:t>
      </w:r>
      <w:r>
        <w:noBreakHyphen/>
        <w:t>digit level of the Harmonized System (HS 2017), owing to the opening and incorporation of new lines in the Dominican tariff schedule when it was transposed to the sixth amendment to the Harmonized System.</w:t>
      </w:r>
    </w:p>
    <w:p w14:paraId="6D9AFFB8" w14:textId="58036F8D" w:rsidR="001A500E" w:rsidRPr="00871DB2" w:rsidRDefault="001A500E" w:rsidP="00574469">
      <w:pPr>
        <w:pStyle w:val="BodyText"/>
      </w:pPr>
      <w:r>
        <w:t>During the period under review, no major changes were made to the Dominican Republic's tariff schedule</w:t>
      </w:r>
      <w:r w:rsidRPr="0060155B">
        <w:t>. T</w:t>
      </w:r>
      <w:r>
        <w:t xml:space="preserve">he Dominican Republic applies only </w:t>
      </w:r>
      <w:r>
        <w:rPr>
          <w:i/>
          <w:iCs/>
        </w:rPr>
        <w:t>ad valorem</w:t>
      </w:r>
      <w:r>
        <w:t xml:space="preserve"> tariffs</w:t>
      </w:r>
      <w:r w:rsidRPr="0060155B">
        <w:t>. S</w:t>
      </w:r>
      <w:r>
        <w:t>ome tariffs increase</w:t>
      </w:r>
      <w:r w:rsidR="005D1C13">
        <w:t>d</w:t>
      </w:r>
      <w:r>
        <w:t xml:space="preserve"> slightly, although the simple average MFN tariff remained unchanged from 2014 at 7.8%, as a result of the rise in the number of tariff lines contained in the tariff (Table 3.2)</w:t>
      </w:r>
      <w:r w:rsidRPr="0060155B">
        <w:t>. T</w:t>
      </w:r>
      <w:r>
        <w:t>he slight increase in tariffs is reflected in a greater percentage of tariff lines with rates above 15% and an increase in average MFN tariffs for agricultural (WTO classification) and non</w:t>
      </w:r>
      <w:r w:rsidRPr="0060155B">
        <w:noBreakHyphen/>
      </w:r>
      <w:r>
        <w:t>agricultural products.</w:t>
      </w:r>
    </w:p>
    <w:p w14:paraId="6E512436" w14:textId="30496083" w:rsidR="001A500E" w:rsidRPr="006420F6" w:rsidRDefault="001A500E" w:rsidP="00A43EB6">
      <w:pPr>
        <w:pStyle w:val="Caption"/>
      </w:pPr>
      <w:bookmarkStart w:id="139" w:name="_Toc117238035"/>
      <w:r>
        <w:t xml:space="preserve">Table </w:t>
      </w:r>
      <w:r w:rsidR="00BD37F2">
        <w:fldChar w:fldCharType="begin"/>
      </w:r>
      <w:r w:rsidR="00BD37F2">
        <w:instrText xml:space="preserve"> STYLEREF 1 \s </w:instrText>
      </w:r>
      <w:r w:rsidR="00BD37F2">
        <w:fldChar w:fldCharType="separate"/>
      </w:r>
      <w:r>
        <w:rPr>
          <w:noProof/>
        </w:rPr>
        <w:t>3</w:t>
      </w:r>
      <w:r w:rsidR="00BD37F2">
        <w:rPr>
          <w:noProof/>
        </w:rPr>
        <w:fldChar w:fldCharType="end"/>
      </w:r>
      <w:r>
        <w:t>.</w:t>
      </w:r>
      <w:r w:rsidR="00BD37F2">
        <w:fldChar w:fldCharType="begin"/>
      </w:r>
      <w:r w:rsidR="00BD37F2">
        <w:instrText xml:space="preserve"> SEQ Table \* ARABIC \s 1 </w:instrText>
      </w:r>
      <w:r w:rsidR="00BD37F2">
        <w:fldChar w:fldCharType="separate"/>
      </w:r>
      <w:r>
        <w:rPr>
          <w:noProof/>
        </w:rPr>
        <w:t>2</w:t>
      </w:r>
      <w:r w:rsidR="00BD37F2">
        <w:rPr>
          <w:noProof/>
        </w:rPr>
        <w:fldChar w:fldCharType="end"/>
      </w:r>
      <w:r>
        <w:t xml:space="preserve"> Structure of MFN tariffs, 2014 and 202</w:t>
      </w:r>
      <w:r w:rsidR="002D3D98">
        <w:t>1</w:t>
      </w:r>
      <w:bookmarkEnd w:id="139"/>
    </w:p>
    <w:tbl>
      <w:tblPr>
        <w:tblW w:w="5000" w:type="pct"/>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6688"/>
        <w:gridCol w:w="1163"/>
        <w:gridCol w:w="1165"/>
      </w:tblGrid>
      <w:tr w:rsidR="001A500E" w:rsidRPr="00A950CC" w14:paraId="73A384EE" w14:textId="77777777" w:rsidTr="001F3C85">
        <w:trPr>
          <w:cantSplit/>
          <w:tblHeader/>
        </w:trPr>
        <w:tc>
          <w:tcPr>
            <w:tcW w:w="3709" w:type="pct"/>
            <w:shd w:val="clear" w:color="auto" w:fill="006283"/>
            <w:noWrap/>
            <w:hideMark/>
          </w:tcPr>
          <w:p w14:paraId="39E71AE3" w14:textId="77777777" w:rsidR="001A500E" w:rsidRPr="00A950CC" w:rsidRDefault="001A500E" w:rsidP="001F3C85">
            <w:pPr>
              <w:rPr>
                <w:b/>
                <w:color w:val="FFFFFF"/>
                <w:sz w:val="15"/>
                <w:szCs w:val="15"/>
              </w:rPr>
            </w:pPr>
          </w:p>
        </w:tc>
        <w:tc>
          <w:tcPr>
            <w:tcW w:w="645" w:type="pct"/>
            <w:shd w:val="clear" w:color="auto" w:fill="006283"/>
            <w:noWrap/>
            <w:hideMark/>
          </w:tcPr>
          <w:p w14:paraId="71FF4643" w14:textId="77777777" w:rsidR="001A500E" w:rsidRPr="00A950CC" w:rsidRDefault="001A500E" w:rsidP="001F3C85">
            <w:pPr>
              <w:jc w:val="center"/>
              <w:rPr>
                <w:b/>
                <w:color w:val="FFFFFF"/>
                <w:sz w:val="15"/>
                <w:szCs w:val="15"/>
              </w:rPr>
            </w:pPr>
            <w:r>
              <w:rPr>
                <w:b/>
                <w:color w:val="FFFFFF"/>
                <w:sz w:val="15"/>
              </w:rPr>
              <w:t>2014</w:t>
            </w:r>
          </w:p>
          <w:p w14:paraId="69376356" w14:textId="77777777" w:rsidR="001A500E" w:rsidRPr="00A950CC" w:rsidRDefault="001A500E" w:rsidP="001F3C85">
            <w:pPr>
              <w:jc w:val="center"/>
              <w:rPr>
                <w:b/>
                <w:color w:val="FFFFFF"/>
                <w:sz w:val="15"/>
                <w:szCs w:val="15"/>
              </w:rPr>
            </w:pPr>
            <w:r>
              <w:rPr>
                <w:b/>
                <w:color w:val="FFFFFF"/>
                <w:sz w:val="15"/>
              </w:rPr>
              <w:t>(HS 2012)</w:t>
            </w:r>
          </w:p>
        </w:tc>
        <w:tc>
          <w:tcPr>
            <w:tcW w:w="646" w:type="pct"/>
            <w:shd w:val="clear" w:color="auto" w:fill="006283"/>
            <w:noWrap/>
            <w:hideMark/>
          </w:tcPr>
          <w:p w14:paraId="0CEAC2C5" w14:textId="77777777" w:rsidR="001A500E" w:rsidRPr="00A950CC" w:rsidRDefault="001A500E" w:rsidP="001F3C85">
            <w:pPr>
              <w:jc w:val="center"/>
              <w:rPr>
                <w:b/>
                <w:strike/>
                <w:color w:val="FFFFFF" w:themeColor="background1"/>
                <w:sz w:val="15"/>
                <w:szCs w:val="15"/>
              </w:rPr>
            </w:pPr>
            <w:r>
              <w:rPr>
                <w:b/>
                <w:color w:val="FFFFFF" w:themeColor="background1"/>
                <w:sz w:val="15"/>
              </w:rPr>
              <w:t>2021</w:t>
            </w:r>
          </w:p>
          <w:p w14:paraId="253EC1F4" w14:textId="77777777" w:rsidR="001A500E" w:rsidRPr="00A950CC" w:rsidRDefault="001A500E" w:rsidP="001F3C85">
            <w:pPr>
              <w:jc w:val="center"/>
              <w:rPr>
                <w:color w:val="FFFFFF"/>
                <w:sz w:val="15"/>
                <w:szCs w:val="15"/>
              </w:rPr>
            </w:pPr>
            <w:r>
              <w:rPr>
                <w:b/>
                <w:color w:val="FFFFFF"/>
                <w:sz w:val="15"/>
              </w:rPr>
              <w:t>(HS 2017)</w:t>
            </w:r>
          </w:p>
        </w:tc>
      </w:tr>
      <w:tr w:rsidR="001A500E" w:rsidRPr="00A950CC" w14:paraId="27DBCC92" w14:textId="77777777" w:rsidTr="001F3C85">
        <w:trPr>
          <w:cantSplit/>
        </w:trPr>
        <w:tc>
          <w:tcPr>
            <w:tcW w:w="3709" w:type="pct"/>
            <w:shd w:val="clear" w:color="auto" w:fill="auto"/>
            <w:noWrap/>
            <w:hideMark/>
          </w:tcPr>
          <w:p w14:paraId="632F8FC0" w14:textId="77777777" w:rsidR="001A500E" w:rsidRPr="00A950CC" w:rsidRDefault="001A500E" w:rsidP="001F3C85">
            <w:pPr>
              <w:rPr>
                <w:sz w:val="15"/>
                <w:szCs w:val="15"/>
              </w:rPr>
            </w:pPr>
            <w:r>
              <w:rPr>
                <w:sz w:val="15"/>
              </w:rPr>
              <w:t>Total number of lines</w:t>
            </w:r>
          </w:p>
        </w:tc>
        <w:tc>
          <w:tcPr>
            <w:tcW w:w="645" w:type="pct"/>
            <w:shd w:val="clear" w:color="auto" w:fill="auto"/>
            <w:noWrap/>
            <w:hideMark/>
          </w:tcPr>
          <w:p w14:paraId="32AAAB2B" w14:textId="77777777" w:rsidR="001A500E" w:rsidRPr="00A950CC" w:rsidRDefault="001A500E" w:rsidP="001F3C85">
            <w:pPr>
              <w:jc w:val="right"/>
              <w:rPr>
                <w:color w:val="000000"/>
                <w:sz w:val="15"/>
                <w:szCs w:val="15"/>
              </w:rPr>
            </w:pPr>
            <w:r>
              <w:rPr>
                <w:color w:val="000000"/>
                <w:sz w:val="15"/>
              </w:rPr>
              <w:t>7,048</w:t>
            </w:r>
          </w:p>
        </w:tc>
        <w:tc>
          <w:tcPr>
            <w:tcW w:w="646" w:type="pct"/>
            <w:shd w:val="clear" w:color="auto" w:fill="auto"/>
            <w:noWrap/>
            <w:hideMark/>
          </w:tcPr>
          <w:p w14:paraId="5875521B" w14:textId="77777777" w:rsidR="001A500E" w:rsidRPr="00A950CC" w:rsidRDefault="001A500E" w:rsidP="001F3C85">
            <w:pPr>
              <w:jc w:val="right"/>
              <w:rPr>
                <w:color w:val="000000"/>
                <w:sz w:val="15"/>
                <w:szCs w:val="15"/>
              </w:rPr>
            </w:pPr>
            <w:r>
              <w:rPr>
                <w:color w:val="000000"/>
                <w:sz w:val="15"/>
              </w:rPr>
              <w:t>7,242</w:t>
            </w:r>
          </w:p>
        </w:tc>
      </w:tr>
      <w:tr w:rsidR="001A500E" w:rsidRPr="00A950CC" w14:paraId="649F3BA7" w14:textId="77777777" w:rsidTr="001F3C85">
        <w:trPr>
          <w:cantSplit/>
        </w:trPr>
        <w:tc>
          <w:tcPr>
            <w:tcW w:w="3709" w:type="pct"/>
            <w:shd w:val="clear" w:color="auto" w:fill="C9DED4"/>
            <w:noWrap/>
            <w:hideMark/>
          </w:tcPr>
          <w:p w14:paraId="3643D30F" w14:textId="77777777" w:rsidR="001A500E" w:rsidRPr="00A950CC" w:rsidRDefault="001A500E" w:rsidP="001F3C85">
            <w:pPr>
              <w:tabs>
                <w:tab w:val="left" w:pos="113"/>
              </w:tabs>
              <w:rPr>
                <w:sz w:val="15"/>
                <w:szCs w:val="15"/>
              </w:rPr>
            </w:pPr>
            <w:r>
              <w:rPr>
                <w:sz w:val="15"/>
              </w:rPr>
              <w:tab/>
            </w:r>
            <w:r>
              <w:rPr>
                <w:i/>
                <w:iCs/>
                <w:sz w:val="15"/>
              </w:rPr>
              <w:t>Ad valorem</w:t>
            </w:r>
            <w:r>
              <w:rPr>
                <w:sz w:val="15"/>
              </w:rPr>
              <w:t xml:space="preserve"> rates (&gt; 0%)</w:t>
            </w:r>
          </w:p>
        </w:tc>
        <w:tc>
          <w:tcPr>
            <w:tcW w:w="645" w:type="pct"/>
            <w:shd w:val="clear" w:color="auto" w:fill="C9DED4"/>
            <w:noWrap/>
            <w:hideMark/>
          </w:tcPr>
          <w:p w14:paraId="6304AE01" w14:textId="77777777" w:rsidR="001A500E" w:rsidRPr="00A950CC" w:rsidRDefault="001A500E" w:rsidP="001F3C85">
            <w:pPr>
              <w:jc w:val="right"/>
              <w:rPr>
                <w:color w:val="000000"/>
                <w:sz w:val="15"/>
                <w:szCs w:val="15"/>
              </w:rPr>
            </w:pPr>
            <w:r>
              <w:rPr>
                <w:color w:val="000000"/>
                <w:sz w:val="15"/>
              </w:rPr>
              <w:t>3,268</w:t>
            </w:r>
          </w:p>
        </w:tc>
        <w:tc>
          <w:tcPr>
            <w:tcW w:w="646" w:type="pct"/>
            <w:shd w:val="clear" w:color="auto" w:fill="C9DED4"/>
            <w:noWrap/>
            <w:hideMark/>
          </w:tcPr>
          <w:p w14:paraId="4594481C" w14:textId="77777777" w:rsidR="001A500E" w:rsidRPr="00A950CC" w:rsidRDefault="001A500E" w:rsidP="001F3C85">
            <w:pPr>
              <w:jc w:val="right"/>
              <w:rPr>
                <w:color w:val="000000"/>
                <w:sz w:val="15"/>
                <w:szCs w:val="15"/>
              </w:rPr>
            </w:pPr>
            <w:r>
              <w:rPr>
                <w:color w:val="000000"/>
                <w:sz w:val="15"/>
              </w:rPr>
              <w:t>3,377</w:t>
            </w:r>
          </w:p>
        </w:tc>
      </w:tr>
      <w:tr w:rsidR="001A500E" w:rsidRPr="00A950CC" w14:paraId="4230C9C9" w14:textId="77777777" w:rsidTr="001F3C85">
        <w:trPr>
          <w:cantSplit/>
        </w:trPr>
        <w:tc>
          <w:tcPr>
            <w:tcW w:w="3709" w:type="pct"/>
            <w:shd w:val="clear" w:color="auto" w:fill="auto"/>
            <w:noWrap/>
            <w:hideMark/>
          </w:tcPr>
          <w:p w14:paraId="4BC05B92" w14:textId="77777777" w:rsidR="001A500E" w:rsidRPr="00A950CC" w:rsidRDefault="001A500E" w:rsidP="001F3C85">
            <w:pPr>
              <w:tabs>
                <w:tab w:val="left" w:pos="113"/>
              </w:tabs>
              <w:rPr>
                <w:sz w:val="15"/>
                <w:szCs w:val="15"/>
              </w:rPr>
            </w:pPr>
            <w:r>
              <w:rPr>
                <w:sz w:val="15"/>
              </w:rPr>
              <w:tab/>
              <w:t>Tariff</w:t>
            </w:r>
            <w:r w:rsidRPr="0060155B">
              <w:rPr>
                <w:sz w:val="15"/>
              </w:rPr>
              <w:noBreakHyphen/>
            </w:r>
            <w:r>
              <w:rPr>
                <w:sz w:val="15"/>
              </w:rPr>
              <w:t>free</w:t>
            </w:r>
          </w:p>
        </w:tc>
        <w:tc>
          <w:tcPr>
            <w:tcW w:w="645" w:type="pct"/>
            <w:shd w:val="clear" w:color="auto" w:fill="auto"/>
            <w:noWrap/>
            <w:hideMark/>
          </w:tcPr>
          <w:p w14:paraId="2D85CB14" w14:textId="77777777" w:rsidR="001A500E" w:rsidRPr="00A950CC" w:rsidRDefault="001A500E" w:rsidP="001F3C85">
            <w:pPr>
              <w:jc w:val="right"/>
              <w:rPr>
                <w:color w:val="000000"/>
                <w:sz w:val="15"/>
                <w:szCs w:val="15"/>
              </w:rPr>
            </w:pPr>
            <w:r>
              <w:rPr>
                <w:color w:val="000000"/>
                <w:sz w:val="15"/>
              </w:rPr>
              <w:t>3,780</w:t>
            </w:r>
          </w:p>
        </w:tc>
        <w:tc>
          <w:tcPr>
            <w:tcW w:w="646" w:type="pct"/>
            <w:shd w:val="clear" w:color="auto" w:fill="auto"/>
            <w:noWrap/>
            <w:hideMark/>
          </w:tcPr>
          <w:p w14:paraId="00CC8C58" w14:textId="77777777" w:rsidR="001A500E" w:rsidRPr="00A950CC" w:rsidRDefault="001A500E" w:rsidP="001F3C85">
            <w:pPr>
              <w:jc w:val="right"/>
              <w:rPr>
                <w:color w:val="000000"/>
                <w:sz w:val="15"/>
                <w:szCs w:val="15"/>
              </w:rPr>
            </w:pPr>
            <w:r>
              <w:rPr>
                <w:color w:val="000000"/>
                <w:sz w:val="15"/>
              </w:rPr>
              <w:t>3,865</w:t>
            </w:r>
          </w:p>
        </w:tc>
      </w:tr>
      <w:tr w:rsidR="001A500E" w:rsidRPr="00A950CC" w14:paraId="1930DAF7" w14:textId="77777777" w:rsidTr="001F3C85">
        <w:trPr>
          <w:cantSplit/>
        </w:trPr>
        <w:tc>
          <w:tcPr>
            <w:tcW w:w="3709" w:type="pct"/>
            <w:shd w:val="clear" w:color="auto" w:fill="C9DED4"/>
            <w:noWrap/>
            <w:hideMark/>
          </w:tcPr>
          <w:p w14:paraId="64B9F83D" w14:textId="77777777" w:rsidR="001A500E" w:rsidRPr="00A950CC" w:rsidRDefault="001A500E" w:rsidP="001F3C85">
            <w:pPr>
              <w:tabs>
                <w:tab w:val="left" w:pos="113"/>
              </w:tabs>
              <w:rPr>
                <w:sz w:val="15"/>
                <w:szCs w:val="15"/>
              </w:rPr>
            </w:pPr>
            <w:r>
              <w:rPr>
                <w:sz w:val="15"/>
              </w:rPr>
              <w:tab/>
              <w:t>Non</w:t>
            </w:r>
            <w:r w:rsidRPr="0060155B">
              <w:rPr>
                <w:sz w:val="15"/>
              </w:rPr>
              <w:noBreakHyphen/>
            </w:r>
            <w:r>
              <w:rPr>
                <w:i/>
                <w:iCs/>
                <w:sz w:val="15"/>
              </w:rPr>
              <w:t>ad valorem</w:t>
            </w:r>
            <w:r>
              <w:rPr>
                <w:sz w:val="15"/>
              </w:rPr>
              <w:t xml:space="preserve"> rates</w:t>
            </w:r>
          </w:p>
        </w:tc>
        <w:tc>
          <w:tcPr>
            <w:tcW w:w="645" w:type="pct"/>
            <w:shd w:val="clear" w:color="auto" w:fill="C9DED4"/>
            <w:noWrap/>
            <w:hideMark/>
          </w:tcPr>
          <w:p w14:paraId="4D7527C2" w14:textId="77777777" w:rsidR="001A500E" w:rsidRPr="00A950CC" w:rsidRDefault="001A500E" w:rsidP="001F3C85">
            <w:pPr>
              <w:jc w:val="right"/>
              <w:rPr>
                <w:color w:val="000000"/>
                <w:sz w:val="15"/>
                <w:szCs w:val="15"/>
              </w:rPr>
            </w:pPr>
            <w:r>
              <w:rPr>
                <w:color w:val="000000"/>
                <w:sz w:val="15"/>
              </w:rPr>
              <w:t>0</w:t>
            </w:r>
          </w:p>
        </w:tc>
        <w:tc>
          <w:tcPr>
            <w:tcW w:w="646" w:type="pct"/>
            <w:shd w:val="clear" w:color="auto" w:fill="C9DED4"/>
            <w:noWrap/>
            <w:hideMark/>
          </w:tcPr>
          <w:p w14:paraId="22831106" w14:textId="77777777" w:rsidR="001A500E" w:rsidRPr="00A950CC" w:rsidRDefault="001A500E" w:rsidP="001F3C85">
            <w:pPr>
              <w:jc w:val="right"/>
              <w:rPr>
                <w:color w:val="000000"/>
                <w:sz w:val="15"/>
                <w:szCs w:val="15"/>
              </w:rPr>
            </w:pPr>
            <w:r>
              <w:rPr>
                <w:color w:val="000000"/>
                <w:sz w:val="15"/>
              </w:rPr>
              <w:t>0</w:t>
            </w:r>
          </w:p>
        </w:tc>
      </w:tr>
      <w:tr w:rsidR="001A500E" w:rsidRPr="00A950CC" w14:paraId="3E5829DB" w14:textId="77777777" w:rsidTr="001F3C85">
        <w:trPr>
          <w:cantSplit/>
        </w:trPr>
        <w:tc>
          <w:tcPr>
            <w:tcW w:w="3709" w:type="pct"/>
            <w:shd w:val="clear" w:color="auto" w:fill="auto"/>
            <w:noWrap/>
            <w:hideMark/>
          </w:tcPr>
          <w:p w14:paraId="024CE9A9" w14:textId="77777777" w:rsidR="001A500E" w:rsidRPr="00A950CC" w:rsidRDefault="001A500E" w:rsidP="001F3C85">
            <w:pPr>
              <w:rPr>
                <w:sz w:val="15"/>
                <w:szCs w:val="15"/>
              </w:rPr>
            </w:pPr>
            <w:r>
              <w:rPr>
                <w:sz w:val="15"/>
              </w:rPr>
              <w:t>Tariff rate quotas (% of tariff lines)</w:t>
            </w:r>
          </w:p>
        </w:tc>
        <w:tc>
          <w:tcPr>
            <w:tcW w:w="645" w:type="pct"/>
            <w:shd w:val="clear" w:color="auto" w:fill="auto"/>
            <w:noWrap/>
            <w:hideMark/>
          </w:tcPr>
          <w:p w14:paraId="5BACA726" w14:textId="77777777" w:rsidR="001A500E" w:rsidRPr="00A950CC" w:rsidRDefault="001A500E" w:rsidP="001F3C85">
            <w:pPr>
              <w:jc w:val="right"/>
              <w:rPr>
                <w:color w:val="000000"/>
                <w:sz w:val="15"/>
                <w:szCs w:val="15"/>
              </w:rPr>
            </w:pPr>
            <w:r>
              <w:rPr>
                <w:color w:val="000000"/>
                <w:sz w:val="15"/>
              </w:rPr>
              <w:t>0.4</w:t>
            </w:r>
          </w:p>
        </w:tc>
        <w:tc>
          <w:tcPr>
            <w:tcW w:w="646" w:type="pct"/>
            <w:shd w:val="clear" w:color="auto" w:fill="auto"/>
            <w:noWrap/>
            <w:hideMark/>
          </w:tcPr>
          <w:p w14:paraId="099543D6" w14:textId="77777777" w:rsidR="001A500E" w:rsidRPr="00A950CC" w:rsidRDefault="001A500E" w:rsidP="001F3C85">
            <w:pPr>
              <w:jc w:val="right"/>
              <w:rPr>
                <w:color w:val="000000"/>
                <w:sz w:val="15"/>
                <w:szCs w:val="15"/>
              </w:rPr>
            </w:pPr>
            <w:r>
              <w:rPr>
                <w:color w:val="000000"/>
                <w:sz w:val="15"/>
              </w:rPr>
              <w:t>0.4</w:t>
            </w:r>
          </w:p>
        </w:tc>
      </w:tr>
      <w:tr w:rsidR="001A500E" w:rsidRPr="00A950CC" w14:paraId="12F6FD94" w14:textId="77777777" w:rsidTr="001F3C85">
        <w:trPr>
          <w:cantSplit/>
        </w:trPr>
        <w:tc>
          <w:tcPr>
            <w:tcW w:w="3709" w:type="pct"/>
            <w:shd w:val="clear" w:color="auto" w:fill="C9DED4"/>
            <w:noWrap/>
            <w:hideMark/>
          </w:tcPr>
          <w:p w14:paraId="574A8A7A" w14:textId="77777777" w:rsidR="001A500E" w:rsidRPr="00A950CC" w:rsidRDefault="001A500E" w:rsidP="001F3C85">
            <w:pPr>
              <w:rPr>
                <w:sz w:val="15"/>
                <w:szCs w:val="15"/>
              </w:rPr>
            </w:pPr>
            <w:r>
              <w:rPr>
                <w:sz w:val="15"/>
              </w:rPr>
              <w:t>Duty</w:t>
            </w:r>
            <w:r w:rsidRPr="0060155B">
              <w:rPr>
                <w:sz w:val="15"/>
              </w:rPr>
              <w:noBreakHyphen/>
            </w:r>
            <w:r>
              <w:rPr>
                <w:sz w:val="15"/>
              </w:rPr>
              <w:t>free tariff lines (% of tariff lines)</w:t>
            </w:r>
          </w:p>
        </w:tc>
        <w:tc>
          <w:tcPr>
            <w:tcW w:w="645" w:type="pct"/>
            <w:shd w:val="clear" w:color="auto" w:fill="C9DED4"/>
            <w:hideMark/>
          </w:tcPr>
          <w:p w14:paraId="61AF54F1" w14:textId="77777777" w:rsidR="001A500E" w:rsidRPr="00A950CC" w:rsidRDefault="001A500E" w:rsidP="001F3C85">
            <w:pPr>
              <w:jc w:val="right"/>
              <w:rPr>
                <w:color w:val="000000"/>
                <w:sz w:val="15"/>
                <w:szCs w:val="15"/>
              </w:rPr>
            </w:pPr>
            <w:r>
              <w:rPr>
                <w:color w:val="000000"/>
                <w:sz w:val="15"/>
              </w:rPr>
              <w:t>53.6</w:t>
            </w:r>
          </w:p>
        </w:tc>
        <w:tc>
          <w:tcPr>
            <w:tcW w:w="646" w:type="pct"/>
            <w:shd w:val="clear" w:color="auto" w:fill="C9DED4"/>
            <w:hideMark/>
          </w:tcPr>
          <w:p w14:paraId="1E5A8D9A" w14:textId="77777777" w:rsidR="001A500E" w:rsidRPr="00A950CC" w:rsidRDefault="001A500E" w:rsidP="001F3C85">
            <w:pPr>
              <w:jc w:val="right"/>
              <w:rPr>
                <w:color w:val="000000"/>
                <w:sz w:val="15"/>
                <w:szCs w:val="15"/>
              </w:rPr>
            </w:pPr>
            <w:r>
              <w:rPr>
                <w:color w:val="000000"/>
                <w:sz w:val="15"/>
              </w:rPr>
              <w:t>53.4</w:t>
            </w:r>
          </w:p>
        </w:tc>
      </w:tr>
      <w:tr w:rsidR="001A500E" w:rsidRPr="00A950CC" w14:paraId="64C722D9" w14:textId="77777777" w:rsidTr="001F3C85">
        <w:trPr>
          <w:cantSplit/>
        </w:trPr>
        <w:tc>
          <w:tcPr>
            <w:tcW w:w="3709" w:type="pct"/>
            <w:shd w:val="clear" w:color="auto" w:fill="auto"/>
            <w:noWrap/>
            <w:hideMark/>
          </w:tcPr>
          <w:p w14:paraId="286AC5D3" w14:textId="77777777" w:rsidR="001A500E" w:rsidRPr="00A950CC" w:rsidRDefault="001A500E" w:rsidP="001F3C85">
            <w:pPr>
              <w:rPr>
                <w:sz w:val="15"/>
                <w:szCs w:val="15"/>
              </w:rPr>
            </w:pPr>
            <w:r>
              <w:rPr>
                <w:sz w:val="15"/>
              </w:rPr>
              <w:t>Average of lines exceeding zero (%)</w:t>
            </w:r>
          </w:p>
        </w:tc>
        <w:tc>
          <w:tcPr>
            <w:tcW w:w="645" w:type="pct"/>
            <w:shd w:val="clear" w:color="auto" w:fill="auto"/>
            <w:hideMark/>
          </w:tcPr>
          <w:p w14:paraId="2333E5D4" w14:textId="77777777" w:rsidR="001A500E" w:rsidRPr="00A950CC" w:rsidRDefault="001A500E" w:rsidP="001F3C85">
            <w:pPr>
              <w:jc w:val="right"/>
              <w:rPr>
                <w:color w:val="000000"/>
                <w:sz w:val="15"/>
                <w:szCs w:val="15"/>
              </w:rPr>
            </w:pPr>
            <w:r>
              <w:rPr>
                <w:color w:val="000000"/>
                <w:sz w:val="15"/>
              </w:rPr>
              <w:t>16.7</w:t>
            </w:r>
          </w:p>
        </w:tc>
        <w:tc>
          <w:tcPr>
            <w:tcW w:w="646" w:type="pct"/>
            <w:shd w:val="clear" w:color="auto" w:fill="auto"/>
            <w:hideMark/>
          </w:tcPr>
          <w:p w14:paraId="1904B602" w14:textId="77777777" w:rsidR="001A500E" w:rsidRPr="00A950CC" w:rsidRDefault="001A500E" w:rsidP="001F3C85">
            <w:pPr>
              <w:jc w:val="right"/>
              <w:rPr>
                <w:color w:val="000000"/>
                <w:sz w:val="15"/>
                <w:szCs w:val="15"/>
              </w:rPr>
            </w:pPr>
            <w:r>
              <w:rPr>
                <w:color w:val="000000"/>
                <w:sz w:val="15"/>
              </w:rPr>
              <w:t>16.8</w:t>
            </w:r>
          </w:p>
        </w:tc>
      </w:tr>
      <w:tr w:rsidR="001A500E" w:rsidRPr="00A950CC" w14:paraId="5F7F0C07" w14:textId="77777777" w:rsidTr="001F3C85">
        <w:trPr>
          <w:cantSplit/>
        </w:trPr>
        <w:tc>
          <w:tcPr>
            <w:tcW w:w="3709" w:type="pct"/>
            <w:shd w:val="clear" w:color="auto" w:fill="C9DED4"/>
            <w:noWrap/>
            <w:hideMark/>
          </w:tcPr>
          <w:p w14:paraId="4690BA8B" w14:textId="77777777" w:rsidR="001A500E" w:rsidRPr="00A950CC" w:rsidRDefault="001A500E" w:rsidP="001F3C85">
            <w:pPr>
              <w:rPr>
                <w:sz w:val="15"/>
                <w:szCs w:val="15"/>
              </w:rPr>
            </w:pPr>
            <w:r>
              <w:rPr>
                <w:sz w:val="15"/>
              </w:rPr>
              <w:t>Simple average (%)</w:t>
            </w:r>
          </w:p>
        </w:tc>
        <w:tc>
          <w:tcPr>
            <w:tcW w:w="645" w:type="pct"/>
            <w:shd w:val="clear" w:color="auto" w:fill="C9DED4"/>
            <w:hideMark/>
          </w:tcPr>
          <w:p w14:paraId="39514CEC" w14:textId="77777777" w:rsidR="001A500E" w:rsidRPr="00A950CC" w:rsidRDefault="001A500E" w:rsidP="001F3C85">
            <w:pPr>
              <w:jc w:val="right"/>
              <w:rPr>
                <w:color w:val="000000"/>
                <w:sz w:val="15"/>
                <w:szCs w:val="15"/>
              </w:rPr>
            </w:pPr>
            <w:r>
              <w:rPr>
                <w:color w:val="000000"/>
                <w:sz w:val="15"/>
              </w:rPr>
              <w:t>7.8</w:t>
            </w:r>
          </w:p>
        </w:tc>
        <w:tc>
          <w:tcPr>
            <w:tcW w:w="646" w:type="pct"/>
            <w:shd w:val="clear" w:color="auto" w:fill="C9DED4"/>
            <w:hideMark/>
          </w:tcPr>
          <w:p w14:paraId="7F00DF2F" w14:textId="77777777" w:rsidR="001A500E" w:rsidRPr="00A950CC" w:rsidRDefault="001A500E" w:rsidP="001F3C85">
            <w:pPr>
              <w:jc w:val="right"/>
              <w:rPr>
                <w:color w:val="000000"/>
                <w:sz w:val="15"/>
                <w:szCs w:val="15"/>
              </w:rPr>
            </w:pPr>
            <w:r>
              <w:rPr>
                <w:color w:val="000000"/>
                <w:sz w:val="15"/>
              </w:rPr>
              <w:t>7.8</w:t>
            </w:r>
          </w:p>
        </w:tc>
      </w:tr>
      <w:tr w:rsidR="001A500E" w:rsidRPr="00A950CC" w14:paraId="06A09ACD" w14:textId="77777777" w:rsidTr="001F3C85">
        <w:trPr>
          <w:cantSplit/>
        </w:trPr>
        <w:tc>
          <w:tcPr>
            <w:tcW w:w="3709" w:type="pct"/>
            <w:shd w:val="clear" w:color="auto" w:fill="auto"/>
            <w:noWrap/>
            <w:hideMark/>
          </w:tcPr>
          <w:p w14:paraId="27FD4F6C" w14:textId="77777777" w:rsidR="001A500E" w:rsidRPr="00A950CC" w:rsidRDefault="001A500E" w:rsidP="001F3C85">
            <w:pPr>
              <w:tabs>
                <w:tab w:val="left" w:pos="113"/>
              </w:tabs>
              <w:rPr>
                <w:sz w:val="15"/>
                <w:szCs w:val="15"/>
              </w:rPr>
            </w:pPr>
            <w:r>
              <w:rPr>
                <w:sz w:val="15"/>
              </w:rPr>
              <w:tab/>
              <w:t>Agricultural products (WTO definition) (%)</w:t>
            </w:r>
          </w:p>
        </w:tc>
        <w:tc>
          <w:tcPr>
            <w:tcW w:w="645" w:type="pct"/>
            <w:shd w:val="clear" w:color="auto" w:fill="auto"/>
            <w:hideMark/>
          </w:tcPr>
          <w:p w14:paraId="3BDCA4C5" w14:textId="77777777" w:rsidR="001A500E" w:rsidRPr="00A950CC" w:rsidRDefault="001A500E" w:rsidP="001F3C85">
            <w:pPr>
              <w:jc w:val="right"/>
              <w:rPr>
                <w:color w:val="000000"/>
                <w:sz w:val="15"/>
                <w:szCs w:val="15"/>
              </w:rPr>
            </w:pPr>
            <w:r>
              <w:rPr>
                <w:color w:val="000000"/>
                <w:sz w:val="15"/>
              </w:rPr>
              <w:t>14.2</w:t>
            </w:r>
          </w:p>
        </w:tc>
        <w:tc>
          <w:tcPr>
            <w:tcW w:w="646" w:type="pct"/>
            <w:shd w:val="clear" w:color="auto" w:fill="auto"/>
            <w:hideMark/>
          </w:tcPr>
          <w:p w14:paraId="1AA9FECC" w14:textId="77777777" w:rsidR="001A500E" w:rsidRPr="00A950CC" w:rsidRDefault="001A500E" w:rsidP="001F3C85">
            <w:pPr>
              <w:jc w:val="right"/>
              <w:rPr>
                <w:color w:val="000000"/>
                <w:sz w:val="15"/>
                <w:szCs w:val="15"/>
              </w:rPr>
            </w:pPr>
            <w:r>
              <w:rPr>
                <w:color w:val="000000"/>
                <w:sz w:val="15"/>
              </w:rPr>
              <w:t>14.5</w:t>
            </w:r>
          </w:p>
        </w:tc>
      </w:tr>
      <w:tr w:rsidR="001A500E" w:rsidRPr="00A950CC" w14:paraId="30DA6611" w14:textId="77777777" w:rsidTr="001F3C85">
        <w:trPr>
          <w:cantSplit/>
        </w:trPr>
        <w:tc>
          <w:tcPr>
            <w:tcW w:w="3709" w:type="pct"/>
            <w:shd w:val="clear" w:color="auto" w:fill="C9DED4"/>
            <w:noWrap/>
            <w:hideMark/>
          </w:tcPr>
          <w:p w14:paraId="5A5F50E9" w14:textId="77777777" w:rsidR="001A500E" w:rsidRPr="00A950CC" w:rsidRDefault="001A500E" w:rsidP="001F3C85">
            <w:pPr>
              <w:tabs>
                <w:tab w:val="left" w:pos="113"/>
              </w:tabs>
              <w:rPr>
                <w:sz w:val="15"/>
                <w:szCs w:val="15"/>
              </w:rPr>
            </w:pPr>
            <w:r>
              <w:rPr>
                <w:sz w:val="15"/>
              </w:rPr>
              <w:tab/>
              <w:t>Non</w:t>
            </w:r>
            <w:r w:rsidRPr="0060155B">
              <w:rPr>
                <w:sz w:val="15"/>
              </w:rPr>
              <w:noBreakHyphen/>
            </w:r>
            <w:r>
              <w:rPr>
                <w:sz w:val="15"/>
              </w:rPr>
              <w:t>agricultural products (including petroleum, WTO definition) (%)</w:t>
            </w:r>
          </w:p>
        </w:tc>
        <w:tc>
          <w:tcPr>
            <w:tcW w:w="645" w:type="pct"/>
            <w:shd w:val="clear" w:color="auto" w:fill="C9DED4"/>
            <w:hideMark/>
          </w:tcPr>
          <w:p w14:paraId="15AFDB74" w14:textId="77777777" w:rsidR="001A500E" w:rsidRPr="00A950CC" w:rsidRDefault="001A500E" w:rsidP="001F3C85">
            <w:pPr>
              <w:jc w:val="right"/>
              <w:rPr>
                <w:color w:val="000000"/>
                <w:sz w:val="15"/>
                <w:szCs w:val="15"/>
              </w:rPr>
            </w:pPr>
            <w:r>
              <w:rPr>
                <w:color w:val="000000"/>
                <w:sz w:val="15"/>
              </w:rPr>
              <w:t>6.5</w:t>
            </w:r>
          </w:p>
        </w:tc>
        <w:tc>
          <w:tcPr>
            <w:tcW w:w="646" w:type="pct"/>
            <w:shd w:val="clear" w:color="auto" w:fill="C9DED4"/>
            <w:hideMark/>
          </w:tcPr>
          <w:p w14:paraId="1682BEB2" w14:textId="77777777" w:rsidR="001A500E" w:rsidRPr="00A950CC" w:rsidRDefault="001A500E" w:rsidP="001F3C85">
            <w:pPr>
              <w:jc w:val="right"/>
              <w:rPr>
                <w:color w:val="000000"/>
                <w:sz w:val="15"/>
                <w:szCs w:val="15"/>
              </w:rPr>
            </w:pPr>
            <w:r>
              <w:rPr>
                <w:color w:val="000000"/>
                <w:sz w:val="15"/>
              </w:rPr>
              <w:t>6.6</w:t>
            </w:r>
          </w:p>
        </w:tc>
      </w:tr>
      <w:tr w:rsidR="001A500E" w:rsidRPr="00A950CC" w14:paraId="119956B9" w14:textId="77777777" w:rsidTr="001F3C85">
        <w:trPr>
          <w:cantSplit/>
        </w:trPr>
        <w:tc>
          <w:tcPr>
            <w:tcW w:w="3709" w:type="pct"/>
            <w:shd w:val="clear" w:color="auto" w:fill="auto"/>
            <w:noWrap/>
            <w:hideMark/>
          </w:tcPr>
          <w:p w14:paraId="458A64E1" w14:textId="77777777" w:rsidR="001A500E" w:rsidRPr="00A950CC" w:rsidRDefault="001A500E" w:rsidP="001F3C85">
            <w:pPr>
              <w:rPr>
                <w:sz w:val="15"/>
                <w:szCs w:val="15"/>
              </w:rPr>
            </w:pPr>
            <w:r>
              <w:rPr>
                <w:sz w:val="15"/>
              </w:rPr>
              <w:t>Domestic tariff peaks (% of tariff lines)</w:t>
            </w:r>
            <w:r>
              <w:rPr>
                <w:sz w:val="15"/>
                <w:vertAlign w:val="superscript"/>
              </w:rPr>
              <w:t>a</w:t>
            </w:r>
          </w:p>
        </w:tc>
        <w:tc>
          <w:tcPr>
            <w:tcW w:w="645" w:type="pct"/>
            <w:shd w:val="clear" w:color="auto" w:fill="auto"/>
            <w:noWrap/>
            <w:hideMark/>
          </w:tcPr>
          <w:p w14:paraId="694CE93F" w14:textId="77777777" w:rsidR="001A500E" w:rsidRPr="00A950CC" w:rsidRDefault="001A500E" w:rsidP="001F3C85">
            <w:pPr>
              <w:jc w:val="right"/>
              <w:rPr>
                <w:sz w:val="15"/>
                <w:szCs w:val="15"/>
              </w:rPr>
            </w:pPr>
            <w:r>
              <w:rPr>
                <w:sz w:val="15"/>
              </w:rPr>
              <w:t>1.1</w:t>
            </w:r>
          </w:p>
        </w:tc>
        <w:tc>
          <w:tcPr>
            <w:tcW w:w="646" w:type="pct"/>
            <w:shd w:val="clear" w:color="auto" w:fill="auto"/>
            <w:noWrap/>
            <w:hideMark/>
          </w:tcPr>
          <w:p w14:paraId="469D0A1A" w14:textId="77777777" w:rsidR="001A500E" w:rsidRPr="00A950CC" w:rsidRDefault="001A500E" w:rsidP="001F3C85">
            <w:pPr>
              <w:jc w:val="right"/>
              <w:rPr>
                <w:sz w:val="15"/>
                <w:szCs w:val="15"/>
              </w:rPr>
            </w:pPr>
            <w:r>
              <w:rPr>
                <w:sz w:val="15"/>
              </w:rPr>
              <w:t>1.0</w:t>
            </w:r>
          </w:p>
        </w:tc>
      </w:tr>
      <w:tr w:rsidR="001A500E" w:rsidRPr="00A950CC" w14:paraId="33BA7B45" w14:textId="77777777" w:rsidTr="001F3C85">
        <w:trPr>
          <w:cantSplit/>
        </w:trPr>
        <w:tc>
          <w:tcPr>
            <w:tcW w:w="3709" w:type="pct"/>
            <w:shd w:val="clear" w:color="auto" w:fill="C9DED4"/>
            <w:noWrap/>
            <w:hideMark/>
          </w:tcPr>
          <w:p w14:paraId="42A0B16D" w14:textId="77777777" w:rsidR="001A500E" w:rsidRPr="00A950CC" w:rsidRDefault="001A500E" w:rsidP="001F3C85">
            <w:pPr>
              <w:rPr>
                <w:sz w:val="15"/>
                <w:szCs w:val="15"/>
              </w:rPr>
            </w:pPr>
            <w:r>
              <w:rPr>
                <w:sz w:val="15"/>
              </w:rPr>
              <w:t>International tariff peaks (% of tariff lines)</w:t>
            </w:r>
            <w:r>
              <w:rPr>
                <w:sz w:val="15"/>
                <w:vertAlign w:val="superscript"/>
              </w:rPr>
              <w:t>b</w:t>
            </w:r>
          </w:p>
        </w:tc>
        <w:tc>
          <w:tcPr>
            <w:tcW w:w="645" w:type="pct"/>
            <w:shd w:val="clear" w:color="auto" w:fill="C9DED4"/>
            <w:noWrap/>
            <w:hideMark/>
          </w:tcPr>
          <w:p w14:paraId="29C3819C" w14:textId="77777777" w:rsidR="001A500E" w:rsidRPr="00A950CC" w:rsidRDefault="001A500E" w:rsidP="001F3C85">
            <w:pPr>
              <w:jc w:val="right"/>
              <w:rPr>
                <w:sz w:val="15"/>
                <w:szCs w:val="15"/>
              </w:rPr>
            </w:pPr>
            <w:r>
              <w:rPr>
                <w:sz w:val="15"/>
              </w:rPr>
              <w:t>29.5</w:t>
            </w:r>
          </w:p>
        </w:tc>
        <w:tc>
          <w:tcPr>
            <w:tcW w:w="646" w:type="pct"/>
            <w:shd w:val="clear" w:color="auto" w:fill="C9DED4"/>
            <w:noWrap/>
            <w:hideMark/>
          </w:tcPr>
          <w:p w14:paraId="4C4FFD6F" w14:textId="77777777" w:rsidR="001A500E" w:rsidRPr="00A950CC" w:rsidRDefault="001A500E" w:rsidP="001F3C85">
            <w:pPr>
              <w:jc w:val="right"/>
              <w:rPr>
                <w:sz w:val="15"/>
                <w:szCs w:val="15"/>
              </w:rPr>
            </w:pPr>
            <w:r>
              <w:rPr>
                <w:sz w:val="15"/>
              </w:rPr>
              <w:t>29.9</w:t>
            </w:r>
          </w:p>
        </w:tc>
      </w:tr>
      <w:tr w:rsidR="001A500E" w:rsidRPr="00A950CC" w14:paraId="27CCF9EB" w14:textId="77777777" w:rsidTr="001F3C85">
        <w:trPr>
          <w:cantSplit/>
        </w:trPr>
        <w:tc>
          <w:tcPr>
            <w:tcW w:w="3709" w:type="pct"/>
            <w:shd w:val="clear" w:color="auto" w:fill="auto"/>
            <w:noWrap/>
            <w:hideMark/>
          </w:tcPr>
          <w:p w14:paraId="1417C7C8" w14:textId="77777777" w:rsidR="001A500E" w:rsidRPr="00A950CC" w:rsidRDefault="001A500E" w:rsidP="001F3C85">
            <w:pPr>
              <w:rPr>
                <w:sz w:val="15"/>
                <w:szCs w:val="15"/>
              </w:rPr>
            </w:pPr>
            <w:r>
              <w:rPr>
                <w:sz w:val="15"/>
              </w:rPr>
              <w:t>Overall standard deviation of applied rates</w:t>
            </w:r>
          </w:p>
        </w:tc>
        <w:tc>
          <w:tcPr>
            <w:tcW w:w="645" w:type="pct"/>
            <w:shd w:val="clear" w:color="auto" w:fill="auto"/>
            <w:noWrap/>
            <w:hideMark/>
          </w:tcPr>
          <w:p w14:paraId="6F580298" w14:textId="77777777" w:rsidR="001A500E" w:rsidRPr="00A950CC" w:rsidRDefault="001A500E" w:rsidP="001F3C85">
            <w:pPr>
              <w:jc w:val="right"/>
              <w:rPr>
                <w:sz w:val="15"/>
                <w:szCs w:val="15"/>
              </w:rPr>
            </w:pPr>
            <w:r>
              <w:rPr>
                <w:sz w:val="15"/>
              </w:rPr>
              <w:t>10.2</w:t>
            </w:r>
          </w:p>
        </w:tc>
        <w:tc>
          <w:tcPr>
            <w:tcW w:w="646" w:type="pct"/>
            <w:shd w:val="clear" w:color="auto" w:fill="auto"/>
            <w:noWrap/>
            <w:hideMark/>
          </w:tcPr>
          <w:p w14:paraId="1E68713D" w14:textId="77777777" w:rsidR="001A500E" w:rsidRPr="00A950CC" w:rsidRDefault="001A500E" w:rsidP="001F3C85">
            <w:pPr>
              <w:jc w:val="right"/>
              <w:rPr>
                <w:sz w:val="15"/>
                <w:szCs w:val="15"/>
              </w:rPr>
            </w:pPr>
            <w:r>
              <w:rPr>
                <w:sz w:val="15"/>
              </w:rPr>
              <w:t>10.4</w:t>
            </w:r>
          </w:p>
        </w:tc>
      </w:tr>
      <w:tr w:rsidR="001A500E" w:rsidRPr="00A950CC" w14:paraId="16EA5984" w14:textId="77777777" w:rsidTr="001F3C85">
        <w:trPr>
          <w:cantSplit/>
        </w:trPr>
        <w:tc>
          <w:tcPr>
            <w:tcW w:w="3709" w:type="pct"/>
            <w:shd w:val="clear" w:color="auto" w:fill="C9DED4"/>
            <w:noWrap/>
            <w:hideMark/>
          </w:tcPr>
          <w:p w14:paraId="7D9C6E28" w14:textId="77777777" w:rsidR="001A500E" w:rsidRPr="00A950CC" w:rsidRDefault="001A500E" w:rsidP="001F3C85">
            <w:pPr>
              <w:rPr>
                <w:sz w:val="15"/>
                <w:szCs w:val="15"/>
              </w:rPr>
            </w:pPr>
            <w:r>
              <w:rPr>
                <w:sz w:val="15"/>
              </w:rPr>
              <w:t>Bound tariff lines (% of tariff lines)</w:t>
            </w:r>
          </w:p>
        </w:tc>
        <w:tc>
          <w:tcPr>
            <w:tcW w:w="645" w:type="pct"/>
            <w:shd w:val="clear" w:color="auto" w:fill="C9DED4"/>
            <w:hideMark/>
          </w:tcPr>
          <w:p w14:paraId="753AE0CD" w14:textId="77777777" w:rsidR="001A500E" w:rsidRPr="00A950CC" w:rsidRDefault="001A500E" w:rsidP="001F3C85">
            <w:pPr>
              <w:jc w:val="right"/>
              <w:rPr>
                <w:sz w:val="15"/>
                <w:szCs w:val="15"/>
              </w:rPr>
            </w:pPr>
            <w:r>
              <w:rPr>
                <w:sz w:val="15"/>
              </w:rPr>
              <w:t>100.0</w:t>
            </w:r>
          </w:p>
        </w:tc>
        <w:tc>
          <w:tcPr>
            <w:tcW w:w="646" w:type="pct"/>
            <w:shd w:val="clear" w:color="auto" w:fill="C9DED4"/>
            <w:hideMark/>
          </w:tcPr>
          <w:p w14:paraId="6ECF0471" w14:textId="77777777" w:rsidR="001A500E" w:rsidRPr="00A950CC" w:rsidRDefault="001A500E" w:rsidP="001F3C85">
            <w:pPr>
              <w:jc w:val="right"/>
              <w:rPr>
                <w:sz w:val="15"/>
                <w:szCs w:val="15"/>
              </w:rPr>
            </w:pPr>
            <w:r>
              <w:rPr>
                <w:sz w:val="15"/>
              </w:rPr>
              <w:t>100.0</w:t>
            </w:r>
          </w:p>
        </w:tc>
      </w:tr>
    </w:tbl>
    <w:p w14:paraId="3778D72C" w14:textId="77777777" w:rsidR="001A500E" w:rsidRPr="006420F6" w:rsidRDefault="001A500E" w:rsidP="00E439A9">
      <w:pPr>
        <w:pStyle w:val="NoteText"/>
        <w:spacing w:before="120"/>
      </w:pPr>
      <w:r>
        <w:t>a</w:t>
      </w:r>
      <w:r>
        <w:tab/>
        <w:t>Domestic tariff peaks are defined as rates that exceed three times the overall simple average applied rate.</w:t>
      </w:r>
    </w:p>
    <w:p w14:paraId="31E391FF" w14:textId="77777777" w:rsidR="001A500E" w:rsidRPr="006420F6" w:rsidRDefault="001A500E" w:rsidP="00E439A9">
      <w:pPr>
        <w:pStyle w:val="NoteText"/>
      </w:pPr>
      <w:r>
        <w:t>b</w:t>
      </w:r>
      <w:r>
        <w:tab/>
        <w:t>International tariff peaks are defined as rates that exceed 15%.</w:t>
      </w:r>
    </w:p>
    <w:p w14:paraId="0264A368" w14:textId="77777777" w:rsidR="001A500E" w:rsidRPr="006420F6" w:rsidRDefault="001A500E" w:rsidP="00E439A9">
      <w:pPr>
        <w:pStyle w:val="NoteText"/>
        <w:spacing w:before="120" w:after="240"/>
      </w:pPr>
      <w:r>
        <w:t>Source:</w:t>
      </w:r>
      <w:r>
        <w:tab/>
        <w:t>Calculations by the WTO Secretariat on the basis of data provided by the authorities.</w:t>
      </w:r>
    </w:p>
    <w:p w14:paraId="69DD6FFF" w14:textId="0500AD91" w:rsidR="001A500E" w:rsidRPr="00871DB2" w:rsidRDefault="001A500E" w:rsidP="00574469">
      <w:pPr>
        <w:pStyle w:val="BodyText"/>
      </w:pPr>
      <w:r>
        <w:t>As in 2014, non</w:t>
      </w:r>
      <w:r w:rsidRPr="0060155B">
        <w:noBreakHyphen/>
      </w:r>
      <w:r>
        <w:t>agricultural products are subject to a lower average tariff than agricultural products, though the tariff did increase slightly during the review period, from 6.5% to 6.6%</w:t>
      </w:r>
      <w:r w:rsidRPr="0060155B">
        <w:t>. T</w:t>
      </w:r>
      <w:r>
        <w:t xml:space="preserve">he average MFN tariff </w:t>
      </w:r>
      <w:bookmarkStart w:id="140" w:name="_Hlk106175667"/>
      <w:r>
        <w:t>for agricultural products (WTO definition) also edged up compared to 2014, from 14.2% to 14.5</w:t>
      </w:r>
      <w:bookmarkEnd w:id="140"/>
      <w:r>
        <w:t>%</w:t>
      </w:r>
      <w:r w:rsidRPr="0060155B">
        <w:t>. I</w:t>
      </w:r>
      <w:r>
        <w:t>n the Dominican Republic, the highest tariffs, which range from 40% to 99%, are applied only to agricultural products, including rice, sugar, meats, dairy products and vegetables</w:t>
      </w:r>
      <w:r w:rsidRPr="0060155B">
        <w:t>. O</w:t>
      </w:r>
      <w:r>
        <w:t>n average, as in 2014, the highest tariffs are applied to dairy products (25.9%) and sugar and confectionery (24.2%) (Table A3.2)</w:t>
      </w:r>
      <w:r w:rsidRPr="0060155B">
        <w:t>. H</w:t>
      </w:r>
      <w:r>
        <w:t>owever, most of the above</w:t>
      </w:r>
      <w:r w:rsidRPr="0060155B">
        <w:noBreakHyphen/>
      </w:r>
      <w:r>
        <w:t>mentioned products are subject to tariff rate quotas and are therefore eligible for lower tariffs</w:t>
      </w:r>
      <w:r w:rsidRPr="0060155B">
        <w:t>. A</w:t>
      </w:r>
      <w:r>
        <w:t>verage tariffs applied to non</w:t>
      </w:r>
      <w:r>
        <w:noBreakHyphen/>
        <w:t>agricultural products have not changed significantly, as they have increased for only a few products since 201</w:t>
      </w:r>
      <w:r w:rsidR="005D1C13">
        <w:t>4</w:t>
      </w:r>
      <w:r>
        <w:t>, specifically fish and fish products (from 17.1% in 2014 to 17.4% in 2021)</w:t>
      </w:r>
      <w:r w:rsidRPr="0060155B">
        <w:t>. T</w:t>
      </w:r>
      <w:r>
        <w:t>he products with the highest average tariff are fish and fish products and clothing (19.8% in both 201</w:t>
      </w:r>
      <w:r w:rsidR="005D1C13">
        <w:t>4</w:t>
      </w:r>
      <w:r>
        <w:t xml:space="preserve"> and 2021).</w:t>
      </w:r>
    </w:p>
    <w:p w14:paraId="6F1E71B6" w14:textId="77777777" w:rsidR="001A500E" w:rsidRPr="00871DB2" w:rsidRDefault="001A500E" w:rsidP="00574469">
      <w:pPr>
        <w:pStyle w:val="BodyText"/>
      </w:pPr>
      <w:r>
        <w:t>The Dominican tariff schedule still has 12 different rates</w:t>
      </w:r>
      <w:r>
        <w:rPr>
          <w:rStyle w:val="FootnoteReference"/>
        </w:rPr>
        <w:footnoteReference w:id="120"/>
      </w:r>
      <w:r>
        <w:t>, which range from 0% to 99%</w:t>
      </w:r>
      <w:r w:rsidRPr="0060155B">
        <w:t>. A</w:t>
      </w:r>
      <w:r>
        <w:t>part from the 0% rate, which is applied to 53.4% of lines, the most common tariff rates in 2022 were 20% (2,090 lines, or 28.9% of the total), 14% (470 lines, or 6.5%), and 8% (450 lines, or 6.21%) (Chart 3.1)</w:t>
      </w:r>
      <w:r w:rsidRPr="0060155B">
        <w:t>. T</w:t>
      </w:r>
      <w:r>
        <w:t>ariffs above 25%, which were applied to only 72 tariff lines, were used mainly for agricultural products.</w:t>
      </w:r>
    </w:p>
    <w:p w14:paraId="7DFD4F6B" w14:textId="77777777" w:rsidR="001A500E" w:rsidRPr="007C74EF" w:rsidRDefault="001A500E" w:rsidP="00A43EB6">
      <w:pPr>
        <w:pStyle w:val="Caption"/>
      </w:pPr>
      <w:bookmarkStart w:id="141" w:name="_Toc117238016"/>
      <w:r>
        <w:lastRenderedPageBreak/>
        <w:t xml:space="preserve">Chart </w:t>
      </w:r>
      <w:r w:rsidR="00BD37F2">
        <w:fldChar w:fldCharType="begin"/>
      </w:r>
      <w:r w:rsidR="00BD37F2">
        <w:instrText xml:space="preserve"> STYLEREF 1 \s </w:instrText>
      </w:r>
      <w:r w:rsidR="00BD37F2">
        <w:fldChar w:fldCharType="separate"/>
      </w:r>
      <w:r>
        <w:rPr>
          <w:noProof/>
        </w:rPr>
        <w:t>3</w:t>
      </w:r>
      <w:r w:rsidR="00BD37F2">
        <w:rPr>
          <w:noProof/>
        </w:rPr>
        <w:fldChar w:fldCharType="end"/>
      </w:r>
      <w:r>
        <w:t>.</w:t>
      </w:r>
      <w:r w:rsidR="00BD37F2">
        <w:fldChar w:fldCharType="begin"/>
      </w:r>
      <w:r w:rsidR="00BD37F2">
        <w:instrText xml:space="preserve"> SEQ Chart \* ARABIC \s 1 </w:instrText>
      </w:r>
      <w:r w:rsidR="00BD37F2">
        <w:fldChar w:fldCharType="separate"/>
      </w:r>
      <w:r>
        <w:rPr>
          <w:noProof/>
        </w:rPr>
        <w:t>1</w:t>
      </w:r>
      <w:r w:rsidR="00BD37F2">
        <w:rPr>
          <w:noProof/>
        </w:rPr>
        <w:fldChar w:fldCharType="end"/>
      </w:r>
      <w:r>
        <w:t xml:space="preserve"> Frequency distribution of tariffs, 2014 and 2021</w:t>
      </w:r>
      <w:bookmarkEnd w:id="141"/>
    </w:p>
    <w:p w14:paraId="79DCC942" w14:textId="77777777" w:rsidR="001A500E" w:rsidRPr="006420F6" w:rsidRDefault="001A500E" w:rsidP="00E439A9">
      <w:pPr>
        <w:pStyle w:val="NoteText"/>
        <w:keepNext/>
        <w:keepLines/>
      </w:pPr>
      <w:r w:rsidRPr="0060155B">
        <w:t>(</w:t>
      </w:r>
      <w:r>
        <w:t xml:space="preserve">% of all tariff </w:t>
      </w:r>
      <w:proofErr w:type="spellStart"/>
      <w:r>
        <w:t>lines</w:t>
      </w:r>
      <w:r>
        <w:rPr>
          <w:vertAlign w:val="superscript"/>
        </w:rPr>
        <w:t>a</w:t>
      </w:r>
      <w:proofErr w:type="spellEnd"/>
      <w:r>
        <w:t>)</w:t>
      </w:r>
    </w:p>
    <w:p w14:paraId="2621DFE4" w14:textId="77777777" w:rsidR="001A500E" w:rsidRDefault="001A500E" w:rsidP="00452C93">
      <w:r w:rsidRPr="00452C93">
        <w:rPr>
          <w:noProof/>
        </w:rPr>
        <w:drawing>
          <wp:inline distT="0" distB="0" distL="0" distR="0" wp14:anchorId="374FEA01" wp14:editId="0FD101FB">
            <wp:extent cx="5730779" cy="2784231"/>
            <wp:effectExtent l="0" t="0" r="0" b="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36" cstate="print">
                      <a:extLst>
                        <a:ext uri="{28A0092B-C50C-407E-A947-70E740481C1C}">
                          <a14:useLocalDpi xmlns:a14="http://schemas.microsoft.com/office/drawing/2010/main" val="0"/>
                        </a:ext>
                      </a:extLst>
                    </a:blip>
                    <a:srcRect t="14677" b="16286"/>
                    <a:stretch/>
                  </pic:blipFill>
                  <pic:spPr bwMode="auto">
                    <a:xfrm>
                      <a:off x="0" y="0"/>
                      <a:ext cx="5731510" cy="2784586"/>
                    </a:xfrm>
                    <a:prstGeom prst="rect">
                      <a:avLst/>
                    </a:prstGeom>
                    <a:noFill/>
                    <a:ln>
                      <a:noFill/>
                    </a:ln>
                    <a:extLst>
                      <a:ext uri="{53640926-AAD7-44D8-BBD7-CCE9431645EC}">
                        <a14:shadowObscured xmlns:a14="http://schemas.microsoft.com/office/drawing/2010/main"/>
                      </a:ext>
                    </a:extLst>
                  </pic:spPr>
                </pic:pic>
              </a:graphicData>
            </a:graphic>
          </wp:inline>
        </w:drawing>
      </w:r>
    </w:p>
    <w:p w14:paraId="7C96EB7E" w14:textId="77777777" w:rsidR="001A500E" w:rsidRPr="006420F6" w:rsidRDefault="001A500E" w:rsidP="00E439A9">
      <w:pPr>
        <w:pStyle w:val="NoteText"/>
        <w:spacing w:before="120"/>
      </w:pPr>
      <w:proofErr w:type="spellStart"/>
      <w:r>
        <w:t>a</w:t>
      </w:r>
      <w:proofErr w:type="spellEnd"/>
      <w:r>
        <w:tab/>
        <w:t>There were a total of 7,048 lines for the 2014 tariff and 7,242 for the 2021 tariff.</w:t>
      </w:r>
    </w:p>
    <w:p w14:paraId="44D52D6B" w14:textId="77777777" w:rsidR="001A500E" w:rsidRPr="006420F6" w:rsidRDefault="001A500E" w:rsidP="00E439A9">
      <w:pPr>
        <w:pStyle w:val="NoteText"/>
        <w:spacing w:before="120" w:after="240"/>
      </w:pPr>
      <w:r>
        <w:t>Source:</w:t>
      </w:r>
      <w:r>
        <w:tab/>
        <w:t>Calculations by the WTO Secretariat based on data provided by the authorities.</w:t>
      </w:r>
    </w:p>
    <w:p w14:paraId="413C4A65" w14:textId="77777777" w:rsidR="001A500E" w:rsidRPr="00871DB2" w:rsidRDefault="001A500E" w:rsidP="00574469">
      <w:pPr>
        <w:pStyle w:val="BodyText"/>
      </w:pPr>
      <w:bookmarkStart w:id="142" w:name="_Hlk106276468"/>
      <w:r>
        <w:t>The Dominican Republic has bound all its tariff lines in the WTO at rates ranging from 0% to 99% (Table A3.2)</w:t>
      </w:r>
      <w:r w:rsidRPr="0060155B">
        <w:t>. M</w:t>
      </w:r>
      <w:r>
        <w:t>ost of the products (62.7%) are bound at a rate of 40%</w:t>
      </w:r>
      <w:r w:rsidRPr="0060155B">
        <w:t>. T</w:t>
      </w:r>
      <w:r>
        <w:t>he highest tariff rates, i.e. those above 85%, are applied to only 0.3% of tariff lines and parts thereof under the HS 2002 nomenclature</w:t>
      </w:r>
      <w:r w:rsidRPr="0060155B">
        <w:t>.</w:t>
      </w:r>
      <w:bookmarkStart w:id="143" w:name="_Hlk87865237"/>
      <w:r w:rsidRPr="0060155B">
        <w:t xml:space="preserve"> T</w:t>
      </w:r>
      <w:r>
        <w:t>he highest rate of 99% is applied to meat and edible meat offal (HS 0207.11.00, 0207.12.00, 0207.14.10, 0207.14.11, 0207.14.91, 0207.14.92, 0207.14.93 and 0207.14.99), garlic (HS 0703.20.00) and rice (HS 1006.10.00, 1006.20.00, 1006.30.00 and 1006.40.00)</w:t>
      </w:r>
      <w:r w:rsidRPr="0060155B">
        <w:t>. T</w:t>
      </w:r>
      <w:r>
        <w:t>his is followed by the 97% rate, which is applied to only one tariff line, namely onions and shallots (HS 0703.10.00), the 89% rate, which is applied to beans (HS 0713.31.00, 0713.32.00 and 0713.33.00), and the 85% rate, which is applied to sugar (HS 1701.11.00, 1701.12.00, 1701.91.00 and 1701.99.00)</w:t>
      </w:r>
      <w:bookmarkEnd w:id="143"/>
      <w:r w:rsidRPr="0060155B">
        <w:t>. T</w:t>
      </w:r>
      <w:r>
        <w:t>he tariff applied to these products is at the same level as the bound tariff, except in the case of two meat</w:t>
      </w:r>
      <w:r w:rsidRPr="0060155B">
        <w:noBreakHyphen/>
      </w:r>
      <w:r>
        <w:t>related tariff lines (HS 0207.14.93 and HS 0207.14.99) for which the MFN tariff is lower than the bound tariff.</w:t>
      </w:r>
    </w:p>
    <w:bookmarkEnd w:id="142"/>
    <w:p w14:paraId="40FEED71" w14:textId="32FDC385" w:rsidR="001A500E" w:rsidRPr="00871DB2" w:rsidRDefault="005D1C13" w:rsidP="00574469">
      <w:pPr>
        <w:pStyle w:val="BodyText"/>
      </w:pPr>
      <w:r>
        <w:t>In</w:t>
      </w:r>
      <w:r w:rsidR="001A500E" w:rsidRPr="0060155B">
        <w:t> 2</w:t>
      </w:r>
      <w:r w:rsidR="001A500E">
        <w:t>021, the applied MFN tariff appeared to exceed the bound tariff for some 15 tariff lines and 16 subheadings at the eight</w:t>
      </w:r>
      <w:r w:rsidR="001A500E" w:rsidRPr="0060155B">
        <w:noBreakHyphen/>
      </w:r>
      <w:r w:rsidR="001A500E">
        <w:t>digit level (</w:t>
      </w:r>
      <w:bookmarkStart w:id="144" w:name="_Hlk104302157"/>
      <w:r w:rsidR="001A500E">
        <w:t>Table A3.3</w:t>
      </w:r>
      <w:bookmarkEnd w:id="144"/>
      <w:r w:rsidR="001A500E">
        <w:t>).</w:t>
      </w:r>
      <w:r w:rsidR="001A500E">
        <w:rPr>
          <w:rStyle w:val="FootnoteReference"/>
        </w:rPr>
        <w:footnoteReference w:id="121"/>
      </w:r>
    </w:p>
    <w:p w14:paraId="0EE7DF58" w14:textId="77777777" w:rsidR="001A500E" w:rsidRPr="00871DB2" w:rsidRDefault="001A500E" w:rsidP="00574469">
      <w:pPr>
        <w:pStyle w:val="BodyText"/>
      </w:pPr>
      <w:r>
        <w:t>The Dominican Republic reserves the right to modify its schedule of concessions during 2018</w:t>
      </w:r>
      <w:r>
        <w:noBreakHyphen/>
        <w:t>23.</w:t>
      </w:r>
      <w:r>
        <w:rPr>
          <w:rStyle w:val="FootnoteReference"/>
        </w:rPr>
        <w:footnoteReference w:id="122"/>
      </w:r>
    </w:p>
    <w:p w14:paraId="706FFDE5" w14:textId="77777777" w:rsidR="001A500E" w:rsidRPr="007C74EF" w:rsidRDefault="001A500E" w:rsidP="00574469">
      <w:pPr>
        <w:pStyle w:val="Heading4"/>
      </w:pPr>
      <w:bookmarkStart w:id="145" w:name="_Toc361142916"/>
      <w:bookmarkStart w:id="146" w:name="_Toc417038466"/>
      <w:bookmarkStart w:id="147" w:name="_Toc117260619"/>
      <w:r>
        <w:t>Preferential tariffs</w:t>
      </w:r>
      <w:bookmarkStart w:id="148" w:name="_Hlk87022356"/>
      <w:bookmarkStart w:id="149" w:name="_Hlk107564606"/>
      <w:bookmarkEnd w:id="145"/>
      <w:bookmarkEnd w:id="146"/>
      <w:bookmarkEnd w:id="147"/>
    </w:p>
    <w:p w14:paraId="136C2C9C" w14:textId="77777777" w:rsidR="001A500E" w:rsidRPr="00871DB2" w:rsidRDefault="001A500E" w:rsidP="00574469">
      <w:pPr>
        <w:pStyle w:val="BodyText"/>
      </w:pPr>
      <w:r>
        <w:t>As of 2022, the Dominican Republic had six trade agreements</w:t>
      </w:r>
      <w:r w:rsidRPr="0060155B">
        <w:t>; a</w:t>
      </w:r>
      <w:r>
        <w:t>s a result, originating imports are granted preferential treatment</w:t>
      </w:r>
      <w:bookmarkEnd w:id="148"/>
      <w:r w:rsidRPr="0060155B">
        <w:t>. T</w:t>
      </w:r>
      <w:r>
        <w:t>he duty</w:t>
      </w:r>
      <w:r w:rsidRPr="0060155B">
        <w:noBreakHyphen/>
      </w:r>
      <w:r>
        <w:t>free status granted under the agreements, except that with Panama, covers between 75.8% and 95% of the total tariff schedule (Table 3.3).</w:t>
      </w:r>
    </w:p>
    <w:bookmarkEnd w:id="149"/>
    <w:p w14:paraId="37F81E3C" w14:textId="77777777" w:rsidR="001A500E" w:rsidRPr="007C74EF" w:rsidRDefault="001A500E" w:rsidP="00574469">
      <w:pPr>
        <w:pStyle w:val="BodyText"/>
      </w:pPr>
      <w:r>
        <w:t>The average preferential tariff in the free trade agreements (FTAs) negotiated by the Dominican Republic is in all cases lower than the average MFN tariff</w:t>
      </w:r>
      <w:r w:rsidRPr="0060155B">
        <w:t>.</w:t>
      </w:r>
      <w:r w:rsidRPr="0060155B">
        <w:rPr>
          <w:rStyle w:val="FootnoteReference"/>
        </w:rPr>
        <w:footnoteReference w:id="123"/>
      </w:r>
      <w:r w:rsidRPr="0060155B">
        <w:t xml:space="preserve"> T</w:t>
      </w:r>
      <w:r>
        <w:t xml:space="preserve">he average preferential tariffs range from 0% to 2.8%, except for the one applied to products originating in Panama, since </w:t>
      </w:r>
      <w:r>
        <w:lastRenderedPageBreak/>
        <w:t>the agreement is partial in scope and covers only 208 tariff lines</w:t>
      </w:r>
      <w:r w:rsidRPr="0060155B">
        <w:t>. T</w:t>
      </w:r>
      <w:r>
        <w:t>herefore, in this case, the average preferential tariff is 7.4%, very similar to the average MFN tariff of 7.8%</w:t>
      </w:r>
      <w:r w:rsidRPr="0060155B">
        <w:t>. P</w:t>
      </w:r>
      <w:r>
        <w:t>references granted to agricultural products are lower than those granted to non</w:t>
      </w:r>
      <w:r w:rsidRPr="0060155B">
        <w:noBreakHyphen/>
      </w:r>
      <w:r>
        <w:t>agricultural products</w:t>
      </w:r>
      <w:r w:rsidRPr="0060155B">
        <w:t>; h</w:t>
      </w:r>
      <w:r>
        <w:t>owever, under the various CAFTA</w:t>
      </w:r>
      <w:r w:rsidRPr="0060155B">
        <w:noBreakHyphen/>
        <w:t>DR </w:t>
      </w:r>
      <w:r>
        <w:t>agreements, the preferential rates are very similar for the two types of product, with duty</w:t>
      </w:r>
      <w:r w:rsidRPr="0060155B">
        <w:noBreakHyphen/>
      </w:r>
      <w:r>
        <w:t>free lines reaching almost 100%.</w:t>
      </w:r>
    </w:p>
    <w:p w14:paraId="44ACBB2A" w14:textId="77777777" w:rsidR="001A500E" w:rsidRPr="00674385" w:rsidRDefault="001A500E" w:rsidP="00A43EB6">
      <w:pPr>
        <w:pStyle w:val="Caption"/>
      </w:pPr>
      <w:bookmarkStart w:id="150" w:name="_Toc117238036"/>
      <w:r>
        <w:t xml:space="preserve">Table </w:t>
      </w:r>
      <w:r w:rsidR="00BD37F2">
        <w:fldChar w:fldCharType="begin"/>
      </w:r>
      <w:r w:rsidR="00BD37F2">
        <w:instrText xml:space="preserve"> STYLEREF 1 \s </w:instrText>
      </w:r>
      <w:r w:rsidR="00BD37F2">
        <w:fldChar w:fldCharType="separate"/>
      </w:r>
      <w:r>
        <w:rPr>
          <w:noProof/>
        </w:rPr>
        <w:t>3</w:t>
      </w:r>
      <w:r w:rsidR="00BD37F2">
        <w:rPr>
          <w:noProof/>
        </w:rPr>
        <w:fldChar w:fldCharType="end"/>
      </w:r>
      <w:r>
        <w:t>.</w:t>
      </w:r>
      <w:r w:rsidR="00BD37F2">
        <w:fldChar w:fldCharType="begin"/>
      </w:r>
      <w:r w:rsidR="00BD37F2">
        <w:instrText xml:space="preserve"> SEQ Table \* ARABIC \s 1 </w:instrText>
      </w:r>
      <w:r w:rsidR="00BD37F2">
        <w:fldChar w:fldCharType="separate"/>
      </w:r>
      <w:r>
        <w:rPr>
          <w:noProof/>
        </w:rPr>
        <w:t>3</w:t>
      </w:r>
      <w:r w:rsidR="00BD37F2">
        <w:rPr>
          <w:noProof/>
        </w:rPr>
        <w:fldChar w:fldCharType="end"/>
      </w:r>
      <w:r>
        <w:t xml:space="preserve"> Summary analysis of preferential tariffs, 2021</w:t>
      </w:r>
      <w:bookmarkEnd w:id="150"/>
    </w:p>
    <w:tbl>
      <w:tblPr>
        <w:tblStyle w:val="WTOTable1"/>
        <w:tblW w:w="5000" w:type="pct"/>
        <w:tblLayout w:type="fixed"/>
        <w:tblLook w:val="04A0" w:firstRow="1" w:lastRow="0" w:firstColumn="1" w:lastColumn="0" w:noHBand="0" w:noVBand="1"/>
      </w:tblPr>
      <w:tblGrid>
        <w:gridCol w:w="2123"/>
        <w:gridCol w:w="707"/>
        <w:gridCol w:w="568"/>
        <w:gridCol w:w="638"/>
        <w:gridCol w:w="781"/>
        <w:gridCol w:w="992"/>
        <w:gridCol w:w="1134"/>
        <w:gridCol w:w="995"/>
        <w:gridCol w:w="1078"/>
      </w:tblGrid>
      <w:tr w:rsidR="001A500E" w:rsidRPr="006420F6" w14:paraId="46C83811" w14:textId="77777777" w:rsidTr="00EA596B">
        <w:trPr>
          <w:cnfStyle w:val="100000000000" w:firstRow="1" w:lastRow="0" w:firstColumn="0" w:lastColumn="0" w:oddVBand="0" w:evenVBand="0" w:oddHBand="0" w:evenHBand="0" w:firstRowFirstColumn="0" w:firstRowLastColumn="0" w:lastRowFirstColumn="0" w:lastRowLastColumn="0"/>
          <w:tblHeader/>
        </w:trPr>
        <w:tc>
          <w:tcPr>
            <w:tcW w:w="1177" w:type="pct"/>
            <w:vMerge w:val="restart"/>
            <w:noWrap/>
            <w:textDirection w:val="btLr"/>
            <w:hideMark/>
          </w:tcPr>
          <w:p w14:paraId="31950C28" w14:textId="77777777" w:rsidR="001A500E" w:rsidRPr="006420F6" w:rsidRDefault="001A500E" w:rsidP="001F3C85">
            <w:pPr>
              <w:ind w:left="113" w:right="113"/>
              <w:jc w:val="center"/>
              <w:rPr>
                <w:b w:val="0"/>
                <w:sz w:val="14"/>
                <w:szCs w:val="14"/>
              </w:rPr>
            </w:pPr>
          </w:p>
        </w:tc>
        <w:tc>
          <w:tcPr>
            <w:tcW w:w="392" w:type="pct"/>
            <w:vMerge w:val="restart"/>
            <w:noWrap/>
            <w:textDirection w:val="btLr"/>
            <w:vAlign w:val="center"/>
            <w:hideMark/>
          </w:tcPr>
          <w:p w14:paraId="3E002276" w14:textId="77777777" w:rsidR="001A500E" w:rsidRPr="006420F6" w:rsidRDefault="001A500E" w:rsidP="001F3C85">
            <w:pPr>
              <w:ind w:left="113" w:right="113"/>
              <w:jc w:val="center"/>
              <w:rPr>
                <w:b w:val="0"/>
                <w:sz w:val="14"/>
                <w:szCs w:val="14"/>
              </w:rPr>
            </w:pPr>
            <w:r>
              <w:rPr>
                <w:sz w:val="14"/>
              </w:rPr>
              <w:t>Number of preferential lines</w:t>
            </w:r>
          </w:p>
        </w:tc>
        <w:tc>
          <w:tcPr>
            <w:tcW w:w="315" w:type="pct"/>
            <w:vMerge w:val="restart"/>
            <w:noWrap/>
            <w:textDirection w:val="btLr"/>
            <w:vAlign w:val="center"/>
            <w:hideMark/>
          </w:tcPr>
          <w:p w14:paraId="2636F118" w14:textId="77777777" w:rsidR="001A500E" w:rsidRPr="006420F6" w:rsidRDefault="001A500E" w:rsidP="001F3C85">
            <w:pPr>
              <w:ind w:left="113" w:right="113"/>
              <w:jc w:val="center"/>
              <w:rPr>
                <w:b w:val="0"/>
                <w:sz w:val="14"/>
                <w:szCs w:val="14"/>
              </w:rPr>
            </w:pPr>
            <w:r>
              <w:rPr>
                <w:sz w:val="14"/>
              </w:rPr>
              <w:t>Preferential part of the tariff (%)</w:t>
            </w:r>
          </w:p>
        </w:tc>
        <w:tc>
          <w:tcPr>
            <w:tcW w:w="787" w:type="pct"/>
            <w:gridSpan w:val="2"/>
            <w:vMerge w:val="restart"/>
            <w:tcBorders>
              <w:top w:val="single" w:sz="4" w:space="0" w:color="auto"/>
              <w:bottom w:val="single" w:sz="4" w:space="0" w:color="auto"/>
            </w:tcBorders>
            <w:noWrap/>
            <w:hideMark/>
          </w:tcPr>
          <w:p w14:paraId="24CBF299" w14:textId="77777777" w:rsidR="001A500E" w:rsidRPr="006420F6" w:rsidRDefault="001A500E" w:rsidP="001F3C85">
            <w:pPr>
              <w:jc w:val="center"/>
              <w:rPr>
                <w:b w:val="0"/>
                <w:sz w:val="14"/>
                <w:szCs w:val="14"/>
              </w:rPr>
            </w:pPr>
            <w:r>
              <w:rPr>
                <w:sz w:val="14"/>
              </w:rPr>
              <w:t>Total</w:t>
            </w:r>
          </w:p>
        </w:tc>
        <w:tc>
          <w:tcPr>
            <w:tcW w:w="2329" w:type="pct"/>
            <w:gridSpan w:val="4"/>
            <w:tcBorders>
              <w:top w:val="single" w:sz="4" w:space="0" w:color="auto"/>
              <w:bottom w:val="single" w:sz="4" w:space="0" w:color="auto"/>
            </w:tcBorders>
            <w:noWrap/>
            <w:hideMark/>
          </w:tcPr>
          <w:p w14:paraId="3F2698FF" w14:textId="77777777" w:rsidR="001A500E" w:rsidRPr="006420F6" w:rsidRDefault="001A500E" w:rsidP="001F3C85">
            <w:pPr>
              <w:jc w:val="center"/>
              <w:rPr>
                <w:b w:val="0"/>
                <w:sz w:val="14"/>
                <w:szCs w:val="14"/>
              </w:rPr>
            </w:pPr>
            <w:r>
              <w:rPr>
                <w:sz w:val="14"/>
              </w:rPr>
              <w:t>WTO categories</w:t>
            </w:r>
          </w:p>
        </w:tc>
      </w:tr>
      <w:tr w:rsidR="001A500E" w:rsidRPr="006420F6" w14:paraId="0752D742" w14:textId="77777777" w:rsidTr="00EA596B">
        <w:trPr>
          <w:cnfStyle w:val="100000000000" w:firstRow="1" w:lastRow="0" w:firstColumn="0" w:lastColumn="0" w:oddVBand="0" w:evenVBand="0" w:oddHBand="0" w:evenHBand="0" w:firstRowFirstColumn="0" w:firstRowLastColumn="0" w:lastRowFirstColumn="0" w:lastRowLastColumn="0"/>
          <w:trHeight w:val="219"/>
          <w:tblHeader/>
        </w:trPr>
        <w:tc>
          <w:tcPr>
            <w:tcW w:w="1177" w:type="pct"/>
            <w:vMerge/>
            <w:noWrap/>
            <w:textDirection w:val="btLr"/>
            <w:hideMark/>
          </w:tcPr>
          <w:p w14:paraId="0A1BBE51" w14:textId="77777777" w:rsidR="001A500E" w:rsidRPr="006420F6" w:rsidRDefault="001A500E" w:rsidP="001F3C85">
            <w:pPr>
              <w:ind w:left="113" w:right="113"/>
              <w:jc w:val="center"/>
              <w:rPr>
                <w:b w:val="0"/>
                <w:sz w:val="14"/>
                <w:szCs w:val="14"/>
              </w:rPr>
            </w:pPr>
          </w:p>
        </w:tc>
        <w:tc>
          <w:tcPr>
            <w:tcW w:w="392" w:type="pct"/>
            <w:vMerge/>
            <w:noWrap/>
            <w:hideMark/>
          </w:tcPr>
          <w:p w14:paraId="6560F09B" w14:textId="77777777" w:rsidR="001A500E" w:rsidRPr="006420F6" w:rsidRDefault="001A500E" w:rsidP="001F3C85">
            <w:pPr>
              <w:jc w:val="center"/>
              <w:rPr>
                <w:b w:val="0"/>
                <w:sz w:val="14"/>
                <w:szCs w:val="14"/>
              </w:rPr>
            </w:pPr>
          </w:p>
        </w:tc>
        <w:tc>
          <w:tcPr>
            <w:tcW w:w="315" w:type="pct"/>
            <w:vMerge/>
            <w:noWrap/>
            <w:hideMark/>
          </w:tcPr>
          <w:p w14:paraId="52FB5994" w14:textId="77777777" w:rsidR="001A500E" w:rsidRPr="006420F6" w:rsidRDefault="001A500E" w:rsidP="001F3C85">
            <w:pPr>
              <w:jc w:val="center"/>
              <w:rPr>
                <w:b w:val="0"/>
                <w:sz w:val="14"/>
                <w:szCs w:val="14"/>
              </w:rPr>
            </w:pPr>
          </w:p>
        </w:tc>
        <w:tc>
          <w:tcPr>
            <w:tcW w:w="787" w:type="pct"/>
            <w:gridSpan w:val="2"/>
            <w:vMerge/>
            <w:tcBorders>
              <w:top w:val="single" w:sz="4" w:space="0" w:color="auto"/>
              <w:bottom w:val="single" w:sz="4" w:space="0" w:color="auto"/>
            </w:tcBorders>
            <w:noWrap/>
            <w:hideMark/>
          </w:tcPr>
          <w:p w14:paraId="0FA8527E" w14:textId="77777777" w:rsidR="001A500E" w:rsidRPr="006420F6" w:rsidRDefault="001A500E" w:rsidP="001F3C85">
            <w:pPr>
              <w:jc w:val="center"/>
              <w:rPr>
                <w:b w:val="0"/>
                <w:sz w:val="14"/>
                <w:szCs w:val="14"/>
              </w:rPr>
            </w:pPr>
          </w:p>
        </w:tc>
        <w:tc>
          <w:tcPr>
            <w:tcW w:w="1179" w:type="pct"/>
            <w:gridSpan w:val="2"/>
            <w:vMerge w:val="restart"/>
            <w:tcBorders>
              <w:top w:val="single" w:sz="4" w:space="0" w:color="auto"/>
              <w:bottom w:val="single" w:sz="4" w:space="0" w:color="auto"/>
            </w:tcBorders>
            <w:noWrap/>
            <w:hideMark/>
          </w:tcPr>
          <w:p w14:paraId="47716970" w14:textId="77777777" w:rsidR="001A500E" w:rsidRPr="006420F6" w:rsidRDefault="001A500E" w:rsidP="001F3C85">
            <w:pPr>
              <w:jc w:val="center"/>
              <w:rPr>
                <w:b w:val="0"/>
                <w:sz w:val="14"/>
                <w:szCs w:val="14"/>
              </w:rPr>
            </w:pPr>
            <w:r>
              <w:rPr>
                <w:sz w:val="14"/>
              </w:rPr>
              <w:t>Agricultural products</w:t>
            </w:r>
          </w:p>
        </w:tc>
        <w:tc>
          <w:tcPr>
            <w:tcW w:w="1150" w:type="pct"/>
            <w:gridSpan w:val="2"/>
            <w:vMerge w:val="restart"/>
            <w:tcBorders>
              <w:top w:val="single" w:sz="4" w:space="0" w:color="auto"/>
              <w:bottom w:val="single" w:sz="4" w:space="0" w:color="auto"/>
            </w:tcBorders>
            <w:noWrap/>
            <w:hideMark/>
          </w:tcPr>
          <w:p w14:paraId="64E6DA55" w14:textId="77777777" w:rsidR="001A500E" w:rsidRPr="006420F6" w:rsidRDefault="001A500E" w:rsidP="001F3C85">
            <w:pPr>
              <w:jc w:val="center"/>
              <w:rPr>
                <w:b w:val="0"/>
                <w:sz w:val="14"/>
                <w:szCs w:val="14"/>
              </w:rPr>
            </w:pPr>
            <w:r>
              <w:rPr>
                <w:sz w:val="14"/>
              </w:rPr>
              <w:t>Non</w:t>
            </w:r>
            <w:r w:rsidRPr="0060155B">
              <w:rPr>
                <w:sz w:val="14"/>
              </w:rPr>
              <w:noBreakHyphen/>
            </w:r>
            <w:r>
              <w:rPr>
                <w:sz w:val="14"/>
              </w:rPr>
              <w:t>agricultural products (including petroleum)</w:t>
            </w:r>
          </w:p>
        </w:tc>
      </w:tr>
      <w:tr w:rsidR="001A500E" w:rsidRPr="006420F6" w14:paraId="68D744CA" w14:textId="77777777" w:rsidTr="00EA596B">
        <w:trPr>
          <w:cnfStyle w:val="100000000000" w:firstRow="1" w:lastRow="0" w:firstColumn="0" w:lastColumn="0" w:oddVBand="0" w:evenVBand="0" w:oddHBand="0" w:evenHBand="0" w:firstRowFirstColumn="0" w:firstRowLastColumn="0" w:lastRowFirstColumn="0" w:lastRowLastColumn="0"/>
          <w:trHeight w:val="219"/>
          <w:tblHeader/>
        </w:trPr>
        <w:tc>
          <w:tcPr>
            <w:tcW w:w="1177" w:type="pct"/>
            <w:vMerge/>
            <w:noWrap/>
            <w:textDirection w:val="btLr"/>
            <w:hideMark/>
          </w:tcPr>
          <w:p w14:paraId="1018B36E" w14:textId="77777777" w:rsidR="001A500E" w:rsidRPr="006420F6" w:rsidRDefault="001A500E" w:rsidP="001F3C85">
            <w:pPr>
              <w:ind w:left="113" w:right="113"/>
              <w:jc w:val="center"/>
              <w:rPr>
                <w:b w:val="0"/>
                <w:sz w:val="14"/>
                <w:szCs w:val="14"/>
              </w:rPr>
            </w:pPr>
          </w:p>
        </w:tc>
        <w:tc>
          <w:tcPr>
            <w:tcW w:w="392" w:type="pct"/>
            <w:vMerge/>
            <w:noWrap/>
          </w:tcPr>
          <w:p w14:paraId="1EA83C22" w14:textId="77777777" w:rsidR="001A500E" w:rsidRPr="006420F6" w:rsidRDefault="001A500E" w:rsidP="001F3C85">
            <w:pPr>
              <w:jc w:val="center"/>
              <w:rPr>
                <w:b w:val="0"/>
                <w:sz w:val="14"/>
                <w:szCs w:val="14"/>
              </w:rPr>
            </w:pPr>
          </w:p>
        </w:tc>
        <w:tc>
          <w:tcPr>
            <w:tcW w:w="315" w:type="pct"/>
            <w:vMerge/>
            <w:noWrap/>
          </w:tcPr>
          <w:p w14:paraId="3717AE88" w14:textId="77777777" w:rsidR="001A500E" w:rsidRPr="006420F6" w:rsidRDefault="001A500E" w:rsidP="001F3C85">
            <w:pPr>
              <w:jc w:val="center"/>
              <w:rPr>
                <w:b w:val="0"/>
                <w:sz w:val="14"/>
                <w:szCs w:val="14"/>
              </w:rPr>
            </w:pPr>
          </w:p>
        </w:tc>
        <w:tc>
          <w:tcPr>
            <w:tcW w:w="354" w:type="pct"/>
            <w:vMerge w:val="restart"/>
            <w:tcBorders>
              <w:top w:val="single" w:sz="4" w:space="0" w:color="auto"/>
            </w:tcBorders>
            <w:noWrap/>
            <w:textDirection w:val="btLr"/>
            <w:vAlign w:val="center"/>
            <w:hideMark/>
          </w:tcPr>
          <w:p w14:paraId="228F6A81" w14:textId="77777777" w:rsidR="001A500E" w:rsidRPr="006420F6" w:rsidRDefault="001A500E" w:rsidP="001F3C85">
            <w:pPr>
              <w:ind w:left="113" w:right="113"/>
              <w:jc w:val="center"/>
              <w:rPr>
                <w:b w:val="0"/>
                <w:sz w:val="14"/>
                <w:szCs w:val="14"/>
              </w:rPr>
            </w:pPr>
            <w:r>
              <w:rPr>
                <w:sz w:val="14"/>
              </w:rPr>
              <w:t>Average (%)</w:t>
            </w:r>
          </w:p>
        </w:tc>
        <w:tc>
          <w:tcPr>
            <w:tcW w:w="433" w:type="pct"/>
            <w:vMerge w:val="restart"/>
            <w:tcBorders>
              <w:top w:val="single" w:sz="4" w:space="0" w:color="auto"/>
            </w:tcBorders>
            <w:noWrap/>
            <w:textDirection w:val="btLr"/>
            <w:vAlign w:val="center"/>
            <w:hideMark/>
          </w:tcPr>
          <w:p w14:paraId="72F59B32" w14:textId="77777777" w:rsidR="001A500E" w:rsidRPr="006420F6" w:rsidRDefault="001A500E" w:rsidP="001F3C85">
            <w:pPr>
              <w:ind w:left="113" w:right="113"/>
              <w:jc w:val="center"/>
              <w:rPr>
                <w:b w:val="0"/>
                <w:sz w:val="14"/>
                <w:szCs w:val="14"/>
              </w:rPr>
            </w:pPr>
            <w:r>
              <w:rPr>
                <w:sz w:val="14"/>
              </w:rPr>
              <w:t>Duty</w:t>
            </w:r>
            <w:r w:rsidRPr="0060155B">
              <w:rPr>
                <w:sz w:val="14"/>
              </w:rPr>
              <w:noBreakHyphen/>
            </w:r>
            <w:r>
              <w:rPr>
                <w:sz w:val="14"/>
              </w:rPr>
              <w:t>free lines (%)</w:t>
            </w:r>
          </w:p>
        </w:tc>
        <w:tc>
          <w:tcPr>
            <w:tcW w:w="1179" w:type="pct"/>
            <w:gridSpan w:val="2"/>
            <w:vMerge/>
            <w:tcBorders>
              <w:top w:val="single" w:sz="4" w:space="0" w:color="auto"/>
              <w:bottom w:val="single" w:sz="4" w:space="0" w:color="auto"/>
            </w:tcBorders>
            <w:noWrap/>
            <w:hideMark/>
          </w:tcPr>
          <w:p w14:paraId="534FC02E" w14:textId="77777777" w:rsidR="001A500E" w:rsidRPr="006420F6" w:rsidRDefault="001A500E" w:rsidP="001F3C85">
            <w:pPr>
              <w:jc w:val="center"/>
              <w:rPr>
                <w:b w:val="0"/>
                <w:sz w:val="14"/>
                <w:szCs w:val="14"/>
              </w:rPr>
            </w:pPr>
          </w:p>
        </w:tc>
        <w:tc>
          <w:tcPr>
            <w:tcW w:w="1150" w:type="pct"/>
            <w:gridSpan w:val="2"/>
            <w:vMerge/>
            <w:tcBorders>
              <w:top w:val="single" w:sz="4" w:space="0" w:color="auto"/>
              <w:bottom w:val="single" w:sz="4" w:space="0" w:color="auto"/>
            </w:tcBorders>
            <w:noWrap/>
            <w:hideMark/>
          </w:tcPr>
          <w:p w14:paraId="358C77A8" w14:textId="77777777" w:rsidR="001A500E" w:rsidRPr="006420F6" w:rsidRDefault="001A500E" w:rsidP="001F3C85">
            <w:pPr>
              <w:jc w:val="center"/>
              <w:rPr>
                <w:b w:val="0"/>
                <w:sz w:val="14"/>
                <w:szCs w:val="14"/>
              </w:rPr>
            </w:pPr>
          </w:p>
        </w:tc>
      </w:tr>
      <w:tr w:rsidR="001A500E" w:rsidRPr="006420F6" w14:paraId="1CF7D54E" w14:textId="77777777" w:rsidTr="00EA596B">
        <w:trPr>
          <w:cnfStyle w:val="100000000000" w:firstRow="1" w:lastRow="0" w:firstColumn="0" w:lastColumn="0" w:oddVBand="0" w:evenVBand="0" w:oddHBand="0" w:evenHBand="0" w:firstRowFirstColumn="0" w:firstRowLastColumn="0" w:lastRowFirstColumn="0" w:lastRowLastColumn="0"/>
          <w:trHeight w:val="1032"/>
          <w:tblHeader/>
        </w:trPr>
        <w:tc>
          <w:tcPr>
            <w:tcW w:w="1177" w:type="pct"/>
            <w:vMerge/>
            <w:noWrap/>
            <w:textDirection w:val="btLr"/>
            <w:hideMark/>
          </w:tcPr>
          <w:p w14:paraId="2576F4A4" w14:textId="77777777" w:rsidR="001A500E" w:rsidRPr="006420F6" w:rsidRDefault="001A500E" w:rsidP="001F3C85">
            <w:pPr>
              <w:ind w:left="113" w:right="113"/>
              <w:jc w:val="center"/>
              <w:rPr>
                <w:b w:val="0"/>
                <w:sz w:val="14"/>
                <w:szCs w:val="14"/>
              </w:rPr>
            </w:pPr>
          </w:p>
        </w:tc>
        <w:tc>
          <w:tcPr>
            <w:tcW w:w="392" w:type="pct"/>
            <w:vMerge/>
            <w:noWrap/>
          </w:tcPr>
          <w:p w14:paraId="5F9409B3" w14:textId="77777777" w:rsidR="001A500E" w:rsidRPr="006420F6" w:rsidRDefault="001A500E" w:rsidP="001F3C85">
            <w:pPr>
              <w:jc w:val="center"/>
              <w:rPr>
                <w:b w:val="0"/>
                <w:sz w:val="14"/>
                <w:szCs w:val="14"/>
              </w:rPr>
            </w:pPr>
          </w:p>
        </w:tc>
        <w:tc>
          <w:tcPr>
            <w:tcW w:w="315" w:type="pct"/>
            <w:vMerge/>
            <w:noWrap/>
          </w:tcPr>
          <w:p w14:paraId="4D44F4DD" w14:textId="77777777" w:rsidR="001A500E" w:rsidRPr="006420F6" w:rsidRDefault="001A500E" w:rsidP="001F3C85">
            <w:pPr>
              <w:jc w:val="center"/>
              <w:rPr>
                <w:b w:val="0"/>
                <w:sz w:val="14"/>
                <w:szCs w:val="14"/>
              </w:rPr>
            </w:pPr>
          </w:p>
        </w:tc>
        <w:tc>
          <w:tcPr>
            <w:tcW w:w="354" w:type="pct"/>
            <w:vMerge/>
            <w:noWrap/>
            <w:hideMark/>
          </w:tcPr>
          <w:p w14:paraId="69729E25" w14:textId="77777777" w:rsidR="001A500E" w:rsidRPr="006420F6" w:rsidRDefault="001A500E" w:rsidP="001F3C85">
            <w:pPr>
              <w:jc w:val="center"/>
              <w:rPr>
                <w:b w:val="0"/>
                <w:sz w:val="14"/>
                <w:szCs w:val="14"/>
              </w:rPr>
            </w:pPr>
          </w:p>
        </w:tc>
        <w:tc>
          <w:tcPr>
            <w:tcW w:w="433" w:type="pct"/>
            <w:vMerge/>
            <w:noWrap/>
            <w:hideMark/>
          </w:tcPr>
          <w:p w14:paraId="6D29E5CD" w14:textId="77777777" w:rsidR="001A500E" w:rsidRPr="006420F6" w:rsidRDefault="001A500E" w:rsidP="001F3C85">
            <w:pPr>
              <w:jc w:val="center"/>
              <w:rPr>
                <w:b w:val="0"/>
                <w:sz w:val="14"/>
                <w:szCs w:val="14"/>
              </w:rPr>
            </w:pPr>
          </w:p>
        </w:tc>
        <w:tc>
          <w:tcPr>
            <w:tcW w:w="550" w:type="pct"/>
            <w:tcBorders>
              <w:top w:val="single" w:sz="4" w:space="0" w:color="auto"/>
            </w:tcBorders>
            <w:noWrap/>
            <w:vAlign w:val="center"/>
            <w:hideMark/>
          </w:tcPr>
          <w:p w14:paraId="7B61ED0B" w14:textId="77777777" w:rsidR="001A500E" w:rsidRPr="006420F6" w:rsidRDefault="001A500E" w:rsidP="001F3C85">
            <w:pPr>
              <w:jc w:val="center"/>
              <w:rPr>
                <w:b w:val="0"/>
                <w:sz w:val="14"/>
                <w:szCs w:val="14"/>
              </w:rPr>
            </w:pPr>
            <w:r>
              <w:rPr>
                <w:sz w:val="14"/>
              </w:rPr>
              <w:t>Average (%)</w:t>
            </w:r>
          </w:p>
        </w:tc>
        <w:tc>
          <w:tcPr>
            <w:tcW w:w="629" w:type="pct"/>
            <w:tcBorders>
              <w:top w:val="single" w:sz="4" w:space="0" w:color="auto"/>
            </w:tcBorders>
            <w:noWrap/>
            <w:vAlign w:val="center"/>
            <w:hideMark/>
          </w:tcPr>
          <w:p w14:paraId="76CFBDB2" w14:textId="77777777" w:rsidR="001A500E" w:rsidRPr="006420F6" w:rsidRDefault="001A500E" w:rsidP="001F3C85">
            <w:pPr>
              <w:jc w:val="center"/>
              <w:rPr>
                <w:b w:val="0"/>
                <w:sz w:val="14"/>
                <w:szCs w:val="14"/>
              </w:rPr>
            </w:pPr>
            <w:r>
              <w:rPr>
                <w:sz w:val="14"/>
              </w:rPr>
              <w:t>Duty</w:t>
            </w:r>
            <w:r w:rsidRPr="0060155B">
              <w:rPr>
                <w:sz w:val="14"/>
              </w:rPr>
              <w:noBreakHyphen/>
            </w:r>
            <w:r>
              <w:rPr>
                <w:sz w:val="14"/>
              </w:rPr>
              <w:t>free lines (%)</w:t>
            </w:r>
          </w:p>
        </w:tc>
        <w:tc>
          <w:tcPr>
            <w:tcW w:w="552" w:type="pct"/>
            <w:tcBorders>
              <w:top w:val="single" w:sz="4" w:space="0" w:color="auto"/>
            </w:tcBorders>
            <w:noWrap/>
            <w:vAlign w:val="center"/>
            <w:hideMark/>
          </w:tcPr>
          <w:p w14:paraId="1AAD5BDD" w14:textId="77777777" w:rsidR="001A500E" w:rsidRPr="006420F6" w:rsidRDefault="001A500E" w:rsidP="001F3C85">
            <w:pPr>
              <w:jc w:val="center"/>
              <w:rPr>
                <w:b w:val="0"/>
                <w:sz w:val="14"/>
                <w:szCs w:val="14"/>
              </w:rPr>
            </w:pPr>
            <w:r>
              <w:rPr>
                <w:sz w:val="14"/>
              </w:rPr>
              <w:t>Average</w:t>
            </w:r>
            <w:r>
              <w:rPr>
                <w:sz w:val="14"/>
              </w:rPr>
              <w:br/>
              <w:t>(%)</w:t>
            </w:r>
          </w:p>
        </w:tc>
        <w:tc>
          <w:tcPr>
            <w:tcW w:w="598" w:type="pct"/>
            <w:tcBorders>
              <w:top w:val="single" w:sz="4" w:space="0" w:color="auto"/>
            </w:tcBorders>
            <w:noWrap/>
            <w:vAlign w:val="center"/>
            <w:hideMark/>
          </w:tcPr>
          <w:p w14:paraId="07A9ED0E" w14:textId="77777777" w:rsidR="001A500E" w:rsidRPr="006420F6" w:rsidRDefault="001A500E" w:rsidP="001F3C85">
            <w:pPr>
              <w:jc w:val="center"/>
              <w:rPr>
                <w:b w:val="0"/>
                <w:sz w:val="14"/>
                <w:szCs w:val="14"/>
              </w:rPr>
            </w:pPr>
            <w:r>
              <w:rPr>
                <w:sz w:val="14"/>
              </w:rPr>
              <w:t>Duty</w:t>
            </w:r>
            <w:r w:rsidRPr="0060155B">
              <w:rPr>
                <w:sz w:val="14"/>
              </w:rPr>
              <w:noBreakHyphen/>
            </w:r>
            <w:r>
              <w:rPr>
                <w:sz w:val="14"/>
              </w:rPr>
              <w:t>free lines (%)</w:t>
            </w:r>
          </w:p>
        </w:tc>
      </w:tr>
      <w:tr w:rsidR="001A500E" w:rsidRPr="006420F6" w14:paraId="10377050" w14:textId="77777777" w:rsidTr="00EA596B">
        <w:tc>
          <w:tcPr>
            <w:tcW w:w="1177" w:type="pct"/>
            <w:noWrap/>
            <w:hideMark/>
          </w:tcPr>
          <w:p w14:paraId="6ABED30C" w14:textId="77777777" w:rsidR="001A500E" w:rsidRPr="006420F6" w:rsidRDefault="001A500E" w:rsidP="001F3C85">
            <w:pPr>
              <w:jc w:val="left"/>
              <w:rPr>
                <w:b/>
                <w:bCs/>
                <w:color w:val="000000"/>
                <w:sz w:val="14"/>
                <w:szCs w:val="14"/>
              </w:rPr>
            </w:pPr>
            <w:r>
              <w:rPr>
                <w:b/>
                <w:color w:val="000000"/>
                <w:sz w:val="14"/>
              </w:rPr>
              <w:t>MFN</w:t>
            </w:r>
          </w:p>
        </w:tc>
        <w:tc>
          <w:tcPr>
            <w:tcW w:w="392" w:type="pct"/>
            <w:noWrap/>
            <w:hideMark/>
          </w:tcPr>
          <w:p w14:paraId="35B358AA" w14:textId="77777777" w:rsidR="001A500E" w:rsidRPr="006420F6" w:rsidRDefault="001A500E" w:rsidP="001F3C85">
            <w:pPr>
              <w:jc w:val="right"/>
              <w:rPr>
                <w:b/>
                <w:bCs/>
                <w:color w:val="000000"/>
                <w:sz w:val="14"/>
                <w:szCs w:val="14"/>
              </w:rPr>
            </w:pPr>
            <w:r w:rsidRPr="0060155B">
              <w:rPr>
                <w:b/>
                <w:color w:val="000000"/>
                <w:sz w:val="14"/>
              </w:rPr>
              <w:noBreakHyphen/>
            </w:r>
          </w:p>
        </w:tc>
        <w:tc>
          <w:tcPr>
            <w:tcW w:w="315" w:type="pct"/>
            <w:noWrap/>
            <w:hideMark/>
          </w:tcPr>
          <w:p w14:paraId="3C5D3B6A" w14:textId="77777777" w:rsidR="001A500E" w:rsidRPr="006420F6" w:rsidRDefault="001A500E" w:rsidP="001F3C85">
            <w:pPr>
              <w:jc w:val="right"/>
              <w:rPr>
                <w:b/>
                <w:bCs/>
                <w:color w:val="000000"/>
                <w:sz w:val="14"/>
                <w:szCs w:val="14"/>
              </w:rPr>
            </w:pPr>
            <w:r w:rsidRPr="0060155B">
              <w:rPr>
                <w:b/>
                <w:color w:val="000000"/>
                <w:sz w:val="14"/>
              </w:rPr>
              <w:noBreakHyphen/>
            </w:r>
          </w:p>
        </w:tc>
        <w:tc>
          <w:tcPr>
            <w:tcW w:w="354" w:type="pct"/>
            <w:noWrap/>
            <w:hideMark/>
          </w:tcPr>
          <w:p w14:paraId="5FBD1A30" w14:textId="77777777" w:rsidR="001A500E" w:rsidRPr="006420F6" w:rsidRDefault="001A500E" w:rsidP="001F3C85">
            <w:pPr>
              <w:jc w:val="center"/>
              <w:rPr>
                <w:b/>
                <w:bCs/>
                <w:color w:val="000000"/>
                <w:sz w:val="14"/>
                <w:szCs w:val="14"/>
              </w:rPr>
            </w:pPr>
            <w:r>
              <w:rPr>
                <w:b/>
                <w:color w:val="000000"/>
                <w:sz w:val="14"/>
              </w:rPr>
              <w:t>7.8</w:t>
            </w:r>
          </w:p>
        </w:tc>
        <w:tc>
          <w:tcPr>
            <w:tcW w:w="433" w:type="pct"/>
            <w:noWrap/>
            <w:hideMark/>
          </w:tcPr>
          <w:p w14:paraId="74A2849E" w14:textId="77777777" w:rsidR="001A500E" w:rsidRPr="006420F6" w:rsidRDefault="001A500E" w:rsidP="001F3C85">
            <w:pPr>
              <w:jc w:val="center"/>
              <w:rPr>
                <w:b/>
                <w:bCs/>
                <w:color w:val="000000"/>
                <w:sz w:val="14"/>
                <w:szCs w:val="14"/>
              </w:rPr>
            </w:pPr>
            <w:r>
              <w:rPr>
                <w:b/>
                <w:color w:val="000000"/>
                <w:sz w:val="14"/>
              </w:rPr>
              <w:t>53.4</w:t>
            </w:r>
          </w:p>
        </w:tc>
        <w:tc>
          <w:tcPr>
            <w:tcW w:w="550" w:type="pct"/>
            <w:noWrap/>
            <w:hideMark/>
          </w:tcPr>
          <w:p w14:paraId="19C691CB" w14:textId="77777777" w:rsidR="001A500E" w:rsidRPr="006420F6" w:rsidRDefault="001A500E" w:rsidP="001F3C85">
            <w:pPr>
              <w:ind w:right="227"/>
              <w:jc w:val="right"/>
              <w:rPr>
                <w:b/>
                <w:bCs/>
                <w:color w:val="000000"/>
                <w:sz w:val="14"/>
                <w:szCs w:val="14"/>
              </w:rPr>
            </w:pPr>
            <w:r>
              <w:rPr>
                <w:b/>
                <w:color w:val="000000"/>
                <w:sz w:val="14"/>
              </w:rPr>
              <w:t>14.5</w:t>
            </w:r>
          </w:p>
        </w:tc>
        <w:tc>
          <w:tcPr>
            <w:tcW w:w="629" w:type="pct"/>
            <w:noWrap/>
            <w:hideMark/>
          </w:tcPr>
          <w:p w14:paraId="71D3DDE7" w14:textId="77777777" w:rsidR="001A500E" w:rsidRPr="006420F6" w:rsidRDefault="001A500E" w:rsidP="001F3C85">
            <w:pPr>
              <w:jc w:val="center"/>
              <w:rPr>
                <w:b/>
                <w:bCs/>
                <w:color w:val="000000"/>
                <w:sz w:val="14"/>
                <w:szCs w:val="14"/>
              </w:rPr>
            </w:pPr>
            <w:r>
              <w:rPr>
                <w:b/>
                <w:color w:val="000000"/>
                <w:sz w:val="14"/>
              </w:rPr>
              <w:t>31.7</w:t>
            </w:r>
          </w:p>
        </w:tc>
        <w:tc>
          <w:tcPr>
            <w:tcW w:w="552" w:type="pct"/>
            <w:noWrap/>
            <w:hideMark/>
          </w:tcPr>
          <w:p w14:paraId="67F4D9DB" w14:textId="77777777" w:rsidR="001A500E" w:rsidRPr="006420F6" w:rsidRDefault="001A500E" w:rsidP="001F3C85">
            <w:pPr>
              <w:jc w:val="center"/>
              <w:rPr>
                <w:b/>
                <w:bCs/>
                <w:color w:val="000000"/>
                <w:sz w:val="14"/>
                <w:szCs w:val="14"/>
              </w:rPr>
            </w:pPr>
            <w:r>
              <w:rPr>
                <w:b/>
                <w:color w:val="000000"/>
                <w:sz w:val="14"/>
              </w:rPr>
              <w:t>6.6</w:t>
            </w:r>
          </w:p>
        </w:tc>
        <w:tc>
          <w:tcPr>
            <w:tcW w:w="598" w:type="pct"/>
            <w:noWrap/>
            <w:hideMark/>
          </w:tcPr>
          <w:p w14:paraId="375698FA" w14:textId="77777777" w:rsidR="001A500E" w:rsidRPr="006420F6" w:rsidRDefault="001A500E" w:rsidP="001F3C85">
            <w:pPr>
              <w:ind w:right="283"/>
              <w:jc w:val="right"/>
              <w:rPr>
                <w:b/>
                <w:bCs/>
                <w:color w:val="000000"/>
                <w:sz w:val="14"/>
                <w:szCs w:val="14"/>
              </w:rPr>
            </w:pPr>
            <w:r>
              <w:rPr>
                <w:b/>
                <w:color w:val="000000"/>
                <w:sz w:val="14"/>
              </w:rPr>
              <w:t>57.3</w:t>
            </w:r>
          </w:p>
        </w:tc>
      </w:tr>
      <w:tr w:rsidR="001A500E" w:rsidRPr="006420F6" w14:paraId="695083E5" w14:textId="77777777" w:rsidTr="00EA596B">
        <w:trPr>
          <w:cnfStyle w:val="000000010000" w:firstRow="0" w:lastRow="0" w:firstColumn="0" w:lastColumn="0" w:oddVBand="0" w:evenVBand="0" w:oddHBand="0" w:evenHBand="1" w:firstRowFirstColumn="0" w:firstRowLastColumn="0" w:lastRowFirstColumn="0" w:lastRowLastColumn="0"/>
        </w:trPr>
        <w:tc>
          <w:tcPr>
            <w:tcW w:w="1177" w:type="pct"/>
            <w:noWrap/>
            <w:hideMark/>
          </w:tcPr>
          <w:p w14:paraId="39DC5719" w14:textId="77777777" w:rsidR="001A500E" w:rsidRPr="006420F6" w:rsidRDefault="001A500E" w:rsidP="001F3C85">
            <w:pPr>
              <w:jc w:val="left"/>
              <w:rPr>
                <w:color w:val="000000"/>
                <w:sz w:val="14"/>
                <w:szCs w:val="14"/>
              </w:rPr>
            </w:pPr>
          </w:p>
        </w:tc>
        <w:tc>
          <w:tcPr>
            <w:tcW w:w="392" w:type="pct"/>
            <w:noWrap/>
            <w:hideMark/>
          </w:tcPr>
          <w:p w14:paraId="55063019" w14:textId="77777777" w:rsidR="001A500E" w:rsidRPr="006420F6" w:rsidRDefault="001A500E" w:rsidP="001F3C85">
            <w:pPr>
              <w:jc w:val="right"/>
              <w:rPr>
                <w:sz w:val="14"/>
                <w:szCs w:val="14"/>
              </w:rPr>
            </w:pPr>
          </w:p>
        </w:tc>
        <w:tc>
          <w:tcPr>
            <w:tcW w:w="315" w:type="pct"/>
            <w:noWrap/>
            <w:hideMark/>
          </w:tcPr>
          <w:p w14:paraId="69701D00" w14:textId="77777777" w:rsidR="001A500E" w:rsidRPr="006420F6" w:rsidRDefault="001A500E" w:rsidP="001F3C85">
            <w:pPr>
              <w:jc w:val="right"/>
              <w:rPr>
                <w:sz w:val="14"/>
                <w:szCs w:val="14"/>
              </w:rPr>
            </w:pPr>
          </w:p>
        </w:tc>
        <w:tc>
          <w:tcPr>
            <w:tcW w:w="354" w:type="pct"/>
            <w:noWrap/>
            <w:hideMark/>
          </w:tcPr>
          <w:p w14:paraId="0D1574C0" w14:textId="77777777" w:rsidR="001A500E" w:rsidRPr="006420F6" w:rsidRDefault="001A500E" w:rsidP="001F3C85">
            <w:pPr>
              <w:jc w:val="center"/>
              <w:rPr>
                <w:sz w:val="14"/>
                <w:szCs w:val="14"/>
              </w:rPr>
            </w:pPr>
          </w:p>
        </w:tc>
        <w:tc>
          <w:tcPr>
            <w:tcW w:w="433" w:type="pct"/>
            <w:noWrap/>
            <w:hideMark/>
          </w:tcPr>
          <w:p w14:paraId="0B2CA4DF" w14:textId="77777777" w:rsidR="001A500E" w:rsidRPr="006420F6" w:rsidRDefault="001A500E" w:rsidP="001F3C85">
            <w:pPr>
              <w:jc w:val="center"/>
              <w:rPr>
                <w:sz w:val="14"/>
                <w:szCs w:val="14"/>
              </w:rPr>
            </w:pPr>
          </w:p>
        </w:tc>
        <w:tc>
          <w:tcPr>
            <w:tcW w:w="550" w:type="pct"/>
            <w:noWrap/>
            <w:hideMark/>
          </w:tcPr>
          <w:p w14:paraId="4ABDBE8D" w14:textId="77777777" w:rsidR="001A500E" w:rsidRPr="006420F6" w:rsidRDefault="001A500E" w:rsidP="001F3C85">
            <w:pPr>
              <w:ind w:right="227"/>
              <w:jc w:val="right"/>
              <w:rPr>
                <w:sz w:val="14"/>
                <w:szCs w:val="14"/>
              </w:rPr>
            </w:pPr>
          </w:p>
        </w:tc>
        <w:tc>
          <w:tcPr>
            <w:tcW w:w="629" w:type="pct"/>
            <w:noWrap/>
            <w:hideMark/>
          </w:tcPr>
          <w:p w14:paraId="6C440242" w14:textId="77777777" w:rsidR="001A500E" w:rsidRPr="006420F6" w:rsidRDefault="001A500E" w:rsidP="001F3C85">
            <w:pPr>
              <w:jc w:val="center"/>
              <w:rPr>
                <w:sz w:val="14"/>
                <w:szCs w:val="14"/>
              </w:rPr>
            </w:pPr>
          </w:p>
        </w:tc>
        <w:tc>
          <w:tcPr>
            <w:tcW w:w="552" w:type="pct"/>
            <w:noWrap/>
            <w:hideMark/>
          </w:tcPr>
          <w:p w14:paraId="0817926B" w14:textId="77777777" w:rsidR="001A500E" w:rsidRPr="006420F6" w:rsidRDefault="001A500E" w:rsidP="001F3C85">
            <w:pPr>
              <w:jc w:val="center"/>
              <w:rPr>
                <w:sz w:val="14"/>
                <w:szCs w:val="14"/>
              </w:rPr>
            </w:pPr>
          </w:p>
        </w:tc>
        <w:tc>
          <w:tcPr>
            <w:tcW w:w="598" w:type="pct"/>
            <w:noWrap/>
            <w:hideMark/>
          </w:tcPr>
          <w:p w14:paraId="0B58D0D7" w14:textId="77777777" w:rsidR="001A500E" w:rsidRPr="006420F6" w:rsidRDefault="001A500E" w:rsidP="001F3C85">
            <w:pPr>
              <w:ind w:right="283"/>
              <w:jc w:val="right"/>
              <w:rPr>
                <w:sz w:val="14"/>
                <w:szCs w:val="14"/>
              </w:rPr>
            </w:pPr>
          </w:p>
        </w:tc>
      </w:tr>
      <w:tr w:rsidR="001A500E" w:rsidRPr="006420F6" w14:paraId="56B001A1" w14:textId="77777777" w:rsidTr="00EA596B">
        <w:tc>
          <w:tcPr>
            <w:tcW w:w="1177" w:type="pct"/>
            <w:noWrap/>
            <w:hideMark/>
          </w:tcPr>
          <w:p w14:paraId="50E0E672" w14:textId="77777777" w:rsidR="001A500E" w:rsidRPr="006420F6" w:rsidRDefault="001A500E" w:rsidP="001F3C85">
            <w:pPr>
              <w:jc w:val="left"/>
              <w:rPr>
                <w:color w:val="000000"/>
                <w:sz w:val="14"/>
                <w:szCs w:val="14"/>
              </w:rPr>
            </w:pPr>
            <w:bookmarkStart w:id="151" w:name="_Hlk106282677"/>
            <w:r>
              <w:rPr>
                <w:sz w:val="14"/>
              </w:rPr>
              <w:t>CAFTA</w:t>
            </w:r>
            <w:r w:rsidRPr="0060155B">
              <w:rPr>
                <w:sz w:val="14"/>
              </w:rPr>
              <w:noBreakHyphen/>
            </w:r>
            <w:proofErr w:type="spellStart"/>
            <w:r>
              <w:rPr>
                <w:sz w:val="14"/>
              </w:rPr>
              <w:t>DR</w:t>
            </w:r>
            <w:r>
              <w:rPr>
                <w:sz w:val="14"/>
                <w:vertAlign w:val="superscript"/>
              </w:rPr>
              <w:t>a</w:t>
            </w:r>
            <w:proofErr w:type="spellEnd"/>
          </w:p>
        </w:tc>
        <w:tc>
          <w:tcPr>
            <w:tcW w:w="392" w:type="pct"/>
            <w:noWrap/>
            <w:hideMark/>
          </w:tcPr>
          <w:p w14:paraId="5EF57FB9" w14:textId="77777777" w:rsidR="001A500E" w:rsidRPr="006420F6" w:rsidRDefault="001A500E" w:rsidP="001F3C85">
            <w:pPr>
              <w:jc w:val="right"/>
              <w:rPr>
                <w:color w:val="000000"/>
                <w:sz w:val="14"/>
                <w:szCs w:val="14"/>
              </w:rPr>
            </w:pPr>
            <w:r>
              <w:rPr>
                <w:color w:val="000000"/>
                <w:sz w:val="14"/>
              </w:rPr>
              <w:t>3,377</w:t>
            </w:r>
          </w:p>
        </w:tc>
        <w:tc>
          <w:tcPr>
            <w:tcW w:w="315" w:type="pct"/>
            <w:noWrap/>
            <w:hideMark/>
          </w:tcPr>
          <w:p w14:paraId="0B31D405" w14:textId="77777777" w:rsidR="001A500E" w:rsidRPr="006420F6" w:rsidRDefault="001A500E" w:rsidP="001F3C85">
            <w:pPr>
              <w:jc w:val="right"/>
              <w:rPr>
                <w:color w:val="000000"/>
                <w:sz w:val="14"/>
                <w:szCs w:val="14"/>
              </w:rPr>
            </w:pPr>
            <w:r>
              <w:rPr>
                <w:color w:val="000000"/>
                <w:sz w:val="14"/>
              </w:rPr>
              <w:t>46.6</w:t>
            </w:r>
          </w:p>
        </w:tc>
        <w:tc>
          <w:tcPr>
            <w:tcW w:w="354" w:type="pct"/>
            <w:noWrap/>
            <w:hideMark/>
          </w:tcPr>
          <w:p w14:paraId="119F884E" w14:textId="77777777" w:rsidR="001A500E" w:rsidRPr="006420F6" w:rsidRDefault="001A500E" w:rsidP="001F3C85">
            <w:pPr>
              <w:jc w:val="center"/>
              <w:rPr>
                <w:color w:val="000000"/>
                <w:sz w:val="14"/>
                <w:szCs w:val="14"/>
              </w:rPr>
            </w:pPr>
            <w:r>
              <w:rPr>
                <w:color w:val="000000"/>
                <w:sz w:val="14"/>
              </w:rPr>
              <w:t>0.0</w:t>
            </w:r>
          </w:p>
        </w:tc>
        <w:tc>
          <w:tcPr>
            <w:tcW w:w="433" w:type="pct"/>
            <w:noWrap/>
            <w:hideMark/>
          </w:tcPr>
          <w:p w14:paraId="303CCC90" w14:textId="77777777" w:rsidR="001A500E" w:rsidRPr="006420F6" w:rsidRDefault="001A500E" w:rsidP="001F3C85">
            <w:pPr>
              <w:jc w:val="center"/>
              <w:rPr>
                <w:color w:val="000000"/>
                <w:sz w:val="14"/>
                <w:szCs w:val="14"/>
              </w:rPr>
            </w:pPr>
            <w:r>
              <w:rPr>
                <w:color w:val="000000"/>
                <w:sz w:val="14"/>
              </w:rPr>
              <w:t>99.8</w:t>
            </w:r>
          </w:p>
        </w:tc>
        <w:tc>
          <w:tcPr>
            <w:tcW w:w="550" w:type="pct"/>
            <w:noWrap/>
            <w:hideMark/>
          </w:tcPr>
          <w:p w14:paraId="27807AF1" w14:textId="77777777" w:rsidR="001A500E" w:rsidRPr="006420F6" w:rsidRDefault="001A500E" w:rsidP="001F3C85">
            <w:pPr>
              <w:ind w:right="227"/>
              <w:jc w:val="right"/>
              <w:rPr>
                <w:color w:val="000000"/>
                <w:sz w:val="14"/>
                <w:szCs w:val="14"/>
              </w:rPr>
            </w:pPr>
            <w:r>
              <w:rPr>
                <w:color w:val="000000"/>
                <w:sz w:val="14"/>
              </w:rPr>
              <w:t>0.2</w:t>
            </w:r>
          </w:p>
        </w:tc>
        <w:tc>
          <w:tcPr>
            <w:tcW w:w="629" w:type="pct"/>
            <w:noWrap/>
            <w:hideMark/>
          </w:tcPr>
          <w:p w14:paraId="06F94619" w14:textId="77777777" w:rsidR="001A500E" w:rsidRPr="006420F6" w:rsidRDefault="001A500E" w:rsidP="001F3C85">
            <w:pPr>
              <w:jc w:val="center"/>
              <w:rPr>
                <w:color w:val="000000"/>
                <w:sz w:val="14"/>
                <w:szCs w:val="14"/>
              </w:rPr>
            </w:pPr>
            <w:r>
              <w:rPr>
                <w:color w:val="000000"/>
                <w:sz w:val="14"/>
              </w:rPr>
              <w:t>98.8</w:t>
            </w:r>
          </w:p>
        </w:tc>
        <w:tc>
          <w:tcPr>
            <w:tcW w:w="552" w:type="pct"/>
            <w:noWrap/>
            <w:hideMark/>
          </w:tcPr>
          <w:p w14:paraId="2402D8B1" w14:textId="77777777" w:rsidR="001A500E" w:rsidRPr="006420F6" w:rsidRDefault="001A500E" w:rsidP="001F3C85">
            <w:pPr>
              <w:jc w:val="center"/>
              <w:rPr>
                <w:color w:val="000000"/>
                <w:sz w:val="14"/>
                <w:szCs w:val="14"/>
              </w:rPr>
            </w:pPr>
            <w:r>
              <w:rPr>
                <w:color w:val="000000"/>
                <w:sz w:val="14"/>
              </w:rPr>
              <w:t>0.0</w:t>
            </w:r>
          </w:p>
        </w:tc>
        <w:tc>
          <w:tcPr>
            <w:tcW w:w="598" w:type="pct"/>
            <w:noWrap/>
            <w:hideMark/>
          </w:tcPr>
          <w:p w14:paraId="1C3FCD34" w14:textId="77777777" w:rsidR="001A500E" w:rsidRPr="006420F6" w:rsidRDefault="001A500E" w:rsidP="001F3C85">
            <w:pPr>
              <w:ind w:right="283"/>
              <w:jc w:val="right"/>
              <w:rPr>
                <w:color w:val="000000"/>
                <w:sz w:val="14"/>
                <w:szCs w:val="14"/>
              </w:rPr>
            </w:pPr>
            <w:r>
              <w:rPr>
                <w:color w:val="000000"/>
                <w:sz w:val="14"/>
              </w:rPr>
              <w:t>100.0</w:t>
            </w:r>
          </w:p>
        </w:tc>
      </w:tr>
      <w:tr w:rsidR="001A500E" w:rsidRPr="006420F6" w14:paraId="7EE89C3B" w14:textId="77777777" w:rsidTr="00EA596B">
        <w:trPr>
          <w:cnfStyle w:val="000000010000" w:firstRow="0" w:lastRow="0" w:firstColumn="0" w:lastColumn="0" w:oddVBand="0" w:evenVBand="0" w:oddHBand="0" w:evenHBand="1" w:firstRowFirstColumn="0" w:firstRowLastColumn="0" w:lastRowFirstColumn="0" w:lastRowLastColumn="0"/>
        </w:trPr>
        <w:tc>
          <w:tcPr>
            <w:tcW w:w="1177" w:type="pct"/>
            <w:noWrap/>
            <w:hideMark/>
          </w:tcPr>
          <w:p w14:paraId="393B711A" w14:textId="77777777" w:rsidR="001A500E" w:rsidRPr="006420F6" w:rsidRDefault="001A500E" w:rsidP="001F3C85">
            <w:pPr>
              <w:jc w:val="left"/>
              <w:rPr>
                <w:color w:val="000000"/>
                <w:sz w:val="14"/>
                <w:szCs w:val="14"/>
              </w:rPr>
            </w:pPr>
            <w:r>
              <w:rPr>
                <w:color w:val="000000"/>
                <w:sz w:val="14"/>
              </w:rPr>
              <w:t>CAFTA</w:t>
            </w:r>
            <w:r w:rsidRPr="0060155B">
              <w:rPr>
                <w:color w:val="000000"/>
                <w:sz w:val="14"/>
              </w:rPr>
              <w:noBreakHyphen/>
              <w:t>DR </w:t>
            </w:r>
            <w:r w:rsidRPr="0060155B">
              <w:rPr>
                <w:color w:val="000000"/>
                <w:sz w:val="14"/>
              </w:rPr>
              <w:noBreakHyphen/>
            </w:r>
            <w:r>
              <w:rPr>
                <w:color w:val="000000"/>
                <w:sz w:val="14"/>
              </w:rPr>
              <w:t xml:space="preserve"> Costa </w:t>
            </w:r>
            <w:proofErr w:type="spellStart"/>
            <w:r>
              <w:rPr>
                <w:color w:val="000000"/>
                <w:sz w:val="14"/>
              </w:rPr>
              <w:t>Rica</w:t>
            </w:r>
            <w:r>
              <w:rPr>
                <w:color w:val="000000"/>
                <w:sz w:val="14"/>
                <w:vertAlign w:val="superscript"/>
              </w:rPr>
              <w:t>a</w:t>
            </w:r>
            <w:proofErr w:type="spellEnd"/>
          </w:p>
        </w:tc>
        <w:tc>
          <w:tcPr>
            <w:tcW w:w="392" w:type="pct"/>
            <w:noWrap/>
            <w:hideMark/>
          </w:tcPr>
          <w:p w14:paraId="386ED6B3" w14:textId="77777777" w:rsidR="001A500E" w:rsidRPr="006420F6" w:rsidRDefault="001A500E" w:rsidP="001F3C85">
            <w:pPr>
              <w:jc w:val="right"/>
              <w:rPr>
                <w:color w:val="000000"/>
                <w:sz w:val="14"/>
                <w:szCs w:val="14"/>
              </w:rPr>
            </w:pPr>
            <w:r>
              <w:rPr>
                <w:color w:val="000000"/>
                <w:sz w:val="14"/>
              </w:rPr>
              <w:t>3,377</w:t>
            </w:r>
          </w:p>
        </w:tc>
        <w:tc>
          <w:tcPr>
            <w:tcW w:w="315" w:type="pct"/>
            <w:noWrap/>
            <w:hideMark/>
          </w:tcPr>
          <w:p w14:paraId="0F2F6C38" w14:textId="77777777" w:rsidR="001A500E" w:rsidRPr="006420F6" w:rsidRDefault="001A500E" w:rsidP="001F3C85">
            <w:pPr>
              <w:jc w:val="right"/>
              <w:rPr>
                <w:color w:val="000000"/>
                <w:sz w:val="14"/>
                <w:szCs w:val="14"/>
              </w:rPr>
            </w:pPr>
            <w:r>
              <w:rPr>
                <w:color w:val="000000"/>
                <w:sz w:val="14"/>
              </w:rPr>
              <w:t>46.6</w:t>
            </w:r>
          </w:p>
        </w:tc>
        <w:tc>
          <w:tcPr>
            <w:tcW w:w="354" w:type="pct"/>
            <w:noWrap/>
            <w:hideMark/>
          </w:tcPr>
          <w:p w14:paraId="295755FE" w14:textId="77777777" w:rsidR="001A500E" w:rsidRPr="006420F6" w:rsidRDefault="001A500E" w:rsidP="001F3C85">
            <w:pPr>
              <w:jc w:val="center"/>
              <w:rPr>
                <w:color w:val="000000"/>
                <w:sz w:val="14"/>
                <w:szCs w:val="14"/>
              </w:rPr>
            </w:pPr>
            <w:r>
              <w:rPr>
                <w:color w:val="000000"/>
                <w:sz w:val="14"/>
              </w:rPr>
              <w:t>0.1</w:t>
            </w:r>
          </w:p>
        </w:tc>
        <w:tc>
          <w:tcPr>
            <w:tcW w:w="433" w:type="pct"/>
            <w:noWrap/>
            <w:hideMark/>
          </w:tcPr>
          <w:p w14:paraId="168ACD37" w14:textId="77777777" w:rsidR="001A500E" w:rsidRPr="006420F6" w:rsidRDefault="001A500E" w:rsidP="001F3C85">
            <w:pPr>
              <w:jc w:val="center"/>
              <w:rPr>
                <w:color w:val="000000"/>
                <w:sz w:val="14"/>
                <w:szCs w:val="14"/>
              </w:rPr>
            </w:pPr>
            <w:r>
              <w:rPr>
                <w:color w:val="000000"/>
                <w:sz w:val="14"/>
              </w:rPr>
              <w:t>99.8</w:t>
            </w:r>
          </w:p>
        </w:tc>
        <w:tc>
          <w:tcPr>
            <w:tcW w:w="550" w:type="pct"/>
            <w:noWrap/>
            <w:hideMark/>
          </w:tcPr>
          <w:p w14:paraId="65EF6595" w14:textId="77777777" w:rsidR="001A500E" w:rsidRPr="006420F6" w:rsidRDefault="001A500E" w:rsidP="001F3C85">
            <w:pPr>
              <w:ind w:right="227"/>
              <w:jc w:val="right"/>
              <w:rPr>
                <w:color w:val="000000"/>
                <w:sz w:val="14"/>
                <w:szCs w:val="14"/>
              </w:rPr>
            </w:pPr>
            <w:r>
              <w:rPr>
                <w:color w:val="000000"/>
                <w:sz w:val="14"/>
              </w:rPr>
              <w:t>0.3</w:t>
            </w:r>
          </w:p>
        </w:tc>
        <w:tc>
          <w:tcPr>
            <w:tcW w:w="629" w:type="pct"/>
            <w:noWrap/>
            <w:hideMark/>
          </w:tcPr>
          <w:p w14:paraId="2C190495" w14:textId="77777777" w:rsidR="001A500E" w:rsidRPr="006420F6" w:rsidRDefault="001A500E" w:rsidP="001F3C85">
            <w:pPr>
              <w:jc w:val="center"/>
              <w:rPr>
                <w:color w:val="000000"/>
                <w:sz w:val="14"/>
                <w:szCs w:val="14"/>
              </w:rPr>
            </w:pPr>
            <w:r>
              <w:rPr>
                <w:color w:val="000000"/>
                <w:sz w:val="14"/>
              </w:rPr>
              <w:t>98.7</w:t>
            </w:r>
          </w:p>
        </w:tc>
        <w:tc>
          <w:tcPr>
            <w:tcW w:w="552" w:type="pct"/>
            <w:noWrap/>
            <w:hideMark/>
          </w:tcPr>
          <w:p w14:paraId="56D1A0D8" w14:textId="77777777" w:rsidR="001A500E" w:rsidRPr="006420F6" w:rsidRDefault="001A500E" w:rsidP="001F3C85">
            <w:pPr>
              <w:jc w:val="center"/>
              <w:rPr>
                <w:color w:val="000000"/>
                <w:sz w:val="14"/>
                <w:szCs w:val="14"/>
              </w:rPr>
            </w:pPr>
            <w:r>
              <w:rPr>
                <w:color w:val="000000"/>
                <w:sz w:val="14"/>
              </w:rPr>
              <w:t>0.0</w:t>
            </w:r>
          </w:p>
        </w:tc>
        <w:tc>
          <w:tcPr>
            <w:tcW w:w="598" w:type="pct"/>
            <w:noWrap/>
            <w:hideMark/>
          </w:tcPr>
          <w:p w14:paraId="43145AB5" w14:textId="77777777" w:rsidR="001A500E" w:rsidRPr="006420F6" w:rsidRDefault="001A500E" w:rsidP="001F3C85">
            <w:pPr>
              <w:ind w:right="283"/>
              <w:jc w:val="right"/>
              <w:rPr>
                <w:color w:val="000000"/>
                <w:sz w:val="14"/>
                <w:szCs w:val="14"/>
              </w:rPr>
            </w:pPr>
            <w:r>
              <w:rPr>
                <w:color w:val="000000"/>
                <w:sz w:val="14"/>
              </w:rPr>
              <w:t>100.0</w:t>
            </w:r>
          </w:p>
        </w:tc>
      </w:tr>
      <w:tr w:rsidR="001A500E" w:rsidRPr="006420F6" w14:paraId="037F72D3" w14:textId="77777777" w:rsidTr="00EA596B">
        <w:tc>
          <w:tcPr>
            <w:tcW w:w="1177" w:type="pct"/>
            <w:noWrap/>
            <w:hideMark/>
          </w:tcPr>
          <w:p w14:paraId="3CBE7267" w14:textId="77777777" w:rsidR="001A500E" w:rsidRPr="006420F6" w:rsidRDefault="001A500E" w:rsidP="001F3C85">
            <w:pPr>
              <w:jc w:val="left"/>
              <w:rPr>
                <w:color w:val="000000"/>
                <w:sz w:val="14"/>
                <w:szCs w:val="14"/>
              </w:rPr>
            </w:pPr>
            <w:r>
              <w:rPr>
                <w:sz w:val="14"/>
              </w:rPr>
              <w:t>CAFTA</w:t>
            </w:r>
            <w:r w:rsidRPr="0060155B">
              <w:rPr>
                <w:sz w:val="14"/>
              </w:rPr>
              <w:noBreakHyphen/>
              <w:t>DR </w:t>
            </w:r>
            <w:r w:rsidRPr="0060155B">
              <w:rPr>
                <w:color w:val="000000"/>
                <w:sz w:val="14"/>
              </w:rPr>
              <w:noBreakHyphen/>
            </w:r>
            <w:r>
              <w:rPr>
                <w:color w:val="000000"/>
                <w:sz w:val="14"/>
              </w:rPr>
              <w:t xml:space="preserve"> </w:t>
            </w:r>
            <w:proofErr w:type="spellStart"/>
            <w:r>
              <w:rPr>
                <w:color w:val="000000"/>
                <w:sz w:val="14"/>
              </w:rPr>
              <w:t>Nicaragua</w:t>
            </w:r>
            <w:r>
              <w:rPr>
                <w:color w:val="000000"/>
                <w:sz w:val="14"/>
                <w:vertAlign w:val="superscript"/>
              </w:rPr>
              <w:t>a</w:t>
            </w:r>
            <w:proofErr w:type="spellEnd"/>
          </w:p>
        </w:tc>
        <w:tc>
          <w:tcPr>
            <w:tcW w:w="392" w:type="pct"/>
            <w:noWrap/>
            <w:hideMark/>
          </w:tcPr>
          <w:p w14:paraId="7137B3B4" w14:textId="77777777" w:rsidR="001A500E" w:rsidRPr="006420F6" w:rsidRDefault="001A500E" w:rsidP="001F3C85">
            <w:pPr>
              <w:jc w:val="right"/>
              <w:rPr>
                <w:color w:val="000000"/>
                <w:sz w:val="14"/>
                <w:szCs w:val="14"/>
              </w:rPr>
            </w:pPr>
            <w:r>
              <w:rPr>
                <w:color w:val="000000"/>
                <w:sz w:val="14"/>
              </w:rPr>
              <w:t>3,377</w:t>
            </w:r>
          </w:p>
        </w:tc>
        <w:tc>
          <w:tcPr>
            <w:tcW w:w="315" w:type="pct"/>
            <w:noWrap/>
            <w:hideMark/>
          </w:tcPr>
          <w:p w14:paraId="00F5FBE0" w14:textId="77777777" w:rsidR="001A500E" w:rsidRPr="006420F6" w:rsidRDefault="001A500E" w:rsidP="001F3C85">
            <w:pPr>
              <w:jc w:val="right"/>
              <w:rPr>
                <w:color w:val="000000"/>
                <w:sz w:val="14"/>
                <w:szCs w:val="14"/>
              </w:rPr>
            </w:pPr>
            <w:r>
              <w:rPr>
                <w:color w:val="000000"/>
                <w:sz w:val="14"/>
              </w:rPr>
              <w:t>46.6</w:t>
            </w:r>
          </w:p>
        </w:tc>
        <w:tc>
          <w:tcPr>
            <w:tcW w:w="354" w:type="pct"/>
            <w:noWrap/>
            <w:hideMark/>
          </w:tcPr>
          <w:p w14:paraId="77CC8109" w14:textId="77777777" w:rsidR="001A500E" w:rsidRPr="006420F6" w:rsidRDefault="001A500E" w:rsidP="001F3C85">
            <w:pPr>
              <w:jc w:val="center"/>
              <w:rPr>
                <w:color w:val="000000"/>
                <w:sz w:val="14"/>
                <w:szCs w:val="14"/>
              </w:rPr>
            </w:pPr>
            <w:r>
              <w:rPr>
                <w:color w:val="000000"/>
                <w:sz w:val="14"/>
              </w:rPr>
              <w:t>0.1</w:t>
            </w:r>
          </w:p>
        </w:tc>
        <w:tc>
          <w:tcPr>
            <w:tcW w:w="433" w:type="pct"/>
            <w:noWrap/>
            <w:hideMark/>
          </w:tcPr>
          <w:p w14:paraId="7B7F2D1B" w14:textId="77777777" w:rsidR="001A500E" w:rsidRPr="006420F6" w:rsidRDefault="001A500E" w:rsidP="001F3C85">
            <w:pPr>
              <w:jc w:val="center"/>
              <w:rPr>
                <w:color w:val="000000"/>
                <w:sz w:val="14"/>
                <w:szCs w:val="14"/>
              </w:rPr>
            </w:pPr>
            <w:r>
              <w:rPr>
                <w:color w:val="000000"/>
                <w:sz w:val="14"/>
              </w:rPr>
              <w:t>99.7</w:t>
            </w:r>
          </w:p>
        </w:tc>
        <w:tc>
          <w:tcPr>
            <w:tcW w:w="550" w:type="pct"/>
            <w:noWrap/>
            <w:hideMark/>
          </w:tcPr>
          <w:p w14:paraId="58F24D55" w14:textId="77777777" w:rsidR="001A500E" w:rsidRPr="006420F6" w:rsidRDefault="001A500E" w:rsidP="001F3C85">
            <w:pPr>
              <w:ind w:right="227"/>
              <w:jc w:val="right"/>
              <w:rPr>
                <w:color w:val="000000"/>
                <w:sz w:val="14"/>
                <w:szCs w:val="14"/>
              </w:rPr>
            </w:pPr>
            <w:r>
              <w:rPr>
                <w:color w:val="000000"/>
                <w:sz w:val="14"/>
              </w:rPr>
              <w:t>0.4</w:t>
            </w:r>
          </w:p>
        </w:tc>
        <w:tc>
          <w:tcPr>
            <w:tcW w:w="629" w:type="pct"/>
            <w:noWrap/>
            <w:hideMark/>
          </w:tcPr>
          <w:p w14:paraId="628D9EB4" w14:textId="77777777" w:rsidR="001A500E" w:rsidRPr="006420F6" w:rsidRDefault="001A500E" w:rsidP="001F3C85">
            <w:pPr>
              <w:jc w:val="center"/>
              <w:rPr>
                <w:color w:val="000000"/>
                <w:sz w:val="14"/>
                <w:szCs w:val="14"/>
              </w:rPr>
            </w:pPr>
            <w:r>
              <w:rPr>
                <w:color w:val="000000"/>
                <w:sz w:val="14"/>
              </w:rPr>
              <w:t>98.3</w:t>
            </w:r>
          </w:p>
        </w:tc>
        <w:tc>
          <w:tcPr>
            <w:tcW w:w="552" w:type="pct"/>
            <w:noWrap/>
            <w:hideMark/>
          </w:tcPr>
          <w:p w14:paraId="6E0E3DA6" w14:textId="77777777" w:rsidR="001A500E" w:rsidRPr="006420F6" w:rsidRDefault="001A500E" w:rsidP="001F3C85">
            <w:pPr>
              <w:jc w:val="center"/>
              <w:rPr>
                <w:color w:val="000000"/>
                <w:sz w:val="14"/>
                <w:szCs w:val="14"/>
              </w:rPr>
            </w:pPr>
            <w:r>
              <w:rPr>
                <w:color w:val="000000"/>
                <w:sz w:val="14"/>
              </w:rPr>
              <w:t>0.0</w:t>
            </w:r>
          </w:p>
        </w:tc>
        <w:tc>
          <w:tcPr>
            <w:tcW w:w="598" w:type="pct"/>
            <w:noWrap/>
            <w:hideMark/>
          </w:tcPr>
          <w:p w14:paraId="335FF67A" w14:textId="77777777" w:rsidR="001A500E" w:rsidRPr="006420F6" w:rsidRDefault="001A500E" w:rsidP="001F3C85">
            <w:pPr>
              <w:ind w:right="283"/>
              <w:jc w:val="right"/>
              <w:rPr>
                <w:color w:val="000000"/>
                <w:sz w:val="14"/>
                <w:szCs w:val="14"/>
              </w:rPr>
            </w:pPr>
            <w:r>
              <w:rPr>
                <w:color w:val="000000"/>
                <w:sz w:val="14"/>
              </w:rPr>
              <w:t>100.0</w:t>
            </w:r>
          </w:p>
        </w:tc>
      </w:tr>
      <w:tr w:rsidR="001A500E" w:rsidRPr="006420F6" w14:paraId="6E6643BD" w14:textId="77777777" w:rsidTr="00EA596B">
        <w:trPr>
          <w:cnfStyle w:val="000000010000" w:firstRow="0" w:lastRow="0" w:firstColumn="0" w:lastColumn="0" w:oddVBand="0" w:evenVBand="0" w:oddHBand="0" w:evenHBand="1" w:firstRowFirstColumn="0" w:firstRowLastColumn="0" w:lastRowFirstColumn="0" w:lastRowLastColumn="0"/>
        </w:trPr>
        <w:tc>
          <w:tcPr>
            <w:tcW w:w="1177" w:type="pct"/>
            <w:noWrap/>
            <w:hideMark/>
          </w:tcPr>
          <w:p w14:paraId="4B64CD96" w14:textId="77777777" w:rsidR="001A500E" w:rsidRPr="006420F6" w:rsidRDefault="001A500E" w:rsidP="001F3C85">
            <w:pPr>
              <w:jc w:val="left"/>
              <w:rPr>
                <w:color w:val="000000"/>
                <w:sz w:val="14"/>
                <w:szCs w:val="14"/>
              </w:rPr>
            </w:pPr>
            <w:r>
              <w:rPr>
                <w:sz w:val="14"/>
              </w:rPr>
              <w:t>CAFTA</w:t>
            </w:r>
            <w:r w:rsidRPr="0060155B">
              <w:rPr>
                <w:sz w:val="14"/>
              </w:rPr>
              <w:noBreakHyphen/>
              <w:t>DR </w:t>
            </w:r>
            <w:r w:rsidRPr="0060155B">
              <w:rPr>
                <w:color w:val="000000"/>
                <w:sz w:val="14"/>
              </w:rPr>
              <w:noBreakHyphen/>
            </w:r>
            <w:r>
              <w:rPr>
                <w:color w:val="000000"/>
                <w:sz w:val="14"/>
              </w:rPr>
              <w:t xml:space="preserve"> United </w:t>
            </w:r>
            <w:proofErr w:type="spellStart"/>
            <w:r>
              <w:rPr>
                <w:color w:val="000000"/>
                <w:sz w:val="14"/>
              </w:rPr>
              <w:t>States</w:t>
            </w:r>
            <w:r>
              <w:rPr>
                <w:color w:val="000000"/>
                <w:sz w:val="14"/>
                <w:vertAlign w:val="superscript"/>
              </w:rPr>
              <w:t>a</w:t>
            </w:r>
            <w:proofErr w:type="spellEnd"/>
          </w:p>
        </w:tc>
        <w:tc>
          <w:tcPr>
            <w:tcW w:w="392" w:type="pct"/>
            <w:noWrap/>
            <w:hideMark/>
          </w:tcPr>
          <w:p w14:paraId="752FD186" w14:textId="77777777" w:rsidR="001A500E" w:rsidRPr="006420F6" w:rsidRDefault="001A500E" w:rsidP="001F3C85">
            <w:pPr>
              <w:jc w:val="right"/>
              <w:rPr>
                <w:color w:val="000000"/>
                <w:sz w:val="14"/>
                <w:szCs w:val="14"/>
              </w:rPr>
            </w:pPr>
            <w:r>
              <w:rPr>
                <w:color w:val="000000"/>
                <w:sz w:val="14"/>
              </w:rPr>
              <w:t>3,377</w:t>
            </w:r>
          </w:p>
        </w:tc>
        <w:tc>
          <w:tcPr>
            <w:tcW w:w="315" w:type="pct"/>
            <w:noWrap/>
            <w:hideMark/>
          </w:tcPr>
          <w:p w14:paraId="4686004F" w14:textId="77777777" w:rsidR="001A500E" w:rsidRPr="006420F6" w:rsidRDefault="001A500E" w:rsidP="001F3C85">
            <w:pPr>
              <w:jc w:val="right"/>
              <w:rPr>
                <w:color w:val="000000"/>
                <w:sz w:val="14"/>
                <w:szCs w:val="14"/>
              </w:rPr>
            </w:pPr>
            <w:r>
              <w:rPr>
                <w:color w:val="000000"/>
                <w:sz w:val="14"/>
              </w:rPr>
              <w:t>46.6</w:t>
            </w:r>
          </w:p>
        </w:tc>
        <w:tc>
          <w:tcPr>
            <w:tcW w:w="354" w:type="pct"/>
            <w:noWrap/>
            <w:hideMark/>
          </w:tcPr>
          <w:p w14:paraId="1DC6AFA4" w14:textId="77777777" w:rsidR="001A500E" w:rsidRPr="006420F6" w:rsidRDefault="001A500E" w:rsidP="001F3C85">
            <w:pPr>
              <w:jc w:val="center"/>
              <w:rPr>
                <w:color w:val="000000"/>
                <w:sz w:val="14"/>
                <w:szCs w:val="14"/>
              </w:rPr>
            </w:pPr>
            <w:r>
              <w:rPr>
                <w:color w:val="000000"/>
                <w:sz w:val="14"/>
              </w:rPr>
              <w:t>0.0</w:t>
            </w:r>
          </w:p>
        </w:tc>
        <w:tc>
          <w:tcPr>
            <w:tcW w:w="433" w:type="pct"/>
            <w:noWrap/>
            <w:hideMark/>
          </w:tcPr>
          <w:p w14:paraId="6A4CF15B" w14:textId="77777777" w:rsidR="001A500E" w:rsidRPr="006420F6" w:rsidRDefault="001A500E" w:rsidP="001F3C85">
            <w:pPr>
              <w:jc w:val="center"/>
              <w:rPr>
                <w:color w:val="000000"/>
                <w:sz w:val="14"/>
                <w:szCs w:val="14"/>
              </w:rPr>
            </w:pPr>
            <w:r>
              <w:rPr>
                <w:color w:val="000000"/>
                <w:sz w:val="14"/>
              </w:rPr>
              <w:t>99.8</w:t>
            </w:r>
          </w:p>
        </w:tc>
        <w:tc>
          <w:tcPr>
            <w:tcW w:w="550" w:type="pct"/>
            <w:noWrap/>
            <w:hideMark/>
          </w:tcPr>
          <w:p w14:paraId="24D4148A" w14:textId="77777777" w:rsidR="001A500E" w:rsidRPr="006420F6" w:rsidRDefault="001A500E" w:rsidP="001F3C85">
            <w:pPr>
              <w:ind w:right="227"/>
              <w:jc w:val="right"/>
              <w:rPr>
                <w:color w:val="000000"/>
                <w:sz w:val="14"/>
                <w:szCs w:val="14"/>
              </w:rPr>
            </w:pPr>
            <w:r>
              <w:rPr>
                <w:color w:val="000000"/>
                <w:sz w:val="14"/>
              </w:rPr>
              <w:t>0.3</w:t>
            </w:r>
          </w:p>
        </w:tc>
        <w:tc>
          <w:tcPr>
            <w:tcW w:w="629" w:type="pct"/>
            <w:noWrap/>
            <w:hideMark/>
          </w:tcPr>
          <w:p w14:paraId="7724BBDC" w14:textId="77777777" w:rsidR="001A500E" w:rsidRPr="006420F6" w:rsidRDefault="001A500E" w:rsidP="001F3C85">
            <w:pPr>
              <w:jc w:val="center"/>
              <w:rPr>
                <w:color w:val="000000"/>
                <w:sz w:val="14"/>
                <w:szCs w:val="14"/>
              </w:rPr>
            </w:pPr>
            <w:r>
              <w:rPr>
                <w:color w:val="000000"/>
                <w:sz w:val="14"/>
              </w:rPr>
              <w:t>98.8</w:t>
            </w:r>
          </w:p>
        </w:tc>
        <w:tc>
          <w:tcPr>
            <w:tcW w:w="552" w:type="pct"/>
            <w:noWrap/>
            <w:hideMark/>
          </w:tcPr>
          <w:p w14:paraId="5747DCEF" w14:textId="77777777" w:rsidR="001A500E" w:rsidRPr="006420F6" w:rsidRDefault="001A500E" w:rsidP="001F3C85">
            <w:pPr>
              <w:jc w:val="center"/>
              <w:rPr>
                <w:color w:val="000000"/>
                <w:sz w:val="14"/>
                <w:szCs w:val="14"/>
              </w:rPr>
            </w:pPr>
            <w:r>
              <w:rPr>
                <w:color w:val="000000"/>
                <w:sz w:val="14"/>
              </w:rPr>
              <w:t>0.0</w:t>
            </w:r>
          </w:p>
        </w:tc>
        <w:tc>
          <w:tcPr>
            <w:tcW w:w="598" w:type="pct"/>
            <w:noWrap/>
            <w:hideMark/>
          </w:tcPr>
          <w:p w14:paraId="7AF399F5" w14:textId="77777777" w:rsidR="001A500E" w:rsidRPr="006420F6" w:rsidRDefault="001A500E" w:rsidP="001F3C85">
            <w:pPr>
              <w:ind w:right="283"/>
              <w:jc w:val="right"/>
              <w:rPr>
                <w:color w:val="000000"/>
                <w:sz w:val="14"/>
                <w:szCs w:val="14"/>
              </w:rPr>
            </w:pPr>
            <w:r>
              <w:rPr>
                <w:color w:val="000000"/>
                <w:sz w:val="14"/>
              </w:rPr>
              <w:t>100.0</w:t>
            </w:r>
          </w:p>
        </w:tc>
      </w:tr>
      <w:tr w:rsidR="001A500E" w:rsidRPr="006420F6" w14:paraId="73D110A0" w14:textId="77777777" w:rsidTr="00EA596B">
        <w:tc>
          <w:tcPr>
            <w:tcW w:w="1177" w:type="pct"/>
            <w:noWrap/>
            <w:hideMark/>
          </w:tcPr>
          <w:p w14:paraId="64418DB0" w14:textId="77777777" w:rsidR="001A500E" w:rsidRPr="006420F6" w:rsidRDefault="001A500E" w:rsidP="001F3C85">
            <w:pPr>
              <w:jc w:val="left"/>
              <w:rPr>
                <w:color w:val="000000"/>
                <w:sz w:val="14"/>
                <w:szCs w:val="14"/>
              </w:rPr>
            </w:pPr>
            <w:r>
              <w:rPr>
                <w:color w:val="000000"/>
                <w:sz w:val="14"/>
              </w:rPr>
              <w:t>CARICOM</w:t>
            </w:r>
          </w:p>
        </w:tc>
        <w:tc>
          <w:tcPr>
            <w:tcW w:w="392" w:type="pct"/>
            <w:noWrap/>
            <w:hideMark/>
          </w:tcPr>
          <w:p w14:paraId="41E585A9" w14:textId="77777777" w:rsidR="001A500E" w:rsidRPr="006420F6" w:rsidRDefault="001A500E" w:rsidP="001F3C85">
            <w:pPr>
              <w:jc w:val="right"/>
              <w:rPr>
                <w:color w:val="000000"/>
                <w:sz w:val="14"/>
                <w:szCs w:val="14"/>
              </w:rPr>
            </w:pPr>
            <w:r>
              <w:rPr>
                <w:color w:val="000000"/>
                <w:sz w:val="14"/>
              </w:rPr>
              <w:t>3,014</w:t>
            </w:r>
          </w:p>
        </w:tc>
        <w:tc>
          <w:tcPr>
            <w:tcW w:w="315" w:type="pct"/>
            <w:noWrap/>
            <w:hideMark/>
          </w:tcPr>
          <w:p w14:paraId="1D456D61" w14:textId="77777777" w:rsidR="001A500E" w:rsidRPr="006420F6" w:rsidRDefault="001A500E" w:rsidP="001F3C85">
            <w:pPr>
              <w:jc w:val="right"/>
              <w:rPr>
                <w:color w:val="000000"/>
                <w:sz w:val="14"/>
                <w:szCs w:val="14"/>
              </w:rPr>
            </w:pPr>
            <w:r>
              <w:rPr>
                <w:color w:val="000000"/>
                <w:sz w:val="14"/>
              </w:rPr>
              <w:t>41.6</w:t>
            </w:r>
          </w:p>
        </w:tc>
        <w:tc>
          <w:tcPr>
            <w:tcW w:w="354" w:type="pct"/>
            <w:noWrap/>
            <w:hideMark/>
          </w:tcPr>
          <w:p w14:paraId="0B81D292" w14:textId="77777777" w:rsidR="001A500E" w:rsidRPr="006420F6" w:rsidRDefault="001A500E" w:rsidP="001F3C85">
            <w:pPr>
              <w:jc w:val="center"/>
              <w:rPr>
                <w:color w:val="000000"/>
                <w:sz w:val="14"/>
                <w:szCs w:val="14"/>
              </w:rPr>
            </w:pPr>
            <w:r>
              <w:rPr>
                <w:color w:val="000000"/>
                <w:sz w:val="14"/>
              </w:rPr>
              <w:t>1.2</w:t>
            </w:r>
          </w:p>
        </w:tc>
        <w:tc>
          <w:tcPr>
            <w:tcW w:w="433" w:type="pct"/>
            <w:noWrap/>
            <w:hideMark/>
          </w:tcPr>
          <w:p w14:paraId="0E77E496" w14:textId="77777777" w:rsidR="001A500E" w:rsidRPr="006420F6" w:rsidRDefault="001A500E" w:rsidP="001F3C85">
            <w:pPr>
              <w:jc w:val="center"/>
              <w:rPr>
                <w:color w:val="000000"/>
                <w:sz w:val="14"/>
                <w:szCs w:val="14"/>
              </w:rPr>
            </w:pPr>
            <w:r>
              <w:rPr>
                <w:color w:val="000000"/>
                <w:sz w:val="14"/>
              </w:rPr>
              <w:t>95.0</w:t>
            </w:r>
          </w:p>
        </w:tc>
        <w:tc>
          <w:tcPr>
            <w:tcW w:w="550" w:type="pct"/>
            <w:noWrap/>
            <w:hideMark/>
          </w:tcPr>
          <w:p w14:paraId="28891527" w14:textId="77777777" w:rsidR="001A500E" w:rsidRPr="006420F6" w:rsidRDefault="001A500E" w:rsidP="001F3C85">
            <w:pPr>
              <w:ind w:right="227"/>
              <w:jc w:val="right"/>
              <w:rPr>
                <w:color w:val="000000"/>
                <w:sz w:val="14"/>
                <w:szCs w:val="14"/>
              </w:rPr>
            </w:pPr>
            <w:r>
              <w:rPr>
                <w:color w:val="000000"/>
                <w:sz w:val="14"/>
              </w:rPr>
              <w:t>3.9</w:t>
            </w:r>
          </w:p>
        </w:tc>
        <w:tc>
          <w:tcPr>
            <w:tcW w:w="629" w:type="pct"/>
            <w:noWrap/>
            <w:hideMark/>
          </w:tcPr>
          <w:p w14:paraId="2DFD37A9" w14:textId="77777777" w:rsidR="001A500E" w:rsidRPr="006420F6" w:rsidRDefault="001A500E" w:rsidP="001F3C85">
            <w:pPr>
              <w:jc w:val="center"/>
              <w:rPr>
                <w:color w:val="000000"/>
                <w:sz w:val="14"/>
                <w:szCs w:val="14"/>
              </w:rPr>
            </w:pPr>
            <w:r>
              <w:rPr>
                <w:color w:val="000000"/>
                <w:sz w:val="14"/>
              </w:rPr>
              <w:t>87.3</w:t>
            </w:r>
          </w:p>
        </w:tc>
        <w:tc>
          <w:tcPr>
            <w:tcW w:w="552" w:type="pct"/>
            <w:noWrap/>
            <w:hideMark/>
          </w:tcPr>
          <w:p w14:paraId="664D149A" w14:textId="77777777" w:rsidR="001A500E" w:rsidRPr="006420F6" w:rsidRDefault="001A500E" w:rsidP="001F3C85">
            <w:pPr>
              <w:jc w:val="center"/>
              <w:rPr>
                <w:color w:val="000000"/>
                <w:sz w:val="14"/>
                <w:szCs w:val="14"/>
              </w:rPr>
            </w:pPr>
            <w:r>
              <w:rPr>
                <w:color w:val="000000"/>
                <w:sz w:val="14"/>
              </w:rPr>
              <w:t>0.7</w:t>
            </w:r>
          </w:p>
        </w:tc>
        <w:tc>
          <w:tcPr>
            <w:tcW w:w="598" w:type="pct"/>
            <w:noWrap/>
            <w:hideMark/>
          </w:tcPr>
          <w:p w14:paraId="361C395A" w14:textId="77777777" w:rsidR="001A500E" w:rsidRPr="006420F6" w:rsidRDefault="001A500E" w:rsidP="001F3C85">
            <w:pPr>
              <w:ind w:right="283"/>
              <w:jc w:val="right"/>
              <w:rPr>
                <w:color w:val="000000"/>
                <w:sz w:val="14"/>
                <w:szCs w:val="14"/>
              </w:rPr>
            </w:pPr>
            <w:r>
              <w:rPr>
                <w:color w:val="000000"/>
                <w:sz w:val="14"/>
              </w:rPr>
              <w:t>96.4</w:t>
            </w:r>
          </w:p>
        </w:tc>
      </w:tr>
      <w:tr w:rsidR="001A500E" w:rsidRPr="006420F6" w14:paraId="3155D13F" w14:textId="77777777" w:rsidTr="00EA596B">
        <w:trPr>
          <w:cnfStyle w:val="000000010000" w:firstRow="0" w:lastRow="0" w:firstColumn="0" w:lastColumn="0" w:oddVBand="0" w:evenVBand="0" w:oddHBand="0" w:evenHBand="1" w:firstRowFirstColumn="0" w:firstRowLastColumn="0" w:lastRowFirstColumn="0" w:lastRowLastColumn="0"/>
        </w:trPr>
        <w:tc>
          <w:tcPr>
            <w:tcW w:w="1177" w:type="pct"/>
            <w:noWrap/>
            <w:hideMark/>
          </w:tcPr>
          <w:p w14:paraId="3677CFA6" w14:textId="77777777" w:rsidR="001A500E" w:rsidRPr="006420F6" w:rsidRDefault="001A500E" w:rsidP="001F3C85">
            <w:pPr>
              <w:jc w:val="left"/>
              <w:rPr>
                <w:color w:val="000000"/>
                <w:sz w:val="14"/>
                <w:szCs w:val="14"/>
              </w:rPr>
            </w:pPr>
            <w:r>
              <w:rPr>
                <w:color w:val="000000"/>
                <w:sz w:val="14"/>
              </w:rPr>
              <w:t>Central America</w:t>
            </w:r>
          </w:p>
        </w:tc>
        <w:tc>
          <w:tcPr>
            <w:tcW w:w="392" w:type="pct"/>
            <w:noWrap/>
            <w:hideMark/>
          </w:tcPr>
          <w:p w14:paraId="2D65E128" w14:textId="77777777" w:rsidR="001A500E" w:rsidRPr="006420F6" w:rsidRDefault="001A500E" w:rsidP="001F3C85">
            <w:pPr>
              <w:jc w:val="right"/>
              <w:rPr>
                <w:color w:val="000000"/>
                <w:sz w:val="14"/>
                <w:szCs w:val="14"/>
              </w:rPr>
            </w:pPr>
            <w:r>
              <w:rPr>
                <w:color w:val="000000"/>
                <w:sz w:val="14"/>
              </w:rPr>
              <w:t>2,986</w:t>
            </w:r>
          </w:p>
        </w:tc>
        <w:tc>
          <w:tcPr>
            <w:tcW w:w="315" w:type="pct"/>
            <w:noWrap/>
            <w:hideMark/>
          </w:tcPr>
          <w:p w14:paraId="387B8ACE" w14:textId="77777777" w:rsidR="001A500E" w:rsidRPr="006420F6" w:rsidRDefault="001A500E" w:rsidP="001F3C85">
            <w:pPr>
              <w:jc w:val="right"/>
              <w:rPr>
                <w:color w:val="000000"/>
                <w:sz w:val="14"/>
                <w:szCs w:val="14"/>
              </w:rPr>
            </w:pPr>
            <w:r>
              <w:rPr>
                <w:color w:val="000000"/>
                <w:sz w:val="14"/>
              </w:rPr>
              <w:t>41.2</w:t>
            </w:r>
          </w:p>
        </w:tc>
        <w:tc>
          <w:tcPr>
            <w:tcW w:w="354" w:type="pct"/>
            <w:noWrap/>
            <w:hideMark/>
          </w:tcPr>
          <w:p w14:paraId="7688E16A" w14:textId="77777777" w:rsidR="001A500E" w:rsidRPr="006420F6" w:rsidRDefault="001A500E" w:rsidP="001F3C85">
            <w:pPr>
              <w:jc w:val="center"/>
              <w:rPr>
                <w:color w:val="000000"/>
                <w:sz w:val="14"/>
                <w:szCs w:val="14"/>
              </w:rPr>
            </w:pPr>
            <w:r>
              <w:rPr>
                <w:color w:val="000000"/>
                <w:sz w:val="14"/>
              </w:rPr>
              <w:t>1.3</w:t>
            </w:r>
          </w:p>
        </w:tc>
        <w:tc>
          <w:tcPr>
            <w:tcW w:w="433" w:type="pct"/>
            <w:noWrap/>
            <w:hideMark/>
          </w:tcPr>
          <w:p w14:paraId="7C3CA4E0" w14:textId="77777777" w:rsidR="001A500E" w:rsidRPr="006420F6" w:rsidRDefault="001A500E" w:rsidP="001F3C85">
            <w:pPr>
              <w:jc w:val="center"/>
              <w:rPr>
                <w:color w:val="000000"/>
                <w:sz w:val="14"/>
                <w:szCs w:val="14"/>
              </w:rPr>
            </w:pPr>
            <w:r>
              <w:rPr>
                <w:color w:val="000000"/>
                <w:sz w:val="14"/>
              </w:rPr>
              <w:t>94.3</w:t>
            </w:r>
          </w:p>
        </w:tc>
        <w:tc>
          <w:tcPr>
            <w:tcW w:w="550" w:type="pct"/>
            <w:noWrap/>
            <w:hideMark/>
          </w:tcPr>
          <w:p w14:paraId="3D8E31DE" w14:textId="77777777" w:rsidR="001A500E" w:rsidRPr="006420F6" w:rsidRDefault="001A500E" w:rsidP="001F3C85">
            <w:pPr>
              <w:ind w:right="227"/>
              <w:jc w:val="right"/>
              <w:rPr>
                <w:color w:val="000000"/>
                <w:sz w:val="14"/>
                <w:szCs w:val="14"/>
              </w:rPr>
            </w:pPr>
            <w:r>
              <w:rPr>
                <w:color w:val="000000"/>
                <w:sz w:val="14"/>
              </w:rPr>
              <w:t>3.0</w:t>
            </w:r>
          </w:p>
        </w:tc>
        <w:tc>
          <w:tcPr>
            <w:tcW w:w="629" w:type="pct"/>
            <w:noWrap/>
            <w:hideMark/>
          </w:tcPr>
          <w:p w14:paraId="131BDB4E" w14:textId="77777777" w:rsidR="001A500E" w:rsidRPr="006420F6" w:rsidRDefault="001A500E" w:rsidP="001F3C85">
            <w:pPr>
              <w:jc w:val="center"/>
              <w:rPr>
                <w:color w:val="000000"/>
                <w:sz w:val="14"/>
                <w:szCs w:val="14"/>
              </w:rPr>
            </w:pPr>
            <w:r>
              <w:rPr>
                <w:color w:val="000000"/>
                <w:sz w:val="14"/>
              </w:rPr>
              <w:t>91.2</w:t>
            </w:r>
          </w:p>
        </w:tc>
        <w:tc>
          <w:tcPr>
            <w:tcW w:w="552" w:type="pct"/>
            <w:noWrap/>
            <w:hideMark/>
          </w:tcPr>
          <w:p w14:paraId="2EB90805" w14:textId="77777777" w:rsidR="001A500E" w:rsidRPr="006420F6" w:rsidRDefault="001A500E" w:rsidP="001F3C85">
            <w:pPr>
              <w:jc w:val="center"/>
              <w:rPr>
                <w:color w:val="000000"/>
                <w:sz w:val="14"/>
                <w:szCs w:val="14"/>
              </w:rPr>
            </w:pPr>
            <w:r>
              <w:rPr>
                <w:color w:val="000000"/>
                <w:sz w:val="14"/>
              </w:rPr>
              <w:t>1.0</w:t>
            </w:r>
          </w:p>
        </w:tc>
        <w:tc>
          <w:tcPr>
            <w:tcW w:w="598" w:type="pct"/>
            <w:noWrap/>
            <w:hideMark/>
          </w:tcPr>
          <w:p w14:paraId="0B7562A3" w14:textId="77777777" w:rsidR="001A500E" w:rsidRPr="006420F6" w:rsidRDefault="001A500E" w:rsidP="001F3C85">
            <w:pPr>
              <w:ind w:right="283"/>
              <w:jc w:val="right"/>
              <w:rPr>
                <w:color w:val="000000"/>
                <w:sz w:val="14"/>
                <w:szCs w:val="14"/>
              </w:rPr>
            </w:pPr>
            <w:r>
              <w:rPr>
                <w:color w:val="000000"/>
                <w:sz w:val="14"/>
              </w:rPr>
              <w:t>94.9</w:t>
            </w:r>
          </w:p>
        </w:tc>
      </w:tr>
      <w:tr w:rsidR="001A500E" w:rsidRPr="006420F6" w14:paraId="7A67AEDA" w14:textId="77777777" w:rsidTr="00EA596B">
        <w:tc>
          <w:tcPr>
            <w:tcW w:w="1177" w:type="pct"/>
            <w:noWrap/>
            <w:hideMark/>
          </w:tcPr>
          <w:p w14:paraId="4449230C" w14:textId="77777777" w:rsidR="001A500E" w:rsidRPr="006420F6" w:rsidRDefault="001A500E" w:rsidP="001F3C85">
            <w:pPr>
              <w:jc w:val="left"/>
              <w:rPr>
                <w:color w:val="000000"/>
                <w:sz w:val="14"/>
                <w:szCs w:val="14"/>
              </w:rPr>
            </w:pPr>
            <w:proofErr w:type="spellStart"/>
            <w:r>
              <w:rPr>
                <w:color w:val="000000"/>
                <w:sz w:val="14"/>
              </w:rPr>
              <w:t>EPA</w:t>
            </w:r>
            <w:r>
              <w:rPr>
                <w:color w:val="000000"/>
                <w:sz w:val="14"/>
                <w:vertAlign w:val="superscript"/>
              </w:rPr>
              <w:t>a</w:t>
            </w:r>
            <w:proofErr w:type="spellEnd"/>
          </w:p>
        </w:tc>
        <w:tc>
          <w:tcPr>
            <w:tcW w:w="392" w:type="pct"/>
            <w:noWrap/>
            <w:hideMark/>
          </w:tcPr>
          <w:p w14:paraId="44D24FF0" w14:textId="77777777" w:rsidR="001A500E" w:rsidRPr="006420F6" w:rsidRDefault="001A500E" w:rsidP="001F3C85">
            <w:pPr>
              <w:jc w:val="right"/>
              <w:rPr>
                <w:color w:val="000000"/>
                <w:sz w:val="14"/>
                <w:szCs w:val="14"/>
              </w:rPr>
            </w:pPr>
            <w:r>
              <w:rPr>
                <w:color w:val="000000"/>
                <w:sz w:val="14"/>
              </w:rPr>
              <w:t>2,640</w:t>
            </w:r>
          </w:p>
        </w:tc>
        <w:tc>
          <w:tcPr>
            <w:tcW w:w="315" w:type="pct"/>
            <w:noWrap/>
            <w:hideMark/>
          </w:tcPr>
          <w:p w14:paraId="53517617" w14:textId="77777777" w:rsidR="001A500E" w:rsidRPr="006420F6" w:rsidRDefault="001A500E" w:rsidP="001F3C85">
            <w:pPr>
              <w:jc w:val="right"/>
              <w:rPr>
                <w:color w:val="000000"/>
                <w:sz w:val="14"/>
                <w:szCs w:val="14"/>
              </w:rPr>
            </w:pPr>
            <w:r>
              <w:rPr>
                <w:color w:val="000000"/>
                <w:sz w:val="14"/>
              </w:rPr>
              <w:t>36.5</w:t>
            </w:r>
          </w:p>
        </w:tc>
        <w:tc>
          <w:tcPr>
            <w:tcW w:w="354" w:type="pct"/>
            <w:noWrap/>
            <w:hideMark/>
          </w:tcPr>
          <w:p w14:paraId="772C2A44" w14:textId="77777777" w:rsidR="001A500E" w:rsidRPr="006420F6" w:rsidRDefault="001A500E" w:rsidP="001F3C85">
            <w:pPr>
              <w:jc w:val="center"/>
              <w:rPr>
                <w:color w:val="000000"/>
                <w:sz w:val="14"/>
                <w:szCs w:val="14"/>
              </w:rPr>
            </w:pPr>
            <w:r>
              <w:rPr>
                <w:color w:val="000000"/>
                <w:sz w:val="14"/>
              </w:rPr>
              <w:t>2.8</w:t>
            </w:r>
          </w:p>
        </w:tc>
        <w:tc>
          <w:tcPr>
            <w:tcW w:w="433" w:type="pct"/>
            <w:noWrap/>
            <w:hideMark/>
          </w:tcPr>
          <w:p w14:paraId="745E71B4" w14:textId="77777777" w:rsidR="001A500E" w:rsidRPr="006420F6" w:rsidRDefault="001A500E" w:rsidP="001F3C85">
            <w:pPr>
              <w:jc w:val="center"/>
              <w:rPr>
                <w:color w:val="000000"/>
                <w:sz w:val="14"/>
                <w:szCs w:val="14"/>
              </w:rPr>
            </w:pPr>
            <w:r>
              <w:rPr>
                <w:color w:val="000000"/>
                <w:sz w:val="14"/>
              </w:rPr>
              <w:t>75.8</w:t>
            </w:r>
          </w:p>
        </w:tc>
        <w:tc>
          <w:tcPr>
            <w:tcW w:w="550" w:type="pct"/>
            <w:noWrap/>
            <w:hideMark/>
          </w:tcPr>
          <w:p w14:paraId="663D0218" w14:textId="77777777" w:rsidR="001A500E" w:rsidRPr="006420F6" w:rsidRDefault="001A500E" w:rsidP="001F3C85">
            <w:pPr>
              <w:ind w:right="227"/>
              <w:jc w:val="right"/>
              <w:rPr>
                <w:color w:val="000000"/>
                <w:sz w:val="14"/>
                <w:szCs w:val="14"/>
              </w:rPr>
            </w:pPr>
            <w:r>
              <w:rPr>
                <w:color w:val="000000"/>
                <w:sz w:val="14"/>
              </w:rPr>
              <w:t>9.5</w:t>
            </w:r>
          </w:p>
        </w:tc>
        <w:tc>
          <w:tcPr>
            <w:tcW w:w="629" w:type="pct"/>
            <w:noWrap/>
            <w:hideMark/>
          </w:tcPr>
          <w:p w14:paraId="4D864EB9" w14:textId="77777777" w:rsidR="001A500E" w:rsidRPr="006420F6" w:rsidRDefault="001A500E" w:rsidP="001F3C85">
            <w:pPr>
              <w:jc w:val="center"/>
              <w:rPr>
                <w:color w:val="000000"/>
                <w:sz w:val="14"/>
                <w:szCs w:val="14"/>
              </w:rPr>
            </w:pPr>
            <w:r>
              <w:rPr>
                <w:color w:val="000000"/>
                <w:sz w:val="14"/>
              </w:rPr>
              <w:t>48.0</w:t>
            </w:r>
          </w:p>
        </w:tc>
        <w:tc>
          <w:tcPr>
            <w:tcW w:w="552" w:type="pct"/>
            <w:noWrap/>
            <w:hideMark/>
          </w:tcPr>
          <w:p w14:paraId="348700A6" w14:textId="77777777" w:rsidR="001A500E" w:rsidRPr="006420F6" w:rsidRDefault="001A500E" w:rsidP="001F3C85">
            <w:pPr>
              <w:jc w:val="center"/>
              <w:rPr>
                <w:color w:val="000000"/>
                <w:sz w:val="14"/>
                <w:szCs w:val="14"/>
              </w:rPr>
            </w:pPr>
            <w:r>
              <w:rPr>
                <w:color w:val="000000"/>
                <w:sz w:val="14"/>
              </w:rPr>
              <w:t>1.6</w:t>
            </w:r>
          </w:p>
        </w:tc>
        <w:tc>
          <w:tcPr>
            <w:tcW w:w="598" w:type="pct"/>
            <w:noWrap/>
            <w:hideMark/>
          </w:tcPr>
          <w:p w14:paraId="3A30BA4B" w14:textId="77777777" w:rsidR="001A500E" w:rsidRPr="006420F6" w:rsidRDefault="001A500E" w:rsidP="001F3C85">
            <w:pPr>
              <w:ind w:right="283"/>
              <w:jc w:val="right"/>
              <w:rPr>
                <w:color w:val="000000"/>
                <w:sz w:val="14"/>
                <w:szCs w:val="14"/>
              </w:rPr>
            </w:pPr>
            <w:r>
              <w:rPr>
                <w:color w:val="000000"/>
                <w:sz w:val="14"/>
              </w:rPr>
              <w:t>80.9</w:t>
            </w:r>
          </w:p>
        </w:tc>
      </w:tr>
      <w:tr w:rsidR="001A500E" w:rsidRPr="006420F6" w14:paraId="4A36B66C" w14:textId="77777777" w:rsidTr="00EA596B">
        <w:trPr>
          <w:cnfStyle w:val="000000010000" w:firstRow="0" w:lastRow="0" w:firstColumn="0" w:lastColumn="0" w:oddVBand="0" w:evenVBand="0" w:oddHBand="0" w:evenHBand="1" w:firstRowFirstColumn="0" w:firstRowLastColumn="0" w:lastRowFirstColumn="0" w:lastRowLastColumn="0"/>
        </w:trPr>
        <w:tc>
          <w:tcPr>
            <w:tcW w:w="1177" w:type="pct"/>
            <w:noWrap/>
          </w:tcPr>
          <w:p w14:paraId="76ABD8B4" w14:textId="77777777" w:rsidR="001A500E" w:rsidRPr="006420F6" w:rsidRDefault="001A500E" w:rsidP="001F3C85">
            <w:pPr>
              <w:jc w:val="left"/>
              <w:rPr>
                <w:color w:val="000000"/>
                <w:sz w:val="14"/>
                <w:szCs w:val="14"/>
              </w:rPr>
            </w:pPr>
            <w:r>
              <w:rPr>
                <w:color w:val="000000"/>
                <w:sz w:val="14"/>
              </w:rPr>
              <w:t>United Kingdom</w:t>
            </w:r>
          </w:p>
        </w:tc>
        <w:tc>
          <w:tcPr>
            <w:tcW w:w="392" w:type="pct"/>
            <w:noWrap/>
          </w:tcPr>
          <w:p w14:paraId="39A566CE" w14:textId="77777777" w:rsidR="001A500E" w:rsidRPr="006420F6" w:rsidRDefault="001A500E" w:rsidP="001F3C85">
            <w:pPr>
              <w:jc w:val="right"/>
              <w:rPr>
                <w:color w:val="000000"/>
                <w:sz w:val="14"/>
                <w:szCs w:val="14"/>
              </w:rPr>
            </w:pPr>
            <w:r>
              <w:rPr>
                <w:color w:val="000000"/>
                <w:sz w:val="14"/>
              </w:rPr>
              <w:t>2,640</w:t>
            </w:r>
          </w:p>
        </w:tc>
        <w:tc>
          <w:tcPr>
            <w:tcW w:w="315" w:type="pct"/>
            <w:noWrap/>
          </w:tcPr>
          <w:p w14:paraId="1965B897" w14:textId="77777777" w:rsidR="001A500E" w:rsidRPr="006420F6" w:rsidRDefault="001A500E" w:rsidP="001F3C85">
            <w:pPr>
              <w:jc w:val="right"/>
              <w:rPr>
                <w:color w:val="000000"/>
                <w:sz w:val="14"/>
                <w:szCs w:val="14"/>
              </w:rPr>
            </w:pPr>
            <w:r>
              <w:rPr>
                <w:color w:val="000000"/>
                <w:sz w:val="14"/>
              </w:rPr>
              <w:t>36.5</w:t>
            </w:r>
          </w:p>
        </w:tc>
        <w:tc>
          <w:tcPr>
            <w:tcW w:w="354" w:type="pct"/>
            <w:noWrap/>
          </w:tcPr>
          <w:p w14:paraId="6E6744D5" w14:textId="77777777" w:rsidR="001A500E" w:rsidRPr="006420F6" w:rsidRDefault="001A500E" w:rsidP="001F3C85">
            <w:pPr>
              <w:jc w:val="center"/>
              <w:rPr>
                <w:color w:val="000000"/>
                <w:sz w:val="14"/>
                <w:szCs w:val="14"/>
              </w:rPr>
            </w:pPr>
            <w:r>
              <w:rPr>
                <w:color w:val="000000"/>
                <w:sz w:val="14"/>
              </w:rPr>
              <w:t>2.8</w:t>
            </w:r>
          </w:p>
        </w:tc>
        <w:tc>
          <w:tcPr>
            <w:tcW w:w="433" w:type="pct"/>
            <w:noWrap/>
          </w:tcPr>
          <w:p w14:paraId="0AC88044" w14:textId="77777777" w:rsidR="001A500E" w:rsidRPr="006420F6" w:rsidRDefault="001A500E" w:rsidP="001F3C85">
            <w:pPr>
              <w:jc w:val="center"/>
              <w:rPr>
                <w:color w:val="000000"/>
                <w:sz w:val="14"/>
                <w:szCs w:val="14"/>
              </w:rPr>
            </w:pPr>
            <w:r>
              <w:rPr>
                <w:color w:val="000000"/>
                <w:sz w:val="14"/>
              </w:rPr>
              <w:t>75.8</w:t>
            </w:r>
          </w:p>
        </w:tc>
        <w:tc>
          <w:tcPr>
            <w:tcW w:w="550" w:type="pct"/>
            <w:noWrap/>
          </w:tcPr>
          <w:p w14:paraId="48ED5EEF" w14:textId="77777777" w:rsidR="001A500E" w:rsidRPr="006420F6" w:rsidRDefault="001A500E" w:rsidP="001F3C85">
            <w:pPr>
              <w:ind w:right="227"/>
              <w:jc w:val="right"/>
              <w:rPr>
                <w:color w:val="000000"/>
                <w:sz w:val="14"/>
                <w:szCs w:val="14"/>
              </w:rPr>
            </w:pPr>
            <w:r>
              <w:rPr>
                <w:color w:val="000000"/>
                <w:sz w:val="14"/>
              </w:rPr>
              <w:t>9.5</w:t>
            </w:r>
          </w:p>
        </w:tc>
        <w:tc>
          <w:tcPr>
            <w:tcW w:w="629" w:type="pct"/>
            <w:noWrap/>
          </w:tcPr>
          <w:p w14:paraId="555FD36F" w14:textId="77777777" w:rsidR="001A500E" w:rsidRPr="006420F6" w:rsidRDefault="001A500E" w:rsidP="001F3C85">
            <w:pPr>
              <w:jc w:val="center"/>
              <w:rPr>
                <w:color w:val="000000"/>
                <w:sz w:val="14"/>
                <w:szCs w:val="14"/>
              </w:rPr>
            </w:pPr>
            <w:r>
              <w:rPr>
                <w:color w:val="000000"/>
                <w:sz w:val="14"/>
              </w:rPr>
              <w:t>48.0</w:t>
            </w:r>
          </w:p>
        </w:tc>
        <w:tc>
          <w:tcPr>
            <w:tcW w:w="552" w:type="pct"/>
            <w:noWrap/>
          </w:tcPr>
          <w:p w14:paraId="583F36A5" w14:textId="77777777" w:rsidR="001A500E" w:rsidRPr="006420F6" w:rsidRDefault="001A500E" w:rsidP="001F3C85">
            <w:pPr>
              <w:jc w:val="center"/>
              <w:rPr>
                <w:color w:val="000000"/>
                <w:sz w:val="14"/>
                <w:szCs w:val="14"/>
              </w:rPr>
            </w:pPr>
            <w:r>
              <w:rPr>
                <w:color w:val="000000"/>
                <w:sz w:val="14"/>
              </w:rPr>
              <w:t>1.6</w:t>
            </w:r>
          </w:p>
        </w:tc>
        <w:tc>
          <w:tcPr>
            <w:tcW w:w="598" w:type="pct"/>
            <w:noWrap/>
          </w:tcPr>
          <w:p w14:paraId="0C20324F" w14:textId="77777777" w:rsidR="001A500E" w:rsidRPr="006420F6" w:rsidRDefault="001A500E" w:rsidP="001F3C85">
            <w:pPr>
              <w:ind w:right="283"/>
              <w:jc w:val="right"/>
              <w:rPr>
                <w:color w:val="000000"/>
                <w:sz w:val="14"/>
                <w:szCs w:val="14"/>
              </w:rPr>
            </w:pPr>
            <w:r>
              <w:rPr>
                <w:color w:val="000000"/>
                <w:sz w:val="14"/>
              </w:rPr>
              <w:t>80.9</w:t>
            </w:r>
          </w:p>
        </w:tc>
      </w:tr>
      <w:tr w:rsidR="001A500E" w:rsidRPr="006420F6" w14:paraId="77D6567A" w14:textId="77777777" w:rsidTr="00EA596B">
        <w:tc>
          <w:tcPr>
            <w:tcW w:w="1177" w:type="pct"/>
            <w:noWrap/>
            <w:hideMark/>
          </w:tcPr>
          <w:p w14:paraId="30013024" w14:textId="77777777" w:rsidR="001A500E" w:rsidRPr="006420F6" w:rsidRDefault="001A500E" w:rsidP="001F3C85">
            <w:pPr>
              <w:jc w:val="left"/>
              <w:rPr>
                <w:color w:val="000000"/>
                <w:sz w:val="14"/>
                <w:szCs w:val="14"/>
              </w:rPr>
            </w:pPr>
            <w:bookmarkStart w:id="152" w:name="_Hlk106282747"/>
            <w:r>
              <w:rPr>
                <w:color w:val="000000"/>
                <w:sz w:val="14"/>
              </w:rPr>
              <w:t>Panama</w:t>
            </w:r>
          </w:p>
        </w:tc>
        <w:tc>
          <w:tcPr>
            <w:tcW w:w="392" w:type="pct"/>
            <w:noWrap/>
            <w:hideMark/>
          </w:tcPr>
          <w:p w14:paraId="38A0A5ED" w14:textId="77777777" w:rsidR="001A500E" w:rsidRPr="006420F6" w:rsidRDefault="001A500E" w:rsidP="001F3C85">
            <w:pPr>
              <w:jc w:val="right"/>
              <w:rPr>
                <w:color w:val="000000"/>
                <w:sz w:val="14"/>
                <w:szCs w:val="14"/>
              </w:rPr>
            </w:pPr>
            <w:r>
              <w:rPr>
                <w:color w:val="000000"/>
                <w:sz w:val="14"/>
              </w:rPr>
              <w:t>208</w:t>
            </w:r>
          </w:p>
        </w:tc>
        <w:tc>
          <w:tcPr>
            <w:tcW w:w="315" w:type="pct"/>
            <w:noWrap/>
            <w:hideMark/>
          </w:tcPr>
          <w:p w14:paraId="060A4E91" w14:textId="77777777" w:rsidR="001A500E" w:rsidRPr="006420F6" w:rsidRDefault="001A500E" w:rsidP="001F3C85">
            <w:pPr>
              <w:jc w:val="right"/>
              <w:rPr>
                <w:color w:val="000000"/>
                <w:sz w:val="14"/>
                <w:szCs w:val="14"/>
              </w:rPr>
            </w:pPr>
            <w:r>
              <w:rPr>
                <w:color w:val="000000"/>
                <w:sz w:val="14"/>
              </w:rPr>
              <w:t>2.9</w:t>
            </w:r>
          </w:p>
        </w:tc>
        <w:tc>
          <w:tcPr>
            <w:tcW w:w="354" w:type="pct"/>
            <w:noWrap/>
            <w:hideMark/>
          </w:tcPr>
          <w:p w14:paraId="5474BF81" w14:textId="77777777" w:rsidR="001A500E" w:rsidRPr="006420F6" w:rsidRDefault="001A500E" w:rsidP="001F3C85">
            <w:pPr>
              <w:jc w:val="center"/>
              <w:rPr>
                <w:color w:val="000000"/>
                <w:sz w:val="14"/>
                <w:szCs w:val="14"/>
              </w:rPr>
            </w:pPr>
            <w:r>
              <w:rPr>
                <w:color w:val="000000"/>
                <w:sz w:val="14"/>
              </w:rPr>
              <w:t>7.4</w:t>
            </w:r>
          </w:p>
        </w:tc>
        <w:tc>
          <w:tcPr>
            <w:tcW w:w="433" w:type="pct"/>
            <w:noWrap/>
            <w:hideMark/>
          </w:tcPr>
          <w:p w14:paraId="1DE3A5DC" w14:textId="77777777" w:rsidR="001A500E" w:rsidRPr="006420F6" w:rsidRDefault="001A500E" w:rsidP="001F3C85">
            <w:pPr>
              <w:jc w:val="center"/>
              <w:rPr>
                <w:color w:val="000000"/>
                <w:sz w:val="14"/>
                <w:szCs w:val="14"/>
              </w:rPr>
            </w:pPr>
            <w:r>
              <w:rPr>
                <w:color w:val="000000"/>
                <w:sz w:val="14"/>
              </w:rPr>
              <w:t>55.9</w:t>
            </w:r>
          </w:p>
        </w:tc>
        <w:tc>
          <w:tcPr>
            <w:tcW w:w="550" w:type="pct"/>
            <w:noWrap/>
            <w:hideMark/>
          </w:tcPr>
          <w:p w14:paraId="415EB546" w14:textId="77777777" w:rsidR="001A500E" w:rsidRPr="006420F6" w:rsidRDefault="001A500E" w:rsidP="001F3C85">
            <w:pPr>
              <w:ind w:right="227"/>
              <w:jc w:val="right"/>
              <w:rPr>
                <w:color w:val="000000"/>
                <w:sz w:val="14"/>
                <w:szCs w:val="14"/>
              </w:rPr>
            </w:pPr>
            <w:r>
              <w:rPr>
                <w:color w:val="000000"/>
                <w:sz w:val="14"/>
              </w:rPr>
              <w:t>14.0</w:t>
            </w:r>
          </w:p>
        </w:tc>
        <w:tc>
          <w:tcPr>
            <w:tcW w:w="629" w:type="pct"/>
            <w:noWrap/>
            <w:hideMark/>
          </w:tcPr>
          <w:p w14:paraId="695D1BCA" w14:textId="77777777" w:rsidR="001A500E" w:rsidRPr="006420F6" w:rsidRDefault="001A500E" w:rsidP="001F3C85">
            <w:pPr>
              <w:jc w:val="center"/>
              <w:rPr>
                <w:color w:val="000000"/>
                <w:sz w:val="14"/>
                <w:szCs w:val="14"/>
              </w:rPr>
            </w:pPr>
            <w:r>
              <w:rPr>
                <w:color w:val="000000"/>
                <w:sz w:val="14"/>
              </w:rPr>
              <w:t>34.1</w:t>
            </w:r>
          </w:p>
        </w:tc>
        <w:tc>
          <w:tcPr>
            <w:tcW w:w="552" w:type="pct"/>
            <w:noWrap/>
            <w:hideMark/>
          </w:tcPr>
          <w:p w14:paraId="33FFFAA9" w14:textId="77777777" w:rsidR="001A500E" w:rsidRPr="006420F6" w:rsidRDefault="001A500E" w:rsidP="001F3C85">
            <w:pPr>
              <w:jc w:val="center"/>
              <w:rPr>
                <w:color w:val="000000"/>
                <w:sz w:val="14"/>
                <w:szCs w:val="14"/>
              </w:rPr>
            </w:pPr>
            <w:r>
              <w:rPr>
                <w:color w:val="000000"/>
                <w:sz w:val="14"/>
              </w:rPr>
              <w:t>6.2</w:t>
            </w:r>
          </w:p>
        </w:tc>
        <w:tc>
          <w:tcPr>
            <w:tcW w:w="598" w:type="pct"/>
            <w:noWrap/>
            <w:hideMark/>
          </w:tcPr>
          <w:p w14:paraId="7E3FFCE8" w14:textId="77777777" w:rsidR="001A500E" w:rsidRPr="006420F6" w:rsidRDefault="001A500E" w:rsidP="001F3C85">
            <w:pPr>
              <w:ind w:right="283"/>
              <w:jc w:val="right"/>
              <w:rPr>
                <w:color w:val="000000"/>
                <w:sz w:val="14"/>
                <w:szCs w:val="14"/>
              </w:rPr>
            </w:pPr>
            <w:r>
              <w:rPr>
                <w:color w:val="000000"/>
                <w:sz w:val="14"/>
              </w:rPr>
              <w:t>59.8</w:t>
            </w:r>
          </w:p>
        </w:tc>
      </w:tr>
    </w:tbl>
    <w:bookmarkEnd w:id="151"/>
    <w:bookmarkEnd w:id="152"/>
    <w:p w14:paraId="74C06C72" w14:textId="1F454679" w:rsidR="001A500E" w:rsidRDefault="001A500E" w:rsidP="00E439A9">
      <w:pPr>
        <w:pStyle w:val="NoteText"/>
        <w:spacing w:before="120"/>
      </w:pPr>
      <w:r>
        <w:t>a</w:t>
      </w:r>
      <w:r>
        <w:tab/>
        <w:t>Tariff averages are based on the preferential tariffs for 202</w:t>
      </w:r>
      <w:r w:rsidR="001370DF">
        <w:t>1</w:t>
      </w:r>
      <w:r>
        <w:t>.</w:t>
      </w:r>
    </w:p>
    <w:p w14:paraId="150D416F" w14:textId="77777777" w:rsidR="001A500E" w:rsidRDefault="001A500E" w:rsidP="00E439A9">
      <w:pPr>
        <w:pStyle w:val="NoteText"/>
        <w:spacing w:before="120"/>
      </w:pPr>
      <w:r>
        <w:t>Note:</w:t>
      </w:r>
      <w:r>
        <w:tab/>
        <w:t>Where the MFN rate is lower than the preferential tariff, the MFN rate has been used to calculate the averages.</w:t>
      </w:r>
    </w:p>
    <w:p w14:paraId="38940815" w14:textId="77777777" w:rsidR="001A500E" w:rsidRPr="006420F6" w:rsidRDefault="001A500E" w:rsidP="00E439A9">
      <w:pPr>
        <w:pStyle w:val="NoteText"/>
        <w:spacing w:before="120" w:after="240"/>
      </w:pPr>
      <w:r>
        <w:t>Source:</w:t>
      </w:r>
      <w:r>
        <w:tab/>
        <w:t>WTO Secretariat, on the basis of data provided by the authorities.</w:t>
      </w:r>
    </w:p>
    <w:p w14:paraId="2206CF6B" w14:textId="77777777" w:rsidR="001A500E" w:rsidRPr="007C74EF" w:rsidRDefault="001A500E" w:rsidP="00574469">
      <w:pPr>
        <w:pStyle w:val="Heading4"/>
      </w:pPr>
      <w:bookmarkStart w:id="153" w:name="_Toc417038467"/>
      <w:bookmarkStart w:id="154" w:name="_Toc117260620"/>
      <w:bookmarkStart w:id="155" w:name="_Hlk108718894"/>
      <w:r>
        <w:t>Tariff quotas</w:t>
      </w:r>
      <w:bookmarkEnd w:id="153"/>
      <w:bookmarkEnd w:id="154"/>
    </w:p>
    <w:p w14:paraId="7A5001C7" w14:textId="77777777" w:rsidR="001A500E" w:rsidRPr="007C74EF" w:rsidRDefault="001A500E" w:rsidP="00574469">
      <w:pPr>
        <w:pStyle w:val="BodyText"/>
      </w:pPr>
      <w:r>
        <w:t xml:space="preserve">The Dominican Republic applies tariff quotas under both the WTO </w:t>
      </w:r>
      <w:bookmarkStart w:id="156" w:name="_Hlk107564839"/>
      <w:r>
        <w:t>and its preferential agreements</w:t>
      </w:r>
      <w:r w:rsidRPr="0060155B">
        <w:t>. I</w:t>
      </w:r>
      <w:r>
        <w:t>n the WTO, there are eight products subject to tariff quotas</w:t>
      </w:r>
      <w:r w:rsidRPr="0060155B">
        <w:t>: p</w:t>
      </w:r>
      <w:r>
        <w:t>oultry meat, powdered milk, onions, garlic, dried beans, maize, rice and sugar</w:t>
      </w:r>
      <w:r w:rsidRPr="0060155B">
        <w:t>. T</w:t>
      </w:r>
      <w:r>
        <w:t>hese products correspond to 30 eight</w:t>
      </w:r>
      <w:r w:rsidRPr="0060155B">
        <w:noBreakHyphen/>
      </w:r>
      <w:r>
        <w:t>digit HS 2017 tariff lines</w:t>
      </w:r>
      <w:r w:rsidRPr="0060155B">
        <w:t>. I</w:t>
      </w:r>
      <w:r>
        <w:t>n some cases, the Dominican Republic has expanded market access, as imports were needed to meet demand or maintain reserves, hence the use of some of the quotas is in excess of 100%</w:t>
      </w:r>
      <w:r w:rsidRPr="0060155B">
        <w:t>. I</w:t>
      </w:r>
      <w:r>
        <w:t>n the case of maize, for example, the tariff has been kept at 0% for several years and the quota has remained open (Table A3.4).</w:t>
      </w:r>
      <w:r>
        <w:rPr>
          <w:rStyle w:val="FootnoteReference"/>
        </w:rPr>
        <w:footnoteReference w:id="124"/>
      </w:r>
    </w:p>
    <w:p w14:paraId="6A611B30" w14:textId="77777777" w:rsidR="001A500E" w:rsidRPr="002B1CAD" w:rsidRDefault="001A500E" w:rsidP="00574469">
      <w:pPr>
        <w:pStyle w:val="BodyText"/>
      </w:pPr>
      <w:r>
        <w:t xml:space="preserve">In 2021, Decrees </w:t>
      </w:r>
      <w:r w:rsidRPr="0060155B">
        <w:t>Nos. </w:t>
      </w:r>
      <w:r>
        <w:t>505</w:t>
      </w:r>
      <w:r w:rsidRPr="0060155B">
        <w:noBreakHyphen/>
      </w:r>
      <w:r>
        <w:t>99 and 569</w:t>
      </w:r>
      <w:r w:rsidRPr="0060155B">
        <w:noBreakHyphen/>
      </w:r>
      <w:r>
        <w:t>12, which set out the methods for allocating MFN tariff quotas, were repealed</w:t>
      </w:r>
      <w:r w:rsidRPr="0060155B">
        <w:t>. T</w:t>
      </w:r>
      <w:r>
        <w:t>he authorities indicated that regulations governing the allocation of these quotas have been submitted to the executive branch and are awaiting issuance (Section 4.1)</w:t>
      </w:r>
      <w:r w:rsidRPr="0060155B">
        <w:t>.</w:t>
      </w:r>
      <w:r w:rsidRPr="0060155B">
        <w:rPr>
          <w:rStyle w:val="FootnoteReference"/>
        </w:rPr>
        <w:footnoteReference w:id="125"/>
      </w:r>
      <w:r w:rsidRPr="0060155B">
        <w:t xml:space="preserve"> A</w:t>
      </w:r>
      <w:r>
        <w:t>t present, these quotas are allocated at the request of the importer.</w:t>
      </w:r>
    </w:p>
    <w:bookmarkEnd w:id="156"/>
    <w:p w14:paraId="2A5CEFDC" w14:textId="07DCBF60" w:rsidR="001A500E" w:rsidRPr="007C74EF" w:rsidRDefault="001A500E" w:rsidP="00574469">
      <w:pPr>
        <w:pStyle w:val="BodyText"/>
      </w:pPr>
      <w:r>
        <w:t>Regarding preferential quotas in 202</w:t>
      </w:r>
      <w:r w:rsidR="001370DF">
        <w:t>1</w:t>
      </w:r>
      <w:r>
        <w:t>, under CAFTA</w:t>
      </w:r>
      <w:r w:rsidRPr="0060155B">
        <w:noBreakHyphen/>
      </w:r>
      <w:r>
        <w:t>DR, the Dominican Republic maintains quotas for six products originating in the United States (11 lines at the HS 2017 eight</w:t>
      </w:r>
      <w:r w:rsidRPr="0060155B">
        <w:noBreakHyphen/>
      </w:r>
      <w:r>
        <w:t>digit level), two products originating in Costa Rica (eight lines at the HS 2017 eight</w:t>
      </w:r>
      <w:r w:rsidRPr="0060155B">
        <w:noBreakHyphen/>
      </w:r>
      <w:r>
        <w:t>digit level) and three products originating in Nicaragua (six tariff lines at the eight</w:t>
      </w:r>
      <w:r w:rsidRPr="0060155B">
        <w:noBreakHyphen/>
      </w:r>
      <w:r>
        <w:t>digit level)</w:t>
      </w:r>
      <w:r w:rsidRPr="0060155B">
        <w:t>.</w:t>
      </w:r>
      <w:r w:rsidRPr="0060155B">
        <w:rPr>
          <w:rStyle w:val="FootnoteReference"/>
        </w:rPr>
        <w:footnoteReference w:id="126"/>
      </w:r>
      <w:r w:rsidRPr="0060155B">
        <w:t xml:space="preserve"> A</w:t>
      </w:r>
      <w:r>
        <w:t>ll preferential quotas are for agricultural products</w:t>
      </w:r>
      <w:r w:rsidRPr="0060155B">
        <w:t>. U</w:t>
      </w:r>
      <w:r>
        <w:t xml:space="preserve">nder the agreement between </w:t>
      </w:r>
      <w:proofErr w:type="spellStart"/>
      <w:r>
        <w:t>CARIFORUM</w:t>
      </w:r>
      <w:proofErr w:type="spellEnd"/>
      <w:r>
        <w:t xml:space="preserve"> and the EU, a tariff quota applies to powdered milk (three HS six</w:t>
      </w:r>
      <w:r w:rsidRPr="0060155B">
        <w:noBreakHyphen/>
      </w:r>
      <w:r>
        <w:t>digit tariff lines</w:t>
      </w:r>
      <w:r w:rsidRPr="0060155B">
        <w:t>: 0</w:t>
      </w:r>
      <w:r>
        <w:t>402.10, 0402.21 and 0402.29)</w:t>
      </w:r>
      <w:r w:rsidRPr="0060155B">
        <w:t>. T</w:t>
      </w:r>
      <w:r>
        <w:t>his preferential quota was not negotiated under the new agreement with the United Kingdom (Table A3.5)</w:t>
      </w:r>
      <w:r w:rsidRPr="0060155B">
        <w:t>. T</w:t>
      </w:r>
      <w:r>
        <w:t>he procedures for allocating preferential quotas did not change during the period under review.</w:t>
      </w:r>
      <w:bookmarkStart w:id="157" w:name="_Toc361142915"/>
      <w:bookmarkStart w:id="158" w:name="_Toc417038465"/>
      <w:bookmarkEnd w:id="155"/>
      <w:r>
        <w:rPr>
          <w:rStyle w:val="FootnoteReference"/>
        </w:rPr>
        <w:footnoteReference w:id="127"/>
      </w:r>
    </w:p>
    <w:p w14:paraId="4A6A8238" w14:textId="77777777" w:rsidR="001A500E" w:rsidRPr="006420F6" w:rsidRDefault="001A500E" w:rsidP="00574469">
      <w:pPr>
        <w:pStyle w:val="Heading4"/>
      </w:pPr>
      <w:bookmarkStart w:id="159" w:name="_Toc117260621"/>
      <w:r>
        <w:lastRenderedPageBreak/>
        <w:t>Tariff concessions</w:t>
      </w:r>
      <w:bookmarkEnd w:id="157"/>
      <w:bookmarkEnd w:id="158"/>
      <w:bookmarkEnd w:id="159"/>
    </w:p>
    <w:p w14:paraId="73127A21" w14:textId="77777777" w:rsidR="001A500E" w:rsidRPr="006420F6" w:rsidRDefault="001A500E" w:rsidP="00574469">
      <w:pPr>
        <w:pStyle w:val="BodyText"/>
      </w:pPr>
      <w:r>
        <w:t xml:space="preserve">Law </w:t>
      </w:r>
      <w:r w:rsidRPr="0060155B">
        <w:t>No. </w:t>
      </w:r>
      <w:r>
        <w:t>14</w:t>
      </w:r>
      <w:r w:rsidRPr="0060155B">
        <w:noBreakHyphen/>
      </w:r>
      <w:r>
        <w:t>93, which determines the customs tariff, also includes a list of specific products that are exempt from import duty</w:t>
      </w:r>
      <w:r w:rsidRPr="0060155B">
        <w:t>.</w:t>
      </w:r>
      <w:r w:rsidRPr="0060155B">
        <w:rPr>
          <w:rStyle w:val="FootnoteReference"/>
        </w:rPr>
        <w:footnoteReference w:id="128"/>
      </w:r>
      <w:r w:rsidRPr="0060155B">
        <w:t xml:space="preserve"> T</w:t>
      </w:r>
      <w:r>
        <w:t>his exemption also applies to products imported by government agencies in the case of an emergency</w:t>
      </w:r>
      <w:r>
        <w:rPr>
          <w:rStyle w:val="FootnoteReference"/>
        </w:rPr>
        <w:footnoteReference w:id="129"/>
      </w:r>
      <w:r>
        <w:t xml:space="preserve"> and by representations of foreign governments</w:t>
      </w:r>
      <w:r w:rsidRPr="0060155B">
        <w:t>; i</w:t>
      </w:r>
      <w:r>
        <w:t>n addition to donations</w:t>
      </w:r>
      <w:r w:rsidRPr="0060155B">
        <w:t>; i</w:t>
      </w:r>
      <w:r>
        <w:t>mports of personal and household effects</w:t>
      </w:r>
      <w:r>
        <w:rPr>
          <w:rStyle w:val="FootnoteReference"/>
        </w:rPr>
        <w:footnoteReference w:id="130"/>
      </w:r>
      <w:r w:rsidRPr="0060155B">
        <w:t>; b</w:t>
      </w:r>
      <w:r>
        <w:t>ooks for personal use</w:t>
      </w:r>
      <w:r>
        <w:rPr>
          <w:rStyle w:val="FootnoteReference"/>
        </w:rPr>
        <w:footnoteReference w:id="131"/>
      </w:r>
      <w:r w:rsidRPr="0060155B">
        <w:t>; s</w:t>
      </w:r>
      <w:r>
        <w:t>amples and catalogues</w:t>
      </w:r>
      <w:r w:rsidRPr="0060155B">
        <w:t>; i</w:t>
      </w:r>
      <w:r>
        <w:t>mports of components, spare parts and materials for repair or maintenance of merchant and tourism vessels and aircraft in the process of loading and unloading, as long as they provide international transport services</w:t>
      </w:r>
      <w:r w:rsidRPr="0060155B">
        <w:t>; i</w:t>
      </w:r>
      <w:r>
        <w:t>mports of goods for the health sector</w:t>
      </w:r>
      <w:r>
        <w:rPr>
          <w:rStyle w:val="FootnoteReference"/>
        </w:rPr>
        <w:footnoteReference w:id="132"/>
      </w:r>
      <w:r w:rsidRPr="0060155B">
        <w:t>; a</w:t>
      </w:r>
      <w:r>
        <w:t>nd imports of computers, their parts and replacements, for personal use.</w:t>
      </w:r>
    </w:p>
    <w:p w14:paraId="26E43163" w14:textId="77777777" w:rsidR="001A500E" w:rsidRPr="007C74EF" w:rsidRDefault="001A500E" w:rsidP="00574469">
      <w:pPr>
        <w:pStyle w:val="BodyText"/>
      </w:pPr>
      <w:r>
        <w:t>Goods entering the Dominican Republic under temporary admission schemes, whether for inward processing or without processing, and under duty exemption schemes (free zones and duty</w:t>
      </w:r>
      <w:r w:rsidRPr="0060155B">
        <w:noBreakHyphen/>
      </w:r>
      <w:r>
        <w:t>free shops) are not subject to duties under either the suspended duty or the exemption regime, as applicable (Table A3.1)</w:t>
      </w:r>
      <w:r w:rsidRPr="0060155B">
        <w:t>. L</w:t>
      </w:r>
      <w:r>
        <w:t xml:space="preserve">aw </w:t>
      </w:r>
      <w:r w:rsidRPr="0060155B">
        <w:t>No. </w:t>
      </w:r>
      <w:r>
        <w:t>168</w:t>
      </w:r>
      <w:r w:rsidRPr="0060155B">
        <w:noBreakHyphen/>
      </w:r>
      <w:r>
        <w:t>21 contains an illustrative list of 21 types of good that may benefit from the temporary admission scheme for re</w:t>
      </w:r>
      <w:r w:rsidRPr="0060155B">
        <w:noBreakHyphen/>
      </w:r>
      <w:r>
        <w:t>exportation in the same state, which includes goods for cultural or scientific purposes, vehicles for transporting goods and passengers abroad, and capital goods for which a lease agreement has been signed.</w:t>
      </w:r>
      <w:r>
        <w:rPr>
          <w:rStyle w:val="FootnoteReference"/>
        </w:rPr>
        <w:footnoteReference w:id="133"/>
      </w:r>
    </w:p>
    <w:p w14:paraId="1B475DF0" w14:textId="77777777" w:rsidR="001A500E" w:rsidRPr="007C74EF" w:rsidRDefault="001A500E" w:rsidP="00574469">
      <w:pPr>
        <w:pStyle w:val="BodyText"/>
      </w:pPr>
      <w:r>
        <w:t xml:space="preserve">Courier imports, when they are not for commercial use, do not require an import licence or permit, and have a value equal to or less than </w:t>
      </w:r>
      <w:r w:rsidRPr="0060155B">
        <w:t>USD 200</w:t>
      </w:r>
      <w:r>
        <w:t>, are exempt from the payment of duty and domestic consumption taxes.</w:t>
      </w:r>
      <w:r>
        <w:rPr>
          <w:rStyle w:val="FootnoteReference"/>
        </w:rPr>
        <w:footnoteReference w:id="134"/>
      </w:r>
    </w:p>
    <w:p w14:paraId="1BEB71CB" w14:textId="77777777" w:rsidR="001A500E" w:rsidRPr="006420F6" w:rsidRDefault="001A500E" w:rsidP="00574469">
      <w:pPr>
        <w:pStyle w:val="BodyText"/>
      </w:pPr>
      <w:r>
        <w:t>Imports under the free zone regime and other export support programmes, such as the Centre for Industrial Development and Competitiveness (</w:t>
      </w:r>
      <w:proofErr w:type="spellStart"/>
      <w:r>
        <w:t>PROINDUSTRIA</w:t>
      </w:r>
      <w:proofErr w:type="spellEnd"/>
      <w:r>
        <w:t>), are also duty</w:t>
      </w:r>
      <w:r w:rsidRPr="0060155B">
        <w:noBreakHyphen/>
      </w:r>
      <w:r>
        <w:t>free</w:t>
      </w:r>
      <w:r w:rsidRPr="0060155B">
        <w:t>. T</w:t>
      </w:r>
      <w:r>
        <w:t>ariff exemptions are also granted under certain sectoral support programmes (Section 3.1).</w:t>
      </w:r>
    </w:p>
    <w:p w14:paraId="327935AA" w14:textId="77777777" w:rsidR="001A500E" w:rsidRPr="007C74EF" w:rsidRDefault="001A500E" w:rsidP="00574469">
      <w:pPr>
        <w:pStyle w:val="Heading3"/>
      </w:pPr>
      <w:bookmarkStart w:id="160" w:name="_Toc384214163"/>
      <w:bookmarkStart w:id="161" w:name="_Toc417038468"/>
      <w:bookmarkStart w:id="162" w:name="_Toc117260622"/>
      <w:r>
        <w:t>Other charges affecting imports</w:t>
      </w:r>
      <w:bookmarkEnd w:id="160"/>
      <w:bookmarkEnd w:id="161"/>
      <w:bookmarkEnd w:id="162"/>
    </w:p>
    <w:p w14:paraId="6F0C8815" w14:textId="77777777" w:rsidR="001A500E" w:rsidRPr="006420F6" w:rsidRDefault="001A500E" w:rsidP="00574469">
      <w:pPr>
        <w:pStyle w:val="BodyText"/>
      </w:pPr>
      <w:r>
        <w:t>In addition to tariffs, imports are subject to the customs service fee</w:t>
      </w:r>
      <w:r w:rsidRPr="0060155B">
        <w:t>; t</w:t>
      </w:r>
      <w:r>
        <w:t>he tax on the transfer of industrialized goods and services (</w:t>
      </w:r>
      <w:proofErr w:type="spellStart"/>
      <w:r>
        <w:t>ITBIS</w:t>
      </w:r>
      <w:proofErr w:type="spellEnd"/>
      <w:r>
        <w:t>)</w:t>
      </w:r>
      <w:r w:rsidRPr="0060155B">
        <w:t>; a</w:t>
      </w:r>
      <w:r>
        <w:t>nd the selective consumption tax (</w:t>
      </w:r>
      <w:proofErr w:type="spellStart"/>
      <w:r>
        <w:t>ISC</w:t>
      </w:r>
      <w:proofErr w:type="spellEnd"/>
      <w:r>
        <w:t>)</w:t>
      </w:r>
      <w:r w:rsidRPr="0060155B">
        <w:t>. T</w:t>
      </w:r>
      <w:r>
        <w:t xml:space="preserve">he </w:t>
      </w:r>
      <w:proofErr w:type="spellStart"/>
      <w:r>
        <w:t>ITBIS</w:t>
      </w:r>
      <w:proofErr w:type="spellEnd"/>
      <w:r>
        <w:t xml:space="preserve"> and the </w:t>
      </w:r>
      <w:proofErr w:type="spellStart"/>
      <w:r>
        <w:t>ISC</w:t>
      </w:r>
      <w:proofErr w:type="spellEnd"/>
      <w:r>
        <w:t xml:space="preserve"> apply to both imports and domestic goods.</w:t>
      </w:r>
    </w:p>
    <w:p w14:paraId="4ECD78DA" w14:textId="77777777" w:rsidR="001A500E" w:rsidRPr="006420F6" w:rsidRDefault="001A500E" w:rsidP="00574469">
      <w:pPr>
        <w:pStyle w:val="BodyText"/>
      </w:pPr>
      <w:r>
        <w:t>There has been no change to the customs service fee since the last review</w:t>
      </w:r>
      <w:r w:rsidRPr="0060155B">
        <w:t>.</w:t>
      </w:r>
      <w:r w:rsidRPr="0060155B">
        <w:rPr>
          <w:rStyle w:val="FootnoteReference"/>
        </w:rPr>
        <w:footnoteReference w:id="135"/>
      </w:r>
      <w:r w:rsidRPr="0060155B">
        <w:t xml:space="preserve"> T</w:t>
      </w:r>
      <w:r>
        <w:t>his is a specific fee that depends on the weight and volume of the shipment and is paid in national currency at the official exchange rate in effect at the time the customs declaration is submitted (Table 3.4).</w:t>
      </w:r>
    </w:p>
    <w:p w14:paraId="3BA21A56" w14:textId="77777777" w:rsidR="001A500E" w:rsidRPr="006420F6" w:rsidRDefault="001A500E" w:rsidP="00B900E5">
      <w:pPr>
        <w:pStyle w:val="Caption"/>
      </w:pPr>
      <w:bookmarkStart w:id="163" w:name="_Toc117238037"/>
      <w:r>
        <w:t xml:space="preserve">Table </w:t>
      </w:r>
      <w:r w:rsidR="00BD37F2">
        <w:fldChar w:fldCharType="begin"/>
      </w:r>
      <w:r w:rsidR="00BD37F2">
        <w:instrText xml:space="preserve"> STYLEREF 1 \s </w:instrText>
      </w:r>
      <w:r w:rsidR="00BD37F2">
        <w:fldChar w:fldCharType="separate"/>
      </w:r>
      <w:r>
        <w:rPr>
          <w:noProof/>
        </w:rPr>
        <w:t>3</w:t>
      </w:r>
      <w:r w:rsidR="00BD37F2">
        <w:rPr>
          <w:noProof/>
        </w:rPr>
        <w:fldChar w:fldCharType="end"/>
      </w:r>
      <w:r>
        <w:t>.</w:t>
      </w:r>
      <w:r w:rsidR="00BD37F2">
        <w:fldChar w:fldCharType="begin"/>
      </w:r>
      <w:r w:rsidR="00BD37F2">
        <w:instrText xml:space="preserve"> SEQ Table \* ARABIC \s 1 </w:instrText>
      </w:r>
      <w:r w:rsidR="00BD37F2">
        <w:fldChar w:fldCharType="separate"/>
      </w:r>
      <w:r>
        <w:rPr>
          <w:noProof/>
        </w:rPr>
        <w:t>4</w:t>
      </w:r>
      <w:r w:rsidR="00BD37F2">
        <w:rPr>
          <w:noProof/>
        </w:rPr>
        <w:fldChar w:fldCharType="end"/>
      </w:r>
      <w:r>
        <w:t xml:space="preserve"> Customs service fees, 2022</w:t>
      </w:r>
      <w:bookmarkEnd w:id="163"/>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3397"/>
        <w:gridCol w:w="5619"/>
      </w:tblGrid>
      <w:tr w:rsidR="001A500E" w:rsidRPr="00A950CC" w14:paraId="0AB68D7B" w14:textId="77777777" w:rsidTr="00D510B7">
        <w:trPr>
          <w:cantSplit/>
          <w:tblHeader/>
        </w:trPr>
        <w:tc>
          <w:tcPr>
            <w:tcW w:w="3397" w:type="dxa"/>
            <w:shd w:val="clear" w:color="auto" w:fill="006283"/>
          </w:tcPr>
          <w:p w14:paraId="54D93899" w14:textId="77777777" w:rsidR="001A500E" w:rsidRPr="00A950CC" w:rsidRDefault="001A500E" w:rsidP="001F3C85">
            <w:pPr>
              <w:jc w:val="left"/>
              <w:rPr>
                <w:b/>
                <w:bCs/>
                <w:color w:val="FFFFFF"/>
                <w:sz w:val="15"/>
                <w:szCs w:val="15"/>
              </w:rPr>
            </w:pPr>
            <w:r>
              <w:rPr>
                <w:b/>
                <w:color w:val="FFFFFF"/>
                <w:sz w:val="15"/>
              </w:rPr>
              <w:t>Type of charge</w:t>
            </w:r>
          </w:p>
        </w:tc>
        <w:tc>
          <w:tcPr>
            <w:tcW w:w="5619" w:type="dxa"/>
            <w:shd w:val="clear" w:color="auto" w:fill="006283"/>
          </w:tcPr>
          <w:p w14:paraId="2C5D19E1" w14:textId="77777777" w:rsidR="001A500E" w:rsidRPr="00A950CC" w:rsidRDefault="001A500E" w:rsidP="001F3C85">
            <w:pPr>
              <w:jc w:val="left"/>
              <w:rPr>
                <w:rFonts w:cs="Tahoma"/>
                <w:b/>
                <w:bCs/>
                <w:color w:val="FFFFFF"/>
                <w:sz w:val="15"/>
                <w:szCs w:val="15"/>
              </w:rPr>
            </w:pPr>
            <w:r>
              <w:rPr>
                <w:b/>
                <w:color w:val="FFFFFF"/>
                <w:sz w:val="15"/>
              </w:rPr>
              <w:t>Amount (USD)</w:t>
            </w:r>
          </w:p>
        </w:tc>
      </w:tr>
      <w:tr w:rsidR="001A500E" w:rsidRPr="00A950CC" w14:paraId="29012891" w14:textId="77777777" w:rsidTr="00D510B7">
        <w:trPr>
          <w:cantSplit/>
        </w:trPr>
        <w:tc>
          <w:tcPr>
            <w:tcW w:w="3397" w:type="dxa"/>
            <w:shd w:val="clear" w:color="auto" w:fill="auto"/>
          </w:tcPr>
          <w:p w14:paraId="185E58C4" w14:textId="77777777" w:rsidR="001A500E" w:rsidRPr="00A950CC" w:rsidRDefault="001A500E" w:rsidP="001F3C85">
            <w:pPr>
              <w:tabs>
                <w:tab w:val="num" w:pos="720"/>
              </w:tabs>
              <w:jc w:val="left"/>
              <w:rPr>
                <w:rFonts w:cs="Tahoma"/>
                <w:bCs/>
                <w:sz w:val="15"/>
                <w:szCs w:val="15"/>
              </w:rPr>
            </w:pPr>
            <w:r>
              <w:rPr>
                <w:sz w:val="15"/>
              </w:rPr>
              <w:t>20</w:t>
            </w:r>
            <w:r w:rsidRPr="0060155B">
              <w:rPr>
                <w:sz w:val="15"/>
              </w:rPr>
              <w:noBreakHyphen/>
            </w:r>
            <w:r>
              <w:rPr>
                <w:sz w:val="15"/>
              </w:rPr>
              <w:t>foot containers</w:t>
            </w:r>
          </w:p>
        </w:tc>
        <w:tc>
          <w:tcPr>
            <w:tcW w:w="5619" w:type="dxa"/>
            <w:shd w:val="clear" w:color="auto" w:fill="auto"/>
          </w:tcPr>
          <w:p w14:paraId="768009B4" w14:textId="77777777" w:rsidR="001A500E" w:rsidRPr="00A950CC" w:rsidRDefault="001A500E" w:rsidP="001F3C85">
            <w:pPr>
              <w:tabs>
                <w:tab w:val="num" w:pos="720"/>
              </w:tabs>
              <w:jc w:val="left"/>
              <w:rPr>
                <w:rFonts w:cs="Tahoma"/>
                <w:sz w:val="15"/>
                <w:szCs w:val="15"/>
              </w:rPr>
            </w:pPr>
            <w:r>
              <w:rPr>
                <w:sz w:val="15"/>
              </w:rPr>
              <w:t>75</w:t>
            </w:r>
          </w:p>
        </w:tc>
      </w:tr>
      <w:tr w:rsidR="001A500E" w:rsidRPr="00A950CC" w14:paraId="780482D8" w14:textId="77777777" w:rsidTr="00D510B7">
        <w:trPr>
          <w:cantSplit/>
        </w:trPr>
        <w:tc>
          <w:tcPr>
            <w:tcW w:w="3397" w:type="dxa"/>
            <w:shd w:val="clear" w:color="auto" w:fill="C9DED4"/>
          </w:tcPr>
          <w:p w14:paraId="2C7E04FD" w14:textId="77777777" w:rsidR="001A500E" w:rsidRPr="00A950CC" w:rsidRDefault="001A500E" w:rsidP="001F3C85">
            <w:pPr>
              <w:tabs>
                <w:tab w:val="num" w:pos="720"/>
              </w:tabs>
              <w:jc w:val="left"/>
              <w:rPr>
                <w:rFonts w:cs="Tahoma"/>
                <w:bCs/>
                <w:sz w:val="15"/>
                <w:szCs w:val="15"/>
              </w:rPr>
            </w:pPr>
            <w:r>
              <w:rPr>
                <w:sz w:val="15"/>
              </w:rPr>
              <w:t>40</w:t>
            </w:r>
            <w:r w:rsidRPr="0060155B">
              <w:rPr>
                <w:sz w:val="15"/>
              </w:rPr>
              <w:noBreakHyphen/>
            </w:r>
            <w:r>
              <w:rPr>
                <w:sz w:val="15"/>
              </w:rPr>
              <w:t xml:space="preserve"> or 45</w:t>
            </w:r>
            <w:r w:rsidRPr="0060155B">
              <w:rPr>
                <w:sz w:val="15"/>
              </w:rPr>
              <w:noBreakHyphen/>
            </w:r>
            <w:r>
              <w:rPr>
                <w:sz w:val="15"/>
              </w:rPr>
              <w:t xml:space="preserve">foot containers </w:t>
            </w:r>
          </w:p>
        </w:tc>
        <w:tc>
          <w:tcPr>
            <w:tcW w:w="5619" w:type="dxa"/>
            <w:shd w:val="clear" w:color="auto" w:fill="C9DED4"/>
          </w:tcPr>
          <w:p w14:paraId="79922E3B" w14:textId="77777777" w:rsidR="001A500E" w:rsidRPr="00A950CC" w:rsidRDefault="001A500E" w:rsidP="001F3C85">
            <w:pPr>
              <w:tabs>
                <w:tab w:val="num" w:pos="720"/>
              </w:tabs>
              <w:jc w:val="left"/>
              <w:rPr>
                <w:rFonts w:cs="Tahoma"/>
                <w:sz w:val="15"/>
                <w:szCs w:val="15"/>
              </w:rPr>
            </w:pPr>
            <w:r>
              <w:rPr>
                <w:sz w:val="15"/>
              </w:rPr>
              <w:t>100</w:t>
            </w:r>
          </w:p>
        </w:tc>
      </w:tr>
      <w:tr w:rsidR="001A500E" w:rsidRPr="00A950CC" w14:paraId="31A08459" w14:textId="77777777" w:rsidTr="00D510B7">
        <w:trPr>
          <w:cantSplit/>
        </w:trPr>
        <w:tc>
          <w:tcPr>
            <w:tcW w:w="3397" w:type="dxa"/>
            <w:shd w:val="clear" w:color="auto" w:fill="auto"/>
          </w:tcPr>
          <w:p w14:paraId="601C8A95" w14:textId="77777777" w:rsidR="001A500E" w:rsidRPr="00A950CC" w:rsidRDefault="001A500E" w:rsidP="001F3C85">
            <w:pPr>
              <w:tabs>
                <w:tab w:val="num" w:pos="720"/>
              </w:tabs>
              <w:jc w:val="left"/>
              <w:rPr>
                <w:rFonts w:cs="Tahoma"/>
                <w:bCs/>
                <w:sz w:val="15"/>
                <w:szCs w:val="15"/>
              </w:rPr>
            </w:pPr>
            <w:r>
              <w:rPr>
                <w:sz w:val="15"/>
              </w:rPr>
              <w:t>Consolidated cargo (except express dispatch cargo)</w:t>
            </w:r>
          </w:p>
        </w:tc>
        <w:tc>
          <w:tcPr>
            <w:tcW w:w="5619" w:type="dxa"/>
            <w:shd w:val="clear" w:color="auto" w:fill="auto"/>
          </w:tcPr>
          <w:p w14:paraId="41FD688B" w14:textId="77777777" w:rsidR="001A500E" w:rsidRPr="00A950CC" w:rsidRDefault="001A500E" w:rsidP="001F3C85">
            <w:pPr>
              <w:autoSpaceDE w:val="0"/>
              <w:autoSpaceDN w:val="0"/>
              <w:adjustRightInd w:val="0"/>
              <w:jc w:val="left"/>
              <w:rPr>
                <w:rFonts w:cs="Tahoma"/>
                <w:sz w:val="15"/>
                <w:szCs w:val="15"/>
              </w:rPr>
            </w:pPr>
            <w:r>
              <w:rPr>
                <w:sz w:val="15"/>
              </w:rPr>
              <w:t xml:space="preserve">0.25 per kilo or fraction thereof, with a ceiling of 60 for each bill of lading </w:t>
            </w:r>
          </w:p>
        </w:tc>
      </w:tr>
      <w:tr w:rsidR="001A500E" w:rsidRPr="00A950CC" w14:paraId="24635133" w14:textId="77777777" w:rsidTr="00D510B7">
        <w:trPr>
          <w:cantSplit/>
        </w:trPr>
        <w:tc>
          <w:tcPr>
            <w:tcW w:w="3397" w:type="dxa"/>
            <w:shd w:val="clear" w:color="auto" w:fill="C9DED4"/>
          </w:tcPr>
          <w:p w14:paraId="76021ABA" w14:textId="77777777" w:rsidR="001A500E" w:rsidRPr="00A950CC" w:rsidRDefault="001A500E" w:rsidP="001F3C85">
            <w:pPr>
              <w:tabs>
                <w:tab w:val="num" w:pos="720"/>
              </w:tabs>
              <w:jc w:val="left"/>
              <w:rPr>
                <w:rFonts w:cs="Tahoma"/>
                <w:bCs/>
                <w:sz w:val="15"/>
                <w:szCs w:val="15"/>
              </w:rPr>
            </w:pPr>
            <w:r>
              <w:rPr>
                <w:sz w:val="15"/>
              </w:rPr>
              <w:t>Loose or bulk goods</w:t>
            </w:r>
          </w:p>
        </w:tc>
        <w:tc>
          <w:tcPr>
            <w:tcW w:w="5619" w:type="dxa"/>
            <w:shd w:val="clear" w:color="auto" w:fill="C9DED4"/>
          </w:tcPr>
          <w:p w14:paraId="49C84DF3" w14:textId="77777777" w:rsidR="001A500E" w:rsidRPr="00A950CC" w:rsidRDefault="001A500E" w:rsidP="001F3C85">
            <w:pPr>
              <w:autoSpaceDE w:val="0"/>
              <w:autoSpaceDN w:val="0"/>
              <w:adjustRightInd w:val="0"/>
              <w:jc w:val="left"/>
              <w:rPr>
                <w:rFonts w:cs="Tahoma"/>
                <w:sz w:val="15"/>
                <w:szCs w:val="15"/>
              </w:rPr>
            </w:pPr>
            <w:r>
              <w:rPr>
                <w:sz w:val="15"/>
              </w:rPr>
              <w:t>0.50 per metric tonne, with a ceiling of 500 per bill of lading</w:t>
            </w:r>
          </w:p>
        </w:tc>
      </w:tr>
      <w:tr w:rsidR="001A500E" w:rsidRPr="00A950CC" w14:paraId="4F7AD387" w14:textId="77777777" w:rsidTr="00D510B7">
        <w:trPr>
          <w:cantSplit/>
        </w:trPr>
        <w:tc>
          <w:tcPr>
            <w:tcW w:w="3397" w:type="dxa"/>
            <w:shd w:val="clear" w:color="auto" w:fill="auto"/>
          </w:tcPr>
          <w:p w14:paraId="112ED6EA" w14:textId="77777777" w:rsidR="001A500E" w:rsidRPr="00A950CC" w:rsidRDefault="001A500E" w:rsidP="001F3C85">
            <w:pPr>
              <w:tabs>
                <w:tab w:val="num" w:pos="720"/>
              </w:tabs>
              <w:jc w:val="left"/>
              <w:rPr>
                <w:rFonts w:cs="Tahoma"/>
                <w:bCs/>
                <w:sz w:val="15"/>
                <w:szCs w:val="15"/>
              </w:rPr>
            </w:pPr>
            <w:r>
              <w:rPr>
                <w:sz w:val="15"/>
              </w:rPr>
              <w:t>Motor vehicles, equipment and machinery</w:t>
            </w:r>
          </w:p>
        </w:tc>
        <w:tc>
          <w:tcPr>
            <w:tcW w:w="5619" w:type="dxa"/>
            <w:shd w:val="clear" w:color="auto" w:fill="auto"/>
          </w:tcPr>
          <w:p w14:paraId="4CF78A20" w14:textId="77777777" w:rsidR="001A500E" w:rsidRPr="00A950CC" w:rsidRDefault="001A500E" w:rsidP="001F3C85">
            <w:pPr>
              <w:tabs>
                <w:tab w:val="num" w:pos="720"/>
              </w:tabs>
              <w:jc w:val="left"/>
              <w:rPr>
                <w:rFonts w:cs="Tahoma"/>
                <w:b/>
                <w:sz w:val="15"/>
                <w:szCs w:val="15"/>
              </w:rPr>
            </w:pPr>
            <w:r>
              <w:rPr>
                <w:sz w:val="15"/>
              </w:rPr>
              <w:t>100 per unit</w:t>
            </w:r>
          </w:p>
        </w:tc>
      </w:tr>
      <w:tr w:rsidR="001A500E" w:rsidRPr="00A950CC" w14:paraId="5D7B8991" w14:textId="77777777" w:rsidTr="00D510B7">
        <w:trPr>
          <w:cantSplit/>
        </w:trPr>
        <w:tc>
          <w:tcPr>
            <w:tcW w:w="3397" w:type="dxa"/>
            <w:shd w:val="clear" w:color="auto" w:fill="C9DED4"/>
          </w:tcPr>
          <w:p w14:paraId="3611BD15" w14:textId="77777777" w:rsidR="001A500E" w:rsidRPr="00A950CC" w:rsidRDefault="001A500E" w:rsidP="001F3C85">
            <w:pPr>
              <w:tabs>
                <w:tab w:val="num" w:pos="720"/>
              </w:tabs>
              <w:jc w:val="left"/>
              <w:rPr>
                <w:rFonts w:cs="Tahoma"/>
                <w:bCs/>
                <w:sz w:val="15"/>
                <w:szCs w:val="15"/>
              </w:rPr>
            </w:pPr>
            <w:r>
              <w:rPr>
                <w:sz w:val="15"/>
              </w:rPr>
              <w:t>Express shipments</w:t>
            </w:r>
          </w:p>
        </w:tc>
        <w:tc>
          <w:tcPr>
            <w:tcW w:w="5619" w:type="dxa"/>
            <w:shd w:val="clear" w:color="auto" w:fill="C9DED4"/>
          </w:tcPr>
          <w:p w14:paraId="618F9CB4" w14:textId="77777777" w:rsidR="001A500E" w:rsidRPr="00A950CC" w:rsidRDefault="001A500E" w:rsidP="001F3C85">
            <w:pPr>
              <w:autoSpaceDE w:val="0"/>
              <w:autoSpaceDN w:val="0"/>
              <w:adjustRightInd w:val="0"/>
              <w:jc w:val="left"/>
              <w:rPr>
                <w:rFonts w:cs="Tahoma"/>
                <w:sz w:val="15"/>
                <w:szCs w:val="15"/>
              </w:rPr>
            </w:pPr>
            <w:r>
              <w:rPr>
                <w:sz w:val="15"/>
              </w:rPr>
              <w:t>0.25 per kilo or fraction thereof, with a ceiling of 10 for each waybill issued by the international express transport company</w:t>
            </w:r>
          </w:p>
        </w:tc>
      </w:tr>
    </w:tbl>
    <w:p w14:paraId="67597A42" w14:textId="77777777" w:rsidR="001A500E" w:rsidRPr="006420F6" w:rsidRDefault="001A500E" w:rsidP="00D510B7">
      <w:pPr>
        <w:pStyle w:val="NoteText"/>
        <w:spacing w:before="60"/>
      </w:pPr>
      <w:r>
        <w:t>Source:</w:t>
      </w:r>
      <w:r>
        <w:tab/>
        <w:t xml:space="preserve">Presidential Decree </w:t>
      </w:r>
      <w:r w:rsidRPr="0060155B">
        <w:t>No. </w:t>
      </w:r>
      <w:r>
        <w:t>627</w:t>
      </w:r>
      <w:r w:rsidRPr="0060155B">
        <w:noBreakHyphen/>
      </w:r>
      <w:r>
        <w:t>06.</w:t>
      </w:r>
    </w:p>
    <w:p w14:paraId="6EB4161B" w14:textId="77777777" w:rsidR="001A500E" w:rsidRPr="007C74EF" w:rsidRDefault="001A500E" w:rsidP="00574469">
      <w:pPr>
        <w:pStyle w:val="BodyText"/>
      </w:pPr>
      <w:bookmarkStart w:id="164" w:name="_Hlk97208936"/>
      <w:r>
        <w:lastRenderedPageBreak/>
        <w:t>A service fee is also levied on goods destined for customs warehouses</w:t>
      </w:r>
      <w:r w:rsidRPr="0060155B">
        <w:t>. T</w:t>
      </w:r>
      <w:r>
        <w:t xml:space="preserve">his fee is currently an </w:t>
      </w:r>
      <w:r>
        <w:rPr>
          <w:i/>
          <w:iCs/>
        </w:rPr>
        <w:t>ad valorem</w:t>
      </w:r>
      <w:r>
        <w:t xml:space="preserve"> fee of 1% for tax warehouses and 1.5% for re</w:t>
      </w:r>
      <w:r w:rsidRPr="0060155B">
        <w:noBreakHyphen/>
      </w:r>
      <w:r>
        <w:t>export warehouses, calculated as a percentage of the value of the good</w:t>
      </w:r>
      <w:r w:rsidRPr="0060155B">
        <w:t>. H</w:t>
      </w:r>
      <w:r>
        <w:t xml:space="preserve">owever, under new Customs Law </w:t>
      </w:r>
      <w:r w:rsidRPr="0060155B">
        <w:t>No. </w:t>
      </w:r>
      <w:r>
        <w:t>168</w:t>
      </w:r>
      <w:r w:rsidRPr="0060155B">
        <w:noBreakHyphen/>
      </w:r>
      <w:r>
        <w:t>21, this fee must be set according to the approximate cost of the services rendered and will be adjusted annually in accordance with the consumer price indices published by the Central Bank.</w:t>
      </w:r>
      <w:r>
        <w:rPr>
          <w:rStyle w:val="FootnoteReference"/>
        </w:rPr>
        <w:footnoteReference w:id="136"/>
      </w:r>
    </w:p>
    <w:p w14:paraId="0DC10BBD" w14:textId="77777777" w:rsidR="001A500E" w:rsidRPr="007C74EF" w:rsidRDefault="001A500E" w:rsidP="00574469">
      <w:pPr>
        <w:pStyle w:val="BodyText"/>
      </w:pPr>
      <w:r>
        <w:t xml:space="preserve">Imports of all fishery products, whether processed or not, are subject to a special single </w:t>
      </w:r>
      <w:r>
        <w:rPr>
          <w:i/>
          <w:iCs/>
        </w:rPr>
        <w:t>ad valorem</w:t>
      </w:r>
      <w:r>
        <w:t xml:space="preserve"> tax of 0.5%, which will be used to finance the Dominican Fisheries and Aquaculture Council (</w:t>
      </w:r>
      <w:proofErr w:type="spellStart"/>
      <w:r>
        <w:t>CODOPESCA</w:t>
      </w:r>
      <w:proofErr w:type="spellEnd"/>
      <w:r>
        <w:t>)</w:t>
      </w:r>
      <w:r w:rsidRPr="0060155B">
        <w:t>.</w:t>
      </w:r>
      <w:r w:rsidRPr="0060155B">
        <w:rPr>
          <w:rStyle w:val="FootnoteReference"/>
        </w:rPr>
        <w:footnoteReference w:id="137"/>
      </w:r>
      <w:r w:rsidRPr="0060155B">
        <w:t xml:space="preserve"> E</w:t>
      </w:r>
      <w:r>
        <w:t>xemptions apply to products used in aquaculture, for example</w:t>
      </w:r>
      <w:r w:rsidRPr="0060155B">
        <w:t>: s</w:t>
      </w:r>
      <w:r>
        <w:t xml:space="preserve">eeds and inputs such as feed, hormones, fishing line and hooks, in addition to navigation and refrigeration equipment and engines imported by aquaculture producers or fishers registered with </w:t>
      </w:r>
      <w:proofErr w:type="spellStart"/>
      <w:r>
        <w:t>CODOPESCA</w:t>
      </w:r>
      <w:proofErr w:type="spellEnd"/>
      <w:r>
        <w:t xml:space="preserve"> or with a research centre</w:t>
      </w:r>
      <w:r w:rsidRPr="0060155B">
        <w:t>. T</w:t>
      </w:r>
      <w:r>
        <w:t xml:space="preserve">he executive branch may, for exceptional reasons, exempt importers from the payment of the tax, provided that </w:t>
      </w:r>
      <w:proofErr w:type="spellStart"/>
      <w:r>
        <w:t>CODOPESCA</w:t>
      </w:r>
      <w:proofErr w:type="spellEnd"/>
      <w:r>
        <w:t xml:space="preserve"> does not object.</w:t>
      </w:r>
      <w:bookmarkEnd w:id="164"/>
      <w:r>
        <w:rPr>
          <w:rStyle w:val="FootnoteReference"/>
        </w:rPr>
        <w:footnoteReference w:id="138"/>
      </w:r>
    </w:p>
    <w:p w14:paraId="41EC03F0" w14:textId="77777777" w:rsidR="001A500E" w:rsidRPr="006420F6" w:rsidRDefault="001A500E" w:rsidP="00574469">
      <w:pPr>
        <w:pStyle w:val="BodyText"/>
      </w:pPr>
      <w:r>
        <w:t xml:space="preserve">The </w:t>
      </w:r>
      <w:proofErr w:type="spellStart"/>
      <w:r>
        <w:t>ITBIS</w:t>
      </w:r>
      <w:proofErr w:type="spellEnd"/>
      <w:r>
        <w:t>, a value</w:t>
      </w:r>
      <w:r w:rsidRPr="0060155B">
        <w:noBreakHyphen/>
      </w:r>
      <w:r>
        <w:t>added type general consumption tax, is applied to the transfer and importation of new or used industrialized goods and to the provision of services</w:t>
      </w:r>
      <w:r w:rsidRPr="0060155B">
        <w:t>. T</w:t>
      </w:r>
      <w:r>
        <w:t>he standard rate is 18%</w:t>
      </w:r>
      <w:r w:rsidRPr="0060155B">
        <w:t>. A</w:t>
      </w:r>
      <w:r>
        <w:t xml:space="preserve"> reduced rate of 16% applies to certain products such as</w:t>
      </w:r>
      <w:r w:rsidRPr="0060155B">
        <w:t>: s</w:t>
      </w:r>
      <w:r>
        <w:t>ugars</w:t>
      </w:r>
      <w:r w:rsidRPr="0060155B">
        <w:t>; c</w:t>
      </w:r>
      <w:r>
        <w:t>ocoa and chocolate</w:t>
      </w:r>
      <w:r w:rsidRPr="0060155B">
        <w:t>; c</w:t>
      </w:r>
      <w:r>
        <w:t>offee (some types)</w:t>
      </w:r>
      <w:r w:rsidRPr="0060155B">
        <w:t>; e</w:t>
      </w:r>
      <w:r>
        <w:t>dible animal and vegetable fats</w:t>
      </w:r>
      <w:r w:rsidRPr="0060155B">
        <w:t>; a</w:t>
      </w:r>
      <w:r>
        <w:t>nd yogurt and butter</w:t>
      </w:r>
      <w:r w:rsidRPr="0060155B">
        <w:t>. S</w:t>
      </w:r>
      <w:r>
        <w:t>ome agricultural consumer goods and inputs for the agricultural and/or food industry are exempt</w:t>
      </w:r>
      <w:r w:rsidRPr="0060155B">
        <w:t>. T</w:t>
      </w:r>
      <w:r>
        <w:t>hese products include live animals, fresh, chilled and frozen meat, fish for mass consumption or reproduction, and dairy products (except yogurt and butter).</w:t>
      </w:r>
      <w:r>
        <w:rPr>
          <w:rStyle w:val="FootnoteReference"/>
        </w:rPr>
        <w:footnoteReference w:id="139"/>
      </w:r>
    </w:p>
    <w:p w14:paraId="165FE375" w14:textId="77777777" w:rsidR="001A500E" w:rsidRPr="007C74EF" w:rsidRDefault="001A500E" w:rsidP="00574469">
      <w:pPr>
        <w:pStyle w:val="BodyText"/>
      </w:pPr>
      <w:r>
        <w:t xml:space="preserve">The </w:t>
      </w:r>
      <w:proofErr w:type="spellStart"/>
      <w:r>
        <w:t>ISC</w:t>
      </w:r>
      <w:proofErr w:type="spellEnd"/>
      <w:r>
        <w:t xml:space="preserve"> is levied on the transfer and importation of certain domestically produced goods, and on telecommunications and insurance services (Table 3.5)</w:t>
      </w:r>
      <w:r w:rsidRPr="0060155B">
        <w:t>. T</w:t>
      </w:r>
      <w:r>
        <w:t xml:space="preserve">he </w:t>
      </w:r>
      <w:proofErr w:type="spellStart"/>
      <w:r>
        <w:t>ISC</w:t>
      </w:r>
      <w:proofErr w:type="spellEnd"/>
      <w:r>
        <w:t xml:space="preserve"> rate depends on the type of product or service</w:t>
      </w:r>
      <w:r w:rsidRPr="0060155B">
        <w:t>. R</w:t>
      </w:r>
      <w:r>
        <w:t xml:space="preserve">ates are </w:t>
      </w:r>
      <w:r>
        <w:rPr>
          <w:i/>
          <w:iCs/>
        </w:rPr>
        <w:t>ad valorem</w:t>
      </w:r>
      <w:r>
        <w:t>, except in the case of alcoholic beverages and tobacco</w:t>
      </w:r>
      <w:r w:rsidRPr="0060155B">
        <w:t>. I</w:t>
      </w:r>
      <w:r>
        <w:t xml:space="preserve">n these cases, the </w:t>
      </w:r>
      <w:proofErr w:type="spellStart"/>
      <w:r>
        <w:t>ISC</w:t>
      </w:r>
      <w:proofErr w:type="spellEnd"/>
      <w:r>
        <w:t xml:space="preserve"> has an </w:t>
      </w:r>
      <w:r>
        <w:rPr>
          <w:i/>
          <w:iCs/>
        </w:rPr>
        <w:t>ad valorem</w:t>
      </w:r>
      <w:r>
        <w:t xml:space="preserve"> component and a specific component, which is adjusted quarterly according to the inflation index</w:t>
      </w:r>
      <w:r w:rsidRPr="0060155B">
        <w:t>. T</w:t>
      </w:r>
      <w:r>
        <w:t xml:space="preserve">he </w:t>
      </w:r>
      <w:r>
        <w:rPr>
          <w:i/>
          <w:iCs/>
        </w:rPr>
        <w:t>ad valorem</w:t>
      </w:r>
      <w:r>
        <w:t xml:space="preserve"> part of the </w:t>
      </w:r>
      <w:proofErr w:type="spellStart"/>
      <w:r>
        <w:t>ISC</w:t>
      </w:r>
      <w:proofErr w:type="spellEnd"/>
      <w:r>
        <w:t xml:space="preserve"> for alcoholic beverages and tobacco is calculated by adding the specific component to the recommended retail price (RRP).</w:t>
      </w:r>
      <w:r>
        <w:rPr>
          <w:rStyle w:val="FootnoteReference"/>
        </w:rPr>
        <w:footnoteReference w:id="140"/>
      </w:r>
    </w:p>
    <w:p w14:paraId="77A5CE1A" w14:textId="77777777" w:rsidR="001A500E" w:rsidRPr="006420F6" w:rsidRDefault="001A500E" w:rsidP="00B900E5">
      <w:pPr>
        <w:pStyle w:val="Caption"/>
      </w:pPr>
      <w:bookmarkStart w:id="165" w:name="_Toc117238038"/>
      <w:r>
        <w:t xml:space="preserve">Table </w:t>
      </w:r>
      <w:r w:rsidR="00BD37F2">
        <w:fldChar w:fldCharType="begin"/>
      </w:r>
      <w:r w:rsidR="00BD37F2">
        <w:instrText xml:space="preserve"> STYLEREF 1 \s </w:instrText>
      </w:r>
      <w:r w:rsidR="00BD37F2">
        <w:fldChar w:fldCharType="separate"/>
      </w:r>
      <w:r>
        <w:rPr>
          <w:noProof/>
        </w:rPr>
        <w:t>3</w:t>
      </w:r>
      <w:r w:rsidR="00BD37F2">
        <w:rPr>
          <w:noProof/>
        </w:rPr>
        <w:fldChar w:fldCharType="end"/>
      </w:r>
      <w:r>
        <w:t>.</w:t>
      </w:r>
      <w:r w:rsidR="00BD37F2">
        <w:fldChar w:fldCharType="begin"/>
      </w:r>
      <w:r w:rsidR="00BD37F2">
        <w:instrText xml:space="preserve"> SEQ Table \* ARABIC \s 1 </w:instrText>
      </w:r>
      <w:r w:rsidR="00BD37F2">
        <w:fldChar w:fldCharType="separate"/>
      </w:r>
      <w:r>
        <w:rPr>
          <w:noProof/>
        </w:rPr>
        <w:t>5</w:t>
      </w:r>
      <w:r w:rsidR="00BD37F2">
        <w:rPr>
          <w:noProof/>
        </w:rPr>
        <w:fldChar w:fldCharType="end"/>
      </w:r>
      <w:r>
        <w:t xml:space="preserve"> </w:t>
      </w:r>
      <w:proofErr w:type="spellStart"/>
      <w:r>
        <w:t>ISC</w:t>
      </w:r>
      <w:proofErr w:type="spellEnd"/>
      <w:r>
        <w:t xml:space="preserve"> rates, 2022</w:t>
      </w:r>
      <w:bookmarkEnd w:id="165"/>
    </w:p>
    <w:tbl>
      <w:tblPr>
        <w:tblW w:w="5000" w:type="pct"/>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7509"/>
        <w:gridCol w:w="1507"/>
      </w:tblGrid>
      <w:tr w:rsidR="001A500E" w:rsidRPr="006420F6" w14:paraId="13083BE8" w14:textId="77777777" w:rsidTr="001F3C85">
        <w:trPr>
          <w:tblHeader/>
        </w:trPr>
        <w:tc>
          <w:tcPr>
            <w:tcW w:w="4164" w:type="pct"/>
            <w:shd w:val="clear" w:color="auto" w:fill="006283"/>
          </w:tcPr>
          <w:p w14:paraId="2EE0AA0A" w14:textId="77777777" w:rsidR="001A500E" w:rsidRPr="00A950CC" w:rsidRDefault="001A500E" w:rsidP="001F3C85">
            <w:pPr>
              <w:jc w:val="center"/>
              <w:rPr>
                <w:b/>
                <w:color w:val="FFFFFF"/>
                <w:sz w:val="15"/>
                <w:szCs w:val="15"/>
              </w:rPr>
            </w:pPr>
            <w:r>
              <w:rPr>
                <w:b/>
                <w:color w:val="FFFFFF"/>
                <w:sz w:val="15"/>
              </w:rPr>
              <w:t xml:space="preserve">Product </w:t>
            </w:r>
          </w:p>
        </w:tc>
        <w:tc>
          <w:tcPr>
            <w:tcW w:w="836" w:type="pct"/>
            <w:shd w:val="clear" w:color="auto" w:fill="006283"/>
          </w:tcPr>
          <w:p w14:paraId="7BE81F5D" w14:textId="77777777" w:rsidR="001A500E" w:rsidRPr="00A950CC" w:rsidRDefault="001A500E" w:rsidP="001F3C85">
            <w:pPr>
              <w:jc w:val="center"/>
              <w:rPr>
                <w:b/>
                <w:color w:val="FFFFFF"/>
                <w:sz w:val="15"/>
                <w:szCs w:val="15"/>
              </w:rPr>
            </w:pPr>
            <w:r>
              <w:rPr>
                <w:b/>
                <w:color w:val="FFFFFF"/>
                <w:sz w:val="15"/>
              </w:rPr>
              <w:t xml:space="preserve">Rate </w:t>
            </w:r>
          </w:p>
        </w:tc>
      </w:tr>
      <w:tr w:rsidR="001A500E" w:rsidRPr="006420F6" w14:paraId="64B8FE73" w14:textId="77777777" w:rsidTr="001F3C85">
        <w:tc>
          <w:tcPr>
            <w:tcW w:w="4164" w:type="pct"/>
            <w:shd w:val="clear" w:color="auto" w:fill="auto"/>
          </w:tcPr>
          <w:p w14:paraId="3DEEF658" w14:textId="77777777" w:rsidR="001A500E" w:rsidRPr="00A950CC" w:rsidRDefault="001A500E" w:rsidP="001F3C85">
            <w:pPr>
              <w:jc w:val="left"/>
              <w:rPr>
                <w:sz w:val="15"/>
                <w:szCs w:val="15"/>
              </w:rPr>
            </w:pPr>
            <w:r>
              <w:rPr>
                <w:sz w:val="15"/>
              </w:rPr>
              <w:t>Alcohol, alcoholic beverages and beer</w:t>
            </w:r>
          </w:p>
        </w:tc>
        <w:tc>
          <w:tcPr>
            <w:tcW w:w="836" w:type="pct"/>
            <w:shd w:val="clear" w:color="auto" w:fill="auto"/>
          </w:tcPr>
          <w:p w14:paraId="136D5740" w14:textId="77777777" w:rsidR="001A500E" w:rsidRPr="00A950CC" w:rsidRDefault="001A500E" w:rsidP="001F3C85">
            <w:pPr>
              <w:ind w:right="170"/>
              <w:jc w:val="right"/>
              <w:rPr>
                <w:sz w:val="15"/>
                <w:szCs w:val="15"/>
              </w:rPr>
            </w:pPr>
            <w:r>
              <w:rPr>
                <w:sz w:val="15"/>
              </w:rPr>
              <w:t>10%</w:t>
            </w:r>
          </w:p>
        </w:tc>
      </w:tr>
      <w:tr w:rsidR="001A500E" w:rsidRPr="006420F6" w14:paraId="11F06B26" w14:textId="77777777" w:rsidTr="001F3C85">
        <w:tc>
          <w:tcPr>
            <w:tcW w:w="4164" w:type="pct"/>
            <w:shd w:val="clear" w:color="auto" w:fill="C9DED4"/>
          </w:tcPr>
          <w:p w14:paraId="28067791" w14:textId="77777777" w:rsidR="001A500E" w:rsidRPr="00A950CC" w:rsidRDefault="001A500E" w:rsidP="001F3C85">
            <w:pPr>
              <w:jc w:val="center"/>
              <w:rPr>
                <w:sz w:val="15"/>
                <w:szCs w:val="15"/>
              </w:rPr>
            </w:pPr>
            <w:r>
              <w:rPr>
                <w:b/>
                <w:sz w:val="15"/>
              </w:rPr>
              <w:t>Specific amount (DOP) per litre of alcohol (pure)</w:t>
            </w:r>
            <w:r>
              <w:rPr>
                <w:b/>
                <w:sz w:val="15"/>
                <w:vertAlign w:val="superscript"/>
              </w:rPr>
              <w:t>a</w:t>
            </w:r>
          </w:p>
        </w:tc>
        <w:tc>
          <w:tcPr>
            <w:tcW w:w="836" w:type="pct"/>
            <w:shd w:val="clear" w:color="auto" w:fill="C9DED4"/>
          </w:tcPr>
          <w:p w14:paraId="1B25BDD6" w14:textId="77777777" w:rsidR="001A500E" w:rsidRPr="00A950CC" w:rsidRDefault="001A500E" w:rsidP="001F3C85">
            <w:pPr>
              <w:ind w:right="170"/>
              <w:jc w:val="right"/>
              <w:rPr>
                <w:sz w:val="15"/>
                <w:szCs w:val="15"/>
              </w:rPr>
            </w:pPr>
          </w:p>
        </w:tc>
      </w:tr>
      <w:tr w:rsidR="001A500E" w:rsidRPr="006420F6" w14:paraId="76EA4A61" w14:textId="77777777" w:rsidTr="001F3C85">
        <w:tc>
          <w:tcPr>
            <w:tcW w:w="4164" w:type="pct"/>
            <w:shd w:val="clear" w:color="auto" w:fill="auto"/>
          </w:tcPr>
          <w:p w14:paraId="4F4B5151" w14:textId="77777777" w:rsidR="001A500E" w:rsidRPr="00A950CC" w:rsidRDefault="001A500E" w:rsidP="001F3C85">
            <w:pPr>
              <w:jc w:val="left"/>
              <w:rPr>
                <w:sz w:val="15"/>
                <w:szCs w:val="15"/>
              </w:rPr>
            </w:pPr>
            <w:r>
              <w:rPr>
                <w:color w:val="222120"/>
                <w:sz w:val="15"/>
              </w:rPr>
              <w:t>Beer made from malt (other than malt extract)</w:t>
            </w:r>
          </w:p>
        </w:tc>
        <w:tc>
          <w:tcPr>
            <w:tcW w:w="836" w:type="pct"/>
            <w:shd w:val="clear" w:color="auto" w:fill="auto"/>
          </w:tcPr>
          <w:p w14:paraId="177B7954" w14:textId="77777777" w:rsidR="001A500E" w:rsidRPr="00A950CC" w:rsidRDefault="001A500E" w:rsidP="001F3C85">
            <w:pPr>
              <w:ind w:right="170"/>
              <w:jc w:val="right"/>
              <w:rPr>
                <w:sz w:val="15"/>
                <w:szCs w:val="15"/>
              </w:rPr>
            </w:pPr>
            <w:r>
              <w:rPr>
                <w:color w:val="222120"/>
                <w:sz w:val="15"/>
              </w:rPr>
              <w:t>695.50</w:t>
            </w:r>
          </w:p>
        </w:tc>
      </w:tr>
      <w:tr w:rsidR="001A500E" w:rsidRPr="006420F6" w14:paraId="72A6451F" w14:textId="77777777" w:rsidTr="001F3C85">
        <w:tc>
          <w:tcPr>
            <w:tcW w:w="4164" w:type="pct"/>
            <w:shd w:val="clear" w:color="auto" w:fill="C9DED4"/>
          </w:tcPr>
          <w:p w14:paraId="1534544A" w14:textId="77777777" w:rsidR="001A500E" w:rsidRPr="00A950CC" w:rsidRDefault="001A500E" w:rsidP="001F3C85">
            <w:pPr>
              <w:jc w:val="left"/>
              <w:rPr>
                <w:sz w:val="15"/>
                <w:szCs w:val="15"/>
              </w:rPr>
            </w:pPr>
            <w:r>
              <w:rPr>
                <w:color w:val="222120"/>
                <w:sz w:val="15"/>
              </w:rPr>
              <w:t>Wine of fresh grapes, including fortified wines</w:t>
            </w:r>
            <w:r w:rsidRPr="0060155B">
              <w:rPr>
                <w:color w:val="222120"/>
                <w:sz w:val="15"/>
              </w:rPr>
              <w:t>; g</w:t>
            </w:r>
            <w:r>
              <w:rPr>
                <w:color w:val="222120"/>
                <w:sz w:val="15"/>
              </w:rPr>
              <w:t>rape must other than that of heading 20.09</w:t>
            </w:r>
          </w:p>
        </w:tc>
        <w:tc>
          <w:tcPr>
            <w:tcW w:w="836" w:type="pct"/>
            <w:shd w:val="clear" w:color="auto" w:fill="C9DED4"/>
          </w:tcPr>
          <w:p w14:paraId="139267D6" w14:textId="77777777" w:rsidR="001A500E" w:rsidRPr="00A950CC" w:rsidRDefault="001A500E" w:rsidP="001F3C85">
            <w:pPr>
              <w:ind w:right="170"/>
              <w:jc w:val="right"/>
              <w:rPr>
                <w:sz w:val="15"/>
                <w:szCs w:val="15"/>
              </w:rPr>
            </w:pPr>
            <w:r>
              <w:rPr>
                <w:color w:val="222120"/>
                <w:sz w:val="15"/>
              </w:rPr>
              <w:t>695.50</w:t>
            </w:r>
          </w:p>
        </w:tc>
      </w:tr>
      <w:tr w:rsidR="001A500E" w:rsidRPr="006420F6" w14:paraId="5F6E3536" w14:textId="77777777" w:rsidTr="001F3C85">
        <w:tc>
          <w:tcPr>
            <w:tcW w:w="4164" w:type="pct"/>
            <w:shd w:val="clear" w:color="auto" w:fill="auto"/>
          </w:tcPr>
          <w:p w14:paraId="6FB6A1EE" w14:textId="77777777" w:rsidR="001A500E" w:rsidRPr="00A950CC" w:rsidRDefault="001A500E" w:rsidP="001F3C85">
            <w:pPr>
              <w:jc w:val="left"/>
              <w:rPr>
                <w:sz w:val="15"/>
                <w:szCs w:val="15"/>
              </w:rPr>
            </w:pPr>
            <w:r>
              <w:rPr>
                <w:color w:val="222120"/>
                <w:sz w:val="15"/>
              </w:rPr>
              <w:t>Vermouth and other wine of fresh grapes flavoured with aromatic substances</w:t>
            </w:r>
          </w:p>
        </w:tc>
        <w:tc>
          <w:tcPr>
            <w:tcW w:w="836" w:type="pct"/>
            <w:shd w:val="clear" w:color="auto" w:fill="auto"/>
          </w:tcPr>
          <w:p w14:paraId="4C6F2869" w14:textId="77777777" w:rsidR="001A500E" w:rsidRPr="00A950CC" w:rsidRDefault="001A500E" w:rsidP="001F3C85">
            <w:pPr>
              <w:ind w:right="170"/>
              <w:jc w:val="right"/>
              <w:rPr>
                <w:sz w:val="15"/>
                <w:szCs w:val="15"/>
              </w:rPr>
            </w:pPr>
            <w:r>
              <w:rPr>
                <w:color w:val="222120"/>
                <w:sz w:val="15"/>
              </w:rPr>
              <w:t>695.50</w:t>
            </w:r>
          </w:p>
        </w:tc>
      </w:tr>
      <w:tr w:rsidR="001A500E" w:rsidRPr="006420F6" w14:paraId="3FDDD061" w14:textId="77777777" w:rsidTr="001F3C85">
        <w:tc>
          <w:tcPr>
            <w:tcW w:w="4164" w:type="pct"/>
            <w:shd w:val="clear" w:color="auto" w:fill="C9DED4"/>
          </w:tcPr>
          <w:p w14:paraId="21FC3621" w14:textId="77777777" w:rsidR="001A500E" w:rsidRPr="00A950CC" w:rsidRDefault="001A500E" w:rsidP="001F3C85">
            <w:pPr>
              <w:jc w:val="left"/>
              <w:rPr>
                <w:sz w:val="15"/>
                <w:szCs w:val="15"/>
              </w:rPr>
            </w:pPr>
            <w:r>
              <w:rPr>
                <w:sz w:val="15"/>
              </w:rPr>
              <w:t>Other fermented beverages and non</w:t>
            </w:r>
            <w:r w:rsidRPr="0060155B">
              <w:rPr>
                <w:sz w:val="15"/>
              </w:rPr>
              <w:noBreakHyphen/>
            </w:r>
            <w:r>
              <w:rPr>
                <w:sz w:val="15"/>
              </w:rPr>
              <w:t>alcoholic beverages, not elsewhere specified or included</w:t>
            </w:r>
          </w:p>
        </w:tc>
        <w:tc>
          <w:tcPr>
            <w:tcW w:w="836" w:type="pct"/>
            <w:shd w:val="clear" w:color="auto" w:fill="C9DED4"/>
          </w:tcPr>
          <w:p w14:paraId="63B55DD6" w14:textId="77777777" w:rsidR="001A500E" w:rsidRPr="00A950CC" w:rsidRDefault="001A500E" w:rsidP="001F3C85">
            <w:pPr>
              <w:ind w:right="170"/>
              <w:jc w:val="right"/>
              <w:rPr>
                <w:sz w:val="15"/>
                <w:szCs w:val="15"/>
              </w:rPr>
            </w:pPr>
            <w:r>
              <w:rPr>
                <w:color w:val="222120"/>
                <w:sz w:val="15"/>
              </w:rPr>
              <w:t>695.50</w:t>
            </w:r>
          </w:p>
        </w:tc>
      </w:tr>
      <w:tr w:rsidR="001A500E" w:rsidRPr="006420F6" w14:paraId="64FD65BC" w14:textId="77777777" w:rsidTr="001F3C85">
        <w:tc>
          <w:tcPr>
            <w:tcW w:w="4164" w:type="pct"/>
            <w:shd w:val="clear" w:color="auto" w:fill="auto"/>
          </w:tcPr>
          <w:p w14:paraId="3B8FF9D2" w14:textId="77777777" w:rsidR="001A500E" w:rsidRPr="00A950CC" w:rsidRDefault="001A500E" w:rsidP="001F3C85">
            <w:pPr>
              <w:jc w:val="left"/>
              <w:rPr>
                <w:sz w:val="15"/>
                <w:szCs w:val="15"/>
              </w:rPr>
            </w:pPr>
            <w:r>
              <w:rPr>
                <w:sz w:val="15"/>
              </w:rPr>
              <w:t>Undenatured ethyl alcohol of an alcoholic strength by volume of 80% vol. or higher</w:t>
            </w:r>
            <w:r w:rsidRPr="0060155B">
              <w:rPr>
                <w:sz w:val="15"/>
              </w:rPr>
              <w:t>; e</w:t>
            </w:r>
            <w:r>
              <w:rPr>
                <w:sz w:val="15"/>
              </w:rPr>
              <w:t>thyl alcohol and other spirits, denatured, of any strength</w:t>
            </w:r>
          </w:p>
        </w:tc>
        <w:tc>
          <w:tcPr>
            <w:tcW w:w="836" w:type="pct"/>
            <w:shd w:val="clear" w:color="auto" w:fill="auto"/>
          </w:tcPr>
          <w:p w14:paraId="1D6FCC4D" w14:textId="77777777" w:rsidR="001A500E" w:rsidRPr="00A950CC" w:rsidRDefault="001A500E" w:rsidP="001F3C85">
            <w:pPr>
              <w:ind w:right="170"/>
              <w:jc w:val="right"/>
              <w:rPr>
                <w:sz w:val="15"/>
                <w:szCs w:val="15"/>
              </w:rPr>
            </w:pPr>
            <w:r>
              <w:rPr>
                <w:color w:val="222120"/>
                <w:sz w:val="15"/>
              </w:rPr>
              <w:t>695.50</w:t>
            </w:r>
          </w:p>
        </w:tc>
      </w:tr>
      <w:tr w:rsidR="001A500E" w:rsidRPr="006420F6" w14:paraId="77AE3419" w14:textId="77777777" w:rsidTr="001F3C85">
        <w:tc>
          <w:tcPr>
            <w:tcW w:w="4164" w:type="pct"/>
            <w:shd w:val="clear" w:color="auto" w:fill="C9DED4"/>
          </w:tcPr>
          <w:p w14:paraId="6834CD3D" w14:textId="77777777" w:rsidR="001A500E" w:rsidRPr="00A950CC" w:rsidRDefault="001A500E" w:rsidP="001F3C85">
            <w:pPr>
              <w:jc w:val="left"/>
              <w:rPr>
                <w:sz w:val="15"/>
                <w:szCs w:val="15"/>
              </w:rPr>
            </w:pPr>
            <w:r>
              <w:rPr>
                <w:sz w:val="15"/>
              </w:rPr>
              <w:t>Undenatured ethyl alcohol of an alcoholic strength by volume of less than 80% vol.</w:t>
            </w:r>
            <w:r w:rsidRPr="0060155B">
              <w:rPr>
                <w:sz w:val="15"/>
              </w:rPr>
              <w:t>; o</w:t>
            </w:r>
            <w:r>
              <w:rPr>
                <w:sz w:val="15"/>
              </w:rPr>
              <w:t>ther spirits, mixed alcoholic preparations of a kind used to manufacture beverages</w:t>
            </w:r>
          </w:p>
        </w:tc>
        <w:tc>
          <w:tcPr>
            <w:tcW w:w="836" w:type="pct"/>
            <w:shd w:val="clear" w:color="auto" w:fill="C9DED4"/>
          </w:tcPr>
          <w:p w14:paraId="4CB2853C" w14:textId="77777777" w:rsidR="001A500E" w:rsidRPr="00A950CC" w:rsidRDefault="001A500E" w:rsidP="001F3C85">
            <w:pPr>
              <w:ind w:right="170"/>
              <w:jc w:val="right"/>
              <w:rPr>
                <w:sz w:val="15"/>
                <w:szCs w:val="15"/>
              </w:rPr>
            </w:pPr>
            <w:r>
              <w:rPr>
                <w:color w:val="222120"/>
                <w:sz w:val="15"/>
              </w:rPr>
              <w:t>695.50</w:t>
            </w:r>
          </w:p>
        </w:tc>
      </w:tr>
      <w:tr w:rsidR="001A500E" w:rsidRPr="006420F6" w14:paraId="574B2DC0" w14:textId="77777777" w:rsidTr="001F3C85">
        <w:tc>
          <w:tcPr>
            <w:tcW w:w="4164" w:type="pct"/>
            <w:shd w:val="clear" w:color="auto" w:fill="auto"/>
          </w:tcPr>
          <w:p w14:paraId="71119319" w14:textId="77777777" w:rsidR="001A500E" w:rsidRPr="00A950CC" w:rsidRDefault="001A500E" w:rsidP="001F3C85">
            <w:pPr>
              <w:jc w:val="left"/>
              <w:rPr>
                <w:sz w:val="15"/>
                <w:szCs w:val="15"/>
              </w:rPr>
            </w:pPr>
            <w:r>
              <w:rPr>
                <w:color w:val="222120"/>
                <w:sz w:val="15"/>
              </w:rPr>
              <w:t>High</w:t>
            </w:r>
            <w:r w:rsidRPr="0060155B">
              <w:rPr>
                <w:color w:val="222120"/>
                <w:sz w:val="15"/>
              </w:rPr>
              <w:noBreakHyphen/>
            </w:r>
            <w:r>
              <w:rPr>
                <w:color w:val="222120"/>
                <w:sz w:val="15"/>
              </w:rPr>
              <w:t>alcohol spirits obtained by distilling grape wine for producing brandy</w:t>
            </w:r>
          </w:p>
        </w:tc>
        <w:tc>
          <w:tcPr>
            <w:tcW w:w="836" w:type="pct"/>
            <w:shd w:val="clear" w:color="auto" w:fill="auto"/>
          </w:tcPr>
          <w:p w14:paraId="4A451533" w14:textId="77777777" w:rsidR="001A500E" w:rsidRPr="00A950CC" w:rsidRDefault="001A500E" w:rsidP="001F3C85">
            <w:pPr>
              <w:ind w:right="170"/>
              <w:jc w:val="right"/>
              <w:rPr>
                <w:sz w:val="15"/>
                <w:szCs w:val="15"/>
              </w:rPr>
            </w:pPr>
            <w:r>
              <w:rPr>
                <w:color w:val="222120"/>
                <w:sz w:val="15"/>
              </w:rPr>
              <w:t>695.50</w:t>
            </w:r>
          </w:p>
        </w:tc>
      </w:tr>
      <w:tr w:rsidR="001A500E" w:rsidRPr="006420F6" w14:paraId="76DC6F70" w14:textId="77777777" w:rsidTr="001F3C85">
        <w:tc>
          <w:tcPr>
            <w:tcW w:w="4164" w:type="pct"/>
            <w:shd w:val="clear" w:color="auto" w:fill="C9DED4"/>
          </w:tcPr>
          <w:p w14:paraId="7A2711FD" w14:textId="77777777" w:rsidR="001A500E" w:rsidRPr="00A950CC" w:rsidRDefault="001A500E" w:rsidP="001F3C85">
            <w:pPr>
              <w:jc w:val="left"/>
              <w:rPr>
                <w:sz w:val="15"/>
                <w:szCs w:val="15"/>
              </w:rPr>
            </w:pPr>
            <w:r>
              <w:rPr>
                <w:sz w:val="15"/>
              </w:rPr>
              <w:t>Spirits obtained by distilling grape wine (e.g. cognac and other brandies)</w:t>
            </w:r>
          </w:p>
        </w:tc>
        <w:tc>
          <w:tcPr>
            <w:tcW w:w="836" w:type="pct"/>
            <w:shd w:val="clear" w:color="auto" w:fill="C9DED4"/>
          </w:tcPr>
          <w:p w14:paraId="47E9FEB0" w14:textId="77777777" w:rsidR="001A500E" w:rsidRPr="00A950CC" w:rsidRDefault="001A500E" w:rsidP="001F3C85">
            <w:pPr>
              <w:ind w:right="170"/>
              <w:jc w:val="right"/>
              <w:rPr>
                <w:sz w:val="15"/>
                <w:szCs w:val="15"/>
              </w:rPr>
            </w:pPr>
            <w:r>
              <w:rPr>
                <w:color w:val="222120"/>
                <w:sz w:val="15"/>
              </w:rPr>
              <w:t>695.50</w:t>
            </w:r>
          </w:p>
        </w:tc>
      </w:tr>
      <w:tr w:rsidR="001A500E" w:rsidRPr="006420F6" w14:paraId="4257E649" w14:textId="77777777" w:rsidTr="001F3C85">
        <w:tc>
          <w:tcPr>
            <w:tcW w:w="4164" w:type="pct"/>
            <w:shd w:val="clear" w:color="auto" w:fill="auto"/>
          </w:tcPr>
          <w:p w14:paraId="01AC2329" w14:textId="77777777" w:rsidR="001A500E" w:rsidRPr="00A950CC" w:rsidRDefault="001A500E" w:rsidP="001F3C85">
            <w:pPr>
              <w:jc w:val="left"/>
              <w:rPr>
                <w:sz w:val="15"/>
                <w:szCs w:val="15"/>
              </w:rPr>
            </w:pPr>
            <w:r>
              <w:rPr>
                <w:sz w:val="15"/>
              </w:rPr>
              <w:t>Spirits obtained by distilling grape marc (e.g. grappa)</w:t>
            </w:r>
          </w:p>
        </w:tc>
        <w:tc>
          <w:tcPr>
            <w:tcW w:w="836" w:type="pct"/>
            <w:shd w:val="clear" w:color="auto" w:fill="auto"/>
          </w:tcPr>
          <w:p w14:paraId="43CD9EF5" w14:textId="77777777" w:rsidR="001A500E" w:rsidRPr="00A950CC" w:rsidRDefault="001A500E" w:rsidP="001F3C85">
            <w:pPr>
              <w:ind w:right="170"/>
              <w:jc w:val="right"/>
              <w:rPr>
                <w:rFonts w:eastAsia="Times New Roman" w:cs="Open Sans"/>
                <w:color w:val="222120"/>
                <w:sz w:val="15"/>
                <w:szCs w:val="15"/>
              </w:rPr>
            </w:pPr>
            <w:r>
              <w:rPr>
                <w:color w:val="222120"/>
                <w:sz w:val="15"/>
              </w:rPr>
              <w:t>695.50</w:t>
            </w:r>
          </w:p>
        </w:tc>
      </w:tr>
      <w:tr w:rsidR="001A500E" w:rsidRPr="006420F6" w14:paraId="54558D71" w14:textId="77777777" w:rsidTr="001F3C85">
        <w:tc>
          <w:tcPr>
            <w:tcW w:w="4164" w:type="pct"/>
            <w:shd w:val="clear" w:color="auto" w:fill="C9DED4"/>
          </w:tcPr>
          <w:p w14:paraId="412A61BA" w14:textId="77777777" w:rsidR="001A500E" w:rsidRPr="00A950CC" w:rsidRDefault="001A500E" w:rsidP="001F3C85">
            <w:pPr>
              <w:jc w:val="left"/>
              <w:rPr>
                <w:sz w:val="15"/>
                <w:szCs w:val="15"/>
              </w:rPr>
            </w:pPr>
            <w:r>
              <w:rPr>
                <w:sz w:val="15"/>
              </w:rPr>
              <w:t>High</w:t>
            </w:r>
            <w:r w:rsidRPr="0060155B">
              <w:rPr>
                <w:sz w:val="15"/>
              </w:rPr>
              <w:noBreakHyphen/>
            </w:r>
            <w:r>
              <w:rPr>
                <w:sz w:val="15"/>
              </w:rPr>
              <w:t>alcohol whisky (e.g. malt spirits) for blending</w:t>
            </w:r>
          </w:p>
        </w:tc>
        <w:tc>
          <w:tcPr>
            <w:tcW w:w="836" w:type="pct"/>
            <w:shd w:val="clear" w:color="auto" w:fill="C9DED4"/>
          </w:tcPr>
          <w:p w14:paraId="11F3E2EE" w14:textId="77777777" w:rsidR="001A500E" w:rsidRPr="00A950CC" w:rsidRDefault="001A500E" w:rsidP="001F3C85">
            <w:pPr>
              <w:ind w:right="170"/>
              <w:jc w:val="right"/>
              <w:rPr>
                <w:sz w:val="15"/>
                <w:szCs w:val="15"/>
              </w:rPr>
            </w:pPr>
            <w:r>
              <w:rPr>
                <w:color w:val="222120"/>
                <w:sz w:val="15"/>
              </w:rPr>
              <w:t>695.50</w:t>
            </w:r>
          </w:p>
        </w:tc>
      </w:tr>
      <w:tr w:rsidR="001A500E" w:rsidRPr="006420F6" w14:paraId="0EE9FD7C" w14:textId="77777777" w:rsidTr="001F3C85">
        <w:tc>
          <w:tcPr>
            <w:tcW w:w="4164" w:type="pct"/>
            <w:shd w:val="clear" w:color="auto" w:fill="auto"/>
          </w:tcPr>
          <w:p w14:paraId="711FFEBD" w14:textId="77777777" w:rsidR="001A500E" w:rsidRPr="00A950CC" w:rsidRDefault="001A500E" w:rsidP="001F3C85">
            <w:pPr>
              <w:jc w:val="left"/>
              <w:rPr>
                <w:sz w:val="15"/>
                <w:szCs w:val="15"/>
              </w:rPr>
            </w:pPr>
            <w:r>
              <w:rPr>
                <w:sz w:val="15"/>
              </w:rPr>
              <w:t>Irish whiskey and Scotch whisky</w:t>
            </w:r>
          </w:p>
        </w:tc>
        <w:tc>
          <w:tcPr>
            <w:tcW w:w="836" w:type="pct"/>
            <w:shd w:val="clear" w:color="auto" w:fill="auto"/>
          </w:tcPr>
          <w:p w14:paraId="737C9EEE" w14:textId="77777777" w:rsidR="001A500E" w:rsidRPr="00A950CC" w:rsidRDefault="001A500E" w:rsidP="001F3C85">
            <w:pPr>
              <w:ind w:right="170"/>
              <w:jc w:val="right"/>
              <w:rPr>
                <w:sz w:val="15"/>
                <w:szCs w:val="15"/>
              </w:rPr>
            </w:pPr>
            <w:r>
              <w:rPr>
                <w:color w:val="222120"/>
                <w:sz w:val="15"/>
              </w:rPr>
              <w:t>695.50</w:t>
            </w:r>
          </w:p>
        </w:tc>
      </w:tr>
      <w:tr w:rsidR="001A500E" w:rsidRPr="006420F6" w14:paraId="53D894E7" w14:textId="77777777" w:rsidTr="001F3C85">
        <w:tc>
          <w:tcPr>
            <w:tcW w:w="4164" w:type="pct"/>
            <w:shd w:val="clear" w:color="auto" w:fill="C9DED4"/>
          </w:tcPr>
          <w:p w14:paraId="41AE3C9D" w14:textId="77777777" w:rsidR="001A500E" w:rsidRPr="00A950CC" w:rsidRDefault="001A500E" w:rsidP="001F3C85">
            <w:pPr>
              <w:jc w:val="left"/>
              <w:rPr>
                <w:sz w:val="15"/>
                <w:szCs w:val="15"/>
              </w:rPr>
            </w:pPr>
            <w:r>
              <w:rPr>
                <w:sz w:val="15"/>
              </w:rPr>
              <w:t>Scotch whisky in a bottle of a net content not exceeding 700 ml and of a value not exceeding one pound sterling (</w:t>
            </w:r>
            <w:r w:rsidRPr="0060155B">
              <w:rPr>
                <w:sz w:val="15"/>
              </w:rPr>
              <w:t>GBP 1</w:t>
            </w:r>
            <w:r>
              <w:rPr>
                <w:sz w:val="15"/>
              </w:rPr>
              <w:t>)</w:t>
            </w:r>
          </w:p>
        </w:tc>
        <w:tc>
          <w:tcPr>
            <w:tcW w:w="836" w:type="pct"/>
            <w:shd w:val="clear" w:color="auto" w:fill="C9DED4"/>
          </w:tcPr>
          <w:p w14:paraId="54582036" w14:textId="77777777" w:rsidR="001A500E" w:rsidRPr="00A950CC" w:rsidRDefault="001A500E" w:rsidP="001F3C85">
            <w:pPr>
              <w:ind w:right="170"/>
              <w:jc w:val="right"/>
              <w:rPr>
                <w:sz w:val="15"/>
                <w:szCs w:val="15"/>
              </w:rPr>
            </w:pPr>
            <w:r>
              <w:rPr>
                <w:color w:val="222120"/>
                <w:sz w:val="15"/>
              </w:rPr>
              <w:t>695.50</w:t>
            </w:r>
          </w:p>
        </w:tc>
      </w:tr>
      <w:tr w:rsidR="001A500E" w:rsidRPr="006420F6" w14:paraId="2230E437" w14:textId="77777777" w:rsidTr="001F3C85">
        <w:tc>
          <w:tcPr>
            <w:tcW w:w="4164" w:type="pct"/>
            <w:shd w:val="clear" w:color="auto" w:fill="auto"/>
          </w:tcPr>
          <w:p w14:paraId="36D5413A" w14:textId="77777777" w:rsidR="001A500E" w:rsidRPr="00A950CC" w:rsidRDefault="001A500E" w:rsidP="001F3C85">
            <w:pPr>
              <w:jc w:val="left"/>
              <w:rPr>
                <w:sz w:val="15"/>
                <w:szCs w:val="15"/>
              </w:rPr>
            </w:pPr>
            <w:r>
              <w:rPr>
                <w:color w:val="222120"/>
                <w:sz w:val="15"/>
              </w:rPr>
              <w:t>Other whiskies</w:t>
            </w:r>
          </w:p>
        </w:tc>
        <w:tc>
          <w:tcPr>
            <w:tcW w:w="836" w:type="pct"/>
            <w:shd w:val="clear" w:color="auto" w:fill="auto"/>
          </w:tcPr>
          <w:p w14:paraId="2E3429B6" w14:textId="77777777" w:rsidR="001A500E" w:rsidRPr="00A950CC" w:rsidRDefault="001A500E" w:rsidP="001F3C85">
            <w:pPr>
              <w:ind w:right="170"/>
              <w:jc w:val="right"/>
              <w:rPr>
                <w:sz w:val="15"/>
                <w:szCs w:val="15"/>
              </w:rPr>
            </w:pPr>
            <w:r>
              <w:rPr>
                <w:color w:val="222120"/>
                <w:sz w:val="15"/>
              </w:rPr>
              <w:t>695.50</w:t>
            </w:r>
          </w:p>
        </w:tc>
      </w:tr>
      <w:tr w:rsidR="001A500E" w:rsidRPr="006420F6" w14:paraId="3DABD3C7" w14:textId="77777777" w:rsidTr="001F3C85">
        <w:tc>
          <w:tcPr>
            <w:tcW w:w="4164" w:type="pct"/>
            <w:shd w:val="clear" w:color="auto" w:fill="C9DED4"/>
          </w:tcPr>
          <w:p w14:paraId="48AFD531" w14:textId="77777777" w:rsidR="001A500E" w:rsidRPr="00A950CC" w:rsidRDefault="001A500E" w:rsidP="001F3C85">
            <w:pPr>
              <w:jc w:val="left"/>
              <w:rPr>
                <w:rFonts w:eastAsia="Times New Roman" w:cs="Open Sans"/>
                <w:color w:val="222120"/>
                <w:sz w:val="15"/>
                <w:szCs w:val="15"/>
              </w:rPr>
            </w:pPr>
            <w:r>
              <w:rPr>
                <w:sz w:val="15"/>
              </w:rPr>
              <w:t>Rum and other spirits obtained by distilling fermented sugar</w:t>
            </w:r>
            <w:r w:rsidRPr="0060155B">
              <w:rPr>
                <w:sz w:val="15"/>
              </w:rPr>
              <w:noBreakHyphen/>
            </w:r>
            <w:r>
              <w:rPr>
                <w:sz w:val="15"/>
              </w:rPr>
              <w:t>cane products in containers holding more than 5 litres, with an alcoholic strength by volume not exceeding 45%, whether or not aged</w:t>
            </w:r>
          </w:p>
        </w:tc>
        <w:tc>
          <w:tcPr>
            <w:tcW w:w="836" w:type="pct"/>
            <w:shd w:val="clear" w:color="auto" w:fill="C9DED4"/>
          </w:tcPr>
          <w:p w14:paraId="1C929005" w14:textId="77777777" w:rsidR="001A500E" w:rsidRPr="00A950CC" w:rsidRDefault="001A500E" w:rsidP="001F3C85">
            <w:pPr>
              <w:ind w:right="170"/>
              <w:jc w:val="right"/>
              <w:rPr>
                <w:sz w:val="15"/>
                <w:szCs w:val="15"/>
              </w:rPr>
            </w:pPr>
            <w:r>
              <w:rPr>
                <w:color w:val="222120"/>
                <w:sz w:val="15"/>
              </w:rPr>
              <w:t>695.50</w:t>
            </w:r>
          </w:p>
        </w:tc>
      </w:tr>
      <w:tr w:rsidR="001A500E" w:rsidRPr="006420F6" w14:paraId="0B8090AD" w14:textId="77777777" w:rsidTr="001F3C85">
        <w:tc>
          <w:tcPr>
            <w:tcW w:w="4164" w:type="pct"/>
            <w:shd w:val="clear" w:color="auto" w:fill="auto"/>
          </w:tcPr>
          <w:p w14:paraId="03E84978" w14:textId="77777777" w:rsidR="001A500E" w:rsidRPr="00A950CC" w:rsidRDefault="001A500E" w:rsidP="001F3C85">
            <w:pPr>
              <w:jc w:val="left"/>
              <w:rPr>
                <w:rFonts w:eastAsia="Times New Roman" w:cs="Open Sans"/>
                <w:color w:val="222120"/>
                <w:sz w:val="15"/>
                <w:szCs w:val="15"/>
              </w:rPr>
            </w:pPr>
            <w:r>
              <w:rPr>
                <w:sz w:val="15"/>
              </w:rPr>
              <w:lastRenderedPageBreak/>
              <w:t>Rum and other spirits obtained by distilling fermented sugar</w:t>
            </w:r>
            <w:r w:rsidRPr="0060155B">
              <w:rPr>
                <w:sz w:val="15"/>
              </w:rPr>
              <w:noBreakHyphen/>
            </w:r>
            <w:r>
              <w:rPr>
                <w:sz w:val="15"/>
              </w:rPr>
              <w:t>cane products in containers holding 5 litres or less, with an alcoholic strength by volume of more than 45% but not exceeding 80%, aged</w:t>
            </w:r>
          </w:p>
        </w:tc>
        <w:tc>
          <w:tcPr>
            <w:tcW w:w="836" w:type="pct"/>
            <w:shd w:val="clear" w:color="auto" w:fill="auto"/>
          </w:tcPr>
          <w:p w14:paraId="015741B6" w14:textId="77777777" w:rsidR="001A500E" w:rsidRPr="00A950CC" w:rsidRDefault="001A500E" w:rsidP="001F3C85">
            <w:pPr>
              <w:ind w:right="170"/>
              <w:jc w:val="right"/>
              <w:rPr>
                <w:sz w:val="15"/>
                <w:szCs w:val="15"/>
              </w:rPr>
            </w:pPr>
            <w:r>
              <w:rPr>
                <w:color w:val="222120"/>
                <w:sz w:val="15"/>
              </w:rPr>
              <w:t>695.50</w:t>
            </w:r>
          </w:p>
        </w:tc>
      </w:tr>
      <w:tr w:rsidR="001A500E" w:rsidRPr="006420F6" w14:paraId="41CB68A9" w14:textId="77777777" w:rsidTr="001F3C85">
        <w:tc>
          <w:tcPr>
            <w:tcW w:w="4164" w:type="pct"/>
            <w:shd w:val="clear" w:color="auto" w:fill="C9DED4"/>
          </w:tcPr>
          <w:p w14:paraId="5E3B011B" w14:textId="77777777" w:rsidR="001A500E" w:rsidRPr="00A950CC" w:rsidRDefault="001A500E" w:rsidP="001F3C85">
            <w:pPr>
              <w:jc w:val="left"/>
              <w:rPr>
                <w:sz w:val="15"/>
                <w:szCs w:val="15"/>
              </w:rPr>
            </w:pPr>
            <w:r>
              <w:rPr>
                <w:color w:val="222120"/>
                <w:sz w:val="15"/>
              </w:rPr>
              <w:t>Other rum</w:t>
            </w:r>
          </w:p>
        </w:tc>
        <w:tc>
          <w:tcPr>
            <w:tcW w:w="836" w:type="pct"/>
            <w:shd w:val="clear" w:color="auto" w:fill="C9DED4"/>
          </w:tcPr>
          <w:p w14:paraId="18A6605C" w14:textId="77777777" w:rsidR="001A500E" w:rsidRPr="00A950CC" w:rsidRDefault="001A500E" w:rsidP="001F3C85">
            <w:pPr>
              <w:ind w:right="170"/>
              <w:jc w:val="right"/>
              <w:rPr>
                <w:sz w:val="15"/>
                <w:szCs w:val="15"/>
              </w:rPr>
            </w:pPr>
            <w:r>
              <w:rPr>
                <w:color w:val="222120"/>
                <w:sz w:val="15"/>
              </w:rPr>
              <w:t>695.50</w:t>
            </w:r>
          </w:p>
        </w:tc>
      </w:tr>
      <w:tr w:rsidR="001A500E" w:rsidRPr="006420F6" w14:paraId="5F18EBED" w14:textId="77777777" w:rsidTr="001F3C85">
        <w:tc>
          <w:tcPr>
            <w:tcW w:w="4164" w:type="pct"/>
            <w:shd w:val="clear" w:color="auto" w:fill="auto"/>
          </w:tcPr>
          <w:p w14:paraId="337B00EC" w14:textId="77777777" w:rsidR="001A500E" w:rsidRPr="00A950CC" w:rsidRDefault="001A500E" w:rsidP="001F3C85">
            <w:pPr>
              <w:jc w:val="left"/>
              <w:rPr>
                <w:rFonts w:eastAsia="Times New Roman" w:cs="Open Sans"/>
                <w:color w:val="222120"/>
                <w:sz w:val="15"/>
                <w:szCs w:val="15"/>
              </w:rPr>
            </w:pPr>
            <w:r>
              <w:rPr>
                <w:sz w:val="15"/>
              </w:rPr>
              <w:t xml:space="preserve">Gin and </w:t>
            </w:r>
            <w:proofErr w:type="spellStart"/>
            <w:r>
              <w:rPr>
                <w:sz w:val="15"/>
              </w:rPr>
              <w:t>genever</w:t>
            </w:r>
            <w:proofErr w:type="spellEnd"/>
          </w:p>
        </w:tc>
        <w:tc>
          <w:tcPr>
            <w:tcW w:w="836" w:type="pct"/>
            <w:shd w:val="clear" w:color="auto" w:fill="auto"/>
          </w:tcPr>
          <w:p w14:paraId="10DF3C4C" w14:textId="77777777" w:rsidR="001A500E" w:rsidRPr="00A950CC" w:rsidRDefault="001A500E" w:rsidP="001F3C85">
            <w:pPr>
              <w:ind w:right="170"/>
              <w:jc w:val="right"/>
              <w:rPr>
                <w:rFonts w:eastAsia="Times New Roman" w:cs="Open Sans"/>
                <w:color w:val="222120"/>
                <w:sz w:val="15"/>
                <w:szCs w:val="15"/>
              </w:rPr>
            </w:pPr>
            <w:r>
              <w:rPr>
                <w:color w:val="222120"/>
                <w:sz w:val="15"/>
              </w:rPr>
              <w:t>695.50</w:t>
            </w:r>
          </w:p>
        </w:tc>
      </w:tr>
      <w:tr w:rsidR="001A500E" w:rsidRPr="006420F6" w14:paraId="5B61D2F4" w14:textId="77777777" w:rsidTr="001F3C85">
        <w:tc>
          <w:tcPr>
            <w:tcW w:w="4164" w:type="pct"/>
            <w:shd w:val="clear" w:color="auto" w:fill="C9DED4"/>
          </w:tcPr>
          <w:p w14:paraId="5A1FC567" w14:textId="77777777" w:rsidR="001A500E" w:rsidRPr="00A950CC" w:rsidRDefault="001A500E" w:rsidP="001F3C85">
            <w:pPr>
              <w:jc w:val="left"/>
              <w:rPr>
                <w:rFonts w:eastAsia="Times New Roman" w:cs="Open Sans"/>
                <w:color w:val="222120"/>
                <w:sz w:val="15"/>
                <w:szCs w:val="15"/>
              </w:rPr>
            </w:pPr>
            <w:r>
              <w:rPr>
                <w:sz w:val="15"/>
              </w:rPr>
              <w:t>Vodka</w:t>
            </w:r>
          </w:p>
        </w:tc>
        <w:tc>
          <w:tcPr>
            <w:tcW w:w="836" w:type="pct"/>
            <w:shd w:val="clear" w:color="auto" w:fill="C9DED4"/>
          </w:tcPr>
          <w:p w14:paraId="0FE4E640" w14:textId="77777777" w:rsidR="001A500E" w:rsidRPr="00A950CC" w:rsidRDefault="001A500E" w:rsidP="001F3C85">
            <w:pPr>
              <w:ind w:right="170"/>
              <w:jc w:val="right"/>
              <w:rPr>
                <w:rFonts w:eastAsia="Times New Roman" w:cs="Open Sans"/>
                <w:color w:val="222120"/>
                <w:sz w:val="15"/>
                <w:szCs w:val="15"/>
              </w:rPr>
            </w:pPr>
            <w:r>
              <w:rPr>
                <w:color w:val="222120"/>
                <w:sz w:val="15"/>
              </w:rPr>
              <w:t>695.50</w:t>
            </w:r>
          </w:p>
        </w:tc>
      </w:tr>
      <w:tr w:rsidR="001A500E" w:rsidRPr="006420F6" w14:paraId="6BC1A79E" w14:textId="77777777" w:rsidTr="001F3C85">
        <w:tc>
          <w:tcPr>
            <w:tcW w:w="4164" w:type="pct"/>
            <w:shd w:val="clear" w:color="auto" w:fill="auto"/>
          </w:tcPr>
          <w:p w14:paraId="52E6D333" w14:textId="77777777" w:rsidR="001A500E" w:rsidRPr="00A950CC" w:rsidRDefault="001A500E" w:rsidP="001F3C85">
            <w:pPr>
              <w:jc w:val="left"/>
              <w:rPr>
                <w:rFonts w:eastAsia="Times New Roman" w:cs="Open Sans"/>
                <w:color w:val="222120"/>
                <w:sz w:val="15"/>
                <w:szCs w:val="15"/>
              </w:rPr>
            </w:pPr>
            <w:r>
              <w:rPr>
                <w:sz w:val="15"/>
              </w:rPr>
              <w:t xml:space="preserve">Anise liqueur </w:t>
            </w:r>
          </w:p>
        </w:tc>
        <w:tc>
          <w:tcPr>
            <w:tcW w:w="836" w:type="pct"/>
            <w:shd w:val="clear" w:color="auto" w:fill="auto"/>
          </w:tcPr>
          <w:p w14:paraId="7C412F54" w14:textId="77777777" w:rsidR="001A500E" w:rsidRPr="00A950CC" w:rsidRDefault="001A500E" w:rsidP="001F3C85">
            <w:pPr>
              <w:ind w:right="170"/>
              <w:jc w:val="right"/>
              <w:rPr>
                <w:rFonts w:eastAsia="Times New Roman" w:cs="Open Sans"/>
                <w:color w:val="222120"/>
                <w:sz w:val="15"/>
                <w:szCs w:val="15"/>
              </w:rPr>
            </w:pPr>
            <w:r>
              <w:rPr>
                <w:color w:val="222120"/>
                <w:sz w:val="15"/>
              </w:rPr>
              <w:t>695.50</w:t>
            </w:r>
          </w:p>
        </w:tc>
      </w:tr>
      <w:tr w:rsidR="001A500E" w:rsidRPr="006420F6" w14:paraId="5225D05A" w14:textId="77777777" w:rsidTr="001F3C85">
        <w:tc>
          <w:tcPr>
            <w:tcW w:w="4164" w:type="pct"/>
            <w:shd w:val="clear" w:color="auto" w:fill="C9DED4"/>
          </w:tcPr>
          <w:p w14:paraId="7F484D35" w14:textId="77777777" w:rsidR="001A500E" w:rsidRPr="00A950CC" w:rsidRDefault="001A500E" w:rsidP="001F3C85">
            <w:pPr>
              <w:jc w:val="left"/>
              <w:rPr>
                <w:rFonts w:eastAsia="Times New Roman" w:cs="Open Sans"/>
                <w:color w:val="222120"/>
                <w:sz w:val="15"/>
                <w:szCs w:val="15"/>
              </w:rPr>
            </w:pPr>
            <w:r>
              <w:rPr>
                <w:sz w:val="15"/>
              </w:rPr>
              <w:t>Cream liqueur</w:t>
            </w:r>
          </w:p>
        </w:tc>
        <w:tc>
          <w:tcPr>
            <w:tcW w:w="836" w:type="pct"/>
            <w:shd w:val="clear" w:color="auto" w:fill="C9DED4"/>
          </w:tcPr>
          <w:p w14:paraId="13C6F15A" w14:textId="77777777" w:rsidR="001A500E" w:rsidRPr="00A950CC" w:rsidRDefault="001A500E" w:rsidP="001F3C85">
            <w:pPr>
              <w:ind w:right="170"/>
              <w:jc w:val="right"/>
              <w:rPr>
                <w:rFonts w:eastAsia="Times New Roman" w:cs="Open Sans"/>
                <w:color w:val="222120"/>
                <w:sz w:val="15"/>
                <w:szCs w:val="15"/>
              </w:rPr>
            </w:pPr>
            <w:r>
              <w:rPr>
                <w:color w:val="222120"/>
                <w:sz w:val="15"/>
              </w:rPr>
              <w:t>695.50</w:t>
            </w:r>
          </w:p>
        </w:tc>
      </w:tr>
      <w:tr w:rsidR="001A500E" w:rsidRPr="006420F6" w14:paraId="3448815E" w14:textId="77777777" w:rsidTr="001F3C85">
        <w:tc>
          <w:tcPr>
            <w:tcW w:w="4164" w:type="pct"/>
            <w:shd w:val="clear" w:color="auto" w:fill="auto"/>
          </w:tcPr>
          <w:p w14:paraId="0FB6F18D" w14:textId="77777777" w:rsidR="001A500E" w:rsidRPr="00A950CC" w:rsidRDefault="001A500E" w:rsidP="001F3C85">
            <w:pPr>
              <w:jc w:val="left"/>
              <w:rPr>
                <w:rFonts w:eastAsia="Times New Roman" w:cs="Open Sans"/>
                <w:color w:val="222120"/>
                <w:sz w:val="15"/>
                <w:szCs w:val="15"/>
              </w:rPr>
            </w:pPr>
            <w:r>
              <w:rPr>
                <w:color w:val="222120"/>
                <w:sz w:val="15"/>
              </w:rPr>
              <w:t>Other liqueurs</w:t>
            </w:r>
          </w:p>
        </w:tc>
        <w:tc>
          <w:tcPr>
            <w:tcW w:w="836" w:type="pct"/>
            <w:shd w:val="clear" w:color="auto" w:fill="auto"/>
          </w:tcPr>
          <w:p w14:paraId="785D746D" w14:textId="77777777" w:rsidR="001A500E" w:rsidRPr="00A950CC" w:rsidRDefault="001A500E" w:rsidP="001F3C85">
            <w:pPr>
              <w:ind w:right="170"/>
              <w:jc w:val="right"/>
              <w:rPr>
                <w:rFonts w:eastAsia="Times New Roman" w:cs="Open Sans"/>
                <w:color w:val="222120"/>
                <w:sz w:val="15"/>
                <w:szCs w:val="15"/>
              </w:rPr>
            </w:pPr>
            <w:r>
              <w:rPr>
                <w:color w:val="222120"/>
                <w:sz w:val="15"/>
              </w:rPr>
              <w:t>695.50</w:t>
            </w:r>
          </w:p>
        </w:tc>
      </w:tr>
      <w:tr w:rsidR="001A500E" w:rsidRPr="006420F6" w14:paraId="47D26915" w14:textId="77777777" w:rsidTr="001F3C85">
        <w:tc>
          <w:tcPr>
            <w:tcW w:w="4164" w:type="pct"/>
            <w:shd w:val="clear" w:color="auto" w:fill="C9DED4"/>
          </w:tcPr>
          <w:p w14:paraId="5C97D215" w14:textId="77777777" w:rsidR="001A500E" w:rsidRPr="00A950CC" w:rsidRDefault="001A500E" w:rsidP="001F3C85">
            <w:pPr>
              <w:jc w:val="left"/>
              <w:rPr>
                <w:rFonts w:eastAsia="Times New Roman" w:cs="Open Sans"/>
                <w:color w:val="222120"/>
                <w:sz w:val="15"/>
                <w:szCs w:val="15"/>
              </w:rPr>
            </w:pPr>
            <w:r>
              <w:rPr>
                <w:sz w:val="15"/>
              </w:rPr>
              <w:t>Undenatured ethyl alcohol of an alcoholic strength by volume of less than 80% vol.:</w:t>
            </w:r>
          </w:p>
        </w:tc>
        <w:tc>
          <w:tcPr>
            <w:tcW w:w="836" w:type="pct"/>
            <w:shd w:val="clear" w:color="auto" w:fill="C9DED4"/>
          </w:tcPr>
          <w:p w14:paraId="47634ECA" w14:textId="77777777" w:rsidR="001A500E" w:rsidRPr="00A950CC" w:rsidRDefault="001A500E" w:rsidP="001F3C85">
            <w:pPr>
              <w:ind w:right="170"/>
              <w:jc w:val="right"/>
              <w:rPr>
                <w:rFonts w:eastAsia="Times New Roman" w:cs="Open Sans"/>
                <w:color w:val="222120"/>
                <w:sz w:val="15"/>
                <w:szCs w:val="15"/>
              </w:rPr>
            </w:pPr>
            <w:r>
              <w:rPr>
                <w:color w:val="222120"/>
                <w:sz w:val="15"/>
              </w:rPr>
              <w:t>695.50</w:t>
            </w:r>
          </w:p>
        </w:tc>
      </w:tr>
      <w:tr w:rsidR="001A500E" w:rsidRPr="006420F6" w14:paraId="5C8E4CF0" w14:textId="77777777" w:rsidTr="001F3C85">
        <w:tc>
          <w:tcPr>
            <w:tcW w:w="4164" w:type="pct"/>
            <w:shd w:val="clear" w:color="auto" w:fill="auto"/>
          </w:tcPr>
          <w:p w14:paraId="6E163254" w14:textId="77777777" w:rsidR="001A500E" w:rsidRPr="00A950CC" w:rsidRDefault="001A500E" w:rsidP="001F3C85">
            <w:pPr>
              <w:jc w:val="left"/>
              <w:rPr>
                <w:rFonts w:eastAsia="Times New Roman" w:cs="Open Sans"/>
                <w:color w:val="222120"/>
                <w:sz w:val="15"/>
                <w:szCs w:val="15"/>
              </w:rPr>
            </w:pPr>
            <w:r>
              <w:rPr>
                <w:color w:val="222120"/>
                <w:sz w:val="15"/>
              </w:rPr>
              <w:t>Obtained by distilling agave</w:t>
            </w:r>
          </w:p>
        </w:tc>
        <w:tc>
          <w:tcPr>
            <w:tcW w:w="836" w:type="pct"/>
            <w:shd w:val="clear" w:color="auto" w:fill="auto"/>
          </w:tcPr>
          <w:p w14:paraId="6495A957" w14:textId="77777777" w:rsidR="001A500E" w:rsidRPr="00A950CC" w:rsidRDefault="001A500E" w:rsidP="001F3C85">
            <w:pPr>
              <w:ind w:right="170"/>
              <w:jc w:val="right"/>
              <w:rPr>
                <w:rFonts w:eastAsia="Times New Roman" w:cs="Open Sans"/>
                <w:color w:val="222120"/>
                <w:sz w:val="15"/>
                <w:szCs w:val="15"/>
              </w:rPr>
            </w:pPr>
            <w:r>
              <w:rPr>
                <w:color w:val="222120"/>
                <w:sz w:val="15"/>
              </w:rPr>
              <w:t>695.50</w:t>
            </w:r>
          </w:p>
        </w:tc>
      </w:tr>
      <w:tr w:rsidR="001A500E" w:rsidRPr="006420F6" w14:paraId="216681FF" w14:textId="77777777" w:rsidTr="001F3C85">
        <w:tc>
          <w:tcPr>
            <w:tcW w:w="4164" w:type="pct"/>
            <w:shd w:val="clear" w:color="auto" w:fill="C9DED4"/>
          </w:tcPr>
          <w:p w14:paraId="5A2A8753" w14:textId="77777777" w:rsidR="001A500E" w:rsidRPr="00A950CC" w:rsidRDefault="001A500E" w:rsidP="001F3C85">
            <w:pPr>
              <w:jc w:val="left"/>
              <w:rPr>
                <w:rFonts w:eastAsia="Times New Roman" w:cs="Open Sans"/>
                <w:color w:val="222120"/>
                <w:sz w:val="15"/>
                <w:szCs w:val="15"/>
              </w:rPr>
            </w:pPr>
            <w:r>
              <w:rPr>
                <w:color w:val="222120"/>
                <w:sz w:val="15"/>
              </w:rPr>
              <w:t>Obtained by distilling anise</w:t>
            </w:r>
          </w:p>
        </w:tc>
        <w:tc>
          <w:tcPr>
            <w:tcW w:w="836" w:type="pct"/>
            <w:shd w:val="clear" w:color="auto" w:fill="C9DED4"/>
          </w:tcPr>
          <w:p w14:paraId="2C9669D3" w14:textId="77777777" w:rsidR="001A500E" w:rsidRPr="00A950CC" w:rsidRDefault="001A500E" w:rsidP="001F3C85">
            <w:pPr>
              <w:ind w:right="170"/>
              <w:jc w:val="right"/>
              <w:rPr>
                <w:rFonts w:eastAsia="Times New Roman" w:cs="Open Sans"/>
                <w:color w:val="222120"/>
                <w:sz w:val="15"/>
                <w:szCs w:val="15"/>
              </w:rPr>
            </w:pPr>
            <w:r>
              <w:rPr>
                <w:color w:val="222120"/>
                <w:sz w:val="15"/>
              </w:rPr>
              <w:t>695.50</w:t>
            </w:r>
          </w:p>
        </w:tc>
      </w:tr>
      <w:tr w:rsidR="001A500E" w:rsidRPr="006420F6" w14:paraId="24ABC4CC" w14:textId="77777777" w:rsidTr="001F3C85">
        <w:tc>
          <w:tcPr>
            <w:tcW w:w="4164" w:type="pct"/>
            <w:shd w:val="clear" w:color="auto" w:fill="auto"/>
          </w:tcPr>
          <w:p w14:paraId="7495CBE8" w14:textId="77777777" w:rsidR="001A500E" w:rsidRPr="00A950CC" w:rsidRDefault="001A500E" w:rsidP="001F3C85">
            <w:pPr>
              <w:jc w:val="left"/>
              <w:rPr>
                <w:rFonts w:eastAsia="Times New Roman" w:cs="Open Sans"/>
                <w:color w:val="222120"/>
                <w:sz w:val="15"/>
                <w:szCs w:val="15"/>
              </w:rPr>
            </w:pPr>
            <w:r>
              <w:rPr>
                <w:color w:val="222120"/>
                <w:sz w:val="15"/>
              </w:rPr>
              <w:t>Obtained by distilling grapes (</w:t>
            </w:r>
            <w:r>
              <w:rPr>
                <w:sz w:val="15"/>
              </w:rPr>
              <w:t xml:space="preserve">e.g. </w:t>
            </w:r>
            <w:r>
              <w:rPr>
                <w:color w:val="222120"/>
                <w:sz w:val="15"/>
              </w:rPr>
              <w:t>pisco)</w:t>
            </w:r>
          </w:p>
        </w:tc>
        <w:tc>
          <w:tcPr>
            <w:tcW w:w="836" w:type="pct"/>
            <w:shd w:val="clear" w:color="auto" w:fill="auto"/>
          </w:tcPr>
          <w:p w14:paraId="31BC6CEE" w14:textId="77777777" w:rsidR="001A500E" w:rsidRPr="00A950CC" w:rsidRDefault="001A500E" w:rsidP="001F3C85">
            <w:pPr>
              <w:ind w:right="170"/>
              <w:jc w:val="right"/>
              <w:rPr>
                <w:rFonts w:eastAsia="Times New Roman" w:cs="Open Sans"/>
                <w:color w:val="222120"/>
                <w:sz w:val="15"/>
                <w:szCs w:val="15"/>
              </w:rPr>
            </w:pPr>
            <w:r>
              <w:rPr>
                <w:color w:val="222120"/>
                <w:sz w:val="15"/>
              </w:rPr>
              <w:t>695.50</w:t>
            </w:r>
          </w:p>
        </w:tc>
      </w:tr>
      <w:tr w:rsidR="001A500E" w:rsidRPr="006420F6" w14:paraId="1D1DF159" w14:textId="77777777" w:rsidTr="001F3C85">
        <w:tc>
          <w:tcPr>
            <w:tcW w:w="4164" w:type="pct"/>
            <w:tcBorders>
              <w:bottom w:val="single" w:sz="4" w:space="0" w:color="auto"/>
            </w:tcBorders>
            <w:shd w:val="clear" w:color="auto" w:fill="C9DED4"/>
          </w:tcPr>
          <w:p w14:paraId="6CA993E2" w14:textId="77777777" w:rsidR="001A500E" w:rsidRPr="00A950CC" w:rsidRDefault="001A500E" w:rsidP="001F3C85">
            <w:pPr>
              <w:jc w:val="left"/>
              <w:rPr>
                <w:sz w:val="15"/>
                <w:szCs w:val="15"/>
              </w:rPr>
            </w:pPr>
            <w:r>
              <w:rPr>
                <w:sz w:val="15"/>
              </w:rPr>
              <w:t xml:space="preserve">Other </w:t>
            </w:r>
          </w:p>
        </w:tc>
        <w:tc>
          <w:tcPr>
            <w:tcW w:w="836" w:type="pct"/>
            <w:tcBorders>
              <w:bottom w:val="single" w:sz="4" w:space="0" w:color="auto"/>
            </w:tcBorders>
            <w:shd w:val="clear" w:color="auto" w:fill="C9DED4"/>
          </w:tcPr>
          <w:p w14:paraId="409B33C5" w14:textId="77777777" w:rsidR="001A500E" w:rsidRPr="00A950CC" w:rsidRDefault="001A500E" w:rsidP="001F3C85">
            <w:pPr>
              <w:ind w:right="170"/>
              <w:jc w:val="right"/>
              <w:rPr>
                <w:sz w:val="15"/>
                <w:szCs w:val="15"/>
              </w:rPr>
            </w:pPr>
            <w:r>
              <w:rPr>
                <w:color w:val="222120"/>
                <w:sz w:val="15"/>
              </w:rPr>
              <w:t>695.50</w:t>
            </w:r>
          </w:p>
        </w:tc>
      </w:tr>
      <w:tr w:rsidR="001A500E" w:rsidRPr="006420F6" w14:paraId="6D01B93C" w14:textId="77777777" w:rsidTr="001F3C85">
        <w:tc>
          <w:tcPr>
            <w:tcW w:w="4164" w:type="pct"/>
            <w:tcBorders>
              <w:top w:val="single" w:sz="4" w:space="0" w:color="auto"/>
              <w:bottom w:val="nil"/>
            </w:tcBorders>
            <w:shd w:val="clear" w:color="auto" w:fill="auto"/>
          </w:tcPr>
          <w:p w14:paraId="20C0A293" w14:textId="77777777" w:rsidR="001A500E" w:rsidRPr="00A950CC" w:rsidRDefault="001A500E" w:rsidP="001F3C85">
            <w:pPr>
              <w:jc w:val="left"/>
              <w:rPr>
                <w:sz w:val="15"/>
                <w:szCs w:val="15"/>
              </w:rPr>
            </w:pPr>
            <w:r>
              <w:rPr>
                <w:sz w:val="15"/>
              </w:rPr>
              <w:t>Tobacco</w:t>
            </w:r>
          </w:p>
        </w:tc>
        <w:tc>
          <w:tcPr>
            <w:tcW w:w="836" w:type="pct"/>
            <w:tcBorders>
              <w:top w:val="single" w:sz="4" w:space="0" w:color="auto"/>
              <w:bottom w:val="nil"/>
            </w:tcBorders>
            <w:shd w:val="clear" w:color="auto" w:fill="auto"/>
          </w:tcPr>
          <w:p w14:paraId="1929A092" w14:textId="77777777" w:rsidR="001A500E" w:rsidRPr="00A950CC" w:rsidRDefault="001A500E" w:rsidP="001F3C85">
            <w:pPr>
              <w:ind w:right="170"/>
              <w:jc w:val="right"/>
              <w:rPr>
                <w:rFonts w:eastAsia="Times New Roman" w:cs="Open Sans"/>
                <w:color w:val="222120"/>
                <w:sz w:val="15"/>
                <w:szCs w:val="15"/>
              </w:rPr>
            </w:pPr>
            <w:r>
              <w:rPr>
                <w:sz w:val="15"/>
              </w:rPr>
              <w:t>20%</w:t>
            </w:r>
          </w:p>
        </w:tc>
      </w:tr>
      <w:tr w:rsidR="001A500E" w:rsidRPr="006420F6" w14:paraId="14D37EE7" w14:textId="77777777" w:rsidTr="001F3C85">
        <w:tc>
          <w:tcPr>
            <w:tcW w:w="4164" w:type="pct"/>
            <w:tcBorders>
              <w:top w:val="nil"/>
            </w:tcBorders>
            <w:shd w:val="clear" w:color="auto" w:fill="C9DED4"/>
          </w:tcPr>
          <w:p w14:paraId="762C1579" w14:textId="77777777" w:rsidR="001A500E" w:rsidRPr="00A950CC" w:rsidRDefault="001A500E" w:rsidP="001F3C85">
            <w:pPr>
              <w:jc w:val="center"/>
              <w:rPr>
                <w:sz w:val="15"/>
                <w:szCs w:val="15"/>
              </w:rPr>
            </w:pPr>
            <w:r>
              <w:rPr>
                <w:b/>
                <w:sz w:val="15"/>
              </w:rPr>
              <w:t xml:space="preserve">Specific amount (DOP) per packet of 20 </w:t>
            </w:r>
            <w:proofErr w:type="spellStart"/>
            <w:r>
              <w:rPr>
                <w:b/>
                <w:sz w:val="15"/>
              </w:rPr>
              <w:t>cigarettes</w:t>
            </w:r>
            <w:r>
              <w:rPr>
                <w:b/>
                <w:sz w:val="15"/>
                <w:vertAlign w:val="superscript"/>
              </w:rPr>
              <w:t>a</w:t>
            </w:r>
            <w:proofErr w:type="spellEnd"/>
          </w:p>
        </w:tc>
        <w:tc>
          <w:tcPr>
            <w:tcW w:w="836" w:type="pct"/>
            <w:tcBorders>
              <w:top w:val="nil"/>
            </w:tcBorders>
            <w:shd w:val="clear" w:color="auto" w:fill="C9DED4"/>
          </w:tcPr>
          <w:p w14:paraId="1440CBB4" w14:textId="77777777" w:rsidR="001A500E" w:rsidRPr="00A950CC" w:rsidRDefault="001A500E" w:rsidP="001F3C85">
            <w:pPr>
              <w:ind w:right="170"/>
              <w:jc w:val="right"/>
              <w:rPr>
                <w:sz w:val="15"/>
                <w:szCs w:val="15"/>
              </w:rPr>
            </w:pPr>
          </w:p>
        </w:tc>
      </w:tr>
      <w:tr w:rsidR="001A500E" w:rsidRPr="006420F6" w14:paraId="00455A71" w14:textId="77777777" w:rsidTr="001F3C85">
        <w:tc>
          <w:tcPr>
            <w:tcW w:w="4164" w:type="pct"/>
            <w:shd w:val="clear" w:color="auto" w:fill="auto"/>
          </w:tcPr>
          <w:p w14:paraId="10B8147A" w14:textId="77777777" w:rsidR="001A500E" w:rsidRPr="00A950CC" w:rsidRDefault="001A500E" w:rsidP="001F3C85">
            <w:pPr>
              <w:jc w:val="left"/>
              <w:rPr>
                <w:sz w:val="15"/>
                <w:szCs w:val="15"/>
              </w:rPr>
            </w:pPr>
            <w:r>
              <w:rPr>
                <w:sz w:val="15"/>
              </w:rPr>
              <w:t>Dark tobacco</w:t>
            </w:r>
          </w:p>
        </w:tc>
        <w:tc>
          <w:tcPr>
            <w:tcW w:w="836" w:type="pct"/>
            <w:shd w:val="clear" w:color="auto" w:fill="auto"/>
          </w:tcPr>
          <w:p w14:paraId="00F63469" w14:textId="77777777" w:rsidR="001A500E" w:rsidRPr="00A950CC" w:rsidRDefault="001A500E" w:rsidP="001F3C85">
            <w:pPr>
              <w:ind w:right="170"/>
              <w:jc w:val="right"/>
              <w:rPr>
                <w:sz w:val="15"/>
                <w:szCs w:val="15"/>
              </w:rPr>
            </w:pPr>
            <w:r>
              <w:rPr>
                <w:sz w:val="15"/>
              </w:rPr>
              <w:t>58.83</w:t>
            </w:r>
          </w:p>
        </w:tc>
      </w:tr>
      <w:tr w:rsidR="001A500E" w:rsidRPr="006420F6" w14:paraId="0EC2C044" w14:textId="77777777" w:rsidTr="001F3C85">
        <w:tc>
          <w:tcPr>
            <w:tcW w:w="4164" w:type="pct"/>
            <w:shd w:val="clear" w:color="auto" w:fill="C9DED4"/>
          </w:tcPr>
          <w:p w14:paraId="7FAB60AA" w14:textId="77777777" w:rsidR="001A500E" w:rsidRPr="00A950CC" w:rsidRDefault="001A500E" w:rsidP="001F3C85">
            <w:pPr>
              <w:jc w:val="left"/>
              <w:rPr>
                <w:sz w:val="15"/>
                <w:szCs w:val="15"/>
              </w:rPr>
            </w:pPr>
            <w:r>
              <w:rPr>
                <w:sz w:val="15"/>
              </w:rPr>
              <w:t>Light tobacco</w:t>
            </w:r>
          </w:p>
        </w:tc>
        <w:tc>
          <w:tcPr>
            <w:tcW w:w="836" w:type="pct"/>
            <w:shd w:val="clear" w:color="auto" w:fill="C9DED4"/>
          </w:tcPr>
          <w:p w14:paraId="6CA84743" w14:textId="77777777" w:rsidR="001A500E" w:rsidRPr="00A950CC" w:rsidRDefault="001A500E" w:rsidP="001F3C85">
            <w:pPr>
              <w:ind w:right="170"/>
              <w:jc w:val="right"/>
              <w:rPr>
                <w:sz w:val="15"/>
                <w:szCs w:val="15"/>
              </w:rPr>
            </w:pPr>
            <w:r>
              <w:rPr>
                <w:sz w:val="15"/>
              </w:rPr>
              <w:t>58.83</w:t>
            </w:r>
          </w:p>
        </w:tc>
      </w:tr>
      <w:tr w:rsidR="001A500E" w:rsidRPr="006420F6" w14:paraId="21FE6F9F" w14:textId="77777777" w:rsidTr="001F3C85">
        <w:tc>
          <w:tcPr>
            <w:tcW w:w="4164" w:type="pct"/>
            <w:shd w:val="clear" w:color="auto" w:fill="auto"/>
          </w:tcPr>
          <w:p w14:paraId="6056ABF8" w14:textId="77777777" w:rsidR="001A500E" w:rsidRPr="00A950CC" w:rsidRDefault="001A500E" w:rsidP="001F3C85">
            <w:pPr>
              <w:jc w:val="left"/>
              <w:rPr>
                <w:sz w:val="15"/>
                <w:szCs w:val="15"/>
              </w:rPr>
            </w:pPr>
            <w:r>
              <w:rPr>
                <w:sz w:val="15"/>
              </w:rPr>
              <w:t>Other</w:t>
            </w:r>
          </w:p>
        </w:tc>
        <w:tc>
          <w:tcPr>
            <w:tcW w:w="836" w:type="pct"/>
            <w:shd w:val="clear" w:color="auto" w:fill="auto"/>
          </w:tcPr>
          <w:p w14:paraId="78103CEE" w14:textId="77777777" w:rsidR="001A500E" w:rsidRPr="00A950CC" w:rsidRDefault="001A500E" w:rsidP="001F3C85">
            <w:pPr>
              <w:ind w:right="170"/>
              <w:jc w:val="right"/>
              <w:rPr>
                <w:sz w:val="15"/>
                <w:szCs w:val="15"/>
              </w:rPr>
            </w:pPr>
            <w:r>
              <w:rPr>
                <w:sz w:val="15"/>
              </w:rPr>
              <w:t>58.83</w:t>
            </w:r>
          </w:p>
        </w:tc>
      </w:tr>
      <w:tr w:rsidR="001A500E" w:rsidRPr="006420F6" w14:paraId="4B3953C0" w14:textId="77777777" w:rsidTr="001F3C85">
        <w:tc>
          <w:tcPr>
            <w:tcW w:w="4164" w:type="pct"/>
            <w:shd w:val="clear" w:color="auto" w:fill="C9DED4"/>
          </w:tcPr>
          <w:p w14:paraId="390CF5A9" w14:textId="77777777" w:rsidR="001A500E" w:rsidRPr="00A950CC" w:rsidRDefault="001A500E" w:rsidP="001F3C85">
            <w:pPr>
              <w:jc w:val="center"/>
              <w:rPr>
                <w:sz w:val="15"/>
                <w:szCs w:val="15"/>
              </w:rPr>
            </w:pPr>
            <w:r>
              <w:rPr>
                <w:b/>
                <w:sz w:val="15"/>
              </w:rPr>
              <w:t xml:space="preserve">Specific amount (DOP) per packet of 10 </w:t>
            </w:r>
            <w:proofErr w:type="spellStart"/>
            <w:r>
              <w:rPr>
                <w:b/>
                <w:sz w:val="15"/>
              </w:rPr>
              <w:t>cigarettes</w:t>
            </w:r>
            <w:r>
              <w:rPr>
                <w:b/>
                <w:sz w:val="15"/>
                <w:vertAlign w:val="superscript"/>
              </w:rPr>
              <w:t>a</w:t>
            </w:r>
            <w:proofErr w:type="spellEnd"/>
          </w:p>
        </w:tc>
        <w:tc>
          <w:tcPr>
            <w:tcW w:w="836" w:type="pct"/>
            <w:shd w:val="clear" w:color="auto" w:fill="C9DED4"/>
          </w:tcPr>
          <w:p w14:paraId="41393880" w14:textId="77777777" w:rsidR="001A500E" w:rsidRPr="00A950CC" w:rsidRDefault="001A500E" w:rsidP="001F3C85">
            <w:pPr>
              <w:ind w:right="170"/>
              <w:jc w:val="right"/>
              <w:rPr>
                <w:sz w:val="15"/>
                <w:szCs w:val="15"/>
              </w:rPr>
            </w:pPr>
          </w:p>
        </w:tc>
      </w:tr>
      <w:tr w:rsidR="001A500E" w:rsidRPr="006420F6" w14:paraId="7330734F" w14:textId="77777777" w:rsidTr="001F3C85">
        <w:tc>
          <w:tcPr>
            <w:tcW w:w="4164" w:type="pct"/>
            <w:shd w:val="clear" w:color="auto" w:fill="auto"/>
          </w:tcPr>
          <w:p w14:paraId="714ED100" w14:textId="77777777" w:rsidR="001A500E" w:rsidRPr="00A950CC" w:rsidRDefault="001A500E" w:rsidP="001F3C85">
            <w:pPr>
              <w:jc w:val="left"/>
              <w:rPr>
                <w:sz w:val="15"/>
                <w:szCs w:val="15"/>
              </w:rPr>
            </w:pPr>
            <w:r>
              <w:rPr>
                <w:sz w:val="15"/>
              </w:rPr>
              <w:t>Dark tobacco</w:t>
            </w:r>
          </w:p>
        </w:tc>
        <w:tc>
          <w:tcPr>
            <w:tcW w:w="836" w:type="pct"/>
            <w:shd w:val="clear" w:color="auto" w:fill="auto"/>
          </w:tcPr>
          <w:p w14:paraId="77B4EE8C" w14:textId="77777777" w:rsidR="001A500E" w:rsidRPr="00A950CC" w:rsidRDefault="001A500E" w:rsidP="001F3C85">
            <w:pPr>
              <w:ind w:right="170"/>
              <w:jc w:val="right"/>
              <w:rPr>
                <w:sz w:val="15"/>
                <w:szCs w:val="15"/>
              </w:rPr>
            </w:pPr>
            <w:r>
              <w:rPr>
                <w:color w:val="222120"/>
                <w:sz w:val="15"/>
              </w:rPr>
              <w:t>29.42</w:t>
            </w:r>
          </w:p>
        </w:tc>
      </w:tr>
      <w:tr w:rsidR="001A500E" w:rsidRPr="006420F6" w14:paraId="2FDEA0C2" w14:textId="77777777" w:rsidTr="001F3C85">
        <w:tc>
          <w:tcPr>
            <w:tcW w:w="4164" w:type="pct"/>
            <w:shd w:val="clear" w:color="auto" w:fill="C9DED4"/>
          </w:tcPr>
          <w:p w14:paraId="24C480AE" w14:textId="77777777" w:rsidR="001A500E" w:rsidRPr="00A950CC" w:rsidRDefault="001A500E" w:rsidP="001F3C85">
            <w:pPr>
              <w:jc w:val="left"/>
              <w:rPr>
                <w:sz w:val="15"/>
                <w:szCs w:val="15"/>
              </w:rPr>
            </w:pPr>
            <w:r>
              <w:rPr>
                <w:sz w:val="15"/>
              </w:rPr>
              <w:t>Light tobacco</w:t>
            </w:r>
          </w:p>
        </w:tc>
        <w:tc>
          <w:tcPr>
            <w:tcW w:w="836" w:type="pct"/>
            <w:shd w:val="clear" w:color="auto" w:fill="C9DED4"/>
          </w:tcPr>
          <w:p w14:paraId="21896B1B" w14:textId="77777777" w:rsidR="001A500E" w:rsidRPr="00A950CC" w:rsidRDefault="001A500E" w:rsidP="001F3C85">
            <w:pPr>
              <w:ind w:right="170"/>
              <w:jc w:val="right"/>
              <w:rPr>
                <w:sz w:val="15"/>
                <w:szCs w:val="15"/>
              </w:rPr>
            </w:pPr>
            <w:r>
              <w:rPr>
                <w:color w:val="222120"/>
                <w:sz w:val="15"/>
              </w:rPr>
              <w:t>29.42</w:t>
            </w:r>
          </w:p>
        </w:tc>
      </w:tr>
      <w:tr w:rsidR="001A500E" w:rsidRPr="006420F6" w14:paraId="0030B1B9" w14:textId="77777777" w:rsidTr="001F3C85">
        <w:tc>
          <w:tcPr>
            <w:tcW w:w="4164" w:type="pct"/>
            <w:tcBorders>
              <w:bottom w:val="single" w:sz="4" w:space="0" w:color="auto"/>
            </w:tcBorders>
            <w:shd w:val="clear" w:color="auto" w:fill="auto"/>
          </w:tcPr>
          <w:p w14:paraId="0ACA03ED" w14:textId="77777777" w:rsidR="001A500E" w:rsidRPr="00A950CC" w:rsidRDefault="001A500E" w:rsidP="001F3C85">
            <w:pPr>
              <w:jc w:val="left"/>
              <w:rPr>
                <w:sz w:val="15"/>
                <w:szCs w:val="15"/>
              </w:rPr>
            </w:pPr>
            <w:r>
              <w:rPr>
                <w:sz w:val="15"/>
              </w:rPr>
              <w:t>Other</w:t>
            </w:r>
          </w:p>
        </w:tc>
        <w:tc>
          <w:tcPr>
            <w:tcW w:w="836" w:type="pct"/>
            <w:tcBorders>
              <w:bottom w:val="single" w:sz="4" w:space="0" w:color="auto"/>
            </w:tcBorders>
            <w:shd w:val="clear" w:color="auto" w:fill="auto"/>
          </w:tcPr>
          <w:p w14:paraId="03055F96" w14:textId="77777777" w:rsidR="001A500E" w:rsidRPr="00A950CC" w:rsidRDefault="001A500E" w:rsidP="001F3C85">
            <w:pPr>
              <w:ind w:right="170"/>
              <w:jc w:val="right"/>
              <w:rPr>
                <w:sz w:val="15"/>
                <w:szCs w:val="15"/>
              </w:rPr>
            </w:pPr>
            <w:r>
              <w:rPr>
                <w:color w:val="222120"/>
                <w:sz w:val="15"/>
              </w:rPr>
              <w:t>29.42</w:t>
            </w:r>
          </w:p>
        </w:tc>
      </w:tr>
      <w:tr w:rsidR="001A500E" w:rsidRPr="006420F6" w14:paraId="0237D426" w14:textId="77777777" w:rsidTr="001F3C85">
        <w:tc>
          <w:tcPr>
            <w:tcW w:w="4164" w:type="pct"/>
            <w:tcBorders>
              <w:bottom w:val="single" w:sz="4" w:space="0" w:color="auto"/>
            </w:tcBorders>
            <w:shd w:val="clear" w:color="auto" w:fill="auto"/>
          </w:tcPr>
          <w:p w14:paraId="671EAA79" w14:textId="77777777" w:rsidR="001A500E" w:rsidRPr="00A950CC" w:rsidRDefault="001A500E" w:rsidP="001F3C85">
            <w:pPr>
              <w:jc w:val="left"/>
              <w:rPr>
                <w:sz w:val="15"/>
                <w:szCs w:val="15"/>
              </w:rPr>
            </w:pPr>
            <w:r>
              <w:rPr>
                <w:sz w:val="15"/>
              </w:rPr>
              <w:t>Water pipes</w:t>
            </w:r>
          </w:p>
        </w:tc>
        <w:tc>
          <w:tcPr>
            <w:tcW w:w="836" w:type="pct"/>
            <w:tcBorders>
              <w:bottom w:val="single" w:sz="4" w:space="0" w:color="auto"/>
            </w:tcBorders>
            <w:shd w:val="clear" w:color="auto" w:fill="auto"/>
          </w:tcPr>
          <w:p w14:paraId="1E7ED180" w14:textId="77777777" w:rsidR="001A500E" w:rsidRPr="00A950CC" w:rsidRDefault="001A500E" w:rsidP="001F3C85">
            <w:pPr>
              <w:ind w:right="170"/>
              <w:jc w:val="right"/>
              <w:rPr>
                <w:rFonts w:eastAsia="Times New Roman" w:cs="Open Sans"/>
                <w:color w:val="222120"/>
                <w:sz w:val="15"/>
                <w:szCs w:val="15"/>
              </w:rPr>
            </w:pPr>
            <w:r>
              <w:rPr>
                <w:color w:val="222120"/>
                <w:sz w:val="15"/>
              </w:rPr>
              <w:t>130%</w:t>
            </w:r>
          </w:p>
        </w:tc>
      </w:tr>
      <w:tr w:rsidR="001A500E" w:rsidRPr="006420F6" w14:paraId="2E974B7A" w14:textId="77777777" w:rsidTr="001F3C85">
        <w:tc>
          <w:tcPr>
            <w:tcW w:w="4164" w:type="pct"/>
            <w:tcBorders>
              <w:top w:val="single" w:sz="4" w:space="0" w:color="auto"/>
              <w:bottom w:val="nil"/>
            </w:tcBorders>
            <w:shd w:val="clear" w:color="auto" w:fill="C9DED4"/>
          </w:tcPr>
          <w:p w14:paraId="32D27592" w14:textId="77777777" w:rsidR="001A500E" w:rsidRPr="00A950CC" w:rsidRDefault="001A500E" w:rsidP="001F3C85">
            <w:pPr>
              <w:jc w:val="center"/>
              <w:rPr>
                <w:b/>
                <w:bCs/>
                <w:sz w:val="15"/>
                <w:szCs w:val="15"/>
              </w:rPr>
            </w:pPr>
            <w:r>
              <w:rPr>
                <w:b/>
                <w:sz w:val="15"/>
              </w:rPr>
              <w:t>Services</w:t>
            </w:r>
          </w:p>
        </w:tc>
        <w:tc>
          <w:tcPr>
            <w:tcW w:w="836" w:type="pct"/>
            <w:tcBorders>
              <w:top w:val="single" w:sz="4" w:space="0" w:color="auto"/>
              <w:bottom w:val="nil"/>
            </w:tcBorders>
            <w:shd w:val="clear" w:color="auto" w:fill="C9DED4"/>
          </w:tcPr>
          <w:p w14:paraId="4EF52B9F" w14:textId="77777777" w:rsidR="001A500E" w:rsidRPr="00A950CC" w:rsidRDefault="001A500E" w:rsidP="001F3C85">
            <w:pPr>
              <w:ind w:right="170"/>
              <w:jc w:val="right"/>
              <w:rPr>
                <w:sz w:val="15"/>
                <w:szCs w:val="15"/>
              </w:rPr>
            </w:pPr>
          </w:p>
        </w:tc>
      </w:tr>
      <w:tr w:rsidR="001A500E" w:rsidRPr="006420F6" w14:paraId="1C6F57B8" w14:textId="77777777" w:rsidTr="001F3C85">
        <w:tc>
          <w:tcPr>
            <w:tcW w:w="4164" w:type="pct"/>
            <w:tcBorders>
              <w:top w:val="nil"/>
            </w:tcBorders>
            <w:shd w:val="clear" w:color="auto" w:fill="auto"/>
          </w:tcPr>
          <w:p w14:paraId="7D37638E" w14:textId="77777777" w:rsidR="001A500E" w:rsidRPr="00A950CC" w:rsidRDefault="001A500E" w:rsidP="001F3C85">
            <w:pPr>
              <w:jc w:val="left"/>
              <w:rPr>
                <w:sz w:val="15"/>
                <w:szCs w:val="15"/>
              </w:rPr>
            </w:pPr>
            <w:r>
              <w:rPr>
                <w:sz w:val="15"/>
              </w:rPr>
              <w:t>Telecommunications</w:t>
            </w:r>
          </w:p>
        </w:tc>
        <w:tc>
          <w:tcPr>
            <w:tcW w:w="836" w:type="pct"/>
            <w:tcBorders>
              <w:top w:val="nil"/>
            </w:tcBorders>
            <w:shd w:val="clear" w:color="auto" w:fill="auto"/>
          </w:tcPr>
          <w:p w14:paraId="50F32F6D" w14:textId="77777777" w:rsidR="001A500E" w:rsidRPr="00A950CC" w:rsidRDefault="001A500E" w:rsidP="001F3C85">
            <w:pPr>
              <w:ind w:right="170"/>
              <w:jc w:val="right"/>
              <w:rPr>
                <w:sz w:val="15"/>
                <w:szCs w:val="15"/>
              </w:rPr>
            </w:pPr>
            <w:r>
              <w:rPr>
                <w:sz w:val="15"/>
              </w:rPr>
              <w:t>10%</w:t>
            </w:r>
          </w:p>
        </w:tc>
      </w:tr>
      <w:tr w:rsidR="001A500E" w:rsidRPr="006420F6" w14:paraId="7B3A0172" w14:textId="77777777" w:rsidTr="001F3C85">
        <w:tc>
          <w:tcPr>
            <w:tcW w:w="4164" w:type="pct"/>
            <w:shd w:val="clear" w:color="auto" w:fill="C9DED4"/>
          </w:tcPr>
          <w:p w14:paraId="7684EFA1" w14:textId="77777777" w:rsidR="001A500E" w:rsidRPr="00A950CC" w:rsidRDefault="001A500E" w:rsidP="001F3C85">
            <w:pPr>
              <w:jc w:val="left"/>
              <w:rPr>
                <w:sz w:val="15"/>
                <w:szCs w:val="15"/>
              </w:rPr>
            </w:pPr>
            <w:r>
              <w:rPr>
                <w:sz w:val="15"/>
              </w:rPr>
              <w:t>Insurance</w:t>
            </w:r>
          </w:p>
        </w:tc>
        <w:tc>
          <w:tcPr>
            <w:tcW w:w="836" w:type="pct"/>
            <w:shd w:val="clear" w:color="auto" w:fill="C9DED4"/>
          </w:tcPr>
          <w:p w14:paraId="64E9DFC2" w14:textId="77777777" w:rsidR="001A500E" w:rsidRPr="00A950CC" w:rsidRDefault="001A500E" w:rsidP="001F3C85">
            <w:pPr>
              <w:ind w:right="170"/>
              <w:jc w:val="right"/>
              <w:rPr>
                <w:sz w:val="15"/>
                <w:szCs w:val="15"/>
              </w:rPr>
            </w:pPr>
            <w:r>
              <w:rPr>
                <w:sz w:val="15"/>
              </w:rPr>
              <w:t>16%</w:t>
            </w:r>
          </w:p>
        </w:tc>
      </w:tr>
      <w:tr w:rsidR="001A500E" w:rsidRPr="006420F6" w14:paraId="2B2D0154" w14:textId="77777777" w:rsidTr="001F3C85">
        <w:tc>
          <w:tcPr>
            <w:tcW w:w="4164" w:type="pct"/>
            <w:shd w:val="clear" w:color="auto" w:fill="auto"/>
          </w:tcPr>
          <w:p w14:paraId="7B5668CC" w14:textId="77777777" w:rsidR="001A500E" w:rsidRPr="00A950CC" w:rsidRDefault="001A500E" w:rsidP="001F3C85">
            <w:pPr>
              <w:jc w:val="left"/>
              <w:rPr>
                <w:sz w:val="15"/>
                <w:szCs w:val="15"/>
              </w:rPr>
            </w:pPr>
            <w:r>
              <w:rPr>
                <w:sz w:val="15"/>
              </w:rPr>
              <w:t>Issuance of checks and wire transfers</w:t>
            </w:r>
          </w:p>
        </w:tc>
        <w:tc>
          <w:tcPr>
            <w:tcW w:w="836" w:type="pct"/>
            <w:shd w:val="clear" w:color="auto" w:fill="auto"/>
          </w:tcPr>
          <w:p w14:paraId="3CFF5A03" w14:textId="77777777" w:rsidR="001A500E" w:rsidRPr="00A950CC" w:rsidRDefault="001A500E" w:rsidP="001F3C85">
            <w:pPr>
              <w:ind w:right="170"/>
              <w:jc w:val="right"/>
              <w:rPr>
                <w:sz w:val="15"/>
                <w:szCs w:val="15"/>
              </w:rPr>
            </w:pPr>
            <w:r>
              <w:rPr>
                <w:sz w:val="15"/>
              </w:rPr>
              <w:t>1.5 per</w:t>
            </w:r>
            <w:r w:rsidRPr="0060155B">
              <w:rPr>
                <w:sz w:val="15"/>
              </w:rPr>
              <w:t> thousand</w:t>
            </w:r>
          </w:p>
        </w:tc>
      </w:tr>
    </w:tbl>
    <w:p w14:paraId="7898BDFE" w14:textId="77777777" w:rsidR="001A500E" w:rsidRPr="007C74EF" w:rsidRDefault="001A500E" w:rsidP="00E439A9">
      <w:pPr>
        <w:pStyle w:val="NoteText"/>
        <w:spacing w:before="120"/>
      </w:pPr>
      <w:proofErr w:type="spellStart"/>
      <w:r>
        <w:t>a</w:t>
      </w:r>
      <w:proofErr w:type="spellEnd"/>
      <w:r>
        <w:tab/>
        <w:t xml:space="preserve">The specific amounts are for the period from </w:t>
      </w:r>
      <w:r w:rsidRPr="0060155B">
        <w:t>1 July</w:t>
      </w:r>
      <w:r>
        <w:t xml:space="preserve"> to 3</w:t>
      </w:r>
      <w:r w:rsidRPr="0060155B">
        <w:t>0 September 2</w:t>
      </w:r>
      <w:r>
        <w:t>022.</w:t>
      </w:r>
    </w:p>
    <w:p w14:paraId="16BDA83F" w14:textId="77777777" w:rsidR="001A500E" w:rsidRPr="006420F6" w:rsidRDefault="001A500E" w:rsidP="00E439A9">
      <w:pPr>
        <w:pStyle w:val="NoteText"/>
        <w:spacing w:before="120" w:after="240"/>
      </w:pPr>
      <w:r>
        <w:t>Source:</w:t>
      </w:r>
      <w:r>
        <w:tab/>
      </w:r>
      <w:proofErr w:type="spellStart"/>
      <w:r>
        <w:t>DGII</w:t>
      </w:r>
      <w:proofErr w:type="spellEnd"/>
      <w:r w:rsidRPr="0060155B">
        <w:t>. V</w:t>
      </w:r>
      <w:r>
        <w:t xml:space="preserve">iewed at: </w:t>
      </w:r>
      <w:hyperlink r:id="rId37" w:history="1">
        <w:r>
          <w:rPr>
            <w:rStyle w:val="Hyperlink"/>
          </w:rPr>
          <w:t>https://dgii.gov.do/cicloContribuyente/obligacionesTributarias/principalesImpuestos/Paginas/impuestoSelectivoConsumo.aspx</w:t>
        </w:r>
      </w:hyperlink>
      <w:r>
        <w:rPr>
          <w:rStyle w:val="Hyperlink"/>
        </w:rPr>
        <w:t>.</w:t>
      </w:r>
    </w:p>
    <w:p w14:paraId="04EC2CD1" w14:textId="77777777" w:rsidR="001A500E" w:rsidRPr="00CC31DB" w:rsidRDefault="001A500E" w:rsidP="00574469">
      <w:pPr>
        <w:pStyle w:val="BodyText"/>
      </w:pPr>
      <w:r>
        <w:t>Hydrocarbon fuels imported or refined locally are also subject to a "selective consumption tax" (Table 3.6)</w:t>
      </w:r>
      <w:r w:rsidRPr="0060155B">
        <w:t>.</w:t>
      </w:r>
      <w:r w:rsidRPr="0060155B">
        <w:rPr>
          <w:rStyle w:val="FootnoteReference"/>
        </w:rPr>
        <w:footnoteReference w:id="141"/>
      </w:r>
      <w:r w:rsidRPr="0060155B">
        <w:t xml:space="preserve"> L</w:t>
      </w:r>
      <w:r>
        <w:t xml:space="preserve">ike alcoholic beverages and cigarettes, fuels are subject to a tax consisting of a specific component and an </w:t>
      </w:r>
      <w:r>
        <w:rPr>
          <w:i/>
          <w:iCs/>
        </w:rPr>
        <w:t>ad valorem</w:t>
      </w:r>
      <w:r>
        <w:t xml:space="preserve"> component</w:t>
      </w:r>
      <w:r w:rsidRPr="0060155B">
        <w:t>: t</w:t>
      </w:r>
      <w:r>
        <w:t>he specific component is a fixed amount levied on the price per gallon of fuel, which is adjusted quarterly in accordance with the inflation rate (Law </w:t>
      </w:r>
      <w:r w:rsidRPr="0060155B">
        <w:t>No. </w:t>
      </w:r>
      <w:r>
        <w:t>112</w:t>
      </w:r>
      <w:r w:rsidRPr="0060155B">
        <w:noBreakHyphen/>
      </w:r>
      <w:r>
        <w:t>00)</w:t>
      </w:r>
      <w:r w:rsidRPr="0060155B">
        <w:t>; a</w:t>
      </w:r>
      <w:r>
        <w:t xml:space="preserve">nd the </w:t>
      </w:r>
      <w:r>
        <w:rPr>
          <w:i/>
          <w:iCs/>
        </w:rPr>
        <w:t>ad valorem</w:t>
      </w:r>
      <w:r>
        <w:t xml:space="preserve"> component, of 16%, is levied on the import parity price (aviation turbine fuel (</w:t>
      </w:r>
      <w:proofErr w:type="spellStart"/>
      <w:r>
        <w:t>Avtur</w:t>
      </w:r>
      <w:proofErr w:type="spellEnd"/>
      <w:r>
        <w:t>) is subject to a reduced rate of 6.5%)</w:t>
      </w:r>
      <w:r w:rsidRPr="0060155B">
        <w:t>. I</w:t>
      </w:r>
      <w:r>
        <w:t xml:space="preserve">n addition, each gallon of petrol and diesel is subject to a tax of </w:t>
      </w:r>
      <w:r w:rsidRPr="0060155B">
        <w:t>DOP 2</w:t>
      </w:r>
      <w:r>
        <w:t xml:space="preserve">.0 (Law </w:t>
      </w:r>
      <w:r w:rsidRPr="0060155B">
        <w:t>No. </w:t>
      </w:r>
      <w:r>
        <w:t>253</w:t>
      </w:r>
      <w:r w:rsidRPr="0060155B">
        <w:noBreakHyphen/>
      </w:r>
      <w:r>
        <w:t>12).</w:t>
      </w:r>
    </w:p>
    <w:p w14:paraId="737FFCAE" w14:textId="77777777" w:rsidR="001A500E" w:rsidRPr="006420F6" w:rsidRDefault="001A500E" w:rsidP="00B900E5">
      <w:pPr>
        <w:pStyle w:val="Caption"/>
      </w:pPr>
      <w:bookmarkStart w:id="166" w:name="_Toc117238039"/>
      <w:r>
        <w:t xml:space="preserve">Table </w:t>
      </w:r>
      <w:r w:rsidR="00BD37F2">
        <w:fldChar w:fldCharType="begin"/>
      </w:r>
      <w:r w:rsidR="00BD37F2">
        <w:instrText xml:space="preserve"> STYLEREF 1 \s </w:instrText>
      </w:r>
      <w:r w:rsidR="00BD37F2">
        <w:fldChar w:fldCharType="separate"/>
      </w:r>
      <w:r>
        <w:rPr>
          <w:noProof/>
        </w:rPr>
        <w:t>3</w:t>
      </w:r>
      <w:r w:rsidR="00BD37F2">
        <w:rPr>
          <w:noProof/>
        </w:rPr>
        <w:fldChar w:fldCharType="end"/>
      </w:r>
      <w:r>
        <w:t>.</w:t>
      </w:r>
      <w:r w:rsidR="00BD37F2">
        <w:fldChar w:fldCharType="begin"/>
      </w:r>
      <w:r w:rsidR="00BD37F2">
        <w:instrText xml:space="preserve"> SEQ Table \* ARABIC \s 1 </w:instrText>
      </w:r>
      <w:r w:rsidR="00BD37F2">
        <w:fldChar w:fldCharType="separate"/>
      </w:r>
      <w:r>
        <w:rPr>
          <w:noProof/>
        </w:rPr>
        <w:t>6</w:t>
      </w:r>
      <w:r w:rsidR="00BD37F2">
        <w:rPr>
          <w:noProof/>
        </w:rPr>
        <w:fldChar w:fldCharType="end"/>
      </w:r>
      <w:r>
        <w:t xml:space="preserve"> Tax on hydrocarbons, 2022 (July)</w:t>
      </w:r>
      <w:bookmarkEnd w:id="166"/>
    </w:p>
    <w:tbl>
      <w:tblPr>
        <w:tblStyle w:val="WTOTable1"/>
        <w:tblW w:w="8947" w:type="dxa"/>
        <w:tblLayout w:type="fixed"/>
        <w:tblLook w:val="04A0" w:firstRow="1" w:lastRow="0" w:firstColumn="1" w:lastColumn="0" w:noHBand="0" w:noVBand="1"/>
      </w:tblPr>
      <w:tblGrid>
        <w:gridCol w:w="1560"/>
        <w:gridCol w:w="3680"/>
        <w:gridCol w:w="1853"/>
        <w:gridCol w:w="1854"/>
      </w:tblGrid>
      <w:tr w:rsidR="001A500E" w:rsidRPr="00573026" w14:paraId="190E7E33" w14:textId="77777777" w:rsidTr="001F3C85">
        <w:trPr>
          <w:cnfStyle w:val="100000000000" w:firstRow="1" w:lastRow="0" w:firstColumn="0" w:lastColumn="0" w:oddVBand="0" w:evenVBand="0" w:oddHBand="0" w:evenHBand="0" w:firstRowFirstColumn="0" w:firstRowLastColumn="0" w:lastRowFirstColumn="0" w:lastRowLastColumn="0"/>
          <w:cantSplit/>
          <w:tblHeader/>
        </w:trPr>
        <w:tc>
          <w:tcPr>
            <w:tcW w:w="1560" w:type="dxa"/>
            <w:noWrap/>
            <w:vAlign w:val="center"/>
            <w:hideMark/>
          </w:tcPr>
          <w:p w14:paraId="100D863E" w14:textId="77777777" w:rsidR="001A500E" w:rsidRPr="00573026" w:rsidRDefault="001A500E" w:rsidP="001F3C85">
            <w:pPr>
              <w:rPr>
                <w:rFonts w:asciiTheme="minorHAnsi" w:eastAsia="Times New Roman" w:hAnsiTheme="minorHAnsi" w:cs="Calibri"/>
                <w:b w:val="0"/>
                <w:bCs/>
                <w:color w:val="FFFFFF" w:themeColor="background1"/>
                <w:sz w:val="15"/>
                <w:szCs w:val="15"/>
              </w:rPr>
            </w:pPr>
            <w:r>
              <w:rPr>
                <w:rFonts w:asciiTheme="minorHAnsi" w:hAnsiTheme="minorHAnsi"/>
                <w:color w:val="FFFFFF" w:themeColor="background1"/>
                <w:sz w:val="15"/>
              </w:rPr>
              <w:t>HS Code</w:t>
            </w:r>
          </w:p>
        </w:tc>
        <w:tc>
          <w:tcPr>
            <w:tcW w:w="3680" w:type="dxa"/>
            <w:noWrap/>
            <w:vAlign w:val="center"/>
            <w:hideMark/>
          </w:tcPr>
          <w:p w14:paraId="71E3A2B5" w14:textId="77777777" w:rsidR="001A500E" w:rsidRPr="00573026" w:rsidRDefault="001A500E" w:rsidP="001F3C85">
            <w:pPr>
              <w:rPr>
                <w:rFonts w:asciiTheme="minorHAnsi" w:eastAsia="Times New Roman" w:hAnsiTheme="minorHAnsi" w:cs="Calibri"/>
                <w:b w:val="0"/>
                <w:bCs/>
                <w:color w:val="FFFFFF" w:themeColor="background1"/>
                <w:sz w:val="15"/>
                <w:szCs w:val="15"/>
              </w:rPr>
            </w:pPr>
            <w:r>
              <w:rPr>
                <w:rFonts w:asciiTheme="minorHAnsi" w:hAnsiTheme="minorHAnsi"/>
                <w:color w:val="FFFFFF" w:themeColor="background1"/>
                <w:sz w:val="15"/>
              </w:rPr>
              <w:t>Description</w:t>
            </w:r>
          </w:p>
        </w:tc>
        <w:tc>
          <w:tcPr>
            <w:tcW w:w="1853" w:type="dxa"/>
            <w:noWrap/>
            <w:vAlign w:val="center"/>
            <w:hideMark/>
          </w:tcPr>
          <w:p w14:paraId="44E5DDB5" w14:textId="77777777" w:rsidR="001A500E" w:rsidRPr="00573026" w:rsidRDefault="001A500E" w:rsidP="001F3C85">
            <w:pPr>
              <w:jc w:val="center"/>
              <w:rPr>
                <w:rFonts w:asciiTheme="minorHAnsi" w:eastAsia="Times New Roman" w:hAnsiTheme="minorHAnsi" w:cs="Calibri"/>
                <w:b w:val="0"/>
                <w:bCs/>
                <w:i/>
                <w:iCs/>
                <w:color w:val="FFFFFF" w:themeColor="background1"/>
                <w:sz w:val="15"/>
                <w:szCs w:val="15"/>
              </w:rPr>
            </w:pPr>
            <w:r>
              <w:rPr>
                <w:rFonts w:asciiTheme="minorHAnsi" w:hAnsiTheme="minorHAnsi"/>
                <w:i/>
                <w:color w:val="FFFFFF" w:themeColor="background1"/>
                <w:sz w:val="15"/>
              </w:rPr>
              <w:t xml:space="preserve">Ad valorem </w:t>
            </w:r>
            <w:r w:rsidRPr="006464A1">
              <w:rPr>
                <w:rFonts w:asciiTheme="minorHAnsi" w:hAnsiTheme="minorHAnsi"/>
                <w:iCs/>
                <w:color w:val="FFFFFF" w:themeColor="background1"/>
                <w:sz w:val="15"/>
              </w:rPr>
              <w:t>(%)</w:t>
            </w:r>
          </w:p>
        </w:tc>
        <w:tc>
          <w:tcPr>
            <w:tcW w:w="1854" w:type="dxa"/>
            <w:noWrap/>
            <w:vAlign w:val="center"/>
            <w:hideMark/>
          </w:tcPr>
          <w:p w14:paraId="41774E95" w14:textId="77777777" w:rsidR="001A500E" w:rsidRPr="00573026" w:rsidRDefault="001A500E" w:rsidP="001F3C85">
            <w:pPr>
              <w:jc w:val="center"/>
              <w:rPr>
                <w:rFonts w:asciiTheme="minorHAnsi" w:eastAsia="Times New Roman" w:hAnsiTheme="minorHAnsi" w:cs="Calibri"/>
                <w:b w:val="0"/>
                <w:bCs/>
                <w:color w:val="FFFFFF" w:themeColor="background1"/>
                <w:sz w:val="15"/>
                <w:szCs w:val="15"/>
              </w:rPr>
            </w:pPr>
            <w:r>
              <w:rPr>
                <w:rFonts w:asciiTheme="minorHAnsi" w:hAnsiTheme="minorHAnsi"/>
                <w:color w:val="FFFFFF" w:themeColor="background1"/>
                <w:sz w:val="15"/>
              </w:rPr>
              <w:t>Specific amount (DOP)</w:t>
            </w:r>
          </w:p>
        </w:tc>
      </w:tr>
      <w:tr w:rsidR="001A500E" w:rsidRPr="00573026" w14:paraId="1C8421CE" w14:textId="77777777" w:rsidTr="001F3C85">
        <w:trPr>
          <w:cantSplit/>
        </w:trPr>
        <w:tc>
          <w:tcPr>
            <w:tcW w:w="1560" w:type="dxa"/>
            <w:noWrap/>
            <w:hideMark/>
          </w:tcPr>
          <w:p w14:paraId="5C0C3CB9" w14:textId="77777777" w:rsidR="001A500E" w:rsidRPr="00573026" w:rsidRDefault="001A500E" w:rsidP="001F3C85">
            <w:pPr>
              <w:rPr>
                <w:rFonts w:asciiTheme="minorHAnsi" w:eastAsia="Times New Roman" w:hAnsiTheme="minorHAnsi" w:cs="Calibri"/>
                <w:sz w:val="15"/>
                <w:szCs w:val="15"/>
              </w:rPr>
            </w:pPr>
            <w:r>
              <w:rPr>
                <w:rFonts w:asciiTheme="minorHAnsi" w:hAnsiTheme="minorHAnsi"/>
                <w:sz w:val="15"/>
              </w:rPr>
              <w:t>2710.12.11</w:t>
            </w:r>
          </w:p>
        </w:tc>
        <w:tc>
          <w:tcPr>
            <w:tcW w:w="3680" w:type="dxa"/>
            <w:noWrap/>
            <w:hideMark/>
          </w:tcPr>
          <w:p w14:paraId="5C826903" w14:textId="77777777" w:rsidR="001A500E" w:rsidRPr="00573026" w:rsidRDefault="001A500E" w:rsidP="001F3C85">
            <w:pPr>
              <w:rPr>
                <w:rFonts w:asciiTheme="minorHAnsi" w:eastAsia="Times New Roman" w:hAnsiTheme="minorHAnsi" w:cs="Calibri"/>
                <w:sz w:val="15"/>
                <w:szCs w:val="15"/>
              </w:rPr>
            </w:pPr>
            <w:proofErr w:type="spellStart"/>
            <w:r>
              <w:rPr>
                <w:rFonts w:asciiTheme="minorHAnsi" w:hAnsiTheme="minorHAnsi"/>
                <w:sz w:val="15"/>
              </w:rPr>
              <w:t>Avtur</w:t>
            </w:r>
            <w:proofErr w:type="spellEnd"/>
            <w:r>
              <w:rPr>
                <w:rFonts w:asciiTheme="minorHAnsi" w:hAnsiTheme="minorHAnsi"/>
                <w:sz w:val="15"/>
              </w:rPr>
              <w:t xml:space="preserve"> (Jet A</w:t>
            </w:r>
            <w:r w:rsidRPr="0060155B">
              <w:rPr>
                <w:rFonts w:asciiTheme="minorHAnsi" w:hAnsiTheme="minorHAnsi"/>
                <w:sz w:val="15"/>
              </w:rPr>
              <w:noBreakHyphen/>
            </w:r>
            <w:r>
              <w:rPr>
                <w:rFonts w:asciiTheme="minorHAnsi" w:hAnsiTheme="minorHAnsi"/>
                <w:sz w:val="15"/>
              </w:rPr>
              <w:t>1 for aviation turbines)</w:t>
            </w:r>
          </w:p>
        </w:tc>
        <w:tc>
          <w:tcPr>
            <w:tcW w:w="1853" w:type="dxa"/>
            <w:noWrap/>
            <w:hideMark/>
          </w:tcPr>
          <w:p w14:paraId="12036FD6" w14:textId="77777777" w:rsidR="001A500E" w:rsidRPr="00573026" w:rsidRDefault="001A500E" w:rsidP="001F3C85">
            <w:pPr>
              <w:ind w:right="680"/>
              <w:jc w:val="right"/>
              <w:rPr>
                <w:rFonts w:asciiTheme="minorHAnsi" w:eastAsia="Times New Roman" w:hAnsiTheme="minorHAnsi" w:cs="Calibri"/>
                <w:sz w:val="15"/>
                <w:szCs w:val="15"/>
              </w:rPr>
            </w:pPr>
            <w:r>
              <w:rPr>
                <w:rFonts w:asciiTheme="minorHAnsi" w:hAnsiTheme="minorHAnsi"/>
                <w:sz w:val="15"/>
              </w:rPr>
              <w:t>6.5</w:t>
            </w:r>
          </w:p>
        </w:tc>
        <w:tc>
          <w:tcPr>
            <w:tcW w:w="1854" w:type="dxa"/>
            <w:noWrap/>
            <w:hideMark/>
          </w:tcPr>
          <w:p w14:paraId="28E60CC1" w14:textId="77777777" w:rsidR="001A500E" w:rsidRPr="00573026" w:rsidRDefault="001A500E" w:rsidP="001F3C85">
            <w:pPr>
              <w:ind w:right="567"/>
              <w:jc w:val="right"/>
              <w:rPr>
                <w:rFonts w:asciiTheme="minorHAnsi" w:eastAsia="Times New Roman" w:hAnsiTheme="minorHAnsi" w:cs="Calibri"/>
                <w:sz w:val="15"/>
                <w:szCs w:val="15"/>
              </w:rPr>
            </w:pPr>
            <w:r>
              <w:rPr>
                <w:rFonts w:asciiTheme="minorHAnsi" w:hAnsiTheme="minorHAnsi"/>
                <w:sz w:val="15"/>
              </w:rPr>
              <w:t>6.30</w:t>
            </w:r>
          </w:p>
        </w:tc>
      </w:tr>
      <w:tr w:rsidR="001A500E" w:rsidRPr="00573026" w14:paraId="43AA2513" w14:textId="77777777" w:rsidTr="001F3C85">
        <w:trPr>
          <w:cnfStyle w:val="000000010000" w:firstRow="0" w:lastRow="0" w:firstColumn="0" w:lastColumn="0" w:oddVBand="0" w:evenVBand="0" w:oddHBand="0" w:evenHBand="1" w:firstRowFirstColumn="0" w:firstRowLastColumn="0" w:lastRowFirstColumn="0" w:lastRowLastColumn="0"/>
          <w:cantSplit/>
        </w:trPr>
        <w:tc>
          <w:tcPr>
            <w:tcW w:w="1560" w:type="dxa"/>
            <w:noWrap/>
            <w:hideMark/>
          </w:tcPr>
          <w:p w14:paraId="14119F93" w14:textId="77777777" w:rsidR="001A500E" w:rsidRPr="00573026" w:rsidRDefault="001A500E" w:rsidP="001F3C85">
            <w:pPr>
              <w:rPr>
                <w:rFonts w:asciiTheme="minorHAnsi" w:eastAsia="Times New Roman" w:hAnsiTheme="minorHAnsi" w:cs="Calibri"/>
                <w:sz w:val="15"/>
                <w:szCs w:val="15"/>
              </w:rPr>
            </w:pPr>
            <w:r>
              <w:rPr>
                <w:rFonts w:asciiTheme="minorHAnsi" w:hAnsiTheme="minorHAnsi"/>
                <w:sz w:val="15"/>
              </w:rPr>
              <w:t>2710.12.19</w:t>
            </w:r>
          </w:p>
        </w:tc>
        <w:tc>
          <w:tcPr>
            <w:tcW w:w="3680" w:type="dxa"/>
            <w:noWrap/>
            <w:hideMark/>
          </w:tcPr>
          <w:p w14:paraId="032385AD" w14:textId="77777777" w:rsidR="001A500E" w:rsidRPr="00573026" w:rsidRDefault="001A500E" w:rsidP="001F3C85">
            <w:pPr>
              <w:rPr>
                <w:rFonts w:asciiTheme="minorHAnsi" w:eastAsia="Times New Roman" w:hAnsiTheme="minorHAnsi" w:cs="Calibri"/>
                <w:sz w:val="15"/>
                <w:szCs w:val="15"/>
              </w:rPr>
            </w:pPr>
            <w:r>
              <w:rPr>
                <w:rFonts w:asciiTheme="minorHAnsi" w:hAnsiTheme="minorHAnsi"/>
                <w:sz w:val="15"/>
              </w:rPr>
              <w:t>Premium petrol</w:t>
            </w:r>
          </w:p>
        </w:tc>
        <w:tc>
          <w:tcPr>
            <w:tcW w:w="1853" w:type="dxa"/>
            <w:noWrap/>
            <w:hideMark/>
          </w:tcPr>
          <w:p w14:paraId="04CBE4F7" w14:textId="77777777" w:rsidR="001A500E" w:rsidRPr="00573026" w:rsidRDefault="001A500E" w:rsidP="001F3C85">
            <w:pPr>
              <w:ind w:right="680"/>
              <w:jc w:val="right"/>
              <w:rPr>
                <w:rFonts w:asciiTheme="minorHAnsi" w:eastAsia="Times New Roman" w:hAnsiTheme="minorHAnsi" w:cs="Calibri"/>
                <w:sz w:val="15"/>
                <w:szCs w:val="15"/>
              </w:rPr>
            </w:pPr>
            <w:r>
              <w:rPr>
                <w:rFonts w:asciiTheme="minorHAnsi" w:hAnsiTheme="minorHAnsi"/>
                <w:sz w:val="15"/>
              </w:rPr>
              <w:t>16.0</w:t>
            </w:r>
          </w:p>
        </w:tc>
        <w:tc>
          <w:tcPr>
            <w:tcW w:w="1854" w:type="dxa"/>
            <w:noWrap/>
            <w:hideMark/>
          </w:tcPr>
          <w:p w14:paraId="1D1B842B" w14:textId="77777777" w:rsidR="001A500E" w:rsidRPr="00573026" w:rsidRDefault="001A500E" w:rsidP="001F3C85">
            <w:pPr>
              <w:ind w:right="567"/>
              <w:jc w:val="right"/>
              <w:rPr>
                <w:rFonts w:asciiTheme="minorHAnsi" w:eastAsia="Times New Roman" w:hAnsiTheme="minorHAnsi" w:cs="Calibri"/>
                <w:sz w:val="15"/>
                <w:szCs w:val="15"/>
              </w:rPr>
            </w:pPr>
            <w:r>
              <w:rPr>
                <w:rFonts w:asciiTheme="minorHAnsi" w:hAnsiTheme="minorHAnsi"/>
                <w:sz w:val="15"/>
              </w:rPr>
              <w:t>71.85</w:t>
            </w:r>
          </w:p>
        </w:tc>
      </w:tr>
      <w:tr w:rsidR="001A500E" w:rsidRPr="00573026" w14:paraId="0D98D8D8" w14:textId="77777777" w:rsidTr="001F3C85">
        <w:trPr>
          <w:cantSplit/>
        </w:trPr>
        <w:tc>
          <w:tcPr>
            <w:tcW w:w="1560" w:type="dxa"/>
            <w:noWrap/>
            <w:hideMark/>
          </w:tcPr>
          <w:p w14:paraId="715D3516" w14:textId="77777777" w:rsidR="001A500E" w:rsidRPr="00573026" w:rsidRDefault="001A500E" w:rsidP="001F3C85">
            <w:pPr>
              <w:rPr>
                <w:rFonts w:asciiTheme="minorHAnsi" w:eastAsia="Times New Roman" w:hAnsiTheme="minorHAnsi" w:cs="Calibri"/>
                <w:sz w:val="15"/>
                <w:szCs w:val="15"/>
              </w:rPr>
            </w:pPr>
            <w:r>
              <w:rPr>
                <w:rFonts w:asciiTheme="minorHAnsi" w:hAnsiTheme="minorHAnsi"/>
                <w:sz w:val="15"/>
              </w:rPr>
              <w:t>2710.12.19</w:t>
            </w:r>
          </w:p>
        </w:tc>
        <w:tc>
          <w:tcPr>
            <w:tcW w:w="3680" w:type="dxa"/>
            <w:noWrap/>
            <w:hideMark/>
          </w:tcPr>
          <w:p w14:paraId="1FCA73CC" w14:textId="77777777" w:rsidR="001A500E" w:rsidRPr="00573026" w:rsidRDefault="001A500E" w:rsidP="001F3C85">
            <w:pPr>
              <w:rPr>
                <w:rFonts w:asciiTheme="minorHAnsi" w:eastAsia="Times New Roman" w:hAnsiTheme="minorHAnsi" w:cs="Calibri"/>
                <w:sz w:val="15"/>
                <w:szCs w:val="15"/>
              </w:rPr>
            </w:pPr>
            <w:r>
              <w:rPr>
                <w:rFonts w:asciiTheme="minorHAnsi" w:hAnsiTheme="minorHAnsi"/>
                <w:sz w:val="15"/>
              </w:rPr>
              <w:t>Regular petrol</w:t>
            </w:r>
          </w:p>
        </w:tc>
        <w:tc>
          <w:tcPr>
            <w:tcW w:w="1853" w:type="dxa"/>
            <w:noWrap/>
            <w:hideMark/>
          </w:tcPr>
          <w:p w14:paraId="34C914AE" w14:textId="77777777" w:rsidR="001A500E" w:rsidRPr="00573026" w:rsidRDefault="001A500E" w:rsidP="001F3C85">
            <w:pPr>
              <w:ind w:right="680"/>
              <w:jc w:val="right"/>
              <w:rPr>
                <w:rFonts w:asciiTheme="minorHAnsi" w:eastAsia="Times New Roman" w:hAnsiTheme="minorHAnsi" w:cs="Calibri"/>
                <w:sz w:val="15"/>
                <w:szCs w:val="15"/>
              </w:rPr>
            </w:pPr>
            <w:r>
              <w:rPr>
                <w:rFonts w:asciiTheme="minorHAnsi" w:hAnsiTheme="minorHAnsi"/>
                <w:sz w:val="15"/>
              </w:rPr>
              <w:t>16.0</w:t>
            </w:r>
          </w:p>
        </w:tc>
        <w:tc>
          <w:tcPr>
            <w:tcW w:w="1854" w:type="dxa"/>
            <w:noWrap/>
            <w:hideMark/>
          </w:tcPr>
          <w:p w14:paraId="212B1A33" w14:textId="77777777" w:rsidR="001A500E" w:rsidRPr="00573026" w:rsidRDefault="001A500E" w:rsidP="001F3C85">
            <w:pPr>
              <w:ind w:right="567"/>
              <w:jc w:val="right"/>
              <w:rPr>
                <w:rFonts w:asciiTheme="minorHAnsi" w:eastAsia="Times New Roman" w:hAnsiTheme="minorHAnsi" w:cs="Calibri"/>
                <w:sz w:val="15"/>
                <w:szCs w:val="15"/>
              </w:rPr>
            </w:pPr>
            <w:r>
              <w:rPr>
                <w:rFonts w:asciiTheme="minorHAnsi" w:hAnsiTheme="minorHAnsi"/>
                <w:sz w:val="15"/>
              </w:rPr>
              <w:t>63.83</w:t>
            </w:r>
          </w:p>
        </w:tc>
      </w:tr>
      <w:tr w:rsidR="001A500E" w:rsidRPr="00573026" w14:paraId="34ED7368" w14:textId="77777777" w:rsidTr="001F3C85">
        <w:trPr>
          <w:cnfStyle w:val="000000010000" w:firstRow="0" w:lastRow="0" w:firstColumn="0" w:lastColumn="0" w:oddVBand="0" w:evenVBand="0" w:oddHBand="0" w:evenHBand="1" w:firstRowFirstColumn="0" w:firstRowLastColumn="0" w:lastRowFirstColumn="0" w:lastRowLastColumn="0"/>
          <w:cantSplit/>
        </w:trPr>
        <w:tc>
          <w:tcPr>
            <w:tcW w:w="1560" w:type="dxa"/>
            <w:noWrap/>
            <w:hideMark/>
          </w:tcPr>
          <w:p w14:paraId="3BC3806E" w14:textId="77777777" w:rsidR="001A500E" w:rsidRPr="00573026" w:rsidRDefault="001A500E" w:rsidP="001F3C85">
            <w:pPr>
              <w:rPr>
                <w:rFonts w:asciiTheme="minorHAnsi" w:eastAsia="Times New Roman" w:hAnsiTheme="minorHAnsi" w:cs="Calibri"/>
                <w:sz w:val="15"/>
                <w:szCs w:val="15"/>
              </w:rPr>
            </w:pPr>
            <w:r>
              <w:rPr>
                <w:rFonts w:asciiTheme="minorHAnsi" w:hAnsiTheme="minorHAnsi"/>
                <w:sz w:val="15"/>
              </w:rPr>
              <w:t>2710.12.41</w:t>
            </w:r>
          </w:p>
        </w:tc>
        <w:tc>
          <w:tcPr>
            <w:tcW w:w="3680" w:type="dxa"/>
            <w:noWrap/>
            <w:hideMark/>
          </w:tcPr>
          <w:p w14:paraId="5622CB02" w14:textId="77777777" w:rsidR="001A500E" w:rsidRPr="00573026" w:rsidRDefault="001A500E" w:rsidP="001F3C85">
            <w:pPr>
              <w:rPr>
                <w:rFonts w:asciiTheme="minorHAnsi" w:eastAsia="Times New Roman" w:hAnsiTheme="minorHAnsi" w:cs="Calibri"/>
                <w:sz w:val="15"/>
                <w:szCs w:val="15"/>
              </w:rPr>
            </w:pPr>
            <w:r>
              <w:rPr>
                <w:rFonts w:asciiTheme="minorHAnsi" w:hAnsiTheme="minorHAnsi"/>
                <w:sz w:val="15"/>
              </w:rPr>
              <w:t>Kerosene</w:t>
            </w:r>
          </w:p>
        </w:tc>
        <w:tc>
          <w:tcPr>
            <w:tcW w:w="1853" w:type="dxa"/>
            <w:noWrap/>
            <w:hideMark/>
          </w:tcPr>
          <w:p w14:paraId="0FD2FDC5" w14:textId="77777777" w:rsidR="001A500E" w:rsidRPr="00573026" w:rsidRDefault="001A500E" w:rsidP="001F3C85">
            <w:pPr>
              <w:ind w:right="680"/>
              <w:jc w:val="right"/>
              <w:rPr>
                <w:rFonts w:asciiTheme="minorHAnsi" w:eastAsia="Times New Roman" w:hAnsiTheme="minorHAnsi" w:cs="Calibri"/>
                <w:sz w:val="15"/>
                <w:szCs w:val="15"/>
              </w:rPr>
            </w:pPr>
            <w:r>
              <w:rPr>
                <w:rFonts w:asciiTheme="minorHAnsi" w:hAnsiTheme="minorHAnsi"/>
                <w:sz w:val="15"/>
              </w:rPr>
              <w:t>16.0</w:t>
            </w:r>
          </w:p>
        </w:tc>
        <w:tc>
          <w:tcPr>
            <w:tcW w:w="1854" w:type="dxa"/>
            <w:noWrap/>
            <w:hideMark/>
          </w:tcPr>
          <w:p w14:paraId="2C5E3394" w14:textId="77777777" w:rsidR="001A500E" w:rsidRPr="00573026" w:rsidRDefault="001A500E" w:rsidP="001F3C85">
            <w:pPr>
              <w:ind w:right="567"/>
              <w:jc w:val="right"/>
              <w:rPr>
                <w:rFonts w:asciiTheme="minorHAnsi" w:eastAsia="Times New Roman" w:hAnsiTheme="minorHAnsi" w:cs="Calibri"/>
                <w:sz w:val="15"/>
                <w:szCs w:val="15"/>
              </w:rPr>
            </w:pPr>
            <w:r>
              <w:rPr>
                <w:rFonts w:asciiTheme="minorHAnsi" w:hAnsiTheme="minorHAnsi"/>
                <w:sz w:val="15"/>
              </w:rPr>
              <w:t>17.99</w:t>
            </w:r>
          </w:p>
        </w:tc>
      </w:tr>
      <w:tr w:rsidR="001A500E" w:rsidRPr="00573026" w14:paraId="715BEF76" w14:textId="77777777" w:rsidTr="001F3C85">
        <w:trPr>
          <w:cantSplit/>
        </w:trPr>
        <w:tc>
          <w:tcPr>
            <w:tcW w:w="1560" w:type="dxa"/>
            <w:noWrap/>
            <w:hideMark/>
          </w:tcPr>
          <w:p w14:paraId="147130EE" w14:textId="77777777" w:rsidR="001A500E" w:rsidRPr="00573026" w:rsidRDefault="001A500E" w:rsidP="001F3C85">
            <w:pPr>
              <w:rPr>
                <w:rFonts w:asciiTheme="minorHAnsi" w:eastAsia="Times New Roman" w:hAnsiTheme="minorHAnsi" w:cs="Calibri"/>
                <w:sz w:val="15"/>
                <w:szCs w:val="15"/>
              </w:rPr>
            </w:pPr>
            <w:r>
              <w:rPr>
                <w:rFonts w:asciiTheme="minorHAnsi" w:hAnsiTheme="minorHAnsi"/>
                <w:sz w:val="15"/>
              </w:rPr>
              <w:t>2710.12.50</w:t>
            </w:r>
          </w:p>
        </w:tc>
        <w:tc>
          <w:tcPr>
            <w:tcW w:w="3680" w:type="dxa"/>
            <w:noWrap/>
            <w:hideMark/>
          </w:tcPr>
          <w:p w14:paraId="556ECD43" w14:textId="77777777" w:rsidR="001A500E" w:rsidRPr="00573026" w:rsidRDefault="001A500E" w:rsidP="001F3C85">
            <w:pPr>
              <w:rPr>
                <w:rFonts w:asciiTheme="minorHAnsi" w:eastAsia="Times New Roman" w:hAnsiTheme="minorHAnsi" w:cs="Calibri"/>
                <w:sz w:val="15"/>
                <w:szCs w:val="15"/>
              </w:rPr>
            </w:pPr>
            <w:r>
              <w:rPr>
                <w:rFonts w:asciiTheme="minorHAnsi" w:hAnsiTheme="minorHAnsi"/>
                <w:sz w:val="15"/>
              </w:rPr>
              <w:t>Premium diesel</w:t>
            </w:r>
          </w:p>
        </w:tc>
        <w:tc>
          <w:tcPr>
            <w:tcW w:w="1853" w:type="dxa"/>
            <w:noWrap/>
            <w:hideMark/>
          </w:tcPr>
          <w:p w14:paraId="16C56307" w14:textId="77777777" w:rsidR="001A500E" w:rsidRPr="00573026" w:rsidRDefault="001A500E" w:rsidP="001F3C85">
            <w:pPr>
              <w:ind w:right="680"/>
              <w:jc w:val="right"/>
              <w:rPr>
                <w:rFonts w:asciiTheme="minorHAnsi" w:eastAsia="Times New Roman" w:hAnsiTheme="minorHAnsi" w:cs="Calibri"/>
                <w:sz w:val="15"/>
                <w:szCs w:val="15"/>
              </w:rPr>
            </w:pPr>
            <w:r>
              <w:rPr>
                <w:rFonts w:asciiTheme="minorHAnsi" w:hAnsiTheme="minorHAnsi"/>
                <w:sz w:val="15"/>
              </w:rPr>
              <w:t>16.0</w:t>
            </w:r>
          </w:p>
        </w:tc>
        <w:tc>
          <w:tcPr>
            <w:tcW w:w="1854" w:type="dxa"/>
            <w:noWrap/>
            <w:hideMark/>
          </w:tcPr>
          <w:p w14:paraId="2D74B54C" w14:textId="77777777" w:rsidR="001A500E" w:rsidRPr="00573026" w:rsidRDefault="001A500E" w:rsidP="001F3C85">
            <w:pPr>
              <w:ind w:right="567"/>
              <w:jc w:val="right"/>
              <w:rPr>
                <w:rFonts w:asciiTheme="minorHAnsi" w:eastAsia="Times New Roman" w:hAnsiTheme="minorHAnsi" w:cs="Calibri"/>
                <w:sz w:val="15"/>
                <w:szCs w:val="15"/>
              </w:rPr>
            </w:pPr>
            <w:r>
              <w:rPr>
                <w:rFonts w:asciiTheme="minorHAnsi" w:hAnsiTheme="minorHAnsi"/>
                <w:sz w:val="15"/>
              </w:rPr>
              <w:t>34.53</w:t>
            </w:r>
          </w:p>
        </w:tc>
      </w:tr>
      <w:tr w:rsidR="001A500E" w:rsidRPr="00573026" w14:paraId="6887BEA0" w14:textId="77777777" w:rsidTr="001F3C85">
        <w:trPr>
          <w:cnfStyle w:val="000000010000" w:firstRow="0" w:lastRow="0" w:firstColumn="0" w:lastColumn="0" w:oddVBand="0" w:evenVBand="0" w:oddHBand="0" w:evenHBand="1" w:firstRowFirstColumn="0" w:firstRowLastColumn="0" w:lastRowFirstColumn="0" w:lastRowLastColumn="0"/>
          <w:cantSplit/>
        </w:trPr>
        <w:tc>
          <w:tcPr>
            <w:tcW w:w="1560" w:type="dxa"/>
            <w:noWrap/>
            <w:hideMark/>
          </w:tcPr>
          <w:p w14:paraId="6EFE6D50" w14:textId="77777777" w:rsidR="001A500E" w:rsidRPr="00573026" w:rsidRDefault="001A500E" w:rsidP="001F3C85">
            <w:pPr>
              <w:rPr>
                <w:rFonts w:asciiTheme="minorHAnsi" w:eastAsia="Times New Roman" w:hAnsiTheme="minorHAnsi" w:cs="Calibri"/>
                <w:sz w:val="15"/>
                <w:szCs w:val="15"/>
              </w:rPr>
            </w:pPr>
            <w:r>
              <w:rPr>
                <w:rFonts w:asciiTheme="minorHAnsi" w:hAnsiTheme="minorHAnsi"/>
                <w:sz w:val="15"/>
              </w:rPr>
              <w:t>2710.12.50</w:t>
            </w:r>
          </w:p>
        </w:tc>
        <w:tc>
          <w:tcPr>
            <w:tcW w:w="3680" w:type="dxa"/>
            <w:noWrap/>
            <w:hideMark/>
          </w:tcPr>
          <w:p w14:paraId="31B4822F" w14:textId="77777777" w:rsidR="001A500E" w:rsidRPr="00573026" w:rsidRDefault="001A500E" w:rsidP="001F3C85">
            <w:pPr>
              <w:rPr>
                <w:rFonts w:asciiTheme="minorHAnsi" w:eastAsia="Times New Roman" w:hAnsiTheme="minorHAnsi" w:cs="Calibri"/>
                <w:sz w:val="15"/>
                <w:szCs w:val="15"/>
              </w:rPr>
            </w:pPr>
            <w:r>
              <w:rPr>
                <w:rFonts w:asciiTheme="minorHAnsi" w:hAnsiTheme="minorHAnsi"/>
                <w:sz w:val="15"/>
              </w:rPr>
              <w:t>Regular diesel</w:t>
            </w:r>
          </w:p>
        </w:tc>
        <w:tc>
          <w:tcPr>
            <w:tcW w:w="1853" w:type="dxa"/>
            <w:noWrap/>
            <w:hideMark/>
          </w:tcPr>
          <w:p w14:paraId="74F3231B" w14:textId="77777777" w:rsidR="001A500E" w:rsidRPr="00573026" w:rsidRDefault="001A500E" w:rsidP="001F3C85">
            <w:pPr>
              <w:ind w:right="680"/>
              <w:jc w:val="right"/>
              <w:rPr>
                <w:rFonts w:asciiTheme="minorHAnsi" w:eastAsia="Times New Roman" w:hAnsiTheme="minorHAnsi" w:cs="Calibri"/>
                <w:sz w:val="15"/>
                <w:szCs w:val="15"/>
              </w:rPr>
            </w:pPr>
            <w:r>
              <w:rPr>
                <w:rFonts w:asciiTheme="minorHAnsi" w:hAnsiTheme="minorHAnsi"/>
                <w:sz w:val="15"/>
              </w:rPr>
              <w:t>16.0</w:t>
            </w:r>
          </w:p>
        </w:tc>
        <w:tc>
          <w:tcPr>
            <w:tcW w:w="1854" w:type="dxa"/>
            <w:noWrap/>
            <w:hideMark/>
          </w:tcPr>
          <w:p w14:paraId="2E96C170" w14:textId="77777777" w:rsidR="001A500E" w:rsidRPr="00573026" w:rsidRDefault="001A500E" w:rsidP="001F3C85">
            <w:pPr>
              <w:ind w:right="567"/>
              <w:jc w:val="right"/>
              <w:rPr>
                <w:rFonts w:asciiTheme="minorHAnsi" w:eastAsia="Times New Roman" w:hAnsiTheme="minorHAnsi" w:cs="Calibri"/>
                <w:sz w:val="15"/>
                <w:szCs w:val="15"/>
              </w:rPr>
            </w:pPr>
            <w:r>
              <w:rPr>
                <w:rFonts w:asciiTheme="minorHAnsi" w:hAnsiTheme="minorHAnsi"/>
                <w:sz w:val="15"/>
              </w:rPr>
              <w:t>28.06</w:t>
            </w:r>
          </w:p>
        </w:tc>
      </w:tr>
      <w:tr w:rsidR="001A500E" w:rsidRPr="00573026" w14:paraId="63A6462E" w14:textId="77777777" w:rsidTr="001F3C85">
        <w:trPr>
          <w:cantSplit/>
        </w:trPr>
        <w:tc>
          <w:tcPr>
            <w:tcW w:w="1560" w:type="dxa"/>
            <w:noWrap/>
            <w:hideMark/>
          </w:tcPr>
          <w:p w14:paraId="3AA8F144" w14:textId="77777777" w:rsidR="001A500E" w:rsidRPr="00573026" w:rsidRDefault="001A500E" w:rsidP="001F3C85">
            <w:pPr>
              <w:rPr>
                <w:rFonts w:asciiTheme="minorHAnsi" w:eastAsia="Times New Roman" w:hAnsiTheme="minorHAnsi" w:cs="Calibri"/>
                <w:sz w:val="15"/>
                <w:szCs w:val="15"/>
              </w:rPr>
            </w:pPr>
            <w:r>
              <w:rPr>
                <w:rFonts w:asciiTheme="minorHAnsi" w:hAnsiTheme="minorHAnsi"/>
                <w:sz w:val="15"/>
              </w:rPr>
              <w:t>2710.12.60</w:t>
            </w:r>
          </w:p>
        </w:tc>
        <w:tc>
          <w:tcPr>
            <w:tcW w:w="3680" w:type="dxa"/>
            <w:noWrap/>
            <w:hideMark/>
          </w:tcPr>
          <w:p w14:paraId="7E3CA22E" w14:textId="77777777" w:rsidR="001A500E" w:rsidRPr="00573026" w:rsidRDefault="001A500E" w:rsidP="001F3C85">
            <w:pPr>
              <w:rPr>
                <w:rFonts w:asciiTheme="minorHAnsi" w:eastAsia="Times New Roman" w:hAnsiTheme="minorHAnsi" w:cs="Calibri"/>
                <w:sz w:val="15"/>
                <w:szCs w:val="15"/>
              </w:rPr>
            </w:pPr>
            <w:r>
              <w:rPr>
                <w:rFonts w:asciiTheme="minorHAnsi" w:hAnsiTheme="minorHAnsi"/>
                <w:sz w:val="15"/>
              </w:rPr>
              <w:t>Fuel oil</w:t>
            </w:r>
          </w:p>
        </w:tc>
        <w:tc>
          <w:tcPr>
            <w:tcW w:w="1853" w:type="dxa"/>
            <w:noWrap/>
            <w:hideMark/>
          </w:tcPr>
          <w:p w14:paraId="7726AECD" w14:textId="77777777" w:rsidR="001A500E" w:rsidRPr="00573026" w:rsidRDefault="001A500E" w:rsidP="001F3C85">
            <w:pPr>
              <w:ind w:right="680"/>
              <w:jc w:val="right"/>
              <w:rPr>
                <w:rFonts w:asciiTheme="minorHAnsi" w:eastAsia="Times New Roman" w:hAnsiTheme="minorHAnsi" w:cs="Calibri"/>
                <w:sz w:val="15"/>
                <w:szCs w:val="15"/>
              </w:rPr>
            </w:pPr>
            <w:r>
              <w:rPr>
                <w:rFonts w:asciiTheme="minorHAnsi" w:hAnsiTheme="minorHAnsi"/>
                <w:sz w:val="15"/>
              </w:rPr>
              <w:t>16.0</w:t>
            </w:r>
          </w:p>
        </w:tc>
        <w:tc>
          <w:tcPr>
            <w:tcW w:w="1854" w:type="dxa"/>
            <w:noWrap/>
            <w:hideMark/>
          </w:tcPr>
          <w:p w14:paraId="220CE47D" w14:textId="77777777" w:rsidR="001A500E" w:rsidRPr="00573026" w:rsidRDefault="001A500E" w:rsidP="001F3C85">
            <w:pPr>
              <w:ind w:right="567"/>
              <w:jc w:val="right"/>
              <w:rPr>
                <w:rFonts w:asciiTheme="minorHAnsi" w:eastAsia="Times New Roman" w:hAnsiTheme="minorHAnsi" w:cs="Calibri"/>
                <w:sz w:val="15"/>
                <w:szCs w:val="15"/>
              </w:rPr>
            </w:pPr>
            <w:r>
              <w:rPr>
                <w:rFonts w:asciiTheme="minorHAnsi" w:hAnsiTheme="minorHAnsi"/>
                <w:sz w:val="15"/>
              </w:rPr>
              <w:t>17.99</w:t>
            </w:r>
          </w:p>
        </w:tc>
      </w:tr>
      <w:tr w:rsidR="001A500E" w:rsidRPr="00573026" w14:paraId="308A7EEF" w14:textId="77777777" w:rsidTr="001F3C85">
        <w:trPr>
          <w:cnfStyle w:val="000000010000" w:firstRow="0" w:lastRow="0" w:firstColumn="0" w:lastColumn="0" w:oddVBand="0" w:evenVBand="0" w:oddHBand="0" w:evenHBand="1" w:firstRowFirstColumn="0" w:firstRowLastColumn="0" w:lastRowFirstColumn="0" w:lastRowLastColumn="0"/>
          <w:cantSplit/>
        </w:trPr>
        <w:tc>
          <w:tcPr>
            <w:tcW w:w="1560" w:type="dxa"/>
            <w:noWrap/>
            <w:hideMark/>
          </w:tcPr>
          <w:p w14:paraId="7CDF4A71" w14:textId="77777777" w:rsidR="001A500E" w:rsidRPr="00573026" w:rsidRDefault="001A500E" w:rsidP="001F3C85">
            <w:pPr>
              <w:rPr>
                <w:rFonts w:asciiTheme="minorHAnsi" w:eastAsia="Times New Roman" w:hAnsiTheme="minorHAnsi" w:cs="Calibri"/>
                <w:sz w:val="15"/>
                <w:szCs w:val="15"/>
              </w:rPr>
            </w:pPr>
            <w:r>
              <w:rPr>
                <w:rFonts w:asciiTheme="minorHAnsi" w:hAnsiTheme="minorHAnsi"/>
                <w:sz w:val="15"/>
              </w:rPr>
              <w:t>2711.11.00</w:t>
            </w:r>
          </w:p>
        </w:tc>
        <w:tc>
          <w:tcPr>
            <w:tcW w:w="3680" w:type="dxa"/>
            <w:noWrap/>
            <w:hideMark/>
          </w:tcPr>
          <w:p w14:paraId="1D37DB4C" w14:textId="77777777" w:rsidR="001A500E" w:rsidRPr="00573026" w:rsidRDefault="001A500E" w:rsidP="001F3C85">
            <w:pPr>
              <w:rPr>
                <w:rFonts w:asciiTheme="minorHAnsi" w:eastAsia="Times New Roman" w:hAnsiTheme="minorHAnsi" w:cs="Calibri"/>
                <w:sz w:val="15"/>
                <w:szCs w:val="15"/>
              </w:rPr>
            </w:pPr>
            <w:r>
              <w:rPr>
                <w:rFonts w:asciiTheme="minorHAnsi" w:hAnsiTheme="minorHAnsi"/>
                <w:sz w:val="15"/>
              </w:rPr>
              <w:t>Natural gas, liquefied</w:t>
            </w:r>
          </w:p>
        </w:tc>
        <w:tc>
          <w:tcPr>
            <w:tcW w:w="1853" w:type="dxa"/>
            <w:noWrap/>
            <w:hideMark/>
          </w:tcPr>
          <w:p w14:paraId="02E4AB09" w14:textId="77777777" w:rsidR="001A500E" w:rsidRPr="00573026" w:rsidRDefault="001A500E" w:rsidP="001F3C85">
            <w:pPr>
              <w:ind w:right="680"/>
              <w:jc w:val="right"/>
              <w:rPr>
                <w:rFonts w:asciiTheme="minorHAnsi" w:eastAsia="Times New Roman" w:hAnsiTheme="minorHAnsi" w:cs="Calibri"/>
                <w:sz w:val="15"/>
                <w:szCs w:val="15"/>
              </w:rPr>
            </w:pPr>
            <w:r>
              <w:rPr>
                <w:rFonts w:asciiTheme="minorHAnsi" w:hAnsiTheme="minorHAnsi"/>
                <w:sz w:val="15"/>
              </w:rPr>
              <w:t>16.0</w:t>
            </w:r>
          </w:p>
        </w:tc>
        <w:tc>
          <w:tcPr>
            <w:tcW w:w="1854" w:type="dxa"/>
            <w:noWrap/>
            <w:hideMark/>
          </w:tcPr>
          <w:p w14:paraId="19822322" w14:textId="77777777" w:rsidR="001A500E" w:rsidRPr="00573026" w:rsidRDefault="001A500E" w:rsidP="001F3C85">
            <w:pPr>
              <w:ind w:left="680"/>
              <w:jc w:val="left"/>
              <w:rPr>
                <w:rFonts w:asciiTheme="minorHAnsi" w:eastAsia="Times New Roman" w:hAnsiTheme="minorHAnsi" w:cs="Calibri"/>
                <w:sz w:val="15"/>
                <w:szCs w:val="15"/>
              </w:rPr>
            </w:pPr>
            <w:proofErr w:type="spellStart"/>
            <w:r>
              <w:rPr>
                <w:rFonts w:asciiTheme="minorHAnsi" w:hAnsiTheme="minorHAnsi"/>
                <w:sz w:val="15"/>
              </w:rPr>
              <w:t>n.a.</w:t>
            </w:r>
            <w:proofErr w:type="spellEnd"/>
          </w:p>
        </w:tc>
      </w:tr>
      <w:tr w:rsidR="001A500E" w:rsidRPr="00573026" w14:paraId="03DF726C" w14:textId="77777777" w:rsidTr="001F3C85">
        <w:trPr>
          <w:cantSplit/>
        </w:trPr>
        <w:tc>
          <w:tcPr>
            <w:tcW w:w="1560" w:type="dxa"/>
            <w:noWrap/>
            <w:hideMark/>
          </w:tcPr>
          <w:p w14:paraId="4C346E6A" w14:textId="77777777" w:rsidR="001A500E" w:rsidRPr="00573026" w:rsidRDefault="001A500E" w:rsidP="001F3C85">
            <w:pPr>
              <w:rPr>
                <w:rFonts w:asciiTheme="minorHAnsi" w:eastAsia="Times New Roman" w:hAnsiTheme="minorHAnsi" w:cs="Calibri"/>
                <w:sz w:val="15"/>
                <w:szCs w:val="15"/>
              </w:rPr>
            </w:pPr>
            <w:r>
              <w:rPr>
                <w:rFonts w:asciiTheme="minorHAnsi" w:hAnsiTheme="minorHAnsi"/>
                <w:sz w:val="15"/>
              </w:rPr>
              <w:t>2711.12.00</w:t>
            </w:r>
          </w:p>
        </w:tc>
        <w:tc>
          <w:tcPr>
            <w:tcW w:w="3680" w:type="dxa"/>
            <w:noWrap/>
            <w:hideMark/>
          </w:tcPr>
          <w:p w14:paraId="127CBF50" w14:textId="77777777" w:rsidR="001A500E" w:rsidRPr="00573026" w:rsidRDefault="001A500E" w:rsidP="001F3C85">
            <w:pPr>
              <w:rPr>
                <w:rFonts w:asciiTheme="minorHAnsi" w:eastAsia="Times New Roman" w:hAnsiTheme="minorHAnsi" w:cs="Calibri"/>
                <w:sz w:val="15"/>
                <w:szCs w:val="15"/>
              </w:rPr>
            </w:pPr>
            <w:r>
              <w:rPr>
                <w:rFonts w:asciiTheme="minorHAnsi" w:hAnsiTheme="minorHAnsi"/>
                <w:sz w:val="15"/>
              </w:rPr>
              <w:t>Liquefied petroleum gas (LPG), propane</w:t>
            </w:r>
          </w:p>
        </w:tc>
        <w:tc>
          <w:tcPr>
            <w:tcW w:w="1853" w:type="dxa"/>
            <w:noWrap/>
            <w:hideMark/>
          </w:tcPr>
          <w:p w14:paraId="56C41BA1" w14:textId="77777777" w:rsidR="001A500E" w:rsidRPr="00573026" w:rsidRDefault="001A500E" w:rsidP="001F3C85">
            <w:pPr>
              <w:ind w:right="680"/>
              <w:jc w:val="right"/>
              <w:rPr>
                <w:rFonts w:asciiTheme="minorHAnsi" w:eastAsia="Times New Roman" w:hAnsiTheme="minorHAnsi" w:cs="Calibri"/>
                <w:sz w:val="15"/>
                <w:szCs w:val="15"/>
              </w:rPr>
            </w:pPr>
            <w:r>
              <w:rPr>
                <w:rFonts w:asciiTheme="minorHAnsi" w:hAnsiTheme="minorHAnsi"/>
                <w:sz w:val="15"/>
              </w:rPr>
              <w:t>16.0</w:t>
            </w:r>
          </w:p>
        </w:tc>
        <w:tc>
          <w:tcPr>
            <w:tcW w:w="1854" w:type="dxa"/>
            <w:noWrap/>
            <w:hideMark/>
          </w:tcPr>
          <w:p w14:paraId="3C64D8D7" w14:textId="77777777" w:rsidR="001A500E" w:rsidRPr="00573026" w:rsidRDefault="001A500E" w:rsidP="001F3C85">
            <w:pPr>
              <w:ind w:left="680"/>
              <w:jc w:val="left"/>
              <w:rPr>
                <w:rFonts w:asciiTheme="minorHAnsi" w:eastAsia="Times New Roman" w:hAnsiTheme="minorHAnsi" w:cs="Calibri"/>
                <w:sz w:val="15"/>
                <w:szCs w:val="15"/>
              </w:rPr>
            </w:pPr>
            <w:proofErr w:type="spellStart"/>
            <w:r>
              <w:rPr>
                <w:rFonts w:asciiTheme="minorHAnsi" w:hAnsiTheme="minorHAnsi"/>
                <w:sz w:val="15"/>
              </w:rPr>
              <w:t>n.a.</w:t>
            </w:r>
            <w:proofErr w:type="spellEnd"/>
          </w:p>
        </w:tc>
      </w:tr>
      <w:tr w:rsidR="001A500E" w:rsidRPr="00573026" w14:paraId="03AA516D" w14:textId="77777777" w:rsidTr="001F3C85">
        <w:trPr>
          <w:cnfStyle w:val="000000010000" w:firstRow="0" w:lastRow="0" w:firstColumn="0" w:lastColumn="0" w:oddVBand="0" w:evenVBand="0" w:oddHBand="0" w:evenHBand="1" w:firstRowFirstColumn="0" w:firstRowLastColumn="0" w:lastRowFirstColumn="0" w:lastRowLastColumn="0"/>
          <w:cantSplit/>
        </w:trPr>
        <w:tc>
          <w:tcPr>
            <w:tcW w:w="1560" w:type="dxa"/>
            <w:hideMark/>
          </w:tcPr>
          <w:p w14:paraId="2E354332" w14:textId="77777777" w:rsidR="001A500E" w:rsidRPr="00573026" w:rsidRDefault="001A500E" w:rsidP="001F3C85">
            <w:pPr>
              <w:rPr>
                <w:rFonts w:asciiTheme="minorHAnsi" w:eastAsia="Times New Roman" w:hAnsiTheme="minorHAnsi" w:cs="Calibri"/>
                <w:sz w:val="15"/>
                <w:szCs w:val="15"/>
              </w:rPr>
            </w:pPr>
            <w:r>
              <w:rPr>
                <w:rFonts w:asciiTheme="minorHAnsi" w:hAnsiTheme="minorHAnsi"/>
                <w:sz w:val="15"/>
              </w:rPr>
              <w:t>2711.13.00</w:t>
            </w:r>
          </w:p>
        </w:tc>
        <w:tc>
          <w:tcPr>
            <w:tcW w:w="3680" w:type="dxa"/>
            <w:noWrap/>
            <w:hideMark/>
          </w:tcPr>
          <w:p w14:paraId="4C5FA437" w14:textId="77777777" w:rsidR="001A500E" w:rsidRPr="00573026" w:rsidRDefault="001A500E" w:rsidP="001F3C85">
            <w:pPr>
              <w:rPr>
                <w:rFonts w:asciiTheme="minorHAnsi" w:eastAsia="Times New Roman" w:hAnsiTheme="minorHAnsi" w:cs="Calibri"/>
                <w:sz w:val="15"/>
                <w:szCs w:val="15"/>
              </w:rPr>
            </w:pPr>
            <w:r>
              <w:rPr>
                <w:rFonts w:asciiTheme="minorHAnsi" w:hAnsiTheme="minorHAnsi"/>
                <w:sz w:val="15"/>
              </w:rPr>
              <w:t>Liquefied petroleum gas (LPG), butane</w:t>
            </w:r>
          </w:p>
        </w:tc>
        <w:tc>
          <w:tcPr>
            <w:tcW w:w="1853" w:type="dxa"/>
            <w:noWrap/>
            <w:hideMark/>
          </w:tcPr>
          <w:p w14:paraId="0C2B9DA9" w14:textId="77777777" w:rsidR="001A500E" w:rsidRPr="00573026" w:rsidRDefault="001A500E" w:rsidP="001F3C85">
            <w:pPr>
              <w:ind w:right="680"/>
              <w:jc w:val="right"/>
              <w:rPr>
                <w:rFonts w:asciiTheme="minorHAnsi" w:eastAsia="Times New Roman" w:hAnsiTheme="minorHAnsi" w:cs="Calibri"/>
                <w:sz w:val="15"/>
                <w:szCs w:val="15"/>
              </w:rPr>
            </w:pPr>
            <w:r>
              <w:rPr>
                <w:rFonts w:asciiTheme="minorHAnsi" w:hAnsiTheme="minorHAnsi"/>
                <w:sz w:val="15"/>
              </w:rPr>
              <w:t>16.0</w:t>
            </w:r>
          </w:p>
        </w:tc>
        <w:tc>
          <w:tcPr>
            <w:tcW w:w="1854" w:type="dxa"/>
            <w:noWrap/>
            <w:hideMark/>
          </w:tcPr>
          <w:p w14:paraId="004C2168" w14:textId="77777777" w:rsidR="001A500E" w:rsidRPr="00573026" w:rsidRDefault="001A500E" w:rsidP="001F3C85">
            <w:pPr>
              <w:ind w:left="680"/>
              <w:jc w:val="left"/>
              <w:rPr>
                <w:rFonts w:asciiTheme="minorHAnsi" w:eastAsia="Times New Roman" w:hAnsiTheme="minorHAnsi" w:cs="Calibri"/>
                <w:sz w:val="15"/>
                <w:szCs w:val="15"/>
              </w:rPr>
            </w:pPr>
            <w:proofErr w:type="spellStart"/>
            <w:r>
              <w:rPr>
                <w:rFonts w:asciiTheme="minorHAnsi" w:hAnsiTheme="minorHAnsi"/>
                <w:sz w:val="15"/>
              </w:rPr>
              <w:t>n.a.</w:t>
            </w:r>
            <w:proofErr w:type="spellEnd"/>
          </w:p>
        </w:tc>
      </w:tr>
      <w:tr w:rsidR="001A500E" w:rsidRPr="00573026" w14:paraId="64D50F62" w14:textId="77777777" w:rsidTr="001F3C85">
        <w:trPr>
          <w:cantSplit/>
        </w:trPr>
        <w:tc>
          <w:tcPr>
            <w:tcW w:w="1560" w:type="dxa"/>
            <w:hideMark/>
          </w:tcPr>
          <w:p w14:paraId="38027062" w14:textId="77777777" w:rsidR="001A500E" w:rsidRPr="00573026" w:rsidRDefault="001A500E" w:rsidP="001F3C85">
            <w:pPr>
              <w:rPr>
                <w:rFonts w:asciiTheme="minorHAnsi" w:eastAsia="Times New Roman" w:hAnsiTheme="minorHAnsi" w:cs="Calibri"/>
                <w:sz w:val="15"/>
                <w:szCs w:val="15"/>
              </w:rPr>
            </w:pPr>
            <w:r>
              <w:rPr>
                <w:rFonts w:asciiTheme="minorHAnsi" w:hAnsiTheme="minorHAnsi"/>
                <w:sz w:val="15"/>
              </w:rPr>
              <w:t>2711.19.00</w:t>
            </w:r>
          </w:p>
        </w:tc>
        <w:tc>
          <w:tcPr>
            <w:tcW w:w="3680" w:type="dxa"/>
            <w:noWrap/>
            <w:hideMark/>
          </w:tcPr>
          <w:p w14:paraId="509E20C6" w14:textId="77777777" w:rsidR="001A500E" w:rsidRPr="00573026" w:rsidRDefault="001A500E" w:rsidP="001F3C85">
            <w:pPr>
              <w:rPr>
                <w:rFonts w:asciiTheme="minorHAnsi" w:eastAsia="Times New Roman" w:hAnsiTheme="minorHAnsi" w:cs="Calibri"/>
                <w:sz w:val="15"/>
                <w:szCs w:val="15"/>
              </w:rPr>
            </w:pPr>
            <w:r>
              <w:rPr>
                <w:rFonts w:asciiTheme="minorHAnsi" w:hAnsiTheme="minorHAnsi"/>
                <w:sz w:val="15"/>
              </w:rPr>
              <w:t>Liquefied petroleum gas (LPG), other</w:t>
            </w:r>
          </w:p>
        </w:tc>
        <w:tc>
          <w:tcPr>
            <w:tcW w:w="1853" w:type="dxa"/>
            <w:noWrap/>
            <w:hideMark/>
          </w:tcPr>
          <w:p w14:paraId="5D5C3654" w14:textId="77777777" w:rsidR="001A500E" w:rsidRPr="00573026" w:rsidRDefault="001A500E" w:rsidP="001F3C85">
            <w:pPr>
              <w:ind w:right="680"/>
              <w:jc w:val="right"/>
              <w:rPr>
                <w:rFonts w:asciiTheme="minorHAnsi" w:eastAsia="Times New Roman" w:hAnsiTheme="minorHAnsi" w:cs="Calibri"/>
                <w:sz w:val="15"/>
                <w:szCs w:val="15"/>
              </w:rPr>
            </w:pPr>
            <w:r>
              <w:rPr>
                <w:rFonts w:asciiTheme="minorHAnsi" w:hAnsiTheme="minorHAnsi"/>
                <w:sz w:val="15"/>
              </w:rPr>
              <w:t>16.0</w:t>
            </w:r>
          </w:p>
        </w:tc>
        <w:tc>
          <w:tcPr>
            <w:tcW w:w="1854" w:type="dxa"/>
            <w:noWrap/>
            <w:hideMark/>
          </w:tcPr>
          <w:p w14:paraId="359D0BA8" w14:textId="77777777" w:rsidR="001A500E" w:rsidRPr="00573026" w:rsidRDefault="001A500E" w:rsidP="001F3C85">
            <w:pPr>
              <w:ind w:left="680"/>
              <w:jc w:val="left"/>
              <w:rPr>
                <w:rFonts w:asciiTheme="minorHAnsi" w:eastAsia="Times New Roman" w:hAnsiTheme="minorHAnsi" w:cs="Calibri"/>
                <w:sz w:val="15"/>
                <w:szCs w:val="15"/>
              </w:rPr>
            </w:pPr>
            <w:proofErr w:type="spellStart"/>
            <w:r>
              <w:rPr>
                <w:rFonts w:asciiTheme="minorHAnsi" w:hAnsiTheme="minorHAnsi"/>
                <w:sz w:val="15"/>
              </w:rPr>
              <w:t>n.a.</w:t>
            </w:r>
            <w:proofErr w:type="spellEnd"/>
          </w:p>
        </w:tc>
      </w:tr>
      <w:tr w:rsidR="001A500E" w:rsidRPr="00573026" w14:paraId="2E2F5993" w14:textId="77777777" w:rsidTr="001F3C85">
        <w:trPr>
          <w:cnfStyle w:val="000000010000" w:firstRow="0" w:lastRow="0" w:firstColumn="0" w:lastColumn="0" w:oddVBand="0" w:evenVBand="0" w:oddHBand="0" w:evenHBand="1" w:firstRowFirstColumn="0" w:firstRowLastColumn="0" w:lastRowFirstColumn="0" w:lastRowLastColumn="0"/>
          <w:cantSplit/>
        </w:trPr>
        <w:tc>
          <w:tcPr>
            <w:tcW w:w="1560" w:type="dxa"/>
            <w:noWrap/>
            <w:hideMark/>
          </w:tcPr>
          <w:p w14:paraId="5CBC1D42" w14:textId="77777777" w:rsidR="001A500E" w:rsidRPr="00573026" w:rsidRDefault="001A500E" w:rsidP="001F3C85">
            <w:pPr>
              <w:rPr>
                <w:rFonts w:asciiTheme="minorHAnsi" w:eastAsia="Times New Roman" w:hAnsiTheme="minorHAnsi" w:cs="Calibri"/>
                <w:sz w:val="15"/>
                <w:szCs w:val="15"/>
              </w:rPr>
            </w:pPr>
            <w:r>
              <w:rPr>
                <w:rFonts w:asciiTheme="minorHAnsi" w:hAnsiTheme="minorHAnsi"/>
                <w:sz w:val="15"/>
              </w:rPr>
              <w:t>2711.21.00</w:t>
            </w:r>
          </w:p>
        </w:tc>
        <w:tc>
          <w:tcPr>
            <w:tcW w:w="3680" w:type="dxa"/>
            <w:noWrap/>
            <w:hideMark/>
          </w:tcPr>
          <w:p w14:paraId="37BB5414" w14:textId="77777777" w:rsidR="001A500E" w:rsidRPr="00573026" w:rsidRDefault="001A500E" w:rsidP="001F3C85">
            <w:pPr>
              <w:rPr>
                <w:rFonts w:asciiTheme="minorHAnsi" w:eastAsia="Times New Roman" w:hAnsiTheme="minorHAnsi" w:cs="Calibri"/>
                <w:sz w:val="15"/>
                <w:szCs w:val="15"/>
              </w:rPr>
            </w:pPr>
            <w:r>
              <w:rPr>
                <w:rFonts w:asciiTheme="minorHAnsi" w:hAnsiTheme="minorHAnsi"/>
                <w:sz w:val="15"/>
              </w:rPr>
              <w:t>Natural gas, in the gaseous state</w:t>
            </w:r>
          </w:p>
        </w:tc>
        <w:tc>
          <w:tcPr>
            <w:tcW w:w="1853" w:type="dxa"/>
            <w:noWrap/>
            <w:hideMark/>
          </w:tcPr>
          <w:p w14:paraId="28955AB5" w14:textId="77777777" w:rsidR="001A500E" w:rsidRPr="00573026" w:rsidRDefault="001A500E" w:rsidP="001F3C85">
            <w:pPr>
              <w:ind w:right="680"/>
              <w:jc w:val="right"/>
              <w:rPr>
                <w:rFonts w:asciiTheme="minorHAnsi" w:eastAsia="Times New Roman" w:hAnsiTheme="minorHAnsi" w:cs="Calibri"/>
                <w:sz w:val="15"/>
                <w:szCs w:val="15"/>
              </w:rPr>
            </w:pPr>
            <w:r>
              <w:rPr>
                <w:rFonts w:asciiTheme="minorHAnsi" w:hAnsiTheme="minorHAnsi"/>
                <w:sz w:val="15"/>
              </w:rPr>
              <w:t>16.0</w:t>
            </w:r>
          </w:p>
        </w:tc>
        <w:tc>
          <w:tcPr>
            <w:tcW w:w="1854" w:type="dxa"/>
            <w:noWrap/>
            <w:hideMark/>
          </w:tcPr>
          <w:p w14:paraId="04C5AA9F" w14:textId="77777777" w:rsidR="001A500E" w:rsidRPr="00573026" w:rsidRDefault="001A500E" w:rsidP="001F3C85">
            <w:pPr>
              <w:ind w:left="680"/>
              <w:jc w:val="left"/>
              <w:rPr>
                <w:rFonts w:asciiTheme="minorHAnsi" w:eastAsia="Times New Roman" w:hAnsiTheme="minorHAnsi" w:cs="Calibri"/>
                <w:sz w:val="15"/>
                <w:szCs w:val="15"/>
              </w:rPr>
            </w:pPr>
            <w:proofErr w:type="spellStart"/>
            <w:r>
              <w:rPr>
                <w:rFonts w:asciiTheme="minorHAnsi" w:hAnsiTheme="minorHAnsi"/>
                <w:sz w:val="15"/>
              </w:rPr>
              <w:t>n.a.</w:t>
            </w:r>
            <w:proofErr w:type="spellEnd"/>
          </w:p>
        </w:tc>
      </w:tr>
    </w:tbl>
    <w:p w14:paraId="698C1EA3" w14:textId="77777777" w:rsidR="001A500E" w:rsidRDefault="001A500E" w:rsidP="00E439A9">
      <w:pPr>
        <w:pStyle w:val="NoteText"/>
        <w:spacing w:before="120" w:after="120"/>
      </w:pPr>
      <w:proofErr w:type="spellStart"/>
      <w:r>
        <w:t>n.a.</w:t>
      </w:r>
      <w:proofErr w:type="spellEnd"/>
      <w:r>
        <w:tab/>
        <w:t>Not applicable.</w:t>
      </w:r>
    </w:p>
    <w:p w14:paraId="3F8042EF" w14:textId="77777777" w:rsidR="001A500E" w:rsidRPr="006420F6" w:rsidRDefault="001A500E" w:rsidP="00E439A9">
      <w:pPr>
        <w:pStyle w:val="NoteText"/>
        <w:spacing w:before="120" w:after="240"/>
      </w:pPr>
      <w:r>
        <w:t>Source:</w:t>
      </w:r>
      <w:r>
        <w:tab/>
        <w:t>Information provided by the authorities.</w:t>
      </w:r>
    </w:p>
    <w:p w14:paraId="36949DFF" w14:textId="77777777" w:rsidR="001A500E" w:rsidRPr="00133229" w:rsidRDefault="001A500E" w:rsidP="00574469">
      <w:pPr>
        <w:pStyle w:val="BodyText"/>
      </w:pPr>
      <w:r>
        <w:lastRenderedPageBreak/>
        <w:t>There is a reimbursement system for the tax on fuels for electricity generation to be used by companies that sell energy to the national grid (</w:t>
      </w:r>
      <w:proofErr w:type="spellStart"/>
      <w:r>
        <w:t>SENI</w:t>
      </w:r>
      <w:proofErr w:type="spellEnd"/>
      <w:r>
        <w:t>) or for stand</w:t>
      </w:r>
      <w:r w:rsidRPr="0060155B">
        <w:noBreakHyphen/>
      </w:r>
      <w:r>
        <w:t>alone systems</w:t>
      </w:r>
      <w:r w:rsidRPr="0060155B">
        <w:t>.</w:t>
      </w:r>
      <w:r w:rsidRPr="0060155B">
        <w:rPr>
          <w:rStyle w:val="FootnoteReference"/>
        </w:rPr>
        <w:footnoteReference w:id="142"/>
      </w:r>
      <w:r w:rsidRPr="0060155B">
        <w:t xml:space="preserve"> T</w:t>
      </w:r>
      <w:r>
        <w:t>he reimbursement is granted only for the fuel used to generate energy (i.e. for the energy actually generated), not for all the fuel purchased by the power plant.</w:t>
      </w:r>
    </w:p>
    <w:p w14:paraId="7E7E0AF0" w14:textId="77777777" w:rsidR="001A500E" w:rsidRPr="007C74EF" w:rsidRDefault="001A500E" w:rsidP="00574469">
      <w:pPr>
        <w:pStyle w:val="Heading3"/>
      </w:pPr>
      <w:bookmarkStart w:id="167" w:name="_Toc384214164"/>
      <w:bookmarkStart w:id="168" w:name="_Toc417038473"/>
      <w:bookmarkStart w:id="169" w:name="_Toc117260623"/>
      <w:r>
        <w:t>Import prohibitions, restrictions and licensing</w:t>
      </w:r>
      <w:bookmarkEnd w:id="167"/>
      <w:bookmarkEnd w:id="168"/>
      <w:bookmarkEnd w:id="169"/>
    </w:p>
    <w:p w14:paraId="44768815" w14:textId="77777777" w:rsidR="001A500E" w:rsidRPr="006420F6" w:rsidRDefault="001A500E" w:rsidP="00574469">
      <w:pPr>
        <w:pStyle w:val="BodyText"/>
      </w:pPr>
      <w:r>
        <w:t>The Dominican Republic maintains import prohibitions and restrictions for reasons of public health and safety, animal and plant health, and environmental protection, and in order to comply with the requirements of the international agreements to which it is a party.</w:t>
      </w:r>
    </w:p>
    <w:p w14:paraId="124F60E1" w14:textId="77777777" w:rsidR="001A500E" w:rsidRPr="006420F6" w:rsidRDefault="001A500E" w:rsidP="00574469">
      <w:pPr>
        <w:pStyle w:val="BodyText"/>
      </w:pPr>
      <w:r>
        <w:t>Most of the prohibitions currently maintained by the Dominican Republic are for plant and animal health reasons, and their objective is to prevent the entry of pests and diseases</w:t>
      </w:r>
      <w:r w:rsidRPr="000E3C2E">
        <w:t xml:space="preserve"> </w:t>
      </w:r>
      <w:r>
        <w:t>into the national territory, in view of the high commercial interest of the products they are intended to protect (Table 3.7)</w:t>
      </w:r>
      <w:r w:rsidRPr="0060155B">
        <w:t>. T</w:t>
      </w:r>
      <w:r>
        <w:t>herefore, in some instances, the import prohibition applies only to countries affected by the pests or diseases.</w:t>
      </w:r>
    </w:p>
    <w:p w14:paraId="0A4443A6" w14:textId="77777777" w:rsidR="001A500E" w:rsidRPr="003C6BB9" w:rsidRDefault="001A500E" w:rsidP="00574469">
      <w:pPr>
        <w:pStyle w:val="BodyText"/>
      </w:pPr>
      <w:r>
        <w:t>The import prohibition on certain used products (clothing, vehicles and household electrical appliances) is still in effect, as is the prohibition on firearms and ammunition, and right</w:t>
      </w:r>
      <w:r w:rsidRPr="0060155B">
        <w:noBreakHyphen/>
      </w:r>
      <w:r>
        <w:t>hand</w:t>
      </w:r>
      <w:r w:rsidRPr="0060155B">
        <w:noBreakHyphen/>
      </w:r>
      <w:r>
        <w:t>drive vehicles for public safety reasons.</w:t>
      </w:r>
    </w:p>
    <w:p w14:paraId="77E3FBB6" w14:textId="77777777" w:rsidR="001A500E" w:rsidRPr="006420F6" w:rsidRDefault="001A500E" w:rsidP="00B900E5">
      <w:pPr>
        <w:pStyle w:val="Caption"/>
      </w:pPr>
      <w:bookmarkStart w:id="170" w:name="_Toc117238040"/>
      <w:r>
        <w:t xml:space="preserve">Table </w:t>
      </w:r>
      <w:r w:rsidR="00BD37F2">
        <w:fldChar w:fldCharType="begin"/>
      </w:r>
      <w:r w:rsidR="00BD37F2">
        <w:instrText xml:space="preserve"> STYLEREF 1 \s </w:instrText>
      </w:r>
      <w:r w:rsidR="00BD37F2">
        <w:fldChar w:fldCharType="separate"/>
      </w:r>
      <w:r>
        <w:rPr>
          <w:noProof/>
        </w:rPr>
        <w:t>3</w:t>
      </w:r>
      <w:r w:rsidR="00BD37F2">
        <w:rPr>
          <w:noProof/>
        </w:rPr>
        <w:fldChar w:fldCharType="end"/>
      </w:r>
      <w:r>
        <w:t>.</w:t>
      </w:r>
      <w:r w:rsidR="00BD37F2">
        <w:fldChar w:fldCharType="begin"/>
      </w:r>
      <w:r w:rsidR="00BD37F2">
        <w:instrText xml:space="preserve"> SEQ Table \* ARABIC \s 1 </w:instrText>
      </w:r>
      <w:r w:rsidR="00BD37F2">
        <w:fldChar w:fldCharType="separate"/>
      </w:r>
      <w:r>
        <w:rPr>
          <w:noProof/>
        </w:rPr>
        <w:t>7</w:t>
      </w:r>
      <w:r w:rsidR="00BD37F2">
        <w:rPr>
          <w:noProof/>
        </w:rPr>
        <w:fldChar w:fldCharType="end"/>
      </w:r>
      <w:r>
        <w:t xml:space="preserve"> Import prohibition, 2015</w:t>
      </w:r>
      <w:r w:rsidRPr="0060155B">
        <w:noBreakHyphen/>
      </w:r>
      <w:r>
        <w:t>22</w:t>
      </w:r>
      <w:bookmarkEnd w:id="170"/>
    </w:p>
    <w:tbl>
      <w:tblPr>
        <w:tblW w:w="5000" w:type="pct"/>
        <w:tblBorders>
          <w:top w:val="single" w:sz="4" w:space="0" w:color="auto"/>
          <w:left w:val="single" w:sz="4" w:space="0" w:color="auto"/>
          <w:bottom w:val="single" w:sz="4" w:space="0" w:color="auto"/>
          <w:right w:val="single" w:sz="4" w:space="0" w:color="auto"/>
          <w:insideV w:val="single" w:sz="4" w:space="0" w:color="auto"/>
        </w:tblBorders>
        <w:tblLayout w:type="fixed"/>
        <w:tblLook w:val="04A0" w:firstRow="1" w:lastRow="0" w:firstColumn="1" w:lastColumn="0" w:noHBand="0" w:noVBand="1"/>
      </w:tblPr>
      <w:tblGrid>
        <w:gridCol w:w="2827"/>
        <w:gridCol w:w="994"/>
        <w:gridCol w:w="2128"/>
        <w:gridCol w:w="3067"/>
      </w:tblGrid>
      <w:tr w:rsidR="001A500E" w:rsidRPr="00573026" w14:paraId="04262831" w14:textId="77777777" w:rsidTr="001F3C85">
        <w:trPr>
          <w:cantSplit/>
          <w:tblHeader/>
        </w:trPr>
        <w:tc>
          <w:tcPr>
            <w:tcW w:w="1568" w:type="pct"/>
            <w:shd w:val="clear" w:color="auto" w:fill="006283"/>
            <w:noWrap/>
            <w:vAlign w:val="center"/>
            <w:hideMark/>
          </w:tcPr>
          <w:p w14:paraId="003C6F1B" w14:textId="77777777" w:rsidR="001A500E" w:rsidRPr="00573026" w:rsidRDefault="001A500E" w:rsidP="001F3C85">
            <w:pPr>
              <w:jc w:val="left"/>
              <w:rPr>
                <w:rFonts w:eastAsia="Times New Roman" w:cs="Calibri"/>
                <w:b/>
                <w:color w:val="FFFFFF"/>
                <w:sz w:val="15"/>
                <w:szCs w:val="15"/>
              </w:rPr>
            </w:pPr>
            <w:r>
              <w:rPr>
                <w:b/>
                <w:color w:val="FFFFFF"/>
                <w:sz w:val="15"/>
              </w:rPr>
              <w:t>Product</w:t>
            </w:r>
          </w:p>
        </w:tc>
        <w:tc>
          <w:tcPr>
            <w:tcW w:w="551" w:type="pct"/>
            <w:shd w:val="clear" w:color="auto" w:fill="006283"/>
            <w:noWrap/>
            <w:vAlign w:val="center"/>
            <w:hideMark/>
          </w:tcPr>
          <w:p w14:paraId="297F0732" w14:textId="77777777" w:rsidR="001A500E" w:rsidRPr="00573026" w:rsidRDefault="001A500E" w:rsidP="001F3C85">
            <w:pPr>
              <w:jc w:val="left"/>
              <w:rPr>
                <w:rFonts w:eastAsia="Times New Roman" w:cs="Calibri"/>
                <w:b/>
                <w:bCs/>
                <w:color w:val="FFFFFF"/>
                <w:sz w:val="15"/>
                <w:szCs w:val="15"/>
              </w:rPr>
            </w:pPr>
            <w:r>
              <w:rPr>
                <w:b/>
                <w:color w:val="FFFFFF"/>
                <w:sz w:val="15"/>
              </w:rPr>
              <w:t>HS Code</w:t>
            </w:r>
          </w:p>
        </w:tc>
        <w:tc>
          <w:tcPr>
            <w:tcW w:w="1180" w:type="pct"/>
            <w:shd w:val="clear" w:color="auto" w:fill="006283"/>
            <w:noWrap/>
            <w:vAlign w:val="center"/>
            <w:hideMark/>
          </w:tcPr>
          <w:p w14:paraId="0943DF56" w14:textId="77777777" w:rsidR="001A500E" w:rsidRPr="00573026" w:rsidRDefault="001A500E" w:rsidP="001F3C85">
            <w:pPr>
              <w:jc w:val="left"/>
              <w:rPr>
                <w:rFonts w:eastAsia="Times New Roman" w:cs="Calibri"/>
                <w:b/>
                <w:bCs/>
                <w:color w:val="FFFFFF"/>
                <w:sz w:val="15"/>
                <w:szCs w:val="15"/>
              </w:rPr>
            </w:pPr>
            <w:r>
              <w:rPr>
                <w:b/>
                <w:color w:val="FFFFFF"/>
                <w:sz w:val="15"/>
              </w:rPr>
              <w:t>Legal instrument</w:t>
            </w:r>
          </w:p>
        </w:tc>
        <w:tc>
          <w:tcPr>
            <w:tcW w:w="1701" w:type="pct"/>
            <w:shd w:val="clear" w:color="auto" w:fill="006283"/>
            <w:noWrap/>
            <w:vAlign w:val="center"/>
          </w:tcPr>
          <w:p w14:paraId="0BDBA3C3" w14:textId="77777777" w:rsidR="001A500E" w:rsidRPr="00573026" w:rsidRDefault="001A500E" w:rsidP="001F3C85">
            <w:pPr>
              <w:jc w:val="left"/>
              <w:rPr>
                <w:rFonts w:eastAsia="Times New Roman" w:cs="Calibri"/>
                <w:b/>
                <w:bCs/>
                <w:color w:val="FFFFFF"/>
                <w:sz w:val="15"/>
                <w:szCs w:val="15"/>
              </w:rPr>
            </w:pPr>
            <w:r>
              <w:rPr>
                <w:b/>
                <w:color w:val="FFFFFF"/>
                <w:sz w:val="15"/>
              </w:rPr>
              <w:t>Objective</w:t>
            </w:r>
          </w:p>
        </w:tc>
      </w:tr>
      <w:tr w:rsidR="001A500E" w:rsidRPr="00573026" w14:paraId="2671FA0E" w14:textId="77777777" w:rsidTr="001F3C85">
        <w:trPr>
          <w:cantSplit/>
        </w:trPr>
        <w:tc>
          <w:tcPr>
            <w:tcW w:w="1568" w:type="pct"/>
            <w:shd w:val="clear" w:color="auto" w:fill="auto"/>
            <w:hideMark/>
          </w:tcPr>
          <w:p w14:paraId="46E083B1" w14:textId="77777777" w:rsidR="001A500E" w:rsidRPr="00573026" w:rsidRDefault="001A500E" w:rsidP="001F3C85">
            <w:pPr>
              <w:jc w:val="left"/>
              <w:rPr>
                <w:rFonts w:eastAsia="Times New Roman" w:cs="Calibri"/>
                <w:color w:val="000000"/>
                <w:sz w:val="15"/>
                <w:szCs w:val="15"/>
              </w:rPr>
            </w:pPr>
            <w:bookmarkStart w:id="171" w:name="_Hlk106204191"/>
            <w:r>
              <w:rPr>
                <w:color w:val="000000"/>
                <w:sz w:val="15"/>
              </w:rPr>
              <w:t xml:space="preserve">Pesticides </w:t>
            </w:r>
          </w:p>
        </w:tc>
        <w:tc>
          <w:tcPr>
            <w:tcW w:w="551" w:type="pct"/>
            <w:shd w:val="clear" w:color="auto" w:fill="auto"/>
            <w:noWrap/>
            <w:hideMark/>
          </w:tcPr>
          <w:p w14:paraId="2E28F75E" w14:textId="77777777" w:rsidR="001A500E" w:rsidRPr="00573026" w:rsidRDefault="001A500E" w:rsidP="001F3C85">
            <w:pPr>
              <w:jc w:val="left"/>
              <w:rPr>
                <w:rFonts w:eastAsia="Times New Roman" w:cs="Calibri"/>
                <w:color w:val="000000"/>
                <w:sz w:val="15"/>
                <w:szCs w:val="15"/>
              </w:rPr>
            </w:pPr>
            <w:r>
              <w:rPr>
                <w:color w:val="000000"/>
                <w:sz w:val="15"/>
              </w:rPr>
              <w:t>3808</w:t>
            </w:r>
          </w:p>
        </w:tc>
        <w:tc>
          <w:tcPr>
            <w:tcW w:w="1180" w:type="pct"/>
            <w:shd w:val="clear" w:color="auto" w:fill="auto"/>
            <w:hideMark/>
          </w:tcPr>
          <w:p w14:paraId="74A6915C" w14:textId="77777777" w:rsidR="001A500E" w:rsidRPr="007C74EF" w:rsidRDefault="001A500E" w:rsidP="001F3C85">
            <w:pPr>
              <w:jc w:val="left"/>
              <w:rPr>
                <w:rFonts w:eastAsia="Times New Roman" w:cs="Calibri"/>
                <w:color w:val="000000"/>
                <w:sz w:val="15"/>
                <w:szCs w:val="15"/>
              </w:rPr>
            </w:pPr>
            <w:r>
              <w:rPr>
                <w:color w:val="000000"/>
                <w:sz w:val="15"/>
              </w:rPr>
              <w:t xml:space="preserve">Decree </w:t>
            </w:r>
            <w:r w:rsidRPr="0060155B">
              <w:rPr>
                <w:color w:val="000000"/>
                <w:sz w:val="15"/>
              </w:rPr>
              <w:t>No. </w:t>
            </w:r>
            <w:r>
              <w:rPr>
                <w:color w:val="000000"/>
                <w:sz w:val="15"/>
              </w:rPr>
              <w:t>217</w:t>
            </w:r>
            <w:r w:rsidRPr="0060155B">
              <w:rPr>
                <w:color w:val="000000"/>
                <w:sz w:val="15"/>
              </w:rPr>
              <w:noBreakHyphen/>
            </w:r>
            <w:r>
              <w:rPr>
                <w:color w:val="000000"/>
                <w:sz w:val="15"/>
              </w:rPr>
              <w:t>91</w:t>
            </w:r>
            <w:r>
              <w:rPr>
                <w:color w:val="000000"/>
                <w:sz w:val="15"/>
              </w:rPr>
              <w:br/>
              <w:t xml:space="preserve">Resolution </w:t>
            </w:r>
            <w:r w:rsidRPr="0060155B">
              <w:rPr>
                <w:color w:val="000000"/>
                <w:sz w:val="15"/>
              </w:rPr>
              <w:t>No. </w:t>
            </w:r>
            <w:r>
              <w:rPr>
                <w:color w:val="000000"/>
                <w:sz w:val="15"/>
              </w:rPr>
              <w:t>50</w:t>
            </w:r>
            <w:r w:rsidRPr="0060155B">
              <w:rPr>
                <w:color w:val="000000"/>
                <w:sz w:val="15"/>
              </w:rPr>
              <w:noBreakHyphen/>
            </w:r>
            <w:r>
              <w:rPr>
                <w:color w:val="000000"/>
                <w:sz w:val="15"/>
              </w:rPr>
              <w:t>2009</w:t>
            </w:r>
            <w:r>
              <w:rPr>
                <w:color w:val="000000"/>
                <w:sz w:val="15"/>
              </w:rPr>
              <w:br/>
              <w:t xml:space="preserve">Resolution </w:t>
            </w:r>
            <w:r w:rsidRPr="0060155B">
              <w:rPr>
                <w:color w:val="000000"/>
                <w:sz w:val="15"/>
              </w:rPr>
              <w:t>No. </w:t>
            </w:r>
            <w:r>
              <w:rPr>
                <w:color w:val="000000"/>
                <w:sz w:val="15"/>
              </w:rPr>
              <w:t>61</w:t>
            </w:r>
            <w:r w:rsidRPr="0060155B">
              <w:rPr>
                <w:color w:val="000000"/>
                <w:sz w:val="15"/>
              </w:rPr>
              <w:noBreakHyphen/>
            </w:r>
            <w:r>
              <w:rPr>
                <w:color w:val="000000"/>
                <w:sz w:val="15"/>
              </w:rPr>
              <w:t>2011</w:t>
            </w:r>
          </w:p>
          <w:p w14:paraId="352369D0" w14:textId="77777777" w:rsidR="001A500E" w:rsidRPr="00573026" w:rsidRDefault="001A500E" w:rsidP="001F3C85">
            <w:pPr>
              <w:jc w:val="left"/>
              <w:rPr>
                <w:rFonts w:eastAsia="Times New Roman" w:cs="Calibri"/>
                <w:color w:val="000000"/>
                <w:sz w:val="15"/>
                <w:szCs w:val="15"/>
              </w:rPr>
            </w:pPr>
            <w:r>
              <w:rPr>
                <w:color w:val="000000"/>
                <w:sz w:val="15"/>
              </w:rPr>
              <w:t xml:space="preserve">Resolution </w:t>
            </w:r>
            <w:r w:rsidRPr="0060155B">
              <w:rPr>
                <w:color w:val="000000"/>
                <w:sz w:val="15"/>
              </w:rPr>
              <w:t>No. R</w:t>
            </w:r>
            <w:r>
              <w:rPr>
                <w:color w:val="000000"/>
                <w:sz w:val="15"/>
              </w:rPr>
              <w:t>ES</w:t>
            </w:r>
            <w:r w:rsidRPr="0060155B">
              <w:rPr>
                <w:color w:val="000000"/>
                <w:sz w:val="15"/>
              </w:rPr>
              <w:noBreakHyphen/>
            </w:r>
            <w:r>
              <w:rPr>
                <w:color w:val="000000"/>
                <w:sz w:val="15"/>
              </w:rPr>
              <w:t>MA</w:t>
            </w:r>
            <w:r w:rsidRPr="0060155B">
              <w:rPr>
                <w:color w:val="000000"/>
                <w:sz w:val="15"/>
              </w:rPr>
              <w:noBreakHyphen/>
            </w:r>
            <w:r>
              <w:rPr>
                <w:color w:val="000000"/>
                <w:sz w:val="15"/>
              </w:rPr>
              <w:t>2019</w:t>
            </w:r>
            <w:r w:rsidRPr="0060155B">
              <w:rPr>
                <w:color w:val="000000"/>
                <w:sz w:val="15"/>
              </w:rPr>
              <w:noBreakHyphen/>
            </w:r>
            <w:r>
              <w:rPr>
                <w:color w:val="000000"/>
                <w:sz w:val="15"/>
              </w:rPr>
              <w:t xml:space="preserve">28 </w:t>
            </w:r>
          </w:p>
        </w:tc>
        <w:tc>
          <w:tcPr>
            <w:tcW w:w="1701" w:type="pct"/>
            <w:shd w:val="clear" w:color="auto" w:fill="auto"/>
          </w:tcPr>
          <w:p w14:paraId="2A9F1FEA" w14:textId="77777777" w:rsidR="001A500E" w:rsidRPr="00573026" w:rsidRDefault="001A500E" w:rsidP="001F3C85">
            <w:pPr>
              <w:jc w:val="left"/>
              <w:rPr>
                <w:rFonts w:eastAsia="Times New Roman" w:cs="Calibri"/>
                <w:color w:val="000000"/>
                <w:sz w:val="15"/>
                <w:szCs w:val="15"/>
              </w:rPr>
            </w:pPr>
            <w:r>
              <w:rPr>
                <w:color w:val="000000"/>
                <w:sz w:val="15"/>
              </w:rPr>
              <w:t>Improve the system for the control and use of pesticides on fruit and vegetables.</w:t>
            </w:r>
          </w:p>
        </w:tc>
      </w:tr>
      <w:bookmarkEnd w:id="171"/>
      <w:tr w:rsidR="001A500E" w:rsidRPr="00573026" w14:paraId="7B6F45B9" w14:textId="77777777" w:rsidTr="001F3C85">
        <w:trPr>
          <w:cantSplit/>
        </w:trPr>
        <w:tc>
          <w:tcPr>
            <w:tcW w:w="1568" w:type="pct"/>
            <w:shd w:val="clear" w:color="auto" w:fill="C9DED4"/>
            <w:hideMark/>
          </w:tcPr>
          <w:p w14:paraId="7D92AB39" w14:textId="77777777" w:rsidR="001A500E" w:rsidRPr="00573026" w:rsidRDefault="001A500E" w:rsidP="001F3C85">
            <w:pPr>
              <w:jc w:val="left"/>
              <w:rPr>
                <w:rFonts w:eastAsia="Times New Roman" w:cs="Calibri"/>
                <w:color w:val="000000"/>
                <w:sz w:val="15"/>
                <w:szCs w:val="15"/>
              </w:rPr>
            </w:pPr>
            <w:r>
              <w:rPr>
                <w:color w:val="000000"/>
                <w:sz w:val="15"/>
              </w:rPr>
              <w:t>Cocoa plants, fruits, seeds and any parts thereof</w:t>
            </w:r>
            <w:r w:rsidRPr="0060155B">
              <w:rPr>
                <w:color w:val="000000"/>
                <w:sz w:val="15"/>
              </w:rPr>
              <w:t>; M</w:t>
            </w:r>
            <w:r>
              <w:rPr>
                <w:color w:val="000000"/>
                <w:sz w:val="15"/>
              </w:rPr>
              <w:t>usaceae (banana plants) and any parts thereof.</w:t>
            </w:r>
          </w:p>
        </w:tc>
        <w:tc>
          <w:tcPr>
            <w:tcW w:w="551" w:type="pct"/>
            <w:shd w:val="clear" w:color="auto" w:fill="C9DED4"/>
            <w:hideMark/>
          </w:tcPr>
          <w:p w14:paraId="7EBF9620" w14:textId="77777777" w:rsidR="001A500E" w:rsidRPr="007C74EF" w:rsidRDefault="001A500E" w:rsidP="001F3C85">
            <w:pPr>
              <w:jc w:val="left"/>
              <w:rPr>
                <w:rFonts w:eastAsia="Times New Roman" w:cs="Calibri"/>
                <w:color w:val="000000"/>
                <w:sz w:val="15"/>
                <w:szCs w:val="15"/>
              </w:rPr>
            </w:pPr>
            <w:r>
              <w:rPr>
                <w:color w:val="000000"/>
                <w:sz w:val="15"/>
              </w:rPr>
              <w:t>0602.20</w:t>
            </w:r>
          </w:p>
          <w:p w14:paraId="16EF4389" w14:textId="77777777" w:rsidR="001A500E" w:rsidRPr="007C74EF" w:rsidRDefault="001A500E" w:rsidP="001F3C85">
            <w:pPr>
              <w:jc w:val="left"/>
              <w:rPr>
                <w:rFonts w:eastAsia="Times New Roman" w:cs="Calibri"/>
                <w:color w:val="000000"/>
                <w:sz w:val="15"/>
                <w:szCs w:val="15"/>
              </w:rPr>
            </w:pPr>
            <w:r>
              <w:rPr>
                <w:color w:val="000000"/>
                <w:sz w:val="15"/>
              </w:rPr>
              <w:t>1801</w:t>
            </w:r>
          </w:p>
          <w:p w14:paraId="73FEA69F" w14:textId="77777777" w:rsidR="001A500E" w:rsidRPr="00573026" w:rsidRDefault="001A500E" w:rsidP="001F3C85">
            <w:pPr>
              <w:jc w:val="left"/>
              <w:rPr>
                <w:rFonts w:eastAsia="Times New Roman" w:cs="Calibri"/>
                <w:color w:val="000000"/>
                <w:sz w:val="15"/>
                <w:szCs w:val="15"/>
              </w:rPr>
            </w:pPr>
            <w:r>
              <w:rPr>
                <w:color w:val="000000"/>
                <w:sz w:val="15"/>
              </w:rPr>
              <w:t>1802</w:t>
            </w:r>
          </w:p>
        </w:tc>
        <w:tc>
          <w:tcPr>
            <w:tcW w:w="1180" w:type="pct"/>
            <w:shd w:val="clear" w:color="auto" w:fill="C9DED4"/>
            <w:noWrap/>
            <w:hideMark/>
          </w:tcPr>
          <w:p w14:paraId="0B4B2963" w14:textId="77777777" w:rsidR="001A500E" w:rsidRPr="00573026" w:rsidRDefault="001A500E" w:rsidP="001F3C85">
            <w:pPr>
              <w:jc w:val="left"/>
              <w:rPr>
                <w:rFonts w:eastAsia="Times New Roman" w:cs="Calibri"/>
                <w:color w:val="000000"/>
                <w:sz w:val="15"/>
                <w:szCs w:val="15"/>
              </w:rPr>
            </w:pPr>
            <w:r>
              <w:rPr>
                <w:color w:val="000000"/>
                <w:sz w:val="15"/>
              </w:rPr>
              <w:t xml:space="preserve">Resolution </w:t>
            </w:r>
            <w:r w:rsidRPr="0060155B">
              <w:rPr>
                <w:color w:val="000000"/>
                <w:sz w:val="15"/>
              </w:rPr>
              <w:t>No. </w:t>
            </w:r>
            <w:r>
              <w:rPr>
                <w:color w:val="000000"/>
                <w:sz w:val="15"/>
              </w:rPr>
              <w:t>83</w:t>
            </w:r>
            <w:r w:rsidRPr="0060155B">
              <w:rPr>
                <w:color w:val="000000"/>
                <w:sz w:val="15"/>
              </w:rPr>
              <w:noBreakHyphen/>
            </w:r>
            <w:r>
              <w:rPr>
                <w:color w:val="000000"/>
                <w:sz w:val="15"/>
              </w:rPr>
              <w:t xml:space="preserve">2013 of </w:t>
            </w:r>
            <w:r w:rsidRPr="0060155B">
              <w:rPr>
                <w:color w:val="000000"/>
                <w:sz w:val="15"/>
              </w:rPr>
              <w:t>9 December 2</w:t>
            </w:r>
            <w:r>
              <w:rPr>
                <w:color w:val="000000"/>
                <w:sz w:val="15"/>
              </w:rPr>
              <w:t>013</w:t>
            </w:r>
          </w:p>
        </w:tc>
        <w:tc>
          <w:tcPr>
            <w:tcW w:w="1701" w:type="pct"/>
            <w:shd w:val="clear" w:color="auto" w:fill="C9DED4"/>
            <w:noWrap/>
            <w:hideMark/>
          </w:tcPr>
          <w:p w14:paraId="5D7F65BF" w14:textId="77777777" w:rsidR="001A500E" w:rsidRPr="00573026" w:rsidRDefault="001A500E" w:rsidP="001F3C85">
            <w:pPr>
              <w:jc w:val="left"/>
              <w:rPr>
                <w:rFonts w:eastAsia="Times New Roman" w:cs="Calibri"/>
                <w:color w:val="000000"/>
                <w:sz w:val="15"/>
                <w:szCs w:val="15"/>
              </w:rPr>
            </w:pPr>
            <w:r>
              <w:rPr>
                <w:color w:val="000000"/>
                <w:sz w:val="15"/>
              </w:rPr>
              <w:t>Prevent the entry of pests that affect cocoa plantations.</w:t>
            </w:r>
          </w:p>
        </w:tc>
      </w:tr>
      <w:tr w:rsidR="001A500E" w:rsidRPr="00573026" w14:paraId="3F6D7582" w14:textId="77777777" w:rsidTr="001F3C85">
        <w:trPr>
          <w:cantSplit/>
        </w:trPr>
        <w:tc>
          <w:tcPr>
            <w:tcW w:w="1568" w:type="pct"/>
            <w:shd w:val="clear" w:color="auto" w:fill="auto"/>
            <w:hideMark/>
          </w:tcPr>
          <w:p w14:paraId="76D2B547" w14:textId="77777777" w:rsidR="001A500E" w:rsidRPr="00573026" w:rsidRDefault="001A500E" w:rsidP="001F3C85">
            <w:pPr>
              <w:jc w:val="left"/>
              <w:rPr>
                <w:rFonts w:eastAsia="Times New Roman" w:cs="Calibri"/>
                <w:color w:val="000000"/>
                <w:sz w:val="15"/>
                <w:szCs w:val="15"/>
              </w:rPr>
            </w:pPr>
            <w:r>
              <w:rPr>
                <w:color w:val="000000"/>
                <w:sz w:val="15"/>
              </w:rPr>
              <w:t xml:space="preserve">Whole plants, corms, leaves, </w:t>
            </w:r>
            <w:proofErr w:type="spellStart"/>
            <w:r>
              <w:rPr>
                <w:color w:val="000000"/>
                <w:sz w:val="15"/>
              </w:rPr>
              <w:t>pseudostems</w:t>
            </w:r>
            <w:proofErr w:type="spellEnd"/>
            <w:r>
              <w:rPr>
                <w:color w:val="000000"/>
                <w:sz w:val="15"/>
              </w:rPr>
              <w:t>, pollen and botanical seeds of Musaceae plants or parts thereof, fresh or dried (including handicrafts), in addition to other plants that present risks, and substrates for sowing.</w:t>
            </w:r>
          </w:p>
        </w:tc>
        <w:tc>
          <w:tcPr>
            <w:tcW w:w="551" w:type="pct"/>
            <w:shd w:val="clear" w:color="auto" w:fill="auto"/>
            <w:hideMark/>
          </w:tcPr>
          <w:p w14:paraId="0C81545D" w14:textId="77777777" w:rsidR="001A500E" w:rsidRPr="007C74EF" w:rsidRDefault="001A500E" w:rsidP="001F3C85">
            <w:pPr>
              <w:jc w:val="left"/>
              <w:rPr>
                <w:rFonts w:eastAsia="Times New Roman" w:cs="Calibri"/>
                <w:color w:val="000000"/>
                <w:sz w:val="15"/>
                <w:szCs w:val="15"/>
              </w:rPr>
            </w:pPr>
            <w:r>
              <w:rPr>
                <w:color w:val="000000"/>
                <w:sz w:val="15"/>
              </w:rPr>
              <w:t>0602</w:t>
            </w:r>
          </w:p>
          <w:p w14:paraId="588E3918" w14:textId="77777777" w:rsidR="001A500E" w:rsidRPr="007C74EF" w:rsidRDefault="001A500E" w:rsidP="001F3C85">
            <w:pPr>
              <w:jc w:val="left"/>
              <w:rPr>
                <w:rFonts w:eastAsia="Times New Roman" w:cs="Calibri"/>
                <w:color w:val="000000"/>
                <w:sz w:val="15"/>
                <w:szCs w:val="15"/>
              </w:rPr>
            </w:pPr>
            <w:r>
              <w:rPr>
                <w:color w:val="000000"/>
                <w:sz w:val="15"/>
              </w:rPr>
              <w:t>0604</w:t>
            </w:r>
          </w:p>
          <w:p w14:paraId="6331283B" w14:textId="77777777" w:rsidR="001A500E" w:rsidRPr="00573026" w:rsidRDefault="001A500E" w:rsidP="001F3C85">
            <w:pPr>
              <w:jc w:val="left"/>
              <w:rPr>
                <w:rFonts w:eastAsia="Times New Roman" w:cs="Calibri"/>
                <w:color w:val="000000"/>
                <w:sz w:val="15"/>
                <w:szCs w:val="15"/>
              </w:rPr>
            </w:pPr>
            <w:r>
              <w:rPr>
                <w:color w:val="000000"/>
                <w:sz w:val="15"/>
              </w:rPr>
              <w:t>0803</w:t>
            </w:r>
          </w:p>
        </w:tc>
        <w:tc>
          <w:tcPr>
            <w:tcW w:w="1180" w:type="pct"/>
            <w:shd w:val="clear" w:color="auto" w:fill="auto"/>
            <w:noWrap/>
            <w:hideMark/>
          </w:tcPr>
          <w:p w14:paraId="6FE14974" w14:textId="77777777" w:rsidR="001A500E" w:rsidRPr="00573026" w:rsidRDefault="001A500E" w:rsidP="001F3C85">
            <w:pPr>
              <w:jc w:val="left"/>
              <w:rPr>
                <w:rFonts w:eastAsia="Times New Roman" w:cs="Calibri"/>
                <w:color w:val="000000"/>
                <w:sz w:val="15"/>
                <w:szCs w:val="15"/>
              </w:rPr>
            </w:pPr>
            <w:r>
              <w:rPr>
                <w:color w:val="000000"/>
                <w:sz w:val="15"/>
              </w:rPr>
              <w:t>Resolution</w:t>
            </w:r>
            <w:r>
              <w:rPr>
                <w:color w:val="000000"/>
                <w:sz w:val="15"/>
              </w:rPr>
              <w:br/>
            </w:r>
            <w:r w:rsidRPr="0060155B">
              <w:rPr>
                <w:color w:val="000000"/>
                <w:sz w:val="15"/>
              </w:rPr>
              <w:t>No. R</w:t>
            </w:r>
            <w:r>
              <w:rPr>
                <w:color w:val="000000"/>
                <w:sz w:val="15"/>
              </w:rPr>
              <w:t>ES</w:t>
            </w:r>
            <w:r w:rsidRPr="0060155B">
              <w:rPr>
                <w:color w:val="000000"/>
                <w:sz w:val="15"/>
              </w:rPr>
              <w:noBreakHyphen/>
            </w:r>
            <w:r>
              <w:rPr>
                <w:color w:val="000000"/>
                <w:sz w:val="15"/>
              </w:rPr>
              <w:t>MA</w:t>
            </w:r>
            <w:r w:rsidRPr="0060155B">
              <w:rPr>
                <w:color w:val="000000"/>
                <w:sz w:val="15"/>
              </w:rPr>
              <w:noBreakHyphen/>
            </w:r>
            <w:r>
              <w:rPr>
                <w:color w:val="000000"/>
                <w:sz w:val="15"/>
              </w:rPr>
              <w:t>2019</w:t>
            </w:r>
            <w:r w:rsidRPr="0060155B">
              <w:rPr>
                <w:color w:val="000000"/>
                <w:sz w:val="15"/>
              </w:rPr>
              <w:noBreakHyphen/>
            </w:r>
            <w:r>
              <w:rPr>
                <w:color w:val="000000"/>
                <w:sz w:val="15"/>
              </w:rPr>
              <w:t xml:space="preserve">43 </w:t>
            </w:r>
          </w:p>
        </w:tc>
        <w:tc>
          <w:tcPr>
            <w:tcW w:w="1701" w:type="pct"/>
            <w:shd w:val="clear" w:color="auto" w:fill="auto"/>
            <w:noWrap/>
            <w:hideMark/>
          </w:tcPr>
          <w:p w14:paraId="30CBE82B" w14:textId="77777777" w:rsidR="001A500E" w:rsidRPr="00A34B79" w:rsidRDefault="001A500E" w:rsidP="001F3C85">
            <w:pPr>
              <w:jc w:val="left"/>
              <w:rPr>
                <w:rFonts w:eastAsia="Times New Roman" w:cs="Calibri"/>
                <w:color w:val="000000"/>
                <w:sz w:val="15"/>
                <w:szCs w:val="15"/>
              </w:rPr>
            </w:pPr>
            <w:bookmarkStart w:id="172" w:name="_Hlk108634483"/>
            <w:r w:rsidRPr="00A34B79">
              <w:rPr>
                <w:sz w:val="15"/>
                <w:szCs w:val="15"/>
              </w:rPr>
              <w:t xml:space="preserve">Prevent the entry of </w:t>
            </w:r>
            <w:bookmarkEnd w:id="172"/>
            <w:r w:rsidRPr="00A34B79">
              <w:rPr>
                <w:sz w:val="15"/>
                <w:szCs w:val="15"/>
              </w:rPr>
              <w:t>banana wilt disease (</w:t>
            </w:r>
            <w:r w:rsidRPr="006464A1">
              <w:rPr>
                <w:sz w:val="15"/>
                <w:szCs w:val="15"/>
              </w:rPr>
              <w:t xml:space="preserve">Fusarium </w:t>
            </w:r>
            <w:proofErr w:type="spellStart"/>
            <w:r w:rsidRPr="006464A1">
              <w:rPr>
                <w:sz w:val="15"/>
                <w:szCs w:val="15"/>
              </w:rPr>
              <w:t>oxysporum</w:t>
            </w:r>
            <w:proofErr w:type="spellEnd"/>
            <w:r w:rsidRPr="00532CCC">
              <w:rPr>
                <w:sz w:val="15"/>
                <w:szCs w:val="15"/>
              </w:rPr>
              <w:t xml:space="preserve"> f. sp. </w:t>
            </w:r>
            <w:proofErr w:type="spellStart"/>
            <w:r w:rsidRPr="006464A1">
              <w:rPr>
                <w:sz w:val="15"/>
                <w:szCs w:val="15"/>
              </w:rPr>
              <w:t>cubense</w:t>
            </w:r>
            <w:proofErr w:type="spellEnd"/>
            <w:r w:rsidRPr="00A34B79">
              <w:rPr>
                <w:sz w:val="15"/>
                <w:szCs w:val="15"/>
              </w:rPr>
              <w:t xml:space="preserve"> tropical race 4 (</w:t>
            </w:r>
            <w:proofErr w:type="spellStart"/>
            <w:r w:rsidRPr="00A34B79">
              <w:rPr>
                <w:sz w:val="15"/>
                <w:szCs w:val="15"/>
              </w:rPr>
              <w:t>Foc</w:t>
            </w:r>
            <w:proofErr w:type="spellEnd"/>
            <w:r w:rsidRPr="00A34B79">
              <w:rPr>
                <w:sz w:val="15"/>
                <w:szCs w:val="15"/>
              </w:rPr>
              <w:t xml:space="preserve"> TR4))</w:t>
            </w:r>
            <w:r>
              <w:rPr>
                <w:sz w:val="15"/>
                <w:szCs w:val="15"/>
              </w:rPr>
              <w:t>.</w:t>
            </w:r>
          </w:p>
          <w:p w14:paraId="19968B5F" w14:textId="77777777" w:rsidR="001A500E" w:rsidRPr="00573026" w:rsidRDefault="001A500E" w:rsidP="001F3C85">
            <w:pPr>
              <w:jc w:val="left"/>
              <w:rPr>
                <w:rFonts w:eastAsia="Times New Roman" w:cs="Calibri"/>
                <w:strike/>
                <w:color w:val="000000"/>
                <w:sz w:val="15"/>
                <w:szCs w:val="15"/>
                <w:lang w:val="es-PE" w:eastAsia="es-PE"/>
              </w:rPr>
            </w:pPr>
          </w:p>
        </w:tc>
      </w:tr>
      <w:tr w:rsidR="001A500E" w:rsidRPr="00573026" w14:paraId="3AE43E17" w14:textId="77777777" w:rsidTr="001F3C85">
        <w:trPr>
          <w:cantSplit/>
        </w:trPr>
        <w:tc>
          <w:tcPr>
            <w:tcW w:w="1568" w:type="pct"/>
            <w:shd w:val="clear" w:color="auto" w:fill="C9DED4"/>
          </w:tcPr>
          <w:p w14:paraId="6541C654" w14:textId="77777777" w:rsidR="001A500E" w:rsidRPr="00573026" w:rsidRDefault="001A500E" w:rsidP="001F3C85">
            <w:pPr>
              <w:jc w:val="left"/>
              <w:rPr>
                <w:rFonts w:eastAsia="Times New Roman" w:cs="Calibri"/>
                <w:color w:val="000000"/>
                <w:sz w:val="15"/>
                <w:szCs w:val="15"/>
              </w:rPr>
            </w:pPr>
            <w:r>
              <w:rPr>
                <w:color w:val="000000"/>
                <w:sz w:val="15"/>
              </w:rPr>
              <w:t>Ginger rhizomes, turmeric rhizomes, potato tubers, handicrafts and Musaceae plants.</w:t>
            </w:r>
          </w:p>
        </w:tc>
        <w:tc>
          <w:tcPr>
            <w:tcW w:w="551" w:type="pct"/>
            <w:shd w:val="clear" w:color="auto" w:fill="C9DED4"/>
          </w:tcPr>
          <w:p w14:paraId="27627702" w14:textId="77777777" w:rsidR="001A500E" w:rsidRPr="00573026" w:rsidRDefault="001A500E" w:rsidP="001F3C85">
            <w:pPr>
              <w:jc w:val="left"/>
              <w:rPr>
                <w:rFonts w:eastAsia="Times New Roman" w:cs="Calibri"/>
                <w:color w:val="000000"/>
                <w:sz w:val="15"/>
                <w:szCs w:val="15"/>
              </w:rPr>
            </w:pPr>
            <w:r>
              <w:rPr>
                <w:color w:val="000000"/>
                <w:sz w:val="15"/>
              </w:rPr>
              <w:t>0601</w:t>
            </w:r>
          </w:p>
        </w:tc>
        <w:tc>
          <w:tcPr>
            <w:tcW w:w="1180" w:type="pct"/>
            <w:shd w:val="clear" w:color="auto" w:fill="C9DED4"/>
            <w:noWrap/>
          </w:tcPr>
          <w:p w14:paraId="077C5030" w14:textId="77777777" w:rsidR="001A500E" w:rsidRPr="00573026" w:rsidRDefault="001A500E" w:rsidP="001F3C85">
            <w:pPr>
              <w:jc w:val="left"/>
              <w:rPr>
                <w:rFonts w:eastAsia="Times New Roman" w:cs="Calibri"/>
                <w:color w:val="000000"/>
                <w:sz w:val="15"/>
                <w:szCs w:val="15"/>
              </w:rPr>
            </w:pPr>
            <w:r>
              <w:rPr>
                <w:color w:val="000000"/>
                <w:sz w:val="15"/>
              </w:rPr>
              <w:t xml:space="preserve">Circular </w:t>
            </w:r>
            <w:r w:rsidRPr="0060155B">
              <w:rPr>
                <w:color w:val="000000"/>
                <w:sz w:val="15"/>
              </w:rPr>
              <w:t>No. M</w:t>
            </w:r>
            <w:r>
              <w:rPr>
                <w:color w:val="000000"/>
                <w:sz w:val="15"/>
              </w:rPr>
              <w:t>ARD</w:t>
            </w:r>
            <w:r w:rsidRPr="0060155B">
              <w:rPr>
                <w:color w:val="000000"/>
                <w:sz w:val="15"/>
              </w:rPr>
              <w:noBreakHyphen/>
            </w:r>
            <w:r>
              <w:rPr>
                <w:color w:val="000000"/>
                <w:sz w:val="15"/>
              </w:rPr>
              <w:t>2021</w:t>
            </w:r>
            <w:r w:rsidRPr="0060155B">
              <w:rPr>
                <w:color w:val="000000"/>
                <w:sz w:val="15"/>
              </w:rPr>
              <w:noBreakHyphen/>
            </w:r>
            <w:r>
              <w:rPr>
                <w:color w:val="000000"/>
                <w:sz w:val="15"/>
              </w:rPr>
              <w:t xml:space="preserve">15262 </w:t>
            </w:r>
          </w:p>
        </w:tc>
        <w:tc>
          <w:tcPr>
            <w:tcW w:w="1701" w:type="pct"/>
            <w:shd w:val="clear" w:color="auto" w:fill="C9DED4"/>
            <w:noWrap/>
          </w:tcPr>
          <w:p w14:paraId="471CE75A" w14:textId="77777777" w:rsidR="001A500E" w:rsidRPr="00573026" w:rsidRDefault="001A500E" w:rsidP="001F3C85">
            <w:pPr>
              <w:jc w:val="left"/>
              <w:rPr>
                <w:rFonts w:eastAsia="Times New Roman" w:cs="Calibri"/>
                <w:color w:val="000000"/>
                <w:sz w:val="15"/>
                <w:szCs w:val="15"/>
              </w:rPr>
            </w:pPr>
            <w:r>
              <w:rPr>
                <w:color w:val="000000"/>
                <w:sz w:val="15"/>
              </w:rPr>
              <w:t xml:space="preserve">Prevent the entry of </w:t>
            </w:r>
            <w:proofErr w:type="spellStart"/>
            <w:r>
              <w:rPr>
                <w:color w:val="000000"/>
                <w:sz w:val="15"/>
              </w:rPr>
              <w:t>Foc</w:t>
            </w:r>
            <w:proofErr w:type="spellEnd"/>
            <w:r>
              <w:rPr>
                <w:color w:val="000000"/>
                <w:sz w:val="15"/>
              </w:rPr>
              <w:t xml:space="preserve"> TR4.</w:t>
            </w:r>
          </w:p>
        </w:tc>
      </w:tr>
      <w:tr w:rsidR="001A500E" w:rsidRPr="00573026" w14:paraId="7BCF3784" w14:textId="77777777" w:rsidTr="001F3C85">
        <w:trPr>
          <w:cantSplit/>
        </w:trPr>
        <w:tc>
          <w:tcPr>
            <w:tcW w:w="1568" w:type="pct"/>
            <w:shd w:val="clear" w:color="auto" w:fill="auto"/>
            <w:hideMark/>
          </w:tcPr>
          <w:p w14:paraId="612EBC63" w14:textId="77777777" w:rsidR="001A500E" w:rsidRPr="00573026" w:rsidRDefault="001A500E" w:rsidP="001F3C85">
            <w:pPr>
              <w:jc w:val="left"/>
              <w:rPr>
                <w:rFonts w:eastAsia="Times New Roman" w:cs="Calibri"/>
                <w:color w:val="000000"/>
                <w:sz w:val="15"/>
                <w:szCs w:val="15"/>
              </w:rPr>
            </w:pPr>
            <w:r>
              <w:rPr>
                <w:color w:val="000000"/>
                <w:sz w:val="15"/>
              </w:rPr>
              <w:t>Live pigs, pork products and by</w:t>
            </w:r>
            <w:r>
              <w:rPr>
                <w:color w:val="000000"/>
                <w:sz w:val="15"/>
              </w:rPr>
              <w:noBreakHyphen/>
              <w:t>products.</w:t>
            </w:r>
          </w:p>
        </w:tc>
        <w:tc>
          <w:tcPr>
            <w:tcW w:w="551" w:type="pct"/>
            <w:shd w:val="clear" w:color="auto" w:fill="auto"/>
            <w:noWrap/>
            <w:hideMark/>
          </w:tcPr>
          <w:p w14:paraId="58FE1F78" w14:textId="77777777" w:rsidR="001A500E" w:rsidRPr="00573026" w:rsidRDefault="001A500E" w:rsidP="001F3C85">
            <w:pPr>
              <w:jc w:val="left"/>
              <w:rPr>
                <w:rFonts w:eastAsia="Times New Roman" w:cs="Calibri"/>
                <w:color w:val="000000"/>
                <w:sz w:val="15"/>
                <w:szCs w:val="15"/>
              </w:rPr>
            </w:pPr>
            <w:r>
              <w:rPr>
                <w:color w:val="000000"/>
                <w:sz w:val="15"/>
              </w:rPr>
              <w:t>0103</w:t>
            </w:r>
          </w:p>
          <w:p w14:paraId="280A21F3" w14:textId="77777777" w:rsidR="001A500E" w:rsidRPr="00573026" w:rsidRDefault="001A500E" w:rsidP="001F3C85">
            <w:pPr>
              <w:jc w:val="left"/>
              <w:rPr>
                <w:rFonts w:eastAsia="Times New Roman" w:cs="Calibri"/>
                <w:color w:val="000000"/>
                <w:sz w:val="15"/>
                <w:szCs w:val="15"/>
              </w:rPr>
            </w:pPr>
            <w:r>
              <w:rPr>
                <w:color w:val="000000"/>
                <w:sz w:val="15"/>
              </w:rPr>
              <w:t>0203</w:t>
            </w:r>
          </w:p>
        </w:tc>
        <w:tc>
          <w:tcPr>
            <w:tcW w:w="1180" w:type="pct"/>
            <w:shd w:val="clear" w:color="auto" w:fill="auto"/>
            <w:noWrap/>
            <w:hideMark/>
          </w:tcPr>
          <w:p w14:paraId="27C53B93" w14:textId="77777777" w:rsidR="001A500E" w:rsidRPr="00573026" w:rsidRDefault="001A500E" w:rsidP="001F3C85">
            <w:pPr>
              <w:jc w:val="left"/>
              <w:rPr>
                <w:rFonts w:eastAsia="Times New Roman" w:cs="Calibri"/>
                <w:color w:val="000000"/>
                <w:sz w:val="15"/>
                <w:szCs w:val="15"/>
              </w:rPr>
            </w:pPr>
            <w:r>
              <w:rPr>
                <w:color w:val="000000"/>
                <w:sz w:val="15"/>
              </w:rPr>
              <w:t>Resolution</w:t>
            </w:r>
            <w:r>
              <w:rPr>
                <w:color w:val="000000"/>
                <w:sz w:val="15"/>
              </w:rPr>
              <w:br/>
            </w:r>
            <w:r w:rsidRPr="0060155B">
              <w:rPr>
                <w:color w:val="000000"/>
                <w:sz w:val="15"/>
              </w:rPr>
              <w:t>No. R</w:t>
            </w:r>
            <w:r>
              <w:rPr>
                <w:color w:val="000000"/>
                <w:sz w:val="15"/>
              </w:rPr>
              <w:t>ES</w:t>
            </w:r>
            <w:r w:rsidRPr="0060155B">
              <w:rPr>
                <w:color w:val="000000"/>
                <w:sz w:val="15"/>
              </w:rPr>
              <w:noBreakHyphen/>
            </w:r>
            <w:r>
              <w:rPr>
                <w:color w:val="000000"/>
                <w:sz w:val="15"/>
              </w:rPr>
              <w:t>MA</w:t>
            </w:r>
            <w:r w:rsidRPr="0060155B">
              <w:rPr>
                <w:color w:val="000000"/>
                <w:sz w:val="15"/>
              </w:rPr>
              <w:noBreakHyphen/>
            </w:r>
            <w:r>
              <w:rPr>
                <w:color w:val="000000"/>
                <w:sz w:val="15"/>
              </w:rPr>
              <w:t>2019</w:t>
            </w:r>
            <w:r w:rsidRPr="0060155B">
              <w:rPr>
                <w:color w:val="000000"/>
                <w:sz w:val="15"/>
              </w:rPr>
              <w:noBreakHyphen/>
            </w:r>
            <w:r>
              <w:rPr>
                <w:color w:val="000000"/>
                <w:sz w:val="15"/>
              </w:rPr>
              <w:t xml:space="preserve">17 </w:t>
            </w:r>
          </w:p>
        </w:tc>
        <w:tc>
          <w:tcPr>
            <w:tcW w:w="1701" w:type="pct"/>
            <w:shd w:val="clear" w:color="auto" w:fill="auto"/>
            <w:noWrap/>
            <w:hideMark/>
          </w:tcPr>
          <w:p w14:paraId="548B3724" w14:textId="77777777" w:rsidR="001A500E" w:rsidRPr="00573026" w:rsidRDefault="001A500E" w:rsidP="001F3C85">
            <w:pPr>
              <w:jc w:val="left"/>
              <w:rPr>
                <w:rFonts w:eastAsia="Times New Roman" w:cs="Calibri"/>
                <w:color w:val="000000"/>
                <w:sz w:val="15"/>
                <w:szCs w:val="15"/>
              </w:rPr>
            </w:pPr>
            <w:r>
              <w:rPr>
                <w:color w:val="000000"/>
                <w:sz w:val="15"/>
              </w:rPr>
              <w:t>Prevent the entry of African Swine Fever.</w:t>
            </w:r>
          </w:p>
        </w:tc>
      </w:tr>
      <w:tr w:rsidR="001A500E" w:rsidRPr="00573026" w14:paraId="2D476B0A" w14:textId="77777777" w:rsidTr="001F3C85">
        <w:trPr>
          <w:cantSplit/>
        </w:trPr>
        <w:tc>
          <w:tcPr>
            <w:tcW w:w="1568" w:type="pct"/>
            <w:shd w:val="clear" w:color="auto" w:fill="C9DED4"/>
            <w:hideMark/>
          </w:tcPr>
          <w:p w14:paraId="5791C22E" w14:textId="77777777" w:rsidR="001A500E" w:rsidRPr="00573026" w:rsidRDefault="001A500E" w:rsidP="001F3C85">
            <w:pPr>
              <w:jc w:val="left"/>
              <w:rPr>
                <w:rFonts w:eastAsia="Times New Roman" w:cs="Calibri"/>
                <w:color w:val="000000"/>
                <w:sz w:val="15"/>
                <w:szCs w:val="15"/>
              </w:rPr>
            </w:pPr>
            <w:r>
              <w:rPr>
                <w:color w:val="000000"/>
                <w:sz w:val="15"/>
              </w:rPr>
              <w:t xml:space="preserve">Live or dead shrimp of the species </w:t>
            </w:r>
            <w:proofErr w:type="spellStart"/>
            <w:r>
              <w:rPr>
                <w:i/>
                <w:iCs/>
                <w:color w:val="000000"/>
                <w:sz w:val="15"/>
              </w:rPr>
              <w:t>Litopenaeus</w:t>
            </w:r>
            <w:proofErr w:type="spellEnd"/>
            <w:r>
              <w:rPr>
                <w:i/>
                <w:iCs/>
                <w:color w:val="000000"/>
                <w:sz w:val="15"/>
              </w:rPr>
              <w:t xml:space="preserve"> </w:t>
            </w:r>
            <w:proofErr w:type="spellStart"/>
            <w:r>
              <w:rPr>
                <w:i/>
                <w:iCs/>
                <w:color w:val="000000"/>
                <w:sz w:val="15"/>
              </w:rPr>
              <w:t>vannamei</w:t>
            </w:r>
            <w:proofErr w:type="spellEnd"/>
            <w:r>
              <w:rPr>
                <w:color w:val="000000"/>
                <w:sz w:val="15"/>
              </w:rPr>
              <w:t xml:space="preserve"> and </w:t>
            </w:r>
            <w:r>
              <w:rPr>
                <w:i/>
                <w:iCs/>
                <w:color w:val="000000"/>
                <w:sz w:val="15"/>
              </w:rPr>
              <w:t>Penaeus monodon</w:t>
            </w:r>
            <w:r>
              <w:rPr>
                <w:color w:val="000000"/>
                <w:sz w:val="15"/>
              </w:rPr>
              <w:t>, at any stage of development, frozen or raw.</w:t>
            </w:r>
          </w:p>
        </w:tc>
        <w:tc>
          <w:tcPr>
            <w:tcW w:w="551" w:type="pct"/>
            <w:shd w:val="clear" w:color="auto" w:fill="C9DED4"/>
            <w:hideMark/>
          </w:tcPr>
          <w:p w14:paraId="0DD3490A" w14:textId="77777777" w:rsidR="001A500E" w:rsidRPr="00573026" w:rsidRDefault="001A500E" w:rsidP="001F3C85">
            <w:pPr>
              <w:jc w:val="left"/>
              <w:rPr>
                <w:rFonts w:eastAsia="Times New Roman" w:cs="Calibri"/>
                <w:color w:val="000000"/>
                <w:sz w:val="15"/>
                <w:szCs w:val="15"/>
              </w:rPr>
            </w:pPr>
            <w:r>
              <w:rPr>
                <w:color w:val="000000"/>
                <w:sz w:val="15"/>
              </w:rPr>
              <w:t>0306.16 0306.35</w:t>
            </w:r>
          </w:p>
        </w:tc>
        <w:tc>
          <w:tcPr>
            <w:tcW w:w="1180" w:type="pct"/>
            <w:shd w:val="clear" w:color="auto" w:fill="C9DED4"/>
            <w:noWrap/>
            <w:hideMark/>
          </w:tcPr>
          <w:p w14:paraId="7DA5AE70" w14:textId="77777777" w:rsidR="001A500E" w:rsidRPr="00573026" w:rsidRDefault="001A500E" w:rsidP="001F3C85">
            <w:pPr>
              <w:jc w:val="left"/>
              <w:rPr>
                <w:rFonts w:eastAsia="Times New Roman" w:cs="Calibri"/>
                <w:color w:val="000000"/>
                <w:sz w:val="15"/>
                <w:szCs w:val="15"/>
              </w:rPr>
            </w:pPr>
            <w:r>
              <w:rPr>
                <w:color w:val="000000"/>
                <w:sz w:val="15"/>
              </w:rPr>
              <w:t>Resolution</w:t>
            </w:r>
            <w:r>
              <w:rPr>
                <w:color w:val="000000"/>
                <w:sz w:val="15"/>
              </w:rPr>
              <w:br/>
            </w:r>
            <w:r w:rsidRPr="0060155B">
              <w:rPr>
                <w:color w:val="000000"/>
                <w:sz w:val="15"/>
              </w:rPr>
              <w:t>No. R</w:t>
            </w:r>
            <w:r>
              <w:rPr>
                <w:color w:val="000000"/>
                <w:sz w:val="15"/>
              </w:rPr>
              <w:t>ES</w:t>
            </w:r>
            <w:r w:rsidRPr="0060155B">
              <w:rPr>
                <w:color w:val="000000"/>
                <w:sz w:val="15"/>
              </w:rPr>
              <w:noBreakHyphen/>
            </w:r>
            <w:r>
              <w:rPr>
                <w:color w:val="000000"/>
                <w:sz w:val="15"/>
              </w:rPr>
              <w:t>MARD</w:t>
            </w:r>
            <w:r w:rsidRPr="0060155B">
              <w:rPr>
                <w:color w:val="000000"/>
                <w:sz w:val="15"/>
              </w:rPr>
              <w:noBreakHyphen/>
            </w:r>
            <w:r>
              <w:rPr>
                <w:color w:val="000000"/>
                <w:sz w:val="15"/>
              </w:rPr>
              <w:t>2021</w:t>
            </w:r>
            <w:r w:rsidRPr="0060155B">
              <w:rPr>
                <w:color w:val="000000"/>
                <w:sz w:val="15"/>
              </w:rPr>
              <w:noBreakHyphen/>
            </w:r>
            <w:r>
              <w:rPr>
                <w:color w:val="000000"/>
                <w:sz w:val="15"/>
              </w:rPr>
              <w:t xml:space="preserve">41 </w:t>
            </w:r>
          </w:p>
        </w:tc>
        <w:tc>
          <w:tcPr>
            <w:tcW w:w="1701" w:type="pct"/>
            <w:shd w:val="clear" w:color="auto" w:fill="C9DED4"/>
            <w:hideMark/>
          </w:tcPr>
          <w:p w14:paraId="58220C87" w14:textId="77777777" w:rsidR="001A500E" w:rsidRPr="00573026" w:rsidRDefault="001A500E" w:rsidP="001F3C85">
            <w:pPr>
              <w:jc w:val="left"/>
              <w:rPr>
                <w:rFonts w:eastAsia="Times New Roman" w:cs="Calibri"/>
                <w:color w:val="000000"/>
                <w:sz w:val="15"/>
                <w:szCs w:val="15"/>
              </w:rPr>
            </w:pPr>
            <w:r>
              <w:rPr>
                <w:color w:val="000000"/>
                <w:sz w:val="15"/>
              </w:rPr>
              <w:t>Prevent the entry of the disease in shrimp known as Early Mortality Syndrome (EMS) or Acute Hepatopancreatic Necrosis Syndrome (</w:t>
            </w:r>
            <w:proofErr w:type="spellStart"/>
            <w:r>
              <w:rPr>
                <w:color w:val="000000"/>
                <w:sz w:val="15"/>
              </w:rPr>
              <w:t>AHPNS</w:t>
            </w:r>
            <w:proofErr w:type="spellEnd"/>
            <w:r>
              <w:rPr>
                <w:color w:val="000000"/>
                <w:sz w:val="15"/>
              </w:rPr>
              <w:t>).</w:t>
            </w:r>
          </w:p>
        </w:tc>
      </w:tr>
      <w:tr w:rsidR="001A500E" w:rsidRPr="00573026" w14:paraId="609C2244" w14:textId="77777777" w:rsidTr="001F3C85">
        <w:trPr>
          <w:cantSplit/>
        </w:trPr>
        <w:tc>
          <w:tcPr>
            <w:tcW w:w="1568" w:type="pct"/>
            <w:shd w:val="clear" w:color="auto" w:fill="auto"/>
            <w:hideMark/>
          </w:tcPr>
          <w:p w14:paraId="27E229DD" w14:textId="77777777" w:rsidR="001A500E" w:rsidRPr="00573026" w:rsidRDefault="001A500E" w:rsidP="001F3C85">
            <w:pPr>
              <w:jc w:val="left"/>
              <w:rPr>
                <w:rFonts w:eastAsia="Times New Roman" w:cs="Calibri"/>
                <w:color w:val="000000"/>
                <w:sz w:val="15"/>
                <w:szCs w:val="15"/>
              </w:rPr>
            </w:pPr>
            <w:r>
              <w:rPr>
                <w:color w:val="000000"/>
                <w:sz w:val="15"/>
              </w:rPr>
              <w:t>Used beekeeping equipment, bees, beekeeping products and edible products containing honey, pollen, royal jelly and propolis.</w:t>
            </w:r>
          </w:p>
        </w:tc>
        <w:tc>
          <w:tcPr>
            <w:tcW w:w="551" w:type="pct"/>
            <w:shd w:val="clear" w:color="auto" w:fill="auto"/>
            <w:hideMark/>
          </w:tcPr>
          <w:p w14:paraId="2A6CC4D9" w14:textId="77777777" w:rsidR="001A500E" w:rsidRPr="007C74EF" w:rsidRDefault="001A500E" w:rsidP="001F3C85">
            <w:pPr>
              <w:jc w:val="left"/>
              <w:rPr>
                <w:rFonts w:eastAsia="Times New Roman" w:cs="Calibri"/>
                <w:color w:val="000000"/>
                <w:sz w:val="15"/>
                <w:szCs w:val="15"/>
              </w:rPr>
            </w:pPr>
            <w:r>
              <w:rPr>
                <w:color w:val="000000"/>
                <w:sz w:val="15"/>
              </w:rPr>
              <w:t>0106.41 0409.00</w:t>
            </w:r>
          </w:p>
          <w:p w14:paraId="29C89033" w14:textId="77777777" w:rsidR="001A500E" w:rsidRPr="00573026" w:rsidRDefault="001A500E" w:rsidP="001F3C85">
            <w:pPr>
              <w:jc w:val="left"/>
              <w:rPr>
                <w:rFonts w:eastAsia="Times New Roman" w:cs="Calibri"/>
                <w:color w:val="000000"/>
                <w:sz w:val="15"/>
                <w:szCs w:val="15"/>
              </w:rPr>
            </w:pPr>
            <w:r>
              <w:rPr>
                <w:color w:val="000000"/>
                <w:sz w:val="15"/>
              </w:rPr>
              <w:t>8436</w:t>
            </w:r>
          </w:p>
        </w:tc>
        <w:tc>
          <w:tcPr>
            <w:tcW w:w="1180" w:type="pct"/>
            <w:shd w:val="clear" w:color="auto" w:fill="auto"/>
            <w:hideMark/>
          </w:tcPr>
          <w:p w14:paraId="0E50C66D" w14:textId="77777777" w:rsidR="001A500E" w:rsidRPr="00573026" w:rsidRDefault="001A500E" w:rsidP="001F3C85">
            <w:pPr>
              <w:jc w:val="left"/>
              <w:rPr>
                <w:rFonts w:eastAsia="Times New Roman" w:cs="Calibri"/>
                <w:color w:val="000000"/>
                <w:sz w:val="15"/>
                <w:szCs w:val="15"/>
              </w:rPr>
            </w:pPr>
            <w:r>
              <w:rPr>
                <w:color w:val="000000"/>
                <w:sz w:val="15"/>
              </w:rPr>
              <w:t xml:space="preserve">Article 8 of Resolution </w:t>
            </w:r>
            <w:r w:rsidRPr="0060155B">
              <w:rPr>
                <w:color w:val="000000"/>
                <w:sz w:val="15"/>
              </w:rPr>
              <w:t>No. </w:t>
            </w:r>
            <w:r>
              <w:rPr>
                <w:color w:val="000000"/>
                <w:sz w:val="15"/>
              </w:rPr>
              <w:t>04</w:t>
            </w:r>
            <w:r w:rsidRPr="0060155B">
              <w:rPr>
                <w:color w:val="000000"/>
                <w:sz w:val="15"/>
              </w:rPr>
              <w:noBreakHyphen/>
            </w:r>
            <w:r>
              <w:rPr>
                <w:color w:val="000000"/>
                <w:sz w:val="15"/>
              </w:rPr>
              <w:t xml:space="preserve">2006 </w:t>
            </w:r>
          </w:p>
        </w:tc>
        <w:tc>
          <w:tcPr>
            <w:tcW w:w="1701" w:type="pct"/>
            <w:shd w:val="clear" w:color="auto" w:fill="auto"/>
            <w:hideMark/>
          </w:tcPr>
          <w:p w14:paraId="4BD90B87" w14:textId="77777777" w:rsidR="001A500E" w:rsidRPr="00573026" w:rsidRDefault="001A500E" w:rsidP="001F3C85">
            <w:pPr>
              <w:jc w:val="left"/>
              <w:rPr>
                <w:rFonts w:eastAsia="Times New Roman" w:cs="Calibri"/>
                <w:color w:val="000000"/>
                <w:sz w:val="15"/>
                <w:szCs w:val="15"/>
              </w:rPr>
            </w:pPr>
            <w:r>
              <w:rPr>
                <w:color w:val="000000"/>
                <w:sz w:val="15"/>
              </w:rPr>
              <w:t xml:space="preserve">Prevent the entry of the bee diseases known as American foulbrood, European foulbrood, </w:t>
            </w:r>
            <w:proofErr w:type="spellStart"/>
            <w:r>
              <w:rPr>
                <w:color w:val="000000"/>
                <w:sz w:val="15"/>
              </w:rPr>
              <w:t>Acarapisosis</w:t>
            </w:r>
            <w:proofErr w:type="spellEnd"/>
            <w:r>
              <w:rPr>
                <w:color w:val="000000"/>
                <w:sz w:val="15"/>
              </w:rPr>
              <w:t>, the small hive beetle (</w:t>
            </w:r>
            <w:proofErr w:type="spellStart"/>
            <w:r>
              <w:rPr>
                <w:i/>
                <w:iCs/>
                <w:color w:val="000000"/>
                <w:sz w:val="15"/>
              </w:rPr>
              <w:t>Aethina</w:t>
            </w:r>
            <w:proofErr w:type="spellEnd"/>
            <w:r>
              <w:rPr>
                <w:i/>
                <w:iCs/>
                <w:color w:val="000000"/>
                <w:sz w:val="15"/>
              </w:rPr>
              <w:t xml:space="preserve"> </w:t>
            </w:r>
            <w:proofErr w:type="spellStart"/>
            <w:r>
              <w:rPr>
                <w:i/>
                <w:iCs/>
                <w:color w:val="000000"/>
                <w:sz w:val="15"/>
              </w:rPr>
              <w:t>tumida</w:t>
            </w:r>
            <w:proofErr w:type="spellEnd"/>
            <w:r>
              <w:rPr>
                <w:color w:val="000000"/>
                <w:sz w:val="15"/>
              </w:rPr>
              <w:t>), and other significant beekeeping pests and diseases.</w:t>
            </w:r>
          </w:p>
        </w:tc>
      </w:tr>
    </w:tbl>
    <w:p w14:paraId="60DB7DF1" w14:textId="77777777" w:rsidR="001A500E" w:rsidRPr="006420F6" w:rsidRDefault="001A500E" w:rsidP="00E439A9">
      <w:pPr>
        <w:pStyle w:val="NoteText"/>
        <w:spacing w:before="120" w:after="240"/>
      </w:pPr>
      <w:r>
        <w:t>Source:</w:t>
      </w:r>
      <w:r>
        <w:tab/>
        <w:t>Information provided by the authorities.</w:t>
      </w:r>
    </w:p>
    <w:p w14:paraId="5F7B6E53" w14:textId="77777777" w:rsidR="001A500E" w:rsidRPr="007C74EF" w:rsidRDefault="001A500E" w:rsidP="00574469">
      <w:pPr>
        <w:pStyle w:val="BodyText"/>
      </w:pPr>
      <w:r>
        <w:t xml:space="preserve"> In its most recent notification, in 2016, the Dominican Republic indicated that the import licensing procedure had not changed</w:t>
      </w:r>
      <w:r w:rsidRPr="0060155B">
        <w:t>.</w:t>
      </w:r>
      <w:r w:rsidRPr="0060155B">
        <w:rPr>
          <w:rStyle w:val="FootnoteReference"/>
        </w:rPr>
        <w:footnoteReference w:id="143"/>
      </w:r>
      <w:r w:rsidRPr="0060155B">
        <w:t xml:space="preserve"> T</w:t>
      </w:r>
      <w:r>
        <w:t>he Dominican Republic continues to use a system of automatic and non</w:t>
      </w:r>
      <w:r w:rsidRPr="0060155B">
        <w:noBreakHyphen/>
      </w:r>
      <w:r>
        <w:t>automatic licences, sometimes referred to as import permits</w:t>
      </w:r>
      <w:r w:rsidRPr="0060155B">
        <w:t>. L</w:t>
      </w:r>
      <w:r>
        <w:t>icences are issued for statistical purposes, to control and monitor quality, and/or to administer import levels</w:t>
      </w:r>
      <w:r w:rsidRPr="0060155B">
        <w:t>; t</w:t>
      </w:r>
      <w:r>
        <w:t xml:space="preserve">hey are </w:t>
      </w:r>
      <w:r>
        <w:lastRenderedPageBreak/>
        <w:t>not intended to limit quantities</w:t>
      </w:r>
      <w:r w:rsidRPr="0060155B">
        <w:t>. A</w:t>
      </w:r>
      <w:r>
        <w:t>n import licence is currently still required for all agricultural products (with a few exceptions</w:t>
      </w:r>
      <w:r>
        <w:rPr>
          <w:rStyle w:val="FootnoteReference"/>
        </w:rPr>
        <w:footnoteReference w:id="144"/>
      </w:r>
      <w:r>
        <w:t>, namely arms and ammunition</w:t>
      </w:r>
      <w:r w:rsidRPr="0060155B">
        <w:t>; m</w:t>
      </w:r>
      <w:r>
        <w:t>edicines</w:t>
      </w:r>
      <w:r w:rsidRPr="0060155B">
        <w:t>; t</w:t>
      </w:r>
      <w:r>
        <w:t>elecommunications equipment</w:t>
      </w:r>
      <w:r w:rsidRPr="0060155B">
        <w:t>; a</w:t>
      </w:r>
      <w:r>
        <w:t>nd ozone</w:t>
      </w:r>
      <w:r w:rsidRPr="0060155B">
        <w:noBreakHyphen/>
      </w:r>
      <w:r>
        <w:t>depleting gases and substances) (Table 3.8)</w:t>
      </w:r>
      <w:r w:rsidRPr="0060155B">
        <w:t>. A</w:t>
      </w:r>
      <w:r>
        <w:t>n import licence is also required for all products under WTO quotas</w:t>
      </w:r>
      <w:r w:rsidRPr="0060155B">
        <w:t>. A</w:t>
      </w:r>
      <w:r>
        <w:t>s part of this review, the authorities indicated that they are in the process of updating the regulations on the issuance of import licences (i.e. agricultural import permits)</w:t>
      </w:r>
      <w:r w:rsidRPr="0060155B">
        <w:t>. A</w:t>
      </w:r>
      <w:r>
        <w:t xml:space="preserve"> non</w:t>
      </w:r>
      <w:r w:rsidRPr="0060155B">
        <w:noBreakHyphen/>
      </w:r>
      <w:r>
        <w:t>automatic licence is also required to import oil.</w:t>
      </w:r>
      <w:r>
        <w:rPr>
          <w:rStyle w:val="FootnoteReference"/>
        </w:rPr>
        <w:footnoteReference w:id="145"/>
      </w:r>
    </w:p>
    <w:p w14:paraId="1D4455F3" w14:textId="77777777" w:rsidR="001A500E" w:rsidRPr="007C74EF" w:rsidRDefault="001A500E" w:rsidP="00574469">
      <w:pPr>
        <w:pStyle w:val="BodyText"/>
      </w:pPr>
      <w:r>
        <w:t>In the case of sugar (HS 1701), prior to its importation, the Dominican Sugar Institute (</w:t>
      </w:r>
      <w:proofErr w:type="spellStart"/>
      <w:r>
        <w:t>INAZUCAR</w:t>
      </w:r>
      <w:proofErr w:type="spellEnd"/>
      <w:r>
        <w:t>) must issue a "declaration of necessity" based on the existence of a deficit in domestic production.</w:t>
      </w:r>
      <w:bookmarkStart w:id="173" w:name="_Toc417038624"/>
      <w:r>
        <w:rPr>
          <w:rStyle w:val="FootnoteReference"/>
        </w:rPr>
        <w:footnoteReference w:id="146"/>
      </w:r>
    </w:p>
    <w:p w14:paraId="61A1FF0D" w14:textId="77777777" w:rsidR="001A500E" w:rsidRPr="006420F6" w:rsidRDefault="001A500E" w:rsidP="00B900E5">
      <w:pPr>
        <w:pStyle w:val="Caption"/>
      </w:pPr>
      <w:bookmarkStart w:id="174" w:name="_Toc117238041"/>
      <w:r>
        <w:t xml:space="preserve">Table </w:t>
      </w:r>
      <w:r w:rsidR="00BD37F2">
        <w:fldChar w:fldCharType="begin"/>
      </w:r>
      <w:r w:rsidR="00BD37F2">
        <w:instrText xml:space="preserve"> STYLEREF 1 \s </w:instrText>
      </w:r>
      <w:r w:rsidR="00BD37F2">
        <w:fldChar w:fldCharType="separate"/>
      </w:r>
      <w:r>
        <w:rPr>
          <w:noProof/>
        </w:rPr>
        <w:t>3</w:t>
      </w:r>
      <w:r w:rsidR="00BD37F2">
        <w:rPr>
          <w:noProof/>
        </w:rPr>
        <w:fldChar w:fldCharType="end"/>
      </w:r>
      <w:r>
        <w:t>.</w:t>
      </w:r>
      <w:r w:rsidR="00BD37F2">
        <w:fldChar w:fldCharType="begin"/>
      </w:r>
      <w:r w:rsidR="00BD37F2">
        <w:instrText xml:space="preserve"> SEQ Table \* ARABIC \s 1 </w:instrText>
      </w:r>
      <w:r w:rsidR="00BD37F2">
        <w:fldChar w:fldCharType="separate"/>
      </w:r>
      <w:r>
        <w:rPr>
          <w:noProof/>
        </w:rPr>
        <w:t>8</w:t>
      </w:r>
      <w:r w:rsidR="00BD37F2">
        <w:rPr>
          <w:noProof/>
        </w:rPr>
        <w:fldChar w:fldCharType="end"/>
      </w:r>
      <w:r>
        <w:t xml:space="preserve"> Products subject to import licensing, 2022</w:t>
      </w:r>
      <w:bookmarkEnd w:id="174"/>
    </w:p>
    <w:tbl>
      <w:tblPr>
        <w:tblStyle w:val="WTOTable1"/>
        <w:tblW w:w="5000" w:type="pct"/>
        <w:tblLook w:val="04A0" w:firstRow="1" w:lastRow="0" w:firstColumn="1" w:lastColumn="0" w:noHBand="0" w:noVBand="1"/>
      </w:tblPr>
      <w:tblGrid>
        <w:gridCol w:w="3257"/>
        <w:gridCol w:w="3541"/>
        <w:gridCol w:w="2218"/>
      </w:tblGrid>
      <w:tr w:rsidR="001A500E" w:rsidRPr="00573026" w14:paraId="6E384EBD" w14:textId="77777777" w:rsidTr="001F3C85">
        <w:trPr>
          <w:cnfStyle w:val="100000000000" w:firstRow="1" w:lastRow="0" w:firstColumn="0" w:lastColumn="0" w:oddVBand="0" w:evenVBand="0" w:oddHBand="0" w:evenHBand="0" w:firstRowFirstColumn="0" w:firstRowLastColumn="0" w:lastRowFirstColumn="0" w:lastRowLastColumn="0"/>
          <w:tblHeader/>
        </w:trPr>
        <w:tc>
          <w:tcPr>
            <w:tcW w:w="1806" w:type="pct"/>
          </w:tcPr>
          <w:bookmarkEnd w:id="173"/>
          <w:p w14:paraId="1EC28345" w14:textId="77777777" w:rsidR="001A500E" w:rsidRPr="00573026" w:rsidRDefault="001A500E" w:rsidP="001F3C85">
            <w:pPr>
              <w:jc w:val="left"/>
              <w:rPr>
                <w:b w:val="0"/>
                <w:sz w:val="15"/>
                <w:szCs w:val="15"/>
              </w:rPr>
            </w:pPr>
            <w:r>
              <w:rPr>
                <w:sz w:val="15"/>
              </w:rPr>
              <w:t>Product</w:t>
            </w:r>
          </w:p>
        </w:tc>
        <w:tc>
          <w:tcPr>
            <w:tcW w:w="1964" w:type="pct"/>
          </w:tcPr>
          <w:p w14:paraId="2732B6F9" w14:textId="77777777" w:rsidR="001A500E" w:rsidRPr="00573026" w:rsidRDefault="001A500E" w:rsidP="001F3C85">
            <w:pPr>
              <w:jc w:val="left"/>
              <w:rPr>
                <w:b w:val="0"/>
                <w:sz w:val="15"/>
                <w:szCs w:val="15"/>
              </w:rPr>
            </w:pPr>
            <w:r>
              <w:rPr>
                <w:sz w:val="15"/>
              </w:rPr>
              <w:t>General remarks</w:t>
            </w:r>
          </w:p>
        </w:tc>
        <w:tc>
          <w:tcPr>
            <w:tcW w:w="1230" w:type="pct"/>
          </w:tcPr>
          <w:p w14:paraId="5FA23E2E" w14:textId="77777777" w:rsidR="001A500E" w:rsidRPr="00573026" w:rsidRDefault="001A500E" w:rsidP="001F3C85">
            <w:pPr>
              <w:jc w:val="left"/>
              <w:rPr>
                <w:b w:val="0"/>
                <w:sz w:val="15"/>
                <w:szCs w:val="15"/>
              </w:rPr>
            </w:pPr>
            <w:r>
              <w:rPr>
                <w:sz w:val="15"/>
              </w:rPr>
              <w:t>Legal instrument</w:t>
            </w:r>
          </w:p>
        </w:tc>
      </w:tr>
      <w:tr w:rsidR="001A500E" w:rsidRPr="00573026" w14:paraId="6B919801" w14:textId="77777777" w:rsidTr="001F3C85">
        <w:tc>
          <w:tcPr>
            <w:tcW w:w="1806" w:type="pct"/>
          </w:tcPr>
          <w:p w14:paraId="0131954F" w14:textId="77777777" w:rsidR="001A500E" w:rsidRPr="00573026" w:rsidRDefault="001A500E" w:rsidP="001F3C85">
            <w:pPr>
              <w:jc w:val="left"/>
              <w:rPr>
                <w:bCs/>
                <w:strike/>
                <w:sz w:val="15"/>
                <w:szCs w:val="15"/>
              </w:rPr>
            </w:pPr>
            <w:r>
              <w:rPr>
                <w:sz w:val="15"/>
              </w:rPr>
              <w:t>Agricultural products</w:t>
            </w:r>
          </w:p>
        </w:tc>
        <w:tc>
          <w:tcPr>
            <w:tcW w:w="1964" w:type="pct"/>
          </w:tcPr>
          <w:p w14:paraId="6639B9DC" w14:textId="77777777" w:rsidR="001A500E" w:rsidRPr="00573026" w:rsidRDefault="001A500E" w:rsidP="001F3C85">
            <w:pPr>
              <w:jc w:val="left"/>
              <w:rPr>
                <w:sz w:val="15"/>
                <w:szCs w:val="15"/>
              </w:rPr>
            </w:pPr>
            <w:r>
              <w:rPr>
                <w:sz w:val="15"/>
              </w:rPr>
              <w:t>Automatic licences</w:t>
            </w:r>
          </w:p>
          <w:p w14:paraId="4F9C15AC" w14:textId="77777777" w:rsidR="001A500E" w:rsidRPr="00573026" w:rsidRDefault="001A500E" w:rsidP="001F3C85">
            <w:pPr>
              <w:jc w:val="left"/>
              <w:rPr>
                <w:sz w:val="15"/>
                <w:szCs w:val="15"/>
              </w:rPr>
            </w:pPr>
            <w:r>
              <w:rPr>
                <w:sz w:val="15"/>
              </w:rPr>
              <w:t>Non</w:t>
            </w:r>
            <w:r w:rsidRPr="0060155B">
              <w:rPr>
                <w:sz w:val="15"/>
              </w:rPr>
              <w:noBreakHyphen/>
            </w:r>
            <w:r>
              <w:rPr>
                <w:sz w:val="15"/>
              </w:rPr>
              <w:t>automatic licences</w:t>
            </w:r>
          </w:p>
          <w:p w14:paraId="31F84A3E" w14:textId="77777777" w:rsidR="001A500E" w:rsidRPr="00573026" w:rsidRDefault="001A500E" w:rsidP="001F3C85">
            <w:pPr>
              <w:jc w:val="left"/>
              <w:rPr>
                <w:bCs/>
                <w:sz w:val="15"/>
                <w:szCs w:val="15"/>
              </w:rPr>
            </w:pPr>
            <w:r>
              <w:rPr>
                <w:sz w:val="15"/>
              </w:rPr>
              <w:t>Ministry of Agriculture</w:t>
            </w:r>
          </w:p>
          <w:p w14:paraId="1D44EF70" w14:textId="77777777" w:rsidR="001A500E" w:rsidRPr="00573026" w:rsidRDefault="001A500E" w:rsidP="001F3C85">
            <w:pPr>
              <w:jc w:val="left"/>
              <w:rPr>
                <w:bCs/>
                <w:sz w:val="15"/>
                <w:szCs w:val="15"/>
              </w:rPr>
            </w:pPr>
            <w:r>
              <w:rPr>
                <w:sz w:val="15"/>
              </w:rPr>
              <w:t>Purpose</w:t>
            </w:r>
            <w:r w:rsidRPr="0060155B">
              <w:rPr>
                <w:sz w:val="15"/>
              </w:rPr>
              <w:t>: s</w:t>
            </w:r>
            <w:r>
              <w:rPr>
                <w:sz w:val="15"/>
              </w:rPr>
              <w:t>anitary control/tariff quota management</w:t>
            </w:r>
          </w:p>
          <w:p w14:paraId="78A25707" w14:textId="77777777" w:rsidR="001A500E" w:rsidRPr="00573026" w:rsidRDefault="001A500E" w:rsidP="001F3C85">
            <w:pPr>
              <w:jc w:val="left"/>
              <w:rPr>
                <w:bCs/>
                <w:sz w:val="15"/>
                <w:szCs w:val="15"/>
              </w:rPr>
            </w:pPr>
            <w:r>
              <w:rPr>
                <w:sz w:val="15"/>
              </w:rPr>
              <w:t>Validity</w:t>
            </w:r>
            <w:r w:rsidRPr="0060155B">
              <w:rPr>
                <w:sz w:val="15"/>
              </w:rPr>
              <w:t>: 9</w:t>
            </w:r>
            <w:r>
              <w:rPr>
                <w:sz w:val="15"/>
              </w:rPr>
              <w:t>0 days.</w:t>
            </w:r>
          </w:p>
          <w:p w14:paraId="06F1A25B" w14:textId="77777777" w:rsidR="001A500E" w:rsidRPr="00573026" w:rsidRDefault="001A500E" w:rsidP="001F3C85">
            <w:pPr>
              <w:jc w:val="left"/>
              <w:rPr>
                <w:bCs/>
                <w:strike/>
                <w:sz w:val="15"/>
                <w:szCs w:val="15"/>
              </w:rPr>
            </w:pPr>
            <w:r>
              <w:rPr>
                <w:sz w:val="15"/>
              </w:rPr>
              <w:t>Non</w:t>
            </w:r>
            <w:r w:rsidRPr="0060155B">
              <w:rPr>
                <w:sz w:val="15"/>
              </w:rPr>
              <w:noBreakHyphen/>
            </w:r>
            <w:r>
              <w:rPr>
                <w:sz w:val="15"/>
              </w:rPr>
              <w:t xml:space="preserve">transferable </w:t>
            </w:r>
          </w:p>
        </w:tc>
        <w:tc>
          <w:tcPr>
            <w:tcW w:w="1230" w:type="pct"/>
          </w:tcPr>
          <w:p w14:paraId="7EEE2571" w14:textId="77777777" w:rsidR="001A500E" w:rsidRPr="00573026" w:rsidRDefault="001A500E" w:rsidP="001F3C85">
            <w:pPr>
              <w:jc w:val="left"/>
              <w:rPr>
                <w:sz w:val="15"/>
                <w:szCs w:val="15"/>
              </w:rPr>
            </w:pPr>
            <w:r>
              <w:rPr>
                <w:sz w:val="15"/>
              </w:rPr>
              <w:t xml:space="preserve">Law </w:t>
            </w:r>
            <w:r w:rsidRPr="0060155B">
              <w:rPr>
                <w:sz w:val="15"/>
              </w:rPr>
              <w:t>No. </w:t>
            </w:r>
            <w:r>
              <w:rPr>
                <w:sz w:val="15"/>
              </w:rPr>
              <w:t>8</w:t>
            </w:r>
            <w:r w:rsidRPr="0060155B">
              <w:rPr>
                <w:sz w:val="15"/>
              </w:rPr>
              <w:noBreakHyphen/>
            </w:r>
            <w:r>
              <w:rPr>
                <w:sz w:val="15"/>
              </w:rPr>
              <w:t>65</w:t>
            </w:r>
          </w:p>
          <w:p w14:paraId="111F5C96" w14:textId="77777777" w:rsidR="001A500E" w:rsidRPr="00573026" w:rsidRDefault="001A500E" w:rsidP="001F3C85">
            <w:pPr>
              <w:jc w:val="left"/>
              <w:rPr>
                <w:sz w:val="15"/>
                <w:szCs w:val="15"/>
              </w:rPr>
            </w:pPr>
            <w:r>
              <w:rPr>
                <w:sz w:val="15"/>
              </w:rPr>
              <w:t xml:space="preserve">Decree </w:t>
            </w:r>
            <w:r w:rsidRPr="0060155B">
              <w:rPr>
                <w:sz w:val="15"/>
              </w:rPr>
              <w:t>No. </w:t>
            </w:r>
            <w:r>
              <w:rPr>
                <w:sz w:val="15"/>
              </w:rPr>
              <w:t>605</w:t>
            </w:r>
            <w:r w:rsidRPr="0060155B">
              <w:rPr>
                <w:sz w:val="15"/>
              </w:rPr>
              <w:noBreakHyphen/>
            </w:r>
            <w:r>
              <w:rPr>
                <w:sz w:val="15"/>
              </w:rPr>
              <w:t>21</w:t>
            </w:r>
          </w:p>
          <w:p w14:paraId="7B2F95C5" w14:textId="77777777" w:rsidR="001A500E" w:rsidRPr="00573026" w:rsidRDefault="001A500E" w:rsidP="001F3C85">
            <w:pPr>
              <w:jc w:val="left"/>
              <w:rPr>
                <w:bCs/>
                <w:strike/>
                <w:sz w:val="15"/>
                <w:szCs w:val="15"/>
              </w:rPr>
            </w:pPr>
            <w:r>
              <w:rPr>
                <w:sz w:val="15"/>
              </w:rPr>
              <w:t xml:space="preserve">Decree </w:t>
            </w:r>
            <w:r w:rsidRPr="0060155B">
              <w:rPr>
                <w:sz w:val="15"/>
              </w:rPr>
              <w:t>No. </w:t>
            </w:r>
            <w:r>
              <w:rPr>
                <w:sz w:val="15"/>
              </w:rPr>
              <w:t>319</w:t>
            </w:r>
            <w:r w:rsidRPr="0060155B">
              <w:rPr>
                <w:sz w:val="15"/>
              </w:rPr>
              <w:noBreakHyphen/>
            </w:r>
            <w:r>
              <w:rPr>
                <w:sz w:val="15"/>
              </w:rPr>
              <w:t>22</w:t>
            </w:r>
          </w:p>
        </w:tc>
      </w:tr>
      <w:tr w:rsidR="001A500E" w:rsidRPr="00573026" w14:paraId="2F37E7CF" w14:textId="77777777" w:rsidTr="001F3C85">
        <w:trPr>
          <w:cnfStyle w:val="000000010000" w:firstRow="0" w:lastRow="0" w:firstColumn="0" w:lastColumn="0" w:oddVBand="0" w:evenVBand="0" w:oddHBand="0" w:evenHBand="1" w:firstRowFirstColumn="0" w:firstRowLastColumn="0" w:lastRowFirstColumn="0" w:lastRowLastColumn="0"/>
        </w:trPr>
        <w:tc>
          <w:tcPr>
            <w:tcW w:w="1806" w:type="pct"/>
          </w:tcPr>
          <w:p w14:paraId="4B815EDD" w14:textId="77777777" w:rsidR="001A500E" w:rsidRPr="00573026" w:rsidRDefault="001A500E" w:rsidP="001F3C85">
            <w:pPr>
              <w:jc w:val="left"/>
              <w:rPr>
                <w:bCs/>
                <w:sz w:val="15"/>
                <w:szCs w:val="15"/>
              </w:rPr>
            </w:pPr>
            <w:r>
              <w:rPr>
                <w:sz w:val="15"/>
              </w:rPr>
              <w:t>Arms and ammunition</w:t>
            </w:r>
          </w:p>
        </w:tc>
        <w:tc>
          <w:tcPr>
            <w:tcW w:w="1964" w:type="pct"/>
          </w:tcPr>
          <w:p w14:paraId="3D2131E8" w14:textId="77777777" w:rsidR="001A500E" w:rsidRPr="007C74EF" w:rsidRDefault="001A500E" w:rsidP="001F3C85">
            <w:pPr>
              <w:jc w:val="left"/>
              <w:rPr>
                <w:bCs/>
                <w:sz w:val="15"/>
                <w:szCs w:val="15"/>
              </w:rPr>
            </w:pPr>
            <w:r>
              <w:rPr>
                <w:sz w:val="15"/>
              </w:rPr>
              <w:t xml:space="preserve">Automatic </w:t>
            </w:r>
            <w:proofErr w:type="spellStart"/>
            <w:r>
              <w:rPr>
                <w:sz w:val="15"/>
              </w:rPr>
              <w:t>licences</w:t>
            </w:r>
            <w:r>
              <w:rPr>
                <w:sz w:val="15"/>
                <w:vertAlign w:val="superscript"/>
              </w:rPr>
              <w:t>a</w:t>
            </w:r>
            <w:proofErr w:type="spellEnd"/>
          </w:p>
          <w:p w14:paraId="3D846128" w14:textId="77777777" w:rsidR="001A500E" w:rsidRPr="00573026" w:rsidRDefault="001A500E" w:rsidP="001F3C85">
            <w:pPr>
              <w:jc w:val="left"/>
              <w:rPr>
                <w:bCs/>
                <w:sz w:val="15"/>
                <w:szCs w:val="15"/>
              </w:rPr>
            </w:pPr>
            <w:r>
              <w:rPr>
                <w:sz w:val="15"/>
              </w:rPr>
              <w:t>Non</w:t>
            </w:r>
            <w:r w:rsidRPr="0060155B">
              <w:rPr>
                <w:sz w:val="15"/>
              </w:rPr>
              <w:noBreakHyphen/>
            </w:r>
            <w:r>
              <w:rPr>
                <w:sz w:val="15"/>
              </w:rPr>
              <w:t xml:space="preserve">automatic </w:t>
            </w:r>
            <w:proofErr w:type="spellStart"/>
            <w:r>
              <w:rPr>
                <w:sz w:val="15"/>
              </w:rPr>
              <w:t>licences</w:t>
            </w:r>
            <w:r>
              <w:rPr>
                <w:sz w:val="15"/>
                <w:vertAlign w:val="superscript"/>
              </w:rPr>
              <w:t>b</w:t>
            </w:r>
            <w:proofErr w:type="spellEnd"/>
          </w:p>
          <w:p w14:paraId="1A900723" w14:textId="77777777" w:rsidR="001A500E" w:rsidRPr="007C74EF" w:rsidRDefault="001A500E" w:rsidP="001F3C85">
            <w:pPr>
              <w:jc w:val="left"/>
              <w:rPr>
                <w:bCs/>
                <w:sz w:val="15"/>
                <w:szCs w:val="15"/>
              </w:rPr>
            </w:pPr>
            <w:r>
              <w:rPr>
                <w:sz w:val="15"/>
              </w:rPr>
              <w:t>Ministry of Defence</w:t>
            </w:r>
          </w:p>
          <w:p w14:paraId="226E87C2" w14:textId="77777777" w:rsidR="001A500E" w:rsidRPr="00573026" w:rsidRDefault="001A500E" w:rsidP="001F3C85">
            <w:pPr>
              <w:jc w:val="left"/>
              <w:rPr>
                <w:bCs/>
                <w:sz w:val="15"/>
                <w:szCs w:val="15"/>
              </w:rPr>
            </w:pPr>
            <w:r>
              <w:rPr>
                <w:sz w:val="15"/>
              </w:rPr>
              <w:t>Purpose</w:t>
            </w:r>
            <w:r w:rsidRPr="0060155B">
              <w:rPr>
                <w:sz w:val="15"/>
              </w:rPr>
              <w:t>: n</w:t>
            </w:r>
            <w:r>
              <w:rPr>
                <w:sz w:val="15"/>
              </w:rPr>
              <w:t>ational security</w:t>
            </w:r>
          </w:p>
          <w:p w14:paraId="055AE03E" w14:textId="77777777" w:rsidR="001A500E" w:rsidRPr="00573026" w:rsidRDefault="001A500E" w:rsidP="001F3C85">
            <w:pPr>
              <w:jc w:val="left"/>
              <w:rPr>
                <w:bCs/>
                <w:sz w:val="15"/>
                <w:szCs w:val="15"/>
              </w:rPr>
            </w:pPr>
            <w:r>
              <w:rPr>
                <w:sz w:val="15"/>
              </w:rPr>
              <w:t>Validity</w:t>
            </w:r>
            <w:r w:rsidRPr="0060155B">
              <w:rPr>
                <w:sz w:val="15"/>
              </w:rPr>
              <w:t>: o</w:t>
            </w:r>
            <w:r>
              <w:rPr>
                <w:sz w:val="15"/>
              </w:rPr>
              <w:t>ne year</w:t>
            </w:r>
          </w:p>
          <w:p w14:paraId="0A5957EF" w14:textId="77777777" w:rsidR="001A500E" w:rsidRPr="00573026" w:rsidRDefault="001A500E" w:rsidP="001F3C85">
            <w:pPr>
              <w:jc w:val="left"/>
              <w:rPr>
                <w:bCs/>
                <w:sz w:val="15"/>
                <w:szCs w:val="15"/>
              </w:rPr>
            </w:pPr>
            <w:r>
              <w:rPr>
                <w:sz w:val="15"/>
              </w:rPr>
              <w:t>Non</w:t>
            </w:r>
            <w:r w:rsidRPr="0060155B">
              <w:rPr>
                <w:sz w:val="15"/>
              </w:rPr>
              <w:noBreakHyphen/>
            </w:r>
            <w:r>
              <w:rPr>
                <w:sz w:val="15"/>
              </w:rPr>
              <w:t>transferable</w:t>
            </w:r>
          </w:p>
        </w:tc>
        <w:tc>
          <w:tcPr>
            <w:tcW w:w="1230" w:type="pct"/>
          </w:tcPr>
          <w:p w14:paraId="208F2226" w14:textId="77777777" w:rsidR="001A500E" w:rsidRPr="007C74EF" w:rsidRDefault="001A500E" w:rsidP="001F3C85">
            <w:pPr>
              <w:jc w:val="left"/>
              <w:rPr>
                <w:bCs/>
                <w:sz w:val="15"/>
                <w:szCs w:val="15"/>
              </w:rPr>
            </w:pPr>
            <w:r>
              <w:rPr>
                <w:sz w:val="15"/>
              </w:rPr>
              <w:t xml:space="preserve">Law </w:t>
            </w:r>
            <w:r w:rsidRPr="0060155B">
              <w:rPr>
                <w:sz w:val="15"/>
              </w:rPr>
              <w:t>No. </w:t>
            </w:r>
            <w:r>
              <w:rPr>
                <w:sz w:val="15"/>
              </w:rPr>
              <w:t>138</w:t>
            </w:r>
            <w:r>
              <w:rPr>
                <w:sz w:val="15"/>
              </w:rPr>
              <w:br/>
              <w:t xml:space="preserve">Law </w:t>
            </w:r>
            <w:r w:rsidRPr="0060155B">
              <w:rPr>
                <w:sz w:val="15"/>
              </w:rPr>
              <w:t>No. </w:t>
            </w:r>
            <w:r>
              <w:rPr>
                <w:sz w:val="15"/>
              </w:rPr>
              <w:t>36</w:t>
            </w:r>
          </w:p>
          <w:p w14:paraId="2E1DD9BB" w14:textId="77777777" w:rsidR="001A500E" w:rsidRPr="00573026" w:rsidRDefault="001A500E" w:rsidP="001F3C85">
            <w:pPr>
              <w:jc w:val="left"/>
              <w:rPr>
                <w:bCs/>
                <w:sz w:val="15"/>
                <w:szCs w:val="15"/>
              </w:rPr>
            </w:pPr>
            <w:r>
              <w:rPr>
                <w:sz w:val="15"/>
              </w:rPr>
              <w:t xml:space="preserve">Law </w:t>
            </w:r>
            <w:r w:rsidRPr="0060155B">
              <w:rPr>
                <w:sz w:val="15"/>
              </w:rPr>
              <w:t>No. </w:t>
            </w:r>
            <w:r>
              <w:rPr>
                <w:sz w:val="15"/>
              </w:rPr>
              <w:t>262</w:t>
            </w:r>
          </w:p>
          <w:p w14:paraId="4A36B12D" w14:textId="77777777" w:rsidR="001A500E" w:rsidRPr="00573026" w:rsidRDefault="001A500E" w:rsidP="001F3C85">
            <w:pPr>
              <w:jc w:val="left"/>
              <w:rPr>
                <w:bCs/>
                <w:strike/>
                <w:sz w:val="15"/>
                <w:szCs w:val="15"/>
              </w:rPr>
            </w:pPr>
            <w:r>
              <w:rPr>
                <w:sz w:val="15"/>
              </w:rPr>
              <w:t xml:space="preserve">Law </w:t>
            </w:r>
            <w:r w:rsidRPr="0060155B">
              <w:rPr>
                <w:sz w:val="15"/>
              </w:rPr>
              <w:t>No. </w:t>
            </w:r>
            <w:r>
              <w:rPr>
                <w:sz w:val="15"/>
              </w:rPr>
              <w:t>873</w:t>
            </w:r>
          </w:p>
        </w:tc>
      </w:tr>
      <w:tr w:rsidR="001A500E" w:rsidRPr="00573026" w14:paraId="09A206BE" w14:textId="77777777" w:rsidTr="001F3C85">
        <w:tc>
          <w:tcPr>
            <w:tcW w:w="1806" w:type="pct"/>
          </w:tcPr>
          <w:p w14:paraId="0EC4CF96" w14:textId="77777777" w:rsidR="001A500E" w:rsidRPr="00573026" w:rsidRDefault="001A500E" w:rsidP="001F3C85">
            <w:pPr>
              <w:jc w:val="left"/>
              <w:rPr>
                <w:bCs/>
                <w:sz w:val="15"/>
                <w:szCs w:val="15"/>
              </w:rPr>
            </w:pPr>
            <w:r>
              <w:rPr>
                <w:sz w:val="15"/>
              </w:rPr>
              <w:t>Medicines, sanitary and personal hygiene products, pharmaceutical products of natural origin sold for therapeutic purposes and household cleaning products</w:t>
            </w:r>
          </w:p>
        </w:tc>
        <w:tc>
          <w:tcPr>
            <w:tcW w:w="1964" w:type="pct"/>
          </w:tcPr>
          <w:p w14:paraId="2F5C69BC" w14:textId="77777777" w:rsidR="001A500E" w:rsidRPr="00573026" w:rsidRDefault="001A500E" w:rsidP="001F3C85">
            <w:pPr>
              <w:jc w:val="left"/>
              <w:rPr>
                <w:bCs/>
                <w:sz w:val="15"/>
                <w:szCs w:val="15"/>
              </w:rPr>
            </w:pPr>
            <w:r>
              <w:rPr>
                <w:sz w:val="15"/>
              </w:rPr>
              <w:t>Import authorization</w:t>
            </w:r>
          </w:p>
          <w:p w14:paraId="07512CA3" w14:textId="77777777" w:rsidR="001A500E" w:rsidRPr="00573026" w:rsidRDefault="001A500E" w:rsidP="001F3C85">
            <w:pPr>
              <w:jc w:val="left"/>
              <w:rPr>
                <w:bCs/>
                <w:sz w:val="15"/>
                <w:szCs w:val="15"/>
              </w:rPr>
            </w:pPr>
            <w:r>
              <w:rPr>
                <w:sz w:val="15"/>
              </w:rPr>
              <w:t>Ministry of Public Health and Social Assistance (</w:t>
            </w:r>
            <w:proofErr w:type="spellStart"/>
            <w:r>
              <w:rPr>
                <w:sz w:val="15"/>
              </w:rPr>
              <w:t>MISPAS</w:t>
            </w:r>
            <w:proofErr w:type="spellEnd"/>
            <w:r>
              <w:rPr>
                <w:sz w:val="15"/>
              </w:rPr>
              <w:t>)</w:t>
            </w:r>
          </w:p>
          <w:p w14:paraId="502A2CCD" w14:textId="77777777" w:rsidR="001A500E" w:rsidRPr="00573026" w:rsidRDefault="001A500E" w:rsidP="001F3C85">
            <w:pPr>
              <w:jc w:val="left"/>
              <w:rPr>
                <w:bCs/>
                <w:sz w:val="15"/>
                <w:szCs w:val="15"/>
              </w:rPr>
            </w:pPr>
            <w:r>
              <w:rPr>
                <w:sz w:val="15"/>
              </w:rPr>
              <w:t>Purpose</w:t>
            </w:r>
            <w:r w:rsidRPr="0060155B">
              <w:rPr>
                <w:sz w:val="15"/>
              </w:rPr>
              <w:t>: s</w:t>
            </w:r>
            <w:r>
              <w:rPr>
                <w:sz w:val="15"/>
              </w:rPr>
              <w:t>anitary control</w:t>
            </w:r>
          </w:p>
          <w:p w14:paraId="7D05882A" w14:textId="77777777" w:rsidR="001A500E" w:rsidRPr="00573026" w:rsidRDefault="001A500E" w:rsidP="001F3C85">
            <w:pPr>
              <w:jc w:val="left"/>
              <w:rPr>
                <w:bCs/>
                <w:sz w:val="15"/>
                <w:szCs w:val="15"/>
              </w:rPr>
            </w:pPr>
            <w:r>
              <w:rPr>
                <w:sz w:val="15"/>
              </w:rPr>
              <w:t>Validity</w:t>
            </w:r>
            <w:r w:rsidRPr="0060155B">
              <w:rPr>
                <w:sz w:val="15"/>
              </w:rPr>
              <w:t>: 4</w:t>
            </w:r>
            <w:r>
              <w:rPr>
                <w:sz w:val="15"/>
              </w:rPr>
              <w:t>5 days</w:t>
            </w:r>
          </w:p>
          <w:p w14:paraId="5845AF57" w14:textId="77777777" w:rsidR="001A500E" w:rsidRPr="00573026" w:rsidRDefault="001A500E" w:rsidP="001F3C85">
            <w:pPr>
              <w:jc w:val="left"/>
              <w:rPr>
                <w:bCs/>
                <w:sz w:val="15"/>
                <w:szCs w:val="15"/>
              </w:rPr>
            </w:pPr>
            <w:r>
              <w:rPr>
                <w:sz w:val="15"/>
              </w:rPr>
              <w:t>Non</w:t>
            </w:r>
            <w:r w:rsidRPr="0060155B">
              <w:rPr>
                <w:sz w:val="15"/>
              </w:rPr>
              <w:noBreakHyphen/>
            </w:r>
            <w:r>
              <w:rPr>
                <w:sz w:val="15"/>
              </w:rPr>
              <w:t>transferable</w:t>
            </w:r>
          </w:p>
        </w:tc>
        <w:tc>
          <w:tcPr>
            <w:tcW w:w="1230" w:type="pct"/>
          </w:tcPr>
          <w:p w14:paraId="04646EA8" w14:textId="77777777" w:rsidR="001A500E" w:rsidRPr="00573026" w:rsidRDefault="001A500E" w:rsidP="001F3C85">
            <w:pPr>
              <w:jc w:val="left"/>
              <w:rPr>
                <w:bCs/>
                <w:sz w:val="15"/>
                <w:szCs w:val="15"/>
              </w:rPr>
            </w:pPr>
            <w:r>
              <w:rPr>
                <w:sz w:val="15"/>
              </w:rPr>
              <w:t xml:space="preserve">Law </w:t>
            </w:r>
            <w:r w:rsidRPr="0060155B">
              <w:rPr>
                <w:sz w:val="15"/>
              </w:rPr>
              <w:t>No. </w:t>
            </w:r>
            <w:r>
              <w:rPr>
                <w:sz w:val="15"/>
              </w:rPr>
              <w:t>50</w:t>
            </w:r>
            <w:r w:rsidRPr="0060155B">
              <w:rPr>
                <w:sz w:val="15"/>
              </w:rPr>
              <w:noBreakHyphen/>
            </w:r>
            <w:r>
              <w:rPr>
                <w:sz w:val="15"/>
              </w:rPr>
              <w:t>88</w:t>
            </w:r>
          </w:p>
          <w:p w14:paraId="1BF5D28A" w14:textId="77777777" w:rsidR="001A500E" w:rsidRPr="00573026" w:rsidRDefault="001A500E" w:rsidP="001F3C85">
            <w:pPr>
              <w:jc w:val="left"/>
              <w:rPr>
                <w:bCs/>
                <w:sz w:val="15"/>
                <w:szCs w:val="15"/>
              </w:rPr>
            </w:pPr>
            <w:r>
              <w:rPr>
                <w:sz w:val="15"/>
              </w:rPr>
              <w:t xml:space="preserve">Decree </w:t>
            </w:r>
            <w:r w:rsidRPr="0060155B">
              <w:rPr>
                <w:sz w:val="15"/>
              </w:rPr>
              <w:t>No. </w:t>
            </w:r>
            <w:r>
              <w:rPr>
                <w:sz w:val="15"/>
              </w:rPr>
              <w:t>246</w:t>
            </w:r>
            <w:r w:rsidRPr="0060155B">
              <w:rPr>
                <w:sz w:val="15"/>
              </w:rPr>
              <w:noBreakHyphen/>
            </w:r>
            <w:r>
              <w:rPr>
                <w:sz w:val="15"/>
              </w:rPr>
              <w:t>06</w:t>
            </w:r>
          </w:p>
          <w:p w14:paraId="409AB1C1" w14:textId="77777777" w:rsidR="001A500E" w:rsidRPr="00573026" w:rsidRDefault="001A500E" w:rsidP="001F3C85">
            <w:pPr>
              <w:jc w:val="left"/>
              <w:rPr>
                <w:bCs/>
                <w:strike/>
                <w:sz w:val="15"/>
                <w:szCs w:val="15"/>
              </w:rPr>
            </w:pPr>
            <w:r>
              <w:rPr>
                <w:sz w:val="15"/>
              </w:rPr>
              <w:t xml:space="preserve">Law </w:t>
            </w:r>
            <w:r w:rsidRPr="0060155B">
              <w:rPr>
                <w:sz w:val="15"/>
              </w:rPr>
              <w:t>No. </w:t>
            </w:r>
            <w:r>
              <w:rPr>
                <w:sz w:val="15"/>
              </w:rPr>
              <w:t>42</w:t>
            </w:r>
            <w:r w:rsidRPr="0060155B">
              <w:rPr>
                <w:sz w:val="15"/>
              </w:rPr>
              <w:noBreakHyphen/>
            </w:r>
            <w:r>
              <w:rPr>
                <w:sz w:val="15"/>
              </w:rPr>
              <w:t>01</w:t>
            </w:r>
          </w:p>
        </w:tc>
      </w:tr>
      <w:tr w:rsidR="001A500E" w:rsidRPr="00573026" w14:paraId="6B19ECF4" w14:textId="77777777" w:rsidTr="001F3C85">
        <w:trPr>
          <w:cnfStyle w:val="000000010000" w:firstRow="0" w:lastRow="0" w:firstColumn="0" w:lastColumn="0" w:oddVBand="0" w:evenVBand="0" w:oddHBand="0" w:evenHBand="1" w:firstRowFirstColumn="0" w:firstRowLastColumn="0" w:lastRowFirstColumn="0" w:lastRowLastColumn="0"/>
        </w:trPr>
        <w:tc>
          <w:tcPr>
            <w:tcW w:w="1806" w:type="pct"/>
          </w:tcPr>
          <w:p w14:paraId="27E96165" w14:textId="77777777" w:rsidR="001A500E" w:rsidRPr="00573026" w:rsidRDefault="001A500E" w:rsidP="001F3C85">
            <w:pPr>
              <w:jc w:val="left"/>
              <w:rPr>
                <w:bCs/>
                <w:sz w:val="15"/>
                <w:szCs w:val="15"/>
              </w:rPr>
            </w:pPr>
            <w:r>
              <w:rPr>
                <w:sz w:val="15"/>
              </w:rPr>
              <w:t>Telecommunications equipment</w:t>
            </w:r>
          </w:p>
        </w:tc>
        <w:tc>
          <w:tcPr>
            <w:tcW w:w="1964" w:type="pct"/>
          </w:tcPr>
          <w:p w14:paraId="3F4A2646" w14:textId="77777777" w:rsidR="001A500E" w:rsidRPr="00573026" w:rsidRDefault="001A500E" w:rsidP="001F3C85">
            <w:pPr>
              <w:jc w:val="left"/>
              <w:rPr>
                <w:bCs/>
                <w:sz w:val="15"/>
                <w:szCs w:val="15"/>
              </w:rPr>
            </w:pPr>
            <w:r>
              <w:rPr>
                <w:sz w:val="15"/>
              </w:rPr>
              <w:t>Certificate of No Objection from the Dominican Telecommunications Institute (</w:t>
            </w:r>
            <w:proofErr w:type="spellStart"/>
            <w:r>
              <w:rPr>
                <w:sz w:val="15"/>
              </w:rPr>
              <w:t>INDOTEL</w:t>
            </w:r>
            <w:proofErr w:type="spellEnd"/>
            <w:r>
              <w:rPr>
                <w:sz w:val="15"/>
              </w:rPr>
              <w:t>)</w:t>
            </w:r>
          </w:p>
          <w:p w14:paraId="1AAB2951" w14:textId="77777777" w:rsidR="001A500E" w:rsidRPr="00573026" w:rsidRDefault="001A500E" w:rsidP="001F3C85">
            <w:pPr>
              <w:jc w:val="left"/>
              <w:rPr>
                <w:bCs/>
                <w:sz w:val="15"/>
                <w:szCs w:val="15"/>
              </w:rPr>
            </w:pPr>
            <w:r>
              <w:rPr>
                <w:sz w:val="15"/>
              </w:rPr>
              <w:t>Purpose</w:t>
            </w:r>
            <w:r w:rsidRPr="0060155B">
              <w:rPr>
                <w:sz w:val="15"/>
              </w:rPr>
              <w:t>: q</w:t>
            </w:r>
            <w:r>
              <w:rPr>
                <w:sz w:val="15"/>
              </w:rPr>
              <w:t>uality control</w:t>
            </w:r>
          </w:p>
          <w:p w14:paraId="335CD2C1" w14:textId="77777777" w:rsidR="001A500E" w:rsidRPr="00573026" w:rsidRDefault="001A500E" w:rsidP="001F3C85">
            <w:pPr>
              <w:jc w:val="left"/>
              <w:rPr>
                <w:bCs/>
                <w:sz w:val="15"/>
                <w:szCs w:val="15"/>
              </w:rPr>
            </w:pPr>
            <w:r>
              <w:rPr>
                <w:sz w:val="15"/>
              </w:rPr>
              <w:t>Validity</w:t>
            </w:r>
            <w:r w:rsidRPr="0060155B">
              <w:rPr>
                <w:sz w:val="15"/>
              </w:rPr>
              <w:t>: n</w:t>
            </w:r>
            <w:r>
              <w:rPr>
                <w:sz w:val="15"/>
              </w:rPr>
              <w:t>o period of validity</w:t>
            </w:r>
          </w:p>
          <w:p w14:paraId="0B0E1726" w14:textId="77777777" w:rsidR="001A500E" w:rsidRPr="00573026" w:rsidRDefault="001A500E" w:rsidP="001F3C85">
            <w:pPr>
              <w:jc w:val="left"/>
              <w:rPr>
                <w:bCs/>
                <w:sz w:val="15"/>
                <w:szCs w:val="15"/>
              </w:rPr>
            </w:pPr>
            <w:r>
              <w:rPr>
                <w:sz w:val="15"/>
              </w:rPr>
              <w:t>Non</w:t>
            </w:r>
            <w:r w:rsidRPr="0060155B">
              <w:rPr>
                <w:sz w:val="15"/>
              </w:rPr>
              <w:noBreakHyphen/>
            </w:r>
            <w:r>
              <w:rPr>
                <w:sz w:val="15"/>
              </w:rPr>
              <w:t>transferable</w:t>
            </w:r>
          </w:p>
        </w:tc>
        <w:tc>
          <w:tcPr>
            <w:tcW w:w="1230" w:type="pct"/>
          </w:tcPr>
          <w:p w14:paraId="369AC8E6" w14:textId="77777777" w:rsidR="001A500E" w:rsidRPr="00573026" w:rsidRDefault="001A500E" w:rsidP="001F3C85">
            <w:pPr>
              <w:jc w:val="left"/>
              <w:rPr>
                <w:bCs/>
                <w:sz w:val="15"/>
                <w:szCs w:val="15"/>
              </w:rPr>
            </w:pPr>
            <w:r>
              <w:rPr>
                <w:sz w:val="15"/>
              </w:rPr>
              <w:t xml:space="preserve">Law </w:t>
            </w:r>
            <w:r w:rsidRPr="0060155B">
              <w:rPr>
                <w:sz w:val="15"/>
              </w:rPr>
              <w:t>No. </w:t>
            </w:r>
            <w:r>
              <w:rPr>
                <w:sz w:val="15"/>
              </w:rPr>
              <w:t>153</w:t>
            </w:r>
            <w:r w:rsidRPr="0060155B">
              <w:rPr>
                <w:sz w:val="15"/>
              </w:rPr>
              <w:noBreakHyphen/>
            </w:r>
            <w:r>
              <w:rPr>
                <w:sz w:val="15"/>
              </w:rPr>
              <w:t>98</w:t>
            </w:r>
          </w:p>
        </w:tc>
      </w:tr>
      <w:tr w:rsidR="001A500E" w:rsidRPr="00573026" w14:paraId="56ADD2A7" w14:textId="77777777" w:rsidTr="001F3C85">
        <w:tc>
          <w:tcPr>
            <w:tcW w:w="1806" w:type="pct"/>
          </w:tcPr>
          <w:p w14:paraId="5CA43ED4" w14:textId="77777777" w:rsidR="001A500E" w:rsidRPr="00573026" w:rsidRDefault="001A500E" w:rsidP="001F3C85">
            <w:pPr>
              <w:jc w:val="left"/>
              <w:rPr>
                <w:bCs/>
                <w:sz w:val="15"/>
                <w:szCs w:val="15"/>
              </w:rPr>
            </w:pPr>
            <w:r>
              <w:rPr>
                <w:sz w:val="15"/>
              </w:rPr>
              <w:t>Ozone</w:t>
            </w:r>
            <w:r w:rsidRPr="0060155B">
              <w:rPr>
                <w:sz w:val="15"/>
              </w:rPr>
              <w:noBreakHyphen/>
            </w:r>
            <w:r>
              <w:rPr>
                <w:sz w:val="15"/>
              </w:rPr>
              <w:t>depleting gases and substances</w:t>
            </w:r>
          </w:p>
        </w:tc>
        <w:tc>
          <w:tcPr>
            <w:tcW w:w="1964" w:type="pct"/>
          </w:tcPr>
          <w:p w14:paraId="240B4454" w14:textId="77777777" w:rsidR="001A500E" w:rsidRPr="00573026" w:rsidRDefault="001A500E" w:rsidP="001F3C85">
            <w:pPr>
              <w:jc w:val="left"/>
              <w:rPr>
                <w:bCs/>
                <w:sz w:val="15"/>
                <w:szCs w:val="15"/>
              </w:rPr>
            </w:pPr>
            <w:r>
              <w:rPr>
                <w:sz w:val="15"/>
              </w:rPr>
              <w:t>Non</w:t>
            </w:r>
            <w:r w:rsidRPr="0060155B">
              <w:rPr>
                <w:sz w:val="15"/>
              </w:rPr>
              <w:noBreakHyphen/>
            </w:r>
            <w:r>
              <w:rPr>
                <w:sz w:val="15"/>
              </w:rPr>
              <w:t>automatic licences</w:t>
            </w:r>
          </w:p>
          <w:p w14:paraId="5F4900E9" w14:textId="77777777" w:rsidR="001A500E" w:rsidRPr="007C74EF" w:rsidRDefault="001A500E" w:rsidP="001F3C85">
            <w:pPr>
              <w:jc w:val="left"/>
              <w:rPr>
                <w:bCs/>
                <w:sz w:val="15"/>
                <w:szCs w:val="15"/>
              </w:rPr>
            </w:pPr>
            <w:r>
              <w:rPr>
                <w:sz w:val="15"/>
              </w:rPr>
              <w:t>Ministry of the Environment and Natural Resources</w:t>
            </w:r>
          </w:p>
          <w:p w14:paraId="0EB4E5E8" w14:textId="77777777" w:rsidR="001A500E" w:rsidRPr="007C74EF" w:rsidRDefault="001A500E" w:rsidP="001F3C85">
            <w:pPr>
              <w:jc w:val="left"/>
              <w:rPr>
                <w:bCs/>
                <w:sz w:val="15"/>
                <w:szCs w:val="15"/>
              </w:rPr>
            </w:pPr>
            <w:r>
              <w:rPr>
                <w:sz w:val="15"/>
              </w:rPr>
              <w:t>Purpose</w:t>
            </w:r>
            <w:r w:rsidRPr="0060155B">
              <w:rPr>
                <w:sz w:val="15"/>
              </w:rPr>
              <w:t>: c</w:t>
            </w:r>
            <w:r>
              <w:rPr>
                <w:sz w:val="15"/>
              </w:rPr>
              <w:t>ompliance with the Montreal Protocol</w:t>
            </w:r>
          </w:p>
          <w:p w14:paraId="4CE4A10A" w14:textId="77777777" w:rsidR="001A500E" w:rsidRPr="00573026" w:rsidRDefault="001A500E" w:rsidP="001F3C85">
            <w:pPr>
              <w:jc w:val="left"/>
              <w:rPr>
                <w:bCs/>
                <w:sz w:val="15"/>
                <w:szCs w:val="15"/>
              </w:rPr>
            </w:pPr>
            <w:r>
              <w:rPr>
                <w:sz w:val="15"/>
              </w:rPr>
              <w:t>Validity</w:t>
            </w:r>
            <w:r w:rsidRPr="0060155B">
              <w:rPr>
                <w:sz w:val="15"/>
              </w:rPr>
              <w:t>: 3</w:t>
            </w:r>
            <w:r>
              <w:rPr>
                <w:sz w:val="15"/>
              </w:rPr>
              <w:t>0 days</w:t>
            </w:r>
          </w:p>
          <w:p w14:paraId="7A02D977" w14:textId="77777777" w:rsidR="001A500E" w:rsidRPr="00573026" w:rsidRDefault="001A500E" w:rsidP="001F3C85">
            <w:pPr>
              <w:jc w:val="left"/>
              <w:rPr>
                <w:bCs/>
                <w:sz w:val="15"/>
                <w:szCs w:val="15"/>
              </w:rPr>
            </w:pPr>
            <w:r>
              <w:rPr>
                <w:sz w:val="15"/>
              </w:rPr>
              <w:t>Non</w:t>
            </w:r>
            <w:r w:rsidRPr="0060155B">
              <w:rPr>
                <w:sz w:val="15"/>
              </w:rPr>
              <w:noBreakHyphen/>
            </w:r>
            <w:r>
              <w:rPr>
                <w:sz w:val="15"/>
              </w:rPr>
              <w:t>transferable</w:t>
            </w:r>
          </w:p>
        </w:tc>
        <w:tc>
          <w:tcPr>
            <w:tcW w:w="1230" w:type="pct"/>
          </w:tcPr>
          <w:p w14:paraId="5A5DAC74" w14:textId="77777777" w:rsidR="001A500E" w:rsidRPr="00573026" w:rsidRDefault="001A500E" w:rsidP="001F3C85">
            <w:pPr>
              <w:jc w:val="left"/>
              <w:rPr>
                <w:bCs/>
                <w:sz w:val="15"/>
                <w:szCs w:val="15"/>
              </w:rPr>
            </w:pPr>
            <w:r>
              <w:rPr>
                <w:sz w:val="15"/>
              </w:rPr>
              <w:t xml:space="preserve">Decree </w:t>
            </w:r>
            <w:r w:rsidRPr="0060155B">
              <w:rPr>
                <w:sz w:val="15"/>
              </w:rPr>
              <w:t>No. </w:t>
            </w:r>
            <w:r>
              <w:rPr>
                <w:sz w:val="15"/>
              </w:rPr>
              <w:t>565</w:t>
            </w:r>
            <w:r w:rsidRPr="0060155B">
              <w:rPr>
                <w:sz w:val="15"/>
              </w:rPr>
              <w:noBreakHyphen/>
            </w:r>
            <w:r>
              <w:rPr>
                <w:sz w:val="15"/>
              </w:rPr>
              <w:t>11</w:t>
            </w:r>
          </w:p>
        </w:tc>
      </w:tr>
      <w:tr w:rsidR="001A500E" w:rsidRPr="00573026" w14:paraId="40F9D14F" w14:textId="77777777" w:rsidTr="001F3C85">
        <w:trPr>
          <w:cnfStyle w:val="000000010000" w:firstRow="0" w:lastRow="0" w:firstColumn="0" w:lastColumn="0" w:oddVBand="0" w:evenVBand="0" w:oddHBand="0" w:evenHBand="1" w:firstRowFirstColumn="0" w:firstRowLastColumn="0" w:lastRowFirstColumn="0" w:lastRowLastColumn="0"/>
        </w:trPr>
        <w:tc>
          <w:tcPr>
            <w:tcW w:w="1806" w:type="pct"/>
          </w:tcPr>
          <w:p w14:paraId="65773BD0" w14:textId="77777777" w:rsidR="001A500E" w:rsidRPr="00573026" w:rsidRDefault="001A500E" w:rsidP="001F3C85">
            <w:pPr>
              <w:jc w:val="left"/>
              <w:rPr>
                <w:bCs/>
                <w:sz w:val="15"/>
                <w:szCs w:val="15"/>
              </w:rPr>
            </w:pPr>
            <w:r>
              <w:rPr>
                <w:sz w:val="15"/>
              </w:rPr>
              <w:t xml:space="preserve">Fuels </w:t>
            </w:r>
          </w:p>
        </w:tc>
        <w:tc>
          <w:tcPr>
            <w:tcW w:w="1964" w:type="pct"/>
          </w:tcPr>
          <w:p w14:paraId="2A3E9107" w14:textId="77777777" w:rsidR="001A500E" w:rsidRPr="00573026" w:rsidRDefault="001A500E" w:rsidP="001F3C85">
            <w:pPr>
              <w:jc w:val="left"/>
              <w:rPr>
                <w:bCs/>
                <w:sz w:val="15"/>
                <w:szCs w:val="15"/>
              </w:rPr>
            </w:pPr>
            <w:r>
              <w:rPr>
                <w:sz w:val="15"/>
              </w:rPr>
              <w:t>Non</w:t>
            </w:r>
            <w:r w:rsidRPr="0060155B">
              <w:rPr>
                <w:sz w:val="15"/>
              </w:rPr>
              <w:noBreakHyphen/>
            </w:r>
            <w:r>
              <w:rPr>
                <w:sz w:val="15"/>
              </w:rPr>
              <w:t>automatic licences</w:t>
            </w:r>
          </w:p>
          <w:p w14:paraId="3D4E73B0" w14:textId="77777777" w:rsidR="001A500E" w:rsidRPr="00573026" w:rsidRDefault="001A500E" w:rsidP="001F3C85">
            <w:pPr>
              <w:jc w:val="left"/>
              <w:rPr>
                <w:bCs/>
                <w:sz w:val="15"/>
                <w:szCs w:val="15"/>
              </w:rPr>
            </w:pPr>
            <w:r>
              <w:rPr>
                <w:sz w:val="15"/>
              </w:rPr>
              <w:t>Ministry of Industry, Trade and MSMEs</w:t>
            </w:r>
          </w:p>
          <w:p w14:paraId="05B8FEFB" w14:textId="77777777" w:rsidR="001A500E" w:rsidRPr="00573026" w:rsidRDefault="001A500E" w:rsidP="001F3C85">
            <w:pPr>
              <w:jc w:val="left"/>
              <w:rPr>
                <w:bCs/>
                <w:sz w:val="15"/>
                <w:szCs w:val="15"/>
              </w:rPr>
            </w:pPr>
            <w:r>
              <w:rPr>
                <w:sz w:val="15"/>
              </w:rPr>
              <w:t>Purpose</w:t>
            </w:r>
            <w:r w:rsidRPr="0060155B">
              <w:rPr>
                <w:sz w:val="15"/>
              </w:rPr>
              <w:t>: .</w:t>
            </w:r>
            <w:r>
              <w:rPr>
                <w:sz w:val="15"/>
              </w:rPr>
              <w:t>.</w:t>
            </w:r>
          </w:p>
          <w:p w14:paraId="251AA712" w14:textId="77777777" w:rsidR="001A500E" w:rsidRPr="00573026" w:rsidRDefault="001A500E" w:rsidP="001F3C85">
            <w:pPr>
              <w:jc w:val="left"/>
              <w:rPr>
                <w:bCs/>
                <w:sz w:val="15"/>
                <w:szCs w:val="15"/>
              </w:rPr>
            </w:pPr>
            <w:r>
              <w:rPr>
                <w:sz w:val="15"/>
              </w:rPr>
              <w:t>Validity</w:t>
            </w:r>
            <w:r w:rsidRPr="0060155B">
              <w:rPr>
                <w:sz w:val="15"/>
              </w:rPr>
              <w:t>: a</w:t>
            </w:r>
            <w:r>
              <w:rPr>
                <w:sz w:val="15"/>
              </w:rPr>
              <w:t>nnual</w:t>
            </w:r>
          </w:p>
          <w:p w14:paraId="0A8826BF" w14:textId="77777777" w:rsidR="001A500E" w:rsidRPr="00573026" w:rsidRDefault="001A500E" w:rsidP="001F3C85">
            <w:pPr>
              <w:jc w:val="left"/>
              <w:rPr>
                <w:bCs/>
                <w:sz w:val="15"/>
                <w:szCs w:val="15"/>
              </w:rPr>
            </w:pPr>
            <w:r>
              <w:rPr>
                <w:sz w:val="15"/>
              </w:rPr>
              <w:t>Non</w:t>
            </w:r>
            <w:r w:rsidRPr="0060155B">
              <w:rPr>
                <w:sz w:val="15"/>
              </w:rPr>
              <w:noBreakHyphen/>
            </w:r>
            <w:r>
              <w:rPr>
                <w:sz w:val="15"/>
              </w:rPr>
              <w:t>transferable</w:t>
            </w:r>
          </w:p>
        </w:tc>
        <w:tc>
          <w:tcPr>
            <w:tcW w:w="1230" w:type="pct"/>
          </w:tcPr>
          <w:p w14:paraId="2443329F" w14:textId="77777777" w:rsidR="001A500E" w:rsidRPr="00573026" w:rsidRDefault="001A500E" w:rsidP="001F3C85">
            <w:pPr>
              <w:jc w:val="left"/>
              <w:rPr>
                <w:bCs/>
                <w:sz w:val="15"/>
                <w:szCs w:val="15"/>
              </w:rPr>
            </w:pPr>
            <w:r>
              <w:rPr>
                <w:sz w:val="15"/>
              </w:rPr>
              <w:t xml:space="preserve">Law </w:t>
            </w:r>
            <w:r w:rsidRPr="0060155B">
              <w:rPr>
                <w:sz w:val="15"/>
              </w:rPr>
              <w:t>No. </w:t>
            </w:r>
            <w:r>
              <w:rPr>
                <w:sz w:val="15"/>
              </w:rPr>
              <w:t>37</w:t>
            </w:r>
            <w:r w:rsidRPr="0060155B">
              <w:rPr>
                <w:sz w:val="15"/>
              </w:rPr>
              <w:noBreakHyphen/>
            </w:r>
            <w:r>
              <w:rPr>
                <w:sz w:val="15"/>
              </w:rPr>
              <w:t>17</w:t>
            </w:r>
          </w:p>
        </w:tc>
      </w:tr>
    </w:tbl>
    <w:p w14:paraId="4ADF8B7B" w14:textId="77777777" w:rsidR="001A500E" w:rsidRPr="006420F6" w:rsidRDefault="001A500E" w:rsidP="00E439A9">
      <w:pPr>
        <w:pStyle w:val="NoteText"/>
        <w:spacing w:before="120"/>
      </w:pPr>
      <w:r>
        <w:t>..</w:t>
      </w:r>
      <w:r>
        <w:tab/>
        <w:t>Not available.</w:t>
      </w:r>
    </w:p>
    <w:p w14:paraId="7CF6C7F8" w14:textId="77777777" w:rsidR="001A500E" w:rsidRPr="006420F6" w:rsidRDefault="001A500E" w:rsidP="00E439A9">
      <w:pPr>
        <w:pStyle w:val="NoteText"/>
        <w:spacing w:before="120"/>
        <w:rPr>
          <w:bCs/>
        </w:rPr>
      </w:pPr>
      <w:r>
        <w:t>a</w:t>
      </w:r>
      <w:r>
        <w:tab/>
        <w:t>Granted to armouries and companies authorized to import explosives and chemical substances.</w:t>
      </w:r>
    </w:p>
    <w:p w14:paraId="22627094" w14:textId="77777777" w:rsidR="001A500E" w:rsidRDefault="001A500E" w:rsidP="00E439A9">
      <w:pPr>
        <w:pStyle w:val="NoteText"/>
      </w:pPr>
      <w:r>
        <w:t>b</w:t>
      </w:r>
      <w:r>
        <w:tab/>
        <w:t>Granted to persons requesting authorization to import explosives.</w:t>
      </w:r>
    </w:p>
    <w:p w14:paraId="35859E6E" w14:textId="77777777" w:rsidR="001A500E" w:rsidRDefault="001A500E" w:rsidP="00E439A9">
      <w:pPr>
        <w:pStyle w:val="NoteText"/>
        <w:spacing w:before="120" w:after="240"/>
      </w:pPr>
      <w:r>
        <w:t>Source:</w:t>
      </w:r>
      <w:r>
        <w:tab/>
        <w:t xml:space="preserve">WTO document G/LIC/N/3/DOM/8, </w:t>
      </w:r>
      <w:r w:rsidRPr="0060155B">
        <w:t>2 February 2</w:t>
      </w:r>
      <w:r>
        <w:t>016</w:t>
      </w:r>
      <w:r w:rsidRPr="0060155B">
        <w:t>; a</w:t>
      </w:r>
      <w:r>
        <w:t>nd information provided by the authorities.</w:t>
      </w:r>
    </w:p>
    <w:p w14:paraId="621BB26F" w14:textId="77777777" w:rsidR="001A500E" w:rsidRPr="007C74EF" w:rsidRDefault="001A500E" w:rsidP="00574469">
      <w:pPr>
        <w:pStyle w:val="Heading3"/>
      </w:pPr>
      <w:bookmarkStart w:id="175" w:name="_Toc117260624"/>
      <w:r>
        <w:lastRenderedPageBreak/>
        <w:t>Anti</w:t>
      </w:r>
      <w:r w:rsidRPr="0060155B">
        <w:noBreakHyphen/>
      </w:r>
      <w:r>
        <w:t>dumping, countervailing and safeguard measures</w:t>
      </w:r>
      <w:r>
        <w:rPr>
          <w:rStyle w:val="FootnoteReference"/>
        </w:rPr>
        <w:footnoteReference w:id="147"/>
      </w:r>
      <w:bookmarkEnd w:id="175"/>
    </w:p>
    <w:p w14:paraId="5B99294F" w14:textId="77777777" w:rsidR="001A500E" w:rsidRPr="006420F6" w:rsidRDefault="001A500E" w:rsidP="00574469">
      <w:pPr>
        <w:pStyle w:val="BodyText"/>
      </w:pPr>
      <w:r>
        <w:t>In the Dominican Republic, the use and application of anti</w:t>
      </w:r>
      <w:r w:rsidRPr="0060155B">
        <w:noBreakHyphen/>
      </w:r>
      <w:r>
        <w:t xml:space="preserve">dumping, countervailing and safeguard measures are governed by Law </w:t>
      </w:r>
      <w:r w:rsidRPr="0060155B">
        <w:t>No. </w:t>
      </w:r>
      <w:r>
        <w:t>1</w:t>
      </w:r>
      <w:r w:rsidRPr="0060155B">
        <w:noBreakHyphen/>
      </w:r>
      <w:r>
        <w:t>02</w:t>
      </w:r>
      <w:r>
        <w:rPr>
          <w:rStyle w:val="FootnoteReference"/>
        </w:rPr>
        <w:footnoteReference w:id="148"/>
      </w:r>
      <w:r>
        <w:t xml:space="preserve"> and its implementing regulations of 2015</w:t>
      </w:r>
      <w:r>
        <w:rPr>
          <w:rStyle w:val="FootnoteReference"/>
        </w:rPr>
        <w:footnoteReference w:id="149"/>
      </w:r>
      <w:r>
        <w:t>, which repealed the implementing regulations of 2008</w:t>
      </w:r>
      <w:r>
        <w:rPr>
          <w:rStyle w:val="FootnoteReference"/>
        </w:rPr>
        <w:footnoteReference w:id="150"/>
      </w:r>
      <w:r>
        <w:t>, and by the relevant WTO Agreements</w:t>
      </w:r>
      <w:r w:rsidRPr="0060155B">
        <w:t>. A</w:t>
      </w:r>
      <w:r>
        <w:t>ccording to the authorities, the most significant changes in trade defence policy during the period under review were the introduction of provisions for sunset and changed circumstances reviews and of a procedure for determining whether circumvention practices are taking place</w:t>
      </w:r>
      <w:r w:rsidRPr="0060155B">
        <w:t>. M</w:t>
      </w:r>
      <w:r>
        <w:t>oreover, special services were created for the defence of domestic producers, such as the Trade Defence Information and Support System (</w:t>
      </w:r>
      <w:proofErr w:type="spellStart"/>
      <w:r>
        <w:t>SIADEC</w:t>
      </w:r>
      <w:proofErr w:type="spellEnd"/>
      <w:r>
        <w:t>) and the Early Warning and Monitoring System (SAT).</w:t>
      </w:r>
      <w:r>
        <w:rPr>
          <w:rStyle w:val="FootnoteReference"/>
        </w:rPr>
        <w:footnoteReference w:id="151"/>
      </w:r>
    </w:p>
    <w:p w14:paraId="1DD2A580" w14:textId="77777777" w:rsidR="001A500E" w:rsidRPr="006420F6" w:rsidRDefault="001A500E" w:rsidP="00574469">
      <w:pPr>
        <w:pStyle w:val="BodyText"/>
      </w:pPr>
      <w:r>
        <w:t>The Regulatory Commission on Unfair Trade Practices and Safeguard Measures, also known as the Trade Defence Commission (CDC), continues to be the competent national authority responsible for conducting investigations into unfair trade practices and for deciding on the application of anti</w:t>
      </w:r>
      <w:r w:rsidRPr="0060155B">
        <w:noBreakHyphen/>
      </w:r>
      <w:r>
        <w:t>dumping, countervailing or safeguard measures.</w:t>
      </w:r>
      <w:r>
        <w:rPr>
          <w:rStyle w:val="FootnoteReference"/>
        </w:rPr>
        <w:footnoteReference w:id="152"/>
      </w:r>
    </w:p>
    <w:p w14:paraId="3523E542" w14:textId="77777777" w:rsidR="001A500E" w:rsidRPr="006420F6" w:rsidRDefault="001A500E" w:rsidP="00574469">
      <w:pPr>
        <w:pStyle w:val="BodyText"/>
      </w:pPr>
      <w:r>
        <w:t>It is the responsibility of the CDC to accept or reject, through a reasoned decision, the petition to initiate an investigation into unfair trade practices, and in the case of an unforeseen increase in imports, the petition for a safeguards investigation</w:t>
      </w:r>
      <w:r w:rsidRPr="0060155B">
        <w:t>. T</w:t>
      </w:r>
      <w:r>
        <w:t xml:space="preserve">he CDC may also initiate an investigation </w:t>
      </w:r>
      <w:r w:rsidRPr="006464A1">
        <w:rPr>
          <w:i/>
          <w:iCs/>
        </w:rPr>
        <w:t>ex</w:t>
      </w:r>
      <w:r>
        <w:rPr>
          <w:i/>
          <w:iCs/>
        </w:rPr>
        <w:t> </w:t>
      </w:r>
      <w:r w:rsidRPr="006464A1">
        <w:rPr>
          <w:i/>
          <w:iCs/>
        </w:rPr>
        <w:t>officio</w:t>
      </w:r>
      <w:r w:rsidRPr="0060155B">
        <w:t>. A</w:t>
      </w:r>
      <w:r>
        <w:t>fter the investigation, carried out by its Investigations Department, the CDC determines whether it is necessary to apply anti</w:t>
      </w:r>
      <w:r w:rsidRPr="0060155B">
        <w:noBreakHyphen/>
      </w:r>
      <w:r>
        <w:t>dumping duties, countervailing duties or safeguard measures, as appropriate in each case</w:t>
      </w:r>
      <w:r w:rsidRPr="0060155B">
        <w:t>. T</w:t>
      </w:r>
      <w:r>
        <w:t>he parties may file an appeal for reconsideration within 30 working days from the date of publication of the decision to be appealed, so that the investigating authority may review its decision and rectify its errors (if any).</w:t>
      </w:r>
      <w:r>
        <w:rPr>
          <w:rStyle w:val="FootnoteReference"/>
        </w:rPr>
        <w:footnoteReference w:id="153"/>
      </w:r>
    </w:p>
    <w:p w14:paraId="3D1EF2F0" w14:textId="77777777" w:rsidR="001A500E" w:rsidRPr="006420F6" w:rsidRDefault="001A500E" w:rsidP="00574469">
      <w:pPr>
        <w:pStyle w:val="BodyText"/>
      </w:pPr>
      <w:r>
        <w:t>The DGA is the government entity empowered to apply and collect the resources corresponding to the corrective trade remedies resulting from investigations undertaken by the CDC</w:t>
      </w:r>
      <w:r w:rsidRPr="0060155B">
        <w:t>. C</w:t>
      </w:r>
      <w:r>
        <w:t>ircumvention of anti</w:t>
      </w:r>
      <w:r w:rsidRPr="0060155B">
        <w:noBreakHyphen/>
      </w:r>
      <w:r>
        <w:t xml:space="preserve">dumping, countervailing or safeguard measures, whether preliminary or final, shall be determined through a special procedure initiated </w:t>
      </w:r>
      <w:r w:rsidRPr="00472DD1">
        <w:rPr>
          <w:i/>
          <w:iCs/>
        </w:rPr>
        <w:t>ex officio</w:t>
      </w:r>
      <w:r>
        <w:t xml:space="preserve"> by the CDC or at the request of or on behalf of the domestic industry</w:t>
      </w:r>
      <w:r w:rsidRPr="0060155B">
        <w:t>. P</w:t>
      </w:r>
      <w:r>
        <w:t>roducts imported by evading one of these measures shall be subject to the retroactive payment of the total value of the measure.</w:t>
      </w:r>
    </w:p>
    <w:p w14:paraId="675AB27C" w14:textId="77777777" w:rsidR="001A500E" w:rsidRPr="006420F6" w:rsidRDefault="001A500E" w:rsidP="00574469">
      <w:pPr>
        <w:pStyle w:val="BodyText"/>
      </w:pPr>
      <w:r>
        <w:t>Decisions made by the CDC regarding anti</w:t>
      </w:r>
      <w:r w:rsidRPr="0060155B">
        <w:noBreakHyphen/>
      </w:r>
      <w:r>
        <w:t xml:space="preserve">dumping duties and countervailing and safeguard measures may be appealed before the High Administrative Court within 30 days of their notification (Article 230 of the implementing regulations for Law </w:t>
      </w:r>
      <w:r w:rsidRPr="0060155B">
        <w:t>No. </w:t>
      </w:r>
      <w:r>
        <w:t>1</w:t>
      </w:r>
      <w:r w:rsidRPr="0060155B">
        <w:noBreakHyphen/>
      </w:r>
      <w:r>
        <w:t>02).</w:t>
      </w:r>
    </w:p>
    <w:p w14:paraId="1D7E1BF6" w14:textId="77777777" w:rsidR="001A500E" w:rsidRPr="006420F6" w:rsidRDefault="001A500E" w:rsidP="00646A41">
      <w:pPr>
        <w:pStyle w:val="Heading4"/>
        <w:numPr>
          <w:ilvl w:val="3"/>
          <w:numId w:val="31"/>
        </w:numPr>
      </w:pPr>
      <w:bookmarkStart w:id="176" w:name="_Toc117260625"/>
      <w:r>
        <w:t>Anti</w:t>
      </w:r>
      <w:r w:rsidRPr="0060155B">
        <w:noBreakHyphen/>
      </w:r>
      <w:r>
        <w:t>dumping and countervailing measures</w:t>
      </w:r>
      <w:bookmarkEnd w:id="176"/>
    </w:p>
    <w:p w14:paraId="0A0368D7" w14:textId="77777777" w:rsidR="001A500E" w:rsidRPr="006420F6" w:rsidRDefault="001A500E" w:rsidP="00574469">
      <w:pPr>
        <w:pStyle w:val="BodyText"/>
      </w:pPr>
      <w:r>
        <w:t>The investigation procedures for determining whether anti</w:t>
      </w:r>
      <w:r w:rsidRPr="0060155B">
        <w:noBreakHyphen/>
      </w:r>
      <w:r>
        <w:t>dumping or countervailing duties are required have not changed substantially since the last review (Chart 3.2)</w:t>
      </w:r>
      <w:r w:rsidRPr="0060155B">
        <w:t>. T</w:t>
      </w:r>
      <w:r>
        <w:t xml:space="preserve">hese investigations may be initiated pursuant to a written petition addressed to the CDC by or on behalf of a domestic industry, or </w:t>
      </w:r>
      <w:r w:rsidRPr="006464A1">
        <w:rPr>
          <w:i/>
          <w:iCs/>
        </w:rPr>
        <w:t>ex officio</w:t>
      </w:r>
      <w:r>
        <w:t xml:space="preserve"> by the CDC</w:t>
      </w:r>
      <w:r w:rsidRPr="0060155B">
        <w:t>. D</w:t>
      </w:r>
      <w:r>
        <w:t>uring the investigation, all the interested parties may defend their interests, present evidence and state their views</w:t>
      </w:r>
      <w:r w:rsidRPr="0060155B">
        <w:t>. T</w:t>
      </w:r>
      <w:r>
        <w:t>he initiation of an investigation procedure shall not hinder customs clearance</w:t>
      </w:r>
      <w:r w:rsidRPr="0060155B">
        <w:t>. T</w:t>
      </w:r>
      <w:r>
        <w:t>he CDC seeks to conclude investigations within six months of their initiation, or within a maximum of 18 months</w:t>
      </w:r>
      <w:r w:rsidRPr="0060155B">
        <w:t>. T</w:t>
      </w:r>
      <w:r>
        <w:t>he investigation must demonstrate that dumping or subsidies are causing injury</w:t>
      </w:r>
      <w:r w:rsidRPr="0060155B">
        <w:t>. T</w:t>
      </w:r>
      <w:r>
        <w:t>he demonstration of a causal relationship shall be based on an examination of all relevant evidence</w:t>
      </w:r>
      <w:r w:rsidRPr="0060155B">
        <w:t>. O</w:t>
      </w:r>
      <w:r>
        <w:t>nce the investigation has been completed, the CDC shall publish the final determination, whether affirmative or negative</w:t>
      </w:r>
      <w:r w:rsidRPr="0060155B">
        <w:t>. A</w:t>
      </w:r>
      <w:r>
        <w:t>n investigation may be terminated when there is insufficient evidence of dumping or the existence of subsidies, injury or causal link to justify proceeding with the case.</w:t>
      </w:r>
    </w:p>
    <w:p w14:paraId="3FD9A39F" w14:textId="77777777" w:rsidR="001A500E" w:rsidRPr="006420F6" w:rsidRDefault="001A500E" w:rsidP="00B900E5">
      <w:pPr>
        <w:pStyle w:val="Caption"/>
      </w:pPr>
      <w:bookmarkStart w:id="177" w:name="_Toc117238017"/>
      <w:r>
        <w:lastRenderedPageBreak/>
        <w:t xml:space="preserve">Chart </w:t>
      </w:r>
      <w:r w:rsidR="00BD37F2">
        <w:fldChar w:fldCharType="begin"/>
      </w:r>
      <w:r w:rsidR="00BD37F2">
        <w:instrText xml:space="preserve"> STYLEREF 1 \s </w:instrText>
      </w:r>
      <w:r w:rsidR="00BD37F2">
        <w:fldChar w:fldCharType="separate"/>
      </w:r>
      <w:r>
        <w:rPr>
          <w:noProof/>
        </w:rPr>
        <w:t>3</w:t>
      </w:r>
      <w:r w:rsidR="00BD37F2">
        <w:rPr>
          <w:noProof/>
        </w:rPr>
        <w:fldChar w:fldCharType="end"/>
      </w:r>
      <w:r>
        <w:t>.</w:t>
      </w:r>
      <w:r w:rsidR="00BD37F2">
        <w:fldChar w:fldCharType="begin"/>
      </w:r>
      <w:r w:rsidR="00BD37F2">
        <w:instrText xml:space="preserve"> SEQ Chart \* ARABIC \s 1 </w:instrText>
      </w:r>
      <w:r w:rsidR="00BD37F2">
        <w:fldChar w:fldCharType="separate"/>
      </w:r>
      <w:r>
        <w:rPr>
          <w:noProof/>
        </w:rPr>
        <w:t>2</w:t>
      </w:r>
      <w:r w:rsidR="00BD37F2">
        <w:rPr>
          <w:noProof/>
        </w:rPr>
        <w:fldChar w:fldCharType="end"/>
      </w:r>
      <w:r>
        <w:t xml:space="preserve"> Anti</w:t>
      </w:r>
      <w:r w:rsidRPr="0060155B">
        <w:noBreakHyphen/>
      </w:r>
      <w:r>
        <w:t>dumping and anti</w:t>
      </w:r>
      <w:r w:rsidRPr="0060155B">
        <w:noBreakHyphen/>
      </w:r>
      <w:r>
        <w:t>subsidy investigations and adoption of measures, 2022</w:t>
      </w:r>
      <w:bookmarkEnd w:id="177"/>
    </w:p>
    <w:p w14:paraId="1B66E85A" w14:textId="77777777" w:rsidR="001A500E" w:rsidRDefault="001A500E" w:rsidP="003E6940">
      <w:r w:rsidRPr="003E6940">
        <w:rPr>
          <w:noProof/>
        </w:rPr>
        <w:drawing>
          <wp:inline distT="0" distB="0" distL="0" distR="0" wp14:anchorId="6045B6F3" wp14:editId="6D886E07">
            <wp:extent cx="5730295" cy="2562934"/>
            <wp:effectExtent l="0" t="0" r="3810" b="8890"/>
            <wp:docPr id="287" name="Picture 2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8"/>
                    <a:srcRect t="2359" b="2340"/>
                    <a:stretch/>
                  </pic:blipFill>
                  <pic:spPr bwMode="auto">
                    <a:xfrm>
                      <a:off x="0" y="0"/>
                      <a:ext cx="5731510" cy="2563478"/>
                    </a:xfrm>
                    <a:prstGeom prst="rect">
                      <a:avLst/>
                    </a:prstGeom>
                    <a:ln>
                      <a:noFill/>
                    </a:ln>
                    <a:extLst>
                      <a:ext uri="{53640926-AAD7-44D8-BBD7-CCE9431645EC}">
                        <a14:shadowObscured xmlns:a14="http://schemas.microsoft.com/office/drawing/2010/main"/>
                      </a:ext>
                    </a:extLst>
                  </pic:spPr>
                </pic:pic>
              </a:graphicData>
            </a:graphic>
          </wp:inline>
        </w:drawing>
      </w:r>
    </w:p>
    <w:p w14:paraId="55EC7326" w14:textId="77777777" w:rsidR="001A500E" w:rsidRPr="006420F6" w:rsidRDefault="001A500E" w:rsidP="00E439A9">
      <w:pPr>
        <w:pStyle w:val="NoteText"/>
        <w:spacing w:before="120"/>
      </w:pPr>
      <w:proofErr w:type="spellStart"/>
      <w:r>
        <w:t>a</w:t>
      </w:r>
      <w:proofErr w:type="spellEnd"/>
      <w:r>
        <w:tab/>
        <w:t xml:space="preserve">The CDC may undertake </w:t>
      </w:r>
      <w:r w:rsidRPr="006464A1">
        <w:rPr>
          <w:i/>
          <w:iCs/>
        </w:rPr>
        <w:t>ex officio</w:t>
      </w:r>
      <w:r>
        <w:t xml:space="preserve"> investigations when domestic production is highly fragmented and thus not organized, or when the national interest is at stake.</w:t>
      </w:r>
    </w:p>
    <w:p w14:paraId="6B0A6A52" w14:textId="77777777" w:rsidR="001A500E" w:rsidRPr="007C74EF" w:rsidRDefault="001A500E" w:rsidP="00E439A9">
      <w:pPr>
        <w:pStyle w:val="NoteText"/>
      </w:pPr>
      <w:r>
        <w:t>b</w:t>
      </w:r>
      <w:r>
        <w:tab/>
        <w:t>The CDC may apply provisional measures once 60 days have elapsed since the initiation of the investigation.</w:t>
      </w:r>
    </w:p>
    <w:p w14:paraId="099DACC0" w14:textId="77777777" w:rsidR="001A500E" w:rsidRPr="006420F6" w:rsidRDefault="001A500E" w:rsidP="00E439A9">
      <w:pPr>
        <w:pStyle w:val="NoteText"/>
      </w:pPr>
      <w:r>
        <w:t>c</w:t>
      </w:r>
      <w:r>
        <w:tab/>
        <w:t>The exporter or the authorities of the exporting country/territory voluntarily agree to revise prices or eliminate/limit subsidies.</w:t>
      </w:r>
    </w:p>
    <w:p w14:paraId="00F8F707" w14:textId="77777777" w:rsidR="001A500E" w:rsidRPr="006420F6" w:rsidRDefault="001A500E" w:rsidP="00E439A9">
      <w:pPr>
        <w:pStyle w:val="NoteText"/>
        <w:spacing w:before="120" w:after="240"/>
      </w:pPr>
      <w:r>
        <w:t>Source:</w:t>
      </w:r>
      <w:r>
        <w:tab/>
        <w:t xml:space="preserve">WTO Secretariat, based on Law </w:t>
      </w:r>
      <w:r w:rsidRPr="0060155B">
        <w:t>No. </w:t>
      </w:r>
      <w:r>
        <w:t>1</w:t>
      </w:r>
      <w:r w:rsidRPr="0060155B">
        <w:noBreakHyphen/>
      </w:r>
      <w:r>
        <w:t>02.</w:t>
      </w:r>
    </w:p>
    <w:p w14:paraId="6A2980A3" w14:textId="77777777" w:rsidR="001A500E" w:rsidRPr="006420F6" w:rsidRDefault="001A500E" w:rsidP="00574469">
      <w:pPr>
        <w:pStyle w:val="BodyText"/>
      </w:pPr>
      <w:r>
        <w:t>Definitive anti</w:t>
      </w:r>
      <w:r w:rsidRPr="0060155B">
        <w:noBreakHyphen/>
      </w:r>
      <w:r>
        <w:t>dumping duties are set at a level equal to or lower than the margin of dumping if that lower duty is enough to eliminate the injury</w:t>
      </w:r>
      <w:r w:rsidRPr="0060155B">
        <w:t>. F</w:t>
      </w:r>
      <w:r>
        <w:t>urthermore, a countervailing duty cannot be higher than the subsidy rate, but it can be lower than the subsidy if it would be sufficient to eliminate the injury caused to the domestic industry</w:t>
      </w:r>
      <w:r w:rsidRPr="0060155B">
        <w:t>. A</w:t>
      </w:r>
      <w:r>
        <w:t>nti</w:t>
      </w:r>
      <w:r w:rsidRPr="0060155B">
        <w:noBreakHyphen/>
      </w:r>
      <w:r>
        <w:t>dumping and countervailing duties may remain in force as long as and to the extent necessary to counteract the injury caused, and any definitive duty must be terminated on a date not later than five years from its imposition or from the date of the most recent review.</w:t>
      </w:r>
    </w:p>
    <w:p w14:paraId="5538D6CA" w14:textId="77777777" w:rsidR="001A500E" w:rsidRPr="006420F6" w:rsidRDefault="001A500E" w:rsidP="00574469">
      <w:pPr>
        <w:pStyle w:val="BodyText"/>
      </w:pPr>
      <w:r>
        <w:t>The CDC may accept price undertakings (Chart 3.2)</w:t>
      </w:r>
      <w:r w:rsidRPr="0060155B">
        <w:t>. I</w:t>
      </w:r>
      <w:r>
        <w:t>f an undertaking is accepted, the CDC shall nevertheless complete the investigation if the exporting country so desires or the CDC so decides</w:t>
      </w:r>
      <w:r w:rsidRPr="0060155B">
        <w:t>. I</w:t>
      </w:r>
      <w:r>
        <w:t>n this case, should the CDC make a negative determination with respect to dumping, subsidy or injury, the undertaking shall automatically lapse, except in cases where such a determination is due in large part to the existence of such an undertaking</w:t>
      </w:r>
      <w:r w:rsidRPr="0060155B">
        <w:t>. I</w:t>
      </w:r>
      <w:r>
        <w:t>n those cases, the CDC may require that an undertaking be maintained for a reasonable period of time</w:t>
      </w:r>
      <w:r w:rsidRPr="0060155B">
        <w:t>.</w:t>
      </w:r>
      <w:r w:rsidRPr="0060155B">
        <w:rPr>
          <w:rStyle w:val="FootnoteReference"/>
          <w:color w:val="000000"/>
        </w:rPr>
        <w:footnoteReference w:id="154"/>
      </w:r>
      <w:r w:rsidRPr="0060155B">
        <w:t xml:space="preserve"> I</w:t>
      </w:r>
      <w:r>
        <w:t>f a positive determination is made with respect to dumping or subsidy and injury, the undertaking shall be upheld.</w:t>
      </w:r>
    </w:p>
    <w:p w14:paraId="0094E611" w14:textId="77777777" w:rsidR="001A500E" w:rsidRPr="006420F6" w:rsidRDefault="001A500E" w:rsidP="00574469">
      <w:pPr>
        <w:pStyle w:val="BodyText"/>
      </w:pPr>
      <w:r>
        <w:t>Eight months before the termination of anti</w:t>
      </w:r>
      <w:r w:rsidRPr="0060155B">
        <w:noBreakHyphen/>
      </w:r>
      <w:r>
        <w:t>dumping or countervailing duties, the CDC may</w:t>
      </w:r>
      <w:r w:rsidRPr="007D38B6">
        <w:t xml:space="preserve"> </w:t>
      </w:r>
      <w:r>
        <w:t xml:space="preserve">undertake, </w:t>
      </w:r>
      <w:r w:rsidRPr="006464A1">
        <w:rPr>
          <w:i/>
          <w:iCs/>
        </w:rPr>
        <w:t>ex officio</w:t>
      </w:r>
      <w:r>
        <w:t xml:space="preserve"> or upon request, a sunset review to assess the need to uphold the definitive duties</w:t>
      </w:r>
      <w:r w:rsidRPr="0060155B">
        <w:t>. I</w:t>
      </w:r>
      <w:r>
        <w:t>n conducting this type of review, the CDC has to examine whether the injury and dumping would be likely to continue or recur if the duty were removed or varied, or both</w:t>
      </w:r>
      <w:r w:rsidRPr="0060155B">
        <w:t>. I</w:t>
      </w:r>
      <w:r>
        <w:t>f the CDC determines that the duty is no longer warranted, it shall be terminated immediately.</w:t>
      </w:r>
    </w:p>
    <w:p w14:paraId="6B4AD61E" w14:textId="77777777" w:rsidR="001A500E" w:rsidRPr="006420F6" w:rsidRDefault="001A500E" w:rsidP="00574469">
      <w:pPr>
        <w:pStyle w:val="BodyText"/>
      </w:pPr>
      <w:r>
        <w:t>After a period of at least 12 months has elapsed from the completion of the investigation, the CDC may also consider whether the definitive anti</w:t>
      </w:r>
      <w:r w:rsidRPr="0060155B">
        <w:noBreakHyphen/>
      </w:r>
      <w:r>
        <w:t>dumping or countervailing duties in force should be upheld or varied, provided that there is sufficient evidence of a significant change in circumstances</w:t>
      </w:r>
      <w:r w:rsidRPr="0060155B">
        <w:t>. I</w:t>
      </w:r>
      <w:r>
        <w:t>f, as a result of this review, it is determined that the duty applied is not warranted, the definitive duties shall be revoked</w:t>
      </w:r>
      <w:r w:rsidRPr="0060155B">
        <w:t>. S</w:t>
      </w:r>
      <w:r>
        <w:t xml:space="preserve">imilarly, if the review finds different margins of dumping or </w:t>
      </w:r>
      <w:r>
        <w:lastRenderedPageBreak/>
        <w:t>subsidy amounts from those determined in the initial investigation, the definitive duties may be varied and the new duties would become definitive.</w:t>
      </w:r>
    </w:p>
    <w:p w14:paraId="310522BA" w14:textId="77777777" w:rsidR="001A500E" w:rsidRPr="007C74EF" w:rsidRDefault="001A500E" w:rsidP="00574469">
      <w:pPr>
        <w:pStyle w:val="BodyText"/>
        <w:rPr>
          <w:szCs w:val="18"/>
        </w:rPr>
      </w:pPr>
      <w:r>
        <w:t>During the period 2015</w:t>
      </w:r>
      <w:r w:rsidRPr="0060155B">
        <w:noBreakHyphen/>
      </w:r>
      <w:r>
        <w:t>21, the Dominican Republic initiated two anti</w:t>
      </w:r>
      <w:r w:rsidRPr="0060155B">
        <w:noBreakHyphen/>
      </w:r>
      <w:r>
        <w:t>dumping investigations relating to steel rods from China and Costa Rica (Table 3.9)</w:t>
      </w:r>
      <w:r w:rsidRPr="0060155B">
        <w:t>. T</w:t>
      </w:r>
      <w:r>
        <w:t>he investigations were concluded in 2017 and 2019, respectively, and in both cases, definitive anti</w:t>
      </w:r>
      <w:r w:rsidRPr="0060155B">
        <w:noBreakHyphen/>
      </w:r>
      <w:r>
        <w:t>dumping duties of 43 and 15 percentage points, respectively,</w:t>
      </w:r>
      <w:r w:rsidDel="002416F6">
        <w:t xml:space="preserve"> </w:t>
      </w:r>
      <w:r>
        <w:t>were imposed in addition to the MFN rate</w:t>
      </w:r>
      <w:r w:rsidRPr="0060155B">
        <w:t>.</w:t>
      </w:r>
      <w:r w:rsidRPr="0060155B">
        <w:rPr>
          <w:rStyle w:val="FootnoteReference"/>
        </w:rPr>
        <w:footnoteReference w:id="155"/>
      </w:r>
      <w:r w:rsidRPr="0060155B">
        <w:t xml:space="preserve"> T</w:t>
      </w:r>
      <w:r>
        <w:t>he Dominican Republic initiated three sunset reviews of the anti</w:t>
      </w:r>
      <w:r w:rsidRPr="0060155B">
        <w:noBreakHyphen/>
      </w:r>
      <w:r>
        <w:t xml:space="preserve">dumping duties in force for steel rods from </w:t>
      </w:r>
      <w:proofErr w:type="spellStart"/>
      <w:r>
        <w:t>Türkiye</w:t>
      </w:r>
      <w:proofErr w:type="spellEnd"/>
      <w:r>
        <w:t xml:space="preserve"> and China</w:t>
      </w:r>
      <w:r w:rsidRPr="0060155B">
        <w:t>. T</w:t>
      </w:r>
      <w:r>
        <w:t xml:space="preserve">wo of these reviews were conducted for imports of rods from </w:t>
      </w:r>
      <w:proofErr w:type="spellStart"/>
      <w:r>
        <w:t>Türkiye</w:t>
      </w:r>
      <w:proofErr w:type="spellEnd"/>
      <w:r>
        <w:t>, with both resulting in the renewal of the anti</w:t>
      </w:r>
      <w:r w:rsidRPr="0060155B">
        <w:noBreakHyphen/>
      </w:r>
      <w:r>
        <w:t>dumping duties for an additional period of five years</w:t>
      </w:r>
      <w:r w:rsidRPr="0060155B">
        <w:t>. T</w:t>
      </w:r>
      <w:r>
        <w:t>he sunset review of the anti</w:t>
      </w:r>
      <w:r w:rsidRPr="0060155B">
        <w:noBreakHyphen/>
      </w:r>
      <w:r>
        <w:t>dumping measure on imports of rods from China also resulted in the renewal of the anti</w:t>
      </w:r>
      <w:r w:rsidRPr="0060155B">
        <w:noBreakHyphen/>
      </w:r>
      <w:r>
        <w:t>dumping duties for an additional period of five years</w:t>
      </w:r>
      <w:r w:rsidRPr="0060155B">
        <w:t>.</w:t>
      </w:r>
      <w:r w:rsidRPr="0060155B">
        <w:rPr>
          <w:rStyle w:val="FootnoteReference"/>
        </w:rPr>
        <w:footnoteReference w:id="156"/>
      </w:r>
      <w:r w:rsidRPr="0060155B">
        <w:t xml:space="preserve"> I</w:t>
      </w:r>
      <w:r>
        <w:t>n 2019, an anti</w:t>
      </w:r>
      <w:r w:rsidRPr="0060155B">
        <w:noBreakHyphen/>
      </w:r>
      <w:r>
        <w:t>dumping measure on steel rods and bars for concrete reinforcement originating in Spain expired.</w:t>
      </w:r>
    </w:p>
    <w:p w14:paraId="2D121941" w14:textId="77777777" w:rsidR="001A500E" w:rsidRPr="006420F6" w:rsidRDefault="001A500E" w:rsidP="00B900E5">
      <w:pPr>
        <w:pStyle w:val="Caption"/>
      </w:pPr>
      <w:bookmarkStart w:id="178" w:name="_Toc117238042"/>
      <w:r>
        <w:t xml:space="preserve">Table </w:t>
      </w:r>
      <w:r w:rsidR="00BD37F2">
        <w:fldChar w:fldCharType="begin"/>
      </w:r>
      <w:r w:rsidR="00BD37F2">
        <w:instrText xml:space="preserve"> STYLEREF 1 \s </w:instrText>
      </w:r>
      <w:r w:rsidR="00BD37F2">
        <w:fldChar w:fldCharType="separate"/>
      </w:r>
      <w:r>
        <w:rPr>
          <w:noProof/>
        </w:rPr>
        <w:t>3</w:t>
      </w:r>
      <w:r w:rsidR="00BD37F2">
        <w:rPr>
          <w:noProof/>
        </w:rPr>
        <w:fldChar w:fldCharType="end"/>
      </w:r>
      <w:r>
        <w:t>.</w:t>
      </w:r>
      <w:r w:rsidR="00BD37F2">
        <w:fldChar w:fldCharType="begin"/>
      </w:r>
      <w:r w:rsidR="00BD37F2">
        <w:instrText xml:space="preserve"> SEQ Table \* ARABIC \s 1 </w:instrText>
      </w:r>
      <w:r w:rsidR="00BD37F2">
        <w:fldChar w:fldCharType="separate"/>
      </w:r>
      <w:r>
        <w:rPr>
          <w:noProof/>
        </w:rPr>
        <w:t>9</w:t>
      </w:r>
      <w:r w:rsidR="00BD37F2">
        <w:rPr>
          <w:noProof/>
        </w:rPr>
        <w:fldChar w:fldCharType="end"/>
      </w:r>
      <w:r>
        <w:t xml:space="preserve"> Anti</w:t>
      </w:r>
      <w:r w:rsidRPr="0060155B">
        <w:noBreakHyphen/>
      </w:r>
      <w:r>
        <w:t>dumping investigations initiated and measures adopted, 2015</w:t>
      </w:r>
      <w:r w:rsidRPr="0060155B">
        <w:noBreakHyphen/>
      </w:r>
      <w:r>
        <w:t>21</w:t>
      </w:r>
      <w:bookmarkEnd w:id="178"/>
    </w:p>
    <w:tbl>
      <w:tblPr>
        <w:tblW w:w="5000" w:type="pct"/>
        <w:tblBorders>
          <w:top w:val="single" w:sz="4" w:space="0" w:color="auto"/>
          <w:left w:val="single" w:sz="4" w:space="0" w:color="auto"/>
          <w:bottom w:val="single" w:sz="4" w:space="0" w:color="auto"/>
          <w:right w:val="single" w:sz="4" w:space="0" w:color="auto"/>
          <w:insideV w:val="single" w:sz="4" w:space="0" w:color="auto"/>
        </w:tblBorders>
        <w:tblLayout w:type="fixed"/>
        <w:tblLook w:val="04A0" w:firstRow="1" w:lastRow="0" w:firstColumn="1" w:lastColumn="0" w:noHBand="0" w:noVBand="1"/>
      </w:tblPr>
      <w:tblGrid>
        <w:gridCol w:w="1698"/>
        <w:gridCol w:w="920"/>
        <w:gridCol w:w="914"/>
        <w:gridCol w:w="914"/>
        <w:gridCol w:w="914"/>
        <w:gridCol w:w="914"/>
        <w:gridCol w:w="914"/>
        <w:gridCol w:w="914"/>
        <w:gridCol w:w="914"/>
      </w:tblGrid>
      <w:tr w:rsidR="001A500E" w:rsidRPr="006420F6" w14:paraId="08770A63" w14:textId="77777777" w:rsidTr="001F3C85">
        <w:trPr>
          <w:cantSplit/>
          <w:tblHeader/>
        </w:trPr>
        <w:tc>
          <w:tcPr>
            <w:tcW w:w="941" w:type="pct"/>
            <w:shd w:val="clear" w:color="auto" w:fill="006283"/>
          </w:tcPr>
          <w:p w14:paraId="2A5FAABB" w14:textId="77777777" w:rsidR="001A500E" w:rsidRPr="008A2C75" w:rsidRDefault="001A500E" w:rsidP="001F3C85">
            <w:pPr>
              <w:autoSpaceDE w:val="0"/>
              <w:autoSpaceDN w:val="0"/>
              <w:adjustRightInd w:val="0"/>
              <w:jc w:val="left"/>
              <w:rPr>
                <w:b/>
                <w:bCs/>
                <w:color w:val="FFFFFF"/>
                <w:sz w:val="15"/>
                <w:szCs w:val="15"/>
              </w:rPr>
            </w:pPr>
          </w:p>
        </w:tc>
        <w:tc>
          <w:tcPr>
            <w:tcW w:w="510" w:type="pct"/>
            <w:shd w:val="clear" w:color="auto" w:fill="006283"/>
          </w:tcPr>
          <w:p w14:paraId="332592CA" w14:textId="77777777" w:rsidR="001A500E" w:rsidRPr="008A2C75" w:rsidRDefault="001A500E" w:rsidP="001F3C85">
            <w:pPr>
              <w:autoSpaceDE w:val="0"/>
              <w:autoSpaceDN w:val="0"/>
              <w:adjustRightInd w:val="0"/>
              <w:jc w:val="center"/>
              <w:rPr>
                <w:b/>
                <w:bCs/>
                <w:color w:val="FFFFFF"/>
                <w:sz w:val="15"/>
                <w:szCs w:val="15"/>
              </w:rPr>
            </w:pPr>
            <w:r>
              <w:rPr>
                <w:b/>
                <w:color w:val="FFFFFF"/>
                <w:sz w:val="15"/>
              </w:rPr>
              <w:t>2015</w:t>
            </w:r>
          </w:p>
        </w:tc>
        <w:tc>
          <w:tcPr>
            <w:tcW w:w="507" w:type="pct"/>
            <w:shd w:val="clear" w:color="auto" w:fill="006283"/>
          </w:tcPr>
          <w:p w14:paraId="437D1478" w14:textId="77777777" w:rsidR="001A500E" w:rsidRPr="008A2C75" w:rsidRDefault="001A500E" w:rsidP="001F3C85">
            <w:pPr>
              <w:autoSpaceDE w:val="0"/>
              <w:autoSpaceDN w:val="0"/>
              <w:adjustRightInd w:val="0"/>
              <w:jc w:val="center"/>
              <w:rPr>
                <w:b/>
                <w:bCs/>
                <w:color w:val="FFFFFF"/>
                <w:sz w:val="15"/>
                <w:szCs w:val="15"/>
              </w:rPr>
            </w:pPr>
            <w:r>
              <w:rPr>
                <w:b/>
                <w:color w:val="FFFFFF"/>
                <w:sz w:val="15"/>
              </w:rPr>
              <w:t>2016</w:t>
            </w:r>
          </w:p>
        </w:tc>
        <w:tc>
          <w:tcPr>
            <w:tcW w:w="507" w:type="pct"/>
            <w:shd w:val="clear" w:color="auto" w:fill="006283"/>
          </w:tcPr>
          <w:p w14:paraId="30870534" w14:textId="77777777" w:rsidR="001A500E" w:rsidRPr="008A2C75" w:rsidRDefault="001A500E" w:rsidP="001F3C85">
            <w:pPr>
              <w:autoSpaceDE w:val="0"/>
              <w:autoSpaceDN w:val="0"/>
              <w:adjustRightInd w:val="0"/>
              <w:jc w:val="center"/>
              <w:rPr>
                <w:b/>
                <w:bCs/>
                <w:color w:val="FFFFFF"/>
                <w:sz w:val="15"/>
                <w:szCs w:val="15"/>
              </w:rPr>
            </w:pPr>
            <w:r>
              <w:rPr>
                <w:b/>
                <w:color w:val="FFFFFF"/>
                <w:sz w:val="15"/>
              </w:rPr>
              <w:t>2017</w:t>
            </w:r>
          </w:p>
        </w:tc>
        <w:tc>
          <w:tcPr>
            <w:tcW w:w="507" w:type="pct"/>
            <w:shd w:val="clear" w:color="auto" w:fill="006283"/>
          </w:tcPr>
          <w:p w14:paraId="46DF6BEA" w14:textId="77777777" w:rsidR="001A500E" w:rsidRPr="008A2C75" w:rsidRDefault="001A500E" w:rsidP="001F3C85">
            <w:pPr>
              <w:autoSpaceDE w:val="0"/>
              <w:autoSpaceDN w:val="0"/>
              <w:adjustRightInd w:val="0"/>
              <w:jc w:val="center"/>
              <w:rPr>
                <w:b/>
                <w:bCs/>
                <w:color w:val="FFFFFF"/>
                <w:sz w:val="15"/>
                <w:szCs w:val="15"/>
              </w:rPr>
            </w:pPr>
            <w:r>
              <w:rPr>
                <w:b/>
                <w:color w:val="FFFFFF"/>
                <w:sz w:val="15"/>
              </w:rPr>
              <w:t>2018</w:t>
            </w:r>
          </w:p>
        </w:tc>
        <w:tc>
          <w:tcPr>
            <w:tcW w:w="507" w:type="pct"/>
            <w:shd w:val="clear" w:color="auto" w:fill="006283"/>
          </w:tcPr>
          <w:p w14:paraId="043BC98D" w14:textId="77777777" w:rsidR="001A500E" w:rsidRPr="008A2C75" w:rsidRDefault="001A500E" w:rsidP="001F3C85">
            <w:pPr>
              <w:autoSpaceDE w:val="0"/>
              <w:autoSpaceDN w:val="0"/>
              <w:adjustRightInd w:val="0"/>
              <w:jc w:val="center"/>
              <w:rPr>
                <w:b/>
                <w:bCs/>
                <w:color w:val="FFFFFF"/>
                <w:sz w:val="15"/>
                <w:szCs w:val="15"/>
              </w:rPr>
            </w:pPr>
            <w:r>
              <w:rPr>
                <w:b/>
                <w:color w:val="FFFFFF"/>
                <w:sz w:val="15"/>
              </w:rPr>
              <w:t>2019</w:t>
            </w:r>
          </w:p>
        </w:tc>
        <w:tc>
          <w:tcPr>
            <w:tcW w:w="507" w:type="pct"/>
            <w:shd w:val="clear" w:color="auto" w:fill="006283"/>
          </w:tcPr>
          <w:p w14:paraId="04AFDC06" w14:textId="77777777" w:rsidR="001A500E" w:rsidRPr="008A2C75" w:rsidRDefault="001A500E" w:rsidP="001F3C85">
            <w:pPr>
              <w:autoSpaceDE w:val="0"/>
              <w:autoSpaceDN w:val="0"/>
              <w:adjustRightInd w:val="0"/>
              <w:jc w:val="center"/>
              <w:rPr>
                <w:b/>
                <w:bCs/>
                <w:color w:val="FFFFFF"/>
                <w:sz w:val="15"/>
                <w:szCs w:val="15"/>
              </w:rPr>
            </w:pPr>
            <w:r>
              <w:rPr>
                <w:b/>
                <w:color w:val="FFFFFF"/>
                <w:sz w:val="15"/>
              </w:rPr>
              <w:t>2020</w:t>
            </w:r>
          </w:p>
        </w:tc>
        <w:tc>
          <w:tcPr>
            <w:tcW w:w="507" w:type="pct"/>
            <w:shd w:val="clear" w:color="auto" w:fill="006283"/>
          </w:tcPr>
          <w:p w14:paraId="699895B0" w14:textId="77777777" w:rsidR="001A500E" w:rsidRPr="008A2C75" w:rsidRDefault="001A500E" w:rsidP="001F3C85">
            <w:pPr>
              <w:autoSpaceDE w:val="0"/>
              <w:autoSpaceDN w:val="0"/>
              <w:adjustRightInd w:val="0"/>
              <w:jc w:val="center"/>
              <w:rPr>
                <w:b/>
                <w:bCs/>
                <w:color w:val="FFFFFF"/>
                <w:sz w:val="15"/>
                <w:szCs w:val="15"/>
              </w:rPr>
            </w:pPr>
            <w:r>
              <w:rPr>
                <w:b/>
                <w:color w:val="FFFFFF"/>
                <w:sz w:val="15"/>
              </w:rPr>
              <w:t>2021</w:t>
            </w:r>
          </w:p>
        </w:tc>
        <w:tc>
          <w:tcPr>
            <w:tcW w:w="507" w:type="pct"/>
            <w:shd w:val="clear" w:color="auto" w:fill="006283"/>
          </w:tcPr>
          <w:p w14:paraId="1DB37408" w14:textId="77777777" w:rsidR="001A500E" w:rsidRPr="008A2C75" w:rsidRDefault="001A500E" w:rsidP="001F3C85">
            <w:pPr>
              <w:autoSpaceDE w:val="0"/>
              <w:autoSpaceDN w:val="0"/>
              <w:adjustRightInd w:val="0"/>
              <w:jc w:val="center"/>
              <w:rPr>
                <w:b/>
                <w:bCs/>
                <w:color w:val="FFFFFF"/>
                <w:sz w:val="15"/>
                <w:szCs w:val="15"/>
              </w:rPr>
            </w:pPr>
            <w:r>
              <w:rPr>
                <w:b/>
                <w:color w:val="FFFFFF"/>
                <w:sz w:val="15"/>
              </w:rPr>
              <w:t>Total</w:t>
            </w:r>
          </w:p>
        </w:tc>
      </w:tr>
      <w:tr w:rsidR="001A500E" w:rsidRPr="006420F6" w14:paraId="2E2C8E1A" w14:textId="77777777" w:rsidTr="001F3C85">
        <w:trPr>
          <w:cantSplit/>
        </w:trPr>
        <w:tc>
          <w:tcPr>
            <w:tcW w:w="941" w:type="pct"/>
            <w:shd w:val="clear" w:color="auto" w:fill="auto"/>
          </w:tcPr>
          <w:p w14:paraId="59D62346" w14:textId="77777777" w:rsidR="001A500E" w:rsidRPr="008A2C75" w:rsidRDefault="001A500E" w:rsidP="001F3C85">
            <w:pPr>
              <w:autoSpaceDE w:val="0"/>
              <w:autoSpaceDN w:val="0"/>
              <w:adjustRightInd w:val="0"/>
              <w:jc w:val="left"/>
              <w:rPr>
                <w:sz w:val="15"/>
                <w:szCs w:val="15"/>
              </w:rPr>
            </w:pPr>
            <w:r>
              <w:rPr>
                <w:sz w:val="15"/>
              </w:rPr>
              <w:t>Investigations initiated</w:t>
            </w:r>
          </w:p>
        </w:tc>
        <w:tc>
          <w:tcPr>
            <w:tcW w:w="510" w:type="pct"/>
            <w:shd w:val="clear" w:color="auto" w:fill="auto"/>
          </w:tcPr>
          <w:p w14:paraId="07140DD3" w14:textId="77777777" w:rsidR="001A500E" w:rsidRPr="008A2C75" w:rsidRDefault="001A500E" w:rsidP="001F3C85">
            <w:pPr>
              <w:autoSpaceDE w:val="0"/>
              <w:autoSpaceDN w:val="0"/>
              <w:adjustRightInd w:val="0"/>
              <w:jc w:val="center"/>
              <w:rPr>
                <w:sz w:val="15"/>
                <w:szCs w:val="15"/>
              </w:rPr>
            </w:pPr>
            <w:r>
              <w:rPr>
                <w:sz w:val="15"/>
              </w:rPr>
              <w:t>0</w:t>
            </w:r>
          </w:p>
        </w:tc>
        <w:tc>
          <w:tcPr>
            <w:tcW w:w="507" w:type="pct"/>
            <w:shd w:val="clear" w:color="auto" w:fill="auto"/>
          </w:tcPr>
          <w:p w14:paraId="2762FF84" w14:textId="77777777" w:rsidR="001A500E" w:rsidRPr="008A2C75" w:rsidRDefault="001A500E" w:rsidP="001F3C85">
            <w:pPr>
              <w:autoSpaceDE w:val="0"/>
              <w:autoSpaceDN w:val="0"/>
              <w:adjustRightInd w:val="0"/>
              <w:jc w:val="center"/>
              <w:rPr>
                <w:sz w:val="15"/>
                <w:szCs w:val="15"/>
              </w:rPr>
            </w:pPr>
            <w:r>
              <w:rPr>
                <w:sz w:val="15"/>
              </w:rPr>
              <w:t>1</w:t>
            </w:r>
          </w:p>
          <w:p w14:paraId="1BF136B5" w14:textId="77777777" w:rsidR="001A500E" w:rsidRPr="008A2C75" w:rsidRDefault="001A500E" w:rsidP="001F3C85">
            <w:pPr>
              <w:autoSpaceDE w:val="0"/>
              <w:autoSpaceDN w:val="0"/>
              <w:adjustRightInd w:val="0"/>
              <w:jc w:val="center"/>
              <w:rPr>
                <w:sz w:val="15"/>
                <w:szCs w:val="15"/>
              </w:rPr>
            </w:pPr>
            <w:r>
              <w:rPr>
                <w:sz w:val="15"/>
              </w:rPr>
              <w:t>(China)</w:t>
            </w:r>
          </w:p>
        </w:tc>
        <w:tc>
          <w:tcPr>
            <w:tcW w:w="507" w:type="pct"/>
            <w:shd w:val="clear" w:color="auto" w:fill="auto"/>
          </w:tcPr>
          <w:p w14:paraId="0FCC89BC" w14:textId="77777777" w:rsidR="001A500E" w:rsidRPr="008A2C75" w:rsidRDefault="001A500E" w:rsidP="001F3C85">
            <w:pPr>
              <w:autoSpaceDE w:val="0"/>
              <w:autoSpaceDN w:val="0"/>
              <w:adjustRightInd w:val="0"/>
              <w:jc w:val="center"/>
              <w:rPr>
                <w:sz w:val="15"/>
                <w:szCs w:val="15"/>
              </w:rPr>
            </w:pPr>
            <w:r>
              <w:rPr>
                <w:sz w:val="15"/>
              </w:rPr>
              <w:t>0</w:t>
            </w:r>
          </w:p>
        </w:tc>
        <w:tc>
          <w:tcPr>
            <w:tcW w:w="507" w:type="pct"/>
            <w:shd w:val="clear" w:color="auto" w:fill="auto"/>
          </w:tcPr>
          <w:p w14:paraId="34CCABD1" w14:textId="77777777" w:rsidR="001A500E" w:rsidRPr="008A2C75" w:rsidRDefault="001A500E" w:rsidP="001F3C85">
            <w:pPr>
              <w:autoSpaceDE w:val="0"/>
              <w:autoSpaceDN w:val="0"/>
              <w:adjustRightInd w:val="0"/>
              <w:jc w:val="center"/>
              <w:rPr>
                <w:sz w:val="15"/>
                <w:szCs w:val="15"/>
              </w:rPr>
            </w:pPr>
            <w:r>
              <w:rPr>
                <w:sz w:val="15"/>
              </w:rPr>
              <w:t>1</w:t>
            </w:r>
          </w:p>
          <w:p w14:paraId="2AE84572" w14:textId="77777777" w:rsidR="001A500E" w:rsidRPr="008A2C75" w:rsidRDefault="001A500E" w:rsidP="001F3C85">
            <w:pPr>
              <w:autoSpaceDE w:val="0"/>
              <w:autoSpaceDN w:val="0"/>
              <w:adjustRightInd w:val="0"/>
              <w:jc w:val="center"/>
              <w:rPr>
                <w:sz w:val="15"/>
                <w:szCs w:val="15"/>
              </w:rPr>
            </w:pPr>
            <w:r>
              <w:rPr>
                <w:sz w:val="15"/>
              </w:rPr>
              <w:t xml:space="preserve">(Costa Rica) </w:t>
            </w:r>
          </w:p>
        </w:tc>
        <w:tc>
          <w:tcPr>
            <w:tcW w:w="507" w:type="pct"/>
            <w:shd w:val="clear" w:color="auto" w:fill="auto"/>
          </w:tcPr>
          <w:p w14:paraId="2BBCFC0F" w14:textId="77777777" w:rsidR="001A500E" w:rsidRPr="008A2C75" w:rsidRDefault="001A500E" w:rsidP="001F3C85">
            <w:pPr>
              <w:autoSpaceDE w:val="0"/>
              <w:autoSpaceDN w:val="0"/>
              <w:adjustRightInd w:val="0"/>
              <w:jc w:val="center"/>
              <w:rPr>
                <w:sz w:val="15"/>
                <w:szCs w:val="15"/>
              </w:rPr>
            </w:pPr>
            <w:r>
              <w:rPr>
                <w:sz w:val="15"/>
              </w:rPr>
              <w:t>0</w:t>
            </w:r>
          </w:p>
        </w:tc>
        <w:tc>
          <w:tcPr>
            <w:tcW w:w="507" w:type="pct"/>
            <w:shd w:val="clear" w:color="auto" w:fill="auto"/>
          </w:tcPr>
          <w:p w14:paraId="0C1E9688" w14:textId="77777777" w:rsidR="001A500E" w:rsidRPr="008A2C75" w:rsidRDefault="001A500E" w:rsidP="001F3C85">
            <w:pPr>
              <w:autoSpaceDE w:val="0"/>
              <w:autoSpaceDN w:val="0"/>
              <w:adjustRightInd w:val="0"/>
              <w:jc w:val="center"/>
              <w:rPr>
                <w:sz w:val="15"/>
                <w:szCs w:val="15"/>
              </w:rPr>
            </w:pPr>
            <w:r>
              <w:rPr>
                <w:sz w:val="15"/>
              </w:rPr>
              <w:t>0</w:t>
            </w:r>
          </w:p>
        </w:tc>
        <w:tc>
          <w:tcPr>
            <w:tcW w:w="507" w:type="pct"/>
            <w:shd w:val="clear" w:color="auto" w:fill="auto"/>
          </w:tcPr>
          <w:p w14:paraId="0C819309" w14:textId="77777777" w:rsidR="001A500E" w:rsidRPr="008A2C75" w:rsidRDefault="001A500E" w:rsidP="001F3C85">
            <w:pPr>
              <w:autoSpaceDE w:val="0"/>
              <w:autoSpaceDN w:val="0"/>
              <w:adjustRightInd w:val="0"/>
              <w:jc w:val="center"/>
              <w:rPr>
                <w:sz w:val="15"/>
                <w:szCs w:val="15"/>
              </w:rPr>
            </w:pPr>
            <w:r>
              <w:rPr>
                <w:sz w:val="15"/>
              </w:rPr>
              <w:t>0</w:t>
            </w:r>
          </w:p>
        </w:tc>
        <w:tc>
          <w:tcPr>
            <w:tcW w:w="507" w:type="pct"/>
            <w:shd w:val="clear" w:color="auto" w:fill="auto"/>
          </w:tcPr>
          <w:p w14:paraId="61F27983" w14:textId="77777777" w:rsidR="001A500E" w:rsidRPr="008A2C75" w:rsidRDefault="001A500E" w:rsidP="001F3C85">
            <w:pPr>
              <w:autoSpaceDE w:val="0"/>
              <w:autoSpaceDN w:val="0"/>
              <w:adjustRightInd w:val="0"/>
              <w:jc w:val="center"/>
              <w:rPr>
                <w:sz w:val="15"/>
                <w:szCs w:val="15"/>
              </w:rPr>
            </w:pPr>
            <w:r>
              <w:rPr>
                <w:sz w:val="15"/>
              </w:rPr>
              <w:t>2</w:t>
            </w:r>
          </w:p>
        </w:tc>
      </w:tr>
      <w:tr w:rsidR="001A500E" w:rsidRPr="006420F6" w14:paraId="238FDF92" w14:textId="77777777" w:rsidTr="001F3C85">
        <w:trPr>
          <w:cantSplit/>
        </w:trPr>
        <w:tc>
          <w:tcPr>
            <w:tcW w:w="941" w:type="pct"/>
            <w:shd w:val="clear" w:color="auto" w:fill="C9DED4"/>
          </w:tcPr>
          <w:p w14:paraId="7E544A6B" w14:textId="77777777" w:rsidR="001A500E" w:rsidRPr="008A2C75" w:rsidRDefault="001A500E" w:rsidP="001F3C85">
            <w:pPr>
              <w:autoSpaceDE w:val="0"/>
              <w:autoSpaceDN w:val="0"/>
              <w:adjustRightInd w:val="0"/>
              <w:jc w:val="left"/>
              <w:rPr>
                <w:sz w:val="15"/>
                <w:szCs w:val="15"/>
              </w:rPr>
            </w:pPr>
            <w:r>
              <w:rPr>
                <w:sz w:val="15"/>
              </w:rPr>
              <w:t>Sunset reviews initiated</w:t>
            </w:r>
          </w:p>
        </w:tc>
        <w:tc>
          <w:tcPr>
            <w:tcW w:w="510" w:type="pct"/>
            <w:shd w:val="clear" w:color="auto" w:fill="C9DED4"/>
          </w:tcPr>
          <w:p w14:paraId="02B7D5F3" w14:textId="77777777" w:rsidR="001A500E" w:rsidRPr="008A2C75" w:rsidRDefault="001A500E" w:rsidP="001F3C85">
            <w:pPr>
              <w:autoSpaceDE w:val="0"/>
              <w:autoSpaceDN w:val="0"/>
              <w:adjustRightInd w:val="0"/>
              <w:jc w:val="center"/>
              <w:rPr>
                <w:sz w:val="15"/>
                <w:szCs w:val="15"/>
              </w:rPr>
            </w:pPr>
            <w:r>
              <w:rPr>
                <w:sz w:val="15"/>
              </w:rPr>
              <w:t>1</w:t>
            </w:r>
          </w:p>
          <w:p w14:paraId="61976E1E" w14:textId="77777777" w:rsidR="001A500E" w:rsidRPr="008A2C75" w:rsidRDefault="001A500E" w:rsidP="001F3C85">
            <w:pPr>
              <w:autoSpaceDE w:val="0"/>
              <w:autoSpaceDN w:val="0"/>
              <w:adjustRightInd w:val="0"/>
              <w:jc w:val="center"/>
              <w:rPr>
                <w:sz w:val="15"/>
                <w:szCs w:val="15"/>
              </w:rPr>
            </w:pPr>
            <w:r>
              <w:rPr>
                <w:sz w:val="15"/>
              </w:rPr>
              <w:t>(</w:t>
            </w:r>
            <w:proofErr w:type="spellStart"/>
            <w:r>
              <w:rPr>
                <w:sz w:val="15"/>
              </w:rPr>
              <w:t>Türkiye</w:t>
            </w:r>
            <w:proofErr w:type="spellEnd"/>
            <w:r>
              <w:rPr>
                <w:sz w:val="15"/>
              </w:rPr>
              <w:t>)</w:t>
            </w:r>
            <w:r>
              <w:rPr>
                <w:sz w:val="15"/>
                <w:highlight w:val="yellow"/>
              </w:rPr>
              <w:t xml:space="preserve"> </w:t>
            </w:r>
          </w:p>
        </w:tc>
        <w:tc>
          <w:tcPr>
            <w:tcW w:w="507" w:type="pct"/>
            <w:shd w:val="clear" w:color="auto" w:fill="C9DED4"/>
          </w:tcPr>
          <w:p w14:paraId="09686080" w14:textId="77777777" w:rsidR="001A500E" w:rsidRPr="008A2C75" w:rsidRDefault="001A500E" w:rsidP="001F3C85">
            <w:pPr>
              <w:autoSpaceDE w:val="0"/>
              <w:autoSpaceDN w:val="0"/>
              <w:adjustRightInd w:val="0"/>
              <w:jc w:val="center"/>
              <w:rPr>
                <w:sz w:val="15"/>
                <w:szCs w:val="15"/>
              </w:rPr>
            </w:pPr>
            <w:r>
              <w:rPr>
                <w:sz w:val="15"/>
              </w:rPr>
              <w:t>0</w:t>
            </w:r>
          </w:p>
        </w:tc>
        <w:tc>
          <w:tcPr>
            <w:tcW w:w="507" w:type="pct"/>
            <w:shd w:val="clear" w:color="auto" w:fill="C9DED4"/>
          </w:tcPr>
          <w:p w14:paraId="044AD2B0" w14:textId="77777777" w:rsidR="001A500E" w:rsidRPr="008A2C75" w:rsidRDefault="001A500E" w:rsidP="001F3C85">
            <w:pPr>
              <w:autoSpaceDE w:val="0"/>
              <w:autoSpaceDN w:val="0"/>
              <w:adjustRightInd w:val="0"/>
              <w:jc w:val="center"/>
              <w:rPr>
                <w:sz w:val="15"/>
                <w:szCs w:val="15"/>
              </w:rPr>
            </w:pPr>
            <w:r>
              <w:rPr>
                <w:sz w:val="15"/>
              </w:rPr>
              <w:t>0</w:t>
            </w:r>
          </w:p>
        </w:tc>
        <w:tc>
          <w:tcPr>
            <w:tcW w:w="507" w:type="pct"/>
            <w:shd w:val="clear" w:color="auto" w:fill="C9DED4"/>
          </w:tcPr>
          <w:p w14:paraId="458168A7" w14:textId="77777777" w:rsidR="001A500E" w:rsidRPr="008A2C75" w:rsidRDefault="001A500E" w:rsidP="001F3C85">
            <w:pPr>
              <w:autoSpaceDE w:val="0"/>
              <w:autoSpaceDN w:val="0"/>
              <w:adjustRightInd w:val="0"/>
              <w:jc w:val="center"/>
              <w:rPr>
                <w:sz w:val="15"/>
                <w:szCs w:val="15"/>
              </w:rPr>
            </w:pPr>
            <w:r>
              <w:rPr>
                <w:sz w:val="15"/>
              </w:rPr>
              <w:t>0</w:t>
            </w:r>
          </w:p>
        </w:tc>
        <w:tc>
          <w:tcPr>
            <w:tcW w:w="507" w:type="pct"/>
            <w:shd w:val="clear" w:color="auto" w:fill="C9DED4"/>
          </w:tcPr>
          <w:p w14:paraId="1098A9C9" w14:textId="77777777" w:rsidR="001A500E" w:rsidRPr="008A2C75" w:rsidRDefault="001A500E" w:rsidP="001F3C85">
            <w:pPr>
              <w:autoSpaceDE w:val="0"/>
              <w:autoSpaceDN w:val="0"/>
              <w:adjustRightInd w:val="0"/>
              <w:jc w:val="center"/>
              <w:rPr>
                <w:sz w:val="15"/>
                <w:szCs w:val="15"/>
              </w:rPr>
            </w:pPr>
            <w:r>
              <w:rPr>
                <w:sz w:val="15"/>
              </w:rPr>
              <w:t>0</w:t>
            </w:r>
          </w:p>
        </w:tc>
        <w:tc>
          <w:tcPr>
            <w:tcW w:w="507" w:type="pct"/>
            <w:shd w:val="clear" w:color="auto" w:fill="C9DED4"/>
          </w:tcPr>
          <w:p w14:paraId="4BB632B3" w14:textId="77777777" w:rsidR="001A500E" w:rsidRPr="008A2C75" w:rsidRDefault="001A500E" w:rsidP="001F3C85">
            <w:pPr>
              <w:autoSpaceDE w:val="0"/>
              <w:autoSpaceDN w:val="0"/>
              <w:adjustRightInd w:val="0"/>
              <w:jc w:val="center"/>
              <w:rPr>
                <w:sz w:val="15"/>
                <w:szCs w:val="15"/>
              </w:rPr>
            </w:pPr>
            <w:r>
              <w:rPr>
                <w:sz w:val="15"/>
              </w:rPr>
              <w:t>1</w:t>
            </w:r>
          </w:p>
          <w:p w14:paraId="27C3DD16" w14:textId="77777777" w:rsidR="001A500E" w:rsidRPr="008A2C75" w:rsidRDefault="001A500E" w:rsidP="001F3C85">
            <w:pPr>
              <w:autoSpaceDE w:val="0"/>
              <w:autoSpaceDN w:val="0"/>
              <w:adjustRightInd w:val="0"/>
              <w:jc w:val="center"/>
              <w:rPr>
                <w:sz w:val="15"/>
                <w:szCs w:val="15"/>
              </w:rPr>
            </w:pPr>
            <w:r>
              <w:rPr>
                <w:sz w:val="15"/>
              </w:rPr>
              <w:t>(</w:t>
            </w:r>
            <w:proofErr w:type="spellStart"/>
            <w:r>
              <w:rPr>
                <w:sz w:val="15"/>
              </w:rPr>
              <w:t>Türkiye</w:t>
            </w:r>
            <w:proofErr w:type="spellEnd"/>
            <w:r>
              <w:rPr>
                <w:sz w:val="15"/>
              </w:rPr>
              <w:t>)</w:t>
            </w:r>
          </w:p>
        </w:tc>
        <w:tc>
          <w:tcPr>
            <w:tcW w:w="507" w:type="pct"/>
            <w:shd w:val="clear" w:color="auto" w:fill="C9DED4"/>
          </w:tcPr>
          <w:p w14:paraId="20056997" w14:textId="77777777" w:rsidR="001A500E" w:rsidRPr="008A2C75" w:rsidRDefault="001A500E" w:rsidP="001F3C85">
            <w:pPr>
              <w:autoSpaceDE w:val="0"/>
              <w:autoSpaceDN w:val="0"/>
              <w:adjustRightInd w:val="0"/>
              <w:jc w:val="center"/>
              <w:rPr>
                <w:sz w:val="15"/>
                <w:szCs w:val="15"/>
              </w:rPr>
            </w:pPr>
            <w:r>
              <w:rPr>
                <w:sz w:val="15"/>
              </w:rPr>
              <w:t>1</w:t>
            </w:r>
          </w:p>
          <w:p w14:paraId="0AB07C1B" w14:textId="77777777" w:rsidR="001A500E" w:rsidRPr="008A2C75" w:rsidRDefault="001A500E" w:rsidP="001F3C85">
            <w:pPr>
              <w:autoSpaceDE w:val="0"/>
              <w:autoSpaceDN w:val="0"/>
              <w:adjustRightInd w:val="0"/>
              <w:jc w:val="center"/>
              <w:rPr>
                <w:sz w:val="15"/>
                <w:szCs w:val="15"/>
              </w:rPr>
            </w:pPr>
            <w:r>
              <w:rPr>
                <w:sz w:val="15"/>
              </w:rPr>
              <w:t>(China)</w:t>
            </w:r>
          </w:p>
        </w:tc>
        <w:tc>
          <w:tcPr>
            <w:tcW w:w="507" w:type="pct"/>
            <w:shd w:val="clear" w:color="auto" w:fill="C9DED4"/>
          </w:tcPr>
          <w:p w14:paraId="2F95DEC4" w14:textId="77777777" w:rsidR="001A500E" w:rsidRPr="008A2C75" w:rsidRDefault="001A500E" w:rsidP="001F3C85">
            <w:pPr>
              <w:autoSpaceDE w:val="0"/>
              <w:autoSpaceDN w:val="0"/>
              <w:adjustRightInd w:val="0"/>
              <w:jc w:val="center"/>
              <w:rPr>
                <w:sz w:val="15"/>
                <w:szCs w:val="15"/>
              </w:rPr>
            </w:pPr>
            <w:r>
              <w:rPr>
                <w:sz w:val="15"/>
              </w:rPr>
              <w:t>3</w:t>
            </w:r>
          </w:p>
        </w:tc>
      </w:tr>
      <w:tr w:rsidR="001A500E" w:rsidRPr="006420F6" w14:paraId="2AD2501F" w14:textId="77777777" w:rsidTr="001F3C85">
        <w:trPr>
          <w:cantSplit/>
        </w:trPr>
        <w:tc>
          <w:tcPr>
            <w:tcW w:w="941" w:type="pct"/>
            <w:shd w:val="clear" w:color="auto" w:fill="auto"/>
          </w:tcPr>
          <w:p w14:paraId="618099C3" w14:textId="77777777" w:rsidR="001A500E" w:rsidRPr="008A2C75" w:rsidRDefault="001A500E" w:rsidP="001F3C85">
            <w:pPr>
              <w:autoSpaceDE w:val="0"/>
              <w:autoSpaceDN w:val="0"/>
              <w:adjustRightInd w:val="0"/>
              <w:jc w:val="left"/>
              <w:rPr>
                <w:sz w:val="15"/>
                <w:szCs w:val="15"/>
              </w:rPr>
            </w:pPr>
            <w:r>
              <w:rPr>
                <w:sz w:val="15"/>
              </w:rPr>
              <w:t>Definitive measures adopted</w:t>
            </w:r>
          </w:p>
        </w:tc>
        <w:tc>
          <w:tcPr>
            <w:tcW w:w="510" w:type="pct"/>
            <w:shd w:val="clear" w:color="auto" w:fill="auto"/>
          </w:tcPr>
          <w:p w14:paraId="1D97B0BF" w14:textId="77777777" w:rsidR="001A500E" w:rsidRPr="008A2C75" w:rsidRDefault="001A500E" w:rsidP="001F3C85">
            <w:pPr>
              <w:autoSpaceDE w:val="0"/>
              <w:autoSpaceDN w:val="0"/>
              <w:adjustRightInd w:val="0"/>
              <w:jc w:val="center"/>
              <w:rPr>
                <w:sz w:val="15"/>
                <w:szCs w:val="15"/>
              </w:rPr>
            </w:pPr>
            <w:r>
              <w:rPr>
                <w:sz w:val="15"/>
              </w:rPr>
              <w:t>0</w:t>
            </w:r>
          </w:p>
        </w:tc>
        <w:tc>
          <w:tcPr>
            <w:tcW w:w="507" w:type="pct"/>
            <w:shd w:val="clear" w:color="auto" w:fill="auto"/>
          </w:tcPr>
          <w:p w14:paraId="5F64603C" w14:textId="77777777" w:rsidR="001A500E" w:rsidRPr="008A2C75" w:rsidRDefault="001A500E" w:rsidP="001F3C85">
            <w:pPr>
              <w:autoSpaceDE w:val="0"/>
              <w:autoSpaceDN w:val="0"/>
              <w:adjustRightInd w:val="0"/>
              <w:jc w:val="center"/>
              <w:rPr>
                <w:sz w:val="15"/>
                <w:szCs w:val="15"/>
              </w:rPr>
            </w:pPr>
            <w:r>
              <w:rPr>
                <w:sz w:val="15"/>
              </w:rPr>
              <w:t>1</w:t>
            </w:r>
          </w:p>
          <w:p w14:paraId="28CCB743" w14:textId="77777777" w:rsidR="001A500E" w:rsidRPr="008A2C75" w:rsidRDefault="001A500E" w:rsidP="001F3C85">
            <w:pPr>
              <w:autoSpaceDE w:val="0"/>
              <w:autoSpaceDN w:val="0"/>
              <w:adjustRightInd w:val="0"/>
              <w:jc w:val="center"/>
              <w:rPr>
                <w:sz w:val="15"/>
                <w:szCs w:val="15"/>
              </w:rPr>
            </w:pPr>
            <w:r>
              <w:rPr>
                <w:sz w:val="15"/>
              </w:rPr>
              <w:t>(</w:t>
            </w:r>
            <w:proofErr w:type="spellStart"/>
            <w:r>
              <w:rPr>
                <w:sz w:val="15"/>
              </w:rPr>
              <w:t>Türkiye</w:t>
            </w:r>
            <w:proofErr w:type="spellEnd"/>
            <w:r>
              <w:rPr>
                <w:sz w:val="15"/>
              </w:rPr>
              <w:t>)</w:t>
            </w:r>
          </w:p>
        </w:tc>
        <w:tc>
          <w:tcPr>
            <w:tcW w:w="507" w:type="pct"/>
            <w:shd w:val="clear" w:color="auto" w:fill="auto"/>
          </w:tcPr>
          <w:p w14:paraId="509F5A88" w14:textId="77777777" w:rsidR="001A500E" w:rsidRPr="008A2C75" w:rsidRDefault="001A500E" w:rsidP="001F3C85">
            <w:pPr>
              <w:autoSpaceDE w:val="0"/>
              <w:autoSpaceDN w:val="0"/>
              <w:adjustRightInd w:val="0"/>
              <w:jc w:val="center"/>
              <w:rPr>
                <w:sz w:val="15"/>
                <w:szCs w:val="15"/>
              </w:rPr>
            </w:pPr>
            <w:r>
              <w:rPr>
                <w:sz w:val="15"/>
              </w:rPr>
              <w:t>1</w:t>
            </w:r>
          </w:p>
          <w:p w14:paraId="0C610168" w14:textId="77777777" w:rsidR="001A500E" w:rsidRPr="008A2C75" w:rsidRDefault="001A500E" w:rsidP="001F3C85">
            <w:pPr>
              <w:autoSpaceDE w:val="0"/>
              <w:autoSpaceDN w:val="0"/>
              <w:adjustRightInd w:val="0"/>
              <w:jc w:val="center"/>
              <w:rPr>
                <w:sz w:val="15"/>
                <w:szCs w:val="15"/>
              </w:rPr>
            </w:pPr>
            <w:r>
              <w:rPr>
                <w:sz w:val="15"/>
              </w:rPr>
              <w:t>(China)</w:t>
            </w:r>
          </w:p>
        </w:tc>
        <w:tc>
          <w:tcPr>
            <w:tcW w:w="507" w:type="pct"/>
            <w:shd w:val="clear" w:color="auto" w:fill="auto"/>
          </w:tcPr>
          <w:p w14:paraId="007F98C6" w14:textId="77777777" w:rsidR="001A500E" w:rsidRPr="008A2C75" w:rsidRDefault="001A500E" w:rsidP="001F3C85">
            <w:pPr>
              <w:autoSpaceDE w:val="0"/>
              <w:autoSpaceDN w:val="0"/>
              <w:adjustRightInd w:val="0"/>
              <w:jc w:val="center"/>
              <w:rPr>
                <w:sz w:val="15"/>
                <w:szCs w:val="15"/>
              </w:rPr>
            </w:pPr>
            <w:r>
              <w:rPr>
                <w:sz w:val="15"/>
              </w:rPr>
              <w:t>0</w:t>
            </w:r>
          </w:p>
        </w:tc>
        <w:tc>
          <w:tcPr>
            <w:tcW w:w="507" w:type="pct"/>
            <w:shd w:val="clear" w:color="auto" w:fill="auto"/>
          </w:tcPr>
          <w:p w14:paraId="3A149AEE" w14:textId="77777777" w:rsidR="001A500E" w:rsidRPr="008A2C75" w:rsidRDefault="001A500E" w:rsidP="001F3C85">
            <w:pPr>
              <w:autoSpaceDE w:val="0"/>
              <w:autoSpaceDN w:val="0"/>
              <w:adjustRightInd w:val="0"/>
              <w:jc w:val="center"/>
              <w:rPr>
                <w:sz w:val="15"/>
                <w:szCs w:val="15"/>
              </w:rPr>
            </w:pPr>
            <w:r>
              <w:rPr>
                <w:sz w:val="15"/>
              </w:rPr>
              <w:t>0</w:t>
            </w:r>
          </w:p>
        </w:tc>
        <w:tc>
          <w:tcPr>
            <w:tcW w:w="507" w:type="pct"/>
            <w:shd w:val="clear" w:color="auto" w:fill="auto"/>
          </w:tcPr>
          <w:p w14:paraId="43885C60" w14:textId="77777777" w:rsidR="001A500E" w:rsidRPr="008A2C75" w:rsidRDefault="001A500E" w:rsidP="001F3C85">
            <w:pPr>
              <w:autoSpaceDE w:val="0"/>
              <w:autoSpaceDN w:val="0"/>
              <w:adjustRightInd w:val="0"/>
              <w:jc w:val="center"/>
              <w:rPr>
                <w:sz w:val="15"/>
                <w:szCs w:val="15"/>
              </w:rPr>
            </w:pPr>
            <w:r>
              <w:rPr>
                <w:sz w:val="15"/>
              </w:rPr>
              <w:t>1</w:t>
            </w:r>
          </w:p>
          <w:p w14:paraId="614CB1DB" w14:textId="77777777" w:rsidR="001A500E" w:rsidRPr="008A2C75" w:rsidRDefault="001A500E" w:rsidP="001F3C85">
            <w:pPr>
              <w:autoSpaceDE w:val="0"/>
              <w:autoSpaceDN w:val="0"/>
              <w:adjustRightInd w:val="0"/>
              <w:jc w:val="center"/>
              <w:rPr>
                <w:sz w:val="15"/>
                <w:szCs w:val="15"/>
              </w:rPr>
            </w:pPr>
            <w:r>
              <w:rPr>
                <w:sz w:val="15"/>
              </w:rPr>
              <w:t>(Costa Rica)</w:t>
            </w:r>
          </w:p>
        </w:tc>
        <w:tc>
          <w:tcPr>
            <w:tcW w:w="507" w:type="pct"/>
            <w:shd w:val="clear" w:color="auto" w:fill="auto"/>
          </w:tcPr>
          <w:p w14:paraId="564FF660" w14:textId="77777777" w:rsidR="001A500E" w:rsidRPr="008A2C75" w:rsidRDefault="001A500E" w:rsidP="001F3C85">
            <w:pPr>
              <w:autoSpaceDE w:val="0"/>
              <w:autoSpaceDN w:val="0"/>
              <w:adjustRightInd w:val="0"/>
              <w:jc w:val="center"/>
              <w:rPr>
                <w:sz w:val="15"/>
                <w:szCs w:val="15"/>
              </w:rPr>
            </w:pPr>
            <w:r>
              <w:rPr>
                <w:sz w:val="15"/>
              </w:rPr>
              <w:t>1</w:t>
            </w:r>
          </w:p>
          <w:p w14:paraId="54AB9638" w14:textId="77777777" w:rsidR="001A500E" w:rsidRPr="008A2C75" w:rsidRDefault="001A500E" w:rsidP="001F3C85">
            <w:pPr>
              <w:autoSpaceDE w:val="0"/>
              <w:autoSpaceDN w:val="0"/>
              <w:adjustRightInd w:val="0"/>
              <w:jc w:val="center"/>
              <w:rPr>
                <w:sz w:val="15"/>
                <w:szCs w:val="15"/>
              </w:rPr>
            </w:pPr>
            <w:r>
              <w:rPr>
                <w:sz w:val="15"/>
              </w:rPr>
              <w:t>(</w:t>
            </w:r>
            <w:proofErr w:type="spellStart"/>
            <w:r>
              <w:rPr>
                <w:sz w:val="15"/>
              </w:rPr>
              <w:t>Türkiye</w:t>
            </w:r>
            <w:proofErr w:type="spellEnd"/>
            <w:r>
              <w:rPr>
                <w:sz w:val="15"/>
              </w:rPr>
              <w:t>)</w:t>
            </w:r>
            <w:r>
              <w:rPr>
                <w:sz w:val="15"/>
                <w:highlight w:val="yellow"/>
              </w:rPr>
              <w:t xml:space="preserve"> </w:t>
            </w:r>
          </w:p>
        </w:tc>
        <w:tc>
          <w:tcPr>
            <w:tcW w:w="507" w:type="pct"/>
            <w:shd w:val="clear" w:color="auto" w:fill="auto"/>
          </w:tcPr>
          <w:p w14:paraId="55AEB7E9" w14:textId="77777777" w:rsidR="001A500E" w:rsidRPr="008A2C75" w:rsidRDefault="001A500E" w:rsidP="001F3C85">
            <w:pPr>
              <w:autoSpaceDE w:val="0"/>
              <w:autoSpaceDN w:val="0"/>
              <w:adjustRightInd w:val="0"/>
              <w:jc w:val="center"/>
              <w:rPr>
                <w:sz w:val="15"/>
                <w:szCs w:val="15"/>
              </w:rPr>
            </w:pPr>
            <w:r>
              <w:rPr>
                <w:sz w:val="15"/>
              </w:rPr>
              <w:t>4</w:t>
            </w:r>
          </w:p>
        </w:tc>
      </w:tr>
    </w:tbl>
    <w:p w14:paraId="61586D02" w14:textId="77777777" w:rsidR="001A500E" w:rsidRPr="006420F6" w:rsidRDefault="001A500E" w:rsidP="00E439A9">
      <w:pPr>
        <w:pStyle w:val="NoteText"/>
        <w:spacing w:before="120" w:after="240"/>
      </w:pPr>
      <w:r>
        <w:t>Source:</w:t>
      </w:r>
      <w:r>
        <w:tab/>
        <w:t>Information provided by the authorities.</w:t>
      </w:r>
    </w:p>
    <w:p w14:paraId="185AC4F7" w14:textId="77777777" w:rsidR="001A500E" w:rsidRPr="006420F6" w:rsidRDefault="001A500E" w:rsidP="00574469">
      <w:pPr>
        <w:pStyle w:val="BodyText"/>
      </w:pPr>
      <w:r>
        <w:t>As at 3</w:t>
      </w:r>
      <w:r w:rsidRPr="0060155B">
        <w:t>0 June 2</w:t>
      </w:r>
      <w:r>
        <w:t>022, the Dominican Republic had three anti</w:t>
      </w:r>
      <w:r w:rsidRPr="0060155B">
        <w:noBreakHyphen/>
      </w:r>
      <w:r>
        <w:t>dumping measures in force, with an average duration of six years and four months</w:t>
      </w:r>
      <w:r w:rsidRPr="0060155B">
        <w:t>. D</w:t>
      </w:r>
      <w:r>
        <w:t>uring the period under review, the Dominican Republic did not initiate any subsidy investigation, nor did it have any definitive countervailing measure in force.</w:t>
      </w:r>
      <w:r>
        <w:rPr>
          <w:rStyle w:val="FootnoteReference"/>
        </w:rPr>
        <w:footnoteReference w:id="157"/>
      </w:r>
    </w:p>
    <w:p w14:paraId="6D42E609" w14:textId="77777777" w:rsidR="001A500E" w:rsidRPr="006420F6" w:rsidRDefault="001A500E" w:rsidP="00574469">
      <w:pPr>
        <w:pStyle w:val="Heading4"/>
      </w:pPr>
      <w:bookmarkStart w:id="179" w:name="_Toc117260626"/>
      <w:r>
        <w:t>Safeguard measures</w:t>
      </w:r>
      <w:bookmarkEnd w:id="179"/>
    </w:p>
    <w:p w14:paraId="3A7FCADA" w14:textId="77777777" w:rsidR="001A500E" w:rsidRPr="007C74EF" w:rsidRDefault="001A500E" w:rsidP="00574469">
      <w:pPr>
        <w:pStyle w:val="BodyText"/>
      </w:pPr>
      <w:r>
        <w:t>There have been no substantial changes in the procedures for safeguard measures either (Chart 3.3)</w:t>
      </w:r>
      <w:r w:rsidRPr="0060155B">
        <w:t>. T</w:t>
      </w:r>
      <w:r>
        <w:t>he domestic industry must request the initiation of an investigation in writing</w:t>
      </w:r>
      <w:r w:rsidRPr="0060155B">
        <w:t>. T</w:t>
      </w:r>
      <w:r>
        <w:t xml:space="preserve">he CDC may also initiate an investigation </w:t>
      </w:r>
      <w:r w:rsidRPr="006464A1">
        <w:rPr>
          <w:i/>
          <w:iCs/>
        </w:rPr>
        <w:t>ex officio</w:t>
      </w:r>
      <w:r w:rsidRPr="0060155B">
        <w:t>. T</w:t>
      </w:r>
      <w:r>
        <w:t>he CDC may initiate an investigation where there is sufficient evidence that, as a result of unforeseen developments, the investigated product is being imported in such increased quantities and under such conditions as to cause or threaten to cause serious injury to the domestic industry that produces like or directly competitive products</w:t>
      </w:r>
      <w:r w:rsidRPr="0060155B">
        <w:t>. T</w:t>
      </w:r>
      <w:r>
        <w:t>he CDC bases its decision on an evaluation of objective and quantifiable factors having a bearing on the situation of the domestic industry, and has to demonstrate the existence of a causal link between increased imports and serious injury or threat thereof.</w:t>
      </w:r>
      <w:r>
        <w:rPr>
          <w:rStyle w:val="FootnoteReference"/>
        </w:rPr>
        <w:footnoteReference w:id="158"/>
      </w:r>
    </w:p>
    <w:p w14:paraId="5395D01B" w14:textId="77777777" w:rsidR="001A500E" w:rsidRPr="007C74EF" w:rsidRDefault="001A500E" w:rsidP="00646A41">
      <w:pPr>
        <w:pStyle w:val="Caption"/>
        <w:spacing w:before="0" w:after="60"/>
      </w:pPr>
      <w:bookmarkStart w:id="180" w:name="_Toc117238018"/>
      <w:r>
        <w:t xml:space="preserve">Chart </w:t>
      </w:r>
      <w:r w:rsidR="00BD37F2">
        <w:fldChar w:fldCharType="begin"/>
      </w:r>
      <w:r w:rsidR="00BD37F2">
        <w:instrText xml:space="preserve"> STYLEREF 1 \s </w:instrText>
      </w:r>
      <w:r w:rsidR="00BD37F2">
        <w:fldChar w:fldCharType="separate"/>
      </w:r>
      <w:r>
        <w:rPr>
          <w:noProof/>
        </w:rPr>
        <w:t>3</w:t>
      </w:r>
      <w:r w:rsidR="00BD37F2">
        <w:rPr>
          <w:noProof/>
        </w:rPr>
        <w:fldChar w:fldCharType="end"/>
      </w:r>
      <w:r>
        <w:t>.</w:t>
      </w:r>
      <w:r w:rsidR="00BD37F2">
        <w:fldChar w:fldCharType="begin"/>
      </w:r>
      <w:r w:rsidR="00BD37F2">
        <w:instrText xml:space="preserve"> SEQ Chart \* ARABIC \s 1 </w:instrText>
      </w:r>
      <w:r w:rsidR="00BD37F2">
        <w:fldChar w:fldCharType="separate"/>
      </w:r>
      <w:r>
        <w:rPr>
          <w:noProof/>
        </w:rPr>
        <w:t>3</w:t>
      </w:r>
      <w:r w:rsidR="00BD37F2">
        <w:rPr>
          <w:noProof/>
        </w:rPr>
        <w:fldChar w:fldCharType="end"/>
      </w:r>
      <w:r>
        <w:t xml:space="preserve"> Safeguard investigation procedures</w:t>
      </w:r>
      <w:bookmarkEnd w:id="180"/>
    </w:p>
    <w:p w14:paraId="355D7D84" w14:textId="77777777" w:rsidR="001A500E" w:rsidRDefault="001A500E" w:rsidP="009E7753">
      <w:r w:rsidRPr="009E7753">
        <w:rPr>
          <w:noProof/>
        </w:rPr>
        <w:drawing>
          <wp:inline distT="0" distB="0" distL="0" distR="0" wp14:anchorId="25F1F602" wp14:editId="4E77811E">
            <wp:extent cx="5731510" cy="1548130"/>
            <wp:effectExtent l="0" t="0" r="2540" b="0"/>
            <wp:docPr id="288" name="Picture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9"/>
                    <a:stretch>
                      <a:fillRect/>
                    </a:stretch>
                  </pic:blipFill>
                  <pic:spPr>
                    <a:xfrm>
                      <a:off x="0" y="0"/>
                      <a:ext cx="5731510" cy="1548130"/>
                    </a:xfrm>
                    <a:prstGeom prst="rect">
                      <a:avLst/>
                    </a:prstGeom>
                  </pic:spPr>
                </pic:pic>
              </a:graphicData>
            </a:graphic>
          </wp:inline>
        </w:drawing>
      </w:r>
    </w:p>
    <w:p w14:paraId="5EA50565" w14:textId="77777777" w:rsidR="001A500E" w:rsidRPr="006420F6" w:rsidRDefault="001A500E" w:rsidP="00646A41">
      <w:pPr>
        <w:pStyle w:val="NoteText"/>
        <w:spacing w:before="60"/>
      </w:pPr>
      <w:r>
        <w:t>Source:</w:t>
      </w:r>
      <w:r>
        <w:tab/>
        <w:t xml:space="preserve">WTO Secretariat, based on Law </w:t>
      </w:r>
      <w:r w:rsidRPr="0060155B">
        <w:t>No. </w:t>
      </w:r>
      <w:r>
        <w:t>1</w:t>
      </w:r>
      <w:r w:rsidRPr="0060155B">
        <w:noBreakHyphen/>
      </w:r>
      <w:r>
        <w:t>02.</w:t>
      </w:r>
    </w:p>
    <w:p w14:paraId="7BCCE8BA" w14:textId="77777777" w:rsidR="001A500E" w:rsidRPr="006420F6" w:rsidRDefault="001A500E" w:rsidP="00574469">
      <w:pPr>
        <w:pStyle w:val="BodyText"/>
      </w:pPr>
      <w:r>
        <w:lastRenderedPageBreak/>
        <w:t>Once 60 days have elapsed since the initiation of an investigation procedure, the CDC may, if it makes a finding of injury or threat thereof, apply provisional measures for a period not exceeding 200 days</w:t>
      </w:r>
      <w:r w:rsidRPr="0060155B">
        <w:t>. T</w:t>
      </w:r>
      <w:r>
        <w:t>he application of a provisional safeguard measure, like that of a definitive measure, is published in a national newspaper, and in both cases, the CDC notifies the exporting countries and interested parties</w:t>
      </w:r>
      <w:r w:rsidRPr="0060155B">
        <w:t>. T</w:t>
      </w:r>
      <w:r>
        <w:t>hese measures are also notified to the WTO Committee on Safeguards through the appropriate channels, as is the termination of an investigation or the non</w:t>
      </w:r>
      <w:r w:rsidRPr="0060155B">
        <w:noBreakHyphen/>
      </w:r>
      <w:r>
        <w:t>application of a measure.</w:t>
      </w:r>
    </w:p>
    <w:p w14:paraId="7F091D21" w14:textId="77777777" w:rsidR="001A500E" w:rsidRPr="007C74EF" w:rsidRDefault="001A500E" w:rsidP="00574469">
      <w:pPr>
        <w:pStyle w:val="BodyText"/>
      </w:pPr>
      <w:r>
        <w:t>Definitive safeguard measures are initially applied for a period of four years, which may be extended to a maximum of eight years</w:t>
      </w:r>
      <w:r w:rsidRPr="0060155B">
        <w:t>. H</w:t>
      </w:r>
      <w:r>
        <w:t>owever, measures applied for more than one year must be progressively liberalized</w:t>
      </w:r>
      <w:r w:rsidRPr="0060155B">
        <w:t>. I</w:t>
      </w:r>
      <w:r>
        <w:t>f the duration of the measure exceeds three years, the CDC shall review the situation and, if appropriate, withdraw the measure or increase the pace of liberalization</w:t>
      </w:r>
      <w:r w:rsidRPr="0060155B">
        <w:t>. I</w:t>
      </w:r>
      <w:r>
        <w:t>f the domestic industry considers that there is a continuing need to apply a measure beyond the initial period of application, it shall submit a written request for extension</w:t>
      </w:r>
      <w:r w:rsidRPr="0060155B">
        <w:t>. T</w:t>
      </w:r>
      <w:r>
        <w:t>he CDC may extend a definitive measure only if it determines through investigation that the measure continues to be necessary to prevent or remedy serious injury, and that there is evidence that the domestic industry is adjusting.</w:t>
      </w:r>
    </w:p>
    <w:p w14:paraId="1BAF7B0B" w14:textId="77777777" w:rsidR="001A500E" w:rsidRDefault="001A500E" w:rsidP="00574469">
      <w:pPr>
        <w:pStyle w:val="BodyText"/>
      </w:pPr>
      <w:r>
        <w:t>During the period under review, the Dominican Republic did not initiate any safeguard investigation, nor does it have any ongoing.</w:t>
      </w:r>
    </w:p>
    <w:p w14:paraId="361018CF" w14:textId="77777777" w:rsidR="001A500E" w:rsidRPr="006420F6" w:rsidRDefault="001A500E" w:rsidP="00574469">
      <w:pPr>
        <w:pStyle w:val="Heading2"/>
      </w:pPr>
      <w:bookmarkStart w:id="181" w:name="_Toc384214169"/>
      <w:bookmarkStart w:id="182" w:name="_Toc417038494"/>
      <w:bookmarkStart w:id="183" w:name="_Toc117260627"/>
      <w:r>
        <w:t>Measures Directly Affecting Exports</w:t>
      </w:r>
      <w:bookmarkEnd w:id="181"/>
      <w:bookmarkEnd w:id="182"/>
      <w:bookmarkEnd w:id="183"/>
    </w:p>
    <w:p w14:paraId="22947F70" w14:textId="77777777" w:rsidR="001A500E" w:rsidRPr="006420F6" w:rsidRDefault="001A500E" w:rsidP="00574469">
      <w:pPr>
        <w:pStyle w:val="Heading3"/>
      </w:pPr>
      <w:bookmarkStart w:id="184" w:name="_Toc384214170"/>
      <w:bookmarkStart w:id="185" w:name="_Toc417038495"/>
      <w:bookmarkStart w:id="186" w:name="_Toc117260628"/>
      <w:r>
        <w:t>Export procedures and requirements</w:t>
      </w:r>
      <w:bookmarkEnd w:id="184"/>
      <w:bookmarkEnd w:id="185"/>
      <w:bookmarkEnd w:id="186"/>
    </w:p>
    <w:p w14:paraId="35E9B50B" w14:textId="77777777" w:rsidR="001A500E" w:rsidRDefault="001A500E" w:rsidP="00574469">
      <w:pPr>
        <w:pStyle w:val="BodyText"/>
        <w:rPr>
          <w:bdr w:val="none" w:sz="0" w:space="0" w:color="auto" w:frame="1"/>
          <w:shd w:val="clear" w:color="auto" w:fill="FFFFFF"/>
        </w:rPr>
      </w:pPr>
      <w:r>
        <w:t xml:space="preserve">The new Customs Law, </w:t>
      </w:r>
      <w:r>
        <w:rPr>
          <w:bdr w:val="none" w:sz="0" w:space="0" w:color="auto" w:frame="1"/>
          <w:shd w:val="clear" w:color="auto" w:fill="FFFFFF"/>
        </w:rPr>
        <w:t xml:space="preserve">Law </w:t>
      </w:r>
      <w:r w:rsidRPr="0060155B">
        <w:rPr>
          <w:bdr w:val="none" w:sz="0" w:space="0" w:color="auto" w:frame="1"/>
          <w:shd w:val="clear" w:color="auto" w:fill="FFFFFF"/>
        </w:rPr>
        <w:t>No. </w:t>
      </w:r>
      <w:r>
        <w:rPr>
          <w:bdr w:val="none" w:sz="0" w:space="0" w:color="auto" w:frame="1"/>
          <w:shd w:val="clear" w:color="auto" w:fill="FFFFFF"/>
        </w:rPr>
        <w:t>168</w:t>
      </w:r>
      <w:r w:rsidRPr="0060155B">
        <w:rPr>
          <w:bdr w:val="none" w:sz="0" w:space="0" w:color="auto" w:frame="1"/>
          <w:shd w:val="clear" w:color="auto" w:fill="FFFFFF"/>
        </w:rPr>
        <w:noBreakHyphen/>
      </w:r>
      <w:r>
        <w:rPr>
          <w:bdr w:val="none" w:sz="0" w:space="0" w:color="auto" w:frame="1"/>
          <w:shd w:val="clear" w:color="auto" w:fill="FFFFFF"/>
        </w:rPr>
        <w:t>21</w:t>
      </w:r>
      <w:r>
        <w:t xml:space="preserve">, regulates the export process </w:t>
      </w:r>
      <w:r>
        <w:rPr>
          <w:bdr w:val="none" w:sz="0" w:space="0" w:color="auto" w:frame="1"/>
          <w:shd w:val="clear" w:color="auto" w:fill="FFFFFF"/>
        </w:rPr>
        <w:t>and establishes the time limits, rights, obligations and responsibilities of exporters</w:t>
      </w:r>
      <w:r w:rsidRPr="0060155B">
        <w:t xml:space="preserve">. </w:t>
      </w:r>
      <w:r w:rsidRPr="0060155B">
        <w:rPr>
          <w:bdr w:val="none" w:sz="0" w:space="0" w:color="auto" w:frame="1"/>
          <w:shd w:val="clear" w:color="auto" w:fill="FFFFFF"/>
        </w:rPr>
        <w:t>T</w:t>
      </w:r>
      <w:r>
        <w:rPr>
          <w:bdr w:val="none" w:sz="0" w:space="0" w:color="auto" w:frame="1"/>
          <w:shd w:val="clear" w:color="auto" w:fill="FFFFFF"/>
        </w:rPr>
        <w:t>he regulated process covers the submission of the declaration, verification and the exit permit for the mode of transport</w:t>
      </w:r>
      <w:r w:rsidRPr="0060155B">
        <w:rPr>
          <w:bdr w:val="none" w:sz="0" w:space="0" w:color="auto" w:frame="1"/>
          <w:shd w:val="clear" w:color="auto" w:fill="FFFFFF"/>
        </w:rPr>
        <w:t>. T</w:t>
      </w:r>
      <w:r>
        <w:rPr>
          <w:bdr w:val="none" w:sz="0" w:space="0" w:color="auto" w:frame="1"/>
          <w:shd w:val="clear" w:color="auto" w:fill="FFFFFF"/>
        </w:rPr>
        <w:t>hese aspects were absent from the previous Law</w:t>
      </w:r>
      <w:r w:rsidRPr="0060155B">
        <w:rPr>
          <w:bdr w:val="none" w:sz="0" w:space="0" w:color="auto" w:frame="1"/>
          <w:shd w:val="clear" w:color="auto" w:fill="FFFFFF"/>
        </w:rPr>
        <w:t>. T</w:t>
      </w:r>
      <w:r>
        <w:rPr>
          <w:bdr w:val="none" w:sz="0" w:space="0" w:color="auto" w:frame="1"/>
          <w:shd w:val="clear" w:color="auto" w:fill="FFFFFF"/>
        </w:rPr>
        <w:t>he new process gives the export sector greater legal certainty, predictability and transparency.</w:t>
      </w:r>
    </w:p>
    <w:p w14:paraId="61D33A2A" w14:textId="77777777" w:rsidR="001A500E" w:rsidRDefault="001A500E" w:rsidP="00574469">
      <w:pPr>
        <w:pStyle w:val="BodyText"/>
      </w:pPr>
      <w:r>
        <w:t>Any goods leaving the national customs territory, regardless of the type of procedure, must be declared by the means made available by Customs and within the legal time limits</w:t>
      </w:r>
      <w:r w:rsidRPr="0060155B">
        <w:t>. N</w:t>
      </w:r>
      <w:r>
        <w:t>atural persons, like legal persons, may conduct foreign trade transactions</w:t>
      </w:r>
      <w:r w:rsidRPr="0060155B">
        <w:t>. E</w:t>
      </w:r>
      <w:r>
        <w:t>xporters must be registered with the National Taxpayers Registry (</w:t>
      </w:r>
      <w:proofErr w:type="spellStart"/>
      <w:r>
        <w:t>RNC</w:t>
      </w:r>
      <w:proofErr w:type="spellEnd"/>
      <w:r>
        <w:t>) to conduct their business activities, as well as with the DGA</w:t>
      </w:r>
      <w:r w:rsidRPr="0060155B">
        <w:t>. T</w:t>
      </w:r>
      <w:r>
        <w:t>o carry out exports, the operator must use the Integrated Customs Management System (SIGA) (</w:t>
      </w:r>
      <w:hyperlink r:id="rId40" w:history="1">
        <w:r>
          <w:rPr>
            <w:rStyle w:val="Hyperlink"/>
          </w:rPr>
          <w:t>www.aduanas.gob.do</w:t>
        </w:r>
      </w:hyperlink>
      <w:r>
        <w:t>) to submit the following</w:t>
      </w:r>
      <w:r w:rsidRPr="0060155B">
        <w:t>: (</w:t>
      </w:r>
      <w:r>
        <w:t>a) the single customs declaration</w:t>
      </w:r>
      <w:r w:rsidRPr="0060155B">
        <w:t>; (</w:t>
      </w:r>
      <w:r>
        <w:t>b) the commercial invoice</w:t>
      </w:r>
      <w:r w:rsidRPr="0060155B">
        <w:t>; (</w:t>
      </w:r>
      <w:r>
        <w:t>c) the bill of lading</w:t>
      </w:r>
      <w:r w:rsidRPr="0060155B">
        <w:t>; (</w:t>
      </w:r>
      <w:r>
        <w:t>d) the export permits or the sanitary, phytosanitary or animal health certificate, as applicable</w:t>
      </w:r>
      <w:r w:rsidRPr="0060155B">
        <w:t>; a</w:t>
      </w:r>
      <w:r>
        <w:t>nd (e) the certificate of origin, where applicable.</w:t>
      </w:r>
    </w:p>
    <w:p w14:paraId="7F6B4EEC" w14:textId="44A2A07A" w:rsidR="001A500E" w:rsidRPr="007B11FF" w:rsidRDefault="001A500E" w:rsidP="00574469">
      <w:pPr>
        <w:pStyle w:val="BodyText"/>
        <w:rPr>
          <w:rFonts w:asciiTheme="minorHAnsi" w:hAnsiTheme="minorHAnsi"/>
          <w:shd w:val="clear" w:color="auto" w:fill="FFFFFF"/>
        </w:rPr>
      </w:pPr>
      <w:r>
        <w:rPr>
          <w:bdr w:val="none" w:sz="0" w:space="0" w:color="auto" w:frame="1"/>
          <w:shd w:val="clear" w:color="auto" w:fill="FFFFFF"/>
        </w:rPr>
        <w:t>The exporter (or the representative thereof) must declare the goods to be exported at least 48 hours before the departure date of the mode of maritime or land transport</w:t>
      </w:r>
      <w:r w:rsidRPr="0060155B">
        <w:rPr>
          <w:bdr w:val="none" w:sz="0" w:space="0" w:color="auto" w:frame="1"/>
          <w:shd w:val="clear" w:color="auto" w:fill="FFFFFF"/>
        </w:rPr>
        <w:t>. I</w:t>
      </w:r>
      <w:r>
        <w:rPr>
          <w:bdr w:val="none" w:sz="0" w:space="0" w:color="auto" w:frame="1"/>
          <w:shd w:val="clear" w:color="auto" w:fill="FFFFFF"/>
        </w:rPr>
        <w:t xml:space="preserve">f the goods are exported by air, they must be declared at least four hours before the departure of the mode of transport (Article 200 of Law </w:t>
      </w:r>
      <w:r w:rsidRPr="0060155B">
        <w:rPr>
          <w:bdr w:val="none" w:sz="0" w:space="0" w:color="auto" w:frame="1"/>
          <w:shd w:val="clear" w:color="auto" w:fill="FFFFFF"/>
        </w:rPr>
        <w:t>No. </w:t>
      </w:r>
      <w:r>
        <w:rPr>
          <w:bdr w:val="none" w:sz="0" w:space="0" w:color="auto" w:frame="1"/>
          <w:shd w:val="clear" w:color="auto" w:fill="FFFFFF"/>
        </w:rPr>
        <w:t>168</w:t>
      </w:r>
      <w:r w:rsidRPr="0060155B">
        <w:rPr>
          <w:bdr w:val="none" w:sz="0" w:space="0" w:color="auto" w:frame="1"/>
          <w:shd w:val="clear" w:color="auto" w:fill="FFFFFF"/>
        </w:rPr>
        <w:noBreakHyphen/>
      </w:r>
      <w:r>
        <w:rPr>
          <w:bdr w:val="none" w:sz="0" w:space="0" w:color="auto" w:frame="1"/>
          <w:shd w:val="clear" w:color="auto" w:fill="FFFFFF"/>
        </w:rPr>
        <w:t>21)</w:t>
      </w:r>
      <w:r w:rsidRPr="0060155B">
        <w:rPr>
          <w:bdr w:val="none" w:sz="0" w:space="0" w:color="auto" w:frame="1"/>
          <w:shd w:val="clear" w:color="auto" w:fill="FFFFFF"/>
        </w:rPr>
        <w:t xml:space="preserve">. </w:t>
      </w:r>
      <w:r w:rsidRPr="0060155B">
        <w:rPr>
          <w:color w:val="201F1E"/>
          <w:bdr w:val="none" w:sz="0" w:space="0" w:color="auto" w:frame="1"/>
          <w:shd w:val="clear" w:color="auto" w:fill="FFFFFF"/>
        </w:rPr>
        <w:t>T</w:t>
      </w:r>
      <w:r>
        <w:rPr>
          <w:color w:val="201F1E"/>
          <w:bdr w:val="none" w:sz="0" w:space="0" w:color="auto" w:frame="1"/>
          <w:shd w:val="clear" w:color="auto" w:fill="FFFFFF"/>
        </w:rPr>
        <w:t xml:space="preserve">he risk analysis/management system shall determine the mechanisms to ensure the integrity of the cargo (Articles </w:t>
      </w:r>
      <w:r w:rsidR="00696EB0">
        <w:rPr>
          <w:color w:val="201F1E"/>
          <w:bdr w:val="none" w:sz="0" w:space="0" w:color="auto" w:frame="1"/>
          <w:shd w:val="clear" w:color="auto" w:fill="FFFFFF"/>
        </w:rPr>
        <w:t>180</w:t>
      </w:r>
      <w:r>
        <w:rPr>
          <w:color w:val="201F1E"/>
          <w:bdr w:val="none" w:sz="0" w:space="0" w:color="auto" w:frame="1"/>
          <w:shd w:val="clear" w:color="auto" w:fill="FFFFFF"/>
        </w:rPr>
        <w:t xml:space="preserve"> and 227 of Law </w:t>
      </w:r>
      <w:r w:rsidRPr="0060155B">
        <w:rPr>
          <w:color w:val="201F1E"/>
          <w:bdr w:val="none" w:sz="0" w:space="0" w:color="auto" w:frame="1"/>
          <w:shd w:val="clear" w:color="auto" w:fill="FFFFFF"/>
        </w:rPr>
        <w:t>No. </w:t>
      </w:r>
      <w:r>
        <w:rPr>
          <w:color w:val="201F1E"/>
          <w:bdr w:val="none" w:sz="0" w:space="0" w:color="auto" w:frame="1"/>
          <w:shd w:val="clear" w:color="auto" w:fill="FFFFFF"/>
        </w:rPr>
        <w:t>168</w:t>
      </w:r>
      <w:r w:rsidRPr="0060155B">
        <w:rPr>
          <w:color w:val="201F1E"/>
          <w:bdr w:val="none" w:sz="0" w:space="0" w:color="auto" w:frame="1"/>
          <w:shd w:val="clear" w:color="auto" w:fill="FFFFFF"/>
        </w:rPr>
        <w:noBreakHyphen/>
      </w:r>
      <w:r>
        <w:rPr>
          <w:color w:val="201F1E"/>
          <w:bdr w:val="none" w:sz="0" w:space="0" w:color="auto" w:frame="1"/>
          <w:shd w:val="clear" w:color="auto" w:fill="FFFFFF"/>
        </w:rPr>
        <w:t>21)</w:t>
      </w:r>
      <w:r w:rsidRPr="0060155B">
        <w:rPr>
          <w:color w:val="201F1E"/>
          <w:bdr w:val="none" w:sz="0" w:space="0" w:color="auto" w:frame="1"/>
          <w:shd w:val="clear" w:color="auto" w:fill="FFFFFF"/>
        </w:rPr>
        <w:t xml:space="preserve">. </w:t>
      </w:r>
      <w:r w:rsidRPr="0060155B">
        <w:rPr>
          <w:bdr w:val="none" w:sz="0" w:space="0" w:color="auto" w:frame="1"/>
          <w:shd w:val="clear" w:color="auto" w:fill="FFFFFF"/>
        </w:rPr>
        <w:t>T</w:t>
      </w:r>
      <w:r>
        <w:rPr>
          <w:bdr w:val="none" w:sz="0" w:space="0" w:color="auto" w:frame="1"/>
          <w:shd w:val="clear" w:color="auto" w:fill="FFFFFF"/>
        </w:rPr>
        <w:t>he risk system result shall determine the processing channel– green (express clearance), orange (documentary inspection) or red (documentary and physical inspection or check) – and the type of inspection to be carried out</w:t>
      </w:r>
      <w:r w:rsidRPr="0060155B">
        <w:rPr>
          <w:bdr w:val="none" w:sz="0" w:space="0" w:color="auto" w:frame="1"/>
          <w:shd w:val="clear" w:color="auto" w:fill="FFFFFF"/>
        </w:rPr>
        <w:t>.</w:t>
      </w:r>
      <w:r w:rsidRPr="0060155B">
        <w:rPr>
          <w:rStyle w:val="FootnoteReference"/>
          <w:bdr w:val="none" w:sz="0" w:space="0" w:color="auto" w:frame="1"/>
          <w:shd w:val="clear" w:color="auto" w:fill="FFFFFF"/>
        </w:rPr>
        <w:footnoteReference w:id="159"/>
      </w:r>
      <w:r w:rsidRPr="0060155B">
        <w:rPr>
          <w:bdr w:val="none" w:sz="0" w:space="0" w:color="auto" w:frame="1"/>
          <w:shd w:val="clear" w:color="auto" w:fill="FFFFFF"/>
        </w:rPr>
        <w:t xml:space="preserve"> P</w:t>
      </w:r>
      <w:r>
        <w:rPr>
          <w:bdr w:val="none" w:sz="0" w:space="0" w:color="auto" w:frame="1"/>
          <w:shd w:val="clear" w:color="auto" w:fill="FFFFFF"/>
        </w:rPr>
        <w:t>hysical inspections, where required, may be carried out at the exporter's premises or at a customs warehouse, for which the exporter must arrange the date and time of the check with the Customs Administration and para</w:t>
      </w:r>
      <w:r w:rsidRPr="0060155B">
        <w:rPr>
          <w:bdr w:val="none" w:sz="0" w:space="0" w:color="auto" w:frame="1"/>
          <w:shd w:val="clear" w:color="auto" w:fill="FFFFFF"/>
        </w:rPr>
        <w:noBreakHyphen/>
      </w:r>
      <w:r>
        <w:rPr>
          <w:bdr w:val="none" w:sz="0" w:space="0" w:color="auto" w:frame="1"/>
          <w:shd w:val="clear" w:color="auto" w:fill="FFFFFF"/>
        </w:rPr>
        <w:t>customs entities, in accordance with the joint</w:t>
      </w:r>
      <w:r w:rsidRPr="0060155B">
        <w:rPr>
          <w:bdr w:val="none" w:sz="0" w:space="0" w:color="auto" w:frame="1"/>
          <w:shd w:val="clear" w:color="auto" w:fill="FFFFFF"/>
        </w:rPr>
        <w:noBreakHyphen/>
      </w:r>
      <w:r>
        <w:rPr>
          <w:bdr w:val="none" w:sz="0" w:space="0" w:color="auto" w:frame="1"/>
          <w:shd w:val="clear" w:color="auto" w:fill="FFFFFF"/>
        </w:rPr>
        <w:t>inspection protocol</w:t>
      </w:r>
      <w:r w:rsidRPr="0060155B">
        <w:rPr>
          <w:bdr w:val="none" w:sz="0" w:space="0" w:color="auto" w:frame="1"/>
          <w:shd w:val="clear" w:color="auto" w:fill="FFFFFF"/>
        </w:rPr>
        <w:t xml:space="preserve">. </w:t>
      </w:r>
      <w:r w:rsidRPr="0060155B">
        <w:rPr>
          <w:rFonts w:asciiTheme="minorHAnsi" w:hAnsiTheme="minorHAnsi"/>
          <w:bdr w:val="none" w:sz="0" w:space="0" w:color="auto" w:frame="1"/>
          <w:shd w:val="clear" w:color="auto" w:fill="FFFFFF"/>
        </w:rPr>
        <w:t>P</w:t>
      </w:r>
      <w:r>
        <w:rPr>
          <w:rFonts w:asciiTheme="minorHAnsi" w:hAnsiTheme="minorHAnsi"/>
          <w:bdr w:val="none" w:sz="0" w:space="0" w:color="auto" w:frame="1"/>
          <w:shd w:val="clear" w:color="auto" w:fill="FFFFFF"/>
        </w:rPr>
        <w:t>hysical inspections must be conducted jointly and simultaneously between Customs and all border agencies</w:t>
      </w:r>
      <w:r w:rsidRPr="0060155B">
        <w:rPr>
          <w:rFonts w:asciiTheme="minorHAnsi" w:hAnsiTheme="minorHAnsi"/>
          <w:bdr w:val="none" w:sz="0" w:space="0" w:color="auto" w:frame="1"/>
          <w:shd w:val="clear" w:color="auto" w:fill="FFFFFF"/>
        </w:rPr>
        <w:t xml:space="preserve">. </w:t>
      </w:r>
      <w:r w:rsidRPr="0060155B">
        <w:rPr>
          <w:rFonts w:asciiTheme="minorHAnsi" w:hAnsiTheme="minorHAnsi"/>
          <w:color w:val="201F1E"/>
          <w:bdr w:val="none" w:sz="0" w:space="0" w:color="auto" w:frame="1"/>
          <w:shd w:val="clear" w:color="auto" w:fill="FFFFFF"/>
        </w:rPr>
        <w:t>U</w:t>
      </w:r>
      <w:r>
        <w:rPr>
          <w:rFonts w:asciiTheme="minorHAnsi" w:hAnsiTheme="minorHAnsi"/>
          <w:color w:val="201F1E"/>
          <w:bdr w:val="none" w:sz="0" w:space="0" w:color="auto" w:frame="1"/>
          <w:shd w:val="clear" w:color="auto" w:fill="FFFFFF"/>
        </w:rPr>
        <w:t>pon completion of the physical inspection, the exporter requests the entry of the cargo into the port, airport or land border crossing using the DGA's SIGA</w:t>
      </w:r>
      <w:r w:rsidRPr="0060155B">
        <w:rPr>
          <w:rFonts w:asciiTheme="minorHAnsi" w:hAnsiTheme="minorHAnsi"/>
          <w:color w:val="201F1E"/>
          <w:bdr w:val="none" w:sz="0" w:space="0" w:color="auto" w:frame="1"/>
          <w:shd w:val="clear" w:color="auto" w:fill="FFFFFF"/>
        </w:rPr>
        <w:t>. T</w:t>
      </w:r>
      <w:r>
        <w:rPr>
          <w:rFonts w:asciiTheme="minorHAnsi" w:hAnsiTheme="minorHAnsi"/>
          <w:color w:val="201F1E"/>
          <w:bdr w:val="none" w:sz="0" w:space="0" w:color="auto" w:frame="1"/>
          <w:shd w:val="clear" w:color="auto" w:fill="FFFFFF"/>
        </w:rPr>
        <w:t xml:space="preserve">he goods must be exported within 20 calendar days of the </w:t>
      </w:r>
      <w:r>
        <w:t>single customs declaration</w:t>
      </w:r>
      <w:r w:rsidDel="006B4369">
        <w:rPr>
          <w:rFonts w:asciiTheme="minorHAnsi" w:hAnsiTheme="minorHAnsi"/>
          <w:color w:val="201F1E"/>
          <w:bdr w:val="none" w:sz="0" w:space="0" w:color="auto" w:frame="1"/>
          <w:shd w:val="clear" w:color="auto" w:fill="FFFFFF"/>
        </w:rPr>
        <w:t xml:space="preserve"> </w:t>
      </w:r>
      <w:r>
        <w:rPr>
          <w:rFonts w:asciiTheme="minorHAnsi" w:hAnsiTheme="minorHAnsi"/>
          <w:color w:val="201F1E"/>
          <w:bdr w:val="none" w:sz="0" w:space="0" w:color="auto" w:frame="1"/>
          <w:shd w:val="clear" w:color="auto" w:fill="FFFFFF"/>
        </w:rPr>
        <w:t>being approved</w:t>
      </w:r>
      <w:r w:rsidRPr="0060155B">
        <w:rPr>
          <w:rFonts w:asciiTheme="minorHAnsi" w:hAnsiTheme="minorHAnsi"/>
          <w:color w:val="201F1E"/>
          <w:bdr w:val="none" w:sz="0" w:space="0" w:color="auto" w:frame="1"/>
          <w:shd w:val="clear" w:color="auto" w:fill="FFFFFF"/>
        </w:rPr>
        <w:t xml:space="preserve">. </w:t>
      </w:r>
      <w:r w:rsidRPr="0060155B">
        <w:rPr>
          <w:shd w:val="clear" w:color="auto" w:fill="FFFFFF"/>
        </w:rPr>
        <w:t>F</w:t>
      </w:r>
      <w:r>
        <w:rPr>
          <w:shd w:val="clear" w:color="auto" w:fill="FFFFFF"/>
        </w:rPr>
        <w:t xml:space="preserve">ailure to do so will result in the </w:t>
      </w:r>
      <w:r>
        <w:t>declaration</w:t>
      </w:r>
      <w:r w:rsidDel="006B4369">
        <w:rPr>
          <w:shd w:val="clear" w:color="auto" w:fill="FFFFFF"/>
        </w:rPr>
        <w:t xml:space="preserve"> </w:t>
      </w:r>
      <w:r>
        <w:rPr>
          <w:shd w:val="clear" w:color="auto" w:fill="FFFFFF"/>
        </w:rPr>
        <w:t>being rejected and the export process must recommence (Articles 183 and 209)</w:t>
      </w:r>
      <w:r w:rsidRPr="0060155B">
        <w:rPr>
          <w:shd w:val="clear" w:color="auto" w:fill="FFFFFF"/>
        </w:rPr>
        <w:t>; t</w:t>
      </w:r>
      <w:r>
        <w:rPr>
          <w:shd w:val="clear" w:color="auto" w:fill="FFFFFF"/>
        </w:rPr>
        <w:t xml:space="preserve">he </w:t>
      </w:r>
      <w:r>
        <w:t xml:space="preserve">single customs </w:t>
      </w:r>
      <w:r>
        <w:rPr>
          <w:shd w:val="clear" w:color="auto" w:fill="FFFFFF"/>
        </w:rPr>
        <w:t>declaration may also be rejected in other instances.</w:t>
      </w:r>
      <w:bookmarkStart w:id="187" w:name="_Hlk100333062"/>
      <w:r>
        <w:rPr>
          <w:rStyle w:val="FootnoteReference"/>
          <w:shd w:val="clear" w:color="auto" w:fill="FFFFFF"/>
        </w:rPr>
        <w:footnoteReference w:id="160"/>
      </w:r>
    </w:p>
    <w:bookmarkEnd w:id="187"/>
    <w:p w14:paraId="52BFA2A1" w14:textId="77777777" w:rsidR="001A500E" w:rsidRPr="007C74EF" w:rsidRDefault="001A500E" w:rsidP="00574469">
      <w:pPr>
        <w:pStyle w:val="BodyText"/>
      </w:pPr>
      <w:r>
        <w:lastRenderedPageBreak/>
        <w:t>Some products also require a specific procedure to be exported, such as an export permit, approval or certificate (Table 3.10)</w:t>
      </w:r>
      <w:r w:rsidRPr="0060155B">
        <w:t>. F</w:t>
      </w:r>
      <w:r>
        <w:t>or agricultural products, depending on the nature of the product, establishments and production areas (farms, enterprises, packing plants) must be registered with the Ministry of Agriculture, with the Department of Food Safety (</w:t>
      </w:r>
      <w:proofErr w:type="spellStart"/>
      <w:r>
        <w:t>DIA</w:t>
      </w:r>
      <w:proofErr w:type="spellEnd"/>
      <w:r>
        <w:t>) and with the Pre</w:t>
      </w:r>
      <w:r w:rsidRPr="0060155B">
        <w:noBreakHyphen/>
      </w:r>
      <w:r>
        <w:t>inspection Programme for Fresh Produce Exports of Agricultural Origin (</w:t>
      </w:r>
      <w:proofErr w:type="spellStart"/>
      <w:r>
        <w:t>PREINSPECCIONA</w:t>
      </w:r>
      <w:proofErr w:type="spellEnd"/>
      <w:r>
        <w:t>)</w:t>
      </w:r>
      <w:r w:rsidRPr="0060155B">
        <w:t>. I</w:t>
      </w:r>
      <w:r>
        <w:t>n addition, before such products are exported, they must have been granted prior approval or have met special requirements applicable to each export product, in accordance with the rules in force</w:t>
      </w:r>
      <w:r w:rsidRPr="0060155B">
        <w:t>.</w:t>
      </w:r>
      <w:r w:rsidRPr="0060155B">
        <w:rPr>
          <w:rStyle w:val="FootnoteReference"/>
        </w:rPr>
        <w:footnoteReference w:id="161"/>
      </w:r>
      <w:r w:rsidRPr="0060155B">
        <w:t xml:space="preserve"> A</w:t>
      </w:r>
      <w:r>
        <w:t>lcohol and tobacco products require an Export Authorization for Alcoholic Beverages and Cigarettes issued by the Directorate</w:t>
      </w:r>
      <w:r w:rsidRPr="0060155B">
        <w:noBreakHyphen/>
      </w:r>
      <w:r>
        <w:t>General of Internal Revenue (</w:t>
      </w:r>
      <w:proofErr w:type="spellStart"/>
      <w:r>
        <w:t>DGII</w:t>
      </w:r>
      <w:proofErr w:type="spellEnd"/>
      <w:r>
        <w:t xml:space="preserve">) (Regulation </w:t>
      </w:r>
      <w:r w:rsidRPr="0060155B">
        <w:t>No. </w:t>
      </w:r>
      <w:r>
        <w:t>79</w:t>
      </w:r>
      <w:r w:rsidRPr="0060155B">
        <w:noBreakHyphen/>
      </w:r>
      <w:r>
        <w:t>03)</w:t>
      </w:r>
      <w:r w:rsidRPr="0060155B">
        <w:t>. H</w:t>
      </w:r>
      <w:r>
        <w:t>owever, to obtain the authorization, a Sanitary Registration Certificate must first be obtained from the Directorate</w:t>
      </w:r>
      <w:r w:rsidRPr="0060155B">
        <w:noBreakHyphen/>
      </w:r>
      <w:r>
        <w:t>General of Medicines, Food and Health Products (</w:t>
      </w:r>
      <w:proofErr w:type="spellStart"/>
      <w:r>
        <w:t>DIGEMAPS</w:t>
      </w:r>
      <w:proofErr w:type="spellEnd"/>
      <w:r>
        <w:t>)</w:t>
      </w:r>
      <w:r w:rsidRPr="0060155B">
        <w:t>.</w:t>
      </w:r>
      <w:r w:rsidRPr="0060155B">
        <w:rPr>
          <w:rStyle w:val="FootnoteReference"/>
        </w:rPr>
        <w:footnoteReference w:id="162"/>
      </w:r>
      <w:r w:rsidRPr="0060155B">
        <w:t xml:space="preserve"> A</w:t>
      </w:r>
      <w:r>
        <w:t xml:space="preserve"> permit is also required to export sugar.</w:t>
      </w:r>
      <w:bookmarkStart w:id="188" w:name="_Hlk100333932"/>
      <w:r>
        <w:rPr>
          <w:rStyle w:val="FootnoteReference"/>
        </w:rPr>
        <w:footnoteReference w:id="163"/>
      </w:r>
    </w:p>
    <w:p w14:paraId="1CCECDBC" w14:textId="77777777" w:rsidR="001A500E" w:rsidRDefault="001A500E" w:rsidP="00B900E5">
      <w:pPr>
        <w:pStyle w:val="Caption"/>
        <w:rPr>
          <w:color w:val="auto"/>
        </w:rPr>
      </w:pPr>
      <w:bookmarkStart w:id="189" w:name="_Toc117238043"/>
      <w:r>
        <w:t xml:space="preserve">Table </w:t>
      </w:r>
      <w:r w:rsidR="00BD37F2">
        <w:fldChar w:fldCharType="begin"/>
      </w:r>
      <w:r w:rsidR="00BD37F2">
        <w:instrText xml:space="preserve"> STYLEREF 1 \s </w:instrText>
      </w:r>
      <w:r w:rsidR="00BD37F2">
        <w:fldChar w:fldCharType="separate"/>
      </w:r>
      <w:r>
        <w:rPr>
          <w:noProof/>
        </w:rPr>
        <w:t>3</w:t>
      </w:r>
      <w:r w:rsidR="00BD37F2">
        <w:rPr>
          <w:noProof/>
        </w:rPr>
        <w:fldChar w:fldCharType="end"/>
      </w:r>
      <w:r>
        <w:t>.</w:t>
      </w:r>
      <w:r w:rsidR="00BD37F2">
        <w:fldChar w:fldCharType="begin"/>
      </w:r>
      <w:r w:rsidR="00BD37F2">
        <w:instrText xml:space="preserve"> SEQ Table \* ARABIC \s 1 </w:instrText>
      </w:r>
      <w:r w:rsidR="00BD37F2">
        <w:fldChar w:fldCharType="separate"/>
      </w:r>
      <w:r>
        <w:rPr>
          <w:noProof/>
        </w:rPr>
        <w:t>10</w:t>
      </w:r>
      <w:r w:rsidR="00BD37F2">
        <w:rPr>
          <w:noProof/>
        </w:rPr>
        <w:fldChar w:fldCharType="end"/>
      </w:r>
      <w:r>
        <w:t xml:space="preserve"> Specific export procedures, 2022</w:t>
      </w:r>
      <w:bookmarkEnd w:id="189"/>
      <w:r>
        <w:t xml:space="preserve"> </w:t>
      </w: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2104"/>
        <w:gridCol w:w="3007"/>
        <w:gridCol w:w="1718"/>
        <w:gridCol w:w="2187"/>
      </w:tblGrid>
      <w:tr w:rsidR="001A500E" w:rsidRPr="00996FEE" w14:paraId="2EB53701" w14:textId="77777777" w:rsidTr="001F3C85">
        <w:trPr>
          <w:cantSplit/>
          <w:tblHeader/>
        </w:trPr>
        <w:tc>
          <w:tcPr>
            <w:tcW w:w="2176" w:type="dxa"/>
            <w:shd w:val="clear" w:color="auto" w:fill="006283"/>
            <w:vAlign w:val="center"/>
          </w:tcPr>
          <w:p w14:paraId="44B77791" w14:textId="77777777" w:rsidR="001A500E" w:rsidRPr="00996FEE" w:rsidRDefault="001A500E" w:rsidP="001F3C85">
            <w:pPr>
              <w:jc w:val="center"/>
              <w:rPr>
                <w:b/>
                <w:color w:val="FFFFFF"/>
                <w:sz w:val="15"/>
                <w:szCs w:val="15"/>
              </w:rPr>
            </w:pPr>
            <w:r>
              <w:rPr>
                <w:b/>
                <w:color w:val="FFFFFF"/>
                <w:sz w:val="15"/>
              </w:rPr>
              <w:t xml:space="preserve">Product </w:t>
            </w:r>
          </w:p>
        </w:tc>
        <w:tc>
          <w:tcPr>
            <w:tcW w:w="2743" w:type="dxa"/>
            <w:shd w:val="clear" w:color="auto" w:fill="006283"/>
            <w:vAlign w:val="center"/>
          </w:tcPr>
          <w:p w14:paraId="4D72E073" w14:textId="77777777" w:rsidR="001A500E" w:rsidRPr="00996FEE" w:rsidRDefault="001A500E" w:rsidP="001F3C85">
            <w:pPr>
              <w:jc w:val="center"/>
              <w:rPr>
                <w:b/>
                <w:color w:val="FFFFFF"/>
                <w:sz w:val="15"/>
                <w:szCs w:val="15"/>
              </w:rPr>
            </w:pPr>
            <w:r>
              <w:rPr>
                <w:b/>
                <w:color w:val="FFFFFF"/>
                <w:sz w:val="15"/>
              </w:rPr>
              <w:t>Type of procedure/purpose/requirement</w:t>
            </w:r>
          </w:p>
        </w:tc>
        <w:tc>
          <w:tcPr>
            <w:tcW w:w="1785" w:type="dxa"/>
            <w:shd w:val="clear" w:color="auto" w:fill="006283"/>
            <w:vAlign w:val="center"/>
          </w:tcPr>
          <w:p w14:paraId="4B196F66" w14:textId="77777777" w:rsidR="001A500E" w:rsidRPr="00996FEE" w:rsidRDefault="001A500E" w:rsidP="001F3C85">
            <w:pPr>
              <w:jc w:val="center"/>
              <w:rPr>
                <w:b/>
                <w:color w:val="FFFFFF"/>
                <w:sz w:val="15"/>
                <w:szCs w:val="15"/>
              </w:rPr>
            </w:pPr>
            <w:r>
              <w:rPr>
                <w:b/>
                <w:color w:val="FFFFFF"/>
                <w:sz w:val="15"/>
              </w:rPr>
              <w:t xml:space="preserve">Legislation </w:t>
            </w:r>
          </w:p>
        </w:tc>
        <w:tc>
          <w:tcPr>
            <w:tcW w:w="2312" w:type="dxa"/>
            <w:shd w:val="clear" w:color="auto" w:fill="006283"/>
            <w:vAlign w:val="center"/>
          </w:tcPr>
          <w:p w14:paraId="29D36ACE" w14:textId="77777777" w:rsidR="001A500E" w:rsidRPr="00996FEE" w:rsidRDefault="001A500E" w:rsidP="001F3C85">
            <w:pPr>
              <w:jc w:val="center"/>
              <w:rPr>
                <w:b/>
                <w:color w:val="FFFFFF"/>
                <w:sz w:val="15"/>
                <w:szCs w:val="15"/>
              </w:rPr>
            </w:pPr>
            <w:r>
              <w:rPr>
                <w:b/>
                <w:color w:val="FFFFFF"/>
                <w:sz w:val="15"/>
              </w:rPr>
              <w:t xml:space="preserve">Institution </w:t>
            </w:r>
          </w:p>
        </w:tc>
      </w:tr>
      <w:tr w:rsidR="001A500E" w:rsidRPr="00996FEE" w14:paraId="4969475D" w14:textId="77777777" w:rsidTr="001F3C85">
        <w:trPr>
          <w:cantSplit/>
        </w:trPr>
        <w:tc>
          <w:tcPr>
            <w:tcW w:w="2176" w:type="dxa"/>
            <w:shd w:val="clear" w:color="auto" w:fill="auto"/>
          </w:tcPr>
          <w:p w14:paraId="790BF6DA" w14:textId="77777777" w:rsidR="001A500E" w:rsidRPr="00996FEE" w:rsidRDefault="001A500E" w:rsidP="001F3C85">
            <w:pPr>
              <w:jc w:val="left"/>
              <w:rPr>
                <w:sz w:val="15"/>
                <w:szCs w:val="15"/>
              </w:rPr>
            </w:pPr>
            <w:r>
              <w:rPr>
                <w:sz w:val="15"/>
              </w:rPr>
              <w:t xml:space="preserve">Vegetable and animal products </w:t>
            </w:r>
          </w:p>
        </w:tc>
        <w:tc>
          <w:tcPr>
            <w:tcW w:w="2743" w:type="dxa"/>
            <w:shd w:val="clear" w:color="auto" w:fill="auto"/>
          </w:tcPr>
          <w:p w14:paraId="5B0A1310" w14:textId="77777777" w:rsidR="001A500E" w:rsidRPr="00996FEE" w:rsidRDefault="001A500E" w:rsidP="001F3C85">
            <w:pPr>
              <w:jc w:val="left"/>
              <w:rPr>
                <w:b/>
                <w:bCs/>
                <w:sz w:val="15"/>
                <w:szCs w:val="15"/>
              </w:rPr>
            </w:pPr>
            <w:r>
              <w:rPr>
                <w:sz w:val="15"/>
              </w:rPr>
              <w:t>Phytosanitary certificate</w:t>
            </w:r>
          </w:p>
        </w:tc>
        <w:tc>
          <w:tcPr>
            <w:tcW w:w="1785" w:type="dxa"/>
            <w:shd w:val="clear" w:color="auto" w:fill="auto"/>
          </w:tcPr>
          <w:p w14:paraId="2C8A2F0C" w14:textId="77777777" w:rsidR="001A500E" w:rsidRPr="00996FEE" w:rsidRDefault="001A500E" w:rsidP="001F3C85">
            <w:pPr>
              <w:jc w:val="left"/>
              <w:rPr>
                <w:rFonts w:cs="Calibri"/>
                <w:b/>
                <w:sz w:val="15"/>
                <w:szCs w:val="15"/>
              </w:rPr>
            </w:pPr>
            <w:r>
              <w:rPr>
                <w:sz w:val="15"/>
              </w:rPr>
              <w:t>Law No. 4990</w:t>
            </w:r>
            <w:r w:rsidRPr="0060155B">
              <w:rPr>
                <w:sz w:val="15"/>
              </w:rPr>
              <w:noBreakHyphen/>
            </w:r>
            <w:r>
              <w:rPr>
                <w:sz w:val="15"/>
              </w:rPr>
              <w:t>58</w:t>
            </w:r>
          </w:p>
          <w:p w14:paraId="4C3B97DB" w14:textId="77777777" w:rsidR="001A500E" w:rsidRPr="00996FEE" w:rsidRDefault="001A500E" w:rsidP="001F3C85">
            <w:pPr>
              <w:jc w:val="left"/>
              <w:rPr>
                <w:rFonts w:cs="Calibri"/>
                <w:sz w:val="15"/>
                <w:szCs w:val="15"/>
              </w:rPr>
            </w:pPr>
            <w:r>
              <w:rPr>
                <w:sz w:val="15"/>
              </w:rPr>
              <w:t>Law No. 4030</w:t>
            </w:r>
            <w:r w:rsidRPr="0060155B">
              <w:rPr>
                <w:sz w:val="15"/>
              </w:rPr>
              <w:noBreakHyphen/>
            </w:r>
            <w:r>
              <w:rPr>
                <w:sz w:val="15"/>
              </w:rPr>
              <w:t>55</w:t>
            </w:r>
          </w:p>
          <w:p w14:paraId="253D84C0" w14:textId="77777777" w:rsidR="001A500E" w:rsidRPr="00996FEE" w:rsidRDefault="001A500E" w:rsidP="001F3C85">
            <w:pPr>
              <w:jc w:val="left"/>
              <w:rPr>
                <w:sz w:val="15"/>
                <w:szCs w:val="15"/>
              </w:rPr>
            </w:pPr>
            <w:r>
              <w:rPr>
                <w:sz w:val="15"/>
              </w:rPr>
              <w:t>Decree No. 1142</w:t>
            </w:r>
            <w:r w:rsidRPr="0060155B">
              <w:rPr>
                <w:sz w:val="15"/>
              </w:rPr>
              <w:noBreakHyphen/>
            </w:r>
            <w:r>
              <w:rPr>
                <w:sz w:val="15"/>
              </w:rPr>
              <w:t>66</w:t>
            </w:r>
          </w:p>
        </w:tc>
        <w:tc>
          <w:tcPr>
            <w:tcW w:w="2312" w:type="dxa"/>
            <w:shd w:val="clear" w:color="auto" w:fill="auto"/>
          </w:tcPr>
          <w:p w14:paraId="441A8B92" w14:textId="77777777" w:rsidR="001A500E" w:rsidRPr="00996FEE" w:rsidRDefault="001A500E" w:rsidP="001F3C85">
            <w:pPr>
              <w:jc w:val="left"/>
              <w:rPr>
                <w:sz w:val="15"/>
                <w:szCs w:val="15"/>
              </w:rPr>
            </w:pPr>
            <w:r>
              <w:rPr>
                <w:sz w:val="15"/>
              </w:rPr>
              <w:t>Ministry of Agriculture</w:t>
            </w:r>
          </w:p>
        </w:tc>
      </w:tr>
      <w:tr w:rsidR="001A500E" w:rsidRPr="00996FEE" w14:paraId="7A1CD176" w14:textId="77777777" w:rsidTr="001F3C85">
        <w:trPr>
          <w:cantSplit/>
        </w:trPr>
        <w:tc>
          <w:tcPr>
            <w:tcW w:w="2176" w:type="dxa"/>
            <w:shd w:val="clear" w:color="auto" w:fill="C9DED4"/>
          </w:tcPr>
          <w:p w14:paraId="66E3A721" w14:textId="77777777" w:rsidR="001A500E" w:rsidRPr="00996FEE" w:rsidRDefault="001A500E" w:rsidP="001F3C85">
            <w:pPr>
              <w:jc w:val="left"/>
              <w:rPr>
                <w:sz w:val="15"/>
                <w:szCs w:val="15"/>
              </w:rPr>
            </w:pPr>
            <w:r>
              <w:rPr>
                <w:sz w:val="15"/>
              </w:rPr>
              <w:t>Mineral products</w:t>
            </w:r>
          </w:p>
        </w:tc>
        <w:tc>
          <w:tcPr>
            <w:tcW w:w="2743" w:type="dxa"/>
            <w:shd w:val="clear" w:color="auto" w:fill="C9DED4"/>
          </w:tcPr>
          <w:p w14:paraId="468F8FDA" w14:textId="77777777" w:rsidR="001A500E" w:rsidRPr="00996FEE" w:rsidRDefault="001A500E" w:rsidP="001F3C85">
            <w:pPr>
              <w:jc w:val="left"/>
              <w:rPr>
                <w:sz w:val="15"/>
                <w:szCs w:val="15"/>
              </w:rPr>
            </w:pPr>
            <w:r>
              <w:rPr>
                <w:sz w:val="15"/>
              </w:rPr>
              <w:t>Certification of no objection to the export of metallic and non</w:t>
            </w:r>
            <w:r w:rsidRPr="0060155B">
              <w:rPr>
                <w:sz w:val="15"/>
              </w:rPr>
              <w:noBreakHyphen/>
            </w:r>
            <w:r>
              <w:rPr>
                <w:sz w:val="15"/>
              </w:rPr>
              <w:t xml:space="preserve">metallic minerals </w:t>
            </w:r>
          </w:p>
        </w:tc>
        <w:tc>
          <w:tcPr>
            <w:tcW w:w="1785" w:type="dxa"/>
            <w:shd w:val="clear" w:color="auto" w:fill="C9DED4"/>
            <w:vAlign w:val="center"/>
          </w:tcPr>
          <w:p w14:paraId="0C8E897F" w14:textId="77777777" w:rsidR="001A500E" w:rsidRPr="00996FEE" w:rsidRDefault="001A500E" w:rsidP="001F3C85">
            <w:pPr>
              <w:jc w:val="left"/>
              <w:rPr>
                <w:sz w:val="15"/>
                <w:szCs w:val="15"/>
              </w:rPr>
            </w:pPr>
            <w:r>
              <w:rPr>
                <w:sz w:val="15"/>
              </w:rPr>
              <w:t>Law No. 146</w:t>
            </w:r>
            <w:r w:rsidRPr="0060155B">
              <w:rPr>
                <w:sz w:val="15"/>
              </w:rPr>
              <w:noBreakHyphen/>
            </w:r>
            <w:r>
              <w:rPr>
                <w:sz w:val="15"/>
              </w:rPr>
              <w:t>71</w:t>
            </w:r>
          </w:p>
        </w:tc>
        <w:tc>
          <w:tcPr>
            <w:tcW w:w="2312" w:type="dxa"/>
            <w:shd w:val="clear" w:color="auto" w:fill="C9DED4"/>
          </w:tcPr>
          <w:p w14:paraId="533D84CF" w14:textId="77777777" w:rsidR="001A500E" w:rsidRPr="00996FEE" w:rsidRDefault="001A500E" w:rsidP="001F3C85">
            <w:pPr>
              <w:jc w:val="left"/>
              <w:rPr>
                <w:sz w:val="15"/>
                <w:szCs w:val="15"/>
              </w:rPr>
            </w:pPr>
            <w:r>
              <w:rPr>
                <w:sz w:val="15"/>
              </w:rPr>
              <w:t>Ministry of Energy and Mines</w:t>
            </w:r>
          </w:p>
        </w:tc>
      </w:tr>
      <w:tr w:rsidR="001A500E" w:rsidRPr="00996FEE" w14:paraId="22BB806F" w14:textId="77777777" w:rsidTr="001F3C85">
        <w:trPr>
          <w:cantSplit/>
        </w:trPr>
        <w:tc>
          <w:tcPr>
            <w:tcW w:w="2176" w:type="dxa"/>
            <w:shd w:val="clear" w:color="auto" w:fill="auto"/>
          </w:tcPr>
          <w:p w14:paraId="3E9C9B05" w14:textId="77777777" w:rsidR="001A500E" w:rsidRPr="00996FEE" w:rsidRDefault="001A500E" w:rsidP="001F3C85">
            <w:pPr>
              <w:jc w:val="left"/>
              <w:rPr>
                <w:sz w:val="15"/>
                <w:szCs w:val="15"/>
              </w:rPr>
            </w:pPr>
            <w:r>
              <w:rPr>
                <w:sz w:val="15"/>
              </w:rPr>
              <w:t>Food and beverages, pharmaceuticals, health products, cosmetics, home and personal care products</w:t>
            </w:r>
          </w:p>
        </w:tc>
        <w:tc>
          <w:tcPr>
            <w:tcW w:w="2743" w:type="dxa"/>
            <w:shd w:val="clear" w:color="auto" w:fill="auto"/>
          </w:tcPr>
          <w:p w14:paraId="18F3F219" w14:textId="77777777" w:rsidR="001A500E" w:rsidRPr="00996FEE" w:rsidRDefault="001A500E" w:rsidP="001F3C85">
            <w:pPr>
              <w:jc w:val="left"/>
              <w:rPr>
                <w:sz w:val="15"/>
                <w:szCs w:val="15"/>
              </w:rPr>
            </w:pPr>
            <w:r>
              <w:rPr>
                <w:sz w:val="15"/>
              </w:rPr>
              <w:t>Sanitary register</w:t>
            </w:r>
          </w:p>
        </w:tc>
        <w:tc>
          <w:tcPr>
            <w:tcW w:w="1785" w:type="dxa"/>
            <w:shd w:val="clear" w:color="auto" w:fill="auto"/>
          </w:tcPr>
          <w:p w14:paraId="619B7668" w14:textId="77777777" w:rsidR="001A500E" w:rsidRPr="00996FEE" w:rsidRDefault="001A500E" w:rsidP="001F3C85">
            <w:pPr>
              <w:jc w:val="left"/>
              <w:rPr>
                <w:sz w:val="15"/>
                <w:szCs w:val="15"/>
              </w:rPr>
            </w:pPr>
            <w:r>
              <w:rPr>
                <w:sz w:val="15"/>
              </w:rPr>
              <w:t xml:space="preserve">Law </w:t>
            </w:r>
            <w:r w:rsidRPr="0060155B">
              <w:rPr>
                <w:sz w:val="15"/>
              </w:rPr>
              <w:t>No. </w:t>
            </w:r>
            <w:r>
              <w:rPr>
                <w:sz w:val="15"/>
              </w:rPr>
              <w:t>42</w:t>
            </w:r>
            <w:r w:rsidRPr="0060155B">
              <w:rPr>
                <w:sz w:val="15"/>
              </w:rPr>
              <w:noBreakHyphen/>
            </w:r>
            <w:r>
              <w:rPr>
                <w:sz w:val="15"/>
              </w:rPr>
              <w:t xml:space="preserve">01, Decree </w:t>
            </w:r>
            <w:r w:rsidRPr="0060155B">
              <w:rPr>
                <w:sz w:val="15"/>
              </w:rPr>
              <w:t>No. </w:t>
            </w:r>
            <w:r>
              <w:rPr>
                <w:sz w:val="15"/>
              </w:rPr>
              <w:t>82</w:t>
            </w:r>
            <w:r w:rsidRPr="0060155B">
              <w:rPr>
                <w:sz w:val="15"/>
              </w:rPr>
              <w:noBreakHyphen/>
            </w:r>
            <w:r>
              <w:rPr>
                <w:sz w:val="15"/>
              </w:rPr>
              <w:t>15</w:t>
            </w:r>
          </w:p>
        </w:tc>
        <w:tc>
          <w:tcPr>
            <w:tcW w:w="2312" w:type="dxa"/>
            <w:shd w:val="clear" w:color="auto" w:fill="auto"/>
          </w:tcPr>
          <w:p w14:paraId="241A5F01" w14:textId="77777777" w:rsidR="001A500E" w:rsidRPr="00996FEE" w:rsidRDefault="001A500E" w:rsidP="001F3C85">
            <w:pPr>
              <w:jc w:val="left"/>
              <w:rPr>
                <w:sz w:val="15"/>
                <w:szCs w:val="15"/>
              </w:rPr>
            </w:pPr>
            <w:r>
              <w:rPr>
                <w:sz w:val="15"/>
              </w:rPr>
              <w:t xml:space="preserve">Ministry of Public Health and Social Assistance, </w:t>
            </w:r>
            <w:proofErr w:type="spellStart"/>
            <w:r>
              <w:rPr>
                <w:sz w:val="15"/>
              </w:rPr>
              <w:t>DIGEMAPS</w:t>
            </w:r>
            <w:proofErr w:type="spellEnd"/>
          </w:p>
        </w:tc>
      </w:tr>
      <w:tr w:rsidR="001A500E" w:rsidRPr="00996FEE" w14:paraId="5BEDFDC2" w14:textId="77777777" w:rsidTr="001F3C85">
        <w:trPr>
          <w:cantSplit/>
        </w:trPr>
        <w:tc>
          <w:tcPr>
            <w:tcW w:w="2176" w:type="dxa"/>
            <w:shd w:val="clear" w:color="auto" w:fill="C9DED4"/>
          </w:tcPr>
          <w:p w14:paraId="0E3AD85A" w14:textId="77777777" w:rsidR="001A500E" w:rsidRPr="00996FEE" w:rsidRDefault="001A500E" w:rsidP="001F3C85">
            <w:pPr>
              <w:jc w:val="left"/>
              <w:rPr>
                <w:sz w:val="15"/>
                <w:szCs w:val="15"/>
              </w:rPr>
            </w:pPr>
            <w:r>
              <w:rPr>
                <w:sz w:val="15"/>
              </w:rPr>
              <w:t>Sugar</w:t>
            </w:r>
          </w:p>
        </w:tc>
        <w:tc>
          <w:tcPr>
            <w:tcW w:w="2743" w:type="dxa"/>
            <w:shd w:val="clear" w:color="auto" w:fill="C9DED4"/>
          </w:tcPr>
          <w:p w14:paraId="028AA6C0" w14:textId="77777777" w:rsidR="001A500E" w:rsidRPr="00996FEE" w:rsidRDefault="001A500E" w:rsidP="001F3C85">
            <w:pPr>
              <w:jc w:val="left"/>
              <w:rPr>
                <w:rFonts w:cs="Calibri"/>
                <w:sz w:val="15"/>
                <w:szCs w:val="15"/>
              </w:rPr>
            </w:pPr>
            <w:r>
              <w:rPr>
                <w:sz w:val="15"/>
              </w:rPr>
              <w:t>Export permits for domestically produced sugar and sugar products</w:t>
            </w:r>
          </w:p>
          <w:p w14:paraId="1C2BD41E" w14:textId="77777777" w:rsidR="001A500E" w:rsidRPr="00996FEE" w:rsidRDefault="001A500E" w:rsidP="001F3C85">
            <w:pPr>
              <w:jc w:val="left"/>
              <w:rPr>
                <w:sz w:val="15"/>
                <w:szCs w:val="15"/>
              </w:rPr>
            </w:pPr>
          </w:p>
          <w:p w14:paraId="58753780" w14:textId="77777777" w:rsidR="001A500E" w:rsidRDefault="001A500E" w:rsidP="001F3C85">
            <w:pPr>
              <w:jc w:val="left"/>
              <w:rPr>
                <w:sz w:val="15"/>
              </w:rPr>
            </w:pPr>
            <w:r>
              <w:rPr>
                <w:sz w:val="15"/>
              </w:rPr>
              <w:t>Purpose</w:t>
            </w:r>
            <w:r w:rsidRPr="0060155B">
              <w:rPr>
                <w:sz w:val="15"/>
              </w:rPr>
              <w:t>: m</w:t>
            </w:r>
            <w:r>
              <w:rPr>
                <w:sz w:val="15"/>
              </w:rPr>
              <w:t>anage the sugar export quota</w:t>
            </w:r>
          </w:p>
          <w:p w14:paraId="23DF079D" w14:textId="77777777" w:rsidR="001A500E" w:rsidRPr="00996FEE" w:rsidRDefault="001A500E" w:rsidP="001F3C85">
            <w:pPr>
              <w:jc w:val="left"/>
              <w:rPr>
                <w:sz w:val="15"/>
                <w:szCs w:val="15"/>
              </w:rPr>
            </w:pPr>
          </w:p>
          <w:p w14:paraId="3E33CAE8" w14:textId="77777777" w:rsidR="001A500E" w:rsidRPr="00996FEE" w:rsidRDefault="001A500E" w:rsidP="001F3C85">
            <w:pPr>
              <w:jc w:val="left"/>
              <w:rPr>
                <w:sz w:val="15"/>
                <w:szCs w:val="15"/>
              </w:rPr>
            </w:pPr>
            <w:r>
              <w:rPr>
                <w:sz w:val="15"/>
              </w:rPr>
              <w:t>Requirement</w:t>
            </w:r>
            <w:r w:rsidRPr="0060155B">
              <w:rPr>
                <w:sz w:val="15"/>
              </w:rPr>
              <w:t>: d</w:t>
            </w:r>
            <w:r>
              <w:rPr>
                <w:sz w:val="15"/>
              </w:rPr>
              <w:t xml:space="preserve">omestic producer with a quota allocated under the </w:t>
            </w:r>
            <w:proofErr w:type="spellStart"/>
            <w:r w:rsidRPr="007F474B">
              <w:rPr>
                <w:i/>
                <w:iCs/>
                <w:sz w:val="15"/>
              </w:rPr>
              <w:t>zafra</w:t>
            </w:r>
            <w:proofErr w:type="spellEnd"/>
            <w:r>
              <w:rPr>
                <w:sz w:val="15"/>
              </w:rPr>
              <w:t xml:space="preserve"> (sugar harvest) decree issued annually.</w:t>
            </w:r>
          </w:p>
        </w:tc>
        <w:tc>
          <w:tcPr>
            <w:tcW w:w="1785" w:type="dxa"/>
            <w:shd w:val="clear" w:color="auto" w:fill="C9DED4"/>
          </w:tcPr>
          <w:p w14:paraId="63FBFAF3" w14:textId="77777777" w:rsidR="001A500E" w:rsidRPr="00996FEE" w:rsidRDefault="001A500E" w:rsidP="001F3C85">
            <w:pPr>
              <w:jc w:val="left"/>
              <w:rPr>
                <w:sz w:val="15"/>
                <w:szCs w:val="15"/>
              </w:rPr>
            </w:pPr>
            <w:r>
              <w:rPr>
                <w:sz w:val="15"/>
              </w:rPr>
              <w:t xml:space="preserve">Law </w:t>
            </w:r>
            <w:r w:rsidRPr="0060155B">
              <w:rPr>
                <w:sz w:val="15"/>
              </w:rPr>
              <w:t>No. </w:t>
            </w:r>
            <w:r>
              <w:rPr>
                <w:sz w:val="15"/>
              </w:rPr>
              <w:t>618</w:t>
            </w:r>
            <w:r w:rsidRPr="0060155B">
              <w:rPr>
                <w:sz w:val="15"/>
              </w:rPr>
              <w:noBreakHyphen/>
            </w:r>
            <w:r>
              <w:rPr>
                <w:sz w:val="15"/>
              </w:rPr>
              <w:t xml:space="preserve">65, Decree </w:t>
            </w:r>
            <w:r w:rsidRPr="0060155B">
              <w:rPr>
                <w:sz w:val="15"/>
              </w:rPr>
              <w:t>No. </w:t>
            </w:r>
            <w:r>
              <w:rPr>
                <w:sz w:val="15"/>
              </w:rPr>
              <w:t>745</w:t>
            </w:r>
            <w:r w:rsidRPr="0060155B">
              <w:rPr>
                <w:sz w:val="15"/>
              </w:rPr>
              <w:noBreakHyphen/>
            </w:r>
            <w:r>
              <w:rPr>
                <w:sz w:val="15"/>
              </w:rPr>
              <w:t>21</w:t>
            </w:r>
          </w:p>
        </w:tc>
        <w:tc>
          <w:tcPr>
            <w:tcW w:w="2312" w:type="dxa"/>
            <w:shd w:val="clear" w:color="auto" w:fill="C9DED4"/>
          </w:tcPr>
          <w:p w14:paraId="54D71FDB" w14:textId="77777777" w:rsidR="001A500E" w:rsidRPr="00996FEE" w:rsidRDefault="001A500E" w:rsidP="001F3C85">
            <w:pPr>
              <w:jc w:val="left"/>
              <w:rPr>
                <w:sz w:val="15"/>
                <w:szCs w:val="15"/>
              </w:rPr>
            </w:pPr>
            <w:r>
              <w:rPr>
                <w:sz w:val="15"/>
              </w:rPr>
              <w:t>Dominican Sugar Institute (</w:t>
            </w:r>
            <w:proofErr w:type="spellStart"/>
            <w:r>
              <w:rPr>
                <w:sz w:val="15"/>
              </w:rPr>
              <w:t>INAZUCAR</w:t>
            </w:r>
            <w:proofErr w:type="spellEnd"/>
            <w:r>
              <w:rPr>
                <w:sz w:val="15"/>
              </w:rPr>
              <w:t>)</w:t>
            </w:r>
          </w:p>
        </w:tc>
      </w:tr>
      <w:tr w:rsidR="001A500E" w:rsidRPr="00996FEE" w14:paraId="1CEC2542" w14:textId="77777777" w:rsidTr="001F3C85">
        <w:trPr>
          <w:cantSplit/>
        </w:trPr>
        <w:tc>
          <w:tcPr>
            <w:tcW w:w="2176" w:type="dxa"/>
            <w:shd w:val="clear" w:color="auto" w:fill="auto"/>
          </w:tcPr>
          <w:p w14:paraId="542CD637" w14:textId="77777777" w:rsidR="001A500E" w:rsidRPr="00996FEE" w:rsidRDefault="001A500E" w:rsidP="001F3C85">
            <w:pPr>
              <w:jc w:val="left"/>
              <w:rPr>
                <w:sz w:val="15"/>
                <w:szCs w:val="15"/>
              </w:rPr>
            </w:pPr>
            <w:r>
              <w:rPr>
                <w:sz w:val="15"/>
              </w:rPr>
              <w:t>Coffee</w:t>
            </w:r>
          </w:p>
        </w:tc>
        <w:tc>
          <w:tcPr>
            <w:tcW w:w="2743" w:type="dxa"/>
            <w:shd w:val="clear" w:color="auto" w:fill="auto"/>
          </w:tcPr>
          <w:p w14:paraId="5722D48B" w14:textId="77777777" w:rsidR="001A500E" w:rsidRPr="00996FEE" w:rsidRDefault="001A500E" w:rsidP="001F3C85">
            <w:pPr>
              <w:jc w:val="left"/>
              <w:rPr>
                <w:sz w:val="15"/>
                <w:szCs w:val="15"/>
              </w:rPr>
            </w:pPr>
            <w:r>
              <w:rPr>
                <w:sz w:val="15"/>
              </w:rPr>
              <w:t>Coffee export register and product certificate.</w:t>
            </w:r>
          </w:p>
        </w:tc>
        <w:tc>
          <w:tcPr>
            <w:tcW w:w="1785" w:type="dxa"/>
            <w:shd w:val="clear" w:color="auto" w:fill="auto"/>
          </w:tcPr>
          <w:p w14:paraId="6E40CD28" w14:textId="77777777" w:rsidR="001A500E" w:rsidRPr="00996FEE" w:rsidRDefault="001A500E" w:rsidP="001F3C85">
            <w:pPr>
              <w:jc w:val="left"/>
              <w:rPr>
                <w:sz w:val="15"/>
                <w:szCs w:val="15"/>
              </w:rPr>
            </w:pPr>
            <w:r>
              <w:rPr>
                <w:sz w:val="15"/>
              </w:rPr>
              <w:t>Law No. 246</w:t>
            </w:r>
            <w:r w:rsidRPr="0060155B">
              <w:rPr>
                <w:sz w:val="15"/>
              </w:rPr>
              <w:noBreakHyphen/>
            </w:r>
            <w:r>
              <w:rPr>
                <w:sz w:val="15"/>
              </w:rPr>
              <w:t>17</w:t>
            </w:r>
          </w:p>
        </w:tc>
        <w:tc>
          <w:tcPr>
            <w:tcW w:w="2312" w:type="dxa"/>
            <w:shd w:val="clear" w:color="auto" w:fill="auto"/>
          </w:tcPr>
          <w:p w14:paraId="470B709E" w14:textId="77777777" w:rsidR="001A500E" w:rsidRPr="00996FEE" w:rsidRDefault="001A500E" w:rsidP="001F3C85">
            <w:pPr>
              <w:jc w:val="left"/>
              <w:rPr>
                <w:sz w:val="15"/>
                <w:szCs w:val="15"/>
              </w:rPr>
            </w:pPr>
            <w:r>
              <w:rPr>
                <w:sz w:val="15"/>
              </w:rPr>
              <w:t>Dominican Coffee Institute (</w:t>
            </w:r>
            <w:proofErr w:type="spellStart"/>
            <w:r>
              <w:rPr>
                <w:sz w:val="15"/>
              </w:rPr>
              <w:t>INDOCAFE</w:t>
            </w:r>
            <w:proofErr w:type="spellEnd"/>
            <w:r>
              <w:rPr>
                <w:sz w:val="15"/>
              </w:rPr>
              <w:t>)</w:t>
            </w:r>
          </w:p>
        </w:tc>
      </w:tr>
    </w:tbl>
    <w:p w14:paraId="2A5E0FDF" w14:textId="77777777" w:rsidR="001A500E" w:rsidRPr="006420F6" w:rsidRDefault="001A500E" w:rsidP="00E439A9">
      <w:pPr>
        <w:pStyle w:val="NoteText"/>
        <w:spacing w:before="120" w:after="120"/>
      </w:pPr>
      <w:r>
        <w:t>Source:</w:t>
      </w:r>
      <w:r>
        <w:tab/>
      </w:r>
      <w:proofErr w:type="spellStart"/>
      <w:r>
        <w:t>ProDominicana</w:t>
      </w:r>
      <w:proofErr w:type="spellEnd"/>
      <w:r>
        <w:t xml:space="preserve"> (2021), </w:t>
      </w:r>
      <w:proofErr w:type="spellStart"/>
      <w:r>
        <w:rPr>
          <w:i/>
        </w:rPr>
        <w:t>Guía</w:t>
      </w:r>
      <w:proofErr w:type="spellEnd"/>
      <w:r>
        <w:rPr>
          <w:i/>
        </w:rPr>
        <w:t xml:space="preserve"> de </w:t>
      </w:r>
      <w:proofErr w:type="spellStart"/>
      <w:r>
        <w:rPr>
          <w:i/>
        </w:rPr>
        <w:t>Exportación</w:t>
      </w:r>
      <w:proofErr w:type="spellEnd"/>
      <w:r>
        <w:rPr>
          <w:i/>
        </w:rPr>
        <w:t xml:space="preserve"> 2021</w:t>
      </w:r>
      <w:r>
        <w:t xml:space="preserve">, viewed at: </w:t>
      </w:r>
      <w:hyperlink r:id="rId41" w:history="1">
        <w:r>
          <w:rPr>
            <w:rStyle w:val="Hyperlink"/>
          </w:rPr>
          <w:t>www.prodominicana.gob.do</w:t>
        </w:r>
      </w:hyperlink>
      <w:r w:rsidRPr="00707CF7">
        <w:t>; and</w:t>
      </w:r>
      <w:r>
        <w:rPr>
          <w:rStyle w:val="Hyperlink"/>
          <w:color w:val="auto"/>
        </w:rPr>
        <w:t xml:space="preserve"> </w:t>
      </w:r>
      <w:proofErr w:type="spellStart"/>
      <w:r>
        <w:t>CNZFE</w:t>
      </w:r>
      <w:proofErr w:type="spellEnd"/>
      <w:r>
        <w:t xml:space="preserve"> (2022), </w:t>
      </w:r>
      <w:proofErr w:type="spellStart"/>
      <w:r>
        <w:t>Servicios</w:t>
      </w:r>
      <w:proofErr w:type="spellEnd"/>
      <w:r>
        <w:t xml:space="preserve"> 2022, viewed at: </w:t>
      </w:r>
      <w:hyperlink r:id="rId42" w:history="1">
        <w:r>
          <w:rPr>
            <w:rStyle w:val="Hyperlink"/>
          </w:rPr>
          <w:t>https://www.cnzfe.gob.do/index.php/es/servicios</w:t>
        </w:r>
      </w:hyperlink>
      <w:r w:rsidRPr="00707CF7">
        <w:t>.</w:t>
      </w:r>
    </w:p>
    <w:bookmarkEnd w:id="188"/>
    <w:p w14:paraId="7593AF02" w14:textId="77777777" w:rsidR="001A500E" w:rsidRPr="00EC7615" w:rsidRDefault="001A500E" w:rsidP="00574469">
      <w:pPr>
        <w:pStyle w:val="BodyText"/>
      </w:pPr>
      <w:r>
        <w:t>The trade in and export of metal waste, scrap metal and other copper or aluminium waste and their alloys are regulated in the Dominican Republic to protect the environment, in accordance with the Basel Convention</w:t>
      </w:r>
      <w:r w:rsidRPr="0060155B">
        <w:t>.</w:t>
      </w:r>
      <w:r w:rsidRPr="0060155B">
        <w:rPr>
          <w:rStyle w:val="FootnoteReference"/>
        </w:rPr>
        <w:footnoteReference w:id="164"/>
      </w:r>
      <w:r w:rsidRPr="0060155B">
        <w:t xml:space="preserve"> E</w:t>
      </w:r>
      <w:r>
        <w:t xml:space="preserve">xporters of these products must therefore be registered in the National Register for trade in and export of metal waste, scrap metal and other copper or aluminium waste and their alloys (Law </w:t>
      </w:r>
      <w:r w:rsidRPr="0060155B">
        <w:t>No. </w:t>
      </w:r>
      <w:r>
        <w:t>110</w:t>
      </w:r>
      <w:r w:rsidRPr="0060155B">
        <w:noBreakHyphen/>
      </w:r>
      <w:r>
        <w:t>13)</w:t>
      </w:r>
      <w:r w:rsidRPr="0060155B">
        <w:t>.</w:t>
      </w:r>
      <w:r w:rsidRPr="0060155B">
        <w:rPr>
          <w:rStyle w:val="FootnoteReference"/>
        </w:rPr>
        <w:footnoteReference w:id="165"/>
      </w:r>
      <w:r w:rsidRPr="0060155B">
        <w:t xml:space="preserve"> E</w:t>
      </w:r>
      <w:r>
        <w:t xml:space="preserve">xporters must register with the Export and Investment </w:t>
      </w:r>
      <w:proofErr w:type="spellStart"/>
      <w:r>
        <w:t>Center</w:t>
      </w:r>
      <w:proofErr w:type="spellEnd"/>
      <w:r>
        <w:t xml:space="preserve"> of the Dominican Republic (</w:t>
      </w:r>
      <w:proofErr w:type="spellStart"/>
      <w:r>
        <w:t>CEI</w:t>
      </w:r>
      <w:proofErr w:type="spellEnd"/>
      <w:r w:rsidRPr="0060155B">
        <w:noBreakHyphen/>
      </w:r>
      <w:r>
        <w:t xml:space="preserve">RD, also known as </w:t>
      </w:r>
      <w:proofErr w:type="spellStart"/>
      <w:r>
        <w:t>ProDominicana</w:t>
      </w:r>
      <w:proofErr w:type="spellEnd"/>
      <w:r>
        <w:t>), or, in the case of enterprises operating in the free export zones, with the National Council for Free Export Zones (</w:t>
      </w:r>
      <w:proofErr w:type="spellStart"/>
      <w:r>
        <w:t>CNZFE</w:t>
      </w:r>
      <w:proofErr w:type="spellEnd"/>
      <w:r>
        <w:t>)</w:t>
      </w:r>
      <w:r w:rsidRPr="0060155B">
        <w:t>.</w:t>
      </w:r>
      <w:r w:rsidRPr="0060155B">
        <w:rPr>
          <w:rStyle w:val="FootnoteReference"/>
        </w:rPr>
        <w:footnoteReference w:id="166"/>
      </w:r>
      <w:r w:rsidRPr="0060155B">
        <w:t xml:space="preserve"> B</w:t>
      </w:r>
      <w:r>
        <w:t>oth entities issue renewable registrations valid for one year.</w:t>
      </w:r>
      <w:r>
        <w:rPr>
          <w:rStyle w:val="FootnoteReference"/>
        </w:rPr>
        <w:footnoteReference w:id="167"/>
      </w:r>
    </w:p>
    <w:p w14:paraId="3DADC721" w14:textId="77777777" w:rsidR="001A500E" w:rsidRPr="007C74EF" w:rsidRDefault="001A500E" w:rsidP="00574469">
      <w:pPr>
        <w:pStyle w:val="BodyText"/>
      </w:pPr>
      <w:r>
        <w:t xml:space="preserve">In addition to registration, authorization of these exports is subject to possession of an export licence (Article 12 of Law </w:t>
      </w:r>
      <w:r w:rsidRPr="0060155B">
        <w:t>No. </w:t>
      </w:r>
      <w:r>
        <w:t>110</w:t>
      </w:r>
      <w:r w:rsidRPr="0060155B">
        <w:noBreakHyphen/>
      </w:r>
      <w:r>
        <w:t xml:space="preserve">13), which must be presented, together with the single customs </w:t>
      </w:r>
      <w:r>
        <w:lastRenderedPageBreak/>
        <w:t>declaration, before loading</w:t>
      </w:r>
      <w:r w:rsidRPr="0060155B">
        <w:t>. T</w:t>
      </w:r>
      <w:r>
        <w:t>he DGA must verify, at the point of lading, that the exporter is duly registered, with a valid licence, and must stop any exports that do not meet these requirements (Article 26).</w:t>
      </w:r>
    </w:p>
    <w:p w14:paraId="4EBD09F0" w14:textId="77777777" w:rsidR="001A500E" w:rsidRPr="007C74EF" w:rsidRDefault="001A500E" w:rsidP="00574469">
      <w:pPr>
        <w:pStyle w:val="BodyText"/>
      </w:pPr>
      <w:r>
        <w:t>Exports are classified as exports for consumption, free zone exports and exports for other purposes, including</w:t>
      </w:r>
      <w:r w:rsidRPr="0060155B">
        <w:t>: t</w:t>
      </w:r>
      <w:r>
        <w:t>emporary admission for inward processing</w:t>
      </w:r>
      <w:r w:rsidRPr="0060155B">
        <w:t xml:space="preserve">; </w:t>
      </w:r>
      <w:proofErr w:type="spellStart"/>
      <w:r w:rsidRPr="0060155B">
        <w:rPr>
          <w:i/>
          <w:iCs/>
        </w:rPr>
        <w:t>c</w:t>
      </w:r>
      <w:r w:rsidRPr="007F474B">
        <w:rPr>
          <w:i/>
          <w:iCs/>
        </w:rPr>
        <w:t>onsumo</w:t>
      </w:r>
      <w:proofErr w:type="spellEnd"/>
      <w:r w:rsidRPr="007F474B">
        <w:rPr>
          <w:i/>
          <w:iCs/>
        </w:rPr>
        <w:t xml:space="preserve"> de </w:t>
      </w:r>
      <w:proofErr w:type="spellStart"/>
      <w:r w:rsidRPr="007F474B">
        <w:rPr>
          <w:i/>
          <w:iCs/>
        </w:rPr>
        <w:t>reexportación</w:t>
      </w:r>
      <w:proofErr w:type="spellEnd"/>
      <w:r w:rsidRPr="009668C5">
        <w:t xml:space="preserve"> </w:t>
      </w:r>
      <w:r>
        <w:t>(re</w:t>
      </w:r>
      <w:r w:rsidRPr="0060155B">
        <w:noBreakHyphen/>
      </w:r>
      <w:r>
        <w:t>exports consumption)</w:t>
      </w:r>
      <w:r w:rsidRPr="0060155B">
        <w:t>; w</w:t>
      </w:r>
      <w:r>
        <w:t>arehousing for re</w:t>
      </w:r>
      <w:r w:rsidRPr="0060155B">
        <w:noBreakHyphen/>
      </w:r>
      <w:r>
        <w:t>export</w:t>
      </w:r>
      <w:r w:rsidRPr="0060155B">
        <w:t>; t</w:t>
      </w:r>
      <w:r>
        <w:t>emporary admission under lease</w:t>
      </w:r>
      <w:r w:rsidRPr="0060155B">
        <w:t>; r</w:t>
      </w:r>
      <w:r>
        <w:t>e</w:t>
      </w:r>
      <w:r w:rsidRPr="0060155B">
        <w:noBreakHyphen/>
      </w:r>
      <w:r>
        <w:t>export</w:t>
      </w:r>
      <w:r w:rsidRPr="0060155B">
        <w:t>; a</w:t>
      </w:r>
      <w:r>
        <w:t>nd temporary exit for outward processing (Table A3.1).</w:t>
      </w:r>
    </w:p>
    <w:p w14:paraId="45332AEE" w14:textId="77777777" w:rsidR="001A500E" w:rsidRPr="007C74EF" w:rsidRDefault="001A500E" w:rsidP="00574469">
      <w:pPr>
        <w:pStyle w:val="BodyText"/>
      </w:pPr>
      <w:r>
        <w:t>Starting in 2021, in addition to the general authorized economic operator programme, the Dominican Republic implemented the simplified economic operator programme, geared towards MSMEs, to promote an export culture by facilitating the export process for products deemed to be trusted and low risk.</w:t>
      </w:r>
      <w:bookmarkStart w:id="190" w:name="_Toc384214171"/>
      <w:bookmarkStart w:id="191" w:name="_Toc417038496"/>
      <w:r>
        <w:rPr>
          <w:rStyle w:val="FootnoteReference"/>
        </w:rPr>
        <w:footnoteReference w:id="168"/>
      </w:r>
    </w:p>
    <w:p w14:paraId="5702D822" w14:textId="77777777" w:rsidR="001A500E" w:rsidRPr="006420F6" w:rsidRDefault="001A500E" w:rsidP="00574469">
      <w:pPr>
        <w:pStyle w:val="Heading3"/>
      </w:pPr>
      <w:bookmarkStart w:id="192" w:name="_Toc117260629"/>
      <w:r>
        <w:t>Export duties, charges and other levies</w:t>
      </w:r>
      <w:bookmarkEnd w:id="190"/>
      <w:bookmarkEnd w:id="191"/>
      <w:bookmarkEnd w:id="192"/>
    </w:p>
    <w:p w14:paraId="232A6ADE" w14:textId="77777777" w:rsidR="001A500E" w:rsidRPr="007C74EF" w:rsidRDefault="001A500E" w:rsidP="00574469">
      <w:pPr>
        <w:pStyle w:val="BodyText"/>
      </w:pPr>
      <w:r>
        <w:t>There have been no changes in export duties, charges or levies during the review period</w:t>
      </w:r>
      <w:r w:rsidRPr="0060155B">
        <w:t>. A</w:t>
      </w:r>
      <w:r>
        <w:t>part from fish and shellfish exports, exports of goods and services are not subject to any export duty (Table 3.11)</w:t>
      </w:r>
      <w:r w:rsidRPr="0060155B">
        <w:t>. A</w:t>
      </w:r>
      <w:r>
        <w:t>ll exports, however, are subject to an inspection service fee, whether at the packing point or at the port of exit.</w:t>
      </w:r>
      <w:r>
        <w:rPr>
          <w:rStyle w:val="FootnoteReference"/>
        </w:rPr>
        <w:footnoteReference w:id="169"/>
      </w:r>
    </w:p>
    <w:p w14:paraId="2D528A4F" w14:textId="77777777" w:rsidR="001A500E" w:rsidRPr="006420F6" w:rsidRDefault="001A500E" w:rsidP="00B900E5">
      <w:pPr>
        <w:pStyle w:val="Caption"/>
      </w:pPr>
      <w:bookmarkStart w:id="193" w:name="_Toc117238044"/>
      <w:r>
        <w:t xml:space="preserve">Table </w:t>
      </w:r>
      <w:r w:rsidR="00BD37F2">
        <w:fldChar w:fldCharType="begin"/>
      </w:r>
      <w:r w:rsidR="00BD37F2">
        <w:instrText xml:space="preserve"> STYLEREF 1 \s </w:instrText>
      </w:r>
      <w:r w:rsidR="00BD37F2">
        <w:fldChar w:fldCharType="separate"/>
      </w:r>
      <w:r>
        <w:rPr>
          <w:noProof/>
        </w:rPr>
        <w:t>3</w:t>
      </w:r>
      <w:r w:rsidR="00BD37F2">
        <w:rPr>
          <w:noProof/>
        </w:rPr>
        <w:fldChar w:fldCharType="end"/>
      </w:r>
      <w:r>
        <w:t>.</w:t>
      </w:r>
      <w:r w:rsidR="00BD37F2">
        <w:fldChar w:fldCharType="begin"/>
      </w:r>
      <w:r w:rsidR="00BD37F2">
        <w:instrText xml:space="preserve"> SEQ Table \* ARABIC \s 1 </w:instrText>
      </w:r>
      <w:r w:rsidR="00BD37F2">
        <w:fldChar w:fldCharType="separate"/>
      </w:r>
      <w:r>
        <w:rPr>
          <w:noProof/>
        </w:rPr>
        <w:t>11</w:t>
      </w:r>
      <w:r w:rsidR="00BD37F2">
        <w:rPr>
          <w:noProof/>
        </w:rPr>
        <w:fldChar w:fldCharType="end"/>
      </w:r>
      <w:r>
        <w:t xml:space="preserve"> Export taxes on fish and shellfish, 2022</w:t>
      </w:r>
      <w:bookmarkEnd w:id="193"/>
      <w:r>
        <w:t xml:space="preserve"> </w:t>
      </w: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4508"/>
        <w:gridCol w:w="4508"/>
      </w:tblGrid>
      <w:tr w:rsidR="001A500E" w:rsidRPr="00996FEE" w14:paraId="18F64A07" w14:textId="77777777" w:rsidTr="001F3C85">
        <w:trPr>
          <w:tblHeader/>
        </w:trPr>
        <w:tc>
          <w:tcPr>
            <w:tcW w:w="4508" w:type="dxa"/>
            <w:shd w:val="clear" w:color="auto" w:fill="006283"/>
          </w:tcPr>
          <w:p w14:paraId="5290D35D" w14:textId="77777777" w:rsidR="001A500E" w:rsidRPr="00996FEE" w:rsidRDefault="001A500E" w:rsidP="001F3C85">
            <w:pPr>
              <w:rPr>
                <w:b/>
                <w:color w:val="FFFFFF"/>
                <w:sz w:val="15"/>
                <w:szCs w:val="15"/>
              </w:rPr>
            </w:pPr>
            <w:r>
              <w:rPr>
                <w:b/>
                <w:color w:val="FFFFFF"/>
                <w:sz w:val="15"/>
              </w:rPr>
              <w:t>Product</w:t>
            </w:r>
          </w:p>
        </w:tc>
        <w:tc>
          <w:tcPr>
            <w:tcW w:w="4508" w:type="dxa"/>
            <w:shd w:val="clear" w:color="auto" w:fill="006283"/>
          </w:tcPr>
          <w:p w14:paraId="19096863" w14:textId="77777777" w:rsidR="001A500E" w:rsidRPr="00996FEE" w:rsidRDefault="001A500E" w:rsidP="001F3C85">
            <w:pPr>
              <w:jc w:val="center"/>
              <w:rPr>
                <w:b/>
                <w:color w:val="FFFFFF"/>
                <w:sz w:val="15"/>
                <w:szCs w:val="15"/>
              </w:rPr>
            </w:pPr>
            <w:r>
              <w:rPr>
                <w:b/>
                <w:color w:val="FFFFFF"/>
                <w:sz w:val="15"/>
              </w:rPr>
              <w:t>Rate (%)</w:t>
            </w:r>
          </w:p>
        </w:tc>
      </w:tr>
      <w:tr w:rsidR="001A500E" w:rsidRPr="00996FEE" w14:paraId="683D16BB" w14:textId="77777777" w:rsidTr="001F3C85">
        <w:tc>
          <w:tcPr>
            <w:tcW w:w="4508" w:type="dxa"/>
            <w:shd w:val="clear" w:color="auto" w:fill="auto"/>
          </w:tcPr>
          <w:p w14:paraId="3B829A87" w14:textId="77777777" w:rsidR="001A500E" w:rsidRPr="00996FEE" w:rsidRDefault="001A500E" w:rsidP="001F3C85">
            <w:pPr>
              <w:rPr>
                <w:sz w:val="15"/>
                <w:szCs w:val="15"/>
              </w:rPr>
            </w:pPr>
            <w:r>
              <w:rPr>
                <w:sz w:val="15"/>
              </w:rPr>
              <w:t xml:space="preserve">Fish in its natural state </w:t>
            </w:r>
          </w:p>
        </w:tc>
        <w:tc>
          <w:tcPr>
            <w:tcW w:w="4508" w:type="dxa"/>
            <w:shd w:val="clear" w:color="auto" w:fill="auto"/>
          </w:tcPr>
          <w:p w14:paraId="1C6EF86C" w14:textId="77777777" w:rsidR="001A500E" w:rsidRPr="00996FEE" w:rsidRDefault="001A500E" w:rsidP="001F3C85">
            <w:pPr>
              <w:jc w:val="center"/>
              <w:rPr>
                <w:sz w:val="15"/>
                <w:szCs w:val="15"/>
              </w:rPr>
            </w:pPr>
            <w:r>
              <w:rPr>
                <w:sz w:val="15"/>
              </w:rPr>
              <w:t>0.5</w:t>
            </w:r>
          </w:p>
        </w:tc>
      </w:tr>
      <w:tr w:rsidR="001A500E" w:rsidRPr="00996FEE" w14:paraId="00BB7CFE" w14:textId="77777777" w:rsidTr="001F3C85">
        <w:tc>
          <w:tcPr>
            <w:tcW w:w="4508" w:type="dxa"/>
            <w:shd w:val="clear" w:color="auto" w:fill="C9DED4"/>
          </w:tcPr>
          <w:p w14:paraId="0A9DF96D" w14:textId="77777777" w:rsidR="001A500E" w:rsidRPr="00996FEE" w:rsidRDefault="001A500E" w:rsidP="001F3C85">
            <w:pPr>
              <w:rPr>
                <w:sz w:val="15"/>
                <w:szCs w:val="15"/>
              </w:rPr>
            </w:pPr>
            <w:r>
              <w:rPr>
                <w:sz w:val="15"/>
              </w:rPr>
              <w:t>Molluscs and crustaceans in their natural state</w:t>
            </w:r>
          </w:p>
        </w:tc>
        <w:tc>
          <w:tcPr>
            <w:tcW w:w="4508" w:type="dxa"/>
            <w:shd w:val="clear" w:color="auto" w:fill="C9DED4"/>
          </w:tcPr>
          <w:p w14:paraId="697676E1" w14:textId="77777777" w:rsidR="001A500E" w:rsidRPr="00996FEE" w:rsidRDefault="001A500E" w:rsidP="001F3C85">
            <w:pPr>
              <w:jc w:val="center"/>
              <w:rPr>
                <w:sz w:val="15"/>
                <w:szCs w:val="15"/>
              </w:rPr>
            </w:pPr>
            <w:r>
              <w:rPr>
                <w:sz w:val="15"/>
              </w:rPr>
              <w:t>5.0</w:t>
            </w:r>
          </w:p>
        </w:tc>
      </w:tr>
      <w:tr w:rsidR="001A500E" w:rsidRPr="00996FEE" w14:paraId="7E5A2949" w14:textId="77777777" w:rsidTr="001F3C85">
        <w:tc>
          <w:tcPr>
            <w:tcW w:w="4508" w:type="dxa"/>
            <w:shd w:val="clear" w:color="auto" w:fill="auto"/>
          </w:tcPr>
          <w:p w14:paraId="33B6DB4A" w14:textId="77777777" w:rsidR="001A500E" w:rsidRPr="00996FEE" w:rsidRDefault="001A500E" w:rsidP="001F3C85">
            <w:pPr>
              <w:rPr>
                <w:sz w:val="15"/>
                <w:szCs w:val="15"/>
              </w:rPr>
            </w:pPr>
            <w:r>
              <w:rPr>
                <w:sz w:val="15"/>
              </w:rPr>
              <w:t>Processed fish and shellfish</w:t>
            </w:r>
          </w:p>
        </w:tc>
        <w:tc>
          <w:tcPr>
            <w:tcW w:w="4508" w:type="dxa"/>
            <w:shd w:val="clear" w:color="auto" w:fill="auto"/>
          </w:tcPr>
          <w:p w14:paraId="09077683" w14:textId="77777777" w:rsidR="001A500E" w:rsidRPr="00996FEE" w:rsidRDefault="001A500E" w:rsidP="001F3C85">
            <w:pPr>
              <w:jc w:val="center"/>
              <w:rPr>
                <w:sz w:val="15"/>
                <w:szCs w:val="15"/>
              </w:rPr>
            </w:pPr>
            <w:r>
              <w:rPr>
                <w:sz w:val="15"/>
              </w:rPr>
              <w:t>0.0</w:t>
            </w:r>
          </w:p>
        </w:tc>
      </w:tr>
      <w:tr w:rsidR="001A500E" w:rsidRPr="00996FEE" w14:paraId="3A731068" w14:textId="77777777" w:rsidTr="001F3C85">
        <w:tc>
          <w:tcPr>
            <w:tcW w:w="4508" w:type="dxa"/>
            <w:shd w:val="clear" w:color="auto" w:fill="C9DED4"/>
          </w:tcPr>
          <w:p w14:paraId="63EEC5B9" w14:textId="77777777" w:rsidR="001A500E" w:rsidRPr="00996FEE" w:rsidRDefault="001A500E" w:rsidP="001F3C85">
            <w:pPr>
              <w:rPr>
                <w:sz w:val="15"/>
                <w:szCs w:val="15"/>
              </w:rPr>
            </w:pPr>
            <w:r>
              <w:rPr>
                <w:sz w:val="15"/>
              </w:rPr>
              <w:t>Aquaculture products</w:t>
            </w:r>
          </w:p>
        </w:tc>
        <w:tc>
          <w:tcPr>
            <w:tcW w:w="4508" w:type="dxa"/>
            <w:shd w:val="clear" w:color="auto" w:fill="C9DED4"/>
          </w:tcPr>
          <w:p w14:paraId="5A243787" w14:textId="77777777" w:rsidR="001A500E" w:rsidRPr="00996FEE" w:rsidRDefault="001A500E" w:rsidP="001F3C85">
            <w:pPr>
              <w:jc w:val="center"/>
              <w:rPr>
                <w:sz w:val="15"/>
                <w:szCs w:val="15"/>
              </w:rPr>
            </w:pPr>
            <w:r>
              <w:rPr>
                <w:sz w:val="15"/>
              </w:rPr>
              <w:t>0.0</w:t>
            </w:r>
          </w:p>
        </w:tc>
      </w:tr>
    </w:tbl>
    <w:p w14:paraId="6B4941DE" w14:textId="77777777" w:rsidR="001A500E" w:rsidRPr="006420F6" w:rsidRDefault="001A500E" w:rsidP="00992E06">
      <w:pPr>
        <w:pStyle w:val="NoteText"/>
        <w:spacing w:before="120" w:after="240"/>
      </w:pPr>
      <w:r>
        <w:t>Source:</w:t>
      </w:r>
      <w:r>
        <w:tab/>
        <w:t>Article 25 of Law No. 307</w:t>
      </w:r>
      <w:r w:rsidRPr="0060155B">
        <w:noBreakHyphen/>
      </w:r>
      <w:r>
        <w:t>04.</w:t>
      </w:r>
    </w:p>
    <w:p w14:paraId="7470C48D" w14:textId="4EB6BB42" w:rsidR="001A500E" w:rsidRPr="007C74EF" w:rsidRDefault="001A500E" w:rsidP="00574469">
      <w:pPr>
        <w:pStyle w:val="BodyText"/>
      </w:pPr>
      <w:r>
        <w:t>Exported goods are zero</w:t>
      </w:r>
      <w:r w:rsidRPr="0060155B">
        <w:noBreakHyphen/>
      </w:r>
      <w:r>
        <w:t xml:space="preserve">rated for the </w:t>
      </w:r>
      <w:proofErr w:type="spellStart"/>
      <w:r>
        <w:t>ITBIS</w:t>
      </w:r>
      <w:proofErr w:type="spellEnd"/>
      <w:r>
        <w:t xml:space="preserve">, and exporters are entitled to deduct from any other tax obligation the </w:t>
      </w:r>
      <w:proofErr w:type="spellStart"/>
      <w:r>
        <w:t>ITBIS</w:t>
      </w:r>
      <w:proofErr w:type="spellEnd"/>
      <w:r>
        <w:t xml:space="preserve"> paid when purchasing goods and services for their export activity</w:t>
      </w:r>
      <w:r w:rsidRPr="0060155B">
        <w:t>.</w:t>
      </w:r>
      <w:r w:rsidRPr="0060155B">
        <w:rPr>
          <w:rStyle w:val="FootnoteReference"/>
        </w:rPr>
        <w:footnoteReference w:id="170"/>
      </w:r>
      <w:r w:rsidRPr="0060155B">
        <w:t xml:space="preserve"> A</w:t>
      </w:r>
      <w:r>
        <w:t xml:space="preserve">ll exports are exempt from </w:t>
      </w:r>
      <w:r w:rsidR="005D1C13">
        <w:t xml:space="preserve">the </w:t>
      </w:r>
      <w:proofErr w:type="spellStart"/>
      <w:r>
        <w:t>ISC</w:t>
      </w:r>
      <w:proofErr w:type="spellEnd"/>
      <w:r>
        <w:t>.</w:t>
      </w:r>
      <w:bookmarkStart w:id="194" w:name="_Toc384214172"/>
      <w:bookmarkStart w:id="195" w:name="_Toc417038497"/>
      <w:r>
        <w:rPr>
          <w:rStyle w:val="FootnoteReference"/>
        </w:rPr>
        <w:footnoteReference w:id="171"/>
      </w:r>
    </w:p>
    <w:p w14:paraId="25314C6F" w14:textId="77777777" w:rsidR="001A500E" w:rsidRPr="006420F6" w:rsidRDefault="001A500E" w:rsidP="00574469">
      <w:pPr>
        <w:pStyle w:val="Heading3"/>
      </w:pPr>
      <w:bookmarkStart w:id="196" w:name="_Toc117260630"/>
      <w:r>
        <w:t>Export prohibitions, authorizations and licensing</w:t>
      </w:r>
      <w:bookmarkEnd w:id="194"/>
      <w:bookmarkEnd w:id="195"/>
      <w:bookmarkEnd w:id="196"/>
    </w:p>
    <w:p w14:paraId="6F4E17DC" w14:textId="77777777" w:rsidR="001A500E" w:rsidRPr="006420F6" w:rsidRDefault="001A500E" w:rsidP="00574469">
      <w:pPr>
        <w:pStyle w:val="BodyText"/>
      </w:pPr>
      <w:r>
        <w:t>The Dominican Republic imposes export prohibitions and requires permits or authorizations for a limited number of products.</w:t>
      </w:r>
    </w:p>
    <w:p w14:paraId="21F65573" w14:textId="77777777" w:rsidR="001A500E" w:rsidRPr="006420F6" w:rsidRDefault="001A500E" w:rsidP="00574469">
      <w:pPr>
        <w:pStyle w:val="BodyText"/>
      </w:pPr>
      <w:r>
        <w:t>In 2015, prohibited exports included amber and larimar</w:t>
      </w:r>
      <w:r w:rsidRPr="0060155B">
        <w:t>. E</w:t>
      </w:r>
      <w:r>
        <w:t>xports of amber and larimar, both pure and processed, are currently permitted (Table 3.12)</w:t>
      </w:r>
      <w:r w:rsidRPr="0060155B">
        <w:t>. E</w:t>
      </w:r>
      <w:r>
        <w:t>xports of tortoiseshells and sea cucumbers are still prohibited, and exports of sugar and fishery products are subject to restrictions (Table 3.13)</w:t>
      </w:r>
      <w:r w:rsidRPr="0060155B">
        <w:t>. T</w:t>
      </w:r>
      <w:r>
        <w:t xml:space="preserve">he Dominican Republic also imposes temporary restrictions on exports of certain products, including </w:t>
      </w:r>
      <w:r>
        <w:rPr>
          <w:i/>
          <w:iCs/>
        </w:rPr>
        <w:t>Anguilla rostrata</w:t>
      </w:r>
      <w:r>
        <w:t xml:space="preserve"> (HS 0301.92), which, as of </w:t>
      </w:r>
      <w:r w:rsidRPr="0060155B">
        <w:t>October 2</w:t>
      </w:r>
      <w:r>
        <w:t xml:space="preserve">021, could be exported only through specific ports and only by holders of a </w:t>
      </w:r>
      <w:proofErr w:type="spellStart"/>
      <w:r>
        <w:t>CODOPESCA</w:t>
      </w:r>
      <w:proofErr w:type="spellEnd"/>
      <w:r>
        <w:t xml:space="preserve"> licence to exploit and trade this product</w:t>
      </w:r>
      <w:r w:rsidRPr="0060155B">
        <w:t>. T</w:t>
      </w:r>
      <w:r>
        <w:t>his type of measure is used to track, control and monitor the exploitation of species.</w:t>
      </w:r>
      <w:r>
        <w:rPr>
          <w:rStyle w:val="FootnoteReference"/>
        </w:rPr>
        <w:footnoteReference w:id="172"/>
      </w:r>
    </w:p>
    <w:p w14:paraId="0238E071" w14:textId="77777777" w:rsidR="001A500E" w:rsidRPr="006420F6" w:rsidRDefault="001A500E" w:rsidP="00673725">
      <w:pPr>
        <w:pStyle w:val="Caption"/>
      </w:pPr>
      <w:bookmarkStart w:id="197" w:name="_Toc117238045"/>
      <w:bookmarkStart w:id="198" w:name="_Toc417038629"/>
      <w:r>
        <w:t xml:space="preserve">Table </w:t>
      </w:r>
      <w:r w:rsidR="00BD37F2">
        <w:fldChar w:fldCharType="begin"/>
      </w:r>
      <w:r w:rsidR="00BD37F2">
        <w:instrText xml:space="preserve"> STYLEREF 1 \s </w:instrText>
      </w:r>
      <w:r w:rsidR="00BD37F2">
        <w:fldChar w:fldCharType="separate"/>
      </w:r>
      <w:r>
        <w:rPr>
          <w:noProof/>
        </w:rPr>
        <w:t>3</w:t>
      </w:r>
      <w:r w:rsidR="00BD37F2">
        <w:rPr>
          <w:noProof/>
        </w:rPr>
        <w:fldChar w:fldCharType="end"/>
      </w:r>
      <w:r>
        <w:t>.</w:t>
      </w:r>
      <w:r w:rsidR="00BD37F2">
        <w:fldChar w:fldCharType="begin"/>
      </w:r>
      <w:r w:rsidR="00BD37F2">
        <w:instrText xml:space="preserve"> SEQ Table \* ARABIC \s 1 </w:instrText>
      </w:r>
      <w:r w:rsidR="00BD37F2">
        <w:fldChar w:fldCharType="separate"/>
      </w:r>
      <w:r>
        <w:rPr>
          <w:noProof/>
        </w:rPr>
        <w:t>12</w:t>
      </w:r>
      <w:r w:rsidR="00BD37F2">
        <w:rPr>
          <w:noProof/>
        </w:rPr>
        <w:fldChar w:fldCharType="end"/>
      </w:r>
      <w:r>
        <w:t xml:space="preserve"> List of prohibited exports, 2015</w:t>
      </w:r>
      <w:r w:rsidRPr="0060155B">
        <w:noBreakHyphen/>
      </w:r>
      <w:r>
        <w:t>22</w:t>
      </w:r>
      <w:bookmarkEnd w:id="197"/>
    </w:p>
    <w:tbl>
      <w:tblPr>
        <w:tblStyle w:val="WTOTable1"/>
        <w:tblW w:w="5000" w:type="pct"/>
        <w:tblLook w:val="04A0" w:firstRow="1" w:lastRow="0" w:firstColumn="1" w:lastColumn="0" w:noHBand="0" w:noVBand="1"/>
      </w:tblPr>
      <w:tblGrid>
        <w:gridCol w:w="4668"/>
        <w:gridCol w:w="1937"/>
        <w:gridCol w:w="2411"/>
      </w:tblGrid>
      <w:tr w:rsidR="001A500E" w:rsidRPr="00996FEE" w14:paraId="2848AAC4" w14:textId="77777777" w:rsidTr="00EB2084">
        <w:trPr>
          <w:cnfStyle w:val="100000000000" w:firstRow="1" w:lastRow="0" w:firstColumn="0" w:lastColumn="0" w:oddVBand="0" w:evenVBand="0" w:oddHBand="0" w:evenHBand="0" w:firstRowFirstColumn="0" w:firstRowLastColumn="0" w:lastRowFirstColumn="0" w:lastRowLastColumn="0"/>
          <w:tblHeader/>
        </w:trPr>
        <w:tc>
          <w:tcPr>
            <w:tcW w:w="2589" w:type="pct"/>
            <w:noWrap/>
            <w:vAlign w:val="center"/>
            <w:hideMark/>
          </w:tcPr>
          <w:bookmarkEnd w:id="198"/>
          <w:p w14:paraId="5B070359" w14:textId="77777777" w:rsidR="001A500E" w:rsidRPr="00996FEE" w:rsidRDefault="001A500E" w:rsidP="001F3C85">
            <w:pPr>
              <w:rPr>
                <w:b w:val="0"/>
                <w:bCs/>
                <w:sz w:val="15"/>
                <w:szCs w:val="15"/>
              </w:rPr>
            </w:pPr>
            <w:r>
              <w:rPr>
                <w:sz w:val="15"/>
              </w:rPr>
              <w:t>Product</w:t>
            </w:r>
          </w:p>
        </w:tc>
        <w:tc>
          <w:tcPr>
            <w:tcW w:w="1074" w:type="pct"/>
            <w:noWrap/>
            <w:vAlign w:val="center"/>
            <w:hideMark/>
          </w:tcPr>
          <w:p w14:paraId="3718654C" w14:textId="77777777" w:rsidR="001A500E" w:rsidRPr="00996FEE" w:rsidRDefault="001A500E" w:rsidP="001F3C85">
            <w:pPr>
              <w:rPr>
                <w:b w:val="0"/>
                <w:bCs/>
                <w:sz w:val="15"/>
                <w:szCs w:val="15"/>
              </w:rPr>
            </w:pPr>
            <w:r>
              <w:rPr>
                <w:sz w:val="15"/>
              </w:rPr>
              <w:t>Legal instrument</w:t>
            </w:r>
          </w:p>
        </w:tc>
        <w:tc>
          <w:tcPr>
            <w:tcW w:w="1337" w:type="pct"/>
            <w:vAlign w:val="center"/>
            <w:hideMark/>
          </w:tcPr>
          <w:p w14:paraId="3DF2D7AC" w14:textId="77777777" w:rsidR="001A500E" w:rsidRPr="00996FEE" w:rsidRDefault="001A500E" w:rsidP="001F3C85">
            <w:pPr>
              <w:rPr>
                <w:b w:val="0"/>
                <w:bCs/>
                <w:sz w:val="15"/>
                <w:szCs w:val="15"/>
              </w:rPr>
            </w:pPr>
            <w:r>
              <w:rPr>
                <w:sz w:val="15"/>
              </w:rPr>
              <w:t>Expiry date of the measure</w:t>
            </w:r>
          </w:p>
        </w:tc>
      </w:tr>
      <w:tr w:rsidR="001A500E" w:rsidRPr="00996FEE" w14:paraId="6A19B5E9" w14:textId="77777777" w:rsidTr="001F3C85">
        <w:tc>
          <w:tcPr>
            <w:tcW w:w="2589" w:type="pct"/>
            <w:noWrap/>
          </w:tcPr>
          <w:p w14:paraId="06CBED69" w14:textId="77777777" w:rsidR="001A500E" w:rsidRPr="00996FEE" w:rsidRDefault="001A500E" w:rsidP="001F3C85">
            <w:pPr>
              <w:rPr>
                <w:sz w:val="15"/>
                <w:szCs w:val="15"/>
              </w:rPr>
            </w:pPr>
            <w:r>
              <w:rPr>
                <w:sz w:val="15"/>
              </w:rPr>
              <w:t>Human blood and its derivatives</w:t>
            </w:r>
          </w:p>
        </w:tc>
        <w:tc>
          <w:tcPr>
            <w:tcW w:w="1074" w:type="pct"/>
            <w:hideMark/>
          </w:tcPr>
          <w:p w14:paraId="585F7E34" w14:textId="77777777" w:rsidR="001A500E" w:rsidRPr="00996FEE" w:rsidRDefault="001A500E" w:rsidP="001F3C85">
            <w:pPr>
              <w:pStyle w:val="CommentText"/>
              <w:rPr>
                <w:sz w:val="15"/>
                <w:szCs w:val="15"/>
              </w:rPr>
            </w:pPr>
            <w:r>
              <w:rPr>
                <w:sz w:val="15"/>
              </w:rPr>
              <w:t>Law No. 56</w:t>
            </w:r>
            <w:r w:rsidRPr="0060155B">
              <w:rPr>
                <w:sz w:val="15"/>
              </w:rPr>
              <w:noBreakHyphen/>
            </w:r>
            <w:r>
              <w:rPr>
                <w:sz w:val="15"/>
              </w:rPr>
              <w:t>74</w:t>
            </w:r>
          </w:p>
        </w:tc>
        <w:tc>
          <w:tcPr>
            <w:tcW w:w="1337" w:type="pct"/>
            <w:noWrap/>
          </w:tcPr>
          <w:p w14:paraId="62797F68" w14:textId="77777777" w:rsidR="001A500E" w:rsidRPr="00996FEE" w:rsidRDefault="001A500E" w:rsidP="001F3C85">
            <w:pPr>
              <w:rPr>
                <w:sz w:val="15"/>
                <w:szCs w:val="15"/>
              </w:rPr>
            </w:pPr>
            <w:proofErr w:type="spellStart"/>
            <w:r>
              <w:rPr>
                <w:sz w:val="15"/>
              </w:rPr>
              <w:t>n.a.</w:t>
            </w:r>
            <w:proofErr w:type="spellEnd"/>
          </w:p>
        </w:tc>
      </w:tr>
      <w:tr w:rsidR="001A500E" w:rsidRPr="00996FEE" w14:paraId="467F3A4E" w14:textId="77777777" w:rsidTr="001F3C85">
        <w:trPr>
          <w:cnfStyle w:val="000000010000" w:firstRow="0" w:lastRow="0" w:firstColumn="0" w:lastColumn="0" w:oddVBand="0" w:evenVBand="0" w:oddHBand="0" w:evenHBand="1" w:firstRowFirstColumn="0" w:firstRowLastColumn="0" w:lastRowFirstColumn="0" w:lastRowLastColumn="0"/>
        </w:trPr>
        <w:tc>
          <w:tcPr>
            <w:tcW w:w="2589" w:type="pct"/>
            <w:noWrap/>
          </w:tcPr>
          <w:p w14:paraId="77649285" w14:textId="77777777" w:rsidR="001A500E" w:rsidRPr="00996FEE" w:rsidRDefault="001A500E" w:rsidP="001F3C85">
            <w:pPr>
              <w:rPr>
                <w:sz w:val="15"/>
                <w:szCs w:val="15"/>
              </w:rPr>
            </w:pPr>
            <w:r>
              <w:rPr>
                <w:sz w:val="15"/>
              </w:rPr>
              <w:t>Amber in its natural state</w:t>
            </w:r>
          </w:p>
        </w:tc>
        <w:tc>
          <w:tcPr>
            <w:tcW w:w="1074" w:type="pct"/>
            <w:hideMark/>
          </w:tcPr>
          <w:p w14:paraId="6855E137" w14:textId="77777777" w:rsidR="001A500E" w:rsidRPr="00996FEE" w:rsidRDefault="001A500E" w:rsidP="00C2096C">
            <w:pPr>
              <w:jc w:val="left"/>
              <w:rPr>
                <w:sz w:val="15"/>
                <w:szCs w:val="15"/>
              </w:rPr>
            </w:pPr>
            <w:r>
              <w:rPr>
                <w:sz w:val="15"/>
              </w:rPr>
              <w:t xml:space="preserve">Law </w:t>
            </w:r>
            <w:r w:rsidRPr="0060155B">
              <w:rPr>
                <w:sz w:val="15"/>
              </w:rPr>
              <w:t>No. </w:t>
            </w:r>
            <w:r>
              <w:rPr>
                <w:sz w:val="15"/>
              </w:rPr>
              <w:t>165</w:t>
            </w:r>
            <w:r w:rsidRPr="0060155B">
              <w:rPr>
                <w:sz w:val="15"/>
              </w:rPr>
              <w:noBreakHyphen/>
            </w:r>
            <w:r>
              <w:rPr>
                <w:sz w:val="15"/>
              </w:rPr>
              <w:t>67, which prohibits the export of amber in its raw or natural form.</w:t>
            </w:r>
          </w:p>
        </w:tc>
        <w:tc>
          <w:tcPr>
            <w:tcW w:w="1337" w:type="pct"/>
            <w:noWrap/>
          </w:tcPr>
          <w:p w14:paraId="41ADE035" w14:textId="77777777" w:rsidR="001A500E" w:rsidRPr="00996FEE" w:rsidRDefault="001A500E" w:rsidP="001F3C85">
            <w:pPr>
              <w:rPr>
                <w:sz w:val="15"/>
                <w:szCs w:val="15"/>
              </w:rPr>
            </w:pPr>
            <w:r>
              <w:rPr>
                <w:sz w:val="15"/>
              </w:rPr>
              <w:t>Decree No. 431</w:t>
            </w:r>
            <w:r w:rsidRPr="0060155B">
              <w:rPr>
                <w:sz w:val="15"/>
              </w:rPr>
              <w:noBreakHyphen/>
            </w:r>
            <w:r>
              <w:rPr>
                <w:sz w:val="15"/>
              </w:rPr>
              <w:t>18</w:t>
            </w:r>
          </w:p>
        </w:tc>
      </w:tr>
      <w:tr w:rsidR="001A500E" w:rsidRPr="00996FEE" w14:paraId="4907ED33" w14:textId="77777777" w:rsidTr="001F3C85">
        <w:tc>
          <w:tcPr>
            <w:tcW w:w="2589" w:type="pct"/>
            <w:noWrap/>
          </w:tcPr>
          <w:p w14:paraId="19EC8F24" w14:textId="77777777" w:rsidR="001A500E" w:rsidRPr="00996FEE" w:rsidRDefault="001A500E" w:rsidP="001F3C85">
            <w:pPr>
              <w:rPr>
                <w:sz w:val="15"/>
                <w:szCs w:val="15"/>
              </w:rPr>
            </w:pPr>
            <w:r>
              <w:rPr>
                <w:sz w:val="15"/>
              </w:rPr>
              <w:t>Amber, larimar and similar unprocessed minerals</w:t>
            </w:r>
          </w:p>
        </w:tc>
        <w:tc>
          <w:tcPr>
            <w:tcW w:w="1074" w:type="pct"/>
          </w:tcPr>
          <w:p w14:paraId="233C1286" w14:textId="77777777" w:rsidR="001A500E" w:rsidRPr="00996FEE" w:rsidRDefault="001A500E" w:rsidP="001F3C85">
            <w:pPr>
              <w:rPr>
                <w:sz w:val="15"/>
                <w:szCs w:val="15"/>
              </w:rPr>
            </w:pPr>
            <w:r>
              <w:rPr>
                <w:sz w:val="15"/>
              </w:rPr>
              <w:t>Decree No. 13</w:t>
            </w:r>
            <w:r w:rsidRPr="0060155B">
              <w:rPr>
                <w:sz w:val="15"/>
              </w:rPr>
              <w:noBreakHyphen/>
            </w:r>
            <w:r>
              <w:rPr>
                <w:sz w:val="15"/>
              </w:rPr>
              <w:t xml:space="preserve">87 </w:t>
            </w:r>
          </w:p>
        </w:tc>
        <w:tc>
          <w:tcPr>
            <w:tcW w:w="1337" w:type="pct"/>
            <w:noWrap/>
          </w:tcPr>
          <w:p w14:paraId="529F6C3B" w14:textId="77777777" w:rsidR="001A500E" w:rsidRPr="00996FEE" w:rsidRDefault="001A500E" w:rsidP="001F3C85">
            <w:pPr>
              <w:pStyle w:val="CommentText"/>
              <w:rPr>
                <w:sz w:val="15"/>
                <w:szCs w:val="15"/>
              </w:rPr>
            </w:pPr>
            <w:r>
              <w:rPr>
                <w:sz w:val="15"/>
              </w:rPr>
              <w:t>Law No. 370</w:t>
            </w:r>
            <w:r w:rsidRPr="0060155B">
              <w:rPr>
                <w:sz w:val="15"/>
              </w:rPr>
              <w:noBreakHyphen/>
            </w:r>
            <w:r>
              <w:rPr>
                <w:sz w:val="15"/>
              </w:rPr>
              <w:t>19</w:t>
            </w:r>
          </w:p>
        </w:tc>
      </w:tr>
      <w:tr w:rsidR="001A500E" w:rsidRPr="00996FEE" w14:paraId="4563578D" w14:textId="77777777" w:rsidTr="001F3C85">
        <w:trPr>
          <w:cnfStyle w:val="000000010000" w:firstRow="0" w:lastRow="0" w:firstColumn="0" w:lastColumn="0" w:oddVBand="0" w:evenVBand="0" w:oddHBand="0" w:evenHBand="1" w:firstRowFirstColumn="0" w:firstRowLastColumn="0" w:lastRowFirstColumn="0" w:lastRowLastColumn="0"/>
        </w:trPr>
        <w:tc>
          <w:tcPr>
            <w:tcW w:w="2589" w:type="pct"/>
            <w:noWrap/>
          </w:tcPr>
          <w:p w14:paraId="5023883B" w14:textId="77777777" w:rsidR="001A500E" w:rsidRPr="00996FEE" w:rsidRDefault="001A500E" w:rsidP="001F3C85">
            <w:pPr>
              <w:rPr>
                <w:sz w:val="15"/>
                <w:szCs w:val="15"/>
              </w:rPr>
            </w:pPr>
            <w:r>
              <w:rPr>
                <w:sz w:val="15"/>
              </w:rPr>
              <w:t>Tortoiseshells</w:t>
            </w:r>
          </w:p>
        </w:tc>
        <w:tc>
          <w:tcPr>
            <w:tcW w:w="1074" w:type="pct"/>
          </w:tcPr>
          <w:p w14:paraId="7E2E1CF1" w14:textId="77777777" w:rsidR="001A500E" w:rsidRPr="00996FEE" w:rsidRDefault="001A500E" w:rsidP="001F3C85">
            <w:pPr>
              <w:pStyle w:val="CommentText"/>
              <w:rPr>
                <w:sz w:val="15"/>
                <w:szCs w:val="15"/>
              </w:rPr>
            </w:pPr>
            <w:r>
              <w:rPr>
                <w:sz w:val="15"/>
              </w:rPr>
              <w:t>Law No. 95</w:t>
            </w:r>
            <w:r w:rsidRPr="0060155B">
              <w:rPr>
                <w:sz w:val="15"/>
              </w:rPr>
              <w:noBreakHyphen/>
            </w:r>
            <w:r>
              <w:rPr>
                <w:sz w:val="15"/>
              </w:rPr>
              <w:t>1967</w:t>
            </w:r>
          </w:p>
        </w:tc>
        <w:tc>
          <w:tcPr>
            <w:tcW w:w="1337" w:type="pct"/>
            <w:noWrap/>
          </w:tcPr>
          <w:p w14:paraId="4A193DC4" w14:textId="77777777" w:rsidR="001A500E" w:rsidRPr="00996FEE" w:rsidRDefault="001A500E" w:rsidP="001F3C85">
            <w:pPr>
              <w:rPr>
                <w:sz w:val="15"/>
                <w:szCs w:val="15"/>
              </w:rPr>
            </w:pPr>
            <w:proofErr w:type="spellStart"/>
            <w:r>
              <w:rPr>
                <w:sz w:val="15"/>
              </w:rPr>
              <w:t>n.a.</w:t>
            </w:r>
            <w:proofErr w:type="spellEnd"/>
          </w:p>
        </w:tc>
      </w:tr>
      <w:tr w:rsidR="001A500E" w:rsidRPr="00996FEE" w14:paraId="71D3FF04" w14:textId="77777777" w:rsidTr="001F3C85">
        <w:tc>
          <w:tcPr>
            <w:tcW w:w="2589" w:type="pct"/>
            <w:noWrap/>
          </w:tcPr>
          <w:p w14:paraId="0F22A3C7" w14:textId="77777777" w:rsidR="001A500E" w:rsidRPr="00996FEE" w:rsidRDefault="001A500E" w:rsidP="001F3C85">
            <w:pPr>
              <w:rPr>
                <w:sz w:val="15"/>
                <w:szCs w:val="15"/>
              </w:rPr>
            </w:pPr>
            <w:r>
              <w:rPr>
                <w:color w:val="000000"/>
                <w:sz w:val="15"/>
              </w:rPr>
              <w:lastRenderedPageBreak/>
              <w:t>Sea cucumbers (</w:t>
            </w:r>
            <w:proofErr w:type="spellStart"/>
            <w:r>
              <w:rPr>
                <w:i/>
                <w:iCs/>
                <w:color w:val="000000"/>
                <w:sz w:val="15"/>
              </w:rPr>
              <w:t>Holoturoidea</w:t>
            </w:r>
            <w:proofErr w:type="spellEnd"/>
            <w:r>
              <w:rPr>
                <w:color w:val="000000"/>
                <w:sz w:val="15"/>
              </w:rPr>
              <w:t>)</w:t>
            </w:r>
          </w:p>
        </w:tc>
        <w:tc>
          <w:tcPr>
            <w:tcW w:w="1074" w:type="pct"/>
          </w:tcPr>
          <w:p w14:paraId="3EF1BDD1" w14:textId="77777777" w:rsidR="001A500E" w:rsidRPr="00996FEE" w:rsidRDefault="001A500E" w:rsidP="001F3C85">
            <w:pPr>
              <w:pStyle w:val="CommentText"/>
              <w:rPr>
                <w:sz w:val="15"/>
                <w:szCs w:val="15"/>
              </w:rPr>
            </w:pPr>
            <w:r>
              <w:rPr>
                <w:sz w:val="15"/>
              </w:rPr>
              <w:t>Resolution No. 04</w:t>
            </w:r>
            <w:r w:rsidRPr="0060155B">
              <w:rPr>
                <w:sz w:val="15"/>
              </w:rPr>
              <w:noBreakHyphen/>
            </w:r>
            <w:r>
              <w:rPr>
                <w:sz w:val="15"/>
              </w:rPr>
              <w:t>20</w:t>
            </w:r>
          </w:p>
        </w:tc>
        <w:tc>
          <w:tcPr>
            <w:tcW w:w="1337" w:type="pct"/>
            <w:noWrap/>
          </w:tcPr>
          <w:p w14:paraId="5B0BE16D" w14:textId="77777777" w:rsidR="001A500E" w:rsidRPr="00996FEE" w:rsidRDefault="001A500E" w:rsidP="001F3C85">
            <w:pPr>
              <w:pStyle w:val="CommentText"/>
              <w:rPr>
                <w:sz w:val="15"/>
                <w:szCs w:val="15"/>
              </w:rPr>
            </w:pPr>
            <w:proofErr w:type="spellStart"/>
            <w:r>
              <w:rPr>
                <w:sz w:val="15"/>
              </w:rPr>
              <w:t>n.a.</w:t>
            </w:r>
            <w:proofErr w:type="spellEnd"/>
          </w:p>
        </w:tc>
      </w:tr>
    </w:tbl>
    <w:p w14:paraId="6CEB3649" w14:textId="77777777" w:rsidR="001A500E" w:rsidRDefault="001A500E" w:rsidP="00E439A9">
      <w:pPr>
        <w:pStyle w:val="NoteText"/>
        <w:spacing w:before="120" w:after="120"/>
      </w:pPr>
      <w:proofErr w:type="spellStart"/>
      <w:r>
        <w:t>n.a.</w:t>
      </w:r>
      <w:proofErr w:type="spellEnd"/>
      <w:r>
        <w:tab/>
        <w:t>Not applicable.</w:t>
      </w:r>
    </w:p>
    <w:p w14:paraId="168E75D9" w14:textId="77777777" w:rsidR="001A500E" w:rsidRPr="007F474B" w:rsidRDefault="001A500E" w:rsidP="007F474B">
      <w:pPr>
        <w:pStyle w:val="NoteText"/>
        <w:spacing w:before="120" w:after="240"/>
      </w:pPr>
      <w:r>
        <w:t>Source:</w:t>
      </w:r>
      <w:r>
        <w:tab/>
        <w:t>Information provided by the authorities.</w:t>
      </w:r>
    </w:p>
    <w:p w14:paraId="724BCBE3" w14:textId="77777777" w:rsidR="001A500E" w:rsidRPr="006420F6" w:rsidRDefault="001A500E" w:rsidP="00673725">
      <w:pPr>
        <w:pStyle w:val="Caption"/>
      </w:pPr>
      <w:bookmarkStart w:id="199" w:name="_Toc117238046"/>
      <w:r>
        <w:t xml:space="preserve">Table </w:t>
      </w:r>
      <w:r w:rsidR="00BD37F2">
        <w:fldChar w:fldCharType="begin"/>
      </w:r>
      <w:r w:rsidR="00BD37F2">
        <w:instrText xml:space="preserve"> STYLEREF 1 \s </w:instrText>
      </w:r>
      <w:r w:rsidR="00BD37F2">
        <w:fldChar w:fldCharType="separate"/>
      </w:r>
      <w:r>
        <w:rPr>
          <w:noProof/>
        </w:rPr>
        <w:t>3</w:t>
      </w:r>
      <w:r w:rsidR="00BD37F2">
        <w:rPr>
          <w:noProof/>
        </w:rPr>
        <w:fldChar w:fldCharType="end"/>
      </w:r>
      <w:r>
        <w:t>.</w:t>
      </w:r>
      <w:r w:rsidR="00BD37F2">
        <w:fldChar w:fldCharType="begin"/>
      </w:r>
      <w:r w:rsidR="00BD37F2">
        <w:instrText xml:space="preserve"> SEQ Table \* ARABIC \s 1 </w:instrText>
      </w:r>
      <w:r w:rsidR="00BD37F2">
        <w:fldChar w:fldCharType="separate"/>
      </w:r>
      <w:r>
        <w:rPr>
          <w:noProof/>
        </w:rPr>
        <w:t>13</w:t>
      </w:r>
      <w:r w:rsidR="00BD37F2">
        <w:rPr>
          <w:noProof/>
        </w:rPr>
        <w:fldChar w:fldCharType="end"/>
      </w:r>
      <w:r>
        <w:t xml:space="preserve"> Export restrictions and controls, 2015</w:t>
      </w:r>
      <w:r w:rsidRPr="0060155B">
        <w:noBreakHyphen/>
      </w:r>
      <w:r>
        <w:t>22</w:t>
      </w:r>
      <w:bookmarkEnd w:id="199"/>
    </w:p>
    <w:tbl>
      <w:tblPr>
        <w:tblW w:w="5000" w:type="pct"/>
        <w:tblBorders>
          <w:top w:val="single" w:sz="4" w:space="0" w:color="auto"/>
          <w:left w:val="single" w:sz="4" w:space="0" w:color="auto"/>
          <w:bottom w:val="single" w:sz="4" w:space="0" w:color="auto"/>
          <w:right w:val="single" w:sz="4" w:space="0" w:color="auto"/>
          <w:insideV w:val="single" w:sz="4" w:space="0" w:color="auto"/>
        </w:tblBorders>
        <w:tblLayout w:type="fixed"/>
        <w:tblLook w:val="04A0" w:firstRow="1" w:lastRow="0" w:firstColumn="1" w:lastColumn="0" w:noHBand="0" w:noVBand="1"/>
      </w:tblPr>
      <w:tblGrid>
        <w:gridCol w:w="2110"/>
        <w:gridCol w:w="1408"/>
        <w:gridCol w:w="5498"/>
      </w:tblGrid>
      <w:tr w:rsidR="001A500E" w:rsidRPr="00996FEE" w14:paraId="6972D87C" w14:textId="77777777" w:rsidTr="001F3C85">
        <w:trPr>
          <w:cantSplit/>
          <w:tblHeader/>
        </w:trPr>
        <w:tc>
          <w:tcPr>
            <w:tcW w:w="1170" w:type="pct"/>
            <w:shd w:val="clear" w:color="auto" w:fill="006283"/>
            <w:noWrap/>
            <w:vAlign w:val="center"/>
            <w:hideMark/>
          </w:tcPr>
          <w:p w14:paraId="60D9BD4C" w14:textId="77777777" w:rsidR="001A500E" w:rsidRPr="00996FEE" w:rsidRDefault="001A500E" w:rsidP="001F3C85">
            <w:pPr>
              <w:jc w:val="center"/>
              <w:rPr>
                <w:rFonts w:eastAsia="Times New Roman" w:cs="Calibri"/>
                <w:b/>
                <w:bCs/>
                <w:color w:val="FFFFFF"/>
                <w:sz w:val="15"/>
                <w:szCs w:val="15"/>
              </w:rPr>
            </w:pPr>
            <w:r>
              <w:rPr>
                <w:b/>
                <w:color w:val="FFFFFF"/>
                <w:sz w:val="15"/>
              </w:rPr>
              <w:t>Product</w:t>
            </w:r>
          </w:p>
        </w:tc>
        <w:tc>
          <w:tcPr>
            <w:tcW w:w="781" w:type="pct"/>
            <w:shd w:val="clear" w:color="auto" w:fill="006283"/>
            <w:noWrap/>
            <w:vAlign w:val="center"/>
            <w:hideMark/>
          </w:tcPr>
          <w:p w14:paraId="1C3FF3F0" w14:textId="77777777" w:rsidR="001A500E" w:rsidRPr="00996FEE" w:rsidRDefault="001A500E" w:rsidP="001F3C85">
            <w:pPr>
              <w:jc w:val="center"/>
              <w:rPr>
                <w:rFonts w:eastAsia="Times New Roman" w:cs="Calibri"/>
                <w:b/>
                <w:bCs/>
                <w:color w:val="FFFFFF"/>
                <w:sz w:val="15"/>
                <w:szCs w:val="15"/>
                <w:lang w:val="es-PE" w:eastAsia="es-PE"/>
              </w:rPr>
            </w:pPr>
          </w:p>
        </w:tc>
        <w:tc>
          <w:tcPr>
            <w:tcW w:w="3048" w:type="pct"/>
            <w:shd w:val="clear" w:color="auto" w:fill="006283"/>
            <w:noWrap/>
            <w:vAlign w:val="center"/>
            <w:hideMark/>
          </w:tcPr>
          <w:p w14:paraId="5C7E042B" w14:textId="77777777" w:rsidR="001A500E" w:rsidRPr="00996FEE" w:rsidRDefault="001A500E" w:rsidP="001F3C85">
            <w:pPr>
              <w:jc w:val="center"/>
              <w:rPr>
                <w:rFonts w:eastAsia="Times New Roman" w:cs="Calibri"/>
                <w:b/>
                <w:bCs/>
                <w:color w:val="FFFFFF"/>
                <w:sz w:val="15"/>
                <w:szCs w:val="15"/>
              </w:rPr>
            </w:pPr>
            <w:r>
              <w:rPr>
                <w:b/>
                <w:color w:val="FFFFFF"/>
                <w:sz w:val="15"/>
              </w:rPr>
              <w:t>Type of measure</w:t>
            </w:r>
          </w:p>
        </w:tc>
      </w:tr>
      <w:tr w:rsidR="001A500E" w:rsidRPr="00996FEE" w14:paraId="3D1791E4" w14:textId="77777777" w:rsidTr="001F3C85">
        <w:trPr>
          <w:cantSplit/>
        </w:trPr>
        <w:tc>
          <w:tcPr>
            <w:tcW w:w="1170" w:type="pct"/>
            <w:shd w:val="clear" w:color="auto" w:fill="C9DED4"/>
          </w:tcPr>
          <w:p w14:paraId="75E7F857" w14:textId="77777777" w:rsidR="001A500E" w:rsidRPr="00996FEE" w:rsidRDefault="001A500E" w:rsidP="001F3C85">
            <w:pPr>
              <w:jc w:val="left"/>
              <w:rPr>
                <w:rFonts w:eastAsia="Times New Roman" w:cs="Calibri"/>
                <w:bCs/>
                <w:color w:val="000000"/>
                <w:sz w:val="15"/>
                <w:szCs w:val="15"/>
              </w:rPr>
            </w:pPr>
            <w:r>
              <w:rPr>
                <w:color w:val="000000"/>
                <w:sz w:val="15"/>
              </w:rPr>
              <w:t>Sugar and molasses</w:t>
            </w:r>
          </w:p>
        </w:tc>
        <w:tc>
          <w:tcPr>
            <w:tcW w:w="781" w:type="pct"/>
            <w:shd w:val="clear" w:color="auto" w:fill="C9DED4"/>
            <w:noWrap/>
          </w:tcPr>
          <w:p w14:paraId="5F2F2601" w14:textId="77777777" w:rsidR="001A500E" w:rsidRPr="00996FEE" w:rsidRDefault="001A500E" w:rsidP="001F3C85">
            <w:pPr>
              <w:pStyle w:val="CommentText"/>
              <w:jc w:val="left"/>
              <w:rPr>
                <w:rFonts w:eastAsia="Times New Roman" w:cs="Calibri"/>
                <w:color w:val="000000"/>
                <w:sz w:val="15"/>
                <w:szCs w:val="15"/>
              </w:rPr>
            </w:pPr>
            <w:r>
              <w:rPr>
                <w:sz w:val="15"/>
              </w:rPr>
              <w:t>Law No. 618</w:t>
            </w:r>
            <w:r w:rsidRPr="0060155B">
              <w:rPr>
                <w:sz w:val="15"/>
              </w:rPr>
              <w:noBreakHyphen/>
            </w:r>
            <w:r>
              <w:rPr>
                <w:sz w:val="15"/>
              </w:rPr>
              <w:t xml:space="preserve">65 </w:t>
            </w:r>
          </w:p>
        </w:tc>
        <w:tc>
          <w:tcPr>
            <w:tcW w:w="3048" w:type="pct"/>
            <w:shd w:val="clear" w:color="auto" w:fill="C9DED4"/>
            <w:noWrap/>
          </w:tcPr>
          <w:p w14:paraId="2ED1CCB5" w14:textId="77777777" w:rsidR="001A500E" w:rsidRPr="00996FEE" w:rsidRDefault="001A500E" w:rsidP="001F3C85">
            <w:pPr>
              <w:jc w:val="left"/>
              <w:rPr>
                <w:rFonts w:eastAsia="Times New Roman" w:cs="Calibri"/>
                <w:color w:val="000000"/>
                <w:sz w:val="15"/>
                <w:szCs w:val="15"/>
              </w:rPr>
            </w:pPr>
            <w:r>
              <w:rPr>
                <w:sz w:val="15"/>
              </w:rPr>
              <w:t xml:space="preserve">An </w:t>
            </w:r>
            <w:proofErr w:type="spellStart"/>
            <w:r>
              <w:rPr>
                <w:sz w:val="15"/>
              </w:rPr>
              <w:t>INAZUCAR</w:t>
            </w:r>
            <w:proofErr w:type="spellEnd"/>
            <w:r>
              <w:rPr>
                <w:sz w:val="15"/>
              </w:rPr>
              <w:t xml:space="preserve"> export permit is required for exports.</w:t>
            </w:r>
          </w:p>
          <w:p w14:paraId="41A6F526" w14:textId="77777777" w:rsidR="001A500E" w:rsidRPr="00996FEE" w:rsidRDefault="001A500E" w:rsidP="001F3C85">
            <w:pPr>
              <w:jc w:val="left"/>
              <w:rPr>
                <w:rFonts w:eastAsia="Times New Roman" w:cs="Calibri"/>
                <w:color w:val="000000"/>
                <w:sz w:val="15"/>
                <w:szCs w:val="15"/>
              </w:rPr>
            </w:pPr>
            <w:r>
              <w:rPr>
                <w:color w:val="000000"/>
                <w:sz w:val="15"/>
              </w:rPr>
              <w:t>Export controls are in place to keep a special register to track shipments, for information and control purposes.</w:t>
            </w:r>
          </w:p>
        </w:tc>
      </w:tr>
      <w:tr w:rsidR="001A500E" w:rsidRPr="00996FEE" w14:paraId="293F6863" w14:textId="77777777" w:rsidTr="001F3C85">
        <w:trPr>
          <w:cantSplit/>
        </w:trPr>
        <w:tc>
          <w:tcPr>
            <w:tcW w:w="1170" w:type="pct"/>
            <w:shd w:val="clear" w:color="auto" w:fill="auto"/>
          </w:tcPr>
          <w:p w14:paraId="4C449E8F" w14:textId="77777777" w:rsidR="001A500E" w:rsidRPr="00996FEE" w:rsidRDefault="001A500E" w:rsidP="001F3C85">
            <w:pPr>
              <w:jc w:val="left"/>
              <w:rPr>
                <w:rFonts w:eastAsia="Times New Roman" w:cs="Calibri"/>
                <w:bCs/>
                <w:color w:val="000000"/>
                <w:sz w:val="15"/>
                <w:szCs w:val="15"/>
              </w:rPr>
            </w:pPr>
            <w:r>
              <w:rPr>
                <w:color w:val="000000"/>
                <w:sz w:val="15"/>
              </w:rPr>
              <w:t>Fishing industry (except aquaculture)</w:t>
            </w:r>
          </w:p>
        </w:tc>
        <w:tc>
          <w:tcPr>
            <w:tcW w:w="781" w:type="pct"/>
            <w:shd w:val="clear" w:color="auto" w:fill="auto"/>
            <w:noWrap/>
          </w:tcPr>
          <w:p w14:paraId="7F83BFC4" w14:textId="77777777" w:rsidR="001A500E" w:rsidRPr="00996FEE" w:rsidRDefault="001A500E" w:rsidP="001F3C85">
            <w:pPr>
              <w:jc w:val="left"/>
              <w:rPr>
                <w:rFonts w:eastAsia="Times New Roman" w:cs="Calibri"/>
                <w:color w:val="000000"/>
                <w:sz w:val="15"/>
                <w:szCs w:val="15"/>
              </w:rPr>
            </w:pPr>
            <w:r>
              <w:rPr>
                <w:sz w:val="15"/>
              </w:rPr>
              <w:t>Law No. 307</w:t>
            </w:r>
            <w:r w:rsidRPr="0060155B">
              <w:rPr>
                <w:sz w:val="15"/>
              </w:rPr>
              <w:noBreakHyphen/>
            </w:r>
            <w:r>
              <w:rPr>
                <w:sz w:val="15"/>
              </w:rPr>
              <w:t>04</w:t>
            </w:r>
          </w:p>
        </w:tc>
        <w:tc>
          <w:tcPr>
            <w:tcW w:w="3048" w:type="pct"/>
            <w:shd w:val="clear" w:color="auto" w:fill="auto"/>
            <w:noWrap/>
          </w:tcPr>
          <w:p w14:paraId="7C60D103" w14:textId="77777777" w:rsidR="001A500E" w:rsidRPr="00996FEE" w:rsidRDefault="001A500E" w:rsidP="001F3C85">
            <w:pPr>
              <w:jc w:val="left"/>
              <w:rPr>
                <w:rFonts w:eastAsia="Times New Roman" w:cs="Calibri"/>
                <w:color w:val="000000"/>
                <w:sz w:val="15"/>
                <w:szCs w:val="15"/>
              </w:rPr>
            </w:pPr>
            <w:r>
              <w:rPr>
                <w:sz w:val="15"/>
              </w:rPr>
              <w:t xml:space="preserve">A </w:t>
            </w:r>
            <w:proofErr w:type="spellStart"/>
            <w:r>
              <w:rPr>
                <w:sz w:val="15"/>
              </w:rPr>
              <w:t>CODOPESCA</w:t>
            </w:r>
            <w:proofErr w:type="spellEnd"/>
            <w:r>
              <w:rPr>
                <w:sz w:val="15"/>
              </w:rPr>
              <w:t xml:space="preserve"> certificate of no objection is required for exports.</w:t>
            </w:r>
          </w:p>
        </w:tc>
      </w:tr>
    </w:tbl>
    <w:p w14:paraId="00946108" w14:textId="77777777" w:rsidR="001A500E" w:rsidRPr="006420F6" w:rsidRDefault="001A500E" w:rsidP="00E439A9">
      <w:pPr>
        <w:pStyle w:val="NoteText"/>
        <w:spacing w:before="120" w:after="240"/>
      </w:pPr>
      <w:r>
        <w:t>Source:</w:t>
      </w:r>
      <w:r>
        <w:tab/>
        <w:t>Information provided by the authorities.</w:t>
      </w:r>
    </w:p>
    <w:p w14:paraId="575B12D2" w14:textId="77777777" w:rsidR="001A500E" w:rsidRPr="007C74EF" w:rsidRDefault="001A500E" w:rsidP="00574469">
      <w:pPr>
        <w:pStyle w:val="Heading3"/>
      </w:pPr>
      <w:bookmarkStart w:id="200" w:name="_Toc417038498"/>
      <w:bookmarkStart w:id="201" w:name="_Toc384214173"/>
      <w:bookmarkStart w:id="202" w:name="_Toc117260631"/>
      <w:r>
        <w:t>Export support</w:t>
      </w:r>
      <w:bookmarkEnd w:id="200"/>
      <w:bookmarkEnd w:id="201"/>
      <w:bookmarkEnd w:id="202"/>
    </w:p>
    <w:p w14:paraId="5BEDF4DB" w14:textId="77777777" w:rsidR="001A500E" w:rsidRPr="007C74EF" w:rsidRDefault="001A500E" w:rsidP="00574469">
      <w:pPr>
        <w:pStyle w:val="BodyText"/>
      </w:pPr>
      <w:r>
        <w:t>The Dominican Republic has notified the WTO that no export subsidies were granted for agricultural products over the period 2015</w:t>
      </w:r>
      <w:r w:rsidRPr="0060155B">
        <w:noBreakHyphen/>
      </w:r>
      <w:r>
        <w:t>21.</w:t>
      </w:r>
      <w:r>
        <w:rPr>
          <w:rStyle w:val="FootnoteReference"/>
        </w:rPr>
        <w:footnoteReference w:id="173"/>
      </w:r>
    </w:p>
    <w:p w14:paraId="52D75072" w14:textId="77777777" w:rsidR="001A500E" w:rsidRPr="007C74EF" w:rsidRDefault="001A500E" w:rsidP="00574469">
      <w:pPr>
        <w:pStyle w:val="BodyText"/>
      </w:pPr>
      <w:r>
        <w:t>The Dominican Republic continues to use the drawback procedure</w:t>
      </w:r>
      <w:r w:rsidRPr="0060155B">
        <w:t>. U</w:t>
      </w:r>
      <w:r>
        <w:t>nder this procedure, exporters can obtain the repayment (total or partial) in respect of the import duties and taxes charged on goods that will be exported or on the inputs used in their production</w:t>
      </w:r>
      <w:r w:rsidRPr="0060155B">
        <w:t>. T</w:t>
      </w:r>
      <w:r>
        <w:t>he refund is in the form of a tax credit to be used against future import duties</w:t>
      </w:r>
      <w:r w:rsidRPr="0060155B">
        <w:t>. F</w:t>
      </w:r>
      <w:r>
        <w:t xml:space="preserve">ees for customs service or for any other service in general are not refundable (Article 282 of Law </w:t>
      </w:r>
      <w:r w:rsidRPr="0060155B">
        <w:t>No. </w:t>
      </w:r>
      <w:r>
        <w:t>168</w:t>
      </w:r>
      <w:r w:rsidRPr="0060155B">
        <w:noBreakHyphen/>
      </w:r>
      <w:r>
        <w:t>21).</w:t>
      </w:r>
    </w:p>
    <w:p w14:paraId="29360BEB" w14:textId="77777777" w:rsidR="001A500E" w:rsidRPr="007C74EF" w:rsidRDefault="001A500E" w:rsidP="00574469">
      <w:pPr>
        <w:pStyle w:val="BodyText"/>
      </w:pPr>
      <w:r>
        <w:t>The drawback procedure may be applied to the following goods</w:t>
      </w:r>
      <w:r w:rsidRPr="0060155B">
        <w:t>: (</w:t>
      </w:r>
      <w:r>
        <w:t>1) goods that have undergone manufacturing or processing</w:t>
      </w:r>
      <w:r w:rsidRPr="0060155B">
        <w:t>; (</w:t>
      </w:r>
      <w:r>
        <w:t>2) inputs that are part of the final good</w:t>
      </w:r>
      <w:r w:rsidRPr="0060155B">
        <w:t>; (</w:t>
      </w:r>
      <w:r>
        <w:t>3) packing materials or packing containers for sale</w:t>
      </w:r>
      <w:r w:rsidRPr="0060155B">
        <w:t>; a</w:t>
      </w:r>
      <w:r>
        <w:t xml:space="preserve">nd (4) parts subject to an assembly process (Article 281 of Law </w:t>
      </w:r>
      <w:r w:rsidRPr="0060155B">
        <w:t>No.</w:t>
      </w:r>
      <w:r>
        <w:t> 168</w:t>
      </w:r>
      <w:r w:rsidRPr="0060155B">
        <w:noBreakHyphen/>
      </w:r>
      <w:r>
        <w:t>21)</w:t>
      </w:r>
      <w:r w:rsidRPr="0060155B">
        <w:t>. D</w:t>
      </w:r>
      <w:r>
        <w:t>rawback cannot be used if the goods are imported under any special customs procedure which is tax</w:t>
      </w:r>
      <w:r w:rsidRPr="0060155B">
        <w:noBreakHyphen/>
      </w:r>
      <w:r>
        <w:t>free or for which the payment of taxes is suspended or subject to compensation</w:t>
      </w:r>
      <w:r w:rsidRPr="0060155B">
        <w:t>. T</w:t>
      </w:r>
      <w:r>
        <w:t>he time limit for requesting the application of the drawback procedure shall be one year from the export date (Article 283).</w:t>
      </w:r>
    </w:p>
    <w:p w14:paraId="1973FC6F" w14:textId="77777777" w:rsidR="001A500E" w:rsidRPr="006420F6" w:rsidRDefault="001A500E" w:rsidP="00574469">
      <w:pPr>
        <w:pStyle w:val="BodyText"/>
      </w:pPr>
      <w:r>
        <w:t xml:space="preserve">The incentives under the Law on Reviving and Promoting Exports (Law </w:t>
      </w:r>
      <w:r w:rsidRPr="0060155B">
        <w:t>No. </w:t>
      </w:r>
      <w:r>
        <w:t>84</w:t>
      </w:r>
      <w:r w:rsidRPr="0060155B">
        <w:noBreakHyphen/>
      </w:r>
      <w:r>
        <w:t xml:space="preserve">99) or the drawback procedure were incorporated into the new Customs Law (Law </w:t>
      </w:r>
      <w:r w:rsidRPr="0060155B">
        <w:t>No. </w:t>
      </w:r>
      <w:r>
        <w:t>168</w:t>
      </w:r>
      <w:r w:rsidRPr="0060155B">
        <w:noBreakHyphen/>
      </w:r>
      <w:r>
        <w:t>21).</w:t>
      </w:r>
      <w:r>
        <w:rPr>
          <w:rStyle w:val="FootnoteReference"/>
        </w:rPr>
        <w:footnoteReference w:id="174"/>
      </w:r>
    </w:p>
    <w:p w14:paraId="11A7DB6F" w14:textId="77777777" w:rsidR="001A500E" w:rsidRPr="007C74EF" w:rsidRDefault="001A500E" w:rsidP="00574469">
      <w:pPr>
        <w:pStyle w:val="Heading3"/>
        <w:rPr>
          <w:rFonts w:eastAsia="SimHei"/>
        </w:rPr>
      </w:pPr>
      <w:bookmarkStart w:id="203" w:name="_Toc174335665"/>
      <w:bookmarkStart w:id="204" w:name="_Toc379466555"/>
      <w:bookmarkStart w:id="205" w:name="_Toc417038501"/>
      <w:bookmarkStart w:id="206" w:name="_Toc384214174"/>
      <w:bookmarkStart w:id="207" w:name="_Toc117260632"/>
      <w:r>
        <w:t>Export finance, insurance and promotion</w:t>
      </w:r>
      <w:bookmarkEnd w:id="203"/>
      <w:bookmarkEnd w:id="204"/>
      <w:bookmarkEnd w:id="205"/>
      <w:bookmarkEnd w:id="206"/>
      <w:bookmarkEnd w:id="207"/>
    </w:p>
    <w:p w14:paraId="6F99F222" w14:textId="77777777" w:rsidR="001A500E" w:rsidRPr="006420F6" w:rsidRDefault="001A500E" w:rsidP="00574469">
      <w:pPr>
        <w:pStyle w:val="BodyText"/>
      </w:pPr>
      <w:r>
        <w:t>In the past, there was no public financial entity in the Dominican Republic devoted exclusively to export financing</w:t>
      </w:r>
      <w:r w:rsidRPr="0060155B">
        <w:t>. I</w:t>
      </w:r>
      <w:r>
        <w:t>n 2015, the National Bank for the Promotion of Housing and Production (</w:t>
      </w:r>
      <w:proofErr w:type="spellStart"/>
      <w:r>
        <w:t>BNV</w:t>
      </w:r>
      <w:proofErr w:type="spellEnd"/>
      <w:r>
        <w:t>) became the National Export Bank (</w:t>
      </w:r>
      <w:proofErr w:type="spellStart"/>
      <w:r>
        <w:t>BANDEX</w:t>
      </w:r>
      <w:proofErr w:type="spellEnd"/>
      <w:r>
        <w:t>) – a public</w:t>
      </w:r>
      <w:r w:rsidRPr="0060155B">
        <w:noBreakHyphen/>
      </w:r>
      <w:r>
        <w:t>private joint</w:t>
      </w:r>
      <w:r w:rsidRPr="0060155B">
        <w:noBreakHyphen/>
      </w:r>
      <w:r>
        <w:t>stock financial intermediary for development, backed by an unlimited State guarantee</w:t>
      </w:r>
      <w:r w:rsidRPr="0060155B">
        <w:t>.</w:t>
      </w:r>
      <w:r w:rsidRPr="0060155B">
        <w:rPr>
          <w:rStyle w:val="FootnoteReference"/>
        </w:rPr>
        <w:footnoteReference w:id="175"/>
      </w:r>
      <w:r w:rsidRPr="0060155B">
        <w:t xml:space="preserve"> I</w:t>
      </w:r>
      <w:r>
        <w:t>n 2021, as part of the Dominican Republic's post</w:t>
      </w:r>
      <w:r>
        <w:noBreakHyphen/>
        <w:t xml:space="preserve">pandemic economic recovery policy, </w:t>
      </w:r>
      <w:proofErr w:type="spellStart"/>
      <w:r>
        <w:t>BANDEX</w:t>
      </w:r>
      <w:proofErr w:type="spellEnd"/>
      <w:r>
        <w:t xml:space="preserve"> was renamed the Export and Development Bank</w:t>
      </w:r>
      <w:r w:rsidRPr="0060155B">
        <w:t>.</w:t>
      </w:r>
      <w:r w:rsidRPr="0060155B">
        <w:rPr>
          <w:rStyle w:val="FootnoteReference"/>
        </w:rPr>
        <w:footnoteReference w:id="176"/>
      </w:r>
      <w:r w:rsidRPr="0060155B">
        <w:t xml:space="preserve"> </w:t>
      </w:r>
      <w:proofErr w:type="spellStart"/>
      <w:r w:rsidRPr="0060155B">
        <w:t>B</w:t>
      </w:r>
      <w:r>
        <w:t>ANDEX's</w:t>
      </w:r>
      <w:proofErr w:type="spellEnd"/>
      <w:r>
        <w:t xml:space="preserve"> main functions include channelling financial resources to export</w:t>
      </w:r>
      <w:r w:rsidRPr="0060155B">
        <w:noBreakHyphen/>
      </w:r>
      <w:r>
        <w:t>oriented sectors in national or foreign currency, through specialized financing and lines of credit for exports, and other products, such as export factoring, export credit insurance and other SME</w:t>
      </w:r>
      <w:r w:rsidRPr="0060155B">
        <w:noBreakHyphen/>
      </w:r>
      <w:r>
        <w:t>oriented specialized credit products</w:t>
      </w:r>
      <w:r w:rsidRPr="0060155B">
        <w:t>.</w:t>
      </w:r>
      <w:r w:rsidRPr="0060155B">
        <w:rPr>
          <w:rStyle w:val="FootnoteReference"/>
        </w:rPr>
        <w:footnoteReference w:id="177"/>
      </w:r>
      <w:r w:rsidRPr="0060155B">
        <w:t xml:space="preserve"> </w:t>
      </w:r>
      <w:proofErr w:type="spellStart"/>
      <w:r w:rsidRPr="0060155B">
        <w:t>B</w:t>
      </w:r>
      <w:r>
        <w:t>ANDEX</w:t>
      </w:r>
      <w:proofErr w:type="spellEnd"/>
      <w:r>
        <w:t xml:space="preserve"> also has special lines of credit for foreign companies purchasing Dominican products for export.</w:t>
      </w:r>
    </w:p>
    <w:p w14:paraId="7FEB071F" w14:textId="77777777" w:rsidR="001A500E" w:rsidRPr="00F81E90" w:rsidRDefault="001A500E" w:rsidP="00574469">
      <w:pPr>
        <w:pStyle w:val="BodyText"/>
        <w:rPr>
          <w:vanish/>
        </w:rPr>
      </w:pPr>
      <w:proofErr w:type="spellStart"/>
      <w:r>
        <w:t>ProDominicana</w:t>
      </w:r>
      <w:proofErr w:type="spellEnd"/>
      <w:r>
        <w:t xml:space="preserve"> remains the government agency responsible for promoting exports and </w:t>
      </w:r>
      <w:proofErr w:type="spellStart"/>
      <w:r>
        <w:t>FDI</w:t>
      </w:r>
      <w:proofErr w:type="spellEnd"/>
      <w:r w:rsidRPr="0060155B">
        <w:t>.</w:t>
      </w:r>
      <w:r w:rsidRPr="0060155B">
        <w:rPr>
          <w:rStyle w:val="FootnoteReference"/>
        </w:rPr>
        <w:footnoteReference w:id="178"/>
      </w:r>
      <w:r w:rsidRPr="0060155B">
        <w:t xml:space="preserve"> </w:t>
      </w:r>
      <w:proofErr w:type="spellStart"/>
      <w:r w:rsidRPr="0060155B">
        <w:t>P</w:t>
      </w:r>
      <w:r>
        <w:t>roDominicana</w:t>
      </w:r>
      <w:proofErr w:type="spellEnd"/>
      <w:r>
        <w:t xml:space="preserve"> operates in several areas in coordination with other government institutions involved </w:t>
      </w:r>
      <w:r>
        <w:lastRenderedPageBreak/>
        <w:t>in foreign trade to ensure more expeditious and efficient trade flows</w:t>
      </w:r>
      <w:r w:rsidRPr="0060155B">
        <w:t>. T</w:t>
      </w:r>
      <w:r>
        <w:t>he agency participates actively in trade negotiations and in the administration and implementation of trade agreements</w:t>
      </w:r>
      <w:r w:rsidRPr="0060155B">
        <w:t>. I</w:t>
      </w:r>
      <w:r>
        <w:t>t also helps to improve the legal framework and to facilitate procedures</w:t>
      </w:r>
      <w:r w:rsidRPr="0060155B">
        <w:t>. I</w:t>
      </w:r>
      <w:r>
        <w:t xml:space="preserve">n addition, </w:t>
      </w:r>
      <w:proofErr w:type="spellStart"/>
      <w:r>
        <w:t>ProDominicana</w:t>
      </w:r>
      <w:proofErr w:type="spellEnd"/>
      <w:r>
        <w:t xml:space="preserve"> promotes the country's exportable supply abroad through trade fairs and develops support and training programmes for potential exporting firms (e.g. the </w:t>
      </w:r>
      <w:proofErr w:type="spellStart"/>
      <w:r>
        <w:t>PymeX</w:t>
      </w:r>
      <w:proofErr w:type="spellEnd"/>
      <w:r>
        <w:t xml:space="preserve"> and </w:t>
      </w:r>
      <w:proofErr w:type="spellStart"/>
      <w:r w:rsidRPr="007F474B">
        <w:rPr>
          <w:i/>
          <w:iCs/>
        </w:rPr>
        <w:t>Creando</w:t>
      </w:r>
      <w:proofErr w:type="spellEnd"/>
      <w:r w:rsidRPr="007F474B">
        <w:rPr>
          <w:i/>
          <w:iCs/>
        </w:rPr>
        <w:t xml:space="preserve"> </w:t>
      </w:r>
      <w:proofErr w:type="spellStart"/>
      <w:r w:rsidRPr="007F474B">
        <w:rPr>
          <w:i/>
          <w:iCs/>
        </w:rPr>
        <w:t>Exportadores</w:t>
      </w:r>
      <w:proofErr w:type="spellEnd"/>
      <w:r>
        <w:t xml:space="preserve"> programmes).</w:t>
      </w:r>
      <w:r>
        <w:rPr>
          <w:rStyle w:val="FootnoteReference"/>
        </w:rPr>
        <w:footnoteReference w:id="179"/>
      </w:r>
    </w:p>
    <w:p w14:paraId="767D2B5E" w14:textId="77777777" w:rsidR="001A500E" w:rsidRPr="00F7332E" w:rsidRDefault="001A500E" w:rsidP="00574469">
      <w:pPr>
        <w:pStyle w:val="Heading2"/>
      </w:pPr>
      <w:bookmarkStart w:id="208" w:name="_Toc117260633"/>
      <w:bookmarkStart w:id="209" w:name="_Toc114735752"/>
      <w:r w:rsidRPr="00F7332E">
        <w:t>Measures affecting production and trade</w:t>
      </w:r>
      <w:bookmarkEnd w:id="208"/>
    </w:p>
    <w:p w14:paraId="3AF59FC6" w14:textId="77777777" w:rsidR="001A500E" w:rsidRPr="0060155B" w:rsidRDefault="001A500E" w:rsidP="00574469">
      <w:pPr>
        <w:pStyle w:val="Heading3"/>
      </w:pPr>
      <w:bookmarkStart w:id="210" w:name="_Toc114735753"/>
      <w:bookmarkStart w:id="211" w:name="_Toc417038503"/>
      <w:bookmarkStart w:id="212" w:name="_Toc384214176"/>
      <w:bookmarkStart w:id="213" w:name="_Toc117260634"/>
      <w:bookmarkStart w:id="214" w:name="_Hlk108658013"/>
      <w:bookmarkEnd w:id="209"/>
      <w:r w:rsidRPr="00F7332E">
        <w:t>Incentives</w:t>
      </w:r>
      <w:bookmarkEnd w:id="210"/>
      <w:bookmarkEnd w:id="211"/>
      <w:bookmarkEnd w:id="212"/>
      <w:bookmarkEnd w:id="213"/>
    </w:p>
    <w:p w14:paraId="7BFF34AF" w14:textId="77777777" w:rsidR="001A500E" w:rsidRPr="0060155B" w:rsidRDefault="001A500E" w:rsidP="00574469">
      <w:pPr>
        <w:pStyle w:val="BodyText"/>
      </w:pPr>
      <w:r w:rsidRPr="004A7783">
        <w:t>The Dominican Republic continues to grant tax incentives to certain sectors or for certain activities</w:t>
      </w:r>
      <w:r w:rsidRPr="0060155B">
        <w:t>. T</w:t>
      </w:r>
      <w:r w:rsidRPr="004A7783">
        <w:t xml:space="preserve">he incentives comprise exemption (generally in full) from various taxes such as </w:t>
      </w:r>
      <w:proofErr w:type="spellStart"/>
      <w:r w:rsidRPr="004A7783">
        <w:t>ITBIS</w:t>
      </w:r>
      <w:proofErr w:type="spellEnd"/>
      <w:r w:rsidRPr="004A7783">
        <w:t>, income tax (</w:t>
      </w:r>
      <w:proofErr w:type="spellStart"/>
      <w:r w:rsidRPr="004A7783">
        <w:t>ISR</w:t>
      </w:r>
      <w:proofErr w:type="spellEnd"/>
      <w:r w:rsidRPr="004A7783">
        <w:t xml:space="preserve">), the </w:t>
      </w:r>
      <w:proofErr w:type="spellStart"/>
      <w:r w:rsidRPr="004A7783">
        <w:t>ISC</w:t>
      </w:r>
      <w:proofErr w:type="spellEnd"/>
      <w:r w:rsidRPr="004A7783">
        <w:t>, the wealth tax and the tax on use of goods and licences</w:t>
      </w:r>
      <w:r w:rsidRPr="0060155B">
        <w:t>. T</w:t>
      </w:r>
      <w:r w:rsidRPr="004A7783">
        <w:t>he sectors and activities targeted by the incentives are tourism, electricity generation, the textiles industry, mining and agriculture (Table 3.14).</w:t>
      </w:r>
      <w:bookmarkStart w:id="215" w:name="_Toc114735829"/>
    </w:p>
    <w:p w14:paraId="089521E7" w14:textId="77777777" w:rsidR="001A500E" w:rsidRPr="00F7332E" w:rsidRDefault="001A500E" w:rsidP="00673725">
      <w:pPr>
        <w:pStyle w:val="Caption"/>
        <w:rPr>
          <w:b w:val="0"/>
          <w:bCs w:val="0"/>
        </w:rPr>
      </w:pPr>
      <w:bookmarkStart w:id="216" w:name="_Toc117238047"/>
      <w:r>
        <w:t xml:space="preserve">Table </w:t>
      </w:r>
      <w:r w:rsidR="00BD37F2">
        <w:fldChar w:fldCharType="begin"/>
      </w:r>
      <w:r w:rsidR="00BD37F2">
        <w:instrText xml:space="preserve"> STYLEREF 1 \s </w:instrText>
      </w:r>
      <w:r w:rsidR="00BD37F2">
        <w:fldChar w:fldCharType="separate"/>
      </w:r>
      <w:r>
        <w:rPr>
          <w:noProof/>
        </w:rPr>
        <w:t>3</w:t>
      </w:r>
      <w:r w:rsidR="00BD37F2">
        <w:rPr>
          <w:noProof/>
        </w:rPr>
        <w:fldChar w:fldCharType="end"/>
      </w:r>
      <w:r>
        <w:t>.</w:t>
      </w:r>
      <w:r w:rsidR="00BD37F2">
        <w:fldChar w:fldCharType="begin"/>
      </w:r>
      <w:r w:rsidR="00BD37F2">
        <w:instrText xml:space="preserve"> SEQ Table \* ARABIC \s 1 </w:instrText>
      </w:r>
      <w:r w:rsidR="00BD37F2">
        <w:fldChar w:fldCharType="separate"/>
      </w:r>
      <w:r>
        <w:rPr>
          <w:noProof/>
        </w:rPr>
        <w:t>14</w:t>
      </w:r>
      <w:r w:rsidR="00BD37F2">
        <w:rPr>
          <w:noProof/>
        </w:rPr>
        <w:fldChar w:fldCharType="end"/>
      </w:r>
      <w:r>
        <w:t xml:space="preserve"> </w:t>
      </w:r>
      <w:r w:rsidRPr="00F7332E">
        <w:t>Selected sectoral tax incentives, 2015</w:t>
      </w:r>
      <w:r>
        <w:noBreakHyphen/>
      </w:r>
      <w:r w:rsidRPr="00F7332E">
        <w:t>22</w:t>
      </w:r>
      <w:bookmarkEnd w:id="215"/>
      <w:bookmarkEnd w:id="21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5"/>
        <w:gridCol w:w="848"/>
        <w:gridCol w:w="1985"/>
        <w:gridCol w:w="4768"/>
      </w:tblGrid>
      <w:tr w:rsidR="001A500E" w:rsidRPr="00F7332E" w14:paraId="30C598C6" w14:textId="77777777" w:rsidTr="00C51D8E">
        <w:trPr>
          <w:tblHeader/>
        </w:trPr>
        <w:tc>
          <w:tcPr>
            <w:tcW w:w="785" w:type="pct"/>
            <w:shd w:val="clear" w:color="auto" w:fill="006283"/>
            <w:vAlign w:val="center"/>
          </w:tcPr>
          <w:p w14:paraId="5C424600" w14:textId="77777777" w:rsidR="001A500E" w:rsidRPr="00F7332E" w:rsidRDefault="001A500E" w:rsidP="00D146B4">
            <w:pPr>
              <w:rPr>
                <w:rFonts w:eastAsia="Times New Roman" w:cs="Calibri"/>
                <w:b/>
                <w:color w:val="FFFFFF"/>
                <w:sz w:val="15"/>
                <w:szCs w:val="15"/>
              </w:rPr>
            </w:pPr>
            <w:r w:rsidRPr="00F7332E">
              <w:rPr>
                <w:rFonts w:eastAsia="Times New Roman" w:cs="Calibri"/>
                <w:b/>
                <w:bCs/>
                <w:color w:val="FFFFFF"/>
                <w:sz w:val="15"/>
                <w:szCs w:val="15"/>
              </w:rPr>
              <w:t>Sector</w:t>
            </w:r>
          </w:p>
        </w:tc>
        <w:tc>
          <w:tcPr>
            <w:tcW w:w="470" w:type="pct"/>
            <w:shd w:val="clear" w:color="auto" w:fill="006283"/>
            <w:vAlign w:val="center"/>
          </w:tcPr>
          <w:p w14:paraId="758458D8" w14:textId="77777777" w:rsidR="001A500E" w:rsidRPr="00F7332E" w:rsidRDefault="001A500E" w:rsidP="00D146B4">
            <w:pPr>
              <w:rPr>
                <w:rFonts w:eastAsia="Times New Roman" w:cs="Calibri"/>
                <w:b/>
                <w:color w:val="FFFFFF"/>
                <w:sz w:val="15"/>
                <w:szCs w:val="15"/>
              </w:rPr>
            </w:pPr>
            <w:r w:rsidRPr="00F7332E">
              <w:rPr>
                <w:rFonts w:eastAsia="Times New Roman" w:cs="Calibri"/>
                <w:b/>
                <w:bCs/>
                <w:color w:val="FFFFFF"/>
                <w:sz w:val="15"/>
                <w:szCs w:val="15"/>
              </w:rPr>
              <w:t xml:space="preserve">Law </w:t>
            </w:r>
            <w:r w:rsidRPr="0060155B">
              <w:rPr>
                <w:rFonts w:eastAsia="Times New Roman" w:cs="Calibri"/>
                <w:b/>
                <w:bCs/>
                <w:color w:val="FFFFFF"/>
                <w:sz w:val="15"/>
                <w:szCs w:val="15"/>
              </w:rPr>
              <w:t>No. </w:t>
            </w:r>
          </w:p>
        </w:tc>
        <w:tc>
          <w:tcPr>
            <w:tcW w:w="1101" w:type="pct"/>
            <w:shd w:val="clear" w:color="auto" w:fill="006283"/>
            <w:vAlign w:val="center"/>
            <w:hideMark/>
          </w:tcPr>
          <w:p w14:paraId="7151576B" w14:textId="77777777" w:rsidR="001A500E" w:rsidRPr="00F7332E" w:rsidRDefault="001A500E" w:rsidP="00992E06">
            <w:pPr>
              <w:jc w:val="left"/>
              <w:rPr>
                <w:rFonts w:eastAsia="Times New Roman" w:cs="Calibri"/>
                <w:b/>
                <w:color w:val="FFFFFF"/>
                <w:sz w:val="15"/>
                <w:szCs w:val="15"/>
              </w:rPr>
            </w:pPr>
            <w:r w:rsidRPr="00F7332E">
              <w:rPr>
                <w:rFonts w:eastAsia="Times New Roman" w:cs="Calibri"/>
                <w:b/>
                <w:bCs/>
                <w:color w:val="FFFFFF"/>
                <w:sz w:val="15"/>
                <w:szCs w:val="15"/>
              </w:rPr>
              <w:t xml:space="preserve">Tax (rate of exemption) </w:t>
            </w:r>
          </w:p>
        </w:tc>
        <w:tc>
          <w:tcPr>
            <w:tcW w:w="2644" w:type="pct"/>
            <w:shd w:val="clear" w:color="auto" w:fill="006283"/>
            <w:vAlign w:val="center"/>
            <w:hideMark/>
          </w:tcPr>
          <w:p w14:paraId="589394F0" w14:textId="77777777" w:rsidR="001A500E" w:rsidRPr="00F7332E" w:rsidRDefault="001A500E" w:rsidP="00D146B4">
            <w:pPr>
              <w:rPr>
                <w:rFonts w:eastAsia="Times New Roman" w:cs="Calibri"/>
                <w:b/>
                <w:color w:val="FFFFFF"/>
                <w:sz w:val="15"/>
                <w:szCs w:val="15"/>
              </w:rPr>
            </w:pPr>
            <w:r w:rsidRPr="00F7332E">
              <w:rPr>
                <w:rFonts w:eastAsia="Times New Roman" w:cs="Calibri"/>
                <w:b/>
                <w:bCs/>
                <w:color w:val="FFFFFF"/>
                <w:sz w:val="15"/>
                <w:szCs w:val="15"/>
              </w:rPr>
              <w:t>Products/ services</w:t>
            </w:r>
          </w:p>
        </w:tc>
      </w:tr>
      <w:tr w:rsidR="001A500E" w:rsidRPr="00F7332E" w14:paraId="02E7AD87" w14:textId="77777777" w:rsidTr="00C51D8E">
        <w:tc>
          <w:tcPr>
            <w:tcW w:w="785" w:type="pct"/>
            <w:vMerge w:val="restart"/>
          </w:tcPr>
          <w:p w14:paraId="2782B8C0" w14:textId="77777777" w:rsidR="001A500E" w:rsidRPr="00F7332E" w:rsidRDefault="001A500E" w:rsidP="00D146B4">
            <w:pPr>
              <w:rPr>
                <w:rFonts w:eastAsia="Times New Roman" w:cs="Calibri"/>
                <w:color w:val="000000"/>
                <w:sz w:val="15"/>
                <w:szCs w:val="15"/>
              </w:rPr>
            </w:pPr>
            <w:r w:rsidRPr="00F7332E">
              <w:rPr>
                <w:rFonts w:eastAsia="Times New Roman" w:cs="Calibri"/>
                <w:color w:val="000000"/>
                <w:sz w:val="15"/>
                <w:szCs w:val="15"/>
              </w:rPr>
              <w:t>Tourism</w:t>
            </w:r>
          </w:p>
        </w:tc>
        <w:tc>
          <w:tcPr>
            <w:tcW w:w="470" w:type="pct"/>
            <w:vMerge w:val="restart"/>
          </w:tcPr>
          <w:p w14:paraId="5CF668E7" w14:textId="77777777" w:rsidR="001A500E" w:rsidRPr="0060155B" w:rsidRDefault="001A500E" w:rsidP="00D146B4">
            <w:pPr>
              <w:rPr>
                <w:rFonts w:eastAsia="Times New Roman" w:cs="Calibri"/>
                <w:color w:val="000000"/>
                <w:sz w:val="15"/>
                <w:szCs w:val="15"/>
              </w:rPr>
            </w:pPr>
            <w:r w:rsidRPr="00F7332E">
              <w:rPr>
                <w:rFonts w:eastAsia="Times New Roman" w:cs="Calibri"/>
                <w:color w:val="000000"/>
                <w:sz w:val="15"/>
                <w:szCs w:val="15"/>
              </w:rPr>
              <w:t>158</w:t>
            </w:r>
            <w:r>
              <w:rPr>
                <w:rFonts w:eastAsia="Times New Roman" w:cs="Calibri"/>
                <w:color w:val="000000"/>
                <w:sz w:val="15"/>
                <w:szCs w:val="15"/>
              </w:rPr>
              <w:noBreakHyphen/>
            </w:r>
            <w:r w:rsidRPr="00F7332E">
              <w:rPr>
                <w:rFonts w:eastAsia="Times New Roman" w:cs="Calibri"/>
                <w:color w:val="000000"/>
                <w:sz w:val="15"/>
                <w:szCs w:val="15"/>
              </w:rPr>
              <w:t>01</w:t>
            </w:r>
          </w:p>
          <w:p w14:paraId="742346DF" w14:textId="77777777" w:rsidR="001A500E" w:rsidRPr="00F7332E" w:rsidRDefault="001A500E" w:rsidP="00D146B4">
            <w:pPr>
              <w:rPr>
                <w:rFonts w:eastAsia="Times New Roman" w:cs="Calibri"/>
                <w:color w:val="000000"/>
                <w:sz w:val="15"/>
                <w:szCs w:val="15"/>
              </w:rPr>
            </w:pPr>
            <w:r w:rsidRPr="00F7332E">
              <w:rPr>
                <w:rFonts w:eastAsia="Times New Roman" w:cs="Calibri"/>
                <w:color w:val="000000"/>
                <w:sz w:val="15"/>
                <w:szCs w:val="15"/>
              </w:rPr>
              <w:t>195</w:t>
            </w:r>
            <w:r>
              <w:rPr>
                <w:rFonts w:eastAsia="Times New Roman" w:cs="Calibri"/>
                <w:color w:val="000000"/>
                <w:sz w:val="15"/>
                <w:szCs w:val="15"/>
              </w:rPr>
              <w:noBreakHyphen/>
            </w:r>
            <w:r w:rsidRPr="00F7332E">
              <w:rPr>
                <w:rFonts w:eastAsia="Times New Roman" w:cs="Calibri"/>
                <w:color w:val="000000"/>
                <w:sz w:val="15"/>
                <w:szCs w:val="15"/>
              </w:rPr>
              <w:t>13</w:t>
            </w:r>
          </w:p>
        </w:tc>
        <w:tc>
          <w:tcPr>
            <w:tcW w:w="1101" w:type="pct"/>
          </w:tcPr>
          <w:p w14:paraId="0862DADE" w14:textId="77777777" w:rsidR="001A500E" w:rsidRPr="00F7332E" w:rsidRDefault="001A500E" w:rsidP="00D146B4">
            <w:pPr>
              <w:rPr>
                <w:rFonts w:eastAsia="Times New Roman" w:cs="Calibri"/>
                <w:color w:val="000000"/>
                <w:sz w:val="15"/>
                <w:szCs w:val="15"/>
              </w:rPr>
            </w:pPr>
            <w:r w:rsidRPr="00F7332E">
              <w:rPr>
                <w:rFonts w:eastAsia="Times New Roman" w:cs="Calibri"/>
                <w:color w:val="000000"/>
                <w:sz w:val="15"/>
                <w:szCs w:val="15"/>
              </w:rPr>
              <w:t>Tariff (100%)</w:t>
            </w:r>
          </w:p>
        </w:tc>
        <w:tc>
          <w:tcPr>
            <w:tcW w:w="2644" w:type="pct"/>
          </w:tcPr>
          <w:p w14:paraId="537321E2" w14:textId="77777777" w:rsidR="001A500E" w:rsidRPr="00F7332E" w:rsidRDefault="001A500E" w:rsidP="00EA596B">
            <w:pPr>
              <w:jc w:val="left"/>
              <w:rPr>
                <w:rFonts w:eastAsia="Times New Roman" w:cs="Calibri"/>
                <w:color w:val="000000"/>
                <w:sz w:val="15"/>
                <w:szCs w:val="15"/>
              </w:rPr>
            </w:pPr>
            <w:r w:rsidRPr="00F7332E">
              <w:rPr>
                <w:rFonts w:eastAsia="Times New Roman" w:cs="Calibri"/>
                <w:color w:val="000000"/>
                <w:sz w:val="15"/>
                <w:szCs w:val="15"/>
              </w:rPr>
              <w:t xml:space="preserve">Machinery, equipment, materials and moveable property </w:t>
            </w:r>
          </w:p>
        </w:tc>
      </w:tr>
      <w:tr w:rsidR="001A500E" w:rsidRPr="00F7332E" w14:paraId="14A8AFA1" w14:textId="77777777" w:rsidTr="00C51D8E">
        <w:tc>
          <w:tcPr>
            <w:tcW w:w="785" w:type="pct"/>
            <w:vMerge/>
            <w:shd w:val="clear" w:color="auto" w:fill="FFFFFF"/>
          </w:tcPr>
          <w:p w14:paraId="0CF8C008" w14:textId="77777777" w:rsidR="001A500E" w:rsidRPr="00F7332E" w:rsidRDefault="001A500E" w:rsidP="00D146B4">
            <w:pPr>
              <w:rPr>
                <w:rFonts w:eastAsia="Times New Roman" w:cs="Calibri"/>
                <w:color w:val="000000"/>
                <w:sz w:val="15"/>
                <w:szCs w:val="15"/>
              </w:rPr>
            </w:pPr>
          </w:p>
        </w:tc>
        <w:tc>
          <w:tcPr>
            <w:tcW w:w="470" w:type="pct"/>
            <w:vMerge/>
            <w:shd w:val="clear" w:color="auto" w:fill="FFFFFF"/>
          </w:tcPr>
          <w:p w14:paraId="3DEB97EC" w14:textId="77777777" w:rsidR="001A500E" w:rsidRPr="00F7332E" w:rsidRDefault="001A500E" w:rsidP="00D146B4">
            <w:pPr>
              <w:rPr>
                <w:rFonts w:eastAsia="Times New Roman" w:cs="Calibri"/>
                <w:b/>
                <w:bCs/>
                <w:color w:val="000000"/>
                <w:sz w:val="15"/>
                <w:szCs w:val="15"/>
              </w:rPr>
            </w:pPr>
          </w:p>
        </w:tc>
        <w:tc>
          <w:tcPr>
            <w:tcW w:w="1101" w:type="pct"/>
            <w:shd w:val="clear" w:color="auto" w:fill="FFFFFF"/>
          </w:tcPr>
          <w:p w14:paraId="12301F3B" w14:textId="77777777" w:rsidR="001A500E" w:rsidRPr="00F7332E" w:rsidRDefault="001A500E" w:rsidP="00D146B4">
            <w:pPr>
              <w:rPr>
                <w:rFonts w:eastAsia="Times New Roman" w:cs="Calibri"/>
                <w:color w:val="000000"/>
                <w:sz w:val="15"/>
                <w:szCs w:val="15"/>
              </w:rPr>
            </w:pPr>
            <w:proofErr w:type="spellStart"/>
            <w:r w:rsidRPr="00F7332E">
              <w:rPr>
                <w:rFonts w:eastAsia="Times New Roman" w:cs="Calibri"/>
                <w:color w:val="000000"/>
                <w:sz w:val="15"/>
                <w:szCs w:val="15"/>
              </w:rPr>
              <w:t>ITBIS</w:t>
            </w:r>
            <w:proofErr w:type="spellEnd"/>
            <w:r w:rsidRPr="00F7332E">
              <w:rPr>
                <w:rFonts w:eastAsia="Times New Roman" w:cs="Calibri"/>
                <w:color w:val="000000"/>
                <w:sz w:val="15"/>
                <w:szCs w:val="15"/>
              </w:rPr>
              <w:t xml:space="preserve"> (100%)</w:t>
            </w:r>
          </w:p>
        </w:tc>
        <w:tc>
          <w:tcPr>
            <w:tcW w:w="2644" w:type="pct"/>
            <w:shd w:val="clear" w:color="auto" w:fill="FFFFFF"/>
          </w:tcPr>
          <w:p w14:paraId="5B2AD134" w14:textId="77777777" w:rsidR="001A500E" w:rsidRPr="00F7332E" w:rsidRDefault="001A500E" w:rsidP="00EA596B">
            <w:pPr>
              <w:jc w:val="left"/>
              <w:rPr>
                <w:rFonts w:eastAsia="Times New Roman" w:cs="Calibri"/>
                <w:color w:val="000000"/>
                <w:sz w:val="15"/>
                <w:szCs w:val="15"/>
              </w:rPr>
            </w:pPr>
            <w:r w:rsidRPr="00F7332E">
              <w:rPr>
                <w:rFonts w:eastAsia="Times New Roman" w:cs="Calibri"/>
                <w:color w:val="000000"/>
                <w:sz w:val="15"/>
                <w:szCs w:val="15"/>
              </w:rPr>
              <w:t xml:space="preserve">Importation </w:t>
            </w:r>
            <w:r w:rsidRPr="00F7332E">
              <w:rPr>
                <w:rFonts w:eastAsia="Times New Roman" w:cs="Calibri"/>
                <w:sz w:val="15"/>
                <w:szCs w:val="15"/>
              </w:rPr>
              <w:t xml:space="preserve">and purchase on the national market </w:t>
            </w:r>
            <w:r w:rsidRPr="00F7332E">
              <w:rPr>
                <w:rFonts w:eastAsia="Times New Roman" w:cs="Calibri"/>
                <w:color w:val="000000"/>
                <w:sz w:val="15"/>
                <w:szCs w:val="15"/>
              </w:rPr>
              <w:t xml:space="preserve">of machinery, equipment, materials and moveable property </w:t>
            </w:r>
          </w:p>
        </w:tc>
      </w:tr>
      <w:tr w:rsidR="001A500E" w:rsidRPr="00F7332E" w14:paraId="27EC7AF2" w14:textId="77777777" w:rsidTr="00C51D8E">
        <w:tc>
          <w:tcPr>
            <w:tcW w:w="785" w:type="pct"/>
            <w:vMerge/>
          </w:tcPr>
          <w:p w14:paraId="26667102" w14:textId="77777777" w:rsidR="001A500E" w:rsidRPr="00F7332E" w:rsidRDefault="001A500E" w:rsidP="00D146B4">
            <w:pPr>
              <w:rPr>
                <w:rFonts w:eastAsia="Times New Roman" w:cs="Calibri"/>
                <w:color w:val="000000"/>
                <w:sz w:val="15"/>
                <w:szCs w:val="15"/>
              </w:rPr>
            </w:pPr>
          </w:p>
        </w:tc>
        <w:tc>
          <w:tcPr>
            <w:tcW w:w="470" w:type="pct"/>
          </w:tcPr>
          <w:p w14:paraId="430A1213" w14:textId="77777777" w:rsidR="001A500E" w:rsidRPr="00F7332E" w:rsidRDefault="001A500E" w:rsidP="00D146B4">
            <w:pPr>
              <w:rPr>
                <w:rFonts w:eastAsia="Times New Roman" w:cs="Calibri"/>
                <w:b/>
                <w:bCs/>
                <w:color w:val="000000"/>
                <w:sz w:val="15"/>
                <w:szCs w:val="15"/>
              </w:rPr>
            </w:pPr>
            <w:r w:rsidRPr="00F7332E">
              <w:rPr>
                <w:rFonts w:eastAsia="Times New Roman" w:cs="Calibri"/>
                <w:color w:val="000000"/>
                <w:sz w:val="15"/>
                <w:szCs w:val="15"/>
              </w:rPr>
              <w:t>96</w:t>
            </w:r>
            <w:r>
              <w:rPr>
                <w:rFonts w:eastAsia="Times New Roman" w:cs="Calibri"/>
                <w:color w:val="000000"/>
                <w:sz w:val="15"/>
                <w:szCs w:val="15"/>
              </w:rPr>
              <w:noBreakHyphen/>
            </w:r>
            <w:r w:rsidRPr="00F7332E">
              <w:rPr>
                <w:rFonts w:eastAsia="Times New Roman" w:cs="Calibri"/>
                <w:color w:val="000000"/>
                <w:sz w:val="15"/>
                <w:szCs w:val="15"/>
              </w:rPr>
              <w:t>88</w:t>
            </w:r>
          </w:p>
        </w:tc>
        <w:tc>
          <w:tcPr>
            <w:tcW w:w="1101" w:type="pct"/>
            <w:hideMark/>
          </w:tcPr>
          <w:p w14:paraId="74642D27" w14:textId="77777777" w:rsidR="001A500E" w:rsidRPr="00F7332E" w:rsidRDefault="001A500E" w:rsidP="00D146B4">
            <w:pPr>
              <w:rPr>
                <w:rFonts w:eastAsia="Times New Roman" w:cs="Calibri"/>
                <w:color w:val="000000"/>
                <w:sz w:val="15"/>
                <w:szCs w:val="15"/>
              </w:rPr>
            </w:pPr>
            <w:r w:rsidRPr="00F7332E">
              <w:rPr>
                <w:rFonts w:eastAsia="Times New Roman" w:cs="Calibri"/>
                <w:color w:val="000000"/>
                <w:sz w:val="15"/>
                <w:szCs w:val="15"/>
              </w:rPr>
              <w:t>Tariff (100%)</w:t>
            </w:r>
          </w:p>
        </w:tc>
        <w:tc>
          <w:tcPr>
            <w:tcW w:w="2644" w:type="pct"/>
            <w:hideMark/>
          </w:tcPr>
          <w:p w14:paraId="42253198" w14:textId="77777777" w:rsidR="001A500E" w:rsidRPr="00F7332E" w:rsidRDefault="001A500E" w:rsidP="00EA596B">
            <w:pPr>
              <w:jc w:val="left"/>
              <w:rPr>
                <w:rFonts w:eastAsia="Times New Roman" w:cs="Calibri"/>
                <w:color w:val="000000"/>
                <w:sz w:val="15"/>
                <w:szCs w:val="15"/>
              </w:rPr>
            </w:pPr>
            <w:r w:rsidRPr="00F7332E">
              <w:rPr>
                <w:rFonts w:eastAsia="Times New Roman" w:cs="Calibri"/>
                <w:color w:val="000000"/>
                <w:sz w:val="15"/>
                <w:szCs w:val="15"/>
              </w:rPr>
              <w:t xml:space="preserve">Slot machines, parts, components, spares and accessories </w:t>
            </w:r>
          </w:p>
        </w:tc>
      </w:tr>
      <w:tr w:rsidR="001A500E" w:rsidRPr="00F7332E" w14:paraId="35F7D0E0" w14:textId="77777777" w:rsidTr="00C51D8E">
        <w:tc>
          <w:tcPr>
            <w:tcW w:w="785" w:type="pct"/>
            <w:vMerge w:val="restart"/>
            <w:shd w:val="clear" w:color="auto" w:fill="C9DED4"/>
          </w:tcPr>
          <w:p w14:paraId="363570E1" w14:textId="77777777" w:rsidR="001A500E" w:rsidRPr="00F7332E" w:rsidRDefault="001A500E" w:rsidP="00D146B4">
            <w:pPr>
              <w:rPr>
                <w:rFonts w:eastAsia="Times New Roman" w:cs="Calibri"/>
                <w:color w:val="000000"/>
                <w:sz w:val="15"/>
                <w:szCs w:val="15"/>
              </w:rPr>
            </w:pPr>
            <w:r w:rsidRPr="00F7332E">
              <w:rPr>
                <w:rFonts w:eastAsia="Times New Roman" w:cs="Calibri"/>
                <w:color w:val="000000"/>
                <w:sz w:val="15"/>
                <w:szCs w:val="15"/>
              </w:rPr>
              <w:t>Energy</w:t>
            </w:r>
          </w:p>
        </w:tc>
        <w:tc>
          <w:tcPr>
            <w:tcW w:w="470" w:type="pct"/>
            <w:vMerge w:val="restart"/>
            <w:shd w:val="clear" w:color="auto" w:fill="C9DED4"/>
          </w:tcPr>
          <w:p w14:paraId="3B382ED9" w14:textId="77777777" w:rsidR="001A500E" w:rsidRPr="00F7332E" w:rsidRDefault="001A500E" w:rsidP="00D146B4">
            <w:pPr>
              <w:rPr>
                <w:rFonts w:eastAsia="Times New Roman" w:cs="Calibri"/>
                <w:b/>
                <w:bCs/>
                <w:color w:val="000000"/>
                <w:sz w:val="15"/>
                <w:szCs w:val="15"/>
              </w:rPr>
            </w:pPr>
            <w:r w:rsidRPr="00F7332E">
              <w:rPr>
                <w:rFonts w:eastAsia="Times New Roman" w:cs="Calibri"/>
                <w:color w:val="000000"/>
                <w:sz w:val="15"/>
                <w:szCs w:val="15"/>
              </w:rPr>
              <w:t>57</w:t>
            </w:r>
            <w:r>
              <w:rPr>
                <w:rFonts w:eastAsia="Times New Roman" w:cs="Calibri"/>
                <w:color w:val="000000"/>
                <w:sz w:val="15"/>
                <w:szCs w:val="15"/>
              </w:rPr>
              <w:noBreakHyphen/>
            </w:r>
            <w:r w:rsidRPr="00F7332E">
              <w:rPr>
                <w:rFonts w:eastAsia="Times New Roman" w:cs="Calibri"/>
                <w:color w:val="000000"/>
                <w:sz w:val="15"/>
                <w:szCs w:val="15"/>
              </w:rPr>
              <w:t>07</w:t>
            </w:r>
          </w:p>
        </w:tc>
        <w:tc>
          <w:tcPr>
            <w:tcW w:w="1101" w:type="pct"/>
            <w:shd w:val="clear" w:color="auto" w:fill="C9DED4"/>
          </w:tcPr>
          <w:p w14:paraId="7569FCC4" w14:textId="77777777" w:rsidR="001A500E" w:rsidRPr="00F7332E" w:rsidRDefault="001A500E" w:rsidP="00D146B4">
            <w:pPr>
              <w:rPr>
                <w:rFonts w:eastAsia="Times New Roman" w:cs="Calibri"/>
                <w:color w:val="000000"/>
                <w:sz w:val="15"/>
                <w:szCs w:val="15"/>
              </w:rPr>
            </w:pPr>
            <w:r w:rsidRPr="00F7332E">
              <w:rPr>
                <w:rFonts w:eastAsia="Times New Roman" w:cs="Calibri"/>
                <w:color w:val="000000"/>
                <w:sz w:val="15"/>
                <w:szCs w:val="15"/>
              </w:rPr>
              <w:t>Tariff (100%)</w:t>
            </w:r>
          </w:p>
        </w:tc>
        <w:tc>
          <w:tcPr>
            <w:tcW w:w="2644" w:type="pct"/>
            <w:shd w:val="clear" w:color="auto" w:fill="C9DED4"/>
          </w:tcPr>
          <w:p w14:paraId="7E12E568" w14:textId="77777777" w:rsidR="001A500E" w:rsidRPr="00F7332E" w:rsidRDefault="001A500E" w:rsidP="00EA596B">
            <w:pPr>
              <w:jc w:val="left"/>
              <w:rPr>
                <w:rFonts w:eastAsia="Times New Roman" w:cs="Calibri"/>
                <w:color w:val="000000"/>
                <w:sz w:val="15"/>
                <w:szCs w:val="15"/>
              </w:rPr>
            </w:pPr>
            <w:r>
              <w:rPr>
                <w:rFonts w:eastAsia="Times New Roman" w:cs="Calibri"/>
                <w:color w:val="000000"/>
                <w:sz w:val="15"/>
                <w:szCs w:val="15"/>
              </w:rPr>
              <w:t>Equipment</w:t>
            </w:r>
            <w:r w:rsidRPr="00F7332E">
              <w:rPr>
                <w:rFonts w:eastAsia="Times New Roman" w:cs="Calibri"/>
                <w:color w:val="000000"/>
                <w:sz w:val="15"/>
                <w:szCs w:val="15"/>
              </w:rPr>
              <w:t>, machinery and accessories needed to produce electricity from renewable sources</w:t>
            </w:r>
          </w:p>
        </w:tc>
      </w:tr>
      <w:tr w:rsidR="001A500E" w:rsidRPr="00F7332E" w14:paraId="3D106741" w14:textId="77777777" w:rsidTr="00C51D8E">
        <w:tc>
          <w:tcPr>
            <w:tcW w:w="785" w:type="pct"/>
            <w:vMerge/>
            <w:shd w:val="clear" w:color="auto" w:fill="C9DED4"/>
          </w:tcPr>
          <w:p w14:paraId="7F14F238" w14:textId="77777777" w:rsidR="001A500E" w:rsidRPr="00F7332E" w:rsidRDefault="001A500E" w:rsidP="00D146B4">
            <w:pPr>
              <w:rPr>
                <w:rFonts w:eastAsia="Times New Roman" w:cs="Calibri"/>
                <w:color w:val="000000"/>
                <w:sz w:val="15"/>
                <w:szCs w:val="15"/>
              </w:rPr>
            </w:pPr>
          </w:p>
        </w:tc>
        <w:tc>
          <w:tcPr>
            <w:tcW w:w="470" w:type="pct"/>
            <w:vMerge/>
            <w:shd w:val="clear" w:color="auto" w:fill="C9DED4"/>
          </w:tcPr>
          <w:p w14:paraId="619D4E2B" w14:textId="77777777" w:rsidR="001A500E" w:rsidRPr="00F7332E" w:rsidRDefault="001A500E" w:rsidP="00D146B4">
            <w:pPr>
              <w:rPr>
                <w:rFonts w:eastAsia="Times New Roman" w:cs="Calibri"/>
                <w:b/>
                <w:bCs/>
                <w:color w:val="000000"/>
                <w:sz w:val="15"/>
                <w:szCs w:val="15"/>
              </w:rPr>
            </w:pPr>
          </w:p>
        </w:tc>
        <w:tc>
          <w:tcPr>
            <w:tcW w:w="1101" w:type="pct"/>
            <w:shd w:val="clear" w:color="auto" w:fill="C9DED4"/>
          </w:tcPr>
          <w:p w14:paraId="6ACCC353" w14:textId="77777777" w:rsidR="001A500E" w:rsidRPr="00F7332E" w:rsidRDefault="001A500E" w:rsidP="00D146B4">
            <w:pPr>
              <w:rPr>
                <w:rFonts w:eastAsia="Times New Roman" w:cs="Calibri"/>
                <w:color w:val="000000"/>
                <w:sz w:val="15"/>
                <w:szCs w:val="15"/>
              </w:rPr>
            </w:pPr>
            <w:proofErr w:type="spellStart"/>
            <w:r w:rsidRPr="00F7332E">
              <w:rPr>
                <w:rFonts w:eastAsia="Times New Roman" w:cs="Calibri"/>
                <w:color w:val="000000"/>
                <w:sz w:val="15"/>
                <w:szCs w:val="15"/>
              </w:rPr>
              <w:t>ITBIS</w:t>
            </w:r>
            <w:proofErr w:type="spellEnd"/>
            <w:r w:rsidRPr="00F7332E">
              <w:rPr>
                <w:rFonts w:eastAsia="Times New Roman" w:cs="Calibri"/>
                <w:color w:val="000000"/>
                <w:sz w:val="15"/>
                <w:szCs w:val="15"/>
              </w:rPr>
              <w:t xml:space="preserve"> (100%)</w:t>
            </w:r>
          </w:p>
        </w:tc>
        <w:tc>
          <w:tcPr>
            <w:tcW w:w="2644" w:type="pct"/>
            <w:shd w:val="clear" w:color="auto" w:fill="C9DED4"/>
          </w:tcPr>
          <w:p w14:paraId="4C6E4315" w14:textId="77777777" w:rsidR="001A500E" w:rsidRPr="00F7332E" w:rsidRDefault="001A500E" w:rsidP="00EA596B">
            <w:pPr>
              <w:jc w:val="left"/>
              <w:rPr>
                <w:rFonts w:eastAsia="Times New Roman" w:cs="Calibri"/>
                <w:color w:val="000000"/>
                <w:sz w:val="15"/>
                <w:szCs w:val="15"/>
              </w:rPr>
            </w:pPr>
            <w:r w:rsidRPr="00F7332E">
              <w:rPr>
                <w:rFonts w:eastAsia="Times New Roman" w:cs="Calibri"/>
                <w:color w:val="000000"/>
                <w:sz w:val="15"/>
                <w:szCs w:val="15"/>
              </w:rPr>
              <w:t xml:space="preserve">Importation </w:t>
            </w:r>
            <w:r w:rsidRPr="00F7332E">
              <w:rPr>
                <w:rFonts w:eastAsia="Times New Roman" w:cs="Calibri"/>
                <w:sz w:val="15"/>
                <w:szCs w:val="15"/>
              </w:rPr>
              <w:t xml:space="preserve">and purchase on the national market </w:t>
            </w:r>
            <w:r w:rsidRPr="00F7332E">
              <w:rPr>
                <w:rFonts w:eastAsia="Times New Roman" w:cs="Calibri"/>
                <w:color w:val="000000"/>
                <w:sz w:val="15"/>
                <w:szCs w:val="15"/>
              </w:rPr>
              <w:t xml:space="preserve">of </w:t>
            </w:r>
            <w:r>
              <w:rPr>
                <w:rFonts w:eastAsia="Times New Roman" w:cs="Calibri"/>
                <w:color w:val="000000"/>
                <w:sz w:val="15"/>
                <w:szCs w:val="15"/>
              </w:rPr>
              <w:t>equipment</w:t>
            </w:r>
            <w:r w:rsidRPr="00F7332E">
              <w:rPr>
                <w:rFonts w:eastAsia="Times New Roman" w:cs="Calibri"/>
                <w:color w:val="000000"/>
                <w:sz w:val="15"/>
                <w:szCs w:val="15"/>
              </w:rPr>
              <w:t xml:space="preserve">, machinery and accessories needed to produce </w:t>
            </w:r>
            <w:r>
              <w:rPr>
                <w:rFonts w:eastAsia="Times New Roman" w:cs="Calibri"/>
                <w:color w:val="000000"/>
                <w:sz w:val="15"/>
                <w:szCs w:val="15"/>
              </w:rPr>
              <w:t>electricity</w:t>
            </w:r>
            <w:r w:rsidRPr="00F7332E">
              <w:rPr>
                <w:rFonts w:eastAsia="Times New Roman" w:cs="Calibri"/>
                <w:color w:val="000000"/>
                <w:sz w:val="15"/>
                <w:szCs w:val="15"/>
              </w:rPr>
              <w:t xml:space="preserve"> from renewable sources </w:t>
            </w:r>
          </w:p>
        </w:tc>
      </w:tr>
      <w:tr w:rsidR="001A500E" w:rsidRPr="00F7332E" w14:paraId="7C06AD23" w14:textId="77777777" w:rsidTr="00C51D8E">
        <w:tc>
          <w:tcPr>
            <w:tcW w:w="785" w:type="pct"/>
            <w:vMerge/>
            <w:shd w:val="clear" w:color="auto" w:fill="C9DED4"/>
          </w:tcPr>
          <w:p w14:paraId="3955EE4C" w14:textId="77777777" w:rsidR="001A500E" w:rsidRPr="00F7332E" w:rsidRDefault="001A500E" w:rsidP="00D146B4">
            <w:pPr>
              <w:rPr>
                <w:rFonts w:eastAsia="Times New Roman" w:cs="Calibri"/>
                <w:color w:val="000000"/>
                <w:sz w:val="15"/>
                <w:szCs w:val="15"/>
              </w:rPr>
            </w:pPr>
          </w:p>
        </w:tc>
        <w:tc>
          <w:tcPr>
            <w:tcW w:w="470" w:type="pct"/>
            <w:shd w:val="clear" w:color="auto" w:fill="C9DED4"/>
          </w:tcPr>
          <w:p w14:paraId="30A3B09A" w14:textId="77777777" w:rsidR="001A500E" w:rsidRPr="00F7332E" w:rsidRDefault="001A500E" w:rsidP="00D146B4">
            <w:pPr>
              <w:rPr>
                <w:rFonts w:eastAsia="Times New Roman" w:cs="Calibri"/>
                <w:color w:val="000000"/>
                <w:sz w:val="15"/>
                <w:szCs w:val="15"/>
              </w:rPr>
            </w:pPr>
            <w:r w:rsidRPr="00F7332E">
              <w:rPr>
                <w:rFonts w:eastAsia="Times New Roman" w:cs="Calibri"/>
                <w:color w:val="000000"/>
                <w:sz w:val="15"/>
                <w:szCs w:val="15"/>
              </w:rPr>
              <w:t>253</w:t>
            </w:r>
            <w:r>
              <w:rPr>
                <w:rFonts w:eastAsia="Times New Roman" w:cs="Calibri"/>
                <w:color w:val="000000"/>
                <w:sz w:val="15"/>
                <w:szCs w:val="15"/>
              </w:rPr>
              <w:noBreakHyphen/>
            </w:r>
            <w:r w:rsidRPr="00F7332E">
              <w:rPr>
                <w:rFonts w:eastAsia="Times New Roman" w:cs="Calibri"/>
                <w:color w:val="000000"/>
                <w:sz w:val="15"/>
                <w:szCs w:val="15"/>
              </w:rPr>
              <w:t>12</w:t>
            </w:r>
          </w:p>
        </w:tc>
        <w:tc>
          <w:tcPr>
            <w:tcW w:w="1101" w:type="pct"/>
            <w:shd w:val="clear" w:color="auto" w:fill="C9DED4"/>
          </w:tcPr>
          <w:p w14:paraId="12BAD95E" w14:textId="77777777" w:rsidR="001A500E" w:rsidRPr="00F7332E" w:rsidRDefault="001A500E" w:rsidP="00D146B4">
            <w:pPr>
              <w:rPr>
                <w:rFonts w:eastAsia="Times New Roman" w:cs="Calibri"/>
                <w:color w:val="000000"/>
                <w:sz w:val="15"/>
                <w:szCs w:val="15"/>
              </w:rPr>
            </w:pPr>
            <w:proofErr w:type="spellStart"/>
            <w:r w:rsidRPr="00F7332E">
              <w:rPr>
                <w:rFonts w:eastAsia="Times New Roman" w:cs="Calibri"/>
                <w:color w:val="000000"/>
                <w:sz w:val="15"/>
                <w:szCs w:val="15"/>
              </w:rPr>
              <w:t>ISC</w:t>
            </w:r>
            <w:proofErr w:type="spellEnd"/>
            <w:r w:rsidRPr="00F7332E">
              <w:rPr>
                <w:rFonts w:eastAsia="Times New Roman" w:cs="Calibri"/>
                <w:color w:val="000000"/>
                <w:sz w:val="15"/>
                <w:szCs w:val="15"/>
              </w:rPr>
              <w:t xml:space="preserve"> (100%)</w:t>
            </w:r>
            <w:r w:rsidRPr="00F7332E">
              <w:rPr>
                <w:rFonts w:eastAsia="Times New Roman" w:cs="Calibri"/>
                <w:color w:val="000000"/>
                <w:sz w:val="15"/>
                <w:szCs w:val="15"/>
                <w:vertAlign w:val="superscript"/>
              </w:rPr>
              <w:t>a</w:t>
            </w:r>
          </w:p>
        </w:tc>
        <w:tc>
          <w:tcPr>
            <w:tcW w:w="2644" w:type="pct"/>
            <w:shd w:val="clear" w:color="auto" w:fill="C9DED4"/>
          </w:tcPr>
          <w:p w14:paraId="2531A153" w14:textId="77777777" w:rsidR="001A500E" w:rsidRPr="00F7332E" w:rsidRDefault="001A500E" w:rsidP="00EA596B">
            <w:pPr>
              <w:jc w:val="left"/>
              <w:rPr>
                <w:rFonts w:eastAsia="Times New Roman" w:cs="Calibri"/>
                <w:color w:val="000000"/>
                <w:sz w:val="15"/>
                <w:szCs w:val="15"/>
              </w:rPr>
            </w:pPr>
            <w:r w:rsidRPr="00F7332E">
              <w:rPr>
                <w:rFonts w:eastAsia="Times New Roman" w:cs="Calibri"/>
                <w:color w:val="000000"/>
                <w:sz w:val="15"/>
                <w:szCs w:val="15"/>
              </w:rPr>
              <w:t xml:space="preserve">Importation </w:t>
            </w:r>
            <w:r w:rsidRPr="00F7332E">
              <w:rPr>
                <w:rFonts w:eastAsia="Times New Roman" w:cs="Calibri"/>
                <w:sz w:val="15"/>
                <w:szCs w:val="15"/>
              </w:rPr>
              <w:t>and purchase on the national market</w:t>
            </w:r>
            <w:r w:rsidRPr="00F7332E">
              <w:t xml:space="preserve"> </w:t>
            </w:r>
            <w:r w:rsidRPr="00F7332E">
              <w:rPr>
                <w:rFonts w:eastAsia="Times New Roman" w:cs="Calibri"/>
                <w:color w:val="000000"/>
                <w:sz w:val="15"/>
                <w:szCs w:val="15"/>
              </w:rPr>
              <w:t>of fuels to generate electricity</w:t>
            </w:r>
            <w:r w:rsidRPr="00F7332E">
              <w:rPr>
                <w:rFonts w:eastAsia="Times New Roman" w:cs="Calibri"/>
                <w:sz w:val="15"/>
                <w:szCs w:val="15"/>
              </w:rPr>
              <w:t xml:space="preserve"> </w:t>
            </w:r>
          </w:p>
        </w:tc>
      </w:tr>
      <w:tr w:rsidR="001A500E" w:rsidRPr="00F7332E" w14:paraId="59E4DBA2" w14:textId="77777777" w:rsidTr="00C51D8E">
        <w:tc>
          <w:tcPr>
            <w:tcW w:w="785" w:type="pct"/>
            <w:vMerge w:val="restart"/>
          </w:tcPr>
          <w:p w14:paraId="272D1C91" w14:textId="77777777" w:rsidR="001A500E" w:rsidRPr="00F7332E" w:rsidRDefault="001A500E" w:rsidP="00D146B4">
            <w:pPr>
              <w:rPr>
                <w:rFonts w:eastAsia="Times New Roman" w:cs="Calibri"/>
                <w:color w:val="000000"/>
                <w:sz w:val="15"/>
                <w:szCs w:val="15"/>
              </w:rPr>
            </w:pPr>
            <w:r w:rsidRPr="00F7332E">
              <w:rPr>
                <w:rFonts w:eastAsia="Times New Roman" w:cs="Calibri"/>
                <w:color w:val="000000"/>
                <w:sz w:val="15"/>
                <w:szCs w:val="15"/>
              </w:rPr>
              <w:t xml:space="preserve">Manufactures </w:t>
            </w:r>
          </w:p>
        </w:tc>
        <w:tc>
          <w:tcPr>
            <w:tcW w:w="470" w:type="pct"/>
            <w:vMerge w:val="restart"/>
          </w:tcPr>
          <w:p w14:paraId="08AD9C1A" w14:textId="77777777" w:rsidR="001A500E" w:rsidRPr="00F7332E" w:rsidRDefault="001A500E" w:rsidP="00D146B4">
            <w:pPr>
              <w:rPr>
                <w:rFonts w:eastAsia="Times New Roman" w:cs="Calibri"/>
                <w:color w:val="000000"/>
                <w:sz w:val="15"/>
                <w:szCs w:val="15"/>
              </w:rPr>
            </w:pPr>
            <w:r w:rsidRPr="00F7332E">
              <w:rPr>
                <w:rFonts w:eastAsia="Times New Roman" w:cs="Calibri"/>
                <w:color w:val="000000"/>
                <w:sz w:val="15"/>
                <w:szCs w:val="15"/>
              </w:rPr>
              <w:t>56</w:t>
            </w:r>
            <w:r>
              <w:rPr>
                <w:rFonts w:eastAsia="Times New Roman" w:cs="Calibri"/>
                <w:color w:val="000000"/>
                <w:sz w:val="15"/>
                <w:szCs w:val="15"/>
              </w:rPr>
              <w:noBreakHyphen/>
            </w:r>
            <w:r w:rsidRPr="00F7332E">
              <w:rPr>
                <w:rFonts w:eastAsia="Times New Roman" w:cs="Calibri"/>
                <w:color w:val="000000"/>
                <w:sz w:val="15"/>
                <w:szCs w:val="15"/>
              </w:rPr>
              <w:t>07</w:t>
            </w:r>
          </w:p>
        </w:tc>
        <w:tc>
          <w:tcPr>
            <w:tcW w:w="1101" w:type="pct"/>
          </w:tcPr>
          <w:p w14:paraId="074A587B" w14:textId="77777777" w:rsidR="001A500E" w:rsidRPr="00F7332E" w:rsidRDefault="001A500E" w:rsidP="00D146B4">
            <w:pPr>
              <w:rPr>
                <w:rFonts w:eastAsia="Times New Roman" w:cs="Calibri"/>
                <w:color w:val="000000"/>
                <w:sz w:val="15"/>
                <w:szCs w:val="15"/>
              </w:rPr>
            </w:pPr>
            <w:proofErr w:type="spellStart"/>
            <w:r w:rsidRPr="00F7332E">
              <w:rPr>
                <w:rFonts w:eastAsia="Times New Roman" w:cs="Calibri"/>
                <w:color w:val="000000"/>
                <w:sz w:val="15"/>
                <w:szCs w:val="15"/>
              </w:rPr>
              <w:t>ITBIS</w:t>
            </w:r>
            <w:proofErr w:type="spellEnd"/>
            <w:r w:rsidRPr="00F7332E">
              <w:rPr>
                <w:rFonts w:eastAsia="Times New Roman" w:cs="Calibri"/>
                <w:color w:val="000000"/>
                <w:sz w:val="15"/>
                <w:szCs w:val="15"/>
              </w:rPr>
              <w:t xml:space="preserve"> (100%)</w:t>
            </w:r>
          </w:p>
        </w:tc>
        <w:tc>
          <w:tcPr>
            <w:tcW w:w="2644" w:type="pct"/>
          </w:tcPr>
          <w:p w14:paraId="4A3121A7" w14:textId="77777777" w:rsidR="001A500E" w:rsidRPr="00F7332E" w:rsidRDefault="001A500E" w:rsidP="00EA596B">
            <w:pPr>
              <w:jc w:val="left"/>
              <w:rPr>
                <w:rFonts w:eastAsia="Times New Roman" w:cs="Calibri"/>
                <w:color w:val="000000"/>
                <w:sz w:val="15"/>
                <w:szCs w:val="15"/>
              </w:rPr>
            </w:pPr>
            <w:r w:rsidRPr="00F7332E">
              <w:rPr>
                <w:rFonts w:eastAsia="Times New Roman"/>
                <w:color w:val="000000"/>
                <w:sz w:val="15"/>
                <w:szCs w:val="15"/>
              </w:rPr>
              <w:t xml:space="preserve">Importation and purchase of inputs, raw materials, machinery, equipment and services for textile firms or </w:t>
            </w:r>
            <w:r w:rsidRPr="00F7332E">
              <w:rPr>
                <w:rFonts w:eastAsia="Times New Roman"/>
                <w:sz w:val="15"/>
                <w:szCs w:val="15"/>
              </w:rPr>
              <w:t xml:space="preserve">leather manufacturers </w:t>
            </w:r>
          </w:p>
        </w:tc>
      </w:tr>
      <w:tr w:rsidR="001A500E" w:rsidRPr="00F7332E" w14:paraId="274AD591" w14:textId="77777777" w:rsidTr="00C51D8E">
        <w:tc>
          <w:tcPr>
            <w:tcW w:w="785" w:type="pct"/>
            <w:vMerge/>
            <w:shd w:val="clear" w:color="auto" w:fill="FFFFFF"/>
          </w:tcPr>
          <w:p w14:paraId="3BCAB922" w14:textId="77777777" w:rsidR="001A500E" w:rsidRPr="00F7332E" w:rsidRDefault="001A500E" w:rsidP="00D146B4">
            <w:pPr>
              <w:rPr>
                <w:rFonts w:eastAsia="Times New Roman" w:cs="Calibri"/>
                <w:color w:val="000000"/>
                <w:sz w:val="15"/>
                <w:szCs w:val="15"/>
              </w:rPr>
            </w:pPr>
          </w:p>
        </w:tc>
        <w:tc>
          <w:tcPr>
            <w:tcW w:w="470" w:type="pct"/>
            <w:vMerge/>
            <w:shd w:val="clear" w:color="auto" w:fill="FFFFFF"/>
          </w:tcPr>
          <w:p w14:paraId="6B2D1AAD" w14:textId="77777777" w:rsidR="001A500E" w:rsidRPr="00F7332E" w:rsidRDefault="001A500E" w:rsidP="00D146B4">
            <w:pPr>
              <w:rPr>
                <w:rFonts w:eastAsia="Times New Roman" w:cs="Calibri"/>
                <w:color w:val="000000"/>
                <w:sz w:val="15"/>
                <w:szCs w:val="15"/>
              </w:rPr>
            </w:pPr>
          </w:p>
        </w:tc>
        <w:tc>
          <w:tcPr>
            <w:tcW w:w="1101" w:type="pct"/>
            <w:shd w:val="clear" w:color="auto" w:fill="FFFFFF"/>
          </w:tcPr>
          <w:p w14:paraId="3C654A12" w14:textId="77777777" w:rsidR="001A500E" w:rsidRPr="00F7332E" w:rsidRDefault="001A500E" w:rsidP="00D146B4">
            <w:pPr>
              <w:rPr>
                <w:rFonts w:eastAsia="Times New Roman" w:cs="Calibri"/>
                <w:color w:val="000000"/>
                <w:sz w:val="15"/>
                <w:szCs w:val="15"/>
              </w:rPr>
            </w:pPr>
            <w:proofErr w:type="spellStart"/>
            <w:r w:rsidRPr="00F7332E">
              <w:rPr>
                <w:rFonts w:eastAsia="Times New Roman" w:cs="Calibri"/>
                <w:color w:val="000000"/>
                <w:sz w:val="15"/>
                <w:szCs w:val="15"/>
              </w:rPr>
              <w:t>ISR</w:t>
            </w:r>
            <w:proofErr w:type="spellEnd"/>
            <w:r w:rsidRPr="00F7332E">
              <w:rPr>
                <w:rFonts w:eastAsia="Times New Roman" w:cs="Calibri"/>
                <w:color w:val="000000"/>
                <w:sz w:val="15"/>
                <w:szCs w:val="15"/>
              </w:rPr>
              <w:t xml:space="preserve"> (100%)</w:t>
            </w:r>
          </w:p>
        </w:tc>
        <w:tc>
          <w:tcPr>
            <w:tcW w:w="2644" w:type="pct"/>
            <w:shd w:val="clear" w:color="auto" w:fill="FFFFFF"/>
          </w:tcPr>
          <w:p w14:paraId="14D76BAF" w14:textId="77777777" w:rsidR="001A500E" w:rsidRPr="00F7332E" w:rsidRDefault="001A500E" w:rsidP="00EA596B">
            <w:pPr>
              <w:jc w:val="left"/>
              <w:rPr>
                <w:rFonts w:eastAsia="Times New Roman" w:cs="Calibri"/>
                <w:color w:val="000000"/>
                <w:sz w:val="15"/>
                <w:szCs w:val="15"/>
              </w:rPr>
            </w:pPr>
            <w:r w:rsidRPr="00F7332E">
              <w:rPr>
                <w:rFonts w:eastAsia="Times New Roman" w:cs="Times New Roman"/>
                <w:sz w:val="15"/>
                <w:szCs w:val="15"/>
              </w:rPr>
              <w:t>Textile firms or leather manufacturers</w:t>
            </w:r>
          </w:p>
        </w:tc>
      </w:tr>
      <w:tr w:rsidR="001A500E" w:rsidRPr="00F7332E" w14:paraId="14059A50" w14:textId="77777777" w:rsidTr="00C51D8E">
        <w:tc>
          <w:tcPr>
            <w:tcW w:w="785" w:type="pct"/>
            <w:shd w:val="clear" w:color="auto" w:fill="C9DED4"/>
          </w:tcPr>
          <w:p w14:paraId="7CEFEFF7" w14:textId="77777777" w:rsidR="001A500E" w:rsidRPr="00F7332E" w:rsidRDefault="001A500E" w:rsidP="00D146B4">
            <w:pPr>
              <w:rPr>
                <w:rFonts w:eastAsia="Times New Roman" w:cs="Calibri"/>
                <w:color w:val="000000"/>
                <w:sz w:val="15"/>
                <w:szCs w:val="15"/>
              </w:rPr>
            </w:pPr>
            <w:r w:rsidRPr="00F7332E">
              <w:rPr>
                <w:rFonts w:eastAsia="Times New Roman" w:cs="Calibri"/>
                <w:color w:val="000000"/>
                <w:sz w:val="15"/>
                <w:szCs w:val="15"/>
              </w:rPr>
              <w:t>Mining</w:t>
            </w:r>
          </w:p>
        </w:tc>
        <w:tc>
          <w:tcPr>
            <w:tcW w:w="470" w:type="pct"/>
            <w:shd w:val="clear" w:color="auto" w:fill="C9DED4"/>
          </w:tcPr>
          <w:p w14:paraId="1BD5E433" w14:textId="77777777" w:rsidR="001A500E" w:rsidRPr="00F7332E" w:rsidRDefault="001A500E" w:rsidP="00D146B4">
            <w:pPr>
              <w:rPr>
                <w:rFonts w:eastAsia="Times New Roman" w:cs="Calibri"/>
                <w:b/>
                <w:bCs/>
                <w:color w:val="000000"/>
                <w:sz w:val="15"/>
                <w:szCs w:val="15"/>
              </w:rPr>
            </w:pPr>
            <w:r w:rsidRPr="00F7332E">
              <w:rPr>
                <w:rFonts w:eastAsia="Times New Roman" w:cs="Calibri"/>
                <w:color w:val="000000"/>
                <w:sz w:val="15"/>
                <w:szCs w:val="15"/>
              </w:rPr>
              <w:t>146</w:t>
            </w:r>
            <w:r>
              <w:rPr>
                <w:rFonts w:eastAsia="Times New Roman" w:cs="Calibri"/>
                <w:color w:val="000000"/>
                <w:sz w:val="15"/>
                <w:szCs w:val="15"/>
              </w:rPr>
              <w:noBreakHyphen/>
            </w:r>
            <w:r w:rsidRPr="00F7332E">
              <w:rPr>
                <w:rFonts w:eastAsia="Times New Roman" w:cs="Calibri"/>
                <w:color w:val="000000"/>
                <w:sz w:val="15"/>
                <w:szCs w:val="15"/>
              </w:rPr>
              <w:t>71</w:t>
            </w:r>
          </w:p>
        </w:tc>
        <w:tc>
          <w:tcPr>
            <w:tcW w:w="1101" w:type="pct"/>
            <w:shd w:val="clear" w:color="auto" w:fill="C9DED4"/>
            <w:hideMark/>
          </w:tcPr>
          <w:p w14:paraId="77A0299A" w14:textId="77777777" w:rsidR="001A500E" w:rsidRPr="00F7332E" w:rsidRDefault="001A500E" w:rsidP="00D146B4">
            <w:pPr>
              <w:rPr>
                <w:rFonts w:eastAsia="Times New Roman" w:cs="Calibri"/>
                <w:color w:val="000000"/>
                <w:sz w:val="15"/>
                <w:szCs w:val="15"/>
              </w:rPr>
            </w:pPr>
            <w:r w:rsidRPr="00F7332E">
              <w:rPr>
                <w:rFonts w:eastAsia="Times New Roman" w:cs="Calibri"/>
                <w:color w:val="000000"/>
                <w:sz w:val="15"/>
                <w:szCs w:val="15"/>
              </w:rPr>
              <w:t>Tariff (100%)</w:t>
            </w:r>
          </w:p>
        </w:tc>
        <w:tc>
          <w:tcPr>
            <w:tcW w:w="2644" w:type="pct"/>
            <w:shd w:val="clear" w:color="auto" w:fill="C9DED4"/>
            <w:hideMark/>
          </w:tcPr>
          <w:p w14:paraId="5668F82C" w14:textId="77777777" w:rsidR="001A500E" w:rsidRPr="00F7332E" w:rsidRDefault="001A500E" w:rsidP="00EA596B">
            <w:pPr>
              <w:jc w:val="left"/>
              <w:rPr>
                <w:rFonts w:eastAsia="Times New Roman" w:cs="Calibri"/>
                <w:color w:val="000000"/>
                <w:sz w:val="15"/>
                <w:szCs w:val="15"/>
              </w:rPr>
            </w:pPr>
            <w:r w:rsidRPr="00F7332E">
              <w:rPr>
                <w:rFonts w:eastAsia="Times New Roman" w:cs="Calibri"/>
                <w:color w:val="000000"/>
                <w:sz w:val="15"/>
                <w:szCs w:val="15"/>
              </w:rPr>
              <w:t xml:space="preserve">Machinery, equipment and spare parts </w:t>
            </w:r>
          </w:p>
        </w:tc>
      </w:tr>
      <w:tr w:rsidR="001A500E" w:rsidRPr="00F7332E" w14:paraId="6FFF00C2" w14:textId="77777777" w:rsidTr="00C51D8E">
        <w:tc>
          <w:tcPr>
            <w:tcW w:w="785" w:type="pct"/>
            <w:vMerge w:val="restart"/>
            <w:shd w:val="clear" w:color="auto" w:fill="FFFFFF"/>
          </w:tcPr>
          <w:p w14:paraId="35FD98E0" w14:textId="77777777" w:rsidR="001A500E" w:rsidRPr="00F7332E" w:rsidRDefault="001A500E" w:rsidP="00D146B4">
            <w:pPr>
              <w:rPr>
                <w:rFonts w:eastAsia="Times New Roman" w:cs="Calibri"/>
                <w:color w:val="000000"/>
                <w:sz w:val="15"/>
                <w:szCs w:val="15"/>
              </w:rPr>
            </w:pPr>
            <w:r w:rsidRPr="00F7332E">
              <w:rPr>
                <w:rFonts w:eastAsia="Times New Roman" w:cs="Calibri"/>
                <w:color w:val="000000"/>
                <w:sz w:val="15"/>
                <w:szCs w:val="15"/>
              </w:rPr>
              <w:t xml:space="preserve">Agriculture </w:t>
            </w:r>
          </w:p>
        </w:tc>
        <w:tc>
          <w:tcPr>
            <w:tcW w:w="470" w:type="pct"/>
            <w:shd w:val="clear" w:color="auto" w:fill="FFFFFF"/>
          </w:tcPr>
          <w:p w14:paraId="5CDE8A7C" w14:textId="77777777" w:rsidR="001A500E" w:rsidRPr="00F7332E" w:rsidRDefault="001A500E" w:rsidP="00D146B4">
            <w:pPr>
              <w:rPr>
                <w:rFonts w:eastAsia="Times New Roman" w:cs="Calibri"/>
                <w:b/>
                <w:bCs/>
                <w:color w:val="000000"/>
                <w:sz w:val="15"/>
                <w:szCs w:val="15"/>
              </w:rPr>
            </w:pPr>
            <w:r w:rsidRPr="00F7332E">
              <w:rPr>
                <w:rFonts w:eastAsia="Times New Roman" w:cs="Calibri"/>
                <w:color w:val="000000"/>
                <w:sz w:val="15"/>
                <w:szCs w:val="15"/>
              </w:rPr>
              <w:t>182</w:t>
            </w:r>
            <w:r>
              <w:rPr>
                <w:rFonts w:eastAsia="Times New Roman" w:cs="Calibri"/>
                <w:color w:val="000000"/>
                <w:sz w:val="15"/>
                <w:szCs w:val="15"/>
              </w:rPr>
              <w:noBreakHyphen/>
            </w:r>
            <w:r w:rsidRPr="00F7332E">
              <w:rPr>
                <w:rFonts w:eastAsia="Times New Roman" w:cs="Calibri"/>
                <w:color w:val="000000"/>
                <w:sz w:val="15"/>
                <w:szCs w:val="15"/>
              </w:rPr>
              <w:t>09</w:t>
            </w:r>
          </w:p>
        </w:tc>
        <w:tc>
          <w:tcPr>
            <w:tcW w:w="1101" w:type="pct"/>
            <w:shd w:val="clear" w:color="auto" w:fill="FFFFFF"/>
            <w:hideMark/>
          </w:tcPr>
          <w:p w14:paraId="6073B154" w14:textId="77777777" w:rsidR="001A500E" w:rsidRPr="00F7332E" w:rsidRDefault="001A500E" w:rsidP="00D146B4">
            <w:pPr>
              <w:rPr>
                <w:rFonts w:eastAsia="Times New Roman" w:cs="Calibri"/>
                <w:color w:val="000000"/>
                <w:sz w:val="15"/>
                <w:szCs w:val="15"/>
              </w:rPr>
            </w:pPr>
            <w:proofErr w:type="spellStart"/>
            <w:r w:rsidRPr="00F7332E">
              <w:rPr>
                <w:rFonts w:eastAsia="Times New Roman" w:cs="Calibri"/>
                <w:color w:val="000000"/>
                <w:sz w:val="15"/>
                <w:szCs w:val="15"/>
              </w:rPr>
              <w:t>ISC</w:t>
            </w:r>
            <w:proofErr w:type="spellEnd"/>
            <w:r w:rsidRPr="00F7332E">
              <w:rPr>
                <w:rFonts w:eastAsia="Times New Roman" w:cs="Calibri"/>
                <w:color w:val="000000"/>
                <w:sz w:val="15"/>
                <w:szCs w:val="15"/>
              </w:rPr>
              <w:t xml:space="preserve"> (100%)</w:t>
            </w:r>
          </w:p>
        </w:tc>
        <w:tc>
          <w:tcPr>
            <w:tcW w:w="2644" w:type="pct"/>
            <w:shd w:val="clear" w:color="auto" w:fill="FFFFFF"/>
            <w:hideMark/>
          </w:tcPr>
          <w:p w14:paraId="5166CE23" w14:textId="77777777" w:rsidR="001A500E" w:rsidRPr="00F7332E" w:rsidRDefault="001A500E" w:rsidP="00EA596B">
            <w:pPr>
              <w:jc w:val="left"/>
              <w:rPr>
                <w:rFonts w:eastAsia="Times New Roman" w:cs="Calibri"/>
                <w:color w:val="000000"/>
                <w:sz w:val="15"/>
                <w:szCs w:val="15"/>
              </w:rPr>
            </w:pPr>
            <w:r w:rsidRPr="00F7332E">
              <w:rPr>
                <w:rFonts w:eastAsia="Times New Roman" w:cs="Calibri"/>
                <w:color w:val="000000"/>
                <w:sz w:val="15"/>
                <w:szCs w:val="15"/>
              </w:rPr>
              <w:t xml:space="preserve">Procurement of insurance policies </w:t>
            </w:r>
          </w:p>
        </w:tc>
      </w:tr>
      <w:tr w:rsidR="001A500E" w:rsidRPr="00F7332E" w14:paraId="3270E8EF" w14:textId="77777777" w:rsidTr="00C51D8E">
        <w:tc>
          <w:tcPr>
            <w:tcW w:w="785" w:type="pct"/>
            <w:vMerge/>
          </w:tcPr>
          <w:p w14:paraId="24CD0FD5" w14:textId="77777777" w:rsidR="001A500E" w:rsidRPr="00F7332E" w:rsidRDefault="001A500E" w:rsidP="00D146B4">
            <w:pPr>
              <w:rPr>
                <w:rFonts w:eastAsia="Times New Roman" w:cs="Calibri"/>
                <w:color w:val="000000"/>
                <w:sz w:val="15"/>
                <w:szCs w:val="15"/>
              </w:rPr>
            </w:pPr>
          </w:p>
        </w:tc>
        <w:tc>
          <w:tcPr>
            <w:tcW w:w="470" w:type="pct"/>
          </w:tcPr>
          <w:p w14:paraId="69E533DF" w14:textId="77777777" w:rsidR="001A500E" w:rsidRPr="00F7332E" w:rsidRDefault="001A500E" w:rsidP="00D146B4">
            <w:pPr>
              <w:rPr>
                <w:rFonts w:eastAsia="Times New Roman" w:cs="Calibri"/>
                <w:b/>
                <w:bCs/>
                <w:color w:val="000000"/>
                <w:sz w:val="15"/>
                <w:szCs w:val="15"/>
              </w:rPr>
            </w:pPr>
            <w:r w:rsidRPr="00F7332E">
              <w:rPr>
                <w:rFonts w:eastAsia="Times New Roman" w:cs="Calibri"/>
                <w:color w:val="000000"/>
                <w:sz w:val="15"/>
                <w:szCs w:val="15"/>
              </w:rPr>
              <w:t>532</w:t>
            </w:r>
            <w:r>
              <w:rPr>
                <w:rFonts w:eastAsia="Times New Roman" w:cs="Calibri"/>
                <w:color w:val="000000"/>
                <w:sz w:val="15"/>
                <w:szCs w:val="15"/>
              </w:rPr>
              <w:noBreakHyphen/>
            </w:r>
            <w:r w:rsidRPr="00F7332E">
              <w:rPr>
                <w:rFonts w:eastAsia="Times New Roman" w:cs="Calibri"/>
                <w:color w:val="000000"/>
                <w:sz w:val="15"/>
                <w:szCs w:val="15"/>
              </w:rPr>
              <w:t>69</w:t>
            </w:r>
          </w:p>
        </w:tc>
        <w:tc>
          <w:tcPr>
            <w:tcW w:w="1101" w:type="pct"/>
            <w:hideMark/>
          </w:tcPr>
          <w:p w14:paraId="1903D585" w14:textId="77777777" w:rsidR="001A500E" w:rsidRPr="00F7332E" w:rsidRDefault="001A500E" w:rsidP="00D146B4">
            <w:pPr>
              <w:rPr>
                <w:rFonts w:eastAsia="Times New Roman" w:cs="Calibri"/>
                <w:color w:val="000000"/>
                <w:sz w:val="15"/>
                <w:szCs w:val="15"/>
              </w:rPr>
            </w:pPr>
            <w:r w:rsidRPr="00F7332E">
              <w:rPr>
                <w:rFonts w:eastAsia="Times New Roman" w:cs="Calibri"/>
                <w:color w:val="000000"/>
                <w:sz w:val="15"/>
                <w:szCs w:val="15"/>
              </w:rPr>
              <w:t>Tariff (100%)</w:t>
            </w:r>
          </w:p>
        </w:tc>
        <w:tc>
          <w:tcPr>
            <w:tcW w:w="2644" w:type="pct"/>
            <w:hideMark/>
          </w:tcPr>
          <w:p w14:paraId="43230B2F" w14:textId="77777777" w:rsidR="001A500E" w:rsidRPr="00F7332E" w:rsidRDefault="001A500E" w:rsidP="00EA596B">
            <w:pPr>
              <w:jc w:val="left"/>
              <w:rPr>
                <w:rFonts w:eastAsia="Times New Roman" w:cs="Calibri"/>
                <w:color w:val="000000"/>
                <w:sz w:val="15"/>
                <w:szCs w:val="15"/>
              </w:rPr>
            </w:pPr>
            <w:r w:rsidRPr="00F7332E">
              <w:rPr>
                <w:rFonts w:eastAsia="Times New Roman" w:cs="Calibri"/>
                <w:color w:val="000000"/>
                <w:sz w:val="15"/>
                <w:szCs w:val="15"/>
              </w:rPr>
              <w:t xml:space="preserve">Animals and inputs </w:t>
            </w:r>
          </w:p>
        </w:tc>
      </w:tr>
    </w:tbl>
    <w:p w14:paraId="30A4F104" w14:textId="77777777" w:rsidR="001A500E" w:rsidRPr="00F7332E" w:rsidRDefault="001A500E" w:rsidP="00992E06">
      <w:pPr>
        <w:pStyle w:val="NoteText"/>
        <w:spacing w:before="120"/>
        <w:rPr>
          <w:rFonts w:cs="Times New Roman"/>
        </w:rPr>
      </w:pPr>
      <w:proofErr w:type="spellStart"/>
      <w:r w:rsidRPr="00F7332E">
        <w:t>a</w:t>
      </w:r>
      <w:proofErr w:type="spellEnd"/>
      <w:r w:rsidRPr="00F7332E">
        <w:tab/>
        <w:t xml:space="preserve">This is a refund, rather than an exemption from the </w:t>
      </w:r>
      <w:proofErr w:type="spellStart"/>
      <w:r w:rsidRPr="00F7332E">
        <w:t>ISC</w:t>
      </w:r>
      <w:proofErr w:type="spellEnd"/>
      <w:r w:rsidRPr="00F7332E">
        <w:t>.</w:t>
      </w:r>
    </w:p>
    <w:p w14:paraId="42BEF846" w14:textId="77777777" w:rsidR="001A500E" w:rsidRPr="0060155B" w:rsidRDefault="001A500E" w:rsidP="00992E06">
      <w:pPr>
        <w:pStyle w:val="NoteText"/>
        <w:spacing w:before="120" w:after="240"/>
        <w:rPr>
          <w:rFonts w:cs="Times New Roman"/>
        </w:rPr>
      </w:pPr>
      <w:r w:rsidRPr="00F7332E">
        <w:rPr>
          <w:rFonts w:cs="Times New Roman"/>
        </w:rPr>
        <w:t>Source:</w:t>
      </w:r>
      <w:r w:rsidRPr="00F7332E">
        <w:rPr>
          <w:rFonts w:cs="Times New Roman"/>
        </w:rPr>
        <w:tab/>
        <w:t xml:space="preserve">Ministry of Finance (2021), </w:t>
      </w:r>
      <w:proofErr w:type="spellStart"/>
      <w:r w:rsidRPr="00F7332E">
        <w:rPr>
          <w:rFonts w:cs="Times New Roman"/>
          <w:i/>
          <w:iCs/>
        </w:rPr>
        <w:t>Gasto</w:t>
      </w:r>
      <w:proofErr w:type="spellEnd"/>
      <w:r w:rsidRPr="00F7332E">
        <w:rPr>
          <w:rFonts w:cs="Times New Roman"/>
          <w:i/>
          <w:iCs/>
        </w:rPr>
        <w:t xml:space="preserve"> </w:t>
      </w:r>
      <w:proofErr w:type="spellStart"/>
      <w:r w:rsidRPr="00F7332E">
        <w:rPr>
          <w:rFonts w:cs="Times New Roman"/>
          <w:i/>
          <w:iCs/>
        </w:rPr>
        <w:t>Tributario</w:t>
      </w:r>
      <w:proofErr w:type="spellEnd"/>
      <w:r w:rsidRPr="00F7332E">
        <w:rPr>
          <w:rFonts w:cs="Times New Roman"/>
          <w:i/>
          <w:iCs/>
        </w:rPr>
        <w:t xml:space="preserve"> </w:t>
      </w:r>
      <w:proofErr w:type="spellStart"/>
      <w:r w:rsidRPr="00F7332E">
        <w:rPr>
          <w:rFonts w:cs="Times New Roman"/>
          <w:i/>
          <w:iCs/>
        </w:rPr>
        <w:t>en</w:t>
      </w:r>
      <w:proofErr w:type="spellEnd"/>
      <w:r w:rsidRPr="00F7332E">
        <w:rPr>
          <w:rFonts w:cs="Times New Roman"/>
          <w:i/>
          <w:iCs/>
        </w:rPr>
        <w:t xml:space="preserve"> República </w:t>
      </w:r>
      <w:proofErr w:type="spellStart"/>
      <w:r w:rsidRPr="00F7332E">
        <w:rPr>
          <w:rFonts w:cs="Times New Roman"/>
          <w:i/>
          <w:iCs/>
        </w:rPr>
        <w:t>Dominicana</w:t>
      </w:r>
      <w:proofErr w:type="spellEnd"/>
      <w:r w:rsidRPr="0060155B">
        <w:rPr>
          <w:rFonts w:cs="Times New Roman"/>
          <w:i/>
          <w:iCs/>
        </w:rPr>
        <w:t xml:space="preserve">: </w:t>
      </w:r>
      <w:proofErr w:type="spellStart"/>
      <w:r w:rsidRPr="0060155B">
        <w:rPr>
          <w:rFonts w:cs="Times New Roman"/>
          <w:i/>
          <w:iCs/>
        </w:rPr>
        <w:t>E</w:t>
      </w:r>
      <w:r w:rsidRPr="00F7332E">
        <w:rPr>
          <w:rFonts w:cs="Times New Roman"/>
          <w:i/>
          <w:iCs/>
        </w:rPr>
        <w:t>stimación</w:t>
      </w:r>
      <w:proofErr w:type="spellEnd"/>
      <w:r w:rsidRPr="00F7332E">
        <w:rPr>
          <w:rFonts w:cs="Times New Roman"/>
          <w:i/>
          <w:iCs/>
        </w:rPr>
        <w:t xml:space="preserve"> para </w:t>
      </w:r>
      <w:proofErr w:type="spellStart"/>
      <w:r w:rsidRPr="00F7332E">
        <w:rPr>
          <w:rFonts w:cs="Times New Roman"/>
          <w:i/>
          <w:iCs/>
        </w:rPr>
        <w:t>el</w:t>
      </w:r>
      <w:proofErr w:type="spellEnd"/>
      <w:r w:rsidRPr="00F7332E">
        <w:rPr>
          <w:rFonts w:cs="Times New Roman"/>
          <w:i/>
          <w:iCs/>
        </w:rPr>
        <w:t xml:space="preserve"> </w:t>
      </w:r>
      <w:proofErr w:type="spellStart"/>
      <w:r w:rsidRPr="00F7332E">
        <w:rPr>
          <w:rFonts w:cs="Times New Roman"/>
          <w:i/>
          <w:iCs/>
        </w:rPr>
        <w:t>Presupuesto</w:t>
      </w:r>
      <w:proofErr w:type="spellEnd"/>
      <w:r w:rsidRPr="00F7332E">
        <w:rPr>
          <w:rFonts w:cs="Times New Roman"/>
          <w:i/>
          <w:iCs/>
        </w:rPr>
        <w:t xml:space="preserve"> General del Estado (PGE) </w:t>
      </w:r>
      <w:proofErr w:type="spellStart"/>
      <w:r w:rsidRPr="00F7332E">
        <w:rPr>
          <w:rFonts w:cs="Times New Roman"/>
          <w:i/>
          <w:iCs/>
        </w:rPr>
        <w:t>correspondiente</w:t>
      </w:r>
      <w:proofErr w:type="spellEnd"/>
      <w:r w:rsidRPr="00F7332E">
        <w:rPr>
          <w:rFonts w:cs="Times New Roman"/>
          <w:i/>
          <w:iCs/>
        </w:rPr>
        <w:t xml:space="preserve"> al </w:t>
      </w:r>
      <w:proofErr w:type="spellStart"/>
      <w:r w:rsidRPr="00F7332E">
        <w:rPr>
          <w:rFonts w:cs="Times New Roman"/>
          <w:i/>
          <w:iCs/>
        </w:rPr>
        <w:t>periodo</w:t>
      </w:r>
      <w:proofErr w:type="spellEnd"/>
      <w:r w:rsidRPr="00F7332E">
        <w:rPr>
          <w:rFonts w:cs="Times New Roman"/>
          <w:i/>
          <w:iCs/>
        </w:rPr>
        <w:t xml:space="preserve"> fiscal del </w:t>
      </w:r>
      <w:proofErr w:type="spellStart"/>
      <w:r w:rsidRPr="00F7332E">
        <w:rPr>
          <w:rFonts w:cs="Times New Roman"/>
          <w:i/>
          <w:iCs/>
        </w:rPr>
        <w:t>año</w:t>
      </w:r>
      <w:proofErr w:type="spellEnd"/>
      <w:r w:rsidRPr="00F7332E">
        <w:rPr>
          <w:rFonts w:cs="Times New Roman"/>
          <w:i/>
          <w:iCs/>
        </w:rPr>
        <w:t xml:space="preserve"> 2022</w:t>
      </w:r>
      <w:r w:rsidRPr="0060155B">
        <w:rPr>
          <w:rFonts w:cs="Times New Roman"/>
        </w:rPr>
        <w:t>. V</w:t>
      </w:r>
      <w:r w:rsidRPr="00F7332E">
        <w:rPr>
          <w:rFonts w:cs="Times New Roman"/>
        </w:rPr>
        <w:t xml:space="preserve">iewed at: </w:t>
      </w:r>
      <w:hyperlink r:id="rId43" w:history="1">
        <w:r>
          <w:rPr>
            <w:rFonts w:cs="Times New Roman"/>
            <w:color w:val="0000FF" w:themeColor="hyperlink"/>
            <w:u w:val="single"/>
          </w:rPr>
          <w:t>https://www.digepres.gob.do/wp</w:t>
        </w:r>
        <w:r w:rsidRPr="0060155B">
          <w:rPr>
            <w:rFonts w:cs="Times New Roman"/>
            <w:color w:val="0000FF" w:themeColor="hyperlink"/>
            <w:u w:val="single"/>
          </w:rPr>
          <w:noBreakHyphen/>
        </w:r>
        <w:r>
          <w:rPr>
            <w:rFonts w:cs="Times New Roman"/>
            <w:color w:val="0000FF" w:themeColor="hyperlink"/>
            <w:u w:val="single"/>
          </w:rPr>
          <w:t>content/uploads/2021/10/Gastos</w:t>
        </w:r>
        <w:r w:rsidRPr="0060155B">
          <w:rPr>
            <w:rFonts w:cs="Times New Roman"/>
            <w:color w:val="0000FF" w:themeColor="hyperlink"/>
            <w:u w:val="single"/>
          </w:rPr>
          <w:noBreakHyphen/>
        </w:r>
        <w:r>
          <w:rPr>
            <w:rFonts w:cs="Times New Roman"/>
            <w:color w:val="0000FF" w:themeColor="hyperlink"/>
            <w:u w:val="single"/>
          </w:rPr>
          <w:t>Tributarios.pdf</w:t>
        </w:r>
      </w:hyperlink>
      <w:r w:rsidRPr="00F7332E">
        <w:rPr>
          <w:rFonts w:cs="Times New Roman"/>
        </w:rPr>
        <w:t>.</w:t>
      </w:r>
    </w:p>
    <w:p w14:paraId="33477CC2" w14:textId="77777777" w:rsidR="001A500E" w:rsidRPr="00F7332E" w:rsidRDefault="001A500E" w:rsidP="00574469">
      <w:pPr>
        <w:pStyle w:val="BodyText"/>
      </w:pPr>
      <w:r w:rsidRPr="00F7332E">
        <w:t xml:space="preserve">Additionally, in 2022 the Dominican Republic notified the WTO of the subsidy programme governed by Law </w:t>
      </w:r>
      <w:r w:rsidRPr="0060155B">
        <w:t>No. </w:t>
      </w:r>
      <w:r w:rsidRPr="00F7332E">
        <w:t>8</w:t>
      </w:r>
      <w:r>
        <w:noBreakHyphen/>
      </w:r>
      <w:r w:rsidRPr="00F7332E">
        <w:t>90 to "promote the establishment of new free zones and expand existing ones", which establishes a tax</w:t>
      </w:r>
      <w:r>
        <w:noBreakHyphen/>
      </w:r>
      <w:r w:rsidRPr="00F7332E">
        <w:t xml:space="preserve">exemption programme for </w:t>
      </w:r>
      <w:r>
        <w:t>firms</w:t>
      </w:r>
      <w:r w:rsidRPr="00F7332E">
        <w:t xml:space="preserve"> manufacturing goods or providing services, located within geographic areas known as free zones.</w:t>
      </w:r>
      <w:r w:rsidRPr="00F7332E">
        <w:rPr>
          <w:rStyle w:val="FootnoteReference"/>
          <w:rFonts w:eastAsia="Times New Roman" w:cs="Times New Roman"/>
        </w:rPr>
        <w:footnoteReference w:id="180"/>
      </w:r>
    </w:p>
    <w:p w14:paraId="5889E475" w14:textId="77777777" w:rsidR="001A500E" w:rsidRPr="00F7332E" w:rsidRDefault="001A500E" w:rsidP="00574469">
      <w:pPr>
        <w:pStyle w:val="BodyText"/>
      </w:pPr>
      <w:r w:rsidRPr="007C1E6F">
        <w:t>The legal provisions</w:t>
      </w:r>
      <w:r w:rsidRPr="00F7332E">
        <w:t xml:space="preserve"> governing free</w:t>
      </w:r>
      <w:r>
        <w:t xml:space="preserve"> </w:t>
      </w:r>
      <w:r w:rsidRPr="00F7332E">
        <w:t>zone</w:t>
      </w:r>
      <w:r>
        <w:t>s</w:t>
      </w:r>
      <w:r w:rsidRPr="00F7332E">
        <w:t xml:space="preserve"> have not changed substantially since the last review in 2015</w:t>
      </w:r>
      <w:r w:rsidRPr="0060155B">
        <w:t>. F</w:t>
      </w:r>
      <w:r w:rsidRPr="00F7332E">
        <w:t>ree</w:t>
      </w:r>
      <w:r>
        <w:t xml:space="preserve"> </w:t>
      </w:r>
      <w:r w:rsidRPr="00F7332E">
        <w:t>zone</w:t>
      </w:r>
      <w:r>
        <w:t>s</w:t>
      </w:r>
      <w:r w:rsidRPr="00F7332E">
        <w:t xml:space="preserve"> </w:t>
      </w:r>
      <w:r>
        <w:t>are</w:t>
      </w:r>
      <w:r w:rsidRPr="00F7332E">
        <w:t xml:space="preserve"> governed by Law No. 8</w:t>
      </w:r>
      <w:r>
        <w:noBreakHyphen/>
      </w:r>
      <w:r w:rsidRPr="00F7332E">
        <w:t>90, its implementing Regulations and amendments thereto</w:t>
      </w:r>
      <w:r w:rsidRPr="00F7332E">
        <w:rPr>
          <w:vertAlign w:val="superscript"/>
        </w:rPr>
        <w:footnoteReference w:id="181"/>
      </w:r>
      <w:r w:rsidRPr="00F7332E">
        <w:t>, and by Laws Nos. 139</w:t>
      </w:r>
      <w:r>
        <w:noBreakHyphen/>
      </w:r>
      <w:r w:rsidRPr="00F7332E">
        <w:t>11, 253</w:t>
      </w:r>
      <w:r>
        <w:noBreakHyphen/>
      </w:r>
      <w:r w:rsidRPr="00F7332E">
        <w:t>12, and 37</w:t>
      </w:r>
      <w:r>
        <w:noBreakHyphen/>
      </w:r>
      <w:r w:rsidRPr="00F7332E">
        <w:t>17 which all amended the regime</w:t>
      </w:r>
      <w:r w:rsidRPr="0060155B">
        <w:t>. T</w:t>
      </w:r>
      <w:r w:rsidRPr="00F7332E">
        <w:t>he National Council for Free Export Zones (</w:t>
      </w:r>
      <w:proofErr w:type="spellStart"/>
      <w:r w:rsidRPr="00F7332E">
        <w:t>CNZFE</w:t>
      </w:r>
      <w:proofErr w:type="spellEnd"/>
      <w:r w:rsidRPr="00F7332E">
        <w:t>) continues to be responsible for the free</w:t>
      </w:r>
      <w:r>
        <w:t xml:space="preserve"> </w:t>
      </w:r>
      <w:r w:rsidRPr="00F7332E">
        <w:t>zones regime</w:t>
      </w:r>
      <w:r w:rsidRPr="0060155B">
        <w:t>. T</w:t>
      </w:r>
      <w:r w:rsidRPr="00F7332E">
        <w:t>he Council's functions include making and delivering on policy proposals to the</w:t>
      </w:r>
      <w:r>
        <w:t xml:space="preserve"> </w:t>
      </w:r>
      <w:r w:rsidRPr="00F7332E">
        <w:t xml:space="preserve">Ministry of Industry, Trade and MSMEs </w:t>
      </w:r>
      <w:r>
        <w:t>(</w:t>
      </w:r>
      <w:proofErr w:type="spellStart"/>
      <w:r w:rsidRPr="00F7332E">
        <w:t>MICM</w:t>
      </w:r>
      <w:proofErr w:type="spellEnd"/>
      <w:r>
        <w:t>)</w:t>
      </w:r>
      <w:r w:rsidRPr="00F7332E">
        <w:t xml:space="preserve"> on the promotion and development of the free</w:t>
      </w:r>
      <w:r>
        <w:t xml:space="preserve"> </w:t>
      </w:r>
      <w:r w:rsidRPr="00F7332E">
        <w:t>zones sector, and examining and approving applications from companies wishing to locate in the zones</w:t>
      </w:r>
      <w:r w:rsidRPr="0060155B">
        <w:t>. T</w:t>
      </w:r>
      <w:r w:rsidRPr="00F7332E">
        <w:t>he programme's chief objectives include foreign exchange generation, job creation, workforce training and development of the various regions of the country.</w:t>
      </w:r>
    </w:p>
    <w:p w14:paraId="3D0E4F5F" w14:textId="77777777" w:rsidR="001A500E" w:rsidRPr="0060155B" w:rsidRDefault="001A500E" w:rsidP="00574469">
      <w:pPr>
        <w:pStyle w:val="BodyText"/>
      </w:pPr>
      <w:r w:rsidRPr="00F7332E">
        <w:lastRenderedPageBreak/>
        <w:t>Businesses located in free zones enjoy a number of tax benefits that have not changed substantially since 2015</w:t>
      </w:r>
      <w:r w:rsidRPr="0060155B">
        <w:t>. S</w:t>
      </w:r>
      <w:r w:rsidRPr="00F7332E">
        <w:t xml:space="preserve">uch businesses are exempt from paying the </w:t>
      </w:r>
      <w:proofErr w:type="spellStart"/>
      <w:r w:rsidRPr="00F7332E">
        <w:t>ISR</w:t>
      </w:r>
      <w:proofErr w:type="spellEnd"/>
      <w:r w:rsidRPr="0060155B">
        <w:t>; t</w:t>
      </w:r>
      <w:r w:rsidRPr="00F7332E">
        <w:t>ariff duties on imports, exports and re</w:t>
      </w:r>
      <w:r>
        <w:noBreakHyphen/>
      </w:r>
      <w:r w:rsidRPr="00F7332E">
        <w:t>exports of raw materials, equipment and machinery used to produce goods</w:t>
      </w:r>
      <w:r w:rsidRPr="0060155B">
        <w:t>; t</w:t>
      </w:r>
      <w:r w:rsidRPr="00F7332E">
        <w:t xml:space="preserve">he </w:t>
      </w:r>
      <w:proofErr w:type="spellStart"/>
      <w:r w:rsidRPr="00F7332E">
        <w:t>ITBIS</w:t>
      </w:r>
      <w:proofErr w:type="spellEnd"/>
      <w:r w:rsidRPr="0060155B">
        <w:t>; t</w:t>
      </w:r>
      <w:r w:rsidRPr="00F7332E">
        <w:t>he tax on the registration and transfer of real estate</w:t>
      </w:r>
      <w:r w:rsidRPr="0060155B">
        <w:t>; m</w:t>
      </w:r>
      <w:r w:rsidRPr="00F7332E">
        <w:t>unicipal taxes</w:t>
      </w:r>
      <w:r w:rsidRPr="0060155B">
        <w:t>; a</w:t>
      </w:r>
      <w:r w:rsidRPr="00F7332E">
        <w:t>nd consular fees.</w:t>
      </w:r>
      <w:r w:rsidRPr="00F7332E">
        <w:rPr>
          <w:vertAlign w:val="superscript"/>
        </w:rPr>
        <w:footnoteReference w:id="182"/>
      </w:r>
    </w:p>
    <w:p w14:paraId="6907B472" w14:textId="5F852CA0" w:rsidR="001A500E" w:rsidRPr="0060155B" w:rsidRDefault="001A500E" w:rsidP="00574469">
      <w:pPr>
        <w:pStyle w:val="BodyText"/>
      </w:pPr>
      <w:r w:rsidRPr="00F7332E">
        <w:t>Businesses located in free zones can sell up to 100</w:t>
      </w:r>
      <w:r>
        <w:t>%</w:t>
      </w:r>
      <w:r w:rsidRPr="00F7332E">
        <w:t xml:space="preserve"> of their goods and services on the domestic market without restriction and without the proviso that they use local raw materials in preference to imports (Article 11 of Law No. 139</w:t>
      </w:r>
      <w:r>
        <w:noBreakHyphen/>
      </w:r>
      <w:r w:rsidRPr="00F7332E">
        <w:t>11)</w:t>
      </w:r>
      <w:r w:rsidRPr="0060155B">
        <w:t>. T</w:t>
      </w:r>
      <w:r w:rsidRPr="00F7332E">
        <w:t xml:space="preserve">hey must, however, pay the relevant import duties, </w:t>
      </w:r>
      <w:r w:rsidR="005D1C13">
        <w:t xml:space="preserve">the </w:t>
      </w:r>
      <w:proofErr w:type="spellStart"/>
      <w:r w:rsidRPr="00F7332E">
        <w:t>ITBIS</w:t>
      </w:r>
      <w:proofErr w:type="spellEnd"/>
      <w:r w:rsidRPr="00F7332E">
        <w:t xml:space="preserve"> and </w:t>
      </w:r>
      <w:r w:rsidR="005D1C13">
        <w:t xml:space="preserve">the </w:t>
      </w:r>
      <w:proofErr w:type="spellStart"/>
      <w:r w:rsidRPr="00F7332E">
        <w:t>ISR</w:t>
      </w:r>
      <w:proofErr w:type="spellEnd"/>
      <w:r w:rsidRPr="00F7332E">
        <w:t xml:space="preserve"> at a rate of 3.5</w:t>
      </w:r>
      <w:r>
        <w:t>%</w:t>
      </w:r>
      <w:r w:rsidRPr="00F7332E">
        <w:t xml:space="preserve"> of the value of their gross sales on the domestic market</w:t>
      </w:r>
      <w:r w:rsidRPr="0060155B">
        <w:t>.</w:t>
      </w:r>
      <w:r w:rsidRPr="0060155B">
        <w:rPr>
          <w:vertAlign w:val="superscript"/>
        </w:rPr>
        <w:footnoteReference w:id="183"/>
      </w:r>
      <w:r w:rsidRPr="0060155B">
        <w:t xml:space="preserve"> B</w:t>
      </w:r>
      <w:r w:rsidRPr="00F7332E">
        <w:t>usinesses that are accorded free</w:t>
      </w:r>
      <w:r>
        <w:noBreakHyphen/>
      </w:r>
      <w:r w:rsidRPr="00F7332E">
        <w:t>zone status obtain a (renewable) permit valid for 30 years if the free zone is in the border zone with Haiti (Law No 12</w:t>
      </w:r>
      <w:r>
        <w:noBreakHyphen/>
      </w:r>
      <w:r w:rsidRPr="00F7332E">
        <w:t xml:space="preserve">21 establishing a Special Free Zone for </w:t>
      </w:r>
      <w:r w:rsidR="00BD6559">
        <w:t>Border</w:t>
      </w:r>
      <w:r w:rsidRPr="00F7332E">
        <w:t xml:space="preserve"> Development) and for 15 years for the rest of the country (Law No. 8</w:t>
      </w:r>
      <w:r>
        <w:noBreakHyphen/>
      </w:r>
      <w:r w:rsidRPr="00F7332E">
        <w:t xml:space="preserve">90 on </w:t>
      </w:r>
      <w:r>
        <w:t xml:space="preserve">the Promotion of </w:t>
      </w:r>
      <w:r w:rsidRPr="00F7332E">
        <w:t>Free Zones).</w:t>
      </w:r>
      <w:r w:rsidRPr="00F7332E">
        <w:rPr>
          <w:vertAlign w:val="superscript"/>
        </w:rPr>
        <w:footnoteReference w:id="184"/>
      </w:r>
    </w:p>
    <w:p w14:paraId="67A25772" w14:textId="27F3E4B4" w:rsidR="001A500E" w:rsidRPr="0060155B" w:rsidRDefault="001A500E" w:rsidP="00574469">
      <w:pPr>
        <w:pStyle w:val="BodyText"/>
      </w:pPr>
      <w:r w:rsidRPr="00F7332E">
        <w:t>In addition to the free</w:t>
      </w:r>
      <w:r>
        <w:t xml:space="preserve"> </w:t>
      </w:r>
      <w:r w:rsidRPr="00F7332E">
        <w:t>zone</w:t>
      </w:r>
      <w:r>
        <w:t>s</w:t>
      </w:r>
      <w:r w:rsidRPr="00F7332E">
        <w:t xml:space="preserve"> there is a special national regulatory </w:t>
      </w:r>
      <w:r>
        <w:t>system</w:t>
      </w:r>
      <w:r w:rsidRPr="00F7332E">
        <w:t xml:space="preserve"> for two national priority sectors</w:t>
      </w:r>
      <w:r>
        <w:t>, which</w:t>
      </w:r>
      <w:r w:rsidRPr="00F7332E">
        <w:t xml:space="preserve"> operat</w:t>
      </w:r>
      <w:r>
        <w:t>e</w:t>
      </w:r>
      <w:r w:rsidRPr="00F7332E">
        <w:t xml:space="preserve"> </w:t>
      </w:r>
      <w:r>
        <w:t xml:space="preserve">both in </w:t>
      </w:r>
      <w:r w:rsidRPr="00F7332E">
        <w:t>the free</w:t>
      </w:r>
      <w:r>
        <w:t xml:space="preserve"> </w:t>
      </w:r>
      <w:r w:rsidRPr="00F7332E">
        <w:t>zone</w:t>
      </w:r>
      <w:r>
        <w:t xml:space="preserve">s </w:t>
      </w:r>
      <w:r w:rsidRPr="00F7332E">
        <w:t xml:space="preserve">and on the domestic market, namely </w:t>
      </w:r>
      <w:r>
        <w:t xml:space="preserve">for the </w:t>
      </w:r>
      <w:r w:rsidRPr="00F7332E">
        <w:t>textile, clothing and accessories</w:t>
      </w:r>
      <w:r>
        <w:t xml:space="preserve"> production chain</w:t>
      </w:r>
      <w:r w:rsidRPr="00F7332E">
        <w:t xml:space="preserve">, and </w:t>
      </w:r>
      <w:r>
        <w:t xml:space="preserve">for </w:t>
      </w:r>
      <w:r w:rsidRPr="00F7332E">
        <w:t xml:space="preserve">hides and skins, </w:t>
      </w:r>
      <w:r>
        <w:t xml:space="preserve">and </w:t>
      </w:r>
      <w:r w:rsidRPr="00F7332E">
        <w:t xml:space="preserve">manufacturing </w:t>
      </w:r>
      <w:r>
        <w:t xml:space="preserve">of </w:t>
      </w:r>
      <w:r w:rsidRPr="00F7332E">
        <w:t xml:space="preserve">footwear and leather </w:t>
      </w:r>
      <w:r>
        <w:t>articles</w:t>
      </w:r>
      <w:r w:rsidRPr="0060155B">
        <w:t>. C</w:t>
      </w:r>
      <w:r w:rsidRPr="00F7332E">
        <w:t>onsequently imports and/or purchases on the domestic market of certain inputs, raw materials, machinery, equipment and services made by businesses belonging to these sectors are subject to a single 0</w:t>
      </w:r>
      <w:r>
        <w:t>%</w:t>
      </w:r>
      <w:r w:rsidRPr="00F7332E">
        <w:t xml:space="preserve"> tariff and are exempt from </w:t>
      </w:r>
      <w:r w:rsidR="005D1C13">
        <w:t xml:space="preserve">the </w:t>
      </w:r>
      <w:proofErr w:type="spellStart"/>
      <w:r w:rsidRPr="00F7332E">
        <w:t>ITBIS</w:t>
      </w:r>
      <w:proofErr w:type="spellEnd"/>
      <w:r w:rsidRPr="00F7332E">
        <w:t xml:space="preserve"> and the </w:t>
      </w:r>
      <w:proofErr w:type="spellStart"/>
      <w:r w:rsidRPr="00F7332E">
        <w:t>ISR</w:t>
      </w:r>
      <w:proofErr w:type="spellEnd"/>
      <w:r w:rsidRPr="00F7332E">
        <w:t xml:space="preserve"> (Table 3.14)</w:t>
      </w:r>
      <w:r w:rsidRPr="0060155B">
        <w:t>.</w:t>
      </w:r>
      <w:r w:rsidRPr="0060155B">
        <w:rPr>
          <w:vertAlign w:val="superscript"/>
        </w:rPr>
        <w:footnoteReference w:id="185"/>
      </w:r>
      <w:r w:rsidRPr="0060155B">
        <w:t xml:space="preserve"> M</w:t>
      </w:r>
      <w:r w:rsidRPr="00F7332E">
        <w:t>oreover, businesses manufacturing these products in free zones may export to the customs territory of the Dominican Republic up to 100</w:t>
      </w:r>
      <w:r>
        <w:t>%</w:t>
      </w:r>
      <w:r w:rsidRPr="00F7332E">
        <w:t xml:space="preserve"> of the goods produced, tariff</w:t>
      </w:r>
      <w:r>
        <w:noBreakHyphen/>
      </w:r>
      <w:r w:rsidRPr="00F7332E">
        <w:t>free</w:t>
      </w:r>
      <w:r w:rsidRPr="0060155B">
        <w:t>; f</w:t>
      </w:r>
      <w:r w:rsidRPr="00F7332E">
        <w:t>or all other products they must pay 100</w:t>
      </w:r>
      <w:r>
        <w:t>%</w:t>
      </w:r>
      <w:r w:rsidRPr="00F7332E">
        <w:t xml:space="preserve"> of import tariffs and taxes.</w:t>
      </w:r>
    </w:p>
    <w:p w14:paraId="5A01AF0B" w14:textId="69D33E54" w:rsidR="001A500E" w:rsidRPr="0060155B" w:rsidRDefault="001A500E" w:rsidP="00574469">
      <w:pPr>
        <w:pStyle w:val="BodyText"/>
      </w:pPr>
      <w:r w:rsidRPr="00F7332E">
        <w:t>The Centre for Industrial Development and Competitiveness (</w:t>
      </w:r>
      <w:proofErr w:type="spellStart"/>
      <w:r w:rsidRPr="00F7332E">
        <w:t>PROINDUSTRIA</w:t>
      </w:r>
      <w:proofErr w:type="spellEnd"/>
      <w:r w:rsidRPr="00F7332E">
        <w:t xml:space="preserve">) is an entity of the </w:t>
      </w:r>
      <w:proofErr w:type="spellStart"/>
      <w:r w:rsidRPr="00F7332E">
        <w:t>MICM</w:t>
      </w:r>
      <w:proofErr w:type="spellEnd"/>
      <w:r w:rsidRPr="0060155B">
        <w:t>. I</w:t>
      </w:r>
      <w:r w:rsidRPr="00F7332E">
        <w:t xml:space="preserve">ts purpose is to promote the competitive industrial development of </w:t>
      </w:r>
      <w:r>
        <w:t xml:space="preserve">the </w:t>
      </w:r>
      <w:r w:rsidRPr="00F7332E">
        <w:t>manufacturing industry</w:t>
      </w:r>
      <w:r w:rsidRPr="0060155B">
        <w:t>.</w:t>
      </w:r>
      <w:r w:rsidRPr="0060155B">
        <w:rPr>
          <w:vertAlign w:val="superscript"/>
        </w:rPr>
        <w:footnoteReference w:id="186"/>
      </w:r>
      <w:r w:rsidRPr="0060155B">
        <w:t xml:space="preserve"> T</w:t>
      </w:r>
      <w:r w:rsidRPr="00F7332E">
        <w:t xml:space="preserve">o that end it proposes policies and support programmes that encourage domestic industrial </w:t>
      </w:r>
      <w:r>
        <w:t>revitalization</w:t>
      </w:r>
      <w:r w:rsidRPr="00F7332E">
        <w:t xml:space="preserve"> and innovation</w:t>
      </w:r>
      <w:r w:rsidRPr="0060155B">
        <w:t>. A</w:t>
      </w:r>
      <w:r w:rsidRPr="00F7332E">
        <w:t xml:space="preserve"> number of the programmes it implements are aimed at young entrepreneurs and start</w:t>
      </w:r>
      <w:r>
        <w:noBreakHyphen/>
      </w:r>
      <w:r w:rsidRPr="00F7332E">
        <w:t>ups (</w:t>
      </w:r>
      <w:proofErr w:type="spellStart"/>
      <w:r w:rsidRPr="00F7332E">
        <w:t>Proincube</w:t>
      </w:r>
      <w:proofErr w:type="spellEnd"/>
      <w:r w:rsidRPr="00F7332E">
        <w:t>) and at MSMEs (guidance hubs, business parks and IT training for SMEs)</w:t>
      </w:r>
      <w:r w:rsidRPr="0060155B">
        <w:t xml:space="preserve">. </w:t>
      </w:r>
      <w:proofErr w:type="spellStart"/>
      <w:r w:rsidRPr="0060155B">
        <w:t>P</w:t>
      </w:r>
      <w:r w:rsidRPr="00F7332E">
        <w:t>ROINDUSTRIA</w:t>
      </w:r>
      <w:proofErr w:type="spellEnd"/>
      <w:r w:rsidRPr="00F7332E">
        <w:t xml:space="preserve"> also provides technical and financial support through the Industrial Development Bank (</w:t>
      </w:r>
      <w:proofErr w:type="spellStart"/>
      <w:r w:rsidRPr="00F7332E">
        <w:t>BDI</w:t>
      </w:r>
      <w:proofErr w:type="spellEnd"/>
      <w:r w:rsidRPr="00F7332E">
        <w:t>)</w:t>
      </w:r>
      <w:r w:rsidRPr="0060155B">
        <w:t>.</w:t>
      </w:r>
      <w:r w:rsidRPr="0060155B">
        <w:rPr>
          <w:vertAlign w:val="superscript"/>
        </w:rPr>
        <w:footnoteReference w:id="187"/>
      </w:r>
      <w:r w:rsidRPr="0060155B">
        <w:t xml:space="preserve"> A</w:t>
      </w:r>
      <w:r w:rsidRPr="00F7332E">
        <w:t xml:space="preserve">dditionally, businesses accredited/certified by </w:t>
      </w:r>
      <w:proofErr w:type="spellStart"/>
      <w:r w:rsidRPr="00F7332E">
        <w:t>PROINDUSTRIA</w:t>
      </w:r>
      <w:proofErr w:type="spellEnd"/>
      <w:r w:rsidRPr="00F7332E">
        <w:t xml:space="preserve"> qualify for various </w:t>
      </w:r>
      <w:r>
        <w:t>tax</w:t>
      </w:r>
      <w:r w:rsidRPr="00F7332E">
        <w:t xml:space="preserve"> incentives (Section 2.4.</w:t>
      </w:r>
      <w:r w:rsidR="00696EB0">
        <w:t>2</w:t>
      </w:r>
      <w:r w:rsidRPr="00F7332E">
        <w:t>).</w:t>
      </w:r>
      <w:r w:rsidRPr="00F7332E">
        <w:rPr>
          <w:vertAlign w:val="superscript"/>
        </w:rPr>
        <w:footnoteReference w:id="188"/>
      </w:r>
    </w:p>
    <w:p w14:paraId="0DA511CA" w14:textId="0C70BAFF" w:rsidR="001A500E" w:rsidRPr="00F7332E" w:rsidRDefault="001A500E" w:rsidP="00574469">
      <w:pPr>
        <w:pStyle w:val="BodyText"/>
      </w:pPr>
      <w:r w:rsidRPr="00F7332E">
        <w:t>MSMEs are one of the chief sources of employment and thus make a significant contribution to the economy of the Dominican Republic</w:t>
      </w:r>
      <w:r w:rsidRPr="0060155B">
        <w:t>. T</w:t>
      </w:r>
      <w:r w:rsidRPr="00F7332E">
        <w:t>herefore, to promote job creation and formalization of businesses operating in the informal sector, the single window for business formalization (</w:t>
      </w:r>
      <w:hyperlink r:id="rId44" w:history="1">
        <w:r>
          <w:rPr>
            <w:color w:val="0000FF" w:themeColor="hyperlink"/>
            <w:u w:val="single"/>
          </w:rPr>
          <w:t>https://vu.formalizate.gob.do</w:t>
        </w:r>
      </w:hyperlink>
      <w:r w:rsidRPr="00F7332E">
        <w:t>)</w:t>
      </w:r>
      <w:r>
        <w:t xml:space="preserve"> </w:t>
      </w:r>
      <w:r w:rsidRPr="00F7332E">
        <w:t>was set up</w:t>
      </w:r>
      <w:r w:rsidRPr="0060155B">
        <w:t>. O</w:t>
      </w:r>
      <w:r w:rsidRPr="00F7332E">
        <w:t>nce registered, businesses have access to (</w:t>
      </w:r>
      <w:proofErr w:type="spellStart"/>
      <w:r w:rsidRPr="00F7332E">
        <w:t>i</w:t>
      </w:r>
      <w:proofErr w:type="spellEnd"/>
      <w:r w:rsidRPr="00F7332E">
        <w:t>) the various support programmes for MSMEs</w:t>
      </w:r>
      <w:r w:rsidRPr="0060155B">
        <w:t>; (</w:t>
      </w:r>
      <w:r w:rsidRPr="00F7332E">
        <w:t>ii) loans issued in the financial system</w:t>
      </w:r>
      <w:r w:rsidRPr="0060155B">
        <w:t>; a</w:t>
      </w:r>
      <w:r w:rsidRPr="00F7332E">
        <w:t>nd</w:t>
      </w:r>
      <w:r>
        <w:t> </w:t>
      </w:r>
      <w:r w:rsidRPr="00F7332E">
        <w:t>(iii)</w:t>
      </w:r>
      <w:r>
        <w:t> </w:t>
      </w:r>
      <w:r w:rsidRPr="00F7332E">
        <w:t>government procurement procedures (Section 3.3.</w:t>
      </w:r>
      <w:r w:rsidR="00696EB0">
        <w:t>6</w:t>
      </w:r>
      <w:r w:rsidRPr="00F7332E">
        <w:t>).</w:t>
      </w:r>
    </w:p>
    <w:p w14:paraId="10A82F3A" w14:textId="77777777" w:rsidR="001A500E" w:rsidRPr="0060155B" w:rsidRDefault="001A500E" w:rsidP="00574469">
      <w:pPr>
        <w:pStyle w:val="BodyText"/>
      </w:pPr>
      <w:r w:rsidRPr="00F7332E">
        <w:t>The Programme for the Promotion of and Support for Micro</w:t>
      </w:r>
      <w:r w:rsidRPr="0060155B">
        <w:noBreakHyphen/>
      </w:r>
      <w:r w:rsidRPr="00F7332E">
        <w:t>, Small and Medium</w:t>
      </w:r>
      <w:r>
        <w:noBreakHyphen/>
      </w:r>
      <w:r w:rsidRPr="00F7332E">
        <w:t>Sized Enterprises (</w:t>
      </w:r>
      <w:proofErr w:type="spellStart"/>
      <w:r w:rsidRPr="00F7332E">
        <w:t>PROMIPYME</w:t>
      </w:r>
      <w:proofErr w:type="spellEnd"/>
      <w:r w:rsidRPr="00F7332E">
        <w:t xml:space="preserve">), which </w:t>
      </w:r>
      <w:r>
        <w:t>seeks</w:t>
      </w:r>
      <w:r w:rsidRPr="00F7332E">
        <w:t xml:space="preserve"> to </w:t>
      </w:r>
      <w:r>
        <w:t>draw up</w:t>
      </w:r>
      <w:r w:rsidRPr="00F7332E">
        <w:t xml:space="preserve"> support policies, is still running, and was not subject to change</w:t>
      </w:r>
      <w:r w:rsidRPr="004A7783">
        <w:t xml:space="preserve"> </w:t>
      </w:r>
      <w:r w:rsidRPr="00F7332E">
        <w:t>during the review period</w:t>
      </w:r>
      <w:r w:rsidRPr="0060155B">
        <w:t>. T</w:t>
      </w:r>
      <w:r w:rsidRPr="00F7332E">
        <w:t xml:space="preserve">hrough the Banca </w:t>
      </w:r>
      <w:proofErr w:type="spellStart"/>
      <w:r w:rsidRPr="00F7332E">
        <w:t>Solidaria</w:t>
      </w:r>
      <w:proofErr w:type="spellEnd"/>
      <w:r w:rsidRPr="00F7332E">
        <w:t xml:space="preserve"> and other second</w:t>
      </w:r>
      <w:r>
        <w:noBreakHyphen/>
      </w:r>
      <w:r w:rsidRPr="00F7332E">
        <w:t>tier banks</w:t>
      </w:r>
      <w:r>
        <w:t>,</w:t>
      </w:r>
      <w:r w:rsidRPr="00F7332E">
        <w:t xml:space="preserve"> </w:t>
      </w:r>
      <w:proofErr w:type="spellStart"/>
      <w:r w:rsidRPr="00F7332E">
        <w:t>PROMIPYME</w:t>
      </w:r>
      <w:proofErr w:type="spellEnd"/>
      <w:r w:rsidRPr="00F7332E">
        <w:t xml:space="preserve"> provides MSMEs with credit and other financial services</w:t>
      </w:r>
      <w:r w:rsidRPr="0060155B">
        <w:t>. T</w:t>
      </w:r>
      <w:r w:rsidRPr="00F7332E">
        <w:t>he National Reserve Foundation, which is backed by the Reserve Bank (</w:t>
      </w:r>
      <w:proofErr w:type="spellStart"/>
      <w:r w:rsidRPr="00F7332E">
        <w:t>Banreservas</w:t>
      </w:r>
      <w:proofErr w:type="spellEnd"/>
      <w:r w:rsidRPr="00F7332E">
        <w:t>), provides credit facilities to micro</w:t>
      </w:r>
      <w:r>
        <w:noBreakHyphen/>
        <w:t>enterprises</w:t>
      </w:r>
      <w:r w:rsidRPr="0060155B">
        <w:t>.</w:t>
      </w:r>
      <w:r w:rsidRPr="0060155B">
        <w:rPr>
          <w:vertAlign w:val="superscript"/>
        </w:rPr>
        <w:footnoteReference w:id="189"/>
      </w:r>
      <w:r w:rsidRPr="0060155B">
        <w:t xml:space="preserve"> B</w:t>
      </w:r>
      <w:r w:rsidRPr="00F7332E">
        <w:t>etween 2013 and 2022 (April), the Foundation awarded DOP 6.5 billion in microcredit</w:t>
      </w:r>
      <w:r>
        <w:t>s</w:t>
      </w:r>
      <w:r w:rsidRPr="0060155B">
        <w:t>: 6</w:t>
      </w:r>
      <w:r w:rsidRPr="00F7332E">
        <w:t>3</w:t>
      </w:r>
      <w:r>
        <w:t>%</w:t>
      </w:r>
      <w:r w:rsidRPr="00F7332E">
        <w:t xml:space="preserve"> to commerce, 27</w:t>
      </w:r>
      <w:r>
        <w:t>%</w:t>
      </w:r>
      <w:r w:rsidRPr="00F7332E">
        <w:t xml:space="preserve"> to services and the remainder to industry and </w:t>
      </w:r>
      <w:proofErr w:type="spellStart"/>
      <w:r w:rsidRPr="00F7332E">
        <w:t>agro</w:t>
      </w:r>
      <w:proofErr w:type="spellEnd"/>
      <w:r>
        <w:noBreakHyphen/>
      </w:r>
      <w:r w:rsidRPr="00F7332E">
        <w:t>industry.</w:t>
      </w:r>
    </w:p>
    <w:p w14:paraId="1F288A6E" w14:textId="77777777" w:rsidR="001A500E" w:rsidRPr="00F7332E" w:rsidRDefault="001A500E" w:rsidP="00574469">
      <w:pPr>
        <w:pStyle w:val="BodyText"/>
      </w:pPr>
      <w:r w:rsidRPr="00F7332E">
        <w:t>The National Council for the Promotion of and Support for Micro</w:t>
      </w:r>
      <w:r w:rsidRPr="0060155B">
        <w:noBreakHyphen/>
      </w:r>
      <w:r w:rsidRPr="00F7332E">
        <w:t>, Small and Medium</w:t>
      </w:r>
      <w:r>
        <w:noBreakHyphen/>
      </w:r>
      <w:r w:rsidRPr="00F7332E">
        <w:t>Sized Enterprises (</w:t>
      </w:r>
      <w:proofErr w:type="spellStart"/>
      <w:r w:rsidRPr="00F7332E">
        <w:t>PROMIPYME</w:t>
      </w:r>
      <w:proofErr w:type="spellEnd"/>
      <w:r w:rsidRPr="00F7332E">
        <w:t xml:space="preserve"> National Council), which is attached to the </w:t>
      </w:r>
      <w:proofErr w:type="spellStart"/>
      <w:r w:rsidRPr="00F7332E">
        <w:t>MICM</w:t>
      </w:r>
      <w:proofErr w:type="spellEnd"/>
      <w:r w:rsidRPr="00F7332E">
        <w:t xml:space="preserve">, is responsible for formulating business development policy for MSMEs, including policies that contribute to the development of an export culture in the sector, </w:t>
      </w:r>
      <w:r>
        <w:t>as well as</w:t>
      </w:r>
      <w:r w:rsidRPr="00F7332E">
        <w:t xml:space="preserve"> the </w:t>
      </w:r>
      <w:r>
        <w:t>creation</w:t>
      </w:r>
      <w:r w:rsidRPr="00F7332E">
        <w:t xml:space="preserve"> of productive jobs and </w:t>
      </w:r>
      <w:r>
        <w:t xml:space="preserve">generation of </w:t>
      </w:r>
      <w:r w:rsidRPr="00F7332E">
        <w:t>foreign exchange for the country</w:t>
      </w:r>
      <w:r w:rsidRPr="0060155B">
        <w:t>. M</w:t>
      </w:r>
      <w:r>
        <w:t>oreover</w:t>
      </w:r>
      <w:r w:rsidRPr="00F7332E">
        <w:t xml:space="preserve">, together with the Ministry of the </w:t>
      </w:r>
      <w:r w:rsidRPr="00F7332E">
        <w:lastRenderedPageBreak/>
        <w:t xml:space="preserve">Environment and Natural Resources, the </w:t>
      </w:r>
      <w:proofErr w:type="spellStart"/>
      <w:r w:rsidRPr="00F7332E">
        <w:t>PROMIPYME</w:t>
      </w:r>
      <w:proofErr w:type="spellEnd"/>
      <w:r w:rsidRPr="00F7332E">
        <w:t xml:space="preserve"> National Council </w:t>
      </w:r>
      <w:r>
        <w:t xml:space="preserve">shall </w:t>
      </w:r>
      <w:r w:rsidRPr="00F7332E">
        <w:t xml:space="preserve">ensure that the MSME sector improves </w:t>
      </w:r>
      <w:r>
        <w:t>its surrounding</w:t>
      </w:r>
      <w:r w:rsidRPr="00F7332E">
        <w:t xml:space="preserve"> environment</w:t>
      </w:r>
      <w:r>
        <w:t>s</w:t>
      </w:r>
      <w:r w:rsidRPr="00F7332E">
        <w:t xml:space="preserve"> and obtains certification of compliance with international standards</w:t>
      </w:r>
      <w:r w:rsidRPr="0060155B">
        <w:t>.</w:t>
      </w:r>
      <w:r w:rsidRPr="0060155B">
        <w:rPr>
          <w:vertAlign w:val="superscript"/>
        </w:rPr>
        <w:footnoteReference w:id="190"/>
      </w:r>
      <w:r w:rsidRPr="0060155B">
        <w:t xml:space="preserve"> T</w:t>
      </w:r>
      <w:r w:rsidRPr="00F7332E">
        <w:t>he Council promotes funding programmes for the sector.</w:t>
      </w:r>
      <w:r w:rsidRPr="00F7332E">
        <w:rPr>
          <w:vertAlign w:val="superscript"/>
        </w:rPr>
        <w:footnoteReference w:id="191"/>
      </w:r>
    </w:p>
    <w:p w14:paraId="715366F0" w14:textId="77777777" w:rsidR="001A500E" w:rsidRPr="0060155B" w:rsidRDefault="001A500E" w:rsidP="00574469">
      <w:pPr>
        <w:pStyle w:val="BodyText"/>
      </w:pPr>
      <w:r w:rsidRPr="00F7332E">
        <w:t>As part of the Dominican Republic's post</w:t>
      </w:r>
      <w:r>
        <w:noBreakHyphen/>
      </w:r>
      <w:r w:rsidRPr="00F7332E">
        <w:t xml:space="preserve">pandemic economic recovery policy, in 2021 </w:t>
      </w:r>
      <w:proofErr w:type="spellStart"/>
      <w:r w:rsidRPr="00F7332E">
        <w:t>BANDEX</w:t>
      </w:r>
      <w:proofErr w:type="spellEnd"/>
      <w:r w:rsidRPr="00F7332E">
        <w:t xml:space="preserve"> became the Export and Development Bank</w:t>
      </w:r>
      <w:r w:rsidRPr="0060155B">
        <w:t>.</w:t>
      </w:r>
      <w:r w:rsidRPr="0060155B">
        <w:rPr>
          <w:vertAlign w:val="superscript"/>
        </w:rPr>
        <w:footnoteReference w:id="192"/>
      </w:r>
      <w:r w:rsidRPr="0060155B">
        <w:t xml:space="preserve"> I</w:t>
      </w:r>
      <w:r w:rsidRPr="00F7332E">
        <w:t xml:space="preserve">n its new guise, </w:t>
      </w:r>
      <w:proofErr w:type="spellStart"/>
      <w:r w:rsidRPr="00F7332E">
        <w:t>BANDEX</w:t>
      </w:r>
      <w:proofErr w:type="spellEnd"/>
      <w:r w:rsidRPr="00F7332E">
        <w:t xml:space="preserve"> will be a financial intermediary </w:t>
      </w:r>
      <w:r>
        <w:t xml:space="preserve">dedicated to </w:t>
      </w:r>
      <w:r w:rsidRPr="00F7332E">
        <w:t xml:space="preserve">the development of </w:t>
      </w:r>
      <w:r>
        <w:t xml:space="preserve">strategic </w:t>
      </w:r>
      <w:r w:rsidRPr="00F7332E">
        <w:t xml:space="preserve">production sectors </w:t>
      </w:r>
      <w:r>
        <w:t>in order to</w:t>
      </w:r>
      <w:r w:rsidRPr="00F7332E">
        <w:t xml:space="preserve"> diversify and strengthen the Dominican economy</w:t>
      </w:r>
      <w:r w:rsidRPr="0060155B">
        <w:t>. T</w:t>
      </w:r>
      <w:r w:rsidRPr="00F7332E">
        <w:t xml:space="preserve">he bank will offer new financial products, national and international lines </w:t>
      </w:r>
      <w:r>
        <w:t xml:space="preserve">of </w:t>
      </w:r>
      <w:r w:rsidRPr="00F7332E">
        <w:t>credit, longer</w:t>
      </w:r>
      <w:r>
        <w:noBreakHyphen/>
      </w:r>
      <w:r w:rsidRPr="00F7332E">
        <w:t>term loans with lower rates, and administrative services for guarantee funds</w:t>
      </w:r>
      <w:r w:rsidRPr="0060155B">
        <w:t>. A</w:t>
      </w:r>
      <w:r w:rsidRPr="00F7332E">
        <w:t>ll instruments will have more flexible conditions and differential measures such as longer repayment and grace periods</w:t>
      </w:r>
      <w:r w:rsidRPr="0060155B">
        <w:t>. T</w:t>
      </w:r>
      <w:r w:rsidRPr="00F7332E">
        <w:t>he agriculture sector will be prioritized to promote production technology, systematize the logistics chain and reduce irrigation.</w:t>
      </w:r>
      <w:r w:rsidRPr="00F7332E">
        <w:rPr>
          <w:vertAlign w:val="superscript"/>
        </w:rPr>
        <w:footnoteReference w:id="193"/>
      </w:r>
      <w:bookmarkStart w:id="217" w:name="_Toc114735754"/>
      <w:bookmarkStart w:id="218" w:name="_Toc384214166"/>
      <w:bookmarkStart w:id="219" w:name="_Toc417038480"/>
    </w:p>
    <w:p w14:paraId="27A1023F" w14:textId="77777777" w:rsidR="001A500E" w:rsidRPr="00F7332E" w:rsidRDefault="001A500E" w:rsidP="00574469">
      <w:pPr>
        <w:pStyle w:val="Heading3"/>
      </w:pPr>
      <w:bookmarkStart w:id="220" w:name="_Toc117260635"/>
      <w:r w:rsidRPr="00F7332E">
        <w:t>Standards and other technical requirements</w:t>
      </w:r>
      <w:bookmarkEnd w:id="217"/>
      <w:bookmarkEnd w:id="220"/>
    </w:p>
    <w:p w14:paraId="66DFE481" w14:textId="77777777" w:rsidR="001A500E" w:rsidRPr="00F7332E" w:rsidRDefault="001A500E" w:rsidP="00574469">
      <w:pPr>
        <w:pStyle w:val="BodyText"/>
      </w:pPr>
      <w:r w:rsidRPr="00F7332E">
        <w:t>The Dominican Quality System (</w:t>
      </w:r>
      <w:proofErr w:type="spellStart"/>
      <w:r w:rsidRPr="00F7332E">
        <w:t>SIDOCAL</w:t>
      </w:r>
      <w:proofErr w:type="spellEnd"/>
      <w:r w:rsidRPr="00F7332E">
        <w:t>) is governed by Law No. 166</w:t>
      </w:r>
      <w:r>
        <w:noBreakHyphen/>
      </w:r>
      <w:r w:rsidRPr="00F7332E">
        <w:t>12, which was not amended during the review period</w:t>
      </w:r>
      <w:r w:rsidRPr="0060155B">
        <w:t>. T</w:t>
      </w:r>
      <w:r w:rsidRPr="00F7332E">
        <w:t xml:space="preserve">he Law has not yet been fully implemented, pending the entry into force of its implementing regulations which, as of 2022, have not </w:t>
      </w:r>
      <w:r>
        <w:t xml:space="preserve">yet </w:t>
      </w:r>
      <w:r w:rsidRPr="00F7332E">
        <w:t>been drafted</w:t>
      </w:r>
      <w:r w:rsidRPr="0060155B">
        <w:t>. A</w:t>
      </w:r>
      <w:r w:rsidRPr="00F7332E">
        <w:t xml:space="preserve">dditionally, there </w:t>
      </w:r>
      <w:r>
        <w:t>is</w:t>
      </w:r>
      <w:r w:rsidRPr="00F7332E">
        <w:t xml:space="preserve"> sectoral </w:t>
      </w:r>
      <w:r>
        <w:t>legislation</w:t>
      </w:r>
      <w:r w:rsidRPr="00F7332E">
        <w:t xml:space="preserve"> in the areas of health, safety, the environment and consumer protection that also govern technical regulations.</w:t>
      </w:r>
    </w:p>
    <w:p w14:paraId="364E1CDA" w14:textId="77777777" w:rsidR="001A500E" w:rsidRPr="00F7332E" w:rsidRDefault="001A500E" w:rsidP="00574469">
      <w:pPr>
        <w:pStyle w:val="BodyText"/>
      </w:pPr>
      <w:proofErr w:type="spellStart"/>
      <w:r w:rsidRPr="00F7332E">
        <w:t>SIDOCAL's</w:t>
      </w:r>
      <w:proofErr w:type="spellEnd"/>
      <w:r w:rsidRPr="00F7332E">
        <w:t xml:space="preserve"> composition was not amended between 2015 and 2022 (Chart 3.4)</w:t>
      </w:r>
      <w:r w:rsidRPr="0060155B">
        <w:t>. T</w:t>
      </w:r>
      <w:r w:rsidRPr="00F7332E">
        <w:t>he Dominican Quality Council (</w:t>
      </w:r>
      <w:proofErr w:type="spellStart"/>
      <w:r w:rsidRPr="00F7332E">
        <w:t>CODOCA</w:t>
      </w:r>
      <w:proofErr w:type="spellEnd"/>
      <w:r w:rsidRPr="00F7332E">
        <w:t>) is the governing body that coordinates policy on quality with the system's other bodies, namely the ministries and other state institutions, the Dominican Quality Institute (</w:t>
      </w:r>
      <w:proofErr w:type="spellStart"/>
      <w:r w:rsidRPr="00F7332E">
        <w:t>INDOCAL</w:t>
      </w:r>
      <w:proofErr w:type="spellEnd"/>
      <w:r w:rsidRPr="00F7332E">
        <w:t>) and the Dominican Accreditation Authority (ODAC)</w:t>
      </w:r>
      <w:r w:rsidRPr="0060155B">
        <w:t>. T</w:t>
      </w:r>
      <w:r w:rsidRPr="00F7332E">
        <w:t xml:space="preserve">hese bodies are attached to the </w:t>
      </w:r>
      <w:proofErr w:type="spellStart"/>
      <w:r w:rsidRPr="00F7332E">
        <w:t>MICM</w:t>
      </w:r>
      <w:proofErr w:type="spellEnd"/>
      <w:r w:rsidRPr="0060155B">
        <w:t>. P</w:t>
      </w:r>
      <w:r w:rsidRPr="00F7332E">
        <w:t>ro </w:t>
      </w:r>
      <w:proofErr w:type="spellStart"/>
      <w:r w:rsidRPr="00F7332E">
        <w:t>Consumidor</w:t>
      </w:r>
      <w:proofErr w:type="spellEnd"/>
      <w:r w:rsidRPr="00F7332E">
        <w:t xml:space="preserve">, the state body with responsibility for consumer protection, is also part of </w:t>
      </w:r>
      <w:proofErr w:type="spellStart"/>
      <w:r w:rsidRPr="00F7332E">
        <w:t>SIDOCAL</w:t>
      </w:r>
      <w:proofErr w:type="spellEnd"/>
      <w:r w:rsidRPr="00F7332E">
        <w:t>.</w:t>
      </w:r>
    </w:p>
    <w:p w14:paraId="6DB5B7ED" w14:textId="77777777" w:rsidR="001A500E" w:rsidRPr="00F7332E" w:rsidRDefault="001A500E" w:rsidP="00673725">
      <w:pPr>
        <w:pStyle w:val="Caption"/>
        <w:rPr>
          <w:b w:val="0"/>
          <w:bCs w:val="0"/>
        </w:rPr>
      </w:pPr>
      <w:bookmarkStart w:id="221" w:name="_Toc114735801"/>
      <w:bookmarkStart w:id="222" w:name="_Toc117238019"/>
      <w:r>
        <w:t xml:space="preserve">Chart </w:t>
      </w:r>
      <w:r w:rsidR="00BD37F2">
        <w:fldChar w:fldCharType="begin"/>
      </w:r>
      <w:r w:rsidR="00BD37F2">
        <w:instrText xml:space="preserve"> STYLEREF 1 \s </w:instrText>
      </w:r>
      <w:r w:rsidR="00BD37F2">
        <w:fldChar w:fldCharType="separate"/>
      </w:r>
      <w:r>
        <w:rPr>
          <w:noProof/>
        </w:rPr>
        <w:t>3</w:t>
      </w:r>
      <w:r w:rsidR="00BD37F2">
        <w:rPr>
          <w:noProof/>
        </w:rPr>
        <w:fldChar w:fldCharType="end"/>
      </w:r>
      <w:r>
        <w:t>.</w:t>
      </w:r>
      <w:r w:rsidR="00BD37F2">
        <w:fldChar w:fldCharType="begin"/>
      </w:r>
      <w:r w:rsidR="00BD37F2">
        <w:instrText xml:space="preserve"> SEQ Chart \* ARABIC \s 1 </w:instrText>
      </w:r>
      <w:r w:rsidR="00BD37F2">
        <w:fldChar w:fldCharType="separate"/>
      </w:r>
      <w:r>
        <w:rPr>
          <w:noProof/>
        </w:rPr>
        <w:t>4</w:t>
      </w:r>
      <w:r w:rsidR="00BD37F2">
        <w:rPr>
          <w:noProof/>
        </w:rPr>
        <w:fldChar w:fldCharType="end"/>
      </w:r>
      <w:r>
        <w:t xml:space="preserve"> </w:t>
      </w:r>
      <w:r w:rsidRPr="00F7332E">
        <w:t xml:space="preserve">Composition of </w:t>
      </w:r>
      <w:proofErr w:type="spellStart"/>
      <w:r w:rsidRPr="00F7332E">
        <w:t>SIDOCAL</w:t>
      </w:r>
      <w:bookmarkEnd w:id="221"/>
      <w:bookmarkEnd w:id="222"/>
      <w:proofErr w:type="spellEnd"/>
    </w:p>
    <w:p w14:paraId="6F5DEC0A" w14:textId="77777777" w:rsidR="001A500E" w:rsidRDefault="001A500E" w:rsidP="002B1266">
      <w:r w:rsidRPr="002B1266">
        <w:rPr>
          <w:noProof/>
        </w:rPr>
        <w:drawing>
          <wp:inline distT="0" distB="0" distL="0" distR="0" wp14:anchorId="59A1464C" wp14:editId="1B12A8C1">
            <wp:extent cx="5731510" cy="3443605"/>
            <wp:effectExtent l="0" t="0" r="254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5"/>
                    <a:stretch>
                      <a:fillRect/>
                    </a:stretch>
                  </pic:blipFill>
                  <pic:spPr>
                    <a:xfrm>
                      <a:off x="0" y="0"/>
                      <a:ext cx="5731510" cy="3443605"/>
                    </a:xfrm>
                    <a:prstGeom prst="rect">
                      <a:avLst/>
                    </a:prstGeom>
                  </pic:spPr>
                </pic:pic>
              </a:graphicData>
            </a:graphic>
          </wp:inline>
        </w:drawing>
      </w:r>
    </w:p>
    <w:p w14:paraId="01354009" w14:textId="77777777" w:rsidR="001A500E" w:rsidRPr="00F7332E" w:rsidRDefault="001A500E" w:rsidP="00987B2A">
      <w:pPr>
        <w:tabs>
          <w:tab w:val="left" w:pos="851"/>
        </w:tabs>
        <w:ind w:left="851" w:hanging="851"/>
        <w:jc w:val="left"/>
        <w:rPr>
          <w:rFonts w:eastAsia="Times New Roman" w:cs="Times New Roman"/>
          <w:sz w:val="16"/>
        </w:rPr>
      </w:pPr>
      <w:r w:rsidRPr="00F7332E">
        <w:rPr>
          <w:rFonts w:eastAsia="Times New Roman" w:cs="Times New Roman"/>
          <w:sz w:val="16"/>
        </w:rPr>
        <w:t>Source:</w:t>
      </w:r>
      <w:r w:rsidRPr="00F7332E">
        <w:rPr>
          <w:rFonts w:eastAsia="Times New Roman" w:cs="Times New Roman"/>
          <w:sz w:val="16"/>
        </w:rPr>
        <w:tab/>
        <w:t>National Quality Policy (PNC) 2021</w:t>
      </w:r>
      <w:r>
        <w:rPr>
          <w:rFonts w:eastAsia="Times New Roman" w:cs="Times New Roman"/>
          <w:sz w:val="16"/>
        </w:rPr>
        <w:noBreakHyphen/>
      </w:r>
      <w:r w:rsidRPr="00F7332E">
        <w:rPr>
          <w:rFonts w:eastAsia="Times New Roman" w:cs="Times New Roman"/>
          <w:sz w:val="16"/>
        </w:rPr>
        <w:t>24</w:t>
      </w:r>
      <w:r w:rsidRPr="0060155B">
        <w:rPr>
          <w:rFonts w:eastAsia="Times New Roman" w:cs="Times New Roman"/>
          <w:sz w:val="16"/>
        </w:rPr>
        <w:t>. V</w:t>
      </w:r>
      <w:r w:rsidRPr="00F7332E">
        <w:rPr>
          <w:rFonts w:eastAsia="Times New Roman" w:cs="Times New Roman"/>
          <w:sz w:val="16"/>
        </w:rPr>
        <w:t xml:space="preserve">iewed at: </w:t>
      </w:r>
      <w:hyperlink r:id="rId46" w:history="1">
        <w:r>
          <w:rPr>
            <w:rFonts w:eastAsia="Times New Roman" w:cs="Times New Roman"/>
            <w:color w:val="0000FF" w:themeColor="hyperlink"/>
            <w:sz w:val="16"/>
            <w:u w:val="single"/>
          </w:rPr>
          <w:t>https://indocal.gob.do/wp</w:t>
        </w:r>
        <w:r w:rsidRPr="0060155B">
          <w:rPr>
            <w:rFonts w:eastAsia="Times New Roman" w:cs="Times New Roman"/>
            <w:color w:val="0000FF" w:themeColor="hyperlink"/>
            <w:sz w:val="16"/>
            <w:u w:val="single"/>
          </w:rPr>
          <w:noBreakHyphen/>
        </w:r>
        <w:r>
          <w:rPr>
            <w:rFonts w:eastAsia="Times New Roman" w:cs="Times New Roman"/>
            <w:color w:val="0000FF" w:themeColor="hyperlink"/>
            <w:sz w:val="16"/>
            <w:u w:val="single"/>
          </w:rPr>
          <w:t>content/uploads/2021/08/Politica</w:t>
        </w:r>
        <w:r w:rsidRPr="0060155B">
          <w:rPr>
            <w:rFonts w:eastAsia="Times New Roman" w:cs="Times New Roman"/>
            <w:color w:val="0000FF" w:themeColor="hyperlink"/>
            <w:sz w:val="16"/>
            <w:u w:val="single"/>
          </w:rPr>
          <w:noBreakHyphen/>
        </w:r>
        <w:r>
          <w:rPr>
            <w:rFonts w:eastAsia="Times New Roman" w:cs="Times New Roman"/>
            <w:color w:val="0000FF" w:themeColor="hyperlink"/>
            <w:sz w:val="16"/>
            <w:u w:val="single"/>
          </w:rPr>
          <w:t>Nacional</w:t>
        </w:r>
        <w:r w:rsidRPr="0060155B">
          <w:rPr>
            <w:rFonts w:eastAsia="Times New Roman" w:cs="Times New Roman"/>
            <w:color w:val="0000FF" w:themeColor="hyperlink"/>
            <w:sz w:val="16"/>
            <w:u w:val="single"/>
          </w:rPr>
          <w:noBreakHyphen/>
        </w:r>
        <w:r>
          <w:rPr>
            <w:rFonts w:eastAsia="Times New Roman" w:cs="Times New Roman"/>
            <w:color w:val="0000FF" w:themeColor="hyperlink"/>
            <w:sz w:val="16"/>
            <w:u w:val="single"/>
          </w:rPr>
          <w:t>de</w:t>
        </w:r>
        <w:r w:rsidRPr="0060155B">
          <w:rPr>
            <w:rFonts w:eastAsia="Times New Roman" w:cs="Times New Roman"/>
            <w:color w:val="0000FF" w:themeColor="hyperlink"/>
            <w:sz w:val="16"/>
            <w:u w:val="single"/>
          </w:rPr>
          <w:noBreakHyphen/>
        </w:r>
        <w:r>
          <w:rPr>
            <w:rFonts w:eastAsia="Times New Roman" w:cs="Times New Roman"/>
            <w:color w:val="0000FF" w:themeColor="hyperlink"/>
            <w:sz w:val="16"/>
            <w:u w:val="single"/>
          </w:rPr>
          <w:t>Calidad.pdf</w:t>
        </w:r>
      </w:hyperlink>
      <w:r w:rsidRPr="00F7332E">
        <w:rPr>
          <w:rFonts w:eastAsia="Times New Roman" w:cs="Times New Roman"/>
          <w:sz w:val="16"/>
        </w:rPr>
        <w:t>.</w:t>
      </w:r>
    </w:p>
    <w:p w14:paraId="72E64B3E" w14:textId="77777777" w:rsidR="001A500E" w:rsidRPr="0060155B" w:rsidRDefault="001A500E" w:rsidP="00574469">
      <w:pPr>
        <w:pStyle w:val="BodyText"/>
      </w:pPr>
      <w:proofErr w:type="spellStart"/>
      <w:r w:rsidRPr="00F7332E">
        <w:lastRenderedPageBreak/>
        <w:t>INDOCAL</w:t>
      </w:r>
      <w:proofErr w:type="spellEnd"/>
      <w:r w:rsidRPr="00F7332E">
        <w:t xml:space="preserve"> has responsibility for drawing up national standardization policy and the national standardization plan, based on national development needs</w:t>
      </w:r>
      <w:r w:rsidRPr="0060155B">
        <w:t>. I</w:t>
      </w:r>
      <w:r w:rsidRPr="00F7332E">
        <w:t>n 2020, the Dominican Republic adopted its first national quality policy (PNC) 2021</w:t>
      </w:r>
      <w:r>
        <w:noBreakHyphen/>
      </w:r>
      <w:r w:rsidRPr="00F7332E">
        <w:t>24</w:t>
      </w:r>
      <w:r w:rsidRPr="0060155B">
        <w:t>; t</w:t>
      </w:r>
      <w:r w:rsidRPr="00F7332E">
        <w:t>his gave rise to the national standardization policy (</w:t>
      </w:r>
      <w:proofErr w:type="spellStart"/>
      <w:r w:rsidRPr="00F7332E">
        <w:t>PNN</w:t>
      </w:r>
      <w:proofErr w:type="spellEnd"/>
      <w:r w:rsidRPr="00F7332E">
        <w:t>), implementation</w:t>
      </w:r>
      <w:r>
        <w:t xml:space="preserve"> of which</w:t>
      </w:r>
      <w:r w:rsidRPr="00F7332E">
        <w:t xml:space="preserve"> began in 2021</w:t>
      </w:r>
      <w:r w:rsidRPr="0060155B">
        <w:t>.</w:t>
      </w:r>
      <w:r w:rsidRPr="0060155B">
        <w:rPr>
          <w:vertAlign w:val="superscript"/>
        </w:rPr>
        <w:footnoteReference w:id="194"/>
      </w:r>
      <w:r w:rsidRPr="0060155B">
        <w:t xml:space="preserve"> </w:t>
      </w:r>
      <w:r w:rsidRPr="0060155B">
        <w:rPr>
          <w:szCs w:val="18"/>
        </w:rPr>
        <w:t>T</w:t>
      </w:r>
      <w:r w:rsidRPr="00F7332E">
        <w:rPr>
          <w:szCs w:val="18"/>
        </w:rPr>
        <w:t xml:space="preserve">he aim of the PNC is to promote quality in order to increase the </w:t>
      </w:r>
      <w:r w:rsidRPr="00F7332E">
        <w:t>competitiveness of Dominican goods and services and thereby increase their integration into international markets</w:t>
      </w:r>
      <w:r w:rsidRPr="0060155B">
        <w:t>.</w:t>
      </w:r>
      <w:r w:rsidRPr="0060155B">
        <w:rPr>
          <w:vertAlign w:val="superscript"/>
        </w:rPr>
        <w:footnoteReference w:id="195"/>
      </w:r>
      <w:r w:rsidRPr="0060155B">
        <w:t xml:space="preserve"> A</w:t>
      </w:r>
      <w:r w:rsidRPr="00F7332E">
        <w:t xml:space="preserve">ccording to the PNC, in order to </w:t>
      </w:r>
      <w:r w:rsidRPr="00F7332E">
        <w:rPr>
          <w:szCs w:val="18"/>
        </w:rPr>
        <w:t>encourage a culture of quality</w:t>
      </w:r>
      <w:r w:rsidRPr="00F7332E">
        <w:t xml:space="preserve"> in the country it is necessary to strengthen quality systems, both in production processes and in marketing, adopt good practice to promote sustainable production</w:t>
      </w:r>
      <w:bookmarkStart w:id="223" w:name="_Hlk107224812"/>
      <w:r w:rsidRPr="00F7332E">
        <w:t>, encourage the signature of agreements for the mutual recognition of conformity assessment procedures</w:t>
      </w:r>
      <w:bookmarkEnd w:id="223"/>
      <w:r>
        <w:t>,</w:t>
      </w:r>
      <w:r w:rsidRPr="00F7332E">
        <w:t xml:space="preserve"> and promote training.</w:t>
      </w:r>
      <w:r w:rsidRPr="00F7332E">
        <w:rPr>
          <w:vertAlign w:val="superscript"/>
        </w:rPr>
        <w:footnoteReference w:id="196"/>
      </w:r>
      <w:bookmarkStart w:id="224" w:name="_Hlk107231431"/>
    </w:p>
    <w:p w14:paraId="07E18FA6" w14:textId="77777777" w:rsidR="001A500E" w:rsidRPr="0060155B" w:rsidRDefault="001A500E" w:rsidP="00574469">
      <w:pPr>
        <w:pStyle w:val="BodyText"/>
      </w:pPr>
      <w:r w:rsidRPr="00F7332E">
        <w:t xml:space="preserve">Ministries, assisted by </w:t>
      </w:r>
      <w:proofErr w:type="spellStart"/>
      <w:r w:rsidRPr="00F7332E">
        <w:t>INDOCAL</w:t>
      </w:r>
      <w:proofErr w:type="spellEnd"/>
      <w:r w:rsidRPr="00F7332E">
        <w:t xml:space="preserve"> and (where necessary) Pro </w:t>
      </w:r>
      <w:proofErr w:type="spellStart"/>
      <w:r w:rsidRPr="00F7332E">
        <w:t>Consumidor</w:t>
      </w:r>
      <w:proofErr w:type="spellEnd"/>
      <w:r w:rsidRPr="00F7332E">
        <w:t>, have responsibility for drafting the technical regulations for the areas within their purview</w:t>
      </w:r>
      <w:bookmarkEnd w:id="224"/>
      <w:r w:rsidRPr="0060155B">
        <w:t>.</w:t>
      </w:r>
      <w:r w:rsidRPr="0060155B">
        <w:rPr>
          <w:vertAlign w:val="superscript"/>
        </w:rPr>
        <w:footnoteReference w:id="197"/>
      </w:r>
      <w:r w:rsidRPr="0060155B">
        <w:t xml:space="preserve"> A</w:t>
      </w:r>
      <w:r w:rsidRPr="00F7332E">
        <w:t xml:space="preserve">s the authority with responsibility for metrology, </w:t>
      </w:r>
      <w:proofErr w:type="spellStart"/>
      <w:r w:rsidRPr="00F7332E">
        <w:t>INDOCAL</w:t>
      </w:r>
      <w:proofErr w:type="spellEnd"/>
      <w:r w:rsidRPr="00F7332E">
        <w:t xml:space="preserve"> is the only body that can draft technical regulations in that particular field</w:t>
      </w:r>
      <w:r w:rsidRPr="0060155B">
        <w:t>. T</w:t>
      </w:r>
      <w:r w:rsidRPr="00F7332E">
        <w:t xml:space="preserve">echnical regulations ensure national </w:t>
      </w:r>
      <w:r>
        <w:t>security</w:t>
      </w:r>
      <w:r w:rsidRPr="0060155B">
        <w:t>; p</w:t>
      </w:r>
      <w:r w:rsidRPr="00F7332E">
        <w:t>rotect human life, health and safety, animal life and health,</w:t>
      </w:r>
      <w:r>
        <w:t xml:space="preserve"> and</w:t>
      </w:r>
      <w:r w:rsidRPr="00F7332E">
        <w:t xml:space="preserve"> the environment</w:t>
      </w:r>
      <w:r w:rsidRPr="0060155B">
        <w:t>; a</w:t>
      </w:r>
      <w:r w:rsidRPr="00F7332E">
        <w:t xml:space="preserve">nd prevent misleading </w:t>
      </w:r>
      <w:r>
        <w:t>business practices</w:t>
      </w:r>
      <w:r w:rsidRPr="00F7332E">
        <w:t xml:space="preserve"> that </w:t>
      </w:r>
      <w:r>
        <w:t>are</w:t>
      </w:r>
      <w:r w:rsidRPr="00F7332E">
        <w:t xml:space="preserve"> harmful to consumers.</w:t>
      </w:r>
      <w:r w:rsidRPr="00F7332E">
        <w:rPr>
          <w:vertAlign w:val="superscript"/>
        </w:rPr>
        <w:footnoteReference w:id="198"/>
      </w:r>
    </w:p>
    <w:p w14:paraId="73509790" w14:textId="77777777" w:rsidR="001A500E" w:rsidRPr="00F7332E" w:rsidRDefault="001A500E" w:rsidP="00574469">
      <w:pPr>
        <w:pStyle w:val="BodyText"/>
      </w:pPr>
      <w:r w:rsidRPr="00F7332E">
        <w:t>In 2021 the Dominican Republic adopted the Handbook of Good Technical Regulation Practices (</w:t>
      </w:r>
      <w:proofErr w:type="spellStart"/>
      <w:r w:rsidRPr="00F7332E">
        <w:t>GBPRT</w:t>
      </w:r>
      <w:proofErr w:type="spellEnd"/>
      <w:r w:rsidRPr="00F7332E">
        <w:t>) based, as the name indicates, on the WTO TBT Code of Good Practice</w:t>
      </w:r>
      <w:r w:rsidRPr="0060155B">
        <w:t>.</w:t>
      </w:r>
      <w:r w:rsidRPr="0060155B">
        <w:rPr>
          <w:vertAlign w:val="superscript"/>
        </w:rPr>
        <w:footnoteReference w:id="199"/>
      </w:r>
      <w:r w:rsidRPr="0060155B">
        <w:t xml:space="preserve"> T</w:t>
      </w:r>
      <w:r w:rsidRPr="00F7332E">
        <w:t>he Handbook sets out the steps involved in drafting a technical regulation (Chart 3.5)</w:t>
      </w:r>
      <w:r w:rsidRPr="0060155B">
        <w:t xml:space="preserve">. </w:t>
      </w:r>
      <w:proofErr w:type="spellStart"/>
      <w:r w:rsidRPr="0060155B">
        <w:t>I</w:t>
      </w:r>
      <w:r w:rsidRPr="00F7332E">
        <w:t>NDOCAL</w:t>
      </w:r>
      <w:proofErr w:type="spellEnd"/>
      <w:r w:rsidRPr="00F7332E">
        <w:t xml:space="preserve"> assists ministries as part of the drafting process</w:t>
      </w:r>
      <w:r>
        <w:t>,</w:t>
      </w:r>
      <w:r w:rsidRPr="00F7332E">
        <w:t xml:space="preserve"> providing them with the scientific and technical information that must be taken into account when drafting technical regulations and noting the points where the regulation must be based, whether wholly or in part, on Dominican standards (</w:t>
      </w:r>
      <w:proofErr w:type="spellStart"/>
      <w:r w:rsidRPr="00F7332E">
        <w:t>NORDOM</w:t>
      </w:r>
      <w:proofErr w:type="spellEnd"/>
      <w:r w:rsidRPr="00F7332E">
        <w:t xml:space="preserve">), or on </w:t>
      </w:r>
      <w:r w:rsidRPr="00F7332E">
        <w:rPr>
          <w:color w:val="000000"/>
        </w:rPr>
        <w:t>regional or international standards</w:t>
      </w:r>
      <w:r w:rsidRPr="0060155B">
        <w:t>.</w:t>
      </w:r>
      <w:r w:rsidRPr="0060155B">
        <w:rPr>
          <w:vertAlign w:val="superscript"/>
        </w:rPr>
        <w:footnoteReference w:id="200"/>
      </w:r>
      <w:r w:rsidRPr="0060155B">
        <w:t xml:space="preserve"> T</w:t>
      </w:r>
      <w:r w:rsidRPr="00F7332E">
        <w:t>he draft is assessed by the Technical Committee on Technical Regulations (</w:t>
      </w:r>
      <w:proofErr w:type="spellStart"/>
      <w:r w:rsidRPr="00F7332E">
        <w:t>CTRT</w:t>
      </w:r>
      <w:proofErr w:type="spellEnd"/>
      <w:r w:rsidRPr="00F7332E">
        <w:t xml:space="preserve">) established under the Ministry, in which </w:t>
      </w:r>
      <w:proofErr w:type="spellStart"/>
      <w:r w:rsidRPr="00F7332E">
        <w:t>INDOCAL</w:t>
      </w:r>
      <w:proofErr w:type="spellEnd"/>
      <w:r w:rsidRPr="00F7332E">
        <w:t xml:space="preserve"> and Pro </w:t>
      </w:r>
      <w:proofErr w:type="spellStart"/>
      <w:r w:rsidRPr="00F7332E">
        <w:t>Consumidor</w:t>
      </w:r>
      <w:proofErr w:type="spellEnd"/>
      <w:r w:rsidRPr="00F7332E">
        <w:t xml:space="preserve"> </w:t>
      </w:r>
      <w:r>
        <w:t>are represented</w:t>
      </w:r>
      <w:r w:rsidRPr="0060155B">
        <w:t>. T</w:t>
      </w:r>
      <w:r w:rsidRPr="00F7332E">
        <w:t xml:space="preserve">he </w:t>
      </w:r>
      <w:r>
        <w:t>draft</w:t>
      </w:r>
      <w:r w:rsidRPr="00F7332E">
        <w:t xml:space="preserve"> is assessed using a regulatory impact analysis (</w:t>
      </w:r>
      <w:r>
        <w:t>RIA</w:t>
      </w:r>
      <w:r w:rsidRPr="00F7332E">
        <w:t>) (Section 2.2)</w:t>
      </w:r>
      <w:r w:rsidRPr="0060155B">
        <w:t>. O</w:t>
      </w:r>
      <w:r w:rsidRPr="00F7332E">
        <w:t xml:space="preserve">ne of the steps is an international public consultation, conducted by </w:t>
      </w:r>
      <w:proofErr w:type="spellStart"/>
      <w:r w:rsidRPr="00F7332E">
        <w:t>INDOCAL</w:t>
      </w:r>
      <w:proofErr w:type="spellEnd"/>
      <w:r w:rsidRPr="00F7332E">
        <w:t xml:space="preserve"> (the national authority for TBT notifications to the WTO) and the Directorate of Trade Integration (</w:t>
      </w:r>
      <w:proofErr w:type="spellStart"/>
      <w:r w:rsidRPr="00F7332E">
        <w:t>DIC</w:t>
      </w:r>
      <w:proofErr w:type="spellEnd"/>
      <w:r w:rsidRPr="00F7332E">
        <w:t xml:space="preserve">) </w:t>
      </w:r>
      <w:r>
        <w:t>of</w:t>
      </w:r>
      <w:r w:rsidRPr="00F7332E">
        <w:t xml:space="preserve"> the Vice</w:t>
      </w:r>
      <w:r>
        <w:noBreakHyphen/>
      </w:r>
      <w:r w:rsidRPr="00F7332E">
        <w:t>Ministry of Foreign Trade</w:t>
      </w:r>
      <w:r>
        <w:t>, within the</w:t>
      </w:r>
      <w:r w:rsidRPr="00F7332E">
        <w:t xml:space="preserve"> </w:t>
      </w:r>
      <w:proofErr w:type="spellStart"/>
      <w:r w:rsidRPr="00F7332E">
        <w:t>MICM</w:t>
      </w:r>
      <w:proofErr w:type="spellEnd"/>
      <w:r w:rsidRPr="00F7332E">
        <w:t xml:space="preserve"> (the WTO enquiry point)</w:t>
      </w:r>
      <w:r w:rsidRPr="0060155B">
        <w:t>.</w:t>
      </w:r>
      <w:r w:rsidRPr="0060155B">
        <w:rPr>
          <w:vertAlign w:val="superscript"/>
        </w:rPr>
        <w:footnoteReference w:id="201"/>
      </w:r>
      <w:r w:rsidRPr="0060155B">
        <w:t xml:space="preserve"> T</w:t>
      </w:r>
      <w:r w:rsidRPr="00F7332E">
        <w:t>echnical regulations must comply with all steps in the procedure, except where emergency technical regulations are concerned</w:t>
      </w:r>
      <w:r w:rsidRPr="0060155B">
        <w:t>: e</w:t>
      </w:r>
      <w:r w:rsidRPr="00F7332E">
        <w:t>mergency technical regulations are not subject to international public consultation and may be issued only where a product presents risks to health or national security</w:t>
      </w:r>
      <w:r w:rsidRPr="0060155B">
        <w:t>. T</w:t>
      </w:r>
      <w:r w:rsidRPr="00F7332E">
        <w:t>hey must nonetheless be notified to the WTO as soon as they are implemented.</w:t>
      </w:r>
      <w:r w:rsidRPr="00F7332E">
        <w:rPr>
          <w:vertAlign w:val="superscript"/>
        </w:rPr>
        <w:footnoteReference w:id="202"/>
      </w:r>
    </w:p>
    <w:p w14:paraId="75D35B5B" w14:textId="77777777" w:rsidR="001A500E" w:rsidRPr="0060155B" w:rsidRDefault="001A500E" w:rsidP="006F0E66">
      <w:pPr>
        <w:pStyle w:val="Caption"/>
        <w:rPr>
          <w:b w:val="0"/>
          <w:bCs w:val="0"/>
        </w:rPr>
      </w:pPr>
      <w:bookmarkStart w:id="225" w:name="_Toc114735802"/>
      <w:bookmarkStart w:id="226" w:name="_Toc117238020"/>
      <w:r>
        <w:lastRenderedPageBreak/>
        <w:t xml:space="preserve">Chart </w:t>
      </w:r>
      <w:r w:rsidR="00BD37F2">
        <w:fldChar w:fldCharType="begin"/>
      </w:r>
      <w:r w:rsidR="00BD37F2">
        <w:instrText xml:space="preserve"> STYLEREF 1 \s </w:instrText>
      </w:r>
      <w:r w:rsidR="00BD37F2">
        <w:fldChar w:fldCharType="separate"/>
      </w:r>
      <w:r>
        <w:rPr>
          <w:noProof/>
        </w:rPr>
        <w:t>3</w:t>
      </w:r>
      <w:r w:rsidR="00BD37F2">
        <w:rPr>
          <w:noProof/>
        </w:rPr>
        <w:fldChar w:fldCharType="end"/>
      </w:r>
      <w:r>
        <w:t>.</w:t>
      </w:r>
      <w:r w:rsidR="00BD37F2">
        <w:fldChar w:fldCharType="begin"/>
      </w:r>
      <w:r w:rsidR="00BD37F2">
        <w:instrText xml:space="preserve"> SEQ Chart \* ARABIC \s 1 </w:instrText>
      </w:r>
      <w:r w:rsidR="00BD37F2">
        <w:fldChar w:fldCharType="separate"/>
      </w:r>
      <w:r>
        <w:rPr>
          <w:noProof/>
        </w:rPr>
        <w:t>5</w:t>
      </w:r>
      <w:r w:rsidR="00BD37F2">
        <w:rPr>
          <w:noProof/>
        </w:rPr>
        <w:fldChar w:fldCharType="end"/>
      </w:r>
      <w:r>
        <w:t xml:space="preserve"> </w:t>
      </w:r>
      <w:r w:rsidRPr="00F7332E">
        <w:t>Drafting procedure for a technical regulation</w:t>
      </w:r>
      <w:bookmarkEnd w:id="225"/>
      <w:bookmarkEnd w:id="226"/>
    </w:p>
    <w:p w14:paraId="4864AF90" w14:textId="77777777" w:rsidR="001A500E" w:rsidRDefault="001A500E" w:rsidP="00A26561">
      <w:r w:rsidRPr="00A26561">
        <w:rPr>
          <w:noProof/>
        </w:rPr>
        <w:drawing>
          <wp:inline distT="0" distB="0" distL="0" distR="0" wp14:anchorId="35E0B11B" wp14:editId="07F72D1B">
            <wp:extent cx="5731510" cy="2313305"/>
            <wp:effectExtent l="0" t="0" r="2540" b="0"/>
            <wp:docPr id="290" name="Picture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5731510" cy="2313305"/>
                    </a:xfrm>
                    <a:prstGeom prst="rect">
                      <a:avLst/>
                    </a:prstGeom>
                    <a:noFill/>
                    <a:ln>
                      <a:noFill/>
                    </a:ln>
                  </pic:spPr>
                </pic:pic>
              </a:graphicData>
            </a:graphic>
          </wp:inline>
        </w:drawing>
      </w:r>
    </w:p>
    <w:p w14:paraId="59B00ABE" w14:textId="77777777" w:rsidR="001A500E" w:rsidRPr="00893857" w:rsidRDefault="001A500E" w:rsidP="00893857">
      <w:pPr>
        <w:pStyle w:val="NoteText"/>
        <w:spacing w:before="120" w:after="240"/>
      </w:pPr>
      <w:r w:rsidRPr="00893857">
        <w:t>Source:</w:t>
      </w:r>
      <w:r w:rsidRPr="00893857">
        <w:tab/>
        <w:t xml:space="preserve">WTO Secretariat, based on the </w:t>
      </w:r>
      <w:proofErr w:type="spellStart"/>
      <w:r w:rsidRPr="00893857">
        <w:t>GBPRT</w:t>
      </w:r>
      <w:proofErr w:type="spellEnd"/>
      <w:r w:rsidRPr="00893857">
        <w:t>.</w:t>
      </w:r>
    </w:p>
    <w:p w14:paraId="5198F649" w14:textId="77777777" w:rsidR="001A500E" w:rsidRPr="0060155B" w:rsidRDefault="001A500E" w:rsidP="00574469">
      <w:pPr>
        <w:pStyle w:val="BodyText"/>
      </w:pPr>
      <w:r w:rsidRPr="00F7332E">
        <w:t xml:space="preserve">Once approved by the </w:t>
      </w:r>
      <w:proofErr w:type="spellStart"/>
      <w:r w:rsidRPr="00F7332E">
        <w:t>CTRT</w:t>
      </w:r>
      <w:proofErr w:type="spellEnd"/>
      <w:r w:rsidRPr="00F7332E">
        <w:t>, the Ministry issues a resolution to make the draft an official technical regulation (RT)</w:t>
      </w:r>
      <w:r w:rsidRPr="0060155B">
        <w:t>. T</w:t>
      </w:r>
      <w:r w:rsidRPr="00F7332E">
        <w:t xml:space="preserve">he Ministry may present the RT to </w:t>
      </w:r>
      <w:proofErr w:type="spellStart"/>
      <w:r w:rsidRPr="00F7332E">
        <w:rPr>
          <w:szCs w:val="18"/>
        </w:rPr>
        <w:t>CODOCA's</w:t>
      </w:r>
      <w:proofErr w:type="spellEnd"/>
      <w:r w:rsidRPr="00F7332E">
        <w:rPr>
          <w:szCs w:val="18"/>
        </w:rPr>
        <w:t xml:space="preserve"> Technical Commission of Experts (CTE) </w:t>
      </w:r>
      <w:r w:rsidRPr="00F7332E">
        <w:t xml:space="preserve">for it to confirm that the RT was drafted in conformity with the </w:t>
      </w:r>
      <w:proofErr w:type="spellStart"/>
      <w:r w:rsidRPr="00F7332E">
        <w:t>GBPRT</w:t>
      </w:r>
      <w:proofErr w:type="spellEnd"/>
      <w:r w:rsidRPr="0060155B">
        <w:t>. F</w:t>
      </w:r>
      <w:r w:rsidRPr="00F7332E">
        <w:t>ollowing confirmation, the RT becomes a Dominican Technical Regulation (</w:t>
      </w:r>
      <w:proofErr w:type="spellStart"/>
      <w:r w:rsidRPr="00F7332E">
        <w:t>RTD</w:t>
      </w:r>
      <w:proofErr w:type="spellEnd"/>
      <w:r w:rsidRPr="00F7332E">
        <w:t xml:space="preserve">) and is published in a </w:t>
      </w:r>
      <w:proofErr w:type="spellStart"/>
      <w:r w:rsidRPr="00F7332E">
        <w:t>CODOCA</w:t>
      </w:r>
      <w:proofErr w:type="spellEnd"/>
      <w:r w:rsidRPr="00F7332E">
        <w:t xml:space="preserve"> resolution</w:t>
      </w:r>
      <w:r w:rsidRPr="0060155B">
        <w:t>.</w:t>
      </w:r>
      <w:r w:rsidRPr="0060155B">
        <w:rPr>
          <w:vertAlign w:val="superscript"/>
        </w:rPr>
        <w:footnoteReference w:id="203"/>
      </w:r>
      <w:r w:rsidRPr="0060155B">
        <w:t xml:space="preserve"> C</w:t>
      </w:r>
      <w:r w:rsidRPr="00F7332E">
        <w:t>urrently there is no digital catalogue of technical regulations</w:t>
      </w:r>
      <w:r w:rsidRPr="0060155B">
        <w:t>; a</w:t>
      </w:r>
      <w:r w:rsidRPr="00F7332E">
        <w:t xml:space="preserve">ccording to the authorities, </w:t>
      </w:r>
      <w:r>
        <w:t>metrological technical regulations (</w:t>
      </w:r>
      <w:r w:rsidRPr="00F7332E">
        <w:t>RTMs</w:t>
      </w:r>
      <w:r>
        <w:t>)</w:t>
      </w:r>
      <w:r w:rsidRPr="00F7332E">
        <w:t xml:space="preserve"> and </w:t>
      </w:r>
      <w:proofErr w:type="spellStart"/>
      <w:r w:rsidRPr="00F7332E">
        <w:t>RTDs</w:t>
      </w:r>
      <w:proofErr w:type="spellEnd"/>
      <w:r w:rsidRPr="00F7332E">
        <w:t xml:space="preserve"> can be viewed on the </w:t>
      </w:r>
      <w:proofErr w:type="spellStart"/>
      <w:r w:rsidRPr="00F7332E">
        <w:t>INDOCAL</w:t>
      </w:r>
      <w:proofErr w:type="spellEnd"/>
      <w:r w:rsidRPr="00F7332E">
        <w:t xml:space="preserve"> and </w:t>
      </w:r>
      <w:proofErr w:type="spellStart"/>
      <w:r w:rsidRPr="00F7332E">
        <w:t>CODOCA</w:t>
      </w:r>
      <w:proofErr w:type="spellEnd"/>
      <w:r w:rsidRPr="00F7332E">
        <w:t xml:space="preserve"> websites respectively.</w:t>
      </w:r>
    </w:p>
    <w:p w14:paraId="742D317F" w14:textId="77777777" w:rsidR="001A500E" w:rsidRPr="0060155B" w:rsidRDefault="001A500E" w:rsidP="00574469">
      <w:pPr>
        <w:pStyle w:val="BodyText"/>
      </w:pPr>
      <w:r w:rsidRPr="00F7332E">
        <w:t>Technical regulations (RT/</w:t>
      </w:r>
      <w:proofErr w:type="spellStart"/>
      <w:r w:rsidRPr="00F7332E">
        <w:t>RTD</w:t>
      </w:r>
      <w:proofErr w:type="spellEnd"/>
      <w:r w:rsidRPr="00F7332E">
        <w:t xml:space="preserve">/RTM) must be reviewed </w:t>
      </w:r>
      <w:r w:rsidRPr="00F7332E">
        <w:rPr>
          <w:color w:val="000000"/>
        </w:rPr>
        <w:t xml:space="preserve">every five years or, because </w:t>
      </w:r>
      <w:r w:rsidRPr="00F7332E">
        <w:t>of the demands of technological or scientific developments,</w:t>
      </w:r>
      <w:r w:rsidRPr="00F7332E">
        <w:rPr>
          <w:color w:val="000000"/>
        </w:rPr>
        <w:t xml:space="preserve"> following a request to that end</w:t>
      </w:r>
      <w:r w:rsidRPr="0060155B">
        <w:t>. N</w:t>
      </w:r>
      <w:r w:rsidRPr="00F7332E">
        <w:t>onetheless, the authorities indicated that the bulk of RTs has been subject to this process and that during the review period (2015</w:t>
      </w:r>
      <w:r>
        <w:noBreakHyphen/>
      </w:r>
      <w:r w:rsidRPr="00F7332E">
        <w:t>22) only RTMs were reviewed.</w:t>
      </w:r>
    </w:p>
    <w:p w14:paraId="04D0D352" w14:textId="77777777" w:rsidR="001A500E" w:rsidRPr="00F7332E" w:rsidRDefault="001A500E" w:rsidP="00574469">
      <w:pPr>
        <w:pStyle w:val="BodyText"/>
      </w:pPr>
      <w:r w:rsidRPr="00F7332E">
        <w:t>Between 2015 and 2022 (August)</w:t>
      </w:r>
      <w:r>
        <w:t>,</w:t>
      </w:r>
      <w:r w:rsidRPr="00F7332E">
        <w:t xml:space="preserve"> the Dominican Republic notified 12 new technical regulations to the WTO and the revision</w:t>
      </w:r>
      <w:r>
        <w:t xml:space="preserve"> of or addenda to</w:t>
      </w:r>
      <w:r w:rsidRPr="00F7332E">
        <w:t xml:space="preserve"> </w:t>
      </w:r>
      <w:r>
        <w:t>four</w:t>
      </w:r>
      <w:r w:rsidRPr="00F7332E">
        <w:t xml:space="preserve"> previously notified technical regulations</w:t>
      </w:r>
      <w:r w:rsidRPr="0060155B">
        <w:t>. T</w:t>
      </w:r>
      <w:r w:rsidRPr="00F7332E">
        <w:t>he 12 technical regulations notified relate to products such as alcohol, tobacco, LPG, tyres</w:t>
      </w:r>
      <w:r>
        <w:t>,</w:t>
      </w:r>
      <w:r w:rsidRPr="00F7332E">
        <w:t xml:space="preserve"> and metrological and measuring </w:t>
      </w:r>
      <w:r>
        <w:t>instruments</w:t>
      </w:r>
      <w:r w:rsidRPr="0060155B">
        <w:t>. T</w:t>
      </w:r>
      <w:r w:rsidRPr="00F7332E">
        <w:t>wo specific trade concerns were raised at the WTO TBT Committee about Dominican technical regulations</w:t>
      </w:r>
      <w:r w:rsidRPr="0060155B">
        <w:t>; t</w:t>
      </w:r>
      <w:r w:rsidRPr="00F7332E">
        <w:t>hey related to cosmetic and hygiene products and steel rebar</w:t>
      </w:r>
      <w:r w:rsidRPr="0060155B">
        <w:t>. S</w:t>
      </w:r>
      <w:r w:rsidRPr="00F7332E">
        <w:t>ince 2015</w:t>
      </w:r>
      <w:r>
        <w:t>,</w:t>
      </w:r>
      <w:r w:rsidRPr="00F7332E">
        <w:t xml:space="preserve"> only one emergency technical regulation has been notified, relating to alcohol and tobacco.</w:t>
      </w:r>
      <w:r w:rsidRPr="00F7332E">
        <w:rPr>
          <w:vertAlign w:val="superscript"/>
        </w:rPr>
        <w:footnoteReference w:id="204"/>
      </w:r>
    </w:p>
    <w:p w14:paraId="5A479FC5" w14:textId="77777777" w:rsidR="001A500E" w:rsidRPr="0060155B" w:rsidRDefault="001A500E" w:rsidP="00574469">
      <w:pPr>
        <w:pStyle w:val="BodyText"/>
      </w:pPr>
      <w:r w:rsidRPr="00F7332E">
        <w:t>Locally manufactured and imported products must comply with the technical regulations (RT/</w:t>
      </w:r>
      <w:proofErr w:type="spellStart"/>
      <w:r w:rsidRPr="00F7332E">
        <w:t>RTD</w:t>
      </w:r>
      <w:proofErr w:type="spellEnd"/>
      <w:r w:rsidRPr="00F7332E">
        <w:t>/RTM) in force in the Dominican Republic</w:t>
      </w:r>
      <w:r w:rsidRPr="0060155B">
        <w:t>.</w:t>
      </w:r>
      <w:r w:rsidRPr="0060155B">
        <w:rPr>
          <w:vertAlign w:val="superscript"/>
        </w:rPr>
        <w:footnoteReference w:id="205"/>
      </w:r>
      <w:r w:rsidRPr="0060155B">
        <w:t xml:space="preserve"> C</w:t>
      </w:r>
      <w:r w:rsidRPr="00F7332E">
        <w:t>onformity assessment is performed by ODAC</w:t>
      </w:r>
      <w:r>
        <w:noBreakHyphen/>
      </w:r>
      <w:r w:rsidRPr="00F7332E">
        <w:t>accredited conformity assessment bodies (CABs)</w:t>
      </w:r>
      <w:r w:rsidRPr="0060155B">
        <w:t>. T</w:t>
      </w:r>
      <w:r>
        <w:t>he bodies</w:t>
      </w:r>
      <w:r w:rsidRPr="00F7332E">
        <w:t xml:space="preserve"> may be either Dominican or foreign, provided in the latter case that the Dominican Republic has entered into multilateral recognition arrangements with the </w:t>
      </w:r>
      <w:r>
        <w:t>CAB</w:t>
      </w:r>
      <w:r w:rsidRPr="00F7332E">
        <w:t>'s country of origin</w:t>
      </w:r>
      <w:r w:rsidRPr="0060155B">
        <w:t>.</w:t>
      </w:r>
      <w:r w:rsidRPr="0060155B">
        <w:rPr>
          <w:vertAlign w:val="superscript"/>
        </w:rPr>
        <w:footnoteReference w:id="206"/>
      </w:r>
      <w:r w:rsidRPr="0060155B">
        <w:t xml:space="preserve"> T</w:t>
      </w:r>
      <w:r w:rsidRPr="00F7332E">
        <w:t>he authorities stated that in 2022 there were seven accredited Dominican bodies</w:t>
      </w:r>
      <w:r w:rsidRPr="0060155B">
        <w:t>. O</w:t>
      </w:r>
      <w:r w:rsidRPr="00F7332E">
        <w:t>DAC awards foreign CABs a "proof of accreditation" to allow them to operate</w:t>
      </w:r>
      <w:r w:rsidRPr="0060155B">
        <w:t>. D</w:t>
      </w:r>
      <w:r w:rsidRPr="00F7332E">
        <w:t>uring the review period no accreditations were annulled or suspended</w:t>
      </w:r>
      <w:r w:rsidRPr="0060155B">
        <w:t>.</w:t>
      </w:r>
      <w:r w:rsidRPr="0060155B">
        <w:rPr>
          <w:vertAlign w:val="superscript"/>
        </w:rPr>
        <w:footnoteReference w:id="207"/>
      </w:r>
      <w:r w:rsidRPr="0060155B">
        <w:t xml:space="preserve"> I</w:t>
      </w:r>
      <w:r w:rsidRPr="00F7332E">
        <w:t>n the Dominican Republic</w:t>
      </w:r>
      <w:r>
        <w:t>,</w:t>
      </w:r>
      <w:r w:rsidRPr="00F7332E">
        <w:t xml:space="preserve"> manufacturers may not assess the conformity of their own products</w:t>
      </w:r>
      <w:r w:rsidRPr="0060155B">
        <w:t xml:space="preserve">. </w:t>
      </w:r>
      <w:r w:rsidRPr="0060155B">
        <w:lastRenderedPageBreak/>
        <w:t>H</w:t>
      </w:r>
      <w:r>
        <w:t>owever, c</w:t>
      </w:r>
      <w:r w:rsidRPr="00F7332E">
        <w:t>onsumers are able to assess the conformity of the products they use through Pro </w:t>
      </w:r>
      <w:proofErr w:type="spellStart"/>
      <w:r w:rsidRPr="00F7332E">
        <w:t>Consumidor</w:t>
      </w:r>
      <w:proofErr w:type="spellEnd"/>
      <w:r w:rsidRPr="00F7332E">
        <w:t>, which was accredited by ODAC in 2019 as an inspection body.</w:t>
      </w:r>
      <w:r w:rsidRPr="00F7332E">
        <w:rPr>
          <w:vertAlign w:val="superscript"/>
        </w:rPr>
        <w:footnoteReference w:id="208"/>
      </w:r>
    </w:p>
    <w:p w14:paraId="08C91E23" w14:textId="77777777" w:rsidR="001A500E" w:rsidRPr="00F7332E" w:rsidRDefault="001A500E" w:rsidP="00574469">
      <w:pPr>
        <w:pStyle w:val="BodyText"/>
      </w:pPr>
      <w:r w:rsidRPr="00F7332E">
        <w:t xml:space="preserve">Where imports are concerned, it must be established at the border that the imported product complies with the requirements of the relevant </w:t>
      </w:r>
      <w:proofErr w:type="spellStart"/>
      <w:r w:rsidRPr="00F7332E">
        <w:t>RTD</w:t>
      </w:r>
      <w:proofErr w:type="spellEnd"/>
      <w:r w:rsidRPr="00F7332E">
        <w:t>/RTM</w:t>
      </w:r>
      <w:r w:rsidRPr="0060155B">
        <w:t>; a</w:t>
      </w:r>
      <w:r w:rsidRPr="00F7332E">
        <w:t>ccordingly it is recommended that conformity assessment should be performed prior to a good's arrival at its destination in order to expedite customs clearance</w:t>
      </w:r>
      <w:r w:rsidRPr="0060155B">
        <w:t>. T</w:t>
      </w:r>
      <w:r w:rsidRPr="00F7332E">
        <w:t>he Dominican Republic accepts conformity assessments conducted by foreign bodies that hold "proof of accreditation" issued by ODAC</w:t>
      </w:r>
      <w:r w:rsidRPr="0060155B">
        <w:t>.</w:t>
      </w:r>
      <w:r w:rsidRPr="0060155B">
        <w:rPr>
          <w:vertAlign w:val="superscript"/>
        </w:rPr>
        <w:footnoteReference w:id="209"/>
      </w:r>
      <w:r w:rsidRPr="0060155B">
        <w:t xml:space="preserve"> E</w:t>
      </w:r>
      <w:r w:rsidRPr="00F7332E">
        <w:t>qually, importers are able to conduct conformity assessments in accredited laboratories in the Dominican Republic</w:t>
      </w:r>
      <w:r w:rsidRPr="0060155B">
        <w:t>. F</w:t>
      </w:r>
      <w:r w:rsidRPr="00F7332E">
        <w:t xml:space="preserve">or example, in order to import measuring </w:t>
      </w:r>
      <w:r>
        <w:t>instruments</w:t>
      </w:r>
      <w:r w:rsidRPr="00F7332E">
        <w:t xml:space="preserve">, </w:t>
      </w:r>
      <w:proofErr w:type="spellStart"/>
      <w:r w:rsidRPr="00F7332E">
        <w:t>INDOCAL</w:t>
      </w:r>
      <w:proofErr w:type="spellEnd"/>
      <w:r w:rsidRPr="00F7332E">
        <w:t xml:space="preserve"> may, after examination of a sample, issue a </w:t>
      </w:r>
      <w:r w:rsidRPr="00F7332E">
        <w:rPr>
          <w:szCs w:val="18"/>
        </w:rPr>
        <w:t>"type approval certificate" in advance</w:t>
      </w:r>
      <w:r w:rsidRPr="0060155B">
        <w:rPr>
          <w:szCs w:val="18"/>
        </w:rPr>
        <w:t>. I</w:t>
      </w:r>
      <w:r w:rsidRPr="00F7332E">
        <w:rPr>
          <w:szCs w:val="18"/>
        </w:rPr>
        <w:t xml:space="preserve">f the importer fails to present the certificate upon clearance of the goods, the goods will be held for between 5 and 15 </w:t>
      </w:r>
      <w:r>
        <w:rPr>
          <w:szCs w:val="18"/>
        </w:rPr>
        <w:t xml:space="preserve">business </w:t>
      </w:r>
      <w:r w:rsidRPr="00F7332E">
        <w:rPr>
          <w:szCs w:val="18"/>
        </w:rPr>
        <w:t>days, which is the period deemed necessary for type</w:t>
      </w:r>
      <w:r>
        <w:rPr>
          <w:szCs w:val="18"/>
        </w:rPr>
        <w:noBreakHyphen/>
      </w:r>
      <w:r w:rsidRPr="00F7332E">
        <w:rPr>
          <w:szCs w:val="18"/>
        </w:rPr>
        <w:t>approval purposes.</w:t>
      </w:r>
      <w:r w:rsidRPr="00F7332E">
        <w:rPr>
          <w:szCs w:val="18"/>
          <w:vertAlign w:val="superscript"/>
        </w:rPr>
        <w:footnoteReference w:id="210"/>
      </w:r>
    </w:p>
    <w:p w14:paraId="2695E8D4" w14:textId="77777777" w:rsidR="001A500E" w:rsidRPr="0060155B" w:rsidRDefault="001A500E" w:rsidP="00574469">
      <w:pPr>
        <w:pStyle w:val="BodyText"/>
      </w:pPr>
      <w:r w:rsidRPr="00F7332E">
        <w:t>Original labels must be in Spanish</w:t>
      </w:r>
      <w:r w:rsidRPr="0060155B">
        <w:t>; i</w:t>
      </w:r>
      <w:r w:rsidRPr="00F7332E">
        <w:t>f not, an additional label must be added in Spanish such that it does not cover the original label</w:t>
      </w:r>
      <w:r w:rsidRPr="0060155B">
        <w:t>.</w:t>
      </w:r>
      <w:r w:rsidRPr="0060155B">
        <w:rPr>
          <w:vertAlign w:val="superscript"/>
        </w:rPr>
        <w:footnoteReference w:id="211"/>
      </w:r>
      <w:r w:rsidRPr="0060155B">
        <w:t xml:space="preserve"> S</w:t>
      </w:r>
      <w:r w:rsidRPr="00F7332E">
        <w:t>ince 2021</w:t>
      </w:r>
      <w:r>
        <w:t>,</w:t>
      </w:r>
      <w:r w:rsidRPr="00F7332E">
        <w:t xml:space="preserve"> it has been possible to add the label to the product after importation but before being placed on the market</w:t>
      </w:r>
      <w:r w:rsidRPr="0060155B">
        <w:t>; p</w:t>
      </w:r>
      <w:r w:rsidRPr="00F7332E">
        <w:t>reviously products had to be labelled at origin</w:t>
      </w:r>
      <w:r w:rsidRPr="0060155B">
        <w:t>.</w:t>
      </w:r>
      <w:r w:rsidRPr="0060155B">
        <w:rPr>
          <w:vertAlign w:val="superscript"/>
        </w:rPr>
        <w:footnoteReference w:id="212"/>
      </w:r>
      <w:r w:rsidRPr="0060155B">
        <w:t xml:space="preserve"> I</w:t>
      </w:r>
      <w:r w:rsidRPr="00F7332E">
        <w:t>n accordance with the General Law on Health (Law No. 42</w:t>
      </w:r>
      <w:r>
        <w:noBreakHyphen/>
      </w:r>
      <w:r w:rsidRPr="00F7332E">
        <w:t>01), labels on imports of beer, alcoholic beverages and tobacco must include a disclaimer (Articles 123 and 124).</w:t>
      </w:r>
    </w:p>
    <w:p w14:paraId="6011C4C3" w14:textId="77777777" w:rsidR="001A500E" w:rsidRPr="00F7332E" w:rsidRDefault="001A500E" w:rsidP="00574469">
      <w:pPr>
        <w:pStyle w:val="BodyText"/>
      </w:pPr>
      <w:r>
        <w:rPr>
          <w:color w:val="000000"/>
        </w:rPr>
        <w:t>As</w:t>
      </w:r>
      <w:r w:rsidRPr="00F7332E">
        <w:rPr>
          <w:color w:val="000000"/>
        </w:rPr>
        <w:t xml:space="preserve"> the official body for standardization in the Dominican Republic, </w:t>
      </w:r>
      <w:proofErr w:type="spellStart"/>
      <w:r w:rsidRPr="00F7332E">
        <w:rPr>
          <w:color w:val="000000"/>
        </w:rPr>
        <w:t>INDOCAL</w:t>
      </w:r>
      <w:proofErr w:type="spellEnd"/>
      <w:r w:rsidRPr="00F7332E">
        <w:rPr>
          <w:color w:val="000000"/>
        </w:rPr>
        <w:t xml:space="preserve"> is responsible for drafting </w:t>
      </w:r>
      <w:proofErr w:type="spellStart"/>
      <w:r w:rsidRPr="00F7332E">
        <w:t>NORDOMs</w:t>
      </w:r>
      <w:proofErr w:type="spellEnd"/>
      <w:r w:rsidRPr="00F7332E">
        <w:t xml:space="preserve"> following a procedure similar to that used for technical regulations, but omitting the international consultation phase (Chart 3.6)</w:t>
      </w:r>
      <w:r w:rsidRPr="0060155B">
        <w:t xml:space="preserve">. </w:t>
      </w:r>
      <w:proofErr w:type="spellStart"/>
      <w:r w:rsidRPr="0060155B">
        <w:rPr>
          <w:color w:val="000000"/>
        </w:rPr>
        <w:t>N</w:t>
      </w:r>
      <w:r w:rsidRPr="00F7332E">
        <w:rPr>
          <w:color w:val="000000"/>
        </w:rPr>
        <w:t>ORDOMs</w:t>
      </w:r>
      <w:proofErr w:type="spellEnd"/>
      <w:r w:rsidRPr="00F7332E">
        <w:rPr>
          <w:color w:val="000000"/>
        </w:rPr>
        <w:t xml:space="preserve"> must be based on regional or international standards, </w:t>
      </w:r>
      <w:r>
        <w:rPr>
          <w:color w:val="000000"/>
        </w:rPr>
        <w:t>where they exist</w:t>
      </w:r>
      <w:r w:rsidRPr="0060155B">
        <w:rPr>
          <w:color w:val="000000"/>
        </w:rPr>
        <w:t>.</w:t>
      </w:r>
      <w:r w:rsidRPr="0060155B">
        <w:rPr>
          <w:color w:val="000000"/>
          <w:vertAlign w:val="superscript"/>
        </w:rPr>
        <w:footnoteReference w:id="213"/>
      </w:r>
      <w:r w:rsidRPr="0060155B">
        <w:rPr>
          <w:color w:val="000000"/>
        </w:rPr>
        <w:t xml:space="preserve"> R</w:t>
      </w:r>
      <w:r w:rsidRPr="00F7332E">
        <w:rPr>
          <w:color w:val="000000"/>
        </w:rPr>
        <w:t>eviews of standards are held every five years but may be conducted earlier if necessary</w:t>
      </w:r>
      <w:r w:rsidRPr="0060155B">
        <w:rPr>
          <w:color w:val="000000"/>
        </w:rPr>
        <w:t>. W</w:t>
      </w:r>
      <w:r w:rsidRPr="00F7332E">
        <w:rPr>
          <w:color w:val="000000"/>
        </w:rPr>
        <w:t xml:space="preserve">hen a </w:t>
      </w:r>
      <w:proofErr w:type="spellStart"/>
      <w:r w:rsidRPr="00F7332E">
        <w:rPr>
          <w:color w:val="000000"/>
        </w:rPr>
        <w:t>NORDOM</w:t>
      </w:r>
      <w:proofErr w:type="spellEnd"/>
      <w:r w:rsidRPr="00F7332E">
        <w:rPr>
          <w:color w:val="000000"/>
        </w:rPr>
        <w:t xml:space="preserve"> is used as the basis for drafting a technical regulation, the </w:t>
      </w:r>
      <w:proofErr w:type="spellStart"/>
      <w:r w:rsidRPr="00F7332E">
        <w:rPr>
          <w:color w:val="000000"/>
        </w:rPr>
        <w:t>NORDOM</w:t>
      </w:r>
      <w:proofErr w:type="spellEnd"/>
      <w:r w:rsidRPr="00F7332E">
        <w:rPr>
          <w:color w:val="000000"/>
        </w:rPr>
        <w:t xml:space="preserve"> is repealed</w:t>
      </w:r>
      <w:r w:rsidRPr="0060155B">
        <w:rPr>
          <w:color w:val="000000"/>
        </w:rPr>
        <w:t>.</w:t>
      </w:r>
      <w:r w:rsidRPr="0060155B">
        <w:rPr>
          <w:vertAlign w:val="superscript"/>
        </w:rPr>
        <w:footnoteReference w:id="214"/>
      </w:r>
      <w:r w:rsidRPr="0060155B">
        <w:rPr>
          <w:color w:val="000000"/>
        </w:rPr>
        <w:t xml:space="preserve"> A</w:t>
      </w:r>
      <w:r w:rsidRPr="00F7332E">
        <w:rPr>
          <w:color w:val="000000"/>
        </w:rPr>
        <w:t xml:space="preserve"> </w:t>
      </w:r>
      <w:proofErr w:type="spellStart"/>
      <w:r w:rsidRPr="00F7332E">
        <w:rPr>
          <w:color w:val="000000"/>
        </w:rPr>
        <w:t>NORDOM</w:t>
      </w:r>
      <w:proofErr w:type="spellEnd"/>
      <w:r w:rsidRPr="00F7332E">
        <w:rPr>
          <w:color w:val="000000"/>
        </w:rPr>
        <w:t xml:space="preserve"> is published as an </w:t>
      </w:r>
      <w:proofErr w:type="spellStart"/>
      <w:r w:rsidRPr="00F7332E">
        <w:rPr>
          <w:color w:val="000000"/>
        </w:rPr>
        <w:t>INDOCAL</w:t>
      </w:r>
      <w:proofErr w:type="spellEnd"/>
      <w:r w:rsidRPr="00F7332E">
        <w:rPr>
          <w:color w:val="000000"/>
        </w:rPr>
        <w:t xml:space="preserve"> resolution</w:t>
      </w:r>
      <w:r w:rsidRPr="0060155B">
        <w:rPr>
          <w:color w:val="000000"/>
        </w:rPr>
        <w:t xml:space="preserve">. </w:t>
      </w:r>
      <w:proofErr w:type="spellStart"/>
      <w:r w:rsidRPr="0060155B">
        <w:t>I</w:t>
      </w:r>
      <w:r w:rsidRPr="00F7332E">
        <w:t>NDOCAL</w:t>
      </w:r>
      <w:proofErr w:type="spellEnd"/>
      <w:r w:rsidRPr="00F7332E">
        <w:t xml:space="preserve"> has a pay</w:t>
      </w:r>
      <w:r>
        <w:noBreakHyphen/>
      </w:r>
      <w:r w:rsidRPr="00F7332E">
        <w:t>for</w:t>
      </w:r>
      <w:r>
        <w:noBreakHyphen/>
      </w:r>
      <w:r w:rsidRPr="00F7332E">
        <w:t>access electronic catalogue of standards.</w:t>
      </w:r>
      <w:r w:rsidRPr="00F7332E">
        <w:rPr>
          <w:vertAlign w:val="superscript"/>
        </w:rPr>
        <w:footnoteReference w:id="215"/>
      </w:r>
    </w:p>
    <w:p w14:paraId="24B64C13" w14:textId="77777777" w:rsidR="001A500E" w:rsidRPr="00F7332E" w:rsidRDefault="001A500E" w:rsidP="006F0E66">
      <w:pPr>
        <w:pStyle w:val="Caption"/>
        <w:rPr>
          <w:b w:val="0"/>
          <w:bCs w:val="0"/>
        </w:rPr>
      </w:pPr>
      <w:bookmarkStart w:id="227" w:name="_Toc114735803"/>
      <w:bookmarkStart w:id="228" w:name="_Toc117238021"/>
      <w:r>
        <w:t xml:space="preserve">Chart </w:t>
      </w:r>
      <w:r w:rsidR="00BD37F2">
        <w:fldChar w:fldCharType="begin"/>
      </w:r>
      <w:r w:rsidR="00BD37F2">
        <w:instrText xml:space="preserve"> STYLEREF 1 \s </w:instrText>
      </w:r>
      <w:r w:rsidR="00BD37F2">
        <w:fldChar w:fldCharType="separate"/>
      </w:r>
      <w:r>
        <w:rPr>
          <w:noProof/>
        </w:rPr>
        <w:t>3</w:t>
      </w:r>
      <w:r w:rsidR="00BD37F2">
        <w:rPr>
          <w:noProof/>
        </w:rPr>
        <w:fldChar w:fldCharType="end"/>
      </w:r>
      <w:r>
        <w:t>.</w:t>
      </w:r>
      <w:r w:rsidR="00BD37F2">
        <w:fldChar w:fldCharType="begin"/>
      </w:r>
      <w:r w:rsidR="00BD37F2">
        <w:instrText xml:space="preserve"> SEQ Chart \* ARABIC \s 1 </w:instrText>
      </w:r>
      <w:r w:rsidR="00BD37F2">
        <w:fldChar w:fldCharType="separate"/>
      </w:r>
      <w:r>
        <w:rPr>
          <w:noProof/>
        </w:rPr>
        <w:t>6</w:t>
      </w:r>
      <w:r w:rsidR="00BD37F2">
        <w:rPr>
          <w:noProof/>
        </w:rPr>
        <w:fldChar w:fldCharType="end"/>
      </w:r>
      <w:r>
        <w:t xml:space="preserve"> </w:t>
      </w:r>
      <w:r w:rsidRPr="00F7332E">
        <w:t>Procedure for drafting Dominican standards</w:t>
      </w:r>
      <w:bookmarkEnd w:id="227"/>
      <w:bookmarkEnd w:id="228"/>
    </w:p>
    <w:p w14:paraId="00914993" w14:textId="77777777" w:rsidR="001A500E" w:rsidRDefault="001A500E" w:rsidP="005E111F">
      <w:pPr>
        <w:rPr>
          <w:lang w:eastAsia="en-GB"/>
        </w:rPr>
      </w:pPr>
      <w:r w:rsidRPr="005E111F">
        <w:rPr>
          <w:noProof/>
        </w:rPr>
        <w:drawing>
          <wp:inline distT="0" distB="0" distL="0" distR="0" wp14:anchorId="308A258C" wp14:editId="3ECF434D">
            <wp:extent cx="5731510" cy="985520"/>
            <wp:effectExtent l="0" t="0" r="0" b="5080"/>
            <wp:docPr id="289" name="Picture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5731510" cy="985520"/>
                    </a:xfrm>
                    <a:prstGeom prst="rect">
                      <a:avLst/>
                    </a:prstGeom>
                    <a:noFill/>
                    <a:ln>
                      <a:noFill/>
                    </a:ln>
                  </pic:spPr>
                </pic:pic>
              </a:graphicData>
            </a:graphic>
          </wp:inline>
        </w:drawing>
      </w:r>
    </w:p>
    <w:p w14:paraId="60C0499E" w14:textId="77777777" w:rsidR="001A500E" w:rsidRPr="00F7332E" w:rsidRDefault="001A500E" w:rsidP="00893857">
      <w:pPr>
        <w:pStyle w:val="NoteText"/>
        <w:spacing w:before="120" w:after="240"/>
      </w:pPr>
      <w:r w:rsidRPr="00F7332E">
        <w:t>Source:</w:t>
      </w:r>
      <w:r w:rsidRPr="00F7332E">
        <w:tab/>
        <w:t>Information supplied by the authorities.</w:t>
      </w:r>
    </w:p>
    <w:p w14:paraId="4BD51B99" w14:textId="77777777" w:rsidR="001A500E" w:rsidRPr="0060155B" w:rsidRDefault="001A500E" w:rsidP="00574469">
      <w:pPr>
        <w:pStyle w:val="BodyText"/>
      </w:pPr>
      <w:r w:rsidRPr="00F7332E">
        <w:t xml:space="preserve">Use of </w:t>
      </w:r>
      <w:proofErr w:type="spellStart"/>
      <w:r w:rsidRPr="00F7332E">
        <w:t>NORDOMs</w:t>
      </w:r>
      <w:proofErr w:type="spellEnd"/>
      <w:r w:rsidRPr="00F7332E">
        <w:t xml:space="preserve"> is voluntary</w:t>
      </w:r>
      <w:r w:rsidRPr="0060155B">
        <w:t>. H</w:t>
      </w:r>
      <w:r w:rsidRPr="00F7332E">
        <w:t>owever the authorities indicated that in conformity with the Health Law (Law No. 42</w:t>
      </w:r>
      <w:r>
        <w:noBreakHyphen/>
      </w:r>
      <w:r w:rsidRPr="00F7332E">
        <w:t xml:space="preserve">01), use of </w:t>
      </w:r>
      <w:proofErr w:type="spellStart"/>
      <w:r w:rsidRPr="00F7332E">
        <w:t>NORDOMs</w:t>
      </w:r>
      <w:proofErr w:type="spellEnd"/>
      <w:r w:rsidRPr="00F7332E">
        <w:t xml:space="preserve"> for food and beverages is compulsory.</w:t>
      </w:r>
    </w:p>
    <w:p w14:paraId="4990A2C9" w14:textId="77777777" w:rsidR="001A500E" w:rsidRPr="00F7332E" w:rsidRDefault="001A500E" w:rsidP="00574469">
      <w:pPr>
        <w:pStyle w:val="BodyText"/>
      </w:pPr>
      <w:r w:rsidRPr="00F7332E">
        <w:t xml:space="preserve">Locally produced or imported products that comply with the technical regulations or </w:t>
      </w:r>
      <w:proofErr w:type="spellStart"/>
      <w:r w:rsidRPr="00F7332E">
        <w:t>NORDOMs</w:t>
      </w:r>
      <w:proofErr w:type="spellEnd"/>
      <w:r w:rsidRPr="00F7332E">
        <w:t xml:space="preserve"> may be certified by </w:t>
      </w:r>
      <w:proofErr w:type="spellStart"/>
      <w:r w:rsidRPr="00F7332E">
        <w:t>INDOCAL</w:t>
      </w:r>
      <w:proofErr w:type="spellEnd"/>
      <w:r w:rsidRPr="0060155B">
        <w:t>. C</w:t>
      </w:r>
      <w:r w:rsidRPr="00F7332E">
        <w:t>ertification is voluntary, except for products containing specific types of cement and steel bars</w:t>
      </w:r>
      <w:r w:rsidRPr="0060155B">
        <w:t>.</w:t>
      </w:r>
      <w:r w:rsidRPr="0060155B">
        <w:rPr>
          <w:color w:val="000000"/>
          <w:vertAlign w:val="superscript"/>
        </w:rPr>
        <w:footnoteReference w:id="216"/>
      </w:r>
      <w:r w:rsidRPr="0060155B">
        <w:t xml:space="preserve"> C</w:t>
      </w:r>
      <w:r w:rsidRPr="00F7332E">
        <w:t>ertification may be compulsory in other cases by default</w:t>
      </w:r>
      <w:r w:rsidRPr="0060155B">
        <w:t>. F</w:t>
      </w:r>
      <w:r w:rsidRPr="00F7332E">
        <w:t>or example, since 2022</w:t>
      </w:r>
      <w:r>
        <w:t>,</w:t>
      </w:r>
      <w:r w:rsidRPr="00F7332E">
        <w:t xml:space="preserve"> the Tobacco Institute of the Dominican Republic (</w:t>
      </w:r>
      <w:proofErr w:type="spellStart"/>
      <w:r w:rsidRPr="00F7332E">
        <w:t>INTABACO</w:t>
      </w:r>
      <w:proofErr w:type="spellEnd"/>
      <w:r w:rsidRPr="00F7332E">
        <w:t xml:space="preserve">) has allowed </w:t>
      </w:r>
      <w:r w:rsidRPr="00F7332E">
        <w:lastRenderedPageBreak/>
        <w:t>the use of the geographical indication (GI) "</w:t>
      </w:r>
      <w:r w:rsidRPr="004A7783">
        <w:rPr>
          <w:i/>
          <w:iCs/>
        </w:rPr>
        <w:t xml:space="preserve">cigarro </w:t>
      </w:r>
      <w:proofErr w:type="spellStart"/>
      <w:r w:rsidRPr="004A7783">
        <w:rPr>
          <w:i/>
          <w:iCs/>
        </w:rPr>
        <w:t>dominicano</w:t>
      </w:r>
      <w:proofErr w:type="spellEnd"/>
      <w:r w:rsidRPr="00F7332E">
        <w:t xml:space="preserve">" </w:t>
      </w:r>
      <w:r>
        <w:t xml:space="preserve">(Dominican cigar) </w:t>
      </w:r>
      <w:r w:rsidRPr="00F7332E">
        <w:t xml:space="preserve">only when the good manufacturing practice set out in the </w:t>
      </w:r>
      <w:proofErr w:type="spellStart"/>
      <w:r w:rsidRPr="00F7332E">
        <w:t>NORDOM</w:t>
      </w:r>
      <w:proofErr w:type="spellEnd"/>
      <w:r w:rsidRPr="00F7332E">
        <w:t xml:space="preserve"> has been complied with</w:t>
      </w:r>
      <w:r w:rsidRPr="0060155B">
        <w:t>.</w:t>
      </w:r>
      <w:r w:rsidRPr="0060155B">
        <w:rPr>
          <w:color w:val="000000"/>
          <w:vertAlign w:val="superscript"/>
        </w:rPr>
        <w:footnoteReference w:id="217"/>
      </w:r>
      <w:r w:rsidRPr="0060155B">
        <w:t xml:space="preserve"> A</w:t>
      </w:r>
      <w:r w:rsidRPr="00F7332E">
        <w:t xml:space="preserve"> product certified by </w:t>
      </w:r>
      <w:proofErr w:type="spellStart"/>
      <w:r w:rsidRPr="00F7332E">
        <w:t>INDOCAL</w:t>
      </w:r>
      <w:proofErr w:type="spellEnd"/>
      <w:r w:rsidRPr="00F7332E">
        <w:t xml:space="preserve"> may obtain a "quality seal", awarded for three years, subject to regular assessments.</w:t>
      </w:r>
      <w:r w:rsidRPr="00F7332E">
        <w:rPr>
          <w:color w:val="000000"/>
          <w:vertAlign w:val="superscript"/>
        </w:rPr>
        <w:footnoteReference w:id="218"/>
      </w:r>
    </w:p>
    <w:p w14:paraId="4CC1C991" w14:textId="77777777" w:rsidR="001A500E" w:rsidRPr="00F7332E" w:rsidRDefault="001A500E" w:rsidP="00574469">
      <w:pPr>
        <w:pStyle w:val="Heading3"/>
      </w:pPr>
      <w:bookmarkStart w:id="229" w:name="_Toc417038489"/>
      <w:bookmarkStart w:id="230" w:name="_Toc384214167"/>
      <w:bookmarkStart w:id="231" w:name="_Toc114735755"/>
      <w:bookmarkStart w:id="232" w:name="_Toc117260636"/>
      <w:bookmarkEnd w:id="218"/>
      <w:bookmarkEnd w:id="219"/>
      <w:r w:rsidRPr="00F7332E">
        <w:t>Sanitary and phytosanitary measures</w:t>
      </w:r>
      <w:bookmarkEnd w:id="229"/>
      <w:bookmarkEnd w:id="230"/>
      <w:r w:rsidRPr="00F7332E">
        <w:rPr>
          <w:vertAlign w:val="superscript"/>
        </w:rPr>
        <w:footnoteReference w:id="219"/>
      </w:r>
      <w:bookmarkEnd w:id="231"/>
      <w:bookmarkEnd w:id="232"/>
    </w:p>
    <w:p w14:paraId="415EA3A1" w14:textId="77777777" w:rsidR="001A500E" w:rsidRPr="0060155B" w:rsidRDefault="001A500E" w:rsidP="00574469">
      <w:pPr>
        <w:pStyle w:val="BodyText"/>
      </w:pPr>
      <w:r w:rsidRPr="00F7332E">
        <w:t>The regulatory framework for formulating and implementing sanitary and phytosanitary measures has not changed significantly since the previous review in 2015</w:t>
      </w:r>
      <w:r w:rsidRPr="0060155B">
        <w:t>. A</w:t>
      </w:r>
      <w:r w:rsidRPr="00F7332E">
        <w:t xml:space="preserve"> vast number of laws, decrees, regulations and resolutions continues to regulate plant and animal health and food safety, despite attempts by the Dominican Republic to update the </w:t>
      </w:r>
      <w:r>
        <w:t>statute book</w:t>
      </w:r>
      <w:r w:rsidRPr="00F7332E">
        <w:t>, as notified to the WTO (Table A3.6).</w:t>
      </w:r>
      <w:r w:rsidRPr="00F7332E">
        <w:rPr>
          <w:vertAlign w:val="superscript"/>
        </w:rPr>
        <w:footnoteReference w:id="220"/>
      </w:r>
    </w:p>
    <w:p w14:paraId="66B83D2A" w14:textId="77777777" w:rsidR="001A500E" w:rsidRPr="00F7332E" w:rsidRDefault="001A500E" w:rsidP="00574469">
      <w:pPr>
        <w:pStyle w:val="BodyText"/>
      </w:pPr>
      <w:r w:rsidRPr="00F7332E">
        <w:t xml:space="preserve">The </w:t>
      </w:r>
      <w:r>
        <w:t>main institution</w:t>
      </w:r>
      <w:r w:rsidRPr="00F7332E">
        <w:t xml:space="preserve"> responsib</w:t>
      </w:r>
      <w:r>
        <w:t>le</w:t>
      </w:r>
      <w:r w:rsidRPr="00F7332E">
        <w:t xml:space="preserve"> for developing and implementing sanitary and phytosanitary (SPS) measures is the Ministry of Agriculture, through the Department of Plant Health (</w:t>
      </w:r>
      <w:proofErr w:type="spellStart"/>
      <w:r w:rsidRPr="00F7332E">
        <w:t>DSV</w:t>
      </w:r>
      <w:proofErr w:type="spellEnd"/>
      <w:r w:rsidRPr="00F7332E">
        <w:t>) and the Department of Animal Health, which is attached to the Directorate</w:t>
      </w:r>
      <w:r>
        <w:noBreakHyphen/>
      </w:r>
      <w:r w:rsidRPr="00F7332E">
        <w:t>General of Livestock (</w:t>
      </w:r>
      <w:proofErr w:type="spellStart"/>
      <w:r w:rsidRPr="00F7332E">
        <w:t>DIGEGA</w:t>
      </w:r>
      <w:proofErr w:type="spellEnd"/>
      <w:r w:rsidRPr="00F7332E">
        <w:t>)</w:t>
      </w:r>
      <w:r w:rsidRPr="0060155B">
        <w:t>.</w:t>
      </w:r>
      <w:r w:rsidRPr="0060155B">
        <w:rPr>
          <w:vertAlign w:val="superscript"/>
        </w:rPr>
        <w:footnoteReference w:id="221"/>
      </w:r>
      <w:r w:rsidRPr="0060155B">
        <w:t xml:space="preserve"> T</w:t>
      </w:r>
      <w:r w:rsidRPr="00F7332E">
        <w:t>o prevent the introduction and spread of pests and disease</w:t>
      </w:r>
      <w:r>
        <w:t>s</w:t>
      </w:r>
      <w:r w:rsidRPr="00F7332E">
        <w:t xml:space="preserve"> the Departments of Plant Health and Animal Health are responsible for conducting risk analyses on imports of products and by</w:t>
      </w:r>
      <w:r>
        <w:noBreakHyphen/>
      </w:r>
      <w:r w:rsidRPr="00F7332E">
        <w:t xml:space="preserve">products of plant or animal origin to use as the basis for </w:t>
      </w:r>
      <w:r>
        <w:t>plant and animal health</w:t>
      </w:r>
      <w:r w:rsidRPr="00F7332E">
        <w:t xml:space="preserve"> import requirements</w:t>
      </w:r>
      <w:r w:rsidRPr="0060155B">
        <w:t>.</w:t>
      </w:r>
      <w:r w:rsidRPr="0060155B">
        <w:rPr>
          <w:vertAlign w:val="superscript"/>
        </w:rPr>
        <w:footnoteReference w:id="222"/>
      </w:r>
      <w:r w:rsidRPr="0060155B">
        <w:t xml:space="preserve"> A</w:t>
      </w:r>
      <w:r w:rsidRPr="00F7332E">
        <w:t>ll agricultural products require a sanitary or no</w:t>
      </w:r>
      <w:r>
        <w:noBreakHyphen/>
      </w:r>
      <w:r w:rsidRPr="00F7332E">
        <w:t>objection phytosanitary certificate (health permit)</w:t>
      </w:r>
      <w:r w:rsidRPr="0060155B">
        <w:t>. T</w:t>
      </w:r>
      <w:r w:rsidRPr="00F7332E">
        <w:t>he Department of Animal Health operates specific programmes to control and eradicate animal diseases that are classed as priorities, due to their nature and the potential economic losses they could cause.</w:t>
      </w:r>
    </w:p>
    <w:p w14:paraId="450F60C1" w14:textId="77777777" w:rsidR="001A500E" w:rsidRPr="00F7332E" w:rsidRDefault="001A500E" w:rsidP="00574469">
      <w:pPr>
        <w:pStyle w:val="BodyText"/>
      </w:pPr>
      <w:r w:rsidRPr="00F7332E">
        <w:t xml:space="preserve">The Ministry of Public Health and Social </w:t>
      </w:r>
      <w:r>
        <w:t>Assistance</w:t>
      </w:r>
      <w:r w:rsidRPr="00F7332E">
        <w:t xml:space="preserve"> has responsibility for the safety of processed foods</w:t>
      </w:r>
      <w:r w:rsidRPr="0060155B">
        <w:t>. T</w:t>
      </w:r>
      <w:r w:rsidRPr="00F7332E">
        <w:t>he Food and Beverage Risk Control Department of the Directorate</w:t>
      </w:r>
      <w:r>
        <w:noBreakHyphen/>
      </w:r>
      <w:r w:rsidRPr="00F7332E">
        <w:t>General of Medicines, Food and Health Products (</w:t>
      </w:r>
      <w:proofErr w:type="spellStart"/>
      <w:r w:rsidRPr="00F7332E">
        <w:t>DIGEMAPS</w:t>
      </w:r>
      <w:proofErr w:type="spellEnd"/>
      <w:r w:rsidRPr="00F7332E">
        <w:t xml:space="preserve">) is the national technical and regulatory body with responsibility for conducting health controls on all foods and beverages – during production, transportation, storage, preparation, sale and consumption – in order to reduce </w:t>
      </w:r>
      <w:r>
        <w:t xml:space="preserve">the incidence of </w:t>
      </w:r>
      <w:r w:rsidRPr="00F7332E">
        <w:t>food</w:t>
      </w:r>
      <w:r>
        <w:noBreakHyphen/>
      </w:r>
      <w:r w:rsidRPr="00F7332E">
        <w:t>borne diseases, including imported diseases</w:t>
      </w:r>
      <w:r w:rsidRPr="0060155B">
        <w:t>. T</w:t>
      </w:r>
      <w:r w:rsidRPr="00F7332E">
        <w:t>he Ministry of Agriculture also has a Department of Food Safety (</w:t>
      </w:r>
      <w:proofErr w:type="spellStart"/>
      <w:r w:rsidRPr="00F7332E">
        <w:t>DIA</w:t>
      </w:r>
      <w:proofErr w:type="spellEnd"/>
      <w:r w:rsidRPr="00F7332E">
        <w:t>) (Resolution No. 18/2005, amended by Resolution No. 27/2006)</w:t>
      </w:r>
      <w:r w:rsidRPr="0060155B">
        <w:t>. T</w:t>
      </w:r>
      <w:r w:rsidRPr="00F7332E">
        <w:t>h</w:t>
      </w:r>
      <w:r>
        <w:t xml:space="preserve">is Department </w:t>
      </w:r>
      <w:r w:rsidRPr="00F7332E">
        <w:t xml:space="preserve">promotes </w:t>
      </w:r>
      <w:proofErr w:type="spellStart"/>
      <w:r w:rsidRPr="00F7332E">
        <w:t>agrifood</w:t>
      </w:r>
      <w:proofErr w:type="spellEnd"/>
      <w:r w:rsidRPr="00F7332E">
        <w:t xml:space="preserve"> safety </w:t>
      </w:r>
      <w:r w:rsidRPr="00E5347E">
        <w:t>at primary level</w:t>
      </w:r>
      <w:r w:rsidRPr="00F7332E">
        <w:t xml:space="preserve"> through training and the implementation of the food risk management system in order to </w:t>
      </w:r>
      <w:r>
        <w:t>promote the supply of</w:t>
      </w:r>
      <w:r w:rsidRPr="00F7332E">
        <w:t xml:space="preserve"> agricultural foods </w:t>
      </w:r>
      <w:r>
        <w:t xml:space="preserve">of a </w:t>
      </w:r>
      <w:r w:rsidRPr="00F7332E">
        <w:t>high sanitary quality for domestic consumption and export.</w:t>
      </w:r>
    </w:p>
    <w:p w14:paraId="79FFA68C" w14:textId="77777777" w:rsidR="001A500E" w:rsidRPr="00F7332E" w:rsidRDefault="001A500E" w:rsidP="00574469">
      <w:pPr>
        <w:pStyle w:val="BodyText"/>
      </w:pPr>
      <w:r w:rsidRPr="00F7332E">
        <w:t>The National Committee for the Application of Sanitary and Phytosanitary Measures (</w:t>
      </w:r>
      <w:proofErr w:type="spellStart"/>
      <w:r w:rsidRPr="00F7332E">
        <w:t>CNMSF</w:t>
      </w:r>
      <w:proofErr w:type="spellEnd"/>
      <w:r w:rsidRPr="00F7332E">
        <w:t>) brings together various public and private sector entities to manage the implementation of the WTO</w:t>
      </w:r>
      <w:r>
        <w:t> </w:t>
      </w:r>
      <w:r w:rsidRPr="00F7332E">
        <w:t>Agreement on the Application of Sanitary and Phytosanitary Measures and the commitments undertaken by the Dominican State as part of other regional and bilateral agreements entered into on sanitary and phytosanitary matters and food safety</w:t>
      </w:r>
      <w:r w:rsidRPr="0060155B">
        <w:t>.</w:t>
      </w:r>
      <w:r w:rsidRPr="0060155B">
        <w:rPr>
          <w:vertAlign w:val="superscript"/>
        </w:rPr>
        <w:footnoteReference w:id="223"/>
      </w:r>
      <w:r w:rsidRPr="0060155B">
        <w:t xml:space="preserve"> T</w:t>
      </w:r>
      <w:r w:rsidRPr="00F7332E">
        <w:t>he Committee also acts as a consultation body when emergencies arise in agricultural health and food safety, and recommends the most appropriate measures and mechanisms that the designated national authorities should introduce to mitigate the emergency's impact</w:t>
      </w:r>
      <w:r w:rsidRPr="0060155B">
        <w:t>.</w:t>
      </w:r>
      <w:r w:rsidRPr="0060155B">
        <w:rPr>
          <w:vertAlign w:val="superscript"/>
        </w:rPr>
        <w:footnoteReference w:id="224"/>
      </w:r>
      <w:r w:rsidRPr="0060155B">
        <w:t xml:space="preserve"> A</w:t>
      </w:r>
      <w:r w:rsidRPr="00F7332E">
        <w:t>dditionally, the Office of Agricultural Trade Agreements (</w:t>
      </w:r>
      <w:proofErr w:type="spellStart"/>
      <w:r w:rsidRPr="00F7332E">
        <w:t>OTCA</w:t>
      </w:r>
      <w:proofErr w:type="spellEnd"/>
      <w:r w:rsidRPr="00F7332E">
        <w:t xml:space="preserve">) </w:t>
      </w:r>
      <w:r w:rsidRPr="00F7332E">
        <w:lastRenderedPageBreak/>
        <w:t>at the Ministry of Agriculture is the body that negotiates and administers international arrangements on agricultural matters</w:t>
      </w:r>
      <w:r w:rsidRPr="0060155B">
        <w:t>.</w:t>
      </w:r>
      <w:r w:rsidRPr="0060155B">
        <w:rPr>
          <w:vertAlign w:val="superscript"/>
        </w:rPr>
        <w:footnoteReference w:id="225"/>
      </w:r>
      <w:r w:rsidRPr="0060155B">
        <w:t xml:space="preserve"> T</w:t>
      </w:r>
      <w:r w:rsidRPr="00F7332E">
        <w:t xml:space="preserve">he Dominican Republic notified </w:t>
      </w:r>
      <w:proofErr w:type="spellStart"/>
      <w:r w:rsidRPr="00F7332E">
        <w:t>OTCA</w:t>
      </w:r>
      <w:proofErr w:type="spellEnd"/>
      <w:r w:rsidRPr="00F7332E">
        <w:t xml:space="preserve"> at the Ministry of Agriculture and the Executive Secretariat for the </w:t>
      </w:r>
      <w:proofErr w:type="spellStart"/>
      <w:r w:rsidRPr="00F7332E">
        <w:t>CNMSF</w:t>
      </w:r>
      <w:proofErr w:type="spellEnd"/>
      <w:r w:rsidRPr="00F7332E">
        <w:t xml:space="preserve"> as national enquiry points and notification authorities.</w:t>
      </w:r>
      <w:r w:rsidRPr="00F7332E">
        <w:rPr>
          <w:vertAlign w:val="superscript"/>
        </w:rPr>
        <w:footnoteReference w:id="226"/>
      </w:r>
    </w:p>
    <w:p w14:paraId="5FA55247" w14:textId="77777777" w:rsidR="001A500E" w:rsidRPr="00F7332E" w:rsidRDefault="001A500E" w:rsidP="00574469">
      <w:pPr>
        <w:pStyle w:val="BodyText"/>
      </w:pPr>
      <w:r w:rsidRPr="00F7332E">
        <w:t>The aim of the sanitary and phytosanitary system of the Dominican Republic is to prevent, by means of three systems, the introduction into the national territory of pests or diseases</w:t>
      </w:r>
      <w:r w:rsidRPr="0060155B">
        <w:t>. T</w:t>
      </w:r>
      <w:r w:rsidRPr="00F7332E">
        <w:t>hose systems are sanitary and phytosanitary protection at the national borders, surveillance and diagnostic capacity to detect pests, diseases and sanitary issues, and the capacity to respond in agile fashion to emergencies</w:t>
      </w:r>
      <w:r w:rsidRPr="0060155B">
        <w:t>. T</w:t>
      </w:r>
      <w:r w:rsidRPr="00F7332E">
        <w:t>he Dominican Republic places special emphasis on enhanced border protection through the installation of inspection infrastructure</w:t>
      </w:r>
      <w:r w:rsidRPr="0060155B">
        <w:t>.</w:t>
      </w:r>
      <w:r w:rsidRPr="0060155B">
        <w:rPr>
          <w:vertAlign w:val="superscript"/>
        </w:rPr>
        <w:footnoteReference w:id="227"/>
      </w:r>
      <w:r w:rsidRPr="0060155B">
        <w:t xml:space="preserve"> T</w:t>
      </w:r>
      <w:r w:rsidRPr="00F7332E">
        <w:t>hus the aim of the bulk of the import restrictions applied by the Dominican Republic currently is to prevent the entry of pests or diseases into the national territory (Section 3.1.6)</w:t>
      </w:r>
      <w:r w:rsidRPr="0060155B">
        <w:t>. M</w:t>
      </w:r>
      <w:r w:rsidRPr="00F7332E">
        <w:t>oreover, exporting establishments are inspected and agricultural products for export are certified to ensure the health of Dominican</w:t>
      </w:r>
      <w:r>
        <w:t> </w:t>
      </w:r>
      <w:r w:rsidRPr="00F7332E">
        <w:t>products on international markets.</w:t>
      </w:r>
    </w:p>
    <w:p w14:paraId="64524CBA" w14:textId="77777777" w:rsidR="001A500E" w:rsidRPr="00F7332E" w:rsidRDefault="001A500E" w:rsidP="00574469">
      <w:pPr>
        <w:pStyle w:val="BodyText"/>
      </w:pPr>
      <w:r w:rsidRPr="00F7332E">
        <w:t>The drafting of SPS measures is governed by the regulations of the relevant ministries</w:t>
      </w:r>
      <w:r w:rsidRPr="0060155B">
        <w:t>. T</w:t>
      </w:r>
      <w:r w:rsidRPr="00F7332E">
        <w:t>here is still no single centralized mechanism for their preparation</w:t>
      </w:r>
      <w:r w:rsidRPr="0060155B">
        <w:t>. H</w:t>
      </w:r>
      <w:r w:rsidRPr="00F7332E">
        <w:t>owever, they are drafted largely along the same lines as those used for technical regulations (Section 3.3.2)</w:t>
      </w:r>
      <w:r w:rsidRPr="0060155B">
        <w:t>. A</w:t>
      </w:r>
      <w:r w:rsidRPr="00F7332E">
        <w:t xml:space="preserve">ccording to the authorities, technical working groups are </w:t>
      </w:r>
      <w:r>
        <w:t xml:space="preserve">being </w:t>
      </w:r>
      <w:r w:rsidRPr="00F7332E">
        <w:t xml:space="preserve">set up to assess the risks to plant and animal health and their economic impact, </w:t>
      </w:r>
      <w:r>
        <w:t>as well as how to</w:t>
      </w:r>
      <w:r w:rsidRPr="00F7332E">
        <w:t xml:space="preserve"> mitigat</w:t>
      </w:r>
      <w:r>
        <w:t>e them</w:t>
      </w:r>
      <w:r w:rsidRPr="0060155B">
        <w:t>. A</w:t>
      </w:r>
      <w:r>
        <w:t xml:space="preserve">n action plan is then drawn up </w:t>
      </w:r>
      <w:r w:rsidRPr="00F7332E">
        <w:t>to minimize th</w:t>
      </w:r>
      <w:r>
        <w:t>os</w:t>
      </w:r>
      <w:r w:rsidRPr="00F7332E">
        <w:t>e risks</w:t>
      </w:r>
      <w:r>
        <w:t>, based</w:t>
      </w:r>
      <w:r w:rsidRPr="00F7332E">
        <w:t xml:space="preserve"> </w:t>
      </w:r>
      <w:r>
        <w:t>on s</w:t>
      </w:r>
      <w:r w:rsidRPr="00F7332E">
        <w:t>cientific analysis</w:t>
      </w:r>
      <w:r>
        <w:t>,</w:t>
      </w:r>
      <w:r w:rsidRPr="00F7332E">
        <w:t xml:space="preserve"> and is presented to the most senior authorities (the Ministries of Agriculture and Public Health) so that a resolution can be issued and the measure implemented</w:t>
      </w:r>
      <w:r w:rsidRPr="0060155B">
        <w:t>. G</w:t>
      </w:r>
      <w:r w:rsidRPr="00F7332E">
        <w:t xml:space="preserve">enerally, sanitary and phytosanitary measures are based on scientific principles, risk criteria and parameters laid down by international organizations such as CODEX, the International Plant Protection Convention (IPPC) and the </w:t>
      </w:r>
      <w:r>
        <w:t>World Organisation for Animal Health (</w:t>
      </w:r>
      <w:r w:rsidRPr="00F7332E">
        <w:t>WOAH</w:t>
      </w:r>
      <w:r>
        <w:t>)</w:t>
      </w:r>
      <w:r w:rsidRPr="0060155B">
        <w:t>. T</w:t>
      </w:r>
      <w:r w:rsidRPr="00F7332E">
        <w:t>he aim of the measures is to protect the lives and health of people, animals and plants and to preserve the environment while facilitating national and international trade in goods.</w:t>
      </w:r>
    </w:p>
    <w:p w14:paraId="44565ABB" w14:textId="77777777" w:rsidR="001A500E" w:rsidRPr="00F7332E" w:rsidRDefault="001A500E" w:rsidP="00574469">
      <w:pPr>
        <w:pStyle w:val="BodyText"/>
      </w:pPr>
      <w:r w:rsidRPr="00F7332E">
        <w:t>Where the Ministry of Agriculture is concerned, the responsibility for coordinating the formulation, implementation and monitoring of technical regulations lies with each designated national authority (departments of animal health, plant health and food safety).</w:t>
      </w:r>
    </w:p>
    <w:p w14:paraId="3FE385A2" w14:textId="77777777" w:rsidR="001A500E" w:rsidRPr="0060155B" w:rsidRDefault="001A500E" w:rsidP="00574469">
      <w:pPr>
        <w:pStyle w:val="BodyText"/>
      </w:pPr>
      <w:r w:rsidRPr="00F7332E">
        <w:t>In order to amend or update an obsolete regulation, a multidisciplinary team instructed by the Ministry of Agriculture conducts a study to ascertain whether the regulation is in line with other national regulations and international standards</w:t>
      </w:r>
      <w:r w:rsidRPr="0060155B">
        <w:t>. A</w:t>
      </w:r>
      <w:r w:rsidRPr="00F7332E">
        <w:t>s a result of their assessment, a draft regulation is drawn up and circulated to domestic authorities and legal advisors in order to obtain preliminary approval</w:t>
      </w:r>
      <w:r w:rsidRPr="0060155B">
        <w:t>. T</w:t>
      </w:r>
      <w:r w:rsidRPr="00F7332E">
        <w:t xml:space="preserve">he multidisciplinary team reviews the </w:t>
      </w:r>
      <w:r>
        <w:t>l</w:t>
      </w:r>
      <w:r w:rsidRPr="00F7332E">
        <w:t xml:space="preserve">egal </w:t>
      </w:r>
      <w:r>
        <w:t>a</w:t>
      </w:r>
      <w:r w:rsidRPr="00F7332E">
        <w:t>dvisors' comments and adjusts the proposal before notifying it to the WTO.</w:t>
      </w:r>
    </w:p>
    <w:p w14:paraId="168A7F8E" w14:textId="77777777" w:rsidR="001A500E" w:rsidRPr="00F7332E" w:rsidRDefault="001A500E" w:rsidP="00574469">
      <w:pPr>
        <w:pStyle w:val="BodyText"/>
      </w:pPr>
      <w:r w:rsidRPr="00F7332E">
        <w:t xml:space="preserve">Imported products that present a risk to human, animal, plant, aquacultural or forest health must comply with the </w:t>
      </w:r>
      <w:bookmarkStart w:id="233" w:name="_Hlk99372139"/>
      <w:r w:rsidRPr="00F7332E">
        <w:t>sanitary, phytosanitary, and animal health measures specified in the technical regulations and must have a no</w:t>
      </w:r>
      <w:r>
        <w:noBreakHyphen/>
      </w:r>
      <w:r w:rsidRPr="00F7332E">
        <w:t xml:space="preserve">objection </w:t>
      </w:r>
      <w:bookmarkEnd w:id="233"/>
      <w:r w:rsidRPr="00F7332E">
        <w:t>permit.</w:t>
      </w:r>
    </w:p>
    <w:p w14:paraId="5A4C2D0C" w14:textId="77777777" w:rsidR="001A500E" w:rsidRPr="0060155B" w:rsidRDefault="001A500E" w:rsidP="00574469">
      <w:pPr>
        <w:pStyle w:val="BodyText"/>
      </w:pPr>
      <w:r w:rsidRPr="00F7332E">
        <w:t>Phytosanitary inspections are governed by the Law on Plant Health (Law No. 4990</w:t>
      </w:r>
      <w:r>
        <w:rPr>
          <w:szCs w:val="18"/>
        </w:rPr>
        <w:noBreakHyphen/>
      </w:r>
      <w:r w:rsidRPr="00F7332E">
        <w:rPr>
          <w:szCs w:val="18"/>
        </w:rPr>
        <w:t>58</w:t>
      </w:r>
      <w:r w:rsidRPr="00F7332E">
        <w:t>) determining crop zoning and the techniques approved for the production of plant products in order to prevent pests and disease</w:t>
      </w:r>
      <w:r w:rsidRPr="0060155B">
        <w:t>. I</w:t>
      </w:r>
      <w:r w:rsidRPr="00F7332E">
        <w:t>nspections are performed when an agricultural operation begins, and are repeated at regular intervals that vary according to the product concerned</w:t>
      </w:r>
      <w:r w:rsidRPr="0060155B">
        <w:t>.</w:t>
      </w:r>
      <w:r w:rsidRPr="0060155B">
        <w:rPr>
          <w:vertAlign w:val="superscript"/>
        </w:rPr>
        <w:footnoteReference w:id="228"/>
      </w:r>
      <w:r w:rsidRPr="0060155B">
        <w:t xml:space="preserve"> I</w:t>
      </w:r>
      <w:r w:rsidRPr="00F7332E">
        <w:t>nspections are also carried out in the event of a report of non</w:t>
      </w:r>
      <w:r>
        <w:noBreakHyphen/>
      </w:r>
      <w:r w:rsidRPr="00F7332E">
        <w:t>compliance or when requests are made for letters of compliance or export certificates.</w:t>
      </w:r>
      <w:r w:rsidRPr="00F7332E">
        <w:rPr>
          <w:vertAlign w:val="superscript"/>
        </w:rPr>
        <w:footnoteReference w:id="229"/>
      </w:r>
    </w:p>
    <w:p w14:paraId="3769039F" w14:textId="77777777" w:rsidR="001A500E" w:rsidRPr="00F7332E" w:rsidRDefault="001A500E" w:rsidP="00574469">
      <w:pPr>
        <w:pStyle w:val="BodyText"/>
      </w:pPr>
      <w:r w:rsidRPr="00F7332E">
        <w:t>The Quarantine Division of the Plant Health Department is responsible for phytosanitary inspections that are carried out to identify the presence of pests, disease or other pathogenic agents on products of plant origin</w:t>
      </w:r>
      <w:r w:rsidRPr="0060155B">
        <w:t>. I</w:t>
      </w:r>
      <w:r w:rsidRPr="00F7332E">
        <w:t>nspections are conducted of plants, fruits, vegetables and other products and by</w:t>
      </w:r>
      <w:r>
        <w:noBreakHyphen/>
      </w:r>
      <w:r w:rsidRPr="00F7332E">
        <w:t>products of plant origin intended for export, transit or domestic consumption</w:t>
      </w:r>
      <w:r w:rsidRPr="0060155B">
        <w:t>. T</w:t>
      </w:r>
      <w:r w:rsidRPr="00F7332E">
        <w:t xml:space="preserve">he Plant </w:t>
      </w:r>
      <w:r w:rsidRPr="00F7332E">
        <w:lastRenderedPageBreak/>
        <w:t>Health Department issues a Phytosanitary Export Certificate after performing the relevant inspection and ascertaining compliance with the requirements in place at the product's place of destination.</w:t>
      </w:r>
      <w:r w:rsidRPr="00F7332E">
        <w:rPr>
          <w:vertAlign w:val="superscript"/>
        </w:rPr>
        <w:footnoteReference w:id="230"/>
      </w:r>
    </w:p>
    <w:p w14:paraId="52BCB191" w14:textId="77777777" w:rsidR="001A500E" w:rsidRPr="00F7332E" w:rsidRDefault="001A500E" w:rsidP="00574469">
      <w:pPr>
        <w:pStyle w:val="BodyText"/>
      </w:pPr>
      <w:r w:rsidRPr="00F7332E">
        <w:t>The Ministry of Agriculture's Department of Food Safety inspects production units to assess whether they comply with good agricultural practices (GAP), good animal husbandry practices (</w:t>
      </w:r>
      <w:proofErr w:type="spellStart"/>
      <w:r w:rsidRPr="00F7332E">
        <w:t>GAHP</w:t>
      </w:r>
      <w:proofErr w:type="spellEnd"/>
      <w:r w:rsidRPr="00F7332E">
        <w:t>), good management practices (</w:t>
      </w:r>
      <w:proofErr w:type="spellStart"/>
      <w:r w:rsidRPr="00F7332E">
        <w:t>GMP</w:t>
      </w:r>
      <w:proofErr w:type="spellEnd"/>
      <w:r w:rsidRPr="00F7332E">
        <w:t>) and preventive measures to ensure agricultural food safety</w:t>
      </w:r>
      <w:r w:rsidRPr="0060155B">
        <w:t>.</w:t>
      </w:r>
      <w:r w:rsidRPr="0060155B">
        <w:rPr>
          <w:vertAlign w:val="superscript"/>
        </w:rPr>
        <w:footnoteReference w:id="231"/>
      </w:r>
      <w:r w:rsidRPr="0060155B">
        <w:t xml:space="preserve"> T</w:t>
      </w:r>
      <w:r w:rsidRPr="00F7332E">
        <w:t xml:space="preserve">he Quality Management Division of the </w:t>
      </w:r>
      <w:r>
        <w:t>Ministry</w:t>
      </w:r>
      <w:r w:rsidRPr="00F7332E">
        <w:t xml:space="preserve">'s Department of Food Safety issues certificates and letters of compliance for GAP, </w:t>
      </w:r>
      <w:proofErr w:type="spellStart"/>
      <w:r w:rsidRPr="00F7332E">
        <w:t>GAHP</w:t>
      </w:r>
      <w:proofErr w:type="spellEnd"/>
      <w:r w:rsidRPr="00F7332E">
        <w:t xml:space="preserve"> and </w:t>
      </w:r>
      <w:proofErr w:type="spellStart"/>
      <w:r w:rsidRPr="00F7332E">
        <w:t>GMP</w:t>
      </w:r>
      <w:proofErr w:type="spellEnd"/>
      <w:r w:rsidRPr="0060155B">
        <w:t>. T</w:t>
      </w:r>
      <w:r w:rsidRPr="00F7332E">
        <w:t xml:space="preserve">he certificates are issued at </w:t>
      </w:r>
      <w:r>
        <w:t>the</w:t>
      </w:r>
      <w:r w:rsidRPr="00F7332E">
        <w:t xml:space="preserve"> request</w:t>
      </w:r>
      <w:r>
        <w:t xml:space="preserve"> of a farming concern</w:t>
      </w:r>
      <w:r w:rsidRPr="00F7332E">
        <w:t xml:space="preserve">, provided that the </w:t>
      </w:r>
      <w:r>
        <w:t>business</w:t>
      </w:r>
      <w:r w:rsidRPr="00F7332E">
        <w:t xml:space="preserve"> complies with 90</w:t>
      </w:r>
      <w:r>
        <w:t>%</w:t>
      </w:r>
      <w:r w:rsidRPr="00F7332E">
        <w:t xml:space="preserve"> of the basic requirements of GAP, </w:t>
      </w:r>
      <w:proofErr w:type="spellStart"/>
      <w:r w:rsidRPr="00F7332E">
        <w:t>GAHP</w:t>
      </w:r>
      <w:proofErr w:type="spellEnd"/>
      <w:r w:rsidRPr="00F7332E">
        <w:t xml:space="preserve"> or </w:t>
      </w:r>
      <w:proofErr w:type="spellStart"/>
      <w:r w:rsidRPr="00F7332E">
        <w:t>GMP</w:t>
      </w:r>
      <w:proofErr w:type="spellEnd"/>
      <w:r w:rsidRPr="00F7332E">
        <w:t xml:space="preserve"> laid down in Decree No. 52</w:t>
      </w:r>
      <w:r>
        <w:noBreakHyphen/>
      </w:r>
      <w:r w:rsidRPr="00F7332E">
        <w:t>08</w:t>
      </w:r>
      <w:r w:rsidRPr="0060155B">
        <w:t>. L</w:t>
      </w:r>
      <w:r w:rsidRPr="00F7332E">
        <w:t xml:space="preserve">etters of compliance are issued to </w:t>
      </w:r>
      <w:r>
        <w:t>concerns</w:t>
      </w:r>
      <w:r w:rsidRPr="00F7332E">
        <w:t xml:space="preserve"> that comply with 80</w:t>
      </w:r>
      <w:r>
        <w:t>%</w:t>
      </w:r>
      <w:r w:rsidRPr="00F7332E">
        <w:t xml:space="preserve"> of basic requirements</w:t>
      </w:r>
      <w:r w:rsidRPr="0060155B">
        <w:t>. C</w:t>
      </w:r>
      <w:r w:rsidRPr="00F7332E">
        <w:t>ertification is retained on the basis of on</w:t>
      </w:r>
      <w:r>
        <w:noBreakHyphen/>
      </w:r>
      <w:r w:rsidRPr="00F7332E">
        <w:t>site inspections that are conducted to ascertain compliance with the requirements.</w:t>
      </w:r>
    </w:p>
    <w:p w14:paraId="2BF4FA78" w14:textId="77777777" w:rsidR="001A500E" w:rsidRPr="00F7332E" w:rsidRDefault="001A500E" w:rsidP="00574469">
      <w:pPr>
        <w:pStyle w:val="BodyText"/>
      </w:pPr>
      <w:r w:rsidRPr="00F7332E">
        <w:t>Currently (2022) there are three state test laboratories in the Dominican Republic that assess sanitary and phytosanitary compliance</w:t>
      </w:r>
      <w:r w:rsidRPr="0060155B">
        <w:t>. T</w:t>
      </w:r>
      <w:r w:rsidRPr="00F7332E">
        <w:t>he Central Veterinary Laboratory (</w:t>
      </w:r>
      <w:proofErr w:type="spellStart"/>
      <w:r w:rsidRPr="00F7332E">
        <w:t>LAVECEN</w:t>
      </w:r>
      <w:proofErr w:type="spellEnd"/>
      <w:r w:rsidRPr="00F7332E">
        <w:t xml:space="preserve">), a </w:t>
      </w:r>
      <w:proofErr w:type="spellStart"/>
      <w:r w:rsidRPr="00F7332E">
        <w:t>DIGEGA</w:t>
      </w:r>
      <w:proofErr w:type="spellEnd"/>
      <w:r w:rsidRPr="00F7332E">
        <w:t xml:space="preserve"> agency, is the national reference laboratory for the study of animal health and zoonotic diseases, as well as for quality control on food, animal feed, chemical residues in meat, fruit, plants, the quality of agrichemical</w:t>
      </w:r>
      <w:r>
        <w:t xml:space="preserve"> product</w:t>
      </w:r>
      <w:r w:rsidRPr="00F7332E">
        <w:t>s, and the production of biological agents and antigens for the veterinary industry</w:t>
      </w:r>
      <w:r w:rsidRPr="0060155B">
        <w:t>.</w:t>
      </w:r>
      <w:r w:rsidRPr="0060155B">
        <w:rPr>
          <w:vertAlign w:val="superscript"/>
        </w:rPr>
        <w:footnoteReference w:id="232"/>
      </w:r>
      <w:r w:rsidRPr="0060155B">
        <w:t xml:space="preserve"> T</w:t>
      </w:r>
      <w:r w:rsidRPr="00F7332E">
        <w:t>he laboratory of the Dominican Agricultural and Forestry Research Institute (</w:t>
      </w:r>
      <w:proofErr w:type="spellStart"/>
      <w:r w:rsidRPr="00F7332E">
        <w:t>IDIAF</w:t>
      </w:r>
      <w:proofErr w:type="spellEnd"/>
      <w:r w:rsidRPr="00F7332E">
        <w:t>) has responsibility for plant protection (bacteriology, mycology, virology and entomology), post</w:t>
      </w:r>
      <w:r>
        <w:noBreakHyphen/>
      </w:r>
      <w:r w:rsidRPr="00F7332E">
        <w:t>harvest management, soils and water, plant biotechnology and molecular biology</w:t>
      </w:r>
      <w:r w:rsidRPr="0060155B">
        <w:t>. I</w:t>
      </w:r>
      <w:r w:rsidRPr="00F7332E">
        <w:t>n addition to the Biotechnological and Industrial Innovation Institute (</w:t>
      </w:r>
      <w:proofErr w:type="spellStart"/>
      <w:r w:rsidRPr="00F7332E">
        <w:t>IIBI</w:t>
      </w:r>
      <w:proofErr w:type="spellEnd"/>
      <w:r w:rsidRPr="00F7332E">
        <w:t>), which provides analytical services in respect of microbiology, pesticides, agricultural consultancy, plant biotechnology and safe food practices, there are other accredited laboratories in the Dominican Republic, one of them a private facility.</w:t>
      </w:r>
    </w:p>
    <w:p w14:paraId="70398B8F" w14:textId="77777777" w:rsidR="001A500E" w:rsidRPr="00F7332E" w:rsidRDefault="001A500E" w:rsidP="00574469">
      <w:pPr>
        <w:pStyle w:val="BodyText"/>
      </w:pPr>
      <w:r w:rsidRPr="00F7332E">
        <w:t>During the period 2015</w:t>
      </w:r>
      <w:r>
        <w:noBreakHyphen/>
      </w:r>
      <w:r w:rsidRPr="00F7332E">
        <w:t>22, the Dominican Republic made 25 notifications (including addendums and revisions) to the WTO SPS Committee</w:t>
      </w:r>
      <w:r w:rsidRPr="0060155B">
        <w:t>. T</w:t>
      </w:r>
      <w:r w:rsidRPr="00F7332E">
        <w:t>welve were related to food safety or the protection of human health, seven to animal health, four to plant health, and two to both plant and animal health</w:t>
      </w:r>
      <w:r w:rsidRPr="0060155B">
        <w:t>. N</w:t>
      </w:r>
      <w:r w:rsidRPr="00F7332E">
        <w:t>o emergency measures were issued</w:t>
      </w:r>
      <w:r w:rsidRPr="0060155B">
        <w:t>. D</w:t>
      </w:r>
      <w:r w:rsidRPr="00F7332E">
        <w:t>uring the review period no trade concerns were raised in relation to the measures adopted by the Dominican Republic in th</w:t>
      </w:r>
      <w:r>
        <w:t>is</w:t>
      </w:r>
      <w:r w:rsidRPr="00F7332E">
        <w:t xml:space="preserve"> regard.</w:t>
      </w:r>
      <w:r w:rsidRPr="00F7332E">
        <w:rPr>
          <w:vertAlign w:val="superscript"/>
        </w:rPr>
        <w:footnoteReference w:id="233"/>
      </w:r>
    </w:p>
    <w:p w14:paraId="6AABCF1A" w14:textId="77777777" w:rsidR="001A500E" w:rsidRPr="0060155B" w:rsidRDefault="001A500E" w:rsidP="00574469">
      <w:pPr>
        <w:pStyle w:val="Heading3"/>
      </w:pPr>
      <w:bookmarkStart w:id="234" w:name="_Toc114735756"/>
      <w:bookmarkStart w:id="235" w:name="_Toc417038507"/>
      <w:bookmarkStart w:id="236" w:name="_Toc384214177"/>
      <w:bookmarkStart w:id="237" w:name="_Toc117260637"/>
      <w:bookmarkEnd w:id="214"/>
      <w:r w:rsidRPr="00F7332E">
        <w:t>Competition policy and price controls</w:t>
      </w:r>
      <w:bookmarkStart w:id="238" w:name="_Toc114735757"/>
      <w:bookmarkEnd w:id="234"/>
      <w:bookmarkEnd w:id="235"/>
      <w:bookmarkEnd w:id="236"/>
      <w:bookmarkEnd w:id="237"/>
    </w:p>
    <w:p w14:paraId="5C3516D9" w14:textId="77777777" w:rsidR="001A500E" w:rsidRPr="00F7332E" w:rsidRDefault="001A500E" w:rsidP="00574469">
      <w:pPr>
        <w:pStyle w:val="Heading4"/>
      </w:pPr>
      <w:bookmarkStart w:id="239" w:name="_Toc117260638"/>
      <w:r w:rsidRPr="00F7332E">
        <w:t>Competition policy</w:t>
      </w:r>
      <w:bookmarkEnd w:id="238"/>
      <w:bookmarkEnd w:id="239"/>
    </w:p>
    <w:p w14:paraId="7BBA6D14" w14:textId="104571DF" w:rsidR="001A500E" w:rsidRPr="0060155B" w:rsidRDefault="001A500E" w:rsidP="00574469">
      <w:pPr>
        <w:pStyle w:val="BodyText"/>
      </w:pPr>
      <w:r w:rsidRPr="00F7332E">
        <w:t xml:space="preserve">The competition regime is governed by the Constitution (Articles 50 and 217), the </w:t>
      </w:r>
      <w:r w:rsidR="00DE3802" w:rsidRPr="00F7332E">
        <w:t xml:space="preserve">Competition </w:t>
      </w:r>
      <w:r w:rsidRPr="00F7332E">
        <w:t>Law of 2008 (Law No. 42</w:t>
      </w:r>
      <w:r>
        <w:noBreakHyphen/>
      </w:r>
      <w:r w:rsidRPr="00F7332E">
        <w:t xml:space="preserve">08) and its implementing </w:t>
      </w:r>
      <w:r>
        <w:t>r</w:t>
      </w:r>
      <w:r w:rsidRPr="00F7332E">
        <w:t>egulations enacted in 2020 (Decree No. 252</w:t>
      </w:r>
      <w:r>
        <w:noBreakHyphen/>
      </w:r>
      <w:r w:rsidRPr="00F7332E">
        <w:t>20)</w:t>
      </w:r>
      <w:r w:rsidRPr="0060155B">
        <w:t>. A</w:t>
      </w:r>
      <w:r w:rsidRPr="00F7332E">
        <w:t>dditionally, competition in sectors that have regulatory bodies is governed by sectoral laws.</w:t>
      </w:r>
      <w:r w:rsidRPr="00F7332E">
        <w:rPr>
          <w:vertAlign w:val="superscript"/>
        </w:rPr>
        <w:footnoteReference w:id="234"/>
      </w:r>
    </w:p>
    <w:p w14:paraId="39F787D6" w14:textId="32E61914" w:rsidR="001A500E" w:rsidRPr="00F7332E" w:rsidRDefault="001A500E" w:rsidP="00574469">
      <w:pPr>
        <w:pStyle w:val="BodyText"/>
      </w:pPr>
      <w:r w:rsidRPr="00F7332E">
        <w:t xml:space="preserve">The </w:t>
      </w:r>
      <w:r w:rsidR="00DE3802" w:rsidRPr="00F7332E">
        <w:t xml:space="preserve">Competition </w:t>
      </w:r>
      <w:r w:rsidRPr="00F7332E">
        <w:t>Law was enacted in 2008</w:t>
      </w:r>
      <w:r w:rsidRPr="0060155B">
        <w:t>; h</w:t>
      </w:r>
      <w:r w:rsidRPr="00F7332E">
        <w:t>owever it was only able to enter into force in 2017, after the appointment of members of the Steering Committee and the Executive Director to the National Competition Commission (Pro</w:t>
      </w:r>
      <w:r>
        <w:noBreakHyphen/>
      </w:r>
      <w:proofErr w:type="spellStart"/>
      <w:r w:rsidRPr="00F7332E">
        <w:t>Competencia</w:t>
      </w:r>
      <w:proofErr w:type="spellEnd"/>
      <w:r w:rsidRPr="00F7332E">
        <w:t>)</w:t>
      </w:r>
      <w:r w:rsidRPr="0060155B">
        <w:t>.</w:t>
      </w:r>
      <w:r w:rsidRPr="0060155B">
        <w:rPr>
          <w:vertAlign w:val="superscript"/>
        </w:rPr>
        <w:footnoteReference w:id="235"/>
      </w:r>
      <w:r w:rsidRPr="0060155B">
        <w:t xml:space="preserve"> P</w:t>
      </w:r>
      <w:r w:rsidRPr="00F7332E">
        <w:t>ro</w:t>
      </w:r>
      <w:r>
        <w:noBreakHyphen/>
      </w:r>
      <w:proofErr w:type="spellStart"/>
      <w:r w:rsidRPr="00F7332E">
        <w:t>Competencia</w:t>
      </w:r>
      <w:proofErr w:type="spellEnd"/>
      <w:r w:rsidRPr="00F7332E">
        <w:t xml:space="preserve"> is an autonomous, decentralized state body with administrative, technical and financial independence</w:t>
      </w:r>
      <w:r w:rsidRPr="0060155B">
        <w:t>. T</w:t>
      </w:r>
      <w:r w:rsidRPr="00F7332E">
        <w:t xml:space="preserve">he National Congress appointed the members of the Steering Committee </w:t>
      </w:r>
      <w:r>
        <w:t>i</w:t>
      </w:r>
      <w:r w:rsidRPr="00F7332E">
        <w:t>n 2011</w:t>
      </w:r>
      <w:r>
        <w:t xml:space="preserve"> </w:t>
      </w:r>
      <w:r w:rsidRPr="00F7332E">
        <w:t>and the government appointed the Executive Director</w:t>
      </w:r>
      <w:r w:rsidRPr="007C285C">
        <w:t xml:space="preserve"> </w:t>
      </w:r>
      <w:r w:rsidRPr="00F7332E">
        <w:t>in 2017.</w:t>
      </w:r>
    </w:p>
    <w:p w14:paraId="6822E20C" w14:textId="6F9BEA29" w:rsidR="001A500E" w:rsidRPr="00F7332E" w:rsidRDefault="001A500E" w:rsidP="00574469">
      <w:pPr>
        <w:pStyle w:val="BodyText"/>
      </w:pPr>
      <w:r w:rsidRPr="00F7332E">
        <w:t>In 2020</w:t>
      </w:r>
      <w:r>
        <w:t>,</w:t>
      </w:r>
      <w:r w:rsidRPr="00F7332E">
        <w:t xml:space="preserve"> the regulations implementing the </w:t>
      </w:r>
      <w:r w:rsidR="00DE3802" w:rsidRPr="00F7332E">
        <w:t xml:space="preserve">Competition </w:t>
      </w:r>
      <w:r w:rsidRPr="00F7332E">
        <w:t>Law were enacted</w:t>
      </w:r>
      <w:r w:rsidRPr="0060155B">
        <w:t>. I</w:t>
      </w:r>
      <w:r w:rsidRPr="00F7332E">
        <w:t>n 2021, in order to bolster the competition regime and following a public consultation process, three</w:t>
      </w:r>
      <w:r>
        <w:t> </w:t>
      </w:r>
      <w:r w:rsidRPr="00F7332E">
        <w:t xml:space="preserve">regulations were adopted determining the procedures for the presentation, assessment and approval of proposals </w:t>
      </w:r>
      <w:r w:rsidRPr="00F7332E">
        <w:lastRenderedPageBreak/>
        <w:t xml:space="preserve">concerning commitments to desist, administrative investigation in the event </w:t>
      </w:r>
      <w:r>
        <w:t>that</w:t>
      </w:r>
      <w:r w:rsidRPr="00F7332E">
        <w:t xml:space="preserve"> false information</w:t>
      </w:r>
      <w:r>
        <w:t xml:space="preserve"> is provided</w:t>
      </w:r>
      <w:r w:rsidRPr="00F7332E">
        <w:t xml:space="preserve"> and the penalties reduction regime</w:t>
      </w:r>
      <w:r w:rsidRPr="0060155B">
        <w:t>. P</w:t>
      </w:r>
      <w:r w:rsidRPr="00F7332E">
        <w:t>ro</w:t>
      </w:r>
      <w:r>
        <w:noBreakHyphen/>
      </w:r>
      <w:proofErr w:type="spellStart"/>
      <w:r w:rsidRPr="00F7332E">
        <w:t>Competencia</w:t>
      </w:r>
      <w:proofErr w:type="spellEnd"/>
      <w:r w:rsidRPr="00F7332E">
        <w:t xml:space="preserve"> issued the regulations by </w:t>
      </w:r>
      <w:r>
        <w:t>means</w:t>
      </w:r>
      <w:r w:rsidRPr="00F7332E">
        <w:t xml:space="preserve"> of resolutions.</w:t>
      </w:r>
      <w:r w:rsidRPr="00F7332E">
        <w:rPr>
          <w:vertAlign w:val="superscript"/>
        </w:rPr>
        <w:footnoteReference w:id="236"/>
      </w:r>
    </w:p>
    <w:p w14:paraId="1D46E73D" w14:textId="77777777" w:rsidR="001A500E" w:rsidRPr="00F7332E" w:rsidRDefault="001A500E" w:rsidP="00574469">
      <w:pPr>
        <w:pStyle w:val="BodyText"/>
      </w:pPr>
      <w:r w:rsidRPr="00F7332E">
        <w:t>The competition regime applies in all sectors of the economy</w:t>
      </w:r>
      <w:bookmarkStart w:id="240" w:name="_Hlk90390346"/>
      <w:r w:rsidRPr="00F7332E">
        <w:t xml:space="preserve"> to all economic operators, whether public or private, domestic or foreign, operating in the Dominican Republic and abroad, where operations abroad </w:t>
      </w:r>
      <w:r>
        <w:t>harm</w:t>
      </w:r>
      <w:r w:rsidRPr="00F7332E">
        <w:t xml:space="preserve"> competition on the Dominican </w:t>
      </w:r>
      <w:bookmarkEnd w:id="240"/>
      <w:r w:rsidRPr="00F7332E">
        <w:t>market</w:t>
      </w:r>
      <w:r w:rsidRPr="0060155B">
        <w:t xml:space="preserve">. </w:t>
      </w:r>
      <w:r w:rsidRPr="0060155B">
        <w:rPr>
          <w:szCs w:val="18"/>
        </w:rPr>
        <w:t>T</w:t>
      </w:r>
      <w:r w:rsidRPr="00F7332E">
        <w:rPr>
          <w:szCs w:val="18"/>
        </w:rPr>
        <w:t>he</w:t>
      </w:r>
      <w:r>
        <w:rPr>
          <w:szCs w:val="18"/>
        </w:rPr>
        <w:t>re is however</w:t>
      </w:r>
      <w:r w:rsidRPr="00F7332E">
        <w:rPr>
          <w:szCs w:val="18"/>
        </w:rPr>
        <w:t xml:space="preserve"> one</w:t>
      </w:r>
      <w:r>
        <w:rPr>
          <w:szCs w:val="18"/>
        </w:rPr>
        <w:t> </w:t>
      </w:r>
      <w:r w:rsidRPr="00F7332E">
        <w:rPr>
          <w:szCs w:val="18"/>
        </w:rPr>
        <w:t>exception</w:t>
      </w:r>
      <w:r>
        <w:rPr>
          <w:szCs w:val="18"/>
        </w:rPr>
        <w:t>, as the Law does not consider</w:t>
      </w:r>
      <w:r w:rsidRPr="00F7332E">
        <w:rPr>
          <w:szCs w:val="18"/>
        </w:rPr>
        <w:t xml:space="preserve"> </w:t>
      </w:r>
      <w:r w:rsidRPr="00F7332E">
        <w:t>collective bargaining agreements as arrangements that restrict competition</w:t>
      </w:r>
      <w:r w:rsidRPr="0060155B">
        <w:t>. A</w:t>
      </w:r>
      <w:r w:rsidRPr="00F7332E">
        <w:t>ccordingly they are excluded from the competition regime.</w:t>
      </w:r>
      <w:r w:rsidRPr="00F7332E">
        <w:rPr>
          <w:vertAlign w:val="superscript"/>
        </w:rPr>
        <w:footnoteReference w:id="237"/>
      </w:r>
    </w:p>
    <w:p w14:paraId="4421D2D2" w14:textId="6138FC82" w:rsidR="001A500E" w:rsidRPr="0060155B" w:rsidRDefault="001A500E" w:rsidP="00574469">
      <w:pPr>
        <w:pStyle w:val="BodyText"/>
      </w:pPr>
      <w:r w:rsidRPr="00F7332E">
        <w:t xml:space="preserve">The </w:t>
      </w:r>
      <w:r w:rsidR="00DE3802" w:rsidRPr="00F7332E">
        <w:t xml:space="preserve">Competition </w:t>
      </w:r>
      <w:r w:rsidRPr="00F7332E">
        <w:t xml:space="preserve">Law prohibits any conduct that could have restrictive effects on competition, including </w:t>
      </w:r>
      <w:r>
        <w:rPr>
          <w:szCs w:val="18"/>
        </w:rPr>
        <w:t>concerted</w:t>
      </w:r>
      <w:r w:rsidRPr="00F7332E">
        <w:rPr>
          <w:szCs w:val="18"/>
        </w:rPr>
        <w:t xml:space="preserve"> practices and the abuse of dominant position</w:t>
      </w:r>
      <w:r w:rsidRPr="0060155B">
        <w:rPr>
          <w:szCs w:val="18"/>
        </w:rPr>
        <w:t>. N</w:t>
      </w:r>
      <w:r>
        <w:rPr>
          <w:szCs w:val="18"/>
        </w:rPr>
        <w:t>evertheless</w:t>
      </w:r>
      <w:r w:rsidRPr="00F7332E">
        <w:rPr>
          <w:szCs w:val="18"/>
        </w:rPr>
        <w:t>, such practices are not penalized where they help to improve economic efficiency</w:t>
      </w:r>
      <w:r w:rsidRPr="0060155B">
        <w:rPr>
          <w:szCs w:val="18"/>
        </w:rPr>
        <w:t xml:space="preserve">. </w:t>
      </w:r>
      <w:r w:rsidRPr="0060155B">
        <w:t>T</w:t>
      </w:r>
      <w:r w:rsidRPr="00F7332E">
        <w:t xml:space="preserve">he Constitution prohibits monopolies "except </w:t>
      </w:r>
      <w:r>
        <w:t>for</w:t>
      </w:r>
      <w:r w:rsidRPr="00F7332E">
        <w:t xml:space="preserve"> the benefit of the State"</w:t>
      </w:r>
      <w:r w:rsidRPr="0060155B">
        <w:t>. A</w:t>
      </w:r>
      <w:r w:rsidRPr="00F7332E">
        <w:t xml:space="preserve">ccordingly the activities reserved to the State do not constitute a monopoly, </w:t>
      </w:r>
      <w:r>
        <w:t>nor</w:t>
      </w:r>
      <w:r w:rsidRPr="00F7332E">
        <w:t xml:space="preserve"> do they constitute by default conduct </w:t>
      </w:r>
      <w:r>
        <w:t xml:space="preserve">that </w:t>
      </w:r>
      <w:r w:rsidRPr="00F7332E">
        <w:t>restrict</w:t>
      </w:r>
      <w:r>
        <w:t>s</w:t>
      </w:r>
      <w:r w:rsidRPr="00F7332E">
        <w:t xml:space="preserve"> competition.</w:t>
      </w:r>
    </w:p>
    <w:p w14:paraId="60A19CF3" w14:textId="77777777" w:rsidR="001A500E" w:rsidRPr="0060155B" w:rsidRDefault="001A500E" w:rsidP="00574469">
      <w:pPr>
        <w:pStyle w:val="BodyText"/>
        <w:rPr>
          <w:szCs w:val="18"/>
        </w:rPr>
      </w:pPr>
      <w:r w:rsidRPr="00F7332E">
        <w:t>Pro</w:t>
      </w:r>
      <w:r>
        <w:noBreakHyphen/>
      </w:r>
      <w:proofErr w:type="spellStart"/>
      <w:r w:rsidRPr="00F7332E">
        <w:t>Competencia</w:t>
      </w:r>
      <w:proofErr w:type="spellEnd"/>
      <w:r w:rsidRPr="00F7332E">
        <w:t xml:space="preserve"> is the authority responsible for conducting investigations into alleged anti</w:t>
      </w:r>
      <w:r>
        <w:noBreakHyphen/>
      </w:r>
      <w:r w:rsidRPr="00F7332E">
        <w:t>competitive practices and for imposing penalties in all sectors of the economy other than the regulated sectors</w:t>
      </w:r>
      <w:r w:rsidRPr="0060155B">
        <w:t>. T</w:t>
      </w:r>
      <w:r w:rsidRPr="00F7332E">
        <w:t>he competition regime in the regulated sectors is implemented by the sectors' regulatory bodies, which have the same functions as those exercised by Pro</w:t>
      </w:r>
      <w:r>
        <w:noBreakHyphen/>
      </w:r>
      <w:proofErr w:type="spellStart"/>
      <w:r w:rsidRPr="00F7332E">
        <w:t>Competencia</w:t>
      </w:r>
      <w:proofErr w:type="spellEnd"/>
      <w:r w:rsidRPr="00F7332E">
        <w:t xml:space="preserve"> </w:t>
      </w:r>
      <w:r>
        <w:t>for</w:t>
      </w:r>
      <w:r w:rsidRPr="00F7332E">
        <w:t xml:space="preserve"> the rest of the economy</w:t>
      </w:r>
      <w:r w:rsidRPr="0060155B">
        <w:t>.</w:t>
      </w:r>
      <w:r w:rsidRPr="0060155B">
        <w:rPr>
          <w:vertAlign w:val="superscript"/>
        </w:rPr>
        <w:footnoteReference w:id="238"/>
      </w:r>
      <w:r w:rsidRPr="0060155B">
        <w:t xml:space="preserve"> T</w:t>
      </w:r>
      <w:r w:rsidRPr="00F7332E">
        <w:t>here may be more than one body with responsibilities for competition matters in a single sector</w:t>
      </w:r>
      <w:r w:rsidRPr="0060155B">
        <w:t>.</w:t>
      </w:r>
      <w:r w:rsidRPr="0060155B">
        <w:rPr>
          <w:vertAlign w:val="superscript"/>
        </w:rPr>
        <w:footnoteReference w:id="239"/>
      </w:r>
      <w:r w:rsidRPr="0060155B">
        <w:t xml:space="preserve"> T</w:t>
      </w:r>
      <w:r w:rsidRPr="00F7332E">
        <w:t>here are mechanisms for consultation and cooperation between Pro</w:t>
      </w:r>
      <w:r>
        <w:noBreakHyphen/>
      </w:r>
      <w:proofErr w:type="spellStart"/>
      <w:r w:rsidRPr="00F7332E">
        <w:t>Competencia</w:t>
      </w:r>
      <w:proofErr w:type="spellEnd"/>
      <w:r w:rsidRPr="00F7332E">
        <w:t xml:space="preserve"> and the various bodies</w:t>
      </w:r>
      <w:r w:rsidRPr="0060155B">
        <w:t>. S</w:t>
      </w:r>
      <w:r w:rsidRPr="00F7332E">
        <w:t>pecifically, Pro</w:t>
      </w:r>
      <w:r>
        <w:noBreakHyphen/>
      </w:r>
      <w:proofErr w:type="spellStart"/>
      <w:r w:rsidRPr="00F7332E">
        <w:t>Competencia</w:t>
      </w:r>
      <w:proofErr w:type="spellEnd"/>
      <w:r w:rsidRPr="00F7332E">
        <w:t xml:space="preserve"> gives its opinion on the administrative penalty procedures that the sectoral bodies may take, although that opinion </w:t>
      </w:r>
      <w:r>
        <w:t>is</w:t>
      </w:r>
      <w:r w:rsidRPr="00F7332E">
        <w:t xml:space="preserve"> no</w:t>
      </w:r>
      <w:r>
        <w:t>t</w:t>
      </w:r>
      <w:r w:rsidRPr="00F7332E">
        <w:t xml:space="preserve"> binding</w:t>
      </w:r>
      <w:r w:rsidRPr="0060155B">
        <w:t>. P</w:t>
      </w:r>
      <w:r w:rsidRPr="00F7332E">
        <w:t>ro</w:t>
      </w:r>
      <w:r>
        <w:noBreakHyphen/>
      </w:r>
      <w:proofErr w:type="spellStart"/>
      <w:r w:rsidRPr="00F7332E">
        <w:t>Competencia</w:t>
      </w:r>
      <w:proofErr w:type="spellEnd"/>
      <w:r w:rsidRPr="00F7332E">
        <w:t xml:space="preserve"> also refers cases involving competition in the regulated sectors to the relevant sectoral body.</w:t>
      </w:r>
      <w:r w:rsidRPr="00F7332E">
        <w:rPr>
          <w:vertAlign w:val="superscript"/>
        </w:rPr>
        <w:footnoteReference w:id="240"/>
      </w:r>
    </w:p>
    <w:p w14:paraId="330F0E3D" w14:textId="1BDB2A2D" w:rsidR="001A500E" w:rsidRPr="0060155B" w:rsidRDefault="001A500E" w:rsidP="00574469">
      <w:pPr>
        <w:pStyle w:val="BodyText"/>
      </w:pPr>
      <w:r w:rsidRPr="00F7332E">
        <w:t>Investigations into alleged anti</w:t>
      </w:r>
      <w:r>
        <w:noBreakHyphen/>
      </w:r>
      <w:r w:rsidRPr="00F7332E">
        <w:t xml:space="preserve">competitive practices may be initiated </w:t>
      </w:r>
      <w:r w:rsidRPr="00F7332E">
        <w:rPr>
          <w:i/>
          <w:iCs/>
        </w:rPr>
        <w:t>ex officio</w:t>
      </w:r>
      <w:r w:rsidRPr="00F7332E">
        <w:t xml:space="preserve">, or </w:t>
      </w:r>
      <w:r>
        <w:t>up</w:t>
      </w:r>
      <w:r w:rsidRPr="00F7332E">
        <w:t>on receipt of a complaint</w:t>
      </w:r>
      <w:r w:rsidRPr="0060155B">
        <w:t>. W</w:t>
      </w:r>
      <w:r w:rsidRPr="00F7332E">
        <w:t>hen determining whether an abuse of dominant position has occurred, Pro</w:t>
      </w:r>
      <w:r>
        <w:noBreakHyphen/>
      </w:r>
      <w:proofErr w:type="spellStart"/>
      <w:r w:rsidRPr="00F7332E">
        <w:t>Competencia</w:t>
      </w:r>
      <w:proofErr w:type="spellEnd"/>
      <w:r w:rsidRPr="00F7332E">
        <w:t xml:space="preserve"> uses the criteria set out in the </w:t>
      </w:r>
      <w:r w:rsidR="00DE3802" w:rsidRPr="00F7332E">
        <w:t xml:space="preserve">Competition </w:t>
      </w:r>
      <w:r w:rsidRPr="00F7332E">
        <w:t xml:space="preserve">Law, including the market share of the operator under investigation and those of </w:t>
      </w:r>
      <w:r>
        <w:t>its</w:t>
      </w:r>
      <w:r w:rsidRPr="00F7332E">
        <w:t xml:space="preserve"> competitors</w:t>
      </w:r>
      <w:r w:rsidRPr="0060155B">
        <w:t>; t</w:t>
      </w:r>
      <w:r w:rsidRPr="00F7332E">
        <w:t xml:space="preserve">he Law does not </w:t>
      </w:r>
      <w:r>
        <w:t>stipulate</w:t>
      </w:r>
      <w:r w:rsidRPr="00F7332E">
        <w:t xml:space="preserve"> any thresholds.</w:t>
      </w:r>
      <w:r w:rsidRPr="00F7332E">
        <w:rPr>
          <w:vertAlign w:val="superscript"/>
        </w:rPr>
        <w:footnoteReference w:id="241"/>
      </w:r>
    </w:p>
    <w:p w14:paraId="63A20C94" w14:textId="77777777" w:rsidR="001A500E" w:rsidRPr="0060155B" w:rsidRDefault="001A500E" w:rsidP="00574469">
      <w:pPr>
        <w:pStyle w:val="BodyText"/>
      </w:pPr>
      <w:r w:rsidRPr="00F7332E">
        <w:t>When Pro</w:t>
      </w:r>
      <w:r>
        <w:noBreakHyphen/>
      </w:r>
      <w:proofErr w:type="spellStart"/>
      <w:r w:rsidRPr="00F7332E">
        <w:t>Competencia</w:t>
      </w:r>
      <w:proofErr w:type="spellEnd"/>
      <w:r w:rsidRPr="00F7332E">
        <w:t xml:space="preserve"> initiates an investigation, the economic operator under investigation is given notice to present evidence related to the charges laid out by Pro</w:t>
      </w:r>
      <w:r>
        <w:noBreakHyphen/>
      </w:r>
      <w:proofErr w:type="spellStart"/>
      <w:r w:rsidRPr="00F7332E">
        <w:t>Competencia</w:t>
      </w:r>
      <w:proofErr w:type="spellEnd"/>
      <w:r w:rsidRPr="0060155B">
        <w:t>. T</w:t>
      </w:r>
      <w:r w:rsidRPr="00F7332E">
        <w:t>he operator may also submit a commitment to desist proposal to Pro</w:t>
      </w:r>
      <w:r>
        <w:noBreakHyphen/>
      </w:r>
      <w:proofErr w:type="spellStart"/>
      <w:r w:rsidRPr="00F7332E">
        <w:t>Competencia</w:t>
      </w:r>
      <w:proofErr w:type="spellEnd"/>
      <w:r w:rsidRPr="00F7332E">
        <w:t xml:space="preserve"> </w:t>
      </w:r>
      <w:r>
        <w:t xml:space="preserve">so </w:t>
      </w:r>
      <w:r w:rsidRPr="00F7332E">
        <w:t xml:space="preserve">that the administrative proceeding </w:t>
      </w:r>
      <w:r>
        <w:t xml:space="preserve">may be brought to an </w:t>
      </w:r>
      <w:r w:rsidRPr="00F7332E">
        <w:t xml:space="preserve">early </w:t>
      </w:r>
      <w:r>
        <w:t xml:space="preserve">conclusion </w:t>
      </w:r>
      <w:r w:rsidRPr="00F7332E">
        <w:t>in exchange for the operator implementing the corrective measures required to counter the effects of the practice under investigation</w:t>
      </w:r>
      <w:r w:rsidRPr="0060155B">
        <w:t>.</w:t>
      </w:r>
      <w:r w:rsidRPr="0060155B">
        <w:rPr>
          <w:vertAlign w:val="superscript"/>
        </w:rPr>
        <w:footnoteReference w:id="242"/>
      </w:r>
      <w:r w:rsidRPr="0060155B">
        <w:t xml:space="preserve"> T</w:t>
      </w:r>
      <w:r w:rsidRPr="00F7332E">
        <w:t>he regulation issued in 2021 by Pro</w:t>
      </w:r>
      <w:r>
        <w:noBreakHyphen/>
      </w:r>
      <w:proofErr w:type="spellStart"/>
      <w:r w:rsidRPr="00F7332E">
        <w:t>Competencia</w:t>
      </w:r>
      <w:proofErr w:type="spellEnd"/>
      <w:r w:rsidRPr="00F7332E">
        <w:t xml:space="preserve"> lays down the procedure for submitting, assessing and approving proposals for commitments of this nature</w:t>
      </w:r>
      <w:r w:rsidRPr="0060155B">
        <w:t>.</w:t>
      </w:r>
      <w:r w:rsidRPr="0060155B">
        <w:rPr>
          <w:vertAlign w:val="superscript"/>
        </w:rPr>
        <w:footnoteReference w:id="243"/>
      </w:r>
      <w:r w:rsidRPr="0060155B">
        <w:t xml:space="preserve"> F</w:t>
      </w:r>
      <w:r w:rsidRPr="00F7332E">
        <w:t>or example it identifies the information that must accompany proposals and the process for assessing and approving them</w:t>
      </w:r>
      <w:r w:rsidRPr="0060155B">
        <w:t>. W</w:t>
      </w:r>
      <w:r w:rsidRPr="00F7332E">
        <w:t>here Pro</w:t>
      </w:r>
      <w:r>
        <w:noBreakHyphen/>
      </w:r>
      <w:proofErr w:type="spellStart"/>
      <w:r w:rsidRPr="00F7332E">
        <w:t>Competencia</w:t>
      </w:r>
      <w:proofErr w:type="spellEnd"/>
      <w:r w:rsidRPr="00F7332E">
        <w:t xml:space="preserve"> takes the view that the measures proposed by the operator are insufficient to counter the effects of the conduct under investigation, it may request changes to the proposal, and the economic agent is required to res</w:t>
      </w:r>
      <w:r>
        <w:t>tart the process of submitting</w:t>
      </w:r>
      <w:r w:rsidRPr="00F7332E">
        <w:t xml:space="preserve"> the commitment to desist from the beginning</w:t>
      </w:r>
      <w:r w:rsidRPr="0060155B">
        <w:t>. P</w:t>
      </w:r>
      <w:r w:rsidRPr="00F7332E">
        <w:t>ro</w:t>
      </w:r>
      <w:r>
        <w:noBreakHyphen/>
      </w:r>
      <w:proofErr w:type="spellStart"/>
      <w:r w:rsidRPr="00F7332E">
        <w:t>Competencia</w:t>
      </w:r>
      <w:proofErr w:type="spellEnd"/>
      <w:r w:rsidRPr="00F7332E">
        <w:t xml:space="preserve"> </w:t>
      </w:r>
      <w:r>
        <w:t>must</w:t>
      </w:r>
      <w:r w:rsidRPr="00F7332E">
        <w:t xml:space="preserve"> issue a resolution in the event that it approves the commitment, in which it sets out the corrective measures that the operator undertakes to implement, the timetable for implementing them and the period during which the measures are to remain in effect</w:t>
      </w:r>
      <w:r w:rsidRPr="0060155B">
        <w:t>. O</w:t>
      </w:r>
      <w:r w:rsidRPr="00F7332E">
        <w:t xml:space="preserve">nce the proposal is approved, the economic operator </w:t>
      </w:r>
      <w:r>
        <w:t>shall</w:t>
      </w:r>
      <w:r w:rsidRPr="00F7332E">
        <w:t xml:space="preserve"> be subject to a one</w:t>
      </w:r>
      <w:r>
        <w:noBreakHyphen/>
      </w:r>
      <w:r w:rsidRPr="00F7332E">
        <w:t>year "monitoring and surveillance" regime to verify that it is complying with the commitment</w:t>
      </w:r>
      <w:r w:rsidRPr="0060155B">
        <w:t>. W</w:t>
      </w:r>
      <w:r w:rsidRPr="00F7332E">
        <w:t>here the conditions in the relevant market undergo substantial change during the period of "monitoring and surveillance", the economic agent may request Pro</w:t>
      </w:r>
      <w:r>
        <w:noBreakHyphen/>
      </w:r>
      <w:proofErr w:type="spellStart"/>
      <w:r w:rsidRPr="00F7332E">
        <w:t>Competencia</w:t>
      </w:r>
      <w:proofErr w:type="spellEnd"/>
      <w:r w:rsidRPr="00F7332E">
        <w:t xml:space="preserve"> to review the commitment</w:t>
      </w:r>
      <w:r w:rsidRPr="0060155B">
        <w:t xml:space="preserve">. </w:t>
      </w:r>
      <w:r w:rsidRPr="0060155B">
        <w:lastRenderedPageBreak/>
        <w:t>P</w:t>
      </w:r>
      <w:r w:rsidRPr="00F7332E">
        <w:t>ro</w:t>
      </w:r>
      <w:r>
        <w:noBreakHyphen/>
      </w:r>
      <w:proofErr w:type="spellStart"/>
      <w:r w:rsidRPr="00F7332E">
        <w:t>Competencia</w:t>
      </w:r>
      <w:proofErr w:type="spellEnd"/>
      <w:r w:rsidRPr="00F7332E">
        <w:t xml:space="preserve"> is not </w:t>
      </w:r>
      <w:r>
        <w:t>obliged</w:t>
      </w:r>
      <w:r w:rsidRPr="00F7332E">
        <w:t xml:space="preserve"> to </w:t>
      </w:r>
      <w:r>
        <w:t>accede</w:t>
      </w:r>
      <w:r w:rsidRPr="00F7332E">
        <w:t xml:space="preserve"> to that request</w:t>
      </w:r>
      <w:r w:rsidRPr="0060155B">
        <w:t>. T</w:t>
      </w:r>
      <w:r w:rsidRPr="00F7332E">
        <w:t xml:space="preserve">he consequence of failure to comply with the commitment to desist is that the investigation </w:t>
      </w:r>
      <w:r>
        <w:t>shall</w:t>
      </w:r>
      <w:r w:rsidRPr="00F7332E">
        <w:t xml:space="preserve"> be re</w:t>
      </w:r>
      <w:r>
        <w:noBreakHyphen/>
      </w:r>
      <w:r w:rsidRPr="00F7332E">
        <w:t>opened.</w:t>
      </w:r>
    </w:p>
    <w:p w14:paraId="5AC98279" w14:textId="5C13C44A" w:rsidR="001A500E" w:rsidRPr="0060155B" w:rsidRDefault="001A500E" w:rsidP="00574469">
      <w:pPr>
        <w:pStyle w:val="BodyText"/>
      </w:pPr>
      <w:r w:rsidRPr="00F7332E">
        <w:t>An economic operator who provides false or altered information to Pro</w:t>
      </w:r>
      <w:r>
        <w:noBreakHyphen/>
      </w:r>
      <w:proofErr w:type="spellStart"/>
      <w:r w:rsidRPr="00F7332E">
        <w:t>Competencia</w:t>
      </w:r>
      <w:proofErr w:type="spellEnd"/>
      <w:r w:rsidRPr="00F7332E">
        <w:t xml:space="preserve"> during an investigation is liable to an economic penalty as the </w:t>
      </w:r>
      <w:r w:rsidR="00DE3802" w:rsidRPr="00F7332E">
        <w:t xml:space="preserve">Competition </w:t>
      </w:r>
      <w:r w:rsidRPr="00F7332E">
        <w:t xml:space="preserve">Law </w:t>
      </w:r>
      <w:r>
        <w:t>classifies</w:t>
      </w:r>
      <w:r w:rsidRPr="00F7332E">
        <w:t xml:space="preserve"> such conduct as an administrative offence</w:t>
      </w:r>
      <w:r w:rsidRPr="0060155B">
        <w:t>.</w:t>
      </w:r>
      <w:r w:rsidRPr="0060155B">
        <w:rPr>
          <w:vertAlign w:val="superscript"/>
        </w:rPr>
        <w:footnoteReference w:id="244"/>
      </w:r>
      <w:r w:rsidRPr="0060155B">
        <w:t xml:space="preserve"> M</w:t>
      </w:r>
      <w:r w:rsidRPr="00F7332E">
        <w:t>oreover an administrative investigation may be opened into the operator using a simplified procedure instituted by Pro</w:t>
      </w:r>
      <w:r>
        <w:noBreakHyphen/>
      </w:r>
      <w:proofErr w:type="spellStart"/>
      <w:r w:rsidRPr="00F7332E">
        <w:t>Competencia</w:t>
      </w:r>
      <w:proofErr w:type="spellEnd"/>
      <w:r w:rsidRPr="0060155B">
        <w:t>. A</w:t>
      </w:r>
      <w:r w:rsidRPr="00F7332E">
        <w:t>n operator who is the subject of an administrative investigation may submit evidence to demonstrate that the information provided is not false</w:t>
      </w:r>
      <w:r w:rsidRPr="0060155B">
        <w:t>. A</w:t>
      </w:r>
      <w:r w:rsidRPr="00F7332E">
        <w:t>n administrative investigation does not have the effect of staying an investigation into alleged anti</w:t>
      </w:r>
      <w:r>
        <w:noBreakHyphen/>
      </w:r>
      <w:r w:rsidRPr="00F7332E">
        <w:t>competitive behaviour.</w:t>
      </w:r>
      <w:r w:rsidRPr="00F7332E">
        <w:rPr>
          <w:vertAlign w:val="superscript"/>
        </w:rPr>
        <w:footnoteReference w:id="245"/>
      </w:r>
    </w:p>
    <w:p w14:paraId="7F9F4DB2" w14:textId="77777777" w:rsidR="001A500E" w:rsidRPr="00F7332E" w:rsidRDefault="001A500E" w:rsidP="00574469">
      <w:pPr>
        <w:pStyle w:val="BodyText"/>
      </w:pPr>
      <w:r w:rsidRPr="00F7332E">
        <w:t>In 2021</w:t>
      </w:r>
      <w:r>
        <w:t>,</w:t>
      </w:r>
      <w:r w:rsidRPr="00F7332E">
        <w:t xml:space="preserve"> a penalties reduction regime was also introduced (clemency programme)</w:t>
      </w:r>
      <w:r w:rsidRPr="0060155B">
        <w:t>. T</w:t>
      </w:r>
      <w:r w:rsidRPr="00F7332E">
        <w:t>he programme is open to an unlimited number of operators, whether companies or individuals, who participate in a cartel and report it</w:t>
      </w:r>
      <w:r w:rsidRPr="0060155B">
        <w:t>. J</w:t>
      </w:r>
      <w:r w:rsidRPr="00F7332E">
        <w:t>oining the programme reduces the fine imposed for participating in a cartel</w:t>
      </w:r>
      <w:r w:rsidRPr="0060155B">
        <w:t>. T</w:t>
      </w:r>
      <w:r w:rsidRPr="00F7332E">
        <w:t xml:space="preserve">he percentage </w:t>
      </w:r>
      <w:r>
        <w:t>by which the fine is reduced</w:t>
      </w:r>
      <w:r w:rsidRPr="00F7332E">
        <w:t xml:space="preserve"> depends on the point at which the operator joins the programme</w:t>
      </w:r>
      <w:r w:rsidRPr="0060155B">
        <w:t>. F</w:t>
      </w:r>
      <w:r w:rsidRPr="00F7332E">
        <w:t>or the first informant the fine is all but waived</w:t>
      </w:r>
      <w:r w:rsidRPr="0060155B">
        <w:t>: t</w:t>
      </w:r>
      <w:r w:rsidRPr="00F7332E">
        <w:t>he amount payable is the sum equivalent to 30 times the minimum wage, or for the conclusion of public procurement contracts, 200 times the minimum wage</w:t>
      </w:r>
      <w:r w:rsidRPr="0060155B">
        <w:t>. T</w:t>
      </w:r>
      <w:r w:rsidRPr="00F7332E">
        <w:t>he second and subsequent informants receive a reduction of between 50</w:t>
      </w:r>
      <w:r>
        <w:t>%</w:t>
      </w:r>
      <w:r w:rsidRPr="00F7332E">
        <w:t xml:space="preserve"> and 70</w:t>
      </w:r>
      <w:r>
        <w:t>%</w:t>
      </w:r>
      <w:r w:rsidRPr="0060155B">
        <w:t>.</w:t>
      </w:r>
      <w:r w:rsidRPr="0060155B">
        <w:rPr>
          <w:vertAlign w:val="superscript"/>
        </w:rPr>
        <w:footnoteReference w:id="246"/>
      </w:r>
      <w:r w:rsidRPr="0060155B">
        <w:t xml:space="preserve"> T</w:t>
      </w:r>
      <w:r w:rsidRPr="00F7332E">
        <w:t xml:space="preserve">he clemency programme applies only to economic operators </w:t>
      </w:r>
      <w:r>
        <w:t>regulated</w:t>
      </w:r>
      <w:r w:rsidRPr="00F7332E">
        <w:t xml:space="preserve"> by Law No. 42</w:t>
      </w:r>
      <w:r>
        <w:noBreakHyphen/>
      </w:r>
      <w:r w:rsidRPr="00F7332E">
        <w:t>08</w:t>
      </w:r>
      <w:r w:rsidRPr="0060155B">
        <w:t>. I</w:t>
      </w:r>
      <w:r w:rsidRPr="00F7332E">
        <w:t xml:space="preserve">n </w:t>
      </w:r>
      <w:r w:rsidRPr="0060155B">
        <w:t>August 2</w:t>
      </w:r>
      <w:r w:rsidRPr="00F7332E">
        <w:t>022</w:t>
      </w:r>
      <w:r>
        <w:t>,</w:t>
      </w:r>
      <w:r w:rsidRPr="00F7332E">
        <w:t xml:space="preserve"> the authorities indicated that no economic operators had joined the programme.</w:t>
      </w:r>
    </w:p>
    <w:p w14:paraId="1D749B87" w14:textId="77777777" w:rsidR="001A500E" w:rsidRPr="0060155B" w:rsidRDefault="001A500E" w:rsidP="00574469">
      <w:pPr>
        <w:pStyle w:val="BodyText"/>
      </w:pPr>
      <w:r w:rsidRPr="00F7332E">
        <w:t>Between 2017 and 2022, Pro</w:t>
      </w:r>
      <w:r>
        <w:noBreakHyphen/>
      </w:r>
      <w:proofErr w:type="spellStart"/>
      <w:r w:rsidRPr="00F7332E">
        <w:t>Competencia</w:t>
      </w:r>
      <w:proofErr w:type="spellEnd"/>
      <w:r w:rsidRPr="00F7332E">
        <w:t xml:space="preserve"> initiated 18 investigations for alleged anti</w:t>
      </w:r>
      <w:r>
        <w:noBreakHyphen/>
      </w:r>
      <w:r w:rsidRPr="00F7332E">
        <w:t xml:space="preserve">competitive conduct, </w:t>
      </w:r>
      <w:r>
        <w:t>six</w:t>
      </w:r>
      <w:r w:rsidRPr="00F7332E">
        <w:t xml:space="preserve"> of which it initiated </w:t>
      </w:r>
      <w:r w:rsidRPr="00F7332E">
        <w:rPr>
          <w:i/>
          <w:iCs/>
        </w:rPr>
        <w:t xml:space="preserve">ex </w:t>
      </w:r>
      <w:proofErr w:type="spellStart"/>
      <w:r w:rsidRPr="00F7332E">
        <w:rPr>
          <w:i/>
          <w:iCs/>
        </w:rPr>
        <w:t>oficio</w:t>
      </w:r>
      <w:proofErr w:type="spellEnd"/>
      <w:r w:rsidRPr="0060155B">
        <w:t>. T</w:t>
      </w:r>
      <w:r w:rsidRPr="00F7332E">
        <w:t xml:space="preserve">he markets investigated were chiefly in the </w:t>
      </w:r>
      <w:proofErr w:type="spellStart"/>
      <w:r w:rsidRPr="00F7332E">
        <w:t>agrifood</w:t>
      </w:r>
      <w:proofErr w:type="spellEnd"/>
      <w:r w:rsidRPr="00F7332E">
        <w:t xml:space="preserve"> sector</w:t>
      </w:r>
      <w:r w:rsidRPr="0060155B">
        <w:t>. A</w:t>
      </w:r>
      <w:r w:rsidRPr="00F7332E">
        <w:t xml:space="preserve">dditionally, penalties were imposed for abuse of dominant position and </w:t>
      </w:r>
      <w:r>
        <w:t xml:space="preserve">for </w:t>
      </w:r>
      <w:r w:rsidRPr="00F7332E">
        <w:t>price</w:t>
      </w:r>
      <w:r>
        <w:t xml:space="preserve"> fixing</w:t>
      </w:r>
      <w:r w:rsidRPr="00F7332E">
        <w:t>.</w:t>
      </w:r>
    </w:p>
    <w:p w14:paraId="1D7F593F" w14:textId="77777777" w:rsidR="001A500E" w:rsidRPr="0060155B" w:rsidRDefault="001A500E" w:rsidP="00574469">
      <w:pPr>
        <w:pStyle w:val="BodyText"/>
      </w:pPr>
      <w:r w:rsidRPr="00F7332E">
        <w:t>Law No. 42</w:t>
      </w:r>
      <w:r>
        <w:noBreakHyphen/>
      </w:r>
      <w:r w:rsidRPr="00F7332E">
        <w:t>08 does not regulate economic concentrations</w:t>
      </w:r>
      <w:r w:rsidRPr="0060155B">
        <w:t>. H</w:t>
      </w:r>
      <w:r w:rsidRPr="00F7332E">
        <w:t xml:space="preserve">owever there are other sectoral provisions that provide for economic concentrations to be notified and controlled </w:t>
      </w:r>
      <w:r w:rsidRPr="00F7332E">
        <w:rPr>
          <w:i/>
          <w:iCs/>
        </w:rPr>
        <w:t>ex ante</w:t>
      </w:r>
      <w:r w:rsidRPr="0060155B">
        <w:rPr>
          <w:i/>
          <w:iCs/>
        </w:rPr>
        <w:t xml:space="preserve">. </w:t>
      </w:r>
      <w:r w:rsidRPr="0060155B">
        <w:t>F</w:t>
      </w:r>
      <w:r w:rsidRPr="00F7332E">
        <w:t>or example</w:t>
      </w:r>
      <w:r>
        <w:t>,</w:t>
      </w:r>
      <w:r w:rsidRPr="00F7332E">
        <w:t xml:space="preserve"> in the telecommunications sector</w:t>
      </w:r>
      <w:r>
        <w:t>,</w:t>
      </w:r>
      <w:r w:rsidRPr="00F7332E">
        <w:t xml:space="preserve"> economic concentrations must be notified in advance and authorized by </w:t>
      </w:r>
      <w:proofErr w:type="spellStart"/>
      <w:r w:rsidRPr="00F7332E">
        <w:t>INDOTEL</w:t>
      </w:r>
      <w:proofErr w:type="spellEnd"/>
      <w:r w:rsidRPr="0060155B">
        <w:t>.</w:t>
      </w:r>
      <w:r w:rsidRPr="0060155B">
        <w:rPr>
          <w:vertAlign w:val="superscript"/>
        </w:rPr>
        <w:footnoteReference w:id="247"/>
      </w:r>
      <w:r w:rsidRPr="0060155B">
        <w:t xml:space="preserve"> A</w:t>
      </w:r>
      <w:r w:rsidRPr="00F7332E">
        <w:t>dditionally, in the financial intermediation market, prior authorization is required from the Monetary Board in order to be able to merge with or absorb another entity, provided that the transaction represents 30</w:t>
      </w:r>
      <w:r>
        <w:t>%</w:t>
      </w:r>
      <w:r w:rsidRPr="00F7332E">
        <w:t xml:space="preserve"> or more of the paid</w:t>
      </w:r>
      <w:r>
        <w:noBreakHyphen/>
      </w:r>
      <w:r w:rsidRPr="00F7332E">
        <w:t>up capital</w:t>
      </w:r>
      <w:r w:rsidRPr="0060155B">
        <w:t>.</w:t>
      </w:r>
      <w:r w:rsidRPr="0060155B">
        <w:rPr>
          <w:vertAlign w:val="superscript"/>
        </w:rPr>
        <w:footnoteReference w:id="248"/>
      </w:r>
      <w:r w:rsidRPr="0060155B">
        <w:t xml:space="preserve"> F</w:t>
      </w:r>
      <w:r w:rsidRPr="00F7332E">
        <w:t xml:space="preserve">inally, all mergers between </w:t>
      </w:r>
      <w:r>
        <w:t>listed companies</w:t>
      </w:r>
      <w:r w:rsidRPr="00F7332E">
        <w:t xml:space="preserve"> require </w:t>
      </w:r>
      <w:r w:rsidRPr="00F7332E">
        <w:rPr>
          <w:i/>
          <w:iCs/>
        </w:rPr>
        <w:t>ex ante</w:t>
      </w:r>
      <w:r w:rsidRPr="00F7332E">
        <w:t xml:space="preserve"> approval from the Securities Supervisory Authority.</w:t>
      </w:r>
      <w:r w:rsidRPr="00F7332E">
        <w:rPr>
          <w:vertAlign w:val="superscript"/>
        </w:rPr>
        <w:footnoteReference w:id="249"/>
      </w:r>
    </w:p>
    <w:p w14:paraId="398F7923" w14:textId="64C099BA" w:rsidR="001A500E" w:rsidRPr="00F7332E" w:rsidRDefault="001A500E" w:rsidP="00574469">
      <w:pPr>
        <w:pStyle w:val="BodyText"/>
      </w:pPr>
      <w:r w:rsidRPr="00F7332E">
        <w:t>There are also sectoral provisions limiting business</w:t>
      </w:r>
      <w:r>
        <w:noBreakHyphen/>
      </w:r>
      <w:r w:rsidRPr="00F7332E">
        <w:t>to</w:t>
      </w:r>
      <w:r>
        <w:noBreakHyphen/>
      </w:r>
      <w:r w:rsidRPr="00F7332E">
        <w:t>business integration</w:t>
      </w:r>
      <w:r w:rsidRPr="0060155B">
        <w:t>. T</w:t>
      </w:r>
      <w:r w:rsidRPr="00F7332E">
        <w:t>he electricity sector is a case in point (Section 4.2</w:t>
      </w:r>
      <w:r w:rsidR="00696EB0">
        <w:t>.3</w:t>
      </w:r>
      <w:r w:rsidRPr="00F7332E">
        <w:t>).</w:t>
      </w:r>
    </w:p>
    <w:p w14:paraId="502716D8" w14:textId="77777777" w:rsidR="001A500E" w:rsidRPr="00F7332E" w:rsidRDefault="001A500E" w:rsidP="00574469">
      <w:pPr>
        <w:pStyle w:val="BodyText"/>
      </w:pPr>
      <w:r w:rsidRPr="00F7332E">
        <w:t>In addition to preventing anti</w:t>
      </w:r>
      <w:r>
        <w:noBreakHyphen/>
      </w:r>
      <w:r w:rsidRPr="00F7332E">
        <w:t>competitive practices in the various markets, Pro</w:t>
      </w:r>
      <w:r>
        <w:noBreakHyphen/>
      </w:r>
      <w:proofErr w:type="spellStart"/>
      <w:r w:rsidRPr="00F7332E">
        <w:t>Competencia</w:t>
      </w:r>
      <w:proofErr w:type="spellEnd"/>
      <w:r w:rsidRPr="00F7332E">
        <w:t xml:space="preserve"> also promotes a culture of competition</w:t>
      </w:r>
      <w:r w:rsidRPr="0060155B">
        <w:t>: (</w:t>
      </w:r>
      <w:proofErr w:type="spellStart"/>
      <w:r w:rsidRPr="00F7332E">
        <w:t>i</w:t>
      </w:r>
      <w:proofErr w:type="spellEnd"/>
      <w:r w:rsidRPr="00F7332E">
        <w:t>) by ensuring that the various state institutions do not place obstacles in the way of free competition</w:t>
      </w:r>
      <w:r w:rsidRPr="0060155B">
        <w:t>; a</w:t>
      </w:r>
      <w:r w:rsidRPr="00F7332E">
        <w:t>nd (ii) conducting investigative surveys to analyse the degree of competition in economic sectors and issuing recommendations</w:t>
      </w:r>
      <w:r w:rsidRPr="0060155B">
        <w:t>. T</w:t>
      </w:r>
      <w:r w:rsidRPr="00F7332E">
        <w:t>o that end, Pro</w:t>
      </w:r>
      <w:r>
        <w:noBreakHyphen/>
      </w:r>
      <w:proofErr w:type="spellStart"/>
      <w:r w:rsidRPr="00F7332E">
        <w:t>Competencia</w:t>
      </w:r>
      <w:proofErr w:type="spellEnd"/>
      <w:r w:rsidRPr="00F7332E">
        <w:t xml:space="preserve"> set up the Observatory on the Conditions of Competition in Markets to identify the risks of anti</w:t>
      </w:r>
      <w:r>
        <w:noBreakHyphen/>
      </w:r>
      <w:r w:rsidRPr="00F7332E">
        <w:t>competitive practices</w:t>
      </w:r>
      <w:r>
        <w:t xml:space="preserve"> occurring</w:t>
      </w:r>
      <w:r w:rsidRPr="00F7332E">
        <w:t>.</w:t>
      </w:r>
    </w:p>
    <w:p w14:paraId="06A4423A" w14:textId="77777777" w:rsidR="001A500E" w:rsidRPr="00F7332E" w:rsidRDefault="001A500E" w:rsidP="00574469">
      <w:pPr>
        <w:pStyle w:val="BodyText"/>
        <w:rPr>
          <w:rFonts w:asciiTheme="majorHAnsi" w:hAnsiTheme="majorHAnsi"/>
          <w:szCs w:val="18"/>
        </w:rPr>
      </w:pPr>
      <w:r w:rsidRPr="00F7332E">
        <w:t>One of the objectives of economic policy in the Dominican Republic is to promote economic growth and development in an environment where there is free competition so that prices are fair and stable, thereby strengthening the purchasing power of the population</w:t>
      </w:r>
      <w:r w:rsidRPr="0060155B">
        <w:t>. I</w:t>
      </w:r>
      <w:r>
        <w:t>n that connection,</w:t>
      </w:r>
      <w:r w:rsidRPr="00F7332E">
        <w:t xml:space="preserve"> the National Institute for the Protection of Consumer Rights (Pro </w:t>
      </w:r>
      <w:proofErr w:type="spellStart"/>
      <w:r w:rsidRPr="00F7332E">
        <w:t>Consumidor</w:t>
      </w:r>
      <w:proofErr w:type="spellEnd"/>
      <w:r w:rsidRPr="00F7332E">
        <w:t xml:space="preserve">) was set up as the state </w:t>
      </w:r>
      <w:r w:rsidRPr="00F7332E">
        <w:lastRenderedPageBreak/>
        <w:t>body to protect consumer rights</w:t>
      </w:r>
      <w:r w:rsidRPr="0060155B">
        <w:t>.</w:t>
      </w:r>
      <w:r w:rsidRPr="0060155B">
        <w:rPr>
          <w:vertAlign w:val="superscript"/>
        </w:rPr>
        <w:footnoteReference w:id="250"/>
      </w:r>
      <w:r w:rsidRPr="0060155B">
        <w:t xml:space="preserve"> I</w:t>
      </w:r>
      <w:r w:rsidRPr="00F7332E">
        <w:t>ts tasks include monitoring domestic and international prices, and conducting market surveys of the goods and services that have the greatest impact on the family budget, with the twofold purpose of safeguarding consumers and encouraging healthy competition in the market</w:t>
      </w:r>
      <w:r w:rsidRPr="0060155B">
        <w:t>.</w:t>
      </w:r>
      <w:r w:rsidRPr="0060155B">
        <w:rPr>
          <w:vertAlign w:val="superscript"/>
        </w:rPr>
        <w:footnoteReference w:id="251"/>
      </w:r>
      <w:r w:rsidRPr="0060155B">
        <w:t xml:space="preserve"> T</w:t>
      </w:r>
      <w:r w:rsidRPr="00F7332E">
        <w:t>hrough its surveys</w:t>
      </w:r>
      <w:r>
        <w:t>,</w:t>
      </w:r>
      <w:r w:rsidRPr="00F7332E">
        <w:t xml:space="preserve"> Pro </w:t>
      </w:r>
      <w:proofErr w:type="spellStart"/>
      <w:r w:rsidRPr="00F7332E">
        <w:t>Consumidor</w:t>
      </w:r>
      <w:proofErr w:type="spellEnd"/>
      <w:r w:rsidRPr="00F7332E">
        <w:t xml:space="preserve"> can establish whether there are any unjustified price deviations, for example as a result of suppliers hoarding goods or reaching agreements among themselves, and may act to penalize such practices</w:t>
      </w:r>
      <w:r w:rsidRPr="0060155B">
        <w:t>.</w:t>
      </w:r>
      <w:r w:rsidRPr="0060155B">
        <w:rPr>
          <w:vertAlign w:val="superscript"/>
        </w:rPr>
        <w:footnoteReference w:id="252"/>
      </w:r>
      <w:r w:rsidRPr="0060155B">
        <w:t xml:space="preserve"> T</w:t>
      </w:r>
      <w:r w:rsidRPr="00F7332E">
        <w:t>hus</w:t>
      </w:r>
      <w:r>
        <w:t>,</w:t>
      </w:r>
      <w:r w:rsidRPr="00F7332E">
        <w:t xml:space="preserve"> although for several years there was no competition law in force in the Dominican Republic, certain practices were regulated under the General Law on Protection of Consumers' and Users' Rights.</w:t>
      </w:r>
    </w:p>
    <w:p w14:paraId="668D51CE" w14:textId="77777777" w:rsidR="001A500E" w:rsidRPr="00F7332E" w:rsidRDefault="001A500E" w:rsidP="00574469">
      <w:pPr>
        <w:pStyle w:val="Heading4"/>
      </w:pPr>
      <w:bookmarkStart w:id="241" w:name="_Toc114735758"/>
      <w:bookmarkStart w:id="242" w:name="_Toc117260639"/>
      <w:r w:rsidRPr="00F7332E">
        <w:t>Price control</w:t>
      </w:r>
      <w:bookmarkEnd w:id="241"/>
      <w:r>
        <w:t>s</w:t>
      </w:r>
      <w:bookmarkEnd w:id="242"/>
    </w:p>
    <w:p w14:paraId="56884884" w14:textId="77777777" w:rsidR="001A500E" w:rsidRPr="0060155B" w:rsidRDefault="001A500E" w:rsidP="00574469">
      <w:pPr>
        <w:pStyle w:val="BodyText"/>
      </w:pPr>
      <w:r w:rsidRPr="00F7332E">
        <w:t>The prices of sugar, fuel, natural gas and electricity are still controlled in the Dominican Republic.</w:t>
      </w:r>
    </w:p>
    <w:p w14:paraId="4552D362" w14:textId="77777777" w:rsidR="001A500E" w:rsidRPr="0060155B" w:rsidRDefault="001A500E" w:rsidP="00574469">
      <w:pPr>
        <w:pStyle w:val="BodyText"/>
      </w:pPr>
      <w:r w:rsidRPr="00F7332E">
        <w:t>The National Sugar Institute (</w:t>
      </w:r>
      <w:proofErr w:type="spellStart"/>
      <w:r w:rsidRPr="00F7332E">
        <w:t>INAZUCAR</w:t>
      </w:r>
      <w:proofErr w:type="spellEnd"/>
      <w:r w:rsidRPr="00F7332E">
        <w:t xml:space="preserve">) regulates the </w:t>
      </w:r>
      <w:r>
        <w:t xml:space="preserve">selling </w:t>
      </w:r>
      <w:r w:rsidRPr="00F7332E">
        <w:t>price from producer to wholesaler, wholesaler to retailer, and retailer to end consumer</w:t>
      </w:r>
      <w:r w:rsidRPr="0060155B">
        <w:t>. T</w:t>
      </w:r>
      <w:r w:rsidRPr="00F7332E">
        <w:t xml:space="preserve">he price is set by sugar type (raw or refined) while taking </w:t>
      </w:r>
      <w:r>
        <w:t xml:space="preserve">into </w:t>
      </w:r>
      <w:r w:rsidRPr="00F7332E">
        <w:t xml:space="preserve">account profit margins and all economic variables that </w:t>
      </w:r>
      <w:r>
        <w:t>affect</w:t>
      </w:r>
      <w:r w:rsidRPr="00F7332E">
        <w:t xml:space="preserve"> production and marketing</w:t>
      </w:r>
      <w:r w:rsidRPr="0060155B">
        <w:t>.</w:t>
      </w:r>
      <w:r w:rsidRPr="0060155B">
        <w:rPr>
          <w:szCs w:val="18"/>
          <w:vertAlign w:val="superscript"/>
        </w:rPr>
        <w:footnoteReference w:id="253"/>
      </w:r>
      <w:r w:rsidRPr="0060155B">
        <w:t xml:space="preserve"> P</w:t>
      </w:r>
      <w:r w:rsidRPr="00F7332E">
        <w:t>rices are updated as market conditions require</w:t>
      </w:r>
      <w:r w:rsidRPr="0060155B">
        <w:t>. T</w:t>
      </w:r>
      <w:r w:rsidRPr="00F7332E">
        <w:t>hey were revised in 2016, 2018 and 2020.</w:t>
      </w:r>
      <w:r w:rsidRPr="00F7332E">
        <w:rPr>
          <w:szCs w:val="18"/>
          <w:vertAlign w:val="superscript"/>
        </w:rPr>
        <w:footnoteReference w:id="254"/>
      </w:r>
    </w:p>
    <w:p w14:paraId="158431DE" w14:textId="77777777" w:rsidR="001A500E" w:rsidRPr="0060155B" w:rsidRDefault="001A500E" w:rsidP="00574469">
      <w:pPr>
        <w:pStyle w:val="BodyText"/>
      </w:pPr>
      <w:r w:rsidRPr="00F7332E">
        <w:t xml:space="preserve">The </w:t>
      </w:r>
      <w:proofErr w:type="spellStart"/>
      <w:r w:rsidRPr="00F7332E">
        <w:t>MICM</w:t>
      </w:r>
      <w:proofErr w:type="spellEnd"/>
      <w:r w:rsidRPr="00F7332E">
        <w:t xml:space="preserve"> sets the price of fuel and natural gas weekly</w:t>
      </w:r>
      <w:r w:rsidRPr="0060155B">
        <w:t>; a</w:t>
      </w:r>
      <w:r w:rsidRPr="00F7332E">
        <w:t xml:space="preserve">ccount is taken of the international parity price, domestic taxes and the </w:t>
      </w:r>
      <w:r>
        <w:t>marketing</w:t>
      </w:r>
      <w:r w:rsidRPr="00F7332E">
        <w:t xml:space="preserve"> margins of distributors, retailers and transporters</w:t>
      </w:r>
      <w:r w:rsidRPr="0060155B">
        <w:t xml:space="preserve">. </w:t>
      </w:r>
      <w:proofErr w:type="spellStart"/>
      <w:r w:rsidRPr="0060155B">
        <w:t>M</w:t>
      </w:r>
      <w:r w:rsidRPr="00F7332E">
        <w:t>ICM</w:t>
      </w:r>
      <w:proofErr w:type="spellEnd"/>
      <w:r w:rsidRPr="00F7332E">
        <w:t xml:space="preserve"> publishes prices online.</w:t>
      </w:r>
      <w:r w:rsidRPr="00F7332E">
        <w:rPr>
          <w:vertAlign w:val="superscript"/>
        </w:rPr>
        <w:footnoteReference w:id="255"/>
      </w:r>
    </w:p>
    <w:p w14:paraId="0B79CE45" w14:textId="77777777" w:rsidR="001A500E" w:rsidRPr="00F7332E" w:rsidRDefault="001A500E" w:rsidP="00574469">
      <w:pPr>
        <w:pStyle w:val="BodyText"/>
      </w:pPr>
      <w:r w:rsidRPr="00F7332E">
        <w:t>The Electricity Supervisory Authority (SIE) sets tariffs for electricity supply for regulated clients</w:t>
      </w:r>
      <w:r w:rsidRPr="0060155B">
        <w:t>. T</w:t>
      </w:r>
      <w:r w:rsidRPr="00F7332E">
        <w:t>he tariff is set by voltage and consumption level and varies according to the distributor.</w:t>
      </w:r>
    </w:p>
    <w:p w14:paraId="5AEADE85" w14:textId="77777777" w:rsidR="001A500E" w:rsidRPr="00F7332E" w:rsidRDefault="001A500E" w:rsidP="00574469">
      <w:pPr>
        <w:pStyle w:val="BodyText"/>
        <w:rPr>
          <w:szCs w:val="18"/>
        </w:rPr>
      </w:pPr>
      <w:r w:rsidRPr="00F7332E">
        <w:t>According to law, the primary objective of the National Price Stabilization Institute (</w:t>
      </w:r>
      <w:proofErr w:type="spellStart"/>
      <w:r w:rsidRPr="00F7332E">
        <w:t>INESPRE</w:t>
      </w:r>
      <w:proofErr w:type="spellEnd"/>
      <w:r w:rsidRPr="00F7332E">
        <w:t>) is to regulate the prices of agricultural products on the domestic market where the situation so requires, through the processes of supply and demand</w:t>
      </w:r>
      <w:r w:rsidRPr="0060155B">
        <w:t>.</w:t>
      </w:r>
      <w:r w:rsidRPr="0060155B">
        <w:rPr>
          <w:vertAlign w:val="superscript"/>
        </w:rPr>
        <w:footnoteReference w:id="256"/>
      </w:r>
      <w:r w:rsidRPr="0060155B">
        <w:t xml:space="preserve"> T</w:t>
      </w:r>
      <w:r w:rsidRPr="00F7332E">
        <w:t>he authorities indicated that</w:t>
      </w:r>
      <w:r>
        <w:t>,</w:t>
      </w:r>
      <w:r w:rsidRPr="00F7332E">
        <w:t xml:space="preserve"> during the review period</w:t>
      </w:r>
      <w:r>
        <w:t>,</w:t>
      </w:r>
      <w:r w:rsidRPr="00F7332E">
        <w:t xml:space="preserve"> intervention by </w:t>
      </w:r>
      <w:proofErr w:type="spellStart"/>
      <w:r w:rsidRPr="00F7332E">
        <w:t>INESPRE</w:t>
      </w:r>
      <w:proofErr w:type="spellEnd"/>
      <w:r w:rsidRPr="00F7332E">
        <w:t xml:space="preserve"> in the marketing of agricultural products did not affect prices.</w:t>
      </w:r>
    </w:p>
    <w:p w14:paraId="7F6769A8" w14:textId="77777777" w:rsidR="001A500E" w:rsidRPr="00F7332E" w:rsidRDefault="001A500E" w:rsidP="00574469">
      <w:pPr>
        <w:pStyle w:val="Heading3"/>
      </w:pPr>
      <w:bookmarkStart w:id="243" w:name="_Toc384214178"/>
      <w:bookmarkStart w:id="244" w:name="_Toc417038510"/>
      <w:bookmarkStart w:id="245" w:name="_Toc114735759"/>
      <w:bookmarkStart w:id="246" w:name="_Toc117260640"/>
      <w:r w:rsidRPr="00F7332E">
        <w:t>State trading, state</w:t>
      </w:r>
      <w:r>
        <w:noBreakHyphen/>
      </w:r>
      <w:r w:rsidRPr="00F7332E">
        <w:t>owned enterprises, and privatization</w:t>
      </w:r>
      <w:bookmarkEnd w:id="243"/>
      <w:bookmarkEnd w:id="244"/>
      <w:bookmarkEnd w:id="245"/>
      <w:bookmarkEnd w:id="246"/>
    </w:p>
    <w:p w14:paraId="3D4D4DF7" w14:textId="77777777" w:rsidR="001A500E" w:rsidRPr="0060155B" w:rsidRDefault="001A500E" w:rsidP="00574469">
      <w:pPr>
        <w:pStyle w:val="BodyText"/>
      </w:pPr>
      <w:r w:rsidRPr="00F7332E">
        <w:t>In 2022</w:t>
      </w:r>
      <w:r>
        <w:t>,</w:t>
      </w:r>
      <w:r w:rsidRPr="00F7332E">
        <w:t xml:space="preserve"> the Dominican Republic notified the WTO that </w:t>
      </w:r>
      <w:proofErr w:type="spellStart"/>
      <w:r w:rsidRPr="00F7332E">
        <w:t>INESPRE</w:t>
      </w:r>
      <w:proofErr w:type="spellEnd"/>
      <w:r w:rsidRPr="00F7332E">
        <w:t xml:space="preserve"> </w:t>
      </w:r>
      <w:r>
        <w:t>is</w:t>
      </w:r>
      <w:r w:rsidRPr="00F7332E">
        <w:t xml:space="preserve"> a state trading enterprise according to the definition of Article XVII of the GATT 1994</w:t>
      </w:r>
      <w:r w:rsidRPr="0060155B">
        <w:t>.</w:t>
      </w:r>
      <w:r w:rsidRPr="0060155B">
        <w:rPr>
          <w:vertAlign w:val="superscript"/>
        </w:rPr>
        <w:footnoteReference w:id="257"/>
      </w:r>
      <w:r w:rsidRPr="0060155B">
        <w:t xml:space="preserve"> </w:t>
      </w:r>
      <w:proofErr w:type="spellStart"/>
      <w:r w:rsidRPr="0060155B">
        <w:t>I</w:t>
      </w:r>
      <w:r w:rsidRPr="00F7332E">
        <w:t>NESPRE</w:t>
      </w:r>
      <w:proofErr w:type="spellEnd"/>
      <w:r w:rsidRPr="00F7332E">
        <w:t xml:space="preserve"> may import products of agricultural origin when domestic production is insufficient, or export agricultural products when surpluses are produced</w:t>
      </w:r>
      <w:r w:rsidRPr="0060155B">
        <w:t>.</w:t>
      </w:r>
      <w:r w:rsidRPr="0060155B">
        <w:rPr>
          <w:vertAlign w:val="superscript"/>
        </w:rPr>
        <w:footnoteReference w:id="258"/>
      </w:r>
      <w:r w:rsidRPr="0060155B">
        <w:t xml:space="preserve"> A</w:t>
      </w:r>
      <w:r w:rsidRPr="00F7332E">
        <w:t xml:space="preserve">ccording to the notifications made in 2022, </w:t>
      </w:r>
      <w:proofErr w:type="spellStart"/>
      <w:r w:rsidRPr="00F7332E">
        <w:t>INESPRE</w:t>
      </w:r>
      <w:proofErr w:type="spellEnd"/>
      <w:r w:rsidRPr="00F7332E">
        <w:t xml:space="preserve"> is not engaged in Dominican foreign trade</w:t>
      </w:r>
      <w:r w:rsidRPr="0060155B">
        <w:t>; i</w:t>
      </w:r>
      <w:r w:rsidRPr="00F7332E">
        <w:t>t purchases and sells products on the local market.</w:t>
      </w:r>
    </w:p>
    <w:p w14:paraId="59B4C0FD" w14:textId="77777777" w:rsidR="001A500E" w:rsidRPr="0060155B" w:rsidRDefault="001A500E" w:rsidP="00574469">
      <w:pPr>
        <w:pStyle w:val="BodyText"/>
      </w:pPr>
      <w:r w:rsidRPr="00F7332E">
        <w:t>The State continues to be the sole proprietor or majority stakeholder in various financial and non</w:t>
      </w:r>
      <w:r>
        <w:noBreakHyphen/>
      </w:r>
      <w:r w:rsidRPr="00F7332E">
        <w:t>financial public enterprises (Table 3.15)</w:t>
      </w:r>
      <w:r w:rsidRPr="0060155B">
        <w:t>. A</w:t>
      </w:r>
      <w:r w:rsidRPr="00F7332E">
        <w:t>dditionally, the State has a</w:t>
      </w:r>
      <w:r>
        <w:t>n</w:t>
      </w:r>
      <w:r w:rsidRPr="00F7332E">
        <w:t xml:space="preserve"> </w:t>
      </w:r>
      <w:r>
        <w:t xml:space="preserve">equity </w:t>
      </w:r>
      <w:r w:rsidRPr="00F7332E">
        <w:t>holding in two</w:t>
      </w:r>
      <w:r>
        <w:t> </w:t>
      </w:r>
      <w:r w:rsidRPr="00F7332E">
        <w:t>power generation companies and one ferronickel mining company</w:t>
      </w:r>
      <w:r w:rsidRPr="0060155B">
        <w:t>.</w:t>
      </w:r>
      <w:r w:rsidRPr="0060155B">
        <w:rPr>
          <w:vertAlign w:val="superscript"/>
        </w:rPr>
        <w:footnoteReference w:id="259"/>
      </w:r>
      <w:r w:rsidRPr="0060155B">
        <w:t xml:space="preserve"> T</w:t>
      </w:r>
      <w:r w:rsidRPr="00F7332E">
        <w:t>he Chamber of Accounts of the Dominican Republic (CCRD) periodically reviews and verifies the accounts and economic circumstances of public enterprises.</w:t>
      </w:r>
      <w:r w:rsidRPr="00F7332E">
        <w:rPr>
          <w:vertAlign w:val="superscript"/>
        </w:rPr>
        <w:footnoteReference w:id="260"/>
      </w:r>
      <w:bookmarkStart w:id="247" w:name="_Toc114735830"/>
      <w:bookmarkStart w:id="248" w:name="_Hlk106549609"/>
    </w:p>
    <w:p w14:paraId="065C95F6" w14:textId="77777777" w:rsidR="001A500E" w:rsidRPr="00F7332E" w:rsidRDefault="001A500E" w:rsidP="006F0E66">
      <w:pPr>
        <w:pStyle w:val="Caption"/>
        <w:rPr>
          <w:b w:val="0"/>
          <w:bCs w:val="0"/>
        </w:rPr>
      </w:pPr>
      <w:bookmarkStart w:id="249" w:name="_Toc117238048"/>
      <w:r>
        <w:lastRenderedPageBreak/>
        <w:t xml:space="preserve">Table </w:t>
      </w:r>
      <w:r w:rsidR="00BD37F2">
        <w:fldChar w:fldCharType="begin"/>
      </w:r>
      <w:r w:rsidR="00BD37F2">
        <w:instrText xml:space="preserve"> STYLEREF 1 \s </w:instrText>
      </w:r>
      <w:r w:rsidR="00BD37F2">
        <w:fldChar w:fldCharType="separate"/>
      </w:r>
      <w:r>
        <w:rPr>
          <w:noProof/>
        </w:rPr>
        <w:t>3</w:t>
      </w:r>
      <w:r w:rsidR="00BD37F2">
        <w:rPr>
          <w:noProof/>
        </w:rPr>
        <w:fldChar w:fldCharType="end"/>
      </w:r>
      <w:r>
        <w:t>.</w:t>
      </w:r>
      <w:r w:rsidR="00BD37F2">
        <w:fldChar w:fldCharType="begin"/>
      </w:r>
      <w:r w:rsidR="00BD37F2">
        <w:instrText xml:space="preserve"> SEQ Table \* ARABIC \s 1 </w:instrText>
      </w:r>
      <w:r w:rsidR="00BD37F2">
        <w:fldChar w:fldCharType="separate"/>
      </w:r>
      <w:r>
        <w:rPr>
          <w:noProof/>
        </w:rPr>
        <w:t>15</w:t>
      </w:r>
      <w:r w:rsidR="00BD37F2">
        <w:rPr>
          <w:noProof/>
        </w:rPr>
        <w:fldChar w:fldCharType="end"/>
      </w:r>
      <w:r>
        <w:t xml:space="preserve"> </w:t>
      </w:r>
      <w:r w:rsidRPr="00F7332E">
        <w:t>Selected public enterprises, 2022</w:t>
      </w:r>
      <w:bookmarkEnd w:id="247"/>
      <w:bookmarkEnd w:id="249"/>
    </w:p>
    <w:tbl>
      <w:tblPr>
        <w:tblStyle w:val="WTOTable1"/>
        <w:tblW w:w="5000" w:type="pct"/>
        <w:tblLook w:val="04A0" w:firstRow="1" w:lastRow="0" w:firstColumn="1" w:lastColumn="0" w:noHBand="0" w:noVBand="1"/>
      </w:tblPr>
      <w:tblGrid>
        <w:gridCol w:w="6232"/>
        <w:gridCol w:w="2784"/>
      </w:tblGrid>
      <w:tr w:rsidR="001A500E" w:rsidRPr="00F7332E" w14:paraId="7599EF9F" w14:textId="77777777" w:rsidTr="00C51D8E">
        <w:trPr>
          <w:cnfStyle w:val="100000000000" w:firstRow="1" w:lastRow="0" w:firstColumn="0" w:lastColumn="0" w:oddVBand="0" w:evenVBand="0" w:oddHBand="0" w:evenHBand="0" w:firstRowFirstColumn="0" w:firstRowLastColumn="0" w:lastRowFirstColumn="0" w:lastRowLastColumn="0"/>
          <w:cantSplit/>
          <w:tblHeader/>
        </w:trPr>
        <w:tc>
          <w:tcPr>
            <w:tcW w:w="3456" w:type="pct"/>
            <w:tcBorders>
              <w:top w:val="single" w:sz="4" w:space="0" w:color="auto"/>
            </w:tcBorders>
          </w:tcPr>
          <w:p w14:paraId="28F1AEFF" w14:textId="77777777" w:rsidR="001A500E" w:rsidRPr="00F7332E" w:rsidRDefault="001A500E" w:rsidP="00D146B4">
            <w:pPr>
              <w:rPr>
                <w:b w:val="0"/>
                <w:sz w:val="15"/>
                <w:szCs w:val="15"/>
              </w:rPr>
            </w:pPr>
          </w:p>
        </w:tc>
        <w:tc>
          <w:tcPr>
            <w:tcW w:w="1544" w:type="pct"/>
            <w:tcBorders>
              <w:top w:val="single" w:sz="4" w:space="0" w:color="auto"/>
            </w:tcBorders>
          </w:tcPr>
          <w:p w14:paraId="5AD3420E" w14:textId="77777777" w:rsidR="001A500E" w:rsidRPr="00F7332E" w:rsidRDefault="001A500E" w:rsidP="00014AB7">
            <w:pPr>
              <w:jc w:val="center"/>
              <w:rPr>
                <w:b w:val="0"/>
                <w:sz w:val="15"/>
                <w:szCs w:val="15"/>
              </w:rPr>
            </w:pPr>
            <w:r w:rsidRPr="00F7332E">
              <w:rPr>
                <w:bCs/>
                <w:sz w:val="15"/>
                <w:szCs w:val="15"/>
              </w:rPr>
              <w:t>State shareholding (%)</w:t>
            </w:r>
          </w:p>
        </w:tc>
      </w:tr>
      <w:tr w:rsidR="001A500E" w:rsidRPr="00F7332E" w14:paraId="3D600B45" w14:textId="77777777" w:rsidTr="00C51D8E">
        <w:trPr>
          <w:cantSplit/>
        </w:trPr>
        <w:tc>
          <w:tcPr>
            <w:tcW w:w="3456" w:type="pct"/>
          </w:tcPr>
          <w:p w14:paraId="2D8A8D1D" w14:textId="77777777" w:rsidR="001A500E" w:rsidRPr="00F7332E" w:rsidRDefault="001A500E" w:rsidP="00D146B4">
            <w:pPr>
              <w:rPr>
                <w:b/>
                <w:bCs/>
                <w:sz w:val="15"/>
                <w:szCs w:val="15"/>
              </w:rPr>
            </w:pPr>
            <w:r w:rsidRPr="00F7332E">
              <w:rPr>
                <w:b/>
                <w:bCs/>
                <w:sz w:val="15"/>
                <w:szCs w:val="15"/>
              </w:rPr>
              <w:t>Non</w:t>
            </w:r>
            <w:r>
              <w:rPr>
                <w:b/>
                <w:bCs/>
                <w:sz w:val="15"/>
                <w:szCs w:val="15"/>
              </w:rPr>
              <w:noBreakHyphen/>
            </w:r>
            <w:r w:rsidRPr="00F7332E">
              <w:rPr>
                <w:b/>
                <w:bCs/>
                <w:sz w:val="15"/>
                <w:szCs w:val="15"/>
              </w:rPr>
              <w:t>financial public enterprises (</w:t>
            </w:r>
            <w:proofErr w:type="spellStart"/>
            <w:r w:rsidRPr="00F7332E">
              <w:rPr>
                <w:b/>
                <w:bCs/>
                <w:sz w:val="15"/>
                <w:szCs w:val="15"/>
              </w:rPr>
              <w:t>NFPE</w:t>
            </w:r>
            <w:proofErr w:type="spellEnd"/>
            <w:r w:rsidRPr="00F7332E">
              <w:rPr>
                <w:b/>
                <w:bCs/>
                <w:sz w:val="15"/>
                <w:szCs w:val="15"/>
              </w:rPr>
              <w:t>)</w:t>
            </w:r>
          </w:p>
        </w:tc>
        <w:tc>
          <w:tcPr>
            <w:tcW w:w="1544" w:type="pct"/>
          </w:tcPr>
          <w:p w14:paraId="3754702C" w14:textId="77777777" w:rsidR="001A500E" w:rsidRPr="00F7332E" w:rsidRDefault="001A500E" w:rsidP="00D146B4">
            <w:pPr>
              <w:ind w:right="1121"/>
              <w:jc w:val="right"/>
              <w:rPr>
                <w:sz w:val="15"/>
                <w:szCs w:val="15"/>
              </w:rPr>
            </w:pPr>
          </w:p>
        </w:tc>
      </w:tr>
      <w:tr w:rsidR="001A500E" w:rsidRPr="00F7332E" w14:paraId="07A96FB1" w14:textId="77777777" w:rsidTr="00C51D8E">
        <w:trPr>
          <w:cnfStyle w:val="000000010000" w:firstRow="0" w:lastRow="0" w:firstColumn="0" w:lastColumn="0" w:oddVBand="0" w:evenVBand="0" w:oddHBand="0" w:evenHBand="1" w:firstRowFirstColumn="0" w:firstRowLastColumn="0" w:lastRowFirstColumn="0" w:lastRowLastColumn="0"/>
          <w:cantSplit/>
        </w:trPr>
        <w:tc>
          <w:tcPr>
            <w:tcW w:w="3456" w:type="pct"/>
          </w:tcPr>
          <w:p w14:paraId="289D3441" w14:textId="77777777" w:rsidR="001A500E" w:rsidRPr="00F7332E" w:rsidRDefault="001A500E" w:rsidP="00C04543">
            <w:pPr>
              <w:rPr>
                <w:sz w:val="15"/>
                <w:szCs w:val="15"/>
              </w:rPr>
            </w:pPr>
            <w:r w:rsidRPr="00F7332E">
              <w:rPr>
                <w:sz w:val="15"/>
                <w:szCs w:val="15"/>
              </w:rPr>
              <w:t>Santo Domingo Water and Sewerage Corporation (</w:t>
            </w:r>
            <w:proofErr w:type="spellStart"/>
            <w:r w:rsidRPr="00F7332E">
              <w:rPr>
                <w:sz w:val="15"/>
                <w:szCs w:val="15"/>
              </w:rPr>
              <w:t>CAASD</w:t>
            </w:r>
            <w:proofErr w:type="spellEnd"/>
            <w:r w:rsidRPr="00F7332E">
              <w:rPr>
                <w:sz w:val="15"/>
                <w:szCs w:val="15"/>
              </w:rPr>
              <w:t>)</w:t>
            </w:r>
          </w:p>
        </w:tc>
        <w:tc>
          <w:tcPr>
            <w:tcW w:w="1544" w:type="pct"/>
          </w:tcPr>
          <w:p w14:paraId="31EA6174" w14:textId="77777777" w:rsidR="001A500E" w:rsidRPr="00F7332E" w:rsidRDefault="001A500E" w:rsidP="00D146B4">
            <w:pPr>
              <w:ind w:right="1121"/>
              <w:jc w:val="right"/>
              <w:rPr>
                <w:sz w:val="15"/>
                <w:szCs w:val="15"/>
              </w:rPr>
            </w:pPr>
            <w:r w:rsidRPr="00F7332E">
              <w:rPr>
                <w:sz w:val="15"/>
                <w:szCs w:val="15"/>
              </w:rPr>
              <w:t>100.0</w:t>
            </w:r>
          </w:p>
        </w:tc>
      </w:tr>
      <w:tr w:rsidR="001A500E" w:rsidRPr="00F7332E" w14:paraId="44EAD75C" w14:textId="77777777" w:rsidTr="00C51D8E">
        <w:trPr>
          <w:cantSplit/>
        </w:trPr>
        <w:tc>
          <w:tcPr>
            <w:tcW w:w="3456" w:type="pct"/>
          </w:tcPr>
          <w:p w14:paraId="0A2E96E5" w14:textId="77777777" w:rsidR="001A500E" w:rsidRPr="00F7332E" w:rsidRDefault="001A500E" w:rsidP="00D146B4">
            <w:pPr>
              <w:rPr>
                <w:sz w:val="15"/>
                <w:szCs w:val="15"/>
              </w:rPr>
            </w:pPr>
            <w:r w:rsidRPr="00F7332E">
              <w:rPr>
                <w:sz w:val="15"/>
                <w:szCs w:val="15"/>
              </w:rPr>
              <w:t>Santiago Water and Sewerage Corporation (</w:t>
            </w:r>
            <w:proofErr w:type="spellStart"/>
            <w:r w:rsidRPr="00F7332E">
              <w:rPr>
                <w:sz w:val="15"/>
                <w:szCs w:val="15"/>
              </w:rPr>
              <w:t>CORAASAN</w:t>
            </w:r>
            <w:proofErr w:type="spellEnd"/>
            <w:r w:rsidRPr="00F7332E">
              <w:rPr>
                <w:sz w:val="15"/>
                <w:szCs w:val="15"/>
              </w:rPr>
              <w:t>)</w:t>
            </w:r>
          </w:p>
        </w:tc>
        <w:tc>
          <w:tcPr>
            <w:tcW w:w="1544" w:type="pct"/>
          </w:tcPr>
          <w:p w14:paraId="385F8E82" w14:textId="77777777" w:rsidR="001A500E" w:rsidRPr="00F7332E" w:rsidRDefault="001A500E" w:rsidP="00D146B4">
            <w:pPr>
              <w:ind w:right="1121"/>
              <w:jc w:val="right"/>
              <w:rPr>
                <w:sz w:val="15"/>
                <w:szCs w:val="15"/>
              </w:rPr>
            </w:pPr>
            <w:r w:rsidRPr="00F7332E">
              <w:rPr>
                <w:sz w:val="15"/>
                <w:szCs w:val="15"/>
              </w:rPr>
              <w:t>100.0</w:t>
            </w:r>
          </w:p>
        </w:tc>
      </w:tr>
      <w:tr w:rsidR="001A500E" w:rsidRPr="00F7332E" w14:paraId="5E05B59B" w14:textId="77777777" w:rsidTr="00C51D8E">
        <w:trPr>
          <w:cnfStyle w:val="000000010000" w:firstRow="0" w:lastRow="0" w:firstColumn="0" w:lastColumn="0" w:oddVBand="0" w:evenVBand="0" w:oddHBand="0" w:evenHBand="1" w:firstRowFirstColumn="0" w:firstRowLastColumn="0" w:lastRowFirstColumn="0" w:lastRowLastColumn="0"/>
          <w:cantSplit/>
        </w:trPr>
        <w:tc>
          <w:tcPr>
            <w:tcW w:w="3456" w:type="pct"/>
          </w:tcPr>
          <w:p w14:paraId="0054BEDD" w14:textId="77777777" w:rsidR="001A500E" w:rsidRPr="00F7332E" w:rsidRDefault="001A500E" w:rsidP="00D146B4">
            <w:pPr>
              <w:rPr>
                <w:sz w:val="15"/>
                <w:szCs w:val="15"/>
              </w:rPr>
            </w:pPr>
            <w:proofErr w:type="spellStart"/>
            <w:r w:rsidRPr="00F7332E">
              <w:rPr>
                <w:sz w:val="15"/>
                <w:szCs w:val="15"/>
              </w:rPr>
              <w:t>Moca</w:t>
            </w:r>
            <w:proofErr w:type="spellEnd"/>
            <w:r w:rsidRPr="00F7332E">
              <w:rPr>
                <w:sz w:val="15"/>
                <w:szCs w:val="15"/>
              </w:rPr>
              <w:t xml:space="preserve"> Water and Sewerage Corporation (</w:t>
            </w:r>
            <w:proofErr w:type="spellStart"/>
            <w:r w:rsidRPr="00F7332E">
              <w:rPr>
                <w:sz w:val="15"/>
                <w:szCs w:val="15"/>
              </w:rPr>
              <w:t>CORAAMOCA</w:t>
            </w:r>
            <w:proofErr w:type="spellEnd"/>
            <w:r w:rsidRPr="00F7332E">
              <w:rPr>
                <w:sz w:val="15"/>
                <w:szCs w:val="15"/>
              </w:rPr>
              <w:t>)</w:t>
            </w:r>
          </w:p>
        </w:tc>
        <w:tc>
          <w:tcPr>
            <w:tcW w:w="1544" w:type="pct"/>
          </w:tcPr>
          <w:p w14:paraId="4E2AE0FA" w14:textId="77777777" w:rsidR="001A500E" w:rsidRPr="00F7332E" w:rsidRDefault="001A500E" w:rsidP="00D146B4">
            <w:pPr>
              <w:ind w:right="1121"/>
              <w:jc w:val="right"/>
              <w:rPr>
                <w:sz w:val="15"/>
                <w:szCs w:val="15"/>
              </w:rPr>
            </w:pPr>
            <w:r w:rsidRPr="00F7332E">
              <w:rPr>
                <w:sz w:val="15"/>
                <w:szCs w:val="15"/>
              </w:rPr>
              <w:t>100.0</w:t>
            </w:r>
          </w:p>
        </w:tc>
      </w:tr>
      <w:tr w:rsidR="001A500E" w:rsidRPr="00F7332E" w14:paraId="3414CF4B" w14:textId="77777777" w:rsidTr="00C51D8E">
        <w:trPr>
          <w:cantSplit/>
        </w:trPr>
        <w:tc>
          <w:tcPr>
            <w:tcW w:w="3456" w:type="pct"/>
          </w:tcPr>
          <w:p w14:paraId="1C14DAEB" w14:textId="77777777" w:rsidR="001A500E" w:rsidRPr="00F7332E" w:rsidRDefault="001A500E" w:rsidP="00D146B4">
            <w:pPr>
              <w:rPr>
                <w:sz w:val="15"/>
                <w:szCs w:val="15"/>
              </w:rPr>
            </w:pPr>
            <w:r w:rsidRPr="00F7332E">
              <w:rPr>
                <w:sz w:val="15"/>
                <w:szCs w:val="15"/>
              </w:rPr>
              <w:t>La Romana Water and Sewerage Corporation (</w:t>
            </w:r>
            <w:proofErr w:type="spellStart"/>
            <w:r w:rsidRPr="00F7332E">
              <w:rPr>
                <w:sz w:val="15"/>
                <w:szCs w:val="15"/>
              </w:rPr>
              <w:t>COAAROM</w:t>
            </w:r>
            <w:proofErr w:type="spellEnd"/>
            <w:r w:rsidRPr="00F7332E">
              <w:rPr>
                <w:sz w:val="15"/>
                <w:szCs w:val="15"/>
              </w:rPr>
              <w:t>)</w:t>
            </w:r>
          </w:p>
        </w:tc>
        <w:tc>
          <w:tcPr>
            <w:tcW w:w="1544" w:type="pct"/>
          </w:tcPr>
          <w:p w14:paraId="671F3A84" w14:textId="77777777" w:rsidR="001A500E" w:rsidRPr="00F7332E" w:rsidRDefault="001A500E" w:rsidP="00D146B4">
            <w:pPr>
              <w:ind w:right="1121"/>
              <w:jc w:val="right"/>
              <w:rPr>
                <w:sz w:val="15"/>
                <w:szCs w:val="15"/>
              </w:rPr>
            </w:pPr>
            <w:r w:rsidRPr="00F7332E">
              <w:rPr>
                <w:sz w:val="15"/>
                <w:szCs w:val="15"/>
              </w:rPr>
              <w:t>100.0</w:t>
            </w:r>
          </w:p>
        </w:tc>
      </w:tr>
      <w:tr w:rsidR="001A500E" w:rsidRPr="00F7332E" w14:paraId="75C350FA" w14:textId="77777777" w:rsidTr="00C51D8E">
        <w:trPr>
          <w:cnfStyle w:val="000000010000" w:firstRow="0" w:lastRow="0" w:firstColumn="0" w:lastColumn="0" w:oddVBand="0" w:evenVBand="0" w:oddHBand="0" w:evenHBand="1" w:firstRowFirstColumn="0" w:firstRowLastColumn="0" w:lastRowFirstColumn="0" w:lastRowLastColumn="0"/>
          <w:cantSplit/>
        </w:trPr>
        <w:tc>
          <w:tcPr>
            <w:tcW w:w="3456" w:type="pct"/>
          </w:tcPr>
          <w:p w14:paraId="1D6134F5" w14:textId="77777777" w:rsidR="001A500E" w:rsidRPr="00F7332E" w:rsidRDefault="001A500E" w:rsidP="00D146B4">
            <w:pPr>
              <w:rPr>
                <w:sz w:val="15"/>
                <w:szCs w:val="15"/>
              </w:rPr>
            </w:pPr>
            <w:r w:rsidRPr="00F7332E">
              <w:rPr>
                <w:sz w:val="15"/>
                <w:szCs w:val="15"/>
              </w:rPr>
              <w:t>Puerto Plata Water and Sewerage Corporation (</w:t>
            </w:r>
            <w:proofErr w:type="spellStart"/>
            <w:r w:rsidRPr="00F7332E">
              <w:rPr>
                <w:sz w:val="15"/>
                <w:szCs w:val="15"/>
              </w:rPr>
              <w:t>CORAAPPLATA</w:t>
            </w:r>
            <w:proofErr w:type="spellEnd"/>
            <w:r w:rsidRPr="00F7332E">
              <w:rPr>
                <w:sz w:val="15"/>
                <w:szCs w:val="15"/>
              </w:rPr>
              <w:t>)</w:t>
            </w:r>
          </w:p>
        </w:tc>
        <w:tc>
          <w:tcPr>
            <w:tcW w:w="1544" w:type="pct"/>
          </w:tcPr>
          <w:p w14:paraId="35396423" w14:textId="77777777" w:rsidR="001A500E" w:rsidRPr="00F7332E" w:rsidRDefault="001A500E" w:rsidP="00D146B4">
            <w:pPr>
              <w:ind w:right="1121"/>
              <w:jc w:val="right"/>
              <w:rPr>
                <w:sz w:val="15"/>
                <w:szCs w:val="15"/>
              </w:rPr>
            </w:pPr>
            <w:r w:rsidRPr="00F7332E">
              <w:rPr>
                <w:sz w:val="15"/>
                <w:szCs w:val="15"/>
              </w:rPr>
              <w:t>100.0</w:t>
            </w:r>
          </w:p>
        </w:tc>
      </w:tr>
      <w:tr w:rsidR="001A500E" w:rsidRPr="00F7332E" w14:paraId="3329BF7F" w14:textId="77777777" w:rsidTr="00C51D8E">
        <w:trPr>
          <w:cantSplit/>
        </w:trPr>
        <w:tc>
          <w:tcPr>
            <w:tcW w:w="3456" w:type="pct"/>
          </w:tcPr>
          <w:p w14:paraId="610684D9" w14:textId="77777777" w:rsidR="001A500E" w:rsidRPr="00F7332E" w:rsidRDefault="001A500E" w:rsidP="00D146B4">
            <w:pPr>
              <w:rPr>
                <w:sz w:val="15"/>
                <w:szCs w:val="15"/>
              </w:rPr>
            </w:pPr>
            <w:r w:rsidRPr="00F7332E">
              <w:rPr>
                <w:sz w:val="15"/>
                <w:szCs w:val="15"/>
              </w:rPr>
              <w:t>Boca Chica Water and Sewerage Corporation (</w:t>
            </w:r>
            <w:proofErr w:type="spellStart"/>
            <w:r w:rsidRPr="00F7332E">
              <w:rPr>
                <w:sz w:val="15"/>
                <w:szCs w:val="15"/>
              </w:rPr>
              <w:t>CORAABO</w:t>
            </w:r>
            <w:proofErr w:type="spellEnd"/>
            <w:r w:rsidRPr="00F7332E">
              <w:rPr>
                <w:sz w:val="15"/>
                <w:szCs w:val="15"/>
              </w:rPr>
              <w:t>)</w:t>
            </w:r>
          </w:p>
        </w:tc>
        <w:tc>
          <w:tcPr>
            <w:tcW w:w="1544" w:type="pct"/>
          </w:tcPr>
          <w:p w14:paraId="522366C0" w14:textId="77777777" w:rsidR="001A500E" w:rsidRPr="00F7332E" w:rsidRDefault="001A500E" w:rsidP="00D146B4">
            <w:pPr>
              <w:ind w:right="1121"/>
              <w:jc w:val="right"/>
              <w:rPr>
                <w:sz w:val="15"/>
                <w:szCs w:val="15"/>
              </w:rPr>
            </w:pPr>
            <w:r w:rsidRPr="00F7332E">
              <w:rPr>
                <w:sz w:val="15"/>
                <w:szCs w:val="15"/>
              </w:rPr>
              <w:t>100.0</w:t>
            </w:r>
          </w:p>
        </w:tc>
      </w:tr>
      <w:tr w:rsidR="001A500E" w:rsidRPr="00F7332E" w14:paraId="214F7803" w14:textId="77777777" w:rsidTr="00C51D8E">
        <w:trPr>
          <w:cnfStyle w:val="000000010000" w:firstRow="0" w:lastRow="0" w:firstColumn="0" w:lastColumn="0" w:oddVBand="0" w:evenVBand="0" w:oddHBand="0" w:evenHBand="1" w:firstRowFirstColumn="0" w:firstRowLastColumn="0" w:lastRowFirstColumn="0" w:lastRowLastColumn="0"/>
          <w:cantSplit/>
        </w:trPr>
        <w:tc>
          <w:tcPr>
            <w:tcW w:w="3456" w:type="pct"/>
          </w:tcPr>
          <w:p w14:paraId="63A44C9E" w14:textId="77777777" w:rsidR="001A500E" w:rsidRPr="00F7332E" w:rsidRDefault="001A500E" w:rsidP="00D146B4">
            <w:pPr>
              <w:rPr>
                <w:sz w:val="15"/>
                <w:szCs w:val="15"/>
              </w:rPr>
            </w:pPr>
            <w:proofErr w:type="spellStart"/>
            <w:r w:rsidRPr="00F7332E">
              <w:rPr>
                <w:sz w:val="15"/>
                <w:szCs w:val="15"/>
              </w:rPr>
              <w:t>Monseñor</w:t>
            </w:r>
            <w:proofErr w:type="spellEnd"/>
            <w:r w:rsidRPr="00F7332E">
              <w:rPr>
                <w:sz w:val="15"/>
                <w:szCs w:val="15"/>
              </w:rPr>
              <w:t xml:space="preserve"> </w:t>
            </w:r>
            <w:proofErr w:type="spellStart"/>
            <w:r w:rsidRPr="00F7332E">
              <w:rPr>
                <w:sz w:val="15"/>
                <w:szCs w:val="15"/>
              </w:rPr>
              <w:t>Nouel</w:t>
            </w:r>
            <w:proofErr w:type="spellEnd"/>
            <w:r w:rsidRPr="00F7332E">
              <w:rPr>
                <w:sz w:val="15"/>
                <w:szCs w:val="15"/>
              </w:rPr>
              <w:t xml:space="preserve"> Water and Sewerage Corporation (</w:t>
            </w:r>
            <w:proofErr w:type="spellStart"/>
            <w:r w:rsidRPr="00F7332E">
              <w:rPr>
                <w:sz w:val="15"/>
                <w:szCs w:val="15"/>
              </w:rPr>
              <w:t>CORAAMON</w:t>
            </w:r>
            <w:proofErr w:type="spellEnd"/>
            <w:r w:rsidRPr="00F7332E">
              <w:rPr>
                <w:sz w:val="15"/>
                <w:szCs w:val="15"/>
              </w:rPr>
              <w:t>)</w:t>
            </w:r>
          </w:p>
        </w:tc>
        <w:tc>
          <w:tcPr>
            <w:tcW w:w="1544" w:type="pct"/>
          </w:tcPr>
          <w:p w14:paraId="311C2F4D" w14:textId="77777777" w:rsidR="001A500E" w:rsidRPr="00F7332E" w:rsidRDefault="001A500E" w:rsidP="00D146B4">
            <w:pPr>
              <w:ind w:right="1121"/>
              <w:jc w:val="right"/>
              <w:rPr>
                <w:sz w:val="15"/>
                <w:szCs w:val="15"/>
              </w:rPr>
            </w:pPr>
            <w:r w:rsidRPr="00F7332E">
              <w:rPr>
                <w:sz w:val="15"/>
                <w:szCs w:val="15"/>
              </w:rPr>
              <w:t>100.0</w:t>
            </w:r>
          </w:p>
        </w:tc>
      </w:tr>
      <w:tr w:rsidR="001A500E" w:rsidRPr="00F7332E" w14:paraId="73C210E8" w14:textId="77777777" w:rsidTr="00C51D8E">
        <w:trPr>
          <w:cantSplit/>
        </w:trPr>
        <w:tc>
          <w:tcPr>
            <w:tcW w:w="3456" w:type="pct"/>
          </w:tcPr>
          <w:p w14:paraId="00BBD92B" w14:textId="77777777" w:rsidR="001A500E" w:rsidRPr="00F7332E" w:rsidRDefault="001A500E" w:rsidP="00D146B4">
            <w:pPr>
              <w:rPr>
                <w:sz w:val="15"/>
                <w:szCs w:val="15"/>
              </w:rPr>
            </w:pPr>
            <w:r w:rsidRPr="00F7332E">
              <w:rPr>
                <w:sz w:val="15"/>
                <w:szCs w:val="15"/>
              </w:rPr>
              <w:t>La Vega Water and Sewerage Corporation (</w:t>
            </w:r>
            <w:proofErr w:type="spellStart"/>
            <w:r w:rsidRPr="00F7332E">
              <w:rPr>
                <w:sz w:val="15"/>
                <w:szCs w:val="15"/>
              </w:rPr>
              <w:t>CORAAVEGA</w:t>
            </w:r>
            <w:proofErr w:type="spellEnd"/>
            <w:r w:rsidRPr="00F7332E">
              <w:rPr>
                <w:sz w:val="15"/>
                <w:szCs w:val="15"/>
              </w:rPr>
              <w:t>)</w:t>
            </w:r>
          </w:p>
        </w:tc>
        <w:tc>
          <w:tcPr>
            <w:tcW w:w="1544" w:type="pct"/>
          </w:tcPr>
          <w:p w14:paraId="41870470" w14:textId="77777777" w:rsidR="001A500E" w:rsidRPr="00F7332E" w:rsidRDefault="001A500E" w:rsidP="00D146B4">
            <w:pPr>
              <w:ind w:right="1121"/>
              <w:jc w:val="right"/>
              <w:rPr>
                <w:sz w:val="15"/>
                <w:szCs w:val="15"/>
              </w:rPr>
            </w:pPr>
            <w:r w:rsidRPr="00F7332E">
              <w:rPr>
                <w:sz w:val="15"/>
                <w:szCs w:val="15"/>
              </w:rPr>
              <w:t>100.0</w:t>
            </w:r>
          </w:p>
        </w:tc>
      </w:tr>
      <w:tr w:rsidR="001A500E" w:rsidRPr="00F7332E" w14:paraId="108FEE61" w14:textId="77777777" w:rsidTr="00C51D8E">
        <w:trPr>
          <w:cnfStyle w:val="000000010000" w:firstRow="0" w:lastRow="0" w:firstColumn="0" w:lastColumn="0" w:oddVBand="0" w:evenVBand="0" w:oddHBand="0" w:evenHBand="1" w:firstRowFirstColumn="0" w:firstRowLastColumn="0" w:lastRowFirstColumn="0" w:lastRowLastColumn="0"/>
          <w:cantSplit/>
        </w:trPr>
        <w:tc>
          <w:tcPr>
            <w:tcW w:w="3456" w:type="pct"/>
          </w:tcPr>
          <w:p w14:paraId="770F7FE0" w14:textId="77777777" w:rsidR="001A500E" w:rsidRPr="00F7332E" w:rsidRDefault="001A500E" w:rsidP="00D146B4">
            <w:pPr>
              <w:rPr>
                <w:sz w:val="15"/>
                <w:szCs w:val="15"/>
              </w:rPr>
            </w:pPr>
            <w:r w:rsidRPr="00F7332E">
              <w:rPr>
                <w:sz w:val="15"/>
                <w:szCs w:val="15"/>
              </w:rPr>
              <w:t>Dominican Hydroelectric Generation Company (</w:t>
            </w:r>
            <w:proofErr w:type="spellStart"/>
            <w:r w:rsidRPr="00F7332E">
              <w:rPr>
                <w:sz w:val="15"/>
                <w:szCs w:val="15"/>
              </w:rPr>
              <w:t>EGEHID</w:t>
            </w:r>
            <w:proofErr w:type="spellEnd"/>
            <w:r w:rsidRPr="00F7332E">
              <w:rPr>
                <w:sz w:val="15"/>
                <w:szCs w:val="15"/>
              </w:rPr>
              <w:t>)</w:t>
            </w:r>
          </w:p>
        </w:tc>
        <w:tc>
          <w:tcPr>
            <w:tcW w:w="1544" w:type="pct"/>
          </w:tcPr>
          <w:p w14:paraId="28A9AE49" w14:textId="77777777" w:rsidR="001A500E" w:rsidRPr="00F7332E" w:rsidRDefault="001A500E" w:rsidP="00D146B4">
            <w:pPr>
              <w:ind w:right="1121"/>
              <w:jc w:val="right"/>
              <w:rPr>
                <w:sz w:val="15"/>
                <w:szCs w:val="15"/>
              </w:rPr>
            </w:pPr>
            <w:r w:rsidRPr="00F7332E">
              <w:rPr>
                <w:sz w:val="15"/>
                <w:szCs w:val="15"/>
              </w:rPr>
              <w:t>100.0</w:t>
            </w:r>
          </w:p>
        </w:tc>
      </w:tr>
      <w:tr w:rsidR="001A500E" w:rsidRPr="00F7332E" w14:paraId="2D8DECCF" w14:textId="77777777" w:rsidTr="00C51D8E">
        <w:trPr>
          <w:cantSplit/>
        </w:trPr>
        <w:tc>
          <w:tcPr>
            <w:tcW w:w="3456" w:type="pct"/>
          </w:tcPr>
          <w:p w14:paraId="7CB8BA21" w14:textId="77777777" w:rsidR="001A500E" w:rsidRPr="00F7332E" w:rsidRDefault="001A500E" w:rsidP="00D146B4">
            <w:pPr>
              <w:rPr>
                <w:sz w:val="15"/>
                <w:szCs w:val="15"/>
              </w:rPr>
            </w:pPr>
            <w:r w:rsidRPr="00F7332E">
              <w:rPr>
                <w:sz w:val="15"/>
                <w:szCs w:val="15"/>
              </w:rPr>
              <w:t>Punta Catalina Thermal Power Station</w:t>
            </w:r>
          </w:p>
        </w:tc>
        <w:tc>
          <w:tcPr>
            <w:tcW w:w="1544" w:type="pct"/>
          </w:tcPr>
          <w:p w14:paraId="55C97B59" w14:textId="77777777" w:rsidR="001A500E" w:rsidRPr="00F7332E" w:rsidRDefault="001A500E" w:rsidP="00D146B4">
            <w:pPr>
              <w:ind w:right="1121"/>
              <w:jc w:val="right"/>
              <w:rPr>
                <w:sz w:val="15"/>
                <w:szCs w:val="15"/>
              </w:rPr>
            </w:pPr>
            <w:r w:rsidRPr="00F7332E">
              <w:rPr>
                <w:sz w:val="15"/>
                <w:szCs w:val="15"/>
              </w:rPr>
              <w:t>100.0</w:t>
            </w:r>
          </w:p>
        </w:tc>
      </w:tr>
      <w:tr w:rsidR="001A500E" w:rsidRPr="00F7332E" w14:paraId="69D1FC5C" w14:textId="77777777" w:rsidTr="00C51D8E">
        <w:trPr>
          <w:cnfStyle w:val="000000010000" w:firstRow="0" w:lastRow="0" w:firstColumn="0" w:lastColumn="0" w:oddVBand="0" w:evenVBand="0" w:oddHBand="0" w:evenHBand="1" w:firstRowFirstColumn="0" w:firstRowLastColumn="0" w:lastRowFirstColumn="0" w:lastRowLastColumn="0"/>
          <w:cantSplit/>
        </w:trPr>
        <w:tc>
          <w:tcPr>
            <w:tcW w:w="3456" w:type="pct"/>
          </w:tcPr>
          <w:p w14:paraId="38C2951F" w14:textId="77777777" w:rsidR="001A500E" w:rsidRPr="00F7332E" w:rsidRDefault="001A500E" w:rsidP="00D146B4">
            <w:pPr>
              <w:rPr>
                <w:sz w:val="15"/>
                <w:szCs w:val="15"/>
              </w:rPr>
            </w:pPr>
            <w:r w:rsidRPr="00F7332E">
              <w:rPr>
                <w:sz w:val="15"/>
                <w:szCs w:val="15"/>
              </w:rPr>
              <w:t>Dominican Power Transmission Company (</w:t>
            </w:r>
            <w:proofErr w:type="spellStart"/>
            <w:r w:rsidRPr="00F7332E">
              <w:rPr>
                <w:sz w:val="15"/>
                <w:szCs w:val="15"/>
              </w:rPr>
              <w:t>ETED</w:t>
            </w:r>
            <w:proofErr w:type="spellEnd"/>
            <w:r w:rsidRPr="00F7332E">
              <w:rPr>
                <w:sz w:val="15"/>
                <w:szCs w:val="15"/>
              </w:rPr>
              <w:t>)</w:t>
            </w:r>
          </w:p>
        </w:tc>
        <w:tc>
          <w:tcPr>
            <w:tcW w:w="1544" w:type="pct"/>
          </w:tcPr>
          <w:p w14:paraId="1BDF8A86" w14:textId="77777777" w:rsidR="001A500E" w:rsidRPr="00F7332E" w:rsidRDefault="001A500E" w:rsidP="00D146B4">
            <w:pPr>
              <w:ind w:right="1121"/>
              <w:jc w:val="right"/>
              <w:rPr>
                <w:sz w:val="15"/>
                <w:szCs w:val="15"/>
              </w:rPr>
            </w:pPr>
            <w:r w:rsidRPr="00F7332E">
              <w:rPr>
                <w:sz w:val="15"/>
                <w:szCs w:val="15"/>
              </w:rPr>
              <w:t>100.0</w:t>
            </w:r>
          </w:p>
        </w:tc>
      </w:tr>
      <w:tr w:rsidR="001A500E" w:rsidRPr="00F7332E" w14:paraId="669E2FA7" w14:textId="77777777" w:rsidTr="00C51D8E">
        <w:trPr>
          <w:cantSplit/>
        </w:trPr>
        <w:tc>
          <w:tcPr>
            <w:tcW w:w="3456" w:type="pct"/>
          </w:tcPr>
          <w:p w14:paraId="37CB52C7" w14:textId="77777777" w:rsidR="001A500E" w:rsidRPr="00F7332E" w:rsidRDefault="001A500E" w:rsidP="00D146B4">
            <w:pPr>
              <w:rPr>
                <w:sz w:val="15"/>
                <w:szCs w:val="15"/>
              </w:rPr>
            </w:pPr>
            <w:r w:rsidRPr="00F7332E">
              <w:rPr>
                <w:sz w:val="15"/>
                <w:szCs w:val="15"/>
              </w:rPr>
              <w:t>Northern Electricity Distribution Company (</w:t>
            </w:r>
            <w:proofErr w:type="spellStart"/>
            <w:r w:rsidRPr="00F7332E">
              <w:rPr>
                <w:sz w:val="15"/>
                <w:szCs w:val="15"/>
              </w:rPr>
              <w:t>EDENORTE</w:t>
            </w:r>
            <w:proofErr w:type="spellEnd"/>
            <w:r w:rsidRPr="00F7332E">
              <w:rPr>
                <w:sz w:val="15"/>
                <w:szCs w:val="15"/>
              </w:rPr>
              <w:t>)</w:t>
            </w:r>
          </w:p>
        </w:tc>
        <w:tc>
          <w:tcPr>
            <w:tcW w:w="1544" w:type="pct"/>
          </w:tcPr>
          <w:p w14:paraId="0E3371B7" w14:textId="77777777" w:rsidR="001A500E" w:rsidRPr="00F7332E" w:rsidRDefault="001A500E" w:rsidP="00D146B4">
            <w:pPr>
              <w:ind w:right="1121"/>
              <w:jc w:val="right"/>
              <w:rPr>
                <w:sz w:val="15"/>
                <w:szCs w:val="15"/>
              </w:rPr>
            </w:pPr>
            <w:r w:rsidRPr="00F7332E">
              <w:rPr>
                <w:sz w:val="15"/>
                <w:szCs w:val="15"/>
              </w:rPr>
              <w:t>100.0</w:t>
            </w:r>
          </w:p>
        </w:tc>
      </w:tr>
      <w:tr w:rsidR="001A500E" w:rsidRPr="00F7332E" w14:paraId="6B0DCBAF" w14:textId="77777777" w:rsidTr="00C51D8E">
        <w:trPr>
          <w:cnfStyle w:val="000000010000" w:firstRow="0" w:lastRow="0" w:firstColumn="0" w:lastColumn="0" w:oddVBand="0" w:evenVBand="0" w:oddHBand="0" w:evenHBand="1" w:firstRowFirstColumn="0" w:firstRowLastColumn="0" w:lastRowFirstColumn="0" w:lastRowLastColumn="0"/>
          <w:cantSplit/>
        </w:trPr>
        <w:tc>
          <w:tcPr>
            <w:tcW w:w="3456" w:type="pct"/>
          </w:tcPr>
          <w:p w14:paraId="5D970005" w14:textId="77777777" w:rsidR="001A500E" w:rsidRPr="00F7332E" w:rsidRDefault="001A500E" w:rsidP="00D146B4">
            <w:pPr>
              <w:rPr>
                <w:sz w:val="15"/>
                <w:szCs w:val="15"/>
              </w:rPr>
            </w:pPr>
            <w:r w:rsidRPr="00F7332E">
              <w:rPr>
                <w:sz w:val="15"/>
                <w:szCs w:val="15"/>
              </w:rPr>
              <w:t>Southern Electricity Distribution Company (</w:t>
            </w:r>
            <w:proofErr w:type="spellStart"/>
            <w:r w:rsidRPr="00F7332E">
              <w:rPr>
                <w:sz w:val="15"/>
                <w:szCs w:val="15"/>
              </w:rPr>
              <w:t>EDESUR</w:t>
            </w:r>
            <w:proofErr w:type="spellEnd"/>
            <w:r w:rsidRPr="00F7332E">
              <w:rPr>
                <w:sz w:val="15"/>
                <w:szCs w:val="15"/>
              </w:rPr>
              <w:t>)</w:t>
            </w:r>
          </w:p>
        </w:tc>
        <w:tc>
          <w:tcPr>
            <w:tcW w:w="1544" w:type="pct"/>
          </w:tcPr>
          <w:p w14:paraId="04E89E4E" w14:textId="77777777" w:rsidR="001A500E" w:rsidRPr="00F7332E" w:rsidRDefault="001A500E" w:rsidP="00D146B4">
            <w:pPr>
              <w:ind w:right="1121"/>
              <w:jc w:val="right"/>
              <w:rPr>
                <w:sz w:val="15"/>
                <w:szCs w:val="15"/>
              </w:rPr>
            </w:pPr>
            <w:r w:rsidRPr="00F7332E">
              <w:rPr>
                <w:sz w:val="15"/>
                <w:szCs w:val="15"/>
              </w:rPr>
              <w:t>100.0</w:t>
            </w:r>
          </w:p>
        </w:tc>
      </w:tr>
      <w:tr w:rsidR="001A500E" w:rsidRPr="00F7332E" w14:paraId="1C03619B" w14:textId="77777777" w:rsidTr="00C51D8E">
        <w:trPr>
          <w:cantSplit/>
        </w:trPr>
        <w:tc>
          <w:tcPr>
            <w:tcW w:w="3456" w:type="pct"/>
          </w:tcPr>
          <w:p w14:paraId="0B4BDF01" w14:textId="77777777" w:rsidR="001A500E" w:rsidRPr="00F7332E" w:rsidRDefault="001A500E" w:rsidP="00D146B4">
            <w:pPr>
              <w:rPr>
                <w:sz w:val="15"/>
                <w:szCs w:val="15"/>
              </w:rPr>
            </w:pPr>
            <w:r w:rsidRPr="00F7332E">
              <w:rPr>
                <w:sz w:val="15"/>
                <w:szCs w:val="15"/>
              </w:rPr>
              <w:t>Eastern Electricity Distribution Company (</w:t>
            </w:r>
            <w:proofErr w:type="spellStart"/>
            <w:r w:rsidRPr="00F7332E">
              <w:rPr>
                <w:sz w:val="15"/>
                <w:szCs w:val="15"/>
              </w:rPr>
              <w:t>EDEESTE</w:t>
            </w:r>
            <w:proofErr w:type="spellEnd"/>
            <w:r w:rsidRPr="00F7332E">
              <w:rPr>
                <w:sz w:val="15"/>
                <w:szCs w:val="15"/>
              </w:rPr>
              <w:t>)</w:t>
            </w:r>
          </w:p>
        </w:tc>
        <w:tc>
          <w:tcPr>
            <w:tcW w:w="1544" w:type="pct"/>
          </w:tcPr>
          <w:p w14:paraId="78B6E886" w14:textId="77777777" w:rsidR="001A500E" w:rsidRPr="00F7332E" w:rsidRDefault="001A500E" w:rsidP="00D146B4">
            <w:pPr>
              <w:ind w:right="1121"/>
              <w:jc w:val="right"/>
              <w:rPr>
                <w:sz w:val="15"/>
                <w:szCs w:val="15"/>
              </w:rPr>
            </w:pPr>
            <w:r w:rsidRPr="00F7332E">
              <w:rPr>
                <w:sz w:val="15"/>
                <w:szCs w:val="15"/>
              </w:rPr>
              <w:t>100.0</w:t>
            </w:r>
          </w:p>
        </w:tc>
      </w:tr>
      <w:tr w:rsidR="001A500E" w:rsidRPr="00F7332E" w:rsidDel="00292C02" w14:paraId="55692C92" w14:textId="77777777" w:rsidTr="00C51D8E">
        <w:trPr>
          <w:cnfStyle w:val="000000010000" w:firstRow="0" w:lastRow="0" w:firstColumn="0" w:lastColumn="0" w:oddVBand="0" w:evenVBand="0" w:oddHBand="0" w:evenHBand="1" w:firstRowFirstColumn="0" w:firstRowLastColumn="0" w:lastRowFirstColumn="0" w:lastRowLastColumn="0"/>
          <w:cantSplit/>
        </w:trPr>
        <w:tc>
          <w:tcPr>
            <w:tcW w:w="3456" w:type="pct"/>
          </w:tcPr>
          <w:p w14:paraId="48C433C7" w14:textId="77777777" w:rsidR="001A500E" w:rsidRPr="00F7332E" w:rsidDel="00292C02" w:rsidRDefault="001A500E" w:rsidP="00D146B4">
            <w:pPr>
              <w:rPr>
                <w:sz w:val="15"/>
                <w:szCs w:val="15"/>
              </w:rPr>
            </w:pPr>
            <w:r w:rsidRPr="00F7332E">
              <w:rPr>
                <w:sz w:val="15"/>
                <w:szCs w:val="15"/>
              </w:rPr>
              <w:t>Dominican Oil Refinery (</w:t>
            </w:r>
            <w:proofErr w:type="spellStart"/>
            <w:r w:rsidRPr="00F7332E">
              <w:rPr>
                <w:sz w:val="15"/>
                <w:szCs w:val="15"/>
              </w:rPr>
              <w:t>REFIDOMSA</w:t>
            </w:r>
            <w:proofErr w:type="spellEnd"/>
            <w:r w:rsidRPr="00F7332E">
              <w:rPr>
                <w:sz w:val="15"/>
                <w:szCs w:val="15"/>
              </w:rPr>
              <w:t>)</w:t>
            </w:r>
          </w:p>
        </w:tc>
        <w:tc>
          <w:tcPr>
            <w:tcW w:w="1544" w:type="pct"/>
          </w:tcPr>
          <w:p w14:paraId="2A03232D" w14:textId="77777777" w:rsidR="001A500E" w:rsidRPr="00F7332E" w:rsidDel="00292C02" w:rsidRDefault="001A500E" w:rsidP="00D146B4">
            <w:pPr>
              <w:ind w:right="1121"/>
              <w:jc w:val="right"/>
              <w:rPr>
                <w:sz w:val="15"/>
                <w:szCs w:val="15"/>
              </w:rPr>
            </w:pPr>
            <w:r w:rsidRPr="00F7332E">
              <w:rPr>
                <w:sz w:val="15"/>
                <w:szCs w:val="15"/>
              </w:rPr>
              <w:t>100.0</w:t>
            </w:r>
          </w:p>
        </w:tc>
      </w:tr>
      <w:tr w:rsidR="001A500E" w:rsidRPr="00F7332E" w14:paraId="57F089DC" w14:textId="77777777" w:rsidTr="00C51D8E">
        <w:trPr>
          <w:cantSplit/>
        </w:trPr>
        <w:tc>
          <w:tcPr>
            <w:tcW w:w="3456" w:type="pct"/>
          </w:tcPr>
          <w:p w14:paraId="3EDFB1DC" w14:textId="77777777" w:rsidR="001A500E" w:rsidRPr="00F7332E" w:rsidRDefault="001A500E" w:rsidP="00D146B4">
            <w:pPr>
              <w:rPr>
                <w:sz w:val="15"/>
                <w:szCs w:val="15"/>
              </w:rPr>
            </w:pPr>
            <w:r w:rsidRPr="00F7332E">
              <w:rPr>
                <w:sz w:val="15"/>
                <w:szCs w:val="15"/>
              </w:rPr>
              <w:t>State Radio And Television Corporation (</w:t>
            </w:r>
            <w:proofErr w:type="spellStart"/>
            <w:r w:rsidRPr="00F7332E">
              <w:rPr>
                <w:sz w:val="15"/>
                <w:szCs w:val="15"/>
              </w:rPr>
              <w:t>CERTV</w:t>
            </w:r>
            <w:proofErr w:type="spellEnd"/>
            <w:r w:rsidRPr="00F7332E">
              <w:rPr>
                <w:sz w:val="15"/>
                <w:szCs w:val="15"/>
              </w:rPr>
              <w:t>)</w:t>
            </w:r>
          </w:p>
        </w:tc>
        <w:tc>
          <w:tcPr>
            <w:tcW w:w="1544" w:type="pct"/>
          </w:tcPr>
          <w:p w14:paraId="26B71014" w14:textId="77777777" w:rsidR="001A500E" w:rsidRPr="00F7332E" w:rsidRDefault="001A500E" w:rsidP="00D146B4">
            <w:pPr>
              <w:ind w:right="1121"/>
              <w:jc w:val="right"/>
              <w:rPr>
                <w:sz w:val="15"/>
                <w:szCs w:val="15"/>
              </w:rPr>
            </w:pPr>
            <w:r w:rsidRPr="00F7332E">
              <w:rPr>
                <w:sz w:val="15"/>
                <w:szCs w:val="15"/>
              </w:rPr>
              <w:t>100.0</w:t>
            </w:r>
          </w:p>
        </w:tc>
      </w:tr>
      <w:tr w:rsidR="001A500E" w:rsidRPr="00F7332E" w14:paraId="57EFFC93" w14:textId="77777777" w:rsidTr="00C51D8E">
        <w:trPr>
          <w:cnfStyle w:val="000000010000" w:firstRow="0" w:lastRow="0" w:firstColumn="0" w:lastColumn="0" w:oddVBand="0" w:evenVBand="0" w:oddHBand="0" w:evenHBand="1" w:firstRowFirstColumn="0" w:firstRowLastColumn="0" w:lastRowFirstColumn="0" w:lastRowLastColumn="0"/>
          <w:cantSplit/>
        </w:trPr>
        <w:tc>
          <w:tcPr>
            <w:tcW w:w="3456" w:type="pct"/>
          </w:tcPr>
          <w:p w14:paraId="41E59869" w14:textId="77777777" w:rsidR="001A500E" w:rsidRPr="00F7332E" w:rsidRDefault="001A500E" w:rsidP="00D146B4">
            <w:pPr>
              <w:rPr>
                <w:sz w:val="15"/>
                <w:szCs w:val="15"/>
              </w:rPr>
            </w:pPr>
            <w:r w:rsidRPr="00F7332E">
              <w:rPr>
                <w:sz w:val="15"/>
                <w:szCs w:val="15"/>
              </w:rPr>
              <w:t>Dominican Postal Institute (</w:t>
            </w:r>
            <w:proofErr w:type="spellStart"/>
            <w:r w:rsidRPr="00F7332E">
              <w:rPr>
                <w:sz w:val="15"/>
                <w:szCs w:val="15"/>
              </w:rPr>
              <w:t>INPOSDOM</w:t>
            </w:r>
            <w:proofErr w:type="spellEnd"/>
            <w:r w:rsidRPr="00F7332E">
              <w:rPr>
                <w:sz w:val="15"/>
                <w:szCs w:val="15"/>
              </w:rPr>
              <w:t>)</w:t>
            </w:r>
          </w:p>
        </w:tc>
        <w:tc>
          <w:tcPr>
            <w:tcW w:w="1544" w:type="pct"/>
          </w:tcPr>
          <w:p w14:paraId="2014C5AB" w14:textId="77777777" w:rsidR="001A500E" w:rsidRPr="00F7332E" w:rsidRDefault="001A500E" w:rsidP="00D146B4">
            <w:pPr>
              <w:ind w:right="1121"/>
              <w:jc w:val="right"/>
              <w:rPr>
                <w:sz w:val="15"/>
                <w:szCs w:val="15"/>
              </w:rPr>
            </w:pPr>
            <w:r w:rsidRPr="00F7332E">
              <w:rPr>
                <w:sz w:val="15"/>
                <w:szCs w:val="15"/>
              </w:rPr>
              <w:t>100.0</w:t>
            </w:r>
          </w:p>
        </w:tc>
      </w:tr>
      <w:tr w:rsidR="001A500E" w:rsidRPr="00F7332E" w14:paraId="2DF37B7A" w14:textId="77777777" w:rsidTr="00C51D8E">
        <w:trPr>
          <w:cantSplit/>
        </w:trPr>
        <w:tc>
          <w:tcPr>
            <w:tcW w:w="3456" w:type="pct"/>
          </w:tcPr>
          <w:p w14:paraId="2CB969DF" w14:textId="77777777" w:rsidR="001A500E" w:rsidRPr="00F7332E" w:rsidRDefault="001A500E" w:rsidP="00D146B4">
            <w:pPr>
              <w:rPr>
                <w:sz w:val="15"/>
                <w:szCs w:val="15"/>
              </w:rPr>
            </w:pPr>
            <w:r w:rsidRPr="00F7332E">
              <w:rPr>
                <w:sz w:val="15"/>
                <w:szCs w:val="15"/>
              </w:rPr>
              <w:t>National Lottery</w:t>
            </w:r>
          </w:p>
        </w:tc>
        <w:tc>
          <w:tcPr>
            <w:tcW w:w="1544" w:type="pct"/>
          </w:tcPr>
          <w:p w14:paraId="601F5B03" w14:textId="77777777" w:rsidR="001A500E" w:rsidRPr="00F7332E" w:rsidRDefault="001A500E" w:rsidP="00D146B4">
            <w:pPr>
              <w:ind w:right="1121"/>
              <w:jc w:val="right"/>
              <w:rPr>
                <w:sz w:val="15"/>
                <w:szCs w:val="15"/>
              </w:rPr>
            </w:pPr>
            <w:r w:rsidRPr="00F7332E">
              <w:rPr>
                <w:sz w:val="15"/>
                <w:szCs w:val="15"/>
              </w:rPr>
              <w:t>100.0</w:t>
            </w:r>
          </w:p>
        </w:tc>
      </w:tr>
      <w:tr w:rsidR="001A500E" w:rsidRPr="00F7332E" w14:paraId="3569DCC4" w14:textId="77777777" w:rsidTr="00C51D8E">
        <w:trPr>
          <w:cnfStyle w:val="000000010000" w:firstRow="0" w:lastRow="0" w:firstColumn="0" w:lastColumn="0" w:oddVBand="0" w:evenVBand="0" w:oddHBand="0" w:evenHBand="1" w:firstRowFirstColumn="0" w:firstRowLastColumn="0" w:lastRowFirstColumn="0" w:lastRowLastColumn="0"/>
          <w:cantSplit/>
        </w:trPr>
        <w:tc>
          <w:tcPr>
            <w:tcW w:w="3456" w:type="pct"/>
          </w:tcPr>
          <w:p w14:paraId="70D4B4AF" w14:textId="77777777" w:rsidR="001A500E" w:rsidRPr="00F7332E" w:rsidRDefault="001A500E" w:rsidP="00D146B4">
            <w:pPr>
              <w:rPr>
                <w:b/>
                <w:bCs/>
                <w:sz w:val="15"/>
                <w:szCs w:val="15"/>
              </w:rPr>
            </w:pPr>
            <w:r w:rsidRPr="00F7332E">
              <w:rPr>
                <w:b/>
                <w:bCs/>
                <w:sz w:val="15"/>
                <w:szCs w:val="15"/>
              </w:rPr>
              <w:t xml:space="preserve">Public financial institutions </w:t>
            </w:r>
          </w:p>
        </w:tc>
        <w:tc>
          <w:tcPr>
            <w:tcW w:w="1544" w:type="pct"/>
          </w:tcPr>
          <w:p w14:paraId="2B2494B6" w14:textId="77777777" w:rsidR="001A500E" w:rsidRPr="00F7332E" w:rsidRDefault="001A500E" w:rsidP="00D146B4">
            <w:pPr>
              <w:ind w:right="1121"/>
              <w:jc w:val="right"/>
              <w:rPr>
                <w:sz w:val="15"/>
                <w:szCs w:val="15"/>
              </w:rPr>
            </w:pPr>
          </w:p>
        </w:tc>
      </w:tr>
      <w:tr w:rsidR="001A500E" w:rsidRPr="00F7332E" w14:paraId="3DA703EC" w14:textId="77777777" w:rsidTr="00C51D8E">
        <w:trPr>
          <w:cantSplit/>
        </w:trPr>
        <w:tc>
          <w:tcPr>
            <w:tcW w:w="3456" w:type="pct"/>
          </w:tcPr>
          <w:p w14:paraId="39470C17" w14:textId="77777777" w:rsidR="001A500E" w:rsidRPr="00F7332E" w:rsidRDefault="001A500E" w:rsidP="00D146B4">
            <w:pPr>
              <w:rPr>
                <w:sz w:val="15"/>
                <w:szCs w:val="15"/>
              </w:rPr>
            </w:pPr>
            <w:r w:rsidRPr="00F7332E">
              <w:rPr>
                <w:sz w:val="15"/>
                <w:szCs w:val="15"/>
              </w:rPr>
              <w:t>Dominican Agricultural Insurance Company (</w:t>
            </w:r>
            <w:proofErr w:type="spellStart"/>
            <w:r w:rsidRPr="00F7332E">
              <w:rPr>
                <w:sz w:val="15"/>
                <w:szCs w:val="15"/>
              </w:rPr>
              <w:t>AGRODOSA</w:t>
            </w:r>
            <w:proofErr w:type="spellEnd"/>
            <w:r w:rsidRPr="00F7332E">
              <w:rPr>
                <w:sz w:val="15"/>
                <w:szCs w:val="15"/>
              </w:rPr>
              <w:t>)</w:t>
            </w:r>
          </w:p>
        </w:tc>
        <w:tc>
          <w:tcPr>
            <w:tcW w:w="1544" w:type="pct"/>
          </w:tcPr>
          <w:p w14:paraId="75A7B3BB" w14:textId="77777777" w:rsidR="001A500E" w:rsidRPr="00F7332E" w:rsidRDefault="001A500E" w:rsidP="00D146B4">
            <w:pPr>
              <w:ind w:right="1121"/>
              <w:jc w:val="right"/>
              <w:rPr>
                <w:sz w:val="15"/>
                <w:szCs w:val="15"/>
              </w:rPr>
            </w:pPr>
            <w:r w:rsidRPr="00F7332E">
              <w:rPr>
                <w:sz w:val="15"/>
                <w:szCs w:val="15"/>
              </w:rPr>
              <w:t>79.3</w:t>
            </w:r>
          </w:p>
        </w:tc>
      </w:tr>
      <w:tr w:rsidR="001A500E" w:rsidRPr="00F7332E" w14:paraId="6EE24C57" w14:textId="77777777" w:rsidTr="00C51D8E">
        <w:trPr>
          <w:cnfStyle w:val="000000010000" w:firstRow="0" w:lastRow="0" w:firstColumn="0" w:lastColumn="0" w:oddVBand="0" w:evenVBand="0" w:oddHBand="0" w:evenHBand="1" w:firstRowFirstColumn="0" w:firstRowLastColumn="0" w:lastRowFirstColumn="0" w:lastRowLastColumn="0"/>
          <w:cantSplit/>
        </w:trPr>
        <w:tc>
          <w:tcPr>
            <w:tcW w:w="3456" w:type="pct"/>
          </w:tcPr>
          <w:p w14:paraId="4B4E394B" w14:textId="77777777" w:rsidR="001A500E" w:rsidRPr="00F7332E" w:rsidRDefault="001A500E" w:rsidP="00D146B4">
            <w:pPr>
              <w:rPr>
                <w:sz w:val="15"/>
                <w:szCs w:val="15"/>
              </w:rPr>
            </w:pPr>
            <w:r w:rsidRPr="00F7332E">
              <w:rPr>
                <w:sz w:val="15"/>
                <w:szCs w:val="15"/>
              </w:rPr>
              <w:t>Agricultural Bank of the Dominican Republic (</w:t>
            </w:r>
            <w:proofErr w:type="spellStart"/>
            <w:r w:rsidRPr="00F7332E">
              <w:rPr>
                <w:sz w:val="15"/>
                <w:szCs w:val="15"/>
              </w:rPr>
              <w:t>BAGRICOLA</w:t>
            </w:r>
            <w:proofErr w:type="spellEnd"/>
            <w:r w:rsidRPr="00F7332E">
              <w:rPr>
                <w:sz w:val="15"/>
                <w:szCs w:val="15"/>
              </w:rPr>
              <w:t>)</w:t>
            </w:r>
          </w:p>
        </w:tc>
        <w:tc>
          <w:tcPr>
            <w:tcW w:w="1544" w:type="pct"/>
          </w:tcPr>
          <w:p w14:paraId="12F8D3CE" w14:textId="77777777" w:rsidR="001A500E" w:rsidRPr="00F7332E" w:rsidRDefault="001A500E" w:rsidP="00D146B4">
            <w:pPr>
              <w:ind w:right="1121"/>
              <w:jc w:val="right"/>
              <w:rPr>
                <w:sz w:val="15"/>
                <w:szCs w:val="15"/>
              </w:rPr>
            </w:pPr>
            <w:r w:rsidRPr="00F7332E">
              <w:rPr>
                <w:sz w:val="15"/>
                <w:szCs w:val="15"/>
              </w:rPr>
              <w:t>100.0</w:t>
            </w:r>
          </w:p>
        </w:tc>
      </w:tr>
      <w:tr w:rsidR="001A500E" w:rsidRPr="00F7332E" w14:paraId="00066DBF" w14:textId="77777777" w:rsidTr="00C51D8E">
        <w:trPr>
          <w:cantSplit/>
        </w:trPr>
        <w:tc>
          <w:tcPr>
            <w:tcW w:w="3456" w:type="pct"/>
          </w:tcPr>
          <w:p w14:paraId="7A97A2E2" w14:textId="77777777" w:rsidR="001A500E" w:rsidRPr="00F7332E" w:rsidRDefault="001A500E" w:rsidP="00D146B4">
            <w:pPr>
              <w:rPr>
                <w:sz w:val="15"/>
                <w:szCs w:val="15"/>
              </w:rPr>
            </w:pPr>
            <w:r w:rsidRPr="00F7332E">
              <w:rPr>
                <w:sz w:val="15"/>
                <w:szCs w:val="15"/>
              </w:rPr>
              <w:t>Reserve Bank of the Dominican Republic (</w:t>
            </w:r>
            <w:proofErr w:type="spellStart"/>
            <w:r w:rsidRPr="00F7332E">
              <w:rPr>
                <w:sz w:val="15"/>
                <w:szCs w:val="15"/>
              </w:rPr>
              <w:t>BANRESERVAS</w:t>
            </w:r>
            <w:proofErr w:type="spellEnd"/>
            <w:r w:rsidRPr="00F7332E">
              <w:rPr>
                <w:sz w:val="15"/>
                <w:szCs w:val="15"/>
              </w:rPr>
              <w:t>)</w:t>
            </w:r>
          </w:p>
        </w:tc>
        <w:tc>
          <w:tcPr>
            <w:tcW w:w="1544" w:type="pct"/>
          </w:tcPr>
          <w:p w14:paraId="2650ACEB" w14:textId="77777777" w:rsidR="001A500E" w:rsidRPr="00F7332E" w:rsidRDefault="001A500E" w:rsidP="00D146B4">
            <w:pPr>
              <w:ind w:right="1121"/>
              <w:jc w:val="right"/>
              <w:rPr>
                <w:sz w:val="15"/>
                <w:szCs w:val="15"/>
              </w:rPr>
            </w:pPr>
            <w:r w:rsidRPr="00F7332E">
              <w:rPr>
                <w:sz w:val="15"/>
                <w:szCs w:val="15"/>
              </w:rPr>
              <w:t>100.0</w:t>
            </w:r>
          </w:p>
        </w:tc>
      </w:tr>
      <w:tr w:rsidR="001A500E" w:rsidRPr="00F7332E" w14:paraId="76EEA625" w14:textId="77777777" w:rsidTr="00C51D8E">
        <w:trPr>
          <w:cnfStyle w:val="000000010000" w:firstRow="0" w:lastRow="0" w:firstColumn="0" w:lastColumn="0" w:oddVBand="0" w:evenVBand="0" w:oddHBand="0" w:evenHBand="1" w:firstRowFirstColumn="0" w:firstRowLastColumn="0" w:lastRowFirstColumn="0" w:lastRowLastColumn="0"/>
          <w:cantSplit/>
        </w:trPr>
        <w:tc>
          <w:tcPr>
            <w:tcW w:w="3456" w:type="pct"/>
            <w:tcBorders>
              <w:bottom w:val="single" w:sz="4" w:space="0" w:color="auto"/>
            </w:tcBorders>
          </w:tcPr>
          <w:p w14:paraId="11ACD89C" w14:textId="77777777" w:rsidR="001A500E" w:rsidRPr="00F7332E" w:rsidRDefault="001A500E" w:rsidP="001C2D25">
            <w:pPr>
              <w:rPr>
                <w:sz w:val="15"/>
                <w:szCs w:val="15"/>
              </w:rPr>
            </w:pPr>
            <w:r w:rsidRPr="00F7332E">
              <w:rPr>
                <w:sz w:val="15"/>
                <w:szCs w:val="15"/>
              </w:rPr>
              <w:t xml:space="preserve">Savings Bank for Workers and </w:t>
            </w:r>
            <w:r w:rsidRPr="004A7783">
              <w:rPr>
                <w:i/>
                <w:iCs/>
                <w:sz w:val="15"/>
                <w:szCs w:val="15"/>
              </w:rPr>
              <w:t>Monte de Piedad</w:t>
            </w:r>
            <w:r w:rsidRPr="00F7332E">
              <w:rPr>
                <w:sz w:val="15"/>
                <w:szCs w:val="15"/>
              </w:rPr>
              <w:t xml:space="preserve"> </w:t>
            </w:r>
          </w:p>
        </w:tc>
        <w:tc>
          <w:tcPr>
            <w:tcW w:w="1544" w:type="pct"/>
            <w:tcBorders>
              <w:bottom w:val="single" w:sz="4" w:space="0" w:color="auto"/>
            </w:tcBorders>
          </w:tcPr>
          <w:p w14:paraId="2EFE9032" w14:textId="77777777" w:rsidR="001A500E" w:rsidRPr="00F7332E" w:rsidRDefault="001A500E" w:rsidP="00D146B4">
            <w:pPr>
              <w:ind w:right="1121"/>
              <w:jc w:val="right"/>
              <w:rPr>
                <w:sz w:val="15"/>
                <w:szCs w:val="15"/>
              </w:rPr>
            </w:pPr>
            <w:r w:rsidRPr="00F7332E">
              <w:rPr>
                <w:sz w:val="15"/>
                <w:szCs w:val="15"/>
              </w:rPr>
              <w:t>100.0</w:t>
            </w:r>
          </w:p>
        </w:tc>
      </w:tr>
    </w:tbl>
    <w:p w14:paraId="3C68DB38" w14:textId="77777777" w:rsidR="001A500E" w:rsidRPr="00F7332E" w:rsidRDefault="001A500E" w:rsidP="00A4772C">
      <w:pPr>
        <w:pStyle w:val="NoteText"/>
        <w:spacing w:before="120" w:after="240"/>
      </w:pPr>
      <w:r w:rsidRPr="00F7332E">
        <w:t>Source:</w:t>
      </w:r>
      <w:r w:rsidRPr="00F7332E">
        <w:tab/>
        <w:t>WTO Secretariat</w:t>
      </w:r>
      <w:r w:rsidRPr="0060155B">
        <w:t>; D</w:t>
      </w:r>
      <w:r w:rsidRPr="00F7332E">
        <w:t>irectorate</w:t>
      </w:r>
      <w:r>
        <w:noBreakHyphen/>
      </w:r>
      <w:r w:rsidRPr="00F7332E">
        <w:t>General of the Budget (</w:t>
      </w:r>
      <w:proofErr w:type="spellStart"/>
      <w:r w:rsidRPr="00F7332E">
        <w:t>DIGEPRES</w:t>
      </w:r>
      <w:proofErr w:type="spellEnd"/>
      <w:r w:rsidRPr="00F7332E">
        <w:t>) at the Ministry of Finance</w:t>
      </w:r>
      <w:r w:rsidRPr="0060155B">
        <w:t>. I</w:t>
      </w:r>
      <w:r w:rsidRPr="00F7332E">
        <w:t xml:space="preserve">nformation viewed at: </w:t>
      </w:r>
      <w:hyperlink r:id="rId49" w:history="1">
        <w:r>
          <w:rPr>
            <w:color w:val="0000FF" w:themeColor="hyperlink"/>
            <w:u w:val="single"/>
          </w:rPr>
          <w:t>https://www.digepres.gob.do/presupuesto/empresas</w:t>
        </w:r>
        <w:r w:rsidRPr="0060155B">
          <w:rPr>
            <w:color w:val="0000FF" w:themeColor="hyperlink"/>
            <w:u w:val="single"/>
          </w:rPr>
          <w:noBreakHyphen/>
        </w:r>
        <w:r>
          <w:rPr>
            <w:color w:val="0000FF" w:themeColor="hyperlink"/>
            <w:u w:val="single"/>
          </w:rPr>
          <w:t>publicas</w:t>
        </w:r>
      </w:hyperlink>
      <w:r w:rsidRPr="00F7332E">
        <w:rPr>
          <w:color w:val="0000FF" w:themeColor="hyperlink"/>
        </w:rPr>
        <w:t xml:space="preserve"> </w:t>
      </w:r>
      <w:r w:rsidRPr="00F7332E">
        <w:t>and information supplied by the authorities.</w:t>
      </w:r>
    </w:p>
    <w:p w14:paraId="1DAEBDE6" w14:textId="77777777" w:rsidR="001A500E" w:rsidRPr="0060155B" w:rsidRDefault="001A500E" w:rsidP="00574469">
      <w:pPr>
        <w:pStyle w:val="BodyText"/>
      </w:pPr>
      <w:bookmarkStart w:id="250" w:name="_Hlk106377651"/>
      <w:bookmarkEnd w:id="248"/>
      <w:r w:rsidRPr="00F7332E">
        <w:t>Non</w:t>
      </w:r>
      <w:r>
        <w:noBreakHyphen/>
      </w:r>
      <w:r w:rsidRPr="00F7332E">
        <w:t>financial public enterprises (</w:t>
      </w:r>
      <w:proofErr w:type="spellStart"/>
      <w:r w:rsidRPr="00F7332E">
        <w:t>NFPE</w:t>
      </w:r>
      <w:proofErr w:type="spellEnd"/>
      <w:r w:rsidRPr="00F7332E">
        <w:t xml:space="preserve">) primarily </w:t>
      </w:r>
      <w:r>
        <w:t>provide</w:t>
      </w:r>
      <w:r w:rsidRPr="00F7332E">
        <w:t xml:space="preserve"> basic services such as electricity, potable water, sewer</w:t>
      </w:r>
      <w:r>
        <w:t>age</w:t>
      </w:r>
      <w:r w:rsidRPr="00F7332E">
        <w:t xml:space="preserve">, </w:t>
      </w:r>
      <w:r>
        <w:t>broadcasting</w:t>
      </w:r>
      <w:r w:rsidRPr="00F7332E">
        <w:t xml:space="preserve"> and postal services</w:t>
      </w:r>
      <w:r w:rsidRPr="0060155B">
        <w:t>. T</w:t>
      </w:r>
      <w:r w:rsidRPr="00F7332E">
        <w:t>he</w:t>
      </w:r>
      <w:r w:rsidRPr="00F7332E">
        <w:rPr>
          <w:szCs w:val="18"/>
        </w:rPr>
        <w:t xml:space="preserve"> State also has a monopoly on certain activities, for example</w:t>
      </w:r>
      <w:r>
        <w:rPr>
          <w:szCs w:val="18"/>
        </w:rPr>
        <w:t>,</w:t>
      </w:r>
      <w:r w:rsidRPr="00F7332E">
        <w:rPr>
          <w:szCs w:val="18"/>
        </w:rPr>
        <w:t xml:space="preserve"> electricity transmission and distribution, and the postal service</w:t>
      </w:r>
      <w:r w:rsidRPr="0060155B">
        <w:rPr>
          <w:szCs w:val="18"/>
        </w:rPr>
        <w:t xml:space="preserve">. </w:t>
      </w:r>
      <w:proofErr w:type="spellStart"/>
      <w:r w:rsidRPr="0060155B">
        <w:t>N</w:t>
      </w:r>
      <w:r w:rsidRPr="00F7332E">
        <w:t>FPE</w:t>
      </w:r>
      <w:proofErr w:type="spellEnd"/>
      <w:r w:rsidRPr="00F7332E">
        <w:t xml:space="preserve"> are financed by public funds</w:t>
      </w:r>
      <w:r w:rsidRPr="0060155B">
        <w:t>; i</w:t>
      </w:r>
      <w:r w:rsidRPr="00F7332E">
        <w:t>n 2020 total transfers amounted to DOP 35,922.3 million (0.7</w:t>
      </w:r>
      <w:r>
        <w:t>%</w:t>
      </w:r>
      <w:r w:rsidRPr="00F7332E">
        <w:t xml:space="preserve"> of GDP)</w:t>
      </w:r>
      <w:r>
        <w:t>,</w:t>
      </w:r>
      <w:r w:rsidRPr="00F7332E">
        <w:t xml:space="preserve"> of which 62.7</w:t>
      </w:r>
      <w:r>
        <w:t>%</w:t>
      </w:r>
      <w:r w:rsidRPr="00F7332E">
        <w:t xml:space="preserve"> was transferred to the three public electricity distribution and marketing enterprises.</w:t>
      </w:r>
      <w:r w:rsidRPr="00F7332E">
        <w:rPr>
          <w:vertAlign w:val="superscript"/>
        </w:rPr>
        <w:footnoteReference w:id="261"/>
      </w:r>
      <w:bookmarkEnd w:id="250"/>
    </w:p>
    <w:p w14:paraId="53B7F021" w14:textId="77777777" w:rsidR="001A500E" w:rsidRPr="00F7332E" w:rsidRDefault="001A500E" w:rsidP="00574469">
      <w:pPr>
        <w:pStyle w:val="BodyText"/>
      </w:pPr>
      <w:r w:rsidRPr="00F7332E">
        <w:t>During the review period, the Dominican Republic continued the process of reforming state</w:t>
      </w:r>
      <w:r>
        <w:noBreakHyphen/>
      </w:r>
      <w:r w:rsidRPr="00F7332E">
        <w:t>owned enterprises</w:t>
      </w:r>
      <w:r w:rsidRPr="0060155B">
        <w:t>. I</w:t>
      </w:r>
      <w:r w:rsidRPr="00F7332E">
        <w:t>n 2017 a start was made to the (still ongoing) process of dissolving and winding up the Dominican State</w:t>
      </w:r>
      <w:r>
        <w:noBreakHyphen/>
      </w:r>
      <w:r w:rsidRPr="00F7332E">
        <w:t>Owned Enterprises Corporation (</w:t>
      </w:r>
      <w:proofErr w:type="spellStart"/>
      <w:r w:rsidRPr="00F7332E">
        <w:t>CORDE</w:t>
      </w:r>
      <w:proofErr w:type="spellEnd"/>
      <w:r w:rsidRPr="00F7332E">
        <w:t>), a public institution established as a single umbrella for managing all productive and commercial enterprises inherited by the State</w:t>
      </w:r>
      <w:r w:rsidRPr="0060155B">
        <w:t>.</w:t>
      </w:r>
      <w:r w:rsidRPr="0060155B">
        <w:rPr>
          <w:vertAlign w:val="superscript"/>
        </w:rPr>
        <w:footnoteReference w:id="262"/>
      </w:r>
      <w:r w:rsidRPr="0060155B">
        <w:t xml:space="preserve"> I</w:t>
      </w:r>
      <w:r w:rsidRPr="00F7332E">
        <w:t>t managed, controlled and developed public enterprises</w:t>
      </w:r>
      <w:r w:rsidRPr="0060155B">
        <w:t>. I</w:t>
      </w:r>
      <w:r w:rsidRPr="00F7332E">
        <w:t>n 2022</w:t>
      </w:r>
      <w:r>
        <w:t>,</w:t>
      </w:r>
      <w:r w:rsidRPr="00F7332E">
        <w:t xml:space="preserve"> two mining enterprises are still </w:t>
      </w:r>
      <w:r>
        <w:t>overseen by</w:t>
      </w:r>
      <w:r w:rsidRPr="00F7332E">
        <w:t xml:space="preserve"> </w:t>
      </w:r>
      <w:proofErr w:type="spellStart"/>
      <w:r w:rsidRPr="00F7332E">
        <w:t>CORDE</w:t>
      </w:r>
      <w:proofErr w:type="spellEnd"/>
      <w:r w:rsidRPr="00F7332E">
        <w:t>, which has minority stakes in two private manufacturing enterprises</w:t>
      </w:r>
      <w:r w:rsidRPr="0060155B">
        <w:t>; t</w:t>
      </w:r>
      <w:r w:rsidRPr="00F7332E">
        <w:t>he other enterprises have been privatized</w:t>
      </w:r>
      <w:r w:rsidRPr="0060155B">
        <w:t>. S</w:t>
      </w:r>
      <w:r>
        <w:t xml:space="preserve">imilarly, </w:t>
      </w:r>
      <w:r w:rsidRPr="00F7332E">
        <w:t>the process of winding up the Dominican Corporation of State</w:t>
      </w:r>
      <w:r>
        <w:noBreakHyphen/>
      </w:r>
      <w:r w:rsidRPr="00F7332E">
        <w:t>Owned Electricity Companies (</w:t>
      </w:r>
      <w:proofErr w:type="spellStart"/>
      <w:r w:rsidRPr="00F7332E">
        <w:t>CDEEE</w:t>
      </w:r>
      <w:proofErr w:type="spellEnd"/>
      <w:r w:rsidRPr="00F7332E">
        <w:t>), which co</w:t>
      </w:r>
      <w:r>
        <w:noBreakHyphen/>
      </w:r>
      <w:r w:rsidRPr="00F7332E">
        <w:t>ordinated operations by public enterprises in the electricity sector</w:t>
      </w:r>
      <w:r>
        <w:t>, began in 2020</w:t>
      </w:r>
      <w:r w:rsidRPr="00F7332E">
        <w:t>.</w:t>
      </w:r>
      <w:r w:rsidRPr="00F7332E">
        <w:rPr>
          <w:vertAlign w:val="superscript"/>
        </w:rPr>
        <w:footnoteReference w:id="263"/>
      </w:r>
    </w:p>
    <w:p w14:paraId="5283F815" w14:textId="77777777" w:rsidR="001A500E" w:rsidRPr="0060155B" w:rsidRDefault="001A500E" w:rsidP="00574469">
      <w:pPr>
        <w:pStyle w:val="Heading3"/>
      </w:pPr>
      <w:bookmarkStart w:id="251" w:name="_Toc114735760"/>
      <w:bookmarkStart w:id="252" w:name="_Toc117260641"/>
      <w:r w:rsidRPr="00F7332E">
        <w:t>Government procurement</w:t>
      </w:r>
      <w:bookmarkStart w:id="253" w:name="_Toc114735761"/>
      <w:bookmarkStart w:id="254" w:name="_Hlk113026993"/>
      <w:bookmarkEnd w:id="251"/>
      <w:bookmarkEnd w:id="252"/>
    </w:p>
    <w:p w14:paraId="2BD10C28" w14:textId="77777777" w:rsidR="001A500E" w:rsidRPr="00F7332E" w:rsidRDefault="001A500E" w:rsidP="00574469">
      <w:pPr>
        <w:pStyle w:val="Heading4"/>
      </w:pPr>
      <w:bookmarkStart w:id="255" w:name="_Toc117260642"/>
      <w:r w:rsidRPr="00F7332E">
        <w:t>Legal framework</w:t>
      </w:r>
      <w:bookmarkEnd w:id="253"/>
      <w:bookmarkEnd w:id="255"/>
    </w:p>
    <w:p w14:paraId="0DCC1BCC" w14:textId="77777777" w:rsidR="001A500E" w:rsidRPr="00F7332E" w:rsidRDefault="001A500E" w:rsidP="00574469">
      <w:pPr>
        <w:pStyle w:val="BodyText"/>
      </w:pPr>
      <w:r w:rsidRPr="00F7332E">
        <w:t>Government procurement of goods, services and works in the Dominican Republic is governed essentially by the Law on Procurement and Contracts for Goods, Services and Works (Law No. 340</w:t>
      </w:r>
      <w:r>
        <w:noBreakHyphen/>
      </w:r>
      <w:r w:rsidRPr="00F7332E">
        <w:t xml:space="preserve">06), the amendments thereto, and its implementing </w:t>
      </w:r>
      <w:r>
        <w:t>r</w:t>
      </w:r>
      <w:r w:rsidRPr="00F7332E">
        <w:t>egulations</w:t>
      </w:r>
      <w:r w:rsidRPr="0060155B">
        <w:t>.</w:t>
      </w:r>
      <w:r w:rsidRPr="0060155B">
        <w:rPr>
          <w:vertAlign w:val="superscript"/>
        </w:rPr>
        <w:footnoteReference w:id="264"/>
      </w:r>
      <w:r w:rsidRPr="0060155B">
        <w:t xml:space="preserve"> I</w:t>
      </w:r>
      <w:r w:rsidRPr="00F7332E">
        <w:t xml:space="preserve">t is also governed by </w:t>
      </w:r>
      <w:r w:rsidRPr="00F7332E">
        <w:lastRenderedPageBreak/>
        <w:t>specific articles of the Constitution of the Dominican Republic</w:t>
      </w:r>
      <w:r w:rsidRPr="00F7332E">
        <w:rPr>
          <w:vertAlign w:val="superscript"/>
        </w:rPr>
        <w:footnoteReference w:id="265"/>
      </w:r>
      <w:r w:rsidRPr="00F7332E">
        <w:t>, and by the Law on the Public Administration</w:t>
      </w:r>
      <w:r w:rsidRPr="00F7332E">
        <w:rPr>
          <w:vertAlign w:val="superscript"/>
        </w:rPr>
        <w:footnoteReference w:id="266"/>
      </w:r>
      <w:r w:rsidRPr="00F7332E">
        <w:t>, the Law on the Rights of Individuals in their Interactions with the Administration and Administrative Procedures</w:t>
      </w:r>
      <w:r w:rsidRPr="00F7332E">
        <w:rPr>
          <w:vertAlign w:val="superscript"/>
        </w:rPr>
        <w:footnoteReference w:id="267"/>
      </w:r>
      <w:r w:rsidRPr="00F7332E">
        <w:t>, the Law establishing a Regulatory Regime for the Development and Competitiveness of Micro</w:t>
      </w:r>
      <w:r w:rsidRPr="0060155B">
        <w:noBreakHyphen/>
      </w:r>
      <w:r w:rsidRPr="00F7332E">
        <w:t>, Small and Medium</w:t>
      </w:r>
      <w:r>
        <w:noBreakHyphen/>
      </w:r>
      <w:r w:rsidRPr="00F7332E">
        <w:t>Sized Enterprises (MSMEs)</w:t>
      </w:r>
      <w:r w:rsidRPr="00F7332E">
        <w:rPr>
          <w:vertAlign w:val="superscript"/>
        </w:rPr>
        <w:footnoteReference w:id="268"/>
      </w:r>
      <w:r w:rsidRPr="00F7332E">
        <w:t>, Decree 188</w:t>
      </w:r>
      <w:r>
        <w:noBreakHyphen/>
      </w:r>
      <w:r w:rsidRPr="00F7332E">
        <w:t>14 on Citizens' Oversight Committees</w:t>
      </w:r>
      <w:r w:rsidRPr="00F7332E">
        <w:rPr>
          <w:vertAlign w:val="superscript"/>
        </w:rPr>
        <w:footnoteReference w:id="269"/>
      </w:r>
      <w:r w:rsidRPr="00F7332E">
        <w:t xml:space="preserve"> and the Law </w:t>
      </w:r>
      <w:r>
        <w:t>establishing</w:t>
      </w:r>
      <w:r w:rsidRPr="00F7332E">
        <w:t xml:space="preserve"> the National Development Strategy 2030 (END).</w:t>
      </w:r>
      <w:r w:rsidRPr="00F7332E">
        <w:rPr>
          <w:vertAlign w:val="superscript"/>
        </w:rPr>
        <w:footnoteReference w:id="270"/>
      </w:r>
    </w:p>
    <w:p w14:paraId="6A531C9A" w14:textId="77777777" w:rsidR="001A500E" w:rsidRPr="0060155B" w:rsidRDefault="001A500E" w:rsidP="00574469">
      <w:pPr>
        <w:pStyle w:val="BodyText"/>
      </w:pPr>
      <w:r w:rsidRPr="00F7332E">
        <w:t xml:space="preserve">The government procurement </w:t>
      </w:r>
      <w:r>
        <w:t>procedure</w:t>
      </w:r>
      <w:r w:rsidRPr="00F7332E">
        <w:t xml:space="preserve"> underwent some significant changes during the review period</w:t>
      </w:r>
      <w:r w:rsidRPr="0060155B">
        <w:t>. T</w:t>
      </w:r>
      <w:r w:rsidRPr="00F7332E">
        <w:t xml:space="preserve">he changes include a number of laws and decrees enacted to improve the transparency of the domestic procurement system through the </w:t>
      </w:r>
      <w:r w:rsidRPr="004A7783">
        <w:rPr>
          <w:i/>
          <w:iCs/>
        </w:rPr>
        <w:t xml:space="preserve">Portal </w:t>
      </w:r>
      <w:proofErr w:type="spellStart"/>
      <w:r w:rsidRPr="004A7783">
        <w:rPr>
          <w:i/>
          <w:iCs/>
        </w:rPr>
        <w:t>Transaccional</w:t>
      </w:r>
      <w:proofErr w:type="spellEnd"/>
      <w:r>
        <w:t xml:space="preserve"> (t</w:t>
      </w:r>
      <w:r w:rsidRPr="00F7332E">
        <w:t xml:space="preserve">ransaction </w:t>
      </w:r>
      <w:r>
        <w:t>p</w:t>
      </w:r>
      <w:r w:rsidRPr="00F7332E">
        <w:t>ortal</w:t>
      </w:r>
      <w:r>
        <w:t>)</w:t>
      </w:r>
      <w:r w:rsidRPr="00F7332E">
        <w:rPr>
          <w:vertAlign w:val="superscript"/>
        </w:rPr>
        <w:footnoteReference w:id="271"/>
      </w:r>
      <w:r w:rsidRPr="00F7332E">
        <w:t>, prevent regulatory non</w:t>
      </w:r>
      <w:r>
        <w:noBreakHyphen/>
      </w:r>
      <w:r w:rsidRPr="00F7332E">
        <w:t>compliance and administrative irregularities</w:t>
      </w:r>
      <w:r w:rsidRPr="00F7332E">
        <w:rPr>
          <w:vertAlign w:val="superscript"/>
        </w:rPr>
        <w:footnoteReference w:id="272"/>
      </w:r>
      <w:r w:rsidRPr="00F7332E">
        <w:t xml:space="preserve">, lay down a specific procedure for purchasing vaccines </w:t>
      </w:r>
      <w:r>
        <w:t>during the</w:t>
      </w:r>
      <w:r w:rsidRPr="00F7332E">
        <w:t xml:space="preserve"> health crisis</w:t>
      </w:r>
      <w:r w:rsidRPr="00F7332E">
        <w:rPr>
          <w:vertAlign w:val="superscript"/>
        </w:rPr>
        <w:footnoteReference w:id="273"/>
      </w:r>
      <w:r w:rsidRPr="00F7332E">
        <w:t>, establish a new regulatory framework for public</w:t>
      </w:r>
      <w:r>
        <w:noBreakHyphen/>
      </w:r>
      <w:r w:rsidRPr="00F7332E">
        <w:t>private partnerships</w:t>
      </w:r>
      <w:r w:rsidRPr="00F7332E">
        <w:rPr>
          <w:vertAlign w:val="superscript"/>
        </w:rPr>
        <w:footnoteReference w:id="274"/>
      </w:r>
      <w:r w:rsidRPr="00F7332E">
        <w:t xml:space="preserve">, promote the purchase of domestically produced goods as a tool to develop the economy, </w:t>
      </w:r>
      <w:r>
        <w:t>create</w:t>
      </w:r>
      <w:r w:rsidRPr="00F7332E">
        <w:t xml:space="preserve"> </w:t>
      </w:r>
      <w:r>
        <w:t>jobs</w:t>
      </w:r>
      <w:r w:rsidRPr="00F7332E">
        <w:t xml:space="preserve"> and improve the competitiveness of the country's various production sectors</w:t>
      </w:r>
      <w:r w:rsidRPr="00F7332E">
        <w:rPr>
          <w:vertAlign w:val="superscript"/>
        </w:rPr>
        <w:footnoteReference w:id="275"/>
      </w:r>
      <w:r w:rsidRPr="00F7332E">
        <w:t>, and empower MSMEs to take part in procurement procedures (Table 3.16)</w:t>
      </w:r>
      <w:r w:rsidRPr="0060155B">
        <w:t>.</w:t>
      </w:r>
      <w:r w:rsidRPr="0060155B">
        <w:rPr>
          <w:vertAlign w:val="superscript"/>
        </w:rPr>
        <w:footnoteReference w:id="276"/>
      </w:r>
      <w:r w:rsidRPr="0060155B">
        <w:t xml:space="preserve"> A</w:t>
      </w:r>
      <w:r w:rsidRPr="00F7332E">
        <w:t>dditionally, the body governing the government procurement system regularly issues guidelines in the form of circulars, resolutions, guidance and standards.</w:t>
      </w:r>
      <w:r w:rsidRPr="00F7332E">
        <w:rPr>
          <w:vertAlign w:val="superscript"/>
        </w:rPr>
        <w:footnoteReference w:id="277"/>
      </w:r>
    </w:p>
    <w:p w14:paraId="117D2254" w14:textId="77777777" w:rsidR="001A500E" w:rsidRPr="00F7332E" w:rsidRDefault="001A500E" w:rsidP="00574469">
      <w:pPr>
        <w:pStyle w:val="BodyText"/>
      </w:pPr>
      <w:r w:rsidRPr="00F7332E">
        <w:t>One of the most significant changes introduced into the government procurement regime was the enactment in 2020 of the Law on Public</w:t>
      </w:r>
      <w:r>
        <w:noBreakHyphen/>
      </w:r>
      <w:r w:rsidRPr="00F7332E">
        <w:t xml:space="preserve">Private Partnerships, which repeals several </w:t>
      </w:r>
      <w:r>
        <w:t>a</w:t>
      </w:r>
      <w:r w:rsidRPr="00F7332E">
        <w:t>rticles of Law No. 340</w:t>
      </w:r>
      <w:r>
        <w:noBreakHyphen/>
      </w:r>
      <w:r w:rsidRPr="00F7332E">
        <w:t>06 in order to exclude concessions from its scope</w:t>
      </w:r>
      <w:r w:rsidRPr="0060155B">
        <w:t>. T</w:t>
      </w:r>
      <w:r w:rsidRPr="00F7332E">
        <w:t xml:space="preserve">he </w:t>
      </w:r>
      <w:r>
        <w:t>L</w:t>
      </w:r>
      <w:r w:rsidRPr="00F7332E">
        <w:t xml:space="preserve">aw approves a new institutional framework </w:t>
      </w:r>
      <w:r>
        <w:t>and</w:t>
      </w:r>
      <w:r w:rsidRPr="00F7332E">
        <w:t xml:space="preserve"> </w:t>
      </w:r>
      <w:r>
        <w:t xml:space="preserve">the </w:t>
      </w:r>
      <w:r w:rsidRPr="00F7332E">
        <w:t>processes for developing investment projects as public</w:t>
      </w:r>
      <w:r>
        <w:noBreakHyphen/>
      </w:r>
      <w:r w:rsidRPr="00F7332E">
        <w:t>private partnerships, with special emphasis on the regulation and distribution of risks.</w:t>
      </w:r>
      <w:r w:rsidRPr="00F7332E">
        <w:rPr>
          <w:vertAlign w:val="superscript"/>
        </w:rPr>
        <w:footnoteReference w:id="278"/>
      </w:r>
    </w:p>
    <w:p w14:paraId="089AB6F4" w14:textId="77777777" w:rsidR="001A500E" w:rsidRPr="00F7332E" w:rsidRDefault="001A500E" w:rsidP="00574469">
      <w:pPr>
        <w:pStyle w:val="BodyText"/>
      </w:pPr>
      <w:r w:rsidRPr="00F7332E">
        <w:t>Additionally, the Dominican Republic has included provisions on government procurement in its regional trade agreements (CAFTA</w:t>
      </w:r>
      <w:r>
        <w:noBreakHyphen/>
      </w:r>
      <w:r w:rsidRPr="00F7332E">
        <w:t>DR, CARICOM, Central America</w:t>
      </w:r>
      <w:r w:rsidRPr="00F7332E">
        <w:rPr>
          <w:color w:val="000000" w:themeColor="text1"/>
        </w:rPr>
        <w:t>,</w:t>
      </w:r>
      <w:r w:rsidRPr="00F7332E">
        <w:t xml:space="preserve"> United Kingdom and the EU)</w:t>
      </w:r>
      <w:r w:rsidRPr="0060155B">
        <w:t>. W</w:t>
      </w:r>
      <w:r w:rsidRPr="00F7332E">
        <w:t>ith the exception of the CARICOM agreement, the Dominican Republic undertakes to grant national treatment to suppliers and entities of the other parties.</w:t>
      </w:r>
    </w:p>
    <w:p w14:paraId="3269583A" w14:textId="77777777" w:rsidR="001A500E" w:rsidRPr="00F7332E" w:rsidRDefault="001A500E" w:rsidP="00574469">
      <w:pPr>
        <w:pStyle w:val="BodyText"/>
      </w:pPr>
      <w:r w:rsidRPr="00F7332E">
        <w:t>The Dominican Republic is not party to the WTO Agreement on Government Procurement and does not have observer status at the WTO Government Procurement Committee.</w:t>
      </w:r>
    </w:p>
    <w:p w14:paraId="0E6A7BA5" w14:textId="77777777" w:rsidR="001A500E" w:rsidRPr="00F7332E" w:rsidRDefault="001A500E" w:rsidP="006F0E66">
      <w:pPr>
        <w:pStyle w:val="Caption"/>
        <w:rPr>
          <w:b w:val="0"/>
          <w:bCs w:val="0"/>
        </w:rPr>
      </w:pPr>
      <w:bookmarkStart w:id="257" w:name="_Toc114735831"/>
      <w:bookmarkStart w:id="258" w:name="_Toc117238049"/>
      <w:bookmarkStart w:id="259" w:name="_Hlk107994524"/>
      <w:r>
        <w:t xml:space="preserve">Table </w:t>
      </w:r>
      <w:r w:rsidR="00BD37F2">
        <w:fldChar w:fldCharType="begin"/>
      </w:r>
      <w:r w:rsidR="00BD37F2">
        <w:instrText xml:space="preserve"> STYLEREF 1 \s </w:instrText>
      </w:r>
      <w:r w:rsidR="00BD37F2">
        <w:fldChar w:fldCharType="separate"/>
      </w:r>
      <w:r>
        <w:rPr>
          <w:noProof/>
        </w:rPr>
        <w:t>3</w:t>
      </w:r>
      <w:r w:rsidR="00BD37F2">
        <w:rPr>
          <w:noProof/>
        </w:rPr>
        <w:fldChar w:fldCharType="end"/>
      </w:r>
      <w:r>
        <w:t>.</w:t>
      </w:r>
      <w:r w:rsidR="00BD37F2">
        <w:fldChar w:fldCharType="begin"/>
      </w:r>
      <w:r w:rsidR="00BD37F2">
        <w:instrText xml:space="preserve"> SEQ Table \* ARABIC \s 1 </w:instrText>
      </w:r>
      <w:r w:rsidR="00BD37F2">
        <w:fldChar w:fldCharType="separate"/>
      </w:r>
      <w:r>
        <w:rPr>
          <w:noProof/>
        </w:rPr>
        <w:t>16</w:t>
      </w:r>
      <w:r w:rsidR="00BD37F2">
        <w:rPr>
          <w:noProof/>
        </w:rPr>
        <w:fldChar w:fldCharType="end"/>
      </w:r>
      <w:r>
        <w:t xml:space="preserve"> </w:t>
      </w:r>
      <w:r w:rsidRPr="00F7332E">
        <w:t>Chief instruments enacted in relation to government procurement</w:t>
      </w:r>
      <w:r>
        <w:t>,</w:t>
      </w:r>
      <w:r w:rsidRPr="00F7332E">
        <w:t xml:space="preserve"> 2015</w:t>
      </w:r>
      <w:r>
        <w:noBreakHyphen/>
      </w:r>
      <w:r w:rsidRPr="00F7332E">
        <w:t>22</w:t>
      </w:r>
      <w:bookmarkEnd w:id="257"/>
      <w:bookmarkEnd w:id="258"/>
    </w:p>
    <w:tbl>
      <w:tblPr>
        <w:tblW w:w="5000" w:type="pct"/>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2546"/>
        <w:gridCol w:w="6470"/>
      </w:tblGrid>
      <w:tr w:rsidR="001A500E" w:rsidRPr="00F7332E" w14:paraId="66A86E7B" w14:textId="77777777" w:rsidTr="00C51D8E">
        <w:trPr>
          <w:cantSplit/>
          <w:tblHeader/>
        </w:trPr>
        <w:tc>
          <w:tcPr>
            <w:tcW w:w="1412" w:type="pct"/>
            <w:tcBorders>
              <w:top w:val="single" w:sz="4" w:space="0" w:color="auto"/>
            </w:tcBorders>
            <w:shd w:val="clear" w:color="auto" w:fill="006283"/>
          </w:tcPr>
          <w:bookmarkEnd w:id="259"/>
          <w:p w14:paraId="261622DD" w14:textId="77777777" w:rsidR="001A500E" w:rsidRPr="00F7332E" w:rsidRDefault="001A500E" w:rsidP="00D146B4">
            <w:pPr>
              <w:rPr>
                <w:rFonts w:eastAsia="Times New Roman" w:cs="Times New Roman"/>
                <w:b/>
                <w:color w:val="FFFFFF"/>
                <w:sz w:val="15"/>
                <w:szCs w:val="15"/>
              </w:rPr>
            </w:pPr>
            <w:r w:rsidRPr="00F7332E">
              <w:rPr>
                <w:rFonts w:eastAsia="Times New Roman" w:cs="Times New Roman"/>
                <w:b/>
                <w:bCs/>
                <w:color w:val="FFFFFF"/>
                <w:sz w:val="15"/>
                <w:szCs w:val="15"/>
              </w:rPr>
              <w:t>Law/ decree</w:t>
            </w:r>
          </w:p>
        </w:tc>
        <w:tc>
          <w:tcPr>
            <w:tcW w:w="3588" w:type="pct"/>
            <w:tcBorders>
              <w:top w:val="single" w:sz="4" w:space="0" w:color="auto"/>
            </w:tcBorders>
            <w:shd w:val="clear" w:color="auto" w:fill="006283"/>
          </w:tcPr>
          <w:p w14:paraId="3A443B6C" w14:textId="77777777" w:rsidR="001A500E" w:rsidRPr="00F7332E" w:rsidRDefault="001A500E" w:rsidP="00D146B4">
            <w:pPr>
              <w:rPr>
                <w:rFonts w:eastAsia="Times New Roman" w:cs="Times New Roman"/>
                <w:b/>
                <w:color w:val="FFFFFF"/>
                <w:sz w:val="15"/>
                <w:szCs w:val="15"/>
              </w:rPr>
            </w:pPr>
            <w:r w:rsidRPr="00F7332E">
              <w:rPr>
                <w:rFonts w:eastAsia="Times New Roman" w:cs="Times New Roman"/>
                <w:b/>
                <w:bCs/>
                <w:color w:val="FFFFFF"/>
                <w:sz w:val="15"/>
                <w:szCs w:val="15"/>
              </w:rPr>
              <w:t>Object</w:t>
            </w:r>
            <w:r>
              <w:rPr>
                <w:rFonts w:eastAsia="Times New Roman" w:cs="Times New Roman"/>
                <w:b/>
                <w:bCs/>
                <w:color w:val="FFFFFF"/>
                <w:sz w:val="15"/>
                <w:szCs w:val="15"/>
              </w:rPr>
              <w:t>ive</w:t>
            </w:r>
          </w:p>
        </w:tc>
      </w:tr>
      <w:tr w:rsidR="001A500E" w:rsidRPr="00F7332E" w14:paraId="2AC75205" w14:textId="77777777" w:rsidTr="00C51D8E">
        <w:trPr>
          <w:cantSplit/>
        </w:trPr>
        <w:tc>
          <w:tcPr>
            <w:tcW w:w="1412" w:type="pct"/>
          </w:tcPr>
          <w:p w14:paraId="66A35320" w14:textId="77777777" w:rsidR="001A500E" w:rsidRPr="00F7332E" w:rsidRDefault="001A500E" w:rsidP="006F0E66">
            <w:pPr>
              <w:jc w:val="left"/>
              <w:rPr>
                <w:rFonts w:eastAsia="Times New Roman" w:cs="Times New Roman"/>
                <w:sz w:val="15"/>
                <w:szCs w:val="15"/>
              </w:rPr>
            </w:pPr>
            <w:r w:rsidRPr="00F7332E">
              <w:rPr>
                <w:rFonts w:eastAsia="Times New Roman" w:cs="Times New Roman"/>
                <w:sz w:val="15"/>
                <w:szCs w:val="15"/>
              </w:rPr>
              <w:t>Decree No. 370</w:t>
            </w:r>
            <w:r>
              <w:rPr>
                <w:rFonts w:eastAsia="Times New Roman" w:cs="Times New Roman"/>
                <w:sz w:val="15"/>
                <w:szCs w:val="15"/>
              </w:rPr>
              <w:noBreakHyphen/>
            </w:r>
            <w:r w:rsidRPr="00F7332E">
              <w:rPr>
                <w:rFonts w:eastAsia="Times New Roman" w:cs="Times New Roman"/>
                <w:sz w:val="15"/>
                <w:szCs w:val="15"/>
              </w:rPr>
              <w:t>15 of 5 November 2015.</w:t>
            </w:r>
          </w:p>
        </w:tc>
        <w:tc>
          <w:tcPr>
            <w:tcW w:w="3588" w:type="pct"/>
          </w:tcPr>
          <w:p w14:paraId="22B8E8CA" w14:textId="77777777" w:rsidR="001A500E" w:rsidRPr="00F7332E" w:rsidRDefault="001A500E" w:rsidP="006F0E66">
            <w:pPr>
              <w:jc w:val="left"/>
              <w:rPr>
                <w:rFonts w:eastAsia="Times New Roman" w:cs="Times New Roman"/>
                <w:sz w:val="15"/>
                <w:szCs w:val="15"/>
              </w:rPr>
            </w:pPr>
            <w:r>
              <w:rPr>
                <w:rFonts w:eastAsia="Times New Roman" w:cs="Times New Roman"/>
                <w:sz w:val="15"/>
                <w:szCs w:val="15"/>
              </w:rPr>
              <w:t>Establishes</w:t>
            </w:r>
            <w:r w:rsidRPr="00F7332E">
              <w:rPr>
                <w:rFonts w:eastAsia="Times New Roman" w:cs="Times New Roman"/>
                <w:sz w:val="15"/>
                <w:szCs w:val="15"/>
              </w:rPr>
              <w:t xml:space="preserve"> the presidential initiative to support and promote MSMEs to improve their competitiveness.</w:t>
            </w:r>
          </w:p>
        </w:tc>
      </w:tr>
      <w:tr w:rsidR="001A500E" w:rsidRPr="00F7332E" w14:paraId="0F551E55" w14:textId="77777777" w:rsidTr="00C51D8E">
        <w:trPr>
          <w:cantSplit/>
        </w:trPr>
        <w:tc>
          <w:tcPr>
            <w:tcW w:w="1412" w:type="pct"/>
            <w:shd w:val="clear" w:color="auto" w:fill="C9DED4"/>
          </w:tcPr>
          <w:p w14:paraId="3BA24BFB" w14:textId="77777777" w:rsidR="001A500E" w:rsidRPr="00F7332E" w:rsidRDefault="001A500E" w:rsidP="006F0E66">
            <w:pPr>
              <w:jc w:val="left"/>
              <w:rPr>
                <w:rFonts w:eastAsia="Times New Roman" w:cs="Times New Roman"/>
                <w:sz w:val="15"/>
                <w:szCs w:val="15"/>
              </w:rPr>
            </w:pPr>
            <w:r w:rsidRPr="00F7332E">
              <w:rPr>
                <w:rFonts w:eastAsia="Times New Roman" w:cs="Times New Roman"/>
                <w:sz w:val="15"/>
                <w:szCs w:val="15"/>
              </w:rPr>
              <w:t>Decree No. 15</w:t>
            </w:r>
            <w:r>
              <w:rPr>
                <w:rFonts w:eastAsia="Times New Roman" w:cs="Times New Roman"/>
                <w:sz w:val="15"/>
                <w:szCs w:val="15"/>
              </w:rPr>
              <w:noBreakHyphen/>
            </w:r>
            <w:r w:rsidRPr="00F7332E">
              <w:rPr>
                <w:rFonts w:eastAsia="Times New Roman" w:cs="Times New Roman"/>
                <w:sz w:val="15"/>
                <w:szCs w:val="15"/>
              </w:rPr>
              <w:t>17 of 8 </w:t>
            </w:r>
            <w:r w:rsidRPr="0060155B">
              <w:rPr>
                <w:rFonts w:eastAsia="Times New Roman" w:cs="Times New Roman"/>
                <w:sz w:val="15"/>
                <w:szCs w:val="15"/>
              </w:rPr>
              <w:t>February 2</w:t>
            </w:r>
            <w:r w:rsidRPr="00F7332E">
              <w:rPr>
                <w:rFonts w:eastAsia="Times New Roman" w:cs="Times New Roman"/>
                <w:sz w:val="15"/>
                <w:szCs w:val="15"/>
              </w:rPr>
              <w:t>017</w:t>
            </w:r>
          </w:p>
        </w:tc>
        <w:tc>
          <w:tcPr>
            <w:tcW w:w="3588" w:type="pct"/>
            <w:shd w:val="clear" w:color="auto" w:fill="C9DED4"/>
          </w:tcPr>
          <w:p w14:paraId="5C499E92" w14:textId="77777777" w:rsidR="001A500E" w:rsidRPr="00F7332E" w:rsidRDefault="001A500E" w:rsidP="006F0E66">
            <w:pPr>
              <w:jc w:val="left"/>
              <w:rPr>
                <w:rFonts w:eastAsia="Times New Roman" w:cs="Times New Roman"/>
                <w:sz w:val="15"/>
                <w:szCs w:val="15"/>
              </w:rPr>
            </w:pPr>
            <w:r>
              <w:rPr>
                <w:rFonts w:eastAsia="Times New Roman" w:cs="Times New Roman"/>
                <w:sz w:val="15"/>
                <w:szCs w:val="15"/>
              </w:rPr>
              <w:t>Establishes</w:t>
            </w:r>
            <w:r w:rsidRPr="00F7332E">
              <w:rPr>
                <w:rFonts w:eastAsia="Times New Roman" w:cs="Times New Roman"/>
                <w:sz w:val="15"/>
                <w:szCs w:val="15"/>
              </w:rPr>
              <w:t xml:space="preserve"> procedures and controls to improve transparency and ensure prompt payment of suppliers.</w:t>
            </w:r>
          </w:p>
        </w:tc>
      </w:tr>
      <w:tr w:rsidR="001A500E" w:rsidRPr="00F7332E" w14:paraId="59D70119" w14:textId="77777777" w:rsidTr="00C51D8E">
        <w:trPr>
          <w:cantSplit/>
        </w:trPr>
        <w:tc>
          <w:tcPr>
            <w:tcW w:w="1412" w:type="pct"/>
          </w:tcPr>
          <w:p w14:paraId="4F796DCE" w14:textId="77777777" w:rsidR="001A500E" w:rsidRPr="00F7332E" w:rsidRDefault="001A500E" w:rsidP="006F0E66">
            <w:pPr>
              <w:jc w:val="left"/>
              <w:rPr>
                <w:rFonts w:eastAsia="Times New Roman" w:cs="Times New Roman"/>
                <w:sz w:val="15"/>
                <w:szCs w:val="15"/>
              </w:rPr>
            </w:pPr>
            <w:r w:rsidRPr="00F7332E">
              <w:rPr>
                <w:rFonts w:eastAsia="Times New Roman" w:cs="Times New Roman"/>
                <w:sz w:val="15"/>
                <w:szCs w:val="15"/>
              </w:rPr>
              <w:lastRenderedPageBreak/>
              <w:t>Decree No. 350</w:t>
            </w:r>
            <w:r>
              <w:rPr>
                <w:rFonts w:eastAsia="Times New Roman" w:cs="Times New Roman"/>
                <w:sz w:val="15"/>
                <w:szCs w:val="15"/>
              </w:rPr>
              <w:noBreakHyphen/>
            </w:r>
            <w:r w:rsidRPr="00F7332E">
              <w:rPr>
                <w:rFonts w:eastAsia="Times New Roman" w:cs="Times New Roman"/>
                <w:sz w:val="15"/>
                <w:szCs w:val="15"/>
              </w:rPr>
              <w:t>17 of 14 </w:t>
            </w:r>
            <w:r w:rsidRPr="0060155B">
              <w:rPr>
                <w:rFonts w:eastAsia="Times New Roman" w:cs="Times New Roman"/>
                <w:sz w:val="15"/>
                <w:szCs w:val="15"/>
              </w:rPr>
              <w:t>September 2</w:t>
            </w:r>
            <w:r w:rsidRPr="00F7332E">
              <w:rPr>
                <w:rFonts w:eastAsia="Times New Roman" w:cs="Times New Roman"/>
                <w:sz w:val="15"/>
                <w:szCs w:val="15"/>
              </w:rPr>
              <w:t>017</w:t>
            </w:r>
          </w:p>
        </w:tc>
        <w:tc>
          <w:tcPr>
            <w:tcW w:w="3588" w:type="pct"/>
          </w:tcPr>
          <w:p w14:paraId="00766A41" w14:textId="77777777" w:rsidR="001A500E" w:rsidRPr="00F7332E" w:rsidRDefault="001A500E" w:rsidP="006F0E66">
            <w:pPr>
              <w:jc w:val="left"/>
              <w:rPr>
                <w:rFonts w:eastAsia="Times New Roman" w:cs="Times New Roman"/>
                <w:sz w:val="15"/>
                <w:szCs w:val="15"/>
              </w:rPr>
            </w:pPr>
            <w:r w:rsidRPr="00F7332E">
              <w:rPr>
                <w:rFonts w:eastAsia="Times New Roman" w:cs="Times New Roman"/>
                <w:sz w:val="15"/>
                <w:szCs w:val="15"/>
              </w:rPr>
              <w:t>Establishes the Transaction Portal of the Computerized Management System for Procurement and Contracts of the Dominican State as a permanent technological tool to manage government procurement of goods, works, services and concessions.</w:t>
            </w:r>
          </w:p>
        </w:tc>
      </w:tr>
      <w:tr w:rsidR="001A500E" w:rsidRPr="00F7332E" w14:paraId="5FB5552E" w14:textId="77777777" w:rsidTr="00C51D8E">
        <w:trPr>
          <w:cantSplit/>
        </w:trPr>
        <w:tc>
          <w:tcPr>
            <w:tcW w:w="1412" w:type="pct"/>
            <w:shd w:val="clear" w:color="auto" w:fill="C9DED4"/>
          </w:tcPr>
          <w:p w14:paraId="285212D9" w14:textId="77777777" w:rsidR="001A500E" w:rsidRPr="00F7332E" w:rsidRDefault="001A500E" w:rsidP="006F0E66">
            <w:pPr>
              <w:jc w:val="left"/>
              <w:rPr>
                <w:rFonts w:eastAsia="Times New Roman" w:cs="Times New Roman"/>
                <w:sz w:val="15"/>
                <w:szCs w:val="15"/>
              </w:rPr>
            </w:pPr>
            <w:r w:rsidRPr="00F7332E">
              <w:rPr>
                <w:rFonts w:eastAsia="Times New Roman" w:cs="Times New Roman"/>
                <w:sz w:val="15"/>
                <w:szCs w:val="15"/>
              </w:rPr>
              <w:t>Decree No. 168</w:t>
            </w:r>
            <w:r>
              <w:rPr>
                <w:rFonts w:eastAsia="Times New Roman" w:cs="Times New Roman"/>
                <w:sz w:val="15"/>
                <w:szCs w:val="15"/>
              </w:rPr>
              <w:noBreakHyphen/>
            </w:r>
            <w:r w:rsidRPr="00F7332E">
              <w:rPr>
                <w:rFonts w:eastAsia="Times New Roman" w:cs="Times New Roman"/>
                <w:sz w:val="15"/>
                <w:szCs w:val="15"/>
              </w:rPr>
              <w:t xml:space="preserve">19 of </w:t>
            </w:r>
            <w:r w:rsidRPr="0060155B">
              <w:rPr>
                <w:rFonts w:eastAsia="Times New Roman" w:cs="Times New Roman"/>
                <w:sz w:val="15"/>
                <w:szCs w:val="15"/>
              </w:rPr>
              <w:t>6 May 2</w:t>
            </w:r>
            <w:r w:rsidRPr="00F7332E">
              <w:rPr>
                <w:rFonts w:eastAsia="Times New Roman" w:cs="Times New Roman"/>
                <w:sz w:val="15"/>
                <w:szCs w:val="15"/>
              </w:rPr>
              <w:t>019</w:t>
            </w:r>
          </w:p>
        </w:tc>
        <w:tc>
          <w:tcPr>
            <w:tcW w:w="3588" w:type="pct"/>
            <w:shd w:val="clear" w:color="auto" w:fill="C9DED4"/>
          </w:tcPr>
          <w:p w14:paraId="6FA9C9F3" w14:textId="77777777" w:rsidR="001A500E" w:rsidRPr="00F7332E" w:rsidRDefault="001A500E" w:rsidP="006F0E66">
            <w:pPr>
              <w:jc w:val="left"/>
              <w:rPr>
                <w:rFonts w:eastAsia="Times New Roman" w:cs="Times New Roman"/>
                <w:sz w:val="15"/>
                <w:szCs w:val="15"/>
              </w:rPr>
            </w:pPr>
            <w:r w:rsidRPr="00F7332E">
              <w:rPr>
                <w:rFonts w:eastAsia="Times New Roman" w:cs="Times New Roman"/>
                <w:sz w:val="15"/>
                <w:szCs w:val="15"/>
              </w:rPr>
              <w:t xml:space="preserve">Supports domestic production, eliminates intermediation, regionalizes procurement, contributes to economic development and </w:t>
            </w:r>
            <w:r>
              <w:rPr>
                <w:rFonts w:eastAsia="Times New Roman" w:cs="Times New Roman"/>
                <w:sz w:val="15"/>
                <w:szCs w:val="15"/>
              </w:rPr>
              <w:t>creates jobs</w:t>
            </w:r>
            <w:r w:rsidRPr="00F7332E">
              <w:rPr>
                <w:rFonts w:eastAsia="Times New Roman" w:cs="Times New Roman"/>
                <w:sz w:val="15"/>
                <w:szCs w:val="15"/>
              </w:rPr>
              <w:t xml:space="preserve"> to increase the competitiveness of the country's various production sectors.</w:t>
            </w:r>
          </w:p>
        </w:tc>
      </w:tr>
      <w:tr w:rsidR="001A500E" w:rsidRPr="00F7332E" w14:paraId="148F89D6" w14:textId="77777777" w:rsidTr="00C51D8E">
        <w:trPr>
          <w:cantSplit/>
        </w:trPr>
        <w:tc>
          <w:tcPr>
            <w:tcW w:w="1412" w:type="pct"/>
          </w:tcPr>
          <w:p w14:paraId="4A91A0C0" w14:textId="77777777" w:rsidR="001A500E" w:rsidRPr="00F7332E" w:rsidRDefault="001A500E" w:rsidP="006F0E66">
            <w:pPr>
              <w:jc w:val="left"/>
              <w:rPr>
                <w:rFonts w:eastAsia="Times New Roman" w:cs="Times New Roman"/>
                <w:sz w:val="15"/>
                <w:szCs w:val="15"/>
              </w:rPr>
            </w:pPr>
            <w:r w:rsidRPr="00F7332E">
              <w:rPr>
                <w:rFonts w:eastAsia="Times New Roman" w:cs="Times New Roman"/>
                <w:sz w:val="15"/>
                <w:szCs w:val="15"/>
              </w:rPr>
              <w:t>Law No. 47</w:t>
            </w:r>
            <w:r>
              <w:rPr>
                <w:rFonts w:eastAsia="Times New Roman" w:cs="Times New Roman"/>
                <w:sz w:val="15"/>
                <w:szCs w:val="15"/>
              </w:rPr>
              <w:noBreakHyphen/>
            </w:r>
            <w:r w:rsidRPr="00F7332E">
              <w:rPr>
                <w:rFonts w:eastAsia="Times New Roman" w:cs="Times New Roman"/>
                <w:sz w:val="15"/>
                <w:szCs w:val="15"/>
              </w:rPr>
              <w:t>20 on Public</w:t>
            </w:r>
            <w:r>
              <w:rPr>
                <w:rFonts w:eastAsia="Times New Roman" w:cs="Times New Roman"/>
                <w:sz w:val="15"/>
                <w:szCs w:val="15"/>
              </w:rPr>
              <w:noBreakHyphen/>
            </w:r>
            <w:r w:rsidRPr="00F7332E">
              <w:rPr>
                <w:rFonts w:eastAsia="Times New Roman" w:cs="Times New Roman"/>
                <w:sz w:val="15"/>
                <w:szCs w:val="15"/>
              </w:rPr>
              <w:t>Private Partnerships of 21 </w:t>
            </w:r>
            <w:r w:rsidRPr="0060155B">
              <w:rPr>
                <w:rFonts w:eastAsia="Times New Roman" w:cs="Times New Roman"/>
                <w:sz w:val="15"/>
                <w:szCs w:val="15"/>
              </w:rPr>
              <w:t>February 2</w:t>
            </w:r>
            <w:r w:rsidRPr="00F7332E">
              <w:rPr>
                <w:rFonts w:eastAsia="Times New Roman" w:cs="Times New Roman"/>
                <w:sz w:val="15"/>
                <w:szCs w:val="15"/>
              </w:rPr>
              <w:t>020.</w:t>
            </w:r>
          </w:p>
        </w:tc>
        <w:tc>
          <w:tcPr>
            <w:tcW w:w="3588" w:type="pct"/>
          </w:tcPr>
          <w:p w14:paraId="4FD0B3D3" w14:textId="77777777" w:rsidR="001A500E" w:rsidRPr="00F7332E" w:rsidRDefault="001A500E" w:rsidP="006F0E66">
            <w:pPr>
              <w:jc w:val="left"/>
              <w:rPr>
                <w:rFonts w:eastAsia="Times New Roman" w:cs="Times New Roman"/>
                <w:sz w:val="15"/>
                <w:szCs w:val="15"/>
              </w:rPr>
            </w:pPr>
            <w:r w:rsidRPr="00F7332E">
              <w:rPr>
                <w:rFonts w:eastAsia="Times New Roman" w:cs="Times New Roman"/>
                <w:sz w:val="15"/>
                <w:szCs w:val="15"/>
              </w:rPr>
              <w:t>Establishes a regulatory framework to regulate the launch, selection, award, procurement, execution, monitoring and termination of public</w:t>
            </w:r>
            <w:r>
              <w:rPr>
                <w:rFonts w:eastAsia="Times New Roman" w:cs="Times New Roman"/>
                <w:sz w:val="15"/>
                <w:szCs w:val="15"/>
              </w:rPr>
              <w:noBreakHyphen/>
            </w:r>
            <w:r w:rsidRPr="00F7332E">
              <w:rPr>
                <w:rFonts w:eastAsia="Times New Roman" w:cs="Times New Roman"/>
                <w:sz w:val="15"/>
                <w:szCs w:val="15"/>
              </w:rPr>
              <w:t>private partnerships.</w:t>
            </w:r>
          </w:p>
        </w:tc>
      </w:tr>
      <w:tr w:rsidR="001A500E" w:rsidRPr="00F7332E" w14:paraId="1C92650C" w14:textId="77777777" w:rsidTr="00C51D8E">
        <w:trPr>
          <w:cantSplit/>
        </w:trPr>
        <w:tc>
          <w:tcPr>
            <w:tcW w:w="1412" w:type="pct"/>
            <w:shd w:val="clear" w:color="auto" w:fill="C9DED4"/>
          </w:tcPr>
          <w:p w14:paraId="61A78499" w14:textId="77777777" w:rsidR="001A500E" w:rsidRPr="00F7332E" w:rsidRDefault="001A500E" w:rsidP="006F0E66">
            <w:pPr>
              <w:jc w:val="left"/>
              <w:rPr>
                <w:rFonts w:eastAsia="Times New Roman" w:cs="Times New Roman"/>
                <w:sz w:val="15"/>
                <w:szCs w:val="15"/>
              </w:rPr>
            </w:pPr>
            <w:r w:rsidRPr="00F7332E">
              <w:rPr>
                <w:rFonts w:eastAsia="Times New Roman" w:cs="Times New Roman"/>
                <w:sz w:val="15"/>
                <w:szCs w:val="15"/>
              </w:rPr>
              <w:t>Decree No. 86</w:t>
            </w:r>
            <w:r>
              <w:rPr>
                <w:rFonts w:eastAsia="Times New Roman" w:cs="Times New Roman"/>
                <w:sz w:val="15"/>
                <w:szCs w:val="15"/>
              </w:rPr>
              <w:noBreakHyphen/>
            </w:r>
            <w:r w:rsidRPr="00F7332E">
              <w:rPr>
                <w:rFonts w:eastAsia="Times New Roman" w:cs="Times New Roman"/>
                <w:sz w:val="15"/>
                <w:szCs w:val="15"/>
              </w:rPr>
              <w:t>20 of 21 </w:t>
            </w:r>
            <w:r w:rsidRPr="0060155B">
              <w:rPr>
                <w:rFonts w:eastAsia="Times New Roman" w:cs="Times New Roman"/>
                <w:sz w:val="15"/>
                <w:szCs w:val="15"/>
              </w:rPr>
              <w:t>February 2</w:t>
            </w:r>
            <w:r w:rsidRPr="00F7332E">
              <w:rPr>
                <w:rFonts w:eastAsia="Times New Roman" w:cs="Times New Roman"/>
                <w:sz w:val="15"/>
                <w:szCs w:val="15"/>
              </w:rPr>
              <w:t>020</w:t>
            </w:r>
          </w:p>
        </w:tc>
        <w:tc>
          <w:tcPr>
            <w:tcW w:w="3588" w:type="pct"/>
            <w:shd w:val="clear" w:color="auto" w:fill="C9DED4"/>
          </w:tcPr>
          <w:p w14:paraId="7296C1B6" w14:textId="77777777" w:rsidR="001A500E" w:rsidRPr="00F7332E" w:rsidRDefault="001A500E" w:rsidP="006F0E66">
            <w:pPr>
              <w:jc w:val="left"/>
              <w:rPr>
                <w:rFonts w:eastAsia="Times New Roman" w:cs="Times New Roman"/>
                <w:sz w:val="15"/>
                <w:szCs w:val="15"/>
              </w:rPr>
            </w:pPr>
            <w:r w:rsidRPr="00F7332E">
              <w:rPr>
                <w:rFonts w:eastAsia="Times New Roman" w:cs="Times New Roman"/>
                <w:sz w:val="15"/>
                <w:szCs w:val="15"/>
              </w:rPr>
              <w:t xml:space="preserve">Provides instructions to institutions responsible for implementing social programmes so that in their procurement processes the calls for tenders are directed exclusively to domestic producers in order to contribute to development and </w:t>
            </w:r>
            <w:r>
              <w:rPr>
                <w:rFonts w:eastAsia="Times New Roman" w:cs="Times New Roman"/>
                <w:sz w:val="15"/>
                <w:szCs w:val="15"/>
              </w:rPr>
              <w:t>create jobs</w:t>
            </w:r>
            <w:r w:rsidRPr="00F7332E">
              <w:rPr>
                <w:rFonts w:eastAsia="Times New Roman" w:cs="Times New Roman"/>
                <w:sz w:val="15"/>
                <w:szCs w:val="15"/>
              </w:rPr>
              <w:t>.</w:t>
            </w:r>
          </w:p>
        </w:tc>
      </w:tr>
      <w:tr w:rsidR="001A500E" w:rsidRPr="00F7332E" w14:paraId="1F9F44A6" w14:textId="77777777" w:rsidTr="00C51D8E">
        <w:trPr>
          <w:cantSplit/>
        </w:trPr>
        <w:tc>
          <w:tcPr>
            <w:tcW w:w="1412" w:type="pct"/>
          </w:tcPr>
          <w:p w14:paraId="373B2FA3" w14:textId="77777777" w:rsidR="001A500E" w:rsidRPr="00F7332E" w:rsidRDefault="001A500E" w:rsidP="006F0E66">
            <w:pPr>
              <w:jc w:val="left"/>
              <w:rPr>
                <w:rFonts w:eastAsia="Times New Roman" w:cs="Times New Roman"/>
                <w:sz w:val="15"/>
                <w:szCs w:val="15"/>
              </w:rPr>
            </w:pPr>
            <w:r w:rsidRPr="00F7332E">
              <w:rPr>
                <w:rFonts w:eastAsia="Times New Roman" w:cs="Times New Roman"/>
                <w:sz w:val="15"/>
                <w:szCs w:val="15"/>
              </w:rPr>
              <w:t>Decree No. 434</w:t>
            </w:r>
            <w:r>
              <w:rPr>
                <w:rFonts w:eastAsia="Times New Roman" w:cs="Times New Roman"/>
                <w:sz w:val="15"/>
                <w:szCs w:val="15"/>
              </w:rPr>
              <w:noBreakHyphen/>
            </w:r>
            <w:r w:rsidRPr="00F7332E">
              <w:rPr>
                <w:rFonts w:eastAsia="Times New Roman" w:cs="Times New Roman"/>
                <w:sz w:val="15"/>
                <w:szCs w:val="15"/>
              </w:rPr>
              <w:t>20 of 1 </w:t>
            </w:r>
            <w:r w:rsidRPr="0060155B">
              <w:rPr>
                <w:rFonts w:eastAsia="Times New Roman" w:cs="Times New Roman"/>
                <w:sz w:val="15"/>
                <w:szCs w:val="15"/>
              </w:rPr>
              <w:t>September 2</w:t>
            </w:r>
            <w:r w:rsidRPr="00F7332E">
              <w:rPr>
                <w:rFonts w:eastAsia="Times New Roman" w:cs="Times New Roman"/>
                <w:sz w:val="15"/>
                <w:szCs w:val="15"/>
              </w:rPr>
              <w:t>020.</w:t>
            </w:r>
          </w:p>
        </w:tc>
        <w:tc>
          <w:tcPr>
            <w:tcW w:w="3588" w:type="pct"/>
          </w:tcPr>
          <w:p w14:paraId="749F557B" w14:textId="77777777" w:rsidR="001A500E" w:rsidRPr="00F7332E" w:rsidRDefault="001A500E" w:rsidP="006F0E66">
            <w:pPr>
              <w:jc w:val="left"/>
              <w:rPr>
                <w:rFonts w:eastAsia="Times New Roman" w:cs="Times New Roman"/>
                <w:sz w:val="15"/>
                <w:szCs w:val="15"/>
              </w:rPr>
            </w:pPr>
            <w:r w:rsidRPr="00F7332E">
              <w:rPr>
                <w:rFonts w:eastAsia="Times New Roman" w:cs="Times New Roman"/>
                <w:sz w:val="15"/>
                <w:szCs w:val="15"/>
              </w:rPr>
              <w:t>Approves and brings into force the Regulations implementing Law No. 47</w:t>
            </w:r>
            <w:r>
              <w:rPr>
                <w:rFonts w:eastAsia="Times New Roman" w:cs="Times New Roman"/>
                <w:sz w:val="15"/>
                <w:szCs w:val="15"/>
              </w:rPr>
              <w:noBreakHyphen/>
            </w:r>
            <w:r w:rsidRPr="00F7332E">
              <w:rPr>
                <w:rFonts w:eastAsia="Times New Roman" w:cs="Times New Roman"/>
                <w:sz w:val="15"/>
                <w:szCs w:val="15"/>
              </w:rPr>
              <w:t>20 on Public</w:t>
            </w:r>
            <w:r>
              <w:rPr>
                <w:rFonts w:eastAsia="Times New Roman" w:cs="Times New Roman"/>
                <w:sz w:val="15"/>
                <w:szCs w:val="15"/>
              </w:rPr>
              <w:noBreakHyphen/>
            </w:r>
            <w:r w:rsidRPr="00F7332E">
              <w:rPr>
                <w:rFonts w:eastAsia="Times New Roman" w:cs="Times New Roman"/>
                <w:sz w:val="15"/>
                <w:szCs w:val="15"/>
              </w:rPr>
              <w:t>Private Partnerships.</w:t>
            </w:r>
          </w:p>
        </w:tc>
      </w:tr>
      <w:tr w:rsidR="001A500E" w:rsidRPr="00F7332E" w14:paraId="665B8E82" w14:textId="77777777" w:rsidTr="00C51D8E">
        <w:trPr>
          <w:cantSplit/>
        </w:trPr>
        <w:tc>
          <w:tcPr>
            <w:tcW w:w="1412" w:type="pct"/>
            <w:shd w:val="clear" w:color="auto" w:fill="C9DED4"/>
          </w:tcPr>
          <w:p w14:paraId="3C195C9C" w14:textId="77777777" w:rsidR="001A500E" w:rsidRPr="00F7332E" w:rsidRDefault="001A500E" w:rsidP="006F0E66">
            <w:pPr>
              <w:jc w:val="left"/>
              <w:rPr>
                <w:rFonts w:eastAsia="Times New Roman" w:cs="Times New Roman"/>
                <w:sz w:val="15"/>
                <w:szCs w:val="15"/>
              </w:rPr>
            </w:pPr>
            <w:r w:rsidRPr="00F7332E">
              <w:rPr>
                <w:rFonts w:eastAsia="Times New Roman" w:cs="Times New Roman"/>
                <w:sz w:val="15"/>
                <w:szCs w:val="15"/>
              </w:rPr>
              <w:t>Law No. 6</w:t>
            </w:r>
            <w:r>
              <w:rPr>
                <w:rFonts w:eastAsia="Times New Roman" w:cs="Times New Roman"/>
                <w:sz w:val="15"/>
                <w:szCs w:val="15"/>
              </w:rPr>
              <w:noBreakHyphen/>
            </w:r>
            <w:r w:rsidRPr="00F7332E">
              <w:rPr>
                <w:rFonts w:eastAsia="Times New Roman" w:cs="Times New Roman"/>
                <w:sz w:val="15"/>
                <w:szCs w:val="15"/>
              </w:rPr>
              <w:t>21 adding a fifth numbered paragraph to Article 6 of Law No. 340</w:t>
            </w:r>
            <w:r>
              <w:rPr>
                <w:rFonts w:eastAsia="Times New Roman" w:cs="Times New Roman"/>
                <w:sz w:val="15"/>
                <w:szCs w:val="15"/>
              </w:rPr>
              <w:noBreakHyphen/>
            </w:r>
            <w:r w:rsidRPr="00F7332E">
              <w:rPr>
                <w:rFonts w:eastAsia="Times New Roman" w:cs="Times New Roman"/>
                <w:sz w:val="15"/>
                <w:szCs w:val="15"/>
              </w:rPr>
              <w:t>06 of 20 </w:t>
            </w:r>
            <w:r w:rsidRPr="0060155B">
              <w:rPr>
                <w:rFonts w:eastAsia="Times New Roman" w:cs="Times New Roman"/>
                <w:sz w:val="15"/>
                <w:szCs w:val="15"/>
              </w:rPr>
              <w:t>January 2</w:t>
            </w:r>
            <w:r w:rsidRPr="00F7332E">
              <w:rPr>
                <w:rFonts w:eastAsia="Times New Roman" w:cs="Times New Roman"/>
                <w:sz w:val="15"/>
                <w:szCs w:val="15"/>
              </w:rPr>
              <w:t>021</w:t>
            </w:r>
          </w:p>
        </w:tc>
        <w:tc>
          <w:tcPr>
            <w:tcW w:w="3588" w:type="pct"/>
            <w:shd w:val="clear" w:color="auto" w:fill="C9DED4"/>
          </w:tcPr>
          <w:p w14:paraId="3402B160" w14:textId="77777777" w:rsidR="001A500E" w:rsidRPr="00F7332E" w:rsidRDefault="001A500E" w:rsidP="006F0E66">
            <w:pPr>
              <w:jc w:val="left"/>
              <w:rPr>
                <w:rFonts w:eastAsia="Times New Roman" w:cs="Times New Roman"/>
                <w:sz w:val="15"/>
                <w:szCs w:val="15"/>
              </w:rPr>
            </w:pPr>
            <w:r w:rsidRPr="00F7332E">
              <w:rPr>
                <w:rFonts w:eastAsia="Times New Roman" w:cs="Times New Roman"/>
                <w:sz w:val="15"/>
                <w:szCs w:val="15"/>
              </w:rPr>
              <w:t>Excludes from the scope of Law No. 340</w:t>
            </w:r>
            <w:r>
              <w:rPr>
                <w:rFonts w:eastAsia="Times New Roman" w:cs="Times New Roman"/>
                <w:sz w:val="15"/>
                <w:szCs w:val="15"/>
              </w:rPr>
              <w:noBreakHyphen/>
            </w:r>
            <w:r w:rsidRPr="00F7332E">
              <w:rPr>
                <w:rFonts w:eastAsia="Times New Roman" w:cs="Times New Roman"/>
                <w:sz w:val="15"/>
                <w:szCs w:val="15"/>
              </w:rPr>
              <w:t>06 processes for the procurement of vaccines in the event of a pandemic, threat of a pandemic, or a declared epidemic.</w:t>
            </w:r>
          </w:p>
        </w:tc>
      </w:tr>
      <w:tr w:rsidR="001A500E" w:rsidRPr="00F7332E" w14:paraId="4276F127" w14:textId="77777777" w:rsidTr="00C51D8E">
        <w:trPr>
          <w:cantSplit/>
        </w:trPr>
        <w:tc>
          <w:tcPr>
            <w:tcW w:w="1412" w:type="pct"/>
          </w:tcPr>
          <w:p w14:paraId="6176FAE0" w14:textId="77777777" w:rsidR="001A500E" w:rsidRPr="00F7332E" w:rsidRDefault="001A500E" w:rsidP="006F0E66">
            <w:pPr>
              <w:jc w:val="left"/>
              <w:rPr>
                <w:rFonts w:eastAsia="Times New Roman" w:cs="Times New Roman"/>
                <w:sz w:val="15"/>
                <w:szCs w:val="15"/>
              </w:rPr>
            </w:pPr>
            <w:r w:rsidRPr="00F7332E">
              <w:rPr>
                <w:rFonts w:eastAsia="Times New Roman" w:cs="Times New Roman"/>
                <w:sz w:val="15"/>
                <w:szCs w:val="15"/>
              </w:rPr>
              <w:t>Decree No. 36</w:t>
            </w:r>
            <w:r>
              <w:rPr>
                <w:rFonts w:eastAsia="Times New Roman" w:cs="Times New Roman"/>
                <w:sz w:val="15"/>
                <w:szCs w:val="15"/>
              </w:rPr>
              <w:noBreakHyphen/>
            </w:r>
            <w:r w:rsidRPr="00F7332E">
              <w:rPr>
                <w:rFonts w:eastAsia="Times New Roman" w:cs="Times New Roman"/>
                <w:sz w:val="15"/>
                <w:szCs w:val="15"/>
              </w:rPr>
              <w:t>21 of 21 </w:t>
            </w:r>
            <w:r w:rsidRPr="0060155B">
              <w:rPr>
                <w:rFonts w:eastAsia="Times New Roman" w:cs="Times New Roman"/>
                <w:sz w:val="15"/>
                <w:szCs w:val="15"/>
              </w:rPr>
              <w:t>January 2</w:t>
            </w:r>
            <w:r w:rsidRPr="00F7332E">
              <w:rPr>
                <w:rFonts w:eastAsia="Times New Roman" w:cs="Times New Roman"/>
                <w:sz w:val="15"/>
                <w:szCs w:val="15"/>
              </w:rPr>
              <w:t>021</w:t>
            </w:r>
          </w:p>
        </w:tc>
        <w:tc>
          <w:tcPr>
            <w:tcW w:w="3588" w:type="pct"/>
          </w:tcPr>
          <w:p w14:paraId="2C834190" w14:textId="77777777" w:rsidR="001A500E" w:rsidRPr="00F7332E" w:rsidRDefault="001A500E" w:rsidP="006F0E66">
            <w:pPr>
              <w:jc w:val="left"/>
              <w:rPr>
                <w:rFonts w:eastAsia="Times New Roman" w:cs="Times New Roman"/>
                <w:sz w:val="15"/>
                <w:szCs w:val="15"/>
              </w:rPr>
            </w:pPr>
            <w:r w:rsidRPr="00F7332E">
              <w:rPr>
                <w:rFonts w:eastAsia="Times New Roman" w:cs="Times New Roman"/>
                <w:sz w:val="15"/>
                <w:szCs w:val="15"/>
              </w:rPr>
              <w:t xml:space="preserve">Establishes the Programme of </w:t>
            </w:r>
            <w:r>
              <w:rPr>
                <w:rFonts w:eastAsia="Times New Roman" w:cs="Times New Roman"/>
                <w:sz w:val="15"/>
                <w:szCs w:val="15"/>
              </w:rPr>
              <w:t>R</w:t>
            </w:r>
            <w:r w:rsidRPr="00F7332E">
              <w:rPr>
                <w:rFonts w:eastAsia="Times New Roman" w:cs="Times New Roman"/>
                <w:sz w:val="15"/>
                <w:szCs w:val="15"/>
              </w:rPr>
              <w:t xml:space="preserve">egulatory </w:t>
            </w:r>
            <w:r>
              <w:rPr>
                <w:rFonts w:eastAsia="Times New Roman" w:cs="Times New Roman"/>
                <w:sz w:val="15"/>
                <w:szCs w:val="15"/>
              </w:rPr>
              <w:t>C</w:t>
            </w:r>
            <w:r w:rsidRPr="00F7332E">
              <w:rPr>
                <w:rFonts w:eastAsia="Times New Roman" w:cs="Times New Roman"/>
                <w:sz w:val="15"/>
                <w:szCs w:val="15"/>
              </w:rPr>
              <w:t xml:space="preserve">ompliance in </w:t>
            </w:r>
            <w:r>
              <w:rPr>
                <w:rFonts w:eastAsia="Times New Roman" w:cs="Times New Roman"/>
                <w:sz w:val="15"/>
                <w:szCs w:val="15"/>
              </w:rPr>
              <w:t>G</w:t>
            </w:r>
            <w:r w:rsidRPr="00F7332E">
              <w:rPr>
                <w:rFonts w:eastAsia="Times New Roman" w:cs="Times New Roman"/>
                <w:sz w:val="15"/>
                <w:szCs w:val="15"/>
              </w:rPr>
              <w:t xml:space="preserve">overnment </w:t>
            </w:r>
            <w:r>
              <w:rPr>
                <w:rFonts w:eastAsia="Times New Roman" w:cs="Times New Roman"/>
                <w:sz w:val="15"/>
                <w:szCs w:val="15"/>
              </w:rPr>
              <w:t>P</w:t>
            </w:r>
            <w:r w:rsidRPr="00F7332E">
              <w:rPr>
                <w:rFonts w:eastAsia="Times New Roman" w:cs="Times New Roman"/>
                <w:sz w:val="15"/>
                <w:szCs w:val="15"/>
              </w:rPr>
              <w:t>rocurement in the Dominican Republic</w:t>
            </w:r>
            <w:r>
              <w:rPr>
                <w:rFonts w:eastAsia="Times New Roman" w:cs="Times New Roman"/>
                <w:sz w:val="15"/>
                <w:szCs w:val="15"/>
              </w:rPr>
              <w:t>,</w:t>
            </w:r>
            <w:r w:rsidRPr="00F7332E">
              <w:rPr>
                <w:rFonts w:eastAsia="Times New Roman" w:cs="Times New Roman"/>
                <w:sz w:val="15"/>
                <w:szCs w:val="15"/>
              </w:rPr>
              <w:t xml:space="preserve"> </w:t>
            </w:r>
            <w:r>
              <w:rPr>
                <w:rFonts w:eastAsia="Times New Roman" w:cs="Times New Roman"/>
                <w:sz w:val="15"/>
                <w:szCs w:val="15"/>
              </w:rPr>
              <w:t>with</w:t>
            </w:r>
            <w:r w:rsidRPr="00F7332E">
              <w:rPr>
                <w:rFonts w:eastAsia="Times New Roman" w:cs="Times New Roman"/>
                <w:sz w:val="15"/>
                <w:szCs w:val="15"/>
              </w:rPr>
              <w:t xml:space="preserve"> the aim of promoting standards and policies to prevent regulatory non</w:t>
            </w:r>
            <w:r>
              <w:rPr>
                <w:rFonts w:eastAsia="Times New Roman" w:cs="Times New Roman"/>
                <w:sz w:val="15"/>
                <w:szCs w:val="15"/>
              </w:rPr>
              <w:noBreakHyphen/>
            </w:r>
            <w:r w:rsidRPr="00F7332E">
              <w:rPr>
                <w:rFonts w:eastAsia="Times New Roman" w:cs="Times New Roman"/>
                <w:sz w:val="15"/>
                <w:szCs w:val="15"/>
              </w:rPr>
              <w:t>compliance and administrative irregularities.</w:t>
            </w:r>
          </w:p>
        </w:tc>
      </w:tr>
      <w:tr w:rsidR="001A500E" w:rsidRPr="00F7332E" w14:paraId="2FEB3501" w14:textId="77777777" w:rsidTr="00C51D8E">
        <w:trPr>
          <w:cantSplit/>
        </w:trPr>
        <w:tc>
          <w:tcPr>
            <w:tcW w:w="1412" w:type="pct"/>
            <w:shd w:val="clear" w:color="auto" w:fill="C9DED4"/>
          </w:tcPr>
          <w:p w14:paraId="680E35B7" w14:textId="77777777" w:rsidR="001A500E" w:rsidRPr="00F7332E" w:rsidRDefault="001A500E" w:rsidP="006F0E66">
            <w:pPr>
              <w:jc w:val="left"/>
              <w:rPr>
                <w:rFonts w:eastAsia="Times New Roman" w:cs="Times New Roman"/>
                <w:sz w:val="15"/>
                <w:szCs w:val="15"/>
              </w:rPr>
            </w:pPr>
            <w:r w:rsidRPr="00F7332E">
              <w:rPr>
                <w:rFonts w:eastAsia="Times New Roman" w:cs="Times New Roman"/>
                <w:sz w:val="15"/>
                <w:szCs w:val="15"/>
              </w:rPr>
              <w:t>Law No. 118</w:t>
            </w:r>
            <w:r>
              <w:rPr>
                <w:rFonts w:eastAsia="Times New Roman" w:cs="Times New Roman"/>
                <w:sz w:val="15"/>
                <w:szCs w:val="15"/>
              </w:rPr>
              <w:noBreakHyphen/>
            </w:r>
            <w:r w:rsidRPr="00F7332E">
              <w:rPr>
                <w:rFonts w:eastAsia="Times New Roman" w:cs="Times New Roman"/>
                <w:sz w:val="15"/>
                <w:szCs w:val="15"/>
              </w:rPr>
              <w:t>21 of 3</w:t>
            </w:r>
            <w:r w:rsidRPr="0060155B">
              <w:rPr>
                <w:rFonts w:eastAsia="Times New Roman" w:cs="Times New Roman"/>
                <w:sz w:val="15"/>
                <w:szCs w:val="15"/>
              </w:rPr>
              <w:t>1 May 2</w:t>
            </w:r>
            <w:r w:rsidRPr="00F7332E">
              <w:rPr>
                <w:rFonts w:eastAsia="Times New Roman" w:cs="Times New Roman"/>
                <w:sz w:val="15"/>
                <w:szCs w:val="15"/>
              </w:rPr>
              <w:t>021</w:t>
            </w:r>
          </w:p>
        </w:tc>
        <w:tc>
          <w:tcPr>
            <w:tcW w:w="3588" w:type="pct"/>
            <w:shd w:val="clear" w:color="auto" w:fill="C9DED4"/>
          </w:tcPr>
          <w:p w14:paraId="042F9170" w14:textId="77777777" w:rsidR="001A500E" w:rsidRPr="00F7332E" w:rsidRDefault="001A500E" w:rsidP="006F0E66">
            <w:pPr>
              <w:jc w:val="left"/>
              <w:rPr>
                <w:rFonts w:eastAsia="Times New Roman" w:cs="Times New Roman"/>
                <w:sz w:val="15"/>
                <w:szCs w:val="15"/>
              </w:rPr>
            </w:pPr>
            <w:r w:rsidRPr="00F7332E">
              <w:rPr>
                <w:rFonts w:eastAsia="Times New Roman" w:cs="Times New Roman"/>
                <w:sz w:val="15"/>
                <w:szCs w:val="15"/>
              </w:rPr>
              <w:t xml:space="preserve">Permits and ensures that works to construct schools, hospitals and roads that are currently suspended owing to a lack of budget </w:t>
            </w:r>
            <w:r>
              <w:rPr>
                <w:rFonts w:eastAsia="Times New Roman" w:cs="Times New Roman"/>
                <w:sz w:val="15"/>
                <w:szCs w:val="15"/>
              </w:rPr>
              <w:t>allocations</w:t>
            </w:r>
            <w:r w:rsidRPr="00F7332E">
              <w:rPr>
                <w:rFonts w:eastAsia="Times New Roman" w:cs="Times New Roman"/>
                <w:sz w:val="15"/>
                <w:szCs w:val="15"/>
              </w:rPr>
              <w:t xml:space="preserve"> can be concluded by the procuring entity.</w:t>
            </w:r>
          </w:p>
        </w:tc>
      </w:tr>
      <w:tr w:rsidR="001A500E" w:rsidRPr="00F7332E" w14:paraId="6CA55988" w14:textId="77777777" w:rsidTr="00C51D8E">
        <w:trPr>
          <w:cantSplit/>
        </w:trPr>
        <w:tc>
          <w:tcPr>
            <w:tcW w:w="1412" w:type="pct"/>
          </w:tcPr>
          <w:p w14:paraId="6D5D2D7E" w14:textId="77777777" w:rsidR="001A500E" w:rsidRPr="00F7332E" w:rsidRDefault="001A500E" w:rsidP="006F0E66">
            <w:pPr>
              <w:jc w:val="left"/>
              <w:rPr>
                <w:rFonts w:eastAsia="Times New Roman" w:cs="Times New Roman"/>
                <w:sz w:val="15"/>
                <w:szCs w:val="15"/>
              </w:rPr>
            </w:pPr>
            <w:r w:rsidRPr="00F7332E">
              <w:rPr>
                <w:rFonts w:eastAsia="Times New Roman" w:cs="Times New Roman"/>
                <w:sz w:val="15"/>
                <w:szCs w:val="15"/>
              </w:rPr>
              <w:t>Decree No. 426</w:t>
            </w:r>
            <w:r>
              <w:rPr>
                <w:rFonts w:eastAsia="Times New Roman" w:cs="Times New Roman"/>
                <w:sz w:val="15"/>
                <w:szCs w:val="15"/>
              </w:rPr>
              <w:noBreakHyphen/>
            </w:r>
            <w:r w:rsidRPr="00F7332E">
              <w:rPr>
                <w:rFonts w:eastAsia="Times New Roman" w:cs="Times New Roman"/>
                <w:sz w:val="15"/>
                <w:szCs w:val="15"/>
              </w:rPr>
              <w:t>21 of 7 July</w:t>
            </w:r>
            <w:r>
              <w:t> </w:t>
            </w:r>
            <w:r w:rsidRPr="00F7332E">
              <w:rPr>
                <w:rFonts w:eastAsia="Times New Roman" w:cs="Times New Roman"/>
                <w:sz w:val="15"/>
                <w:szCs w:val="15"/>
              </w:rPr>
              <w:t>2021</w:t>
            </w:r>
          </w:p>
        </w:tc>
        <w:tc>
          <w:tcPr>
            <w:tcW w:w="3588" w:type="pct"/>
          </w:tcPr>
          <w:p w14:paraId="2AA73B94" w14:textId="77777777" w:rsidR="001A500E" w:rsidRPr="00F7332E" w:rsidRDefault="001A500E" w:rsidP="006F0E66">
            <w:pPr>
              <w:jc w:val="left"/>
              <w:rPr>
                <w:rFonts w:eastAsia="Times New Roman" w:cs="Times New Roman"/>
                <w:sz w:val="15"/>
                <w:szCs w:val="15"/>
              </w:rPr>
            </w:pPr>
            <w:r w:rsidRPr="00F7332E">
              <w:rPr>
                <w:rFonts w:eastAsia="Times New Roman" w:cs="Times New Roman"/>
                <w:sz w:val="15"/>
                <w:szCs w:val="15"/>
              </w:rPr>
              <w:t>Sets up public procurement monitoring committees as a mechanism to observe, oversee and monitor purchasing and procurement processes.</w:t>
            </w:r>
          </w:p>
        </w:tc>
      </w:tr>
      <w:tr w:rsidR="001A500E" w:rsidRPr="00F7332E" w14:paraId="402ED5B2" w14:textId="77777777" w:rsidTr="00C51D8E">
        <w:trPr>
          <w:cantSplit/>
        </w:trPr>
        <w:tc>
          <w:tcPr>
            <w:tcW w:w="1412" w:type="pct"/>
            <w:tcBorders>
              <w:bottom w:val="single" w:sz="4" w:space="0" w:color="auto"/>
            </w:tcBorders>
            <w:shd w:val="clear" w:color="auto" w:fill="C9DED4"/>
          </w:tcPr>
          <w:p w14:paraId="1E689C29" w14:textId="77777777" w:rsidR="001A500E" w:rsidRPr="00F7332E" w:rsidRDefault="001A500E" w:rsidP="006F0E66">
            <w:pPr>
              <w:jc w:val="left"/>
              <w:rPr>
                <w:rFonts w:eastAsia="Times New Roman" w:cs="Times New Roman"/>
                <w:sz w:val="15"/>
                <w:szCs w:val="15"/>
              </w:rPr>
            </w:pPr>
            <w:r w:rsidRPr="00F7332E">
              <w:rPr>
                <w:rFonts w:eastAsia="Times New Roman" w:cs="Times New Roman"/>
                <w:sz w:val="15"/>
                <w:szCs w:val="15"/>
              </w:rPr>
              <w:t>Decree No. 34</w:t>
            </w:r>
            <w:r>
              <w:rPr>
                <w:rFonts w:eastAsia="Times New Roman" w:cs="Times New Roman"/>
                <w:sz w:val="15"/>
                <w:szCs w:val="15"/>
              </w:rPr>
              <w:noBreakHyphen/>
            </w:r>
            <w:r w:rsidRPr="00F7332E">
              <w:rPr>
                <w:rFonts w:eastAsia="Times New Roman" w:cs="Times New Roman"/>
                <w:sz w:val="15"/>
                <w:szCs w:val="15"/>
              </w:rPr>
              <w:t>22 of 27 </w:t>
            </w:r>
            <w:r w:rsidRPr="0060155B">
              <w:rPr>
                <w:rFonts w:eastAsia="Times New Roman" w:cs="Times New Roman"/>
                <w:sz w:val="15"/>
                <w:szCs w:val="15"/>
              </w:rPr>
              <w:t>January 2</w:t>
            </w:r>
            <w:r w:rsidRPr="00F7332E">
              <w:rPr>
                <w:rFonts w:eastAsia="Times New Roman" w:cs="Times New Roman"/>
                <w:sz w:val="15"/>
                <w:szCs w:val="15"/>
              </w:rPr>
              <w:t>022</w:t>
            </w:r>
          </w:p>
        </w:tc>
        <w:tc>
          <w:tcPr>
            <w:tcW w:w="3588" w:type="pct"/>
            <w:tcBorders>
              <w:bottom w:val="single" w:sz="4" w:space="0" w:color="auto"/>
            </w:tcBorders>
            <w:shd w:val="clear" w:color="auto" w:fill="C9DED4"/>
          </w:tcPr>
          <w:p w14:paraId="2E3B9E26" w14:textId="77777777" w:rsidR="001A500E" w:rsidRPr="00F7332E" w:rsidRDefault="001A500E" w:rsidP="006F0E66">
            <w:pPr>
              <w:jc w:val="left"/>
              <w:rPr>
                <w:rFonts w:eastAsia="Times New Roman" w:cs="Times New Roman"/>
                <w:sz w:val="15"/>
                <w:szCs w:val="15"/>
              </w:rPr>
            </w:pPr>
            <w:r w:rsidRPr="00F7332E">
              <w:rPr>
                <w:rFonts w:eastAsia="Times New Roman" w:cs="Times New Roman"/>
                <w:sz w:val="15"/>
                <w:szCs w:val="15"/>
              </w:rPr>
              <w:t xml:space="preserve">Provides instructions to ensure that all public institutions with responsibility for social programmes acquire the goods in question directly from MSMEs, thus contributing to the country's development and </w:t>
            </w:r>
            <w:r>
              <w:rPr>
                <w:rFonts w:eastAsia="Times New Roman" w:cs="Times New Roman"/>
                <w:sz w:val="15"/>
                <w:szCs w:val="15"/>
              </w:rPr>
              <w:t>creating jobs</w:t>
            </w:r>
          </w:p>
        </w:tc>
      </w:tr>
    </w:tbl>
    <w:p w14:paraId="5FC8E8DA" w14:textId="77777777" w:rsidR="001A500E" w:rsidRPr="0060155B" w:rsidRDefault="001A500E" w:rsidP="00893857">
      <w:pPr>
        <w:pStyle w:val="NoteText"/>
        <w:spacing w:before="120" w:after="240"/>
      </w:pPr>
      <w:r w:rsidRPr="00F7332E">
        <w:t>Source:</w:t>
      </w:r>
      <w:r w:rsidRPr="00F7332E">
        <w:tab/>
        <w:t>Directorate</w:t>
      </w:r>
      <w:r>
        <w:noBreakHyphen/>
      </w:r>
      <w:r w:rsidRPr="00F7332E">
        <w:t>General of Government Procurement, Legal framework</w:t>
      </w:r>
      <w:r w:rsidRPr="0060155B">
        <w:t>. V</w:t>
      </w:r>
      <w:r w:rsidRPr="00F7332E">
        <w:t xml:space="preserve">iewed at: </w:t>
      </w:r>
      <w:hyperlink r:id="rId50" w:history="1">
        <w:r>
          <w:rPr>
            <w:color w:val="0000FF" w:themeColor="hyperlink"/>
            <w:u w:val="single"/>
          </w:rPr>
          <w:t>https://www.dgcp.gob.do/sobre</w:t>
        </w:r>
        <w:r w:rsidRPr="0060155B">
          <w:rPr>
            <w:color w:val="0000FF" w:themeColor="hyperlink"/>
            <w:u w:val="single"/>
          </w:rPr>
          <w:noBreakHyphen/>
        </w:r>
        <w:r>
          <w:rPr>
            <w:color w:val="0000FF" w:themeColor="hyperlink"/>
            <w:u w:val="single"/>
          </w:rPr>
          <w:t>nosotros/marco</w:t>
        </w:r>
        <w:r w:rsidRPr="0060155B">
          <w:rPr>
            <w:color w:val="0000FF" w:themeColor="hyperlink"/>
            <w:u w:val="single"/>
          </w:rPr>
          <w:noBreakHyphen/>
        </w:r>
        <w:r>
          <w:rPr>
            <w:color w:val="0000FF" w:themeColor="hyperlink"/>
            <w:u w:val="single"/>
          </w:rPr>
          <w:t>legal</w:t>
        </w:r>
      </w:hyperlink>
      <w:r w:rsidRPr="00F7332E">
        <w:t>.</w:t>
      </w:r>
      <w:bookmarkStart w:id="260" w:name="_Toc114735762"/>
    </w:p>
    <w:p w14:paraId="3999CF35" w14:textId="77777777" w:rsidR="001A500E" w:rsidRPr="00F7332E" w:rsidRDefault="001A500E" w:rsidP="00574469">
      <w:pPr>
        <w:pStyle w:val="Heading4"/>
      </w:pPr>
      <w:bookmarkStart w:id="261" w:name="_Toc117260643"/>
      <w:r w:rsidRPr="00F7332E">
        <w:t>Institutional framework</w:t>
      </w:r>
      <w:bookmarkEnd w:id="260"/>
      <w:bookmarkEnd w:id="261"/>
    </w:p>
    <w:p w14:paraId="5CAF0031" w14:textId="77777777" w:rsidR="001A500E" w:rsidRPr="00F7332E" w:rsidRDefault="001A500E" w:rsidP="00574469">
      <w:pPr>
        <w:pStyle w:val="BodyText"/>
      </w:pPr>
      <w:r w:rsidRPr="00F7332E">
        <w:t>The Directorate</w:t>
      </w:r>
      <w:r>
        <w:noBreakHyphen/>
      </w:r>
      <w:r w:rsidRPr="00F7332E">
        <w:t>General of Government Procurement (</w:t>
      </w:r>
      <w:proofErr w:type="spellStart"/>
      <w:r w:rsidRPr="00F7332E">
        <w:t>DGCP</w:t>
      </w:r>
      <w:proofErr w:type="spellEnd"/>
      <w:r w:rsidRPr="00F7332E">
        <w:t>)</w:t>
      </w:r>
      <w:r w:rsidRPr="00F7332E">
        <w:rPr>
          <w:vertAlign w:val="superscript"/>
        </w:rPr>
        <w:footnoteReference w:id="279"/>
      </w:r>
      <w:r w:rsidRPr="00F7332E">
        <w:t>, which is attached to the Ministry of Finance, continues to be the governing body for the government procurement and contracts system</w:t>
      </w:r>
      <w:r w:rsidRPr="0060155B">
        <w:t>. T</w:t>
      </w:r>
      <w:r w:rsidRPr="00F7332E">
        <w:t xml:space="preserve">he </w:t>
      </w:r>
      <w:proofErr w:type="spellStart"/>
      <w:r w:rsidRPr="00F7332E">
        <w:t>DGCP</w:t>
      </w:r>
      <w:proofErr w:type="spellEnd"/>
      <w:r w:rsidRPr="00F7332E">
        <w:t xml:space="preserve"> </w:t>
      </w:r>
      <w:r>
        <w:t xml:space="preserve">is charged with, </w:t>
      </w:r>
      <w:r w:rsidRPr="004A7783">
        <w:rPr>
          <w:i/>
          <w:iCs/>
        </w:rPr>
        <w:t>inter alia</w:t>
      </w:r>
      <w:r>
        <w:t>,</w:t>
      </w:r>
      <w:r w:rsidRPr="00F7332E">
        <w:t xml:space="preserve"> formulating and proposing policies on the procurement of goods, services and works, and verifying that procuring entities have complied with regulations in conformity with the principle of a centralized approach to policies and regulations, and a decentralized approach to operational management</w:t>
      </w:r>
      <w:r w:rsidRPr="0060155B">
        <w:t>.</w:t>
      </w:r>
      <w:r w:rsidRPr="0060155B">
        <w:rPr>
          <w:vertAlign w:val="superscript"/>
        </w:rPr>
        <w:footnoteReference w:id="280"/>
      </w:r>
      <w:r w:rsidRPr="0060155B">
        <w:t xml:space="preserve"> I</w:t>
      </w:r>
      <w:r w:rsidRPr="00F7332E">
        <w:t xml:space="preserve">n practice, </w:t>
      </w:r>
      <w:r>
        <w:t>responsibility</w:t>
      </w:r>
      <w:r w:rsidRPr="00F7332E">
        <w:t xml:space="preserve"> for the operational management of government procurement lies with the purchasing entities' procurement units</w:t>
      </w:r>
      <w:r w:rsidRPr="00F7332E">
        <w:rPr>
          <w:vertAlign w:val="superscript"/>
        </w:rPr>
        <w:footnoteReference w:id="281"/>
      </w:r>
      <w:r w:rsidRPr="00F7332E">
        <w:t>, of which there were 392 at 31 </w:t>
      </w:r>
      <w:r w:rsidRPr="0060155B">
        <w:t>December 2</w:t>
      </w:r>
      <w:r w:rsidRPr="00F7332E">
        <w:t>021</w:t>
      </w:r>
      <w:r w:rsidRPr="0060155B">
        <w:t>.</w:t>
      </w:r>
      <w:r w:rsidRPr="0060155B">
        <w:rPr>
          <w:vertAlign w:val="superscript"/>
        </w:rPr>
        <w:footnoteReference w:id="282"/>
      </w:r>
      <w:r w:rsidRPr="0060155B">
        <w:t xml:space="preserve"> P</w:t>
      </w:r>
      <w:r w:rsidRPr="00F7332E">
        <w:t>ublic entities are required to draw up annual procurement plans and programmes for goods, services and works that then form the basis for the budget implementation schedule.</w:t>
      </w:r>
      <w:r w:rsidRPr="00F7332E">
        <w:rPr>
          <w:vertAlign w:val="superscript"/>
        </w:rPr>
        <w:footnoteReference w:id="283"/>
      </w:r>
    </w:p>
    <w:p w14:paraId="40A72CC5" w14:textId="77777777" w:rsidR="001A500E" w:rsidRPr="00F7332E" w:rsidRDefault="001A500E" w:rsidP="00574469">
      <w:pPr>
        <w:pStyle w:val="BodyText"/>
      </w:pPr>
      <w:r w:rsidRPr="00F7332E">
        <w:t>Pursuant to the Law on Public</w:t>
      </w:r>
      <w:r>
        <w:noBreakHyphen/>
      </w:r>
      <w:r w:rsidRPr="00F7332E">
        <w:t>Private Partnerships (</w:t>
      </w:r>
      <w:r>
        <w:t>P</w:t>
      </w:r>
      <w:r w:rsidRPr="00F7332E">
        <w:t>PP), which excludes public</w:t>
      </w:r>
      <w:r>
        <w:noBreakHyphen/>
      </w:r>
      <w:r w:rsidRPr="00F7332E">
        <w:t>private partnerships from the scope of Law No. 340</w:t>
      </w:r>
      <w:r>
        <w:noBreakHyphen/>
      </w:r>
      <w:r w:rsidRPr="00F7332E">
        <w:t>06, the Directorate</w:t>
      </w:r>
      <w:r>
        <w:noBreakHyphen/>
      </w:r>
      <w:r w:rsidRPr="00F7332E">
        <w:t>General of Public</w:t>
      </w:r>
      <w:r>
        <w:noBreakHyphen/>
      </w:r>
      <w:r w:rsidRPr="00F7332E">
        <w:t>Private Partnerships (</w:t>
      </w:r>
      <w:proofErr w:type="spellStart"/>
      <w:r w:rsidRPr="00F7332E">
        <w:t>DGAPP</w:t>
      </w:r>
      <w:proofErr w:type="spellEnd"/>
      <w:r w:rsidRPr="00F7332E">
        <w:t>) was established in 2020</w:t>
      </w:r>
      <w:r>
        <w:t>,</w:t>
      </w:r>
      <w:r w:rsidRPr="00F7332E">
        <w:t xml:space="preserve"> as a body attached to the Ministry of the Presidency, </w:t>
      </w:r>
      <w:r>
        <w:t>charged with</w:t>
      </w:r>
      <w:r w:rsidRPr="00F7332E">
        <w:t xml:space="preserve"> promoting and regulating public</w:t>
      </w:r>
      <w:r>
        <w:noBreakHyphen/>
      </w:r>
      <w:r w:rsidRPr="00F7332E">
        <w:t>private partnerships in an orderly, efficient and transparent manner, ensuring compliance with the relevant legislation and mitigating the risks associated with this type of partnership.</w:t>
      </w:r>
      <w:r w:rsidRPr="00F7332E">
        <w:rPr>
          <w:vertAlign w:val="superscript"/>
        </w:rPr>
        <w:footnoteReference w:id="284"/>
      </w:r>
    </w:p>
    <w:p w14:paraId="686D5AA7" w14:textId="77777777" w:rsidR="001A500E" w:rsidRPr="00F7332E" w:rsidRDefault="001A500E" w:rsidP="00574469">
      <w:pPr>
        <w:pStyle w:val="Heading4"/>
      </w:pPr>
      <w:bookmarkStart w:id="263" w:name="_Toc114735763"/>
      <w:bookmarkStart w:id="264" w:name="_Toc117260644"/>
      <w:r w:rsidRPr="00F7332E">
        <w:lastRenderedPageBreak/>
        <w:t>Procurement procedure</w:t>
      </w:r>
      <w:bookmarkEnd w:id="263"/>
      <w:bookmarkEnd w:id="264"/>
    </w:p>
    <w:p w14:paraId="463BB7BF" w14:textId="77777777" w:rsidR="001A500E" w:rsidRPr="00F7332E" w:rsidRDefault="001A500E" w:rsidP="00574469">
      <w:pPr>
        <w:pStyle w:val="BodyText"/>
      </w:pPr>
      <w:r w:rsidRPr="00F7332E">
        <w:t>The Constitution of the Dominican Republic provides that publicity and transparency are principles of administrative proceedings</w:t>
      </w:r>
      <w:r w:rsidRPr="0060155B">
        <w:t>.</w:t>
      </w:r>
      <w:r w:rsidRPr="0060155B">
        <w:rPr>
          <w:vertAlign w:val="superscript"/>
        </w:rPr>
        <w:footnoteReference w:id="285"/>
      </w:r>
      <w:r w:rsidRPr="0060155B">
        <w:t xml:space="preserve"> A</w:t>
      </w:r>
      <w:r w:rsidRPr="00F7332E">
        <w:t xml:space="preserve">dditionally, Law </w:t>
      </w:r>
      <w:r w:rsidRPr="00F7332E">
        <w:rPr>
          <w:szCs w:val="18"/>
        </w:rPr>
        <w:t>No. </w:t>
      </w:r>
      <w:r w:rsidRPr="00F7332E">
        <w:t>340</w:t>
      </w:r>
      <w:r>
        <w:noBreakHyphen/>
      </w:r>
      <w:r w:rsidRPr="00F7332E">
        <w:t xml:space="preserve">06 </w:t>
      </w:r>
      <w:r>
        <w:t>establishes</w:t>
      </w:r>
      <w:r w:rsidRPr="00F7332E">
        <w:t xml:space="preserve"> that all stages of government procurement must take place within a context of transparency and publicity, using computerized technology to facilitate public access to information on public </w:t>
      </w:r>
      <w:r>
        <w:t>management</w:t>
      </w:r>
      <w:r w:rsidRPr="0060155B">
        <w:t>.</w:t>
      </w:r>
      <w:r w:rsidRPr="0060155B">
        <w:rPr>
          <w:vertAlign w:val="superscript"/>
        </w:rPr>
        <w:footnoteReference w:id="286"/>
      </w:r>
      <w:r w:rsidRPr="0060155B">
        <w:t xml:space="preserve"> I</w:t>
      </w:r>
      <w:r w:rsidRPr="00F7332E">
        <w:t xml:space="preserve">n 2017 the Transaction Portal of the Computerized </w:t>
      </w:r>
      <w:r>
        <w:t>P</w:t>
      </w:r>
      <w:r w:rsidRPr="00F7332E">
        <w:t xml:space="preserve">rocurement and </w:t>
      </w:r>
      <w:r>
        <w:t>C</w:t>
      </w:r>
      <w:r w:rsidRPr="00F7332E">
        <w:t xml:space="preserve">ontracts </w:t>
      </w:r>
      <w:r>
        <w:t>M</w:t>
      </w:r>
      <w:r w:rsidRPr="00F7332E">
        <w:t xml:space="preserve">anagement </w:t>
      </w:r>
      <w:r>
        <w:t>S</w:t>
      </w:r>
      <w:r w:rsidRPr="00F7332E">
        <w:t>ystem of the Dominican State</w:t>
      </w:r>
      <w:r w:rsidRPr="00F7332E">
        <w:rPr>
          <w:vertAlign w:val="superscript"/>
        </w:rPr>
        <w:footnoteReference w:id="287"/>
      </w:r>
      <w:r w:rsidRPr="00F7332E">
        <w:t xml:space="preserve"> went live as a technological tool to manage government procurement of goods, works and services</w:t>
      </w:r>
      <w:r>
        <w:t>,</w:t>
      </w:r>
      <w:r w:rsidRPr="00F7332E">
        <w:t xml:space="preserve"> except for the concessions governed by the Law on Public</w:t>
      </w:r>
      <w:r>
        <w:noBreakHyphen/>
      </w:r>
      <w:r w:rsidRPr="00F7332E">
        <w:t>Private Partnerships that are published on the website of the Directorate of Public</w:t>
      </w:r>
      <w:r>
        <w:noBreakHyphen/>
      </w:r>
      <w:r w:rsidRPr="00F7332E">
        <w:t>Private Partnerships</w:t>
      </w:r>
      <w:r w:rsidRPr="0060155B">
        <w:t>. U</w:t>
      </w:r>
      <w:r w:rsidRPr="00F7332E">
        <w:t xml:space="preserve">se of the portal is compulsory for all bodies and entities that fall within the scope of Law </w:t>
      </w:r>
      <w:r w:rsidRPr="00F7332E">
        <w:rPr>
          <w:szCs w:val="18"/>
        </w:rPr>
        <w:t>No. </w:t>
      </w:r>
      <w:r w:rsidRPr="00F7332E">
        <w:t>340</w:t>
      </w:r>
      <w:r>
        <w:noBreakHyphen/>
      </w:r>
      <w:r w:rsidRPr="00F7332E">
        <w:t xml:space="preserve">06 and, as </w:t>
      </w:r>
      <w:r>
        <w:t>from</w:t>
      </w:r>
      <w:r w:rsidRPr="00F7332E">
        <w:t xml:space="preserve"> 1 </w:t>
      </w:r>
      <w:r w:rsidRPr="0060155B">
        <w:t>November 2</w:t>
      </w:r>
      <w:r w:rsidRPr="00F7332E">
        <w:t>017, they were required to use it as the sole method of managing their procurement processes from the planning stage to contract closure</w:t>
      </w:r>
      <w:r w:rsidRPr="0060155B">
        <w:t>.</w:t>
      </w:r>
      <w:r w:rsidRPr="0060155B">
        <w:rPr>
          <w:vertAlign w:val="superscript"/>
        </w:rPr>
        <w:footnoteReference w:id="288"/>
      </w:r>
      <w:r w:rsidRPr="0060155B">
        <w:t xml:space="preserve"> T</w:t>
      </w:r>
      <w:r w:rsidRPr="00F7332E">
        <w:t xml:space="preserve">he </w:t>
      </w:r>
      <w:proofErr w:type="spellStart"/>
      <w:r w:rsidRPr="00F7332E">
        <w:t>DGCP</w:t>
      </w:r>
      <w:proofErr w:type="spellEnd"/>
      <w:r w:rsidRPr="00F7332E">
        <w:t xml:space="preserve"> is in charge of portal management</w:t>
      </w:r>
      <w:r w:rsidRPr="0060155B">
        <w:t>. A</w:t>
      </w:r>
      <w:r>
        <w:t>s of</w:t>
      </w:r>
      <w:r w:rsidRPr="00F7332E">
        <w:t xml:space="preserve"> </w:t>
      </w:r>
      <w:r w:rsidRPr="0060155B">
        <w:t>July 2</w:t>
      </w:r>
      <w:r w:rsidRPr="00F7332E">
        <w:t>022</w:t>
      </w:r>
      <w:r>
        <w:t>,</w:t>
      </w:r>
      <w:r w:rsidRPr="00F7332E">
        <w:t xml:space="preserve"> the Transaction Portal covered 465 institutions.</w:t>
      </w:r>
      <w:r w:rsidRPr="00F7332E">
        <w:rPr>
          <w:vertAlign w:val="superscript"/>
        </w:rPr>
        <w:footnoteReference w:id="289"/>
      </w:r>
    </w:p>
    <w:p w14:paraId="7C04F69F" w14:textId="77777777" w:rsidR="001A500E" w:rsidRPr="0060155B" w:rsidRDefault="001A500E" w:rsidP="00574469">
      <w:pPr>
        <w:pStyle w:val="BodyText"/>
      </w:pPr>
      <w:r w:rsidRPr="00F7332E">
        <w:t xml:space="preserve">In 2021, contracts </w:t>
      </w:r>
      <w:r>
        <w:t>with</w:t>
      </w:r>
      <w:r w:rsidRPr="00F7332E">
        <w:t xml:space="preserve"> a total value of </w:t>
      </w:r>
      <w:r w:rsidRPr="00F7332E">
        <w:rPr>
          <w:szCs w:val="18"/>
        </w:rPr>
        <w:t>DOP</w:t>
      </w:r>
      <w:r w:rsidRPr="00F7332E">
        <w:t> 130,852 million were awarded through the Transaction Portal (24.7</w:t>
      </w:r>
      <w:r>
        <w:t>%</w:t>
      </w:r>
      <w:r w:rsidRPr="00F7332E">
        <w:t xml:space="preserve"> more than in 2020) (Table 3.17)</w:t>
      </w:r>
      <w:r w:rsidRPr="0060155B">
        <w:t>.</w:t>
      </w:r>
      <w:r w:rsidRPr="0060155B">
        <w:rPr>
          <w:vertAlign w:val="superscript"/>
        </w:rPr>
        <w:footnoteReference w:id="290"/>
      </w:r>
      <w:r w:rsidRPr="0060155B">
        <w:t xml:space="preserve"> I</w:t>
      </w:r>
      <w:r w:rsidRPr="00F7332E">
        <w:t>n the same year 207,712 tenders were received, 23.03</w:t>
      </w:r>
      <w:r>
        <w:t>%</w:t>
      </w:r>
      <w:r w:rsidRPr="00F7332E">
        <w:t xml:space="preserve"> more than the previous year, of which 61</w:t>
      </w:r>
      <w:r>
        <w:t>%</w:t>
      </w:r>
      <w:r w:rsidRPr="00F7332E">
        <w:t xml:space="preserve"> were received in digital format.</w:t>
      </w:r>
      <w:bookmarkStart w:id="265" w:name="_Toc114735832"/>
    </w:p>
    <w:p w14:paraId="6576229A" w14:textId="77777777" w:rsidR="001A500E" w:rsidRPr="00F7332E" w:rsidRDefault="001A500E" w:rsidP="006F0E66">
      <w:pPr>
        <w:pStyle w:val="Caption"/>
        <w:rPr>
          <w:b w:val="0"/>
          <w:bCs w:val="0"/>
        </w:rPr>
      </w:pPr>
      <w:bookmarkStart w:id="266" w:name="_Toc117238050"/>
      <w:r>
        <w:t xml:space="preserve">Table </w:t>
      </w:r>
      <w:r w:rsidR="00BD37F2">
        <w:fldChar w:fldCharType="begin"/>
      </w:r>
      <w:r w:rsidR="00BD37F2">
        <w:instrText xml:space="preserve"> STYLEREF 1 \s </w:instrText>
      </w:r>
      <w:r w:rsidR="00BD37F2">
        <w:fldChar w:fldCharType="separate"/>
      </w:r>
      <w:r>
        <w:rPr>
          <w:noProof/>
        </w:rPr>
        <w:t>3</w:t>
      </w:r>
      <w:r w:rsidR="00BD37F2">
        <w:rPr>
          <w:noProof/>
        </w:rPr>
        <w:fldChar w:fldCharType="end"/>
      </w:r>
      <w:r>
        <w:t>.</w:t>
      </w:r>
      <w:r w:rsidR="00BD37F2">
        <w:fldChar w:fldCharType="begin"/>
      </w:r>
      <w:r w:rsidR="00BD37F2">
        <w:instrText xml:space="preserve"> SEQ Table \* ARABIC \s 1 </w:instrText>
      </w:r>
      <w:r w:rsidR="00BD37F2">
        <w:fldChar w:fldCharType="separate"/>
      </w:r>
      <w:r>
        <w:rPr>
          <w:noProof/>
        </w:rPr>
        <w:t>17</w:t>
      </w:r>
      <w:r w:rsidR="00BD37F2">
        <w:rPr>
          <w:noProof/>
        </w:rPr>
        <w:fldChar w:fldCharType="end"/>
      </w:r>
      <w:r>
        <w:t xml:space="preserve"> </w:t>
      </w:r>
      <w:r w:rsidRPr="00F7332E">
        <w:t>Contracts processed through the Transaction Portal, 2018</w:t>
      </w:r>
      <w:r>
        <w:noBreakHyphen/>
      </w:r>
      <w:r w:rsidRPr="00F7332E">
        <w:t>21</w:t>
      </w:r>
      <w:bookmarkEnd w:id="265"/>
      <w:bookmarkEnd w:id="266"/>
    </w:p>
    <w:p w14:paraId="001A5D11" w14:textId="77777777" w:rsidR="001A500E" w:rsidRPr="00F7332E" w:rsidRDefault="001A500E" w:rsidP="006F0E66">
      <w:pPr>
        <w:pStyle w:val="NoteText"/>
      </w:pPr>
      <w:r w:rsidRPr="00F7332E">
        <w:t>(DOP</w:t>
      </w:r>
      <w:r w:rsidRPr="0060155B">
        <w:t> million</w:t>
      </w:r>
      <w:r w:rsidRPr="00F7332E">
        <w:t>s)</w:t>
      </w:r>
    </w:p>
    <w:tbl>
      <w:tblPr>
        <w:tblW w:w="5000" w:type="pct"/>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1804"/>
        <w:gridCol w:w="1803"/>
        <w:gridCol w:w="1803"/>
        <w:gridCol w:w="1803"/>
        <w:gridCol w:w="1803"/>
      </w:tblGrid>
      <w:tr w:rsidR="001A500E" w:rsidRPr="00F7332E" w14:paraId="7F243417" w14:textId="77777777" w:rsidTr="00C51D8E">
        <w:trPr>
          <w:cantSplit/>
          <w:tblHeader/>
        </w:trPr>
        <w:tc>
          <w:tcPr>
            <w:tcW w:w="1000" w:type="pct"/>
            <w:tcBorders>
              <w:top w:val="single" w:sz="4" w:space="0" w:color="auto"/>
            </w:tcBorders>
            <w:shd w:val="clear" w:color="auto" w:fill="006283"/>
          </w:tcPr>
          <w:p w14:paraId="0E7116F7" w14:textId="77777777" w:rsidR="001A500E" w:rsidRPr="00F7332E" w:rsidRDefault="001A500E" w:rsidP="00D146B4">
            <w:pPr>
              <w:jc w:val="center"/>
              <w:rPr>
                <w:rFonts w:eastAsia="Times New Roman" w:cs="Times New Roman"/>
                <w:b/>
                <w:color w:val="FFFFFF"/>
                <w:sz w:val="15"/>
                <w:szCs w:val="15"/>
              </w:rPr>
            </w:pPr>
            <w:r w:rsidRPr="00F7332E">
              <w:rPr>
                <w:rFonts w:eastAsia="Times New Roman" w:cs="Times New Roman"/>
                <w:b/>
                <w:bCs/>
                <w:color w:val="FFFFFF"/>
                <w:sz w:val="15"/>
                <w:szCs w:val="15"/>
              </w:rPr>
              <w:t>Object</w:t>
            </w:r>
          </w:p>
        </w:tc>
        <w:tc>
          <w:tcPr>
            <w:tcW w:w="1000" w:type="pct"/>
            <w:tcBorders>
              <w:top w:val="single" w:sz="4" w:space="0" w:color="auto"/>
            </w:tcBorders>
            <w:shd w:val="clear" w:color="auto" w:fill="006283"/>
          </w:tcPr>
          <w:p w14:paraId="238AC7A4" w14:textId="77777777" w:rsidR="001A500E" w:rsidRPr="00F7332E" w:rsidRDefault="001A500E" w:rsidP="00D146B4">
            <w:pPr>
              <w:jc w:val="center"/>
              <w:rPr>
                <w:rFonts w:eastAsia="Times New Roman" w:cs="Times New Roman"/>
                <w:b/>
                <w:color w:val="FFFFFF"/>
                <w:sz w:val="15"/>
                <w:szCs w:val="15"/>
              </w:rPr>
            </w:pPr>
            <w:r w:rsidRPr="00F7332E">
              <w:rPr>
                <w:rFonts w:eastAsia="Times New Roman" w:cs="Times New Roman"/>
                <w:b/>
                <w:bCs/>
                <w:color w:val="FFFFFF"/>
                <w:sz w:val="15"/>
                <w:szCs w:val="15"/>
              </w:rPr>
              <w:t>2018</w:t>
            </w:r>
          </w:p>
        </w:tc>
        <w:tc>
          <w:tcPr>
            <w:tcW w:w="1000" w:type="pct"/>
            <w:tcBorders>
              <w:top w:val="single" w:sz="4" w:space="0" w:color="auto"/>
            </w:tcBorders>
            <w:shd w:val="clear" w:color="auto" w:fill="006283"/>
          </w:tcPr>
          <w:p w14:paraId="1E19B27B" w14:textId="77777777" w:rsidR="001A500E" w:rsidRPr="00F7332E" w:rsidRDefault="001A500E" w:rsidP="00D146B4">
            <w:pPr>
              <w:jc w:val="center"/>
              <w:rPr>
                <w:rFonts w:eastAsia="Times New Roman" w:cs="Times New Roman"/>
                <w:b/>
                <w:color w:val="FFFFFF"/>
                <w:sz w:val="15"/>
                <w:szCs w:val="15"/>
              </w:rPr>
            </w:pPr>
            <w:r w:rsidRPr="00F7332E">
              <w:rPr>
                <w:rFonts w:eastAsia="Times New Roman" w:cs="Times New Roman"/>
                <w:b/>
                <w:bCs/>
                <w:color w:val="FFFFFF"/>
                <w:sz w:val="15"/>
                <w:szCs w:val="15"/>
              </w:rPr>
              <w:t>2019</w:t>
            </w:r>
          </w:p>
        </w:tc>
        <w:tc>
          <w:tcPr>
            <w:tcW w:w="1000" w:type="pct"/>
            <w:tcBorders>
              <w:top w:val="single" w:sz="4" w:space="0" w:color="auto"/>
            </w:tcBorders>
            <w:shd w:val="clear" w:color="auto" w:fill="006283"/>
          </w:tcPr>
          <w:p w14:paraId="5AE0E4CF" w14:textId="77777777" w:rsidR="001A500E" w:rsidRPr="00F7332E" w:rsidRDefault="001A500E" w:rsidP="00D146B4">
            <w:pPr>
              <w:jc w:val="center"/>
              <w:rPr>
                <w:rFonts w:eastAsia="Times New Roman" w:cs="Times New Roman"/>
                <w:b/>
                <w:color w:val="FFFFFF"/>
                <w:sz w:val="15"/>
                <w:szCs w:val="15"/>
              </w:rPr>
            </w:pPr>
            <w:r w:rsidRPr="00F7332E">
              <w:rPr>
                <w:rFonts w:eastAsia="Times New Roman" w:cs="Times New Roman"/>
                <w:b/>
                <w:bCs/>
                <w:color w:val="FFFFFF"/>
                <w:sz w:val="15"/>
                <w:szCs w:val="15"/>
              </w:rPr>
              <w:t>2020</w:t>
            </w:r>
          </w:p>
        </w:tc>
        <w:tc>
          <w:tcPr>
            <w:tcW w:w="1000" w:type="pct"/>
            <w:tcBorders>
              <w:top w:val="single" w:sz="4" w:space="0" w:color="auto"/>
            </w:tcBorders>
            <w:shd w:val="clear" w:color="auto" w:fill="006283"/>
          </w:tcPr>
          <w:p w14:paraId="00B6C806" w14:textId="77777777" w:rsidR="001A500E" w:rsidRPr="00F7332E" w:rsidRDefault="001A500E" w:rsidP="00D146B4">
            <w:pPr>
              <w:jc w:val="center"/>
              <w:rPr>
                <w:rFonts w:eastAsia="Times New Roman" w:cs="Times New Roman"/>
                <w:b/>
                <w:color w:val="FFFFFF"/>
                <w:sz w:val="15"/>
                <w:szCs w:val="15"/>
              </w:rPr>
            </w:pPr>
            <w:r w:rsidRPr="00F7332E">
              <w:rPr>
                <w:rFonts w:eastAsia="Times New Roman" w:cs="Times New Roman"/>
                <w:b/>
                <w:bCs/>
                <w:color w:val="FFFFFF"/>
                <w:sz w:val="15"/>
                <w:szCs w:val="15"/>
              </w:rPr>
              <w:t>2021</w:t>
            </w:r>
          </w:p>
        </w:tc>
      </w:tr>
      <w:tr w:rsidR="001A500E" w:rsidRPr="00F7332E" w14:paraId="05B47BE5" w14:textId="77777777" w:rsidTr="00C51D8E">
        <w:trPr>
          <w:cantSplit/>
        </w:trPr>
        <w:tc>
          <w:tcPr>
            <w:tcW w:w="1000" w:type="pct"/>
            <w:shd w:val="clear" w:color="auto" w:fill="FFFFFF"/>
          </w:tcPr>
          <w:p w14:paraId="2AEF531D" w14:textId="77777777" w:rsidR="001A500E" w:rsidRPr="00F7332E" w:rsidRDefault="001A500E" w:rsidP="00D146B4">
            <w:pPr>
              <w:rPr>
                <w:rFonts w:eastAsia="Times New Roman" w:cs="Times New Roman"/>
                <w:sz w:val="15"/>
                <w:szCs w:val="15"/>
              </w:rPr>
            </w:pPr>
            <w:r w:rsidRPr="00F7332E">
              <w:rPr>
                <w:rFonts w:eastAsia="Times New Roman" w:cs="Times New Roman"/>
                <w:sz w:val="15"/>
                <w:szCs w:val="15"/>
              </w:rPr>
              <w:t>Goods</w:t>
            </w:r>
          </w:p>
        </w:tc>
        <w:tc>
          <w:tcPr>
            <w:tcW w:w="1000" w:type="pct"/>
            <w:shd w:val="clear" w:color="auto" w:fill="FFFFFF"/>
          </w:tcPr>
          <w:p w14:paraId="3A544F2F" w14:textId="77777777" w:rsidR="001A500E" w:rsidRPr="00F7332E" w:rsidRDefault="001A500E" w:rsidP="00D146B4">
            <w:pPr>
              <w:ind w:right="397"/>
              <w:jc w:val="right"/>
              <w:rPr>
                <w:rFonts w:eastAsia="Times New Roman" w:cs="Times New Roman"/>
                <w:sz w:val="15"/>
                <w:szCs w:val="15"/>
              </w:rPr>
            </w:pPr>
            <w:r w:rsidRPr="00F7332E">
              <w:rPr>
                <w:rFonts w:eastAsia="Times New Roman" w:cs="Times New Roman"/>
                <w:sz w:val="15"/>
                <w:szCs w:val="15"/>
              </w:rPr>
              <w:t>33,864.8</w:t>
            </w:r>
          </w:p>
        </w:tc>
        <w:tc>
          <w:tcPr>
            <w:tcW w:w="1000" w:type="pct"/>
            <w:shd w:val="clear" w:color="auto" w:fill="FFFFFF"/>
          </w:tcPr>
          <w:p w14:paraId="4F6E9B22" w14:textId="77777777" w:rsidR="001A500E" w:rsidRPr="00F7332E" w:rsidRDefault="001A500E" w:rsidP="00D146B4">
            <w:pPr>
              <w:ind w:right="397"/>
              <w:jc w:val="right"/>
              <w:rPr>
                <w:rFonts w:eastAsia="Times New Roman" w:cs="Times New Roman"/>
                <w:sz w:val="15"/>
                <w:szCs w:val="15"/>
              </w:rPr>
            </w:pPr>
            <w:r w:rsidRPr="00F7332E">
              <w:rPr>
                <w:rFonts w:eastAsia="Times New Roman" w:cs="Times New Roman"/>
                <w:sz w:val="15"/>
                <w:szCs w:val="15"/>
              </w:rPr>
              <w:t>44,482.2</w:t>
            </w:r>
          </w:p>
        </w:tc>
        <w:tc>
          <w:tcPr>
            <w:tcW w:w="1000" w:type="pct"/>
            <w:shd w:val="clear" w:color="auto" w:fill="FFFFFF"/>
          </w:tcPr>
          <w:p w14:paraId="6142581E" w14:textId="77777777" w:rsidR="001A500E" w:rsidRPr="00F7332E" w:rsidRDefault="001A500E" w:rsidP="00D146B4">
            <w:pPr>
              <w:ind w:right="397"/>
              <w:jc w:val="right"/>
              <w:rPr>
                <w:rFonts w:eastAsia="Times New Roman" w:cs="Times New Roman"/>
                <w:sz w:val="15"/>
                <w:szCs w:val="15"/>
              </w:rPr>
            </w:pPr>
            <w:r w:rsidRPr="00F7332E">
              <w:rPr>
                <w:rFonts w:eastAsia="Times New Roman" w:cs="Times New Roman"/>
                <w:sz w:val="15"/>
                <w:szCs w:val="15"/>
              </w:rPr>
              <w:t>55,411.8</w:t>
            </w:r>
          </w:p>
        </w:tc>
        <w:tc>
          <w:tcPr>
            <w:tcW w:w="1000" w:type="pct"/>
            <w:shd w:val="clear" w:color="auto" w:fill="FFFFFF"/>
          </w:tcPr>
          <w:p w14:paraId="493B5EE6" w14:textId="77777777" w:rsidR="001A500E" w:rsidRPr="00F7332E" w:rsidRDefault="001A500E" w:rsidP="00D146B4">
            <w:pPr>
              <w:ind w:right="397"/>
              <w:jc w:val="right"/>
              <w:rPr>
                <w:rFonts w:eastAsia="Times New Roman" w:cs="Times New Roman"/>
                <w:sz w:val="15"/>
                <w:szCs w:val="15"/>
              </w:rPr>
            </w:pPr>
            <w:r w:rsidRPr="00F7332E">
              <w:rPr>
                <w:rFonts w:eastAsia="Times New Roman" w:cs="Times New Roman"/>
                <w:sz w:val="15"/>
                <w:szCs w:val="15"/>
              </w:rPr>
              <w:t>66,617.1</w:t>
            </w:r>
          </w:p>
        </w:tc>
      </w:tr>
      <w:tr w:rsidR="001A500E" w:rsidRPr="00F7332E" w14:paraId="295D8479" w14:textId="77777777" w:rsidTr="00C51D8E">
        <w:trPr>
          <w:cantSplit/>
        </w:trPr>
        <w:tc>
          <w:tcPr>
            <w:tcW w:w="1000" w:type="pct"/>
            <w:shd w:val="clear" w:color="auto" w:fill="C9DED4"/>
          </w:tcPr>
          <w:p w14:paraId="7801A79A" w14:textId="77777777" w:rsidR="001A500E" w:rsidRPr="00F7332E" w:rsidRDefault="001A500E" w:rsidP="00D146B4">
            <w:pPr>
              <w:rPr>
                <w:rFonts w:eastAsia="Times New Roman" w:cs="Times New Roman"/>
                <w:sz w:val="15"/>
                <w:szCs w:val="15"/>
              </w:rPr>
            </w:pPr>
            <w:r w:rsidRPr="00F7332E">
              <w:rPr>
                <w:rFonts w:eastAsia="Times New Roman" w:cs="Times New Roman"/>
                <w:sz w:val="15"/>
                <w:szCs w:val="15"/>
              </w:rPr>
              <w:t>Services</w:t>
            </w:r>
          </w:p>
        </w:tc>
        <w:tc>
          <w:tcPr>
            <w:tcW w:w="1000" w:type="pct"/>
            <w:shd w:val="clear" w:color="auto" w:fill="C9DED4"/>
          </w:tcPr>
          <w:p w14:paraId="7287AD9D" w14:textId="77777777" w:rsidR="001A500E" w:rsidRPr="00F7332E" w:rsidRDefault="001A500E" w:rsidP="00D146B4">
            <w:pPr>
              <w:ind w:right="397"/>
              <w:jc w:val="right"/>
              <w:rPr>
                <w:rFonts w:eastAsia="Times New Roman" w:cs="Times New Roman"/>
                <w:sz w:val="15"/>
                <w:szCs w:val="15"/>
              </w:rPr>
            </w:pPr>
            <w:r w:rsidRPr="00F7332E">
              <w:rPr>
                <w:rFonts w:eastAsia="Times New Roman" w:cs="Times New Roman"/>
                <w:sz w:val="15"/>
                <w:szCs w:val="15"/>
              </w:rPr>
              <w:t>14,362.6</w:t>
            </w:r>
          </w:p>
        </w:tc>
        <w:tc>
          <w:tcPr>
            <w:tcW w:w="1000" w:type="pct"/>
            <w:shd w:val="clear" w:color="auto" w:fill="C9DED4"/>
          </w:tcPr>
          <w:p w14:paraId="5A1C44D0" w14:textId="77777777" w:rsidR="001A500E" w:rsidRPr="00F7332E" w:rsidRDefault="001A500E" w:rsidP="00D146B4">
            <w:pPr>
              <w:ind w:right="397"/>
              <w:jc w:val="right"/>
              <w:rPr>
                <w:rFonts w:eastAsia="Times New Roman" w:cs="Times New Roman"/>
                <w:sz w:val="15"/>
                <w:szCs w:val="15"/>
              </w:rPr>
            </w:pPr>
            <w:r w:rsidRPr="00F7332E">
              <w:rPr>
                <w:rFonts w:eastAsia="Times New Roman" w:cs="Times New Roman"/>
                <w:sz w:val="15"/>
                <w:szCs w:val="15"/>
              </w:rPr>
              <w:t>40,540.2</w:t>
            </w:r>
          </w:p>
        </w:tc>
        <w:tc>
          <w:tcPr>
            <w:tcW w:w="1000" w:type="pct"/>
            <w:shd w:val="clear" w:color="auto" w:fill="C9DED4"/>
          </w:tcPr>
          <w:p w14:paraId="0988C53E" w14:textId="77777777" w:rsidR="001A500E" w:rsidRPr="00F7332E" w:rsidRDefault="001A500E" w:rsidP="00D146B4">
            <w:pPr>
              <w:ind w:right="397"/>
              <w:jc w:val="right"/>
              <w:rPr>
                <w:rFonts w:eastAsia="Times New Roman" w:cs="Times New Roman"/>
                <w:sz w:val="15"/>
                <w:szCs w:val="15"/>
              </w:rPr>
            </w:pPr>
            <w:r w:rsidRPr="00F7332E">
              <w:rPr>
                <w:rFonts w:eastAsia="Times New Roman" w:cs="Times New Roman"/>
                <w:sz w:val="15"/>
                <w:szCs w:val="15"/>
              </w:rPr>
              <w:t>22,323.1</w:t>
            </w:r>
          </w:p>
        </w:tc>
        <w:tc>
          <w:tcPr>
            <w:tcW w:w="1000" w:type="pct"/>
            <w:shd w:val="clear" w:color="auto" w:fill="C9DED4"/>
          </w:tcPr>
          <w:p w14:paraId="5F03A1A8" w14:textId="77777777" w:rsidR="001A500E" w:rsidRPr="00F7332E" w:rsidRDefault="001A500E" w:rsidP="00D146B4">
            <w:pPr>
              <w:ind w:right="397"/>
              <w:jc w:val="right"/>
              <w:rPr>
                <w:rFonts w:eastAsia="Times New Roman" w:cs="Times New Roman"/>
                <w:sz w:val="15"/>
                <w:szCs w:val="15"/>
              </w:rPr>
            </w:pPr>
            <w:r w:rsidRPr="00F7332E">
              <w:rPr>
                <w:rFonts w:eastAsia="Times New Roman" w:cs="Times New Roman"/>
                <w:sz w:val="15"/>
                <w:szCs w:val="15"/>
              </w:rPr>
              <w:t>30,918.1</w:t>
            </w:r>
          </w:p>
        </w:tc>
      </w:tr>
      <w:tr w:rsidR="001A500E" w:rsidRPr="00F7332E" w14:paraId="409DFA21" w14:textId="77777777" w:rsidTr="00C51D8E">
        <w:trPr>
          <w:cantSplit/>
        </w:trPr>
        <w:tc>
          <w:tcPr>
            <w:tcW w:w="1000" w:type="pct"/>
            <w:shd w:val="clear" w:color="auto" w:fill="FFFFFF"/>
          </w:tcPr>
          <w:p w14:paraId="03AFD2A7" w14:textId="77777777" w:rsidR="001A500E" w:rsidRPr="00F7332E" w:rsidRDefault="001A500E" w:rsidP="00D146B4">
            <w:pPr>
              <w:rPr>
                <w:rFonts w:eastAsia="Times New Roman" w:cs="Times New Roman"/>
                <w:sz w:val="15"/>
                <w:szCs w:val="15"/>
              </w:rPr>
            </w:pPr>
            <w:r w:rsidRPr="00F7332E">
              <w:rPr>
                <w:rFonts w:eastAsia="Times New Roman" w:cs="Times New Roman"/>
                <w:sz w:val="15"/>
                <w:szCs w:val="15"/>
              </w:rPr>
              <w:t>Works</w:t>
            </w:r>
          </w:p>
        </w:tc>
        <w:tc>
          <w:tcPr>
            <w:tcW w:w="1000" w:type="pct"/>
            <w:shd w:val="clear" w:color="auto" w:fill="FFFFFF"/>
          </w:tcPr>
          <w:p w14:paraId="0B310918" w14:textId="77777777" w:rsidR="001A500E" w:rsidRPr="00F7332E" w:rsidRDefault="001A500E" w:rsidP="00D146B4">
            <w:pPr>
              <w:ind w:right="397"/>
              <w:jc w:val="right"/>
              <w:rPr>
                <w:rFonts w:eastAsia="Times New Roman" w:cs="Times New Roman"/>
                <w:sz w:val="15"/>
                <w:szCs w:val="15"/>
              </w:rPr>
            </w:pPr>
            <w:r w:rsidRPr="00F7332E">
              <w:rPr>
                <w:rFonts w:eastAsia="Times New Roman" w:cs="Times New Roman"/>
                <w:sz w:val="15"/>
                <w:szCs w:val="15"/>
              </w:rPr>
              <w:t>12,696.1</w:t>
            </w:r>
          </w:p>
        </w:tc>
        <w:tc>
          <w:tcPr>
            <w:tcW w:w="1000" w:type="pct"/>
            <w:shd w:val="clear" w:color="auto" w:fill="FFFFFF"/>
          </w:tcPr>
          <w:p w14:paraId="73368893" w14:textId="77777777" w:rsidR="001A500E" w:rsidRPr="00F7332E" w:rsidRDefault="001A500E" w:rsidP="00D146B4">
            <w:pPr>
              <w:ind w:right="397"/>
              <w:jc w:val="right"/>
              <w:rPr>
                <w:rFonts w:eastAsia="Times New Roman" w:cs="Times New Roman"/>
                <w:sz w:val="15"/>
                <w:szCs w:val="15"/>
              </w:rPr>
            </w:pPr>
            <w:r w:rsidRPr="00F7332E">
              <w:rPr>
                <w:rFonts w:eastAsia="Times New Roman" w:cs="Times New Roman"/>
                <w:sz w:val="15"/>
                <w:szCs w:val="15"/>
              </w:rPr>
              <w:t>26,146.8</w:t>
            </w:r>
          </w:p>
        </w:tc>
        <w:tc>
          <w:tcPr>
            <w:tcW w:w="1000" w:type="pct"/>
            <w:shd w:val="clear" w:color="auto" w:fill="FFFFFF"/>
          </w:tcPr>
          <w:p w14:paraId="0E226BB6" w14:textId="77777777" w:rsidR="001A500E" w:rsidRPr="00F7332E" w:rsidRDefault="001A500E" w:rsidP="00D146B4">
            <w:pPr>
              <w:ind w:right="397"/>
              <w:jc w:val="right"/>
              <w:rPr>
                <w:rFonts w:eastAsia="Times New Roman" w:cs="Times New Roman"/>
                <w:sz w:val="15"/>
                <w:szCs w:val="15"/>
              </w:rPr>
            </w:pPr>
            <w:r w:rsidRPr="00F7332E">
              <w:rPr>
                <w:rFonts w:eastAsia="Times New Roman" w:cs="Times New Roman"/>
                <w:sz w:val="15"/>
                <w:szCs w:val="15"/>
              </w:rPr>
              <w:t>27,039.0</w:t>
            </w:r>
          </w:p>
        </w:tc>
        <w:tc>
          <w:tcPr>
            <w:tcW w:w="1000" w:type="pct"/>
            <w:shd w:val="clear" w:color="auto" w:fill="FFFFFF"/>
          </w:tcPr>
          <w:p w14:paraId="598AE5C7" w14:textId="77777777" w:rsidR="001A500E" w:rsidRPr="00F7332E" w:rsidRDefault="001A500E" w:rsidP="00D146B4">
            <w:pPr>
              <w:ind w:right="397"/>
              <w:jc w:val="right"/>
              <w:rPr>
                <w:rFonts w:eastAsia="Times New Roman" w:cs="Times New Roman"/>
                <w:sz w:val="15"/>
                <w:szCs w:val="15"/>
              </w:rPr>
            </w:pPr>
            <w:r w:rsidRPr="00F7332E">
              <w:rPr>
                <w:rFonts w:eastAsia="Times New Roman" w:cs="Times New Roman"/>
                <w:sz w:val="15"/>
                <w:szCs w:val="15"/>
              </w:rPr>
              <w:t>27,787.7</w:t>
            </w:r>
          </w:p>
        </w:tc>
      </w:tr>
      <w:tr w:rsidR="001A500E" w:rsidRPr="00F7332E" w14:paraId="3838263B" w14:textId="77777777" w:rsidTr="00C51D8E">
        <w:trPr>
          <w:cantSplit/>
        </w:trPr>
        <w:tc>
          <w:tcPr>
            <w:tcW w:w="1000" w:type="pct"/>
            <w:shd w:val="clear" w:color="auto" w:fill="C9DED4"/>
          </w:tcPr>
          <w:p w14:paraId="0791A0FA" w14:textId="77777777" w:rsidR="001A500E" w:rsidRPr="00F7332E" w:rsidRDefault="001A500E" w:rsidP="00D146B4">
            <w:pPr>
              <w:rPr>
                <w:rFonts w:eastAsia="Times New Roman" w:cs="Times New Roman"/>
                <w:sz w:val="15"/>
                <w:szCs w:val="15"/>
              </w:rPr>
            </w:pPr>
            <w:r w:rsidRPr="00F7332E">
              <w:rPr>
                <w:rFonts w:eastAsia="Times New Roman" w:cs="Times New Roman"/>
                <w:sz w:val="15"/>
                <w:szCs w:val="15"/>
              </w:rPr>
              <w:t>Concessions</w:t>
            </w:r>
          </w:p>
        </w:tc>
        <w:tc>
          <w:tcPr>
            <w:tcW w:w="1000" w:type="pct"/>
            <w:shd w:val="clear" w:color="auto" w:fill="C9DED4"/>
          </w:tcPr>
          <w:p w14:paraId="78D95A41" w14:textId="77777777" w:rsidR="001A500E" w:rsidRPr="00F7332E" w:rsidRDefault="001A500E" w:rsidP="00D146B4">
            <w:pPr>
              <w:ind w:right="397"/>
              <w:jc w:val="right"/>
              <w:rPr>
                <w:rFonts w:eastAsia="Times New Roman" w:cs="Times New Roman"/>
                <w:sz w:val="15"/>
                <w:szCs w:val="15"/>
              </w:rPr>
            </w:pPr>
            <w:r w:rsidRPr="00F7332E">
              <w:rPr>
                <w:rFonts w:eastAsia="Times New Roman" w:cs="Times New Roman"/>
                <w:sz w:val="15"/>
                <w:szCs w:val="15"/>
              </w:rPr>
              <w:t>11.8</w:t>
            </w:r>
          </w:p>
        </w:tc>
        <w:tc>
          <w:tcPr>
            <w:tcW w:w="1000" w:type="pct"/>
            <w:shd w:val="clear" w:color="auto" w:fill="C9DED4"/>
          </w:tcPr>
          <w:p w14:paraId="45685BBC" w14:textId="77777777" w:rsidR="001A500E" w:rsidRPr="00F7332E" w:rsidRDefault="001A500E" w:rsidP="00D146B4">
            <w:pPr>
              <w:ind w:right="397"/>
              <w:jc w:val="right"/>
              <w:rPr>
                <w:rFonts w:eastAsia="Times New Roman" w:cs="Times New Roman"/>
                <w:sz w:val="15"/>
                <w:szCs w:val="15"/>
              </w:rPr>
            </w:pPr>
            <w:r w:rsidRPr="00F7332E">
              <w:rPr>
                <w:rFonts w:eastAsia="Times New Roman" w:cs="Times New Roman"/>
                <w:sz w:val="15"/>
                <w:szCs w:val="15"/>
              </w:rPr>
              <w:t>0.0</w:t>
            </w:r>
          </w:p>
        </w:tc>
        <w:tc>
          <w:tcPr>
            <w:tcW w:w="1000" w:type="pct"/>
            <w:shd w:val="clear" w:color="auto" w:fill="C9DED4"/>
          </w:tcPr>
          <w:p w14:paraId="4F941955" w14:textId="77777777" w:rsidR="001A500E" w:rsidRPr="00F7332E" w:rsidRDefault="001A500E" w:rsidP="00D146B4">
            <w:pPr>
              <w:ind w:right="397"/>
              <w:jc w:val="right"/>
              <w:rPr>
                <w:rFonts w:eastAsia="Times New Roman" w:cs="Times New Roman"/>
                <w:sz w:val="15"/>
                <w:szCs w:val="15"/>
              </w:rPr>
            </w:pPr>
            <w:r w:rsidRPr="00F7332E">
              <w:rPr>
                <w:rFonts w:eastAsia="Times New Roman" w:cs="Times New Roman"/>
                <w:sz w:val="15"/>
                <w:szCs w:val="15"/>
              </w:rPr>
              <w:t>0.0</w:t>
            </w:r>
          </w:p>
        </w:tc>
        <w:tc>
          <w:tcPr>
            <w:tcW w:w="1000" w:type="pct"/>
            <w:shd w:val="clear" w:color="auto" w:fill="C9DED4"/>
          </w:tcPr>
          <w:p w14:paraId="7F9CAA24" w14:textId="77777777" w:rsidR="001A500E" w:rsidRPr="00F7332E" w:rsidRDefault="001A500E" w:rsidP="00D146B4">
            <w:pPr>
              <w:ind w:right="397"/>
              <w:jc w:val="right"/>
              <w:rPr>
                <w:rFonts w:eastAsia="Times New Roman" w:cs="Times New Roman"/>
                <w:sz w:val="15"/>
                <w:szCs w:val="15"/>
              </w:rPr>
            </w:pPr>
            <w:r w:rsidRPr="00F7332E">
              <w:rPr>
                <w:rFonts w:eastAsia="Times New Roman" w:cs="Times New Roman"/>
                <w:sz w:val="15"/>
                <w:szCs w:val="15"/>
              </w:rPr>
              <w:t>0.0</w:t>
            </w:r>
          </w:p>
        </w:tc>
      </w:tr>
      <w:tr w:rsidR="001A500E" w:rsidRPr="00F7332E" w14:paraId="1EE51F06" w14:textId="77777777" w:rsidTr="00C51D8E">
        <w:trPr>
          <w:cantSplit/>
        </w:trPr>
        <w:tc>
          <w:tcPr>
            <w:tcW w:w="1000" w:type="pct"/>
            <w:shd w:val="clear" w:color="auto" w:fill="FFFFFF"/>
          </w:tcPr>
          <w:p w14:paraId="5D1F88B6" w14:textId="77777777" w:rsidR="001A500E" w:rsidRPr="00F7332E" w:rsidRDefault="001A500E" w:rsidP="00D146B4">
            <w:pPr>
              <w:rPr>
                <w:rFonts w:eastAsia="Times New Roman" w:cs="Times New Roman"/>
                <w:sz w:val="15"/>
                <w:szCs w:val="15"/>
              </w:rPr>
            </w:pPr>
            <w:r w:rsidRPr="00F7332E">
              <w:rPr>
                <w:rFonts w:eastAsia="Times New Roman" w:cs="Times New Roman"/>
                <w:sz w:val="15"/>
                <w:szCs w:val="15"/>
              </w:rPr>
              <w:t>Not specified</w:t>
            </w:r>
          </w:p>
        </w:tc>
        <w:tc>
          <w:tcPr>
            <w:tcW w:w="1000" w:type="pct"/>
            <w:shd w:val="clear" w:color="auto" w:fill="FFFFFF"/>
          </w:tcPr>
          <w:p w14:paraId="1DCCA1CF" w14:textId="77777777" w:rsidR="001A500E" w:rsidRPr="00F7332E" w:rsidRDefault="001A500E" w:rsidP="00D146B4">
            <w:pPr>
              <w:ind w:right="397"/>
              <w:jc w:val="right"/>
              <w:rPr>
                <w:rFonts w:eastAsia="Times New Roman" w:cs="Times New Roman"/>
                <w:sz w:val="15"/>
                <w:szCs w:val="15"/>
              </w:rPr>
            </w:pPr>
            <w:r w:rsidRPr="00F7332E">
              <w:rPr>
                <w:rFonts w:eastAsia="Times New Roman" w:cs="Times New Roman"/>
                <w:sz w:val="15"/>
                <w:szCs w:val="15"/>
              </w:rPr>
              <w:t>0.0</w:t>
            </w:r>
          </w:p>
        </w:tc>
        <w:tc>
          <w:tcPr>
            <w:tcW w:w="1000" w:type="pct"/>
            <w:shd w:val="clear" w:color="auto" w:fill="FFFFFF"/>
          </w:tcPr>
          <w:p w14:paraId="4E68470F" w14:textId="77777777" w:rsidR="001A500E" w:rsidRPr="00F7332E" w:rsidRDefault="001A500E" w:rsidP="00D146B4">
            <w:pPr>
              <w:ind w:right="397"/>
              <w:jc w:val="right"/>
              <w:rPr>
                <w:rFonts w:eastAsia="Times New Roman" w:cs="Times New Roman"/>
                <w:sz w:val="15"/>
                <w:szCs w:val="15"/>
              </w:rPr>
            </w:pPr>
            <w:r w:rsidRPr="00F7332E">
              <w:rPr>
                <w:rFonts w:eastAsia="Times New Roman" w:cs="Times New Roman"/>
                <w:sz w:val="15"/>
                <w:szCs w:val="15"/>
              </w:rPr>
              <w:t>41.4</w:t>
            </w:r>
          </w:p>
        </w:tc>
        <w:tc>
          <w:tcPr>
            <w:tcW w:w="1000" w:type="pct"/>
            <w:shd w:val="clear" w:color="auto" w:fill="FFFFFF"/>
          </w:tcPr>
          <w:p w14:paraId="117AE185" w14:textId="77777777" w:rsidR="001A500E" w:rsidRPr="00F7332E" w:rsidRDefault="001A500E" w:rsidP="00D146B4">
            <w:pPr>
              <w:ind w:right="397"/>
              <w:jc w:val="right"/>
              <w:rPr>
                <w:rFonts w:eastAsia="Times New Roman" w:cs="Times New Roman"/>
                <w:sz w:val="15"/>
                <w:szCs w:val="15"/>
              </w:rPr>
            </w:pPr>
            <w:r w:rsidRPr="00F7332E">
              <w:rPr>
                <w:rFonts w:eastAsia="Times New Roman" w:cs="Times New Roman"/>
                <w:sz w:val="15"/>
                <w:szCs w:val="15"/>
              </w:rPr>
              <w:t>160.2</w:t>
            </w:r>
          </w:p>
        </w:tc>
        <w:tc>
          <w:tcPr>
            <w:tcW w:w="1000" w:type="pct"/>
            <w:shd w:val="clear" w:color="auto" w:fill="FFFFFF"/>
          </w:tcPr>
          <w:p w14:paraId="322A6157" w14:textId="77777777" w:rsidR="001A500E" w:rsidRPr="00F7332E" w:rsidRDefault="001A500E" w:rsidP="00D146B4">
            <w:pPr>
              <w:ind w:right="397"/>
              <w:jc w:val="right"/>
              <w:rPr>
                <w:rFonts w:eastAsia="Times New Roman" w:cs="Times New Roman"/>
                <w:sz w:val="15"/>
                <w:szCs w:val="15"/>
              </w:rPr>
            </w:pPr>
            <w:r w:rsidRPr="00F7332E">
              <w:rPr>
                <w:rFonts w:eastAsia="Times New Roman" w:cs="Times New Roman"/>
                <w:sz w:val="15"/>
                <w:szCs w:val="15"/>
              </w:rPr>
              <w:t>5,529.3</w:t>
            </w:r>
          </w:p>
        </w:tc>
      </w:tr>
      <w:tr w:rsidR="001A500E" w:rsidRPr="00F7332E" w14:paraId="6CF75CA8" w14:textId="77777777" w:rsidTr="00C51D8E">
        <w:trPr>
          <w:cantSplit/>
        </w:trPr>
        <w:tc>
          <w:tcPr>
            <w:tcW w:w="1000" w:type="pct"/>
            <w:tcBorders>
              <w:bottom w:val="single" w:sz="4" w:space="0" w:color="auto"/>
            </w:tcBorders>
            <w:shd w:val="clear" w:color="auto" w:fill="C9DED4"/>
          </w:tcPr>
          <w:p w14:paraId="56E3E98B" w14:textId="77777777" w:rsidR="001A500E" w:rsidRPr="00F7332E" w:rsidRDefault="001A500E" w:rsidP="00D146B4">
            <w:pPr>
              <w:rPr>
                <w:rFonts w:eastAsia="Times New Roman" w:cs="Times New Roman"/>
                <w:b/>
                <w:bCs/>
                <w:sz w:val="15"/>
                <w:szCs w:val="15"/>
              </w:rPr>
            </w:pPr>
            <w:r w:rsidRPr="00F7332E">
              <w:rPr>
                <w:rFonts w:eastAsia="Times New Roman" w:cs="Times New Roman"/>
                <w:b/>
                <w:bCs/>
                <w:sz w:val="15"/>
                <w:szCs w:val="15"/>
              </w:rPr>
              <w:t>Total</w:t>
            </w:r>
          </w:p>
        </w:tc>
        <w:tc>
          <w:tcPr>
            <w:tcW w:w="1000" w:type="pct"/>
            <w:tcBorders>
              <w:bottom w:val="single" w:sz="4" w:space="0" w:color="auto"/>
            </w:tcBorders>
            <w:shd w:val="clear" w:color="auto" w:fill="C9DED4"/>
          </w:tcPr>
          <w:p w14:paraId="00835477" w14:textId="77777777" w:rsidR="001A500E" w:rsidRPr="00F7332E" w:rsidRDefault="001A500E" w:rsidP="00D146B4">
            <w:pPr>
              <w:ind w:right="397"/>
              <w:jc w:val="right"/>
              <w:rPr>
                <w:rFonts w:eastAsia="Times New Roman" w:cs="Times New Roman"/>
                <w:b/>
                <w:bCs/>
                <w:sz w:val="15"/>
                <w:szCs w:val="15"/>
              </w:rPr>
            </w:pPr>
            <w:r w:rsidRPr="00F7332E">
              <w:rPr>
                <w:rFonts w:eastAsia="Times New Roman" w:cs="Times New Roman"/>
                <w:b/>
                <w:bCs/>
                <w:sz w:val="15"/>
                <w:szCs w:val="15"/>
              </w:rPr>
              <w:t>60,935.4</w:t>
            </w:r>
          </w:p>
        </w:tc>
        <w:tc>
          <w:tcPr>
            <w:tcW w:w="1000" w:type="pct"/>
            <w:tcBorders>
              <w:bottom w:val="single" w:sz="4" w:space="0" w:color="auto"/>
            </w:tcBorders>
            <w:shd w:val="clear" w:color="auto" w:fill="C9DED4"/>
          </w:tcPr>
          <w:p w14:paraId="494BF9F9" w14:textId="77777777" w:rsidR="001A500E" w:rsidRPr="00F7332E" w:rsidRDefault="001A500E" w:rsidP="00D146B4">
            <w:pPr>
              <w:ind w:right="397"/>
              <w:jc w:val="right"/>
              <w:rPr>
                <w:rFonts w:eastAsia="Times New Roman" w:cs="Times New Roman"/>
                <w:b/>
                <w:bCs/>
                <w:sz w:val="15"/>
                <w:szCs w:val="15"/>
              </w:rPr>
            </w:pPr>
            <w:r w:rsidRPr="00F7332E">
              <w:rPr>
                <w:rFonts w:eastAsia="Times New Roman" w:cs="Times New Roman"/>
                <w:b/>
                <w:bCs/>
                <w:sz w:val="15"/>
                <w:szCs w:val="15"/>
              </w:rPr>
              <w:t>111,210.6</w:t>
            </w:r>
          </w:p>
        </w:tc>
        <w:tc>
          <w:tcPr>
            <w:tcW w:w="1000" w:type="pct"/>
            <w:tcBorders>
              <w:bottom w:val="single" w:sz="4" w:space="0" w:color="auto"/>
            </w:tcBorders>
            <w:shd w:val="clear" w:color="auto" w:fill="C9DED4"/>
          </w:tcPr>
          <w:p w14:paraId="02C1ADC3" w14:textId="77777777" w:rsidR="001A500E" w:rsidRPr="001F5BE5" w:rsidRDefault="001A500E" w:rsidP="00D146B4">
            <w:pPr>
              <w:ind w:right="397"/>
              <w:jc w:val="right"/>
              <w:rPr>
                <w:rFonts w:eastAsia="Times New Roman" w:cs="Times New Roman"/>
                <w:b/>
                <w:bCs/>
                <w:sz w:val="15"/>
                <w:szCs w:val="15"/>
              </w:rPr>
            </w:pPr>
            <w:r w:rsidRPr="004A7783">
              <w:rPr>
                <w:rFonts w:eastAsia="Times New Roman" w:cs="Times New Roman"/>
                <w:b/>
                <w:bCs/>
                <w:sz w:val="15"/>
                <w:szCs w:val="15"/>
              </w:rPr>
              <w:t>104,934.0</w:t>
            </w:r>
          </w:p>
        </w:tc>
        <w:tc>
          <w:tcPr>
            <w:tcW w:w="1000" w:type="pct"/>
            <w:tcBorders>
              <w:bottom w:val="single" w:sz="4" w:space="0" w:color="auto"/>
            </w:tcBorders>
            <w:shd w:val="clear" w:color="auto" w:fill="C9DED4"/>
          </w:tcPr>
          <w:p w14:paraId="5B33CAC9" w14:textId="77777777" w:rsidR="001A500E" w:rsidRPr="001F5BE5" w:rsidRDefault="001A500E" w:rsidP="00D146B4">
            <w:pPr>
              <w:ind w:right="397"/>
              <w:jc w:val="right"/>
              <w:rPr>
                <w:rFonts w:eastAsia="Times New Roman" w:cs="Times New Roman"/>
                <w:b/>
                <w:bCs/>
                <w:sz w:val="15"/>
                <w:szCs w:val="15"/>
              </w:rPr>
            </w:pPr>
            <w:r w:rsidRPr="004A7783">
              <w:rPr>
                <w:rFonts w:eastAsia="Times New Roman" w:cs="Times New Roman"/>
                <w:b/>
                <w:bCs/>
                <w:sz w:val="15"/>
                <w:szCs w:val="15"/>
              </w:rPr>
              <w:t>130,852.2</w:t>
            </w:r>
          </w:p>
        </w:tc>
      </w:tr>
    </w:tbl>
    <w:p w14:paraId="68AA8F7E" w14:textId="77777777" w:rsidR="001A500E" w:rsidRPr="00F7332E" w:rsidRDefault="001A500E" w:rsidP="006F0E66">
      <w:pPr>
        <w:pStyle w:val="NoteText"/>
        <w:spacing w:before="120" w:after="240"/>
      </w:pPr>
      <w:r w:rsidRPr="00F7332E">
        <w:t>Source:</w:t>
      </w:r>
      <w:r w:rsidRPr="00F7332E">
        <w:tab/>
        <w:t>Information supplied by the authorities.</w:t>
      </w:r>
    </w:p>
    <w:p w14:paraId="724FB55A" w14:textId="77777777" w:rsidR="001A500E" w:rsidRPr="00F7332E" w:rsidRDefault="001A500E" w:rsidP="00574469">
      <w:pPr>
        <w:pStyle w:val="BodyText"/>
      </w:pPr>
      <w:r w:rsidRPr="00F7332E">
        <w:t xml:space="preserve">In the Dominican Republic, natural or legal persons wishing to submit a tender for goods, services, or works must be entered </w:t>
      </w:r>
      <w:r>
        <w:t>i</w:t>
      </w:r>
      <w:r w:rsidRPr="00F7332E">
        <w:t>n the Register of State Suppliers</w:t>
      </w:r>
      <w:r w:rsidRPr="00F7332E">
        <w:rPr>
          <w:rStyle w:val="FootnoteReference"/>
          <w:rFonts w:eastAsia="Times New Roman" w:cs="Times New Roman"/>
        </w:rPr>
        <w:footnoteReference w:id="291"/>
      </w:r>
      <w:r w:rsidRPr="00F7332E">
        <w:t xml:space="preserve">, which is managed by the </w:t>
      </w:r>
      <w:proofErr w:type="spellStart"/>
      <w:r w:rsidRPr="00F7332E">
        <w:t>DGCP</w:t>
      </w:r>
      <w:proofErr w:type="spellEnd"/>
      <w:r w:rsidRPr="0060155B">
        <w:t>.</w:t>
      </w:r>
      <w:r w:rsidRPr="0060155B">
        <w:rPr>
          <w:vertAlign w:val="superscript"/>
        </w:rPr>
        <w:footnoteReference w:id="292"/>
      </w:r>
      <w:r w:rsidRPr="0060155B">
        <w:t xml:space="preserve"> P</w:t>
      </w:r>
      <w:r w:rsidRPr="00F7332E">
        <w:t>ersons who wish to register must fill in a registration application form, provide a simple declaration that there are no bars to entering into a contract with the State and attach the necessary documentation</w:t>
      </w:r>
      <w:r w:rsidRPr="0060155B">
        <w:t>.</w:t>
      </w:r>
      <w:r w:rsidRPr="0060155B">
        <w:rPr>
          <w:vertAlign w:val="superscript"/>
        </w:rPr>
        <w:footnoteReference w:id="293"/>
      </w:r>
      <w:r w:rsidRPr="0060155B">
        <w:t xml:space="preserve"> T</w:t>
      </w:r>
      <w:r w:rsidRPr="00F7332E">
        <w:t xml:space="preserve">he form may be submitted in person at the </w:t>
      </w:r>
      <w:proofErr w:type="spellStart"/>
      <w:r w:rsidRPr="00F7332E">
        <w:t>DGCP</w:t>
      </w:r>
      <w:proofErr w:type="spellEnd"/>
      <w:r w:rsidRPr="00F7332E">
        <w:t xml:space="preserve"> or through the Transaction Portal</w:t>
      </w:r>
      <w:r w:rsidRPr="0060155B">
        <w:t>.</w:t>
      </w:r>
      <w:r w:rsidRPr="0060155B">
        <w:rPr>
          <w:vertAlign w:val="superscript"/>
        </w:rPr>
        <w:footnoteReference w:id="294"/>
      </w:r>
      <w:r w:rsidRPr="0060155B">
        <w:t xml:space="preserve"> I</w:t>
      </w:r>
      <w:r w:rsidRPr="00F7332E">
        <w:t xml:space="preserve">n 2021, 10,566 new suppliers registered, bringing the total number of </w:t>
      </w:r>
      <w:r>
        <w:t>s</w:t>
      </w:r>
      <w:r w:rsidRPr="00F7332E">
        <w:t>tate suppliers to 102,510, i.e. 11.5</w:t>
      </w:r>
      <w:r>
        <w:t>%</w:t>
      </w:r>
      <w:r w:rsidRPr="00F7332E">
        <w:t xml:space="preserve"> more than the previous year.</w:t>
      </w:r>
      <w:r w:rsidRPr="00F7332E">
        <w:rPr>
          <w:vertAlign w:val="superscript"/>
        </w:rPr>
        <w:footnoteReference w:id="295"/>
      </w:r>
    </w:p>
    <w:p w14:paraId="76ED4311" w14:textId="77777777" w:rsidR="001A500E" w:rsidRPr="0060155B" w:rsidRDefault="001A500E" w:rsidP="00574469">
      <w:pPr>
        <w:pStyle w:val="BodyText"/>
      </w:pPr>
      <w:r w:rsidRPr="00F7332E">
        <w:t xml:space="preserve">For foreign suppliers, </w:t>
      </w:r>
      <w:r>
        <w:t xml:space="preserve">they only need to be </w:t>
      </w:r>
      <w:r w:rsidRPr="00F7332E">
        <w:t>register</w:t>
      </w:r>
      <w:r>
        <w:t>ed</w:t>
      </w:r>
      <w:r w:rsidRPr="00F7332E">
        <w:t xml:space="preserve"> if they secure a contract or are domiciled in the country</w:t>
      </w:r>
      <w:r w:rsidRPr="0060155B">
        <w:t>.</w:t>
      </w:r>
      <w:r w:rsidRPr="0060155B">
        <w:rPr>
          <w:vertAlign w:val="superscript"/>
        </w:rPr>
        <w:footnoteReference w:id="296"/>
      </w:r>
      <w:r w:rsidRPr="0060155B">
        <w:t xml:space="preserve"> H</w:t>
      </w:r>
      <w:r w:rsidRPr="00F7332E">
        <w:t>owever, in order to be able to participate in procurement processes through the Transaction Portal, they must obtain a provisional registration which, if successful in the bidding process, they must formalize before the contract is signed</w:t>
      </w:r>
      <w:r w:rsidRPr="0060155B">
        <w:t>.</w:t>
      </w:r>
      <w:r w:rsidRPr="0060155B">
        <w:rPr>
          <w:vertAlign w:val="superscript"/>
        </w:rPr>
        <w:footnoteReference w:id="297"/>
      </w:r>
      <w:r w:rsidRPr="0060155B">
        <w:t xml:space="preserve"> A</w:t>
      </w:r>
      <w:r w:rsidRPr="00F7332E">
        <w:t xml:space="preserve">dditionally, in order to be </w:t>
      </w:r>
      <w:r w:rsidRPr="00F7332E">
        <w:lastRenderedPageBreak/>
        <w:t xml:space="preserve">able to take part in contracts for works or </w:t>
      </w:r>
      <w:r>
        <w:t xml:space="preserve">to </w:t>
      </w:r>
      <w:r w:rsidRPr="00F7332E">
        <w:t xml:space="preserve">be awarded a contract by the State, foreign suppliers must </w:t>
      </w:r>
      <w:r>
        <w:t>be partnered with</w:t>
      </w:r>
      <w:r w:rsidRPr="00F7332E">
        <w:t xml:space="preserve"> a Dominican </w:t>
      </w:r>
      <w:r>
        <w:t>national</w:t>
      </w:r>
      <w:r w:rsidRPr="00F7332E">
        <w:t xml:space="preserve"> or be part of a joint venture with a Dominican</w:t>
      </w:r>
      <w:r>
        <w:t> </w:t>
      </w:r>
      <w:r w:rsidRPr="00F7332E">
        <w:t>enterprise.</w:t>
      </w:r>
      <w:r w:rsidRPr="00F7332E">
        <w:rPr>
          <w:vertAlign w:val="superscript"/>
        </w:rPr>
        <w:footnoteReference w:id="298"/>
      </w:r>
    </w:p>
    <w:p w14:paraId="0732C94F" w14:textId="77777777" w:rsidR="001A500E" w:rsidRPr="0060155B" w:rsidRDefault="001A500E" w:rsidP="00574469">
      <w:pPr>
        <w:pStyle w:val="BodyText"/>
      </w:pPr>
      <w:r w:rsidRPr="00F7332E">
        <w:t>The Register of State Suppliers is organized by activity (goods, services, consultancy services and works)</w:t>
      </w:r>
      <w:r w:rsidRPr="00F7332E">
        <w:rPr>
          <w:vertAlign w:val="superscript"/>
        </w:rPr>
        <w:footnoteReference w:id="299"/>
      </w:r>
      <w:r w:rsidRPr="00F7332E">
        <w:t xml:space="preserve"> and by business register (large enterprise</w:t>
      </w:r>
      <w:r w:rsidRPr="0060155B">
        <w:t>; c</w:t>
      </w:r>
      <w:r w:rsidRPr="00F7332E">
        <w:t>ertified MSME</w:t>
      </w:r>
      <w:r w:rsidRPr="0060155B">
        <w:t>; n</w:t>
      </w:r>
      <w:r w:rsidRPr="00F7332E">
        <w:t>atural person, uncertified MSME and other organizations)</w:t>
      </w:r>
      <w:r w:rsidRPr="0060155B">
        <w:t>.</w:t>
      </w:r>
      <w:r w:rsidRPr="0060155B">
        <w:rPr>
          <w:vertAlign w:val="superscript"/>
        </w:rPr>
        <w:footnoteReference w:id="300"/>
      </w:r>
      <w:r w:rsidRPr="0060155B">
        <w:t xml:space="preserve"> T</w:t>
      </w:r>
      <w:r w:rsidRPr="00F7332E">
        <w:t>he Register also includes penalties imposed on suppliers for failure to comply with prevailing regulations or non</w:t>
      </w:r>
      <w:r>
        <w:noBreakHyphen/>
      </w:r>
      <w:r w:rsidRPr="00F7332E">
        <w:t>performance of a contract.</w:t>
      </w:r>
    </w:p>
    <w:p w14:paraId="42617EFE" w14:textId="77777777" w:rsidR="001A500E" w:rsidRPr="00F7332E" w:rsidRDefault="001A500E" w:rsidP="00574469">
      <w:pPr>
        <w:pStyle w:val="BodyText"/>
      </w:pPr>
      <w:r w:rsidRPr="00F7332E">
        <w:t>The Dominican Republic has six government procurement selection procedures</w:t>
      </w:r>
      <w:r w:rsidRPr="0060155B">
        <w:t>: (</w:t>
      </w:r>
      <w:proofErr w:type="spellStart"/>
      <w:r w:rsidRPr="00F7332E">
        <w:t>i</w:t>
      </w:r>
      <w:proofErr w:type="spellEnd"/>
      <w:r w:rsidRPr="00F7332E">
        <w:t>) </w:t>
      </w:r>
      <w:r>
        <w:t>open tendering</w:t>
      </w:r>
      <w:r w:rsidRPr="0060155B">
        <w:t>; (</w:t>
      </w:r>
      <w:r w:rsidRPr="00F7332E">
        <w:t xml:space="preserve">ii) restricted </w:t>
      </w:r>
      <w:r>
        <w:t>tendering</w:t>
      </w:r>
      <w:r w:rsidRPr="0060155B">
        <w:t>; (</w:t>
      </w:r>
      <w:r w:rsidRPr="00F7332E">
        <w:t>iii) lotteries</w:t>
      </w:r>
      <w:r>
        <w:t xml:space="preserve"> for construction contracts</w:t>
      </w:r>
      <w:r w:rsidRPr="0060155B">
        <w:t>; (</w:t>
      </w:r>
      <w:r w:rsidRPr="00F7332E">
        <w:t>iv) price comparison</w:t>
      </w:r>
      <w:r w:rsidRPr="0060155B">
        <w:t>; (</w:t>
      </w:r>
      <w:r w:rsidRPr="00F7332E">
        <w:t>v) small</w:t>
      </w:r>
      <w:r>
        <w:noBreakHyphen/>
      </w:r>
      <w:r w:rsidRPr="00F7332E">
        <w:t>scale purchasing (and purchases above and below the threshold value for small</w:t>
      </w:r>
      <w:r>
        <w:noBreakHyphen/>
      </w:r>
      <w:r w:rsidRPr="00F7332E">
        <w:t>scale purchasing)</w:t>
      </w:r>
      <w:r w:rsidRPr="0060155B">
        <w:t>; a</w:t>
      </w:r>
      <w:r w:rsidRPr="00F7332E">
        <w:t>nd (vi) reverse auction (Table 3.18)</w:t>
      </w:r>
      <w:r w:rsidRPr="0060155B">
        <w:t>. T</w:t>
      </w:r>
      <w:r w:rsidRPr="00F7332E">
        <w:t>he procedures have not changed since the previous review.</w:t>
      </w:r>
    </w:p>
    <w:p w14:paraId="31519EF5" w14:textId="77777777" w:rsidR="001A500E" w:rsidRPr="00F7332E" w:rsidRDefault="001A500E" w:rsidP="006F0E66">
      <w:pPr>
        <w:pStyle w:val="Caption"/>
        <w:rPr>
          <w:b w:val="0"/>
          <w:bCs w:val="0"/>
        </w:rPr>
      </w:pPr>
      <w:bookmarkStart w:id="267" w:name="_Toc114735833"/>
      <w:bookmarkStart w:id="268" w:name="_Toc117238051"/>
      <w:r>
        <w:t xml:space="preserve">Table </w:t>
      </w:r>
      <w:r w:rsidR="00BD37F2">
        <w:fldChar w:fldCharType="begin"/>
      </w:r>
      <w:r w:rsidR="00BD37F2">
        <w:instrText xml:space="preserve"> STYLEREF 1 \s </w:instrText>
      </w:r>
      <w:r w:rsidR="00BD37F2">
        <w:fldChar w:fldCharType="separate"/>
      </w:r>
      <w:r>
        <w:rPr>
          <w:noProof/>
        </w:rPr>
        <w:t>3</w:t>
      </w:r>
      <w:r w:rsidR="00BD37F2">
        <w:rPr>
          <w:noProof/>
        </w:rPr>
        <w:fldChar w:fldCharType="end"/>
      </w:r>
      <w:r>
        <w:t>.</w:t>
      </w:r>
      <w:r w:rsidR="00BD37F2">
        <w:fldChar w:fldCharType="begin"/>
      </w:r>
      <w:r w:rsidR="00BD37F2">
        <w:instrText xml:space="preserve"> SEQ Table \* ARABIC \s 1 </w:instrText>
      </w:r>
      <w:r w:rsidR="00BD37F2">
        <w:fldChar w:fldCharType="separate"/>
      </w:r>
      <w:r>
        <w:rPr>
          <w:noProof/>
        </w:rPr>
        <w:t>18</w:t>
      </w:r>
      <w:r w:rsidR="00BD37F2">
        <w:rPr>
          <w:noProof/>
        </w:rPr>
        <w:fldChar w:fldCharType="end"/>
      </w:r>
      <w:r>
        <w:t xml:space="preserve"> </w:t>
      </w:r>
      <w:r w:rsidRPr="00F7332E">
        <w:t>Selection procedures</w:t>
      </w:r>
      <w:bookmarkEnd w:id="267"/>
      <w:bookmarkEnd w:id="268"/>
    </w:p>
    <w:tbl>
      <w:tblPr>
        <w:tblW w:w="5000" w:type="pct"/>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1554"/>
        <w:gridCol w:w="7462"/>
      </w:tblGrid>
      <w:tr w:rsidR="001A500E" w:rsidRPr="00F7332E" w14:paraId="2EFF95BC" w14:textId="77777777" w:rsidTr="00C51D8E">
        <w:trPr>
          <w:cantSplit/>
          <w:tblHeader/>
        </w:trPr>
        <w:tc>
          <w:tcPr>
            <w:tcW w:w="862" w:type="pct"/>
            <w:tcBorders>
              <w:top w:val="single" w:sz="4" w:space="0" w:color="auto"/>
            </w:tcBorders>
            <w:shd w:val="clear" w:color="auto" w:fill="006283"/>
          </w:tcPr>
          <w:p w14:paraId="234BD7D3" w14:textId="77777777" w:rsidR="001A500E" w:rsidRPr="00F7332E" w:rsidRDefault="001A500E" w:rsidP="00D146B4">
            <w:pPr>
              <w:jc w:val="center"/>
              <w:rPr>
                <w:rFonts w:eastAsia="Times New Roman" w:cs="Times New Roman"/>
                <w:b/>
                <w:color w:val="FFFFFF"/>
                <w:sz w:val="15"/>
                <w:szCs w:val="15"/>
              </w:rPr>
            </w:pPr>
            <w:r w:rsidRPr="00F7332E">
              <w:rPr>
                <w:rFonts w:eastAsia="Times New Roman" w:cs="Times New Roman"/>
                <w:b/>
                <w:bCs/>
                <w:color w:val="FFFFFF"/>
                <w:sz w:val="15"/>
                <w:szCs w:val="15"/>
              </w:rPr>
              <w:t>Procedure</w:t>
            </w:r>
          </w:p>
        </w:tc>
        <w:tc>
          <w:tcPr>
            <w:tcW w:w="4138" w:type="pct"/>
            <w:tcBorders>
              <w:top w:val="single" w:sz="4" w:space="0" w:color="auto"/>
            </w:tcBorders>
            <w:shd w:val="clear" w:color="auto" w:fill="006283"/>
          </w:tcPr>
          <w:p w14:paraId="2FA383AF" w14:textId="77777777" w:rsidR="001A500E" w:rsidRPr="00F7332E" w:rsidRDefault="001A500E" w:rsidP="00D146B4">
            <w:pPr>
              <w:jc w:val="center"/>
              <w:rPr>
                <w:rFonts w:eastAsia="Times New Roman" w:cs="Times New Roman"/>
                <w:b/>
                <w:color w:val="FFFFFF"/>
                <w:sz w:val="15"/>
                <w:szCs w:val="15"/>
              </w:rPr>
            </w:pPr>
            <w:r w:rsidRPr="00F7332E">
              <w:rPr>
                <w:rFonts w:eastAsia="Times New Roman" w:cs="Times New Roman"/>
                <w:b/>
                <w:bCs/>
                <w:color w:val="FFFFFF"/>
                <w:sz w:val="15"/>
                <w:szCs w:val="15"/>
              </w:rPr>
              <w:t>Description</w:t>
            </w:r>
          </w:p>
        </w:tc>
      </w:tr>
      <w:tr w:rsidR="001A500E" w:rsidRPr="00F7332E" w14:paraId="01390739" w14:textId="77777777" w:rsidTr="00C51D8E">
        <w:trPr>
          <w:cantSplit/>
        </w:trPr>
        <w:tc>
          <w:tcPr>
            <w:tcW w:w="862" w:type="pct"/>
          </w:tcPr>
          <w:p w14:paraId="1E2019E0" w14:textId="77777777" w:rsidR="001A500E" w:rsidRPr="00F7332E" w:rsidRDefault="001A500E" w:rsidP="00D146B4">
            <w:pPr>
              <w:rPr>
                <w:rFonts w:eastAsia="Times New Roman" w:cs="Times New Roman"/>
                <w:sz w:val="15"/>
                <w:szCs w:val="15"/>
              </w:rPr>
            </w:pPr>
            <w:r>
              <w:rPr>
                <w:rFonts w:eastAsia="Times New Roman" w:cs="Times New Roman"/>
                <w:sz w:val="15"/>
                <w:szCs w:val="15"/>
              </w:rPr>
              <w:t>Open</w:t>
            </w:r>
            <w:r w:rsidRPr="00F7332E">
              <w:rPr>
                <w:rFonts w:eastAsia="Times New Roman" w:cs="Times New Roman"/>
                <w:sz w:val="15"/>
                <w:szCs w:val="15"/>
              </w:rPr>
              <w:t xml:space="preserve"> </w:t>
            </w:r>
            <w:r>
              <w:rPr>
                <w:rFonts w:eastAsia="Times New Roman" w:cs="Times New Roman"/>
                <w:sz w:val="15"/>
                <w:szCs w:val="15"/>
              </w:rPr>
              <w:t>tendering</w:t>
            </w:r>
          </w:p>
        </w:tc>
        <w:tc>
          <w:tcPr>
            <w:tcW w:w="4138" w:type="pct"/>
          </w:tcPr>
          <w:p w14:paraId="508D7247" w14:textId="77777777" w:rsidR="001A500E" w:rsidRPr="00F7332E" w:rsidRDefault="001A500E" w:rsidP="00641A50">
            <w:pPr>
              <w:jc w:val="left"/>
              <w:rPr>
                <w:rFonts w:eastAsia="Times New Roman" w:cs="Times New Roman"/>
                <w:sz w:val="15"/>
                <w:szCs w:val="15"/>
              </w:rPr>
            </w:pPr>
            <w:r w:rsidRPr="00F7332E">
              <w:rPr>
                <w:rFonts w:eastAsia="Times New Roman" w:cs="Times New Roman"/>
                <w:sz w:val="15"/>
                <w:szCs w:val="15"/>
              </w:rPr>
              <w:t>An open public call for tenders to enable interested parties to make their bids</w:t>
            </w:r>
            <w:r w:rsidRPr="0060155B">
              <w:rPr>
                <w:rFonts w:eastAsia="Times New Roman" w:cs="Times New Roman"/>
                <w:sz w:val="15"/>
                <w:szCs w:val="15"/>
              </w:rPr>
              <w:t>; m</w:t>
            </w:r>
            <w:r w:rsidRPr="00F7332E">
              <w:rPr>
                <w:rFonts w:eastAsia="Times New Roman" w:cs="Times New Roman"/>
                <w:sz w:val="15"/>
                <w:szCs w:val="15"/>
              </w:rPr>
              <w:t>ay have one</w:t>
            </w:r>
            <w:r>
              <w:rPr>
                <w:rFonts w:eastAsia="Times New Roman" w:cs="Times New Roman"/>
                <w:sz w:val="15"/>
                <w:szCs w:val="15"/>
              </w:rPr>
              <w:t> </w:t>
            </w:r>
            <w:r w:rsidRPr="00F7332E">
              <w:rPr>
                <w:rFonts w:eastAsia="Times New Roman" w:cs="Times New Roman"/>
                <w:sz w:val="15"/>
                <w:szCs w:val="15"/>
              </w:rPr>
              <w:t>or two stages</w:t>
            </w:r>
            <w:r w:rsidRPr="0060155B">
              <w:rPr>
                <w:rFonts w:eastAsia="Times New Roman" w:cs="Times New Roman"/>
                <w:sz w:val="15"/>
                <w:szCs w:val="15"/>
              </w:rPr>
              <w:t>. W</w:t>
            </w:r>
            <w:r w:rsidRPr="00F7332E">
              <w:rPr>
                <w:rFonts w:eastAsia="Times New Roman" w:cs="Times New Roman"/>
                <w:sz w:val="15"/>
                <w:szCs w:val="15"/>
              </w:rPr>
              <w:t>here there are two stages, the technical tenders and the financial tenders are opened separate</w:t>
            </w:r>
            <w:r>
              <w:rPr>
                <w:rFonts w:eastAsia="Times New Roman" w:cs="Times New Roman"/>
                <w:sz w:val="15"/>
                <w:szCs w:val="15"/>
              </w:rPr>
              <w:t>ly</w:t>
            </w:r>
            <w:r w:rsidRPr="0060155B">
              <w:rPr>
                <w:rFonts w:eastAsia="Times New Roman" w:cs="Times New Roman"/>
                <w:sz w:val="15"/>
                <w:szCs w:val="15"/>
              </w:rPr>
              <w:t>. O</w:t>
            </w:r>
            <w:r>
              <w:rPr>
                <w:rFonts w:eastAsia="Times New Roman" w:cs="Times New Roman"/>
                <w:sz w:val="15"/>
                <w:szCs w:val="15"/>
              </w:rPr>
              <w:t>pen tendering</w:t>
            </w:r>
            <w:r w:rsidRPr="00F7332E">
              <w:rPr>
                <w:rFonts w:eastAsia="Times New Roman" w:cs="Times New Roman"/>
                <w:sz w:val="15"/>
                <w:szCs w:val="15"/>
              </w:rPr>
              <w:t xml:space="preserve"> may be domestic or international</w:t>
            </w:r>
            <w:r w:rsidRPr="0060155B">
              <w:rPr>
                <w:rFonts w:eastAsia="Times New Roman" w:cs="Times New Roman"/>
                <w:sz w:val="15"/>
                <w:szCs w:val="15"/>
              </w:rPr>
              <w:t>. I</w:t>
            </w:r>
            <w:r w:rsidRPr="00F7332E">
              <w:rPr>
                <w:rFonts w:eastAsia="Times New Roman" w:cs="Times New Roman"/>
                <w:sz w:val="15"/>
                <w:szCs w:val="15"/>
              </w:rPr>
              <w:t xml:space="preserve">nternational calls for </w:t>
            </w:r>
            <w:r>
              <w:rPr>
                <w:rFonts w:eastAsia="Times New Roman" w:cs="Times New Roman"/>
                <w:sz w:val="15"/>
                <w:szCs w:val="15"/>
              </w:rPr>
              <w:t>tenders</w:t>
            </w:r>
            <w:r w:rsidRPr="00F7332E">
              <w:rPr>
                <w:rFonts w:eastAsia="Times New Roman" w:cs="Times New Roman"/>
                <w:sz w:val="15"/>
                <w:szCs w:val="15"/>
              </w:rPr>
              <w:t xml:space="preserve"> are </w:t>
            </w:r>
            <w:r>
              <w:rPr>
                <w:rFonts w:eastAsia="Times New Roman" w:cs="Times New Roman"/>
                <w:sz w:val="15"/>
                <w:szCs w:val="15"/>
              </w:rPr>
              <w:t>held</w:t>
            </w:r>
            <w:r w:rsidRPr="00F7332E">
              <w:rPr>
                <w:rFonts w:eastAsia="Times New Roman" w:cs="Times New Roman"/>
                <w:sz w:val="15"/>
                <w:szCs w:val="15"/>
              </w:rPr>
              <w:t xml:space="preserve"> as follows:</w:t>
            </w:r>
          </w:p>
          <w:p w14:paraId="5D65E7B5" w14:textId="77777777" w:rsidR="001A500E" w:rsidRPr="00F7332E" w:rsidRDefault="001A500E" w:rsidP="00641A50">
            <w:pPr>
              <w:jc w:val="left"/>
              <w:rPr>
                <w:rFonts w:eastAsia="Times New Roman" w:cs="Times New Roman"/>
                <w:sz w:val="15"/>
                <w:szCs w:val="15"/>
              </w:rPr>
            </w:pPr>
          </w:p>
          <w:p w14:paraId="2976E365" w14:textId="77777777" w:rsidR="001A500E" w:rsidRPr="00F7332E" w:rsidRDefault="001A500E" w:rsidP="00EB7374">
            <w:pPr>
              <w:numPr>
                <w:ilvl w:val="0"/>
                <w:numId w:val="15"/>
              </w:numPr>
              <w:contextualSpacing/>
              <w:jc w:val="left"/>
              <w:rPr>
                <w:rFonts w:eastAsia="Times New Roman" w:cs="Times New Roman"/>
                <w:sz w:val="15"/>
                <w:szCs w:val="15"/>
              </w:rPr>
            </w:pPr>
            <w:r w:rsidRPr="00F7332E">
              <w:rPr>
                <w:rFonts w:eastAsia="Times New Roman" w:cs="Times New Roman"/>
                <w:sz w:val="15"/>
                <w:szCs w:val="15"/>
              </w:rPr>
              <w:t>where procurement is within the framework of a treaty or agreement in force between the Dominican Republic and (an)other country(</w:t>
            </w:r>
            <w:proofErr w:type="spellStart"/>
            <w:r w:rsidRPr="00F7332E">
              <w:rPr>
                <w:rFonts w:eastAsia="Times New Roman" w:cs="Times New Roman"/>
                <w:sz w:val="15"/>
                <w:szCs w:val="15"/>
              </w:rPr>
              <w:t>ies</w:t>
            </w:r>
            <w:proofErr w:type="spellEnd"/>
            <w:r w:rsidRPr="00F7332E">
              <w:rPr>
                <w:rFonts w:eastAsia="Times New Roman" w:cs="Times New Roman"/>
                <w:sz w:val="15"/>
                <w:szCs w:val="15"/>
              </w:rPr>
              <w:t>) or a multilateral or bilateral lending agency;</w:t>
            </w:r>
          </w:p>
          <w:p w14:paraId="50FE6EF6" w14:textId="77777777" w:rsidR="001A500E" w:rsidRPr="00F7332E" w:rsidRDefault="001A500E" w:rsidP="00EB7374">
            <w:pPr>
              <w:numPr>
                <w:ilvl w:val="0"/>
                <w:numId w:val="15"/>
              </w:numPr>
              <w:contextualSpacing/>
              <w:jc w:val="left"/>
              <w:rPr>
                <w:rFonts w:eastAsia="Times New Roman" w:cs="Times New Roman"/>
                <w:sz w:val="15"/>
                <w:szCs w:val="15"/>
              </w:rPr>
            </w:pPr>
            <w:r w:rsidRPr="00F7332E">
              <w:rPr>
                <w:rFonts w:eastAsia="Times New Roman" w:cs="Times New Roman"/>
                <w:sz w:val="15"/>
                <w:szCs w:val="15"/>
              </w:rPr>
              <w:t>where there is insufficient capacity in the country to supply the goods or services or carry out the works;</w:t>
            </w:r>
          </w:p>
          <w:p w14:paraId="4BF3A1F7" w14:textId="77777777" w:rsidR="001A500E" w:rsidRPr="00F7332E" w:rsidRDefault="001A500E" w:rsidP="00EB7374">
            <w:pPr>
              <w:numPr>
                <w:ilvl w:val="0"/>
                <w:numId w:val="15"/>
              </w:numPr>
              <w:contextualSpacing/>
              <w:jc w:val="left"/>
              <w:rPr>
                <w:rFonts w:eastAsia="Times New Roman" w:cs="Times New Roman"/>
                <w:sz w:val="15"/>
                <w:szCs w:val="15"/>
              </w:rPr>
            </w:pPr>
            <w:r w:rsidRPr="00F7332E">
              <w:rPr>
                <w:rFonts w:eastAsia="Times New Roman" w:cs="Times New Roman"/>
                <w:sz w:val="15"/>
                <w:szCs w:val="15"/>
              </w:rPr>
              <w:t xml:space="preserve">where </w:t>
            </w:r>
            <w:r>
              <w:rPr>
                <w:rFonts w:eastAsia="Times New Roman" w:cs="Times New Roman"/>
                <w:sz w:val="15"/>
                <w:szCs w:val="15"/>
              </w:rPr>
              <w:t xml:space="preserve">a </w:t>
            </w:r>
            <w:r w:rsidRPr="00F7332E">
              <w:rPr>
                <w:rFonts w:eastAsia="Times New Roman" w:cs="Times New Roman"/>
                <w:sz w:val="15"/>
                <w:szCs w:val="15"/>
              </w:rPr>
              <w:t xml:space="preserve">domestic </w:t>
            </w:r>
            <w:r>
              <w:rPr>
                <w:rFonts w:eastAsia="Times New Roman" w:cs="Times New Roman"/>
                <w:sz w:val="15"/>
                <w:szCs w:val="15"/>
              </w:rPr>
              <w:t>open procedure</w:t>
            </w:r>
            <w:r w:rsidRPr="00F7332E">
              <w:rPr>
                <w:rFonts w:eastAsia="Times New Roman" w:cs="Times New Roman"/>
                <w:sz w:val="15"/>
                <w:szCs w:val="15"/>
              </w:rPr>
              <w:t xml:space="preserve"> is unsuccessful.</w:t>
            </w:r>
          </w:p>
          <w:p w14:paraId="5C996F53" w14:textId="77777777" w:rsidR="001A500E" w:rsidRPr="00F7332E" w:rsidRDefault="001A500E" w:rsidP="00F81BC4">
            <w:pPr>
              <w:jc w:val="left"/>
              <w:rPr>
                <w:rFonts w:eastAsia="Times New Roman" w:cs="Times New Roman"/>
                <w:sz w:val="15"/>
                <w:szCs w:val="15"/>
              </w:rPr>
            </w:pPr>
          </w:p>
          <w:p w14:paraId="0550A0E4" w14:textId="77777777" w:rsidR="001A500E" w:rsidRPr="00F7332E" w:rsidRDefault="001A500E" w:rsidP="00641A50">
            <w:pPr>
              <w:jc w:val="left"/>
              <w:rPr>
                <w:rFonts w:eastAsia="Times New Roman" w:cs="Times New Roman"/>
                <w:sz w:val="15"/>
                <w:szCs w:val="15"/>
              </w:rPr>
            </w:pPr>
            <w:r w:rsidRPr="00F7332E">
              <w:rPr>
                <w:rFonts w:eastAsia="Times New Roman" w:cs="Times New Roman"/>
                <w:sz w:val="15"/>
                <w:szCs w:val="15"/>
              </w:rPr>
              <w:t>A</w:t>
            </w:r>
            <w:r>
              <w:rPr>
                <w:rFonts w:eastAsia="Times New Roman" w:cs="Times New Roman"/>
                <w:sz w:val="15"/>
                <w:szCs w:val="15"/>
              </w:rPr>
              <w:t>n</w:t>
            </w:r>
            <w:r w:rsidRPr="00F7332E">
              <w:rPr>
                <w:rFonts w:eastAsia="Times New Roman" w:cs="Times New Roman"/>
                <w:sz w:val="15"/>
                <w:szCs w:val="15"/>
              </w:rPr>
              <w:t xml:space="preserve"> </w:t>
            </w:r>
            <w:r>
              <w:rPr>
                <w:rFonts w:eastAsia="Times New Roman" w:cs="Times New Roman"/>
                <w:sz w:val="15"/>
                <w:szCs w:val="15"/>
              </w:rPr>
              <w:t>open</w:t>
            </w:r>
            <w:r w:rsidRPr="00F7332E">
              <w:rPr>
                <w:rFonts w:eastAsia="Times New Roman" w:cs="Times New Roman"/>
                <w:sz w:val="15"/>
                <w:szCs w:val="15"/>
              </w:rPr>
              <w:t xml:space="preserve"> call for tenders is published in at least two daily national newspapers at least 30</w:t>
            </w:r>
            <w:r>
              <w:rPr>
                <w:rFonts w:eastAsia="Times New Roman" w:cs="Times New Roman"/>
                <w:sz w:val="15"/>
                <w:szCs w:val="15"/>
              </w:rPr>
              <w:t> </w:t>
            </w:r>
            <w:r w:rsidRPr="00F7332E">
              <w:rPr>
                <w:rFonts w:eastAsia="Times New Roman" w:cs="Times New Roman"/>
                <w:sz w:val="15"/>
                <w:szCs w:val="15"/>
              </w:rPr>
              <w:t>working days before the date set for bid</w:t>
            </w:r>
            <w:r>
              <w:rPr>
                <w:rFonts w:eastAsia="Times New Roman" w:cs="Times New Roman"/>
                <w:sz w:val="15"/>
                <w:szCs w:val="15"/>
              </w:rPr>
              <w:noBreakHyphen/>
            </w:r>
            <w:r w:rsidRPr="00F7332E">
              <w:rPr>
                <w:rFonts w:eastAsia="Times New Roman" w:cs="Times New Roman"/>
                <w:sz w:val="15"/>
                <w:szCs w:val="15"/>
              </w:rPr>
              <w:t>opening</w:t>
            </w:r>
            <w:r w:rsidRPr="0060155B">
              <w:rPr>
                <w:rFonts w:eastAsia="Times New Roman" w:cs="Times New Roman"/>
                <w:sz w:val="15"/>
                <w:szCs w:val="15"/>
              </w:rPr>
              <w:t>. N</w:t>
            </w:r>
            <w:r w:rsidRPr="00F7332E">
              <w:rPr>
                <w:rFonts w:eastAsia="Times New Roman" w:cs="Times New Roman"/>
                <w:sz w:val="15"/>
                <w:szCs w:val="15"/>
              </w:rPr>
              <w:t>otice of international calls for tenders must also be given in foreign publications, 40 days in advance.</w:t>
            </w:r>
          </w:p>
        </w:tc>
      </w:tr>
      <w:tr w:rsidR="001A500E" w:rsidRPr="00F7332E" w14:paraId="2DBA76C0" w14:textId="77777777" w:rsidTr="00C51D8E">
        <w:trPr>
          <w:cantSplit/>
        </w:trPr>
        <w:tc>
          <w:tcPr>
            <w:tcW w:w="862" w:type="pct"/>
            <w:shd w:val="clear" w:color="auto" w:fill="C9DED4"/>
          </w:tcPr>
          <w:p w14:paraId="03D6D89F" w14:textId="77777777" w:rsidR="001A500E" w:rsidRPr="00F7332E" w:rsidRDefault="001A500E" w:rsidP="00D146B4">
            <w:pPr>
              <w:rPr>
                <w:rFonts w:eastAsia="Times New Roman" w:cs="Times New Roman"/>
                <w:sz w:val="15"/>
                <w:szCs w:val="15"/>
              </w:rPr>
            </w:pPr>
            <w:r w:rsidRPr="00F7332E">
              <w:rPr>
                <w:rFonts w:eastAsia="Times New Roman" w:cs="Times New Roman"/>
                <w:sz w:val="15"/>
                <w:szCs w:val="15"/>
              </w:rPr>
              <w:t xml:space="preserve">Restricted </w:t>
            </w:r>
            <w:r>
              <w:rPr>
                <w:rFonts w:eastAsia="Times New Roman" w:cs="Times New Roman"/>
                <w:sz w:val="15"/>
                <w:szCs w:val="15"/>
              </w:rPr>
              <w:t>tendering</w:t>
            </w:r>
          </w:p>
        </w:tc>
        <w:tc>
          <w:tcPr>
            <w:tcW w:w="4138" w:type="pct"/>
            <w:shd w:val="clear" w:color="auto" w:fill="C9DED4"/>
          </w:tcPr>
          <w:p w14:paraId="6441071B" w14:textId="77777777" w:rsidR="001A500E" w:rsidRPr="00F7332E" w:rsidRDefault="001A500E" w:rsidP="00641A50">
            <w:pPr>
              <w:jc w:val="left"/>
              <w:rPr>
                <w:rFonts w:eastAsia="Times New Roman" w:cs="Times New Roman"/>
                <w:sz w:val="15"/>
                <w:szCs w:val="15"/>
              </w:rPr>
            </w:pPr>
            <w:r w:rsidRPr="00F7332E">
              <w:rPr>
                <w:rFonts w:eastAsia="Times New Roman" w:cs="Times New Roman"/>
                <w:sz w:val="15"/>
                <w:szCs w:val="15"/>
              </w:rPr>
              <w:t>An invitation to participate addressed to a limited number of suppliers because of the specific nature of the goods, services or works in question</w:t>
            </w:r>
            <w:r w:rsidRPr="0060155B">
              <w:rPr>
                <w:rFonts w:eastAsia="Times New Roman" w:cs="Times New Roman"/>
                <w:sz w:val="15"/>
                <w:szCs w:val="15"/>
              </w:rPr>
              <w:t>. T</w:t>
            </w:r>
            <w:r w:rsidRPr="00F7332E">
              <w:rPr>
                <w:rFonts w:eastAsia="Times New Roman" w:cs="Times New Roman"/>
                <w:sz w:val="15"/>
                <w:szCs w:val="15"/>
              </w:rPr>
              <w:t>he call is forwarded directly to the suppliers and is also published on the procuring entity's website and the Transaction Portal or</w:t>
            </w:r>
            <w:r>
              <w:rPr>
                <w:rFonts w:eastAsia="Times New Roman" w:cs="Times New Roman"/>
                <w:sz w:val="15"/>
                <w:szCs w:val="15"/>
              </w:rPr>
              <w:t>,</w:t>
            </w:r>
            <w:r w:rsidRPr="00F7332E">
              <w:rPr>
                <w:rFonts w:eastAsia="Times New Roman" w:cs="Times New Roman"/>
                <w:sz w:val="15"/>
                <w:szCs w:val="15"/>
              </w:rPr>
              <w:t xml:space="preserve"> </w:t>
            </w:r>
            <w:r>
              <w:rPr>
                <w:rFonts w:eastAsia="Times New Roman" w:cs="Times New Roman"/>
                <w:sz w:val="15"/>
                <w:szCs w:val="15"/>
              </w:rPr>
              <w:t>failing that,</w:t>
            </w:r>
            <w:r w:rsidRPr="00F7332E">
              <w:rPr>
                <w:rFonts w:eastAsia="Times New Roman" w:cs="Times New Roman"/>
                <w:sz w:val="15"/>
                <w:szCs w:val="15"/>
              </w:rPr>
              <w:t xml:space="preserve"> in the two newspapers </w:t>
            </w:r>
            <w:r>
              <w:rPr>
                <w:rFonts w:eastAsia="Times New Roman" w:cs="Times New Roman"/>
                <w:sz w:val="15"/>
                <w:szCs w:val="15"/>
              </w:rPr>
              <w:t>with</w:t>
            </w:r>
            <w:r w:rsidRPr="00F7332E">
              <w:rPr>
                <w:rFonts w:eastAsia="Times New Roman" w:cs="Times New Roman"/>
                <w:sz w:val="15"/>
                <w:szCs w:val="15"/>
              </w:rPr>
              <w:t xml:space="preserve"> the highest circulation in the country, in both cases with 20 working days' notice. </w:t>
            </w:r>
          </w:p>
        </w:tc>
      </w:tr>
      <w:tr w:rsidR="001A500E" w:rsidRPr="00F7332E" w14:paraId="0AB1E373" w14:textId="77777777" w:rsidTr="00C51D8E">
        <w:trPr>
          <w:cantSplit/>
        </w:trPr>
        <w:tc>
          <w:tcPr>
            <w:tcW w:w="862" w:type="pct"/>
          </w:tcPr>
          <w:p w14:paraId="656A7977" w14:textId="77777777" w:rsidR="001A500E" w:rsidRPr="00F7332E" w:rsidRDefault="001A500E" w:rsidP="00D146B4">
            <w:pPr>
              <w:rPr>
                <w:rFonts w:eastAsia="Times New Roman" w:cs="Times New Roman"/>
                <w:sz w:val="15"/>
                <w:szCs w:val="15"/>
              </w:rPr>
            </w:pPr>
            <w:r w:rsidRPr="00F7332E">
              <w:rPr>
                <w:rFonts w:eastAsia="Times New Roman" w:cs="Times New Roman"/>
                <w:sz w:val="15"/>
                <w:szCs w:val="15"/>
              </w:rPr>
              <w:t xml:space="preserve">Lotteries for </w:t>
            </w:r>
            <w:r>
              <w:rPr>
                <w:rFonts w:eastAsia="Times New Roman" w:cs="Times New Roman"/>
                <w:sz w:val="15"/>
                <w:szCs w:val="15"/>
              </w:rPr>
              <w:t>construction contracts</w:t>
            </w:r>
          </w:p>
        </w:tc>
        <w:tc>
          <w:tcPr>
            <w:tcW w:w="4138" w:type="pct"/>
          </w:tcPr>
          <w:p w14:paraId="40C2C2A4" w14:textId="77777777" w:rsidR="001A500E" w:rsidRPr="00F7332E" w:rsidRDefault="001A500E" w:rsidP="00641A50">
            <w:pPr>
              <w:jc w:val="left"/>
              <w:rPr>
                <w:rFonts w:eastAsia="Times New Roman" w:cs="Times New Roman"/>
                <w:sz w:val="15"/>
                <w:szCs w:val="15"/>
              </w:rPr>
            </w:pPr>
            <w:r w:rsidRPr="00F7332E">
              <w:rPr>
                <w:rFonts w:eastAsia="Times New Roman" w:cs="Times New Roman"/>
                <w:sz w:val="15"/>
                <w:szCs w:val="15"/>
              </w:rPr>
              <w:t xml:space="preserve">A contract is awarded at random for </w:t>
            </w:r>
            <w:r>
              <w:rPr>
                <w:rFonts w:eastAsia="Times New Roman" w:cs="Times New Roman"/>
                <w:sz w:val="15"/>
                <w:szCs w:val="15"/>
              </w:rPr>
              <w:t>construction contracts</w:t>
            </w:r>
            <w:r w:rsidRPr="00F7332E">
              <w:rPr>
                <w:rFonts w:eastAsia="Times New Roman" w:cs="Times New Roman"/>
                <w:sz w:val="15"/>
                <w:szCs w:val="15"/>
              </w:rPr>
              <w:t xml:space="preserve">, subject to a design and price determined in advance by the institution making the call for tenders, to one of the participants that meet the necessary requirements for carrying out the </w:t>
            </w:r>
            <w:r>
              <w:rPr>
                <w:rFonts w:eastAsia="Times New Roman" w:cs="Times New Roman"/>
                <w:sz w:val="15"/>
                <w:szCs w:val="15"/>
              </w:rPr>
              <w:t>contract</w:t>
            </w:r>
            <w:r w:rsidRPr="0060155B">
              <w:rPr>
                <w:rFonts w:eastAsia="Times New Roman" w:cs="Times New Roman"/>
                <w:sz w:val="15"/>
                <w:szCs w:val="15"/>
              </w:rPr>
              <w:t>. T</w:t>
            </w:r>
            <w:r w:rsidRPr="00F7332E">
              <w:rPr>
                <w:rFonts w:eastAsia="Times New Roman" w:cs="Times New Roman"/>
                <w:sz w:val="15"/>
                <w:szCs w:val="15"/>
              </w:rPr>
              <w:t>he call is sent directly to the tenderers and is also published on the Transaction Portal and website of the procuring entity</w:t>
            </w:r>
            <w:r w:rsidRPr="0060155B">
              <w:rPr>
                <w:rFonts w:eastAsia="Times New Roman" w:cs="Times New Roman"/>
                <w:sz w:val="15"/>
                <w:szCs w:val="15"/>
              </w:rPr>
              <w:t>. A</w:t>
            </w:r>
            <w:r w:rsidRPr="00F7332E">
              <w:rPr>
                <w:rFonts w:eastAsia="Times New Roman" w:cs="Times New Roman"/>
                <w:sz w:val="15"/>
                <w:szCs w:val="15"/>
              </w:rPr>
              <w:t xml:space="preserve">t least </w:t>
            </w:r>
            <w:r>
              <w:rPr>
                <w:rFonts w:eastAsia="Times New Roman" w:cs="Times New Roman"/>
                <w:sz w:val="15"/>
                <w:szCs w:val="15"/>
              </w:rPr>
              <w:t>10</w:t>
            </w:r>
            <w:r w:rsidRPr="00F7332E">
              <w:rPr>
                <w:rFonts w:eastAsia="Times New Roman" w:cs="Times New Roman"/>
                <w:sz w:val="15"/>
                <w:szCs w:val="15"/>
              </w:rPr>
              <w:t xml:space="preserve"> working days must elapse between the call for tenders and the drawing of lots.</w:t>
            </w:r>
          </w:p>
        </w:tc>
      </w:tr>
      <w:tr w:rsidR="001A500E" w:rsidRPr="00F7332E" w14:paraId="1AD6BDF2" w14:textId="77777777" w:rsidTr="00C51D8E">
        <w:trPr>
          <w:cantSplit/>
        </w:trPr>
        <w:tc>
          <w:tcPr>
            <w:tcW w:w="862" w:type="pct"/>
            <w:shd w:val="clear" w:color="auto" w:fill="C9DED4"/>
          </w:tcPr>
          <w:p w14:paraId="656F6C65" w14:textId="77777777" w:rsidR="001A500E" w:rsidRPr="00F7332E" w:rsidRDefault="001A500E" w:rsidP="00D146B4">
            <w:pPr>
              <w:rPr>
                <w:rFonts w:eastAsia="Times New Roman" w:cs="Times New Roman"/>
                <w:sz w:val="15"/>
                <w:szCs w:val="15"/>
              </w:rPr>
            </w:pPr>
            <w:r w:rsidRPr="00F7332E">
              <w:rPr>
                <w:rFonts w:eastAsia="Times New Roman" w:cs="Times New Roman"/>
                <w:sz w:val="15"/>
                <w:szCs w:val="15"/>
              </w:rPr>
              <w:t>Price comparison</w:t>
            </w:r>
          </w:p>
        </w:tc>
        <w:tc>
          <w:tcPr>
            <w:tcW w:w="4138" w:type="pct"/>
            <w:shd w:val="clear" w:color="auto" w:fill="C9DED4"/>
          </w:tcPr>
          <w:p w14:paraId="7E9E52AD" w14:textId="77777777" w:rsidR="001A500E" w:rsidRPr="00F7332E" w:rsidRDefault="001A500E" w:rsidP="00641A50">
            <w:pPr>
              <w:jc w:val="left"/>
              <w:rPr>
                <w:rFonts w:eastAsia="Times New Roman" w:cs="Times New Roman"/>
                <w:sz w:val="15"/>
                <w:szCs w:val="15"/>
              </w:rPr>
            </w:pPr>
            <w:r w:rsidRPr="00F7332E">
              <w:rPr>
                <w:rFonts w:eastAsia="Times New Roman" w:cs="Times New Roman"/>
                <w:sz w:val="15"/>
                <w:szCs w:val="15"/>
              </w:rPr>
              <w:t>A</w:t>
            </w:r>
            <w:r>
              <w:rPr>
                <w:rFonts w:eastAsia="Times New Roman" w:cs="Times New Roman"/>
                <w:sz w:val="15"/>
                <w:szCs w:val="15"/>
              </w:rPr>
              <w:t xml:space="preserve"> broad</w:t>
            </w:r>
            <w:r w:rsidRPr="0060155B">
              <w:rPr>
                <w:rFonts w:eastAsia="Times New Roman" w:cs="Times New Roman"/>
                <w:sz w:val="15"/>
                <w:szCs w:val="15"/>
              </w:rPr>
              <w:noBreakHyphen/>
            </w:r>
            <w:r>
              <w:rPr>
                <w:rFonts w:eastAsia="Times New Roman" w:cs="Times New Roman"/>
                <w:sz w:val="15"/>
                <w:szCs w:val="15"/>
              </w:rPr>
              <w:t>based</w:t>
            </w:r>
            <w:r w:rsidRPr="00F7332E">
              <w:rPr>
                <w:rFonts w:eastAsia="Times New Roman" w:cs="Times New Roman"/>
                <w:sz w:val="15"/>
                <w:szCs w:val="15"/>
              </w:rPr>
              <w:t xml:space="preserve"> call for tenders issued to all suppliers </w:t>
            </w:r>
            <w:r>
              <w:rPr>
                <w:rFonts w:eastAsia="Times New Roman" w:cs="Times New Roman"/>
                <w:sz w:val="15"/>
                <w:szCs w:val="15"/>
              </w:rPr>
              <w:t>in</w:t>
            </w:r>
            <w:r w:rsidRPr="00F7332E">
              <w:rPr>
                <w:rFonts w:eastAsia="Times New Roman" w:cs="Times New Roman"/>
                <w:sz w:val="15"/>
                <w:szCs w:val="15"/>
              </w:rPr>
              <w:t xml:space="preserve"> the Register of State Suppliers who may meet the requirements</w:t>
            </w:r>
            <w:r w:rsidRPr="0060155B">
              <w:rPr>
                <w:rFonts w:eastAsia="Times New Roman" w:cs="Times New Roman"/>
                <w:sz w:val="15"/>
                <w:szCs w:val="15"/>
              </w:rPr>
              <w:t>. T</w:t>
            </w:r>
            <w:r w:rsidRPr="00F7332E">
              <w:rPr>
                <w:rFonts w:eastAsia="Times New Roman" w:cs="Times New Roman"/>
                <w:sz w:val="15"/>
                <w:szCs w:val="15"/>
              </w:rPr>
              <w:t xml:space="preserve">his procedure applies to the procurement of common goods with standard specifications, and minor service and </w:t>
            </w:r>
            <w:r>
              <w:rPr>
                <w:rFonts w:eastAsia="Times New Roman" w:cs="Times New Roman"/>
                <w:sz w:val="15"/>
                <w:szCs w:val="15"/>
              </w:rPr>
              <w:t>construction contracts</w:t>
            </w:r>
            <w:r w:rsidRPr="0060155B">
              <w:rPr>
                <w:rFonts w:eastAsia="Times New Roman" w:cs="Times New Roman"/>
                <w:sz w:val="15"/>
                <w:szCs w:val="15"/>
              </w:rPr>
              <w:t>. A</w:t>
            </w:r>
            <w:r w:rsidRPr="00F7332E">
              <w:rPr>
                <w:rFonts w:eastAsia="Times New Roman" w:cs="Times New Roman"/>
                <w:sz w:val="15"/>
                <w:szCs w:val="15"/>
              </w:rPr>
              <w:t>t least five working days must elapse between the call for tenders and the bid</w:t>
            </w:r>
            <w:r>
              <w:rPr>
                <w:rFonts w:eastAsia="Times New Roman" w:cs="Times New Roman"/>
                <w:sz w:val="15"/>
                <w:szCs w:val="15"/>
              </w:rPr>
              <w:noBreakHyphen/>
            </w:r>
            <w:r w:rsidRPr="00F7332E">
              <w:rPr>
                <w:rFonts w:eastAsia="Times New Roman" w:cs="Times New Roman"/>
                <w:sz w:val="15"/>
                <w:szCs w:val="15"/>
              </w:rPr>
              <w:t>opening date.</w:t>
            </w:r>
          </w:p>
        </w:tc>
      </w:tr>
      <w:tr w:rsidR="001A500E" w:rsidRPr="00F7332E" w14:paraId="727FB175" w14:textId="77777777" w:rsidTr="00C51D8E">
        <w:trPr>
          <w:cantSplit/>
        </w:trPr>
        <w:tc>
          <w:tcPr>
            <w:tcW w:w="862" w:type="pct"/>
          </w:tcPr>
          <w:p w14:paraId="3B41B392" w14:textId="77777777" w:rsidR="001A500E" w:rsidRPr="00F7332E" w:rsidRDefault="001A500E" w:rsidP="00D146B4">
            <w:pPr>
              <w:rPr>
                <w:rFonts w:eastAsia="Times New Roman" w:cs="Times New Roman"/>
                <w:sz w:val="15"/>
                <w:szCs w:val="15"/>
              </w:rPr>
            </w:pPr>
            <w:r w:rsidRPr="00F7332E">
              <w:rPr>
                <w:rFonts w:eastAsia="Times New Roman" w:cs="Times New Roman"/>
                <w:sz w:val="15"/>
                <w:szCs w:val="15"/>
              </w:rPr>
              <w:t>Small</w:t>
            </w:r>
            <w:r>
              <w:rPr>
                <w:rFonts w:eastAsia="Times New Roman" w:cs="Times New Roman"/>
                <w:sz w:val="15"/>
                <w:szCs w:val="15"/>
              </w:rPr>
              <w:noBreakHyphen/>
            </w:r>
            <w:r w:rsidRPr="00F7332E">
              <w:rPr>
                <w:rFonts w:eastAsia="Times New Roman" w:cs="Times New Roman"/>
                <w:sz w:val="15"/>
                <w:szCs w:val="15"/>
              </w:rPr>
              <w:t>scale purchasing</w:t>
            </w:r>
          </w:p>
        </w:tc>
        <w:tc>
          <w:tcPr>
            <w:tcW w:w="4138" w:type="pct"/>
          </w:tcPr>
          <w:p w14:paraId="6292CCE4" w14:textId="77777777" w:rsidR="001A500E" w:rsidRPr="00F7332E" w:rsidRDefault="001A500E" w:rsidP="00641A50">
            <w:pPr>
              <w:jc w:val="left"/>
              <w:rPr>
                <w:rFonts w:eastAsia="Times New Roman" w:cs="Times New Roman"/>
                <w:sz w:val="15"/>
                <w:szCs w:val="15"/>
              </w:rPr>
            </w:pPr>
            <w:r w:rsidRPr="00F7332E">
              <w:rPr>
                <w:rFonts w:eastAsia="Times New Roman" w:cs="Times New Roman"/>
                <w:sz w:val="15"/>
                <w:szCs w:val="15"/>
              </w:rPr>
              <w:t>Streamlined procedure for the procurement of goods and services for maximum procedural efficiency</w:t>
            </w:r>
            <w:r w:rsidRPr="0060155B">
              <w:rPr>
                <w:rFonts w:eastAsia="Times New Roman" w:cs="Times New Roman"/>
                <w:sz w:val="15"/>
                <w:szCs w:val="15"/>
              </w:rPr>
              <w:t>. I</w:t>
            </w:r>
            <w:r w:rsidRPr="00F7332E">
              <w:rPr>
                <w:rFonts w:eastAsia="Times New Roman" w:cs="Times New Roman"/>
                <w:sz w:val="15"/>
                <w:szCs w:val="15"/>
              </w:rPr>
              <w:t>n this procedure, the procuring entity must invite tenders from all possible bidders, provided always that there are no fewer than three</w:t>
            </w:r>
            <w:r w:rsidRPr="0060155B">
              <w:rPr>
                <w:rFonts w:eastAsia="Times New Roman" w:cs="Times New Roman"/>
                <w:sz w:val="15"/>
                <w:szCs w:val="15"/>
              </w:rPr>
              <w:t>. T</w:t>
            </w:r>
            <w:r w:rsidRPr="00F7332E">
              <w:rPr>
                <w:rFonts w:eastAsia="Times New Roman" w:cs="Times New Roman"/>
                <w:sz w:val="15"/>
                <w:szCs w:val="15"/>
              </w:rPr>
              <w:t>he call is issued directly to suppliers and is also published on the Transaction Portal and the procuring entity's website</w:t>
            </w:r>
            <w:r w:rsidRPr="0060155B">
              <w:rPr>
                <w:rFonts w:eastAsia="Times New Roman" w:cs="Times New Roman"/>
                <w:sz w:val="15"/>
                <w:szCs w:val="15"/>
              </w:rPr>
              <w:t>. I</w:t>
            </w:r>
            <w:r w:rsidRPr="00F7332E">
              <w:rPr>
                <w:rFonts w:eastAsia="Times New Roman" w:cs="Times New Roman"/>
                <w:sz w:val="15"/>
                <w:szCs w:val="15"/>
              </w:rPr>
              <w:t>n this procedure there is no minimum period that must elapse between the call for tenders and the bid</w:t>
            </w:r>
            <w:r>
              <w:rPr>
                <w:rFonts w:eastAsia="Times New Roman" w:cs="Times New Roman"/>
                <w:sz w:val="15"/>
                <w:szCs w:val="15"/>
              </w:rPr>
              <w:noBreakHyphen/>
            </w:r>
            <w:r w:rsidRPr="00F7332E">
              <w:rPr>
                <w:rFonts w:eastAsia="Times New Roman" w:cs="Times New Roman"/>
                <w:sz w:val="15"/>
                <w:szCs w:val="15"/>
              </w:rPr>
              <w:t>opening date.</w:t>
            </w:r>
          </w:p>
          <w:p w14:paraId="34CB3366" w14:textId="77777777" w:rsidR="001A500E" w:rsidRPr="00F7332E" w:rsidRDefault="001A500E" w:rsidP="00641A50">
            <w:pPr>
              <w:jc w:val="left"/>
              <w:rPr>
                <w:rFonts w:eastAsia="Times New Roman" w:cs="Times New Roman"/>
                <w:sz w:val="15"/>
                <w:szCs w:val="15"/>
              </w:rPr>
            </w:pPr>
            <w:r w:rsidRPr="00F7332E">
              <w:rPr>
                <w:rFonts w:eastAsia="Times New Roman" w:cs="Times New Roman"/>
                <w:sz w:val="15"/>
                <w:szCs w:val="15"/>
              </w:rPr>
              <w:t>In practice there is also a procedure for purchases that are below the threshold value and one for those that are above it</w:t>
            </w:r>
            <w:r w:rsidRPr="0060155B">
              <w:rPr>
                <w:rFonts w:eastAsia="Times New Roman" w:cs="Times New Roman"/>
                <w:sz w:val="15"/>
                <w:szCs w:val="15"/>
              </w:rPr>
              <w:t>. I</w:t>
            </w:r>
            <w:r w:rsidRPr="00F7332E">
              <w:rPr>
                <w:rFonts w:eastAsia="Times New Roman" w:cs="Times New Roman"/>
                <w:sz w:val="15"/>
                <w:szCs w:val="15"/>
              </w:rPr>
              <w:t>n 2021</w:t>
            </w:r>
            <w:r>
              <w:rPr>
                <w:rFonts w:eastAsia="Times New Roman" w:cs="Times New Roman"/>
                <w:sz w:val="15"/>
                <w:szCs w:val="15"/>
              </w:rPr>
              <w:t>,</w:t>
            </w:r>
            <w:r w:rsidRPr="00F7332E">
              <w:rPr>
                <w:rFonts w:eastAsia="Times New Roman" w:cs="Times New Roman"/>
                <w:sz w:val="15"/>
                <w:szCs w:val="15"/>
              </w:rPr>
              <w:t xml:space="preserve"> purchases below the threshold value were the most popular arrangement among procurement units, accounting for 50% of all contracts awarded and a total value of DOP 1,763,700,000.00. </w:t>
            </w:r>
          </w:p>
        </w:tc>
      </w:tr>
      <w:tr w:rsidR="001A500E" w:rsidRPr="00F7332E" w14:paraId="6043F96C" w14:textId="77777777" w:rsidTr="00C51D8E">
        <w:trPr>
          <w:cantSplit/>
        </w:trPr>
        <w:tc>
          <w:tcPr>
            <w:tcW w:w="862" w:type="pct"/>
            <w:shd w:val="clear" w:color="auto" w:fill="C9DED4"/>
          </w:tcPr>
          <w:p w14:paraId="27C7DACE" w14:textId="77777777" w:rsidR="001A500E" w:rsidRPr="00F7332E" w:rsidRDefault="001A500E" w:rsidP="00D146B4">
            <w:pPr>
              <w:rPr>
                <w:rFonts w:eastAsia="Times New Roman" w:cs="Times New Roman"/>
                <w:sz w:val="15"/>
                <w:szCs w:val="15"/>
              </w:rPr>
            </w:pPr>
            <w:r w:rsidRPr="00F7332E">
              <w:rPr>
                <w:rFonts w:eastAsia="Times New Roman" w:cs="Times New Roman"/>
                <w:sz w:val="15"/>
                <w:szCs w:val="15"/>
              </w:rPr>
              <w:lastRenderedPageBreak/>
              <w:t>Reverse auction</w:t>
            </w:r>
          </w:p>
        </w:tc>
        <w:tc>
          <w:tcPr>
            <w:tcW w:w="4138" w:type="pct"/>
            <w:shd w:val="clear" w:color="auto" w:fill="C9DED4"/>
          </w:tcPr>
          <w:p w14:paraId="3921C9B5" w14:textId="77777777" w:rsidR="001A500E" w:rsidRPr="00F7332E" w:rsidRDefault="001A500E" w:rsidP="00641A50">
            <w:pPr>
              <w:jc w:val="left"/>
              <w:rPr>
                <w:rFonts w:eastAsia="Times New Roman" w:cs="Times New Roman"/>
                <w:sz w:val="15"/>
                <w:szCs w:val="15"/>
              </w:rPr>
            </w:pPr>
            <w:r>
              <w:rPr>
                <w:rFonts w:eastAsia="Times New Roman" w:cs="Times New Roman"/>
                <w:sz w:val="15"/>
                <w:szCs w:val="15"/>
              </w:rPr>
              <w:t>P</w:t>
            </w:r>
            <w:r w:rsidRPr="00F7332E">
              <w:rPr>
                <w:rFonts w:eastAsia="Times New Roman" w:cs="Times New Roman"/>
                <w:sz w:val="15"/>
                <w:szCs w:val="15"/>
              </w:rPr>
              <w:t>rocedure for purchasing common goods with standard specifications that is carried out electronically</w:t>
            </w:r>
            <w:r w:rsidRPr="0060155B">
              <w:rPr>
                <w:rFonts w:eastAsia="Times New Roman" w:cs="Times New Roman"/>
                <w:sz w:val="15"/>
                <w:szCs w:val="15"/>
              </w:rPr>
              <w:t>. I</w:t>
            </w:r>
            <w:r w:rsidRPr="00F7332E">
              <w:rPr>
                <w:rFonts w:eastAsia="Times New Roman" w:cs="Times New Roman"/>
                <w:sz w:val="15"/>
                <w:szCs w:val="15"/>
              </w:rPr>
              <w:t>t is a downward bidding contest in which the winner is the supplier who makes the lowest bid</w:t>
            </w:r>
            <w:r w:rsidRPr="0060155B">
              <w:rPr>
                <w:rFonts w:eastAsia="Times New Roman" w:cs="Times New Roman"/>
                <w:sz w:val="15"/>
                <w:szCs w:val="15"/>
              </w:rPr>
              <w:t>. T</w:t>
            </w:r>
            <w:r w:rsidRPr="00F7332E">
              <w:rPr>
                <w:rFonts w:eastAsia="Times New Roman" w:cs="Times New Roman"/>
                <w:sz w:val="15"/>
                <w:szCs w:val="15"/>
              </w:rPr>
              <w:t>he call for tenders is published on the Transaction Portal and the procuring entity's website</w:t>
            </w:r>
            <w:r w:rsidRPr="0060155B">
              <w:rPr>
                <w:rFonts w:eastAsia="Times New Roman" w:cs="Times New Roman"/>
                <w:sz w:val="15"/>
                <w:szCs w:val="15"/>
              </w:rPr>
              <w:t>. A</w:t>
            </w:r>
            <w:r w:rsidRPr="00F7332E">
              <w:rPr>
                <w:rFonts w:eastAsia="Times New Roman" w:cs="Times New Roman"/>
                <w:sz w:val="15"/>
                <w:szCs w:val="15"/>
              </w:rPr>
              <w:t>t least five working days must elapse between publication of the call for tenders and the opening of the bids.</w:t>
            </w:r>
          </w:p>
        </w:tc>
      </w:tr>
      <w:tr w:rsidR="001A500E" w:rsidRPr="00F7332E" w14:paraId="43423C6E" w14:textId="77777777" w:rsidTr="00C51D8E">
        <w:trPr>
          <w:cantSplit/>
        </w:trPr>
        <w:tc>
          <w:tcPr>
            <w:tcW w:w="862" w:type="pct"/>
            <w:tcBorders>
              <w:bottom w:val="single" w:sz="4" w:space="0" w:color="auto"/>
            </w:tcBorders>
          </w:tcPr>
          <w:p w14:paraId="2AC487D1" w14:textId="77777777" w:rsidR="001A500E" w:rsidRPr="00F7332E" w:rsidRDefault="001A500E" w:rsidP="00D146B4">
            <w:pPr>
              <w:rPr>
                <w:rFonts w:eastAsia="Times New Roman" w:cs="Times New Roman"/>
                <w:sz w:val="15"/>
                <w:szCs w:val="15"/>
              </w:rPr>
            </w:pPr>
            <w:r w:rsidRPr="00F7332E">
              <w:rPr>
                <w:rFonts w:eastAsia="Times New Roman" w:cs="Times New Roman"/>
                <w:sz w:val="15"/>
                <w:szCs w:val="15"/>
              </w:rPr>
              <w:t>Exceptional procedures</w:t>
            </w:r>
          </w:p>
        </w:tc>
        <w:tc>
          <w:tcPr>
            <w:tcW w:w="4138" w:type="pct"/>
            <w:tcBorders>
              <w:bottom w:val="single" w:sz="4" w:space="0" w:color="auto"/>
            </w:tcBorders>
          </w:tcPr>
          <w:p w14:paraId="509B1FC3" w14:textId="77777777" w:rsidR="001A500E" w:rsidRPr="00F7332E" w:rsidRDefault="001A500E" w:rsidP="00641A50">
            <w:pPr>
              <w:jc w:val="left"/>
              <w:rPr>
                <w:rFonts w:eastAsia="Times New Roman" w:cs="Times New Roman"/>
                <w:sz w:val="15"/>
                <w:szCs w:val="15"/>
              </w:rPr>
            </w:pPr>
            <w:r>
              <w:rPr>
                <w:rFonts w:eastAsia="Times New Roman" w:cs="Times New Roman"/>
                <w:sz w:val="15"/>
                <w:szCs w:val="15"/>
              </w:rPr>
              <w:t>Pursuant to</w:t>
            </w:r>
            <w:r w:rsidRPr="00F7332E">
              <w:rPr>
                <w:rFonts w:eastAsia="Times New Roman" w:cs="Times New Roman"/>
                <w:sz w:val="15"/>
                <w:szCs w:val="15"/>
              </w:rPr>
              <w:t xml:space="preserve"> Law No. 340</w:t>
            </w:r>
            <w:r>
              <w:rPr>
                <w:rFonts w:eastAsia="Times New Roman" w:cs="Times New Roman"/>
                <w:sz w:val="15"/>
                <w:szCs w:val="15"/>
              </w:rPr>
              <w:noBreakHyphen/>
            </w:r>
            <w:r w:rsidRPr="00F7332E">
              <w:rPr>
                <w:rFonts w:eastAsia="Times New Roman" w:cs="Times New Roman"/>
                <w:sz w:val="15"/>
                <w:szCs w:val="15"/>
              </w:rPr>
              <w:t>06</w:t>
            </w:r>
            <w:r>
              <w:rPr>
                <w:rFonts w:eastAsia="Times New Roman" w:cs="Times New Roman"/>
                <w:sz w:val="15"/>
                <w:szCs w:val="15"/>
              </w:rPr>
              <w:t>,</w:t>
            </w:r>
            <w:r w:rsidRPr="00F7332E">
              <w:rPr>
                <w:rFonts w:eastAsia="Times New Roman" w:cs="Times New Roman"/>
                <w:sz w:val="15"/>
                <w:szCs w:val="15"/>
              </w:rPr>
              <w:t xml:space="preserve"> the following activities are deemed exceptional, provided they are not used to infringe the principles laid down in that Law:</w:t>
            </w:r>
          </w:p>
          <w:p w14:paraId="6A1E5693" w14:textId="77777777" w:rsidR="001A500E" w:rsidRPr="00F7332E" w:rsidRDefault="001A500E" w:rsidP="00641A50">
            <w:pPr>
              <w:jc w:val="left"/>
              <w:rPr>
                <w:rFonts w:eastAsia="Times New Roman" w:cs="Times New Roman"/>
                <w:sz w:val="15"/>
                <w:szCs w:val="15"/>
              </w:rPr>
            </w:pPr>
          </w:p>
          <w:p w14:paraId="28EC4455" w14:textId="77777777" w:rsidR="001A500E" w:rsidRPr="00F7332E" w:rsidRDefault="001A500E" w:rsidP="00EB7374">
            <w:pPr>
              <w:numPr>
                <w:ilvl w:val="0"/>
                <w:numId w:val="14"/>
              </w:numPr>
              <w:contextualSpacing/>
              <w:jc w:val="left"/>
              <w:rPr>
                <w:rFonts w:eastAsia="Times New Roman" w:cs="Times New Roman"/>
                <w:sz w:val="15"/>
                <w:szCs w:val="15"/>
              </w:rPr>
            </w:pPr>
            <w:r w:rsidRPr="00F7332E">
              <w:rPr>
                <w:rFonts w:eastAsia="Times New Roman" w:cs="Times New Roman"/>
                <w:sz w:val="15"/>
                <w:szCs w:val="15"/>
              </w:rPr>
              <w:t>Those that by reason of national emergency or security could have a deleterious effect on the public interest, citizens' lives or the economy of the country;</w:t>
            </w:r>
          </w:p>
          <w:p w14:paraId="0B063F2F" w14:textId="77777777" w:rsidR="001A500E" w:rsidRPr="00F7332E" w:rsidRDefault="001A500E" w:rsidP="00EB7374">
            <w:pPr>
              <w:numPr>
                <w:ilvl w:val="0"/>
                <w:numId w:val="14"/>
              </w:numPr>
              <w:contextualSpacing/>
              <w:jc w:val="left"/>
              <w:rPr>
                <w:rFonts w:eastAsia="Times New Roman" w:cs="Times New Roman"/>
                <w:sz w:val="15"/>
                <w:szCs w:val="15"/>
              </w:rPr>
            </w:pPr>
            <w:r w:rsidRPr="00F7332E">
              <w:rPr>
                <w:rFonts w:eastAsia="Times New Roman" w:cs="Times New Roman"/>
                <w:sz w:val="15"/>
                <w:szCs w:val="15"/>
              </w:rPr>
              <w:t>Where scientific, technical or artistic works or the restoration of historic monuments must be performed by or purchased from companies, artists or specialists that are the only persons able to perform them;</w:t>
            </w:r>
          </w:p>
          <w:p w14:paraId="09B29A6F" w14:textId="77777777" w:rsidR="001A500E" w:rsidRPr="00F7332E" w:rsidRDefault="001A500E" w:rsidP="00EB7374">
            <w:pPr>
              <w:numPr>
                <w:ilvl w:val="0"/>
                <w:numId w:val="14"/>
              </w:numPr>
              <w:contextualSpacing/>
              <w:jc w:val="left"/>
              <w:rPr>
                <w:rFonts w:eastAsia="Times New Roman" w:cs="Times New Roman"/>
                <w:sz w:val="15"/>
                <w:szCs w:val="15"/>
              </w:rPr>
            </w:pPr>
            <w:r w:rsidRPr="00F7332E">
              <w:rPr>
                <w:rFonts w:eastAsia="Times New Roman" w:cs="Times New Roman"/>
                <w:sz w:val="15"/>
                <w:szCs w:val="15"/>
              </w:rPr>
              <w:t>Procurement or contracts for goods or services that are only available from one</w:t>
            </w:r>
            <w:r>
              <w:rPr>
                <w:rFonts w:eastAsia="Times New Roman" w:cs="Times New Roman"/>
                <w:sz w:val="15"/>
                <w:szCs w:val="15"/>
              </w:rPr>
              <w:t> </w:t>
            </w:r>
            <w:r w:rsidRPr="00F7332E">
              <w:rPr>
                <w:rFonts w:eastAsia="Times New Roman" w:cs="Times New Roman"/>
                <w:sz w:val="15"/>
                <w:szCs w:val="15"/>
              </w:rPr>
              <w:t>supplier or from a supplier with exclusive rights to the goods or services to be procured;</w:t>
            </w:r>
          </w:p>
          <w:p w14:paraId="23DB5C2F" w14:textId="77777777" w:rsidR="001A500E" w:rsidRPr="00F7332E" w:rsidRDefault="001A500E" w:rsidP="00EB7374">
            <w:pPr>
              <w:numPr>
                <w:ilvl w:val="0"/>
                <w:numId w:val="14"/>
              </w:numPr>
              <w:contextualSpacing/>
              <w:jc w:val="left"/>
              <w:rPr>
                <w:rFonts w:eastAsia="Times New Roman" w:cs="Times New Roman"/>
                <w:sz w:val="15"/>
                <w:szCs w:val="15"/>
              </w:rPr>
            </w:pPr>
            <w:r w:rsidRPr="00F7332E">
              <w:rPr>
                <w:rFonts w:eastAsia="Times New Roman" w:cs="Times New Roman"/>
                <w:sz w:val="15"/>
                <w:szCs w:val="15"/>
              </w:rPr>
              <w:t>Where emergency situations do not allow for another selection procedure</w:t>
            </w:r>
            <w:r>
              <w:rPr>
                <w:rFonts w:eastAsia="Times New Roman" w:cs="Times New Roman"/>
                <w:sz w:val="15"/>
                <w:szCs w:val="15"/>
              </w:rPr>
              <w:t xml:space="preserve"> to be carried out</w:t>
            </w:r>
            <w:r w:rsidRPr="00F7332E">
              <w:rPr>
                <w:rFonts w:eastAsia="Times New Roman" w:cs="Times New Roman"/>
                <w:sz w:val="15"/>
                <w:szCs w:val="15"/>
              </w:rPr>
              <w:t xml:space="preserve"> in a timely manner;</w:t>
            </w:r>
          </w:p>
          <w:p w14:paraId="316C31F8" w14:textId="77777777" w:rsidR="001A500E" w:rsidRPr="00F7332E" w:rsidRDefault="001A500E" w:rsidP="00EB7374">
            <w:pPr>
              <w:numPr>
                <w:ilvl w:val="0"/>
                <w:numId w:val="14"/>
              </w:numPr>
              <w:contextualSpacing/>
              <w:jc w:val="left"/>
              <w:rPr>
                <w:rFonts w:eastAsia="Times New Roman" w:cs="Times New Roman"/>
                <w:sz w:val="15"/>
                <w:szCs w:val="15"/>
              </w:rPr>
            </w:pPr>
            <w:r w:rsidRPr="00F7332E">
              <w:rPr>
                <w:rFonts w:eastAsia="Times New Roman" w:cs="Times New Roman"/>
                <w:sz w:val="15"/>
                <w:szCs w:val="15"/>
              </w:rPr>
              <w:t>Procurement or contracts for the construction, installation or purchase of foreign service offices;</w:t>
            </w:r>
          </w:p>
          <w:p w14:paraId="1EC5C818" w14:textId="77777777" w:rsidR="001A500E" w:rsidRPr="00F7332E" w:rsidRDefault="001A500E" w:rsidP="00EB7374">
            <w:pPr>
              <w:numPr>
                <w:ilvl w:val="0"/>
                <w:numId w:val="14"/>
              </w:numPr>
              <w:contextualSpacing/>
              <w:jc w:val="left"/>
              <w:rPr>
                <w:rFonts w:eastAsia="Times New Roman" w:cs="Times New Roman"/>
                <w:sz w:val="15"/>
                <w:szCs w:val="15"/>
              </w:rPr>
            </w:pPr>
            <w:r w:rsidRPr="00F7332E">
              <w:rPr>
                <w:rFonts w:eastAsia="Times New Roman" w:cs="Times New Roman"/>
                <w:sz w:val="15"/>
                <w:szCs w:val="15"/>
              </w:rPr>
              <w:t xml:space="preserve">Cancelled contracts where </w:t>
            </w:r>
            <w:r>
              <w:rPr>
                <w:rFonts w:eastAsia="Times New Roman" w:cs="Times New Roman"/>
                <w:sz w:val="15"/>
                <w:szCs w:val="15"/>
              </w:rPr>
              <w:t>the undelivered balance</w:t>
            </w:r>
            <w:r w:rsidRPr="00F7332E">
              <w:rPr>
                <w:rFonts w:eastAsia="Times New Roman" w:cs="Times New Roman"/>
                <w:sz w:val="15"/>
                <w:szCs w:val="15"/>
              </w:rPr>
              <w:t xml:space="preserve"> does not exceed 40% of the total amount;</w:t>
            </w:r>
          </w:p>
          <w:p w14:paraId="249A01C2" w14:textId="77777777" w:rsidR="001A500E" w:rsidRPr="00F7332E" w:rsidRDefault="001A500E" w:rsidP="00EB7374">
            <w:pPr>
              <w:numPr>
                <w:ilvl w:val="0"/>
                <w:numId w:val="14"/>
              </w:numPr>
              <w:contextualSpacing/>
              <w:jc w:val="left"/>
              <w:rPr>
                <w:rFonts w:eastAsia="Times New Roman" w:cs="Times New Roman"/>
                <w:sz w:val="15"/>
                <w:szCs w:val="15"/>
              </w:rPr>
            </w:pPr>
            <w:r w:rsidRPr="00F7332E">
              <w:rPr>
                <w:rFonts w:eastAsia="Times New Roman" w:cs="Times New Roman"/>
                <w:sz w:val="15"/>
                <w:szCs w:val="15"/>
              </w:rPr>
              <w:t>Purchases to promote the development of MSMEs</w:t>
            </w:r>
            <w:r w:rsidRPr="0060155B">
              <w:rPr>
                <w:rFonts w:eastAsia="Times New Roman" w:cs="Times New Roman"/>
                <w:sz w:val="15"/>
                <w:szCs w:val="15"/>
              </w:rPr>
              <w:t>; a</w:t>
            </w:r>
            <w:r w:rsidRPr="00F7332E">
              <w:rPr>
                <w:rFonts w:eastAsia="Times New Roman" w:cs="Times New Roman"/>
                <w:sz w:val="15"/>
                <w:szCs w:val="15"/>
              </w:rPr>
              <w:t>nd the purchase of advertising through social media.</w:t>
            </w:r>
          </w:p>
        </w:tc>
      </w:tr>
    </w:tbl>
    <w:p w14:paraId="5F151057" w14:textId="77777777" w:rsidR="001A500E" w:rsidRPr="00F7332E" w:rsidRDefault="001A500E" w:rsidP="00641A50">
      <w:pPr>
        <w:pStyle w:val="NoteText"/>
        <w:spacing w:before="120" w:after="240"/>
      </w:pPr>
      <w:r w:rsidRPr="00F7332E">
        <w:t>Source:</w:t>
      </w:r>
      <w:r w:rsidRPr="00F7332E">
        <w:tab/>
        <w:t>Law No. 340</w:t>
      </w:r>
      <w:r>
        <w:noBreakHyphen/>
      </w:r>
      <w:r w:rsidRPr="00F7332E">
        <w:t xml:space="preserve">06 and its implementing </w:t>
      </w:r>
      <w:r>
        <w:t>r</w:t>
      </w:r>
      <w:r w:rsidRPr="00F7332E">
        <w:t>egulations (Decree No. 543</w:t>
      </w:r>
      <w:r>
        <w:noBreakHyphen/>
      </w:r>
      <w:r w:rsidRPr="00F7332E">
        <w:t>12).</w:t>
      </w:r>
    </w:p>
    <w:p w14:paraId="4620C547" w14:textId="77777777" w:rsidR="001A500E" w:rsidRPr="0060155B" w:rsidRDefault="001A500E" w:rsidP="00574469">
      <w:pPr>
        <w:pStyle w:val="BodyText"/>
      </w:pPr>
      <w:bookmarkStart w:id="269" w:name="_Hlk113030943"/>
      <w:r w:rsidRPr="00F7332E">
        <w:t>In 2021, 1,390 contracts were awarded through international and domestic public bidding at a value of DOP 62,982</w:t>
      </w:r>
      <w:r w:rsidRPr="0060155B">
        <w:t> million</w:t>
      </w:r>
      <w:r w:rsidRPr="00F7332E">
        <w:t>, representing 48.1</w:t>
      </w:r>
      <w:r>
        <w:t>%</w:t>
      </w:r>
      <w:r w:rsidRPr="00F7332E">
        <w:t xml:space="preserve"> of the total</w:t>
      </w:r>
      <w:r w:rsidRPr="0060155B">
        <w:t>. G</w:t>
      </w:r>
      <w:r w:rsidRPr="00F7332E">
        <w:t>enerally speaking more than 84</w:t>
      </w:r>
      <w:r>
        <w:t>%</w:t>
      </w:r>
      <w:r w:rsidRPr="00F7332E">
        <w:t xml:space="preserve"> of the total sum was awarded through public bidding and exceptional procedures (Table 3.19)</w:t>
      </w:r>
      <w:r w:rsidRPr="0060155B">
        <w:t>. A</w:t>
      </w:r>
      <w:r w:rsidRPr="00F7332E">
        <w:t>round 30</w:t>
      </w:r>
      <w:r>
        <w:t>%</w:t>
      </w:r>
      <w:r w:rsidRPr="00F7332E">
        <w:t xml:space="preserve"> of the national budget is allocated to government procurement.</w:t>
      </w:r>
      <w:r w:rsidRPr="00F7332E">
        <w:rPr>
          <w:vertAlign w:val="superscript"/>
        </w:rPr>
        <w:footnoteReference w:id="301"/>
      </w:r>
      <w:bookmarkStart w:id="270" w:name="_Toc114735834"/>
      <w:bookmarkEnd w:id="269"/>
    </w:p>
    <w:p w14:paraId="723D0F4E" w14:textId="77777777" w:rsidR="001A500E" w:rsidRPr="00F7332E" w:rsidRDefault="001A500E" w:rsidP="006F0E66">
      <w:pPr>
        <w:pStyle w:val="Caption"/>
        <w:rPr>
          <w:b w:val="0"/>
          <w:bCs w:val="0"/>
        </w:rPr>
      </w:pPr>
      <w:bookmarkStart w:id="271" w:name="_Toc117238052"/>
      <w:r>
        <w:t xml:space="preserve">Table </w:t>
      </w:r>
      <w:r w:rsidR="00BD37F2">
        <w:fldChar w:fldCharType="begin"/>
      </w:r>
      <w:r w:rsidR="00BD37F2">
        <w:instrText xml:space="preserve"> STYLEREF 1 \s </w:instrText>
      </w:r>
      <w:r w:rsidR="00BD37F2">
        <w:fldChar w:fldCharType="separate"/>
      </w:r>
      <w:r>
        <w:rPr>
          <w:noProof/>
        </w:rPr>
        <w:t>3</w:t>
      </w:r>
      <w:r w:rsidR="00BD37F2">
        <w:rPr>
          <w:noProof/>
        </w:rPr>
        <w:fldChar w:fldCharType="end"/>
      </w:r>
      <w:r>
        <w:t>.</w:t>
      </w:r>
      <w:r w:rsidR="00BD37F2">
        <w:fldChar w:fldCharType="begin"/>
      </w:r>
      <w:r w:rsidR="00BD37F2">
        <w:instrText xml:space="preserve"> SEQ Table \* ARABIC \s 1 </w:instrText>
      </w:r>
      <w:r w:rsidR="00BD37F2">
        <w:fldChar w:fldCharType="separate"/>
      </w:r>
      <w:r>
        <w:rPr>
          <w:noProof/>
        </w:rPr>
        <w:t>19</w:t>
      </w:r>
      <w:r w:rsidR="00BD37F2">
        <w:rPr>
          <w:noProof/>
        </w:rPr>
        <w:fldChar w:fldCharType="end"/>
      </w:r>
      <w:r>
        <w:t xml:space="preserve"> </w:t>
      </w:r>
      <w:r w:rsidRPr="00F7332E">
        <w:t>Amounts awarded through selection procedures, 2015</w:t>
      </w:r>
      <w:r>
        <w:noBreakHyphen/>
      </w:r>
      <w:r w:rsidRPr="00F7332E">
        <w:t>21</w:t>
      </w:r>
      <w:bookmarkEnd w:id="270"/>
      <w:bookmarkEnd w:id="271"/>
    </w:p>
    <w:p w14:paraId="2B810D5C" w14:textId="77777777" w:rsidR="001A500E" w:rsidRPr="00F7332E" w:rsidRDefault="001A500E" w:rsidP="006F0E66">
      <w:pPr>
        <w:pStyle w:val="NoteText"/>
      </w:pPr>
      <w:r w:rsidRPr="00F7332E">
        <w:t>(DOP</w:t>
      </w:r>
      <w:r w:rsidRPr="0060155B">
        <w:t> million</w:t>
      </w:r>
      <w:r w:rsidRPr="00F7332E">
        <w:t xml:space="preserve">s) </w:t>
      </w:r>
    </w:p>
    <w:tbl>
      <w:tblPr>
        <w:tblW w:w="5000" w:type="pct"/>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1797"/>
        <w:gridCol w:w="965"/>
        <w:gridCol w:w="965"/>
        <w:gridCol w:w="965"/>
        <w:gridCol w:w="1111"/>
        <w:gridCol w:w="1071"/>
        <w:gridCol w:w="1071"/>
        <w:gridCol w:w="1071"/>
      </w:tblGrid>
      <w:tr w:rsidR="001A500E" w:rsidRPr="00F7332E" w14:paraId="0079EBEC" w14:textId="77777777" w:rsidTr="00C51D8E">
        <w:trPr>
          <w:tblHeader/>
        </w:trPr>
        <w:tc>
          <w:tcPr>
            <w:tcW w:w="1019" w:type="pct"/>
            <w:tcBorders>
              <w:top w:val="single" w:sz="4" w:space="0" w:color="auto"/>
            </w:tcBorders>
            <w:shd w:val="clear" w:color="auto" w:fill="006283"/>
          </w:tcPr>
          <w:p w14:paraId="10EA5D2A" w14:textId="77777777" w:rsidR="001A500E" w:rsidRPr="00F7332E" w:rsidRDefault="001A500E" w:rsidP="00D146B4">
            <w:pPr>
              <w:rPr>
                <w:rFonts w:eastAsia="Times New Roman" w:cs="Times New Roman"/>
                <w:b/>
                <w:color w:val="FFFFFF"/>
                <w:sz w:val="15"/>
                <w:szCs w:val="15"/>
              </w:rPr>
            </w:pPr>
            <w:r w:rsidRPr="00F7332E">
              <w:rPr>
                <w:rFonts w:eastAsia="Times New Roman" w:cs="Times New Roman"/>
                <w:b/>
                <w:bCs/>
                <w:color w:val="FFFFFF"/>
                <w:sz w:val="15"/>
                <w:szCs w:val="15"/>
              </w:rPr>
              <w:t>Procedure</w:t>
            </w:r>
          </w:p>
        </w:tc>
        <w:tc>
          <w:tcPr>
            <w:tcW w:w="487" w:type="pct"/>
            <w:tcBorders>
              <w:top w:val="single" w:sz="4" w:space="0" w:color="auto"/>
            </w:tcBorders>
            <w:shd w:val="clear" w:color="auto" w:fill="006283"/>
          </w:tcPr>
          <w:p w14:paraId="0A04C677" w14:textId="77777777" w:rsidR="001A500E" w:rsidRPr="00F7332E" w:rsidRDefault="001A500E" w:rsidP="00D146B4">
            <w:pPr>
              <w:jc w:val="right"/>
              <w:rPr>
                <w:rFonts w:eastAsia="Times New Roman" w:cs="Times New Roman"/>
                <w:b/>
                <w:color w:val="FFFFFF"/>
                <w:sz w:val="15"/>
                <w:szCs w:val="15"/>
              </w:rPr>
            </w:pPr>
            <w:r w:rsidRPr="00F7332E">
              <w:rPr>
                <w:rFonts w:eastAsia="Times New Roman" w:cs="Times New Roman"/>
                <w:b/>
                <w:bCs/>
                <w:color w:val="FFFFFF"/>
                <w:sz w:val="15"/>
                <w:szCs w:val="15"/>
              </w:rPr>
              <w:t>2015</w:t>
            </w:r>
          </w:p>
        </w:tc>
        <w:tc>
          <w:tcPr>
            <w:tcW w:w="535" w:type="pct"/>
            <w:tcBorders>
              <w:top w:val="single" w:sz="4" w:space="0" w:color="auto"/>
            </w:tcBorders>
            <w:shd w:val="clear" w:color="auto" w:fill="006283"/>
          </w:tcPr>
          <w:p w14:paraId="743E6B2A" w14:textId="77777777" w:rsidR="001A500E" w:rsidRPr="00F7332E" w:rsidRDefault="001A500E" w:rsidP="00D146B4">
            <w:pPr>
              <w:jc w:val="right"/>
              <w:rPr>
                <w:rFonts w:eastAsia="Times New Roman" w:cs="Times New Roman"/>
                <w:b/>
                <w:color w:val="FFFFFF"/>
                <w:sz w:val="15"/>
                <w:szCs w:val="15"/>
              </w:rPr>
            </w:pPr>
            <w:r w:rsidRPr="00F7332E">
              <w:rPr>
                <w:rFonts w:eastAsia="Times New Roman" w:cs="Times New Roman"/>
                <w:b/>
                <w:bCs/>
                <w:color w:val="FFFFFF"/>
                <w:sz w:val="15"/>
                <w:szCs w:val="15"/>
              </w:rPr>
              <w:t>2016</w:t>
            </w:r>
          </w:p>
        </w:tc>
        <w:tc>
          <w:tcPr>
            <w:tcW w:w="535" w:type="pct"/>
            <w:tcBorders>
              <w:top w:val="single" w:sz="4" w:space="0" w:color="auto"/>
            </w:tcBorders>
            <w:shd w:val="clear" w:color="auto" w:fill="006283"/>
          </w:tcPr>
          <w:p w14:paraId="19A22358" w14:textId="77777777" w:rsidR="001A500E" w:rsidRPr="00F7332E" w:rsidRDefault="001A500E" w:rsidP="00D146B4">
            <w:pPr>
              <w:jc w:val="right"/>
              <w:rPr>
                <w:rFonts w:eastAsia="Times New Roman" w:cs="Times New Roman"/>
                <w:b/>
                <w:color w:val="FFFFFF"/>
                <w:sz w:val="15"/>
                <w:szCs w:val="15"/>
              </w:rPr>
            </w:pPr>
            <w:r w:rsidRPr="00F7332E">
              <w:rPr>
                <w:rFonts w:eastAsia="Times New Roman" w:cs="Times New Roman"/>
                <w:b/>
                <w:bCs/>
                <w:color w:val="FFFFFF"/>
                <w:sz w:val="15"/>
                <w:szCs w:val="15"/>
              </w:rPr>
              <w:t>2017</w:t>
            </w:r>
          </w:p>
        </w:tc>
        <w:tc>
          <w:tcPr>
            <w:tcW w:w="637" w:type="pct"/>
            <w:tcBorders>
              <w:top w:val="single" w:sz="4" w:space="0" w:color="auto"/>
            </w:tcBorders>
            <w:shd w:val="clear" w:color="auto" w:fill="006283"/>
          </w:tcPr>
          <w:p w14:paraId="7C32AED2" w14:textId="77777777" w:rsidR="001A500E" w:rsidRPr="00F7332E" w:rsidRDefault="001A500E" w:rsidP="00D146B4">
            <w:pPr>
              <w:jc w:val="right"/>
              <w:rPr>
                <w:rFonts w:eastAsia="Times New Roman" w:cs="Times New Roman"/>
                <w:b/>
                <w:color w:val="FFFFFF"/>
                <w:sz w:val="15"/>
                <w:szCs w:val="15"/>
              </w:rPr>
            </w:pPr>
            <w:r w:rsidRPr="00F7332E">
              <w:rPr>
                <w:rFonts w:eastAsia="Times New Roman" w:cs="Times New Roman"/>
                <w:b/>
                <w:bCs/>
                <w:color w:val="FFFFFF"/>
                <w:sz w:val="15"/>
                <w:szCs w:val="15"/>
              </w:rPr>
              <w:t>2018</w:t>
            </w:r>
          </w:p>
        </w:tc>
        <w:tc>
          <w:tcPr>
            <w:tcW w:w="594" w:type="pct"/>
            <w:tcBorders>
              <w:top w:val="single" w:sz="4" w:space="0" w:color="auto"/>
            </w:tcBorders>
            <w:shd w:val="clear" w:color="auto" w:fill="006283"/>
          </w:tcPr>
          <w:p w14:paraId="3F69B5E9" w14:textId="77777777" w:rsidR="001A500E" w:rsidRPr="00F7332E" w:rsidRDefault="001A500E" w:rsidP="00D146B4">
            <w:pPr>
              <w:jc w:val="right"/>
              <w:rPr>
                <w:rFonts w:eastAsia="Times New Roman" w:cs="Times New Roman"/>
                <w:b/>
                <w:color w:val="FFFFFF"/>
                <w:sz w:val="15"/>
                <w:szCs w:val="15"/>
              </w:rPr>
            </w:pPr>
            <w:r w:rsidRPr="00F7332E">
              <w:rPr>
                <w:rFonts w:eastAsia="Times New Roman" w:cs="Times New Roman"/>
                <w:b/>
                <w:bCs/>
                <w:color w:val="FFFFFF"/>
                <w:sz w:val="15"/>
                <w:szCs w:val="15"/>
              </w:rPr>
              <w:t>2019</w:t>
            </w:r>
          </w:p>
        </w:tc>
        <w:tc>
          <w:tcPr>
            <w:tcW w:w="598" w:type="pct"/>
            <w:tcBorders>
              <w:top w:val="single" w:sz="4" w:space="0" w:color="auto"/>
            </w:tcBorders>
            <w:shd w:val="clear" w:color="auto" w:fill="006283"/>
          </w:tcPr>
          <w:p w14:paraId="55747CCA" w14:textId="77777777" w:rsidR="001A500E" w:rsidRPr="00F7332E" w:rsidRDefault="001A500E" w:rsidP="00D146B4">
            <w:pPr>
              <w:jc w:val="right"/>
              <w:rPr>
                <w:rFonts w:eastAsia="Times New Roman" w:cs="Times New Roman"/>
                <w:b/>
                <w:color w:val="FFFFFF"/>
                <w:sz w:val="15"/>
                <w:szCs w:val="15"/>
              </w:rPr>
            </w:pPr>
            <w:r w:rsidRPr="00F7332E">
              <w:rPr>
                <w:rFonts w:eastAsia="Times New Roman" w:cs="Times New Roman"/>
                <w:b/>
                <w:bCs/>
                <w:color w:val="FFFFFF"/>
                <w:sz w:val="15"/>
                <w:szCs w:val="15"/>
              </w:rPr>
              <w:t>2020</w:t>
            </w:r>
          </w:p>
        </w:tc>
        <w:tc>
          <w:tcPr>
            <w:tcW w:w="594" w:type="pct"/>
            <w:tcBorders>
              <w:top w:val="single" w:sz="4" w:space="0" w:color="auto"/>
            </w:tcBorders>
            <w:shd w:val="clear" w:color="auto" w:fill="006283"/>
          </w:tcPr>
          <w:p w14:paraId="70E446B8" w14:textId="77777777" w:rsidR="001A500E" w:rsidRPr="00F7332E" w:rsidRDefault="001A500E" w:rsidP="00D146B4">
            <w:pPr>
              <w:jc w:val="right"/>
              <w:rPr>
                <w:rFonts w:eastAsia="Times New Roman" w:cs="Times New Roman"/>
                <w:b/>
                <w:color w:val="FFFFFF"/>
                <w:sz w:val="15"/>
                <w:szCs w:val="15"/>
              </w:rPr>
            </w:pPr>
            <w:r w:rsidRPr="00F7332E">
              <w:rPr>
                <w:rFonts w:eastAsia="Times New Roman" w:cs="Times New Roman"/>
                <w:b/>
                <w:bCs/>
                <w:color w:val="FFFFFF"/>
                <w:sz w:val="15"/>
                <w:szCs w:val="15"/>
              </w:rPr>
              <w:t>2021</w:t>
            </w:r>
          </w:p>
        </w:tc>
      </w:tr>
      <w:tr w:rsidR="001A500E" w:rsidRPr="00F7332E" w14:paraId="027876E7" w14:textId="77777777" w:rsidTr="00C51D8E">
        <w:tc>
          <w:tcPr>
            <w:tcW w:w="1019" w:type="pct"/>
          </w:tcPr>
          <w:p w14:paraId="605C5F93" w14:textId="77777777" w:rsidR="001A500E" w:rsidRPr="00F7332E" w:rsidRDefault="001A500E" w:rsidP="00707CF7">
            <w:pPr>
              <w:jc w:val="left"/>
              <w:rPr>
                <w:rFonts w:eastAsia="Times New Roman" w:cs="Times New Roman"/>
                <w:sz w:val="15"/>
                <w:szCs w:val="15"/>
              </w:rPr>
            </w:pPr>
            <w:r w:rsidRPr="00F7332E">
              <w:rPr>
                <w:rFonts w:eastAsia="Times New Roman" w:cs="Times New Roman"/>
                <w:sz w:val="15"/>
                <w:szCs w:val="15"/>
              </w:rPr>
              <w:t>Price comparison</w:t>
            </w:r>
          </w:p>
        </w:tc>
        <w:tc>
          <w:tcPr>
            <w:tcW w:w="487" w:type="pct"/>
          </w:tcPr>
          <w:p w14:paraId="52CB7600" w14:textId="77777777" w:rsidR="001A500E" w:rsidRPr="00F7332E" w:rsidRDefault="001A500E" w:rsidP="00D146B4">
            <w:pPr>
              <w:jc w:val="right"/>
              <w:rPr>
                <w:rFonts w:eastAsia="Times New Roman" w:cs="Times New Roman"/>
                <w:sz w:val="15"/>
                <w:szCs w:val="15"/>
              </w:rPr>
            </w:pPr>
            <w:r w:rsidRPr="00F7332E">
              <w:rPr>
                <w:rFonts w:eastAsia="Times New Roman" w:cs="Times New Roman"/>
                <w:sz w:val="15"/>
                <w:szCs w:val="15"/>
              </w:rPr>
              <w:t>9,291.3</w:t>
            </w:r>
          </w:p>
        </w:tc>
        <w:tc>
          <w:tcPr>
            <w:tcW w:w="535" w:type="pct"/>
          </w:tcPr>
          <w:p w14:paraId="627ABD02" w14:textId="77777777" w:rsidR="001A500E" w:rsidRPr="00F7332E" w:rsidRDefault="001A500E" w:rsidP="00D146B4">
            <w:pPr>
              <w:jc w:val="right"/>
              <w:rPr>
                <w:rFonts w:eastAsia="Times New Roman" w:cs="Times New Roman"/>
                <w:sz w:val="15"/>
                <w:szCs w:val="15"/>
              </w:rPr>
            </w:pPr>
            <w:r w:rsidRPr="00F7332E">
              <w:rPr>
                <w:rFonts w:eastAsia="Times New Roman" w:cs="Times New Roman"/>
                <w:sz w:val="15"/>
                <w:szCs w:val="15"/>
              </w:rPr>
              <w:t>6,686.0</w:t>
            </w:r>
          </w:p>
        </w:tc>
        <w:tc>
          <w:tcPr>
            <w:tcW w:w="535" w:type="pct"/>
          </w:tcPr>
          <w:p w14:paraId="19B1DBDB" w14:textId="77777777" w:rsidR="001A500E" w:rsidRPr="00F7332E" w:rsidRDefault="001A500E" w:rsidP="00D146B4">
            <w:pPr>
              <w:jc w:val="right"/>
              <w:rPr>
                <w:rFonts w:eastAsia="Times New Roman" w:cs="Times New Roman"/>
                <w:sz w:val="15"/>
                <w:szCs w:val="15"/>
              </w:rPr>
            </w:pPr>
            <w:r w:rsidRPr="00F7332E">
              <w:rPr>
                <w:rFonts w:eastAsia="Times New Roman" w:cs="Times New Roman"/>
                <w:sz w:val="15"/>
                <w:szCs w:val="15"/>
              </w:rPr>
              <w:t>6,088.9</w:t>
            </w:r>
          </w:p>
        </w:tc>
        <w:tc>
          <w:tcPr>
            <w:tcW w:w="637" w:type="pct"/>
          </w:tcPr>
          <w:p w14:paraId="574C2A23" w14:textId="77777777" w:rsidR="001A500E" w:rsidRPr="00F7332E" w:rsidRDefault="001A500E" w:rsidP="00D146B4">
            <w:pPr>
              <w:jc w:val="right"/>
              <w:rPr>
                <w:rFonts w:eastAsia="Times New Roman" w:cs="Times New Roman"/>
                <w:sz w:val="15"/>
                <w:szCs w:val="15"/>
              </w:rPr>
            </w:pPr>
            <w:r w:rsidRPr="00F7332E">
              <w:rPr>
                <w:rFonts w:eastAsia="Times New Roman" w:cs="Times New Roman"/>
                <w:sz w:val="15"/>
                <w:szCs w:val="15"/>
              </w:rPr>
              <w:t>12,366.1</w:t>
            </w:r>
          </w:p>
        </w:tc>
        <w:tc>
          <w:tcPr>
            <w:tcW w:w="594" w:type="pct"/>
          </w:tcPr>
          <w:p w14:paraId="1FF968CB" w14:textId="77777777" w:rsidR="001A500E" w:rsidRPr="00F7332E" w:rsidRDefault="001A500E" w:rsidP="00D146B4">
            <w:pPr>
              <w:jc w:val="right"/>
              <w:rPr>
                <w:rFonts w:eastAsia="Times New Roman" w:cs="Times New Roman"/>
                <w:sz w:val="15"/>
                <w:szCs w:val="15"/>
              </w:rPr>
            </w:pPr>
            <w:r w:rsidRPr="00F7332E">
              <w:rPr>
                <w:rFonts w:eastAsia="Times New Roman" w:cs="Times New Roman"/>
                <w:sz w:val="15"/>
                <w:szCs w:val="15"/>
              </w:rPr>
              <w:t>18,261.1</w:t>
            </w:r>
          </w:p>
        </w:tc>
        <w:tc>
          <w:tcPr>
            <w:tcW w:w="598" w:type="pct"/>
          </w:tcPr>
          <w:p w14:paraId="3E35F2B0" w14:textId="77777777" w:rsidR="001A500E" w:rsidRPr="00F7332E" w:rsidRDefault="001A500E" w:rsidP="00D146B4">
            <w:pPr>
              <w:jc w:val="right"/>
              <w:rPr>
                <w:rFonts w:eastAsia="Times New Roman" w:cs="Times New Roman"/>
                <w:sz w:val="15"/>
                <w:szCs w:val="15"/>
              </w:rPr>
            </w:pPr>
            <w:r w:rsidRPr="00F7332E">
              <w:rPr>
                <w:rFonts w:eastAsia="Times New Roman" w:cs="Times New Roman"/>
                <w:sz w:val="15"/>
                <w:szCs w:val="15"/>
              </w:rPr>
              <w:t>11,525.8</w:t>
            </w:r>
          </w:p>
        </w:tc>
        <w:tc>
          <w:tcPr>
            <w:tcW w:w="594" w:type="pct"/>
          </w:tcPr>
          <w:p w14:paraId="36AC1398" w14:textId="77777777" w:rsidR="001A500E" w:rsidRPr="00F7332E" w:rsidRDefault="001A500E" w:rsidP="00D146B4">
            <w:pPr>
              <w:jc w:val="right"/>
              <w:rPr>
                <w:rFonts w:eastAsia="Times New Roman" w:cs="Times New Roman"/>
                <w:sz w:val="15"/>
                <w:szCs w:val="15"/>
              </w:rPr>
            </w:pPr>
            <w:r w:rsidRPr="00F7332E">
              <w:rPr>
                <w:rFonts w:eastAsia="Times New Roman" w:cs="Times New Roman"/>
                <w:sz w:val="15"/>
                <w:szCs w:val="15"/>
              </w:rPr>
              <w:t>12,071.8</w:t>
            </w:r>
          </w:p>
        </w:tc>
      </w:tr>
      <w:tr w:rsidR="001A500E" w:rsidRPr="00F7332E" w14:paraId="28E563AA" w14:textId="77777777" w:rsidTr="00C51D8E">
        <w:tc>
          <w:tcPr>
            <w:tcW w:w="1019" w:type="pct"/>
            <w:shd w:val="clear" w:color="auto" w:fill="C9DED4"/>
          </w:tcPr>
          <w:p w14:paraId="627636BC" w14:textId="77777777" w:rsidR="001A500E" w:rsidRPr="00F7332E" w:rsidRDefault="001A500E" w:rsidP="00707CF7">
            <w:pPr>
              <w:jc w:val="left"/>
              <w:rPr>
                <w:rFonts w:eastAsia="Times New Roman" w:cs="Times New Roman"/>
                <w:sz w:val="15"/>
                <w:szCs w:val="15"/>
              </w:rPr>
            </w:pPr>
            <w:r w:rsidRPr="00F7332E">
              <w:rPr>
                <w:rFonts w:eastAsia="Times New Roman" w:cs="Times New Roman"/>
                <w:sz w:val="15"/>
                <w:szCs w:val="15"/>
              </w:rPr>
              <w:t>Purchases above the threshold value</w:t>
            </w:r>
          </w:p>
        </w:tc>
        <w:tc>
          <w:tcPr>
            <w:tcW w:w="487" w:type="pct"/>
            <w:shd w:val="clear" w:color="auto" w:fill="C9DED4"/>
          </w:tcPr>
          <w:p w14:paraId="6C1EBAB0" w14:textId="77777777" w:rsidR="001A500E" w:rsidRPr="00F7332E" w:rsidRDefault="001A500E" w:rsidP="00D146B4">
            <w:pPr>
              <w:jc w:val="right"/>
              <w:rPr>
                <w:rFonts w:eastAsia="Times New Roman" w:cs="Times New Roman"/>
                <w:sz w:val="15"/>
                <w:szCs w:val="15"/>
              </w:rPr>
            </w:pPr>
            <w:r w:rsidRPr="00F7332E">
              <w:rPr>
                <w:rFonts w:eastAsia="Times New Roman" w:cs="Times New Roman"/>
                <w:sz w:val="15"/>
                <w:szCs w:val="15"/>
              </w:rPr>
              <w:t>7,473.3</w:t>
            </w:r>
          </w:p>
        </w:tc>
        <w:tc>
          <w:tcPr>
            <w:tcW w:w="535" w:type="pct"/>
            <w:shd w:val="clear" w:color="auto" w:fill="C9DED4"/>
          </w:tcPr>
          <w:p w14:paraId="71ECF476" w14:textId="77777777" w:rsidR="001A500E" w:rsidRPr="00F7332E" w:rsidRDefault="001A500E" w:rsidP="00D146B4">
            <w:pPr>
              <w:jc w:val="right"/>
              <w:rPr>
                <w:rFonts w:eastAsia="Times New Roman" w:cs="Times New Roman"/>
                <w:sz w:val="15"/>
                <w:szCs w:val="15"/>
              </w:rPr>
            </w:pPr>
            <w:r w:rsidRPr="00F7332E">
              <w:rPr>
                <w:rFonts w:eastAsia="Times New Roman" w:cs="Times New Roman"/>
                <w:sz w:val="15"/>
                <w:szCs w:val="15"/>
              </w:rPr>
              <w:t>618.1</w:t>
            </w:r>
          </w:p>
        </w:tc>
        <w:tc>
          <w:tcPr>
            <w:tcW w:w="535" w:type="pct"/>
            <w:shd w:val="clear" w:color="auto" w:fill="C9DED4"/>
          </w:tcPr>
          <w:p w14:paraId="2A6B3CE4" w14:textId="77777777" w:rsidR="001A500E" w:rsidRPr="00F7332E" w:rsidRDefault="001A500E" w:rsidP="00D146B4">
            <w:pPr>
              <w:jc w:val="right"/>
              <w:rPr>
                <w:rFonts w:eastAsia="Times New Roman" w:cs="Times New Roman"/>
                <w:sz w:val="15"/>
                <w:szCs w:val="15"/>
              </w:rPr>
            </w:pPr>
            <w:r w:rsidRPr="00F7332E">
              <w:rPr>
                <w:rFonts w:eastAsia="Times New Roman" w:cs="Times New Roman"/>
                <w:sz w:val="15"/>
                <w:szCs w:val="15"/>
              </w:rPr>
              <w:t>212.4</w:t>
            </w:r>
          </w:p>
        </w:tc>
        <w:tc>
          <w:tcPr>
            <w:tcW w:w="637" w:type="pct"/>
            <w:shd w:val="clear" w:color="auto" w:fill="C9DED4"/>
          </w:tcPr>
          <w:p w14:paraId="6F0BD190" w14:textId="77777777" w:rsidR="001A500E" w:rsidRPr="00F7332E" w:rsidRDefault="001A500E" w:rsidP="00D146B4">
            <w:pPr>
              <w:jc w:val="right"/>
              <w:rPr>
                <w:rFonts w:eastAsia="Times New Roman" w:cs="Times New Roman"/>
                <w:sz w:val="15"/>
                <w:szCs w:val="15"/>
              </w:rPr>
            </w:pPr>
            <w:r w:rsidRPr="00F7332E">
              <w:rPr>
                <w:rFonts w:eastAsia="Times New Roman" w:cs="Times New Roman"/>
                <w:sz w:val="15"/>
                <w:szCs w:val="15"/>
              </w:rPr>
              <w:t>0.0</w:t>
            </w:r>
          </w:p>
        </w:tc>
        <w:tc>
          <w:tcPr>
            <w:tcW w:w="594" w:type="pct"/>
            <w:shd w:val="clear" w:color="auto" w:fill="C9DED4"/>
          </w:tcPr>
          <w:p w14:paraId="3373803E" w14:textId="77777777" w:rsidR="001A500E" w:rsidRPr="00F7332E" w:rsidRDefault="001A500E" w:rsidP="00D146B4">
            <w:pPr>
              <w:jc w:val="right"/>
              <w:rPr>
                <w:rFonts w:eastAsia="Times New Roman" w:cs="Times New Roman"/>
                <w:sz w:val="15"/>
                <w:szCs w:val="15"/>
              </w:rPr>
            </w:pPr>
            <w:r w:rsidRPr="00F7332E">
              <w:rPr>
                <w:rFonts w:eastAsia="Times New Roman" w:cs="Times New Roman"/>
                <w:sz w:val="15"/>
                <w:szCs w:val="15"/>
              </w:rPr>
              <w:t>0.0</w:t>
            </w:r>
          </w:p>
        </w:tc>
        <w:tc>
          <w:tcPr>
            <w:tcW w:w="598" w:type="pct"/>
            <w:shd w:val="clear" w:color="auto" w:fill="C9DED4"/>
          </w:tcPr>
          <w:p w14:paraId="710B98F8" w14:textId="77777777" w:rsidR="001A500E" w:rsidRPr="00F7332E" w:rsidRDefault="001A500E" w:rsidP="00D146B4">
            <w:pPr>
              <w:jc w:val="right"/>
              <w:rPr>
                <w:rFonts w:eastAsia="Times New Roman" w:cs="Times New Roman"/>
                <w:sz w:val="15"/>
                <w:szCs w:val="15"/>
              </w:rPr>
            </w:pPr>
            <w:r w:rsidRPr="00F7332E">
              <w:rPr>
                <w:rFonts w:eastAsia="Times New Roman" w:cs="Times New Roman"/>
                <w:sz w:val="15"/>
                <w:szCs w:val="15"/>
              </w:rPr>
              <w:t>0.0</w:t>
            </w:r>
          </w:p>
        </w:tc>
        <w:tc>
          <w:tcPr>
            <w:tcW w:w="594" w:type="pct"/>
            <w:shd w:val="clear" w:color="auto" w:fill="C9DED4"/>
          </w:tcPr>
          <w:p w14:paraId="64F8691D" w14:textId="77777777" w:rsidR="001A500E" w:rsidRPr="00F7332E" w:rsidRDefault="001A500E" w:rsidP="00D146B4">
            <w:pPr>
              <w:jc w:val="right"/>
              <w:rPr>
                <w:rFonts w:eastAsia="Times New Roman" w:cs="Times New Roman"/>
                <w:sz w:val="15"/>
                <w:szCs w:val="15"/>
              </w:rPr>
            </w:pPr>
            <w:r w:rsidRPr="00F7332E">
              <w:rPr>
                <w:rFonts w:eastAsia="Times New Roman" w:cs="Times New Roman"/>
                <w:sz w:val="15"/>
                <w:szCs w:val="15"/>
              </w:rPr>
              <w:t>0.0</w:t>
            </w:r>
          </w:p>
        </w:tc>
      </w:tr>
      <w:tr w:rsidR="001A500E" w:rsidRPr="00F7332E" w14:paraId="159632F2" w14:textId="77777777" w:rsidTr="00C51D8E">
        <w:tc>
          <w:tcPr>
            <w:tcW w:w="1019" w:type="pct"/>
          </w:tcPr>
          <w:p w14:paraId="032D3A57" w14:textId="77777777" w:rsidR="001A500E" w:rsidRPr="00F7332E" w:rsidRDefault="001A500E" w:rsidP="00707CF7">
            <w:pPr>
              <w:jc w:val="left"/>
              <w:rPr>
                <w:rFonts w:eastAsia="Times New Roman" w:cs="Times New Roman"/>
                <w:sz w:val="15"/>
                <w:szCs w:val="15"/>
              </w:rPr>
            </w:pPr>
            <w:r w:rsidRPr="00F7332E">
              <w:rPr>
                <w:rFonts w:eastAsia="Times New Roman" w:cs="Times New Roman"/>
                <w:sz w:val="15"/>
                <w:szCs w:val="15"/>
              </w:rPr>
              <w:t>Small</w:t>
            </w:r>
            <w:r>
              <w:rPr>
                <w:rFonts w:eastAsia="Times New Roman" w:cs="Times New Roman"/>
                <w:sz w:val="15"/>
                <w:szCs w:val="15"/>
              </w:rPr>
              <w:noBreakHyphen/>
            </w:r>
            <w:r w:rsidRPr="00F7332E">
              <w:rPr>
                <w:rFonts w:eastAsia="Times New Roman" w:cs="Times New Roman"/>
                <w:sz w:val="15"/>
                <w:szCs w:val="15"/>
              </w:rPr>
              <w:t>scale purchasing</w:t>
            </w:r>
          </w:p>
        </w:tc>
        <w:tc>
          <w:tcPr>
            <w:tcW w:w="487" w:type="pct"/>
          </w:tcPr>
          <w:p w14:paraId="7923DD50" w14:textId="77777777" w:rsidR="001A500E" w:rsidRPr="00F7332E" w:rsidRDefault="001A500E" w:rsidP="00D146B4">
            <w:pPr>
              <w:jc w:val="right"/>
              <w:rPr>
                <w:rFonts w:eastAsia="Times New Roman" w:cs="Times New Roman"/>
                <w:sz w:val="15"/>
                <w:szCs w:val="15"/>
              </w:rPr>
            </w:pPr>
            <w:r w:rsidRPr="00F7332E">
              <w:rPr>
                <w:rFonts w:eastAsia="Times New Roman" w:cs="Times New Roman"/>
                <w:sz w:val="15"/>
                <w:szCs w:val="15"/>
              </w:rPr>
              <w:t>3,261.6</w:t>
            </w:r>
          </w:p>
        </w:tc>
        <w:tc>
          <w:tcPr>
            <w:tcW w:w="535" w:type="pct"/>
          </w:tcPr>
          <w:p w14:paraId="6FEE51BB" w14:textId="77777777" w:rsidR="001A500E" w:rsidRPr="00F7332E" w:rsidRDefault="001A500E" w:rsidP="00D146B4">
            <w:pPr>
              <w:jc w:val="right"/>
              <w:rPr>
                <w:rFonts w:eastAsia="Times New Roman" w:cs="Times New Roman"/>
                <w:sz w:val="15"/>
                <w:szCs w:val="15"/>
              </w:rPr>
            </w:pPr>
            <w:r w:rsidRPr="00F7332E">
              <w:rPr>
                <w:rFonts w:eastAsia="Times New Roman" w:cs="Times New Roman"/>
                <w:sz w:val="15"/>
                <w:szCs w:val="15"/>
              </w:rPr>
              <w:t>3,449.7</w:t>
            </w:r>
          </w:p>
        </w:tc>
        <w:tc>
          <w:tcPr>
            <w:tcW w:w="535" w:type="pct"/>
          </w:tcPr>
          <w:p w14:paraId="24C253AB" w14:textId="77777777" w:rsidR="001A500E" w:rsidRPr="00F7332E" w:rsidRDefault="001A500E" w:rsidP="00D146B4">
            <w:pPr>
              <w:jc w:val="right"/>
              <w:rPr>
                <w:rFonts w:eastAsia="Times New Roman" w:cs="Times New Roman"/>
                <w:sz w:val="15"/>
                <w:szCs w:val="15"/>
              </w:rPr>
            </w:pPr>
            <w:r w:rsidRPr="00F7332E">
              <w:rPr>
                <w:rFonts w:eastAsia="Times New Roman" w:cs="Times New Roman"/>
                <w:sz w:val="15"/>
                <w:szCs w:val="15"/>
              </w:rPr>
              <w:t>4,144.8</w:t>
            </w:r>
          </w:p>
        </w:tc>
        <w:tc>
          <w:tcPr>
            <w:tcW w:w="637" w:type="pct"/>
          </w:tcPr>
          <w:p w14:paraId="4E108DC7" w14:textId="77777777" w:rsidR="001A500E" w:rsidRPr="00F7332E" w:rsidRDefault="001A500E" w:rsidP="00D146B4">
            <w:pPr>
              <w:jc w:val="right"/>
              <w:rPr>
                <w:rFonts w:eastAsia="Times New Roman" w:cs="Times New Roman"/>
                <w:sz w:val="15"/>
                <w:szCs w:val="15"/>
              </w:rPr>
            </w:pPr>
            <w:r w:rsidRPr="00F7332E">
              <w:rPr>
                <w:rFonts w:eastAsia="Times New Roman" w:cs="Times New Roman"/>
                <w:sz w:val="15"/>
                <w:szCs w:val="15"/>
              </w:rPr>
              <w:t>5,535.0</w:t>
            </w:r>
          </w:p>
        </w:tc>
        <w:tc>
          <w:tcPr>
            <w:tcW w:w="594" w:type="pct"/>
          </w:tcPr>
          <w:p w14:paraId="6C1BF025" w14:textId="77777777" w:rsidR="001A500E" w:rsidRPr="00F7332E" w:rsidRDefault="001A500E" w:rsidP="00D146B4">
            <w:pPr>
              <w:jc w:val="right"/>
              <w:rPr>
                <w:rFonts w:eastAsia="Times New Roman" w:cs="Times New Roman"/>
                <w:sz w:val="15"/>
                <w:szCs w:val="15"/>
              </w:rPr>
            </w:pPr>
            <w:r w:rsidRPr="00F7332E">
              <w:rPr>
                <w:rFonts w:eastAsia="Times New Roman" w:cs="Times New Roman"/>
                <w:sz w:val="15"/>
                <w:szCs w:val="15"/>
              </w:rPr>
              <w:t>8,076.0</w:t>
            </w:r>
          </w:p>
        </w:tc>
        <w:tc>
          <w:tcPr>
            <w:tcW w:w="598" w:type="pct"/>
          </w:tcPr>
          <w:p w14:paraId="06D8A804" w14:textId="77777777" w:rsidR="001A500E" w:rsidRPr="00F7332E" w:rsidRDefault="001A500E" w:rsidP="00D146B4">
            <w:pPr>
              <w:jc w:val="right"/>
              <w:rPr>
                <w:rFonts w:eastAsia="Times New Roman" w:cs="Times New Roman"/>
                <w:sz w:val="15"/>
                <w:szCs w:val="15"/>
              </w:rPr>
            </w:pPr>
            <w:r w:rsidRPr="00F7332E">
              <w:rPr>
                <w:rFonts w:eastAsia="Times New Roman" w:cs="Times New Roman"/>
                <w:sz w:val="15"/>
                <w:szCs w:val="15"/>
              </w:rPr>
              <w:t>5,488.9</w:t>
            </w:r>
          </w:p>
        </w:tc>
        <w:tc>
          <w:tcPr>
            <w:tcW w:w="594" w:type="pct"/>
          </w:tcPr>
          <w:p w14:paraId="40B25C92" w14:textId="77777777" w:rsidR="001A500E" w:rsidRPr="00F7332E" w:rsidRDefault="001A500E" w:rsidP="00D146B4">
            <w:pPr>
              <w:jc w:val="right"/>
              <w:rPr>
                <w:rFonts w:eastAsia="Times New Roman" w:cs="Times New Roman"/>
                <w:sz w:val="15"/>
                <w:szCs w:val="15"/>
              </w:rPr>
            </w:pPr>
            <w:r w:rsidRPr="00F7332E">
              <w:rPr>
                <w:rFonts w:eastAsia="Times New Roman" w:cs="Times New Roman"/>
                <w:sz w:val="15"/>
                <w:szCs w:val="15"/>
              </w:rPr>
              <w:t>6,352.1</w:t>
            </w:r>
          </w:p>
        </w:tc>
      </w:tr>
      <w:tr w:rsidR="001A500E" w:rsidRPr="00F7332E" w14:paraId="5A2B8114" w14:textId="77777777" w:rsidTr="00C51D8E">
        <w:tc>
          <w:tcPr>
            <w:tcW w:w="1019" w:type="pct"/>
            <w:shd w:val="clear" w:color="auto" w:fill="C9DED4"/>
          </w:tcPr>
          <w:p w14:paraId="3E2D2297" w14:textId="77777777" w:rsidR="001A500E" w:rsidRPr="00F7332E" w:rsidRDefault="001A500E" w:rsidP="00707CF7">
            <w:pPr>
              <w:jc w:val="left"/>
              <w:rPr>
                <w:rFonts w:eastAsia="Times New Roman" w:cs="Times New Roman"/>
                <w:sz w:val="15"/>
                <w:szCs w:val="15"/>
              </w:rPr>
            </w:pPr>
            <w:r w:rsidRPr="00F7332E">
              <w:rPr>
                <w:rFonts w:eastAsia="Times New Roman" w:cs="Times New Roman"/>
                <w:sz w:val="15"/>
                <w:szCs w:val="15"/>
              </w:rPr>
              <w:t>Purchases below the threshold value</w:t>
            </w:r>
          </w:p>
        </w:tc>
        <w:tc>
          <w:tcPr>
            <w:tcW w:w="487" w:type="pct"/>
            <w:shd w:val="clear" w:color="auto" w:fill="C9DED4"/>
          </w:tcPr>
          <w:p w14:paraId="6494C8EE" w14:textId="77777777" w:rsidR="001A500E" w:rsidRPr="00F7332E" w:rsidRDefault="001A500E" w:rsidP="00D146B4">
            <w:pPr>
              <w:jc w:val="right"/>
              <w:rPr>
                <w:rFonts w:eastAsia="Times New Roman" w:cs="Times New Roman"/>
                <w:sz w:val="15"/>
                <w:szCs w:val="15"/>
              </w:rPr>
            </w:pPr>
            <w:r w:rsidRPr="00F7332E">
              <w:rPr>
                <w:rFonts w:eastAsia="Times New Roman" w:cs="Times New Roman"/>
                <w:sz w:val="15"/>
                <w:szCs w:val="15"/>
              </w:rPr>
              <w:t>898.9</w:t>
            </w:r>
          </w:p>
        </w:tc>
        <w:tc>
          <w:tcPr>
            <w:tcW w:w="535" w:type="pct"/>
            <w:shd w:val="clear" w:color="auto" w:fill="C9DED4"/>
          </w:tcPr>
          <w:p w14:paraId="3AED36A4" w14:textId="77777777" w:rsidR="001A500E" w:rsidRPr="00F7332E" w:rsidRDefault="001A500E" w:rsidP="00D146B4">
            <w:pPr>
              <w:jc w:val="right"/>
              <w:rPr>
                <w:rFonts w:eastAsia="Times New Roman" w:cs="Times New Roman"/>
                <w:sz w:val="15"/>
                <w:szCs w:val="15"/>
              </w:rPr>
            </w:pPr>
            <w:r w:rsidRPr="00F7332E">
              <w:rPr>
                <w:rFonts w:eastAsia="Times New Roman" w:cs="Times New Roman"/>
                <w:sz w:val="15"/>
                <w:szCs w:val="15"/>
              </w:rPr>
              <w:t>1,038.4</w:t>
            </w:r>
          </w:p>
        </w:tc>
        <w:tc>
          <w:tcPr>
            <w:tcW w:w="535" w:type="pct"/>
            <w:shd w:val="clear" w:color="auto" w:fill="C9DED4"/>
          </w:tcPr>
          <w:p w14:paraId="395605CC" w14:textId="77777777" w:rsidR="001A500E" w:rsidRPr="00F7332E" w:rsidRDefault="001A500E" w:rsidP="00D146B4">
            <w:pPr>
              <w:jc w:val="right"/>
              <w:rPr>
                <w:rFonts w:eastAsia="Times New Roman" w:cs="Times New Roman"/>
                <w:sz w:val="15"/>
                <w:szCs w:val="15"/>
              </w:rPr>
            </w:pPr>
            <w:r w:rsidRPr="00F7332E">
              <w:rPr>
                <w:rFonts w:eastAsia="Times New Roman" w:cs="Times New Roman"/>
                <w:sz w:val="15"/>
                <w:szCs w:val="15"/>
              </w:rPr>
              <w:t>1,199.5</w:t>
            </w:r>
          </w:p>
        </w:tc>
        <w:tc>
          <w:tcPr>
            <w:tcW w:w="637" w:type="pct"/>
            <w:shd w:val="clear" w:color="auto" w:fill="C9DED4"/>
          </w:tcPr>
          <w:p w14:paraId="3429433E" w14:textId="77777777" w:rsidR="001A500E" w:rsidRPr="00F7332E" w:rsidRDefault="001A500E" w:rsidP="00D146B4">
            <w:pPr>
              <w:jc w:val="right"/>
              <w:rPr>
                <w:rFonts w:eastAsia="Times New Roman" w:cs="Times New Roman"/>
                <w:sz w:val="15"/>
                <w:szCs w:val="15"/>
              </w:rPr>
            </w:pPr>
            <w:r w:rsidRPr="00F7332E">
              <w:rPr>
                <w:rFonts w:eastAsia="Times New Roman" w:cs="Times New Roman"/>
                <w:sz w:val="15"/>
                <w:szCs w:val="15"/>
              </w:rPr>
              <w:t>1,530.0</w:t>
            </w:r>
          </w:p>
        </w:tc>
        <w:tc>
          <w:tcPr>
            <w:tcW w:w="594" w:type="pct"/>
            <w:shd w:val="clear" w:color="auto" w:fill="C9DED4"/>
          </w:tcPr>
          <w:p w14:paraId="2E057D16" w14:textId="77777777" w:rsidR="001A500E" w:rsidRPr="00F7332E" w:rsidRDefault="001A500E" w:rsidP="00D146B4">
            <w:pPr>
              <w:jc w:val="right"/>
              <w:rPr>
                <w:rFonts w:eastAsia="Times New Roman" w:cs="Times New Roman"/>
                <w:sz w:val="15"/>
                <w:szCs w:val="15"/>
              </w:rPr>
            </w:pPr>
            <w:r w:rsidRPr="00F7332E">
              <w:rPr>
                <w:rFonts w:eastAsia="Times New Roman" w:cs="Times New Roman"/>
                <w:sz w:val="15"/>
                <w:szCs w:val="15"/>
              </w:rPr>
              <w:t>2,127.8</w:t>
            </w:r>
          </w:p>
        </w:tc>
        <w:tc>
          <w:tcPr>
            <w:tcW w:w="598" w:type="pct"/>
            <w:shd w:val="clear" w:color="auto" w:fill="C9DED4"/>
          </w:tcPr>
          <w:p w14:paraId="239C8D7C" w14:textId="77777777" w:rsidR="001A500E" w:rsidRPr="00F7332E" w:rsidRDefault="001A500E" w:rsidP="00D146B4">
            <w:pPr>
              <w:jc w:val="right"/>
              <w:rPr>
                <w:rFonts w:eastAsia="Times New Roman" w:cs="Times New Roman"/>
                <w:sz w:val="15"/>
                <w:szCs w:val="15"/>
              </w:rPr>
            </w:pPr>
            <w:r w:rsidRPr="00F7332E">
              <w:rPr>
                <w:rFonts w:eastAsia="Times New Roman" w:cs="Times New Roman"/>
                <w:sz w:val="15"/>
                <w:szCs w:val="15"/>
              </w:rPr>
              <w:t>1,462.2</w:t>
            </w:r>
          </w:p>
        </w:tc>
        <w:tc>
          <w:tcPr>
            <w:tcW w:w="594" w:type="pct"/>
            <w:shd w:val="clear" w:color="auto" w:fill="C9DED4"/>
          </w:tcPr>
          <w:p w14:paraId="47EC9561" w14:textId="77777777" w:rsidR="001A500E" w:rsidRPr="00F7332E" w:rsidRDefault="001A500E" w:rsidP="00D146B4">
            <w:pPr>
              <w:jc w:val="right"/>
              <w:rPr>
                <w:rFonts w:eastAsia="Times New Roman" w:cs="Times New Roman"/>
                <w:sz w:val="15"/>
                <w:szCs w:val="15"/>
              </w:rPr>
            </w:pPr>
            <w:r w:rsidRPr="00F7332E">
              <w:rPr>
                <w:rFonts w:eastAsia="Times New Roman" w:cs="Times New Roman"/>
                <w:sz w:val="15"/>
                <w:szCs w:val="15"/>
              </w:rPr>
              <w:t>1,785.9</w:t>
            </w:r>
          </w:p>
        </w:tc>
      </w:tr>
      <w:tr w:rsidR="001A500E" w:rsidRPr="00F7332E" w14:paraId="214DBF6D" w14:textId="77777777" w:rsidTr="00C51D8E">
        <w:tc>
          <w:tcPr>
            <w:tcW w:w="1019" w:type="pct"/>
          </w:tcPr>
          <w:p w14:paraId="5203CA1C" w14:textId="77777777" w:rsidR="001A500E" w:rsidRPr="00F7332E" w:rsidRDefault="001A500E" w:rsidP="00707CF7">
            <w:pPr>
              <w:jc w:val="left"/>
              <w:rPr>
                <w:rFonts w:eastAsia="Times New Roman" w:cs="Times New Roman"/>
                <w:sz w:val="15"/>
                <w:szCs w:val="15"/>
              </w:rPr>
            </w:pPr>
            <w:r w:rsidRPr="00F7332E">
              <w:rPr>
                <w:rFonts w:eastAsia="Times New Roman" w:cs="Times New Roman"/>
                <w:sz w:val="15"/>
                <w:szCs w:val="15"/>
              </w:rPr>
              <w:t xml:space="preserve">Domestic </w:t>
            </w:r>
            <w:r>
              <w:rPr>
                <w:rFonts w:eastAsia="Times New Roman" w:cs="Times New Roman"/>
                <w:sz w:val="15"/>
                <w:szCs w:val="15"/>
              </w:rPr>
              <w:t>open</w:t>
            </w:r>
            <w:r w:rsidRPr="00F7332E">
              <w:rPr>
                <w:rFonts w:eastAsia="Times New Roman" w:cs="Times New Roman"/>
                <w:sz w:val="15"/>
                <w:szCs w:val="15"/>
              </w:rPr>
              <w:t xml:space="preserve"> </w:t>
            </w:r>
            <w:r>
              <w:rPr>
                <w:rFonts w:eastAsia="Times New Roman" w:cs="Times New Roman"/>
                <w:sz w:val="15"/>
                <w:szCs w:val="15"/>
              </w:rPr>
              <w:t>tendering</w:t>
            </w:r>
          </w:p>
        </w:tc>
        <w:tc>
          <w:tcPr>
            <w:tcW w:w="487" w:type="pct"/>
          </w:tcPr>
          <w:p w14:paraId="766D78F3" w14:textId="77777777" w:rsidR="001A500E" w:rsidRPr="00F7332E" w:rsidRDefault="001A500E" w:rsidP="00D146B4">
            <w:pPr>
              <w:jc w:val="right"/>
              <w:rPr>
                <w:rFonts w:eastAsia="Times New Roman" w:cs="Times New Roman"/>
                <w:sz w:val="15"/>
                <w:szCs w:val="15"/>
              </w:rPr>
            </w:pPr>
            <w:r w:rsidRPr="00F7332E">
              <w:rPr>
                <w:rFonts w:eastAsia="Times New Roman" w:cs="Times New Roman"/>
                <w:sz w:val="15"/>
                <w:szCs w:val="15"/>
              </w:rPr>
              <w:t>13,111.8</w:t>
            </w:r>
          </w:p>
        </w:tc>
        <w:tc>
          <w:tcPr>
            <w:tcW w:w="535" w:type="pct"/>
          </w:tcPr>
          <w:p w14:paraId="60C5E7E1" w14:textId="77777777" w:rsidR="001A500E" w:rsidRPr="00F7332E" w:rsidRDefault="001A500E" w:rsidP="00D146B4">
            <w:pPr>
              <w:jc w:val="right"/>
              <w:rPr>
                <w:rFonts w:eastAsia="Times New Roman" w:cs="Times New Roman"/>
                <w:sz w:val="15"/>
                <w:szCs w:val="15"/>
              </w:rPr>
            </w:pPr>
            <w:r w:rsidRPr="00F7332E">
              <w:rPr>
                <w:rFonts w:eastAsia="Times New Roman" w:cs="Times New Roman"/>
                <w:sz w:val="15"/>
                <w:szCs w:val="15"/>
              </w:rPr>
              <w:t>12,885.8</w:t>
            </w:r>
          </w:p>
        </w:tc>
        <w:tc>
          <w:tcPr>
            <w:tcW w:w="535" w:type="pct"/>
          </w:tcPr>
          <w:p w14:paraId="235D8845" w14:textId="77777777" w:rsidR="001A500E" w:rsidRPr="00F7332E" w:rsidRDefault="001A500E" w:rsidP="00D146B4">
            <w:pPr>
              <w:jc w:val="right"/>
              <w:rPr>
                <w:rFonts w:eastAsia="Times New Roman" w:cs="Times New Roman"/>
                <w:sz w:val="15"/>
                <w:szCs w:val="15"/>
              </w:rPr>
            </w:pPr>
            <w:r w:rsidRPr="00F7332E">
              <w:rPr>
                <w:rFonts w:eastAsia="Times New Roman" w:cs="Times New Roman"/>
                <w:sz w:val="15"/>
                <w:szCs w:val="15"/>
              </w:rPr>
              <w:t>12,469.7</w:t>
            </w:r>
          </w:p>
        </w:tc>
        <w:tc>
          <w:tcPr>
            <w:tcW w:w="637" w:type="pct"/>
          </w:tcPr>
          <w:p w14:paraId="56417743" w14:textId="77777777" w:rsidR="001A500E" w:rsidRPr="00F7332E" w:rsidRDefault="001A500E" w:rsidP="00D146B4">
            <w:pPr>
              <w:jc w:val="right"/>
              <w:rPr>
                <w:rFonts w:eastAsia="Times New Roman" w:cs="Times New Roman"/>
                <w:sz w:val="15"/>
                <w:szCs w:val="15"/>
              </w:rPr>
            </w:pPr>
            <w:r w:rsidRPr="00F7332E">
              <w:rPr>
                <w:rFonts w:eastAsia="Times New Roman" w:cs="Times New Roman"/>
                <w:sz w:val="15"/>
                <w:szCs w:val="15"/>
              </w:rPr>
              <w:t>35,040.3</w:t>
            </w:r>
          </w:p>
        </w:tc>
        <w:tc>
          <w:tcPr>
            <w:tcW w:w="594" w:type="pct"/>
          </w:tcPr>
          <w:p w14:paraId="28892806" w14:textId="77777777" w:rsidR="001A500E" w:rsidRPr="00F7332E" w:rsidRDefault="001A500E" w:rsidP="00D146B4">
            <w:pPr>
              <w:jc w:val="right"/>
              <w:rPr>
                <w:rFonts w:eastAsia="Times New Roman" w:cs="Times New Roman"/>
                <w:sz w:val="15"/>
                <w:szCs w:val="15"/>
              </w:rPr>
            </w:pPr>
            <w:r w:rsidRPr="00F7332E">
              <w:rPr>
                <w:rFonts w:eastAsia="Times New Roman" w:cs="Times New Roman"/>
                <w:sz w:val="15"/>
                <w:szCs w:val="15"/>
              </w:rPr>
              <w:t>49,218.9</w:t>
            </w:r>
          </w:p>
        </w:tc>
        <w:tc>
          <w:tcPr>
            <w:tcW w:w="598" w:type="pct"/>
          </w:tcPr>
          <w:p w14:paraId="30D12A20" w14:textId="77777777" w:rsidR="001A500E" w:rsidRPr="00F7332E" w:rsidRDefault="001A500E" w:rsidP="00D146B4">
            <w:pPr>
              <w:jc w:val="right"/>
              <w:rPr>
                <w:rFonts w:eastAsia="Times New Roman" w:cs="Times New Roman"/>
                <w:sz w:val="15"/>
                <w:szCs w:val="15"/>
              </w:rPr>
            </w:pPr>
            <w:r w:rsidRPr="00F7332E">
              <w:rPr>
                <w:rFonts w:eastAsia="Times New Roman" w:cs="Times New Roman"/>
                <w:sz w:val="15"/>
                <w:szCs w:val="15"/>
              </w:rPr>
              <w:t>32,832.0</w:t>
            </w:r>
          </w:p>
        </w:tc>
        <w:tc>
          <w:tcPr>
            <w:tcW w:w="594" w:type="pct"/>
          </w:tcPr>
          <w:p w14:paraId="6349CD16" w14:textId="77777777" w:rsidR="001A500E" w:rsidRPr="00F7332E" w:rsidRDefault="001A500E" w:rsidP="00D146B4">
            <w:pPr>
              <w:jc w:val="right"/>
              <w:rPr>
                <w:rFonts w:eastAsia="Times New Roman" w:cs="Times New Roman"/>
                <w:sz w:val="15"/>
                <w:szCs w:val="15"/>
              </w:rPr>
            </w:pPr>
            <w:r w:rsidRPr="00F7332E">
              <w:rPr>
                <w:rFonts w:eastAsia="Times New Roman" w:cs="Times New Roman"/>
                <w:sz w:val="15"/>
                <w:szCs w:val="15"/>
              </w:rPr>
              <w:t>62,585.0</w:t>
            </w:r>
          </w:p>
        </w:tc>
      </w:tr>
      <w:tr w:rsidR="001A500E" w:rsidRPr="00F7332E" w14:paraId="55B6CD7B" w14:textId="77777777" w:rsidTr="00C51D8E">
        <w:tc>
          <w:tcPr>
            <w:tcW w:w="1019" w:type="pct"/>
            <w:shd w:val="clear" w:color="auto" w:fill="C9DED4"/>
          </w:tcPr>
          <w:p w14:paraId="3EB58ACB" w14:textId="77777777" w:rsidR="001A500E" w:rsidRPr="00F7332E" w:rsidRDefault="001A500E" w:rsidP="00707CF7">
            <w:pPr>
              <w:jc w:val="left"/>
              <w:rPr>
                <w:rFonts w:eastAsia="Times New Roman" w:cs="Times New Roman"/>
                <w:sz w:val="15"/>
                <w:szCs w:val="15"/>
              </w:rPr>
            </w:pPr>
            <w:r w:rsidRPr="00F7332E">
              <w:rPr>
                <w:rFonts w:eastAsia="Times New Roman" w:cs="Times New Roman"/>
                <w:sz w:val="15"/>
                <w:szCs w:val="15"/>
              </w:rPr>
              <w:t xml:space="preserve">International </w:t>
            </w:r>
            <w:r>
              <w:rPr>
                <w:rFonts w:eastAsia="Times New Roman" w:cs="Times New Roman"/>
                <w:sz w:val="15"/>
                <w:szCs w:val="15"/>
              </w:rPr>
              <w:t>open tendering</w:t>
            </w:r>
          </w:p>
        </w:tc>
        <w:tc>
          <w:tcPr>
            <w:tcW w:w="487" w:type="pct"/>
            <w:shd w:val="clear" w:color="auto" w:fill="C9DED4"/>
          </w:tcPr>
          <w:p w14:paraId="559A718D" w14:textId="77777777" w:rsidR="001A500E" w:rsidRPr="00F7332E" w:rsidRDefault="001A500E" w:rsidP="00D146B4">
            <w:pPr>
              <w:jc w:val="right"/>
              <w:rPr>
                <w:rFonts w:eastAsia="Times New Roman" w:cs="Times New Roman"/>
                <w:sz w:val="15"/>
                <w:szCs w:val="15"/>
              </w:rPr>
            </w:pPr>
            <w:r w:rsidRPr="00F7332E">
              <w:rPr>
                <w:rFonts w:eastAsia="Times New Roman" w:cs="Times New Roman"/>
                <w:sz w:val="15"/>
                <w:szCs w:val="15"/>
              </w:rPr>
              <w:t>0.0</w:t>
            </w:r>
          </w:p>
        </w:tc>
        <w:tc>
          <w:tcPr>
            <w:tcW w:w="535" w:type="pct"/>
            <w:shd w:val="clear" w:color="auto" w:fill="C9DED4"/>
          </w:tcPr>
          <w:p w14:paraId="210305F7" w14:textId="77777777" w:rsidR="001A500E" w:rsidRPr="00F7332E" w:rsidRDefault="001A500E" w:rsidP="00D146B4">
            <w:pPr>
              <w:jc w:val="right"/>
              <w:rPr>
                <w:rFonts w:eastAsia="Times New Roman" w:cs="Times New Roman"/>
                <w:sz w:val="15"/>
                <w:szCs w:val="15"/>
              </w:rPr>
            </w:pPr>
            <w:r w:rsidRPr="00F7332E">
              <w:rPr>
                <w:rFonts w:eastAsia="Times New Roman" w:cs="Times New Roman"/>
                <w:sz w:val="15"/>
                <w:szCs w:val="15"/>
              </w:rPr>
              <w:t>0.0</w:t>
            </w:r>
          </w:p>
        </w:tc>
        <w:tc>
          <w:tcPr>
            <w:tcW w:w="535" w:type="pct"/>
            <w:shd w:val="clear" w:color="auto" w:fill="C9DED4"/>
          </w:tcPr>
          <w:p w14:paraId="0C08A31C" w14:textId="77777777" w:rsidR="001A500E" w:rsidRPr="00F7332E" w:rsidRDefault="001A500E" w:rsidP="00D146B4">
            <w:pPr>
              <w:jc w:val="right"/>
              <w:rPr>
                <w:rFonts w:eastAsia="Times New Roman" w:cs="Times New Roman"/>
                <w:sz w:val="15"/>
                <w:szCs w:val="15"/>
              </w:rPr>
            </w:pPr>
            <w:r w:rsidRPr="00F7332E">
              <w:rPr>
                <w:rFonts w:eastAsia="Times New Roman" w:cs="Times New Roman"/>
                <w:sz w:val="15"/>
                <w:szCs w:val="15"/>
              </w:rPr>
              <w:t>0.0</w:t>
            </w:r>
          </w:p>
        </w:tc>
        <w:tc>
          <w:tcPr>
            <w:tcW w:w="637" w:type="pct"/>
            <w:shd w:val="clear" w:color="auto" w:fill="C9DED4"/>
          </w:tcPr>
          <w:p w14:paraId="42661C7F" w14:textId="77777777" w:rsidR="001A500E" w:rsidRPr="00F7332E" w:rsidRDefault="001A500E" w:rsidP="00D146B4">
            <w:pPr>
              <w:jc w:val="right"/>
              <w:rPr>
                <w:rFonts w:eastAsia="Times New Roman" w:cs="Times New Roman"/>
                <w:sz w:val="15"/>
                <w:szCs w:val="15"/>
              </w:rPr>
            </w:pPr>
            <w:r w:rsidRPr="00F7332E">
              <w:rPr>
                <w:rFonts w:eastAsia="Times New Roman" w:cs="Times New Roman"/>
                <w:sz w:val="15"/>
                <w:szCs w:val="15"/>
              </w:rPr>
              <w:t>195.3</w:t>
            </w:r>
          </w:p>
        </w:tc>
        <w:tc>
          <w:tcPr>
            <w:tcW w:w="594" w:type="pct"/>
            <w:shd w:val="clear" w:color="auto" w:fill="C9DED4"/>
          </w:tcPr>
          <w:p w14:paraId="62601E3C" w14:textId="77777777" w:rsidR="001A500E" w:rsidRPr="00F7332E" w:rsidRDefault="001A500E" w:rsidP="00D146B4">
            <w:pPr>
              <w:jc w:val="right"/>
              <w:rPr>
                <w:rFonts w:eastAsia="Times New Roman" w:cs="Times New Roman"/>
                <w:sz w:val="15"/>
                <w:szCs w:val="15"/>
              </w:rPr>
            </w:pPr>
            <w:r w:rsidRPr="00F7332E">
              <w:rPr>
                <w:rFonts w:eastAsia="Times New Roman" w:cs="Times New Roman"/>
                <w:sz w:val="15"/>
                <w:szCs w:val="15"/>
              </w:rPr>
              <w:t>3,972.2</w:t>
            </w:r>
          </w:p>
        </w:tc>
        <w:tc>
          <w:tcPr>
            <w:tcW w:w="598" w:type="pct"/>
            <w:shd w:val="clear" w:color="auto" w:fill="C9DED4"/>
          </w:tcPr>
          <w:p w14:paraId="1C74C56E" w14:textId="77777777" w:rsidR="001A500E" w:rsidRPr="00F7332E" w:rsidRDefault="001A500E" w:rsidP="00D146B4">
            <w:pPr>
              <w:jc w:val="right"/>
              <w:rPr>
                <w:rFonts w:eastAsia="Times New Roman" w:cs="Times New Roman"/>
                <w:sz w:val="15"/>
                <w:szCs w:val="15"/>
              </w:rPr>
            </w:pPr>
            <w:r w:rsidRPr="00F7332E">
              <w:rPr>
                <w:rFonts w:eastAsia="Times New Roman" w:cs="Times New Roman"/>
                <w:sz w:val="15"/>
                <w:szCs w:val="15"/>
              </w:rPr>
              <w:t>11,001.5</w:t>
            </w:r>
          </w:p>
        </w:tc>
        <w:tc>
          <w:tcPr>
            <w:tcW w:w="594" w:type="pct"/>
            <w:shd w:val="clear" w:color="auto" w:fill="C9DED4"/>
          </w:tcPr>
          <w:p w14:paraId="46C6DA70" w14:textId="77777777" w:rsidR="001A500E" w:rsidRPr="00F7332E" w:rsidRDefault="001A500E" w:rsidP="00D146B4">
            <w:pPr>
              <w:jc w:val="right"/>
              <w:rPr>
                <w:rFonts w:eastAsia="Times New Roman" w:cs="Times New Roman"/>
                <w:sz w:val="15"/>
                <w:szCs w:val="15"/>
              </w:rPr>
            </w:pPr>
            <w:r w:rsidRPr="00F7332E">
              <w:rPr>
                <w:rFonts w:eastAsia="Times New Roman" w:cs="Times New Roman"/>
                <w:sz w:val="15"/>
                <w:szCs w:val="15"/>
              </w:rPr>
              <w:t>396.6</w:t>
            </w:r>
          </w:p>
        </w:tc>
      </w:tr>
      <w:tr w:rsidR="001A500E" w:rsidRPr="00F7332E" w14:paraId="01EC2DE9" w14:textId="77777777" w:rsidTr="00C51D8E">
        <w:tc>
          <w:tcPr>
            <w:tcW w:w="1019" w:type="pct"/>
          </w:tcPr>
          <w:p w14:paraId="60F5DCDF" w14:textId="77777777" w:rsidR="001A500E" w:rsidRPr="00F7332E" w:rsidRDefault="001A500E" w:rsidP="00D146B4">
            <w:pPr>
              <w:rPr>
                <w:rFonts w:eastAsia="Times New Roman" w:cs="Times New Roman"/>
                <w:sz w:val="15"/>
                <w:szCs w:val="15"/>
              </w:rPr>
            </w:pPr>
            <w:r w:rsidRPr="00F7332E">
              <w:rPr>
                <w:rFonts w:eastAsia="Times New Roman" w:cs="Times New Roman"/>
                <w:sz w:val="15"/>
                <w:szCs w:val="15"/>
              </w:rPr>
              <w:t xml:space="preserve">Restricted </w:t>
            </w:r>
            <w:r>
              <w:rPr>
                <w:rFonts w:eastAsia="Times New Roman" w:cs="Times New Roman"/>
                <w:sz w:val="15"/>
                <w:szCs w:val="15"/>
              </w:rPr>
              <w:t>tendering</w:t>
            </w:r>
          </w:p>
        </w:tc>
        <w:tc>
          <w:tcPr>
            <w:tcW w:w="487" w:type="pct"/>
          </w:tcPr>
          <w:p w14:paraId="53273426" w14:textId="77777777" w:rsidR="001A500E" w:rsidRPr="00F7332E" w:rsidRDefault="001A500E" w:rsidP="00D146B4">
            <w:pPr>
              <w:jc w:val="right"/>
              <w:rPr>
                <w:rFonts w:eastAsia="Times New Roman" w:cs="Times New Roman"/>
                <w:sz w:val="15"/>
                <w:szCs w:val="15"/>
              </w:rPr>
            </w:pPr>
            <w:r w:rsidRPr="00F7332E">
              <w:rPr>
                <w:rFonts w:eastAsia="Times New Roman" w:cs="Times New Roman"/>
                <w:sz w:val="15"/>
                <w:szCs w:val="15"/>
              </w:rPr>
              <w:t>1,510.4</w:t>
            </w:r>
          </w:p>
        </w:tc>
        <w:tc>
          <w:tcPr>
            <w:tcW w:w="535" w:type="pct"/>
          </w:tcPr>
          <w:p w14:paraId="2208672E" w14:textId="77777777" w:rsidR="001A500E" w:rsidRPr="00F7332E" w:rsidRDefault="001A500E" w:rsidP="00D146B4">
            <w:pPr>
              <w:jc w:val="right"/>
              <w:rPr>
                <w:rFonts w:eastAsia="Times New Roman" w:cs="Times New Roman"/>
                <w:sz w:val="15"/>
                <w:szCs w:val="15"/>
              </w:rPr>
            </w:pPr>
            <w:r w:rsidRPr="00F7332E">
              <w:rPr>
                <w:rFonts w:eastAsia="Times New Roman" w:cs="Times New Roman"/>
                <w:sz w:val="15"/>
                <w:szCs w:val="15"/>
              </w:rPr>
              <w:t>1,384.6</w:t>
            </w:r>
          </w:p>
        </w:tc>
        <w:tc>
          <w:tcPr>
            <w:tcW w:w="535" w:type="pct"/>
          </w:tcPr>
          <w:p w14:paraId="376B0D3A" w14:textId="77777777" w:rsidR="001A500E" w:rsidRPr="00F7332E" w:rsidRDefault="001A500E" w:rsidP="00D146B4">
            <w:pPr>
              <w:jc w:val="right"/>
              <w:rPr>
                <w:rFonts w:eastAsia="Times New Roman" w:cs="Times New Roman"/>
                <w:sz w:val="15"/>
                <w:szCs w:val="15"/>
              </w:rPr>
            </w:pPr>
            <w:r w:rsidRPr="00F7332E">
              <w:rPr>
                <w:rFonts w:eastAsia="Times New Roman" w:cs="Times New Roman"/>
                <w:sz w:val="15"/>
                <w:szCs w:val="15"/>
              </w:rPr>
              <w:t>258.2</w:t>
            </w:r>
          </w:p>
        </w:tc>
        <w:tc>
          <w:tcPr>
            <w:tcW w:w="637" w:type="pct"/>
          </w:tcPr>
          <w:p w14:paraId="20E748C8" w14:textId="77777777" w:rsidR="001A500E" w:rsidRPr="00F7332E" w:rsidRDefault="001A500E" w:rsidP="00D146B4">
            <w:pPr>
              <w:jc w:val="right"/>
              <w:rPr>
                <w:rFonts w:eastAsia="Times New Roman" w:cs="Times New Roman"/>
                <w:sz w:val="15"/>
                <w:szCs w:val="15"/>
              </w:rPr>
            </w:pPr>
            <w:r w:rsidRPr="00F7332E">
              <w:rPr>
                <w:rFonts w:eastAsia="Times New Roman" w:cs="Times New Roman"/>
                <w:sz w:val="15"/>
                <w:szCs w:val="15"/>
              </w:rPr>
              <w:t>245.1</w:t>
            </w:r>
          </w:p>
        </w:tc>
        <w:tc>
          <w:tcPr>
            <w:tcW w:w="594" w:type="pct"/>
          </w:tcPr>
          <w:p w14:paraId="63DFEAE9" w14:textId="77777777" w:rsidR="001A500E" w:rsidRPr="00F7332E" w:rsidRDefault="001A500E" w:rsidP="00D146B4">
            <w:pPr>
              <w:jc w:val="right"/>
              <w:rPr>
                <w:rFonts w:eastAsia="Times New Roman" w:cs="Times New Roman"/>
                <w:sz w:val="15"/>
                <w:szCs w:val="15"/>
              </w:rPr>
            </w:pPr>
            <w:r w:rsidRPr="00F7332E">
              <w:rPr>
                <w:rFonts w:eastAsia="Times New Roman" w:cs="Times New Roman"/>
                <w:sz w:val="15"/>
                <w:szCs w:val="15"/>
              </w:rPr>
              <w:t>244.4</w:t>
            </w:r>
          </w:p>
        </w:tc>
        <w:tc>
          <w:tcPr>
            <w:tcW w:w="598" w:type="pct"/>
          </w:tcPr>
          <w:p w14:paraId="2043C6B6" w14:textId="77777777" w:rsidR="001A500E" w:rsidRPr="00F7332E" w:rsidRDefault="001A500E" w:rsidP="00D146B4">
            <w:pPr>
              <w:jc w:val="right"/>
              <w:rPr>
                <w:rFonts w:eastAsia="Times New Roman" w:cs="Times New Roman"/>
                <w:sz w:val="15"/>
                <w:szCs w:val="15"/>
              </w:rPr>
            </w:pPr>
            <w:r w:rsidRPr="00F7332E">
              <w:rPr>
                <w:rFonts w:eastAsia="Times New Roman" w:cs="Times New Roman"/>
                <w:sz w:val="15"/>
                <w:szCs w:val="15"/>
              </w:rPr>
              <w:t>1,652.3</w:t>
            </w:r>
          </w:p>
        </w:tc>
        <w:tc>
          <w:tcPr>
            <w:tcW w:w="594" w:type="pct"/>
          </w:tcPr>
          <w:p w14:paraId="632AF454" w14:textId="77777777" w:rsidR="001A500E" w:rsidRPr="00F7332E" w:rsidRDefault="001A500E" w:rsidP="00D146B4">
            <w:pPr>
              <w:jc w:val="right"/>
              <w:rPr>
                <w:rFonts w:eastAsia="Times New Roman" w:cs="Times New Roman"/>
                <w:sz w:val="15"/>
                <w:szCs w:val="15"/>
              </w:rPr>
            </w:pPr>
            <w:r w:rsidRPr="00F7332E">
              <w:rPr>
                <w:rFonts w:eastAsia="Times New Roman" w:cs="Times New Roman"/>
                <w:sz w:val="15"/>
                <w:szCs w:val="15"/>
              </w:rPr>
              <w:t>270.2</w:t>
            </w:r>
          </w:p>
        </w:tc>
      </w:tr>
      <w:tr w:rsidR="001A500E" w:rsidRPr="00F7332E" w14:paraId="0F4D1AA5" w14:textId="77777777" w:rsidTr="00C51D8E">
        <w:tc>
          <w:tcPr>
            <w:tcW w:w="1019" w:type="pct"/>
            <w:shd w:val="clear" w:color="auto" w:fill="C9DED4"/>
          </w:tcPr>
          <w:p w14:paraId="5CA9ECA1" w14:textId="77777777" w:rsidR="001A500E" w:rsidRPr="00F7332E" w:rsidRDefault="001A500E" w:rsidP="00D146B4">
            <w:pPr>
              <w:rPr>
                <w:rFonts w:eastAsia="Times New Roman" w:cs="Times New Roman"/>
                <w:sz w:val="15"/>
                <w:szCs w:val="15"/>
              </w:rPr>
            </w:pPr>
            <w:r w:rsidRPr="00F7332E">
              <w:rPr>
                <w:rFonts w:eastAsia="Times New Roman" w:cs="Times New Roman"/>
                <w:sz w:val="15"/>
                <w:szCs w:val="15"/>
              </w:rPr>
              <w:t>Exceptional procedures</w:t>
            </w:r>
          </w:p>
        </w:tc>
        <w:tc>
          <w:tcPr>
            <w:tcW w:w="487" w:type="pct"/>
            <w:shd w:val="clear" w:color="auto" w:fill="C9DED4"/>
          </w:tcPr>
          <w:p w14:paraId="7DE7C40A" w14:textId="77777777" w:rsidR="001A500E" w:rsidRPr="00F7332E" w:rsidRDefault="001A500E" w:rsidP="00D146B4">
            <w:pPr>
              <w:jc w:val="right"/>
              <w:rPr>
                <w:rFonts w:eastAsia="Times New Roman" w:cs="Times New Roman"/>
                <w:sz w:val="15"/>
                <w:szCs w:val="15"/>
              </w:rPr>
            </w:pPr>
            <w:r w:rsidRPr="00F7332E">
              <w:rPr>
                <w:rFonts w:eastAsia="Times New Roman" w:cs="Times New Roman"/>
                <w:sz w:val="15"/>
                <w:szCs w:val="15"/>
              </w:rPr>
              <w:t>15,198.4</w:t>
            </w:r>
          </w:p>
        </w:tc>
        <w:tc>
          <w:tcPr>
            <w:tcW w:w="535" w:type="pct"/>
            <w:shd w:val="clear" w:color="auto" w:fill="C9DED4"/>
          </w:tcPr>
          <w:p w14:paraId="3F58A586" w14:textId="77777777" w:rsidR="001A500E" w:rsidRPr="00F7332E" w:rsidRDefault="001A500E" w:rsidP="00D146B4">
            <w:pPr>
              <w:jc w:val="right"/>
              <w:rPr>
                <w:rFonts w:eastAsia="Times New Roman" w:cs="Times New Roman"/>
                <w:sz w:val="15"/>
                <w:szCs w:val="15"/>
              </w:rPr>
            </w:pPr>
            <w:r w:rsidRPr="00F7332E">
              <w:rPr>
                <w:rFonts w:eastAsia="Times New Roman" w:cs="Times New Roman"/>
                <w:sz w:val="15"/>
                <w:szCs w:val="15"/>
              </w:rPr>
              <w:t>16,009.4</w:t>
            </w:r>
          </w:p>
        </w:tc>
        <w:tc>
          <w:tcPr>
            <w:tcW w:w="535" w:type="pct"/>
            <w:shd w:val="clear" w:color="auto" w:fill="C9DED4"/>
          </w:tcPr>
          <w:p w14:paraId="46D2E31D" w14:textId="77777777" w:rsidR="001A500E" w:rsidRPr="00F7332E" w:rsidRDefault="001A500E" w:rsidP="00D146B4">
            <w:pPr>
              <w:jc w:val="right"/>
              <w:rPr>
                <w:rFonts w:eastAsia="Times New Roman" w:cs="Times New Roman"/>
                <w:sz w:val="15"/>
                <w:szCs w:val="15"/>
              </w:rPr>
            </w:pPr>
            <w:r w:rsidRPr="00F7332E">
              <w:rPr>
                <w:rFonts w:eastAsia="Times New Roman" w:cs="Times New Roman"/>
                <w:sz w:val="15"/>
                <w:szCs w:val="15"/>
              </w:rPr>
              <w:t>13,558.7</w:t>
            </w:r>
          </w:p>
        </w:tc>
        <w:tc>
          <w:tcPr>
            <w:tcW w:w="637" w:type="pct"/>
            <w:shd w:val="clear" w:color="auto" w:fill="C9DED4"/>
          </w:tcPr>
          <w:p w14:paraId="235FBCC8" w14:textId="77777777" w:rsidR="001A500E" w:rsidRPr="00F7332E" w:rsidRDefault="001A500E" w:rsidP="00D146B4">
            <w:pPr>
              <w:jc w:val="right"/>
              <w:rPr>
                <w:rFonts w:eastAsia="Times New Roman" w:cs="Times New Roman"/>
                <w:sz w:val="15"/>
                <w:szCs w:val="15"/>
              </w:rPr>
            </w:pPr>
            <w:r w:rsidRPr="00F7332E">
              <w:rPr>
                <w:rFonts w:eastAsia="Times New Roman" w:cs="Times New Roman"/>
                <w:sz w:val="15"/>
                <w:szCs w:val="15"/>
              </w:rPr>
              <w:t>17,655.1</w:t>
            </w:r>
          </w:p>
        </w:tc>
        <w:tc>
          <w:tcPr>
            <w:tcW w:w="594" w:type="pct"/>
            <w:shd w:val="clear" w:color="auto" w:fill="C9DED4"/>
          </w:tcPr>
          <w:p w14:paraId="2ADA180E" w14:textId="77777777" w:rsidR="001A500E" w:rsidRPr="00F7332E" w:rsidRDefault="001A500E" w:rsidP="00D146B4">
            <w:pPr>
              <w:jc w:val="right"/>
              <w:rPr>
                <w:rFonts w:eastAsia="Times New Roman" w:cs="Times New Roman"/>
                <w:sz w:val="15"/>
                <w:szCs w:val="15"/>
              </w:rPr>
            </w:pPr>
            <w:r w:rsidRPr="00F7332E">
              <w:rPr>
                <w:rFonts w:eastAsia="Times New Roman" w:cs="Times New Roman"/>
                <w:sz w:val="15"/>
                <w:szCs w:val="15"/>
              </w:rPr>
              <w:t>30,264.5</w:t>
            </w:r>
          </w:p>
        </w:tc>
        <w:tc>
          <w:tcPr>
            <w:tcW w:w="598" w:type="pct"/>
            <w:shd w:val="clear" w:color="auto" w:fill="C9DED4"/>
          </w:tcPr>
          <w:p w14:paraId="0BD98AEF" w14:textId="77777777" w:rsidR="001A500E" w:rsidRPr="00F7332E" w:rsidRDefault="001A500E" w:rsidP="00D146B4">
            <w:pPr>
              <w:jc w:val="right"/>
              <w:rPr>
                <w:rFonts w:eastAsia="Times New Roman" w:cs="Times New Roman"/>
                <w:sz w:val="15"/>
                <w:szCs w:val="15"/>
              </w:rPr>
            </w:pPr>
            <w:r w:rsidRPr="00F7332E">
              <w:rPr>
                <w:rFonts w:eastAsia="Times New Roman" w:cs="Times New Roman"/>
                <w:sz w:val="15"/>
                <w:szCs w:val="15"/>
              </w:rPr>
              <w:t>41,684.7</w:t>
            </w:r>
          </w:p>
        </w:tc>
        <w:tc>
          <w:tcPr>
            <w:tcW w:w="594" w:type="pct"/>
            <w:shd w:val="clear" w:color="auto" w:fill="C9DED4"/>
          </w:tcPr>
          <w:p w14:paraId="33B3AEFE" w14:textId="77777777" w:rsidR="001A500E" w:rsidRPr="00F7332E" w:rsidRDefault="001A500E" w:rsidP="00D146B4">
            <w:pPr>
              <w:jc w:val="right"/>
              <w:rPr>
                <w:rFonts w:eastAsia="Times New Roman" w:cs="Times New Roman"/>
                <w:sz w:val="15"/>
                <w:szCs w:val="15"/>
              </w:rPr>
            </w:pPr>
            <w:r w:rsidRPr="00F7332E">
              <w:rPr>
                <w:rFonts w:eastAsia="Times New Roman" w:cs="Times New Roman"/>
                <w:sz w:val="15"/>
                <w:szCs w:val="15"/>
              </w:rPr>
              <w:t>47,028.8</w:t>
            </w:r>
          </w:p>
        </w:tc>
      </w:tr>
      <w:tr w:rsidR="001A500E" w:rsidRPr="00F7332E" w14:paraId="2429EC22" w14:textId="77777777" w:rsidTr="00C51D8E">
        <w:tc>
          <w:tcPr>
            <w:tcW w:w="1019" w:type="pct"/>
          </w:tcPr>
          <w:p w14:paraId="1C03F3A6" w14:textId="77777777" w:rsidR="001A500E" w:rsidRPr="00F7332E" w:rsidRDefault="001A500E" w:rsidP="00707CF7">
            <w:pPr>
              <w:jc w:val="left"/>
              <w:rPr>
                <w:rFonts w:eastAsia="Times New Roman" w:cs="Times New Roman"/>
                <w:sz w:val="15"/>
                <w:szCs w:val="15"/>
              </w:rPr>
            </w:pPr>
            <w:r w:rsidRPr="00F7332E">
              <w:rPr>
                <w:rFonts w:eastAsia="Times New Roman" w:cs="Times New Roman"/>
                <w:sz w:val="15"/>
                <w:szCs w:val="15"/>
              </w:rPr>
              <w:t xml:space="preserve">Lotteries for </w:t>
            </w:r>
            <w:r>
              <w:rPr>
                <w:rFonts w:eastAsia="Times New Roman" w:cs="Times New Roman"/>
                <w:sz w:val="15"/>
                <w:szCs w:val="15"/>
              </w:rPr>
              <w:t>construction contracts</w:t>
            </w:r>
          </w:p>
        </w:tc>
        <w:tc>
          <w:tcPr>
            <w:tcW w:w="487" w:type="pct"/>
          </w:tcPr>
          <w:p w14:paraId="5EA6FAA0" w14:textId="77777777" w:rsidR="001A500E" w:rsidRPr="00F7332E" w:rsidRDefault="001A500E" w:rsidP="00D146B4">
            <w:pPr>
              <w:jc w:val="right"/>
              <w:rPr>
                <w:rFonts w:eastAsia="Times New Roman" w:cs="Times New Roman"/>
                <w:sz w:val="15"/>
                <w:szCs w:val="15"/>
              </w:rPr>
            </w:pPr>
            <w:r w:rsidRPr="00F7332E">
              <w:rPr>
                <w:rFonts w:eastAsia="Times New Roman" w:cs="Times New Roman"/>
                <w:sz w:val="15"/>
                <w:szCs w:val="15"/>
              </w:rPr>
              <w:t>502.8</w:t>
            </w:r>
          </w:p>
        </w:tc>
        <w:tc>
          <w:tcPr>
            <w:tcW w:w="535" w:type="pct"/>
          </w:tcPr>
          <w:p w14:paraId="46E9A55D" w14:textId="77777777" w:rsidR="001A500E" w:rsidRPr="00F7332E" w:rsidRDefault="001A500E" w:rsidP="00D146B4">
            <w:pPr>
              <w:jc w:val="right"/>
              <w:rPr>
                <w:rFonts w:eastAsia="Times New Roman" w:cs="Times New Roman"/>
                <w:sz w:val="15"/>
                <w:szCs w:val="15"/>
              </w:rPr>
            </w:pPr>
            <w:r w:rsidRPr="00F7332E">
              <w:rPr>
                <w:rFonts w:eastAsia="Times New Roman" w:cs="Times New Roman"/>
                <w:sz w:val="15"/>
                <w:szCs w:val="15"/>
              </w:rPr>
              <w:t>80.1</w:t>
            </w:r>
          </w:p>
        </w:tc>
        <w:tc>
          <w:tcPr>
            <w:tcW w:w="535" w:type="pct"/>
          </w:tcPr>
          <w:p w14:paraId="0C79C771" w14:textId="77777777" w:rsidR="001A500E" w:rsidRPr="00F7332E" w:rsidRDefault="001A500E" w:rsidP="00D146B4">
            <w:pPr>
              <w:jc w:val="right"/>
              <w:rPr>
                <w:rFonts w:eastAsia="Times New Roman" w:cs="Times New Roman"/>
                <w:sz w:val="15"/>
                <w:szCs w:val="15"/>
              </w:rPr>
            </w:pPr>
            <w:r w:rsidRPr="00F7332E">
              <w:rPr>
                <w:rFonts w:eastAsia="Times New Roman" w:cs="Times New Roman"/>
                <w:sz w:val="15"/>
                <w:szCs w:val="15"/>
              </w:rPr>
              <w:t>70.1</w:t>
            </w:r>
          </w:p>
        </w:tc>
        <w:tc>
          <w:tcPr>
            <w:tcW w:w="637" w:type="pct"/>
          </w:tcPr>
          <w:p w14:paraId="36E4E7AF" w14:textId="77777777" w:rsidR="001A500E" w:rsidRPr="00F7332E" w:rsidRDefault="001A500E" w:rsidP="00D146B4">
            <w:pPr>
              <w:jc w:val="right"/>
              <w:rPr>
                <w:rFonts w:eastAsia="Times New Roman" w:cs="Times New Roman"/>
                <w:sz w:val="15"/>
                <w:szCs w:val="15"/>
              </w:rPr>
            </w:pPr>
            <w:r w:rsidRPr="00F7332E">
              <w:rPr>
                <w:rFonts w:eastAsia="Times New Roman" w:cs="Times New Roman"/>
                <w:sz w:val="15"/>
                <w:szCs w:val="15"/>
              </w:rPr>
              <w:t>49.3</w:t>
            </w:r>
          </w:p>
        </w:tc>
        <w:tc>
          <w:tcPr>
            <w:tcW w:w="594" w:type="pct"/>
          </w:tcPr>
          <w:p w14:paraId="0698EFCE" w14:textId="77777777" w:rsidR="001A500E" w:rsidRPr="00F7332E" w:rsidRDefault="001A500E" w:rsidP="00D146B4">
            <w:pPr>
              <w:jc w:val="right"/>
              <w:rPr>
                <w:rFonts w:eastAsia="Times New Roman" w:cs="Times New Roman"/>
                <w:sz w:val="15"/>
                <w:szCs w:val="15"/>
              </w:rPr>
            </w:pPr>
            <w:r w:rsidRPr="00F7332E">
              <w:rPr>
                <w:rFonts w:eastAsia="Times New Roman" w:cs="Times New Roman"/>
                <w:sz w:val="15"/>
                <w:szCs w:val="15"/>
              </w:rPr>
              <w:t>1,317.0</w:t>
            </w:r>
          </w:p>
        </w:tc>
        <w:tc>
          <w:tcPr>
            <w:tcW w:w="598" w:type="pct"/>
          </w:tcPr>
          <w:p w14:paraId="34347366" w14:textId="77777777" w:rsidR="001A500E" w:rsidRPr="00F7332E" w:rsidRDefault="001A500E" w:rsidP="00D146B4">
            <w:pPr>
              <w:jc w:val="right"/>
              <w:rPr>
                <w:rFonts w:eastAsia="Times New Roman" w:cs="Times New Roman"/>
                <w:sz w:val="15"/>
                <w:szCs w:val="15"/>
              </w:rPr>
            </w:pPr>
            <w:r w:rsidRPr="00F7332E">
              <w:rPr>
                <w:rFonts w:eastAsia="Times New Roman" w:cs="Times New Roman"/>
                <w:sz w:val="15"/>
                <w:szCs w:val="15"/>
              </w:rPr>
              <w:t>205.0</w:t>
            </w:r>
          </w:p>
        </w:tc>
        <w:tc>
          <w:tcPr>
            <w:tcW w:w="594" w:type="pct"/>
          </w:tcPr>
          <w:p w14:paraId="5B3BE76B" w14:textId="77777777" w:rsidR="001A500E" w:rsidRPr="00F7332E" w:rsidRDefault="001A500E" w:rsidP="00D146B4">
            <w:pPr>
              <w:jc w:val="right"/>
              <w:rPr>
                <w:rFonts w:eastAsia="Times New Roman" w:cs="Times New Roman"/>
                <w:sz w:val="15"/>
                <w:szCs w:val="15"/>
              </w:rPr>
            </w:pPr>
            <w:r w:rsidRPr="00F7332E">
              <w:rPr>
                <w:rFonts w:eastAsia="Times New Roman" w:cs="Times New Roman"/>
                <w:sz w:val="15"/>
                <w:szCs w:val="15"/>
              </w:rPr>
              <w:t>118.1</w:t>
            </w:r>
          </w:p>
        </w:tc>
      </w:tr>
      <w:tr w:rsidR="001A500E" w:rsidRPr="00F7332E" w14:paraId="27A8DFB7" w14:textId="77777777" w:rsidTr="00C51D8E">
        <w:tc>
          <w:tcPr>
            <w:tcW w:w="1019" w:type="pct"/>
            <w:shd w:val="clear" w:color="auto" w:fill="C9DED4"/>
          </w:tcPr>
          <w:p w14:paraId="77549C48" w14:textId="77777777" w:rsidR="001A500E" w:rsidRPr="00F7332E" w:rsidRDefault="001A500E" w:rsidP="00D146B4">
            <w:pPr>
              <w:rPr>
                <w:rFonts w:eastAsia="Times New Roman" w:cs="Times New Roman"/>
                <w:sz w:val="15"/>
                <w:szCs w:val="15"/>
              </w:rPr>
            </w:pPr>
            <w:r w:rsidRPr="00F7332E">
              <w:rPr>
                <w:rFonts w:eastAsia="Times New Roman" w:cs="Times New Roman"/>
                <w:sz w:val="15"/>
                <w:szCs w:val="15"/>
              </w:rPr>
              <w:t>Reverse auction</w:t>
            </w:r>
          </w:p>
        </w:tc>
        <w:tc>
          <w:tcPr>
            <w:tcW w:w="487" w:type="pct"/>
            <w:shd w:val="clear" w:color="auto" w:fill="C9DED4"/>
          </w:tcPr>
          <w:p w14:paraId="03FC5E63" w14:textId="77777777" w:rsidR="001A500E" w:rsidRPr="00F7332E" w:rsidRDefault="001A500E" w:rsidP="00D146B4">
            <w:pPr>
              <w:jc w:val="right"/>
              <w:rPr>
                <w:rFonts w:eastAsia="Times New Roman" w:cs="Times New Roman"/>
                <w:sz w:val="15"/>
                <w:szCs w:val="15"/>
              </w:rPr>
            </w:pPr>
            <w:r w:rsidRPr="00F7332E">
              <w:rPr>
                <w:rFonts w:eastAsia="Times New Roman" w:cs="Times New Roman"/>
                <w:sz w:val="15"/>
                <w:szCs w:val="15"/>
              </w:rPr>
              <w:t>0.0</w:t>
            </w:r>
          </w:p>
        </w:tc>
        <w:tc>
          <w:tcPr>
            <w:tcW w:w="535" w:type="pct"/>
            <w:shd w:val="clear" w:color="auto" w:fill="C9DED4"/>
          </w:tcPr>
          <w:p w14:paraId="03BDA28F" w14:textId="77777777" w:rsidR="001A500E" w:rsidRPr="00F7332E" w:rsidRDefault="001A500E" w:rsidP="00D146B4">
            <w:pPr>
              <w:jc w:val="right"/>
              <w:rPr>
                <w:rFonts w:eastAsia="Times New Roman" w:cs="Times New Roman"/>
                <w:sz w:val="15"/>
                <w:szCs w:val="15"/>
              </w:rPr>
            </w:pPr>
            <w:r w:rsidRPr="00F7332E">
              <w:rPr>
                <w:rFonts w:eastAsia="Times New Roman" w:cs="Times New Roman"/>
                <w:sz w:val="15"/>
                <w:szCs w:val="15"/>
              </w:rPr>
              <w:t>0.0</w:t>
            </w:r>
          </w:p>
        </w:tc>
        <w:tc>
          <w:tcPr>
            <w:tcW w:w="535" w:type="pct"/>
            <w:shd w:val="clear" w:color="auto" w:fill="C9DED4"/>
          </w:tcPr>
          <w:p w14:paraId="1D11E9F8" w14:textId="77777777" w:rsidR="001A500E" w:rsidRPr="00F7332E" w:rsidRDefault="001A500E" w:rsidP="00D146B4">
            <w:pPr>
              <w:jc w:val="right"/>
              <w:rPr>
                <w:rFonts w:eastAsia="Times New Roman" w:cs="Times New Roman"/>
                <w:sz w:val="15"/>
                <w:szCs w:val="15"/>
              </w:rPr>
            </w:pPr>
            <w:r w:rsidRPr="00F7332E">
              <w:rPr>
                <w:rFonts w:eastAsia="Times New Roman" w:cs="Times New Roman"/>
                <w:sz w:val="15"/>
                <w:szCs w:val="15"/>
              </w:rPr>
              <w:t>0.0</w:t>
            </w:r>
          </w:p>
        </w:tc>
        <w:tc>
          <w:tcPr>
            <w:tcW w:w="637" w:type="pct"/>
            <w:shd w:val="clear" w:color="auto" w:fill="C9DED4"/>
          </w:tcPr>
          <w:p w14:paraId="53499467" w14:textId="77777777" w:rsidR="001A500E" w:rsidRPr="00F7332E" w:rsidRDefault="001A500E" w:rsidP="00D146B4">
            <w:pPr>
              <w:jc w:val="right"/>
              <w:rPr>
                <w:rFonts w:eastAsia="Times New Roman" w:cs="Times New Roman"/>
                <w:sz w:val="15"/>
                <w:szCs w:val="15"/>
              </w:rPr>
            </w:pPr>
            <w:r w:rsidRPr="00F7332E">
              <w:rPr>
                <w:rFonts w:eastAsia="Times New Roman" w:cs="Times New Roman"/>
                <w:sz w:val="15"/>
                <w:szCs w:val="15"/>
              </w:rPr>
              <w:t>0.0</w:t>
            </w:r>
          </w:p>
        </w:tc>
        <w:tc>
          <w:tcPr>
            <w:tcW w:w="594" w:type="pct"/>
            <w:shd w:val="clear" w:color="auto" w:fill="C9DED4"/>
          </w:tcPr>
          <w:p w14:paraId="48CF0DEE" w14:textId="77777777" w:rsidR="001A500E" w:rsidRPr="00F7332E" w:rsidRDefault="001A500E" w:rsidP="00D146B4">
            <w:pPr>
              <w:jc w:val="right"/>
              <w:rPr>
                <w:rFonts w:eastAsia="Times New Roman" w:cs="Times New Roman"/>
                <w:sz w:val="15"/>
                <w:szCs w:val="15"/>
              </w:rPr>
            </w:pPr>
            <w:r w:rsidRPr="00F7332E">
              <w:rPr>
                <w:rFonts w:eastAsia="Times New Roman" w:cs="Times New Roman"/>
                <w:sz w:val="15"/>
                <w:szCs w:val="15"/>
              </w:rPr>
              <w:t>0.0</w:t>
            </w:r>
          </w:p>
        </w:tc>
        <w:tc>
          <w:tcPr>
            <w:tcW w:w="598" w:type="pct"/>
            <w:shd w:val="clear" w:color="auto" w:fill="C9DED4"/>
          </w:tcPr>
          <w:p w14:paraId="4A564D7C" w14:textId="77777777" w:rsidR="001A500E" w:rsidRPr="00F7332E" w:rsidRDefault="001A500E" w:rsidP="00D146B4">
            <w:pPr>
              <w:jc w:val="right"/>
              <w:rPr>
                <w:rFonts w:eastAsia="Times New Roman" w:cs="Times New Roman"/>
                <w:sz w:val="15"/>
                <w:szCs w:val="15"/>
              </w:rPr>
            </w:pPr>
            <w:r w:rsidRPr="00F7332E">
              <w:rPr>
                <w:rFonts w:eastAsia="Times New Roman" w:cs="Times New Roman"/>
                <w:sz w:val="15"/>
                <w:szCs w:val="15"/>
              </w:rPr>
              <w:t>0.1</w:t>
            </w:r>
          </w:p>
        </w:tc>
        <w:tc>
          <w:tcPr>
            <w:tcW w:w="594" w:type="pct"/>
            <w:shd w:val="clear" w:color="auto" w:fill="C9DED4"/>
          </w:tcPr>
          <w:p w14:paraId="6BE768B5" w14:textId="77777777" w:rsidR="001A500E" w:rsidRPr="00F7332E" w:rsidRDefault="001A500E" w:rsidP="00D146B4">
            <w:pPr>
              <w:jc w:val="right"/>
              <w:rPr>
                <w:rFonts w:eastAsia="Times New Roman" w:cs="Times New Roman"/>
                <w:sz w:val="15"/>
                <w:szCs w:val="15"/>
              </w:rPr>
            </w:pPr>
            <w:r w:rsidRPr="00F7332E">
              <w:rPr>
                <w:rFonts w:eastAsia="Times New Roman" w:cs="Times New Roman"/>
                <w:sz w:val="15"/>
                <w:szCs w:val="15"/>
              </w:rPr>
              <w:t>243.6</w:t>
            </w:r>
          </w:p>
        </w:tc>
      </w:tr>
      <w:tr w:rsidR="001A500E" w:rsidRPr="00F7332E" w14:paraId="0185F8AF" w14:textId="77777777" w:rsidTr="00C51D8E">
        <w:tc>
          <w:tcPr>
            <w:tcW w:w="1019" w:type="pct"/>
            <w:tcBorders>
              <w:bottom w:val="single" w:sz="4" w:space="0" w:color="auto"/>
            </w:tcBorders>
          </w:tcPr>
          <w:p w14:paraId="149B41FB" w14:textId="77777777" w:rsidR="001A500E" w:rsidRPr="00F7332E" w:rsidRDefault="001A500E" w:rsidP="00D146B4">
            <w:pPr>
              <w:rPr>
                <w:rFonts w:eastAsia="Times New Roman" w:cs="Times New Roman"/>
                <w:b/>
                <w:bCs/>
                <w:sz w:val="15"/>
                <w:szCs w:val="15"/>
              </w:rPr>
            </w:pPr>
            <w:r w:rsidRPr="00F7332E">
              <w:rPr>
                <w:rFonts w:eastAsia="Times New Roman" w:cs="Times New Roman"/>
                <w:b/>
                <w:bCs/>
                <w:sz w:val="15"/>
                <w:szCs w:val="15"/>
              </w:rPr>
              <w:t>Total</w:t>
            </w:r>
          </w:p>
        </w:tc>
        <w:tc>
          <w:tcPr>
            <w:tcW w:w="487" w:type="pct"/>
            <w:tcBorders>
              <w:bottom w:val="single" w:sz="4" w:space="0" w:color="auto"/>
            </w:tcBorders>
          </w:tcPr>
          <w:p w14:paraId="233EED23" w14:textId="77777777" w:rsidR="001A500E" w:rsidRPr="00F7332E" w:rsidRDefault="001A500E" w:rsidP="00D146B4">
            <w:pPr>
              <w:jc w:val="right"/>
              <w:rPr>
                <w:rFonts w:eastAsia="Times New Roman" w:cs="Times New Roman"/>
                <w:b/>
                <w:bCs/>
                <w:sz w:val="15"/>
                <w:szCs w:val="15"/>
              </w:rPr>
            </w:pPr>
            <w:r w:rsidRPr="00F7332E">
              <w:rPr>
                <w:rFonts w:eastAsia="Times New Roman" w:cs="Times New Roman"/>
                <w:b/>
                <w:bCs/>
                <w:sz w:val="15"/>
                <w:szCs w:val="15"/>
              </w:rPr>
              <w:t>51,248.6</w:t>
            </w:r>
          </w:p>
        </w:tc>
        <w:tc>
          <w:tcPr>
            <w:tcW w:w="535" w:type="pct"/>
            <w:tcBorders>
              <w:bottom w:val="single" w:sz="4" w:space="0" w:color="auto"/>
            </w:tcBorders>
          </w:tcPr>
          <w:p w14:paraId="401C1EF9" w14:textId="77777777" w:rsidR="001A500E" w:rsidRPr="00F7332E" w:rsidRDefault="001A500E" w:rsidP="00D146B4">
            <w:pPr>
              <w:jc w:val="right"/>
              <w:rPr>
                <w:rFonts w:eastAsia="Times New Roman" w:cs="Times New Roman"/>
                <w:b/>
                <w:bCs/>
                <w:sz w:val="15"/>
                <w:szCs w:val="15"/>
              </w:rPr>
            </w:pPr>
            <w:r w:rsidRPr="00F7332E">
              <w:rPr>
                <w:rFonts w:eastAsia="Times New Roman" w:cs="Times New Roman"/>
                <w:b/>
                <w:bCs/>
                <w:sz w:val="15"/>
                <w:szCs w:val="15"/>
              </w:rPr>
              <w:t>42,152.0</w:t>
            </w:r>
          </w:p>
        </w:tc>
        <w:tc>
          <w:tcPr>
            <w:tcW w:w="535" w:type="pct"/>
            <w:tcBorders>
              <w:bottom w:val="single" w:sz="4" w:space="0" w:color="auto"/>
            </w:tcBorders>
          </w:tcPr>
          <w:p w14:paraId="11DD0655" w14:textId="77777777" w:rsidR="001A500E" w:rsidRPr="00F7332E" w:rsidRDefault="001A500E" w:rsidP="00D146B4">
            <w:pPr>
              <w:jc w:val="right"/>
              <w:rPr>
                <w:rFonts w:eastAsia="Times New Roman" w:cs="Times New Roman"/>
                <w:b/>
                <w:bCs/>
                <w:sz w:val="15"/>
                <w:szCs w:val="15"/>
              </w:rPr>
            </w:pPr>
            <w:r w:rsidRPr="00F7332E">
              <w:rPr>
                <w:rFonts w:eastAsia="Times New Roman" w:cs="Times New Roman"/>
                <w:b/>
                <w:bCs/>
                <w:sz w:val="15"/>
                <w:szCs w:val="15"/>
              </w:rPr>
              <w:t>38,002.3</w:t>
            </w:r>
          </w:p>
        </w:tc>
        <w:tc>
          <w:tcPr>
            <w:tcW w:w="637" w:type="pct"/>
            <w:tcBorders>
              <w:bottom w:val="single" w:sz="4" w:space="0" w:color="auto"/>
            </w:tcBorders>
          </w:tcPr>
          <w:p w14:paraId="6748B67B" w14:textId="77777777" w:rsidR="001A500E" w:rsidRPr="00F7332E" w:rsidRDefault="001A500E" w:rsidP="00D146B4">
            <w:pPr>
              <w:jc w:val="right"/>
              <w:rPr>
                <w:rFonts w:eastAsia="Times New Roman" w:cs="Times New Roman"/>
                <w:b/>
                <w:bCs/>
                <w:sz w:val="15"/>
                <w:szCs w:val="15"/>
              </w:rPr>
            </w:pPr>
            <w:r w:rsidRPr="00F7332E">
              <w:rPr>
                <w:rFonts w:eastAsia="Times New Roman" w:cs="Times New Roman"/>
                <w:b/>
                <w:bCs/>
                <w:sz w:val="15"/>
                <w:szCs w:val="15"/>
              </w:rPr>
              <w:t>72,616.3</w:t>
            </w:r>
          </w:p>
        </w:tc>
        <w:tc>
          <w:tcPr>
            <w:tcW w:w="594" w:type="pct"/>
            <w:tcBorders>
              <w:bottom w:val="single" w:sz="4" w:space="0" w:color="auto"/>
            </w:tcBorders>
          </w:tcPr>
          <w:p w14:paraId="6B8D7116" w14:textId="77777777" w:rsidR="001A500E" w:rsidRPr="00F7332E" w:rsidRDefault="001A500E" w:rsidP="00D146B4">
            <w:pPr>
              <w:jc w:val="right"/>
              <w:rPr>
                <w:rFonts w:eastAsia="Times New Roman" w:cs="Times New Roman"/>
                <w:b/>
                <w:bCs/>
                <w:sz w:val="15"/>
                <w:szCs w:val="15"/>
              </w:rPr>
            </w:pPr>
            <w:r w:rsidRPr="00F7332E">
              <w:rPr>
                <w:rFonts w:eastAsia="Times New Roman" w:cs="Times New Roman"/>
                <w:b/>
                <w:bCs/>
                <w:sz w:val="15"/>
                <w:szCs w:val="15"/>
              </w:rPr>
              <w:t>113,481.8</w:t>
            </w:r>
          </w:p>
        </w:tc>
        <w:tc>
          <w:tcPr>
            <w:tcW w:w="598" w:type="pct"/>
            <w:tcBorders>
              <w:bottom w:val="single" w:sz="4" w:space="0" w:color="auto"/>
            </w:tcBorders>
          </w:tcPr>
          <w:p w14:paraId="2C38421E" w14:textId="77777777" w:rsidR="001A500E" w:rsidRPr="00F7332E" w:rsidRDefault="001A500E" w:rsidP="00D146B4">
            <w:pPr>
              <w:jc w:val="right"/>
              <w:rPr>
                <w:rFonts w:eastAsia="Times New Roman" w:cs="Times New Roman"/>
                <w:b/>
                <w:bCs/>
                <w:sz w:val="15"/>
                <w:szCs w:val="15"/>
              </w:rPr>
            </w:pPr>
            <w:r w:rsidRPr="00F7332E">
              <w:rPr>
                <w:rFonts w:eastAsia="Times New Roman" w:cs="Times New Roman"/>
                <w:b/>
                <w:bCs/>
                <w:sz w:val="15"/>
                <w:szCs w:val="15"/>
              </w:rPr>
              <w:t>105,852.6</w:t>
            </w:r>
          </w:p>
        </w:tc>
        <w:tc>
          <w:tcPr>
            <w:tcW w:w="594" w:type="pct"/>
            <w:tcBorders>
              <w:bottom w:val="single" w:sz="4" w:space="0" w:color="auto"/>
            </w:tcBorders>
          </w:tcPr>
          <w:p w14:paraId="054D4CBF" w14:textId="77777777" w:rsidR="001A500E" w:rsidRPr="00F7332E" w:rsidRDefault="001A500E" w:rsidP="00D146B4">
            <w:pPr>
              <w:jc w:val="right"/>
              <w:rPr>
                <w:rFonts w:eastAsia="Times New Roman" w:cs="Times New Roman"/>
                <w:b/>
                <w:bCs/>
                <w:sz w:val="15"/>
                <w:szCs w:val="15"/>
              </w:rPr>
            </w:pPr>
            <w:r w:rsidRPr="00F7332E">
              <w:rPr>
                <w:rFonts w:eastAsia="Times New Roman" w:cs="Times New Roman"/>
                <w:b/>
                <w:bCs/>
                <w:sz w:val="15"/>
                <w:szCs w:val="15"/>
              </w:rPr>
              <w:t>130,852.2</w:t>
            </w:r>
          </w:p>
        </w:tc>
      </w:tr>
    </w:tbl>
    <w:p w14:paraId="0BA1F505" w14:textId="77777777" w:rsidR="001A500E" w:rsidRPr="00F7332E" w:rsidRDefault="001A500E" w:rsidP="006F0E66">
      <w:pPr>
        <w:pStyle w:val="NoteText"/>
        <w:spacing w:before="120" w:after="240"/>
      </w:pPr>
      <w:r w:rsidRPr="00F7332E">
        <w:t>Source:</w:t>
      </w:r>
      <w:r w:rsidRPr="00F7332E">
        <w:tab/>
        <w:t>Information supplied by the authorities.</w:t>
      </w:r>
    </w:p>
    <w:p w14:paraId="5F417112" w14:textId="77777777" w:rsidR="001A500E" w:rsidRPr="00F7332E" w:rsidRDefault="001A500E" w:rsidP="00574469">
      <w:pPr>
        <w:pStyle w:val="BodyText"/>
      </w:pPr>
      <w:r w:rsidRPr="00F7332E">
        <w:t>A series of thresholds published and updated every year by a resolution of the Directorate</w:t>
      </w:r>
      <w:r>
        <w:noBreakHyphen/>
      </w:r>
      <w:r w:rsidRPr="00F7332E">
        <w:t>General of Government Procurement (</w:t>
      </w:r>
      <w:proofErr w:type="spellStart"/>
      <w:r w:rsidRPr="00F7332E">
        <w:t>DGCP</w:t>
      </w:r>
      <w:proofErr w:type="spellEnd"/>
      <w:r w:rsidRPr="00F7332E">
        <w:t xml:space="preserve">) is used to determine the selection procedure </w:t>
      </w:r>
      <w:r>
        <w:t>for</w:t>
      </w:r>
      <w:r w:rsidRPr="00F7332E">
        <w:t xml:space="preserve"> a tendering process (Table 3.20)</w:t>
      </w:r>
      <w:r w:rsidRPr="0060155B">
        <w:t>.</w:t>
      </w:r>
      <w:r w:rsidRPr="0060155B">
        <w:rPr>
          <w:vertAlign w:val="superscript"/>
        </w:rPr>
        <w:footnoteReference w:id="302"/>
      </w:r>
      <w:r w:rsidRPr="0060155B">
        <w:t xml:space="preserve"> T</w:t>
      </w:r>
      <w:r w:rsidRPr="00F7332E">
        <w:t>he thresholds are calculated by multiplying the central government's income budget by the factors for works, goods and services set out in Law No. 340</w:t>
      </w:r>
      <w:r>
        <w:noBreakHyphen/>
      </w:r>
      <w:r w:rsidRPr="00F7332E">
        <w:t>06</w:t>
      </w:r>
      <w:r w:rsidRPr="0060155B">
        <w:t>. T</w:t>
      </w:r>
      <w:r w:rsidRPr="00F7332E">
        <w:t>he applicable selection procedure will be the one that matches the closest threshold immediately below the estimated budget or cost for the work, good or service to be procured</w:t>
      </w:r>
      <w:r w:rsidRPr="0060155B">
        <w:t>.</w:t>
      </w:r>
      <w:r w:rsidRPr="0060155B">
        <w:rPr>
          <w:vertAlign w:val="superscript"/>
        </w:rPr>
        <w:footnoteReference w:id="303"/>
      </w:r>
      <w:r w:rsidRPr="0060155B">
        <w:t xml:space="preserve"> T</w:t>
      </w:r>
      <w:r w:rsidRPr="00F7332E">
        <w:t xml:space="preserve">he </w:t>
      </w:r>
      <w:proofErr w:type="spellStart"/>
      <w:r w:rsidRPr="00F7332E">
        <w:t>DGCP</w:t>
      </w:r>
      <w:proofErr w:type="spellEnd"/>
      <w:r w:rsidRPr="00F7332E">
        <w:t xml:space="preserve"> may set lower thresholds under regional trade agreements signed by the Dominican Republic</w:t>
      </w:r>
      <w:r w:rsidRPr="0060155B">
        <w:t>. T</w:t>
      </w:r>
      <w:r w:rsidRPr="00F7332E">
        <w:t xml:space="preserve">he reverse auction for the </w:t>
      </w:r>
      <w:r>
        <w:t>procurement</w:t>
      </w:r>
      <w:r w:rsidRPr="00F7332E">
        <w:t xml:space="preserve"> of goods is the only procedure that can be used for any </w:t>
      </w:r>
      <w:r w:rsidRPr="00F7332E">
        <w:lastRenderedPageBreak/>
        <w:t>estimated budget value</w:t>
      </w:r>
      <w:r w:rsidRPr="0060155B">
        <w:t>. P</w:t>
      </w:r>
      <w:r w:rsidRPr="00F7332E">
        <w:t xml:space="preserve">rojects that fall </w:t>
      </w:r>
      <w:r>
        <w:t>under</w:t>
      </w:r>
      <w:r w:rsidRPr="00F7332E">
        <w:t xml:space="preserve"> the new Law on Public</w:t>
      </w:r>
      <w:r>
        <w:noBreakHyphen/>
      </w:r>
      <w:r w:rsidRPr="00F7332E">
        <w:t xml:space="preserve">Private Partnerships may be submitted to the </w:t>
      </w:r>
      <w:proofErr w:type="spellStart"/>
      <w:r w:rsidRPr="00F7332E">
        <w:t>DGAPP</w:t>
      </w:r>
      <w:proofErr w:type="spellEnd"/>
      <w:r w:rsidRPr="00F7332E">
        <w:t xml:space="preserve"> by public or private initiative</w:t>
      </w:r>
      <w:r w:rsidRPr="0060155B">
        <w:t>. I</w:t>
      </w:r>
      <w:r w:rsidRPr="00F7332E">
        <w:t xml:space="preserve">f the </w:t>
      </w:r>
      <w:proofErr w:type="spellStart"/>
      <w:r w:rsidRPr="00F7332E">
        <w:t>DGAPP</w:t>
      </w:r>
      <w:proofErr w:type="spellEnd"/>
      <w:r w:rsidRPr="00F7332E">
        <w:t xml:space="preserve"> considers the project to be in the public interest</w:t>
      </w:r>
      <w:r>
        <w:t>,</w:t>
      </w:r>
      <w:r w:rsidRPr="00F7332E">
        <w:t xml:space="preserve"> it will hold a competitive selection </w:t>
      </w:r>
      <w:r>
        <w:t>process</w:t>
      </w:r>
      <w:r w:rsidRPr="00F7332E">
        <w:t xml:space="preserve"> to award a contract</w:t>
      </w:r>
      <w:r>
        <w:t>,</w:t>
      </w:r>
      <w:r w:rsidRPr="00F7332E">
        <w:t xml:space="preserve"> in </w:t>
      </w:r>
      <w:r>
        <w:t xml:space="preserve">accordance with </w:t>
      </w:r>
      <w:r w:rsidRPr="00F7332E">
        <w:t>the tender specifications</w:t>
      </w:r>
      <w:r w:rsidRPr="0060155B">
        <w:t>. T</w:t>
      </w:r>
      <w:r w:rsidRPr="00F7332E">
        <w:t>he Law does not specify the procurement method to use or the thresholds for contracts of this kind</w:t>
      </w:r>
      <w:r w:rsidRPr="0060155B">
        <w:t>. T</w:t>
      </w:r>
      <w:r w:rsidRPr="00F7332E">
        <w:t>he procedure has two stages</w:t>
      </w:r>
      <w:r w:rsidRPr="0060155B">
        <w:t>: (</w:t>
      </w:r>
      <w:proofErr w:type="spellStart"/>
      <w:r w:rsidRPr="00F7332E">
        <w:t>i</w:t>
      </w:r>
      <w:proofErr w:type="spellEnd"/>
      <w:r w:rsidRPr="00F7332E">
        <w:t xml:space="preserve">) a technical evaluation of the tender (which </w:t>
      </w:r>
      <w:r>
        <w:t>is eliminatory</w:t>
      </w:r>
      <w:r w:rsidRPr="00F7332E">
        <w:t>) and (ii) a financial evaluation</w:t>
      </w:r>
      <w:r w:rsidRPr="0060155B">
        <w:t>. T</w:t>
      </w:r>
      <w:r w:rsidRPr="00F7332E">
        <w:t xml:space="preserve">he financial proposal that is selected is the one that is best suited to the users of the </w:t>
      </w:r>
      <w:r>
        <w:t xml:space="preserve">public </w:t>
      </w:r>
      <w:r w:rsidRPr="00F7332E">
        <w:t xml:space="preserve">good or service </w:t>
      </w:r>
      <w:r>
        <w:t>provided by the</w:t>
      </w:r>
      <w:r w:rsidRPr="00A26CAE">
        <w:t xml:space="preserve"> </w:t>
      </w:r>
      <w:r w:rsidRPr="00F7332E">
        <w:t>public</w:t>
      </w:r>
      <w:r>
        <w:noBreakHyphen/>
      </w:r>
      <w:r w:rsidRPr="00F7332E">
        <w:t>private partnership.</w:t>
      </w:r>
      <w:r w:rsidRPr="00F7332E">
        <w:rPr>
          <w:vertAlign w:val="superscript"/>
        </w:rPr>
        <w:footnoteReference w:id="304"/>
      </w:r>
    </w:p>
    <w:p w14:paraId="6C9BA3FA" w14:textId="77777777" w:rsidR="001A500E" w:rsidRPr="00F7332E" w:rsidRDefault="001A500E" w:rsidP="006F0E66">
      <w:pPr>
        <w:pStyle w:val="Caption"/>
        <w:rPr>
          <w:b w:val="0"/>
          <w:bCs w:val="0"/>
        </w:rPr>
      </w:pPr>
      <w:bookmarkStart w:id="272" w:name="_Toc114735835"/>
      <w:bookmarkStart w:id="273" w:name="_Toc117238053"/>
      <w:r>
        <w:t xml:space="preserve">Table </w:t>
      </w:r>
      <w:r w:rsidR="00BD37F2">
        <w:fldChar w:fldCharType="begin"/>
      </w:r>
      <w:r w:rsidR="00BD37F2">
        <w:instrText xml:space="preserve"> STYLEREF 1 \s </w:instrText>
      </w:r>
      <w:r w:rsidR="00BD37F2">
        <w:fldChar w:fldCharType="separate"/>
      </w:r>
      <w:r>
        <w:rPr>
          <w:noProof/>
        </w:rPr>
        <w:t>3</w:t>
      </w:r>
      <w:r w:rsidR="00BD37F2">
        <w:rPr>
          <w:noProof/>
        </w:rPr>
        <w:fldChar w:fldCharType="end"/>
      </w:r>
      <w:r>
        <w:t>.</w:t>
      </w:r>
      <w:r w:rsidR="00BD37F2">
        <w:fldChar w:fldCharType="begin"/>
      </w:r>
      <w:r w:rsidR="00BD37F2">
        <w:instrText xml:space="preserve"> SEQ Table \* ARABIC \s 1 </w:instrText>
      </w:r>
      <w:r w:rsidR="00BD37F2">
        <w:fldChar w:fldCharType="separate"/>
      </w:r>
      <w:r>
        <w:rPr>
          <w:noProof/>
        </w:rPr>
        <w:t>20</w:t>
      </w:r>
      <w:r w:rsidR="00BD37F2">
        <w:rPr>
          <w:noProof/>
        </w:rPr>
        <w:fldChar w:fldCharType="end"/>
      </w:r>
      <w:r>
        <w:t xml:space="preserve"> </w:t>
      </w:r>
      <w:r w:rsidRPr="00F7332E">
        <w:t>Thresholds determining the selection procedure, 2022</w:t>
      </w:r>
      <w:bookmarkEnd w:id="272"/>
      <w:bookmarkEnd w:id="273"/>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1555"/>
        <w:gridCol w:w="2835"/>
        <w:gridCol w:w="2268"/>
        <w:gridCol w:w="2358"/>
      </w:tblGrid>
      <w:tr w:rsidR="001A500E" w:rsidRPr="00F7332E" w14:paraId="1D693729" w14:textId="77777777" w:rsidTr="00C51D8E">
        <w:trPr>
          <w:tblHeader/>
        </w:trPr>
        <w:tc>
          <w:tcPr>
            <w:tcW w:w="1555" w:type="dxa"/>
            <w:tcBorders>
              <w:top w:val="single" w:sz="4" w:space="0" w:color="auto"/>
            </w:tcBorders>
            <w:shd w:val="clear" w:color="auto" w:fill="006283"/>
          </w:tcPr>
          <w:p w14:paraId="29EEADA6" w14:textId="77777777" w:rsidR="001A500E" w:rsidRPr="00F7332E" w:rsidRDefault="001A500E" w:rsidP="00D146B4">
            <w:pPr>
              <w:rPr>
                <w:rFonts w:eastAsia="Times New Roman" w:cs="Times New Roman"/>
                <w:b/>
                <w:color w:val="FFFFFF"/>
                <w:sz w:val="15"/>
                <w:szCs w:val="15"/>
              </w:rPr>
            </w:pPr>
            <w:r w:rsidRPr="00F7332E">
              <w:rPr>
                <w:rFonts w:eastAsia="Times New Roman" w:cs="Times New Roman"/>
                <w:b/>
                <w:bCs/>
                <w:color w:val="FFFFFF"/>
                <w:sz w:val="15"/>
                <w:szCs w:val="15"/>
              </w:rPr>
              <w:t>Procedure</w:t>
            </w:r>
          </w:p>
        </w:tc>
        <w:tc>
          <w:tcPr>
            <w:tcW w:w="2835" w:type="dxa"/>
            <w:tcBorders>
              <w:top w:val="single" w:sz="4" w:space="0" w:color="auto"/>
            </w:tcBorders>
            <w:shd w:val="clear" w:color="auto" w:fill="006283"/>
          </w:tcPr>
          <w:p w14:paraId="44888EA6" w14:textId="77777777" w:rsidR="001A500E" w:rsidRPr="00F7332E" w:rsidRDefault="001A500E" w:rsidP="00D146B4">
            <w:pPr>
              <w:jc w:val="center"/>
              <w:rPr>
                <w:rFonts w:eastAsia="Times New Roman" w:cs="Times New Roman"/>
                <w:b/>
                <w:color w:val="FFFFFF"/>
                <w:sz w:val="15"/>
                <w:szCs w:val="15"/>
              </w:rPr>
            </w:pPr>
            <w:r w:rsidRPr="00F7332E">
              <w:rPr>
                <w:rFonts w:eastAsia="Times New Roman" w:cs="Times New Roman"/>
                <w:b/>
                <w:bCs/>
                <w:color w:val="FFFFFF"/>
                <w:sz w:val="15"/>
                <w:szCs w:val="15"/>
              </w:rPr>
              <w:t>Works</w:t>
            </w:r>
          </w:p>
        </w:tc>
        <w:tc>
          <w:tcPr>
            <w:tcW w:w="2268" w:type="dxa"/>
            <w:tcBorders>
              <w:top w:val="single" w:sz="4" w:space="0" w:color="auto"/>
            </w:tcBorders>
            <w:shd w:val="clear" w:color="auto" w:fill="006283"/>
          </w:tcPr>
          <w:p w14:paraId="45D54BDF" w14:textId="77777777" w:rsidR="001A500E" w:rsidRPr="00F7332E" w:rsidRDefault="001A500E" w:rsidP="00D146B4">
            <w:pPr>
              <w:jc w:val="center"/>
              <w:rPr>
                <w:rFonts w:eastAsia="Times New Roman" w:cs="Times New Roman"/>
                <w:b/>
                <w:color w:val="FFFFFF"/>
                <w:sz w:val="15"/>
                <w:szCs w:val="15"/>
              </w:rPr>
            </w:pPr>
            <w:r w:rsidRPr="00F7332E">
              <w:rPr>
                <w:rFonts w:eastAsia="Times New Roman" w:cs="Times New Roman"/>
                <w:b/>
                <w:bCs/>
                <w:color w:val="FFFFFF"/>
                <w:sz w:val="15"/>
                <w:szCs w:val="15"/>
              </w:rPr>
              <w:t>Goods</w:t>
            </w:r>
          </w:p>
        </w:tc>
        <w:tc>
          <w:tcPr>
            <w:tcW w:w="2358" w:type="dxa"/>
            <w:tcBorders>
              <w:top w:val="single" w:sz="4" w:space="0" w:color="auto"/>
            </w:tcBorders>
            <w:shd w:val="clear" w:color="auto" w:fill="006283"/>
          </w:tcPr>
          <w:p w14:paraId="22CC947D" w14:textId="77777777" w:rsidR="001A500E" w:rsidRPr="00F7332E" w:rsidRDefault="001A500E" w:rsidP="00D146B4">
            <w:pPr>
              <w:jc w:val="center"/>
              <w:rPr>
                <w:rFonts w:eastAsia="Times New Roman" w:cs="Times New Roman"/>
                <w:b/>
                <w:color w:val="FFFFFF"/>
                <w:sz w:val="15"/>
                <w:szCs w:val="15"/>
              </w:rPr>
            </w:pPr>
            <w:r w:rsidRPr="00F7332E">
              <w:rPr>
                <w:rFonts w:eastAsia="Times New Roman" w:cs="Times New Roman"/>
                <w:b/>
                <w:bCs/>
                <w:color w:val="FFFFFF"/>
                <w:sz w:val="15"/>
                <w:szCs w:val="15"/>
              </w:rPr>
              <w:t>Services</w:t>
            </w:r>
          </w:p>
        </w:tc>
      </w:tr>
      <w:tr w:rsidR="001A500E" w:rsidRPr="00F7332E" w14:paraId="312DAAD3" w14:textId="77777777" w:rsidTr="00C51D8E">
        <w:tc>
          <w:tcPr>
            <w:tcW w:w="1555" w:type="dxa"/>
          </w:tcPr>
          <w:p w14:paraId="6875D8C3" w14:textId="77777777" w:rsidR="001A500E" w:rsidRPr="00F7332E" w:rsidRDefault="001A500E" w:rsidP="00F81BC4">
            <w:pPr>
              <w:jc w:val="left"/>
              <w:rPr>
                <w:rFonts w:eastAsia="Times New Roman" w:cs="Times New Roman"/>
                <w:sz w:val="15"/>
                <w:szCs w:val="15"/>
              </w:rPr>
            </w:pPr>
            <w:r>
              <w:rPr>
                <w:rFonts w:eastAsia="Times New Roman" w:cs="Times New Roman"/>
                <w:sz w:val="15"/>
                <w:szCs w:val="15"/>
              </w:rPr>
              <w:t>Open tendering</w:t>
            </w:r>
          </w:p>
        </w:tc>
        <w:tc>
          <w:tcPr>
            <w:tcW w:w="2835" w:type="dxa"/>
          </w:tcPr>
          <w:p w14:paraId="0C09ABE0" w14:textId="77777777" w:rsidR="001A500E" w:rsidRPr="00F7332E" w:rsidRDefault="001A500E" w:rsidP="00D146B4">
            <w:pPr>
              <w:rPr>
                <w:rFonts w:eastAsia="Times New Roman" w:cs="Times New Roman"/>
                <w:sz w:val="15"/>
                <w:szCs w:val="15"/>
              </w:rPr>
            </w:pPr>
            <w:r w:rsidRPr="00F7332E">
              <w:rPr>
                <w:rFonts w:eastAsia="Times New Roman" w:cs="Times New Roman"/>
                <w:sz w:val="15"/>
                <w:szCs w:val="15"/>
              </w:rPr>
              <w:t>From DOP 404,657,143.00 up</w:t>
            </w:r>
          </w:p>
        </w:tc>
        <w:tc>
          <w:tcPr>
            <w:tcW w:w="2268" w:type="dxa"/>
          </w:tcPr>
          <w:p w14:paraId="6A136D97" w14:textId="77777777" w:rsidR="001A500E" w:rsidRPr="00F7332E" w:rsidRDefault="001A500E" w:rsidP="00D146B4">
            <w:pPr>
              <w:rPr>
                <w:rFonts w:eastAsia="Times New Roman" w:cs="Times New Roman"/>
                <w:sz w:val="15"/>
                <w:szCs w:val="15"/>
              </w:rPr>
            </w:pPr>
            <w:r w:rsidRPr="00F7332E">
              <w:rPr>
                <w:rFonts w:eastAsia="Times New Roman" w:cs="Times New Roman"/>
                <w:sz w:val="15"/>
                <w:szCs w:val="15"/>
              </w:rPr>
              <w:t>From DOP 5,312,506.00 up</w:t>
            </w:r>
          </w:p>
        </w:tc>
        <w:tc>
          <w:tcPr>
            <w:tcW w:w="2358" w:type="dxa"/>
          </w:tcPr>
          <w:p w14:paraId="0660230F" w14:textId="77777777" w:rsidR="001A500E" w:rsidRPr="00F7332E" w:rsidRDefault="001A500E" w:rsidP="00D146B4">
            <w:pPr>
              <w:rPr>
                <w:rFonts w:eastAsia="Times New Roman" w:cs="Times New Roman"/>
                <w:sz w:val="15"/>
                <w:szCs w:val="15"/>
              </w:rPr>
            </w:pPr>
            <w:r w:rsidRPr="00F7332E">
              <w:rPr>
                <w:rFonts w:eastAsia="Times New Roman" w:cs="Times New Roman"/>
                <w:sz w:val="15"/>
                <w:szCs w:val="15"/>
              </w:rPr>
              <w:t>From DOP 5,312,506.00 up</w:t>
            </w:r>
          </w:p>
        </w:tc>
      </w:tr>
      <w:tr w:rsidR="001A500E" w:rsidRPr="00F7332E" w14:paraId="4DE53FFE" w14:textId="77777777" w:rsidTr="00C51D8E">
        <w:tc>
          <w:tcPr>
            <w:tcW w:w="1555" w:type="dxa"/>
            <w:shd w:val="clear" w:color="auto" w:fill="C9DED4"/>
          </w:tcPr>
          <w:p w14:paraId="3FFF3938" w14:textId="77777777" w:rsidR="001A500E" w:rsidRPr="00F7332E" w:rsidRDefault="001A500E" w:rsidP="00F81BC4">
            <w:pPr>
              <w:jc w:val="left"/>
              <w:rPr>
                <w:rFonts w:eastAsia="Times New Roman" w:cs="Times New Roman"/>
                <w:sz w:val="15"/>
                <w:szCs w:val="15"/>
              </w:rPr>
            </w:pPr>
            <w:r w:rsidRPr="00F7332E">
              <w:rPr>
                <w:rFonts w:eastAsia="Times New Roman" w:cs="Times New Roman"/>
                <w:sz w:val="15"/>
                <w:szCs w:val="15"/>
              </w:rPr>
              <w:t xml:space="preserve">Restricted </w:t>
            </w:r>
            <w:r>
              <w:rPr>
                <w:rFonts w:eastAsia="Times New Roman" w:cs="Times New Roman"/>
                <w:sz w:val="15"/>
                <w:szCs w:val="15"/>
              </w:rPr>
              <w:t>tendering</w:t>
            </w:r>
          </w:p>
        </w:tc>
        <w:tc>
          <w:tcPr>
            <w:tcW w:w="2835" w:type="dxa"/>
            <w:shd w:val="clear" w:color="auto" w:fill="C9DED4"/>
          </w:tcPr>
          <w:p w14:paraId="3D42E7A5" w14:textId="77777777" w:rsidR="001A500E" w:rsidRPr="0060155B" w:rsidRDefault="001A500E" w:rsidP="00D146B4">
            <w:pPr>
              <w:rPr>
                <w:rFonts w:eastAsia="Times New Roman" w:cs="Times New Roman"/>
                <w:sz w:val="15"/>
                <w:szCs w:val="15"/>
              </w:rPr>
            </w:pPr>
            <w:r w:rsidRPr="00F7332E">
              <w:rPr>
                <w:rFonts w:eastAsia="Times New Roman" w:cs="Times New Roman"/>
                <w:sz w:val="15"/>
                <w:szCs w:val="15"/>
              </w:rPr>
              <w:t>From DOP 206,227,321.00</w:t>
            </w:r>
          </w:p>
          <w:p w14:paraId="4ABD77A9" w14:textId="77777777" w:rsidR="001A500E" w:rsidRPr="00F7332E" w:rsidRDefault="001A500E" w:rsidP="00D146B4">
            <w:pPr>
              <w:rPr>
                <w:rFonts w:eastAsia="Times New Roman" w:cs="Times New Roman"/>
                <w:sz w:val="15"/>
                <w:szCs w:val="15"/>
              </w:rPr>
            </w:pPr>
            <w:r w:rsidRPr="00F7332E">
              <w:rPr>
                <w:rFonts w:eastAsia="Times New Roman" w:cs="Times New Roman"/>
                <w:sz w:val="15"/>
                <w:szCs w:val="15"/>
              </w:rPr>
              <w:t>to DOP 404,657,142.99</w:t>
            </w:r>
          </w:p>
        </w:tc>
        <w:tc>
          <w:tcPr>
            <w:tcW w:w="2268" w:type="dxa"/>
            <w:shd w:val="clear" w:color="auto" w:fill="C9DED4"/>
          </w:tcPr>
          <w:p w14:paraId="61A47C9D" w14:textId="77777777" w:rsidR="001A500E" w:rsidRPr="0060155B" w:rsidRDefault="001A500E" w:rsidP="00D146B4">
            <w:pPr>
              <w:rPr>
                <w:rFonts w:eastAsia="Times New Roman" w:cs="Times New Roman"/>
                <w:sz w:val="15"/>
                <w:szCs w:val="15"/>
              </w:rPr>
            </w:pPr>
            <w:r w:rsidRPr="00F7332E">
              <w:rPr>
                <w:rFonts w:eastAsia="Times New Roman" w:cs="Times New Roman"/>
                <w:sz w:val="15"/>
                <w:szCs w:val="15"/>
              </w:rPr>
              <w:t>From DOP 5,258,566.00</w:t>
            </w:r>
          </w:p>
          <w:p w14:paraId="7E4D744A" w14:textId="77777777" w:rsidR="001A500E" w:rsidRPr="00F7332E" w:rsidRDefault="001A500E" w:rsidP="00D146B4">
            <w:pPr>
              <w:rPr>
                <w:rFonts w:eastAsia="Times New Roman" w:cs="Times New Roman"/>
                <w:sz w:val="15"/>
                <w:szCs w:val="15"/>
              </w:rPr>
            </w:pPr>
            <w:r w:rsidRPr="00F7332E">
              <w:rPr>
                <w:rFonts w:eastAsia="Times New Roman" w:cs="Times New Roman"/>
                <w:sz w:val="15"/>
                <w:szCs w:val="15"/>
              </w:rPr>
              <w:t>to DOP 5,312,505.99</w:t>
            </w:r>
          </w:p>
        </w:tc>
        <w:tc>
          <w:tcPr>
            <w:tcW w:w="2358" w:type="dxa"/>
            <w:shd w:val="clear" w:color="auto" w:fill="C9DED4"/>
          </w:tcPr>
          <w:p w14:paraId="7C73323D" w14:textId="77777777" w:rsidR="001A500E" w:rsidRPr="0060155B" w:rsidRDefault="001A500E" w:rsidP="00D146B4">
            <w:pPr>
              <w:rPr>
                <w:rFonts w:eastAsia="Times New Roman" w:cs="Times New Roman"/>
                <w:sz w:val="15"/>
                <w:szCs w:val="15"/>
              </w:rPr>
            </w:pPr>
            <w:r w:rsidRPr="00F7332E">
              <w:rPr>
                <w:rFonts w:eastAsia="Times New Roman" w:cs="Times New Roman"/>
                <w:sz w:val="15"/>
                <w:szCs w:val="15"/>
              </w:rPr>
              <w:t>From DOP 5,258,566.00</w:t>
            </w:r>
          </w:p>
          <w:p w14:paraId="6A5B5BFF" w14:textId="77777777" w:rsidR="001A500E" w:rsidRPr="00F7332E" w:rsidRDefault="001A500E" w:rsidP="00D146B4">
            <w:pPr>
              <w:rPr>
                <w:rFonts w:eastAsia="Times New Roman" w:cs="Times New Roman"/>
                <w:sz w:val="15"/>
                <w:szCs w:val="15"/>
              </w:rPr>
            </w:pPr>
            <w:r w:rsidRPr="00F7332E">
              <w:rPr>
                <w:rFonts w:eastAsia="Times New Roman" w:cs="Times New Roman"/>
                <w:sz w:val="15"/>
                <w:szCs w:val="15"/>
              </w:rPr>
              <w:t>to DOP 5,312,505.99</w:t>
            </w:r>
          </w:p>
        </w:tc>
      </w:tr>
      <w:tr w:rsidR="001A500E" w:rsidRPr="00F7332E" w14:paraId="1DE8B84A" w14:textId="77777777" w:rsidTr="00C51D8E">
        <w:tc>
          <w:tcPr>
            <w:tcW w:w="1555" w:type="dxa"/>
          </w:tcPr>
          <w:p w14:paraId="6ED4E4DD" w14:textId="77777777" w:rsidR="001A500E" w:rsidRPr="00F7332E" w:rsidRDefault="001A500E" w:rsidP="00F81BC4">
            <w:pPr>
              <w:jc w:val="left"/>
              <w:rPr>
                <w:rFonts w:eastAsia="Times New Roman" w:cs="Times New Roman"/>
                <w:sz w:val="15"/>
                <w:szCs w:val="15"/>
              </w:rPr>
            </w:pPr>
            <w:r w:rsidRPr="00F7332E">
              <w:rPr>
                <w:rFonts w:eastAsia="Times New Roman" w:cs="Times New Roman"/>
                <w:sz w:val="15"/>
                <w:szCs w:val="15"/>
              </w:rPr>
              <w:t xml:space="preserve">Lotteries for </w:t>
            </w:r>
            <w:r>
              <w:rPr>
                <w:rFonts w:eastAsia="Times New Roman" w:cs="Times New Roman"/>
                <w:sz w:val="15"/>
                <w:szCs w:val="15"/>
              </w:rPr>
              <w:t>construction contracts</w:t>
            </w:r>
          </w:p>
        </w:tc>
        <w:tc>
          <w:tcPr>
            <w:tcW w:w="2835" w:type="dxa"/>
          </w:tcPr>
          <w:p w14:paraId="785CDA35" w14:textId="77777777" w:rsidR="001A500E" w:rsidRPr="0060155B" w:rsidRDefault="001A500E" w:rsidP="00D146B4">
            <w:pPr>
              <w:rPr>
                <w:rFonts w:eastAsia="Times New Roman" w:cs="Times New Roman"/>
                <w:sz w:val="15"/>
                <w:szCs w:val="15"/>
              </w:rPr>
            </w:pPr>
            <w:r w:rsidRPr="00F7332E">
              <w:rPr>
                <w:rFonts w:eastAsia="Times New Roman" w:cs="Times New Roman"/>
                <w:sz w:val="15"/>
                <w:szCs w:val="15"/>
              </w:rPr>
              <w:t>From DOP 123,736,393.00</w:t>
            </w:r>
          </w:p>
          <w:p w14:paraId="1D2C2110" w14:textId="77777777" w:rsidR="001A500E" w:rsidRPr="00F7332E" w:rsidRDefault="001A500E" w:rsidP="00D146B4">
            <w:pPr>
              <w:rPr>
                <w:rFonts w:eastAsia="Times New Roman" w:cs="Times New Roman"/>
                <w:sz w:val="15"/>
                <w:szCs w:val="15"/>
              </w:rPr>
            </w:pPr>
            <w:r w:rsidRPr="00F7332E">
              <w:rPr>
                <w:rFonts w:eastAsia="Times New Roman" w:cs="Times New Roman"/>
                <w:sz w:val="15"/>
                <w:szCs w:val="15"/>
              </w:rPr>
              <w:t>to DOP 206,227,320.99</w:t>
            </w:r>
          </w:p>
        </w:tc>
        <w:tc>
          <w:tcPr>
            <w:tcW w:w="2268" w:type="dxa"/>
          </w:tcPr>
          <w:p w14:paraId="40FD1564" w14:textId="77777777" w:rsidR="001A500E" w:rsidRPr="00F7332E" w:rsidRDefault="001A500E" w:rsidP="00D146B4">
            <w:pPr>
              <w:rPr>
                <w:rFonts w:eastAsia="Times New Roman" w:cs="Times New Roman"/>
                <w:sz w:val="15"/>
                <w:szCs w:val="15"/>
              </w:rPr>
            </w:pPr>
            <w:r w:rsidRPr="00F7332E">
              <w:rPr>
                <w:rFonts w:eastAsia="Times New Roman" w:cs="Times New Roman"/>
                <w:sz w:val="15"/>
                <w:szCs w:val="15"/>
              </w:rPr>
              <w:t>N/A</w:t>
            </w:r>
          </w:p>
        </w:tc>
        <w:tc>
          <w:tcPr>
            <w:tcW w:w="2358" w:type="dxa"/>
          </w:tcPr>
          <w:p w14:paraId="482A681B" w14:textId="77777777" w:rsidR="001A500E" w:rsidRPr="00F7332E" w:rsidRDefault="001A500E" w:rsidP="00D146B4">
            <w:pPr>
              <w:rPr>
                <w:rFonts w:eastAsia="Times New Roman" w:cs="Times New Roman"/>
                <w:sz w:val="15"/>
                <w:szCs w:val="15"/>
              </w:rPr>
            </w:pPr>
            <w:r w:rsidRPr="00F7332E">
              <w:rPr>
                <w:rFonts w:eastAsia="Times New Roman" w:cs="Times New Roman"/>
                <w:sz w:val="15"/>
                <w:szCs w:val="15"/>
              </w:rPr>
              <w:t>N/A</w:t>
            </w:r>
          </w:p>
        </w:tc>
      </w:tr>
      <w:tr w:rsidR="001A500E" w:rsidRPr="00F7332E" w14:paraId="7DB43B34" w14:textId="77777777" w:rsidTr="00C51D8E">
        <w:tc>
          <w:tcPr>
            <w:tcW w:w="1555" w:type="dxa"/>
            <w:shd w:val="clear" w:color="auto" w:fill="C9DED4"/>
          </w:tcPr>
          <w:p w14:paraId="03F2B89E" w14:textId="77777777" w:rsidR="001A500E" w:rsidRPr="00F7332E" w:rsidRDefault="001A500E" w:rsidP="00F81BC4">
            <w:pPr>
              <w:jc w:val="left"/>
              <w:rPr>
                <w:rFonts w:eastAsia="Times New Roman" w:cs="Times New Roman"/>
                <w:sz w:val="15"/>
                <w:szCs w:val="15"/>
              </w:rPr>
            </w:pPr>
            <w:r w:rsidRPr="00F7332E">
              <w:rPr>
                <w:rFonts w:eastAsia="Times New Roman" w:cs="Times New Roman"/>
                <w:sz w:val="15"/>
                <w:szCs w:val="15"/>
              </w:rPr>
              <w:t>Price comparison</w:t>
            </w:r>
          </w:p>
        </w:tc>
        <w:tc>
          <w:tcPr>
            <w:tcW w:w="2835" w:type="dxa"/>
            <w:shd w:val="clear" w:color="auto" w:fill="C9DED4"/>
          </w:tcPr>
          <w:p w14:paraId="11A12EB0" w14:textId="77777777" w:rsidR="001A500E" w:rsidRPr="0060155B" w:rsidRDefault="001A500E" w:rsidP="00D146B4">
            <w:pPr>
              <w:rPr>
                <w:rFonts w:eastAsia="Times New Roman" w:cs="Times New Roman"/>
                <w:sz w:val="15"/>
                <w:szCs w:val="15"/>
              </w:rPr>
            </w:pPr>
            <w:r w:rsidRPr="00F7332E">
              <w:rPr>
                <w:rFonts w:eastAsia="Times New Roman" w:cs="Times New Roman"/>
                <w:sz w:val="15"/>
                <w:szCs w:val="15"/>
              </w:rPr>
              <w:t>From DOP 32,996,371.00</w:t>
            </w:r>
          </w:p>
          <w:p w14:paraId="6F88CCA2" w14:textId="77777777" w:rsidR="001A500E" w:rsidRPr="00F7332E" w:rsidRDefault="001A500E" w:rsidP="00D146B4">
            <w:pPr>
              <w:rPr>
                <w:rFonts w:eastAsia="Times New Roman" w:cs="Times New Roman"/>
                <w:sz w:val="15"/>
                <w:szCs w:val="15"/>
              </w:rPr>
            </w:pPr>
            <w:r w:rsidRPr="00F7332E">
              <w:rPr>
                <w:rFonts w:eastAsia="Times New Roman" w:cs="Times New Roman"/>
                <w:sz w:val="15"/>
                <w:szCs w:val="15"/>
              </w:rPr>
              <w:t>to DOP 123,736,392.99</w:t>
            </w:r>
          </w:p>
        </w:tc>
        <w:tc>
          <w:tcPr>
            <w:tcW w:w="2268" w:type="dxa"/>
            <w:shd w:val="clear" w:color="auto" w:fill="C9DED4"/>
          </w:tcPr>
          <w:p w14:paraId="6E1F539E" w14:textId="77777777" w:rsidR="001A500E" w:rsidRPr="0060155B" w:rsidRDefault="001A500E" w:rsidP="00D146B4">
            <w:pPr>
              <w:rPr>
                <w:rFonts w:eastAsia="Times New Roman" w:cs="Times New Roman"/>
                <w:sz w:val="15"/>
                <w:szCs w:val="15"/>
              </w:rPr>
            </w:pPr>
            <w:r w:rsidRPr="00F7332E">
              <w:rPr>
                <w:rFonts w:eastAsia="Times New Roman" w:cs="Times New Roman"/>
                <w:sz w:val="15"/>
                <w:szCs w:val="15"/>
              </w:rPr>
              <w:t>From DOP 1,237,364.00</w:t>
            </w:r>
          </w:p>
          <w:p w14:paraId="42D7BC79" w14:textId="77777777" w:rsidR="001A500E" w:rsidRPr="00F7332E" w:rsidRDefault="001A500E" w:rsidP="00D146B4">
            <w:pPr>
              <w:rPr>
                <w:rFonts w:eastAsia="Times New Roman" w:cs="Times New Roman"/>
                <w:sz w:val="15"/>
                <w:szCs w:val="15"/>
              </w:rPr>
            </w:pPr>
            <w:r w:rsidRPr="00F7332E">
              <w:rPr>
                <w:rFonts w:eastAsia="Times New Roman" w:cs="Times New Roman"/>
                <w:sz w:val="15"/>
                <w:szCs w:val="15"/>
              </w:rPr>
              <w:t>to DOP 5,258,565.99</w:t>
            </w:r>
          </w:p>
        </w:tc>
        <w:tc>
          <w:tcPr>
            <w:tcW w:w="2358" w:type="dxa"/>
            <w:shd w:val="clear" w:color="auto" w:fill="C9DED4"/>
          </w:tcPr>
          <w:p w14:paraId="69665355" w14:textId="77777777" w:rsidR="001A500E" w:rsidRPr="0060155B" w:rsidRDefault="001A500E" w:rsidP="00D146B4">
            <w:pPr>
              <w:rPr>
                <w:rFonts w:eastAsia="Times New Roman" w:cs="Times New Roman"/>
                <w:sz w:val="15"/>
                <w:szCs w:val="15"/>
              </w:rPr>
            </w:pPr>
            <w:r w:rsidRPr="00F7332E">
              <w:rPr>
                <w:rFonts w:eastAsia="Times New Roman" w:cs="Times New Roman"/>
                <w:sz w:val="15"/>
                <w:szCs w:val="15"/>
              </w:rPr>
              <w:t>From DOP 1,237,364.00</w:t>
            </w:r>
          </w:p>
          <w:p w14:paraId="1597DADE" w14:textId="77777777" w:rsidR="001A500E" w:rsidRPr="00F7332E" w:rsidRDefault="001A500E" w:rsidP="00D146B4">
            <w:pPr>
              <w:rPr>
                <w:rFonts w:eastAsia="Times New Roman" w:cs="Times New Roman"/>
                <w:sz w:val="15"/>
                <w:szCs w:val="15"/>
              </w:rPr>
            </w:pPr>
            <w:r w:rsidRPr="00F7332E">
              <w:rPr>
                <w:rFonts w:eastAsia="Times New Roman" w:cs="Times New Roman"/>
                <w:sz w:val="15"/>
                <w:szCs w:val="15"/>
              </w:rPr>
              <w:t>to DOP 5,258,565.99</w:t>
            </w:r>
          </w:p>
        </w:tc>
      </w:tr>
      <w:tr w:rsidR="001A500E" w:rsidRPr="00F7332E" w14:paraId="5D7A0A4F" w14:textId="77777777" w:rsidTr="00C51D8E">
        <w:tc>
          <w:tcPr>
            <w:tcW w:w="1555" w:type="dxa"/>
            <w:tcBorders>
              <w:bottom w:val="single" w:sz="4" w:space="0" w:color="auto"/>
            </w:tcBorders>
          </w:tcPr>
          <w:p w14:paraId="065041D0" w14:textId="77777777" w:rsidR="001A500E" w:rsidRPr="00F7332E" w:rsidRDefault="001A500E" w:rsidP="00F81BC4">
            <w:pPr>
              <w:jc w:val="left"/>
              <w:rPr>
                <w:rFonts w:eastAsia="Times New Roman" w:cs="Times New Roman"/>
                <w:sz w:val="15"/>
                <w:szCs w:val="15"/>
              </w:rPr>
            </w:pPr>
            <w:r w:rsidRPr="00F7332E">
              <w:rPr>
                <w:rFonts w:eastAsia="Times New Roman" w:cs="Times New Roman"/>
                <w:sz w:val="15"/>
                <w:szCs w:val="15"/>
              </w:rPr>
              <w:t>Small</w:t>
            </w:r>
            <w:r>
              <w:rPr>
                <w:rFonts w:eastAsia="Times New Roman" w:cs="Times New Roman"/>
                <w:sz w:val="15"/>
                <w:szCs w:val="15"/>
              </w:rPr>
              <w:noBreakHyphen/>
            </w:r>
            <w:r w:rsidRPr="00F7332E">
              <w:rPr>
                <w:rFonts w:eastAsia="Times New Roman" w:cs="Times New Roman"/>
                <w:sz w:val="15"/>
                <w:szCs w:val="15"/>
              </w:rPr>
              <w:t>scale purchasing</w:t>
            </w:r>
          </w:p>
        </w:tc>
        <w:tc>
          <w:tcPr>
            <w:tcW w:w="2835" w:type="dxa"/>
            <w:tcBorders>
              <w:bottom w:val="single" w:sz="4" w:space="0" w:color="auto"/>
            </w:tcBorders>
          </w:tcPr>
          <w:p w14:paraId="4FF98F38" w14:textId="77777777" w:rsidR="001A500E" w:rsidRPr="00F7332E" w:rsidRDefault="001A500E" w:rsidP="00D146B4">
            <w:pPr>
              <w:rPr>
                <w:rFonts w:eastAsia="Times New Roman" w:cs="Times New Roman"/>
                <w:sz w:val="15"/>
                <w:szCs w:val="15"/>
              </w:rPr>
            </w:pPr>
            <w:r w:rsidRPr="00F7332E">
              <w:rPr>
                <w:rFonts w:eastAsia="Times New Roman" w:cs="Times New Roman"/>
                <w:sz w:val="15"/>
                <w:szCs w:val="15"/>
              </w:rPr>
              <w:t>Not applicable</w:t>
            </w:r>
            <w:r w:rsidRPr="0060155B">
              <w:rPr>
                <w:rFonts w:eastAsia="Times New Roman" w:cs="Times New Roman"/>
                <w:sz w:val="15"/>
                <w:szCs w:val="15"/>
              </w:rPr>
              <w:t>. I</w:t>
            </w:r>
            <w:r>
              <w:rPr>
                <w:rFonts w:eastAsia="Times New Roman" w:cs="Times New Roman"/>
                <w:sz w:val="15"/>
                <w:szCs w:val="15"/>
              </w:rPr>
              <w:t>n this case, t</w:t>
            </w:r>
            <w:r w:rsidRPr="00F7332E">
              <w:rPr>
                <w:rFonts w:eastAsia="Times New Roman" w:cs="Times New Roman"/>
                <w:sz w:val="15"/>
                <w:szCs w:val="15"/>
              </w:rPr>
              <w:t xml:space="preserve">he price comparison procedure </w:t>
            </w:r>
            <w:r>
              <w:rPr>
                <w:rFonts w:eastAsia="Times New Roman" w:cs="Times New Roman"/>
                <w:sz w:val="15"/>
                <w:szCs w:val="15"/>
              </w:rPr>
              <w:t>must be</w:t>
            </w:r>
            <w:r w:rsidRPr="00F7332E">
              <w:rPr>
                <w:rFonts w:eastAsia="Times New Roman" w:cs="Times New Roman"/>
                <w:sz w:val="15"/>
                <w:szCs w:val="15"/>
              </w:rPr>
              <w:t xml:space="preserve"> used.</w:t>
            </w:r>
          </w:p>
        </w:tc>
        <w:tc>
          <w:tcPr>
            <w:tcW w:w="2268" w:type="dxa"/>
            <w:tcBorders>
              <w:bottom w:val="single" w:sz="4" w:space="0" w:color="auto"/>
            </w:tcBorders>
          </w:tcPr>
          <w:p w14:paraId="33F83C33" w14:textId="77777777" w:rsidR="001A500E" w:rsidRPr="0060155B" w:rsidRDefault="001A500E" w:rsidP="00D146B4">
            <w:pPr>
              <w:rPr>
                <w:rFonts w:eastAsia="Times New Roman" w:cs="Times New Roman"/>
                <w:sz w:val="15"/>
                <w:szCs w:val="15"/>
              </w:rPr>
            </w:pPr>
            <w:r w:rsidRPr="00F7332E">
              <w:rPr>
                <w:rFonts w:eastAsia="Times New Roman" w:cs="Times New Roman"/>
                <w:sz w:val="15"/>
                <w:szCs w:val="15"/>
              </w:rPr>
              <w:t>From DOP 164,982.00</w:t>
            </w:r>
          </w:p>
          <w:p w14:paraId="552A36BC" w14:textId="77777777" w:rsidR="001A500E" w:rsidRPr="00F7332E" w:rsidRDefault="001A500E" w:rsidP="00D146B4">
            <w:pPr>
              <w:rPr>
                <w:rFonts w:eastAsia="Times New Roman" w:cs="Times New Roman"/>
                <w:sz w:val="15"/>
                <w:szCs w:val="15"/>
              </w:rPr>
            </w:pPr>
            <w:r w:rsidRPr="00F7332E">
              <w:rPr>
                <w:rFonts w:eastAsia="Times New Roman" w:cs="Times New Roman"/>
                <w:sz w:val="15"/>
                <w:szCs w:val="15"/>
              </w:rPr>
              <w:t>to DOP 1,237,363.99</w:t>
            </w:r>
          </w:p>
        </w:tc>
        <w:tc>
          <w:tcPr>
            <w:tcW w:w="2358" w:type="dxa"/>
            <w:tcBorders>
              <w:bottom w:val="single" w:sz="4" w:space="0" w:color="auto"/>
            </w:tcBorders>
          </w:tcPr>
          <w:p w14:paraId="4F82ABB4" w14:textId="77777777" w:rsidR="001A500E" w:rsidRPr="0060155B" w:rsidRDefault="001A500E" w:rsidP="00D146B4">
            <w:pPr>
              <w:rPr>
                <w:rFonts w:eastAsia="Times New Roman" w:cs="Times New Roman"/>
                <w:sz w:val="15"/>
                <w:szCs w:val="15"/>
              </w:rPr>
            </w:pPr>
            <w:r w:rsidRPr="00F7332E">
              <w:rPr>
                <w:rFonts w:eastAsia="Times New Roman" w:cs="Times New Roman"/>
                <w:sz w:val="15"/>
                <w:szCs w:val="15"/>
              </w:rPr>
              <w:t>From DOP 164,982.00</w:t>
            </w:r>
          </w:p>
          <w:p w14:paraId="6301F753" w14:textId="77777777" w:rsidR="001A500E" w:rsidRPr="00F7332E" w:rsidRDefault="001A500E" w:rsidP="00D146B4">
            <w:pPr>
              <w:rPr>
                <w:rFonts w:eastAsia="Times New Roman" w:cs="Times New Roman"/>
                <w:sz w:val="15"/>
                <w:szCs w:val="15"/>
              </w:rPr>
            </w:pPr>
            <w:r w:rsidRPr="00F7332E">
              <w:rPr>
                <w:rFonts w:eastAsia="Times New Roman" w:cs="Times New Roman"/>
                <w:sz w:val="15"/>
                <w:szCs w:val="15"/>
              </w:rPr>
              <w:t>to DOP 1,237,363.99</w:t>
            </w:r>
          </w:p>
        </w:tc>
      </w:tr>
    </w:tbl>
    <w:p w14:paraId="2DEA6CC4" w14:textId="77777777" w:rsidR="001A500E" w:rsidRPr="006F0E66" w:rsidRDefault="001A500E" w:rsidP="006F0E66">
      <w:pPr>
        <w:pStyle w:val="NoteText"/>
        <w:spacing w:before="120" w:after="240"/>
      </w:pPr>
      <w:r w:rsidRPr="006F0E66">
        <w:t>Source:</w:t>
      </w:r>
      <w:r w:rsidRPr="006F0E66">
        <w:tab/>
        <w:t>Resolution PNP</w:t>
      </w:r>
      <w:r w:rsidRPr="006F0E66">
        <w:noBreakHyphen/>
        <w:t>01</w:t>
      </w:r>
      <w:r w:rsidRPr="006F0E66">
        <w:noBreakHyphen/>
        <w:t>2022 of 3 </w:t>
      </w:r>
      <w:r w:rsidRPr="0060155B">
        <w:t>January 2</w:t>
      </w:r>
      <w:r w:rsidRPr="006F0E66">
        <w:t>022.</w:t>
      </w:r>
    </w:p>
    <w:p w14:paraId="155B5C8B" w14:textId="77777777" w:rsidR="001A500E" w:rsidRPr="0060155B" w:rsidRDefault="001A500E" w:rsidP="00574469">
      <w:pPr>
        <w:pStyle w:val="BodyText"/>
      </w:pPr>
      <w:r w:rsidRPr="00F7332E">
        <w:t>On 7 </w:t>
      </w:r>
      <w:r w:rsidRPr="0060155B">
        <w:t>July 2</w:t>
      </w:r>
      <w:r w:rsidRPr="00F7332E">
        <w:t>021</w:t>
      </w:r>
      <w:r>
        <w:t>,</w:t>
      </w:r>
      <w:r w:rsidRPr="00F7332E">
        <w:t xml:space="preserve"> the </w:t>
      </w:r>
      <w:proofErr w:type="spellStart"/>
      <w:r w:rsidRPr="00F7332E">
        <w:t>DGCP</w:t>
      </w:r>
      <w:proofErr w:type="spellEnd"/>
      <w:r w:rsidRPr="00F7332E">
        <w:t xml:space="preserve"> submitted a preliminary draft general law on government procurement to the Government Legal Advisory Service</w:t>
      </w:r>
      <w:r w:rsidRPr="0060155B">
        <w:t>. I</w:t>
      </w:r>
      <w:r w:rsidRPr="00F7332E">
        <w:t>ts chief aim included amending the selection procedures so that they are not determined exclusively on the basis of procurement thresholds but on the nature and complexity of the good, service or work concerned.</w:t>
      </w:r>
      <w:r w:rsidRPr="00F7332E">
        <w:rPr>
          <w:vertAlign w:val="superscript"/>
        </w:rPr>
        <w:footnoteReference w:id="305"/>
      </w:r>
    </w:p>
    <w:p w14:paraId="6CFA02F4" w14:textId="77777777" w:rsidR="001A500E" w:rsidRPr="00F7332E" w:rsidRDefault="001A500E" w:rsidP="00574469">
      <w:pPr>
        <w:pStyle w:val="BodyText"/>
      </w:pPr>
      <w:r w:rsidRPr="00F7332E">
        <w:t>The national government procurement and contracts system has a strategic function to the extent that it allows the government to use procurement as a tool to drive national development</w:t>
      </w:r>
      <w:r w:rsidRPr="0060155B">
        <w:t>. A</w:t>
      </w:r>
      <w:r w:rsidRPr="00F7332E">
        <w:t xml:space="preserve">ccordingly, in order to support MSMEs and promote their involvement in government procurement procedures, the </w:t>
      </w:r>
      <w:r>
        <w:t>legislation</w:t>
      </w:r>
      <w:r w:rsidRPr="00F7332E">
        <w:t xml:space="preserve"> provides that procuring entities must allocate 20</w:t>
      </w:r>
      <w:r>
        <w:t>%</w:t>
      </w:r>
      <w:r w:rsidRPr="00F7332E">
        <w:t xml:space="preserve"> of their procurement budget exclusively to MSMEs and 5</w:t>
      </w:r>
      <w:r>
        <w:t>%</w:t>
      </w:r>
      <w:r w:rsidRPr="00F7332E">
        <w:t xml:space="preserve"> of that percentage to women's MSMEs</w:t>
      </w:r>
      <w:r w:rsidRPr="0060155B">
        <w:t>.</w:t>
      </w:r>
      <w:r w:rsidRPr="0060155B">
        <w:rPr>
          <w:vertAlign w:val="superscript"/>
        </w:rPr>
        <w:footnoteReference w:id="306"/>
      </w:r>
      <w:r w:rsidRPr="0060155B">
        <w:t xml:space="preserve"> A</w:t>
      </w:r>
      <w:r w:rsidRPr="00F7332E">
        <w:t>dditionally, for the remaining 80</w:t>
      </w:r>
      <w:r>
        <w:t>%</w:t>
      </w:r>
      <w:r w:rsidRPr="00F7332E">
        <w:t xml:space="preserve"> of government procurement contracts</w:t>
      </w:r>
      <w:r>
        <w:t>,</w:t>
      </w:r>
      <w:r w:rsidRPr="00F7332E">
        <w:t xml:space="preserve"> MSMEs may submit partial bids in line with their capacity</w:t>
      </w:r>
      <w:r w:rsidRPr="0060155B">
        <w:t>. A</w:t>
      </w:r>
      <w:r w:rsidRPr="00F7332E">
        <w:t>s a general rule</w:t>
      </w:r>
      <w:r>
        <w:t>,</w:t>
      </w:r>
      <w:r w:rsidRPr="00F7332E">
        <w:t xml:space="preserve"> contracts may not be split</w:t>
      </w:r>
      <w:r>
        <w:t>,</w:t>
      </w:r>
      <w:r w:rsidRPr="00F7332E">
        <w:t xml:space="preserve"> except when </w:t>
      </w:r>
      <w:r>
        <w:t>they are adjudicated</w:t>
      </w:r>
      <w:r w:rsidRPr="00F7332E">
        <w:t xml:space="preserve"> </w:t>
      </w:r>
      <w:r>
        <w:t>by</w:t>
      </w:r>
      <w:r w:rsidRPr="00F7332E">
        <w:t xml:space="preserve"> stages, tranches or lots to encourage participation by MSMEs</w:t>
      </w:r>
      <w:r w:rsidRPr="0060155B">
        <w:t>.</w:t>
      </w:r>
      <w:r w:rsidRPr="0060155B">
        <w:rPr>
          <w:vertAlign w:val="superscript"/>
        </w:rPr>
        <w:footnoteReference w:id="307"/>
      </w:r>
      <w:r w:rsidRPr="0060155B">
        <w:t xml:space="preserve"> S</w:t>
      </w:r>
      <w:r w:rsidRPr="00F7332E">
        <w:t>imilarly, procuring entities must give winning MSMEs an advance of 20</w:t>
      </w:r>
      <w:r>
        <w:t>%</w:t>
      </w:r>
      <w:r w:rsidRPr="00F7332E">
        <w:t xml:space="preserve"> of the value of the contract to bolster their financial position.</w:t>
      </w:r>
      <w:r w:rsidRPr="00F7332E">
        <w:rPr>
          <w:vertAlign w:val="superscript"/>
        </w:rPr>
        <w:footnoteReference w:id="308"/>
      </w:r>
    </w:p>
    <w:p w14:paraId="4E504F43" w14:textId="77777777" w:rsidR="001A500E" w:rsidRPr="00F7332E" w:rsidRDefault="001A500E" w:rsidP="00574469">
      <w:pPr>
        <w:pStyle w:val="BodyText"/>
      </w:pPr>
      <w:r w:rsidRPr="00F7332E">
        <w:t>The goods or services that procuring entities purchase from MSMEs must be of domestic origin</w:t>
      </w:r>
      <w:r w:rsidRPr="0060155B">
        <w:t>. T</w:t>
      </w:r>
      <w:r w:rsidRPr="00F7332E">
        <w:t>he requirements determining domestic origin are</w:t>
      </w:r>
      <w:r w:rsidRPr="0060155B">
        <w:t>: (</w:t>
      </w:r>
      <w:proofErr w:type="spellStart"/>
      <w:r w:rsidRPr="00F7332E">
        <w:t>i</w:t>
      </w:r>
      <w:proofErr w:type="spellEnd"/>
      <w:r w:rsidRPr="00F7332E">
        <w:t>) for agricultural products, the place where grown or born</w:t>
      </w:r>
      <w:r w:rsidRPr="0060155B">
        <w:t>; (</w:t>
      </w:r>
      <w:r w:rsidRPr="00F7332E">
        <w:t>ii) for manufactured or industrial products, the total value of imported inputs must be no greater than 65</w:t>
      </w:r>
      <w:r>
        <w:t>%</w:t>
      </w:r>
      <w:r w:rsidRPr="00F7332E">
        <w:t xml:space="preserve"> of the sales price</w:t>
      </w:r>
      <w:r w:rsidRPr="0060155B">
        <w:t>; (</w:t>
      </w:r>
      <w:r w:rsidRPr="00F7332E">
        <w:t>iii) for pharmaceutical products, they must be manufactured in a laboratory located in the Dominican Republic</w:t>
      </w:r>
      <w:r w:rsidRPr="0060155B">
        <w:t>; a</w:t>
      </w:r>
      <w:r w:rsidRPr="00F7332E">
        <w:t>nd (iv) for consultancy, at least 70</w:t>
      </w:r>
      <w:r>
        <w:t>%</w:t>
      </w:r>
      <w:r w:rsidRPr="00F7332E">
        <w:t xml:space="preserve"> must be of domestic origin</w:t>
      </w:r>
      <w:r w:rsidRPr="0060155B">
        <w:t>.</w:t>
      </w:r>
      <w:r w:rsidRPr="0060155B">
        <w:rPr>
          <w:vertAlign w:val="superscript"/>
        </w:rPr>
        <w:footnoteReference w:id="309"/>
      </w:r>
      <w:r w:rsidRPr="0060155B">
        <w:t xml:space="preserve"> S</w:t>
      </w:r>
      <w:r w:rsidRPr="00F7332E">
        <w:t>ince 2019</w:t>
      </w:r>
      <w:r>
        <w:t>,</w:t>
      </w:r>
      <w:r w:rsidRPr="00F7332E">
        <w:t xml:space="preserve"> institutions with responsibility for social programmes have had to put out calls for tenders to purchase agricultural products of domestic origin directly from producers, without intermediaries</w:t>
      </w:r>
      <w:r w:rsidRPr="0060155B">
        <w:t>.</w:t>
      </w:r>
      <w:r w:rsidRPr="0060155B">
        <w:rPr>
          <w:vertAlign w:val="superscript"/>
        </w:rPr>
        <w:footnoteReference w:id="310"/>
      </w:r>
      <w:r w:rsidRPr="0060155B">
        <w:t xml:space="preserve"> I</w:t>
      </w:r>
      <w:r w:rsidRPr="00F7332E">
        <w:t>n 2020</w:t>
      </w:r>
      <w:r>
        <w:t>,</w:t>
      </w:r>
      <w:r w:rsidRPr="00F7332E">
        <w:t xml:space="preserve"> instructions were given that certain specific institutions responsible for social programmes had to direct their calls for tenders exclusively to domestic agroindustry and industry in order to contribute to their development and to job creation</w:t>
      </w:r>
      <w:r w:rsidRPr="0060155B">
        <w:t xml:space="preserve">. </w:t>
      </w:r>
      <w:r w:rsidRPr="0060155B">
        <w:lastRenderedPageBreak/>
        <w:t>T</w:t>
      </w:r>
      <w:r w:rsidRPr="00F7332E">
        <w:t>he National Programme for State Supplier Development was also set up to encourage more high</w:t>
      </w:r>
      <w:r>
        <w:noBreakHyphen/>
      </w:r>
      <w:r w:rsidRPr="00F7332E">
        <w:t>quality suppliers in these sectors to supply the State.</w:t>
      </w:r>
      <w:r w:rsidRPr="00F7332E">
        <w:rPr>
          <w:vertAlign w:val="superscript"/>
        </w:rPr>
        <w:footnoteReference w:id="311"/>
      </w:r>
    </w:p>
    <w:p w14:paraId="79FDAAA8" w14:textId="77777777" w:rsidR="001A500E" w:rsidRPr="00F7332E" w:rsidRDefault="001A500E" w:rsidP="00574469">
      <w:pPr>
        <w:pStyle w:val="BodyText"/>
      </w:pPr>
      <w:r w:rsidRPr="00F7332E">
        <w:t>In order to participate in the procurement procedures and be eligible for the support measures, MSME</w:t>
      </w:r>
      <w:r>
        <w:t>s</w:t>
      </w:r>
      <w:r w:rsidRPr="00F7332E">
        <w:t xml:space="preserve"> must be entered </w:t>
      </w:r>
      <w:r>
        <w:t>i</w:t>
      </w:r>
      <w:r w:rsidRPr="00F7332E">
        <w:t xml:space="preserve">n the Register of State Suppliers and be certified by the </w:t>
      </w:r>
      <w:proofErr w:type="spellStart"/>
      <w:r w:rsidRPr="00F7332E">
        <w:t>MICM</w:t>
      </w:r>
      <w:proofErr w:type="spellEnd"/>
      <w:r w:rsidRPr="00F7332E">
        <w:t xml:space="preserve"> as </w:t>
      </w:r>
      <w:r>
        <w:t>such</w:t>
      </w:r>
      <w:r w:rsidRPr="00F7332E">
        <w:t xml:space="preserve"> (or </w:t>
      </w:r>
      <w:r>
        <w:t xml:space="preserve">as a </w:t>
      </w:r>
      <w:r w:rsidRPr="00F7332E">
        <w:t>"</w:t>
      </w:r>
      <w:proofErr w:type="spellStart"/>
      <w:r w:rsidRPr="004A7783">
        <w:rPr>
          <w:i/>
          <w:iCs/>
        </w:rPr>
        <w:t>Mipyme</w:t>
      </w:r>
      <w:proofErr w:type="spellEnd"/>
      <w:r w:rsidRPr="004A7783">
        <w:rPr>
          <w:i/>
          <w:iCs/>
        </w:rPr>
        <w:t xml:space="preserve"> </w:t>
      </w:r>
      <w:proofErr w:type="spellStart"/>
      <w:r w:rsidRPr="004A7783">
        <w:rPr>
          <w:i/>
          <w:iCs/>
        </w:rPr>
        <w:t>Mujer</w:t>
      </w:r>
      <w:proofErr w:type="spellEnd"/>
      <w:r w:rsidRPr="00F7332E">
        <w:t>"</w:t>
      </w:r>
      <w:r w:rsidRPr="00F7332E">
        <w:rPr>
          <w:vertAlign w:val="superscript"/>
        </w:rPr>
        <w:footnoteReference w:id="312"/>
      </w:r>
      <w:r w:rsidRPr="00F7332E">
        <w:t xml:space="preserve"> </w:t>
      </w:r>
      <w:r>
        <w:t>in the case of</w:t>
      </w:r>
      <w:r w:rsidRPr="00F7332E">
        <w:t xml:space="preserve"> enterprise</w:t>
      </w:r>
      <w:r>
        <w:t>s</w:t>
      </w:r>
      <w:r w:rsidRPr="00F7332E">
        <w:t xml:space="preserve"> managed by women)</w:t>
      </w:r>
      <w:r w:rsidRPr="0060155B">
        <w:t>.</w:t>
      </w:r>
      <w:r w:rsidRPr="0060155B">
        <w:rPr>
          <w:vertAlign w:val="superscript"/>
        </w:rPr>
        <w:footnoteReference w:id="313"/>
      </w:r>
      <w:r w:rsidRPr="0060155B">
        <w:t xml:space="preserve"> I</w:t>
      </w:r>
      <w:r w:rsidRPr="00F7332E">
        <w:t xml:space="preserve">n 2021, 1,914 MSMEs certified by the </w:t>
      </w:r>
      <w:proofErr w:type="spellStart"/>
      <w:r w:rsidRPr="00F7332E">
        <w:t>MICM</w:t>
      </w:r>
      <w:proofErr w:type="spellEnd"/>
      <w:r w:rsidRPr="00F7332E">
        <w:t xml:space="preserve"> joined the Register of State Suppliers, bringing the total number of registered MSMEs to 13,039</w:t>
      </w:r>
      <w:r w:rsidRPr="0060155B">
        <w:t>.</w:t>
      </w:r>
      <w:r w:rsidRPr="0060155B">
        <w:rPr>
          <w:vertAlign w:val="superscript"/>
        </w:rPr>
        <w:footnoteReference w:id="314"/>
      </w:r>
      <w:r w:rsidRPr="0060155B">
        <w:t xml:space="preserve"> O</w:t>
      </w:r>
      <w:r w:rsidRPr="00F7332E">
        <w:t>f these, 732 were MSMEs managed by women, bringing the total to 3,837</w:t>
      </w:r>
      <w:r w:rsidRPr="0060155B">
        <w:t>. I</w:t>
      </w:r>
      <w:r w:rsidRPr="00F7332E">
        <w:t xml:space="preserve">n 2021, MSME state suppliers secured contracts to the value of DOP 36,626 million, i.e. </w:t>
      </w:r>
      <w:r>
        <w:rPr>
          <w:rStyle w:val="CommentReference"/>
        </w:rPr>
        <w:t> </w:t>
      </w:r>
      <w:r w:rsidRPr="00F7332E">
        <w:t>they accounted for 28</w:t>
      </w:r>
      <w:r>
        <w:t>%</w:t>
      </w:r>
      <w:r w:rsidRPr="00F7332E">
        <w:t xml:space="preserve"> of the total amount awarded, overshooting by some margin the 20</w:t>
      </w:r>
      <w:r>
        <w:t>%</w:t>
      </w:r>
      <w:r w:rsidRPr="00F7332E">
        <w:t xml:space="preserve"> target set in Law No. 340</w:t>
      </w:r>
      <w:r>
        <w:noBreakHyphen/>
      </w:r>
      <w:r w:rsidRPr="00F7332E">
        <w:t>06</w:t>
      </w:r>
      <w:r w:rsidRPr="0060155B">
        <w:t>. T</w:t>
      </w:r>
      <w:r w:rsidRPr="00F7332E">
        <w:t xml:space="preserve">he chief procurement arrangement for MSMEs was the domestic </w:t>
      </w:r>
      <w:r>
        <w:t>open tendering</w:t>
      </w:r>
      <w:r w:rsidRPr="00F7332E">
        <w:t xml:space="preserve"> procedure (13,700 million), followed by exceptional procedures (12,133 million), price comparison (6,179 million) and small</w:t>
      </w:r>
      <w:r>
        <w:noBreakHyphen/>
      </w:r>
      <w:r w:rsidRPr="00F7332E">
        <w:t>scale purchasing (3,409 million).</w:t>
      </w:r>
    </w:p>
    <w:p w14:paraId="1388EFC3" w14:textId="77777777" w:rsidR="001A500E" w:rsidRPr="00F7332E" w:rsidRDefault="001A500E" w:rsidP="00574469">
      <w:pPr>
        <w:pStyle w:val="BodyText"/>
      </w:pPr>
      <w:r w:rsidRPr="00F7332E">
        <w:t>Since 2022</w:t>
      </w:r>
      <w:r>
        <w:t>,</w:t>
      </w:r>
      <w:r w:rsidRPr="00F7332E">
        <w:t xml:space="preserve"> all public institutions with responsibility for social programmes, especially in rural areas and the border zone, have had to purchase goods that are the subject of a procurement contract exclusively from MSMEs in order to help develop the country's economy and </w:t>
      </w:r>
      <w:r>
        <w:t>create jobs</w:t>
      </w:r>
      <w:r w:rsidRPr="00F7332E">
        <w:t>.</w:t>
      </w:r>
      <w:r w:rsidRPr="00F7332E">
        <w:rPr>
          <w:vertAlign w:val="superscript"/>
        </w:rPr>
        <w:footnoteReference w:id="315"/>
      </w:r>
    </w:p>
    <w:p w14:paraId="0762C1B8" w14:textId="77777777" w:rsidR="001A500E" w:rsidRPr="00F7332E" w:rsidRDefault="001A500E" w:rsidP="00574469">
      <w:pPr>
        <w:pStyle w:val="Heading3"/>
      </w:pPr>
      <w:bookmarkStart w:id="274" w:name="_Toc384214180"/>
      <w:bookmarkStart w:id="275" w:name="_Toc417038516"/>
      <w:bookmarkStart w:id="276" w:name="_Toc114735764"/>
      <w:bookmarkStart w:id="277" w:name="_Toc117260645"/>
      <w:bookmarkEnd w:id="254"/>
      <w:r w:rsidRPr="00F7332E">
        <w:t>Intellectual property rights</w:t>
      </w:r>
      <w:bookmarkEnd w:id="274"/>
      <w:bookmarkEnd w:id="275"/>
      <w:bookmarkEnd w:id="276"/>
      <w:bookmarkEnd w:id="277"/>
    </w:p>
    <w:p w14:paraId="72AE53F5" w14:textId="77777777" w:rsidR="001A500E" w:rsidRPr="0060155B" w:rsidRDefault="001A500E" w:rsidP="00574469">
      <w:pPr>
        <w:pStyle w:val="BodyText"/>
      </w:pPr>
      <w:bookmarkStart w:id="278" w:name="_Hlk102456418"/>
      <w:r w:rsidRPr="00F7332E">
        <w:t>Intellectual property rights (</w:t>
      </w:r>
      <w:proofErr w:type="spellStart"/>
      <w:r w:rsidRPr="00F7332E">
        <w:t>IPR</w:t>
      </w:r>
      <w:proofErr w:type="spellEnd"/>
      <w:r w:rsidRPr="00F7332E">
        <w:t>) are protected in the Dominican Republic by the Constitution (Article 52) and Laws No. 20</w:t>
      </w:r>
      <w:r>
        <w:noBreakHyphen/>
      </w:r>
      <w:r w:rsidRPr="00F7332E">
        <w:t>00 on Industrial Property</w:t>
      </w:r>
      <w:r w:rsidRPr="00F7332E">
        <w:rPr>
          <w:vertAlign w:val="superscript"/>
        </w:rPr>
        <w:footnoteReference w:id="316"/>
      </w:r>
      <w:r w:rsidRPr="00F7332E">
        <w:t>, No. 65</w:t>
      </w:r>
      <w:r>
        <w:noBreakHyphen/>
      </w:r>
      <w:r w:rsidRPr="00F7332E">
        <w:t>00 on Copyright</w:t>
      </w:r>
      <w:r w:rsidRPr="00F7332E">
        <w:rPr>
          <w:vertAlign w:val="superscript"/>
        </w:rPr>
        <w:footnoteReference w:id="317"/>
      </w:r>
      <w:r w:rsidRPr="00F7332E">
        <w:t xml:space="preserve"> and No. 450</w:t>
      </w:r>
      <w:r>
        <w:noBreakHyphen/>
      </w:r>
      <w:r w:rsidRPr="00F7332E">
        <w:t>06 on protecti</w:t>
      </w:r>
      <w:r>
        <w:t xml:space="preserve">ng </w:t>
      </w:r>
      <w:r w:rsidRPr="00F7332E">
        <w:t>the rights of breeders of new plant varieties</w:t>
      </w:r>
      <w:r w:rsidRPr="0060155B">
        <w:t>. T</w:t>
      </w:r>
      <w:r>
        <w:t xml:space="preserve">he </w:t>
      </w:r>
      <w:r w:rsidRPr="00F7332E">
        <w:t>regulations to implement Law No. 450</w:t>
      </w:r>
      <w:r>
        <w:noBreakHyphen/>
      </w:r>
      <w:r w:rsidRPr="00F7332E">
        <w:t>06</w:t>
      </w:r>
      <w:r>
        <w:t xml:space="preserve"> are set out in </w:t>
      </w:r>
      <w:r w:rsidRPr="00F7332E">
        <w:t>Decree No. 108</w:t>
      </w:r>
      <w:r>
        <w:noBreakHyphen/>
      </w:r>
      <w:r w:rsidRPr="00F7332E">
        <w:t>15</w:t>
      </w:r>
      <w:r>
        <w:t>,</w:t>
      </w:r>
      <w:r w:rsidRPr="00F7332E">
        <w:t xml:space="preserve"> </w:t>
      </w:r>
      <w:r>
        <w:t>promulgated</w:t>
      </w:r>
      <w:r w:rsidRPr="009D3BC2">
        <w:t xml:space="preserve"> </w:t>
      </w:r>
      <w:r>
        <w:t>i</w:t>
      </w:r>
      <w:r w:rsidRPr="00F7332E">
        <w:t>n 2015</w:t>
      </w:r>
      <w:r w:rsidRPr="0060155B">
        <w:t xml:space="preserve">. </w:t>
      </w:r>
      <w:r w:rsidRPr="0060155B">
        <w:rPr>
          <w:szCs w:val="18"/>
        </w:rPr>
        <w:t>I</w:t>
      </w:r>
      <w:r w:rsidRPr="00F7332E">
        <w:rPr>
          <w:szCs w:val="18"/>
        </w:rPr>
        <w:t>n order to bolster protection</w:t>
      </w:r>
      <w:r>
        <w:rPr>
          <w:szCs w:val="18"/>
        </w:rPr>
        <w:t>,</w:t>
      </w:r>
      <w:r w:rsidRPr="00F7332E">
        <w:t xml:space="preserve"> Law No. 17</w:t>
      </w:r>
      <w:r>
        <w:noBreakHyphen/>
      </w:r>
      <w:r w:rsidRPr="00F7332E">
        <w:t>19 was also enacted, penalizing the illicit trade in products protected by industria</w:t>
      </w:r>
      <w:r w:rsidRPr="0060155B">
        <w:t xml:space="preserve">l </w:t>
      </w:r>
      <w:r>
        <w:t xml:space="preserve">property </w:t>
      </w:r>
      <w:r w:rsidRPr="00F7332E">
        <w:t>right</w:t>
      </w:r>
      <w:r>
        <w:t>s</w:t>
      </w:r>
      <w:r w:rsidRPr="00F7332E">
        <w:t xml:space="preserve"> (alcoholic beverages, medicin</w:t>
      </w:r>
      <w:r>
        <w:t xml:space="preserve">es </w:t>
      </w:r>
      <w:r w:rsidRPr="00F7332E">
        <w:t>and tobacco).</w:t>
      </w:r>
    </w:p>
    <w:p w14:paraId="24D7CCFA" w14:textId="77777777" w:rsidR="001A500E" w:rsidRPr="00F7332E" w:rsidRDefault="001A500E" w:rsidP="00574469">
      <w:pPr>
        <w:pStyle w:val="BodyText"/>
      </w:pPr>
      <w:r w:rsidRPr="00F7332E">
        <w:t>During the review period (2015</w:t>
      </w:r>
      <w:r>
        <w:noBreakHyphen/>
      </w:r>
      <w:r w:rsidRPr="00F7332E">
        <w:t>22), three WIPO treaties entered into force for the Dominican Republic</w:t>
      </w:r>
      <w:r w:rsidRPr="0060155B">
        <w:t>: i</w:t>
      </w:r>
      <w:r w:rsidRPr="00F7332E">
        <w:t>n 2018</w:t>
      </w:r>
      <w:r>
        <w:t>,</w:t>
      </w:r>
      <w:r w:rsidRPr="00F7332E">
        <w:t xml:space="preserve"> the Marrakesh Treaty </w:t>
      </w:r>
      <w:r>
        <w:t>to F</w:t>
      </w:r>
      <w:r w:rsidRPr="00F7332E">
        <w:t>acilitat</w:t>
      </w:r>
      <w:r>
        <w:t>e</w:t>
      </w:r>
      <w:r w:rsidRPr="00F7332E">
        <w:t xml:space="preserve"> </w:t>
      </w:r>
      <w:r>
        <w:t>A</w:t>
      </w:r>
      <w:r w:rsidRPr="00F7332E">
        <w:t xml:space="preserve">ccess to </w:t>
      </w:r>
      <w:r>
        <w:t>Published Works</w:t>
      </w:r>
      <w:r w:rsidRPr="00F7332E">
        <w:t xml:space="preserve"> for </w:t>
      </w:r>
      <w:r>
        <w:t>Persons Who Are Blind,</w:t>
      </w:r>
      <w:r w:rsidRPr="00F7332E">
        <w:t xml:space="preserve"> </w:t>
      </w:r>
      <w:r>
        <w:t>V</w:t>
      </w:r>
      <w:r w:rsidRPr="00F7332E">
        <w:t>isual</w:t>
      </w:r>
      <w:r>
        <w:t>ly</w:t>
      </w:r>
      <w:r w:rsidRPr="00F7332E">
        <w:t xml:space="preserve"> </w:t>
      </w:r>
      <w:r>
        <w:t>I</w:t>
      </w:r>
      <w:r w:rsidRPr="00F7332E">
        <w:t>mpair</w:t>
      </w:r>
      <w:r>
        <w:t>ed or Otherwise Print Disabled</w:t>
      </w:r>
      <w:r w:rsidRPr="0060155B">
        <w:t>; a</w:t>
      </w:r>
      <w:r>
        <w:t>nd</w:t>
      </w:r>
      <w:r w:rsidRPr="00F7332E">
        <w:t>, in 2020</w:t>
      </w:r>
      <w:r>
        <w:t>,</w:t>
      </w:r>
      <w:r w:rsidRPr="00F7332E">
        <w:t xml:space="preserve"> the Lisbon Agreement </w:t>
      </w:r>
      <w:r>
        <w:t xml:space="preserve">for the </w:t>
      </w:r>
      <w:r w:rsidRPr="00F7332E">
        <w:t xml:space="preserve">protection of appellations of origin and their international registration and the Beijing Treaty on </w:t>
      </w:r>
      <w:proofErr w:type="spellStart"/>
      <w:r w:rsidRPr="00F7332E">
        <w:t>Audiovisual</w:t>
      </w:r>
      <w:proofErr w:type="spellEnd"/>
      <w:r w:rsidRPr="00F7332E">
        <w:t xml:space="preserve"> Performance</w:t>
      </w:r>
      <w:r>
        <w:t>s</w:t>
      </w:r>
      <w:r w:rsidRPr="0060155B">
        <w:t>.</w:t>
      </w:r>
      <w:bookmarkStart w:id="279" w:name="_Hlk105746690"/>
      <w:r w:rsidRPr="0060155B">
        <w:t xml:space="preserve"> A</w:t>
      </w:r>
      <w:r w:rsidRPr="00F7332E">
        <w:t>t the time of writing (</w:t>
      </w:r>
      <w:r w:rsidRPr="0060155B">
        <w:t>June 2</w:t>
      </w:r>
      <w:r w:rsidRPr="00F7332E">
        <w:t xml:space="preserve">022), 11 treaties administered by WIPO are in force in the Dominican Republic </w:t>
      </w:r>
      <w:bookmarkEnd w:id="279"/>
      <w:r w:rsidRPr="00F7332E">
        <w:t xml:space="preserve">and the country </w:t>
      </w:r>
      <w:r>
        <w:t xml:space="preserve">has </w:t>
      </w:r>
      <w:r w:rsidRPr="00F7332E">
        <w:t xml:space="preserve">also </w:t>
      </w:r>
      <w:r>
        <w:t>acceded to</w:t>
      </w:r>
      <w:r w:rsidRPr="00F7332E">
        <w:t xml:space="preserve"> the </w:t>
      </w:r>
      <w:r w:rsidRPr="009D3BC2">
        <w:t>International Convention for the Protection of New Varieties of Plants</w:t>
      </w:r>
      <w:r w:rsidRPr="00F7332E">
        <w:t>.</w:t>
      </w:r>
    </w:p>
    <w:p w14:paraId="05DF46C0" w14:textId="77777777" w:rsidR="001A500E" w:rsidRPr="0060155B" w:rsidRDefault="001A500E" w:rsidP="00574469">
      <w:pPr>
        <w:pStyle w:val="BodyText"/>
      </w:pPr>
      <w:r w:rsidRPr="00F7332E">
        <w:t>The responsibility for implementing the intellectual property regime continues to lie with the National Industrial Property Office (</w:t>
      </w:r>
      <w:proofErr w:type="spellStart"/>
      <w:r w:rsidRPr="00F7332E">
        <w:t>ONAPI</w:t>
      </w:r>
      <w:proofErr w:type="spellEnd"/>
      <w:r w:rsidRPr="00F7332E">
        <w:t>), the National Copyright Office (</w:t>
      </w:r>
      <w:proofErr w:type="spellStart"/>
      <w:r w:rsidRPr="00F7332E">
        <w:t>ONDA</w:t>
      </w:r>
      <w:proofErr w:type="spellEnd"/>
      <w:r w:rsidRPr="00F7332E">
        <w:t>) and the Office for the Registration of New Varieties of Plants (</w:t>
      </w:r>
      <w:proofErr w:type="spellStart"/>
      <w:r w:rsidRPr="00F7332E">
        <w:t>OREVADO</w:t>
      </w:r>
      <w:proofErr w:type="spellEnd"/>
      <w:r w:rsidRPr="00F7332E">
        <w:t>)</w:t>
      </w:r>
      <w:r w:rsidRPr="0060155B">
        <w:t>. T</w:t>
      </w:r>
      <w:r w:rsidRPr="00F7332E">
        <w:t xml:space="preserve">he </w:t>
      </w:r>
      <w:proofErr w:type="spellStart"/>
      <w:r w:rsidRPr="00F7332E">
        <w:t>ONAPI</w:t>
      </w:r>
      <w:proofErr w:type="spellEnd"/>
      <w:r w:rsidRPr="00F7332E">
        <w:t xml:space="preserve"> and the </w:t>
      </w:r>
      <w:proofErr w:type="spellStart"/>
      <w:r w:rsidRPr="00F7332E">
        <w:t>ONDA</w:t>
      </w:r>
      <w:proofErr w:type="spellEnd"/>
      <w:r w:rsidRPr="00F7332E">
        <w:t xml:space="preserve"> are attached to the </w:t>
      </w:r>
      <w:proofErr w:type="spellStart"/>
      <w:r w:rsidRPr="00F7332E">
        <w:t>MICM</w:t>
      </w:r>
      <w:proofErr w:type="spellEnd"/>
      <w:r>
        <w:t>,</w:t>
      </w:r>
      <w:r w:rsidRPr="00F7332E">
        <w:t xml:space="preserve"> and the </w:t>
      </w:r>
      <w:proofErr w:type="spellStart"/>
      <w:r w:rsidRPr="00F7332E">
        <w:t>OREVADO</w:t>
      </w:r>
      <w:proofErr w:type="spellEnd"/>
      <w:r w:rsidRPr="00F7332E">
        <w:t xml:space="preserve"> to the Ministry of Agriculture</w:t>
      </w:r>
      <w:r w:rsidRPr="0060155B">
        <w:rPr>
          <w:sz w:val="16"/>
          <w:szCs w:val="16"/>
        </w:rPr>
        <w:t xml:space="preserve">. </w:t>
      </w:r>
      <w:r w:rsidRPr="0060155B">
        <w:t>T</w:t>
      </w:r>
      <w:r w:rsidRPr="00F7332E">
        <w:t xml:space="preserve">he </w:t>
      </w:r>
      <w:proofErr w:type="spellStart"/>
      <w:r w:rsidRPr="00F7332E">
        <w:t>ONDA</w:t>
      </w:r>
      <w:proofErr w:type="spellEnd"/>
      <w:r w:rsidRPr="00F7332E">
        <w:t xml:space="preserve">, which was previously attached to the Ministry of Culture, was moved across to the </w:t>
      </w:r>
      <w:proofErr w:type="spellStart"/>
      <w:r w:rsidRPr="00F7332E">
        <w:t>MICM</w:t>
      </w:r>
      <w:proofErr w:type="spellEnd"/>
      <w:r w:rsidRPr="00F7332E">
        <w:t xml:space="preserve"> in 2017 in order to "recognize" copyright as an essential </w:t>
      </w:r>
      <w:r>
        <w:t>element</w:t>
      </w:r>
      <w:r w:rsidRPr="00F7332E">
        <w:t xml:space="preserve"> for economic development.</w:t>
      </w:r>
      <w:r w:rsidRPr="00F7332E">
        <w:rPr>
          <w:vertAlign w:val="superscript"/>
        </w:rPr>
        <w:footnoteReference w:id="318"/>
      </w:r>
    </w:p>
    <w:p w14:paraId="61A9E281" w14:textId="77777777" w:rsidR="001A500E" w:rsidRPr="00F7332E" w:rsidRDefault="001A500E" w:rsidP="00574469">
      <w:pPr>
        <w:pStyle w:val="BodyText"/>
      </w:pPr>
      <w:r w:rsidRPr="00F7332E">
        <w:lastRenderedPageBreak/>
        <w:t xml:space="preserve">The requirements for securing protection and the terms of </w:t>
      </w:r>
      <w:proofErr w:type="spellStart"/>
      <w:r w:rsidRPr="00F7332E">
        <w:t>IPR</w:t>
      </w:r>
      <w:proofErr w:type="spellEnd"/>
      <w:r w:rsidRPr="00F7332E">
        <w:t xml:space="preserve"> protection have not changed substantially since 2015 (Table 3.21)</w:t>
      </w:r>
      <w:r w:rsidRPr="0060155B">
        <w:t>. T</w:t>
      </w:r>
      <w:r w:rsidRPr="00F7332E">
        <w:t>he Law on Industrial Property does not include provisions protecting layout</w:t>
      </w:r>
      <w:r>
        <w:noBreakHyphen/>
      </w:r>
      <w:r w:rsidRPr="00F7332E">
        <w:t>designs of integrated circuits – they are protected when they are incorporated into an invention</w:t>
      </w:r>
      <w:r w:rsidRPr="0060155B">
        <w:t>.</w:t>
      </w:r>
      <w:r w:rsidRPr="0060155B">
        <w:rPr>
          <w:vertAlign w:val="superscript"/>
        </w:rPr>
        <w:footnoteReference w:id="319"/>
      </w:r>
      <w:r w:rsidRPr="0060155B">
        <w:t xml:space="preserve"> S</w:t>
      </w:r>
      <w:r w:rsidRPr="00F7332E">
        <w:t>ince 2015</w:t>
      </w:r>
      <w:r>
        <w:t>,</w:t>
      </w:r>
      <w:r w:rsidRPr="00F7332E">
        <w:t xml:space="preserve"> the main change in terms of procedures for securing protection has been to register trade names more promptly</w:t>
      </w:r>
      <w:r w:rsidRPr="0060155B">
        <w:t xml:space="preserve">. </w:t>
      </w:r>
      <w:r w:rsidRPr="0060155B">
        <w:rPr>
          <w:color w:val="000000"/>
        </w:rPr>
        <w:t>A</w:t>
      </w:r>
      <w:r w:rsidRPr="00F7332E">
        <w:rPr>
          <w:color w:val="000000"/>
        </w:rPr>
        <w:t>s a result</w:t>
      </w:r>
      <w:r>
        <w:rPr>
          <w:color w:val="000000"/>
        </w:rPr>
        <w:t>,</w:t>
      </w:r>
      <w:r w:rsidRPr="00F7332E">
        <w:rPr>
          <w:color w:val="000000"/>
        </w:rPr>
        <w:t xml:space="preserve"> the time taken to deliver a registration certificate fell from five days to one in 2018, and</w:t>
      </w:r>
      <w:r>
        <w:rPr>
          <w:color w:val="000000"/>
        </w:rPr>
        <w:t>,</w:t>
      </w:r>
      <w:r w:rsidRPr="00F7332E">
        <w:rPr>
          <w:color w:val="000000"/>
        </w:rPr>
        <w:t xml:space="preserve"> since 2018</w:t>
      </w:r>
      <w:r>
        <w:rPr>
          <w:color w:val="000000"/>
        </w:rPr>
        <w:t>,</w:t>
      </w:r>
      <w:r w:rsidRPr="00F7332E">
        <w:rPr>
          <w:color w:val="000000"/>
        </w:rPr>
        <w:t xml:space="preserve"> applications have had to be submitted electronically via the Electronic Service Request Form (SAC) and the </w:t>
      </w:r>
      <w:r w:rsidRPr="00F7332E">
        <w:rPr>
          <w:color w:val="000000"/>
          <w:bdr w:val="none" w:sz="0" w:space="0" w:color="auto" w:frame="1"/>
        </w:rPr>
        <w:t>Electronic Registration Request System (E</w:t>
      </w:r>
      <w:r>
        <w:rPr>
          <w:color w:val="000000"/>
          <w:bdr w:val="none" w:sz="0" w:space="0" w:color="auto" w:frame="1"/>
        </w:rPr>
        <w:noBreakHyphen/>
      </w:r>
      <w:proofErr w:type="spellStart"/>
      <w:r w:rsidRPr="00F7332E">
        <w:rPr>
          <w:color w:val="000000"/>
          <w:bdr w:val="none" w:sz="0" w:space="0" w:color="auto" w:frame="1"/>
        </w:rPr>
        <w:t>SERPI</w:t>
      </w:r>
      <w:proofErr w:type="spellEnd"/>
      <w:r w:rsidRPr="00F7332E">
        <w:rPr>
          <w:color w:val="000000"/>
          <w:bdr w:val="none" w:sz="0" w:space="0" w:color="auto" w:frame="1"/>
        </w:rPr>
        <w:t>)</w:t>
      </w:r>
      <w:r w:rsidRPr="0060155B">
        <w:rPr>
          <w:color w:val="000000"/>
          <w:bdr w:val="none" w:sz="0" w:space="0" w:color="auto" w:frame="1"/>
        </w:rPr>
        <w:t>.</w:t>
      </w:r>
      <w:r w:rsidRPr="0060155B">
        <w:rPr>
          <w:color w:val="000000"/>
          <w:szCs w:val="18"/>
          <w:bdr w:val="none" w:sz="0" w:space="0" w:color="auto" w:frame="1"/>
          <w:vertAlign w:val="superscript"/>
        </w:rPr>
        <w:footnoteReference w:id="320"/>
      </w:r>
      <w:r w:rsidRPr="0060155B">
        <w:rPr>
          <w:color w:val="000000"/>
          <w:bdr w:val="none" w:sz="0" w:space="0" w:color="auto" w:frame="1"/>
        </w:rPr>
        <w:t xml:space="preserve"> A</w:t>
      </w:r>
      <w:r w:rsidRPr="00F7332E">
        <w:rPr>
          <w:color w:val="000000"/>
          <w:bdr w:val="none" w:sz="0" w:space="0" w:color="auto" w:frame="1"/>
        </w:rPr>
        <w:t xml:space="preserve">dditionally, in order to speed up the procedure for granting patents and </w:t>
      </w:r>
      <w:r w:rsidRPr="00F7332E">
        <w:rPr>
          <w:bdr w:val="none" w:sz="0" w:space="0" w:color="auto" w:frame="1"/>
        </w:rPr>
        <w:t xml:space="preserve">reduce the number of unreviewed requests, more reviewers were recruited and </w:t>
      </w:r>
      <w:proofErr w:type="spellStart"/>
      <w:r w:rsidRPr="00F7332E">
        <w:rPr>
          <w:bdr w:val="none" w:sz="0" w:space="0" w:color="auto" w:frame="1"/>
        </w:rPr>
        <w:t>ONAPI</w:t>
      </w:r>
      <w:proofErr w:type="spellEnd"/>
      <w:r w:rsidRPr="00F7332E">
        <w:rPr>
          <w:bdr w:val="none" w:sz="0" w:space="0" w:color="auto" w:frame="1"/>
        </w:rPr>
        <w:t xml:space="preserve"> took measures to </w:t>
      </w:r>
      <w:r>
        <w:rPr>
          <w:bdr w:val="none" w:sz="0" w:space="0" w:color="auto" w:frame="1"/>
        </w:rPr>
        <w:t>streamline</w:t>
      </w:r>
      <w:r w:rsidRPr="00F7332E">
        <w:rPr>
          <w:bdr w:val="none" w:sz="0" w:space="0" w:color="auto" w:frame="1"/>
        </w:rPr>
        <w:t xml:space="preserve"> internal procedures</w:t>
      </w:r>
      <w:r w:rsidRPr="0060155B">
        <w:rPr>
          <w:bdr w:val="none" w:sz="0" w:space="0" w:color="auto" w:frame="1"/>
        </w:rPr>
        <w:t>. C</w:t>
      </w:r>
      <w:r w:rsidRPr="00F7332E">
        <w:rPr>
          <w:bdr w:val="none" w:sz="0" w:space="0" w:color="auto" w:frame="1"/>
        </w:rPr>
        <w:t>onsequently</w:t>
      </w:r>
      <w:r>
        <w:rPr>
          <w:bdr w:val="none" w:sz="0" w:space="0" w:color="auto" w:frame="1"/>
        </w:rPr>
        <w:t>,</w:t>
      </w:r>
      <w:r w:rsidRPr="00F7332E">
        <w:rPr>
          <w:bdr w:val="none" w:sz="0" w:space="0" w:color="auto" w:frame="1"/>
        </w:rPr>
        <w:t xml:space="preserve"> the number of patents granted in 2021 rose (Chart 3.7).</w:t>
      </w:r>
    </w:p>
    <w:p w14:paraId="4D6355E4" w14:textId="77777777" w:rsidR="001A500E" w:rsidRPr="00F7332E" w:rsidRDefault="001A500E" w:rsidP="006F0E66">
      <w:pPr>
        <w:pStyle w:val="Caption"/>
        <w:rPr>
          <w:b w:val="0"/>
          <w:bCs w:val="0"/>
        </w:rPr>
      </w:pPr>
      <w:bookmarkStart w:id="280" w:name="_Toc114735836"/>
      <w:bookmarkStart w:id="281" w:name="_Toc117238054"/>
      <w:r>
        <w:t xml:space="preserve">Table </w:t>
      </w:r>
      <w:r w:rsidR="00BD37F2">
        <w:fldChar w:fldCharType="begin"/>
      </w:r>
      <w:r w:rsidR="00BD37F2">
        <w:instrText xml:space="preserve"> STYLEREF 1 \s </w:instrText>
      </w:r>
      <w:r w:rsidR="00BD37F2">
        <w:fldChar w:fldCharType="separate"/>
      </w:r>
      <w:r>
        <w:rPr>
          <w:noProof/>
        </w:rPr>
        <w:t>3</w:t>
      </w:r>
      <w:r w:rsidR="00BD37F2">
        <w:rPr>
          <w:noProof/>
        </w:rPr>
        <w:fldChar w:fldCharType="end"/>
      </w:r>
      <w:r>
        <w:t>.</w:t>
      </w:r>
      <w:r w:rsidR="00BD37F2">
        <w:fldChar w:fldCharType="begin"/>
      </w:r>
      <w:r w:rsidR="00BD37F2">
        <w:instrText xml:space="preserve"> SEQ Table \* ARABIC \s 1 </w:instrText>
      </w:r>
      <w:r w:rsidR="00BD37F2">
        <w:fldChar w:fldCharType="separate"/>
      </w:r>
      <w:r>
        <w:rPr>
          <w:noProof/>
        </w:rPr>
        <w:t>21</w:t>
      </w:r>
      <w:r w:rsidR="00BD37F2">
        <w:rPr>
          <w:noProof/>
        </w:rPr>
        <w:fldChar w:fldCharType="end"/>
      </w:r>
      <w:r>
        <w:t xml:space="preserve"> </w:t>
      </w:r>
      <w:r w:rsidRPr="00F7332E">
        <w:t xml:space="preserve">Requirements and terms of </w:t>
      </w:r>
      <w:bookmarkEnd w:id="278"/>
      <w:bookmarkEnd w:id="280"/>
      <w:r w:rsidRPr="00F7332E">
        <w:t>intellectual property rights protection</w:t>
      </w:r>
      <w:r>
        <w:t>,</w:t>
      </w:r>
      <w:r w:rsidRPr="00F7332E">
        <w:t xml:space="preserve"> 2022</w:t>
      </w:r>
      <w:bookmarkEnd w:id="281"/>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1541"/>
        <w:gridCol w:w="1431"/>
        <w:gridCol w:w="2209"/>
        <w:gridCol w:w="1902"/>
        <w:gridCol w:w="1933"/>
      </w:tblGrid>
      <w:tr w:rsidR="001A500E" w:rsidRPr="00F7332E" w14:paraId="2AF2371A" w14:textId="77777777" w:rsidTr="00120886">
        <w:trPr>
          <w:cantSplit/>
          <w:tblHeader/>
        </w:trPr>
        <w:tc>
          <w:tcPr>
            <w:tcW w:w="1541" w:type="dxa"/>
            <w:tcBorders>
              <w:top w:val="single" w:sz="4" w:space="0" w:color="auto"/>
            </w:tcBorders>
            <w:shd w:val="clear" w:color="auto" w:fill="006283"/>
            <w:vAlign w:val="center"/>
          </w:tcPr>
          <w:p w14:paraId="76E2DC4C" w14:textId="77777777" w:rsidR="001A500E" w:rsidRPr="00F7332E" w:rsidRDefault="001A500E" w:rsidP="00A4772C">
            <w:pPr>
              <w:jc w:val="left"/>
              <w:rPr>
                <w:rFonts w:eastAsia="Times New Roman" w:cs="Times New Roman"/>
                <w:b/>
                <w:color w:val="FFFFFF"/>
                <w:sz w:val="15"/>
                <w:szCs w:val="15"/>
              </w:rPr>
            </w:pPr>
          </w:p>
        </w:tc>
        <w:tc>
          <w:tcPr>
            <w:tcW w:w="1431" w:type="dxa"/>
            <w:tcBorders>
              <w:top w:val="single" w:sz="4" w:space="0" w:color="auto"/>
            </w:tcBorders>
            <w:shd w:val="clear" w:color="auto" w:fill="006283"/>
            <w:vAlign w:val="center"/>
          </w:tcPr>
          <w:p w14:paraId="782A52F5" w14:textId="77777777" w:rsidR="001A500E" w:rsidRPr="00F7332E" w:rsidRDefault="001A500E" w:rsidP="00A4772C">
            <w:pPr>
              <w:jc w:val="left"/>
              <w:rPr>
                <w:rFonts w:eastAsia="Times New Roman" w:cs="Times New Roman"/>
                <w:b/>
                <w:color w:val="FFFFFF"/>
                <w:sz w:val="15"/>
                <w:szCs w:val="15"/>
              </w:rPr>
            </w:pPr>
            <w:r w:rsidRPr="00F7332E">
              <w:rPr>
                <w:rFonts w:eastAsia="Times New Roman" w:cs="Times New Roman"/>
                <w:b/>
                <w:bCs/>
                <w:color w:val="FFFFFF"/>
                <w:sz w:val="15"/>
                <w:szCs w:val="15"/>
              </w:rPr>
              <w:t>Type of protection</w:t>
            </w:r>
          </w:p>
        </w:tc>
        <w:tc>
          <w:tcPr>
            <w:tcW w:w="2209" w:type="dxa"/>
            <w:tcBorders>
              <w:top w:val="single" w:sz="4" w:space="0" w:color="auto"/>
            </w:tcBorders>
            <w:shd w:val="clear" w:color="auto" w:fill="006283"/>
            <w:vAlign w:val="center"/>
          </w:tcPr>
          <w:p w14:paraId="0ABD6AE2" w14:textId="77777777" w:rsidR="001A500E" w:rsidRPr="00F7332E" w:rsidRDefault="001A500E" w:rsidP="00A4772C">
            <w:pPr>
              <w:jc w:val="left"/>
              <w:rPr>
                <w:rFonts w:eastAsia="Times New Roman" w:cs="Times New Roman"/>
                <w:b/>
                <w:color w:val="FFFFFF"/>
                <w:sz w:val="15"/>
                <w:szCs w:val="15"/>
              </w:rPr>
            </w:pPr>
            <w:r w:rsidRPr="00F7332E">
              <w:rPr>
                <w:rFonts w:eastAsia="Times New Roman" w:cs="Times New Roman"/>
                <w:b/>
                <w:bCs/>
                <w:color w:val="FFFFFF"/>
                <w:sz w:val="15"/>
                <w:szCs w:val="15"/>
              </w:rPr>
              <w:t xml:space="preserve">Requirements for securing protection </w:t>
            </w:r>
          </w:p>
        </w:tc>
        <w:tc>
          <w:tcPr>
            <w:tcW w:w="1902" w:type="dxa"/>
            <w:tcBorders>
              <w:top w:val="single" w:sz="4" w:space="0" w:color="auto"/>
            </w:tcBorders>
            <w:shd w:val="clear" w:color="auto" w:fill="006283"/>
            <w:vAlign w:val="center"/>
          </w:tcPr>
          <w:p w14:paraId="1FBA068B" w14:textId="77777777" w:rsidR="001A500E" w:rsidRPr="00F7332E" w:rsidRDefault="001A500E" w:rsidP="00A4772C">
            <w:pPr>
              <w:jc w:val="left"/>
              <w:rPr>
                <w:rFonts w:eastAsia="Times New Roman" w:cs="Times New Roman"/>
                <w:b/>
                <w:color w:val="FFFFFF"/>
                <w:sz w:val="15"/>
                <w:szCs w:val="15"/>
              </w:rPr>
            </w:pPr>
            <w:r w:rsidRPr="00F7332E">
              <w:rPr>
                <w:rFonts w:eastAsia="Times New Roman" w:cs="Times New Roman"/>
                <w:b/>
                <w:bCs/>
                <w:color w:val="FFFFFF"/>
                <w:sz w:val="15"/>
                <w:szCs w:val="15"/>
              </w:rPr>
              <w:t xml:space="preserve">Term of protection, start date </w:t>
            </w:r>
          </w:p>
        </w:tc>
        <w:tc>
          <w:tcPr>
            <w:tcW w:w="1933" w:type="dxa"/>
            <w:tcBorders>
              <w:top w:val="single" w:sz="4" w:space="0" w:color="auto"/>
            </w:tcBorders>
            <w:shd w:val="clear" w:color="auto" w:fill="006283"/>
            <w:vAlign w:val="center"/>
          </w:tcPr>
          <w:p w14:paraId="3E99BCF1" w14:textId="77777777" w:rsidR="001A500E" w:rsidRPr="00F7332E" w:rsidRDefault="001A500E" w:rsidP="00A4772C">
            <w:pPr>
              <w:jc w:val="left"/>
              <w:rPr>
                <w:rFonts w:eastAsia="Times New Roman" w:cs="Times New Roman"/>
                <w:b/>
                <w:color w:val="FFFFFF"/>
                <w:sz w:val="15"/>
                <w:szCs w:val="15"/>
              </w:rPr>
            </w:pPr>
            <w:r w:rsidRPr="00F7332E">
              <w:rPr>
                <w:rFonts w:eastAsia="Times New Roman" w:cs="Times New Roman"/>
                <w:b/>
                <w:bCs/>
                <w:color w:val="FFFFFF"/>
                <w:sz w:val="15"/>
                <w:szCs w:val="15"/>
              </w:rPr>
              <w:t xml:space="preserve">Observations </w:t>
            </w:r>
          </w:p>
        </w:tc>
      </w:tr>
      <w:tr w:rsidR="001A500E" w:rsidRPr="00F7332E" w14:paraId="100CF2E7" w14:textId="77777777" w:rsidTr="00120886">
        <w:trPr>
          <w:cantSplit/>
        </w:trPr>
        <w:tc>
          <w:tcPr>
            <w:tcW w:w="1541" w:type="dxa"/>
          </w:tcPr>
          <w:p w14:paraId="2938BA36" w14:textId="77777777" w:rsidR="001A500E" w:rsidRPr="00F7332E" w:rsidRDefault="001A500E" w:rsidP="00EE0994">
            <w:pPr>
              <w:rPr>
                <w:rFonts w:eastAsia="Times New Roman" w:cs="Times New Roman"/>
                <w:sz w:val="15"/>
                <w:szCs w:val="15"/>
              </w:rPr>
            </w:pPr>
            <w:r w:rsidRPr="00F7332E">
              <w:rPr>
                <w:rFonts w:eastAsia="Times New Roman" w:cs="Times New Roman"/>
                <w:sz w:val="15"/>
                <w:szCs w:val="15"/>
              </w:rPr>
              <w:t>Inventions</w:t>
            </w:r>
          </w:p>
        </w:tc>
        <w:tc>
          <w:tcPr>
            <w:tcW w:w="1431" w:type="dxa"/>
          </w:tcPr>
          <w:p w14:paraId="004C7453" w14:textId="77777777" w:rsidR="001A500E" w:rsidRPr="00F7332E" w:rsidRDefault="001A500E" w:rsidP="00D146B4">
            <w:pPr>
              <w:rPr>
                <w:rFonts w:eastAsia="Times New Roman" w:cs="Times New Roman"/>
                <w:sz w:val="15"/>
                <w:szCs w:val="15"/>
              </w:rPr>
            </w:pPr>
            <w:r w:rsidRPr="00F7332E">
              <w:rPr>
                <w:rFonts w:eastAsia="Times New Roman" w:cs="Times New Roman"/>
                <w:sz w:val="15"/>
                <w:szCs w:val="15"/>
              </w:rPr>
              <w:t xml:space="preserve">Patents </w:t>
            </w:r>
          </w:p>
        </w:tc>
        <w:tc>
          <w:tcPr>
            <w:tcW w:w="2209" w:type="dxa"/>
          </w:tcPr>
          <w:p w14:paraId="10174B4E" w14:textId="77777777" w:rsidR="001A500E" w:rsidRPr="00F7332E" w:rsidRDefault="001A500E" w:rsidP="006F0E66">
            <w:pPr>
              <w:jc w:val="left"/>
              <w:rPr>
                <w:rFonts w:eastAsia="Times New Roman" w:cs="Times New Roman"/>
                <w:sz w:val="15"/>
                <w:szCs w:val="15"/>
              </w:rPr>
            </w:pPr>
            <w:r w:rsidRPr="00F7332E">
              <w:rPr>
                <w:rFonts w:eastAsia="Times New Roman" w:cs="Times New Roman"/>
                <w:sz w:val="15"/>
                <w:szCs w:val="15"/>
              </w:rPr>
              <w:t xml:space="preserve">Must be novel, have a degree of inventiveness and be capable of industrial application </w:t>
            </w:r>
          </w:p>
        </w:tc>
        <w:tc>
          <w:tcPr>
            <w:tcW w:w="1902" w:type="dxa"/>
          </w:tcPr>
          <w:p w14:paraId="68B096D3" w14:textId="77777777" w:rsidR="001A500E" w:rsidRPr="00F7332E" w:rsidRDefault="001A500E" w:rsidP="006F0E66">
            <w:pPr>
              <w:jc w:val="left"/>
              <w:rPr>
                <w:rFonts w:eastAsia="Times New Roman" w:cs="Times New Roman"/>
                <w:sz w:val="15"/>
                <w:szCs w:val="15"/>
              </w:rPr>
            </w:pPr>
            <w:r w:rsidRPr="00F7332E">
              <w:rPr>
                <w:rFonts w:eastAsia="Times New Roman" w:cs="Times New Roman"/>
                <w:sz w:val="15"/>
                <w:szCs w:val="15"/>
              </w:rPr>
              <w:t>20 years from the date of filing (non</w:t>
            </w:r>
            <w:r>
              <w:rPr>
                <w:rFonts w:eastAsia="Times New Roman" w:cs="Times New Roman"/>
                <w:sz w:val="15"/>
                <w:szCs w:val="15"/>
              </w:rPr>
              <w:noBreakHyphen/>
            </w:r>
            <w:r w:rsidRPr="00F7332E">
              <w:rPr>
                <w:rFonts w:eastAsia="Times New Roman" w:cs="Times New Roman"/>
                <w:sz w:val="15"/>
                <w:szCs w:val="15"/>
              </w:rPr>
              <w:t>extendable)</w:t>
            </w:r>
            <w:r w:rsidRPr="0060155B">
              <w:rPr>
                <w:rFonts w:eastAsia="Times New Roman" w:cs="Times New Roman"/>
                <w:sz w:val="15"/>
                <w:szCs w:val="15"/>
              </w:rPr>
              <w:t>. O</w:t>
            </w:r>
            <w:r w:rsidRPr="00F7332E">
              <w:rPr>
                <w:rFonts w:eastAsia="Times New Roman" w:cs="Times New Roman"/>
                <w:sz w:val="15"/>
                <w:szCs w:val="15"/>
              </w:rPr>
              <w:t xml:space="preserve">pportunity to request an extension of up to three </w:t>
            </w:r>
            <w:r>
              <w:rPr>
                <w:rFonts w:eastAsia="Times New Roman" w:cs="Times New Roman"/>
                <w:sz w:val="15"/>
                <w:szCs w:val="15"/>
              </w:rPr>
              <w:t>years</w:t>
            </w:r>
            <w:r w:rsidRPr="00F7332E">
              <w:rPr>
                <w:rFonts w:eastAsia="Times New Roman" w:cs="Times New Roman"/>
                <w:sz w:val="15"/>
                <w:szCs w:val="15"/>
              </w:rPr>
              <w:t xml:space="preserve"> in the event of "undue" delays in the granting of the patent</w:t>
            </w:r>
          </w:p>
        </w:tc>
        <w:tc>
          <w:tcPr>
            <w:tcW w:w="1933" w:type="dxa"/>
          </w:tcPr>
          <w:p w14:paraId="5996FA4B" w14:textId="77777777" w:rsidR="001A500E" w:rsidRPr="00F7332E" w:rsidRDefault="001A500E" w:rsidP="006F0E66">
            <w:pPr>
              <w:jc w:val="left"/>
              <w:rPr>
                <w:rFonts w:eastAsia="Times New Roman" w:cs="Times New Roman"/>
                <w:sz w:val="15"/>
                <w:szCs w:val="15"/>
              </w:rPr>
            </w:pPr>
            <w:r w:rsidRPr="00F7332E">
              <w:rPr>
                <w:rFonts w:eastAsia="Times New Roman" w:cs="Times New Roman"/>
                <w:sz w:val="15"/>
                <w:szCs w:val="15"/>
              </w:rPr>
              <w:t>Article 2 of Law No. 20</w:t>
            </w:r>
            <w:r>
              <w:rPr>
                <w:rFonts w:eastAsia="Times New Roman" w:cs="Times New Roman"/>
                <w:sz w:val="15"/>
                <w:szCs w:val="15"/>
              </w:rPr>
              <w:noBreakHyphen/>
            </w:r>
            <w:r w:rsidRPr="00F7332E">
              <w:rPr>
                <w:rFonts w:eastAsia="Times New Roman" w:cs="Times New Roman"/>
                <w:sz w:val="15"/>
                <w:szCs w:val="15"/>
              </w:rPr>
              <w:t xml:space="preserve">00 </w:t>
            </w:r>
            <w:r>
              <w:rPr>
                <w:rFonts w:eastAsia="Times New Roman" w:cs="Times New Roman"/>
                <w:sz w:val="15"/>
                <w:szCs w:val="15"/>
              </w:rPr>
              <w:t>lists</w:t>
            </w:r>
            <w:r w:rsidRPr="00F7332E">
              <w:rPr>
                <w:rFonts w:eastAsia="Times New Roman" w:cs="Times New Roman"/>
                <w:sz w:val="15"/>
                <w:szCs w:val="15"/>
              </w:rPr>
              <w:t xml:space="preserve"> the </w:t>
            </w:r>
            <w:r>
              <w:rPr>
                <w:rFonts w:eastAsia="Times New Roman" w:cs="Times New Roman"/>
                <w:sz w:val="15"/>
                <w:szCs w:val="15"/>
              </w:rPr>
              <w:t>items</w:t>
            </w:r>
            <w:r w:rsidRPr="00F7332E">
              <w:rPr>
                <w:rFonts w:eastAsia="Times New Roman" w:cs="Times New Roman"/>
                <w:sz w:val="15"/>
                <w:szCs w:val="15"/>
              </w:rPr>
              <w:t xml:space="preserve"> </w:t>
            </w:r>
            <w:r>
              <w:rPr>
                <w:rFonts w:eastAsia="Times New Roman" w:cs="Times New Roman"/>
                <w:sz w:val="15"/>
                <w:szCs w:val="15"/>
              </w:rPr>
              <w:t>that cannot b</w:t>
            </w:r>
            <w:r w:rsidRPr="0060155B">
              <w:rPr>
                <w:rFonts w:eastAsia="Times New Roman" w:cs="Times New Roman"/>
                <w:sz w:val="15"/>
                <w:szCs w:val="15"/>
              </w:rPr>
              <w:t xml:space="preserve">e </w:t>
            </w:r>
            <w:r w:rsidRPr="00F7332E">
              <w:rPr>
                <w:rFonts w:eastAsia="Times New Roman" w:cs="Times New Roman"/>
                <w:sz w:val="15"/>
                <w:szCs w:val="15"/>
              </w:rPr>
              <w:t>patent</w:t>
            </w:r>
            <w:r>
              <w:rPr>
                <w:rFonts w:eastAsia="Times New Roman" w:cs="Times New Roman"/>
                <w:sz w:val="15"/>
                <w:szCs w:val="15"/>
              </w:rPr>
              <w:t>ed</w:t>
            </w:r>
            <w:r w:rsidRPr="00F7332E">
              <w:rPr>
                <w:rFonts w:eastAsia="Times New Roman" w:cs="Times New Roman"/>
                <w:sz w:val="15"/>
                <w:szCs w:val="15"/>
              </w:rPr>
              <w:t xml:space="preserve"> </w:t>
            </w:r>
            <w:r>
              <w:rPr>
                <w:rFonts w:eastAsia="Times New Roman" w:cs="Times New Roman"/>
                <w:sz w:val="15"/>
                <w:szCs w:val="15"/>
              </w:rPr>
              <w:t>as they are not considered</w:t>
            </w:r>
            <w:r w:rsidRPr="00F7332E">
              <w:rPr>
                <w:rFonts w:eastAsia="Times New Roman" w:cs="Times New Roman"/>
                <w:sz w:val="15"/>
                <w:szCs w:val="15"/>
              </w:rPr>
              <w:t xml:space="preserve"> an invention</w:t>
            </w:r>
            <w:r>
              <w:rPr>
                <w:rFonts w:eastAsia="Times New Roman" w:cs="Times New Roman"/>
                <w:sz w:val="15"/>
                <w:szCs w:val="15"/>
              </w:rPr>
              <w:t>.</w:t>
            </w:r>
            <w:r w:rsidRPr="00F7332E">
              <w:rPr>
                <w:rFonts w:eastAsia="Times New Roman" w:cs="Times New Roman"/>
                <w:sz w:val="15"/>
                <w:szCs w:val="15"/>
              </w:rPr>
              <w:br/>
              <w:t>Second</w:t>
            </w:r>
            <w:r>
              <w:rPr>
                <w:rFonts w:eastAsia="Times New Roman" w:cs="Times New Roman"/>
                <w:sz w:val="15"/>
                <w:szCs w:val="15"/>
              </w:rPr>
              <w:t xml:space="preserve"> medical</w:t>
            </w:r>
            <w:r w:rsidRPr="00F7332E">
              <w:rPr>
                <w:rFonts w:eastAsia="Times New Roman" w:cs="Times New Roman"/>
                <w:sz w:val="15"/>
                <w:szCs w:val="15"/>
              </w:rPr>
              <w:t xml:space="preserve"> use pharmaceutical patents are not granted. </w:t>
            </w:r>
          </w:p>
        </w:tc>
      </w:tr>
      <w:tr w:rsidR="001A500E" w:rsidRPr="00F7332E" w14:paraId="5683FFA0" w14:textId="77777777" w:rsidTr="00120886">
        <w:trPr>
          <w:cantSplit/>
        </w:trPr>
        <w:tc>
          <w:tcPr>
            <w:tcW w:w="1541" w:type="dxa"/>
            <w:shd w:val="clear" w:color="auto" w:fill="C9DED4"/>
          </w:tcPr>
          <w:p w14:paraId="5BCF51B9" w14:textId="77777777" w:rsidR="001A500E" w:rsidRPr="00F7332E" w:rsidRDefault="001A500E" w:rsidP="00EE0994">
            <w:pPr>
              <w:rPr>
                <w:rFonts w:eastAsia="Times New Roman" w:cs="Times New Roman"/>
                <w:sz w:val="15"/>
                <w:szCs w:val="15"/>
              </w:rPr>
            </w:pPr>
            <w:r w:rsidRPr="00F7332E">
              <w:rPr>
                <w:rFonts w:eastAsia="Times New Roman" w:cs="Times New Roman"/>
                <w:sz w:val="15"/>
                <w:szCs w:val="15"/>
              </w:rPr>
              <w:t>Utility models</w:t>
            </w:r>
          </w:p>
        </w:tc>
        <w:tc>
          <w:tcPr>
            <w:tcW w:w="1431" w:type="dxa"/>
            <w:shd w:val="clear" w:color="auto" w:fill="C9DED4"/>
          </w:tcPr>
          <w:p w14:paraId="3B7EFCD3" w14:textId="77777777" w:rsidR="001A500E" w:rsidRPr="00F7332E" w:rsidRDefault="001A500E" w:rsidP="00D146B4">
            <w:pPr>
              <w:rPr>
                <w:rFonts w:eastAsia="Times New Roman" w:cs="Times New Roman"/>
                <w:sz w:val="15"/>
                <w:szCs w:val="15"/>
              </w:rPr>
            </w:pPr>
            <w:r w:rsidRPr="00F7332E">
              <w:rPr>
                <w:rFonts w:eastAsia="Times New Roman" w:cs="Times New Roman"/>
                <w:sz w:val="15"/>
                <w:szCs w:val="15"/>
              </w:rPr>
              <w:t>Patents</w:t>
            </w:r>
          </w:p>
        </w:tc>
        <w:tc>
          <w:tcPr>
            <w:tcW w:w="2209" w:type="dxa"/>
            <w:shd w:val="clear" w:color="auto" w:fill="C9DED4"/>
          </w:tcPr>
          <w:p w14:paraId="11B60398" w14:textId="77777777" w:rsidR="001A500E" w:rsidRPr="00F7332E" w:rsidRDefault="001A500E" w:rsidP="006F0E66">
            <w:pPr>
              <w:jc w:val="left"/>
              <w:rPr>
                <w:rFonts w:eastAsia="Times New Roman" w:cs="Times New Roman"/>
                <w:sz w:val="15"/>
                <w:szCs w:val="15"/>
              </w:rPr>
            </w:pPr>
            <w:r w:rsidRPr="00F7332E">
              <w:rPr>
                <w:rFonts w:eastAsia="Times New Roman" w:cs="Times New Roman"/>
                <w:sz w:val="15"/>
                <w:szCs w:val="15"/>
              </w:rPr>
              <w:t>Must be novel and capable of industrial application</w:t>
            </w:r>
          </w:p>
        </w:tc>
        <w:tc>
          <w:tcPr>
            <w:tcW w:w="1902" w:type="dxa"/>
            <w:shd w:val="clear" w:color="auto" w:fill="C9DED4"/>
          </w:tcPr>
          <w:p w14:paraId="0EB4A900" w14:textId="77777777" w:rsidR="001A500E" w:rsidRPr="00F7332E" w:rsidRDefault="001A500E" w:rsidP="006F0E66">
            <w:pPr>
              <w:jc w:val="left"/>
              <w:rPr>
                <w:rFonts w:eastAsia="Times New Roman" w:cs="Times New Roman"/>
                <w:sz w:val="15"/>
                <w:szCs w:val="15"/>
              </w:rPr>
            </w:pPr>
            <w:r w:rsidRPr="00F7332E">
              <w:rPr>
                <w:rFonts w:eastAsia="Times New Roman" w:cs="Times New Roman"/>
                <w:sz w:val="15"/>
                <w:szCs w:val="15"/>
              </w:rPr>
              <w:t>15 years from the date of filing (non</w:t>
            </w:r>
            <w:r>
              <w:rPr>
                <w:rFonts w:eastAsia="Times New Roman" w:cs="Times New Roman"/>
                <w:sz w:val="15"/>
                <w:szCs w:val="15"/>
              </w:rPr>
              <w:noBreakHyphen/>
            </w:r>
            <w:r w:rsidRPr="00F7332E">
              <w:rPr>
                <w:rFonts w:eastAsia="Times New Roman" w:cs="Times New Roman"/>
                <w:sz w:val="15"/>
                <w:szCs w:val="15"/>
              </w:rPr>
              <w:t>extendable)</w:t>
            </w:r>
          </w:p>
        </w:tc>
        <w:tc>
          <w:tcPr>
            <w:tcW w:w="1933" w:type="dxa"/>
            <w:shd w:val="clear" w:color="auto" w:fill="C9DED4"/>
          </w:tcPr>
          <w:p w14:paraId="43C4231E" w14:textId="77777777" w:rsidR="001A500E" w:rsidRPr="00F7332E" w:rsidRDefault="001A500E" w:rsidP="006F0E66">
            <w:pPr>
              <w:jc w:val="left"/>
              <w:rPr>
                <w:rFonts w:eastAsia="Times New Roman" w:cs="Times New Roman"/>
                <w:sz w:val="15"/>
                <w:szCs w:val="15"/>
              </w:rPr>
            </w:pPr>
            <w:r w:rsidRPr="00F7332E">
              <w:rPr>
                <w:rFonts w:eastAsia="Times New Roman" w:cs="Times New Roman"/>
                <w:sz w:val="15"/>
                <w:szCs w:val="15"/>
              </w:rPr>
              <w:t xml:space="preserve">The following </w:t>
            </w:r>
            <w:r>
              <w:rPr>
                <w:rFonts w:eastAsia="Times New Roman" w:cs="Times New Roman"/>
                <w:sz w:val="15"/>
                <w:szCs w:val="15"/>
              </w:rPr>
              <w:t>items</w:t>
            </w:r>
            <w:r w:rsidRPr="00F7332E">
              <w:rPr>
                <w:rFonts w:eastAsia="Times New Roman" w:cs="Times New Roman"/>
                <w:sz w:val="15"/>
                <w:szCs w:val="15"/>
              </w:rPr>
              <w:t xml:space="preserve"> cannot be protected by utility models</w:t>
            </w:r>
            <w:r w:rsidRPr="0060155B">
              <w:rPr>
                <w:rFonts w:eastAsia="Times New Roman" w:cs="Times New Roman"/>
                <w:sz w:val="15"/>
                <w:szCs w:val="15"/>
              </w:rPr>
              <w:t>: (</w:t>
            </w:r>
            <w:r w:rsidRPr="00F7332E">
              <w:rPr>
                <w:rFonts w:eastAsia="Times New Roman" w:cs="Times New Roman"/>
                <w:sz w:val="15"/>
                <w:szCs w:val="15"/>
              </w:rPr>
              <w:t>a)</w:t>
            </w:r>
            <w:r>
              <w:rPr>
                <w:rFonts w:eastAsia="Times New Roman" w:cs="Times New Roman"/>
                <w:sz w:val="15"/>
                <w:szCs w:val="15"/>
              </w:rPr>
              <w:t> </w:t>
            </w:r>
            <w:r w:rsidRPr="00F7332E">
              <w:rPr>
                <w:rFonts w:eastAsia="Times New Roman" w:cs="Times New Roman"/>
                <w:sz w:val="15"/>
                <w:szCs w:val="15"/>
              </w:rPr>
              <w:t>chemical, metallurgical or any other substances or compositions</w:t>
            </w:r>
            <w:r w:rsidRPr="0060155B">
              <w:rPr>
                <w:rFonts w:eastAsia="Times New Roman" w:cs="Times New Roman"/>
                <w:sz w:val="15"/>
                <w:szCs w:val="15"/>
              </w:rPr>
              <w:t>; a</w:t>
            </w:r>
            <w:r w:rsidRPr="00F7332E">
              <w:rPr>
                <w:rFonts w:eastAsia="Times New Roman" w:cs="Times New Roman"/>
                <w:sz w:val="15"/>
                <w:szCs w:val="15"/>
              </w:rPr>
              <w:t>nd (b)</w:t>
            </w:r>
            <w:r>
              <w:rPr>
                <w:rFonts w:eastAsia="Times New Roman" w:cs="Times New Roman"/>
                <w:sz w:val="15"/>
                <w:szCs w:val="15"/>
              </w:rPr>
              <w:t> </w:t>
            </w:r>
            <w:r w:rsidRPr="00F7332E">
              <w:rPr>
                <w:rFonts w:eastAsia="Times New Roman" w:cs="Times New Roman"/>
                <w:sz w:val="15"/>
                <w:szCs w:val="15"/>
              </w:rPr>
              <w:t xml:space="preserve">inventions </w:t>
            </w:r>
            <w:r>
              <w:rPr>
                <w:rFonts w:eastAsia="Times New Roman" w:cs="Times New Roman"/>
                <w:sz w:val="15"/>
                <w:szCs w:val="15"/>
              </w:rPr>
              <w:t>that cannot be</w:t>
            </w:r>
            <w:r w:rsidRPr="00F7332E">
              <w:rPr>
                <w:rFonts w:eastAsia="Times New Roman" w:cs="Times New Roman"/>
                <w:sz w:val="15"/>
                <w:szCs w:val="15"/>
              </w:rPr>
              <w:t xml:space="preserve"> patent</w:t>
            </w:r>
            <w:r>
              <w:rPr>
                <w:rFonts w:eastAsia="Times New Roman" w:cs="Times New Roman"/>
                <w:sz w:val="15"/>
                <w:szCs w:val="15"/>
              </w:rPr>
              <w:t>ed</w:t>
            </w:r>
            <w:r w:rsidRPr="00F7332E">
              <w:rPr>
                <w:rFonts w:eastAsia="Times New Roman" w:cs="Times New Roman"/>
                <w:sz w:val="15"/>
                <w:szCs w:val="15"/>
              </w:rPr>
              <w:t xml:space="preserve">. </w:t>
            </w:r>
          </w:p>
        </w:tc>
      </w:tr>
      <w:tr w:rsidR="001A500E" w:rsidRPr="00F7332E" w14:paraId="5645C07E" w14:textId="77777777" w:rsidTr="00120886">
        <w:trPr>
          <w:cantSplit/>
        </w:trPr>
        <w:tc>
          <w:tcPr>
            <w:tcW w:w="1541" w:type="dxa"/>
          </w:tcPr>
          <w:p w14:paraId="20F29324" w14:textId="77777777" w:rsidR="001A500E" w:rsidRPr="00F7332E" w:rsidRDefault="001A500E" w:rsidP="00EE0994">
            <w:pPr>
              <w:rPr>
                <w:rFonts w:eastAsia="Times New Roman" w:cs="Times New Roman"/>
                <w:sz w:val="15"/>
                <w:szCs w:val="15"/>
              </w:rPr>
            </w:pPr>
            <w:r w:rsidRPr="00F7332E">
              <w:rPr>
                <w:rFonts w:eastAsia="Times New Roman" w:cs="Times New Roman"/>
                <w:bCs/>
                <w:sz w:val="15"/>
                <w:szCs w:val="15"/>
              </w:rPr>
              <w:t>Industrial designs</w:t>
            </w:r>
          </w:p>
        </w:tc>
        <w:tc>
          <w:tcPr>
            <w:tcW w:w="1431" w:type="dxa"/>
          </w:tcPr>
          <w:p w14:paraId="150382C7" w14:textId="77777777" w:rsidR="001A500E" w:rsidRPr="00F7332E" w:rsidRDefault="001A500E" w:rsidP="00D146B4">
            <w:pPr>
              <w:rPr>
                <w:rFonts w:eastAsia="Times New Roman" w:cs="Times New Roman"/>
                <w:sz w:val="15"/>
                <w:szCs w:val="15"/>
              </w:rPr>
            </w:pPr>
            <w:r w:rsidRPr="00F7332E">
              <w:rPr>
                <w:rFonts w:eastAsia="Times New Roman" w:cs="Times New Roman"/>
                <w:sz w:val="15"/>
                <w:szCs w:val="15"/>
              </w:rPr>
              <w:t xml:space="preserve">Registration </w:t>
            </w:r>
          </w:p>
        </w:tc>
        <w:tc>
          <w:tcPr>
            <w:tcW w:w="2209" w:type="dxa"/>
          </w:tcPr>
          <w:p w14:paraId="42BCD6B2" w14:textId="77777777" w:rsidR="001A500E" w:rsidRPr="00F7332E" w:rsidRDefault="001A500E" w:rsidP="006F0E66">
            <w:pPr>
              <w:jc w:val="left"/>
              <w:rPr>
                <w:rFonts w:eastAsia="Times New Roman" w:cs="Times New Roman"/>
                <w:sz w:val="15"/>
                <w:szCs w:val="15"/>
              </w:rPr>
            </w:pPr>
            <w:r w:rsidRPr="00F7332E">
              <w:rPr>
                <w:rFonts w:eastAsia="Times New Roman" w:cs="Times New Roman"/>
                <w:sz w:val="15"/>
                <w:szCs w:val="15"/>
              </w:rPr>
              <w:t xml:space="preserve">Be novel and have </w:t>
            </w:r>
            <w:r>
              <w:rPr>
                <w:rFonts w:eastAsia="Times New Roman" w:cs="Times New Roman"/>
                <w:sz w:val="15"/>
                <w:szCs w:val="15"/>
              </w:rPr>
              <w:t>a distinct</w:t>
            </w:r>
            <w:r w:rsidRPr="00F7332E">
              <w:rPr>
                <w:rFonts w:eastAsia="Times New Roman" w:cs="Times New Roman"/>
                <w:sz w:val="15"/>
                <w:szCs w:val="15"/>
              </w:rPr>
              <w:t xml:space="preserve"> character</w:t>
            </w:r>
            <w:r w:rsidRPr="0060155B">
              <w:rPr>
                <w:rFonts w:eastAsia="Times New Roman" w:cs="Times New Roman"/>
                <w:sz w:val="15"/>
                <w:szCs w:val="15"/>
              </w:rPr>
              <w:t>. I</w:t>
            </w:r>
            <w:r w:rsidRPr="00F7332E">
              <w:rPr>
                <w:rFonts w:eastAsia="Times New Roman" w:cs="Times New Roman"/>
                <w:sz w:val="15"/>
                <w:szCs w:val="15"/>
              </w:rPr>
              <w:t>n complex products</w:t>
            </w:r>
            <w:r>
              <w:rPr>
                <w:rFonts w:eastAsia="Times New Roman" w:cs="Times New Roman"/>
                <w:sz w:val="15"/>
                <w:szCs w:val="15"/>
              </w:rPr>
              <w:t>,</w:t>
            </w:r>
            <w:r w:rsidRPr="00F7332E">
              <w:rPr>
                <w:rFonts w:eastAsia="Times New Roman" w:cs="Times New Roman"/>
                <w:sz w:val="15"/>
                <w:szCs w:val="15"/>
              </w:rPr>
              <w:t xml:space="preserve"> the designs must also be visible and </w:t>
            </w:r>
            <w:r>
              <w:rPr>
                <w:rFonts w:eastAsia="Times New Roman" w:cs="Times New Roman"/>
                <w:sz w:val="15"/>
                <w:szCs w:val="15"/>
              </w:rPr>
              <w:t xml:space="preserve">not </w:t>
            </w:r>
            <w:r w:rsidRPr="00F7332E">
              <w:rPr>
                <w:rFonts w:eastAsia="Times New Roman" w:cs="Times New Roman"/>
                <w:sz w:val="15"/>
                <w:szCs w:val="15"/>
              </w:rPr>
              <w:t xml:space="preserve">hidden </w:t>
            </w:r>
            <w:r>
              <w:rPr>
                <w:rFonts w:eastAsia="Times New Roman" w:cs="Times New Roman"/>
                <w:sz w:val="15"/>
                <w:szCs w:val="15"/>
              </w:rPr>
              <w:t>while</w:t>
            </w:r>
            <w:r w:rsidRPr="00F7332E">
              <w:rPr>
                <w:rFonts w:eastAsia="Times New Roman" w:cs="Times New Roman"/>
                <w:sz w:val="15"/>
                <w:szCs w:val="15"/>
              </w:rPr>
              <w:t xml:space="preserve"> the product is in use </w:t>
            </w:r>
          </w:p>
        </w:tc>
        <w:tc>
          <w:tcPr>
            <w:tcW w:w="1902" w:type="dxa"/>
          </w:tcPr>
          <w:p w14:paraId="618552AA" w14:textId="77777777" w:rsidR="001A500E" w:rsidRPr="00F7332E" w:rsidRDefault="001A500E" w:rsidP="006F0E66">
            <w:pPr>
              <w:jc w:val="left"/>
              <w:rPr>
                <w:rFonts w:eastAsia="Times New Roman" w:cs="Times New Roman"/>
                <w:sz w:val="15"/>
                <w:szCs w:val="15"/>
              </w:rPr>
            </w:pPr>
            <w:r w:rsidRPr="00F7332E">
              <w:rPr>
                <w:rFonts w:eastAsia="Times New Roman" w:cs="Times New Roman"/>
                <w:sz w:val="15"/>
                <w:szCs w:val="15"/>
              </w:rPr>
              <w:t>5 years from the date of filing, extendable for up to two five</w:t>
            </w:r>
            <w:r>
              <w:rPr>
                <w:rFonts w:eastAsia="Times New Roman" w:cs="Times New Roman"/>
                <w:sz w:val="15"/>
                <w:szCs w:val="15"/>
              </w:rPr>
              <w:noBreakHyphen/>
            </w:r>
            <w:r w:rsidRPr="00F7332E">
              <w:rPr>
                <w:rFonts w:eastAsia="Times New Roman" w:cs="Times New Roman"/>
                <w:sz w:val="15"/>
                <w:szCs w:val="15"/>
              </w:rPr>
              <w:t xml:space="preserve">year periods </w:t>
            </w:r>
          </w:p>
        </w:tc>
        <w:tc>
          <w:tcPr>
            <w:tcW w:w="1933" w:type="dxa"/>
          </w:tcPr>
          <w:p w14:paraId="52C12217" w14:textId="77777777" w:rsidR="001A500E" w:rsidRPr="00F7332E" w:rsidRDefault="001A500E" w:rsidP="006F0E66">
            <w:pPr>
              <w:jc w:val="left"/>
              <w:rPr>
                <w:rFonts w:eastAsia="Times New Roman" w:cs="Times New Roman"/>
                <w:sz w:val="15"/>
                <w:szCs w:val="15"/>
              </w:rPr>
            </w:pPr>
            <w:r w:rsidRPr="00F7332E">
              <w:rPr>
                <w:rFonts w:eastAsia="Times New Roman" w:cs="Times New Roman"/>
                <w:sz w:val="15"/>
                <w:szCs w:val="15"/>
              </w:rPr>
              <w:t>Article 2 of Law No. 20</w:t>
            </w:r>
            <w:r>
              <w:rPr>
                <w:rFonts w:eastAsia="Times New Roman" w:cs="Times New Roman"/>
                <w:sz w:val="15"/>
                <w:szCs w:val="15"/>
              </w:rPr>
              <w:noBreakHyphen/>
            </w:r>
            <w:r w:rsidRPr="00F7332E">
              <w:rPr>
                <w:rFonts w:eastAsia="Times New Roman" w:cs="Times New Roman"/>
                <w:sz w:val="15"/>
                <w:szCs w:val="15"/>
              </w:rPr>
              <w:t xml:space="preserve">00 lists the </w:t>
            </w:r>
            <w:r>
              <w:rPr>
                <w:rFonts w:eastAsia="Times New Roman" w:cs="Times New Roman"/>
                <w:sz w:val="15"/>
                <w:szCs w:val="15"/>
              </w:rPr>
              <w:t xml:space="preserve">items that cannot be </w:t>
            </w:r>
            <w:r w:rsidRPr="00F7332E">
              <w:rPr>
                <w:rFonts w:eastAsia="Times New Roman" w:cs="Times New Roman"/>
                <w:sz w:val="15"/>
                <w:szCs w:val="15"/>
              </w:rPr>
              <w:t>protect</w:t>
            </w:r>
            <w:r>
              <w:rPr>
                <w:rFonts w:eastAsia="Times New Roman" w:cs="Times New Roman"/>
                <w:sz w:val="15"/>
                <w:szCs w:val="15"/>
              </w:rPr>
              <w:t>ed</w:t>
            </w:r>
            <w:r w:rsidRPr="00F7332E">
              <w:rPr>
                <w:rFonts w:eastAsia="Times New Roman" w:cs="Times New Roman"/>
                <w:sz w:val="15"/>
                <w:szCs w:val="15"/>
              </w:rPr>
              <w:t xml:space="preserve"> as industrial designs</w:t>
            </w:r>
            <w:r w:rsidRPr="0060155B">
              <w:rPr>
                <w:rFonts w:eastAsia="Times New Roman" w:cs="Times New Roman"/>
                <w:sz w:val="15"/>
                <w:szCs w:val="15"/>
              </w:rPr>
              <w:t>. F</w:t>
            </w:r>
            <w:r w:rsidRPr="00F7332E">
              <w:rPr>
                <w:rFonts w:eastAsia="Times New Roman" w:cs="Times New Roman"/>
                <w:sz w:val="15"/>
                <w:szCs w:val="15"/>
              </w:rPr>
              <w:t>or example</w:t>
            </w:r>
            <w:r>
              <w:rPr>
                <w:rFonts w:eastAsia="Times New Roman" w:cs="Times New Roman"/>
                <w:sz w:val="15"/>
                <w:szCs w:val="15"/>
              </w:rPr>
              <w:t>,</w:t>
            </w:r>
            <w:r w:rsidRPr="00F7332E">
              <w:rPr>
                <w:rFonts w:eastAsia="Times New Roman" w:cs="Times New Roman"/>
                <w:sz w:val="15"/>
                <w:szCs w:val="15"/>
              </w:rPr>
              <w:t xml:space="preserve"> no protection can be granted for an industrial design that has technical characteristics only and does not incorporate aesthetic features</w:t>
            </w:r>
          </w:p>
        </w:tc>
      </w:tr>
      <w:tr w:rsidR="001A500E" w:rsidRPr="00F7332E" w14:paraId="21165958" w14:textId="77777777" w:rsidTr="00120886">
        <w:trPr>
          <w:cantSplit/>
        </w:trPr>
        <w:tc>
          <w:tcPr>
            <w:tcW w:w="1541" w:type="dxa"/>
            <w:shd w:val="clear" w:color="auto" w:fill="C9DED4"/>
          </w:tcPr>
          <w:p w14:paraId="4CF69071" w14:textId="77777777" w:rsidR="001A500E" w:rsidRPr="00F7332E" w:rsidRDefault="001A500E" w:rsidP="006F0E66">
            <w:pPr>
              <w:jc w:val="left"/>
              <w:rPr>
                <w:rFonts w:eastAsia="Times New Roman" w:cs="Times New Roman"/>
                <w:sz w:val="15"/>
                <w:szCs w:val="15"/>
                <w:highlight w:val="yellow"/>
              </w:rPr>
            </w:pPr>
            <w:r w:rsidRPr="00F7332E">
              <w:rPr>
                <w:rFonts w:eastAsia="Times New Roman" w:cs="Times New Roman"/>
                <w:sz w:val="15"/>
                <w:szCs w:val="15"/>
              </w:rPr>
              <w:t>Distinctive signs</w:t>
            </w:r>
            <w:r w:rsidRPr="0060155B">
              <w:rPr>
                <w:rFonts w:eastAsia="Times New Roman" w:cs="Times New Roman"/>
                <w:sz w:val="15"/>
                <w:szCs w:val="15"/>
              </w:rPr>
              <w:t>: m</w:t>
            </w:r>
            <w:r w:rsidRPr="00F7332E">
              <w:rPr>
                <w:rFonts w:eastAsia="Times New Roman" w:cs="Times New Roman"/>
                <w:sz w:val="15"/>
                <w:szCs w:val="15"/>
              </w:rPr>
              <w:t xml:space="preserve">arks, trade names, logos, emblems and commercial slogans </w:t>
            </w:r>
          </w:p>
        </w:tc>
        <w:tc>
          <w:tcPr>
            <w:tcW w:w="1431" w:type="dxa"/>
            <w:shd w:val="clear" w:color="auto" w:fill="C9DED4"/>
          </w:tcPr>
          <w:p w14:paraId="2A1023C2" w14:textId="77777777" w:rsidR="001A500E" w:rsidRPr="00F7332E" w:rsidRDefault="001A500E" w:rsidP="00D146B4">
            <w:pPr>
              <w:rPr>
                <w:rFonts w:eastAsia="Times New Roman" w:cs="Times New Roman"/>
                <w:sz w:val="15"/>
                <w:szCs w:val="15"/>
              </w:rPr>
            </w:pPr>
            <w:r w:rsidRPr="00F7332E">
              <w:rPr>
                <w:rFonts w:eastAsia="Times New Roman" w:cs="Times New Roman"/>
                <w:sz w:val="15"/>
                <w:szCs w:val="15"/>
              </w:rPr>
              <w:t xml:space="preserve">Registration </w:t>
            </w:r>
          </w:p>
        </w:tc>
        <w:tc>
          <w:tcPr>
            <w:tcW w:w="2209" w:type="dxa"/>
            <w:shd w:val="clear" w:color="auto" w:fill="C9DED4"/>
          </w:tcPr>
          <w:p w14:paraId="483881BF" w14:textId="77777777" w:rsidR="001A500E" w:rsidRPr="00F7332E" w:rsidRDefault="001A500E" w:rsidP="006F0E66">
            <w:pPr>
              <w:jc w:val="left"/>
              <w:rPr>
                <w:rFonts w:eastAsia="Times New Roman" w:cs="Times New Roman"/>
                <w:sz w:val="15"/>
                <w:szCs w:val="15"/>
              </w:rPr>
            </w:pPr>
            <w:r w:rsidRPr="00F7332E">
              <w:rPr>
                <w:rFonts w:eastAsia="Times New Roman" w:cs="Times New Roman"/>
                <w:sz w:val="15"/>
                <w:szCs w:val="15"/>
              </w:rPr>
              <w:t xml:space="preserve">Signs, words or combinations of the two that </w:t>
            </w:r>
            <w:r>
              <w:rPr>
                <w:rFonts w:eastAsia="Times New Roman" w:cs="Times New Roman"/>
                <w:sz w:val="15"/>
                <w:szCs w:val="15"/>
              </w:rPr>
              <w:t>allow</w:t>
            </w:r>
            <w:r w:rsidRPr="00F7332E">
              <w:rPr>
                <w:rFonts w:eastAsia="Times New Roman" w:cs="Times New Roman"/>
                <w:sz w:val="15"/>
                <w:szCs w:val="15"/>
              </w:rPr>
              <w:t xml:space="preserve"> one product or service </w:t>
            </w:r>
            <w:r>
              <w:rPr>
                <w:rFonts w:eastAsia="Times New Roman" w:cs="Times New Roman"/>
                <w:sz w:val="15"/>
                <w:szCs w:val="15"/>
              </w:rPr>
              <w:t xml:space="preserve">to be distinguished </w:t>
            </w:r>
            <w:r w:rsidRPr="00F7332E">
              <w:rPr>
                <w:rFonts w:eastAsia="Times New Roman" w:cs="Times New Roman"/>
                <w:sz w:val="15"/>
                <w:szCs w:val="15"/>
              </w:rPr>
              <w:t>from another</w:t>
            </w:r>
          </w:p>
        </w:tc>
        <w:tc>
          <w:tcPr>
            <w:tcW w:w="1902" w:type="dxa"/>
            <w:shd w:val="clear" w:color="auto" w:fill="C9DED4"/>
          </w:tcPr>
          <w:p w14:paraId="3AD66609" w14:textId="77777777" w:rsidR="001A500E" w:rsidRPr="00F7332E" w:rsidRDefault="001A500E" w:rsidP="006F0E66">
            <w:pPr>
              <w:jc w:val="left"/>
              <w:rPr>
                <w:rFonts w:eastAsia="Times New Roman" w:cs="Times New Roman"/>
                <w:sz w:val="15"/>
                <w:szCs w:val="15"/>
              </w:rPr>
            </w:pPr>
            <w:r w:rsidRPr="00F7332E">
              <w:rPr>
                <w:rFonts w:eastAsia="Times New Roman" w:cs="Times New Roman"/>
                <w:sz w:val="15"/>
                <w:szCs w:val="15"/>
              </w:rPr>
              <w:t>10 years from the date of filing</w:t>
            </w:r>
            <w:r w:rsidRPr="0060155B">
              <w:rPr>
                <w:rFonts w:eastAsia="Times New Roman" w:cs="Times New Roman"/>
                <w:sz w:val="15"/>
                <w:szCs w:val="15"/>
              </w:rPr>
              <w:t>. P</w:t>
            </w:r>
            <w:r w:rsidRPr="00F7332E">
              <w:rPr>
                <w:rFonts w:eastAsia="Times New Roman" w:cs="Times New Roman"/>
                <w:sz w:val="15"/>
                <w:szCs w:val="15"/>
              </w:rPr>
              <w:t>rotection may be renewed indefinitely for periods of the same length.</w:t>
            </w:r>
          </w:p>
        </w:tc>
        <w:tc>
          <w:tcPr>
            <w:tcW w:w="1933" w:type="dxa"/>
            <w:shd w:val="clear" w:color="auto" w:fill="C9DED4"/>
          </w:tcPr>
          <w:p w14:paraId="4E154574" w14:textId="77777777" w:rsidR="001A500E" w:rsidRPr="00F7332E" w:rsidRDefault="001A500E" w:rsidP="006F0E66">
            <w:pPr>
              <w:jc w:val="left"/>
              <w:rPr>
                <w:rFonts w:eastAsia="Times New Roman" w:cs="Times New Roman"/>
                <w:sz w:val="15"/>
                <w:szCs w:val="15"/>
              </w:rPr>
            </w:pPr>
            <w:r w:rsidRPr="00F7332E">
              <w:rPr>
                <w:rFonts w:eastAsia="Times New Roman" w:cs="Times New Roman"/>
                <w:sz w:val="15"/>
                <w:szCs w:val="15"/>
              </w:rPr>
              <w:t>No protection can be granted for expressions or commercial advertising signs or for protected indications</w:t>
            </w:r>
          </w:p>
        </w:tc>
      </w:tr>
      <w:tr w:rsidR="001A500E" w:rsidRPr="00F7332E" w14:paraId="62EBF6A5" w14:textId="77777777" w:rsidTr="00120886">
        <w:trPr>
          <w:cantSplit/>
        </w:trPr>
        <w:tc>
          <w:tcPr>
            <w:tcW w:w="1541" w:type="dxa"/>
          </w:tcPr>
          <w:p w14:paraId="716E5584" w14:textId="77777777" w:rsidR="001A500E" w:rsidRPr="00F7332E" w:rsidRDefault="001A500E" w:rsidP="00EE0994">
            <w:pPr>
              <w:rPr>
                <w:rFonts w:eastAsia="Times New Roman" w:cs="Times New Roman"/>
                <w:sz w:val="15"/>
                <w:szCs w:val="15"/>
                <w:highlight w:val="yellow"/>
              </w:rPr>
            </w:pPr>
            <w:r w:rsidRPr="00F7332E">
              <w:rPr>
                <w:rFonts w:eastAsia="Times New Roman" w:cs="Times New Roman"/>
                <w:sz w:val="15"/>
                <w:szCs w:val="15"/>
              </w:rPr>
              <w:t>Distinctive signs</w:t>
            </w:r>
            <w:r w:rsidRPr="0060155B">
              <w:rPr>
                <w:rFonts w:eastAsia="Times New Roman" w:cs="Times New Roman"/>
                <w:sz w:val="15"/>
                <w:szCs w:val="15"/>
              </w:rPr>
              <w:t>: g</w:t>
            </w:r>
            <w:r w:rsidRPr="00F7332E">
              <w:rPr>
                <w:rFonts w:eastAsia="Times New Roman" w:cs="Times New Roman"/>
                <w:sz w:val="15"/>
                <w:szCs w:val="15"/>
              </w:rPr>
              <w:t>eographical indications (GI) and appellations of origin (</w:t>
            </w:r>
            <w:r>
              <w:rPr>
                <w:rFonts w:eastAsia="Times New Roman" w:cs="Times New Roman"/>
                <w:sz w:val="15"/>
                <w:szCs w:val="15"/>
              </w:rPr>
              <w:t>A</w:t>
            </w:r>
            <w:r w:rsidRPr="00F7332E">
              <w:rPr>
                <w:rFonts w:eastAsia="Times New Roman" w:cs="Times New Roman"/>
                <w:sz w:val="15"/>
                <w:szCs w:val="15"/>
              </w:rPr>
              <w:t>O)</w:t>
            </w:r>
          </w:p>
        </w:tc>
        <w:tc>
          <w:tcPr>
            <w:tcW w:w="1431" w:type="dxa"/>
          </w:tcPr>
          <w:p w14:paraId="30D38CE9" w14:textId="77777777" w:rsidR="001A500E" w:rsidRPr="00F7332E" w:rsidRDefault="001A500E" w:rsidP="00D146B4">
            <w:pPr>
              <w:rPr>
                <w:rFonts w:eastAsia="Times New Roman" w:cs="Times New Roman"/>
                <w:sz w:val="15"/>
                <w:szCs w:val="15"/>
              </w:rPr>
            </w:pPr>
            <w:r w:rsidRPr="00F7332E">
              <w:rPr>
                <w:rFonts w:eastAsia="Times New Roman" w:cs="Times New Roman"/>
                <w:sz w:val="15"/>
                <w:szCs w:val="15"/>
              </w:rPr>
              <w:t xml:space="preserve">Registration </w:t>
            </w:r>
          </w:p>
        </w:tc>
        <w:tc>
          <w:tcPr>
            <w:tcW w:w="2209" w:type="dxa"/>
          </w:tcPr>
          <w:p w14:paraId="3ED1861C" w14:textId="77777777" w:rsidR="001A500E" w:rsidRPr="00F7332E" w:rsidRDefault="001A500E" w:rsidP="006F0E66">
            <w:pPr>
              <w:jc w:val="left"/>
              <w:rPr>
                <w:rFonts w:eastAsia="Times New Roman" w:cs="Times New Roman"/>
                <w:sz w:val="15"/>
                <w:szCs w:val="15"/>
              </w:rPr>
            </w:pPr>
            <w:r w:rsidRPr="00F7332E">
              <w:rPr>
                <w:rFonts w:eastAsia="Times New Roman" w:cs="Times New Roman"/>
                <w:sz w:val="15"/>
                <w:szCs w:val="15"/>
              </w:rPr>
              <w:t xml:space="preserve">The quality, reputation or other characteristics of the good </w:t>
            </w:r>
            <w:r>
              <w:rPr>
                <w:rFonts w:eastAsia="Times New Roman" w:cs="Times New Roman"/>
                <w:sz w:val="15"/>
                <w:szCs w:val="15"/>
              </w:rPr>
              <w:t xml:space="preserve">is fundamentally </w:t>
            </w:r>
            <w:r w:rsidRPr="00F7332E">
              <w:rPr>
                <w:rFonts w:eastAsia="Times New Roman" w:cs="Times New Roman"/>
                <w:sz w:val="15"/>
                <w:szCs w:val="15"/>
              </w:rPr>
              <w:t>attributable to its</w:t>
            </w:r>
            <w:r>
              <w:rPr>
                <w:rFonts w:eastAsia="Times New Roman" w:cs="Times New Roman"/>
                <w:sz w:val="15"/>
                <w:szCs w:val="15"/>
              </w:rPr>
              <w:t xml:space="preserve"> geographic origin in the case of</w:t>
            </w:r>
            <w:r w:rsidRPr="00F7332E">
              <w:rPr>
                <w:rFonts w:eastAsia="Times New Roman" w:cs="Times New Roman"/>
                <w:sz w:val="15"/>
                <w:szCs w:val="15"/>
              </w:rPr>
              <w:t xml:space="preserve"> GI or </w:t>
            </w:r>
            <w:r>
              <w:rPr>
                <w:rFonts w:eastAsia="Times New Roman" w:cs="Times New Roman"/>
                <w:sz w:val="15"/>
                <w:szCs w:val="15"/>
              </w:rPr>
              <w:t>is essentially attributable to its geographic origin in the case of</w:t>
            </w:r>
            <w:r w:rsidRPr="00F7332E">
              <w:rPr>
                <w:rFonts w:eastAsia="Times New Roman" w:cs="Times New Roman"/>
                <w:sz w:val="15"/>
                <w:szCs w:val="15"/>
              </w:rPr>
              <w:t xml:space="preserve"> </w:t>
            </w:r>
            <w:r>
              <w:rPr>
                <w:rFonts w:eastAsia="Times New Roman" w:cs="Times New Roman"/>
                <w:sz w:val="15"/>
                <w:szCs w:val="15"/>
              </w:rPr>
              <w:t>A</w:t>
            </w:r>
            <w:r w:rsidRPr="00F7332E">
              <w:rPr>
                <w:rFonts w:eastAsia="Times New Roman" w:cs="Times New Roman"/>
                <w:sz w:val="15"/>
                <w:szCs w:val="15"/>
              </w:rPr>
              <w:t xml:space="preserve">O </w:t>
            </w:r>
          </w:p>
        </w:tc>
        <w:tc>
          <w:tcPr>
            <w:tcW w:w="1902" w:type="dxa"/>
          </w:tcPr>
          <w:p w14:paraId="0712B43F" w14:textId="77777777" w:rsidR="001A500E" w:rsidRPr="00F7332E" w:rsidRDefault="001A500E" w:rsidP="006F0E66">
            <w:pPr>
              <w:jc w:val="left"/>
              <w:rPr>
                <w:rFonts w:eastAsia="Times New Roman" w:cs="Times New Roman"/>
                <w:sz w:val="15"/>
                <w:szCs w:val="15"/>
              </w:rPr>
            </w:pPr>
            <w:r w:rsidRPr="00F7332E">
              <w:rPr>
                <w:rFonts w:eastAsia="Times New Roman" w:cs="Times New Roman"/>
                <w:sz w:val="15"/>
                <w:szCs w:val="15"/>
              </w:rPr>
              <w:t xml:space="preserve">For as long as the requirements conferring protection continue to exist </w:t>
            </w:r>
          </w:p>
        </w:tc>
        <w:tc>
          <w:tcPr>
            <w:tcW w:w="1933" w:type="dxa"/>
          </w:tcPr>
          <w:p w14:paraId="739980B8" w14:textId="77777777" w:rsidR="001A500E" w:rsidRPr="00F7332E" w:rsidRDefault="001A500E" w:rsidP="006F0E66">
            <w:pPr>
              <w:jc w:val="left"/>
              <w:rPr>
                <w:rFonts w:eastAsia="Times New Roman" w:cs="Times New Roman"/>
                <w:strike/>
                <w:sz w:val="15"/>
                <w:szCs w:val="15"/>
              </w:rPr>
            </w:pPr>
          </w:p>
        </w:tc>
      </w:tr>
      <w:tr w:rsidR="001A500E" w:rsidRPr="00F7332E" w14:paraId="502493C5" w14:textId="77777777" w:rsidTr="00120886">
        <w:trPr>
          <w:cantSplit/>
        </w:trPr>
        <w:tc>
          <w:tcPr>
            <w:tcW w:w="1541" w:type="dxa"/>
            <w:shd w:val="clear" w:color="auto" w:fill="C9DED4"/>
          </w:tcPr>
          <w:p w14:paraId="1162160D" w14:textId="77777777" w:rsidR="001A500E" w:rsidRPr="00F7332E" w:rsidRDefault="001A500E" w:rsidP="00EE0994">
            <w:pPr>
              <w:rPr>
                <w:rFonts w:eastAsia="Times New Roman" w:cs="Times New Roman"/>
                <w:sz w:val="15"/>
                <w:szCs w:val="15"/>
              </w:rPr>
            </w:pPr>
            <w:r>
              <w:rPr>
                <w:rFonts w:eastAsia="Times New Roman" w:cs="Times New Roman"/>
                <w:sz w:val="15"/>
                <w:szCs w:val="15"/>
              </w:rPr>
              <w:lastRenderedPageBreak/>
              <w:t>Trade</w:t>
            </w:r>
            <w:r w:rsidRPr="00F7332E">
              <w:rPr>
                <w:rFonts w:eastAsia="Times New Roman" w:cs="Times New Roman"/>
                <w:sz w:val="15"/>
                <w:szCs w:val="15"/>
              </w:rPr>
              <w:t xml:space="preserve"> secret </w:t>
            </w:r>
          </w:p>
        </w:tc>
        <w:tc>
          <w:tcPr>
            <w:tcW w:w="1431" w:type="dxa"/>
            <w:shd w:val="clear" w:color="auto" w:fill="C9DED4"/>
          </w:tcPr>
          <w:p w14:paraId="7AF498BB" w14:textId="77777777" w:rsidR="001A500E" w:rsidRPr="00F7332E" w:rsidRDefault="001A500E" w:rsidP="00D146B4">
            <w:pPr>
              <w:rPr>
                <w:rFonts w:eastAsia="Times New Roman" w:cs="Times New Roman"/>
                <w:sz w:val="15"/>
                <w:szCs w:val="15"/>
              </w:rPr>
            </w:pPr>
            <w:r w:rsidRPr="00F7332E">
              <w:rPr>
                <w:rFonts w:eastAsia="Times New Roman" w:cs="Times New Roman"/>
                <w:sz w:val="15"/>
                <w:szCs w:val="15"/>
              </w:rPr>
              <w:t>Automatically protected</w:t>
            </w:r>
          </w:p>
        </w:tc>
        <w:tc>
          <w:tcPr>
            <w:tcW w:w="2209" w:type="dxa"/>
            <w:shd w:val="clear" w:color="auto" w:fill="C9DED4"/>
          </w:tcPr>
          <w:p w14:paraId="14943DFD" w14:textId="77777777" w:rsidR="001A500E" w:rsidRPr="00F7332E" w:rsidRDefault="001A500E" w:rsidP="006F0E66">
            <w:pPr>
              <w:jc w:val="left"/>
              <w:rPr>
                <w:rFonts w:eastAsia="Times New Roman" w:cs="Times New Roman"/>
                <w:sz w:val="15"/>
                <w:szCs w:val="15"/>
              </w:rPr>
            </w:pPr>
            <w:r w:rsidRPr="00F7332E">
              <w:rPr>
                <w:rFonts w:eastAsia="Times New Roman" w:cs="Times New Roman"/>
                <w:sz w:val="15"/>
                <w:szCs w:val="15"/>
              </w:rPr>
              <w:t>Undisclosed commercial information held by a natural or legal person</w:t>
            </w:r>
            <w:r>
              <w:rPr>
                <w:rFonts w:eastAsia="Times New Roman" w:cs="Times New Roman"/>
                <w:sz w:val="15"/>
                <w:szCs w:val="15"/>
              </w:rPr>
              <w:t>,</w:t>
            </w:r>
            <w:r w:rsidRPr="00F7332E">
              <w:rPr>
                <w:rFonts w:eastAsia="Times New Roman" w:cs="Times New Roman"/>
                <w:sz w:val="15"/>
                <w:szCs w:val="15"/>
              </w:rPr>
              <w:t xml:space="preserve"> </w:t>
            </w:r>
            <w:r>
              <w:rPr>
                <w:rFonts w:eastAsia="Times New Roman" w:cs="Times New Roman"/>
                <w:sz w:val="15"/>
                <w:szCs w:val="15"/>
              </w:rPr>
              <w:t>which</w:t>
            </w:r>
            <w:r w:rsidRPr="00F7332E">
              <w:rPr>
                <w:rFonts w:eastAsia="Times New Roman" w:cs="Times New Roman"/>
                <w:sz w:val="15"/>
                <w:szCs w:val="15"/>
              </w:rPr>
              <w:t xml:space="preserve"> may be used in any productive, industrial or commercial activity and is capable of being passed on to a third party.</w:t>
            </w:r>
          </w:p>
        </w:tc>
        <w:tc>
          <w:tcPr>
            <w:tcW w:w="1902" w:type="dxa"/>
            <w:shd w:val="clear" w:color="auto" w:fill="C9DED4"/>
          </w:tcPr>
          <w:p w14:paraId="161AD6B9" w14:textId="77777777" w:rsidR="001A500E" w:rsidRPr="00F7332E" w:rsidRDefault="001A500E" w:rsidP="006F0E66">
            <w:pPr>
              <w:jc w:val="left"/>
              <w:rPr>
                <w:rFonts w:eastAsia="Times New Roman" w:cs="Times New Roman"/>
                <w:sz w:val="15"/>
                <w:szCs w:val="15"/>
              </w:rPr>
            </w:pPr>
            <w:r w:rsidRPr="00F7332E">
              <w:rPr>
                <w:rFonts w:eastAsia="Times New Roman" w:cs="Times New Roman"/>
                <w:sz w:val="15"/>
                <w:szCs w:val="15"/>
              </w:rPr>
              <w:t xml:space="preserve">For as long as it remains undisclosed </w:t>
            </w:r>
          </w:p>
        </w:tc>
        <w:tc>
          <w:tcPr>
            <w:tcW w:w="1933" w:type="dxa"/>
            <w:shd w:val="clear" w:color="auto" w:fill="C9DED4"/>
          </w:tcPr>
          <w:p w14:paraId="1EAC3972" w14:textId="77777777" w:rsidR="001A500E" w:rsidRPr="00F7332E" w:rsidRDefault="001A500E" w:rsidP="006F0E66">
            <w:pPr>
              <w:jc w:val="left"/>
              <w:rPr>
                <w:rFonts w:eastAsia="Times New Roman" w:cs="Times New Roman"/>
                <w:sz w:val="15"/>
                <w:szCs w:val="15"/>
              </w:rPr>
            </w:pPr>
            <w:r w:rsidRPr="00F7332E">
              <w:rPr>
                <w:rFonts w:eastAsia="Times New Roman" w:cs="Times New Roman"/>
                <w:sz w:val="15"/>
                <w:szCs w:val="15"/>
              </w:rPr>
              <w:t>Test data are protected for 5 years (pharmaceutical products) or 10 years (</w:t>
            </w:r>
            <w:proofErr w:type="spellStart"/>
            <w:r w:rsidRPr="00F7332E">
              <w:rPr>
                <w:rFonts w:eastAsia="Times New Roman" w:cs="Times New Roman"/>
                <w:sz w:val="15"/>
                <w:szCs w:val="15"/>
              </w:rPr>
              <w:t>agro</w:t>
            </w:r>
            <w:proofErr w:type="spellEnd"/>
            <w:r>
              <w:rPr>
                <w:rFonts w:eastAsia="Times New Roman" w:cs="Times New Roman"/>
                <w:sz w:val="15"/>
                <w:szCs w:val="15"/>
              </w:rPr>
              <w:noBreakHyphen/>
            </w:r>
            <w:r w:rsidRPr="00F7332E">
              <w:rPr>
                <w:rFonts w:eastAsia="Times New Roman" w:cs="Times New Roman"/>
                <w:sz w:val="15"/>
                <w:szCs w:val="15"/>
              </w:rPr>
              <w:t>chemical products)</w:t>
            </w:r>
          </w:p>
        </w:tc>
      </w:tr>
      <w:tr w:rsidR="001A500E" w:rsidRPr="00F7332E" w14:paraId="20CBC09D" w14:textId="77777777" w:rsidTr="00120886">
        <w:trPr>
          <w:cantSplit/>
        </w:trPr>
        <w:tc>
          <w:tcPr>
            <w:tcW w:w="1541" w:type="dxa"/>
          </w:tcPr>
          <w:p w14:paraId="2645BFBD" w14:textId="77777777" w:rsidR="001A500E" w:rsidRPr="00F7332E" w:rsidRDefault="001A500E" w:rsidP="006F0E66">
            <w:pPr>
              <w:jc w:val="left"/>
              <w:rPr>
                <w:rFonts w:eastAsia="Times New Roman" w:cs="Times New Roman"/>
                <w:sz w:val="15"/>
                <w:szCs w:val="15"/>
              </w:rPr>
            </w:pPr>
            <w:r w:rsidRPr="00F7332E">
              <w:rPr>
                <w:rFonts w:eastAsia="Times New Roman" w:cs="Times New Roman"/>
                <w:sz w:val="15"/>
                <w:szCs w:val="15"/>
              </w:rPr>
              <w:t xml:space="preserve">Copyright and related rights </w:t>
            </w:r>
          </w:p>
        </w:tc>
        <w:tc>
          <w:tcPr>
            <w:tcW w:w="1431" w:type="dxa"/>
          </w:tcPr>
          <w:p w14:paraId="5CD980F6" w14:textId="77777777" w:rsidR="001A500E" w:rsidRPr="00F7332E" w:rsidRDefault="001A500E" w:rsidP="00D146B4">
            <w:pPr>
              <w:rPr>
                <w:rFonts w:eastAsia="Times New Roman" w:cs="Times New Roman"/>
                <w:sz w:val="15"/>
                <w:szCs w:val="15"/>
              </w:rPr>
            </w:pPr>
            <w:r w:rsidRPr="00F7332E">
              <w:rPr>
                <w:rFonts w:eastAsia="Times New Roman" w:cs="Times New Roman"/>
                <w:sz w:val="15"/>
                <w:szCs w:val="15"/>
              </w:rPr>
              <w:t xml:space="preserve">Automatically protected </w:t>
            </w:r>
          </w:p>
        </w:tc>
        <w:tc>
          <w:tcPr>
            <w:tcW w:w="2209" w:type="dxa"/>
          </w:tcPr>
          <w:p w14:paraId="1F354C43" w14:textId="77777777" w:rsidR="001A500E" w:rsidRPr="00F7332E" w:rsidRDefault="001A500E" w:rsidP="006F0E66">
            <w:pPr>
              <w:jc w:val="left"/>
              <w:rPr>
                <w:rFonts w:eastAsia="Times New Roman" w:cs="Times New Roman"/>
                <w:sz w:val="15"/>
                <w:szCs w:val="15"/>
              </w:rPr>
            </w:pPr>
            <w:r w:rsidRPr="00F7332E">
              <w:rPr>
                <w:rFonts w:eastAsia="Times New Roman" w:cs="Times New Roman"/>
                <w:sz w:val="15"/>
                <w:szCs w:val="15"/>
              </w:rPr>
              <w:t>Making or publication of a work</w:t>
            </w:r>
          </w:p>
        </w:tc>
        <w:tc>
          <w:tcPr>
            <w:tcW w:w="1902" w:type="dxa"/>
          </w:tcPr>
          <w:p w14:paraId="5ABB7995" w14:textId="77777777" w:rsidR="001A500E" w:rsidRPr="00F7332E" w:rsidRDefault="001A500E" w:rsidP="006F0E66">
            <w:pPr>
              <w:jc w:val="left"/>
              <w:rPr>
                <w:rFonts w:eastAsia="Times New Roman" w:cs="Times New Roman"/>
                <w:sz w:val="15"/>
                <w:szCs w:val="15"/>
              </w:rPr>
            </w:pPr>
            <w:r w:rsidRPr="00F7332E">
              <w:rPr>
                <w:rFonts w:eastAsia="Times New Roman" w:cs="Times New Roman"/>
                <w:sz w:val="15"/>
                <w:szCs w:val="15"/>
              </w:rPr>
              <w:t>Ownership rights</w:t>
            </w:r>
            <w:r w:rsidRPr="0060155B">
              <w:rPr>
                <w:rFonts w:eastAsia="Times New Roman" w:cs="Times New Roman"/>
                <w:sz w:val="15"/>
                <w:szCs w:val="15"/>
              </w:rPr>
              <w:t>: l</w:t>
            </w:r>
            <w:r w:rsidRPr="00F7332E">
              <w:rPr>
                <w:rFonts w:eastAsia="Times New Roman" w:cs="Times New Roman"/>
                <w:sz w:val="15"/>
                <w:szCs w:val="15"/>
              </w:rPr>
              <w:t>ife of the author plus 70</w:t>
            </w:r>
            <w:r>
              <w:rPr>
                <w:rFonts w:eastAsia="Times New Roman" w:cs="Times New Roman"/>
                <w:sz w:val="15"/>
                <w:szCs w:val="15"/>
              </w:rPr>
              <w:t> </w:t>
            </w:r>
            <w:r w:rsidRPr="00F7332E">
              <w:rPr>
                <w:rFonts w:eastAsia="Times New Roman" w:cs="Times New Roman"/>
                <w:sz w:val="15"/>
                <w:szCs w:val="15"/>
              </w:rPr>
              <w:t>years</w:t>
            </w:r>
            <w:r w:rsidRPr="0060155B">
              <w:rPr>
                <w:rFonts w:eastAsia="Times New Roman" w:cs="Times New Roman"/>
                <w:sz w:val="15"/>
                <w:szCs w:val="15"/>
              </w:rPr>
              <w:t>; f</w:t>
            </w:r>
            <w:r w:rsidRPr="00F7332E">
              <w:rPr>
                <w:rFonts w:eastAsia="Times New Roman" w:cs="Times New Roman"/>
                <w:sz w:val="15"/>
                <w:szCs w:val="15"/>
              </w:rPr>
              <w:t>or anonymous works</w:t>
            </w:r>
            <w:r w:rsidRPr="0060155B">
              <w:rPr>
                <w:rFonts w:eastAsia="Times New Roman" w:cs="Times New Roman"/>
                <w:sz w:val="15"/>
                <w:szCs w:val="15"/>
              </w:rPr>
              <w:t>: 7</w:t>
            </w:r>
            <w:r w:rsidRPr="00F7332E">
              <w:rPr>
                <w:rFonts w:eastAsia="Times New Roman" w:cs="Times New Roman"/>
                <w:sz w:val="15"/>
                <w:szCs w:val="15"/>
              </w:rPr>
              <w:t>0</w:t>
            </w:r>
            <w:r>
              <w:rPr>
                <w:rFonts w:eastAsia="Times New Roman" w:cs="Times New Roman"/>
                <w:sz w:val="15"/>
                <w:szCs w:val="15"/>
              </w:rPr>
              <w:t> </w:t>
            </w:r>
            <w:r w:rsidRPr="00F7332E">
              <w:rPr>
                <w:rFonts w:eastAsia="Times New Roman" w:cs="Times New Roman"/>
                <w:sz w:val="15"/>
                <w:szCs w:val="15"/>
              </w:rPr>
              <w:t>years from publication</w:t>
            </w:r>
            <w:r w:rsidRPr="0060155B">
              <w:rPr>
                <w:rFonts w:eastAsia="Times New Roman" w:cs="Times New Roman"/>
                <w:sz w:val="15"/>
                <w:szCs w:val="15"/>
              </w:rPr>
              <w:t>; f</w:t>
            </w:r>
            <w:r w:rsidRPr="00F7332E">
              <w:rPr>
                <w:rFonts w:eastAsia="Times New Roman" w:cs="Times New Roman"/>
                <w:sz w:val="15"/>
                <w:szCs w:val="15"/>
              </w:rPr>
              <w:t>or collective works and computer programs</w:t>
            </w:r>
            <w:r w:rsidRPr="0060155B">
              <w:rPr>
                <w:rFonts w:eastAsia="Times New Roman" w:cs="Times New Roman"/>
                <w:sz w:val="15"/>
                <w:szCs w:val="15"/>
              </w:rPr>
              <w:t>: 7</w:t>
            </w:r>
            <w:r w:rsidRPr="00F7332E">
              <w:rPr>
                <w:rFonts w:eastAsia="Times New Roman" w:cs="Times New Roman"/>
                <w:sz w:val="15"/>
                <w:szCs w:val="15"/>
              </w:rPr>
              <w:t>0 years from publication or completion</w:t>
            </w:r>
          </w:p>
        </w:tc>
        <w:tc>
          <w:tcPr>
            <w:tcW w:w="1933" w:type="dxa"/>
          </w:tcPr>
          <w:p w14:paraId="653441C3" w14:textId="77777777" w:rsidR="001A500E" w:rsidRPr="00F7332E" w:rsidRDefault="001A500E" w:rsidP="006F0E66">
            <w:pPr>
              <w:jc w:val="left"/>
              <w:rPr>
                <w:rFonts w:eastAsia="Times New Roman" w:cs="Times New Roman"/>
                <w:sz w:val="15"/>
                <w:szCs w:val="15"/>
              </w:rPr>
            </w:pPr>
          </w:p>
        </w:tc>
      </w:tr>
      <w:tr w:rsidR="001A500E" w:rsidRPr="00F7332E" w14:paraId="742F1303" w14:textId="77777777" w:rsidTr="00120886">
        <w:trPr>
          <w:cantSplit/>
        </w:trPr>
        <w:tc>
          <w:tcPr>
            <w:tcW w:w="1541" w:type="dxa"/>
            <w:tcBorders>
              <w:bottom w:val="single" w:sz="4" w:space="0" w:color="auto"/>
            </w:tcBorders>
            <w:shd w:val="clear" w:color="auto" w:fill="C9DED4"/>
          </w:tcPr>
          <w:p w14:paraId="43A91AA8" w14:textId="77777777" w:rsidR="001A500E" w:rsidRPr="00F7332E" w:rsidRDefault="001A500E" w:rsidP="00265C4C">
            <w:pPr>
              <w:jc w:val="left"/>
              <w:rPr>
                <w:rFonts w:eastAsia="Times New Roman" w:cs="Times New Roman"/>
                <w:sz w:val="15"/>
                <w:szCs w:val="15"/>
              </w:rPr>
            </w:pPr>
            <w:r w:rsidRPr="00F7332E">
              <w:rPr>
                <w:rFonts w:eastAsia="Times New Roman" w:cs="Times New Roman"/>
                <w:sz w:val="15"/>
                <w:szCs w:val="15"/>
              </w:rPr>
              <w:t>New plant varieties</w:t>
            </w:r>
          </w:p>
        </w:tc>
        <w:tc>
          <w:tcPr>
            <w:tcW w:w="1431" w:type="dxa"/>
            <w:tcBorders>
              <w:bottom w:val="single" w:sz="4" w:space="0" w:color="auto"/>
            </w:tcBorders>
            <w:shd w:val="clear" w:color="auto" w:fill="C9DED4"/>
          </w:tcPr>
          <w:p w14:paraId="49706DC8" w14:textId="77777777" w:rsidR="001A500E" w:rsidRPr="00F7332E" w:rsidRDefault="001A500E" w:rsidP="00EE0994">
            <w:pPr>
              <w:rPr>
                <w:rFonts w:eastAsia="Times New Roman" w:cs="Times New Roman"/>
                <w:sz w:val="15"/>
                <w:szCs w:val="15"/>
              </w:rPr>
            </w:pPr>
            <w:r w:rsidRPr="00F7332E">
              <w:rPr>
                <w:rFonts w:eastAsia="Times New Roman" w:cs="Times New Roman"/>
                <w:sz w:val="15"/>
                <w:szCs w:val="15"/>
              </w:rPr>
              <w:t xml:space="preserve">Breeder's right </w:t>
            </w:r>
          </w:p>
        </w:tc>
        <w:tc>
          <w:tcPr>
            <w:tcW w:w="2209" w:type="dxa"/>
            <w:tcBorders>
              <w:bottom w:val="single" w:sz="4" w:space="0" w:color="auto"/>
            </w:tcBorders>
            <w:shd w:val="clear" w:color="auto" w:fill="C9DED4"/>
          </w:tcPr>
          <w:p w14:paraId="793067D2" w14:textId="77777777" w:rsidR="001A500E" w:rsidRPr="00F7332E" w:rsidRDefault="001A500E" w:rsidP="006F0E66">
            <w:pPr>
              <w:jc w:val="left"/>
              <w:rPr>
                <w:rFonts w:eastAsia="Times New Roman" w:cs="Times New Roman"/>
                <w:sz w:val="15"/>
                <w:szCs w:val="15"/>
              </w:rPr>
            </w:pPr>
            <w:r w:rsidRPr="00F7332E">
              <w:rPr>
                <w:rFonts w:eastAsia="Times New Roman" w:cs="Times New Roman"/>
                <w:sz w:val="15"/>
                <w:szCs w:val="15"/>
              </w:rPr>
              <w:t>The variety must be new, distinct, uniform and stable</w:t>
            </w:r>
          </w:p>
        </w:tc>
        <w:tc>
          <w:tcPr>
            <w:tcW w:w="1902" w:type="dxa"/>
            <w:tcBorders>
              <w:bottom w:val="single" w:sz="4" w:space="0" w:color="auto"/>
            </w:tcBorders>
            <w:shd w:val="clear" w:color="auto" w:fill="C9DED4"/>
          </w:tcPr>
          <w:p w14:paraId="510BDF25" w14:textId="77777777" w:rsidR="001A500E" w:rsidRPr="00F7332E" w:rsidRDefault="001A500E" w:rsidP="006F0E66">
            <w:pPr>
              <w:jc w:val="left"/>
              <w:rPr>
                <w:rFonts w:eastAsia="Times New Roman" w:cs="Times New Roman"/>
                <w:sz w:val="15"/>
                <w:szCs w:val="15"/>
              </w:rPr>
            </w:pPr>
            <w:r w:rsidRPr="00F7332E">
              <w:rPr>
                <w:rFonts w:eastAsia="Times New Roman" w:cs="Times New Roman"/>
                <w:sz w:val="15"/>
                <w:szCs w:val="15"/>
              </w:rPr>
              <w:t>For trees and vines, 25 years from the date on which the plant breeder's right was granted</w:t>
            </w:r>
            <w:r w:rsidRPr="0060155B">
              <w:rPr>
                <w:rFonts w:eastAsia="Times New Roman" w:cs="Times New Roman"/>
                <w:sz w:val="15"/>
                <w:szCs w:val="15"/>
              </w:rPr>
              <w:t>; f</w:t>
            </w:r>
            <w:r w:rsidRPr="00F7332E">
              <w:rPr>
                <w:rFonts w:eastAsia="Times New Roman" w:cs="Times New Roman"/>
                <w:sz w:val="15"/>
                <w:szCs w:val="15"/>
              </w:rPr>
              <w:t>or other species, 20</w:t>
            </w:r>
            <w:r>
              <w:rPr>
                <w:rFonts w:eastAsia="Times New Roman" w:cs="Times New Roman"/>
                <w:sz w:val="15"/>
                <w:szCs w:val="15"/>
              </w:rPr>
              <w:t> </w:t>
            </w:r>
            <w:r w:rsidRPr="00F7332E">
              <w:rPr>
                <w:rFonts w:eastAsia="Times New Roman" w:cs="Times New Roman"/>
                <w:sz w:val="15"/>
                <w:szCs w:val="15"/>
              </w:rPr>
              <w:t>years from that date</w:t>
            </w:r>
            <w:r w:rsidRPr="0060155B">
              <w:rPr>
                <w:rFonts w:eastAsia="Times New Roman" w:cs="Times New Roman"/>
                <w:sz w:val="15"/>
                <w:szCs w:val="15"/>
              </w:rPr>
              <w:t>. N</w:t>
            </w:r>
            <w:r w:rsidRPr="00F7332E">
              <w:rPr>
                <w:rFonts w:eastAsia="Times New Roman" w:cs="Times New Roman"/>
                <w:sz w:val="15"/>
                <w:szCs w:val="15"/>
              </w:rPr>
              <w:t>o extensions.</w:t>
            </w:r>
          </w:p>
        </w:tc>
        <w:tc>
          <w:tcPr>
            <w:tcW w:w="1933" w:type="dxa"/>
            <w:tcBorders>
              <w:bottom w:val="single" w:sz="4" w:space="0" w:color="auto"/>
            </w:tcBorders>
            <w:shd w:val="clear" w:color="auto" w:fill="C9DED4"/>
          </w:tcPr>
          <w:p w14:paraId="4F7C7205" w14:textId="77777777" w:rsidR="001A500E" w:rsidRPr="00F7332E" w:rsidRDefault="001A500E" w:rsidP="006F0E66">
            <w:pPr>
              <w:jc w:val="left"/>
              <w:rPr>
                <w:rFonts w:eastAsia="Times New Roman" w:cs="Times New Roman"/>
                <w:strike/>
                <w:sz w:val="15"/>
                <w:szCs w:val="15"/>
              </w:rPr>
            </w:pPr>
          </w:p>
        </w:tc>
      </w:tr>
    </w:tbl>
    <w:p w14:paraId="4CF95B31" w14:textId="77777777" w:rsidR="001A500E" w:rsidRPr="006F0E66" w:rsidRDefault="001A500E" w:rsidP="006F0E66">
      <w:pPr>
        <w:pStyle w:val="NoteText"/>
        <w:spacing w:before="120" w:after="240"/>
      </w:pPr>
      <w:r w:rsidRPr="006F0E66">
        <w:t>Source:</w:t>
      </w:r>
      <w:r w:rsidRPr="006F0E66">
        <w:tab/>
        <w:t xml:space="preserve">WTO Secretariat, based on legislation and online information from </w:t>
      </w:r>
      <w:proofErr w:type="spellStart"/>
      <w:r w:rsidRPr="006F0E66">
        <w:t>ONAPI</w:t>
      </w:r>
      <w:proofErr w:type="spellEnd"/>
      <w:r w:rsidRPr="006F0E66">
        <w:t xml:space="preserve"> and </w:t>
      </w:r>
      <w:proofErr w:type="spellStart"/>
      <w:r w:rsidRPr="006F0E66">
        <w:t>ONDA</w:t>
      </w:r>
      <w:proofErr w:type="spellEnd"/>
      <w:r w:rsidRPr="006F0E66">
        <w:t>.</w:t>
      </w:r>
    </w:p>
    <w:p w14:paraId="152C3F72" w14:textId="77777777" w:rsidR="001A500E" w:rsidRPr="0060155B" w:rsidRDefault="001A500E" w:rsidP="00574469">
      <w:pPr>
        <w:pStyle w:val="BodyText"/>
      </w:pPr>
      <w:r w:rsidRPr="00F7332E">
        <w:t>During the review period, the Dominican Republic did not grant any compulsory licence</w:t>
      </w:r>
      <w:r>
        <w:t>s</w:t>
      </w:r>
      <w:r w:rsidRPr="00F7332E">
        <w:t xml:space="preserve"> on grounds of national emergency or security.</w:t>
      </w:r>
    </w:p>
    <w:p w14:paraId="5D8AA751" w14:textId="77777777" w:rsidR="001A500E" w:rsidRPr="0060155B" w:rsidRDefault="001A500E" w:rsidP="00574469">
      <w:pPr>
        <w:pStyle w:val="BodyText"/>
      </w:pPr>
      <w:r w:rsidRPr="00F7332E">
        <w:t>The intellectual property regime recognizes international exhaustion of rights</w:t>
      </w:r>
      <w:r w:rsidRPr="0060155B">
        <w:t>. A</w:t>
      </w:r>
      <w:r w:rsidRPr="00F7332E">
        <w:t xml:space="preserve">ccordingly, the Dominican Republic allows parallel imports </w:t>
      </w:r>
      <w:r>
        <w:t>in connection with</w:t>
      </w:r>
      <w:r w:rsidRPr="00F7332E">
        <w:t xml:space="preserve"> industrial property, copyright and related rights.</w:t>
      </w:r>
      <w:r w:rsidRPr="00F7332E">
        <w:rPr>
          <w:vertAlign w:val="superscript"/>
        </w:rPr>
        <w:footnoteReference w:id="321"/>
      </w:r>
    </w:p>
    <w:p w14:paraId="2B41C364" w14:textId="77777777" w:rsidR="001A500E" w:rsidRPr="0060155B" w:rsidRDefault="001A500E" w:rsidP="00574469">
      <w:pPr>
        <w:pStyle w:val="BodyText"/>
      </w:pPr>
      <w:r w:rsidRPr="00F7332E">
        <w:t>Since 2015</w:t>
      </w:r>
      <w:r>
        <w:t>,</w:t>
      </w:r>
      <w:r w:rsidRPr="00F7332E">
        <w:t xml:space="preserve"> the number of patents for inventions submitted by and awarded to residents has been relatively low (Chart 3.7), possibly owing to the fact that the Dominican production structure is still geared to economic activities that make little use of innovation</w:t>
      </w:r>
      <w:r w:rsidRPr="0060155B">
        <w:t>.</w:t>
      </w:r>
      <w:r w:rsidRPr="0060155B">
        <w:rPr>
          <w:vertAlign w:val="superscript"/>
        </w:rPr>
        <w:footnoteReference w:id="322"/>
      </w:r>
      <w:r w:rsidRPr="0060155B">
        <w:t xml:space="preserve"> I</w:t>
      </w:r>
      <w:r w:rsidRPr="00F7332E">
        <w:t>n 2022</w:t>
      </w:r>
      <w:r>
        <w:t>,</w:t>
      </w:r>
      <w:r w:rsidRPr="00F7332E">
        <w:t xml:space="preserve"> the Dominican Republic adopted Innovation Policy 2030 to promote investment in R&amp;D alongside entrepreneurship and productivity</w:t>
      </w:r>
      <w:r w:rsidRPr="0060155B">
        <w:t>. T</w:t>
      </w:r>
      <w:r w:rsidRPr="00F7332E">
        <w:t>he authorities pointed out that residents were making greater use of distinctive signs (marks), demonstrating the importance of commercial activities in the country.</w:t>
      </w:r>
    </w:p>
    <w:p w14:paraId="14F19B90" w14:textId="77777777" w:rsidR="001A500E" w:rsidRPr="00F7332E" w:rsidRDefault="001A500E" w:rsidP="00574469">
      <w:pPr>
        <w:pStyle w:val="BodyText"/>
      </w:pPr>
      <w:r w:rsidRPr="00F7332E">
        <w:t xml:space="preserve">Illegal use of </w:t>
      </w:r>
      <w:proofErr w:type="spellStart"/>
      <w:r w:rsidRPr="00F7332E">
        <w:t>IPR</w:t>
      </w:r>
      <w:proofErr w:type="spellEnd"/>
      <w:r w:rsidRPr="00F7332E">
        <w:t xml:space="preserve"> may be the subject of administrative, civil or criminal action</w:t>
      </w:r>
      <w:r w:rsidRPr="0060155B">
        <w:t>. A</w:t>
      </w:r>
      <w:r w:rsidRPr="00F7332E">
        <w:t xml:space="preserve">dministrative actions are heard by </w:t>
      </w:r>
      <w:proofErr w:type="spellStart"/>
      <w:r w:rsidRPr="00F7332E">
        <w:t>ONAPI</w:t>
      </w:r>
      <w:proofErr w:type="spellEnd"/>
      <w:r w:rsidRPr="00F7332E">
        <w:t xml:space="preserve"> and </w:t>
      </w:r>
      <w:proofErr w:type="spellStart"/>
      <w:r w:rsidRPr="00F7332E">
        <w:t>ONDA</w:t>
      </w:r>
      <w:proofErr w:type="spellEnd"/>
      <w:r w:rsidRPr="0060155B">
        <w:t>. C</w:t>
      </w:r>
      <w:r w:rsidRPr="00F7332E">
        <w:t>onciliation is an alternative to administrative proceedings.</w:t>
      </w:r>
    </w:p>
    <w:p w14:paraId="13E99AB0" w14:textId="77777777" w:rsidR="001A500E" w:rsidRPr="00F7332E" w:rsidRDefault="001A500E" w:rsidP="00574469">
      <w:pPr>
        <w:pStyle w:val="BodyText"/>
      </w:pPr>
      <w:r w:rsidRPr="00F7332E">
        <w:rPr>
          <w:szCs w:val="18"/>
        </w:rPr>
        <w:t>Intellectual property laws provide that precautionary measures may be initiated at the border in respect of goods suspected of being counterfeit or pirated</w:t>
      </w:r>
      <w:r w:rsidRPr="0060155B">
        <w:rPr>
          <w:szCs w:val="18"/>
        </w:rPr>
        <w:t>. A</w:t>
      </w:r>
      <w:r w:rsidRPr="00F7332E">
        <w:rPr>
          <w:szCs w:val="18"/>
        </w:rPr>
        <w:t>s a result</w:t>
      </w:r>
      <w:r>
        <w:rPr>
          <w:szCs w:val="18"/>
        </w:rPr>
        <w:t>,</w:t>
      </w:r>
      <w:r w:rsidRPr="00F7332E">
        <w:rPr>
          <w:szCs w:val="18"/>
        </w:rPr>
        <w:t xml:space="preserve"> the right holder may apply for customs clearance to be suspended as a precaution</w:t>
      </w:r>
      <w:r w:rsidRPr="0060155B">
        <w:rPr>
          <w:szCs w:val="18"/>
        </w:rPr>
        <w:t>. F</w:t>
      </w:r>
      <w:r w:rsidRPr="00F7332E">
        <w:rPr>
          <w:szCs w:val="18"/>
        </w:rPr>
        <w:t>or an industrial property right, the application is brought before the courts</w:t>
      </w:r>
      <w:r w:rsidRPr="0060155B">
        <w:rPr>
          <w:szCs w:val="18"/>
        </w:rPr>
        <w:t>; f</w:t>
      </w:r>
      <w:r w:rsidRPr="00F7332E">
        <w:rPr>
          <w:szCs w:val="18"/>
        </w:rPr>
        <w:t>or copyright and related rights</w:t>
      </w:r>
      <w:r>
        <w:rPr>
          <w:szCs w:val="18"/>
        </w:rPr>
        <w:t>,</w:t>
      </w:r>
      <w:r w:rsidRPr="00F7332E">
        <w:rPr>
          <w:szCs w:val="18"/>
        </w:rPr>
        <w:t xml:space="preserve"> the proceeding</w:t>
      </w:r>
      <w:r>
        <w:rPr>
          <w:szCs w:val="18"/>
        </w:rPr>
        <w:t>s</w:t>
      </w:r>
      <w:r w:rsidRPr="00F7332E">
        <w:rPr>
          <w:szCs w:val="18"/>
        </w:rPr>
        <w:t xml:space="preserve"> </w:t>
      </w:r>
      <w:r>
        <w:rPr>
          <w:szCs w:val="18"/>
        </w:rPr>
        <w:t>are carried out</w:t>
      </w:r>
      <w:r w:rsidRPr="00F7332E">
        <w:rPr>
          <w:szCs w:val="18"/>
        </w:rPr>
        <w:t xml:space="preserve"> </w:t>
      </w:r>
      <w:r>
        <w:rPr>
          <w:szCs w:val="18"/>
        </w:rPr>
        <w:t>within</w:t>
      </w:r>
      <w:r w:rsidRPr="00F7332E">
        <w:rPr>
          <w:szCs w:val="18"/>
        </w:rPr>
        <w:t xml:space="preserve"> the </w:t>
      </w:r>
      <w:r w:rsidRPr="00F7332E">
        <w:rPr>
          <w:szCs w:val="18"/>
          <w:bdr w:val="none" w:sz="0" w:space="0" w:color="auto" w:frame="1"/>
        </w:rPr>
        <w:t>Directorate</w:t>
      </w:r>
      <w:r>
        <w:rPr>
          <w:szCs w:val="18"/>
          <w:bdr w:val="none" w:sz="0" w:space="0" w:color="auto" w:frame="1"/>
        </w:rPr>
        <w:noBreakHyphen/>
      </w:r>
      <w:r w:rsidRPr="00F7332E">
        <w:rPr>
          <w:szCs w:val="18"/>
          <w:bdr w:val="none" w:sz="0" w:space="0" w:color="auto" w:frame="1"/>
        </w:rPr>
        <w:t xml:space="preserve">General of Customs (DGA) or the Office of the </w:t>
      </w:r>
      <w:r w:rsidRPr="00F7332E">
        <w:t>Attorney</w:t>
      </w:r>
      <w:r>
        <w:noBreakHyphen/>
      </w:r>
      <w:r w:rsidRPr="00F7332E">
        <w:t>General of the Republic (PGR)</w:t>
      </w:r>
      <w:r w:rsidRPr="0060155B">
        <w:rPr>
          <w:szCs w:val="18"/>
          <w:bdr w:val="none" w:sz="0" w:space="0" w:color="auto" w:frame="1"/>
        </w:rPr>
        <w:t>.</w:t>
      </w:r>
      <w:r w:rsidRPr="0060155B">
        <w:rPr>
          <w:szCs w:val="18"/>
          <w:bdr w:val="none" w:sz="0" w:space="0" w:color="auto" w:frame="1"/>
          <w:vertAlign w:val="superscript"/>
        </w:rPr>
        <w:footnoteReference w:id="323"/>
      </w:r>
      <w:r w:rsidRPr="0060155B">
        <w:rPr>
          <w:szCs w:val="18"/>
          <w:bdr w:val="none" w:sz="0" w:space="0" w:color="auto" w:frame="1"/>
        </w:rPr>
        <w:t xml:space="preserve"> </w:t>
      </w:r>
      <w:r w:rsidRPr="0060155B">
        <w:rPr>
          <w:szCs w:val="18"/>
        </w:rPr>
        <w:t>T</w:t>
      </w:r>
      <w:r w:rsidRPr="00F7332E">
        <w:rPr>
          <w:szCs w:val="18"/>
        </w:rPr>
        <w:t xml:space="preserve">he </w:t>
      </w:r>
      <w:r w:rsidRPr="00F7332E">
        <w:rPr>
          <w:szCs w:val="18"/>
          <w:bdr w:val="none" w:sz="0" w:space="0" w:color="auto" w:frame="1"/>
        </w:rPr>
        <w:t xml:space="preserve">DGA is the body that suspends customs clearance and may also act </w:t>
      </w:r>
      <w:r w:rsidRPr="00F7332E">
        <w:rPr>
          <w:i/>
          <w:szCs w:val="18"/>
          <w:bdr w:val="none" w:sz="0" w:space="0" w:color="auto" w:frame="1"/>
        </w:rPr>
        <w:t>ex </w:t>
      </w:r>
      <w:proofErr w:type="spellStart"/>
      <w:r w:rsidRPr="00F7332E">
        <w:rPr>
          <w:i/>
          <w:szCs w:val="18"/>
          <w:bdr w:val="none" w:sz="0" w:space="0" w:color="auto" w:frame="1"/>
        </w:rPr>
        <w:t>oficio</w:t>
      </w:r>
      <w:proofErr w:type="spellEnd"/>
      <w:r w:rsidRPr="00F7332E">
        <w:rPr>
          <w:szCs w:val="18"/>
          <w:bdr w:val="none" w:sz="0" w:space="0" w:color="auto" w:frame="1"/>
        </w:rPr>
        <w:t xml:space="preserve"> </w:t>
      </w:r>
      <w:r w:rsidRPr="00F7332E">
        <w:rPr>
          <w:szCs w:val="18"/>
        </w:rPr>
        <w:t>if it suspects that goods entering the country are counterfeit or pirated</w:t>
      </w:r>
      <w:r w:rsidRPr="0060155B">
        <w:rPr>
          <w:szCs w:val="18"/>
          <w:bdr w:val="none" w:sz="0" w:space="0" w:color="auto" w:frame="1"/>
        </w:rPr>
        <w:t xml:space="preserve">. </w:t>
      </w:r>
      <w:r w:rsidRPr="0060155B">
        <w:rPr>
          <w:szCs w:val="18"/>
        </w:rPr>
        <w:t>T</w:t>
      </w:r>
      <w:r w:rsidRPr="00F7332E">
        <w:rPr>
          <w:szCs w:val="18"/>
        </w:rPr>
        <w:t xml:space="preserve">o facilitate the identification of counterfeit/pirated goods, the DGA </w:t>
      </w:r>
      <w:r>
        <w:rPr>
          <w:szCs w:val="18"/>
        </w:rPr>
        <w:t>keeps</w:t>
      </w:r>
      <w:r w:rsidRPr="00F7332E">
        <w:rPr>
          <w:szCs w:val="18"/>
        </w:rPr>
        <w:t xml:space="preserve"> </w:t>
      </w:r>
      <w:r w:rsidRPr="00F7332E">
        <w:rPr>
          <w:szCs w:val="18"/>
          <w:bdr w:val="none" w:sz="0" w:space="0" w:color="auto" w:frame="1"/>
        </w:rPr>
        <w:t>a (free) Register of Intellectual Property Right Holders</w:t>
      </w:r>
      <w:r w:rsidRPr="0060155B">
        <w:t>.</w:t>
      </w:r>
      <w:r w:rsidRPr="0060155B">
        <w:rPr>
          <w:vertAlign w:val="superscript"/>
        </w:rPr>
        <w:footnoteReference w:id="324"/>
      </w:r>
      <w:r w:rsidRPr="0060155B">
        <w:t xml:space="preserve"> O</w:t>
      </w:r>
      <w:r w:rsidRPr="00F7332E">
        <w:t xml:space="preserve">nce goods have been held at the border, the right holder has </w:t>
      </w:r>
      <w:r>
        <w:t>10</w:t>
      </w:r>
      <w:r w:rsidRPr="00F7332E">
        <w:t xml:space="preserve"> days in which to take the relevant action</w:t>
      </w:r>
      <w:r w:rsidRPr="0060155B">
        <w:t>; i</w:t>
      </w:r>
      <w:r w:rsidRPr="00F7332E">
        <w:t>n the event that no action is taken, the DGA releases the goods</w:t>
      </w:r>
      <w:r w:rsidRPr="0060155B">
        <w:t>. C</w:t>
      </w:r>
      <w:r w:rsidRPr="00F7332E">
        <w:t>ounterfeit or pirated goods may be donated, subject to the right holder's agreement</w:t>
      </w:r>
      <w:r w:rsidRPr="0060155B">
        <w:t>. A</w:t>
      </w:r>
      <w:r w:rsidRPr="00F7332E">
        <w:t xml:space="preserve">ccording to the </w:t>
      </w:r>
      <w:r w:rsidRPr="00F7332E">
        <w:lastRenderedPageBreak/>
        <w:t>authorities, between 2015 and 2022 (June)</w:t>
      </w:r>
      <w:r>
        <w:t>,</w:t>
      </w:r>
      <w:r w:rsidRPr="00F7332E">
        <w:t xml:space="preserve"> counterfeit goods seized at the border consisted chiefly </w:t>
      </w:r>
      <w:r>
        <w:t>of</w:t>
      </w:r>
      <w:r w:rsidRPr="00F7332E">
        <w:t xml:space="preserve"> accessories for mobile phones and tablet computers (33</w:t>
      </w:r>
      <w:r>
        <w:t>%</w:t>
      </w:r>
      <w:r w:rsidRPr="00F7332E">
        <w:t xml:space="preserve"> of the total), footwear (20</w:t>
      </w:r>
      <w:r>
        <w:t>%</w:t>
      </w:r>
      <w:r w:rsidRPr="00F7332E">
        <w:t>) and textiles (14.1</w:t>
      </w:r>
      <w:r>
        <w:t>%</w:t>
      </w:r>
      <w:r w:rsidRPr="00F7332E">
        <w:t>)</w:t>
      </w:r>
      <w:r w:rsidRPr="0060155B">
        <w:t>. T</w:t>
      </w:r>
      <w:r w:rsidRPr="00F7332E">
        <w:t>he Dominican Republic has penalties for marketing goods that infringe intellectual property rights rather than their consumption.</w:t>
      </w:r>
    </w:p>
    <w:p w14:paraId="03E00E55" w14:textId="77777777" w:rsidR="001A500E" w:rsidRPr="0060155B" w:rsidRDefault="001A500E" w:rsidP="00574469">
      <w:pPr>
        <w:pStyle w:val="BodyText"/>
      </w:pPr>
      <w:r w:rsidRPr="00F7332E">
        <w:rPr>
          <w:szCs w:val="18"/>
          <w:bdr w:val="none" w:sz="0" w:space="0" w:color="auto" w:frame="1"/>
        </w:rPr>
        <w:t>The protection of intellectual property rights in the Dominican Republic is still hampered in some respects</w:t>
      </w:r>
      <w:r>
        <w:rPr>
          <w:szCs w:val="18"/>
          <w:bdr w:val="none" w:sz="0" w:space="0" w:color="auto" w:frame="1"/>
        </w:rPr>
        <w:t xml:space="preserve"> by</w:t>
      </w:r>
      <w:r w:rsidRPr="00F7332E">
        <w:rPr>
          <w:szCs w:val="18"/>
          <w:bdr w:val="none" w:sz="0" w:space="0" w:color="auto" w:frame="1"/>
        </w:rPr>
        <w:t>, for example</w:t>
      </w:r>
      <w:r>
        <w:rPr>
          <w:szCs w:val="18"/>
          <w:bdr w:val="none" w:sz="0" w:space="0" w:color="auto" w:frame="1"/>
        </w:rPr>
        <w:t>,</w:t>
      </w:r>
      <w:r w:rsidRPr="00F7332E">
        <w:rPr>
          <w:szCs w:val="18"/>
          <w:bdr w:val="none" w:sz="0" w:space="0" w:color="auto" w:frame="1"/>
        </w:rPr>
        <w:t xml:space="preserve"> the lack of coordination and cooperation between institutions, and scarce </w:t>
      </w:r>
      <w:r w:rsidRPr="00F7332E">
        <w:t>resources (economic, technological and human)</w:t>
      </w:r>
      <w:r w:rsidRPr="0060155B">
        <w:t>.</w:t>
      </w:r>
      <w:r w:rsidRPr="0060155B">
        <w:rPr>
          <w:szCs w:val="18"/>
          <w:bdr w:val="none" w:sz="0" w:space="0" w:color="auto" w:frame="1"/>
          <w:vertAlign w:val="superscript"/>
        </w:rPr>
        <w:footnoteReference w:id="325"/>
      </w:r>
      <w:r w:rsidRPr="0060155B">
        <w:t xml:space="preserve"> H</w:t>
      </w:r>
      <w:r w:rsidRPr="00F7332E">
        <w:t>owever</w:t>
      </w:r>
      <w:r>
        <w:t>,</w:t>
      </w:r>
      <w:r w:rsidRPr="00F7332E">
        <w:t xml:space="preserve"> in 2020</w:t>
      </w:r>
      <w:r>
        <w:t>,</w:t>
      </w:r>
      <w:r w:rsidRPr="00F7332E">
        <w:t xml:space="preserve"> the Intellectual Property Unit was set up in the PGR and</w:t>
      </w:r>
      <w:r>
        <w:t>,</w:t>
      </w:r>
      <w:r w:rsidRPr="00F7332E">
        <w:t xml:space="preserve"> in </w:t>
      </w:r>
      <w:r w:rsidRPr="00F7332E">
        <w:rPr>
          <w:szCs w:val="18"/>
        </w:rPr>
        <w:t>2021</w:t>
      </w:r>
      <w:r>
        <w:rPr>
          <w:szCs w:val="18"/>
        </w:rPr>
        <w:t>,</w:t>
      </w:r>
      <w:r w:rsidRPr="00F7332E">
        <w:rPr>
          <w:szCs w:val="18"/>
        </w:rPr>
        <w:t xml:space="preserve"> it ran training courses for prosecutors and judges in conjunction with </w:t>
      </w:r>
      <w:proofErr w:type="spellStart"/>
      <w:r w:rsidRPr="00F7332E">
        <w:rPr>
          <w:szCs w:val="18"/>
        </w:rPr>
        <w:t>ONDA</w:t>
      </w:r>
      <w:proofErr w:type="spellEnd"/>
      <w:r w:rsidRPr="00F7332E">
        <w:rPr>
          <w:szCs w:val="18"/>
        </w:rPr>
        <w:t>.</w:t>
      </w:r>
      <w:r w:rsidRPr="00F7332E">
        <w:rPr>
          <w:szCs w:val="18"/>
          <w:vertAlign w:val="superscript"/>
        </w:rPr>
        <w:footnoteReference w:id="326"/>
      </w:r>
    </w:p>
    <w:p w14:paraId="459295CA" w14:textId="42CE0C7F" w:rsidR="001A500E" w:rsidRPr="00F7332E" w:rsidRDefault="001A500E" w:rsidP="00574469">
      <w:pPr>
        <w:pStyle w:val="BodyText"/>
      </w:pPr>
      <w:r w:rsidRPr="00F7332E">
        <w:t>Where the digital environment is concerned, the authorities indicated that the notification and withdrawal mechanism was used to safeguard copyright and related rights, although there were no provisions to that end in any legislation</w:t>
      </w:r>
      <w:r w:rsidRPr="0060155B">
        <w:t>. T</w:t>
      </w:r>
      <w:r w:rsidRPr="00F7332E">
        <w:t xml:space="preserve">he Dominican Republic applies the "safe harbour" rule/discipline to </w:t>
      </w:r>
      <w:r w:rsidR="00DE3802">
        <w:t>I</w:t>
      </w:r>
      <w:r w:rsidRPr="00F7332E">
        <w:t>nternet service providers (ISP).</w:t>
      </w:r>
    </w:p>
    <w:p w14:paraId="23894817" w14:textId="77777777" w:rsidR="001A500E" w:rsidRPr="00F7332E" w:rsidRDefault="001A500E" w:rsidP="002E778E">
      <w:pPr>
        <w:pStyle w:val="Caption"/>
        <w:spacing w:before="0" w:after="0"/>
        <w:rPr>
          <w:b w:val="0"/>
          <w:bCs w:val="0"/>
        </w:rPr>
      </w:pPr>
      <w:bookmarkStart w:id="282" w:name="_Hlk106533246"/>
      <w:bookmarkStart w:id="283" w:name="_Toc114735804"/>
      <w:bookmarkStart w:id="284" w:name="_Toc117238022"/>
      <w:bookmarkStart w:id="285" w:name="_Hlk71107178"/>
      <w:r>
        <w:lastRenderedPageBreak/>
        <w:t xml:space="preserve">Chart </w:t>
      </w:r>
      <w:r w:rsidR="00BD37F2">
        <w:fldChar w:fldCharType="begin"/>
      </w:r>
      <w:r w:rsidR="00BD37F2">
        <w:instrText xml:space="preserve"> STYLEREF 1 \s </w:instrText>
      </w:r>
      <w:r w:rsidR="00BD37F2">
        <w:fldChar w:fldCharType="separate"/>
      </w:r>
      <w:r>
        <w:rPr>
          <w:noProof/>
        </w:rPr>
        <w:t>3</w:t>
      </w:r>
      <w:r w:rsidR="00BD37F2">
        <w:rPr>
          <w:noProof/>
        </w:rPr>
        <w:fldChar w:fldCharType="end"/>
      </w:r>
      <w:r>
        <w:t>.</w:t>
      </w:r>
      <w:r w:rsidR="00BD37F2">
        <w:fldChar w:fldCharType="begin"/>
      </w:r>
      <w:r w:rsidR="00BD37F2">
        <w:instrText xml:space="preserve"> SEQ Chart \* ARABIC \s 1 </w:instrText>
      </w:r>
      <w:r w:rsidR="00BD37F2">
        <w:fldChar w:fldCharType="separate"/>
      </w:r>
      <w:r>
        <w:rPr>
          <w:noProof/>
        </w:rPr>
        <w:t>7</w:t>
      </w:r>
      <w:r w:rsidR="00BD37F2">
        <w:rPr>
          <w:noProof/>
        </w:rPr>
        <w:fldChar w:fldCharType="end"/>
      </w:r>
      <w:r>
        <w:t xml:space="preserve"> </w:t>
      </w:r>
      <w:r w:rsidRPr="00F7332E">
        <w:t>Data on industrial property protection rights, 2015</w:t>
      </w:r>
      <w:r>
        <w:noBreakHyphen/>
      </w:r>
      <w:r w:rsidRPr="00F7332E">
        <w:t>21</w:t>
      </w:r>
      <w:bookmarkEnd w:id="282"/>
      <w:bookmarkEnd w:id="283"/>
      <w:bookmarkEnd w:id="284"/>
    </w:p>
    <w:p w14:paraId="649F6ECC" w14:textId="77777777" w:rsidR="001A500E" w:rsidRDefault="001A500E" w:rsidP="00EF1703">
      <w:r w:rsidRPr="00EF1703">
        <w:rPr>
          <w:noProof/>
        </w:rPr>
        <w:drawing>
          <wp:inline distT="0" distB="0" distL="0" distR="0" wp14:anchorId="3055B9D7" wp14:editId="63C730EA">
            <wp:extent cx="5731510" cy="8335311"/>
            <wp:effectExtent l="0" t="0" r="2540" b="8890"/>
            <wp:docPr id="294" name="Picture 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rotWithShape="1">
                    <a:blip r:embed="rId51" cstate="print">
                      <a:extLst>
                        <a:ext uri="{28A0092B-C50C-407E-A947-70E740481C1C}">
                          <a14:useLocalDpi xmlns:a14="http://schemas.microsoft.com/office/drawing/2010/main" val="0"/>
                        </a:ext>
                      </a:extLst>
                    </a:blip>
                    <a:srcRect b="752"/>
                    <a:stretch/>
                  </pic:blipFill>
                  <pic:spPr bwMode="auto">
                    <a:xfrm>
                      <a:off x="0" y="0"/>
                      <a:ext cx="5731510" cy="8335311"/>
                    </a:xfrm>
                    <a:prstGeom prst="rect">
                      <a:avLst/>
                    </a:prstGeom>
                    <a:noFill/>
                    <a:ln>
                      <a:noFill/>
                    </a:ln>
                    <a:extLst>
                      <a:ext uri="{53640926-AAD7-44D8-BBD7-CCE9431645EC}">
                        <a14:shadowObscured xmlns:a14="http://schemas.microsoft.com/office/drawing/2010/main"/>
                      </a:ext>
                    </a:extLst>
                  </pic:spPr>
                </pic:pic>
              </a:graphicData>
            </a:graphic>
          </wp:inline>
        </w:drawing>
      </w:r>
    </w:p>
    <w:p w14:paraId="32B7CABC" w14:textId="77777777" w:rsidR="00C80D98" w:rsidRDefault="001A500E" w:rsidP="007003D3">
      <w:pPr>
        <w:pStyle w:val="NoteText"/>
        <w:spacing w:before="120"/>
        <w:sectPr w:rsidR="00C80D98" w:rsidSect="00AD4325">
          <w:footnotePr>
            <w:numRestart w:val="eachSect"/>
          </w:footnotePr>
          <w:pgSz w:w="11906" w:h="16838" w:code="9"/>
          <w:pgMar w:top="1701" w:right="1440" w:bottom="1440" w:left="1440" w:header="720" w:footer="720" w:gutter="0"/>
          <w:cols w:space="720"/>
          <w:docGrid w:linePitch="360"/>
        </w:sectPr>
      </w:pPr>
      <w:bookmarkStart w:id="286" w:name="_Hlk106533187"/>
      <w:r w:rsidRPr="006F0E66">
        <w:t>Source:</w:t>
      </w:r>
      <w:r w:rsidRPr="006F0E66">
        <w:tab/>
        <w:t>Information supplied by the authorities.</w:t>
      </w:r>
      <w:bookmarkEnd w:id="285"/>
      <w:bookmarkEnd w:id="286"/>
    </w:p>
    <w:p w14:paraId="6AFCD18E" w14:textId="77777777" w:rsidR="00EB7374" w:rsidRPr="00615E45" w:rsidRDefault="00EB7374" w:rsidP="00EB7374">
      <w:pPr>
        <w:pStyle w:val="Heading1"/>
      </w:pPr>
      <w:bookmarkStart w:id="287" w:name="_Toc114735765"/>
      <w:bookmarkStart w:id="288" w:name="_Toc117260646"/>
      <w:r w:rsidRPr="00615E45">
        <w:lastRenderedPageBreak/>
        <w:t>TRADE POLICIES BY SECTOR</w:t>
      </w:r>
      <w:bookmarkEnd w:id="287"/>
      <w:bookmarkEnd w:id="288"/>
    </w:p>
    <w:p w14:paraId="00002D73" w14:textId="77777777" w:rsidR="00EB7374" w:rsidRPr="00615E45" w:rsidRDefault="00EB7374" w:rsidP="00C80D98">
      <w:pPr>
        <w:pStyle w:val="Heading2"/>
      </w:pPr>
      <w:bookmarkStart w:id="289" w:name="_Toc114735766"/>
      <w:bookmarkStart w:id="290" w:name="_Toc117260647"/>
      <w:r w:rsidRPr="00615E45">
        <w:t xml:space="preserve">Agriculture, </w:t>
      </w:r>
      <w:r>
        <w:t>F</w:t>
      </w:r>
      <w:r w:rsidRPr="00615E45">
        <w:t xml:space="preserve">orestry and </w:t>
      </w:r>
      <w:r>
        <w:t>F</w:t>
      </w:r>
      <w:r w:rsidRPr="00615E45">
        <w:t>isheries</w:t>
      </w:r>
      <w:bookmarkEnd w:id="289"/>
      <w:bookmarkEnd w:id="290"/>
    </w:p>
    <w:p w14:paraId="21DC47CE" w14:textId="77777777" w:rsidR="00EB7374" w:rsidRPr="00615E45" w:rsidRDefault="00EB7374" w:rsidP="00C80D98">
      <w:pPr>
        <w:pStyle w:val="BodyText"/>
      </w:pPr>
      <w:r w:rsidRPr="00615E45">
        <w:t>The contribution to</w:t>
      </w:r>
      <w:r>
        <w:t xml:space="preserve"> </w:t>
      </w:r>
      <w:r w:rsidRPr="00615E45">
        <w:t xml:space="preserve">GDP by the agricultural sector (including </w:t>
      </w:r>
      <w:r>
        <w:t>crop farming</w:t>
      </w:r>
      <w:r w:rsidRPr="00615E45">
        <w:t>, livestock</w:t>
      </w:r>
      <w:r>
        <w:t xml:space="preserve"> farming</w:t>
      </w:r>
      <w:r w:rsidRPr="00615E45">
        <w:t>, forestry and fisheries) increased slightly</w:t>
      </w:r>
      <w:r>
        <w:t>,</w:t>
      </w:r>
      <w:r w:rsidRPr="00615E45">
        <w:t xml:space="preserve"> from 5.5%</w:t>
      </w:r>
      <w:r>
        <w:t xml:space="preserve"> in 2015</w:t>
      </w:r>
      <w:r w:rsidRPr="00615E45">
        <w:t xml:space="preserve"> to 5.7% in 2021. Growth in the sector was around 5.5% from 2016 to 2018, but began to decrease in 2019 and then contracted significantly in 2020 and 2021, most likely as a result of the pandemic. Livestock, forestry and fisheries saw greater volatility during the period. The sector</w:t>
      </w:r>
      <w:r>
        <w:t>'</w:t>
      </w:r>
      <w:r w:rsidRPr="00615E45">
        <w:t xml:space="preserve">s structure did not change substantially, despite </w:t>
      </w:r>
      <w:r>
        <w:t>crop farming'</w:t>
      </w:r>
      <w:r w:rsidRPr="00615E45">
        <w:t xml:space="preserve">s larger contribution. In 2021, </w:t>
      </w:r>
      <w:r>
        <w:t>crop farming</w:t>
      </w:r>
      <w:r w:rsidRPr="00615E45">
        <w:t xml:space="preserve"> accounted for 64.7% of agricultural GDP (63.9% in 2015), livestock, forestry and fisheries</w:t>
      </w:r>
      <w:r>
        <w:t xml:space="preserve"> </w:t>
      </w:r>
      <w:r w:rsidRPr="00615E45">
        <w:t xml:space="preserve">35.2% (36.1% in 2015) and </w:t>
      </w:r>
      <w:r>
        <w:t>other</w:t>
      </w:r>
      <w:r w:rsidRPr="00615E45">
        <w:t xml:space="preserve"> activities</w:t>
      </w:r>
      <w:r>
        <w:t xml:space="preserve"> </w:t>
      </w:r>
      <w:r w:rsidRPr="00615E45">
        <w:t>5.4% (6.1% in 2015). From 2016 to 2021, a downward trend was noted in the percentage of the population employed in the agricultural sector (Table 4.1). However, most of the rural population depends on agriculture, hence the sector</w:t>
      </w:r>
      <w:r>
        <w:t>'</w:t>
      </w:r>
      <w:r w:rsidRPr="00615E45">
        <w:t xml:space="preserve">s importance </w:t>
      </w:r>
      <w:r>
        <w:t>for</w:t>
      </w:r>
      <w:r w:rsidRPr="00615E45">
        <w:t xml:space="preserve"> enhancing food security, </w:t>
      </w:r>
      <w:r>
        <w:t>harnessing</w:t>
      </w:r>
      <w:r w:rsidRPr="00615E45">
        <w:t xml:space="preserve"> export potential</w:t>
      </w:r>
      <w:r>
        <w:t>,</w:t>
      </w:r>
      <w:r w:rsidRPr="00615E45">
        <w:t xml:space="preserve"> generating employment and income for the rural population and </w:t>
      </w:r>
      <w:r>
        <w:t>ensuring</w:t>
      </w:r>
      <w:r w:rsidRPr="00615E45">
        <w:t xml:space="preserve"> environmental sustainability.</w:t>
      </w:r>
    </w:p>
    <w:p w14:paraId="1ABB7811" w14:textId="77777777" w:rsidR="00EB7374" w:rsidRPr="00615E45" w:rsidRDefault="00EB7374" w:rsidP="00385EA7">
      <w:pPr>
        <w:pStyle w:val="Caption"/>
      </w:pPr>
      <w:bookmarkStart w:id="291" w:name="_Toc114735837"/>
      <w:bookmarkStart w:id="292" w:name="_Toc117238055"/>
      <w:r>
        <w:t xml:space="preserve">Table </w:t>
      </w:r>
      <w:r w:rsidR="00BD37F2">
        <w:fldChar w:fldCharType="begin"/>
      </w:r>
      <w:r w:rsidR="00BD37F2">
        <w:instrText xml:space="preserve"> STYLEREF 1 \s </w:instrText>
      </w:r>
      <w:r w:rsidR="00BD37F2">
        <w:fldChar w:fldCharType="separate"/>
      </w:r>
      <w:r>
        <w:rPr>
          <w:noProof/>
        </w:rPr>
        <w:t>4</w:t>
      </w:r>
      <w:r w:rsidR="00BD37F2">
        <w:rPr>
          <w:noProof/>
        </w:rPr>
        <w:fldChar w:fldCharType="end"/>
      </w:r>
      <w:r>
        <w:t>.</w:t>
      </w:r>
      <w:r w:rsidR="00BD37F2">
        <w:fldChar w:fldCharType="begin"/>
      </w:r>
      <w:r w:rsidR="00BD37F2">
        <w:instrText xml:space="preserve"> SEQ Table \* ARABIC \s 1 </w:instrText>
      </w:r>
      <w:r w:rsidR="00BD37F2">
        <w:fldChar w:fldCharType="separate"/>
      </w:r>
      <w:r>
        <w:rPr>
          <w:noProof/>
        </w:rPr>
        <w:t>1</w:t>
      </w:r>
      <w:r w:rsidR="00BD37F2">
        <w:rPr>
          <w:noProof/>
        </w:rPr>
        <w:fldChar w:fldCharType="end"/>
      </w:r>
      <w:r>
        <w:t xml:space="preserve"> Main</w:t>
      </w:r>
      <w:r w:rsidRPr="00615E45">
        <w:t xml:space="preserve"> agricultural sector indicators, 2015-21</w:t>
      </w:r>
      <w:bookmarkEnd w:id="291"/>
      <w:bookmarkEnd w:id="292"/>
    </w:p>
    <w:tbl>
      <w:tblPr>
        <w:tblStyle w:val="WTOTable1"/>
        <w:tblW w:w="5000" w:type="pct"/>
        <w:tblLayout w:type="fixed"/>
        <w:tblLook w:val="04A0" w:firstRow="1" w:lastRow="0" w:firstColumn="1" w:lastColumn="0" w:noHBand="0" w:noVBand="1"/>
      </w:tblPr>
      <w:tblGrid>
        <w:gridCol w:w="3681"/>
        <w:gridCol w:w="763"/>
        <w:gridCol w:w="763"/>
        <w:gridCol w:w="763"/>
        <w:gridCol w:w="763"/>
        <w:gridCol w:w="763"/>
        <w:gridCol w:w="763"/>
        <w:gridCol w:w="757"/>
      </w:tblGrid>
      <w:tr w:rsidR="00EB7374" w:rsidRPr="00615E45" w14:paraId="4DBE9535" w14:textId="77777777" w:rsidTr="00C700EB">
        <w:trPr>
          <w:cnfStyle w:val="100000000000" w:firstRow="1" w:lastRow="0" w:firstColumn="0" w:lastColumn="0" w:oddVBand="0" w:evenVBand="0" w:oddHBand="0" w:evenHBand="0" w:firstRowFirstColumn="0" w:firstRowLastColumn="0" w:lastRowFirstColumn="0" w:lastRowLastColumn="0"/>
          <w:cantSplit/>
          <w:tblHeader/>
        </w:trPr>
        <w:tc>
          <w:tcPr>
            <w:tcW w:w="2041" w:type="pct"/>
            <w:noWrap/>
            <w:hideMark/>
          </w:tcPr>
          <w:p w14:paraId="24F9D75B" w14:textId="77777777" w:rsidR="00EB7374" w:rsidRPr="00615E45" w:rsidRDefault="00EB7374" w:rsidP="00C700EB">
            <w:pPr>
              <w:jc w:val="left"/>
              <w:rPr>
                <w:color w:val="FFFFFF" w:themeColor="background1"/>
                <w:sz w:val="15"/>
                <w:szCs w:val="15"/>
              </w:rPr>
            </w:pPr>
          </w:p>
        </w:tc>
        <w:tc>
          <w:tcPr>
            <w:tcW w:w="423" w:type="pct"/>
            <w:noWrap/>
            <w:hideMark/>
          </w:tcPr>
          <w:p w14:paraId="1FC773DC" w14:textId="77777777" w:rsidR="00EB7374" w:rsidRPr="00615E45" w:rsidRDefault="00EB7374" w:rsidP="00C700EB">
            <w:pPr>
              <w:jc w:val="right"/>
              <w:rPr>
                <w:rFonts w:cs="Calibri"/>
                <w:color w:val="FFFFFF" w:themeColor="background1"/>
                <w:sz w:val="15"/>
                <w:szCs w:val="15"/>
              </w:rPr>
            </w:pPr>
            <w:r w:rsidRPr="00615E45">
              <w:rPr>
                <w:color w:val="FFFFFF" w:themeColor="background1"/>
                <w:sz w:val="15"/>
              </w:rPr>
              <w:t>2015</w:t>
            </w:r>
          </w:p>
        </w:tc>
        <w:tc>
          <w:tcPr>
            <w:tcW w:w="423" w:type="pct"/>
            <w:noWrap/>
            <w:hideMark/>
          </w:tcPr>
          <w:p w14:paraId="41B4826F" w14:textId="77777777" w:rsidR="00EB7374" w:rsidRPr="00615E45" w:rsidRDefault="00EB7374" w:rsidP="00C700EB">
            <w:pPr>
              <w:jc w:val="right"/>
              <w:rPr>
                <w:rFonts w:cs="Calibri"/>
                <w:color w:val="FFFFFF" w:themeColor="background1"/>
                <w:sz w:val="15"/>
                <w:szCs w:val="15"/>
              </w:rPr>
            </w:pPr>
            <w:r w:rsidRPr="00615E45">
              <w:rPr>
                <w:color w:val="FFFFFF" w:themeColor="background1"/>
                <w:sz w:val="15"/>
              </w:rPr>
              <w:t>2016</w:t>
            </w:r>
          </w:p>
        </w:tc>
        <w:tc>
          <w:tcPr>
            <w:tcW w:w="423" w:type="pct"/>
            <w:noWrap/>
            <w:hideMark/>
          </w:tcPr>
          <w:p w14:paraId="44FCA90D" w14:textId="77777777" w:rsidR="00EB7374" w:rsidRPr="00615E45" w:rsidRDefault="00EB7374" w:rsidP="00C700EB">
            <w:pPr>
              <w:jc w:val="right"/>
              <w:rPr>
                <w:rFonts w:cs="Calibri"/>
                <w:color w:val="FFFFFF" w:themeColor="background1"/>
                <w:sz w:val="15"/>
                <w:szCs w:val="15"/>
              </w:rPr>
            </w:pPr>
            <w:r w:rsidRPr="00615E45">
              <w:rPr>
                <w:color w:val="FFFFFF" w:themeColor="background1"/>
                <w:sz w:val="15"/>
              </w:rPr>
              <w:t>2017</w:t>
            </w:r>
          </w:p>
        </w:tc>
        <w:tc>
          <w:tcPr>
            <w:tcW w:w="423" w:type="pct"/>
            <w:noWrap/>
            <w:hideMark/>
          </w:tcPr>
          <w:p w14:paraId="2BEE3190" w14:textId="77777777" w:rsidR="00EB7374" w:rsidRPr="00615E45" w:rsidRDefault="00EB7374" w:rsidP="00C700EB">
            <w:pPr>
              <w:jc w:val="right"/>
              <w:rPr>
                <w:rFonts w:cs="Calibri"/>
                <w:color w:val="FFFFFF" w:themeColor="background1"/>
                <w:sz w:val="15"/>
                <w:szCs w:val="15"/>
              </w:rPr>
            </w:pPr>
            <w:r w:rsidRPr="00615E45">
              <w:rPr>
                <w:color w:val="FFFFFF" w:themeColor="background1"/>
                <w:sz w:val="15"/>
              </w:rPr>
              <w:t>2018</w:t>
            </w:r>
          </w:p>
        </w:tc>
        <w:tc>
          <w:tcPr>
            <w:tcW w:w="423" w:type="pct"/>
            <w:noWrap/>
            <w:hideMark/>
          </w:tcPr>
          <w:p w14:paraId="6BF032FB" w14:textId="77777777" w:rsidR="00EB7374" w:rsidRPr="00615E45" w:rsidRDefault="00EB7374" w:rsidP="00C700EB">
            <w:pPr>
              <w:jc w:val="right"/>
              <w:rPr>
                <w:rFonts w:cs="Calibri"/>
                <w:color w:val="FFFFFF" w:themeColor="background1"/>
                <w:sz w:val="15"/>
                <w:szCs w:val="15"/>
              </w:rPr>
            </w:pPr>
            <w:r w:rsidRPr="00615E45">
              <w:rPr>
                <w:color w:val="FFFFFF" w:themeColor="background1"/>
                <w:sz w:val="15"/>
              </w:rPr>
              <w:t>2019</w:t>
            </w:r>
          </w:p>
        </w:tc>
        <w:tc>
          <w:tcPr>
            <w:tcW w:w="423" w:type="pct"/>
            <w:noWrap/>
            <w:hideMark/>
          </w:tcPr>
          <w:p w14:paraId="78E0C6EF" w14:textId="77777777" w:rsidR="00EB7374" w:rsidRPr="00615E45" w:rsidRDefault="00EB7374" w:rsidP="00C700EB">
            <w:pPr>
              <w:jc w:val="right"/>
              <w:rPr>
                <w:rFonts w:cs="Calibri"/>
                <w:color w:val="FFFFFF" w:themeColor="background1"/>
                <w:sz w:val="15"/>
                <w:szCs w:val="15"/>
              </w:rPr>
            </w:pPr>
            <w:r w:rsidRPr="00615E45">
              <w:rPr>
                <w:color w:val="FFFFFF" w:themeColor="background1"/>
                <w:sz w:val="15"/>
              </w:rPr>
              <w:t>2020</w:t>
            </w:r>
          </w:p>
        </w:tc>
        <w:tc>
          <w:tcPr>
            <w:tcW w:w="420" w:type="pct"/>
            <w:noWrap/>
            <w:hideMark/>
          </w:tcPr>
          <w:p w14:paraId="623CB37C" w14:textId="77777777" w:rsidR="00EB7374" w:rsidRPr="00615E45" w:rsidRDefault="00EB7374" w:rsidP="00C700EB">
            <w:pPr>
              <w:jc w:val="right"/>
              <w:rPr>
                <w:rFonts w:cs="Calibri"/>
                <w:color w:val="FFFFFF" w:themeColor="background1"/>
                <w:sz w:val="15"/>
                <w:szCs w:val="15"/>
              </w:rPr>
            </w:pPr>
            <w:r w:rsidRPr="00615E45">
              <w:rPr>
                <w:color w:val="FFFFFF" w:themeColor="background1"/>
                <w:sz w:val="15"/>
              </w:rPr>
              <w:t>2021</w:t>
            </w:r>
          </w:p>
        </w:tc>
      </w:tr>
      <w:tr w:rsidR="00EB7374" w:rsidRPr="00615E45" w14:paraId="1C41ED5B" w14:textId="77777777" w:rsidTr="00C700EB">
        <w:trPr>
          <w:cantSplit/>
        </w:trPr>
        <w:tc>
          <w:tcPr>
            <w:tcW w:w="2041" w:type="pct"/>
            <w:noWrap/>
          </w:tcPr>
          <w:p w14:paraId="236EE115" w14:textId="77777777" w:rsidR="00EB7374" w:rsidRPr="00615E45" w:rsidRDefault="00EB7374" w:rsidP="00C700EB">
            <w:pPr>
              <w:jc w:val="left"/>
              <w:rPr>
                <w:rFonts w:cs="Calibri"/>
                <w:color w:val="000000"/>
                <w:sz w:val="15"/>
                <w:szCs w:val="15"/>
              </w:rPr>
            </w:pPr>
            <w:r w:rsidRPr="00615E45">
              <w:rPr>
                <w:color w:val="000000"/>
                <w:sz w:val="15"/>
              </w:rPr>
              <w:t>Agricultural sector share of GDP (% at current prices)</w:t>
            </w:r>
          </w:p>
        </w:tc>
        <w:tc>
          <w:tcPr>
            <w:tcW w:w="423" w:type="pct"/>
            <w:noWrap/>
          </w:tcPr>
          <w:p w14:paraId="6FBD9966" w14:textId="77777777" w:rsidR="00EB7374" w:rsidRPr="00615E45" w:rsidRDefault="00EB7374" w:rsidP="00C700EB">
            <w:pPr>
              <w:jc w:val="right"/>
              <w:rPr>
                <w:rFonts w:cs="Calibri"/>
                <w:color w:val="000000"/>
                <w:sz w:val="15"/>
                <w:szCs w:val="15"/>
              </w:rPr>
            </w:pPr>
          </w:p>
        </w:tc>
        <w:tc>
          <w:tcPr>
            <w:tcW w:w="423" w:type="pct"/>
            <w:noWrap/>
          </w:tcPr>
          <w:p w14:paraId="57B2D5CA" w14:textId="77777777" w:rsidR="00EB7374" w:rsidRPr="00615E45" w:rsidRDefault="00EB7374" w:rsidP="00C700EB">
            <w:pPr>
              <w:jc w:val="right"/>
              <w:rPr>
                <w:rFonts w:cs="Calibri"/>
                <w:color w:val="000000"/>
                <w:sz w:val="15"/>
                <w:szCs w:val="15"/>
              </w:rPr>
            </w:pPr>
          </w:p>
        </w:tc>
        <w:tc>
          <w:tcPr>
            <w:tcW w:w="423" w:type="pct"/>
            <w:noWrap/>
          </w:tcPr>
          <w:p w14:paraId="02C08A6B" w14:textId="77777777" w:rsidR="00EB7374" w:rsidRPr="00615E45" w:rsidRDefault="00EB7374" w:rsidP="00C700EB">
            <w:pPr>
              <w:jc w:val="right"/>
              <w:rPr>
                <w:rFonts w:cs="Calibri"/>
                <w:color w:val="000000"/>
                <w:sz w:val="15"/>
                <w:szCs w:val="15"/>
              </w:rPr>
            </w:pPr>
          </w:p>
        </w:tc>
        <w:tc>
          <w:tcPr>
            <w:tcW w:w="423" w:type="pct"/>
            <w:noWrap/>
          </w:tcPr>
          <w:p w14:paraId="2F8ACACB" w14:textId="77777777" w:rsidR="00EB7374" w:rsidRPr="00615E45" w:rsidRDefault="00EB7374" w:rsidP="00C700EB">
            <w:pPr>
              <w:jc w:val="right"/>
              <w:rPr>
                <w:rFonts w:cs="Calibri"/>
                <w:color w:val="000000"/>
                <w:sz w:val="15"/>
                <w:szCs w:val="15"/>
              </w:rPr>
            </w:pPr>
          </w:p>
        </w:tc>
        <w:tc>
          <w:tcPr>
            <w:tcW w:w="423" w:type="pct"/>
            <w:noWrap/>
          </w:tcPr>
          <w:p w14:paraId="7A928FC2" w14:textId="77777777" w:rsidR="00EB7374" w:rsidRPr="00615E45" w:rsidRDefault="00EB7374" w:rsidP="00C700EB">
            <w:pPr>
              <w:jc w:val="right"/>
              <w:rPr>
                <w:rFonts w:cs="Calibri"/>
                <w:color w:val="000000"/>
                <w:sz w:val="15"/>
                <w:szCs w:val="15"/>
              </w:rPr>
            </w:pPr>
          </w:p>
        </w:tc>
        <w:tc>
          <w:tcPr>
            <w:tcW w:w="423" w:type="pct"/>
            <w:noWrap/>
          </w:tcPr>
          <w:p w14:paraId="63A1F74A" w14:textId="77777777" w:rsidR="00EB7374" w:rsidRPr="00615E45" w:rsidRDefault="00EB7374" w:rsidP="00C700EB">
            <w:pPr>
              <w:jc w:val="right"/>
              <w:rPr>
                <w:rFonts w:cs="Calibri"/>
                <w:color w:val="000000"/>
                <w:sz w:val="15"/>
                <w:szCs w:val="15"/>
              </w:rPr>
            </w:pPr>
          </w:p>
        </w:tc>
        <w:tc>
          <w:tcPr>
            <w:tcW w:w="420" w:type="pct"/>
            <w:noWrap/>
          </w:tcPr>
          <w:p w14:paraId="5798CECA" w14:textId="77777777" w:rsidR="00EB7374" w:rsidRPr="00615E45" w:rsidRDefault="00EB7374" w:rsidP="00C700EB">
            <w:pPr>
              <w:jc w:val="right"/>
              <w:rPr>
                <w:rFonts w:cs="Calibri"/>
                <w:color w:val="000000"/>
                <w:sz w:val="15"/>
                <w:szCs w:val="15"/>
              </w:rPr>
            </w:pPr>
          </w:p>
        </w:tc>
      </w:tr>
      <w:tr w:rsidR="00EB7374" w:rsidRPr="00615E45" w14:paraId="13F90BBE" w14:textId="77777777" w:rsidTr="00C700EB">
        <w:trPr>
          <w:cnfStyle w:val="000000010000" w:firstRow="0" w:lastRow="0" w:firstColumn="0" w:lastColumn="0" w:oddVBand="0" w:evenVBand="0" w:oddHBand="0" w:evenHBand="1" w:firstRowFirstColumn="0" w:firstRowLastColumn="0" w:lastRowFirstColumn="0" w:lastRowLastColumn="0"/>
          <w:cantSplit/>
        </w:trPr>
        <w:tc>
          <w:tcPr>
            <w:tcW w:w="2041" w:type="pct"/>
            <w:noWrap/>
            <w:hideMark/>
          </w:tcPr>
          <w:p w14:paraId="283B8AF6" w14:textId="77777777" w:rsidR="00EB7374" w:rsidRPr="00615E45" w:rsidRDefault="00EB7374" w:rsidP="00C700EB">
            <w:pPr>
              <w:ind w:left="170"/>
              <w:jc w:val="left"/>
              <w:rPr>
                <w:rFonts w:cs="Calibri"/>
                <w:color w:val="000000"/>
                <w:sz w:val="15"/>
                <w:szCs w:val="15"/>
              </w:rPr>
            </w:pPr>
            <w:r w:rsidRPr="00615E45">
              <w:rPr>
                <w:color w:val="000000"/>
                <w:sz w:val="15"/>
              </w:rPr>
              <w:t>Agricultural sector</w:t>
            </w:r>
          </w:p>
        </w:tc>
        <w:tc>
          <w:tcPr>
            <w:tcW w:w="423" w:type="pct"/>
            <w:noWrap/>
            <w:hideMark/>
          </w:tcPr>
          <w:p w14:paraId="0F4EBD1D" w14:textId="77777777" w:rsidR="00EB7374" w:rsidRPr="00615E45" w:rsidRDefault="00EB7374" w:rsidP="00C700EB">
            <w:pPr>
              <w:jc w:val="right"/>
              <w:rPr>
                <w:rFonts w:cs="Calibri"/>
                <w:color w:val="000000"/>
                <w:sz w:val="15"/>
                <w:szCs w:val="15"/>
              </w:rPr>
            </w:pPr>
            <w:r w:rsidRPr="00615E45">
              <w:rPr>
                <w:color w:val="000000"/>
                <w:sz w:val="15"/>
              </w:rPr>
              <w:t>5.5</w:t>
            </w:r>
          </w:p>
        </w:tc>
        <w:tc>
          <w:tcPr>
            <w:tcW w:w="423" w:type="pct"/>
            <w:noWrap/>
            <w:hideMark/>
          </w:tcPr>
          <w:p w14:paraId="5AB9A86C" w14:textId="77777777" w:rsidR="00EB7374" w:rsidRPr="00615E45" w:rsidRDefault="00EB7374" w:rsidP="00C700EB">
            <w:pPr>
              <w:jc w:val="right"/>
              <w:rPr>
                <w:rFonts w:cs="Calibri"/>
                <w:color w:val="000000"/>
                <w:sz w:val="15"/>
                <w:szCs w:val="15"/>
              </w:rPr>
            </w:pPr>
            <w:r w:rsidRPr="00615E45">
              <w:rPr>
                <w:color w:val="000000"/>
                <w:sz w:val="15"/>
              </w:rPr>
              <w:t>5.5</w:t>
            </w:r>
          </w:p>
        </w:tc>
        <w:tc>
          <w:tcPr>
            <w:tcW w:w="423" w:type="pct"/>
            <w:noWrap/>
            <w:hideMark/>
          </w:tcPr>
          <w:p w14:paraId="1F7F1B7E" w14:textId="77777777" w:rsidR="00EB7374" w:rsidRPr="00615E45" w:rsidRDefault="00EB7374" w:rsidP="00C700EB">
            <w:pPr>
              <w:jc w:val="right"/>
              <w:rPr>
                <w:rFonts w:cs="Calibri"/>
                <w:color w:val="000000"/>
                <w:sz w:val="15"/>
                <w:szCs w:val="15"/>
              </w:rPr>
            </w:pPr>
            <w:r w:rsidRPr="00615E45">
              <w:rPr>
                <w:color w:val="000000"/>
                <w:sz w:val="15"/>
              </w:rPr>
              <w:t>5.3</w:t>
            </w:r>
          </w:p>
        </w:tc>
        <w:tc>
          <w:tcPr>
            <w:tcW w:w="423" w:type="pct"/>
            <w:noWrap/>
            <w:hideMark/>
          </w:tcPr>
          <w:p w14:paraId="6A4E6598" w14:textId="77777777" w:rsidR="00EB7374" w:rsidRPr="00615E45" w:rsidRDefault="00EB7374" w:rsidP="00C700EB">
            <w:pPr>
              <w:jc w:val="right"/>
              <w:rPr>
                <w:rFonts w:cs="Calibri"/>
                <w:color w:val="000000"/>
                <w:sz w:val="15"/>
                <w:szCs w:val="15"/>
              </w:rPr>
            </w:pPr>
            <w:r w:rsidRPr="00615E45">
              <w:rPr>
                <w:color w:val="000000"/>
                <w:sz w:val="15"/>
              </w:rPr>
              <w:t>5.1</w:t>
            </w:r>
          </w:p>
        </w:tc>
        <w:tc>
          <w:tcPr>
            <w:tcW w:w="423" w:type="pct"/>
            <w:noWrap/>
            <w:hideMark/>
          </w:tcPr>
          <w:p w14:paraId="5C9C7A98" w14:textId="77777777" w:rsidR="00EB7374" w:rsidRPr="00615E45" w:rsidRDefault="00EB7374" w:rsidP="00C700EB">
            <w:pPr>
              <w:jc w:val="right"/>
              <w:rPr>
                <w:rFonts w:cs="Calibri"/>
                <w:color w:val="000000"/>
                <w:sz w:val="15"/>
                <w:szCs w:val="15"/>
              </w:rPr>
            </w:pPr>
            <w:r w:rsidRPr="00615E45">
              <w:rPr>
                <w:color w:val="000000"/>
                <w:sz w:val="15"/>
              </w:rPr>
              <w:t>5.2</w:t>
            </w:r>
          </w:p>
        </w:tc>
        <w:tc>
          <w:tcPr>
            <w:tcW w:w="423" w:type="pct"/>
            <w:noWrap/>
            <w:hideMark/>
          </w:tcPr>
          <w:p w14:paraId="7A17F527" w14:textId="77777777" w:rsidR="00EB7374" w:rsidRPr="00615E45" w:rsidRDefault="00EB7374" w:rsidP="00C700EB">
            <w:pPr>
              <w:jc w:val="right"/>
              <w:rPr>
                <w:rFonts w:cs="Calibri"/>
                <w:color w:val="000000"/>
                <w:sz w:val="15"/>
                <w:szCs w:val="15"/>
              </w:rPr>
            </w:pPr>
            <w:r w:rsidRPr="00615E45">
              <w:rPr>
                <w:color w:val="000000"/>
                <w:sz w:val="15"/>
              </w:rPr>
              <w:t>6.0</w:t>
            </w:r>
          </w:p>
        </w:tc>
        <w:tc>
          <w:tcPr>
            <w:tcW w:w="420" w:type="pct"/>
            <w:noWrap/>
            <w:hideMark/>
          </w:tcPr>
          <w:p w14:paraId="0424D481" w14:textId="77777777" w:rsidR="00EB7374" w:rsidRPr="00615E45" w:rsidRDefault="00EB7374" w:rsidP="00C700EB">
            <w:pPr>
              <w:jc w:val="right"/>
              <w:rPr>
                <w:rFonts w:cs="Calibri"/>
                <w:color w:val="000000"/>
                <w:sz w:val="15"/>
                <w:szCs w:val="15"/>
              </w:rPr>
            </w:pPr>
            <w:r w:rsidRPr="00615E45">
              <w:rPr>
                <w:color w:val="000000"/>
                <w:sz w:val="15"/>
              </w:rPr>
              <w:t>5.7</w:t>
            </w:r>
          </w:p>
        </w:tc>
      </w:tr>
      <w:tr w:rsidR="00EB7374" w:rsidRPr="00615E45" w14:paraId="3A594A81" w14:textId="77777777" w:rsidTr="00C700EB">
        <w:trPr>
          <w:cantSplit/>
        </w:trPr>
        <w:tc>
          <w:tcPr>
            <w:tcW w:w="2041" w:type="pct"/>
            <w:noWrap/>
            <w:hideMark/>
          </w:tcPr>
          <w:p w14:paraId="54443850" w14:textId="77777777" w:rsidR="00EB7374" w:rsidRPr="00615E45" w:rsidRDefault="00EB7374" w:rsidP="00C700EB">
            <w:pPr>
              <w:ind w:left="340"/>
              <w:jc w:val="left"/>
              <w:rPr>
                <w:rFonts w:cs="Calibri"/>
                <w:color w:val="000000"/>
                <w:sz w:val="15"/>
                <w:szCs w:val="15"/>
              </w:rPr>
            </w:pPr>
            <w:r w:rsidRPr="00615E45">
              <w:rPr>
                <w:color w:val="000000"/>
                <w:sz w:val="15"/>
              </w:rPr>
              <w:t>Crop farming</w:t>
            </w:r>
          </w:p>
        </w:tc>
        <w:tc>
          <w:tcPr>
            <w:tcW w:w="423" w:type="pct"/>
            <w:noWrap/>
            <w:hideMark/>
          </w:tcPr>
          <w:p w14:paraId="5831290E" w14:textId="77777777" w:rsidR="00EB7374" w:rsidRPr="00615E45" w:rsidRDefault="00EB7374" w:rsidP="00C700EB">
            <w:pPr>
              <w:jc w:val="right"/>
              <w:rPr>
                <w:rFonts w:cs="Calibri"/>
                <w:color w:val="000000"/>
                <w:sz w:val="15"/>
                <w:szCs w:val="15"/>
              </w:rPr>
            </w:pPr>
            <w:r w:rsidRPr="00615E45">
              <w:rPr>
                <w:color w:val="000000"/>
                <w:sz w:val="15"/>
              </w:rPr>
              <w:t>3.5</w:t>
            </w:r>
          </w:p>
        </w:tc>
        <w:tc>
          <w:tcPr>
            <w:tcW w:w="423" w:type="pct"/>
            <w:noWrap/>
            <w:hideMark/>
          </w:tcPr>
          <w:p w14:paraId="7100EFAD" w14:textId="77777777" w:rsidR="00EB7374" w:rsidRPr="00615E45" w:rsidRDefault="00EB7374" w:rsidP="00C700EB">
            <w:pPr>
              <w:jc w:val="right"/>
              <w:rPr>
                <w:rFonts w:cs="Calibri"/>
                <w:color w:val="000000"/>
                <w:sz w:val="15"/>
                <w:szCs w:val="15"/>
              </w:rPr>
            </w:pPr>
            <w:r w:rsidRPr="00615E45">
              <w:rPr>
                <w:color w:val="000000"/>
                <w:sz w:val="15"/>
              </w:rPr>
              <w:t>3.6</w:t>
            </w:r>
          </w:p>
        </w:tc>
        <w:tc>
          <w:tcPr>
            <w:tcW w:w="423" w:type="pct"/>
            <w:noWrap/>
            <w:hideMark/>
          </w:tcPr>
          <w:p w14:paraId="4BF7A7C6" w14:textId="77777777" w:rsidR="00EB7374" w:rsidRPr="00615E45" w:rsidRDefault="00EB7374" w:rsidP="00C700EB">
            <w:pPr>
              <w:jc w:val="right"/>
              <w:rPr>
                <w:rFonts w:cs="Calibri"/>
                <w:color w:val="000000"/>
                <w:sz w:val="15"/>
                <w:szCs w:val="15"/>
              </w:rPr>
            </w:pPr>
            <w:r w:rsidRPr="00615E45">
              <w:rPr>
                <w:color w:val="000000"/>
                <w:sz w:val="15"/>
              </w:rPr>
              <w:t>3.5</w:t>
            </w:r>
          </w:p>
        </w:tc>
        <w:tc>
          <w:tcPr>
            <w:tcW w:w="423" w:type="pct"/>
            <w:noWrap/>
            <w:hideMark/>
          </w:tcPr>
          <w:p w14:paraId="76EC2E5E" w14:textId="77777777" w:rsidR="00EB7374" w:rsidRPr="00615E45" w:rsidRDefault="00EB7374" w:rsidP="00C700EB">
            <w:pPr>
              <w:jc w:val="right"/>
              <w:rPr>
                <w:rFonts w:cs="Calibri"/>
                <w:color w:val="000000"/>
                <w:sz w:val="15"/>
                <w:szCs w:val="15"/>
              </w:rPr>
            </w:pPr>
            <w:r w:rsidRPr="00615E45">
              <w:rPr>
                <w:color w:val="000000"/>
                <w:sz w:val="15"/>
              </w:rPr>
              <w:t>3.3</w:t>
            </w:r>
          </w:p>
        </w:tc>
        <w:tc>
          <w:tcPr>
            <w:tcW w:w="423" w:type="pct"/>
            <w:noWrap/>
            <w:hideMark/>
          </w:tcPr>
          <w:p w14:paraId="5DBBCB60" w14:textId="77777777" w:rsidR="00EB7374" w:rsidRPr="00615E45" w:rsidRDefault="00EB7374" w:rsidP="00C700EB">
            <w:pPr>
              <w:jc w:val="right"/>
              <w:rPr>
                <w:rFonts w:cs="Calibri"/>
                <w:color w:val="000000"/>
                <w:sz w:val="15"/>
                <w:szCs w:val="15"/>
              </w:rPr>
            </w:pPr>
            <w:r w:rsidRPr="00615E45">
              <w:rPr>
                <w:color w:val="000000"/>
                <w:sz w:val="15"/>
              </w:rPr>
              <w:t>3.4</w:t>
            </w:r>
          </w:p>
        </w:tc>
        <w:tc>
          <w:tcPr>
            <w:tcW w:w="423" w:type="pct"/>
            <w:noWrap/>
            <w:hideMark/>
          </w:tcPr>
          <w:p w14:paraId="08760C34" w14:textId="77777777" w:rsidR="00EB7374" w:rsidRPr="00615E45" w:rsidRDefault="00EB7374" w:rsidP="00C700EB">
            <w:pPr>
              <w:jc w:val="right"/>
              <w:rPr>
                <w:rFonts w:cs="Calibri"/>
                <w:color w:val="000000"/>
                <w:sz w:val="15"/>
                <w:szCs w:val="15"/>
              </w:rPr>
            </w:pPr>
            <w:r w:rsidRPr="00615E45">
              <w:rPr>
                <w:color w:val="000000"/>
                <w:sz w:val="15"/>
              </w:rPr>
              <w:t>4.1</w:t>
            </w:r>
          </w:p>
        </w:tc>
        <w:tc>
          <w:tcPr>
            <w:tcW w:w="420" w:type="pct"/>
            <w:noWrap/>
            <w:hideMark/>
          </w:tcPr>
          <w:p w14:paraId="33BED0B4" w14:textId="77777777" w:rsidR="00EB7374" w:rsidRPr="00615E45" w:rsidRDefault="00EB7374" w:rsidP="00C700EB">
            <w:pPr>
              <w:jc w:val="right"/>
              <w:rPr>
                <w:rFonts w:cs="Calibri"/>
                <w:color w:val="000000"/>
                <w:sz w:val="15"/>
                <w:szCs w:val="15"/>
              </w:rPr>
            </w:pPr>
            <w:r w:rsidRPr="00615E45">
              <w:rPr>
                <w:color w:val="000000"/>
                <w:sz w:val="15"/>
              </w:rPr>
              <w:t>3.7</w:t>
            </w:r>
          </w:p>
        </w:tc>
      </w:tr>
      <w:tr w:rsidR="00EB7374" w:rsidRPr="00615E45" w14:paraId="58223B99" w14:textId="77777777" w:rsidTr="00C700EB">
        <w:trPr>
          <w:cnfStyle w:val="000000010000" w:firstRow="0" w:lastRow="0" w:firstColumn="0" w:lastColumn="0" w:oddVBand="0" w:evenVBand="0" w:oddHBand="0" w:evenHBand="1" w:firstRowFirstColumn="0" w:firstRowLastColumn="0" w:lastRowFirstColumn="0" w:lastRowLastColumn="0"/>
          <w:cantSplit/>
        </w:trPr>
        <w:tc>
          <w:tcPr>
            <w:tcW w:w="2041" w:type="pct"/>
            <w:noWrap/>
            <w:hideMark/>
          </w:tcPr>
          <w:p w14:paraId="0E8C0AC9" w14:textId="77777777" w:rsidR="00EB7374" w:rsidRPr="00615E45" w:rsidRDefault="00EB7374" w:rsidP="00C700EB">
            <w:pPr>
              <w:ind w:left="340"/>
              <w:jc w:val="left"/>
              <w:rPr>
                <w:rFonts w:cs="Calibri"/>
                <w:color w:val="000000"/>
                <w:sz w:val="15"/>
                <w:szCs w:val="15"/>
              </w:rPr>
            </w:pPr>
            <w:r w:rsidRPr="00615E45">
              <w:rPr>
                <w:color w:val="000000"/>
                <w:sz w:val="15"/>
              </w:rPr>
              <w:t>Livestock, forestry and fisheries</w:t>
            </w:r>
          </w:p>
        </w:tc>
        <w:tc>
          <w:tcPr>
            <w:tcW w:w="423" w:type="pct"/>
            <w:noWrap/>
            <w:hideMark/>
          </w:tcPr>
          <w:p w14:paraId="2D868548" w14:textId="77777777" w:rsidR="00EB7374" w:rsidRPr="00615E45" w:rsidRDefault="00EB7374" w:rsidP="00C700EB">
            <w:pPr>
              <w:jc w:val="right"/>
              <w:rPr>
                <w:rFonts w:cs="Calibri"/>
                <w:color w:val="000000"/>
                <w:sz w:val="15"/>
                <w:szCs w:val="15"/>
              </w:rPr>
            </w:pPr>
            <w:r w:rsidRPr="00615E45">
              <w:rPr>
                <w:color w:val="000000"/>
                <w:sz w:val="15"/>
              </w:rPr>
              <w:t>2.0</w:t>
            </w:r>
          </w:p>
        </w:tc>
        <w:tc>
          <w:tcPr>
            <w:tcW w:w="423" w:type="pct"/>
            <w:noWrap/>
            <w:hideMark/>
          </w:tcPr>
          <w:p w14:paraId="1CB3E0D8" w14:textId="77777777" w:rsidR="00EB7374" w:rsidRPr="00615E45" w:rsidRDefault="00EB7374" w:rsidP="00C700EB">
            <w:pPr>
              <w:jc w:val="right"/>
              <w:rPr>
                <w:rFonts w:cs="Calibri"/>
                <w:color w:val="000000"/>
                <w:sz w:val="15"/>
                <w:szCs w:val="15"/>
              </w:rPr>
            </w:pPr>
            <w:r w:rsidRPr="00615E45">
              <w:rPr>
                <w:color w:val="000000"/>
                <w:sz w:val="15"/>
              </w:rPr>
              <w:t>1.9</w:t>
            </w:r>
          </w:p>
        </w:tc>
        <w:tc>
          <w:tcPr>
            <w:tcW w:w="423" w:type="pct"/>
            <w:noWrap/>
            <w:hideMark/>
          </w:tcPr>
          <w:p w14:paraId="3BC56F19" w14:textId="77777777" w:rsidR="00EB7374" w:rsidRPr="00615E45" w:rsidRDefault="00EB7374" w:rsidP="00C700EB">
            <w:pPr>
              <w:jc w:val="right"/>
              <w:rPr>
                <w:rFonts w:cs="Calibri"/>
                <w:color w:val="000000"/>
                <w:sz w:val="15"/>
                <w:szCs w:val="15"/>
              </w:rPr>
            </w:pPr>
            <w:r w:rsidRPr="00615E45">
              <w:rPr>
                <w:color w:val="000000"/>
                <w:sz w:val="15"/>
              </w:rPr>
              <w:t>1.9</w:t>
            </w:r>
          </w:p>
        </w:tc>
        <w:tc>
          <w:tcPr>
            <w:tcW w:w="423" w:type="pct"/>
            <w:noWrap/>
            <w:hideMark/>
          </w:tcPr>
          <w:p w14:paraId="2043E781" w14:textId="77777777" w:rsidR="00EB7374" w:rsidRPr="00615E45" w:rsidRDefault="00EB7374" w:rsidP="00C700EB">
            <w:pPr>
              <w:jc w:val="right"/>
              <w:rPr>
                <w:rFonts w:cs="Calibri"/>
                <w:color w:val="000000"/>
                <w:sz w:val="15"/>
                <w:szCs w:val="15"/>
              </w:rPr>
            </w:pPr>
            <w:r w:rsidRPr="00615E45">
              <w:rPr>
                <w:color w:val="000000"/>
                <w:sz w:val="15"/>
              </w:rPr>
              <w:t>1.9</w:t>
            </w:r>
          </w:p>
        </w:tc>
        <w:tc>
          <w:tcPr>
            <w:tcW w:w="423" w:type="pct"/>
            <w:noWrap/>
            <w:hideMark/>
          </w:tcPr>
          <w:p w14:paraId="6814F609" w14:textId="77777777" w:rsidR="00EB7374" w:rsidRPr="00615E45" w:rsidRDefault="00EB7374" w:rsidP="00C700EB">
            <w:pPr>
              <w:jc w:val="right"/>
              <w:rPr>
                <w:rFonts w:cs="Calibri"/>
                <w:color w:val="000000"/>
                <w:sz w:val="15"/>
                <w:szCs w:val="15"/>
              </w:rPr>
            </w:pPr>
            <w:r w:rsidRPr="00615E45">
              <w:rPr>
                <w:color w:val="000000"/>
                <w:sz w:val="15"/>
              </w:rPr>
              <w:t>1.8</w:t>
            </w:r>
          </w:p>
        </w:tc>
        <w:tc>
          <w:tcPr>
            <w:tcW w:w="423" w:type="pct"/>
            <w:noWrap/>
            <w:hideMark/>
          </w:tcPr>
          <w:p w14:paraId="072F9DA0" w14:textId="77777777" w:rsidR="00EB7374" w:rsidRPr="00615E45" w:rsidRDefault="00EB7374" w:rsidP="00C700EB">
            <w:pPr>
              <w:jc w:val="right"/>
              <w:rPr>
                <w:rFonts w:cs="Calibri"/>
                <w:color w:val="000000"/>
                <w:sz w:val="15"/>
                <w:szCs w:val="15"/>
              </w:rPr>
            </w:pPr>
            <w:r w:rsidRPr="00615E45">
              <w:rPr>
                <w:color w:val="000000"/>
                <w:sz w:val="15"/>
              </w:rPr>
              <w:t>2.0</w:t>
            </w:r>
          </w:p>
        </w:tc>
        <w:tc>
          <w:tcPr>
            <w:tcW w:w="420" w:type="pct"/>
            <w:noWrap/>
            <w:hideMark/>
          </w:tcPr>
          <w:p w14:paraId="48BEBB3F" w14:textId="77777777" w:rsidR="00EB7374" w:rsidRPr="00615E45" w:rsidRDefault="00EB7374" w:rsidP="00C700EB">
            <w:pPr>
              <w:jc w:val="right"/>
              <w:rPr>
                <w:rFonts w:cs="Calibri"/>
                <w:color w:val="000000"/>
                <w:sz w:val="15"/>
                <w:szCs w:val="15"/>
              </w:rPr>
            </w:pPr>
            <w:r w:rsidRPr="00615E45">
              <w:rPr>
                <w:color w:val="000000"/>
                <w:sz w:val="15"/>
              </w:rPr>
              <w:t>2.0</w:t>
            </w:r>
          </w:p>
        </w:tc>
      </w:tr>
      <w:tr w:rsidR="00EB7374" w:rsidRPr="00615E45" w14:paraId="3A0FEC62" w14:textId="77777777" w:rsidTr="00C700EB">
        <w:trPr>
          <w:cantSplit/>
        </w:trPr>
        <w:tc>
          <w:tcPr>
            <w:tcW w:w="2041" w:type="pct"/>
            <w:noWrap/>
            <w:hideMark/>
          </w:tcPr>
          <w:p w14:paraId="34554303" w14:textId="77777777" w:rsidR="00EB7374" w:rsidRPr="00615E45" w:rsidRDefault="00EB7374" w:rsidP="00C700EB">
            <w:pPr>
              <w:jc w:val="left"/>
              <w:rPr>
                <w:rFonts w:cs="Calibri"/>
                <w:color w:val="000000"/>
                <w:sz w:val="15"/>
                <w:szCs w:val="15"/>
              </w:rPr>
            </w:pPr>
            <w:r w:rsidRPr="00615E45">
              <w:rPr>
                <w:color w:val="000000"/>
                <w:sz w:val="15"/>
              </w:rPr>
              <w:t>Share of agricultural GDP (% at current prices)</w:t>
            </w:r>
          </w:p>
        </w:tc>
        <w:tc>
          <w:tcPr>
            <w:tcW w:w="423" w:type="pct"/>
          </w:tcPr>
          <w:p w14:paraId="45F8892E" w14:textId="77777777" w:rsidR="00EB7374" w:rsidRPr="00615E45" w:rsidRDefault="00EB7374" w:rsidP="00C700EB">
            <w:pPr>
              <w:jc w:val="left"/>
              <w:rPr>
                <w:rFonts w:cs="Calibri"/>
                <w:color w:val="000000"/>
                <w:sz w:val="15"/>
                <w:szCs w:val="15"/>
              </w:rPr>
            </w:pPr>
          </w:p>
        </w:tc>
        <w:tc>
          <w:tcPr>
            <w:tcW w:w="423" w:type="pct"/>
            <w:noWrap/>
            <w:hideMark/>
          </w:tcPr>
          <w:p w14:paraId="6AB3814D" w14:textId="77777777" w:rsidR="00EB7374" w:rsidRPr="00615E45" w:rsidRDefault="00EB7374" w:rsidP="00C700EB">
            <w:pPr>
              <w:rPr>
                <w:rFonts w:cs="Calibri"/>
                <w:color w:val="000000"/>
                <w:sz w:val="15"/>
                <w:szCs w:val="15"/>
              </w:rPr>
            </w:pPr>
          </w:p>
        </w:tc>
        <w:tc>
          <w:tcPr>
            <w:tcW w:w="423" w:type="pct"/>
            <w:noWrap/>
            <w:hideMark/>
          </w:tcPr>
          <w:p w14:paraId="03744DC7" w14:textId="77777777" w:rsidR="00EB7374" w:rsidRPr="00615E45" w:rsidRDefault="00EB7374" w:rsidP="00C700EB">
            <w:pPr>
              <w:rPr>
                <w:sz w:val="15"/>
                <w:szCs w:val="15"/>
              </w:rPr>
            </w:pPr>
          </w:p>
        </w:tc>
        <w:tc>
          <w:tcPr>
            <w:tcW w:w="423" w:type="pct"/>
            <w:noWrap/>
            <w:hideMark/>
          </w:tcPr>
          <w:p w14:paraId="1FD886DD" w14:textId="77777777" w:rsidR="00EB7374" w:rsidRPr="00615E45" w:rsidRDefault="00EB7374" w:rsidP="00C700EB">
            <w:pPr>
              <w:rPr>
                <w:sz w:val="15"/>
                <w:szCs w:val="15"/>
              </w:rPr>
            </w:pPr>
          </w:p>
        </w:tc>
        <w:tc>
          <w:tcPr>
            <w:tcW w:w="423" w:type="pct"/>
            <w:noWrap/>
            <w:hideMark/>
          </w:tcPr>
          <w:p w14:paraId="50BA8F45" w14:textId="77777777" w:rsidR="00EB7374" w:rsidRPr="00615E45" w:rsidRDefault="00EB7374" w:rsidP="00C700EB">
            <w:pPr>
              <w:rPr>
                <w:sz w:val="15"/>
                <w:szCs w:val="15"/>
              </w:rPr>
            </w:pPr>
          </w:p>
        </w:tc>
        <w:tc>
          <w:tcPr>
            <w:tcW w:w="423" w:type="pct"/>
            <w:noWrap/>
            <w:hideMark/>
          </w:tcPr>
          <w:p w14:paraId="201732BE" w14:textId="77777777" w:rsidR="00EB7374" w:rsidRPr="00615E45" w:rsidRDefault="00EB7374" w:rsidP="00C700EB">
            <w:pPr>
              <w:rPr>
                <w:sz w:val="15"/>
                <w:szCs w:val="15"/>
              </w:rPr>
            </w:pPr>
          </w:p>
        </w:tc>
        <w:tc>
          <w:tcPr>
            <w:tcW w:w="420" w:type="pct"/>
            <w:noWrap/>
            <w:hideMark/>
          </w:tcPr>
          <w:p w14:paraId="35027359" w14:textId="77777777" w:rsidR="00EB7374" w:rsidRPr="00615E45" w:rsidRDefault="00EB7374" w:rsidP="00C700EB">
            <w:pPr>
              <w:rPr>
                <w:sz w:val="15"/>
                <w:szCs w:val="15"/>
              </w:rPr>
            </w:pPr>
          </w:p>
        </w:tc>
      </w:tr>
      <w:tr w:rsidR="00EB7374" w:rsidRPr="00615E45" w14:paraId="22ED20C7" w14:textId="77777777" w:rsidTr="00C700EB">
        <w:trPr>
          <w:cnfStyle w:val="000000010000" w:firstRow="0" w:lastRow="0" w:firstColumn="0" w:lastColumn="0" w:oddVBand="0" w:evenVBand="0" w:oddHBand="0" w:evenHBand="1" w:firstRowFirstColumn="0" w:firstRowLastColumn="0" w:lastRowFirstColumn="0" w:lastRowLastColumn="0"/>
          <w:cantSplit/>
        </w:trPr>
        <w:tc>
          <w:tcPr>
            <w:tcW w:w="2041" w:type="pct"/>
            <w:noWrap/>
            <w:hideMark/>
          </w:tcPr>
          <w:p w14:paraId="0FEC3748" w14:textId="77777777" w:rsidR="00EB7374" w:rsidRPr="00615E45" w:rsidRDefault="00EB7374" w:rsidP="00C700EB">
            <w:pPr>
              <w:ind w:left="340"/>
              <w:jc w:val="left"/>
              <w:rPr>
                <w:rFonts w:cs="Calibri"/>
                <w:color w:val="000000"/>
                <w:sz w:val="15"/>
                <w:szCs w:val="15"/>
              </w:rPr>
            </w:pPr>
            <w:r w:rsidRPr="00615E45">
              <w:rPr>
                <w:color w:val="000000"/>
                <w:sz w:val="15"/>
              </w:rPr>
              <w:t>Crop farming</w:t>
            </w:r>
          </w:p>
        </w:tc>
        <w:tc>
          <w:tcPr>
            <w:tcW w:w="423" w:type="pct"/>
            <w:noWrap/>
            <w:hideMark/>
          </w:tcPr>
          <w:p w14:paraId="74118A2A" w14:textId="77777777" w:rsidR="00EB7374" w:rsidRPr="00615E45" w:rsidRDefault="00EB7374" w:rsidP="00C700EB">
            <w:pPr>
              <w:jc w:val="right"/>
              <w:rPr>
                <w:rFonts w:cs="Calibri"/>
                <w:color w:val="000000"/>
                <w:sz w:val="15"/>
                <w:szCs w:val="15"/>
              </w:rPr>
            </w:pPr>
            <w:r w:rsidRPr="00615E45">
              <w:rPr>
                <w:color w:val="000000"/>
                <w:sz w:val="15"/>
              </w:rPr>
              <w:t>63.9</w:t>
            </w:r>
          </w:p>
        </w:tc>
        <w:tc>
          <w:tcPr>
            <w:tcW w:w="423" w:type="pct"/>
            <w:noWrap/>
            <w:hideMark/>
          </w:tcPr>
          <w:p w14:paraId="5FEE5242" w14:textId="77777777" w:rsidR="00EB7374" w:rsidRPr="00615E45" w:rsidRDefault="00EB7374" w:rsidP="00C700EB">
            <w:pPr>
              <w:jc w:val="right"/>
              <w:rPr>
                <w:rFonts w:cs="Calibri"/>
                <w:color w:val="000000"/>
                <w:sz w:val="15"/>
                <w:szCs w:val="15"/>
              </w:rPr>
            </w:pPr>
            <w:r w:rsidRPr="00615E45">
              <w:rPr>
                <w:color w:val="000000"/>
                <w:sz w:val="15"/>
              </w:rPr>
              <w:t>65.2</w:t>
            </w:r>
          </w:p>
        </w:tc>
        <w:tc>
          <w:tcPr>
            <w:tcW w:w="423" w:type="pct"/>
            <w:noWrap/>
            <w:hideMark/>
          </w:tcPr>
          <w:p w14:paraId="54D6A87C" w14:textId="77777777" w:rsidR="00EB7374" w:rsidRPr="00615E45" w:rsidRDefault="00EB7374" w:rsidP="00C700EB">
            <w:pPr>
              <w:jc w:val="right"/>
              <w:rPr>
                <w:rFonts w:cs="Calibri"/>
                <w:color w:val="000000"/>
                <w:sz w:val="15"/>
                <w:szCs w:val="15"/>
              </w:rPr>
            </w:pPr>
            <w:r w:rsidRPr="00615E45">
              <w:rPr>
                <w:color w:val="000000"/>
                <w:sz w:val="15"/>
              </w:rPr>
              <w:t>64.9</w:t>
            </w:r>
          </w:p>
        </w:tc>
        <w:tc>
          <w:tcPr>
            <w:tcW w:w="423" w:type="pct"/>
            <w:noWrap/>
            <w:hideMark/>
          </w:tcPr>
          <w:p w14:paraId="4A0A7636" w14:textId="77777777" w:rsidR="00EB7374" w:rsidRPr="00615E45" w:rsidRDefault="00EB7374" w:rsidP="00C700EB">
            <w:pPr>
              <w:jc w:val="right"/>
              <w:rPr>
                <w:rFonts w:cs="Calibri"/>
                <w:color w:val="000000"/>
                <w:sz w:val="15"/>
                <w:szCs w:val="15"/>
              </w:rPr>
            </w:pPr>
            <w:r w:rsidRPr="00615E45">
              <w:rPr>
                <w:color w:val="000000"/>
                <w:sz w:val="15"/>
              </w:rPr>
              <w:t>64.0</w:t>
            </w:r>
          </w:p>
        </w:tc>
        <w:tc>
          <w:tcPr>
            <w:tcW w:w="423" w:type="pct"/>
            <w:noWrap/>
            <w:hideMark/>
          </w:tcPr>
          <w:p w14:paraId="0E65D54E" w14:textId="77777777" w:rsidR="00EB7374" w:rsidRPr="00615E45" w:rsidRDefault="00EB7374" w:rsidP="00C700EB">
            <w:pPr>
              <w:jc w:val="right"/>
              <w:rPr>
                <w:rFonts w:cs="Calibri"/>
                <w:color w:val="000000"/>
                <w:sz w:val="15"/>
                <w:szCs w:val="15"/>
              </w:rPr>
            </w:pPr>
            <w:r w:rsidRPr="00615E45">
              <w:rPr>
                <w:color w:val="000000"/>
                <w:sz w:val="15"/>
              </w:rPr>
              <w:t>65.2</w:t>
            </w:r>
          </w:p>
        </w:tc>
        <w:tc>
          <w:tcPr>
            <w:tcW w:w="423" w:type="pct"/>
            <w:noWrap/>
            <w:hideMark/>
          </w:tcPr>
          <w:p w14:paraId="73B4C316" w14:textId="77777777" w:rsidR="00EB7374" w:rsidRPr="00615E45" w:rsidRDefault="00EB7374" w:rsidP="00C700EB">
            <w:pPr>
              <w:jc w:val="right"/>
              <w:rPr>
                <w:rFonts w:cs="Calibri"/>
                <w:color w:val="000000"/>
                <w:sz w:val="15"/>
                <w:szCs w:val="15"/>
              </w:rPr>
            </w:pPr>
            <w:r w:rsidRPr="00615E45">
              <w:rPr>
                <w:color w:val="000000"/>
                <w:sz w:val="15"/>
              </w:rPr>
              <w:t>67.7</w:t>
            </w:r>
          </w:p>
        </w:tc>
        <w:tc>
          <w:tcPr>
            <w:tcW w:w="420" w:type="pct"/>
            <w:noWrap/>
            <w:hideMark/>
          </w:tcPr>
          <w:p w14:paraId="78AD1435" w14:textId="77777777" w:rsidR="00EB7374" w:rsidRPr="00615E45" w:rsidRDefault="00EB7374" w:rsidP="00C700EB">
            <w:pPr>
              <w:jc w:val="right"/>
              <w:rPr>
                <w:rFonts w:cs="Calibri"/>
                <w:color w:val="000000"/>
                <w:sz w:val="15"/>
                <w:szCs w:val="15"/>
              </w:rPr>
            </w:pPr>
            <w:r w:rsidRPr="00615E45">
              <w:rPr>
                <w:color w:val="000000"/>
                <w:sz w:val="15"/>
              </w:rPr>
              <w:t>64.7</w:t>
            </w:r>
          </w:p>
        </w:tc>
      </w:tr>
      <w:tr w:rsidR="00EB7374" w:rsidRPr="00615E45" w14:paraId="6A06B9A4" w14:textId="77777777" w:rsidTr="00C700EB">
        <w:trPr>
          <w:cantSplit/>
        </w:trPr>
        <w:tc>
          <w:tcPr>
            <w:tcW w:w="2041" w:type="pct"/>
            <w:noWrap/>
            <w:hideMark/>
          </w:tcPr>
          <w:p w14:paraId="7E0F3EF1" w14:textId="77777777" w:rsidR="00EB7374" w:rsidRPr="00615E45" w:rsidRDefault="00EB7374" w:rsidP="00C700EB">
            <w:pPr>
              <w:ind w:left="340"/>
              <w:jc w:val="left"/>
              <w:rPr>
                <w:rFonts w:cs="Calibri"/>
                <w:color w:val="000000"/>
                <w:sz w:val="15"/>
                <w:szCs w:val="15"/>
              </w:rPr>
            </w:pPr>
            <w:r w:rsidRPr="00615E45">
              <w:rPr>
                <w:color w:val="000000"/>
                <w:sz w:val="15"/>
              </w:rPr>
              <w:t>Livestock, forestry and fisheries</w:t>
            </w:r>
          </w:p>
        </w:tc>
        <w:tc>
          <w:tcPr>
            <w:tcW w:w="423" w:type="pct"/>
            <w:noWrap/>
            <w:hideMark/>
          </w:tcPr>
          <w:p w14:paraId="29EE9CC9" w14:textId="77777777" w:rsidR="00EB7374" w:rsidRPr="00615E45" w:rsidRDefault="00EB7374" w:rsidP="00C700EB">
            <w:pPr>
              <w:jc w:val="right"/>
              <w:rPr>
                <w:rFonts w:cs="Calibri"/>
                <w:color w:val="000000"/>
                <w:sz w:val="15"/>
                <w:szCs w:val="15"/>
              </w:rPr>
            </w:pPr>
            <w:r w:rsidRPr="00615E45">
              <w:rPr>
                <w:color w:val="000000"/>
                <w:sz w:val="15"/>
              </w:rPr>
              <w:t>36.1</w:t>
            </w:r>
          </w:p>
        </w:tc>
        <w:tc>
          <w:tcPr>
            <w:tcW w:w="423" w:type="pct"/>
            <w:noWrap/>
            <w:hideMark/>
          </w:tcPr>
          <w:p w14:paraId="4201A0F6" w14:textId="77777777" w:rsidR="00EB7374" w:rsidRPr="00615E45" w:rsidRDefault="00EB7374" w:rsidP="00C700EB">
            <w:pPr>
              <w:jc w:val="right"/>
              <w:rPr>
                <w:rFonts w:cs="Calibri"/>
                <w:color w:val="000000"/>
                <w:sz w:val="15"/>
                <w:szCs w:val="15"/>
              </w:rPr>
            </w:pPr>
            <w:r w:rsidRPr="00615E45">
              <w:rPr>
                <w:color w:val="000000"/>
                <w:sz w:val="15"/>
              </w:rPr>
              <w:t>34.8</w:t>
            </w:r>
          </w:p>
        </w:tc>
        <w:tc>
          <w:tcPr>
            <w:tcW w:w="423" w:type="pct"/>
            <w:noWrap/>
            <w:hideMark/>
          </w:tcPr>
          <w:p w14:paraId="5388E451" w14:textId="77777777" w:rsidR="00EB7374" w:rsidRPr="00615E45" w:rsidRDefault="00EB7374" w:rsidP="00C700EB">
            <w:pPr>
              <w:jc w:val="right"/>
              <w:rPr>
                <w:rFonts w:cs="Calibri"/>
                <w:color w:val="000000"/>
                <w:sz w:val="15"/>
                <w:szCs w:val="15"/>
              </w:rPr>
            </w:pPr>
            <w:r w:rsidRPr="00615E45">
              <w:rPr>
                <w:color w:val="000000"/>
                <w:sz w:val="15"/>
              </w:rPr>
              <w:t>35.1</w:t>
            </w:r>
          </w:p>
        </w:tc>
        <w:tc>
          <w:tcPr>
            <w:tcW w:w="423" w:type="pct"/>
            <w:noWrap/>
            <w:hideMark/>
          </w:tcPr>
          <w:p w14:paraId="45ABE74B" w14:textId="77777777" w:rsidR="00EB7374" w:rsidRPr="00615E45" w:rsidRDefault="00EB7374" w:rsidP="00C700EB">
            <w:pPr>
              <w:jc w:val="right"/>
              <w:rPr>
                <w:rFonts w:cs="Calibri"/>
                <w:color w:val="000000"/>
                <w:sz w:val="15"/>
                <w:szCs w:val="15"/>
              </w:rPr>
            </w:pPr>
            <w:r w:rsidRPr="00615E45">
              <w:rPr>
                <w:color w:val="000000"/>
                <w:sz w:val="15"/>
              </w:rPr>
              <w:t>36.0</w:t>
            </w:r>
          </w:p>
        </w:tc>
        <w:tc>
          <w:tcPr>
            <w:tcW w:w="423" w:type="pct"/>
            <w:noWrap/>
            <w:hideMark/>
          </w:tcPr>
          <w:p w14:paraId="6ED5095A" w14:textId="77777777" w:rsidR="00EB7374" w:rsidRPr="00615E45" w:rsidRDefault="00EB7374" w:rsidP="00C700EB">
            <w:pPr>
              <w:jc w:val="right"/>
              <w:rPr>
                <w:rFonts w:cs="Calibri"/>
                <w:color w:val="000000"/>
                <w:sz w:val="15"/>
                <w:szCs w:val="15"/>
              </w:rPr>
            </w:pPr>
            <w:r w:rsidRPr="00615E45">
              <w:rPr>
                <w:color w:val="000000"/>
                <w:sz w:val="15"/>
              </w:rPr>
              <w:t>34.8</w:t>
            </w:r>
          </w:p>
        </w:tc>
        <w:tc>
          <w:tcPr>
            <w:tcW w:w="423" w:type="pct"/>
            <w:noWrap/>
            <w:hideMark/>
          </w:tcPr>
          <w:p w14:paraId="7DD4AB1E" w14:textId="77777777" w:rsidR="00EB7374" w:rsidRPr="00615E45" w:rsidRDefault="00EB7374" w:rsidP="00C700EB">
            <w:pPr>
              <w:jc w:val="right"/>
              <w:rPr>
                <w:rFonts w:cs="Calibri"/>
                <w:color w:val="000000"/>
                <w:sz w:val="15"/>
                <w:szCs w:val="15"/>
              </w:rPr>
            </w:pPr>
            <w:r w:rsidRPr="00615E45">
              <w:rPr>
                <w:color w:val="000000"/>
                <w:sz w:val="15"/>
              </w:rPr>
              <w:t>32.3</w:t>
            </w:r>
          </w:p>
        </w:tc>
        <w:tc>
          <w:tcPr>
            <w:tcW w:w="420" w:type="pct"/>
            <w:noWrap/>
            <w:hideMark/>
          </w:tcPr>
          <w:p w14:paraId="62B58D9D" w14:textId="77777777" w:rsidR="00EB7374" w:rsidRPr="00615E45" w:rsidRDefault="00EB7374" w:rsidP="00C700EB">
            <w:pPr>
              <w:jc w:val="right"/>
              <w:rPr>
                <w:rFonts w:cs="Calibri"/>
                <w:color w:val="000000"/>
                <w:sz w:val="15"/>
                <w:szCs w:val="15"/>
              </w:rPr>
            </w:pPr>
            <w:r w:rsidRPr="00615E45">
              <w:rPr>
                <w:color w:val="000000"/>
                <w:sz w:val="15"/>
              </w:rPr>
              <w:t>35.3</w:t>
            </w:r>
          </w:p>
        </w:tc>
      </w:tr>
      <w:tr w:rsidR="00EB7374" w:rsidRPr="00615E45" w14:paraId="2DF7C108" w14:textId="77777777" w:rsidTr="00C700EB">
        <w:trPr>
          <w:cnfStyle w:val="000000010000" w:firstRow="0" w:lastRow="0" w:firstColumn="0" w:lastColumn="0" w:oddVBand="0" w:evenVBand="0" w:oddHBand="0" w:evenHBand="1" w:firstRowFirstColumn="0" w:firstRowLastColumn="0" w:lastRowFirstColumn="0" w:lastRowLastColumn="0"/>
          <w:cantSplit/>
        </w:trPr>
        <w:tc>
          <w:tcPr>
            <w:tcW w:w="2041" w:type="pct"/>
            <w:noWrap/>
            <w:hideMark/>
          </w:tcPr>
          <w:p w14:paraId="1F0CC137" w14:textId="77777777" w:rsidR="00EB7374" w:rsidRPr="00615E45" w:rsidRDefault="00EB7374" w:rsidP="00C700EB">
            <w:pPr>
              <w:jc w:val="left"/>
              <w:rPr>
                <w:rFonts w:cs="Calibri"/>
                <w:color w:val="000000"/>
                <w:sz w:val="15"/>
                <w:szCs w:val="15"/>
              </w:rPr>
            </w:pPr>
            <w:r w:rsidRPr="00615E45">
              <w:rPr>
                <w:color w:val="000000"/>
                <w:sz w:val="15"/>
              </w:rPr>
              <w:t>Real growth rate (% at constant prices)</w:t>
            </w:r>
          </w:p>
        </w:tc>
        <w:tc>
          <w:tcPr>
            <w:tcW w:w="423" w:type="pct"/>
            <w:noWrap/>
            <w:hideMark/>
          </w:tcPr>
          <w:p w14:paraId="475D1F64" w14:textId="77777777" w:rsidR="00EB7374" w:rsidRPr="00615E45" w:rsidRDefault="00EB7374" w:rsidP="00C700EB">
            <w:pPr>
              <w:rPr>
                <w:rFonts w:cs="Calibri"/>
                <w:color w:val="000000"/>
                <w:sz w:val="15"/>
                <w:szCs w:val="15"/>
              </w:rPr>
            </w:pPr>
          </w:p>
        </w:tc>
        <w:tc>
          <w:tcPr>
            <w:tcW w:w="423" w:type="pct"/>
            <w:noWrap/>
            <w:hideMark/>
          </w:tcPr>
          <w:p w14:paraId="5A8A12F2" w14:textId="77777777" w:rsidR="00EB7374" w:rsidRPr="00615E45" w:rsidRDefault="00EB7374" w:rsidP="00C700EB">
            <w:pPr>
              <w:rPr>
                <w:sz w:val="15"/>
                <w:szCs w:val="15"/>
              </w:rPr>
            </w:pPr>
          </w:p>
        </w:tc>
        <w:tc>
          <w:tcPr>
            <w:tcW w:w="423" w:type="pct"/>
            <w:noWrap/>
            <w:hideMark/>
          </w:tcPr>
          <w:p w14:paraId="7E05C306" w14:textId="77777777" w:rsidR="00EB7374" w:rsidRPr="00615E45" w:rsidRDefault="00EB7374" w:rsidP="00C700EB">
            <w:pPr>
              <w:rPr>
                <w:sz w:val="15"/>
                <w:szCs w:val="15"/>
              </w:rPr>
            </w:pPr>
          </w:p>
        </w:tc>
        <w:tc>
          <w:tcPr>
            <w:tcW w:w="423" w:type="pct"/>
            <w:noWrap/>
            <w:hideMark/>
          </w:tcPr>
          <w:p w14:paraId="3E17B9B6" w14:textId="77777777" w:rsidR="00EB7374" w:rsidRPr="00615E45" w:rsidRDefault="00EB7374" w:rsidP="00C700EB">
            <w:pPr>
              <w:rPr>
                <w:sz w:val="15"/>
                <w:szCs w:val="15"/>
              </w:rPr>
            </w:pPr>
          </w:p>
        </w:tc>
        <w:tc>
          <w:tcPr>
            <w:tcW w:w="423" w:type="pct"/>
            <w:noWrap/>
            <w:hideMark/>
          </w:tcPr>
          <w:p w14:paraId="2F3C50C3" w14:textId="77777777" w:rsidR="00EB7374" w:rsidRPr="00615E45" w:rsidRDefault="00EB7374" w:rsidP="00C700EB">
            <w:pPr>
              <w:rPr>
                <w:sz w:val="15"/>
                <w:szCs w:val="15"/>
              </w:rPr>
            </w:pPr>
          </w:p>
        </w:tc>
        <w:tc>
          <w:tcPr>
            <w:tcW w:w="423" w:type="pct"/>
            <w:noWrap/>
            <w:hideMark/>
          </w:tcPr>
          <w:p w14:paraId="37F313EB" w14:textId="77777777" w:rsidR="00EB7374" w:rsidRPr="00615E45" w:rsidRDefault="00EB7374" w:rsidP="00C700EB">
            <w:pPr>
              <w:rPr>
                <w:sz w:val="15"/>
                <w:szCs w:val="15"/>
              </w:rPr>
            </w:pPr>
          </w:p>
        </w:tc>
        <w:tc>
          <w:tcPr>
            <w:tcW w:w="420" w:type="pct"/>
            <w:noWrap/>
            <w:hideMark/>
          </w:tcPr>
          <w:p w14:paraId="034FF85D" w14:textId="77777777" w:rsidR="00EB7374" w:rsidRPr="00615E45" w:rsidRDefault="00EB7374" w:rsidP="00C700EB">
            <w:pPr>
              <w:rPr>
                <w:sz w:val="15"/>
                <w:szCs w:val="15"/>
              </w:rPr>
            </w:pPr>
          </w:p>
        </w:tc>
      </w:tr>
      <w:tr w:rsidR="00EB7374" w:rsidRPr="00615E45" w14:paraId="6D4E6C63" w14:textId="77777777" w:rsidTr="00C700EB">
        <w:trPr>
          <w:cantSplit/>
        </w:trPr>
        <w:tc>
          <w:tcPr>
            <w:tcW w:w="2041" w:type="pct"/>
            <w:noWrap/>
            <w:hideMark/>
          </w:tcPr>
          <w:p w14:paraId="14B5210F" w14:textId="77777777" w:rsidR="00EB7374" w:rsidRPr="00615E45" w:rsidRDefault="00EB7374" w:rsidP="00C700EB">
            <w:pPr>
              <w:ind w:left="170"/>
              <w:jc w:val="left"/>
              <w:rPr>
                <w:rFonts w:cs="Calibri"/>
                <w:color w:val="000000"/>
                <w:sz w:val="15"/>
                <w:szCs w:val="15"/>
              </w:rPr>
            </w:pPr>
            <w:r w:rsidRPr="00615E45">
              <w:rPr>
                <w:color w:val="000000"/>
                <w:sz w:val="15"/>
              </w:rPr>
              <w:t>Agricultural sector</w:t>
            </w:r>
          </w:p>
        </w:tc>
        <w:tc>
          <w:tcPr>
            <w:tcW w:w="423" w:type="pct"/>
            <w:noWrap/>
            <w:hideMark/>
          </w:tcPr>
          <w:p w14:paraId="03C1FC11" w14:textId="77777777" w:rsidR="00EB7374" w:rsidRPr="00615E45" w:rsidRDefault="00EB7374" w:rsidP="00C700EB">
            <w:pPr>
              <w:jc w:val="right"/>
              <w:rPr>
                <w:rFonts w:cs="Calibri"/>
                <w:color w:val="000000"/>
                <w:sz w:val="15"/>
                <w:szCs w:val="15"/>
              </w:rPr>
            </w:pPr>
            <w:r w:rsidRPr="00615E45">
              <w:rPr>
                <w:color w:val="000000"/>
                <w:sz w:val="15"/>
              </w:rPr>
              <w:t>2.3</w:t>
            </w:r>
          </w:p>
        </w:tc>
        <w:tc>
          <w:tcPr>
            <w:tcW w:w="423" w:type="pct"/>
            <w:noWrap/>
            <w:hideMark/>
          </w:tcPr>
          <w:p w14:paraId="43EFD3D2" w14:textId="77777777" w:rsidR="00EB7374" w:rsidRPr="00615E45" w:rsidRDefault="00EB7374" w:rsidP="00C700EB">
            <w:pPr>
              <w:jc w:val="right"/>
              <w:rPr>
                <w:rFonts w:cs="Calibri"/>
                <w:color w:val="000000"/>
                <w:sz w:val="15"/>
                <w:szCs w:val="15"/>
              </w:rPr>
            </w:pPr>
            <w:r w:rsidRPr="00615E45">
              <w:rPr>
                <w:color w:val="000000"/>
                <w:sz w:val="15"/>
              </w:rPr>
              <w:t>5.6</w:t>
            </w:r>
          </w:p>
        </w:tc>
        <w:tc>
          <w:tcPr>
            <w:tcW w:w="423" w:type="pct"/>
            <w:noWrap/>
            <w:hideMark/>
          </w:tcPr>
          <w:p w14:paraId="629DE93E" w14:textId="77777777" w:rsidR="00EB7374" w:rsidRPr="00615E45" w:rsidRDefault="00EB7374" w:rsidP="00C700EB">
            <w:pPr>
              <w:jc w:val="right"/>
              <w:rPr>
                <w:rFonts w:cs="Calibri"/>
                <w:color w:val="000000"/>
                <w:sz w:val="15"/>
                <w:szCs w:val="15"/>
              </w:rPr>
            </w:pPr>
            <w:r w:rsidRPr="00615E45">
              <w:rPr>
                <w:color w:val="000000"/>
                <w:sz w:val="15"/>
              </w:rPr>
              <w:t>5.8</w:t>
            </w:r>
          </w:p>
        </w:tc>
        <w:tc>
          <w:tcPr>
            <w:tcW w:w="423" w:type="pct"/>
            <w:noWrap/>
            <w:hideMark/>
          </w:tcPr>
          <w:p w14:paraId="5F09D413" w14:textId="77777777" w:rsidR="00EB7374" w:rsidRPr="00615E45" w:rsidRDefault="00EB7374" w:rsidP="00C700EB">
            <w:pPr>
              <w:jc w:val="right"/>
              <w:rPr>
                <w:rFonts w:cs="Calibri"/>
                <w:color w:val="000000"/>
                <w:sz w:val="15"/>
                <w:szCs w:val="15"/>
              </w:rPr>
            </w:pPr>
            <w:r w:rsidRPr="00615E45">
              <w:rPr>
                <w:color w:val="000000"/>
                <w:sz w:val="15"/>
              </w:rPr>
              <w:t>5.5</w:t>
            </w:r>
          </w:p>
        </w:tc>
        <w:tc>
          <w:tcPr>
            <w:tcW w:w="423" w:type="pct"/>
            <w:noWrap/>
            <w:hideMark/>
          </w:tcPr>
          <w:p w14:paraId="1719D3F7" w14:textId="77777777" w:rsidR="00EB7374" w:rsidRPr="00615E45" w:rsidRDefault="00EB7374" w:rsidP="00C700EB">
            <w:pPr>
              <w:jc w:val="right"/>
              <w:rPr>
                <w:rFonts w:cs="Calibri"/>
                <w:color w:val="000000"/>
                <w:sz w:val="15"/>
                <w:szCs w:val="15"/>
              </w:rPr>
            </w:pPr>
            <w:r w:rsidRPr="00615E45">
              <w:rPr>
                <w:color w:val="000000"/>
                <w:sz w:val="15"/>
              </w:rPr>
              <w:t>4.1</w:t>
            </w:r>
          </w:p>
        </w:tc>
        <w:tc>
          <w:tcPr>
            <w:tcW w:w="423" w:type="pct"/>
            <w:noWrap/>
            <w:hideMark/>
          </w:tcPr>
          <w:p w14:paraId="54E57642" w14:textId="77777777" w:rsidR="00EB7374" w:rsidRPr="00615E45" w:rsidRDefault="00EB7374" w:rsidP="00C700EB">
            <w:pPr>
              <w:jc w:val="right"/>
              <w:rPr>
                <w:rFonts w:cs="Calibri"/>
                <w:color w:val="000000"/>
                <w:sz w:val="15"/>
                <w:szCs w:val="15"/>
              </w:rPr>
            </w:pPr>
            <w:r w:rsidRPr="00615E45">
              <w:rPr>
                <w:color w:val="000000"/>
                <w:sz w:val="15"/>
              </w:rPr>
              <w:t>2.8</w:t>
            </w:r>
          </w:p>
        </w:tc>
        <w:tc>
          <w:tcPr>
            <w:tcW w:w="420" w:type="pct"/>
            <w:noWrap/>
            <w:hideMark/>
          </w:tcPr>
          <w:p w14:paraId="01F69F6B" w14:textId="77777777" w:rsidR="00EB7374" w:rsidRPr="00615E45" w:rsidRDefault="00EB7374" w:rsidP="00C700EB">
            <w:pPr>
              <w:jc w:val="right"/>
              <w:rPr>
                <w:rFonts w:cs="Calibri"/>
                <w:color w:val="000000"/>
                <w:sz w:val="15"/>
                <w:szCs w:val="15"/>
              </w:rPr>
            </w:pPr>
            <w:r w:rsidRPr="00615E45">
              <w:rPr>
                <w:color w:val="000000"/>
                <w:sz w:val="15"/>
              </w:rPr>
              <w:t>2.6</w:t>
            </w:r>
          </w:p>
        </w:tc>
      </w:tr>
      <w:tr w:rsidR="00EB7374" w:rsidRPr="00615E45" w14:paraId="044A6668" w14:textId="77777777" w:rsidTr="00C700EB">
        <w:trPr>
          <w:cnfStyle w:val="000000010000" w:firstRow="0" w:lastRow="0" w:firstColumn="0" w:lastColumn="0" w:oddVBand="0" w:evenVBand="0" w:oddHBand="0" w:evenHBand="1" w:firstRowFirstColumn="0" w:firstRowLastColumn="0" w:lastRowFirstColumn="0" w:lastRowLastColumn="0"/>
          <w:cantSplit/>
        </w:trPr>
        <w:tc>
          <w:tcPr>
            <w:tcW w:w="2041" w:type="pct"/>
            <w:noWrap/>
            <w:hideMark/>
          </w:tcPr>
          <w:p w14:paraId="74A10BB9" w14:textId="77777777" w:rsidR="00EB7374" w:rsidRPr="00615E45" w:rsidRDefault="00EB7374" w:rsidP="00C700EB">
            <w:pPr>
              <w:ind w:left="340"/>
              <w:jc w:val="left"/>
              <w:rPr>
                <w:rFonts w:cs="Calibri"/>
                <w:color w:val="000000"/>
                <w:sz w:val="15"/>
                <w:szCs w:val="15"/>
              </w:rPr>
            </w:pPr>
            <w:r w:rsidRPr="00615E45">
              <w:rPr>
                <w:color w:val="000000"/>
                <w:sz w:val="15"/>
              </w:rPr>
              <w:t>Crop farming</w:t>
            </w:r>
          </w:p>
        </w:tc>
        <w:tc>
          <w:tcPr>
            <w:tcW w:w="423" w:type="pct"/>
            <w:noWrap/>
            <w:hideMark/>
          </w:tcPr>
          <w:p w14:paraId="614BAF6B" w14:textId="77777777" w:rsidR="00EB7374" w:rsidRPr="00615E45" w:rsidRDefault="00EB7374" w:rsidP="00C700EB">
            <w:pPr>
              <w:jc w:val="right"/>
              <w:rPr>
                <w:rFonts w:cs="Calibri"/>
                <w:color w:val="000000"/>
                <w:sz w:val="15"/>
                <w:szCs w:val="15"/>
              </w:rPr>
            </w:pPr>
            <w:r w:rsidRPr="00615E45">
              <w:rPr>
                <w:color w:val="000000"/>
                <w:sz w:val="15"/>
              </w:rPr>
              <w:t>2.1</w:t>
            </w:r>
          </w:p>
        </w:tc>
        <w:tc>
          <w:tcPr>
            <w:tcW w:w="423" w:type="pct"/>
            <w:noWrap/>
            <w:hideMark/>
          </w:tcPr>
          <w:p w14:paraId="2F957569" w14:textId="77777777" w:rsidR="00EB7374" w:rsidRPr="00615E45" w:rsidRDefault="00EB7374" w:rsidP="00C700EB">
            <w:pPr>
              <w:jc w:val="right"/>
              <w:rPr>
                <w:rFonts w:cs="Calibri"/>
                <w:color w:val="000000"/>
                <w:sz w:val="15"/>
                <w:szCs w:val="15"/>
              </w:rPr>
            </w:pPr>
            <w:r w:rsidRPr="00615E45">
              <w:rPr>
                <w:color w:val="000000"/>
                <w:sz w:val="15"/>
              </w:rPr>
              <w:t>6.4</w:t>
            </w:r>
          </w:p>
        </w:tc>
        <w:tc>
          <w:tcPr>
            <w:tcW w:w="423" w:type="pct"/>
            <w:noWrap/>
            <w:hideMark/>
          </w:tcPr>
          <w:p w14:paraId="13C6194F" w14:textId="77777777" w:rsidR="00EB7374" w:rsidRPr="00615E45" w:rsidRDefault="00EB7374" w:rsidP="00C700EB">
            <w:pPr>
              <w:jc w:val="right"/>
              <w:rPr>
                <w:rFonts w:cs="Calibri"/>
                <w:color w:val="000000"/>
                <w:sz w:val="15"/>
                <w:szCs w:val="15"/>
              </w:rPr>
            </w:pPr>
            <w:r w:rsidRPr="00615E45">
              <w:rPr>
                <w:color w:val="000000"/>
                <w:sz w:val="15"/>
              </w:rPr>
              <w:t>5.9</w:t>
            </w:r>
          </w:p>
        </w:tc>
        <w:tc>
          <w:tcPr>
            <w:tcW w:w="423" w:type="pct"/>
            <w:noWrap/>
            <w:hideMark/>
          </w:tcPr>
          <w:p w14:paraId="31C5AF36" w14:textId="77777777" w:rsidR="00EB7374" w:rsidRPr="00615E45" w:rsidRDefault="00EB7374" w:rsidP="00C700EB">
            <w:pPr>
              <w:jc w:val="right"/>
              <w:rPr>
                <w:rFonts w:cs="Calibri"/>
                <w:color w:val="000000"/>
                <w:sz w:val="15"/>
                <w:szCs w:val="15"/>
              </w:rPr>
            </w:pPr>
            <w:r w:rsidRPr="00615E45">
              <w:rPr>
                <w:color w:val="000000"/>
                <w:sz w:val="15"/>
              </w:rPr>
              <w:t>5.2</w:t>
            </w:r>
          </w:p>
        </w:tc>
        <w:tc>
          <w:tcPr>
            <w:tcW w:w="423" w:type="pct"/>
            <w:noWrap/>
            <w:hideMark/>
          </w:tcPr>
          <w:p w14:paraId="07DF7759" w14:textId="77777777" w:rsidR="00EB7374" w:rsidRPr="00615E45" w:rsidRDefault="00EB7374" w:rsidP="00C700EB">
            <w:pPr>
              <w:jc w:val="right"/>
              <w:rPr>
                <w:rFonts w:cs="Calibri"/>
                <w:color w:val="000000"/>
                <w:sz w:val="15"/>
                <w:szCs w:val="15"/>
              </w:rPr>
            </w:pPr>
            <w:r w:rsidRPr="00615E45">
              <w:rPr>
                <w:color w:val="000000"/>
                <w:sz w:val="15"/>
              </w:rPr>
              <w:t>4.4</w:t>
            </w:r>
          </w:p>
        </w:tc>
        <w:tc>
          <w:tcPr>
            <w:tcW w:w="423" w:type="pct"/>
            <w:noWrap/>
            <w:hideMark/>
          </w:tcPr>
          <w:p w14:paraId="22F244CF" w14:textId="77777777" w:rsidR="00EB7374" w:rsidRPr="00615E45" w:rsidRDefault="00EB7374" w:rsidP="00C700EB">
            <w:pPr>
              <w:jc w:val="right"/>
              <w:rPr>
                <w:rFonts w:cs="Calibri"/>
                <w:color w:val="000000"/>
                <w:sz w:val="15"/>
                <w:szCs w:val="15"/>
              </w:rPr>
            </w:pPr>
            <w:r w:rsidRPr="00615E45">
              <w:rPr>
                <w:color w:val="000000"/>
                <w:sz w:val="15"/>
              </w:rPr>
              <w:t>3.7</w:t>
            </w:r>
          </w:p>
        </w:tc>
        <w:tc>
          <w:tcPr>
            <w:tcW w:w="420" w:type="pct"/>
            <w:noWrap/>
            <w:hideMark/>
          </w:tcPr>
          <w:p w14:paraId="43468ADF" w14:textId="77777777" w:rsidR="00EB7374" w:rsidRPr="00615E45" w:rsidRDefault="00EB7374" w:rsidP="00C700EB">
            <w:pPr>
              <w:jc w:val="right"/>
              <w:rPr>
                <w:rFonts w:cs="Calibri"/>
                <w:color w:val="000000"/>
                <w:sz w:val="15"/>
                <w:szCs w:val="15"/>
              </w:rPr>
            </w:pPr>
            <w:r w:rsidRPr="00615E45">
              <w:rPr>
                <w:color w:val="000000"/>
                <w:sz w:val="15"/>
              </w:rPr>
              <w:t>2.9</w:t>
            </w:r>
          </w:p>
        </w:tc>
      </w:tr>
      <w:tr w:rsidR="00EB7374" w:rsidRPr="00615E45" w14:paraId="3BDC09A3" w14:textId="77777777" w:rsidTr="00C700EB">
        <w:trPr>
          <w:cantSplit/>
        </w:trPr>
        <w:tc>
          <w:tcPr>
            <w:tcW w:w="2041" w:type="pct"/>
            <w:noWrap/>
            <w:hideMark/>
          </w:tcPr>
          <w:p w14:paraId="35474BA5" w14:textId="77777777" w:rsidR="00EB7374" w:rsidRPr="00615E45" w:rsidRDefault="00EB7374" w:rsidP="00C700EB">
            <w:pPr>
              <w:ind w:left="340"/>
              <w:jc w:val="left"/>
              <w:rPr>
                <w:rFonts w:cs="Calibri"/>
                <w:color w:val="000000"/>
                <w:sz w:val="15"/>
                <w:szCs w:val="15"/>
              </w:rPr>
            </w:pPr>
            <w:r w:rsidRPr="00615E45">
              <w:rPr>
                <w:color w:val="000000"/>
                <w:sz w:val="15"/>
              </w:rPr>
              <w:t>Livestock, forestry and fisheries</w:t>
            </w:r>
          </w:p>
        </w:tc>
        <w:tc>
          <w:tcPr>
            <w:tcW w:w="423" w:type="pct"/>
            <w:noWrap/>
            <w:hideMark/>
          </w:tcPr>
          <w:p w14:paraId="0B2DC4B3" w14:textId="77777777" w:rsidR="00EB7374" w:rsidRPr="00615E45" w:rsidRDefault="00EB7374" w:rsidP="00C700EB">
            <w:pPr>
              <w:jc w:val="right"/>
              <w:rPr>
                <w:rFonts w:cs="Calibri"/>
                <w:color w:val="000000"/>
                <w:sz w:val="15"/>
                <w:szCs w:val="15"/>
              </w:rPr>
            </w:pPr>
            <w:r w:rsidRPr="00615E45">
              <w:rPr>
                <w:color w:val="000000"/>
                <w:sz w:val="15"/>
              </w:rPr>
              <w:t>2.9</w:t>
            </w:r>
          </w:p>
        </w:tc>
        <w:tc>
          <w:tcPr>
            <w:tcW w:w="423" w:type="pct"/>
            <w:noWrap/>
            <w:hideMark/>
          </w:tcPr>
          <w:p w14:paraId="75DFACA3" w14:textId="77777777" w:rsidR="00EB7374" w:rsidRPr="00615E45" w:rsidRDefault="00EB7374" w:rsidP="00C700EB">
            <w:pPr>
              <w:jc w:val="right"/>
              <w:rPr>
                <w:rFonts w:cs="Calibri"/>
                <w:color w:val="000000"/>
                <w:sz w:val="15"/>
                <w:szCs w:val="15"/>
              </w:rPr>
            </w:pPr>
            <w:r w:rsidRPr="00615E45">
              <w:rPr>
                <w:color w:val="000000"/>
                <w:sz w:val="15"/>
              </w:rPr>
              <w:t>4.3</w:t>
            </w:r>
          </w:p>
        </w:tc>
        <w:tc>
          <w:tcPr>
            <w:tcW w:w="423" w:type="pct"/>
            <w:noWrap/>
            <w:hideMark/>
          </w:tcPr>
          <w:p w14:paraId="20EEF076" w14:textId="77777777" w:rsidR="00EB7374" w:rsidRPr="00615E45" w:rsidRDefault="00EB7374" w:rsidP="00C700EB">
            <w:pPr>
              <w:jc w:val="right"/>
              <w:rPr>
                <w:rFonts w:cs="Calibri"/>
                <w:color w:val="000000"/>
                <w:sz w:val="15"/>
                <w:szCs w:val="15"/>
              </w:rPr>
            </w:pPr>
            <w:r w:rsidRPr="00615E45">
              <w:rPr>
                <w:color w:val="000000"/>
                <w:sz w:val="15"/>
              </w:rPr>
              <w:t>4.8</w:t>
            </w:r>
          </w:p>
        </w:tc>
        <w:tc>
          <w:tcPr>
            <w:tcW w:w="423" w:type="pct"/>
            <w:noWrap/>
            <w:hideMark/>
          </w:tcPr>
          <w:p w14:paraId="098BB377" w14:textId="77777777" w:rsidR="00EB7374" w:rsidRPr="00615E45" w:rsidRDefault="00EB7374" w:rsidP="00C700EB">
            <w:pPr>
              <w:jc w:val="right"/>
              <w:rPr>
                <w:rFonts w:cs="Calibri"/>
                <w:color w:val="000000"/>
                <w:sz w:val="15"/>
                <w:szCs w:val="15"/>
              </w:rPr>
            </w:pPr>
            <w:r w:rsidRPr="00615E45">
              <w:rPr>
                <w:color w:val="000000"/>
                <w:sz w:val="15"/>
              </w:rPr>
              <w:t>6.1</w:t>
            </w:r>
          </w:p>
        </w:tc>
        <w:tc>
          <w:tcPr>
            <w:tcW w:w="423" w:type="pct"/>
            <w:noWrap/>
            <w:hideMark/>
          </w:tcPr>
          <w:p w14:paraId="4F70927A" w14:textId="77777777" w:rsidR="00EB7374" w:rsidRPr="00615E45" w:rsidRDefault="00EB7374" w:rsidP="00C700EB">
            <w:pPr>
              <w:jc w:val="right"/>
              <w:rPr>
                <w:rFonts w:cs="Calibri"/>
                <w:color w:val="000000"/>
                <w:sz w:val="15"/>
                <w:szCs w:val="15"/>
              </w:rPr>
            </w:pPr>
            <w:r w:rsidRPr="00615E45">
              <w:rPr>
                <w:color w:val="000000"/>
                <w:sz w:val="15"/>
              </w:rPr>
              <w:t>3.5</w:t>
            </w:r>
          </w:p>
        </w:tc>
        <w:tc>
          <w:tcPr>
            <w:tcW w:w="423" w:type="pct"/>
            <w:noWrap/>
            <w:hideMark/>
          </w:tcPr>
          <w:p w14:paraId="2CB03FA4" w14:textId="77777777" w:rsidR="00EB7374" w:rsidRPr="00615E45" w:rsidRDefault="00EB7374" w:rsidP="00C700EB">
            <w:pPr>
              <w:jc w:val="right"/>
              <w:rPr>
                <w:rFonts w:cs="Calibri"/>
                <w:color w:val="000000"/>
                <w:sz w:val="15"/>
                <w:szCs w:val="15"/>
              </w:rPr>
            </w:pPr>
            <w:r w:rsidRPr="00615E45">
              <w:rPr>
                <w:color w:val="000000"/>
                <w:sz w:val="15"/>
              </w:rPr>
              <w:t>-0.2</w:t>
            </w:r>
          </w:p>
        </w:tc>
        <w:tc>
          <w:tcPr>
            <w:tcW w:w="420" w:type="pct"/>
            <w:noWrap/>
            <w:hideMark/>
          </w:tcPr>
          <w:p w14:paraId="008650F2" w14:textId="77777777" w:rsidR="00EB7374" w:rsidRPr="00615E45" w:rsidRDefault="00EB7374" w:rsidP="00C700EB">
            <w:pPr>
              <w:jc w:val="right"/>
              <w:rPr>
                <w:rFonts w:cs="Calibri"/>
                <w:color w:val="000000"/>
                <w:sz w:val="15"/>
                <w:szCs w:val="15"/>
              </w:rPr>
            </w:pPr>
            <w:r w:rsidRPr="00615E45">
              <w:rPr>
                <w:color w:val="000000"/>
                <w:sz w:val="15"/>
              </w:rPr>
              <w:t>1.1</w:t>
            </w:r>
          </w:p>
        </w:tc>
      </w:tr>
      <w:tr w:rsidR="00EB7374" w:rsidRPr="00615E45" w14:paraId="3D5DA027" w14:textId="77777777" w:rsidTr="00C700EB">
        <w:trPr>
          <w:cnfStyle w:val="000000010000" w:firstRow="0" w:lastRow="0" w:firstColumn="0" w:lastColumn="0" w:oddVBand="0" w:evenVBand="0" w:oddHBand="0" w:evenHBand="1" w:firstRowFirstColumn="0" w:firstRowLastColumn="0" w:lastRowFirstColumn="0" w:lastRowLastColumn="0"/>
          <w:cantSplit/>
        </w:trPr>
        <w:tc>
          <w:tcPr>
            <w:tcW w:w="2041" w:type="pct"/>
            <w:noWrap/>
            <w:hideMark/>
          </w:tcPr>
          <w:p w14:paraId="036A9520" w14:textId="77777777" w:rsidR="00EB7374" w:rsidRPr="00615E45" w:rsidRDefault="00EB7374" w:rsidP="00C700EB">
            <w:pPr>
              <w:jc w:val="left"/>
              <w:rPr>
                <w:rFonts w:cs="Calibri"/>
                <w:b/>
                <w:bCs/>
                <w:color w:val="000000"/>
                <w:sz w:val="15"/>
                <w:szCs w:val="15"/>
              </w:rPr>
            </w:pPr>
            <w:r w:rsidRPr="00615E45">
              <w:rPr>
                <w:b/>
                <w:color w:val="000000"/>
                <w:sz w:val="15"/>
              </w:rPr>
              <w:t>Employment (% of total employed population)</w:t>
            </w:r>
          </w:p>
        </w:tc>
        <w:tc>
          <w:tcPr>
            <w:tcW w:w="423" w:type="pct"/>
            <w:noWrap/>
            <w:hideMark/>
          </w:tcPr>
          <w:p w14:paraId="2AE7A293" w14:textId="77777777" w:rsidR="00EB7374" w:rsidRPr="00615E45" w:rsidRDefault="00EB7374" w:rsidP="00C700EB">
            <w:pPr>
              <w:rPr>
                <w:rFonts w:cs="Calibri"/>
                <w:b/>
                <w:bCs/>
                <w:color w:val="000000"/>
                <w:sz w:val="15"/>
                <w:szCs w:val="15"/>
              </w:rPr>
            </w:pPr>
          </w:p>
        </w:tc>
        <w:tc>
          <w:tcPr>
            <w:tcW w:w="423" w:type="pct"/>
            <w:noWrap/>
            <w:hideMark/>
          </w:tcPr>
          <w:p w14:paraId="1354B2DA" w14:textId="77777777" w:rsidR="00EB7374" w:rsidRPr="00615E45" w:rsidRDefault="00EB7374" w:rsidP="00C700EB">
            <w:pPr>
              <w:rPr>
                <w:sz w:val="15"/>
                <w:szCs w:val="15"/>
              </w:rPr>
            </w:pPr>
          </w:p>
        </w:tc>
        <w:tc>
          <w:tcPr>
            <w:tcW w:w="423" w:type="pct"/>
            <w:noWrap/>
            <w:hideMark/>
          </w:tcPr>
          <w:p w14:paraId="335E19AE" w14:textId="77777777" w:rsidR="00EB7374" w:rsidRPr="00615E45" w:rsidRDefault="00EB7374" w:rsidP="00C700EB">
            <w:pPr>
              <w:rPr>
                <w:sz w:val="15"/>
                <w:szCs w:val="15"/>
              </w:rPr>
            </w:pPr>
          </w:p>
        </w:tc>
        <w:tc>
          <w:tcPr>
            <w:tcW w:w="423" w:type="pct"/>
            <w:noWrap/>
            <w:hideMark/>
          </w:tcPr>
          <w:p w14:paraId="3C0C02CD" w14:textId="77777777" w:rsidR="00EB7374" w:rsidRPr="00615E45" w:rsidRDefault="00EB7374" w:rsidP="00C700EB">
            <w:pPr>
              <w:rPr>
                <w:sz w:val="15"/>
                <w:szCs w:val="15"/>
              </w:rPr>
            </w:pPr>
          </w:p>
        </w:tc>
        <w:tc>
          <w:tcPr>
            <w:tcW w:w="423" w:type="pct"/>
            <w:noWrap/>
            <w:hideMark/>
          </w:tcPr>
          <w:p w14:paraId="33D43D1A" w14:textId="77777777" w:rsidR="00EB7374" w:rsidRPr="00615E45" w:rsidRDefault="00EB7374" w:rsidP="00C700EB">
            <w:pPr>
              <w:rPr>
                <w:sz w:val="15"/>
                <w:szCs w:val="15"/>
              </w:rPr>
            </w:pPr>
          </w:p>
        </w:tc>
        <w:tc>
          <w:tcPr>
            <w:tcW w:w="423" w:type="pct"/>
            <w:noWrap/>
            <w:hideMark/>
          </w:tcPr>
          <w:p w14:paraId="7038E4FC" w14:textId="77777777" w:rsidR="00EB7374" w:rsidRPr="00615E45" w:rsidRDefault="00EB7374" w:rsidP="00C700EB">
            <w:pPr>
              <w:rPr>
                <w:sz w:val="15"/>
                <w:szCs w:val="15"/>
              </w:rPr>
            </w:pPr>
          </w:p>
        </w:tc>
        <w:tc>
          <w:tcPr>
            <w:tcW w:w="420" w:type="pct"/>
            <w:noWrap/>
            <w:hideMark/>
          </w:tcPr>
          <w:p w14:paraId="51B58FE2" w14:textId="77777777" w:rsidR="00EB7374" w:rsidRPr="00615E45" w:rsidRDefault="00EB7374" w:rsidP="00C700EB">
            <w:pPr>
              <w:rPr>
                <w:sz w:val="15"/>
                <w:szCs w:val="15"/>
              </w:rPr>
            </w:pPr>
          </w:p>
        </w:tc>
      </w:tr>
      <w:tr w:rsidR="00EB7374" w:rsidRPr="00615E45" w14:paraId="4CD1DFE4" w14:textId="77777777" w:rsidTr="00C700EB">
        <w:trPr>
          <w:cantSplit/>
        </w:trPr>
        <w:tc>
          <w:tcPr>
            <w:tcW w:w="2041" w:type="pct"/>
            <w:noWrap/>
            <w:hideMark/>
          </w:tcPr>
          <w:p w14:paraId="4BD5C3D8" w14:textId="77777777" w:rsidR="00EB7374" w:rsidRPr="00615E45" w:rsidRDefault="00EB7374" w:rsidP="00C700EB">
            <w:pPr>
              <w:ind w:left="170"/>
              <w:jc w:val="left"/>
              <w:rPr>
                <w:rFonts w:cs="Calibri"/>
                <w:color w:val="000000"/>
                <w:sz w:val="15"/>
                <w:szCs w:val="15"/>
              </w:rPr>
            </w:pPr>
            <w:r>
              <w:rPr>
                <w:color w:val="000000"/>
                <w:sz w:val="15"/>
              </w:rPr>
              <w:t>Crop farming</w:t>
            </w:r>
            <w:r w:rsidRPr="00615E45">
              <w:rPr>
                <w:color w:val="000000"/>
                <w:sz w:val="15"/>
              </w:rPr>
              <w:t xml:space="preserve"> and livestock</w:t>
            </w:r>
          </w:p>
        </w:tc>
        <w:tc>
          <w:tcPr>
            <w:tcW w:w="423" w:type="pct"/>
            <w:noWrap/>
            <w:hideMark/>
          </w:tcPr>
          <w:p w14:paraId="62C720D7" w14:textId="77777777" w:rsidR="00EB7374" w:rsidRPr="00615E45" w:rsidRDefault="00EB7374" w:rsidP="00C700EB">
            <w:pPr>
              <w:jc w:val="right"/>
              <w:rPr>
                <w:rFonts w:cs="Calibri"/>
                <w:color w:val="000000"/>
                <w:sz w:val="15"/>
                <w:szCs w:val="15"/>
              </w:rPr>
            </w:pPr>
            <w:r w:rsidRPr="00615E45">
              <w:rPr>
                <w:color w:val="000000"/>
                <w:sz w:val="15"/>
              </w:rPr>
              <w:t>9.7</w:t>
            </w:r>
          </w:p>
        </w:tc>
        <w:tc>
          <w:tcPr>
            <w:tcW w:w="423" w:type="pct"/>
            <w:noWrap/>
            <w:hideMark/>
          </w:tcPr>
          <w:p w14:paraId="0C43BD1D" w14:textId="77777777" w:rsidR="00EB7374" w:rsidRPr="00615E45" w:rsidRDefault="00EB7374" w:rsidP="00C700EB">
            <w:pPr>
              <w:jc w:val="right"/>
              <w:rPr>
                <w:rFonts w:cs="Calibri"/>
                <w:color w:val="000000"/>
                <w:sz w:val="15"/>
                <w:szCs w:val="15"/>
              </w:rPr>
            </w:pPr>
            <w:r w:rsidRPr="00615E45">
              <w:rPr>
                <w:color w:val="000000"/>
                <w:sz w:val="15"/>
              </w:rPr>
              <w:t>8.9</w:t>
            </w:r>
          </w:p>
        </w:tc>
        <w:tc>
          <w:tcPr>
            <w:tcW w:w="423" w:type="pct"/>
            <w:noWrap/>
            <w:hideMark/>
          </w:tcPr>
          <w:p w14:paraId="1DBAAF52" w14:textId="77777777" w:rsidR="00EB7374" w:rsidRPr="00615E45" w:rsidRDefault="00EB7374" w:rsidP="00C700EB">
            <w:pPr>
              <w:jc w:val="right"/>
              <w:rPr>
                <w:rFonts w:cs="Calibri"/>
                <w:color w:val="000000"/>
                <w:sz w:val="15"/>
                <w:szCs w:val="15"/>
              </w:rPr>
            </w:pPr>
            <w:r w:rsidRPr="00615E45">
              <w:rPr>
                <w:color w:val="000000"/>
                <w:sz w:val="15"/>
              </w:rPr>
              <w:t>9.6</w:t>
            </w:r>
          </w:p>
        </w:tc>
        <w:tc>
          <w:tcPr>
            <w:tcW w:w="423" w:type="pct"/>
            <w:noWrap/>
            <w:hideMark/>
          </w:tcPr>
          <w:p w14:paraId="1DE48F98" w14:textId="77777777" w:rsidR="00EB7374" w:rsidRPr="00615E45" w:rsidRDefault="00EB7374" w:rsidP="00C700EB">
            <w:pPr>
              <w:jc w:val="right"/>
              <w:rPr>
                <w:rFonts w:cs="Calibri"/>
                <w:color w:val="000000"/>
                <w:sz w:val="15"/>
                <w:szCs w:val="15"/>
              </w:rPr>
            </w:pPr>
            <w:r w:rsidRPr="00615E45">
              <w:rPr>
                <w:color w:val="000000"/>
                <w:sz w:val="15"/>
              </w:rPr>
              <w:t>9.3</w:t>
            </w:r>
          </w:p>
        </w:tc>
        <w:tc>
          <w:tcPr>
            <w:tcW w:w="423" w:type="pct"/>
            <w:noWrap/>
            <w:hideMark/>
          </w:tcPr>
          <w:p w14:paraId="64657389" w14:textId="77777777" w:rsidR="00EB7374" w:rsidRPr="00615E45" w:rsidRDefault="00EB7374" w:rsidP="00C700EB">
            <w:pPr>
              <w:jc w:val="right"/>
              <w:rPr>
                <w:rFonts w:cs="Calibri"/>
                <w:color w:val="000000"/>
                <w:sz w:val="15"/>
                <w:szCs w:val="15"/>
              </w:rPr>
            </w:pPr>
            <w:r w:rsidRPr="00615E45">
              <w:rPr>
                <w:color w:val="000000"/>
                <w:sz w:val="15"/>
              </w:rPr>
              <w:t>8.8</w:t>
            </w:r>
          </w:p>
        </w:tc>
        <w:tc>
          <w:tcPr>
            <w:tcW w:w="423" w:type="pct"/>
            <w:noWrap/>
            <w:hideMark/>
          </w:tcPr>
          <w:p w14:paraId="230E4D40" w14:textId="77777777" w:rsidR="00EB7374" w:rsidRPr="00615E45" w:rsidRDefault="00EB7374" w:rsidP="00C700EB">
            <w:pPr>
              <w:jc w:val="right"/>
              <w:rPr>
                <w:rFonts w:cs="Calibri"/>
                <w:color w:val="000000"/>
                <w:sz w:val="15"/>
                <w:szCs w:val="15"/>
              </w:rPr>
            </w:pPr>
            <w:r w:rsidRPr="00615E45">
              <w:rPr>
                <w:color w:val="000000"/>
                <w:sz w:val="15"/>
              </w:rPr>
              <w:t>9.0</w:t>
            </w:r>
          </w:p>
        </w:tc>
        <w:tc>
          <w:tcPr>
            <w:tcW w:w="420" w:type="pct"/>
            <w:noWrap/>
            <w:hideMark/>
          </w:tcPr>
          <w:p w14:paraId="76B65B1A" w14:textId="77777777" w:rsidR="00EB7374" w:rsidRPr="00615E45" w:rsidRDefault="00EB7374" w:rsidP="00C700EB">
            <w:pPr>
              <w:jc w:val="right"/>
              <w:rPr>
                <w:rFonts w:cs="Calibri"/>
                <w:color w:val="000000"/>
                <w:sz w:val="15"/>
                <w:szCs w:val="15"/>
              </w:rPr>
            </w:pPr>
            <w:r w:rsidRPr="00615E45">
              <w:rPr>
                <w:color w:val="000000"/>
                <w:sz w:val="15"/>
              </w:rPr>
              <w:t>8.0</w:t>
            </w:r>
          </w:p>
        </w:tc>
      </w:tr>
      <w:tr w:rsidR="00EB7374" w:rsidRPr="00615E45" w14:paraId="336CE5A3" w14:textId="77777777" w:rsidTr="00C700EB">
        <w:trPr>
          <w:cnfStyle w:val="000000010000" w:firstRow="0" w:lastRow="0" w:firstColumn="0" w:lastColumn="0" w:oddVBand="0" w:evenVBand="0" w:oddHBand="0" w:evenHBand="1" w:firstRowFirstColumn="0" w:firstRowLastColumn="0" w:lastRowFirstColumn="0" w:lastRowLastColumn="0"/>
          <w:cantSplit/>
        </w:trPr>
        <w:tc>
          <w:tcPr>
            <w:tcW w:w="2041" w:type="pct"/>
            <w:noWrap/>
            <w:hideMark/>
          </w:tcPr>
          <w:p w14:paraId="2A8719F4" w14:textId="77777777" w:rsidR="00EB7374" w:rsidRPr="00023BF1" w:rsidRDefault="00EB7374" w:rsidP="00C700EB">
            <w:pPr>
              <w:jc w:val="left"/>
              <w:rPr>
                <w:rFonts w:cs="Calibri"/>
                <w:b/>
                <w:bCs/>
                <w:color w:val="000000"/>
                <w:sz w:val="15"/>
                <w:szCs w:val="15"/>
              </w:rPr>
            </w:pPr>
            <w:r w:rsidRPr="00023BF1">
              <w:rPr>
                <w:b/>
                <w:color w:val="000000"/>
                <w:sz w:val="15"/>
              </w:rPr>
              <w:t>Agricultural sector (WTO definition)</w:t>
            </w:r>
          </w:p>
        </w:tc>
        <w:tc>
          <w:tcPr>
            <w:tcW w:w="423" w:type="pct"/>
            <w:noWrap/>
            <w:hideMark/>
          </w:tcPr>
          <w:p w14:paraId="1BFB5D3D" w14:textId="77777777" w:rsidR="00EB7374" w:rsidRPr="00615E45" w:rsidRDefault="00EB7374" w:rsidP="00C700EB">
            <w:pPr>
              <w:rPr>
                <w:rFonts w:cs="Calibri"/>
                <w:b/>
                <w:bCs/>
                <w:color w:val="000000"/>
                <w:sz w:val="15"/>
                <w:szCs w:val="15"/>
              </w:rPr>
            </w:pPr>
          </w:p>
        </w:tc>
        <w:tc>
          <w:tcPr>
            <w:tcW w:w="423" w:type="pct"/>
            <w:noWrap/>
            <w:hideMark/>
          </w:tcPr>
          <w:p w14:paraId="1534BE76" w14:textId="77777777" w:rsidR="00EB7374" w:rsidRPr="00615E45" w:rsidRDefault="00EB7374" w:rsidP="00C700EB">
            <w:pPr>
              <w:rPr>
                <w:sz w:val="15"/>
                <w:szCs w:val="15"/>
              </w:rPr>
            </w:pPr>
          </w:p>
        </w:tc>
        <w:tc>
          <w:tcPr>
            <w:tcW w:w="423" w:type="pct"/>
            <w:noWrap/>
            <w:hideMark/>
          </w:tcPr>
          <w:p w14:paraId="237B6B6B" w14:textId="77777777" w:rsidR="00EB7374" w:rsidRPr="00615E45" w:rsidRDefault="00EB7374" w:rsidP="00C700EB">
            <w:pPr>
              <w:rPr>
                <w:sz w:val="15"/>
                <w:szCs w:val="15"/>
              </w:rPr>
            </w:pPr>
          </w:p>
        </w:tc>
        <w:tc>
          <w:tcPr>
            <w:tcW w:w="423" w:type="pct"/>
            <w:noWrap/>
            <w:hideMark/>
          </w:tcPr>
          <w:p w14:paraId="50D4A456" w14:textId="77777777" w:rsidR="00EB7374" w:rsidRPr="00615E45" w:rsidRDefault="00EB7374" w:rsidP="00C700EB">
            <w:pPr>
              <w:rPr>
                <w:sz w:val="15"/>
                <w:szCs w:val="15"/>
              </w:rPr>
            </w:pPr>
          </w:p>
        </w:tc>
        <w:tc>
          <w:tcPr>
            <w:tcW w:w="423" w:type="pct"/>
            <w:noWrap/>
            <w:hideMark/>
          </w:tcPr>
          <w:p w14:paraId="08B1677D" w14:textId="77777777" w:rsidR="00EB7374" w:rsidRPr="00615E45" w:rsidRDefault="00EB7374" w:rsidP="00C700EB">
            <w:pPr>
              <w:rPr>
                <w:sz w:val="15"/>
                <w:szCs w:val="15"/>
              </w:rPr>
            </w:pPr>
          </w:p>
        </w:tc>
        <w:tc>
          <w:tcPr>
            <w:tcW w:w="423" w:type="pct"/>
            <w:noWrap/>
            <w:hideMark/>
          </w:tcPr>
          <w:p w14:paraId="18DBDDA3" w14:textId="77777777" w:rsidR="00EB7374" w:rsidRPr="00615E45" w:rsidRDefault="00EB7374" w:rsidP="00C700EB">
            <w:pPr>
              <w:rPr>
                <w:sz w:val="15"/>
                <w:szCs w:val="15"/>
              </w:rPr>
            </w:pPr>
          </w:p>
        </w:tc>
        <w:tc>
          <w:tcPr>
            <w:tcW w:w="420" w:type="pct"/>
            <w:noWrap/>
            <w:hideMark/>
          </w:tcPr>
          <w:p w14:paraId="45D264AC" w14:textId="77777777" w:rsidR="00EB7374" w:rsidRPr="00615E45" w:rsidRDefault="00EB7374" w:rsidP="00C700EB">
            <w:pPr>
              <w:rPr>
                <w:sz w:val="15"/>
                <w:szCs w:val="15"/>
              </w:rPr>
            </w:pPr>
          </w:p>
        </w:tc>
      </w:tr>
      <w:tr w:rsidR="00EB7374" w:rsidRPr="00615E45" w14:paraId="3B001C2E" w14:textId="77777777" w:rsidTr="00C700EB">
        <w:trPr>
          <w:cantSplit/>
        </w:trPr>
        <w:tc>
          <w:tcPr>
            <w:tcW w:w="2041" w:type="pct"/>
            <w:noWrap/>
            <w:hideMark/>
          </w:tcPr>
          <w:p w14:paraId="73B27F2B" w14:textId="77777777" w:rsidR="00EB7374" w:rsidRPr="00023BF1" w:rsidRDefault="00EB7374" w:rsidP="00C700EB">
            <w:pPr>
              <w:jc w:val="left"/>
              <w:rPr>
                <w:rFonts w:cs="Calibri"/>
                <w:b/>
                <w:bCs/>
                <w:color w:val="000000"/>
                <w:sz w:val="15"/>
                <w:szCs w:val="15"/>
              </w:rPr>
            </w:pPr>
            <w:r w:rsidRPr="00023BF1">
              <w:rPr>
                <w:b/>
                <w:color w:val="000000"/>
                <w:sz w:val="15"/>
              </w:rPr>
              <w:t xml:space="preserve">Total </w:t>
            </w:r>
            <w:proofErr w:type="spellStart"/>
            <w:r w:rsidRPr="00023BF1">
              <w:rPr>
                <w:b/>
                <w:color w:val="000000"/>
                <w:sz w:val="15"/>
              </w:rPr>
              <w:t>exports</w:t>
            </w:r>
            <w:r w:rsidRPr="00023BF1">
              <w:rPr>
                <w:b/>
                <w:color w:val="000000"/>
                <w:sz w:val="15"/>
                <w:vertAlign w:val="superscript"/>
              </w:rPr>
              <w:t>a</w:t>
            </w:r>
            <w:proofErr w:type="spellEnd"/>
          </w:p>
        </w:tc>
        <w:tc>
          <w:tcPr>
            <w:tcW w:w="423" w:type="pct"/>
            <w:noWrap/>
            <w:hideMark/>
          </w:tcPr>
          <w:p w14:paraId="21C59679" w14:textId="77777777" w:rsidR="00EB7374" w:rsidRPr="00615E45" w:rsidRDefault="00EB7374" w:rsidP="00C700EB">
            <w:pPr>
              <w:rPr>
                <w:rFonts w:cs="Calibri"/>
                <w:b/>
                <w:bCs/>
                <w:color w:val="000000"/>
                <w:sz w:val="15"/>
                <w:szCs w:val="15"/>
              </w:rPr>
            </w:pPr>
          </w:p>
        </w:tc>
        <w:tc>
          <w:tcPr>
            <w:tcW w:w="423" w:type="pct"/>
            <w:noWrap/>
            <w:hideMark/>
          </w:tcPr>
          <w:p w14:paraId="342A718E" w14:textId="77777777" w:rsidR="00EB7374" w:rsidRPr="00615E45" w:rsidRDefault="00EB7374" w:rsidP="00C700EB">
            <w:pPr>
              <w:rPr>
                <w:sz w:val="15"/>
                <w:szCs w:val="15"/>
              </w:rPr>
            </w:pPr>
          </w:p>
        </w:tc>
        <w:tc>
          <w:tcPr>
            <w:tcW w:w="423" w:type="pct"/>
            <w:noWrap/>
            <w:hideMark/>
          </w:tcPr>
          <w:p w14:paraId="5B532701" w14:textId="77777777" w:rsidR="00EB7374" w:rsidRPr="00615E45" w:rsidRDefault="00EB7374" w:rsidP="00C700EB">
            <w:pPr>
              <w:rPr>
                <w:sz w:val="15"/>
                <w:szCs w:val="15"/>
              </w:rPr>
            </w:pPr>
          </w:p>
        </w:tc>
        <w:tc>
          <w:tcPr>
            <w:tcW w:w="423" w:type="pct"/>
            <w:noWrap/>
            <w:hideMark/>
          </w:tcPr>
          <w:p w14:paraId="200C4A13" w14:textId="77777777" w:rsidR="00EB7374" w:rsidRPr="00615E45" w:rsidRDefault="00EB7374" w:rsidP="00C700EB">
            <w:pPr>
              <w:rPr>
                <w:sz w:val="15"/>
                <w:szCs w:val="15"/>
              </w:rPr>
            </w:pPr>
          </w:p>
        </w:tc>
        <w:tc>
          <w:tcPr>
            <w:tcW w:w="423" w:type="pct"/>
            <w:noWrap/>
            <w:hideMark/>
          </w:tcPr>
          <w:p w14:paraId="12828649" w14:textId="77777777" w:rsidR="00EB7374" w:rsidRPr="00615E45" w:rsidRDefault="00EB7374" w:rsidP="00C700EB">
            <w:pPr>
              <w:rPr>
                <w:sz w:val="15"/>
                <w:szCs w:val="15"/>
              </w:rPr>
            </w:pPr>
          </w:p>
        </w:tc>
        <w:tc>
          <w:tcPr>
            <w:tcW w:w="423" w:type="pct"/>
            <w:noWrap/>
            <w:hideMark/>
          </w:tcPr>
          <w:p w14:paraId="346647A8" w14:textId="77777777" w:rsidR="00EB7374" w:rsidRPr="00615E45" w:rsidRDefault="00EB7374" w:rsidP="00C700EB">
            <w:pPr>
              <w:rPr>
                <w:sz w:val="15"/>
                <w:szCs w:val="15"/>
              </w:rPr>
            </w:pPr>
          </w:p>
        </w:tc>
        <w:tc>
          <w:tcPr>
            <w:tcW w:w="420" w:type="pct"/>
            <w:noWrap/>
            <w:hideMark/>
          </w:tcPr>
          <w:p w14:paraId="52D7C728" w14:textId="77777777" w:rsidR="00EB7374" w:rsidRPr="00615E45" w:rsidRDefault="00EB7374" w:rsidP="00C700EB">
            <w:pPr>
              <w:rPr>
                <w:sz w:val="15"/>
                <w:szCs w:val="15"/>
              </w:rPr>
            </w:pPr>
          </w:p>
        </w:tc>
      </w:tr>
      <w:tr w:rsidR="00EB7374" w:rsidRPr="00615E45" w14:paraId="59BC0BA9" w14:textId="77777777" w:rsidTr="00C700EB">
        <w:trPr>
          <w:cnfStyle w:val="000000010000" w:firstRow="0" w:lastRow="0" w:firstColumn="0" w:lastColumn="0" w:oddVBand="0" w:evenVBand="0" w:oddHBand="0" w:evenHBand="1" w:firstRowFirstColumn="0" w:firstRowLastColumn="0" w:lastRowFirstColumn="0" w:lastRowLastColumn="0"/>
          <w:cantSplit/>
        </w:trPr>
        <w:tc>
          <w:tcPr>
            <w:tcW w:w="2041" w:type="pct"/>
            <w:noWrap/>
            <w:hideMark/>
          </w:tcPr>
          <w:p w14:paraId="0E45D19A" w14:textId="77777777" w:rsidR="00EB7374" w:rsidRPr="00615E45" w:rsidRDefault="00EB7374" w:rsidP="00C700EB">
            <w:pPr>
              <w:jc w:val="left"/>
              <w:rPr>
                <w:rFonts w:cs="Calibri"/>
                <w:color w:val="000000"/>
                <w:sz w:val="15"/>
                <w:szCs w:val="15"/>
              </w:rPr>
            </w:pPr>
            <w:r w:rsidRPr="00615E45">
              <w:rPr>
                <w:color w:val="000000"/>
                <w:sz w:val="15"/>
              </w:rPr>
              <w:t>Value (USD million)</w:t>
            </w:r>
          </w:p>
        </w:tc>
        <w:tc>
          <w:tcPr>
            <w:tcW w:w="423" w:type="pct"/>
            <w:noWrap/>
            <w:hideMark/>
          </w:tcPr>
          <w:p w14:paraId="2786BFF6" w14:textId="77777777" w:rsidR="00EB7374" w:rsidRPr="00615E45" w:rsidRDefault="00EB7374" w:rsidP="00C700EB">
            <w:pPr>
              <w:jc w:val="right"/>
              <w:rPr>
                <w:rFonts w:cs="Calibri"/>
                <w:color w:val="000000"/>
                <w:sz w:val="15"/>
                <w:szCs w:val="15"/>
              </w:rPr>
            </w:pPr>
            <w:r w:rsidRPr="00615E45">
              <w:rPr>
                <w:color w:val="000000"/>
                <w:sz w:val="15"/>
              </w:rPr>
              <w:t>2,254</w:t>
            </w:r>
          </w:p>
        </w:tc>
        <w:tc>
          <w:tcPr>
            <w:tcW w:w="423" w:type="pct"/>
            <w:noWrap/>
            <w:hideMark/>
          </w:tcPr>
          <w:p w14:paraId="777F10FD" w14:textId="77777777" w:rsidR="00EB7374" w:rsidRPr="00615E45" w:rsidRDefault="00EB7374" w:rsidP="00C700EB">
            <w:pPr>
              <w:jc w:val="right"/>
              <w:rPr>
                <w:rFonts w:cs="Calibri"/>
                <w:color w:val="000000"/>
                <w:sz w:val="15"/>
                <w:szCs w:val="15"/>
              </w:rPr>
            </w:pPr>
            <w:r w:rsidRPr="00615E45">
              <w:rPr>
                <w:color w:val="000000"/>
                <w:sz w:val="15"/>
              </w:rPr>
              <w:t>2,419</w:t>
            </w:r>
          </w:p>
        </w:tc>
        <w:tc>
          <w:tcPr>
            <w:tcW w:w="423" w:type="pct"/>
            <w:noWrap/>
            <w:hideMark/>
          </w:tcPr>
          <w:p w14:paraId="60BBA4D5" w14:textId="77777777" w:rsidR="00EB7374" w:rsidRPr="00615E45" w:rsidRDefault="00EB7374" w:rsidP="00C700EB">
            <w:pPr>
              <w:jc w:val="right"/>
              <w:rPr>
                <w:rFonts w:cs="Calibri"/>
                <w:color w:val="000000"/>
                <w:sz w:val="15"/>
                <w:szCs w:val="15"/>
              </w:rPr>
            </w:pPr>
            <w:r w:rsidRPr="00615E45">
              <w:rPr>
                <w:color w:val="000000"/>
                <w:sz w:val="15"/>
              </w:rPr>
              <w:t>2,250</w:t>
            </w:r>
          </w:p>
        </w:tc>
        <w:tc>
          <w:tcPr>
            <w:tcW w:w="423" w:type="pct"/>
            <w:noWrap/>
            <w:hideMark/>
          </w:tcPr>
          <w:p w14:paraId="19AF6103" w14:textId="77777777" w:rsidR="00EB7374" w:rsidRPr="00615E45" w:rsidRDefault="00EB7374" w:rsidP="00C700EB">
            <w:pPr>
              <w:jc w:val="right"/>
              <w:rPr>
                <w:rFonts w:cs="Calibri"/>
                <w:color w:val="000000"/>
                <w:sz w:val="15"/>
                <w:szCs w:val="15"/>
              </w:rPr>
            </w:pPr>
            <w:r w:rsidRPr="00615E45">
              <w:rPr>
                <w:color w:val="000000"/>
                <w:sz w:val="15"/>
              </w:rPr>
              <w:t>2,422</w:t>
            </w:r>
          </w:p>
        </w:tc>
        <w:tc>
          <w:tcPr>
            <w:tcW w:w="423" w:type="pct"/>
            <w:noWrap/>
            <w:hideMark/>
          </w:tcPr>
          <w:p w14:paraId="78297D90" w14:textId="77777777" w:rsidR="00EB7374" w:rsidRPr="00615E45" w:rsidRDefault="00EB7374" w:rsidP="00C700EB">
            <w:pPr>
              <w:jc w:val="right"/>
              <w:rPr>
                <w:rFonts w:cs="Calibri"/>
                <w:color w:val="000000"/>
                <w:sz w:val="15"/>
                <w:szCs w:val="15"/>
              </w:rPr>
            </w:pPr>
            <w:r w:rsidRPr="00615E45">
              <w:rPr>
                <w:color w:val="000000"/>
                <w:sz w:val="15"/>
              </w:rPr>
              <w:t>2,538</w:t>
            </w:r>
          </w:p>
        </w:tc>
        <w:tc>
          <w:tcPr>
            <w:tcW w:w="423" w:type="pct"/>
            <w:noWrap/>
            <w:hideMark/>
          </w:tcPr>
          <w:p w14:paraId="6AC2F678" w14:textId="77777777" w:rsidR="00EB7374" w:rsidRPr="00615E45" w:rsidRDefault="00EB7374" w:rsidP="00C700EB">
            <w:pPr>
              <w:jc w:val="right"/>
              <w:rPr>
                <w:rFonts w:cs="Calibri"/>
                <w:color w:val="000000"/>
                <w:sz w:val="15"/>
                <w:szCs w:val="15"/>
              </w:rPr>
            </w:pPr>
            <w:r w:rsidRPr="00615E45">
              <w:rPr>
                <w:color w:val="000000"/>
                <w:sz w:val="15"/>
              </w:rPr>
              <w:t>2,214</w:t>
            </w:r>
          </w:p>
        </w:tc>
        <w:tc>
          <w:tcPr>
            <w:tcW w:w="420" w:type="pct"/>
            <w:noWrap/>
            <w:hideMark/>
          </w:tcPr>
          <w:p w14:paraId="54764EDB" w14:textId="77777777" w:rsidR="00EB7374" w:rsidRPr="00615E45" w:rsidRDefault="00EB7374" w:rsidP="00C700EB">
            <w:pPr>
              <w:jc w:val="right"/>
              <w:rPr>
                <w:rFonts w:cs="Calibri"/>
                <w:color w:val="000000"/>
                <w:sz w:val="15"/>
                <w:szCs w:val="15"/>
              </w:rPr>
            </w:pPr>
            <w:r w:rsidRPr="00615E45">
              <w:rPr>
                <w:color w:val="000000"/>
                <w:sz w:val="15"/>
              </w:rPr>
              <w:t>2,703</w:t>
            </w:r>
          </w:p>
        </w:tc>
      </w:tr>
      <w:tr w:rsidR="00EB7374" w:rsidRPr="00615E45" w14:paraId="60B2FD1E" w14:textId="77777777" w:rsidTr="00C700EB">
        <w:trPr>
          <w:cantSplit/>
        </w:trPr>
        <w:tc>
          <w:tcPr>
            <w:tcW w:w="2041" w:type="pct"/>
            <w:noWrap/>
            <w:hideMark/>
          </w:tcPr>
          <w:p w14:paraId="1E184603" w14:textId="77777777" w:rsidR="00EB7374" w:rsidRPr="00615E45" w:rsidRDefault="00EB7374" w:rsidP="00C700EB">
            <w:pPr>
              <w:jc w:val="left"/>
              <w:rPr>
                <w:rFonts w:cs="Calibri"/>
                <w:color w:val="000000"/>
                <w:sz w:val="15"/>
                <w:szCs w:val="15"/>
              </w:rPr>
            </w:pPr>
            <w:r w:rsidRPr="00615E45">
              <w:rPr>
                <w:color w:val="000000"/>
                <w:sz w:val="15"/>
              </w:rPr>
              <w:t>Share of total exports (%)</w:t>
            </w:r>
          </w:p>
        </w:tc>
        <w:tc>
          <w:tcPr>
            <w:tcW w:w="423" w:type="pct"/>
            <w:noWrap/>
            <w:hideMark/>
          </w:tcPr>
          <w:p w14:paraId="24429EFC" w14:textId="77777777" w:rsidR="00EB7374" w:rsidRPr="00615E45" w:rsidRDefault="00EB7374" w:rsidP="00C700EB">
            <w:pPr>
              <w:jc w:val="right"/>
              <w:rPr>
                <w:rFonts w:cs="Calibri"/>
                <w:color w:val="000000"/>
                <w:sz w:val="15"/>
                <w:szCs w:val="15"/>
              </w:rPr>
            </w:pPr>
            <w:r w:rsidRPr="00615E45">
              <w:rPr>
                <w:color w:val="000000"/>
                <w:sz w:val="15"/>
              </w:rPr>
              <w:t>24.0</w:t>
            </w:r>
          </w:p>
        </w:tc>
        <w:tc>
          <w:tcPr>
            <w:tcW w:w="423" w:type="pct"/>
            <w:noWrap/>
            <w:hideMark/>
          </w:tcPr>
          <w:p w14:paraId="2AD9DE5F" w14:textId="77777777" w:rsidR="00EB7374" w:rsidRPr="00615E45" w:rsidRDefault="00EB7374" w:rsidP="00C700EB">
            <w:pPr>
              <w:jc w:val="right"/>
              <w:rPr>
                <w:rFonts w:cs="Calibri"/>
                <w:color w:val="000000"/>
                <w:sz w:val="15"/>
                <w:szCs w:val="15"/>
              </w:rPr>
            </w:pPr>
            <w:r w:rsidRPr="00615E45">
              <w:rPr>
                <w:color w:val="000000"/>
                <w:sz w:val="15"/>
              </w:rPr>
              <w:t>24.7</w:t>
            </w:r>
          </w:p>
        </w:tc>
        <w:tc>
          <w:tcPr>
            <w:tcW w:w="423" w:type="pct"/>
            <w:noWrap/>
            <w:hideMark/>
          </w:tcPr>
          <w:p w14:paraId="0334BE87" w14:textId="77777777" w:rsidR="00EB7374" w:rsidRPr="00615E45" w:rsidRDefault="00EB7374" w:rsidP="00C700EB">
            <w:pPr>
              <w:jc w:val="right"/>
              <w:rPr>
                <w:rFonts w:cs="Calibri"/>
                <w:color w:val="000000"/>
                <w:sz w:val="15"/>
                <w:szCs w:val="15"/>
              </w:rPr>
            </w:pPr>
            <w:r w:rsidRPr="00615E45">
              <w:rPr>
                <w:color w:val="000000"/>
                <w:sz w:val="15"/>
              </w:rPr>
              <w:t>22.0</w:t>
            </w:r>
          </w:p>
        </w:tc>
        <w:tc>
          <w:tcPr>
            <w:tcW w:w="423" w:type="pct"/>
            <w:noWrap/>
            <w:hideMark/>
          </w:tcPr>
          <w:p w14:paraId="197DF69F" w14:textId="77777777" w:rsidR="00EB7374" w:rsidRPr="00615E45" w:rsidRDefault="00EB7374" w:rsidP="00C700EB">
            <w:pPr>
              <w:jc w:val="right"/>
              <w:rPr>
                <w:rFonts w:cs="Calibri"/>
                <w:color w:val="000000"/>
                <w:sz w:val="15"/>
                <w:szCs w:val="15"/>
              </w:rPr>
            </w:pPr>
            <w:r w:rsidRPr="00615E45">
              <w:rPr>
                <w:color w:val="000000"/>
                <w:sz w:val="15"/>
              </w:rPr>
              <w:t>22.5</w:t>
            </w:r>
          </w:p>
        </w:tc>
        <w:tc>
          <w:tcPr>
            <w:tcW w:w="423" w:type="pct"/>
            <w:noWrap/>
            <w:hideMark/>
          </w:tcPr>
          <w:p w14:paraId="106AE05F" w14:textId="77777777" w:rsidR="00EB7374" w:rsidRPr="00615E45" w:rsidRDefault="00EB7374" w:rsidP="00C700EB">
            <w:pPr>
              <w:jc w:val="right"/>
              <w:rPr>
                <w:rFonts w:cs="Calibri"/>
                <w:color w:val="000000"/>
                <w:sz w:val="15"/>
                <w:szCs w:val="15"/>
              </w:rPr>
            </w:pPr>
            <w:r w:rsidRPr="00615E45">
              <w:rPr>
                <w:color w:val="000000"/>
                <w:sz w:val="15"/>
              </w:rPr>
              <w:t>22.5</w:t>
            </w:r>
          </w:p>
        </w:tc>
        <w:tc>
          <w:tcPr>
            <w:tcW w:w="423" w:type="pct"/>
            <w:noWrap/>
            <w:hideMark/>
          </w:tcPr>
          <w:p w14:paraId="6F2E663D" w14:textId="77777777" w:rsidR="00EB7374" w:rsidRPr="00615E45" w:rsidRDefault="00EB7374" w:rsidP="00C700EB">
            <w:pPr>
              <w:jc w:val="right"/>
              <w:rPr>
                <w:rFonts w:cs="Calibri"/>
                <w:color w:val="000000"/>
                <w:sz w:val="15"/>
                <w:szCs w:val="15"/>
              </w:rPr>
            </w:pPr>
            <w:r w:rsidRPr="00615E45">
              <w:rPr>
                <w:color w:val="000000"/>
                <w:sz w:val="15"/>
              </w:rPr>
              <w:t>22.5</w:t>
            </w:r>
          </w:p>
        </w:tc>
        <w:tc>
          <w:tcPr>
            <w:tcW w:w="420" w:type="pct"/>
            <w:noWrap/>
            <w:hideMark/>
          </w:tcPr>
          <w:p w14:paraId="6215282C" w14:textId="77777777" w:rsidR="00EB7374" w:rsidRPr="00615E45" w:rsidRDefault="00EB7374" w:rsidP="00C700EB">
            <w:pPr>
              <w:jc w:val="right"/>
              <w:rPr>
                <w:rFonts w:cs="Calibri"/>
                <w:color w:val="000000"/>
                <w:sz w:val="15"/>
                <w:szCs w:val="15"/>
              </w:rPr>
            </w:pPr>
            <w:r w:rsidRPr="00615E45">
              <w:rPr>
                <w:color w:val="000000"/>
                <w:sz w:val="15"/>
              </w:rPr>
              <w:t>22.8</w:t>
            </w:r>
          </w:p>
        </w:tc>
      </w:tr>
      <w:tr w:rsidR="00EB7374" w:rsidRPr="00615E45" w14:paraId="6F9094FD" w14:textId="77777777" w:rsidTr="00C700EB">
        <w:trPr>
          <w:cnfStyle w:val="000000010000" w:firstRow="0" w:lastRow="0" w:firstColumn="0" w:lastColumn="0" w:oddVBand="0" w:evenVBand="0" w:oddHBand="0" w:evenHBand="1" w:firstRowFirstColumn="0" w:firstRowLastColumn="0" w:lastRowFirstColumn="0" w:lastRowLastColumn="0"/>
          <w:cantSplit/>
        </w:trPr>
        <w:tc>
          <w:tcPr>
            <w:tcW w:w="2041" w:type="pct"/>
            <w:noWrap/>
            <w:hideMark/>
          </w:tcPr>
          <w:p w14:paraId="4DA55FA2" w14:textId="77777777" w:rsidR="00EB7374" w:rsidRPr="00615E45" w:rsidRDefault="00EB7374" w:rsidP="00C700EB">
            <w:pPr>
              <w:jc w:val="left"/>
              <w:rPr>
                <w:rFonts w:cs="Calibri"/>
                <w:color w:val="000000"/>
                <w:sz w:val="15"/>
                <w:szCs w:val="15"/>
              </w:rPr>
            </w:pPr>
            <w:r w:rsidRPr="00615E45">
              <w:rPr>
                <w:color w:val="000000"/>
                <w:sz w:val="15"/>
              </w:rPr>
              <w:t>Growth rate (%)</w:t>
            </w:r>
          </w:p>
        </w:tc>
        <w:tc>
          <w:tcPr>
            <w:tcW w:w="423" w:type="pct"/>
            <w:noWrap/>
            <w:hideMark/>
          </w:tcPr>
          <w:p w14:paraId="5C52ADBB" w14:textId="77777777" w:rsidR="00EB7374" w:rsidRPr="00615E45" w:rsidRDefault="00EB7374" w:rsidP="00C700EB">
            <w:pPr>
              <w:jc w:val="right"/>
              <w:rPr>
                <w:rFonts w:cs="Calibri"/>
                <w:color w:val="000000"/>
                <w:sz w:val="15"/>
                <w:szCs w:val="15"/>
              </w:rPr>
            </w:pPr>
            <w:r w:rsidRPr="00615E45">
              <w:rPr>
                <w:color w:val="000000"/>
                <w:sz w:val="15"/>
              </w:rPr>
              <w:t>..</w:t>
            </w:r>
          </w:p>
        </w:tc>
        <w:tc>
          <w:tcPr>
            <w:tcW w:w="423" w:type="pct"/>
            <w:noWrap/>
            <w:hideMark/>
          </w:tcPr>
          <w:p w14:paraId="6ADFBDA4" w14:textId="77777777" w:rsidR="00EB7374" w:rsidRPr="00615E45" w:rsidRDefault="00EB7374" w:rsidP="00C700EB">
            <w:pPr>
              <w:jc w:val="right"/>
              <w:rPr>
                <w:rFonts w:cs="Calibri"/>
                <w:color w:val="000000"/>
                <w:sz w:val="15"/>
                <w:szCs w:val="15"/>
              </w:rPr>
            </w:pPr>
            <w:r w:rsidRPr="00615E45">
              <w:rPr>
                <w:color w:val="000000"/>
                <w:sz w:val="15"/>
              </w:rPr>
              <w:t>7.3</w:t>
            </w:r>
          </w:p>
        </w:tc>
        <w:tc>
          <w:tcPr>
            <w:tcW w:w="423" w:type="pct"/>
            <w:noWrap/>
            <w:hideMark/>
          </w:tcPr>
          <w:p w14:paraId="247B2D33" w14:textId="77777777" w:rsidR="00EB7374" w:rsidRPr="00615E45" w:rsidRDefault="00EB7374" w:rsidP="00C700EB">
            <w:pPr>
              <w:jc w:val="right"/>
              <w:rPr>
                <w:rFonts w:cs="Calibri"/>
                <w:color w:val="000000"/>
                <w:sz w:val="15"/>
                <w:szCs w:val="15"/>
              </w:rPr>
            </w:pPr>
            <w:r w:rsidRPr="00615E45">
              <w:rPr>
                <w:color w:val="000000"/>
                <w:sz w:val="15"/>
              </w:rPr>
              <w:t>-7.0</w:t>
            </w:r>
          </w:p>
        </w:tc>
        <w:tc>
          <w:tcPr>
            <w:tcW w:w="423" w:type="pct"/>
            <w:noWrap/>
            <w:hideMark/>
          </w:tcPr>
          <w:p w14:paraId="2481B14E" w14:textId="77777777" w:rsidR="00EB7374" w:rsidRPr="00615E45" w:rsidRDefault="00EB7374" w:rsidP="00C700EB">
            <w:pPr>
              <w:jc w:val="right"/>
              <w:rPr>
                <w:rFonts w:cs="Calibri"/>
                <w:color w:val="000000"/>
                <w:sz w:val="15"/>
                <w:szCs w:val="15"/>
              </w:rPr>
            </w:pPr>
            <w:r w:rsidRPr="00615E45">
              <w:rPr>
                <w:color w:val="000000"/>
                <w:sz w:val="15"/>
              </w:rPr>
              <w:t>7.7</w:t>
            </w:r>
          </w:p>
        </w:tc>
        <w:tc>
          <w:tcPr>
            <w:tcW w:w="423" w:type="pct"/>
            <w:noWrap/>
            <w:hideMark/>
          </w:tcPr>
          <w:p w14:paraId="1E7BC485" w14:textId="77777777" w:rsidR="00EB7374" w:rsidRPr="00615E45" w:rsidRDefault="00EB7374" w:rsidP="00C700EB">
            <w:pPr>
              <w:jc w:val="right"/>
              <w:rPr>
                <w:rFonts w:cs="Calibri"/>
                <w:color w:val="000000"/>
                <w:sz w:val="15"/>
                <w:szCs w:val="15"/>
              </w:rPr>
            </w:pPr>
            <w:r w:rsidRPr="00615E45">
              <w:rPr>
                <w:color w:val="000000"/>
                <w:sz w:val="15"/>
              </w:rPr>
              <w:t>4.8</w:t>
            </w:r>
          </w:p>
        </w:tc>
        <w:tc>
          <w:tcPr>
            <w:tcW w:w="423" w:type="pct"/>
            <w:noWrap/>
            <w:hideMark/>
          </w:tcPr>
          <w:p w14:paraId="0D2EEB3A" w14:textId="77777777" w:rsidR="00EB7374" w:rsidRPr="00615E45" w:rsidRDefault="00EB7374" w:rsidP="00C700EB">
            <w:pPr>
              <w:jc w:val="right"/>
              <w:rPr>
                <w:rFonts w:cs="Calibri"/>
                <w:color w:val="000000"/>
                <w:sz w:val="15"/>
                <w:szCs w:val="15"/>
              </w:rPr>
            </w:pPr>
            <w:r w:rsidRPr="00615E45">
              <w:rPr>
                <w:color w:val="000000"/>
                <w:sz w:val="15"/>
              </w:rPr>
              <w:t>-12.8</w:t>
            </w:r>
          </w:p>
        </w:tc>
        <w:tc>
          <w:tcPr>
            <w:tcW w:w="420" w:type="pct"/>
            <w:noWrap/>
            <w:hideMark/>
          </w:tcPr>
          <w:p w14:paraId="5C02B96E" w14:textId="77777777" w:rsidR="00EB7374" w:rsidRPr="00615E45" w:rsidRDefault="00EB7374" w:rsidP="00C700EB">
            <w:pPr>
              <w:jc w:val="right"/>
              <w:rPr>
                <w:rFonts w:cs="Calibri"/>
                <w:color w:val="000000"/>
                <w:sz w:val="15"/>
                <w:szCs w:val="15"/>
              </w:rPr>
            </w:pPr>
            <w:r w:rsidRPr="00615E45">
              <w:rPr>
                <w:color w:val="000000"/>
                <w:sz w:val="15"/>
              </w:rPr>
              <w:t>22.1</w:t>
            </w:r>
          </w:p>
        </w:tc>
      </w:tr>
      <w:tr w:rsidR="00EB7374" w:rsidRPr="00615E45" w14:paraId="528ECD46" w14:textId="77777777" w:rsidTr="00C700EB">
        <w:trPr>
          <w:cantSplit/>
        </w:trPr>
        <w:tc>
          <w:tcPr>
            <w:tcW w:w="2041" w:type="pct"/>
            <w:noWrap/>
          </w:tcPr>
          <w:p w14:paraId="18B09A8F" w14:textId="77777777" w:rsidR="00EB7374" w:rsidRPr="00615E45" w:rsidRDefault="00EB7374" w:rsidP="00C700EB">
            <w:pPr>
              <w:jc w:val="left"/>
              <w:rPr>
                <w:rFonts w:cs="Calibri"/>
                <w:color w:val="000000"/>
                <w:sz w:val="15"/>
                <w:szCs w:val="15"/>
              </w:rPr>
            </w:pPr>
            <w:r w:rsidRPr="00615E45">
              <w:rPr>
                <w:color w:val="000000"/>
                <w:sz w:val="15"/>
              </w:rPr>
              <w:t xml:space="preserve">Top </w:t>
            </w:r>
            <w:r>
              <w:rPr>
                <w:color w:val="000000"/>
                <w:sz w:val="15"/>
              </w:rPr>
              <w:t>five</w:t>
            </w:r>
            <w:r w:rsidRPr="00615E45">
              <w:rPr>
                <w:color w:val="000000"/>
                <w:sz w:val="15"/>
              </w:rPr>
              <w:t xml:space="preserve"> products, </w:t>
            </w:r>
            <w:r>
              <w:rPr>
                <w:color w:val="000000"/>
                <w:sz w:val="15"/>
              </w:rPr>
              <w:t>by</w:t>
            </w:r>
            <w:r w:rsidRPr="00615E45">
              <w:rPr>
                <w:color w:val="000000"/>
                <w:sz w:val="15"/>
              </w:rPr>
              <w:t xml:space="preserve"> HS chapter (% of agricultural total)</w:t>
            </w:r>
          </w:p>
        </w:tc>
        <w:tc>
          <w:tcPr>
            <w:tcW w:w="423" w:type="pct"/>
            <w:noWrap/>
          </w:tcPr>
          <w:p w14:paraId="4A26221C" w14:textId="77777777" w:rsidR="00EB7374" w:rsidRPr="00615E45" w:rsidRDefault="00EB7374" w:rsidP="00C700EB">
            <w:pPr>
              <w:jc w:val="right"/>
              <w:rPr>
                <w:rFonts w:cs="Calibri"/>
                <w:color w:val="000000"/>
                <w:sz w:val="15"/>
                <w:szCs w:val="15"/>
              </w:rPr>
            </w:pPr>
          </w:p>
        </w:tc>
        <w:tc>
          <w:tcPr>
            <w:tcW w:w="423" w:type="pct"/>
            <w:noWrap/>
          </w:tcPr>
          <w:p w14:paraId="33F774EC" w14:textId="77777777" w:rsidR="00EB7374" w:rsidRPr="00615E45" w:rsidRDefault="00EB7374" w:rsidP="00C700EB">
            <w:pPr>
              <w:jc w:val="right"/>
              <w:rPr>
                <w:rFonts w:cs="Calibri"/>
                <w:color w:val="000000"/>
                <w:sz w:val="15"/>
                <w:szCs w:val="15"/>
              </w:rPr>
            </w:pPr>
          </w:p>
        </w:tc>
        <w:tc>
          <w:tcPr>
            <w:tcW w:w="423" w:type="pct"/>
            <w:noWrap/>
          </w:tcPr>
          <w:p w14:paraId="374D5907" w14:textId="77777777" w:rsidR="00EB7374" w:rsidRPr="00615E45" w:rsidRDefault="00EB7374" w:rsidP="00C700EB">
            <w:pPr>
              <w:jc w:val="right"/>
              <w:rPr>
                <w:rFonts w:cs="Calibri"/>
                <w:color w:val="000000"/>
                <w:sz w:val="15"/>
                <w:szCs w:val="15"/>
              </w:rPr>
            </w:pPr>
          </w:p>
        </w:tc>
        <w:tc>
          <w:tcPr>
            <w:tcW w:w="423" w:type="pct"/>
            <w:noWrap/>
          </w:tcPr>
          <w:p w14:paraId="2D5D2C79" w14:textId="77777777" w:rsidR="00EB7374" w:rsidRPr="00615E45" w:rsidRDefault="00EB7374" w:rsidP="00C700EB">
            <w:pPr>
              <w:jc w:val="right"/>
              <w:rPr>
                <w:rFonts w:cs="Calibri"/>
                <w:color w:val="000000"/>
                <w:sz w:val="15"/>
                <w:szCs w:val="15"/>
              </w:rPr>
            </w:pPr>
          </w:p>
        </w:tc>
        <w:tc>
          <w:tcPr>
            <w:tcW w:w="423" w:type="pct"/>
            <w:noWrap/>
          </w:tcPr>
          <w:p w14:paraId="6A7FEA02" w14:textId="77777777" w:rsidR="00EB7374" w:rsidRPr="00615E45" w:rsidRDefault="00EB7374" w:rsidP="00C700EB">
            <w:pPr>
              <w:jc w:val="right"/>
              <w:rPr>
                <w:rFonts w:cs="Calibri"/>
                <w:color w:val="000000"/>
                <w:sz w:val="15"/>
                <w:szCs w:val="15"/>
              </w:rPr>
            </w:pPr>
          </w:p>
        </w:tc>
        <w:tc>
          <w:tcPr>
            <w:tcW w:w="423" w:type="pct"/>
            <w:noWrap/>
          </w:tcPr>
          <w:p w14:paraId="48413694" w14:textId="77777777" w:rsidR="00EB7374" w:rsidRPr="00615E45" w:rsidRDefault="00EB7374" w:rsidP="00C700EB">
            <w:pPr>
              <w:jc w:val="right"/>
              <w:rPr>
                <w:rFonts w:cs="Calibri"/>
                <w:color w:val="000000"/>
                <w:sz w:val="15"/>
                <w:szCs w:val="15"/>
              </w:rPr>
            </w:pPr>
          </w:p>
        </w:tc>
        <w:tc>
          <w:tcPr>
            <w:tcW w:w="420" w:type="pct"/>
            <w:noWrap/>
          </w:tcPr>
          <w:p w14:paraId="08D79C2B" w14:textId="77777777" w:rsidR="00EB7374" w:rsidRPr="00615E45" w:rsidRDefault="00EB7374" w:rsidP="00C700EB">
            <w:pPr>
              <w:jc w:val="right"/>
              <w:rPr>
                <w:rFonts w:cs="Calibri"/>
                <w:color w:val="000000"/>
                <w:sz w:val="15"/>
                <w:szCs w:val="15"/>
              </w:rPr>
            </w:pPr>
          </w:p>
        </w:tc>
      </w:tr>
      <w:tr w:rsidR="00EB7374" w:rsidRPr="00615E45" w14:paraId="050A89A4" w14:textId="77777777" w:rsidTr="00C700EB">
        <w:trPr>
          <w:cnfStyle w:val="000000010000" w:firstRow="0" w:lastRow="0" w:firstColumn="0" w:lastColumn="0" w:oddVBand="0" w:evenVBand="0" w:oddHBand="0" w:evenHBand="1" w:firstRowFirstColumn="0" w:firstRowLastColumn="0" w:lastRowFirstColumn="0" w:lastRowLastColumn="0"/>
          <w:cantSplit/>
        </w:trPr>
        <w:tc>
          <w:tcPr>
            <w:tcW w:w="2041" w:type="pct"/>
            <w:noWrap/>
          </w:tcPr>
          <w:p w14:paraId="4B65E459" w14:textId="77777777" w:rsidR="00EB7374" w:rsidRPr="00615E45" w:rsidRDefault="00EB7374" w:rsidP="00C700EB">
            <w:pPr>
              <w:jc w:val="left"/>
              <w:rPr>
                <w:rFonts w:cs="Calibri"/>
                <w:color w:val="000000"/>
                <w:sz w:val="15"/>
                <w:szCs w:val="15"/>
              </w:rPr>
            </w:pPr>
            <w:r w:rsidRPr="00615E45">
              <w:rPr>
                <w:color w:val="000000"/>
                <w:sz w:val="15"/>
              </w:rPr>
              <w:t>24. Tobacco and manufactured tobacco substitutes</w:t>
            </w:r>
          </w:p>
        </w:tc>
        <w:tc>
          <w:tcPr>
            <w:tcW w:w="423" w:type="pct"/>
            <w:noWrap/>
          </w:tcPr>
          <w:p w14:paraId="1EF61615" w14:textId="77777777" w:rsidR="00EB7374" w:rsidRPr="00615E45" w:rsidRDefault="00EB7374" w:rsidP="00C700EB">
            <w:pPr>
              <w:jc w:val="right"/>
              <w:rPr>
                <w:rFonts w:cs="Calibri"/>
                <w:color w:val="000000"/>
                <w:sz w:val="15"/>
                <w:szCs w:val="15"/>
              </w:rPr>
            </w:pPr>
            <w:r w:rsidRPr="00615E45">
              <w:rPr>
                <w:color w:val="000000"/>
                <w:sz w:val="15"/>
              </w:rPr>
              <w:t>31.8</w:t>
            </w:r>
          </w:p>
        </w:tc>
        <w:tc>
          <w:tcPr>
            <w:tcW w:w="423" w:type="pct"/>
            <w:noWrap/>
          </w:tcPr>
          <w:p w14:paraId="61B9DEBF" w14:textId="77777777" w:rsidR="00EB7374" w:rsidRPr="00615E45" w:rsidRDefault="00EB7374" w:rsidP="00C700EB">
            <w:pPr>
              <w:jc w:val="right"/>
              <w:rPr>
                <w:rFonts w:cs="Calibri"/>
                <w:color w:val="000000"/>
                <w:sz w:val="15"/>
                <w:szCs w:val="15"/>
              </w:rPr>
            </w:pPr>
            <w:r w:rsidRPr="00615E45">
              <w:rPr>
                <w:color w:val="000000"/>
                <w:sz w:val="15"/>
              </w:rPr>
              <w:t>31.6</w:t>
            </w:r>
          </w:p>
        </w:tc>
        <w:tc>
          <w:tcPr>
            <w:tcW w:w="423" w:type="pct"/>
            <w:noWrap/>
          </w:tcPr>
          <w:p w14:paraId="32A32B4A" w14:textId="77777777" w:rsidR="00EB7374" w:rsidRPr="00615E45" w:rsidRDefault="00EB7374" w:rsidP="00C700EB">
            <w:pPr>
              <w:jc w:val="right"/>
              <w:rPr>
                <w:rFonts w:cs="Calibri"/>
                <w:color w:val="000000"/>
                <w:sz w:val="15"/>
                <w:szCs w:val="15"/>
              </w:rPr>
            </w:pPr>
            <w:r w:rsidRPr="00615E45">
              <w:rPr>
                <w:color w:val="000000"/>
                <w:sz w:val="15"/>
              </w:rPr>
              <w:t>37.5</w:t>
            </w:r>
          </w:p>
        </w:tc>
        <w:tc>
          <w:tcPr>
            <w:tcW w:w="423" w:type="pct"/>
            <w:noWrap/>
          </w:tcPr>
          <w:p w14:paraId="38C090EC" w14:textId="77777777" w:rsidR="00EB7374" w:rsidRPr="00615E45" w:rsidRDefault="00EB7374" w:rsidP="00C700EB">
            <w:pPr>
              <w:jc w:val="right"/>
              <w:rPr>
                <w:rFonts w:cs="Calibri"/>
                <w:color w:val="000000"/>
                <w:sz w:val="15"/>
                <w:szCs w:val="15"/>
              </w:rPr>
            </w:pPr>
            <w:r w:rsidRPr="00615E45">
              <w:rPr>
                <w:color w:val="000000"/>
                <w:sz w:val="15"/>
              </w:rPr>
              <w:t>36.6</w:t>
            </w:r>
          </w:p>
        </w:tc>
        <w:tc>
          <w:tcPr>
            <w:tcW w:w="423" w:type="pct"/>
            <w:noWrap/>
          </w:tcPr>
          <w:p w14:paraId="4E847BCF" w14:textId="77777777" w:rsidR="00EB7374" w:rsidRPr="00615E45" w:rsidRDefault="00EB7374" w:rsidP="00C700EB">
            <w:pPr>
              <w:jc w:val="right"/>
              <w:rPr>
                <w:rFonts w:cs="Calibri"/>
                <w:color w:val="000000"/>
                <w:sz w:val="15"/>
                <w:szCs w:val="15"/>
              </w:rPr>
            </w:pPr>
            <w:r w:rsidRPr="00615E45">
              <w:rPr>
                <w:color w:val="000000"/>
                <w:sz w:val="15"/>
              </w:rPr>
              <w:t>37.2</w:t>
            </w:r>
          </w:p>
        </w:tc>
        <w:tc>
          <w:tcPr>
            <w:tcW w:w="423" w:type="pct"/>
            <w:noWrap/>
          </w:tcPr>
          <w:p w14:paraId="4B8E9861" w14:textId="77777777" w:rsidR="00EB7374" w:rsidRPr="00615E45" w:rsidRDefault="00EB7374" w:rsidP="00C700EB">
            <w:pPr>
              <w:jc w:val="right"/>
              <w:rPr>
                <w:rFonts w:cs="Calibri"/>
                <w:color w:val="000000"/>
                <w:sz w:val="15"/>
                <w:szCs w:val="15"/>
              </w:rPr>
            </w:pPr>
            <w:r w:rsidRPr="00615E45">
              <w:rPr>
                <w:color w:val="000000"/>
                <w:sz w:val="15"/>
              </w:rPr>
              <w:t>42.3</w:t>
            </w:r>
          </w:p>
        </w:tc>
        <w:tc>
          <w:tcPr>
            <w:tcW w:w="420" w:type="pct"/>
            <w:noWrap/>
          </w:tcPr>
          <w:p w14:paraId="38789575" w14:textId="77777777" w:rsidR="00EB7374" w:rsidRPr="00615E45" w:rsidRDefault="00EB7374" w:rsidP="00C700EB">
            <w:pPr>
              <w:jc w:val="right"/>
              <w:rPr>
                <w:rFonts w:cs="Calibri"/>
                <w:color w:val="000000"/>
                <w:sz w:val="15"/>
                <w:szCs w:val="15"/>
              </w:rPr>
            </w:pPr>
            <w:r w:rsidRPr="00615E45">
              <w:rPr>
                <w:color w:val="000000"/>
                <w:sz w:val="15"/>
              </w:rPr>
              <w:t>45.7</w:t>
            </w:r>
          </w:p>
        </w:tc>
      </w:tr>
      <w:tr w:rsidR="00EB7374" w:rsidRPr="00615E45" w14:paraId="386E9D06" w14:textId="77777777" w:rsidTr="00C700EB">
        <w:trPr>
          <w:cantSplit/>
        </w:trPr>
        <w:tc>
          <w:tcPr>
            <w:tcW w:w="2041" w:type="pct"/>
            <w:noWrap/>
          </w:tcPr>
          <w:p w14:paraId="004F0DC8" w14:textId="77777777" w:rsidR="00EB7374" w:rsidRPr="00615E45" w:rsidRDefault="00EB7374" w:rsidP="00C700EB">
            <w:pPr>
              <w:jc w:val="left"/>
              <w:rPr>
                <w:rFonts w:cs="Calibri"/>
                <w:color w:val="000000"/>
                <w:sz w:val="15"/>
                <w:szCs w:val="15"/>
              </w:rPr>
            </w:pPr>
            <w:r w:rsidRPr="00615E45">
              <w:rPr>
                <w:color w:val="000000"/>
                <w:sz w:val="15"/>
              </w:rPr>
              <w:t>08. Edible fruit and nuts; citrus fruit or melons</w:t>
            </w:r>
          </w:p>
        </w:tc>
        <w:tc>
          <w:tcPr>
            <w:tcW w:w="423" w:type="pct"/>
            <w:noWrap/>
          </w:tcPr>
          <w:p w14:paraId="73D063C8" w14:textId="77777777" w:rsidR="00EB7374" w:rsidRPr="00615E45" w:rsidRDefault="00EB7374" w:rsidP="00C700EB">
            <w:pPr>
              <w:jc w:val="right"/>
              <w:rPr>
                <w:rFonts w:cs="Calibri"/>
                <w:color w:val="000000"/>
                <w:sz w:val="15"/>
                <w:szCs w:val="15"/>
              </w:rPr>
            </w:pPr>
            <w:r w:rsidRPr="00615E45">
              <w:rPr>
                <w:color w:val="000000"/>
                <w:sz w:val="15"/>
              </w:rPr>
              <w:t>16.5</w:t>
            </w:r>
          </w:p>
        </w:tc>
        <w:tc>
          <w:tcPr>
            <w:tcW w:w="423" w:type="pct"/>
            <w:noWrap/>
          </w:tcPr>
          <w:p w14:paraId="1C90DD5B" w14:textId="77777777" w:rsidR="00EB7374" w:rsidRPr="00615E45" w:rsidRDefault="00EB7374" w:rsidP="00C700EB">
            <w:pPr>
              <w:jc w:val="right"/>
              <w:rPr>
                <w:rFonts w:cs="Calibri"/>
                <w:color w:val="000000"/>
                <w:sz w:val="15"/>
                <w:szCs w:val="15"/>
              </w:rPr>
            </w:pPr>
            <w:r w:rsidRPr="00615E45">
              <w:rPr>
                <w:color w:val="000000"/>
                <w:sz w:val="15"/>
              </w:rPr>
              <w:t>20.1</w:t>
            </w:r>
          </w:p>
        </w:tc>
        <w:tc>
          <w:tcPr>
            <w:tcW w:w="423" w:type="pct"/>
            <w:noWrap/>
          </w:tcPr>
          <w:p w14:paraId="7C88AAEC" w14:textId="77777777" w:rsidR="00EB7374" w:rsidRPr="00615E45" w:rsidRDefault="00EB7374" w:rsidP="00C700EB">
            <w:pPr>
              <w:jc w:val="right"/>
              <w:rPr>
                <w:rFonts w:cs="Calibri"/>
                <w:color w:val="000000"/>
                <w:sz w:val="15"/>
                <w:szCs w:val="15"/>
              </w:rPr>
            </w:pPr>
            <w:r w:rsidRPr="00615E45">
              <w:rPr>
                <w:color w:val="000000"/>
                <w:sz w:val="15"/>
              </w:rPr>
              <w:t>16.7</w:t>
            </w:r>
          </w:p>
        </w:tc>
        <w:tc>
          <w:tcPr>
            <w:tcW w:w="423" w:type="pct"/>
            <w:noWrap/>
          </w:tcPr>
          <w:p w14:paraId="221208C9" w14:textId="77777777" w:rsidR="00EB7374" w:rsidRPr="00615E45" w:rsidRDefault="00EB7374" w:rsidP="00C700EB">
            <w:pPr>
              <w:jc w:val="right"/>
              <w:rPr>
                <w:rFonts w:cs="Calibri"/>
                <w:color w:val="000000"/>
                <w:sz w:val="15"/>
                <w:szCs w:val="15"/>
              </w:rPr>
            </w:pPr>
            <w:r w:rsidRPr="00615E45">
              <w:rPr>
                <w:color w:val="000000"/>
                <w:sz w:val="15"/>
              </w:rPr>
              <w:t>15.8</w:t>
            </w:r>
          </w:p>
        </w:tc>
        <w:tc>
          <w:tcPr>
            <w:tcW w:w="423" w:type="pct"/>
            <w:noWrap/>
          </w:tcPr>
          <w:p w14:paraId="28E7D3F9" w14:textId="77777777" w:rsidR="00EB7374" w:rsidRPr="00615E45" w:rsidRDefault="00EB7374" w:rsidP="00C700EB">
            <w:pPr>
              <w:jc w:val="right"/>
              <w:rPr>
                <w:rFonts w:cs="Calibri"/>
                <w:color w:val="000000"/>
                <w:sz w:val="15"/>
                <w:szCs w:val="15"/>
              </w:rPr>
            </w:pPr>
            <w:r w:rsidRPr="00615E45">
              <w:rPr>
                <w:color w:val="000000"/>
                <w:sz w:val="15"/>
              </w:rPr>
              <w:t>16.5</w:t>
            </w:r>
          </w:p>
        </w:tc>
        <w:tc>
          <w:tcPr>
            <w:tcW w:w="423" w:type="pct"/>
            <w:noWrap/>
          </w:tcPr>
          <w:p w14:paraId="60BBBFD6" w14:textId="77777777" w:rsidR="00EB7374" w:rsidRPr="00615E45" w:rsidRDefault="00EB7374" w:rsidP="00C700EB">
            <w:pPr>
              <w:jc w:val="right"/>
              <w:rPr>
                <w:rFonts w:cs="Calibri"/>
                <w:color w:val="000000"/>
                <w:sz w:val="15"/>
                <w:szCs w:val="15"/>
              </w:rPr>
            </w:pPr>
            <w:r w:rsidRPr="00615E45">
              <w:rPr>
                <w:color w:val="000000"/>
                <w:sz w:val="15"/>
              </w:rPr>
              <w:t>16.4</w:t>
            </w:r>
          </w:p>
        </w:tc>
        <w:tc>
          <w:tcPr>
            <w:tcW w:w="420" w:type="pct"/>
            <w:noWrap/>
          </w:tcPr>
          <w:p w14:paraId="1DBB606B" w14:textId="77777777" w:rsidR="00EB7374" w:rsidRPr="00615E45" w:rsidRDefault="00EB7374" w:rsidP="00C700EB">
            <w:pPr>
              <w:jc w:val="right"/>
              <w:rPr>
                <w:rFonts w:cs="Calibri"/>
                <w:color w:val="000000"/>
                <w:sz w:val="15"/>
                <w:szCs w:val="15"/>
              </w:rPr>
            </w:pPr>
            <w:r w:rsidRPr="00615E45">
              <w:rPr>
                <w:color w:val="000000"/>
                <w:sz w:val="15"/>
              </w:rPr>
              <w:t>13.7</w:t>
            </w:r>
          </w:p>
        </w:tc>
      </w:tr>
      <w:tr w:rsidR="00EB7374" w:rsidRPr="00615E45" w14:paraId="767743D6" w14:textId="77777777" w:rsidTr="00C700EB">
        <w:trPr>
          <w:cnfStyle w:val="000000010000" w:firstRow="0" w:lastRow="0" w:firstColumn="0" w:lastColumn="0" w:oddVBand="0" w:evenVBand="0" w:oddHBand="0" w:evenHBand="1" w:firstRowFirstColumn="0" w:firstRowLastColumn="0" w:lastRowFirstColumn="0" w:lastRowLastColumn="0"/>
          <w:cantSplit/>
        </w:trPr>
        <w:tc>
          <w:tcPr>
            <w:tcW w:w="2041" w:type="pct"/>
            <w:noWrap/>
          </w:tcPr>
          <w:p w14:paraId="068AB2D8" w14:textId="77777777" w:rsidR="00EB7374" w:rsidRPr="00615E45" w:rsidRDefault="00EB7374" w:rsidP="00C700EB">
            <w:pPr>
              <w:jc w:val="left"/>
              <w:rPr>
                <w:rFonts w:cs="Calibri"/>
                <w:color w:val="000000"/>
                <w:sz w:val="15"/>
                <w:szCs w:val="15"/>
              </w:rPr>
            </w:pPr>
            <w:r w:rsidRPr="00615E45">
              <w:rPr>
                <w:color w:val="000000"/>
                <w:sz w:val="15"/>
              </w:rPr>
              <w:t>18. Cocoa and cocoa preparations</w:t>
            </w:r>
          </w:p>
        </w:tc>
        <w:tc>
          <w:tcPr>
            <w:tcW w:w="423" w:type="pct"/>
            <w:noWrap/>
          </w:tcPr>
          <w:p w14:paraId="11FBBCC6" w14:textId="77777777" w:rsidR="00EB7374" w:rsidRPr="00615E45" w:rsidRDefault="00EB7374" w:rsidP="00C700EB">
            <w:pPr>
              <w:jc w:val="right"/>
              <w:rPr>
                <w:rFonts w:cs="Calibri"/>
                <w:color w:val="000000"/>
                <w:sz w:val="15"/>
                <w:szCs w:val="15"/>
              </w:rPr>
            </w:pPr>
            <w:r w:rsidRPr="00615E45">
              <w:rPr>
                <w:color w:val="000000"/>
                <w:sz w:val="15"/>
              </w:rPr>
              <w:t>11.7</w:t>
            </w:r>
          </w:p>
        </w:tc>
        <w:tc>
          <w:tcPr>
            <w:tcW w:w="423" w:type="pct"/>
            <w:noWrap/>
          </w:tcPr>
          <w:p w14:paraId="0185A32B" w14:textId="77777777" w:rsidR="00EB7374" w:rsidRPr="00615E45" w:rsidRDefault="00EB7374" w:rsidP="00C700EB">
            <w:pPr>
              <w:jc w:val="right"/>
              <w:rPr>
                <w:rFonts w:cs="Calibri"/>
                <w:color w:val="000000"/>
                <w:sz w:val="15"/>
                <w:szCs w:val="15"/>
              </w:rPr>
            </w:pPr>
            <w:r w:rsidRPr="00615E45">
              <w:rPr>
                <w:color w:val="000000"/>
                <w:sz w:val="15"/>
              </w:rPr>
              <w:t>10.0</w:t>
            </w:r>
          </w:p>
        </w:tc>
        <w:tc>
          <w:tcPr>
            <w:tcW w:w="423" w:type="pct"/>
            <w:noWrap/>
          </w:tcPr>
          <w:p w14:paraId="7ED154AD" w14:textId="77777777" w:rsidR="00EB7374" w:rsidRPr="00615E45" w:rsidRDefault="00EB7374" w:rsidP="00C700EB">
            <w:pPr>
              <w:jc w:val="right"/>
              <w:rPr>
                <w:rFonts w:cs="Calibri"/>
                <w:color w:val="000000"/>
                <w:sz w:val="15"/>
                <w:szCs w:val="15"/>
              </w:rPr>
            </w:pPr>
            <w:r w:rsidRPr="00615E45">
              <w:rPr>
                <w:color w:val="000000"/>
                <w:sz w:val="15"/>
              </w:rPr>
              <w:t>6.5</w:t>
            </w:r>
          </w:p>
        </w:tc>
        <w:tc>
          <w:tcPr>
            <w:tcW w:w="423" w:type="pct"/>
            <w:noWrap/>
          </w:tcPr>
          <w:p w14:paraId="3FAA698F" w14:textId="77777777" w:rsidR="00EB7374" w:rsidRPr="00615E45" w:rsidRDefault="00EB7374" w:rsidP="00C700EB">
            <w:pPr>
              <w:jc w:val="right"/>
              <w:rPr>
                <w:rFonts w:cs="Calibri"/>
                <w:color w:val="000000"/>
                <w:sz w:val="15"/>
                <w:szCs w:val="15"/>
              </w:rPr>
            </w:pPr>
            <w:r w:rsidRPr="00615E45">
              <w:rPr>
                <w:color w:val="000000"/>
                <w:sz w:val="15"/>
              </w:rPr>
              <w:t>9.1</w:t>
            </w:r>
          </w:p>
        </w:tc>
        <w:tc>
          <w:tcPr>
            <w:tcW w:w="423" w:type="pct"/>
            <w:noWrap/>
          </w:tcPr>
          <w:p w14:paraId="07A069F2" w14:textId="77777777" w:rsidR="00EB7374" w:rsidRPr="00615E45" w:rsidRDefault="00EB7374" w:rsidP="00C700EB">
            <w:pPr>
              <w:jc w:val="right"/>
              <w:rPr>
                <w:rFonts w:cs="Calibri"/>
                <w:color w:val="000000"/>
                <w:sz w:val="15"/>
                <w:szCs w:val="15"/>
              </w:rPr>
            </w:pPr>
            <w:r w:rsidRPr="00615E45">
              <w:rPr>
                <w:color w:val="000000"/>
                <w:sz w:val="15"/>
              </w:rPr>
              <w:t>7.7</w:t>
            </w:r>
          </w:p>
        </w:tc>
        <w:tc>
          <w:tcPr>
            <w:tcW w:w="423" w:type="pct"/>
            <w:noWrap/>
          </w:tcPr>
          <w:p w14:paraId="300D17F8" w14:textId="77777777" w:rsidR="00EB7374" w:rsidRPr="00615E45" w:rsidRDefault="00EB7374" w:rsidP="00C700EB">
            <w:pPr>
              <w:jc w:val="right"/>
              <w:rPr>
                <w:rFonts w:cs="Calibri"/>
                <w:color w:val="000000"/>
                <w:sz w:val="15"/>
                <w:szCs w:val="15"/>
              </w:rPr>
            </w:pPr>
            <w:r w:rsidRPr="00615E45">
              <w:rPr>
                <w:color w:val="000000"/>
                <w:sz w:val="15"/>
              </w:rPr>
              <w:t>8.7</w:t>
            </w:r>
          </w:p>
        </w:tc>
        <w:tc>
          <w:tcPr>
            <w:tcW w:w="420" w:type="pct"/>
            <w:noWrap/>
          </w:tcPr>
          <w:p w14:paraId="015D61A2" w14:textId="77777777" w:rsidR="00EB7374" w:rsidRPr="00615E45" w:rsidRDefault="00EB7374" w:rsidP="00C700EB">
            <w:pPr>
              <w:jc w:val="right"/>
              <w:rPr>
                <w:rFonts w:cs="Calibri"/>
                <w:color w:val="000000"/>
                <w:sz w:val="15"/>
                <w:szCs w:val="15"/>
              </w:rPr>
            </w:pPr>
            <w:r w:rsidRPr="00615E45">
              <w:rPr>
                <w:color w:val="000000"/>
                <w:sz w:val="15"/>
              </w:rPr>
              <w:t>8.1</w:t>
            </w:r>
          </w:p>
        </w:tc>
      </w:tr>
      <w:tr w:rsidR="00EB7374" w:rsidRPr="00615E45" w14:paraId="404B2689" w14:textId="77777777" w:rsidTr="00C700EB">
        <w:trPr>
          <w:cantSplit/>
        </w:trPr>
        <w:tc>
          <w:tcPr>
            <w:tcW w:w="2041" w:type="pct"/>
            <w:noWrap/>
          </w:tcPr>
          <w:p w14:paraId="58726D97" w14:textId="77777777" w:rsidR="00EB7374" w:rsidRPr="00615E45" w:rsidRDefault="00EB7374" w:rsidP="00C700EB">
            <w:pPr>
              <w:jc w:val="left"/>
              <w:rPr>
                <w:rFonts w:cs="Calibri"/>
                <w:color w:val="000000"/>
                <w:sz w:val="15"/>
                <w:szCs w:val="15"/>
              </w:rPr>
            </w:pPr>
            <w:r w:rsidRPr="00615E45">
              <w:rPr>
                <w:color w:val="000000"/>
                <w:sz w:val="15"/>
              </w:rPr>
              <w:t>22. Beverages, spirits and vinegar</w:t>
            </w:r>
          </w:p>
        </w:tc>
        <w:tc>
          <w:tcPr>
            <w:tcW w:w="423" w:type="pct"/>
            <w:noWrap/>
          </w:tcPr>
          <w:p w14:paraId="38E3212F" w14:textId="77777777" w:rsidR="00EB7374" w:rsidRPr="00615E45" w:rsidRDefault="00EB7374" w:rsidP="00C700EB">
            <w:pPr>
              <w:jc w:val="right"/>
              <w:rPr>
                <w:rFonts w:cs="Calibri"/>
                <w:color w:val="000000"/>
                <w:sz w:val="15"/>
                <w:szCs w:val="15"/>
              </w:rPr>
            </w:pPr>
            <w:r w:rsidRPr="00615E45">
              <w:rPr>
                <w:color w:val="000000"/>
                <w:sz w:val="15"/>
              </w:rPr>
              <w:t>7.2</w:t>
            </w:r>
          </w:p>
        </w:tc>
        <w:tc>
          <w:tcPr>
            <w:tcW w:w="423" w:type="pct"/>
            <w:noWrap/>
          </w:tcPr>
          <w:p w14:paraId="7C7CCE0E" w14:textId="77777777" w:rsidR="00EB7374" w:rsidRPr="00615E45" w:rsidRDefault="00EB7374" w:rsidP="00C700EB">
            <w:pPr>
              <w:jc w:val="right"/>
              <w:rPr>
                <w:rFonts w:cs="Calibri"/>
                <w:color w:val="000000"/>
                <w:sz w:val="15"/>
                <w:szCs w:val="15"/>
              </w:rPr>
            </w:pPr>
            <w:r w:rsidRPr="00615E45">
              <w:rPr>
                <w:color w:val="000000"/>
                <w:sz w:val="15"/>
              </w:rPr>
              <w:t>7.0</w:t>
            </w:r>
          </w:p>
        </w:tc>
        <w:tc>
          <w:tcPr>
            <w:tcW w:w="423" w:type="pct"/>
            <w:noWrap/>
          </w:tcPr>
          <w:p w14:paraId="5AF9E1F3" w14:textId="77777777" w:rsidR="00EB7374" w:rsidRPr="00615E45" w:rsidRDefault="00EB7374" w:rsidP="00C700EB">
            <w:pPr>
              <w:jc w:val="right"/>
              <w:rPr>
                <w:rFonts w:cs="Calibri"/>
                <w:color w:val="000000"/>
                <w:sz w:val="15"/>
                <w:szCs w:val="15"/>
              </w:rPr>
            </w:pPr>
            <w:r w:rsidRPr="00615E45">
              <w:rPr>
                <w:color w:val="000000"/>
                <w:sz w:val="15"/>
              </w:rPr>
              <w:t>7.6</w:t>
            </w:r>
          </w:p>
        </w:tc>
        <w:tc>
          <w:tcPr>
            <w:tcW w:w="423" w:type="pct"/>
            <w:noWrap/>
          </w:tcPr>
          <w:p w14:paraId="3F5E12A6" w14:textId="77777777" w:rsidR="00EB7374" w:rsidRPr="00615E45" w:rsidRDefault="00EB7374" w:rsidP="00C700EB">
            <w:pPr>
              <w:jc w:val="right"/>
              <w:rPr>
                <w:rFonts w:cs="Calibri"/>
                <w:color w:val="000000"/>
                <w:sz w:val="15"/>
                <w:szCs w:val="15"/>
              </w:rPr>
            </w:pPr>
            <w:r w:rsidRPr="00615E45">
              <w:rPr>
                <w:color w:val="000000"/>
                <w:sz w:val="15"/>
              </w:rPr>
              <w:t>6.3</w:t>
            </w:r>
          </w:p>
        </w:tc>
        <w:tc>
          <w:tcPr>
            <w:tcW w:w="423" w:type="pct"/>
            <w:noWrap/>
          </w:tcPr>
          <w:p w14:paraId="16FE4F50" w14:textId="77777777" w:rsidR="00EB7374" w:rsidRPr="00615E45" w:rsidRDefault="00EB7374" w:rsidP="00C700EB">
            <w:pPr>
              <w:jc w:val="right"/>
              <w:rPr>
                <w:rFonts w:cs="Calibri"/>
                <w:color w:val="000000"/>
                <w:sz w:val="15"/>
                <w:szCs w:val="15"/>
              </w:rPr>
            </w:pPr>
            <w:r w:rsidRPr="00615E45">
              <w:rPr>
                <w:color w:val="000000"/>
                <w:sz w:val="15"/>
              </w:rPr>
              <w:t>6.2</w:t>
            </w:r>
          </w:p>
        </w:tc>
        <w:tc>
          <w:tcPr>
            <w:tcW w:w="423" w:type="pct"/>
            <w:noWrap/>
          </w:tcPr>
          <w:p w14:paraId="35355DD8" w14:textId="77777777" w:rsidR="00EB7374" w:rsidRPr="00615E45" w:rsidRDefault="00EB7374" w:rsidP="00C700EB">
            <w:pPr>
              <w:jc w:val="right"/>
              <w:rPr>
                <w:rFonts w:cs="Calibri"/>
                <w:color w:val="000000"/>
                <w:sz w:val="15"/>
                <w:szCs w:val="15"/>
              </w:rPr>
            </w:pPr>
            <w:r w:rsidRPr="00615E45">
              <w:rPr>
                <w:color w:val="000000"/>
                <w:sz w:val="15"/>
              </w:rPr>
              <w:t>6.1</w:t>
            </w:r>
          </w:p>
        </w:tc>
        <w:tc>
          <w:tcPr>
            <w:tcW w:w="420" w:type="pct"/>
            <w:noWrap/>
          </w:tcPr>
          <w:p w14:paraId="5B5E00A2" w14:textId="77777777" w:rsidR="00EB7374" w:rsidRPr="00615E45" w:rsidRDefault="00EB7374" w:rsidP="00C700EB">
            <w:pPr>
              <w:jc w:val="right"/>
              <w:rPr>
                <w:rFonts w:cs="Calibri"/>
                <w:color w:val="000000"/>
                <w:sz w:val="15"/>
                <w:szCs w:val="15"/>
              </w:rPr>
            </w:pPr>
            <w:r w:rsidRPr="00615E45">
              <w:rPr>
                <w:color w:val="000000"/>
                <w:sz w:val="15"/>
              </w:rPr>
              <w:t>6.9</w:t>
            </w:r>
          </w:p>
        </w:tc>
      </w:tr>
      <w:tr w:rsidR="00EB7374" w:rsidRPr="00615E45" w14:paraId="7089B02E" w14:textId="77777777" w:rsidTr="00C700EB">
        <w:trPr>
          <w:cnfStyle w:val="000000010000" w:firstRow="0" w:lastRow="0" w:firstColumn="0" w:lastColumn="0" w:oddVBand="0" w:evenVBand="0" w:oddHBand="0" w:evenHBand="1" w:firstRowFirstColumn="0" w:firstRowLastColumn="0" w:lastRowFirstColumn="0" w:lastRowLastColumn="0"/>
          <w:cantSplit/>
        </w:trPr>
        <w:tc>
          <w:tcPr>
            <w:tcW w:w="2041" w:type="pct"/>
            <w:noWrap/>
          </w:tcPr>
          <w:p w14:paraId="1E122DE3" w14:textId="77777777" w:rsidR="00EB7374" w:rsidRPr="00615E45" w:rsidRDefault="00EB7374" w:rsidP="00C700EB">
            <w:pPr>
              <w:jc w:val="left"/>
              <w:rPr>
                <w:rFonts w:cs="Calibri"/>
                <w:color w:val="000000"/>
                <w:sz w:val="15"/>
                <w:szCs w:val="15"/>
              </w:rPr>
            </w:pPr>
            <w:r w:rsidRPr="00615E45">
              <w:rPr>
                <w:color w:val="000000"/>
                <w:sz w:val="15"/>
              </w:rPr>
              <w:t>17. Sugars and sugar confectionery</w:t>
            </w:r>
          </w:p>
        </w:tc>
        <w:tc>
          <w:tcPr>
            <w:tcW w:w="423" w:type="pct"/>
            <w:noWrap/>
          </w:tcPr>
          <w:p w14:paraId="3A772852" w14:textId="77777777" w:rsidR="00EB7374" w:rsidRPr="00615E45" w:rsidRDefault="00EB7374" w:rsidP="00C700EB">
            <w:pPr>
              <w:jc w:val="right"/>
              <w:rPr>
                <w:rFonts w:cs="Calibri"/>
                <w:color w:val="000000"/>
                <w:sz w:val="15"/>
                <w:szCs w:val="15"/>
              </w:rPr>
            </w:pPr>
            <w:r w:rsidRPr="00615E45">
              <w:rPr>
                <w:color w:val="000000"/>
                <w:sz w:val="15"/>
              </w:rPr>
              <w:t>5.2</w:t>
            </w:r>
          </w:p>
        </w:tc>
        <w:tc>
          <w:tcPr>
            <w:tcW w:w="423" w:type="pct"/>
            <w:noWrap/>
          </w:tcPr>
          <w:p w14:paraId="085296E0" w14:textId="77777777" w:rsidR="00EB7374" w:rsidRPr="00615E45" w:rsidRDefault="00EB7374" w:rsidP="00C700EB">
            <w:pPr>
              <w:jc w:val="right"/>
              <w:rPr>
                <w:rFonts w:cs="Calibri"/>
                <w:color w:val="000000"/>
                <w:sz w:val="15"/>
                <w:szCs w:val="15"/>
              </w:rPr>
            </w:pPr>
            <w:r w:rsidRPr="00615E45">
              <w:rPr>
                <w:color w:val="000000"/>
                <w:sz w:val="15"/>
              </w:rPr>
              <w:t>4.8</w:t>
            </w:r>
          </w:p>
        </w:tc>
        <w:tc>
          <w:tcPr>
            <w:tcW w:w="423" w:type="pct"/>
            <w:noWrap/>
          </w:tcPr>
          <w:p w14:paraId="6372D4FB" w14:textId="77777777" w:rsidR="00EB7374" w:rsidRPr="00615E45" w:rsidRDefault="00EB7374" w:rsidP="00C700EB">
            <w:pPr>
              <w:jc w:val="right"/>
              <w:rPr>
                <w:rFonts w:cs="Calibri"/>
                <w:color w:val="000000"/>
                <w:sz w:val="15"/>
                <w:szCs w:val="15"/>
              </w:rPr>
            </w:pPr>
            <w:r w:rsidRPr="00615E45">
              <w:rPr>
                <w:color w:val="000000"/>
                <w:sz w:val="15"/>
              </w:rPr>
              <w:t>5.4</w:t>
            </w:r>
          </w:p>
        </w:tc>
        <w:tc>
          <w:tcPr>
            <w:tcW w:w="423" w:type="pct"/>
            <w:noWrap/>
          </w:tcPr>
          <w:p w14:paraId="47619792" w14:textId="77777777" w:rsidR="00EB7374" w:rsidRPr="00615E45" w:rsidRDefault="00EB7374" w:rsidP="00C700EB">
            <w:pPr>
              <w:jc w:val="right"/>
              <w:rPr>
                <w:rFonts w:cs="Calibri"/>
                <w:color w:val="000000"/>
                <w:sz w:val="15"/>
                <w:szCs w:val="15"/>
              </w:rPr>
            </w:pPr>
            <w:r w:rsidRPr="00615E45">
              <w:rPr>
                <w:color w:val="000000"/>
                <w:sz w:val="15"/>
              </w:rPr>
              <w:t>5.4</w:t>
            </w:r>
          </w:p>
        </w:tc>
        <w:tc>
          <w:tcPr>
            <w:tcW w:w="423" w:type="pct"/>
            <w:noWrap/>
          </w:tcPr>
          <w:p w14:paraId="06009595" w14:textId="77777777" w:rsidR="00EB7374" w:rsidRPr="00615E45" w:rsidRDefault="00EB7374" w:rsidP="00C700EB">
            <w:pPr>
              <w:jc w:val="right"/>
              <w:rPr>
                <w:rFonts w:cs="Calibri"/>
                <w:color w:val="000000"/>
                <w:sz w:val="15"/>
                <w:szCs w:val="15"/>
              </w:rPr>
            </w:pPr>
            <w:r w:rsidRPr="00615E45">
              <w:rPr>
                <w:color w:val="000000"/>
                <w:sz w:val="15"/>
              </w:rPr>
              <w:t>4.4</w:t>
            </w:r>
          </w:p>
        </w:tc>
        <w:tc>
          <w:tcPr>
            <w:tcW w:w="423" w:type="pct"/>
            <w:noWrap/>
          </w:tcPr>
          <w:p w14:paraId="5F772AED" w14:textId="77777777" w:rsidR="00EB7374" w:rsidRPr="00615E45" w:rsidRDefault="00EB7374" w:rsidP="00C700EB">
            <w:pPr>
              <w:jc w:val="right"/>
              <w:rPr>
                <w:rFonts w:cs="Calibri"/>
                <w:color w:val="000000"/>
                <w:sz w:val="15"/>
                <w:szCs w:val="15"/>
              </w:rPr>
            </w:pPr>
            <w:r w:rsidRPr="00615E45">
              <w:rPr>
                <w:color w:val="000000"/>
                <w:sz w:val="15"/>
              </w:rPr>
              <w:t>6.1</w:t>
            </w:r>
          </w:p>
        </w:tc>
        <w:tc>
          <w:tcPr>
            <w:tcW w:w="420" w:type="pct"/>
            <w:noWrap/>
          </w:tcPr>
          <w:p w14:paraId="79B6AFF8" w14:textId="77777777" w:rsidR="00EB7374" w:rsidRPr="00615E45" w:rsidRDefault="00EB7374" w:rsidP="00C700EB">
            <w:pPr>
              <w:jc w:val="right"/>
              <w:rPr>
                <w:rFonts w:cs="Calibri"/>
                <w:color w:val="000000"/>
                <w:sz w:val="15"/>
                <w:szCs w:val="15"/>
              </w:rPr>
            </w:pPr>
            <w:r w:rsidRPr="00615E45">
              <w:rPr>
                <w:color w:val="000000"/>
                <w:sz w:val="15"/>
              </w:rPr>
              <w:t>5.2</w:t>
            </w:r>
          </w:p>
        </w:tc>
      </w:tr>
      <w:tr w:rsidR="00EB7374" w:rsidRPr="00615E45" w14:paraId="412E3767" w14:textId="77777777" w:rsidTr="00C700EB">
        <w:trPr>
          <w:cantSplit/>
        </w:trPr>
        <w:tc>
          <w:tcPr>
            <w:tcW w:w="2041" w:type="pct"/>
            <w:noWrap/>
            <w:hideMark/>
          </w:tcPr>
          <w:p w14:paraId="6D38D4E9" w14:textId="77777777" w:rsidR="00EB7374" w:rsidRPr="00615E45" w:rsidRDefault="00EB7374" w:rsidP="00C700EB">
            <w:pPr>
              <w:jc w:val="left"/>
              <w:rPr>
                <w:rFonts w:cs="Calibri"/>
                <w:b/>
                <w:bCs/>
                <w:color w:val="000000"/>
                <w:sz w:val="15"/>
                <w:szCs w:val="15"/>
              </w:rPr>
            </w:pPr>
            <w:r w:rsidRPr="00615E45">
              <w:rPr>
                <w:b/>
                <w:color w:val="000000"/>
                <w:sz w:val="15"/>
              </w:rPr>
              <w:t xml:space="preserve">Total </w:t>
            </w:r>
            <w:proofErr w:type="spellStart"/>
            <w:r w:rsidRPr="00615E45">
              <w:rPr>
                <w:b/>
                <w:color w:val="000000"/>
                <w:sz w:val="15"/>
              </w:rPr>
              <w:t>imports</w:t>
            </w:r>
            <w:r w:rsidRPr="00615E45">
              <w:rPr>
                <w:b/>
                <w:color w:val="000000"/>
                <w:sz w:val="15"/>
                <w:vertAlign w:val="superscript"/>
              </w:rPr>
              <w:t>b</w:t>
            </w:r>
            <w:proofErr w:type="spellEnd"/>
          </w:p>
        </w:tc>
        <w:tc>
          <w:tcPr>
            <w:tcW w:w="423" w:type="pct"/>
            <w:noWrap/>
            <w:hideMark/>
          </w:tcPr>
          <w:p w14:paraId="384CE6C1" w14:textId="77777777" w:rsidR="00EB7374" w:rsidRPr="00615E45" w:rsidRDefault="00EB7374" w:rsidP="00C700EB">
            <w:pPr>
              <w:rPr>
                <w:rFonts w:cs="Calibri"/>
                <w:b/>
                <w:bCs/>
                <w:color w:val="000000"/>
                <w:sz w:val="15"/>
                <w:szCs w:val="15"/>
              </w:rPr>
            </w:pPr>
          </w:p>
        </w:tc>
        <w:tc>
          <w:tcPr>
            <w:tcW w:w="423" w:type="pct"/>
            <w:noWrap/>
            <w:hideMark/>
          </w:tcPr>
          <w:p w14:paraId="793D5A8B" w14:textId="77777777" w:rsidR="00EB7374" w:rsidRPr="00615E45" w:rsidRDefault="00EB7374" w:rsidP="00C700EB">
            <w:pPr>
              <w:rPr>
                <w:sz w:val="15"/>
                <w:szCs w:val="15"/>
              </w:rPr>
            </w:pPr>
          </w:p>
        </w:tc>
        <w:tc>
          <w:tcPr>
            <w:tcW w:w="423" w:type="pct"/>
            <w:noWrap/>
            <w:hideMark/>
          </w:tcPr>
          <w:p w14:paraId="41C77DEF" w14:textId="77777777" w:rsidR="00EB7374" w:rsidRPr="00615E45" w:rsidRDefault="00EB7374" w:rsidP="00C700EB">
            <w:pPr>
              <w:rPr>
                <w:sz w:val="15"/>
                <w:szCs w:val="15"/>
              </w:rPr>
            </w:pPr>
          </w:p>
        </w:tc>
        <w:tc>
          <w:tcPr>
            <w:tcW w:w="423" w:type="pct"/>
            <w:noWrap/>
            <w:hideMark/>
          </w:tcPr>
          <w:p w14:paraId="1D3701FC" w14:textId="77777777" w:rsidR="00EB7374" w:rsidRPr="00615E45" w:rsidRDefault="00EB7374" w:rsidP="00C700EB">
            <w:pPr>
              <w:rPr>
                <w:sz w:val="15"/>
                <w:szCs w:val="15"/>
              </w:rPr>
            </w:pPr>
          </w:p>
        </w:tc>
        <w:tc>
          <w:tcPr>
            <w:tcW w:w="423" w:type="pct"/>
            <w:noWrap/>
            <w:hideMark/>
          </w:tcPr>
          <w:p w14:paraId="6253D0F3" w14:textId="77777777" w:rsidR="00EB7374" w:rsidRPr="00615E45" w:rsidRDefault="00EB7374" w:rsidP="00C700EB">
            <w:pPr>
              <w:rPr>
                <w:sz w:val="15"/>
                <w:szCs w:val="15"/>
              </w:rPr>
            </w:pPr>
          </w:p>
        </w:tc>
        <w:tc>
          <w:tcPr>
            <w:tcW w:w="423" w:type="pct"/>
            <w:noWrap/>
            <w:hideMark/>
          </w:tcPr>
          <w:p w14:paraId="4483E127" w14:textId="77777777" w:rsidR="00EB7374" w:rsidRPr="00615E45" w:rsidRDefault="00EB7374" w:rsidP="00C700EB">
            <w:pPr>
              <w:rPr>
                <w:sz w:val="15"/>
                <w:szCs w:val="15"/>
              </w:rPr>
            </w:pPr>
          </w:p>
        </w:tc>
        <w:tc>
          <w:tcPr>
            <w:tcW w:w="420" w:type="pct"/>
            <w:noWrap/>
            <w:hideMark/>
          </w:tcPr>
          <w:p w14:paraId="12617E12" w14:textId="77777777" w:rsidR="00EB7374" w:rsidRPr="00615E45" w:rsidRDefault="00EB7374" w:rsidP="00C700EB">
            <w:pPr>
              <w:rPr>
                <w:sz w:val="15"/>
                <w:szCs w:val="15"/>
              </w:rPr>
            </w:pPr>
          </w:p>
        </w:tc>
      </w:tr>
      <w:tr w:rsidR="00EB7374" w:rsidRPr="00615E45" w14:paraId="01799AE5" w14:textId="77777777" w:rsidTr="00C700EB">
        <w:trPr>
          <w:cnfStyle w:val="000000010000" w:firstRow="0" w:lastRow="0" w:firstColumn="0" w:lastColumn="0" w:oddVBand="0" w:evenVBand="0" w:oddHBand="0" w:evenHBand="1" w:firstRowFirstColumn="0" w:firstRowLastColumn="0" w:lastRowFirstColumn="0" w:lastRowLastColumn="0"/>
          <w:cantSplit/>
        </w:trPr>
        <w:tc>
          <w:tcPr>
            <w:tcW w:w="2041" w:type="pct"/>
            <w:noWrap/>
            <w:hideMark/>
          </w:tcPr>
          <w:p w14:paraId="25105378" w14:textId="77777777" w:rsidR="00EB7374" w:rsidRPr="00615E45" w:rsidRDefault="00EB7374" w:rsidP="00C700EB">
            <w:pPr>
              <w:jc w:val="left"/>
              <w:rPr>
                <w:rFonts w:cs="Calibri"/>
                <w:color w:val="000000"/>
                <w:sz w:val="15"/>
                <w:szCs w:val="15"/>
              </w:rPr>
            </w:pPr>
            <w:r w:rsidRPr="00615E45">
              <w:rPr>
                <w:color w:val="000000"/>
                <w:sz w:val="15"/>
              </w:rPr>
              <w:t>Value (USD million)</w:t>
            </w:r>
          </w:p>
        </w:tc>
        <w:tc>
          <w:tcPr>
            <w:tcW w:w="423" w:type="pct"/>
            <w:noWrap/>
            <w:hideMark/>
          </w:tcPr>
          <w:p w14:paraId="7E5EEF64" w14:textId="77777777" w:rsidR="00EB7374" w:rsidRPr="00615E45" w:rsidRDefault="00EB7374" w:rsidP="00C700EB">
            <w:pPr>
              <w:jc w:val="right"/>
              <w:rPr>
                <w:rFonts w:cs="Calibri"/>
                <w:color w:val="000000"/>
                <w:sz w:val="15"/>
                <w:szCs w:val="15"/>
              </w:rPr>
            </w:pPr>
            <w:r w:rsidRPr="00615E45">
              <w:rPr>
                <w:color w:val="000000"/>
                <w:sz w:val="15"/>
              </w:rPr>
              <w:t>2,502</w:t>
            </w:r>
          </w:p>
        </w:tc>
        <w:tc>
          <w:tcPr>
            <w:tcW w:w="423" w:type="pct"/>
            <w:noWrap/>
            <w:hideMark/>
          </w:tcPr>
          <w:p w14:paraId="1B12D680" w14:textId="77777777" w:rsidR="00EB7374" w:rsidRPr="00615E45" w:rsidRDefault="00EB7374" w:rsidP="00C700EB">
            <w:pPr>
              <w:jc w:val="right"/>
              <w:rPr>
                <w:rFonts w:cs="Calibri"/>
                <w:color w:val="000000"/>
                <w:sz w:val="15"/>
                <w:szCs w:val="15"/>
              </w:rPr>
            </w:pPr>
            <w:r w:rsidRPr="00615E45">
              <w:rPr>
                <w:color w:val="000000"/>
                <w:sz w:val="15"/>
              </w:rPr>
              <w:t>2,572</w:t>
            </w:r>
          </w:p>
        </w:tc>
        <w:tc>
          <w:tcPr>
            <w:tcW w:w="423" w:type="pct"/>
            <w:noWrap/>
            <w:hideMark/>
          </w:tcPr>
          <w:p w14:paraId="3CBBBA0D" w14:textId="77777777" w:rsidR="00EB7374" w:rsidRPr="00615E45" w:rsidRDefault="00EB7374" w:rsidP="00C700EB">
            <w:pPr>
              <w:jc w:val="right"/>
              <w:rPr>
                <w:rFonts w:cs="Calibri"/>
                <w:color w:val="000000"/>
                <w:sz w:val="15"/>
                <w:szCs w:val="15"/>
              </w:rPr>
            </w:pPr>
            <w:r w:rsidRPr="00615E45">
              <w:rPr>
                <w:color w:val="000000"/>
                <w:sz w:val="15"/>
              </w:rPr>
              <w:t>2,681</w:t>
            </w:r>
          </w:p>
        </w:tc>
        <w:tc>
          <w:tcPr>
            <w:tcW w:w="423" w:type="pct"/>
            <w:noWrap/>
            <w:hideMark/>
          </w:tcPr>
          <w:p w14:paraId="08DD5E7E" w14:textId="77777777" w:rsidR="00EB7374" w:rsidRPr="00615E45" w:rsidRDefault="00EB7374" w:rsidP="00C700EB">
            <w:pPr>
              <w:jc w:val="right"/>
              <w:rPr>
                <w:rFonts w:cs="Calibri"/>
                <w:color w:val="000000"/>
                <w:sz w:val="15"/>
                <w:szCs w:val="15"/>
              </w:rPr>
            </w:pPr>
            <w:r w:rsidRPr="00615E45">
              <w:rPr>
                <w:color w:val="000000"/>
                <w:sz w:val="15"/>
              </w:rPr>
              <w:t>2,851</w:t>
            </w:r>
          </w:p>
        </w:tc>
        <w:tc>
          <w:tcPr>
            <w:tcW w:w="423" w:type="pct"/>
            <w:noWrap/>
            <w:hideMark/>
          </w:tcPr>
          <w:p w14:paraId="2F7EAC1D" w14:textId="77777777" w:rsidR="00EB7374" w:rsidRPr="00615E45" w:rsidRDefault="00EB7374" w:rsidP="00C700EB">
            <w:pPr>
              <w:jc w:val="right"/>
              <w:rPr>
                <w:rFonts w:cs="Calibri"/>
                <w:color w:val="000000"/>
                <w:sz w:val="15"/>
                <w:szCs w:val="15"/>
              </w:rPr>
            </w:pPr>
            <w:r w:rsidRPr="00615E45">
              <w:rPr>
                <w:color w:val="000000"/>
                <w:sz w:val="15"/>
              </w:rPr>
              <w:t>2,907</w:t>
            </w:r>
          </w:p>
        </w:tc>
        <w:tc>
          <w:tcPr>
            <w:tcW w:w="423" w:type="pct"/>
            <w:noWrap/>
            <w:hideMark/>
          </w:tcPr>
          <w:p w14:paraId="299DB20C" w14:textId="77777777" w:rsidR="00EB7374" w:rsidRPr="00615E45" w:rsidRDefault="00EB7374" w:rsidP="00C700EB">
            <w:pPr>
              <w:jc w:val="right"/>
              <w:rPr>
                <w:rFonts w:cs="Calibri"/>
                <w:color w:val="000000"/>
                <w:sz w:val="15"/>
                <w:szCs w:val="15"/>
              </w:rPr>
            </w:pPr>
            <w:r w:rsidRPr="00615E45">
              <w:rPr>
                <w:color w:val="000000"/>
                <w:sz w:val="15"/>
              </w:rPr>
              <w:t>2,957</w:t>
            </w:r>
          </w:p>
        </w:tc>
        <w:tc>
          <w:tcPr>
            <w:tcW w:w="420" w:type="pct"/>
            <w:noWrap/>
            <w:hideMark/>
          </w:tcPr>
          <w:p w14:paraId="21C44436" w14:textId="77777777" w:rsidR="00EB7374" w:rsidRPr="00615E45" w:rsidRDefault="00EB7374" w:rsidP="00C700EB">
            <w:pPr>
              <w:jc w:val="right"/>
              <w:rPr>
                <w:rFonts w:cs="Calibri"/>
                <w:color w:val="000000"/>
                <w:sz w:val="15"/>
                <w:szCs w:val="15"/>
              </w:rPr>
            </w:pPr>
            <w:r w:rsidRPr="00615E45">
              <w:rPr>
                <w:color w:val="000000"/>
                <w:sz w:val="15"/>
              </w:rPr>
              <w:t>3,858</w:t>
            </w:r>
          </w:p>
        </w:tc>
      </w:tr>
      <w:tr w:rsidR="00EB7374" w:rsidRPr="00615E45" w14:paraId="4C9945DE" w14:textId="77777777" w:rsidTr="00C700EB">
        <w:trPr>
          <w:cantSplit/>
        </w:trPr>
        <w:tc>
          <w:tcPr>
            <w:tcW w:w="2041" w:type="pct"/>
            <w:noWrap/>
            <w:hideMark/>
          </w:tcPr>
          <w:p w14:paraId="3137FD69" w14:textId="77777777" w:rsidR="00EB7374" w:rsidRPr="00615E45" w:rsidRDefault="00EB7374" w:rsidP="00C700EB">
            <w:pPr>
              <w:jc w:val="left"/>
              <w:rPr>
                <w:rFonts w:cs="Calibri"/>
                <w:color w:val="000000"/>
                <w:sz w:val="15"/>
                <w:szCs w:val="15"/>
              </w:rPr>
            </w:pPr>
            <w:r w:rsidRPr="00615E45">
              <w:rPr>
                <w:color w:val="000000"/>
                <w:sz w:val="15"/>
              </w:rPr>
              <w:t>Share of total imports (%)</w:t>
            </w:r>
          </w:p>
        </w:tc>
        <w:tc>
          <w:tcPr>
            <w:tcW w:w="423" w:type="pct"/>
            <w:noWrap/>
            <w:hideMark/>
          </w:tcPr>
          <w:p w14:paraId="4C018428" w14:textId="77777777" w:rsidR="00EB7374" w:rsidRPr="00615E45" w:rsidRDefault="00EB7374" w:rsidP="00C700EB">
            <w:pPr>
              <w:jc w:val="right"/>
              <w:rPr>
                <w:rFonts w:cs="Calibri"/>
                <w:color w:val="000000"/>
                <w:sz w:val="15"/>
                <w:szCs w:val="15"/>
              </w:rPr>
            </w:pPr>
            <w:r w:rsidRPr="00615E45">
              <w:rPr>
                <w:color w:val="000000"/>
                <w:sz w:val="15"/>
              </w:rPr>
              <w:t>14.6</w:t>
            </w:r>
          </w:p>
        </w:tc>
        <w:tc>
          <w:tcPr>
            <w:tcW w:w="423" w:type="pct"/>
            <w:noWrap/>
            <w:hideMark/>
          </w:tcPr>
          <w:p w14:paraId="7137BDCB" w14:textId="77777777" w:rsidR="00EB7374" w:rsidRPr="00615E45" w:rsidRDefault="00EB7374" w:rsidP="00C700EB">
            <w:pPr>
              <w:jc w:val="right"/>
              <w:rPr>
                <w:rFonts w:cs="Calibri"/>
                <w:color w:val="000000"/>
                <w:sz w:val="15"/>
                <w:szCs w:val="15"/>
              </w:rPr>
            </w:pPr>
            <w:r w:rsidRPr="00615E45">
              <w:rPr>
                <w:color w:val="000000"/>
                <w:sz w:val="15"/>
              </w:rPr>
              <w:t>14.4</w:t>
            </w:r>
          </w:p>
        </w:tc>
        <w:tc>
          <w:tcPr>
            <w:tcW w:w="423" w:type="pct"/>
            <w:noWrap/>
            <w:hideMark/>
          </w:tcPr>
          <w:p w14:paraId="02791361" w14:textId="77777777" w:rsidR="00EB7374" w:rsidRPr="00615E45" w:rsidRDefault="00EB7374" w:rsidP="00C700EB">
            <w:pPr>
              <w:jc w:val="right"/>
              <w:rPr>
                <w:rFonts w:cs="Calibri"/>
                <w:color w:val="000000"/>
                <w:sz w:val="15"/>
                <w:szCs w:val="15"/>
              </w:rPr>
            </w:pPr>
            <w:r w:rsidRPr="00615E45">
              <w:rPr>
                <w:color w:val="000000"/>
                <w:sz w:val="15"/>
              </w:rPr>
              <w:t>14.8</w:t>
            </w:r>
          </w:p>
        </w:tc>
        <w:tc>
          <w:tcPr>
            <w:tcW w:w="423" w:type="pct"/>
            <w:noWrap/>
            <w:hideMark/>
          </w:tcPr>
          <w:p w14:paraId="79E922D0" w14:textId="77777777" w:rsidR="00EB7374" w:rsidRPr="00615E45" w:rsidRDefault="00EB7374" w:rsidP="00C700EB">
            <w:pPr>
              <w:jc w:val="right"/>
              <w:rPr>
                <w:rFonts w:cs="Calibri"/>
                <w:color w:val="000000"/>
                <w:sz w:val="15"/>
                <w:szCs w:val="15"/>
              </w:rPr>
            </w:pPr>
            <w:r w:rsidRPr="00615E45">
              <w:rPr>
                <w:color w:val="000000"/>
                <w:sz w:val="15"/>
              </w:rPr>
              <w:t>14.0</w:t>
            </w:r>
          </w:p>
        </w:tc>
        <w:tc>
          <w:tcPr>
            <w:tcW w:w="423" w:type="pct"/>
            <w:noWrap/>
            <w:hideMark/>
          </w:tcPr>
          <w:p w14:paraId="7FE976B4" w14:textId="77777777" w:rsidR="00EB7374" w:rsidRPr="00615E45" w:rsidRDefault="00EB7374" w:rsidP="00C700EB">
            <w:pPr>
              <w:jc w:val="right"/>
              <w:rPr>
                <w:rFonts w:cs="Calibri"/>
                <w:color w:val="000000"/>
                <w:sz w:val="15"/>
                <w:szCs w:val="15"/>
              </w:rPr>
            </w:pPr>
            <w:r w:rsidRPr="00615E45">
              <w:rPr>
                <w:color w:val="000000"/>
                <w:sz w:val="15"/>
              </w:rPr>
              <w:t>14.2</w:t>
            </w:r>
          </w:p>
        </w:tc>
        <w:tc>
          <w:tcPr>
            <w:tcW w:w="423" w:type="pct"/>
            <w:noWrap/>
            <w:hideMark/>
          </w:tcPr>
          <w:p w14:paraId="3A7BD2F3" w14:textId="77777777" w:rsidR="00EB7374" w:rsidRPr="00615E45" w:rsidRDefault="00EB7374" w:rsidP="00C700EB">
            <w:pPr>
              <w:jc w:val="right"/>
              <w:rPr>
                <w:rFonts w:cs="Calibri"/>
                <w:color w:val="000000"/>
                <w:sz w:val="15"/>
                <w:szCs w:val="15"/>
              </w:rPr>
            </w:pPr>
            <w:r w:rsidRPr="00615E45">
              <w:rPr>
                <w:color w:val="000000"/>
                <w:sz w:val="15"/>
              </w:rPr>
              <w:t>17.3</w:t>
            </w:r>
          </w:p>
        </w:tc>
        <w:tc>
          <w:tcPr>
            <w:tcW w:w="420" w:type="pct"/>
            <w:noWrap/>
            <w:hideMark/>
          </w:tcPr>
          <w:p w14:paraId="3B587BFC" w14:textId="77777777" w:rsidR="00EB7374" w:rsidRPr="00615E45" w:rsidRDefault="00EB7374" w:rsidP="00C700EB">
            <w:pPr>
              <w:jc w:val="right"/>
              <w:rPr>
                <w:rFonts w:cs="Calibri"/>
                <w:color w:val="000000"/>
                <w:sz w:val="15"/>
                <w:szCs w:val="15"/>
              </w:rPr>
            </w:pPr>
            <w:r w:rsidRPr="00615E45">
              <w:rPr>
                <w:color w:val="000000"/>
                <w:sz w:val="15"/>
              </w:rPr>
              <w:t>15.8</w:t>
            </w:r>
          </w:p>
        </w:tc>
      </w:tr>
      <w:tr w:rsidR="00EB7374" w:rsidRPr="00615E45" w14:paraId="0824CB9B" w14:textId="77777777" w:rsidTr="00C700EB">
        <w:trPr>
          <w:cnfStyle w:val="000000010000" w:firstRow="0" w:lastRow="0" w:firstColumn="0" w:lastColumn="0" w:oddVBand="0" w:evenVBand="0" w:oddHBand="0" w:evenHBand="1" w:firstRowFirstColumn="0" w:firstRowLastColumn="0" w:lastRowFirstColumn="0" w:lastRowLastColumn="0"/>
          <w:cantSplit/>
        </w:trPr>
        <w:tc>
          <w:tcPr>
            <w:tcW w:w="2041" w:type="pct"/>
            <w:noWrap/>
            <w:hideMark/>
          </w:tcPr>
          <w:p w14:paraId="2F1A2EE4" w14:textId="77777777" w:rsidR="00EB7374" w:rsidRPr="00615E45" w:rsidRDefault="00EB7374" w:rsidP="00C700EB">
            <w:pPr>
              <w:jc w:val="left"/>
              <w:rPr>
                <w:rFonts w:cs="Calibri"/>
                <w:color w:val="000000"/>
                <w:sz w:val="15"/>
                <w:szCs w:val="15"/>
              </w:rPr>
            </w:pPr>
            <w:r w:rsidRPr="00615E45">
              <w:rPr>
                <w:color w:val="000000"/>
                <w:sz w:val="15"/>
              </w:rPr>
              <w:t>Growth rate (%)</w:t>
            </w:r>
          </w:p>
        </w:tc>
        <w:tc>
          <w:tcPr>
            <w:tcW w:w="423" w:type="pct"/>
            <w:noWrap/>
            <w:hideMark/>
          </w:tcPr>
          <w:p w14:paraId="1A85A11F" w14:textId="77777777" w:rsidR="00EB7374" w:rsidRPr="00615E45" w:rsidRDefault="00EB7374" w:rsidP="00C700EB">
            <w:pPr>
              <w:jc w:val="right"/>
              <w:rPr>
                <w:rFonts w:cs="Calibri"/>
                <w:color w:val="000000"/>
                <w:sz w:val="15"/>
                <w:szCs w:val="15"/>
              </w:rPr>
            </w:pPr>
            <w:r w:rsidRPr="00615E45">
              <w:rPr>
                <w:color w:val="000000"/>
                <w:sz w:val="15"/>
              </w:rPr>
              <w:t>..</w:t>
            </w:r>
          </w:p>
        </w:tc>
        <w:tc>
          <w:tcPr>
            <w:tcW w:w="423" w:type="pct"/>
            <w:noWrap/>
            <w:hideMark/>
          </w:tcPr>
          <w:p w14:paraId="1382CFE5" w14:textId="77777777" w:rsidR="00EB7374" w:rsidRPr="00615E45" w:rsidRDefault="00EB7374" w:rsidP="00C700EB">
            <w:pPr>
              <w:jc w:val="right"/>
              <w:rPr>
                <w:rFonts w:cs="Calibri"/>
                <w:color w:val="000000"/>
                <w:sz w:val="15"/>
                <w:szCs w:val="15"/>
              </w:rPr>
            </w:pPr>
            <w:r w:rsidRPr="00615E45">
              <w:rPr>
                <w:color w:val="000000"/>
                <w:sz w:val="15"/>
              </w:rPr>
              <w:t>2.8</w:t>
            </w:r>
          </w:p>
        </w:tc>
        <w:tc>
          <w:tcPr>
            <w:tcW w:w="423" w:type="pct"/>
            <w:noWrap/>
            <w:hideMark/>
          </w:tcPr>
          <w:p w14:paraId="1C6E4F6C" w14:textId="77777777" w:rsidR="00EB7374" w:rsidRPr="00615E45" w:rsidRDefault="00EB7374" w:rsidP="00C700EB">
            <w:pPr>
              <w:jc w:val="right"/>
              <w:rPr>
                <w:rFonts w:cs="Calibri"/>
                <w:color w:val="000000"/>
                <w:sz w:val="15"/>
                <w:szCs w:val="15"/>
              </w:rPr>
            </w:pPr>
            <w:r w:rsidRPr="00615E45">
              <w:rPr>
                <w:color w:val="000000"/>
                <w:sz w:val="15"/>
              </w:rPr>
              <w:t>4.2</w:t>
            </w:r>
          </w:p>
        </w:tc>
        <w:tc>
          <w:tcPr>
            <w:tcW w:w="423" w:type="pct"/>
            <w:noWrap/>
            <w:hideMark/>
          </w:tcPr>
          <w:p w14:paraId="4EE9A3CC" w14:textId="77777777" w:rsidR="00EB7374" w:rsidRPr="00615E45" w:rsidRDefault="00EB7374" w:rsidP="00C700EB">
            <w:pPr>
              <w:jc w:val="right"/>
              <w:rPr>
                <w:rFonts w:cs="Calibri"/>
                <w:color w:val="000000"/>
                <w:sz w:val="15"/>
                <w:szCs w:val="15"/>
              </w:rPr>
            </w:pPr>
            <w:r w:rsidRPr="00615E45">
              <w:rPr>
                <w:color w:val="000000"/>
                <w:sz w:val="15"/>
              </w:rPr>
              <w:t>6.4</w:t>
            </w:r>
          </w:p>
        </w:tc>
        <w:tc>
          <w:tcPr>
            <w:tcW w:w="423" w:type="pct"/>
            <w:noWrap/>
            <w:hideMark/>
          </w:tcPr>
          <w:p w14:paraId="743DA079" w14:textId="77777777" w:rsidR="00EB7374" w:rsidRPr="00615E45" w:rsidRDefault="00EB7374" w:rsidP="00C700EB">
            <w:pPr>
              <w:jc w:val="right"/>
              <w:rPr>
                <w:rFonts w:cs="Calibri"/>
                <w:color w:val="000000"/>
                <w:sz w:val="15"/>
                <w:szCs w:val="15"/>
              </w:rPr>
            </w:pPr>
            <w:r w:rsidRPr="00615E45">
              <w:rPr>
                <w:color w:val="000000"/>
                <w:sz w:val="15"/>
              </w:rPr>
              <w:t>2.0</w:t>
            </w:r>
          </w:p>
        </w:tc>
        <w:tc>
          <w:tcPr>
            <w:tcW w:w="423" w:type="pct"/>
            <w:noWrap/>
            <w:hideMark/>
          </w:tcPr>
          <w:p w14:paraId="7B423A37" w14:textId="77777777" w:rsidR="00EB7374" w:rsidRPr="00615E45" w:rsidRDefault="00EB7374" w:rsidP="00C700EB">
            <w:pPr>
              <w:jc w:val="right"/>
              <w:rPr>
                <w:rFonts w:cs="Calibri"/>
                <w:color w:val="000000"/>
                <w:sz w:val="15"/>
                <w:szCs w:val="15"/>
              </w:rPr>
            </w:pPr>
            <w:r w:rsidRPr="00615E45">
              <w:rPr>
                <w:color w:val="000000"/>
                <w:sz w:val="15"/>
              </w:rPr>
              <w:t>1.7</w:t>
            </w:r>
          </w:p>
        </w:tc>
        <w:tc>
          <w:tcPr>
            <w:tcW w:w="420" w:type="pct"/>
            <w:noWrap/>
            <w:hideMark/>
          </w:tcPr>
          <w:p w14:paraId="36C03E5A" w14:textId="77777777" w:rsidR="00EB7374" w:rsidRPr="00615E45" w:rsidRDefault="00EB7374" w:rsidP="00C700EB">
            <w:pPr>
              <w:jc w:val="right"/>
              <w:rPr>
                <w:rFonts w:cs="Calibri"/>
                <w:color w:val="000000"/>
                <w:sz w:val="15"/>
                <w:szCs w:val="15"/>
              </w:rPr>
            </w:pPr>
            <w:r w:rsidRPr="00615E45">
              <w:rPr>
                <w:color w:val="000000"/>
                <w:sz w:val="15"/>
              </w:rPr>
              <w:t>30.5</w:t>
            </w:r>
          </w:p>
        </w:tc>
      </w:tr>
      <w:tr w:rsidR="00EB7374" w:rsidRPr="00615E45" w14:paraId="44A7E397" w14:textId="77777777" w:rsidTr="00C700EB">
        <w:trPr>
          <w:cantSplit/>
        </w:trPr>
        <w:tc>
          <w:tcPr>
            <w:tcW w:w="2041" w:type="pct"/>
            <w:noWrap/>
          </w:tcPr>
          <w:p w14:paraId="06A3A2AC" w14:textId="77777777" w:rsidR="00EB7374" w:rsidRPr="00615E45" w:rsidRDefault="00EB7374" w:rsidP="00C700EB">
            <w:pPr>
              <w:jc w:val="left"/>
              <w:rPr>
                <w:rFonts w:cs="Calibri"/>
                <w:color w:val="000000"/>
                <w:sz w:val="15"/>
                <w:szCs w:val="15"/>
              </w:rPr>
            </w:pPr>
            <w:r w:rsidRPr="00615E45">
              <w:rPr>
                <w:color w:val="000000"/>
                <w:sz w:val="15"/>
              </w:rPr>
              <w:t xml:space="preserve">Top </w:t>
            </w:r>
            <w:r>
              <w:rPr>
                <w:color w:val="000000"/>
                <w:sz w:val="15"/>
              </w:rPr>
              <w:t>five</w:t>
            </w:r>
            <w:r w:rsidRPr="00615E45">
              <w:rPr>
                <w:color w:val="000000"/>
                <w:sz w:val="15"/>
              </w:rPr>
              <w:t xml:space="preserve"> products, </w:t>
            </w:r>
            <w:r>
              <w:rPr>
                <w:color w:val="000000"/>
                <w:sz w:val="15"/>
              </w:rPr>
              <w:t>by</w:t>
            </w:r>
            <w:r w:rsidRPr="00615E45">
              <w:rPr>
                <w:color w:val="000000"/>
                <w:sz w:val="15"/>
              </w:rPr>
              <w:t xml:space="preserve"> HS chapter (% of agricultural total)</w:t>
            </w:r>
          </w:p>
        </w:tc>
        <w:tc>
          <w:tcPr>
            <w:tcW w:w="423" w:type="pct"/>
            <w:noWrap/>
          </w:tcPr>
          <w:p w14:paraId="4EA45E26" w14:textId="77777777" w:rsidR="00EB7374" w:rsidRPr="00615E45" w:rsidRDefault="00EB7374" w:rsidP="00C700EB">
            <w:pPr>
              <w:jc w:val="right"/>
              <w:rPr>
                <w:rFonts w:cs="Calibri"/>
                <w:color w:val="000000"/>
                <w:sz w:val="15"/>
                <w:szCs w:val="15"/>
              </w:rPr>
            </w:pPr>
          </w:p>
        </w:tc>
        <w:tc>
          <w:tcPr>
            <w:tcW w:w="423" w:type="pct"/>
            <w:noWrap/>
          </w:tcPr>
          <w:p w14:paraId="12BCC474" w14:textId="77777777" w:rsidR="00EB7374" w:rsidRPr="00615E45" w:rsidRDefault="00EB7374" w:rsidP="00C700EB">
            <w:pPr>
              <w:jc w:val="right"/>
              <w:rPr>
                <w:rFonts w:cs="Calibri"/>
                <w:color w:val="000000"/>
                <w:sz w:val="15"/>
                <w:szCs w:val="15"/>
              </w:rPr>
            </w:pPr>
          </w:p>
        </w:tc>
        <w:tc>
          <w:tcPr>
            <w:tcW w:w="423" w:type="pct"/>
            <w:noWrap/>
          </w:tcPr>
          <w:p w14:paraId="6EC95826" w14:textId="77777777" w:rsidR="00EB7374" w:rsidRPr="00615E45" w:rsidRDefault="00EB7374" w:rsidP="00C700EB">
            <w:pPr>
              <w:jc w:val="right"/>
              <w:rPr>
                <w:rFonts w:cs="Calibri"/>
                <w:color w:val="000000"/>
                <w:sz w:val="15"/>
                <w:szCs w:val="15"/>
              </w:rPr>
            </w:pPr>
          </w:p>
        </w:tc>
        <w:tc>
          <w:tcPr>
            <w:tcW w:w="423" w:type="pct"/>
            <w:noWrap/>
          </w:tcPr>
          <w:p w14:paraId="3D47AAFB" w14:textId="77777777" w:rsidR="00EB7374" w:rsidRPr="00615E45" w:rsidRDefault="00EB7374" w:rsidP="00C700EB">
            <w:pPr>
              <w:jc w:val="right"/>
              <w:rPr>
                <w:rFonts w:cs="Calibri"/>
                <w:color w:val="000000"/>
                <w:sz w:val="15"/>
                <w:szCs w:val="15"/>
              </w:rPr>
            </w:pPr>
          </w:p>
        </w:tc>
        <w:tc>
          <w:tcPr>
            <w:tcW w:w="423" w:type="pct"/>
            <w:noWrap/>
          </w:tcPr>
          <w:p w14:paraId="01773EB9" w14:textId="77777777" w:rsidR="00EB7374" w:rsidRPr="00615E45" w:rsidRDefault="00EB7374" w:rsidP="00C700EB">
            <w:pPr>
              <w:jc w:val="right"/>
              <w:rPr>
                <w:rFonts w:cs="Calibri"/>
                <w:color w:val="000000"/>
                <w:sz w:val="15"/>
                <w:szCs w:val="15"/>
              </w:rPr>
            </w:pPr>
          </w:p>
        </w:tc>
        <w:tc>
          <w:tcPr>
            <w:tcW w:w="423" w:type="pct"/>
            <w:noWrap/>
          </w:tcPr>
          <w:p w14:paraId="56ADE306" w14:textId="77777777" w:rsidR="00EB7374" w:rsidRPr="00615E45" w:rsidRDefault="00EB7374" w:rsidP="00C700EB">
            <w:pPr>
              <w:jc w:val="right"/>
              <w:rPr>
                <w:rFonts w:cs="Calibri"/>
                <w:color w:val="000000"/>
                <w:sz w:val="15"/>
                <w:szCs w:val="15"/>
              </w:rPr>
            </w:pPr>
          </w:p>
        </w:tc>
        <w:tc>
          <w:tcPr>
            <w:tcW w:w="420" w:type="pct"/>
            <w:noWrap/>
          </w:tcPr>
          <w:p w14:paraId="67EB3046" w14:textId="77777777" w:rsidR="00EB7374" w:rsidRPr="00615E45" w:rsidRDefault="00EB7374" w:rsidP="00C700EB">
            <w:pPr>
              <w:jc w:val="right"/>
              <w:rPr>
                <w:rFonts w:cs="Calibri"/>
                <w:color w:val="000000"/>
                <w:sz w:val="15"/>
                <w:szCs w:val="15"/>
              </w:rPr>
            </w:pPr>
          </w:p>
        </w:tc>
      </w:tr>
      <w:tr w:rsidR="00EB7374" w:rsidRPr="00615E45" w14:paraId="5DF8926E" w14:textId="77777777" w:rsidTr="00C700EB">
        <w:trPr>
          <w:cnfStyle w:val="000000010000" w:firstRow="0" w:lastRow="0" w:firstColumn="0" w:lastColumn="0" w:oddVBand="0" w:evenVBand="0" w:oddHBand="0" w:evenHBand="1" w:firstRowFirstColumn="0" w:firstRowLastColumn="0" w:lastRowFirstColumn="0" w:lastRowLastColumn="0"/>
          <w:cantSplit/>
        </w:trPr>
        <w:tc>
          <w:tcPr>
            <w:tcW w:w="2041" w:type="pct"/>
            <w:noWrap/>
          </w:tcPr>
          <w:p w14:paraId="77D302DA" w14:textId="77777777" w:rsidR="00EB7374" w:rsidRPr="00615E45" w:rsidRDefault="00EB7374" w:rsidP="00C700EB">
            <w:pPr>
              <w:jc w:val="left"/>
              <w:rPr>
                <w:rFonts w:cs="Calibri"/>
                <w:color w:val="000000"/>
                <w:sz w:val="15"/>
                <w:szCs w:val="15"/>
              </w:rPr>
            </w:pPr>
            <w:r w:rsidRPr="00615E45">
              <w:rPr>
                <w:color w:val="000000"/>
                <w:sz w:val="15"/>
              </w:rPr>
              <w:t>10. Cereals</w:t>
            </w:r>
          </w:p>
        </w:tc>
        <w:tc>
          <w:tcPr>
            <w:tcW w:w="423" w:type="pct"/>
            <w:noWrap/>
          </w:tcPr>
          <w:p w14:paraId="75214DB8" w14:textId="77777777" w:rsidR="00EB7374" w:rsidRPr="00615E45" w:rsidRDefault="00EB7374" w:rsidP="00C700EB">
            <w:pPr>
              <w:jc w:val="right"/>
              <w:rPr>
                <w:rFonts w:cs="Calibri"/>
                <w:color w:val="000000"/>
                <w:sz w:val="15"/>
                <w:szCs w:val="15"/>
              </w:rPr>
            </w:pPr>
            <w:r w:rsidRPr="00615E45">
              <w:rPr>
                <w:color w:val="000000"/>
                <w:sz w:val="15"/>
              </w:rPr>
              <w:t>14.2</w:t>
            </w:r>
          </w:p>
        </w:tc>
        <w:tc>
          <w:tcPr>
            <w:tcW w:w="423" w:type="pct"/>
            <w:noWrap/>
          </w:tcPr>
          <w:p w14:paraId="19AF74AC" w14:textId="77777777" w:rsidR="00EB7374" w:rsidRPr="00615E45" w:rsidRDefault="00EB7374" w:rsidP="00C700EB">
            <w:pPr>
              <w:jc w:val="right"/>
              <w:rPr>
                <w:rFonts w:cs="Calibri"/>
                <w:color w:val="000000"/>
                <w:sz w:val="15"/>
                <w:szCs w:val="15"/>
              </w:rPr>
            </w:pPr>
            <w:r w:rsidRPr="00615E45">
              <w:rPr>
                <w:color w:val="000000"/>
                <w:sz w:val="15"/>
              </w:rPr>
              <w:t>13.3</w:t>
            </w:r>
          </w:p>
        </w:tc>
        <w:tc>
          <w:tcPr>
            <w:tcW w:w="423" w:type="pct"/>
            <w:noWrap/>
          </w:tcPr>
          <w:p w14:paraId="7B1BA274" w14:textId="77777777" w:rsidR="00EB7374" w:rsidRPr="00615E45" w:rsidRDefault="00EB7374" w:rsidP="00C700EB">
            <w:pPr>
              <w:jc w:val="right"/>
              <w:rPr>
                <w:rFonts w:cs="Calibri"/>
                <w:color w:val="000000"/>
                <w:sz w:val="15"/>
                <w:szCs w:val="15"/>
              </w:rPr>
            </w:pPr>
            <w:r w:rsidRPr="00615E45">
              <w:rPr>
                <w:color w:val="000000"/>
                <w:sz w:val="15"/>
              </w:rPr>
              <w:t>13.8</w:t>
            </w:r>
          </w:p>
        </w:tc>
        <w:tc>
          <w:tcPr>
            <w:tcW w:w="423" w:type="pct"/>
            <w:noWrap/>
          </w:tcPr>
          <w:p w14:paraId="6E343047" w14:textId="77777777" w:rsidR="00EB7374" w:rsidRPr="00615E45" w:rsidRDefault="00EB7374" w:rsidP="00C700EB">
            <w:pPr>
              <w:jc w:val="right"/>
              <w:rPr>
                <w:rFonts w:cs="Calibri"/>
                <w:color w:val="000000"/>
                <w:sz w:val="15"/>
                <w:szCs w:val="15"/>
              </w:rPr>
            </w:pPr>
            <w:r w:rsidRPr="00615E45">
              <w:rPr>
                <w:color w:val="000000"/>
                <w:sz w:val="15"/>
              </w:rPr>
              <w:t>13.5</w:t>
            </w:r>
          </w:p>
        </w:tc>
        <w:tc>
          <w:tcPr>
            <w:tcW w:w="423" w:type="pct"/>
            <w:noWrap/>
          </w:tcPr>
          <w:p w14:paraId="632D029C" w14:textId="77777777" w:rsidR="00EB7374" w:rsidRPr="00615E45" w:rsidRDefault="00EB7374" w:rsidP="00C700EB">
            <w:pPr>
              <w:jc w:val="right"/>
              <w:rPr>
                <w:rFonts w:cs="Calibri"/>
                <w:color w:val="000000"/>
                <w:sz w:val="15"/>
                <w:szCs w:val="15"/>
              </w:rPr>
            </w:pPr>
            <w:r w:rsidRPr="00615E45">
              <w:rPr>
                <w:color w:val="000000"/>
                <w:sz w:val="15"/>
              </w:rPr>
              <w:t>13.8</w:t>
            </w:r>
          </w:p>
        </w:tc>
        <w:tc>
          <w:tcPr>
            <w:tcW w:w="423" w:type="pct"/>
            <w:noWrap/>
          </w:tcPr>
          <w:p w14:paraId="50CA0D63" w14:textId="77777777" w:rsidR="00EB7374" w:rsidRPr="00615E45" w:rsidRDefault="00EB7374" w:rsidP="00C700EB">
            <w:pPr>
              <w:jc w:val="right"/>
              <w:rPr>
                <w:rFonts w:cs="Calibri"/>
                <w:color w:val="000000"/>
                <w:sz w:val="15"/>
                <w:szCs w:val="15"/>
              </w:rPr>
            </w:pPr>
            <w:r w:rsidRPr="00615E45">
              <w:rPr>
                <w:color w:val="000000"/>
                <w:sz w:val="15"/>
              </w:rPr>
              <w:t>12.7</w:t>
            </w:r>
          </w:p>
        </w:tc>
        <w:tc>
          <w:tcPr>
            <w:tcW w:w="420" w:type="pct"/>
            <w:noWrap/>
          </w:tcPr>
          <w:p w14:paraId="72706C53" w14:textId="77777777" w:rsidR="00EB7374" w:rsidRPr="00615E45" w:rsidRDefault="00EB7374" w:rsidP="00C700EB">
            <w:pPr>
              <w:jc w:val="right"/>
              <w:rPr>
                <w:rFonts w:cs="Calibri"/>
                <w:color w:val="000000"/>
                <w:sz w:val="15"/>
                <w:szCs w:val="15"/>
              </w:rPr>
            </w:pPr>
            <w:r w:rsidRPr="00615E45">
              <w:rPr>
                <w:color w:val="000000"/>
                <w:sz w:val="15"/>
              </w:rPr>
              <w:t>15.3</w:t>
            </w:r>
          </w:p>
        </w:tc>
      </w:tr>
      <w:tr w:rsidR="00EB7374" w:rsidRPr="00615E45" w14:paraId="47540E6A" w14:textId="77777777" w:rsidTr="00C700EB">
        <w:trPr>
          <w:cantSplit/>
        </w:trPr>
        <w:tc>
          <w:tcPr>
            <w:tcW w:w="2041" w:type="pct"/>
            <w:noWrap/>
          </w:tcPr>
          <w:p w14:paraId="24165D8E" w14:textId="77777777" w:rsidR="00EB7374" w:rsidRPr="00615E45" w:rsidRDefault="00EB7374" w:rsidP="00C700EB">
            <w:pPr>
              <w:jc w:val="left"/>
              <w:rPr>
                <w:rFonts w:cs="Calibri"/>
                <w:color w:val="000000"/>
                <w:sz w:val="15"/>
                <w:szCs w:val="15"/>
              </w:rPr>
            </w:pPr>
            <w:r w:rsidRPr="00615E45">
              <w:rPr>
                <w:color w:val="000000"/>
                <w:sz w:val="15"/>
              </w:rPr>
              <w:t>24. Tobacco and manufactured tobacco substitutes</w:t>
            </w:r>
          </w:p>
        </w:tc>
        <w:tc>
          <w:tcPr>
            <w:tcW w:w="423" w:type="pct"/>
            <w:noWrap/>
          </w:tcPr>
          <w:p w14:paraId="090FD107" w14:textId="77777777" w:rsidR="00EB7374" w:rsidRPr="00615E45" w:rsidRDefault="00EB7374" w:rsidP="00C700EB">
            <w:pPr>
              <w:jc w:val="right"/>
              <w:rPr>
                <w:rFonts w:cs="Calibri"/>
                <w:color w:val="000000"/>
                <w:sz w:val="15"/>
                <w:szCs w:val="15"/>
              </w:rPr>
            </w:pPr>
            <w:r w:rsidRPr="00615E45">
              <w:rPr>
                <w:color w:val="000000"/>
                <w:sz w:val="15"/>
              </w:rPr>
              <w:t>11.1</w:t>
            </w:r>
          </w:p>
        </w:tc>
        <w:tc>
          <w:tcPr>
            <w:tcW w:w="423" w:type="pct"/>
            <w:noWrap/>
          </w:tcPr>
          <w:p w14:paraId="3ED2B51D" w14:textId="77777777" w:rsidR="00EB7374" w:rsidRPr="00615E45" w:rsidRDefault="00EB7374" w:rsidP="00C700EB">
            <w:pPr>
              <w:jc w:val="right"/>
              <w:rPr>
                <w:rFonts w:cs="Calibri"/>
                <w:color w:val="000000"/>
                <w:sz w:val="15"/>
                <w:szCs w:val="15"/>
              </w:rPr>
            </w:pPr>
            <w:r w:rsidRPr="00615E45">
              <w:rPr>
                <w:color w:val="000000"/>
                <w:sz w:val="15"/>
              </w:rPr>
              <w:t>11.1</w:t>
            </w:r>
          </w:p>
        </w:tc>
        <w:tc>
          <w:tcPr>
            <w:tcW w:w="423" w:type="pct"/>
            <w:noWrap/>
          </w:tcPr>
          <w:p w14:paraId="347ADC86" w14:textId="77777777" w:rsidR="00EB7374" w:rsidRPr="00615E45" w:rsidRDefault="00EB7374" w:rsidP="00C700EB">
            <w:pPr>
              <w:jc w:val="right"/>
              <w:rPr>
                <w:rFonts w:cs="Calibri"/>
                <w:color w:val="000000"/>
                <w:sz w:val="15"/>
                <w:szCs w:val="15"/>
              </w:rPr>
            </w:pPr>
            <w:r w:rsidRPr="00615E45">
              <w:rPr>
                <w:color w:val="000000"/>
                <w:sz w:val="15"/>
              </w:rPr>
              <w:t>10.9</w:t>
            </w:r>
          </w:p>
        </w:tc>
        <w:tc>
          <w:tcPr>
            <w:tcW w:w="423" w:type="pct"/>
            <w:noWrap/>
          </w:tcPr>
          <w:p w14:paraId="686AC2FD" w14:textId="77777777" w:rsidR="00EB7374" w:rsidRPr="00615E45" w:rsidRDefault="00EB7374" w:rsidP="00C700EB">
            <w:pPr>
              <w:jc w:val="right"/>
              <w:rPr>
                <w:rFonts w:cs="Calibri"/>
                <w:color w:val="000000"/>
                <w:sz w:val="15"/>
                <w:szCs w:val="15"/>
              </w:rPr>
            </w:pPr>
            <w:r w:rsidRPr="00615E45">
              <w:rPr>
                <w:color w:val="000000"/>
                <w:sz w:val="15"/>
              </w:rPr>
              <w:t>11.5</w:t>
            </w:r>
          </w:p>
        </w:tc>
        <w:tc>
          <w:tcPr>
            <w:tcW w:w="423" w:type="pct"/>
            <w:noWrap/>
          </w:tcPr>
          <w:p w14:paraId="62C75A98" w14:textId="77777777" w:rsidR="00EB7374" w:rsidRPr="00615E45" w:rsidRDefault="00EB7374" w:rsidP="00C700EB">
            <w:pPr>
              <w:jc w:val="right"/>
              <w:rPr>
                <w:rFonts w:cs="Calibri"/>
                <w:color w:val="000000"/>
                <w:sz w:val="15"/>
                <w:szCs w:val="15"/>
              </w:rPr>
            </w:pPr>
            <w:r w:rsidRPr="00615E45">
              <w:rPr>
                <w:color w:val="000000"/>
                <w:sz w:val="15"/>
              </w:rPr>
              <w:t>13.2</w:t>
            </w:r>
          </w:p>
        </w:tc>
        <w:tc>
          <w:tcPr>
            <w:tcW w:w="423" w:type="pct"/>
            <w:noWrap/>
          </w:tcPr>
          <w:p w14:paraId="14EB6EA2" w14:textId="77777777" w:rsidR="00EB7374" w:rsidRPr="00615E45" w:rsidRDefault="00EB7374" w:rsidP="00C700EB">
            <w:pPr>
              <w:jc w:val="right"/>
              <w:rPr>
                <w:rFonts w:cs="Calibri"/>
                <w:color w:val="000000"/>
                <w:sz w:val="15"/>
                <w:szCs w:val="15"/>
              </w:rPr>
            </w:pPr>
            <w:r w:rsidRPr="00615E45">
              <w:rPr>
                <w:color w:val="000000"/>
                <w:sz w:val="15"/>
              </w:rPr>
              <w:t>13.9</w:t>
            </w:r>
          </w:p>
        </w:tc>
        <w:tc>
          <w:tcPr>
            <w:tcW w:w="420" w:type="pct"/>
            <w:noWrap/>
          </w:tcPr>
          <w:p w14:paraId="27000888" w14:textId="77777777" w:rsidR="00EB7374" w:rsidRPr="00615E45" w:rsidRDefault="00EB7374" w:rsidP="00C700EB">
            <w:pPr>
              <w:jc w:val="right"/>
              <w:rPr>
                <w:rFonts w:cs="Calibri"/>
                <w:color w:val="000000"/>
                <w:sz w:val="15"/>
                <w:szCs w:val="15"/>
              </w:rPr>
            </w:pPr>
            <w:r w:rsidRPr="00615E45">
              <w:rPr>
                <w:color w:val="000000"/>
                <w:sz w:val="15"/>
              </w:rPr>
              <w:t>11.6</w:t>
            </w:r>
          </w:p>
        </w:tc>
      </w:tr>
      <w:tr w:rsidR="00EB7374" w:rsidRPr="00615E45" w14:paraId="6D0D6085" w14:textId="77777777" w:rsidTr="00C700EB">
        <w:trPr>
          <w:cnfStyle w:val="000000010000" w:firstRow="0" w:lastRow="0" w:firstColumn="0" w:lastColumn="0" w:oddVBand="0" w:evenVBand="0" w:oddHBand="0" w:evenHBand="1" w:firstRowFirstColumn="0" w:firstRowLastColumn="0" w:lastRowFirstColumn="0" w:lastRowLastColumn="0"/>
          <w:cantSplit/>
        </w:trPr>
        <w:tc>
          <w:tcPr>
            <w:tcW w:w="2041" w:type="pct"/>
            <w:noWrap/>
          </w:tcPr>
          <w:p w14:paraId="7EB9DD82" w14:textId="77777777" w:rsidR="00EB7374" w:rsidRPr="00615E45" w:rsidRDefault="00EB7374" w:rsidP="00C700EB">
            <w:pPr>
              <w:jc w:val="left"/>
              <w:rPr>
                <w:rFonts w:cs="Calibri"/>
                <w:color w:val="000000"/>
                <w:sz w:val="15"/>
                <w:szCs w:val="15"/>
              </w:rPr>
            </w:pPr>
            <w:r w:rsidRPr="00615E45">
              <w:rPr>
                <w:color w:val="000000"/>
                <w:sz w:val="15"/>
              </w:rPr>
              <w:t xml:space="preserve">22. Beverages, </w:t>
            </w:r>
            <w:r w:rsidRPr="00023BF1">
              <w:rPr>
                <w:color w:val="000000"/>
                <w:sz w:val="15"/>
              </w:rPr>
              <w:t>spirits</w:t>
            </w:r>
            <w:r w:rsidRPr="00615E45">
              <w:rPr>
                <w:color w:val="000000"/>
                <w:sz w:val="15"/>
              </w:rPr>
              <w:t xml:space="preserve"> and vinegar</w:t>
            </w:r>
          </w:p>
        </w:tc>
        <w:tc>
          <w:tcPr>
            <w:tcW w:w="423" w:type="pct"/>
            <w:noWrap/>
          </w:tcPr>
          <w:p w14:paraId="3B73BEBC" w14:textId="77777777" w:rsidR="00EB7374" w:rsidRPr="00615E45" w:rsidRDefault="00EB7374" w:rsidP="00C700EB">
            <w:pPr>
              <w:jc w:val="right"/>
              <w:rPr>
                <w:rFonts w:cs="Calibri"/>
                <w:color w:val="000000"/>
                <w:sz w:val="15"/>
                <w:szCs w:val="15"/>
              </w:rPr>
            </w:pPr>
            <w:r w:rsidRPr="00615E45">
              <w:rPr>
                <w:color w:val="000000"/>
                <w:sz w:val="15"/>
              </w:rPr>
              <w:t>9.3</w:t>
            </w:r>
          </w:p>
        </w:tc>
        <w:tc>
          <w:tcPr>
            <w:tcW w:w="423" w:type="pct"/>
            <w:noWrap/>
          </w:tcPr>
          <w:p w14:paraId="62690B89" w14:textId="77777777" w:rsidR="00EB7374" w:rsidRPr="00615E45" w:rsidRDefault="00EB7374" w:rsidP="00C700EB">
            <w:pPr>
              <w:jc w:val="right"/>
              <w:rPr>
                <w:rFonts w:cs="Calibri"/>
                <w:color w:val="000000"/>
                <w:sz w:val="15"/>
                <w:szCs w:val="15"/>
              </w:rPr>
            </w:pPr>
            <w:r w:rsidRPr="00615E45">
              <w:rPr>
                <w:color w:val="000000"/>
                <w:sz w:val="15"/>
              </w:rPr>
              <w:t>8.6</w:t>
            </w:r>
          </w:p>
        </w:tc>
        <w:tc>
          <w:tcPr>
            <w:tcW w:w="423" w:type="pct"/>
            <w:noWrap/>
          </w:tcPr>
          <w:p w14:paraId="72EC6D6B" w14:textId="77777777" w:rsidR="00EB7374" w:rsidRPr="00615E45" w:rsidRDefault="00EB7374" w:rsidP="00C700EB">
            <w:pPr>
              <w:jc w:val="right"/>
              <w:rPr>
                <w:rFonts w:cs="Calibri"/>
                <w:color w:val="000000"/>
                <w:sz w:val="15"/>
                <w:szCs w:val="15"/>
              </w:rPr>
            </w:pPr>
            <w:r w:rsidRPr="00615E45">
              <w:rPr>
                <w:color w:val="000000"/>
                <w:sz w:val="15"/>
              </w:rPr>
              <w:t>9.1</w:t>
            </w:r>
          </w:p>
        </w:tc>
        <w:tc>
          <w:tcPr>
            <w:tcW w:w="423" w:type="pct"/>
            <w:noWrap/>
          </w:tcPr>
          <w:p w14:paraId="732E9C3A" w14:textId="77777777" w:rsidR="00EB7374" w:rsidRPr="00615E45" w:rsidRDefault="00EB7374" w:rsidP="00C700EB">
            <w:pPr>
              <w:jc w:val="right"/>
              <w:rPr>
                <w:rFonts w:cs="Calibri"/>
                <w:color w:val="000000"/>
                <w:sz w:val="15"/>
                <w:szCs w:val="15"/>
              </w:rPr>
            </w:pPr>
            <w:r w:rsidRPr="00615E45">
              <w:rPr>
                <w:color w:val="000000"/>
                <w:sz w:val="15"/>
              </w:rPr>
              <w:t>8.9</w:t>
            </w:r>
          </w:p>
        </w:tc>
        <w:tc>
          <w:tcPr>
            <w:tcW w:w="423" w:type="pct"/>
            <w:noWrap/>
          </w:tcPr>
          <w:p w14:paraId="5E2C4EBC" w14:textId="77777777" w:rsidR="00EB7374" w:rsidRPr="00615E45" w:rsidRDefault="00EB7374" w:rsidP="00C700EB">
            <w:pPr>
              <w:jc w:val="right"/>
              <w:rPr>
                <w:rFonts w:cs="Calibri"/>
                <w:color w:val="000000"/>
                <w:sz w:val="15"/>
                <w:szCs w:val="15"/>
              </w:rPr>
            </w:pPr>
            <w:r w:rsidRPr="00615E45">
              <w:rPr>
                <w:color w:val="000000"/>
                <w:sz w:val="15"/>
              </w:rPr>
              <w:t>9.4</w:t>
            </w:r>
          </w:p>
        </w:tc>
        <w:tc>
          <w:tcPr>
            <w:tcW w:w="423" w:type="pct"/>
            <w:noWrap/>
          </w:tcPr>
          <w:p w14:paraId="64D57144" w14:textId="77777777" w:rsidR="00EB7374" w:rsidRPr="00615E45" w:rsidRDefault="00EB7374" w:rsidP="00C700EB">
            <w:pPr>
              <w:jc w:val="right"/>
              <w:rPr>
                <w:rFonts w:cs="Calibri"/>
                <w:color w:val="000000"/>
                <w:sz w:val="15"/>
                <w:szCs w:val="15"/>
              </w:rPr>
            </w:pPr>
            <w:r w:rsidRPr="00615E45">
              <w:rPr>
                <w:color w:val="000000"/>
                <w:sz w:val="15"/>
              </w:rPr>
              <w:t>7.6</w:t>
            </w:r>
          </w:p>
        </w:tc>
        <w:tc>
          <w:tcPr>
            <w:tcW w:w="420" w:type="pct"/>
            <w:noWrap/>
          </w:tcPr>
          <w:p w14:paraId="6B6717EA" w14:textId="77777777" w:rsidR="00EB7374" w:rsidRPr="00615E45" w:rsidRDefault="00EB7374" w:rsidP="00C700EB">
            <w:pPr>
              <w:jc w:val="right"/>
              <w:rPr>
                <w:rFonts w:cs="Calibri"/>
                <w:color w:val="000000"/>
                <w:sz w:val="15"/>
                <w:szCs w:val="15"/>
              </w:rPr>
            </w:pPr>
            <w:r w:rsidRPr="00615E45">
              <w:rPr>
                <w:color w:val="000000"/>
                <w:sz w:val="15"/>
              </w:rPr>
              <w:t>10.5</w:t>
            </w:r>
          </w:p>
        </w:tc>
      </w:tr>
      <w:tr w:rsidR="00EB7374" w:rsidRPr="00615E45" w14:paraId="5506B969" w14:textId="77777777" w:rsidTr="00C700EB">
        <w:trPr>
          <w:cantSplit/>
        </w:trPr>
        <w:tc>
          <w:tcPr>
            <w:tcW w:w="2041" w:type="pct"/>
            <w:noWrap/>
          </w:tcPr>
          <w:p w14:paraId="353CB98A" w14:textId="77777777" w:rsidR="00EB7374" w:rsidRPr="00615E45" w:rsidRDefault="00EB7374" w:rsidP="00C700EB">
            <w:pPr>
              <w:keepNext/>
              <w:keepLines/>
              <w:jc w:val="left"/>
              <w:rPr>
                <w:rFonts w:cs="Calibri"/>
                <w:color w:val="000000"/>
                <w:sz w:val="15"/>
                <w:szCs w:val="15"/>
              </w:rPr>
            </w:pPr>
            <w:r w:rsidRPr="00615E45">
              <w:rPr>
                <w:color w:val="000000"/>
                <w:sz w:val="15"/>
              </w:rPr>
              <w:lastRenderedPageBreak/>
              <w:t>15. Animal or vegetable fats and oils; prepared edible fats</w:t>
            </w:r>
          </w:p>
        </w:tc>
        <w:tc>
          <w:tcPr>
            <w:tcW w:w="423" w:type="pct"/>
            <w:noWrap/>
          </w:tcPr>
          <w:p w14:paraId="75A6BA45" w14:textId="77777777" w:rsidR="00EB7374" w:rsidRPr="00615E45" w:rsidRDefault="00EB7374" w:rsidP="00C700EB">
            <w:pPr>
              <w:keepNext/>
              <w:keepLines/>
              <w:jc w:val="right"/>
              <w:rPr>
                <w:rFonts w:cs="Calibri"/>
                <w:color w:val="000000"/>
                <w:sz w:val="15"/>
                <w:szCs w:val="15"/>
              </w:rPr>
            </w:pPr>
            <w:r w:rsidRPr="00615E45">
              <w:rPr>
                <w:color w:val="000000"/>
                <w:sz w:val="15"/>
              </w:rPr>
              <w:t>7.6</w:t>
            </w:r>
          </w:p>
        </w:tc>
        <w:tc>
          <w:tcPr>
            <w:tcW w:w="423" w:type="pct"/>
            <w:noWrap/>
          </w:tcPr>
          <w:p w14:paraId="1844F2CA" w14:textId="77777777" w:rsidR="00EB7374" w:rsidRPr="00615E45" w:rsidRDefault="00EB7374" w:rsidP="00C700EB">
            <w:pPr>
              <w:keepNext/>
              <w:keepLines/>
              <w:jc w:val="right"/>
              <w:rPr>
                <w:rFonts w:cs="Calibri"/>
                <w:color w:val="000000"/>
                <w:sz w:val="15"/>
                <w:szCs w:val="15"/>
              </w:rPr>
            </w:pPr>
            <w:r w:rsidRPr="00615E45">
              <w:rPr>
                <w:color w:val="000000"/>
                <w:sz w:val="15"/>
              </w:rPr>
              <w:t>7.6</w:t>
            </w:r>
          </w:p>
        </w:tc>
        <w:tc>
          <w:tcPr>
            <w:tcW w:w="423" w:type="pct"/>
            <w:noWrap/>
          </w:tcPr>
          <w:p w14:paraId="2822DD77" w14:textId="77777777" w:rsidR="00EB7374" w:rsidRPr="00615E45" w:rsidRDefault="00EB7374" w:rsidP="00C700EB">
            <w:pPr>
              <w:keepNext/>
              <w:keepLines/>
              <w:jc w:val="right"/>
              <w:rPr>
                <w:rFonts w:cs="Calibri"/>
                <w:color w:val="000000"/>
                <w:sz w:val="15"/>
                <w:szCs w:val="15"/>
              </w:rPr>
            </w:pPr>
            <w:r w:rsidRPr="00615E45">
              <w:rPr>
                <w:color w:val="000000"/>
                <w:sz w:val="15"/>
              </w:rPr>
              <w:t>8.4</w:t>
            </w:r>
          </w:p>
        </w:tc>
        <w:tc>
          <w:tcPr>
            <w:tcW w:w="423" w:type="pct"/>
            <w:noWrap/>
          </w:tcPr>
          <w:p w14:paraId="5C96ECE7" w14:textId="77777777" w:rsidR="00EB7374" w:rsidRPr="00615E45" w:rsidRDefault="00EB7374" w:rsidP="00C700EB">
            <w:pPr>
              <w:keepNext/>
              <w:keepLines/>
              <w:jc w:val="right"/>
              <w:rPr>
                <w:rFonts w:cs="Calibri"/>
                <w:color w:val="000000"/>
                <w:sz w:val="15"/>
                <w:szCs w:val="15"/>
              </w:rPr>
            </w:pPr>
            <w:r w:rsidRPr="00615E45">
              <w:rPr>
                <w:color w:val="000000"/>
                <w:sz w:val="15"/>
              </w:rPr>
              <w:t>7.5</w:t>
            </w:r>
          </w:p>
        </w:tc>
        <w:tc>
          <w:tcPr>
            <w:tcW w:w="423" w:type="pct"/>
            <w:noWrap/>
          </w:tcPr>
          <w:p w14:paraId="250B4F7C" w14:textId="77777777" w:rsidR="00EB7374" w:rsidRPr="00615E45" w:rsidRDefault="00EB7374" w:rsidP="00C700EB">
            <w:pPr>
              <w:keepNext/>
              <w:keepLines/>
              <w:jc w:val="right"/>
              <w:rPr>
                <w:rFonts w:cs="Calibri"/>
                <w:color w:val="000000"/>
                <w:sz w:val="15"/>
                <w:szCs w:val="15"/>
              </w:rPr>
            </w:pPr>
            <w:r w:rsidRPr="00615E45">
              <w:rPr>
                <w:color w:val="000000"/>
                <w:sz w:val="15"/>
              </w:rPr>
              <w:t>6.7</w:t>
            </w:r>
          </w:p>
        </w:tc>
        <w:tc>
          <w:tcPr>
            <w:tcW w:w="423" w:type="pct"/>
            <w:noWrap/>
          </w:tcPr>
          <w:p w14:paraId="3DF4FB4C" w14:textId="77777777" w:rsidR="00EB7374" w:rsidRPr="00615E45" w:rsidRDefault="00EB7374" w:rsidP="00C700EB">
            <w:pPr>
              <w:keepNext/>
              <w:keepLines/>
              <w:jc w:val="right"/>
              <w:rPr>
                <w:rFonts w:cs="Calibri"/>
                <w:color w:val="000000"/>
                <w:sz w:val="15"/>
                <w:szCs w:val="15"/>
              </w:rPr>
            </w:pPr>
            <w:r w:rsidRPr="00615E45">
              <w:rPr>
                <w:color w:val="000000"/>
                <w:sz w:val="15"/>
              </w:rPr>
              <w:t>7.7</w:t>
            </w:r>
          </w:p>
        </w:tc>
        <w:tc>
          <w:tcPr>
            <w:tcW w:w="420" w:type="pct"/>
            <w:noWrap/>
          </w:tcPr>
          <w:p w14:paraId="7A5975BC" w14:textId="77777777" w:rsidR="00EB7374" w:rsidRPr="00615E45" w:rsidRDefault="00EB7374" w:rsidP="00C700EB">
            <w:pPr>
              <w:keepNext/>
              <w:keepLines/>
              <w:jc w:val="right"/>
              <w:rPr>
                <w:rFonts w:cs="Calibri"/>
                <w:color w:val="000000"/>
                <w:sz w:val="15"/>
                <w:szCs w:val="15"/>
              </w:rPr>
            </w:pPr>
            <w:r w:rsidRPr="00615E45">
              <w:rPr>
                <w:color w:val="000000"/>
                <w:sz w:val="15"/>
              </w:rPr>
              <w:t>9.4</w:t>
            </w:r>
          </w:p>
        </w:tc>
      </w:tr>
      <w:tr w:rsidR="00EB7374" w:rsidRPr="00615E45" w14:paraId="72B2A60A" w14:textId="77777777" w:rsidTr="00C700EB">
        <w:trPr>
          <w:cnfStyle w:val="000000010000" w:firstRow="0" w:lastRow="0" w:firstColumn="0" w:lastColumn="0" w:oddVBand="0" w:evenVBand="0" w:oddHBand="0" w:evenHBand="1" w:firstRowFirstColumn="0" w:firstRowLastColumn="0" w:lastRowFirstColumn="0" w:lastRowLastColumn="0"/>
          <w:cantSplit/>
        </w:trPr>
        <w:tc>
          <w:tcPr>
            <w:tcW w:w="2041" w:type="pct"/>
            <w:noWrap/>
          </w:tcPr>
          <w:p w14:paraId="7E03E4C1" w14:textId="77777777" w:rsidR="00EB7374" w:rsidRPr="00615E45" w:rsidRDefault="00EB7374" w:rsidP="00C700EB">
            <w:pPr>
              <w:keepNext/>
              <w:keepLines/>
              <w:jc w:val="left"/>
              <w:rPr>
                <w:rFonts w:cs="Calibri"/>
                <w:color w:val="000000"/>
                <w:sz w:val="15"/>
                <w:szCs w:val="15"/>
              </w:rPr>
            </w:pPr>
            <w:r w:rsidRPr="00615E45">
              <w:rPr>
                <w:color w:val="000000"/>
                <w:sz w:val="15"/>
              </w:rPr>
              <w:t>02. Meat and edible meat offal</w:t>
            </w:r>
          </w:p>
        </w:tc>
        <w:tc>
          <w:tcPr>
            <w:tcW w:w="423" w:type="pct"/>
            <w:noWrap/>
          </w:tcPr>
          <w:p w14:paraId="766BCABA" w14:textId="77777777" w:rsidR="00EB7374" w:rsidRPr="00615E45" w:rsidRDefault="00EB7374" w:rsidP="00C700EB">
            <w:pPr>
              <w:keepNext/>
              <w:keepLines/>
              <w:jc w:val="right"/>
              <w:rPr>
                <w:rFonts w:cs="Calibri"/>
                <w:color w:val="000000"/>
                <w:sz w:val="15"/>
                <w:szCs w:val="15"/>
              </w:rPr>
            </w:pPr>
            <w:r w:rsidRPr="00615E45">
              <w:rPr>
                <w:color w:val="000000"/>
                <w:sz w:val="15"/>
              </w:rPr>
              <w:t>6.3</w:t>
            </w:r>
          </w:p>
        </w:tc>
        <w:tc>
          <w:tcPr>
            <w:tcW w:w="423" w:type="pct"/>
            <w:noWrap/>
          </w:tcPr>
          <w:p w14:paraId="204D4346" w14:textId="77777777" w:rsidR="00EB7374" w:rsidRPr="00615E45" w:rsidRDefault="00EB7374" w:rsidP="00C700EB">
            <w:pPr>
              <w:keepNext/>
              <w:keepLines/>
              <w:jc w:val="right"/>
              <w:rPr>
                <w:rFonts w:cs="Calibri"/>
                <w:color w:val="000000"/>
                <w:sz w:val="15"/>
                <w:szCs w:val="15"/>
              </w:rPr>
            </w:pPr>
            <w:r w:rsidRPr="00615E45">
              <w:rPr>
                <w:color w:val="000000"/>
                <w:sz w:val="15"/>
              </w:rPr>
              <w:t>6.6</w:t>
            </w:r>
          </w:p>
        </w:tc>
        <w:tc>
          <w:tcPr>
            <w:tcW w:w="423" w:type="pct"/>
            <w:noWrap/>
          </w:tcPr>
          <w:p w14:paraId="4F1A9817" w14:textId="77777777" w:rsidR="00EB7374" w:rsidRPr="00615E45" w:rsidRDefault="00EB7374" w:rsidP="00C700EB">
            <w:pPr>
              <w:keepNext/>
              <w:keepLines/>
              <w:jc w:val="right"/>
              <w:rPr>
                <w:rFonts w:cs="Calibri"/>
                <w:color w:val="000000"/>
                <w:sz w:val="15"/>
                <w:szCs w:val="15"/>
              </w:rPr>
            </w:pPr>
            <w:r w:rsidRPr="00615E45">
              <w:rPr>
                <w:color w:val="000000"/>
                <w:sz w:val="15"/>
              </w:rPr>
              <w:t>6.6</w:t>
            </w:r>
          </w:p>
        </w:tc>
        <w:tc>
          <w:tcPr>
            <w:tcW w:w="423" w:type="pct"/>
            <w:noWrap/>
          </w:tcPr>
          <w:p w14:paraId="4A498505" w14:textId="77777777" w:rsidR="00EB7374" w:rsidRPr="00615E45" w:rsidRDefault="00EB7374" w:rsidP="00C700EB">
            <w:pPr>
              <w:keepNext/>
              <w:keepLines/>
              <w:jc w:val="right"/>
              <w:rPr>
                <w:rFonts w:cs="Calibri"/>
                <w:color w:val="000000"/>
                <w:sz w:val="15"/>
                <w:szCs w:val="15"/>
              </w:rPr>
            </w:pPr>
            <w:r w:rsidRPr="00615E45">
              <w:rPr>
                <w:color w:val="000000"/>
                <w:sz w:val="15"/>
              </w:rPr>
              <w:t>7.5</w:t>
            </w:r>
          </w:p>
        </w:tc>
        <w:tc>
          <w:tcPr>
            <w:tcW w:w="423" w:type="pct"/>
            <w:noWrap/>
          </w:tcPr>
          <w:p w14:paraId="0180E26B" w14:textId="77777777" w:rsidR="00EB7374" w:rsidRPr="00615E45" w:rsidRDefault="00EB7374" w:rsidP="00C700EB">
            <w:pPr>
              <w:keepNext/>
              <w:keepLines/>
              <w:jc w:val="right"/>
              <w:rPr>
                <w:rFonts w:cs="Calibri"/>
                <w:color w:val="000000"/>
                <w:sz w:val="15"/>
                <w:szCs w:val="15"/>
              </w:rPr>
            </w:pPr>
            <w:r w:rsidRPr="00615E45">
              <w:rPr>
                <w:color w:val="000000"/>
                <w:sz w:val="15"/>
              </w:rPr>
              <w:t>7.2</w:t>
            </w:r>
          </w:p>
        </w:tc>
        <w:tc>
          <w:tcPr>
            <w:tcW w:w="423" w:type="pct"/>
            <w:noWrap/>
          </w:tcPr>
          <w:p w14:paraId="487ACEEE" w14:textId="77777777" w:rsidR="00EB7374" w:rsidRPr="00615E45" w:rsidRDefault="00EB7374" w:rsidP="00C700EB">
            <w:pPr>
              <w:keepNext/>
              <w:keepLines/>
              <w:jc w:val="right"/>
              <w:rPr>
                <w:rFonts w:cs="Calibri"/>
                <w:color w:val="000000"/>
                <w:sz w:val="15"/>
                <w:szCs w:val="15"/>
              </w:rPr>
            </w:pPr>
            <w:r w:rsidRPr="00615E45">
              <w:rPr>
                <w:color w:val="000000"/>
                <w:sz w:val="15"/>
              </w:rPr>
              <w:t>6.4</w:t>
            </w:r>
          </w:p>
        </w:tc>
        <w:tc>
          <w:tcPr>
            <w:tcW w:w="420" w:type="pct"/>
            <w:noWrap/>
          </w:tcPr>
          <w:p w14:paraId="2A6152CF" w14:textId="77777777" w:rsidR="00EB7374" w:rsidRPr="00615E45" w:rsidRDefault="00EB7374" w:rsidP="00C700EB">
            <w:pPr>
              <w:keepNext/>
              <w:keepLines/>
              <w:jc w:val="right"/>
              <w:rPr>
                <w:rFonts w:cs="Calibri"/>
                <w:color w:val="000000"/>
                <w:sz w:val="15"/>
                <w:szCs w:val="15"/>
              </w:rPr>
            </w:pPr>
            <w:r w:rsidRPr="00615E45">
              <w:rPr>
                <w:color w:val="000000"/>
                <w:sz w:val="15"/>
              </w:rPr>
              <w:t>8.6</w:t>
            </w:r>
          </w:p>
        </w:tc>
      </w:tr>
      <w:tr w:rsidR="00EB7374" w:rsidRPr="00615E45" w14:paraId="0B0F0CC3" w14:textId="77777777" w:rsidTr="00C700EB">
        <w:trPr>
          <w:cantSplit/>
        </w:trPr>
        <w:tc>
          <w:tcPr>
            <w:tcW w:w="2041" w:type="pct"/>
            <w:noWrap/>
            <w:hideMark/>
          </w:tcPr>
          <w:p w14:paraId="4A98BB7A" w14:textId="77777777" w:rsidR="00EB7374" w:rsidRPr="00615E45" w:rsidRDefault="00EB7374" w:rsidP="00C700EB">
            <w:pPr>
              <w:keepNext/>
              <w:keepLines/>
              <w:jc w:val="left"/>
              <w:rPr>
                <w:rFonts w:cs="Calibri"/>
                <w:color w:val="000000"/>
                <w:sz w:val="15"/>
                <w:szCs w:val="15"/>
              </w:rPr>
            </w:pPr>
            <w:r w:rsidRPr="00615E45">
              <w:rPr>
                <w:color w:val="000000"/>
                <w:sz w:val="15"/>
              </w:rPr>
              <w:t>Agricultural trade balance (USD million)</w:t>
            </w:r>
          </w:p>
        </w:tc>
        <w:tc>
          <w:tcPr>
            <w:tcW w:w="423" w:type="pct"/>
            <w:noWrap/>
            <w:hideMark/>
          </w:tcPr>
          <w:p w14:paraId="605D1C3F" w14:textId="77777777" w:rsidR="00EB7374" w:rsidRPr="00615E45" w:rsidRDefault="00EB7374" w:rsidP="00C700EB">
            <w:pPr>
              <w:keepNext/>
              <w:keepLines/>
              <w:jc w:val="right"/>
              <w:rPr>
                <w:rFonts w:cs="Calibri"/>
                <w:color w:val="000000"/>
                <w:sz w:val="15"/>
                <w:szCs w:val="15"/>
              </w:rPr>
            </w:pPr>
            <w:r w:rsidRPr="00615E45">
              <w:rPr>
                <w:color w:val="000000"/>
                <w:sz w:val="15"/>
              </w:rPr>
              <w:t>-248</w:t>
            </w:r>
          </w:p>
        </w:tc>
        <w:tc>
          <w:tcPr>
            <w:tcW w:w="423" w:type="pct"/>
            <w:noWrap/>
            <w:hideMark/>
          </w:tcPr>
          <w:p w14:paraId="6F11906C" w14:textId="77777777" w:rsidR="00EB7374" w:rsidRPr="00615E45" w:rsidRDefault="00EB7374" w:rsidP="00C700EB">
            <w:pPr>
              <w:keepNext/>
              <w:keepLines/>
              <w:jc w:val="right"/>
              <w:rPr>
                <w:rFonts w:cs="Calibri"/>
                <w:color w:val="000000"/>
                <w:sz w:val="15"/>
                <w:szCs w:val="15"/>
              </w:rPr>
            </w:pPr>
            <w:r w:rsidRPr="00615E45">
              <w:rPr>
                <w:color w:val="000000"/>
                <w:sz w:val="15"/>
              </w:rPr>
              <w:t>-153</w:t>
            </w:r>
          </w:p>
        </w:tc>
        <w:tc>
          <w:tcPr>
            <w:tcW w:w="423" w:type="pct"/>
            <w:noWrap/>
            <w:hideMark/>
          </w:tcPr>
          <w:p w14:paraId="0FDE82E3" w14:textId="77777777" w:rsidR="00EB7374" w:rsidRPr="00615E45" w:rsidRDefault="00EB7374" w:rsidP="00C700EB">
            <w:pPr>
              <w:keepNext/>
              <w:keepLines/>
              <w:jc w:val="right"/>
              <w:rPr>
                <w:rFonts w:cs="Calibri"/>
                <w:color w:val="000000"/>
                <w:sz w:val="15"/>
                <w:szCs w:val="15"/>
              </w:rPr>
            </w:pPr>
            <w:r w:rsidRPr="00615E45">
              <w:rPr>
                <w:color w:val="000000"/>
                <w:sz w:val="15"/>
              </w:rPr>
              <w:t>-431</w:t>
            </w:r>
          </w:p>
        </w:tc>
        <w:tc>
          <w:tcPr>
            <w:tcW w:w="423" w:type="pct"/>
            <w:noWrap/>
            <w:hideMark/>
          </w:tcPr>
          <w:p w14:paraId="664FF77C" w14:textId="77777777" w:rsidR="00EB7374" w:rsidRPr="00615E45" w:rsidRDefault="00EB7374" w:rsidP="00C700EB">
            <w:pPr>
              <w:keepNext/>
              <w:keepLines/>
              <w:jc w:val="right"/>
              <w:rPr>
                <w:rFonts w:cs="Calibri"/>
                <w:color w:val="000000"/>
                <w:sz w:val="15"/>
                <w:szCs w:val="15"/>
              </w:rPr>
            </w:pPr>
            <w:r w:rsidRPr="00615E45">
              <w:rPr>
                <w:color w:val="000000"/>
                <w:sz w:val="15"/>
              </w:rPr>
              <w:t>-429</w:t>
            </w:r>
          </w:p>
        </w:tc>
        <w:tc>
          <w:tcPr>
            <w:tcW w:w="423" w:type="pct"/>
            <w:noWrap/>
            <w:hideMark/>
          </w:tcPr>
          <w:p w14:paraId="24D632A8" w14:textId="77777777" w:rsidR="00EB7374" w:rsidRPr="00615E45" w:rsidRDefault="00EB7374" w:rsidP="00C700EB">
            <w:pPr>
              <w:keepNext/>
              <w:keepLines/>
              <w:jc w:val="right"/>
              <w:rPr>
                <w:rFonts w:cs="Calibri"/>
                <w:color w:val="000000"/>
                <w:sz w:val="15"/>
                <w:szCs w:val="15"/>
              </w:rPr>
            </w:pPr>
            <w:r w:rsidRPr="00615E45">
              <w:rPr>
                <w:color w:val="000000"/>
                <w:sz w:val="15"/>
              </w:rPr>
              <w:t>-370</w:t>
            </w:r>
          </w:p>
        </w:tc>
        <w:tc>
          <w:tcPr>
            <w:tcW w:w="423" w:type="pct"/>
            <w:noWrap/>
            <w:hideMark/>
          </w:tcPr>
          <w:p w14:paraId="48620C01" w14:textId="77777777" w:rsidR="00EB7374" w:rsidRPr="00615E45" w:rsidRDefault="00EB7374" w:rsidP="00C700EB">
            <w:pPr>
              <w:keepNext/>
              <w:keepLines/>
              <w:jc w:val="right"/>
              <w:rPr>
                <w:rFonts w:cs="Calibri"/>
                <w:color w:val="000000"/>
                <w:sz w:val="15"/>
                <w:szCs w:val="15"/>
              </w:rPr>
            </w:pPr>
            <w:r w:rsidRPr="00615E45">
              <w:rPr>
                <w:color w:val="000000"/>
                <w:sz w:val="15"/>
              </w:rPr>
              <w:t>-743</w:t>
            </w:r>
          </w:p>
        </w:tc>
        <w:tc>
          <w:tcPr>
            <w:tcW w:w="420" w:type="pct"/>
            <w:noWrap/>
            <w:hideMark/>
          </w:tcPr>
          <w:p w14:paraId="74736C4F" w14:textId="77777777" w:rsidR="00EB7374" w:rsidRPr="00615E45" w:rsidRDefault="00EB7374" w:rsidP="00C700EB">
            <w:pPr>
              <w:keepNext/>
              <w:keepLines/>
              <w:jc w:val="right"/>
              <w:rPr>
                <w:rFonts w:cs="Calibri"/>
                <w:color w:val="000000"/>
                <w:sz w:val="15"/>
                <w:szCs w:val="15"/>
              </w:rPr>
            </w:pPr>
            <w:r w:rsidRPr="00615E45">
              <w:rPr>
                <w:color w:val="000000"/>
                <w:sz w:val="15"/>
              </w:rPr>
              <w:t>-1,155</w:t>
            </w:r>
          </w:p>
        </w:tc>
      </w:tr>
    </w:tbl>
    <w:p w14:paraId="5B694445" w14:textId="77777777" w:rsidR="00EB7374" w:rsidRPr="00615E45" w:rsidRDefault="00EB7374" w:rsidP="00B0434B">
      <w:pPr>
        <w:pStyle w:val="NoteText"/>
        <w:keepNext/>
        <w:keepLines/>
        <w:spacing w:before="120"/>
      </w:pPr>
      <w:r w:rsidRPr="00615E45">
        <w:t>..</w:t>
      </w:r>
      <w:r w:rsidRPr="00615E45">
        <w:tab/>
        <w:t>Not available.</w:t>
      </w:r>
    </w:p>
    <w:p w14:paraId="706CE414" w14:textId="77777777" w:rsidR="00EB7374" w:rsidRPr="00615E45" w:rsidRDefault="00EB7374" w:rsidP="00B0434B">
      <w:pPr>
        <w:pStyle w:val="NoteText"/>
        <w:keepNext/>
        <w:keepLines/>
        <w:spacing w:before="120"/>
      </w:pPr>
      <w:proofErr w:type="spellStart"/>
      <w:r w:rsidRPr="00615E45">
        <w:t>a</w:t>
      </w:r>
      <w:proofErr w:type="spellEnd"/>
      <w:r w:rsidRPr="00615E45">
        <w:tab/>
        <w:t xml:space="preserve">Exports are classified as </w:t>
      </w:r>
      <w:r>
        <w:t xml:space="preserve">exports </w:t>
      </w:r>
      <w:r w:rsidRPr="00615E45">
        <w:t xml:space="preserve">for consumption, </w:t>
      </w:r>
      <w:r>
        <w:t xml:space="preserve">free zone exports and exports for other purposes </w:t>
      </w:r>
      <w:r w:rsidRPr="00615E45">
        <w:t>(temporary admission for inward processing, re-export</w:t>
      </w:r>
      <w:r>
        <w:t>s consumption</w:t>
      </w:r>
      <w:r w:rsidRPr="00615E45">
        <w:t>, warehousing for re</w:t>
      </w:r>
      <w:r>
        <w:noBreakHyphen/>
      </w:r>
      <w:r w:rsidRPr="00615E45">
        <w:t>export, temporary admission under leas</w:t>
      </w:r>
      <w:r>
        <w:t>e</w:t>
      </w:r>
      <w:r w:rsidRPr="00615E45">
        <w:t>, re-export</w:t>
      </w:r>
      <w:r>
        <w:t>,</w:t>
      </w:r>
      <w:r w:rsidRPr="00615E45">
        <w:t xml:space="preserve"> and temporary exit for outward processing).</w:t>
      </w:r>
    </w:p>
    <w:p w14:paraId="1C76CB61" w14:textId="77777777" w:rsidR="00EB7374" w:rsidRPr="00615E45" w:rsidRDefault="00EB7374" w:rsidP="00B0434B">
      <w:pPr>
        <w:pStyle w:val="NoteText"/>
      </w:pPr>
      <w:r w:rsidRPr="00615E45">
        <w:t>b</w:t>
      </w:r>
      <w:r w:rsidRPr="00615E45">
        <w:tab/>
        <w:t xml:space="preserve">Imports are classified as </w:t>
      </w:r>
      <w:r>
        <w:t xml:space="preserve">imports </w:t>
      </w:r>
      <w:r w:rsidRPr="00615E45">
        <w:t xml:space="preserve">for consumption, </w:t>
      </w:r>
      <w:r>
        <w:t xml:space="preserve">free zone imports and imports for other purposes </w:t>
      </w:r>
      <w:r w:rsidRPr="00615E45">
        <w:t>(customs warehou</w:t>
      </w:r>
      <w:r>
        <w:t>sing</w:t>
      </w:r>
      <w:r w:rsidRPr="00615E45">
        <w:t xml:space="preserve">, inward processing and reimport </w:t>
      </w:r>
      <w:r>
        <w:t>in the same state</w:t>
      </w:r>
      <w:r w:rsidRPr="00615E45">
        <w:t>).</w:t>
      </w:r>
    </w:p>
    <w:p w14:paraId="14650250" w14:textId="77777777" w:rsidR="00EB7374" w:rsidRPr="00615E45" w:rsidRDefault="00EB7374" w:rsidP="00B0434B">
      <w:pPr>
        <w:pStyle w:val="NoteText"/>
        <w:spacing w:before="120" w:after="240"/>
      </w:pPr>
      <w:r w:rsidRPr="00615E45">
        <w:t>Source:</w:t>
      </w:r>
      <w:r w:rsidRPr="00615E45">
        <w:tab/>
        <w:t>WTO Secretariat calculations based on data from the Central Bank of the Dominican Republic and the COMEX trade database.</w:t>
      </w:r>
    </w:p>
    <w:p w14:paraId="021661C7" w14:textId="77777777" w:rsidR="00EB7374" w:rsidRPr="00615E45" w:rsidRDefault="00EB7374" w:rsidP="00C80D98">
      <w:pPr>
        <w:pStyle w:val="BodyText"/>
      </w:pPr>
      <w:r w:rsidRPr="00615E45">
        <w:t xml:space="preserve">The Dominican Republic is a net importer of agricultural products. The agricultural trade balance is in deficit and deteriorated </w:t>
      </w:r>
      <w:r>
        <w:t>throughout the</w:t>
      </w:r>
      <w:r w:rsidRPr="00615E45">
        <w:t xml:space="preserve"> review period, </w:t>
      </w:r>
      <w:r>
        <w:t>increasing</w:t>
      </w:r>
      <w:r w:rsidRPr="00615E45">
        <w:t xml:space="preserve"> from USD 248 million in 2015 to USD 1,155 million in 2021, due to rising cereal prices in international markets. During the review period, cereals were the main imported product (except in 2020), accounting for 14.6% and 15.3% of total agricultural imports</w:t>
      </w:r>
      <w:r>
        <w:t xml:space="preserve"> in 2015 and 2021 respectively</w:t>
      </w:r>
      <w:r w:rsidRPr="00615E45">
        <w:t>, followed by tobacco (11.1%</w:t>
      </w:r>
      <w:r>
        <w:t> </w:t>
      </w:r>
      <w:r w:rsidRPr="00615E45">
        <w:t>in</w:t>
      </w:r>
      <w:r>
        <w:t> </w:t>
      </w:r>
      <w:r w:rsidRPr="00615E45">
        <w:t>2015 and 11.6% in 2021). Tobacco, meanwhile, is the Dominican Republic</w:t>
      </w:r>
      <w:r>
        <w:t>'</w:t>
      </w:r>
      <w:r w:rsidRPr="00615E45">
        <w:t>s main exported product and accounted for 45.7% of total agricultural exports in 2021, followed by fruit (16.5% in 2016 and 13.7% in 2021). Most exported tobacco and tobacco substitutes are produced in free zones and account for 76.3% of agricultural exports and 78.9% of free</w:t>
      </w:r>
      <w:r>
        <w:t xml:space="preserve"> </w:t>
      </w:r>
      <w:r w:rsidRPr="00615E45">
        <w:t>zone imports. None of the other exported products (fruit, cocoa, alcoholic beverages and sugar</w:t>
      </w:r>
      <w:r>
        <w:t>s</w:t>
      </w:r>
      <w:r w:rsidRPr="00615E45">
        <w:t>) are produced under the free</w:t>
      </w:r>
      <w:r>
        <w:t xml:space="preserve"> </w:t>
      </w:r>
      <w:r w:rsidRPr="00615E45">
        <w:t>zone regime (Table 4.2). The United States is the main market for both exports and imports.</w:t>
      </w:r>
    </w:p>
    <w:p w14:paraId="2FB1B0F0" w14:textId="77777777" w:rsidR="00EB7374" w:rsidRPr="00615E45" w:rsidRDefault="00EB7374" w:rsidP="00385EA7">
      <w:pPr>
        <w:pStyle w:val="Caption"/>
      </w:pPr>
      <w:bookmarkStart w:id="293" w:name="_Toc114735838"/>
      <w:bookmarkStart w:id="294" w:name="_Toc117238056"/>
      <w:bookmarkStart w:id="295" w:name="_Hlk109846694"/>
      <w:r>
        <w:t xml:space="preserve">Table </w:t>
      </w:r>
      <w:r w:rsidR="00BD37F2">
        <w:fldChar w:fldCharType="begin"/>
      </w:r>
      <w:r w:rsidR="00BD37F2">
        <w:instrText xml:space="preserve"> STYLEREF 1 \s </w:instrText>
      </w:r>
      <w:r w:rsidR="00BD37F2">
        <w:fldChar w:fldCharType="separate"/>
      </w:r>
      <w:r>
        <w:rPr>
          <w:noProof/>
        </w:rPr>
        <w:t>4</w:t>
      </w:r>
      <w:r w:rsidR="00BD37F2">
        <w:rPr>
          <w:noProof/>
        </w:rPr>
        <w:fldChar w:fldCharType="end"/>
      </w:r>
      <w:r>
        <w:t>.</w:t>
      </w:r>
      <w:r w:rsidR="00BD37F2">
        <w:fldChar w:fldCharType="begin"/>
      </w:r>
      <w:r w:rsidR="00BD37F2">
        <w:instrText xml:space="preserve"> SEQ Table \* ARABIC \s 1 </w:instrText>
      </w:r>
      <w:r w:rsidR="00BD37F2">
        <w:fldChar w:fldCharType="separate"/>
      </w:r>
      <w:r>
        <w:rPr>
          <w:noProof/>
        </w:rPr>
        <w:t>2</w:t>
      </w:r>
      <w:r w:rsidR="00BD37F2">
        <w:rPr>
          <w:noProof/>
        </w:rPr>
        <w:fldChar w:fldCharType="end"/>
      </w:r>
      <w:r>
        <w:t xml:space="preserve"> </w:t>
      </w:r>
      <w:r w:rsidRPr="00615E45">
        <w:t>Top agricultural sector exports and imports, 2015-21</w:t>
      </w:r>
      <w:bookmarkEnd w:id="293"/>
      <w:bookmarkEnd w:id="294"/>
    </w:p>
    <w:bookmarkEnd w:id="295"/>
    <w:tbl>
      <w:tblPr>
        <w:tblStyle w:val="WTOTable1"/>
        <w:tblW w:w="5000" w:type="pct"/>
        <w:tblLayout w:type="fixed"/>
        <w:tblLook w:val="04A0" w:firstRow="1" w:lastRow="0" w:firstColumn="1" w:lastColumn="0" w:noHBand="0" w:noVBand="1"/>
      </w:tblPr>
      <w:tblGrid>
        <w:gridCol w:w="3964"/>
        <w:gridCol w:w="722"/>
        <w:gridCol w:w="722"/>
        <w:gridCol w:w="722"/>
        <w:gridCol w:w="722"/>
        <w:gridCol w:w="722"/>
        <w:gridCol w:w="721"/>
        <w:gridCol w:w="721"/>
      </w:tblGrid>
      <w:tr w:rsidR="00EB7374" w:rsidRPr="00615E45" w14:paraId="003D8CFD" w14:textId="77777777" w:rsidTr="00C700EB">
        <w:trPr>
          <w:cnfStyle w:val="100000000000" w:firstRow="1" w:lastRow="0" w:firstColumn="0" w:lastColumn="0" w:oddVBand="0" w:evenVBand="0" w:oddHBand="0" w:evenHBand="0" w:firstRowFirstColumn="0" w:firstRowLastColumn="0" w:lastRowFirstColumn="0" w:lastRowLastColumn="0"/>
          <w:cantSplit/>
          <w:tblHeader/>
        </w:trPr>
        <w:tc>
          <w:tcPr>
            <w:tcW w:w="2197" w:type="pct"/>
            <w:noWrap/>
            <w:hideMark/>
          </w:tcPr>
          <w:p w14:paraId="4EDDB005" w14:textId="77777777" w:rsidR="00EB7374" w:rsidRPr="00615E45" w:rsidRDefault="00EB7374" w:rsidP="00C700EB">
            <w:pPr>
              <w:jc w:val="left"/>
              <w:rPr>
                <w:sz w:val="15"/>
                <w:szCs w:val="15"/>
              </w:rPr>
            </w:pPr>
          </w:p>
        </w:tc>
        <w:tc>
          <w:tcPr>
            <w:tcW w:w="400" w:type="pct"/>
            <w:noWrap/>
            <w:hideMark/>
          </w:tcPr>
          <w:p w14:paraId="29B68F94" w14:textId="77777777" w:rsidR="00EB7374" w:rsidRPr="00615E45" w:rsidRDefault="00EB7374" w:rsidP="00C700EB">
            <w:pPr>
              <w:jc w:val="right"/>
              <w:rPr>
                <w:rFonts w:cs="Calibri"/>
                <w:sz w:val="15"/>
                <w:szCs w:val="15"/>
              </w:rPr>
            </w:pPr>
            <w:r w:rsidRPr="00615E45">
              <w:rPr>
                <w:sz w:val="15"/>
              </w:rPr>
              <w:t>2015</w:t>
            </w:r>
          </w:p>
        </w:tc>
        <w:tc>
          <w:tcPr>
            <w:tcW w:w="400" w:type="pct"/>
            <w:noWrap/>
            <w:hideMark/>
          </w:tcPr>
          <w:p w14:paraId="5BAED97C" w14:textId="77777777" w:rsidR="00EB7374" w:rsidRPr="00615E45" w:rsidRDefault="00EB7374" w:rsidP="00C700EB">
            <w:pPr>
              <w:jc w:val="right"/>
              <w:rPr>
                <w:rFonts w:cs="Calibri"/>
                <w:sz w:val="15"/>
                <w:szCs w:val="15"/>
              </w:rPr>
            </w:pPr>
            <w:r w:rsidRPr="00615E45">
              <w:rPr>
                <w:sz w:val="15"/>
              </w:rPr>
              <w:t>2016</w:t>
            </w:r>
          </w:p>
        </w:tc>
        <w:tc>
          <w:tcPr>
            <w:tcW w:w="400" w:type="pct"/>
            <w:noWrap/>
            <w:hideMark/>
          </w:tcPr>
          <w:p w14:paraId="5DDA5724" w14:textId="77777777" w:rsidR="00EB7374" w:rsidRPr="00615E45" w:rsidRDefault="00EB7374" w:rsidP="00C700EB">
            <w:pPr>
              <w:jc w:val="right"/>
              <w:rPr>
                <w:rFonts w:cs="Calibri"/>
                <w:sz w:val="15"/>
                <w:szCs w:val="15"/>
              </w:rPr>
            </w:pPr>
            <w:r w:rsidRPr="00615E45">
              <w:rPr>
                <w:sz w:val="15"/>
              </w:rPr>
              <w:t>2017</w:t>
            </w:r>
          </w:p>
        </w:tc>
        <w:tc>
          <w:tcPr>
            <w:tcW w:w="400" w:type="pct"/>
            <w:noWrap/>
            <w:hideMark/>
          </w:tcPr>
          <w:p w14:paraId="1C4DEBE7" w14:textId="77777777" w:rsidR="00EB7374" w:rsidRPr="00615E45" w:rsidRDefault="00EB7374" w:rsidP="00C700EB">
            <w:pPr>
              <w:jc w:val="right"/>
              <w:rPr>
                <w:rFonts w:cs="Calibri"/>
                <w:sz w:val="15"/>
                <w:szCs w:val="15"/>
              </w:rPr>
            </w:pPr>
            <w:r w:rsidRPr="00615E45">
              <w:rPr>
                <w:sz w:val="15"/>
              </w:rPr>
              <w:t>2018</w:t>
            </w:r>
          </w:p>
        </w:tc>
        <w:tc>
          <w:tcPr>
            <w:tcW w:w="400" w:type="pct"/>
            <w:noWrap/>
            <w:hideMark/>
          </w:tcPr>
          <w:p w14:paraId="745FBF00" w14:textId="77777777" w:rsidR="00EB7374" w:rsidRPr="00615E45" w:rsidRDefault="00EB7374" w:rsidP="00C700EB">
            <w:pPr>
              <w:jc w:val="right"/>
              <w:rPr>
                <w:rFonts w:cs="Calibri"/>
                <w:sz w:val="15"/>
                <w:szCs w:val="15"/>
              </w:rPr>
            </w:pPr>
            <w:r w:rsidRPr="00615E45">
              <w:rPr>
                <w:sz w:val="15"/>
              </w:rPr>
              <w:t>2019</w:t>
            </w:r>
          </w:p>
        </w:tc>
        <w:tc>
          <w:tcPr>
            <w:tcW w:w="400" w:type="pct"/>
            <w:noWrap/>
            <w:hideMark/>
          </w:tcPr>
          <w:p w14:paraId="182F6B26" w14:textId="77777777" w:rsidR="00EB7374" w:rsidRPr="00615E45" w:rsidRDefault="00EB7374" w:rsidP="00C700EB">
            <w:pPr>
              <w:jc w:val="right"/>
              <w:rPr>
                <w:rFonts w:cs="Calibri"/>
                <w:sz w:val="15"/>
                <w:szCs w:val="15"/>
              </w:rPr>
            </w:pPr>
            <w:r w:rsidRPr="00615E45">
              <w:rPr>
                <w:sz w:val="15"/>
              </w:rPr>
              <w:t>2020</w:t>
            </w:r>
          </w:p>
        </w:tc>
        <w:tc>
          <w:tcPr>
            <w:tcW w:w="400" w:type="pct"/>
            <w:noWrap/>
            <w:hideMark/>
          </w:tcPr>
          <w:p w14:paraId="6E2E45ED" w14:textId="77777777" w:rsidR="00EB7374" w:rsidRPr="00615E45" w:rsidRDefault="00EB7374" w:rsidP="00C700EB">
            <w:pPr>
              <w:jc w:val="right"/>
              <w:rPr>
                <w:rFonts w:cs="Calibri"/>
                <w:sz w:val="15"/>
                <w:szCs w:val="15"/>
              </w:rPr>
            </w:pPr>
            <w:r w:rsidRPr="00615E45">
              <w:rPr>
                <w:sz w:val="15"/>
              </w:rPr>
              <w:t>2021</w:t>
            </w:r>
          </w:p>
        </w:tc>
      </w:tr>
      <w:tr w:rsidR="00EB7374" w:rsidRPr="00615E45" w14:paraId="29276829" w14:textId="77777777" w:rsidTr="00C700EB">
        <w:trPr>
          <w:cantSplit/>
        </w:trPr>
        <w:tc>
          <w:tcPr>
            <w:tcW w:w="2197" w:type="pct"/>
            <w:noWrap/>
            <w:hideMark/>
          </w:tcPr>
          <w:p w14:paraId="54566B00" w14:textId="77777777" w:rsidR="00EB7374" w:rsidRPr="00615E45" w:rsidRDefault="00EB7374" w:rsidP="00C700EB">
            <w:pPr>
              <w:jc w:val="left"/>
              <w:rPr>
                <w:rFonts w:cs="Calibri"/>
                <w:b/>
                <w:color w:val="000000"/>
                <w:sz w:val="15"/>
                <w:szCs w:val="15"/>
              </w:rPr>
            </w:pPr>
            <w:r w:rsidRPr="00615E45">
              <w:rPr>
                <w:b/>
                <w:color w:val="000000"/>
                <w:sz w:val="15"/>
              </w:rPr>
              <w:t>Agricultural sector according to WTO</w:t>
            </w:r>
            <w:r>
              <w:rPr>
                <w:b/>
                <w:color w:val="000000"/>
                <w:sz w:val="15"/>
              </w:rPr>
              <w:t> </w:t>
            </w:r>
            <w:r w:rsidRPr="00615E45">
              <w:rPr>
                <w:b/>
                <w:color w:val="000000"/>
                <w:sz w:val="15"/>
              </w:rPr>
              <w:t>definition</w:t>
            </w:r>
          </w:p>
        </w:tc>
        <w:tc>
          <w:tcPr>
            <w:tcW w:w="400" w:type="pct"/>
            <w:noWrap/>
            <w:hideMark/>
          </w:tcPr>
          <w:p w14:paraId="1253B579" w14:textId="77777777" w:rsidR="00EB7374" w:rsidRPr="00615E45" w:rsidRDefault="00EB7374" w:rsidP="00C700EB">
            <w:pPr>
              <w:jc w:val="right"/>
              <w:rPr>
                <w:rFonts w:cs="Calibri"/>
                <w:bCs/>
                <w:color w:val="000000"/>
                <w:sz w:val="15"/>
                <w:szCs w:val="15"/>
              </w:rPr>
            </w:pPr>
          </w:p>
        </w:tc>
        <w:tc>
          <w:tcPr>
            <w:tcW w:w="400" w:type="pct"/>
            <w:noWrap/>
            <w:hideMark/>
          </w:tcPr>
          <w:p w14:paraId="306595FC" w14:textId="77777777" w:rsidR="00EB7374" w:rsidRPr="00615E45" w:rsidRDefault="00EB7374" w:rsidP="00C700EB">
            <w:pPr>
              <w:jc w:val="right"/>
              <w:rPr>
                <w:sz w:val="15"/>
                <w:szCs w:val="15"/>
              </w:rPr>
            </w:pPr>
          </w:p>
        </w:tc>
        <w:tc>
          <w:tcPr>
            <w:tcW w:w="400" w:type="pct"/>
            <w:noWrap/>
            <w:hideMark/>
          </w:tcPr>
          <w:p w14:paraId="4437B2C6" w14:textId="77777777" w:rsidR="00EB7374" w:rsidRPr="00615E45" w:rsidRDefault="00EB7374" w:rsidP="00C700EB">
            <w:pPr>
              <w:jc w:val="right"/>
              <w:rPr>
                <w:sz w:val="15"/>
                <w:szCs w:val="15"/>
              </w:rPr>
            </w:pPr>
          </w:p>
        </w:tc>
        <w:tc>
          <w:tcPr>
            <w:tcW w:w="400" w:type="pct"/>
            <w:noWrap/>
            <w:hideMark/>
          </w:tcPr>
          <w:p w14:paraId="27D221AF" w14:textId="77777777" w:rsidR="00EB7374" w:rsidRPr="00615E45" w:rsidRDefault="00EB7374" w:rsidP="00C700EB">
            <w:pPr>
              <w:jc w:val="right"/>
              <w:rPr>
                <w:sz w:val="15"/>
                <w:szCs w:val="15"/>
              </w:rPr>
            </w:pPr>
          </w:p>
        </w:tc>
        <w:tc>
          <w:tcPr>
            <w:tcW w:w="400" w:type="pct"/>
            <w:noWrap/>
            <w:hideMark/>
          </w:tcPr>
          <w:p w14:paraId="4363028D" w14:textId="77777777" w:rsidR="00EB7374" w:rsidRPr="00615E45" w:rsidRDefault="00EB7374" w:rsidP="00C700EB">
            <w:pPr>
              <w:jc w:val="right"/>
              <w:rPr>
                <w:sz w:val="15"/>
                <w:szCs w:val="15"/>
              </w:rPr>
            </w:pPr>
          </w:p>
        </w:tc>
        <w:tc>
          <w:tcPr>
            <w:tcW w:w="400" w:type="pct"/>
            <w:noWrap/>
            <w:hideMark/>
          </w:tcPr>
          <w:p w14:paraId="4865BC1B" w14:textId="77777777" w:rsidR="00EB7374" w:rsidRPr="00615E45" w:rsidRDefault="00EB7374" w:rsidP="00C700EB">
            <w:pPr>
              <w:jc w:val="right"/>
              <w:rPr>
                <w:sz w:val="15"/>
                <w:szCs w:val="15"/>
              </w:rPr>
            </w:pPr>
          </w:p>
        </w:tc>
        <w:tc>
          <w:tcPr>
            <w:tcW w:w="400" w:type="pct"/>
            <w:noWrap/>
            <w:hideMark/>
          </w:tcPr>
          <w:p w14:paraId="01EE2C55" w14:textId="77777777" w:rsidR="00EB7374" w:rsidRPr="00615E45" w:rsidRDefault="00EB7374" w:rsidP="00C700EB">
            <w:pPr>
              <w:jc w:val="right"/>
              <w:rPr>
                <w:sz w:val="15"/>
                <w:szCs w:val="15"/>
              </w:rPr>
            </w:pPr>
          </w:p>
        </w:tc>
      </w:tr>
      <w:tr w:rsidR="00EB7374" w:rsidRPr="00615E45" w14:paraId="0994E9E2" w14:textId="77777777" w:rsidTr="00C700EB">
        <w:trPr>
          <w:cnfStyle w:val="000000010000" w:firstRow="0" w:lastRow="0" w:firstColumn="0" w:lastColumn="0" w:oddVBand="0" w:evenVBand="0" w:oddHBand="0" w:evenHBand="1" w:firstRowFirstColumn="0" w:firstRowLastColumn="0" w:lastRowFirstColumn="0" w:lastRowLastColumn="0"/>
          <w:cantSplit/>
        </w:trPr>
        <w:tc>
          <w:tcPr>
            <w:tcW w:w="2197" w:type="pct"/>
            <w:noWrap/>
            <w:hideMark/>
          </w:tcPr>
          <w:p w14:paraId="67D3B7F9" w14:textId="77777777" w:rsidR="00EB7374" w:rsidRPr="00615E45" w:rsidRDefault="00EB7374" w:rsidP="00C700EB">
            <w:pPr>
              <w:jc w:val="left"/>
              <w:rPr>
                <w:rFonts w:cs="Calibri"/>
                <w:b/>
                <w:color w:val="000000"/>
                <w:sz w:val="15"/>
                <w:szCs w:val="15"/>
              </w:rPr>
            </w:pPr>
            <w:r w:rsidRPr="00615E45">
              <w:rPr>
                <w:b/>
                <w:color w:val="000000"/>
                <w:sz w:val="15"/>
              </w:rPr>
              <w:t xml:space="preserve">Total </w:t>
            </w:r>
            <w:proofErr w:type="spellStart"/>
            <w:r w:rsidRPr="00615E45">
              <w:rPr>
                <w:b/>
                <w:color w:val="000000"/>
                <w:sz w:val="15"/>
              </w:rPr>
              <w:t>exports</w:t>
            </w:r>
            <w:r w:rsidRPr="00615E45">
              <w:rPr>
                <w:b/>
                <w:color w:val="000000"/>
                <w:sz w:val="15"/>
                <w:vertAlign w:val="superscript"/>
              </w:rPr>
              <w:t>a</w:t>
            </w:r>
            <w:proofErr w:type="spellEnd"/>
          </w:p>
        </w:tc>
        <w:tc>
          <w:tcPr>
            <w:tcW w:w="400" w:type="pct"/>
            <w:noWrap/>
            <w:hideMark/>
          </w:tcPr>
          <w:p w14:paraId="4045BC73" w14:textId="77777777" w:rsidR="00EB7374" w:rsidRPr="00615E45" w:rsidRDefault="00EB7374" w:rsidP="00C700EB">
            <w:pPr>
              <w:jc w:val="right"/>
              <w:rPr>
                <w:rFonts w:cs="Calibri"/>
                <w:bCs/>
                <w:color w:val="000000"/>
                <w:sz w:val="15"/>
                <w:szCs w:val="15"/>
              </w:rPr>
            </w:pPr>
          </w:p>
        </w:tc>
        <w:tc>
          <w:tcPr>
            <w:tcW w:w="400" w:type="pct"/>
            <w:noWrap/>
            <w:hideMark/>
          </w:tcPr>
          <w:p w14:paraId="4E5B5E52" w14:textId="77777777" w:rsidR="00EB7374" w:rsidRPr="00615E45" w:rsidRDefault="00EB7374" w:rsidP="00C700EB">
            <w:pPr>
              <w:jc w:val="right"/>
              <w:rPr>
                <w:sz w:val="15"/>
                <w:szCs w:val="15"/>
              </w:rPr>
            </w:pPr>
          </w:p>
        </w:tc>
        <w:tc>
          <w:tcPr>
            <w:tcW w:w="400" w:type="pct"/>
            <w:noWrap/>
            <w:hideMark/>
          </w:tcPr>
          <w:p w14:paraId="223E41C3" w14:textId="77777777" w:rsidR="00EB7374" w:rsidRPr="00615E45" w:rsidRDefault="00EB7374" w:rsidP="00C700EB">
            <w:pPr>
              <w:jc w:val="right"/>
              <w:rPr>
                <w:sz w:val="15"/>
                <w:szCs w:val="15"/>
              </w:rPr>
            </w:pPr>
          </w:p>
        </w:tc>
        <w:tc>
          <w:tcPr>
            <w:tcW w:w="400" w:type="pct"/>
            <w:noWrap/>
            <w:hideMark/>
          </w:tcPr>
          <w:p w14:paraId="496DA4BD" w14:textId="77777777" w:rsidR="00EB7374" w:rsidRPr="00615E45" w:rsidRDefault="00EB7374" w:rsidP="00C700EB">
            <w:pPr>
              <w:jc w:val="right"/>
              <w:rPr>
                <w:sz w:val="15"/>
                <w:szCs w:val="15"/>
              </w:rPr>
            </w:pPr>
          </w:p>
        </w:tc>
        <w:tc>
          <w:tcPr>
            <w:tcW w:w="400" w:type="pct"/>
            <w:noWrap/>
            <w:hideMark/>
          </w:tcPr>
          <w:p w14:paraId="0E55CAC5" w14:textId="77777777" w:rsidR="00EB7374" w:rsidRPr="00615E45" w:rsidRDefault="00EB7374" w:rsidP="00C700EB">
            <w:pPr>
              <w:jc w:val="right"/>
              <w:rPr>
                <w:sz w:val="15"/>
                <w:szCs w:val="15"/>
              </w:rPr>
            </w:pPr>
          </w:p>
        </w:tc>
        <w:tc>
          <w:tcPr>
            <w:tcW w:w="400" w:type="pct"/>
            <w:noWrap/>
            <w:hideMark/>
          </w:tcPr>
          <w:p w14:paraId="0C508E75" w14:textId="77777777" w:rsidR="00EB7374" w:rsidRPr="00615E45" w:rsidRDefault="00EB7374" w:rsidP="00C700EB">
            <w:pPr>
              <w:jc w:val="right"/>
              <w:rPr>
                <w:sz w:val="15"/>
                <w:szCs w:val="15"/>
              </w:rPr>
            </w:pPr>
          </w:p>
        </w:tc>
        <w:tc>
          <w:tcPr>
            <w:tcW w:w="400" w:type="pct"/>
            <w:noWrap/>
            <w:hideMark/>
          </w:tcPr>
          <w:p w14:paraId="0975DC66" w14:textId="77777777" w:rsidR="00EB7374" w:rsidRPr="00615E45" w:rsidRDefault="00EB7374" w:rsidP="00C700EB">
            <w:pPr>
              <w:jc w:val="right"/>
              <w:rPr>
                <w:sz w:val="15"/>
                <w:szCs w:val="15"/>
              </w:rPr>
            </w:pPr>
          </w:p>
        </w:tc>
      </w:tr>
      <w:tr w:rsidR="00EB7374" w:rsidRPr="00615E45" w14:paraId="7736BF61" w14:textId="77777777" w:rsidTr="00C700EB">
        <w:trPr>
          <w:cantSplit/>
        </w:trPr>
        <w:tc>
          <w:tcPr>
            <w:tcW w:w="2197" w:type="pct"/>
            <w:noWrap/>
            <w:hideMark/>
          </w:tcPr>
          <w:p w14:paraId="30DD38C0" w14:textId="77777777" w:rsidR="00EB7374" w:rsidRPr="00615E45" w:rsidRDefault="00EB7374" w:rsidP="00C700EB">
            <w:pPr>
              <w:jc w:val="left"/>
              <w:rPr>
                <w:rFonts w:cs="Calibri"/>
                <w:color w:val="000000"/>
                <w:sz w:val="15"/>
                <w:szCs w:val="15"/>
              </w:rPr>
            </w:pPr>
            <w:r w:rsidRPr="00615E45">
              <w:rPr>
                <w:color w:val="000000"/>
                <w:sz w:val="15"/>
              </w:rPr>
              <w:t>Value (USD million)</w:t>
            </w:r>
          </w:p>
        </w:tc>
        <w:tc>
          <w:tcPr>
            <w:tcW w:w="400" w:type="pct"/>
            <w:noWrap/>
            <w:hideMark/>
          </w:tcPr>
          <w:p w14:paraId="31D6F9B0" w14:textId="77777777" w:rsidR="00EB7374" w:rsidRPr="00615E45" w:rsidRDefault="00EB7374" w:rsidP="00C700EB">
            <w:pPr>
              <w:jc w:val="right"/>
              <w:rPr>
                <w:rFonts w:cs="Calibri"/>
                <w:color w:val="000000"/>
                <w:sz w:val="15"/>
                <w:szCs w:val="15"/>
              </w:rPr>
            </w:pPr>
            <w:r w:rsidRPr="00615E45">
              <w:rPr>
                <w:color w:val="000000"/>
                <w:sz w:val="15"/>
              </w:rPr>
              <w:t>2,254</w:t>
            </w:r>
          </w:p>
        </w:tc>
        <w:tc>
          <w:tcPr>
            <w:tcW w:w="400" w:type="pct"/>
            <w:noWrap/>
            <w:hideMark/>
          </w:tcPr>
          <w:p w14:paraId="1F35A9E9" w14:textId="77777777" w:rsidR="00EB7374" w:rsidRPr="00615E45" w:rsidRDefault="00EB7374" w:rsidP="00C700EB">
            <w:pPr>
              <w:jc w:val="right"/>
              <w:rPr>
                <w:rFonts w:cs="Calibri"/>
                <w:color w:val="000000"/>
                <w:sz w:val="15"/>
                <w:szCs w:val="15"/>
              </w:rPr>
            </w:pPr>
            <w:r w:rsidRPr="00615E45">
              <w:rPr>
                <w:color w:val="000000"/>
                <w:sz w:val="15"/>
              </w:rPr>
              <w:t>2,419</w:t>
            </w:r>
          </w:p>
        </w:tc>
        <w:tc>
          <w:tcPr>
            <w:tcW w:w="400" w:type="pct"/>
            <w:noWrap/>
            <w:hideMark/>
          </w:tcPr>
          <w:p w14:paraId="68C4025E" w14:textId="77777777" w:rsidR="00EB7374" w:rsidRPr="00615E45" w:rsidRDefault="00EB7374" w:rsidP="00C700EB">
            <w:pPr>
              <w:jc w:val="right"/>
              <w:rPr>
                <w:rFonts w:cs="Calibri"/>
                <w:color w:val="000000"/>
                <w:sz w:val="15"/>
                <w:szCs w:val="15"/>
              </w:rPr>
            </w:pPr>
            <w:r w:rsidRPr="00615E45">
              <w:rPr>
                <w:color w:val="000000"/>
                <w:sz w:val="15"/>
              </w:rPr>
              <w:t>2,250</w:t>
            </w:r>
          </w:p>
        </w:tc>
        <w:tc>
          <w:tcPr>
            <w:tcW w:w="400" w:type="pct"/>
            <w:noWrap/>
            <w:hideMark/>
          </w:tcPr>
          <w:p w14:paraId="429BCF3A" w14:textId="77777777" w:rsidR="00EB7374" w:rsidRPr="00615E45" w:rsidRDefault="00EB7374" w:rsidP="00C700EB">
            <w:pPr>
              <w:jc w:val="right"/>
              <w:rPr>
                <w:rFonts w:cs="Calibri"/>
                <w:color w:val="000000"/>
                <w:sz w:val="15"/>
                <w:szCs w:val="15"/>
              </w:rPr>
            </w:pPr>
            <w:r w:rsidRPr="00615E45">
              <w:rPr>
                <w:color w:val="000000"/>
                <w:sz w:val="15"/>
              </w:rPr>
              <w:t>2,422</w:t>
            </w:r>
          </w:p>
        </w:tc>
        <w:tc>
          <w:tcPr>
            <w:tcW w:w="400" w:type="pct"/>
            <w:noWrap/>
            <w:hideMark/>
          </w:tcPr>
          <w:p w14:paraId="6E69C04E" w14:textId="77777777" w:rsidR="00EB7374" w:rsidRPr="00615E45" w:rsidRDefault="00EB7374" w:rsidP="00C700EB">
            <w:pPr>
              <w:jc w:val="right"/>
              <w:rPr>
                <w:rFonts w:cs="Calibri"/>
                <w:color w:val="000000"/>
                <w:sz w:val="15"/>
                <w:szCs w:val="15"/>
              </w:rPr>
            </w:pPr>
            <w:r w:rsidRPr="00615E45">
              <w:rPr>
                <w:color w:val="000000"/>
                <w:sz w:val="15"/>
              </w:rPr>
              <w:t>2,538</w:t>
            </w:r>
          </w:p>
        </w:tc>
        <w:tc>
          <w:tcPr>
            <w:tcW w:w="400" w:type="pct"/>
            <w:noWrap/>
            <w:hideMark/>
          </w:tcPr>
          <w:p w14:paraId="6A03612D" w14:textId="77777777" w:rsidR="00EB7374" w:rsidRPr="00615E45" w:rsidRDefault="00EB7374" w:rsidP="00C700EB">
            <w:pPr>
              <w:jc w:val="right"/>
              <w:rPr>
                <w:rFonts w:cs="Calibri"/>
                <w:color w:val="000000"/>
                <w:sz w:val="15"/>
                <w:szCs w:val="15"/>
              </w:rPr>
            </w:pPr>
            <w:r w:rsidRPr="00615E45">
              <w:rPr>
                <w:color w:val="000000"/>
                <w:sz w:val="15"/>
              </w:rPr>
              <w:t>2,214</w:t>
            </w:r>
          </w:p>
        </w:tc>
        <w:tc>
          <w:tcPr>
            <w:tcW w:w="400" w:type="pct"/>
            <w:noWrap/>
            <w:hideMark/>
          </w:tcPr>
          <w:p w14:paraId="1EB3EA78" w14:textId="77777777" w:rsidR="00EB7374" w:rsidRPr="00615E45" w:rsidRDefault="00EB7374" w:rsidP="00C700EB">
            <w:pPr>
              <w:jc w:val="right"/>
              <w:rPr>
                <w:rFonts w:cs="Calibri"/>
                <w:color w:val="000000"/>
                <w:sz w:val="15"/>
                <w:szCs w:val="15"/>
              </w:rPr>
            </w:pPr>
            <w:r w:rsidRPr="00615E45">
              <w:rPr>
                <w:color w:val="000000"/>
                <w:sz w:val="15"/>
              </w:rPr>
              <w:t>2,703</w:t>
            </w:r>
          </w:p>
        </w:tc>
      </w:tr>
      <w:tr w:rsidR="00EB7374" w:rsidRPr="00615E45" w14:paraId="5448B631" w14:textId="77777777" w:rsidTr="00C700EB">
        <w:trPr>
          <w:cnfStyle w:val="000000010000" w:firstRow="0" w:lastRow="0" w:firstColumn="0" w:lastColumn="0" w:oddVBand="0" w:evenVBand="0" w:oddHBand="0" w:evenHBand="1" w:firstRowFirstColumn="0" w:firstRowLastColumn="0" w:lastRowFirstColumn="0" w:lastRowLastColumn="0"/>
          <w:cantSplit/>
        </w:trPr>
        <w:tc>
          <w:tcPr>
            <w:tcW w:w="2197" w:type="pct"/>
            <w:noWrap/>
            <w:hideMark/>
          </w:tcPr>
          <w:p w14:paraId="0A58D883" w14:textId="77777777" w:rsidR="00EB7374" w:rsidRPr="00615E45" w:rsidRDefault="00EB7374" w:rsidP="00C700EB">
            <w:pPr>
              <w:jc w:val="left"/>
              <w:rPr>
                <w:rFonts w:cs="Calibri"/>
                <w:color w:val="000000"/>
                <w:sz w:val="15"/>
                <w:szCs w:val="15"/>
              </w:rPr>
            </w:pPr>
            <w:r w:rsidRPr="00615E45">
              <w:rPr>
                <w:color w:val="000000"/>
                <w:sz w:val="15"/>
              </w:rPr>
              <w:t xml:space="preserve">Top </w:t>
            </w:r>
            <w:r>
              <w:rPr>
                <w:color w:val="000000"/>
                <w:sz w:val="15"/>
              </w:rPr>
              <w:t>five</w:t>
            </w:r>
            <w:r w:rsidRPr="00615E45">
              <w:rPr>
                <w:color w:val="000000"/>
                <w:sz w:val="15"/>
              </w:rPr>
              <w:t xml:space="preserve"> products, </w:t>
            </w:r>
            <w:r>
              <w:rPr>
                <w:color w:val="000000"/>
                <w:sz w:val="15"/>
              </w:rPr>
              <w:t>by</w:t>
            </w:r>
            <w:r w:rsidRPr="00615E45">
              <w:rPr>
                <w:color w:val="000000"/>
                <w:sz w:val="15"/>
              </w:rPr>
              <w:t xml:space="preserve"> HS chapter (% of agricultural total)</w:t>
            </w:r>
          </w:p>
        </w:tc>
        <w:tc>
          <w:tcPr>
            <w:tcW w:w="400" w:type="pct"/>
          </w:tcPr>
          <w:p w14:paraId="0D76DF34" w14:textId="77777777" w:rsidR="00EB7374" w:rsidRPr="00615E45" w:rsidRDefault="00EB7374" w:rsidP="00C700EB">
            <w:pPr>
              <w:jc w:val="right"/>
              <w:rPr>
                <w:rFonts w:cs="Calibri"/>
                <w:color w:val="000000"/>
                <w:sz w:val="15"/>
                <w:szCs w:val="15"/>
              </w:rPr>
            </w:pPr>
          </w:p>
        </w:tc>
        <w:tc>
          <w:tcPr>
            <w:tcW w:w="400" w:type="pct"/>
          </w:tcPr>
          <w:p w14:paraId="245D778E" w14:textId="77777777" w:rsidR="00EB7374" w:rsidRPr="00615E45" w:rsidRDefault="00EB7374" w:rsidP="00C700EB">
            <w:pPr>
              <w:jc w:val="right"/>
              <w:rPr>
                <w:rFonts w:cs="Calibri"/>
                <w:color w:val="000000"/>
                <w:sz w:val="15"/>
                <w:szCs w:val="15"/>
              </w:rPr>
            </w:pPr>
          </w:p>
        </w:tc>
        <w:tc>
          <w:tcPr>
            <w:tcW w:w="400" w:type="pct"/>
          </w:tcPr>
          <w:p w14:paraId="30C035C3" w14:textId="77777777" w:rsidR="00EB7374" w:rsidRPr="00615E45" w:rsidRDefault="00EB7374" w:rsidP="00C700EB">
            <w:pPr>
              <w:jc w:val="right"/>
              <w:rPr>
                <w:rFonts w:cs="Calibri"/>
                <w:color w:val="000000"/>
                <w:sz w:val="15"/>
                <w:szCs w:val="15"/>
              </w:rPr>
            </w:pPr>
          </w:p>
        </w:tc>
        <w:tc>
          <w:tcPr>
            <w:tcW w:w="400" w:type="pct"/>
            <w:noWrap/>
            <w:hideMark/>
          </w:tcPr>
          <w:p w14:paraId="58DB5600" w14:textId="77777777" w:rsidR="00EB7374" w:rsidRPr="00615E45" w:rsidRDefault="00EB7374" w:rsidP="00C700EB">
            <w:pPr>
              <w:jc w:val="right"/>
              <w:rPr>
                <w:rFonts w:cs="Calibri"/>
                <w:color w:val="000000"/>
                <w:sz w:val="15"/>
                <w:szCs w:val="15"/>
              </w:rPr>
            </w:pPr>
          </w:p>
        </w:tc>
        <w:tc>
          <w:tcPr>
            <w:tcW w:w="400" w:type="pct"/>
            <w:noWrap/>
            <w:hideMark/>
          </w:tcPr>
          <w:p w14:paraId="717F27DF" w14:textId="77777777" w:rsidR="00EB7374" w:rsidRPr="00615E45" w:rsidRDefault="00EB7374" w:rsidP="00C700EB">
            <w:pPr>
              <w:jc w:val="right"/>
              <w:rPr>
                <w:sz w:val="15"/>
                <w:szCs w:val="15"/>
              </w:rPr>
            </w:pPr>
          </w:p>
        </w:tc>
        <w:tc>
          <w:tcPr>
            <w:tcW w:w="400" w:type="pct"/>
            <w:noWrap/>
            <w:hideMark/>
          </w:tcPr>
          <w:p w14:paraId="3629891A" w14:textId="77777777" w:rsidR="00EB7374" w:rsidRPr="00615E45" w:rsidRDefault="00EB7374" w:rsidP="00C700EB">
            <w:pPr>
              <w:jc w:val="right"/>
              <w:rPr>
                <w:sz w:val="15"/>
                <w:szCs w:val="15"/>
              </w:rPr>
            </w:pPr>
          </w:p>
        </w:tc>
        <w:tc>
          <w:tcPr>
            <w:tcW w:w="400" w:type="pct"/>
            <w:noWrap/>
            <w:hideMark/>
          </w:tcPr>
          <w:p w14:paraId="727D8448" w14:textId="77777777" w:rsidR="00EB7374" w:rsidRPr="00615E45" w:rsidRDefault="00EB7374" w:rsidP="00C700EB">
            <w:pPr>
              <w:jc w:val="right"/>
              <w:rPr>
                <w:sz w:val="15"/>
                <w:szCs w:val="15"/>
              </w:rPr>
            </w:pPr>
          </w:p>
        </w:tc>
      </w:tr>
      <w:tr w:rsidR="00EB7374" w:rsidRPr="00615E45" w14:paraId="20329FCF" w14:textId="77777777" w:rsidTr="00C700EB">
        <w:trPr>
          <w:cantSplit/>
        </w:trPr>
        <w:tc>
          <w:tcPr>
            <w:tcW w:w="2197" w:type="pct"/>
            <w:noWrap/>
            <w:hideMark/>
          </w:tcPr>
          <w:p w14:paraId="04824F58" w14:textId="77777777" w:rsidR="00EB7374" w:rsidRPr="00615E45" w:rsidRDefault="00EB7374" w:rsidP="00C700EB">
            <w:pPr>
              <w:ind w:left="113"/>
              <w:jc w:val="left"/>
              <w:rPr>
                <w:rFonts w:cs="Calibri"/>
                <w:color w:val="000000"/>
                <w:sz w:val="15"/>
                <w:szCs w:val="15"/>
              </w:rPr>
            </w:pPr>
            <w:r w:rsidRPr="00615E45">
              <w:rPr>
                <w:color w:val="000000"/>
                <w:sz w:val="15"/>
              </w:rPr>
              <w:t>24. Tobacco and manufactured tobacco substitutes</w:t>
            </w:r>
          </w:p>
        </w:tc>
        <w:tc>
          <w:tcPr>
            <w:tcW w:w="400" w:type="pct"/>
            <w:noWrap/>
            <w:hideMark/>
          </w:tcPr>
          <w:p w14:paraId="162A98C5" w14:textId="77777777" w:rsidR="00EB7374" w:rsidRPr="00615E45" w:rsidRDefault="00EB7374" w:rsidP="00C700EB">
            <w:pPr>
              <w:jc w:val="right"/>
              <w:rPr>
                <w:rFonts w:cs="Calibri"/>
                <w:color w:val="000000"/>
                <w:sz w:val="15"/>
                <w:szCs w:val="15"/>
              </w:rPr>
            </w:pPr>
            <w:r w:rsidRPr="00615E45">
              <w:rPr>
                <w:color w:val="000000"/>
                <w:sz w:val="15"/>
              </w:rPr>
              <w:t>31.8</w:t>
            </w:r>
          </w:p>
        </w:tc>
        <w:tc>
          <w:tcPr>
            <w:tcW w:w="400" w:type="pct"/>
            <w:noWrap/>
            <w:hideMark/>
          </w:tcPr>
          <w:p w14:paraId="7B338113" w14:textId="77777777" w:rsidR="00EB7374" w:rsidRPr="00615E45" w:rsidRDefault="00EB7374" w:rsidP="00C700EB">
            <w:pPr>
              <w:jc w:val="right"/>
              <w:rPr>
                <w:rFonts w:cs="Calibri"/>
                <w:color w:val="000000"/>
                <w:sz w:val="15"/>
                <w:szCs w:val="15"/>
              </w:rPr>
            </w:pPr>
            <w:r w:rsidRPr="00615E45">
              <w:rPr>
                <w:color w:val="000000"/>
                <w:sz w:val="15"/>
              </w:rPr>
              <w:t>31.6</w:t>
            </w:r>
          </w:p>
        </w:tc>
        <w:tc>
          <w:tcPr>
            <w:tcW w:w="400" w:type="pct"/>
            <w:noWrap/>
            <w:hideMark/>
          </w:tcPr>
          <w:p w14:paraId="01EBA8FF" w14:textId="77777777" w:rsidR="00EB7374" w:rsidRPr="00615E45" w:rsidRDefault="00EB7374" w:rsidP="00C700EB">
            <w:pPr>
              <w:jc w:val="right"/>
              <w:rPr>
                <w:rFonts w:cs="Calibri"/>
                <w:color w:val="000000"/>
                <w:sz w:val="15"/>
                <w:szCs w:val="15"/>
              </w:rPr>
            </w:pPr>
            <w:r w:rsidRPr="00615E45">
              <w:rPr>
                <w:color w:val="000000"/>
                <w:sz w:val="15"/>
              </w:rPr>
              <w:t>37.5</w:t>
            </w:r>
          </w:p>
        </w:tc>
        <w:tc>
          <w:tcPr>
            <w:tcW w:w="400" w:type="pct"/>
            <w:noWrap/>
            <w:hideMark/>
          </w:tcPr>
          <w:p w14:paraId="48BEF21D" w14:textId="77777777" w:rsidR="00EB7374" w:rsidRPr="00615E45" w:rsidRDefault="00EB7374" w:rsidP="00C700EB">
            <w:pPr>
              <w:jc w:val="right"/>
              <w:rPr>
                <w:rFonts w:cs="Calibri"/>
                <w:color w:val="000000"/>
                <w:sz w:val="15"/>
                <w:szCs w:val="15"/>
              </w:rPr>
            </w:pPr>
            <w:r w:rsidRPr="00615E45">
              <w:rPr>
                <w:color w:val="000000"/>
                <w:sz w:val="15"/>
              </w:rPr>
              <w:t>36.6</w:t>
            </w:r>
          </w:p>
        </w:tc>
        <w:tc>
          <w:tcPr>
            <w:tcW w:w="400" w:type="pct"/>
            <w:noWrap/>
            <w:hideMark/>
          </w:tcPr>
          <w:p w14:paraId="605B1435" w14:textId="77777777" w:rsidR="00EB7374" w:rsidRPr="00615E45" w:rsidRDefault="00EB7374" w:rsidP="00C700EB">
            <w:pPr>
              <w:jc w:val="right"/>
              <w:rPr>
                <w:rFonts w:cs="Calibri"/>
                <w:color w:val="000000"/>
                <w:sz w:val="15"/>
                <w:szCs w:val="15"/>
              </w:rPr>
            </w:pPr>
            <w:r w:rsidRPr="00615E45">
              <w:rPr>
                <w:color w:val="000000"/>
                <w:sz w:val="15"/>
              </w:rPr>
              <w:t>37.2</w:t>
            </w:r>
          </w:p>
        </w:tc>
        <w:tc>
          <w:tcPr>
            <w:tcW w:w="400" w:type="pct"/>
            <w:noWrap/>
            <w:hideMark/>
          </w:tcPr>
          <w:p w14:paraId="212325A6" w14:textId="77777777" w:rsidR="00EB7374" w:rsidRPr="00615E45" w:rsidRDefault="00EB7374" w:rsidP="00C700EB">
            <w:pPr>
              <w:jc w:val="right"/>
              <w:rPr>
                <w:rFonts w:cs="Calibri"/>
                <w:color w:val="000000"/>
                <w:sz w:val="15"/>
                <w:szCs w:val="15"/>
              </w:rPr>
            </w:pPr>
            <w:r w:rsidRPr="00615E45">
              <w:rPr>
                <w:color w:val="000000"/>
                <w:sz w:val="15"/>
              </w:rPr>
              <w:t>42.3</w:t>
            </w:r>
          </w:p>
        </w:tc>
        <w:tc>
          <w:tcPr>
            <w:tcW w:w="400" w:type="pct"/>
            <w:noWrap/>
            <w:hideMark/>
          </w:tcPr>
          <w:p w14:paraId="5C681676" w14:textId="77777777" w:rsidR="00EB7374" w:rsidRPr="00615E45" w:rsidRDefault="00EB7374" w:rsidP="00C700EB">
            <w:pPr>
              <w:jc w:val="right"/>
              <w:rPr>
                <w:rFonts w:cs="Calibri"/>
                <w:color w:val="000000"/>
                <w:sz w:val="15"/>
                <w:szCs w:val="15"/>
              </w:rPr>
            </w:pPr>
            <w:r w:rsidRPr="00615E45">
              <w:rPr>
                <w:color w:val="000000"/>
                <w:sz w:val="15"/>
              </w:rPr>
              <w:t>45.7</w:t>
            </w:r>
          </w:p>
        </w:tc>
      </w:tr>
      <w:tr w:rsidR="00EB7374" w:rsidRPr="00615E45" w14:paraId="71ED2651" w14:textId="77777777" w:rsidTr="00C700EB">
        <w:trPr>
          <w:cnfStyle w:val="000000010000" w:firstRow="0" w:lastRow="0" w:firstColumn="0" w:lastColumn="0" w:oddVBand="0" w:evenVBand="0" w:oddHBand="0" w:evenHBand="1" w:firstRowFirstColumn="0" w:firstRowLastColumn="0" w:lastRowFirstColumn="0" w:lastRowLastColumn="0"/>
          <w:cantSplit/>
        </w:trPr>
        <w:tc>
          <w:tcPr>
            <w:tcW w:w="2197" w:type="pct"/>
            <w:noWrap/>
            <w:hideMark/>
          </w:tcPr>
          <w:p w14:paraId="5129941A" w14:textId="77777777" w:rsidR="00EB7374" w:rsidRPr="00615E45" w:rsidRDefault="00EB7374" w:rsidP="00C700EB">
            <w:pPr>
              <w:ind w:left="113"/>
              <w:jc w:val="left"/>
              <w:rPr>
                <w:rFonts w:cs="Calibri"/>
                <w:color w:val="000000"/>
                <w:sz w:val="15"/>
                <w:szCs w:val="15"/>
              </w:rPr>
            </w:pPr>
            <w:r w:rsidRPr="00615E45">
              <w:rPr>
                <w:color w:val="000000"/>
                <w:sz w:val="15"/>
              </w:rPr>
              <w:t>08. Edible fruit and nuts; citrus fruit or melons</w:t>
            </w:r>
          </w:p>
        </w:tc>
        <w:tc>
          <w:tcPr>
            <w:tcW w:w="400" w:type="pct"/>
            <w:noWrap/>
            <w:hideMark/>
          </w:tcPr>
          <w:p w14:paraId="4323835C" w14:textId="77777777" w:rsidR="00EB7374" w:rsidRPr="00615E45" w:rsidRDefault="00EB7374" w:rsidP="00C700EB">
            <w:pPr>
              <w:jc w:val="right"/>
              <w:rPr>
                <w:rFonts w:cs="Calibri"/>
                <w:color w:val="000000"/>
                <w:sz w:val="15"/>
                <w:szCs w:val="15"/>
              </w:rPr>
            </w:pPr>
            <w:r w:rsidRPr="00615E45">
              <w:rPr>
                <w:color w:val="000000"/>
                <w:sz w:val="15"/>
              </w:rPr>
              <w:t>16.5</w:t>
            </w:r>
          </w:p>
        </w:tc>
        <w:tc>
          <w:tcPr>
            <w:tcW w:w="400" w:type="pct"/>
            <w:noWrap/>
            <w:hideMark/>
          </w:tcPr>
          <w:p w14:paraId="44733910" w14:textId="77777777" w:rsidR="00EB7374" w:rsidRPr="00615E45" w:rsidRDefault="00EB7374" w:rsidP="00C700EB">
            <w:pPr>
              <w:jc w:val="right"/>
              <w:rPr>
                <w:rFonts w:cs="Calibri"/>
                <w:color w:val="000000"/>
                <w:sz w:val="15"/>
                <w:szCs w:val="15"/>
              </w:rPr>
            </w:pPr>
            <w:r w:rsidRPr="00615E45">
              <w:rPr>
                <w:color w:val="000000"/>
                <w:sz w:val="15"/>
              </w:rPr>
              <w:t>20.1</w:t>
            </w:r>
          </w:p>
        </w:tc>
        <w:tc>
          <w:tcPr>
            <w:tcW w:w="400" w:type="pct"/>
            <w:noWrap/>
            <w:hideMark/>
          </w:tcPr>
          <w:p w14:paraId="1360F015" w14:textId="77777777" w:rsidR="00EB7374" w:rsidRPr="00615E45" w:rsidRDefault="00EB7374" w:rsidP="00C700EB">
            <w:pPr>
              <w:jc w:val="right"/>
              <w:rPr>
                <w:rFonts w:cs="Calibri"/>
                <w:color w:val="000000"/>
                <w:sz w:val="15"/>
                <w:szCs w:val="15"/>
              </w:rPr>
            </w:pPr>
            <w:r w:rsidRPr="00615E45">
              <w:rPr>
                <w:color w:val="000000"/>
                <w:sz w:val="15"/>
              </w:rPr>
              <w:t>16.7</w:t>
            </w:r>
          </w:p>
        </w:tc>
        <w:tc>
          <w:tcPr>
            <w:tcW w:w="400" w:type="pct"/>
            <w:noWrap/>
            <w:hideMark/>
          </w:tcPr>
          <w:p w14:paraId="08E7243B" w14:textId="77777777" w:rsidR="00EB7374" w:rsidRPr="00615E45" w:rsidRDefault="00EB7374" w:rsidP="00C700EB">
            <w:pPr>
              <w:jc w:val="right"/>
              <w:rPr>
                <w:rFonts w:cs="Calibri"/>
                <w:color w:val="000000"/>
                <w:sz w:val="15"/>
                <w:szCs w:val="15"/>
              </w:rPr>
            </w:pPr>
            <w:r w:rsidRPr="00615E45">
              <w:rPr>
                <w:color w:val="000000"/>
                <w:sz w:val="15"/>
              </w:rPr>
              <w:t>15.8</w:t>
            </w:r>
          </w:p>
        </w:tc>
        <w:tc>
          <w:tcPr>
            <w:tcW w:w="400" w:type="pct"/>
            <w:noWrap/>
            <w:hideMark/>
          </w:tcPr>
          <w:p w14:paraId="2665B3AB" w14:textId="77777777" w:rsidR="00EB7374" w:rsidRPr="00615E45" w:rsidRDefault="00EB7374" w:rsidP="00C700EB">
            <w:pPr>
              <w:jc w:val="right"/>
              <w:rPr>
                <w:rFonts w:cs="Calibri"/>
                <w:color w:val="000000"/>
                <w:sz w:val="15"/>
                <w:szCs w:val="15"/>
              </w:rPr>
            </w:pPr>
            <w:r w:rsidRPr="00615E45">
              <w:rPr>
                <w:color w:val="000000"/>
                <w:sz w:val="15"/>
              </w:rPr>
              <w:t>16.5</w:t>
            </w:r>
          </w:p>
        </w:tc>
        <w:tc>
          <w:tcPr>
            <w:tcW w:w="400" w:type="pct"/>
            <w:noWrap/>
            <w:hideMark/>
          </w:tcPr>
          <w:p w14:paraId="26AA5E7F" w14:textId="77777777" w:rsidR="00EB7374" w:rsidRPr="00615E45" w:rsidRDefault="00EB7374" w:rsidP="00C700EB">
            <w:pPr>
              <w:jc w:val="right"/>
              <w:rPr>
                <w:rFonts w:cs="Calibri"/>
                <w:color w:val="000000"/>
                <w:sz w:val="15"/>
                <w:szCs w:val="15"/>
              </w:rPr>
            </w:pPr>
            <w:r w:rsidRPr="00615E45">
              <w:rPr>
                <w:color w:val="000000"/>
                <w:sz w:val="15"/>
              </w:rPr>
              <w:t>16.4</w:t>
            </w:r>
          </w:p>
        </w:tc>
        <w:tc>
          <w:tcPr>
            <w:tcW w:w="400" w:type="pct"/>
            <w:noWrap/>
            <w:hideMark/>
          </w:tcPr>
          <w:p w14:paraId="70F7EA87" w14:textId="77777777" w:rsidR="00EB7374" w:rsidRPr="00615E45" w:rsidRDefault="00EB7374" w:rsidP="00C700EB">
            <w:pPr>
              <w:jc w:val="right"/>
              <w:rPr>
                <w:rFonts w:cs="Calibri"/>
                <w:color w:val="000000"/>
                <w:sz w:val="15"/>
                <w:szCs w:val="15"/>
              </w:rPr>
            </w:pPr>
            <w:r w:rsidRPr="00615E45">
              <w:rPr>
                <w:color w:val="000000"/>
                <w:sz w:val="15"/>
              </w:rPr>
              <w:t>13.7</w:t>
            </w:r>
          </w:p>
        </w:tc>
      </w:tr>
      <w:tr w:rsidR="00EB7374" w:rsidRPr="00615E45" w14:paraId="49F9CDAF" w14:textId="77777777" w:rsidTr="00C700EB">
        <w:trPr>
          <w:cantSplit/>
        </w:trPr>
        <w:tc>
          <w:tcPr>
            <w:tcW w:w="2197" w:type="pct"/>
            <w:noWrap/>
            <w:hideMark/>
          </w:tcPr>
          <w:p w14:paraId="31E3D335" w14:textId="77777777" w:rsidR="00EB7374" w:rsidRPr="00615E45" w:rsidRDefault="00EB7374" w:rsidP="00C700EB">
            <w:pPr>
              <w:ind w:left="113"/>
              <w:jc w:val="left"/>
              <w:rPr>
                <w:rFonts w:cs="Calibri"/>
                <w:color w:val="000000"/>
                <w:sz w:val="15"/>
                <w:szCs w:val="15"/>
              </w:rPr>
            </w:pPr>
            <w:r w:rsidRPr="00615E45">
              <w:rPr>
                <w:color w:val="000000"/>
                <w:sz w:val="15"/>
              </w:rPr>
              <w:t>18. Cocoa and cocoa preparations</w:t>
            </w:r>
          </w:p>
        </w:tc>
        <w:tc>
          <w:tcPr>
            <w:tcW w:w="400" w:type="pct"/>
            <w:noWrap/>
            <w:hideMark/>
          </w:tcPr>
          <w:p w14:paraId="0C2A73BF" w14:textId="77777777" w:rsidR="00EB7374" w:rsidRPr="00615E45" w:rsidRDefault="00EB7374" w:rsidP="00C700EB">
            <w:pPr>
              <w:jc w:val="right"/>
              <w:rPr>
                <w:rFonts w:cs="Calibri"/>
                <w:color w:val="000000"/>
                <w:sz w:val="15"/>
                <w:szCs w:val="15"/>
              </w:rPr>
            </w:pPr>
            <w:r w:rsidRPr="00615E45">
              <w:rPr>
                <w:color w:val="000000"/>
                <w:sz w:val="15"/>
              </w:rPr>
              <w:t>11.7</w:t>
            </w:r>
          </w:p>
        </w:tc>
        <w:tc>
          <w:tcPr>
            <w:tcW w:w="400" w:type="pct"/>
            <w:noWrap/>
            <w:hideMark/>
          </w:tcPr>
          <w:p w14:paraId="53A7118B" w14:textId="77777777" w:rsidR="00EB7374" w:rsidRPr="00615E45" w:rsidRDefault="00EB7374" w:rsidP="00C700EB">
            <w:pPr>
              <w:jc w:val="right"/>
              <w:rPr>
                <w:rFonts w:cs="Calibri"/>
                <w:color w:val="000000"/>
                <w:sz w:val="15"/>
                <w:szCs w:val="15"/>
              </w:rPr>
            </w:pPr>
            <w:r w:rsidRPr="00615E45">
              <w:rPr>
                <w:color w:val="000000"/>
                <w:sz w:val="15"/>
              </w:rPr>
              <w:t>10.0</w:t>
            </w:r>
          </w:p>
        </w:tc>
        <w:tc>
          <w:tcPr>
            <w:tcW w:w="400" w:type="pct"/>
            <w:noWrap/>
            <w:hideMark/>
          </w:tcPr>
          <w:p w14:paraId="4B58F350" w14:textId="77777777" w:rsidR="00EB7374" w:rsidRPr="00615E45" w:rsidRDefault="00EB7374" w:rsidP="00C700EB">
            <w:pPr>
              <w:jc w:val="right"/>
              <w:rPr>
                <w:rFonts w:cs="Calibri"/>
                <w:color w:val="000000"/>
                <w:sz w:val="15"/>
                <w:szCs w:val="15"/>
              </w:rPr>
            </w:pPr>
            <w:r w:rsidRPr="00615E45">
              <w:rPr>
                <w:color w:val="000000"/>
                <w:sz w:val="15"/>
              </w:rPr>
              <w:t>6.5</w:t>
            </w:r>
          </w:p>
        </w:tc>
        <w:tc>
          <w:tcPr>
            <w:tcW w:w="400" w:type="pct"/>
            <w:noWrap/>
            <w:hideMark/>
          </w:tcPr>
          <w:p w14:paraId="2E7B1A88" w14:textId="77777777" w:rsidR="00EB7374" w:rsidRPr="00615E45" w:rsidRDefault="00EB7374" w:rsidP="00C700EB">
            <w:pPr>
              <w:jc w:val="right"/>
              <w:rPr>
                <w:rFonts w:cs="Calibri"/>
                <w:color w:val="000000"/>
                <w:sz w:val="15"/>
                <w:szCs w:val="15"/>
              </w:rPr>
            </w:pPr>
            <w:r w:rsidRPr="00615E45">
              <w:rPr>
                <w:color w:val="000000"/>
                <w:sz w:val="15"/>
              </w:rPr>
              <w:t>9.1</w:t>
            </w:r>
          </w:p>
        </w:tc>
        <w:tc>
          <w:tcPr>
            <w:tcW w:w="400" w:type="pct"/>
            <w:noWrap/>
            <w:hideMark/>
          </w:tcPr>
          <w:p w14:paraId="43B59E69" w14:textId="77777777" w:rsidR="00EB7374" w:rsidRPr="00615E45" w:rsidRDefault="00EB7374" w:rsidP="00C700EB">
            <w:pPr>
              <w:jc w:val="right"/>
              <w:rPr>
                <w:rFonts w:cs="Calibri"/>
                <w:color w:val="000000"/>
                <w:sz w:val="15"/>
                <w:szCs w:val="15"/>
              </w:rPr>
            </w:pPr>
            <w:r w:rsidRPr="00615E45">
              <w:rPr>
                <w:color w:val="000000"/>
                <w:sz w:val="15"/>
              </w:rPr>
              <w:t>7.7</w:t>
            </w:r>
          </w:p>
        </w:tc>
        <w:tc>
          <w:tcPr>
            <w:tcW w:w="400" w:type="pct"/>
            <w:noWrap/>
            <w:hideMark/>
          </w:tcPr>
          <w:p w14:paraId="298AF52B" w14:textId="77777777" w:rsidR="00EB7374" w:rsidRPr="00615E45" w:rsidRDefault="00EB7374" w:rsidP="00C700EB">
            <w:pPr>
              <w:jc w:val="right"/>
              <w:rPr>
                <w:rFonts w:cs="Calibri"/>
                <w:color w:val="000000"/>
                <w:sz w:val="15"/>
                <w:szCs w:val="15"/>
              </w:rPr>
            </w:pPr>
            <w:r w:rsidRPr="00615E45">
              <w:rPr>
                <w:color w:val="000000"/>
                <w:sz w:val="15"/>
              </w:rPr>
              <w:t>8.7</w:t>
            </w:r>
          </w:p>
        </w:tc>
        <w:tc>
          <w:tcPr>
            <w:tcW w:w="400" w:type="pct"/>
            <w:noWrap/>
            <w:hideMark/>
          </w:tcPr>
          <w:p w14:paraId="52EC2FFD" w14:textId="77777777" w:rsidR="00EB7374" w:rsidRPr="00615E45" w:rsidRDefault="00EB7374" w:rsidP="00C700EB">
            <w:pPr>
              <w:jc w:val="right"/>
              <w:rPr>
                <w:rFonts w:cs="Calibri"/>
                <w:color w:val="000000"/>
                <w:sz w:val="15"/>
                <w:szCs w:val="15"/>
              </w:rPr>
            </w:pPr>
            <w:r w:rsidRPr="00615E45">
              <w:rPr>
                <w:color w:val="000000"/>
                <w:sz w:val="15"/>
              </w:rPr>
              <w:t>8.1</w:t>
            </w:r>
          </w:p>
        </w:tc>
      </w:tr>
      <w:tr w:rsidR="00EB7374" w:rsidRPr="00615E45" w14:paraId="3BFA8AE7" w14:textId="77777777" w:rsidTr="00C700EB">
        <w:trPr>
          <w:cnfStyle w:val="000000010000" w:firstRow="0" w:lastRow="0" w:firstColumn="0" w:lastColumn="0" w:oddVBand="0" w:evenVBand="0" w:oddHBand="0" w:evenHBand="1" w:firstRowFirstColumn="0" w:firstRowLastColumn="0" w:lastRowFirstColumn="0" w:lastRowLastColumn="0"/>
          <w:cantSplit/>
        </w:trPr>
        <w:tc>
          <w:tcPr>
            <w:tcW w:w="2197" w:type="pct"/>
            <w:noWrap/>
            <w:hideMark/>
          </w:tcPr>
          <w:p w14:paraId="0F548513" w14:textId="77777777" w:rsidR="00EB7374" w:rsidRPr="00615E45" w:rsidRDefault="00EB7374" w:rsidP="00C700EB">
            <w:pPr>
              <w:ind w:left="113"/>
              <w:jc w:val="left"/>
              <w:rPr>
                <w:rFonts w:cs="Calibri"/>
                <w:color w:val="000000"/>
                <w:sz w:val="15"/>
                <w:szCs w:val="15"/>
              </w:rPr>
            </w:pPr>
            <w:r w:rsidRPr="00615E45">
              <w:rPr>
                <w:color w:val="000000"/>
                <w:sz w:val="15"/>
              </w:rPr>
              <w:t>22. Beverages, spirits and vinegar</w:t>
            </w:r>
          </w:p>
        </w:tc>
        <w:tc>
          <w:tcPr>
            <w:tcW w:w="400" w:type="pct"/>
            <w:noWrap/>
            <w:hideMark/>
          </w:tcPr>
          <w:p w14:paraId="3881DCDB" w14:textId="77777777" w:rsidR="00EB7374" w:rsidRPr="00615E45" w:rsidRDefault="00EB7374" w:rsidP="00C700EB">
            <w:pPr>
              <w:jc w:val="right"/>
              <w:rPr>
                <w:rFonts w:cs="Calibri"/>
                <w:color w:val="000000"/>
                <w:sz w:val="15"/>
                <w:szCs w:val="15"/>
              </w:rPr>
            </w:pPr>
            <w:r w:rsidRPr="00615E45">
              <w:rPr>
                <w:color w:val="000000"/>
                <w:sz w:val="15"/>
              </w:rPr>
              <w:t>7.2</w:t>
            </w:r>
          </w:p>
        </w:tc>
        <w:tc>
          <w:tcPr>
            <w:tcW w:w="400" w:type="pct"/>
            <w:noWrap/>
            <w:hideMark/>
          </w:tcPr>
          <w:p w14:paraId="690284D0" w14:textId="77777777" w:rsidR="00EB7374" w:rsidRPr="00615E45" w:rsidRDefault="00EB7374" w:rsidP="00C700EB">
            <w:pPr>
              <w:jc w:val="right"/>
              <w:rPr>
                <w:rFonts w:cs="Calibri"/>
                <w:color w:val="000000"/>
                <w:sz w:val="15"/>
                <w:szCs w:val="15"/>
              </w:rPr>
            </w:pPr>
            <w:r w:rsidRPr="00615E45">
              <w:rPr>
                <w:color w:val="000000"/>
                <w:sz w:val="15"/>
              </w:rPr>
              <w:t>7.0</w:t>
            </w:r>
          </w:p>
        </w:tc>
        <w:tc>
          <w:tcPr>
            <w:tcW w:w="400" w:type="pct"/>
            <w:noWrap/>
            <w:hideMark/>
          </w:tcPr>
          <w:p w14:paraId="20AE15CD" w14:textId="77777777" w:rsidR="00EB7374" w:rsidRPr="00615E45" w:rsidRDefault="00EB7374" w:rsidP="00C700EB">
            <w:pPr>
              <w:jc w:val="right"/>
              <w:rPr>
                <w:rFonts w:cs="Calibri"/>
                <w:color w:val="000000"/>
                <w:sz w:val="15"/>
                <w:szCs w:val="15"/>
              </w:rPr>
            </w:pPr>
            <w:r w:rsidRPr="00615E45">
              <w:rPr>
                <w:color w:val="000000"/>
                <w:sz w:val="15"/>
              </w:rPr>
              <w:t>7.6</w:t>
            </w:r>
          </w:p>
        </w:tc>
        <w:tc>
          <w:tcPr>
            <w:tcW w:w="400" w:type="pct"/>
            <w:noWrap/>
            <w:hideMark/>
          </w:tcPr>
          <w:p w14:paraId="51872513" w14:textId="77777777" w:rsidR="00EB7374" w:rsidRPr="00615E45" w:rsidRDefault="00EB7374" w:rsidP="00C700EB">
            <w:pPr>
              <w:jc w:val="right"/>
              <w:rPr>
                <w:rFonts w:cs="Calibri"/>
                <w:color w:val="000000"/>
                <w:sz w:val="15"/>
                <w:szCs w:val="15"/>
              </w:rPr>
            </w:pPr>
            <w:r w:rsidRPr="00615E45">
              <w:rPr>
                <w:color w:val="000000"/>
                <w:sz w:val="15"/>
              </w:rPr>
              <w:t>6.3</w:t>
            </w:r>
          </w:p>
        </w:tc>
        <w:tc>
          <w:tcPr>
            <w:tcW w:w="400" w:type="pct"/>
            <w:noWrap/>
            <w:hideMark/>
          </w:tcPr>
          <w:p w14:paraId="48A62E4E" w14:textId="77777777" w:rsidR="00EB7374" w:rsidRPr="00615E45" w:rsidRDefault="00EB7374" w:rsidP="00C700EB">
            <w:pPr>
              <w:jc w:val="right"/>
              <w:rPr>
                <w:rFonts w:cs="Calibri"/>
                <w:color w:val="000000"/>
                <w:sz w:val="15"/>
                <w:szCs w:val="15"/>
              </w:rPr>
            </w:pPr>
            <w:r w:rsidRPr="00615E45">
              <w:rPr>
                <w:color w:val="000000"/>
                <w:sz w:val="15"/>
              </w:rPr>
              <w:t>6.2</w:t>
            </w:r>
          </w:p>
        </w:tc>
        <w:tc>
          <w:tcPr>
            <w:tcW w:w="400" w:type="pct"/>
            <w:noWrap/>
            <w:hideMark/>
          </w:tcPr>
          <w:p w14:paraId="2A4B4F76" w14:textId="77777777" w:rsidR="00EB7374" w:rsidRPr="00615E45" w:rsidRDefault="00EB7374" w:rsidP="00C700EB">
            <w:pPr>
              <w:jc w:val="right"/>
              <w:rPr>
                <w:rFonts w:cs="Calibri"/>
                <w:color w:val="000000"/>
                <w:sz w:val="15"/>
                <w:szCs w:val="15"/>
              </w:rPr>
            </w:pPr>
            <w:r w:rsidRPr="00615E45">
              <w:rPr>
                <w:color w:val="000000"/>
                <w:sz w:val="15"/>
              </w:rPr>
              <w:t>6.1</w:t>
            </w:r>
          </w:p>
        </w:tc>
        <w:tc>
          <w:tcPr>
            <w:tcW w:w="400" w:type="pct"/>
            <w:noWrap/>
            <w:hideMark/>
          </w:tcPr>
          <w:p w14:paraId="263435A4" w14:textId="77777777" w:rsidR="00EB7374" w:rsidRPr="00615E45" w:rsidRDefault="00EB7374" w:rsidP="00C700EB">
            <w:pPr>
              <w:jc w:val="right"/>
              <w:rPr>
                <w:rFonts w:cs="Calibri"/>
                <w:color w:val="000000"/>
                <w:sz w:val="15"/>
                <w:szCs w:val="15"/>
              </w:rPr>
            </w:pPr>
            <w:r w:rsidRPr="00615E45">
              <w:rPr>
                <w:color w:val="000000"/>
                <w:sz w:val="15"/>
              </w:rPr>
              <w:t>6.9</w:t>
            </w:r>
          </w:p>
        </w:tc>
      </w:tr>
      <w:tr w:rsidR="00EB7374" w:rsidRPr="00615E45" w14:paraId="0BF56DA8" w14:textId="77777777" w:rsidTr="00C700EB">
        <w:trPr>
          <w:cantSplit/>
        </w:trPr>
        <w:tc>
          <w:tcPr>
            <w:tcW w:w="2197" w:type="pct"/>
            <w:noWrap/>
            <w:hideMark/>
          </w:tcPr>
          <w:p w14:paraId="15AF8DD9" w14:textId="77777777" w:rsidR="00EB7374" w:rsidRPr="00615E45" w:rsidRDefault="00EB7374" w:rsidP="00C700EB">
            <w:pPr>
              <w:ind w:left="113"/>
              <w:jc w:val="left"/>
              <w:rPr>
                <w:rFonts w:cs="Calibri"/>
                <w:color w:val="000000"/>
                <w:sz w:val="15"/>
                <w:szCs w:val="15"/>
              </w:rPr>
            </w:pPr>
            <w:r w:rsidRPr="00615E45">
              <w:rPr>
                <w:color w:val="000000"/>
                <w:sz w:val="15"/>
              </w:rPr>
              <w:t>17. Sugars and sugar confectionery</w:t>
            </w:r>
          </w:p>
        </w:tc>
        <w:tc>
          <w:tcPr>
            <w:tcW w:w="400" w:type="pct"/>
            <w:noWrap/>
            <w:hideMark/>
          </w:tcPr>
          <w:p w14:paraId="0AE16DB7" w14:textId="77777777" w:rsidR="00EB7374" w:rsidRPr="00615E45" w:rsidRDefault="00EB7374" w:rsidP="00C700EB">
            <w:pPr>
              <w:jc w:val="right"/>
              <w:rPr>
                <w:rFonts w:cs="Calibri"/>
                <w:color w:val="000000"/>
                <w:sz w:val="15"/>
                <w:szCs w:val="15"/>
              </w:rPr>
            </w:pPr>
            <w:r w:rsidRPr="00615E45">
              <w:rPr>
                <w:color w:val="000000"/>
                <w:sz w:val="15"/>
              </w:rPr>
              <w:t>5.2</w:t>
            </w:r>
          </w:p>
        </w:tc>
        <w:tc>
          <w:tcPr>
            <w:tcW w:w="400" w:type="pct"/>
            <w:noWrap/>
            <w:hideMark/>
          </w:tcPr>
          <w:p w14:paraId="053ABB95" w14:textId="77777777" w:rsidR="00EB7374" w:rsidRPr="00615E45" w:rsidRDefault="00EB7374" w:rsidP="00C700EB">
            <w:pPr>
              <w:jc w:val="right"/>
              <w:rPr>
                <w:rFonts w:cs="Calibri"/>
                <w:color w:val="000000"/>
                <w:sz w:val="15"/>
                <w:szCs w:val="15"/>
              </w:rPr>
            </w:pPr>
            <w:r w:rsidRPr="00615E45">
              <w:rPr>
                <w:color w:val="000000"/>
                <w:sz w:val="15"/>
              </w:rPr>
              <w:t>4.8</w:t>
            </w:r>
          </w:p>
        </w:tc>
        <w:tc>
          <w:tcPr>
            <w:tcW w:w="400" w:type="pct"/>
            <w:noWrap/>
            <w:hideMark/>
          </w:tcPr>
          <w:p w14:paraId="393AFC26" w14:textId="77777777" w:rsidR="00EB7374" w:rsidRPr="00615E45" w:rsidRDefault="00EB7374" w:rsidP="00C700EB">
            <w:pPr>
              <w:jc w:val="right"/>
              <w:rPr>
                <w:rFonts w:cs="Calibri"/>
                <w:color w:val="000000"/>
                <w:sz w:val="15"/>
                <w:szCs w:val="15"/>
              </w:rPr>
            </w:pPr>
            <w:r w:rsidRPr="00615E45">
              <w:rPr>
                <w:color w:val="000000"/>
                <w:sz w:val="15"/>
              </w:rPr>
              <w:t>5.4</w:t>
            </w:r>
          </w:p>
        </w:tc>
        <w:tc>
          <w:tcPr>
            <w:tcW w:w="400" w:type="pct"/>
            <w:noWrap/>
            <w:hideMark/>
          </w:tcPr>
          <w:p w14:paraId="26E8206A" w14:textId="77777777" w:rsidR="00EB7374" w:rsidRPr="00615E45" w:rsidRDefault="00EB7374" w:rsidP="00C700EB">
            <w:pPr>
              <w:jc w:val="right"/>
              <w:rPr>
                <w:rFonts w:cs="Calibri"/>
                <w:color w:val="000000"/>
                <w:sz w:val="15"/>
                <w:szCs w:val="15"/>
              </w:rPr>
            </w:pPr>
            <w:r w:rsidRPr="00615E45">
              <w:rPr>
                <w:color w:val="000000"/>
                <w:sz w:val="15"/>
              </w:rPr>
              <w:t>5.4</w:t>
            </w:r>
          </w:p>
        </w:tc>
        <w:tc>
          <w:tcPr>
            <w:tcW w:w="400" w:type="pct"/>
            <w:noWrap/>
            <w:hideMark/>
          </w:tcPr>
          <w:p w14:paraId="3230377C" w14:textId="77777777" w:rsidR="00EB7374" w:rsidRPr="00615E45" w:rsidRDefault="00EB7374" w:rsidP="00C700EB">
            <w:pPr>
              <w:jc w:val="right"/>
              <w:rPr>
                <w:rFonts w:cs="Calibri"/>
                <w:color w:val="000000"/>
                <w:sz w:val="15"/>
                <w:szCs w:val="15"/>
              </w:rPr>
            </w:pPr>
            <w:r w:rsidRPr="00615E45">
              <w:rPr>
                <w:color w:val="000000"/>
                <w:sz w:val="15"/>
              </w:rPr>
              <w:t>4.4</w:t>
            </w:r>
          </w:p>
        </w:tc>
        <w:tc>
          <w:tcPr>
            <w:tcW w:w="400" w:type="pct"/>
            <w:noWrap/>
            <w:hideMark/>
          </w:tcPr>
          <w:p w14:paraId="7ECD53A1" w14:textId="77777777" w:rsidR="00EB7374" w:rsidRPr="00615E45" w:rsidRDefault="00EB7374" w:rsidP="00C700EB">
            <w:pPr>
              <w:jc w:val="right"/>
              <w:rPr>
                <w:rFonts w:cs="Calibri"/>
                <w:color w:val="000000"/>
                <w:sz w:val="15"/>
                <w:szCs w:val="15"/>
              </w:rPr>
            </w:pPr>
            <w:r w:rsidRPr="00615E45">
              <w:rPr>
                <w:color w:val="000000"/>
                <w:sz w:val="15"/>
              </w:rPr>
              <w:t>6.1</w:t>
            </w:r>
          </w:p>
        </w:tc>
        <w:tc>
          <w:tcPr>
            <w:tcW w:w="400" w:type="pct"/>
            <w:noWrap/>
            <w:hideMark/>
          </w:tcPr>
          <w:p w14:paraId="260E418C" w14:textId="77777777" w:rsidR="00EB7374" w:rsidRPr="00615E45" w:rsidRDefault="00EB7374" w:rsidP="00C700EB">
            <w:pPr>
              <w:jc w:val="right"/>
              <w:rPr>
                <w:rFonts w:cs="Calibri"/>
                <w:color w:val="000000"/>
                <w:sz w:val="15"/>
                <w:szCs w:val="15"/>
              </w:rPr>
            </w:pPr>
            <w:r w:rsidRPr="00615E45">
              <w:rPr>
                <w:color w:val="000000"/>
                <w:sz w:val="15"/>
              </w:rPr>
              <w:t>5.2</w:t>
            </w:r>
          </w:p>
        </w:tc>
      </w:tr>
      <w:tr w:rsidR="00EB7374" w:rsidRPr="00615E45" w14:paraId="44D98538" w14:textId="77777777" w:rsidTr="00C700EB">
        <w:trPr>
          <w:cnfStyle w:val="000000010000" w:firstRow="0" w:lastRow="0" w:firstColumn="0" w:lastColumn="0" w:oddVBand="0" w:evenVBand="0" w:oddHBand="0" w:evenHBand="1" w:firstRowFirstColumn="0" w:firstRowLastColumn="0" w:lastRowFirstColumn="0" w:lastRowLastColumn="0"/>
          <w:cantSplit/>
        </w:trPr>
        <w:tc>
          <w:tcPr>
            <w:tcW w:w="2197" w:type="pct"/>
            <w:noWrap/>
            <w:hideMark/>
          </w:tcPr>
          <w:p w14:paraId="617C78AE" w14:textId="77777777" w:rsidR="00EB7374" w:rsidRPr="00615E45" w:rsidRDefault="00EB7374" w:rsidP="00C700EB">
            <w:pPr>
              <w:jc w:val="left"/>
              <w:rPr>
                <w:rFonts w:cs="Calibri"/>
                <w:b/>
                <w:color w:val="000000"/>
                <w:sz w:val="15"/>
                <w:szCs w:val="15"/>
              </w:rPr>
            </w:pPr>
            <w:r w:rsidRPr="00615E45">
              <w:rPr>
                <w:b/>
                <w:color w:val="000000"/>
                <w:sz w:val="15"/>
              </w:rPr>
              <w:t xml:space="preserve">Total </w:t>
            </w:r>
            <w:proofErr w:type="spellStart"/>
            <w:r w:rsidRPr="00615E45">
              <w:rPr>
                <w:b/>
                <w:color w:val="000000"/>
                <w:sz w:val="15"/>
              </w:rPr>
              <w:t>imports</w:t>
            </w:r>
            <w:r w:rsidRPr="00615E45">
              <w:rPr>
                <w:b/>
                <w:color w:val="000000"/>
                <w:sz w:val="15"/>
                <w:vertAlign w:val="superscript"/>
              </w:rPr>
              <w:t>b</w:t>
            </w:r>
            <w:proofErr w:type="spellEnd"/>
          </w:p>
        </w:tc>
        <w:tc>
          <w:tcPr>
            <w:tcW w:w="400" w:type="pct"/>
            <w:noWrap/>
            <w:hideMark/>
          </w:tcPr>
          <w:p w14:paraId="7F2EA351" w14:textId="77777777" w:rsidR="00EB7374" w:rsidRPr="00615E45" w:rsidRDefault="00EB7374" w:rsidP="00C700EB">
            <w:pPr>
              <w:jc w:val="right"/>
              <w:rPr>
                <w:rFonts w:cs="Calibri"/>
                <w:bCs/>
                <w:color w:val="000000"/>
                <w:sz w:val="15"/>
                <w:szCs w:val="15"/>
              </w:rPr>
            </w:pPr>
          </w:p>
        </w:tc>
        <w:tc>
          <w:tcPr>
            <w:tcW w:w="400" w:type="pct"/>
            <w:noWrap/>
            <w:hideMark/>
          </w:tcPr>
          <w:p w14:paraId="3B3C6126" w14:textId="77777777" w:rsidR="00EB7374" w:rsidRPr="00615E45" w:rsidRDefault="00EB7374" w:rsidP="00C700EB">
            <w:pPr>
              <w:jc w:val="right"/>
              <w:rPr>
                <w:sz w:val="15"/>
                <w:szCs w:val="15"/>
              </w:rPr>
            </w:pPr>
          </w:p>
        </w:tc>
        <w:tc>
          <w:tcPr>
            <w:tcW w:w="400" w:type="pct"/>
            <w:noWrap/>
            <w:hideMark/>
          </w:tcPr>
          <w:p w14:paraId="1667B910" w14:textId="77777777" w:rsidR="00EB7374" w:rsidRPr="00615E45" w:rsidRDefault="00EB7374" w:rsidP="00C700EB">
            <w:pPr>
              <w:jc w:val="right"/>
              <w:rPr>
                <w:sz w:val="15"/>
                <w:szCs w:val="15"/>
              </w:rPr>
            </w:pPr>
          </w:p>
        </w:tc>
        <w:tc>
          <w:tcPr>
            <w:tcW w:w="400" w:type="pct"/>
            <w:noWrap/>
            <w:hideMark/>
          </w:tcPr>
          <w:p w14:paraId="24334E84" w14:textId="77777777" w:rsidR="00EB7374" w:rsidRPr="00615E45" w:rsidRDefault="00EB7374" w:rsidP="00C700EB">
            <w:pPr>
              <w:jc w:val="right"/>
              <w:rPr>
                <w:sz w:val="15"/>
                <w:szCs w:val="15"/>
              </w:rPr>
            </w:pPr>
          </w:p>
        </w:tc>
        <w:tc>
          <w:tcPr>
            <w:tcW w:w="400" w:type="pct"/>
            <w:noWrap/>
            <w:hideMark/>
          </w:tcPr>
          <w:p w14:paraId="5F57DE2A" w14:textId="77777777" w:rsidR="00EB7374" w:rsidRPr="00615E45" w:rsidRDefault="00EB7374" w:rsidP="00C700EB">
            <w:pPr>
              <w:jc w:val="right"/>
              <w:rPr>
                <w:sz w:val="15"/>
                <w:szCs w:val="15"/>
              </w:rPr>
            </w:pPr>
          </w:p>
        </w:tc>
        <w:tc>
          <w:tcPr>
            <w:tcW w:w="400" w:type="pct"/>
            <w:noWrap/>
            <w:hideMark/>
          </w:tcPr>
          <w:p w14:paraId="48F2E4A6" w14:textId="77777777" w:rsidR="00EB7374" w:rsidRPr="00615E45" w:rsidRDefault="00EB7374" w:rsidP="00C700EB">
            <w:pPr>
              <w:jc w:val="right"/>
              <w:rPr>
                <w:sz w:val="15"/>
                <w:szCs w:val="15"/>
              </w:rPr>
            </w:pPr>
          </w:p>
        </w:tc>
        <w:tc>
          <w:tcPr>
            <w:tcW w:w="400" w:type="pct"/>
            <w:noWrap/>
            <w:hideMark/>
          </w:tcPr>
          <w:p w14:paraId="293A83A8" w14:textId="77777777" w:rsidR="00EB7374" w:rsidRPr="00615E45" w:rsidRDefault="00EB7374" w:rsidP="00C700EB">
            <w:pPr>
              <w:jc w:val="right"/>
              <w:rPr>
                <w:sz w:val="15"/>
                <w:szCs w:val="15"/>
              </w:rPr>
            </w:pPr>
          </w:p>
        </w:tc>
      </w:tr>
      <w:tr w:rsidR="00EB7374" w:rsidRPr="00615E45" w14:paraId="1276ED78" w14:textId="77777777" w:rsidTr="00C700EB">
        <w:trPr>
          <w:cantSplit/>
        </w:trPr>
        <w:tc>
          <w:tcPr>
            <w:tcW w:w="2197" w:type="pct"/>
            <w:noWrap/>
            <w:hideMark/>
          </w:tcPr>
          <w:p w14:paraId="67D8903B" w14:textId="77777777" w:rsidR="00EB7374" w:rsidRPr="00615E45" w:rsidRDefault="00EB7374" w:rsidP="00C700EB">
            <w:pPr>
              <w:jc w:val="left"/>
              <w:rPr>
                <w:rFonts w:cs="Calibri"/>
                <w:color w:val="000000"/>
                <w:sz w:val="15"/>
                <w:szCs w:val="15"/>
              </w:rPr>
            </w:pPr>
            <w:r w:rsidRPr="00615E45">
              <w:rPr>
                <w:color w:val="000000"/>
                <w:sz w:val="15"/>
              </w:rPr>
              <w:t>Value (USD million)</w:t>
            </w:r>
          </w:p>
        </w:tc>
        <w:tc>
          <w:tcPr>
            <w:tcW w:w="400" w:type="pct"/>
            <w:noWrap/>
            <w:hideMark/>
          </w:tcPr>
          <w:p w14:paraId="7A220DEF" w14:textId="77777777" w:rsidR="00EB7374" w:rsidRPr="00615E45" w:rsidRDefault="00EB7374" w:rsidP="00C700EB">
            <w:pPr>
              <w:jc w:val="right"/>
              <w:rPr>
                <w:rFonts w:cs="Calibri"/>
                <w:color w:val="000000"/>
                <w:sz w:val="15"/>
                <w:szCs w:val="15"/>
              </w:rPr>
            </w:pPr>
            <w:r w:rsidRPr="00615E45">
              <w:rPr>
                <w:color w:val="000000"/>
                <w:sz w:val="15"/>
              </w:rPr>
              <w:t>2,502</w:t>
            </w:r>
          </w:p>
        </w:tc>
        <w:tc>
          <w:tcPr>
            <w:tcW w:w="400" w:type="pct"/>
            <w:noWrap/>
            <w:hideMark/>
          </w:tcPr>
          <w:p w14:paraId="077D7640" w14:textId="77777777" w:rsidR="00EB7374" w:rsidRPr="00615E45" w:rsidRDefault="00EB7374" w:rsidP="00C700EB">
            <w:pPr>
              <w:jc w:val="right"/>
              <w:rPr>
                <w:rFonts w:cs="Calibri"/>
                <w:color w:val="000000"/>
                <w:sz w:val="15"/>
                <w:szCs w:val="15"/>
              </w:rPr>
            </w:pPr>
            <w:r w:rsidRPr="00615E45">
              <w:rPr>
                <w:color w:val="000000"/>
                <w:sz w:val="15"/>
              </w:rPr>
              <w:t>2,572</w:t>
            </w:r>
          </w:p>
        </w:tc>
        <w:tc>
          <w:tcPr>
            <w:tcW w:w="400" w:type="pct"/>
            <w:noWrap/>
            <w:hideMark/>
          </w:tcPr>
          <w:p w14:paraId="732E226E" w14:textId="77777777" w:rsidR="00EB7374" w:rsidRPr="00615E45" w:rsidRDefault="00EB7374" w:rsidP="00C700EB">
            <w:pPr>
              <w:jc w:val="right"/>
              <w:rPr>
                <w:rFonts w:cs="Calibri"/>
                <w:color w:val="000000"/>
                <w:sz w:val="15"/>
                <w:szCs w:val="15"/>
              </w:rPr>
            </w:pPr>
            <w:r w:rsidRPr="00615E45">
              <w:rPr>
                <w:color w:val="000000"/>
                <w:sz w:val="15"/>
              </w:rPr>
              <w:t>2,681</w:t>
            </w:r>
          </w:p>
        </w:tc>
        <w:tc>
          <w:tcPr>
            <w:tcW w:w="400" w:type="pct"/>
            <w:noWrap/>
            <w:hideMark/>
          </w:tcPr>
          <w:p w14:paraId="4BEBC41B" w14:textId="77777777" w:rsidR="00EB7374" w:rsidRPr="00615E45" w:rsidRDefault="00EB7374" w:rsidP="00C700EB">
            <w:pPr>
              <w:jc w:val="right"/>
              <w:rPr>
                <w:rFonts w:cs="Calibri"/>
                <w:color w:val="000000"/>
                <w:sz w:val="15"/>
                <w:szCs w:val="15"/>
              </w:rPr>
            </w:pPr>
            <w:r w:rsidRPr="00615E45">
              <w:rPr>
                <w:color w:val="000000"/>
                <w:sz w:val="15"/>
              </w:rPr>
              <w:t>2,851</w:t>
            </w:r>
          </w:p>
        </w:tc>
        <w:tc>
          <w:tcPr>
            <w:tcW w:w="400" w:type="pct"/>
            <w:noWrap/>
            <w:hideMark/>
          </w:tcPr>
          <w:p w14:paraId="2ECF1A40" w14:textId="77777777" w:rsidR="00EB7374" w:rsidRPr="00615E45" w:rsidRDefault="00EB7374" w:rsidP="00C700EB">
            <w:pPr>
              <w:jc w:val="right"/>
              <w:rPr>
                <w:rFonts w:cs="Calibri"/>
                <w:color w:val="000000"/>
                <w:sz w:val="15"/>
                <w:szCs w:val="15"/>
              </w:rPr>
            </w:pPr>
            <w:r w:rsidRPr="00615E45">
              <w:rPr>
                <w:color w:val="000000"/>
                <w:sz w:val="15"/>
              </w:rPr>
              <w:t>2,907</w:t>
            </w:r>
          </w:p>
        </w:tc>
        <w:tc>
          <w:tcPr>
            <w:tcW w:w="400" w:type="pct"/>
            <w:noWrap/>
            <w:hideMark/>
          </w:tcPr>
          <w:p w14:paraId="5A2EC5F1" w14:textId="77777777" w:rsidR="00EB7374" w:rsidRPr="00615E45" w:rsidRDefault="00EB7374" w:rsidP="00C700EB">
            <w:pPr>
              <w:jc w:val="right"/>
              <w:rPr>
                <w:rFonts w:cs="Calibri"/>
                <w:color w:val="000000"/>
                <w:sz w:val="15"/>
                <w:szCs w:val="15"/>
              </w:rPr>
            </w:pPr>
            <w:r w:rsidRPr="00615E45">
              <w:rPr>
                <w:color w:val="000000"/>
                <w:sz w:val="15"/>
              </w:rPr>
              <w:t>2,957</w:t>
            </w:r>
          </w:p>
        </w:tc>
        <w:tc>
          <w:tcPr>
            <w:tcW w:w="400" w:type="pct"/>
            <w:noWrap/>
            <w:hideMark/>
          </w:tcPr>
          <w:p w14:paraId="4F6C8D56" w14:textId="77777777" w:rsidR="00EB7374" w:rsidRPr="00615E45" w:rsidRDefault="00EB7374" w:rsidP="00C700EB">
            <w:pPr>
              <w:jc w:val="right"/>
              <w:rPr>
                <w:rFonts w:cs="Calibri"/>
                <w:color w:val="000000"/>
                <w:sz w:val="15"/>
                <w:szCs w:val="15"/>
              </w:rPr>
            </w:pPr>
            <w:r w:rsidRPr="00615E45">
              <w:rPr>
                <w:color w:val="000000"/>
                <w:sz w:val="15"/>
              </w:rPr>
              <w:t>3,858</w:t>
            </w:r>
          </w:p>
        </w:tc>
      </w:tr>
      <w:tr w:rsidR="00EB7374" w:rsidRPr="00615E45" w14:paraId="0BA9292E" w14:textId="77777777" w:rsidTr="00C700EB">
        <w:trPr>
          <w:cnfStyle w:val="000000010000" w:firstRow="0" w:lastRow="0" w:firstColumn="0" w:lastColumn="0" w:oddVBand="0" w:evenVBand="0" w:oddHBand="0" w:evenHBand="1" w:firstRowFirstColumn="0" w:firstRowLastColumn="0" w:lastRowFirstColumn="0" w:lastRowLastColumn="0"/>
          <w:cantSplit/>
        </w:trPr>
        <w:tc>
          <w:tcPr>
            <w:tcW w:w="2197" w:type="pct"/>
            <w:noWrap/>
            <w:hideMark/>
          </w:tcPr>
          <w:p w14:paraId="7780C42C" w14:textId="77777777" w:rsidR="00EB7374" w:rsidRPr="00615E45" w:rsidRDefault="00EB7374" w:rsidP="00C700EB">
            <w:pPr>
              <w:jc w:val="left"/>
              <w:rPr>
                <w:rFonts w:cs="Calibri"/>
                <w:color w:val="000000"/>
                <w:sz w:val="15"/>
                <w:szCs w:val="15"/>
              </w:rPr>
            </w:pPr>
            <w:r w:rsidRPr="00615E45">
              <w:rPr>
                <w:color w:val="000000"/>
                <w:sz w:val="15"/>
              </w:rPr>
              <w:t xml:space="preserve">Top </w:t>
            </w:r>
            <w:r>
              <w:rPr>
                <w:color w:val="000000"/>
                <w:sz w:val="15"/>
              </w:rPr>
              <w:t>five</w:t>
            </w:r>
            <w:r w:rsidRPr="00615E45">
              <w:rPr>
                <w:color w:val="000000"/>
                <w:sz w:val="15"/>
              </w:rPr>
              <w:t xml:space="preserve"> products, </w:t>
            </w:r>
            <w:r>
              <w:rPr>
                <w:color w:val="000000"/>
                <w:sz w:val="15"/>
              </w:rPr>
              <w:t>by</w:t>
            </w:r>
            <w:r w:rsidRPr="00615E45">
              <w:rPr>
                <w:color w:val="000000"/>
                <w:sz w:val="15"/>
              </w:rPr>
              <w:t xml:space="preserve"> HS chapter (% of agricultural total)</w:t>
            </w:r>
          </w:p>
        </w:tc>
        <w:tc>
          <w:tcPr>
            <w:tcW w:w="400" w:type="pct"/>
          </w:tcPr>
          <w:p w14:paraId="21F2B2F0" w14:textId="77777777" w:rsidR="00EB7374" w:rsidRPr="00615E45" w:rsidRDefault="00EB7374" w:rsidP="00C700EB">
            <w:pPr>
              <w:jc w:val="right"/>
              <w:rPr>
                <w:rFonts w:cs="Calibri"/>
                <w:color w:val="000000"/>
                <w:sz w:val="15"/>
                <w:szCs w:val="15"/>
              </w:rPr>
            </w:pPr>
          </w:p>
        </w:tc>
        <w:tc>
          <w:tcPr>
            <w:tcW w:w="400" w:type="pct"/>
          </w:tcPr>
          <w:p w14:paraId="76C76AD7" w14:textId="77777777" w:rsidR="00EB7374" w:rsidRPr="00615E45" w:rsidRDefault="00EB7374" w:rsidP="00C700EB">
            <w:pPr>
              <w:jc w:val="right"/>
              <w:rPr>
                <w:rFonts w:cs="Calibri"/>
                <w:color w:val="000000"/>
                <w:sz w:val="15"/>
                <w:szCs w:val="15"/>
              </w:rPr>
            </w:pPr>
          </w:p>
        </w:tc>
        <w:tc>
          <w:tcPr>
            <w:tcW w:w="400" w:type="pct"/>
          </w:tcPr>
          <w:p w14:paraId="5B5AA926" w14:textId="77777777" w:rsidR="00EB7374" w:rsidRPr="00615E45" w:rsidRDefault="00EB7374" w:rsidP="00C700EB">
            <w:pPr>
              <w:jc w:val="right"/>
              <w:rPr>
                <w:rFonts w:cs="Calibri"/>
                <w:color w:val="000000"/>
                <w:sz w:val="15"/>
                <w:szCs w:val="15"/>
              </w:rPr>
            </w:pPr>
          </w:p>
        </w:tc>
        <w:tc>
          <w:tcPr>
            <w:tcW w:w="400" w:type="pct"/>
            <w:noWrap/>
            <w:hideMark/>
          </w:tcPr>
          <w:p w14:paraId="4017F823" w14:textId="77777777" w:rsidR="00EB7374" w:rsidRPr="00615E45" w:rsidRDefault="00EB7374" w:rsidP="00C700EB">
            <w:pPr>
              <w:jc w:val="right"/>
              <w:rPr>
                <w:rFonts w:cs="Calibri"/>
                <w:color w:val="000000"/>
                <w:sz w:val="15"/>
                <w:szCs w:val="15"/>
              </w:rPr>
            </w:pPr>
          </w:p>
        </w:tc>
        <w:tc>
          <w:tcPr>
            <w:tcW w:w="400" w:type="pct"/>
            <w:noWrap/>
            <w:hideMark/>
          </w:tcPr>
          <w:p w14:paraId="72972EAE" w14:textId="77777777" w:rsidR="00EB7374" w:rsidRPr="00615E45" w:rsidRDefault="00EB7374" w:rsidP="00C700EB">
            <w:pPr>
              <w:jc w:val="right"/>
              <w:rPr>
                <w:sz w:val="15"/>
                <w:szCs w:val="15"/>
              </w:rPr>
            </w:pPr>
          </w:p>
        </w:tc>
        <w:tc>
          <w:tcPr>
            <w:tcW w:w="400" w:type="pct"/>
            <w:noWrap/>
            <w:hideMark/>
          </w:tcPr>
          <w:p w14:paraId="2CE6AC7E" w14:textId="77777777" w:rsidR="00EB7374" w:rsidRPr="00615E45" w:rsidRDefault="00EB7374" w:rsidP="00C700EB">
            <w:pPr>
              <w:jc w:val="right"/>
              <w:rPr>
                <w:sz w:val="15"/>
                <w:szCs w:val="15"/>
              </w:rPr>
            </w:pPr>
          </w:p>
        </w:tc>
        <w:tc>
          <w:tcPr>
            <w:tcW w:w="400" w:type="pct"/>
            <w:noWrap/>
            <w:hideMark/>
          </w:tcPr>
          <w:p w14:paraId="28742B2D" w14:textId="77777777" w:rsidR="00EB7374" w:rsidRPr="00615E45" w:rsidRDefault="00EB7374" w:rsidP="00C700EB">
            <w:pPr>
              <w:jc w:val="right"/>
              <w:rPr>
                <w:sz w:val="15"/>
                <w:szCs w:val="15"/>
              </w:rPr>
            </w:pPr>
          </w:p>
        </w:tc>
      </w:tr>
      <w:tr w:rsidR="00EB7374" w:rsidRPr="00615E45" w14:paraId="58942D6D" w14:textId="77777777" w:rsidTr="00C700EB">
        <w:trPr>
          <w:cantSplit/>
        </w:trPr>
        <w:tc>
          <w:tcPr>
            <w:tcW w:w="2197" w:type="pct"/>
            <w:noWrap/>
            <w:hideMark/>
          </w:tcPr>
          <w:p w14:paraId="739D764A" w14:textId="77777777" w:rsidR="00EB7374" w:rsidRPr="00615E45" w:rsidRDefault="00EB7374" w:rsidP="00C700EB">
            <w:pPr>
              <w:ind w:left="113"/>
              <w:jc w:val="left"/>
              <w:rPr>
                <w:rFonts w:cs="Calibri"/>
                <w:color w:val="000000"/>
                <w:sz w:val="15"/>
                <w:szCs w:val="15"/>
              </w:rPr>
            </w:pPr>
            <w:r w:rsidRPr="00615E45">
              <w:rPr>
                <w:color w:val="000000"/>
                <w:sz w:val="15"/>
              </w:rPr>
              <w:t>10. Cereals</w:t>
            </w:r>
          </w:p>
        </w:tc>
        <w:tc>
          <w:tcPr>
            <w:tcW w:w="400" w:type="pct"/>
            <w:noWrap/>
            <w:hideMark/>
          </w:tcPr>
          <w:p w14:paraId="7ACFF801" w14:textId="77777777" w:rsidR="00EB7374" w:rsidRPr="00615E45" w:rsidRDefault="00EB7374" w:rsidP="00C700EB">
            <w:pPr>
              <w:jc w:val="right"/>
              <w:rPr>
                <w:rFonts w:cs="Calibri"/>
                <w:color w:val="000000"/>
                <w:sz w:val="15"/>
                <w:szCs w:val="15"/>
              </w:rPr>
            </w:pPr>
            <w:r w:rsidRPr="00615E45">
              <w:rPr>
                <w:color w:val="000000"/>
                <w:sz w:val="15"/>
              </w:rPr>
              <w:t>14.2</w:t>
            </w:r>
          </w:p>
        </w:tc>
        <w:tc>
          <w:tcPr>
            <w:tcW w:w="400" w:type="pct"/>
            <w:noWrap/>
            <w:hideMark/>
          </w:tcPr>
          <w:p w14:paraId="176A39C6" w14:textId="77777777" w:rsidR="00EB7374" w:rsidRPr="00615E45" w:rsidRDefault="00EB7374" w:rsidP="00C700EB">
            <w:pPr>
              <w:jc w:val="right"/>
              <w:rPr>
                <w:rFonts w:cs="Calibri"/>
                <w:color w:val="000000"/>
                <w:sz w:val="15"/>
                <w:szCs w:val="15"/>
              </w:rPr>
            </w:pPr>
            <w:r w:rsidRPr="00615E45">
              <w:rPr>
                <w:color w:val="000000"/>
                <w:sz w:val="15"/>
              </w:rPr>
              <w:t>13.3</w:t>
            </w:r>
          </w:p>
        </w:tc>
        <w:tc>
          <w:tcPr>
            <w:tcW w:w="400" w:type="pct"/>
            <w:noWrap/>
            <w:hideMark/>
          </w:tcPr>
          <w:p w14:paraId="61371AB3" w14:textId="77777777" w:rsidR="00EB7374" w:rsidRPr="00615E45" w:rsidRDefault="00EB7374" w:rsidP="00C700EB">
            <w:pPr>
              <w:jc w:val="right"/>
              <w:rPr>
                <w:rFonts w:cs="Calibri"/>
                <w:color w:val="000000"/>
                <w:sz w:val="15"/>
                <w:szCs w:val="15"/>
              </w:rPr>
            </w:pPr>
            <w:r w:rsidRPr="00615E45">
              <w:rPr>
                <w:color w:val="000000"/>
                <w:sz w:val="15"/>
              </w:rPr>
              <w:t>13.8</w:t>
            </w:r>
          </w:p>
        </w:tc>
        <w:tc>
          <w:tcPr>
            <w:tcW w:w="400" w:type="pct"/>
            <w:noWrap/>
            <w:hideMark/>
          </w:tcPr>
          <w:p w14:paraId="1A082098" w14:textId="77777777" w:rsidR="00EB7374" w:rsidRPr="00615E45" w:rsidRDefault="00EB7374" w:rsidP="00C700EB">
            <w:pPr>
              <w:jc w:val="right"/>
              <w:rPr>
                <w:rFonts w:cs="Calibri"/>
                <w:color w:val="000000"/>
                <w:sz w:val="15"/>
                <w:szCs w:val="15"/>
              </w:rPr>
            </w:pPr>
            <w:r w:rsidRPr="00615E45">
              <w:rPr>
                <w:color w:val="000000"/>
                <w:sz w:val="15"/>
              </w:rPr>
              <w:t>13.5</w:t>
            </w:r>
          </w:p>
        </w:tc>
        <w:tc>
          <w:tcPr>
            <w:tcW w:w="400" w:type="pct"/>
            <w:noWrap/>
            <w:hideMark/>
          </w:tcPr>
          <w:p w14:paraId="44D71959" w14:textId="77777777" w:rsidR="00EB7374" w:rsidRPr="00615E45" w:rsidRDefault="00EB7374" w:rsidP="00C700EB">
            <w:pPr>
              <w:jc w:val="right"/>
              <w:rPr>
                <w:rFonts w:cs="Calibri"/>
                <w:color w:val="000000"/>
                <w:sz w:val="15"/>
                <w:szCs w:val="15"/>
              </w:rPr>
            </w:pPr>
            <w:r w:rsidRPr="00615E45">
              <w:rPr>
                <w:color w:val="000000"/>
                <w:sz w:val="15"/>
              </w:rPr>
              <w:t>13.8</w:t>
            </w:r>
          </w:p>
        </w:tc>
        <w:tc>
          <w:tcPr>
            <w:tcW w:w="400" w:type="pct"/>
            <w:noWrap/>
            <w:hideMark/>
          </w:tcPr>
          <w:p w14:paraId="0AF432AB" w14:textId="77777777" w:rsidR="00EB7374" w:rsidRPr="00615E45" w:rsidRDefault="00EB7374" w:rsidP="00C700EB">
            <w:pPr>
              <w:jc w:val="right"/>
              <w:rPr>
                <w:rFonts w:cs="Calibri"/>
                <w:color w:val="000000"/>
                <w:sz w:val="15"/>
                <w:szCs w:val="15"/>
              </w:rPr>
            </w:pPr>
            <w:r w:rsidRPr="00615E45">
              <w:rPr>
                <w:color w:val="000000"/>
                <w:sz w:val="15"/>
              </w:rPr>
              <w:t>12.7</w:t>
            </w:r>
          </w:p>
        </w:tc>
        <w:tc>
          <w:tcPr>
            <w:tcW w:w="400" w:type="pct"/>
            <w:noWrap/>
            <w:hideMark/>
          </w:tcPr>
          <w:p w14:paraId="55487A99" w14:textId="77777777" w:rsidR="00EB7374" w:rsidRPr="00615E45" w:rsidRDefault="00EB7374" w:rsidP="00C700EB">
            <w:pPr>
              <w:jc w:val="right"/>
              <w:rPr>
                <w:rFonts w:cs="Calibri"/>
                <w:color w:val="000000"/>
                <w:sz w:val="15"/>
                <w:szCs w:val="15"/>
              </w:rPr>
            </w:pPr>
            <w:r w:rsidRPr="00615E45">
              <w:rPr>
                <w:color w:val="000000"/>
                <w:sz w:val="15"/>
              </w:rPr>
              <w:t>15.3</w:t>
            </w:r>
          </w:p>
        </w:tc>
      </w:tr>
      <w:tr w:rsidR="00EB7374" w:rsidRPr="00615E45" w14:paraId="7BB5718B" w14:textId="77777777" w:rsidTr="00C700EB">
        <w:trPr>
          <w:cnfStyle w:val="000000010000" w:firstRow="0" w:lastRow="0" w:firstColumn="0" w:lastColumn="0" w:oddVBand="0" w:evenVBand="0" w:oddHBand="0" w:evenHBand="1" w:firstRowFirstColumn="0" w:firstRowLastColumn="0" w:lastRowFirstColumn="0" w:lastRowLastColumn="0"/>
          <w:cantSplit/>
        </w:trPr>
        <w:tc>
          <w:tcPr>
            <w:tcW w:w="2197" w:type="pct"/>
            <w:noWrap/>
            <w:hideMark/>
          </w:tcPr>
          <w:p w14:paraId="479F9360" w14:textId="77777777" w:rsidR="00EB7374" w:rsidRPr="00615E45" w:rsidRDefault="00EB7374" w:rsidP="00C700EB">
            <w:pPr>
              <w:ind w:left="113"/>
              <w:jc w:val="left"/>
              <w:rPr>
                <w:rFonts w:cs="Calibri"/>
                <w:color w:val="000000"/>
                <w:sz w:val="15"/>
                <w:szCs w:val="15"/>
              </w:rPr>
            </w:pPr>
            <w:r w:rsidRPr="00615E45">
              <w:rPr>
                <w:color w:val="000000"/>
                <w:sz w:val="15"/>
              </w:rPr>
              <w:t>24. Tobacco and manufactured tobacco substitutes</w:t>
            </w:r>
          </w:p>
        </w:tc>
        <w:tc>
          <w:tcPr>
            <w:tcW w:w="400" w:type="pct"/>
            <w:noWrap/>
            <w:hideMark/>
          </w:tcPr>
          <w:p w14:paraId="4FE5AF7A" w14:textId="77777777" w:rsidR="00EB7374" w:rsidRPr="00615E45" w:rsidRDefault="00EB7374" w:rsidP="00C700EB">
            <w:pPr>
              <w:jc w:val="right"/>
              <w:rPr>
                <w:rFonts w:cs="Calibri"/>
                <w:color w:val="000000"/>
                <w:sz w:val="15"/>
                <w:szCs w:val="15"/>
              </w:rPr>
            </w:pPr>
            <w:r w:rsidRPr="00615E45">
              <w:rPr>
                <w:color w:val="000000"/>
                <w:sz w:val="15"/>
              </w:rPr>
              <w:t>11.1</w:t>
            </w:r>
          </w:p>
        </w:tc>
        <w:tc>
          <w:tcPr>
            <w:tcW w:w="400" w:type="pct"/>
            <w:noWrap/>
            <w:hideMark/>
          </w:tcPr>
          <w:p w14:paraId="3989C0D9" w14:textId="77777777" w:rsidR="00EB7374" w:rsidRPr="00615E45" w:rsidRDefault="00EB7374" w:rsidP="00C700EB">
            <w:pPr>
              <w:jc w:val="right"/>
              <w:rPr>
                <w:rFonts w:cs="Calibri"/>
                <w:color w:val="000000"/>
                <w:sz w:val="15"/>
                <w:szCs w:val="15"/>
              </w:rPr>
            </w:pPr>
            <w:r w:rsidRPr="00615E45">
              <w:rPr>
                <w:color w:val="000000"/>
                <w:sz w:val="15"/>
              </w:rPr>
              <w:t>11.1</w:t>
            </w:r>
          </w:p>
        </w:tc>
        <w:tc>
          <w:tcPr>
            <w:tcW w:w="400" w:type="pct"/>
            <w:noWrap/>
            <w:hideMark/>
          </w:tcPr>
          <w:p w14:paraId="74B82363" w14:textId="77777777" w:rsidR="00EB7374" w:rsidRPr="00615E45" w:rsidRDefault="00EB7374" w:rsidP="00C700EB">
            <w:pPr>
              <w:jc w:val="right"/>
              <w:rPr>
                <w:rFonts w:cs="Calibri"/>
                <w:color w:val="000000"/>
                <w:sz w:val="15"/>
                <w:szCs w:val="15"/>
              </w:rPr>
            </w:pPr>
            <w:r w:rsidRPr="00615E45">
              <w:rPr>
                <w:color w:val="000000"/>
                <w:sz w:val="15"/>
              </w:rPr>
              <w:t>10.9</w:t>
            </w:r>
          </w:p>
        </w:tc>
        <w:tc>
          <w:tcPr>
            <w:tcW w:w="400" w:type="pct"/>
            <w:noWrap/>
            <w:hideMark/>
          </w:tcPr>
          <w:p w14:paraId="57329602" w14:textId="77777777" w:rsidR="00EB7374" w:rsidRPr="00615E45" w:rsidRDefault="00EB7374" w:rsidP="00C700EB">
            <w:pPr>
              <w:jc w:val="right"/>
              <w:rPr>
                <w:rFonts w:cs="Calibri"/>
                <w:color w:val="000000"/>
                <w:sz w:val="15"/>
                <w:szCs w:val="15"/>
              </w:rPr>
            </w:pPr>
            <w:r w:rsidRPr="00615E45">
              <w:rPr>
                <w:color w:val="000000"/>
                <w:sz w:val="15"/>
              </w:rPr>
              <w:t>11.5</w:t>
            </w:r>
          </w:p>
        </w:tc>
        <w:tc>
          <w:tcPr>
            <w:tcW w:w="400" w:type="pct"/>
            <w:noWrap/>
            <w:hideMark/>
          </w:tcPr>
          <w:p w14:paraId="4AB1AD1B" w14:textId="77777777" w:rsidR="00EB7374" w:rsidRPr="00615E45" w:rsidRDefault="00EB7374" w:rsidP="00C700EB">
            <w:pPr>
              <w:jc w:val="right"/>
              <w:rPr>
                <w:rFonts w:cs="Calibri"/>
                <w:color w:val="000000"/>
                <w:sz w:val="15"/>
                <w:szCs w:val="15"/>
              </w:rPr>
            </w:pPr>
            <w:r w:rsidRPr="00615E45">
              <w:rPr>
                <w:color w:val="000000"/>
                <w:sz w:val="15"/>
              </w:rPr>
              <w:t>13.2</w:t>
            </w:r>
          </w:p>
        </w:tc>
        <w:tc>
          <w:tcPr>
            <w:tcW w:w="400" w:type="pct"/>
            <w:noWrap/>
            <w:hideMark/>
          </w:tcPr>
          <w:p w14:paraId="1D4AD19B" w14:textId="77777777" w:rsidR="00EB7374" w:rsidRPr="00615E45" w:rsidRDefault="00EB7374" w:rsidP="00C700EB">
            <w:pPr>
              <w:jc w:val="right"/>
              <w:rPr>
                <w:rFonts w:cs="Calibri"/>
                <w:color w:val="000000"/>
                <w:sz w:val="15"/>
                <w:szCs w:val="15"/>
              </w:rPr>
            </w:pPr>
            <w:r w:rsidRPr="00615E45">
              <w:rPr>
                <w:color w:val="000000"/>
                <w:sz w:val="15"/>
              </w:rPr>
              <w:t>13.9</w:t>
            </w:r>
          </w:p>
        </w:tc>
        <w:tc>
          <w:tcPr>
            <w:tcW w:w="400" w:type="pct"/>
            <w:noWrap/>
            <w:hideMark/>
          </w:tcPr>
          <w:p w14:paraId="5A57F741" w14:textId="77777777" w:rsidR="00EB7374" w:rsidRPr="00615E45" w:rsidRDefault="00EB7374" w:rsidP="00C700EB">
            <w:pPr>
              <w:jc w:val="right"/>
              <w:rPr>
                <w:rFonts w:cs="Calibri"/>
                <w:color w:val="000000"/>
                <w:sz w:val="15"/>
                <w:szCs w:val="15"/>
              </w:rPr>
            </w:pPr>
            <w:r w:rsidRPr="00615E45">
              <w:rPr>
                <w:color w:val="000000"/>
                <w:sz w:val="15"/>
              </w:rPr>
              <w:t>11.6</w:t>
            </w:r>
          </w:p>
        </w:tc>
      </w:tr>
      <w:tr w:rsidR="00EB7374" w:rsidRPr="00615E45" w14:paraId="5C0D5DB0" w14:textId="77777777" w:rsidTr="00C700EB">
        <w:trPr>
          <w:cantSplit/>
        </w:trPr>
        <w:tc>
          <w:tcPr>
            <w:tcW w:w="2197" w:type="pct"/>
            <w:noWrap/>
            <w:hideMark/>
          </w:tcPr>
          <w:p w14:paraId="7AD1E824" w14:textId="77777777" w:rsidR="00EB7374" w:rsidRPr="00615E45" w:rsidRDefault="00EB7374" w:rsidP="00C700EB">
            <w:pPr>
              <w:ind w:left="113"/>
              <w:jc w:val="left"/>
              <w:rPr>
                <w:rFonts w:cs="Calibri"/>
                <w:color w:val="000000"/>
                <w:sz w:val="15"/>
                <w:szCs w:val="15"/>
              </w:rPr>
            </w:pPr>
            <w:r w:rsidRPr="00615E45">
              <w:rPr>
                <w:color w:val="000000"/>
                <w:sz w:val="15"/>
              </w:rPr>
              <w:t>22. Beverages, spirits and vinegar</w:t>
            </w:r>
          </w:p>
        </w:tc>
        <w:tc>
          <w:tcPr>
            <w:tcW w:w="400" w:type="pct"/>
            <w:noWrap/>
            <w:hideMark/>
          </w:tcPr>
          <w:p w14:paraId="61C396A6" w14:textId="77777777" w:rsidR="00EB7374" w:rsidRPr="00615E45" w:rsidRDefault="00EB7374" w:rsidP="00C700EB">
            <w:pPr>
              <w:jc w:val="right"/>
              <w:rPr>
                <w:rFonts w:cs="Calibri"/>
                <w:color w:val="000000"/>
                <w:sz w:val="15"/>
                <w:szCs w:val="15"/>
              </w:rPr>
            </w:pPr>
            <w:r w:rsidRPr="00615E45">
              <w:rPr>
                <w:color w:val="000000"/>
                <w:sz w:val="15"/>
              </w:rPr>
              <w:t>9.3</w:t>
            </w:r>
          </w:p>
        </w:tc>
        <w:tc>
          <w:tcPr>
            <w:tcW w:w="400" w:type="pct"/>
            <w:noWrap/>
            <w:hideMark/>
          </w:tcPr>
          <w:p w14:paraId="27775BF6" w14:textId="77777777" w:rsidR="00EB7374" w:rsidRPr="00615E45" w:rsidRDefault="00EB7374" w:rsidP="00C700EB">
            <w:pPr>
              <w:jc w:val="right"/>
              <w:rPr>
                <w:rFonts w:cs="Calibri"/>
                <w:color w:val="000000"/>
                <w:sz w:val="15"/>
                <w:szCs w:val="15"/>
              </w:rPr>
            </w:pPr>
            <w:r w:rsidRPr="00615E45">
              <w:rPr>
                <w:color w:val="000000"/>
                <w:sz w:val="15"/>
              </w:rPr>
              <w:t>8.6</w:t>
            </w:r>
          </w:p>
        </w:tc>
        <w:tc>
          <w:tcPr>
            <w:tcW w:w="400" w:type="pct"/>
            <w:noWrap/>
            <w:hideMark/>
          </w:tcPr>
          <w:p w14:paraId="290FB74C" w14:textId="77777777" w:rsidR="00EB7374" w:rsidRPr="00615E45" w:rsidRDefault="00EB7374" w:rsidP="00C700EB">
            <w:pPr>
              <w:jc w:val="right"/>
              <w:rPr>
                <w:rFonts w:cs="Calibri"/>
                <w:color w:val="000000"/>
                <w:sz w:val="15"/>
                <w:szCs w:val="15"/>
              </w:rPr>
            </w:pPr>
            <w:r w:rsidRPr="00615E45">
              <w:rPr>
                <w:color w:val="000000"/>
                <w:sz w:val="15"/>
              </w:rPr>
              <w:t>9.1</w:t>
            </w:r>
          </w:p>
        </w:tc>
        <w:tc>
          <w:tcPr>
            <w:tcW w:w="400" w:type="pct"/>
            <w:noWrap/>
            <w:hideMark/>
          </w:tcPr>
          <w:p w14:paraId="5AF7AAA9" w14:textId="77777777" w:rsidR="00EB7374" w:rsidRPr="00615E45" w:rsidRDefault="00EB7374" w:rsidP="00C700EB">
            <w:pPr>
              <w:jc w:val="right"/>
              <w:rPr>
                <w:rFonts w:cs="Calibri"/>
                <w:color w:val="000000"/>
                <w:sz w:val="15"/>
                <w:szCs w:val="15"/>
              </w:rPr>
            </w:pPr>
            <w:r w:rsidRPr="00615E45">
              <w:rPr>
                <w:color w:val="000000"/>
                <w:sz w:val="15"/>
              </w:rPr>
              <w:t>8.9</w:t>
            </w:r>
          </w:p>
        </w:tc>
        <w:tc>
          <w:tcPr>
            <w:tcW w:w="400" w:type="pct"/>
            <w:noWrap/>
            <w:hideMark/>
          </w:tcPr>
          <w:p w14:paraId="6A5AFD3E" w14:textId="77777777" w:rsidR="00EB7374" w:rsidRPr="00615E45" w:rsidRDefault="00EB7374" w:rsidP="00C700EB">
            <w:pPr>
              <w:jc w:val="right"/>
              <w:rPr>
                <w:rFonts w:cs="Calibri"/>
                <w:color w:val="000000"/>
                <w:sz w:val="15"/>
                <w:szCs w:val="15"/>
              </w:rPr>
            </w:pPr>
            <w:r w:rsidRPr="00615E45">
              <w:rPr>
                <w:color w:val="000000"/>
                <w:sz w:val="15"/>
              </w:rPr>
              <w:t>9.4</w:t>
            </w:r>
          </w:p>
        </w:tc>
        <w:tc>
          <w:tcPr>
            <w:tcW w:w="400" w:type="pct"/>
            <w:noWrap/>
            <w:hideMark/>
          </w:tcPr>
          <w:p w14:paraId="3FB22A49" w14:textId="77777777" w:rsidR="00EB7374" w:rsidRPr="00615E45" w:rsidRDefault="00EB7374" w:rsidP="00C700EB">
            <w:pPr>
              <w:jc w:val="right"/>
              <w:rPr>
                <w:rFonts w:cs="Calibri"/>
                <w:color w:val="000000"/>
                <w:sz w:val="15"/>
                <w:szCs w:val="15"/>
              </w:rPr>
            </w:pPr>
            <w:r w:rsidRPr="00615E45">
              <w:rPr>
                <w:color w:val="000000"/>
                <w:sz w:val="15"/>
              </w:rPr>
              <w:t>7.6</w:t>
            </w:r>
          </w:p>
        </w:tc>
        <w:tc>
          <w:tcPr>
            <w:tcW w:w="400" w:type="pct"/>
            <w:noWrap/>
            <w:hideMark/>
          </w:tcPr>
          <w:p w14:paraId="310D088A" w14:textId="77777777" w:rsidR="00EB7374" w:rsidRPr="00615E45" w:rsidRDefault="00EB7374" w:rsidP="00C700EB">
            <w:pPr>
              <w:jc w:val="right"/>
              <w:rPr>
                <w:rFonts w:cs="Calibri"/>
                <w:color w:val="000000"/>
                <w:sz w:val="15"/>
                <w:szCs w:val="15"/>
              </w:rPr>
            </w:pPr>
            <w:r w:rsidRPr="00615E45">
              <w:rPr>
                <w:color w:val="000000"/>
                <w:sz w:val="15"/>
              </w:rPr>
              <w:t>10.5</w:t>
            </w:r>
          </w:p>
        </w:tc>
      </w:tr>
      <w:tr w:rsidR="00EB7374" w:rsidRPr="00615E45" w14:paraId="2FBECCA1" w14:textId="77777777" w:rsidTr="00C700EB">
        <w:trPr>
          <w:cnfStyle w:val="000000010000" w:firstRow="0" w:lastRow="0" w:firstColumn="0" w:lastColumn="0" w:oddVBand="0" w:evenVBand="0" w:oddHBand="0" w:evenHBand="1" w:firstRowFirstColumn="0" w:firstRowLastColumn="0" w:lastRowFirstColumn="0" w:lastRowLastColumn="0"/>
          <w:cantSplit/>
        </w:trPr>
        <w:tc>
          <w:tcPr>
            <w:tcW w:w="2197" w:type="pct"/>
            <w:noWrap/>
            <w:hideMark/>
          </w:tcPr>
          <w:p w14:paraId="07D014B0" w14:textId="77777777" w:rsidR="00EB7374" w:rsidRPr="00615E45" w:rsidRDefault="00EB7374" w:rsidP="00C700EB">
            <w:pPr>
              <w:ind w:left="113"/>
              <w:jc w:val="left"/>
              <w:rPr>
                <w:rFonts w:cs="Calibri"/>
                <w:color w:val="000000"/>
                <w:sz w:val="15"/>
                <w:szCs w:val="15"/>
              </w:rPr>
            </w:pPr>
            <w:r w:rsidRPr="00615E45">
              <w:rPr>
                <w:color w:val="000000"/>
                <w:sz w:val="15"/>
              </w:rPr>
              <w:t>15. Animal or vegetable fats and oils; prepared edible fats</w:t>
            </w:r>
          </w:p>
        </w:tc>
        <w:tc>
          <w:tcPr>
            <w:tcW w:w="400" w:type="pct"/>
            <w:noWrap/>
            <w:hideMark/>
          </w:tcPr>
          <w:p w14:paraId="54B65F0E" w14:textId="77777777" w:rsidR="00EB7374" w:rsidRPr="00615E45" w:rsidRDefault="00EB7374" w:rsidP="00C700EB">
            <w:pPr>
              <w:jc w:val="right"/>
              <w:rPr>
                <w:rFonts w:cs="Calibri"/>
                <w:color w:val="000000"/>
                <w:sz w:val="15"/>
                <w:szCs w:val="15"/>
              </w:rPr>
            </w:pPr>
            <w:r w:rsidRPr="00615E45">
              <w:rPr>
                <w:color w:val="000000"/>
                <w:sz w:val="15"/>
              </w:rPr>
              <w:t>7.6</w:t>
            </w:r>
          </w:p>
        </w:tc>
        <w:tc>
          <w:tcPr>
            <w:tcW w:w="400" w:type="pct"/>
            <w:noWrap/>
            <w:hideMark/>
          </w:tcPr>
          <w:p w14:paraId="736981FC" w14:textId="77777777" w:rsidR="00EB7374" w:rsidRPr="00615E45" w:rsidRDefault="00EB7374" w:rsidP="00C700EB">
            <w:pPr>
              <w:jc w:val="right"/>
              <w:rPr>
                <w:rFonts w:cs="Calibri"/>
                <w:color w:val="000000"/>
                <w:sz w:val="15"/>
                <w:szCs w:val="15"/>
              </w:rPr>
            </w:pPr>
            <w:r w:rsidRPr="00615E45">
              <w:rPr>
                <w:color w:val="000000"/>
                <w:sz w:val="15"/>
              </w:rPr>
              <w:t>7.6</w:t>
            </w:r>
          </w:p>
        </w:tc>
        <w:tc>
          <w:tcPr>
            <w:tcW w:w="400" w:type="pct"/>
            <w:noWrap/>
            <w:hideMark/>
          </w:tcPr>
          <w:p w14:paraId="31ACA1F3" w14:textId="77777777" w:rsidR="00EB7374" w:rsidRPr="00615E45" w:rsidRDefault="00EB7374" w:rsidP="00C700EB">
            <w:pPr>
              <w:jc w:val="right"/>
              <w:rPr>
                <w:rFonts w:cs="Calibri"/>
                <w:color w:val="000000"/>
                <w:sz w:val="15"/>
                <w:szCs w:val="15"/>
              </w:rPr>
            </w:pPr>
            <w:r w:rsidRPr="00615E45">
              <w:rPr>
                <w:color w:val="000000"/>
                <w:sz w:val="15"/>
              </w:rPr>
              <w:t>8.4</w:t>
            </w:r>
          </w:p>
        </w:tc>
        <w:tc>
          <w:tcPr>
            <w:tcW w:w="400" w:type="pct"/>
            <w:noWrap/>
            <w:hideMark/>
          </w:tcPr>
          <w:p w14:paraId="46CDB56D" w14:textId="77777777" w:rsidR="00EB7374" w:rsidRPr="00615E45" w:rsidRDefault="00EB7374" w:rsidP="00C700EB">
            <w:pPr>
              <w:jc w:val="right"/>
              <w:rPr>
                <w:rFonts w:cs="Calibri"/>
                <w:color w:val="000000"/>
                <w:sz w:val="15"/>
                <w:szCs w:val="15"/>
              </w:rPr>
            </w:pPr>
            <w:r w:rsidRPr="00615E45">
              <w:rPr>
                <w:color w:val="000000"/>
                <w:sz w:val="15"/>
              </w:rPr>
              <w:t>7.5</w:t>
            </w:r>
          </w:p>
        </w:tc>
        <w:tc>
          <w:tcPr>
            <w:tcW w:w="400" w:type="pct"/>
            <w:noWrap/>
            <w:hideMark/>
          </w:tcPr>
          <w:p w14:paraId="5CB601BE" w14:textId="77777777" w:rsidR="00EB7374" w:rsidRPr="00615E45" w:rsidRDefault="00EB7374" w:rsidP="00C700EB">
            <w:pPr>
              <w:jc w:val="right"/>
              <w:rPr>
                <w:rFonts w:cs="Calibri"/>
                <w:color w:val="000000"/>
                <w:sz w:val="15"/>
                <w:szCs w:val="15"/>
              </w:rPr>
            </w:pPr>
            <w:r w:rsidRPr="00615E45">
              <w:rPr>
                <w:color w:val="000000"/>
                <w:sz w:val="15"/>
              </w:rPr>
              <w:t>6.7</w:t>
            </w:r>
          </w:p>
        </w:tc>
        <w:tc>
          <w:tcPr>
            <w:tcW w:w="400" w:type="pct"/>
            <w:noWrap/>
            <w:hideMark/>
          </w:tcPr>
          <w:p w14:paraId="4D6DCC7C" w14:textId="77777777" w:rsidR="00EB7374" w:rsidRPr="00615E45" w:rsidRDefault="00EB7374" w:rsidP="00C700EB">
            <w:pPr>
              <w:jc w:val="right"/>
              <w:rPr>
                <w:rFonts w:cs="Calibri"/>
                <w:color w:val="000000"/>
                <w:sz w:val="15"/>
                <w:szCs w:val="15"/>
              </w:rPr>
            </w:pPr>
            <w:r w:rsidRPr="00615E45">
              <w:rPr>
                <w:color w:val="000000"/>
                <w:sz w:val="15"/>
              </w:rPr>
              <w:t>7.7</w:t>
            </w:r>
          </w:p>
        </w:tc>
        <w:tc>
          <w:tcPr>
            <w:tcW w:w="400" w:type="pct"/>
            <w:noWrap/>
            <w:hideMark/>
          </w:tcPr>
          <w:p w14:paraId="084A918F" w14:textId="77777777" w:rsidR="00EB7374" w:rsidRPr="00615E45" w:rsidRDefault="00EB7374" w:rsidP="00C700EB">
            <w:pPr>
              <w:jc w:val="right"/>
              <w:rPr>
                <w:rFonts w:cs="Calibri"/>
                <w:color w:val="000000"/>
                <w:sz w:val="15"/>
                <w:szCs w:val="15"/>
              </w:rPr>
            </w:pPr>
            <w:r w:rsidRPr="00615E45">
              <w:rPr>
                <w:color w:val="000000"/>
                <w:sz w:val="15"/>
              </w:rPr>
              <w:t>9.4</w:t>
            </w:r>
          </w:p>
        </w:tc>
      </w:tr>
      <w:tr w:rsidR="00EB7374" w:rsidRPr="00615E45" w14:paraId="684C0CA2" w14:textId="77777777" w:rsidTr="00C700EB">
        <w:trPr>
          <w:cantSplit/>
        </w:trPr>
        <w:tc>
          <w:tcPr>
            <w:tcW w:w="2197" w:type="pct"/>
            <w:noWrap/>
            <w:hideMark/>
          </w:tcPr>
          <w:p w14:paraId="45BD0060" w14:textId="77777777" w:rsidR="00EB7374" w:rsidRPr="00615E45" w:rsidRDefault="00EB7374" w:rsidP="00C700EB">
            <w:pPr>
              <w:ind w:left="113"/>
              <w:jc w:val="left"/>
              <w:rPr>
                <w:rFonts w:cs="Calibri"/>
                <w:color w:val="000000"/>
                <w:sz w:val="15"/>
                <w:szCs w:val="15"/>
              </w:rPr>
            </w:pPr>
            <w:r w:rsidRPr="00615E45">
              <w:rPr>
                <w:color w:val="000000"/>
                <w:sz w:val="15"/>
              </w:rPr>
              <w:t>02. Meat and edible meat offal</w:t>
            </w:r>
          </w:p>
        </w:tc>
        <w:tc>
          <w:tcPr>
            <w:tcW w:w="400" w:type="pct"/>
            <w:noWrap/>
            <w:hideMark/>
          </w:tcPr>
          <w:p w14:paraId="7EC42C14" w14:textId="77777777" w:rsidR="00EB7374" w:rsidRPr="00615E45" w:rsidRDefault="00EB7374" w:rsidP="00C700EB">
            <w:pPr>
              <w:jc w:val="right"/>
              <w:rPr>
                <w:rFonts w:cs="Calibri"/>
                <w:color w:val="000000"/>
                <w:sz w:val="15"/>
                <w:szCs w:val="15"/>
              </w:rPr>
            </w:pPr>
            <w:r w:rsidRPr="00615E45">
              <w:rPr>
                <w:color w:val="000000"/>
                <w:sz w:val="15"/>
              </w:rPr>
              <w:t>6.3</w:t>
            </w:r>
          </w:p>
        </w:tc>
        <w:tc>
          <w:tcPr>
            <w:tcW w:w="400" w:type="pct"/>
            <w:noWrap/>
            <w:hideMark/>
          </w:tcPr>
          <w:p w14:paraId="46DBE6DD" w14:textId="77777777" w:rsidR="00EB7374" w:rsidRPr="00615E45" w:rsidRDefault="00EB7374" w:rsidP="00C700EB">
            <w:pPr>
              <w:jc w:val="right"/>
              <w:rPr>
                <w:rFonts w:cs="Calibri"/>
                <w:color w:val="000000"/>
                <w:sz w:val="15"/>
                <w:szCs w:val="15"/>
              </w:rPr>
            </w:pPr>
            <w:r w:rsidRPr="00615E45">
              <w:rPr>
                <w:color w:val="000000"/>
                <w:sz w:val="15"/>
              </w:rPr>
              <w:t>6.6</w:t>
            </w:r>
          </w:p>
        </w:tc>
        <w:tc>
          <w:tcPr>
            <w:tcW w:w="400" w:type="pct"/>
            <w:noWrap/>
            <w:hideMark/>
          </w:tcPr>
          <w:p w14:paraId="7D347FD4" w14:textId="77777777" w:rsidR="00EB7374" w:rsidRPr="00615E45" w:rsidRDefault="00EB7374" w:rsidP="00C700EB">
            <w:pPr>
              <w:jc w:val="right"/>
              <w:rPr>
                <w:rFonts w:cs="Calibri"/>
                <w:color w:val="000000"/>
                <w:sz w:val="15"/>
                <w:szCs w:val="15"/>
              </w:rPr>
            </w:pPr>
            <w:r w:rsidRPr="00615E45">
              <w:rPr>
                <w:color w:val="000000"/>
                <w:sz w:val="15"/>
              </w:rPr>
              <w:t>6.6</w:t>
            </w:r>
          </w:p>
        </w:tc>
        <w:tc>
          <w:tcPr>
            <w:tcW w:w="400" w:type="pct"/>
            <w:noWrap/>
            <w:hideMark/>
          </w:tcPr>
          <w:p w14:paraId="6218D629" w14:textId="77777777" w:rsidR="00EB7374" w:rsidRPr="00615E45" w:rsidRDefault="00EB7374" w:rsidP="00C700EB">
            <w:pPr>
              <w:jc w:val="right"/>
              <w:rPr>
                <w:rFonts w:cs="Calibri"/>
                <w:color w:val="000000"/>
                <w:sz w:val="15"/>
                <w:szCs w:val="15"/>
              </w:rPr>
            </w:pPr>
            <w:r w:rsidRPr="00615E45">
              <w:rPr>
                <w:color w:val="000000"/>
                <w:sz w:val="15"/>
              </w:rPr>
              <w:t>7.5</w:t>
            </w:r>
          </w:p>
        </w:tc>
        <w:tc>
          <w:tcPr>
            <w:tcW w:w="400" w:type="pct"/>
            <w:noWrap/>
            <w:hideMark/>
          </w:tcPr>
          <w:p w14:paraId="6DDCBD55" w14:textId="77777777" w:rsidR="00EB7374" w:rsidRPr="00615E45" w:rsidRDefault="00EB7374" w:rsidP="00C700EB">
            <w:pPr>
              <w:jc w:val="right"/>
              <w:rPr>
                <w:rFonts w:cs="Calibri"/>
                <w:color w:val="000000"/>
                <w:sz w:val="15"/>
                <w:szCs w:val="15"/>
              </w:rPr>
            </w:pPr>
            <w:r w:rsidRPr="00615E45">
              <w:rPr>
                <w:color w:val="000000"/>
                <w:sz w:val="15"/>
              </w:rPr>
              <w:t>7.2</w:t>
            </w:r>
          </w:p>
        </w:tc>
        <w:tc>
          <w:tcPr>
            <w:tcW w:w="400" w:type="pct"/>
            <w:noWrap/>
            <w:hideMark/>
          </w:tcPr>
          <w:p w14:paraId="485848EF" w14:textId="77777777" w:rsidR="00EB7374" w:rsidRPr="00615E45" w:rsidRDefault="00EB7374" w:rsidP="00C700EB">
            <w:pPr>
              <w:jc w:val="right"/>
              <w:rPr>
                <w:rFonts w:cs="Calibri"/>
                <w:color w:val="000000"/>
                <w:sz w:val="15"/>
                <w:szCs w:val="15"/>
              </w:rPr>
            </w:pPr>
            <w:r w:rsidRPr="00615E45">
              <w:rPr>
                <w:color w:val="000000"/>
                <w:sz w:val="15"/>
              </w:rPr>
              <w:t>6.4</w:t>
            </w:r>
          </w:p>
        </w:tc>
        <w:tc>
          <w:tcPr>
            <w:tcW w:w="400" w:type="pct"/>
            <w:noWrap/>
            <w:hideMark/>
          </w:tcPr>
          <w:p w14:paraId="7DF2D7C1" w14:textId="77777777" w:rsidR="00EB7374" w:rsidRPr="00615E45" w:rsidRDefault="00EB7374" w:rsidP="00C700EB">
            <w:pPr>
              <w:jc w:val="right"/>
              <w:rPr>
                <w:rFonts w:cs="Calibri"/>
                <w:color w:val="000000"/>
                <w:sz w:val="15"/>
                <w:szCs w:val="15"/>
              </w:rPr>
            </w:pPr>
            <w:r w:rsidRPr="00615E45">
              <w:rPr>
                <w:color w:val="000000"/>
                <w:sz w:val="15"/>
              </w:rPr>
              <w:t>8.6</w:t>
            </w:r>
          </w:p>
        </w:tc>
      </w:tr>
      <w:tr w:rsidR="00EB7374" w:rsidRPr="00615E45" w14:paraId="6F2D2D5F" w14:textId="77777777" w:rsidTr="00C700EB">
        <w:trPr>
          <w:cnfStyle w:val="000000010000" w:firstRow="0" w:lastRow="0" w:firstColumn="0" w:lastColumn="0" w:oddVBand="0" w:evenVBand="0" w:oddHBand="0" w:evenHBand="1" w:firstRowFirstColumn="0" w:firstRowLastColumn="0" w:lastRowFirstColumn="0" w:lastRowLastColumn="0"/>
          <w:cantSplit/>
        </w:trPr>
        <w:tc>
          <w:tcPr>
            <w:tcW w:w="2197" w:type="pct"/>
            <w:noWrap/>
            <w:hideMark/>
          </w:tcPr>
          <w:p w14:paraId="488D9711" w14:textId="77777777" w:rsidR="00EB7374" w:rsidRPr="00615E45" w:rsidRDefault="00EB7374" w:rsidP="00C700EB">
            <w:pPr>
              <w:jc w:val="left"/>
              <w:rPr>
                <w:rFonts w:cs="Calibri"/>
                <w:b/>
                <w:color w:val="000000"/>
                <w:sz w:val="15"/>
                <w:szCs w:val="15"/>
              </w:rPr>
            </w:pPr>
            <w:r w:rsidRPr="00615E45">
              <w:rPr>
                <w:b/>
                <w:color w:val="000000"/>
                <w:sz w:val="15"/>
              </w:rPr>
              <w:t>Exports from the national territory and other exports</w:t>
            </w:r>
          </w:p>
        </w:tc>
        <w:tc>
          <w:tcPr>
            <w:tcW w:w="400" w:type="pct"/>
            <w:noWrap/>
            <w:hideMark/>
          </w:tcPr>
          <w:p w14:paraId="7AE93672" w14:textId="77777777" w:rsidR="00EB7374" w:rsidRPr="00615E45" w:rsidRDefault="00EB7374" w:rsidP="00C700EB">
            <w:pPr>
              <w:jc w:val="right"/>
              <w:rPr>
                <w:rFonts w:cs="Calibri"/>
                <w:bCs/>
                <w:color w:val="000000"/>
                <w:sz w:val="15"/>
                <w:szCs w:val="15"/>
              </w:rPr>
            </w:pPr>
          </w:p>
        </w:tc>
        <w:tc>
          <w:tcPr>
            <w:tcW w:w="400" w:type="pct"/>
            <w:noWrap/>
            <w:hideMark/>
          </w:tcPr>
          <w:p w14:paraId="5FDABA5C" w14:textId="77777777" w:rsidR="00EB7374" w:rsidRPr="00615E45" w:rsidRDefault="00EB7374" w:rsidP="00C700EB">
            <w:pPr>
              <w:jc w:val="right"/>
              <w:rPr>
                <w:sz w:val="15"/>
                <w:szCs w:val="15"/>
              </w:rPr>
            </w:pPr>
          </w:p>
        </w:tc>
        <w:tc>
          <w:tcPr>
            <w:tcW w:w="400" w:type="pct"/>
            <w:noWrap/>
            <w:hideMark/>
          </w:tcPr>
          <w:p w14:paraId="652C3A81" w14:textId="77777777" w:rsidR="00EB7374" w:rsidRPr="00615E45" w:rsidRDefault="00EB7374" w:rsidP="00C700EB">
            <w:pPr>
              <w:jc w:val="right"/>
              <w:rPr>
                <w:sz w:val="15"/>
                <w:szCs w:val="15"/>
              </w:rPr>
            </w:pPr>
          </w:p>
        </w:tc>
        <w:tc>
          <w:tcPr>
            <w:tcW w:w="400" w:type="pct"/>
            <w:noWrap/>
            <w:hideMark/>
          </w:tcPr>
          <w:p w14:paraId="6CCD53F5" w14:textId="77777777" w:rsidR="00EB7374" w:rsidRPr="00615E45" w:rsidRDefault="00EB7374" w:rsidP="00C700EB">
            <w:pPr>
              <w:jc w:val="right"/>
              <w:rPr>
                <w:sz w:val="15"/>
                <w:szCs w:val="15"/>
              </w:rPr>
            </w:pPr>
          </w:p>
        </w:tc>
        <w:tc>
          <w:tcPr>
            <w:tcW w:w="400" w:type="pct"/>
            <w:noWrap/>
            <w:hideMark/>
          </w:tcPr>
          <w:p w14:paraId="1C1AC9D4" w14:textId="77777777" w:rsidR="00EB7374" w:rsidRPr="00615E45" w:rsidRDefault="00EB7374" w:rsidP="00C700EB">
            <w:pPr>
              <w:jc w:val="right"/>
              <w:rPr>
                <w:sz w:val="15"/>
                <w:szCs w:val="15"/>
              </w:rPr>
            </w:pPr>
          </w:p>
        </w:tc>
        <w:tc>
          <w:tcPr>
            <w:tcW w:w="400" w:type="pct"/>
            <w:noWrap/>
            <w:hideMark/>
          </w:tcPr>
          <w:p w14:paraId="4ABD8C2D" w14:textId="77777777" w:rsidR="00EB7374" w:rsidRPr="00615E45" w:rsidRDefault="00EB7374" w:rsidP="00C700EB">
            <w:pPr>
              <w:jc w:val="right"/>
              <w:rPr>
                <w:sz w:val="15"/>
                <w:szCs w:val="15"/>
              </w:rPr>
            </w:pPr>
          </w:p>
        </w:tc>
        <w:tc>
          <w:tcPr>
            <w:tcW w:w="400" w:type="pct"/>
            <w:noWrap/>
            <w:hideMark/>
          </w:tcPr>
          <w:p w14:paraId="64B78318" w14:textId="77777777" w:rsidR="00EB7374" w:rsidRPr="00615E45" w:rsidRDefault="00EB7374" w:rsidP="00C700EB">
            <w:pPr>
              <w:jc w:val="right"/>
              <w:rPr>
                <w:sz w:val="15"/>
                <w:szCs w:val="15"/>
              </w:rPr>
            </w:pPr>
          </w:p>
        </w:tc>
      </w:tr>
      <w:tr w:rsidR="00EB7374" w:rsidRPr="00615E45" w14:paraId="1B368A1E" w14:textId="77777777" w:rsidTr="00C700EB">
        <w:trPr>
          <w:cantSplit/>
        </w:trPr>
        <w:tc>
          <w:tcPr>
            <w:tcW w:w="2197" w:type="pct"/>
            <w:noWrap/>
            <w:hideMark/>
          </w:tcPr>
          <w:p w14:paraId="333286CE" w14:textId="77777777" w:rsidR="00EB7374" w:rsidRPr="00615E45" w:rsidRDefault="00EB7374" w:rsidP="00C700EB">
            <w:pPr>
              <w:jc w:val="left"/>
              <w:rPr>
                <w:rFonts w:cs="Calibri"/>
                <w:color w:val="000000"/>
                <w:sz w:val="15"/>
                <w:szCs w:val="15"/>
              </w:rPr>
            </w:pPr>
            <w:r w:rsidRPr="00615E45">
              <w:rPr>
                <w:color w:val="000000"/>
                <w:sz w:val="15"/>
              </w:rPr>
              <w:t>Value (USD million)</w:t>
            </w:r>
          </w:p>
        </w:tc>
        <w:tc>
          <w:tcPr>
            <w:tcW w:w="400" w:type="pct"/>
            <w:noWrap/>
            <w:hideMark/>
          </w:tcPr>
          <w:p w14:paraId="346A58E4" w14:textId="77777777" w:rsidR="00EB7374" w:rsidRPr="00615E45" w:rsidRDefault="00EB7374" w:rsidP="00C700EB">
            <w:pPr>
              <w:jc w:val="right"/>
              <w:rPr>
                <w:rFonts w:cs="Calibri"/>
                <w:color w:val="000000"/>
                <w:sz w:val="15"/>
                <w:szCs w:val="15"/>
              </w:rPr>
            </w:pPr>
            <w:r w:rsidRPr="00615E45">
              <w:rPr>
                <w:color w:val="000000"/>
                <w:sz w:val="15"/>
              </w:rPr>
              <w:t>1,251</w:t>
            </w:r>
          </w:p>
        </w:tc>
        <w:tc>
          <w:tcPr>
            <w:tcW w:w="400" w:type="pct"/>
            <w:noWrap/>
            <w:hideMark/>
          </w:tcPr>
          <w:p w14:paraId="6EE0E450" w14:textId="77777777" w:rsidR="00EB7374" w:rsidRPr="00615E45" w:rsidRDefault="00EB7374" w:rsidP="00C700EB">
            <w:pPr>
              <w:jc w:val="right"/>
              <w:rPr>
                <w:rFonts w:cs="Calibri"/>
                <w:color w:val="000000"/>
                <w:sz w:val="15"/>
                <w:szCs w:val="15"/>
              </w:rPr>
            </w:pPr>
            <w:r w:rsidRPr="00615E45">
              <w:rPr>
                <w:color w:val="000000"/>
                <w:sz w:val="15"/>
              </w:rPr>
              <w:t>1,376</w:t>
            </w:r>
          </w:p>
        </w:tc>
        <w:tc>
          <w:tcPr>
            <w:tcW w:w="400" w:type="pct"/>
            <w:noWrap/>
            <w:hideMark/>
          </w:tcPr>
          <w:p w14:paraId="44A3C7D3" w14:textId="77777777" w:rsidR="00EB7374" w:rsidRPr="00615E45" w:rsidRDefault="00EB7374" w:rsidP="00C700EB">
            <w:pPr>
              <w:jc w:val="right"/>
              <w:rPr>
                <w:rFonts w:cs="Calibri"/>
                <w:color w:val="000000"/>
                <w:sz w:val="15"/>
                <w:szCs w:val="15"/>
              </w:rPr>
            </w:pPr>
            <w:r w:rsidRPr="00615E45">
              <w:rPr>
                <w:color w:val="000000"/>
                <w:sz w:val="15"/>
              </w:rPr>
              <w:t>1,116</w:t>
            </w:r>
          </w:p>
        </w:tc>
        <w:tc>
          <w:tcPr>
            <w:tcW w:w="400" w:type="pct"/>
            <w:noWrap/>
            <w:hideMark/>
          </w:tcPr>
          <w:p w14:paraId="5A35BFBE" w14:textId="77777777" w:rsidR="00EB7374" w:rsidRPr="00615E45" w:rsidRDefault="00EB7374" w:rsidP="00C700EB">
            <w:pPr>
              <w:jc w:val="right"/>
              <w:rPr>
                <w:rFonts w:cs="Calibri"/>
                <w:color w:val="000000"/>
                <w:sz w:val="15"/>
                <w:szCs w:val="15"/>
              </w:rPr>
            </w:pPr>
            <w:r w:rsidRPr="00615E45">
              <w:rPr>
                <w:color w:val="000000"/>
                <w:sz w:val="15"/>
              </w:rPr>
              <w:t>1,199</w:t>
            </w:r>
          </w:p>
        </w:tc>
        <w:tc>
          <w:tcPr>
            <w:tcW w:w="400" w:type="pct"/>
            <w:noWrap/>
            <w:hideMark/>
          </w:tcPr>
          <w:p w14:paraId="5B09D0E9" w14:textId="77777777" w:rsidR="00EB7374" w:rsidRPr="00615E45" w:rsidRDefault="00EB7374" w:rsidP="00C700EB">
            <w:pPr>
              <w:jc w:val="right"/>
              <w:rPr>
                <w:rFonts w:cs="Calibri"/>
                <w:color w:val="000000"/>
                <w:sz w:val="15"/>
                <w:szCs w:val="15"/>
              </w:rPr>
            </w:pPr>
            <w:r w:rsidRPr="00615E45">
              <w:rPr>
                <w:color w:val="000000"/>
                <w:sz w:val="15"/>
              </w:rPr>
              <w:t>1,273</w:t>
            </w:r>
          </w:p>
        </w:tc>
        <w:tc>
          <w:tcPr>
            <w:tcW w:w="400" w:type="pct"/>
            <w:noWrap/>
            <w:hideMark/>
          </w:tcPr>
          <w:p w14:paraId="22A06246" w14:textId="77777777" w:rsidR="00EB7374" w:rsidRPr="00615E45" w:rsidRDefault="00EB7374" w:rsidP="00C700EB">
            <w:pPr>
              <w:jc w:val="right"/>
              <w:rPr>
                <w:rFonts w:cs="Calibri"/>
                <w:color w:val="000000"/>
                <w:sz w:val="15"/>
                <w:szCs w:val="15"/>
              </w:rPr>
            </w:pPr>
            <w:r w:rsidRPr="00615E45">
              <w:rPr>
                <w:color w:val="000000"/>
                <w:sz w:val="15"/>
              </w:rPr>
              <w:t>992</w:t>
            </w:r>
          </w:p>
        </w:tc>
        <w:tc>
          <w:tcPr>
            <w:tcW w:w="400" w:type="pct"/>
            <w:noWrap/>
            <w:hideMark/>
          </w:tcPr>
          <w:p w14:paraId="7DE6D2EB" w14:textId="77777777" w:rsidR="00EB7374" w:rsidRPr="00615E45" w:rsidRDefault="00EB7374" w:rsidP="00C700EB">
            <w:pPr>
              <w:jc w:val="right"/>
              <w:rPr>
                <w:rFonts w:cs="Calibri"/>
                <w:color w:val="000000"/>
                <w:sz w:val="15"/>
                <w:szCs w:val="15"/>
              </w:rPr>
            </w:pPr>
            <w:r w:rsidRPr="00615E45">
              <w:rPr>
                <w:color w:val="000000"/>
                <w:sz w:val="15"/>
              </w:rPr>
              <w:t>1,097</w:t>
            </w:r>
          </w:p>
        </w:tc>
      </w:tr>
      <w:tr w:rsidR="00EB7374" w:rsidRPr="00615E45" w14:paraId="478F1EB8" w14:textId="77777777" w:rsidTr="00C700EB">
        <w:trPr>
          <w:cnfStyle w:val="000000010000" w:firstRow="0" w:lastRow="0" w:firstColumn="0" w:lastColumn="0" w:oddVBand="0" w:evenVBand="0" w:oddHBand="0" w:evenHBand="1" w:firstRowFirstColumn="0" w:firstRowLastColumn="0" w:lastRowFirstColumn="0" w:lastRowLastColumn="0"/>
          <w:cantSplit/>
        </w:trPr>
        <w:tc>
          <w:tcPr>
            <w:tcW w:w="2197" w:type="pct"/>
            <w:noWrap/>
            <w:hideMark/>
          </w:tcPr>
          <w:p w14:paraId="165D6769" w14:textId="77777777" w:rsidR="00EB7374" w:rsidRPr="00615E45" w:rsidRDefault="00EB7374" w:rsidP="00C700EB">
            <w:pPr>
              <w:jc w:val="left"/>
              <w:rPr>
                <w:rFonts w:cs="Calibri"/>
                <w:color w:val="000000"/>
                <w:sz w:val="15"/>
                <w:szCs w:val="15"/>
              </w:rPr>
            </w:pPr>
            <w:r w:rsidRPr="00615E45">
              <w:rPr>
                <w:color w:val="000000"/>
                <w:sz w:val="15"/>
              </w:rPr>
              <w:t xml:space="preserve">Top </w:t>
            </w:r>
            <w:r>
              <w:rPr>
                <w:color w:val="000000"/>
                <w:sz w:val="15"/>
              </w:rPr>
              <w:t>five</w:t>
            </w:r>
            <w:r w:rsidRPr="00615E45">
              <w:rPr>
                <w:color w:val="000000"/>
                <w:sz w:val="15"/>
              </w:rPr>
              <w:t xml:space="preserve"> products, </w:t>
            </w:r>
            <w:r>
              <w:rPr>
                <w:color w:val="000000"/>
                <w:sz w:val="15"/>
              </w:rPr>
              <w:t>by</w:t>
            </w:r>
            <w:r w:rsidRPr="00615E45">
              <w:rPr>
                <w:color w:val="000000"/>
                <w:sz w:val="15"/>
              </w:rPr>
              <w:t xml:space="preserve"> HS chapter (% of agricultural total)</w:t>
            </w:r>
          </w:p>
        </w:tc>
        <w:tc>
          <w:tcPr>
            <w:tcW w:w="400" w:type="pct"/>
          </w:tcPr>
          <w:p w14:paraId="1854D7B3" w14:textId="77777777" w:rsidR="00EB7374" w:rsidRPr="00615E45" w:rsidRDefault="00EB7374" w:rsidP="00C700EB">
            <w:pPr>
              <w:jc w:val="right"/>
              <w:rPr>
                <w:rFonts w:cs="Calibri"/>
                <w:color w:val="000000"/>
                <w:sz w:val="15"/>
                <w:szCs w:val="15"/>
              </w:rPr>
            </w:pPr>
          </w:p>
        </w:tc>
        <w:tc>
          <w:tcPr>
            <w:tcW w:w="400" w:type="pct"/>
          </w:tcPr>
          <w:p w14:paraId="09E3BC7B" w14:textId="77777777" w:rsidR="00EB7374" w:rsidRPr="00615E45" w:rsidRDefault="00EB7374" w:rsidP="00C700EB">
            <w:pPr>
              <w:jc w:val="right"/>
              <w:rPr>
                <w:rFonts w:cs="Calibri"/>
                <w:color w:val="000000"/>
                <w:sz w:val="15"/>
                <w:szCs w:val="15"/>
              </w:rPr>
            </w:pPr>
          </w:p>
        </w:tc>
        <w:tc>
          <w:tcPr>
            <w:tcW w:w="400" w:type="pct"/>
          </w:tcPr>
          <w:p w14:paraId="00C274FB" w14:textId="77777777" w:rsidR="00EB7374" w:rsidRPr="00615E45" w:rsidRDefault="00EB7374" w:rsidP="00C700EB">
            <w:pPr>
              <w:jc w:val="right"/>
              <w:rPr>
                <w:rFonts w:cs="Calibri"/>
                <w:color w:val="000000"/>
                <w:sz w:val="15"/>
                <w:szCs w:val="15"/>
              </w:rPr>
            </w:pPr>
          </w:p>
        </w:tc>
        <w:tc>
          <w:tcPr>
            <w:tcW w:w="400" w:type="pct"/>
            <w:noWrap/>
            <w:hideMark/>
          </w:tcPr>
          <w:p w14:paraId="3F0E80CC" w14:textId="77777777" w:rsidR="00EB7374" w:rsidRPr="00615E45" w:rsidRDefault="00EB7374" w:rsidP="00C700EB">
            <w:pPr>
              <w:jc w:val="right"/>
              <w:rPr>
                <w:rFonts w:cs="Calibri"/>
                <w:color w:val="000000"/>
                <w:sz w:val="15"/>
                <w:szCs w:val="15"/>
              </w:rPr>
            </w:pPr>
          </w:p>
        </w:tc>
        <w:tc>
          <w:tcPr>
            <w:tcW w:w="400" w:type="pct"/>
            <w:noWrap/>
            <w:hideMark/>
          </w:tcPr>
          <w:p w14:paraId="2A6FF41E" w14:textId="77777777" w:rsidR="00EB7374" w:rsidRPr="00615E45" w:rsidRDefault="00EB7374" w:rsidP="00C700EB">
            <w:pPr>
              <w:jc w:val="right"/>
              <w:rPr>
                <w:sz w:val="15"/>
                <w:szCs w:val="15"/>
              </w:rPr>
            </w:pPr>
          </w:p>
        </w:tc>
        <w:tc>
          <w:tcPr>
            <w:tcW w:w="400" w:type="pct"/>
            <w:noWrap/>
            <w:hideMark/>
          </w:tcPr>
          <w:p w14:paraId="23F4F852" w14:textId="77777777" w:rsidR="00EB7374" w:rsidRPr="00615E45" w:rsidRDefault="00EB7374" w:rsidP="00C700EB">
            <w:pPr>
              <w:jc w:val="right"/>
              <w:rPr>
                <w:sz w:val="15"/>
                <w:szCs w:val="15"/>
              </w:rPr>
            </w:pPr>
          </w:p>
        </w:tc>
        <w:tc>
          <w:tcPr>
            <w:tcW w:w="400" w:type="pct"/>
            <w:noWrap/>
            <w:hideMark/>
          </w:tcPr>
          <w:p w14:paraId="07E717F7" w14:textId="77777777" w:rsidR="00EB7374" w:rsidRPr="00615E45" w:rsidRDefault="00EB7374" w:rsidP="00C700EB">
            <w:pPr>
              <w:jc w:val="right"/>
              <w:rPr>
                <w:sz w:val="15"/>
                <w:szCs w:val="15"/>
              </w:rPr>
            </w:pPr>
          </w:p>
        </w:tc>
      </w:tr>
      <w:tr w:rsidR="00EB7374" w:rsidRPr="00615E45" w14:paraId="33331419" w14:textId="77777777" w:rsidTr="00C700EB">
        <w:trPr>
          <w:cantSplit/>
        </w:trPr>
        <w:tc>
          <w:tcPr>
            <w:tcW w:w="2197" w:type="pct"/>
            <w:noWrap/>
            <w:hideMark/>
          </w:tcPr>
          <w:p w14:paraId="589A5754" w14:textId="77777777" w:rsidR="00EB7374" w:rsidRPr="00615E45" w:rsidRDefault="00EB7374" w:rsidP="00C700EB">
            <w:pPr>
              <w:ind w:left="113"/>
              <w:jc w:val="left"/>
              <w:rPr>
                <w:rFonts w:cs="Calibri"/>
                <w:color w:val="000000"/>
                <w:sz w:val="15"/>
                <w:szCs w:val="15"/>
              </w:rPr>
            </w:pPr>
            <w:r w:rsidRPr="00615E45">
              <w:rPr>
                <w:color w:val="000000"/>
                <w:sz w:val="15"/>
              </w:rPr>
              <w:t>08. Edible fruit and nuts; citrus fruit or melons</w:t>
            </w:r>
          </w:p>
        </w:tc>
        <w:tc>
          <w:tcPr>
            <w:tcW w:w="400" w:type="pct"/>
            <w:noWrap/>
            <w:hideMark/>
          </w:tcPr>
          <w:p w14:paraId="34150D3B" w14:textId="77777777" w:rsidR="00EB7374" w:rsidRPr="00615E45" w:rsidRDefault="00EB7374" w:rsidP="00C700EB">
            <w:pPr>
              <w:jc w:val="right"/>
              <w:rPr>
                <w:rFonts w:cs="Calibri"/>
                <w:color w:val="000000"/>
                <w:sz w:val="15"/>
                <w:szCs w:val="15"/>
              </w:rPr>
            </w:pPr>
            <w:r w:rsidRPr="00615E45">
              <w:rPr>
                <w:color w:val="000000"/>
                <w:sz w:val="15"/>
              </w:rPr>
              <w:t>27.7</w:t>
            </w:r>
          </w:p>
        </w:tc>
        <w:tc>
          <w:tcPr>
            <w:tcW w:w="400" w:type="pct"/>
            <w:noWrap/>
            <w:hideMark/>
          </w:tcPr>
          <w:p w14:paraId="26A95080" w14:textId="77777777" w:rsidR="00EB7374" w:rsidRPr="00615E45" w:rsidRDefault="00EB7374" w:rsidP="00C700EB">
            <w:pPr>
              <w:jc w:val="right"/>
              <w:rPr>
                <w:rFonts w:cs="Calibri"/>
                <w:color w:val="000000"/>
                <w:sz w:val="15"/>
                <w:szCs w:val="15"/>
              </w:rPr>
            </w:pPr>
            <w:r w:rsidRPr="00615E45">
              <w:rPr>
                <w:color w:val="000000"/>
                <w:sz w:val="15"/>
              </w:rPr>
              <w:t>32.4</w:t>
            </w:r>
          </w:p>
        </w:tc>
        <w:tc>
          <w:tcPr>
            <w:tcW w:w="400" w:type="pct"/>
            <w:noWrap/>
            <w:hideMark/>
          </w:tcPr>
          <w:p w14:paraId="4881FD97" w14:textId="77777777" w:rsidR="00EB7374" w:rsidRPr="00615E45" w:rsidRDefault="00EB7374" w:rsidP="00C700EB">
            <w:pPr>
              <w:jc w:val="right"/>
              <w:rPr>
                <w:rFonts w:cs="Calibri"/>
                <w:color w:val="000000"/>
                <w:sz w:val="15"/>
                <w:szCs w:val="15"/>
              </w:rPr>
            </w:pPr>
            <w:r w:rsidRPr="00615E45">
              <w:rPr>
                <w:color w:val="000000"/>
                <w:sz w:val="15"/>
              </w:rPr>
              <w:t>29.6</w:t>
            </w:r>
          </w:p>
        </w:tc>
        <w:tc>
          <w:tcPr>
            <w:tcW w:w="400" w:type="pct"/>
            <w:noWrap/>
            <w:hideMark/>
          </w:tcPr>
          <w:p w14:paraId="3DEA6172" w14:textId="77777777" w:rsidR="00EB7374" w:rsidRPr="00615E45" w:rsidRDefault="00EB7374" w:rsidP="00C700EB">
            <w:pPr>
              <w:jc w:val="right"/>
              <w:rPr>
                <w:rFonts w:cs="Calibri"/>
                <w:color w:val="000000"/>
                <w:sz w:val="15"/>
                <w:szCs w:val="15"/>
              </w:rPr>
            </w:pPr>
            <w:r w:rsidRPr="00615E45">
              <w:rPr>
                <w:color w:val="000000"/>
                <w:sz w:val="15"/>
              </w:rPr>
              <w:t>27.8</w:t>
            </w:r>
          </w:p>
        </w:tc>
        <w:tc>
          <w:tcPr>
            <w:tcW w:w="400" w:type="pct"/>
            <w:noWrap/>
            <w:hideMark/>
          </w:tcPr>
          <w:p w14:paraId="63A93937" w14:textId="77777777" w:rsidR="00EB7374" w:rsidRPr="00615E45" w:rsidRDefault="00EB7374" w:rsidP="00C700EB">
            <w:pPr>
              <w:jc w:val="right"/>
              <w:rPr>
                <w:rFonts w:cs="Calibri"/>
                <w:color w:val="000000"/>
                <w:sz w:val="15"/>
                <w:szCs w:val="15"/>
              </w:rPr>
            </w:pPr>
            <w:r w:rsidRPr="00615E45">
              <w:rPr>
                <w:color w:val="000000"/>
                <w:sz w:val="15"/>
              </w:rPr>
              <w:t>28.9</w:t>
            </w:r>
          </w:p>
        </w:tc>
        <w:tc>
          <w:tcPr>
            <w:tcW w:w="400" w:type="pct"/>
            <w:noWrap/>
            <w:hideMark/>
          </w:tcPr>
          <w:p w14:paraId="6E04D4E9" w14:textId="77777777" w:rsidR="00EB7374" w:rsidRPr="00615E45" w:rsidRDefault="00EB7374" w:rsidP="00C700EB">
            <w:pPr>
              <w:jc w:val="right"/>
              <w:rPr>
                <w:rFonts w:cs="Calibri"/>
                <w:color w:val="000000"/>
                <w:sz w:val="15"/>
                <w:szCs w:val="15"/>
              </w:rPr>
            </w:pPr>
            <w:r w:rsidRPr="00615E45">
              <w:rPr>
                <w:color w:val="000000"/>
                <w:sz w:val="15"/>
              </w:rPr>
              <w:t>31.6</w:t>
            </w:r>
          </w:p>
        </w:tc>
        <w:tc>
          <w:tcPr>
            <w:tcW w:w="400" w:type="pct"/>
            <w:noWrap/>
            <w:hideMark/>
          </w:tcPr>
          <w:p w14:paraId="4A68D7FE" w14:textId="77777777" w:rsidR="00EB7374" w:rsidRPr="00615E45" w:rsidRDefault="00EB7374" w:rsidP="00C700EB">
            <w:pPr>
              <w:jc w:val="right"/>
              <w:rPr>
                <w:rFonts w:cs="Calibri"/>
                <w:color w:val="000000"/>
                <w:sz w:val="15"/>
                <w:szCs w:val="15"/>
              </w:rPr>
            </w:pPr>
            <w:r w:rsidRPr="00615E45">
              <w:rPr>
                <w:color w:val="000000"/>
                <w:sz w:val="15"/>
              </w:rPr>
              <w:t>27.1</w:t>
            </w:r>
          </w:p>
        </w:tc>
      </w:tr>
      <w:tr w:rsidR="00EB7374" w:rsidRPr="00615E45" w14:paraId="7FC7CAEA" w14:textId="77777777" w:rsidTr="00C700EB">
        <w:trPr>
          <w:cnfStyle w:val="000000010000" w:firstRow="0" w:lastRow="0" w:firstColumn="0" w:lastColumn="0" w:oddVBand="0" w:evenVBand="0" w:oddHBand="0" w:evenHBand="1" w:firstRowFirstColumn="0" w:firstRowLastColumn="0" w:lastRowFirstColumn="0" w:lastRowLastColumn="0"/>
          <w:cantSplit/>
        </w:trPr>
        <w:tc>
          <w:tcPr>
            <w:tcW w:w="2197" w:type="pct"/>
            <w:noWrap/>
            <w:hideMark/>
          </w:tcPr>
          <w:p w14:paraId="4996E157" w14:textId="77777777" w:rsidR="00EB7374" w:rsidRPr="00615E45" w:rsidRDefault="00EB7374" w:rsidP="00C700EB">
            <w:pPr>
              <w:ind w:left="113"/>
              <w:jc w:val="left"/>
              <w:rPr>
                <w:rFonts w:cs="Calibri"/>
                <w:color w:val="000000"/>
                <w:sz w:val="15"/>
                <w:szCs w:val="15"/>
              </w:rPr>
            </w:pPr>
            <w:r w:rsidRPr="00615E45">
              <w:rPr>
                <w:color w:val="000000"/>
                <w:sz w:val="15"/>
              </w:rPr>
              <w:t>17. Sugars and sugar confectionery</w:t>
            </w:r>
          </w:p>
        </w:tc>
        <w:tc>
          <w:tcPr>
            <w:tcW w:w="400" w:type="pct"/>
            <w:noWrap/>
            <w:hideMark/>
          </w:tcPr>
          <w:p w14:paraId="3C4FB3C7" w14:textId="77777777" w:rsidR="00EB7374" w:rsidRPr="00615E45" w:rsidRDefault="00EB7374" w:rsidP="00C700EB">
            <w:pPr>
              <w:jc w:val="right"/>
              <w:rPr>
                <w:rFonts w:cs="Calibri"/>
                <w:color w:val="000000"/>
                <w:sz w:val="15"/>
                <w:szCs w:val="15"/>
              </w:rPr>
            </w:pPr>
            <w:r w:rsidRPr="00615E45">
              <w:rPr>
                <w:color w:val="000000"/>
                <w:sz w:val="15"/>
              </w:rPr>
              <w:t>9.2</w:t>
            </w:r>
          </w:p>
        </w:tc>
        <w:tc>
          <w:tcPr>
            <w:tcW w:w="400" w:type="pct"/>
            <w:noWrap/>
            <w:hideMark/>
          </w:tcPr>
          <w:p w14:paraId="58B0A5B8" w14:textId="77777777" w:rsidR="00EB7374" w:rsidRPr="00615E45" w:rsidRDefault="00EB7374" w:rsidP="00C700EB">
            <w:pPr>
              <w:jc w:val="right"/>
              <w:rPr>
                <w:rFonts w:cs="Calibri"/>
                <w:color w:val="000000"/>
                <w:sz w:val="15"/>
                <w:szCs w:val="15"/>
              </w:rPr>
            </w:pPr>
            <w:r w:rsidRPr="00615E45">
              <w:rPr>
                <w:color w:val="000000"/>
                <w:sz w:val="15"/>
              </w:rPr>
              <w:t>8.3</w:t>
            </w:r>
          </w:p>
        </w:tc>
        <w:tc>
          <w:tcPr>
            <w:tcW w:w="400" w:type="pct"/>
            <w:noWrap/>
            <w:hideMark/>
          </w:tcPr>
          <w:p w14:paraId="0BD2682D" w14:textId="77777777" w:rsidR="00EB7374" w:rsidRPr="00615E45" w:rsidRDefault="00EB7374" w:rsidP="00C700EB">
            <w:pPr>
              <w:jc w:val="right"/>
              <w:rPr>
                <w:rFonts w:cs="Calibri"/>
                <w:color w:val="000000"/>
                <w:sz w:val="15"/>
                <w:szCs w:val="15"/>
              </w:rPr>
            </w:pPr>
            <w:r w:rsidRPr="00615E45">
              <w:rPr>
                <w:color w:val="000000"/>
                <w:sz w:val="15"/>
              </w:rPr>
              <w:t>10.9</w:t>
            </w:r>
          </w:p>
        </w:tc>
        <w:tc>
          <w:tcPr>
            <w:tcW w:w="400" w:type="pct"/>
            <w:noWrap/>
            <w:hideMark/>
          </w:tcPr>
          <w:p w14:paraId="21F34225" w14:textId="77777777" w:rsidR="00EB7374" w:rsidRPr="00615E45" w:rsidRDefault="00EB7374" w:rsidP="00C700EB">
            <w:pPr>
              <w:jc w:val="right"/>
              <w:rPr>
                <w:rFonts w:cs="Calibri"/>
                <w:color w:val="000000"/>
                <w:sz w:val="15"/>
                <w:szCs w:val="15"/>
              </w:rPr>
            </w:pPr>
            <w:r w:rsidRPr="00615E45">
              <w:rPr>
                <w:color w:val="000000"/>
                <w:sz w:val="15"/>
              </w:rPr>
              <w:t>10.8</w:t>
            </w:r>
          </w:p>
        </w:tc>
        <w:tc>
          <w:tcPr>
            <w:tcW w:w="400" w:type="pct"/>
            <w:noWrap/>
            <w:hideMark/>
          </w:tcPr>
          <w:p w14:paraId="0C3D36F9" w14:textId="77777777" w:rsidR="00EB7374" w:rsidRPr="00615E45" w:rsidRDefault="00EB7374" w:rsidP="00C700EB">
            <w:pPr>
              <w:jc w:val="right"/>
              <w:rPr>
                <w:rFonts w:cs="Calibri"/>
                <w:color w:val="000000"/>
                <w:sz w:val="15"/>
                <w:szCs w:val="15"/>
              </w:rPr>
            </w:pPr>
            <w:r w:rsidRPr="00615E45">
              <w:rPr>
                <w:color w:val="000000"/>
                <w:sz w:val="15"/>
              </w:rPr>
              <w:t>8.7</w:t>
            </w:r>
          </w:p>
        </w:tc>
        <w:tc>
          <w:tcPr>
            <w:tcW w:w="400" w:type="pct"/>
            <w:noWrap/>
            <w:hideMark/>
          </w:tcPr>
          <w:p w14:paraId="2372A468" w14:textId="77777777" w:rsidR="00EB7374" w:rsidRPr="00615E45" w:rsidRDefault="00EB7374" w:rsidP="00C700EB">
            <w:pPr>
              <w:jc w:val="right"/>
              <w:rPr>
                <w:rFonts w:cs="Calibri"/>
                <w:color w:val="000000"/>
                <w:sz w:val="15"/>
                <w:szCs w:val="15"/>
              </w:rPr>
            </w:pPr>
            <w:r w:rsidRPr="00615E45">
              <w:rPr>
                <w:color w:val="000000"/>
                <w:sz w:val="15"/>
              </w:rPr>
              <w:t>13.5</w:t>
            </w:r>
          </w:p>
        </w:tc>
        <w:tc>
          <w:tcPr>
            <w:tcW w:w="400" w:type="pct"/>
            <w:noWrap/>
            <w:hideMark/>
          </w:tcPr>
          <w:p w14:paraId="0019FB3C" w14:textId="77777777" w:rsidR="00EB7374" w:rsidRPr="00615E45" w:rsidRDefault="00EB7374" w:rsidP="00C700EB">
            <w:pPr>
              <w:jc w:val="right"/>
              <w:rPr>
                <w:rFonts w:cs="Calibri"/>
                <w:color w:val="000000"/>
                <w:sz w:val="15"/>
                <w:szCs w:val="15"/>
              </w:rPr>
            </w:pPr>
            <w:r w:rsidRPr="00615E45">
              <w:rPr>
                <w:color w:val="000000"/>
                <w:sz w:val="15"/>
              </w:rPr>
              <w:t>12.9</w:t>
            </w:r>
          </w:p>
        </w:tc>
      </w:tr>
      <w:tr w:rsidR="00EB7374" w:rsidRPr="00615E45" w14:paraId="708537CF" w14:textId="77777777" w:rsidTr="00C700EB">
        <w:trPr>
          <w:cantSplit/>
        </w:trPr>
        <w:tc>
          <w:tcPr>
            <w:tcW w:w="2197" w:type="pct"/>
            <w:noWrap/>
            <w:hideMark/>
          </w:tcPr>
          <w:p w14:paraId="2EC073F6" w14:textId="77777777" w:rsidR="00EB7374" w:rsidRPr="00615E45" w:rsidRDefault="00EB7374" w:rsidP="00C700EB">
            <w:pPr>
              <w:ind w:left="113"/>
              <w:jc w:val="left"/>
              <w:rPr>
                <w:rFonts w:cs="Calibri"/>
                <w:color w:val="000000"/>
                <w:sz w:val="15"/>
                <w:szCs w:val="15"/>
              </w:rPr>
            </w:pPr>
            <w:r w:rsidRPr="00615E45">
              <w:rPr>
                <w:color w:val="000000"/>
                <w:sz w:val="15"/>
              </w:rPr>
              <w:t>22. Beverages, spirits and vinegar</w:t>
            </w:r>
          </w:p>
        </w:tc>
        <w:tc>
          <w:tcPr>
            <w:tcW w:w="400" w:type="pct"/>
            <w:noWrap/>
            <w:hideMark/>
          </w:tcPr>
          <w:p w14:paraId="282D7CB6" w14:textId="77777777" w:rsidR="00EB7374" w:rsidRPr="00615E45" w:rsidRDefault="00EB7374" w:rsidP="00C700EB">
            <w:pPr>
              <w:jc w:val="right"/>
              <w:rPr>
                <w:rFonts w:cs="Calibri"/>
                <w:color w:val="000000"/>
                <w:sz w:val="15"/>
                <w:szCs w:val="15"/>
              </w:rPr>
            </w:pPr>
            <w:r w:rsidRPr="00615E45">
              <w:rPr>
                <w:color w:val="000000"/>
                <w:sz w:val="15"/>
              </w:rPr>
              <w:t>11.1</w:t>
            </w:r>
          </w:p>
        </w:tc>
        <w:tc>
          <w:tcPr>
            <w:tcW w:w="400" w:type="pct"/>
            <w:noWrap/>
            <w:hideMark/>
          </w:tcPr>
          <w:p w14:paraId="74160B82" w14:textId="77777777" w:rsidR="00EB7374" w:rsidRPr="00615E45" w:rsidRDefault="00EB7374" w:rsidP="00C700EB">
            <w:pPr>
              <w:jc w:val="right"/>
              <w:rPr>
                <w:rFonts w:cs="Calibri"/>
                <w:color w:val="000000"/>
                <w:sz w:val="15"/>
                <w:szCs w:val="15"/>
              </w:rPr>
            </w:pPr>
            <w:r w:rsidRPr="00615E45">
              <w:rPr>
                <w:color w:val="000000"/>
                <w:sz w:val="15"/>
              </w:rPr>
              <w:t>10.7</w:t>
            </w:r>
          </w:p>
        </w:tc>
        <w:tc>
          <w:tcPr>
            <w:tcW w:w="400" w:type="pct"/>
            <w:noWrap/>
            <w:hideMark/>
          </w:tcPr>
          <w:p w14:paraId="0CC47FAD" w14:textId="77777777" w:rsidR="00EB7374" w:rsidRPr="00615E45" w:rsidRDefault="00EB7374" w:rsidP="00C700EB">
            <w:pPr>
              <w:jc w:val="right"/>
              <w:rPr>
                <w:rFonts w:cs="Calibri"/>
                <w:color w:val="000000"/>
                <w:sz w:val="15"/>
                <w:szCs w:val="15"/>
              </w:rPr>
            </w:pPr>
            <w:r w:rsidRPr="00615E45">
              <w:rPr>
                <w:color w:val="000000"/>
                <w:sz w:val="15"/>
              </w:rPr>
              <w:t>12.0</w:t>
            </w:r>
          </w:p>
        </w:tc>
        <w:tc>
          <w:tcPr>
            <w:tcW w:w="400" w:type="pct"/>
            <w:noWrap/>
            <w:hideMark/>
          </w:tcPr>
          <w:p w14:paraId="6962D6A7" w14:textId="77777777" w:rsidR="00EB7374" w:rsidRPr="00615E45" w:rsidRDefault="00EB7374" w:rsidP="00C700EB">
            <w:pPr>
              <w:jc w:val="right"/>
              <w:rPr>
                <w:rFonts w:cs="Calibri"/>
                <w:color w:val="000000"/>
                <w:sz w:val="15"/>
                <w:szCs w:val="15"/>
              </w:rPr>
            </w:pPr>
            <w:r w:rsidRPr="00615E45">
              <w:rPr>
                <w:color w:val="000000"/>
                <w:sz w:val="15"/>
              </w:rPr>
              <w:t>9.8</w:t>
            </w:r>
          </w:p>
        </w:tc>
        <w:tc>
          <w:tcPr>
            <w:tcW w:w="400" w:type="pct"/>
            <w:noWrap/>
            <w:hideMark/>
          </w:tcPr>
          <w:p w14:paraId="0FD1B776" w14:textId="77777777" w:rsidR="00EB7374" w:rsidRPr="00615E45" w:rsidRDefault="00EB7374" w:rsidP="00C700EB">
            <w:pPr>
              <w:jc w:val="right"/>
              <w:rPr>
                <w:rFonts w:cs="Calibri"/>
                <w:color w:val="000000"/>
                <w:sz w:val="15"/>
                <w:szCs w:val="15"/>
              </w:rPr>
            </w:pPr>
            <w:r w:rsidRPr="00615E45">
              <w:rPr>
                <w:color w:val="000000"/>
                <w:sz w:val="15"/>
              </w:rPr>
              <w:t>9.3</w:t>
            </w:r>
          </w:p>
        </w:tc>
        <w:tc>
          <w:tcPr>
            <w:tcW w:w="400" w:type="pct"/>
            <w:noWrap/>
            <w:hideMark/>
          </w:tcPr>
          <w:p w14:paraId="7B77E7D4" w14:textId="77777777" w:rsidR="00EB7374" w:rsidRPr="00615E45" w:rsidRDefault="00EB7374" w:rsidP="00C700EB">
            <w:pPr>
              <w:jc w:val="right"/>
              <w:rPr>
                <w:rFonts w:cs="Calibri"/>
                <w:color w:val="000000"/>
                <w:sz w:val="15"/>
                <w:szCs w:val="15"/>
              </w:rPr>
            </w:pPr>
            <w:r w:rsidRPr="00615E45">
              <w:rPr>
                <w:color w:val="000000"/>
                <w:sz w:val="15"/>
              </w:rPr>
              <w:t>9.0</w:t>
            </w:r>
          </w:p>
        </w:tc>
        <w:tc>
          <w:tcPr>
            <w:tcW w:w="400" w:type="pct"/>
            <w:noWrap/>
            <w:hideMark/>
          </w:tcPr>
          <w:p w14:paraId="4205B889" w14:textId="77777777" w:rsidR="00EB7374" w:rsidRPr="00615E45" w:rsidRDefault="00EB7374" w:rsidP="00C700EB">
            <w:pPr>
              <w:jc w:val="right"/>
              <w:rPr>
                <w:rFonts w:cs="Calibri"/>
                <w:color w:val="000000"/>
                <w:sz w:val="15"/>
                <w:szCs w:val="15"/>
              </w:rPr>
            </w:pPr>
            <w:r w:rsidRPr="00615E45">
              <w:rPr>
                <w:color w:val="000000"/>
                <w:sz w:val="15"/>
              </w:rPr>
              <w:t>10.7</w:t>
            </w:r>
          </w:p>
        </w:tc>
      </w:tr>
      <w:tr w:rsidR="00EB7374" w:rsidRPr="00615E45" w14:paraId="5D984449" w14:textId="77777777" w:rsidTr="00C700EB">
        <w:trPr>
          <w:cnfStyle w:val="000000010000" w:firstRow="0" w:lastRow="0" w:firstColumn="0" w:lastColumn="0" w:oddVBand="0" w:evenVBand="0" w:oddHBand="0" w:evenHBand="1" w:firstRowFirstColumn="0" w:firstRowLastColumn="0" w:lastRowFirstColumn="0" w:lastRowLastColumn="0"/>
          <w:cantSplit/>
        </w:trPr>
        <w:tc>
          <w:tcPr>
            <w:tcW w:w="2197" w:type="pct"/>
            <w:noWrap/>
            <w:hideMark/>
          </w:tcPr>
          <w:p w14:paraId="41BAEA73" w14:textId="77777777" w:rsidR="00EB7374" w:rsidRPr="00615E45" w:rsidRDefault="00EB7374" w:rsidP="00C700EB">
            <w:pPr>
              <w:ind w:left="113"/>
              <w:jc w:val="left"/>
              <w:rPr>
                <w:rFonts w:cs="Calibri"/>
                <w:color w:val="000000"/>
                <w:sz w:val="15"/>
                <w:szCs w:val="15"/>
              </w:rPr>
            </w:pPr>
            <w:r w:rsidRPr="00615E45">
              <w:rPr>
                <w:color w:val="000000"/>
                <w:sz w:val="15"/>
              </w:rPr>
              <w:t>18. Cocoa and cocoa preparations</w:t>
            </w:r>
          </w:p>
        </w:tc>
        <w:tc>
          <w:tcPr>
            <w:tcW w:w="400" w:type="pct"/>
            <w:noWrap/>
            <w:hideMark/>
          </w:tcPr>
          <w:p w14:paraId="3AC10722" w14:textId="77777777" w:rsidR="00EB7374" w:rsidRPr="00615E45" w:rsidRDefault="00EB7374" w:rsidP="00C700EB">
            <w:pPr>
              <w:jc w:val="right"/>
              <w:rPr>
                <w:rFonts w:cs="Calibri"/>
                <w:color w:val="000000"/>
                <w:sz w:val="15"/>
                <w:szCs w:val="15"/>
              </w:rPr>
            </w:pPr>
            <w:r w:rsidRPr="00615E45">
              <w:rPr>
                <w:color w:val="000000"/>
                <w:sz w:val="15"/>
              </w:rPr>
              <w:t>10.3</w:t>
            </w:r>
          </w:p>
        </w:tc>
        <w:tc>
          <w:tcPr>
            <w:tcW w:w="400" w:type="pct"/>
            <w:noWrap/>
            <w:hideMark/>
          </w:tcPr>
          <w:p w14:paraId="1A3B7686" w14:textId="77777777" w:rsidR="00EB7374" w:rsidRPr="00615E45" w:rsidRDefault="00EB7374" w:rsidP="00C700EB">
            <w:pPr>
              <w:jc w:val="right"/>
              <w:rPr>
                <w:rFonts w:cs="Calibri"/>
                <w:color w:val="000000"/>
                <w:sz w:val="15"/>
                <w:szCs w:val="15"/>
              </w:rPr>
            </w:pPr>
            <w:r w:rsidRPr="00615E45">
              <w:rPr>
                <w:color w:val="000000"/>
                <w:sz w:val="15"/>
              </w:rPr>
              <w:t>9.1</w:t>
            </w:r>
          </w:p>
        </w:tc>
        <w:tc>
          <w:tcPr>
            <w:tcW w:w="400" w:type="pct"/>
            <w:noWrap/>
            <w:hideMark/>
          </w:tcPr>
          <w:p w14:paraId="763EBDFB" w14:textId="77777777" w:rsidR="00EB7374" w:rsidRPr="00615E45" w:rsidRDefault="00EB7374" w:rsidP="00C700EB">
            <w:pPr>
              <w:jc w:val="right"/>
              <w:rPr>
                <w:rFonts w:cs="Calibri"/>
                <w:color w:val="000000"/>
                <w:sz w:val="15"/>
                <w:szCs w:val="15"/>
              </w:rPr>
            </w:pPr>
            <w:r w:rsidRPr="00615E45">
              <w:rPr>
                <w:color w:val="000000"/>
                <w:sz w:val="15"/>
              </w:rPr>
              <w:t>5.9</w:t>
            </w:r>
          </w:p>
        </w:tc>
        <w:tc>
          <w:tcPr>
            <w:tcW w:w="400" w:type="pct"/>
            <w:noWrap/>
            <w:hideMark/>
          </w:tcPr>
          <w:p w14:paraId="600B3513" w14:textId="77777777" w:rsidR="00EB7374" w:rsidRPr="00615E45" w:rsidRDefault="00EB7374" w:rsidP="00C700EB">
            <w:pPr>
              <w:jc w:val="right"/>
              <w:rPr>
                <w:rFonts w:cs="Calibri"/>
                <w:color w:val="000000"/>
                <w:sz w:val="15"/>
                <w:szCs w:val="15"/>
              </w:rPr>
            </w:pPr>
            <w:r w:rsidRPr="00615E45">
              <w:rPr>
                <w:color w:val="000000"/>
                <w:sz w:val="15"/>
              </w:rPr>
              <w:t>8.3</w:t>
            </w:r>
          </w:p>
        </w:tc>
        <w:tc>
          <w:tcPr>
            <w:tcW w:w="400" w:type="pct"/>
            <w:noWrap/>
            <w:hideMark/>
          </w:tcPr>
          <w:p w14:paraId="29001383" w14:textId="77777777" w:rsidR="00EB7374" w:rsidRPr="00615E45" w:rsidRDefault="00EB7374" w:rsidP="00C700EB">
            <w:pPr>
              <w:jc w:val="right"/>
              <w:rPr>
                <w:rFonts w:cs="Calibri"/>
                <w:color w:val="000000"/>
                <w:sz w:val="15"/>
                <w:szCs w:val="15"/>
              </w:rPr>
            </w:pPr>
            <w:r w:rsidRPr="00615E45">
              <w:rPr>
                <w:color w:val="000000"/>
                <w:sz w:val="15"/>
              </w:rPr>
              <w:t>7.4</w:t>
            </w:r>
          </w:p>
        </w:tc>
        <w:tc>
          <w:tcPr>
            <w:tcW w:w="400" w:type="pct"/>
            <w:noWrap/>
            <w:hideMark/>
          </w:tcPr>
          <w:p w14:paraId="02F95ADD" w14:textId="77777777" w:rsidR="00EB7374" w:rsidRPr="00615E45" w:rsidRDefault="00EB7374" w:rsidP="00C700EB">
            <w:pPr>
              <w:jc w:val="right"/>
              <w:rPr>
                <w:rFonts w:cs="Calibri"/>
                <w:color w:val="000000"/>
                <w:sz w:val="15"/>
                <w:szCs w:val="15"/>
              </w:rPr>
            </w:pPr>
            <w:r w:rsidRPr="00615E45">
              <w:rPr>
                <w:color w:val="000000"/>
                <w:sz w:val="15"/>
              </w:rPr>
              <w:t>9.6</w:t>
            </w:r>
          </w:p>
        </w:tc>
        <w:tc>
          <w:tcPr>
            <w:tcW w:w="400" w:type="pct"/>
            <w:noWrap/>
            <w:hideMark/>
          </w:tcPr>
          <w:p w14:paraId="331F94B2" w14:textId="77777777" w:rsidR="00EB7374" w:rsidRPr="00615E45" w:rsidRDefault="00EB7374" w:rsidP="00C700EB">
            <w:pPr>
              <w:jc w:val="right"/>
              <w:rPr>
                <w:rFonts w:cs="Calibri"/>
                <w:color w:val="000000"/>
                <w:sz w:val="15"/>
                <w:szCs w:val="15"/>
              </w:rPr>
            </w:pPr>
            <w:r w:rsidRPr="00615E45">
              <w:rPr>
                <w:color w:val="000000"/>
                <w:sz w:val="15"/>
              </w:rPr>
              <w:t>9.9</w:t>
            </w:r>
          </w:p>
        </w:tc>
      </w:tr>
      <w:tr w:rsidR="00EB7374" w:rsidRPr="00615E45" w14:paraId="32269624" w14:textId="77777777" w:rsidTr="00C700EB">
        <w:trPr>
          <w:cantSplit/>
        </w:trPr>
        <w:tc>
          <w:tcPr>
            <w:tcW w:w="2197" w:type="pct"/>
            <w:noWrap/>
            <w:hideMark/>
          </w:tcPr>
          <w:p w14:paraId="35808A46" w14:textId="77777777" w:rsidR="00EB7374" w:rsidRPr="00615E45" w:rsidRDefault="00EB7374" w:rsidP="00C700EB">
            <w:pPr>
              <w:ind w:left="113"/>
              <w:jc w:val="left"/>
              <w:rPr>
                <w:rFonts w:cs="Calibri"/>
                <w:color w:val="000000"/>
                <w:sz w:val="15"/>
                <w:szCs w:val="15"/>
              </w:rPr>
            </w:pPr>
            <w:r w:rsidRPr="00615E45">
              <w:rPr>
                <w:color w:val="000000"/>
                <w:sz w:val="15"/>
              </w:rPr>
              <w:t>21. Miscellaneous edible preparations</w:t>
            </w:r>
          </w:p>
        </w:tc>
        <w:tc>
          <w:tcPr>
            <w:tcW w:w="400" w:type="pct"/>
            <w:noWrap/>
            <w:hideMark/>
          </w:tcPr>
          <w:p w14:paraId="1F456C89" w14:textId="77777777" w:rsidR="00EB7374" w:rsidRPr="00615E45" w:rsidRDefault="00EB7374" w:rsidP="00C700EB">
            <w:pPr>
              <w:jc w:val="right"/>
              <w:rPr>
                <w:rFonts w:cs="Calibri"/>
                <w:color w:val="000000"/>
                <w:sz w:val="15"/>
                <w:szCs w:val="15"/>
              </w:rPr>
            </w:pPr>
            <w:r w:rsidRPr="00615E45">
              <w:rPr>
                <w:color w:val="000000"/>
                <w:sz w:val="15"/>
              </w:rPr>
              <w:t>10.1</w:t>
            </w:r>
          </w:p>
        </w:tc>
        <w:tc>
          <w:tcPr>
            <w:tcW w:w="400" w:type="pct"/>
            <w:noWrap/>
            <w:hideMark/>
          </w:tcPr>
          <w:p w14:paraId="456173B9" w14:textId="77777777" w:rsidR="00EB7374" w:rsidRPr="00615E45" w:rsidRDefault="00EB7374" w:rsidP="00C700EB">
            <w:pPr>
              <w:jc w:val="right"/>
              <w:rPr>
                <w:rFonts w:cs="Calibri"/>
                <w:color w:val="000000"/>
                <w:sz w:val="15"/>
                <w:szCs w:val="15"/>
              </w:rPr>
            </w:pPr>
            <w:r w:rsidRPr="00615E45">
              <w:rPr>
                <w:color w:val="000000"/>
                <w:sz w:val="15"/>
              </w:rPr>
              <w:t>8.9</w:t>
            </w:r>
          </w:p>
        </w:tc>
        <w:tc>
          <w:tcPr>
            <w:tcW w:w="400" w:type="pct"/>
            <w:noWrap/>
            <w:hideMark/>
          </w:tcPr>
          <w:p w14:paraId="46A163A3" w14:textId="77777777" w:rsidR="00EB7374" w:rsidRPr="00615E45" w:rsidRDefault="00EB7374" w:rsidP="00C700EB">
            <w:pPr>
              <w:jc w:val="right"/>
              <w:rPr>
                <w:rFonts w:cs="Calibri"/>
                <w:color w:val="000000"/>
                <w:sz w:val="15"/>
                <w:szCs w:val="15"/>
              </w:rPr>
            </w:pPr>
            <w:r w:rsidRPr="00615E45">
              <w:rPr>
                <w:color w:val="000000"/>
                <w:sz w:val="15"/>
              </w:rPr>
              <w:t>8.5</w:t>
            </w:r>
          </w:p>
        </w:tc>
        <w:tc>
          <w:tcPr>
            <w:tcW w:w="400" w:type="pct"/>
            <w:noWrap/>
            <w:hideMark/>
          </w:tcPr>
          <w:p w14:paraId="38783F7A" w14:textId="77777777" w:rsidR="00EB7374" w:rsidRPr="00615E45" w:rsidRDefault="00EB7374" w:rsidP="00C700EB">
            <w:pPr>
              <w:jc w:val="right"/>
              <w:rPr>
                <w:rFonts w:cs="Calibri"/>
                <w:color w:val="000000"/>
                <w:sz w:val="15"/>
                <w:szCs w:val="15"/>
              </w:rPr>
            </w:pPr>
            <w:r w:rsidRPr="00615E45">
              <w:rPr>
                <w:color w:val="000000"/>
                <w:sz w:val="15"/>
              </w:rPr>
              <w:t>6.5</w:t>
            </w:r>
          </w:p>
        </w:tc>
        <w:tc>
          <w:tcPr>
            <w:tcW w:w="400" w:type="pct"/>
            <w:noWrap/>
            <w:hideMark/>
          </w:tcPr>
          <w:p w14:paraId="78280E4C" w14:textId="77777777" w:rsidR="00EB7374" w:rsidRPr="00615E45" w:rsidRDefault="00EB7374" w:rsidP="00C700EB">
            <w:pPr>
              <w:jc w:val="right"/>
              <w:rPr>
                <w:rFonts w:cs="Calibri"/>
                <w:color w:val="000000"/>
                <w:sz w:val="15"/>
                <w:szCs w:val="15"/>
              </w:rPr>
            </w:pPr>
            <w:r w:rsidRPr="00615E45">
              <w:rPr>
                <w:color w:val="000000"/>
                <w:sz w:val="15"/>
              </w:rPr>
              <w:t>7.0</w:t>
            </w:r>
          </w:p>
        </w:tc>
        <w:tc>
          <w:tcPr>
            <w:tcW w:w="400" w:type="pct"/>
            <w:noWrap/>
            <w:hideMark/>
          </w:tcPr>
          <w:p w14:paraId="33B977CA" w14:textId="77777777" w:rsidR="00EB7374" w:rsidRPr="00615E45" w:rsidRDefault="00EB7374" w:rsidP="00C700EB">
            <w:pPr>
              <w:jc w:val="right"/>
              <w:rPr>
                <w:rFonts w:cs="Calibri"/>
                <w:color w:val="000000"/>
                <w:sz w:val="15"/>
                <w:szCs w:val="15"/>
              </w:rPr>
            </w:pPr>
            <w:r w:rsidRPr="00615E45">
              <w:rPr>
                <w:color w:val="000000"/>
                <w:sz w:val="15"/>
              </w:rPr>
              <w:t>7.6</w:t>
            </w:r>
          </w:p>
        </w:tc>
        <w:tc>
          <w:tcPr>
            <w:tcW w:w="400" w:type="pct"/>
            <w:noWrap/>
            <w:hideMark/>
          </w:tcPr>
          <w:p w14:paraId="6D3555B9" w14:textId="77777777" w:rsidR="00EB7374" w:rsidRPr="00615E45" w:rsidRDefault="00EB7374" w:rsidP="00C700EB">
            <w:pPr>
              <w:jc w:val="right"/>
              <w:rPr>
                <w:rFonts w:cs="Calibri"/>
                <w:color w:val="000000"/>
                <w:sz w:val="15"/>
                <w:szCs w:val="15"/>
              </w:rPr>
            </w:pPr>
            <w:r w:rsidRPr="00615E45">
              <w:rPr>
                <w:color w:val="000000"/>
                <w:sz w:val="15"/>
              </w:rPr>
              <w:t>6.9</w:t>
            </w:r>
          </w:p>
        </w:tc>
      </w:tr>
      <w:tr w:rsidR="00EB7374" w:rsidRPr="00615E45" w14:paraId="5284A152" w14:textId="77777777" w:rsidTr="00C700EB">
        <w:trPr>
          <w:cnfStyle w:val="000000010000" w:firstRow="0" w:lastRow="0" w:firstColumn="0" w:lastColumn="0" w:oddVBand="0" w:evenVBand="0" w:oddHBand="0" w:evenHBand="1" w:firstRowFirstColumn="0" w:firstRowLastColumn="0" w:lastRowFirstColumn="0" w:lastRowLastColumn="0"/>
          <w:cantSplit/>
        </w:trPr>
        <w:tc>
          <w:tcPr>
            <w:tcW w:w="2197" w:type="pct"/>
            <w:noWrap/>
            <w:hideMark/>
          </w:tcPr>
          <w:p w14:paraId="0D5AA757" w14:textId="77777777" w:rsidR="00EB7374" w:rsidRPr="00615E45" w:rsidRDefault="00EB7374" w:rsidP="00C700EB">
            <w:pPr>
              <w:jc w:val="left"/>
              <w:rPr>
                <w:rFonts w:cs="Calibri"/>
                <w:b/>
                <w:color w:val="000000"/>
                <w:sz w:val="15"/>
                <w:szCs w:val="15"/>
              </w:rPr>
            </w:pPr>
            <w:r w:rsidRPr="00615E45">
              <w:rPr>
                <w:b/>
                <w:color w:val="000000"/>
                <w:sz w:val="15"/>
              </w:rPr>
              <w:t xml:space="preserve">Imports </w:t>
            </w:r>
            <w:r>
              <w:rPr>
                <w:b/>
                <w:color w:val="000000"/>
                <w:sz w:val="15"/>
              </w:rPr>
              <w:t>into</w:t>
            </w:r>
            <w:r w:rsidRPr="00615E45">
              <w:rPr>
                <w:b/>
                <w:color w:val="000000"/>
                <w:sz w:val="15"/>
              </w:rPr>
              <w:t xml:space="preserve"> the national territory and other imports</w:t>
            </w:r>
          </w:p>
        </w:tc>
        <w:tc>
          <w:tcPr>
            <w:tcW w:w="400" w:type="pct"/>
            <w:noWrap/>
            <w:hideMark/>
          </w:tcPr>
          <w:p w14:paraId="69D27A49" w14:textId="77777777" w:rsidR="00EB7374" w:rsidRPr="00615E45" w:rsidRDefault="00EB7374" w:rsidP="00C700EB">
            <w:pPr>
              <w:jc w:val="right"/>
              <w:rPr>
                <w:rFonts w:cs="Calibri"/>
                <w:bCs/>
                <w:color w:val="000000"/>
                <w:sz w:val="15"/>
                <w:szCs w:val="15"/>
              </w:rPr>
            </w:pPr>
          </w:p>
        </w:tc>
        <w:tc>
          <w:tcPr>
            <w:tcW w:w="400" w:type="pct"/>
            <w:noWrap/>
            <w:hideMark/>
          </w:tcPr>
          <w:p w14:paraId="4AAA3FE0" w14:textId="77777777" w:rsidR="00EB7374" w:rsidRPr="00615E45" w:rsidRDefault="00EB7374" w:rsidP="00C700EB">
            <w:pPr>
              <w:jc w:val="right"/>
              <w:rPr>
                <w:sz w:val="15"/>
                <w:szCs w:val="15"/>
              </w:rPr>
            </w:pPr>
          </w:p>
        </w:tc>
        <w:tc>
          <w:tcPr>
            <w:tcW w:w="400" w:type="pct"/>
            <w:noWrap/>
            <w:hideMark/>
          </w:tcPr>
          <w:p w14:paraId="006149CC" w14:textId="77777777" w:rsidR="00EB7374" w:rsidRPr="00615E45" w:rsidRDefault="00EB7374" w:rsidP="00C700EB">
            <w:pPr>
              <w:jc w:val="right"/>
              <w:rPr>
                <w:sz w:val="15"/>
                <w:szCs w:val="15"/>
              </w:rPr>
            </w:pPr>
          </w:p>
        </w:tc>
        <w:tc>
          <w:tcPr>
            <w:tcW w:w="400" w:type="pct"/>
            <w:noWrap/>
            <w:hideMark/>
          </w:tcPr>
          <w:p w14:paraId="2F58CD49" w14:textId="77777777" w:rsidR="00EB7374" w:rsidRPr="00615E45" w:rsidRDefault="00EB7374" w:rsidP="00C700EB">
            <w:pPr>
              <w:jc w:val="right"/>
              <w:rPr>
                <w:sz w:val="15"/>
                <w:szCs w:val="15"/>
              </w:rPr>
            </w:pPr>
          </w:p>
        </w:tc>
        <w:tc>
          <w:tcPr>
            <w:tcW w:w="400" w:type="pct"/>
            <w:noWrap/>
            <w:hideMark/>
          </w:tcPr>
          <w:p w14:paraId="7CC82982" w14:textId="77777777" w:rsidR="00EB7374" w:rsidRPr="00615E45" w:rsidRDefault="00EB7374" w:rsidP="00C700EB">
            <w:pPr>
              <w:jc w:val="right"/>
              <w:rPr>
                <w:sz w:val="15"/>
                <w:szCs w:val="15"/>
              </w:rPr>
            </w:pPr>
          </w:p>
        </w:tc>
        <w:tc>
          <w:tcPr>
            <w:tcW w:w="400" w:type="pct"/>
            <w:noWrap/>
            <w:hideMark/>
          </w:tcPr>
          <w:p w14:paraId="25ED4D19" w14:textId="77777777" w:rsidR="00EB7374" w:rsidRPr="00615E45" w:rsidRDefault="00EB7374" w:rsidP="00C700EB">
            <w:pPr>
              <w:jc w:val="right"/>
              <w:rPr>
                <w:sz w:val="15"/>
                <w:szCs w:val="15"/>
              </w:rPr>
            </w:pPr>
          </w:p>
        </w:tc>
        <w:tc>
          <w:tcPr>
            <w:tcW w:w="400" w:type="pct"/>
            <w:noWrap/>
            <w:hideMark/>
          </w:tcPr>
          <w:p w14:paraId="1BB38F14" w14:textId="77777777" w:rsidR="00EB7374" w:rsidRPr="00615E45" w:rsidRDefault="00EB7374" w:rsidP="00C700EB">
            <w:pPr>
              <w:jc w:val="right"/>
              <w:rPr>
                <w:sz w:val="15"/>
                <w:szCs w:val="15"/>
              </w:rPr>
            </w:pPr>
          </w:p>
        </w:tc>
      </w:tr>
      <w:tr w:rsidR="00EB7374" w:rsidRPr="00615E45" w14:paraId="263038AF" w14:textId="77777777" w:rsidTr="00C700EB">
        <w:trPr>
          <w:cantSplit/>
        </w:trPr>
        <w:tc>
          <w:tcPr>
            <w:tcW w:w="2197" w:type="pct"/>
            <w:noWrap/>
            <w:hideMark/>
          </w:tcPr>
          <w:p w14:paraId="452DA353" w14:textId="77777777" w:rsidR="00EB7374" w:rsidRPr="00615E45" w:rsidRDefault="00EB7374" w:rsidP="00C700EB">
            <w:pPr>
              <w:jc w:val="left"/>
              <w:rPr>
                <w:rFonts w:cs="Calibri"/>
                <w:color w:val="000000"/>
                <w:sz w:val="15"/>
                <w:szCs w:val="15"/>
              </w:rPr>
            </w:pPr>
            <w:r w:rsidRPr="00615E45">
              <w:rPr>
                <w:color w:val="000000"/>
                <w:sz w:val="15"/>
              </w:rPr>
              <w:t>Value (USD million)</w:t>
            </w:r>
          </w:p>
        </w:tc>
        <w:tc>
          <w:tcPr>
            <w:tcW w:w="400" w:type="pct"/>
            <w:noWrap/>
            <w:hideMark/>
          </w:tcPr>
          <w:p w14:paraId="02DF8D82" w14:textId="77777777" w:rsidR="00EB7374" w:rsidRPr="00615E45" w:rsidRDefault="00EB7374" w:rsidP="00C700EB">
            <w:pPr>
              <w:jc w:val="right"/>
              <w:rPr>
                <w:rFonts w:cs="Calibri"/>
                <w:color w:val="000000"/>
                <w:sz w:val="15"/>
                <w:szCs w:val="15"/>
              </w:rPr>
            </w:pPr>
            <w:r w:rsidRPr="00615E45">
              <w:rPr>
                <w:color w:val="000000"/>
                <w:sz w:val="15"/>
              </w:rPr>
              <w:t>2,170</w:t>
            </w:r>
          </w:p>
        </w:tc>
        <w:tc>
          <w:tcPr>
            <w:tcW w:w="400" w:type="pct"/>
            <w:noWrap/>
            <w:hideMark/>
          </w:tcPr>
          <w:p w14:paraId="55446C59" w14:textId="77777777" w:rsidR="00EB7374" w:rsidRPr="00615E45" w:rsidRDefault="00EB7374" w:rsidP="00C700EB">
            <w:pPr>
              <w:jc w:val="right"/>
              <w:rPr>
                <w:rFonts w:cs="Calibri"/>
                <w:color w:val="000000"/>
                <w:sz w:val="15"/>
                <w:szCs w:val="15"/>
              </w:rPr>
            </w:pPr>
            <w:r w:rsidRPr="00615E45">
              <w:rPr>
                <w:color w:val="000000"/>
                <w:sz w:val="15"/>
              </w:rPr>
              <w:t>2,223</w:t>
            </w:r>
          </w:p>
        </w:tc>
        <w:tc>
          <w:tcPr>
            <w:tcW w:w="400" w:type="pct"/>
            <w:noWrap/>
            <w:hideMark/>
          </w:tcPr>
          <w:p w14:paraId="3CFD6E0C" w14:textId="77777777" w:rsidR="00EB7374" w:rsidRPr="00615E45" w:rsidRDefault="00EB7374" w:rsidP="00C700EB">
            <w:pPr>
              <w:jc w:val="right"/>
              <w:rPr>
                <w:rFonts w:cs="Calibri"/>
                <w:color w:val="000000"/>
                <w:sz w:val="15"/>
                <w:szCs w:val="15"/>
              </w:rPr>
            </w:pPr>
            <w:r w:rsidRPr="00615E45">
              <w:rPr>
                <w:color w:val="000000"/>
                <w:sz w:val="15"/>
              </w:rPr>
              <w:t>2,280</w:t>
            </w:r>
          </w:p>
        </w:tc>
        <w:tc>
          <w:tcPr>
            <w:tcW w:w="400" w:type="pct"/>
            <w:noWrap/>
            <w:hideMark/>
          </w:tcPr>
          <w:p w14:paraId="6173996D" w14:textId="77777777" w:rsidR="00EB7374" w:rsidRPr="00615E45" w:rsidRDefault="00EB7374" w:rsidP="00C700EB">
            <w:pPr>
              <w:jc w:val="right"/>
              <w:rPr>
                <w:rFonts w:cs="Calibri"/>
                <w:color w:val="000000"/>
                <w:sz w:val="15"/>
                <w:szCs w:val="15"/>
              </w:rPr>
            </w:pPr>
            <w:r w:rsidRPr="00615E45">
              <w:rPr>
                <w:color w:val="000000"/>
                <w:sz w:val="15"/>
              </w:rPr>
              <w:t>2,433</w:t>
            </w:r>
          </w:p>
        </w:tc>
        <w:tc>
          <w:tcPr>
            <w:tcW w:w="400" w:type="pct"/>
            <w:noWrap/>
            <w:hideMark/>
          </w:tcPr>
          <w:p w14:paraId="2AD1C6FC" w14:textId="77777777" w:rsidR="00EB7374" w:rsidRPr="00615E45" w:rsidRDefault="00EB7374" w:rsidP="00C700EB">
            <w:pPr>
              <w:jc w:val="right"/>
              <w:rPr>
                <w:rFonts w:cs="Calibri"/>
                <w:color w:val="000000"/>
                <w:sz w:val="15"/>
                <w:szCs w:val="15"/>
              </w:rPr>
            </w:pPr>
            <w:r w:rsidRPr="00615E45">
              <w:rPr>
                <w:color w:val="000000"/>
                <w:sz w:val="15"/>
              </w:rPr>
              <w:t>2,440</w:t>
            </w:r>
          </w:p>
        </w:tc>
        <w:tc>
          <w:tcPr>
            <w:tcW w:w="400" w:type="pct"/>
            <w:noWrap/>
            <w:hideMark/>
          </w:tcPr>
          <w:p w14:paraId="4CCB89F6" w14:textId="77777777" w:rsidR="00EB7374" w:rsidRPr="00615E45" w:rsidRDefault="00EB7374" w:rsidP="00C700EB">
            <w:pPr>
              <w:jc w:val="right"/>
              <w:rPr>
                <w:rFonts w:cs="Calibri"/>
                <w:color w:val="000000"/>
                <w:sz w:val="15"/>
                <w:szCs w:val="15"/>
              </w:rPr>
            </w:pPr>
            <w:r w:rsidRPr="00615E45">
              <w:rPr>
                <w:color w:val="000000"/>
                <w:sz w:val="15"/>
              </w:rPr>
              <w:t>2,480</w:t>
            </w:r>
          </w:p>
        </w:tc>
        <w:tc>
          <w:tcPr>
            <w:tcW w:w="400" w:type="pct"/>
            <w:noWrap/>
            <w:hideMark/>
          </w:tcPr>
          <w:p w14:paraId="37788918" w14:textId="77777777" w:rsidR="00EB7374" w:rsidRPr="00615E45" w:rsidRDefault="00EB7374" w:rsidP="00C700EB">
            <w:pPr>
              <w:jc w:val="right"/>
              <w:rPr>
                <w:rFonts w:cs="Calibri"/>
                <w:color w:val="000000"/>
                <w:sz w:val="15"/>
                <w:szCs w:val="15"/>
              </w:rPr>
            </w:pPr>
            <w:r w:rsidRPr="00615E45">
              <w:rPr>
                <w:color w:val="000000"/>
                <w:sz w:val="15"/>
              </w:rPr>
              <w:t>3,323</w:t>
            </w:r>
          </w:p>
        </w:tc>
      </w:tr>
      <w:tr w:rsidR="00EB7374" w:rsidRPr="00615E45" w14:paraId="5DBADB26" w14:textId="77777777" w:rsidTr="00C700EB">
        <w:trPr>
          <w:cnfStyle w:val="000000010000" w:firstRow="0" w:lastRow="0" w:firstColumn="0" w:lastColumn="0" w:oddVBand="0" w:evenVBand="0" w:oddHBand="0" w:evenHBand="1" w:firstRowFirstColumn="0" w:firstRowLastColumn="0" w:lastRowFirstColumn="0" w:lastRowLastColumn="0"/>
          <w:cantSplit/>
        </w:trPr>
        <w:tc>
          <w:tcPr>
            <w:tcW w:w="2197" w:type="pct"/>
            <w:noWrap/>
            <w:hideMark/>
          </w:tcPr>
          <w:p w14:paraId="22FB58AF" w14:textId="77777777" w:rsidR="00EB7374" w:rsidRPr="00615E45" w:rsidRDefault="00EB7374" w:rsidP="00C700EB">
            <w:pPr>
              <w:jc w:val="left"/>
              <w:rPr>
                <w:rFonts w:cs="Calibri"/>
                <w:color w:val="000000"/>
                <w:sz w:val="15"/>
                <w:szCs w:val="15"/>
              </w:rPr>
            </w:pPr>
            <w:r w:rsidRPr="00615E45">
              <w:rPr>
                <w:color w:val="000000"/>
                <w:sz w:val="15"/>
              </w:rPr>
              <w:t xml:space="preserve">Top </w:t>
            </w:r>
            <w:r>
              <w:rPr>
                <w:color w:val="000000"/>
                <w:sz w:val="15"/>
              </w:rPr>
              <w:t>five</w:t>
            </w:r>
            <w:r w:rsidRPr="00615E45">
              <w:rPr>
                <w:color w:val="000000"/>
                <w:sz w:val="15"/>
              </w:rPr>
              <w:t xml:space="preserve"> products, </w:t>
            </w:r>
            <w:r>
              <w:rPr>
                <w:color w:val="000000"/>
                <w:sz w:val="15"/>
              </w:rPr>
              <w:t>by</w:t>
            </w:r>
            <w:r w:rsidRPr="00615E45">
              <w:rPr>
                <w:color w:val="000000"/>
                <w:sz w:val="15"/>
              </w:rPr>
              <w:t xml:space="preserve"> HS chapter (% of agricultural total)</w:t>
            </w:r>
          </w:p>
        </w:tc>
        <w:tc>
          <w:tcPr>
            <w:tcW w:w="400" w:type="pct"/>
          </w:tcPr>
          <w:p w14:paraId="1F85F383" w14:textId="77777777" w:rsidR="00EB7374" w:rsidRPr="00615E45" w:rsidRDefault="00EB7374" w:rsidP="00C700EB">
            <w:pPr>
              <w:jc w:val="right"/>
              <w:rPr>
                <w:rFonts w:cs="Calibri"/>
                <w:color w:val="000000"/>
                <w:sz w:val="15"/>
                <w:szCs w:val="15"/>
              </w:rPr>
            </w:pPr>
          </w:p>
        </w:tc>
        <w:tc>
          <w:tcPr>
            <w:tcW w:w="400" w:type="pct"/>
          </w:tcPr>
          <w:p w14:paraId="70DBBC6F" w14:textId="77777777" w:rsidR="00EB7374" w:rsidRPr="00615E45" w:rsidRDefault="00EB7374" w:rsidP="00C700EB">
            <w:pPr>
              <w:jc w:val="right"/>
              <w:rPr>
                <w:rFonts w:cs="Calibri"/>
                <w:color w:val="000000"/>
                <w:sz w:val="15"/>
                <w:szCs w:val="15"/>
              </w:rPr>
            </w:pPr>
          </w:p>
        </w:tc>
        <w:tc>
          <w:tcPr>
            <w:tcW w:w="400" w:type="pct"/>
          </w:tcPr>
          <w:p w14:paraId="38D8D1FB" w14:textId="77777777" w:rsidR="00EB7374" w:rsidRPr="00615E45" w:rsidRDefault="00EB7374" w:rsidP="00C700EB">
            <w:pPr>
              <w:jc w:val="right"/>
              <w:rPr>
                <w:rFonts w:cs="Calibri"/>
                <w:color w:val="000000"/>
                <w:sz w:val="15"/>
                <w:szCs w:val="15"/>
              </w:rPr>
            </w:pPr>
          </w:p>
        </w:tc>
        <w:tc>
          <w:tcPr>
            <w:tcW w:w="400" w:type="pct"/>
            <w:noWrap/>
            <w:hideMark/>
          </w:tcPr>
          <w:p w14:paraId="70FC5423" w14:textId="77777777" w:rsidR="00EB7374" w:rsidRPr="00615E45" w:rsidRDefault="00EB7374" w:rsidP="00C700EB">
            <w:pPr>
              <w:jc w:val="right"/>
              <w:rPr>
                <w:rFonts w:cs="Calibri"/>
                <w:color w:val="000000"/>
                <w:sz w:val="15"/>
                <w:szCs w:val="15"/>
              </w:rPr>
            </w:pPr>
          </w:p>
        </w:tc>
        <w:tc>
          <w:tcPr>
            <w:tcW w:w="400" w:type="pct"/>
            <w:noWrap/>
            <w:hideMark/>
          </w:tcPr>
          <w:p w14:paraId="1B34A745" w14:textId="77777777" w:rsidR="00EB7374" w:rsidRPr="00615E45" w:rsidRDefault="00EB7374" w:rsidP="00C700EB">
            <w:pPr>
              <w:jc w:val="right"/>
              <w:rPr>
                <w:sz w:val="15"/>
                <w:szCs w:val="15"/>
              </w:rPr>
            </w:pPr>
          </w:p>
        </w:tc>
        <w:tc>
          <w:tcPr>
            <w:tcW w:w="400" w:type="pct"/>
            <w:noWrap/>
            <w:hideMark/>
          </w:tcPr>
          <w:p w14:paraId="4E01D2EA" w14:textId="77777777" w:rsidR="00EB7374" w:rsidRPr="00615E45" w:rsidRDefault="00EB7374" w:rsidP="00C700EB">
            <w:pPr>
              <w:jc w:val="right"/>
              <w:rPr>
                <w:sz w:val="15"/>
                <w:szCs w:val="15"/>
              </w:rPr>
            </w:pPr>
          </w:p>
        </w:tc>
        <w:tc>
          <w:tcPr>
            <w:tcW w:w="400" w:type="pct"/>
            <w:noWrap/>
            <w:hideMark/>
          </w:tcPr>
          <w:p w14:paraId="37053479" w14:textId="77777777" w:rsidR="00EB7374" w:rsidRPr="00615E45" w:rsidRDefault="00EB7374" w:rsidP="00C700EB">
            <w:pPr>
              <w:jc w:val="right"/>
              <w:rPr>
                <w:sz w:val="15"/>
                <w:szCs w:val="15"/>
              </w:rPr>
            </w:pPr>
          </w:p>
        </w:tc>
      </w:tr>
      <w:tr w:rsidR="00EB7374" w:rsidRPr="00615E45" w14:paraId="1AC735D0" w14:textId="77777777" w:rsidTr="00C700EB">
        <w:trPr>
          <w:cantSplit/>
        </w:trPr>
        <w:tc>
          <w:tcPr>
            <w:tcW w:w="2197" w:type="pct"/>
            <w:noWrap/>
            <w:hideMark/>
          </w:tcPr>
          <w:p w14:paraId="64762ECC" w14:textId="77777777" w:rsidR="00EB7374" w:rsidRPr="00615E45" w:rsidRDefault="00EB7374" w:rsidP="00C700EB">
            <w:pPr>
              <w:ind w:left="113"/>
              <w:jc w:val="left"/>
              <w:rPr>
                <w:rFonts w:cs="Calibri"/>
                <w:color w:val="000000"/>
                <w:sz w:val="15"/>
                <w:szCs w:val="15"/>
              </w:rPr>
            </w:pPr>
            <w:r w:rsidRPr="00615E45">
              <w:rPr>
                <w:color w:val="000000"/>
                <w:sz w:val="15"/>
              </w:rPr>
              <w:t>10. Cereals</w:t>
            </w:r>
          </w:p>
        </w:tc>
        <w:tc>
          <w:tcPr>
            <w:tcW w:w="400" w:type="pct"/>
            <w:noWrap/>
            <w:hideMark/>
          </w:tcPr>
          <w:p w14:paraId="24EE3AD4" w14:textId="77777777" w:rsidR="00EB7374" w:rsidRPr="00615E45" w:rsidRDefault="00EB7374" w:rsidP="00C700EB">
            <w:pPr>
              <w:jc w:val="right"/>
              <w:rPr>
                <w:rFonts w:cs="Calibri"/>
                <w:color w:val="000000"/>
                <w:sz w:val="15"/>
                <w:szCs w:val="15"/>
              </w:rPr>
            </w:pPr>
            <w:r w:rsidRPr="00615E45">
              <w:rPr>
                <w:color w:val="000000"/>
                <w:sz w:val="15"/>
              </w:rPr>
              <w:t>16.4</w:t>
            </w:r>
          </w:p>
        </w:tc>
        <w:tc>
          <w:tcPr>
            <w:tcW w:w="400" w:type="pct"/>
            <w:noWrap/>
            <w:hideMark/>
          </w:tcPr>
          <w:p w14:paraId="62538E03" w14:textId="77777777" w:rsidR="00EB7374" w:rsidRPr="00615E45" w:rsidRDefault="00EB7374" w:rsidP="00C700EB">
            <w:pPr>
              <w:jc w:val="right"/>
              <w:rPr>
                <w:rFonts w:cs="Calibri"/>
                <w:color w:val="000000"/>
                <w:sz w:val="15"/>
                <w:szCs w:val="15"/>
              </w:rPr>
            </w:pPr>
            <w:r w:rsidRPr="00615E45">
              <w:rPr>
                <w:color w:val="000000"/>
                <w:sz w:val="15"/>
              </w:rPr>
              <w:t>15.4</w:t>
            </w:r>
          </w:p>
        </w:tc>
        <w:tc>
          <w:tcPr>
            <w:tcW w:w="400" w:type="pct"/>
            <w:noWrap/>
            <w:hideMark/>
          </w:tcPr>
          <w:p w14:paraId="3A7BEF5E" w14:textId="77777777" w:rsidR="00EB7374" w:rsidRPr="00615E45" w:rsidRDefault="00EB7374" w:rsidP="00C700EB">
            <w:pPr>
              <w:jc w:val="right"/>
              <w:rPr>
                <w:rFonts w:cs="Calibri"/>
                <w:color w:val="000000"/>
                <w:sz w:val="15"/>
                <w:szCs w:val="15"/>
              </w:rPr>
            </w:pPr>
            <w:r w:rsidRPr="00615E45">
              <w:rPr>
                <w:color w:val="000000"/>
                <w:sz w:val="15"/>
              </w:rPr>
              <w:t>16.2</w:t>
            </w:r>
          </w:p>
        </w:tc>
        <w:tc>
          <w:tcPr>
            <w:tcW w:w="400" w:type="pct"/>
            <w:noWrap/>
            <w:hideMark/>
          </w:tcPr>
          <w:p w14:paraId="3F9AC0AA" w14:textId="77777777" w:rsidR="00EB7374" w:rsidRPr="00615E45" w:rsidRDefault="00EB7374" w:rsidP="00C700EB">
            <w:pPr>
              <w:jc w:val="right"/>
              <w:rPr>
                <w:rFonts w:cs="Calibri"/>
                <w:color w:val="000000"/>
                <w:sz w:val="15"/>
                <w:szCs w:val="15"/>
              </w:rPr>
            </w:pPr>
            <w:r w:rsidRPr="00615E45">
              <w:rPr>
                <w:color w:val="000000"/>
                <w:sz w:val="15"/>
              </w:rPr>
              <w:t>15.8</w:t>
            </w:r>
          </w:p>
        </w:tc>
        <w:tc>
          <w:tcPr>
            <w:tcW w:w="400" w:type="pct"/>
            <w:noWrap/>
            <w:hideMark/>
          </w:tcPr>
          <w:p w14:paraId="2EDE1998" w14:textId="77777777" w:rsidR="00EB7374" w:rsidRPr="00615E45" w:rsidRDefault="00EB7374" w:rsidP="00C700EB">
            <w:pPr>
              <w:jc w:val="right"/>
              <w:rPr>
                <w:rFonts w:cs="Calibri"/>
                <w:color w:val="000000"/>
                <w:sz w:val="15"/>
                <w:szCs w:val="15"/>
              </w:rPr>
            </w:pPr>
            <w:r w:rsidRPr="00615E45">
              <w:rPr>
                <w:color w:val="000000"/>
                <w:sz w:val="15"/>
              </w:rPr>
              <w:t>16.4</w:t>
            </w:r>
          </w:p>
        </w:tc>
        <w:tc>
          <w:tcPr>
            <w:tcW w:w="400" w:type="pct"/>
            <w:noWrap/>
            <w:hideMark/>
          </w:tcPr>
          <w:p w14:paraId="19889BE9" w14:textId="77777777" w:rsidR="00EB7374" w:rsidRPr="00615E45" w:rsidRDefault="00EB7374" w:rsidP="00C700EB">
            <w:pPr>
              <w:jc w:val="right"/>
              <w:rPr>
                <w:rFonts w:cs="Calibri"/>
                <w:color w:val="000000"/>
                <w:sz w:val="15"/>
                <w:szCs w:val="15"/>
              </w:rPr>
            </w:pPr>
            <w:r w:rsidRPr="00615E45">
              <w:rPr>
                <w:color w:val="000000"/>
                <w:sz w:val="15"/>
              </w:rPr>
              <w:t>15.2</w:t>
            </w:r>
          </w:p>
        </w:tc>
        <w:tc>
          <w:tcPr>
            <w:tcW w:w="400" w:type="pct"/>
            <w:noWrap/>
            <w:hideMark/>
          </w:tcPr>
          <w:p w14:paraId="28D1FC42" w14:textId="77777777" w:rsidR="00EB7374" w:rsidRPr="00615E45" w:rsidRDefault="00EB7374" w:rsidP="00C700EB">
            <w:pPr>
              <w:jc w:val="right"/>
              <w:rPr>
                <w:rFonts w:cs="Calibri"/>
                <w:color w:val="000000"/>
                <w:sz w:val="15"/>
                <w:szCs w:val="15"/>
              </w:rPr>
            </w:pPr>
            <w:r w:rsidRPr="00615E45">
              <w:rPr>
                <w:color w:val="000000"/>
                <w:sz w:val="15"/>
              </w:rPr>
              <w:t>17.8</w:t>
            </w:r>
          </w:p>
        </w:tc>
      </w:tr>
      <w:tr w:rsidR="00EB7374" w:rsidRPr="00615E45" w14:paraId="440A84FF" w14:textId="77777777" w:rsidTr="00C700EB">
        <w:trPr>
          <w:cnfStyle w:val="000000010000" w:firstRow="0" w:lastRow="0" w:firstColumn="0" w:lastColumn="0" w:oddVBand="0" w:evenVBand="0" w:oddHBand="0" w:evenHBand="1" w:firstRowFirstColumn="0" w:firstRowLastColumn="0" w:lastRowFirstColumn="0" w:lastRowLastColumn="0"/>
          <w:cantSplit/>
        </w:trPr>
        <w:tc>
          <w:tcPr>
            <w:tcW w:w="2197" w:type="pct"/>
            <w:noWrap/>
            <w:hideMark/>
          </w:tcPr>
          <w:p w14:paraId="67682B20" w14:textId="77777777" w:rsidR="00EB7374" w:rsidRPr="00615E45" w:rsidRDefault="00EB7374" w:rsidP="00C700EB">
            <w:pPr>
              <w:ind w:left="113"/>
              <w:jc w:val="left"/>
              <w:rPr>
                <w:rFonts w:cs="Calibri"/>
                <w:color w:val="000000"/>
                <w:sz w:val="15"/>
                <w:szCs w:val="15"/>
              </w:rPr>
            </w:pPr>
            <w:r w:rsidRPr="00615E45">
              <w:rPr>
                <w:color w:val="000000"/>
                <w:sz w:val="15"/>
              </w:rPr>
              <w:lastRenderedPageBreak/>
              <w:t>15. Animal or vegetable fats and oils; prepared edible fats</w:t>
            </w:r>
          </w:p>
        </w:tc>
        <w:tc>
          <w:tcPr>
            <w:tcW w:w="400" w:type="pct"/>
            <w:noWrap/>
            <w:hideMark/>
          </w:tcPr>
          <w:p w14:paraId="224B5E2B" w14:textId="77777777" w:rsidR="00EB7374" w:rsidRPr="00615E45" w:rsidRDefault="00EB7374" w:rsidP="00C700EB">
            <w:pPr>
              <w:jc w:val="right"/>
              <w:rPr>
                <w:rFonts w:cs="Calibri"/>
                <w:color w:val="000000"/>
                <w:sz w:val="15"/>
                <w:szCs w:val="15"/>
              </w:rPr>
            </w:pPr>
            <w:r w:rsidRPr="00615E45">
              <w:rPr>
                <w:color w:val="000000"/>
                <w:sz w:val="15"/>
              </w:rPr>
              <w:t>8.7</w:t>
            </w:r>
          </w:p>
        </w:tc>
        <w:tc>
          <w:tcPr>
            <w:tcW w:w="400" w:type="pct"/>
            <w:noWrap/>
            <w:hideMark/>
          </w:tcPr>
          <w:p w14:paraId="40684E8B" w14:textId="77777777" w:rsidR="00EB7374" w:rsidRPr="00615E45" w:rsidRDefault="00EB7374" w:rsidP="00C700EB">
            <w:pPr>
              <w:jc w:val="right"/>
              <w:rPr>
                <w:rFonts w:cs="Calibri"/>
                <w:color w:val="000000"/>
                <w:sz w:val="15"/>
                <w:szCs w:val="15"/>
              </w:rPr>
            </w:pPr>
            <w:r w:rsidRPr="00615E45">
              <w:rPr>
                <w:color w:val="000000"/>
                <w:sz w:val="15"/>
              </w:rPr>
              <w:t>8.7</w:t>
            </w:r>
          </w:p>
        </w:tc>
        <w:tc>
          <w:tcPr>
            <w:tcW w:w="400" w:type="pct"/>
            <w:noWrap/>
            <w:hideMark/>
          </w:tcPr>
          <w:p w14:paraId="7C9A09CD" w14:textId="77777777" w:rsidR="00EB7374" w:rsidRPr="00615E45" w:rsidRDefault="00EB7374" w:rsidP="00C700EB">
            <w:pPr>
              <w:jc w:val="right"/>
              <w:rPr>
                <w:rFonts w:cs="Calibri"/>
                <w:color w:val="000000"/>
                <w:sz w:val="15"/>
                <w:szCs w:val="15"/>
              </w:rPr>
            </w:pPr>
            <w:r w:rsidRPr="00615E45">
              <w:rPr>
                <w:color w:val="000000"/>
                <w:sz w:val="15"/>
              </w:rPr>
              <w:t>9.9</w:t>
            </w:r>
          </w:p>
        </w:tc>
        <w:tc>
          <w:tcPr>
            <w:tcW w:w="400" w:type="pct"/>
            <w:noWrap/>
            <w:hideMark/>
          </w:tcPr>
          <w:p w14:paraId="3C76FF79" w14:textId="77777777" w:rsidR="00EB7374" w:rsidRPr="00615E45" w:rsidRDefault="00EB7374" w:rsidP="00C700EB">
            <w:pPr>
              <w:jc w:val="right"/>
              <w:rPr>
                <w:rFonts w:cs="Calibri"/>
                <w:color w:val="000000"/>
                <w:sz w:val="15"/>
                <w:szCs w:val="15"/>
              </w:rPr>
            </w:pPr>
            <w:r w:rsidRPr="00615E45">
              <w:rPr>
                <w:color w:val="000000"/>
                <w:sz w:val="15"/>
              </w:rPr>
              <w:t>8.8</w:t>
            </w:r>
          </w:p>
        </w:tc>
        <w:tc>
          <w:tcPr>
            <w:tcW w:w="400" w:type="pct"/>
            <w:noWrap/>
            <w:hideMark/>
          </w:tcPr>
          <w:p w14:paraId="3C33A47E" w14:textId="77777777" w:rsidR="00EB7374" w:rsidRPr="00615E45" w:rsidRDefault="00EB7374" w:rsidP="00C700EB">
            <w:pPr>
              <w:jc w:val="right"/>
              <w:rPr>
                <w:rFonts w:cs="Calibri"/>
                <w:color w:val="000000"/>
                <w:sz w:val="15"/>
                <w:szCs w:val="15"/>
              </w:rPr>
            </w:pPr>
            <w:r w:rsidRPr="00615E45">
              <w:rPr>
                <w:color w:val="000000"/>
                <w:sz w:val="15"/>
              </w:rPr>
              <w:t>7.9</w:t>
            </w:r>
          </w:p>
        </w:tc>
        <w:tc>
          <w:tcPr>
            <w:tcW w:w="400" w:type="pct"/>
            <w:noWrap/>
            <w:hideMark/>
          </w:tcPr>
          <w:p w14:paraId="243A3FF4" w14:textId="77777777" w:rsidR="00EB7374" w:rsidRPr="00615E45" w:rsidRDefault="00EB7374" w:rsidP="00C700EB">
            <w:pPr>
              <w:jc w:val="right"/>
              <w:rPr>
                <w:rFonts w:cs="Calibri"/>
                <w:color w:val="000000"/>
                <w:sz w:val="15"/>
                <w:szCs w:val="15"/>
              </w:rPr>
            </w:pPr>
            <w:r w:rsidRPr="00615E45">
              <w:rPr>
                <w:color w:val="000000"/>
                <w:sz w:val="15"/>
              </w:rPr>
              <w:t>9.0</w:t>
            </w:r>
          </w:p>
        </w:tc>
        <w:tc>
          <w:tcPr>
            <w:tcW w:w="400" w:type="pct"/>
            <w:noWrap/>
            <w:hideMark/>
          </w:tcPr>
          <w:p w14:paraId="69B446BC" w14:textId="77777777" w:rsidR="00EB7374" w:rsidRPr="00615E45" w:rsidRDefault="00EB7374" w:rsidP="00C700EB">
            <w:pPr>
              <w:jc w:val="right"/>
              <w:rPr>
                <w:rFonts w:cs="Calibri"/>
                <w:color w:val="000000"/>
                <w:sz w:val="15"/>
                <w:szCs w:val="15"/>
              </w:rPr>
            </w:pPr>
            <w:r w:rsidRPr="00615E45">
              <w:rPr>
                <w:color w:val="000000"/>
                <w:sz w:val="15"/>
              </w:rPr>
              <w:t>10.7</w:t>
            </w:r>
          </w:p>
        </w:tc>
      </w:tr>
      <w:tr w:rsidR="00EB7374" w:rsidRPr="00615E45" w14:paraId="5FAA5C83" w14:textId="77777777" w:rsidTr="00C700EB">
        <w:trPr>
          <w:cantSplit/>
        </w:trPr>
        <w:tc>
          <w:tcPr>
            <w:tcW w:w="2197" w:type="pct"/>
            <w:noWrap/>
            <w:hideMark/>
          </w:tcPr>
          <w:p w14:paraId="629CF749" w14:textId="77777777" w:rsidR="00EB7374" w:rsidRPr="00615E45" w:rsidRDefault="00EB7374" w:rsidP="00C700EB">
            <w:pPr>
              <w:ind w:left="113"/>
              <w:jc w:val="left"/>
              <w:rPr>
                <w:rFonts w:cs="Calibri"/>
                <w:color w:val="000000"/>
                <w:sz w:val="15"/>
                <w:szCs w:val="15"/>
              </w:rPr>
            </w:pPr>
            <w:r w:rsidRPr="00615E45">
              <w:rPr>
                <w:color w:val="000000"/>
                <w:sz w:val="15"/>
              </w:rPr>
              <w:t>22. Beverages, spirits and vinegar</w:t>
            </w:r>
          </w:p>
        </w:tc>
        <w:tc>
          <w:tcPr>
            <w:tcW w:w="400" w:type="pct"/>
            <w:noWrap/>
            <w:hideMark/>
          </w:tcPr>
          <w:p w14:paraId="3AC7A4C1" w14:textId="77777777" w:rsidR="00EB7374" w:rsidRPr="00615E45" w:rsidRDefault="00EB7374" w:rsidP="00C700EB">
            <w:pPr>
              <w:jc w:val="right"/>
              <w:rPr>
                <w:rFonts w:cs="Calibri"/>
                <w:color w:val="000000"/>
                <w:sz w:val="15"/>
                <w:szCs w:val="15"/>
              </w:rPr>
            </w:pPr>
            <w:r w:rsidRPr="00615E45">
              <w:rPr>
                <w:color w:val="000000"/>
                <w:sz w:val="15"/>
              </w:rPr>
              <w:t>9.4</w:t>
            </w:r>
          </w:p>
        </w:tc>
        <w:tc>
          <w:tcPr>
            <w:tcW w:w="400" w:type="pct"/>
            <w:noWrap/>
            <w:hideMark/>
          </w:tcPr>
          <w:p w14:paraId="180855E9" w14:textId="77777777" w:rsidR="00EB7374" w:rsidRPr="00615E45" w:rsidRDefault="00EB7374" w:rsidP="00C700EB">
            <w:pPr>
              <w:jc w:val="right"/>
              <w:rPr>
                <w:rFonts w:cs="Calibri"/>
                <w:color w:val="000000"/>
                <w:sz w:val="15"/>
                <w:szCs w:val="15"/>
              </w:rPr>
            </w:pPr>
            <w:r w:rsidRPr="00615E45">
              <w:rPr>
                <w:color w:val="000000"/>
                <w:sz w:val="15"/>
              </w:rPr>
              <w:t>8.3</w:t>
            </w:r>
          </w:p>
        </w:tc>
        <w:tc>
          <w:tcPr>
            <w:tcW w:w="400" w:type="pct"/>
            <w:noWrap/>
            <w:hideMark/>
          </w:tcPr>
          <w:p w14:paraId="12D47E4D" w14:textId="77777777" w:rsidR="00EB7374" w:rsidRPr="00615E45" w:rsidRDefault="00EB7374" w:rsidP="00C700EB">
            <w:pPr>
              <w:jc w:val="right"/>
              <w:rPr>
                <w:rFonts w:cs="Calibri"/>
                <w:color w:val="000000"/>
                <w:sz w:val="15"/>
                <w:szCs w:val="15"/>
              </w:rPr>
            </w:pPr>
            <w:r w:rsidRPr="00615E45">
              <w:rPr>
                <w:color w:val="000000"/>
                <w:sz w:val="15"/>
              </w:rPr>
              <w:t>9.0</w:t>
            </w:r>
          </w:p>
        </w:tc>
        <w:tc>
          <w:tcPr>
            <w:tcW w:w="400" w:type="pct"/>
            <w:noWrap/>
            <w:hideMark/>
          </w:tcPr>
          <w:p w14:paraId="7CFDFB5A" w14:textId="77777777" w:rsidR="00EB7374" w:rsidRPr="00615E45" w:rsidRDefault="00EB7374" w:rsidP="00C700EB">
            <w:pPr>
              <w:jc w:val="right"/>
              <w:rPr>
                <w:rFonts w:cs="Calibri"/>
                <w:color w:val="000000"/>
                <w:sz w:val="15"/>
                <w:szCs w:val="15"/>
              </w:rPr>
            </w:pPr>
            <w:r w:rsidRPr="00615E45">
              <w:rPr>
                <w:color w:val="000000"/>
                <w:sz w:val="15"/>
              </w:rPr>
              <w:t>8.8</w:t>
            </w:r>
          </w:p>
        </w:tc>
        <w:tc>
          <w:tcPr>
            <w:tcW w:w="400" w:type="pct"/>
            <w:noWrap/>
            <w:hideMark/>
          </w:tcPr>
          <w:p w14:paraId="36A0B26B" w14:textId="77777777" w:rsidR="00EB7374" w:rsidRPr="00615E45" w:rsidRDefault="00EB7374" w:rsidP="00C700EB">
            <w:pPr>
              <w:jc w:val="right"/>
              <w:rPr>
                <w:rFonts w:cs="Calibri"/>
                <w:color w:val="000000"/>
                <w:sz w:val="15"/>
                <w:szCs w:val="15"/>
              </w:rPr>
            </w:pPr>
            <w:r w:rsidRPr="00615E45">
              <w:rPr>
                <w:color w:val="000000"/>
                <w:sz w:val="15"/>
              </w:rPr>
              <w:t>9.5</w:t>
            </w:r>
          </w:p>
        </w:tc>
        <w:tc>
          <w:tcPr>
            <w:tcW w:w="400" w:type="pct"/>
            <w:noWrap/>
            <w:hideMark/>
          </w:tcPr>
          <w:p w14:paraId="4DE97D20" w14:textId="77777777" w:rsidR="00EB7374" w:rsidRPr="00615E45" w:rsidRDefault="00EB7374" w:rsidP="00C700EB">
            <w:pPr>
              <w:jc w:val="right"/>
              <w:rPr>
                <w:rFonts w:cs="Calibri"/>
                <w:color w:val="000000"/>
                <w:sz w:val="15"/>
                <w:szCs w:val="15"/>
              </w:rPr>
            </w:pPr>
            <w:r w:rsidRPr="00615E45">
              <w:rPr>
                <w:color w:val="000000"/>
                <w:sz w:val="15"/>
              </w:rPr>
              <w:t>7.9</w:t>
            </w:r>
          </w:p>
        </w:tc>
        <w:tc>
          <w:tcPr>
            <w:tcW w:w="400" w:type="pct"/>
            <w:noWrap/>
            <w:hideMark/>
          </w:tcPr>
          <w:p w14:paraId="11720EB1" w14:textId="77777777" w:rsidR="00EB7374" w:rsidRPr="00615E45" w:rsidRDefault="00EB7374" w:rsidP="00C700EB">
            <w:pPr>
              <w:jc w:val="right"/>
              <w:rPr>
                <w:rFonts w:cs="Calibri"/>
                <w:color w:val="000000"/>
                <w:sz w:val="15"/>
                <w:szCs w:val="15"/>
              </w:rPr>
            </w:pPr>
            <w:r w:rsidRPr="00615E45">
              <w:rPr>
                <w:color w:val="000000"/>
                <w:sz w:val="15"/>
              </w:rPr>
              <w:t>10.2</w:t>
            </w:r>
          </w:p>
        </w:tc>
      </w:tr>
      <w:tr w:rsidR="00EB7374" w:rsidRPr="00615E45" w14:paraId="656839A9" w14:textId="77777777" w:rsidTr="00C700EB">
        <w:trPr>
          <w:cnfStyle w:val="000000010000" w:firstRow="0" w:lastRow="0" w:firstColumn="0" w:lastColumn="0" w:oddVBand="0" w:evenVBand="0" w:oddHBand="0" w:evenHBand="1" w:firstRowFirstColumn="0" w:firstRowLastColumn="0" w:lastRowFirstColumn="0" w:lastRowLastColumn="0"/>
          <w:cantSplit/>
        </w:trPr>
        <w:tc>
          <w:tcPr>
            <w:tcW w:w="2197" w:type="pct"/>
            <w:noWrap/>
            <w:hideMark/>
          </w:tcPr>
          <w:p w14:paraId="25AC00FB" w14:textId="77777777" w:rsidR="00EB7374" w:rsidRPr="00615E45" w:rsidRDefault="00EB7374" w:rsidP="00C700EB">
            <w:pPr>
              <w:ind w:left="113"/>
              <w:jc w:val="left"/>
              <w:rPr>
                <w:rFonts w:cs="Calibri"/>
                <w:color w:val="000000"/>
                <w:sz w:val="15"/>
                <w:szCs w:val="15"/>
              </w:rPr>
            </w:pPr>
            <w:r w:rsidRPr="00615E45">
              <w:rPr>
                <w:color w:val="000000"/>
                <w:sz w:val="15"/>
              </w:rPr>
              <w:t>02. Meat and edible meat offal</w:t>
            </w:r>
          </w:p>
        </w:tc>
        <w:tc>
          <w:tcPr>
            <w:tcW w:w="400" w:type="pct"/>
            <w:noWrap/>
            <w:hideMark/>
          </w:tcPr>
          <w:p w14:paraId="52AE6C88" w14:textId="77777777" w:rsidR="00EB7374" w:rsidRPr="00615E45" w:rsidRDefault="00EB7374" w:rsidP="00C700EB">
            <w:pPr>
              <w:jc w:val="right"/>
              <w:rPr>
                <w:rFonts w:cs="Calibri"/>
                <w:color w:val="000000"/>
                <w:sz w:val="15"/>
                <w:szCs w:val="15"/>
              </w:rPr>
            </w:pPr>
            <w:r w:rsidRPr="00615E45">
              <w:rPr>
                <w:color w:val="000000"/>
                <w:sz w:val="15"/>
              </w:rPr>
              <w:t>7.1</w:t>
            </w:r>
          </w:p>
        </w:tc>
        <w:tc>
          <w:tcPr>
            <w:tcW w:w="400" w:type="pct"/>
            <w:noWrap/>
            <w:hideMark/>
          </w:tcPr>
          <w:p w14:paraId="088684F6" w14:textId="77777777" w:rsidR="00EB7374" w:rsidRPr="00615E45" w:rsidRDefault="00EB7374" w:rsidP="00C700EB">
            <w:pPr>
              <w:jc w:val="right"/>
              <w:rPr>
                <w:rFonts w:cs="Calibri"/>
                <w:color w:val="000000"/>
                <w:sz w:val="15"/>
                <w:szCs w:val="15"/>
              </w:rPr>
            </w:pPr>
            <w:r w:rsidRPr="00615E45">
              <w:rPr>
                <w:color w:val="000000"/>
                <w:sz w:val="15"/>
              </w:rPr>
              <w:t>7.6</w:t>
            </w:r>
          </w:p>
        </w:tc>
        <w:tc>
          <w:tcPr>
            <w:tcW w:w="400" w:type="pct"/>
            <w:noWrap/>
            <w:hideMark/>
          </w:tcPr>
          <w:p w14:paraId="2BA785E5" w14:textId="77777777" w:rsidR="00EB7374" w:rsidRPr="00615E45" w:rsidRDefault="00EB7374" w:rsidP="00C700EB">
            <w:pPr>
              <w:jc w:val="right"/>
              <w:rPr>
                <w:rFonts w:cs="Calibri"/>
                <w:color w:val="000000"/>
                <w:sz w:val="15"/>
                <w:szCs w:val="15"/>
              </w:rPr>
            </w:pPr>
            <w:r w:rsidRPr="00615E45">
              <w:rPr>
                <w:color w:val="000000"/>
                <w:sz w:val="15"/>
              </w:rPr>
              <w:t>7.7</w:t>
            </w:r>
          </w:p>
        </w:tc>
        <w:tc>
          <w:tcPr>
            <w:tcW w:w="400" w:type="pct"/>
            <w:noWrap/>
            <w:hideMark/>
          </w:tcPr>
          <w:p w14:paraId="54C86254" w14:textId="77777777" w:rsidR="00EB7374" w:rsidRPr="00615E45" w:rsidRDefault="00EB7374" w:rsidP="00C700EB">
            <w:pPr>
              <w:jc w:val="right"/>
              <w:rPr>
                <w:rFonts w:cs="Calibri"/>
                <w:color w:val="000000"/>
                <w:sz w:val="15"/>
                <w:szCs w:val="15"/>
              </w:rPr>
            </w:pPr>
            <w:r w:rsidRPr="00615E45">
              <w:rPr>
                <w:color w:val="000000"/>
                <w:sz w:val="15"/>
              </w:rPr>
              <w:t>8.7</w:t>
            </w:r>
          </w:p>
        </w:tc>
        <w:tc>
          <w:tcPr>
            <w:tcW w:w="400" w:type="pct"/>
            <w:noWrap/>
            <w:hideMark/>
          </w:tcPr>
          <w:p w14:paraId="26711CF0" w14:textId="77777777" w:rsidR="00EB7374" w:rsidRPr="00615E45" w:rsidRDefault="00EB7374" w:rsidP="00C700EB">
            <w:pPr>
              <w:jc w:val="right"/>
              <w:rPr>
                <w:rFonts w:cs="Calibri"/>
                <w:color w:val="000000"/>
                <w:sz w:val="15"/>
                <w:szCs w:val="15"/>
              </w:rPr>
            </w:pPr>
            <w:r w:rsidRPr="00615E45">
              <w:rPr>
                <w:color w:val="000000"/>
                <w:sz w:val="15"/>
              </w:rPr>
              <w:t>8.5</w:t>
            </w:r>
          </w:p>
        </w:tc>
        <w:tc>
          <w:tcPr>
            <w:tcW w:w="400" w:type="pct"/>
            <w:noWrap/>
            <w:hideMark/>
          </w:tcPr>
          <w:p w14:paraId="5C6FF6A8" w14:textId="77777777" w:rsidR="00EB7374" w:rsidRPr="00615E45" w:rsidRDefault="00EB7374" w:rsidP="00C700EB">
            <w:pPr>
              <w:jc w:val="right"/>
              <w:rPr>
                <w:rFonts w:cs="Calibri"/>
                <w:color w:val="000000"/>
                <w:sz w:val="15"/>
                <w:szCs w:val="15"/>
              </w:rPr>
            </w:pPr>
            <w:r w:rsidRPr="00615E45">
              <w:rPr>
                <w:color w:val="000000"/>
                <w:sz w:val="15"/>
              </w:rPr>
              <w:t>7.6</w:t>
            </w:r>
          </w:p>
        </w:tc>
        <w:tc>
          <w:tcPr>
            <w:tcW w:w="400" w:type="pct"/>
            <w:noWrap/>
            <w:hideMark/>
          </w:tcPr>
          <w:p w14:paraId="4E567235" w14:textId="77777777" w:rsidR="00EB7374" w:rsidRPr="00615E45" w:rsidRDefault="00EB7374" w:rsidP="00C700EB">
            <w:pPr>
              <w:jc w:val="right"/>
              <w:rPr>
                <w:rFonts w:cs="Calibri"/>
                <w:color w:val="000000"/>
                <w:sz w:val="15"/>
                <w:szCs w:val="15"/>
              </w:rPr>
            </w:pPr>
            <w:r w:rsidRPr="00615E45">
              <w:rPr>
                <w:color w:val="000000"/>
                <w:sz w:val="15"/>
              </w:rPr>
              <w:t>9.9</w:t>
            </w:r>
          </w:p>
        </w:tc>
      </w:tr>
      <w:tr w:rsidR="00EB7374" w:rsidRPr="00615E45" w14:paraId="0EEE3A66" w14:textId="77777777" w:rsidTr="00C700EB">
        <w:trPr>
          <w:cantSplit/>
        </w:trPr>
        <w:tc>
          <w:tcPr>
            <w:tcW w:w="2197" w:type="pct"/>
            <w:noWrap/>
            <w:hideMark/>
          </w:tcPr>
          <w:p w14:paraId="6A790380" w14:textId="77777777" w:rsidR="00EB7374" w:rsidRPr="00615E45" w:rsidRDefault="00EB7374" w:rsidP="00C700EB">
            <w:pPr>
              <w:ind w:left="113"/>
              <w:jc w:val="left"/>
              <w:rPr>
                <w:rFonts w:cs="Calibri"/>
                <w:color w:val="000000"/>
                <w:sz w:val="15"/>
                <w:szCs w:val="15"/>
              </w:rPr>
            </w:pPr>
            <w:r w:rsidRPr="00615E45">
              <w:rPr>
                <w:color w:val="000000"/>
                <w:sz w:val="15"/>
              </w:rPr>
              <w:t>04. Dairy produce; natural honey</w:t>
            </w:r>
          </w:p>
        </w:tc>
        <w:tc>
          <w:tcPr>
            <w:tcW w:w="400" w:type="pct"/>
            <w:noWrap/>
            <w:hideMark/>
          </w:tcPr>
          <w:p w14:paraId="3F88300C" w14:textId="77777777" w:rsidR="00EB7374" w:rsidRPr="00615E45" w:rsidRDefault="00EB7374" w:rsidP="00C700EB">
            <w:pPr>
              <w:jc w:val="right"/>
              <w:rPr>
                <w:rFonts w:cs="Calibri"/>
                <w:color w:val="000000"/>
                <w:sz w:val="15"/>
                <w:szCs w:val="15"/>
              </w:rPr>
            </w:pPr>
            <w:r w:rsidRPr="00615E45">
              <w:rPr>
                <w:color w:val="000000"/>
                <w:sz w:val="15"/>
              </w:rPr>
              <w:t>8.2</w:t>
            </w:r>
          </w:p>
        </w:tc>
        <w:tc>
          <w:tcPr>
            <w:tcW w:w="400" w:type="pct"/>
            <w:noWrap/>
            <w:hideMark/>
          </w:tcPr>
          <w:p w14:paraId="66A82170" w14:textId="77777777" w:rsidR="00EB7374" w:rsidRPr="00615E45" w:rsidRDefault="00EB7374" w:rsidP="00C700EB">
            <w:pPr>
              <w:jc w:val="right"/>
              <w:rPr>
                <w:rFonts w:cs="Calibri"/>
                <w:color w:val="000000"/>
                <w:sz w:val="15"/>
                <w:szCs w:val="15"/>
              </w:rPr>
            </w:pPr>
            <w:r w:rsidRPr="00615E45">
              <w:rPr>
                <w:color w:val="000000"/>
                <w:sz w:val="15"/>
              </w:rPr>
              <w:t>8.2</w:t>
            </w:r>
          </w:p>
        </w:tc>
        <w:tc>
          <w:tcPr>
            <w:tcW w:w="400" w:type="pct"/>
            <w:noWrap/>
            <w:hideMark/>
          </w:tcPr>
          <w:p w14:paraId="5B17A0CD" w14:textId="77777777" w:rsidR="00EB7374" w:rsidRPr="00615E45" w:rsidRDefault="00EB7374" w:rsidP="00C700EB">
            <w:pPr>
              <w:jc w:val="right"/>
              <w:rPr>
                <w:rFonts w:cs="Calibri"/>
                <w:color w:val="000000"/>
                <w:sz w:val="15"/>
                <w:szCs w:val="15"/>
              </w:rPr>
            </w:pPr>
            <w:r w:rsidRPr="00615E45">
              <w:rPr>
                <w:color w:val="000000"/>
                <w:sz w:val="15"/>
              </w:rPr>
              <w:t>8.6</w:t>
            </w:r>
          </w:p>
        </w:tc>
        <w:tc>
          <w:tcPr>
            <w:tcW w:w="400" w:type="pct"/>
            <w:noWrap/>
            <w:hideMark/>
          </w:tcPr>
          <w:p w14:paraId="3480AD84" w14:textId="77777777" w:rsidR="00EB7374" w:rsidRPr="00615E45" w:rsidRDefault="00EB7374" w:rsidP="00C700EB">
            <w:pPr>
              <w:jc w:val="right"/>
              <w:rPr>
                <w:rFonts w:cs="Calibri"/>
                <w:color w:val="000000"/>
                <w:sz w:val="15"/>
                <w:szCs w:val="15"/>
              </w:rPr>
            </w:pPr>
            <w:r w:rsidRPr="00615E45">
              <w:rPr>
                <w:color w:val="000000"/>
                <w:sz w:val="15"/>
              </w:rPr>
              <w:t>9.4</w:t>
            </w:r>
          </w:p>
        </w:tc>
        <w:tc>
          <w:tcPr>
            <w:tcW w:w="400" w:type="pct"/>
            <w:noWrap/>
            <w:hideMark/>
          </w:tcPr>
          <w:p w14:paraId="478D8103" w14:textId="77777777" w:rsidR="00EB7374" w:rsidRPr="00615E45" w:rsidRDefault="00EB7374" w:rsidP="00C700EB">
            <w:pPr>
              <w:jc w:val="right"/>
              <w:rPr>
                <w:rFonts w:cs="Calibri"/>
                <w:color w:val="000000"/>
                <w:sz w:val="15"/>
                <w:szCs w:val="15"/>
              </w:rPr>
            </w:pPr>
            <w:r w:rsidRPr="00615E45">
              <w:rPr>
                <w:color w:val="000000"/>
                <w:sz w:val="15"/>
              </w:rPr>
              <w:t>9.6</w:t>
            </w:r>
          </w:p>
        </w:tc>
        <w:tc>
          <w:tcPr>
            <w:tcW w:w="400" w:type="pct"/>
            <w:noWrap/>
            <w:hideMark/>
          </w:tcPr>
          <w:p w14:paraId="1A9B24B0" w14:textId="77777777" w:rsidR="00EB7374" w:rsidRPr="00615E45" w:rsidRDefault="00EB7374" w:rsidP="00C700EB">
            <w:pPr>
              <w:jc w:val="right"/>
              <w:rPr>
                <w:rFonts w:cs="Calibri"/>
                <w:color w:val="000000"/>
                <w:sz w:val="15"/>
                <w:szCs w:val="15"/>
              </w:rPr>
            </w:pPr>
            <w:r w:rsidRPr="00615E45">
              <w:rPr>
                <w:color w:val="000000"/>
                <w:sz w:val="15"/>
              </w:rPr>
              <w:t>10.6</w:t>
            </w:r>
          </w:p>
        </w:tc>
        <w:tc>
          <w:tcPr>
            <w:tcW w:w="400" w:type="pct"/>
            <w:noWrap/>
            <w:hideMark/>
          </w:tcPr>
          <w:p w14:paraId="4CDB2A2F" w14:textId="77777777" w:rsidR="00EB7374" w:rsidRPr="00615E45" w:rsidRDefault="00EB7374" w:rsidP="00C700EB">
            <w:pPr>
              <w:jc w:val="right"/>
              <w:rPr>
                <w:rFonts w:cs="Calibri"/>
                <w:color w:val="000000"/>
                <w:sz w:val="15"/>
                <w:szCs w:val="15"/>
              </w:rPr>
            </w:pPr>
            <w:r w:rsidRPr="00615E45">
              <w:rPr>
                <w:color w:val="000000"/>
                <w:sz w:val="15"/>
              </w:rPr>
              <w:t>8.8</w:t>
            </w:r>
          </w:p>
        </w:tc>
      </w:tr>
      <w:tr w:rsidR="00EB7374" w:rsidRPr="00615E45" w14:paraId="2E925A6F" w14:textId="77777777" w:rsidTr="00C700EB">
        <w:trPr>
          <w:cnfStyle w:val="000000010000" w:firstRow="0" w:lastRow="0" w:firstColumn="0" w:lastColumn="0" w:oddVBand="0" w:evenVBand="0" w:oddHBand="0" w:evenHBand="1" w:firstRowFirstColumn="0" w:firstRowLastColumn="0" w:lastRowFirstColumn="0" w:lastRowLastColumn="0"/>
          <w:cantSplit/>
        </w:trPr>
        <w:tc>
          <w:tcPr>
            <w:tcW w:w="2197" w:type="pct"/>
            <w:noWrap/>
            <w:hideMark/>
          </w:tcPr>
          <w:p w14:paraId="64430F0E" w14:textId="77777777" w:rsidR="00EB7374" w:rsidRPr="00615E45" w:rsidRDefault="00EB7374" w:rsidP="00C700EB">
            <w:pPr>
              <w:jc w:val="left"/>
              <w:rPr>
                <w:rFonts w:cs="Calibri"/>
                <w:b/>
                <w:color w:val="000000"/>
                <w:sz w:val="15"/>
                <w:szCs w:val="15"/>
              </w:rPr>
            </w:pPr>
            <w:r w:rsidRPr="00615E45">
              <w:rPr>
                <w:b/>
                <w:color w:val="000000"/>
                <w:sz w:val="15"/>
              </w:rPr>
              <w:t>Free</w:t>
            </w:r>
            <w:r>
              <w:rPr>
                <w:b/>
                <w:color w:val="000000"/>
                <w:sz w:val="15"/>
              </w:rPr>
              <w:t xml:space="preserve"> </w:t>
            </w:r>
            <w:r w:rsidRPr="00615E45">
              <w:rPr>
                <w:b/>
                <w:color w:val="000000"/>
                <w:sz w:val="15"/>
              </w:rPr>
              <w:t>zone exports</w:t>
            </w:r>
          </w:p>
        </w:tc>
        <w:tc>
          <w:tcPr>
            <w:tcW w:w="400" w:type="pct"/>
            <w:noWrap/>
            <w:hideMark/>
          </w:tcPr>
          <w:p w14:paraId="7BA5682B" w14:textId="77777777" w:rsidR="00EB7374" w:rsidRPr="00615E45" w:rsidRDefault="00EB7374" w:rsidP="00C700EB">
            <w:pPr>
              <w:jc w:val="right"/>
              <w:rPr>
                <w:rFonts w:cs="Calibri"/>
                <w:bCs/>
                <w:color w:val="000000"/>
                <w:sz w:val="15"/>
                <w:szCs w:val="15"/>
              </w:rPr>
            </w:pPr>
          </w:p>
        </w:tc>
        <w:tc>
          <w:tcPr>
            <w:tcW w:w="400" w:type="pct"/>
            <w:noWrap/>
            <w:hideMark/>
          </w:tcPr>
          <w:p w14:paraId="139A42E5" w14:textId="77777777" w:rsidR="00EB7374" w:rsidRPr="00615E45" w:rsidRDefault="00EB7374" w:rsidP="00C700EB">
            <w:pPr>
              <w:jc w:val="right"/>
              <w:rPr>
                <w:sz w:val="15"/>
                <w:szCs w:val="15"/>
              </w:rPr>
            </w:pPr>
          </w:p>
        </w:tc>
        <w:tc>
          <w:tcPr>
            <w:tcW w:w="400" w:type="pct"/>
            <w:noWrap/>
            <w:hideMark/>
          </w:tcPr>
          <w:p w14:paraId="2004F5AE" w14:textId="77777777" w:rsidR="00EB7374" w:rsidRPr="00615E45" w:rsidRDefault="00EB7374" w:rsidP="00C700EB">
            <w:pPr>
              <w:jc w:val="right"/>
              <w:rPr>
                <w:sz w:val="15"/>
                <w:szCs w:val="15"/>
              </w:rPr>
            </w:pPr>
          </w:p>
        </w:tc>
        <w:tc>
          <w:tcPr>
            <w:tcW w:w="400" w:type="pct"/>
            <w:noWrap/>
            <w:hideMark/>
          </w:tcPr>
          <w:p w14:paraId="7951C74F" w14:textId="77777777" w:rsidR="00EB7374" w:rsidRPr="00615E45" w:rsidRDefault="00EB7374" w:rsidP="00C700EB">
            <w:pPr>
              <w:jc w:val="right"/>
              <w:rPr>
                <w:sz w:val="15"/>
                <w:szCs w:val="15"/>
              </w:rPr>
            </w:pPr>
          </w:p>
        </w:tc>
        <w:tc>
          <w:tcPr>
            <w:tcW w:w="400" w:type="pct"/>
            <w:noWrap/>
            <w:hideMark/>
          </w:tcPr>
          <w:p w14:paraId="51581D41" w14:textId="77777777" w:rsidR="00EB7374" w:rsidRPr="00615E45" w:rsidRDefault="00EB7374" w:rsidP="00C700EB">
            <w:pPr>
              <w:jc w:val="right"/>
              <w:rPr>
                <w:sz w:val="15"/>
                <w:szCs w:val="15"/>
              </w:rPr>
            </w:pPr>
          </w:p>
        </w:tc>
        <w:tc>
          <w:tcPr>
            <w:tcW w:w="400" w:type="pct"/>
            <w:noWrap/>
            <w:hideMark/>
          </w:tcPr>
          <w:p w14:paraId="3C6734AF" w14:textId="77777777" w:rsidR="00EB7374" w:rsidRPr="00615E45" w:rsidRDefault="00EB7374" w:rsidP="00C700EB">
            <w:pPr>
              <w:jc w:val="right"/>
              <w:rPr>
                <w:sz w:val="15"/>
                <w:szCs w:val="15"/>
              </w:rPr>
            </w:pPr>
          </w:p>
        </w:tc>
        <w:tc>
          <w:tcPr>
            <w:tcW w:w="400" w:type="pct"/>
            <w:noWrap/>
            <w:hideMark/>
          </w:tcPr>
          <w:p w14:paraId="5E5CF0E5" w14:textId="77777777" w:rsidR="00EB7374" w:rsidRPr="00615E45" w:rsidRDefault="00EB7374" w:rsidP="00C700EB">
            <w:pPr>
              <w:jc w:val="right"/>
              <w:rPr>
                <w:sz w:val="15"/>
                <w:szCs w:val="15"/>
              </w:rPr>
            </w:pPr>
          </w:p>
        </w:tc>
      </w:tr>
      <w:tr w:rsidR="00EB7374" w:rsidRPr="00615E45" w14:paraId="30B983ED" w14:textId="77777777" w:rsidTr="00C700EB">
        <w:trPr>
          <w:cantSplit/>
        </w:trPr>
        <w:tc>
          <w:tcPr>
            <w:tcW w:w="2197" w:type="pct"/>
            <w:noWrap/>
            <w:hideMark/>
          </w:tcPr>
          <w:p w14:paraId="3FA4149D" w14:textId="77777777" w:rsidR="00EB7374" w:rsidRPr="00615E45" w:rsidRDefault="00EB7374" w:rsidP="00C700EB">
            <w:pPr>
              <w:jc w:val="left"/>
              <w:rPr>
                <w:rFonts w:cs="Calibri"/>
                <w:color w:val="000000"/>
                <w:sz w:val="15"/>
                <w:szCs w:val="15"/>
              </w:rPr>
            </w:pPr>
            <w:r w:rsidRPr="00615E45">
              <w:rPr>
                <w:color w:val="000000"/>
                <w:sz w:val="15"/>
              </w:rPr>
              <w:t>Value (USD million)</w:t>
            </w:r>
          </w:p>
        </w:tc>
        <w:tc>
          <w:tcPr>
            <w:tcW w:w="400" w:type="pct"/>
            <w:noWrap/>
            <w:hideMark/>
          </w:tcPr>
          <w:p w14:paraId="14B79F08" w14:textId="77777777" w:rsidR="00EB7374" w:rsidRPr="00615E45" w:rsidRDefault="00EB7374" w:rsidP="00C700EB">
            <w:pPr>
              <w:jc w:val="right"/>
              <w:rPr>
                <w:rFonts w:cs="Calibri"/>
                <w:color w:val="000000"/>
                <w:sz w:val="15"/>
                <w:szCs w:val="15"/>
              </w:rPr>
            </w:pPr>
            <w:r w:rsidRPr="00615E45">
              <w:rPr>
                <w:color w:val="000000"/>
                <w:sz w:val="15"/>
              </w:rPr>
              <w:t>1,003</w:t>
            </w:r>
          </w:p>
        </w:tc>
        <w:tc>
          <w:tcPr>
            <w:tcW w:w="400" w:type="pct"/>
            <w:noWrap/>
            <w:hideMark/>
          </w:tcPr>
          <w:p w14:paraId="635CC122" w14:textId="77777777" w:rsidR="00EB7374" w:rsidRPr="00615E45" w:rsidRDefault="00EB7374" w:rsidP="00C700EB">
            <w:pPr>
              <w:jc w:val="right"/>
              <w:rPr>
                <w:rFonts w:cs="Calibri"/>
                <w:color w:val="000000"/>
                <w:sz w:val="15"/>
                <w:szCs w:val="15"/>
              </w:rPr>
            </w:pPr>
            <w:r w:rsidRPr="00615E45">
              <w:rPr>
                <w:color w:val="000000"/>
                <w:sz w:val="15"/>
              </w:rPr>
              <w:t>1,043</w:t>
            </w:r>
          </w:p>
        </w:tc>
        <w:tc>
          <w:tcPr>
            <w:tcW w:w="400" w:type="pct"/>
            <w:noWrap/>
            <w:hideMark/>
          </w:tcPr>
          <w:p w14:paraId="786A1D46" w14:textId="77777777" w:rsidR="00EB7374" w:rsidRPr="00615E45" w:rsidRDefault="00EB7374" w:rsidP="00C700EB">
            <w:pPr>
              <w:jc w:val="right"/>
              <w:rPr>
                <w:rFonts w:cs="Calibri"/>
                <w:color w:val="000000"/>
                <w:sz w:val="15"/>
                <w:szCs w:val="15"/>
              </w:rPr>
            </w:pPr>
            <w:r w:rsidRPr="00615E45">
              <w:rPr>
                <w:color w:val="000000"/>
                <w:sz w:val="15"/>
              </w:rPr>
              <w:t>1,134</w:t>
            </w:r>
          </w:p>
        </w:tc>
        <w:tc>
          <w:tcPr>
            <w:tcW w:w="400" w:type="pct"/>
            <w:noWrap/>
            <w:hideMark/>
          </w:tcPr>
          <w:p w14:paraId="19F20429" w14:textId="77777777" w:rsidR="00EB7374" w:rsidRPr="00615E45" w:rsidRDefault="00EB7374" w:rsidP="00C700EB">
            <w:pPr>
              <w:jc w:val="right"/>
              <w:rPr>
                <w:rFonts w:cs="Calibri"/>
                <w:color w:val="000000"/>
                <w:sz w:val="15"/>
                <w:szCs w:val="15"/>
              </w:rPr>
            </w:pPr>
            <w:r w:rsidRPr="00615E45">
              <w:rPr>
                <w:color w:val="000000"/>
                <w:sz w:val="15"/>
              </w:rPr>
              <w:t>1,223</w:t>
            </w:r>
          </w:p>
        </w:tc>
        <w:tc>
          <w:tcPr>
            <w:tcW w:w="400" w:type="pct"/>
            <w:noWrap/>
            <w:hideMark/>
          </w:tcPr>
          <w:p w14:paraId="74966AF0" w14:textId="77777777" w:rsidR="00EB7374" w:rsidRPr="00615E45" w:rsidRDefault="00EB7374" w:rsidP="00C700EB">
            <w:pPr>
              <w:jc w:val="right"/>
              <w:rPr>
                <w:rFonts w:cs="Calibri"/>
                <w:color w:val="000000"/>
                <w:sz w:val="15"/>
                <w:szCs w:val="15"/>
              </w:rPr>
            </w:pPr>
            <w:r w:rsidRPr="00615E45">
              <w:rPr>
                <w:color w:val="000000"/>
                <w:sz w:val="15"/>
              </w:rPr>
              <w:t>1,265</w:t>
            </w:r>
          </w:p>
        </w:tc>
        <w:tc>
          <w:tcPr>
            <w:tcW w:w="400" w:type="pct"/>
            <w:noWrap/>
            <w:hideMark/>
          </w:tcPr>
          <w:p w14:paraId="4991756B" w14:textId="77777777" w:rsidR="00EB7374" w:rsidRPr="00615E45" w:rsidRDefault="00EB7374" w:rsidP="00C700EB">
            <w:pPr>
              <w:jc w:val="right"/>
              <w:rPr>
                <w:rFonts w:cs="Calibri"/>
                <w:color w:val="000000"/>
                <w:sz w:val="15"/>
                <w:szCs w:val="15"/>
              </w:rPr>
            </w:pPr>
            <w:r w:rsidRPr="00615E45">
              <w:rPr>
                <w:color w:val="000000"/>
                <w:sz w:val="15"/>
              </w:rPr>
              <w:t>1,221</w:t>
            </w:r>
          </w:p>
        </w:tc>
        <w:tc>
          <w:tcPr>
            <w:tcW w:w="400" w:type="pct"/>
            <w:noWrap/>
            <w:hideMark/>
          </w:tcPr>
          <w:p w14:paraId="6C526A00" w14:textId="77777777" w:rsidR="00EB7374" w:rsidRPr="00615E45" w:rsidRDefault="00EB7374" w:rsidP="00C700EB">
            <w:pPr>
              <w:jc w:val="right"/>
              <w:rPr>
                <w:rFonts w:cs="Calibri"/>
                <w:color w:val="000000"/>
                <w:sz w:val="15"/>
                <w:szCs w:val="15"/>
              </w:rPr>
            </w:pPr>
            <w:r w:rsidRPr="00615E45">
              <w:rPr>
                <w:color w:val="000000"/>
                <w:sz w:val="15"/>
              </w:rPr>
              <w:t>1,606</w:t>
            </w:r>
          </w:p>
        </w:tc>
      </w:tr>
      <w:tr w:rsidR="00EB7374" w:rsidRPr="00615E45" w14:paraId="3743C661" w14:textId="77777777" w:rsidTr="00C700EB">
        <w:trPr>
          <w:cnfStyle w:val="000000010000" w:firstRow="0" w:lastRow="0" w:firstColumn="0" w:lastColumn="0" w:oddVBand="0" w:evenVBand="0" w:oddHBand="0" w:evenHBand="1" w:firstRowFirstColumn="0" w:firstRowLastColumn="0" w:lastRowFirstColumn="0" w:lastRowLastColumn="0"/>
          <w:cantSplit/>
        </w:trPr>
        <w:tc>
          <w:tcPr>
            <w:tcW w:w="2197" w:type="pct"/>
            <w:noWrap/>
            <w:hideMark/>
          </w:tcPr>
          <w:p w14:paraId="5806F3BD" w14:textId="77777777" w:rsidR="00EB7374" w:rsidRPr="00615E45" w:rsidRDefault="00EB7374" w:rsidP="00C700EB">
            <w:pPr>
              <w:jc w:val="left"/>
              <w:rPr>
                <w:rFonts w:cs="Calibri"/>
                <w:color w:val="000000"/>
                <w:sz w:val="15"/>
                <w:szCs w:val="15"/>
              </w:rPr>
            </w:pPr>
            <w:r w:rsidRPr="00615E45">
              <w:rPr>
                <w:color w:val="000000"/>
                <w:sz w:val="15"/>
              </w:rPr>
              <w:t xml:space="preserve">Top </w:t>
            </w:r>
            <w:r>
              <w:rPr>
                <w:color w:val="000000"/>
                <w:sz w:val="15"/>
              </w:rPr>
              <w:t>five</w:t>
            </w:r>
            <w:r w:rsidRPr="00615E45">
              <w:rPr>
                <w:color w:val="000000"/>
                <w:sz w:val="15"/>
              </w:rPr>
              <w:t xml:space="preserve"> products, </w:t>
            </w:r>
            <w:r>
              <w:rPr>
                <w:color w:val="000000"/>
                <w:sz w:val="15"/>
              </w:rPr>
              <w:t>by</w:t>
            </w:r>
            <w:r w:rsidRPr="00615E45">
              <w:rPr>
                <w:color w:val="000000"/>
                <w:sz w:val="15"/>
              </w:rPr>
              <w:t xml:space="preserve"> HS chapter (% of agricultural total)</w:t>
            </w:r>
          </w:p>
        </w:tc>
        <w:tc>
          <w:tcPr>
            <w:tcW w:w="400" w:type="pct"/>
          </w:tcPr>
          <w:p w14:paraId="1DC16EEE" w14:textId="77777777" w:rsidR="00EB7374" w:rsidRPr="00615E45" w:rsidRDefault="00EB7374" w:rsidP="00C700EB">
            <w:pPr>
              <w:jc w:val="right"/>
              <w:rPr>
                <w:rFonts w:cs="Calibri"/>
                <w:color w:val="000000"/>
                <w:sz w:val="15"/>
                <w:szCs w:val="15"/>
              </w:rPr>
            </w:pPr>
          </w:p>
        </w:tc>
        <w:tc>
          <w:tcPr>
            <w:tcW w:w="400" w:type="pct"/>
          </w:tcPr>
          <w:p w14:paraId="20C96F10" w14:textId="77777777" w:rsidR="00EB7374" w:rsidRPr="00615E45" w:rsidRDefault="00EB7374" w:rsidP="00C700EB">
            <w:pPr>
              <w:jc w:val="right"/>
              <w:rPr>
                <w:rFonts w:cs="Calibri"/>
                <w:color w:val="000000"/>
                <w:sz w:val="15"/>
                <w:szCs w:val="15"/>
              </w:rPr>
            </w:pPr>
          </w:p>
        </w:tc>
        <w:tc>
          <w:tcPr>
            <w:tcW w:w="400" w:type="pct"/>
          </w:tcPr>
          <w:p w14:paraId="6AB6810B" w14:textId="77777777" w:rsidR="00EB7374" w:rsidRPr="00615E45" w:rsidRDefault="00EB7374" w:rsidP="00C700EB">
            <w:pPr>
              <w:jc w:val="right"/>
              <w:rPr>
                <w:rFonts w:cs="Calibri"/>
                <w:color w:val="000000"/>
                <w:sz w:val="15"/>
                <w:szCs w:val="15"/>
              </w:rPr>
            </w:pPr>
          </w:p>
        </w:tc>
        <w:tc>
          <w:tcPr>
            <w:tcW w:w="400" w:type="pct"/>
            <w:noWrap/>
            <w:hideMark/>
          </w:tcPr>
          <w:p w14:paraId="768160BA" w14:textId="77777777" w:rsidR="00EB7374" w:rsidRPr="00615E45" w:rsidRDefault="00EB7374" w:rsidP="00C700EB">
            <w:pPr>
              <w:jc w:val="right"/>
              <w:rPr>
                <w:rFonts w:cs="Calibri"/>
                <w:color w:val="000000"/>
                <w:sz w:val="15"/>
                <w:szCs w:val="15"/>
              </w:rPr>
            </w:pPr>
          </w:p>
        </w:tc>
        <w:tc>
          <w:tcPr>
            <w:tcW w:w="400" w:type="pct"/>
            <w:noWrap/>
            <w:hideMark/>
          </w:tcPr>
          <w:p w14:paraId="5C68C8B0" w14:textId="77777777" w:rsidR="00EB7374" w:rsidRPr="00615E45" w:rsidRDefault="00EB7374" w:rsidP="00C700EB">
            <w:pPr>
              <w:jc w:val="right"/>
              <w:rPr>
                <w:sz w:val="15"/>
                <w:szCs w:val="15"/>
              </w:rPr>
            </w:pPr>
          </w:p>
        </w:tc>
        <w:tc>
          <w:tcPr>
            <w:tcW w:w="400" w:type="pct"/>
            <w:noWrap/>
            <w:hideMark/>
          </w:tcPr>
          <w:p w14:paraId="3AE7F15D" w14:textId="77777777" w:rsidR="00EB7374" w:rsidRPr="00615E45" w:rsidRDefault="00EB7374" w:rsidP="00C700EB">
            <w:pPr>
              <w:jc w:val="right"/>
              <w:rPr>
                <w:sz w:val="15"/>
                <w:szCs w:val="15"/>
              </w:rPr>
            </w:pPr>
          </w:p>
        </w:tc>
        <w:tc>
          <w:tcPr>
            <w:tcW w:w="400" w:type="pct"/>
            <w:noWrap/>
            <w:hideMark/>
          </w:tcPr>
          <w:p w14:paraId="6F234610" w14:textId="77777777" w:rsidR="00EB7374" w:rsidRPr="00615E45" w:rsidRDefault="00EB7374" w:rsidP="00C700EB">
            <w:pPr>
              <w:jc w:val="right"/>
              <w:rPr>
                <w:sz w:val="15"/>
                <w:szCs w:val="15"/>
              </w:rPr>
            </w:pPr>
          </w:p>
        </w:tc>
      </w:tr>
      <w:tr w:rsidR="00EB7374" w:rsidRPr="00615E45" w14:paraId="1AA670A5" w14:textId="77777777" w:rsidTr="00C700EB">
        <w:trPr>
          <w:cantSplit/>
        </w:trPr>
        <w:tc>
          <w:tcPr>
            <w:tcW w:w="2197" w:type="pct"/>
            <w:noWrap/>
            <w:hideMark/>
          </w:tcPr>
          <w:p w14:paraId="3E1E46BD" w14:textId="77777777" w:rsidR="00EB7374" w:rsidRPr="00615E45" w:rsidRDefault="00EB7374" w:rsidP="00C700EB">
            <w:pPr>
              <w:ind w:left="113"/>
              <w:jc w:val="left"/>
              <w:rPr>
                <w:rFonts w:cs="Calibri"/>
                <w:color w:val="000000"/>
                <w:sz w:val="15"/>
                <w:szCs w:val="15"/>
              </w:rPr>
            </w:pPr>
            <w:r w:rsidRPr="00615E45">
              <w:rPr>
                <w:color w:val="000000"/>
                <w:sz w:val="15"/>
              </w:rPr>
              <w:t>24. Tobacco and manufactured tobacco substitutes</w:t>
            </w:r>
          </w:p>
        </w:tc>
        <w:tc>
          <w:tcPr>
            <w:tcW w:w="400" w:type="pct"/>
            <w:noWrap/>
            <w:hideMark/>
          </w:tcPr>
          <w:p w14:paraId="2A8C8FC9" w14:textId="77777777" w:rsidR="00EB7374" w:rsidRPr="00615E45" w:rsidRDefault="00EB7374" w:rsidP="00C700EB">
            <w:pPr>
              <w:jc w:val="right"/>
              <w:rPr>
                <w:rFonts w:cs="Calibri"/>
                <w:color w:val="000000"/>
                <w:sz w:val="15"/>
                <w:szCs w:val="15"/>
              </w:rPr>
            </w:pPr>
            <w:r w:rsidRPr="00615E45">
              <w:rPr>
                <w:color w:val="000000"/>
                <w:sz w:val="15"/>
              </w:rPr>
              <w:t>69.7</w:t>
            </w:r>
          </w:p>
        </w:tc>
        <w:tc>
          <w:tcPr>
            <w:tcW w:w="400" w:type="pct"/>
            <w:noWrap/>
            <w:hideMark/>
          </w:tcPr>
          <w:p w14:paraId="6D74E4AA" w14:textId="77777777" w:rsidR="00EB7374" w:rsidRPr="00615E45" w:rsidRDefault="00EB7374" w:rsidP="00C700EB">
            <w:pPr>
              <w:jc w:val="right"/>
              <w:rPr>
                <w:rFonts w:cs="Calibri"/>
                <w:color w:val="000000"/>
                <w:sz w:val="15"/>
                <w:szCs w:val="15"/>
              </w:rPr>
            </w:pPr>
            <w:r w:rsidRPr="00615E45">
              <w:rPr>
                <w:color w:val="000000"/>
                <w:sz w:val="15"/>
              </w:rPr>
              <w:t>71.0</w:t>
            </w:r>
          </w:p>
        </w:tc>
        <w:tc>
          <w:tcPr>
            <w:tcW w:w="400" w:type="pct"/>
            <w:noWrap/>
            <w:hideMark/>
          </w:tcPr>
          <w:p w14:paraId="38753503" w14:textId="77777777" w:rsidR="00EB7374" w:rsidRPr="00615E45" w:rsidRDefault="00EB7374" w:rsidP="00C700EB">
            <w:pPr>
              <w:jc w:val="right"/>
              <w:rPr>
                <w:rFonts w:cs="Calibri"/>
                <w:color w:val="000000"/>
                <w:sz w:val="15"/>
                <w:szCs w:val="15"/>
              </w:rPr>
            </w:pPr>
            <w:r w:rsidRPr="00615E45">
              <w:rPr>
                <w:color w:val="000000"/>
                <w:sz w:val="15"/>
              </w:rPr>
              <w:t>72.6</w:t>
            </w:r>
          </w:p>
        </w:tc>
        <w:tc>
          <w:tcPr>
            <w:tcW w:w="400" w:type="pct"/>
            <w:noWrap/>
            <w:hideMark/>
          </w:tcPr>
          <w:p w14:paraId="037F7342" w14:textId="77777777" w:rsidR="00EB7374" w:rsidRPr="00615E45" w:rsidRDefault="00EB7374" w:rsidP="00C700EB">
            <w:pPr>
              <w:jc w:val="right"/>
              <w:rPr>
                <w:rFonts w:cs="Calibri"/>
                <w:color w:val="000000"/>
                <w:sz w:val="15"/>
                <w:szCs w:val="15"/>
              </w:rPr>
            </w:pPr>
            <w:r w:rsidRPr="00615E45">
              <w:rPr>
                <w:color w:val="000000"/>
                <w:sz w:val="15"/>
              </w:rPr>
              <w:t>71.6</w:t>
            </w:r>
          </w:p>
        </w:tc>
        <w:tc>
          <w:tcPr>
            <w:tcW w:w="400" w:type="pct"/>
            <w:noWrap/>
            <w:hideMark/>
          </w:tcPr>
          <w:p w14:paraId="4B75632C" w14:textId="77777777" w:rsidR="00EB7374" w:rsidRPr="00615E45" w:rsidRDefault="00EB7374" w:rsidP="00C700EB">
            <w:pPr>
              <w:jc w:val="right"/>
              <w:rPr>
                <w:rFonts w:cs="Calibri"/>
                <w:color w:val="000000"/>
                <w:sz w:val="15"/>
                <w:szCs w:val="15"/>
              </w:rPr>
            </w:pPr>
            <w:r w:rsidRPr="00615E45">
              <w:rPr>
                <w:color w:val="000000"/>
                <w:sz w:val="15"/>
              </w:rPr>
              <w:t>73.1</w:t>
            </w:r>
          </w:p>
        </w:tc>
        <w:tc>
          <w:tcPr>
            <w:tcW w:w="400" w:type="pct"/>
            <w:noWrap/>
            <w:hideMark/>
          </w:tcPr>
          <w:p w14:paraId="716A71AA" w14:textId="77777777" w:rsidR="00EB7374" w:rsidRPr="00615E45" w:rsidRDefault="00EB7374" w:rsidP="00C700EB">
            <w:pPr>
              <w:jc w:val="right"/>
              <w:rPr>
                <w:rFonts w:cs="Calibri"/>
                <w:color w:val="000000"/>
                <w:sz w:val="15"/>
                <w:szCs w:val="15"/>
              </w:rPr>
            </w:pPr>
            <w:r w:rsidRPr="00615E45">
              <w:rPr>
                <w:color w:val="000000"/>
                <w:sz w:val="15"/>
              </w:rPr>
              <w:t>76.0</w:t>
            </w:r>
          </w:p>
        </w:tc>
        <w:tc>
          <w:tcPr>
            <w:tcW w:w="400" w:type="pct"/>
            <w:noWrap/>
            <w:hideMark/>
          </w:tcPr>
          <w:p w14:paraId="1B976911" w14:textId="77777777" w:rsidR="00EB7374" w:rsidRPr="00615E45" w:rsidRDefault="00EB7374" w:rsidP="00C700EB">
            <w:pPr>
              <w:jc w:val="right"/>
              <w:rPr>
                <w:rFonts w:cs="Calibri"/>
                <w:color w:val="000000"/>
                <w:sz w:val="15"/>
                <w:szCs w:val="15"/>
              </w:rPr>
            </w:pPr>
            <w:r w:rsidRPr="00615E45">
              <w:rPr>
                <w:color w:val="000000"/>
                <w:sz w:val="15"/>
              </w:rPr>
              <w:t>76.3</w:t>
            </w:r>
          </w:p>
        </w:tc>
      </w:tr>
      <w:tr w:rsidR="00EB7374" w:rsidRPr="00615E45" w14:paraId="61022E70" w14:textId="77777777" w:rsidTr="00C700EB">
        <w:trPr>
          <w:cnfStyle w:val="000000010000" w:firstRow="0" w:lastRow="0" w:firstColumn="0" w:lastColumn="0" w:oddVBand="0" w:evenVBand="0" w:oddHBand="0" w:evenHBand="1" w:firstRowFirstColumn="0" w:firstRowLastColumn="0" w:lastRowFirstColumn="0" w:lastRowLastColumn="0"/>
          <w:cantSplit/>
        </w:trPr>
        <w:tc>
          <w:tcPr>
            <w:tcW w:w="2197" w:type="pct"/>
            <w:noWrap/>
            <w:hideMark/>
          </w:tcPr>
          <w:p w14:paraId="7E3C17A5" w14:textId="77777777" w:rsidR="00EB7374" w:rsidRPr="00615E45" w:rsidRDefault="00EB7374" w:rsidP="00C700EB">
            <w:pPr>
              <w:ind w:left="113"/>
              <w:jc w:val="left"/>
              <w:rPr>
                <w:rFonts w:cs="Calibri"/>
                <w:color w:val="000000"/>
                <w:sz w:val="15"/>
                <w:szCs w:val="15"/>
              </w:rPr>
            </w:pPr>
            <w:r w:rsidRPr="00615E45">
              <w:rPr>
                <w:color w:val="000000"/>
                <w:sz w:val="15"/>
              </w:rPr>
              <w:t>18. Cocoa and cocoa preparations</w:t>
            </w:r>
          </w:p>
        </w:tc>
        <w:tc>
          <w:tcPr>
            <w:tcW w:w="400" w:type="pct"/>
            <w:noWrap/>
            <w:hideMark/>
          </w:tcPr>
          <w:p w14:paraId="62640D80" w14:textId="77777777" w:rsidR="00EB7374" w:rsidRPr="00615E45" w:rsidRDefault="00EB7374" w:rsidP="00C700EB">
            <w:pPr>
              <w:jc w:val="right"/>
              <w:rPr>
                <w:rFonts w:cs="Calibri"/>
                <w:color w:val="000000"/>
                <w:sz w:val="15"/>
                <w:szCs w:val="15"/>
              </w:rPr>
            </w:pPr>
            <w:r w:rsidRPr="00615E45">
              <w:rPr>
                <w:color w:val="000000"/>
                <w:sz w:val="15"/>
              </w:rPr>
              <w:t>13.5</w:t>
            </w:r>
          </w:p>
        </w:tc>
        <w:tc>
          <w:tcPr>
            <w:tcW w:w="400" w:type="pct"/>
            <w:noWrap/>
            <w:hideMark/>
          </w:tcPr>
          <w:p w14:paraId="3366CB61" w14:textId="77777777" w:rsidR="00EB7374" w:rsidRPr="00615E45" w:rsidRDefault="00EB7374" w:rsidP="00C700EB">
            <w:pPr>
              <w:jc w:val="right"/>
              <w:rPr>
                <w:rFonts w:cs="Calibri"/>
                <w:color w:val="000000"/>
                <w:sz w:val="15"/>
                <w:szCs w:val="15"/>
              </w:rPr>
            </w:pPr>
            <w:r w:rsidRPr="00615E45">
              <w:rPr>
                <w:color w:val="000000"/>
                <w:sz w:val="15"/>
              </w:rPr>
              <w:t>11.1</w:t>
            </w:r>
          </w:p>
        </w:tc>
        <w:tc>
          <w:tcPr>
            <w:tcW w:w="400" w:type="pct"/>
            <w:noWrap/>
            <w:hideMark/>
          </w:tcPr>
          <w:p w14:paraId="099526F4" w14:textId="77777777" w:rsidR="00EB7374" w:rsidRPr="00615E45" w:rsidRDefault="00EB7374" w:rsidP="00C700EB">
            <w:pPr>
              <w:jc w:val="right"/>
              <w:rPr>
                <w:rFonts w:cs="Calibri"/>
                <w:color w:val="000000"/>
                <w:sz w:val="15"/>
                <w:szCs w:val="15"/>
              </w:rPr>
            </w:pPr>
            <w:r w:rsidRPr="00615E45">
              <w:rPr>
                <w:color w:val="000000"/>
                <w:sz w:val="15"/>
              </w:rPr>
              <w:t>7.1</w:t>
            </w:r>
          </w:p>
        </w:tc>
        <w:tc>
          <w:tcPr>
            <w:tcW w:w="400" w:type="pct"/>
            <w:noWrap/>
            <w:hideMark/>
          </w:tcPr>
          <w:p w14:paraId="3A040288" w14:textId="77777777" w:rsidR="00EB7374" w:rsidRPr="00615E45" w:rsidRDefault="00EB7374" w:rsidP="00C700EB">
            <w:pPr>
              <w:jc w:val="right"/>
              <w:rPr>
                <w:rFonts w:cs="Calibri"/>
                <w:color w:val="000000"/>
                <w:sz w:val="15"/>
                <w:szCs w:val="15"/>
              </w:rPr>
            </w:pPr>
            <w:r w:rsidRPr="00615E45">
              <w:rPr>
                <w:color w:val="000000"/>
                <w:sz w:val="15"/>
              </w:rPr>
              <w:t>9.8</w:t>
            </w:r>
          </w:p>
        </w:tc>
        <w:tc>
          <w:tcPr>
            <w:tcW w:w="400" w:type="pct"/>
            <w:noWrap/>
            <w:hideMark/>
          </w:tcPr>
          <w:p w14:paraId="46E1F578" w14:textId="77777777" w:rsidR="00EB7374" w:rsidRPr="00615E45" w:rsidRDefault="00EB7374" w:rsidP="00C700EB">
            <w:pPr>
              <w:jc w:val="right"/>
              <w:rPr>
                <w:rFonts w:cs="Calibri"/>
                <w:color w:val="000000"/>
                <w:sz w:val="15"/>
                <w:szCs w:val="15"/>
              </w:rPr>
            </w:pPr>
            <w:r w:rsidRPr="00615E45">
              <w:rPr>
                <w:color w:val="000000"/>
                <w:sz w:val="15"/>
              </w:rPr>
              <w:t>8.0</w:t>
            </w:r>
          </w:p>
        </w:tc>
        <w:tc>
          <w:tcPr>
            <w:tcW w:w="400" w:type="pct"/>
            <w:noWrap/>
            <w:hideMark/>
          </w:tcPr>
          <w:p w14:paraId="6592E32B" w14:textId="77777777" w:rsidR="00EB7374" w:rsidRPr="00615E45" w:rsidRDefault="00EB7374" w:rsidP="00C700EB">
            <w:pPr>
              <w:jc w:val="right"/>
              <w:rPr>
                <w:rFonts w:cs="Calibri"/>
                <w:color w:val="000000"/>
                <w:sz w:val="15"/>
                <w:szCs w:val="15"/>
              </w:rPr>
            </w:pPr>
            <w:r w:rsidRPr="00615E45">
              <w:rPr>
                <w:color w:val="000000"/>
                <w:sz w:val="15"/>
              </w:rPr>
              <w:t>8.0</w:t>
            </w:r>
          </w:p>
        </w:tc>
        <w:tc>
          <w:tcPr>
            <w:tcW w:w="400" w:type="pct"/>
            <w:noWrap/>
            <w:hideMark/>
          </w:tcPr>
          <w:p w14:paraId="4F21DC03" w14:textId="77777777" w:rsidR="00EB7374" w:rsidRPr="00615E45" w:rsidRDefault="00EB7374" w:rsidP="00C700EB">
            <w:pPr>
              <w:jc w:val="right"/>
              <w:rPr>
                <w:rFonts w:cs="Calibri"/>
                <w:color w:val="000000"/>
                <w:sz w:val="15"/>
                <w:szCs w:val="15"/>
              </w:rPr>
            </w:pPr>
            <w:r w:rsidRPr="00615E45">
              <w:rPr>
                <w:color w:val="000000"/>
                <w:sz w:val="15"/>
              </w:rPr>
              <w:t>6.8</w:t>
            </w:r>
          </w:p>
        </w:tc>
      </w:tr>
      <w:tr w:rsidR="00EB7374" w:rsidRPr="00615E45" w14:paraId="6B203EBC" w14:textId="77777777" w:rsidTr="00C700EB">
        <w:trPr>
          <w:cantSplit/>
        </w:trPr>
        <w:tc>
          <w:tcPr>
            <w:tcW w:w="2197" w:type="pct"/>
            <w:noWrap/>
            <w:hideMark/>
          </w:tcPr>
          <w:p w14:paraId="2BBC663D" w14:textId="77777777" w:rsidR="00EB7374" w:rsidRPr="00615E45" w:rsidRDefault="00EB7374" w:rsidP="00C700EB">
            <w:pPr>
              <w:ind w:left="113"/>
              <w:jc w:val="left"/>
              <w:rPr>
                <w:rFonts w:cs="Calibri"/>
                <w:color w:val="000000"/>
                <w:sz w:val="15"/>
                <w:szCs w:val="15"/>
              </w:rPr>
            </w:pPr>
            <w:r w:rsidRPr="00615E45">
              <w:rPr>
                <w:color w:val="000000"/>
                <w:sz w:val="15"/>
              </w:rPr>
              <w:t>08. Edible fruit and nuts; citrus fruit or melons</w:t>
            </w:r>
          </w:p>
        </w:tc>
        <w:tc>
          <w:tcPr>
            <w:tcW w:w="400" w:type="pct"/>
            <w:noWrap/>
            <w:hideMark/>
          </w:tcPr>
          <w:p w14:paraId="75AB0D0C" w14:textId="77777777" w:rsidR="00EB7374" w:rsidRPr="00615E45" w:rsidRDefault="00EB7374" w:rsidP="00C700EB">
            <w:pPr>
              <w:jc w:val="right"/>
              <w:rPr>
                <w:rFonts w:cs="Calibri"/>
                <w:color w:val="000000"/>
                <w:sz w:val="15"/>
                <w:szCs w:val="15"/>
              </w:rPr>
            </w:pPr>
            <w:r w:rsidRPr="00615E45">
              <w:rPr>
                <w:color w:val="000000"/>
                <w:sz w:val="15"/>
              </w:rPr>
              <w:t>2.6</w:t>
            </w:r>
          </w:p>
        </w:tc>
        <w:tc>
          <w:tcPr>
            <w:tcW w:w="400" w:type="pct"/>
            <w:noWrap/>
            <w:hideMark/>
          </w:tcPr>
          <w:p w14:paraId="3E206BDD" w14:textId="77777777" w:rsidR="00EB7374" w:rsidRPr="00615E45" w:rsidRDefault="00EB7374" w:rsidP="00C700EB">
            <w:pPr>
              <w:jc w:val="right"/>
              <w:rPr>
                <w:rFonts w:cs="Calibri"/>
                <w:color w:val="000000"/>
                <w:sz w:val="15"/>
                <w:szCs w:val="15"/>
              </w:rPr>
            </w:pPr>
            <w:r w:rsidRPr="00615E45">
              <w:rPr>
                <w:color w:val="000000"/>
                <w:sz w:val="15"/>
              </w:rPr>
              <w:t>3.7</w:t>
            </w:r>
          </w:p>
        </w:tc>
        <w:tc>
          <w:tcPr>
            <w:tcW w:w="400" w:type="pct"/>
            <w:noWrap/>
            <w:hideMark/>
          </w:tcPr>
          <w:p w14:paraId="7CD6C357" w14:textId="77777777" w:rsidR="00EB7374" w:rsidRPr="00615E45" w:rsidRDefault="00EB7374" w:rsidP="00C700EB">
            <w:pPr>
              <w:jc w:val="right"/>
              <w:rPr>
                <w:rFonts w:cs="Calibri"/>
                <w:color w:val="000000"/>
                <w:sz w:val="15"/>
                <w:szCs w:val="15"/>
              </w:rPr>
            </w:pPr>
            <w:r w:rsidRPr="00615E45">
              <w:rPr>
                <w:color w:val="000000"/>
                <w:sz w:val="15"/>
              </w:rPr>
              <w:t>4.1</w:t>
            </w:r>
          </w:p>
        </w:tc>
        <w:tc>
          <w:tcPr>
            <w:tcW w:w="400" w:type="pct"/>
            <w:noWrap/>
            <w:hideMark/>
          </w:tcPr>
          <w:p w14:paraId="5610DA70" w14:textId="77777777" w:rsidR="00EB7374" w:rsidRPr="00615E45" w:rsidRDefault="00EB7374" w:rsidP="00C700EB">
            <w:pPr>
              <w:jc w:val="right"/>
              <w:rPr>
                <w:rFonts w:cs="Calibri"/>
                <w:color w:val="000000"/>
                <w:sz w:val="15"/>
                <w:szCs w:val="15"/>
              </w:rPr>
            </w:pPr>
            <w:r w:rsidRPr="00615E45">
              <w:rPr>
                <w:color w:val="000000"/>
                <w:sz w:val="15"/>
              </w:rPr>
              <w:t>4.1</w:t>
            </w:r>
          </w:p>
        </w:tc>
        <w:tc>
          <w:tcPr>
            <w:tcW w:w="400" w:type="pct"/>
            <w:noWrap/>
            <w:hideMark/>
          </w:tcPr>
          <w:p w14:paraId="5F98E203" w14:textId="77777777" w:rsidR="00EB7374" w:rsidRPr="00615E45" w:rsidRDefault="00EB7374" w:rsidP="00C700EB">
            <w:pPr>
              <w:jc w:val="right"/>
              <w:rPr>
                <w:rFonts w:cs="Calibri"/>
                <w:color w:val="000000"/>
                <w:sz w:val="15"/>
                <w:szCs w:val="15"/>
              </w:rPr>
            </w:pPr>
            <w:r w:rsidRPr="00615E45">
              <w:rPr>
                <w:color w:val="000000"/>
                <w:sz w:val="15"/>
              </w:rPr>
              <w:t>4.0</w:t>
            </w:r>
          </w:p>
        </w:tc>
        <w:tc>
          <w:tcPr>
            <w:tcW w:w="400" w:type="pct"/>
            <w:noWrap/>
            <w:hideMark/>
          </w:tcPr>
          <w:p w14:paraId="07237971" w14:textId="77777777" w:rsidR="00EB7374" w:rsidRPr="00615E45" w:rsidRDefault="00EB7374" w:rsidP="00C700EB">
            <w:pPr>
              <w:jc w:val="right"/>
              <w:rPr>
                <w:rFonts w:cs="Calibri"/>
                <w:color w:val="000000"/>
                <w:sz w:val="15"/>
                <w:szCs w:val="15"/>
              </w:rPr>
            </w:pPr>
            <w:r w:rsidRPr="00615E45">
              <w:rPr>
                <w:color w:val="000000"/>
                <w:sz w:val="15"/>
              </w:rPr>
              <w:t>3.9</w:t>
            </w:r>
          </w:p>
        </w:tc>
        <w:tc>
          <w:tcPr>
            <w:tcW w:w="400" w:type="pct"/>
            <w:noWrap/>
            <w:hideMark/>
          </w:tcPr>
          <w:p w14:paraId="76F68A30" w14:textId="77777777" w:rsidR="00EB7374" w:rsidRPr="00615E45" w:rsidRDefault="00EB7374" w:rsidP="00C700EB">
            <w:pPr>
              <w:jc w:val="right"/>
              <w:rPr>
                <w:rFonts w:cs="Calibri"/>
                <w:color w:val="000000"/>
                <w:sz w:val="15"/>
                <w:szCs w:val="15"/>
              </w:rPr>
            </w:pPr>
            <w:r w:rsidRPr="00615E45">
              <w:rPr>
                <w:color w:val="000000"/>
                <w:sz w:val="15"/>
              </w:rPr>
              <w:t>4.6</w:t>
            </w:r>
          </w:p>
        </w:tc>
      </w:tr>
      <w:tr w:rsidR="00EB7374" w:rsidRPr="00615E45" w14:paraId="3C261FC8" w14:textId="77777777" w:rsidTr="00C700EB">
        <w:trPr>
          <w:cnfStyle w:val="000000010000" w:firstRow="0" w:lastRow="0" w:firstColumn="0" w:lastColumn="0" w:oddVBand="0" w:evenVBand="0" w:oddHBand="0" w:evenHBand="1" w:firstRowFirstColumn="0" w:firstRowLastColumn="0" w:lastRowFirstColumn="0" w:lastRowLastColumn="0"/>
          <w:cantSplit/>
        </w:trPr>
        <w:tc>
          <w:tcPr>
            <w:tcW w:w="2197" w:type="pct"/>
            <w:noWrap/>
            <w:hideMark/>
          </w:tcPr>
          <w:p w14:paraId="4F139055" w14:textId="77777777" w:rsidR="00EB7374" w:rsidRPr="00615E45" w:rsidRDefault="00EB7374" w:rsidP="00C700EB">
            <w:pPr>
              <w:ind w:left="113"/>
              <w:jc w:val="left"/>
              <w:rPr>
                <w:rFonts w:cs="Calibri"/>
                <w:color w:val="000000"/>
                <w:sz w:val="15"/>
                <w:szCs w:val="15"/>
              </w:rPr>
            </w:pPr>
            <w:r w:rsidRPr="00615E45">
              <w:rPr>
                <w:color w:val="000000"/>
                <w:sz w:val="15"/>
              </w:rPr>
              <w:t>22. Beverages, spirits and vinegar</w:t>
            </w:r>
          </w:p>
        </w:tc>
        <w:tc>
          <w:tcPr>
            <w:tcW w:w="400" w:type="pct"/>
            <w:noWrap/>
            <w:hideMark/>
          </w:tcPr>
          <w:p w14:paraId="3C94E538" w14:textId="77777777" w:rsidR="00EB7374" w:rsidRPr="00615E45" w:rsidRDefault="00EB7374" w:rsidP="00C700EB">
            <w:pPr>
              <w:jc w:val="right"/>
              <w:rPr>
                <w:rFonts w:cs="Calibri"/>
                <w:color w:val="000000"/>
                <w:sz w:val="15"/>
                <w:szCs w:val="15"/>
              </w:rPr>
            </w:pPr>
            <w:r w:rsidRPr="00615E45">
              <w:rPr>
                <w:color w:val="000000"/>
                <w:sz w:val="15"/>
              </w:rPr>
              <w:t>2.3</w:t>
            </w:r>
          </w:p>
        </w:tc>
        <w:tc>
          <w:tcPr>
            <w:tcW w:w="400" w:type="pct"/>
            <w:noWrap/>
            <w:hideMark/>
          </w:tcPr>
          <w:p w14:paraId="372A751A" w14:textId="77777777" w:rsidR="00EB7374" w:rsidRPr="00615E45" w:rsidRDefault="00EB7374" w:rsidP="00C700EB">
            <w:pPr>
              <w:jc w:val="right"/>
              <w:rPr>
                <w:rFonts w:cs="Calibri"/>
                <w:color w:val="000000"/>
                <w:sz w:val="15"/>
                <w:szCs w:val="15"/>
              </w:rPr>
            </w:pPr>
            <w:r w:rsidRPr="00615E45">
              <w:rPr>
                <w:color w:val="000000"/>
                <w:sz w:val="15"/>
              </w:rPr>
              <w:t>2.2</w:t>
            </w:r>
          </w:p>
        </w:tc>
        <w:tc>
          <w:tcPr>
            <w:tcW w:w="400" w:type="pct"/>
            <w:noWrap/>
            <w:hideMark/>
          </w:tcPr>
          <w:p w14:paraId="72DB4587" w14:textId="77777777" w:rsidR="00EB7374" w:rsidRPr="00615E45" w:rsidRDefault="00EB7374" w:rsidP="00C700EB">
            <w:pPr>
              <w:jc w:val="right"/>
              <w:rPr>
                <w:rFonts w:cs="Calibri"/>
                <w:color w:val="000000"/>
                <w:sz w:val="15"/>
                <w:szCs w:val="15"/>
              </w:rPr>
            </w:pPr>
            <w:r w:rsidRPr="00615E45">
              <w:rPr>
                <w:color w:val="000000"/>
                <w:sz w:val="15"/>
              </w:rPr>
              <w:t>3.3</w:t>
            </w:r>
          </w:p>
        </w:tc>
        <w:tc>
          <w:tcPr>
            <w:tcW w:w="400" w:type="pct"/>
            <w:noWrap/>
            <w:hideMark/>
          </w:tcPr>
          <w:p w14:paraId="61073923" w14:textId="77777777" w:rsidR="00EB7374" w:rsidRPr="00615E45" w:rsidRDefault="00EB7374" w:rsidP="00C700EB">
            <w:pPr>
              <w:jc w:val="right"/>
              <w:rPr>
                <w:rFonts w:cs="Calibri"/>
                <w:color w:val="000000"/>
                <w:sz w:val="15"/>
                <w:szCs w:val="15"/>
              </w:rPr>
            </w:pPr>
            <w:r w:rsidRPr="00615E45">
              <w:rPr>
                <w:color w:val="000000"/>
                <w:sz w:val="15"/>
              </w:rPr>
              <w:t>2.9</w:t>
            </w:r>
          </w:p>
        </w:tc>
        <w:tc>
          <w:tcPr>
            <w:tcW w:w="400" w:type="pct"/>
            <w:noWrap/>
            <w:hideMark/>
          </w:tcPr>
          <w:p w14:paraId="6D27DF89" w14:textId="77777777" w:rsidR="00EB7374" w:rsidRPr="00615E45" w:rsidRDefault="00EB7374" w:rsidP="00C700EB">
            <w:pPr>
              <w:jc w:val="right"/>
              <w:rPr>
                <w:rFonts w:cs="Calibri"/>
                <w:color w:val="000000"/>
                <w:sz w:val="15"/>
                <w:szCs w:val="15"/>
              </w:rPr>
            </w:pPr>
            <w:r w:rsidRPr="00615E45">
              <w:rPr>
                <w:color w:val="000000"/>
                <w:sz w:val="15"/>
              </w:rPr>
              <w:t>3.0</w:t>
            </w:r>
          </w:p>
        </w:tc>
        <w:tc>
          <w:tcPr>
            <w:tcW w:w="400" w:type="pct"/>
            <w:noWrap/>
            <w:hideMark/>
          </w:tcPr>
          <w:p w14:paraId="2DB77339" w14:textId="77777777" w:rsidR="00EB7374" w:rsidRPr="00615E45" w:rsidRDefault="00EB7374" w:rsidP="00C700EB">
            <w:pPr>
              <w:jc w:val="right"/>
              <w:rPr>
                <w:rFonts w:cs="Calibri"/>
                <w:color w:val="000000"/>
                <w:sz w:val="15"/>
                <w:szCs w:val="15"/>
              </w:rPr>
            </w:pPr>
            <w:r w:rsidRPr="00615E45">
              <w:rPr>
                <w:color w:val="000000"/>
                <w:sz w:val="15"/>
              </w:rPr>
              <w:t>3.8</w:t>
            </w:r>
          </w:p>
        </w:tc>
        <w:tc>
          <w:tcPr>
            <w:tcW w:w="400" w:type="pct"/>
            <w:noWrap/>
            <w:hideMark/>
          </w:tcPr>
          <w:p w14:paraId="71CC0D46" w14:textId="77777777" w:rsidR="00EB7374" w:rsidRPr="00615E45" w:rsidRDefault="00EB7374" w:rsidP="00C700EB">
            <w:pPr>
              <w:jc w:val="right"/>
              <w:rPr>
                <w:rFonts w:cs="Calibri"/>
                <w:color w:val="000000"/>
                <w:sz w:val="15"/>
                <w:szCs w:val="15"/>
              </w:rPr>
            </w:pPr>
            <w:r w:rsidRPr="00615E45">
              <w:rPr>
                <w:color w:val="000000"/>
                <w:sz w:val="15"/>
              </w:rPr>
              <w:t>4.3</w:t>
            </w:r>
          </w:p>
        </w:tc>
      </w:tr>
      <w:tr w:rsidR="00EB7374" w:rsidRPr="00615E45" w14:paraId="198B403F" w14:textId="77777777" w:rsidTr="00C700EB">
        <w:trPr>
          <w:cantSplit/>
        </w:trPr>
        <w:tc>
          <w:tcPr>
            <w:tcW w:w="2197" w:type="pct"/>
            <w:noWrap/>
            <w:hideMark/>
          </w:tcPr>
          <w:p w14:paraId="1D9DFE1F" w14:textId="77777777" w:rsidR="00EB7374" w:rsidRPr="00615E45" w:rsidRDefault="00EB7374" w:rsidP="00C700EB">
            <w:pPr>
              <w:ind w:left="113"/>
              <w:jc w:val="left"/>
              <w:rPr>
                <w:rFonts w:cs="Calibri"/>
                <w:color w:val="000000"/>
                <w:sz w:val="15"/>
                <w:szCs w:val="15"/>
              </w:rPr>
            </w:pPr>
            <w:r w:rsidRPr="00615E45">
              <w:rPr>
                <w:color w:val="000000"/>
                <w:sz w:val="15"/>
              </w:rPr>
              <w:t>20. Preparations of vegetables, fruit or other parts of plants</w:t>
            </w:r>
          </w:p>
        </w:tc>
        <w:tc>
          <w:tcPr>
            <w:tcW w:w="400" w:type="pct"/>
            <w:noWrap/>
            <w:hideMark/>
          </w:tcPr>
          <w:p w14:paraId="512AA328" w14:textId="77777777" w:rsidR="00EB7374" w:rsidRPr="00615E45" w:rsidRDefault="00EB7374" w:rsidP="00C700EB">
            <w:pPr>
              <w:jc w:val="right"/>
              <w:rPr>
                <w:rFonts w:cs="Calibri"/>
                <w:color w:val="000000"/>
                <w:sz w:val="15"/>
                <w:szCs w:val="15"/>
              </w:rPr>
            </w:pPr>
            <w:r w:rsidRPr="00615E45">
              <w:rPr>
                <w:color w:val="000000"/>
                <w:sz w:val="15"/>
              </w:rPr>
              <w:t>0.4</w:t>
            </w:r>
          </w:p>
        </w:tc>
        <w:tc>
          <w:tcPr>
            <w:tcW w:w="400" w:type="pct"/>
            <w:noWrap/>
            <w:hideMark/>
          </w:tcPr>
          <w:p w14:paraId="6BC222B3" w14:textId="77777777" w:rsidR="00EB7374" w:rsidRPr="00615E45" w:rsidRDefault="00EB7374" w:rsidP="00C700EB">
            <w:pPr>
              <w:jc w:val="right"/>
              <w:rPr>
                <w:rFonts w:cs="Calibri"/>
                <w:color w:val="000000"/>
                <w:sz w:val="15"/>
                <w:szCs w:val="15"/>
              </w:rPr>
            </w:pPr>
            <w:r w:rsidRPr="00615E45">
              <w:rPr>
                <w:color w:val="000000"/>
                <w:sz w:val="15"/>
              </w:rPr>
              <w:t>1.0</w:t>
            </w:r>
          </w:p>
        </w:tc>
        <w:tc>
          <w:tcPr>
            <w:tcW w:w="400" w:type="pct"/>
            <w:noWrap/>
            <w:hideMark/>
          </w:tcPr>
          <w:p w14:paraId="11BA1FD2" w14:textId="77777777" w:rsidR="00EB7374" w:rsidRPr="00615E45" w:rsidRDefault="00EB7374" w:rsidP="00C700EB">
            <w:pPr>
              <w:jc w:val="right"/>
              <w:rPr>
                <w:rFonts w:cs="Calibri"/>
                <w:color w:val="000000"/>
                <w:sz w:val="15"/>
                <w:szCs w:val="15"/>
              </w:rPr>
            </w:pPr>
            <w:r w:rsidRPr="00615E45">
              <w:rPr>
                <w:color w:val="000000"/>
                <w:sz w:val="15"/>
              </w:rPr>
              <w:t>1.0</w:t>
            </w:r>
          </w:p>
        </w:tc>
        <w:tc>
          <w:tcPr>
            <w:tcW w:w="400" w:type="pct"/>
            <w:noWrap/>
            <w:hideMark/>
          </w:tcPr>
          <w:p w14:paraId="2C637942" w14:textId="77777777" w:rsidR="00EB7374" w:rsidRPr="00615E45" w:rsidRDefault="00EB7374" w:rsidP="00C700EB">
            <w:pPr>
              <w:jc w:val="right"/>
              <w:rPr>
                <w:rFonts w:cs="Calibri"/>
                <w:color w:val="000000"/>
                <w:sz w:val="15"/>
                <w:szCs w:val="15"/>
              </w:rPr>
            </w:pPr>
            <w:r w:rsidRPr="00615E45">
              <w:rPr>
                <w:color w:val="000000"/>
                <w:sz w:val="15"/>
              </w:rPr>
              <w:t>0.9</w:t>
            </w:r>
          </w:p>
        </w:tc>
        <w:tc>
          <w:tcPr>
            <w:tcW w:w="400" w:type="pct"/>
            <w:noWrap/>
            <w:hideMark/>
          </w:tcPr>
          <w:p w14:paraId="7F2F94C4" w14:textId="77777777" w:rsidR="00EB7374" w:rsidRPr="00615E45" w:rsidRDefault="00EB7374" w:rsidP="00C700EB">
            <w:pPr>
              <w:jc w:val="right"/>
              <w:rPr>
                <w:rFonts w:cs="Calibri"/>
                <w:color w:val="000000"/>
                <w:sz w:val="15"/>
                <w:szCs w:val="15"/>
              </w:rPr>
            </w:pPr>
            <w:r w:rsidRPr="00615E45">
              <w:rPr>
                <w:color w:val="000000"/>
                <w:sz w:val="15"/>
              </w:rPr>
              <w:t>1.0</w:t>
            </w:r>
          </w:p>
        </w:tc>
        <w:tc>
          <w:tcPr>
            <w:tcW w:w="400" w:type="pct"/>
            <w:noWrap/>
            <w:hideMark/>
          </w:tcPr>
          <w:p w14:paraId="5F6B2175" w14:textId="77777777" w:rsidR="00EB7374" w:rsidRPr="00615E45" w:rsidRDefault="00EB7374" w:rsidP="00C700EB">
            <w:pPr>
              <w:jc w:val="right"/>
              <w:rPr>
                <w:rFonts w:cs="Calibri"/>
                <w:color w:val="000000"/>
                <w:sz w:val="15"/>
                <w:szCs w:val="15"/>
              </w:rPr>
            </w:pPr>
            <w:r w:rsidRPr="00615E45">
              <w:rPr>
                <w:color w:val="000000"/>
                <w:sz w:val="15"/>
              </w:rPr>
              <w:t>1.2</w:t>
            </w:r>
          </w:p>
        </w:tc>
        <w:tc>
          <w:tcPr>
            <w:tcW w:w="400" w:type="pct"/>
            <w:noWrap/>
            <w:hideMark/>
          </w:tcPr>
          <w:p w14:paraId="2BEF61E4" w14:textId="77777777" w:rsidR="00EB7374" w:rsidRPr="00615E45" w:rsidRDefault="00EB7374" w:rsidP="00C700EB">
            <w:pPr>
              <w:jc w:val="right"/>
              <w:rPr>
                <w:rFonts w:cs="Calibri"/>
                <w:color w:val="000000"/>
                <w:sz w:val="15"/>
                <w:szCs w:val="15"/>
              </w:rPr>
            </w:pPr>
            <w:r w:rsidRPr="00615E45">
              <w:rPr>
                <w:color w:val="000000"/>
                <w:sz w:val="15"/>
              </w:rPr>
              <w:t>3.1</w:t>
            </w:r>
          </w:p>
        </w:tc>
      </w:tr>
      <w:tr w:rsidR="00EB7374" w:rsidRPr="00615E45" w14:paraId="2EF093EC" w14:textId="77777777" w:rsidTr="00C700EB">
        <w:trPr>
          <w:cnfStyle w:val="000000010000" w:firstRow="0" w:lastRow="0" w:firstColumn="0" w:lastColumn="0" w:oddVBand="0" w:evenVBand="0" w:oddHBand="0" w:evenHBand="1" w:firstRowFirstColumn="0" w:firstRowLastColumn="0" w:lastRowFirstColumn="0" w:lastRowLastColumn="0"/>
          <w:cantSplit/>
        </w:trPr>
        <w:tc>
          <w:tcPr>
            <w:tcW w:w="2197" w:type="pct"/>
            <w:noWrap/>
            <w:hideMark/>
          </w:tcPr>
          <w:p w14:paraId="0E2C7141" w14:textId="77777777" w:rsidR="00EB7374" w:rsidRPr="00615E45" w:rsidRDefault="00EB7374" w:rsidP="00C700EB">
            <w:pPr>
              <w:jc w:val="left"/>
              <w:rPr>
                <w:rFonts w:cs="Calibri"/>
                <w:b/>
                <w:color w:val="000000"/>
                <w:sz w:val="15"/>
                <w:szCs w:val="15"/>
              </w:rPr>
            </w:pPr>
            <w:r w:rsidRPr="00615E45">
              <w:rPr>
                <w:b/>
                <w:color w:val="000000"/>
                <w:sz w:val="15"/>
              </w:rPr>
              <w:t>Free</w:t>
            </w:r>
            <w:r>
              <w:rPr>
                <w:b/>
                <w:color w:val="000000"/>
                <w:sz w:val="15"/>
              </w:rPr>
              <w:t xml:space="preserve"> </w:t>
            </w:r>
            <w:r w:rsidRPr="00615E45">
              <w:rPr>
                <w:b/>
                <w:color w:val="000000"/>
                <w:sz w:val="15"/>
              </w:rPr>
              <w:t>zone imports</w:t>
            </w:r>
          </w:p>
        </w:tc>
        <w:tc>
          <w:tcPr>
            <w:tcW w:w="400" w:type="pct"/>
            <w:noWrap/>
            <w:hideMark/>
          </w:tcPr>
          <w:p w14:paraId="5A017F36" w14:textId="77777777" w:rsidR="00EB7374" w:rsidRPr="00615E45" w:rsidRDefault="00EB7374" w:rsidP="00C700EB">
            <w:pPr>
              <w:jc w:val="right"/>
              <w:rPr>
                <w:rFonts w:cs="Calibri"/>
                <w:bCs/>
                <w:color w:val="000000"/>
                <w:sz w:val="15"/>
                <w:szCs w:val="15"/>
              </w:rPr>
            </w:pPr>
          </w:p>
        </w:tc>
        <w:tc>
          <w:tcPr>
            <w:tcW w:w="400" w:type="pct"/>
            <w:noWrap/>
            <w:hideMark/>
          </w:tcPr>
          <w:p w14:paraId="067A2817" w14:textId="77777777" w:rsidR="00EB7374" w:rsidRPr="00615E45" w:rsidRDefault="00EB7374" w:rsidP="00C700EB">
            <w:pPr>
              <w:jc w:val="right"/>
              <w:rPr>
                <w:sz w:val="15"/>
                <w:szCs w:val="15"/>
              </w:rPr>
            </w:pPr>
          </w:p>
        </w:tc>
        <w:tc>
          <w:tcPr>
            <w:tcW w:w="400" w:type="pct"/>
            <w:noWrap/>
            <w:hideMark/>
          </w:tcPr>
          <w:p w14:paraId="1760BC4C" w14:textId="77777777" w:rsidR="00EB7374" w:rsidRPr="00615E45" w:rsidRDefault="00EB7374" w:rsidP="00C700EB">
            <w:pPr>
              <w:jc w:val="right"/>
              <w:rPr>
                <w:sz w:val="15"/>
                <w:szCs w:val="15"/>
              </w:rPr>
            </w:pPr>
          </w:p>
        </w:tc>
        <w:tc>
          <w:tcPr>
            <w:tcW w:w="400" w:type="pct"/>
            <w:noWrap/>
            <w:hideMark/>
          </w:tcPr>
          <w:p w14:paraId="75245D17" w14:textId="77777777" w:rsidR="00EB7374" w:rsidRPr="00615E45" w:rsidRDefault="00EB7374" w:rsidP="00C700EB">
            <w:pPr>
              <w:jc w:val="right"/>
              <w:rPr>
                <w:sz w:val="15"/>
                <w:szCs w:val="15"/>
              </w:rPr>
            </w:pPr>
          </w:p>
        </w:tc>
        <w:tc>
          <w:tcPr>
            <w:tcW w:w="400" w:type="pct"/>
            <w:noWrap/>
            <w:hideMark/>
          </w:tcPr>
          <w:p w14:paraId="0F141F03" w14:textId="77777777" w:rsidR="00EB7374" w:rsidRPr="00615E45" w:rsidRDefault="00EB7374" w:rsidP="00C700EB">
            <w:pPr>
              <w:jc w:val="right"/>
              <w:rPr>
                <w:sz w:val="15"/>
                <w:szCs w:val="15"/>
              </w:rPr>
            </w:pPr>
          </w:p>
        </w:tc>
        <w:tc>
          <w:tcPr>
            <w:tcW w:w="400" w:type="pct"/>
            <w:noWrap/>
            <w:hideMark/>
          </w:tcPr>
          <w:p w14:paraId="11F6800C" w14:textId="77777777" w:rsidR="00EB7374" w:rsidRPr="00615E45" w:rsidRDefault="00EB7374" w:rsidP="00C700EB">
            <w:pPr>
              <w:jc w:val="right"/>
              <w:rPr>
                <w:sz w:val="15"/>
                <w:szCs w:val="15"/>
              </w:rPr>
            </w:pPr>
          </w:p>
        </w:tc>
        <w:tc>
          <w:tcPr>
            <w:tcW w:w="400" w:type="pct"/>
            <w:noWrap/>
            <w:hideMark/>
          </w:tcPr>
          <w:p w14:paraId="389B0A8D" w14:textId="77777777" w:rsidR="00EB7374" w:rsidRPr="00615E45" w:rsidRDefault="00EB7374" w:rsidP="00C700EB">
            <w:pPr>
              <w:jc w:val="right"/>
              <w:rPr>
                <w:sz w:val="15"/>
                <w:szCs w:val="15"/>
              </w:rPr>
            </w:pPr>
          </w:p>
        </w:tc>
      </w:tr>
      <w:tr w:rsidR="00EB7374" w:rsidRPr="00615E45" w14:paraId="7BD2D33A" w14:textId="77777777" w:rsidTr="00C700EB">
        <w:trPr>
          <w:cantSplit/>
        </w:trPr>
        <w:tc>
          <w:tcPr>
            <w:tcW w:w="2197" w:type="pct"/>
            <w:noWrap/>
            <w:hideMark/>
          </w:tcPr>
          <w:p w14:paraId="5E679043" w14:textId="77777777" w:rsidR="00EB7374" w:rsidRPr="00615E45" w:rsidRDefault="00EB7374" w:rsidP="00C700EB">
            <w:pPr>
              <w:jc w:val="left"/>
              <w:rPr>
                <w:rFonts w:cs="Calibri"/>
                <w:color w:val="000000"/>
                <w:sz w:val="15"/>
                <w:szCs w:val="15"/>
              </w:rPr>
            </w:pPr>
            <w:r w:rsidRPr="00615E45">
              <w:rPr>
                <w:color w:val="000000"/>
                <w:sz w:val="15"/>
              </w:rPr>
              <w:t>Value (USD million)</w:t>
            </w:r>
          </w:p>
        </w:tc>
        <w:tc>
          <w:tcPr>
            <w:tcW w:w="400" w:type="pct"/>
            <w:noWrap/>
            <w:hideMark/>
          </w:tcPr>
          <w:p w14:paraId="461637C6" w14:textId="77777777" w:rsidR="00EB7374" w:rsidRPr="00615E45" w:rsidRDefault="00EB7374" w:rsidP="00C700EB">
            <w:pPr>
              <w:jc w:val="right"/>
              <w:rPr>
                <w:rFonts w:cs="Calibri"/>
                <w:color w:val="000000"/>
                <w:sz w:val="15"/>
                <w:szCs w:val="15"/>
              </w:rPr>
            </w:pPr>
            <w:r w:rsidRPr="00615E45">
              <w:rPr>
                <w:color w:val="000000"/>
                <w:sz w:val="15"/>
              </w:rPr>
              <w:t>332</w:t>
            </w:r>
          </w:p>
        </w:tc>
        <w:tc>
          <w:tcPr>
            <w:tcW w:w="400" w:type="pct"/>
            <w:noWrap/>
            <w:hideMark/>
          </w:tcPr>
          <w:p w14:paraId="5D66942C" w14:textId="77777777" w:rsidR="00EB7374" w:rsidRPr="00615E45" w:rsidRDefault="00EB7374" w:rsidP="00C700EB">
            <w:pPr>
              <w:jc w:val="right"/>
              <w:rPr>
                <w:rFonts w:cs="Calibri"/>
                <w:color w:val="000000"/>
                <w:sz w:val="15"/>
                <w:szCs w:val="15"/>
              </w:rPr>
            </w:pPr>
            <w:r w:rsidRPr="00615E45">
              <w:rPr>
                <w:color w:val="000000"/>
                <w:sz w:val="15"/>
              </w:rPr>
              <w:t>350</w:t>
            </w:r>
          </w:p>
        </w:tc>
        <w:tc>
          <w:tcPr>
            <w:tcW w:w="400" w:type="pct"/>
            <w:noWrap/>
            <w:hideMark/>
          </w:tcPr>
          <w:p w14:paraId="434F55BE" w14:textId="77777777" w:rsidR="00EB7374" w:rsidRPr="00615E45" w:rsidRDefault="00EB7374" w:rsidP="00C700EB">
            <w:pPr>
              <w:jc w:val="right"/>
              <w:rPr>
                <w:rFonts w:cs="Calibri"/>
                <w:color w:val="000000"/>
                <w:sz w:val="15"/>
                <w:szCs w:val="15"/>
              </w:rPr>
            </w:pPr>
            <w:r w:rsidRPr="00615E45">
              <w:rPr>
                <w:color w:val="000000"/>
                <w:sz w:val="15"/>
              </w:rPr>
              <w:t>400</w:t>
            </w:r>
          </w:p>
        </w:tc>
        <w:tc>
          <w:tcPr>
            <w:tcW w:w="400" w:type="pct"/>
            <w:noWrap/>
            <w:hideMark/>
          </w:tcPr>
          <w:p w14:paraId="55993A3B" w14:textId="77777777" w:rsidR="00EB7374" w:rsidRPr="00615E45" w:rsidRDefault="00EB7374" w:rsidP="00C700EB">
            <w:pPr>
              <w:jc w:val="right"/>
              <w:rPr>
                <w:rFonts w:cs="Calibri"/>
                <w:color w:val="000000"/>
                <w:sz w:val="15"/>
                <w:szCs w:val="15"/>
              </w:rPr>
            </w:pPr>
            <w:r w:rsidRPr="00615E45">
              <w:rPr>
                <w:color w:val="000000"/>
                <w:sz w:val="15"/>
              </w:rPr>
              <w:t>418</w:t>
            </w:r>
          </w:p>
        </w:tc>
        <w:tc>
          <w:tcPr>
            <w:tcW w:w="400" w:type="pct"/>
            <w:noWrap/>
            <w:hideMark/>
          </w:tcPr>
          <w:p w14:paraId="725BCBF6" w14:textId="77777777" w:rsidR="00EB7374" w:rsidRPr="00615E45" w:rsidRDefault="00EB7374" w:rsidP="00C700EB">
            <w:pPr>
              <w:jc w:val="right"/>
              <w:rPr>
                <w:rFonts w:cs="Calibri"/>
                <w:color w:val="000000"/>
                <w:sz w:val="15"/>
                <w:szCs w:val="15"/>
              </w:rPr>
            </w:pPr>
            <w:r w:rsidRPr="00615E45">
              <w:rPr>
                <w:color w:val="000000"/>
                <w:sz w:val="15"/>
              </w:rPr>
              <w:t>468</w:t>
            </w:r>
          </w:p>
        </w:tc>
        <w:tc>
          <w:tcPr>
            <w:tcW w:w="400" w:type="pct"/>
            <w:noWrap/>
            <w:hideMark/>
          </w:tcPr>
          <w:p w14:paraId="46AC971A" w14:textId="77777777" w:rsidR="00EB7374" w:rsidRPr="00615E45" w:rsidRDefault="00EB7374" w:rsidP="00C700EB">
            <w:pPr>
              <w:jc w:val="right"/>
              <w:rPr>
                <w:rFonts w:cs="Calibri"/>
                <w:color w:val="000000"/>
                <w:sz w:val="15"/>
                <w:szCs w:val="15"/>
              </w:rPr>
            </w:pPr>
            <w:r w:rsidRPr="00615E45">
              <w:rPr>
                <w:color w:val="000000"/>
                <w:sz w:val="15"/>
              </w:rPr>
              <w:t>477</w:t>
            </w:r>
          </w:p>
        </w:tc>
        <w:tc>
          <w:tcPr>
            <w:tcW w:w="400" w:type="pct"/>
            <w:noWrap/>
            <w:hideMark/>
          </w:tcPr>
          <w:p w14:paraId="662D884D" w14:textId="77777777" w:rsidR="00EB7374" w:rsidRPr="00615E45" w:rsidRDefault="00EB7374" w:rsidP="00C700EB">
            <w:pPr>
              <w:jc w:val="right"/>
              <w:rPr>
                <w:rFonts w:cs="Calibri"/>
                <w:color w:val="000000"/>
                <w:sz w:val="15"/>
                <w:szCs w:val="15"/>
              </w:rPr>
            </w:pPr>
            <w:r w:rsidRPr="00615E45">
              <w:rPr>
                <w:color w:val="000000"/>
                <w:sz w:val="15"/>
              </w:rPr>
              <w:t>535</w:t>
            </w:r>
          </w:p>
        </w:tc>
      </w:tr>
      <w:tr w:rsidR="00EB7374" w:rsidRPr="00615E45" w14:paraId="6AAFF098" w14:textId="77777777" w:rsidTr="00C700EB">
        <w:trPr>
          <w:cnfStyle w:val="000000010000" w:firstRow="0" w:lastRow="0" w:firstColumn="0" w:lastColumn="0" w:oddVBand="0" w:evenVBand="0" w:oddHBand="0" w:evenHBand="1" w:firstRowFirstColumn="0" w:firstRowLastColumn="0" w:lastRowFirstColumn="0" w:lastRowLastColumn="0"/>
          <w:cantSplit/>
        </w:trPr>
        <w:tc>
          <w:tcPr>
            <w:tcW w:w="2197" w:type="pct"/>
            <w:noWrap/>
            <w:hideMark/>
          </w:tcPr>
          <w:p w14:paraId="61FE4F6E" w14:textId="77777777" w:rsidR="00EB7374" w:rsidRPr="00615E45" w:rsidRDefault="00EB7374" w:rsidP="00C700EB">
            <w:pPr>
              <w:jc w:val="left"/>
              <w:rPr>
                <w:rFonts w:cs="Calibri"/>
                <w:color w:val="000000"/>
                <w:sz w:val="15"/>
                <w:szCs w:val="15"/>
              </w:rPr>
            </w:pPr>
            <w:r w:rsidRPr="00615E45">
              <w:rPr>
                <w:color w:val="000000"/>
                <w:sz w:val="15"/>
              </w:rPr>
              <w:t xml:space="preserve">Top </w:t>
            </w:r>
            <w:r>
              <w:rPr>
                <w:color w:val="000000"/>
                <w:sz w:val="15"/>
              </w:rPr>
              <w:t>five</w:t>
            </w:r>
            <w:r w:rsidRPr="00615E45">
              <w:rPr>
                <w:color w:val="000000"/>
                <w:sz w:val="15"/>
              </w:rPr>
              <w:t xml:space="preserve"> products, </w:t>
            </w:r>
            <w:r>
              <w:rPr>
                <w:color w:val="000000"/>
                <w:sz w:val="15"/>
              </w:rPr>
              <w:t>by</w:t>
            </w:r>
            <w:r w:rsidRPr="00615E45">
              <w:rPr>
                <w:color w:val="000000"/>
                <w:sz w:val="15"/>
              </w:rPr>
              <w:t xml:space="preserve"> HS chapter (% of agricultural total)</w:t>
            </w:r>
          </w:p>
        </w:tc>
        <w:tc>
          <w:tcPr>
            <w:tcW w:w="400" w:type="pct"/>
          </w:tcPr>
          <w:p w14:paraId="743A166F" w14:textId="77777777" w:rsidR="00EB7374" w:rsidRPr="00615E45" w:rsidRDefault="00EB7374" w:rsidP="00C700EB">
            <w:pPr>
              <w:jc w:val="right"/>
              <w:rPr>
                <w:rFonts w:cs="Calibri"/>
                <w:color w:val="000000"/>
                <w:sz w:val="15"/>
                <w:szCs w:val="15"/>
              </w:rPr>
            </w:pPr>
          </w:p>
        </w:tc>
        <w:tc>
          <w:tcPr>
            <w:tcW w:w="400" w:type="pct"/>
          </w:tcPr>
          <w:p w14:paraId="737B9A9B" w14:textId="77777777" w:rsidR="00EB7374" w:rsidRPr="00615E45" w:rsidRDefault="00EB7374" w:rsidP="00C700EB">
            <w:pPr>
              <w:jc w:val="right"/>
              <w:rPr>
                <w:rFonts w:cs="Calibri"/>
                <w:color w:val="000000"/>
                <w:sz w:val="15"/>
                <w:szCs w:val="15"/>
              </w:rPr>
            </w:pPr>
          </w:p>
        </w:tc>
        <w:tc>
          <w:tcPr>
            <w:tcW w:w="400" w:type="pct"/>
          </w:tcPr>
          <w:p w14:paraId="67E716EE" w14:textId="77777777" w:rsidR="00EB7374" w:rsidRPr="00615E45" w:rsidRDefault="00EB7374" w:rsidP="00C700EB">
            <w:pPr>
              <w:jc w:val="right"/>
              <w:rPr>
                <w:rFonts w:cs="Calibri"/>
                <w:color w:val="000000"/>
                <w:sz w:val="15"/>
                <w:szCs w:val="15"/>
              </w:rPr>
            </w:pPr>
          </w:p>
        </w:tc>
        <w:tc>
          <w:tcPr>
            <w:tcW w:w="400" w:type="pct"/>
            <w:noWrap/>
            <w:hideMark/>
          </w:tcPr>
          <w:p w14:paraId="27679496" w14:textId="77777777" w:rsidR="00EB7374" w:rsidRPr="00615E45" w:rsidRDefault="00EB7374" w:rsidP="00C700EB">
            <w:pPr>
              <w:jc w:val="right"/>
              <w:rPr>
                <w:rFonts w:cs="Calibri"/>
                <w:color w:val="000000"/>
                <w:sz w:val="15"/>
                <w:szCs w:val="15"/>
              </w:rPr>
            </w:pPr>
          </w:p>
        </w:tc>
        <w:tc>
          <w:tcPr>
            <w:tcW w:w="400" w:type="pct"/>
            <w:noWrap/>
            <w:hideMark/>
          </w:tcPr>
          <w:p w14:paraId="4BBBF617" w14:textId="77777777" w:rsidR="00EB7374" w:rsidRPr="00615E45" w:rsidRDefault="00EB7374" w:rsidP="00C700EB">
            <w:pPr>
              <w:jc w:val="right"/>
              <w:rPr>
                <w:sz w:val="15"/>
                <w:szCs w:val="15"/>
              </w:rPr>
            </w:pPr>
          </w:p>
        </w:tc>
        <w:tc>
          <w:tcPr>
            <w:tcW w:w="400" w:type="pct"/>
            <w:noWrap/>
            <w:hideMark/>
          </w:tcPr>
          <w:p w14:paraId="04DCA1A8" w14:textId="77777777" w:rsidR="00EB7374" w:rsidRPr="00615E45" w:rsidRDefault="00EB7374" w:rsidP="00C700EB">
            <w:pPr>
              <w:jc w:val="right"/>
              <w:rPr>
                <w:sz w:val="15"/>
                <w:szCs w:val="15"/>
              </w:rPr>
            </w:pPr>
          </w:p>
        </w:tc>
        <w:tc>
          <w:tcPr>
            <w:tcW w:w="400" w:type="pct"/>
            <w:noWrap/>
            <w:hideMark/>
          </w:tcPr>
          <w:p w14:paraId="1F326095" w14:textId="77777777" w:rsidR="00EB7374" w:rsidRPr="00615E45" w:rsidRDefault="00EB7374" w:rsidP="00C700EB">
            <w:pPr>
              <w:jc w:val="right"/>
              <w:rPr>
                <w:sz w:val="15"/>
                <w:szCs w:val="15"/>
              </w:rPr>
            </w:pPr>
          </w:p>
        </w:tc>
      </w:tr>
      <w:tr w:rsidR="00EB7374" w:rsidRPr="00615E45" w14:paraId="633B993B" w14:textId="77777777" w:rsidTr="00C700EB">
        <w:trPr>
          <w:cantSplit/>
        </w:trPr>
        <w:tc>
          <w:tcPr>
            <w:tcW w:w="2197" w:type="pct"/>
            <w:noWrap/>
            <w:hideMark/>
          </w:tcPr>
          <w:p w14:paraId="7AADE775" w14:textId="77777777" w:rsidR="00EB7374" w:rsidRPr="00615E45" w:rsidRDefault="00EB7374" w:rsidP="00C700EB">
            <w:pPr>
              <w:ind w:left="113"/>
              <w:jc w:val="left"/>
              <w:rPr>
                <w:rFonts w:cs="Calibri"/>
                <w:color w:val="000000"/>
                <w:sz w:val="15"/>
                <w:szCs w:val="15"/>
              </w:rPr>
            </w:pPr>
            <w:r w:rsidRPr="00615E45">
              <w:rPr>
                <w:color w:val="000000"/>
                <w:sz w:val="15"/>
              </w:rPr>
              <w:t>24. Tobacco and manufactured tobacco substitutes</w:t>
            </w:r>
          </w:p>
        </w:tc>
        <w:tc>
          <w:tcPr>
            <w:tcW w:w="400" w:type="pct"/>
            <w:noWrap/>
            <w:hideMark/>
          </w:tcPr>
          <w:p w14:paraId="7C957773" w14:textId="77777777" w:rsidR="00EB7374" w:rsidRPr="00615E45" w:rsidRDefault="00EB7374" w:rsidP="00C700EB">
            <w:pPr>
              <w:jc w:val="right"/>
              <w:rPr>
                <w:rFonts w:cs="Calibri"/>
                <w:color w:val="000000"/>
                <w:sz w:val="15"/>
                <w:szCs w:val="15"/>
              </w:rPr>
            </w:pPr>
            <w:r w:rsidRPr="00615E45">
              <w:rPr>
                <w:color w:val="000000"/>
                <w:sz w:val="15"/>
              </w:rPr>
              <w:t>80.5</w:t>
            </w:r>
          </w:p>
        </w:tc>
        <w:tc>
          <w:tcPr>
            <w:tcW w:w="400" w:type="pct"/>
            <w:noWrap/>
            <w:hideMark/>
          </w:tcPr>
          <w:p w14:paraId="0D14720A" w14:textId="77777777" w:rsidR="00EB7374" w:rsidRPr="00615E45" w:rsidRDefault="00EB7374" w:rsidP="00C700EB">
            <w:pPr>
              <w:jc w:val="right"/>
              <w:rPr>
                <w:rFonts w:cs="Calibri"/>
                <w:color w:val="000000"/>
                <w:sz w:val="15"/>
                <w:szCs w:val="15"/>
              </w:rPr>
            </w:pPr>
            <w:r w:rsidRPr="00615E45">
              <w:rPr>
                <w:color w:val="000000"/>
                <w:sz w:val="15"/>
              </w:rPr>
              <w:t>76.9</w:t>
            </w:r>
          </w:p>
        </w:tc>
        <w:tc>
          <w:tcPr>
            <w:tcW w:w="400" w:type="pct"/>
            <w:noWrap/>
            <w:hideMark/>
          </w:tcPr>
          <w:p w14:paraId="64679577" w14:textId="77777777" w:rsidR="00EB7374" w:rsidRPr="00615E45" w:rsidRDefault="00EB7374" w:rsidP="00C700EB">
            <w:pPr>
              <w:jc w:val="right"/>
              <w:rPr>
                <w:rFonts w:cs="Calibri"/>
                <w:color w:val="000000"/>
                <w:sz w:val="15"/>
                <w:szCs w:val="15"/>
              </w:rPr>
            </w:pPr>
            <w:r w:rsidRPr="00615E45">
              <w:rPr>
                <w:color w:val="000000"/>
                <w:sz w:val="15"/>
              </w:rPr>
              <w:t>67.9</w:t>
            </w:r>
          </w:p>
        </w:tc>
        <w:tc>
          <w:tcPr>
            <w:tcW w:w="400" w:type="pct"/>
            <w:noWrap/>
            <w:hideMark/>
          </w:tcPr>
          <w:p w14:paraId="74DDDA08" w14:textId="77777777" w:rsidR="00EB7374" w:rsidRPr="00615E45" w:rsidRDefault="00EB7374" w:rsidP="00C700EB">
            <w:pPr>
              <w:jc w:val="right"/>
              <w:rPr>
                <w:rFonts w:cs="Calibri"/>
                <w:color w:val="000000"/>
                <w:sz w:val="15"/>
                <w:szCs w:val="15"/>
              </w:rPr>
            </w:pPr>
            <w:r w:rsidRPr="00615E45">
              <w:rPr>
                <w:color w:val="000000"/>
                <w:sz w:val="15"/>
              </w:rPr>
              <w:t>77.1</w:t>
            </w:r>
          </w:p>
        </w:tc>
        <w:tc>
          <w:tcPr>
            <w:tcW w:w="400" w:type="pct"/>
            <w:noWrap/>
            <w:hideMark/>
          </w:tcPr>
          <w:p w14:paraId="7E026302" w14:textId="77777777" w:rsidR="00EB7374" w:rsidRPr="00615E45" w:rsidRDefault="00EB7374" w:rsidP="00C700EB">
            <w:pPr>
              <w:jc w:val="right"/>
              <w:rPr>
                <w:rFonts w:cs="Calibri"/>
                <w:color w:val="000000"/>
                <w:sz w:val="15"/>
                <w:szCs w:val="15"/>
              </w:rPr>
            </w:pPr>
            <w:r w:rsidRPr="00615E45">
              <w:rPr>
                <w:color w:val="000000"/>
                <w:sz w:val="15"/>
              </w:rPr>
              <w:t>80.6</w:t>
            </w:r>
          </w:p>
        </w:tc>
        <w:tc>
          <w:tcPr>
            <w:tcW w:w="400" w:type="pct"/>
            <w:noWrap/>
            <w:hideMark/>
          </w:tcPr>
          <w:p w14:paraId="3C9D388A" w14:textId="77777777" w:rsidR="00EB7374" w:rsidRPr="00615E45" w:rsidRDefault="00EB7374" w:rsidP="00C700EB">
            <w:pPr>
              <w:jc w:val="right"/>
              <w:rPr>
                <w:rFonts w:cs="Calibri"/>
                <w:color w:val="000000"/>
                <w:sz w:val="15"/>
                <w:szCs w:val="15"/>
              </w:rPr>
            </w:pPr>
            <w:r w:rsidRPr="00615E45">
              <w:rPr>
                <w:color w:val="000000"/>
                <w:sz w:val="15"/>
              </w:rPr>
              <w:t>84.5</w:t>
            </w:r>
          </w:p>
        </w:tc>
        <w:tc>
          <w:tcPr>
            <w:tcW w:w="400" w:type="pct"/>
            <w:noWrap/>
            <w:hideMark/>
          </w:tcPr>
          <w:p w14:paraId="768EE6DD" w14:textId="77777777" w:rsidR="00EB7374" w:rsidRPr="00615E45" w:rsidRDefault="00EB7374" w:rsidP="00C700EB">
            <w:pPr>
              <w:jc w:val="right"/>
              <w:rPr>
                <w:rFonts w:cs="Calibri"/>
                <w:color w:val="000000"/>
                <w:sz w:val="15"/>
                <w:szCs w:val="15"/>
              </w:rPr>
            </w:pPr>
            <w:r w:rsidRPr="00615E45">
              <w:rPr>
                <w:color w:val="000000"/>
                <w:sz w:val="15"/>
              </w:rPr>
              <w:t>78.9</w:t>
            </w:r>
          </w:p>
        </w:tc>
      </w:tr>
      <w:tr w:rsidR="00EB7374" w:rsidRPr="00615E45" w14:paraId="299DFF0E" w14:textId="77777777" w:rsidTr="00C700EB">
        <w:trPr>
          <w:cnfStyle w:val="000000010000" w:firstRow="0" w:lastRow="0" w:firstColumn="0" w:lastColumn="0" w:oddVBand="0" w:evenVBand="0" w:oddHBand="0" w:evenHBand="1" w:firstRowFirstColumn="0" w:firstRowLastColumn="0" w:lastRowFirstColumn="0" w:lastRowLastColumn="0"/>
          <w:cantSplit/>
        </w:trPr>
        <w:tc>
          <w:tcPr>
            <w:tcW w:w="2197" w:type="pct"/>
            <w:noWrap/>
            <w:hideMark/>
          </w:tcPr>
          <w:p w14:paraId="00724A79" w14:textId="77777777" w:rsidR="00EB7374" w:rsidRPr="00615E45" w:rsidRDefault="00EB7374" w:rsidP="00C700EB">
            <w:pPr>
              <w:ind w:left="113"/>
              <w:jc w:val="left"/>
              <w:rPr>
                <w:rFonts w:cs="Calibri"/>
                <w:color w:val="000000"/>
                <w:sz w:val="15"/>
                <w:szCs w:val="15"/>
              </w:rPr>
            </w:pPr>
            <w:r w:rsidRPr="00615E45">
              <w:rPr>
                <w:color w:val="000000"/>
                <w:sz w:val="15"/>
              </w:rPr>
              <w:t>22. Beverages, spirits and vinegar</w:t>
            </w:r>
          </w:p>
        </w:tc>
        <w:tc>
          <w:tcPr>
            <w:tcW w:w="400" w:type="pct"/>
            <w:noWrap/>
            <w:hideMark/>
          </w:tcPr>
          <w:p w14:paraId="3B9FB5DC" w14:textId="77777777" w:rsidR="00EB7374" w:rsidRPr="00615E45" w:rsidRDefault="00EB7374" w:rsidP="00C700EB">
            <w:pPr>
              <w:jc w:val="right"/>
              <w:rPr>
                <w:rFonts w:cs="Calibri"/>
                <w:color w:val="000000"/>
                <w:sz w:val="15"/>
                <w:szCs w:val="15"/>
              </w:rPr>
            </w:pPr>
            <w:r w:rsidRPr="00615E45">
              <w:rPr>
                <w:color w:val="000000"/>
                <w:sz w:val="15"/>
              </w:rPr>
              <w:t>8.0</w:t>
            </w:r>
          </w:p>
        </w:tc>
        <w:tc>
          <w:tcPr>
            <w:tcW w:w="400" w:type="pct"/>
            <w:noWrap/>
            <w:hideMark/>
          </w:tcPr>
          <w:p w14:paraId="791091B6" w14:textId="77777777" w:rsidR="00EB7374" w:rsidRPr="00615E45" w:rsidRDefault="00EB7374" w:rsidP="00C700EB">
            <w:pPr>
              <w:jc w:val="right"/>
              <w:rPr>
                <w:rFonts w:cs="Calibri"/>
                <w:color w:val="000000"/>
                <w:sz w:val="15"/>
                <w:szCs w:val="15"/>
              </w:rPr>
            </w:pPr>
            <w:r w:rsidRPr="00615E45">
              <w:rPr>
                <w:color w:val="000000"/>
                <w:sz w:val="15"/>
              </w:rPr>
              <w:t>10.7</w:t>
            </w:r>
          </w:p>
        </w:tc>
        <w:tc>
          <w:tcPr>
            <w:tcW w:w="400" w:type="pct"/>
            <w:noWrap/>
            <w:hideMark/>
          </w:tcPr>
          <w:p w14:paraId="0BB2E1CA" w14:textId="77777777" w:rsidR="00EB7374" w:rsidRPr="00615E45" w:rsidRDefault="00EB7374" w:rsidP="00C700EB">
            <w:pPr>
              <w:jc w:val="right"/>
              <w:rPr>
                <w:rFonts w:cs="Calibri"/>
                <w:color w:val="000000"/>
                <w:sz w:val="15"/>
                <w:szCs w:val="15"/>
              </w:rPr>
            </w:pPr>
            <w:r w:rsidRPr="00615E45">
              <w:rPr>
                <w:color w:val="000000"/>
                <w:sz w:val="15"/>
              </w:rPr>
              <w:t>9.4</w:t>
            </w:r>
          </w:p>
        </w:tc>
        <w:tc>
          <w:tcPr>
            <w:tcW w:w="400" w:type="pct"/>
            <w:noWrap/>
            <w:hideMark/>
          </w:tcPr>
          <w:p w14:paraId="688CC0CC" w14:textId="77777777" w:rsidR="00EB7374" w:rsidRPr="00615E45" w:rsidRDefault="00EB7374" w:rsidP="00C700EB">
            <w:pPr>
              <w:jc w:val="right"/>
              <w:rPr>
                <w:rFonts w:cs="Calibri"/>
                <w:color w:val="000000"/>
                <w:sz w:val="15"/>
                <w:szCs w:val="15"/>
              </w:rPr>
            </w:pPr>
            <w:r w:rsidRPr="00615E45">
              <w:rPr>
                <w:color w:val="000000"/>
                <w:sz w:val="15"/>
              </w:rPr>
              <w:t>9.7</w:t>
            </w:r>
          </w:p>
        </w:tc>
        <w:tc>
          <w:tcPr>
            <w:tcW w:w="400" w:type="pct"/>
            <w:noWrap/>
            <w:hideMark/>
          </w:tcPr>
          <w:p w14:paraId="7ACD37B5" w14:textId="77777777" w:rsidR="00EB7374" w:rsidRPr="00615E45" w:rsidRDefault="00EB7374" w:rsidP="00C700EB">
            <w:pPr>
              <w:jc w:val="right"/>
              <w:rPr>
                <w:rFonts w:cs="Calibri"/>
                <w:color w:val="000000"/>
                <w:sz w:val="15"/>
                <w:szCs w:val="15"/>
              </w:rPr>
            </w:pPr>
            <w:r w:rsidRPr="00615E45">
              <w:rPr>
                <w:color w:val="000000"/>
                <w:sz w:val="15"/>
              </w:rPr>
              <w:t>8.8</w:t>
            </w:r>
          </w:p>
        </w:tc>
        <w:tc>
          <w:tcPr>
            <w:tcW w:w="400" w:type="pct"/>
            <w:noWrap/>
            <w:hideMark/>
          </w:tcPr>
          <w:p w14:paraId="2DDF26A5" w14:textId="77777777" w:rsidR="00EB7374" w:rsidRPr="00615E45" w:rsidRDefault="00EB7374" w:rsidP="00C700EB">
            <w:pPr>
              <w:jc w:val="right"/>
              <w:rPr>
                <w:rFonts w:cs="Calibri"/>
                <w:color w:val="000000"/>
                <w:sz w:val="15"/>
                <w:szCs w:val="15"/>
              </w:rPr>
            </w:pPr>
            <w:r w:rsidRPr="00615E45">
              <w:rPr>
                <w:color w:val="000000"/>
                <w:sz w:val="15"/>
              </w:rPr>
              <w:t>6.3</w:t>
            </w:r>
          </w:p>
        </w:tc>
        <w:tc>
          <w:tcPr>
            <w:tcW w:w="400" w:type="pct"/>
            <w:noWrap/>
            <w:hideMark/>
          </w:tcPr>
          <w:p w14:paraId="64DA6693" w14:textId="77777777" w:rsidR="00EB7374" w:rsidRPr="00615E45" w:rsidRDefault="00EB7374" w:rsidP="00C700EB">
            <w:pPr>
              <w:jc w:val="right"/>
              <w:rPr>
                <w:rFonts w:cs="Calibri"/>
                <w:color w:val="000000"/>
                <w:sz w:val="15"/>
                <w:szCs w:val="15"/>
              </w:rPr>
            </w:pPr>
            <w:r w:rsidRPr="00615E45">
              <w:rPr>
                <w:color w:val="000000"/>
                <w:sz w:val="15"/>
              </w:rPr>
              <w:t>12.7</w:t>
            </w:r>
          </w:p>
        </w:tc>
      </w:tr>
      <w:tr w:rsidR="00EB7374" w:rsidRPr="00615E45" w14:paraId="5BE8CE8A" w14:textId="77777777" w:rsidTr="00C700EB">
        <w:trPr>
          <w:cantSplit/>
        </w:trPr>
        <w:tc>
          <w:tcPr>
            <w:tcW w:w="2197" w:type="pct"/>
            <w:noWrap/>
            <w:hideMark/>
          </w:tcPr>
          <w:p w14:paraId="2D4E73E9" w14:textId="77777777" w:rsidR="00EB7374" w:rsidRPr="00615E45" w:rsidRDefault="00EB7374" w:rsidP="00C700EB">
            <w:pPr>
              <w:ind w:left="113"/>
              <w:jc w:val="left"/>
              <w:rPr>
                <w:rFonts w:cs="Calibri"/>
                <w:color w:val="000000"/>
                <w:sz w:val="15"/>
                <w:szCs w:val="15"/>
              </w:rPr>
            </w:pPr>
            <w:r w:rsidRPr="00615E45">
              <w:rPr>
                <w:color w:val="000000"/>
                <w:sz w:val="15"/>
              </w:rPr>
              <w:t>13. Gums, resins and vegetable extracts</w:t>
            </w:r>
          </w:p>
        </w:tc>
        <w:tc>
          <w:tcPr>
            <w:tcW w:w="400" w:type="pct"/>
            <w:noWrap/>
            <w:hideMark/>
          </w:tcPr>
          <w:p w14:paraId="35C1717C" w14:textId="77777777" w:rsidR="00EB7374" w:rsidRPr="00615E45" w:rsidRDefault="00EB7374" w:rsidP="00C700EB">
            <w:pPr>
              <w:jc w:val="right"/>
              <w:rPr>
                <w:rFonts w:cs="Calibri"/>
                <w:color w:val="000000"/>
                <w:sz w:val="15"/>
                <w:szCs w:val="15"/>
              </w:rPr>
            </w:pPr>
            <w:r w:rsidRPr="00615E45">
              <w:rPr>
                <w:color w:val="000000"/>
                <w:sz w:val="15"/>
              </w:rPr>
              <w:t>1.7</w:t>
            </w:r>
          </w:p>
        </w:tc>
        <w:tc>
          <w:tcPr>
            <w:tcW w:w="400" w:type="pct"/>
            <w:noWrap/>
            <w:hideMark/>
          </w:tcPr>
          <w:p w14:paraId="592B7298" w14:textId="77777777" w:rsidR="00EB7374" w:rsidRPr="00615E45" w:rsidRDefault="00EB7374" w:rsidP="00C700EB">
            <w:pPr>
              <w:jc w:val="right"/>
              <w:rPr>
                <w:rFonts w:cs="Calibri"/>
                <w:color w:val="000000"/>
                <w:sz w:val="15"/>
                <w:szCs w:val="15"/>
              </w:rPr>
            </w:pPr>
            <w:r w:rsidRPr="00615E45">
              <w:rPr>
                <w:color w:val="000000"/>
                <w:sz w:val="15"/>
              </w:rPr>
              <w:t>2.4</w:t>
            </w:r>
          </w:p>
        </w:tc>
        <w:tc>
          <w:tcPr>
            <w:tcW w:w="400" w:type="pct"/>
            <w:noWrap/>
            <w:hideMark/>
          </w:tcPr>
          <w:p w14:paraId="72D8152C" w14:textId="77777777" w:rsidR="00EB7374" w:rsidRPr="00615E45" w:rsidRDefault="00EB7374" w:rsidP="00C700EB">
            <w:pPr>
              <w:jc w:val="right"/>
              <w:rPr>
                <w:rFonts w:cs="Calibri"/>
                <w:color w:val="000000"/>
                <w:sz w:val="15"/>
                <w:szCs w:val="15"/>
              </w:rPr>
            </w:pPr>
            <w:r w:rsidRPr="00615E45">
              <w:rPr>
                <w:color w:val="000000"/>
                <w:sz w:val="15"/>
              </w:rPr>
              <w:t>14.6</w:t>
            </w:r>
          </w:p>
        </w:tc>
        <w:tc>
          <w:tcPr>
            <w:tcW w:w="400" w:type="pct"/>
            <w:noWrap/>
            <w:hideMark/>
          </w:tcPr>
          <w:p w14:paraId="66B11EA9" w14:textId="77777777" w:rsidR="00EB7374" w:rsidRPr="00615E45" w:rsidRDefault="00EB7374" w:rsidP="00C700EB">
            <w:pPr>
              <w:jc w:val="right"/>
              <w:rPr>
                <w:rFonts w:cs="Calibri"/>
                <w:color w:val="000000"/>
                <w:sz w:val="15"/>
                <w:szCs w:val="15"/>
              </w:rPr>
            </w:pPr>
            <w:r w:rsidRPr="00615E45">
              <w:rPr>
                <w:color w:val="000000"/>
                <w:sz w:val="15"/>
              </w:rPr>
              <w:t>7.1</w:t>
            </w:r>
          </w:p>
        </w:tc>
        <w:tc>
          <w:tcPr>
            <w:tcW w:w="400" w:type="pct"/>
            <w:noWrap/>
            <w:hideMark/>
          </w:tcPr>
          <w:p w14:paraId="33F225F7" w14:textId="77777777" w:rsidR="00EB7374" w:rsidRPr="00615E45" w:rsidRDefault="00EB7374" w:rsidP="00C700EB">
            <w:pPr>
              <w:jc w:val="right"/>
              <w:rPr>
                <w:rFonts w:cs="Calibri"/>
                <w:color w:val="000000"/>
                <w:sz w:val="15"/>
                <w:szCs w:val="15"/>
              </w:rPr>
            </w:pPr>
            <w:r w:rsidRPr="00615E45">
              <w:rPr>
                <w:color w:val="000000"/>
                <w:sz w:val="15"/>
              </w:rPr>
              <w:t>4.7</w:t>
            </w:r>
          </w:p>
        </w:tc>
        <w:tc>
          <w:tcPr>
            <w:tcW w:w="400" w:type="pct"/>
            <w:noWrap/>
            <w:hideMark/>
          </w:tcPr>
          <w:p w14:paraId="6BA75623" w14:textId="77777777" w:rsidR="00EB7374" w:rsidRPr="00615E45" w:rsidRDefault="00EB7374" w:rsidP="00C700EB">
            <w:pPr>
              <w:jc w:val="right"/>
              <w:rPr>
                <w:rFonts w:cs="Calibri"/>
                <w:color w:val="000000"/>
                <w:sz w:val="15"/>
                <w:szCs w:val="15"/>
              </w:rPr>
            </w:pPr>
            <w:r w:rsidRPr="00615E45">
              <w:rPr>
                <w:color w:val="000000"/>
                <w:sz w:val="15"/>
              </w:rPr>
              <w:t>4.7</w:t>
            </w:r>
          </w:p>
        </w:tc>
        <w:tc>
          <w:tcPr>
            <w:tcW w:w="400" w:type="pct"/>
            <w:noWrap/>
            <w:hideMark/>
          </w:tcPr>
          <w:p w14:paraId="0DA05BA7" w14:textId="77777777" w:rsidR="00EB7374" w:rsidRPr="00615E45" w:rsidRDefault="00EB7374" w:rsidP="00C700EB">
            <w:pPr>
              <w:jc w:val="right"/>
              <w:rPr>
                <w:rFonts w:cs="Calibri"/>
                <w:color w:val="000000"/>
                <w:sz w:val="15"/>
                <w:szCs w:val="15"/>
              </w:rPr>
            </w:pPr>
            <w:r w:rsidRPr="00615E45">
              <w:rPr>
                <w:color w:val="000000"/>
                <w:sz w:val="15"/>
              </w:rPr>
              <w:t>3.5</w:t>
            </w:r>
          </w:p>
        </w:tc>
      </w:tr>
      <w:tr w:rsidR="00EB7374" w:rsidRPr="00615E45" w14:paraId="1FFFDD58" w14:textId="77777777" w:rsidTr="00C700EB">
        <w:trPr>
          <w:cnfStyle w:val="000000010000" w:firstRow="0" w:lastRow="0" w:firstColumn="0" w:lastColumn="0" w:oddVBand="0" w:evenVBand="0" w:oddHBand="0" w:evenHBand="1" w:firstRowFirstColumn="0" w:firstRowLastColumn="0" w:lastRowFirstColumn="0" w:lastRowLastColumn="0"/>
          <w:cantSplit/>
        </w:trPr>
        <w:tc>
          <w:tcPr>
            <w:tcW w:w="2197" w:type="pct"/>
            <w:noWrap/>
            <w:hideMark/>
          </w:tcPr>
          <w:p w14:paraId="0D4858CE" w14:textId="77777777" w:rsidR="00EB7374" w:rsidRPr="00615E45" w:rsidRDefault="00EB7374" w:rsidP="00C700EB">
            <w:pPr>
              <w:ind w:left="113"/>
              <w:jc w:val="left"/>
              <w:rPr>
                <w:rFonts w:cs="Calibri"/>
                <w:color w:val="000000"/>
                <w:sz w:val="15"/>
                <w:szCs w:val="15"/>
              </w:rPr>
            </w:pPr>
            <w:r w:rsidRPr="00615E45">
              <w:rPr>
                <w:color w:val="000000"/>
                <w:sz w:val="15"/>
              </w:rPr>
              <w:t>15. Animal or vegetable fats and oils</w:t>
            </w:r>
          </w:p>
        </w:tc>
        <w:tc>
          <w:tcPr>
            <w:tcW w:w="400" w:type="pct"/>
            <w:noWrap/>
            <w:hideMark/>
          </w:tcPr>
          <w:p w14:paraId="2B83940E" w14:textId="77777777" w:rsidR="00EB7374" w:rsidRPr="00615E45" w:rsidRDefault="00EB7374" w:rsidP="00C700EB">
            <w:pPr>
              <w:jc w:val="right"/>
              <w:rPr>
                <w:rFonts w:cs="Calibri"/>
                <w:color w:val="000000"/>
                <w:sz w:val="15"/>
                <w:szCs w:val="15"/>
              </w:rPr>
            </w:pPr>
            <w:r w:rsidRPr="00615E45">
              <w:rPr>
                <w:color w:val="000000"/>
                <w:sz w:val="15"/>
              </w:rPr>
              <w:t>0.5</w:t>
            </w:r>
          </w:p>
        </w:tc>
        <w:tc>
          <w:tcPr>
            <w:tcW w:w="400" w:type="pct"/>
            <w:noWrap/>
            <w:hideMark/>
          </w:tcPr>
          <w:p w14:paraId="71D39FEB" w14:textId="77777777" w:rsidR="00EB7374" w:rsidRPr="00615E45" w:rsidRDefault="00EB7374" w:rsidP="00C700EB">
            <w:pPr>
              <w:jc w:val="right"/>
              <w:rPr>
                <w:rFonts w:cs="Calibri"/>
                <w:color w:val="000000"/>
                <w:sz w:val="15"/>
                <w:szCs w:val="15"/>
              </w:rPr>
            </w:pPr>
            <w:r w:rsidRPr="00615E45">
              <w:rPr>
                <w:color w:val="000000"/>
                <w:sz w:val="15"/>
              </w:rPr>
              <w:t>0.2</w:t>
            </w:r>
          </w:p>
        </w:tc>
        <w:tc>
          <w:tcPr>
            <w:tcW w:w="400" w:type="pct"/>
            <w:noWrap/>
            <w:hideMark/>
          </w:tcPr>
          <w:p w14:paraId="5EAAFB79" w14:textId="77777777" w:rsidR="00EB7374" w:rsidRPr="00615E45" w:rsidRDefault="00EB7374" w:rsidP="00C700EB">
            <w:pPr>
              <w:jc w:val="right"/>
              <w:rPr>
                <w:rFonts w:cs="Calibri"/>
                <w:color w:val="000000"/>
                <w:sz w:val="15"/>
                <w:szCs w:val="15"/>
              </w:rPr>
            </w:pPr>
            <w:r w:rsidRPr="00615E45">
              <w:rPr>
                <w:color w:val="000000"/>
                <w:sz w:val="15"/>
              </w:rPr>
              <w:t>0.2</w:t>
            </w:r>
          </w:p>
        </w:tc>
        <w:tc>
          <w:tcPr>
            <w:tcW w:w="400" w:type="pct"/>
            <w:noWrap/>
            <w:hideMark/>
          </w:tcPr>
          <w:p w14:paraId="607E2998" w14:textId="77777777" w:rsidR="00EB7374" w:rsidRPr="00615E45" w:rsidRDefault="00EB7374" w:rsidP="00C700EB">
            <w:pPr>
              <w:jc w:val="right"/>
              <w:rPr>
                <w:rFonts w:cs="Calibri"/>
                <w:color w:val="000000"/>
                <w:sz w:val="15"/>
                <w:szCs w:val="15"/>
              </w:rPr>
            </w:pPr>
            <w:r w:rsidRPr="00615E45">
              <w:rPr>
                <w:color w:val="000000"/>
                <w:sz w:val="15"/>
              </w:rPr>
              <w:t>0.2</w:t>
            </w:r>
          </w:p>
        </w:tc>
        <w:tc>
          <w:tcPr>
            <w:tcW w:w="400" w:type="pct"/>
            <w:noWrap/>
            <w:hideMark/>
          </w:tcPr>
          <w:p w14:paraId="630EA7D9" w14:textId="77777777" w:rsidR="00EB7374" w:rsidRPr="00615E45" w:rsidRDefault="00EB7374" w:rsidP="00C700EB">
            <w:pPr>
              <w:jc w:val="right"/>
              <w:rPr>
                <w:rFonts w:cs="Calibri"/>
                <w:color w:val="000000"/>
                <w:sz w:val="15"/>
                <w:szCs w:val="15"/>
              </w:rPr>
            </w:pPr>
            <w:r w:rsidRPr="00615E45">
              <w:rPr>
                <w:color w:val="000000"/>
                <w:sz w:val="15"/>
              </w:rPr>
              <w:t>0.3</w:t>
            </w:r>
          </w:p>
        </w:tc>
        <w:tc>
          <w:tcPr>
            <w:tcW w:w="400" w:type="pct"/>
            <w:noWrap/>
            <w:hideMark/>
          </w:tcPr>
          <w:p w14:paraId="444A24CC" w14:textId="77777777" w:rsidR="00EB7374" w:rsidRPr="00615E45" w:rsidRDefault="00EB7374" w:rsidP="00C700EB">
            <w:pPr>
              <w:jc w:val="right"/>
              <w:rPr>
                <w:rFonts w:cs="Calibri"/>
                <w:color w:val="000000"/>
                <w:sz w:val="15"/>
                <w:szCs w:val="15"/>
              </w:rPr>
            </w:pPr>
            <w:r w:rsidRPr="00615E45">
              <w:rPr>
                <w:color w:val="000000"/>
                <w:sz w:val="15"/>
              </w:rPr>
              <w:t>0.6</w:t>
            </w:r>
          </w:p>
        </w:tc>
        <w:tc>
          <w:tcPr>
            <w:tcW w:w="400" w:type="pct"/>
            <w:noWrap/>
            <w:hideMark/>
          </w:tcPr>
          <w:p w14:paraId="6B726E57" w14:textId="77777777" w:rsidR="00EB7374" w:rsidRPr="00615E45" w:rsidRDefault="00EB7374" w:rsidP="00C700EB">
            <w:pPr>
              <w:jc w:val="right"/>
              <w:rPr>
                <w:rFonts w:cs="Calibri"/>
                <w:color w:val="000000"/>
                <w:sz w:val="15"/>
                <w:szCs w:val="15"/>
              </w:rPr>
            </w:pPr>
            <w:r w:rsidRPr="00615E45">
              <w:rPr>
                <w:color w:val="000000"/>
                <w:sz w:val="15"/>
              </w:rPr>
              <w:t>1.2</w:t>
            </w:r>
          </w:p>
        </w:tc>
      </w:tr>
      <w:tr w:rsidR="00EB7374" w:rsidRPr="00615E45" w14:paraId="5C13CE1B" w14:textId="77777777" w:rsidTr="00C700EB">
        <w:trPr>
          <w:cantSplit/>
        </w:trPr>
        <w:tc>
          <w:tcPr>
            <w:tcW w:w="2197" w:type="pct"/>
            <w:noWrap/>
            <w:hideMark/>
          </w:tcPr>
          <w:p w14:paraId="35DB3570" w14:textId="77777777" w:rsidR="00EB7374" w:rsidRPr="00615E45" w:rsidRDefault="00EB7374" w:rsidP="00C700EB">
            <w:pPr>
              <w:ind w:left="113"/>
              <w:jc w:val="left"/>
              <w:rPr>
                <w:rFonts w:cs="Calibri"/>
                <w:color w:val="000000"/>
                <w:sz w:val="15"/>
                <w:szCs w:val="15"/>
              </w:rPr>
            </w:pPr>
            <w:r w:rsidRPr="00615E45">
              <w:rPr>
                <w:color w:val="000000"/>
                <w:sz w:val="15"/>
              </w:rPr>
              <w:t>17. Sugars and sugar confectionery</w:t>
            </w:r>
          </w:p>
        </w:tc>
        <w:tc>
          <w:tcPr>
            <w:tcW w:w="400" w:type="pct"/>
            <w:noWrap/>
            <w:hideMark/>
          </w:tcPr>
          <w:p w14:paraId="359DD391" w14:textId="77777777" w:rsidR="00EB7374" w:rsidRPr="00615E45" w:rsidRDefault="00EB7374" w:rsidP="00C700EB">
            <w:pPr>
              <w:jc w:val="right"/>
              <w:rPr>
                <w:rFonts w:cs="Calibri"/>
                <w:color w:val="000000"/>
                <w:sz w:val="15"/>
                <w:szCs w:val="15"/>
              </w:rPr>
            </w:pPr>
            <w:r w:rsidRPr="00615E45">
              <w:rPr>
                <w:color w:val="000000"/>
                <w:sz w:val="15"/>
              </w:rPr>
              <w:t>0.9</w:t>
            </w:r>
          </w:p>
        </w:tc>
        <w:tc>
          <w:tcPr>
            <w:tcW w:w="400" w:type="pct"/>
            <w:noWrap/>
            <w:hideMark/>
          </w:tcPr>
          <w:p w14:paraId="02CA3F44" w14:textId="77777777" w:rsidR="00EB7374" w:rsidRPr="00615E45" w:rsidRDefault="00EB7374" w:rsidP="00C700EB">
            <w:pPr>
              <w:jc w:val="right"/>
              <w:rPr>
                <w:rFonts w:cs="Calibri"/>
                <w:color w:val="000000"/>
                <w:sz w:val="15"/>
                <w:szCs w:val="15"/>
              </w:rPr>
            </w:pPr>
            <w:r w:rsidRPr="00615E45">
              <w:rPr>
                <w:color w:val="000000"/>
                <w:sz w:val="15"/>
              </w:rPr>
              <w:t>0.9</w:t>
            </w:r>
          </w:p>
        </w:tc>
        <w:tc>
          <w:tcPr>
            <w:tcW w:w="400" w:type="pct"/>
            <w:noWrap/>
            <w:hideMark/>
          </w:tcPr>
          <w:p w14:paraId="23E9C229" w14:textId="77777777" w:rsidR="00EB7374" w:rsidRPr="00615E45" w:rsidRDefault="00EB7374" w:rsidP="00C700EB">
            <w:pPr>
              <w:jc w:val="right"/>
              <w:rPr>
                <w:rFonts w:cs="Calibri"/>
                <w:color w:val="000000"/>
                <w:sz w:val="15"/>
                <w:szCs w:val="15"/>
              </w:rPr>
            </w:pPr>
            <w:r w:rsidRPr="00615E45">
              <w:rPr>
                <w:color w:val="000000"/>
                <w:sz w:val="15"/>
              </w:rPr>
              <w:t>1.3</w:t>
            </w:r>
          </w:p>
        </w:tc>
        <w:tc>
          <w:tcPr>
            <w:tcW w:w="400" w:type="pct"/>
            <w:noWrap/>
            <w:hideMark/>
          </w:tcPr>
          <w:p w14:paraId="59CA6A0C" w14:textId="77777777" w:rsidR="00EB7374" w:rsidRPr="00615E45" w:rsidRDefault="00EB7374" w:rsidP="00C700EB">
            <w:pPr>
              <w:jc w:val="right"/>
              <w:rPr>
                <w:rFonts w:cs="Calibri"/>
                <w:color w:val="000000"/>
                <w:sz w:val="15"/>
                <w:szCs w:val="15"/>
              </w:rPr>
            </w:pPr>
            <w:r w:rsidRPr="00615E45">
              <w:rPr>
                <w:color w:val="000000"/>
                <w:sz w:val="15"/>
              </w:rPr>
              <w:t>1.0</w:t>
            </w:r>
          </w:p>
        </w:tc>
        <w:tc>
          <w:tcPr>
            <w:tcW w:w="400" w:type="pct"/>
            <w:noWrap/>
            <w:hideMark/>
          </w:tcPr>
          <w:p w14:paraId="45534652" w14:textId="77777777" w:rsidR="00EB7374" w:rsidRPr="00615E45" w:rsidRDefault="00EB7374" w:rsidP="00C700EB">
            <w:pPr>
              <w:jc w:val="right"/>
              <w:rPr>
                <w:rFonts w:cs="Calibri"/>
                <w:color w:val="000000"/>
                <w:sz w:val="15"/>
                <w:szCs w:val="15"/>
              </w:rPr>
            </w:pPr>
            <w:r w:rsidRPr="00615E45">
              <w:rPr>
                <w:color w:val="000000"/>
                <w:sz w:val="15"/>
              </w:rPr>
              <w:t>1.5</w:t>
            </w:r>
          </w:p>
        </w:tc>
        <w:tc>
          <w:tcPr>
            <w:tcW w:w="400" w:type="pct"/>
            <w:noWrap/>
            <w:hideMark/>
          </w:tcPr>
          <w:p w14:paraId="26BD8A36" w14:textId="77777777" w:rsidR="00EB7374" w:rsidRPr="00615E45" w:rsidRDefault="00EB7374" w:rsidP="00C700EB">
            <w:pPr>
              <w:jc w:val="right"/>
              <w:rPr>
                <w:rFonts w:cs="Calibri"/>
                <w:color w:val="000000"/>
                <w:sz w:val="15"/>
                <w:szCs w:val="15"/>
              </w:rPr>
            </w:pPr>
            <w:r w:rsidRPr="00615E45">
              <w:rPr>
                <w:color w:val="000000"/>
                <w:sz w:val="15"/>
              </w:rPr>
              <w:t>0.9</w:t>
            </w:r>
          </w:p>
        </w:tc>
        <w:tc>
          <w:tcPr>
            <w:tcW w:w="400" w:type="pct"/>
            <w:noWrap/>
            <w:hideMark/>
          </w:tcPr>
          <w:p w14:paraId="506C0BF6" w14:textId="77777777" w:rsidR="00EB7374" w:rsidRPr="00615E45" w:rsidRDefault="00EB7374" w:rsidP="00C700EB">
            <w:pPr>
              <w:jc w:val="right"/>
              <w:rPr>
                <w:rFonts w:cs="Calibri"/>
                <w:color w:val="000000"/>
                <w:sz w:val="15"/>
                <w:szCs w:val="15"/>
              </w:rPr>
            </w:pPr>
            <w:r w:rsidRPr="00615E45">
              <w:rPr>
                <w:color w:val="000000"/>
                <w:sz w:val="15"/>
              </w:rPr>
              <w:t>1.0</w:t>
            </w:r>
          </w:p>
        </w:tc>
      </w:tr>
    </w:tbl>
    <w:p w14:paraId="7ED6D7AB" w14:textId="77777777" w:rsidR="00EB7374" w:rsidRPr="00615E45" w:rsidRDefault="00EB7374" w:rsidP="00B0434B">
      <w:pPr>
        <w:pStyle w:val="NoteText"/>
        <w:spacing w:before="120"/>
      </w:pPr>
      <w:proofErr w:type="spellStart"/>
      <w:r w:rsidRPr="00615E45">
        <w:t>a</w:t>
      </w:r>
      <w:proofErr w:type="spellEnd"/>
      <w:r w:rsidRPr="00615E45">
        <w:tab/>
        <w:t xml:space="preserve">Exports are classified as </w:t>
      </w:r>
      <w:r>
        <w:t xml:space="preserve">exports </w:t>
      </w:r>
      <w:r w:rsidRPr="00615E45">
        <w:t xml:space="preserve">for consumption, </w:t>
      </w:r>
      <w:r>
        <w:t xml:space="preserve">free zone exports and exports for other purposes </w:t>
      </w:r>
      <w:r w:rsidRPr="00615E45">
        <w:t>(temporary admission for inward processing, re-export</w:t>
      </w:r>
      <w:r>
        <w:t>s consumption</w:t>
      </w:r>
      <w:r w:rsidRPr="00615E45">
        <w:t>, warehousing for re</w:t>
      </w:r>
      <w:r>
        <w:noBreakHyphen/>
      </w:r>
      <w:r w:rsidRPr="00615E45">
        <w:t>export, temporary admission under leas</w:t>
      </w:r>
      <w:r>
        <w:t>e</w:t>
      </w:r>
      <w:r w:rsidRPr="00615E45">
        <w:t>, re-export and temporary exit for outward processing).</w:t>
      </w:r>
    </w:p>
    <w:p w14:paraId="131CB09D" w14:textId="77777777" w:rsidR="00EB7374" w:rsidRPr="00615E45" w:rsidRDefault="00EB7374" w:rsidP="00B0434B">
      <w:pPr>
        <w:pStyle w:val="NoteText"/>
      </w:pPr>
      <w:r w:rsidRPr="00615E45">
        <w:t>b</w:t>
      </w:r>
      <w:r w:rsidRPr="00615E45">
        <w:tab/>
        <w:t xml:space="preserve">Imports are classified as </w:t>
      </w:r>
      <w:r>
        <w:t xml:space="preserve">imports </w:t>
      </w:r>
      <w:r w:rsidRPr="00615E45">
        <w:t xml:space="preserve">for consumption, </w:t>
      </w:r>
      <w:r>
        <w:t xml:space="preserve">free zone imports and imports for other purposes </w:t>
      </w:r>
      <w:r w:rsidRPr="00615E45">
        <w:t>(customs warehous</w:t>
      </w:r>
      <w:r>
        <w:t>ing</w:t>
      </w:r>
      <w:r w:rsidRPr="00615E45">
        <w:t xml:space="preserve">, inward processing, reimport </w:t>
      </w:r>
      <w:r>
        <w:t>in the same state</w:t>
      </w:r>
      <w:r w:rsidRPr="00615E45">
        <w:t>, etc.).</w:t>
      </w:r>
    </w:p>
    <w:p w14:paraId="4EB02351" w14:textId="77777777" w:rsidR="00EB7374" w:rsidRPr="00615E45" w:rsidRDefault="00EB7374" w:rsidP="00B0434B">
      <w:pPr>
        <w:pStyle w:val="NoteText"/>
        <w:spacing w:before="120" w:after="240"/>
      </w:pPr>
      <w:r w:rsidRPr="00615E45">
        <w:t>Source:</w:t>
      </w:r>
      <w:r w:rsidRPr="00615E45">
        <w:tab/>
        <w:t>WTO Secretariat calculations based on data from the Central Bank of the Dominican Republic and the COMEX trade database.</w:t>
      </w:r>
    </w:p>
    <w:p w14:paraId="5647C1AD" w14:textId="77777777" w:rsidR="00EB7374" w:rsidRPr="00615E45" w:rsidRDefault="00EB7374" w:rsidP="00C80D98">
      <w:pPr>
        <w:pStyle w:val="BodyText"/>
      </w:pPr>
      <w:r w:rsidRPr="00615E45">
        <w:t>The Dominican Republic</w:t>
      </w:r>
      <w:r>
        <w:t>'</w:t>
      </w:r>
      <w:r w:rsidRPr="00615E45">
        <w:t>s agricultural policy is outlined in the Sector</w:t>
      </w:r>
      <w:r>
        <w:t>al</w:t>
      </w:r>
      <w:r w:rsidRPr="00615E45">
        <w:t xml:space="preserve"> Agricultural Operati</w:t>
      </w:r>
      <w:r>
        <w:t>onal</w:t>
      </w:r>
      <w:r w:rsidRPr="00615E45">
        <w:t xml:space="preserve"> Plan (POA), drafted on an annual basis. This document is prepared in accordance with general development plans, such as the National </w:t>
      </w:r>
      <w:r>
        <w:t xml:space="preserve">Multi-Year </w:t>
      </w:r>
      <w:r w:rsidRPr="00615E45">
        <w:t>Public Sector Plan (</w:t>
      </w:r>
      <w:proofErr w:type="spellStart"/>
      <w:r w:rsidRPr="00615E45">
        <w:t>PNPSP</w:t>
      </w:r>
      <w:proofErr w:type="spellEnd"/>
      <w:r w:rsidRPr="00615E45">
        <w:t>), the National Development Strategy (END 2030) (Law No. 1-12), the Sector</w:t>
      </w:r>
      <w:r>
        <w:t>al</w:t>
      </w:r>
      <w:r w:rsidRPr="00615E45">
        <w:t xml:space="preserve"> Strategic Plan 2020-30</w:t>
      </w:r>
      <w:r>
        <w:t xml:space="preserve"> -</w:t>
      </w:r>
      <w:r w:rsidRPr="00615E45">
        <w:t xml:space="preserve"> Vision 2050, the Sector</w:t>
      </w:r>
      <w:r>
        <w:t>al</w:t>
      </w:r>
      <w:r w:rsidRPr="00615E45">
        <w:t xml:space="preserve"> Multi</w:t>
      </w:r>
      <w:r>
        <w:t xml:space="preserve">-Year </w:t>
      </w:r>
      <w:r w:rsidRPr="00615E45">
        <w:t>Plan 2020-21, the Food and Nutritional Sovereignty and Security Plan 2019-22, and the Institutional Strategic Plan (PEI) 2021-24. The policy is also developed taking account of the United Nations Sustainable Development Goals (SDGs).</w:t>
      </w:r>
    </w:p>
    <w:p w14:paraId="19DDEF3A" w14:textId="77777777" w:rsidR="00EB7374" w:rsidRPr="00615E45" w:rsidRDefault="00EB7374" w:rsidP="00C80D98">
      <w:pPr>
        <w:pStyle w:val="BodyText"/>
        <w:rPr>
          <w:bCs/>
        </w:rPr>
      </w:pPr>
      <w:r w:rsidRPr="00615E45">
        <w:t>During the review period, the agricultural policy generally focused on enhancing agricultural production by improving productivity and adopting sustainable agricultural practices that help protect the environment with a view to ensuring food security, creating rural jobs and increasing agricultural product</w:t>
      </w:r>
      <w:r>
        <w:t xml:space="preserve"> </w:t>
      </w:r>
      <w:r w:rsidRPr="00615E45">
        <w:t>exports. The policy also strives to promote gender equality and the empowerment of women and young people in agricultural activities.</w:t>
      </w:r>
      <w:r w:rsidRPr="00615E45">
        <w:rPr>
          <w:rStyle w:val="FootnoteReference"/>
        </w:rPr>
        <w:footnoteReference w:id="327"/>
      </w:r>
      <w:r>
        <w:t xml:space="preserve"> </w:t>
      </w:r>
    </w:p>
    <w:p w14:paraId="722F54B1" w14:textId="77777777" w:rsidR="00EB7374" w:rsidRPr="00615E45" w:rsidRDefault="00EB7374" w:rsidP="00C80D98">
      <w:pPr>
        <w:pStyle w:val="BodyText"/>
      </w:pPr>
      <w:r w:rsidRPr="00615E45">
        <w:t xml:space="preserve">The laws governing the agricultural sector in the Dominican Republic did not undergo substantial changes during the review period, but were subject to some reforms (Table 4.3). The END 2030, established by Law No. 1-12, requires that a law governing the Dominican agricultural sector be </w:t>
      </w:r>
      <w:r>
        <w:t>drafted</w:t>
      </w:r>
      <w:r w:rsidRPr="00615E45">
        <w:t>. However, no such law has been approved to date.</w:t>
      </w:r>
    </w:p>
    <w:p w14:paraId="1CD0F53A" w14:textId="77777777" w:rsidR="00EB7374" w:rsidRPr="00615E45" w:rsidRDefault="00EB7374" w:rsidP="00385EA7">
      <w:pPr>
        <w:pStyle w:val="Caption"/>
      </w:pPr>
      <w:bookmarkStart w:id="296" w:name="_Toc114735839"/>
      <w:bookmarkStart w:id="297" w:name="_Toc117238057"/>
      <w:r>
        <w:t xml:space="preserve">Table </w:t>
      </w:r>
      <w:r w:rsidR="00BD37F2">
        <w:fldChar w:fldCharType="begin"/>
      </w:r>
      <w:r w:rsidR="00BD37F2">
        <w:instrText xml:space="preserve"> STYLEREF 1 \s </w:instrText>
      </w:r>
      <w:r w:rsidR="00BD37F2">
        <w:fldChar w:fldCharType="separate"/>
      </w:r>
      <w:r>
        <w:rPr>
          <w:noProof/>
        </w:rPr>
        <w:t>4</w:t>
      </w:r>
      <w:r w:rsidR="00BD37F2">
        <w:rPr>
          <w:noProof/>
        </w:rPr>
        <w:fldChar w:fldCharType="end"/>
      </w:r>
      <w:r>
        <w:t>.</w:t>
      </w:r>
      <w:r w:rsidR="00BD37F2">
        <w:fldChar w:fldCharType="begin"/>
      </w:r>
      <w:r w:rsidR="00BD37F2">
        <w:instrText xml:space="preserve"> SEQ Table \* ARABIC \s 1 </w:instrText>
      </w:r>
      <w:r w:rsidR="00BD37F2">
        <w:fldChar w:fldCharType="separate"/>
      </w:r>
      <w:r>
        <w:rPr>
          <w:noProof/>
        </w:rPr>
        <w:t>3</w:t>
      </w:r>
      <w:r w:rsidR="00BD37F2">
        <w:rPr>
          <w:noProof/>
        </w:rPr>
        <w:fldChar w:fldCharType="end"/>
      </w:r>
      <w:r>
        <w:t xml:space="preserve"> </w:t>
      </w:r>
      <w:r w:rsidRPr="00615E45">
        <w:t>Main laws governing the agricultural sector, 2022</w:t>
      </w:r>
      <w:bookmarkEnd w:id="296"/>
      <w:bookmarkEnd w:id="297"/>
    </w:p>
    <w:tbl>
      <w:tblPr>
        <w:tblStyle w:val="WTOTable1"/>
        <w:tblW w:w="5000" w:type="pct"/>
        <w:tblLook w:val="04A0" w:firstRow="1" w:lastRow="0" w:firstColumn="1" w:lastColumn="0" w:noHBand="0" w:noVBand="1"/>
      </w:tblPr>
      <w:tblGrid>
        <w:gridCol w:w="1975"/>
        <w:gridCol w:w="7041"/>
      </w:tblGrid>
      <w:tr w:rsidR="00EB7374" w:rsidRPr="00615E45" w14:paraId="3067A86D" w14:textId="77777777" w:rsidTr="00C700EB">
        <w:trPr>
          <w:cnfStyle w:val="100000000000" w:firstRow="1" w:lastRow="0" w:firstColumn="0" w:lastColumn="0" w:oddVBand="0" w:evenVBand="0" w:oddHBand="0" w:evenHBand="0" w:firstRowFirstColumn="0" w:firstRowLastColumn="0" w:lastRowFirstColumn="0" w:lastRowLastColumn="0"/>
          <w:tblHeader/>
        </w:trPr>
        <w:tc>
          <w:tcPr>
            <w:tcW w:w="1095" w:type="pct"/>
          </w:tcPr>
          <w:p w14:paraId="175C6D57" w14:textId="77777777" w:rsidR="00EB7374" w:rsidRPr="00615E45" w:rsidRDefault="00EB7374" w:rsidP="00C700EB">
            <w:pPr>
              <w:jc w:val="left"/>
              <w:rPr>
                <w:sz w:val="15"/>
                <w:szCs w:val="15"/>
              </w:rPr>
            </w:pPr>
            <w:r w:rsidRPr="00615E45">
              <w:rPr>
                <w:sz w:val="15"/>
              </w:rPr>
              <w:t>Type of legislation</w:t>
            </w:r>
          </w:p>
        </w:tc>
        <w:tc>
          <w:tcPr>
            <w:tcW w:w="3905" w:type="pct"/>
          </w:tcPr>
          <w:p w14:paraId="4FDB7015" w14:textId="77777777" w:rsidR="00EB7374" w:rsidRPr="00615E45" w:rsidRDefault="00EB7374" w:rsidP="00C700EB">
            <w:pPr>
              <w:spacing w:after="200"/>
              <w:contextualSpacing/>
              <w:jc w:val="left"/>
              <w:rPr>
                <w:sz w:val="15"/>
                <w:szCs w:val="15"/>
              </w:rPr>
            </w:pPr>
            <w:r w:rsidRPr="00615E45">
              <w:rPr>
                <w:sz w:val="15"/>
              </w:rPr>
              <w:t>Subject matter</w:t>
            </w:r>
          </w:p>
        </w:tc>
      </w:tr>
      <w:tr w:rsidR="00EB7374" w:rsidRPr="00615E45" w14:paraId="532BF5E2" w14:textId="77777777" w:rsidTr="00C700EB">
        <w:tc>
          <w:tcPr>
            <w:tcW w:w="1095" w:type="pct"/>
          </w:tcPr>
          <w:p w14:paraId="13B52C6D" w14:textId="77777777" w:rsidR="00EB7374" w:rsidRPr="00615E45" w:rsidRDefault="00EB7374" w:rsidP="00C700EB">
            <w:pPr>
              <w:jc w:val="left"/>
              <w:rPr>
                <w:sz w:val="15"/>
                <w:szCs w:val="15"/>
              </w:rPr>
            </w:pPr>
            <w:r w:rsidRPr="00615E45">
              <w:rPr>
                <w:sz w:val="15"/>
              </w:rPr>
              <w:t>Law No. 4990-58</w:t>
            </w:r>
            <w:r w:rsidRPr="00615E45">
              <w:rPr>
                <w:color w:val="000000"/>
                <w:sz w:val="15"/>
                <w:bdr w:val="none" w:sz="0" w:space="0" w:color="auto" w:frame="1"/>
              </w:rPr>
              <w:t xml:space="preserve"> </w:t>
            </w:r>
          </w:p>
        </w:tc>
        <w:tc>
          <w:tcPr>
            <w:tcW w:w="3905" w:type="pct"/>
          </w:tcPr>
          <w:p w14:paraId="2876085F" w14:textId="77777777" w:rsidR="00EB7374" w:rsidRPr="00615E45" w:rsidRDefault="00EB7374" w:rsidP="00C700EB">
            <w:pPr>
              <w:jc w:val="left"/>
              <w:rPr>
                <w:sz w:val="15"/>
                <w:szCs w:val="15"/>
              </w:rPr>
            </w:pPr>
            <w:r w:rsidRPr="00615E45">
              <w:rPr>
                <w:color w:val="000000"/>
                <w:sz w:val="15"/>
                <w:bdr w:val="none" w:sz="0" w:space="0" w:color="auto" w:frame="1"/>
              </w:rPr>
              <w:t>Plant health</w:t>
            </w:r>
          </w:p>
        </w:tc>
      </w:tr>
      <w:tr w:rsidR="00EB7374" w:rsidRPr="00615E45" w14:paraId="3C3E1C72" w14:textId="77777777" w:rsidTr="00C700EB">
        <w:trPr>
          <w:cnfStyle w:val="000000010000" w:firstRow="0" w:lastRow="0" w:firstColumn="0" w:lastColumn="0" w:oddVBand="0" w:evenVBand="0" w:oddHBand="0" w:evenHBand="1" w:firstRowFirstColumn="0" w:firstRowLastColumn="0" w:lastRowFirstColumn="0" w:lastRowLastColumn="0"/>
        </w:trPr>
        <w:tc>
          <w:tcPr>
            <w:tcW w:w="1095" w:type="pct"/>
          </w:tcPr>
          <w:p w14:paraId="5884C2FB" w14:textId="77777777" w:rsidR="00EB7374" w:rsidRPr="00615E45" w:rsidRDefault="00EB7374" w:rsidP="00C700EB">
            <w:pPr>
              <w:jc w:val="left"/>
              <w:rPr>
                <w:sz w:val="15"/>
                <w:szCs w:val="15"/>
              </w:rPr>
            </w:pPr>
            <w:r w:rsidRPr="00615E45">
              <w:rPr>
                <w:sz w:val="15"/>
              </w:rPr>
              <w:t>Law No. 4030-55</w:t>
            </w:r>
          </w:p>
        </w:tc>
        <w:tc>
          <w:tcPr>
            <w:tcW w:w="3905" w:type="pct"/>
          </w:tcPr>
          <w:p w14:paraId="7838F5E4" w14:textId="77777777" w:rsidR="00EB7374" w:rsidRPr="00615E45" w:rsidRDefault="00EB7374" w:rsidP="00C700EB">
            <w:pPr>
              <w:jc w:val="left"/>
              <w:rPr>
                <w:sz w:val="15"/>
                <w:szCs w:val="15"/>
              </w:rPr>
            </w:pPr>
            <w:r w:rsidRPr="00615E45">
              <w:rPr>
                <w:sz w:val="15"/>
              </w:rPr>
              <w:t xml:space="preserve">Declares </w:t>
            </w:r>
            <w:r>
              <w:rPr>
                <w:sz w:val="15"/>
              </w:rPr>
              <w:t>the health</w:t>
            </w:r>
            <w:r w:rsidRPr="00615E45">
              <w:rPr>
                <w:sz w:val="15"/>
              </w:rPr>
              <w:t xml:space="preserve"> protection of livestock in the Dominican Republic to be a matter of public interest</w:t>
            </w:r>
          </w:p>
        </w:tc>
      </w:tr>
      <w:tr w:rsidR="00EB7374" w:rsidRPr="00615E45" w14:paraId="00A7977A" w14:textId="77777777" w:rsidTr="00C700EB">
        <w:tc>
          <w:tcPr>
            <w:tcW w:w="1095" w:type="pct"/>
          </w:tcPr>
          <w:p w14:paraId="35D61B8E" w14:textId="77777777" w:rsidR="00EB7374" w:rsidRPr="00615E45" w:rsidRDefault="00EB7374" w:rsidP="00C700EB">
            <w:pPr>
              <w:jc w:val="left"/>
              <w:rPr>
                <w:sz w:val="15"/>
                <w:szCs w:val="15"/>
              </w:rPr>
            </w:pPr>
            <w:r w:rsidRPr="00615E45">
              <w:rPr>
                <w:sz w:val="15"/>
              </w:rPr>
              <w:t xml:space="preserve">Law No. 5879-62 </w:t>
            </w:r>
          </w:p>
        </w:tc>
        <w:tc>
          <w:tcPr>
            <w:tcW w:w="3905" w:type="pct"/>
          </w:tcPr>
          <w:p w14:paraId="71EBDDC4" w14:textId="77777777" w:rsidR="00EB7374" w:rsidRPr="00615E45" w:rsidRDefault="00EB7374" w:rsidP="00C700EB">
            <w:pPr>
              <w:jc w:val="left"/>
              <w:rPr>
                <w:sz w:val="15"/>
                <w:szCs w:val="15"/>
              </w:rPr>
            </w:pPr>
            <w:r w:rsidRPr="00615E45">
              <w:rPr>
                <w:sz w:val="15"/>
              </w:rPr>
              <w:t>Land reform</w:t>
            </w:r>
          </w:p>
        </w:tc>
      </w:tr>
      <w:tr w:rsidR="00EB7374" w:rsidRPr="00615E45" w14:paraId="07A46D2A" w14:textId="77777777" w:rsidTr="00C700EB">
        <w:trPr>
          <w:cnfStyle w:val="000000010000" w:firstRow="0" w:lastRow="0" w:firstColumn="0" w:lastColumn="0" w:oddVBand="0" w:evenVBand="0" w:oddHBand="0" w:evenHBand="1" w:firstRowFirstColumn="0" w:firstRowLastColumn="0" w:lastRowFirstColumn="0" w:lastRowLastColumn="0"/>
        </w:trPr>
        <w:tc>
          <w:tcPr>
            <w:tcW w:w="1095" w:type="pct"/>
          </w:tcPr>
          <w:p w14:paraId="386ACCC2" w14:textId="77777777" w:rsidR="00EB7374" w:rsidRPr="00615E45" w:rsidRDefault="00EB7374" w:rsidP="00C700EB">
            <w:pPr>
              <w:jc w:val="left"/>
              <w:rPr>
                <w:sz w:val="15"/>
                <w:szCs w:val="15"/>
              </w:rPr>
            </w:pPr>
            <w:r w:rsidRPr="00615E45">
              <w:rPr>
                <w:sz w:val="15"/>
              </w:rPr>
              <w:t>Law No. 6186-63</w:t>
            </w:r>
          </w:p>
        </w:tc>
        <w:tc>
          <w:tcPr>
            <w:tcW w:w="3905" w:type="pct"/>
          </w:tcPr>
          <w:p w14:paraId="743DF31C" w14:textId="77777777" w:rsidR="00EB7374" w:rsidRPr="00615E45" w:rsidRDefault="00EB7374" w:rsidP="00C700EB">
            <w:pPr>
              <w:jc w:val="left"/>
              <w:rPr>
                <w:sz w:val="15"/>
                <w:szCs w:val="15"/>
              </w:rPr>
            </w:pPr>
            <w:r w:rsidRPr="00615E45">
              <w:rPr>
                <w:sz w:val="15"/>
              </w:rPr>
              <w:t>Agricultural development</w:t>
            </w:r>
          </w:p>
        </w:tc>
      </w:tr>
      <w:tr w:rsidR="00EB7374" w:rsidRPr="00615E45" w14:paraId="6BBF896C" w14:textId="77777777" w:rsidTr="00C700EB">
        <w:tc>
          <w:tcPr>
            <w:tcW w:w="1095" w:type="pct"/>
          </w:tcPr>
          <w:p w14:paraId="49FC9EA0" w14:textId="77777777" w:rsidR="00EB7374" w:rsidRPr="00615E45" w:rsidRDefault="00EB7374" w:rsidP="00C700EB">
            <w:pPr>
              <w:jc w:val="left"/>
              <w:rPr>
                <w:sz w:val="15"/>
                <w:szCs w:val="15"/>
              </w:rPr>
            </w:pPr>
            <w:r w:rsidRPr="00615E45">
              <w:rPr>
                <w:sz w:val="15"/>
              </w:rPr>
              <w:t>Law No. 8-65</w:t>
            </w:r>
          </w:p>
        </w:tc>
        <w:tc>
          <w:tcPr>
            <w:tcW w:w="3905" w:type="pct"/>
          </w:tcPr>
          <w:p w14:paraId="7B5E4D11" w14:textId="77777777" w:rsidR="00EB7374" w:rsidRPr="00615E45" w:rsidRDefault="00EB7374" w:rsidP="00C700EB">
            <w:pPr>
              <w:jc w:val="left"/>
              <w:rPr>
                <w:sz w:val="15"/>
                <w:szCs w:val="15"/>
              </w:rPr>
            </w:pPr>
            <w:r w:rsidRPr="00615E45">
              <w:rPr>
                <w:sz w:val="15"/>
              </w:rPr>
              <w:t>Determines the functions of the Ministry of Agriculture</w:t>
            </w:r>
          </w:p>
        </w:tc>
      </w:tr>
      <w:tr w:rsidR="00EB7374" w:rsidRPr="00615E45" w14:paraId="2C73D335" w14:textId="77777777" w:rsidTr="00C700EB">
        <w:trPr>
          <w:cnfStyle w:val="000000010000" w:firstRow="0" w:lastRow="0" w:firstColumn="0" w:lastColumn="0" w:oddVBand="0" w:evenVBand="0" w:oddHBand="0" w:evenHBand="1" w:firstRowFirstColumn="0" w:firstRowLastColumn="0" w:lastRowFirstColumn="0" w:lastRowLastColumn="0"/>
        </w:trPr>
        <w:tc>
          <w:tcPr>
            <w:tcW w:w="1095" w:type="pct"/>
          </w:tcPr>
          <w:p w14:paraId="2E07E501" w14:textId="77777777" w:rsidR="00EB7374" w:rsidRPr="00615E45" w:rsidRDefault="00EB7374" w:rsidP="00C700EB">
            <w:pPr>
              <w:jc w:val="left"/>
              <w:rPr>
                <w:sz w:val="15"/>
                <w:szCs w:val="15"/>
              </w:rPr>
            </w:pPr>
            <w:r w:rsidRPr="00615E45">
              <w:rPr>
                <w:sz w:val="15"/>
              </w:rPr>
              <w:t xml:space="preserve">Law No. 618-66 </w:t>
            </w:r>
          </w:p>
        </w:tc>
        <w:tc>
          <w:tcPr>
            <w:tcW w:w="3905" w:type="pct"/>
          </w:tcPr>
          <w:p w14:paraId="7FE91912" w14:textId="77777777" w:rsidR="00EB7374" w:rsidRPr="00615E45" w:rsidRDefault="00EB7374" w:rsidP="00C700EB">
            <w:pPr>
              <w:jc w:val="left"/>
              <w:rPr>
                <w:sz w:val="15"/>
                <w:szCs w:val="15"/>
              </w:rPr>
            </w:pPr>
            <w:r>
              <w:rPr>
                <w:sz w:val="15"/>
              </w:rPr>
              <w:t xml:space="preserve">Organic law of the </w:t>
            </w:r>
            <w:r w:rsidRPr="00615E45">
              <w:rPr>
                <w:sz w:val="15"/>
              </w:rPr>
              <w:t>Dominican Sugar Institute</w:t>
            </w:r>
            <w:r>
              <w:rPr>
                <w:sz w:val="15"/>
              </w:rPr>
              <w:t xml:space="preserve"> (</w:t>
            </w:r>
            <w:proofErr w:type="spellStart"/>
            <w:r>
              <w:rPr>
                <w:sz w:val="15"/>
              </w:rPr>
              <w:t>INAZUCAR</w:t>
            </w:r>
            <w:proofErr w:type="spellEnd"/>
            <w:r>
              <w:rPr>
                <w:sz w:val="15"/>
              </w:rPr>
              <w:t>)</w:t>
            </w:r>
            <w:r w:rsidRPr="00615E45">
              <w:rPr>
                <w:sz w:val="15"/>
              </w:rPr>
              <w:t xml:space="preserve"> </w:t>
            </w:r>
          </w:p>
        </w:tc>
      </w:tr>
      <w:tr w:rsidR="00EB7374" w:rsidRPr="00615E45" w14:paraId="2AB2817C" w14:textId="77777777" w:rsidTr="00C700EB">
        <w:tc>
          <w:tcPr>
            <w:tcW w:w="1095" w:type="pct"/>
          </w:tcPr>
          <w:p w14:paraId="727A61E8" w14:textId="77777777" w:rsidR="00EB7374" w:rsidRPr="00615E45" w:rsidRDefault="00EB7374" w:rsidP="00C700EB">
            <w:pPr>
              <w:jc w:val="left"/>
              <w:rPr>
                <w:sz w:val="15"/>
                <w:szCs w:val="15"/>
              </w:rPr>
            </w:pPr>
            <w:r w:rsidRPr="00615E45">
              <w:rPr>
                <w:sz w:val="15"/>
              </w:rPr>
              <w:t>Law No. 7-66</w:t>
            </w:r>
          </w:p>
        </w:tc>
        <w:tc>
          <w:tcPr>
            <w:tcW w:w="3905" w:type="pct"/>
          </w:tcPr>
          <w:p w14:paraId="5C0AF053" w14:textId="77777777" w:rsidR="00EB7374" w:rsidRPr="00615E45" w:rsidRDefault="00EB7374" w:rsidP="00C700EB">
            <w:pPr>
              <w:jc w:val="left"/>
              <w:rPr>
                <w:sz w:val="15"/>
                <w:szCs w:val="15"/>
              </w:rPr>
            </w:pPr>
            <w:r>
              <w:rPr>
                <w:sz w:val="15"/>
              </w:rPr>
              <w:t>Establishes</w:t>
            </w:r>
            <w:r w:rsidRPr="00615E45">
              <w:rPr>
                <w:sz w:val="15"/>
              </w:rPr>
              <w:t xml:space="preserve"> the State Sugar Council (CEA)</w:t>
            </w:r>
          </w:p>
        </w:tc>
      </w:tr>
      <w:tr w:rsidR="00EB7374" w:rsidRPr="00615E45" w14:paraId="592161D6" w14:textId="77777777" w:rsidTr="00C700EB">
        <w:trPr>
          <w:cnfStyle w:val="000000010000" w:firstRow="0" w:lastRow="0" w:firstColumn="0" w:lastColumn="0" w:oddVBand="0" w:evenVBand="0" w:oddHBand="0" w:evenHBand="1" w:firstRowFirstColumn="0" w:firstRowLastColumn="0" w:lastRowFirstColumn="0" w:lastRowLastColumn="0"/>
        </w:trPr>
        <w:tc>
          <w:tcPr>
            <w:tcW w:w="1095" w:type="pct"/>
          </w:tcPr>
          <w:p w14:paraId="1D1E4A04" w14:textId="77777777" w:rsidR="00EB7374" w:rsidRPr="00615E45" w:rsidRDefault="00EB7374" w:rsidP="00C700EB">
            <w:pPr>
              <w:jc w:val="left"/>
              <w:rPr>
                <w:sz w:val="15"/>
                <w:szCs w:val="15"/>
              </w:rPr>
            </w:pPr>
            <w:r w:rsidRPr="00615E45">
              <w:rPr>
                <w:sz w:val="15"/>
              </w:rPr>
              <w:t xml:space="preserve">Law No. 526-69 </w:t>
            </w:r>
          </w:p>
        </w:tc>
        <w:tc>
          <w:tcPr>
            <w:tcW w:w="3905" w:type="pct"/>
          </w:tcPr>
          <w:p w14:paraId="2E0A385F" w14:textId="77777777" w:rsidR="00EB7374" w:rsidRPr="00615E45" w:rsidRDefault="00EB7374" w:rsidP="00C700EB">
            <w:pPr>
              <w:jc w:val="left"/>
              <w:rPr>
                <w:sz w:val="15"/>
                <w:szCs w:val="15"/>
              </w:rPr>
            </w:pPr>
            <w:r>
              <w:rPr>
                <w:sz w:val="15"/>
              </w:rPr>
              <w:t>Establishes</w:t>
            </w:r>
            <w:r w:rsidRPr="00615E45">
              <w:rPr>
                <w:sz w:val="15"/>
              </w:rPr>
              <w:t xml:space="preserve"> the Price Stabilization Institute (</w:t>
            </w:r>
            <w:proofErr w:type="spellStart"/>
            <w:r w:rsidRPr="00615E45">
              <w:rPr>
                <w:sz w:val="15"/>
              </w:rPr>
              <w:t>INESPRE</w:t>
            </w:r>
            <w:proofErr w:type="spellEnd"/>
            <w:r w:rsidRPr="00615E45">
              <w:rPr>
                <w:sz w:val="15"/>
              </w:rPr>
              <w:t>)</w:t>
            </w:r>
          </w:p>
        </w:tc>
      </w:tr>
      <w:tr w:rsidR="00EB7374" w:rsidRPr="00615E45" w14:paraId="377061A6" w14:textId="77777777" w:rsidTr="00C700EB">
        <w:tc>
          <w:tcPr>
            <w:tcW w:w="1095" w:type="pct"/>
          </w:tcPr>
          <w:p w14:paraId="70B339F6" w14:textId="77777777" w:rsidR="00EB7374" w:rsidRPr="00615E45" w:rsidRDefault="00EB7374" w:rsidP="00C700EB">
            <w:pPr>
              <w:jc w:val="left"/>
              <w:rPr>
                <w:sz w:val="15"/>
                <w:szCs w:val="15"/>
              </w:rPr>
            </w:pPr>
            <w:r w:rsidRPr="00615E45">
              <w:rPr>
                <w:sz w:val="15"/>
              </w:rPr>
              <w:lastRenderedPageBreak/>
              <w:t xml:space="preserve">Law No. 27-87 </w:t>
            </w:r>
          </w:p>
        </w:tc>
        <w:tc>
          <w:tcPr>
            <w:tcW w:w="3905" w:type="pct"/>
          </w:tcPr>
          <w:p w14:paraId="26C38FCD" w14:textId="77777777" w:rsidR="00EB7374" w:rsidRPr="00615E45" w:rsidRDefault="00EB7374" w:rsidP="00C700EB">
            <w:pPr>
              <w:jc w:val="left"/>
              <w:rPr>
                <w:sz w:val="15"/>
                <w:szCs w:val="15"/>
              </w:rPr>
            </w:pPr>
            <w:r w:rsidRPr="00615E45">
              <w:rPr>
                <w:sz w:val="15"/>
              </w:rPr>
              <w:t xml:space="preserve">Gives </w:t>
            </w:r>
            <w:proofErr w:type="spellStart"/>
            <w:r w:rsidRPr="00615E45">
              <w:rPr>
                <w:sz w:val="15"/>
              </w:rPr>
              <w:t>INAZUCAR</w:t>
            </w:r>
            <w:proofErr w:type="spellEnd"/>
            <w:r w:rsidRPr="00615E45">
              <w:rPr>
                <w:sz w:val="15"/>
              </w:rPr>
              <w:t xml:space="preserve"> its own legal status</w:t>
            </w:r>
          </w:p>
        </w:tc>
      </w:tr>
      <w:tr w:rsidR="00EB7374" w:rsidRPr="00615E45" w14:paraId="529135B8" w14:textId="77777777" w:rsidTr="00C700EB">
        <w:trPr>
          <w:cnfStyle w:val="000000010000" w:firstRow="0" w:lastRow="0" w:firstColumn="0" w:lastColumn="0" w:oddVBand="0" w:evenVBand="0" w:oddHBand="0" w:evenHBand="1" w:firstRowFirstColumn="0" w:firstRowLastColumn="0" w:lastRowFirstColumn="0" w:lastRowLastColumn="0"/>
        </w:trPr>
        <w:tc>
          <w:tcPr>
            <w:tcW w:w="1095" w:type="pct"/>
          </w:tcPr>
          <w:p w14:paraId="6D5EDD4A" w14:textId="77777777" w:rsidR="00EB7374" w:rsidRPr="00615E45" w:rsidRDefault="00EB7374" w:rsidP="00C700EB">
            <w:pPr>
              <w:jc w:val="left"/>
              <w:rPr>
                <w:sz w:val="15"/>
                <w:szCs w:val="15"/>
              </w:rPr>
            </w:pPr>
            <w:r w:rsidRPr="00615E45">
              <w:rPr>
                <w:sz w:val="15"/>
              </w:rPr>
              <w:t xml:space="preserve">Law No. 434-87 </w:t>
            </w:r>
          </w:p>
        </w:tc>
        <w:tc>
          <w:tcPr>
            <w:tcW w:w="3905" w:type="pct"/>
          </w:tcPr>
          <w:p w14:paraId="6B5C64BA" w14:textId="77777777" w:rsidR="00EB7374" w:rsidRPr="00615E45" w:rsidRDefault="00EB7374" w:rsidP="00C700EB">
            <w:pPr>
              <w:jc w:val="left"/>
              <w:rPr>
                <w:sz w:val="15"/>
                <w:szCs w:val="15"/>
              </w:rPr>
            </w:pPr>
            <w:r w:rsidRPr="00615E45">
              <w:rPr>
                <w:sz w:val="15"/>
              </w:rPr>
              <w:t xml:space="preserve">Regulation on </w:t>
            </w:r>
            <w:proofErr w:type="spellStart"/>
            <w:r w:rsidRPr="00615E45">
              <w:rPr>
                <w:sz w:val="15"/>
              </w:rPr>
              <w:t>INAZUCAR</w:t>
            </w:r>
            <w:r>
              <w:rPr>
                <w:sz w:val="15"/>
              </w:rPr>
              <w:t>'</w:t>
            </w:r>
            <w:r w:rsidRPr="00615E45">
              <w:rPr>
                <w:sz w:val="15"/>
              </w:rPr>
              <w:t>s</w:t>
            </w:r>
            <w:proofErr w:type="spellEnd"/>
            <w:r w:rsidRPr="00615E45">
              <w:rPr>
                <w:sz w:val="15"/>
              </w:rPr>
              <w:t xml:space="preserve"> organization and functions</w:t>
            </w:r>
          </w:p>
        </w:tc>
      </w:tr>
      <w:tr w:rsidR="00EB7374" w:rsidRPr="00615E45" w14:paraId="1BAE7DA2" w14:textId="77777777" w:rsidTr="00C700EB">
        <w:tc>
          <w:tcPr>
            <w:tcW w:w="1095" w:type="pct"/>
          </w:tcPr>
          <w:p w14:paraId="27C6C151" w14:textId="77777777" w:rsidR="00EB7374" w:rsidRPr="00615E45" w:rsidRDefault="00EB7374" w:rsidP="00C700EB">
            <w:pPr>
              <w:jc w:val="left"/>
              <w:rPr>
                <w:sz w:val="15"/>
                <w:szCs w:val="15"/>
              </w:rPr>
            </w:pPr>
            <w:r w:rsidRPr="00615E45">
              <w:rPr>
                <w:sz w:val="15"/>
              </w:rPr>
              <w:t xml:space="preserve">Law No. 367-72 </w:t>
            </w:r>
          </w:p>
        </w:tc>
        <w:tc>
          <w:tcPr>
            <w:tcW w:w="3905" w:type="pct"/>
          </w:tcPr>
          <w:p w14:paraId="0EF3025E" w14:textId="77777777" w:rsidR="00EB7374" w:rsidRPr="00615E45" w:rsidRDefault="00EB7374" w:rsidP="00C700EB">
            <w:pPr>
              <w:jc w:val="left"/>
              <w:rPr>
                <w:sz w:val="15"/>
                <w:szCs w:val="15"/>
              </w:rPr>
            </w:pPr>
            <w:r w:rsidRPr="00615E45">
              <w:rPr>
                <w:sz w:val="15"/>
              </w:rPr>
              <w:t>Amends Law No. 6186-63 on agricultural development</w:t>
            </w:r>
          </w:p>
        </w:tc>
      </w:tr>
      <w:tr w:rsidR="00EB7374" w:rsidRPr="00615E45" w14:paraId="2C71BD81" w14:textId="77777777" w:rsidTr="00C700EB">
        <w:trPr>
          <w:cnfStyle w:val="000000010000" w:firstRow="0" w:lastRow="0" w:firstColumn="0" w:lastColumn="0" w:oddVBand="0" w:evenVBand="0" w:oddHBand="0" w:evenHBand="1" w:firstRowFirstColumn="0" w:firstRowLastColumn="0" w:lastRowFirstColumn="0" w:lastRowLastColumn="0"/>
        </w:trPr>
        <w:tc>
          <w:tcPr>
            <w:tcW w:w="1095" w:type="pct"/>
          </w:tcPr>
          <w:p w14:paraId="10166D25" w14:textId="77777777" w:rsidR="00EB7374" w:rsidRPr="00615E45" w:rsidRDefault="00EB7374" w:rsidP="00C700EB">
            <w:pPr>
              <w:jc w:val="left"/>
              <w:rPr>
                <w:sz w:val="15"/>
                <w:szCs w:val="15"/>
              </w:rPr>
            </w:pPr>
            <w:r w:rsidRPr="00615E45">
              <w:rPr>
                <w:sz w:val="15"/>
              </w:rPr>
              <w:t xml:space="preserve">Law No. 27-98 </w:t>
            </w:r>
          </w:p>
        </w:tc>
        <w:tc>
          <w:tcPr>
            <w:tcW w:w="3905" w:type="pct"/>
          </w:tcPr>
          <w:p w14:paraId="4765EE3F" w14:textId="77777777" w:rsidR="00EB7374" w:rsidRPr="00615E45" w:rsidRDefault="00EB7374" w:rsidP="00C700EB">
            <w:pPr>
              <w:jc w:val="left"/>
              <w:rPr>
                <w:sz w:val="15"/>
                <w:szCs w:val="15"/>
              </w:rPr>
            </w:pPr>
            <w:r>
              <w:rPr>
                <w:sz w:val="15"/>
              </w:rPr>
              <w:t>Establishes</w:t>
            </w:r>
            <w:r w:rsidRPr="00615E45">
              <w:rPr>
                <w:sz w:val="15"/>
              </w:rPr>
              <w:t xml:space="preserve"> the National Grape Institute (</w:t>
            </w:r>
            <w:proofErr w:type="spellStart"/>
            <w:r w:rsidRPr="00615E45">
              <w:rPr>
                <w:sz w:val="15"/>
              </w:rPr>
              <w:t>INUVA</w:t>
            </w:r>
            <w:proofErr w:type="spellEnd"/>
            <w:r w:rsidRPr="00615E45">
              <w:rPr>
                <w:sz w:val="15"/>
              </w:rPr>
              <w:t>)</w:t>
            </w:r>
          </w:p>
        </w:tc>
      </w:tr>
      <w:tr w:rsidR="00EB7374" w:rsidRPr="00615E45" w14:paraId="1673D684" w14:textId="77777777" w:rsidTr="00C700EB">
        <w:tc>
          <w:tcPr>
            <w:tcW w:w="1095" w:type="pct"/>
          </w:tcPr>
          <w:p w14:paraId="227FD6CE" w14:textId="77777777" w:rsidR="00EB7374" w:rsidRPr="00615E45" w:rsidRDefault="00EB7374" w:rsidP="00C700EB">
            <w:pPr>
              <w:jc w:val="left"/>
              <w:rPr>
                <w:sz w:val="15"/>
                <w:szCs w:val="15"/>
              </w:rPr>
            </w:pPr>
            <w:r w:rsidRPr="00615E45">
              <w:rPr>
                <w:sz w:val="15"/>
              </w:rPr>
              <w:t xml:space="preserve">Law No. 180-01 </w:t>
            </w:r>
          </w:p>
        </w:tc>
        <w:tc>
          <w:tcPr>
            <w:tcW w:w="3905" w:type="pct"/>
          </w:tcPr>
          <w:p w14:paraId="1D60679E" w14:textId="77777777" w:rsidR="00EB7374" w:rsidRPr="00615E45" w:rsidRDefault="00EB7374" w:rsidP="00C700EB">
            <w:pPr>
              <w:jc w:val="left"/>
              <w:rPr>
                <w:sz w:val="15"/>
                <w:szCs w:val="15"/>
              </w:rPr>
            </w:pPr>
            <w:r>
              <w:rPr>
                <w:sz w:val="15"/>
              </w:rPr>
              <w:t>Establishes</w:t>
            </w:r>
            <w:r w:rsidRPr="00615E45">
              <w:rPr>
                <w:sz w:val="15"/>
              </w:rPr>
              <w:t xml:space="preserve"> the National Council for the Regulation and Development of the Dairy Industry (</w:t>
            </w:r>
            <w:proofErr w:type="spellStart"/>
            <w:r w:rsidRPr="00615E45">
              <w:rPr>
                <w:sz w:val="15"/>
              </w:rPr>
              <w:t>CONALECHE</w:t>
            </w:r>
            <w:proofErr w:type="spellEnd"/>
            <w:r w:rsidRPr="00615E45">
              <w:rPr>
                <w:sz w:val="15"/>
              </w:rPr>
              <w:t>)</w:t>
            </w:r>
          </w:p>
        </w:tc>
      </w:tr>
      <w:tr w:rsidR="00EB7374" w:rsidRPr="00615E45" w14:paraId="1BABB3D8" w14:textId="77777777" w:rsidTr="00C700EB">
        <w:trPr>
          <w:cnfStyle w:val="000000010000" w:firstRow="0" w:lastRow="0" w:firstColumn="0" w:lastColumn="0" w:oddVBand="0" w:evenVBand="0" w:oddHBand="0" w:evenHBand="1" w:firstRowFirstColumn="0" w:firstRowLastColumn="0" w:lastRowFirstColumn="0" w:lastRowLastColumn="0"/>
        </w:trPr>
        <w:tc>
          <w:tcPr>
            <w:tcW w:w="1095" w:type="pct"/>
          </w:tcPr>
          <w:p w14:paraId="74F94FAE" w14:textId="77777777" w:rsidR="00EB7374" w:rsidRPr="00615E45" w:rsidRDefault="00EB7374" w:rsidP="00C700EB">
            <w:pPr>
              <w:jc w:val="left"/>
              <w:rPr>
                <w:sz w:val="15"/>
                <w:szCs w:val="15"/>
              </w:rPr>
            </w:pPr>
            <w:r w:rsidRPr="00615E45">
              <w:rPr>
                <w:sz w:val="15"/>
              </w:rPr>
              <w:t xml:space="preserve">Law No. 307-04 </w:t>
            </w:r>
          </w:p>
        </w:tc>
        <w:tc>
          <w:tcPr>
            <w:tcW w:w="3905" w:type="pct"/>
          </w:tcPr>
          <w:p w14:paraId="1B72BC3A" w14:textId="77777777" w:rsidR="00EB7374" w:rsidRPr="00615E45" w:rsidRDefault="00EB7374" w:rsidP="00C700EB">
            <w:pPr>
              <w:jc w:val="left"/>
              <w:rPr>
                <w:sz w:val="15"/>
                <w:szCs w:val="15"/>
              </w:rPr>
            </w:pPr>
            <w:r>
              <w:rPr>
                <w:sz w:val="15"/>
              </w:rPr>
              <w:t>Establishes</w:t>
            </w:r>
            <w:r w:rsidRPr="00615E45">
              <w:rPr>
                <w:sz w:val="15"/>
              </w:rPr>
              <w:t xml:space="preserve"> the Dominican Fisheries and Aquaculture Council (</w:t>
            </w:r>
            <w:proofErr w:type="spellStart"/>
            <w:r w:rsidRPr="00615E45">
              <w:rPr>
                <w:sz w:val="15"/>
              </w:rPr>
              <w:t>CODOPESCA</w:t>
            </w:r>
            <w:proofErr w:type="spellEnd"/>
            <w:r w:rsidRPr="00615E45">
              <w:rPr>
                <w:sz w:val="15"/>
              </w:rPr>
              <w:t>)</w:t>
            </w:r>
          </w:p>
        </w:tc>
      </w:tr>
      <w:tr w:rsidR="00EB7374" w:rsidRPr="00615E45" w14:paraId="26F6D742" w14:textId="77777777" w:rsidTr="00C700EB">
        <w:tc>
          <w:tcPr>
            <w:tcW w:w="1095" w:type="pct"/>
          </w:tcPr>
          <w:p w14:paraId="251F36D8" w14:textId="77777777" w:rsidR="00EB7374" w:rsidRPr="00615E45" w:rsidRDefault="00EB7374" w:rsidP="00C700EB">
            <w:pPr>
              <w:jc w:val="left"/>
              <w:rPr>
                <w:sz w:val="15"/>
                <w:szCs w:val="15"/>
              </w:rPr>
            </w:pPr>
            <w:r w:rsidRPr="00615E45">
              <w:rPr>
                <w:sz w:val="15"/>
              </w:rPr>
              <w:t xml:space="preserve">Law No. 157-09 </w:t>
            </w:r>
          </w:p>
        </w:tc>
        <w:tc>
          <w:tcPr>
            <w:tcW w:w="3905" w:type="pct"/>
          </w:tcPr>
          <w:p w14:paraId="3987B9FC" w14:textId="77777777" w:rsidR="00EB7374" w:rsidRPr="00615E45" w:rsidRDefault="00EB7374" w:rsidP="00C700EB">
            <w:pPr>
              <w:jc w:val="left"/>
              <w:rPr>
                <w:sz w:val="15"/>
                <w:szCs w:val="15"/>
              </w:rPr>
            </w:pPr>
            <w:r w:rsidRPr="00615E45">
              <w:rPr>
                <w:sz w:val="15"/>
              </w:rPr>
              <w:t>Agricultural insurance in the Dominican Republic</w:t>
            </w:r>
          </w:p>
        </w:tc>
      </w:tr>
      <w:tr w:rsidR="00EB7374" w:rsidRPr="00615E45" w14:paraId="4F560CB7" w14:textId="77777777" w:rsidTr="00C700EB">
        <w:trPr>
          <w:cnfStyle w:val="000000010000" w:firstRow="0" w:lastRow="0" w:firstColumn="0" w:lastColumn="0" w:oddVBand="0" w:evenVBand="0" w:oddHBand="0" w:evenHBand="1" w:firstRowFirstColumn="0" w:firstRowLastColumn="0" w:lastRowFirstColumn="0" w:lastRowLastColumn="0"/>
        </w:trPr>
        <w:tc>
          <w:tcPr>
            <w:tcW w:w="1095" w:type="pct"/>
          </w:tcPr>
          <w:p w14:paraId="66ACC93A" w14:textId="77777777" w:rsidR="00EB7374" w:rsidRPr="00615E45" w:rsidRDefault="00EB7374" w:rsidP="00C700EB">
            <w:pPr>
              <w:jc w:val="left"/>
              <w:rPr>
                <w:sz w:val="15"/>
                <w:szCs w:val="15"/>
              </w:rPr>
            </w:pPr>
            <w:r w:rsidRPr="00615E45">
              <w:rPr>
                <w:sz w:val="15"/>
              </w:rPr>
              <w:t>Law No. 251-12</w:t>
            </w:r>
          </w:p>
        </w:tc>
        <w:tc>
          <w:tcPr>
            <w:tcW w:w="3905" w:type="pct"/>
          </w:tcPr>
          <w:p w14:paraId="0DB0B680" w14:textId="77777777" w:rsidR="00EB7374" w:rsidRPr="00615E45" w:rsidRDefault="00EB7374" w:rsidP="00C700EB">
            <w:pPr>
              <w:jc w:val="left"/>
              <w:rPr>
                <w:sz w:val="15"/>
                <w:szCs w:val="15"/>
              </w:rPr>
            </w:pPr>
            <w:r>
              <w:rPr>
                <w:sz w:val="15"/>
              </w:rPr>
              <w:t>Establishes</w:t>
            </w:r>
            <w:r w:rsidRPr="00615E45">
              <w:rPr>
                <w:sz w:val="15"/>
              </w:rPr>
              <w:t xml:space="preserve"> the National Agricultural and Forestry Research System (</w:t>
            </w:r>
            <w:proofErr w:type="spellStart"/>
            <w:r w:rsidRPr="00615E45">
              <w:rPr>
                <w:sz w:val="15"/>
              </w:rPr>
              <w:t>SINIAF</w:t>
            </w:r>
            <w:proofErr w:type="spellEnd"/>
            <w:r w:rsidRPr="00615E45">
              <w:rPr>
                <w:sz w:val="15"/>
              </w:rPr>
              <w:t>)</w:t>
            </w:r>
          </w:p>
        </w:tc>
      </w:tr>
      <w:tr w:rsidR="00EB7374" w:rsidRPr="00615E45" w14:paraId="7691CDF3" w14:textId="77777777" w:rsidTr="00C700EB">
        <w:tc>
          <w:tcPr>
            <w:tcW w:w="1095" w:type="pct"/>
          </w:tcPr>
          <w:p w14:paraId="33329582" w14:textId="77777777" w:rsidR="00EB7374" w:rsidRPr="00615E45" w:rsidRDefault="00EB7374" w:rsidP="00C700EB">
            <w:pPr>
              <w:jc w:val="left"/>
              <w:rPr>
                <w:sz w:val="15"/>
                <w:szCs w:val="15"/>
              </w:rPr>
            </w:pPr>
            <w:r w:rsidRPr="00615E45">
              <w:rPr>
                <w:sz w:val="15"/>
              </w:rPr>
              <w:t>Law No. 108-13</w:t>
            </w:r>
          </w:p>
        </w:tc>
        <w:tc>
          <w:tcPr>
            <w:tcW w:w="3905" w:type="pct"/>
          </w:tcPr>
          <w:p w14:paraId="369E6B94" w14:textId="77777777" w:rsidR="00EB7374" w:rsidRPr="00615E45" w:rsidRDefault="00EB7374" w:rsidP="00C700EB">
            <w:pPr>
              <w:jc w:val="left"/>
              <w:rPr>
                <w:sz w:val="15"/>
                <w:szCs w:val="15"/>
              </w:rPr>
            </w:pPr>
            <w:r>
              <w:rPr>
                <w:sz w:val="15"/>
              </w:rPr>
              <w:t>Establishes</w:t>
            </w:r>
            <w:r w:rsidRPr="00615E45">
              <w:rPr>
                <w:sz w:val="15"/>
              </w:rPr>
              <w:t xml:space="preserve"> the Dominican Agricultural Supply Markets (</w:t>
            </w:r>
            <w:proofErr w:type="spellStart"/>
            <w:r w:rsidRPr="00615E45">
              <w:rPr>
                <w:sz w:val="15"/>
              </w:rPr>
              <w:t>MERCADOM</w:t>
            </w:r>
            <w:proofErr w:type="spellEnd"/>
            <w:r w:rsidRPr="00615E45">
              <w:rPr>
                <w:sz w:val="15"/>
              </w:rPr>
              <w:t>) public entity</w:t>
            </w:r>
          </w:p>
        </w:tc>
      </w:tr>
      <w:tr w:rsidR="00EB7374" w:rsidRPr="00615E45" w14:paraId="3BE0A1CA" w14:textId="77777777" w:rsidTr="00C700EB">
        <w:trPr>
          <w:cnfStyle w:val="000000010000" w:firstRow="0" w:lastRow="0" w:firstColumn="0" w:lastColumn="0" w:oddVBand="0" w:evenVBand="0" w:oddHBand="0" w:evenHBand="1" w:firstRowFirstColumn="0" w:firstRowLastColumn="0" w:lastRowFirstColumn="0" w:lastRowLastColumn="0"/>
        </w:trPr>
        <w:tc>
          <w:tcPr>
            <w:tcW w:w="1095" w:type="pct"/>
          </w:tcPr>
          <w:p w14:paraId="5296E487" w14:textId="77777777" w:rsidR="00EB7374" w:rsidRPr="00615E45" w:rsidRDefault="00EB7374" w:rsidP="00C700EB">
            <w:pPr>
              <w:jc w:val="left"/>
              <w:rPr>
                <w:sz w:val="15"/>
                <w:szCs w:val="15"/>
              </w:rPr>
            </w:pPr>
            <w:r w:rsidRPr="00615E45">
              <w:rPr>
                <w:sz w:val="15"/>
              </w:rPr>
              <w:t xml:space="preserve">Law No. 589-16 </w:t>
            </w:r>
          </w:p>
        </w:tc>
        <w:tc>
          <w:tcPr>
            <w:tcW w:w="3905" w:type="pct"/>
          </w:tcPr>
          <w:p w14:paraId="01C9F5A0" w14:textId="77777777" w:rsidR="00EB7374" w:rsidRPr="00615E45" w:rsidRDefault="00EB7374" w:rsidP="00C700EB">
            <w:pPr>
              <w:jc w:val="left"/>
              <w:rPr>
                <w:sz w:val="15"/>
                <w:szCs w:val="15"/>
              </w:rPr>
            </w:pPr>
            <w:r>
              <w:rPr>
                <w:sz w:val="15"/>
              </w:rPr>
              <w:t>Establishes</w:t>
            </w:r>
            <w:r w:rsidRPr="00615E45">
              <w:rPr>
                <w:sz w:val="15"/>
              </w:rPr>
              <w:t xml:space="preserve"> the National System for Food and Nutritional Sovereignty and Security in the Dominican Republic</w:t>
            </w:r>
          </w:p>
        </w:tc>
      </w:tr>
      <w:tr w:rsidR="00EB7374" w:rsidRPr="00615E45" w14:paraId="7A5FDA3B" w14:textId="77777777" w:rsidTr="00C700EB">
        <w:tc>
          <w:tcPr>
            <w:tcW w:w="1095" w:type="pct"/>
          </w:tcPr>
          <w:p w14:paraId="33AB91BC" w14:textId="77777777" w:rsidR="00EB7374" w:rsidRPr="00615E45" w:rsidRDefault="00EB7374" w:rsidP="00C700EB">
            <w:pPr>
              <w:jc w:val="left"/>
              <w:rPr>
                <w:sz w:val="15"/>
                <w:szCs w:val="15"/>
              </w:rPr>
            </w:pPr>
            <w:r w:rsidRPr="00615E45">
              <w:rPr>
                <w:sz w:val="15"/>
              </w:rPr>
              <w:t xml:space="preserve">Law No. 246-17 </w:t>
            </w:r>
          </w:p>
        </w:tc>
        <w:tc>
          <w:tcPr>
            <w:tcW w:w="3905" w:type="pct"/>
          </w:tcPr>
          <w:p w14:paraId="5802B17D" w14:textId="77777777" w:rsidR="00EB7374" w:rsidRPr="00615E45" w:rsidRDefault="00EB7374" w:rsidP="00C700EB">
            <w:pPr>
              <w:jc w:val="left"/>
              <w:rPr>
                <w:sz w:val="15"/>
                <w:szCs w:val="15"/>
              </w:rPr>
            </w:pPr>
            <w:r>
              <w:rPr>
                <w:sz w:val="15"/>
              </w:rPr>
              <w:t>Establishes</w:t>
            </w:r>
            <w:r w:rsidRPr="00615E45">
              <w:rPr>
                <w:sz w:val="15"/>
              </w:rPr>
              <w:t xml:space="preserve"> the Dominican Coffee Institute (</w:t>
            </w:r>
            <w:proofErr w:type="spellStart"/>
            <w:r w:rsidRPr="00615E45">
              <w:rPr>
                <w:sz w:val="15"/>
              </w:rPr>
              <w:t>INDOCAFE</w:t>
            </w:r>
            <w:proofErr w:type="spellEnd"/>
            <w:r w:rsidRPr="00615E45">
              <w:rPr>
                <w:sz w:val="15"/>
              </w:rPr>
              <w:t>)</w:t>
            </w:r>
          </w:p>
        </w:tc>
      </w:tr>
      <w:tr w:rsidR="00EB7374" w:rsidRPr="00615E45" w14:paraId="3CAC0106" w14:textId="77777777" w:rsidTr="00C700EB">
        <w:trPr>
          <w:cnfStyle w:val="000000010000" w:firstRow="0" w:lastRow="0" w:firstColumn="0" w:lastColumn="0" w:oddVBand="0" w:evenVBand="0" w:oddHBand="0" w:evenHBand="1" w:firstRowFirstColumn="0" w:firstRowLastColumn="0" w:lastRowFirstColumn="0" w:lastRowLastColumn="0"/>
        </w:trPr>
        <w:tc>
          <w:tcPr>
            <w:tcW w:w="1095" w:type="pct"/>
          </w:tcPr>
          <w:p w14:paraId="4A43F0C2" w14:textId="77777777" w:rsidR="00EB7374" w:rsidRPr="00615E45" w:rsidRDefault="00EB7374" w:rsidP="00C700EB">
            <w:pPr>
              <w:jc w:val="left"/>
              <w:rPr>
                <w:sz w:val="15"/>
                <w:szCs w:val="15"/>
              </w:rPr>
            </w:pPr>
            <w:r w:rsidRPr="00615E45">
              <w:rPr>
                <w:sz w:val="15"/>
              </w:rPr>
              <w:t xml:space="preserve">Law No. 34-18 </w:t>
            </w:r>
          </w:p>
        </w:tc>
        <w:tc>
          <w:tcPr>
            <w:tcW w:w="3905" w:type="pct"/>
          </w:tcPr>
          <w:p w14:paraId="2B782EE6" w14:textId="77777777" w:rsidR="00EB7374" w:rsidRPr="00615E45" w:rsidRDefault="00EB7374" w:rsidP="00C700EB">
            <w:pPr>
              <w:jc w:val="left"/>
              <w:rPr>
                <w:sz w:val="15"/>
                <w:szCs w:val="15"/>
              </w:rPr>
            </w:pPr>
            <w:r w:rsidRPr="00615E45">
              <w:rPr>
                <w:sz w:val="15"/>
              </w:rPr>
              <w:t>Reforms the Tobacco Institute (</w:t>
            </w:r>
            <w:proofErr w:type="spellStart"/>
            <w:r w:rsidRPr="00615E45">
              <w:rPr>
                <w:sz w:val="15"/>
              </w:rPr>
              <w:t>INTABACO</w:t>
            </w:r>
            <w:proofErr w:type="spellEnd"/>
            <w:r w:rsidRPr="00615E45">
              <w:rPr>
                <w:sz w:val="15"/>
              </w:rPr>
              <w:t>)</w:t>
            </w:r>
          </w:p>
        </w:tc>
      </w:tr>
      <w:tr w:rsidR="00EB7374" w:rsidRPr="00615E45" w14:paraId="2738A757" w14:textId="77777777" w:rsidTr="00C700EB">
        <w:tc>
          <w:tcPr>
            <w:tcW w:w="1095" w:type="pct"/>
          </w:tcPr>
          <w:p w14:paraId="2DB02A5B" w14:textId="77777777" w:rsidR="00EB7374" w:rsidRPr="00615E45" w:rsidRDefault="00EB7374" w:rsidP="00C700EB">
            <w:pPr>
              <w:jc w:val="left"/>
              <w:rPr>
                <w:sz w:val="15"/>
                <w:szCs w:val="15"/>
              </w:rPr>
            </w:pPr>
            <w:r w:rsidRPr="00615E45">
              <w:rPr>
                <w:sz w:val="15"/>
              </w:rPr>
              <w:t xml:space="preserve">Law No. 10-21 </w:t>
            </w:r>
          </w:p>
        </w:tc>
        <w:tc>
          <w:tcPr>
            <w:tcW w:w="3905" w:type="pct"/>
          </w:tcPr>
          <w:p w14:paraId="5A55C378" w14:textId="77777777" w:rsidR="00EB7374" w:rsidRPr="00615E45" w:rsidRDefault="00EB7374" w:rsidP="00C700EB">
            <w:pPr>
              <w:jc w:val="left"/>
              <w:rPr>
                <w:sz w:val="15"/>
                <w:szCs w:val="15"/>
              </w:rPr>
            </w:pPr>
            <w:r w:rsidRPr="00615E45">
              <w:rPr>
                <w:sz w:val="15"/>
              </w:rPr>
              <w:t>Amends the functions of the Ministry of Agriculture</w:t>
            </w:r>
          </w:p>
        </w:tc>
      </w:tr>
      <w:tr w:rsidR="00EB7374" w:rsidRPr="00615E45" w14:paraId="543703FB" w14:textId="77777777" w:rsidTr="00C700EB">
        <w:trPr>
          <w:cnfStyle w:val="000000010000" w:firstRow="0" w:lastRow="0" w:firstColumn="0" w:lastColumn="0" w:oddVBand="0" w:evenVBand="0" w:oddHBand="0" w:evenHBand="1" w:firstRowFirstColumn="0" w:firstRowLastColumn="0" w:lastRowFirstColumn="0" w:lastRowLastColumn="0"/>
        </w:trPr>
        <w:tc>
          <w:tcPr>
            <w:tcW w:w="1095" w:type="pct"/>
          </w:tcPr>
          <w:p w14:paraId="437878CA" w14:textId="77777777" w:rsidR="00EB7374" w:rsidRPr="00615E45" w:rsidRDefault="00EB7374" w:rsidP="00C700EB">
            <w:pPr>
              <w:jc w:val="left"/>
              <w:rPr>
                <w:sz w:val="15"/>
                <w:szCs w:val="15"/>
              </w:rPr>
            </w:pPr>
            <w:r w:rsidRPr="00615E45">
              <w:rPr>
                <w:sz w:val="15"/>
              </w:rPr>
              <w:t>Law No. 6-22</w:t>
            </w:r>
          </w:p>
        </w:tc>
        <w:tc>
          <w:tcPr>
            <w:tcW w:w="3905" w:type="pct"/>
          </w:tcPr>
          <w:p w14:paraId="7FBEC275" w14:textId="77777777" w:rsidR="00EB7374" w:rsidRPr="00615E45" w:rsidRDefault="00EB7374" w:rsidP="00C700EB">
            <w:pPr>
              <w:jc w:val="left"/>
              <w:rPr>
                <w:sz w:val="15"/>
                <w:szCs w:val="15"/>
              </w:rPr>
            </w:pPr>
            <w:r w:rsidRPr="00615E45">
              <w:rPr>
                <w:sz w:val="15"/>
              </w:rPr>
              <w:t>Provisionally applies zero-rated customs tariffs to certain goods that affect the cost of basic food items consumed by Dominican families</w:t>
            </w:r>
          </w:p>
        </w:tc>
      </w:tr>
      <w:tr w:rsidR="00EB7374" w:rsidRPr="00615E45" w14:paraId="649E0495" w14:textId="77777777" w:rsidTr="00C700EB">
        <w:tc>
          <w:tcPr>
            <w:tcW w:w="1095" w:type="pct"/>
          </w:tcPr>
          <w:p w14:paraId="5DA0893A" w14:textId="77777777" w:rsidR="00EB7374" w:rsidRPr="00615E45" w:rsidRDefault="00EB7374" w:rsidP="00C700EB">
            <w:pPr>
              <w:jc w:val="left"/>
              <w:rPr>
                <w:sz w:val="15"/>
                <w:szCs w:val="15"/>
              </w:rPr>
            </w:pPr>
            <w:r w:rsidRPr="00615E45">
              <w:rPr>
                <w:sz w:val="15"/>
              </w:rPr>
              <w:t xml:space="preserve">Decree No. 351-82 </w:t>
            </w:r>
          </w:p>
        </w:tc>
        <w:tc>
          <w:tcPr>
            <w:tcW w:w="3905" w:type="pct"/>
          </w:tcPr>
          <w:p w14:paraId="72BD5620" w14:textId="77777777" w:rsidR="00EB7374" w:rsidRPr="00615E45" w:rsidRDefault="00EB7374" w:rsidP="00C700EB">
            <w:pPr>
              <w:jc w:val="left"/>
              <w:rPr>
                <w:sz w:val="15"/>
                <w:szCs w:val="15"/>
              </w:rPr>
            </w:pPr>
            <w:r>
              <w:rPr>
                <w:sz w:val="15"/>
              </w:rPr>
              <w:t>Establishes</w:t>
            </w:r>
            <w:r w:rsidRPr="00615E45">
              <w:rPr>
                <w:sz w:val="15"/>
              </w:rPr>
              <w:t xml:space="preserve"> the National Livestock Production Council (</w:t>
            </w:r>
            <w:proofErr w:type="spellStart"/>
            <w:r w:rsidRPr="00615E45">
              <w:rPr>
                <w:sz w:val="15"/>
              </w:rPr>
              <w:t>CONAPROPE</w:t>
            </w:r>
            <w:proofErr w:type="spellEnd"/>
            <w:r w:rsidRPr="00615E45">
              <w:rPr>
                <w:sz w:val="15"/>
              </w:rPr>
              <w:t>)</w:t>
            </w:r>
          </w:p>
        </w:tc>
      </w:tr>
      <w:tr w:rsidR="00EB7374" w:rsidRPr="00615E45" w14:paraId="56158870" w14:textId="77777777" w:rsidTr="00C700EB">
        <w:trPr>
          <w:cnfStyle w:val="000000010000" w:firstRow="0" w:lastRow="0" w:firstColumn="0" w:lastColumn="0" w:oddVBand="0" w:evenVBand="0" w:oddHBand="0" w:evenHBand="1" w:firstRowFirstColumn="0" w:firstRowLastColumn="0" w:lastRowFirstColumn="0" w:lastRowLastColumn="0"/>
        </w:trPr>
        <w:tc>
          <w:tcPr>
            <w:tcW w:w="1095" w:type="pct"/>
          </w:tcPr>
          <w:p w14:paraId="1D22A4D1" w14:textId="77777777" w:rsidR="00EB7374" w:rsidRPr="00615E45" w:rsidRDefault="00EB7374" w:rsidP="00C700EB">
            <w:pPr>
              <w:jc w:val="left"/>
              <w:rPr>
                <w:sz w:val="15"/>
                <w:szCs w:val="15"/>
              </w:rPr>
            </w:pPr>
            <w:bookmarkStart w:id="298" w:name="_Hlk99354226"/>
            <w:r w:rsidRPr="00615E45">
              <w:rPr>
                <w:sz w:val="15"/>
              </w:rPr>
              <w:t>Decree No. 515-05</w:t>
            </w:r>
          </w:p>
        </w:tc>
        <w:tc>
          <w:tcPr>
            <w:tcW w:w="3905" w:type="pct"/>
          </w:tcPr>
          <w:p w14:paraId="5519B3DA" w14:textId="77777777" w:rsidR="00EB7374" w:rsidRPr="00615E45" w:rsidRDefault="00EB7374" w:rsidP="00C700EB">
            <w:pPr>
              <w:jc w:val="left"/>
              <w:rPr>
                <w:sz w:val="15"/>
                <w:szCs w:val="15"/>
              </w:rPr>
            </w:pPr>
            <w:r>
              <w:rPr>
                <w:sz w:val="15"/>
              </w:rPr>
              <w:t>Establishes</w:t>
            </w:r>
            <w:r w:rsidRPr="00615E45">
              <w:rPr>
                <w:sz w:val="15"/>
              </w:rPr>
              <w:t xml:space="preserve"> the National Committee for the Application of Sanitary and Phytosanitary Measures</w:t>
            </w:r>
          </w:p>
        </w:tc>
      </w:tr>
      <w:tr w:rsidR="00EB7374" w:rsidRPr="00615E45" w14:paraId="131BF60C" w14:textId="77777777" w:rsidTr="00C700EB">
        <w:tc>
          <w:tcPr>
            <w:tcW w:w="1095" w:type="pct"/>
          </w:tcPr>
          <w:p w14:paraId="13200D27" w14:textId="77777777" w:rsidR="00EB7374" w:rsidRPr="00615E45" w:rsidRDefault="00EB7374" w:rsidP="00C700EB">
            <w:pPr>
              <w:jc w:val="left"/>
              <w:rPr>
                <w:sz w:val="15"/>
                <w:szCs w:val="15"/>
              </w:rPr>
            </w:pPr>
            <w:r w:rsidRPr="00615E45">
              <w:rPr>
                <w:sz w:val="15"/>
              </w:rPr>
              <w:t>Decree No. 182-12</w:t>
            </w:r>
          </w:p>
        </w:tc>
        <w:tc>
          <w:tcPr>
            <w:tcW w:w="3905" w:type="pct"/>
          </w:tcPr>
          <w:p w14:paraId="4FA54A30" w14:textId="77777777" w:rsidR="00EB7374" w:rsidRPr="00615E45" w:rsidRDefault="00EB7374" w:rsidP="00C700EB">
            <w:pPr>
              <w:jc w:val="left"/>
              <w:rPr>
                <w:sz w:val="15"/>
                <w:szCs w:val="15"/>
              </w:rPr>
            </w:pPr>
            <w:r w:rsidRPr="00615E45">
              <w:rPr>
                <w:sz w:val="15"/>
              </w:rPr>
              <w:t>Regulation implementing Law No. 157-09, as amended by Law No. 197-11</w:t>
            </w:r>
          </w:p>
        </w:tc>
      </w:tr>
      <w:bookmarkEnd w:id="298"/>
      <w:tr w:rsidR="00EB7374" w:rsidRPr="00615E45" w14:paraId="6E7DFDB5" w14:textId="77777777" w:rsidTr="00C700EB">
        <w:trPr>
          <w:cnfStyle w:val="000000010000" w:firstRow="0" w:lastRow="0" w:firstColumn="0" w:lastColumn="0" w:oddVBand="0" w:evenVBand="0" w:oddHBand="0" w:evenHBand="1" w:firstRowFirstColumn="0" w:firstRowLastColumn="0" w:lastRowFirstColumn="0" w:lastRowLastColumn="0"/>
        </w:trPr>
        <w:tc>
          <w:tcPr>
            <w:tcW w:w="1095" w:type="pct"/>
          </w:tcPr>
          <w:p w14:paraId="32BADF56" w14:textId="77777777" w:rsidR="00EB7374" w:rsidRPr="00615E45" w:rsidRDefault="00EB7374" w:rsidP="00C700EB">
            <w:pPr>
              <w:jc w:val="left"/>
              <w:rPr>
                <w:sz w:val="15"/>
                <w:szCs w:val="15"/>
              </w:rPr>
            </w:pPr>
            <w:r w:rsidRPr="00615E45">
              <w:rPr>
                <w:sz w:val="15"/>
              </w:rPr>
              <w:t xml:space="preserve">Decree No. 65-21 </w:t>
            </w:r>
          </w:p>
        </w:tc>
        <w:tc>
          <w:tcPr>
            <w:tcW w:w="3905" w:type="pct"/>
          </w:tcPr>
          <w:p w14:paraId="4616A9D4" w14:textId="77777777" w:rsidR="00EB7374" w:rsidRPr="00615E45" w:rsidRDefault="00EB7374" w:rsidP="00C700EB">
            <w:pPr>
              <w:jc w:val="left"/>
              <w:rPr>
                <w:sz w:val="15"/>
                <w:szCs w:val="15"/>
              </w:rPr>
            </w:pPr>
            <w:r>
              <w:rPr>
                <w:sz w:val="15"/>
              </w:rPr>
              <w:t>Establishes</w:t>
            </w:r>
            <w:r w:rsidRPr="00615E45">
              <w:rPr>
                <w:sz w:val="15"/>
              </w:rPr>
              <w:t xml:space="preserve"> the </w:t>
            </w:r>
            <w:r>
              <w:rPr>
                <w:sz w:val="15"/>
              </w:rPr>
              <w:t>Consultative Council (</w:t>
            </w:r>
            <w:proofErr w:type="spellStart"/>
            <w:r w:rsidRPr="0036722C">
              <w:rPr>
                <w:i/>
                <w:iCs/>
                <w:sz w:val="15"/>
              </w:rPr>
              <w:t>Gabinete</w:t>
            </w:r>
            <w:proofErr w:type="spellEnd"/>
            <w:r>
              <w:rPr>
                <w:sz w:val="15"/>
              </w:rPr>
              <w:t>) for Agriculture</w:t>
            </w:r>
          </w:p>
        </w:tc>
      </w:tr>
      <w:tr w:rsidR="00EB7374" w:rsidRPr="00615E45" w14:paraId="54B5B653" w14:textId="77777777" w:rsidTr="00C700EB">
        <w:tc>
          <w:tcPr>
            <w:tcW w:w="1095" w:type="pct"/>
          </w:tcPr>
          <w:p w14:paraId="727B04D5" w14:textId="77777777" w:rsidR="00EB7374" w:rsidRPr="00615E45" w:rsidRDefault="00EB7374" w:rsidP="00C700EB">
            <w:pPr>
              <w:jc w:val="left"/>
              <w:rPr>
                <w:sz w:val="15"/>
                <w:szCs w:val="15"/>
              </w:rPr>
            </w:pPr>
            <w:r w:rsidRPr="00615E45">
              <w:rPr>
                <w:sz w:val="15"/>
              </w:rPr>
              <w:t xml:space="preserve">Decree No. 605-21 </w:t>
            </w:r>
          </w:p>
        </w:tc>
        <w:tc>
          <w:tcPr>
            <w:tcW w:w="3905" w:type="pct"/>
          </w:tcPr>
          <w:p w14:paraId="747557C9" w14:textId="77777777" w:rsidR="00EB7374" w:rsidRPr="00615E45" w:rsidRDefault="00EB7374" w:rsidP="00C700EB">
            <w:pPr>
              <w:jc w:val="left"/>
              <w:rPr>
                <w:sz w:val="15"/>
                <w:szCs w:val="15"/>
              </w:rPr>
            </w:pPr>
            <w:r>
              <w:rPr>
                <w:sz w:val="15"/>
              </w:rPr>
              <w:t>Establishes</w:t>
            </w:r>
            <w:r w:rsidRPr="00615E45">
              <w:rPr>
                <w:sz w:val="15"/>
              </w:rPr>
              <w:t xml:space="preserve"> the Commission for Agricultural Imports</w:t>
            </w:r>
          </w:p>
        </w:tc>
      </w:tr>
      <w:tr w:rsidR="00EB7374" w:rsidRPr="00615E45" w14:paraId="62F7860F" w14:textId="77777777" w:rsidTr="00C700EB">
        <w:trPr>
          <w:cnfStyle w:val="000000010000" w:firstRow="0" w:lastRow="0" w:firstColumn="0" w:lastColumn="0" w:oddVBand="0" w:evenVBand="0" w:oddHBand="0" w:evenHBand="1" w:firstRowFirstColumn="0" w:firstRowLastColumn="0" w:lastRowFirstColumn="0" w:lastRowLastColumn="0"/>
        </w:trPr>
        <w:tc>
          <w:tcPr>
            <w:tcW w:w="1095" w:type="pct"/>
          </w:tcPr>
          <w:p w14:paraId="5A20752D" w14:textId="77777777" w:rsidR="00EB7374" w:rsidRPr="00615E45" w:rsidRDefault="00EB7374" w:rsidP="00C700EB">
            <w:pPr>
              <w:jc w:val="left"/>
              <w:rPr>
                <w:sz w:val="15"/>
                <w:szCs w:val="15"/>
              </w:rPr>
            </w:pPr>
            <w:r w:rsidRPr="00615E45">
              <w:rPr>
                <w:sz w:val="15"/>
              </w:rPr>
              <w:t>Decree No. 319-22</w:t>
            </w:r>
          </w:p>
        </w:tc>
        <w:tc>
          <w:tcPr>
            <w:tcW w:w="3905" w:type="pct"/>
          </w:tcPr>
          <w:p w14:paraId="2A3C3630" w14:textId="77777777" w:rsidR="00EB7374" w:rsidRPr="00615E45" w:rsidRDefault="00EB7374" w:rsidP="00C700EB">
            <w:pPr>
              <w:jc w:val="left"/>
              <w:rPr>
                <w:sz w:val="15"/>
                <w:szCs w:val="15"/>
              </w:rPr>
            </w:pPr>
            <w:r w:rsidRPr="00615E45">
              <w:rPr>
                <w:sz w:val="15"/>
              </w:rPr>
              <w:t>Establishes the regulation governing the Register of Agricultural Product Importers</w:t>
            </w:r>
          </w:p>
        </w:tc>
      </w:tr>
    </w:tbl>
    <w:p w14:paraId="4CDED73F" w14:textId="77777777" w:rsidR="00EB7374" w:rsidRPr="00615E45" w:rsidRDefault="00EB7374" w:rsidP="00B0434B">
      <w:pPr>
        <w:pStyle w:val="NoteText"/>
        <w:spacing w:before="120" w:after="240"/>
      </w:pPr>
      <w:r w:rsidRPr="00615E45">
        <w:t>Source:</w:t>
      </w:r>
      <w:r w:rsidRPr="00615E45">
        <w:tab/>
        <w:t>WTO Secretariat.</w:t>
      </w:r>
    </w:p>
    <w:p w14:paraId="1BF47803" w14:textId="77777777" w:rsidR="00EB7374" w:rsidRPr="00615E45" w:rsidRDefault="00EB7374" w:rsidP="00C80D98">
      <w:pPr>
        <w:pStyle w:val="BodyText"/>
      </w:pPr>
      <w:r w:rsidRPr="00615E45">
        <w:t xml:space="preserve">At the institutional level, no substantial changes have been made since the previous review </w:t>
      </w:r>
      <w:r w:rsidRPr="00C80D98">
        <w:t>(Table 4.3). The Ministry of Agriculture, which consists of various vice-ministries,</w:t>
      </w:r>
      <w:r w:rsidRPr="00C80D98">
        <w:footnoteReference w:id="328"/>
      </w:r>
      <w:r w:rsidRPr="00C80D98">
        <w:t xml:space="preserve"> formulates and implements the agricultural policy in coordination with other agricultural sector institutions (Table 4.4). The Vice-Ministry of Agricultural Sector Planning includes the Office of Agricultural Trade Agreements (</w:t>
      </w:r>
      <w:proofErr w:type="spellStart"/>
      <w:r w:rsidRPr="00C80D98">
        <w:t>OTCA</w:t>
      </w:r>
      <w:proofErr w:type="spellEnd"/>
      <w:r w:rsidRPr="00C80D98">
        <w:t xml:space="preserve">), which is tasked with negotiating and administering agricultural trade agreements and the tariff quotas negotiated under them. The </w:t>
      </w:r>
      <w:proofErr w:type="spellStart"/>
      <w:r w:rsidRPr="00C80D98">
        <w:t>OTCA</w:t>
      </w:r>
      <w:proofErr w:type="spellEnd"/>
      <w:r w:rsidRPr="00C80D98">
        <w:t xml:space="preserve"> acts as the Executive Secretariat for the Commission for Agricultural Imports. In 2021, the Commission was empowered to, among other things, draft a regulation on the procedures for awarding agricultural product import</w:t>
      </w:r>
      <w:r w:rsidRPr="00E95D7A">
        <w:t xml:space="preserve"> </w:t>
      </w:r>
      <w:r w:rsidRPr="00615E45">
        <w:t>licences.</w:t>
      </w:r>
      <w:r w:rsidRPr="00615E45">
        <w:rPr>
          <w:rStyle w:val="FootnoteReference"/>
        </w:rPr>
        <w:footnoteReference w:id="329"/>
      </w:r>
      <w:r w:rsidRPr="00615E45">
        <w:t xml:space="preserve"> The </w:t>
      </w:r>
      <w:r>
        <w:t>Consultative Council (</w:t>
      </w:r>
      <w:proofErr w:type="spellStart"/>
      <w:r w:rsidRPr="0036722C">
        <w:rPr>
          <w:i/>
          <w:iCs/>
        </w:rPr>
        <w:t>Gabinete</w:t>
      </w:r>
      <w:proofErr w:type="spellEnd"/>
      <w:r>
        <w:t>) for Agriculture</w:t>
      </w:r>
      <w:r w:rsidRPr="00615E45">
        <w:t xml:space="preserve"> was also created in 2021 and tasked with proposing and developing agricultural policies to promote the development of the </w:t>
      </w:r>
      <w:r>
        <w:t>domestic</w:t>
      </w:r>
      <w:r w:rsidRPr="00615E45">
        <w:t xml:space="preserve"> agricultural sector and ensure the population</w:t>
      </w:r>
      <w:r>
        <w:t>'</w:t>
      </w:r>
      <w:r w:rsidRPr="00615E45">
        <w:t>s food and nutritional security.</w:t>
      </w:r>
      <w:r w:rsidRPr="00615E45">
        <w:rPr>
          <w:rStyle w:val="FootnoteReference"/>
        </w:rPr>
        <w:footnoteReference w:id="330"/>
      </w:r>
      <w:bookmarkStart w:id="299" w:name="_Toc114735840"/>
    </w:p>
    <w:p w14:paraId="0CACC2B1" w14:textId="77777777" w:rsidR="00EB7374" w:rsidRPr="00615E45" w:rsidRDefault="00EB7374" w:rsidP="00385EA7">
      <w:pPr>
        <w:pStyle w:val="Caption"/>
      </w:pPr>
      <w:bookmarkStart w:id="300" w:name="_Toc117238058"/>
      <w:r>
        <w:t xml:space="preserve">Table </w:t>
      </w:r>
      <w:r w:rsidR="00BD37F2">
        <w:fldChar w:fldCharType="begin"/>
      </w:r>
      <w:r w:rsidR="00BD37F2">
        <w:instrText xml:space="preserve"> STYLEREF 1 \s </w:instrText>
      </w:r>
      <w:r w:rsidR="00BD37F2">
        <w:fldChar w:fldCharType="separate"/>
      </w:r>
      <w:r>
        <w:rPr>
          <w:noProof/>
        </w:rPr>
        <w:t>4</w:t>
      </w:r>
      <w:r w:rsidR="00BD37F2">
        <w:rPr>
          <w:noProof/>
        </w:rPr>
        <w:fldChar w:fldCharType="end"/>
      </w:r>
      <w:r>
        <w:t>.</w:t>
      </w:r>
      <w:r w:rsidR="00BD37F2">
        <w:fldChar w:fldCharType="begin"/>
      </w:r>
      <w:r w:rsidR="00BD37F2">
        <w:instrText xml:space="preserve"> SEQ Table \* ARABIC \s 1 </w:instrText>
      </w:r>
      <w:r w:rsidR="00BD37F2">
        <w:fldChar w:fldCharType="separate"/>
      </w:r>
      <w:r>
        <w:rPr>
          <w:noProof/>
        </w:rPr>
        <w:t>4</w:t>
      </w:r>
      <w:r w:rsidR="00BD37F2">
        <w:rPr>
          <w:noProof/>
        </w:rPr>
        <w:fldChar w:fldCharType="end"/>
      </w:r>
      <w:r>
        <w:t xml:space="preserve"> </w:t>
      </w:r>
      <w:r w:rsidRPr="00615E45">
        <w:t>Major agricultural sector institutions, 2022</w:t>
      </w:r>
      <w:bookmarkEnd w:id="299"/>
      <w:bookmarkEnd w:id="300"/>
    </w:p>
    <w:tbl>
      <w:tblPr>
        <w:tblStyle w:val="WTOTable1"/>
        <w:tblW w:w="5000" w:type="pct"/>
        <w:tblLook w:val="04A0" w:firstRow="1" w:lastRow="0" w:firstColumn="1" w:lastColumn="0" w:noHBand="0" w:noVBand="1"/>
      </w:tblPr>
      <w:tblGrid>
        <w:gridCol w:w="3680"/>
        <w:gridCol w:w="5336"/>
      </w:tblGrid>
      <w:tr w:rsidR="00EB7374" w:rsidRPr="00615E45" w14:paraId="1D567796" w14:textId="77777777" w:rsidTr="00C700EB">
        <w:trPr>
          <w:cnfStyle w:val="100000000000" w:firstRow="1" w:lastRow="0" w:firstColumn="0" w:lastColumn="0" w:oddVBand="0" w:evenVBand="0" w:oddHBand="0" w:evenHBand="0" w:firstRowFirstColumn="0" w:firstRowLastColumn="0" w:lastRowFirstColumn="0" w:lastRowLastColumn="0"/>
          <w:tblHeader/>
        </w:trPr>
        <w:tc>
          <w:tcPr>
            <w:tcW w:w="2041" w:type="pct"/>
          </w:tcPr>
          <w:p w14:paraId="5AB5AB3C" w14:textId="77777777" w:rsidR="00EB7374" w:rsidRPr="00615E45" w:rsidRDefault="00EB7374" w:rsidP="00C700EB">
            <w:pPr>
              <w:jc w:val="left"/>
              <w:rPr>
                <w:sz w:val="15"/>
                <w:szCs w:val="15"/>
              </w:rPr>
            </w:pPr>
            <w:r w:rsidRPr="00615E45">
              <w:rPr>
                <w:sz w:val="15"/>
              </w:rPr>
              <w:t xml:space="preserve">Institution </w:t>
            </w:r>
          </w:p>
        </w:tc>
        <w:tc>
          <w:tcPr>
            <w:tcW w:w="2959" w:type="pct"/>
          </w:tcPr>
          <w:p w14:paraId="0676F9B6" w14:textId="77777777" w:rsidR="00EB7374" w:rsidRPr="00615E45" w:rsidRDefault="00EB7374" w:rsidP="00C700EB">
            <w:pPr>
              <w:jc w:val="left"/>
              <w:rPr>
                <w:sz w:val="15"/>
                <w:szCs w:val="15"/>
              </w:rPr>
            </w:pPr>
            <w:r w:rsidRPr="00615E45">
              <w:rPr>
                <w:sz w:val="15"/>
              </w:rPr>
              <w:t xml:space="preserve">Function </w:t>
            </w:r>
          </w:p>
        </w:tc>
      </w:tr>
      <w:tr w:rsidR="00EB7374" w:rsidRPr="00615E45" w14:paraId="4251BCE7" w14:textId="77777777" w:rsidTr="00C700EB">
        <w:tc>
          <w:tcPr>
            <w:tcW w:w="2041" w:type="pct"/>
          </w:tcPr>
          <w:p w14:paraId="19367F60" w14:textId="77777777" w:rsidR="00EB7374" w:rsidRPr="00615E45" w:rsidRDefault="00EB7374" w:rsidP="00C700EB">
            <w:pPr>
              <w:jc w:val="left"/>
              <w:rPr>
                <w:sz w:val="15"/>
                <w:szCs w:val="15"/>
              </w:rPr>
            </w:pPr>
            <w:r w:rsidRPr="00615E45">
              <w:rPr>
                <w:sz w:val="15"/>
              </w:rPr>
              <w:t>Directorate-General of Livestock (</w:t>
            </w:r>
            <w:proofErr w:type="spellStart"/>
            <w:r w:rsidRPr="00615E45">
              <w:rPr>
                <w:sz w:val="15"/>
              </w:rPr>
              <w:t>DIGEGA</w:t>
            </w:r>
            <w:proofErr w:type="spellEnd"/>
            <w:r w:rsidRPr="00615E45">
              <w:rPr>
                <w:sz w:val="15"/>
              </w:rPr>
              <w:t>)</w:t>
            </w:r>
          </w:p>
        </w:tc>
        <w:tc>
          <w:tcPr>
            <w:tcW w:w="2959" w:type="pct"/>
          </w:tcPr>
          <w:p w14:paraId="5AC13D19" w14:textId="77777777" w:rsidR="00EB7374" w:rsidRPr="00615E45" w:rsidRDefault="00EB7374" w:rsidP="00C700EB">
            <w:pPr>
              <w:jc w:val="left"/>
              <w:rPr>
                <w:sz w:val="15"/>
                <w:szCs w:val="15"/>
              </w:rPr>
            </w:pPr>
            <w:r w:rsidRPr="00615E45">
              <w:rPr>
                <w:sz w:val="15"/>
              </w:rPr>
              <w:t xml:space="preserve">Develops and implements livestock policy, </w:t>
            </w:r>
            <w:r>
              <w:rPr>
                <w:sz w:val="15"/>
              </w:rPr>
              <w:t xml:space="preserve">with a particular focus </w:t>
            </w:r>
            <w:r w:rsidRPr="00615E45">
              <w:rPr>
                <w:sz w:val="15"/>
              </w:rPr>
              <w:t>on animal health.</w:t>
            </w:r>
          </w:p>
        </w:tc>
      </w:tr>
      <w:tr w:rsidR="00EB7374" w:rsidRPr="00615E45" w14:paraId="09D167A1" w14:textId="77777777" w:rsidTr="00C700EB">
        <w:trPr>
          <w:cnfStyle w:val="000000010000" w:firstRow="0" w:lastRow="0" w:firstColumn="0" w:lastColumn="0" w:oddVBand="0" w:evenVBand="0" w:oddHBand="0" w:evenHBand="1" w:firstRowFirstColumn="0" w:firstRowLastColumn="0" w:lastRowFirstColumn="0" w:lastRowLastColumn="0"/>
        </w:trPr>
        <w:tc>
          <w:tcPr>
            <w:tcW w:w="2041" w:type="pct"/>
          </w:tcPr>
          <w:p w14:paraId="54C8B512" w14:textId="77777777" w:rsidR="00EB7374" w:rsidRPr="00615E45" w:rsidRDefault="00EB7374" w:rsidP="00C700EB">
            <w:pPr>
              <w:jc w:val="left"/>
              <w:rPr>
                <w:sz w:val="15"/>
                <w:szCs w:val="15"/>
              </w:rPr>
            </w:pPr>
            <w:r w:rsidRPr="00615E45">
              <w:rPr>
                <w:sz w:val="15"/>
              </w:rPr>
              <w:t xml:space="preserve">Dominican Agricultural Institute (IAD) </w:t>
            </w:r>
          </w:p>
        </w:tc>
        <w:tc>
          <w:tcPr>
            <w:tcW w:w="2959" w:type="pct"/>
          </w:tcPr>
          <w:p w14:paraId="32D7547F" w14:textId="77777777" w:rsidR="00EB7374" w:rsidRPr="00615E45" w:rsidRDefault="00EB7374" w:rsidP="00C700EB">
            <w:pPr>
              <w:jc w:val="left"/>
              <w:rPr>
                <w:sz w:val="15"/>
                <w:szCs w:val="15"/>
              </w:rPr>
            </w:pPr>
            <w:r w:rsidRPr="00615E45">
              <w:rPr>
                <w:sz w:val="15"/>
              </w:rPr>
              <w:t xml:space="preserve">Takes and distributes land and grants </w:t>
            </w:r>
            <w:r>
              <w:rPr>
                <w:sz w:val="15"/>
              </w:rPr>
              <w:t>permanent</w:t>
            </w:r>
            <w:r w:rsidRPr="00615E45">
              <w:rPr>
                <w:sz w:val="15"/>
              </w:rPr>
              <w:t xml:space="preserve"> ownership titles to landholders under the agricultural reform.</w:t>
            </w:r>
          </w:p>
        </w:tc>
      </w:tr>
      <w:tr w:rsidR="00EB7374" w:rsidRPr="00615E45" w14:paraId="2C8C6DF2" w14:textId="77777777" w:rsidTr="00C700EB">
        <w:tc>
          <w:tcPr>
            <w:tcW w:w="2041" w:type="pct"/>
          </w:tcPr>
          <w:p w14:paraId="418136A6" w14:textId="77777777" w:rsidR="00EB7374" w:rsidRPr="00615E45" w:rsidRDefault="00EB7374" w:rsidP="00C700EB">
            <w:pPr>
              <w:jc w:val="left"/>
              <w:rPr>
                <w:sz w:val="15"/>
                <w:szCs w:val="15"/>
              </w:rPr>
            </w:pPr>
            <w:r w:rsidRPr="00615E45">
              <w:rPr>
                <w:sz w:val="15"/>
              </w:rPr>
              <w:t>Directorate-General of Agricultural Risks (</w:t>
            </w:r>
            <w:proofErr w:type="spellStart"/>
            <w:r w:rsidRPr="00615E45">
              <w:rPr>
                <w:sz w:val="15"/>
              </w:rPr>
              <w:t>DIGERA</w:t>
            </w:r>
            <w:proofErr w:type="spellEnd"/>
            <w:r w:rsidRPr="00615E45">
              <w:rPr>
                <w:sz w:val="15"/>
              </w:rPr>
              <w:t xml:space="preserve">) </w:t>
            </w:r>
          </w:p>
        </w:tc>
        <w:tc>
          <w:tcPr>
            <w:tcW w:w="2959" w:type="pct"/>
          </w:tcPr>
          <w:p w14:paraId="151A49C3" w14:textId="77777777" w:rsidR="00EB7374" w:rsidRPr="00615E45" w:rsidRDefault="00EB7374" w:rsidP="00C700EB">
            <w:pPr>
              <w:jc w:val="left"/>
              <w:rPr>
                <w:sz w:val="15"/>
                <w:szCs w:val="15"/>
              </w:rPr>
            </w:pPr>
            <w:r w:rsidRPr="00615E45">
              <w:rPr>
                <w:sz w:val="15"/>
              </w:rPr>
              <w:t xml:space="preserve">Implements agricultural insurance. </w:t>
            </w:r>
          </w:p>
        </w:tc>
      </w:tr>
      <w:tr w:rsidR="00EB7374" w:rsidRPr="00615E45" w14:paraId="0ACBA110" w14:textId="77777777" w:rsidTr="00C700EB">
        <w:trPr>
          <w:cnfStyle w:val="000000010000" w:firstRow="0" w:lastRow="0" w:firstColumn="0" w:lastColumn="0" w:oddVBand="0" w:evenVBand="0" w:oddHBand="0" w:evenHBand="1" w:firstRowFirstColumn="0" w:firstRowLastColumn="0" w:lastRowFirstColumn="0" w:lastRowLastColumn="0"/>
        </w:trPr>
        <w:tc>
          <w:tcPr>
            <w:tcW w:w="2041" w:type="pct"/>
          </w:tcPr>
          <w:p w14:paraId="2262A7EB" w14:textId="77777777" w:rsidR="00EB7374" w:rsidRPr="00615E45" w:rsidRDefault="00EB7374" w:rsidP="00C700EB">
            <w:pPr>
              <w:jc w:val="left"/>
              <w:rPr>
                <w:b/>
                <w:bCs/>
                <w:sz w:val="15"/>
                <w:szCs w:val="15"/>
              </w:rPr>
            </w:pPr>
            <w:r w:rsidRPr="00615E45">
              <w:rPr>
                <w:b/>
                <w:sz w:val="15"/>
              </w:rPr>
              <w:t>Specific products</w:t>
            </w:r>
          </w:p>
        </w:tc>
        <w:tc>
          <w:tcPr>
            <w:tcW w:w="2959" w:type="pct"/>
          </w:tcPr>
          <w:p w14:paraId="3DD0B564" w14:textId="77777777" w:rsidR="00EB7374" w:rsidRPr="00615E45" w:rsidRDefault="00EB7374" w:rsidP="00C700EB">
            <w:pPr>
              <w:jc w:val="left"/>
              <w:rPr>
                <w:sz w:val="15"/>
                <w:szCs w:val="15"/>
              </w:rPr>
            </w:pPr>
          </w:p>
        </w:tc>
      </w:tr>
      <w:tr w:rsidR="00EB7374" w:rsidRPr="00615E45" w14:paraId="6A0B2234" w14:textId="77777777" w:rsidTr="00C700EB">
        <w:tc>
          <w:tcPr>
            <w:tcW w:w="2041" w:type="pct"/>
          </w:tcPr>
          <w:p w14:paraId="40EE8D39" w14:textId="77777777" w:rsidR="00EB7374" w:rsidRPr="00615E45" w:rsidRDefault="00EB7374" w:rsidP="00C700EB">
            <w:pPr>
              <w:jc w:val="left"/>
              <w:rPr>
                <w:sz w:val="15"/>
                <w:szCs w:val="15"/>
              </w:rPr>
            </w:pPr>
            <w:r w:rsidRPr="00615E45">
              <w:rPr>
                <w:sz w:val="15"/>
              </w:rPr>
              <w:t>National Grape Institute (</w:t>
            </w:r>
            <w:proofErr w:type="spellStart"/>
            <w:r w:rsidRPr="00615E45">
              <w:rPr>
                <w:sz w:val="15"/>
              </w:rPr>
              <w:t>INUVA</w:t>
            </w:r>
            <w:proofErr w:type="spellEnd"/>
            <w:r w:rsidRPr="00615E45">
              <w:rPr>
                <w:sz w:val="15"/>
              </w:rPr>
              <w:t>)</w:t>
            </w:r>
          </w:p>
        </w:tc>
        <w:tc>
          <w:tcPr>
            <w:tcW w:w="2959" w:type="pct"/>
          </w:tcPr>
          <w:p w14:paraId="1AAC9635" w14:textId="77777777" w:rsidR="00EB7374" w:rsidRPr="00615E45" w:rsidRDefault="00EB7374" w:rsidP="00C700EB">
            <w:pPr>
              <w:jc w:val="left"/>
              <w:rPr>
                <w:sz w:val="15"/>
                <w:szCs w:val="15"/>
              </w:rPr>
            </w:pPr>
            <w:r w:rsidRPr="00615E45">
              <w:rPr>
                <w:sz w:val="15"/>
              </w:rPr>
              <w:t xml:space="preserve">Promotes and develops vine cultivation in the country and </w:t>
            </w:r>
            <w:r>
              <w:rPr>
                <w:sz w:val="15"/>
              </w:rPr>
              <w:t>grape</w:t>
            </w:r>
            <w:r w:rsidRPr="00615E45">
              <w:rPr>
                <w:sz w:val="15"/>
              </w:rPr>
              <w:t xml:space="preserve"> processing.</w:t>
            </w:r>
          </w:p>
        </w:tc>
      </w:tr>
      <w:tr w:rsidR="00EB7374" w:rsidRPr="00615E45" w14:paraId="6891CFD5" w14:textId="77777777" w:rsidTr="00C700EB">
        <w:trPr>
          <w:cnfStyle w:val="000000010000" w:firstRow="0" w:lastRow="0" w:firstColumn="0" w:lastColumn="0" w:oddVBand="0" w:evenVBand="0" w:oddHBand="0" w:evenHBand="1" w:firstRowFirstColumn="0" w:firstRowLastColumn="0" w:lastRowFirstColumn="0" w:lastRowLastColumn="0"/>
        </w:trPr>
        <w:tc>
          <w:tcPr>
            <w:tcW w:w="2041" w:type="pct"/>
          </w:tcPr>
          <w:p w14:paraId="482C1283" w14:textId="77777777" w:rsidR="00EB7374" w:rsidRPr="00615E45" w:rsidRDefault="00EB7374" w:rsidP="00C700EB">
            <w:pPr>
              <w:jc w:val="left"/>
              <w:rPr>
                <w:sz w:val="15"/>
                <w:szCs w:val="15"/>
              </w:rPr>
            </w:pPr>
            <w:r w:rsidRPr="00615E45">
              <w:rPr>
                <w:sz w:val="15"/>
              </w:rPr>
              <w:t>National Tobacco Institute (</w:t>
            </w:r>
            <w:proofErr w:type="spellStart"/>
            <w:r w:rsidRPr="00615E45">
              <w:rPr>
                <w:sz w:val="15"/>
              </w:rPr>
              <w:t>INTABACO</w:t>
            </w:r>
            <w:proofErr w:type="spellEnd"/>
            <w:r w:rsidRPr="00615E45">
              <w:rPr>
                <w:sz w:val="15"/>
              </w:rPr>
              <w:t>)</w:t>
            </w:r>
          </w:p>
        </w:tc>
        <w:tc>
          <w:tcPr>
            <w:tcW w:w="2959" w:type="pct"/>
          </w:tcPr>
          <w:p w14:paraId="5DCEFB76" w14:textId="77777777" w:rsidR="00EB7374" w:rsidRPr="00615E45" w:rsidRDefault="00EB7374" w:rsidP="00C700EB">
            <w:pPr>
              <w:jc w:val="left"/>
              <w:rPr>
                <w:sz w:val="15"/>
                <w:szCs w:val="15"/>
              </w:rPr>
            </w:pPr>
            <w:r w:rsidRPr="00615E45">
              <w:rPr>
                <w:sz w:val="15"/>
              </w:rPr>
              <w:t xml:space="preserve">Regulates tobacco activity to ensure a good quality product that meets market requirements. </w:t>
            </w:r>
          </w:p>
        </w:tc>
      </w:tr>
      <w:tr w:rsidR="00EB7374" w:rsidRPr="00615E45" w14:paraId="44B71B6D" w14:textId="77777777" w:rsidTr="00C700EB">
        <w:tc>
          <w:tcPr>
            <w:tcW w:w="2041" w:type="pct"/>
          </w:tcPr>
          <w:p w14:paraId="3CDF02C9" w14:textId="77777777" w:rsidR="00EB7374" w:rsidRPr="00615E45" w:rsidRDefault="00EB7374" w:rsidP="00C700EB">
            <w:pPr>
              <w:jc w:val="left"/>
              <w:rPr>
                <w:sz w:val="15"/>
                <w:szCs w:val="15"/>
              </w:rPr>
            </w:pPr>
            <w:r w:rsidRPr="00615E45">
              <w:rPr>
                <w:sz w:val="15"/>
              </w:rPr>
              <w:t>Dominican Sugar Institute (</w:t>
            </w:r>
            <w:proofErr w:type="spellStart"/>
            <w:r w:rsidRPr="00615E45">
              <w:rPr>
                <w:sz w:val="15"/>
              </w:rPr>
              <w:t>INAZUCAR</w:t>
            </w:r>
            <w:proofErr w:type="spellEnd"/>
            <w:r w:rsidRPr="00615E45">
              <w:rPr>
                <w:sz w:val="15"/>
              </w:rPr>
              <w:t>)</w:t>
            </w:r>
          </w:p>
        </w:tc>
        <w:tc>
          <w:tcPr>
            <w:tcW w:w="2959" w:type="pct"/>
          </w:tcPr>
          <w:p w14:paraId="527A9BC8" w14:textId="77777777" w:rsidR="00EB7374" w:rsidRPr="00615E45" w:rsidRDefault="00EB7374" w:rsidP="00C700EB">
            <w:pPr>
              <w:jc w:val="left"/>
              <w:rPr>
                <w:sz w:val="15"/>
                <w:szCs w:val="15"/>
              </w:rPr>
            </w:pPr>
            <w:r w:rsidRPr="00615E45">
              <w:rPr>
                <w:sz w:val="15"/>
              </w:rPr>
              <w:t xml:space="preserve">Recommends the national sugar policy to the </w:t>
            </w:r>
            <w:r>
              <w:rPr>
                <w:sz w:val="15"/>
              </w:rPr>
              <w:t>G</w:t>
            </w:r>
            <w:r w:rsidRPr="00615E45">
              <w:rPr>
                <w:sz w:val="15"/>
              </w:rPr>
              <w:t>overnment and ensures compliance with that policy.</w:t>
            </w:r>
          </w:p>
        </w:tc>
      </w:tr>
      <w:tr w:rsidR="00EB7374" w:rsidRPr="00615E45" w14:paraId="4473BAA8" w14:textId="77777777" w:rsidTr="00C700EB">
        <w:trPr>
          <w:cnfStyle w:val="000000010000" w:firstRow="0" w:lastRow="0" w:firstColumn="0" w:lastColumn="0" w:oddVBand="0" w:evenVBand="0" w:oddHBand="0" w:evenHBand="1" w:firstRowFirstColumn="0" w:firstRowLastColumn="0" w:lastRowFirstColumn="0" w:lastRowLastColumn="0"/>
        </w:trPr>
        <w:tc>
          <w:tcPr>
            <w:tcW w:w="2041" w:type="pct"/>
          </w:tcPr>
          <w:p w14:paraId="3FA40149" w14:textId="77777777" w:rsidR="00EB7374" w:rsidRPr="00615E45" w:rsidRDefault="00EB7374" w:rsidP="00C700EB">
            <w:pPr>
              <w:jc w:val="left"/>
              <w:rPr>
                <w:sz w:val="15"/>
                <w:szCs w:val="15"/>
              </w:rPr>
            </w:pPr>
            <w:r w:rsidRPr="00615E45">
              <w:rPr>
                <w:sz w:val="15"/>
              </w:rPr>
              <w:t>State Sugar Council (CEA)</w:t>
            </w:r>
          </w:p>
        </w:tc>
        <w:tc>
          <w:tcPr>
            <w:tcW w:w="2959" w:type="pct"/>
          </w:tcPr>
          <w:p w14:paraId="11D21B73" w14:textId="77777777" w:rsidR="00EB7374" w:rsidRPr="00615E45" w:rsidRDefault="00EB7374" w:rsidP="00C700EB">
            <w:pPr>
              <w:jc w:val="left"/>
              <w:rPr>
                <w:sz w:val="15"/>
                <w:szCs w:val="15"/>
              </w:rPr>
            </w:pPr>
            <w:r w:rsidRPr="00615E45">
              <w:rPr>
                <w:sz w:val="15"/>
              </w:rPr>
              <w:t>Promotes and develops sugar cane production.</w:t>
            </w:r>
          </w:p>
        </w:tc>
      </w:tr>
      <w:tr w:rsidR="00EB7374" w:rsidRPr="00615E45" w14:paraId="5656B123" w14:textId="77777777" w:rsidTr="00C700EB">
        <w:tc>
          <w:tcPr>
            <w:tcW w:w="2041" w:type="pct"/>
          </w:tcPr>
          <w:p w14:paraId="26CC9B7F" w14:textId="77777777" w:rsidR="00EB7374" w:rsidRPr="00615E45" w:rsidRDefault="00EB7374" w:rsidP="00C700EB">
            <w:pPr>
              <w:jc w:val="left"/>
              <w:rPr>
                <w:sz w:val="15"/>
                <w:szCs w:val="15"/>
              </w:rPr>
            </w:pPr>
            <w:r w:rsidRPr="00615E45">
              <w:rPr>
                <w:sz w:val="15"/>
              </w:rPr>
              <w:t>Dominican Coffee Institute (</w:t>
            </w:r>
            <w:proofErr w:type="spellStart"/>
            <w:r w:rsidRPr="00615E45">
              <w:rPr>
                <w:sz w:val="15"/>
              </w:rPr>
              <w:t>INDOCAFE</w:t>
            </w:r>
            <w:proofErr w:type="spellEnd"/>
            <w:r w:rsidRPr="00615E45">
              <w:rPr>
                <w:sz w:val="15"/>
              </w:rPr>
              <w:t>)</w:t>
            </w:r>
          </w:p>
        </w:tc>
        <w:tc>
          <w:tcPr>
            <w:tcW w:w="2959" w:type="pct"/>
          </w:tcPr>
          <w:p w14:paraId="12761029" w14:textId="77777777" w:rsidR="00EB7374" w:rsidRPr="00615E45" w:rsidRDefault="00EB7374" w:rsidP="00C700EB">
            <w:pPr>
              <w:jc w:val="left"/>
              <w:rPr>
                <w:sz w:val="15"/>
                <w:szCs w:val="15"/>
              </w:rPr>
            </w:pPr>
            <w:r w:rsidRPr="00615E45">
              <w:rPr>
                <w:sz w:val="15"/>
              </w:rPr>
              <w:t>Promotes coffee sector productivity and competitiveness.</w:t>
            </w:r>
          </w:p>
        </w:tc>
      </w:tr>
      <w:tr w:rsidR="00EB7374" w:rsidRPr="00615E45" w14:paraId="7596652D" w14:textId="77777777" w:rsidTr="00C700EB">
        <w:trPr>
          <w:cnfStyle w:val="000000010000" w:firstRow="0" w:lastRow="0" w:firstColumn="0" w:lastColumn="0" w:oddVBand="0" w:evenVBand="0" w:oddHBand="0" w:evenHBand="1" w:firstRowFirstColumn="0" w:firstRowLastColumn="0" w:lastRowFirstColumn="0" w:lastRowLastColumn="0"/>
        </w:trPr>
        <w:tc>
          <w:tcPr>
            <w:tcW w:w="2041" w:type="pct"/>
          </w:tcPr>
          <w:p w14:paraId="56D6670D" w14:textId="77777777" w:rsidR="00EB7374" w:rsidRPr="00615E45" w:rsidRDefault="00EB7374" w:rsidP="00C700EB">
            <w:pPr>
              <w:jc w:val="left"/>
              <w:rPr>
                <w:sz w:val="15"/>
                <w:szCs w:val="15"/>
              </w:rPr>
            </w:pPr>
            <w:r w:rsidRPr="00615E45">
              <w:rPr>
                <w:sz w:val="15"/>
              </w:rPr>
              <w:t xml:space="preserve">Dominican Fisheries </w:t>
            </w:r>
            <w:r>
              <w:rPr>
                <w:sz w:val="15"/>
              </w:rPr>
              <w:t xml:space="preserve">and Aquaculture </w:t>
            </w:r>
            <w:r w:rsidRPr="00615E45">
              <w:rPr>
                <w:sz w:val="15"/>
              </w:rPr>
              <w:t>Council (</w:t>
            </w:r>
            <w:proofErr w:type="spellStart"/>
            <w:r w:rsidRPr="00615E45">
              <w:rPr>
                <w:sz w:val="15"/>
              </w:rPr>
              <w:t>CODOPESCA</w:t>
            </w:r>
            <w:proofErr w:type="spellEnd"/>
            <w:r w:rsidRPr="00615E45">
              <w:rPr>
                <w:sz w:val="15"/>
              </w:rPr>
              <w:t>)</w:t>
            </w:r>
          </w:p>
        </w:tc>
        <w:tc>
          <w:tcPr>
            <w:tcW w:w="2959" w:type="pct"/>
          </w:tcPr>
          <w:p w14:paraId="7A3C47AB" w14:textId="77777777" w:rsidR="00EB7374" w:rsidRPr="00615E45" w:rsidRDefault="00EB7374" w:rsidP="00C700EB">
            <w:pPr>
              <w:jc w:val="left"/>
              <w:rPr>
                <w:sz w:val="15"/>
                <w:szCs w:val="15"/>
              </w:rPr>
            </w:pPr>
            <w:r w:rsidRPr="00615E45">
              <w:rPr>
                <w:sz w:val="15"/>
              </w:rPr>
              <w:t xml:space="preserve">Promotes </w:t>
            </w:r>
            <w:r>
              <w:rPr>
                <w:sz w:val="15"/>
              </w:rPr>
              <w:t xml:space="preserve">the sustainable development and management of </w:t>
            </w:r>
            <w:r w:rsidRPr="00615E45">
              <w:rPr>
                <w:sz w:val="15"/>
              </w:rPr>
              <w:t xml:space="preserve">fisheries, aquaculture and </w:t>
            </w:r>
            <w:r>
              <w:rPr>
                <w:sz w:val="15"/>
              </w:rPr>
              <w:t>the environment</w:t>
            </w:r>
            <w:r w:rsidRPr="00615E45">
              <w:rPr>
                <w:sz w:val="15"/>
              </w:rPr>
              <w:t>.</w:t>
            </w:r>
          </w:p>
        </w:tc>
      </w:tr>
      <w:tr w:rsidR="00EB7374" w:rsidRPr="00615E45" w14:paraId="5F36C55B" w14:textId="77777777" w:rsidTr="00C700EB">
        <w:tc>
          <w:tcPr>
            <w:tcW w:w="2041" w:type="pct"/>
          </w:tcPr>
          <w:p w14:paraId="25B46B81" w14:textId="77777777" w:rsidR="00EB7374" w:rsidRPr="00615E45" w:rsidRDefault="00EB7374" w:rsidP="00050EA9">
            <w:pPr>
              <w:keepNext/>
              <w:jc w:val="left"/>
              <w:rPr>
                <w:b/>
                <w:bCs/>
                <w:sz w:val="15"/>
                <w:szCs w:val="15"/>
              </w:rPr>
            </w:pPr>
            <w:r w:rsidRPr="00615E45">
              <w:rPr>
                <w:b/>
                <w:sz w:val="15"/>
              </w:rPr>
              <w:lastRenderedPageBreak/>
              <w:t>Markets</w:t>
            </w:r>
          </w:p>
        </w:tc>
        <w:tc>
          <w:tcPr>
            <w:tcW w:w="2959" w:type="pct"/>
          </w:tcPr>
          <w:p w14:paraId="158D0CF5" w14:textId="77777777" w:rsidR="00EB7374" w:rsidRPr="00615E45" w:rsidRDefault="00EB7374" w:rsidP="00050EA9">
            <w:pPr>
              <w:keepNext/>
              <w:jc w:val="left"/>
              <w:rPr>
                <w:sz w:val="15"/>
                <w:szCs w:val="15"/>
              </w:rPr>
            </w:pPr>
          </w:p>
        </w:tc>
      </w:tr>
      <w:tr w:rsidR="00EB7374" w:rsidRPr="00615E45" w14:paraId="273780F6" w14:textId="77777777" w:rsidTr="00C700EB">
        <w:trPr>
          <w:cnfStyle w:val="000000010000" w:firstRow="0" w:lastRow="0" w:firstColumn="0" w:lastColumn="0" w:oddVBand="0" w:evenVBand="0" w:oddHBand="0" w:evenHBand="1" w:firstRowFirstColumn="0" w:firstRowLastColumn="0" w:lastRowFirstColumn="0" w:lastRowLastColumn="0"/>
        </w:trPr>
        <w:tc>
          <w:tcPr>
            <w:tcW w:w="2041" w:type="pct"/>
          </w:tcPr>
          <w:p w14:paraId="533E104B" w14:textId="77777777" w:rsidR="00EB7374" w:rsidRPr="00615E45" w:rsidRDefault="00EB7374" w:rsidP="00050EA9">
            <w:pPr>
              <w:keepNext/>
              <w:jc w:val="left"/>
              <w:rPr>
                <w:sz w:val="15"/>
                <w:szCs w:val="15"/>
              </w:rPr>
            </w:pPr>
            <w:r w:rsidRPr="00615E45">
              <w:rPr>
                <w:sz w:val="15"/>
              </w:rPr>
              <w:t>Dominican Markets (</w:t>
            </w:r>
            <w:proofErr w:type="spellStart"/>
            <w:r w:rsidRPr="00615E45">
              <w:rPr>
                <w:sz w:val="15"/>
              </w:rPr>
              <w:t>MERCADOM</w:t>
            </w:r>
            <w:proofErr w:type="spellEnd"/>
            <w:r w:rsidRPr="00615E45">
              <w:rPr>
                <w:sz w:val="15"/>
              </w:rPr>
              <w:t>)</w:t>
            </w:r>
          </w:p>
        </w:tc>
        <w:tc>
          <w:tcPr>
            <w:tcW w:w="2959" w:type="pct"/>
          </w:tcPr>
          <w:p w14:paraId="0F03FE17" w14:textId="77777777" w:rsidR="00EB7374" w:rsidRPr="00615E45" w:rsidRDefault="00EB7374" w:rsidP="00050EA9">
            <w:pPr>
              <w:keepNext/>
              <w:jc w:val="left"/>
              <w:rPr>
                <w:sz w:val="15"/>
                <w:szCs w:val="15"/>
              </w:rPr>
            </w:pPr>
            <w:r w:rsidRPr="00615E45">
              <w:rPr>
                <w:sz w:val="15"/>
              </w:rPr>
              <w:t xml:space="preserve">Ensures the proper operation of regional wholesale and retail markets and slaughterhouses belonging to the National Food Network (RENA). </w:t>
            </w:r>
          </w:p>
        </w:tc>
      </w:tr>
      <w:tr w:rsidR="00EB7374" w:rsidRPr="00615E45" w14:paraId="652017F0" w14:textId="77777777" w:rsidTr="00C700EB">
        <w:tc>
          <w:tcPr>
            <w:tcW w:w="2041" w:type="pct"/>
          </w:tcPr>
          <w:p w14:paraId="175B3795" w14:textId="77777777" w:rsidR="00EB7374" w:rsidRPr="00615E45" w:rsidRDefault="00EB7374" w:rsidP="00C700EB">
            <w:pPr>
              <w:jc w:val="left"/>
              <w:rPr>
                <w:sz w:val="15"/>
                <w:szCs w:val="15"/>
              </w:rPr>
            </w:pPr>
            <w:r w:rsidRPr="00615E45">
              <w:rPr>
                <w:sz w:val="15"/>
              </w:rPr>
              <w:t>Price Stabilization Institute (</w:t>
            </w:r>
            <w:proofErr w:type="spellStart"/>
            <w:r w:rsidRPr="00615E45">
              <w:rPr>
                <w:sz w:val="15"/>
              </w:rPr>
              <w:t>INESPRE</w:t>
            </w:r>
            <w:proofErr w:type="spellEnd"/>
            <w:r w:rsidRPr="00615E45">
              <w:rPr>
                <w:sz w:val="15"/>
              </w:rPr>
              <w:t>)</w:t>
            </w:r>
          </w:p>
        </w:tc>
        <w:tc>
          <w:tcPr>
            <w:tcW w:w="2959" w:type="pct"/>
          </w:tcPr>
          <w:p w14:paraId="21701D48" w14:textId="77777777" w:rsidR="00EB7374" w:rsidRPr="00615E45" w:rsidRDefault="00EB7374" w:rsidP="00C700EB">
            <w:pPr>
              <w:jc w:val="left"/>
              <w:rPr>
                <w:sz w:val="15"/>
                <w:szCs w:val="15"/>
              </w:rPr>
            </w:pPr>
            <w:r w:rsidRPr="00615E45">
              <w:rPr>
                <w:sz w:val="15"/>
              </w:rPr>
              <w:t>Regulates agricultural product prices in the domestic market.</w:t>
            </w:r>
          </w:p>
        </w:tc>
      </w:tr>
      <w:tr w:rsidR="00EB7374" w:rsidRPr="00615E45" w14:paraId="5E5E4B9A" w14:textId="77777777" w:rsidTr="00C700EB">
        <w:trPr>
          <w:cnfStyle w:val="000000010000" w:firstRow="0" w:lastRow="0" w:firstColumn="0" w:lastColumn="0" w:oddVBand="0" w:evenVBand="0" w:oddHBand="0" w:evenHBand="1" w:firstRowFirstColumn="0" w:firstRowLastColumn="0" w:lastRowFirstColumn="0" w:lastRowLastColumn="0"/>
        </w:trPr>
        <w:tc>
          <w:tcPr>
            <w:tcW w:w="2041" w:type="pct"/>
          </w:tcPr>
          <w:p w14:paraId="1B4348A7" w14:textId="77777777" w:rsidR="00EB7374" w:rsidRPr="00615E45" w:rsidRDefault="00EB7374" w:rsidP="00C700EB">
            <w:pPr>
              <w:jc w:val="left"/>
              <w:rPr>
                <w:b/>
                <w:bCs/>
                <w:sz w:val="15"/>
                <w:szCs w:val="15"/>
              </w:rPr>
            </w:pPr>
            <w:r w:rsidRPr="00615E45">
              <w:rPr>
                <w:b/>
                <w:sz w:val="15"/>
              </w:rPr>
              <w:t>Financing and insurance</w:t>
            </w:r>
          </w:p>
        </w:tc>
        <w:tc>
          <w:tcPr>
            <w:tcW w:w="2959" w:type="pct"/>
          </w:tcPr>
          <w:p w14:paraId="7F46E8CF" w14:textId="77777777" w:rsidR="00EB7374" w:rsidRPr="00615E45" w:rsidRDefault="00EB7374" w:rsidP="00C700EB">
            <w:pPr>
              <w:jc w:val="left"/>
              <w:rPr>
                <w:sz w:val="15"/>
                <w:szCs w:val="15"/>
              </w:rPr>
            </w:pPr>
          </w:p>
        </w:tc>
      </w:tr>
      <w:tr w:rsidR="00EB7374" w:rsidRPr="00615E45" w14:paraId="19811BA4" w14:textId="77777777" w:rsidTr="00C700EB">
        <w:tc>
          <w:tcPr>
            <w:tcW w:w="2041" w:type="pct"/>
          </w:tcPr>
          <w:p w14:paraId="62873D44" w14:textId="77777777" w:rsidR="00EB7374" w:rsidRPr="00615E45" w:rsidRDefault="00EB7374" w:rsidP="00C700EB">
            <w:pPr>
              <w:jc w:val="left"/>
              <w:rPr>
                <w:sz w:val="15"/>
                <w:szCs w:val="15"/>
              </w:rPr>
            </w:pPr>
            <w:r w:rsidRPr="00615E45">
              <w:rPr>
                <w:sz w:val="15"/>
              </w:rPr>
              <w:t>Agricultural Bank of the Dominican Republic (</w:t>
            </w:r>
            <w:proofErr w:type="spellStart"/>
            <w:r w:rsidRPr="00615E45">
              <w:rPr>
                <w:sz w:val="15"/>
              </w:rPr>
              <w:t>BAGRÍCOLA</w:t>
            </w:r>
            <w:proofErr w:type="spellEnd"/>
            <w:r w:rsidRPr="00615E45">
              <w:rPr>
                <w:sz w:val="15"/>
              </w:rPr>
              <w:t xml:space="preserve">) </w:t>
            </w:r>
          </w:p>
        </w:tc>
        <w:tc>
          <w:tcPr>
            <w:tcW w:w="2959" w:type="pct"/>
          </w:tcPr>
          <w:p w14:paraId="7946503D" w14:textId="77777777" w:rsidR="00EB7374" w:rsidRPr="00615E45" w:rsidRDefault="00EB7374" w:rsidP="00C700EB">
            <w:pPr>
              <w:jc w:val="left"/>
              <w:rPr>
                <w:sz w:val="15"/>
                <w:szCs w:val="15"/>
              </w:rPr>
            </w:pPr>
            <w:r w:rsidRPr="00615E45">
              <w:rPr>
                <w:sz w:val="15"/>
              </w:rPr>
              <w:t>Offers financing to agricultural producers.</w:t>
            </w:r>
          </w:p>
        </w:tc>
      </w:tr>
      <w:tr w:rsidR="00EB7374" w:rsidRPr="00615E45" w14:paraId="7929F064" w14:textId="77777777" w:rsidTr="00C700EB">
        <w:trPr>
          <w:cnfStyle w:val="000000010000" w:firstRow="0" w:lastRow="0" w:firstColumn="0" w:lastColumn="0" w:oddVBand="0" w:evenVBand="0" w:oddHBand="0" w:evenHBand="1" w:firstRowFirstColumn="0" w:firstRowLastColumn="0" w:lastRowFirstColumn="0" w:lastRowLastColumn="0"/>
        </w:trPr>
        <w:tc>
          <w:tcPr>
            <w:tcW w:w="2041" w:type="pct"/>
          </w:tcPr>
          <w:p w14:paraId="090E1037" w14:textId="77777777" w:rsidR="00EB7374" w:rsidRPr="00615E45" w:rsidRDefault="00EB7374" w:rsidP="00C700EB">
            <w:pPr>
              <w:jc w:val="left"/>
              <w:rPr>
                <w:sz w:val="15"/>
                <w:szCs w:val="15"/>
              </w:rPr>
            </w:pPr>
            <w:r w:rsidRPr="00615E45">
              <w:rPr>
                <w:sz w:val="15"/>
              </w:rPr>
              <w:t>Dominican Institute of Cooperative Credit (</w:t>
            </w:r>
            <w:proofErr w:type="spellStart"/>
            <w:r w:rsidRPr="00615E45">
              <w:rPr>
                <w:sz w:val="15"/>
              </w:rPr>
              <w:t>IDECOOP</w:t>
            </w:r>
            <w:proofErr w:type="spellEnd"/>
            <w:r w:rsidRPr="00615E45">
              <w:rPr>
                <w:sz w:val="15"/>
              </w:rPr>
              <w:t>)</w:t>
            </w:r>
          </w:p>
        </w:tc>
        <w:tc>
          <w:tcPr>
            <w:tcW w:w="2959" w:type="pct"/>
          </w:tcPr>
          <w:p w14:paraId="7B90B2D8" w14:textId="77777777" w:rsidR="00EB7374" w:rsidRPr="00615E45" w:rsidRDefault="00EB7374" w:rsidP="00C700EB">
            <w:pPr>
              <w:jc w:val="left"/>
              <w:rPr>
                <w:sz w:val="15"/>
                <w:szCs w:val="15"/>
              </w:rPr>
            </w:pPr>
            <w:r w:rsidRPr="00615E45">
              <w:rPr>
                <w:sz w:val="15"/>
              </w:rPr>
              <w:t xml:space="preserve">Promotes </w:t>
            </w:r>
            <w:proofErr w:type="spellStart"/>
            <w:r w:rsidRPr="00615E45">
              <w:rPr>
                <w:sz w:val="15"/>
              </w:rPr>
              <w:t>cooperativism</w:t>
            </w:r>
            <w:proofErr w:type="spellEnd"/>
            <w:r w:rsidRPr="00615E45">
              <w:rPr>
                <w:sz w:val="15"/>
              </w:rPr>
              <w:t>.</w:t>
            </w:r>
          </w:p>
        </w:tc>
      </w:tr>
      <w:tr w:rsidR="00EB7374" w:rsidRPr="00615E45" w14:paraId="023D8F07" w14:textId="77777777" w:rsidTr="00C700EB">
        <w:tc>
          <w:tcPr>
            <w:tcW w:w="2041" w:type="pct"/>
          </w:tcPr>
          <w:p w14:paraId="58F82A22" w14:textId="77777777" w:rsidR="00EB7374" w:rsidRPr="00615E45" w:rsidRDefault="00EB7374" w:rsidP="00C700EB">
            <w:pPr>
              <w:jc w:val="left"/>
              <w:rPr>
                <w:sz w:val="15"/>
                <w:szCs w:val="15"/>
              </w:rPr>
            </w:pPr>
            <w:r w:rsidRPr="00615E45">
              <w:rPr>
                <w:sz w:val="15"/>
              </w:rPr>
              <w:t>Special Agricultural Development Fund (</w:t>
            </w:r>
            <w:proofErr w:type="spellStart"/>
            <w:r w:rsidRPr="00615E45">
              <w:rPr>
                <w:sz w:val="15"/>
              </w:rPr>
              <w:t>FEDA</w:t>
            </w:r>
            <w:proofErr w:type="spellEnd"/>
            <w:r w:rsidRPr="00615E45">
              <w:rPr>
                <w:sz w:val="15"/>
              </w:rPr>
              <w:t>)</w:t>
            </w:r>
          </w:p>
        </w:tc>
        <w:tc>
          <w:tcPr>
            <w:tcW w:w="2959" w:type="pct"/>
          </w:tcPr>
          <w:p w14:paraId="4375334B" w14:textId="77777777" w:rsidR="00EB7374" w:rsidRPr="00615E45" w:rsidRDefault="00EB7374" w:rsidP="00C700EB">
            <w:pPr>
              <w:jc w:val="left"/>
              <w:rPr>
                <w:sz w:val="15"/>
                <w:szCs w:val="15"/>
              </w:rPr>
            </w:pPr>
            <w:r w:rsidRPr="00615E45">
              <w:rPr>
                <w:sz w:val="15"/>
              </w:rPr>
              <w:t>Offers financing at below-market interest rates to small- and medium-scale agricultural producers and to agricultural micro and small enterprises.</w:t>
            </w:r>
          </w:p>
        </w:tc>
      </w:tr>
      <w:tr w:rsidR="00EB7374" w:rsidRPr="00615E45" w14:paraId="4219A047" w14:textId="77777777" w:rsidTr="00C700EB">
        <w:trPr>
          <w:cnfStyle w:val="000000010000" w:firstRow="0" w:lastRow="0" w:firstColumn="0" w:lastColumn="0" w:oddVBand="0" w:evenVBand="0" w:oddHBand="0" w:evenHBand="1" w:firstRowFirstColumn="0" w:firstRowLastColumn="0" w:lastRowFirstColumn="0" w:lastRowLastColumn="0"/>
        </w:trPr>
        <w:tc>
          <w:tcPr>
            <w:tcW w:w="2041" w:type="pct"/>
          </w:tcPr>
          <w:p w14:paraId="0EA4BDA9" w14:textId="77777777" w:rsidR="00EB7374" w:rsidRPr="00615E45" w:rsidRDefault="00EB7374" w:rsidP="00C700EB">
            <w:pPr>
              <w:jc w:val="left"/>
              <w:rPr>
                <w:b/>
                <w:bCs/>
                <w:sz w:val="15"/>
                <w:szCs w:val="15"/>
              </w:rPr>
            </w:pPr>
            <w:r w:rsidRPr="00615E45">
              <w:rPr>
                <w:b/>
                <w:sz w:val="15"/>
              </w:rPr>
              <w:t xml:space="preserve">Research </w:t>
            </w:r>
          </w:p>
        </w:tc>
        <w:tc>
          <w:tcPr>
            <w:tcW w:w="2959" w:type="pct"/>
          </w:tcPr>
          <w:p w14:paraId="610CC620" w14:textId="77777777" w:rsidR="00EB7374" w:rsidRPr="00615E45" w:rsidRDefault="00EB7374" w:rsidP="00C700EB">
            <w:pPr>
              <w:jc w:val="left"/>
              <w:rPr>
                <w:sz w:val="15"/>
                <w:szCs w:val="15"/>
              </w:rPr>
            </w:pPr>
          </w:p>
        </w:tc>
      </w:tr>
      <w:tr w:rsidR="00EB7374" w:rsidRPr="00615E45" w14:paraId="6EF0A798" w14:textId="77777777" w:rsidTr="00C700EB">
        <w:tc>
          <w:tcPr>
            <w:tcW w:w="2041" w:type="pct"/>
          </w:tcPr>
          <w:p w14:paraId="6C2697C9" w14:textId="77777777" w:rsidR="00EB7374" w:rsidRPr="00615E45" w:rsidRDefault="00EB7374" w:rsidP="00C700EB">
            <w:pPr>
              <w:jc w:val="left"/>
              <w:rPr>
                <w:sz w:val="15"/>
                <w:szCs w:val="15"/>
              </w:rPr>
            </w:pPr>
            <w:bookmarkStart w:id="301" w:name="_Hlk101517317"/>
            <w:r w:rsidRPr="00615E45">
              <w:rPr>
                <w:sz w:val="15"/>
              </w:rPr>
              <w:t>Dominican Institute for Agricultural and Forestry Research (</w:t>
            </w:r>
            <w:proofErr w:type="spellStart"/>
            <w:r w:rsidRPr="00615E45">
              <w:rPr>
                <w:sz w:val="15"/>
              </w:rPr>
              <w:t>IDIAF</w:t>
            </w:r>
            <w:proofErr w:type="spellEnd"/>
            <w:r w:rsidRPr="00615E45">
              <w:rPr>
                <w:sz w:val="15"/>
              </w:rPr>
              <w:t>)</w:t>
            </w:r>
            <w:bookmarkEnd w:id="301"/>
          </w:p>
        </w:tc>
        <w:tc>
          <w:tcPr>
            <w:tcW w:w="2959" w:type="pct"/>
          </w:tcPr>
          <w:p w14:paraId="1F99EB9D" w14:textId="77777777" w:rsidR="00EB7374" w:rsidRPr="00615E45" w:rsidRDefault="00EB7374" w:rsidP="00C700EB">
            <w:pPr>
              <w:jc w:val="left"/>
              <w:rPr>
                <w:sz w:val="15"/>
                <w:szCs w:val="15"/>
              </w:rPr>
            </w:pPr>
            <w:r w:rsidRPr="00615E45">
              <w:rPr>
                <w:sz w:val="15"/>
              </w:rPr>
              <w:t>Conducts and implements the sector</w:t>
            </w:r>
            <w:r>
              <w:rPr>
                <w:sz w:val="15"/>
              </w:rPr>
              <w:t>'</w:t>
            </w:r>
            <w:r w:rsidRPr="00615E45">
              <w:rPr>
                <w:sz w:val="15"/>
              </w:rPr>
              <w:t>s scientific and technological research policy.</w:t>
            </w:r>
          </w:p>
        </w:tc>
      </w:tr>
      <w:tr w:rsidR="00EB7374" w:rsidRPr="00615E45" w14:paraId="0FD83906" w14:textId="77777777" w:rsidTr="00C700EB">
        <w:trPr>
          <w:cnfStyle w:val="000000010000" w:firstRow="0" w:lastRow="0" w:firstColumn="0" w:lastColumn="0" w:oddVBand="0" w:evenVBand="0" w:oddHBand="0" w:evenHBand="1" w:firstRowFirstColumn="0" w:firstRowLastColumn="0" w:lastRowFirstColumn="0" w:lastRowLastColumn="0"/>
        </w:trPr>
        <w:tc>
          <w:tcPr>
            <w:tcW w:w="2041" w:type="pct"/>
          </w:tcPr>
          <w:p w14:paraId="215A6FF3" w14:textId="77777777" w:rsidR="00EB7374" w:rsidRPr="00615E45" w:rsidRDefault="00EB7374" w:rsidP="00C700EB">
            <w:pPr>
              <w:jc w:val="left"/>
              <w:rPr>
                <w:sz w:val="15"/>
                <w:szCs w:val="15"/>
              </w:rPr>
            </w:pPr>
            <w:r w:rsidRPr="00615E45">
              <w:rPr>
                <w:sz w:val="15"/>
              </w:rPr>
              <w:t>Agricultural and Forestry Research (</w:t>
            </w:r>
            <w:proofErr w:type="spellStart"/>
            <w:r w:rsidRPr="00615E45">
              <w:rPr>
                <w:sz w:val="15"/>
              </w:rPr>
              <w:t>CONIAF</w:t>
            </w:r>
            <w:proofErr w:type="spellEnd"/>
            <w:r w:rsidRPr="00615E45">
              <w:rPr>
                <w:sz w:val="15"/>
              </w:rPr>
              <w:t xml:space="preserve">) </w:t>
            </w:r>
          </w:p>
        </w:tc>
        <w:tc>
          <w:tcPr>
            <w:tcW w:w="2959" w:type="pct"/>
          </w:tcPr>
          <w:p w14:paraId="25858F53" w14:textId="77777777" w:rsidR="00EB7374" w:rsidRPr="00615E45" w:rsidRDefault="00EB7374" w:rsidP="00C700EB">
            <w:pPr>
              <w:jc w:val="left"/>
              <w:rPr>
                <w:sz w:val="15"/>
                <w:szCs w:val="15"/>
              </w:rPr>
            </w:pPr>
            <w:r w:rsidRPr="00615E45">
              <w:rPr>
                <w:sz w:val="15"/>
              </w:rPr>
              <w:t>Develops technology and promotes its transfer.</w:t>
            </w:r>
          </w:p>
        </w:tc>
      </w:tr>
    </w:tbl>
    <w:p w14:paraId="751054CC" w14:textId="77777777" w:rsidR="00EB7374" w:rsidRPr="00615E45" w:rsidRDefault="00EB7374" w:rsidP="00B0434B">
      <w:pPr>
        <w:pStyle w:val="NoteText"/>
        <w:spacing w:before="120" w:after="240"/>
      </w:pPr>
      <w:r w:rsidRPr="00615E45">
        <w:t>Source:</w:t>
      </w:r>
      <w:r w:rsidRPr="00615E45">
        <w:tab/>
        <w:t>WTO Secretariat</w:t>
      </w:r>
      <w:bookmarkStart w:id="302" w:name="_Toc184092215"/>
      <w:bookmarkStart w:id="303" w:name="_Toc346007980"/>
      <w:bookmarkStart w:id="304" w:name="_Toc346011105"/>
      <w:bookmarkStart w:id="305" w:name="_Toc361142975"/>
      <w:bookmarkStart w:id="306" w:name="_Toc474743921"/>
      <w:bookmarkStart w:id="307" w:name="_Toc114735767"/>
      <w:r>
        <w:t>.</w:t>
      </w:r>
    </w:p>
    <w:p w14:paraId="0E920A1A" w14:textId="77777777" w:rsidR="00EB7374" w:rsidRPr="00615E45" w:rsidRDefault="00EB7374" w:rsidP="00210F22">
      <w:pPr>
        <w:pStyle w:val="Heading3"/>
        <w:numPr>
          <w:ilvl w:val="2"/>
          <w:numId w:val="33"/>
        </w:numPr>
      </w:pPr>
      <w:bookmarkStart w:id="308" w:name="_Toc117260648"/>
      <w:r w:rsidRPr="00615E45">
        <w:t>Measures affecting imports and exports</w:t>
      </w:r>
      <w:bookmarkEnd w:id="302"/>
      <w:bookmarkEnd w:id="303"/>
      <w:bookmarkEnd w:id="304"/>
      <w:bookmarkEnd w:id="305"/>
      <w:bookmarkEnd w:id="306"/>
      <w:bookmarkEnd w:id="307"/>
      <w:bookmarkEnd w:id="308"/>
    </w:p>
    <w:p w14:paraId="139A41D1" w14:textId="6E0BB702" w:rsidR="00EB7374" w:rsidRPr="00615E45" w:rsidRDefault="00EB7374" w:rsidP="00C80D98">
      <w:pPr>
        <w:pStyle w:val="BodyText"/>
      </w:pPr>
      <w:r w:rsidRPr="00615E45">
        <w:t>The average MFN tariff for agricultural products (WTO definition)</w:t>
      </w:r>
      <w:r>
        <w:t xml:space="preserve"> </w:t>
      </w:r>
      <w:r w:rsidRPr="00615E45">
        <w:t xml:space="preserve">increased slightly </w:t>
      </w:r>
      <w:r>
        <w:t>from</w:t>
      </w:r>
      <w:r w:rsidRPr="00615E45">
        <w:t xml:space="preserve"> 2014</w:t>
      </w:r>
      <w:r w:rsidRPr="00136CC3">
        <w:t xml:space="preserve"> </w:t>
      </w:r>
      <w:r w:rsidRPr="00615E45">
        <w:t>to 14.5%</w:t>
      </w:r>
      <w:r>
        <w:t xml:space="preserve"> </w:t>
      </w:r>
      <w:r w:rsidRPr="00615E45">
        <w:t>from 14.2%. In the Dominican Republic, the highest tariffs, ranging from 40% to 99%, are used only for agricultural products such as rice, sugar, meat, dairy products and vegetables. During the review period, like in 2014, the highest average tariff was for dairy products</w:t>
      </w:r>
      <w:r>
        <w:t> </w:t>
      </w:r>
      <w:r w:rsidRPr="00615E45">
        <w:t xml:space="preserve">(25.9%) and for sugar and confectionery (24.2%) (Table A3.2). Nevertheless, most of the products mentioned earlier are subject to tariff quotas and may therefore </w:t>
      </w:r>
      <w:r w:rsidR="007B3774">
        <w:t>be afforded</w:t>
      </w:r>
      <w:r w:rsidRPr="00615E45">
        <w:t xml:space="preserve"> less protection. Although the Dominican Republic gives </w:t>
      </w:r>
      <w:r>
        <w:t>less</w:t>
      </w:r>
      <w:r w:rsidRPr="00615E45">
        <w:t xml:space="preserve"> preference to agricultural products than to non</w:t>
      </w:r>
      <w:r>
        <w:noBreakHyphen/>
      </w:r>
      <w:r w:rsidRPr="00615E45">
        <w:t>agricultural products under its trade agreements, the preferential tariffs under the various CAFTA agreements are very similar for both product categories since almost 100%</w:t>
      </w:r>
      <w:r>
        <w:t xml:space="preserve"> of lines are duty-free</w:t>
      </w:r>
      <w:r w:rsidRPr="00615E45">
        <w:t>.</w:t>
      </w:r>
    </w:p>
    <w:p w14:paraId="1FDBB583" w14:textId="77777777" w:rsidR="00EB7374" w:rsidRPr="00615E45" w:rsidRDefault="00EB7374" w:rsidP="00C80D98">
      <w:pPr>
        <w:pStyle w:val="BodyText"/>
        <w:rPr>
          <w:b/>
        </w:rPr>
      </w:pPr>
      <w:r w:rsidRPr="00615E45">
        <w:t>Given the importance of agricultural exports for the Dominican Republic, the development of a modern agricultural health and safety system to prevent the entry of pests and diseases is one of the pillars of agricultural policy.</w:t>
      </w:r>
      <w:r w:rsidRPr="00615E45">
        <w:rPr>
          <w:rStyle w:val="FootnoteReference"/>
        </w:rPr>
        <w:footnoteReference w:id="331"/>
      </w:r>
      <w:r w:rsidRPr="00615E45">
        <w:t xml:space="preserve"> That is why some products cannot be imported from certain origins</w:t>
      </w:r>
      <w:r w:rsidRPr="00615E45">
        <w:rPr>
          <w:rStyle w:val="FootnoteReference"/>
        </w:rPr>
        <w:footnoteReference w:id="332"/>
      </w:r>
      <w:r w:rsidRPr="00615E45">
        <w:t xml:space="preserve"> and why all agricultural products require the corresponding </w:t>
      </w:r>
      <w:r>
        <w:t>"sanitary</w:t>
      </w:r>
      <w:r w:rsidRPr="00615E45">
        <w:t xml:space="preserve"> </w:t>
      </w:r>
      <w:r>
        <w:t>n</w:t>
      </w:r>
      <w:r w:rsidRPr="00615E45">
        <w:t>o</w:t>
      </w:r>
      <w:r>
        <w:noBreakHyphen/>
        <w:t>o</w:t>
      </w:r>
      <w:r w:rsidRPr="00615E45">
        <w:t>bjection</w:t>
      </w:r>
      <w:r>
        <w:t xml:space="preserve"> certificate"</w:t>
      </w:r>
      <w:r w:rsidRPr="00615E45">
        <w:t xml:space="preserve"> (phytosanitary</w:t>
      </w:r>
      <w:r>
        <w:t xml:space="preserve"> and animal health</w:t>
      </w:r>
      <w:r w:rsidRPr="00615E45">
        <w:t xml:space="preserve"> no</w:t>
      </w:r>
      <w:r>
        <w:noBreakHyphen/>
      </w:r>
      <w:r w:rsidRPr="00615E45">
        <w:t>objection certificate) to control the entry of pests and diseases at the border.</w:t>
      </w:r>
      <w:r w:rsidRPr="00615E45">
        <w:rPr>
          <w:rStyle w:val="FootnoteReference"/>
        </w:rPr>
        <w:footnoteReference w:id="333"/>
      </w:r>
      <w:r w:rsidRPr="00615E45">
        <w:t xml:space="preserve"> Cattle and fresh meat imports </w:t>
      </w:r>
      <w:r>
        <w:t xml:space="preserve">also </w:t>
      </w:r>
      <w:r w:rsidRPr="00615E45">
        <w:t xml:space="preserve">require </w:t>
      </w:r>
      <w:r>
        <w:t>this certificate</w:t>
      </w:r>
      <w:r w:rsidRPr="00615E45">
        <w:t>.</w:t>
      </w:r>
      <w:r w:rsidRPr="00615E45">
        <w:rPr>
          <w:rStyle w:val="FootnoteReference"/>
        </w:rPr>
        <w:footnoteReference w:id="334"/>
      </w:r>
      <w:r w:rsidRPr="00615E45">
        <w:t xml:space="preserve"> The certificates are issued by the Ministry of Agriculture through the Department of Plant Health or the Animal Health Directorate.</w:t>
      </w:r>
    </w:p>
    <w:p w14:paraId="4ACF1A1D" w14:textId="77777777" w:rsidR="00EB7374" w:rsidRPr="00615E45" w:rsidRDefault="00EB7374" w:rsidP="00C80D98">
      <w:pPr>
        <w:pStyle w:val="BodyText"/>
        <w:rPr>
          <w:strike/>
        </w:rPr>
      </w:pPr>
      <w:r w:rsidRPr="00615E45">
        <w:t>In addition to phytosanitary</w:t>
      </w:r>
      <w:r>
        <w:t xml:space="preserve"> and animal health</w:t>
      </w:r>
      <w:r w:rsidRPr="00615E45">
        <w:t xml:space="preserve"> permits, all agricultural products, with some exceptions, require import licences, including products subject to WTO tariff quotas, to which non</w:t>
      </w:r>
      <w:r>
        <w:noBreakHyphen/>
      </w:r>
      <w:r w:rsidRPr="00615E45">
        <w:t>automatic licensing applies, except for maize</w:t>
      </w:r>
      <w:r>
        <w:t xml:space="preserve"> (corn)</w:t>
      </w:r>
      <w:r w:rsidRPr="00615E45">
        <w:t xml:space="preserve">. In the context of this review, the authorities stated that a regulation governing WTO tariff quotas is being developed. The Commission for Agricultural Imports continues to be in charge of allocating the quotas negotiated </w:t>
      </w:r>
      <w:r>
        <w:t>within</w:t>
      </w:r>
      <w:r w:rsidRPr="00615E45">
        <w:t xml:space="preserve"> the WTO</w:t>
      </w:r>
      <w:r>
        <w:t> framework</w:t>
      </w:r>
      <w:r w:rsidRPr="00615E45">
        <w:t>. In general, these quotas are for rice, garlic, (fine and brown)</w:t>
      </w:r>
      <w:r w:rsidRPr="00B568C1">
        <w:t xml:space="preserve"> </w:t>
      </w:r>
      <w:r w:rsidRPr="00615E45">
        <w:t>sugar, chicken meat, onion, beans and milk. Until 2021, these quotas were allocated through public auctions organized by the Agribusiness Exchange of the Dominican Republic (BARD). They are currently allocated at the importer</w:t>
      </w:r>
      <w:r>
        <w:t>'</w:t>
      </w:r>
      <w:r w:rsidRPr="00615E45">
        <w:t>s request. For maize</w:t>
      </w:r>
      <w:r>
        <w:t xml:space="preserve"> (corn)</w:t>
      </w:r>
      <w:r w:rsidRPr="00615E45">
        <w:t xml:space="preserve"> (HS 10.05), the quota is allocated automatically</w:t>
      </w:r>
      <w:r>
        <w:t>,</w:t>
      </w:r>
      <w:r w:rsidRPr="00615E45">
        <w:t xml:space="preserve"> and an automatic import licence is required.</w:t>
      </w:r>
      <w:r w:rsidRPr="00615E45">
        <w:rPr>
          <w:rStyle w:val="FootnoteReference"/>
        </w:rPr>
        <w:footnoteReference w:id="335"/>
      </w:r>
    </w:p>
    <w:p w14:paraId="062994DE" w14:textId="77777777" w:rsidR="00EB7374" w:rsidRPr="00615E45" w:rsidRDefault="00EB7374" w:rsidP="00C80D98">
      <w:pPr>
        <w:pStyle w:val="BodyText"/>
      </w:pPr>
      <w:r>
        <w:t>The Dominican Sugar Institute (</w:t>
      </w:r>
      <w:proofErr w:type="spellStart"/>
      <w:r w:rsidRPr="00615E45">
        <w:t>INAZUCAR</w:t>
      </w:r>
      <w:proofErr w:type="spellEnd"/>
      <w:r>
        <w:t>)</w:t>
      </w:r>
      <w:r w:rsidRPr="00615E45">
        <w:t xml:space="preserve"> is responsible for administering 70% of the tariff quotas corresponding to producers. The rest is administered jointly with the Commission for Agricultural Imports and is allocated to the commercial sector (</w:t>
      </w:r>
      <w:r>
        <w:t>i.e.</w:t>
      </w:r>
      <w:r w:rsidRPr="00615E45">
        <w:t xml:space="preserve"> distributors, warehouse keepers, </w:t>
      </w:r>
      <w:r w:rsidRPr="00615E45">
        <w:lastRenderedPageBreak/>
        <w:t xml:space="preserve">wholesalers and retailers). Prior to import, sugar also requires a statement of need, supported by the existence of a domestic production deficit, issued by </w:t>
      </w:r>
      <w:proofErr w:type="spellStart"/>
      <w:r w:rsidRPr="00615E45">
        <w:t>INAZUCAR</w:t>
      </w:r>
      <w:proofErr w:type="spellEnd"/>
      <w:r w:rsidRPr="00615E45">
        <w:t>.</w:t>
      </w:r>
      <w:r w:rsidRPr="00615E45">
        <w:rPr>
          <w:rStyle w:val="FootnoteReference"/>
        </w:rPr>
        <w:footnoteReference w:id="336"/>
      </w:r>
      <w:r w:rsidRPr="00615E45">
        <w:t xml:space="preserve"> In 2021, the Dominican</w:t>
      </w:r>
      <w:r>
        <w:t> </w:t>
      </w:r>
      <w:r w:rsidRPr="00615E45">
        <w:t xml:space="preserve">Republic did not use the quota negotiated </w:t>
      </w:r>
      <w:r>
        <w:t>within</w:t>
      </w:r>
      <w:r w:rsidRPr="00615E45">
        <w:t xml:space="preserve"> the WTO</w:t>
      </w:r>
      <w:r>
        <w:t xml:space="preserve"> framework</w:t>
      </w:r>
      <w:r w:rsidRPr="00615E45">
        <w:t xml:space="preserve"> since there was no deficit in domestic production.</w:t>
      </w:r>
    </w:p>
    <w:p w14:paraId="0440C352" w14:textId="77777777" w:rsidR="00EB7374" w:rsidRPr="00615E45" w:rsidRDefault="00EB7374" w:rsidP="00C80D98">
      <w:pPr>
        <w:pStyle w:val="BodyText"/>
      </w:pPr>
      <w:r w:rsidRPr="00615E45">
        <w:t>Where a deficit has been confirmed in the domestic production of any products subject to quotas, the additional quantity needed may be imported at the negotiated quota tariffs. This explains why imports of chicken meat, onions, garlic and maize</w:t>
      </w:r>
      <w:r>
        <w:t xml:space="preserve"> (corn)</w:t>
      </w:r>
      <w:r w:rsidRPr="00615E45">
        <w:t xml:space="preserve"> at the </w:t>
      </w:r>
      <w:r>
        <w:t>in-</w:t>
      </w:r>
      <w:r w:rsidRPr="00615E45">
        <w:t>quota tariff exceed</w:t>
      </w:r>
      <w:r>
        <w:t>ed</w:t>
      </w:r>
      <w:r w:rsidRPr="00615E45">
        <w:t xml:space="preserve"> the quota volumes in 2021.</w:t>
      </w:r>
    </w:p>
    <w:p w14:paraId="4391DCE2" w14:textId="77777777" w:rsidR="00EB7374" w:rsidRPr="00615E45" w:rsidRDefault="00EB7374" w:rsidP="00C80D98">
      <w:pPr>
        <w:pStyle w:val="BodyText"/>
      </w:pPr>
      <w:r w:rsidRPr="00615E45">
        <w:t xml:space="preserve">Under the CAFTA-DR, the Dominican Republic has preferential quotas for six agricultural products from Costa Rica, the United States and Nicaragua (Table A3.4). The </w:t>
      </w:r>
      <w:proofErr w:type="spellStart"/>
      <w:r w:rsidRPr="00615E45">
        <w:t>OTCA</w:t>
      </w:r>
      <w:proofErr w:type="spellEnd"/>
      <w:r w:rsidRPr="00615E45">
        <w:t xml:space="preserve"> is responsible for allocating these quotas and acts as the Secretariat for the Commission for Agricultural Imports. The allocation of these quotas did not change during the review period.</w:t>
      </w:r>
      <w:r w:rsidRPr="00615E45">
        <w:rPr>
          <w:rStyle w:val="FootnoteReference"/>
        </w:rPr>
        <w:footnoteReference w:id="337"/>
      </w:r>
    </w:p>
    <w:p w14:paraId="4DD39781" w14:textId="77777777" w:rsidR="00EB7374" w:rsidRPr="00615E45" w:rsidRDefault="00EB7374" w:rsidP="00C80D98">
      <w:pPr>
        <w:pStyle w:val="BodyText"/>
      </w:pPr>
      <w:r w:rsidRPr="00615E45">
        <w:t>The Dominican Republic notified the WTO that it did not grant any export subsidies for agricultural products during the period 2015-21.</w:t>
      </w:r>
      <w:r w:rsidRPr="00615E45">
        <w:rPr>
          <w:rStyle w:val="FootnoteReference"/>
        </w:rPr>
        <w:footnoteReference w:id="338"/>
      </w:r>
    </w:p>
    <w:p w14:paraId="4967FBB1" w14:textId="77777777" w:rsidR="00EB7374" w:rsidRPr="00615E45" w:rsidRDefault="00EB7374" w:rsidP="00C80D98">
      <w:pPr>
        <w:pStyle w:val="BodyText"/>
      </w:pPr>
      <w:r w:rsidRPr="00615E45">
        <w:t xml:space="preserve">The policy on the promotion of agricultural exports aims to capitalize on comparative advantages and the facilities granted by the trade agreements the country has signed. More specifically, support </w:t>
      </w:r>
      <w:r>
        <w:t>programmes</w:t>
      </w:r>
      <w:r w:rsidRPr="00615E45">
        <w:t xml:space="preserve"> are </w:t>
      </w:r>
      <w:r>
        <w:t>implemented</w:t>
      </w:r>
      <w:r w:rsidRPr="00615E45">
        <w:t xml:space="preserve"> under this policy for coffee, </w:t>
      </w:r>
      <w:r>
        <w:t>cocoa</w:t>
      </w:r>
      <w:r w:rsidRPr="00615E45">
        <w:t xml:space="preserve"> and fruit plant (citrus, avocado, sapote, </w:t>
      </w:r>
      <w:proofErr w:type="spellStart"/>
      <w:r w:rsidRPr="00615E45">
        <w:t>nispero</w:t>
      </w:r>
      <w:proofErr w:type="spellEnd"/>
      <w:r w:rsidRPr="00615E45">
        <w:t xml:space="preserve">, guanabana and mango) production and </w:t>
      </w:r>
      <w:r>
        <w:t xml:space="preserve">for </w:t>
      </w:r>
      <w:r w:rsidRPr="00615E45">
        <w:t>the marketing of these products in international markets through trade facilitation and technical assistance.</w:t>
      </w:r>
    </w:p>
    <w:p w14:paraId="352F883F" w14:textId="77777777" w:rsidR="00EB7374" w:rsidRPr="00615E45" w:rsidRDefault="00EB7374" w:rsidP="00C80D98">
      <w:pPr>
        <w:pStyle w:val="Heading3"/>
      </w:pPr>
      <w:bookmarkStart w:id="309" w:name="_Toc114735768"/>
      <w:bookmarkStart w:id="310" w:name="_Toc117260649"/>
      <w:r w:rsidRPr="00615E45">
        <w:t>Domestic support</w:t>
      </w:r>
      <w:bookmarkEnd w:id="309"/>
      <w:bookmarkEnd w:id="310"/>
    </w:p>
    <w:p w14:paraId="7B8AB5A5" w14:textId="77777777" w:rsidR="00EB7374" w:rsidRPr="00615E45" w:rsidRDefault="00EB7374" w:rsidP="00C80D98">
      <w:pPr>
        <w:pStyle w:val="BodyText"/>
      </w:pPr>
      <w:bookmarkStart w:id="311" w:name="_Hlk106531358"/>
      <w:r w:rsidRPr="00615E45">
        <w:t xml:space="preserve">The policy on enhancing domestic marketing seeks to stabilize supply and demand with a view to ensuring food security. The purpose of this measure is to monitor supply in order to provide alternatives or substitutes where necessary, reduce agricultural product </w:t>
      </w:r>
      <w:r>
        <w:t>price increases brought about by</w:t>
      </w:r>
      <w:r w:rsidRPr="00615E45">
        <w:t xml:space="preserve"> insufficient supply and attempt to control price increases caused by excess demand. This policy also takes international markets into account to seize opportunities for the export and import of products for consumption and inputs for production.</w:t>
      </w:r>
    </w:p>
    <w:p w14:paraId="13677634" w14:textId="77777777" w:rsidR="00EB7374" w:rsidRPr="00615E45" w:rsidRDefault="00EB7374" w:rsidP="00C80D98">
      <w:pPr>
        <w:pStyle w:val="BodyText"/>
      </w:pPr>
      <w:r w:rsidRPr="00615E45">
        <w:t xml:space="preserve">The Dominican Republic intervenes in agricultural markets to, </w:t>
      </w:r>
      <w:r>
        <w:t>first and foremost,</w:t>
      </w:r>
      <w:r w:rsidRPr="00615E45">
        <w:t xml:space="preserve"> ensure market access for farmers and food security for the population. The overarching objective pursued by </w:t>
      </w:r>
      <w:r>
        <w:t xml:space="preserve">the </w:t>
      </w:r>
      <w:r w:rsidRPr="007B69AD">
        <w:t xml:space="preserve">Price Stabilization Institute </w:t>
      </w:r>
      <w:r>
        <w:t>(</w:t>
      </w:r>
      <w:proofErr w:type="spellStart"/>
      <w:r w:rsidRPr="00615E45">
        <w:t>INESPRE</w:t>
      </w:r>
      <w:proofErr w:type="spellEnd"/>
      <w:r>
        <w:t>)</w:t>
      </w:r>
      <w:r w:rsidRPr="00615E45">
        <w:t xml:space="preserve"> is </w:t>
      </w:r>
      <w:r>
        <w:t xml:space="preserve">the </w:t>
      </w:r>
      <w:r w:rsidRPr="00615E45">
        <w:t>price regulation of agricultural products in the domestic market, when the situation</w:t>
      </w:r>
      <w:r>
        <w:t xml:space="preserve"> so requires</w:t>
      </w:r>
      <w:r w:rsidRPr="00615E45">
        <w:t>, through associated supply and demand processes.</w:t>
      </w:r>
      <w:r w:rsidRPr="00615E45">
        <w:rPr>
          <w:rStyle w:val="FootnoteReference"/>
        </w:rPr>
        <w:footnoteReference w:id="339"/>
      </w:r>
      <w:r w:rsidRPr="00615E45">
        <w:t xml:space="preserve"> The Institute can import products of agricultural origin when domestic production is insufficient or export them when surpluses are produced. Although it has the power to control, coordinate and distribute goods imported through assistance </w:t>
      </w:r>
      <w:r>
        <w:t>programmes</w:t>
      </w:r>
      <w:r w:rsidRPr="00615E45">
        <w:t>, it does not actually carry out these types of activities. Rather, it provides support for marketing in the agricultural sector with the aim of improving the profitability and competitiveness of agricultural producers and ensuring that consumers have access to products.</w:t>
      </w:r>
    </w:p>
    <w:p w14:paraId="032E54BA" w14:textId="77777777" w:rsidR="00EB7374" w:rsidRPr="00615E45" w:rsidRDefault="00EB7374" w:rsidP="00C80D98">
      <w:pPr>
        <w:pStyle w:val="BodyText"/>
      </w:pPr>
      <w:r w:rsidRPr="00615E45">
        <w:t xml:space="preserve">The </w:t>
      </w:r>
      <w:r>
        <w:t xml:space="preserve">country's </w:t>
      </w:r>
      <w:r w:rsidRPr="00615E45">
        <w:t xml:space="preserve">sugar policy did not change during the review period. The sugar sector continues to be highly regulated. The </w:t>
      </w:r>
      <w:r>
        <w:t>Executive</w:t>
      </w:r>
      <w:r w:rsidRPr="00615E45">
        <w:t xml:space="preserve"> can take whatever steps it deems appropriate to regulate sugar production across the national territory and its export in order to meet annual domestic consumption needs and fulfil the export quotas allocated to the Dominican Republic in preferential markets.</w:t>
      </w:r>
      <w:r w:rsidRPr="00615E45">
        <w:rPr>
          <w:rStyle w:val="FootnoteReference"/>
        </w:rPr>
        <w:footnoteReference w:id="340"/>
      </w:r>
    </w:p>
    <w:p w14:paraId="23752103" w14:textId="77777777" w:rsidR="00EB7374" w:rsidRPr="00615E45" w:rsidRDefault="00EB7374" w:rsidP="00C80D98">
      <w:pPr>
        <w:pStyle w:val="BodyText"/>
      </w:pPr>
      <w:r w:rsidRPr="00615E45">
        <w:t xml:space="preserve">Every year, the </w:t>
      </w:r>
      <w:r>
        <w:t>Executive</w:t>
      </w:r>
      <w:r w:rsidRPr="00615E45">
        <w:t xml:space="preserve"> sets the date on which the sugar season is to begin by way of a decree. This also includes the quantity of cane each mill is to cut, pull and grind</w:t>
      </w:r>
      <w:r>
        <w:t>;</w:t>
      </w:r>
      <w:r w:rsidRPr="00615E45">
        <w:t xml:space="preserve"> the quantity of sugar each mill is authorized to produce</w:t>
      </w:r>
      <w:r>
        <w:t xml:space="preserve">; </w:t>
      </w:r>
      <w:r w:rsidRPr="00615E45">
        <w:t xml:space="preserve">and the sugar export quota established for each mill based on the quotas allocated to the Dominican Republic in the various markets. The decree stipulates the sugar milling and production </w:t>
      </w:r>
      <w:r>
        <w:t>programmes</w:t>
      </w:r>
      <w:r w:rsidRPr="00615E45">
        <w:t xml:space="preserve"> for each of the country</w:t>
      </w:r>
      <w:r>
        <w:t>'</w:t>
      </w:r>
      <w:r w:rsidRPr="00615E45">
        <w:t xml:space="preserve">s four mills. One of the mills </w:t>
      </w:r>
      <w:r w:rsidRPr="00615E45">
        <w:lastRenderedPageBreak/>
        <w:t>receives around 54% of the total tonnage of cane that can be milled</w:t>
      </w:r>
      <w:r>
        <w:t>;</w:t>
      </w:r>
      <w:r w:rsidRPr="00615E45">
        <w:t xml:space="preserve"> the second receives around</w:t>
      </w:r>
      <w:r>
        <w:t> </w:t>
      </w:r>
      <w:r w:rsidRPr="00615E45">
        <w:t>27%</w:t>
      </w:r>
      <w:r>
        <w:t>;</w:t>
      </w:r>
      <w:r w:rsidRPr="00615E45">
        <w:t xml:space="preserve"> the next receives 2%</w:t>
      </w:r>
      <w:r>
        <w:t xml:space="preserve">; </w:t>
      </w:r>
      <w:r w:rsidRPr="00615E45">
        <w:t>and the fourth receives the remainder. The export quotas are divided between the three largest mills and are allocated as follows: 62.84%, 27.16% and 10%. The export quota percentage does not change from year to year. Export quotas are allocated to each mill according to the average produced in the last three sugar seasons. Surplus stocks from the season are used for domestic consumption off-season.</w:t>
      </w:r>
      <w:r w:rsidRPr="00615E45">
        <w:rPr>
          <w:rStyle w:val="FootnoteReference"/>
        </w:rPr>
        <w:footnoteReference w:id="341"/>
      </w:r>
    </w:p>
    <w:p w14:paraId="5F8047D5" w14:textId="77777777" w:rsidR="00EB7374" w:rsidRPr="00615E45" w:rsidRDefault="00EB7374" w:rsidP="00C80D98">
      <w:pPr>
        <w:pStyle w:val="BodyText"/>
      </w:pPr>
      <w:proofErr w:type="spellStart"/>
      <w:r w:rsidRPr="00615E45">
        <w:t>INAZUCAR</w:t>
      </w:r>
      <w:proofErr w:type="spellEnd"/>
      <w:r w:rsidRPr="00615E45">
        <w:t xml:space="preserve"> issues permits for </w:t>
      </w:r>
      <w:r>
        <w:t>exports</w:t>
      </w:r>
      <w:r w:rsidRPr="00615E45">
        <w:t xml:space="preserve"> of sugar, molasses and other by</w:t>
      </w:r>
      <w:r>
        <w:noBreakHyphen/>
      </w:r>
      <w:r w:rsidRPr="00615E45">
        <w:t>products produced by the mills</w:t>
      </w:r>
      <w:r>
        <w:t>,</w:t>
      </w:r>
      <w:r w:rsidRPr="00615E45">
        <w:t xml:space="preserve"> and for </w:t>
      </w:r>
      <w:r>
        <w:t>imports</w:t>
      </w:r>
      <w:r w:rsidRPr="00615E45">
        <w:t xml:space="preserve"> of sugar when a production deficit is declared. It also approves the opening of the tariff quota, which provides for tariffs </w:t>
      </w:r>
      <w:r>
        <w:t>of</w:t>
      </w:r>
      <w:r w:rsidRPr="00615E45">
        <w:t xml:space="preserve"> 14% </w:t>
      </w:r>
      <w:r>
        <w:t>and</w:t>
      </w:r>
      <w:r w:rsidRPr="00615E45">
        <w:t xml:space="preserve"> 20% depending on the type of sugar. The quota was not used in 2021.</w:t>
      </w:r>
    </w:p>
    <w:p w14:paraId="57509BC1" w14:textId="77777777" w:rsidR="00EB7374" w:rsidRPr="00615E45" w:rsidRDefault="00EB7374" w:rsidP="00C80D98">
      <w:pPr>
        <w:pStyle w:val="BodyText"/>
      </w:pPr>
      <w:r w:rsidRPr="00615E45">
        <w:t xml:space="preserve">At present, according to the authorities, sugar is distributed in the domestic market using a free market approach. Mills produce the sugar and distribute it to interested natural or legal persons. Every year, the Institute reviews the selling prices of the various types of sugar produced in the country for the local or domestic market and issues a Resolution </w:t>
      </w:r>
      <w:r>
        <w:t>setting</w:t>
      </w:r>
      <w:r w:rsidRPr="00615E45">
        <w:t xml:space="preserve"> those prices.</w:t>
      </w:r>
      <w:r w:rsidRPr="00615E45">
        <w:rPr>
          <w:rStyle w:val="FootnoteReference"/>
        </w:rPr>
        <w:footnoteReference w:id="342"/>
      </w:r>
      <w:r w:rsidRPr="00615E45">
        <w:t xml:space="preserve"> The prices are reviewed and established taking into account all the variables affecting production and marketing. The objective is to establish a fair selling price for the various types of sugars produced in the country that guarantees </w:t>
      </w:r>
      <w:r>
        <w:t>"</w:t>
      </w:r>
      <w:r w:rsidRPr="00615E45">
        <w:t>the prosperity of sugar cane processors, thus helping to support thousands of employees and workers dependent on sugar activities.</w:t>
      </w:r>
      <w:r>
        <w:t>"</w:t>
      </w:r>
      <w:r w:rsidRPr="00615E45">
        <w:rPr>
          <w:rStyle w:val="FootnoteReference"/>
        </w:rPr>
        <w:footnoteReference w:id="343"/>
      </w:r>
    </w:p>
    <w:p w14:paraId="4A743219" w14:textId="77777777" w:rsidR="00EB7374" w:rsidRPr="00615E45" w:rsidRDefault="00EB7374" w:rsidP="00C80D98">
      <w:pPr>
        <w:pStyle w:val="BodyText"/>
      </w:pPr>
      <w:r w:rsidRPr="00615E45">
        <w:t xml:space="preserve">The </w:t>
      </w:r>
      <w:r>
        <w:t xml:space="preserve">National </w:t>
      </w:r>
      <w:r w:rsidRPr="00615E45">
        <w:t xml:space="preserve">Pledge Programme is </w:t>
      </w:r>
      <w:r>
        <w:t>implemented</w:t>
      </w:r>
      <w:r w:rsidRPr="00615E45">
        <w:t xml:space="preserve"> annually </w:t>
      </w:r>
      <w:r>
        <w:t>to provide support in marketing</w:t>
      </w:r>
      <w:r w:rsidRPr="00615E45">
        <w:t xml:space="preserve"> agricultural product</w:t>
      </w:r>
      <w:r>
        <w:t>s</w:t>
      </w:r>
      <w:r w:rsidRPr="00615E45">
        <w:t>. The production of various products is pledged through this programme, including rice, garlic, chicken meat, onions, beans, eggs, milk and potatoes. However, 95% of the programme benefits rice. As reported to the WTO, this programme provides support for the storage of products through three contributions that partly cover: (</w:t>
      </w:r>
      <w:proofErr w:type="spellStart"/>
      <w:r w:rsidRPr="00615E45">
        <w:t>i</w:t>
      </w:r>
      <w:proofErr w:type="spellEnd"/>
      <w:r w:rsidRPr="00615E45">
        <w:t>) the interest on loans negotiated with financial institutions, (ii) the storage costs and (iii) the cost of insuring the stocks stored.</w:t>
      </w:r>
      <w:r w:rsidRPr="00615E45">
        <w:rPr>
          <w:rStyle w:val="FootnoteReference"/>
        </w:rPr>
        <w:footnoteReference w:id="344"/>
      </w:r>
      <w:bookmarkEnd w:id="311"/>
    </w:p>
    <w:p w14:paraId="66B2D401" w14:textId="77777777" w:rsidR="00EB7374" w:rsidRPr="00615E45" w:rsidRDefault="00EB7374" w:rsidP="00C80D98">
      <w:pPr>
        <w:pStyle w:val="BodyText"/>
      </w:pPr>
      <w:r w:rsidRPr="00615E45">
        <w:t xml:space="preserve">The Dominican Republic also supports the agricultural sector through a series of programmes administered by the Ministry of Agriculture. The </w:t>
      </w:r>
      <w:r>
        <w:t>key</w:t>
      </w:r>
      <w:r w:rsidRPr="00615E45">
        <w:t xml:space="preserve"> objectives of agricultural and fisheries</w:t>
      </w:r>
      <w:r>
        <w:noBreakHyphen/>
      </w:r>
      <w:r w:rsidRPr="00615E45">
        <w:t xml:space="preserve">aquaculture support programmes include improving productivity and strengthening marketing channels in order to increase the supply of major agricultural crops, ensuring food security in the various parts of the country. The main programme implemented by the Ministry is the Production Promotion Programme, subdivided as follows: Promotion of Rice Production; Promotion of Other Agricultural Crops; Seed Promotion and Distribution; Development of the Cocoa Sector; Promotion and Development of Agribusinesses; and Promotion of Fruit Production. Some of these programmes were reported to the WTO as </w:t>
      </w:r>
      <w:r>
        <w:t>"</w:t>
      </w:r>
      <w:r w:rsidRPr="00615E45">
        <w:t>development programmes</w:t>
      </w:r>
      <w:r>
        <w:t>"</w:t>
      </w:r>
      <w:r w:rsidRPr="00615E45">
        <w:t xml:space="preserve"> in the following categories: agricultural input subsidies generally available to low-income or resource-poor producers; extension and advisory services; and other general services.</w:t>
      </w:r>
      <w:r w:rsidRPr="00615E45">
        <w:rPr>
          <w:rStyle w:val="FootnoteReference"/>
        </w:rPr>
        <w:footnoteReference w:id="345"/>
      </w:r>
    </w:p>
    <w:p w14:paraId="757C0BEB" w14:textId="77777777" w:rsidR="00EB7374" w:rsidRPr="00615E45" w:rsidRDefault="00EB7374" w:rsidP="00C80D98">
      <w:pPr>
        <w:pStyle w:val="BodyText"/>
      </w:pPr>
      <w:r w:rsidRPr="00615E45">
        <w:t>One of the objectives of the END 2030 is to develop financial services for agricultural and forestry production units with mechanisms that meet sector needs and provide small- and medium</w:t>
      </w:r>
      <w:r>
        <w:noBreakHyphen/>
      </w:r>
      <w:r w:rsidRPr="00615E45">
        <w:t xml:space="preserve">scale producers with individual or collective access. The purpose is to improve coverage and focus on the rural population with a view to increasing financial inclusion. These services are offered primarily through </w:t>
      </w:r>
      <w:r>
        <w:t xml:space="preserve">the </w:t>
      </w:r>
      <w:r w:rsidRPr="004167FD">
        <w:t xml:space="preserve">Agricultural Bank of the Dominican Republic </w:t>
      </w:r>
      <w:r>
        <w:t>(</w:t>
      </w:r>
      <w:proofErr w:type="spellStart"/>
      <w:r w:rsidRPr="00615E45">
        <w:t>BAGRÍCOLA</w:t>
      </w:r>
      <w:proofErr w:type="spellEnd"/>
      <w:r>
        <w:t>)</w:t>
      </w:r>
      <w:r w:rsidRPr="00615E45">
        <w:t xml:space="preserve"> and </w:t>
      </w:r>
      <w:r>
        <w:t xml:space="preserve">the </w:t>
      </w:r>
      <w:r w:rsidRPr="004167FD">
        <w:t xml:space="preserve">Special Agricultural Development Fund </w:t>
      </w:r>
      <w:r>
        <w:t>(</w:t>
      </w:r>
      <w:proofErr w:type="spellStart"/>
      <w:r w:rsidRPr="00615E45">
        <w:t>FEDA</w:t>
      </w:r>
      <w:proofErr w:type="spellEnd"/>
      <w:r>
        <w:t>)</w:t>
      </w:r>
      <w:r w:rsidRPr="00615E45">
        <w:t>.</w:t>
      </w:r>
    </w:p>
    <w:p w14:paraId="32E2233E" w14:textId="77777777" w:rsidR="00EB7374" w:rsidRPr="00615E45" w:rsidRDefault="00EB7374" w:rsidP="00C80D98">
      <w:pPr>
        <w:pStyle w:val="BodyText"/>
      </w:pPr>
      <w:r w:rsidRPr="00A852B7">
        <w:t xml:space="preserve">The Dominican Republic has various financing mechanisms and modalities for all agricultural producers, </w:t>
      </w:r>
      <w:r w:rsidRPr="00B35B44">
        <w:t xml:space="preserve">for </w:t>
      </w:r>
      <w:r w:rsidRPr="00E616AF">
        <w:t>both the domestic and the export market. Three such modalities are credit, "contract farming" and trusts. The credit modality involves providing financing to producers at competitive interest rates for the short, medium and long term, with payment plans that are in line with crop periods. This credit allows for pledged collateral, enabling small-scale producers to participate in the formal financial system. There are also mortgage</w:t>
      </w:r>
      <w:r w:rsidRPr="00615E45">
        <w:t xml:space="preserve"> guarantees for medium</w:t>
      </w:r>
      <w:r>
        <w:noBreakHyphen/>
      </w:r>
      <w:r w:rsidRPr="00615E45">
        <w:t xml:space="preserve"> and large</w:t>
      </w:r>
      <w:r>
        <w:noBreakHyphen/>
        <w:t>scale</w:t>
      </w:r>
      <w:r w:rsidRPr="00615E45">
        <w:t xml:space="preserve"> producers, with the inclusion of risk mitigation methods. The </w:t>
      </w:r>
      <w:r>
        <w:t>"contract farming"</w:t>
      </w:r>
      <w:r w:rsidRPr="00615E45">
        <w:t xml:space="preserve"> modality is a mechanism under which the </w:t>
      </w:r>
      <w:r>
        <w:t>G</w:t>
      </w:r>
      <w:r w:rsidRPr="00615E45">
        <w:t xml:space="preserve">overnment provides financing through </w:t>
      </w:r>
      <w:proofErr w:type="spellStart"/>
      <w:r w:rsidRPr="00615E45">
        <w:t>BAGRÍCOLA</w:t>
      </w:r>
      <w:proofErr w:type="spellEnd"/>
      <w:r w:rsidRPr="00615E45">
        <w:t xml:space="preserve"> and </w:t>
      </w:r>
      <w:proofErr w:type="spellStart"/>
      <w:r w:rsidRPr="00615E45">
        <w:t>FEDA</w:t>
      </w:r>
      <w:proofErr w:type="spellEnd"/>
      <w:r w:rsidRPr="00615E45">
        <w:t xml:space="preserve"> that the</w:t>
      </w:r>
      <w:r>
        <w:t>y</w:t>
      </w:r>
      <w:r w:rsidRPr="00615E45">
        <w:t xml:space="preserve"> then channel to producers with land pursuant to the </w:t>
      </w:r>
      <w:r>
        <w:t>"</w:t>
      </w:r>
      <w:r w:rsidRPr="00615E45">
        <w:t>no vacant land</w:t>
      </w:r>
      <w:r>
        <w:t>"</w:t>
      </w:r>
      <w:r w:rsidRPr="00615E45">
        <w:t xml:space="preserve"> concept known as </w:t>
      </w:r>
      <w:r w:rsidRPr="00560B56">
        <w:rPr>
          <w:i/>
          <w:iCs/>
        </w:rPr>
        <w:t xml:space="preserve">Cero </w:t>
      </w:r>
      <w:proofErr w:type="spellStart"/>
      <w:r w:rsidRPr="00560B56">
        <w:rPr>
          <w:i/>
          <w:iCs/>
        </w:rPr>
        <w:t>Predios</w:t>
      </w:r>
      <w:proofErr w:type="spellEnd"/>
      <w:r w:rsidRPr="00560B56">
        <w:rPr>
          <w:i/>
          <w:iCs/>
        </w:rPr>
        <w:t xml:space="preserve"> </w:t>
      </w:r>
      <w:proofErr w:type="spellStart"/>
      <w:r w:rsidRPr="00560B56">
        <w:rPr>
          <w:i/>
          <w:iCs/>
        </w:rPr>
        <w:t>Baldíos</w:t>
      </w:r>
      <w:proofErr w:type="spellEnd"/>
      <w:r w:rsidRPr="00615E45">
        <w:t xml:space="preserve">. Under </w:t>
      </w:r>
      <w:r w:rsidRPr="00615E45">
        <w:lastRenderedPageBreak/>
        <w:t>the trust modality, developed by the fiduciary system, producers are placed in direct contact with financial institutions, marketers and financial system regulators.</w:t>
      </w:r>
      <w:r w:rsidRPr="00615E45">
        <w:rPr>
          <w:rStyle w:val="FootnoteReference"/>
        </w:rPr>
        <w:footnoteReference w:id="346"/>
      </w:r>
    </w:p>
    <w:p w14:paraId="286ED884" w14:textId="77777777" w:rsidR="00EB7374" w:rsidRPr="00615E45" w:rsidRDefault="00EB7374" w:rsidP="00C80D98">
      <w:pPr>
        <w:pStyle w:val="BodyText"/>
      </w:pPr>
      <w:proofErr w:type="spellStart"/>
      <w:r w:rsidRPr="00615E45">
        <w:t>BAGRÍCOLA</w:t>
      </w:r>
      <w:proofErr w:type="spellEnd"/>
      <w:r w:rsidRPr="00615E45">
        <w:t xml:space="preserve"> has maintained below-market interest rates to support the agricultural sector. The subsidies granted by the Bank due to the spread between the interest rate it offers and the lending interest rate charged in the rest of the national banking system </w:t>
      </w:r>
      <w:r>
        <w:t>were</w:t>
      </w:r>
      <w:r w:rsidRPr="00615E45">
        <w:t xml:space="preserve"> reported to the WTO.</w:t>
      </w:r>
      <w:r w:rsidRPr="00615E45">
        <w:rPr>
          <w:rStyle w:val="FootnoteReference"/>
        </w:rPr>
        <w:footnoteReference w:id="347"/>
      </w:r>
      <w:r w:rsidRPr="00615E45">
        <w:t xml:space="preserve"> The Bank is financed with funds from </w:t>
      </w:r>
      <w:proofErr w:type="spellStart"/>
      <w:r w:rsidRPr="00615E45">
        <w:t>FEDA</w:t>
      </w:r>
      <w:proofErr w:type="spellEnd"/>
      <w:r w:rsidRPr="00615E45">
        <w:t xml:space="preserve">, with funds from </w:t>
      </w:r>
      <w:proofErr w:type="spellStart"/>
      <w:r w:rsidRPr="00615E45">
        <w:t>CONALECHE</w:t>
      </w:r>
      <w:proofErr w:type="spellEnd"/>
      <w:r w:rsidRPr="00615E45">
        <w:t xml:space="preserve"> </w:t>
      </w:r>
      <w:r>
        <w:t>or</w:t>
      </w:r>
      <w:r w:rsidRPr="00615E45">
        <w:t xml:space="preserve"> with resources from international loans or grants. In some cases, the </w:t>
      </w:r>
      <w:r>
        <w:t>G</w:t>
      </w:r>
      <w:r w:rsidRPr="00615E45">
        <w:t>overnment allocates funds for the Bank to grant special credit lines. In 2020, a total of DOP 5 billion in special funds was allocated at an interest rate of 0% to finance credit operations for the revival of the agricultural sector. An agreement between the Ministry of Agriculture and the Agricultural Bank was signed for the implementation, management and administration of these special funds. Small-scale producers with up to 200 hectares of land are allocated 60% of these funds, wh</w:t>
      </w:r>
      <w:r>
        <w:t>ile</w:t>
      </w:r>
      <w:r w:rsidRPr="00615E45">
        <w:t xml:space="preserve"> medium- and large-scale producers with more than 200 hectares of land receive the remaining 40%.</w:t>
      </w:r>
      <w:r w:rsidRPr="00615E45">
        <w:rPr>
          <w:rStyle w:val="FootnoteReference"/>
        </w:rPr>
        <w:footnoteReference w:id="348"/>
      </w:r>
    </w:p>
    <w:p w14:paraId="3F75155F" w14:textId="77777777" w:rsidR="00EB7374" w:rsidRPr="00615E45" w:rsidRDefault="00EB7374" w:rsidP="00C80D98">
      <w:pPr>
        <w:pStyle w:val="BodyText"/>
      </w:pPr>
      <w:bookmarkStart w:id="312" w:name="_Hlk109693367"/>
      <w:r w:rsidRPr="00615E45">
        <w:t xml:space="preserve">Agricultural sector financing through </w:t>
      </w:r>
      <w:proofErr w:type="spellStart"/>
      <w:r w:rsidRPr="00615E45">
        <w:t>FEDA</w:t>
      </w:r>
      <w:proofErr w:type="spellEnd"/>
      <w:r w:rsidRPr="00615E45">
        <w:t xml:space="preserve"> </w:t>
      </w:r>
      <w:bookmarkEnd w:id="312"/>
      <w:r w:rsidRPr="00615E45">
        <w:t>is characterized by solidarity, low annual interest rates and no mortgage guarantees in order to facilitate access for small</w:t>
      </w:r>
      <w:r>
        <w:t>-scale</w:t>
      </w:r>
      <w:r w:rsidRPr="00615E45">
        <w:t xml:space="preserve"> producers organized in agricultural cooperatives and </w:t>
      </w:r>
      <w:r>
        <w:t xml:space="preserve">to </w:t>
      </w:r>
      <w:r w:rsidRPr="00615E45">
        <w:t xml:space="preserve">meet their investment needs. Credit is granted to producers at competitive interest rates for the short, medium and long term and is easily accessible to them so they can invest effectively in their land as needed. The investment subsidies granted through </w:t>
      </w:r>
      <w:proofErr w:type="spellStart"/>
      <w:r w:rsidRPr="00615E45">
        <w:t>FEDA</w:t>
      </w:r>
      <w:proofErr w:type="spellEnd"/>
      <w:r w:rsidRPr="00615E45">
        <w:t xml:space="preserve"> and </w:t>
      </w:r>
      <w:proofErr w:type="spellStart"/>
      <w:r w:rsidRPr="00615E45">
        <w:t>BAGRÍCOLA</w:t>
      </w:r>
      <w:proofErr w:type="spellEnd"/>
      <w:r w:rsidRPr="00615E45">
        <w:t xml:space="preserve"> were reported to the WTO. The purpose of offering different financing modalities, in addition to diversifying options and support</w:t>
      </w:r>
      <w:r>
        <w:t>ing</w:t>
      </w:r>
      <w:r w:rsidRPr="00615E45">
        <w:t xml:space="preserve"> agricultural producers by providing them with lines that have specific characteristics, is to encourage the use of banks among small- and medium</w:t>
      </w:r>
      <w:r>
        <w:noBreakHyphen/>
      </w:r>
      <w:r w:rsidRPr="00615E45">
        <w:t>scale producers and the development of microfinance institutions in this sector.</w:t>
      </w:r>
    </w:p>
    <w:p w14:paraId="09C1BA0D" w14:textId="77777777" w:rsidR="00EB7374" w:rsidRPr="00615E45" w:rsidRDefault="00EB7374" w:rsidP="00C80D98">
      <w:pPr>
        <w:pStyle w:val="BodyText"/>
      </w:pPr>
      <w:r>
        <w:t xml:space="preserve">The </w:t>
      </w:r>
      <w:r w:rsidRPr="00D400F7">
        <w:t xml:space="preserve">Dominican Agricultural Insurance Company </w:t>
      </w:r>
      <w:r>
        <w:t>(</w:t>
      </w:r>
      <w:proofErr w:type="spellStart"/>
      <w:r w:rsidRPr="00615E45">
        <w:t>AGRODOSA</w:t>
      </w:r>
      <w:proofErr w:type="spellEnd"/>
      <w:r>
        <w:t>)</w:t>
      </w:r>
      <w:r w:rsidRPr="00615E45">
        <w:t>, a majority-state-owned mixed-capital company, is the only company offering insurance to Dominican agricultural producers.</w:t>
      </w:r>
      <w:r w:rsidRPr="00615E45">
        <w:rPr>
          <w:rStyle w:val="FootnoteReference"/>
          <w:lang w:eastAsia="en-GB"/>
        </w:rPr>
        <w:footnoteReference w:id="349"/>
      </w:r>
      <w:r w:rsidRPr="00615E45">
        <w:t xml:space="preserve"> Agricultural insurance currently cover</w:t>
      </w:r>
      <w:r>
        <w:t>s</w:t>
      </w:r>
      <w:r w:rsidRPr="00615E45">
        <w:t xml:space="preserve"> risks such as fire, cyclones, tornado</w:t>
      </w:r>
      <w:r>
        <w:t>e</w:t>
      </w:r>
      <w:r w:rsidRPr="00615E45">
        <w:t>s, floods and droughts. All types of crops are covered, but mainly rice, plantains, bananas, beans, fruit and vegetables, grown throughout the national territory in protected environments or in open fields. There is also livestock, forestry and aquaculture insurance.</w:t>
      </w:r>
      <w:r w:rsidRPr="00615E45">
        <w:rPr>
          <w:rStyle w:val="FootnoteReference"/>
        </w:rPr>
        <w:footnoteReference w:id="350"/>
      </w:r>
      <w:r w:rsidRPr="00615E45">
        <w:t xml:space="preserve"> This insurance benefits from a subsidy ranging from 25% to 50% of the value</w:t>
      </w:r>
      <w:r>
        <w:t xml:space="preserve"> of the </w:t>
      </w:r>
      <w:r w:rsidRPr="00615E45">
        <w:t>premium. Agricultural insurance policies are also exempt from Selective Consumption Tax (</w:t>
      </w:r>
      <w:proofErr w:type="spellStart"/>
      <w:r w:rsidRPr="00615E45">
        <w:t>ISC</w:t>
      </w:r>
      <w:proofErr w:type="spellEnd"/>
      <w:r w:rsidRPr="00615E45">
        <w:t>).</w:t>
      </w:r>
      <w:r w:rsidRPr="00615E45">
        <w:rPr>
          <w:rStyle w:val="FootnoteReference"/>
        </w:rPr>
        <w:footnoteReference w:id="351"/>
      </w:r>
      <w:r w:rsidRPr="00615E45">
        <w:t xml:space="preserve"> Through the Directorate-General of Agricultural Risk (</w:t>
      </w:r>
      <w:proofErr w:type="spellStart"/>
      <w:r w:rsidRPr="00615E45">
        <w:t>DIGERA</w:t>
      </w:r>
      <w:proofErr w:type="spellEnd"/>
      <w:r w:rsidRPr="00615E45">
        <w:t>), the Ministry of Agriculture design</w:t>
      </w:r>
      <w:r>
        <w:t>s</w:t>
      </w:r>
      <w:r w:rsidRPr="00615E45">
        <w:t xml:space="preserve"> the annual agricultural insurance plan and implements the subsidy.</w:t>
      </w:r>
      <w:r w:rsidRPr="00615E45">
        <w:rPr>
          <w:rStyle w:val="FootnoteReference"/>
        </w:rPr>
        <w:footnoteReference w:id="352"/>
      </w:r>
    </w:p>
    <w:p w14:paraId="680B44B6" w14:textId="77777777" w:rsidR="00EB7374" w:rsidRPr="00615E45" w:rsidRDefault="00EB7374" w:rsidP="00C80D98">
      <w:pPr>
        <w:pStyle w:val="BodyText"/>
      </w:pPr>
      <w:r w:rsidRPr="00615E45">
        <w:t xml:space="preserve">The government procurement system is also used to promote demand </w:t>
      </w:r>
      <w:r>
        <w:t>for</w:t>
      </w:r>
      <w:r w:rsidRPr="00615E45">
        <w:t xml:space="preserve"> agricultural products of domestic origin. As of 2019, institutions responsible for social programmes can only purchase agricultural products of domestic origin directly from producers, without intermediaries.</w:t>
      </w:r>
      <w:r w:rsidRPr="00615E45">
        <w:rPr>
          <w:rStyle w:val="FootnoteReference"/>
          <w:lang w:eastAsia="en-GB"/>
        </w:rPr>
        <w:footnoteReference w:id="353"/>
      </w:r>
      <w:r w:rsidRPr="00615E45">
        <w:t xml:space="preserve"> In 2020, certain institutions running these types of programmes were required to purchase goods exclusively from agribusiness and the domestic industry. Goods </w:t>
      </w:r>
      <w:r>
        <w:t>or</w:t>
      </w:r>
      <w:r w:rsidRPr="00615E45">
        <w:t xml:space="preserve"> services procured by state</w:t>
      </w:r>
      <w:r>
        <w:noBreakHyphen/>
      </w:r>
      <w:r w:rsidRPr="00615E45">
        <w:t>owned entities from MSMEs must be of domestic origin. For agricultural products, the requirement for conferring such origin is cultivation or birth (Section 3.3.6).</w:t>
      </w:r>
      <w:r w:rsidRPr="00615E45">
        <w:rPr>
          <w:rStyle w:val="FootnoteReference"/>
          <w:lang w:eastAsia="en-GB"/>
        </w:rPr>
        <w:footnoteReference w:id="354"/>
      </w:r>
    </w:p>
    <w:p w14:paraId="1357D89B" w14:textId="77777777" w:rsidR="00EB7374" w:rsidRPr="00615E45" w:rsidRDefault="00EB7374" w:rsidP="00C80D98">
      <w:pPr>
        <w:pStyle w:val="Heading3"/>
      </w:pPr>
      <w:bookmarkStart w:id="313" w:name="_Toc114735769"/>
      <w:bookmarkStart w:id="314" w:name="_Toc117260650"/>
      <w:r w:rsidRPr="00615E45">
        <w:lastRenderedPageBreak/>
        <w:t>Fisheries</w:t>
      </w:r>
      <w:r w:rsidRPr="00615E45">
        <w:rPr>
          <w:rStyle w:val="FootnoteReference"/>
        </w:rPr>
        <w:footnoteReference w:id="355"/>
      </w:r>
      <w:bookmarkEnd w:id="313"/>
      <w:bookmarkEnd w:id="314"/>
    </w:p>
    <w:p w14:paraId="2C1D67A9" w14:textId="77777777" w:rsidR="00EB7374" w:rsidRPr="00615E45" w:rsidRDefault="00EB7374" w:rsidP="00C80D98">
      <w:pPr>
        <w:pStyle w:val="BodyText"/>
      </w:pPr>
      <w:bookmarkStart w:id="315" w:name="_Hlk109324489"/>
      <w:r w:rsidRPr="00615E45">
        <w:t xml:space="preserve">The fisheries sector in the Dominican Republic </w:t>
      </w:r>
      <w:bookmarkEnd w:id="315"/>
      <w:r w:rsidRPr="00615E45">
        <w:t xml:space="preserve">is very important in terms of job creation, food security for coastal populations and marine resource management. However, due to the narrowness of the island shelf, </w:t>
      </w:r>
      <w:r>
        <w:t>marine</w:t>
      </w:r>
      <w:r w:rsidRPr="00615E45">
        <w:t xml:space="preserve"> resources are rather limited. The Dominican Republic has 17 coastal provinces, 17 dams and </w:t>
      </w:r>
      <w:r>
        <w:t>four</w:t>
      </w:r>
      <w:r w:rsidRPr="00615E45">
        <w:t> lagoons that support numerous fishing communities.</w:t>
      </w:r>
      <w:r w:rsidRPr="00615E45">
        <w:rPr>
          <w:rStyle w:val="FootnoteReference"/>
        </w:rPr>
        <w:footnoteReference w:id="356"/>
      </w:r>
      <w:r w:rsidRPr="00615E45">
        <w:t xml:space="preserve"> The sector is essentially characterized by small-scale fisheries, </w:t>
      </w:r>
      <w:r>
        <w:t xml:space="preserve">catching </w:t>
      </w:r>
      <w:r w:rsidRPr="00615E45">
        <w:t xml:space="preserve">mainly lobster, </w:t>
      </w:r>
      <w:proofErr w:type="spellStart"/>
      <w:r w:rsidRPr="00615E45">
        <w:t>lambi</w:t>
      </w:r>
      <w:proofErr w:type="spellEnd"/>
      <w:r w:rsidRPr="00615E45">
        <w:t>, demersal and pelagic fish, and shrimp. According to the National Fisheries Census conducted in 2019, 14,929 people were engaged in fishing, mostly coastal marine fishing.</w:t>
      </w:r>
      <w:r w:rsidRPr="00615E45">
        <w:rPr>
          <w:rStyle w:val="FootnoteReference"/>
        </w:rPr>
        <w:footnoteReference w:id="357"/>
      </w:r>
    </w:p>
    <w:p w14:paraId="7F1E7E74" w14:textId="77777777" w:rsidR="00EB7374" w:rsidRPr="00615E45" w:rsidRDefault="00EB7374" w:rsidP="00C80D98">
      <w:pPr>
        <w:pStyle w:val="BodyText"/>
      </w:pPr>
      <w:r w:rsidRPr="00615E45">
        <w:t>Fisheries and aquaculture production in 2020 was 14,091.3 tonnes.</w:t>
      </w:r>
      <w:r w:rsidRPr="00615E45">
        <w:rPr>
          <w:rStyle w:val="FootnoteReference"/>
        </w:rPr>
        <w:footnoteReference w:id="358"/>
      </w:r>
      <w:r w:rsidRPr="00615E45">
        <w:t xml:space="preserve"> The domestic market is the main destination </w:t>
      </w:r>
      <w:r>
        <w:t>for</w:t>
      </w:r>
      <w:r w:rsidRPr="00615E45">
        <w:t xml:space="preserve"> domestic production, with </w:t>
      </w:r>
      <w:r>
        <w:t xml:space="preserve">a </w:t>
      </w:r>
      <w:r w:rsidRPr="00615E45">
        <w:t>strong demand for fresh and frozen fish for the tourism sector.</w:t>
      </w:r>
      <w:r w:rsidRPr="00615E45">
        <w:rPr>
          <w:rStyle w:val="FootnoteReference"/>
        </w:rPr>
        <w:footnoteReference w:id="359"/>
      </w:r>
      <w:r w:rsidRPr="00615E45">
        <w:t xml:space="preserve"> </w:t>
      </w:r>
      <w:r>
        <w:t>F</w:t>
      </w:r>
      <w:r w:rsidRPr="00615E45">
        <w:t>isheries trade is in deficit. In 2021, 83,479 tonnes of fishery products worth USD 233 million were imported</w:t>
      </w:r>
      <w:r>
        <w:t xml:space="preserve">, while </w:t>
      </w:r>
      <w:r w:rsidRPr="00615E45">
        <w:t>1,364 tonnes of fishery products (WTO definition) worth USD 9.6 million were exported.</w:t>
      </w:r>
      <w:r w:rsidRPr="00615E45">
        <w:rPr>
          <w:rStyle w:val="FootnoteReference"/>
        </w:rPr>
        <w:footnoteReference w:id="360"/>
      </w:r>
      <w:r w:rsidRPr="00615E45">
        <w:t xml:space="preserve"> The main </w:t>
      </w:r>
      <w:r>
        <w:t>imports</w:t>
      </w:r>
      <w:r w:rsidRPr="00615E45">
        <w:t xml:space="preserve"> were cod (HS 0305.51) (25.9%), sardines, sardinella and brisling or sprats (HS 1604.13) (18.3%), herring</w:t>
      </w:r>
      <w:r>
        <w:t>s</w:t>
      </w:r>
      <w:r w:rsidRPr="00615E45">
        <w:t xml:space="preserve"> (HS 0305.42) (11.2%), and tuna</w:t>
      </w:r>
      <w:r>
        <w:t>s</w:t>
      </w:r>
      <w:r w:rsidRPr="00615E45">
        <w:t>, skipjack and bonito (HS 1604.14) (8.6%).</w:t>
      </w:r>
      <w:r w:rsidRPr="00615E45">
        <w:rPr>
          <w:rStyle w:val="FootnoteReference"/>
        </w:rPr>
        <w:footnoteReference w:id="361"/>
      </w:r>
      <w:r w:rsidRPr="00615E45">
        <w:t xml:space="preserve"> The largest import markets were Norway (25.8%), China (22.1%), Canada (11.9%), India (9.5%) and Thailand (7.2%). The main export</w:t>
      </w:r>
      <w:r>
        <w:t>s</w:t>
      </w:r>
      <w:r w:rsidRPr="00615E45">
        <w:t xml:space="preserve"> were cod (HS 0305.51) (27.9%), live eels (HS 0301.92) (27.8%) and herring</w:t>
      </w:r>
      <w:r>
        <w:t>s</w:t>
      </w:r>
      <w:r w:rsidRPr="00615E45">
        <w:t xml:space="preserve"> (HS 0305.42) (22.3%),</w:t>
      </w:r>
      <w:r w:rsidRPr="00615E45">
        <w:rPr>
          <w:rStyle w:val="FootnoteReference"/>
        </w:rPr>
        <w:footnoteReference w:id="362"/>
      </w:r>
      <w:r w:rsidRPr="00615E45">
        <w:t xml:space="preserve"> while the main export markets were Haiti (50.9%), the United States (18.4%), Canada (18.4%) and Spain (4.1%).</w:t>
      </w:r>
      <w:r w:rsidRPr="00615E45">
        <w:rPr>
          <w:rStyle w:val="FootnoteReference"/>
        </w:rPr>
        <w:footnoteReference w:id="363"/>
      </w:r>
    </w:p>
    <w:p w14:paraId="4FE633F5" w14:textId="77777777" w:rsidR="00EB7374" w:rsidRPr="00615E45" w:rsidRDefault="00EB7374" w:rsidP="00C80D98">
      <w:pPr>
        <w:pStyle w:val="BodyText"/>
      </w:pPr>
      <w:r w:rsidRPr="00615E45">
        <w:t>The fisheries sector is governed by the Law on Fish</w:t>
      </w:r>
      <w:r>
        <w:t>eries</w:t>
      </w:r>
      <w:r w:rsidRPr="00615E45">
        <w:t xml:space="preserve"> and Aquaculture,</w:t>
      </w:r>
      <w:r w:rsidRPr="00615E45">
        <w:rPr>
          <w:rStyle w:val="FootnoteReference"/>
        </w:rPr>
        <w:footnoteReference w:id="364"/>
      </w:r>
      <w:r w:rsidRPr="00615E45">
        <w:t xml:space="preserve"> which aims to establish a fisheries and aquaculture system based on the principles of responsible fisheries and the rational and sustainable use of fishery resources. The Law applies to all activities relating to the exploitation and extraction of fishery resources by Dominican and foreign natural and legal persons in waters under the jurisdiction of the </w:t>
      </w:r>
      <w:r>
        <w:t>Dominican Republic,</w:t>
      </w:r>
      <w:r w:rsidRPr="00615E45">
        <w:t xml:space="preserve"> as well as to the activities of Dominican vessels on the high seas or in waters of third </w:t>
      </w:r>
      <w:r>
        <w:t>S</w:t>
      </w:r>
      <w:r w:rsidRPr="00615E45">
        <w:t>tates.</w:t>
      </w:r>
      <w:r w:rsidRPr="00615E45">
        <w:rPr>
          <w:rStyle w:val="FootnoteReference"/>
        </w:rPr>
        <w:footnoteReference w:id="365"/>
      </w:r>
      <w:r w:rsidRPr="00615E45">
        <w:t xml:space="preserve"> To date, this Law </w:t>
      </w:r>
      <w:r>
        <w:t>has no</w:t>
      </w:r>
      <w:r w:rsidRPr="00615E45">
        <w:t xml:space="preserve"> implementing regulation</w:t>
      </w:r>
      <w:r>
        <w:t>s</w:t>
      </w:r>
      <w:r w:rsidRPr="00615E45">
        <w:t>, despite the provisions of Articles 9 and 10. The fisheries sector is also directly or indirectly governed by the General Law on the Environment and Natural Resources</w:t>
      </w:r>
      <w:r w:rsidRPr="00615E45">
        <w:rPr>
          <w:rStyle w:val="FootnoteReference"/>
        </w:rPr>
        <w:footnoteReference w:id="366"/>
      </w:r>
      <w:r w:rsidRPr="00615E45">
        <w:t xml:space="preserve"> and the Law on Biodiversity and Protected Areas.</w:t>
      </w:r>
      <w:r w:rsidRPr="00615E45">
        <w:rPr>
          <w:rStyle w:val="FootnoteReference"/>
        </w:rPr>
        <w:footnoteReference w:id="367"/>
      </w:r>
    </w:p>
    <w:p w14:paraId="4D6415BF" w14:textId="77777777" w:rsidR="00EB7374" w:rsidRPr="00615E45" w:rsidRDefault="00EB7374" w:rsidP="00C80D98">
      <w:pPr>
        <w:pStyle w:val="BodyText"/>
      </w:pPr>
      <w:r>
        <w:t xml:space="preserve">The </w:t>
      </w:r>
      <w:r w:rsidRPr="00E263D8">
        <w:t xml:space="preserve">Dominican Fisheries and Aquaculture Council </w:t>
      </w:r>
      <w:r>
        <w:t>(</w:t>
      </w:r>
      <w:proofErr w:type="spellStart"/>
      <w:r w:rsidRPr="00615E45">
        <w:t>CODOPESCA</w:t>
      </w:r>
      <w:proofErr w:type="spellEnd"/>
      <w:r>
        <w:t>)</w:t>
      </w:r>
      <w:r w:rsidRPr="00615E45">
        <w:t xml:space="preserve"> is the governing body of the fisheries sector, established under the Law on Fish</w:t>
      </w:r>
      <w:r>
        <w:t>eries</w:t>
      </w:r>
      <w:r w:rsidRPr="00615E45">
        <w:t xml:space="preserve"> and Aquaculture, and is responsible for regulating the extraction and ensuring the protection of fishery resources within a sustainable framework. Other government agencies are also involved in the sector (Table 4.5).</w:t>
      </w:r>
    </w:p>
    <w:p w14:paraId="13A30EC4" w14:textId="77777777" w:rsidR="00EB7374" w:rsidRPr="00615E45" w:rsidRDefault="00EB7374" w:rsidP="00385EA7">
      <w:pPr>
        <w:pStyle w:val="Caption"/>
      </w:pPr>
      <w:bookmarkStart w:id="317" w:name="_Toc114735841"/>
      <w:bookmarkStart w:id="318" w:name="_Toc117238059"/>
      <w:r>
        <w:lastRenderedPageBreak/>
        <w:t xml:space="preserve">Table </w:t>
      </w:r>
      <w:r w:rsidR="00BD37F2">
        <w:fldChar w:fldCharType="begin"/>
      </w:r>
      <w:r w:rsidR="00BD37F2">
        <w:instrText xml:space="preserve"> STYLEREF 1 \s </w:instrText>
      </w:r>
      <w:r w:rsidR="00BD37F2">
        <w:fldChar w:fldCharType="separate"/>
      </w:r>
      <w:r>
        <w:rPr>
          <w:noProof/>
        </w:rPr>
        <w:t>4</w:t>
      </w:r>
      <w:r w:rsidR="00BD37F2">
        <w:rPr>
          <w:noProof/>
        </w:rPr>
        <w:fldChar w:fldCharType="end"/>
      </w:r>
      <w:r>
        <w:t>.</w:t>
      </w:r>
      <w:r w:rsidR="00BD37F2">
        <w:fldChar w:fldCharType="begin"/>
      </w:r>
      <w:r w:rsidR="00BD37F2">
        <w:instrText xml:space="preserve"> SEQ Table \* ARABIC \s 1 </w:instrText>
      </w:r>
      <w:r w:rsidR="00BD37F2">
        <w:fldChar w:fldCharType="separate"/>
      </w:r>
      <w:r>
        <w:rPr>
          <w:noProof/>
        </w:rPr>
        <w:t>5</w:t>
      </w:r>
      <w:r w:rsidR="00BD37F2">
        <w:rPr>
          <w:noProof/>
        </w:rPr>
        <w:fldChar w:fldCharType="end"/>
      </w:r>
      <w:r>
        <w:t xml:space="preserve"> </w:t>
      </w:r>
      <w:r w:rsidRPr="00615E45">
        <w:t>Government agencies involved in the fisheries sector</w:t>
      </w:r>
      <w:bookmarkEnd w:id="317"/>
      <w:bookmarkEnd w:id="318"/>
    </w:p>
    <w:tbl>
      <w:tblPr>
        <w:tblStyle w:val="WTOTable1"/>
        <w:tblW w:w="5000" w:type="pct"/>
        <w:tblLook w:val="04A0" w:firstRow="1" w:lastRow="0" w:firstColumn="1" w:lastColumn="0" w:noHBand="0" w:noVBand="1"/>
      </w:tblPr>
      <w:tblGrid>
        <w:gridCol w:w="2829"/>
        <w:gridCol w:w="6187"/>
      </w:tblGrid>
      <w:tr w:rsidR="00EB7374" w:rsidRPr="00615E45" w14:paraId="020C1FB7" w14:textId="77777777" w:rsidTr="00C700EB">
        <w:trPr>
          <w:cnfStyle w:val="100000000000" w:firstRow="1" w:lastRow="0" w:firstColumn="0" w:lastColumn="0" w:oddVBand="0" w:evenVBand="0" w:oddHBand="0" w:evenHBand="0" w:firstRowFirstColumn="0" w:firstRowLastColumn="0" w:lastRowFirstColumn="0" w:lastRowLastColumn="0"/>
          <w:cantSplit/>
          <w:tblHeader/>
        </w:trPr>
        <w:tc>
          <w:tcPr>
            <w:tcW w:w="1569" w:type="pct"/>
          </w:tcPr>
          <w:p w14:paraId="717A2887" w14:textId="77777777" w:rsidR="00EB7374" w:rsidRPr="00615E45" w:rsidRDefault="00EB7374" w:rsidP="00C700EB">
            <w:pPr>
              <w:pStyle w:val="BodyText"/>
              <w:numPr>
                <w:ilvl w:val="0"/>
                <w:numId w:val="0"/>
              </w:numPr>
              <w:spacing w:after="0"/>
              <w:jc w:val="left"/>
              <w:rPr>
                <w:sz w:val="15"/>
                <w:szCs w:val="15"/>
              </w:rPr>
            </w:pPr>
            <w:r w:rsidRPr="00615E45">
              <w:rPr>
                <w:sz w:val="15"/>
              </w:rPr>
              <w:t>Agency</w:t>
            </w:r>
          </w:p>
        </w:tc>
        <w:tc>
          <w:tcPr>
            <w:tcW w:w="3431" w:type="pct"/>
          </w:tcPr>
          <w:p w14:paraId="7671AD23" w14:textId="77777777" w:rsidR="00EB7374" w:rsidRPr="00615E45" w:rsidRDefault="00EB7374" w:rsidP="00C700EB">
            <w:pPr>
              <w:pStyle w:val="BodyText"/>
              <w:numPr>
                <w:ilvl w:val="0"/>
                <w:numId w:val="0"/>
              </w:numPr>
              <w:spacing w:after="0"/>
              <w:jc w:val="left"/>
              <w:rPr>
                <w:sz w:val="15"/>
                <w:szCs w:val="15"/>
              </w:rPr>
            </w:pPr>
            <w:r w:rsidRPr="00615E45">
              <w:rPr>
                <w:sz w:val="15"/>
              </w:rPr>
              <w:t>Function</w:t>
            </w:r>
          </w:p>
        </w:tc>
      </w:tr>
      <w:tr w:rsidR="00EB7374" w:rsidRPr="00615E45" w14:paraId="5311612C" w14:textId="77777777" w:rsidTr="00C700EB">
        <w:trPr>
          <w:cantSplit/>
        </w:trPr>
        <w:tc>
          <w:tcPr>
            <w:tcW w:w="1569" w:type="pct"/>
          </w:tcPr>
          <w:p w14:paraId="262956AB" w14:textId="77777777" w:rsidR="00EB7374" w:rsidRPr="00615E45" w:rsidRDefault="00EB7374" w:rsidP="00C700EB">
            <w:pPr>
              <w:pStyle w:val="BodyText"/>
              <w:numPr>
                <w:ilvl w:val="0"/>
                <w:numId w:val="0"/>
              </w:numPr>
              <w:spacing w:after="0"/>
              <w:jc w:val="left"/>
              <w:rPr>
                <w:sz w:val="15"/>
                <w:szCs w:val="15"/>
              </w:rPr>
            </w:pPr>
            <w:r w:rsidRPr="00615E45">
              <w:rPr>
                <w:sz w:val="15"/>
              </w:rPr>
              <w:t>Dominican Navy</w:t>
            </w:r>
          </w:p>
        </w:tc>
        <w:tc>
          <w:tcPr>
            <w:tcW w:w="3431" w:type="pct"/>
          </w:tcPr>
          <w:p w14:paraId="1AEEB7E4" w14:textId="77777777" w:rsidR="00EB7374" w:rsidRPr="00615E45" w:rsidRDefault="00EB7374" w:rsidP="00C700EB">
            <w:pPr>
              <w:pStyle w:val="BodyText"/>
              <w:numPr>
                <w:ilvl w:val="0"/>
                <w:numId w:val="0"/>
              </w:numPr>
              <w:spacing w:after="0"/>
              <w:jc w:val="left"/>
              <w:rPr>
                <w:sz w:val="15"/>
                <w:szCs w:val="15"/>
              </w:rPr>
            </w:pPr>
            <w:r w:rsidRPr="00615E45">
              <w:rPr>
                <w:sz w:val="15"/>
              </w:rPr>
              <w:t xml:space="preserve">Responsible for coastal and maritime surveillance and navigation in Dominican waters and in </w:t>
            </w:r>
            <w:r>
              <w:rPr>
                <w:sz w:val="15"/>
              </w:rPr>
              <w:t>the country's</w:t>
            </w:r>
            <w:r w:rsidRPr="00615E45">
              <w:rPr>
                <w:sz w:val="15"/>
              </w:rPr>
              <w:t xml:space="preserve"> exclusive economic zone. </w:t>
            </w:r>
            <w:r>
              <w:rPr>
                <w:sz w:val="15"/>
              </w:rPr>
              <w:t>Works with</w:t>
            </w:r>
            <w:r w:rsidRPr="00615E45">
              <w:rPr>
                <w:sz w:val="15"/>
              </w:rPr>
              <w:t xml:space="preserve"> the National Directorate of Fisheries, established by Decree No. 323-02 of 9 May 2002, </w:t>
            </w:r>
            <w:r>
              <w:rPr>
                <w:sz w:val="15"/>
              </w:rPr>
              <w:t>the</w:t>
            </w:r>
            <w:r w:rsidRPr="00615E45">
              <w:rPr>
                <w:sz w:val="15"/>
              </w:rPr>
              <w:t xml:space="preserve"> function </w:t>
            </w:r>
            <w:r>
              <w:rPr>
                <w:sz w:val="15"/>
              </w:rPr>
              <w:t>of which is</w:t>
            </w:r>
            <w:r w:rsidRPr="00615E45">
              <w:rPr>
                <w:sz w:val="15"/>
              </w:rPr>
              <w:t xml:space="preserve"> to promote fisheries development and control throughout the national territory and in international waters.</w:t>
            </w:r>
          </w:p>
        </w:tc>
      </w:tr>
      <w:tr w:rsidR="00EB7374" w:rsidRPr="00615E45" w14:paraId="20DFCF6B" w14:textId="77777777" w:rsidTr="00C700EB">
        <w:trPr>
          <w:cnfStyle w:val="000000010000" w:firstRow="0" w:lastRow="0" w:firstColumn="0" w:lastColumn="0" w:oddVBand="0" w:evenVBand="0" w:oddHBand="0" w:evenHBand="1" w:firstRowFirstColumn="0" w:firstRowLastColumn="0" w:lastRowFirstColumn="0" w:lastRowLastColumn="0"/>
          <w:cantSplit/>
        </w:trPr>
        <w:tc>
          <w:tcPr>
            <w:tcW w:w="1569" w:type="pct"/>
          </w:tcPr>
          <w:p w14:paraId="5CC9A96D" w14:textId="77777777" w:rsidR="00EB7374" w:rsidRPr="00615E45" w:rsidRDefault="00EB7374" w:rsidP="00C700EB">
            <w:pPr>
              <w:pStyle w:val="BodyText"/>
              <w:numPr>
                <w:ilvl w:val="0"/>
                <w:numId w:val="0"/>
              </w:numPr>
              <w:spacing w:after="0"/>
              <w:jc w:val="left"/>
              <w:rPr>
                <w:sz w:val="15"/>
                <w:szCs w:val="15"/>
              </w:rPr>
            </w:pPr>
            <w:r w:rsidRPr="00615E45">
              <w:rPr>
                <w:sz w:val="15"/>
              </w:rPr>
              <w:t>Ministry of the Environment and Natural Resources</w:t>
            </w:r>
          </w:p>
        </w:tc>
        <w:tc>
          <w:tcPr>
            <w:tcW w:w="3431" w:type="pct"/>
          </w:tcPr>
          <w:p w14:paraId="3F75AFA3" w14:textId="77777777" w:rsidR="00EB7374" w:rsidRPr="00615E45" w:rsidRDefault="00EB7374" w:rsidP="00C700EB">
            <w:pPr>
              <w:pStyle w:val="BodyText"/>
              <w:numPr>
                <w:ilvl w:val="0"/>
                <w:numId w:val="0"/>
              </w:numPr>
              <w:spacing w:after="0"/>
              <w:jc w:val="left"/>
              <w:rPr>
                <w:sz w:val="15"/>
                <w:szCs w:val="15"/>
              </w:rPr>
            </w:pPr>
            <w:r w:rsidRPr="00615E45">
              <w:rPr>
                <w:sz w:val="15"/>
              </w:rPr>
              <w:t>Responsible for environmental management, ecosystems and natural resources (including fishery resources).</w:t>
            </w:r>
          </w:p>
        </w:tc>
      </w:tr>
      <w:tr w:rsidR="00EB7374" w:rsidRPr="00615E45" w14:paraId="6A1CF114" w14:textId="77777777" w:rsidTr="00C700EB">
        <w:trPr>
          <w:cantSplit/>
        </w:trPr>
        <w:tc>
          <w:tcPr>
            <w:tcW w:w="1569" w:type="pct"/>
          </w:tcPr>
          <w:p w14:paraId="4524EF1F" w14:textId="77777777" w:rsidR="00EB7374" w:rsidRPr="00615E45" w:rsidRDefault="00EB7374" w:rsidP="00C700EB">
            <w:pPr>
              <w:pStyle w:val="BodyText"/>
              <w:numPr>
                <w:ilvl w:val="0"/>
                <w:numId w:val="0"/>
              </w:numPr>
              <w:spacing w:after="0"/>
              <w:jc w:val="left"/>
              <w:rPr>
                <w:sz w:val="15"/>
                <w:szCs w:val="15"/>
              </w:rPr>
            </w:pPr>
            <w:r w:rsidRPr="00615E45">
              <w:rPr>
                <w:sz w:val="15"/>
              </w:rPr>
              <w:t>Dominican Port Authority</w:t>
            </w:r>
          </w:p>
        </w:tc>
        <w:tc>
          <w:tcPr>
            <w:tcW w:w="3431" w:type="pct"/>
          </w:tcPr>
          <w:p w14:paraId="34F65B65" w14:textId="77777777" w:rsidR="00EB7374" w:rsidRPr="00615E45" w:rsidRDefault="00EB7374" w:rsidP="00C700EB">
            <w:pPr>
              <w:pStyle w:val="BodyText"/>
              <w:numPr>
                <w:ilvl w:val="0"/>
                <w:numId w:val="0"/>
              </w:numPr>
              <w:spacing w:after="0"/>
              <w:jc w:val="left"/>
              <w:rPr>
                <w:sz w:val="15"/>
                <w:szCs w:val="15"/>
              </w:rPr>
            </w:pPr>
            <w:r w:rsidRPr="00615E45">
              <w:rPr>
                <w:sz w:val="15"/>
              </w:rPr>
              <w:t>Responsible for managing and administering maritime ports.</w:t>
            </w:r>
          </w:p>
        </w:tc>
      </w:tr>
      <w:tr w:rsidR="00EB7374" w:rsidRPr="00615E45" w14:paraId="6E9E1DAD" w14:textId="77777777" w:rsidTr="00C700EB">
        <w:trPr>
          <w:cnfStyle w:val="000000010000" w:firstRow="0" w:lastRow="0" w:firstColumn="0" w:lastColumn="0" w:oddVBand="0" w:evenVBand="0" w:oddHBand="0" w:evenHBand="1" w:firstRowFirstColumn="0" w:firstRowLastColumn="0" w:lastRowFirstColumn="0" w:lastRowLastColumn="0"/>
          <w:cantSplit/>
        </w:trPr>
        <w:tc>
          <w:tcPr>
            <w:tcW w:w="1569" w:type="pct"/>
          </w:tcPr>
          <w:p w14:paraId="73597FBA" w14:textId="77777777" w:rsidR="00EB7374" w:rsidRPr="00615E45" w:rsidRDefault="00EB7374" w:rsidP="00C700EB">
            <w:pPr>
              <w:pStyle w:val="BodyText"/>
              <w:numPr>
                <w:ilvl w:val="0"/>
                <w:numId w:val="0"/>
              </w:numPr>
              <w:spacing w:after="0"/>
              <w:jc w:val="left"/>
              <w:rPr>
                <w:sz w:val="15"/>
                <w:szCs w:val="15"/>
              </w:rPr>
            </w:pPr>
            <w:r w:rsidRPr="00615E45">
              <w:rPr>
                <w:sz w:val="15"/>
              </w:rPr>
              <w:t>Directorate-General of Customs (DGA)</w:t>
            </w:r>
          </w:p>
        </w:tc>
        <w:tc>
          <w:tcPr>
            <w:tcW w:w="3431" w:type="pct"/>
          </w:tcPr>
          <w:p w14:paraId="4B85FF40" w14:textId="77777777" w:rsidR="00EB7374" w:rsidRPr="00615E45" w:rsidRDefault="00EB7374" w:rsidP="00C700EB">
            <w:pPr>
              <w:pStyle w:val="BodyText"/>
              <w:numPr>
                <w:ilvl w:val="0"/>
                <w:numId w:val="0"/>
              </w:numPr>
              <w:spacing w:after="0"/>
              <w:jc w:val="left"/>
              <w:rPr>
                <w:sz w:val="15"/>
                <w:szCs w:val="15"/>
              </w:rPr>
            </w:pPr>
            <w:r w:rsidRPr="00615E45">
              <w:rPr>
                <w:sz w:val="15"/>
              </w:rPr>
              <w:t>Establishes mandatory customs procedures for importing or exporting fishery products.</w:t>
            </w:r>
          </w:p>
        </w:tc>
      </w:tr>
      <w:tr w:rsidR="00EB7374" w:rsidRPr="00615E45" w14:paraId="481871BF" w14:textId="77777777" w:rsidTr="00C700EB">
        <w:trPr>
          <w:cantSplit/>
        </w:trPr>
        <w:tc>
          <w:tcPr>
            <w:tcW w:w="1569" w:type="pct"/>
          </w:tcPr>
          <w:p w14:paraId="42E57779" w14:textId="77777777" w:rsidR="00EB7374" w:rsidRPr="00615E45" w:rsidRDefault="00EB7374" w:rsidP="00C700EB">
            <w:pPr>
              <w:pStyle w:val="BodyText"/>
              <w:numPr>
                <w:ilvl w:val="0"/>
                <w:numId w:val="0"/>
              </w:numPr>
              <w:spacing w:after="0"/>
              <w:jc w:val="left"/>
              <w:rPr>
                <w:sz w:val="15"/>
                <w:szCs w:val="15"/>
              </w:rPr>
            </w:pPr>
            <w:r w:rsidRPr="00615E45">
              <w:rPr>
                <w:sz w:val="15"/>
              </w:rPr>
              <w:t>National Maritime Affairs Authority (</w:t>
            </w:r>
            <w:proofErr w:type="spellStart"/>
            <w:r w:rsidRPr="00615E45">
              <w:rPr>
                <w:sz w:val="15"/>
              </w:rPr>
              <w:t>ANAMAR</w:t>
            </w:r>
            <w:proofErr w:type="spellEnd"/>
            <w:r w:rsidRPr="00615E45">
              <w:rPr>
                <w:sz w:val="15"/>
              </w:rPr>
              <w:t>)</w:t>
            </w:r>
          </w:p>
        </w:tc>
        <w:tc>
          <w:tcPr>
            <w:tcW w:w="3431" w:type="pct"/>
          </w:tcPr>
          <w:p w14:paraId="78254016" w14:textId="77777777" w:rsidR="00EB7374" w:rsidRPr="00615E45" w:rsidRDefault="00EB7374" w:rsidP="00C700EB">
            <w:pPr>
              <w:pStyle w:val="BodyText"/>
              <w:numPr>
                <w:ilvl w:val="0"/>
                <w:numId w:val="0"/>
              </w:numPr>
              <w:spacing w:after="0"/>
              <w:jc w:val="left"/>
              <w:rPr>
                <w:sz w:val="15"/>
                <w:szCs w:val="15"/>
              </w:rPr>
            </w:pPr>
            <w:r w:rsidRPr="00615E45">
              <w:rPr>
                <w:sz w:val="15"/>
              </w:rPr>
              <w:t>Responsible for the research, conservation and sustainable use of living and non</w:t>
            </w:r>
            <w:r>
              <w:rPr>
                <w:sz w:val="15"/>
              </w:rPr>
              <w:noBreakHyphen/>
            </w:r>
            <w:r w:rsidRPr="00615E45">
              <w:rPr>
                <w:sz w:val="15"/>
              </w:rPr>
              <w:t>living marine resources and for harmonizing the government</w:t>
            </w:r>
            <w:r>
              <w:rPr>
                <w:sz w:val="15"/>
              </w:rPr>
              <w:t>'s</w:t>
            </w:r>
            <w:r w:rsidRPr="00615E45">
              <w:rPr>
                <w:sz w:val="15"/>
              </w:rPr>
              <w:t xml:space="preserve"> maritime policy </w:t>
            </w:r>
            <w:r>
              <w:rPr>
                <w:sz w:val="15"/>
              </w:rPr>
              <w:t>so as to ensure</w:t>
            </w:r>
            <w:r w:rsidRPr="00615E45">
              <w:rPr>
                <w:sz w:val="15"/>
              </w:rPr>
              <w:t xml:space="preserve"> consistency with international law.</w:t>
            </w:r>
          </w:p>
        </w:tc>
      </w:tr>
    </w:tbl>
    <w:p w14:paraId="6CD079A3" w14:textId="77777777" w:rsidR="00EB7374" w:rsidRPr="00615E45" w:rsidRDefault="00EB7374" w:rsidP="00B0434B">
      <w:pPr>
        <w:pStyle w:val="NoteText"/>
        <w:spacing w:before="120" w:after="240"/>
      </w:pPr>
      <w:r w:rsidRPr="00615E45">
        <w:t>Source:</w:t>
      </w:r>
      <w:r w:rsidRPr="00615E45">
        <w:tab/>
        <w:t>WTO Secretariat and information provided by the authorities.</w:t>
      </w:r>
    </w:p>
    <w:p w14:paraId="14D74679" w14:textId="77777777" w:rsidR="00EB7374" w:rsidRPr="00615E45" w:rsidRDefault="00EB7374" w:rsidP="00C80D98">
      <w:pPr>
        <w:pStyle w:val="BodyText"/>
      </w:pPr>
      <w:r w:rsidRPr="00615E45">
        <w:t xml:space="preserve">Fishing activities in the Dominican Republic require a fishing licence issued by </w:t>
      </w:r>
      <w:proofErr w:type="spellStart"/>
      <w:r w:rsidRPr="00615E45">
        <w:t>CODOPESCA</w:t>
      </w:r>
      <w:proofErr w:type="spellEnd"/>
      <w:r w:rsidRPr="00615E45">
        <w:t xml:space="preserve">. Fishing licences, which are non-transferable, specify the fishing activity for which they are granted, the type of usable gear and the place of operation and are valid for a period of two years, renewable successively for another two years. In granting new or renewing existing fishing licences, </w:t>
      </w:r>
      <w:proofErr w:type="spellStart"/>
      <w:r w:rsidRPr="00615E45">
        <w:t>CODOPESCA</w:t>
      </w:r>
      <w:proofErr w:type="spellEnd"/>
      <w:r w:rsidRPr="00615E45">
        <w:t xml:space="preserve"> takes into account the state of the resources </w:t>
      </w:r>
      <w:r>
        <w:t xml:space="preserve">to be exploited under the requested </w:t>
      </w:r>
      <w:r w:rsidRPr="00615E45">
        <w:t xml:space="preserve">licence </w:t>
      </w:r>
      <w:r>
        <w:t>so as</w:t>
      </w:r>
      <w:r w:rsidRPr="00615E45">
        <w:t xml:space="preserve"> to ensure their sustainability. Preference is therefore given to the renewal of existing licences over the granting of new </w:t>
      </w:r>
      <w:r>
        <w:t>ones</w:t>
      </w:r>
      <w:r w:rsidRPr="00615E45">
        <w:t xml:space="preserve">. </w:t>
      </w:r>
      <w:r>
        <w:t>Licences are granted and renewed for</w:t>
      </w:r>
      <w:r w:rsidRPr="00615E45">
        <w:t xml:space="preserve"> a fee.</w:t>
      </w:r>
      <w:r w:rsidRPr="00615E45">
        <w:rPr>
          <w:rStyle w:val="FootnoteReference"/>
        </w:rPr>
        <w:footnoteReference w:id="368"/>
      </w:r>
    </w:p>
    <w:p w14:paraId="21B744EF" w14:textId="77777777" w:rsidR="00EB7374" w:rsidRPr="00615E45" w:rsidRDefault="00EB7374" w:rsidP="00C80D98">
      <w:pPr>
        <w:pStyle w:val="BodyText"/>
      </w:pPr>
      <w:r w:rsidRPr="00615E45">
        <w:t xml:space="preserve">To engage in fishing in any of its forms, Dominican vessels must obtain a fishing </w:t>
      </w:r>
      <w:r>
        <w:t>vessel</w:t>
      </w:r>
      <w:r w:rsidRPr="00615E45">
        <w:t xml:space="preserve"> permit issued by </w:t>
      </w:r>
      <w:proofErr w:type="spellStart"/>
      <w:r w:rsidRPr="00615E45">
        <w:t>CODOPESCA</w:t>
      </w:r>
      <w:proofErr w:type="spellEnd"/>
      <w:r w:rsidRPr="00615E45">
        <w:t xml:space="preserve">. This permit is granted provided that </w:t>
      </w:r>
      <w:r>
        <w:t xml:space="preserve">the applicant holds </w:t>
      </w:r>
      <w:r w:rsidRPr="00615E45">
        <w:t>a valid fishing licence. Fishing vessels must be duly registered with the Navy and have an up-to-date ship</w:t>
      </w:r>
      <w:r>
        <w:t>'</w:t>
      </w:r>
      <w:r w:rsidRPr="00615E45">
        <w:t>s passport. Like fishing licences, fishing vessel permits are valid for two years and may be renewed for successive two</w:t>
      </w:r>
      <w:r>
        <w:noBreakHyphen/>
      </w:r>
      <w:r w:rsidRPr="00615E45">
        <w:t xml:space="preserve">year periods. The permit specifies the type of vessel concerned, its size and power, the fishing activities in which it engages, the type of gear it uses and the place of operation. </w:t>
      </w:r>
      <w:r>
        <w:t>These permits are granted and renewed for</w:t>
      </w:r>
      <w:r w:rsidRPr="00615E45">
        <w:t xml:space="preserve"> a fee.</w:t>
      </w:r>
      <w:r w:rsidRPr="00615E45">
        <w:rPr>
          <w:rStyle w:val="FootnoteReference"/>
        </w:rPr>
        <w:footnoteReference w:id="369"/>
      </w:r>
    </w:p>
    <w:p w14:paraId="0EDC486A" w14:textId="77777777" w:rsidR="00EB7374" w:rsidRPr="00615E45" w:rsidRDefault="00EB7374" w:rsidP="00C80D98">
      <w:pPr>
        <w:pStyle w:val="BodyText"/>
      </w:pPr>
      <w:r w:rsidRPr="00615E45">
        <w:t xml:space="preserve">Foreign vessel access to the waters of the Dominican Republic is subject to the fulfilment of a number of requirements. To obtain the fishing licence, foreign vessels must be authorized by the Navy and the National Drug Control Directorate and be registered in a competent port authorized by both organizations. Foreign vessels also require a fishing vessel permit. If the natural or legal persons </w:t>
      </w:r>
      <w:r>
        <w:t>operating</w:t>
      </w:r>
      <w:r w:rsidRPr="00615E45">
        <w:t xml:space="preserve"> the foreign vessel are domiciled in the Dominican Republic, the permit is granted under the same conditions as those that apply to domestic fishing vessels (in this case, all crew must be domiciled in the Dominican Republic and catches must be landed and marketed in the country). If the vessel belongs to a </w:t>
      </w:r>
      <w:r>
        <w:t>S</w:t>
      </w:r>
      <w:r w:rsidRPr="00615E45">
        <w:t xml:space="preserve">tate with which the Dominican Republic has an agreement or other fishing arrangements, the conditions set out in that agreement or arrangement apply. Otherwise, </w:t>
      </w:r>
      <w:proofErr w:type="spellStart"/>
      <w:r w:rsidRPr="00615E45">
        <w:t>CODOPESCA</w:t>
      </w:r>
      <w:proofErr w:type="spellEnd"/>
      <w:r w:rsidRPr="00615E45">
        <w:t xml:space="preserve"> may grant a fishing vessel permit provided that the foreign vessel</w:t>
      </w:r>
      <w:r>
        <w:t>'</w:t>
      </w:r>
      <w:r w:rsidRPr="00615E45">
        <w:t xml:space="preserve">s activities do not </w:t>
      </w:r>
      <w:r>
        <w:t>harm</w:t>
      </w:r>
      <w:r w:rsidRPr="00615E45">
        <w:t xml:space="preserve"> Dominican fishing interests. Foreign vessels allowed to operate in Dominican</w:t>
      </w:r>
      <w:r>
        <w:t> </w:t>
      </w:r>
      <w:r w:rsidRPr="00615E45">
        <w:t>waters must respect the applicable fisheries management measures.</w:t>
      </w:r>
      <w:r w:rsidRPr="00615E45">
        <w:rPr>
          <w:rStyle w:val="FootnoteReference"/>
        </w:rPr>
        <w:footnoteReference w:id="370"/>
      </w:r>
    </w:p>
    <w:p w14:paraId="33D2B7D7" w14:textId="77777777" w:rsidR="00EB7374" w:rsidRPr="00615E45" w:rsidRDefault="00EB7374" w:rsidP="00C80D98">
      <w:pPr>
        <w:pStyle w:val="BodyText"/>
      </w:pPr>
      <w:proofErr w:type="spellStart"/>
      <w:r w:rsidRPr="00615E45">
        <w:t>CODOPESCA</w:t>
      </w:r>
      <w:proofErr w:type="spellEnd"/>
      <w:r w:rsidRPr="00615E45">
        <w:t xml:space="preserve"> must maintain an up-to-date register of fishing activities carried out in the country, </w:t>
      </w:r>
      <w:r>
        <w:t>which includes</w:t>
      </w:r>
      <w:r w:rsidRPr="00615E45">
        <w:t xml:space="preserve"> </w:t>
      </w:r>
      <w:r>
        <w:t xml:space="preserve">details of </w:t>
      </w:r>
      <w:r w:rsidRPr="00615E45">
        <w:t xml:space="preserve">fishing licence holders, vessels </w:t>
      </w:r>
      <w:r>
        <w:t>with a</w:t>
      </w:r>
      <w:r w:rsidRPr="00615E45">
        <w:t xml:space="preserve"> vessel permit and foreign vessels authorized to operate in the waters of the Dominican Republic.</w:t>
      </w:r>
      <w:r w:rsidRPr="00615E45">
        <w:rPr>
          <w:rStyle w:val="FootnoteReference"/>
        </w:rPr>
        <w:footnoteReference w:id="371"/>
      </w:r>
    </w:p>
    <w:p w14:paraId="35E388D3" w14:textId="77777777" w:rsidR="00EB7374" w:rsidRPr="00615E45" w:rsidRDefault="00EB7374" w:rsidP="00C80D98">
      <w:pPr>
        <w:pStyle w:val="BodyText"/>
      </w:pPr>
      <w:r w:rsidRPr="00615E45">
        <w:t>According to the 2019 National Fisheries Census, compliance with these requirements by</w:t>
      </w:r>
      <w:r>
        <w:t> </w:t>
      </w:r>
      <w:r w:rsidRPr="00615E45">
        <w:t>Dominican fish</w:t>
      </w:r>
      <w:r>
        <w:t xml:space="preserve">ers </w:t>
      </w:r>
      <w:r w:rsidRPr="00615E45">
        <w:t xml:space="preserve">and </w:t>
      </w:r>
      <w:r>
        <w:t xml:space="preserve">boat </w:t>
      </w:r>
      <w:r w:rsidRPr="00615E45">
        <w:t>owners is far from optimal. Of the 1,573 vessels declared, only</w:t>
      </w:r>
      <w:r>
        <w:t> </w:t>
      </w:r>
      <w:r w:rsidRPr="00615E45">
        <w:t>445</w:t>
      </w:r>
      <w:r>
        <w:t> </w:t>
      </w:r>
      <w:r w:rsidRPr="00615E45">
        <w:t>(28.29%) were licensed for fishing and 38% were unregistered. In the case of fishing licences, only 1,215 persons (barely 8.32%) were licensed.</w:t>
      </w:r>
      <w:r w:rsidRPr="00615E45">
        <w:rPr>
          <w:rStyle w:val="FootnoteReference"/>
        </w:rPr>
        <w:footnoteReference w:id="372"/>
      </w:r>
    </w:p>
    <w:p w14:paraId="7504D8B2" w14:textId="77777777" w:rsidR="00EB7374" w:rsidRPr="00615E45" w:rsidRDefault="00EB7374" w:rsidP="00C80D98">
      <w:pPr>
        <w:pStyle w:val="BodyText"/>
      </w:pPr>
      <w:r w:rsidRPr="00615E45">
        <w:lastRenderedPageBreak/>
        <w:t xml:space="preserve">In addition to the above-mentioned requirements, natural and legal persons engaged in </w:t>
      </w:r>
      <w:r>
        <w:t>fishing</w:t>
      </w:r>
      <w:r w:rsidRPr="00615E45">
        <w:t xml:space="preserve"> must comply with all established conservation measures (restricted or prohibited areas, catch limitations, protected species and specimens, and prohibited fishing gear and equipment), declare the species and quantities caught to the authorities ashore, comply with all fishing safety measures set by </w:t>
      </w:r>
      <w:proofErr w:type="spellStart"/>
      <w:r w:rsidRPr="00615E45">
        <w:t>CODOPESCA</w:t>
      </w:r>
      <w:proofErr w:type="spellEnd"/>
      <w:r w:rsidRPr="00615E45">
        <w:t xml:space="preserve"> and not contaminate waters, coastal areas and the environment in general.</w:t>
      </w:r>
      <w:r w:rsidRPr="00615E45">
        <w:rPr>
          <w:rStyle w:val="FootnoteReference"/>
        </w:rPr>
        <w:footnoteReference w:id="373"/>
      </w:r>
    </w:p>
    <w:p w14:paraId="55FA20E5" w14:textId="77777777" w:rsidR="00EB7374" w:rsidRPr="00615E45" w:rsidRDefault="00EB7374" w:rsidP="00C80D98">
      <w:pPr>
        <w:pStyle w:val="BodyText"/>
      </w:pPr>
      <w:r w:rsidRPr="00615E45">
        <w:t>In 2019, aquaculture accounted for 14% of the sector</w:t>
      </w:r>
      <w:r>
        <w:t>'</w:t>
      </w:r>
      <w:r w:rsidRPr="00615E45">
        <w:t>s total production.</w:t>
      </w:r>
      <w:r w:rsidRPr="00615E45">
        <w:rPr>
          <w:rStyle w:val="FootnoteReference"/>
        </w:rPr>
        <w:footnoteReference w:id="374"/>
      </w:r>
      <w:r w:rsidRPr="00615E45">
        <w:t xml:space="preserve"> </w:t>
      </w:r>
      <w:r>
        <w:t xml:space="preserve">Authorization from </w:t>
      </w:r>
      <w:proofErr w:type="spellStart"/>
      <w:r w:rsidRPr="00615E45">
        <w:t>CODOPESCA</w:t>
      </w:r>
      <w:proofErr w:type="spellEnd"/>
      <w:r w:rsidRPr="00615E45">
        <w:t xml:space="preserve"> is</w:t>
      </w:r>
      <w:r>
        <w:t xml:space="preserve"> also</w:t>
      </w:r>
      <w:r w:rsidRPr="00615E45">
        <w:t xml:space="preserve"> required to engage in aquaculture. If the activity is carried out in an area that is publicly owned, a concession is required</w:t>
      </w:r>
      <w:r>
        <w:t xml:space="preserve"> as well</w:t>
      </w:r>
      <w:r w:rsidRPr="00615E45">
        <w:t xml:space="preserve">. Applications for authorization must include an environmental assessment specifically identifying the possible environmental impact. Such authorization is not granted in cases where the activity is intended to be carried out in a special protection area or an area declared to be of special interest by the </w:t>
      </w:r>
      <w:r>
        <w:t>G</w:t>
      </w:r>
      <w:r w:rsidRPr="00615E45">
        <w:t>overnment.</w:t>
      </w:r>
      <w:r w:rsidRPr="00615E45">
        <w:rPr>
          <w:rStyle w:val="FootnoteReference"/>
        </w:rPr>
        <w:footnoteReference w:id="375"/>
      </w:r>
      <w:r w:rsidRPr="00615E45">
        <w:t xml:space="preserve"> The authorization may be revoked in the event of non-compliance with the conditions by the fish farmer or if necessary to </w:t>
      </w:r>
      <w:r>
        <w:t>protect</w:t>
      </w:r>
      <w:r w:rsidRPr="00615E45">
        <w:t xml:space="preserve"> the environment.</w:t>
      </w:r>
      <w:r w:rsidRPr="00615E45">
        <w:rPr>
          <w:rStyle w:val="FootnoteReference"/>
        </w:rPr>
        <w:footnoteReference w:id="376"/>
      </w:r>
      <w:r w:rsidRPr="00615E45">
        <w:t xml:space="preserve"> </w:t>
      </w:r>
      <w:proofErr w:type="spellStart"/>
      <w:r w:rsidRPr="00615E45">
        <w:t>CODOPESCA</w:t>
      </w:r>
      <w:proofErr w:type="spellEnd"/>
      <w:r w:rsidRPr="00615E45">
        <w:t xml:space="preserve"> keeps an up-to-date register of the aquaculture facilities authorized to operate.</w:t>
      </w:r>
      <w:r w:rsidRPr="00615E45">
        <w:rPr>
          <w:rStyle w:val="FootnoteReference"/>
        </w:rPr>
        <w:footnoteReference w:id="377"/>
      </w:r>
    </w:p>
    <w:p w14:paraId="77CCD152" w14:textId="77777777" w:rsidR="00EB7374" w:rsidRPr="00615E45" w:rsidRDefault="00EB7374" w:rsidP="00C80D98">
      <w:pPr>
        <w:pStyle w:val="BodyText"/>
      </w:pPr>
      <w:r w:rsidRPr="00615E45">
        <w:t>Fishery and aquaculture products can be imported, provided that domestic production does not meet domestic demand, trade in the products in question is legal in the country,</w:t>
      </w:r>
      <w:r w:rsidRPr="00615E45">
        <w:rPr>
          <w:rStyle w:val="FootnoteReference"/>
        </w:rPr>
        <w:footnoteReference w:id="378"/>
      </w:r>
      <w:r w:rsidRPr="00615E45">
        <w:t xml:space="preserve"> the competent health and customs bodies have authorized the import</w:t>
      </w:r>
      <w:r>
        <w:t>,</w:t>
      </w:r>
      <w:r w:rsidRPr="00615E45">
        <w:t xml:space="preserve"> and the importer has paid the corresponding fees and obtained the </w:t>
      </w:r>
      <w:proofErr w:type="spellStart"/>
      <w:r w:rsidRPr="00615E45">
        <w:t>CODOPESCA</w:t>
      </w:r>
      <w:proofErr w:type="spellEnd"/>
      <w:r w:rsidRPr="00615E45">
        <w:t xml:space="preserve"> </w:t>
      </w:r>
      <w:r>
        <w:t>n</w:t>
      </w:r>
      <w:r w:rsidRPr="00615E45">
        <w:t>o-</w:t>
      </w:r>
      <w:r>
        <w:t>o</w:t>
      </w:r>
      <w:r w:rsidRPr="00615E45">
        <w:t xml:space="preserve">bjection </w:t>
      </w:r>
      <w:r>
        <w:t>c</w:t>
      </w:r>
      <w:r w:rsidRPr="00615E45">
        <w:t>ertificate.</w:t>
      </w:r>
      <w:r w:rsidRPr="00615E45">
        <w:rPr>
          <w:rStyle w:val="FootnoteReference"/>
        </w:rPr>
        <w:footnoteReference w:id="379"/>
      </w:r>
      <w:r w:rsidRPr="00615E45">
        <w:t xml:space="preserve"> Imports of all fishery products, whether processed or not, are subject to an </w:t>
      </w:r>
      <w:r w:rsidRPr="00615E45">
        <w:rPr>
          <w:i/>
          <w:iCs/>
        </w:rPr>
        <w:t>ad valorem</w:t>
      </w:r>
      <w:r w:rsidRPr="00615E45">
        <w:t xml:space="preserve"> tax of 0.5%, which is used to finance </w:t>
      </w:r>
      <w:proofErr w:type="spellStart"/>
      <w:r w:rsidRPr="00615E45">
        <w:t>CODOPESCA</w:t>
      </w:r>
      <w:proofErr w:type="spellEnd"/>
      <w:r w:rsidRPr="00615E45">
        <w:t xml:space="preserve"> activities. In exceptional cases, </w:t>
      </w:r>
      <w:r>
        <w:t>if</w:t>
      </w:r>
      <w:r w:rsidRPr="00615E45">
        <w:t xml:space="preserve"> </w:t>
      </w:r>
      <w:proofErr w:type="spellStart"/>
      <w:r w:rsidRPr="00615E45">
        <w:t>CODOPESCA</w:t>
      </w:r>
      <w:proofErr w:type="spellEnd"/>
      <w:r w:rsidRPr="00615E45">
        <w:t xml:space="preserve"> does not object, the </w:t>
      </w:r>
      <w:r>
        <w:t>Executive</w:t>
      </w:r>
      <w:r w:rsidRPr="00615E45">
        <w:t xml:space="preserve"> may </w:t>
      </w:r>
      <w:r>
        <w:t>waive payment of these taxes</w:t>
      </w:r>
      <w:r w:rsidRPr="00615E45">
        <w:t xml:space="preserve">. Inputs (food, hormones, lines, hooks, refrigeration equipment, engines, etc.) used in fisheries and aquaculture are free of import duty, </w:t>
      </w:r>
      <w:r>
        <w:t>as long as</w:t>
      </w:r>
      <w:r w:rsidRPr="00615E45">
        <w:t xml:space="preserve"> the fish farmers or </w:t>
      </w:r>
      <w:r>
        <w:t>fishers</w:t>
      </w:r>
      <w:r w:rsidRPr="00615E45">
        <w:t xml:space="preserve"> are registered with </w:t>
      </w:r>
      <w:proofErr w:type="spellStart"/>
      <w:r w:rsidRPr="00615E45">
        <w:t>CODOPESCA</w:t>
      </w:r>
      <w:proofErr w:type="spellEnd"/>
      <w:r w:rsidRPr="00615E45">
        <w:t xml:space="preserve"> or research centres.</w:t>
      </w:r>
      <w:r w:rsidRPr="00615E45">
        <w:rPr>
          <w:rStyle w:val="FootnoteReference"/>
        </w:rPr>
        <w:footnoteReference w:id="380"/>
      </w:r>
    </w:p>
    <w:p w14:paraId="078738B8" w14:textId="77777777" w:rsidR="00EB7374" w:rsidRPr="00615E45" w:rsidRDefault="00EB7374" w:rsidP="00C80D98">
      <w:pPr>
        <w:pStyle w:val="BodyText"/>
      </w:pPr>
      <w:r w:rsidRPr="00615E45">
        <w:t>Fishery products can be exported, provided that trade in the products in question is legal in the country, the health and customs bodies and the Dominican Republic Export and Investment Centr</w:t>
      </w:r>
      <w:r>
        <w:t>e</w:t>
      </w:r>
      <w:r w:rsidRPr="00615E45">
        <w:t> (</w:t>
      </w:r>
      <w:proofErr w:type="spellStart"/>
      <w:r w:rsidRPr="00615E45">
        <w:t>CEI</w:t>
      </w:r>
      <w:proofErr w:type="spellEnd"/>
      <w:r w:rsidRPr="00615E45">
        <w:t>-RD) have authorized the export</w:t>
      </w:r>
      <w:r>
        <w:t>,</w:t>
      </w:r>
      <w:r w:rsidRPr="00615E45">
        <w:t xml:space="preserve"> and the exporter has paid the applicable fees and obtained the </w:t>
      </w:r>
      <w:proofErr w:type="spellStart"/>
      <w:r w:rsidRPr="00615E45">
        <w:t>CODOPESCA</w:t>
      </w:r>
      <w:proofErr w:type="spellEnd"/>
      <w:r w:rsidRPr="00615E45">
        <w:t xml:space="preserve"> </w:t>
      </w:r>
      <w:r>
        <w:t>n</w:t>
      </w:r>
      <w:r w:rsidRPr="00615E45">
        <w:t>o-</w:t>
      </w:r>
      <w:r>
        <w:t>o</w:t>
      </w:r>
      <w:r w:rsidRPr="00615E45">
        <w:t xml:space="preserve">bjection </w:t>
      </w:r>
      <w:r>
        <w:t>c</w:t>
      </w:r>
      <w:r w:rsidRPr="00615E45">
        <w:t>ertificate.</w:t>
      </w:r>
      <w:r w:rsidRPr="00615E45">
        <w:rPr>
          <w:rStyle w:val="FootnoteReference"/>
        </w:rPr>
        <w:footnoteReference w:id="381"/>
      </w:r>
      <w:r w:rsidRPr="00615E45">
        <w:t xml:space="preserve"> Exports of fish in </w:t>
      </w:r>
      <w:r>
        <w:t>their</w:t>
      </w:r>
      <w:r w:rsidRPr="00615E45">
        <w:t xml:space="preserve"> natural state are subject to an </w:t>
      </w:r>
      <w:r w:rsidRPr="00615E45">
        <w:rPr>
          <w:i/>
          <w:iCs/>
        </w:rPr>
        <w:t>ad valorem</w:t>
      </w:r>
      <w:r w:rsidRPr="00615E45">
        <w:t xml:space="preserve"> tax of 0.5% and exports of molluscs and crustaceans in their natural state</w:t>
      </w:r>
      <w:r>
        <w:t>,</w:t>
      </w:r>
      <w:r w:rsidRPr="00615E45">
        <w:t xml:space="preserve"> to an</w:t>
      </w:r>
      <w:r w:rsidRPr="00615E45">
        <w:rPr>
          <w:i/>
          <w:iCs/>
        </w:rPr>
        <w:t xml:space="preserve"> ad valorem</w:t>
      </w:r>
      <w:r w:rsidRPr="00615E45">
        <w:t xml:space="preserve"> tax of 5%. Aquaculture products and processed fish and shellfish</w:t>
      </w:r>
      <w:r w:rsidRPr="00615E45">
        <w:rPr>
          <w:rStyle w:val="FootnoteReference"/>
        </w:rPr>
        <w:footnoteReference w:id="382"/>
      </w:r>
      <w:r w:rsidRPr="00615E45">
        <w:t xml:space="preserve"> are free of export tax.</w:t>
      </w:r>
      <w:r w:rsidRPr="00615E45">
        <w:rPr>
          <w:rStyle w:val="FootnoteReference"/>
        </w:rPr>
        <w:footnoteReference w:id="383"/>
      </w:r>
      <w:r w:rsidRPr="00615E45">
        <w:t xml:space="preserve"> As an incentive to produce and export, commercially produced aquaculture or sea</w:t>
      </w:r>
      <w:r>
        <w:noBreakHyphen/>
      </w:r>
      <w:r w:rsidRPr="00615E45">
        <w:t>farming products are free of tax for five years</w:t>
      </w:r>
      <w:r>
        <w:t>,</w:t>
      </w:r>
      <w:r w:rsidRPr="00615E45">
        <w:t xml:space="preserve"> and fish caught at sea, if </w:t>
      </w:r>
      <w:r>
        <w:t>they</w:t>
      </w:r>
      <w:r w:rsidRPr="00615E45">
        <w:t xml:space="preserve"> receive value added, </w:t>
      </w:r>
      <w:r>
        <w:t>are</w:t>
      </w:r>
      <w:r w:rsidRPr="00615E45">
        <w:t xml:space="preserve"> free of tax for three years.</w:t>
      </w:r>
      <w:r w:rsidRPr="00615E45">
        <w:rPr>
          <w:rStyle w:val="FootnoteReference"/>
        </w:rPr>
        <w:footnoteReference w:id="384"/>
      </w:r>
    </w:p>
    <w:p w14:paraId="69979D1E" w14:textId="77777777" w:rsidR="00EB7374" w:rsidRPr="00615E45" w:rsidRDefault="00EB7374" w:rsidP="00C80D98">
      <w:pPr>
        <w:pStyle w:val="BodyText"/>
      </w:pPr>
      <w:r w:rsidRPr="00615E45">
        <w:t>Fishery resources can be marketed by natural and legal persons domiciled in the Dominican</w:t>
      </w:r>
      <w:r>
        <w:t> </w:t>
      </w:r>
      <w:r w:rsidRPr="00615E45">
        <w:t>Republic, provided that such resources were legally obtained, comply with the relevant quality and health standards, are brought ashore and are marketed in the country.</w:t>
      </w:r>
      <w:r w:rsidRPr="00615E45">
        <w:rPr>
          <w:rStyle w:val="FootnoteReference"/>
        </w:rPr>
        <w:footnoteReference w:id="385"/>
      </w:r>
      <w:r w:rsidRPr="00615E45">
        <w:t xml:space="preserve"> Foreign operators therefore cannot market them, unless they are domiciled in the Dominican Republic. In March 2021, </w:t>
      </w:r>
      <w:proofErr w:type="spellStart"/>
      <w:r w:rsidRPr="00615E45">
        <w:t>CODOPESCA</w:t>
      </w:r>
      <w:proofErr w:type="spellEnd"/>
      <w:r w:rsidRPr="00615E45">
        <w:t xml:space="preserve"> submitted the </w:t>
      </w:r>
      <w:r>
        <w:t>"</w:t>
      </w:r>
      <w:r w:rsidRPr="00615E45">
        <w:t>National Plan for the Registration of Fish</w:t>
      </w:r>
      <w:r>
        <w:t>ery</w:t>
      </w:r>
      <w:r w:rsidRPr="00615E45">
        <w:t xml:space="preserve"> and Aquaculture Product Marketers.</w:t>
      </w:r>
      <w:r>
        <w:t>"</w:t>
      </w:r>
      <w:r w:rsidRPr="00615E45">
        <w:rPr>
          <w:rStyle w:val="FootnoteReference"/>
        </w:rPr>
        <w:footnoteReference w:id="386"/>
      </w:r>
    </w:p>
    <w:p w14:paraId="78738387" w14:textId="77777777" w:rsidR="00EB7374" w:rsidRPr="00615E45" w:rsidRDefault="00EB7374" w:rsidP="00C80D98">
      <w:pPr>
        <w:pStyle w:val="BodyText"/>
      </w:pPr>
      <w:r w:rsidRPr="00615E45">
        <w:t xml:space="preserve">4.43. Dominican legislation provides for various fisheries management measures aimed at preserving fishery resources (Box 4.1). Responsibility for most of these measures falls to </w:t>
      </w:r>
      <w:proofErr w:type="spellStart"/>
      <w:r w:rsidRPr="00615E45">
        <w:lastRenderedPageBreak/>
        <w:t>CODOPESCA</w:t>
      </w:r>
      <w:proofErr w:type="spellEnd"/>
      <w:r w:rsidRPr="00615E45">
        <w:t>, which is also in charge of monitoring compliance with such measures, with the support of the police, the Navy and civil society.</w:t>
      </w:r>
      <w:r w:rsidRPr="00615E45">
        <w:rPr>
          <w:rStyle w:val="FootnoteReference"/>
        </w:rPr>
        <w:footnoteReference w:id="387"/>
      </w:r>
      <w:bookmarkStart w:id="320" w:name="_Toc114735860"/>
    </w:p>
    <w:p w14:paraId="0289C703" w14:textId="77777777" w:rsidR="00EB7374" w:rsidRPr="00615E45" w:rsidRDefault="00EB7374" w:rsidP="00D00827">
      <w:pPr>
        <w:pStyle w:val="Caption"/>
      </w:pPr>
      <w:bookmarkStart w:id="321" w:name="_Toc117238078"/>
      <w:r>
        <w:t xml:space="preserve">Box </w:t>
      </w:r>
      <w:r w:rsidR="00BD37F2">
        <w:fldChar w:fldCharType="begin"/>
      </w:r>
      <w:r w:rsidR="00BD37F2">
        <w:instrText xml:space="preserve"> STYLEREF 1 \s </w:instrText>
      </w:r>
      <w:r w:rsidR="00BD37F2">
        <w:fldChar w:fldCharType="separate"/>
      </w:r>
      <w:r>
        <w:rPr>
          <w:noProof/>
        </w:rPr>
        <w:t>4</w:t>
      </w:r>
      <w:r w:rsidR="00BD37F2">
        <w:rPr>
          <w:noProof/>
        </w:rPr>
        <w:fldChar w:fldCharType="end"/>
      </w:r>
      <w:r>
        <w:t>.</w:t>
      </w:r>
      <w:r w:rsidR="00BD37F2">
        <w:fldChar w:fldCharType="begin"/>
      </w:r>
      <w:r w:rsidR="00BD37F2">
        <w:instrText xml:space="preserve"> SEQ Box \* ARABIC \s 1 </w:instrText>
      </w:r>
      <w:r w:rsidR="00BD37F2">
        <w:fldChar w:fldCharType="separate"/>
      </w:r>
      <w:r>
        <w:rPr>
          <w:noProof/>
        </w:rPr>
        <w:t>1</w:t>
      </w:r>
      <w:r w:rsidR="00BD37F2">
        <w:rPr>
          <w:noProof/>
        </w:rPr>
        <w:fldChar w:fldCharType="end"/>
      </w:r>
      <w:r>
        <w:t xml:space="preserve"> </w:t>
      </w:r>
      <w:proofErr w:type="spellStart"/>
      <w:r w:rsidRPr="00615E45">
        <w:t>CODOPESCA</w:t>
      </w:r>
      <w:proofErr w:type="spellEnd"/>
      <w:r w:rsidRPr="00615E45">
        <w:t xml:space="preserve"> measures for the preservation of fishery resources</w:t>
      </w:r>
      <w:bookmarkEnd w:id="320"/>
      <w:bookmarkEnd w:id="321"/>
    </w:p>
    <w:tbl>
      <w:tblPr>
        <w:tblStyle w:val="WTOBox1"/>
        <w:tblW w:w="0" w:type="auto"/>
        <w:tblLook w:val="04A0" w:firstRow="1" w:lastRow="0" w:firstColumn="1" w:lastColumn="0" w:noHBand="0" w:noVBand="1"/>
      </w:tblPr>
      <w:tblGrid>
        <w:gridCol w:w="9016"/>
      </w:tblGrid>
      <w:tr w:rsidR="00EB7374" w:rsidRPr="00615E45" w14:paraId="29C18B5E" w14:textId="77777777" w:rsidTr="00C700EB">
        <w:tc>
          <w:tcPr>
            <w:tcW w:w="9016" w:type="dxa"/>
          </w:tcPr>
          <w:p w14:paraId="7AA46007" w14:textId="77777777" w:rsidR="00EB7374" w:rsidRPr="00F7684D" w:rsidRDefault="00EB7374" w:rsidP="00C700EB">
            <w:pPr>
              <w:spacing w:after="120"/>
              <w:jc w:val="left"/>
              <w:rPr>
                <w:sz w:val="15"/>
                <w:szCs w:val="15"/>
              </w:rPr>
            </w:pPr>
            <w:proofErr w:type="spellStart"/>
            <w:r w:rsidRPr="00F7684D">
              <w:rPr>
                <w:sz w:val="15"/>
              </w:rPr>
              <w:t>CODOPESCA</w:t>
            </w:r>
            <w:r>
              <w:rPr>
                <w:sz w:val="15"/>
              </w:rPr>
              <w:t>'</w:t>
            </w:r>
            <w:r w:rsidRPr="00F7684D">
              <w:rPr>
                <w:sz w:val="15"/>
              </w:rPr>
              <w:t>s</w:t>
            </w:r>
            <w:proofErr w:type="spellEnd"/>
            <w:r w:rsidRPr="00F7684D">
              <w:rPr>
                <w:sz w:val="15"/>
              </w:rPr>
              <w:t xml:space="preserve"> fishery resource preservation powers include:</w:t>
            </w:r>
          </w:p>
          <w:p w14:paraId="0F04F79E" w14:textId="77777777" w:rsidR="00EB7374" w:rsidRPr="00F7684D" w:rsidRDefault="00EB7374" w:rsidP="00C23180">
            <w:pPr>
              <w:ind w:left="357" w:hanging="357"/>
              <w:jc w:val="left"/>
              <w:rPr>
                <w:sz w:val="15"/>
                <w:szCs w:val="15"/>
              </w:rPr>
            </w:pPr>
            <w:r w:rsidRPr="00F7684D">
              <w:rPr>
                <w:rFonts w:ascii="Symbol" w:hAnsi="Symbol"/>
                <w:sz w:val="15"/>
                <w:szCs w:val="15"/>
              </w:rPr>
              <w:t></w:t>
            </w:r>
            <w:r w:rsidRPr="00F7684D">
              <w:rPr>
                <w:rFonts w:ascii="Symbol" w:hAnsi="Symbol"/>
                <w:sz w:val="15"/>
              </w:rPr>
              <w:tab/>
            </w:r>
            <w:r w:rsidRPr="00F7684D">
              <w:rPr>
                <w:sz w:val="15"/>
              </w:rPr>
              <w:t>requesting that the Executive create fishery reserve areas in waters under Dominican jurisdiction;</w:t>
            </w:r>
          </w:p>
          <w:p w14:paraId="4C9C1162" w14:textId="77777777" w:rsidR="00EB7374" w:rsidRPr="00F7684D" w:rsidRDefault="00EB7374" w:rsidP="00C23180">
            <w:pPr>
              <w:ind w:left="357" w:hanging="357"/>
              <w:jc w:val="left"/>
              <w:rPr>
                <w:sz w:val="15"/>
                <w:szCs w:val="15"/>
              </w:rPr>
            </w:pPr>
            <w:r w:rsidRPr="00F7684D">
              <w:rPr>
                <w:rFonts w:ascii="Symbol" w:hAnsi="Symbol"/>
                <w:sz w:val="15"/>
                <w:szCs w:val="15"/>
              </w:rPr>
              <w:t></w:t>
            </w:r>
            <w:r w:rsidRPr="00F7684D">
              <w:rPr>
                <w:rFonts w:ascii="Symbol" w:hAnsi="Symbol"/>
                <w:sz w:val="15"/>
              </w:rPr>
              <w:tab/>
            </w:r>
            <w:r w:rsidRPr="00F7684D">
              <w:rPr>
                <w:sz w:val="15"/>
              </w:rPr>
              <w:t>limiting the fishing effort and establishing the total allowable catch (TAC) to prevent overexploitation;</w:t>
            </w:r>
          </w:p>
          <w:p w14:paraId="1A53C428" w14:textId="77777777" w:rsidR="00EB7374" w:rsidRPr="00741C50" w:rsidRDefault="00EB7374" w:rsidP="00C23180">
            <w:pPr>
              <w:ind w:left="357" w:hanging="357"/>
              <w:jc w:val="left"/>
              <w:rPr>
                <w:sz w:val="15"/>
                <w:szCs w:val="15"/>
              </w:rPr>
            </w:pPr>
            <w:r w:rsidRPr="00F7684D">
              <w:rPr>
                <w:rFonts w:ascii="Symbol" w:hAnsi="Symbol"/>
                <w:sz w:val="15"/>
                <w:szCs w:val="15"/>
              </w:rPr>
              <w:t></w:t>
            </w:r>
            <w:r w:rsidRPr="00F7684D">
              <w:rPr>
                <w:rFonts w:ascii="Symbol" w:hAnsi="Symbol"/>
                <w:sz w:val="15"/>
              </w:rPr>
              <w:tab/>
            </w:r>
            <w:r w:rsidRPr="00F7684D">
              <w:rPr>
                <w:sz w:val="15"/>
              </w:rPr>
              <w:t xml:space="preserve">prohibiting the unauthorized exploitation of fishery resources </w:t>
            </w:r>
            <w:r>
              <w:rPr>
                <w:sz w:val="15"/>
              </w:rPr>
              <w:t>where</w:t>
            </w:r>
            <w:r w:rsidRPr="00A7172D">
              <w:rPr>
                <w:sz w:val="15"/>
              </w:rPr>
              <w:t xml:space="preserve"> appropriate</w:t>
            </w:r>
            <w:r w:rsidRPr="00F7684D">
              <w:rPr>
                <w:sz w:val="15"/>
              </w:rPr>
              <w:t>;</w:t>
            </w:r>
          </w:p>
          <w:p w14:paraId="1A98E70F" w14:textId="77777777" w:rsidR="00EB7374" w:rsidRPr="00F7684D" w:rsidRDefault="00EB7374" w:rsidP="00C23180">
            <w:pPr>
              <w:ind w:left="357" w:hanging="357"/>
              <w:jc w:val="left"/>
              <w:rPr>
                <w:sz w:val="15"/>
                <w:szCs w:val="15"/>
              </w:rPr>
            </w:pPr>
            <w:r w:rsidRPr="00A7172D">
              <w:rPr>
                <w:rFonts w:ascii="Symbol" w:hAnsi="Symbol"/>
                <w:sz w:val="15"/>
                <w:szCs w:val="15"/>
              </w:rPr>
              <w:t></w:t>
            </w:r>
            <w:r w:rsidRPr="00F7684D">
              <w:rPr>
                <w:rFonts w:ascii="Symbol" w:hAnsi="Symbol"/>
                <w:sz w:val="15"/>
              </w:rPr>
              <w:tab/>
            </w:r>
            <w:r w:rsidRPr="00F7684D">
              <w:rPr>
                <w:sz w:val="15"/>
              </w:rPr>
              <w:t xml:space="preserve">establishing the catch and closed </w:t>
            </w:r>
            <w:proofErr w:type="spellStart"/>
            <w:r w:rsidRPr="00F7684D">
              <w:rPr>
                <w:sz w:val="15"/>
              </w:rPr>
              <w:t>season;</w:t>
            </w:r>
            <w:r w:rsidRPr="00F7684D">
              <w:rPr>
                <w:sz w:val="15"/>
                <w:vertAlign w:val="superscript"/>
              </w:rPr>
              <w:t>a</w:t>
            </w:r>
            <w:proofErr w:type="spellEnd"/>
          </w:p>
          <w:p w14:paraId="76E4EA96" w14:textId="77777777" w:rsidR="00EB7374" w:rsidRPr="00F7684D" w:rsidRDefault="00EB7374" w:rsidP="00C23180">
            <w:pPr>
              <w:ind w:left="357" w:hanging="357"/>
              <w:jc w:val="left"/>
              <w:rPr>
                <w:sz w:val="15"/>
                <w:szCs w:val="15"/>
              </w:rPr>
            </w:pPr>
            <w:r w:rsidRPr="00F7684D">
              <w:rPr>
                <w:rFonts w:ascii="Symbol" w:hAnsi="Symbol"/>
                <w:sz w:val="15"/>
                <w:szCs w:val="15"/>
              </w:rPr>
              <w:t></w:t>
            </w:r>
            <w:r w:rsidRPr="00F7684D">
              <w:rPr>
                <w:rFonts w:ascii="Symbol" w:hAnsi="Symbol"/>
                <w:sz w:val="15"/>
              </w:rPr>
              <w:tab/>
            </w:r>
            <w:r w:rsidRPr="00F7684D">
              <w:rPr>
                <w:sz w:val="15"/>
              </w:rPr>
              <w:t>limiting specimen size and catch quantity;</w:t>
            </w:r>
          </w:p>
          <w:p w14:paraId="470868EA" w14:textId="77777777" w:rsidR="00EB7374" w:rsidRPr="00F7684D" w:rsidRDefault="00EB7374" w:rsidP="00C23180">
            <w:pPr>
              <w:ind w:left="357" w:hanging="357"/>
              <w:jc w:val="left"/>
              <w:rPr>
                <w:sz w:val="15"/>
                <w:szCs w:val="15"/>
              </w:rPr>
            </w:pPr>
            <w:r w:rsidRPr="00F7684D">
              <w:rPr>
                <w:rFonts w:ascii="Symbol" w:hAnsi="Symbol"/>
                <w:sz w:val="15"/>
                <w:szCs w:val="15"/>
              </w:rPr>
              <w:t></w:t>
            </w:r>
            <w:r w:rsidRPr="00F7684D">
              <w:rPr>
                <w:rFonts w:ascii="Symbol" w:hAnsi="Symbol"/>
                <w:sz w:val="15"/>
              </w:rPr>
              <w:tab/>
            </w:r>
            <w:r w:rsidRPr="00F7684D">
              <w:rPr>
                <w:sz w:val="15"/>
              </w:rPr>
              <w:t xml:space="preserve">granting catch licences for lobster and </w:t>
            </w:r>
            <w:proofErr w:type="spellStart"/>
            <w:r w:rsidRPr="00F7684D">
              <w:rPr>
                <w:sz w:val="15"/>
              </w:rPr>
              <w:t>lambi</w:t>
            </w:r>
            <w:proofErr w:type="spellEnd"/>
            <w:r w:rsidRPr="00F7684D">
              <w:rPr>
                <w:sz w:val="15"/>
              </w:rPr>
              <w:t xml:space="preserve"> and for ornamental species; and</w:t>
            </w:r>
          </w:p>
          <w:p w14:paraId="28ADAC8E" w14:textId="77777777" w:rsidR="00EB7374" w:rsidRPr="00615E45" w:rsidRDefault="00EB7374" w:rsidP="00C23180">
            <w:pPr>
              <w:ind w:left="357" w:hanging="357"/>
              <w:jc w:val="left"/>
              <w:rPr>
                <w:sz w:val="15"/>
                <w:szCs w:val="15"/>
              </w:rPr>
            </w:pPr>
            <w:r w:rsidRPr="00F7684D">
              <w:rPr>
                <w:rFonts w:ascii="Symbol" w:hAnsi="Symbol"/>
                <w:sz w:val="15"/>
                <w:szCs w:val="15"/>
              </w:rPr>
              <w:t></w:t>
            </w:r>
            <w:r w:rsidRPr="00F7684D">
              <w:rPr>
                <w:rFonts w:ascii="Symbol" w:hAnsi="Symbol"/>
                <w:sz w:val="15"/>
              </w:rPr>
              <w:tab/>
            </w:r>
            <w:r w:rsidRPr="00F7684D">
              <w:rPr>
                <w:sz w:val="15"/>
              </w:rPr>
              <w:t>authorizing any extraction of any aquatic resource not intended for human consumption.</w:t>
            </w:r>
          </w:p>
        </w:tc>
      </w:tr>
    </w:tbl>
    <w:p w14:paraId="010C6F71" w14:textId="77777777" w:rsidR="00EB7374" w:rsidRPr="00615E45" w:rsidRDefault="00EB7374" w:rsidP="00B0434B">
      <w:pPr>
        <w:pStyle w:val="NoteText"/>
        <w:spacing w:before="120"/>
      </w:pPr>
      <w:r w:rsidRPr="00615E45">
        <w:t>a</w:t>
      </w:r>
      <w:r w:rsidRPr="00615E45">
        <w:tab/>
        <w:t xml:space="preserve">See, for example, Decree No. 119-12 of 14 March 2012 establishing a closed season for several species of lobster throughout the national territory; Decree No. 499-09 of 7 July 2009 establishing a closed season for </w:t>
      </w:r>
      <w:proofErr w:type="spellStart"/>
      <w:r w:rsidRPr="00615E45">
        <w:t>lambi</w:t>
      </w:r>
      <w:proofErr w:type="spellEnd"/>
      <w:r w:rsidRPr="00615E45">
        <w:t xml:space="preserve"> throughout the national territory; and Decree No. 813</w:t>
      </w:r>
      <w:r>
        <w:noBreakHyphen/>
      </w:r>
      <w:r w:rsidRPr="00615E45">
        <w:t>08 of 5 December 2008 establishing a closed season for several crab species throughout the national territory.</w:t>
      </w:r>
    </w:p>
    <w:p w14:paraId="551BF0CE" w14:textId="77777777" w:rsidR="00EB7374" w:rsidRPr="00615E45" w:rsidRDefault="00EB7374" w:rsidP="00B0434B">
      <w:pPr>
        <w:pStyle w:val="NoteText"/>
        <w:spacing w:before="120" w:after="240"/>
      </w:pPr>
      <w:r w:rsidRPr="00615E45">
        <w:t>Source:</w:t>
      </w:r>
      <w:r w:rsidRPr="00615E45">
        <w:tab/>
        <w:t>Law on Fish</w:t>
      </w:r>
      <w:r>
        <w:t>eries</w:t>
      </w:r>
      <w:r w:rsidRPr="00615E45">
        <w:t xml:space="preserve"> and Aquaculture of 3 December 2004.</w:t>
      </w:r>
    </w:p>
    <w:p w14:paraId="2BF1F5DD" w14:textId="77777777" w:rsidR="00EB7374" w:rsidRDefault="00EB7374" w:rsidP="00C80D98">
      <w:pPr>
        <w:pStyle w:val="BodyText"/>
      </w:pPr>
      <w:r w:rsidRPr="00615E45">
        <w:t xml:space="preserve">The Dominican Republic adopted the FAO Code of Conduct for Responsible Fisheries, but is not a party to the Agreement on Port State Measures, which aims to prevent, deter and eliminate illegal, unreported and unregulated (IUU) fishing. The Dominican Republic participates in the following regional </w:t>
      </w:r>
      <w:r>
        <w:t>fisheries</w:t>
      </w:r>
      <w:r w:rsidRPr="00615E45">
        <w:t xml:space="preserve"> bodies: </w:t>
      </w:r>
      <w:r>
        <w:t xml:space="preserve">the </w:t>
      </w:r>
      <w:r w:rsidRPr="00615E45">
        <w:t>Central America Fisheries and Aquaculture Organization (</w:t>
      </w:r>
      <w:proofErr w:type="spellStart"/>
      <w:r w:rsidRPr="00615E45">
        <w:t>OSPESCA</w:t>
      </w:r>
      <w:proofErr w:type="spellEnd"/>
      <w:r w:rsidRPr="00615E45">
        <w:t xml:space="preserve">); </w:t>
      </w:r>
      <w:r>
        <w:t xml:space="preserve">the </w:t>
      </w:r>
      <w:r w:rsidRPr="00615E45">
        <w:t>Commission for Small-Scale and Artisanal Fisheries and Aquaculture of Latin America and the Caribbean (</w:t>
      </w:r>
      <w:proofErr w:type="spellStart"/>
      <w:r w:rsidRPr="00615E45">
        <w:t>COPPESAALC</w:t>
      </w:r>
      <w:proofErr w:type="spellEnd"/>
      <w:r w:rsidRPr="00615E45">
        <w:t xml:space="preserve">); </w:t>
      </w:r>
      <w:r>
        <w:t xml:space="preserve">the </w:t>
      </w:r>
      <w:r w:rsidRPr="00615E45">
        <w:t>International Whaling Commission (</w:t>
      </w:r>
      <w:proofErr w:type="spellStart"/>
      <w:r w:rsidRPr="00615E45">
        <w:t>IWC</w:t>
      </w:r>
      <w:proofErr w:type="spellEnd"/>
      <w:r w:rsidRPr="00615E45">
        <w:t xml:space="preserve">); </w:t>
      </w:r>
      <w:r>
        <w:t xml:space="preserve">the </w:t>
      </w:r>
      <w:r w:rsidRPr="00615E45">
        <w:t xml:space="preserve">Aquaculture Network for the Americas (RAA); and </w:t>
      </w:r>
      <w:r>
        <w:t xml:space="preserve">the </w:t>
      </w:r>
      <w:r w:rsidRPr="00615E45">
        <w:t>Western Central Atlantic Fishery Commission (</w:t>
      </w:r>
      <w:proofErr w:type="spellStart"/>
      <w:r w:rsidRPr="00615E45">
        <w:t>WECAFC</w:t>
      </w:r>
      <w:proofErr w:type="spellEnd"/>
      <w:r w:rsidRPr="00615E45">
        <w:t>). The Dominican Republic also has a memorandum of understanding with the members of the Caribbean Regional Fisheries Mechanism.</w:t>
      </w:r>
      <w:r w:rsidRPr="00615E45">
        <w:rPr>
          <w:rStyle w:val="FootnoteReference"/>
        </w:rPr>
        <w:footnoteReference w:id="388"/>
      </w:r>
    </w:p>
    <w:p w14:paraId="7C71FB38" w14:textId="77777777" w:rsidR="00EB7374" w:rsidRPr="004572E2" w:rsidRDefault="00EB7374" w:rsidP="00C80D98">
      <w:pPr>
        <w:pStyle w:val="Heading2"/>
      </w:pPr>
      <w:bookmarkStart w:id="322" w:name="_Toc114735770"/>
      <w:bookmarkStart w:id="323" w:name="_Toc117260651"/>
      <w:r w:rsidRPr="004572E2">
        <w:t>Mining and Energy</w:t>
      </w:r>
      <w:bookmarkEnd w:id="322"/>
      <w:bookmarkEnd w:id="323"/>
    </w:p>
    <w:p w14:paraId="3BBF8EAD" w14:textId="77777777" w:rsidR="00EB7374" w:rsidRPr="004572E2" w:rsidRDefault="00EB7374" w:rsidP="00C80D98">
      <w:pPr>
        <w:pStyle w:val="Heading3"/>
      </w:pPr>
      <w:bookmarkStart w:id="324" w:name="_Toc114735771"/>
      <w:bookmarkStart w:id="325" w:name="_Toc117260652"/>
      <w:bookmarkStart w:id="326" w:name="_Toc417038532"/>
      <w:r w:rsidRPr="004572E2">
        <w:t>Mining</w:t>
      </w:r>
      <w:bookmarkEnd w:id="324"/>
      <w:bookmarkEnd w:id="325"/>
    </w:p>
    <w:p w14:paraId="3ED15C16" w14:textId="29E6BEF7" w:rsidR="00EB7374" w:rsidRPr="004572E2" w:rsidRDefault="00EB7374" w:rsidP="00C80D98">
      <w:pPr>
        <w:pStyle w:val="BodyText"/>
      </w:pPr>
      <w:r w:rsidRPr="004572E2">
        <w:t>The Dominican Republic has various non</w:t>
      </w:r>
      <w:r w:rsidRPr="004572E2">
        <w:noBreakHyphen/>
        <w:t>renewable mineral resources (bauxite, copper, iron, nickel, gold, silver and zinc) in different areas of the country.</w:t>
      </w:r>
      <w:r w:rsidRPr="004572E2">
        <w:rPr>
          <w:rStyle w:val="FootnoteReference"/>
        </w:rPr>
        <w:footnoteReference w:id="389"/>
      </w:r>
      <w:r w:rsidRPr="004572E2">
        <w:t xml:space="preserve"> In the period under review, mining accounted for 1.8</w:t>
      </w:r>
      <w:r>
        <w:t>%</w:t>
      </w:r>
      <w:r w:rsidRPr="004572E2">
        <w:t xml:space="preserve"> of the country's GDP. Historically, metal mining has focused on the production of ferronickel</w:t>
      </w:r>
      <w:r w:rsidRPr="004572E2">
        <w:rPr>
          <w:rStyle w:val="FootnoteReference"/>
        </w:rPr>
        <w:footnoteReference w:id="390"/>
      </w:r>
      <w:r w:rsidRPr="004572E2">
        <w:t>, which was the only metal produced in the country up to the mid</w:t>
      </w:r>
      <w:r w:rsidRPr="004572E2">
        <w:noBreakHyphen/>
        <w:t>2000s.</w:t>
      </w:r>
      <w:r w:rsidRPr="004572E2">
        <w:rPr>
          <w:rStyle w:val="FootnoteReference"/>
        </w:rPr>
        <w:footnoteReference w:id="391"/>
      </w:r>
      <w:r w:rsidRPr="004572E2">
        <w:t xml:space="preserve"> Foreign investment has played a key role in the development of the country's mining sector. Copper, gold and silver mining begins with the granting of concessions and special contracts to foreign</w:t>
      </w:r>
      <w:r w:rsidRPr="004572E2">
        <w:noBreakHyphen/>
        <w:t xml:space="preserve">owned companies to operate in </w:t>
      </w:r>
      <w:bookmarkStart w:id="327" w:name="_Hlk117074366"/>
      <w:proofErr w:type="spellStart"/>
      <w:r w:rsidRPr="004572E2">
        <w:rPr>
          <w:i/>
          <w:iCs/>
        </w:rPr>
        <w:t>reservas</w:t>
      </w:r>
      <w:proofErr w:type="spellEnd"/>
      <w:r w:rsidRPr="004572E2">
        <w:rPr>
          <w:i/>
          <w:iCs/>
        </w:rPr>
        <w:t xml:space="preserve"> </w:t>
      </w:r>
      <w:proofErr w:type="spellStart"/>
      <w:r w:rsidRPr="004572E2">
        <w:rPr>
          <w:i/>
          <w:iCs/>
        </w:rPr>
        <w:t>fiscales</w:t>
      </w:r>
      <w:proofErr w:type="spellEnd"/>
      <w:r w:rsidRPr="004572E2">
        <w:t xml:space="preserve"> ("fiscal reserves", </w:t>
      </w:r>
      <w:r w:rsidR="002E6D43">
        <w:t>government-reserved areas for</w:t>
      </w:r>
      <w:r w:rsidRPr="004572E2">
        <w:t xml:space="preserve"> mining </w:t>
      </w:r>
      <w:r w:rsidR="002E6D43">
        <w:t>activities</w:t>
      </w:r>
      <w:r w:rsidRPr="004572E2">
        <w:t>)</w:t>
      </w:r>
      <w:bookmarkEnd w:id="327"/>
      <w:r w:rsidRPr="004572E2">
        <w:t>.</w:t>
      </w:r>
      <w:r w:rsidRPr="004572E2">
        <w:rPr>
          <w:rStyle w:val="FootnoteReference"/>
        </w:rPr>
        <w:footnoteReference w:id="392"/>
      </w:r>
      <w:r w:rsidRPr="004572E2">
        <w:t xml:space="preserve"> As a result, the Dominican Republic has become one of the region's leading exporters of gold during the period under review (Table 4.6), with that metal accounting for 81.6</w:t>
      </w:r>
      <w:r>
        <w:t>%</w:t>
      </w:r>
      <w:r w:rsidRPr="004572E2">
        <w:t xml:space="preserve"> of the country's metallic mineral production value between 2015 and 2021. In 2021, some 810,000 ounces of gold and 2.39 million ounces of silver were produced. Production has fallen compared to previous </w:t>
      </w:r>
      <w:r w:rsidRPr="004572E2">
        <w:lastRenderedPageBreak/>
        <w:t>years, because, in 2019, a special contract for the exploitation of these resources expired and work began to expand the Pueblo Viejo mine, the largest in the country.</w:t>
      </w:r>
      <w:bookmarkStart w:id="328" w:name="_Toc114735842"/>
    </w:p>
    <w:p w14:paraId="00C69EA6" w14:textId="77777777" w:rsidR="00EB7374" w:rsidRPr="004572E2" w:rsidRDefault="00EB7374" w:rsidP="00050EA9">
      <w:pPr>
        <w:pStyle w:val="Caption"/>
      </w:pPr>
      <w:bookmarkStart w:id="329" w:name="_Toc117238060"/>
      <w:r>
        <w:t xml:space="preserve">Table </w:t>
      </w:r>
      <w:r w:rsidR="00BD37F2">
        <w:fldChar w:fldCharType="begin"/>
      </w:r>
      <w:r w:rsidR="00BD37F2">
        <w:instrText xml:space="preserve"> STYLEREF 1 \s </w:instrText>
      </w:r>
      <w:r w:rsidR="00BD37F2">
        <w:fldChar w:fldCharType="separate"/>
      </w:r>
      <w:r>
        <w:rPr>
          <w:noProof/>
        </w:rPr>
        <w:t>4</w:t>
      </w:r>
      <w:r w:rsidR="00BD37F2">
        <w:rPr>
          <w:noProof/>
        </w:rPr>
        <w:fldChar w:fldCharType="end"/>
      </w:r>
      <w:r>
        <w:t>.</w:t>
      </w:r>
      <w:r w:rsidR="00BD37F2">
        <w:fldChar w:fldCharType="begin"/>
      </w:r>
      <w:r w:rsidR="00BD37F2">
        <w:instrText xml:space="preserve"> SEQ Table \* ARABIC \s 1 </w:instrText>
      </w:r>
      <w:r w:rsidR="00BD37F2">
        <w:fldChar w:fldCharType="separate"/>
      </w:r>
      <w:r>
        <w:rPr>
          <w:noProof/>
        </w:rPr>
        <w:t>6</w:t>
      </w:r>
      <w:r w:rsidR="00BD37F2">
        <w:rPr>
          <w:noProof/>
        </w:rPr>
        <w:fldChar w:fldCharType="end"/>
      </w:r>
      <w:r>
        <w:t xml:space="preserve"> </w:t>
      </w:r>
      <w:r w:rsidRPr="004572E2">
        <w:t>Production, trade and share of GDP of the mining sector, 2015</w:t>
      </w:r>
      <w:r w:rsidRPr="004572E2">
        <w:noBreakHyphen/>
        <w:t>21</w:t>
      </w:r>
      <w:bookmarkEnd w:id="328"/>
      <w:bookmarkEnd w:id="329"/>
      <w:r w:rsidRPr="004572E2">
        <w:t xml:space="preserve"> </w:t>
      </w:r>
    </w:p>
    <w:tbl>
      <w:tblPr>
        <w:tblStyle w:val="WTOTable1"/>
        <w:tblW w:w="5000" w:type="pct"/>
        <w:tblLook w:val="04A0" w:firstRow="1" w:lastRow="0" w:firstColumn="1" w:lastColumn="0" w:noHBand="0" w:noVBand="1"/>
      </w:tblPr>
      <w:tblGrid>
        <w:gridCol w:w="2360"/>
        <w:gridCol w:w="950"/>
        <w:gridCol w:w="950"/>
        <w:gridCol w:w="950"/>
        <w:gridCol w:w="950"/>
        <w:gridCol w:w="950"/>
        <w:gridCol w:w="950"/>
        <w:gridCol w:w="956"/>
      </w:tblGrid>
      <w:tr w:rsidR="00EB7374" w:rsidRPr="004572E2" w14:paraId="09C96E9C" w14:textId="77777777" w:rsidTr="00C700EB">
        <w:trPr>
          <w:cnfStyle w:val="100000000000" w:firstRow="1" w:lastRow="0" w:firstColumn="0" w:lastColumn="0" w:oddVBand="0" w:evenVBand="0" w:oddHBand="0" w:evenHBand="0" w:firstRowFirstColumn="0" w:firstRowLastColumn="0" w:lastRowFirstColumn="0" w:lastRowLastColumn="0"/>
          <w:cantSplit/>
          <w:tblHeader/>
        </w:trPr>
        <w:tc>
          <w:tcPr>
            <w:tcW w:w="1308" w:type="pct"/>
          </w:tcPr>
          <w:p w14:paraId="5EC0F3EF" w14:textId="77777777" w:rsidR="00EB7374" w:rsidRPr="004572E2" w:rsidRDefault="00EB7374" w:rsidP="004572E2">
            <w:pPr>
              <w:jc w:val="left"/>
              <w:rPr>
                <w:rFonts w:eastAsia="Calibri"/>
                <w:b w:val="0"/>
                <w:sz w:val="16"/>
                <w:szCs w:val="18"/>
              </w:rPr>
            </w:pPr>
          </w:p>
        </w:tc>
        <w:tc>
          <w:tcPr>
            <w:tcW w:w="527" w:type="pct"/>
          </w:tcPr>
          <w:p w14:paraId="2B5B096B" w14:textId="77777777" w:rsidR="00EB7374" w:rsidRPr="004572E2" w:rsidRDefault="00EB7374" w:rsidP="004572E2">
            <w:pPr>
              <w:jc w:val="right"/>
              <w:rPr>
                <w:rFonts w:eastAsia="Calibri"/>
                <w:b w:val="0"/>
                <w:sz w:val="16"/>
                <w:szCs w:val="18"/>
              </w:rPr>
            </w:pPr>
            <w:r w:rsidRPr="004572E2">
              <w:rPr>
                <w:sz w:val="16"/>
              </w:rPr>
              <w:t>2015</w:t>
            </w:r>
          </w:p>
        </w:tc>
        <w:tc>
          <w:tcPr>
            <w:tcW w:w="527" w:type="pct"/>
          </w:tcPr>
          <w:p w14:paraId="5E851AE5" w14:textId="77777777" w:rsidR="00EB7374" w:rsidRPr="004572E2" w:rsidRDefault="00EB7374" w:rsidP="004572E2">
            <w:pPr>
              <w:jc w:val="right"/>
              <w:rPr>
                <w:rFonts w:eastAsia="Calibri"/>
                <w:b w:val="0"/>
                <w:sz w:val="16"/>
                <w:szCs w:val="18"/>
              </w:rPr>
            </w:pPr>
            <w:r w:rsidRPr="004572E2">
              <w:rPr>
                <w:sz w:val="16"/>
              </w:rPr>
              <w:t>2016</w:t>
            </w:r>
          </w:p>
        </w:tc>
        <w:tc>
          <w:tcPr>
            <w:tcW w:w="527" w:type="pct"/>
          </w:tcPr>
          <w:p w14:paraId="3365B8E8" w14:textId="77777777" w:rsidR="00EB7374" w:rsidRPr="004572E2" w:rsidRDefault="00EB7374" w:rsidP="004572E2">
            <w:pPr>
              <w:jc w:val="right"/>
              <w:rPr>
                <w:rFonts w:eastAsia="Calibri"/>
                <w:b w:val="0"/>
                <w:sz w:val="16"/>
                <w:szCs w:val="18"/>
              </w:rPr>
            </w:pPr>
            <w:r w:rsidRPr="004572E2">
              <w:rPr>
                <w:sz w:val="16"/>
              </w:rPr>
              <w:t>2017</w:t>
            </w:r>
          </w:p>
        </w:tc>
        <w:tc>
          <w:tcPr>
            <w:tcW w:w="527" w:type="pct"/>
          </w:tcPr>
          <w:p w14:paraId="60735D78" w14:textId="77777777" w:rsidR="00EB7374" w:rsidRPr="004572E2" w:rsidRDefault="00EB7374" w:rsidP="004572E2">
            <w:pPr>
              <w:jc w:val="right"/>
              <w:rPr>
                <w:rFonts w:eastAsia="Calibri"/>
                <w:b w:val="0"/>
                <w:sz w:val="16"/>
                <w:szCs w:val="18"/>
              </w:rPr>
            </w:pPr>
            <w:r w:rsidRPr="004572E2">
              <w:rPr>
                <w:sz w:val="16"/>
              </w:rPr>
              <w:t>2018</w:t>
            </w:r>
          </w:p>
        </w:tc>
        <w:tc>
          <w:tcPr>
            <w:tcW w:w="527" w:type="pct"/>
          </w:tcPr>
          <w:p w14:paraId="44D59F7B" w14:textId="77777777" w:rsidR="00EB7374" w:rsidRPr="004572E2" w:rsidRDefault="00EB7374" w:rsidP="004572E2">
            <w:pPr>
              <w:jc w:val="right"/>
              <w:rPr>
                <w:rFonts w:eastAsia="Calibri"/>
                <w:b w:val="0"/>
                <w:sz w:val="16"/>
                <w:szCs w:val="18"/>
              </w:rPr>
            </w:pPr>
            <w:r w:rsidRPr="004572E2">
              <w:rPr>
                <w:sz w:val="16"/>
              </w:rPr>
              <w:t>2019</w:t>
            </w:r>
          </w:p>
        </w:tc>
        <w:tc>
          <w:tcPr>
            <w:tcW w:w="527" w:type="pct"/>
          </w:tcPr>
          <w:p w14:paraId="5254182F" w14:textId="77777777" w:rsidR="00EB7374" w:rsidRPr="004572E2" w:rsidRDefault="00EB7374" w:rsidP="004572E2">
            <w:pPr>
              <w:jc w:val="right"/>
              <w:rPr>
                <w:rFonts w:eastAsia="Calibri"/>
                <w:b w:val="0"/>
                <w:sz w:val="16"/>
                <w:szCs w:val="18"/>
              </w:rPr>
            </w:pPr>
            <w:r w:rsidRPr="004572E2">
              <w:rPr>
                <w:sz w:val="16"/>
              </w:rPr>
              <w:t>2020</w:t>
            </w:r>
          </w:p>
        </w:tc>
        <w:tc>
          <w:tcPr>
            <w:tcW w:w="528" w:type="pct"/>
          </w:tcPr>
          <w:p w14:paraId="7F30AF7E" w14:textId="77777777" w:rsidR="00EB7374" w:rsidRPr="004572E2" w:rsidRDefault="00EB7374" w:rsidP="004572E2">
            <w:pPr>
              <w:jc w:val="right"/>
              <w:rPr>
                <w:rFonts w:eastAsia="Calibri"/>
                <w:b w:val="0"/>
                <w:sz w:val="16"/>
                <w:szCs w:val="18"/>
              </w:rPr>
            </w:pPr>
            <w:r w:rsidRPr="004572E2">
              <w:rPr>
                <w:sz w:val="16"/>
              </w:rPr>
              <w:t>2021</w:t>
            </w:r>
            <w:r w:rsidRPr="004572E2">
              <w:rPr>
                <w:sz w:val="16"/>
                <w:vertAlign w:val="superscript"/>
              </w:rPr>
              <w:t>a</w:t>
            </w:r>
          </w:p>
        </w:tc>
      </w:tr>
      <w:tr w:rsidR="00EB7374" w:rsidRPr="004572E2" w14:paraId="50C40707" w14:textId="77777777" w:rsidTr="00C700EB">
        <w:trPr>
          <w:cantSplit/>
        </w:trPr>
        <w:tc>
          <w:tcPr>
            <w:tcW w:w="1308" w:type="pct"/>
          </w:tcPr>
          <w:p w14:paraId="0FA517A3" w14:textId="77777777" w:rsidR="00EB7374" w:rsidRPr="004572E2" w:rsidRDefault="00EB7374" w:rsidP="004572E2">
            <w:pPr>
              <w:jc w:val="left"/>
              <w:rPr>
                <w:rFonts w:eastAsia="Calibri"/>
                <w:b/>
                <w:sz w:val="16"/>
                <w:szCs w:val="18"/>
              </w:rPr>
            </w:pPr>
            <w:r w:rsidRPr="004572E2">
              <w:rPr>
                <w:b/>
                <w:sz w:val="16"/>
              </w:rPr>
              <w:t>Production</w:t>
            </w:r>
          </w:p>
        </w:tc>
        <w:tc>
          <w:tcPr>
            <w:tcW w:w="3692" w:type="pct"/>
            <w:gridSpan w:val="7"/>
          </w:tcPr>
          <w:p w14:paraId="4B888E33" w14:textId="77777777" w:rsidR="00EB7374" w:rsidRPr="004572E2" w:rsidRDefault="00EB7374" w:rsidP="004572E2">
            <w:pPr>
              <w:jc w:val="center"/>
              <w:rPr>
                <w:rFonts w:eastAsia="Calibri"/>
                <w:sz w:val="16"/>
                <w:szCs w:val="16"/>
              </w:rPr>
            </w:pPr>
            <w:r w:rsidRPr="004572E2">
              <w:rPr>
                <w:sz w:val="16"/>
              </w:rPr>
              <w:t>(thousand metric tons or thousand troy ounces)</w:t>
            </w:r>
          </w:p>
        </w:tc>
      </w:tr>
      <w:tr w:rsidR="00EB7374" w:rsidRPr="004572E2" w14:paraId="2A9DDD19" w14:textId="77777777" w:rsidTr="00C700EB">
        <w:trPr>
          <w:cnfStyle w:val="000000010000" w:firstRow="0" w:lastRow="0" w:firstColumn="0" w:lastColumn="0" w:oddVBand="0" w:evenVBand="0" w:oddHBand="0" w:evenHBand="1" w:firstRowFirstColumn="0" w:firstRowLastColumn="0" w:lastRowFirstColumn="0" w:lastRowLastColumn="0"/>
          <w:cantSplit/>
        </w:trPr>
        <w:tc>
          <w:tcPr>
            <w:tcW w:w="1308" w:type="pct"/>
          </w:tcPr>
          <w:p w14:paraId="0B4E82D8" w14:textId="77777777" w:rsidR="00EB7374" w:rsidRPr="004572E2" w:rsidRDefault="00EB7374" w:rsidP="004572E2">
            <w:pPr>
              <w:jc w:val="left"/>
              <w:rPr>
                <w:rFonts w:eastAsia="Calibri"/>
                <w:bCs/>
                <w:sz w:val="16"/>
                <w:szCs w:val="16"/>
              </w:rPr>
            </w:pPr>
            <w:r w:rsidRPr="004572E2">
              <w:rPr>
                <w:sz w:val="16"/>
              </w:rPr>
              <w:t>Ferronickel</w:t>
            </w:r>
          </w:p>
        </w:tc>
        <w:tc>
          <w:tcPr>
            <w:tcW w:w="527" w:type="pct"/>
          </w:tcPr>
          <w:p w14:paraId="5DFE5024" w14:textId="77777777" w:rsidR="00EB7374" w:rsidRPr="004572E2" w:rsidRDefault="00EB7374" w:rsidP="004572E2">
            <w:pPr>
              <w:jc w:val="right"/>
              <w:rPr>
                <w:sz w:val="16"/>
                <w:szCs w:val="16"/>
              </w:rPr>
            </w:pPr>
            <w:r w:rsidRPr="004572E2">
              <w:rPr>
                <w:sz w:val="16"/>
              </w:rPr>
              <w:t>0.0</w:t>
            </w:r>
          </w:p>
        </w:tc>
        <w:tc>
          <w:tcPr>
            <w:tcW w:w="527" w:type="pct"/>
          </w:tcPr>
          <w:p w14:paraId="00554D59" w14:textId="77777777" w:rsidR="00EB7374" w:rsidRPr="004572E2" w:rsidRDefault="00EB7374" w:rsidP="004572E2">
            <w:pPr>
              <w:jc w:val="right"/>
              <w:rPr>
                <w:sz w:val="16"/>
                <w:szCs w:val="16"/>
              </w:rPr>
            </w:pPr>
            <w:r w:rsidRPr="004572E2">
              <w:rPr>
                <w:sz w:val="16"/>
              </w:rPr>
              <w:t>33.2</w:t>
            </w:r>
          </w:p>
        </w:tc>
        <w:tc>
          <w:tcPr>
            <w:tcW w:w="527" w:type="pct"/>
          </w:tcPr>
          <w:p w14:paraId="638501C2" w14:textId="77777777" w:rsidR="00EB7374" w:rsidRPr="004572E2" w:rsidRDefault="00EB7374" w:rsidP="004572E2">
            <w:pPr>
              <w:jc w:val="right"/>
              <w:rPr>
                <w:sz w:val="16"/>
                <w:szCs w:val="16"/>
              </w:rPr>
            </w:pPr>
            <w:r w:rsidRPr="004572E2">
              <w:rPr>
                <w:sz w:val="16"/>
              </w:rPr>
              <w:t>43.9</w:t>
            </w:r>
          </w:p>
        </w:tc>
        <w:tc>
          <w:tcPr>
            <w:tcW w:w="527" w:type="pct"/>
          </w:tcPr>
          <w:p w14:paraId="00A152B0" w14:textId="77777777" w:rsidR="00EB7374" w:rsidRPr="004572E2" w:rsidRDefault="00EB7374" w:rsidP="004572E2">
            <w:pPr>
              <w:jc w:val="right"/>
              <w:rPr>
                <w:sz w:val="16"/>
                <w:szCs w:val="16"/>
              </w:rPr>
            </w:pPr>
            <w:r w:rsidRPr="004572E2">
              <w:rPr>
                <w:sz w:val="16"/>
              </w:rPr>
              <w:t>53.7</w:t>
            </w:r>
          </w:p>
        </w:tc>
        <w:tc>
          <w:tcPr>
            <w:tcW w:w="527" w:type="pct"/>
          </w:tcPr>
          <w:p w14:paraId="47EDD851" w14:textId="77777777" w:rsidR="00EB7374" w:rsidRPr="004572E2" w:rsidRDefault="00EB7374" w:rsidP="004572E2">
            <w:pPr>
              <w:jc w:val="right"/>
              <w:rPr>
                <w:sz w:val="16"/>
                <w:szCs w:val="16"/>
              </w:rPr>
            </w:pPr>
            <w:r w:rsidRPr="004572E2">
              <w:rPr>
                <w:sz w:val="16"/>
              </w:rPr>
              <w:t>78.6</w:t>
            </w:r>
          </w:p>
        </w:tc>
        <w:tc>
          <w:tcPr>
            <w:tcW w:w="527" w:type="pct"/>
          </w:tcPr>
          <w:p w14:paraId="0A9085FB" w14:textId="77777777" w:rsidR="00EB7374" w:rsidRPr="004572E2" w:rsidRDefault="00EB7374" w:rsidP="004572E2">
            <w:pPr>
              <w:jc w:val="right"/>
              <w:rPr>
                <w:sz w:val="16"/>
                <w:szCs w:val="16"/>
              </w:rPr>
            </w:pPr>
            <w:r w:rsidRPr="004572E2">
              <w:rPr>
                <w:sz w:val="16"/>
              </w:rPr>
              <w:t>59.2</w:t>
            </w:r>
          </w:p>
        </w:tc>
        <w:tc>
          <w:tcPr>
            <w:tcW w:w="528" w:type="pct"/>
          </w:tcPr>
          <w:p w14:paraId="657091FF" w14:textId="77777777" w:rsidR="00EB7374" w:rsidRPr="004572E2" w:rsidRDefault="00EB7374" w:rsidP="004572E2">
            <w:pPr>
              <w:jc w:val="right"/>
              <w:rPr>
                <w:sz w:val="16"/>
                <w:szCs w:val="16"/>
              </w:rPr>
            </w:pPr>
            <w:r w:rsidRPr="004572E2">
              <w:rPr>
                <w:sz w:val="16"/>
              </w:rPr>
              <w:t>75.9</w:t>
            </w:r>
          </w:p>
        </w:tc>
      </w:tr>
      <w:tr w:rsidR="00EB7374" w:rsidRPr="004572E2" w14:paraId="2BB559DF" w14:textId="77777777" w:rsidTr="00C700EB">
        <w:trPr>
          <w:cantSplit/>
        </w:trPr>
        <w:tc>
          <w:tcPr>
            <w:tcW w:w="1308" w:type="pct"/>
          </w:tcPr>
          <w:p w14:paraId="0537CC6C" w14:textId="77777777" w:rsidR="00EB7374" w:rsidRPr="004572E2" w:rsidRDefault="00EB7374" w:rsidP="004572E2">
            <w:pPr>
              <w:jc w:val="left"/>
              <w:rPr>
                <w:rFonts w:eastAsia="Calibri"/>
                <w:sz w:val="16"/>
                <w:szCs w:val="16"/>
              </w:rPr>
            </w:pPr>
            <w:r w:rsidRPr="004572E2">
              <w:rPr>
                <w:sz w:val="16"/>
              </w:rPr>
              <w:t>Bauxite</w:t>
            </w:r>
          </w:p>
        </w:tc>
        <w:tc>
          <w:tcPr>
            <w:tcW w:w="527" w:type="pct"/>
          </w:tcPr>
          <w:p w14:paraId="48A9F186" w14:textId="77777777" w:rsidR="00EB7374" w:rsidRPr="004572E2" w:rsidRDefault="00EB7374" w:rsidP="004572E2">
            <w:pPr>
              <w:jc w:val="right"/>
              <w:rPr>
                <w:rFonts w:eastAsia="Calibri"/>
                <w:sz w:val="16"/>
                <w:szCs w:val="16"/>
              </w:rPr>
            </w:pPr>
            <w:r w:rsidRPr="004572E2">
              <w:rPr>
                <w:sz w:val="16"/>
              </w:rPr>
              <w:t>1,724.2</w:t>
            </w:r>
          </w:p>
        </w:tc>
        <w:tc>
          <w:tcPr>
            <w:tcW w:w="527" w:type="pct"/>
          </w:tcPr>
          <w:p w14:paraId="3AA3748D" w14:textId="77777777" w:rsidR="00EB7374" w:rsidRPr="004572E2" w:rsidRDefault="00EB7374" w:rsidP="004572E2">
            <w:pPr>
              <w:jc w:val="right"/>
              <w:rPr>
                <w:rFonts w:eastAsia="Calibri"/>
                <w:sz w:val="16"/>
                <w:szCs w:val="16"/>
              </w:rPr>
            </w:pPr>
            <w:r w:rsidRPr="004572E2">
              <w:rPr>
                <w:sz w:val="16"/>
              </w:rPr>
              <w:t>7.3</w:t>
            </w:r>
          </w:p>
        </w:tc>
        <w:tc>
          <w:tcPr>
            <w:tcW w:w="527" w:type="pct"/>
          </w:tcPr>
          <w:p w14:paraId="2BBB1B04" w14:textId="77777777" w:rsidR="00EB7374" w:rsidRPr="004572E2" w:rsidRDefault="00EB7374" w:rsidP="004572E2">
            <w:pPr>
              <w:jc w:val="right"/>
              <w:rPr>
                <w:rFonts w:eastAsia="Calibri"/>
                <w:sz w:val="16"/>
                <w:szCs w:val="16"/>
              </w:rPr>
            </w:pPr>
            <w:r w:rsidRPr="004572E2">
              <w:rPr>
                <w:sz w:val="16"/>
              </w:rPr>
              <w:t>0.0</w:t>
            </w:r>
          </w:p>
        </w:tc>
        <w:tc>
          <w:tcPr>
            <w:tcW w:w="527" w:type="pct"/>
          </w:tcPr>
          <w:p w14:paraId="44084178" w14:textId="77777777" w:rsidR="00EB7374" w:rsidRPr="004572E2" w:rsidRDefault="00EB7374" w:rsidP="004572E2">
            <w:pPr>
              <w:jc w:val="right"/>
              <w:rPr>
                <w:rFonts w:eastAsia="Calibri"/>
                <w:sz w:val="16"/>
                <w:szCs w:val="16"/>
              </w:rPr>
            </w:pPr>
            <w:r w:rsidRPr="004572E2">
              <w:rPr>
                <w:sz w:val="16"/>
              </w:rPr>
              <w:t>0.0</w:t>
            </w:r>
          </w:p>
        </w:tc>
        <w:tc>
          <w:tcPr>
            <w:tcW w:w="527" w:type="pct"/>
          </w:tcPr>
          <w:p w14:paraId="0BC46A58" w14:textId="77777777" w:rsidR="00EB7374" w:rsidRPr="004572E2" w:rsidRDefault="00EB7374" w:rsidP="004572E2">
            <w:pPr>
              <w:jc w:val="right"/>
              <w:rPr>
                <w:rFonts w:eastAsia="Calibri"/>
                <w:sz w:val="16"/>
                <w:szCs w:val="16"/>
              </w:rPr>
            </w:pPr>
            <w:r w:rsidRPr="004572E2">
              <w:rPr>
                <w:sz w:val="16"/>
              </w:rPr>
              <w:t>0.0</w:t>
            </w:r>
          </w:p>
        </w:tc>
        <w:tc>
          <w:tcPr>
            <w:tcW w:w="527" w:type="pct"/>
          </w:tcPr>
          <w:p w14:paraId="09306BF8" w14:textId="77777777" w:rsidR="00EB7374" w:rsidRPr="004572E2" w:rsidRDefault="00EB7374" w:rsidP="004572E2">
            <w:pPr>
              <w:jc w:val="right"/>
              <w:rPr>
                <w:rFonts w:eastAsia="Calibri"/>
                <w:sz w:val="16"/>
                <w:szCs w:val="16"/>
              </w:rPr>
            </w:pPr>
            <w:r w:rsidRPr="004572E2">
              <w:rPr>
                <w:sz w:val="16"/>
              </w:rPr>
              <w:t>9.5</w:t>
            </w:r>
          </w:p>
        </w:tc>
        <w:tc>
          <w:tcPr>
            <w:tcW w:w="528" w:type="pct"/>
          </w:tcPr>
          <w:p w14:paraId="21AAACD6" w14:textId="77777777" w:rsidR="00EB7374" w:rsidRPr="004572E2" w:rsidRDefault="00EB7374" w:rsidP="004572E2">
            <w:pPr>
              <w:jc w:val="right"/>
              <w:rPr>
                <w:rFonts w:eastAsia="Calibri"/>
                <w:sz w:val="16"/>
                <w:szCs w:val="16"/>
              </w:rPr>
            </w:pPr>
            <w:r w:rsidRPr="004572E2">
              <w:rPr>
                <w:sz w:val="16"/>
              </w:rPr>
              <w:t>80.6</w:t>
            </w:r>
          </w:p>
        </w:tc>
      </w:tr>
      <w:tr w:rsidR="00EB7374" w:rsidRPr="004572E2" w14:paraId="31A0786A" w14:textId="77777777" w:rsidTr="00C700EB">
        <w:trPr>
          <w:cnfStyle w:val="000000010000" w:firstRow="0" w:lastRow="0" w:firstColumn="0" w:lastColumn="0" w:oddVBand="0" w:evenVBand="0" w:oddHBand="0" w:evenHBand="1" w:firstRowFirstColumn="0" w:firstRowLastColumn="0" w:lastRowFirstColumn="0" w:lastRowLastColumn="0"/>
          <w:cantSplit/>
        </w:trPr>
        <w:tc>
          <w:tcPr>
            <w:tcW w:w="1308" w:type="pct"/>
          </w:tcPr>
          <w:p w14:paraId="67458877" w14:textId="77777777" w:rsidR="00EB7374" w:rsidRPr="004572E2" w:rsidRDefault="00EB7374" w:rsidP="004572E2">
            <w:pPr>
              <w:jc w:val="left"/>
              <w:rPr>
                <w:rFonts w:eastAsia="Calibri"/>
                <w:sz w:val="16"/>
                <w:szCs w:val="16"/>
              </w:rPr>
            </w:pPr>
            <w:r w:rsidRPr="004572E2">
              <w:rPr>
                <w:sz w:val="16"/>
              </w:rPr>
              <w:t>Copper</w:t>
            </w:r>
          </w:p>
        </w:tc>
        <w:tc>
          <w:tcPr>
            <w:tcW w:w="527" w:type="pct"/>
          </w:tcPr>
          <w:p w14:paraId="71912FDE" w14:textId="77777777" w:rsidR="00EB7374" w:rsidRPr="004572E2" w:rsidRDefault="00EB7374" w:rsidP="004572E2">
            <w:pPr>
              <w:jc w:val="right"/>
              <w:rPr>
                <w:rFonts w:eastAsia="Calibri"/>
                <w:sz w:val="16"/>
                <w:szCs w:val="16"/>
              </w:rPr>
            </w:pPr>
            <w:r w:rsidRPr="004572E2">
              <w:rPr>
                <w:sz w:val="16"/>
              </w:rPr>
              <w:t>7.3</w:t>
            </w:r>
          </w:p>
        </w:tc>
        <w:tc>
          <w:tcPr>
            <w:tcW w:w="527" w:type="pct"/>
          </w:tcPr>
          <w:p w14:paraId="69E65467" w14:textId="77777777" w:rsidR="00EB7374" w:rsidRPr="004572E2" w:rsidRDefault="00EB7374" w:rsidP="004572E2">
            <w:pPr>
              <w:jc w:val="right"/>
              <w:rPr>
                <w:rFonts w:eastAsia="Calibri"/>
                <w:sz w:val="16"/>
                <w:szCs w:val="16"/>
              </w:rPr>
            </w:pPr>
            <w:r w:rsidRPr="004572E2">
              <w:rPr>
                <w:sz w:val="16"/>
              </w:rPr>
              <w:t>9.7</w:t>
            </w:r>
          </w:p>
        </w:tc>
        <w:tc>
          <w:tcPr>
            <w:tcW w:w="527" w:type="pct"/>
          </w:tcPr>
          <w:p w14:paraId="4440DDE4" w14:textId="77777777" w:rsidR="00EB7374" w:rsidRPr="004572E2" w:rsidRDefault="00EB7374" w:rsidP="004572E2">
            <w:pPr>
              <w:jc w:val="right"/>
              <w:rPr>
                <w:rFonts w:eastAsia="Calibri"/>
                <w:sz w:val="16"/>
                <w:szCs w:val="16"/>
              </w:rPr>
            </w:pPr>
            <w:r w:rsidRPr="004572E2">
              <w:rPr>
                <w:sz w:val="16"/>
              </w:rPr>
              <w:t>9.6</w:t>
            </w:r>
          </w:p>
        </w:tc>
        <w:tc>
          <w:tcPr>
            <w:tcW w:w="527" w:type="pct"/>
          </w:tcPr>
          <w:p w14:paraId="078D51F1" w14:textId="77777777" w:rsidR="00EB7374" w:rsidRPr="004572E2" w:rsidRDefault="00EB7374" w:rsidP="004572E2">
            <w:pPr>
              <w:jc w:val="right"/>
              <w:rPr>
                <w:rFonts w:eastAsia="Calibri"/>
                <w:sz w:val="16"/>
                <w:szCs w:val="16"/>
              </w:rPr>
            </w:pPr>
            <w:r w:rsidRPr="004572E2">
              <w:rPr>
                <w:sz w:val="16"/>
              </w:rPr>
              <w:t>8.6</w:t>
            </w:r>
          </w:p>
        </w:tc>
        <w:tc>
          <w:tcPr>
            <w:tcW w:w="527" w:type="pct"/>
          </w:tcPr>
          <w:p w14:paraId="538D436C" w14:textId="77777777" w:rsidR="00EB7374" w:rsidRPr="004572E2" w:rsidRDefault="00EB7374" w:rsidP="004572E2">
            <w:pPr>
              <w:jc w:val="right"/>
              <w:rPr>
                <w:rFonts w:eastAsia="Calibri"/>
                <w:sz w:val="16"/>
                <w:szCs w:val="16"/>
              </w:rPr>
            </w:pPr>
            <w:r w:rsidRPr="004572E2">
              <w:rPr>
                <w:sz w:val="16"/>
              </w:rPr>
              <w:t>6.0</w:t>
            </w:r>
          </w:p>
        </w:tc>
        <w:tc>
          <w:tcPr>
            <w:tcW w:w="527" w:type="pct"/>
          </w:tcPr>
          <w:p w14:paraId="6D605AE7" w14:textId="77777777" w:rsidR="00EB7374" w:rsidRPr="004572E2" w:rsidRDefault="00EB7374" w:rsidP="004572E2">
            <w:pPr>
              <w:jc w:val="right"/>
              <w:rPr>
                <w:rFonts w:eastAsia="Calibri"/>
                <w:sz w:val="16"/>
                <w:szCs w:val="16"/>
              </w:rPr>
            </w:pPr>
            <w:r w:rsidRPr="004572E2">
              <w:rPr>
                <w:sz w:val="16"/>
              </w:rPr>
              <w:t>2.2</w:t>
            </w:r>
          </w:p>
        </w:tc>
        <w:tc>
          <w:tcPr>
            <w:tcW w:w="528" w:type="pct"/>
          </w:tcPr>
          <w:p w14:paraId="248C3380" w14:textId="77777777" w:rsidR="00EB7374" w:rsidRPr="004572E2" w:rsidRDefault="00EB7374" w:rsidP="004572E2">
            <w:pPr>
              <w:jc w:val="right"/>
              <w:rPr>
                <w:rFonts w:eastAsia="Calibri"/>
                <w:sz w:val="16"/>
                <w:szCs w:val="16"/>
              </w:rPr>
            </w:pPr>
            <w:r w:rsidRPr="004572E2">
              <w:rPr>
                <w:sz w:val="16"/>
              </w:rPr>
              <w:t>4.8</w:t>
            </w:r>
          </w:p>
        </w:tc>
      </w:tr>
      <w:tr w:rsidR="00EB7374" w:rsidRPr="004572E2" w14:paraId="65F750D5" w14:textId="77777777" w:rsidTr="00C700EB">
        <w:trPr>
          <w:cantSplit/>
        </w:trPr>
        <w:tc>
          <w:tcPr>
            <w:tcW w:w="1308" w:type="pct"/>
          </w:tcPr>
          <w:p w14:paraId="743835D9" w14:textId="77777777" w:rsidR="00EB7374" w:rsidRPr="004572E2" w:rsidRDefault="00EB7374" w:rsidP="004572E2">
            <w:pPr>
              <w:jc w:val="left"/>
              <w:rPr>
                <w:rFonts w:eastAsia="Calibri"/>
                <w:sz w:val="16"/>
                <w:szCs w:val="16"/>
              </w:rPr>
            </w:pPr>
            <w:r w:rsidRPr="004572E2">
              <w:rPr>
                <w:sz w:val="16"/>
              </w:rPr>
              <w:t>Gold (oz)</w:t>
            </w:r>
          </w:p>
        </w:tc>
        <w:tc>
          <w:tcPr>
            <w:tcW w:w="527" w:type="pct"/>
          </w:tcPr>
          <w:p w14:paraId="2B76C0A4" w14:textId="77777777" w:rsidR="00EB7374" w:rsidRPr="004572E2" w:rsidRDefault="00EB7374" w:rsidP="004572E2">
            <w:pPr>
              <w:jc w:val="right"/>
              <w:rPr>
                <w:rFonts w:eastAsia="Calibri"/>
                <w:sz w:val="16"/>
                <w:szCs w:val="16"/>
              </w:rPr>
            </w:pPr>
            <w:r w:rsidRPr="004572E2">
              <w:rPr>
                <w:sz w:val="16"/>
              </w:rPr>
              <w:t>1,001.0</w:t>
            </w:r>
          </w:p>
        </w:tc>
        <w:tc>
          <w:tcPr>
            <w:tcW w:w="527" w:type="pct"/>
          </w:tcPr>
          <w:p w14:paraId="05C92255" w14:textId="77777777" w:rsidR="00EB7374" w:rsidRPr="004572E2" w:rsidRDefault="00EB7374" w:rsidP="004572E2">
            <w:pPr>
              <w:jc w:val="right"/>
              <w:rPr>
                <w:rFonts w:eastAsia="Calibri"/>
                <w:sz w:val="16"/>
                <w:szCs w:val="16"/>
              </w:rPr>
            </w:pPr>
            <w:r w:rsidRPr="004572E2">
              <w:rPr>
                <w:sz w:val="16"/>
              </w:rPr>
              <w:t>1,219.6</w:t>
            </w:r>
          </w:p>
        </w:tc>
        <w:tc>
          <w:tcPr>
            <w:tcW w:w="527" w:type="pct"/>
          </w:tcPr>
          <w:p w14:paraId="1036C6B0" w14:textId="77777777" w:rsidR="00EB7374" w:rsidRPr="004572E2" w:rsidRDefault="00EB7374" w:rsidP="004572E2">
            <w:pPr>
              <w:jc w:val="right"/>
              <w:rPr>
                <w:rFonts w:eastAsia="Calibri"/>
                <w:sz w:val="16"/>
                <w:szCs w:val="16"/>
              </w:rPr>
            </w:pPr>
            <w:r w:rsidRPr="004572E2">
              <w:rPr>
                <w:sz w:val="16"/>
              </w:rPr>
              <w:t>1,133.1</w:t>
            </w:r>
          </w:p>
        </w:tc>
        <w:tc>
          <w:tcPr>
            <w:tcW w:w="527" w:type="pct"/>
          </w:tcPr>
          <w:p w14:paraId="2070FD12" w14:textId="77777777" w:rsidR="00EB7374" w:rsidRPr="004572E2" w:rsidRDefault="00EB7374" w:rsidP="004572E2">
            <w:pPr>
              <w:jc w:val="right"/>
              <w:rPr>
                <w:rFonts w:eastAsia="Calibri"/>
                <w:sz w:val="16"/>
                <w:szCs w:val="16"/>
              </w:rPr>
            </w:pPr>
            <w:r w:rsidRPr="004572E2">
              <w:rPr>
                <w:sz w:val="16"/>
              </w:rPr>
              <w:t>1,017.0</w:t>
            </w:r>
          </w:p>
        </w:tc>
        <w:tc>
          <w:tcPr>
            <w:tcW w:w="527" w:type="pct"/>
          </w:tcPr>
          <w:p w14:paraId="29A958AF" w14:textId="77777777" w:rsidR="00EB7374" w:rsidRPr="004572E2" w:rsidRDefault="00EB7374" w:rsidP="004572E2">
            <w:pPr>
              <w:jc w:val="right"/>
              <w:rPr>
                <w:rFonts w:eastAsia="Calibri"/>
                <w:sz w:val="16"/>
                <w:szCs w:val="16"/>
              </w:rPr>
            </w:pPr>
            <w:r w:rsidRPr="004572E2">
              <w:rPr>
                <w:sz w:val="16"/>
              </w:rPr>
              <w:t>1,022.4</w:t>
            </w:r>
          </w:p>
        </w:tc>
        <w:tc>
          <w:tcPr>
            <w:tcW w:w="527" w:type="pct"/>
          </w:tcPr>
          <w:p w14:paraId="60BBED71" w14:textId="77777777" w:rsidR="00EB7374" w:rsidRPr="004572E2" w:rsidRDefault="00EB7374" w:rsidP="004572E2">
            <w:pPr>
              <w:jc w:val="right"/>
              <w:rPr>
                <w:rFonts w:eastAsia="Calibri"/>
                <w:sz w:val="16"/>
                <w:szCs w:val="16"/>
              </w:rPr>
            </w:pPr>
            <w:r w:rsidRPr="004572E2">
              <w:rPr>
                <w:sz w:val="16"/>
              </w:rPr>
              <w:t>905.2</w:t>
            </w:r>
          </w:p>
        </w:tc>
        <w:tc>
          <w:tcPr>
            <w:tcW w:w="528" w:type="pct"/>
          </w:tcPr>
          <w:p w14:paraId="2490E6E9" w14:textId="77777777" w:rsidR="00EB7374" w:rsidRPr="004572E2" w:rsidRDefault="00EB7374" w:rsidP="004572E2">
            <w:pPr>
              <w:jc w:val="right"/>
              <w:rPr>
                <w:rFonts w:eastAsia="Calibri"/>
                <w:sz w:val="16"/>
                <w:szCs w:val="16"/>
              </w:rPr>
            </w:pPr>
            <w:r w:rsidRPr="004572E2">
              <w:rPr>
                <w:sz w:val="16"/>
              </w:rPr>
              <w:t>813.6</w:t>
            </w:r>
          </w:p>
        </w:tc>
      </w:tr>
      <w:tr w:rsidR="00EB7374" w:rsidRPr="004572E2" w14:paraId="57B0CEFB" w14:textId="77777777" w:rsidTr="00C700EB">
        <w:trPr>
          <w:cnfStyle w:val="000000010000" w:firstRow="0" w:lastRow="0" w:firstColumn="0" w:lastColumn="0" w:oddVBand="0" w:evenVBand="0" w:oddHBand="0" w:evenHBand="1" w:firstRowFirstColumn="0" w:firstRowLastColumn="0" w:lastRowFirstColumn="0" w:lastRowLastColumn="0"/>
          <w:cantSplit/>
        </w:trPr>
        <w:tc>
          <w:tcPr>
            <w:tcW w:w="1308" w:type="pct"/>
          </w:tcPr>
          <w:p w14:paraId="5BE4F390" w14:textId="77777777" w:rsidR="00EB7374" w:rsidRPr="004572E2" w:rsidRDefault="00EB7374" w:rsidP="004572E2">
            <w:pPr>
              <w:jc w:val="left"/>
              <w:rPr>
                <w:rFonts w:eastAsia="Calibri"/>
                <w:sz w:val="16"/>
                <w:szCs w:val="16"/>
              </w:rPr>
            </w:pPr>
            <w:r w:rsidRPr="004572E2">
              <w:rPr>
                <w:sz w:val="16"/>
              </w:rPr>
              <w:t>Silver (oz)</w:t>
            </w:r>
          </w:p>
        </w:tc>
        <w:tc>
          <w:tcPr>
            <w:tcW w:w="527" w:type="pct"/>
          </w:tcPr>
          <w:p w14:paraId="7960C2A3" w14:textId="77777777" w:rsidR="00EB7374" w:rsidRPr="004572E2" w:rsidRDefault="00EB7374" w:rsidP="004572E2">
            <w:pPr>
              <w:jc w:val="right"/>
              <w:rPr>
                <w:rFonts w:eastAsia="Calibri"/>
                <w:sz w:val="16"/>
                <w:szCs w:val="16"/>
              </w:rPr>
            </w:pPr>
            <w:r w:rsidRPr="004572E2">
              <w:rPr>
                <w:sz w:val="16"/>
              </w:rPr>
              <w:t>3,077.0</w:t>
            </w:r>
          </w:p>
        </w:tc>
        <w:tc>
          <w:tcPr>
            <w:tcW w:w="527" w:type="pct"/>
          </w:tcPr>
          <w:p w14:paraId="1017D390" w14:textId="77777777" w:rsidR="00EB7374" w:rsidRPr="004572E2" w:rsidRDefault="00EB7374" w:rsidP="004572E2">
            <w:pPr>
              <w:jc w:val="right"/>
              <w:rPr>
                <w:rFonts w:eastAsia="Calibri"/>
                <w:sz w:val="16"/>
                <w:szCs w:val="16"/>
              </w:rPr>
            </w:pPr>
            <w:r w:rsidRPr="004572E2">
              <w:rPr>
                <w:sz w:val="16"/>
              </w:rPr>
              <w:t>3,914.3</w:t>
            </w:r>
          </w:p>
        </w:tc>
        <w:tc>
          <w:tcPr>
            <w:tcW w:w="527" w:type="pct"/>
          </w:tcPr>
          <w:p w14:paraId="7D1C07F6" w14:textId="77777777" w:rsidR="00EB7374" w:rsidRPr="004572E2" w:rsidRDefault="00EB7374" w:rsidP="004572E2">
            <w:pPr>
              <w:jc w:val="right"/>
              <w:rPr>
                <w:rFonts w:eastAsia="Calibri"/>
                <w:sz w:val="16"/>
                <w:szCs w:val="16"/>
              </w:rPr>
            </w:pPr>
            <w:r w:rsidRPr="004572E2">
              <w:rPr>
                <w:sz w:val="16"/>
              </w:rPr>
              <w:t>4,879.1</w:t>
            </w:r>
          </w:p>
        </w:tc>
        <w:tc>
          <w:tcPr>
            <w:tcW w:w="527" w:type="pct"/>
          </w:tcPr>
          <w:p w14:paraId="376A619A" w14:textId="77777777" w:rsidR="00EB7374" w:rsidRPr="004572E2" w:rsidRDefault="00EB7374" w:rsidP="004572E2">
            <w:pPr>
              <w:jc w:val="right"/>
              <w:rPr>
                <w:rFonts w:eastAsia="Calibri"/>
                <w:sz w:val="16"/>
                <w:szCs w:val="16"/>
              </w:rPr>
            </w:pPr>
            <w:r w:rsidRPr="004572E2">
              <w:rPr>
                <w:sz w:val="16"/>
              </w:rPr>
              <w:t>5,353.1</w:t>
            </w:r>
          </w:p>
        </w:tc>
        <w:tc>
          <w:tcPr>
            <w:tcW w:w="527" w:type="pct"/>
          </w:tcPr>
          <w:p w14:paraId="072F26E4" w14:textId="77777777" w:rsidR="00EB7374" w:rsidRPr="004572E2" w:rsidRDefault="00EB7374" w:rsidP="004572E2">
            <w:pPr>
              <w:jc w:val="right"/>
              <w:rPr>
                <w:rFonts w:eastAsia="Calibri"/>
                <w:sz w:val="16"/>
                <w:szCs w:val="16"/>
              </w:rPr>
            </w:pPr>
            <w:r w:rsidRPr="004572E2">
              <w:rPr>
                <w:sz w:val="16"/>
              </w:rPr>
              <w:t>4,494.3</w:t>
            </w:r>
          </w:p>
        </w:tc>
        <w:tc>
          <w:tcPr>
            <w:tcW w:w="527" w:type="pct"/>
          </w:tcPr>
          <w:p w14:paraId="36F3B96B" w14:textId="77777777" w:rsidR="00EB7374" w:rsidRPr="004572E2" w:rsidRDefault="00EB7374" w:rsidP="004572E2">
            <w:pPr>
              <w:jc w:val="right"/>
              <w:rPr>
                <w:rFonts w:eastAsia="Calibri"/>
                <w:sz w:val="16"/>
                <w:szCs w:val="16"/>
              </w:rPr>
            </w:pPr>
            <w:r w:rsidRPr="004572E2">
              <w:rPr>
                <w:sz w:val="16"/>
              </w:rPr>
              <w:t>2,825.7</w:t>
            </w:r>
          </w:p>
        </w:tc>
        <w:tc>
          <w:tcPr>
            <w:tcW w:w="528" w:type="pct"/>
          </w:tcPr>
          <w:p w14:paraId="3F1D0760" w14:textId="77777777" w:rsidR="00EB7374" w:rsidRPr="004572E2" w:rsidRDefault="00EB7374" w:rsidP="004572E2">
            <w:pPr>
              <w:jc w:val="right"/>
              <w:rPr>
                <w:rFonts w:eastAsia="Calibri"/>
                <w:sz w:val="16"/>
                <w:szCs w:val="16"/>
              </w:rPr>
            </w:pPr>
            <w:r w:rsidRPr="004572E2">
              <w:rPr>
                <w:sz w:val="16"/>
              </w:rPr>
              <w:t>2,390.7</w:t>
            </w:r>
          </w:p>
        </w:tc>
      </w:tr>
      <w:tr w:rsidR="00EB7374" w:rsidRPr="004572E2" w14:paraId="2CDC7372" w14:textId="77777777" w:rsidTr="00C700EB">
        <w:trPr>
          <w:cantSplit/>
        </w:trPr>
        <w:tc>
          <w:tcPr>
            <w:tcW w:w="1308" w:type="pct"/>
          </w:tcPr>
          <w:p w14:paraId="35015C9C" w14:textId="77777777" w:rsidR="00EB7374" w:rsidRPr="004572E2" w:rsidRDefault="00EB7374" w:rsidP="004572E2">
            <w:pPr>
              <w:jc w:val="left"/>
              <w:rPr>
                <w:rFonts w:eastAsia="Calibri"/>
                <w:sz w:val="16"/>
                <w:szCs w:val="16"/>
              </w:rPr>
            </w:pPr>
            <w:r w:rsidRPr="004572E2">
              <w:rPr>
                <w:sz w:val="16"/>
              </w:rPr>
              <w:t>Zinc</w:t>
            </w:r>
          </w:p>
        </w:tc>
        <w:tc>
          <w:tcPr>
            <w:tcW w:w="527" w:type="pct"/>
          </w:tcPr>
          <w:p w14:paraId="104A95F4" w14:textId="77777777" w:rsidR="00EB7374" w:rsidRPr="004572E2" w:rsidRDefault="00EB7374" w:rsidP="004572E2">
            <w:pPr>
              <w:jc w:val="right"/>
              <w:rPr>
                <w:rFonts w:eastAsia="Calibri"/>
                <w:sz w:val="16"/>
                <w:szCs w:val="16"/>
              </w:rPr>
            </w:pPr>
            <w:r w:rsidRPr="004572E2">
              <w:rPr>
                <w:sz w:val="16"/>
              </w:rPr>
              <w:t>4.7</w:t>
            </w:r>
          </w:p>
        </w:tc>
        <w:tc>
          <w:tcPr>
            <w:tcW w:w="527" w:type="pct"/>
          </w:tcPr>
          <w:p w14:paraId="18677DD8" w14:textId="77777777" w:rsidR="00EB7374" w:rsidRPr="004572E2" w:rsidRDefault="00EB7374" w:rsidP="004572E2">
            <w:pPr>
              <w:jc w:val="right"/>
              <w:rPr>
                <w:rFonts w:eastAsia="Calibri"/>
                <w:sz w:val="16"/>
                <w:szCs w:val="16"/>
              </w:rPr>
            </w:pPr>
            <w:r w:rsidRPr="004572E2">
              <w:rPr>
                <w:sz w:val="16"/>
              </w:rPr>
              <w:t>3.6</w:t>
            </w:r>
          </w:p>
        </w:tc>
        <w:tc>
          <w:tcPr>
            <w:tcW w:w="527" w:type="pct"/>
          </w:tcPr>
          <w:p w14:paraId="555396E4" w14:textId="77777777" w:rsidR="00EB7374" w:rsidRPr="004572E2" w:rsidRDefault="00EB7374" w:rsidP="004572E2">
            <w:pPr>
              <w:jc w:val="right"/>
              <w:rPr>
                <w:rFonts w:eastAsia="Calibri"/>
                <w:sz w:val="16"/>
                <w:szCs w:val="16"/>
              </w:rPr>
            </w:pPr>
            <w:r w:rsidRPr="004572E2">
              <w:rPr>
                <w:sz w:val="16"/>
              </w:rPr>
              <w:t>3.9</w:t>
            </w:r>
          </w:p>
        </w:tc>
        <w:tc>
          <w:tcPr>
            <w:tcW w:w="527" w:type="pct"/>
          </w:tcPr>
          <w:p w14:paraId="02D0975A" w14:textId="77777777" w:rsidR="00EB7374" w:rsidRPr="004572E2" w:rsidRDefault="00EB7374" w:rsidP="004572E2">
            <w:pPr>
              <w:jc w:val="right"/>
              <w:rPr>
                <w:rFonts w:eastAsia="Calibri"/>
                <w:sz w:val="16"/>
                <w:szCs w:val="16"/>
              </w:rPr>
            </w:pPr>
            <w:r w:rsidRPr="004572E2">
              <w:rPr>
                <w:sz w:val="16"/>
              </w:rPr>
              <w:t>4.0</w:t>
            </w:r>
          </w:p>
        </w:tc>
        <w:tc>
          <w:tcPr>
            <w:tcW w:w="527" w:type="pct"/>
          </w:tcPr>
          <w:p w14:paraId="174B081A" w14:textId="77777777" w:rsidR="00EB7374" w:rsidRPr="004572E2" w:rsidRDefault="00EB7374" w:rsidP="004572E2">
            <w:pPr>
              <w:jc w:val="right"/>
              <w:rPr>
                <w:rFonts w:eastAsia="Calibri"/>
                <w:sz w:val="16"/>
                <w:szCs w:val="16"/>
              </w:rPr>
            </w:pPr>
            <w:r w:rsidRPr="004572E2">
              <w:rPr>
                <w:sz w:val="16"/>
              </w:rPr>
              <w:t>5.5</w:t>
            </w:r>
          </w:p>
        </w:tc>
        <w:tc>
          <w:tcPr>
            <w:tcW w:w="527" w:type="pct"/>
          </w:tcPr>
          <w:p w14:paraId="34828DF6" w14:textId="77777777" w:rsidR="00EB7374" w:rsidRPr="004572E2" w:rsidRDefault="00EB7374" w:rsidP="004572E2">
            <w:pPr>
              <w:jc w:val="right"/>
              <w:rPr>
                <w:rFonts w:eastAsia="Calibri"/>
                <w:sz w:val="16"/>
                <w:szCs w:val="16"/>
              </w:rPr>
            </w:pPr>
            <w:r w:rsidRPr="004572E2">
              <w:rPr>
                <w:sz w:val="16"/>
              </w:rPr>
              <w:t>2.4</w:t>
            </w:r>
          </w:p>
        </w:tc>
        <w:tc>
          <w:tcPr>
            <w:tcW w:w="528" w:type="pct"/>
          </w:tcPr>
          <w:p w14:paraId="0F8CEFE9" w14:textId="77777777" w:rsidR="00EB7374" w:rsidRPr="004572E2" w:rsidRDefault="00EB7374" w:rsidP="004572E2">
            <w:pPr>
              <w:jc w:val="right"/>
              <w:rPr>
                <w:rFonts w:eastAsia="Calibri"/>
                <w:sz w:val="16"/>
                <w:szCs w:val="16"/>
              </w:rPr>
            </w:pPr>
            <w:r w:rsidRPr="004572E2">
              <w:rPr>
                <w:sz w:val="16"/>
              </w:rPr>
              <w:t>4.9</w:t>
            </w:r>
          </w:p>
        </w:tc>
      </w:tr>
      <w:tr w:rsidR="00EB7374" w:rsidRPr="004572E2" w14:paraId="05A65F7F" w14:textId="77777777" w:rsidTr="00C700EB">
        <w:trPr>
          <w:cnfStyle w:val="000000010000" w:firstRow="0" w:lastRow="0" w:firstColumn="0" w:lastColumn="0" w:oddVBand="0" w:evenVBand="0" w:oddHBand="0" w:evenHBand="1" w:firstRowFirstColumn="0" w:firstRowLastColumn="0" w:lastRowFirstColumn="0" w:lastRowLastColumn="0"/>
          <w:cantSplit/>
        </w:trPr>
        <w:tc>
          <w:tcPr>
            <w:tcW w:w="1308" w:type="pct"/>
          </w:tcPr>
          <w:p w14:paraId="20459FED" w14:textId="77777777" w:rsidR="00EB7374" w:rsidRPr="004572E2" w:rsidRDefault="00EB7374" w:rsidP="004572E2">
            <w:pPr>
              <w:jc w:val="left"/>
              <w:rPr>
                <w:rFonts w:eastAsia="Calibri"/>
                <w:sz w:val="16"/>
                <w:szCs w:val="16"/>
              </w:rPr>
            </w:pPr>
          </w:p>
        </w:tc>
        <w:tc>
          <w:tcPr>
            <w:tcW w:w="3692" w:type="pct"/>
            <w:gridSpan w:val="7"/>
          </w:tcPr>
          <w:p w14:paraId="2A1513D3" w14:textId="77777777" w:rsidR="00EB7374" w:rsidRPr="004572E2" w:rsidRDefault="00EB7374" w:rsidP="004572E2">
            <w:pPr>
              <w:jc w:val="center"/>
              <w:rPr>
                <w:b/>
                <w:bCs/>
                <w:sz w:val="16"/>
                <w:szCs w:val="16"/>
              </w:rPr>
            </w:pPr>
            <w:r w:rsidRPr="004572E2">
              <w:rPr>
                <w:sz w:val="16"/>
              </w:rPr>
              <w:t>(USD million)</w:t>
            </w:r>
          </w:p>
        </w:tc>
      </w:tr>
      <w:tr w:rsidR="00EB7374" w:rsidRPr="004572E2" w14:paraId="7FF7C532" w14:textId="77777777" w:rsidTr="00C700EB">
        <w:trPr>
          <w:cantSplit/>
        </w:trPr>
        <w:tc>
          <w:tcPr>
            <w:tcW w:w="1308" w:type="pct"/>
          </w:tcPr>
          <w:p w14:paraId="5AAA3672" w14:textId="77777777" w:rsidR="00EB7374" w:rsidRPr="004572E2" w:rsidRDefault="00EB7374" w:rsidP="004572E2">
            <w:pPr>
              <w:jc w:val="left"/>
              <w:rPr>
                <w:rFonts w:eastAsia="Calibri"/>
                <w:bCs/>
                <w:sz w:val="16"/>
                <w:szCs w:val="16"/>
              </w:rPr>
            </w:pPr>
            <w:r w:rsidRPr="004572E2">
              <w:rPr>
                <w:sz w:val="16"/>
              </w:rPr>
              <w:t>Ferronickel</w:t>
            </w:r>
          </w:p>
        </w:tc>
        <w:tc>
          <w:tcPr>
            <w:tcW w:w="527" w:type="pct"/>
          </w:tcPr>
          <w:p w14:paraId="4EF78CCE" w14:textId="77777777" w:rsidR="00EB7374" w:rsidRPr="004572E2" w:rsidRDefault="00EB7374" w:rsidP="004572E2">
            <w:pPr>
              <w:jc w:val="right"/>
              <w:rPr>
                <w:rFonts w:eastAsia="Calibri"/>
                <w:bCs/>
                <w:sz w:val="16"/>
                <w:szCs w:val="16"/>
              </w:rPr>
            </w:pPr>
            <w:r w:rsidRPr="004572E2">
              <w:rPr>
                <w:sz w:val="16"/>
              </w:rPr>
              <w:t>0.0</w:t>
            </w:r>
          </w:p>
        </w:tc>
        <w:tc>
          <w:tcPr>
            <w:tcW w:w="527" w:type="pct"/>
          </w:tcPr>
          <w:p w14:paraId="09E18911" w14:textId="77777777" w:rsidR="00EB7374" w:rsidRPr="004572E2" w:rsidRDefault="00EB7374" w:rsidP="004572E2">
            <w:pPr>
              <w:jc w:val="right"/>
              <w:rPr>
                <w:rFonts w:eastAsia="Calibri"/>
                <w:bCs/>
                <w:sz w:val="16"/>
                <w:szCs w:val="16"/>
              </w:rPr>
            </w:pPr>
            <w:r w:rsidRPr="004572E2">
              <w:rPr>
                <w:sz w:val="16"/>
              </w:rPr>
              <w:t>90.9</w:t>
            </w:r>
          </w:p>
        </w:tc>
        <w:tc>
          <w:tcPr>
            <w:tcW w:w="527" w:type="pct"/>
          </w:tcPr>
          <w:p w14:paraId="2C53F691" w14:textId="77777777" w:rsidR="00EB7374" w:rsidRPr="004572E2" w:rsidRDefault="00EB7374" w:rsidP="004572E2">
            <w:pPr>
              <w:jc w:val="right"/>
              <w:rPr>
                <w:rFonts w:eastAsia="Calibri"/>
                <w:bCs/>
                <w:sz w:val="16"/>
                <w:szCs w:val="16"/>
              </w:rPr>
            </w:pPr>
            <w:r w:rsidRPr="004572E2">
              <w:rPr>
                <w:sz w:val="16"/>
              </w:rPr>
              <w:t>153.6</w:t>
            </w:r>
          </w:p>
        </w:tc>
        <w:tc>
          <w:tcPr>
            <w:tcW w:w="527" w:type="pct"/>
          </w:tcPr>
          <w:p w14:paraId="2C26E4A8" w14:textId="77777777" w:rsidR="00EB7374" w:rsidRPr="004572E2" w:rsidRDefault="00EB7374" w:rsidP="004572E2">
            <w:pPr>
              <w:jc w:val="right"/>
              <w:rPr>
                <w:rFonts w:eastAsia="Calibri"/>
                <w:bCs/>
                <w:sz w:val="16"/>
                <w:szCs w:val="16"/>
              </w:rPr>
            </w:pPr>
            <w:r w:rsidRPr="004572E2">
              <w:rPr>
                <w:sz w:val="16"/>
              </w:rPr>
              <w:t>233.8</w:t>
            </w:r>
          </w:p>
        </w:tc>
        <w:tc>
          <w:tcPr>
            <w:tcW w:w="527" w:type="pct"/>
          </w:tcPr>
          <w:p w14:paraId="6B1EBB8C" w14:textId="77777777" w:rsidR="00EB7374" w:rsidRPr="004572E2" w:rsidRDefault="00EB7374" w:rsidP="004572E2">
            <w:pPr>
              <w:jc w:val="right"/>
              <w:rPr>
                <w:rFonts w:eastAsia="Calibri"/>
                <w:bCs/>
                <w:sz w:val="16"/>
                <w:szCs w:val="16"/>
              </w:rPr>
            </w:pPr>
            <w:r w:rsidRPr="004572E2">
              <w:rPr>
                <w:sz w:val="16"/>
              </w:rPr>
              <w:t>383.4</w:t>
            </w:r>
          </w:p>
        </w:tc>
        <w:tc>
          <w:tcPr>
            <w:tcW w:w="527" w:type="pct"/>
          </w:tcPr>
          <w:p w14:paraId="150DE4BF" w14:textId="77777777" w:rsidR="00EB7374" w:rsidRPr="004572E2" w:rsidRDefault="00EB7374" w:rsidP="004572E2">
            <w:pPr>
              <w:jc w:val="right"/>
              <w:rPr>
                <w:rFonts w:eastAsia="Calibri"/>
                <w:bCs/>
                <w:sz w:val="16"/>
                <w:szCs w:val="16"/>
              </w:rPr>
            </w:pPr>
            <w:r w:rsidRPr="004572E2">
              <w:rPr>
                <w:sz w:val="16"/>
              </w:rPr>
              <w:t>231.2</w:t>
            </w:r>
          </w:p>
        </w:tc>
        <w:tc>
          <w:tcPr>
            <w:tcW w:w="528" w:type="pct"/>
          </w:tcPr>
          <w:p w14:paraId="510D22AA" w14:textId="77777777" w:rsidR="00EB7374" w:rsidRPr="004572E2" w:rsidRDefault="00EB7374" w:rsidP="004572E2">
            <w:pPr>
              <w:jc w:val="right"/>
              <w:rPr>
                <w:bCs/>
                <w:sz w:val="16"/>
                <w:szCs w:val="16"/>
              </w:rPr>
            </w:pPr>
            <w:r w:rsidRPr="004572E2">
              <w:rPr>
                <w:sz w:val="16"/>
              </w:rPr>
              <w:t>392.6</w:t>
            </w:r>
          </w:p>
        </w:tc>
      </w:tr>
      <w:tr w:rsidR="00EB7374" w:rsidRPr="004572E2" w14:paraId="5CF8370F" w14:textId="77777777" w:rsidTr="00C700EB">
        <w:trPr>
          <w:cnfStyle w:val="000000010000" w:firstRow="0" w:lastRow="0" w:firstColumn="0" w:lastColumn="0" w:oddVBand="0" w:evenVBand="0" w:oddHBand="0" w:evenHBand="1" w:firstRowFirstColumn="0" w:firstRowLastColumn="0" w:lastRowFirstColumn="0" w:lastRowLastColumn="0"/>
          <w:cantSplit/>
        </w:trPr>
        <w:tc>
          <w:tcPr>
            <w:tcW w:w="1308" w:type="pct"/>
          </w:tcPr>
          <w:p w14:paraId="5F550F84" w14:textId="77777777" w:rsidR="00EB7374" w:rsidRPr="004572E2" w:rsidRDefault="00EB7374" w:rsidP="004572E2">
            <w:pPr>
              <w:jc w:val="left"/>
              <w:rPr>
                <w:rFonts w:eastAsia="Calibri"/>
                <w:bCs/>
                <w:sz w:val="16"/>
                <w:szCs w:val="16"/>
              </w:rPr>
            </w:pPr>
            <w:r w:rsidRPr="004572E2">
              <w:rPr>
                <w:sz w:val="16"/>
              </w:rPr>
              <w:t>Bauxite</w:t>
            </w:r>
          </w:p>
        </w:tc>
        <w:tc>
          <w:tcPr>
            <w:tcW w:w="527" w:type="pct"/>
          </w:tcPr>
          <w:p w14:paraId="5D411AA3" w14:textId="77777777" w:rsidR="00EB7374" w:rsidRPr="004572E2" w:rsidRDefault="00EB7374" w:rsidP="004572E2">
            <w:pPr>
              <w:jc w:val="right"/>
              <w:rPr>
                <w:rFonts w:eastAsia="Calibri"/>
                <w:bCs/>
                <w:sz w:val="16"/>
                <w:szCs w:val="16"/>
              </w:rPr>
            </w:pPr>
            <w:r w:rsidRPr="004572E2">
              <w:rPr>
                <w:sz w:val="16"/>
              </w:rPr>
              <w:t>27.6</w:t>
            </w:r>
          </w:p>
        </w:tc>
        <w:tc>
          <w:tcPr>
            <w:tcW w:w="527" w:type="pct"/>
          </w:tcPr>
          <w:p w14:paraId="25A7B755" w14:textId="77777777" w:rsidR="00EB7374" w:rsidRPr="004572E2" w:rsidRDefault="00EB7374" w:rsidP="004572E2">
            <w:pPr>
              <w:jc w:val="right"/>
              <w:rPr>
                <w:rFonts w:eastAsia="Calibri"/>
                <w:bCs/>
                <w:sz w:val="16"/>
                <w:szCs w:val="16"/>
              </w:rPr>
            </w:pPr>
            <w:r w:rsidRPr="004572E2">
              <w:rPr>
                <w:sz w:val="16"/>
              </w:rPr>
              <w:t>3.4</w:t>
            </w:r>
          </w:p>
        </w:tc>
        <w:tc>
          <w:tcPr>
            <w:tcW w:w="527" w:type="pct"/>
          </w:tcPr>
          <w:p w14:paraId="2E3102BC" w14:textId="77777777" w:rsidR="00EB7374" w:rsidRPr="004572E2" w:rsidRDefault="00EB7374" w:rsidP="004572E2">
            <w:pPr>
              <w:jc w:val="right"/>
              <w:rPr>
                <w:rFonts w:eastAsia="Calibri"/>
                <w:bCs/>
                <w:sz w:val="16"/>
                <w:szCs w:val="16"/>
              </w:rPr>
            </w:pPr>
            <w:r w:rsidRPr="004572E2">
              <w:rPr>
                <w:sz w:val="16"/>
              </w:rPr>
              <w:t>0.1</w:t>
            </w:r>
          </w:p>
        </w:tc>
        <w:tc>
          <w:tcPr>
            <w:tcW w:w="527" w:type="pct"/>
          </w:tcPr>
          <w:p w14:paraId="2942AB62" w14:textId="77777777" w:rsidR="00EB7374" w:rsidRPr="004572E2" w:rsidRDefault="00EB7374" w:rsidP="004572E2">
            <w:pPr>
              <w:jc w:val="right"/>
              <w:rPr>
                <w:rFonts w:eastAsia="Calibri"/>
                <w:bCs/>
                <w:sz w:val="16"/>
                <w:szCs w:val="16"/>
              </w:rPr>
            </w:pPr>
            <w:r w:rsidRPr="004572E2">
              <w:rPr>
                <w:sz w:val="16"/>
              </w:rPr>
              <w:t>0.2</w:t>
            </w:r>
          </w:p>
        </w:tc>
        <w:tc>
          <w:tcPr>
            <w:tcW w:w="527" w:type="pct"/>
          </w:tcPr>
          <w:p w14:paraId="7DB59435" w14:textId="77777777" w:rsidR="00EB7374" w:rsidRPr="004572E2" w:rsidRDefault="00EB7374" w:rsidP="004572E2">
            <w:pPr>
              <w:jc w:val="right"/>
              <w:rPr>
                <w:rFonts w:eastAsia="Calibri"/>
                <w:bCs/>
                <w:sz w:val="16"/>
                <w:szCs w:val="16"/>
              </w:rPr>
            </w:pPr>
            <w:r w:rsidRPr="004572E2">
              <w:rPr>
                <w:sz w:val="16"/>
              </w:rPr>
              <w:t>0.2</w:t>
            </w:r>
          </w:p>
        </w:tc>
        <w:tc>
          <w:tcPr>
            <w:tcW w:w="527" w:type="pct"/>
          </w:tcPr>
          <w:p w14:paraId="3A03ABA4" w14:textId="77777777" w:rsidR="00EB7374" w:rsidRPr="004572E2" w:rsidRDefault="00EB7374" w:rsidP="004572E2">
            <w:pPr>
              <w:jc w:val="right"/>
              <w:rPr>
                <w:rFonts w:eastAsia="Calibri"/>
                <w:bCs/>
                <w:sz w:val="16"/>
                <w:szCs w:val="16"/>
              </w:rPr>
            </w:pPr>
            <w:r w:rsidRPr="004572E2">
              <w:rPr>
                <w:sz w:val="16"/>
              </w:rPr>
              <w:t>0.0</w:t>
            </w:r>
          </w:p>
        </w:tc>
        <w:tc>
          <w:tcPr>
            <w:tcW w:w="528" w:type="pct"/>
          </w:tcPr>
          <w:p w14:paraId="39DC8C1E" w14:textId="77777777" w:rsidR="00EB7374" w:rsidRPr="004572E2" w:rsidRDefault="00EB7374" w:rsidP="004572E2">
            <w:pPr>
              <w:jc w:val="right"/>
              <w:rPr>
                <w:bCs/>
                <w:sz w:val="16"/>
                <w:szCs w:val="16"/>
              </w:rPr>
            </w:pPr>
            <w:r w:rsidRPr="004572E2">
              <w:rPr>
                <w:sz w:val="16"/>
              </w:rPr>
              <w:t>1.6</w:t>
            </w:r>
          </w:p>
        </w:tc>
      </w:tr>
      <w:tr w:rsidR="00EB7374" w:rsidRPr="004572E2" w14:paraId="7983529A" w14:textId="77777777" w:rsidTr="00C700EB">
        <w:trPr>
          <w:cantSplit/>
        </w:trPr>
        <w:tc>
          <w:tcPr>
            <w:tcW w:w="1308" w:type="pct"/>
          </w:tcPr>
          <w:p w14:paraId="39652453" w14:textId="77777777" w:rsidR="00EB7374" w:rsidRPr="004572E2" w:rsidRDefault="00EB7374" w:rsidP="004572E2">
            <w:pPr>
              <w:jc w:val="left"/>
              <w:rPr>
                <w:rFonts w:eastAsia="Calibri"/>
                <w:sz w:val="16"/>
                <w:szCs w:val="16"/>
              </w:rPr>
            </w:pPr>
            <w:r w:rsidRPr="004572E2">
              <w:rPr>
                <w:sz w:val="16"/>
              </w:rPr>
              <w:t>Copper</w:t>
            </w:r>
          </w:p>
        </w:tc>
        <w:tc>
          <w:tcPr>
            <w:tcW w:w="527" w:type="pct"/>
          </w:tcPr>
          <w:p w14:paraId="782F50E0" w14:textId="77777777" w:rsidR="00EB7374" w:rsidRPr="004572E2" w:rsidRDefault="00EB7374" w:rsidP="004572E2">
            <w:pPr>
              <w:jc w:val="right"/>
              <w:rPr>
                <w:rFonts w:eastAsia="Calibri"/>
                <w:sz w:val="16"/>
                <w:szCs w:val="16"/>
              </w:rPr>
            </w:pPr>
            <w:r w:rsidRPr="004572E2">
              <w:rPr>
                <w:sz w:val="16"/>
              </w:rPr>
              <w:t>38.3</w:t>
            </w:r>
          </w:p>
        </w:tc>
        <w:tc>
          <w:tcPr>
            <w:tcW w:w="527" w:type="pct"/>
          </w:tcPr>
          <w:p w14:paraId="4A3EA194" w14:textId="77777777" w:rsidR="00EB7374" w:rsidRPr="004572E2" w:rsidRDefault="00EB7374" w:rsidP="004572E2">
            <w:pPr>
              <w:jc w:val="right"/>
              <w:rPr>
                <w:rFonts w:eastAsia="Calibri"/>
                <w:sz w:val="16"/>
                <w:szCs w:val="16"/>
              </w:rPr>
            </w:pPr>
            <w:r w:rsidRPr="004572E2">
              <w:rPr>
                <w:sz w:val="16"/>
              </w:rPr>
              <w:t>45.8</w:t>
            </w:r>
          </w:p>
        </w:tc>
        <w:tc>
          <w:tcPr>
            <w:tcW w:w="527" w:type="pct"/>
          </w:tcPr>
          <w:p w14:paraId="5FC97C83" w14:textId="77777777" w:rsidR="00EB7374" w:rsidRPr="004572E2" w:rsidRDefault="00EB7374" w:rsidP="004572E2">
            <w:pPr>
              <w:jc w:val="right"/>
              <w:rPr>
                <w:rFonts w:eastAsia="Calibri"/>
                <w:sz w:val="16"/>
                <w:szCs w:val="16"/>
              </w:rPr>
            </w:pPr>
            <w:r w:rsidRPr="004572E2">
              <w:rPr>
                <w:sz w:val="16"/>
              </w:rPr>
              <w:t>54.3</w:t>
            </w:r>
          </w:p>
        </w:tc>
        <w:tc>
          <w:tcPr>
            <w:tcW w:w="527" w:type="pct"/>
          </w:tcPr>
          <w:p w14:paraId="4FBA8DF2" w14:textId="77777777" w:rsidR="00EB7374" w:rsidRPr="004572E2" w:rsidRDefault="00EB7374" w:rsidP="004572E2">
            <w:pPr>
              <w:jc w:val="right"/>
              <w:rPr>
                <w:rFonts w:eastAsia="Calibri"/>
                <w:sz w:val="16"/>
                <w:szCs w:val="16"/>
              </w:rPr>
            </w:pPr>
            <w:r w:rsidRPr="004572E2">
              <w:rPr>
                <w:sz w:val="16"/>
              </w:rPr>
              <w:t>59.8</w:t>
            </w:r>
          </w:p>
        </w:tc>
        <w:tc>
          <w:tcPr>
            <w:tcW w:w="527" w:type="pct"/>
          </w:tcPr>
          <w:p w14:paraId="42E46D62" w14:textId="77777777" w:rsidR="00EB7374" w:rsidRPr="004572E2" w:rsidRDefault="00EB7374" w:rsidP="004572E2">
            <w:pPr>
              <w:jc w:val="right"/>
              <w:rPr>
                <w:rFonts w:eastAsia="Calibri"/>
                <w:sz w:val="16"/>
                <w:szCs w:val="16"/>
              </w:rPr>
            </w:pPr>
            <w:r w:rsidRPr="004572E2">
              <w:rPr>
                <w:sz w:val="16"/>
              </w:rPr>
              <w:t>26.8</w:t>
            </w:r>
          </w:p>
        </w:tc>
        <w:tc>
          <w:tcPr>
            <w:tcW w:w="527" w:type="pct"/>
          </w:tcPr>
          <w:p w14:paraId="504514BA" w14:textId="77777777" w:rsidR="00EB7374" w:rsidRPr="004572E2" w:rsidRDefault="00EB7374" w:rsidP="004572E2">
            <w:pPr>
              <w:jc w:val="right"/>
              <w:rPr>
                <w:rFonts w:eastAsia="Calibri"/>
                <w:sz w:val="16"/>
                <w:szCs w:val="16"/>
              </w:rPr>
            </w:pPr>
            <w:r w:rsidRPr="004572E2">
              <w:rPr>
                <w:sz w:val="16"/>
              </w:rPr>
              <w:t>16.1</w:t>
            </w:r>
          </w:p>
        </w:tc>
        <w:tc>
          <w:tcPr>
            <w:tcW w:w="528" w:type="pct"/>
          </w:tcPr>
          <w:p w14:paraId="05391265" w14:textId="77777777" w:rsidR="00EB7374" w:rsidRPr="004572E2" w:rsidRDefault="00EB7374" w:rsidP="004572E2">
            <w:pPr>
              <w:jc w:val="right"/>
              <w:rPr>
                <w:sz w:val="16"/>
                <w:szCs w:val="16"/>
              </w:rPr>
            </w:pPr>
            <w:r w:rsidRPr="004572E2">
              <w:rPr>
                <w:sz w:val="16"/>
              </w:rPr>
              <w:t>45.2</w:t>
            </w:r>
          </w:p>
        </w:tc>
      </w:tr>
      <w:tr w:rsidR="00EB7374" w:rsidRPr="004572E2" w14:paraId="38656D6E" w14:textId="77777777" w:rsidTr="00C700EB">
        <w:trPr>
          <w:cnfStyle w:val="000000010000" w:firstRow="0" w:lastRow="0" w:firstColumn="0" w:lastColumn="0" w:oddVBand="0" w:evenVBand="0" w:oddHBand="0" w:evenHBand="1" w:firstRowFirstColumn="0" w:firstRowLastColumn="0" w:lastRowFirstColumn="0" w:lastRowLastColumn="0"/>
          <w:cantSplit/>
        </w:trPr>
        <w:tc>
          <w:tcPr>
            <w:tcW w:w="1308" w:type="pct"/>
          </w:tcPr>
          <w:p w14:paraId="3E04DAB4" w14:textId="77777777" w:rsidR="00EB7374" w:rsidRPr="004572E2" w:rsidRDefault="00EB7374" w:rsidP="004572E2">
            <w:pPr>
              <w:jc w:val="left"/>
              <w:rPr>
                <w:rFonts w:eastAsia="Calibri"/>
                <w:sz w:val="16"/>
                <w:szCs w:val="16"/>
              </w:rPr>
            </w:pPr>
            <w:r w:rsidRPr="004572E2">
              <w:rPr>
                <w:sz w:val="16"/>
              </w:rPr>
              <w:t>Gold</w:t>
            </w:r>
          </w:p>
        </w:tc>
        <w:tc>
          <w:tcPr>
            <w:tcW w:w="527" w:type="pct"/>
          </w:tcPr>
          <w:p w14:paraId="5B46EF80" w14:textId="77777777" w:rsidR="00EB7374" w:rsidRPr="004572E2" w:rsidRDefault="00EB7374" w:rsidP="004572E2">
            <w:pPr>
              <w:jc w:val="right"/>
              <w:rPr>
                <w:rFonts w:eastAsia="Calibri"/>
                <w:sz w:val="16"/>
                <w:szCs w:val="16"/>
              </w:rPr>
            </w:pPr>
            <w:r w:rsidRPr="004572E2">
              <w:rPr>
                <w:sz w:val="16"/>
              </w:rPr>
              <w:t>1,227.3</w:t>
            </w:r>
          </w:p>
        </w:tc>
        <w:tc>
          <w:tcPr>
            <w:tcW w:w="527" w:type="pct"/>
          </w:tcPr>
          <w:p w14:paraId="4B5EDF9C" w14:textId="77777777" w:rsidR="00EB7374" w:rsidRPr="004572E2" w:rsidRDefault="00EB7374" w:rsidP="004572E2">
            <w:pPr>
              <w:jc w:val="right"/>
              <w:rPr>
                <w:rFonts w:eastAsia="Calibri"/>
                <w:sz w:val="16"/>
                <w:szCs w:val="16"/>
              </w:rPr>
            </w:pPr>
            <w:r w:rsidRPr="004572E2">
              <w:rPr>
                <w:sz w:val="16"/>
              </w:rPr>
              <w:t>1,575.3</w:t>
            </w:r>
          </w:p>
        </w:tc>
        <w:tc>
          <w:tcPr>
            <w:tcW w:w="527" w:type="pct"/>
          </w:tcPr>
          <w:p w14:paraId="11B542E9" w14:textId="77777777" w:rsidR="00EB7374" w:rsidRPr="004572E2" w:rsidRDefault="00EB7374" w:rsidP="004572E2">
            <w:pPr>
              <w:jc w:val="right"/>
              <w:rPr>
                <w:rFonts w:eastAsia="Calibri"/>
                <w:sz w:val="16"/>
                <w:szCs w:val="16"/>
              </w:rPr>
            </w:pPr>
            <w:r w:rsidRPr="004572E2">
              <w:rPr>
                <w:sz w:val="16"/>
              </w:rPr>
              <w:t>1,456.7</w:t>
            </w:r>
          </w:p>
        </w:tc>
        <w:tc>
          <w:tcPr>
            <w:tcW w:w="527" w:type="pct"/>
          </w:tcPr>
          <w:p w14:paraId="71D492F3" w14:textId="77777777" w:rsidR="00EB7374" w:rsidRPr="004572E2" w:rsidRDefault="00EB7374" w:rsidP="004572E2">
            <w:pPr>
              <w:jc w:val="right"/>
              <w:rPr>
                <w:rFonts w:eastAsia="Calibri"/>
                <w:sz w:val="16"/>
                <w:szCs w:val="16"/>
              </w:rPr>
            </w:pPr>
            <w:r w:rsidRPr="004572E2">
              <w:rPr>
                <w:sz w:val="16"/>
              </w:rPr>
              <w:t>1,360.6</w:t>
            </w:r>
          </w:p>
        </w:tc>
        <w:tc>
          <w:tcPr>
            <w:tcW w:w="527" w:type="pct"/>
          </w:tcPr>
          <w:p w14:paraId="031657DC" w14:textId="77777777" w:rsidR="00EB7374" w:rsidRPr="004572E2" w:rsidRDefault="00EB7374" w:rsidP="004572E2">
            <w:pPr>
              <w:jc w:val="right"/>
              <w:rPr>
                <w:rFonts w:eastAsia="Calibri"/>
                <w:sz w:val="16"/>
                <w:szCs w:val="16"/>
              </w:rPr>
            </w:pPr>
            <w:r w:rsidRPr="004572E2">
              <w:rPr>
                <w:sz w:val="16"/>
              </w:rPr>
              <w:t>1,544.3</w:t>
            </w:r>
          </w:p>
        </w:tc>
        <w:tc>
          <w:tcPr>
            <w:tcW w:w="527" w:type="pct"/>
          </w:tcPr>
          <w:p w14:paraId="0B3555D6" w14:textId="77777777" w:rsidR="00EB7374" w:rsidRPr="004572E2" w:rsidRDefault="00EB7374" w:rsidP="004572E2">
            <w:pPr>
              <w:jc w:val="right"/>
              <w:rPr>
                <w:rFonts w:eastAsia="Calibri"/>
                <w:sz w:val="16"/>
                <w:szCs w:val="16"/>
              </w:rPr>
            </w:pPr>
            <w:r w:rsidRPr="004572E2">
              <w:rPr>
                <w:sz w:val="16"/>
              </w:rPr>
              <w:t>1,675.5</w:t>
            </w:r>
          </w:p>
        </w:tc>
        <w:tc>
          <w:tcPr>
            <w:tcW w:w="528" w:type="pct"/>
          </w:tcPr>
          <w:p w14:paraId="182AAE17" w14:textId="77777777" w:rsidR="00EB7374" w:rsidRPr="004572E2" w:rsidRDefault="00EB7374" w:rsidP="004572E2">
            <w:pPr>
              <w:jc w:val="right"/>
              <w:rPr>
                <w:sz w:val="16"/>
                <w:szCs w:val="16"/>
              </w:rPr>
            </w:pPr>
            <w:r w:rsidRPr="004572E2">
              <w:rPr>
                <w:sz w:val="16"/>
              </w:rPr>
              <w:t>1,610.3</w:t>
            </w:r>
          </w:p>
        </w:tc>
      </w:tr>
      <w:tr w:rsidR="00EB7374" w:rsidRPr="004572E2" w14:paraId="356377E3" w14:textId="77777777" w:rsidTr="00C700EB">
        <w:trPr>
          <w:cantSplit/>
        </w:trPr>
        <w:tc>
          <w:tcPr>
            <w:tcW w:w="1308" w:type="pct"/>
          </w:tcPr>
          <w:p w14:paraId="2623F1B0" w14:textId="77777777" w:rsidR="00EB7374" w:rsidRPr="004572E2" w:rsidRDefault="00EB7374" w:rsidP="004572E2">
            <w:pPr>
              <w:jc w:val="left"/>
              <w:rPr>
                <w:rFonts w:eastAsia="Calibri"/>
                <w:sz w:val="16"/>
                <w:szCs w:val="16"/>
              </w:rPr>
            </w:pPr>
            <w:r w:rsidRPr="004572E2">
              <w:rPr>
                <w:sz w:val="16"/>
              </w:rPr>
              <w:t>Silver</w:t>
            </w:r>
          </w:p>
        </w:tc>
        <w:tc>
          <w:tcPr>
            <w:tcW w:w="527" w:type="pct"/>
          </w:tcPr>
          <w:p w14:paraId="4BFBAB21" w14:textId="77777777" w:rsidR="00EB7374" w:rsidRPr="004572E2" w:rsidRDefault="00EB7374" w:rsidP="004572E2">
            <w:pPr>
              <w:jc w:val="right"/>
              <w:rPr>
                <w:rFonts w:eastAsia="Calibri"/>
                <w:sz w:val="16"/>
                <w:szCs w:val="16"/>
              </w:rPr>
            </w:pPr>
            <w:r w:rsidRPr="004572E2">
              <w:rPr>
                <w:sz w:val="16"/>
              </w:rPr>
              <w:t>49.9</w:t>
            </w:r>
          </w:p>
        </w:tc>
        <w:tc>
          <w:tcPr>
            <w:tcW w:w="527" w:type="pct"/>
          </w:tcPr>
          <w:p w14:paraId="10E0E1B0" w14:textId="77777777" w:rsidR="00EB7374" w:rsidRPr="004572E2" w:rsidRDefault="00EB7374" w:rsidP="004572E2">
            <w:pPr>
              <w:jc w:val="right"/>
              <w:rPr>
                <w:rFonts w:eastAsia="Calibri"/>
                <w:sz w:val="16"/>
                <w:szCs w:val="16"/>
              </w:rPr>
            </w:pPr>
            <w:r w:rsidRPr="004572E2">
              <w:rPr>
                <w:sz w:val="16"/>
              </w:rPr>
              <w:t>68.4</w:t>
            </w:r>
          </w:p>
        </w:tc>
        <w:tc>
          <w:tcPr>
            <w:tcW w:w="527" w:type="pct"/>
          </w:tcPr>
          <w:p w14:paraId="1E3EE878" w14:textId="77777777" w:rsidR="00EB7374" w:rsidRPr="004572E2" w:rsidRDefault="00EB7374" w:rsidP="004572E2">
            <w:pPr>
              <w:jc w:val="right"/>
              <w:rPr>
                <w:rFonts w:eastAsia="Calibri"/>
                <w:sz w:val="16"/>
                <w:szCs w:val="16"/>
              </w:rPr>
            </w:pPr>
            <w:r w:rsidRPr="004572E2">
              <w:rPr>
                <w:sz w:val="16"/>
              </w:rPr>
              <w:t>82.7</w:t>
            </w:r>
          </w:p>
        </w:tc>
        <w:tc>
          <w:tcPr>
            <w:tcW w:w="527" w:type="pct"/>
          </w:tcPr>
          <w:p w14:paraId="6E68FAAA" w14:textId="77777777" w:rsidR="00EB7374" w:rsidRPr="004572E2" w:rsidRDefault="00EB7374" w:rsidP="004572E2">
            <w:pPr>
              <w:jc w:val="right"/>
              <w:rPr>
                <w:rFonts w:eastAsia="Calibri"/>
                <w:sz w:val="16"/>
                <w:szCs w:val="16"/>
              </w:rPr>
            </w:pPr>
            <w:r w:rsidRPr="004572E2">
              <w:rPr>
                <w:sz w:val="16"/>
              </w:rPr>
              <w:t>86.4</w:t>
            </w:r>
          </w:p>
        </w:tc>
        <w:tc>
          <w:tcPr>
            <w:tcW w:w="527" w:type="pct"/>
          </w:tcPr>
          <w:p w14:paraId="4C653901" w14:textId="77777777" w:rsidR="00EB7374" w:rsidRPr="004572E2" w:rsidRDefault="00EB7374" w:rsidP="004572E2">
            <w:pPr>
              <w:jc w:val="right"/>
              <w:rPr>
                <w:rFonts w:eastAsia="Calibri"/>
                <w:sz w:val="16"/>
                <w:szCs w:val="16"/>
              </w:rPr>
            </w:pPr>
            <w:r w:rsidRPr="004572E2">
              <w:rPr>
                <w:sz w:val="16"/>
              </w:rPr>
              <w:t>54.4</w:t>
            </w:r>
          </w:p>
        </w:tc>
        <w:tc>
          <w:tcPr>
            <w:tcW w:w="527" w:type="pct"/>
          </w:tcPr>
          <w:p w14:paraId="6248AEE8" w14:textId="77777777" w:rsidR="00EB7374" w:rsidRPr="004572E2" w:rsidRDefault="00EB7374" w:rsidP="004572E2">
            <w:pPr>
              <w:jc w:val="right"/>
              <w:rPr>
                <w:rFonts w:eastAsia="Calibri"/>
                <w:sz w:val="16"/>
                <w:szCs w:val="16"/>
              </w:rPr>
            </w:pPr>
            <w:r w:rsidRPr="004572E2">
              <w:rPr>
                <w:sz w:val="16"/>
              </w:rPr>
              <w:t>58.1</w:t>
            </w:r>
          </w:p>
        </w:tc>
        <w:tc>
          <w:tcPr>
            <w:tcW w:w="528" w:type="pct"/>
          </w:tcPr>
          <w:p w14:paraId="196AE86E" w14:textId="77777777" w:rsidR="00EB7374" w:rsidRPr="004572E2" w:rsidRDefault="00EB7374" w:rsidP="004572E2">
            <w:pPr>
              <w:jc w:val="right"/>
              <w:rPr>
                <w:sz w:val="16"/>
                <w:szCs w:val="16"/>
              </w:rPr>
            </w:pPr>
            <w:r w:rsidRPr="004572E2">
              <w:rPr>
                <w:sz w:val="16"/>
              </w:rPr>
              <w:t>61.7</w:t>
            </w:r>
          </w:p>
        </w:tc>
      </w:tr>
      <w:tr w:rsidR="00EB7374" w:rsidRPr="004572E2" w14:paraId="4B90F137" w14:textId="77777777" w:rsidTr="00C700EB">
        <w:trPr>
          <w:cnfStyle w:val="000000010000" w:firstRow="0" w:lastRow="0" w:firstColumn="0" w:lastColumn="0" w:oddVBand="0" w:evenVBand="0" w:oddHBand="0" w:evenHBand="1" w:firstRowFirstColumn="0" w:firstRowLastColumn="0" w:lastRowFirstColumn="0" w:lastRowLastColumn="0"/>
          <w:cantSplit/>
        </w:trPr>
        <w:tc>
          <w:tcPr>
            <w:tcW w:w="1308" w:type="pct"/>
          </w:tcPr>
          <w:p w14:paraId="43FB1495" w14:textId="77777777" w:rsidR="00EB7374" w:rsidRPr="004572E2" w:rsidRDefault="00EB7374" w:rsidP="004572E2">
            <w:pPr>
              <w:jc w:val="left"/>
              <w:rPr>
                <w:rFonts w:eastAsia="Calibri"/>
                <w:sz w:val="16"/>
                <w:szCs w:val="16"/>
              </w:rPr>
            </w:pPr>
            <w:r w:rsidRPr="004572E2">
              <w:rPr>
                <w:sz w:val="16"/>
              </w:rPr>
              <w:t>Zinc</w:t>
            </w:r>
          </w:p>
        </w:tc>
        <w:tc>
          <w:tcPr>
            <w:tcW w:w="527" w:type="pct"/>
          </w:tcPr>
          <w:p w14:paraId="12517F29" w14:textId="77777777" w:rsidR="00EB7374" w:rsidRPr="004572E2" w:rsidRDefault="00EB7374" w:rsidP="004572E2">
            <w:pPr>
              <w:jc w:val="right"/>
              <w:rPr>
                <w:rFonts w:eastAsia="Calibri"/>
                <w:sz w:val="16"/>
                <w:szCs w:val="16"/>
              </w:rPr>
            </w:pPr>
            <w:r w:rsidRPr="004572E2">
              <w:rPr>
                <w:sz w:val="16"/>
              </w:rPr>
              <w:t>7.6</w:t>
            </w:r>
          </w:p>
        </w:tc>
        <w:tc>
          <w:tcPr>
            <w:tcW w:w="527" w:type="pct"/>
          </w:tcPr>
          <w:p w14:paraId="5B87F201" w14:textId="77777777" w:rsidR="00EB7374" w:rsidRPr="004572E2" w:rsidRDefault="00EB7374" w:rsidP="004572E2">
            <w:pPr>
              <w:jc w:val="right"/>
              <w:rPr>
                <w:rFonts w:eastAsia="Calibri"/>
                <w:sz w:val="16"/>
                <w:szCs w:val="16"/>
              </w:rPr>
            </w:pPr>
            <w:r w:rsidRPr="004572E2">
              <w:rPr>
                <w:sz w:val="16"/>
              </w:rPr>
              <w:t>8.0</w:t>
            </w:r>
          </w:p>
        </w:tc>
        <w:tc>
          <w:tcPr>
            <w:tcW w:w="527" w:type="pct"/>
          </w:tcPr>
          <w:p w14:paraId="095BED5A" w14:textId="77777777" w:rsidR="00EB7374" w:rsidRPr="004572E2" w:rsidRDefault="00EB7374" w:rsidP="004572E2">
            <w:pPr>
              <w:jc w:val="right"/>
              <w:rPr>
                <w:rFonts w:eastAsia="Calibri"/>
                <w:sz w:val="16"/>
                <w:szCs w:val="16"/>
              </w:rPr>
            </w:pPr>
            <w:r w:rsidRPr="004572E2">
              <w:rPr>
                <w:sz w:val="16"/>
              </w:rPr>
              <w:t>10.4</w:t>
            </w:r>
          </w:p>
        </w:tc>
        <w:tc>
          <w:tcPr>
            <w:tcW w:w="527" w:type="pct"/>
          </w:tcPr>
          <w:p w14:paraId="26AD5922" w14:textId="77777777" w:rsidR="00EB7374" w:rsidRPr="004572E2" w:rsidRDefault="00EB7374" w:rsidP="004572E2">
            <w:pPr>
              <w:jc w:val="right"/>
              <w:rPr>
                <w:rFonts w:eastAsia="Calibri"/>
                <w:sz w:val="16"/>
                <w:szCs w:val="16"/>
              </w:rPr>
            </w:pPr>
            <w:r w:rsidRPr="004572E2">
              <w:rPr>
                <w:sz w:val="16"/>
              </w:rPr>
              <w:t>9.0</w:t>
            </w:r>
          </w:p>
        </w:tc>
        <w:tc>
          <w:tcPr>
            <w:tcW w:w="527" w:type="pct"/>
          </w:tcPr>
          <w:p w14:paraId="6341331C" w14:textId="77777777" w:rsidR="00EB7374" w:rsidRPr="004572E2" w:rsidRDefault="00EB7374" w:rsidP="004572E2">
            <w:pPr>
              <w:jc w:val="right"/>
              <w:rPr>
                <w:rFonts w:eastAsia="Calibri"/>
                <w:sz w:val="16"/>
                <w:szCs w:val="16"/>
              </w:rPr>
            </w:pPr>
            <w:r w:rsidRPr="004572E2">
              <w:rPr>
                <w:sz w:val="16"/>
              </w:rPr>
              <w:t>13.3</w:t>
            </w:r>
          </w:p>
        </w:tc>
        <w:tc>
          <w:tcPr>
            <w:tcW w:w="527" w:type="pct"/>
          </w:tcPr>
          <w:p w14:paraId="57529721" w14:textId="77777777" w:rsidR="00EB7374" w:rsidRPr="004572E2" w:rsidRDefault="00EB7374" w:rsidP="004572E2">
            <w:pPr>
              <w:jc w:val="right"/>
              <w:rPr>
                <w:rFonts w:eastAsia="Calibri"/>
                <w:sz w:val="16"/>
                <w:szCs w:val="16"/>
              </w:rPr>
            </w:pPr>
            <w:r w:rsidRPr="004572E2">
              <w:rPr>
                <w:sz w:val="16"/>
              </w:rPr>
              <w:t>5.1</w:t>
            </w:r>
          </w:p>
        </w:tc>
        <w:tc>
          <w:tcPr>
            <w:tcW w:w="528" w:type="pct"/>
          </w:tcPr>
          <w:p w14:paraId="167CC4A7" w14:textId="77777777" w:rsidR="00EB7374" w:rsidRPr="004572E2" w:rsidRDefault="00EB7374" w:rsidP="004572E2">
            <w:pPr>
              <w:jc w:val="right"/>
              <w:rPr>
                <w:sz w:val="16"/>
                <w:szCs w:val="16"/>
              </w:rPr>
            </w:pPr>
            <w:r w:rsidRPr="004572E2">
              <w:rPr>
                <w:sz w:val="16"/>
              </w:rPr>
              <w:t>13.4</w:t>
            </w:r>
          </w:p>
        </w:tc>
      </w:tr>
      <w:tr w:rsidR="00EB7374" w:rsidRPr="004572E2" w14:paraId="3A52CE71" w14:textId="77777777" w:rsidTr="00C700EB">
        <w:trPr>
          <w:cantSplit/>
        </w:trPr>
        <w:tc>
          <w:tcPr>
            <w:tcW w:w="5000" w:type="pct"/>
            <w:gridSpan w:val="8"/>
          </w:tcPr>
          <w:p w14:paraId="1282ADD0" w14:textId="77777777" w:rsidR="00EB7374" w:rsidRPr="004572E2" w:rsidRDefault="00EB7374" w:rsidP="004572E2">
            <w:pPr>
              <w:jc w:val="center"/>
              <w:rPr>
                <w:i/>
                <w:iCs/>
                <w:sz w:val="16"/>
                <w:szCs w:val="16"/>
              </w:rPr>
            </w:pPr>
          </w:p>
        </w:tc>
      </w:tr>
      <w:tr w:rsidR="00EB7374" w:rsidRPr="004572E2" w14:paraId="4A125A6D" w14:textId="77777777" w:rsidTr="00C700EB">
        <w:trPr>
          <w:cnfStyle w:val="000000010000" w:firstRow="0" w:lastRow="0" w:firstColumn="0" w:lastColumn="0" w:oddVBand="0" w:evenVBand="0" w:oddHBand="0" w:evenHBand="1" w:firstRowFirstColumn="0" w:firstRowLastColumn="0" w:lastRowFirstColumn="0" w:lastRowLastColumn="0"/>
          <w:cantSplit/>
        </w:trPr>
        <w:tc>
          <w:tcPr>
            <w:tcW w:w="1308" w:type="pct"/>
          </w:tcPr>
          <w:p w14:paraId="15C6A2A4" w14:textId="77777777" w:rsidR="00EB7374" w:rsidRPr="004572E2" w:rsidRDefault="00EB7374" w:rsidP="004572E2">
            <w:pPr>
              <w:jc w:val="left"/>
              <w:rPr>
                <w:sz w:val="16"/>
                <w:szCs w:val="16"/>
              </w:rPr>
            </w:pPr>
            <w:r w:rsidRPr="004572E2">
              <w:rPr>
                <w:sz w:val="16"/>
              </w:rPr>
              <w:t>Export</w:t>
            </w:r>
            <w:r w:rsidRPr="004572E2">
              <w:rPr>
                <w:sz w:val="16"/>
              </w:rPr>
              <w:noBreakHyphen/>
              <w:t>production ratio, by value (%)</w:t>
            </w:r>
          </w:p>
        </w:tc>
        <w:tc>
          <w:tcPr>
            <w:tcW w:w="527" w:type="pct"/>
          </w:tcPr>
          <w:p w14:paraId="005A1C0A" w14:textId="77777777" w:rsidR="00EB7374" w:rsidRPr="004572E2" w:rsidRDefault="00EB7374" w:rsidP="004572E2">
            <w:pPr>
              <w:jc w:val="right"/>
              <w:rPr>
                <w:rFonts w:eastAsia="Calibri"/>
                <w:sz w:val="16"/>
                <w:szCs w:val="16"/>
              </w:rPr>
            </w:pPr>
            <w:r w:rsidRPr="004572E2">
              <w:rPr>
                <w:sz w:val="16"/>
              </w:rPr>
              <w:t>99.4</w:t>
            </w:r>
          </w:p>
        </w:tc>
        <w:tc>
          <w:tcPr>
            <w:tcW w:w="527" w:type="pct"/>
          </w:tcPr>
          <w:p w14:paraId="1BF2506D" w14:textId="77777777" w:rsidR="00EB7374" w:rsidRPr="004572E2" w:rsidRDefault="00EB7374" w:rsidP="004572E2">
            <w:pPr>
              <w:jc w:val="right"/>
              <w:rPr>
                <w:rFonts w:eastAsia="Calibri"/>
                <w:sz w:val="16"/>
                <w:szCs w:val="16"/>
              </w:rPr>
            </w:pPr>
            <w:r w:rsidRPr="004572E2">
              <w:rPr>
                <w:sz w:val="16"/>
              </w:rPr>
              <w:t>99.7</w:t>
            </w:r>
          </w:p>
        </w:tc>
        <w:tc>
          <w:tcPr>
            <w:tcW w:w="527" w:type="pct"/>
          </w:tcPr>
          <w:p w14:paraId="3A042032" w14:textId="77777777" w:rsidR="00EB7374" w:rsidRPr="004572E2" w:rsidRDefault="00EB7374" w:rsidP="004572E2">
            <w:pPr>
              <w:jc w:val="right"/>
              <w:rPr>
                <w:rFonts w:eastAsia="Calibri"/>
                <w:sz w:val="16"/>
                <w:szCs w:val="16"/>
              </w:rPr>
            </w:pPr>
            <w:r w:rsidRPr="004572E2">
              <w:rPr>
                <w:sz w:val="16"/>
              </w:rPr>
              <w:t>99.7</w:t>
            </w:r>
          </w:p>
        </w:tc>
        <w:tc>
          <w:tcPr>
            <w:tcW w:w="527" w:type="pct"/>
          </w:tcPr>
          <w:p w14:paraId="4B53E1AD" w14:textId="77777777" w:rsidR="00EB7374" w:rsidRPr="004572E2" w:rsidRDefault="00EB7374" w:rsidP="004572E2">
            <w:pPr>
              <w:jc w:val="right"/>
              <w:rPr>
                <w:rFonts w:eastAsia="Calibri"/>
                <w:sz w:val="16"/>
                <w:szCs w:val="16"/>
              </w:rPr>
            </w:pPr>
            <w:r w:rsidRPr="004572E2">
              <w:rPr>
                <w:sz w:val="16"/>
              </w:rPr>
              <w:t>100.1</w:t>
            </w:r>
          </w:p>
        </w:tc>
        <w:tc>
          <w:tcPr>
            <w:tcW w:w="527" w:type="pct"/>
          </w:tcPr>
          <w:p w14:paraId="6C057692" w14:textId="77777777" w:rsidR="00EB7374" w:rsidRPr="004572E2" w:rsidRDefault="00EB7374" w:rsidP="004572E2">
            <w:pPr>
              <w:jc w:val="right"/>
              <w:rPr>
                <w:rFonts w:eastAsia="Calibri"/>
                <w:sz w:val="16"/>
                <w:szCs w:val="16"/>
              </w:rPr>
            </w:pPr>
            <w:r w:rsidRPr="004572E2">
              <w:rPr>
                <w:sz w:val="16"/>
              </w:rPr>
              <w:t>99.4</w:t>
            </w:r>
          </w:p>
        </w:tc>
        <w:tc>
          <w:tcPr>
            <w:tcW w:w="527" w:type="pct"/>
          </w:tcPr>
          <w:p w14:paraId="28A2BF3E" w14:textId="77777777" w:rsidR="00EB7374" w:rsidRPr="004572E2" w:rsidRDefault="00EB7374" w:rsidP="004572E2">
            <w:pPr>
              <w:jc w:val="right"/>
              <w:rPr>
                <w:rFonts w:eastAsia="Calibri"/>
                <w:sz w:val="16"/>
                <w:szCs w:val="16"/>
              </w:rPr>
            </w:pPr>
            <w:r w:rsidRPr="004572E2">
              <w:rPr>
                <w:sz w:val="16"/>
              </w:rPr>
              <w:t>106.7</w:t>
            </w:r>
          </w:p>
        </w:tc>
        <w:tc>
          <w:tcPr>
            <w:tcW w:w="528" w:type="pct"/>
          </w:tcPr>
          <w:p w14:paraId="068F7F46" w14:textId="77777777" w:rsidR="00EB7374" w:rsidRPr="004572E2" w:rsidRDefault="00EB7374" w:rsidP="004572E2">
            <w:pPr>
              <w:jc w:val="right"/>
              <w:rPr>
                <w:rFonts w:eastAsia="Calibri"/>
                <w:sz w:val="16"/>
                <w:szCs w:val="16"/>
              </w:rPr>
            </w:pPr>
            <w:r w:rsidRPr="004572E2">
              <w:rPr>
                <w:sz w:val="16"/>
              </w:rPr>
              <w:t>105.1</w:t>
            </w:r>
          </w:p>
        </w:tc>
      </w:tr>
      <w:tr w:rsidR="00EB7374" w:rsidRPr="004572E2" w14:paraId="1B8D8A52" w14:textId="77777777" w:rsidTr="00C700EB">
        <w:trPr>
          <w:cantSplit/>
        </w:trPr>
        <w:tc>
          <w:tcPr>
            <w:tcW w:w="1308" w:type="pct"/>
          </w:tcPr>
          <w:p w14:paraId="3D23D1B4" w14:textId="77777777" w:rsidR="00EB7374" w:rsidRPr="004572E2" w:rsidRDefault="00EB7374" w:rsidP="004572E2">
            <w:pPr>
              <w:jc w:val="left"/>
              <w:rPr>
                <w:rFonts w:eastAsia="Calibri"/>
                <w:sz w:val="16"/>
                <w:szCs w:val="16"/>
              </w:rPr>
            </w:pPr>
            <w:r w:rsidRPr="004572E2">
              <w:rPr>
                <w:sz w:val="16"/>
              </w:rPr>
              <w:t>Share of GDP (%)</w:t>
            </w:r>
          </w:p>
        </w:tc>
        <w:tc>
          <w:tcPr>
            <w:tcW w:w="527" w:type="pct"/>
            <w:vAlign w:val="center"/>
          </w:tcPr>
          <w:p w14:paraId="2230B285" w14:textId="77777777" w:rsidR="00EB7374" w:rsidRPr="004572E2" w:rsidRDefault="00EB7374" w:rsidP="004572E2">
            <w:pPr>
              <w:jc w:val="right"/>
              <w:rPr>
                <w:rFonts w:eastAsia="Calibri"/>
                <w:sz w:val="16"/>
                <w:szCs w:val="16"/>
              </w:rPr>
            </w:pPr>
            <w:r w:rsidRPr="004572E2">
              <w:rPr>
                <w:sz w:val="16"/>
              </w:rPr>
              <w:t>1.6</w:t>
            </w:r>
          </w:p>
        </w:tc>
        <w:tc>
          <w:tcPr>
            <w:tcW w:w="527" w:type="pct"/>
            <w:vAlign w:val="center"/>
          </w:tcPr>
          <w:p w14:paraId="413D60C6" w14:textId="77777777" w:rsidR="00EB7374" w:rsidRPr="004572E2" w:rsidRDefault="00EB7374" w:rsidP="004572E2">
            <w:pPr>
              <w:jc w:val="right"/>
              <w:rPr>
                <w:rFonts w:eastAsia="Calibri"/>
                <w:sz w:val="16"/>
                <w:szCs w:val="16"/>
              </w:rPr>
            </w:pPr>
            <w:r w:rsidRPr="004572E2">
              <w:rPr>
                <w:sz w:val="16"/>
              </w:rPr>
              <w:t>2.0</w:t>
            </w:r>
          </w:p>
        </w:tc>
        <w:tc>
          <w:tcPr>
            <w:tcW w:w="527" w:type="pct"/>
            <w:vAlign w:val="center"/>
          </w:tcPr>
          <w:p w14:paraId="6AB65834" w14:textId="77777777" w:rsidR="00EB7374" w:rsidRPr="004572E2" w:rsidRDefault="00EB7374" w:rsidP="004572E2">
            <w:pPr>
              <w:jc w:val="right"/>
              <w:rPr>
                <w:rFonts w:eastAsia="Calibri"/>
                <w:sz w:val="16"/>
                <w:szCs w:val="16"/>
              </w:rPr>
            </w:pPr>
            <w:r w:rsidRPr="004572E2">
              <w:rPr>
                <w:sz w:val="16"/>
              </w:rPr>
              <w:t>1.9</w:t>
            </w:r>
          </w:p>
        </w:tc>
        <w:tc>
          <w:tcPr>
            <w:tcW w:w="527" w:type="pct"/>
            <w:vAlign w:val="center"/>
          </w:tcPr>
          <w:p w14:paraId="7062BFA5" w14:textId="77777777" w:rsidR="00EB7374" w:rsidRPr="004572E2" w:rsidRDefault="00EB7374" w:rsidP="004572E2">
            <w:pPr>
              <w:jc w:val="right"/>
              <w:rPr>
                <w:rFonts w:eastAsia="Calibri"/>
                <w:sz w:val="16"/>
                <w:szCs w:val="16"/>
              </w:rPr>
            </w:pPr>
            <w:r w:rsidRPr="004572E2">
              <w:rPr>
                <w:sz w:val="16"/>
              </w:rPr>
              <w:t>1.7</w:t>
            </w:r>
          </w:p>
        </w:tc>
        <w:tc>
          <w:tcPr>
            <w:tcW w:w="527" w:type="pct"/>
            <w:vAlign w:val="center"/>
          </w:tcPr>
          <w:p w14:paraId="175F0758" w14:textId="77777777" w:rsidR="00EB7374" w:rsidRPr="004572E2" w:rsidRDefault="00EB7374" w:rsidP="004572E2">
            <w:pPr>
              <w:jc w:val="right"/>
              <w:rPr>
                <w:rFonts w:eastAsia="Calibri"/>
                <w:sz w:val="16"/>
                <w:szCs w:val="16"/>
              </w:rPr>
            </w:pPr>
            <w:r w:rsidRPr="004572E2">
              <w:rPr>
                <w:sz w:val="16"/>
              </w:rPr>
              <w:t>1.8</w:t>
            </w:r>
          </w:p>
        </w:tc>
        <w:tc>
          <w:tcPr>
            <w:tcW w:w="527" w:type="pct"/>
            <w:vAlign w:val="center"/>
          </w:tcPr>
          <w:p w14:paraId="33A96BC0" w14:textId="77777777" w:rsidR="00EB7374" w:rsidRPr="004572E2" w:rsidRDefault="00EB7374" w:rsidP="004572E2">
            <w:pPr>
              <w:jc w:val="right"/>
              <w:rPr>
                <w:rFonts w:eastAsia="Calibri"/>
                <w:sz w:val="16"/>
                <w:szCs w:val="16"/>
              </w:rPr>
            </w:pPr>
            <w:r w:rsidRPr="004572E2">
              <w:rPr>
                <w:sz w:val="16"/>
              </w:rPr>
              <w:t>2.0</w:t>
            </w:r>
          </w:p>
        </w:tc>
        <w:tc>
          <w:tcPr>
            <w:tcW w:w="528" w:type="pct"/>
            <w:vAlign w:val="center"/>
          </w:tcPr>
          <w:p w14:paraId="059761BF" w14:textId="77777777" w:rsidR="00EB7374" w:rsidRPr="004572E2" w:rsidRDefault="00EB7374" w:rsidP="004572E2">
            <w:pPr>
              <w:jc w:val="right"/>
              <w:rPr>
                <w:rFonts w:eastAsia="Calibri"/>
                <w:sz w:val="16"/>
                <w:szCs w:val="16"/>
              </w:rPr>
            </w:pPr>
            <w:r w:rsidRPr="004572E2">
              <w:rPr>
                <w:sz w:val="16"/>
              </w:rPr>
              <w:t>1.6</w:t>
            </w:r>
          </w:p>
        </w:tc>
      </w:tr>
    </w:tbl>
    <w:p w14:paraId="20002C88" w14:textId="77777777" w:rsidR="00EB7374" w:rsidRPr="004572E2" w:rsidRDefault="00EB7374" w:rsidP="00076BE1">
      <w:pPr>
        <w:pStyle w:val="NoteText"/>
        <w:spacing w:before="120"/>
      </w:pPr>
      <w:r w:rsidRPr="004572E2">
        <w:t>a</w:t>
      </w:r>
      <w:r w:rsidRPr="004572E2">
        <w:tab/>
        <w:t>Preliminary data.</w:t>
      </w:r>
    </w:p>
    <w:p w14:paraId="41B90E7C" w14:textId="77777777" w:rsidR="00EB7374" w:rsidRPr="004572E2" w:rsidRDefault="00EB7374" w:rsidP="00076BE1">
      <w:pPr>
        <w:pStyle w:val="NoteText"/>
        <w:spacing w:before="120" w:after="240"/>
      </w:pPr>
      <w:r w:rsidRPr="004572E2">
        <w:t>Source:</w:t>
      </w:r>
      <w:r w:rsidRPr="004572E2">
        <w:tab/>
        <w:t>Directorate</w:t>
      </w:r>
      <w:r w:rsidRPr="004572E2">
        <w:noBreakHyphen/>
        <w:t>General of Mining.</w:t>
      </w:r>
    </w:p>
    <w:p w14:paraId="736D83E9" w14:textId="77777777" w:rsidR="00EB7374" w:rsidRPr="004572E2" w:rsidRDefault="00EB7374" w:rsidP="00C80D98">
      <w:pPr>
        <w:pStyle w:val="BodyText"/>
      </w:pPr>
      <w:r w:rsidRPr="004572E2">
        <w:t>The Dominican Republic also has smaller</w:t>
      </w:r>
      <w:r w:rsidRPr="004572E2">
        <w:noBreakHyphen/>
        <w:t>scale mining operations for minerals such as bauxite.</w:t>
      </w:r>
      <w:r w:rsidRPr="004572E2">
        <w:rPr>
          <w:rStyle w:val="FootnoteReference"/>
        </w:rPr>
        <w:footnoteReference w:id="393"/>
      </w:r>
      <w:r w:rsidRPr="004572E2">
        <w:t xml:space="preserve"> Non</w:t>
      </w:r>
      <w:r w:rsidRPr="004572E2">
        <w:noBreakHyphen/>
        <w:t>metallic minerals are also exploited today. However, given their lower value, the total value of non</w:t>
      </w:r>
      <w:r w:rsidRPr="004572E2">
        <w:noBreakHyphen/>
        <w:t>metallic mineral production is around USD 230 million per year.</w:t>
      </w:r>
      <w:r w:rsidRPr="004572E2">
        <w:rPr>
          <w:rStyle w:val="FootnoteReference"/>
        </w:rPr>
        <w:footnoteReference w:id="394"/>
      </w:r>
      <w:r w:rsidRPr="004572E2">
        <w:t xml:space="preserve"> One such mineral is limestone, which is mined in both its coralline and crystalline forms. There is also some artisanal and small</w:t>
      </w:r>
      <w:r w:rsidRPr="004572E2">
        <w:noBreakHyphen/>
        <w:t>scale mining in the country.</w:t>
      </w:r>
    </w:p>
    <w:p w14:paraId="4B6A6BD1" w14:textId="77777777" w:rsidR="00EB7374" w:rsidRPr="004572E2" w:rsidRDefault="00EB7374" w:rsidP="00C80D98">
      <w:pPr>
        <w:pStyle w:val="BodyText"/>
      </w:pPr>
      <w:r w:rsidRPr="004572E2">
        <w:t>The Ministry of Energy and Mines (MEM) is the regulatory body for the country's mining and energy sector. Through various affiliated institutions (such as the Directorate</w:t>
      </w:r>
      <w:r w:rsidRPr="004572E2">
        <w:noBreakHyphen/>
        <w:t>General of Mining (</w:t>
      </w:r>
      <w:proofErr w:type="spellStart"/>
      <w:r w:rsidRPr="004572E2">
        <w:t>DGM</w:t>
      </w:r>
      <w:proofErr w:type="spellEnd"/>
      <w:r w:rsidRPr="004572E2">
        <w:t>) and the National Geological Service (</w:t>
      </w:r>
      <w:proofErr w:type="spellStart"/>
      <w:r w:rsidRPr="004572E2">
        <w:t>SGN</w:t>
      </w:r>
      <w:proofErr w:type="spellEnd"/>
      <w:r w:rsidRPr="004572E2">
        <w:t>)), MEM is responsible for issuing concessions, supervising companies and carrying out geological surveys. The Ministry is also tasked with developing, implementing and evaluating policies and strategies relating to the extractive sector. The Ministry of the Environment and Natural Resources (</w:t>
      </w:r>
      <w:proofErr w:type="spellStart"/>
      <w:r w:rsidRPr="004572E2">
        <w:t>MMARN</w:t>
      </w:r>
      <w:proofErr w:type="spellEnd"/>
      <w:r w:rsidRPr="004572E2">
        <w:t>) also oversees some aspects of extractive industries, as it issues environmental licences and verifies compliance with the General</w:t>
      </w:r>
      <w:r>
        <w:t> </w:t>
      </w:r>
      <w:r w:rsidRPr="004572E2">
        <w:t>Law on the Environment and Natural Resources (Law No. 64</w:t>
      </w:r>
      <w:r w:rsidRPr="004572E2">
        <w:noBreakHyphen/>
        <w:t>00).</w:t>
      </w:r>
    </w:p>
    <w:p w14:paraId="4CB7199A" w14:textId="37FE4890" w:rsidR="00EB7374" w:rsidRPr="004572E2" w:rsidRDefault="00EB7374" w:rsidP="00C80D98">
      <w:pPr>
        <w:pStyle w:val="BodyText"/>
      </w:pPr>
      <w:r w:rsidRPr="004572E2">
        <w:t>The mining sector is governed by Law No. 146</w:t>
      </w:r>
      <w:r w:rsidRPr="004572E2">
        <w:noBreakHyphen/>
        <w:t>71 (the Mining Law), the amendments thereto (Law No. 79</w:t>
      </w:r>
      <w:r w:rsidRPr="004572E2">
        <w:noBreakHyphen/>
        <w:t>03) and its implementing regulations (Decree No. 207</w:t>
      </w:r>
      <w:r w:rsidRPr="004572E2">
        <w:noBreakHyphen/>
        <w:t>98), which govern the exploration, exploitation and beneficiation of metallic and non</w:t>
      </w:r>
      <w:r w:rsidRPr="004572E2">
        <w:noBreakHyphen/>
        <w:t>metallic substances. These legal texts also regulate the tax</w:t>
      </w:r>
      <w:r w:rsidRPr="004572E2">
        <w:noBreakHyphen/>
        <w:t xml:space="preserve">related aspects of mining concessions (such as mining patents, export royalties and income tax). Under the Mining Law, special contracts can be entered into for the exploration and exploitation of resources in </w:t>
      </w:r>
      <w:proofErr w:type="spellStart"/>
      <w:r w:rsidR="002E6D43" w:rsidRPr="004572E2">
        <w:rPr>
          <w:i/>
          <w:iCs/>
        </w:rPr>
        <w:t>reservas</w:t>
      </w:r>
      <w:proofErr w:type="spellEnd"/>
      <w:r w:rsidR="002E6D43" w:rsidRPr="004572E2">
        <w:rPr>
          <w:i/>
          <w:iCs/>
        </w:rPr>
        <w:t xml:space="preserve"> </w:t>
      </w:r>
      <w:proofErr w:type="spellStart"/>
      <w:r w:rsidR="002E6D43" w:rsidRPr="004572E2">
        <w:rPr>
          <w:i/>
          <w:iCs/>
        </w:rPr>
        <w:t>fiscales</w:t>
      </w:r>
      <w:proofErr w:type="spellEnd"/>
      <w:r w:rsidRPr="004572E2">
        <w:t>; the terms and conditions of these contracts may differ from those set forth in the Mining Law. Special contracts must be approved by the National</w:t>
      </w:r>
      <w:r>
        <w:t> </w:t>
      </w:r>
      <w:r w:rsidRPr="004572E2">
        <w:t>Congress.</w:t>
      </w:r>
      <w:r w:rsidRPr="004572E2">
        <w:rPr>
          <w:rStyle w:val="FootnoteReference"/>
        </w:rPr>
        <w:footnoteReference w:id="395"/>
      </w:r>
    </w:p>
    <w:p w14:paraId="275DF945" w14:textId="77777777" w:rsidR="00EB7374" w:rsidRPr="004572E2" w:rsidRDefault="00EB7374" w:rsidP="00C80D98">
      <w:pPr>
        <w:pStyle w:val="BodyText"/>
      </w:pPr>
      <w:r w:rsidRPr="004572E2">
        <w:t>The Mining Law sets no limits on foreign ownership, except in relation to foreign governments or foreign state</w:t>
      </w:r>
      <w:r w:rsidRPr="004572E2">
        <w:noBreakHyphen/>
        <w:t>owned companies (Article 9 of the Mining Law).</w:t>
      </w:r>
      <w:r w:rsidRPr="004572E2">
        <w:rPr>
          <w:rStyle w:val="FootnoteReference"/>
        </w:rPr>
        <w:footnoteReference w:id="396"/>
      </w:r>
      <w:r w:rsidRPr="004572E2">
        <w:t xml:space="preserve"> However, if a foreign company obtains an exploitation concession, it must be incorporated in the Dominican Republic within six</w:t>
      </w:r>
      <w:r>
        <w:t> </w:t>
      </w:r>
      <w:r w:rsidRPr="004572E2">
        <w:t>months of obtaining the concession. Any national or foreign natural or legal person may carry out surface inspections (outside areas already covered by concessions).</w:t>
      </w:r>
    </w:p>
    <w:p w14:paraId="5B309B1D" w14:textId="77777777" w:rsidR="00EB7374" w:rsidRPr="004572E2" w:rsidRDefault="00EB7374" w:rsidP="00C80D98">
      <w:pPr>
        <w:pStyle w:val="BodyText"/>
      </w:pPr>
      <w:r w:rsidRPr="004572E2">
        <w:lastRenderedPageBreak/>
        <w:t>There are two types of concession: three</w:t>
      </w:r>
      <w:r w:rsidRPr="004572E2">
        <w:noBreakHyphen/>
        <w:t>year exploration concessions, which can be extended for a further two years maximum on justifiable grounds, and 75</w:t>
      </w:r>
      <w:r w:rsidRPr="004572E2">
        <w:noBreakHyphen/>
        <w:t>year exploitation concessions. Applications for both types of concession must include a work programme, maps and plans of the area, and documents attesting to the applicant's moral, technical and financial solvency.</w:t>
      </w:r>
      <w:r w:rsidRPr="004572E2">
        <w:rPr>
          <w:rStyle w:val="FootnoteReference"/>
        </w:rPr>
        <w:footnoteReference w:id="397"/>
      </w:r>
      <w:r w:rsidRPr="004572E2">
        <w:t xml:space="preserve"> The total cost of the application and concession can range from as little as DOP 96,200 for non</w:t>
      </w:r>
      <w:r w:rsidRPr="004572E2">
        <w:noBreakHyphen/>
        <w:t>metal exploration concessions to as much as DOP 148,300 for metal exploitation concessions. An environmental licence must be obtained before a concession can be awarded.</w:t>
      </w:r>
      <w:r w:rsidRPr="004572E2">
        <w:rPr>
          <w:rStyle w:val="FootnoteReference"/>
        </w:rPr>
        <w:footnoteReference w:id="398"/>
      </w:r>
      <w:r w:rsidRPr="004572E2">
        <w:t xml:space="preserve"> Mining concessions are recorded in the Public Register of Mining Rights, which serves as the basis for the Mining Cadastre.</w:t>
      </w:r>
      <w:r w:rsidRPr="004572E2">
        <w:rPr>
          <w:rStyle w:val="FootnoteReference"/>
        </w:rPr>
        <w:footnoteReference w:id="399"/>
      </w:r>
      <w:r w:rsidRPr="004572E2">
        <w:t xml:space="preserve"> Concessions are transferable, subject to the prior approval of MEM.</w:t>
      </w:r>
      <w:r w:rsidRPr="004572E2">
        <w:rPr>
          <w:rStyle w:val="FootnoteReference"/>
        </w:rPr>
        <w:footnoteReference w:id="400"/>
      </w:r>
    </w:p>
    <w:p w14:paraId="72BB9993" w14:textId="77777777" w:rsidR="00EB7374" w:rsidRPr="004572E2" w:rsidRDefault="00EB7374" w:rsidP="00C80D98">
      <w:pPr>
        <w:pStyle w:val="BodyText"/>
      </w:pPr>
      <w:r w:rsidRPr="004572E2">
        <w:t>Any Dominican or foreign natural or legal person that reports a new mineral discovery is given a 30</w:t>
      </w:r>
      <w:r w:rsidRPr="004572E2">
        <w:noBreakHyphen/>
        <w:t>day preferential right to apply for a concession. The holder of a valid exploration licence has the exclusive right to apply for an exploitation concession for the area covered by the exploration concession. Holders of exploitation concessions are granted tax stability for a period of 25 years. Once that period has expired, they must comply with the tax regime governing mining activities in force at that time.</w:t>
      </w:r>
    </w:p>
    <w:p w14:paraId="21FF87C7" w14:textId="244F0E70" w:rsidR="00EB7374" w:rsidRPr="004572E2" w:rsidRDefault="00EB7374" w:rsidP="00C80D98">
      <w:pPr>
        <w:pStyle w:val="BodyText"/>
      </w:pPr>
      <w:r w:rsidRPr="004572E2">
        <w:t xml:space="preserve">Chapter II </w:t>
      </w:r>
      <w:r w:rsidR="002E6D43">
        <w:t xml:space="preserve">of Title </w:t>
      </w:r>
      <w:r w:rsidR="00AA24A1">
        <w:t>VII</w:t>
      </w:r>
      <w:r w:rsidR="002E6D43">
        <w:t xml:space="preserve"> </w:t>
      </w:r>
      <w:r w:rsidRPr="004572E2">
        <w:t>of the Mining Law sets outs the amount and terms of the annual payment of the mining patent. The amount is calculated on a per</w:t>
      </w:r>
      <w:r w:rsidRPr="004572E2">
        <w:noBreakHyphen/>
        <w:t>hectare basis and is always higher for exploitation concessions than for exploration concessions; the per</w:t>
      </w:r>
      <w:r w:rsidRPr="004572E2">
        <w:noBreakHyphen/>
        <w:t>hectare amount also increases according to the surface area allocated.</w:t>
      </w:r>
      <w:r w:rsidRPr="004572E2">
        <w:rPr>
          <w:rStyle w:val="FootnoteReference"/>
        </w:rPr>
        <w:footnoteReference w:id="401"/>
      </w:r>
      <w:r w:rsidRPr="004572E2">
        <w:t xml:space="preserve"> Chapter III of</w:t>
      </w:r>
      <w:r w:rsidR="00AA24A1">
        <w:t xml:space="preserve"> Title VII of</w:t>
      </w:r>
      <w:r w:rsidRPr="004572E2">
        <w:t xml:space="preserve"> the Mining Law provides for a royalty of 5</w:t>
      </w:r>
      <w:r>
        <w:t>%</w:t>
      </w:r>
      <w:r w:rsidRPr="004572E2">
        <w:t xml:space="preserve"> of the f.o.b</w:t>
      </w:r>
      <w:r>
        <w:t> </w:t>
      </w:r>
      <w:r w:rsidRPr="004572E2">
        <w:t>selling price at Dominican ports for minerals exported in their natural state or in the form of metalliferous mineral concentrates. This royalty does not apply to exports of metallurgical products by beneficiation plants (smelting or refining). Although Article 122 of the Mining Law stipulates that surplus production may only be exported once domestic market demand has been met, domestic metal mining production is focused on the export market (Table 4.6), and the authorities have indicated that this provision has never been enforced.</w:t>
      </w:r>
      <w:r w:rsidRPr="004572E2">
        <w:rPr>
          <w:rStyle w:val="FootnoteReference"/>
        </w:rPr>
        <w:footnoteReference w:id="402"/>
      </w:r>
    </w:p>
    <w:p w14:paraId="63089C02" w14:textId="77777777" w:rsidR="00EB7374" w:rsidRPr="004572E2" w:rsidRDefault="00EB7374" w:rsidP="00C80D98">
      <w:pPr>
        <w:pStyle w:val="BodyText"/>
      </w:pPr>
      <w:r w:rsidRPr="004572E2">
        <w:t>In July 2022, a total of 26 metallic mineral exploration concessions and 40 non</w:t>
      </w:r>
      <w:r w:rsidRPr="004572E2">
        <w:noBreakHyphen/>
        <w:t>metallic mineral exploration concessions were in force, together with 2 metallic mineral exploitation concessions and 101 non</w:t>
      </w:r>
      <w:r w:rsidRPr="004572E2">
        <w:noBreakHyphen/>
        <w:t>metallic mineral exploitation concessions. Between 2015 and July 2022, 159 exploration concessions were awarded (58 of which were for metallic minerals) and 6</w:t>
      </w:r>
      <w:r>
        <w:t> </w:t>
      </w:r>
      <w:r w:rsidRPr="004572E2">
        <w:t>exploitation concessions (all for non</w:t>
      </w:r>
      <w:r w:rsidRPr="004572E2">
        <w:noBreakHyphen/>
        <w:t>metallic minerals). During that same period, 40 non</w:t>
      </w:r>
      <w:r w:rsidRPr="004572E2">
        <w:noBreakHyphen/>
        <w:t>metallic mineral exploitation concessions expired.</w:t>
      </w:r>
      <w:r w:rsidRPr="004572E2">
        <w:rPr>
          <w:rStyle w:val="FootnoteReference"/>
        </w:rPr>
        <w:footnoteReference w:id="403"/>
      </w:r>
    </w:p>
    <w:p w14:paraId="5C55D3D7" w14:textId="1B4D4333" w:rsidR="00EB7374" w:rsidRPr="004572E2" w:rsidRDefault="00EB7374" w:rsidP="00C80D98">
      <w:pPr>
        <w:pStyle w:val="BodyText"/>
      </w:pPr>
      <w:r w:rsidRPr="004572E2">
        <w:t xml:space="preserve">The executive branch may declare an area to be a </w:t>
      </w:r>
      <w:proofErr w:type="spellStart"/>
      <w:r w:rsidR="002E6D43" w:rsidRPr="004572E2">
        <w:rPr>
          <w:i/>
          <w:iCs/>
        </w:rPr>
        <w:t>reserva</w:t>
      </w:r>
      <w:proofErr w:type="spellEnd"/>
      <w:r w:rsidR="002E6D43" w:rsidRPr="004572E2">
        <w:rPr>
          <w:i/>
          <w:iCs/>
        </w:rPr>
        <w:t xml:space="preserve"> fiscal</w:t>
      </w:r>
      <w:r w:rsidR="002E6D43" w:rsidRPr="004572E2">
        <w:t xml:space="preserve"> </w:t>
      </w:r>
      <w:r w:rsidRPr="004572E2">
        <w:t xml:space="preserve">(Chapter III of </w:t>
      </w:r>
      <w:r w:rsidR="00AA24A1">
        <w:t xml:space="preserve">Title I of </w:t>
      </w:r>
      <w:r w:rsidRPr="004572E2">
        <w:t>the Mining Law).</w:t>
      </w:r>
      <w:r w:rsidRPr="004572E2">
        <w:rPr>
          <w:rStyle w:val="FootnoteReference"/>
        </w:rPr>
        <w:footnoteReference w:id="404"/>
      </w:r>
      <w:r w:rsidRPr="004572E2">
        <w:t xml:space="preserve"> The Mining Law provides for the possibility of negotiating special contracts between the State and private operators to exploit areas within these reserves. The special contracts are awarded through an open tender process and must be approved by the National Congress. At the start of the period under review, the Dominican Republic had two mining </w:t>
      </w:r>
      <w:proofErr w:type="spellStart"/>
      <w:r w:rsidR="002E6D43" w:rsidRPr="004572E2">
        <w:rPr>
          <w:i/>
          <w:iCs/>
        </w:rPr>
        <w:t>reservas</w:t>
      </w:r>
      <w:proofErr w:type="spellEnd"/>
      <w:r w:rsidR="002E6D43" w:rsidRPr="004572E2">
        <w:rPr>
          <w:i/>
          <w:iCs/>
        </w:rPr>
        <w:t xml:space="preserve"> </w:t>
      </w:r>
      <w:proofErr w:type="spellStart"/>
      <w:r w:rsidR="002E6D43" w:rsidRPr="004572E2">
        <w:rPr>
          <w:i/>
          <w:iCs/>
        </w:rPr>
        <w:t>fiscales</w:t>
      </w:r>
      <w:proofErr w:type="spellEnd"/>
      <w:r w:rsidRPr="004572E2">
        <w:t xml:space="preserve">: La </w:t>
      </w:r>
      <w:proofErr w:type="spellStart"/>
      <w:r w:rsidRPr="004572E2">
        <w:t>Cuaba</w:t>
      </w:r>
      <w:proofErr w:type="spellEnd"/>
      <w:r w:rsidRPr="004572E2">
        <w:t xml:space="preserve">, which was created in 1983 and then expanded in 1987, and Montenegro, which was created in 2004. In 2018, the Government established the Ávila </w:t>
      </w:r>
      <w:proofErr w:type="spellStart"/>
      <w:r w:rsidR="002E6D43" w:rsidRPr="004572E2">
        <w:rPr>
          <w:i/>
          <w:iCs/>
        </w:rPr>
        <w:t>reserva</w:t>
      </w:r>
      <w:proofErr w:type="spellEnd"/>
      <w:r w:rsidR="002E6D43" w:rsidRPr="004572E2">
        <w:rPr>
          <w:i/>
          <w:iCs/>
        </w:rPr>
        <w:t xml:space="preserve"> fiscal</w:t>
      </w:r>
      <w:r w:rsidRPr="004572E2">
        <w:t xml:space="preserve">, which covers an area of almost </w:t>
      </w:r>
      <w:r w:rsidRPr="004572E2">
        <w:lastRenderedPageBreak/>
        <w:t>15,000</w:t>
      </w:r>
      <w:r>
        <w:t> </w:t>
      </w:r>
      <w:r w:rsidRPr="004572E2">
        <w:t>hectares in the province of Pedernales.</w:t>
      </w:r>
      <w:r w:rsidRPr="004572E2">
        <w:rPr>
          <w:rStyle w:val="FootnoteReference"/>
        </w:rPr>
        <w:footnoteReference w:id="405"/>
      </w:r>
      <w:r w:rsidRPr="004572E2">
        <w:t xml:space="preserve"> Out of the three reserves, mining activities are only carried out in the Montenegro reserve, under two special contracts.</w:t>
      </w:r>
      <w:r w:rsidRPr="004572E2">
        <w:rPr>
          <w:rStyle w:val="FootnoteReference"/>
        </w:rPr>
        <w:footnoteReference w:id="406"/>
      </w:r>
      <w:r w:rsidRPr="004572E2">
        <w:t xml:space="preserve"> The contractual conditions related to taxation, renewal and duration vary depending on the contract, but must not be less favourable to the State than the national economic interests set forth in the Mining Law.</w:t>
      </w:r>
      <w:r w:rsidRPr="004572E2">
        <w:rPr>
          <w:rStyle w:val="FootnoteReference"/>
        </w:rPr>
        <w:footnoteReference w:id="407"/>
      </w:r>
    </w:p>
    <w:p w14:paraId="63ACB426" w14:textId="77777777" w:rsidR="00EB7374" w:rsidRPr="004572E2" w:rsidRDefault="00EB7374" w:rsidP="00C80D98">
      <w:pPr>
        <w:pStyle w:val="BodyText"/>
      </w:pPr>
      <w:r w:rsidRPr="004572E2">
        <w:t>Only one of the five main metal mining operations active in the Dominican Republic during the period under review is operated under the concessions scheme.</w:t>
      </w:r>
      <w:r w:rsidRPr="004572E2">
        <w:rPr>
          <w:rStyle w:val="FootnoteReference"/>
        </w:rPr>
        <w:footnoteReference w:id="408"/>
      </w:r>
      <w:r w:rsidRPr="004572E2">
        <w:t xml:space="preserve"> Three of the operations are or were run under special contracts, and the ferronickel mining operations are subject to a contract entered into in 1956, before the Mining Law came into force.</w:t>
      </w:r>
      <w:r w:rsidRPr="004572E2">
        <w:rPr>
          <w:rStyle w:val="FootnoteReference"/>
        </w:rPr>
        <w:footnoteReference w:id="409"/>
      </w:r>
    </w:p>
    <w:p w14:paraId="7387F5DC" w14:textId="77777777" w:rsidR="00EB7374" w:rsidRPr="004572E2" w:rsidRDefault="00EB7374" w:rsidP="00C80D98">
      <w:pPr>
        <w:pStyle w:val="BodyText"/>
      </w:pPr>
      <w:r w:rsidRPr="004572E2">
        <w:t>Between 2015 and 2021, the tax revenue from mining and extractive industries amounted to DOP 128.3 billion.</w:t>
      </w:r>
      <w:r w:rsidRPr="004572E2">
        <w:rPr>
          <w:rStyle w:val="FootnoteReference"/>
        </w:rPr>
        <w:footnoteReference w:id="410"/>
      </w:r>
      <w:r w:rsidRPr="004572E2">
        <w:t xml:space="preserve"> The main sources of these revenues were: the net profits share (PUN) (37.2</w:t>
      </w:r>
      <w:r>
        <w:t>%</w:t>
      </w:r>
      <w:r w:rsidRPr="004572E2">
        <w:t xml:space="preserve">), </w:t>
      </w:r>
      <w:proofErr w:type="spellStart"/>
      <w:r w:rsidRPr="004572E2">
        <w:t>ISR</w:t>
      </w:r>
      <w:proofErr w:type="spellEnd"/>
      <w:r w:rsidRPr="004572E2">
        <w:t xml:space="preserve"> (36.4</w:t>
      </w:r>
      <w:r>
        <w:t>%</w:t>
      </w:r>
      <w:r w:rsidRPr="004572E2">
        <w:t>) and the net smelter return (</w:t>
      </w:r>
      <w:proofErr w:type="spellStart"/>
      <w:r w:rsidRPr="004572E2">
        <w:t>RNF</w:t>
      </w:r>
      <w:proofErr w:type="spellEnd"/>
      <w:r w:rsidRPr="004572E2">
        <w:t>) royalty (17.6</w:t>
      </w:r>
      <w:r>
        <w:t>%</w:t>
      </w:r>
      <w:r w:rsidRPr="004572E2">
        <w:t>).</w:t>
      </w:r>
      <w:r w:rsidRPr="004572E2">
        <w:rPr>
          <w:rStyle w:val="FootnoteReference"/>
        </w:rPr>
        <w:footnoteReference w:id="411"/>
      </w:r>
      <w:r w:rsidRPr="004572E2">
        <w:t xml:space="preserve"> According to the data available for 2020 and 2021, 86.1</w:t>
      </w:r>
      <w:r>
        <w:t>%</w:t>
      </w:r>
      <w:r w:rsidRPr="004572E2">
        <w:t xml:space="preserve"> of these revenues is related to the Pueblo Viejo mine operations, the largest in the country, which extracts primarily gold and silver.</w:t>
      </w:r>
    </w:p>
    <w:p w14:paraId="41EFF3E1" w14:textId="77777777" w:rsidR="00EB7374" w:rsidRPr="004572E2" w:rsidRDefault="00EB7374" w:rsidP="00C80D98">
      <w:pPr>
        <w:pStyle w:val="BodyText"/>
      </w:pPr>
      <w:r w:rsidRPr="004572E2">
        <w:t>The Dominican State</w:t>
      </w:r>
      <w:r w:rsidRPr="004572E2">
        <w:noBreakHyphen/>
        <w:t>Owned Enterprises Corporation (</w:t>
      </w:r>
      <w:proofErr w:type="spellStart"/>
      <w:r w:rsidRPr="004572E2">
        <w:t>CORDE</w:t>
      </w:r>
      <w:proofErr w:type="spellEnd"/>
      <w:r w:rsidRPr="004572E2">
        <w:t>), which is currently in the process of being dissolved by the Commission for the Liquidation of State Organs (CLOE), holds six</w:t>
      </w:r>
      <w:r>
        <w:t> </w:t>
      </w:r>
      <w:r w:rsidRPr="004572E2">
        <w:t>non</w:t>
      </w:r>
      <w:r w:rsidRPr="004572E2">
        <w:noBreakHyphen/>
        <w:t xml:space="preserve">metallic mining concessions (for travertine, marble, gypsum and salt). Three of these concessions, for the exploitation of marble and gypsum, have been leased out by </w:t>
      </w:r>
      <w:proofErr w:type="spellStart"/>
      <w:r w:rsidRPr="004572E2">
        <w:t>CORDE</w:t>
      </w:r>
      <w:proofErr w:type="spellEnd"/>
      <w:r w:rsidRPr="004572E2">
        <w:t xml:space="preserve"> since 2000 under leasing contracts.</w:t>
      </w:r>
    </w:p>
    <w:p w14:paraId="2D6BDB6D" w14:textId="77777777" w:rsidR="00EB7374" w:rsidRPr="004572E2" w:rsidRDefault="00EB7374" w:rsidP="00C80D98">
      <w:pPr>
        <w:pStyle w:val="BodyText"/>
      </w:pPr>
      <w:r w:rsidRPr="004572E2">
        <w:t>The State also holds a 9.98</w:t>
      </w:r>
      <w:r>
        <w:t>%</w:t>
      </w:r>
      <w:r w:rsidRPr="004572E2">
        <w:t xml:space="preserve"> stake in the company Falconbridge </w:t>
      </w:r>
      <w:proofErr w:type="spellStart"/>
      <w:r w:rsidRPr="004572E2">
        <w:t>Dominicana</w:t>
      </w:r>
      <w:proofErr w:type="spellEnd"/>
      <w:r w:rsidRPr="004572E2">
        <w:t xml:space="preserve"> and, up until 2019, almost all of these shares were managed by </w:t>
      </w:r>
      <w:proofErr w:type="spellStart"/>
      <w:r w:rsidRPr="004572E2">
        <w:t>CORDE</w:t>
      </w:r>
      <w:proofErr w:type="spellEnd"/>
      <w:r w:rsidRPr="004572E2">
        <w:t>.</w:t>
      </w:r>
      <w:r w:rsidRPr="004572E2">
        <w:rPr>
          <w:rStyle w:val="FootnoteReference"/>
        </w:rPr>
        <w:footnoteReference w:id="412"/>
      </w:r>
      <w:r w:rsidRPr="004572E2">
        <w:t xml:space="preserve"> Then in 2019, the shares managed by </w:t>
      </w:r>
      <w:proofErr w:type="spellStart"/>
      <w:r w:rsidRPr="004572E2">
        <w:t>CORDE</w:t>
      </w:r>
      <w:proofErr w:type="spellEnd"/>
      <w:r w:rsidRPr="004572E2">
        <w:t xml:space="preserve"> were transferred first to the Reformed Companies Equity Fund (</w:t>
      </w:r>
      <w:proofErr w:type="spellStart"/>
      <w:r w:rsidRPr="004572E2">
        <w:t>FONPER</w:t>
      </w:r>
      <w:proofErr w:type="spellEnd"/>
      <w:r w:rsidRPr="004572E2">
        <w:t>), established in 2001, and then to the Ministry of Finance.</w:t>
      </w:r>
      <w:r w:rsidRPr="004572E2">
        <w:rPr>
          <w:rStyle w:val="FootnoteReference"/>
        </w:rPr>
        <w:footnoteReference w:id="413"/>
      </w:r>
      <w:r w:rsidRPr="004572E2">
        <w:t xml:space="preserve"> According to the authorities, the purpose of this second transfer was to consolidate the management of all the State's interests in the hands of a single representative.</w:t>
      </w:r>
    </w:p>
    <w:p w14:paraId="1DCDB287" w14:textId="77777777" w:rsidR="00EB7374" w:rsidRPr="004572E2" w:rsidRDefault="00EB7374" w:rsidP="00C80D98">
      <w:pPr>
        <w:pStyle w:val="BodyText"/>
      </w:pPr>
      <w:r w:rsidRPr="004572E2">
        <w:t>In order to monitor mining activity in the country, between 2017 and 2020, all exports of metallic and non</w:t>
      </w:r>
      <w:r w:rsidRPr="004572E2">
        <w:noBreakHyphen/>
        <w:t>metallic minerals under the concessions system required a certificate of no</w:t>
      </w:r>
      <w:r w:rsidRPr="004572E2">
        <w:noBreakHyphen/>
        <w:t>objection issued by MEM.</w:t>
      </w:r>
      <w:r w:rsidRPr="004572E2">
        <w:rPr>
          <w:rStyle w:val="FootnoteReference"/>
        </w:rPr>
        <w:footnoteReference w:id="414"/>
      </w:r>
      <w:r w:rsidRPr="004572E2">
        <w:t xml:space="preserve"> This certificate cost DOP 1,000 and, according to official information, was issued within one day.</w:t>
      </w:r>
    </w:p>
    <w:p w14:paraId="774694EB" w14:textId="77777777" w:rsidR="00EB7374" w:rsidRPr="004572E2" w:rsidRDefault="00EB7374" w:rsidP="00C80D98">
      <w:pPr>
        <w:pStyle w:val="BodyText"/>
      </w:pPr>
      <w:r w:rsidRPr="004572E2">
        <w:t>In 2016, a ban was placed on exports of amber and laminar in their natural state or semi</w:t>
      </w:r>
      <w:r w:rsidRPr="004572E2">
        <w:noBreakHyphen/>
        <w:t>processed to promote domestic processing activities and develop an artisanal industry; these minerals were only authorized for export in their processed form.</w:t>
      </w:r>
      <w:r w:rsidRPr="004572E2">
        <w:rPr>
          <w:rStyle w:val="FootnoteReference"/>
        </w:rPr>
        <w:footnoteReference w:id="415"/>
      </w:r>
      <w:r w:rsidRPr="004572E2">
        <w:t xml:space="preserve"> However, in 2018, the ban on exports of these minerals in their natural state and semi</w:t>
      </w:r>
      <w:r w:rsidRPr="004572E2">
        <w:noBreakHyphen/>
        <w:t xml:space="preserve">processed was lifted. In addition, amber and laminar concessions stopped being granted only to cooperatives and </w:t>
      </w:r>
      <w:r w:rsidRPr="004572E2">
        <w:rPr>
          <w:i/>
          <w:iCs/>
        </w:rPr>
        <w:t>campesino</w:t>
      </w:r>
      <w:r w:rsidRPr="004572E2">
        <w:t xml:space="preserve"> associations from the areas where the deposits are located.</w:t>
      </w:r>
      <w:r w:rsidRPr="004572E2">
        <w:rPr>
          <w:rStyle w:val="FootnoteReference"/>
        </w:rPr>
        <w:footnoteReference w:id="416"/>
      </w:r>
      <w:r w:rsidRPr="004572E2">
        <w:t xml:space="preserve"> In this connection, in 2019, a regulation was issued that delimits exclusive areas and sets out the requirements and the methods and equipment allowed </w:t>
      </w:r>
      <w:r w:rsidRPr="004572E2">
        <w:lastRenderedPageBreak/>
        <w:t>for the artisanal exploitation of these minerals. That regulation also stipulates that a certificate of no</w:t>
      </w:r>
      <w:r w:rsidRPr="004572E2">
        <w:noBreakHyphen/>
        <w:t>objection must be obtained from MEM in order to export these minerals in their natural state or semi</w:t>
      </w:r>
      <w:r w:rsidRPr="004572E2">
        <w:noBreakHyphen/>
        <w:t>processed</w:t>
      </w:r>
      <w:r w:rsidRPr="004572E2">
        <w:rPr>
          <w:rStyle w:val="FootnoteReference"/>
        </w:rPr>
        <w:t>.</w:t>
      </w:r>
      <w:r w:rsidRPr="004572E2">
        <w:rPr>
          <w:rStyle w:val="FootnoteReference"/>
        </w:rPr>
        <w:footnoteReference w:id="417"/>
      </w:r>
    </w:p>
    <w:p w14:paraId="69CBFE32" w14:textId="77777777" w:rsidR="00EB7374" w:rsidRPr="004572E2" w:rsidRDefault="00EB7374" w:rsidP="00C80D98">
      <w:pPr>
        <w:pStyle w:val="Heading3"/>
      </w:pPr>
      <w:bookmarkStart w:id="330" w:name="_Toc417038534"/>
      <w:bookmarkStart w:id="331" w:name="_Toc114735772"/>
      <w:bookmarkStart w:id="332" w:name="_Toc117260653"/>
      <w:r w:rsidRPr="004572E2">
        <w:t>Hydrocarbons</w:t>
      </w:r>
      <w:bookmarkEnd w:id="330"/>
      <w:bookmarkEnd w:id="331"/>
      <w:bookmarkEnd w:id="332"/>
    </w:p>
    <w:p w14:paraId="51E3A3B2" w14:textId="77777777" w:rsidR="00EB7374" w:rsidRPr="004572E2" w:rsidRDefault="00EB7374" w:rsidP="00C80D98">
      <w:pPr>
        <w:pStyle w:val="BodyText"/>
      </w:pPr>
      <w:r w:rsidRPr="004572E2">
        <w:t>The Dominican Republic remains a net importer of hydrocarbons. The cumulative trade deficit during the review period in mineral products (</w:t>
      </w:r>
      <w:bookmarkStart w:id="333" w:name="_Hlk109912427"/>
      <w:r w:rsidRPr="004572E2">
        <w:t>Section V of the Harmonized System</w:t>
      </w:r>
      <w:bookmarkEnd w:id="333"/>
      <w:r w:rsidRPr="004572E2">
        <w:t>) stood at over USD 14 billion. Imports increased by 54</w:t>
      </w:r>
      <w:r>
        <w:t>%</w:t>
      </w:r>
      <w:r w:rsidRPr="004572E2">
        <w:t xml:space="preserve"> between 2015 and 2021, highlighting a steady rise throughout that period under review, with the exception of 2020. In 2021, these mineral products were the main products imported by the Dominican Republic, accounting for 16.9</w:t>
      </w:r>
      <w:r>
        <w:t>%</w:t>
      </w:r>
      <w:r w:rsidRPr="004572E2">
        <w:t xml:space="preserve"> of total imports. Exports remained relatively stable, ranging between USD 1.4 billion and USD 1.6 billion per year until 2019. They then dropped sharply, down to USD 1.1 billion for 2020 and 2021 combined.</w:t>
      </w:r>
    </w:p>
    <w:p w14:paraId="250BD435" w14:textId="77777777" w:rsidR="00EB7374" w:rsidRPr="004572E2" w:rsidRDefault="00EB7374" w:rsidP="00C80D98">
      <w:pPr>
        <w:pStyle w:val="BodyText"/>
      </w:pPr>
      <w:r w:rsidRPr="004572E2">
        <w:t>The institutions governing the hydrocarbons sector are MEM, which is the regulatory body for exploration and exploitation, and the Ministry of Industry, Trade and MSMEs (</w:t>
      </w:r>
      <w:proofErr w:type="spellStart"/>
      <w:r w:rsidRPr="004572E2">
        <w:t>MICM</w:t>
      </w:r>
      <w:proofErr w:type="spellEnd"/>
      <w:r w:rsidRPr="004572E2">
        <w:t>), which is responsible for regulating and overseeing the commercialization of petroleum products.</w:t>
      </w:r>
      <w:r w:rsidRPr="004572E2">
        <w:rPr>
          <w:rStyle w:val="FootnoteReference"/>
        </w:rPr>
        <w:footnoteReference w:id="418"/>
      </w:r>
    </w:p>
    <w:p w14:paraId="51D8C859" w14:textId="77777777" w:rsidR="00EB7374" w:rsidRPr="004572E2" w:rsidRDefault="00EB7374" w:rsidP="00C80D98">
      <w:pPr>
        <w:pStyle w:val="BodyText"/>
      </w:pPr>
      <w:r w:rsidRPr="004572E2">
        <w:t>No substantial changes were made to the legal framework governing hydrocarbons during the period under review. Law No. 4532</w:t>
      </w:r>
      <w:r w:rsidRPr="004572E2">
        <w:noBreakHyphen/>
        <w:t>56 (as amended by Law No. 4833</w:t>
      </w:r>
      <w:r w:rsidRPr="004572E2">
        <w:noBreakHyphen/>
        <w:t>58) governs the exploration and exploitation of hydrocarbons and Law No. 112</w:t>
      </w:r>
      <w:r w:rsidRPr="004572E2">
        <w:noBreakHyphen/>
        <w:t>00 (as amended by Laws No. 557</w:t>
      </w:r>
      <w:r w:rsidRPr="004572E2">
        <w:noBreakHyphen/>
        <w:t>05, No. 495</w:t>
      </w:r>
      <w:r w:rsidRPr="004572E2">
        <w:noBreakHyphen/>
        <w:t>06 and No. 253</w:t>
      </w:r>
      <w:r w:rsidRPr="004572E2">
        <w:noBreakHyphen/>
        <w:t>12) governs the commercialization of petroleum products. Other laws, such as the General Law on Electricity, contain measures related to specific subsectors and products.</w:t>
      </w:r>
    </w:p>
    <w:p w14:paraId="048AE909" w14:textId="77777777" w:rsidR="00EB7374" w:rsidRPr="004572E2" w:rsidRDefault="00EB7374" w:rsidP="00C80D98">
      <w:pPr>
        <w:pStyle w:val="BodyText"/>
      </w:pPr>
      <w:r w:rsidRPr="004572E2">
        <w:t>Non</w:t>
      </w:r>
      <w:r w:rsidRPr="004572E2">
        <w:noBreakHyphen/>
        <w:t>renewable natural resources belong to the Nation, and exploration and exploitation rights are granted to private</w:t>
      </w:r>
      <w:r w:rsidRPr="004572E2">
        <w:noBreakHyphen/>
        <w:t>sector entities through concession contracts following a tender process. These concession contracts must be approved by Congress. Other governments are prohibited from involvement in the exploitation and/or exploration of deposits either directly or as partners of or shareholders in companies that hold a permit or concession.</w:t>
      </w:r>
      <w:r w:rsidRPr="004572E2">
        <w:rPr>
          <w:rStyle w:val="FootnoteReference"/>
        </w:rPr>
        <w:footnoteReference w:id="419"/>
      </w:r>
      <w:r w:rsidRPr="004572E2">
        <w:t xml:space="preserve"> Furthermore, all geological and geophysical surveys must be authorized by MEM, and all survey results must be submitted to the Ministry.</w:t>
      </w:r>
      <w:r w:rsidRPr="004572E2">
        <w:rPr>
          <w:rStyle w:val="FootnoteReference"/>
        </w:rPr>
        <w:footnoteReference w:id="420"/>
      </w:r>
    </w:p>
    <w:p w14:paraId="601AA48E" w14:textId="77777777" w:rsidR="00EB7374" w:rsidRPr="004572E2" w:rsidRDefault="00EB7374" w:rsidP="00C80D98">
      <w:pPr>
        <w:pStyle w:val="BodyText"/>
      </w:pPr>
      <w:r w:rsidRPr="004572E2">
        <w:t>In 2016, the first regulation governing the exploration and production of hydrocarbons was issued; it covers hydrocarbons in any physical form present in the soil or subsoil of the national territory, including the exclusive economic zone and the continental shelf. In 2021, the periods of validity set in 2016 for exploration and exploitation contracts were extended.</w:t>
      </w:r>
      <w:r w:rsidRPr="004572E2">
        <w:rPr>
          <w:rStyle w:val="FootnoteReference"/>
        </w:rPr>
        <w:footnoteReference w:id="421"/>
      </w:r>
    </w:p>
    <w:p w14:paraId="7927D4D1" w14:textId="77777777" w:rsidR="00EB7374" w:rsidRPr="004572E2" w:rsidRDefault="00EB7374" w:rsidP="00C80D98">
      <w:pPr>
        <w:pStyle w:val="BodyText"/>
      </w:pPr>
      <w:r w:rsidRPr="004572E2">
        <w:t>In 2019, the Dominican Republic opened the first licensing round for oil and gas blocks, which resulted in one block located on the continental shelf being auctioned off.</w:t>
      </w:r>
      <w:r w:rsidRPr="004572E2">
        <w:rPr>
          <w:rStyle w:val="FootnoteReference"/>
        </w:rPr>
        <w:footnoteReference w:id="422"/>
      </w:r>
      <w:r w:rsidRPr="004572E2">
        <w:t xml:space="preserve"> In 2021, the exploitation contract and the amendment thereto were approved by Congress and promulgated by the executive branch.</w:t>
      </w:r>
      <w:r w:rsidRPr="004572E2">
        <w:rPr>
          <w:rStyle w:val="FootnoteReference"/>
        </w:rPr>
        <w:footnoteReference w:id="423"/>
      </w:r>
      <w:r w:rsidRPr="004572E2">
        <w:t xml:space="preserve"> This is the only such concession contract currently in force in the Dominican</w:t>
      </w:r>
      <w:r>
        <w:t> </w:t>
      </w:r>
      <w:r w:rsidRPr="004572E2">
        <w:t>Republic.</w:t>
      </w:r>
    </w:p>
    <w:p w14:paraId="081C5216" w14:textId="77777777" w:rsidR="00EB7374" w:rsidRPr="004572E2" w:rsidRDefault="00EB7374" w:rsidP="00C80D98">
      <w:pPr>
        <w:pStyle w:val="BodyText"/>
      </w:pPr>
      <w:r w:rsidRPr="004572E2">
        <w:t xml:space="preserve">Imports of fossil fuels and petroleum products are subject to a licence issued by the </w:t>
      </w:r>
      <w:proofErr w:type="spellStart"/>
      <w:r w:rsidRPr="004572E2">
        <w:t>MICM</w:t>
      </w:r>
      <w:proofErr w:type="spellEnd"/>
      <w:r w:rsidRPr="004572E2">
        <w:rPr>
          <w:rStyle w:val="FootnoteReference"/>
        </w:rPr>
        <w:footnoteReference w:id="424"/>
      </w:r>
      <w:r w:rsidRPr="004572E2">
        <w:t>, and imports to be used to produce electricity must also be authorized by the National Energy Commission.</w:t>
      </w:r>
      <w:r w:rsidRPr="004572E2">
        <w:rPr>
          <w:rStyle w:val="FootnoteReference"/>
        </w:rPr>
        <w:footnoteReference w:id="425"/>
      </w:r>
      <w:r w:rsidRPr="004572E2">
        <w:t xml:space="preserve"> The </w:t>
      </w:r>
      <w:proofErr w:type="spellStart"/>
      <w:r w:rsidRPr="004572E2">
        <w:t>MICM</w:t>
      </w:r>
      <w:proofErr w:type="spellEnd"/>
      <w:r w:rsidRPr="004572E2">
        <w:t xml:space="preserve"> also grants licences for the storage, transport and distribution of petroleum </w:t>
      </w:r>
      <w:r w:rsidRPr="004572E2">
        <w:lastRenderedPageBreak/>
        <w:t>products, as well as the operation of petrol stations and other fuel retail outlets (such as for LPG).</w:t>
      </w:r>
      <w:r w:rsidRPr="004572E2">
        <w:rPr>
          <w:rStyle w:val="FootnoteReference"/>
        </w:rPr>
        <w:footnoteReference w:id="426"/>
      </w:r>
      <w:r w:rsidRPr="004572E2">
        <w:t xml:space="preserve"> The </w:t>
      </w:r>
      <w:proofErr w:type="spellStart"/>
      <w:r w:rsidRPr="004572E2">
        <w:t>MICM</w:t>
      </w:r>
      <w:proofErr w:type="spellEnd"/>
      <w:r w:rsidRPr="004572E2">
        <w:t xml:space="preserve"> issues resolutions governing various aspects of these activities (including construction and operation requirements, Ministry service charges and licences). In 2021, the period of validity of licences issued by the </w:t>
      </w:r>
      <w:proofErr w:type="spellStart"/>
      <w:r w:rsidRPr="004572E2">
        <w:t>MICM</w:t>
      </w:r>
      <w:proofErr w:type="spellEnd"/>
      <w:r w:rsidRPr="004572E2">
        <w:t xml:space="preserve"> was increased from one to two years.</w:t>
      </w:r>
      <w:r w:rsidRPr="004572E2">
        <w:rPr>
          <w:rStyle w:val="FootnoteReference"/>
        </w:rPr>
        <w:footnoteReference w:id="427"/>
      </w:r>
    </w:p>
    <w:p w14:paraId="4185C8B8" w14:textId="77777777" w:rsidR="00EB7374" w:rsidRPr="004572E2" w:rsidRDefault="00EB7374" w:rsidP="00C80D98">
      <w:pPr>
        <w:pStyle w:val="BodyText"/>
      </w:pPr>
      <w:r w:rsidRPr="004572E2">
        <w:t xml:space="preserve">The Dominican Republic has one single refinery, the </w:t>
      </w:r>
      <w:proofErr w:type="spellStart"/>
      <w:r w:rsidRPr="004572E2">
        <w:t>Refinería</w:t>
      </w:r>
      <w:proofErr w:type="spellEnd"/>
      <w:r w:rsidRPr="004572E2">
        <w:t xml:space="preserve"> </w:t>
      </w:r>
      <w:proofErr w:type="spellStart"/>
      <w:r w:rsidRPr="004572E2">
        <w:t>Dominicana</w:t>
      </w:r>
      <w:proofErr w:type="spellEnd"/>
      <w:r w:rsidRPr="004572E2">
        <w:t xml:space="preserve"> de </w:t>
      </w:r>
      <w:proofErr w:type="spellStart"/>
      <w:r w:rsidRPr="004572E2">
        <w:t>Petróleo</w:t>
      </w:r>
      <w:proofErr w:type="spellEnd"/>
      <w:r w:rsidRPr="004572E2">
        <w:t xml:space="preserve"> SA (</w:t>
      </w:r>
      <w:proofErr w:type="spellStart"/>
      <w:r w:rsidRPr="004572E2">
        <w:t>REFIDOMSA</w:t>
      </w:r>
      <w:proofErr w:type="spellEnd"/>
      <w:r w:rsidRPr="004572E2">
        <w:t>), which has a refining capacity of 35,000 barrels a day. In 2021, the Dominican Government acquired the remaining 49</w:t>
      </w:r>
      <w:r>
        <w:t>%</w:t>
      </w:r>
      <w:r w:rsidRPr="004572E2">
        <w:t xml:space="preserve"> of the shares in </w:t>
      </w:r>
      <w:proofErr w:type="spellStart"/>
      <w:r w:rsidRPr="004572E2">
        <w:t>REFIDOMSA</w:t>
      </w:r>
      <w:proofErr w:type="spellEnd"/>
      <w:r w:rsidRPr="004572E2">
        <w:t xml:space="preserve">, making it the sole shareholder. During the period under review, the company has expanded its list of crude oil suppliers and improved its refining process. Domestically refined petroleum products met a fifth of the country's demand for these products in the period under review. The rest was imported by </w:t>
      </w:r>
      <w:proofErr w:type="spellStart"/>
      <w:r w:rsidRPr="004572E2">
        <w:t>REFIDOMSA</w:t>
      </w:r>
      <w:proofErr w:type="spellEnd"/>
      <w:r w:rsidRPr="004572E2">
        <w:t xml:space="preserve"> and another six privately owned companies, with the public sector providing approximately 60</w:t>
      </w:r>
      <w:r>
        <w:t>%</w:t>
      </w:r>
      <w:r w:rsidRPr="004572E2">
        <w:t xml:space="preserve"> of marketed fuels.</w:t>
      </w:r>
    </w:p>
    <w:p w14:paraId="4472138F" w14:textId="77777777" w:rsidR="00EB7374" w:rsidRPr="004572E2" w:rsidRDefault="00EB7374" w:rsidP="00C80D98">
      <w:pPr>
        <w:pStyle w:val="BodyText"/>
      </w:pPr>
      <w:r w:rsidRPr="004572E2">
        <w:t>In 2021, 78 million barrels of natural gas were imported, representing an increase of 86</w:t>
      </w:r>
      <w:r>
        <w:t>%</w:t>
      </w:r>
      <w:r w:rsidRPr="004572E2">
        <w:t xml:space="preserve"> on 2016 levels. Natural gas is imported by a private company that generates electricity, and almost all the gas (90</w:t>
      </w:r>
      <w:r>
        <w:t>%</w:t>
      </w:r>
      <w:r w:rsidRPr="004572E2">
        <w:t>) is used for that purpose.</w:t>
      </w:r>
      <w:r w:rsidRPr="004572E2">
        <w:rPr>
          <w:rStyle w:val="FootnoteReference"/>
        </w:rPr>
        <w:footnoteReference w:id="428"/>
      </w:r>
      <w:r w:rsidRPr="004572E2">
        <w:t xml:space="preserve"> The natural gas is distributed to power stations through a network of three gas pipelines</w:t>
      </w:r>
      <w:r w:rsidRPr="004572E2">
        <w:rPr>
          <w:rStyle w:val="FootnoteReference"/>
        </w:rPr>
        <w:footnoteReference w:id="429"/>
      </w:r>
      <w:r w:rsidRPr="004572E2">
        <w:t>, while compressed natural gas is distributed to industries by lorry.</w:t>
      </w:r>
    </w:p>
    <w:p w14:paraId="6765312F" w14:textId="77777777" w:rsidR="00EB7374" w:rsidRPr="004572E2" w:rsidRDefault="00EB7374" w:rsidP="00C80D98">
      <w:pPr>
        <w:pStyle w:val="BodyText"/>
      </w:pPr>
      <w:r w:rsidRPr="004572E2">
        <w:t>Eighty private companies transport petroleum products to a network of 911</w:t>
      </w:r>
      <w:r>
        <w:t> </w:t>
      </w:r>
      <w:r w:rsidRPr="004572E2">
        <w:t>LPG</w:t>
      </w:r>
      <w:r>
        <w:t> </w:t>
      </w:r>
      <w:r w:rsidRPr="004572E2">
        <w:t>stations, 850</w:t>
      </w:r>
      <w:r>
        <w:t> </w:t>
      </w:r>
      <w:r w:rsidRPr="004572E2">
        <w:t>liquid fuel stations and 39 stations for natural gas vehicles (</w:t>
      </w:r>
      <w:proofErr w:type="spellStart"/>
      <w:r w:rsidRPr="004572E2">
        <w:t>NGV</w:t>
      </w:r>
      <w:proofErr w:type="spellEnd"/>
      <w:r w:rsidRPr="004572E2">
        <w:t>).</w:t>
      </w:r>
      <w:r w:rsidRPr="004572E2">
        <w:rPr>
          <w:rStyle w:val="FootnoteReference"/>
        </w:rPr>
        <w:footnoteReference w:id="430"/>
      </w:r>
      <w:r w:rsidRPr="004572E2">
        <w:t xml:space="preserve"> Distribution is in the hands of 58 companies, all locally registered, of which only two are subsidiaries of foreign companies. The three main distribution companies control 40</w:t>
      </w:r>
      <w:r>
        <w:t>%</w:t>
      </w:r>
      <w:r w:rsidRPr="004572E2">
        <w:t xml:space="preserve"> of the sales to the public. Existing infrastructure can store 7.8 million barrels. In recent years, the Dominican Republic has increased its average stocks for consumption of all petroleum products; LPG stocks remain the lowest in terms of days of supply.</w:t>
      </w:r>
      <w:r w:rsidRPr="004572E2">
        <w:rPr>
          <w:rStyle w:val="FootnoteReference"/>
        </w:rPr>
        <w:footnoteReference w:id="431"/>
      </w:r>
    </w:p>
    <w:p w14:paraId="301CC8EB" w14:textId="77777777" w:rsidR="00EB7374" w:rsidRPr="004572E2" w:rsidRDefault="00EB7374" w:rsidP="00C80D98">
      <w:pPr>
        <w:pStyle w:val="BodyText"/>
      </w:pPr>
      <w:r w:rsidRPr="004572E2">
        <w:t>The (weekly) retail prices for LPG, gasoline, kerosene, aviation turbine fuel (</w:t>
      </w:r>
      <w:proofErr w:type="spellStart"/>
      <w:r w:rsidRPr="004572E2">
        <w:t>avtur</w:t>
      </w:r>
      <w:proofErr w:type="spellEnd"/>
      <w:r w:rsidRPr="004572E2">
        <w:t xml:space="preserve">), diesel oil and fuel oil are regulated by the </w:t>
      </w:r>
      <w:proofErr w:type="spellStart"/>
      <w:r w:rsidRPr="004572E2">
        <w:t>MICM</w:t>
      </w:r>
      <w:proofErr w:type="spellEnd"/>
      <w:r w:rsidRPr="004572E2">
        <w:t>. They are set in line with international oil prices and the exchange rate, which determine the import parity price (IPP).</w:t>
      </w:r>
      <w:r w:rsidRPr="004572E2">
        <w:rPr>
          <w:rStyle w:val="FootnoteReference"/>
        </w:rPr>
        <w:footnoteReference w:id="432"/>
      </w:r>
      <w:r w:rsidRPr="004572E2">
        <w:t xml:space="preserve"> When calculating official retail prices, the Ministry also factors in marketing margins, which cover transportation, distribution, retail outlets and the selective consumption tax levied on hydrocarbons (</w:t>
      </w:r>
      <w:proofErr w:type="spellStart"/>
      <w:r w:rsidRPr="004572E2">
        <w:rPr>
          <w:i/>
          <w:iCs/>
        </w:rPr>
        <w:t>ISC</w:t>
      </w:r>
      <w:proofErr w:type="spellEnd"/>
      <w:r w:rsidRPr="004572E2">
        <w:rPr>
          <w:i/>
          <w:iCs/>
        </w:rPr>
        <w:t xml:space="preserve"> </w:t>
      </w:r>
      <w:proofErr w:type="spellStart"/>
      <w:r w:rsidRPr="004572E2">
        <w:rPr>
          <w:i/>
          <w:iCs/>
        </w:rPr>
        <w:t>sobre</w:t>
      </w:r>
      <w:proofErr w:type="spellEnd"/>
      <w:r w:rsidRPr="004572E2">
        <w:rPr>
          <w:i/>
          <w:iCs/>
        </w:rPr>
        <w:t xml:space="preserve"> </w:t>
      </w:r>
      <w:proofErr w:type="spellStart"/>
      <w:r w:rsidRPr="004572E2">
        <w:rPr>
          <w:i/>
          <w:iCs/>
        </w:rPr>
        <w:t>hidrocarburos</w:t>
      </w:r>
      <w:proofErr w:type="spellEnd"/>
      <w:r w:rsidRPr="004572E2">
        <w:t>).</w:t>
      </w:r>
      <w:r w:rsidRPr="004572E2">
        <w:rPr>
          <w:rStyle w:val="FootnoteReference"/>
        </w:rPr>
        <w:footnoteReference w:id="433"/>
      </w:r>
    </w:p>
    <w:p w14:paraId="5B54A7FA" w14:textId="77777777" w:rsidR="00EB7374" w:rsidRPr="004572E2" w:rsidRDefault="00EB7374" w:rsidP="00C80D98">
      <w:pPr>
        <w:pStyle w:val="BodyText"/>
      </w:pPr>
      <w:r w:rsidRPr="004572E2">
        <w:t>The State subsidizes household consumption of LPG (for poor and lower</w:t>
      </w:r>
      <w:r w:rsidRPr="004572E2">
        <w:noBreakHyphen/>
        <w:t>middle</w:t>
      </w:r>
      <w:r w:rsidRPr="004572E2">
        <w:noBreakHyphen/>
        <w:t xml:space="preserve">class households) through the </w:t>
      </w:r>
      <w:proofErr w:type="spellStart"/>
      <w:r w:rsidRPr="004572E2">
        <w:rPr>
          <w:i/>
          <w:iCs/>
        </w:rPr>
        <w:t>Bonogás</w:t>
      </w:r>
      <w:proofErr w:type="spellEnd"/>
      <w:r w:rsidRPr="004572E2">
        <w:t xml:space="preserve"> for households (BGH) programme. Similarly, it provides LPG subsidies to drivers of vehicles that transport passengers through the </w:t>
      </w:r>
      <w:proofErr w:type="spellStart"/>
      <w:r w:rsidRPr="004572E2">
        <w:rPr>
          <w:i/>
          <w:iCs/>
        </w:rPr>
        <w:t>Bonogás</w:t>
      </w:r>
      <w:proofErr w:type="spellEnd"/>
      <w:r w:rsidRPr="004572E2">
        <w:t xml:space="preserve"> for drivers (BGC) programme. The monthly subsidy is in the amount of DOP 228 (increased to DOP 470 as from March 2022) for recipients of the BGH and DOP 3,420 under the BGC. In addition, there are systems for refunding or offsetting the </w:t>
      </w:r>
      <w:proofErr w:type="spellStart"/>
      <w:r w:rsidRPr="004572E2">
        <w:t>ISC</w:t>
      </w:r>
      <w:proofErr w:type="spellEnd"/>
      <w:r w:rsidRPr="004572E2">
        <w:t xml:space="preserve"> on hydrocarbons for fossil fuels and petroleum products used in the industrial sector and to generate electricity, within certain monthly consumption limits.</w:t>
      </w:r>
      <w:r w:rsidRPr="004572E2">
        <w:rPr>
          <w:rStyle w:val="FootnoteReference"/>
        </w:rPr>
        <w:footnoteReference w:id="434"/>
      </w:r>
      <w:r w:rsidRPr="004572E2">
        <w:t xml:space="preserve"> </w:t>
      </w:r>
      <w:r w:rsidRPr="004572E2">
        <w:lastRenderedPageBreak/>
        <w:t>Between 2015 and 2020, the revenue foregone as a result of these various concessions amounted to DOP 112.8 billion, equivalent to 34.6</w:t>
      </w:r>
      <w:r>
        <w:t>%</w:t>
      </w:r>
      <w:r w:rsidRPr="004572E2">
        <w:t xml:space="preserve"> of the tax revenue collected in this category.</w:t>
      </w:r>
      <w:r w:rsidRPr="004572E2">
        <w:rPr>
          <w:rStyle w:val="FootnoteReference"/>
        </w:rPr>
        <w:footnoteReference w:id="435"/>
      </w:r>
    </w:p>
    <w:p w14:paraId="59BCFC08" w14:textId="77777777" w:rsidR="00EB7374" w:rsidRPr="004572E2" w:rsidRDefault="00EB7374" w:rsidP="00C80D98">
      <w:pPr>
        <w:pStyle w:val="Heading3"/>
      </w:pPr>
      <w:bookmarkStart w:id="334" w:name="_Toc114735773"/>
      <w:bookmarkStart w:id="335" w:name="_Toc117260654"/>
      <w:r w:rsidRPr="004572E2">
        <w:t>Electricity</w:t>
      </w:r>
      <w:bookmarkEnd w:id="326"/>
      <w:bookmarkEnd w:id="334"/>
      <w:bookmarkEnd w:id="335"/>
    </w:p>
    <w:p w14:paraId="421DB36C" w14:textId="77777777" w:rsidR="00EB7374" w:rsidRPr="004572E2" w:rsidRDefault="00EB7374" w:rsidP="00C80D98">
      <w:pPr>
        <w:pStyle w:val="BodyText"/>
      </w:pPr>
      <w:r w:rsidRPr="004572E2">
        <w:t>The capacity of the country's electricity sector has increased by 44</w:t>
      </w:r>
      <w:r>
        <w:t>%</w:t>
      </w:r>
      <w:r w:rsidRPr="004572E2">
        <w:t xml:space="preserve"> since 2015, reaching an installed capacity of 5,148 MW in December 2021. The obsolescence of some generators makes the national grid (known as </w:t>
      </w:r>
      <w:proofErr w:type="spellStart"/>
      <w:r w:rsidRPr="004572E2">
        <w:t>SENI</w:t>
      </w:r>
      <w:proofErr w:type="spellEnd"/>
      <w:r w:rsidRPr="004572E2">
        <w:t>) vulnerable. Electricity generation continues to rely on imported fuel (Table 4.7). During the period under review, the use of fuel oil to generate power dropped sharply (down 35 percentage points), while the proportion of coal and, to a lesser extent, natural gas increased considerably. These changes are due to the conversion to natural gas of generating units in the eastern region producing more than 700 MW, and the entry into service of the Punta Catalina coal</w:t>
      </w:r>
      <w:r w:rsidRPr="004572E2">
        <w:noBreakHyphen/>
        <w:t>fired thermal power station.</w:t>
      </w:r>
      <w:r w:rsidRPr="004572E2">
        <w:rPr>
          <w:rStyle w:val="FootnoteReference"/>
        </w:rPr>
        <w:footnoteReference w:id="436"/>
      </w:r>
      <w:r w:rsidRPr="004572E2">
        <w:t xml:space="preserve"> Renewable energy sources have doubled their contribution to electricity generation between 2015 and 2021, with only hydropower following a downward trend from 2017 onwards. According to the authorities, this change in the energy mix has led to a reduction in the production price, which fell from USD 161.40 per MWh in 2010 to USD 151.11 per MWh in 2021.</w:t>
      </w:r>
    </w:p>
    <w:p w14:paraId="0878FB06" w14:textId="77777777" w:rsidR="00EB7374" w:rsidRPr="004572E2" w:rsidRDefault="00EB7374" w:rsidP="00050EA9">
      <w:pPr>
        <w:pStyle w:val="Caption"/>
      </w:pPr>
      <w:bookmarkStart w:id="336" w:name="_Toc417038637"/>
      <w:bookmarkStart w:id="337" w:name="_Toc114735843"/>
      <w:bookmarkStart w:id="338" w:name="_Toc117238061"/>
      <w:r>
        <w:t xml:space="preserve">Table </w:t>
      </w:r>
      <w:r w:rsidR="00BD37F2">
        <w:fldChar w:fldCharType="begin"/>
      </w:r>
      <w:r w:rsidR="00BD37F2">
        <w:instrText xml:space="preserve"> STYLEREF 1 \s </w:instrText>
      </w:r>
      <w:r w:rsidR="00BD37F2">
        <w:fldChar w:fldCharType="separate"/>
      </w:r>
      <w:r>
        <w:rPr>
          <w:noProof/>
        </w:rPr>
        <w:t>4</w:t>
      </w:r>
      <w:r w:rsidR="00BD37F2">
        <w:rPr>
          <w:noProof/>
        </w:rPr>
        <w:fldChar w:fldCharType="end"/>
      </w:r>
      <w:r>
        <w:t>.</w:t>
      </w:r>
      <w:r w:rsidR="00BD37F2">
        <w:fldChar w:fldCharType="begin"/>
      </w:r>
      <w:r w:rsidR="00BD37F2">
        <w:instrText xml:space="preserve"> SEQ Table \* ARABIC \s 1 </w:instrText>
      </w:r>
      <w:r w:rsidR="00BD37F2">
        <w:fldChar w:fldCharType="separate"/>
      </w:r>
      <w:r>
        <w:rPr>
          <w:noProof/>
        </w:rPr>
        <w:t>7</w:t>
      </w:r>
      <w:r w:rsidR="00BD37F2">
        <w:rPr>
          <w:noProof/>
        </w:rPr>
        <w:fldChar w:fldCharType="end"/>
      </w:r>
      <w:r>
        <w:t xml:space="preserve"> </w:t>
      </w:r>
      <w:r w:rsidRPr="004572E2">
        <w:t>Supply and demand in the national grid, 2015–21</w:t>
      </w:r>
      <w:bookmarkEnd w:id="336"/>
      <w:bookmarkEnd w:id="337"/>
      <w:bookmarkEnd w:id="338"/>
      <w:r w:rsidRPr="004572E2">
        <w:t xml:space="preserve"> </w:t>
      </w:r>
    </w:p>
    <w:tbl>
      <w:tblPr>
        <w:tblStyle w:val="WTOTable1"/>
        <w:tblW w:w="5000" w:type="pct"/>
        <w:tblLook w:val="04A0" w:firstRow="1" w:lastRow="0" w:firstColumn="1" w:lastColumn="0" w:noHBand="0" w:noVBand="1"/>
      </w:tblPr>
      <w:tblGrid>
        <w:gridCol w:w="2352"/>
        <w:gridCol w:w="954"/>
        <w:gridCol w:w="952"/>
        <w:gridCol w:w="952"/>
        <w:gridCol w:w="952"/>
        <w:gridCol w:w="952"/>
        <w:gridCol w:w="952"/>
        <w:gridCol w:w="950"/>
      </w:tblGrid>
      <w:tr w:rsidR="00EB7374" w:rsidRPr="004572E2" w14:paraId="5094045D" w14:textId="77777777" w:rsidTr="00C700EB">
        <w:trPr>
          <w:cnfStyle w:val="100000000000" w:firstRow="1" w:lastRow="0" w:firstColumn="0" w:lastColumn="0" w:oddVBand="0" w:evenVBand="0" w:oddHBand="0" w:evenHBand="0" w:firstRowFirstColumn="0" w:firstRowLastColumn="0" w:lastRowFirstColumn="0" w:lastRowLastColumn="0"/>
        </w:trPr>
        <w:tc>
          <w:tcPr>
            <w:tcW w:w="1304" w:type="pct"/>
          </w:tcPr>
          <w:p w14:paraId="2442BEEB" w14:textId="77777777" w:rsidR="00EB7374" w:rsidRPr="004572E2" w:rsidRDefault="00EB7374" w:rsidP="004572E2">
            <w:pPr>
              <w:jc w:val="left"/>
              <w:rPr>
                <w:rFonts w:eastAsia="Calibri"/>
                <w:b w:val="0"/>
                <w:sz w:val="15"/>
                <w:szCs w:val="15"/>
              </w:rPr>
            </w:pPr>
          </w:p>
        </w:tc>
        <w:tc>
          <w:tcPr>
            <w:tcW w:w="529" w:type="pct"/>
          </w:tcPr>
          <w:p w14:paraId="2FA2F784" w14:textId="77777777" w:rsidR="00EB7374" w:rsidRPr="004572E2" w:rsidRDefault="00EB7374" w:rsidP="004572E2">
            <w:pPr>
              <w:jc w:val="right"/>
              <w:rPr>
                <w:rFonts w:eastAsia="Calibri"/>
                <w:b w:val="0"/>
                <w:sz w:val="15"/>
                <w:szCs w:val="15"/>
              </w:rPr>
            </w:pPr>
            <w:r w:rsidRPr="004572E2">
              <w:rPr>
                <w:sz w:val="15"/>
              </w:rPr>
              <w:t>2015</w:t>
            </w:r>
          </w:p>
        </w:tc>
        <w:tc>
          <w:tcPr>
            <w:tcW w:w="528" w:type="pct"/>
          </w:tcPr>
          <w:p w14:paraId="19FE5AFF" w14:textId="77777777" w:rsidR="00EB7374" w:rsidRPr="004572E2" w:rsidRDefault="00EB7374" w:rsidP="004572E2">
            <w:pPr>
              <w:jc w:val="right"/>
              <w:rPr>
                <w:rFonts w:eastAsia="Calibri"/>
                <w:b w:val="0"/>
                <w:sz w:val="15"/>
                <w:szCs w:val="15"/>
              </w:rPr>
            </w:pPr>
            <w:r w:rsidRPr="004572E2">
              <w:rPr>
                <w:sz w:val="15"/>
              </w:rPr>
              <w:t>2016</w:t>
            </w:r>
          </w:p>
        </w:tc>
        <w:tc>
          <w:tcPr>
            <w:tcW w:w="528" w:type="pct"/>
          </w:tcPr>
          <w:p w14:paraId="4DF5AC85" w14:textId="77777777" w:rsidR="00EB7374" w:rsidRPr="004572E2" w:rsidRDefault="00EB7374" w:rsidP="004572E2">
            <w:pPr>
              <w:jc w:val="right"/>
              <w:rPr>
                <w:rFonts w:eastAsia="Calibri"/>
                <w:b w:val="0"/>
                <w:sz w:val="15"/>
                <w:szCs w:val="15"/>
              </w:rPr>
            </w:pPr>
            <w:r w:rsidRPr="004572E2">
              <w:rPr>
                <w:sz w:val="15"/>
              </w:rPr>
              <w:t>2017</w:t>
            </w:r>
          </w:p>
        </w:tc>
        <w:tc>
          <w:tcPr>
            <w:tcW w:w="528" w:type="pct"/>
          </w:tcPr>
          <w:p w14:paraId="64E859E2" w14:textId="77777777" w:rsidR="00EB7374" w:rsidRPr="004572E2" w:rsidRDefault="00EB7374" w:rsidP="004572E2">
            <w:pPr>
              <w:jc w:val="right"/>
              <w:rPr>
                <w:rFonts w:eastAsia="Calibri"/>
                <w:b w:val="0"/>
                <w:sz w:val="15"/>
                <w:szCs w:val="15"/>
              </w:rPr>
            </w:pPr>
            <w:r w:rsidRPr="004572E2">
              <w:rPr>
                <w:sz w:val="15"/>
              </w:rPr>
              <w:t>2018</w:t>
            </w:r>
          </w:p>
        </w:tc>
        <w:tc>
          <w:tcPr>
            <w:tcW w:w="528" w:type="pct"/>
          </w:tcPr>
          <w:p w14:paraId="40CD1EB3" w14:textId="77777777" w:rsidR="00EB7374" w:rsidRPr="004572E2" w:rsidRDefault="00EB7374" w:rsidP="004572E2">
            <w:pPr>
              <w:jc w:val="right"/>
              <w:rPr>
                <w:rFonts w:eastAsia="Calibri"/>
                <w:b w:val="0"/>
                <w:sz w:val="15"/>
                <w:szCs w:val="15"/>
              </w:rPr>
            </w:pPr>
            <w:r w:rsidRPr="004572E2">
              <w:rPr>
                <w:sz w:val="15"/>
              </w:rPr>
              <w:t>2019</w:t>
            </w:r>
          </w:p>
        </w:tc>
        <w:tc>
          <w:tcPr>
            <w:tcW w:w="528" w:type="pct"/>
          </w:tcPr>
          <w:p w14:paraId="181F8C93" w14:textId="77777777" w:rsidR="00EB7374" w:rsidRPr="004572E2" w:rsidRDefault="00EB7374" w:rsidP="004572E2">
            <w:pPr>
              <w:jc w:val="right"/>
              <w:rPr>
                <w:rFonts w:eastAsia="Calibri"/>
                <w:b w:val="0"/>
                <w:sz w:val="15"/>
                <w:szCs w:val="15"/>
              </w:rPr>
            </w:pPr>
            <w:r w:rsidRPr="004572E2">
              <w:rPr>
                <w:sz w:val="15"/>
              </w:rPr>
              <w:t>2020</w:t>
            </w:r>
          </w:p>
        </w:tc>
        <w:tc>
          <w:tcPr>
            <w:tcW w:w="527" w:type="pct"/>
          </w:tcPr>
          <w:p w14:paraId="0D60AB30" w14:textId="77777777" w:rsidR="00EB7374" w:rsidRPr="004572E2" w:rsidRDefault="00EB7374" w:rsidP="004572E2">
            <w:pPr>
              <w:jc w:val="right"/>
              <w:rPr>
                <w:rFonts w:eastAsia="Calibri"/>
                <w:b w:val="0"/>
                <w:sz w:val="15"/>
                <w:szCs w:val="15"/>
              </w:rPr>
            </w:pPr>
            <w:r w:rsidRPr="004572E2">
              <w:rPr>
                <w:sz w:val="15"/>
              </w:rPr>
              <w:t>2021</w:t>
            </w:r>
          </w:p>
        </w:tc>
      </w:tr>
      <w:tr w:rsidR="00EB7374" w:rsidRPr="004572E2" w14:paraId="49DA9BA7" w14:textId="77777777" w:rsidTr="00C700EB">
        <w:tc>
          <w:tcPr>
            <w:tcW w:w="1304" w:type="pct"/>
          </w:tcPr>
          <w:p w14:paraId="597838E7" w14:textId="77777777" w:rsidR="00EB7374" w:rsidRPr="004572E2" w:rsidRDefault="00EB7374" w:rsidP="004572E2">
            <w:pPr>
              <w:jc w:val="left"/>
              <w:rPr>
                <w:rFonts w:eastAsia="Calibri"/>
                <w:bCs/>
                <w:sz w:val="15"/>
                <w:szCs w:val="15"/>
              </w:rPr>
            </w:pPr>
            <w:r w:rsidRPr="004572E2">
              <w:rPr>
                <w:sz w:val="15"/>
              </w:rPr>
              <w:t>Installed capacity (MW)</w:t>
            </w:r>
          </w:p>
        </w:tc>
        <w:tc>
          <w:tcPr>
            <w:tcW w:w="529" w:type="pct"/>
          </w:tcPr>
          <w:p w14:paraId="742BDCF1" w14:textId="77777777" w:rsidR="00EB7374" w:rsidRPr="004572E2" w:rsidRDefault="00EB7374" w:rsidP="004572E2">
            <w:pPr>
              <w:jc w:val="right"/>
              <w:rPr>
                <w:rFonts w:eastAsia="Calibri"/>
                <w:bCs/>
                <w:sz w:val="15"/>
                <w:szCs w:val="15"/>
              </w:rPr>
            </w:pPr>
            <w:r w:rsidRPr="004572E2">
              <w:rPr>
                <w:b/>
                <w:sz w:val="15"/>
              </w:rPr>
              <w:t>3,577</w:t>
            </w:r>
          </w:p>
        </w:tc>
        <w:tc>
          <w:tcPr>
            <w:tcW w:w="528" w:type="pct"/>
          </w:tcPr>
          <w:p w14:paraId="51C80063" w14:textId="77777777" w:rsidR="00EB7374" w:rsidRPr="004572E2" w:rsidRDefault="00EB7374" w:rsidP="004572E2">
            <w:pPr>
              <w:jc w:val="right"/>
              <w:rPr>
                <w:rFonts w:eastAsia="Calibri"/>
                <w:bCs/>
                <w:sz w:val="15"/>
                <w:szCs w:val="15"/>
              </w:rPr>
            </w:pPr>
            <w:r w:rsidRPr="004572E2">
              <w:rPr>
                <w:b/>
                <w:sz w:val="15"/>
              </w:rPr>
              <w:t>3,640</w:t>
            </w:r>
          </w:p>
        </w:tc>
        <w:tc>
          <w:tcPr>
            <w:tcW w:w="528" w:type="pct"/>
          </w:tcPr>
          <w:p w14:paraId="00C3B31B" w14:textId="77777777" w:rsidR="00EB7374" w:rsidRPr="004572E2" w:rsidRDefault="00EB7374" w:rsidP="004572E2">
            <w:pPr>
              <w:jc w:val="right"/>
              <w:rPr>
                <w:rFonts w:eastAsia="Calibri"/>
                <w:bCs/>
                <w:sz w:val="15"/>
                <w:szCs w:val="15"/>
              </w:rPr>
            </w:pPr>
            <w:r w:rsidRPr="004572E2">
              <w:rPr>
                <w:b/>
                <w:sz w:val="15"/>
              </w:rPr>
              <w:t>3,708</w:t>
            </w:r>
          </w:p>
        </w:tc>
        <w:tc>
          <w:tcPr>
            <w:tcW w:w="528" w:type="pct"/>
          </w:tcPr>
          <w:p w14:paraId="6EBABDD1" w14:textId="77777777" w:rsidR="00EB7374" w:rsidRPr="004572E2" w:rsidRDefault="00EB7374" w:rsidP="004572E2">
            <w:pPr>
              <w:jc w:val="right"/>
              <w:rPr>
                <w:rFonts w:eastAsia="Calibri"/>
                <w:bCs/>
                <w:sz w:val="15"/>
                <w:szCs w:val="15"/>
              </w:rPr>
            </w:pPr>
            <w:r w:rsidRPr="004572E2">
              <w:rPr>
                <w:b/>
                <w:sz w:val="15"/>
              </w:rPr>
              <w:t>3,986</w:t>
            </w:r>
          </w:p>
        </w:tc>
        <w:tc>
          <w:tcPr>
            <w:tcW w:w="528" w:type="pct"/>
          </w:tcPr>
          <w:p w14:paraId="0D10DECF" w14:textId="77777777" w:rsidR="00EB7374" w:rsidRPr="004572E2" w:rsidRDefault="00EB7374" w:rsidP="004572E2">
            <w:pPr>
              <w:jc w:val="right"/>
              <w:rPr>
                <w:rFonts w:eastAsia="Calibri"/>
                <w:bCs/>
                <w:sz w:val="15"/>
                <w:szCs w:val="15"/>
              </w:rPr>
            </w:pPr>
            <w:r w:rsidRPr="004572E2">
              <w:rPr>
                <w:b/>
                <w:sz w:val="15"/>
              </w:rPr>
              <w:t>4,921</w:t>
            </w:r>
          </w:p>
        </w:tc>
        <w:tc>
          <w:tcPr>
            <w:tcW w:w="528" w:type="pct"/>
          </w:tcPr>
          <w:p w14:paraId="5B406F28" w14:textId="77777777" w:rsidR="00EB7374" w:rsidRPr="004572E2" w:rsidRDefault="00EB7374" w:rsidP="004572E2">
            <w:pPr>
              <w:jc w:val="right"/>
              <w:rPr>
                <w:rFonts w:eastAsia="Calibri"/>
                <w:bCs/>
                <w:sz w:val="15"/>
                <w:szCs w:val="15"/>
              </w:rPr>
            </w:pPr>
            <w:r w:rsidRPr="004572E2">
              <w:rPr>
                <w:b/>
                <w:sz w:val="15"/>
              </w:rPr>
              <w:t>4,921</w:t>
            </w:r>
          </w:p>
        </w:tc>
        <w:tc>
          <w:tcPr>
            <w:tcW w:w="527" w:type="pct"/>
          </w:tcPr>
          <w:p w14:paraId="51F54811" w14:textId="77777777" w:rsidR="00EB7374" w:rsidRPr="004572E2" w:rsidRDefault="00EB7374" w:rsidP="004572E2">
            <w:pPr>
              <w:jc w:val="right"/>
              <w:rPr>
                <w:rFonts w:eastAsia="Calibri"/>
                <w:sz w:val="15"/>
                <w:szCs w:val="15"/>
              </w:rPr>
            </w:pPr>
            <w:r w:rsidRPr="004572E2">
              <w:rPr>
                <w:b/>
                <w:sz w:val="15"/>
              </w:rPr>
              <w:t>5,148</w:t>
            </w:r>
          </w:p>
        </w:tc>
      </w:tr>
      <w:tr w:rsidR="00EB7374" w:rsidRPr="004572E2" w14:paraId="11C0BB86" w14:textId="77777777" w:rsidTr="00C700EB">
        <w:trPr>
          <w:cnfStyle w:val="000000010000" w:firstRow="0" w:lastRow="0" w:firstColumn="0" w:lastColumn="0" w:oddVBand="0" w:evenVBand="0" w:oddHBand="0" w:evenHBand="1" w:firstRowFirstColumn="0" w:firstRowLastColumn="0" w:lastRowFirstColumn="0" w:lastRowLastColumn="0"/>
        </w:trPr>
        <w:tc>
          <w:tcPr>
            <w:tcW w:w="1304" w:type="pct"/>
          </w:tcPr>
          <w:p w14:paraId="62922996" w14:textId="77777777" w:rsidR="00EB7374" w:rsidRPr="004572E2" w:rsidRDefault="00EB7374" w:rsidP="004572E2">
            <w:pPr>
              <w:jc w:val="left"/>
              <w:rPr>
                <w:rFonts w:eastAsia="Calibri"/>
                <w:sz w:val="15"/>
                <w:szCs w:val="15"/>
              </w:rPr>
            </w:pPr>
            <w:r w:rsidRPr="004572E2">
              <w:rPr>
                <w:sz w:val="15"/>
              </w:rPr>
              <w:t>Generation (GWh)</w:t>
            </w:r>
          </w:p>
          <w:p w14:paraId="1C524A1E" w14:textId="77777777" w:rsidR="00EB7374" w:rsidRPr="004572E2" w:rsidRDefault="00EB7374" w:rsidP="004572E2">
            <w:pPr>
              <w:ind w:left="113"/>
              <w:jc w:val="left"/>
              <w:rPr>
                <w:rFonts w:eastAsia="Calibri"/>
                <w:bCs/>
                <w:sz w:val="15"/>
                <w:szCs w:val="15"/>
              </w:rPr>
            </w:pPr>
            <w:r w:rsidRPr="004572E2">
              <w:rPr>
                <w:sz w:val="15"/>
              </w:rPr>
              <w:t>Fuel oil (%)</w:t>
            </w:r>
          </w:p>
          <w:p w14:paraId="1BF22696" w14:textId="77777777" w:rsidR="00EB7374" w:rsidRPr="004572E2" w:rsidRDefault="00EB7374" w:rsidP="004572E2">
            <w:pPr>
              <w:ind w:left="113"/>
              <w:jc w:val="left"/>
              <w:rPr>
                <w:rFonts w:eastAsia="Calibri"/>
                <w:bCs/>
                <w:sz w:val="15"/>
                <w:szCs w:val="15"/>
              </w:rPr>
            </w:pPr>
            <w:r w:rsidRPr="004572E2">
              <w:rPr>
                <w:sz w:val="15"/>
              </w:rPr>
              <w:t>Natural gas (%)</w:t>
            </w:r>
          </w:p>
          <w:p w14:paraId="33BEF91F" w14:textId="77777777" w:rsidR="00EB7374" w:rsidRPr="004572E2" w:rsidRDefault="00EB7374" w:rsidP="004572E2">
            <w:pPr>
              <w:ind w:left="113"/>
              <w:jc w:val="left"/>
              <w:rPr>
                <w:rFonts w:eastAsia="Calibri"/>
                <w:bCs/>
                <w:sz w:val="15"/>
                <w:szCs w:val="15"/>
              </w:rPr>
            </w:pPr>
            <w:r w:rsidRPr="004572E2">
              <w:rPr>
                <w:sz w:val="15"/>
              </w:rPr>
              <w:t>Coal (%)</w:t>
            </w:r>
          </w:p>
          <w:p w14:paraId="4067EFAE" w14:textId="77777777" w:rsidR="00EB7374" w:rsidRPr="004572E2" w:rsidRDefault="00EB7374" w:rsidP="004572E2">
            <w:pPr>
              <w:ind w:left="113"/>
              <w:jc w:val="left"/>
              <w:rPr>
                <w:rFonts w:eastAsia="Calibri"/>
                <w:bCs/>
                <w:sz w:val="15"/>
                <w:szCs w:val="15"/>
              </w:rPr>
            </w:pPr>
            <w:r w:rsidRPr="004572E2">
              <w:rPr>
                <w:sz w:val="15"/>
              </w:rPr>
              <w:t>Renewable energy (%)</w:t>
            </w:r>
          </w:p>
          <w:p w14:paraId="6E62C2BF" w14:textId="77777777" w:rsidR="00EB7374" w:rsidRPr="004572E2" w:rsidRDefault="00EB7374" w:rsidP="004572E2">
            <w:pPr>
              <w:ind w:left="227"/>
              <w:jc w:val="left"/>
              <w:rPr>
                <w:rFonts w:eastAsia="Calibri"/>
                <w:bCs/>
                <w:sz w:val="15"/>
                <w:szCs w:val="15"/>
              </w:rPr>
            </w:pPr>
            <w:r w:rsidRPr="004572E2">
              <w:rPr>
                <w:sz w:val="15"/>
              </w:rPr>
              <w:t>Hydropower</w:t>
            </w:r>
          </w:p>
          <w:p w14:paraId="5DD5FFBD" w14:textId="77777777" w:rsidR="00EB7374" w:rsidRPr="004572E2" w:rsidRDefault="00EB7374" w:rsidP="004572E2">
            <w:pPr>
              <w:ind w:left="227"/>
              <w:jc w:val="left"/>
              <w:rPr>
                <w:rFonts w:eastAsia="Calibri"/>
                <w:bCs/>
                <w:sz w:val="15"/>
                <w:szCs w:val="15"/>
              </w:rPr>
            </w:pPr>
            <w:r w:rsidRPr="004572E2">
              <w:rPr>
                <w:sz w:val="15"/>
              </w:rPr>
              <w:t>Wind</w:t>
            </w:r>
          </w:p>
          <w:p w14:paraId="75C0D44B" w14:textId="77777777" w:rsidR="00EB7374" w:rsidRPr="004572E2" w:rsidRDefault="00EB7374" w:rsidP="004572E2">
            <w:pPr>
              <w:ind w:left="227"/>
              <w:jc w:val="left"/>
              <w:rPr>
                <w:rFonts w:eastAsia="Calibri"/>
                <w:bCs/>
                <w:sz w:val="15"/>
                <w:szCs w:val="15"/>
              </w:rPr>
            </w:pPr>
            <w:r w:rsidRPr="004572E2">
              <w:rPr>
                <w:sz w:val="15"/>
              </w:rPr>
              <w:t>Solar</w:t>
            </w:r>
          </w:p>
          <w:p w14:paraId="019D2AE6" w14:textId="77777777" w:rsidR="00EB7374" w:rsidRPr="004572E2" w:rsidRDefault="00EB7374" w:rsidP="004572E2">
            <w:pPr>
              <w:ind w:left="227"/>
              <w:jc w:val="left"/>
              <w:rPr>
                <w:rFonts w:eastAsia="Calibri"/>
                <w:bCs/>
                <w:sz w:val="15"/>
                <w:szCs w:val="15"/>
              </w:rPr>
            </w:pPr>
            <w:r w:rsidRPr="004572E2">
              <w:rPr>
                <w:sz w:val="15"/>
              </w:rPr>
              <w:t>Biomass</w:t>
            </w:r>
          </w:p>
        </w:tc>
        <w:tc>
          <w:tcPr>
            <w:tcW w:w="529" w:type="pct"/>
          </w:tcPr>
          <w:p w14:paraId="05837188" w14:textId="77777777" w:rsidR="00EB7374" w:rsidRPr="004572E2" w:rsidRDefault="00EB7374" w:rsidP="004572E2">
            <w:pPr>
              <w:jc w:val="right"/>
              <w:rPr>
                <w:rFonts w:eastAsia="Calibri"/>
                <w:bCs/>
                <w:sz w:val="15"/>
                <w:szCs w:val="15"/>
              </w:rPr>
            </w:pPr>
            <w:r w:rsidRPr="004572E2">
              <w:rPr>
                <w:sz w:val="15"/>
              </w:rPr>
              <w:t>14,177</w:t>
            </w:r>
          </w:p>
          <w:p w14:paraId="1EA715D2" w14:textId="77777777" w:rsidR="00EB7374" w:rsidRPr="004572E2" w:rsidRDefault="00EB7374" w:rsidP="004572E2">
            <w:pPr>
              <w:jc w:val="right"/>
              <w:rPr>
                <w:rFonts w:eastAsia="Calibri"/>
                <w:bCs/>
                <w:sz w:val="15"/>
                <w:szCs w:val="15"/>
              </w:rPr>
            </w:pPr>
            <w:r w:rsidRPr="004572E2">
              <w:rPr>
                <w:sz w:val="15"/>
              </w:rPr>
              <w:t>47.3</w:t>
            </w:r>
          </w:p>
          <w:p w14:paraId="0AFCED18" w14:textId="77777777" w:rsidR="00EB7374" w:rsidRPr="004572E2" w:rsidRDefault="00EB7374" w:rsidP="004572E2">
            <w:pPr>
              <w:jc w:val="right"/>
              <w:rPr>
                <w:rFonts w:eastAsia="Calibri"/>
                <w:bCs/>
                <w:sz w:val="15"/>
                <w:szCs w:val="15"/>
              </w:rPr>
            </w:pPr>
            <w:r w:rsidRPr="004572E2">
              <w:rPr>
                <w:sz w:val="15"/>
              </w:rPr>
              <w:t>28.6</w:t>
            </w:r>
          </w:p>
          <w:p w14:paraId="24207711" w14:textId="77777777" w:rsidR="00EB7374" w:rsidRPr="004572E2" w:rsidRDefault="00EB7374" w:rsidP="004572E2">
            <w:pPr>
              <w:jc w:val="right"/>
              <w:rPr>
                <w:rFonts w:eastAsia="Calibri"/>
                <w:bCs/>
                <w:sz w:val="15"/>
                <w:szCs w:val="15"/>
              </w:rPr>
            </w:pPr>
            <w:r w:rsidRPr="004572E2">
              <w:rPr>
                <w:sz w:val="15"/>
              </w:rPr>
              <w:t>15.7</w:t>
            </w:r>
          </w:p>
          <w:p w14:paraId="0C8491FF" w14:textId="77777777" w:rsidR="00EB7374" w:rsidRPr="004572E2" w:rsidRDefault="00EB7374" w:rsidP="004572E2">
            <w:pPr>
              <w:jc w:val="right"/>
              <w:rPr>
                <w:rFonts w:eastAsia="Calibri"/>
                <w:bCs/>
                <w:sz w:val="15"/>
                <w:szCs w:val="15"/>
              </w:rPr>
            </w:pPr>
            <w:r w:rsidRPr="004572E2">
              <w:rPr>
                <w:sz w:val="15"/>
              </w:rPr>
              <w:t>8.4</w:t>
            </w:r>
          </w:p>
          <w:p w14:paraId="54E1920E" w14:textId="77777777" w:rsidR="00EB7374" w:rsidRPr="004572E2" w:rsidRDefault="00EB7374" w:rsidP="004572E2">
            <w:pPr>
              <w:jc w:val="right"/>
              <w:rPr>
                <w:rFonts w:eastAsia="Calibri"/>
                <w:bCs/>
                <w:sz w:val="15"/>
                <w:szCs w:val="15"/>
              </w:rPr>
            </w:pPr>
            <w:r w:rsidRPr="004572E2">
              <w:rPr>
                <w:sz w:val="15"/>
              </w:rPr>
              <w:t>6.4</w:t>
            </w:r>
          </w:p>
          <w:p w14:paraId="6CACFDEF" w14:textId="77777777" w:rsidR="00EB7374" w:rsidRPr="004572E2" w:rsidRDefault="00EB7374" w:rsidP="004572E2">
            <w:pPr>
              <w:jc w:val="right"/>
              <w:rPr>
                <w:rFonts w:eastAsia="Calibri"/>
                <w:bCs/>
                <w:sz w:val="15"/>
                <w:szCs w:val="15"/>
              </w:rPr>
            </w:pPr>
            <w:r w:rsidRPr="004572E2">
              <w:rPr>
                <w:sz w:val="15"/>
              </w:rPr>
              <w:t>2.0</w:t>
            </w:r>
          </w:p>
          <w:p w14:paraId="4396B010" w14:textId="77777777" w:rsidR="00EB7374" w:rsidRPr="004572E2" w:rsidRDefault="00EB7374" w:rsidP="004572E2">
            <w:pPr>
              <w:jc w:val="right"/>
              <w:rPr>
                <w:rFonts w:eastAsia="Calibri"/>
                <w:bCs/>
                <w:sz w:val="15"/>
                <w:szCs w:val="15"/>
              </w:rPr>
            </w:pPr>
            <w:r w:rsidRPr="004572E2">
              <w:rPr>
                <w:sz w:val="15"/>
              </w:rPr>
              <w:t>0.0</w:t>
            </w:r>
          </w:p>
          <w:p w14:paraId="06ED2192" w14:textId="77777777" w:rsidR="00EB7374" w:rsidRPr="004572E2" w:rsidRDefault="00EB7374" w:rsidP="004572E2">
            <w:pPr>
              <w:jc w:val="right"/>
              <w:rPr>
                <w:rFonts w:eastAsia="Calibri"/>
                <w:bCs/>
                <w:sz w:val="15"/>
                <w:szCs w:val="15"/>
              </w:rPr>
            </w:pPr>
            <w:r w:rsidRPr="004572E2">
              <w:rPr>
                <w:sz w:val="15"/>
              </w:rPr>
              <w:t>0.0</w:t>
            </w:r>
          </w:p>
        </w:tc>
        <w:tc>
          <w:tcPr>
            <w:tcW w:w="528" w:type="pct"/>
          </w:tcPr>
          <w:p w14:paraId="522D83A7" w14:textId="77777777" w:rsidR="00EB7374" w:rsidRPr="004572E2" w:rsidRDefault="00EB7374" w:rsidP="004572E2">
            <w:pPr>
              <w:jc w:val="right"/>
              <w:rPr>
                <w:rFonts w:eastAsia="Calibri"/>
                <w:bCs/>
                <w:sz w:val="15"/>
                <w:szCs w:val="15"/>
              </w:rPr>
            </w:pPr>
            <w:r w:rsidRPr="004572E2">
              <w:rPr>
                <w:sz w:val="15"/>
              </w:rPr>
              <w:t>14,984</w:t>
            </w:r>
          </w:p>
          <w:p w14:paraId="37207E8D" w14:textId="77777777" w:rsidR="00EB7374" w:rsidRPr="004572E2" w:rsidRDefault="00EB7374" w:rsidP="004572E2">
            <w:pPr>
              <w:jc w:val="right"/>
              <w:rPr>
                <w:rFonts w:eastAsia="Calibri"/>
                <w:bCs/>
                <w:sz w:val="15"/>
                <w:szCs w:val="15"/>
              </w:rPr>
            </w:pPr>
            <w:r w:rsidRPr="004572E2">
              <w:rPr>
                <w:sz w:val="15"/>
              </w:rPr>
              <w:t>48.4</w:t>
            </w:r>
          </w:p>
          <w:p w14:paraId="74A3BBBD" w14:textId="77777777" w:rsidR="00EB7374" w:rsidRPr="004572E2" w:rsidRDefault="00EB7374" w:rsidP="004572E2">
            <w:pPr>
              <w:jc w:val="right"/>
              <w:rPr>
                <w:rFonts w:eastAsia="Calibri"/>
                <w:bCs/>
                <w:sz w:val="15"/>
                <w:szCs w:val="15"/>
              </w:rPr>
            </w:pPr>
            <w:r w:rsidRPr="004572E2">
              <w:rPr>
                <w:sz w:val="15"/>
              </w:rPr>
              <w:t>24.3</w:t>
            </w:r>
          </w:p>
          <w:p w14:paraId="48663DAB" w14:textId="77777777" w:rsidR="00EB7374" w:rsidRPr="004572E2" w:rsidRDefault="00EB7374" w:rsidP="004572E2">
            <w:pPr>
              <w:jc w:val="right"/>
              <w:rPr>
                <w:rFonts w:eastAsia="Calibri"/>
                <w:bCs/>
                <w:sz w:val="15"/>
                <w:szCs w:val="15"/>
              </w:rPr>
            </w:pPr>
            <w:r w:rsidRPr="004572E2">
              <w:rPr>
                <w:sz w:val="15"/>
              </w:rPr>
              <w:t>15.2</w:t>
            </w:r>
          </w:p>
          <w:p w14:paraId="15589447" w14:textId="77777777" w:rsidR="00EB7374" w:rsidRPr="004572E2" w:rsidRDefault="00EB7374" w:rsidP="004572E2">
            <w:pPr>
              <w:jc w:val="right"/>
              <w:rPr>
                <w:rFonts w:eastAsia="Calibri"/>
                <w:bCs/>
                <w:sz w:val="15"/>
                <w:szCs w:val="15"/>
              </w:rPr>
            </w:pPr>
            <w:r w:rsidRPr="004572E2">
              <w:rPr>
                <w:sz w:val="15"/>
              </w:rPr>
              <w:t>12.1</w:t>
            </w:r>
          </w:p>
          <w:p w14:paraId="023D2264" w14:textId="77777777" w:rsidR="00EB7374" w:rsidRPr="004572E2" w:rsidRDefault="00EB7374" w:rsidP="004572E2">
            <w:pPr>
              <w:jc w:val="right"/>
              <w:rPr>
                <w:rFonts w:eastAsia="Calibri"/>
                <w:bCs/>
                <w:sz w:val="15"/>
                <w:szCs w:val="15"/>
              </w:rPr>
            </w:pPr>
            <w:r w:rsidRPr="004572E2">
              <w:rPr>
                <w:sz w:val="15"/>
              </w:rPr>
              <w:t>9.8</w:t>
            </w:r>
          </w:p>
          <w:p w14:paraId="7E5D0B73" w14:textId="77777777" w:rsidR="00EB7374" w:rsidRPr="004572E2" w:rsidRDefault="00EB7374" w:rsidP="004572E2">
            <w:pPr>
              <w:jc w:val="right"/>
              <w:rPr>
                <w:rFonts w:eastAsia="Calibri"/>
                <w:bCs/>
                <w:sz w:val="15"/>
                <w:szCs w:val="15"/>
              </w:rPr>
            </w:pPr>
            <w:r w:rsidRPr="004572E2">
              <w:rPr>
                <w:sz w:val="15"/>
              </w:rPr>
              <w:t>2.1</w:t>
            </w:r>
          </w:p>
          <w:p w14:paraId="528D32AA" w14:textId="77777777" w:rsidR="00EB7374" w:rsidRPr="004572E2" w:rsidRDefault="00EB7374" w:rsidP="004572E2">
            <w:pPr>
              <w:jc w:val="right"/>
              <w:rPr>
                <w:rFonts w:eastAsia="Calibri"/>
                <w:bCs/>
                <w:sz w:val="15"/>
                <w:szCs w:val="15"/>
              </w:rPr>
            </w:pPr>
            <w:r w:rsidRPr="004572E2">
              <w:rPr>
                <w:sz w:val="15"/>
              </w:rPr>
              <w:t>0.2</w:t>
            </w:r>
          </w:p>
          <w:p w14:paraId="0DDD864B" w14:textId="77777777" w:rsidR="00EB7374" w:rsidRPr="004572E2" w:rsidRDefault="00EB7374" w:rsidP="004572E2">
            <w:pPr>
              <w:jc w:val="right"/>
              <w:rPr>
                <w:rFonts w:eastAsia="Calibri"/>
                <w:bCs/>
                <w:sz w:val="15"/>
                <w:szCs w:val="15"/>
              </w:rPr>
            </w:pPr>
            <w:r w:rsidRPr="004572E2">
              <w:rPr>
                <w:sz w:val="15"/>
              </w:rPr>
              <w:t>0.0</w:t>
            </w:r>
          </w:p>
        </w:tc>
        <w:tc>
          <w:tcPr>
            <w:tcW w:w="528" w:type="pct"/>
          </w:tcPr>
          <w:p w14:paraId="06759942" w14:textId="77777777" w:rsidR="00EB7374" w:rsidRPr="004572E2" w:rsidRDefault="00EB7374" w:rsidP="004572E2">
            <w:pPr>
              <w:jc w:val="right"/>
              <w:rPr>
                <w:rFonts w:eastAsia="Calibri"/>
                <w:bCs/>
                <w:sz w:val="15"/>
                <w:szCs w:val="15"/>
              </w:rPr>
            </w:pPr>
            <w:r w:rsidRPr="004572E2">
              <w:rPr>
                <w:sz w:val="15"/>
              </w:rPr>
              <w:t>15,282</w:t>
            </w:r>
          </w:p>
          <w:p w14:paraId="68851A51" w14:textId="77777777" w:rsidR="00EB7374" w:rsidRPr="004572E2" w:rsidRDefault="00EB7374" w:rsidP="004572E2">
            <w:pPr>
              <w:jc w:val="right"/>
              <w:rPr>
                <w:rFonts w:eastAsia="Calibri"/>
                <w:bCs/>
                <w:sz w:val="15"/>
                <w:szCs w:val="15"/>
              </w:rPr>
            </w:pPr>
            <w:r w:rsidRPr="004572E2">
              <w:rPr>
                <w:sz w:val="15"/>
              </w:rPr>
              <w:t>33.4</w:t>
            </w:r>
          </w:p>
          <w:p w14:paraId="554F8F1C" w14:textId="77777777" w:rsidR="00EB7374" w:rsidRPr="004572E2" w:rsidRDefault="00EB7374" w:rsidP="004572E2">
            <w:pPr>
              <w:jc w:val="right"/>
              <w:rPr>
                <w:rFonts w:eastAsia="Calibri"/>
                <w:bCs/>
                <w:sz w:val="15"/>
                <w:szCs w:val="15"/>
              </w:rPr>
            </w:pPr>
            <w:r w:rsidRPr="004572E2">
              <w:rPr>
                <w:sz w:val="15"/>
              </w:rPr>
              <w:t>34.3</w:t>
            </w:r>
          </w:p>
          <w:p w14:paraId="6831FE69" w14:textId="77777777" w:rsidR="00EB7374" w:rsidRPr="004572E2" w:rsidRDefault="00EB7374" w:rsidP="004572E2">
            <w:pPr>
              <w:jc w:val="right"/>
              <w:rPr>
                <w:rFonts w:eastAsia="Calibri"/>
                <w:bCs/>
                <w:sz w:val="15"/>
                <w:szCs w:val="15"/>
              </w:rPr>
            </w:pPr>
            <w:r w:rsidRPr="004572E2">
              <w:rPr>
                <w:sz w:val="15"/>
              </w:rPr>
              <w:t>15.2</w:t>
            </w:r>
          </w:p>
          <w:p w14:paraId="60F9E8CB" w14:textId="77777777" w:rsidR="00EB7374" w:rsidRPr="004572E2" w:rsidRDefault="00EB7374" w:rsidP="004572E2">
            <w:pPr>
              <w:jc w:val="right"/>
              <w:rPr>
                <w:rFonts w:eastAsia="Calibri"/>
                <w:bCs/>
                <w:sz w:val="15"/>
                <w:szCs w:val="15"/>
              </w:rPr>
            </w:pPr>
            <w:r w:rsidRPr="004572E2">
              <w:rPr>
                <w:sz w:val="15"/>
              </w:rPr>
              <w:t>17.1</w:t>
            </w:r>
          </w:p>
          <w:p w14:paraId="6E64AE1A" w14:textId="77777777" w:rsidR="00EB7374" w:rsidRPr="004572E2" w:rsidRDefault="00EB7374" w:rsidP="004572E2">
            <w:pPr>
              <w:jc w:val="right"/>
              <w:rPr>
                <w:rFonts w:eastAsia="Calibri"/>
                <w:bCs/>
                <w:sz w:val="15"/>
                <w:szCs w:val="15"/>
              </w:rPr>
            </w:pPr>
            <w:r w:rsidRPr="004572E2">
              <w:rPr>
                <w:sz w:val="15"/>
              </w:rPr>
              <w:t>13.8</w:t>
            </w:r>
          </w:p>
          <w:p w14:paraId="27780D0A" w14:textId="77777777" w:rsidR="00EB7374" w:rsidRPr="004572E2" w:rsidRDefault="00EB7374" w:rsidP="004572E2">
            <w:pPr>
              <w:jc w:val="right"/>
              <w:rPr>
                <w:rFonts w:eastAsia="Calibri"/>
                <w:bCs/>
                <w:sz w:val="15"/>
                <w:szCs w:val="15"/>
              </w:rPr>
            </w:pPr>
            <w:r w:rsidRPr="004572E2">
              <w:rPr>
                <w:sz w:val="15"/>
              </w:rPr>
              <w:t>2.5</w:t>
            </w:r>
          </w:p>
          <w:p w14:paraId="4398FA32" w14:textId="77777777" w:rsidR="00EB7374" w:rsidRPr="004572E2" w:rsidRDefault="00EB7374" w:rsidP="004572E2">
            <w:pPr>
              <w:jc w:val="right"/>
              <w:rPr>
                <w:rFonts w:eastAsia="Calibri"/>
                <w:bCs/>
                <w:sz w:val="15"/>
                <w:szCs w:val="15"/>
              </w:rPr>
            </w:pPr>
            <w:r w:rsidRPr="004572E2">
              <w:rPr>
                <w:sz w:val="15"/>
              </w:rPr>
              <w:t>0.3</w:t>
            </w:r>
          </w:p>
          <w:p w14:paraId="5EC32787" w14:textId="77777777" w:rsidR="00EB7374" w:rsidRPr="004572E2" w:rsidRDefault="00EB7374" w:rsidP="004572E2">
            <w:pPr>
              <w:jc w:val="right"/>
              <w:rPr>
                <w:rFonts w:eastAsia="Calibri"/>
                <w:bCs/>
                <w:sz w:val="15"/>
                <w:szCs w:val="15"/>
              </w:rPr>
            </w:pPr>
            <w:r w:rsidRPr="004572E2">
              <w:rPr>
                <w:sz w:val="15"/>
              </w:rPr>
              <w:t>0.5</w:t>
            </w:r>
          </w:p>
        </w:tc>
        <w:tc>
          <w:tcPr>
            <w:tcW w:w="528" w:type="pct"/>
          </w:tcPr>
          <w:p w14:paraId="7FD05E4D" w14:textId="77777777" w:rsidR="00EB7374" w:rsidRPr="004572E2" w:rsidRDefault="00EB7374" w:rsidP="004572E2">
            <w:pPr>
              <w:jc w:val="right"/>
              <w:rPr>
                <w:rFonts w:eastAsia="Calibri"/>
                <w:bCs/>
                <w:sz w:val="15"/>
                <w:szCs w:val="15"/>
              </w:rPr>
            </w:pPr>
            <w:r w:rsidRPr="004572E2">
              <w:rPr>
                <w:sz w:val="15"/>
              </w:rPr>
              <w:t>15,702</w:t>
            </w:r>
          </w:p>
          <w:p w14:paraId="77BE9E44" w14:textId="77777777" w:rsidR="00EB7374" w:rsidRPr="004572E2" w:rsidRDefault="00EB7374" w:rsidP="004572E2">
            <w:pPr>
              <w:jc w:val="right"/>
              <w:rPr>
                <w:rFonts w:eastAsia="Calibri"/>
                <w:bCs/>
                <w:sz w:val="15"/>
                <w:szCs w:val="15"/>
              </w:rPr>
            </w:pPr>
            <w:r w:rsidRPr="004572E2">
              <w:rPr>
                <w:sz w:val="15"/>
              </w:rPr>
              <w:t>38.6</w:t>
            </w:r>
          </w:p>
          <w:p w14:paraId="66CA7EED" w14:textId="77777777" w:rsidR="00EB7374" w:rsidRPr="004572E2" w:rsidRDefault="00EB7374" w:rsidP="004572E2">
            <w:pPr>
              <w:jc w:val="right"/>
              <w:rPr>
                <w:rFonts w:eastAsia="Calibri"/>
                <w:bCs/>
                <w:sz w:val="15"/>
                <w:szCs w:val="15"/>
              </w:rPr>
            </w:pPr>
            <w:r w:rsidRPr="004572E2">
              <w:rPr>
                <w:sz w:val="15"/>
              </w:rPr>
              <w:t>33.8</w:t>
            </w:r>
          </w:p>
          <w:p w14:paraId="01743D6B" w14:textId="77777777" w:rsidR="00EB7374" w:rsidRPr="004572E2" w:rsidRDefault="00EB7374" w:rsidP="004572E2">
            <w:pPr>
              <w:jc w:val="right"/>
              <w:rPr>
                <w:rFonts w:eastAsia="Calibri"/>
                <w:bCs/>
                <w:sz w:val="15"/>
                <w:szCs w:val="15"/>
              </w:rPr>
            </w:pPr>
            <w:r w:rsidRPr="004572E2">
              <w:rPr>
                <w:sz w:val="15"/>
              </w:rPr>
              <w:t>12.6</w:t>
            </w:r>
          </w:p>
          <w:p w14:paraId="6364D3E3" w14:textId="77777777" w:rsidR="00EB7374" w:rsidRPr="004572E2" w:rsidRDefault="00EB7374" w:rsidP="004572E2">
            <w:pPr>
              <w:jc w:val="right"/>
              <w:rPr>
                <w:rFonts w:eastAsia="Calibri"/>
                <w:bCs/>
                <w:sz w:val="15"/>
                <w:szCs w:val="15"/>
              </w:rPr>
            </w:pPr>
            <w:r w:rsidRPr="004572E2">
              <w:rPr>
                <w:sz w:val="15"/>
              </w:rPr>
              <w:t>15.0</w:t>
            </w:r>
          </w:p>
          <w:p w14:paraId="2E219724" w14:textId="77777777" w:rsidR="00EB7374" w:rsidRPr="004572E2" w:rsidRDefault="00EB7374" w:rsidP="004572E2">
            <w:pPr>
              <w:jc w:val="right"/>
              <w:rPr>
                <w:rFonts w:eastAsia="Calibri"/>
                <w:bCs/>
                <w:sz w:val="15"/>
                <w:szCs w:val="15"/>
              </w:rPr>
            </w:pPr>
            <w:r w:rsidRPr="004572E2">
              <w:rPr>
                <w:sz w:val="15"/>
              </w:rPr>
              <w:t>10.5</w:t>
            </w:r>
          </w:p>
          <w:p w14:paraId="59AFFFB1" w14:textId="77777777" w:rsidR="00EB7374" w:rsidRPr="004572E2" w:rsidRDefault="00EB7374" w:rsidP="004572E2">
            <w:pPr>
              <w:jc w:val="right"/>
              <w:rPr>
                <w:rFonts w:eastAsia="Calibri"/>
                <w:bCs/>
                <w:sz w:val="15"/>
                <w:szCs w:val="15"/>
              </w:rPr>
            </w:pPr>
            <w:r w:rsidRPr="004572E2">
              <w:rPr>
                <w:sz w:val="15"/>
              </w:rPr>
              <w:t>2.8</w:t>
            </w:r>
          </w:p>
          <w:p w14:paraId="4FF10B4E" w14:textId="77777777" w:rsidR="00EB7374" w:rsidRPr="004572E2" w:rsidRDefault="00EB7374" w:rsidP="004572E2">
            <w:pPr>
              <w:jc w:val="right"/>
              <w:rPr>
                <w:rFonts w:eastAsia="Calibri"/>
                <w:bCs/>
                <w:sz w:val="15"/>
                <w:szCs w:val="15"/>
              </w:rPr>
            </w:pPr>
            <w:r w:rsidRPr="004572E2">
              <w:rPr>
                <w:sz w:val="15"/>
              </w:rPr>
              <w:t>0.5</w:t>
            </w:r>
          </w:p>
          <w:p w14:paraId="6D4B9FA7" w14:textId="77777777" w:rsidR="00EB7374" w:rsidRPr="004572E2" w:rsidRDefault="00EB7374" w:rsidP="004572E2">
            <w:pPr>
              <w:jc w:val="right"/>
              <w:rPr>
                <w:rFonts w:eastAsia="Calibri"/>
                <w:bCs/>
                <w:sz w:val="15"/>
                <w:szCs w:val="15"/>
              </w:rPr>
            </w:pPr>
            <w:r w:rsidRPr="004572E2">
              <w:rPr>
                <w:sz w:val="15"/>
              </w:rPr>
              <w:t>1.2</w:t>
            </w:r>
          </w:p>
        </w:tc>
        <w:tc>
          <w:tcPr>
            <w:tcW w:w="528" w:type="pct"/>
          </w:tcPr>
          <w:p w14:paraId="0938AE3A" w14:textId="77777777" w:rsidR="00EB7374" w:rsidRPr="004572E2" w:rsidRDefault="00EB7374" w:rsidP="004572E2">
            <w:pPr>
              <w:jc w:val="right"/>
              <w:rPr>
                <w:rFonts w:eastAsia="Calibri"/>
                <w:bCs/>
                <w:sz w:val="15"/>
                <w:szCs w:val="15"/>
              </w:rPr>
            </w:pPr>
            <w:r w:rsidRPr="004572E2">
              <w:rPr>
                <w:sz w:val="15"/>
              </w:rPr>
              <w:t>17,412</w:t>
            </w:r>
          </w:p>
          <w:p w14:paraId="5E80918E" w14:textId="77777777" w:rsidR="00EB7374" w:rsidRPr="004572E2" w:rsidRDefault="00EB7374" w:rsidP="004572E2">
            <w:pPr>
              <w:jc w:val="right"/>
              <w:rPr>
                <w:rFonts w:eastAsia="Calibri"/>
                <w:bCs/>
                <w:sz w:val="15"/>
                <w:szCs w:val="15"/>
              </w:rPr>
            </w:pPr>
            <w:r w:rsidRPr="004572E2">
              <w:rPr>
                <w:sz w:val="15"/>
              </w:rPr>
              <w:t>38.6</w:t>
            </w:r>
          </w:p>
          <w:p w14:paraId="055CCE0E" w14:textId="77777777" w:rsidR="00EB7374" w:rsidRPr="004572E2" w:rsidRDefault="00EB7374" w:rsidP="004572E2">
            <w:pPr>
              <w:jc w:val="right"/>
              <w:rPr>
                <w:rFonts w:eastAsia="Calibri"/>
                <w:bCs/>
                <w:sz w:val="15"/>
                <w:szCs w:val="15"/>
              </w:rPr>
            </w:pPr>
            <w:r w:rsidRPr="004572E2">
              <w:rPr>
                <w:sz w:val="15"/>
              </w:rPr>
              <w:t>29.9</w:t>
            </w:r>
          </w:p>
          <w:p w14:paraId="54599DEA" w14:textId="77777777" w:rsidR="00EB7374" w:rsidRPr="004572E2" w:rsidRDefault="00EB7374" w:rsidP="004572E2">
            <w:pPr>
              <w:jc w:val="right"/>
              <w:rPr>
                <w:rFonts w:eastAsia="Calibri"/>
                <w:bCs/>
                <w:sz w:val="15"/>
                <w:szCs w:val="15"/>
              </w:rPr>
            </w:pPr>
            <w:r w:rsidRPr="004572E2">
              <w:rPr>
                <w:sz w:val="15"/>
              </w:rPr>
              <w:t>19.7</w:t>
            </w:r>
          </w:p>
          <w:p w14:paraId="0D0C0802" w14:textId="77777777" w:rsidR="00EB7374" w:rsidRPr="004572E2" w:rsidRDefault="00EB7374" w:rsidP="004572E2">
            <w:pPr>
              <w:jc w:val="right"/>
              <w:rPr>
                <w:rFonts w:eastAsia="Calibri"/>
                <w:bCs/>
                <w:sz w:val="15"/>
                <w:szCs w:val="15"/>
              </w:rPr>
            </w:pPr>
            <w:r w:rsidRPr="004572E2">
              <w:rPr>
                <w:sz w:val="15"/>
              </w:rPr>
              <w:t>11.8</w:t>
            </w:r>
          </w:p>
          <w:p w14:paraId="219BDAB8" w14:textId="77777777" w:rsidR="00EB7374" w:rsidRPr="004572E2" w:rsidRDefault="00EB7374" w:rsidP="004572E2">
            <w:pPr>
              <w:jc w:val="right"/>
              <w:rPr>
                <w:rFonts w:eastAsia="Calibri"/>
                <w:bCs/>
                <w:sz w:val="15"/>
                <w:szCs w:val="15"/>
              </w:rPr>
            </w:pPr>
            <w:r w:rsidRPr="004572E2">
              <w:rPr>
                <w:sz w:val="15"/>
              </w:rPr>
              <w:t>5.6</w:t>
            </w:r>
          </w:p>
          <w:p w14:paraId="73227BD7" w14:textId="77777777" w:rsidR="00EB7374" w:rsidRPr="004572E2" w:rsidRDefault="00EB7374" w:rsidP="004572E2">
            <w:pPr>
              <w:jc w:val="right"/>
              <w:rPr>
                <w:rFonts w:eastAsia="Calibri"/>
                <w:bCs/>
                <w:sz w:val="15"/>
                <w:szCs w:val="15"/>
              </w:rPr>
            </w:pPr>
            <w:r w:rsidRPr="004572E2">
              <w:rPr>
                <w:sz w:val="15"/>
              </w:rPr>
              <w:t>4.3</w:t>
            </w:r>
          </w:p>
          <w:p w14:paraId="0CF5CD63" w14:textId="77777777" w:rsidR="00EB7374" w:rsidRPr="004572E2" w:rsidRDefault="00EB7374" w:rsidP="004572E2">
            <w:pPr>
              <w:jc w:val="right"/>
              <w:rPr>
                <w:rFonts w:eastAsia="Calibri"/>
                <w:bCs/>
                <w:sz w:val="15"/>
                <w:szCs w:val="15"/>
              </w:rPr>
            </w:pPr>
            <w:r w:rsidRPr="004572E2">
              <w:rPr>
                <w:sz w:val="15"/>
              </w:rPr>
              <w:t>0.9</w:t>
            </w:r>
          </w:p>
          <w:p w14:paraId="4CD50031" w14:textId="77777777" w:rsidR="00EB7374" w:rsidRPr="004572E2" w:rsidRDefault="00EB7374" w:rsidP="004572E2">
            <w:pPr>
              <w:jc w:val="right"/>
              <w:rPr>
                <w:rFonts w:eastAsia="Calibri"/>
                <w:bCs/>
                <w:sz w:val="15"/>
                <w:szCs w:val="15"/>
              </w:rPr>
            </w:pPr>
            <w:r w:rsidRPr="004572E2">
              <w:rPr>
                <w:sz w:val="15"/>
              </w:rPr>
              <w:t>1.0</w:t>
            </w:r>
          </w:p>
        </w:tc>
        <w:tc>
          <w:tcPr>
            <w:tcW w:w="528" w:type="pct"/>
          </w:tcPr>
          <w:p w14:paraId="22753E9B" w14:textId="77777777" w:rsidR="00EB7374" w:rsidRPr="004572E2" w:rsidRDefault="00EB7374" w:rsidP="004572E2">
            <w:pPr>
              <w:jc w:val="right"/>
              <w:rPr>
                <w:rFonts w:eastAsia="Calibri"/>
                <w:bCs/>
                <w:sz w:val="15"/>
                <w:szCs w:val="15"/>
              </w:rPr>
            </w:pPr>
            <w:r w:rsidRPr="004572E2">
              <w:rPr>
                <w:sz w:val="15"/>
              </w:rPr>
              <w:t>17,663</w:t>
            </w:r>
          </w:p>
          <w:p w14:paraId="06EF7BE1" w14:textId="77777777" w:rsidR="00EB7374" w:rsidRPr="004572E2" w:rsidRDefault="00EB7374" w:rsidP="004572E2">
            <w:pPr>
              <w:jc w:val="right"/>
              <w:rPr>
                <w:rFonts w:eastAsia="Calibri"/>
                <w:bCs/>
                <w:sz w:val="15"/>
                <w:szCs w:val="15"/>
              </w:rPr>
            </w:pPr>
            <w:r w:rsidRPr="004572E2">
              <w:rPr>
                <w:sz w:val="15"/>
              </w:rPr>
              <w:t>16.8</w:t>
            </w:r>
          </w:p>
          <w:p w14:paraId="2C7029BA" w14:textId="77777777" w:rsidR="00EB7374" w:rsidRPr="004572E2" w:rsidRDefault="00EB7374" w:rsidP="004572E2">
            <w:pPr>
              <w:jc w:val="right"/>
              <w:rPr>
                <w:rFonts w:eastAsia="Calibri"/>
                <w:bCs/>
                <w:sz w:val="15"/>
                <w:szCs w:val="15"/>
              </w:rPr>
            </w:pPr>
            <w:r w:rsidRPr="004572E2">
              <w:rPr>
                <w:sz w:val="15"/>
              </w:rPr>
              <w:t>32.8</w:t>
            </w:r>
          </w:p>
          <w:p w14:paraId="65FD86E1" w14:textId="77777777" w:rsidR="00EB7374" w:rsidRPr="004572E2" w:rsidRDefault="00EB7374" w:rsidP="004572E2">
            <w:pPr>
              <w:jc w:val="right"/>
              <w:rPr>
                <w:rFonts w:eastAsia="Calibri"/>
                <w:bCs/>
                <w:sz w:val="15"/>
                <w:szCs w:val="15"/>
              </w:rPr>
            </w:pPr>
            <w:r w:rsidRPr="004572E2">
              <w:rPr>
                <w:sz w:val="15"/>
              </w:rPr>
              <w:t>35.1</w:t>
            </w:r>
          </w:p>
          <w:p w14:paraId="4A2C5C6D" w14:textId="77777777" w:rsidR="00EB7374" w:rsidRPr="004572E2" w:rsidRDefault="00EB7374" w:rsidP="004572E2">
            <w:pPr>
              <w:jc w:val="right"/>
              <w:rPr>
                <w:rFonts w:eastAsia="Calibri"/>
                <w:bCs/>
                <w:sz w:val="15"/>
                <w:szCs w:val="15"/>
              </w:rPr>
            </w:pPr>
            <w:r w:rsidRPr="004572E2">
              <w:rPr>
                <w:sz w:val="15"/>
              </w:rPr>
              <w:t>15.3</w:t>
            </w:r>
          </w:p>
          <w:p w14:paraId="22E290A6" w14:textId="77777777" w:rsidR="00EB7374" w:rsidRPr="004572E2" w:rsidRDefault="00EB7374" w:rsidP="004572E2">
            <w:pPr>
              <w:jc w:val="right"/>
              <w:rPr>
                <w:rFonts w:eastAsia="Calibri"/>
                <w:bCs/>
                <w:sz w:val="15"/>
                <w:szCs w:val="15"/>
              </w:rPr>
            </w:pPr>
            <w:r w:rsidRPr="004572E2">
              <w:rPr>
                <w:sz w:val="15"/>
              </w:rPr>
              <w:t>6.7</w:t>
            </w:r>
          </w:p>
          <w:p w14:paraId="68D3FBFB" w14:textId="77777777" w:rsidR="00EB7374" w:rsidRPr="004572E2" w:rsidRDefault="00EB7374" w:rsidP="004572E2">
            <w:pPr>
              <w:jc w:val="right"/>
              <w:rPr>
                <w:rFonts w:eastAsia="Calibri"/>
                <w:bCs/>
                <w:sz w:val="15"/>
                <w:szCs w:val="15"/>
              </w:rPr>
            </w:pPr>
            <w:r w:rsidRPr="004572E2">
              <w:rPr>
                <w:sz w:val="15"/>
              </w:rPr>
              <w:t>6.1</w:t>
            </w:r>
          </w:p>
          <w:p w14:paraId="2776B78F" w14:textId="77777777" w:rsidR="00EB7374" w:rsidRPr="004572E2" w:rsidRDefault="00EB7374" w:rsidP="004572E2">
            <w:pPr>
              <w:jc w:val="right"/>
              <w:rPr>
                <w:rFonts w:eastAsia="Calibri"/>
                <w:bCs/>
                <w:sz w:val="15"/>
                <w:szCs w:val="15"/>
              </w:rPr>
            </w:pPr>
            <w:r w:rsidRPr="004572E2">
              <w:rPr>
                <w:sz w:val="15"/>
              </w:rPr>
              <w:t>1.6</w:t>
            </w:r>
          </w:p>
          <w:p w14:paraId="106CA798" w14:textId="77777777" w:rsidR="00EB7374" w:rsidRPr="004572E2" w:rsidRDefault="00EB7374" w:rsidP="004572E2">
            <w:pPr>
              <w:jc w:val="right"/>
              <w:rPr>
                <w:rFonts w:eastAsia="Calibri"/>
                <w:bCs/>
                <w:sz w:val="15"/>
                <w:szCs w:val="15"/>
              </w:rPr>
            </w:pPr>
            <w:r w:rsidRPr="004572E2">
              <w:rPr>
                <w:sz w:val="15"/>
              </w:rPr>
              <w:t>0.9</w:t>
            </w:r>
          </w:p>
        </w:tc>
        <w:tc>
          <w:tcPr>
            <w:tcW w:w="527" w:type="pct"/>
          </w:tcPr>
          <w:p w14:paraId="33662000" w14:textId="77777777" w:rsidR="00EB7374" w:rsidRPr="004572E2" w:rsidRDefault="00EB7374" w:rsidP="004572E2">
            <w:pPr>
              <w:jc w:val="right"/>
              <w:rPr>
                <w:rFonts w:eastAsia="Calibri"/>
                <w:bCs/>
                <w:sz w:val="15"/>
                <w:szCs w:val="15"/>
              </w:rPr>
            </w:pPr>
            <w:r w:rsidRPr="004572E2">
              <w:rPr>
                <w:sz w:val="15"/>
              </w:rPr>
              <w:t>21,404</w:t>
            </w:r>
          </w:p>
          <w:p w14:paraId="6FE67929" w14:textId="77777777" w:rsidR="00EB7374" w:rsidRPr="004572E2" w:rsidRDefault="00EB7374" w:rsidP="004572E2">
            <w:pPr>
              <w:jc w:val="right"/>
              <w:rPr>
                <w:rFonts w:eastAsia="Calibri"/>
                <w:bCs/>
                <w:sz w:val="15"/>
                <w:szCs w:val="15"/>
              </w:rPr>
            </w:pPr>
            <w:r w:rsidRPr="004572E2">
              <w:rPr>
                <w:sz w:val="15"/>
              </w:rPr>
              <w:t>12.8</w:t>
            </w:r>
          </w:p>
          <w:p w14:paraId="77C31FF0" w14:textId="77777777" w:rsidR="00EB7374" w:rsidRPr="004572E2" w:rsidRDefault="00EB7374" w:rsidP="004572E2">
            <w:pPr>
              <w:jc w:val="right"/>
              <w:rPr>
                <w:rFonts w:eastAsia="Calibri"/>
                <w:bCs/>
                <w:sz w:val="15"/>
                <w:szCs w:val="15"/>
              </w:rPr>
            </w:pPr>
            <w:r w:rsidRPr="004572E2">
              <w:rPr>
                <w:sz w:val="15"/>
              </w:rPr>
              <w:t>40.1</w:t>
            </w:r>
          </w:p>
          <w:p w14:paraId="13AD38BF" w14:textId="77777777" w:rsidR="00EB7374" w:rsidRPr="004572E2" w:rsidRDefault="00EB7374" w:rsidP="004572E2">
            <w:pPr>
              <w:jc w:val="right"/>
              <w:rPr>
                <w:rFonts w:eastAsia="Calibri"/>
                <w:bCs/>
                <w:sz w:val="15"/>
                <w:szCs w:val="15"/>
              </w:rPr>
            </w:pPr>
            <w:r w:rsidRPr="004572E2">
              <w:rPr>
                <w:sz w:val="15"/>
              </w:rPr>
              <w:t>30.9</w:t>
            </w:r>
          </w:p>
          <w:p w14:paraId="7766A2EB" w14:textId="77777777" w:rsidR="00EB7374" w:rsidRPr="004572E2" w:rsidRDefault="00EB7374" w:rsidP="004572E2">
            <w:pPr>
              <w:jc w:val="right"/>
              <w:rPr>
                <w:rFonts w:eastAsia="Calibri"/>
                <w:bCs/>
                <w:sz w:val="15"/>
                <w:szCs w:val="15"/>
              </w:rPr>
            </w:pPr>
            <w:r w:rsidRPr="004572E2">
              <w:rPr>
                <w:sz w:val="15"/>
              </w:rPr>
              <w:t>16.2</w:t>
            </w:r>
          </w:p>
          <w:p w14:paraId="3784FFAB" w14:textId="77777777" w:rsidR="00EB7374" w:rsidRPr="004572E2" w:rsidRDefault="00EB7374" w:rsidP="004572E2">
            <w:pPr>
              <w:jc w:val="right"/>
              <w:rPr>
                <w:rFonts w:eastAsia="Calibri"/>
                <w:bCs/>
                <w:sz w:val="15"/>
                <w:szCs w:val="15"/>
              </w:rPr>
            </w:pPr>
            <w:r w:rsidRPr="004572E2">
              <w:rPr>
                <w:sz w:val="15"/>
              </w:rPr>
              <w:t>7.0</w:t>
            </w:r>
          </w:p>
          <w:p w14:paraId="045104FD" w14:textId="77777777" w:rsidR="00EB7374" w:rsidRPr="004572E2" w:rsidRDefault="00EB7374" w:rsidP="004572E2">
            <w:pPr>
              <w:jc w:val="right"/>
              <w:rPr>
                <w:rFonts w:eastAsia="Calibri"/>
                <w:bCs/>
                <w:sz w:val="15"/>
                <w:szCs w:val="15"/>
              </w:rPr>
            </w:pPr>
            <w:r w:rsidRPr="004572E2">
              <w:rPr>
                <w:sz w:val="15"/>
              </w:rPr>
              <w:t>5.8</w:t>
            </w:r>
          </w:p>
          <w:p w14:paraId="3339046D" w14:textId="77777777" w:rsidR="00EB7374" w:rsidRPr="004572E2" w:rsidRDefault="00EB7374" w:rsidP="004572E2">
            <w:pPr>
              <w:jc w:val="right"/>
              <w:rPr>
                <w:rFonts w:eastAsia="Calibri"/>
                <w:sz w:val="15"/>
                <w:szCs w:val="15"/>
              </w:rPr>
            </w:pPr>
            <w:r w:rsidRPr="004572E2">
              <w:rPr>
                <w:sz w:val="15"/>
              </w:rPr>
              <w:t>2.3</w:t>
            </w:r>
          </w:p>
          <w:p w14:paraId="2D6B8B03" w14:textId="77777777" w:rsidR="00EB7374" w:rsidRPr="004572E2" w:rsidRDefault="00EB7374" w:rsidP="004572E2">
            <w:pPr>
              <w:jc w:val="right"/>
              <w:rPr>
                <w:rFonts w:eastAsia="Calibri"/>
                <w:sz w:val="15"/>
                <w:szCs w:val="15"/>
              </w:rPr>
            </w:pPr>
            <w:r w:rsidRPr="004572E2">
              <w:rPr>
                <w:sz w:val="15"/>
              </w:rPr>
              <w:t>1.1</w:t>
            </w:r>
          </w:p>
        </w:tc>
      </w:tr>
      <w:tr w:rsidR="00EB7374" w:rsidRPr="004572E2" w14:paraId="35961F8E" w14:textId="77777777" w:rsidTr="00C700EB">
        <w:tc>
          <w:tcPr>
            <w:tcW w:w="1304" w:type="pct"/>
          </w:tcPr>
          <w:p w14:paraId="29E6B775" w14:textId="77777777" w:rsidR="00EB7374" w:rsidRPr="004572E2" w:rsidRDefault="00EB7374" w:rsidP="004572E2">
            <w:pPr>
              <w:jc w:val="left"/>
              <w:rPr>
                <w:rFonts w:eastAsia="Calibri"/>
                <w:sz w:val="15"/>
                <w:szCs w:val="15"/>
              </w:rPr>
            </w:pPr>
            <w:r w:rsidRPr="004572E2">
              <w:rPr>
                <w:sz w:val="15"/>
              </w:rPr>
              <w:t>Demand (GWh)</w:t>
            </w:r>
          </w:p>
        </w:tc>
        <w:tc>
          <w:tcPr>
            <w:tcW w:w="529" w:type="pct"/>
          </w:tcPr>
          <w:p w14:paraId="1318CAB0" w14:textId="77777777" w:rsidR="00EB7374" w:rsidRPr="004572E2" w:rsidRDefault="00EB7374" w:rsidP="004572E2">
            <w:pPr>
              <w:jc w:val="right"/>
              <w:rPr>
                <w:rFonts w:eastAsia="Calibri"/>
                <w:sz w:val="15"/>
                <w:szCs w:val="15"/>
              </w:rPr>
            </w:pPr>
            <w:r w:rsidRPr="004572E2">
              <w:rPr>
                <w:sz w:val="15"/>
              </w:rPr>
              <w:t>16,003</w:t>
            </w:r>
          </w:p>
        </w:tc>
        <w:tc>
          <w:tcPr>
            <w:tcW w:w="528" w:type="pct"/>
          </w:tcPr>
          <w:p w14:paraId="39248AD8" w14:textId="77777777" w:rsidR="00EB7374" w:rsidRPr="004572E2" w:rsidRDefault="00EB7374" w:rsidP="004572E2">
            <w:pPr>
              <w:jc w:val="right"/>
              <w:rPr>
                <w:rFonts w:eastAsia="Calibri"/>
                <w:sz w:val="15"/>
                <w:szCs w:val="15"/>
              </w:rPr>
            </w:pPr>
            <w:r w:rsidRPr="004572E2">
              <w:rPr>
                <w:sz w:val="15"/>
              </w:rPr>
              <w:t>16,838</w:t>
            </w:r>
          </w:p>
        </w:tc>
        <w:tc>
          <w:tcPr>
            <w:tcW w:w="528" w:type="pct"/>
          </w:tcPr>
          <w:p w14:paraId="49EF5031" w14:textId="77777777" w:rsidR="00EB7374" w:rsidRPr="004572E2" w:rsidRDefault="00EB7374" w:rsidP="004572E2">
            <w:pPr>
              <w:jc w:val="right"/>
              <w:rPr>
                <w:rFonts w:eastAsia="Calibri"/>
                <w:sz w:val="15"/>
                <w:szCs w:val="15"/>
              </w:rPr>
            </w:pPr>
            <w:r w:rsidRPr="004572E2">
              <w:rPr>
                <w:sz w:val="15"/>
              </w:rPr>
              <w:t>17,159</w:t>
            </w:r>
          </w:p>
        </w:tc>
        <w:tc>
          <w:tcPr>
            <w:tcW w:w="528" w:type="pct"/>
          </w:tcPr>
          <w:p w14:paraId="7CE44BD4" w14:textId="77777777" w:rsidR="00EB7374" w:rsidRPr="004572E2" w:rsidRDefault="00EB7374" w:rsidP="004572E2">
            <w:pPr>
              <w:jc w:val="right"/>
              <w:rPr>
                <w:rFonts w:eastAsia="Calibri"/>
                <w:sz w:val="15"/>
                <w:szCs w:val="15"/>
              </w:rPr>
            </w:pPr>
            <w:r w:rsidRPr="004572E2">
              <w:rPr>
                <w:sz w:val="15"/>
              </w:rPr>
              <w:t>17,714</w:t>
            </w:r>
          </w:p>
        </w:tc>
        <w:tc>
          <w:tcPr>
            <w:tcW w:w="528" w:type="pct"/>
          </w:tcPr>
          <w:p w14:paraId="5D3DF0A9" w14:textId="77777777" w:rsidR="00EB7374" w:rsidRPr="004572E2" w:rsidRDefault="00EB7374" w:rsidP="004572E2">
            <w:pPr>
              <w:jc w:val="right"/>
              <w:rPr>
                <w:rFonts w:eastAsia="Calibri"/>
                <w:sz w:val="15"/>
                <w:szCs w:val="15"/>
              </w:rPr>
            </w:pPr>
            <w:r w:rsidRPr="004572E2">
              <w:rPr>
                <w:sz w:val="15"/>
              </w:rPr>
              <w:t>19,266</w:t>
            </w:r>
          </w:p>
        </w:tc>
        <w:tc>
          <w:tcPr>
            <w:tcW w:w="528" w:type="pct"/>
          </w:tcPr>
          <w:p w14:paraId="2C466BEC" w14:textId="77777777" w:rsidR="00EB7374" w:rsidRPr="004572E2" w:rsidRDefault="00EB7374" w:rsidP="004572E2">
            <w:pPr>
              <w:jc w:val="right"/>
              <w:rPr>
                <w:rFonts w:eastAsia="Calibri"/>
                <w:sz w:val="15"/>
                <w:szCs w:val="15"/>
              </w:rPr>
            </w:pPr>
            <w:r w:rsidRPr="004572E2">
              <w:rPr>
                <w:sz w:val="15"/>
              </w:rPr>
              <w:t>19,804</w:t>
            </w:r>
          </w:p>
        </w:tc>
        <w:tc>
          <w:tcPr>
            <w:tcW w:w="527" w:type="pct"/>
          </w:tcPr>
          <w:p w14:paraId="24A6FF1F" w14:textId="77777777" w:rsidR="00EB7374" w:rsidRPr="004572E2" w:rsidRDefault="00EB7374" w:rsidP="004572E2">
            <w:pPr>
              <w:jc w:val="right"/>
              <w:rPr>
                <w:rFonts w:eastAsia="Calibri"/>
                <w:sz w:val="15"/>
                <w:szCs w:val="15"/>
              </w:rPr>
            </w:pPr>
            <w:r w:rsidRPr="004572E2">
              <w:rPr>
                <w:sz w:val="15"/>
              </w:rPr>
              <w:t>21,649</w:t>
            </w:r>
          </w:p>
        </w:tc>
      </w:tr>
    </w:tbl>
    <w:p w14:paraId="5B455583" w14:textId="77777777" w:rsidR="00EB7374" w:rsidRPr="004572E2" w:rsidRDefault="00EB7374" w:rsidP="00076BE1">
      <w:pPr>
        <w:pStyle w:val="NoteText"/>
        <w:spacing w:before="120" w:after="240"/>
      </w:pPr>
      <w:r w:rsidRPr="004572E2">
        <w:t>Source:</w:t>
      </w:r>
      <w:r w:rsidRPr="004572E2">
        <w:tab/>
        <w:t>Annual reports of the Coordinating Agency 2015–21.</w:t>
      </w:r>
    </w:p>
    <w:p w14:paraId="0DEE7502" w14:textId="77777777" w:rsidR="00EB7374" w:rsidRPr="004572E2" w:rsidRDefault="00EB7374" w:rsidP="00C80D98">
      <w:pPr>
        <w:pStyle w:val="BodyText"/>
      </w:pPr>
      <w:r w:rsidRPr="004572E2">
        <w:t>The electricity market is regulated by the General Law on Electricity (</w:t>
      </w:r>
      <w:proofErr w:type="spellStart"/>
      <w:r w:rsidRPr="004572E2">
        <w:t>LGE</w:t>
      </w:r>
      <w:proofErr w:type="spellEnd"/>
      <w:r w:rsidRPr="004572E2">
        <w:t>)</w:t>
      </w:r>
      <w:r w:rsidRPr="004572E2">
        <w:rPr>
          <w:rStyle w:val="FootnoteReference"/>
        </w:rPr>
        <w:footnoteReference w:id="437"/>
      </w:r>
      <w:r w:rsidRPr="004572E2">
        <w:t>, which is implemented by three bodies: (</w:t>
      </w:r>
      <w:proofErr w:type="spellStart"/>
      <w:r w:rsidRPr="004572E2">
        <w:t>i</w:t>
      </w:r>
      <w:proofErr w:type="spellEnd"/>
      <w:r w:rsidRPr="004572E2">
        <w:t>) the National Energy Commission (</w:t>
      </w:r>
      <w:proofErr w:type="spellStart"/>
      <w:r w:rsidRPr="004572E2">
        <w:t>CNE</w:t>
      </w:r>
      <w:proofErr w:type="spellEnd"/>
      <w:r w:rsidRPr="004572E2">
        <w:t>), which formulates electricity policy and is presided over by MEM; (ii) the Electricity Supervisory Authority (SIE), which is the regulatory body for the electricity market and is attached to MEM; and (iii) the Coordinating Agency, which coordinates the technical and commercial operations relating to the national grid. Up until 2020, the Dominican Corporation of State</w:t>
      </w:r>
      <w:r w:rsidRPr="004572E2">
        <w:noBreakHyphen/>
        <w:t>owned Electricity Companies (</w:t>
      </w:r>
      <w:proofErr w:type="spellStart"/>
      <w:r w:rsidRPr="004572E2">
        <w:t>CDEEE</w:t>
      </w:r>
      <w:proofErr w:type="spellEnd"/>
      <w:r w:rsidRPr="004572E2">
        <w:t>) played a major role in the sector, as it was responsible for implementing various development policies for state</w:t>
      </w:r>
      <w:r w:rsidRPr="004572E2">
        <w:noBreakHyphen/>
        <w:t xml:space="preserve">owned electricity companies, as well as for the electrification of rural and suburban areas. Since then, the </w:t>
      </w:r>
      <w:proofErr w:type="spellStart"/>
      <w:r w:rsidRPr="004572E2">
        <w:t>CDEEE</w:t>
      </w:r>
      <w:proofErr w:type="spellEnd"/>
      <w:r w:rsidRPr="004572E2">
        <w:t xml:space="preserve"> has been in process of being liquidated; its responsibilities and functions were transferred to MEM; the management boards of the three electricity distribution companies (EDE), under its oversight, were merged; and the Rural and Suburban Electrification Unit (</w:t>
      </w:r>
      <w:proofErr w:type="spellStart"/>
      <w:r w:rsidRPr="004572E2">
        <w:t>UERS</w:t>
      </w:r>
      <w:proofErr w:type="spellEnd"/>
      <w:r w:rsidRPr="004572E2">
        <w:t>) became part of the Vice</w:t>
      </w:r>
      <w:r w:rsidRPr="004572E2">
        <w:noBreakHyphen/>
        <w:t>Ministry of Energy of MEM.</w:t>
      </w:r>
      <w:r w:rsidRPr="004572E2">
        <w:rPr>
          <w:rStyle w:val="FootnoteReference"/>
        </w:rPr>
        <w:footnoteReference w:id="438"/>
      </w:r>
      <w:r w:rsidRPr="004572E2">
        <w:t xml:space="preserve"> According to the authorities, the companies previously under the oversight of the </w:t>
      </w:r>
      <w:proofErr w:type="spellStart"/>
      <w:r w:rsidRPr="004572E2">
        <w:t>CDEEE</w:t>
      </w:r>
      <w:proofErr w:type="spellEnd"/>
      <w:r w:rsidRPr="004572E2">
        <w:t xml:space="preserve"> will operate independently once the process of dissolving the </w:t>
      </w:r>
      <w:proofErr w:type="spellStart"/>
      <w:r w:rsidRPr="004572E2">
        <w:t>CDEEE</w:t>
      </w:r>
      <w:proofErr w:type="spellEnd"/>
      <w:r w:rsidRPr="004572E2">
        <w:t xml:space="preserve"> has been completed.</w:t>
      </w:r>
    </w:p>
    <w:p w14:paraId="100B8F38" w14:textId="7DC33E48" w:rsidR="00EB7374" w:rsidRPr="004572E2" w:rsidRDefault="00EB7374" w:rsidP="00C80D98">
      <w:pPr>
        <w:pStyle w:val="BodyText"/>
      </w:pPr>
      <w:r w:rsidRPr="004572E2">
        <w:t>In 2021, the National Pact to Reform the Electricity Sector 2021</w:t>
      </w:r>
      <w:r w:rsidRPr="004572E2">
        <w:noBreakHyphen/>
        <w:t>30 (Electricity Pact)</w:t>
      </w:r>
      <w:r w:rsidRPr="004572E2">
        <w:rPr>
          <w:rStyle w:val="FootnoteReference"/>
        </w:rPr>
        <w:footnoteReference w:id="439"/>
      </w:r>
      <w:r w:rsidRPr="004572E2">
        <w:t xml:space="preserve"> was signed, with a view to providing a universal, high quality, efficient, reliable, resilient, and environmentally and financially sustainable electricity service. The objectives of the Electricity Pact </w:t>
      </w:r>
      <w:r w:rsidRPr="004572E2">
        <w:lastRenderedPageBreak/>
        <w:t xml:space="preserve">include </w:t>
      </w:r>
      <w:r w:rsidR="002E6D43">
        <w:t>integrating</w:t>
      </w:r>
      <w:r w:rsidRPr="004572E2">
        <w:t xml:space="preserve"> the </w:t>
      </w:r>
      <w:proofErr w:type="spellStart"/>
      <w:r w:rsidRPr="004572E2">
        <w:t>CNE</w:t>
      </w:r>
      <w:proofErr w:type="spellEnd"/>
      <w:r w:rsidRPr="004572E2">
        <w:t xml:space="preserve"> </w:t>
      </w:r>
      <w:r w:rsidR="002E6D43">
        <w:t>into</w:t>
      </w:r>
      <w:r w:rsidRPr="004572E2">
        <w:t xml:space="preserve"> MEM, rather than</w:t>
      </w:r>
      <w:r w:rsidR="002E6D43">
        <w:t xml:space="preserve"> being</w:t>
      </w:r>
      <w:r w:rsidRPr="004572E2">
        <w:t xml:space="preserve"> a unit attached to the Ministry, and </w:t>
      </w:r>
      <w:r w:rsidR="002E6D43">
        <w:t>to eliminate the support for</w:t>
      </w:r>
      <w:r w:rsidRPr="004572E2">
        <w:t xml:space="preserve"> electricity tariffs.</w:t>
      </w:r>
    </w:p>
    <w:p w14:paraId="26820161" w14:textId="77777777" w:rsidR="00EB7374" w:rsidRPr="004572E2" w:rsidRDefault="00EB7374" w:rsidP="00C80D98">
      <w:pPr>
        <w:pStyle w:val="BodyText"/>
      </w:pPr>
      <w:r w:rsidRPr="004572E2">
        <w:rPr>
          <w14:scene3d>
            <w14:camera w14:prst="orthographicFront"/>
            <w14:lightRig w14:rig="threePt" w14:dir="t">
              <w14:rot w14:lat="0" w14:lon="0" w14:rev="0"/>
            </w14:lightRig>
          </w14:scene3d>
        </w:rPr>
        <w:t xml:space="preserve">Although </w:t>
      </w:r>
      <w:r w:rsidRPr="004572E2">
        <w:t>there has been a significant improvement in the electricity supply, which could be attributable to the diversification of the energy mix and efforts to modernize and restructure the sector, major challenges remain. Specifically, the dependency on imported fuel, electricity tariffs that fail to cover costs, a series of subsidies, the lack of investment in distribution and transmission, the high level of losses and the inadequate management of the distribution companies (EDE).</w:t>
      </w:r>
    </w:p>
    <w:p w14:paraId="647BBC41" w14:textId="19149EBD" w:rsidR="00EB7374" w:rsidRPr="004572E2" w:rsidRDefault="00EB7374" w:rsidP="00C80D98">
      <w:pPr>
        <w:pStyle w:val="BodyText"/>
      </w:pPr>
      <w:r w:rsidRPr="004572E2">
        <w:t>Reducing distribution losses remains a challenge for the Dominican electricity sector. Loss reduction targets have not been met</w:t>
      </w:r>
      <w:r w:rsidRPr="004572E2">
        <w:rPr>
          <w:rStyle w:val="FootnoteReference"/>
        </w:rPr>
        <w:footnoteReference w:id="440"/>
      </w:r>
      <w:r w:rsidRPr="004572E2">
        <w:t xml:space="preserve"> and, although there has been a slight decline since 2015, losses remained above 33</w:t>
      </w:r>
      <w:r>
        <w:t>%</w:t>
      </w:r>
      <w:r w:rsidRPr="004572E2">
        <w:t xml:space="preserve"> in 2020.</w:t>
      </w:r>
      <w:r w:rsidRPr="004572E2">
        <w:rPr>
          <w:rStyle w:val="FootnoteReference"/>
        </w:rPr>
        <w:footnoteReference w:id="441"/>
      </w:r>
      <w:r w:rsidRPr="004572E2">
        <w:t xml:space="preserve"> The main reasons for these losses are inadequate administrative and commercial management and energy theft. The Electricity </w:t>
      </w:r>
      <w:r w:rsidR="002E6D43">
        <w:t>Pact</w:t>
      </w:r>
      <w:r w:rsidRPr="004572E2">
        <w:t xml:space="preserve"> sets the objective of reducing loss levels by 15 percentage by 2026 and provides for the construction of new power stations to reduce electricity costs. Another shortcoming that has been identified in the Dominican</w:t>
      </w:r>
      <w:r>
        <w:t> </w:t>
      </w:r>
      <w:r w:rsidRPr="004572E2">
        <w:t>electricity sector is the lack of a system of penalties for failure to comply with regulations, both for operators and for users.</w:t>
      </w:r>
    </w:p>
    <w:p w14:paraId="79F1F788" w14:textId="77777777" w:rsidR="00EB7374" w:rsidRPr="004572E2" w:rsidRDefault="00EB7374" w:rsidP="00C80D98">
      <w:pPr>
        <w:pStyle w:val="BodyText"/>
      </w:pPr>
      <w:r w:rsidRPr="004572E2">
        <w:t>The conditions of access to the electricity market have not changed during the review period. The private sector can undertake electricity generation activities, although the generation of hydroelectric power in excess of 5 MW is an activity reserved to the State. The state</w:t>
      </w:r>
      <w:r w:rsidRPr="004572E2">
        <w:noBreakHyphen/>
        <w:t xml:space="preserve">owned </w:t>
      </w:r>
      <w:proofErr w:type="spellStart"/>
      <w:r w:rsidRPr="004572E2">
        <w:t>Empresa</w:t>
      </w:r>
      <w:proofErr w:type="spellEnd"/>
      <w:r>
        <w:t> </w:t>
      </w:r>
      <w:r w:rsidRPr="004572E2">
        <w:t xml:space="preserve">de </w:t>
      </w:r>
      <w:proofErr w:type="spellStart"/>
      <w:r w:rsidRPr="004572E2">
        <w:t>Generación</w:t>
      </w:r>
      <w:proofErr w:type="spellEnd"/>
      <w:r w:rsidRPr="004572E2">
        <w:t xml:space="preserve"> </w:t>
      </w:r>
      <w:proofErr w:type="spellStart"/>
      <w:r w:rsidRPr="004572E2">
        <w:t>Hidroeléctrica</w:t>
      </w:r>
      <w:proofErr w:type="spellEnd"/>
      <w:r w:rsidRPr="004572E2">
        <w:t xml:space="preserve"> </w:t>
      </w:r>
      <w:proofErr w:type="spellStart"/>
      <w:r w:rsidRPr="004572E2">
        <w:t>Dominicana</w:t>
      </w:r>
      <w:proofErr w:type="spellEnd"/>
      <w:r w:rsidRPr="004572E2">
        <w:t xml:space="preserve"> (Dominican Hydroelectric Power Company) (</w:t>
      </w:r>
      <w:proofErr w:type="spellStart"/>
      <w:r w:rsidRPr="004572E2">
        <w:t>EGEHID</w:t>
      </w:r>
      <w:proofErr w:type="spellEnd"/>
      <w:r w:rsidRPr="004572E2">
        <w:t>) has a monopoly in this regard.</w:t>
      </w:r>
      <w:r w:rsidRPr="004572E2">
        <w:rPr>
          <w:rStyle w:val="FootnoteReference"/>
        </w:rPr>
        <w:footnoteReference w:id="442"/>
      </w:r>
      <w:r w:rsidRPr="004572E2">
        <w:t xml:space="preserve"> In addition to the </w:t>
      </w:r>
      <w:proofErr w:type="spellStart"/>
      <w:r w:rsidRPr="004572E2">
        <w:t>EGEHID</w:t>
      </w:r>
      <w:proofErr w:type="spellEnd"/>
      <w:r w:rsidRPr="004572E2">
        <w:t>, the State is involved in electricity generation through its ownership of the Punta Catalina thermal power station and through its 49.9</w:t>
      </w:r>
      <w:r>
        <w:t>%</w:t>
      </w:r>
      <w:r w:rsidRPr="004572E2">
        <w:t xml:space="preserve"> stakes in the generating companies </w:t>
      </w:r>
      <w:proofErr w:type="spellStart"/>
      <w:r w:rsidRPr="004572E2">
        <w:t>EGE</w:t>
      </w:r>
      <w:proofErr w:type="spellEnd"/>
      <w:r w:rsidRPr="004572E2">
        <w:t xml:space="preserve"> </w:t>
      </w:r>
      <w:proofErr w:type="spellStart"/>
      <w:r w:rsidRPr="004572E2">
        <w:t>ITABO</w:t>
      </w:r>
      <w:proofErr w:type="spellEnd"/>
      <w:r w:rsidRPr="004572E2">
        <w:t xml:space="preserve"> and </w:t>
      </w:r>
      <w:proofErr w:type="spellStart"/>
      <w:r w:rsidRPr="004572E2">
        <w:t>EGE</w:t>
      </w:r>
      <w:proofErr w:type="spellEnd"/>
      <w:r w:rsidRPr="004572E2">
        <w:t xml:space="preserve"> </w:t>
      </w:r>
      <w:proofErr w:type="spellStart"/>
      <w:r w:rsidRPr="004572E2">
        <w:t>HAINA</w:t>
      </w:r>
      <w:proofErr w:type="spellEnd"/>
      <w:r w:rsidRPr="004572E2">
        <w:t>.</w:t>
      </w:r>
      <w:r w:rsidRPr="004572E2">
        <w:rPr>
          <w:rStyle w:val="FootnoteReference"/>
        </w:rPr>
        <w:footnoteReference w:id="443"/>
      </w:r>
      <w:r w:rsidRPr="004572E2">
        <w:t xml:space="preserve"> In 2021, a trust was set up to facilitate the transfer of </w:t>
      </w:r>
      <w:proofErr w:type="spellStart"/>
      <w:r w:rsidRPr="004572E2">
        <w:t>CDEEE's</w:t>
      </w:r>
      <w:proofErr w:type="spellEnd"/>
      <w:r w:rsidRPr="004572E2">
        <w:t xml:space="preserve"> assets and rights in the Punta Catalina thermal power station to another state entity for their administration.</w:t>
      </w:r>
      <w:r w:rsidRPr="004572E2">
        <w:rPr>
          <w:rStyle w:val="FootnoteReference"/>
        </w:rPr>
        <w:footnoteReference w:id="444"/>
      </w:r>
      <w:r w:rsidRPr="004572E2">
        <w:t xml:space="preserve"> In addition to the four state</w:t>
      </w:r>
      <w:r w:rsidRPr="004572E2">
        <w:noBreakHyphen/>
        <w:t>owned generating companies, which account for 28</w:t>
      </w:r>
      <w:r>
        <w:t>%</w:t>
      </w:r>
      <w:r w:rsidRPr="004572E2">
        <w:t xml:space="preserve"> of the country's installed capacity, 22 private generating companies supply electricity to the national grid.</w:t>
      </w:r>
    </w:p>
    <w:p w14:paraId="52B20827" w14:textId="77777777" w:rsidR="00EB7374" w:rsidRPr="004572E2" w:rsidRDefault="00EB7374" w:rsidP="00C80D98">
      <w:pPr>
        <w:pStyle w:val="BodyText"/>
      </w:pPr>
      <w:r w:rsidRPr="004572E2">
        <w:t>Electricity transmission is also reserved to the State. Another state</w:t>
      </w:r>
      <w:r w:rsidRPr="004572E2">
        <w:noBreakHyphen/>
        <w:t xml:space="preserve">owned company, </w:t>
      </w:r>
      <w:proofErr w:type="spellStart"/>
      <w:r w:rsidRPr="004572E2">
        <w:t>Empresa</w:t>
      </w:r>
      <w:proofErr w:type="spellEnd"/>
      <w:r w:rsidRPr="004572E2">
        <w:t xml:space="preserve"> de </w:t>
      </w:r>
      <w:proofErr w:type="spellStart"/>
      <w:r w:rsidRPr="004572E2">
        <w:t>Transmisión</w:t>
      </w:r>
      <w:proofErr w:type="spellEnd"/>
      <w:r w:rsidRPr="004572E2">
        <w:t xml:space="preserve"> </w:t>
      </w:r>
      <w:proofErr w:type="spellStart"/>
      <w:r w:rsidRPr="004572E2">
        <w:t>Eléctrica</w:t>
      </w:r>
      <w:proofErr w:type="spellEnd"/>
      <w:r w:rsidRPr="004572E2">
        <w:t xml:space="preserve"> </w:t>
      </w:r>
      <w:proofErr w:type="spellStart"/>
      <w:r w:rsidRPr="004572E2">
        <w:t>Dominicana</w:t>
      </w:r>
      <w:proofErr w:type="spellEnd"/>
      <w:r w:rsidRPr="004572E2">
        <w:t xml:space="preserve"> (Dominican Electricity Transmission Company) (</w:t>
      </w:r>
      <w:proofErr w:type="spellStart"/>
      <w:r w:rsidRPr="004572E2">
        <w:t>ETED</w:t>
      </w:r>
      <w:proofErr w:type="spellEnd"/>
      <w:r w:rsidRPr="004572E2">
        <w:t>), has a monopoly in this regard. The private sector is authorized to participate in the financing, construction and/or management of activities under state monopoly (i.e. transmission and generation activities).</w:t>
      </w:r>
    </w:p>
    <w:p w14:paraId="12EFA1CD" w14:textId="77777777" w:rsidR="00EB7374" w:rsidRPr="004572E2" w:rsidRDefault="00EB7374" w:rsidP="00C80D98">
      <w:pPr>
        <w:pStyle w:val="BodyText"/>
      </w:pPr>
      <w:r w:rsidRPr="004572E2">
        <w:t>Three state</w:t>
      </w:r>
      <w:r w:rsidRPr="004572E2">
        <w:noBreakHyphen/>
        <w:t>owned companies are responsible for distribution and marketing (</w:t>
      </w:r>
      <w:proofErr w:type="spellStart"/>
      <w:r w:rsidRPr="004572E2">
        <w:t>EDENORTE</w:t>
      </w:r>
      <w:proofErr w:type="spellEnd"/>
      <w:r w:rsidRPr="004572E2">
        <w:t xml:space="preserve">, </w:t>
      </w:r>
      <w:proofErr w:type="spellStart"/>
      <w:r w:rsidRPr="004572E2">
        <w:t>EDESUR</w:t>
      </w:r>
      <w:proofErr w:type="spellEnd"/>
      <w:r w:rsidRPr="004572E2">
        <w:t xml:space="preserve"> and </w:t>
      </w:r>
      <w:proofErr w:type="spellStart"/>
      <w:r w:rsidRPr="004572E2">
        <w:t>EDEESTE</w:t>
      </w:r>
      <w:proofErr w:type="spellEnd"/>
      <w:r w:rsidRPr="004572E2">
        <w:t>), which have been under the supervision of the Reformed Companies Equity Fund since 2021. Nevertheless, according to the authorities, these companies operate as private enterprises. However, their operations have been managed by a single board of directors since 2020. While the private sector is permitted to participate in the distribution and marketing of electricity, no private companies are actively involved in these activities.</w:t>
      </w:r>
    </w:p>
    <w:p w14:paraId="0E1F02F4" w14:textId="77777777" w:rsidR="00EB7374" w:rsidRPr="004572E2" w:rsidRDefault="00EB7374" w:rsidP="00C80D98">
      <w:pPr>
        <w:pStyle w:val="BodyText"/>
      </w:pPr>
      <w:r w:rsidRPr="004572E2">
        <w:t>In 2015, there were seven privately funded isolated electricity systems, most of which have now been gradually integrated into the national grid.</w:t>
      </w:r>
      <w:r w:rsidRPr="004572E2">
        <w:rPr>
          <w:rStyle w:val="FootnoteReference"/>
        </w:rPr>
        <w:footnoteReference w:id="445"/>
      </w:r>
    </w:p>
    <w:p w14:paraId="56C0F712" w14:textId="77777777" w:rsidR="00EB7374" w:rsidRPr="004572E2" w:rsidRDefault="00EB7374" w:rsidP="00C80D98">
      <w:pPr>
        <w:pStyle w:val="BodyText"/>
      </w:pPr>
      <w:r w:rsidRPr="004572E2">
        <w:lastRenderedPageBreak/>
        <w:t xml:space="preserve">Generation, transmission and distribution activities in the electricity sector are subject to a concessions system. Where electricity is to be generated from renewable sources, the </w:t>
      </w:r>
      <w:proofErr w:type="spellStart"/>
      <w:r w:rsidRPr="004572E2">
        <w:t>CNE</w:t>
      </w:r>
      <w:proofErr w:type="spellEnd"/>
      <w:r w:rsidRPr="004572E2">
        <w:t xml:space="preserve"> must first grant a provisional concession before a final concession can be awarded. In all other cases, the provisional concession is optional. The provisional concession (up to 18 months) entitles holders to carry out the exploratory work, analyses and surveys needed to demonstrate the project's viability. The application for a final concession to exploit, build and launch generation, transmission or distribution works must be filed while the provisional concession is still valid. Applications for conventional electricity generation and distribution must be filed with the SIE, while those for electricity generation from primarily renewable sources must be filed with the </w:t>
      </w:r>
      <w:proofErr w:type="spellStart"/>
      <w:r w:rsidRPr="004572E2">
        <w:t>CNE</w:t>
      </w:r>
      <w:proofErr w:type="spellEnd"/>
      <w:r w:rsidRPr="004572E2">
        <w:t xml:space="preserve">. In all cases, the </w:t>
      </w:r>
      <w:proofErr w:type="spellStart"/>
      <w:r w:rsidRPr="004572E2">
        <w:t>CNE</w:t>
      </w:r>
      <w:proofErr w:type="spellEnd"/>
      <w:r w:rsidRPr="004572E2">
        <w:t xml:space="preserve"> and SIE draw up a recommendation report for the executive branch, which then decides whether to award the final concession for a period of up to 40 years (with the possibility of an extension).</w:t>
      </w:r>
      <w:r w:rsidRPr="004572E2">
        <w:rPr>
          <w:rStyle w:val="FootnoteReference"/>
        </w:rPr>
        <w:footnoteReference w:id="446"/>
      </w:r>
      <w:r w:rsidRPr="004572E2">
        <w:t xml:space="preserve"> Transmission concessions are only granted on an exceptional basis to generating companies that are too far away from the national grid to be connected to it. It is expected that the </w:t>
      </w:r>
      <w:proofErr w:type="spellStart"/>
      <w:r w:rsidRPr="004572E2">
        <w:t>ETED</w:t>
      </w:r>
      <w:proofErr w:type="spellEnd"/>
      <w:r w:rsidRPr="004572E2">
        <w:t xml:space="preserve"> will take over this infrastructure at some point in the future, subject to a compensation agreement with the investor. Isolated systems, which provide generation, transmission and distribution services, must also apply for a concession if demand exceeds 2 MW.</w:t>
      </w:r>
    </w:p>
    <w:p w14:paraId="43D362BA" w14:textId="77777777" w:rsidR="00EB7374" w:rsidRPr="004572E2" w:rsidRDefault="00EB7374" w:rsidP="00C80D98">
      <w:pPr>
        <w:pStyle w:val="BodyText"/>
      </w:pPr>
      <w:r w:rsidRPr="004572E2">
        <w:t>Vertical integration of companies in the subsector is not generally allowed. However, distribution companies may be authorized to operate power stations, as long as they do not account for more than 15</w:t>
      </w:r>
      <w:r>
        <w:t>%</w:t>
      </w:r>
      <w:r w:rsidRPr="004572E2">
        <w:t xml:space="preserve"> of national grid demand. As a result of the transfer of shares in distributing companies from the </w:t>
      </w:r>
      <w:proofErr w:type="spellStart"/>
      <w:r w:rsidRPr="004572E2">
        <w:t>CDEEE</w:t>
      </w:r>
      <w:proofErr w:type="spellEnd"/>
      <w:r w:rsidRPr="004572E2">
        <w:t xml:space="preserve"> to the Reformed Companies Equity Fund in 2021 the distribution and generation activities of state</w:t>
      </w:r>
      <w:r w:rsidRPr="004572E2">
        <w:noBreakHyphen/>
        <w:t>owned companies were separated.</w:t>
      </w:r>
    </w:p>
    <w:p w14:paraId="1F7F56B5" w14:textId="77777777" w:rsidR="00EB7374" w:rsidRPr="004572E2" w:rsidRDefault="00EB7374" w:rsidP="00C80D98">
      <w:pPr>
        <w:pStyle w:val="BodyText"/>
      </w:pPr>
      <w:r w:rsidRPr="004572E2">
        <w:t>Under the General Law on Electricity, 20</w:t>
      </w:r>
      <w:r>
        <w:t>%</w:t>
      </w:r>
      <w:r w:rsidRPr="004572E2">
        <w:t xml:space="preserve"> of the electricity bought on the wholesale market must come from the spot market. However, this target has not been met, as the spot market supplies only 6–7</w:t>
      </w:r>
      <w:r>
        <w:t>%</w:t>
      </w:r>
      <w:r w:rsidRPr="004572E2">
        <w:t xml:space="preserve"> of electricity. The proportion of electricity bought under long</w:t>
      </w:r>
      <w:r w:rsidRPr="004572E2">
        <w:noBreakHyphen/>
        <w:t>term contracts or on the spot market varies depending on the distributor and the year in which the contract was signed. According to the authorities, this is because the preferred method for purchasing electricity has been long</w:t>
      </w:r>
      <w:r w:rsidRPr="004572E2">
        <w:noBreakHyphen/>
        <w:t>term contracts between generating and distributing entities, in particular, since 2015, in an effort to promote investment in renewable energies and in new generation facilities. The authorities point out that the spot price did not guarantee a return on investment, so long</w:t>
      </w:r>
      <w:r w:rsidRPr="004572E2">
        <w:noBreakHyphen/>
        <w:t xml:space="preserve">term contracts were introduced to provide greater investment certainty. The authorities note that purchases are currently made through a tender process. The </w:t>
      </w:r>
      <w:proofErr w:type="spellStart"/>
      <w:r w:rsidRPr="004572E2">
        <w:t>CDEEE</w:t>
      </w:r>
      <w:proofErr w:type="spellEnd"/>
      <w:r w:rsidRPr="004572E2">
        <w:t xml:space="preserve"> also serves as an intermediary in the wholesale electricity market. Despite being in liquidation, the </w:t>
      </w:r>
      <w:proofErr w:type="spellStart"/>
      <w:r w:rsidRPr="004572E2">
        <w:t>CDEEE</w:t>
      </w:r>
      <w:proofErr w:type="spellEnd"/>
      <w:r w:rsidRPr="004572E2">
        <w:t xml:space="preserve"> continues to manage energy supply contracts with two independent private producers.</w:t>
      </w:r>
      <w:r w:rsidRPr="004572E2">
        <w:rPr>
          <w:rStyle w:val="FootnoteReference"/>
        </w:rPr>
        <w:footnoteReference w:id="447"/>
      </w:r>
      <w:r w:rsidRPr="004572E2">
        <w:t xml:space="preserve"> In 2021, the direct sale of clean energy to distributors, without the </w:t>
      </w:r>
      <w:proofErr w:type="spellStart"/>
      <w:r w:rsidRPr="004572E2">
        <w:t>CDEEE</w:t>
      </w:r>
      <w:proofErr w:type="spellEnd"/>
      <w:r w:rsidRPr="004572E2">
        <w:t xml:space="preserve"> serving as an intermediary, was approved.</w:t>
      </w:r>
      <w:r w:rsidRPr="004572E2">
        <w:rPr>
          <w:rStyle w:val="FootnoteReference"/>
        </w:rPr>
        <w:footnoteReference w:id="448"/>
      </w:r>
    </w:p>
    <w:p w14:paraId="732E2F20" w14:textId="77777777" w:rsidR="00EB7374" w:rsidRPr="004572E2" w:rsidRDefault="00EB7374" w:rsidP="00C80D98">
      <w:pPr>
        <w:pStyle w:val="BodyText"/>
      </w:pPr>
      <w:r w:rsidRPr="004572E2">
        <w:t>In order to encourage the development of renewable energies, the Dominican Republic continues to offer incentives to promote the production of clean electricity and biofuels (Section</w:t>
      </w:r>
      <w:r>
        <w:t> </w:t>
      </w:r>
      <w:r w:rsidRPr="004572E2">
        <w:t>2.4.1).</w:t>
      </w:r>
      <w:r w:rsidRPr="004572E2">
        <w:rPr>
          <w:rStyle w:val="FootnoteReference"/>
        </w:rPr>
        <w:footnoteReference w:id="449"/>
      </w:r>
      <w:r w:rsidRPr="004572E2">
        <w:t xml:space="preserve"> In 2015, the incentives regime was extended to include the production of energy from biomass and solid residues, as well as geothermal energy.</w:t>
      </w:r>
      <w:r w:rsidRPr="004572E2">
        <w:rPr>
          <w:rStyle w:val="FootnoteReference"/>
        </w:rPr>
        <w:footnoteReference w:id="450"/>
      </w:r>
      <w:r w:rsidRPr="004572E2">
        <w:t xml:space="preserve"> In addition, in 2020, new incentives were introduced for energy and material recovery plants, with recovery processes including solid waste co</w:t>
      </w:r>
      <w:r w:rsidRPr="004572E2">
        <w:noBreakHyphen/>
        <w:t>processing.</w:t>
      </w:r>
      <w:r w:rsidRPr="004572E2">
        <w:rPr>
          <w:rStyle w:val="FootnoteReference"/>
        </w:rPr>
        <w:footnoteReference w:id="451"/>
      </w:r>
      <w:r w:rsidRPr="004572E2">
        <w:t xml:space="preserve"> Efforts to promote renewable energies have resulted in a total installed capacity of 677 MW from renewable energy facilities under 24 final concessions granted during the period 2015–21.</w:t>
      </w:r>
    </w:p>
    <w:p w14:paraId="4DD2C281" w14:textId="77777777" w:rsidR="00EB7374" w:rsidRPr="004572E2" w:rsidRDefault="00EB7374" w:rsidP="00C80D98">
      <w:pPr>
        <w:pStyle w:val="BodyText"/>
      </w:pPr>
      <w:r w:rsidRPr="004572E2">
        <w:t>The tax foregone as a result of renewable energy incentives during the period 2014–21 amounts to USD 252.7 million, disaggregated as follows: exemption from import taxes (41</w:t>
      </w:r>
      <w:r>
        <w:t>%</w:t>
      </w:r>
      <w:r w:rsidRPr="004572E2">
        <w:t>, mainly for large</w:t>
      </w:r>
      <w:r w:rsidRPr="004572E2">
        <w:noBreakHyphen/>
        <w:t xml:space="preserve">scale projects); exemption from the </w:t>
      </w:r>
      <w:proofErr w:type="spellStart"/>
      <w:r w:rsidRPr="004572E2">
        <w:t>ITBIS</w:t>
      </w:r>
      <w:proofErr w:type="spellEnd"/>
      <w:r w:rsidRPr="004572E2">
        <w:t xml:space="preserve"> (31</w:t>
      </w:r>
      <w:r>
        <w:t>%</w:t>
      </w:r>
      <w:r w:rsidRPr="004572E2">
        <w:t>); and tax credits (28</w:t>
      </w:r>
      <w:r>
        <w:t>%</w:t>
      </w:r>
      <w:r w:rsidRPr="004572E2">
        <w:t xml:space="preserve">). With regard to </w:t>
      </w:r>
      <w:r w:rsidRPr="004572E2">
        <w:lastRenderedPageBreak/>
        <w:t>the fourth renewable energy incentive, namely the tax reduction on external financing, no applications have been received.</w:t>
      </w:r>
    </w:p>
    <w:p w14:paraId="297CADA6" w14:textId="77777777" w:rsidR="00EB7374" w:rsidRPr="004572E2" w:rsidRDefault="00EB7374" w:rsidP="00C80D98">
      <w:pPr>
        <w:pStyle w:val="BodyText"/>
      </w:pPr>
      <w:r w:rsidRPr="004572E2">
        <w:t>Electricity tariffs are controlled for regulated customers. Free clients (i.e. those whose monthly demand exceeds 1 MW) negotiate the purchase price directly with the distribution and/or generating companies.</w:t>
      </w:r>
      <w:r w:rsidRPr="004572E2">
        <w:rPr>
          <w:rStyle w:val="FootnoteReference"/>
        </w:rPr>
        <w:footnoteReference w:id="452"/>
      </w:r>
      <w:r w:rsidRPr="004572E2">
        <w:t xml:space="preserve"> The electricity tariffs paid by regulated users are set quarterly by the SIE; these rates were frozen between 2015 and the third quarter of 2021. In the fourth quarter of 2021, the electricity tariff was adjusted, in order to meet one of the targets of the Electricity Pact</w:t>
      </w:r>
      <w:r w:rsidRPr="004572E2">
        <w:rPr>
          <w:rStyle w:val="FootnoteReference"/>
        </w:rPr>
        <w:footnoteReference w:id="453"/>
      </w:r>
      <w:r w:rsidRPr="004572E2">
        <w:t>, with a linear adjustment in the difference between the indexed or technical tariff</w:t>
      </w:r>
      <w:r w:rsidRPr="004572E2">
        <w:rPr>
          <w:rStyle w:val="FootnoteReference"/>
        </w:rPr>
        <w:footnoteReference w:id="454"/>
      </w:r>
      <w:r w:rsidRPr="004572E2">
        <w:t xml:space="preserve"> and the applied tariff up to 2026. In recent years, the applied tariff had been considerably lower than the technical tariff for residential users.</w:t>
      </w:r>
    </w:p>
    <w:p w14:paraId="2F1E8A87" w14:textId="77777777" w:rsidR="00EB7374" w:rsidRPr="004572E2" w:rsidRDefault="00EB7374" w:rsidP="00C80D98">
      <w:pPr>
        <w:pStyle w:val="BodyText"/>
      </w:pPr>
      <w:r w:rsidRPr="004572E2">
        <w:t xml:space="preserve">In the Dominican Republic, there are both direct and indirect subsidy schemes for regulated customers. The </w:t>
      </w:r>
      <w:proofErr w:type="spellStart"/>
      <w:r w:rsidRPr="004572E2">
        <w:rPr>
          <w:i/>
          <w:iCs/>
        </w:rPr>
        <w:t>Bonoluz</w:t>
      </w:r>
      <w:proofErr w:type="spellEnd"/>
      <w:r w:rsidRPr="004572E2">
        <w:t xml:space="preserve"> programme is a direct subsidy for poor families with a monthly consumption of 100 kWh. A refinement of the subsidy has reduced the number of beneficiaries from 462,166 in 2015 to 354,584 in 2020. The annual cost of the subsidy in 2020 was USD 34.5 million. The Electricity Tariff Stabilization Fund (FETE) is a system of indirect subsidies to prevent fluctuations in fossil fuel prices being passed on to consumers' bills.</w:t>
      </w:r>
      <w:r w:rsidRPr="004572E2">
        <w:rPr>
          <w:rStyle w:val="FootnoteReference"/>
        </w:rPr>
        <w:footnoteReference w:id="455"/>
      </w:r>
      <w:r w:rsidRPr="004572E2">
        <w:t xml:space="preserve"> The difference between the indexed tariff, which varies according to the consumption range and the type of consumer, and the applied tariff is funded by the FETE, with the subsidy paid directly to distributors. While including coal in the energy mix helped to reduce energy production costs and, consequently, the cost of this subsidy, the State paid out USD 1,229 million to cover the needs of the FETE between 2018 and 2020. It is expected that gradually eliminating (or making linear adjustments to) the difference between the tariffs will mean that the FETE can be eliminated in 2026.</w:t>
      </w:r>
    </w:p>
    <w:p w14:paraId="41B532FC" w14:textId="77777777" w:rsidR="00EB7374" w:rsidRPr="004572E2" w:rsidRDefault="00EB7374" w:rsidP="00C80D98">
      <w:pPr>
        <w:pStyle w:val="Heading2"/>
      </w:pPr>
      <w:bookmarkStart w:id="339" w:name="_Toc114735774"/>
      <w:bookmarkStart w:id="340" w:name="_Toc117260655"/>
      <w:r w:rsidRPr="004572E2">
        <w:t>Manufacturing</w:t>
      </w:r>
      <w:bookmarkEnd w:id="339"/>
      <w:bookmarkEnd w:id="340"/>
    </w:p>
    <w:p w14:paraId="5F71D47F" w14:textId="77777777" w:rsidR="00EB7374" w:rsidRPr="004572E2" w:rsidRDefault="00EB7374" w:rsidP="00C80D98">
      <w:pPr>
        <w:pStyle w:val="BodyText"/>
      </w:pPr>
      <w:r w:rsidRPr="004572E2">
        <w:t>The manufacturing sector in the Dominican Republic has two components: a local manufacturing sector, mainly oriented towards the domestic market, and a sector that operates under the free</w:t>
      </w:r>
      <w:r w:rsidRPr="004572E2">
        <w:noBreakHyphen/>
        <w:t>zone regime and is mainly oriented towards exports. The free</w:t>
      </w:r>
      <w:r w:rsidRPr="004572E2">
        <w:noBreakHyphen/>
        <w:t>zone manufacturing sector accounts for a quarter of the country's manufacturing GDP (Table 4.8), and free zone manufacturing exports largely exceed manufacturing exports under the national regime (see below). The free zones are therefore a key source of foreign exchange for the country.</w:t>
      </w:r>
    </w:p>
    <w:p w14:paraId="2CF1FC02" w14:textId="77777777" w:rsidR="00EB7374" w:rsidRPr="004572E2" w:rsidRDefault="00EB7374" w:rsidP="00C80D98">
      <w:pPr>
        <w:pStyle w:val="BodyText"/>
      </w:pPr>
      <w:r w:rsidRPr="004572E2">
        <w:t>During the period under review, the manufacturing sector's share of GDP remained stable, at an average of around 14.4</w:t>
      </w:r>
      <w:r>
        <w:t>%</w:t>
      </w:r>
      <w:r w:rsidRPr="004572E2">
        <w:t>. There were approximately 450,000 jobs in the industrial sector, which also includes mining and quarrying, at end</w:t>
      </w:r>
      <w:r w:rsidRPr="004572E2">
        <w:noBreakHyphen/>
        <w:t>2020, which is around 10</w:t>
      </w:r>
      <w:r>
        <w:t>%</w:t>
      </w:r>
      <w:r w:rsidRPr="004572E2">
        <w:t xml:space="preserve"> of all the jobs in the country's economy. The sector is therefore the second</w:t>
      </w:r>
      <w:r w:rsidRPr="004572E2">
        <w:noBreakHyphen/>
        <w:t>largest employer in the Dominican</w:t>
      </w:r>
      <w:r>
        <w:t> </w:t>
      </w:r>
      <w:r w:rsidRPr="004572E2">
        <w:t>Republic, exceeded only by commercial activities. In 2021, the free zones' share of total GDP was 3.6</w:t>
      </w:r>
      <w:r>
        <w:t>%</w:t>
      </w:r>
      <w:r w:rsidRPr="004572E2">
        <w:t>, and the cumulative investment by companies based in free zones totalled USD 5,903.1 million. Domestic capital made up a fifth of these investments, while the main sources of foreign investment are the United States (36.2</w:t>
      </w:r>
      <w:r>
        <w:t>%</w:t>
      </w:r>
      <w:r w:rsidRPr="004572E2">
        <w:t xml:space="preserve"> of total investment), the United Kingdom (6.6</w:t>
      </w:r>
      <w:r>
        <w:t>%</w:t>
      </w:r>
      <w:r w:rsidRPr="004572E2">
        <w:t>), Germany (6.4</w:t>
      </w:r>
      <w:r>
        <w:t>%</w:t>
      </w:r>
      <w:r w:rsidRPr="004572E2">
        <w:t>) and Canada (4.2</w:t>
      </w:r>
      <w:r>
        <w:t>%</w:t>
      </w:r>
      <w:r w:rsidRPr="004572E2">
        <w:t>). By the end of 2021, there were 79 free zones with 734 companies employing more than 183,232 people.</w:t>
      </w:r>
    </w:p>
    <w:p w14:paraId="5A5D9378" w14:textId="5A88CAD3" w:rsidR="00EB7374" w:rsidRPr="004572E2" w:rsidRDefault="00EB7374" w:rsidP="00C80D98">
      <w:pPr>
        <w:pStyle w:val="BodyText"/>
      </w:pPr>
      <w:r w:rsidRPr="004572E2">
        <w:t>Local manufacturing production is quite diversified, with the main industry being prepared foodstuffs, followed by beverages and tobacco, and refined petroleum products. Industries operating under the free</w:t>
      </w:r>
      <w:r w:rsidRPr="004572E2">
        <w:noBreakHyphen/>
        <w:t xml:space="preserve">zone regime have undergone a major transformation since the previous trade policy review, with production now focused on medical instruments and apparatus, electrical machinery and equipment, and pearls, </w:t>
      </w:r>
      <w:r w:rsidR="002E6D43" w:rsidRPr="004572E2">
        <w:t xml:space="preserve">precious stones and </w:t>
      </w:r>
      <w:r w:rsidRPr="004572E2">
        <w:t>precious metals, while production of articles of apparel and clothing accessories has decreased.</w:t>
      </w:r>
    </w:p>
    <w:p w14:paraId="52EF4C04" w14:textId="77777777" w:rsidR="00EB7374" w:rsidRPr="004572E2" w:rsidRDefault="00EB7374" w:rsidP="00050EA9">
      <w:pPr>
        <w:pStyle w:val="Caption"/>
      </w:pPr>
      <w:bookmarkStart w:id="341" w:name="_Toc114735844"/>
      <w:bookmarkStart w:id="342" w:name="_Toc117238062"/>
      <w:bookmarkStart w:id="343" w:name="_Toc417038638"/>
      <w:r>
        <w:lastRenderedPageBreak/>
        <w:t xml:space="preserve">Table </w:t>
      </w:r>
      <w:r w:rsidR="00BD37F2">
        <w:fldChar w:fldCharType="begin"/>
      </w:r>
      <w:r w:rsidR="00BD37F2">
        <w:instrText xml:space="preserve"> STYLEREF 1 \s </w:instrText>
      </w:r>
      <w:r w:rsidR="00BD37F2">
        <w:fldChar w:fldCharType="separate"/>
      </w:r>
      <w:r>
        <w:rPr>
          <w:noProof/>
        </w:rPr>
        <w:t>4</w:t>
      </w:r>
      <w:r w:rsidR="00BD37F2">
        <w:rPr>
          <w:noProof/>
        </w:rPr>
        <w:fldChar w:fldCharType="end"/>
      </w:r>
      <w:r>
        <w:t>.</w:t>
      </w:r>
      <w:r w:rsidR="00BD37F2">
        <w:fldChar w:fldCharType="begin"/>
      </w:r>
      <w:r w:rsidR="00BD37F2">
        <w:instrText xml:space="preserve"> SEQ Table \* ARABIC \s 1 </w:instrText>
      </w:r>
      <w:r w:rsidR="00BD37F2">
        <w:fldChar w:fldCharType="separate"/>
      </w:r>
      <w:r>
        <w:rPr>
          <w:noProof/>
        </w:rPr>
        <w:t>8</w:t>
      </w:r>
      <w:r w:rsidR="00BD37F2">
        <w:rPr>
          <w:noProof/>
        </w:rPr>
        <w:fldChar w:fldCharType="end"/>
      </w:r>
      <w:r>
        <w:t xml:space="preserve"> </w:t>
      </w:r>
      <w:r w:rsidRPr="004572E2">
        <w:t>The manufacturing sector's share of GDP and employment, 2015–21</w:t>
      </w:r>
      <w:bookmarkEnd w:id="341"/>
      <w:bookmarkEnd w:id="342"/>
    </w:p>
    <w:bookmarkEnd w:id="343"/>
    <w:p w14:paraId="41442519" w14:textId="77777777" w:rsidR="00EB7374" w:rsidRPr="004572E2" w:rsidRDefault="00EB7374" w:rsidP="004572E2">
      <w:pPr>
        <w:pStyle w:val="NoteText"/>
      </w:pPr>
      <w:r w:rsidRPr="004572E2">
        <w:t>(</w:t>
      </w:r>
      <w:r>
        <w:t>%</w:t>
      </w:r>
      <w:r w:rsidRPr="004572E2">
        <w:t>)</w:t>
      </w:r>
    </w:p>
    <w:tbl>
      <w:tblPr>
        <w:tblStyle w:val="WTOTable1"/>
        <w:tblW w:w="5000" w:type="pct"/>
        <w:tblLayout w:type="fixed"/>
        <w:tblLook w:val="04A0" w:firstRow="1" w:lastRow="0" w:firstColumn="1" w:lastColumn="0" w:noHBand="0" w:noVBand="1"/>
      </w:tblPr>
      <w:tblGrid>
        <w:gridCol w:w="3540"/>
        <w:gridCol w:w="782"/>
        <w:gridCol w:w="783"/>
        <w:gridCol w:w="783"/>
        <w:gridCol w:w="783"/>
        <w:gridCol w:w="783"/>
        <w:gridCol w:w="783"/>
        <w:gridCol w:w="779"/>
      </w:tblGrid>
      <w:tr w:rsidR="00EB7374" w:rsidRPr="004572E2" w14:paraId="0D7E4E99" w14:textId="77777777" w:rsidTr="00C700EB">
        <w:trPr>
          <w:cnfStyle w:val="100000000000" w:firstRow="1" w:lastRow="0" w:firstColumn="0" w:lastColumn="0" w:oddVBand="0" w:evenVBand="0" w:oddHBand="0" w:evenHBand="0" w:firstRowFirstColumn="0" w:firstRowLastColumn="0" w:lastRowFirstColumn="0" w:lastRowLastColumn="0"/>
          <w:cantSplit/>
          <w:tblHeader/>
        </w:trPr>
        <w:tc>
          <w:tcPr>
            <w:tcW w:w="1964" w:type="pct"/>
          </w:tcPr>
          <w:p w14:paraId="6E4FFC48" w14:textId="77777777" w:rsidR="00EB7374" w:rsidRPr="004572E2" w:rsidRDefault="00EB7374" w:rsidP="004572E2">
            <w:pPr>
              <w:jc w:val="left"/>
              <w:rPr>
                <w:bCs/>
                <w:sz w:val="15"/>
                <w:szCs w:val="15"/>
              </w:rPr>
            </w:pPr>
          </w:p>
        </w:tc>
        <w:tc>
          <w:tcPr>
            <w:tcW w:w="434" w:type="pct"/>
          </w:tcPr>
          <w:p w14:paraId="0D8E4BF2" w14:textId="77777777" w:rsidR="00EB7374" w:rsidRPr="004572E2" w:rsidRDefault="00EB7374" w:rsidP="004572E2">
            <w:pPr>
              <w:jc w:val="right"/>
              <w:rPr>
                <w:bCs/>
                <w:sz w:val="15"/>
                <w:szCs w:val="15"/>
              </w:rPr>
            </w:pPr>
            <w:r w:rsidRPr="004572E2">
              <w:rPr>
                <w:sz w:val="15"/>
              </w:rPr>
              <w:t>2015</w:t>
            </w:r>
          </w:p>
        </w:tc>
        <w:tc>
          <w:tcPr>
            <w:tcW w:w="434" w:type="pct"/>
          </w:tcPr>
          <w:p w14:paraId="27044B12" w14:textId="77777777" w:rsidR="00EB7374" w:rsidRPr="004572E2" w:rsidRDefault="00EB7374" w:rsidP="004572E2">
            <w:pPr>
              <w:jc w:val="right"/>
              <w:rPr>
                <w:bCs/>
                <w:sz w:val="15"/>
                <w:szCs w:val="15"/>
              </w:rPr>
            </w:pPr>
            <w:r w:rsidRPr="004572E2">
              <w:rPr>
                <w:sz w:val="15"/>
              </w:rPr>
              <w:t>2016</w:t>
            </w:r>
          </w:p>
        </w:tc>
        <w:tc>
          <w:tcPr>
            <w:tcW w:w="434" w:type="pct"/>
          </w:tcPr>
          <w:p w14:paraId="6AC0C84E" w14:textId="77777777" w:rsidR="00EB7374" w:rsidRPr="004572E2" w:rsidRDefault="00EB7374" w:rsidP="004572E2">
            <w:pPr>
              <w:jc w:val="right"/>
              <w:rPr>
                <w:bCs/>
                <w:sz w:val="15"/>
                <w:szCs w:val="15"/>
              </w:rPr>
            </w:pPr>
            <w:r w:rsidRPr="004572E2">
              <w:rPr>
                <w:sz w:val="15"/>
              </w:rPr>
              <w:t>2017</w:t>
            </w:r>
          </w:p>
        </w:tc>
        <w:tc>
          <w:tcPr>
            <w:tcW w:w="434" w:type="pct"/>
          </w:tcPr>
          <w:p w14:paraId="00D13F37" w14:textId="77777777" w:rsidR="00EB7374" w:rsidRPr="004572E2" w:rsidRDefault="00EB7374" w:rsidP="004572E2">
            <w:pPr>
              <w:jc w:val="right"/>
              <w:rPr>
                <w:bCs/>
                <w:sz w:val="15"/>
                <w:szCs w:val="15"/>
              </w:rPr>
            </w:pPr>
            <w:r w:rsidRPr="004572E2">
              <w:rPr>
                <w:sz w:val="15"/>
              </w:rPr>
              <w:t>2018</w:t>
            </w:r>
          </w:p>
        </w:tc>
        <w:tc>
          <w:tcPr>
            <w:tcW w:w="434" w:type="pct"/>
          </w:tcPr>
          <w:p w14:paraId="7672E384" w14:textId="77777777" w:rsidR="00EB7374" w:rsidRPr="004572E2" w:rsidRDefault="00EB7374" w:rsidP="004572E2">
            <w:pPr>
              <w:jc w:val="right"/>
              <w:rPr>
                <w:bCs/>
                <w:sz w:val="15"/>
                <w:szCs w:val="15"/>
              </w:rPr>
            </w:pPr>
            <w:r w:rsidRPr="004572E2">
              <w:rPr>
                <w:sz w:val="15"/>
              </w:rPr>
              <w:t>2019</w:t>
            </w:r>
          </w:p>
        </w:tc>
        <w:tc>
          <w:tcPr>
            <w:tcW w:w="434" w:type="pct"/>
          </w:tcPr>
          <w:p w14:paraId="308F242F" w14:textId="77777777" w:rsidR="00EB7374" w:rsidRPr="004572E2" w:rsidRDefault="00EB7374" w:rsidP="004572E2">
            <w:pPr>
              <w:jc w:val="right"/>
              <w:rPr>
                <w:bCs/>
                <w:sz w:val="15"/>
                <w:szCs w:val="15"/>
              </w:rPr>
            </w:pPr>
            <w:r w:rsidRPr="004572E2">
              <w:rPr>
                <w:sz w:val="15"/>
              </w:rPr>
              <w:t>2020</w:t>
            </w:r>
          </w:p>
        </w:tc>
        <w:tc>
          <w:tcPr>
            <w:tcW w:w="434" w:type="pct"/>
          </w:tcPr>
          <w:p w14:paraId="7E6BED5F" w14:textId="77777777" w:rsidR="00EB7374" w:rsidRPr="004572E2" w:rsidRDefault="00EB7374" w:rsidP="004572E2">
            <w:pPr>
              <w:jc w:val="center"/>
              <w:rPr>
                <w:bCs/>
                <w:sz w:val="15"/>
                <w:szCs w:val="15"/>
              </w:rPr>
            </w:pPr>
            <w:r w:rsidRPr="004572E2">
              <w:rPr>
                <w:sz w:val="15"/>
              </w:rPr>
              <w:t>2021</w:t>
            </w:r>
            <w:r w:rsidRPr="004572E2">
              <w:rPr>
                <w:sz w:val="15"/>
                <w:vertAlign w:val="superscript"/>
              </w:rPr>
              <w:t>a</w:t>
            </w:r>
          </w:p>
        </w:tc>
      </w:tr>
      <w:tr w:rsidR="00EB7374" w:rsidRPr="004572E2" w14:paraId="4D1F1CE9" w14:textId="77777777" w:rsidTr="00C700EB">
        <w:trPr>
          <w:cantSplit/>
        </w:trPr>
        <w:tc>
          <w:tcPr>
            <w:tcW w:w="1964" w:type="pct"/>
          </w:tcPr>
          <w:p w14:paraId="419A0B70" w14:textId="77777777" w:rsidR="00EB7374" w:rsidRPr="004572E2" w:rsidRDefault="00EB7374" w:rsidP="004572E2">
            <w:pPr>
              <w:jc w:val="left"/>
              <w:rPr>
                <w:bCs/>
                <w:sz w:val="15"/>
                <w:szCs w:val="15"/>
              </w:rPr>
            </w:pPr>
          </w:p>
        </w:tc>
        <w:tc>
          <w:tcPr>
            <w:tcW w:w="3036" w:type="pct"/>
            <w:gridSpan w:val="7"/>
          </w:tcPr>
          <w:p w14:paraId="4DB5A8F2" w14:textId="77777777" w:rsidR="00EB7374" w:rsidRPr="004572E2" w:rsidRDefault="00EB7374" w:rsidP="004572E2">
            <w:pPr>
              <w:jc w:val="center"/>
              <w:rPr>
                <w:bCs/>
                <w:sz w:val="15"/>
                <w:szCs w:val="15"/>
              </w:rPr>
            </w:pPr>
            <w:r w:rsidRPr="004572E2">
              <w:rPr>
                <w:sz w:val="15"/>
              </w:rPr>
              <w:t>Share of current GDP</w:t>
            </w:r>
          </w:p>
        </w:tc>
      </w:tr>
      <w:tr w:rsidR="00EB7374" w:rsidRPr="004572E2" w14:paraId="358C0B85" w14:textId="77777777" w:rsidTr="00C700EB">
        <w:trPr>
          <w:cnfStyle w:val="000000010000" w:firstRow="0" w:lastRow="0" w:firstColumn="0" w:lastColumn="0" w:oddVBand="0" w:evenVBand="0" w:oddHBand="0" w:evenHBand="1" w:firstRowFirstColumn="0" w:firstRowLastColumn="0" w:lastRowFirstColumn="0" w:lastRowLastColumn="0"/>
          <w:cantSplit/>
        </w:trPr>
        <w:tc>
          <w:tcPr>
            <w:tcW w:w="1964" w:type="pct"/>
          </w:tcPr>
          <w:p w14:paraId="3DA4FE0C" w14:textId="77777777" w:rsidR="00EB7374" w:rsidRPr="004572E2" w:rsidRDefault="00EB7374" w:rsidP="004572E2">
            <w:pPr>
              <w:jc w:val="left"/>
              <w:rPr>
                <w:b/>
                <w:sz w:val="15"/>
                <w:szCs w:val="15"/>
              </w:rPr>
            </w:pPr>
            <w:r w:rsidRPr="004572E2">
              <w:rPr>
                <w:b/>
                <w:sz w:val="15"/>
              </w:rPr>
              <w:t>Local manufacturing</w:t>
            </w:r>
          </w:p>
        </w:tc>
        <w:tc>
          <w:tcPr>
            <w:tcW w:w="434" w:type="pct"/>
          </w:tcPr>
          <w:p w14:paraId="7DB2DF4F" w14:textId="77777777" w:rsidR="00EB7374" w:rsidRPr="004572E2" w:rsidRDefault="00EB7374" w:rsidP="004572E2">
            <w:pPr>
              <w:jc w:val="right"/>
              <w:rPr>
                <w:sz w:val="15"/>
                <w:szCs w:val="15"/>
              </w:rPr>
            </w:pPr>
            <w:r w:rsidRPr="004572E2">
              <w:rPr>
                <w:sz w:val="15"/>
              </w:rPr>
              <w:t>11.4</w:t>
            </w:r>
          </w:p>
        </w:tc>
        <w:tc>
          <w:tcPr>
            <w:tcW w:w="434" w:type="pct"/>
          </w:tcPr>
          <w:p w14:paraId="522DC871" w14:textId="77777777" w:rsidR="00EB7374" w:rsidRPr="004572E2" w:rsidRDefault="00EB7374" w:rsidP="004572E2">
            <w:pPr>
              <w:jc w:val="right"/>
              <w:rPr>
                <w:sz w:val="15"/>
                <w:szCs w:val="15"/>
              </w:rPr>
            </w:pPr>
            <w:r w:rsidRPr="004572E2">
              <w:rPr>
                <w:sz w:val="15"/>
              </w:rPr>
              <w:t>11.1</w:t>
            </w:r>
          </w:p>
        </w:tc>
        <w:tc>
          <w:tcPr>
            <w:tcW w:w="434" w:type="pct"/>
          </w:tcPr>
          <w:p w14:paraId="416F82DF" w14:textId="77777777" w:rsidR="00EB7374" w:rsidRPr="004572E2" w:rsidRDefault="00EB7374" w:rsidP="004572E2">
            <w:pPr>
              <w:jc w:val="right"/>
              <w:rPr>
                <w:sz w:val="15"/>
                <w:szCs w:val="15"/>
              </w:rPr>
            </w:pPr>
            <w:r w:rsidRPr="004572E2">
              <w:rPr>
                <w:sz w:val="15"/>
              </w:rPr>
              <w:t>10.8</w:t>
            </w:r>
          </w:p>
        </w:tc>
        <w:tc>
          <w:tcPr>
            <w:tcW w:w="434" w:type="pct"/>
          </w:tcPr>
          <w:p w14:paraId="6DFC8D76" w14:textId="77777777" w:rsidR="00EB7374" w:rsidRPr="004572E2" w:rsidRDefault="00EB7374" w:rsidP="004572E2">
            <w:pPr>
              <w:jc w:val="right"/>
              <w:rPr>
                <w:sz w:val="15"/>
                <w:szCs w:val="15"/>
              </w:rPr>
            </w:pPr>
            <w:r w:rsidRPr="004572E2">
              <w:rPr>
                <w:sz w:val="15"/>
              </w:rPr>
              <w:t>10.8</w:t>
            </w:r>
          </w:p>
        </w:tc>
        <w:tc>
          <w:tcPr>
            <w:tcW w:w="434" w:type="pct"/>
          </w:tcPr>
          <w:p w14:paraId="0CCBC9A7" w14:textId="77777777" w:rsidR="00EB7374" w:rsidRPr="004572E2" w:rsidRDefault="00EB7374" w:rsidP="004572E2">
            <w:pPr>
              <w:jc w:val="right"/>
              <w:rPr>
                <w:sz w:val="15"/>
                <w:szCs w:val="15"/>
              </w:rPr>
            </w:pPr>
            <w:r w:rsidRPr="004572E2">
              <w:rPr>
                <w:sz w:val="15"/>
              </w:rPr>
              <w:t>10.6</w:t>
            </w:r>
          </w:p>
        </w:tc>
        <w:tc>
          <w:tcPr>
            <w:tcW w:w="434" w:type="pct"/>
          </w:tcPr>
          <w:p w14:paraId="0103C0CC" w14:textId="77777777" w:rsidR="00EB7374" w:rsidRPr="004572E2" w:rsidRDefault="00EB7374" w:rsidP="004572E2">
            <w:pPr>
              <w:jc w:val="right"/>
              <w:rPr>
                <w:sz w:val="15"/>
                <w:szCs w:val="15"/>
              </w:rPr>
            </w:pPr>
            <w:r w:rsidRPr="004572E2">
              <w:rPr>
                <w:sz w:val="15"/>
              </w:rPr>
              <w:t>10.9</w:t>
            </w:r>
          </w:p>
        </w:tc>
        <w:tc>
          <w:tcPr>
            <w:tcW w:w="434" w:type="pct"/>
          </w:tcPr>
          <w:p w14:paraId="0807FD46" w14:textId="77777777" w:rsidR="00EB7374" w:rsidRPr="004572E2" w:rsidRDefault="00EB7374" w:rsidP="004572E2">
            <w:pPr>
              <w:ind w:right="57"/>
              <w:jc w:val="right"/>
              <w:rPr>
                <w:sz w:val="15"/>
                <w:szCs w:val="15"/>
              </w:rPr>
            </w:pPr>
            <w:r w:rsidRPr="004572E2">
              <w:rPr>
                <w:sz w:val="15"/>
              </w:rPr>
              <w:t>11.5</w:t>
            </w:r>
          </w:p>
        </w:tc>
      </w:tr>
      <w:tr w:rsidR="00EB7374" w:rsidRPr="004572E2" w14:paraId="4F99962A" w14:textId="77777777" w:rsidTr="00C700EB">
        <w:trPr>
          <w:cantSplit/>
        </w:trPr>
        <w:tc>
          <w:tcPr>
            <w:tcW w:w="1964" w:type="pct"/>
          </w:tcPr>
          <w:p w14:paraId="58A2CF49" w14:textId="77777777" w:rsidR="00EB7374" w:rsidRPr="004572E2" w:rsidRDefault="00EB7374" w:rsidP="004572E2">
            <w:pPr>
              <w:ind w:left="174"/>
              <w:jc w:val="left"/>
              <w:rPr>
                <w:sz w:val="15"/>
                <w:szCs w:val="15"/>
              </w:rPr>
            </w:pPr>
            <w:r w:rsidRPr="004572E2">
              <w:rPr>
                <w:sz w:val="15"/>
              </w:rPr>
              <w:t>Prepared foodstuffs</w:t>
            </w:r>
          </w:p>
        </w:tc>
        <w:tc>
          <w:tcPr>
            <w:tcW w:w="434" w:type="pct"/>
          </w:tcPr>
          <w:p w14:paraId="78F6FD21" w14:textId="77777777" w:rsidR="00EB7374" w:rsidRPr="004572E2" w:rsidRDefault="00EB7374" w:rsidP="004572E2">
            <w:pPr>
              <w:jc w:val="right"/>
              <w:rPr>
                <w:sz w:val="15"/>
                <w:szCs w:val="15"/>
              </w:rPr>
            </w:pPr>
            <w:r w:rsidRPr="004572E2">
              <w:rPr>
                <w:sz w:val="15"/>
              </w:rPr>
              <w:t>4.5</w:t>
            </w:r>
          </w:p>
        </w:tc>
        <w:tc>
          <w:tcPr>
            <w:tcW w:w="434" w:type="pct"/>
          </w:tcPr>
          <w:p w14:paraId="3659E47C" w14:textId="77777777" w:rsidR="00EB7374" w:rsidRPr="004572E2" w:rsidRDefault="00EB7374" w:rsidP="004572E2">
            <w:pPr>
              <w:jc w:val="right"/>
              <w:rPr>
                <w:sz w:val="15"/>
                <w:szCs w:val="15"/>
              </w:rPr>
            </w:pPr>
            <w:r w:rsidRPr="004572E2">
              <w:rPr>
                <w:sz w:val="15"/>
              </w:rPr>
              <w:t>4.4</w:t>
            </w:r>
          </w:p>
        </w:tc>
        <w:tc>
          <w:tcPr>
            <w:tcW w:w="434" w:type="pct"/>
          </w:tcPr>
          <w:p w14:paraId="319F2883" w14:textId="77777777" w:rsidR="00EB7374" w:rsidRPr="004572E2" w:rsidRDefault="00EB7374" w:rsidP="004572E2">
            <w:pPr>
              <w:jc w:val="right"/>
              <w:rPr>
                <w:sz w:val="15"/>
                <w:szCs w:val="15"/>
              </w:rPr>
            </w:pPr>
            <w:r w:rsidRPr="004572E2">
              <w:rPr>
                <w:sz w:val="15"/>
              </w:rPr>
              <w:t>4.3</w:t>
            </w:r>
          </w:p>
        </w:tc>
        <w:tc>
          <w:tcPr>
            <w:tcW w:w="434" w:type="pct"/>
          </w:tcPr>
          <w:p w14:paraId="41E1FDA9" w14:textId="77777777" w:rsidR="00EB7374" w:rsidRPr="004572E2" w:rsidRDefault="00EB7374" w:rsidP="004572E2">
            <w:pPr>
              <w:jc w:val="right"/>
              <w:rPr>
                <w:sz w:val="15"/>
                <w:szCs w:val="15"/>
              </w:rPr>
            </w:pPr>
            <w:r w:rsidRPr="004572E2">
              <w:rPr>
                <w:sz w:val="15"/>
              </w:rPr>
              <w:t>4.2</w:t>
            </w:r>
          </w:p>
        </w:tc>
        <w:tc>
          <w:tcPr>
            <w:tcW w:w="434" w:type="pct"/>
          </w:tcPr>
          <w:p w14:paraId="15CD0E98" w14:textId="77777777" w:rsidR="00EB7374" w:rsidRPr="004572E2" w:rsidRDefault="00EB7374" w:rsidP="004572E2">
            <w:pPr>
              <w:jc w:val="right"/>
              <w:rPr>
                <w:sz w:val="15"/>
                <w:szCs w:val="15"/>
              </w:rPr>
            </w:pPr>
            <w:r w:rsidRPr="004572E2">
              <w:rPr>
                <w:sz w:val="15"/>
              </w:rPr>
              <w:t>4.1</w:t>
            </w:r>
          </w:p>
        </w:tc>
        <w:tc>
          <w:tcPr>
            <w:tcW w:w="434" w:type="pct"/>
          </w:tcPr>
          <w:p w14:paraId="76B59AA8" w14:textId="77777777" w:rsidR="00EB7374" w:rsidRPr="004572E2" w:rsidRDefault="00EB7374" w:rsidP="004572E2">
            <w:pPr>
              <w:jc w:val="right"/>
              <w:rPr>
                <w:sz w:val="15"/>
                <w:szCs w:val="15"/>
              </w:rPr>
            </w:pPr>
            <w:r w:rsidRPr="004572E2">
              <w:rPr>
                <w:sz w:val="15"/>
              </w:rPr>
              <w:t>4.6</w:t>
            </w:r>
          </w:p>
        </w:tc>
        <w:tc>
          <w:tcPr>
            <w:tcW w:w="434" w:type="pct"/>
          </w:tcPr>
          <w:p w14:paraId="2FFB1D23" w14:textId="77777777" w:rsidR="00EB7374" w:rsidRPr="004572E2" w:rsidRDefault="00EB7374" w:rsidP="004572E2">
            <w:pPr>
              <w:ind w:right="57"/>
              <w:jc w:val="right"/>
              <w:rPr>
                <w:sz w:val="15"/>
                <w:szCs w:val="15"/>
              </w:rPr>
            </w:pPr>
            <w:r w:rsidRPr="004572E2">
              <w:rPr>
                <w:sz w:val="15"/>
              </w:rPr>
              <w:t>4.5</w:t>
            </w:r>
          </w:p>
        </w:tc>
      </w:tr>
      <w:tr w:rsidR="00EB7374" w:rsidRPr="004572E2" w14:paraId="33271EC0" w14:textId="77777777" w:rsidTr="00C700EB">
        <w:trPr>
          <w:cnfStyle w:val="000000010000" w:firstRow="0" w:lastRow="0" w:firstColumn="0" w:lastColumn="0" w:oddVBand="0" w:evenVBand="0" w:oddHBand="0" w:evenHBand="1" w:firstRowFirstColumn="0" w:firstRowLastColumn="0" w:lastRowFirstColumn="0" w:lastRowLastColumn="0"/>
          <w:cantSplit/>
        </w:trPr>
        <w:tc>
          <w:tcPr>
            <w:tcW w:w="1964" w:type="pct"/>
          </w:tcPr>
          <w:p w14:paraId="5222A9EA" w14:textId="77777777" w:rsidR="00EB7374" w:rsidRPr="004572E2" w:rsidRDefault="00EB7374" w:rsidP="004572E2">
            <w:pPr>
              <w:ind w:left="174"/>
              <w:jc w:val="left"/>
              <w:rPr>
                <w:sz w:val="15"/>
                <w:szCs w:val="15"/>
              </w:rPr>
            </w:pPr>
            <w:r w:rsidRPr="004572E2">
              <w:rPr>
                <w:sz w:val="15"/>
              </w:rPr>
              <w:t>Beverages and tobacco</w:t>
            </w:r>
          </w:p>
        </w:tc>
        <w:tc>
          <w:tcPr>
            <w:tcW w:w="434" w:type="pct"/>
          </w:tcPr>
          <w:p w14:paraId="16DD5BFD" w14:textId="77777777" w:rsidR="00EB7374" w:rsidRPr="004572E2" w:rsidRDefault="00EB7374" w:rsidP="004572E2">
            <w:pPr>
              <w:jc w:val="right"/>
              <w:rPr>
                <w:sz w:val="15"/>
                <w:szCs w:val="15"/>
              </w:rPr>
            </w:pPr>
            <w:r w:rsidRPr="004572E2">
              <w:rPr>
                <w:sz w:val="15"/>
              </w:rPr>
              <w:t>1.3</w:t>
            </w:r>
          </w:p>
        </w:tc>
        <w:tc>
          <w:tcPr>
            <w:tcW w:w="434" w:type="pct"/>
          </w:tcPr>
          <w:p w14:paraId="451EB48E" w14:textId="77777777" w:rsidR="00EB7374" w:rsidRPr="004572E2" w:rsidRDefault="00EB7374" w:rsidP="004572E2">
            <w:pPr>
              <w:jc w:val="right"/>
              <w:rPr>
                <w:sz w:val="15"/>
                <w:szCs w:val="15"/>
              </w:rPr>
            </w:pPr>
            <w:r w:rsidRPr="004572E2">
              <w:rPr>
                <w:sz w:val="15"/>
              </w:rPr>
              <w:t>1.3</w:t>
            </w:r>
          </w:p>
        </w:tc>
        <w:tc>
          <w:tcPr>
            <w:tcW w:w="434" w:type="pct"/>
          </w:tcPr>
          <w:p w14:paraId="4601758A" w14:textId="77777777" w:rsidR="00EB7374" w:rsidRPr="004572E2" w:rsidRDefault="00EB7374" w:rsidP="004572E2">
            <w:pPr>
              <w:jc w:val="right"/>
              <w:rPr>
                <w:sz w:val="15"/>
                <w:szCs w:val="15"/>
              </w:rPr>
            </w:pPr>
            <w:r w:rsidRPr="004572E2">
              <w:rPr>
                <w:sz w:val="15"/>
              </w:rPr>
              <w:t>1.4</w:t>
            </w:r>
          </w:p>
        </w:tc>
        <w:tc>
          <w:tcPr>
            <w:tcW w:w="434" w:type="pct"/>
          </w:tcPr>
          <w:p w14:paraId="410713B0" w14:textId="77777777" w:rsidR="00EB7374" w:rsidRPr="004572E2" w:rsidRDefault="00EB7374" w:rsidP="004572E2">
            <w:pPr>
              <w:jc w:val="right"/>
              <w:rPr>
                <w:sz w:val="15"/>
                <w:szCs w:val="15"/>
              </w:rPr>
            </w:pPr>
            <w:r w:rsidRPr="004572E2">
              <w:rPr>
                <w:sz w:val="15"/>
              </w:rPr>
              <w:t>1.3</w:t>
            </w:r>
          </w:p>
        </w:tc>
        <w:tc>
          <w:tcPr>
            <w:tcW w:w="434" w:type="pct"/>
          </w:tcPr>
          <w:p w14:paraId="478B17A3" w14:textId="77777777" w:rsidR="00EB7374" w:rsidRPr="004572E2" w:rsidRDefault="00EB7374" w:rsidP="004572E2">
            <w:pPr>
              <w:jc w:val="right"/>
              <w:rPr>
                <w:sz w:val="15"/>
                <w:szCs w:val="15"/>
              </w:rPr>
            </w:pPr>
            <w:r w:rsidRPr="004572E2">
              <w:rPr>
                <w:sz w:val="15"/>
              </w:rPr>
              <w:t>1.3</w:t>
            </w:r>
          </w:p>
        </w:tc>
        <w:tc>
          <w:tcPr>
            <w:tcW w:w="434" w:type="pct"/>
          </w:tcPr>
          <w:p w14:paraId="3E1693BE" w14:textId="77777777" w:rsidR="00EB7374" w:rsidRPr="004572E2" w:rsidRDefault="00EB7374" w:rsidP="004572E2">
            <w:pPr>
              <w:jc w:val="right"/>
              <w:rPr>
                <w:sz w:val="15"/>
                <w:szCs w:val="15"/>
              </w:rPr>
            </w:pPr>
            <w:r w:rsidRPr="004572E2">
              <w:rPr>
                <w:sz w:val="15"/>
              </w:rPr>
              <w:t>1.4</w:t>
            </w:r>
          </w:p>
        </w:tc>
        <w:tc>
          <w:tcPr>
            <w:tcW w:w="434" w:type="pct"/>
          </w:tcPr>
          <w:p w14:paraId="032EBD77" w14:textId="77777777" w:rsidR="00EB7374" w:rsidRPr="004572E2" w:rsidRDefault="00EB7374" w:rsidP="004572E2">
            <w:pPr>
              <w:ind w:right="57"/>
              <w:jc w:val="right"/>
              <w:rPr>
                <w:sz w:val="15"/>
                <w:szCs w:val="15"/>
              </w:rPr>
            </w:pPr>
            <w:r w:rsidRPr="004572E2">
              <w:rPr>
                <w:sz w:val="15"/>
              </w:rPr>
              <w:t>1.3</w:t>
            </w:r>
          </w:p>
        </w:tc>
      </w:tr>
      <w:tr w:rsidR="00EB7374" w:rsidRPr="004572E2" w14:paraId="33F41D53" w14:textId="77777777" w:rsidTr="00C700EB">
        <w:trPr>
          <w:cantSplit/>
        </w:trPr>
        <w:tc>
          <w:tcPr>
            <w:tcW w:w="1964" w:type="pct"/>
          </w:tcPr>
          <w:p w14:paraId="7ED37F25" w14:textId="77777777" w:rsidR="00EB7374" w:rsidRPr="004572E2" w:rsidRDefault="00EB7374" w:rsidP="004572E2">
            <w:pPr>
              <w:ind w:left="174"/>
              <w:jc w:val="left"/>
              <w:rPr>
                <w:sz w:val="15"/>
                <w:szCs w:val="15"/>
              </w:rPr>
            </w:pPr>
            <w:r w:rsidRPr="004572E2">
              <w:rPr>
                <w:sz w:val="15"/>
              </w:rPr>
              <w:t>Refined petroleum products</w:t>
            </w:r>
          </w:p>
        </w:tc>
        <w:tc>
          <w:tcPr>
            <w:tcW w:w="434" w:type="pct"/>
          </w:tcPr>
          <w:p w14:paraId="12C1A5A8" w14:textId="77777777" w:rsidR="00EB7374" w:rsidRPr="004572E2" w:rsidRDefault="00EB7374" w:rsidP="004572E2">
            <w:pPr>
              <w:jc w:val="right"/>
              <w:rPr>
                <w:sz w:val="15"/>
                <w:szCs w:val="15"/>
              </w:rPr>
            </w:pPr>
            <w:r w:rsidRPr="004572E2">
              <w:rPr>
                <w:sz w:val="15"/>
              </w:rPr>
              <w:t>1.0</w:t>
            </w:r>
          </w:p>
        </w:tc>
        <w:tc>
          <w:tcPr>
            <w:tcW w:w="434" w:type="pct"/>
          </w:tcPr>
          <w:p w14:paraId="29FCD135" w14:textId="77777777" w:rsidR="00EB7374" w:rsidRPr="004572E2" w:rsidRDefault="00EB7374" w:rsidP="004572E2">
            <w:pPr>
              <w:jc w:val="right"/>
              <w:rPr>
                <w:sz w:val="15"/>
                <w:szCs w:val="15"/>
              </w:rPr>
            </w:pPr>
            <w:r w:rsidRPr="004572E2">
              <w:rPr>
                <w:sz w:val="15"/>
              </w:rPr>
              <w:t>1.0</w:t>
            </w:r>
          </w:p>
        </w:tc>
        <w:tc>
          <w:tcPr>
            <w:tcW w:w="434" w:type="pct"/>
          </w:tcPr>
          <w:p w14:paraId="62F2BA6A" w14:textId="77777777" w:rsidR="00EB7374" w:rsidRPr="004572E2" w:rsidRDefault="00EB7374" w:rsidP="004572E2">
            <w:pPr>
              <w:jc w:val="right"/>
              <w:rPr>
                <w:sz w:val="15"/>
                <w:szCs w:val="15"/>
              </w:rPr>
            </w:pPr>
            <w:r w:rsidRPr="004572E2">
              <w:rPr>
                <w:sz w:val="15"/>
              </w:rPr>
              <w:t>1.0</w:t>
            </w:r>
          </w:p>
        </w:tc>
        <w:tc>
          <w:tcPr>
            <w:tcW w:w="434" w:type="pct"/>
          </w:tcPr>
          <w:p w14:paraId="14E65E62" w14:textId="77777777" w:rsidR="00EB7374" w:rsidRPr="004572E2" w:rsidRDefault="00EB7374" w:rsidP="004572E2">
            <w:pPr>
              <w:jc w:val="right"/>
              <w:rPr>
                <w:sz w:val="15"/>
                <w:szCs w:val="15"/>
              </w:rPr>
            </w:pPr>
            <w:r w:rsidRPr="004572E2">
              <w:rPr>
                <w:sz w:val="15"/>
              </w:rPr>
              <w:t>1.1</w:t>
            </w:r>
          </w:p>
        </w:tc>
        <w:tc>
          <w:tcPr>
            <w:tcW w:w="434" w:type="pct"/>
          </w:tcPr>
          <w:p w14:paraId="64BFA254" w14:textId="77777777" w:rsidR="00EB7374" w:rsidRPr="004572E2" w:rsidRDefault="00EB7374" w:rsidP="004572E2">
            <w:pPr>
              <w:jc w:val="right"/>
              <w:rPr>
                <w:sz w:val="15"/>
                <w:szCs w:val="15"/>
              </w:rPr>
            </w:pPr>
            <w:r w:rsidRPr="004572E2">
              <w:rPr>
                <w:sz w:val="15"/>
              </w:rPr>
              <w:t>1.0</w:t>
            </w:r>
          </w:p>
        </w:tc>
        <w:tc>
          <w:tcPr>
            <w:tcW w:w="434" w:type="pct"/>
          </w:tcPr>
          <w:p w14:paraId="26C34A5B" w14:textId="77777777" w:rsidR="00EB7374" w:rsidRPr="004572E2" w:rsidRDefault="00EB7374" w:rsidP="004572E2">
            <w:pPr>
              <w:jc w:val="right"/>
              <w:rPr>
                <w:sz w:val="15"/>
                <w:szCs w:val="15"/>
              </w:rPr>
            </w:pPr>
            <w:r w:rsidRPr="004572E2">
              <w:rPr>
                <w:sz w:val="15"/>
              </w:rPr>
              <w:t>1.1</w:t>
            </w:r>
          </w:p>
        </w:tc>
        <w:tc>
          <w:tcPr>
            <w:tcW w:w="434" w:type="pct"/>
          </w:tcPr>
          <w:p w14:paraId="2D0856BB" w14:textId="77777777" w:rsidR="00EB7374" w:rsidRPr="004572E2" w:rsidRDefault="00EB7374" w:rsidP="004572E2">
            <w:pPr>
              <w:ind w:right="57"/>
              <w:jc w:val="right"/>
              <w:rPr>
                <w:sz w:val="15"/>
                <w:szCs w:val="15"/>
              </w:rPr>
            </w:pPr>
            <w:r w:rsidRPr="004572E2">
              <w:rPr>
                <w:sz w:val="15"/>
              </w:rPr>
              <w:t>1.2</w:t>
            </w:r>
          </w:p>
        </w:tc>
      </w:tr>
      <w:tr w:rsidR="00EB7374" w:rsidRPr="004572E2" w14:paraId="58DF633E" w14:textId="77777777" w:rsidTr="00C700EB">
        <w:trPr>
          <w:cnfStyle w:val="000000010000" w:firstRow="0" w:lastRow="0" w:firstColumn="0" w:lastColumn="0" w:oddVBand="0" w:evenVBand="0" w:oddHBand="0" w:evenHBand="1" w:firstRowFirstColumn="0" w:firstRowLastColumn="0" w:lastRowFirstColumn="0" w:lastRowLastColumn="0"/>
          <w:cantSplit/>
        </w:trPr>
        <w:tc>
          <w:tcPr>
            <w:tcW w:w="1964" w:type="pct"/>
          </w:tcPr>
          <w:p w14:paraId="3715C761" w14:textId="77777777" w:rsidR="00EB7374" w:rsidRPr="004572E2" w:rsidRDefault="00EB7374" w:rsidP="004572E2">
            <w:pPr>
              <w:jc w:val="left"/>
              <w:rPr>
                <w:b/>
                <w:sz w:val="15"/>
                <w:szCs w:val="15"/>
              </w:rPr>
            </w:pPr>
            <w:r w:rsidRPr="004572E2">
              <w:rPr>
                <w:b/>
                <w:sz w:val="15"/>
              </w:rPr>
              <w:t>Free</w:t>
            </w:r>
            <w:r w:rsidRPr="004572E2">
              <w:rPr>
                <w:b/>
                <w:sz w:val="15"/>
              </w:rPr>
              <w:noBreakHyphen/>
              <w:t>zone manufacturing</w:t>
            </w:r>
          </w:p>
        </w:tc>
        <w:tc>
          <w:tcPr>
            <w:tcW w:w="434" w:type="pct"/>
          </w:tcPr>
          <w:p w14:paraId="598E9FFD" w14:textId="77777777" w:rsidR="00EB7374" w:rsidRPr="004572E2" w:rsidRDefault="00EB7374" w:rsidP="004572E2">
            <w:pPr>
              <w:jc w:val="right"/>
              <w:rPr>
                <w:sz w:val="15"/>
                <w:szCs w:val="15"/>
              </w:rPr>
            </w:pPr>
            <w:r w:rsidRPr="004572E2">
              <w:rPr>
                <w:sz w:val="15"/>
              </w:rPr>
              <w:t>3.3</w:t>
            </w:r>
          </w:p>
        </w:tc>
        <w:tc>
          <w:tcPr>
            <w:tcW w:w="434" w:type="pct"/>
          </w:tcPr>
          <w:p w14:paraId="4F9C9F40" w14:textId="77777777" w:rsidR="00EB7374" w:rsidRPr="004572E2" w:rsidRDefault="00EB7374" w:rsidP="004572E2">
            <w:pPr>
              <w:jc w:val="right"/>
              <w:rPr>
                <w:sz w:val="15"/>
                <w:szCs w:val="15"/>
              </w:rPr>
            </w:pPr>
            <w:r w:rsidRPr="004572E2">
              <w:rPr>
                <w:sz w:val="15"/>
              </w:rPr>
              <w:t>3.3</w:t>
            </w:r>
          </w:p>
        </w:tc>
        <w:tc>
          <w:tcPr>
            <w:tcW w:w="434" w:type="pct"/>
          </w:tcPr>
          <w:p w14:paraId="46963B22" w14:textId="77777777" w:rsidR="00EB7374" w:rsidRPr="004572E2" w:rsidRDefault="00EB7374" w:rsidP="004572E2">
            <w:pPr>
              <w:jc w:val="right"/>
              <w:rPr>
                <w:sz w:val="15"/>
                <w:szCs w:val="15"/>
              </w:rPr>
            </w:pPr>
            <w:r w:rsidRPr="004572E2">
              <w:rPr>
                <w:sz w:val="15"/>
              </w:rPr>
              <w:t>3.3</w:t>
            </w:r>
          </w:p>
        </w:tc>
        <w:tc>
          <w:tcPr>
            <w:tcW w:w="434" w:type="pct"/>
          </w:tcPr>
          <w:p w14:paraId="0C675BE0" w14:textId="77777777" w:rsidR="00EB7374" w:rsidRPr="004572E2" w:rsidRDefault="00EB7374" w:rsidP="004572E2">
            <w:pPr>
              <w:jc w:val="right"/>
              <w:rPr>
                <w:sz w:val="15"/>
                <w:szCs w:val="15"/>
              </w:rPr>
            </w:pPr>
            <w:r w:rsidRPr="004572E2">
              <w:rPr>
                <w:sz w:val="15"/>
              </w:rPr>
              <w:t>3.3</w:t>
            </w:r>
          </w:p>
        </w:tc>
        <w:tc>
          <w:tcPr>
            <w:tcW w:w="434" w:type="pct"/>
          </w:tcPr>
          <w:p w14:paraId="743C4FA7" w14:textId="77777777" w:rsidR="00EB7374" w:rsidRPr="004572E2" w:rsidRDefault="00EB7374" w:rsidP="004572E2">
            <w:pPr>
              <w:jc w:val="right"/>
              <w:rPr>
                <w:sz w:val="15"/>
                <w:szCs w:val="15"/>
              </w:rPr>
            </w:pPr>
            <w:r w:rsidRPr="004572E2">
              <w:rPr>
                <w:sz w:val="15"/>
              </w:rPr>
              <w:t>3.2</w:t>
            </w:r>
          </w:p>
        </w:tc>
        <w:tc>
          <w:tcPr>
            <w:tcW w:w="434" w:type="pct"/>
          </w:tcPr>
          <w:p w14:paraId="48C8AB1C" w14:textId="77777777" w:rsidR="00EB7374" w:rsidRPr="004572E2" w:rsidRDefault="00EB7374" w:rsidP="004572E2">
            <w:pPr>
              <w:jc w:val="right"/>
              <w:rPr>
                <w:sz w:val="15"/>
                <w:szCs w:val="15"/>
              </w:rPr>
            </w:pPr>
            <w:r w:rsidRPr="004572E2">
              <w:rPr>
                <w:sz w:val="15"/>
              </w:rPr>
              <w:t>3.5</w:t>
            </w:r>
          </w:p>
        </w:tc>
        <w:tc>
          <w:tcPr>
            <w:tcW w:w="434" w:type="pct"/>
          </w:tcPr>
          <w:p w14:paraId="55592B4F" w14:textId="77777777" w:rsidR="00EB7374" w:rsidRPr="004572E2" w:rsidRDefault="00EB7374" w:rsidP="004572E2">
            <w:pPr>
              <w:ind w:right="57"/>
              <w:jc w:val="right"/>
              <w:rPr>
                <w:sz w:val="15"/>
                <w:szCs w:val="15"/>
              </w:rPr>
            </w:pPr>
            <w:r w:rsidRPr="004572E2">
              <w:rPr>
                <w:sz w:val="15"/>
              </w:rPr>
              <w:t>3.6</w:t>
            </w:r>
          </w:p>
        </w:tc>
      </w:tr>
      <w:tr w:rsidR="00EB7374" w:rsidRPr="004572E2" w14:paraId="72D1FE9F" w14:textId="77777777" w:rsidTr="00C700EB">
        <w:trPr>
          <w:cantSplit/>
        </w:trPr>
        <w:tc>
          <w:tcPr>
            <w:tcW w:w="1964" w:type="pct"/>
          </w:tcPr>
          <w:p w14:paraId="0CEF30CC" w14:textId="77777777" w:rsidR="00EB7374" w:rsidRPr="004572E2" w:rsidRDefault="00EB7374" w:rsidP="004572E2">
            <w:pPr>
              <w:jc w:val="left"/>
              <w:rPr>
                <w:b/>
                <w:sz w:val="15"/>
                <w:szCs w:val="15"/>
              </w:rPr>
            </w:pPr>
          </w:p>
        </w:tc>
        <w:tc>
          <w:tcPr>
            <w:tcW w:w="3036" w:type="pct"/>
            <w:gridSpan w:val="7"/>
          </w:tcPr>
          <w:p w14:paraId="4F2FAB78" w14:textId="77777777" w:rsidR="00EB7374" w:rsidRPr="004572E2" w:rsidRDefault="00EB7374" w:rsidP="004572E2">
            <w:pPr>
              <w:ind w:right="57"/>
              <w:jc w:val="center"/>
              <w:rPr>
                <w:sz w:val="15"/>
                <w:szCs w:val="15"/>
              </w:rPr>
            </w:pPr>
            <w:r w:rsidRPr="004572E2">
              <w:rPr>
                <w:sz w:val="15"/>
              </w:rPr>
              <w:t>Share of total employment</w:t>
            </w:r>
          </w:p>
        </w:tc>
      </w:tr>
      <w:tr w:rsidR="00EB7374" w:rsidRPr="004572E2" w14:paraId="10C25189" w14:textId="77777777" w:rsidTr="00C700EB">
        <w:trPr>
          <w:cnfStyle w:val="000000010000" w:firstRow="0" w:lastRow="0" w:firstColumn="0" w:lastColumn="0" w:oddVBand="0" w:evenVBand="0" w:oddHBand="0" w:evenHBand="1" w:firstRowFirstColumn="0" w:firstRowLastColumn="0" w:lastRowFirstColumn="0" w:lastRowLastColumn="0"/>
          <w:cantSplit/>
        </w:trPr>
        <w:tc>
          <w:tcPr>
            <w:tcW w:w="1964" w:type="pct"/>
          </w:tcPr>
          <w:p w14:paraId="7D220668" w14:textId="77777777" w:rsidR="00EB7374" w:rsidRPr="004572E2" w:rsidRDefault="00EB7374" w:rsidP="004572E2">
            <w:pPr>
              <w:jc w:val="left"/>
              <w:rPr>
                <w:b/>
                <w:sz w:val="15"/>
                <w:szCs w:val="15"/>
              </w:rPr>
            </w:pPr>
            <w:r w:rsidRPr="004572E2">
              <w:rPr>
                <w:b/>
                <w:sz w:val="15"/>
              </w:rPr>
              <w:t xml:space="preserve">Industrial </w:t>
            </w:r>
            <w:proofErr w:type="spellStart"/>
            <w:r w:rsidRPr="004572E2">
              <w:rPr>
                <w:b/>
                <w:sz w:val="15"/>
              </w:rPr>
              <w:t>sector</w:t>
            </w:r>
            <w:r w:rsidRPr="004572E2">
              <w:rPr>
                <w:b/>
                <w:sz w:val="15"/>
                <w:vertAlign w:val="superscript"/>
              </w:rPr>
              <w:t>b</w:t>
            </w:r>
            <w:proofErr w:type="spellEnd"/>
          </w:p>
        </w:tc>
        <w:tc>
          <w:tcPr>
            <w:tcW w:w="434" w:type="pct"/>
          </w:tcPr>
          <w:p w14:paraId="1D5CAC4F" w14:textId="77777777" w:rsidR="00EB7374" w:rsidRPr="004572E2" w:rsidRDefault="00EB7374" w:rsidP="004572E2">
            <w:pPr>
              <w:jc w:val="right"/>
              <w:rPr>
                <w:sz w:val="15"/>
                <w:szCs w:val="15"/>
              </w:rPr>
            </w:pPr>
            <w:r w:rsidRPr="004572E2">
              <w:rPr>
                <w:sz w:val="15"/>
              </w:rPr>
              <w:t>10.1</w:t>
            </w:r>
          </w:p>
        </w:tc>
        <w:tc>
          <w:tcPr>
            <w:tcW w:w="434" w:type="pct"/>
          </w:tcPr>
          <w:p w14:paraId="074B152A" w14:textId="77777777" w:rsidR="00EB7374" w:rsidRPr="004572E2" w:rsidRDefault="00EB7374" w:rsidP="004572E2">
            <w:pPr>
              <w:jc w:val="right"/>
              <w:rPr>
                <w:sz w:val="15"/>
                <w:szCs w:val="15"/>
              </w:rPr>
            </w:pPr>
            <w:r w:rsidRPr="004572E2">
              <w:rPr>
                <w:sz w:val="15"/>
              </w:rPr>
              <w:t>10.4</w:t>
            </w:r>
          </w:p>
        </w:tc>
        <w:tc>
          <w:tcPr>
            <w:tcW w:w="434" w:type="pct"/>
          </w:tcPr>
          <w:p w14:paraId="6677A427" w14:textId="77777777" w:rsidR="00EB7374" w:rsidRPr="004572E2" w:rsidRDefault="00EB7374" w:rsidP="004572E2">
            <w:pPr>
              <w:jc w:val="right"/>
              <w:rPr>
                <w:sz w:val="15"/>
                <w:szCs w:val="15"/>
              </w:rPr>
            </w:pPr>
            <w:r w:rsidRPr="004572E2">
              <w:rPr>
                <w:sz w:val="15"/>
              </w:rPr>
              <w:t>10.2</w:t>
            </w:r>
          </w:p>
        </w:tc>
        <w:tc>
          <w:tcPr>
            <w:tcW w:w="434" w:type="pct"/>
          </w:tcPr>
          <w:p w14:paraId="16E15957" w14:textId="77777777" w:rsidR="00EB7374" w:rsidRPr="004572E2" w:rsidRDefault="00EB7374" w:rsidP="004572E2">
            <w:pPr>
              <w:jc w:val="right"/>
              <w:rPr>
                <w:sz w:val="15"/>
                <w:szCs w:val="15"/>
              </w:rPr>
            </w:pPr>
            <w:r w:rsidRPr="004572E2">
              <w:rPr>
                <w:sz w:val="15"/>
              </w:rPr>
              <w:t>10.0</w:t>
            </w:r>
          </w:p>
        </w:tc>
        <w:tc>
          <w:tcPr>
            <w:tcW w:w="434" w:type="pct"/>
          </w:tcPr>
          <w:p w14:paraId="5E2D2B08" w14:textId="77777777" w:rsidR="00EB7374" w:rsidRPr="004572E2" w:rsidRDefault="00EB7374" w:rsidP="004572E2">
            <w:pPr>
              <w:jc w:val="right"/>
              <w:rPr>
                <w:sz w:val="15"/>
                <w:szCs w:val="15"/>
              </w:rPr>
            </w:pPr>
            <w:r w:rsidRPr="004572E2">
              <w:rPr>
                <w:sz w:val="15"/>
              </w:rPr>
              <w:t>10.2</w:t>
            </w:r>
          </w:p>
        </w:tc>
        <w:tc>
          <w:tcPr>
            <w:tcW w:w="434" w:type="pct"/>
          </w:tcPr>
          <w:p w14:paraId="05D8B63D" w14:textId="77777777" w:rsidR="00EB7374" w:rsidRPr="004572E2" w:rsidRDefault="00EB7374" w:rsidP="004572E2">
            <w:pPr>
              <w:jc w:val="right"/>
              <w:rPr>
                <w:sz w:val="15"/>
                <w:szCs w:val="15"/>
              </w:rPr>
            </w:pPr>
            <w:r w:rsidRPr="004572E2">
              <w:rPr>
                <w:sz w:val="15"/>
              </w:rPr>
              <w:t>10.7</w:t>
            </w:r>
          </w:p>
        </w:tc>
        <w:tc>
          <w:tcPr>
            <w:tcW w:w="434" w:type="pct"/>
          </w:tcPr>
          <w:p w14:paraId="65D3FDF3" w14:textId="77777777" w:rsidR="00EB7374" w:rsidRPr="004572E2" w:rsidRDefault="00EB7374" w:rsidP="004572E2">
            <w:pPr>
              <w:ind w:right="57"/>
              <w:jc w:val="right"/>
              <w:rPr>
                <w:sz w:val="15"/>
                <w:szCs w:val="15"/>
              </w:rPr>
            </w:pPr>
            <w:r w:rsidRPr="004572E2">
              <w:rPr>
                <w:sz w:val="15"/>
              </w:rPr>
              <w:t>10.1</w:t>
            </w:r>
          </w:p>
        </w:tc>
      </w:tr>
    </w:tbl>
    <w:p w14:paraId="09BEAAB9" w14:textId="77777777" w:rsidR="00EB7374" w:rsidRPr="004572E2" w:rsidRDefault="00EB7374" w:rsidP="00076BE1">
      <w:pPr>
        <w:pStyle w:val="NoteText"/>
        <w:spacing w:before="120"/>
      </w:pPr>
      <w:r w:rsidRPr="004572E2">
        <w:t>a</w:t>
      </w:r>
      <w:r w:rsidRPr="004572E2">
        <w:tab/>
        <w:t>Preliminary data.</w:t>
      </w:r>
    </w:p>
    <w:p w14:paraId="72A8264A" w14:textId="77777777" w:rsidR="00EB7374" w:rsidRPr="004572E2" w:rsidRDefault="00EB7374" w:rsidP="004572E2">
      <w:pPr>
        <w:pStyle w:val="NoteText"/>
      </w:pPr>
      <w:r w:rsidRPr="004572E2">
        <w:t>b</w:t>
      </w:r>
      <w:r w:rsidRPr="004572E2">
        <w:tab/>
        <w:t>Includes mining and quarrying.</w:t>
      </w:r>
    </w:p>
    <w:p w14:paraId="37D1CFBB" w14:textId="77777777" w:rsidR="00EB7374" w:rsidRPr="004572E2" w:rsidRDefault="00EB7374" w:rsidP="00076BE1">
      <w:pPr>
        <w:pStyle w:val="NoteText"/>
        <w:spacing w:before="120" w:after="240"/>
      </w:pPr>
      <w:r w:rsidRPr="004572E2">
        <w:t>Source:</w:t>
      </w:r>
      <w:r w:rsidRPr="004572E2">
        <w:tab/>
        <w:t>Central Bank of the Dominican Republic.</w:t>
      </w:r>
    </w:p>
    <w:p w14:paraId="071B13AD" w14:textId="77777777" w:rsidR="00EB7374" w:rsidRPr="004572E2" w:rsidRDefault="00EB7374" w:rsidP="00C80D98">
      <w:pPr>
        <w:pStyle w:val="BodyText"/>
      </w:pPr>
      <w:bookmarkStart w:id="344" w:name="_Toc417038640"/>
      <w:r w:rsidRPr="004572E2">
        <w:t>The free zones make a significant contribution to manufacturing exports at the national level (Table 4.9), accounting for 61</w:t>
      </w:r>
      <w:r>
        <w:t>%</w:t>
      </w:r>
      <w:r w:rsidRPr="004572E2">
        <w:t xml:space="preserve"> of these exports in 2021, down slightly on the 2015 figure of 65</w:t>
      </w:r>
      <w:r>
        <w:t>%</w:t>
      </w:r>
      <w:r w:rsidRPr="004572E2">
        <w:t>. This decline was due to the fact that exports under the national regime (and others) have increased more rapidly (+50</w:t>
      </w:r>
      <w:r>
        <w:t>%</w:t>
      </w:r>
      <w:r w:rsidRPr="004572E2">
        <w:t>) than free</w:t>
      </w:r>
      <w:r w:rsidRPr="004572E2">
        <w:noBreakHyphen/>
        <w:t>zone manufacturing exports (+26</w:t>
      </w:r>
      <w:r>
        <w:t>%</w:t>
      </w:r>
      <w:r w:rsidRPr="004572E2">
        <w:t>). As a result of these strong growth rates, manufacturing exports accounted for three quarters of total exports under all customs regimes combined in 2020.</w:t>
      </w:r>
    </w:p>
    <w:p w14:paraId="34CE860D" w14:textId="77777777" w:rsidR="00EB7374" w:rsidRPr="004572E2" w:rsidRDefault="00EB7374" w:rsidP="00C80D98">
      <w:pPr>
        <w:pStyle w:val="BodyText"/>
      </w:pPr>
      <w:r w:rsidRPr="004572E2">
        <w:t>Among products under the national regime, iron and steel exports were particularly strong during the period under review, with their export value increasing almost five</w:t>
      </w:r>
      <w:r w:rsidRPr="004572E2">
        <w:noBreakHyphen/>
        <w:t>fold. However, exports of pearls, precious stones and precious metals remained the leading manufacturing exports under the national regime by some margin (accounting for more than 50</w:t>
      </w:r>
      <w:r>
        <w:t>%</w:t>
      </w:r>
      <w:r w:rsidRPr="004572E2">
        <w:t xml:space="preserve"> of exports). Under the free</w:t>
      </w:r>
      <w:r w:rsidRPr="004572E2">
        <w:noBreakHyphen/>
        <w:t>zone regime, exports of electrical sound reproducing machinery and equipment were particularly strong, as were exports of pearls, precious stones and precious metals. In both cases, export values doubled between 2015 and 2020. Exports of articles of apparel and clothing accessories declined in value relative to 2015; this was the only major category of free</w:t>
      </w:r>
      <w:r w:rsidRPr="004572E2">
        <w:noBreakHyphen/>
        <w:t>zone products that recorded a downward trend.</w:t>
      </w:r>
    </w:p>
    <w:p w14:paraId="71F96F05" w14:textId="77777777" w:rsidR="00EB7374" w:rsidRPr="004572E2" w:rsidRDefault="00EB7374" w:rsidP="00050EA9">
      <w:pPr>
        <w:pStyle w:val="Caption"/>
      </w:pPr>
      <w:bookmarkStart w:id="345" w:name="_Toc114735845"/>
      <w:bookmarkStart w:id="346" w:name="_Toc117238063"/>
      <w:r>
        <w:t xml:space="preserve">Table </w:t>
      </w:r>
      <w:r w:rsidR="00BD37F2">
        <w:fldChar w:fldCharType="begin"/>
      </w:r>
      <w:r w:rsidR="00BD37F2">
        <w:instrText xml:space="preserve"> STYLEREF 1 \s </w:instrText>
      </w:r>
      <w:r w:rsidR="00BD37F2">
        <w:fldChar w:fldCharType="separate"/>
      </w:r>
      <w:r>
        <w:rPr>
          <w:noProof/>
        </w:rPr>
        <w:t>4</w:t>
      </w:r>
      <w:r w:rsidR="00BD37F2">
        <w:rPr>
          <w:noProof/>
        </w:rPr>
        <w:fldChar w:fldCharType="end"/>
      </w:r>
      <w:r>
        <w:t>.</w:t>
      </w:r>
      <w:r w:rsidR="00BD37F2">
        <w:fldChar w:fldCharType="begin"/>
      </w:r>
      <w:r w:rsidR="00BD37F2">
        <w:instrText xml:space="preserve"> SEQ Table \* ARABIC \s 1 </w:instrText>
      </w:r>
      <w:r w:rsidR="00BD37F2">
        <w:fldChar w:fldCharType="separate"/>
      </w:r>
      <w:r>
        <w:rPr>
          <w:noProof/>
        </w:rPr>
        <w:t>9</w:t>
      </w:r>
      <w:r w:rsidR="00BD37F2">
        <w:rPr>
          <w:noProof/>
        </w:rPr>
        <w:fldChar w:fldCharType="end"/>
      </w:r>
      <w:r>
        <w:t xml:space="preserve"> </w:t>
      </w:r>
      <w:r w:rsidRPr="004572E2">
        <w:t>Manufacturing exports, by regime and by main activity, 2015–21</w:t>
      </w:r>
      <w:bookmarkEnd w:id="345"/>
      <w:bookmarkEnd w:id="346"/>
    </w:p>
    <w:bookmarkEnd w:id="344"/>
    <w:tbl>
      <w:tblPr>
        <w:tblStyle w:val="WTOTable1"/>
        <w:tblW w:w="5000" w:type="pct"/>
        <w:tblLook w:val="04A0" w:firstRow="1" w:lastRow="0" w:firstColumn="1" w:lastColumn="0" w:noHBand="0" w:noVBand="1"/>
      </w:tblPr>
      <w:tblGrid>
        <w:gridCol w:w="3815"/>
        <w:gridCol w:w="743"/>
        <w:gridCol w:w="743"/>
        <w:gridCol w:w="743"/>
        <w:gridCol w:w="743"/>
        <w:gridCol w:w="743"/>
        <w:gridCol w:w="743"/>
        <w:gridCol w:w="743"/>
      </w:tblGrid>
      <w:tr w:rsidR="00EB7374" w:rsidRPr="004572E2" w14:paraId="34783197" w14:textId="77777777" w:rsidTr="00C700EB">
        <w:trPr>
          <w:cnfStyle w:val="100000000000" w:firstRow="1" w:lastRow="0" w:firstColumn="0" w:lastColumn="0" w:oddVBand="0" w:evenVBand="0" w:oddHBand="0" w:evenHBand="0" w:firstRowFirstColumn="0" w:firstRowLastColumn="0" w:lastRowFirstColumn="0" w:lastRowLastColumn="0"/>
          <w:tblHeader/>
        </w:trPr>
        <w:tc>
          <w:tcPr>
            <w:tcW w:w="2116" w:type="pct"/>
          </w:tcPr>
          <w:p w14:paraId="09250BE7" w14:textId="77777777" w:rsidR="00EB7374" w:rsidRPr="004572E2" w:rsidRDefault="00EB7374" w:rsidP="004572E2">
            <w:pPr>
              <w:keepNext/>
              <w:keepLines/>
              <w:jc w:val="left"/>
              <w:rPr>
                <w:b w:val="0"/>
                <w:sz w:val="15"/>
                <w:szCs w:val="15"/>
              </w:rPr>
            </w:pPr>
          </w:p>
        </w:tc>
        <w:tc>
          <w:tcPr>
            <w:tcW w:w="412" w:type="pct"/>
          </w:tcPr>
          <w:p w14:paraId="6D4664C6" w14:textId="77777777" w:rsidR="00EB7374" w:rsidRPr="004572E2" w:rsidRDefault="00EB7374" w:rsidP="004572E2">
            <w:pPr>
              <w:keepNext/>
              <w:keepLines/>
              <w:jc w:val="right"/>
              <w:rPr>
                <w:sz w:val="15"/>
                <w:szCs w:val="15"/>
              </w:rPr>
            </w:pPr>
            <w:r w:rsidRPr="004572E2">
              <w:rPr>
                <w:sz w:val="15"/>
              </w:rPr>
              <w:t>2015</w:t>
            </w:r>
          </w:p>
        </w:tc>
        <w:tc>
          <w:tcPr>
            <w:tcW w:w="412" w:type="pct"/>
          </w:tcPr>
          <w:p w14:paraId="4094E130" w14:textId="77777777" w:rsidR="00EB7374" w:rsidRPr="004572E2" w:rsidRDefault="00EB7374" w:rsidP="004572E2">
            <w:pPr>
              <w:keepNext/>
              <w:keepLines/>
              <w:jc w:val="right"/>
              <w:rPr>
                <w:sz w:val="15"/>
                <w:szCs w:val="15"/>
              </w:rPr>
            </w:pPr>
            <w:r w:rsidRPr="004572E2">
              <w:rPr>
                <w:sz w:val="15"/>
              </w:rPr>
              <w:t>2016</w:t>
            </w:r>
          </w:p>
        </w:tc>
        <w:tc>
          <w:tcPr>
            <w:tcW w:w="412" w:type="pct"/>
          </w:tcPr>
          <w:p w14:paraId="2A8FBF96" w14:textId="77777777" w:rsidR="00EB7374" w:rsidRPr="004572E2" w:rsidRDefault="00EB7374" w:rsidP="004572E2">
            <w:pPr>
              <w:keepNext/>
              <w:keepLines/>
              <w:jc w:val="right"/>
              <w:rPr>
                <w:sz w:val="15"/>
                <w:szCs w:val="15"/>
              </w:rPr>
            </w:pPr>
            <w:r w:rsidRPr="004572E2">
              <w:rPr>
                <w:sz w:val="15"/>
              </w:rPr>
              <w:t>2017</w:t>
            </w:r>
          </w:p>
        </w:tc>
        <w:tc>
          <w:tcPr>
            <w:tcW w:w="412" w:type="pct"/>
          </w:tcPr>
          <w:p w14:paraId="67B5AC77" w14:textId="77777777" w:rsidR="00EB7374" w:rsidRPr="004572E2" w:rsidRDefault="00EB7374" w:rsidP="004572E2">
            <w:pPr>
              <w:keepNext/>
              <w:keepLines/>
              <w:jc w:val="right"/>
              <w:rPr>
                <w:sz w:val="15"/>
                <w:szCs w:val="15"/>
              </w:rPr>
            </w:pPr>
            <w:r w:rsidRPr="004572E2">
              <w:rPr>
                <w:sz w:val="15"/>
              </w:rPr>
              <w:t>2018</w:t>
            </w:r>
          </w:p>
        </w:tc>
        <w:tc>
          <w:tcPr>
            <w:tcW w:w="412" w:type="pct"/>
          </w:tcPr>
          <w:p w14:paraId="3FA63C4E" w14:textId="77777777" w:rsidR="00EB7374" w:rsidRPr="004572E2" w:rsidRDefault="00EB7374" w:rsidP="004572E2">
            <w:pPr>
              <w:keepNext/>
              <w:keepLines/>
              <w:jc w:val="right"/>
              <w:rPr>
                <w:sz w:val="15"/>
                <w:szCs w:val="15"/>
              </w:rPr>
            </w:pPr>
            <w:r w:rsidRPr="004572E2">
              <w:rPr>
                <w:sz w:val="15"/>
              </w:rPr>
              <w:t>2019</w:t>
            </w:r>
          </w:p>
        </w:tc>
        <w:tc>
          <w:tcPr>
            <w:tcW w:w="412" w:type="pct"/>
          </w:tcPr>
          <w:p w14:paraId="67644577" w14:textId="77777777" w:rsidR="00EB7374" w:rsidRPr="004572E2" w:rsidRDefault="00EB7374" w:rsidP="004572E2">
            <w:pPr>
              <w:keepNext/>
              <w:keepLines/>
              <w:jc w:val="right"/>
              <w:rPr>
                <w:sz w:val="15"/>
                <w:szCs w:val="15"/>
              </w:rPr>
            </w:pPr>
            <w:r w:rsidRPr="004572E2">
              <w:rPr>
                <w:sz w:val="15"/>
              </w:rPr>
              <w:t>2020</w:t>
            </w:r>
          </w:p>
        </w:tc>
        <w:tc>
          <w:tcPr>
            <w:tcW w:w="412" w:type="pct"/>
          </w:tcPr>
          <w:p w14:paraId="0CC9CADD" w14:textId="77777777" w:rsidR="00EB7374" w:rsidRPr="004572E2" w:rsidRDefault="00EB7374" w:rsidP="004572E2">
            <w:pPr>
              <w:keepNext/>
              <w:keepLines/>
              <w:jc w:val="right"/>
              <w:rPr>
                <w:sz w:val="15"/>
                <w:szCs w:val="15"/>
              </w:rPr>
            </w:pPr>
            <w:r w:rsidRPr="004572E2">
              <w:rPr>
                <w:sz w:val="15"/>
              </w:rPr>
              <w:t>2021</w:t>
            </w:r>
          </w:p>
        </w:tc>
      </w:tr>
      <w:tr w:rsidR="00EB7374" w:rsidRPr="004572E2" w14:paraId="35EF2927" w14:textId="77777777" w:rsidTr="00C700EB">
        <w:tc>
          <w:tcPr>
            <w:tcW w:w="5000" w:type="pct"/>
            <w:gridSpan w:val="8"/>
          </w:tcPr>
          <w:p w14:paraId="02133544" w14:textId="77777777" w:rsidR="00EB7374" w:rsidRPr="004572E2" w:rsidRDefault="00EB7374" w:rsidP="004572E2">
            <w:pPr>
              <w:keepNext/>
              <w:keepLines/>
              <w:jc w:val="left"/>
              <w:rPr>
                <w:sz w:val="15"/>
                <w:szCs w:val="15"/>
              </w:rPr>
            </w:pPr>
            <w:r w:rsidRPr="004572E2">
              <w:rPr>
                <w:b/>
                <w:sz w:val="15"/>
              </w:rPr>
              <w:t>Value of manufacturing exports (USD million)</w:t>
            </w:r>
          </w:p>
        </w:tc>
      </w:tr>
      <w:tr w:rsidR="00EB7374" w:rsidRPr="004572E2" w14:paraId="2BBE80BA" w14:textId="77777777" w:rsidTr="00C700EB">
        <w:trPr>
          <w:cnfStyle w:val="000000010000" w:firstRow="0" w:lastRow="0" w:firstColumn="0" w:lastColumn="0" w:oddVBand="0" w:evenVBand="0" w:oddHBand="0" w:evenHBand="1" w:firstRowFirstColumn="0" w:firstRowLastColumn="0" w:lastRowFirstColumn="0" w:lastRowLastColumn="0"/>
        </w:trPr>
        <w:tc>
          <w:tcPr>
            <w:tcW w:w="2116" w:type="pct"/>
          </w:tcPr>
          <w:p w14:paraId="330A8088" w14:textId="77777777" w:rsidR="00EB7374" w:rsidRPr="004572E2" w:rsidRDefault="00EB7374" w:rsidP="004572E2">
            <w:pPr>
              <w:jc w:val="left"/>
              <w:rPr>
                <w:sz w:val="15"/>
                <w:szCs w:val="15"/>
              </w:rPr>
            </w:pPr>
            <w:r w:rsidRPr="004572E2">
              <w:rPr>
                <w:sz w:val="15"/>
              </w:rPr>
              <w:t>Total exports</w:t>
            </w:r>
          </w:p>
        </w:tc>
        <w:tc>
          <w:tcPr>
            <w:tcW w:w="412" w:type="pct"/>
          </w:tcPr>
          <w:p w14:paraId="34F1B733" w14:textId="77777777" w:rsidR="00EB7374" w:rsidRPr="004572E2" w:rsidRDefault="00EB7374" w:rsidP="004572E2">
            <w:pPr>
              <w:ind w:left="-57"/>
              <w:jc w:val="right"/>
              <w:rPr>
                <w:sz w:val="15"/>
                <w:szCs w:val="15"/>
              </w:rPr>
            </w:pPr>
            <w:r w:rsidRPr="004572E2">
              <w:rPr>
                <w:sz w:val="15"/>
              </w:rPr>
              <w:t>6,726</w:t>
            </w:r>
          </w:p>
        </w:tc>
        <w:tc>
          <w:tcPr>
            <w:tcW w:w="412" w:type="pct"/>
          </w:tcPr>
          <w:p w14:paraId="380DF88B" w14:textId="77777777" w:rsidR="00EB7374" w:rsidRPr="004572E2" w:rsidRDefault="00EB7374" w:rsidP="004572E2">
            <w:pPr>
              <w:ind w:left="-57"/>
              <w:jc w:val="right"/>
              <w:rPr>
                <w:sz w:val="15"/>
                <w:szCs w:val="15"/>
              </w:rPr>
            </w:pPr>
            <w:r w:rsidRPr="004572E2">
              <w:rPr>
                <w:sz w:val="15"/>
              </w:rPr>
              <w:t>6,995</w:t>
            </w:r>
          </w:p>
        </w:tc>
        <w:tc>
          <w:tcPr>
            <w:tcW w:w="412" w:type="pct"/>
          </w:tcPr>
          <w:p w14:paraId="0B04BE3F" w14:textId="77777777" w:rsidR="00EB7374" w:rsidRPr="004572E2" w:rsidRDefault="00EB7374" w:rsidP="004572E2">
            <w:pPr>
              <w:ind w:left="-57"/>
              <w:jc w:val="right"/>
              <w:rPr>
                <w:sz w:val="15"/>
                <w:szCs w:val="15"/>
              </w:rPr>
            </w:pPr>
            <w:r w:rsidRPr="004572E2">
              <w:rPr>
                <w:sz w:val="15"/>
              </w:rPr>
              <w:t>7,497</w:t>
            </w:r>
          </w:p>
        </w:tc>
        <w:tc>
          <w:tcPr>
            <w:tcW w:w="412" w:type="pct"/>
          </w:tcPr>
          <w:p w14:paraId="500330E1" w14:textId="77777777" w:rsidR="00EB7374" w:rsidRPr="004572E2" w:rsidRDefault="00EB7374" w:rsidP="004572E2">
            <w:pPr>
              <w:ind w:left="-57"/>
              <w:jc w:val="right"/>
              <w:rPr>
                <w:sz w:val="15"/>
                <w:szCs w:val="15"/>
              </w:rPr>
            </w:pPr>
            <w:r w:rsidRPr="004572E2">
              <w:rPr>
                <w:sz w:val="15"/>
              </w:rPr>
              <w:t>7,802</w:t>
            </w:r>
          </w:p>
        </w:tc>
        <w:tc>
          <w:tcPr>
            <w:tcW w:w="412" w:type="pct"/>
          </w:tcPr>
          <w:p w14:paraId="25771835" w14:textId="77777777" w:rsidR="00EB7374" w:rsidRPr="004572E2" w:rsidRDefault="00EB7374" w:rsidP="004572E2">
            <w:pPr>
              <w:ind w:left="-57"/>
              <w:jc w:val="right"/>
              <w:rPr>
                <w:sz w:val="15"/>
                <w:szCs w:val="15"/>
              </w:rPr>
            </w:pPr>
            <w:r w:rsidRPr="004572E2">
              <w:rPr>
                <w:sz w:val="15"/>
              </w:rPr>
              <w:t>8,269</w:t>
            </w:r>
          </w:p>
        </w:tc>
        <w:tc>
          <w:tcPr>
            <w:tcW w:w="412" w:type="pct"/>
          </w:tcPr>
          <w:p w14:paraId="64E87561" w14:textId="77777777" w:rsidR="00EB7374" w:rsidRPr="004572E2" w:rsidRDefault="00EB7374" w:rsidP="004572E2">
            <w:pPr>
              <w:ind w:left="-57"/>
              <w:jc w:val="right"/>
              <w:rPr>
                <w:sz w:val="15"/>
                <w:szCs w:val="15"/>
              </w:rPr>
            </w:pPr>
            <w:r w:rsidRPr="004572E2">
              <w:rPr>
                <w:sz w:val="15"/>
              </w:rPr>
              <w:t>7,619</w:t>
            </w:r>
          </w:p>
        </w:tc>
        <w:tc>
          <w:tcPr>
            <w:tcW w:w="412" w:type="pct"/>
          </w:tcPr>
          <w:p w14:paraId="44EBF90F" w14:textId="77777777" w:rsidR="00EB7374" w:rsidRPr="004572E2" w:rsidRDefault="00EB7374" w:rsidP="004572E2">
            <w:pPr>
              <w:ind w:left="-57"/>
              <w:jc w:val="right"/>
              <w:rPr>
                <w:sz w:val="15"/>
                <w:szCs w:val="15"/>
              </w:rPr>
            </w:pPr>
            <w:r w:rsidRPr="004572E2">
              <w:rPr>
                <w:sz w:val="15"/>
              </w:rPr>
              <w:t>9,042</w:t>
            </w:r>
          </w:p>
        </w:tc>
      </w:tr>
      <w:tr w:rsidR="00EB7374" w:rsidRPr="004572E2" w14:paraId="1FADBB97" w14:textId="77777777" w:rsidTr="00C700EB">
        <w:tc>
          <w:tcPr>
            <w:tcW w:w="2116" w:type="pct"/>
          </w:tcPr>
          <w:p w14:paraId="465D35F6" w14:textId="77777777" w:rsidR="00EB7374" w:rsidRPr="004572E2" w:rsidRDefault="00EB7374" w:rsidP="004572E2">
            <w:pPr>
              <w:jc w:val="left"/>
              <w:rPr>
                <w:sz w:val="15"/>
                <w:szCs w:val="15"/>
              </w:rPr>
            </w:pPr>
            <w:r w:rsidRPr="004572E2">
              <w:rPr>
                <w:sz w:val="15"/>
              </w:rPr>
              <w:t>National regime and others</w:t>
            </w:r>
          </w:p>
        </w:tc>
        <w:tc>
          <w:tcPr>
            <w:tcW w:w="412" w:type="pct"/>
          </w:tcPr>
          <w:p w14:paraId="00EC08C5" w14:textId="77777777" w:rsidR="00EB7374" w:rsidRPr="004572E2" w:rsidRDefault="00EB7374" w:rsidP="004572E2">
            <w:pPr>
              <w:ind w:left="-57"/>
              <w:jc w:val="right"/>
              <w:rPr>
                <w:sz w:val="15"/>
                <w:szCs w:val="15"/>
              </w:rPr>
            </w:pPr>
            <w:r w:rsidRPr="004572E2">
              <w:rPr>
                <w:sz w:val="15"/>
              </w:rPr>
              <w:t>2,336</w:t>
            </w:r>
          </w:p>
        </w:tc>
        <w:tc>
          <w:tcPr>
            <w:tcW w:w="412" w:type="pct"/>
          </w:tcPr>
          <w:p w14:paraId="7A191E57" w14:textId="77777777" w:rsidR="00EB7374" w:rsidRPr="004572E2" w:rsidRDefault="00EB7374" w:rsidP="004572E2">
            <w:pPr>
              <w:ind w:left="-57"/>
              <w:jc w:val="right"/>
              <w:rPr>
                <w:sz w:val="15"/>
                <w:szCs w:val="15"/>
              </w:rPr>
            </w:pPr>
            <w:r w:rsidRPr="004572E2">
              <w:rPr>
                <w:sz w:val="15"/>
              </w:rPr>
              <w:t>2,653</w:t>
            </w:r>
          </w:p>
        </w:tc>
        <w:tc>
          <w:tcPr>
            <w:tcW w:w="412" w:type="pct"/>
          </w:tcPr>
          <w:p w14:paraId="30ADF953" w14:textId="77777777" w:rsidR="00EB7374" w:rsidRPr="004572E2" w:rsidRDefault="00EB7374" w:rsidP="004572E2">
            <w:pPr>
              <w:ind w:left="-57"/>
              <w:jc w:val="right"/>
              <w:rPr>
                <w:sz w:val="15"/>
                <w:szCs w:val="15"/>
              </w:rPr>
            </w:pPr>
            <w:r w:rsidRPr="004572E2">
              <w:rPr>
                <w:sz w:val="15"/>
              </w:rPr>
              <w:t>2,848</w:t>
            </w:r>
          </w:p>
        </w:tc>
        <w:tc>
          <w:tcPr>
            <w:tcW w:w="412" w:type="pct"/>
          </w:tcPr>
          <w:p w14:paraId="1D42C4FD" w14:textId="77777777" w:rsidR="00EB7374" w:rsidRPr="004572E2" w:rsidRDefault="00EB7374" w:rsidP="004572E2">
            <w:pPr>
              <w:ind w:left="-57"/>
              <w:jc w:val="right"/>
              <w:rPr>
                <w:sz w:val="15"/>
                <w:szCs w:val="15"/>
              </w:rPr>
            </w:pPr>
            <w:r w:rsidRPr="004572E2">
              <w:rPr>
                <w:sz w:val="15"/>
              </w:rPr>
              <w:t>2,878</w:t>
            </w:r>
          </w:p>
        </w:tc>
        <w:tc>
          <w:tcPr>
            <w:tcW w:w="412" w:type="pct"/>
          </w:tcPr>
          <w:p w14:paraId="258BDD9A" w14:textId="77777777" w:rsidR="00EB7374" w:rsidRPr="004572E2" w:rsidRDefault="00EB7374" w:rsidP="004572E2">
            <w:pPr>
              <w:ind w:left="-57"/>
              <w:jc w:val="right"/>
              <w:rPr>
                <w:sz w:val="15"/>
                <w:szCs w:val="15"/>
              </w:rPr>
            </w:pPr>
            <w:r w:rsidRPr="004572E2">
              <w:rPr>
                <w:sz w:val="15"/>
              </w:rPr>
              <w:t>3,182</w:t>
            </w:r>
          </w:p>
        </w:tc>
        <w:tc>
          <w:tcPr>
            <w:tcW w:w="412" w:type="pct"/>
          </w:tcPr>
          <w:p w14:paraId="01C11F90" w14:textId="77777777" w:rsidR="00EB7374" w:rsidRPr="004572E2" w:rsidRDefault="00EB7374" w:rsidP="004572E2">
            <w:pPr>
              <w:ind w:left="-57"/>
              <w:jc w:val="right"/>
              <w:rPr>
                <w:sz w:val="15"/>
                <w:szCs w:val="15"/>
              </w:rPr>
            </w:pPr>
            <w:r w:rsidRPr="004572E2">
              <w:rPr>
                <w:sz w:val="15"/>
              </w:rPr>
              <w:t>3,012</w:t>
            </w:r>
          </w:p>
        </w:tc>
        <w:tc>
          <w:tcPr>
            <w:tcW w:w="412" w:type="pct"/>
          </w:tcPr>
          <w:p w14:paraId="68E476C8" w14:textId="77777777" w:rsidR="00EB7374" w:rsidRPr="004572E2" w:rsidRDefault="00EB7374" w:rsidP="004572E2">
            <w:pPr>
              <w:ind w:left="-57"/>
              <w:jc w:val="right"/>
              <w:rPr>
                <w:sz w:val="15"/>
                <w:szCs w:val="15"/>
              </w:rPr>
            </w:pPr>
            <w:r w:rsidRPr="004572E2">
              <w:rPr>
                <w:sz w:val="15"/>
              </w:rPr>
              <w:t>3,505</w:t>
            </w:r>
          </w:p>
        </w:tc>
      </w:tr>
      <w:tr w:rsidR="00EB7374" w:rsidRPr="004572E2" w14:paraId="74E7B4FB" w14:textId="77777777" w:rsidTr="00C700EB">
        <w:trPr>
          <w:cnfStyle w:val="000000010000" w:firstRow="0" w:lastRow="0" w:firstColumn="0" w:lastColumn="0" w:oddVBand="0" w:evenVBand="0" w:oddHBand="0" w:evenHBand="1" w:firstRowFirstColumn="0" w:firstRowLastColumn="0" w:lastRowFirstColumn="0" w:lastRowLastColumn="0"/>
        </w:trPr>
        <w:tc>
          <w:tcPr>
            <w:tcW w:w="2116" w:type="pct"/>
          </w:tcPr>
          <w:p w14:paraId="67024DAB" w14:textId="77777777" w:rsidR="00EB7374" w:rsidRPr="004572E2" w:rsidRDefault="00EB7374" w:rsidP="004572E2">
            <w:pPr>
              <w:jc w:val="left"/>
              <w:rPr>
                <w:sz w:val="15"/>
                <w:szCs w:val="15"/>
              </w:rPr>
            </w:pPr>
            <w:r w:rsidRPr="004572E2">
              <w:rPr>
                <w:sz w:val="15"/>
              </w:rPr>
              <w:t>Free</w:t>
            </w:r>
            <w:r w:rsidRPr="004572E2">
              <w:rPr>
                <w:sz w:val="15"/>
              </w:rPr>
              <w:noBreakHyphen/>
              <w:t>zone regime</w:t>
            </w:r>
          </w:p>
        </w:tc>
        <w:tc>
          <w:tcPr>
            <w:tcW w:w="412" w:type="pct"/>
          </w:tcPr>
          <w:p w14:paraId="5E6A93B4" w14:textId="77777777" w:rsidR="00EB7374" w:rsidRPr="004572E2" w:rsidRDefault="00EB7374" w:rsidP="004572E2">
            <w:pPr>
              <w:ind w:left="-57"/>
              <w:jc w:val="right"/>
              <w:rPr>
                <w:sz w:val="15"/>
                <w:szCs w:val="15"/>
              </w:rPr>
            </w:pPr>
            <w:r w:rsidRPr="004572E2">
              <w:rPr>
                <w:sz w:val="15"/>
              </w:rPr>
              <w:t>4,391</w:t>
            </w:r>
          </w:p>
        </w:tc>
        <w:tc>
          <w:tcPr>
            <w:tcW w:w="412" w:type="pct"/>
          </w:tcPr>
          <w:p w14:paraId="39B14086" w14:textId="77777777" w:rsidR="00EB7374" w:rsidRPr="004572E2" w:rsidRDefault="00EB7374" w:rsidP="004572E2">
            <w:pPr>
              <w:ind w:left="-57"/>
              <w:jc w:val="right"/>
              <w:rPr>
                <w:sz w:val="15"/>
                <w:szCs w:val="15"/>
              </w:rPr>
            </w:pPr>
            <w:r w:rsidRPr="004572E2">
              <w:rPr>
                <w:sz w:val="15"/>
              </w:rPr>
              <w:t>4,342</w:t>
            </w:r>
          </w:p>
        </w:tc>
        <w:tc>
          <w:tcPr>
            <w:tcW w:w="412" w:type="pct"/>
          </w:tcPr>
          <w:p w14:paraId="6005303E" w14:textId="77777777" w:rsidR="00EB7374" w:rsidRPr="004572E2" w:rsidRDefault="00EB7374" w:rsidP="004572E2">
            <w:pPr>
              <w:ind w:left="-57"/>
              <w:jc w:val="right"/>
              <w:rPr>
                <w:sz w:val="15"/>
                <w:szCs w:val="15"/>
              </w:rPr>
            </w:pPr>
            <w:r w:rsidRPr="004572E2">
              <w:rPr>
                <w:sz w:val="15"/>
              </w:rPr>
              <w:t>4,649</w:t>
            </w:r>
          </w:p>
        </w:tc>
        <w:tc>
          <w:tcPr>
            <w:tcW w:w="412" w:type="pct"/>
          </w:tcPr>
          <w:p w14:paraId="42189304" w14:textId="77777777" w:rsidR="00EB7374" w:rsidRPr="004572E2" w:rsidRDefault="00EB7374" w:rsidP="004572E2">
            <w:pPr>
              <w:ind w:left="-57"/>
              <w:jc w:val="right"/>
              <w:rPr>
                <w:sz w:val="15"/>
                <w:szCs w:val="15"/>
              </w:rPr>
            </w:pPr>
            <w:r w:rsidRPr="004572E2">
              <w:rPr>
                <w:sz w:val="15"/>
              </w:rPr>
              <w:t>4,924</w:t>
            </w:r>
          </w:p>
        </w:tc>
        <w:tc>
          <w:tcPr>
            <w:tcW w:w="412" w:type="pct"/>
          </w:tcPr>
          <w:p w14:paraId="43CCC7C9" w14:textId="77777777" w:rsidR="00EB7374" w:rsidRPr="004572E2" w:rsidRDefault="00EB7374" w:rsidP="004572E2">
            <w:pPr>
              <w:ind w:left="-57"/>
              <w:jc w:val="right"/>
              <w:rPr>
                <w:sz w:val="15"/>
                <w:szCs w:val="15"/>
              </w:rPr>
            </w:pPr>
            <w:r w:rsidRPr="004572E2">
              <w:rPr>
                <w:sz w:val="15"/>
              </w:rPr>
              <w:t>5,087</w:t>
            </w:r>
          </w:p>
        </w:tc>
        <w:tc>
          <w:tcPr>
            <w:tcW w:w="412" w:type="pct"/>
          </w:tcPr>
          <w:p w14:paraId="221940DD" w14:textId="77777777" w:rsidR="00EB7374" w:rsidRPr="004572E2" w:rsidRDefault="00EB7374" w:rsidP="004572E2">
            <w:pPr>
              <w:ind w:left="-57"/>
              <w:jc w:val="right"/>
              <w:rPr>
                <w:sz w:val="15"/>
                <w:szCs w:val="15"/>
              </w:rPr>
            </w:pPr>
            <w:r w:rsidRPr="004572E2">
              <w:rPr>
                <w:sz w:val="15"/>
              </w:rPr>
              <w:t>4,606</w:t>
            </w:r>
          </w:p>
        </w:tc>
        <w:tc>
          <w:tcPr>
            <w:tcW w:w="412" w:type="pct"/>
          </w:tcPr>
          <w:p w14:paraId="3DDA25C4" w14:textId="77777777" w:rsidR="00EB7374" w:rsidRPr="004572E2" w:rsidRDefault="00EB7374" w:rsidP="004572E2">
            <w:pPr>
              <w:ind w:left="-57"/>
              <w:jc w:val="right"/>
              <w:rPr>
                <w:sz w:val="15"/>
                <w:szCs w:val="15"/>
              </w:rPr>
            </w:pPr>
            <w:r w:rsidRPr="004572E2">
              <w:rPr>
                <w:sz w:val="15"/>
              </w:rPr>
              <w:t>5,537</w:t>
            </w:r>
          </w:p>
        </w:tc>
      </w:tr>
      <w:tr w:rsidR="00EB7374" w:rsidRPr="004572E2" w14:paraId="21A0928D" w14:textId="77777777" w:rsidTr="00C700EB">
        <w:tc>
          <w:tcPr>
            <w:tcW w:w="5000" w:type="pct"/>
            <w:gridSpan w:val="8"/>
          </w:tcPr>
          <w:p w14:paraId="7816E6C9" w14:textId="77777777" w:rsidR="00EB7374" w:rsidRPr="004572E2" w:rsidRDefault="00EB7374" w:rsidP="004572E2">
            <w:pPr>
              <w:ind w:left="-57"/>
              <w:jc w:val="left"/>
              <w:rPr>
                <w:sz w:val="15"/>
                <w:szCs w:val="15"/>
              </w:rPr>
            </w:pPr>
            <w:r w:rsidRPr="004572E2">
              <w:rPr>
                <w:b/>
                <w:sz w:val="15"/>
              </w:rPr>
              <w:t>Manufacturing exports' share of total exports, by customs regime (%)</w:t>
            </w:r>
          </w:p>
        </w:tc>
      </w:tr>
      <w:tr w:rsidR="00EB7374" w:rsidRPr="004572E2" w14:paraId="48544E0F" w14:textId="77777777" w:rsidTr="00C700EB">
        <w:trPr>
          <w:cnfStyle w:val="000000010000" w:firstRow="0" w:lastRow="0" w:firstColumn="0" w:lastColumn="0" w:oddVBand="0" w:evenVBand="0" w:oddHBand="0" w:evenHBand="1" w:firstRowFirstColumn="0" w:firstRowLastColumn="0" w:lastRowFirstColumn="0" w:lastRowLastColumn="0"/>
        </w:trPr>
        <w:tc>
          <w:tcPr>
            <w:tcW w:w="2116" w:type="pct"/>
          </w:tcPr>
          <w:p w14:paraId="2822E37F" w14:textId="77777777" w:rsidR="00EB7374" w:rsidRPr="004572E2" w:rsidRDefault="00EB7374" w:rsidP="004572E2">
            <w:pPr>
              <w:jc w:val="left"/>
              <w:rPr>
                <w:sz w:val="15"/>
                <w:szCs w:val="15"/>
              </w:rPr>
            </w:pPr>
            <w:r w:rsidRPr="004572E2">
              <w:rPr>
                <w:sz w:val="15"/>
              </w:rPr>
              <w:t>Total exports</w:t>
            </w:r>
          </w:p>
        </w:tc>
        <w:tc>
          <w:tcPr>
            <w:tcW w:w="412" w:type="pct"/>
          </w:tcPr>
          <w:p w14:paraId="5D7E426C" w14:textId="77777777" w:rsidR="00EB7374" w:rsidRPr="004572E2" w:rsidRDefault="00EB7374" w:rsidP="004572E2">
            <w:pPr>
              <w:ind w:left="-57"/>
              <w:jc w:val="right"/>
              <w:rPr>
                <w:sz w:val="15"/>
                <w:szCs w:val="15"/>
              </w:rPr>
            </w:pPr>
            <w:r w:rsidRPr="004572E2">
              <w:rPr>
                <w:sz w:val="15"/>
              </w:rPr>
              <w:t>71.6</w:t>
            </w:r>
          </w:p>
        </w:tc>
        <w:tc>
          <w:tcPr>
            <w:tcW w:w="412" w:type="pct"/>
          </w:tcPr>
          <w:p w14:paraId="4FC7076B" w14:textId="77777777" w:rsidR="00EB7374" w:rsidRPr="004572E2" w:rsidRDefault="00EB7374" w:rsidP="004572E2">
            <w:pPr>
              <w:ind w:left="-57"/>
              <w:jc w:val="right"/>
              <w:rPr>
                <w:sz w:val="15"/>
                <w:szCs w:val="15"/>
              </w:rPr>
            </w:pPr>
            <w:r w:rsidRPr="004572E2">
              <w:rPr>
                <w:sz w:val="15"/>
              </w:rPr>
              <w:t>71.5</w:t>
            </w:r>
          </w:p>
        </w:tc>
        <w:tc>
          <w:tcPr>
            <w:tcW w:w="412" w:type="pct"/>
          </w:tcPr>
          <w:p w14:paraId="21747A13" w14:textId="77777777" w:rsidR="00EB7374" w:rsidRPr="004572E2" w:rsidRDefault="00EB7374" w:rsidP="004572E2">
            <w:pPr>
              <w:ind w:left="-57"/>
              <w:jc w:val="right"/>
              <w:rPr>
                <w:sz w:val="15"/>
                <w:szCs w:val="15"/>
              </w:rPr>
            </w:pPr>
            <w:r w:rsidRPr="004572E2">
              <w:rPr>
                <w:sz w:val="15"/>
              </w:rPr>
              <w:t>73.3</w:t>
            </w:r>
          </w:p>
        </w:tc>
        <w:tc>
          <w:tcPr>
            <w:tcW w:w="412" w:type="pct"/>
          </w:tcPr>
          <w:p w14:paraId="0C7BFB74" w14:textId="77777777" w:rsidR="00EB7374" w:rsidRPr="004572E2" w:rsidRDefault="00EB7374" w:rsidP="004572E2">
            <w:pPr>
              <w:ind w:left="-57"/>
              <w:jc w:val="right"/>
              <w:rPr>
                <w:sz w:val="15"/>
                <w:szCs w:val="15"/>
              </w:rPr>
            </w:pPr>
            <w:r w:rsidRPr="004572E2">
              <w:rPr>
                <w:sz w:val="15"/>
              </w:rPr>
              <w:t>72.5</w:t>
            </w:r>
          </w:p>
        </w:tc>
        <w:tc>
          <w:tcPr>
            <w:tcW w:w="412" w:type="pct"/>
          </w:tcPr>
          <w:p w14:paraId="0B6A4EBC" w14:textId="77777777" w:rsidR="00EB7374" w:rsidRPr="004572E2" w:rsidRDefault="00EB7374" w:rsidP="004572E2">
            <w:pPr>
              <w:ind w:left="-57"/>
              <w:jc w:val="right"/>
              <w:rPr>
                <w:sz w:val="15"/>
                <w:szCs w:val="15"/>
              </w:rPr>
            </w:pPr>
            <w:r w:rsidRPr="004572E2">
              <w:rPr>
                <w:sz w:val="15"/>
              </w:rPr>
              <w:t>73.3</w:t>
            </w:r>
          </w:p>
        </w:tc>
        <w:tc>
          <w:tcPr>
            <w:tcW w:w="412" w:type="pct"/>
          </w:tcPr>
          <w:p w14:paraId="085B419D" w14:textId="77777777" w:rsidR="00EB7374" w:rsidRPr="004572E2" w:rsidRDefault="00EB7374" w:rsidP="004572E2">
            <w:pPr>
              <w:ind w:left="-57"/>
              <w:jc w:val="right"/>
              <w:rPr>
                <w:sz w:val="15"/>
                <w:szCs w:val="15"/>
              </w:rPr>
            </w:pPr>
            <w:r w:rsidRPr="004572E2">
              <w:rPr>
                <w:sz w:val="15"/>
              </w:rPr>
              <w:t>77.3</w:t>
            </w:r>
          </w:p>
        </w:tc>
        <w:tc>
          <w:tcPr>
            <w:tcW w:w="412" w:type="pct"/>
          </w:tcPr>
          <w:p w14:paraId="2FF0EA2B" w14:textId="77777777" w:rsidR="00EB7374" w:rsidRPr="004572E2" w:rsidRDefault="00EB7374" w:rsidP="004572E2">
            <w:pPr>
              <w:ind w:left="-57"/>
              <w:jc w:val="right"/>
              <w:rPr>
                <w:sz w:val="15"/>
                <w:szCs w:val="15"/>
              </w:rPr>
            </w:pPr>
            <w:r w:rsidRPr="004572E2">
              <w:rPr>
                <w:sz w:val="15"/>
              </w:rPr>
              <w:t>76.4</w:t>
            </w:r>
          </w:p>
        </w:tc>
      </w:tr>
      <w:tr w:rsidR="00EB7374" w:rsidRPr="004572E2" w14:paraId="5EB69B18" w14:textId="77777777" w:rsidTr="00C700EB">
        <w:tc>
          <w:tcPr>
            <w:tcW w:w="2116" w:type="pct"/>
          </w:tcPr>
          <w:p w14:paraId="65437881" w14:textId="77777777" w:rsidR="00EB7374" w:rsidRPr="004572E2" w:rsidRDefault="00EB7374" w:rsidP="004572E2">
            <w:pPr>
              <w:jc w:val="left"/>
              <w:rPr>
                <w:sz w:val="15"/>
                <w:szCs w:val="15"/>
              </w:rPr>
            </w:pPr>
            <w:r w:rsidRPr="004572E2">
              <w:rPr>
                <w:sz w:val="15"/>
              </w:rPr>
              <w:t>National regime and others</w:t>
            </w:r>
          </w:p>
        </w:tc>
        <w:tc>
          <w:tcPr>
            <w:tcW w:w="412" w:type="pct"/>
          </w:tcPr>
          <w:p w14:paraId="6872CBA5" w14:textId="77777777" w:rsidR="00EB7374" w:rsidRPr="004572E2" w:rsidRDefault="00EB7374" w:rsidP="004572E2">
            <w:pPr>
              <w:ind w:left="-57"/>
              <w:jc w:val="right"/>
              <w:rPr>
                <w:sz w:val="15"/>
                <w:szCs w:val="15"/>
              </w:rPr>
            </w:pPr>
            <w:r w:rsidRPr="004572E2">
              <w:rPr>
                <w:sz w:val="15"/>
              </w:rPr>
              <w:t>58.5</w:t>
            </w:r>
          </w:p>
        </w:tc>
        <w:tc>
          <w:tcPr>
            <w:tcW w:w="412" w:type="pct"/>
          </w:tcPr>
          <w:p w14:paraId="16FB7088" w14:textId="77777777" w:rsidR="00EB7374" w:rsidRPr="004572E2" w:rsidRDefault="00EB7374" w:rsidP="004572E2">
            <w:pPr>
              <w:ind w:left="-57"/>
              <w:jc w:val="right"/>
              <w:rPr>
                <w:sz w:val="15"/>
                <w:szCs w:val="15"/>
              </w:rPr>
            </w:pPr>
            <w:r w:rsidRPr="004572E2">
              <w:rPr>
                <w:sz w:val="15"/>
              </w:rPr>
              <w:t>60.3</w:t>
            </w:r>
          </w:p>
        </w:tc>
        <w:tc>
          <w:tcPr>
            <w:tcW w:w="412" w:type="pct"/>
          </w:tcPr>
          <w:p w14:paraId="4718C0FC" w14:textId="77777777" w:rsidR="00EB7374" w:rsidRPr="004572E2" w:rsidRDefault="00EB7374" w:rsidP="004572E2">
            <w:pPr>
              <w:ind w:left="-57"/>
              <w:jc w:val="right"/>
              <w:rPr>
                <w:sz w:val="15"/>
                <w:szCs w:val="15"/>
              </w:rPr>
            </w:pPr>
            <w:r w:rsidRPr="004572E2">
              <w:rPr>
                <w:sz w:val="15"/>
              </w:rPr>
              <w:t>64.1</w:t>
            </w:r>
          </w:p>
        </w:tc>
        <w:tc>
          <w:tcPr>
            <w:tcW w:w="412" w:type="pct"/>
          </w:tcPr>
          <w:p w14:paraId="1BB06A80" w14:textId="77777777" w:rsidR="00EB7374" w:rsidRPr="004572E2" w:rsidRDefault="00EB7374" w:rsidP="004572E2">
            <w:pPr>
              <w:ind w:left="-57"/>
              <w:jc w:val="right"/>
              <w:rPr>
                <w:sz w:val="15"/>
                <w:szCs w:val="15"/>
              </w:rPr>
            </w:pPr>
            <w:r w:rsidRPr="004572E2">
              <w:rPr>
                <w:sz w:val="15"/>
              </w:rPr>
              <w:t>62.4</w:t>
            </w:r>
          </w:p>
        </w:tc>
        <w:tc>
          <w:tcPr>
            <w:tcW w:w="412" w:type="pct"/>
          </w:tcPr>
          <w:p w14:paraId="59F27A01" w14:textId="77777777" w:rsidR="00EB7374" w:rsidRPr="004572E2" w:rsidRDefault="00EB7374" w:rsidP="004572E2">
            <w:pPr>
              <w:ind w:left="-57"/>
              <w:jc w:val="right"/>
              <w:rPr>
                <w:sz w:val="15"/>
                <w:szCs w:val="15"/>
              </w:rPr>
            </w:pPr>
            <w:r w:rsidRPr="004572E2">
              <w:rPr>
                <w:sz w:val="15"/>
              </w:rPr>
              <w:t>64.5</w:t>
            </w:r>
          </w:p>
        </w:tc>
        <w:tc>
          <w:tcPr>
            <w:tcW w:w="412" w:type="pct"/>
          </w:tcPr>
          <w:p w14:paraId="463F5978" w14:textId="77777777" w:rsidR="00EB7374" w:rsidRPr="004572E2" w:rsidRDefault="00EB7374" w:rsidP="004572E2">
            <w:pPr>
              <w:ind w:left="-57"/>
              <w:jc w:val="right"/>
              <w:rPr>
                <w:sz w:val="15"/>
                <w:szCs w:val="15"/>
              </w:rPr>
            </w:pPr>
            <w:r w:rsidRPr="004572E2">
              <w:rPr>
                <w:sz w:val="15"/>
              </w:rPr>
              <w:t>74.8</w:t>
            </w:r>
          </w:p>
        </w:tc>
        <w:tc>
          <w:tcPr>
            <w:tcW w:w="412" w:type="pct"/>
          </w:tcPr>
          <w:p w14:paraId="07583A06" w14:textId="77777777" w:rsidR="00EB7374" w:rsidRPr="004572E2" w:rsidRDefault="00EB7374" w:rsidP="004572E2">
            <w:pPr>
              <w:ind w:left="-57"/>
              <w:jc w:val="right"/>
              <w:rPr>
                <w:sz w:val="15"/>
                <w:szCs w:val="15"/>
              </w:rPr>
            </w:pPr>
            <w:r w:rsidRPr="004572E2">
              <w:rPr>
                <w:sz w:val="15"/>
              </w:rPr>
              <w:t>74.8</w:t>
            </w:r>
          </w:p>
        </w:tc>
      </w:tr>
      <w:tr w:rsidR="00EB7374" w:rsidRPr="004572E2" w14:paraId="74B460CA" w14:textId="77777777" w:rsidTr="00C700EB">
        <w:trPr>
          <w:cnfStyle w:val="000000010000" w:firstRow="0" w:lastRow="0" w:firstColumn="0" w:lastColumn="0" w:oddVBand="0" w:evenVBand="0" w:oddHBand="0" w:evenHBand="1" w:firstRowFirstColumn="0" w:firstRowLastColumn="0" w:lastRowFirstColumn="0" w:lastRowLastColumn="0"/>
        </w:trPr>
        <w:tc>
          <w:tcPr>
            <w:tcW w:w="2116" w:type="pct"/>
          </w:tcPr>
          <w:p w14:paraId="1E68DA49" w14:textId="77777777" w:rsidR="00EB7374" w:rsidRPr="004572E2" w:rsidRDefault="00EB7374" w:rsidP="004572E2">
            <w:pPr>
              <w:jc w:val="left"/>
              <w:rPr>
                <w:sz w:val="15"/>
                <w:szCs w:val="15"/>
              </w:rPr>
            </w:pPr>
            <w:r w:rsidRPr="004572E2">
              <w:rPr>
                <w:sz w:val="15"/>
              </w:rPr>
              <w:t>Free</w:t>
            </w:r>
            <w:r w:rsidRPr="004572E2">
              <w:rPr>
                <w:sz w:val="15"/>
              </w:rPr>
              <w:noBreakHyphen/>
              <w:t>zone regime</w:t>
            </w:r>
          </w:p>
        </w:tc>
        <w:tc>
          <w:tcPr>
            <w:tcW w:w="412" w:type="pct"/>
          </w:tcPr>
          <w:p w14:paraId="378AF1F2" w14:textId="77777777" w:rsidR="00EB7374" w:rsidRPr="004572E2" w:rsidRDefault="00EB7374" w:rsidP="004572E2">
            <w:pPr>
              <w:ind w:left="-57"/>
              <w:jc w:val="right"/>
              <w:rPr>
                <w:sz w:val="15"/>
                <w:szCs w:val="15"/>
              </w:rPr>
            </w:pPr>
            <w:r w:rsidRPr="004572E2">
              <w:rPr>
                <w:sz w:val="15"/>
              </w:rPr>
              <w:t>81.4</w:t>
            </w:r>
          </w:p>
        </w:tc>
        <w:tc>
          <w:tcPr>
            <w:tcW w:w="412" w:type="pct"/>
          </w:tcPr>
          <w:p w14:paraId="68709911" w14:textId="77777777" w:rsidR="00EB7374" w:rsidRPr="004572E2" w:rsidRDefault="00EB7374" w:rsidP="004572E2">
            <w:pPr>
              <w:ind w:left="-57"/>
              <w:jc w:val="right"/>
              <w:rPr>
                <w:sz w:val="15"/>
                <w:szCs w:val="15"/>
              </w:rPr>
            </w:pPr>
            <w:r w:rsidRPr="004572E2">
              <w:rPr>
                <w:sz w:val="15"/>
              </w:rPr>
              <w:t>80.6</w:t>
            </w:r>
          </w:p>
        </w:tc>
        <w:tc>
          <w:tcPr>
            <w:tcW w:w="412" w:type="pct"/>
          </w:tcPr>
          <w:p w14:paraId="42AD1E4E" w14:textId="77777777" w:rsidR="00EB7374" w:rsidRPr="004572E2" w:rsidRDefault="00EB7374" w:rsidP="004572E2">
            <w:pPr>
              <w:ind w:left="-57"/>
              <w:jc w:val="right"/>
              <w:rPr>
                <w:sz w:val="15"/>
                <w:szCs w:val="15"/>
              </w:rPr>
            </w:pPr>
            <w:r w:rsidRPr="004572E2">
              <w:rPr>
                <w:sz w:val="15"/>
              </w:rPr>
              <w:t>80.4</w:t>
            </w:r>
          </w:p>
        </w:tc>
        <w:tc>
          <w:tcPr>
            <w:tcW w:w="412" w:type="pct"/>
          </w:tcPr>
          <w:p w14:paraId="06707D37" w14:textId="77777777" w:rsidR="00EB7374" w:rsidRPr="004572E2" w:rsidRDefault="00EB7374" w:rsidP="004572E2">
            <w:pPr>
              <w:ind w:left="-57"/>
              <w:jc w:val="right"/>
              <w:rPr>
                <w:sz w:val="15"/>
                <w:szCs w:val="15"/>
              </w:rPr>
            </w:pPr>
            <w:r w:rsidRPr="004572E2">
              <w:rPr>
                <w:sz w:val="15"/>
              </w:rPr>
              <w:t>80.1</w:t>
            </w:r>
          </w:p>
        </w:tc>
        <w:tc>
          <w:tcPr>
            <w:tcW w:w="412" w:type="pct"/>
          </w:tcPr>
          <w:p w14:paraId="24806985" w14:textId="77777777" w:rsidR="00EB7374" w:rsidRPr="004572E2" w:rsidRDefault="00EB7374" w:rsidP="004572E2">
            <w:pPr>
              <w:ind w:left="-57"/>
              <w:jc w:val="right"/>
              <w:rPr>
                <w:sz w:val="15"/>
                <w:szCs w:val="15"/>
              </w:rPr>
            </w:pPr>
            <w:r w:rsidRPr="004572E2">
              <w:rPr>
                <w:sz w:val="15"/>
              </w:rPr>
              <w:t>80.1</w:t>
            </w:r>
          </w:p>
        </w:tc>
        <w:tc>
          <w:tcPr>
            <w:tcW w:w="412" w:type="pct"/>
          </w:tcPr>
          <w:p w14:paraId="6D5CD22E" w14:textId="77777777" w:rsidR="00EB7374" w:rsidRPr="004572E2" w:rsidRDefault="00EB7374" w:rsidP="004572E2">
            <w:pPr>
              <w:ind w:left="-57"/>
              <w:jc w:val="right"/>
              <w:rPr>
                <w:sz w:val="15"/>
                <w:szCs w:val="15"/>
              </w:rPr>
            </w:pPr>
            <w:r w:rsidRPr="004572E2">
              <w:rPr>
                <w:sz w:val="15"/>
              </w:rPr>
              <w:t>79.0</w:t>
            </w:r>
          </w:p>
        </w:tc>
        <w:tc>
          <w:tcPr>
            <w:tcW w:w="412" w:type="pct"/>
          </w:tcPr>
          <w:p w14:paraId="1CF817C3" w14:textId="77777777" w:rsidR="00EB7374" w:rsidRPr="004572E2" w:rsidRDefault="00EB7374" w:rsidP="004572E2">
            <w:pPr>
              <w:ind w:left="-57"/>
              <w:jc w:val="right"/>
              <w:rPr>
                <w:sz w:val="15"/>
                <w:szCs w:val="15"/>
              </w:rPr>
            </w:pPr>
            <w:r w:rsidRPr="004572E2">
              <w:rPr>
                <w:sz w:val="15"/>
              </w:rPr>
              <w:t>77.5</w:t>
            </w:r>
          </w:p>
        </w:tc>
      </w:tr>
      <w:tr w:rsidR="00EB7374" w:rsidRPr="004572E2" w14:paraId="4FFAFB72" w14:textId="77777777" w:rsidTr="00C700EB">
        <w:tc>
          <w:tcPr>
            <w:tcW w:w="5000" w:type="pct"/>
            <w:gridSpan w:val="8"/>
          </w:tcPr>
          <w:p w14:paraId="46F21420" w14:textId="77777777" w:rsidR="00EB7374" w:rsidRPr="004572E2" w:rsidRDefault="00EB7374" w:rsidP="004572E2">
            <w:pPr>
              <w:keepNext/>
              <w:keepLines/>
              <w:ind w:left="-57"/>
              <w:jc w:val="left"/>
              <w:rPr>
                <w:sz w:val="15"/>
                <w:szCs w:val="15"/>
              </w:rPr>
            </w:pPr>
            <w:r w:rsidRPr="004572E2">
              <w:rPr>
                <w:b/>
                <w:sz w:val="15"/>
              </w:rPr>
              <w:t>Main manufacturing exports under the national regime and others (%)</w:t>
            </w:r>
          </w:p>
        </w:tc>
      </w:tr>
      <w:tr w:rsidR="00EB7374" w:rsidRPr="004572E2" w14:paraId="62F417C5" w14:textId="77777777" w:rsidTr="00C700EB">
        <w:trPr>
          <w:cnfStyle w:val="000000010000" w:firstRow="0" w:lastRow="0" w:firstColumn="0" w:lastColumn="0" w:oddVBand="0" w:evenVBand="0" w:oddHBand="0" w:evenHBand="1" w:firstRowFirstColumn="0" w:firstRowLastColumn="0" w:lastRowFirstColumn="0" w:lastRowLastColumn="0"/>
        </w:trPr>
        <w:tc>
          <w:tcPr>
            <w:tcW w:w="2116" w:type="pct"/>
          </w:tcPr>
          <w:p w14:paraId="6A8D2CDD" w14:textId="77777777" w:rsidR="00EB7374" w:rsidRPr="004572E2" w:rsidRDefault="00EB7374" w:rsidP="004572E2">
            <w:pPr>
              <w:jc w:val="left"/>
              <w:rPr>
                <w:sz w:val="15"/>
                <w:szCs w:val="15"/>
              </w:rPr>
            </w:pPr>
            <w:r w:rsidRPr="004572E2">
              <w:rPr>
                <w:sz w:val="15"/>
              </w:rPr>
              <w:t>71. Pearls, precious stones and precious metals</w:t>
            </w:r>
          </w:p>
        </w:tc>
        <w:tc>
          <w:tcPr>
            <w:tcW w:w="412" w:type="pct"/>
          </w:tcPr>
          <w:p w14:paraId="44FEFC11" w14:textId="77777777" w:rsidR="00EB7374" w:rsidRPr="004572E2" w:rsidRDefault="00EB7374" w:rsidP="004572E2">
            <w:pPr>
              <w:ind w:left="-57"/>
              <w:jc w:val="right"/>
              <w:rPr>
                <w:sz w:val="15"/>
                <w:szCs w:val="15"/>
              </w:rPr>
            </w:pPr>
            <w:r w:rsidRPr="004572E2">
              <w:rPr>
                <w:sz w:val="15"/>
              </w:rPr>
              <w:t>54.8</w:t>
            </w:r>
          </w:p>
        </w:tc>
        <w:tc>
          <w:tcPr>
            <w:tcW w:w="412" w:type="pct"/>
          </w:tcPr>
          <w:p w14:paraId="0518F398" w14:textId="77777777" w:rsidR="00EB7374" w:rsidRPr="004572E2" w:rsidRDefault="00EB7374" w:rsidP="004572E2">
            <w:pPr>
              <w:ind w:left="-57"/>
              <w:jc w:val="right"/>
              <w:rPr>
                <w:sz w:val="15"/>
                <w:szCs w:val="15"/>
              </w:rPr>
            </w:pPr>
            <w:r w:rsidRPr="004572E2">
              <w:rPr>
                <w:sz w:val="15"/>
              </w:rPr>
              <w:t>61.7</w:t>
            </w:r>
          </w:p>
        </w:tc>
        <w:tc>
          <w:tcPr>
            <w:tcW w:w="412" w:type="pct"/>
          </w:tcPr>
          <w:p w14:paraId="2945B269" w14:textId="77777777" w:rsidR="00EB7374" w:rsidRPr="004572E2" w:rsidRDefault="00EB7374" w:rsidP="004572E2">
            <w:pPr>
              <w:ind w:left="-57"/>
              <w:jc w:val="right"/>
              <w:rPr>
                <w:sz w:val="15"/>
                <w:szCs w:val="15"/>
              </w:rPr>
            </w:pPr>
            <w:r w:rsidRPr="004572E2">
              <w:rPr>
                <w:sz w:val="15"/>
              </w:rPr>
              <w:t>53.9</w:t>
            </w:r>
          </w:p>
        </w:tc>
        <w:tc>
          <w:tcPr>
            <w:tcW w:w="412" w:type="pct"/>
          </w:tcPr>
          <w:p w14:paraId="71DA35B7" w14:textId="77777777" w:rsidR="00EB7374" w:rsidRPr="004572E2" w:rsidRDefault="00EB7374" w:rsidP="004572E2">
            <w:pPr>
              <w:ind w:left="-57"/>
              <w:jc w:val="right"/>
              <w:rPr>
                <w:sz w:val="15"/>
                <w:szCs w:val="15"/>
              </w:rPr>
            </w:pPr>
            <w:r w:rsidRPr="004572E2">
              <w:rPr>
                <w:sz w:val="15"/>
              </w:rPr>
              <w:t>50.2</w:t>
            </w:r>
          </w:p>
        </w:tc>
        <w:tc>
          <w:tcPr>
            <w:tcW w:w="412" w:type="pct"/>
          </w:tcPr>
          <w:p w14:paraId="5B4BA9EF" w14:textId="77777777" w:rsidR="00EB7374" w:rsidRPr="004572E2" w:rsidRDefault="00EB7374" w:rsidP="004572E2">
            <w:pPr>
              <w:ind w:left="-57"/>
              <w:jc w:val="right"/>
              <w:rPr>
                <w:sz w:val="15"/>
                <w:szCs w:val="15"/>
              </w:rPr>
            </w:pPr>
            <w:r w:rsidRPr="004572E2">
              <w:rPr>
                <w:sz w:val="15"/>
              </w:rPr>
              <w:t>50.9</w:t>
            </w:r>
          </w:p>
        </w:tc>
        <w:tc>
          <w:tcPr>
            <w:tcW w:w="412" w:type="pct"/>
          </w:tcPr>
          <w:p w14:paraId="00C32ACB" w14:textId="77777777" w:rsidR="00EB7374" w:rsidRPr="004572E2" w:rsidRDefault="00EB7374" w:rsidP="004572E2">
            <w:pPr>
              <w:ind w:left="-57"/>
              <w:jc w:val="right"/>
              <w:rPr>
                <w:sz w:val="15"/>
                <w:szCs w:val="15"/>
              </w:rPr>
            </w:pPr>
            <w:r w:rsidRPr="004572E2">
              <w:rPr>
                <w:sz w:val="15"/>
              </w:rPr>
              <w:t>58.6</w:t>
            </w:r>
          </w:p>
        </w:tc>
        <w:tc>
          <w:tcPr>
            <w:tcW w:w="412" w:type="pct"/>
          </w:tcPr>
          <w:p w14:paraId="5A4D4F9D" w14:textId="77777777" w:rsidR="00EB7374" w:rsidRPr="004572E2" w:rsidRDefault="00EB7374" w:rsidP="004572E2">
            <w:pPr>
              <w:ind w:left="-57"/>
              <w:jc w:val="right"/>
              <w:rPr>
                <w:sz w:val="15"/>
                <w:szCs w:val="15"/>
              </w:rPr>
            </w:pPr>
            <w:r w:rsidRPr="004572E2">
              <w:rPr>
                <w:sz w:val="15"/>
              </w:rPr>
              <w:t>50.9</w:t>
            </w:r>
          </w:p>
        </w:tc>
      </w:tr>
      <w:tr w:rsidR="00EB7374" w:rsidRPr="004572E2" w14:paraId="65E3E8D7" w14:textId="77777777" w:rsidTr="00C700EB">
        <w:tc>
          <w:tcPr>
            <w:tcW w:w="2116" w:type="pct"/>
          </w:tcPr>
          <w:p w14:paraId="4940CEC9" w14:textId="77777777" w:rsidR="00EB7374" w:rsidRPr="004572E2" w:rsidRDefault="00EB7374" w:rsidP="004572E2">
            <w:pPr>
              <w:jc w:val="left"/>
              <w:rPr>
                <w:sz w:val="15"/>
                <w:szCs w:val="15"/>
              </w:rPr>
            </w:pPr>
            <w:r w:rsidRPr="004572E2">
              <w:rPr>
                <w:sz w:val="15"/>
              </w:rPr>
              <w:t>72. Iron and steel</w:t>
            </w:r>
          </w:p>
        </w:tc>
        <w:tc>
          <w:tcPr>
            <w:tcW w:w="412" w:type="pct"/>
          </w:tcPr>
          <w:p w14:paraId="5649D647" w14:textId="77777777" w:rsidR="00EB7374" w:rsidRPr="004572E2" w:rsidRDefault="00EB7374" w:rsidP="004572E2">
            <w:pPr>
              <w:ind w:left="-57"/>
              <w:jc w:val="right"/>
              <w:rPr>
                <w:sz w:val="15"/>
                <w:szCs w:val="15"/>
              </w:rPr>
            </w:pPr>
            <w:r w:rsidRPr="004572E2">
              <w:rPr>
                <w:sz w:val="15"/>
              </w:rPr>
              <w:t>5.6</w:t>
            </w:r>
          </w:p>
        </w:tc>
        <w:tc>
          <w:tcPr>
            <w:tcW w:w="412" w:type="pct"/>
          </w:tcPr>
          <w:p w14:paraId="69AE32CA" w14:textId="77777777" w:rsidR="00EB7374" w:rsidRPr="004572E2" w:rsidRDefault="00EB7374" w:rsidP="004572E2">
            <w:pPr>
              <w:ind w:left="-57"/>
              <w:jc w:val="right"/>
              <w:rPr>
                <w:sz w:val="15"/>
                <w:szCs w:val="15"/>
              </w:rPr>
            </w:pPr>
            <w:r w:rsidRPr="004572E2">
              <w:rPr>
                <w:sz w:val="15"/>
              </w:rPr>
              <w:t>6.8</w:t>
            </w:r>
          </w:p>
        </w:tc>
        <w:tc>
          <w:tcPr>
            <w:tcW w:w="412" w:type="pct"/>
          </w:tcPr>
          <w:p w14:paraId="5ADF56C8" w14:textId="77777777" w:rsidR="00EB7374" w:rsidRPr="004572E2" w:rsidRDefault="00EB7374" w:rsidP="004572E2">
            <w:pPr>
              <w:ind w:left="-57"/>
              <w:jc w:val="right"/>
              <w:rPr>
                <w:sz w:val="15"/>
                <w:szCs w:val="15"/>
              </w:rPr>
            </w:pPr>
            <w:r w:rsidRPr="004572E2">
              <w:rPr>
                <w:sz w:val="15"/>
              </w:rPr>
              <w:t>10.1</w:t>
            </w:r>
          </w:p>
        </w:tc>
        <w:tc>
          <w:tcPr>
            <w:tcW w:w="412" w:type="pct"/>
          </w:tcPr>
          <w:p w14:paraId="451129F9" w14:textId="77777777" w:rsidR="00EB7374" w:rsidRPr="004572E2" w:rsidRDefault="00EB7374" w:rsidP="004572E2">
            <w:pPr>
              <w:ind w:left="-57"/>
              <w:jc w:val="right"/>
              <w:rPr>
                <w:sz w:val="15"/>
                <w:szCs w:val="15"/>
              </w:rPr>
            </w:pPr>
            <w:r w:rsidRPr="004572E2">
              <w:rPr>
                <w:sz w:val="15"/>
              </w:rPr>
              <w:t>13.5</w:t>
            </w:r>
          </w:p>
        </w:tc>
        <w:tc>
          <w:tcPr>
            <w:tcW w:w="412" w:type="pct"/>
          </w:tcPr>
          <w:p w14:paraId="3E83FDD7" w14:textId="77777777" w:rsidR="00EB7374" w:rsidRPr="004572E2" w:rsidRDefault="00EB7374" w:rsidP="004572E2">
            <w:pPr>
              <w:ind w:left="-57"/>
              <w:jc w:val="right"/>
              <w:rPr>
                <w:sz w:val="15"/>
                <w:szCs w:val="15"/>
              </w:rPr>
            </w:pPr>
            <w:r w:rsidRPr="004572E2">
              <w:rPr>
                <w:sz w:val="15"/>
              </w:rPr>
              <w:t>15.3</w:t>
            </w:r>
          </w:p>
        </w:tc>
        <w:tc>
          <w:tcPr>
            <w:tcW w:w="412" w:type="pct"/>
          </w:tcPr>
          <w:p w14:paraId="68ADE669" w14:textId="77777777" w:rsidR="00EB7374" w:rsidRPr="004572E2" w:rsidRDefault="00EB7374" w:rsidP="004572E2">
            <w:pPr>
              <w:ind w:left="-57"/>
              <w:jc w:val="right"/>
              <w:rPr>
                <w:sz w:val="15"/>
                <w:szCs w:val="15"/>
              </w:rPr>
            </w:pPr>
            <w:r w:rsidRPr="004572E2">
              <w:rPr>
                <w:sz w:val="15"/>
              </w:rPr>
              <w:t>14.7</w:t>
            </w:r>
          </w:p>
        </w:tc>
        <w:tc>
          <w:tcPr>
            <w:tcW w:w="412" w:type="pct"/>
          </w:tcPr>
          <w:p w14:paraId="726D4B05" w14:textId="77777777" w:rsidR="00EB7374" w:rsidRPr="004572E2" w:rsidRDefault="00EB7374" w:rsidP="004572E2">
            <w:pPr>
              <w:ind w:left="-57"/>
              <w:jc w:val="right"/>
              <w:rPr>
                <w:sz w:val="15"/>
                <w:szCs w:val="15"/>
              </w:rPr>
            </w:pPr>
            <w:r w:rsidRPr="004572E2">
              <w:rPr>
                <w:sz w:val="15"/>
              </w:rPr>
              <w:t>17.6</w:t>
            </w:r>
          </w:p>
        </w:tc>
      </w:tr>
      <w:tr w:rsidR="00EB7374" w:rsidRPr="004572E2" w14:paraId="49777A3D" w14:textId="77777777" w:rsidTr="00C700EB">
        <w:trPr>
          <w:cnfStyle w:val="000000010000" w:firstRow="0" w:lastRow="0" w:firstColumn="0" w:lastColumn="0" w:oddVBand="0" w:evenVBand="0" w:oddHBand="0" w:evenHBand="1" w:firstRowFirstColumn="0" w:firstRowLastColumn="0" w:lastRowFirstColumn="0" w:lastRowLastColumn="0"/>
        </w:trPr>
        <w:tc>
          <w:tcPr>
            <w:tcW w:w="2116" w:type="pct"/>
          </w:tcPr>
          <w:p w14:paraId="73685AD7" w14:textId="77777777" w:rsidR="00EB7374" w:rsidRPr="004572E2" w:rsidRDefault="00EB7374" w:rsidP="004572E2">
            <w:pPr>
              <w:jc w:val="left"/>
              <w:rPr>
                <w:sz w:val="15"/>
                <w:szCs w:val="15"/>
              </w:rPr>
            </w:pPr>
            <w:r w:rsidRPr="004572E2">
              <w:rPr>
                <w:sz w:val="15"/>
              </w:rPr>
              <w:t>39. Plastics and articles thereof</w:t>
            </w:r>
          </w:p>
        </w:tc>
        <w:tc>
          <w:tcPr>
            <w:tcW w:w="412" w:type="pct"/>
          </w:tcPr>
          <w:p w14:paraId="0571E90A" w14:textId="77777777" w:rsidR="00EB7374" w:rsidRPr="004572E2" w:rsidRDefault="00EB7374" w:rsidP="004572E2">
            <w:pPr>
              <w:ind w:left="-57"/>
              <w:jc w:val="right"/>
              <w:rPr>
                <w:sz w:val="15"/>
                <w:szCs w:val="15"/>
              </w:rPr>
            </w:pPr>
            <w:r w:rsidRPr="004572E2">
              <w:rPr>
                <w:sz w:val="15"/>
              </w:rPr>
              <w:t>10.2</w:t>
            </w:r>
          </w:p>
        </w:tc>
        <w:tc>
          <w:tcPr>
            <w:tcW w:w="412" w:type="pct"/>
          </w:tcPr>
          <w:p w14:paraId="7E05CCB7" w14:textId="77777777" w:rsidR="00EB7374" w:rsidRPr="004572E2" w:rsidRDefault="00EB7374" w:rsidP="004572E2">
            <w:pPr>
              <w:ind w:left="-57"/>
              <w:jc w:val="right"/>
              <w:rPr>
                <w:sz w:val="15"/>
                <w:szCs w:val="15"/>
              </w:rPr>
            </w:pPr>
            <w:r w:rsidRPr="004572E2">
              <w:rPr>
                <w:sz w:val="15"/>
              </w:rPr>
              <w:t>8.8</w:t>
            </w:r>
          </w:p>
        </w:tc>
        <w:tc>
          <w:tcPr>
            <w:tcW w:w="412" w:type="pct"/>
          </w:tcPr>
          <w:p w14:paraId="3F8B8F80" w14:textId="77777777" w:rsidR="00EB7374" w:rsidRPr="004572E2" w:rsidRDefault="00EB7374" w:rsidP="004572E2">
            <w:pPr>
              <w:ind w:left="-57"/>
              <w:jc w:val="right"/>
              <w:rPr>
                <w:sz w:val="15"/>
                <w:szCs w:val="15"/>
              </w:rPr>
            </w:pPr>
            <w:r w:rsidRPr="004572E2">
              <w:rPr>
                <w:sz w:val="15"/>
              </w:rPr>
              <w:t>7.9</w:t>
            </w:r>
          </w:p>
        </w:tc>
        <w:tc>
          <w:tcPr>
            <w:tcW w:w="412" w:type="pct"/>
          </w:tcPr>
          <w:p w14:paraId="680D07A0" w14:textId="77777777" w:rsidR="00EB7374" w:rsidRPr="004572E2" w:rsidRDefault="00EB7374" w:rsidP="004572E2">
            <w:pPr>
              <w:ind w:left="-57"/>
              <w:jc w:val="right"/>
              <w:rPr>
                <w:sz w:val="15"/>
                <w:szCs w:val="15"/>
              </w:rPr>
            </w:pPr>
            <w:r w:rsidRPr="004572E2">
              <w:rPr>
                <w:sz w:val="15"/>
              </w:rPr>
              <w:t>6.9</w:t>
            </w:r>
          </w:p>
        </w:tc>
        <w:tc>
          <w:tcPr>
            <w:tcW w:w="412" w:type="pct"/>
          </w:tcPr>
          <w:p w14:paraId="56EA7511" w14:textId="77777777" w:rsidR="00EB7374" w:rsidRPr="004572E2" w:rsidRDefault="00EB7374" w:rsidP="004572E2">
            <w:pPr>
              <w:ind w:left="-57"/>
              <w:jc w:val="right"/>
              <w:rPr>
                <w:sz w:val="15"/>
                <w:szCs w:val="15"/>
              </w:rPr>
            </w:pPr>
            <w:r w:rsidRPr="004572E2">
              <w:rPr>
                <w:sz w:val="15"/>
              </w:rPr>
              <w:t>6.7</w:t>
            </w:r>
          </w:p>
        </w:tc>
        <w:tc>
          <w:tcPr>
            <w:tcW w:w="412" w:type="pct"/>
          </w:tcPr>
          <w:p w14:paraId="7B99F53F" w14:textId="77777777" w:rsidR="00EB7374" w:rsidRPr="004572E2" w:rsidRDefault="00EB7374" w:rsidP="004572E2">
            <w:pPr>
              <w:ind w:left="-57"/>
              <w:jc w:val="right"/>
              <w:rPr>
                <w:sz w:val="15"/>
                <w:szCs w:val="15"/>
              </w:rPr>
            </w:pPr>
            <w:r w:rsidRPr="004572E2">
              <w:rPr>
                <w:sz w:val="15"/>
              </w:rPr>
              <w:t>7.6</w:t>
            </w:r>
          </w:p>
        </w:tc>
        <w:tc>
          <w:tcPr>
            <w:tcW w:w="412" w:type="pct"/>
          </w:tcPr>
          <w:p w14:paraId="5C627D8D" w14:textId="77777777" w:rsidR="00EB7374" w:rsidRPr="004572E2" w:rsidRDefault="00EB7374" w:rsidP="004572E2">
            <w:pPr>
              <w:ind w:left="-57"/>
              <w:jc w:val="right"/>
              <w:rPr>
                <w:sz w:val="15"/>
                <w:szCs w:val="15"/>
              </w:rPr>
            </w:pPr>
            <w:r w:rsidRPr="004572E2">
              <w:rPr>
                <w:sz w:val="15"/>
              </w:rPr>
              <w:t>8.5</w:t>
            </w:r>
          </w:p>
        </w:tc>
      </w:tr>
      <w:tr w:rsidR="00EB7374" w:rsidRPr="004572E2" w14:paraId="22CC5D13" w14:textId="77777777" w:rsidTr="00C700EB">
        <w:tc>
          <w:tcPr>
            <w:tcW w:w="5000" w:type="pct"/>
            <w:gridSpan w:val="8"/>
          </w:tcPr>
          <w:p w14:paraId="07996535" w14:textId="77777777" w:rsidR="00EB7374" w:rsidRPr="004572E2" w:rsidRDefault="00EB7374" w:rsidP="004572E2">
            <w:pPr>
              <w:ind w:left="-57"/>
              <w:jc w:val="left"/>
              <w:rPr>
                <w:sz w:val="15"/>
                <w:szCs w:val="15"/>
              </w:rPr>
            </w:pPr>
            <w:r w:rsidRPr="004572E2">
              <w:rPr>
                <w:b/>
                <w:sz w:val="15"/>
              </w:rPr>
              <w:t>Main manufacturing exports under the free</w:t>
            </w:r>
            <w:r w:rsidRPr="004572E2">
              <w:rPr>
                <w:b/>
                <w:sz w:val="15"/>
              </w:rPr>
              <w:noBreakHyphen/>
              <w:t>zone regime (%)</w:t>
            </w:r>
          </w:p>
        </w:tc>
      </w:tr>
      <w:tr w:rsidR="00EB7374" w:rsidRPr="004572E2" w14:paraId="57387F93" w14:textId="77777777" w:rsidTr="00C700EB">
        <w:trPr>
          <w:cnfStyle w:val="000000010000" w:firstRow="0" w:lastRow="0" w:firstColumn="0" w:lastColumn="0" w:oddVBand="0" w:evenVBand="0" w:oddHBand="0" w:evenHBand="1" w:firstRowFirstColumn="0" w:firstRowLastColumn="0" w:lastRowFirstColumn="0" w:lastRowLastColumn="0"/>
        </w:trPr>
        <w:tc>
          <w:tcPr>
            <w:tcW w:w="2116" w:type="pct"/>
          </w:tcPr>
          <w:p w14:paraId="151B6BEF" w14:textId="77777777" w:rsidR="00EB7374" w:rsidRPr="004572E2" w:rsidRDefault="00EB7374" w:rsidP="004572E2">
            <w:pPr>
              <w:jc w:val="left"/>
              <w:rPr>
                <w:sz w:val="15"/>
                <w:szCs w:val="15"/>
              </w:rPr>
            </w:pPr>
            <w:r w:rsidRPr="004572E2">
              <w:rPr>
                <w:sz w:val="15"/>
              </w:rPr>
              <w:t>90. Optical, precision, medical or surgical instruments and apparatus</w:t>
            </w:r>
          </w:p>
        </w:tc>
        <w:tc>
          <w:tcPr>
            <w:tcW w:w="412" w:type="pct"/>
          </w:tcPr>
          <w:p w14:paraId="580874FB" w14:textId="77777777" w:rsidR="00EB7374" w:rsidRPr="004572E2" w:rsidRDefault="00EB7374" w:rsidP="004572E2">
            <w:pPr>
              <w:ind w:left="-57"/>
              <w:jc w:val="right"/>
              <w:rPr>
                <w:sz w:val="15"/>
                <w:szCs w:val="15"/>
              </w:rPr>
            </w:pPr>
            <w:r w:rsidRPr="004572E2">
              <w:rPr>
                <w:sz w:val="15"/>
              </w:rPr>
              <w:t>22.5</w:t>
            </w:r>
          </w:p>
        </w:tc>
        <w:tc>
          <w:tcPr>
            <w:tcW w:w="412" w:type="pct"/>
          </w:tcPr>
          <w:p w14:paraId="577CB41F" w14:textId="77777777" w:rsidR="00EB7374" w:rsidRPr="004572E2" w:rsidRDefault="00EB7374" w:rsidP="004572E2">
            <w:pPr>
              <w:ind w:left="-57"/>
              <w:jc w:val="right"/>
              <w:rPr>
                <w:sz w:val="15"/>
                <w:szCs w:val="15"/>
              </w:rPr>
            </w:pPr>
            <w:r w:rsidRPr="004572E2">
              <w:rPr>
                <w:sz w:val="15"/>
              </w:rPr>
              <w:t>25.2</w:t>
            </w:r>
          </w:p>
        </w:tc>
        <w:tc>
          <w:tcPr>
            <w:tcW w:w="412" w:type="pct"/>
          </w:tcPr>
          <w:p w14:paraId="6616FB86" w14:textId="77777777" w:rsidR="00EB7374" w:rsidRPr="004572E2" w:rsidRDefault="00EB7374" w:rsidP="004572E2">
            <w:pPr>
              <w:ind w:left="-57"/>
              <w:jc w:val="right"/>
              <w:rPr>
                <w:sz w:val="15"/>
                <w:szCs w:val="15"/>
              </w:rPr>
            </w:pPr>
            <w:r w:rsidRPr="004572E2">
              <w:rPr>
                <w:sz w:val="15"/>
              </w:rPr>
              <w:t>21.0</w:t>
            </w:r>
          </w:p>
        </w:tc>
        <w:tc>
          <w:tcPr>
            <w:tcW w:w="412" w:type="pct"/>
          </w:tcPr>
          <w:p w14:paraId="1ABC43F6" w14:textId="77777777" w:rsidR="00EB7374" w:rsidRPr="004572E2" w:rsidRDefault="00EB7374" w:rsidP="004572E2">
            <w:pPr>
              <w:ind w:left="-57"/>
              <w:jc w:val="right"/>
              <w:rPr>
                <w:sz w:val="15"/>
                <w:szCs w:val="15"/>
              </w:rPr>
            </w:pPr>
            <w:r w:rsidRPr="004572E2">
              <w:rPr>
                <w:sz w:val="15"/>
              </w:rPr>
              <w:t>19.3</w:t>
            </w:r>
          </w:p>
        </w:tc>
        <w:tc>
          <w:tcPr>
            <w:tcW w:w="412" w:type="pct"/>
          </w:tcPr>
          <w:p w14:paraId="4387E6A5" w14:textId="77777777" w:rsidR="00EB7374" w:rsidRPr="004572E2" w:rsidRDefault="00EB7374" w:rsidP="004572E2">
            <w:pPr>
              <w:ind w:left="-57"/>
              <w:jc w:val="right"/>
              <w:rPr>
                <w:sz w:val="15"/>
                <w:szCs w:val="15"/>
              </w:rPr>
            </w:pPr>
            <w:r w:rsidRPr="004572E2">
              <w:rPr>
                <w:sz w:val="15"/>
              </w:rPr>
              <w:t>19.5</w:t>
            </w:r>
          </w:p>
        </w:tc>
        <w:tc>
          <w:tcPr>
            <w:tcW w:w="412" w:type="pct"/>
          </w:tcPr>
          <w:p w14:paraId="4FA81D36" w14:textId="77777777" w:rsidR="00EB7374" w:rsidRPr="004572E2" w:rsidRDefault="00EB7374" w:rsidP="004572E2">
            <w:pPr>
              <w:ind w:left="-57"/>
              <w:jc w:val="right"/>
              <w:rPr>
                <w:sz w:val="15"/>
                <w:szCs w:val="15"/>
              </w:rPr>
            </w:pPr>
            <w:r w:rsidRPr="004572E2">
              <w:rPr>
                <w:sz w:val="15"/>
              </w:rPr>
              <w:t>23.4</w:t>
            </w:r>
          </w:p>
        </w:tc>
        <w:tc>
          <w:tcPr>
            <w:tcW w:w="412" w:type="pct"/>
          </w:tcPr>
          <w:p w14:paraId="7F756F37" w14:textId="77777777" w:rsidR="00EB7374" w:rsidRPr="004572E2" w:rsidRDefault="00EB7374" w:rsidP="004572E2">
            <w:pPr>
              <w:ind w:left="-57"/>
              <w:jc w:val="right"/>
              <w:rPr>
                <w:sz w:val="15"/>
                <w:szCs w:val="15"/>
              </w:rPr>
            </w:pPr>
            <w:r w:rsidRPr="004572E2">
              <w:rPr>
                <w:sz w:val="15"/>
              </w:rPr>
              <w:t>21.3</w:t>
            </w:r>
          </w:p>
        </w:tc>
      </w:tr>
      <w:tr w:rsidR="00EB7374" w:rsidRPr="004572E2" w14:paraId="07716CE8" w14:textId="77777777" w:rsidTr="00C700EB">
        <w:tc>
          <w:tcPr>
            <w:tcW w:w="2116" w:type="pct"/>
          </w:tcPr>
          <w:p w14:paraId="2D830824" w14:textId="77777777" w:rsidR="00EB7374" w:rsidRPr="004572E2" w:rsidRDefault="00EB7374" w:rsidP="004572E2">
            <w:pPr>
              <w:jc w:val="left"/>
              <w:rPr>
                <w:sz w:val="15"/>
                <w:szCs w:val="15"/>
              </w:rPr>
            </w:pPr>
            <w:r w:rsidRPr="004572E2">
              <w:rPr>
                <w:sz w:val="15"/>
              </w:rPr>
              <w:t>85. Electrical machinery and equipment; sound reproducers</w:t>
            </w:r>
          </w:p>
        </w:tc>
        <w:tc>
          <w:tcPr>
            <w:tcW w:w="412" w:type="pct"/>
          </w:tcPr>
          <w:p w14:paraId="16DC0979" w14:textId="77777777" w:rsidR="00EB7374" w:rsidRPr="004572E2" w:rsidRDefault="00EB7374" w:rsidP="004572E2">
            <w:pPr>
              <w:ind w:left="-57"/>
              <w:jc w:val="right"/>
              <w:rPr>
                <w:sz w:val="15"/>
                <w:szCs w:val="15"/>
              </w:rPr>
            </w:pPr>
            <w:r w:rsidRPr="004572E2">
              <w:rPr>
                <w:sz w:val="15"/>
              </w:rPr>
              <w:t>12.2</w:t>
            </w:r>
          </w:p>
        </w:tc>
        <w:tc>
          <w:tcPr>
            <w:tcW w:w="412" w:type="pct"/>
          </w:tcPr>
          <w:p w14:paraId="126429DF" w14:textId="77777777" w:rsidR="00EB7374" w:rsidRPr="004572E2" w:rsidRDefault="00EB7374" w:rsidP="004572E2">
            <w:pPr>
              <w:ind w:left="-57"/>
              <w:jc w:val="right"/>
              <w:rPr>
                <w:sz w:val="15"/>
                <w:szCs w:val="15"/>
              </w:rPr>
            </w:pPr>
            <w:r w:rsidRPr="004572E2">
              <w:rPr>
                <w:sz w:val="15"/>
              </w:rPr>
              <w:t>13.3</w:t>
            </w:r>
          </w:p>
        </w:tc>
        <w:tc>
          <w:tcPr>
            <w:tcW w:w="412" w:type="pct"/>
          </w:tcPr>
          <w:p w14:paraId="27A70B5B" w14:textId="77777777" w:rsidR="00EB7374" w:rsidRPr="004572E2" w:rsidRDefault="00EB7374" w:rsidP="004572E2">
            <w:pPr>
              <w:ind w:left="-57"/>
              <w:jc w:val="right"/>
              <w:rPr>
                <w:sz w:val="15"/>
                <w:szCs w:val="15"/>
              </w:rPr>
            </w:pPr>
            <w:r w:rsidRPr="004572E2">
              <w:rPr>
                <w:sz w:val="15"/>
              </w:rPr>
              <w:t>17.4</w:t>
            </w:r>
          </w:p>
        </w:tc>
        <w:tc>
          <w:tcPr>
            <w:tcW w:w="412" w:type="pct"/>
          </w:tcPr>
          <w:p w14:paraId="4E6B7681" w14:textId="77777777" w:rsidR="00EB7374" w:rsidRPr="004572E2" w:rsidRDefault="00EB7374" w:rsidP="004572E2">
            <w:pPr>
              <w:ind w:left="-57"/>
              <w:jc w:val="right"/>
              <w:rPr>
                <w:sz w:val="15"/>
                <w:szCs w:val="15"/>
              </w:rPr>
            </w:pPr>
            <w:r w:rsidRPr="004572E2">
              <w:rPr>
                <w:sz w:val="15"/>
              </w:rPr>
              <w:t>19.5</w:t>
            </w:r>
          </w:p>
        </w:tc>
        <w:tc>
          <w:tcPr>
            <w:tcW w:w="412" w:type="pct"/>
          </w:tcPr>
          <w:p w14:paraId="0BAE018B" w14:textId="77777777" w:rsidR="00EB7374" w:rsidRPr="004572E2" w:rsidRDefault="00EB7374" w:rsidP="004572E2">
            <w:pPr>
              <w:ind w:left="-57"/>
              <w:jc w:val="right"/>
              <w:rPr>
                <w:sz w:val="15"/>
                <w:szCs w:val="15"/>
              </w:rPr>
            </w:pPr>
            <w:r w:rsidRPr="004572E2">
              <w:rPr>
                <w:sz w:val="15"/>
              </w:rPr>
              <w:t>20.1</w:t>
            </w:r>
          </w:p>
        </w:tc>
        <w:tc>
          <w:tcPr>
            <w:tcW w:w="412" w:type="pct"/>
          </w:tcPr>
          <w:p w14:paraId="2D7DDA55" w14:textId="77777777" w:rsidR="00EB7374" w:rsidRPr="004572E2" w:rsidRDefault="00EB7374" w:rsidP="004572E2">
            <w:pPr>
              <w:ind w:left="-57"/>
              <w:jc w:val="right"/>
              <w:rPr>
                <w:sz w:val="15"/>
                <w:szCs w:val="15"/>
              </w:rPr>
            </w:pPr>
            <w:r w:rsidRPr="004572E2">
              <w:rPr>
                <w:sz w:val="15"/>
              </w:rPr>
              <w:t>24.6</w:t>
            </w:r>
          </w:p>
        </w:tc>
        <w:tc>
          <w:tcPr>
            <w:tcW w:w="412" w:type="pct"/>
          </w:tcPr>
          <w:p w14:paraId="502DC87E" w14:textId="77777777" w:rsidR="00EB7374" w:rsidRPr="004572E2" w:rsidRDefault="00EB7374" w:rsidP="004572E2">
            <w:pPr>
              <w:ind w:left="-57"/>
              <w:jc w:val="right"/>
              <w:rPr>
                <w:sz w:val="15"/>
                <w:szCs w:val="15"/>
              </w:rPr>
            </w:pPr>
            <w:r w:rsidRPr="004572E2">
              <w:rPr>
                <w:sz w:val="15"/>
              </w:rPr>
              <w:t>20.7</w:t>
            </w:r>
          </w:p>
        </w:tc>
      </w:tr>
      <w:tr w:rsidR="00EB7374" w:rsidRPr="004572E2" w14:paraId="33084330" w14:textId="77777777" w:rsidTr="00C700EB">
        <w:trPr>
          <w:cnfStyle w:val="000000010000" w:firstRow="0" w:lastRow="0" w:firstColumn="0" w:lastColumn="0" w:oddVBand="0" w:evenVBand="0" w:oddHBand="0" w:evenHBand="1" w:firstRowFirstColumn="0" w:firstRowLastColumn="0" w:lastRowFirstColumn="0" w:lastRowLastColumn="0"/>
        </w:trPr>
        <w:tc>
          <w:tcPr>
            <w:tcW w:w="2116" w:type="pct"/>
          </w:tcPr>
          <w:p w14:paraId="256BBFAC" w14:textId="77777777" w:rsidR="00EB7374" w:rsidRPr="004572E2" w:rsidRDefault="00EB7374" w:rsidP="004572E2">
            <w:pPr>
              <w:jc w:val="left"/>
              <w:rPr>
                <w:sz w:val="15"/>
                <w:szCs w:val="15"/>
              </w:rPr>
            </w:pPr>
            <w:r w:rsidRPr="004572E2">
              <w:rPr>
                <w:sz w:val="15"/>
              </w:rPr>
              <w:t>71. Pearls, precious stones and precious metals</w:t>
            </w:r>
          </w:p>
        </w:tc>
        <w:tc>
          <w:tcPr>
            <w:tcW w:w="412" w:type="pct"/>
          </w:tcPr>
          <w:p w14:paraId="31A4F696" w14:textId="77777777" w:rsidR="00EB7374" w:rsidRPr="004572E2" w:rsidRDefault="00EB7374" w:rsidP="004572E2">
            <w:pPr>
              <w:ind w:left="-57"/>
              <w:jc w:val="right"/>
              <w:rPr>
                <w:sz w:val="15"/>
                <w:szCs w:val="15"/>
              </w:rPr>
            </w:pPr>
            <w:r w:rsidRPr="004572E2">
              <w:rPr>
                <w:sz w:val="15"/>
              </w:rPr>
              <w:t>9.0</w:t>
            </w:r>
          </w:p>
        </w:tc>
        <w:tc>
          <w:tcPr>
            <w:tcW w:w="412" w:type="pct"/>
          </w:tcPr>
          <w:p w14:paraId="2094AED0" w14:textId="77777777" w:rsidR="00EB7374" w:rsidRPr="004572E2" w:rsidRDefault="00EB7374" w:rsidP="004572E2">
            <w:pPr>
              <w:ind w:left="-57"/>
              <w:jc w:val="right"/>
              <w:rPr>
                <w:sz w:val="15"/>
                <w:szCs w:val="15"/>
              </w:rPr>
            </w:pPr>
            <w:r w:rsidRPr="004572E2">
              <w:rPr>
                <w:sz w:val="15"/>
              </w:rPr>
              <w:t>9.2</w:t>
            </w:r>
          </w:p>
        </w:tc>
        <w:tc>
          <w:tcPr>
            <w:tcW w:w="412" w:type="pct"/>
          </w:tcPr>
          <w:p w14:paraId="03031EA2" w14:textId="77777777" w:rsidR="00EB7374" w:rsidRPr="004572E2" w:rsidRDefault="00EB7374" w:rsidP="004572E2">
            <w:pPr>
              <w:ind w:left="-57"/>
              <w:jc w:val="right"/>
              <w:rPr>
                <w:sz w:val="15"/>
                <w:szCs w:val="15"/>
              </w:rPr>
            </w:pPr>
            <w:r w:rsidRPr="004572E2">
              <w:rPr>
                <w:sz w:val="15"/>
              </w:rPr>
              <w:t>9.3</w:t>
            </w:r>
          </w:p>
        </w:tc>
        <w:tc>
          <w:tcPr>
            <w:tcW w:w="412" w:type="pct"/>
          </w:tcPr>
          <w:p w14:paraId="29BAE1C1" w14:textId="77777777" w:rsidR="00EB7374" w:rsidRPr="004572E2" w:rsidRDefault="00EB7374" w:rsidP="004572E2">
            <w:pPr>
              <w:ind w:left="-57"/>
              <w:jc w:val="right"/>
              <w:rPr>
                <w:sz w:val="15"/>
                <w:szCs w:val="15"/>
              </w:rPr>
            </w:pPr>
            <w:r w:rsidRPr="004572E2">
              <w:rPr>
                <w:sz w:val="15"/>
              </w:rPr>
              <w:t>10.1</w:t>
            </w:r>
          </w:p>
        </w:tc>
        <w:tc>
          <w:tcPr>
            <w:tcW w:w="412" w:type="pct"/>
          </w:tcPr>
          <w:p w14:paraId="017365BD" w14:textId="77777777" w:rsidR="00EB7374" w:rsidRPr="004572E2" w:rsidRDefault="00EB7374" w:rsidP="004572E2">
            <w:pPr>
              <w:ind w:left="-57"/>
              <w:jc w:val="right"/>
              <w:rPr>
                <w:sz w:val="15"/>
                <w:szCs w:val="15"/>
              </w:rPr>
            </w:pPr>
            <w:r w:rsidRPr="004572E2">
              <w:rPr>
                <w:sz w:val="15"/>
              </w:rPr>
              <w:t>10.5</w:t>
            </w:r>
          </w:p>
        </w:tc>
        <w:tc>
          <w:tcPr>
            <w:tcW w:w="412" w:type="pct"/>
          </w:tcPr>
          <w:p w14:paraId="4312A5C1" w14:textId="77777777" w:rsidR="00EB7374" w:rsidRPr="004572E2" w:rsidRDefault="00EB7374" w:rsidP="004572E2">
            <w:pPr>
              <w:ind w:left="-57"/>
              <w:jc w:val="right"/>
              <w:rPr>
                <w:sz w:val="15"/>
                <w:szCs w:val="15"/>
              </w:rPr>
            </w:pPr>
            <w:r w:rsidRPr="004572E2">
              <w:rPr>
                <w:sz w:val="15"/>
              </w:rPr>
              <w:t>9.5</w:t>
            </w:r>
          </w:p>
        </w:tc>
        <w:tc>
          <w:tcPr>
            <w:tcW w:w="412" w:type="pct"/>
          </w:tcPr>
          <w:p w14:paraId="3D6DA964" w14:textId="77777777" w:rsidR="00EB7374" w:rsidRPr="004572E2" w:rsidRDefault="00EB7374" w:rsidP="004572E2">
            <w:pPr>
              <w:ind w:left="-57"/>
              <w:jc w:val="right"/>
              <w:rPr>
                <w:sz w:val="15"/>
                <w:szCs w:val="15"/>
              </w:rPr>
            </w:pPr>
            <w:r w:rsidRPr="004572E2">
              <w:rPr>
                <w:sz w:val="15"/>
              </w:rPr>
              <w:t>13.9</w:t>
            </w:r>
          </w:p>
        </w:tc>
      </w:tr>
      <w:tr w:rsidR="00EB7374" w:rsidRPr="004572E2" w14:paraId="047DE648" w14:textId="77777777" w:rsidTr="00C700EB">
        <w:tc>
          <w:tcPr>
            <w:tcW w:w="2116" w:type="pct"/>
          </w:tcPr>
          <w:p w14:paraId="5F064474" w14:textId="77777777" w:rsidR="00EB7374" w:rsidRPr="004572E2" w:rsidRDefault="00EB7374" w:rsidP="004572E2">
            <w:pPr>
              <w:jc w:val="left"/>
              <w:rPr>
                <w:sz w:val="15"/>
                <w:szCs w:val="15"/>
              </w:rPr>
            </w:pPr>
            <w:r w:rsidRPr="004572E2">
              <w:rPr>
                <w:sz w:val="15"/>
              </w:rPr>
              <w:t>61. Articles of apparel and clothing accessories, knitted or crocheted</w:t>
            </w:r>
          </w:p>
        </w:tc>
        <w:tc>
          <w:tcPr>
            <w:tcW w:w="412" w:type="pct"/>
          </w:tcPr>
          <w:p w14:paraId="0E7D02F1" w14:textId="77777777" w:rsidR="00EB7374" w:rsidRPr="004572E2" w:rsidRDefault="00EB7374" w:rsidP="004572E2">
            <w:pPr>
              <w:ind w:left="-57"/>
              <w:jc w:val="right"/>
              <w:rPr>
                <w:sz w:val="15"/>
                <w:szCs w:val="15"/>
              </w:rPr>
            </w:pPr>
            <w:r w:rsidRPr="004572E2">
              <w:rPr>
                <w:sz w:val="15"/>
              </w:rPr>
              <w:t>12.7</w:t>
            </w:r>
          </w:p>
        </w:tc>
        <w:tc>
          <w:tcPr>
            <w:tcW w:w="412" w:type="pct"/>
          </w:tcPr>
          <w:p w14:paraId="6CE68122" w14:textId="77777777" w:rsidR="00EB7374" w:rsidRPr="004572E2" w:rsidRDefault="00EB7374" w:rsidP="004572E2">
            <w:pPr>
              <w:ind w:left="-57"/>
              <w:jc w:val="right"/>
              <w:rPr>
                <w:sz w:val="15"/>
                <w:szCs w:val="15"/>
              </w:rPr>
            </w:pPr>
            <w:r w:rsidRPr="004572E2">
              <w:rPr>
                <w:sz w:val="15"/>
              </w:rPr>
              <w:t>12.4</w:t>
            </w:r>
          </w:p>
        </w:tc>
        <w:tc>
          <w:tcPr>
            <w:tcW w:w="412" w:type="pct"/>
          </w:tcPr>
          <w:p w14:paraId="61F4EE49" w14:textId="77777777" w:rsidR="00EB7374" w:rsidRPr="004572E2" w:rsidRDefault="00EB7374" w:rsidP="004572E2">
            <w:pPr>
              <w:ind w:left="-57"/>
              <w:jc w:val="right"/>
              <w:rPr>
                <w:sz w:val="15"/>
                <w:szCs w:val="15"/>
              </w:rPr>
            </w:pPr>
            <w:r w:rsidRPr="004572E2">
              <w:rPr>
                <w:sz w:val="15"/>
              </w:rPr>
              <w:t>12.3</w:t>
            </w:r>
          </w:p>
        </w:tc>
        <w:tc>
          <w:tcPr>
            <w:tcW w:w="412" w:type="pct"/>
          </w:tcPr>
          <w:p w14:paraId="0C6646F5" w14:textId="77777777" w:rsidR="00EB7374" w:rsidRPr="004572E2" w:rsidRDefault="00EB7374" w:rsidP="004572E2">
            <w:pPr>
              <w:ind w:left="-57"/>
              <w:jc w:val="right"/>
              <w:rPr>
                <w:sz w:val="15"/>
                <w:szCs w:val="15"/>
              </w:rPr>
            </w:pPr>
            <w:r w:rsidRPr="004572E2">
              <w:rPr>
                <w:sz w:val="15"/>
              </w:rPr>
              <w:t>13.0</w:t>
            </w:r>
          </w:p>
        </w:tc>
        <w:tc>
          <w:tcPr>
            <w:tcW w:w="412" w:type="pct"/>
          </w:tcPr>
          <w:p w14:paraId="4ABCCFB6" w14:textId="77777777" w:rsidR="00EB7374" w:rsidRPr="004572E2" w:rsidRDefault="00EB7374" w:rsidP="004572E2">
            <w:pPr>
              <w:ind w:left="-57"/>
              <w:jc w:val="right"/>
              <w:rPr>
                <w:sz w:val="15"/>
                <w:szCs w:val="15"/>
              </w:rPr>
            </w:pPr>
            <w:r w:rsidRPr="004572E2">
              <w:rPr>
                <w:sz w:val="15"/>
              </w:rPr>
              <w:t>12.3</w:t>
            </w:r>
          </w:p>
        </w:tc>
        <w:tc>
          <w:tcPr>
            <w:tcW w:w="412" w:type="pct"/>
          </w:tcPr>
          <w:p w14:paraId="4879677D" w14:textId="77777777" w:rsidR="00EB7374" w:rsidRPr="004572E2" w:rsidRDefault="00EB7374" w:rsidP="004572E2">
            <w:pPr>
              <w:ind w:left="-57"/>
              <w:jc w:val="right"/>
              <w:rPr>
                <w:sz w:val="15"/>
                <w:szCs w:val="15"/>
              </w:rPr>
            </w:pPr>
            <w:r w:rsidRPr="004572E2">
              <w:rPr>
                <w:sz w:val="15"/>
              </w:rPr>
              <w:t>6.7</w:t>
            </w:r>
          </w:p>
        </w:tc>
        <w:tc>
          <w:tcPr>
            <w:tcW w:w="412" w:type="pct"/>
          </w:tcPr>
          <w:p w14:paraId="7483EF3D" w14:textId="77777777" w:rsidR="00EB7374" w:rsidRPr="004572E2" w:rsidRDefault="00EB7374" w:rsidP="004572E2">
            <w:pPr>
              <w:ind w:left="-57"/>
              <w:jc w:val="right"/>
              <w:rPr>
                <w:sz w:val="15"/>
                <w:szCs w:val="15"/>
              </w:rPr>
            </w:pPr>
            <w:r w:rsidRPr="004572E2">
              <w:rPr>
                <w:sz w:val="15"/>
              </w:rPr>
              <w:t>8.0</w:t>
            </w:r>
          </w:p>
        </w:tc>
      </w:tr>
      <w:tr w:rsidR="00EB7374" w:rsidRPr="004572E2" w14:paraId="25029ECD" w14:textId="77777777" w:rsidTr="00C700EB">
        <w:trPr>
          <w:cnfStyle w:val="000000010000" w:firstRow="0" w:lastRow="0" w:firstColumn="0" w:lastColumn="0" w:oddVBand="0" w:evenVBand="0" w:oddHBand="0" w:evenHBand="1" w:firstRowFirstColumn="0" w:firstRowLastColumn="0" w:lastRowFirstColumn="0" w:lastRowLastColumn="0"/>
        </w:trPr>
        <w:tc>
          <w:tcPr>
            <w:tcW w:w="2116" w:type="pct"/>
          </w:tcPr>
          <w:p w14:paraId="6CF81A04" w14:textId="77777777" w:rsidR="00EB7374" w:rsidRPr="004572E2" w:rsidRDefault="00EB7374" w:rsidP="004572E2">
            <w:pPr>
              <w:jc w:val="left"/>
              <w:rPr>
                <w:sz w:val="15"/>
                <w:szCs w:val="15"/>
              </w:rPr>
            </w:pPr>
            <w:r w:rsidRPr="004572E2">
              <w:rPr>
                <w:sz w:val="15"/>
              </w:rPr>
              <w:t>30. Pharmaceutical products</w:t>
            </w:r>
          </w:p>
        </w:tc>
        <w:tc>
          <w:tcPr>
            <w:tcW w:w="412" w:type="pct"/>
          </w:tcPr>
          <w:p w14:paraId="050AFEB2" w14:textId="77777777" w:rsidR="00EB7374" w:rsidRPr="004572E2" w:rsidRDefault="00EB7374" w:rsidP="004572E2">
            <w:pPr>
              <w:ind w:left="-57"/>
              <w:jc w:val="right"/>
              <w:rPr>
                <w:sz w:val="15"/>
                <w:szCs w:val="15"/>
              </w:rPr>
            </w:pPr>
            <w:r w:rsidRPr="004572E2">
              <w:rPr>
                <w:sz w:val="15"/>
              </w:rPr>
              <w:t>7.1</w:t>
            </w:r>
          </w:p>
        </w:tc>
        <w:tc>
          <w:tcPr>
            <w:tcW w:w="412" w:type="pct"/>
          </w:tcPr>
          <w:p w14:paraId="11D9B43B" w14:textId="77777777" w:rsidR="00EB7374" w:rsidRPr="004572E2" w:rsidRDefault="00EB7374" w:rsidP="004572E2">
            <w:pPr>
              <w:ind w:left="-57"/>
              <w:jc w:val="right"/>
              <w:rPr>
                <w:sz w:val="15"/>
                <w:szCs w:val="15"/>
              </w:rPr>
            </w:pPr>
            <w:r w:rsidRPr="004572E2">
              <w:rPr>
                <w:sz w:val="15"/>
              </w:rPr>
              <w:t>7.4</w:t>
            </w:r>
          </w:p>
        </w:tc>
        <w:tc>
          <w:tcPr>
            <w:tcW w:w="412" w:type="pct"/>
          </w:tcPr>
          <w:p w14:paraId="67E3EC6F" w14:textId="77777777" w:rsidR="00EB7374" w:rsidRPr="004572E2" w:rsidRDefault="00EB7374" w:rsidP="004572E2">
            <w:pPr>
              <w:ind w:left="-57"/>
              <w:jc w:val="right"/>
              <w:rPr>
                <w:sz w:val="15"/>
                <w:szCs w:val="15"/>
              </w:rPr>
            </w:pPr>
            <w:r w:rsidRPr="004572E2">
              <w:rPr>
                <w:sz w:val="15"/>
              </w:rPr>
              <w:t>9.2</w:t>
            </w:r>
          </w:p>
        </w:tc>
        <w:tc>
          <w:tcPr>
            <w:tcW w:w="412" w:type="pct"/>
          </w:tcPr>
          <w:p w14:paraId="2DF25696" w14:textId="77777777" w:rsidR="00EB7374" w:rsidRPr="004572E2" w:rsidRDefault="00EB7374" w:rsidP="004572E2">
            <w:pPr>
              <w:ind w:left="-57"/>
              <w:jc w:val="right"/>
              <w:rPr>
                <w:sz w:val="15"/>
                <w:szCs w:val="15"/>
              </w:rPr>
            </w:pPr>
            <w:r w:rsidRPr="004572E2">
              <w:rPr>
                <w:sz w:val="15"/>
              </w:rPr>
              <w:t>10.0</w:t>
            </w:r>
          </w:p>
        </w:tc>
        <w:tc>
          <w:tcPr>
            <w:tcW w:w="412" w:type="pct"/>
          </w:tcPr>
          <w:p w14:paraId="44F0806C" w14:textId="77777777" w:rsidR="00EB7374" w:rsidRPr="004572E2" w:rsidRDefault="00EB7374" w:rsidP="004572E2">
            <w:pPr>
              <w:ind w:left="-57"/>
              <w:jc w:val="right"/>
              <w:rPr>
                <w:sz w:val="15"/>
                <w:szCs w:val="15"/>
              </w:rPr>
            </w:pPr>
            <w:r w:rsidRPr="004572E2">
              <w:rPr>
                <w:sz w:val="15"/>
              </w:rPr>
              <w:t>9.8</w:t>
            </w:r>
          </w:p>
        </w:tc>
        <w:tc>
          <w:tcPr>
            <w:tcW w:w="412" w:type="pct"/>
          </w:tcPr>
          <w:p w14:paraId="597B9775" w14:textId="77777777" w:rsidR="00EB7374" w:rsidRPr="004572E2" w:rsidRDefault="00EB7374" w:rsidP="004572E2">
            <w:pPr>
              <w:ind w:left="-57"/>
              <w:jc w:val="right"/>
              <w:rPr>
                <w:sz w:val="15"/>
                <w:szCs w:val="15"/>
              </w:rPr>
            </w:pPr>
            <w:r w:rsidRPr="004572E2">
              <w:rPr>
                <w:sz w:val="15"/>
              </w:rPr>
              <w:t>9.7</w:t>
            </w:r>
          </w:p>
        </w:tc>
        <w:tc>
          <w:tcPr>
            <w:tcW w:w="412" w:type="pct"/>
          </w:tcPr>
          <w:p w14:paraId="756E56BE" w14:textId="77777777" w:rsidR="00EB7374" w:rsidRPr="004572E2" w:rsidRDefault="00EB7374" w:rsidP="004572E2">
            <w:pPr>
              <w:ind w:left="-57"/>
              <w:jc w:val="right"/>
              <w:rPr>
                <w:sz w:val="15"/>
                <w:szCs w:val="15"/>
              </w:rPr>
            </w:pPr>
            <w:r w:rsidRPr="004572E2">
              <w:rPr>
                <w:sz w:val="15"/>
              </w:rPr>
              <w:t>7.9</w:t>
            </w:r>
          </w:p>
        </w:tc>
      </w:tr>
    </w:tbl>
    <w:p w14:paraId="7092E7FA" w14:textId="77777777" w:rsidR="00EB7374" w:rsidRPr="004572E2" w:rsidRDefault="00EB7374" w:rsidP="00076BE1">
      <w:pPr>
        <w:pStyle w:val="NoteText"/>
        <w:spacing w:before="120" w:after="240"/>
      </w:pPr>
      <w:r w:rsidRPr="004572E2">
        <w:t>Source:</w:t>
      </w:r>
      <w:r w:rsidRPr="004572E2">
        <w:tab/>
      </w:r>
      <w:proofErr w:type="spellStart"/>
      <w:r w:rsidRPr="004572E2">
        <w:t>Datacomex</w:t>
      </w:r>
      <w:proofErr w:type="spellEnd"/>
      <w:r w:rsidRPr="004572E2">
        <w:t xml:space="preserve"> RD, Ministry of Industry, Trade and MSMEs (</w:t>
      </w:r>
      <w:proofErr w:type="spellStart"/>
      <w:r w:rsidRPr="004572E2">
        <w:t>MICM</w:t>
      </w:r>
      <w:proofErr w:type="spellEnd"/>
      <w:r w:rsidRPr="004572E2">
        <w:t>) and National Statistics Office.</w:t>
      </w:r>
    </w:p>
    <w:p w14:paraId="4EDA42ED" w14:textId="7842657D" w:rsidR="00EB7374" w:rsidRPr="004572E2" w:rsidRDefault="00EB7374" w:rsidP="00C80D98">
      <w:pPr>
        <w:pStyle w:val="BodyText"/>
      </w:pPr>
      <w:r w:rsidRPr="004572E2">
        <w:t>In 202</w:t>
      </w:r>
      <w:r w:rsidR="001370DF">
        <w:t>1</w:t>
      </w:r>
      <w:r w:rsidRPr="004572E2">
        <w:t>, the tariff applied to non</w:t>
      </w:r>
      <w:r w:rsidRPr="004572E2">
        <w:noBreakHyphen/>
        <w:t>agricultural products (WTO definition) was 6.6</w:t>
      </w:r>
      <w:r>
        <w:t>%</w:t>
      </w:r>
      <w:r w:rsidRPr="004572E2">
        <w:t>, slightly lower than the average MFN tariff for the tariff universe as a whole, which was 7.8</w:t>
      </w:r>
      <w:r>
        <w:t>%</w:t>
      </w:r>
      <w:r w:rsidRPr="004572E2">
        <w:t>. Based on the HS</w:t>
      </w:r>
      <w:r>
        <w:t> </w:t>
      </w:r>
      <w:r w:rsidRPr="004572E2">
        <w:t>sections, the manufactured product groups with an above</w:t>
      </w:r>
      <w:r w:rsidRPr="004572E2">
        <w:noBreakHyphen/>
        <w:t>average tariff are precious stones (18.1</w:t>
      </w:r>
      <w:r>
        <w:t>%</w:t>
      </w:r>
      <w:r w:rsidRPr="004572E2">
        <w:t>), edible preparations (17.5</w:t>
      </w:r>
      <w:r>
        <w:t>%</w:t>
      </w:r>
      <w:r w:rsidRPr="004572E2">
        <w:t>), footwear (16.7</w:t>
      </w:r>
      <w:r>
        <w:t>%</w:t>
      </w:r>
      <w:r w:rsidRPr="004572E2">
        <w:t>) and miscellaneous manufactured articles (16.8</w:t>
      </w:r>
      <w:r>
        <w:t>%</w:t>
      </w:r>
      <w:r w:rsidRPr="004572E2">
        <w:t>). The product groups subject to the lowest tariffs are mineral products (2.3</w:t>
      </w:r>
      <w:r>
        <w:t>%</w:t>
      </w:r>
      <w:r w:rsidRPr="004572E2">
        <w:t>), products of the chemical or allied industries (2.3</w:t>
      </w:r>
      <w:r>
        <w:t>%</w:t>
      </w:r>
      <w:r w:rsidRPr="004572E2">
        <w:t>) and machinery and mechanical appliances (3.4</w:t>
      </w:r>
      <w:r>
        <w:t>%</w:t>
      </w:r>
      <w:r w:rsidRPr="004572E2">
        <w:t>).</w:t>
      </w:r>
    </w:p>
    <w:p w14:paraId="26466786" w14:textId="77777777" w:rsidR="00EB7374" w:rsidRPr="004572E2" w:rsidRDefault="00EB7374" w:rsidP="00C80D98">
      <w:pPr>
        <w:pStyle w:val="BodyText"/>
      </w:pPr>
      <w:r w:rsidRPr="004572E2">
        <w:lastRenderedPageBreak/>
        <w:t>In addition to tariffs, the manufacturing sector can avail itself of various tax incentives set forth in the Law on Industrial Competitiveness and Innovation (Law No. 392</w:t>
      </w:r>
      <w:r w:rsidRPr="004572E2">
        <w:noBreakHyphen/>
        <w:t xml:space="preserve">07), the Law </w:t>
      </w:r>
      <w:r w:rsidRPr="004572E2">
        <w:rPr>
          <w:rFonts w:eastAsia="Times New Roman" w:cs="Times New Roman"/>
        </w:rPr>
        <w:t>establishing the Special Comprehensive Border Development</w:t>
      </w:r>
      <w:r w:rsidRPr="004572E2">
        <w:t xml:space="preserve"> </w:t>
      </w:r>
      <w:r w:rsidRPr="004572E2">
        <w:rPr>
          <w:rFonts w:eastAsia="Times New Roman" w:cs="Times New Roman"/>
        </w:rPr>
        <w:t xml:space="preserve">Zone </w:t>
      </w:r>
      <w:r w:rsidRPr="004572E2">
        <w:t>(Law No. 12</w:t>
      </w:r>
      <w:r w:rsidRPr="004572E2">
        <w:noBreakHyphen/>
        <w:t>21), the Law on the Promotion of Free Zones (Law No. 8</w:t>
      </w:r>
      <w:r w:rsidRPr="004572E2">
        <w:noBreakHyphen/>
        <w:t>90), the Law on Reviving and Promoting Exports (Law No. 84.99) and the Law declaring of textile and leather manufacturing subsectors to be a national priority and creating a national regulatory regime for them (Law No. 56</w:t>
      </w:r>
      <w:r w:rsidRPr="004572E2">
        <w:noBreakHyphen/>
        <w:t>07).</w:t>
      </w:r>
      <w:r w:rsidRPr="004572E2">
        <w:rPr>
          <w:rStyle w:val="FootnoteReference"/>
        </w:rPr>
        <w:footnoteReference w:id="456"/>
      </w:r>
      <w:r w:rsidRPr="004572E2">
        <w:t xml:space="preserve"> The Law on Industrial Competitiveness and Innovation and the laws on the border regime (Laws No. 28</w:t>
      </w:r>
      <w:r w:rsidRPr="004572E2">
        <w:noBreakHyphen/>
        <w:t>01 and No. 12</w:t>
      </w:r>
      <w:r w:rsidRPr="004572E2">
        <w:noBreakHyphen/>
        <w:t>21) have been amended during the review period, while no changes were made to the other regimes (Section 2.4).</w:t>
      </w:r>
    </w:p>
    <w:p w14:paraId="75FE48F5" w14:textId="77777777" w:rsidR="00EB7374" w:rsidRPr="004572E2" w:rsidRDefault="00EB7374" w:rsidP="00C80D98">
      <w:pPr>
        <w:pStyle w:val="BodyText"/>
      </w:pPr>
      <w:r w:rsidRPr="004572E2">
        <w:t xml:space="preserve">The </w:t>
      </w:r>
      <w:proofErr w:type="spellStart"/>
      <w:r w:rsidRPr="004572E2">
        <w:t>Center</w:t>
      </w:r>
      <w:proofErr w:type="spellEnd"/>
      <w:r w:rsidRPr="004572E2">
        <w:t xml:space="preserve"> for Industrial Development and Competitiveness (</w:t>
      </w:r>
      <w:proofErr w:type="spellStart"/>
      <w:r w:rsidRPr="004572E2">
        <w:t>PROINDUSTRIA</w:t>
      </w:r>
      <w:proofErr w:type="spellEnd"/>
      <w:r w:rsidRPr="004572E2">
        <w:t xml:space="preserve">) is the public entity responsible for promoting the industrial competitiveness of the manufacturing sector. The management board of </w:t>
      </w:r>
      <w:proofErr w:type="spellStart"/>
      <w:r w:rsidRPr="004572E2">
        <w:t>PROINDUSTRIA</w:t>
      </w:r>
      <w:proofErr w:type="spellEnd"/>
      <w:r w:rsidRPr="004572E2">
        <w:t xml:space="preserve"> is the agency's governing body, responsible for proposing and furthering policies and programmes for the sector's development and modernization.</w:t>
      </w:r>
      <w:r w:rsidRPr="004572E2">
        <w:rPr>
          <w:rStyle w:val="FootnoteReference"/>
        </w:rPr>
        <w:footnoteReference w:id="457"/>
      </w:r>
      <w:r w:rsidRPr="004572E2">
        <w:t xml:space="preserve"> Manufacturing industries that have obtained Industrial Recognition can apply to </w:t>
      </w:r>
      <w:proofErr w:type="spellStart"/>
      <w:r w:rsidRPr="004572E2">
        <w:t>PROINDUSTRIA</w:t>
      </w:r>
      <w:proofErr w:type="spellEnd"/>
      <w:r w:rsidRPr="004572E2">
        <w:t xml:space="preserve"> to receive the benefits set forth in Law No. 392</w:t>
      </w:r>
      <w:r w:rsidRPr="004572E2">
        <w:noBreakHyphen/>
        <w:t>07.</w:t>
      </w:r>
      <w:r w:rsidRPr="004572E2">
        <w:rPr>
          <w:rStyle w:val="FootnoteReference"/>
        </w:rPr>
        <w:footnoteReference w:id="458"/>
      </w:r>
      <w:r w:rsidRPr="004572E2">
        <w:t xml:space="preserve"> This incentives regime expired in 2017 after 10</w:t>
      </w:r>
      <w:r>
        <w:t> </w:t>
      </w:r>
      <w:r w:rsidRPr="004572E2">
        <w:t>years in force, but some of the incentives were reinstated in 2020 for a further 15 fiscal years.</w:t>
      </w:r>
      <w:r w:rsidRPr="004572E2">
        <w:rPr>
          <w:rStyle w:val="FootnoteReference"/>
        </w:rPr>
        <w:footnoteReference w:id="459"/>
      </w:r>
      <w:r w:rsidRPr="004572E2">
        <w:t xml:space="preserve"> In addition to investment incentives (Section 2.4), a 50</w:t>
      </w:r>
      <w:r>
        <w:t>%</w:t>
      </w:r>
      <w:r w:rsidRPr="004572E2">
        <w:t xml:space="preserve"> exemption from the </w:t>
      </w:r>
      <w:proofErr w:type="spellStart"/>
      <w:r w:rsidRPr="004572E2">
        <w:t>ITBIS</w:t>
      </w:r>
      <w:proofErr w:type="spellEnd"/>
      <w:r w:rsidRPr="004572E2">
        <w:t xml:space="preserve"> is applied to purchases of some capital goods and raw materials that are imported or purchased on the domestic market</w:t>
      </w:r>
      <w:r w:rsidRPr="004572E2">
        <w:rPr>
          <w:rStyle w:val="FootnoteReference"/>
        </w:rPr>
        <w:footnoteReference w:id="460"/>
      </w:r>
      <w:r w:rsidRPr="004572E2">
        <w:t xml:space="preserve">; exporters are entitled to a refund of the </w:t>
      </w:r>
      <w:proofErr w:type="spellStart"/>
      <w:r w:rsidRPr="004572E2">
        <w:t>ITBIS</w:t>
      </w:r>
      <w:proofErr w:type="spellEnd"/>
      <w:r w:rsidRPr="004572E2">
        <w:t xml:space="preserve"> and the </w:t>
      </w:r>
      <w:proofErr w:type="spellStart"/>
      <w:r w:rsidRPr="004572E2">
        <w:t>ISC</w:t>
      </w:r>
      <w:proofErr w:type="spellEnd"/>
      <w:r w:rsidRPr="004572E2">
        <w:rPr>
          <w:rStyle w:val="FootnoteReference"/>
        </w:rPr>
        <w:footnoteReference w:id="461"/>
      </w:r>
      <w:r w:rsidRPr="004572E2">
        <w:t>; and recognized companies can join the partial processing regime.</w:t>
      </w:r>
      <w:r w:rsidRPr="004572E2">
        <w:rPr>
          <w:rStyle w:val="FootnoteReference"/>
        </w:rPr>
        <w:footnoteReference w:id="462"/>
      </w:r>
    </w:p>
    <w:p w14:paraId="3741D192" w14:textId="77777777" w:rsidR="00EB7374" w:rsidRPr="004572E2" w:rsidRDefault="00EB7374" w:rsidP="00C80D98">
      <w:pPr>
        <w:pStyle w:val="BodyText"/>
      </w:pPr>
      <w:proofErr w:type="spellStart"/>
      <w:r w:rsidRPr="004572E2">
        <w:t>PROINDUSTRIA</w:t>
      </w:r>
      <w:proofErr w:type="spellEnd"/>
      <w:r w:rsidRPr="004572E2">
        <w:t xml:space="preserve"> promotes the creation of new manufacturing companies and enterprises by young entrepreneurs, carries out other technical assistance programmes, provides technological training and promotes industrial parks. These parks, which may be public, private or joint ventures, provide logistical facilities and industrial premises at low rents. They seek to generate productive and associative links between companies, and most of what they produce enters the local market.</w:t>
      </w:r>
    </w:p>
    <w:p w14:paraId="73119D89" w14:textId="2CAA2173" w:rsidR="00EB7374" w:rsidRPr="004572E2" w:rsidRDefault="00EB7374" w:rsidP="00C80D98">
      <w:pPr>
        <w:pStyle w:val="BodyText"/>
      </w:pPr>
      <w:r w:rsidRPr="004572E2">
        <w:t>In 2021, the incentives regime for the Special Border Development Zone expired and was replaced with a new regime known as the Special Comprehensive Border Development Zone.</w:t>
      </w:r>
      <w:r w:rsidRPr="004572E2">
        <w:rPr>
          <w:rStyle w:val="FootnoteReference"/>
        </w:rPr>
        <w:footnoteReference w:id="463"/>
      </w:r>
      <w:r w:rsidRPr="004572E2">
        <w:t xml:space="preserve"> Under the new regime, the incentives' period of validity was extended from 20 to 30 years.</w:t>
      </w:r>
      <w:r w:rsidRPr="004572E2">
        <w:rPr>
          <w:rStyle w:val="FootnoteReference"/>
        </w:rPr>
        <w:footnoteReference w:id="464"/>
      </w:r>
      <w:r w:rsidRPr="004572E2">
        <w:t xml:space="preserve"> In addition to investment incentives (Section 2.4), some of the production</w:t>
      </w:r>
      <w:r w:rsidRPr="004572E2">
        <w:noBreakHyphen/>
        <w:t>related incentives were amended: for example, the 50</w:t>
      </w:r>
      <w:r>
        <w:t>%</w:t>
      </w:r>
      <w:r w:rsidRPr="004572E2">
        <w:t xml:space="preserve"> reduction in fees for transit and use of ports and airports was abolished, and the exemption from payment of the </w:t>
      </w:r>
      <w:proofErr w:type="spellStart"/>
      <w:r w:rsidRPr="004572E2">
        <w:t>ITBIS</w:t>
      </w:r>
      <w:proofErr w:type="spellEnd"/>
      <w:r w:rsidRPr="004572E2">
        <w:t xml:space="preserve"> on purchases of supplies and raw materials used to produce goods not exempt from the </w:t>
      </w:r>
      <w:proofErr w:type="spellStart"/>
      <w:r w:rsidRPr="004572E2">
        <w:t>ITBIS</w:t>
      </w:r>
      <w:proofErr w:type="spellEnd"/>
      <w:r w:rsidRPr="004572E2">
        <w:t xml:space="preserve"> was reduced from 100</w:t>
      </w:r>
      <w:r>
        <w:t>%</w:t>
      </w:r>
      <w:r w:rsidRPr="004572E2">
        <w:t xml:space="preserve"> to 50</w:t>
      </w:r>
      <w:r>
        <w:t>%</w:t>
      </w:r>
      <w:r w:rsidRPr="004572E2">
        <w:t>. The following exemptions were not modified: the exemption from</w:t>
      </w:r>
      <w:r w:rsidR="005D1C13">
        <w:t xml:space="preserve"> the</w:t>
      </w:r>
      <w:r w:rsidRPr="004572E2">
        <w:t xml:space="preserve"> </w:t>
      </w:r>
      <w:proofErr w:type="spellStart"/>
      <w:r w:rsidRPr="004572E2">
        <w:t>ISR</w:t>
      </w:r>
      <w:proofErr w:type="spellEnd"/>
      <w:r w:rsidRPr="004572E2">
        <w:t xml:space="preserve">; the exemption from the </w:t>
      </w:r>
      <w:proofErr w:type="spellStart"/>
      <w:r w:rsidRPr="004572E2">
        <w:t>ISC</w:t>
      </w:r>
      <w:proofErr w:type="spellEnd"/>
      <w:r w:rsidRPr="004572E2">
        <w:t xml:space="preserve"> on telecommunications and insurance relating to project facilities; the exemption from the </w:t>
      </w:r>
      <w:proofErr w:type="spellStart"/>
      <w:r w:rsidRPr="004572E2">
        <w:t>ITBIS</w:t>
      </w:r>
      <w:proofErr w:type="spellEnd"/>
      <w:r w:rsidRPr="004572E2">
        <w:t xml:space="preserve"> on purchases and imports of supplies and raw materials used to produce goods that are exempt from the </w:t>
      </w:r>
      <w:proofErr w:type="spellStart"/>
      <w:r w:rsidRPr="004572E2">
        <w:t>ITBIS</w:t>
      </w:r>
      <w:proofErr w:type="spellEnd"/>
      <w:r w:rsidRPr="004572E2">
        <w:t>; and the exemption from the tariff on imports of production</w:t>
      </w:r>
      <w:r w:rsidRPr="004572E2">
        <w:noBreakHyphen/>
        <w:t>related supplies and raw materials not produced in the country.</w:t>
      </w:r>
    </w:p>
    <w:p w14:paraId="05D58643" w14:textId="77777777" w:rsidR="00EB7374" w:rsidRPr="004572E2" w:rsidRDefault="00EB7374" w:rsidP="00C80D98">
      <w:pPr>
        <w:pStyle w:val="BodyText"/>
      </w:pPr>
      <w:r w:rsidRPr="004572E2">
        <w:lastRenderedPageBreak/>
        <w:t>In 2021, the tax foregone as a result of the benefits granted to companies in free zones amounted to DOP 28,308 million, which is equivalent to 0.6</w:t>
      </w:r>
      <w:r>
        <w:t>%</w:t>
      </w:r>
      <w:r w:rsidRPr="004572E2">
        <w:t xml:space="preserve"> of GDP. In that same year, the cost of the benefits stood at DOP 1,661 million for companies under the border development regime and DOP 6.2 million for companies under the </w:t>
      </w:r>
      <w:proofErr w:type="spellStart"/>
      <w:r w:rsidRPr="004572E2">
        <w:t>PROINDUSTRIA</w:t>
      </w:r>
      <w:proofErr w:type="spellEnd"/>
      <w:r w:rsidRPr="004572E2">
        <w:t xml:space="preserve"> regime.</w:t>
      </w:r>
    </w:p>
    <w:p w14:paraId="6B8C649F" w14:textId="77777777" w:rsidR="00EB7374" w:rsidRDefault="00EB7374" w:rsidP="00C80D98">
      <w:pPr>
        <w:pStyle w:val="Heading2"/>
      </w:pPr>
      <w:bookmarkStart w:id="347" w:name="_Toc114735775"/>
      <w:bookmarkStart w:id="348" w:name="_Toc117260656"/>
      <w:r>
        <w:t>Services</w:t>
      </w:r>
      <w:bookmarkEnd w:id="347"/>
      <w:bookmarkEnd w:id="348"/>
    </w:p>
    <w:p w14:paraId="03FD0F04" w14:textId="77777777" w:rsidR="00EB7374" w:rsidRDefault="00EB7374" w:rsidP="00C80D98">
      <w:pPr>
        <w:pStyle w:val="Heading3"/>
      </w:pPr>
      <w:bookmarkStart w:id="349" w:name="_Toc114735776"/>
      <w:bookmarkStart w:id="350" w:name="_Toc117260657"/>
      <w:r>
        <w:t>Financial services</w:t>
      </w:r>
      <w:bookmarkEnd w:id="349"/>
      <w:bookmarkEnd w:id="350"/>
    </w:p>
    <w:p w14:paraId="1E35CB9F" w14:textId="77777777" w:rsidR="00EB7374" w:rsidRPr="00A35956" w:rsidRDefault="00EB7374" w:rsidP="00C80D98">
      <w:pPr>
        <w:pStyle w:val="BodyText"/>
      </w:pPr>
      <w:r>
        <w:t>Financial intermediation services in the Dominican Republic accounted for 3.9% of GDP in 2021. The Dominican Republic is a net importer of financial services. Financial intermediation services in the Republic are provided by: (1) incorporated entities, which may be full-service banks or either of two types of credit institutions: savings and credit banks, or credit corporations; and (2) non-joint-stock entities, which may be savings and loan associations or savings and credit cooperatives.</w:t>
      </w:r>
      <w:r w:rsidRPr="00C23180">
        <w:rPr>
          <w:vertAlign w:val="superscript"/>
        </w:rPr>
        <w:footnoteReference w:id="465"/>
      </w:r>
      <w:r>
        <w:t xml:space="preserve"> The savings and loan associations are mutual entities that the Monetary Board may authorize to be converted into full-service banks or credit institutions.</w:t>
      </w:r>
      <w:r w:rsidRPr="00A35956">
        <w:rPr>
          <w:vertAlign w:val="superscript"/>
        </w:rPr>
        <w:footnoteReference w:id="466"/>
      </w:r>
    </w:p>
    <w:p w14:paraId="10D14AF6" w14:textId="047A3D5F" w:rsidR="00EB7374" w:rsidRPr="00C23180" w:rsidRDefault="00EB7374" w:rsidP="00C80D98">
      <w:pPr>
        <w:pStyle w:val="BodyText"/>
      </w:pPr>
      <w:r>
        <w:t xml:space="preserve">During the review period, the financial system performed well, despite the negative economic effects of the COVID-19 pandemic, thanks in no small part to the monetary, financial and exchange policies implemented from March 2020 and the </w:t>
      </w:r>
      <w:r w:rsidR="00DE3802">
        <w:t>channelling</w:t>
      </w:r>
      <w:r>
        <w:t xml:space="preserve"> of resources towards the domestic productive sectors and households. During this review, the authorities noted that financial system regulations have fostered financial stability domestically by creating the right conditions for the financing of the productive sectors and by strengthening the operating framework for financial intermediaries and foreign exchange intermediaries during the COVID-19 pandemic. The main regulatory measures include the freeing up of legal reserves and the use of repurchase agreement transactions and the quick liquidity facility window. In total, these policies provided a monetary stimulus of more than DOP 215 billion, or more than 5.0% of GDP, to revive economic activity and employment.</w:t>
      </w:r>
      <w:r w:rsidRPr="00C23180">
        <w:rPr>
          <w:vertAlign w:val="superscript"/>
        </w:rPr>
        <w:footnoteReference w:id="467"/>
      </w:r>
      <w:r>
        <w:t xml:space="preserve"> In addition, the Central Bank actively participated in the foreign exchange market by placing more than USD 6.9 billion to inject foreign currency liquidity into financial entities to meet demand for foreign currency.</w:t>
      </w:r>
    </w:p>
    <w:p w14:paraId="48357BAF" w14:textId="77777777" w:rsidR="00EB7374" w:rsidRPr="00A35956" w:rsidRDefault="00EB7374" w:rsidP="00C80D98">
      <w:pPr>
        <w:pStyle w:val="BodyText"/>
      </w:pPr>
      <w:r>
        <w:t>In addition to the above, the monetary authorities adopted measures to prevent the potential deterioration of the loan portfolio due to the uncertainty created by the impact of the pandemic on the economy. In this regard, in its Second Resolution of 17 March 2020, the Monetary Board (the highest monetary authority – see below) authorized the implementation of a transitional regulatory approach for financial intermediaries, allowing them to freeze the ratings and provisions of their respective debtors at pre-pandemic levels until 31 March 2021, at which point entities would have to rectify their ratings to bring them in line with the Asset Valuation Regulations (REA). Similarly, in considering what financial impact the end of this transitional approach might have on financial institutions, the Monetary Board, in its Fourth Resolution of 15 December 2020, stipulated that the provisions that were exempted under the regulatory approach could be built up gradually, on a voluntary basis, over the course of 24 months. It also stipulated that, until deferred provisions were in place, institutions would not be permitted to pay out dividends other than for their capitalization. At a later stage, the Monetary Board, in its Second Resolution of 18 March 2021, extended the period for gradual provisioning from 24 to 33 months, ending on 31 December 2023, and allowed gradual provisioning for new loans, the impairment of pre-existing loans and the loss of value of eligible guarantees. The Monetary Board also authorized forward-looking provisioning – to be recorded in the profit and loss statement for 2021 – to cover up to 2% of risk-weighted assets and contingency transactions.</w:t>
      </w:r>
    </w:p>
    <w:p w14:paraId="46D6CAE1" w14:textId="77777777" w:rsidR="00EB7374" w:rsidRPr="00C23180" w:rsidRDefault="00EB7374" w:rsidP="00C80D98">
      <w:pPr>
        <w:pStyle w:val="BodyText"/>
      </w:pPr>
      <w:r>
        <w:t xml:space="preserve">Within the context of the WTO, the Dominican Republic has ratified the Fifth Protocol to the General Agreement on Trade in Services, but has made few commitments. The country's legislation allows foreign ownership of up to 60% of equity in domestic banking service institutions, although </w:t>
      </w:r>
      <w:r>
        <w:lastRenderedPageBreak/>
        <w:t>such ownership is usually 49%. Moreover, for some deposit services the establishment of financial entities is subject to evidence of economic necessity.</w:t>
      </w:r>
      <w:r w:rsidRPr="00CE428E">
        <w:rPr>
          <w:szCs w:val="18"/>
          <w:vertAlign w:val="superscript"/>
        </w:rPr>
        <w:footnoteReference w:id="468"/>
      </w:r>
      <w:bookmarkStart w:id="351" w:name="_Toc417038541"/>
      <w:bookmarkStart w:id="352" w:name="_Toc114735777"/>
    </w:p>
    <w:p w14:paraId="3931FF91" w14:textId="77777777" w:rsidR="00EB7374" w:rsidRPr="009B4CC1" w:rsidRDefault="00EB7374" w:rsidP="00C80D98">
      <w:pPr>
        <w:pStyle w:val="Heading4"/>
        <w:numPr>
          <w:ilvl w:val="3"/>
          <w:numId w:val="32"/>
        </w:numPr>
      </w:pPr>
      <w:bookmarkStart w:id="353" w:name="_Toc117260658"/>
      <w:r>
        <w:t>Banking</w:t>
      </w:r>
      <w:bookmarkEnd w:id="351"/>
      <w:bookmarkEnd w:id="352"/>
      <w:bookmarkEnd w:id="353"/>
    </w:p>
    <w:p w14:paraId="4E2631BF" w14:textId="77777777" w:rsidR="00EB7374" w:rsidRPr="00A35956" w:rsidRDefault="00EB7374" w:rsidP="00C80D98">
      <w:pPr>
        <w:pStyle w:val="Heading5"/>
      </w:pPr>
      <w:bookmarkStart w:id="354" w:name="_Toc417038542"/>
      <w:bookmarkStart w:id="355" w:name="_Toc114735778"/>
      <w:bookmarkStart w:id="356" w:name="_Toc117260659"/>
      <w:r>
        <w:t>General features and prudential indicators</w:t>
      </w:r>
      <w:bookmarkEnd w:id="354"/>
      <w:bookmarkEnd w:id="355"/>
      <w:bookmarkEnd w:id="356"/>
    </w:p>
    <w:p w14:paraId="2A4F3E96" w14:textId="77777777" w:rsidR="00EB7374" w:rsidRPr="00A35956" w:rsidRDefault="00EB7374" w:rsidP="00C80D98">
      <w:pPr>
        <w:pStyle w:val="BodyText"/>
      </w:pPr>
      <w:r>
        <w:t>According to the Monetary and Financial Law (Law No. 183-02), financial intermediaries may be either private or public entities. Those that are private may be either incorporated entities or non-joint-stock entities. Incorporated entities consist of full-service banks and two types of credit institutions: savings and credit banks, and credit corporations. The non-joint-stock entities engaged in financial intermediation can be either savings and loan associations or savings and credit cooperatives.</w:t>
      </w:r>
      <w:r w:rsidRPr="00A35956">
        <w:rPr>
          <w:vertAlign w:val="superscript"/>
        </w:rPr>
        <w:footnoteReference w:id="469"/>
      </w:r>
    </w:p>
    <w:p w14:paraId="3D20BDEF" w14:textId="77777777" w:rsidR="00EB7374" w:rsidRPr="00A35956" w:rsidRDefault="00EB7374" w:rsidP="00C80D98">
      <w:pPr>
        <w:pStyle w:val="BodyText"/>
      </w:pPr>
      <w:r>
        <w:t>To operate as a financial intermediary, prior authorization must be obtained from the Monetary Board, which may only refuse authorization on legal grounds, not for reasons of expediency. The Board's authorization expires if the entity does not commence operations within six months of it being granted. Prior authorization from the Monetary Board is also required for mergers, takeovers, changes of form, split-offs, divisions, sales of shares of other entities representing at least 30% of the paid-up capital and transfers of all or a substantial part of an entity's assets and liabilities, as well as the opening of branches and agencies of domestic banks abroad and the opening of representative offices of foreign financial entities in the national territory. In each case, the prior opinion of the Banking Supervisory Authority is required. The opening of branches and agencies in the national territory, as well as their transfer and closure, requires prior authorization from the Banking Supervisory Authority.</w:t>
      </w:r>
    </w:p>
    <w:p w14:paraId="2C235191" w14:textId="77777777" w:rsidR="00EB7374" w:rsidRPr="00A35956" w:rsidRDefault="00EB7374" w:rsidP="00C80D98">
      <w:pPr>
        <w:pStyle w:val="BodyText"/>
      </w:pPr>
      <w:r>
        <w:t>Although the Law does not actually limit the activities of financial entities within their respective categories, the Monetary Board has the authority to establish operational limitations on newly created entities in terms of the opening of branches, maximum organization costs, dividends and other measures to ensure that their initial expansion is carried out prudently. The Law also stipulates, however, that such limitations may not apply beyond five years after authorization is granted. No limitations may apply to interest rates, commissions and surcharges, which are determined freely, as agreed, with no additional limitations other than those deriving from general procurement rules and from consumer transparency and protection rules provided for in the Law.</w:t>
      </w:r>
    </w:p>
    <w:p w14:paraId="61FCF60D" w14:textId="77777777" w:rsidR="00EB7374" w:rsidRPr="00C23180" w:rsidRDefault="00EB7374" w:rsidP="00C80D98">
      <w:pPr>
        <w:pStyle w:val="BodyText"/>
      </w:pPr>
      <w:r>
        <w:t>Savings and loan associations are mutual entities that are governed by the Monetary and Financial Law; the Monetary Board may authorize them to be converted into full-service banks or credit institutions.</w:t>
      </w:r>
      <w:r w:rsidRPr="00C23180">
        <w:rPr>
          <w:vertAlign w:val="superscript"/>
        </w:rPr>
        <w:footnoteReference w:id="470"/>
      </w:r>
      <w:r>
        <w:t xml:space="preserve"> Savings and credit cooperatives are governed by Law No. 127-64 on Cooperative Associations of 27 January 1964 and are excluded from the scope of Law No. 183-02.</w:t>
      </w:r>
      <w:r w:rsidRPr="00A35956">
        <w:rPr>
          <w:vertAlign w:val="superscript"/>
        </w:rPr>
        <w:footnoteReference w:id="471"/>
      </w:r>
    </w:p>
    <w:p w14:paraId="40782A6A" w14:textId="77777777" w:rsidR="00EB7374" w:rsidRPr="00C23180" w:rsidRDefault="00EB7374" w:rsidP="00C80D98">
      <w:pPr>
        <w:pStyle w:val="BodyText"/>
      </w:pPr>
      <w:r>
        <w:t>As of December 2021, there were 49 financial intermediaries operating under the supervision of the Banking Supervisory Authority: 17 full-service banks, 14 savings and credit banks, 6 credit corporations, 10 savings and loan associations, the Export and Development Bank (</w:t>
      </w:r>
      <w:proofErr w:type="spellStart"/>
      <w:r>
        <w:t>BANDEX</w:t>
      </w:r>
      <w:proofErr w:type="spellEnd"/>
      <w:r>
        <w:t>) and the Agricultural Bank of the Dominican Republic (</w:t>
      </w:r>
      <w:proofErr w:type="spellStart"/>
      <w:r>
        <w:t>BAGRÍCOLA</w:t>
      </w:r>
      <w:proofErr w:type="spellEnd"/>
      <w:r>
        <w:t>).</w:t>
      </w:r>
      <w:r w:rsidRPr="00C23180">
        <w:rPr>
          <w:vertAlign w:val="superscript"/>
        </w:rPr>
        <w:footnoteReference w:id="472"/>
      </w:r>
      <w:r>
        <w:t xml:space="preserve"> Of these, 46 were private-equity institutions and three – the Reserve Bank, </w:t>
      </w:r>
      <w:proofErr w:type="spellStart"/>
      <w:r>
        <w:t>BANDEX</w:t>
      </w:r>
      <w:proofErr w:type="spellEnd"/>
      <w:r>
        <w:t xml:space="preserve"> and </w:t>
      </w:r>
      <w:proofErr w:type="spellStart"/>
      <w:r>
        <w:t>BAGRÍCOLA</w:t>
      </w:r>
      <w:proofErr w:type="spellEnd"/>
      <w:r>
        <w:t xml:space="preserve"> – were public corporations.</w:t>
      </w:r>
      <w:r w:rsidRPr="00C23180">
        <w:rPr>
          <w:vertAlign w:val="superscript"/>
        </w:rPr>
        <w:footnoteReference w:id="473"/>
      </w:r>
      <w:r>
        <w:t xml:space="preserve"> As of the same month, authorizations had been granted for the establishment of eight representative offices of foreign banks in the country, which were already operating.</w:t>
      </w:r>
      <w:r w:rsidRPr="00A35956">
        <w:rPr>
          <w:vertAlign w:val="superscript"/>
        </w:rPr>
        <w:footnoteReference w:id="474"/>
      </w:r>
    </w:p>
    <w:p w14:paraId="5CFFE83E" w14:textId="77777777" w:rsidR="00EB7374" w:rsidRPr="00C23180" w:rsidRDefault="00EB7374" w:rsidP="00C80D98">
      <w:pPr>
        <w:pStyle w:val="BodyText"/>
      </w:pPr>
      <w:r>
        <w:t xml:space="preserve">The Dominican banking system performed well during the review period, despite the negative effects of the COVID-19 pandemic. Assets totalled DOP 2,696.2 million in December 2021 </w:t>
      </w:r>
      <w:r>
        <w:lastRenderedPageBreak/>
        <w:t>(USD 47,500 million), compared with DOP 1,359.6 million (USD 30,213 million) in 2015.</w:t>
      </w:r>
      <w:r w:rsidRPr="00C23180">
        <w:rPr>
          <w:vertAlign w:val="superscript"/>
        </w:rPr>
        <w:footnoteReference w:id="475"/>
      </w:r>
      <w:r>
        <w:t xml:space="preserve"> In December 2021, 88.0% (USD 41.8 billion) </w:t>
      </w:r>
      <w:r w:rsidRPr="00EA13AB">
        <w:t xml:space="preserve">of total assets </w:t>
      </w:r>
      <w:r>
        <w:t xml:space="preserve">were controlled by full-service banks, 9.7% by savings and loan associations, 1.9% by savings and credit banks, 0.3% by </w:t>
      </w:r>
      <w:proofErr w:type="spellStart"/>
      <w:r>
        <w:t>BANDEX</w:t>
      </w:r>
      <w:proofErr w:type="spellEnd"/>
      <w:r>
        <w:t xml:space="preserve"> and 0.1% by credit corporations.</w:t>
      </w:r>
      <w:r w:rsidRPr="00A35956">
        <w:rPr>
          <w:vertAlign w:val="superscript"/>
        </w:rPr>
        <w:footnoteReference w:id="476"/>
      </w:r>
    </w:p>
    <w:p w14:paraId="607D7427" w14:textId="77777777" w:rsidR="00EB7374" w:rsidRPr="00A35956" w:rsidRDefault="00EB7374" w:rsidP="00C80D98">
      <w:pPr>
        <w:pStyle w:val="BodyText"/>
      </w:pPr>
      <w:r>
        <w:t>As indicated in the report for the previous review, the Dominican banking system continues to display a high degree of concentration. In December 2021, the three leading institutions held 70% of total assets, up from 67.3% indicated for December 2014 in the previous report. The 10 largest institutions held 89.0% of total assets.</w:t>
      </w:r>
      <w:r w:rsidRPr="00C23180">
        <w:rPr>
          <w:color w:val="000000"/>
          <w:szCs w:val="18"/>
          <w:vertAlign w:val="superscript"/>
        </w:rPr>
        <w:footnoteReference w:id="477"/>
      </w:r>
      <w:r>
        <w:rPr>
          <w:color w:val="000000"/>
          <w:szCs w:val="18"/>
        </w:rPr>
        <w:t xml:space="preserve"> </w:t>
      </w:r>
      <w:r>
        <w:t xml:space="preserve">The 15 largest institutions held 94.7% of total assets. The expansion of total assets was driven by the dynamism of the loan portfolio, which recorded a substantial increase. Some 10.3% of financial system assets are in the hands of foreign banks; this percentage rises to 26.5% </w:t>
      </w:r>
      <w:r w:rsidRPr="00667239">
        <w:t>if Dominican banking with foreign capital participation is taken into account</w:t>
      </w:r>
      <w:r>
        <w:t>.</w:t>
      </w:r>
      <w:r w:rsidRPr="00C23180">
        <w:rPr>
          <w:vertAlign w:val="superscript"/>
        </w:rPr>
        <w:footnoteReference w:id="478"/>
      </w:r>
      <w:r>
        <w:t xml:space="preserve"> Some 89% of local bank capital is owned by local shareholders, while 11% is owned by foreign shareholders. The latter own shares in 11 financial intermediaries.</w:t>
      </w:r>
    </w:p>
    <w:p w14:paraId="47DDF002" w14:textId="77777777" w:rsidR="00EB7374" w:rsidRPr="00A35956" w:rsidRDefault="00EB7374" w:rsidP="00C80D98">
      <w:pPr>
        <w:pStyle w:val="BodyText"/>
      </w:pPr>
      <w:r>
        <w:t>Following the trend indicated in the previous report, the increase in the level of financial intermediation continued to gather strength during the review period. This pushed the value of the total assets of the financial system to 50.6% of GDP in 2021, compared with 42.4% in 2015. Financial system deposits increased from 33.4% of GDP in 2015 to 39.3% in December 2021, while the loan portfolio remained at around 26% of GDP (Table 4.10).</w:t>
      </w:r>
    </w:p>
    <w:p w14:paraId="284D4F86" w14:textId="77777777" w:rsidR="00EB7374" w:rsidRPr="00A35956" w:rsidRDefault="00EB7374" w:rsidP="00C2164F">
      <w:pPr>
        <w:pStyle w:val="Caption"/>
        <w:rPr>
          <w:b w:val="0"/>
          <w:bCs w:val="0"/>
        </w:rPr>
      </w:pPr>
      <w:bookmarkStart w:id="357" w:name="_Toc417038641"/>
      <w:bookmarkStart w:id="358" w:name="_Toc114735846"/>
      <w:bookmarkStart w:id="359" w:name="_Toc117238064"/>
      <w:r>
        <w:t xml:space="preserve">Table </w:t>
      </w:r>
      <w:r w:rsidR="00BD37F2">
        <w:fldChar w:fldCharType="begin"/>
      </w:r>
      <w:r w:rsidR="00BD37F2">
        <w:instrText xml:space="preserve"> STYLEREF 1 \s </w:instrText>
      </w:r>
      <w:r w:rsidR="00BD37F2">
        <w:fldChar w:fldCharType="separate"/>
      </w:r>
      <w:r>
        <w:rPr>
          <w:noProof/>
        </w:rPr>
        <w:t>4</w:t>
      </w:r>
      <w:r w:rsidR="00BD37F2">
        <w:rPr>
          <w:noProof/>
        </w:rPr>
        <w:fldChar w:fldCharType="end"/>
      </w:r>
      <w:r>
        <w:t>.</w:t>
      </w:r>
      <w:r w:rsidR="00BD37F2">
        <w:fldChar w:fldCharType="begin"/>
      </w:r>
      <w:r w:rsidR="00BD37F2">
        <w:instrText xml:space="preserve"> SEQ Table \* ARABIC \s 1 </w:instrText>
      </w:r>
      <w:r w:rsidR="00BD37F2">
        <w:fldChar w:fldCharType="separate"/>
      </w:r>
      <w:r>
        <w:rPr>
          <w:noProof/>
        </w:rPr>
        <w:t>10</w:t>
      </w:r>
      <w:r w:rsidR="00BD37F2">
        <w:rPr>
          <w:noProof/>
        </w:rPr>
        <w:fldChar w:fldCharType="end"/>
      </w:r>
      <w:r>
        <w:t xml:space="preserve"> Banking system indicators, 2015-21</w:t>
      </w:r>
      <w:bookmarkEnd w:id="357"/>
      <w:bookmarkEnd w:id="358"/>
      <w:bookmarkEnd w:id="359"/>
      <w:r>
        <w:t xml:space="preserve"> </w:t>
      </w:r>
    </w:p>
    <w:tbl>
      <w:tblPr>
        <w:tblStyle w:val="WTOTable1"/>
        <w:tblW w:w="0" w:type="auto"/>
        <w:tblLayout w:type="fixed"/>
        <w:tblLook w:val="04A0" w:firstRow="1" w:lastRow="0" w:firstColumn="1" w:lastColumn="0" w:noHBand="0" w:noVBand="1"/>
      </w:tblPr>
      <w:tblGrid>
        <w:gridCol w:w="2808"/>
        <w:gridCol w:w="886"/>
        <w:gridCol w:w="887"/>
        <w:gridCol w:w="887"/>
        <w:gridCol w:w="887"/>
        <w:gridCol w:w="887"/>
        <w:gridCol w:w="887"/>
        <w:gridCol w:w="887"/>
      </w:tblGrid>
      <w:tr w:rsidR="00EB7374" w:rsidRPr="00F17159" w14:paraId="7ACEC15E" w14:textId="77777777" w:rsidTr="00C700EB">
        <w:trPr>
          <w:cnfStyle w:val="100000000000" w:firstRow="1" w:lastRow="0" w:firstColumn="0" w:lastColumn="0" w:oddVBand="0" w:evenVBand="0" w:oddHBand="0" w:evenHBand="0" w:firstRowFirstColumn="0" w:firstRowLastColumn="0" w:lastRowFirstColumn="0" w:lastRowLastColumn="0"/>
          <w:trHeight w:val="20"/>
          <w:tblHeader/>
        </w:trPr>
        <w:tc>
          <w:tcPr>
            <w:tcW w:w="2808" w:type="dxa"/>
            <w:vMerge w:val="restart"/>
            <w:noWrap/>
            <w:hideMark/>
          </w:tcPr>
          <w:p w14:paraId="38F09681" w14:textId="77777777" w:rsidR="00EB7374" w:rsidRPr="00F17159" w:rsidRDefault="00EB7374" w:rsidP="00C700EB">
            <w:pPr>
              <w:keepNext/>
              <w:keepLines/>
              <w:jc w:val="left"/>
              <w:rPr>
                <w:rFonts w:eastAsia="Verdana"/>
                <w:sz w:val="15"/>
                <w:szCs w:val="15"/>
              </w:rPr>
            </w:pPr>
          </w:p>
        </w:tc>
        <w:tc>
          <w:tcPr>
            <w:tcW w:w="6208" w:type="dxa"/>
            <w:gridSpan w:val="7"/>
            <w:tcBorders>
              <w:top w:val="single" w:sz="4" w:space="0" w:color="auto"/>
              <w:bottom w:val="single" w:sz="4" w:space="0" w:color="auto"/>
            </w:tcBorders>
            <w:noWrap/>
            <w:hideMark/>
          </w:tcPr>
          <w:p w14:paraId="00CAB001" w14:textId="77777777" w:rsidR="00EB7374" w:rsidRPr="00F17159" w:rsidRDefault="00EB7374" w:rsidP="00C700EB">
            <w:pPr>
              <w:keepNext/>
              <w:keepLines/>
              <w:jc w:val="center"/>
              <w:rPr>
                <w:rFonts w:eastAsia="Verdana"/>
                <w:sz w:val="15"/>
                <w:szCs w:val="15"/>
              </w:rPr>
            </w:pPr>
            <w:r>
              <w:rPr>
                <w:sz w:val="15"/>
                <w:szCs w:val="15"/>
              </w:rPr>
              <w:t>December</w:t>
            </w:r>
          </w:p>
        </w:tc>
      </w:tr>
      <w:tr w:rsidR="00EB7374" w:rsidRPr="00F17159" w14:paraId="77E3FC03" w14:textId="77777777" w:rsidTr="00C700EB">
        <w:trPr>
          <w:cnfStyle w:val="100000000000" w:firstRow="1" w:lastRow="0" w:firstColumn="0" w:lastColumn="0" w:oddVBand="0" w:evenVBand="0" w:oddHBand="0" w:evenHBand="0" w:firstRowFirstColumn="0" w:firstRowLastColumn="0" w:lastRowFirstColumn="0" w:lastRowLastColumn="0"/>
          <w:trHeight w:val="20"/>
          <w:tblHeader/>
        </w:trPr>
        <w:tc>
          <w:tcPr>
            <w:tcW w:w="2808" w:type="dxa"/>
            <w:vMerge/>
            <w:noWrap/>
          </w:tcPr>
          <w:p w14:paraId="68DD3D64" w14:textId="77777777" w:rsidR="00EB7374" w:rsidRPr="00F17159" w:rsidRDefault="00EB7374" w:rsidP="00C700EB">
            <w:pPr>
              <w:jc w:val="left"/>
              <w:rPr>
                <w:rFonts w:eastAsia="Verdana"/>
                <w:sz w:val="15"/>
                <w:szCs w:val="15"/>
              </w:rPr>
            </w:pPr>
          </w:p>
        </w:tc>
        <w:tc>
          <w:tcPr>
            <w:tcW w:w="886" w:type="dxa"/>
            <w:tcBorders>
              <w:top w:val="single" w:sz="4" w:space="0" w:color="auto"/>
            </w:tcBorders>
            <w:noWrap/>
          </w:tcPr>
          <w:p w14:paraId="0A890FA8" w14:textId="77777777" w:rsidR="00EB7374" w:rsidRPr="00F17159" w:rsidRDefault="00EB7374" w:rsidP="00C700EB">
            <w:pPr>
              <w:jc w:val="right"/>
              <w:rPr>
                <w:rFonts w:eastAsia="Verdana"/>
                <w:b w:val="0"/>
                <w:sz w:val="15"/>
                <w:szCs w:val="15"/>
              </w:rPr>
            </w:pPr>
            <w:r>
              <w:rPr>
                <w:sz w:val="15"/>
                <w:szCs w:val="15"/>
              </w:rPr>
              <w:t>2015</w:t>
            </w:r>
          </w:p>
        </w:tc>
        <w:tc>
          <w:tcPr>
            <w:tcW w:w="887" w:type="dxa"/>
            <w:tcBorders>
              <w:top w:val="single" w:sz="4" w:space="0" w:color="auto"/>
            </w:tcBorders>
          </w:tcPr>
          <w:p w14:paraId="472A49D7" w14:textId="77777777" w:rsidR="00EB7374" w:rsidRPr="00F17159" w:rsidRDefault="00EB7374" w:rsidP="00C700EB">
            <w:pPr>
              <w:jc w:val="right"/>
              <w:rPr>
                <w:rFonts w:eastAsia="Verdana"/>
                <w:b w:val="0"/>
                <w:sz w:val="15"/>
                <w:szCs w:val="15"/>
              </w:rPr>
            </w:pPr>
            <w:r>
              <w:rPr>
                <w:sz w:val="15"/>
                <w:szCs w:val="15"/>
              </w:rPr>
              <w:t>2016</w:t>
            </w:r>
          </w:p>
        </w:tc>
        <w:tc>
          <w:tcPr>
            <w:tcW w:w="887" w:type="dxa"/>
            <w:tcBorders>
              <w:top w:val="single" w:sz="4" w:space="0" w:color="auto"/>
            </w:tcBorders>
          </w:tcPr>
          <w:p w14:paraId="3C5FA495" w14:textId="77777777" w:rsidR="00EB7374" w:rsidRPr="00F17159" w:rsidRDefault="00EB7374" w:rsidP="00C700EB">
            <w:pPr>
              <w:jc w:val="right"/>
              <w:rPr>
                <w:rFonts w:eastAsia="Verdana"/>
                <w:b w:val="0"/>
                <w:sz w:val="15"/>
                <w:szCs w:val="15"/>
              </w:rPr>
            </w:pPr>
            <w:r>
              <w:rPr>
                <w:sz w:val="15"/>
                <w:szCs w:val="15"/>
              </w:rPr>
              <w:t>2017</w:t>
            </w:r>
          </w:p>
        </w:tc>
        <w:tc>
          <w:tcPr>
            <w:tcW w:w="887" w:type="dxa"/>
            <w:tcBorders>
              <w:top w:val="single" w:sz="4" w:space="0" w:color="auto"/>
            </w:tcBorders>
          </w:tcPr>
          <w:p w14:paraId="3C39BC0D" w14:textId="77777777" w:rsidR="00EB7374" w:rsidRPr="00F17159" w:rsidRDefault="00EB7374" w:rsidP="00C700EB">
            <w:pPr>
              <w:jc w:val="right"/>
              <w:rPr>
                <w:rFonts w:eastAsia="Verdana"/>
                <w:b w:val="0"/>
                <w:sz w:val="15"/>
                <w:szCs w:val="15"/>
              </w:rPr>
            </w:pPr>
            <w:r>
              <w:rPr>
                <w:sz w:val="15"/>
                <w:szCs w:val="15"/>
              </w:rPr>
              <w:t>2018</w:t>
            </w:r>
          </w:p>
        </w:tc>
        <w:tc>
          <w:tcPr>
            <w:tcW w:w="887" w:type="dxa"/>
            <w:tcBorders>
              <w:top w:val="single" w:sz="4" w:space="0" w:color="auto"/>
            </w:tcBorders>
          </w:tcPr>
          <w:p w14:paraId="0DF002FC" w14:textId="77777777" w:rsidR="00EB7374" w:rsidRPr="00F17159" w:rsidRDefault="00EB7374" w:rsidP="00C700EB">
            <w:pPr>
              <w:jc w:val="right"/>
              <w:rPr>
                <w:rFonts w:eastAsia="Verdana"/>
                <w:b w:val="0"/>
                <w:sz w:val="15"/>
                <w:szCs w:val="15"/>
              </w:rPr>
            </w:pPr>
            <w:r>
              <w:rPr>
                <w:sz w:val="15"/>
                <w:szCs w:val="15"/>
              </w:rPr>
              <w:t>2019</w:t>
            </w:r>
          </w:p>
        </w:tc>
        <w:tc>
          <w:tcPr>
            <w:tcW w:w="887" w:type="dxa"/>
            <w:tcBorders>
              <w:top w:val="single" w:sz="4" w:space="0" w:color="auto"/>
            </w:tcBorders>
          </w:tcPr>
          <w:p w14:paraId="4BAF433B" w14:textId="77777777" w:rsidR="00EB7374" w:rsidRPr="00F17159" w:rsidRDefault="00EB7374" w:rsidP="00C700EB">
            <w:pPr>
              <w:jc w:val="right"/>
              <w:rPr>
                <w:rFonts w:eastAsia="Verdana"/>
                <w:b w:val="0"/>
                <w:sz w:val="15"/>
                <w:szCs w:val="15"/>
              </w:rPr>
            </w:pPr>
            <w:r>
              <w:rPr>
                <w:sz w:val="15"/>
                <w:szCs w:val="15"/>
              </w:rPr>
              <w:t>2020</w:t>
            </w:r>
          </w:p>
        </w:tc>
        <w:tc>
          <w:tcPr>
            <w:tcW w:w="887" w:type="dxa"/>
            <w:tcBorders>
              <w:top w:val="single" w:sz="4" w:space="0" w:color="auto"/>
            </w:tcBorders>
          </w:tcPr>
          <w:p w14:paraId="1DB3056E" w14:textId="77777777" w:rsidR="00EB7374" w:rsidRPr="00F17159" w:rsidRDefault="00EB7374" w:rsidP="00C700EB">
            <w:pPr>
              <w:jc w:val="right"/>
              <w:rPr>
                <w:rFonts w:eastAsia="Verdana"/>
                <w:b w:val="0"/>
                <w:sz w:val="15"/>
                <w:szCs w:val="15"/>
              </w:rPr>
            </w:pPr>
            <w:r>
              <w:rPr>
                <w:color w:val="FFFFFF" w:themeColor="background1"/>
                <w:sz w:val="15"/>
                <w:szCs w:val="15"/>
              </w:rPr>
              <w:t>2021</w:t>
            </w:r>
            <w:r>
              <w:rPr>
                <w:color w:val="FFFFFF" w:themeColor="background1"/>
                <w:sz w:val="15"/>
                <w:szCs w:val="15"/>
                <w:vertAlign w:val="superscript"/>
              </w:rPr>
              <w:t>a</w:t>
            </w:r>
          </w:p>
        </w:tc>
      </w:tr>
      <w:tr w:rsidR="00EB7374" w:rsidRPr="00F17159" w14:paraId="27B521B3" w14:textId="77777777" w:rsidTr="00C700EB">
        <w:trPr>
          <w:trHeight w:val="20"/>
        </w:trPr>
        <w:tc>
          <w:tcPr>
            <w:tcW w:w="2808" w:type="dxa"/>
            <w:noWrap/>
            <w:hideMark/>
          </w:tcPr>
          <w:p w14:paraId="004801FE" w14:textId="77777777" w:rsidR="00EB7374" w:rsidRPr="00F17159" w:rsidRDefault="00EB7374" w:rsidP="00C700EB">
            <w:pPr>
              <w:jc w:val="left"/>
              <w:rPr>
                <w:rFonts w:eastAsia="Verdana"/>
                <w:sz w:val="15"/>
                <w:szCs w:val="15"/>
              </w:rPr>
            </w:pPr>
          </w:p>
        </w:tc>
        <w:tc>
          <w:tcPr>
            <w:tcW w:w="6208" w:type="dxa"/>
            <w:gridSpan w:val="7"/>
            <w:noWrap/>
            <w:hideMark/>
          </w:tcPr>
          <w:p w14:paraId="65812D56" w14:textId="77777777" w:rsidR="00EB7374" w:rsidRPr="00F17159" w:rsidRDefault="00EB7374" w:rsidP="00C700EB">
            <w:pPr>
              <w:jc w:val="center"/>
              <w:rPr>
                <w:rFonts w:eastAsia="Verdana"/>
                <w:sz w:val="15"/>
                <w:szCs w:val="15"/>
              </w:rPr>
            </w:pPr>
            <w:r>
              <w:rPr>
                <w:sz w:val="15"/>
                <w:szCs w:val="15"/>
              </w:rPr>
              <w:t>(DOP billion)</w:t>
            </w:r>
          </w:p>
        </w:tc>
      </w:tr>
      <w:tr w:rsidR="00EB7374" w:rsidRPr="00F17159" w14:paraId="4F506A8A" w14:textId="77777777" w:rsidTr="00C700EB">
        <w:trPr>
          <w:cnfStyle w:val="000000010000" w:firstRow="0" w:lastRow="0" w:firstColumn="0" w:lastColumn="0" w:oddVBand="0" w:evenVBand="0" w:oddHBand="0" w:evenHBand="1" w:firstRowFirstColumn="0" w:firstRowLastColumn="0" w:lastRowFirstColumn="0" w:lastRowLastColumn="0"/>
          <w:trHeight w:val="20"/>
        </w:trPr>
        <w:tc>
          <w:tcPr>
            <w:tcW w:w="2808" w:type="dxa"/>
            <w:noWrap/>
            <w:hideMark/>
          </w:tcPr>
          <w:p w14:paraId="6ADA8FA4" w14:textId="77777777" w:rsidR="00EB7374" w:rsidRPr="00F17159" w:rsidRDefault="00EB7374" w:rsidP="00C700EB">
            <w:pPr>
              <w:jc w:val="left"/>
              <w:rPr>
                <w:rFonts w:eastAsia="Verdana"/>
                <w:b/>
                <w:bCs/>
                <w:sz w:val="15"/>
                <w:szCs w:val="15"/>
              </w:rPr>
            </w:pPr>
            <w:r>
              <w:rPr>
                <w:b/>
                <w:bCs/>
                <w:sz w:val="15"/>
                <w:szCs w:val="15"/>
              </w:rPr>
              <w:t xml:space="preserve">Total financial assets </w:t>
            </w:r>
          </w:p>
        </w:tc>
        <w:tc>
          <w:tcPr>
            <w:tcW w:w="886" w:type="dxa"/>
            <w:noWrap/>
            <w:hideMark/>
          </w:tcPr>
          <w:p w14:paraId="5DC56895" w14:textId="77777777" w:rsidR="00EB7374" w:rsidRPr="00F17159" w:rsidRDefault="00EB7374" w:rsidP="00C700EB">
            <w:pPr>
              <w:jc w:val="right"/>
              <w:rPr>
                <w:rFonts w:eastAsia="Verdana"/>
                <w:b/>
                <w:bCs/>
                <w:sz w:val="15"/>
                <w:szCs w:val="15"/>
              </w:rPr>
            </w:pPr>
            <w:r>
              <w:rPr>
                <w:b/>
                <w:bCs/>
                <w:sz w:val="15"/>
                <w:szCs w:val="15"/>
              </w:rPr>
              <w:t>1,359.6</w:t>
            </w:r>
          </w:p>
        </w:tc>
        <w:tc>
          <w:tcPr>
            <w:tcW w:w="887" w:type="dxa"/>
            <w:noWrap/>
            <w:hideMark/>
          </w:tcPr>
          <w:p w14:paraId="794A0C71" w14:textId="77777777" w:rsidR="00EB7374" w:rsidRPr="00F17159" w:rsidRDefault="00EB7374" w:rsidP="00C700EB">
            <w:pPr>
              <w:jc w:val="right"/>
              <w:rPr>
                <w:rFonts w:eastAsia="Verdana"/>
                <w:b/>
                <w:bCs/>
                <w:sz w:val="15"/>
                <w:szCs w:val="15"/>
              </w:rPr>
            </w:pPr>
            <w:r>
              <w:rPr>
                <w:b/>
                <w:bCs/>
                <w:sz w:val="15"/>
                <w:szCs w:val="15"/>
              </w:rPr>
              <w:t xml:space="preserve">1,518.7 </w:t>
            </w:r>
          </w:p>
        </w:tc>
        <w:tc>
          <w:tcPr>
            <w:tcW w:w="887" w:type="dxa"/>
            <w:noWrap/>
            <w:hideMark/>
          </w:tcPr>
          <w:p w14:paraId="28CC55F8" w14:textId="77777777" w:rsidR="00EB7374" w:rsidRPr="00F17159" w:rsidRDefault="00EB7374" w:rsidP="00C700EB">
            <w:pPr>
              <w:jc w:val="right"/>
              <w:rPr>
                <w:rFonts w:eastAsia="Verdana"/>
                <w:b/>
                <w:bCs/>
                <w:sz w:val="15"/>
                <w:szCs w:val="15"/>
              </w:rPr>
            </w:pPr>
            <w:r>
              <w:rPr>
                <w:b/>
                <w:bCs/>
                <w:sz w:val="15"/>
                <w:szCs w:val="15"/>
              </w:rPr>
              <w:t xml:space="preserve">1,650.6 </w:t>
            </w:r>
          </w:p>
        </w:tc>
        <w:tc>
          <w:tcPr>
            <w:tcW w:w="887" w:type="dxa"/>
            <w:noWrap/>
            <w:hideMark/>
          </w:tcPr>
          <w:p w14:paraId="420ADBF1" w14:textId="77777777" w:rsidR="00EB7374" w:rsidRPr="00F17159" w:rsidRDefault="00EB7374" w:rsidP="00C700EB">
            <w:pPr>
              <w:jc w:val="right"/>
              <w:rPr>
                <w:rFonts w:eastAsia="Verdana"/>
                <w:b/>
                <w:bCs/>
                <w:sz w:val="15"/>
                <w:szCs w:val="15"/>
              </w:rPr>
            </w:pPr>
            <w:r>
              <w:rPr>
                <w:b/>
                <w:bCs/>
                <w:sz w:val="15"/>
                <w:szCs w:val="15"/>
              </w:rPr>
              <w:t xml:space="preserve">1,782.2 </w:t>
            </w:r>
          </w:p>
        </w:tc>
        <w:tc>
          <w:tcPr>
            <w:tcW w:w="887" w:type="dxa"/>
            <w:noWrap/>
            <w:hideMark/>
          </w:tcPr>
          <w:p w14:paraId="35A48604" w14:textId="77777777" w:rsidR="00EB7374" w:rsidRPr="00F17159" w:rsidRDefault="00EB7374" w:rsidP="00C700EB">
            <w:pPr>
              <w:jc w:val="right"/>
              <w:rPr>
                <w:rFonts w:eastAsia="Verdana"/>
                <w:b/>
                <w:bCs/>
                <w:sz w:val="15"/>
                <w:szCs w:val="15"/>
              </w:rPr>
            </w:pPr>
            <w:r>
              <w:rPr>
                <w:b/>
                <w:bCs/>
                <w:sz w:val="15"/>
                <w:szCs w:val="15"/>
              </w:rPr>
              <w:t xml:space="preserve">1,909.1 </w:t>
            </w:r>
          </w:p>
        </w:tc>
        <w:tc>
          <w:tcPr>
            <w:tcW w:w="887" w:type="dxa"/>
            <w:noWrap/>
            <w:hideMark/>
          </w:tcPr>
          <w:p w14:paraId="03B61CA7" w14:textId="77777777" w:rsidR="00EB7374" w:rsidRPr="00F17159" w:rsidRDefault="00EB7374" w:rsidP="00C700EB">
            <w:pPr>
              <w:jc w:val="right"/>
              <w:rPr>
                <w:rFonts w:eastAsia="Verdana"/>
                <w:b/>
                <w:bCs/>
                <w:sz w:val="15"/>
                <w:szCs w:val="15"/>
              </w:rPr>
            </w:pPr>
            <w:r>
              <w:rPr>
                <w:b/>
                <w:bCs/>
                <w:sz w:val="15"/>
                <w:szCs w:val="15"/>
              </w:rPr>
              <w:t xml:space="preserve">2,375.2 </w:t>
            </w:r>
          </w:p>
        </w:tc>
        <w:tc>
          <w:tcPr>
            <w:tcW w:w="887" w:type="dxa"/>
            <w:noWrap/>
            <w:hideMark/>
          </w:tcPr>
          <w:p w14:paraId="7C75D3EF" w14:textId="77777777" w:rsidR="00EB7374" w:rsidRPr="00F17159" w:rsidRDefault="00EB7374" w:rsidP="00C700EB">
            <w:pPr>
              <w:jc w:val="right"/>
              <w:rPr>
                <w:rFonts w:eastAsia="Verdana"/>
                <w:b/>
                <w:bCs/>
                <w:sz w:val="15"/>
                <w:szCs w:val="15"/>
              </w:rPr>
            </w:pPr>
            <w:r>
              <w:rPr>
                <w:b/>
                <w:bCs/>
                <w:sz w:val="15"/>
                <w:szCs w:val="15"/>
              </w:rPr>
              <w:t xml:space="preserve">2,757.9 </w:t>
            </w:r>
          </w:p>
        </w:tc>
      </w:tr>
      <w:tr w:rsidR="00EB7374" w:rsidRPr="00F17159" w14:paraId="4E0E1830" w14:textId="77777777" w:rsidTr="00C700EB">
        <w:trPr>
          <w:trHeight w:val="20"/>
        </w:trPr>
        <w:tc>
          <w:tcPr>
            <w:tcW w:w="2808" w:type="dxa"/>
            <w:noWrap/>
            <w:hideMark/>
          </w:tcPr>
          <w:p w14:paraId="5B140D91" w14:textId="77777777" w:rsidR="00EB7374" w:rsidRPr="00F17159" w:rsidRDefault="00EB7374" w:rsidP="00C700EB">
            <w:pPr>
              <w:ind w:left="113"/>
              <w:jc w:val="left"/>
              <w:rPr>
                <w:rFonts w:eastAsia="Verdana"/>
                <w:sz w:val="15"/>
                <w:szCs w:val="15"/>
              </w:rPr>
            </w:pPr>
            <w:r>
              <w:rPr>
                <w:sz w:val="15"/>
                <w:szCs w:val="15"/>
              </w:rPr>
              <w:t>% of GDP (at current prices)</w:t>
            </w:r>
          </w:p>
        </w:tc>
        <w:tc>
          <w:tcPr>
            <w:tcW w:w="886" w:type="dxa"/>
            <w:noWrap/>
            <w:hideMark/>
          </w:tcPr>
          <w:p w14:paraId="2B5960EC" w14:textId="77777777" w:rsidR="00EB7374" w:rsidRPr="00F17159" w:rsidRDefault="00EB7374" w:rsidP="00C700EB">
            <w:pPr>
              <w:jc w:val="right"/>
              <w:rPr>
                <w:rFonts w:eastAsia="Verdana"/>
                <w:sz w:val="15"/>
                <w:szCs w:val="15"/>
              </w:rPr>
            </w:pPr>
            <w:r>
              <w:rPr>
                <w:sz w:val="15"/>
                <w:szCs w:val="15"/>
              </w:rPr>
              <w:t>42.4</w:t>
            </w:r>
          </w:p>
        </w:tc>
        <w:tc>
          <w:tcPr>
            <w:tcW w:w="887" w:type="dxa"/>
            <w:noWrap/>
            <w:hideMark/>
          </w:tcPr>
          <w:p w14:paraId="1EE81122" w14:textId="77777777" w:rsidR="00EB7374" w:rsidRPr="00F17159" w:rsidRDefault="00EB7374" w:rsidP="00C700EB">
            <w:pPr>
              <w:jc w:val="right"/>
              <w:rPr>
                <w:rFonts w:eastAsia="Verdana"/>
                <w:sz w:val="15"/>
                <w:szCs w:val="15"/>
              </w:rPr>
            </w:pPr>
            <w:r>
              <w:rPr>
                <w:sz w:val="15"/>
                <w:szCs w:val="15"/>
              </w:rPr>
              <w:t>43.5</w:t>
            </w:r>
          </w:p>
        </w:tc>
        <w:tc>
          <w:tcPr>
            <w:tcW w:w="887" w:type="dxa"/>
            <w:noWrap/>
            <w:hideMark/>
          </w:tcPr>
          <w:p w14:paraId="47E5FF32" w14:textId="77777777" w:rsidR="00EB7374" w:rsidRPr="00F17159" w:rsidRDefault="00EB7374" w:rsidP="00C700EB">
            <w:pPr>
              <w:jc w:val="right"/>
              <w:rPr>
                <w:rFonts w:eastAsia="Verdana"/>
                <w:sz w:val="15"/>
                <w:szCs w:val="15"/>
              </w:rPr>
            </w:pPr>
            <w:r>
              <w:rPr>
                <w:sz w:val="15"/>
                <w:szCs w:val="15"/>
              </w:rPr>
              <w:t>43.4</w:t>
            </w:r>
          </w:p>
        </w:tc>
        <w:tc>
          <w:tcPr>
            <w:tcW w:w="887" w:type="dxa"/>
            <w:noWrap/>
            <w:hideMark/>
          </w:tcPr>
          <w:p w14:paraId="5D7C03B1" w14:textId="77777777" w:rsidR="00EB7374" w:rsidRPr="00F17159" w:rsidRDefault="00EB7374" w:rsidP="00C700EB">
            <w:pPr>
              <w:jc w:val="right"/>
              <w:rPr>
                <w:rFonts w:eastAsia="Verdana"/>
                <w:sz w:val="15"/>
                <w:szCs w:val="15"/>
              </w:rPr>
            </w:pPr>
            <w:r>
              <w:rPr>
                <w:sz w:val="15"/>
                <w:szCs w:val="15"/>
              </w:rPr>
              <w:t>42.1</w:t>
            </w:r>
          </w:p>
        </w:tc>
        <w:tc>
          <w:tcPr>
            <w:tcW w:w="887" w:type="dxa"/>
            <w:noWrap/>
            <w:hideMark/>
          </w:tcPr>
          <w:p w14:paraId="79A69808" w14:textId="77777777" w:rsidR="00EB7374" w:rsidRPr="00F17159" w:rsidRDefault="00EB7374" w:rsidP="00C700EB">
            <w:pPr>
              <w:jc w:val="right"/>
              <w:rPr>
                <w:rFonts w:eastAsia="Verdana"/>
                <w:sz w:val="15"/>
                <w:szCs w:val="15"/>
              </w:rPr>
            </w:pPr>
            <w:r>
              <w:rPr>
                <w:sz w:val="15"/>
                <w:szCs w:val="15"/>
              </w:rPr>
              <w:t>41.8</w:t>
            </w:r>
          </w:p>
        </w:tc>
        <w:tc>
          <w:tcPr>
            <w:tcW w:w="887" w:type="dxa"/>
            <w:noWrap/>
            <w:hideMark/>
          </w:tcPr>
          <w:p w14:paraId="072358FB" w14:textId="77777777" w:rsidR="00EB7374" w:rsidRPr="00F17159" w:rsidRDefault="00EB7374" w:rsidP="00C700EB">
            <w:pPr>
              <w:jc w:val="right"/>
              <w:rPr>
                <w:rFonts w:eastAsia="Verdana"/>
                <w:sz w:val="15"/>
                <w:szCs w:val="15"/>
              </w:rPr>
            </w:pPr>
            <w:r>
              <w:rPr>
                <w:sz w:val="15"/>
                <w:szCs w:val="15"/>
              </w:rPr>
              <w:t>53.3</w:t>
            </w:r>
          </w:p>
        </w:tc>
        <w:tc>
          <w:tcPr>
            <w:tcW w:w="887" w:type="dxa"/>
            <w:noWrap/>
            <w:hideMark/>
          </w:tcPr>
          <w:p w14:paraId="72194236" w14:textId="77777777" w:rsidR="00EB7374" w:rsidRPr="00F17159" w:rsidRDefault="00EB7374" w:rsidP="00C700EB">
            <w:pPr>
              <w:jc w:val="right"/>
              <w:rPr>
                <w:rFonts w:eastAsia="Verdana"/>
                <w:sz w:val="15"/>
                <w:szCs w:val="15"/>
              </w:rPr>
            </w:pPr>
            <w:r>
              <w:rPr>
                <w:sz w:val="15"/>
                <w:szCs w:val="15"/>
              </w:rPr>
              <w:t>50.6</w:t>
            </w:r>
          </w:p>
        </w:tc>
      </w:tr>
      <w:tr w:rsidR="00EB7374" w:rsidRPr="00F17159" w14:paraId="4D9F7068" w14:textId="77777777" w:rsidTr="00C700EB">
        <w:trPr>
          <w:cnfStyle w:val="000000010000" w:firstRow="0" w:lastRow="0" w:firstColumn="0" w:lastColumn="0" w:oddVBand="0" w:evenVBand="0" w:oddHBand="0" w:evenHBand="1" w:firstRowFirstColumn="0" w:firstRowLastColumn="0" w:lastRowFirstColumn="0" w:lastRowLastColumn="0"/>
          <w:trHeight w:val="20"/>
        </w:trPr>
        <w:tc>
          <w:tcPr>
            <w:tcW w:w="2808" w:type="dxa"/>
            <w:noWrap/>
            <w:hideMark/>
          </w:tcPr>
          <w:p w14:paraId="0DC2CBF9" w14:textId="77777777" w:rsidR="00EB7374" w:rsidRPr="00F17159" w:rsidRDefault="00EB7374" w:rsidP="00C700EB">
            <w:pPr>
              <w:jc w:val="left"/>
              <w:rPr>
                <w:rFonts w:eastAsia="Verdana"/>
                <w:b/>
                <w:bCs/>
                <w:sz w:val="15"/>
                <w:szCs w:val="15"/>
              </w:rPr>
            </w:pPr>
            <w:r>
              <w:rPr>
                <w:b/>
                <w:bCs/>
                <w:sz w:val="15"/>
                <w:szCs w:val="15"/>
              </w:rPr>
              <w:t>Financial system deposits</w:t>
            </w:r>
          </w:p>
        </w:tc>
        <w:tc>
          <w:tcPr>
            <w:tcW w:w="886" w:type="dxa"/>
            <w:noWrap/>
            <w:hideMark/>
          </w:tcPr>
          <w:p w14:paraId="0517BD78" w14:textId="77777777" w:rsidR="00EB7374" w:rsidRPr="00F17159" w:rsidRDefault="00EB7374" w:rsidP="00C700EB">
            <w:pPr>
              <w:jc w:val="right"/>
              <w:rPr>
                <w:rFonts w:eastAsia="Verdana"/>
                <w:b/>
                <w:bCs/>
                <w:sz w:val="15"/>
                <w:szCs w:val="15"/>
              </w:rPr>
            </w:pPr>
            <w:r>
              <w:rPr>
                <w:b/>
                <w:bCs/>
                <w:sz w:val="15"/>
                <w:szCs w:val="15"/>
              </w:rPr>
              <w:t>1,069.9</w:t>
            </w:r>
          </w:p>
        </w:tc>
        <w:tc>
          <w:tcPr>
            <w:tcW w:w="887" w:type="dxa"/>
            <w:noWrap/>
            <w:hideMark/>
          </w:tcPr>
          <w:p w14:paraId="7ACC45EF" w14:textId="77777777" w:rsidR="00EB7374" w:rsidRPr="00F17159" w:rsidRDefault="00EB7374" w:rsidP="00C700EB">
            <w:pPr>
              <w:jc w:val="right"/>
              <w:rPr>
                <w:rFonts w:eastAsia="Verdana"/>
                <w:b/>
                <w:bCs/>
                <w:sz w:val="15"/>
                <w:szCs w:val="15"/>
              </w:rPr>
            </w:pPr>
            <w:r>
              <w:rPr>
                <w:b/>
                <w:bCs/>
                <w:sz w:val="15"/>
                <w:szCs w:val="15"/>
              </w:rPr>
              <w:t xml:space="preserve">1,183.3 </w:t>
            </w:r>
          </w:p>
        </w:tc>
        <w:tc>
          <w:tcPr>
            <w:tcW w:w="887" w:type="dxa"/>
            <w:noWrap/>
            <w:hideMark/>
          </w:tcPr>
          <w:p w14:paraId="09A3DB83" w14:textId="77777777" w:rsidR="00EB7374" w:rsidRPr="00F17159" w:rsidRDefault="00EB7374" w:rsidP="00C700EB">
            <w:pPr>
              <w:jc w:val="right"/>
              <w:rPr>
                <w:rFonts w:eastAsia="Verdana"/>
                <w:b/>
                <w:bCs/>
                <w:sz w:val="15"/>
                <w:szCs w:val="15"/>
              </w:rPr>
            </w:pPr>
            <w:r>
              <w:rPr>
                <w:b/>
                <w:bCs/>
                <w:sz w:val="15"/>
                <w:szCs w:val="15"/>
              </w:rPr>
              <w:t xml:space="preserve">1,299.4 </w:t>
            </w:r>
          </w:p>
        </w:tc>
        <w:tc>
          <w:tcPr>
            <w:tcW w:w="887" w:type="dxa"/>
            <w:noWrap/>
            <w:hideMark/>
          </w:tcPr>
          <w:p w14:paraId="6E28E377" w14:textId="77777777" w:rsidR="00EB7374" w:rsidRPr="00F17159" w:rsidRDefault="00EB7374" w:rsidP="00C700EB">
            <w:pPr>
              <w:jc w:val="right"/>
              <w:rPr>
                <w:rFonts w:eastAsia="Verdana"/>
                <w:b/>
                <w:bCs/>
                <w:sz w:val="15"/>
                <w:szCs w:val="15"/>
              </w:rPr>
            </w:pPr>
            <w:r>
              <w:rPr>
                <w:b/>
                <w:bCs/>
                <w:sz w:val="15"/>
                <w:szCs w:val="15"/>
              </w:rPr>
              <w:t xml:space="preserve">1,403.1 </w:t>
            </w:r>
          </w:p>
        </w:tc>
        <w:tc>
          <w:tcPr>
            <w:tcW w:w="887" w:type="dxa"/>
            <w:noWrap/>
            <w:hideMark/>
          </w:tcPr>
          <w:p w14:paraId="31AB32E2" w14:textId="77777777" w:rsidR="00EB7374" w:rsidRPr="00F17159" w:rsidRDefault="00EB7374" w:rsidP="00C700EB">
            <w:pPr>
              <w:jc w:val="right"/>
              <w:rPr>
                <w:rFonts w:eastAsia="Verdana"/>
                <w:b/>
                <w:bCs/>
                <w:sz w:val="15"/>
                <w:szCs w:val="15"/>
              </w:rPr>
            </w:pPr>
            <w:r>
              <w:rPr>
                <w:b/>
                <w:bCs/>
                <w:sz w:val="15"/>
                <w:szCs w:val="15"/>
              </w:rPr>
              <w:t xml:space="preserve">1,559.7 </w:t>
            </w:r>
          </w:p>
        </w:tc>
        <w:tc>
          <w:tcPr>
            <w:tcW w:w="887" w:type="dxa"/>
            <w:noWrap/>
            <w:hideMark/>
          </w:tcPr>
          <w:p w14:paraId="0FCBDC40" w14:textId="77777777" w:rsidR="00EB7374" w:rsidRPr="00F17159" w:rsidRDefault="00EB7374" w:rsidP="00C700EB">
            <w:pPr>
              <w:jc w:val="right"/>
              <w:rPr>
                <w:rFonts w:eastAsia="Verdana"/>
                <w:b/>
                <w:bCs/>
                <w:sz w:val="15"/>
                <w:szCs w:val="15"/>
              </w:rPr>
            </w:pPr>
            <w:r>
              <w:rPr>
                <w:b/>
                <w:bCs/>
                <w:sz w:val="15"/>
                <w:szCs w:val="15"/>
              </w:rPr>
              <w:t xml:space="preserve">1,825.5 </w:t>
            </w:r>
          </w:p>
        </w:tc>
        <w:tc>
          <w:tcPr>
            <w:tcW w:w="887" w:type="dxa"/>
            <w:noWrap/>
            <w:hideMark/>
          </w:tcPr>
          <w:p w14:paraId="1ACD360E" w14:textId="77777777" w:rsidR="00EB7374" w:rsidRPr="00F17159" w:rsidRDefault="00EB7374" w:rsidP="00C700EB">
            <w:pPr>
              <w:jc w:val="right"/>
              <w:rPr>
                <w:rFonts w:eastAsia="Verdana"/>
                <w:b/>
                <w:bCs/>
                <w:sz w:val="15"/>
                <w:szCs w:val="15"/>
              </w:rPr>
            </w:pPr>
            <w:r>
              <w:rPr>
                <w:b/>
                <w:bCs/>
                <w:sz w:val="15"/>
                <w:szCs w:val="15"/>
              </w:rPr>
              <w:t xml:space="preserve">2,094.7 </w:t>
            </w:r>
          </w:p>
        </w:tc>
      </w:tr>
      <w:tr w:rsidR="00EB7374" w:rsidRPr="00F17159" w14:paraId="41B998F7" w14:textId="77777777" w:rsidTr="00C700EB">
        <w:trPr>
          <w:trHeight w:val="20"/>
        </w:trPr>
        <w:tc>
          <w:tcPr>
            <w:tcW w:w="2808" w:type="dxa"/>
            <w:noWrap/>
            <w:hideMark/>
          </w:tcPr>
          <w:p w14:paraId="78A81DE5" w14:textId="77777777" w:rsidR="00EB7374" w:rsidRPr="00F17159" w:rsidRDefault="00EB7374" w:rsidP="00C700EB">
            <w:pPr>
              <w:ind w:left="113"/>
              <w:jc w:val="left"/>
              <w:rPr>
                <w:rFonts w:eastAsia="Verdana"/>
                <w:sz w:val="15"/>
                <w:szCs w:val="15"/>
              </w:rPr>
            </w:pPr>
            <w:r>
              <w:rPr>
                <w:sz w:val="15"/>
                <w:szCs w:val="15"/>
              </w:rPr>
              <w:t xml:space="preserve">Deposits (% of GDP) </w:t>
            </w:r>
          </w:p>
        </w:tc>
        <w:tc>
          <w:tcPr>
            <w:tcW w:w="886" w:type="dxa"/>
            <w:noWrap/>
            <w:hideMark/>
          </w:tcPr>
          <w:p w14:paraId="648FCB68" w14:textId="77777777" w:rsidR="00EB7374" w:rsidRPr="00F17159" w:rsidRDefault="00EB7374" w:rsidP="00C700EB">
            <w:pPr>
              <w:jc w:val="right"/>
              <w:rPr>
                <w:rFonts w:eastAsia="Verdana"/>
                <w:sz w:val="15"/>
                <w:szCs w:val="15"/>
              </w:rPr>
            </w:pPr>
            <w:r>
              <w:rPr>
                <w:sz w:val="15"/>
                <w:szCs w:val="15"/>
              </w:rPr>
              <w:t>33.4</w:t>
            </w:r>
          </w:p>
        </w:tc>
        <w:tc>
          <w:tcPr>
            <w:tcW w:w="887" w:type="dxa"/>
            <w:noWrap/>
            <w:hideMark/>
          </w:tcPr>
          <w:p w14:paraId="7B7B404D" w14:textId="77777777" w:rsidR="00EB7374" w:rsidRPr="00F17159" w:rsidRDefault="00EB7374" w:rsidP="00C700EB">
            <w:pPr>
              <w:jc w:val="right"/>
              <w:rPr>
                <w:rFonts w:eastAsia="Verdana"/>
                <w:sz w:val="15"/>
                <w:szCs w:val="15"/>
              </w:rPr>
            </w:pPr>
            <w:r>
              <w:rPr>
                <w:sz w:val="15"/>
                <w:szCs w:val="15"/>
              </w:rPr>
              <w:t>33.9</w:t>
            </w:r>
          </w:p>
        </w:tc>
        <w:tc>
          <w:tcPr>
            <w:tcW w:w="887" w:type="dxa"/>
            <w:noWrap/>
            <w:hideMark/>
          </w:tcPr>
          <w:p w14:paraId="425EBCEA" w14:textId="77777777" w:rsidR="00EB7374" w:rsidRPr="00F17159" w:rsidRDefault="00EB7374" w:rsidP="00C700EB">
            <w:pPr>
              <w:jc w:val="right"/>
              <w:rPr>
                <w:rFonts w:eastAsia="Verdana"/>
                <w:sz w:val="15"/>
                <w:szCs w:val="15"/>
              </w:rPr>
            </w:pPr>
            <w:r>
              <w:rPr>
                <w:sz w:val="15"/>
                <w:szCs w:val="15"/>
              </w:rPr>
              <w:t>34.2</w:t>
            </w:r>
          </w:p>
        </w:tc>
        <w:tc>
          <w:tcPr>
            <w:tcW w:w="887" w:type="dxa"/>
            <w:noWrap/>
            <w:hideMark/>
          </w:tcPr>
          <w:p w14:paraId="4782290F" w14:textId="77777777" w:rsidR="00EB7374" w:rsidRPr="00F17159" w:rsidRDefault="00EB7374" w:rsidP="00C700EB">
            <w:pPr>
              <w:jc w:val="right"/>
              <w:rPr>
                <w:rFonts w:eastAsia="Verdana"/>
                <w:sz w:val="15"/>
                <w:szCs w:val="15"/>
              </w:rPr>
            </w:pPr>
            <w:r>
              <w:rPr>
                <w:sz w:val="15"/>
                <w:szCs w:val="15"/>
              </w:rPr>
              <w:t>33.1</w:t>
            </w:r>
          </w:p>
        </w:tc>
        <w:tc>
          <w:tcPr>
            <w:tcW w:w="887" w:type="dxa"/>
            <w:noWrap/>
            <w:hideMark/>
          </w:tcPr>
          <w:p w14:paraId="676E0C4C" w14:textId="77777777" w:rsidR="00EB7374" w:rsidRPr="00F17159" w:rsidRDefault="00EB7374" w:rsidP="00C700EB">
            <w:pPr>
              <w:jc w:val="right"/>
              <w:rPr>
                <w:rFonts w:eastAsia="Verdana"/>
                <w:sz w:val="15"/>
                <w:szCs w:val="15"/>
              </w:rPr>
            </w:pPr>
            <w:r>
              <w:rPr>
                <w:sz w:val="15"/>
                <w:szCs w:val="15"/>
              </w:rPr>
              <w:t>34.2</w:t>
            </w:r>
          </w:p>
        </w:tc>
        <w:tc>
          <w:tcPr>
            <w:tcW w:w="887" w:type="dxa"/>
            <w:noWrap/>
            <w:hideMark/>
          </w:tcPr>
          <w:p w14:paraId="03DAB660" w14:textId="77777777" w:rsidR="00EB7374" w:rsidRPr="00F17159" w:rsidRDefault="00EB7374" w:rsidP="00C700EB">
            <w:pPr>
              <w:jc w:val="right"/>
              <w:rPr>
                <w:rFonts w:eastAsia="Verdana"/>
                <w:sz w:val="15"/>
                <w:szCs w:val="15"/>
              </w:rPr>
            </w:pPr>
            <w:r>
              <w:rPr>
                <w:sz w:val="15"/>
                <w:szCs w:val="15"/>
              </w:rPr>
              <w:t>41.0</w:t>
            </w:r>
          </w:p>
        </w:tc>
        <w:tc>
          <w:tcPr>
            <w:tcW w:w="887" w:type="dxa"/>
            <w:noWrap/>
            <w:hideMark/>
          </w:tcPr>
          <w:p w14:paraId="78933087" w14:textId="77777777" w:rsidR="00EB7374" w:rsidRPr="00F17159" w:rsidRDefault="00EB7374" w:rsidP="00C700EB">
            <w:pPr>
              <w:jc w:val="right"/>
              <w:rPr>
                <w:rFonts w:eastAsia="Verdana"/>
                <w:sz w:val="15"/>
                <w:szCs w:val="15"/>
              </w:rPr>
            </w:pPr>
            <w:r>
              <w:rPr>
                <w:sz w:val="15"/>
                <w:szCs w:val="15"/>
              </w:rPr>
              <w:t>39.3</w:t>
            </w:r>
          </w:p>
        </w:tc>
      </w:tr>
      <w:tr w:rsidR="00EB7374" w:rsidRPr="00F17159" w14:paraId="1CD43005" w14:textId="77777777" w:rsidTr="00C700EB">
        <w:trPr>
          <w:cnfStyle w:val="000000010000" w:firstRow="0" w:lastRow="0" w:firstColumn="0" w:lastColumn="0" w:oddVBand="0" w:evenVBand="0" w:oddHBand="0" w:evenHBand="1" w:firstRowFirstColumn="0" w:firstRowLastColumn="0" w:lastRowFirstColumn="0" w:lastRowLastColumn="0"/>
          <w:trHeight w:val="20"/>
        </w:trPr>
        <w:tc>
          <w:tcPr>
            <w:tcW w:w="2808" w:type="dxa"/>
            <w:noWrap/>
            <w:hideMark/>
          </w:tcPr>
          <w:p w14:paraId="082E0131" w14:textId="77777777" w:rsidR="00EB7374" w:rsidRPr="00F17159" w:rsidRDefault="00EB7374" w:rsidP="00C700EB">
            <w:pPr>
              <w:jc w:val="left"/>
              <w:rPr>
                <w:rFonts w:eastAsia="Verdana"/>
                <w:b/>
                <w:bCs/>
                <w:sz w:val="15"/>
                <w:szCs w:val="15"/>
              </w:rPr>
            </w:pPr>
            <w:r>
              <w:rPr>
                <w:b/>
                <w:bCs/>
                <w:sz w:val="15"/>
                <w:szCs w:val="15"/>
              </w:rPr>
              <w:t>Assets by type of institution</w:t>
            </w:r>
          </w:p>
        </w:tc>
        <w:tc>
          <w:tcPr>
            <w:tcW w:w="886" w:type="dxa"/>
            <w:noWrap/>
            <w:hideMark/>
          </w:tcPr>
          <w:p w14:paraId="67F076E3" w14:textId="77777777" w:rsidR="00EB7374" w:rsidRPr="00F17159" w:rsidRDefault="00EB7374" w:rsidP="00C700EB">
            <w:pPr>
              <w:jc w:val="right"/>
              <w:rPr>
                <w:rFonts w:eastAsia="Verdana"/>
                <w:b/>
                <w:bCs/>
                <w:sz w:val="15"/>
                <w:szCs w:val="15"/>
              </w:rPr>
            </w:pPr>
            <w:r>
              <w:rPr>
                <w:b/>
                <w:bCs/>
                <w:sz w:val="15"/>
                <w:szCs w:val="15"/>
              </w:rPr>
              <w:t xml:space="preserve"> </w:t>
            </w:r>
          </w:p>
        </w:tc>
        <w:tc>
          <w:tcPr>
            <w:tcW w:w="887" w:type="dxa"/>
            <w:noWrap/>
            <w:hideMark/>
          </w:tcPr>
          <w:p w14:paraId="0F0DC440" w14:textId="77777777" w:rsidR="00EB7374" w:rsidRPr="00F17159" w:rsidRDefault="00EB7374" w:rsidP="00C700EB">
            <w:pPr>
              <w:jc w:val="right"/>
              <w:rPr>
                <w:rFonts w:eastAsia="Verdana"/>
                <w:b/>
                <w:bCs/>
                <w:sz w:val="15"/>
                <w:szCs w:val="15"/>
              </w:rPr>
            </w:pPr>
            <w:r>
              <w:rPr>
                <w:b/>
                <w:bCs/>
                <w:sz w:val="15"/>
                <w:szCs w:val="15"/>
              </w:rPr>
              <w:t xml:space="preserve"> </w:t>
            </w:r>
          </w:p>
        </w:tc>
        <w:tc>
          <w:tcPr>
            <w:tcW w:w="887" w:type="dxa"/>
            <w:noWrap/>
            <w:hideMark/>
          </w:tcPr>
          <w:p w14:paraId="1E2E804D" w14:textId="77777777" w:rsidR="00EB7374" w:rsidRPr="00F17159" w:rsidRDefault="00EB7374" w:rsidP="00C700EB">
            <w:pPr>
              <w:jc w:val="right"/>
              <w:rPr>
                <w:rFonts w:eastAsia="Verdana"/>
                <w:b/>
                <w:bCs/>
                <w:sz w:val="15"/>
                <w:szCs w:val="15"/>
              </w:rPr>
            </w:pPr>
            <w:r>
              <w:rPr>
                <w:b/>
                <w:bCs/>
                <w:sz w:val="15"/>
                <w:szCs w:val="15"/>
              </w:rPr>
              <w:t xml:space="preserve"> </w:t>
            </w:r>
          </w:p>
        </w:tc>
        <w:tc>
          <w:tcPr>
            <w:tcW w:w="887" w:type="dxa"/>
            <w:noWrap/>
            <w:hideMark/>
          </w:tcPr>
          <w:p w14:paraId="78FCD486" w14:textId="77777777" w:rsidR="00EB7374" w:rsidRPr="00F17159" w:rsidRDefault="00EB7374" w:rsidP="00C700EB">
            <w:pPr>
              <w:jc w:val="right"/>
              <w:rPr>
                <w:rFonts w:eastAsia="Verdana"/>
                <w:b/>
                <w:bCs/>
                <w:sz w:val="15"/>
                <w:szCs w:val="15"/>
              </w:rPr>
            </w:pPr>
            <w:r>
              <w:rPr>
                <w:b/>
                <w:bCs/>
                <w:sz w:val="15"/>
                <w:szCs w:val="15"/>
              </w:rPr>
              <w:t xml:space="preserve"> </w:t>
            </w:r>
          </w:p>
        </w:tc>
        <w:tc>
          <w:tcPr>
            <w:tcW w:w="887" w:type="dxa"/>
            <w:noWrap/>
            <w:hideMark/>
          </w:tcPr>
          <w:p w14:paraId="16720E9F" w14:textId="77777777" w:rsidR="00EB7374" w:rsidRPr="00F17159" w:rsidRDefault="00EB7374" w:rsidP="00C700EB">
            <w:pPr>
              <w:jc w:val="right"/>
              <w:rPr>
                <w:rFonts w:eastAsia="Verdana"/>
                <w:b/>
                <w:bCs/>
                <w:sz w:val="15"/>
                <w:szCs w:val="15"/>
              </w:rPr>
            </w:pPr>
            <w:r>
              <w:rPr>
                <w:b/>
                <w:bCs/>
                <w:sz w:val="15"/>
                <w:szCs w:val="15"/>
              </w:rPr>
              <w:t xml:space="preserve"> </w:t>
            </w:r>
          </w:p>
        </w:tc>
        <w:tc>
          <w:tcPr>
            <w:tcW w:w="887" w:type="dxa"/>
            <w:noWrap/>
            <w:hideMark/>
          </w:tcPr>
          <w:p w14:paraId="30A799A4" w14:textId="77777777" w:rsidR="00EB7374" w:rsidRPr="00F17159" w:rsidRDefault="00EB7374" w:rsidP="00C700EB">
            <w:pPr>
              <w:jc w:val="right"/>
              <w:rPr>
                <w:rFonts w:eastAsia="Verdana"/>
                <w:b/>
                <w:bCs/>
                <w:sz w:val="15"/>
                <w:szCs w:val="15"/>
              </w:rPr>
            </w:pPr>
            <w:r>
              <w:rPr>
                <w:b/>
                <w:bCs/>
                <w:sz w:val="15"/>
                <w:szCs w:val="15"/>
              </w:rPr>
              <w:t xml:space="preserve"> </w:t>
            </w:r>
          </w:p>
        </w:tc>
        <w:tc>
          <w:tcPr>
            <w:tcW w:w="887" w:type="dxa"/>
            <w:noWrap/>
            <w:hideMark/>
          </w:tcPr>
          <w:p w14:paraId="28BE050B" w14:textId="77777777" w:rsidR="00EB7374" w:rsidRPr="00F17159" w:rsidRDefault="00EB7374" w:rsidP="00C700EB">
            <w:pPr>
              <w:jc w:val="right"/>
              <w:rPr>
                <w:rFonts w:eastAsia="Verdana"/>
                <w:b/>
                <w:bCs/>
                <w:sz w:val="15"/>
                <w:szCs w:val="15"/>
              </w:rPr>
            </w:pPr>
            <w:r>
              <w:rPr>
                <w:b/>
                <w:bCs/>
                <w:sz w:val="15"/>
                <w:szCs w:val="15"/>
              </w:rPr>
              <w:t xml:space="preserve"> </w:t>
            </w:r>
          </w:p>
        </w:tc>
      </w:tr>
      <w:tr w:rsidR="00EB7374" w:rsidRPr="00F17159" w14:paraId="3770C4AE" w14:textId="77777777" w:rsidTr="00C700EB">
        <w:trPr>
          <w:trHeight w:val="20"/>
        </w:trPr>
        <w:tc>
          <w:tcPr>
            <w:tcW w:w="2808" w:type="dxa"/>
            <w:noWrap/>
            <w:hideMark/>
          </w:tcPr>
          <w:p w14:paraId="1342EC10" w14:textId="77777777" w:rsidR="00EB7374" w:rsidRPr="00F17159" w:rsidRDefault="00EB7374" w:rsidP="00C700EB">
            <w:pPr>
              <w:ind w:left="113"/>
              <w:jc w:val="left"/>
              <w:rPr>
                <w:rFonts w:eastAsia="Verdana"/>
                <w:sz w:val="15"/>
                <w:szCs w:val="15"/>
              </w:rPr>
            </w:pPr>
            <w:r>
              <w:rPr>
                <w:sz w:val="15"/>
                <w:szCs w:val="15"/>
              </w:rPr>
              <w:t xml:space="preserve">Full-service banks </w:t>
            </w:r>
          </w:p>
        </w:tc>
        <w:tc>
          <w:tcPr>
            <w:tcW w:w="886" w:type="dxa"/>
            <w:noWrap/>
            <w:hideMark/>
          </w:tcPr>
          <w:p w14:paraId="0966D6CA" w14:textId="77777777" w:rsidR="00EB7374" w:rsidRPr="00F17159" w:rsidRDefault="00EB7374" w:rsidP="00C700EB">
            <w:pPr>
              <w:jc w:val="right"/>
              <w:rPr>
                <w:rFonts w:eastAsia="Verdana"/>
                <w:sz w:val="15"/>
                <w:szCs w:val="15"/>
              </w:rPr>
            </w:pPr>
            <w:r>
              <w:rPr>
                <w:sz w:val="15"/>
                <w:szCs w:val="15"/>
              </w:rPr>
              <w:t xml:space="preserve">1,175.9 </w:t>
            </w:r>
          </w:p>
        </w:tc>
        <w:tc>
          <w:tcPr>
            <w:tcW w:w="887" w:type="dxa"/>
            <w:noWrap/>
            <w:hideMark/>
          </w:tcPr>
          <w:p w14:paraId="494AC6F8" w14:textId="77777777" w:rsidR="00EB7374" w:rsidRPr="00F17159" w:rsidRDefault="00EB7374" w:rsidP="00C700EB">
            <w:pPr>
              <w:jc w:val="right"/>
              <w:rPr>
                <w:rFonts w:eastAsia="Verdana"/>
                <w:sz w:val="15"/>
                <w:szCs w:val="15"/>
              </w:rPr>
            </w:pPr>
            <w:r>
              <w:rPr>
                <w:sz w:val="15"/>
                <w:szCs w:val="15"/>
              </w:rPr>
              <w:t xml:space="preserve">1,316.7 </w:t>
            </w:r>
          </w:p>
        </w:tc>
        <w:tc>
          <w:tcPr>
            <w:tcW w:w="887" w:type="dxa"/>
            <w:noWrap/>
            <w:hideMark/>
          </w:tcPr>
          <w:p w14:paraId="54BFEBCA" w14:textId="77777777" w:rsidR="00EB7374" w:rsidRPr="00F17159" w:rsidRDefault="00EB7374" w:rsidP="00C700EB">
            <w:pPr>
              <w:jc w:val="right"/>
              <w:rPr>
                <w:rFonts w:eastAsia="Verdana"/>
                <w:sz w:val="15"/>
                <w:szCs w:val="15"/>
              </w:rPr>
            </w:pPr>
            <w:r>
              <w:rPr>
                <w:sz w:val="15"/>
                <w:szCs w:val="15"/>
              </w:rPr>
              <w:t xml:space="preserve">1,427.6 </w:t>
            </w:r>
          </w:p>
        </w:tc>
        <w:tc>
          <w:tcPr>
            <w:tcW w:w="887" w:type="dxa"/>
            <w:noWrap/>
            <w:hideMark/>
          </w:tcPr>
          <w:p w14:paraId="61C57A19" w14:textId="77777777" w:rsidR="00EB7374" w:rsidRPr="00F17159" w:rsidRDefault="00EB7374" w:rsidP="00C700EB">
            <w:pPr>
              <w:jc w:val="right"/>
              <w:rPr>
                <w:rFonts w:eastAsia="Verdana"/>
                <w:sz w:val="15"/>
                <w:szCs w:val="15"/>
              </w:rPr>
            </w:pPr>
            <w:r>
              <w:rPr>
                <w:sz w:val="15"/>
                <w:szCs w:val="15"/>
              </w:rPr>
              <w:t xml:space="preserve">1,542.4 </w:t>
            </w:r>
          </w:p>
        </w:tc>
        <w:tc>
          <w:tcPr>
            <w:tcW w:w="887" w:type="dxa"/>
            <w:noWrap/>
            <w:hideMark/>
          </w:tcPr>
          <w:p w14:paraId="6FEA097D" w14:textId="77777777" w:rsidR="00EB7374" w:rsidRPr="00F17159" w:rsidRDefault="00EB7374" w:rsidP="00C700EB">
            <w:pPr>
              <w:jc w:val="right"/>
              <w:rPr>
                <w:rFonts w:eastAsia="Verdana"/>
                <w:sz w:val="15"/>
                <w:szCs w:val="15"/>
              </w:rPr>
            </w:pPr>
            <w:r>
              <w:rPr>
                <w:sz w:val="15"/>
                <w:szCs w:val="15"/>
              </w:rPr>
              <w:t xml:space="preserve">1,732.6 </w:t>
            </w:r>
          </w:p>
        </w:tc>
        <w:tc>
          <w:tcPr>
            <w:tcW w:w="887" w:type="dxa"/>
            <w:noWrap/>
            <w:hideMark/>
          </w:tcPr>
          <w:p w14:paraId="007AFCA5" w14:textId="77777777" w:rsidR="00EB7374" w:rsidRPr="00F17159" w:rsidRDefault="00EB7374" w:rsidP="00C700EB">
            <w:pPr>
              <w:jc w:val="right"/>
              <w:rPr>
                <w:rFonts w:eastAsia="Verdana"/>
                <w:sz w:val="15"/>
                <w:szCs w:val="15"/>
              </w:rPr>
            </w:pPr>
            <w:r>
              <w:rPr>
                <w:sz w:val="15"/>
                <w:szCs w:val="15"/>
              </w:rPr>
              <w:t xml:space="preserve">2,085.9 </w:t>
            </w:r>
          </w:p>
        </w:tc>
        <w:tc>
          <w:tcPr>
            <w:tcW w:w="887" w:type="dxa"/>
            <w:noWrap/>
            <w:hideMark/>
          </w:tcPr>
          <w:p w14:paraId="093AFFB7" w14:textId="77777777" w:rsidR="00EB7374" w:rsidRPr="00F17159" w:rsidRDefault="00EB7374" w:rsidP="00C700EB">
            <w:pPr>
              <w:jc w:val="right"/>
              <w:rPr>
                <w:rFonts w:eastAsia="Verdana"/>
                <w:sz w:val="15"/>
                <w:szCs w:val="15"/>
              </w:rPr>
            </w:pPr>
            <w:r>
              <w:rPr>
                <w:sz w:val="15"/>
                <w:szCs w:val="15"/>
              </w:rPr>
              <w:t xml:space="preserve">2,427.3 </w:t>
            </w:r>
          </w:p>
        </w:tc>
      </w:tr>
      <w:tr w:rsidR="00EB7374" w:rsidRPr="00F17159" w14:paraId="1330FDAC" w14:textId="77777777" w:rsidTr="00C700EB">
        <w:trPr>
          <w:cnfStyle w:val="000000010000" w:firstRow="0" w:lastRow="0" w:firstColumn="0" w:lastColumn="0" w:oddVBand="0" w:evenVBand="0" w:oddHBand="0" w:evenHBand="1" w:firstRowFirstColumn="0" w:firstRowLastColumn="0" w:lastRowFirstColumn="0" w:lastRowLastColumn="0"/>
          <w:trHeight w:val="20"/>
        </w:trPr>
        <w:tc>
          <w:tcPr>
            <w:tcW w:w="2808" w:type="dxa"/>
            <w:noWrap/>
            <w:hideMark/>
          </w:tcPr>
          <w:p w14:paraId="7C362B33" w14:textId="77777777" w:rsidR="00EB7374" w:rsidRPr="00F17159" w:rsidRDefault="00EB7374" w:rsidP="00C700EB">
            <w:pPr>
              <w:jc w:val="left"/>
              <w:rPr>
                <w:rFonts w:eastAsia="Verdana"/>
                <w:sz w:val="15"/>
                <w:szCs w:val="15"/>
              </w:rPr>
            </w:pPr>
            <w:r>
              <w:rPr>
                <w:sz w:val="15"/>
                <w:szCs w:val="15"/>
              </w:rPr>
              <w:t>Credit institutions</w:t>
            </w:r>
          </w:p>
        </w:tc>
        <w:tc>
          <w:tcPr>
            <w:tcW w:w="886" w:type="dxa"/>
            <w:noWrap/>
            <w:hideMark/>
          </w:tcPr>
          <w:p w14:paraId="45243FE9" w14:textId="77777777" w:rsidR="00EB7374" w:rsidRPr="00F17159" w:rsidRDefault="00EB7374" w:rsidP="00C700EB">
            <w:pPr>
              <w:jc w:val="right"/>
              <w:rPr>
                <w:rFonts w:eastAsia="Verdana"/>
                <w:sz w:val="15"/>
                <w:szCs w:val="15"/>
              </w:rPr>
            </w:pPr>
            <w:r>
              <w:rPr>
                <w:sz w:val="15"/>
                <w:szCs w:val="15"/>
              </w:rPr>
              <w:t xml:space="preserve"> </w:t>
            </w:r>
          </w:p>
        </w:tc>
        <w:tc>
          <w:tcPr>
            <w:tcW w:w="887" w:type="dxa"/>
            <w:noWrap/>
            <w:hideMark/>
          </w:tcPr>
          <w:p w14:paraId="1AB49534" w14:textId="77777777" w:rsidR="00EB7374" w:rsidRPr="00F17159" w:rsidRDefault="00EB7374" w:rsidP="00C700EB">
            <w:pPr>
              <w:jc w:val="right"/>
              <w:rPr>
                <w:rFonts w:eastAsia="Verdana"/>
                <w:sz w:val="15"/>
                <w:szCs w:val="15"/>
              </w:rPr>
            </w:pPr>
            <w:r>
              <w:rPr>
                <w:sz w:val="15"/>
                <w:szCs w:val="15"/>
              </w:rPr>
              <w:t xml:space="preserve"> </w:t>
            </w:r>
          </w:p>
        </w:tc>
        <w:tc>
          <w:tcPr>
            <w:tcW w:w="887" w:type="dxa"/>
            <w:noWrap/>
            <w:hideMark/>
          </w:tcPr>
          <w:p w14:paraId="1CCCB147" w14:textId="77777777" w:rsidR="00EB7374" w:rsidRPr="00F17159" w:rsidRDefault="00EB7374" w:rsidP="00C700EB">
            <w:pPr>
              <w:jc w:val="right"/>
              <w:rPr>
                <w:rFonts w:eastAsia="Verdana"/>
                <w:sz w:val="15"/>
                <w:szCs w:val="15"/>
              </w:rPr>
            </w:pPr>
            <w:r>
              <w:rPr>
                <w:sz w:val="15"/>
                <w:szCs w:val="15"/>
              </w:rPr>
              <w:t xml:space="preserve"> </w:t>
            </w:r>
          </w:p>
        </w:tc>
        <w:tc>
          <w:tcPr>
            <w:tcW w:w="887" w:type="dxa"/>
            <w:noWrap/>
            <w:hideMark/>
          </w:tcPr>
          <w:p w14:paraId="73B9ABE9" w14:textId="77777777" w:rsidR="00EB7374" w:rsidRPr="00F17159" w:rsidRDefault="00EB7374" w:rsidP="00C700EB">
            <w:pPr>
              <w:jc w:val="right"/>
              <w:rPr>
                <w:rFonts w:eastAsia="Verdana"/>
                <w:sz w:val="15"/>
                <w:szCs w:val="15"/>
              </w:rPr>
            </w:pPr>
            <w:r>
              <w:rPr>
                <w:sz w:val="15"/>
                <w:szCs w:val="15"/>
              </w:rPr>
              <w:t xml:space="preserve"> </w:t>
            </w:r>
          </w:p>
        </w:tc>
        <w:tc>
          <w:tcPr>
            <w:tcW w:w="887" w:type="dxa"/>
            <w:noWrap/>
            <w:hideMark/>
          </w:tcPr>
          <w:p w14:paraId="3504EF8C" w14:textId="77777777" w:rsidR="00EB7374" w:rsidRPr="00F17159" w:rsidRDefault="00EB7374" w:rsidP="00C700EB">
            <w:pPr>
              <w:jc w:val="right"/>
              <w:rPr>
                <w:rFonts w:eastAsia="Verdana"/>
                <w:sz w:val="15"/>
                <w:szCs w:val="15"/>
              </w:rPr>
            </w:pPr>
            <w:r>
              <w:rPr>
                <w:sz w:val="15"/>
                <w:szCs w:val="15"/>
              </w:rPr>
              <w:t xml:space="preserve"> </w:t>
            </w:r>
          </w:p>
        </w:tc>
        <w:tc>
          <w:tcPr>
            <w:tcW w:w="887" w:type="dxa"/>
            <w:noWrap/>
            <w:hideMark/>
          </w:tcPr>
          <w:p w14:paraId="1966A8E6" w14:textId="77777777" w:rsidR="00EB7374" w:rsidRPr="00F17159" w:rsidRDefault="00EB7374" w:rsidP="00C700EB">
            <w:pPr>
              <w:jc w:val="right"/>
              <w:rPr>
                <w:rFonts w:eastAsia="Verdana"/>
                <w:sz w:val="15"/>
                <w:szCs w:val="15"/>
              </w:rPr>
            </w:pPr>
            <w:r>
              <w:rPr>
                <w:sz w:val="15"/>
                <w:szCs w:val="15"/>
              </w:rPr>
              <w:t xml:space="preserve"> </w:t>
            </w:r>
          </w:p>
        </w:tc>
        <w:tc>
          <w:tcPr>
            <w:tcW w:w="887" w:type="dxa"/>
            <w:noWrap/>
            <w:hideMark/>
          </w:tcPr>
          <w:p w14:paraId="126A4DA2" w14:textId="77777777" w:rsidR="00EB7374" w:rsidRPr="00F17159" w:rsidRDefault="00EB7374" w:rsidP="00C700EB">
            <w:pPr>
              <w:jc w:val="right"/>
              <w:rPr>
                <w:rFonts w:eastAsia="Verdana"/>
                <w:sz w:val="15"/>
                <w:szCs w:val="15"/>
              </w:rPr>
            </w:pPr>
            <w:r>
              <w:rPr>
                <w:sz w:val="15"/>
                <w:szCs w:val="15"/>
              </w:rPr>
              <w:t xml:space="preserve"> </w:t>
            </w:r>
          </w:p>
        </w:tc>
      </w:tr>
      <w:tr w:rsidR="00EB7374" w:rsidRPr="00F17159" w14:paraId="19973E4D" w14:textId="77777777" w:rsidTr="00C700EB">
        <w:trPr>
          <w:trHeight w:val="20"/>
        </w:trPr>
        <w:tc>
          <w:tcPr>
            <w:tcW w:w="2808" w:type="dxa"/>
            <w:noWrap/>
            <w:hideMark/>
          </w:tcPr>
          <w:p w14:paraId="59805D57" w14:textId="77777777" w:rsidR="00EB7374" w:rsidRPr="00F17159" w:rsidRDefault="00EB7374" w:rsidP="00C700EB">
            <w:pPr>
              <w:ind w:left="113"/>
              <w:jc w:val="left"/>
              <w:rPr>
                <w:rFonts w:eastAsia="Verdana"/>
                <w:sz w:val="15"/>
                <w:szCs w:val="15"/>
              </w:rPr>
            </w:pPr>
            <w:r>
              <w:rPr>
                <w:sz w:val="15"/>
                <w:szCs w:val="15"/>
              </w:rPr>
              <w:t>Savings and credit banks</w:t>
            </w:r>
          </w:p>
        </w:tc>
        <w:tc>
          <w:tcPr>
            <w:tcW w:w="886" w:type="dxa"/>
            <w:noWrap/>
            <w:hideMark/>
          </w:tcPr>
          <w:p w14:paraId="2C89B2BD" w14:textId="77777777" w:rsidR="00EB7374" w:rsidRPr="00F17159" w:rsidRDefault="00EB7374" w:rsidP="00C700EB">
            <w:pPr>
              <w:jc w:val="right"/>
              <w:rPr>
                <w:rFonts w:eastAsia="Verdana"/>
                <w:sz w:val="15"/>
                <w:szCs w:val="15"/>
              </w:rPr>
            </w:pPr>
            <w:r>
              <w:rPr>
                <w:sz w:val="15"/>
                <w:szCs w:val="15"/>
              </w:rPr>
              <w:t xml:space="preserve">26.5 </w:t>
            </w:r>
          </w:p>
        </w:tc>
        <w:tc>
          <w:tcPr>
            <w:tcW w:w="887" w:type="dxa"/>
            <w:noWrap/>
            <w:hideMark/>
          </w:tcPr>
          <w:p w14:paraId="399AD839" w14:textId="77777777" w:rsidR="00EB7374" w:rsidRPr="00F17159" w:rsidRDefault="00EB7374" w:rsidP="00C700EB">
            <w:pPr>
              <w:jc w:val="right"/>
              <w:rPr>
                <w:rFonts w:eastAsia="Verdana"/>
                <w:sz w:val="15"/>
                <w:szCs w:val="15"/>
              </w:rPr>
            </w:pPr>
            <w:r>
              <w:rPr>
                <w:sz w:val="15"/>
                <w:szCs w:val="15"/>
              </w:rPr>
              <w:t xml:space="preserve">30.6 </w:t>
            </w:r>
          </w:p>
        </w:tc>
        <w:tc>
          <w:tcPr>
            <w:tcW w:w="887" w:type="dxa"/>
            <w:noWrap/>
            <w:hideMark/>
          </w:tcPr>
          <w:p w14:paraId="0465DB34" w14:textId="77777777" w:rsidR="00EB7374" w:rsidRPr="00F17159" w:rsidRDefault="00EB7374" w:rsidP="00C700EB">
            <w:pPr>
              <w:jc w:val="right"/>
              <w:rPr>
                <w:rFonts w:eastAsia="Verdana"/>
                <w:sz w:val="15"/>
                <w:szCs w:val="15"/>
              </w:rPr>
            </w:pPr>
            <w:r>
              <w:rPr>
                <w:sz w:val="15"/>
                <w:szCs w:val="15"/>
              </w:rPr>
              <w:t xml:space="preserve">35.3 </w:t>
            </w:r>
          </w:p>
        </w:tc>
        <w:tc>
          <w:tcPr>
            <w:tcW w:w="887" w:type="dxa"/>
            <w:noWrap/>
            <w:hideMark/>
          </w:tcPr>
          <w:p w14:paraId="5296FADC" w14:textId="77777777" w:rsidR="00EB7374" w:rsidRPr="00F17159" w:rsidRDefault="00EB7374" w:rsidP="00C700EB">
            <w:pPr>
              <w:jc w:val="right"/>
              <w:rPr>
                <w:rFonts w:eastAsia="Verdana"/>
                <w:sz w:val="15"/>
                <w:szCs w:val="15"/>
              </w:rPr>
            </w:pPr>
            <w:r>
              <w:rPr>
                <w:sz w:val="15"/>
                <w:szCs w:val="15"/>
              </w:rPr>
              <w:t xml:space="preserve">36.1 </w:t>
            </w:r>
          </w:p>
        </w:tc>
        <w:tc>
          <w:tcPr>
            <w:tcW w:w="887" w:type="dxa"/>
            <w:noWrap/>
            <w:hideMark/>
          </w:tcPr>
          <w:p w14:paraId="0522A0C5" w14:textId="77777777" w:rsidR="00EB7374" w:rsidRPr="00F17159" w:rsidRDefault="00EB7374" w:rsidP="00C700EB">
            <w:pPr>
              <w:jc w:val="right"/>
              <w:rPr>
                <w:rFonts w:eastAsia="Verdana"/>
                <w:sz w:val="15"/>
                <w:szCs w:val="15"/>
              </w:rPr>
            </w:pPr>
            <w:r>
              <w:rPr>
                <w:sz w:val="15"/>
                <w:szCs w:val="15"/>
              </w:rPr>
              <w:t xml:space="preserve">40.7 </w:t>
            </w:r>
          </w:p>
        </w:tc>
        <w:tc>
          <w:tcPr>
            <w:tcW w:w="887" w:type="dxa"/>
            <w:noWrap/>
            <w:hideMark/>
          </w:tcPr>
          <w:p w14:paraId="1C7E46B0" w14:textId="77777777" w:rsidR="00EB7374" w:rsidRPr="00F17159" w:rsidRDefault="00EB7374" w:rsidP="00C700EB">
            <w:pPr>
              <w:jc w:val="right"/>
              <w:rPr>
                <w:rFonts w:eastAsia="Verdana"/>
                <w:sz w:val="15"/>
                <w:szCs w:val="15"/>
              </w:rPr>
            </w:pPr>
            <w:r>
              <w:rPr>
                <w:sz w:val="15"/>
                <w:szCs w:val="15"/>
              </w:rPr>
              <w:t xml:space="preserve">45.8 </w:t>
            </w:r>
          </w:p>
        </w:tc>
        <w:tc>
          <w:tcPr>
            <w:tcW w:w="887" w:type="dxa"/>
            <w:noWrap/>
            <w:hideMark/>
          </w:tcPr>
          <w:p w14:paraId="336A8C5B" w14:textId="77777777" w:rsidR="00EB7374" w:rsidRPr="00F17159" w:rsidRDefault="00EB7374" w:rsidP="00C700EB">
            <w:pPr>
              <w:jc w:val="right"/>
              <w:rPr>
                <w:rFonts w:eastAsia="Verdana"/>
                <w:sz w:val="15"/>
                <w:szCs w:val="15"/>
              </w:rPr>
            </w:pPr>
            <w:r>
              <w:rPr>
                <w:sz w:val="15"/>
                <w:szCs w:val="15"/>
              </w:rPr>
              <w:t xml:space="preserve">51.6 </w:t>
            </w:r>
          </w:p>
        </w:tc>
      </w:tr>
      <w:tr w:rsidR="00EB7374" w:rsidRPr="00F17159" w14:paraId="0465A016" w14:textId="77777777" w:rsidTr="00C700EB">
        <w:trPr>
          <w:cnfStyle w:val="000000010000" w:firstRow="0" w:lastRow="0" w:firstColumn="0" w:lastColumn="0" w:oddVBand="0" w:evenVBand="0" w:oddHBand="0" w:evenHBand="1" w:firstRowFirstColumn="0" w:firstRowLastColumn="0" w:lastRowFirstColumn="0" w:lastRowLastColumn="0"/>
          <w:trHeight w:val="20"/>
        </w:trPr>
        <w:tc>
          <w:tcPr>
            <w:tcW w:w="2808" w:type="dxa"/>
            <w:noWrap/>
            <w:hideMark/>
          </w:tcPr>
          <w:p w14:paraId="5A3DCF23" w14:textId="77777777" w:rsidR="00EB7374" w:rsidRPr="00F17159" w:rsidRDefault="00EB7374" w:rsidP="00C700EB">
            <w:pPr>
              <w:ind w:left="113"/>
              <w:jc w:val="left"/>
              <w:rPr>
                <w:rFonts w:eastAsia="Verdana"/>
                <w:sz w:val="15"/>
                <w:szCs w:val="15"/>
              </w:rPr>
            </w:pPr>
            <w:r>
              <w:rPr>
                <w:sz w:val="15"/>
                <w:szCs w:val="15"/>
              </w:rPr>
              <w:t>Credit corporations</w:t>
            </w:r>
          </w:p>
        </w:tc>
        <w:tc>
          <w:tcPr>
            <w:tcW w:w="886" w:type="dxa"/>
            <w:noWrap/>
            <w:hideMark/>
          </w:tcPr>
          <w:p w14:paraId="10405047" w14:textId="77777777" w:rsidR="00EB7374" w:rsidRPr="00F17159" w:rsidRDefault="00EB7374" w:rsidP="00C700EB">
            <w:pPr>
              <w:jc w:val="right"/>
              <w:rPr>
                <w:rFonts w:eastAsia="Verdana"/>
                <w:sz w:val="15"/>
                <w:szCs w:val="15"/>
              </w:rPr>
            </w:pPr>
            <w:r>
              <w:rPr>
                <w:sz w:val="15"/>
                <w:szCs w:val="15"/>
              </w:rPr>
              <w:t xml:space="preserve">4.1 </w:t>
            </w:r>
          </w:p>
        </w:tc>
        <w:tc>
          <w:tcPr>
            <w:tcW w:w="887" w:type="dxa"/>
            <w:noWrap/>
            <w:hideMark/>
          </w:tcPr>
          <w:p w14:paraId="0E54701D" w14:textId="77777777" w:rsidR="00EB7374" w:rsidRPr="00F17159" w:rsidRDefault="00EB7374" w:rsidP="00C700EB">
            <w:pPr>
              <w:jc w:val="right"/>
              <w:rPr>
                <w:rFonts w:eastAsia="Verdana"/>
                <w:sz w:val="15"/>
                <w:szCs w:val="15"/>
              </w:rPr>
            </w:pPr>
            <w:r>
              <w:rPr>
                <w:sz w:val="15"/>
                <w:szCs w:val="15"/>
              </w:rPr>
              <w:t xml:space="preserve">3.6 </w:t>
            </w:r>
          </w:p>
        </w:tc>
        <w:tc>
          <w:tcPr>
            <w:tcW w:w="887" w:type="dxa"/>
            <w:noWrap/>
            <w:hideMark/>
          </w:tcPr>
          <w:p w14:paraId="585DC47A" w14:textId="77777777" w:rsidR="00EB7374" w:rsidRPr="00F17159" w:rsidRDefault="00EB7374" w:rsidP="00C700EB">
            <w:pPr>
              <w:jc w:val="right"/>
              <w:rPr>
                <w:rFonts w:eastAsia="Verdana"/>
                <w:sz w:val="15"/>
                <w:szCs w:val="15"/>
              </w:rPr>
            </w:pPr>
            <w:r>
              <w:rPr>
                <w:sz w:val="15"/>
                <w:szCs w:val="15"/>
              </w:rPr>
              <w:t xml:space="preserve">4.0 </w:t>
            </w:r>
          </w:p>
        </w:tc>
        <w:tc>
          <w:tcPr>
            <w:tcW w:w="887" w:type="dxa"/>
            <w:noWrap/>
            <w:hideMark/>
          </w:tcPr>
          <w:p w14:paraId="20476226" w14:textId="77777777" w:rsidR="00EB7374" w:rsidRPr="00F17159" w:rsidRDefault="00EB7374" w:rsidP="00C700EB">
            <w:pPr>
              <w:jc w:val="right"/>
              <w:rPr>
                <w:rFonts w:eastAsia="Verdana"/>
                <w:sz w:val="15"/>
                <w:szCs w:val="15"/>
              </w:rPr>
            </w:pPr>
            <w:r>
              <w:rPr>
                <w:sz w:val="15"/>
                <w:szCs w:val="15"/>
              </w:rPr>
              <w:t xml:space="preserve">3.8 </w:t>
            </w:r>
          </w:p>
        </w:tc>
        <w:tc>
          <w:tcPr>
            <w:tcW w:w="887" w:type="dxa"/>
            <w:noWrap/>
            <w:hideMark/>
          </w:tcPr>
          <w:p w14:paraId="6D8D1FDF" w14:textId="77777777" w:rsidR="00EB7374" w:rsidRPr="00F17159" w:rsidRDefault="00EB7374" w:rsidP="00C700EB">
            <w:pPr>
              <w:jc w:val="right"/>
              <w:rPr>
                <w:rFonts w:eastAsia="Verdana"/>
                <w:sz w:val="15"/>
                <w:szCs w:val="15"/>
              </w:rPr>
            </w:pPr>
            <w:r>
              <w:rPr>
                <w:sz w:val="15"/>
                <w:szCs w:val="15"/>
              </w:rPr>
              <w:t xml:space="preserve">3.5 </w:t>
            </w:r>
          </w:p>
        </w:tc>
        <w:tc>
          <w:tcPr>
            <w:tcW w:w="887" w:type="dxa"/>
            <w:noWrap/>
            <w:hideMark/>
          </w:tcPr>
          <w:p w14:paraId="5A0CA692" w14:textId="77777777" w:rsidR="00EB7374" w:rsidRPr="00F17159" w:rsidRDefault="00EB7374" w:rsidP="00C700EB">
            <w:pPr>
              <w:jc w:val="right"/>
              <w:rPr>
                <w:rFonts w:eastAsia="Verdana"/>
                <w:sz w:val="15"/>
                <w:szCs w:val="15"/>
              </w:rPr>
            </w:pPr>
            <w:r>
              <w:rPr>
                <w:sz w:val="15"/>
                <w:szCs w:val="15"/>
              </w:rPr>
              <w:t xml:space="preserve">3.6 </w:t>
            </w:r>
          </w:p>
        </w:tc>
        <w:tc>
          <w:tcPr>
            <w:tcW w:w="887" w:type="dxa"/>
            <w:noWrap/>
            <w:hideMark/>
          </w:tcPr>
          <w:p w14:paraId="325F12EB" w14:textId="77777777" w:rsidR="00EB7374" w:rsidRPr="00F17159" w:rsidRDefault="00EB7374" w:rsidP="00C700EB">
            <w:pPr>
              <w:jc w:val="right"/>
              <w:rPr>
                <w:rFonts w:eastAsia="Verdana"/>
                <w:sz w:val="15"/>
                <w:szCs w:val="15"/>
              </w:rPr>
            </w:pPr>
            <w:r>
              <w:rPr>
                <w:sz w:val="15"/>
                <w:szCs w:val="15"/>
              </w:rPr>
              <w:t xml:space="preserve">4.0 </w:t>
            </w:r>
          </w:p>
        </w:tc>
      </w:tr>
      <w:tr w:rsidR="00EB7374" w:rsidRPr="00F17159" w14:paraId="5C8418F1" w14:textId="77777777" w:rsidTr="00C700EB">
        <w:trPr>
          <w:trHeight w:val="20"/>
        </w:trPr>
        <w:tc>
          <w:tcPr>
            <w:tcW w:w="2808" w:type="dxa"/>
            <w:noWrap/>
            <w:hideMark/>
          </w:tcPr>
          <w:p w14:paraId="49BB0FE2" w14:textId="77777777" w:rsidR="00EB7374" w:rsidRPr="00F17159" w:rsidRDefault="00EB7374" w:rsidP="00C700EB">
            <w:pPr>
              <w:jc w:val="left"/>
              <w:rPr>
                <w:rFonts w:eastAsia="Verdana"/>
                <w:sz w:val="15"/>
                <w:szCs w:val="15"/>
              </w:rPr>
            </w:pPr>
            <w:r>
              <w:rPr>
                <w:sz w:val="15"/>
                <w:szCs w:val="15"/>
              </w:rPr>
              <w:t xml:space="preserve">Savings and loan associations </w:t>
            </w:r>
          </w:p>
        </w:tc>
        <w:tc>
          <w:tcPr>
            <w:tcW w:w="886" w:type="dxa"/>
            <w:noWrap/>
            <w:hideMark/>
          </w:tcPr>
          <w:p w14:paraId="285D2B2B" w14:textId="77777777" w:rsidR="00EB7374" w:rsidRPr="00F17159" w:rsidRDefault="00EB7374" w:rsidP="00C700EB">
            <w:pPr>
              <w:jc w:val="right"/>
              <w:rPr>
                <w:rFonts w:eastAsia="Verdana"/>
                <w:sz w:val="15"/>
                <w:szCs w:val="15"/>
              </w:rPr>
            </w:pPr>
            <w:r>
              <w:rPr>
                <w:sz w:val="15"/>
                <w:szCs w:val="15"/>
              </w:rPr>
              <w:t xml:space="preserve">145.2 </w:t>
            </w:r>
          </w:p>
        </w:tc>
        <w:tc>
          <w:tcPr>
            <w:tcW w:w="887" w:type="dxa"/>
            <w:noWrap/>
            <w:hideMark/>
          </w:tcPr>
          <w:p w14:paraId="194DD0D6" w14:textId="77777777" w:rsidR="00EB7374" w:rsidRPr="00F17159" w:rsidRDefault="00EB7374" w:rsidP="00C700EB">
            <w:pPr>
              <w:jc w:val="right"/>
              <w:rPr>
                <w:rFonts w:eastAsia="Verdana"/>
                <w:sz w:val="15"/>
                <w:szCs w:val="15"/>
              </w:rPr>
            </w:pPr>
            <w:r>
              <w:rPr>
                <w:sz w:val="15"/>
                <w:szCs w:val="15"/>
              </w:rPr>
              <w:t xml:space="preserve">161.5 </w:t>
            </w:r>
          </w:p>
        </w:tc>
        <w:tc>
          <w:tcPr>
            <w:tcW w:w="887" w:type="dxa"/>
            <w:noWrap/>
            <w:hideMark/>
          </w:tcPr>
          <w:p w14:paraId="59516EC4" w14:textId="77777777" w:rsidR="00EB7374" w:rsidRPr="00F17159" w:rsidRDefault="00EB7374" w:rsidP="00C700EB">
            <w:pPr>
              <w:jc w:val="right"/>
              <w:rPr>
                <w:rFonts w:eastAsia="Verdana"/>
                <w:sz w:val="15"/>
                <w:szCs w:val="15"/>
              </w:rPr>
            </w:pPr>
            <w:r>
              <w:rPr>
                <w:sz w:val="15"/>
                <w:szCs w:val="15"/>
              </w:rPr>
              <w:t xml:space="preserve">178.4 </w:t>
            </w:r>
          </w:p>
        </w:tc>
        <w:tc>
          <w:tcPr>
            <w:tcW w:w="887" w:type="dxa"/>
            <w:noWrap/>
            <w:hideMark/>
          </w:tcPr>
          <w:p w14:paraId="24134AEB" w14:textId="77777777" w:rsidR="00EB7374" w:rsidRPr="00F17159" w:rsidRDefault="00EB7374" w:rsidP="00C700EB">
            <w:pPr>
              <w:jc w:val="right"/>
              <w:rPr>
                <w:rFonts w:eastAsia="Verdana"/>
                <w:sz w:val="15"/>
                <w:szCs w:val="15"/>
              </w:rPr>
            </w:pPr>
            <w:r>
              <w:rPr>
                <w:sz w:val="15"/>
                <w:szCs w:val="15"/>
              </w:rPr>
              <w:t xml:space="preserve">191.8 </w:t>
            </w:r>
          </w:p>
        </w:tc>
        <w:tc>
          <w:tcPr>
            <w:tcW w:w="887" w:type="dxa"/>
            <w:noWrap/>
            <w:hideMark/>
          </w:tcPr>
          <w:p w14:paraId="132DDA90" w14:textId="77777777" w:rsidR="00EB7374" w:rsidRPr="00F17159" w:rsidRDefault="00EB7374" w:rsidP="00C700EB">
            <w:pPr>
              <w:jc w:val="right"/>
              <w:rPr>
                <w:rFonts w:eastAsia="Verdana"/>
                <w:sz w:val="15"/>
                <w:szCs w:val="15"/>
              </w:rPr>
            </w:pPr>
            <w:r>
              <w:rPr>
                <w:sz w:val="15"/>
                <w:szCs w:val="15"/>
              </w:rPr>
              <w:t xml:space="preserve">206.9 </w:t>
            </w:r>
          </w:p>
        </w:tc>
        <w:tc>
          <w:tcPr>
            <w:tcW w:w="887" w:type="dxa"/>
            <w:noWrap/>
            <w:hideMark/>
          </w:tcPr>
          <w:p w14:paraId="61267AD6" w14:textId="77777777" w:rsidR="00EB7374" w:rsidRPr="00F17159" w:rsidRDefault="00EB7374" w:rsidP="00C700EB">
            <w:pPr>
              <w:jc w:val="right"/>
              <w:rPr>
                <w:rFonts w:eastAsia="Verdana"/>
                <w:sz w:val="15"/>
                <w:szCs w:val="15"/>
              </w:rPr>
            </w:pPr>
            <w:r>
              <w:rPr>
                <w:sz w:val="15"/>
                <w:szCs w:val="15"/>
              </w:rPr>
              <w:t xml:space="preserve">232.5 </w:t>
            </w:r>
          </w:p>
        </w:tc>
        <w:tc>
          <w:tcPr>
            <w:tcW w:w="887" w:type="dxa"/>
            <w:noWrap/>
            <w:hideMark/>
          </w:tcPr>
          <w:p w14:paraId="1C434A3F" w14:textId="77777777" w:rsidR="00EB7374" w:rsidRPr="00F17159" w:rsidRDefault="00EB7374" w:rsidP="00C700EB">
            <w:pPr>
              <w:jc w:val="right"/>
              <w:rPr>
                <w:rFonts w:eastAsia="Verdana"/>
                <w:sz w:val="15"/>
                <w:szCs w:val="15"/>
              </w:rPr>
            </w:pPr>
            <w:r>
              <w:rPr>
                <w:sz w:val="15"/>
                <w:szCs w:val="15"/>
              </w:rPr>
              <w:t xml:space="preserve">266.7 </w:t>
            </w:r>
          </w:p>
        </w:tc>
      </w:tr>
      <w:tr w:rsidR="00EB7374" w:rsidRPr="00F17159" w14:paraId="3C09BE10" w14:textId="77777777" w:rsidTr="00C700EB">
        <w:trPr>
          <w:cnfStyle w:val="000000010000" w:firstRow="0" w:lastRow="0" w:firstColumn="0" w:lastColumn="0" w:oddVBand="0" w:evenVBand="0" w:oddHBand="0" w:evenHBand="1" w:firstRowFirstColumn="0" w:firstRowLastColumn="0" w:lastRowFirstColumn="0" w:lastRowLastColumn="0"/>
          <w:trHeight w:val="20"/>
        </w:trPr>
        <w:tc>
          <w:tcPr>
            <w:tcW w:w="2808" w:type="dxa"/>
            <w:noWrap/>
            <w:hideMark/>
          </w:tcPr>
          <w:p w14:paraId="52BDCF62" w14:textId="77777777" w:rsidR="00EB7374" w:rsidRPr="00F17159" w:rsidRDefault="00EB7374" w:rsidP="00C700EB">
            <w:pPr>
              <w:jc w:val="left"/>
              <w:rPr>
                <w:rFonts w:eastAsia="Verdana"/>
                <w:sz w:val="15"/>
                <w:szCs w:val="15"/>
              </w:rPr>
            </w:pPr>
            <w:r>
              <w:rPr>
                <w:sz w:val="15"/>
                <w:szCs w:val="15"/>
              </w:rPr>
              <w:t>Export and Development Bank</w:t>
            </w:r>
          </w:p>
        </w:tc>
        <w:tc>
          <w:tcPr>
            <w:tcW w:w="886" w:type="dxa"/>
            <w:noWrap/>
            <w:hideMark/>
          </w:tcPr>
          <w:p w14:paraId="56C9C9C7" w14:textId="77777777" w:rsidR="00EB7374" w:rsidRPr="00F17159" w:rsidRDefault="00EB7374" w:rsidP="00C700EB">
            <w:pPr>
              <w:jc w:val="right"/>
              <w:rPr>
                <w:rFonts w:eastAsia="Verdana"/>
                <w:sz w:val="15"/>
                <w:szCs w:val="15"/>
              </w:rPr>
            </w:pPr>
            <w:r>
              <w:rPr>
                <w:sz w:val="15"/>
                <w:szCs w:val="15"/>
              </w:rPr>
              <w:t xml:space="preserve">7.9 </w:t>
            </w:r>
          </w:p>
        </w:tc>
        <w:tc>
          <w:tcPr>
            <w:tcW w:w="887" w:type="dxa"/>
            <w:noWrap/>
            <w:hideMark/>
          </w:tcPr>
          <w:p w14:paraId="164EB5B5" w14:textId="77777777" w:rsidR="00EB7374" w:rsidRPr="00F17159" w:rsidRDefault="00EB7374" w:rsidP="00C700EB">
            <w:pPr>
              <w:jc w:val="right"/>
              <w:rPr>
                <w:rFonts w:eastAsia="Verdana"/>
                <w:sz w:val="15"/>
                <w:szCs w:val="15"/>
              </w:rPr>
            </w:pPr>
            <w:r>
              <w:rPr>
                <w:sz w:val="15"/>
                <w:szCs w:val="15"/>
              </w:rPr>
              <w:t xml:space="preserve">6.3 </w:t>
            </w:r>
          </w:p>
        </w:tc>
        <w:tc>
          <w:tcPr>
            <w:tcW w:w="887" w:type="dxa"/>
            <w:noWrap/>
            <w:hideMark/>
          </w:tcPr>
          <w:p w14:paraId="649D8F22" w14:textId="77777777" w:rsidR="00EB7374" w:rsidRPr="00F17159" w:rsidRDefault="00EB7374" w:rsidP="00C700EB">
            <w:pPr>
              <w:jc w:val="right"/>
              <w:rPr>
                <w:rFonts w:eastAsia="Verdana"/>
                <w:sz w:val="15"/>
                <w:szCs w:val="15"/>
              </w:rPr>
            </w:pPr>
            <w:r>
              <w:rPr>
                <w:sz w:val="15"/>
                <w:szCs w:val="15"/>
              </w:rPr>
              <w:t xml:space="preserve">5.5 </w:t>
            </w:r>
          </w:p>
        </w:tc>
        <w:tc>
          <w:tcPr>
            <w:tcW w:w="887" w:type="dxa"/>
            <w:noWrap/>
            <w:hideMark/>
          </w:tcPr>
          <w:p w14:paraId="0B88F5E7" w14:textId="77777777" w:rsidR="00EB7374" w:rsidRPr="00F17159" w:rsidRDefault="00EB7374" w:rsidP="00C700EB">
            <w:pPr>
              <w:jc w:val="right"/>
              <w:rPr>
                <w:rFonts w:eastAsia="Verdana"/>
                <w:sz w:val="15"/>
                <w:szCs w:val="15"/>
              </w:rPr>
            </w:pPr>
            <w:r>
              <w:rPr>
                <w:sz w:val="15"/>
                <w:szCs w:val="15"/>
              </w:rPr>
              <w:t xml:space="preserve">8.1 </w:t>
            </w:r>
          </w:p>
        </w:tc>
        <w:tc>
          <w:tcPr>
            <w:tcW w:w="887" w:type="dxa"/>
            <w:noWrap/>
            <w:hideMark/>
          </w:tcPr>
          <w:p w14:paraId="204E5DA3" w14:textId="77777777" w:rsidR="00EB7374" w:rsidRPr="00F17159" w:rsidRDefault="00EB7374" w:rsidP="00C700EB">
            <w:pPr>
              <w:jc w:val="right"/>
              <w:rPr>
                <w:rFonts w:eastAsia="Verdana"/>
                <w:sz w:val="15"/>
                <w:szCs w:val="15"/>
              </w:rPr>
            </w:pPr>
            <w:r>
              <w:rPr>
                <w:sz w:val="15"/>
                <w:szCs w:val="15"/>
              </w:rPr>
              <w:t xml:space="preserve">8.2 </w:t>
            </w:r>
          </w:p>
        </w:tc>
        <w:tc>
          <w:tcPr>
            <w:tcW w:w="887" w:type="dxa"/>
            <w:noWrap/>
            <w:hideMark/>
          </w:tcPr>
          <w:p w14:paraId="796AEAF6" w14:textId="77777777" w:rsidR="00EB7374" w:rsidRPr="00F17159" w:rsidRDefault="00EB7374" w:rsidP="00C700EB">
            <w:pPr>
              <w:jc w:val="right"/>
              <w:rPr>
                <w:rFonts w:eastAsia="Verdana"/>
                <w:sz w:val="15"/>
                <w:szCs w:val="15"/>
              </w:rPr>
            </w:pPr>
            <w:r>
              <w:rPr>
                <w:sz w:val="15"/>
                <w:szCs w:val="15"/>
              </w:rPr>
              <w:t xml:space="preserve">7.4 </w:t>
            </w:r>
          </w:p>
        </w:tc>
        <w:tc>
          <w:tcPr>
            <w:tcW w:w="887" w:type="dxa"/>
            <w:noWrap/>
            <w:hideMark/>
          </w:tcPr>
          <w:p w14:paraId="15C4DAC7" w14:textId="77777777" w:rsidR="00EB7374" w:rsidRPr="00F17159" w:rsidRDefault="00EB7374" w:rsidP="00C700EB">
            <w:pPr>
              <w:jc w:val="right"/>
              <w:rPr>
                <w:rFonts w:eastAsia="Verdana"/>
                <w:sz w:val="15"/>
                <w:szCs w:val="15"/>
              </w:rPr>
            </w:pPr>
            <w:r>
              <w:rPr>
                <w:sz w:val="15"/>
                <w:szCs w:val="15"/>
              </w:rPr>
              <w:t xml:space="preserve">8.2 </w:t>
            </w:r>
          </w:p>
        </w:tc>
      </w:tr>
      <w:tr w:rsidR="00EB7374" w:rsidRPr="00F17159" w14:paraId="1E501FCE" w14:textId="77777777" w:rsidTr="00C700EB">
        <w:trPr>
          <w:trHeight w:val="20"/>
        </w:trPr>
        <w:tc>
          <w:tcPr>
            <w:tcW w:w="2808" w:type="dxa"/>
            <w:noWrap/>
            <w:hideMark/>
          </w:tcPr>
          <w:p w14:paraId="5CCD4760" w14:textId="77777777" w:rsidR="00EB7374" w:rsidRPr="00F17159" w:rsidRDefault="00EB7374" w:rsidP="00C700EB">
            <w:pPr>
              <w:jc w:val="left"/>
              <w:rPr>
                <w:rFonts w:eastAsia="Verdana"/>
                <w:b/>
                <w:bCs/>
                <w:sz w:val="15"/>
                <w:szCs w:val="15"/>
              </w:rPr>
            </w:pPr>
            <w:r>
              <w:rPr>
                <w:b/>
                <w:bCs/>
                <w:sz w:val="15"/>
                <w:szCs w:val="15"/>
              </w:rPr>
              <w:t>By composition, of which</w:t>
            </w:r>
          </w:p>
        </w:tc>
        <w:tc>
          <w:tcPr>
            <w:tcW w:w="886" w:type="dxa"/>
            <w:noWrap/>
            <w:hideMark/>
          </w:tcPr>
          <w:p w14:paraId="4A38065D" w14:textId="77777777" w:rsidR="00EB7374" w:rsidRPr="00F17159" w:rsidRDefault="00EB7374" w:rsidP="00C700EB">
            <w:pPr>
              <w:jc w:val="right"/>
              <w:rPr>
                <w:rFonts w:eastAsia="Verdana"/>
                <w:b/>
                <w:bCs/>
                <w:sz w:val="15"/>
                <w:szCs w:val="15"/>
              </w:rPr>
            </w:pPr>
            <w:r>
              <w:rPr>
                <w:b/>
                <w:bCs/>
                <w:sz w:val="15"/>
                <w:szCs w:val="15"/>
              </w:rPr>
              <w:t xml:space="preserve"> </w:t>
            </w:r>
          </w:p>
        </w:tc>
        <w:tc>
          <w:tcPr>
            <w:tcW w:w="887" w:type="dxa"/>
            <w:noWrap/>
            <w:hideMark/>
          </w:tcPr>
          <w:p w14:paraId="62590B7A" w14:textId="77777777" w:rsidR="00EB7374" w:rsidRPr="00F17159" w:rsidRDefault="00EB7374" w:rsidP="00C700EB">
            <w:pPr>
              <w:jc w:val="right"/>
              <w:rPr>
                <w:rFonts w:eastAsia="Verdana"/>
                <w:b/>
                <w:bCs/>
                <w:sz w:val="15"/>
                <w:szCs w:val="15"/>
              </w:rPr>
            </w:pPr>
            <w:r>
              <w:rPr>
                <w:b/>
                <w:bCs/>
                <w:sz w:val="15"/>
                <w:szCs w:val="15"/>
              </w:rPr>
              <w:t xml:space="preserve"> </w:t>
            </w:r>
          </w:p>
        </w:tc>
        <w:tc>
          <w:tcPr>
            <w:tcW w:w="887" w:type="dxa"/>
            <w:noWrap/>
            <w:hideMark/>
          </w:tcPr>
          <w:p w14:paraId="0D1A4487" w14:textId="77777777" w:rsidR="00EB7374" w:rsidRPr="00F17159" w:rsidRDefault="00EB7374" w:rsidP="00C700EB">
            <w:pPr>
              <w:jc w:val="right"/>
              <w:rPr>
                <w:rFonts w:eastAsia="Verdana"/>
                <w:b/>
                <w:bCs/>
                <w:sz w:val="15"/>
                <w:szCs w:val="15"/>
              </w:rPr>
            </w:pPr>
            <w:r>
              <w:rPr>
                <w:b/>
                <w:bCs/>
                <w:sz w:val="15"/>
                <w:szCs w:val="15"/>
              </w:rPr>
              <w:t xml:space="preserve"> </w:t>
            </w:r>
          </w:p>
        </w:tc>
        <w:tc>
          <w:tcPr>
            <w:tcW w:w="887" w:type="dxa"/>
            <w:noWrap/>
            <w:hideMark/>
          </w:tcPr>
          <w:p w14:paraId="43C3B686" w14:textId="77777777" w:rsidR="00EB7374" w:rsidRPr="00F17159" w:rsidRDefault="00EB7374" w:rsidP="00C700EB">
            <w:pPr>
              <w:jc w:val="right"/>
              <w:rPr>
                <w:rFonts w:eastAsia="Verdana"/>
                <w:b/>
                <w:bCs/>
                <w:sz w:val="15"/>
                <w:szCs w:val="15"/>
              </w:rPr>
            </w:pPr>
            <w:r>
              <w:rPr>
                <w:b/>
                <w:bCs/>
                <w:sz w:val="15"/>
                <w:szCs w:val="15"/>
              </w:rPr>
              <w:t xml:space="preserve"> </w:t>
            </w:r>
          </w:p>
        </w:tc>
        <w:tc>
          <w:tcPr>
            <w:tcW w:w="887" w:type="dxa"/>
            <w:noWrap/>
            <w:hideMark/>
          </w:tcPr>
          <w:p w14:paraId="463E1775" w14:textId="77777777" w:rsidR="00EB7374" w:rsidRPr="00F17159" w:rsidRDefault="00EB7374" w:rsidP="00C700EB">
            <w:pPr>
              <w:jc w:val="right"/>
              <w:rPr>
                <w:rFonts w:eastAsia="Verdana"/>
                <w:b/>
                <w:bCs/>
                <w:sz w:val="15"/>
                <w:szCs w:val="15"/>
              </w:rPr>
            </w:pPr>
            <w:r>
              <w:rPr>
                <w:b/>
                <w:bCs/>
                <w:sz w:val="15"/>
                <w:szCs w:val="15"/>
              </w:rPr>
              <w:t xml:space="preserve"> </w:t>
            </w:r>
          </w:p>
        </w:tc>
        <w:tc>
          <w:tcPr>
            <w:tcW w:w="887" w:type="dxa"/>
            <w:noWrap/>
            <w:hideMark/>
          </w:tcPr>
          <w:p w14:paraId="5716C91B" w14:textId="77777777" w:rsidR="00EB7374" w:rsidRPr="00F17159" w:rsidRDefault="00EB7374" w:rsidP="00C700EB">
            <w:pPr>
              <w:jc w:val="right"/>
              <w:rPr>
                <w:rFonts w:eastAsia="Verdana"/>
                <w:b/>
                <w:bCs/>
                <w:sz w:val="15"/>
                <w:szCs w:val="15"/>
              </w:rPr>
            </w:pPr>
            <w:r>
              <w:rPr>
                <w:b/>
                <w:bCs/>
                <w:sz w:val="15"/>
                <w:szCs w:val="15"/>
              </w:rPr>
              <w:t xml:space="preserve"> </w:t>
            </w:r>
          </w:p>
        </w:tc>
        <w:tc>
          <w:tcPr>
            <w:tcW w:w="887" w:type="dxa"/>
            <w:noWrap/>
            <w:hideMark/>
          </w:tcPr>
          <w:p w14:paraId="202DF657" w14:textId="77777777" w:rsidR="00EB7374" w:rsidRPr="00F17159" w:rsidRDefault="00EB7374" w:rsidP="00C700EB">
            <w:pPr>
              <w:jc w:val="right"/>
              <w:rPr>
                <w:rFonts w:eastAsia="Verdana"/>
                <w:b/>
                <w:bCs/>
                <w:sz w:val="15"/>
                <w:szCs w:val="15"/>
              </w:rPr>
            </w:pPr>
            <w:r>
              <w:rPr>
                <w:b/>
                <w:bCs/>
                <w:sz w:val="15"/>
                <w:szCs w:val="15"/>
              </w:rPr>
              <w:t xml:space="preserve"> </w:t>
            </w:r>
          </w:p>
        </w:tc>
      </w:tr>
      <w:tr w:rsidR="00EB7374" w:rsidRPr="00F17159" w14:paraId="5854C028" w14:textId="77777777" w:rsidTr="00C700EB">
        <w:trPr>
          <w:cnfStyle w:val="000000010000" w:firstRow="0" w:lastRow="0" w:firstColumn="0" w:lastColumn="0" w:oddVBand="0" w:evenVBand="0" w:oddHBand="0" w:evenHBand="1" w:firstRowFirstColumn="0" w:firstRowLastColumn="0" w:lastRowFirstColumn="0" w:lastRowLastColumn="0"/>
          <w:trHeight w:val="20"/>
        </w:trPr>
        <w:tc>
          <w:tcPr>
            <w:tcW w:w="2808" w:type="dxa"/>
            <w:noWrap/>
            <w:hideMark/>
          </w:tcPr>
          <w:p w14:paraId="02E0DE28" w14:textId="77777777" w:rsidR="00EB7374" w:rsidRPr="00F17159" w:rsidRDefault="00EB7374" w:rsidP="00C700EB">
            <w:pPr>
              <w:jc w:val="left"/>
              <w:rPr>
                <w:rFonts w:eastAsia="Verdana"/>
                <w:b/>
                <w:bCs/>
                <w:sz w:val="15"/>
                <w:szCs w:val="15"/>
              </w:rPr>
            </w:pPr>
            <w:r>
              <w:rPr>
                <w:b/>
                <w:bCs/>
                <w:sz w:val="15"/>
                <w:szCs w:val="15"/>
              </w:rPr>
              <w:t xml:space="preserve">Loan portfolio </w:t>
            </w:r>
          </w:p>
        </w:tc>
        <w:tc>
          <w:tcPr>
            <w:tcW w:w="886" w:type="dxa"/>
            <w:noWrap/>
            <w:hideMark/>
          </w:tcPr>
          <w:p w14:paraId="07B7607A" w14:textId="77777777" w:rsidR="00EB7374" w:rsidRPr="00F17159" w:rsidRDefault="00EB7374" w:rsidP="00C700EB">
            <w:pPr>
              <w:jc w:val="right"/>
              <w:rPr>
                <w:rFonts w:eastAsia="Verdana"/>
                <w:b/>
                <w:bCs/>
                <w:sz w:val="15"/>
                <w:szCs w:val="15"/>
              </w:rPr>
            </w:pPr>
            <w:r>
              <w:rPr>
                <w:b/>
                <w:bCs/>
                <w:sz w:val="15"/>
                <w:szCs w:val="15"/>
              </w:rPr>
              <w:t>844.5</w:t>
            </w:r>
          </w:p>
        </w:tc>
        <w:tc>
          <w:tcPr>
            <w:tcW w:w="887" w:type="dxa"/>
            <w:noWrap/>
            <w:hideMark/>
          </w:tcPr>
          <w:p w14:paraId="20FCE7CA" w14:textId="77777777" w:rsidR="00EB7374" w:rsidRPr="00F17159" w:rsidRDefault="00EB7374" w:rsidP="00C700EB">
            <w:pPr>
              <w:jc w:val="right"/>
              <w:rPr>
                <w:rFonts w:eastAsia="Verdana"/>
                <w:b/>
                <w:bCs/>
                <w:sz w:val="15"/>
                <w:szCs w:val="15"/>
              </w:rPr>
            </w:pPr>
            <w:r>
              <w:rPr>
                <w:b/>
                <w:bCs/>
                <w:sz w:val="15"/>
                <w:szCs w:val="15"/>
              </w:rPr>
              <w:t xml:space="preserve">923.5 </w:t>
            </w:r>
          </w:p>
        </w:tc>
        <w:tc>
          <w:tcPr>
            <w:tcW w:w="887" w:type="dxa"/>
            <w:noWrap/>
            <w:hideMark/>
          </w:tcPr>
          <w:p w14:paraId="2154F516" w14:textId="77777777" w:rsidR="00EB7374" w:rsidRPr="00F17159" w:rsidRDefault="00EB7374" w:rsidP="00C700EB">
            <w:pPr>
              <w:jc w:val="right"/>
              <w:rPr>
                <w:rFonts w:eastAsia="Verdana"/>
                <w:b/>
                <w:bCs/>
                <w:sz w:val="15"/>
                <w:szCs w:val="15"/>
              </w:rPr>
            </w:pPr>
            <w:r>
              <w:rPr>
                <w:b/>
                <w:bCs/>
                <w:sz w:val="15"/>
                <w:szCs w:val="15"/>
              </w:rPr>
              <w:t xml:space="preserve">999.6 </w:t>
            </w:r>
          </w:p>
        </w:tc>
        <w:tc>
          <w:tcPr>
            <w:tcW w:w="887" w:type="dxa"/>
            <w:noWrap/>
            <w:hideMark/>
          </w:tcPr>
          <w:p w14:paraId="534B06E0" w14:textId="77777777" w:rsidR="00EB7374" w:rsidRPr="00F17159" w:rsidRDefault="00EB7374" w:rsidP="00C700EB">
            <w:pPr>
              <w:jc w:val="right"/>
              <w:rPr>
                <w:rFonts w:eastAsia="Verdana"/>
                <w:b/>
                <w:bCs/>
                <w:sz w:val="15"/>
                <w:szCs w:val="15"/>
              </w:rPr>
            </w:pPr>
            <w:r>
              <w:rPr>
                <w:b/>
                <w:bCs/>
                <w:sz w:val="15"/>
                <w:szCs w:val="15"/>
              </w:rPr>
              <w:t xml:space="preserve">1,109.9 </w:t>
            </w:r>
          </w:p>
        </w:tc>
        <w:tc>
          <w:tcPr>
            <w:tcW w:w="887" w:type="dxa"/>
            <w:noWrap/>
            <w:hideMark/>
          </w:tcPr>
          <w:p w14:paraId="00539236" w14:textId="77777777" w:rsidR="00EB7374" w:rsidRPr="00F17159" w:rsidRDefault="00EB7374" w:rsidP="00C700EB">
            <w:pPr>
              <w:jc w:val="right"/>
              <w:rPr>
                <w:rFonts w:eastAsia="Verdana"/>
                <w:b/>
                <w:bCs/>
                <w:sz w:val="15"/>
                <w:szCs w:val="15"/>
              </w:rPr>
            </w:pPr>
            <w:r>
              <w:rPr>
                <w:b/>
                <w:bCs/>
                <w:sz w:val="15"/>
                <w:szCs w:val="15"/>
              </w:rPr>
              <w:t xml:space="preserve">1,208.9 </w:t>
            </w:r>
          </w:p>
        </w:tc>
        <w:tc>
          <w:tcPr>
            <w:tcW w:w="887" w:type="dxa"/>
            <w:noWrap/>
            <w:hideMark/>
          </w:tcPr>
          <w:p w14:paraId="211CE0B6" w14:textId="77777777" w:rsidR="00EB7374" w:rsidRPr="00F17159" w:rsidRDefault="00EB7374" w:rsidP="00C700EB">
            <w:pPr>
              <w:jc w:val="right"/>
              <w:rPr>
                <w:rFonts w:eastAsia="Verdana"/>
                <w:b/>
                <w:bCs/>
                <w:sz w:val="15"/>
                <w:szCs w:val="15"/>
              </w:rPr>
            </w:pPr>
            <w:r>
              <w:rPr>
                <w:b/>
                <w:bCs/>
                <w:sz w:val="15"/>
                <w:szCs w:val="15"/>
              </w:rPr>
              <w:t xml:space="preserve">1,256.0 </w:t>
            </w:r>
          </w:p>
        </w:tc>
        <w:tc>
          <w:tcPr>
            <w:tcW w:w="887" w:type="dxa"/>
            <w:noWrap/>
            <w:hideMark/>
          </w:tcPr>
          <w:p w14:paraId="6BE55758" w14:textId="77777777" w:rsidR="00EB7374" w:rsidRPr="00F17159" w:rsidRDefault="00EB7374" w:rsidP="00C700EB">
            <w:pPr>
              <w:jc w:val="right"/>
              <w:rPr>
                <w:rFonts w:eastAsia="Verdana"/>
                <w:b/>
                <w:bCs/>
                <w:sz w:val="15"/>
                <w:szCs w:val="15"/>
              </w:rPr>
            </w:pPr>
            <w:r>
              <w:rPr>
                <w:b/>
                <w:bCs/>
                <w:sz w:val="15"/>
                <w:szCs w:val="15"/>
              </w:rPr>
              <w:t xml:space="preserve">1,389.9 </w:t>
            </w:r>
          </w:p>
        </w:tc>
      </w:tr>
      <w:tr w:rsidR="00EB7374" w:rsidRPr="00F17159" w14:paraId="78D53F46" w14:textId="77777777" w:rsidTr="00C700EB">
        <w:trPr>
          <w:trHeight w:val="20"/>
        </w:trPr>
        <w:tc>
          <w:tcPr>
            <w:tcW w:w="2808" w:type="dxa"/>
            <w:noWrap/>
            <w:hideMark/>
          </w:tcPr>
          <w:p w14:paraId="465C9BAB" w14:textId="77777777" w:rsidR="00EB7374" w:rsidRPr="00F17159" w:rsidRDefault="00EB7374" w:rsidP="00C700EB">
            <w:pPr>
              <w:ind w:left="113"/>
              <w:jc w:val="left"/>
              <w:rPr>
                <w:rFonts w:eastAsia="Verdana"/>
                <w:sz w:val="15"/>
                <w:szCs w:val="15"/>
              </w:rPr>
            </w:pPr>
            <w:r>
              <w:rPr>
                <w:sz w:val="15"/>
                <w:szCs w:val="15"/>
              </w:rPr>
              <w:t xml:space="preserve">Commercial loans </w:t>
            </w:r>
          </w:p>
        </w:tc>
        <w:tc>
          <w:tcPr>
            <w:tcW w:w="886" w:type="dxa"/>
            <w:noWrap/>
            <w:hideMark/>
          </w:tcPr>
          <w:p w14:paraId="69CCC07E" w14:textId="77777777" w:rsidR="00EB7374" w:rsidRPr="00F17159" w:rsidRDefault="00EB7374" w:rsidP="00C700EB">
            <w:pPr>
              <w:jc w:val="right"/>
              <w:rPr>
                <w:rFonts w:eastAsia="Verdana"/>
                <w:sz w:val="15"/>
                <w:szCs w:val="15"/>
              </w:rPr>
            </w:pPr>
            <w:r>
              <w:rPr>
                <w:sz w:val="15"/>
                <w:szCs w:val="15"/>
              </w:rPr>
              <w:t>503.8</w:t>
            </w:r>
          </w:p>
        </w:tc>
        <w:tc>
          <w:tcPr>
            <w:tcW w:w="887" w:type="dxa"/>
            <w:noWrap/>
            <w:hideMark/>
          </w:tcPr>
          <w:p w14:paraId="6F0185A6" w14:textId="77777777" w:rsidR="00EB7374" w:rsidRPr="00F17159" w:rsidRDefault="00EB7374" w:rsidP="00C700EB">
            <w:pPr>
              <w:jc w:val="right"/>
              <w:rPr>
                <w:rFonts w:eastAsia="Verdana"/>
                <w:sz w:val="15"/>
                <w:szCs w:val="15"/>
              </w:rPr>
            </w:pPr>
            <w:r>
              <w:rPr>
                <w:sz w:val="15"/>
                <w:szCs w:val="15"/>
              </w:rPr>
              <w:t xml:space="preserve">537.7 </w:t>
            </w:r>
          </w:p>
        </w:tc>
        <w:tc>
          <w:tcPr>
            <w:tcW w:w="887" w:type="dxa"/>
            <w:noWrap/>
            <w:hideMark/>
          </w:tcPr>
          <w:p w14:paraId="28713661" w14:textId="77777777" w:rsidR="00EB7374" w:rsidRPr="00F17159" w:rsidRDefault="00EB7374" w:rsidP="00C700EB">
            <w:pPr>
              <w:jc w:val="right"/>
              <w:rPr>
                <w:rFonts w:eastAsia="Verdana"/>
                <w:sz w:val="15"/>
                <w:szCs w:val="15"/>
              </w:rPr>
            </w:pPr>
            <w:r>
              <w:rPr>
                <w:sz w:val="15"/>
                <w:szCs w:val="15"/>
              </w:rPr>
              <w:t xml:space="preserve">568.8 </w:t>
            </w:r>
          </w:p>
        </w:tc>
        <w:tc>
          <w:tcPr>
            <w:tcW w:w="887" w:type="dxa"/>
            <w:noWrap/>
            <w:hideMark/>
          </w:tcPr>
          <w:p w14:paraId="1A3FF17F" w14:textId="77777777" w:rsidR="00EB7374" w:rsidRPr="00F17159" w:rsidRDefault="00EB7374" w:rsidP="00C700EB">
            <w:pPr>
              <w:jc w:val="right"/>
              <w:rPr>
                <w:rFonts w:eastAsia="Verdana"/>
                <w:sz w:val="15"/>
                <w:szCs w:val="15"/>
              </w:rPr>
            </w:pPr>
            <w:r>
              <w:rPr>
                <w:sz w:val="15"/>
                <w:szCs w:val="15"/>
              </w:rPr>
              <w:t xml:space="preserve">635.8 </w:t>
            </w:r>
          </w:p>
        </w:tc>
        <w:tc>
          <w:tcPr>
            <w:tcW w:w="887" w:type="dxa"/>
            <w:noWrap/>
            <w:hideMark/>
          </w:tcPr>
          <w:p w14:paraId="222048D7" w14:textId="77777777" w:rsidR="00EB7374" w:rsidRPr="00F17159" w:rsidRDefault="00EB7374" w:rsidP="00C700EB">
            <w:pPr>
              <w:jc w:val="right"/>
              <w:rPr>
                <w:rFonts w:eastAsia="Verdana"/>
                <w:sz w:val="15"/>
                <w:szCs w:val="15"/>
              </w:rPr>
            </w:pPr>
            <w:r>
              <w:rPr>
                <w:sz w:val="15"/>
                <w:szCs w:val="15"/>
              </w:rPr>
              <w:t xml:space="preserve">688.7 </w:t>
            </w:r>
          </w:p>
        </w:tc>
        <w:tc>
          <w:tcPr>
            <w:tcW w:w="887" w:type="dxa"/>
            <w:noWrap/>
            <w:hideMark/>
          </w:tcPr>
          <w:p w14:paraId="4B972052" w14:textId="77777777" w:rsidR="00EB7374" w:rsidRPr="00F17159" w:rsidRDefault="00EB7374" w:rsidP="00C700EB">
            <w:pPr>
              <w:jc w:val="right"/>
              <w:rPr>
                <w:rFonts w:eastAsia="Verdana"/>
                <w:sz w:val="15"/>
                <w:szCs w:val="15"/>
              </w:rPr>
            </w:pPr>
            <w:r>
              <w:rPr>
                <w:sz w:val="15"/>
                <w:szCs w:val="15"/>
              </w:rPr>
              <w:t xml:space="preserve">703.6 </w:t>
            </w:r>
          </w:p>
        </w:tc>
        <w:tc>
          <w:tcPr>
            <w:tcW w:w="887" w:type="dxa"/>
            <w:noWrap/>
            <w:hideMark/>
          </w:tcPr>
          <w:p w14:paraId="7FBFB6D0" w14:textId="77777777" w:rsidR="00EB7374" w:rsidRPr="00F17159" w:rsidRDefault="00EB7374" w:rsidP="00C700EB">
            <w:pPr>
              <w:jc w:val="right"/>
              <w:rPr>
                <w:rFonts w:eastAsia="Verdana"/>
                <w:sz w:val="15"/>
                <w:szCs w:val="15"/>
              </w:rPr>
            </w:pPr>
            <w:r>
              <w:rPr>
                <w:sz w:val="15"/>
                <w:szCs w:val="15"/>
              </w:rPr>
              <w:t xml:space="preserve">775.9 </w:t>
            </w:r>
          </w:p>
        </w:tc>
      </w:tr>
      <w:tr w:rsidR="00EB7374" w:rsidRPr="00F17159" w14:paraId="425550EA" w14:textId="77777777" w:rsidTr="00C700EB">
        <w:trPr>
          <w:cnfStyle w:val="000000010000" w:firstRow="0" w:lastRow="0" w:firstColumn="0" w:lastColumn="0" w:oddVBand="0" w:evenVBand="0" w:oddHBand="0" w:evenHBand="1" w:firstRowFirstColumn="0" w:firstRowLastColumn="0" w:lastRowFirstColumn="0" w:lastRowLastColumn="0"/>
          <w:trHeight w:val="20"/>
        </w:trPr>
        <w:tc>
          <w:tcPr>
            <w:tcW w:w="2808" w:type="dxa"/>
            <w:noWrap/>
            <w:hideMark/>
          </w:tcPr>
          <w:p w14:paraId="27E9480F" w14:textId="77777777" w:rsidR="00EB7374" w:rsidRPr="00F17159" w:rsidRDefault="00EB7374" w:rsidP="00C700EB">
            <w:pPr>
              <w:ind w:left="227"/>
              <w:jc w:val="left"/>
              <w:rPr>
                <w:rFonts w:eastAsia="Verdana"/>
                <w:sz w:val="15"/>
                <w:szCs w:val="15"/>
              </w:rPr>
            </w:pPr>
            <w:r>
              <w:rPr>
                <w:sz w:val="15"/>
                <w:szCs w:val="15"/>
              </w:rPr>
              <w:t xml:space="preserve">Private sector </w:t>
            </w:r>
          </w:p>
        </w:tc>
        <w:tc>
          <w:tcPr>
            <w:tcW w:w="886" w:type="dxa"/>
            <w:noWrap/>
            <w:hideMark/>
          </w:tcPr>
          <w:p w14:paraId="3B7E2305" w14:textId="77777777" w:rsidR="00EB7374" w:rsidRPr="00F17159" w:rsidRDefault="00EB7374" w:rsidP="00C700EB">
            <w:pPr>
              <w:jc w:val="right"/>
              <w:rPr>
                <w:rFonts w:eastAsia="Verdana"/>
                <w:sz w:val="15"/>
                <w:szCs w:val="15"/>
              </w:rPr>
            </w:pPr>
            <w:r>
              <w:rPr>
                <w:sz w:val="15"/>
                <w:szCs w:val="15"/>
              </w:rPr>
              <w:t>767.7</w:t>
            </w:r>
          </w:p>
        </w:tc>
        <w:tc>
          <w:tcPr>
            <w:tcW w:w="887" w:type="dxa"/>
            <w:noWrap/>
            <w:hideMark/>
          </w:tcPr>
          <w:p w14:paraId="711239CD" w14:textId="77777777" w:rsidR="00EB7374" w:rsidRPr="00F17159" w:rsidRDefault="00EB7374" w:rsidP="00C700EB">
            <w:pPr>
              <w:jc w:val="right"/>
              <w:rPr>
                <w:rFonts w:eastAsia="Verdana"/>
                <w:sz w:val="15"/>
                <w:szCs w:val="15"/>
              </w:rPr>
            </w:pPr>
            <w:r>
              <w:rPr>
                <w:sz w:val="15"/>
                <w:szCs w:val="15"/>
              </w:rPr>
              <w:t xml:space="preserve">853 </w:t>
            </w:r>
          </w:p>
        </w:tc>
        <w:tc>
          <w:tcPr>
            <w:tcW w:w="887" w:type="dxa"/>
            <w:noWrap/>
            <w:hideMark/>
          </w:tcPr>
          <w:p w14:paraId="63405625" w14:textId="77777777" w:rsidR="00EB7374" w:rsidRPr="00F17159" w:rsidRDefault="00EB7374" w:rsidP="00C700EB">
            <w:pPr>
              <w:jc w:val="right"/>
              <w:rPr>
                <w:rFonts w:eastAsia="Verdana"/>
                <w:sz w:val="15"/>
                <w:szCs w:val="15"/>
              </w:rPr>
            </w:pPr>
            <w:r>
              <w:rPr>
                <w:sz w:val="15"/>
                <w:szCs w:val="15"/>
              </w:rPr>
              <w:t xml:space="preserve">932 </w:t>
            </w:r>
          </w:p>
        </w:tc>
        <w:tc>
          <w:tcPr>
            <w:tcW w:w="887" w:type="dxa"/>
            <w:noWrap/>
            <w:hideMark/>
          </w:tcPr>
          <w:p w14:paraId="3635C034" w14:textId="77777777" w:rsidR="00EB7374" w:rsidRPr="00F17159" w:rsidRDefault="00EB7374" w:rsidP="00C700EB">
            <w:pPr>
              <w:jc w:val="right"/>
              <w:rPr>
                <w:rFonts w:eastAsia="Verdana"/>
                <w:sz w:val="15"/>
                <w:szCs w:val="15"/>
              </w:rPr>
            </w:pPr>
            <w:r>
              <w:rPr>
                <w:sz w:val="15"/>
                <w:szCs w:val="15"/>
              </w:rPr>
              <w:t xml:space="preserve">1.037 </w:t>
            </w:r>
          </w:p>
        </w:tc>
        <w:tc>
          <w:tcPr>
            <w:tcW w:w="887" w:type="dxa"/>
            <w:noWrap/>
            <w:hideMark/>
          </w:tcPr>
          <w:p w14:paraId="471B60E8" w14:textId="77777777" w:rsidR="00EB7374" w:rsidRPr="00F17159" w:rsidRDefault="00EB7374" w:rsidP="00C700EB">
            <w:pPr>
              <w:jc w:val="right"/>
              <w:rPr>
                <w:rFonts w:eastAsia="Verdana"/>
                <w:sz w:val="15"/>
                <w:szCs w:val="15"/>
              </w:rPr>
            </w:pPr>
            <w:r>
              <w:rPr>
                <w:sz w:val="15"/>
                <w:szCs w:val="15"/>
              </w:rPr>
              <w:t xml:space="preserve">1.140 </w:t>
            </w:r>
          </w:p>
        </w:tc>
        <w:tc>
          <w:tcPr>
            <w:tcW w:w="887" w:type="dxa"/>
            <w:noWrap/>
            <w:hideMark/>
          </w:tcPr>
          <w:p w14:paraId="00619235" w14:textId="77777777" w:rsidR="00EB7374" w:rsidRPr="00F17159" w:rsidRDefault="00EB7374" w:rsidP="00C700EB">
            <w:pPr>
              <w:jc w:val="right"/>
              <w:rPr>
                <w:rFonts w:eastAsia="Verdana"/>
                <w:sz w:val="15"/>
                <w:szCs w:val="15"/>
              </w:rPr>
            </w:pPr>
            <w:r>
              <w:rPr>
                <w:sz w:val="15"/>
                <w:szCs w:val="15"/>
              </w:rPr>
              <w:t xml:space="preserve">1.216 </w:t>
            </w:r>
          </w:p>
        </w:tc>
        <w:tc>
          <w:tcPr>
            <w:tcW w:w="887" w:type="dxa"/>
            <w:noWrap/>
            <w:hideMark/>
          </w:tcPr>
          <w:p w14:paraId="3A329A46" w14:textId="77777777" w:rsidR="00EB7374" w:rsidRPr="00F17159" w:rsidRDefault="00EB7374" w:rsidP="00C700EB">
            <w:pPr>
              <w:jc w:val="right"/>
              <w:rPr>
                <w:rFonts w:eastAsia="Verdana"/>
                <w:sz w:val="15"/>
                <w:szCs w:val="15"/>
              </w:rPr>
            </w:pPr>
            <w:r>
              <w:rPr>
                <w:sz w:val="15"/>
                <w:szCs w:val="15"/>
              </w:rPr>
              <w:t xml:space="preserve">1.348 </w:t>
            </w:r>
          </w:p>
        </w:tc>
      </w:tr>
      <w:tr w:rsidR="00EB7374" w:rsidRPr="00F17159" w14:paraId="3B3AE50B" w14:textId="77777777" w:rsidTr="00C700EB">
        <w:trPr>
          <w:trHeight w:val="20"/>
        </w:trPr>
        <w:tc>
          <w:tcPr>
            <w:tcW w:w="2808" w:type="dxa"/>
            <w:noWrap/>
            <w:hideMark/>
          </w:tcPr>
          <w:p w14:paraId="5E0DEEEF" w14:textId="77777777" w:rsidR="00EB7374" w:rsidRPr="00F17159" w:rsidRDefault="00EB7374" w:rsidP="00C700EB">
            <w:pPr>
              <w:ind w:left="227"/>
              <w:jc w:val="left"/>
              <w:rPr>
                <w:rFonts w:eastAsia="Verdana"/>
                <w:sz w:val="15"/>
                <w:szCs w:val="15"/>
              </w:rPr>
            </w:pPr>
            <w:r>
              <w:rPr>
                <w:sz w:val="15"/>
                <w:szCs w:val="15"/>
              </w:rPr>
              <w:t xml:space="preserve">Public sector </w:t>
            </w:r>
          </w:p>
        </w:tc>
        <w:tc>
          <w:tcPr>
            <w:tcW w:w="886" w:type="dxa"/>
            <w:noWrap/>
            <w:hideMark/>
          </w:tcPr>
          <w:p w14:paraId="57941D11" w14:textId="77777777" w:rsidR="00EB7374" w:rsidRPr="00F17159" w:rsidRDefault="00EB7374" w:rsidP="00C700EB">
            <w:pPr>
              <w:jc w:val="right"/>
              <w:rPr>
                <w:rFonts w:eastAsia="Verdana"/>
                <w:sz w:val="15"/>
                <w:szCs w:val="15"/>
              </w:rPr>
            </w:pPr>
            <w:r>
              <w:rPr>
                <w:sz w:val="15"/>
                <w:szCs w:val="15"/>
              </w:rPr>
              <w:t>76.8</w:t>
            </w:r>
          </w:p>
        </w:tc>
        <w:tc>
          <w:tcPr>
            <w:tcW w:w="887" w:type="dxa"/>
            <w:noWrap/>
            <w:hideMark/>
          </w:tcPr>
          <w:p w14:paraId="682BF1A3" w14:textId="77777777" w:rsidR="00EB7374" w:rsidRPr="00F17159" w:rsidRDefault="00EB7374" w:rsidP="00C700EB">
            <w:pPr>
              <w:jc w:val="right"/>
              <w:rPr>
                <w:rFonts w:eastAsia="Verdana"/>
                <w:sz w:val="15"/>
                <w:szCs w:val="15"/>
              </w:rPr>
            </w:pPr>
            <w:r>
              <w:rPr>
                <w:sz w:val="15"/>
                <w:szCs w:val="15"/>
              </w:rPr>
              <w:t xml:space="preserve">70 </w:t>
            </w:r>
          </w:p>
        </w:tc>
        <w:tc>
          <w:tcPr>
            <w:tcW w:w="887" w:type="dxa"/>
            <w:noWrap/>
            <w:hideMark/>
          </w:tcPr>
          <w:p w14:paraId="78E1D998" w14:textId="77777777" w:rsidR="00EB7374" w:rsidRPr="00F17159" w:rsidRDefault="00EB7374" w:rsidP="00C700EB">
            <w:pPr>
              <w:jc w:val="right"/>
              <w:rPr>
                <w:rFonts w:eastAsia="Verdana"/>
                <w:sz w:val="15"/>
                <w:szCs w:val="15"/>
              </w:rPr>
            </w:pPr>
            <w:r>
              <w:rPr>
                <w:sz w:val="15"/>
                <w:szCs w:val="15"/>
              </w:rPr>
              <w:t xml:space="preserve">67 </w:t>
            </w:r>
          </w:p>
        </w:tc>
        <w:tc>
          <w:tcPr>
            <w:tcW w:w="887" w:type="dxa"/>
            <w:noWrap/>
            <w:hideMark/>
          </w:tcPr>
          <w:p w14:paraId="0B65A531" w14:textId="77777777" w:rsidR="00EB7374" w:rsidRPr="00F17159" w:rsidRDefault="00EB7374" w:rsidP="00C700EB">
            <w:pPr>
              <w:jc w:val="right"/>
              <w:rPr>
                <w:rFonts w:eastAsia="Verdana"/>
                <w:sz w:val="15"/>
                <w:szCs w:val="15"/>
              </w:rPr>
            </w:pPr>
            <w:r>
              <w:rPr>
                <w:sz w:val="15"/>
                <w:szCs w:val="15"/>
              </w:rPr>
              <w:t xml:space="preserve">72 </w:t>
            </w:r>
          </w:p>
        </w:tc>
        <w:tc>
          <w:tcPr>
            <w:tcW w:w="887" w:type="dxa"/>
            <w:noWrap/>
            <w:hideMark/>
          </w:tcPr>
          <w:p w14:paraId="557EFDC6" w14:textId="77777777" w:rsidR="00EB7374" w:rsidRPr="00F17159" w:rsidRDefault="00EB7374" w:rsidP="00C700EB">
            <w:pPr>
              <w:jc w:val="right"/>
              <w:rPr>
                <w:rFonts w:eastAsia="Verdana"/>
                <w:sz w:val="15"/>
                <w:szCs w:val="15"/>
              </w:rPr>
            </w:pPr>
            <w:r>
              <w:rPr>
                <w:sz w:val="15"/>
                <w:szCs w:val="15"/>
              </w:rPr>
              <w:t xml:space="preserve">69 </w:t>
            </w:r>
          </w:p>
        </w:tc>
        <w:tc>
          <w:tcPr>
            <w:tcW w:w="887" w:type="dxa"/>
            <w:noWrap/>
            <w:hideMark/>
          </w:tcPr>
          <w:p w14:paraId="03DA7EE2" w14:textId="77777777" w:rsidR="00EB7374" w:rsidRPr="00F17159" w:rsidRDefault="00EB7374" w:rsidP="00C700EB">
            <w:pPr>
              <w:jc w:val="right"/>
              <w:rPr>
                <w:rFonts w:eastAsia="Verdana"/>
                <w:sz w:val="15"/>
                <w:szCs w:val="15"/>
              </w:rPr>
            </w:pPr>
            <w:r>
              <w:rPr>
                <w:sz w:val="15"/>
                <w:szCs w:val="15"/>
              </w:rPr>
              <w:t xml:space="preserve">40 </w:t>
            </w:r>
          </w:p>
        </w:tc>
        <w:tc>
          <w:tcPr>
            <w:tcW w:w="887" w:type="dxa"/>
            <w:noWrap/>
            <w:hideMark/>
          </w:tcPr>
          <w:p w14:paraId="7042516E" w14:textId="77777777" w:rsidR="00EB7374" w:rsidRPr="00F17159" w:rsidRDefault="00EB7374" w:rsidP="00C700EB">
            <w:pPr>
              <w:jc w:val="right"/>
              <w:rPr>
                <w:rFonts w:eastAsia="Verdana"/>
                <w:sz w:val="15"/>
                <w:szCs w:val="15"/>
              </w:rPr>
            </w:pPr>
            <w:r>
              <w:rPr>
                <w:sz w:val="15"/>
                <w:szCs w:val="15"/>
              </w:rPr>
              <w:t xml:space="preserve">42 </w:t>
            </w:r>
          </w:p>
        </w:tc>
      </w:tr>
      <w:tr w:rsidR="00EB7374" w:rsidRPr="00F17159" w14:paraId="70BB9A83" w14:textId="77777777" w:rsidTr="00C700EB">
        <w:trPr>
          <w:cnfStyle w:val="000000010000" w:firstRow="0" w:lastRow="0" w:firstColumn="0" w:lastColumn="0" w:oddVBand="0" w:evenVBand="0" w:oddHBand="0" w:evenHBand="1" w:firstRowFirstColumn="0" w:firstRowLastColumn="0" w:lastRowFirstColumn="0" w:lastRowLastColumn="0"/>
          <w:trHeight w:val="20"/>
        </w:trPr>
        <w:tc>
          <w:tcPr>
            <w:tcW w:w="2808" w:type="dxa"/>
            <w:noWrap/>
            <w:hideMark/>
          </w:tcPr>
          <w:p w14:paraId="5D71A90B" w14:textId="77777777" w:rsidR="00EB7374" w:rsidRPr="00F17159" w:rsidRDefault="00EB7374" w:rsidP="00C700EB">
            <w:pPr>
              <w:ind w:left="113"/>
              <w:jc w:val="left"/>
              <w:rPr>
                <w:rFonts w:eastAsia="Verdana"/>
                <w:sz w:val="15"/>
                <w:szCs w:val="15"/>
              </w:rPr>
            </w:pPr>
            <w:r>
              <w:rPr>
                <w:sz w:val="15"/>
                <w:szCs w:val="15"/>
              </w:rPr>
              <w:t xml:space="preserve">Consumer loans </w:t>
            </w:r>
          </w:p>
        </w:tc>
        <w:tc>
          <w:tcPr>
            <w:tcW w:w="886" w:type="dxa"/>
            <w:noWrap/>
            <w:hideMark/>
          </w:tcPr>
          <w:p w14:paraId="6C6EE0DD" w14:textId="77777777" w:rsidR="00EB7374" w:rsidRPr="00F17159" w:rsidRDefault="00EB7374" w:rsidP="00C700EB">
            <w:pPr>
              <w:jc w:val="right"/>
              <w:rPr>
                <w:rFonts w:eastAsia="Verdana"/>
                <w:sz w:val="15"/>
                <w:szCs w:val="15"/>
              </w:rPr>
            </w:pPr>
            <w:r>
              <w:rPr>
                <w:sz w:val="15"/>
                <w:szCs w:val="15"/>
              </w:rPr>
              <w:t>201.4</w:t>
            </w:r>
          </w:p>
        </w:tc>
        <w:tc>
          <w:tcPr>
            <w:tcW w:w="887" w:type="dxa"/>
            <w:noWrap/>
            <w:hideMark/>
          </w:tcPr>
          <w:p w14:paraId="74B55E44" w14:textId="77777777" w:rsidR="00EB7374" w:rsidRPr="00F17159" w:rsidRDefault="00EB7374" w:rsidP="00C700EB">
            <w:pPr>
              <w:jc w:val="right"/>
              <w:rPr>
                <w:rFonts w:eastAsia="Verdana"/>
                <w:sz w:val="15"/>
                <w:szCs w:val="15"/>
              </w:rPr>
            </w:pPr>
            <w:r>
              <w:rPr>
                <w:sz w:val="15"/>
                <w:szCs w:val="15"/>
              </w:rPr>
              <w:t xml:space="preserve">232.9 </w:t>
            </w:r>
          </w:p>
        </w:tc>
        <w:tc>
          <w:tcPr>
            <w:tcW w:w="887" w:type="dxa"/>
            <w:noWrap/>
            <w:hideMark/>
          </w:tcPr>
          <w:p w14:paraId="6CEE4AC4" w14:textId="77777777" w:rsidR="00EB7374" w:rsidRPr="00F17159" w:rsidRDefault="00EB7374" w:rsidP="00C700EB">
            <w:pPr>
              <w:jc w:val="right"/>
              <w:rPr>
                <w:rFonts w:eastAsia="Verdana"/>
                <w:sz w:val="15"/>
                <w:szCs w:val="15"/>
              </w:rPr>
            </w:pPr>
            <w:r>
              <w:rPr>
                <w:sz w:val="15"/>
                <w:szCs w:val="15"/>
              </w:rPr>
              <w:t xml:space="preserve">260.6 </w:t>
            </w:r>
          </w:p>
        </w:tc>
        <w:tc>
          <w:tcPr>
            <w:tcW w:w="887" w:type="dxa"/>
            <w:noWrap/>
            <w:hideMark/>
          </w:tcPr>
          <w:p w14:paraId="0CB728FB" w14:textId="77777777" w:rsidR="00EB7374" w:rsidRPr="00F17159" w:rsidRDefault="00EB7374" w:rsidP="00C700EB">
            <w:pPr>
              <w:jc w:val="right"/>
              <w:rPr>
                <w:rFonts w:eastAsia="Verdana"/>
                <w:sz w:val="15"/>
                <w:szCs w:val="15"/>
              </w:rPr>
            </w:pPr>
            <w:r>
              <w:rPr>
                <w:sz w:val="15"/>
                <w:szCs w:val="15"/>
              </w:rPr>
              <w:t xml:space="preserve">287.9 </w:t>
            </w:r>
          </w:p>
        </w:tc>
        <w:tc>
          <w:tcPr>
            <w:tcW w:w="887" w:type="dxa"/>
            <w:noWrap/>
            <w:hideMark/>
          </w:tcPr>
          <w:p w14:paraId="69ABEEB0" w14:textId="77777777" w:rsidR="00EB7374" w:rsidRPr="00F17159" w:rsidRDefault="00EB7374" w:rsidP="00C700EB">
            <w:pPr>
              <w:jc w:val="right"/>
              <w:rPr>
                <w:rFonts w:eastAsia="Verdana"/>
                <w:sz w:val="15"/>
                <w:szCs w:val="15"/>
              </w:rPr>
            </w:pPr>
            <w:r>
              <w:rPr>
                <w:sz w:val="15"/>
                <w:szCs w:val="15"/>
              </w:rPr>
              <w:t xml:space="preserve">310.8 </w:t>
            </w:r>
          </w:p>
        </w:tc>
        <w:tc>
          <w:tcPr>
            <w:tcW w:w="887" w:type="dxa"/>
            <w:noWrap/>
            <w:hideMark/>
          </w:tcPr>
          <w:p w14:paraId="03F0B70C" w14:textId="77777777" w:rsidR="00EB7374" w:rsidRPr="00F17159" w:rsidRDefault="00EB7374" w:rsidP="00C700EB">
            <w:pPr>
              <w:jc w:val="right"/>
              <w:rPr>
                <w:rFonts w:eastAsia="Verdana"/>
                <w:sz w:val="15"/>
                <w:szCs w:val="15"/>
              </w:rPr>
            </w:pPr>
            <w:r>
              <w:rPr>
                <w:sz w:val="15"/>
                <w:szCs w:val="15"/>
              </w:rPr>
              <w:t xml:space="preserve">329.8 </w:t>
            </w:r>
          </w:p>
        </w:tc>
        <w:tc>
          <w:tcPr>
            <w:tcW w:w="887" w:type="dxa"/>
            <w:noWrap/>
            <w:hideMark/>
          </w:tcPr>
          <w:p w14:paraId="44AB0A6C" w14:textId="77777777" w:rsidR="00EB7374" w:rsidRPr="00F17159" w:rsidRDefault="00EB7374" w:rsidP="00C700EB">
            <w:pPr>
              <w:jc w:val="right"/>
              <w:rPr>
                <w:rFonts w:eastAsia="Verdana"/>
                <w:sz w:val="15"/>
                <w:szCs w:val="15"/>
              </w:rPr>
            </w:pPr>
            <w:r>
              <w:rPr>
                <w:sz w:val="15"/>
                <w:szCs w:val="15"/>
              </w:rPr>
              <w:t xml:space="preserve">362.4 </w:t>
            </w:r>
          </w:p>
        </w:tc>
      </w:tr>
      <w:tr w:rsidR="00EB7374" w:rsidRPr="00F17159" w14:paraId="60B54CCF" w14:textId="77777777" w:rsidTr="00C700EB">
        <w:trPr>
          <w:trHeight w:val="20"/>
        </w:trPr>
        <w:tc>
          <w:tcPr>
            <w:tcW w:w="2808" w:type="dxa"/>
            <w:noWrap/>
            <w:hideMark/>
          </w:tcPr>
          <w:p w14:paraId="68238627" w14:textId="77777777" w:rsidR="00EB7374" w:rsidRPr="00F17159" w:rsidRDefault="00EB7374" w:rsidP="00C700EB">
            <w:pPr>
              <w:ind w:left="113"/>
              <w:jc w:val="left"/>
              <w:rPr>
                <w:rFonts w:eastAsia="Verdana"/>
                <w:sz w:val="15"/>
                <w:szCs w:val="15"/>
              </w:rPr>
            </w:pPr>
            <w:r>
              <w:rPr>
                <w:sz w:val="15"/>
                <w:szCs w:val="15"/>
              </w:rPr>
              <w:t>Mortgage loans</w:t>
            </w:r>
          </w:p>
        </w:tc>
        <w:tc>
          <w:tcPr>
            <w:tcW w:w="886" w:type="dxa"/>
            <w:noWrap/>
            <w:hideMark/>
          </w:tcPr>
          <w:p w14:paraId="35DE7C08" w14:textId="77777777" w:rsidR="00EB7374" w:rsidRPr="00F17159" w:rsidRDefault="00EB7374" w:rsidP="00C700EB">
            <w:pPr>
              <w:jc w:val="right"/>
              <w:rPr>
                <w:rFonts w:eastAsia="Verdana"/>
                <w:sz w:val="15"/>
                <w:szCs w:val="15"/>
              </w:rPr>
            </w:pPr>
            <w:r>
              <w:rPr>
                <w:sz w:val="15"/>
                <w:szCs w:val="15"/>
              </w:rPr>
              <w:t>139.3</w:t>
            </w:r>
          </w:p>
        </w:tc>
        <w:tc>
          <w:tcPr>
            <w:tcW w:w="887" w:type="dxa"/>
            <w:noWrap/>
            <w:hideMark/>
          </w:tcPr>
          <w:p w14:paraId="33490E08" w14:textId="77777777" w:rsidR="00EB7374" w:rsidRPr="00F17159" w:rsidRDefault="00EB7374" w:rsidP="00C700EB">
            <w:pPr>
              <w:jc w:val="right"/>
              <w:rPr>
                <w:rFonts w:eastAsia="Verdana"/>
                <w:sz w:val="15"/>
                <w:szCs w:val="15"/>
              </w:rPr>
            </w:pPr>
            <w:r>
              <w:rPr>
                <w:sz w:val="15"/>
                <w:szCs w:val="15"/>
              </w:rPr>
              <w:t xml:space="preserve">153.0 </w:t>
            </w:r>
          </w:p>
        </w:tc>
        <w:tc>
          <w:tcPr>
            <w:tcW w:w="887" w:type="dxa"/>
            <w:noWrap/>
            <w:hideMark/>
          </w:tcPr>
          <w:p w14:paraId="14AC1B8E" w14:textId="77777777" w:rsidR="00EB7374" w:rsidRPr="00F17159" w:rsidRDefault="00EB7374" w:rsidP="00C700EB">
            <w:pPr>
              <w:jc w:val="right"/>
              <w:rPr>
                <w:rFonts w:eastAsia="Verdana"/>
                <w:sz w:val="15"/>
                <w:szCs w:val="15"/>
              </w:rPr>
            </w:pPr>
            <w:r>
              <w:rPr>
                <w:sz w:val="15"/>
                <w:szCs w:val="15"/>
              </w:rPr>
              <w:t xml:space="preserve">170.2 </w:t>
            </w:r>
          </w:p>
        </w:tc>
        <w:tc>
          <w:tcPr>
            <w:tcW w:w="887" w:type="dxa"/>
            <w:noWrap/>
            <w:hideMark/>
          </w:tcPr>
          <w:p w14:paraId="29A9D77A" w14:textId="77777777" w:rsidR="00EB7374" w:rsidRPr="00F17159" w:rsidRDefault="00EB7374" w:rsidP="00C700EB">
            <w:pPr>
              <w:jc w:val="right"/>
              <w:rPr>
                <w:rFonts w:eastAsia="Verdana"/>
                <w:sz w:val="15"/>
                <w:szCs w:val="15"/>
              </w:rPr>
            </w:pPr>
            <w:r>
              <w:rPr>
                <w:sz w:val="15"/>
                <w:szCs w:val="15"/>
              </w:rPr>
              <w:t xml:space="preserve">186.2 </w:t>
            </w:r>
          </w:p>
        </w:tc>
        <w:tc>
          <w:tcPr>
            <w:tcW w:w="887" w:type="dxa"/>
            <w:noWrap/>
            <w:hideMark/>
          </w:tcPr>
          <w:p w14:paraId="73BC2255" w14:textId="77777777" w:rsidR="00EB7374" w:rsidRPr="00F17159" w:rsidRDefault="00EB7374" w:rsidP="00C700EB">
            <w:pPr>
              <w:jc w:val="right"/>
              <w:rPr>
                <w:rFonts w:eastAsia="Verdana"/>
                <w:sz w:val="15"/>
                <w:szCs w:val="15"/>
              </w:rPr>
            </w:pPr>
            <w:r>
              <w:rPr>
                <w:sz w:val="15"/>
                <w:szCs w:val="15"/>
              </w:rPr>
              <w:t xml:space="preserve">209.5 </w:t>
            </w:r>
          </w:p>
        </w:tc>
        <w:tc>
          <w:tcPr>
            <w:tcW w:w="887" w:type="dxa"/>
            <w:noWrap/>
            <w:hideMark/>
          </w:tcPr>
          <w:p w14:paraId="137E0DDE" w14:textId="77777777" w:rsidR="00EB7374" w:rsidRPr="00F17159" w:rsidRDefault="00EB7374" w:rsidP="00C700EB">
            <w:pPr>
              <w:jc w:val="right"/>
              <w:rPr>
                <w:rFonts w:eastAsia="Verdana"/>
                <w:sz w:val="15"/>
                <w:szCs w:val="15"/>
              </w:rPr>
            </w:pPr>
            <w:r>
              <w:rPr>
                <w:sz w:val="15"/>
                <w:szCs w:val="15"/>
              </w:rPr>
              <w:t xml:space="preserve">222.6 </w:t>
            </w:r>
          </w:p>
        </w:tc>
        <w:tc>
          <w:tcPr>
            <w:tcW w:w="887" w:type="dxa"/>
            <w:noWrap/>
            <w:hideMark/>
          </w:tcPr>
          <w:p w14:paraId="65E6C235" w14:textId="77777777" w:rsidR="00EB7374" w:rsidRPr="00F17159" w:rsidRDefault="00EB7374" w:rsidP="00C700EB">
            <w:pPr>
              <w:jc w:val="right"/>
              <w:rPr>
                <w:rFonts w:eastAsia="Verdana"/>
                <w:sz w:val="15"/>
                <w:szCs w:val="15"/>
              </w:rPr>
            </w:pPr>
            <w:r>
              <w:rPr>
                <w:sz w:val="15"/>
                <w:szCs w:val="15"/>
              </w:rPr>
              <w:t xml:space="preserve">251.6 </w:t>
            </w:r>
          </w:p>
        </w:tc>
      </w:tr>
      <w:tr w:rsidR="00EB7374" w:rsidRPr="00F17159" w14:paraId="5F84D944" w14:textId="77777777" w:rsidTr="00C700EB">
        <w:trPr>
          <w:cnfStyle w:val="000000010000" w:firstRow="0" w:lastRow="0" w:firstColumn="0" w:lastColumn="0" w:oddVBand="0" w:evenVBand="0" w:oddHBand="0" w:evenHBand="1" w:firstRowFirstColumn="0" w:firstRowLastColumn="0" w:lastRowFirstColumn="0" w:lastRowLastColumn="0"/>
          <w:trHeight w:val="20"/>
        </w:trPr>
        <w:tc>
          <w:tcPr>
            <w:tcW w:w="2808" w:type="dxa"/>
            <w:noWrap/>
            <w:hideMark/>
          </w:tcPr>
          <w:p w14:paraId="26508E12" w14:textId="77777777" w:rsidR="00EB7374" w:rsidRPr="00F17159" w:rsidRDefault="00EB7374" w:rsidP="00C700EB">
            <w:pPr>
              <w:ind w:left="113"/>
              <w:jc w:val="left"/>
              <w:rPr>
                <w:rFonts w:eastAsia="Verdana"/>
                <w:sz w:val="15"/>
                <w:szCs w:val="15"/>
              </w:rPr>
            </w:pPr>
            <w:r>
              <w:rPr>
                <w:sz w:val="15"/>
                <w:szCs w:val="15"/>
              </w:rPr>
              <w:t xml:space="preserve">Loan portfolio (% of GDP) </w:t>
            </w:r>
          </w:p>
        </w:tc>
        <w:tc>
          <w:tcPr>
            <w:tcW w:w="886" w:type="dxa"/>
            <w:noWrap/>
            <w:hideMark/>
          </w:tcPr>
          <w:p w14:paraId="7B671F74" w14:textId="77777777" w:rsidR="00EB7374" w:rsidRPr="00F17159" w:rsidRDefault="00EB7374" w:rsidP="00C700EB">
            <w:pPr>
              <w:jc w:val="right"/>
              <w:rPr>
                <w:rFonts w:eastAsia="Verdana"/>
                <w:sz w:val="15"/>
                <w:szCs w:val="15"/>
              </w:rPr>
            </w:pPr>
            <w:r>
              <w:rPr>
                <w:sz w:val="15"/>
                <w:szCs w:val="15"/>
              </w:rPr>
              <w:t>26.3</w:t>
            </w:r>
          </w:p>
        </w:tc>
        <w:tc>
          <w:tcPr>
            <w:tcW w:w="887" w:type="dxa"/>
            <w:noWrap/>
            <w:hideMark/>
          </w:tcPr>
          <w:p w14:paraId="3E2E99F4" w14:textId="77777777" w:rsidR="00EB7374" w:rsidRPr="00F17159" w:rsidRDefault="00EB7374" w:rsidP="00C700EB">
            <w:pPr>
              <w:jc w:val="right"/>
              <w:rPr>
                <w:rFonts w:eastAsia="Verdana"/>
                <w:sz w:val="15"/>
                <w:szCs w:val="15"/>
              </w:rPr>
            </w:pPr>
            <w:r>
              <w:rPr>
                <w:sz w:val="15"/>
                <w:szCs w:val="15"/>
              </w:rPr>
              <w:t>26.5</w:t>
            </w:r>
          </w:p>
        </w:tc>
        <w:tc>
          <w:tcPr>
            <w:tcW w:w="887" w:type="dxa"/>
            <w:noWrap/>
            <w:hideMark/>
          </w:tcPr>
          <w:p w14:paraId="1CD50660" w14:textId="77777777" w:rsidR="00EB7374" w:rsidRPr="00F17159" w:rsidRDefault="00EB7374" w:rsidP="00C700EB">
            <w:pPr>
              <w:jc w:val="right"/>
              <w:rPr>
                <w:rFonts w:eastAsia="Verdana"/>
                <w:sz w:val="15"/>
                <w:szCs w:val="15"/>
              </w:rPr>
            </w:pPr>
            <w:r>
              <w:rPr>
                <w:sz w:val="15"/>
                <w:szCs w:val="15"/>
              </w:rPr>
              <w:t>26.3</w:t>
            </w:r>
          </w:p>
        </w:tc>
        <w:tc>
          <w:tcPr>
            <w:tcW w:w="887" w:type="dxa"/>
            <w:noWrap/>
            <w:hideMark/>
          </w:tcPr>
          <w:p w14:paraId="33625775" w14:textId="77777777" w:rsidR="00EB7374" w:rsidRPr="00F17159" w:rsidRDefault="00EB7374" w:rsidP="00C700EB">
            <w:pPr>
              <w:jc w:val="right"/>
              <w:rPr>
                <w:rFonts w:eastAsia="Verdana"/>
                <w:sz w:val="15"/>
                <w:szCs w:val="15"/>
              </w:rPr>
            </w:pPr>
            <w:r>
              <w:rPr>
                <w:sz w:val="15"/>
                <w:szCs w:val="15"/>
              </w:rPr>
              <w:t>26.2</w:t>
            </w:r>
          </w:p>
        </w:tc>
        <w:tc>
          <w:tcPr>
            <w:tcW w:w="887" w:type="dxa"/>
            <w:noWrap/>
            <w:hideMark/>
          </w:tcPr>
          <w:p w14:paraId="5EC20163" w14:textId="77777777" w:rsidR="00EB7374" w:rsidRPr="00F17159" w:rsidRDefault="00EB7374" w:rsidP="00C700EB">
            <w:pPr>
              <w:jc w:val="right"/>
              <w:rPr>
                <w:rFonts w:eastAsia="Verdana"/>
                <w:sz w:val="15"/>
                <w:szCs w:val="15"/>
              </w:rPr>
            </w:pPr>
            <w:r>
              <w:rPr>
                <w:sz w:val="15"/>
                <w:szCs w:val="15"/>
              </w:rPr>
              <w:t>26.5</w:t>
            </w:r>
          </w:p>
        </w:tc>
        <w:tc>
          <w:tcPr>
            <w:tcW w:w="887" w:type="dxa"/>
            <w:noWrap/>
            <w:hideMark/>
          </w:tcPr>
          <w:p w14:paraId="53BC23A8" w14:textId="77777777" w:rsidR="00EB7374" w:rsidRPr="00F17159" w:rsidRDefault="00EB7374" w:rsidP="00C700EB">
            <w:pPr>
              <w:jc w:val="right"/>
              <w:rPr>
                <w:rFonts w:eastAsia="Verdana"/>
                <w:sz w:val="15"/>
                <w:szCs w:val="15"/>
              </w:rPr>
            </w:pPr>
            <w:r>
              <w:rPr>
                <w:sz w:val="15"/>
                <w:szCs w:val="15"/>
              </w:rPr>
              <w:t>28.2</w:t>
            </w:r>
          </w:p>
        </w:tc>
        <w:tc>
          <w:tcPr>
            <w:tcW w:w="887" w:type="dxa"/>
            <w:noWrap/>
            <w:hideMark/>
          </w:tcPr>
          <w:p w14:paraId="73B0C510" w14:textId="77777777" w:rsidR="00EB7374" w:rsidRPr="00F17159" w:rsidRDefault="00EB7374" w:rsidP="00C700EB">
            <w:pPr>
              <w:jc w:val="right"/>
              <w:rPr>
                <w:rFonts w:eastAsia="Verdana"/>
                <w:sz w:val="15"/>
                <w:szCs w:val="15"/>
              </w:rPr>
            </w:pPr>
            <w:r>
              <w:rPr>
                <w:sz w:val="15"/>
                <w:szCs w:val="15"/>
              </w:rPr>
              <w:t>26.1</w:t>
            </w:r>
          </w:p>
        </w:tc>
      </w:tr>
      <w:tr w:rsidR="00EB7374" w:rsidRPr="00F17159" w14:paraId="5C67FC29" w14:textId="77777777" w:rsidTr="00C700EB">
        <w:trPr>
          <w:trHeight w:val="20"/>
        </w:trPr>
        <w:tc>
          <w:tcPr>
            <w:tcW w:w="9016" w:type="dxa"/>
            <w:gridSpan w:val="8"/>
            <w:noWrap/>
            <w:hideMark/>
          </w:tcPr>
          <w:p w14:paraId="068FF99F" w14:textId="77777777" w:rsidR="00EB7374" w:rsidRPr="00F17159" w:rsidRDefault="00EB7374" w:rsidP="00C700EB">
            <w:pPr>
              <w:jc w:val="left"/>
              <w:rPr>
                <w:rFonts w:eastAsia="Verdana"/>
                <w:b/>
                <w:bCs/>
                <w:sz w:val="15"/>
                <w:szCs w:val="15"/>
              </w:rPr>
            </w:pPr>
            <w:r>
              <w:rPr>
                <w:b/>
                <w:bCs/>
                <w:sz w:val="15"/>
                <w:szCs w:val="15"/>
              </w:rPr>
              <w:t xml:space="preserve">Lending rate of full-service banks </w:t>
            </w:r>
          </w:p>
        </w:tc>
      </w:tr>
      <w:tr w:rsidR="00EB7374" w:rsidRPr="00F17159" w14:paraId="002BE9FD" w14:textId="77777777" w:rsidTr="00C700EB">
        <w:trPr>
          <w:cnfStyle w:val="000000010000" w:firstRow="0" w:lastRow="0" w:firstColumn="0" w:lastColumn="0" w:oddVBand="0" w:evenVBand="0" w:oddHBand="0" w:evenHBand="1" w:firstRowFirstColumn="0" w:firstRowLastColumn="0" w:lastRowFirstColumn="0" w:lastRowLastColumn="0"/>
          <w:trHeight w:val="20"/>
        </w:trPr>
        <w:tc>
          <w:tcPr>
            <w:tcW w:w="2808" w:type="dxa"/>
            <w:noWrap/>
            <w:hideMark/>
          </w:tcPr>
          <w:p w14:paraId="1C41A1F7" w14:textId="77777777" w:rsidR="00EB7374" w:rsidRPr="00F17159" w:rsidRDefault="00EB7374" w:rsidP="00C700EB">
            <w:pPr>
              <w:ind w:left="113"/>
              <w:jc w:val="left"/>
              <w:rPr>
                <w:rFonts w:eastAsia="Verdana"/>
                <w:sz w:val="15"/>
                <w:szCs w:val="15"/>
              </w:rPr>
            </w:pPr>
            <w:r>
              <w:rPr>
                <w:sz w:val="15"/>
                <w:szCs w:val="15"/>
              </w:rPr>
              <w:t xml:space="preserve">Commercial loans </w:t>
            </w:r>
          </w:p>
        </w:tc>
        <w:tc>
          <w:tcPr>
            <w:tcW w:w="886" w:type="dxa"/>
            <w:noWrap/>
            <w:hideMark/>
          </w:tcPr>
          <w:p w14:paraId="1CEF37E1" w14:textId="77777777" w:rsidR="00EB7374" w:rsidRPr="00F17159" w:rsidRDefault="00EB7374" w:rsidP="00C700EB">
            <w:pPr>
              <w:jc w:val="right"/>
              <w:rPr>
                <w:rFonts w:eastAsia="Verdana"/>
                <w:sz w:val="15"/>
                <w:szCs w:val="15"/>
              </w:rPr>
            </w:pPr>
            <w:r>
              <w:rPr>
                <w:sz w:val="15"/>
                <w:szCs w:val="15"/>
              </w:rPr>
              <w:t>14.3</w:t>
            </w:r>
          </w:p>
        </w:tc>
        <w:tc>
          <w:tcPr>
            <w:tcW w:w="887" w:type="dxa"/>
            <w:noWrap/>
            <w:hideMark/>
          </w:tcPr>
          <w:p w14:paraId="203F8097" w14:textId="77777777" w:rsidR="00EB7374" w:rsidRPr="00F17159" w:rsidRDefault="00EB7374" w:rsidP="00C700EB">
            <w:pPr>
              <w:jc w:val="right"/>
              <w:rPr>
                <w:rFonts w:eastAsia="Verdana"/>
                <w:sz w:val="15"/>
                <w:szCs w:val="15"/>
              </w:rPr>
            </w:pPr>
            <w:r>
              <w:rPr>
                <w:sz w:val="15"/>
                <w:szCs w:val="15"/>
              </w:rPr>
              <w:t>14.4</w:t>
            </w:r>
          </w:p>
        </w:tc>
        <w:tc>
          <w:tcPr>
            <w:tcW w:w="887" w:type="dxa"/>
            <w:noWrap/>
            <w:hideMark/>
          </w:tcPr>
          <w:p w14:paraId="3F34F021" w14:textId="77777777" w:rsidR="00EB7374" w:rsidRPr="00F17159" w:rsidRDefault="00EB7374" w:rsidP="00C700EB">
            <w:pPr>
              <w:jc w:val="right"/>
              <w:rPr>
                <w:rFonts w:eastAsia="Verdana"/>
                <w:sz w:val="15"/>
                <w:szCs w:val="15"/>
              </w:rPr>
            </w:pPr>
            <w:r>
              <w:rPr>
                <w:sz w:val="15"/>
                <w:szCs w:val="15"/>
              </w:rPr>
              <w:t>13.0</w:t>
            </w:r>
          </w:p>
        </w:tc>
        <w:tc>
          <w:tcPr>
            <w:tcW w:w="887" w:type="dxa"/>
            <w:noWrap/>
            <w:hideMark/>
          </w:tcPr>
          <w:p w14:paraId="6CED0292" w14:textId="77777777" w:rsidR="00EB7374" w:rsidRPr="00F17159" w:rsidRDefault="00EB7374" w:rsidP="00C700EB">
            <w:pPr>
              <w:jc w:val="right"/>
              <w:rPr>
                <w:rFonts w:eastAsia="Verdana"/>
                <w:sz w:val="15"/>
                <w:szCs w:val="15"/>
              </w:rPr>
            </w:pPr>
            <w:r>
              <w:rPr>
                <w:sz w:val="15"/>
                <w:szCs w:val="15"/>
              </w:rPr>
              <w:t>11.6</w:t>
            </w:r>
          </w:p>
        </w:tc>
        <w:tc>
          <w:tcPr>
            <w:tcW w:w="887" w:type="dxa"/>
            <w:noWrap/>
            <w:hideMark/>
          </w:tcPr>
          <w:p w14:paraId="5B887A0C" w14:textId="77777777" w:rsidR="00EB7374" w:rsidRPr="00F17159" w:rsidRDefault="00EB7374" w:rsidP="00C700EB">
            <w:pPr>
              <w:jc w:val="right"/>
              <w:rPr>
                <w:rFonts w:eastAsia="Verdana"/>
                <w:sz w:val="15"/>
                <w:szCs w:val="15"/>
              </w:rPr>
            </w:pPr>
            <w:r>
              <w:rPr>
                <w:sz w:val="15"/>
                <w:szCs w:val="15"/>
              </w:rPr>
              <w:t>11.4</w:t>
            </w:r>
          </w:p>
        </w:tc>
        <w:tc>
          <w:tcPr>
            <w:tcW w:w="887" w:type="dxa"/>
            <w:noWrap/>
            <w:hideMark/>
          </w:tcPr>
          <w:p w14:paraId="1DBF047D" w14:textId="77777777" w:rsidR="00EB7374" w:rsidRPr="00F17159" w:rsidRDefault="00EB7374" w:rsidP="00C700EB">
            <w:pPr>
              <w:jc w:val="right"/>
              <w:rPr>
                <w:rFonts w:eastAsia="Verdana"/>
                <w:sz w:val="15"/>
                <w:szCs w:val="15"/>
              </w:rPr>
            </w:pPr>
            <w:r>
              <w:rPr>
                <w:sz w:val="15"/>
                <w:szCs w:val="15"/>
              </w:rPr>
              <w:t>10.2</w:t>
            </w:r>
          </w:p>
        </w:tc>
        <w:tc>
          <w:tcPr>
            <w:tcW w:w="887" w:type="dxa"/>
            <w:noWrap/>
            <w:hideMark/>
          </w:tcPr>
          <w:p w14:paraId="441BF8FD" w14:textId="77777777" w:rsidR="00EB7374" w:rsidRPr="00F17159" w:rsidRDefault="00EB7374" w:rsidP="00C700EB">
            <w:pPr>
              <w:jc w:val="right"/>
              <w:rPr>
                <w:rFonts w:eastAsia="Verdana"/>
                <w:sz w:val="15"/>
                <w:szCs w:val="15"/>
              </w:rPr>
            </w:pPr>
            <w:r>
              <w:rPr>
                <w:sz w:val="15"/>
                <w:szCs w:val="15"/>
              </w:rPr>
              <w:t>8.6</w:t>
            </w:r>
          </w:p>
        </w:tc>
      </w:tr>
      <w:tr w:rsidR="00EB7374" w:rsidRPr="00F17159" w14:paraId="3BF48169" w14:textId="77777777" w:rsidTr="00C700EB">
        <w:trPr>
          <w:trHeight w:val="20"/>
        </w:trPr>
        <w:tc>
          <w:tcPr>
            <w:tcW w:w="2808" w:type="dxa"/>
            <w:noWrap/>
            <w:hideMark/>
          </w:tcPr>
          <w:p w14:paraId="2FBC4DDA" w14:textId="77777777" w:rsidR="00EB7374" w:rsidRPr="00F17159" w:rsidRDefault="00EB7374" w:rsidP="00C700EB">
            <w:pPr>
              <w:ind w:left="113"/>
              <w:jc w:val="left"/>
              <w:rPr>
                <w:rFonts w:eastAsia="Verdana"/>
                <w:sz w:val="15"/>
                <w:szCs w:val="15"/>
              </w:rPr>
            </w:pPr>
            <w:r>
              <w:rPr>
                <w:sz w:val="15"/>
                <w:szCs w:val="15"/>
              </w:rPr>
              <w:t xml:space="preserve">Consumer loans </w:t>
            </w:r>
          </w:p>
        </w:tc>
        <w:tc>
          <w:tcPr>
            <w:tcW w:w="886" w:type="dxa"/>
            <w:noWrap/>
            <w:hideMark/>
          </w:tcPr>
          <w:p w14:paraId="66036DD9" w14:textId="77777777" w:rsidR="00EB7374" w:rsidRPr="00F17159" w:rsidRDefault="00EB7374" w:rsidP="00C700EB">
            <w:pPr>
              <w:jc w:val="right"/>
              <w:rPr>
                <w:rFonts w:eastAsia="Verdana"/>
                <w:sz w:val="15"/>
                <w:szCs w:val="15"/>
              </w:rPr>
            </w:pPr>
            <w:r>
              <w:rPr>
                <w:sz w:val="15"/>
                <w:szCs w:val="15"/>
              </w:rPr>
              <w:t>19.1</w:t>
            </w:r>
          </w:p>
        </w:tc>
        <w:tc>
          <w:tcPr>
            <w:tcW w:w="887" w:type="dxa"/>
            <w:noWrap/>
            <w:hideMark/>
          </w:tcPr>
          <w:p w14:paraId="2C9A1B43" w14:textId="77777777" w:rsidR="00EB7374" w:rsidRPr="00F17159" w:rsidRDefault="00EB7374" w:rsidP="00C700EB">
            <w:pPr>
              <w:jc w:val="right"/>
              <w:rPr>
                <w:rFonts w:eastAsia="Verdana"/>
                <w:sz w:val="15"/>
                <w:szCs w:val="15"/>
              </w:rPr>
            </w:pPr>
            <w:r>
              <w:rPr>
                <w:sz w:val="15"/>
                <w:szCs w:val="15"/>
              </w:rPr>
              <w:t>18.7</w:t>
            </w:r>
          </w:p>
        </w:tc>
        <w:tc>
          <w:tcPr>
            <w:tcW w:w="887" w:type="dxa"/>
            <w:noWrap/>
            <w:hideMark/>
          </w:tcPr>
          <w:p w14:paraId="2F14B5BA" w14:textId="77777777" w:rsidR="00EB7374" w:rsidRPr="00F17159" w:rsidRDefault="00EB7374" w:rsidP="00C700EB">
            <w:pPr>
              <w:jc w:val="right"/>
              <w:rPr>
                <w:rFonts w:eastAsia="Verdana"/>
                <w:sz w:val="15"/>
                <w:szCs w:val="15"/>
              </w:rPr>
            </w:pPr>
            <w:r>
              <w:rPr>
                <w:sz w:val="15"/>
                <w:szCs w:val="15"/>
              </w:rPr>
              <w:t>18.3</w:t>
            </w:r>
          </w:p>
        </w:tc>
        <w:tc>
          <w:tcPr>
            <w:tcW w:w="887" w:type="dxa"/>
            <w:noWrap/>
            <w:hideMark/>
          </w:tcPr>
          <w:p w14:paraId="488C78FC" w14:textId="77777777" w:rsidR="00EB7374" w:rsidRPr="00F17159" w:rsidRDefault="00EB7374" w:rsidP="00C700EB">
            <w:pPr>
              <w:jc w:val="right"/>
              <w:rPr>
                <w:rFonts w:eastAsia="Verdana"/>
                <w:sz w:val="15"/>
                <w:szCs w:val="15"/>
              </w:rPr>
            </w:pPr>
            <w:r>
              <w:rPr>
                <w:sz w:val="15"/>
                <w:szCs w:val="15"/>
              </w:rPr>
              <w:t>17.6</w:t>
            </w:r>
          </w:p>
        </w:tc>
        <w:tc>
          <w:tcPr>
            <w:tcW w:w="887" w:type="dxa"/>
            <w:noWrap/>
            <w:hideMark/>
          </w:tcPr>
          <w:p w14:paraId="500A4246" w14:textId="77777777" w:rsidR="00EB7374" w:rsidRPr="00F17159" w:rsidRDefault="00EB7374" w:rsidP="00C700EB">
            <w:pPr>
              <w:jc w:val="right"/>
              <w:rPr>
                <w:rFonts w:eastAsia="Verdana"/>
                <w:sz w:val="15"/>
                <w:szCs w:val="15"/>
              </w:rPr>
            </w:pPr>
            <w:r>
              <w:rPr>
                <w:sz w:val="15"/>
                <w:szCs w:val="15"/>
              </w:rPr>
              <w:t>18.1</w:t>
            </w:r>
          </w:p>
        </w:tc>
        <w:tc>
          <w:tcPr>
            <w:tcW w:w="887" w:type="dxa"/>
            <w:noWrap/>
            <w:hideMark/>
          </w:tcPr>
          <w:p w14:paraId="349D5265" w14:textId="77777777" w:rsidR="00EB7374" w:rsidRPr="00F17159" w:rsidRDefault="00EB7374" w:rsidP="00C700EB">
            <w:pPr>
              <w:jc w:val="right"/>
              <w:rPr>
                <w:rFonts w:eastAsia="Verdana"/>
                <w:sz w:val="15"/>
                <w:szCs w:val="15"/>
              </w:rPr>
            </w:pPr>
            <w:r>
              <w:rPr>
                <w:sz w:val="15"/>
                <w:szCs w:val="15"/>
              </w:rPr>
              <w:t>15.5</w:t>
            </w:r>
          </w:p>
        </w:tc>
        <w:tc>
          <w:tcPr>
            <w:tcW w:w="887" w:type="dxa"/>
            <w:noWrap/>
            <w:hideMark/>
          </w:tcPr>
          <w:p w14:paraId="126EB3CD" w14:textId="77777777" w:rsidR="00EB7374" w:rsidRPr="00F17159" w:rsidRDefault="00EB7374" w:rsidP="00C700EB">
            <w:pPr>
              <w:jc w:val="right"/>
              <w:rPr>
                <w:rFonts w:eastAsia="Verdana"/>
                <w:sz w:val="15"/>
                <w:szCs w:val="15"/>
              </w:rPr>
            </w:pPr>
            <w:r>
              <w:rPr>
                <w:sz w:val="15"/>
                <w:szCs w:val="15"/>
              </w:rPr>
              <w:t>15.3</w:t>
            </w:r>
          </w:p>
        </w:tc>
      </w:tr>
      <w:tr w:rsidR="00EB7374" w:rsidRPr="00F17159" w14:paraId="6320E515" w14:textId="77777777" w:rsidTr="00C700EB">
        <w:trPr>
          <w:cnfStyle w:val="000000010000" w:firstRow="0" w:lastRow="0" w:firstColumn="0" w:lastColumn="0" w:oddVBand="0" w:evenVBand="0" w:oddHBand="0" w:evenHBand="1" w:firstRowFirstColumn="0" w:firstRowLastColumn="0" w:lastRowFirstColumn="0" w:lastRowLastColumn="0"/>
          <w:trHeight w:val="20"/>
        </w:trPr>
        <w:tc>
          <w:tcPr>
            <w:tcW w:w="2808" w:type="dxa"/>
            <w:noWrap/>
            <w:hideMark/>
          </w:tcPr>
          <w:p w14:paraId="2E156CFE" w14:textId="77777777" w:rsidR="00EB7374" w:rsidRPr="00F17159" w:rsidRDefault="00EB7374" w:rsidP="00C700EB">
            <w:pPr>
              <w:ind w:left="113"/>
              <w:jc w:val="left"/>
              <w:rPr>
                <w:rFonts w:eastAsia="Verdana"/>
                <w:sz w:val="15"/>
                <w:szCs w:val="15"/>
              </w:rPr>
            </w:pPr>
            <w:r>
              <w:rPr>
                <w:sz w:val="15"/>
                <w:szCs w:val="15"/>
              </w:rPr>
              <w:lastRenderedPageBreak/>
              <w:t xml:space="preserve">Mortgage loans </w:t>
            </w:r>
          </w:p>
        </w:tc>
        <w:tc>
          <w:tcPr>
            <w:tcW w:w="886" w:type="dxa"/>
            <w:noWrap/>
            <w:hideMark/>
          </w:tcPr>
          <w:p w14:paraId="07030992" w14:textId="77777777" w:rsidR="00EB7374" w:rsidRPr="00F17159" w:rsidRDefault="00EB7374" w:rsidP="00C700EB">
            <w:pPr>
              <w:jc w:val="right"/>
              <w:rPr>
                <w:rFonts w:eastAsia="Verdana"/>
                <w:sz w:val="15"/>
                <w:szCs w:val="15"/>
              </w:rPr>
            </w:pPr>
            <w:r>
              <w:rPr>
                <w:sz w:val="15"/>
                <w:szCs w:val="15"/>
              </w:rPr>
              <w:t>11.6</w:t>
            </w:r>
          </w:p>
        </w:tc>
        <w:tc>
          <w:tcPr>
            <w:tcW w:w="887" w:type="dxa"/>
            <w:noWrap/>
            <w:hideMark/>
          </w:tcPr>
          <w:p w14:paraId="1A92C97C" w14:textId="77777777" w:rsidR="00EB7374" w:rsidRPr="00F17159" w:rsidRDefault="00EB7374" w:rsidP="00C700EB">
            <w:pPr>
              <w:jc w:val="right"/>
              <w:rPr>
                <w:rFonts w:eastAsia="Verdana"/>
                <w:sz w:val="15"/>
                <w:szCs w:val="15"/>
              </w:rPr>
            </w:pPr>
            <w:r>
              <w:rPr>
                <w:sz w:val="15"/>
                <w:szCs w:val="15"/>
              </w:rPr>
              <w:t>12.2</w:t>
            </w:r>
          </w:p>
        </w:tc>
        <w:tc>
          <w:tcPr>
            <w:tcW w:w="887" w:type="dxa"/>
            <w:noWrap/>
            <w:hideMark/>
          </w:tcPr>
          <w:p w14:paraId="0C484A4E" w14:textId="77777777" w:rsidR="00EB7374" w:rsidRPr="00F17159" w:rsidRDefault="00EB7374" w:rsidP="00C700EB">
            <w:pPr>
              <w:jc w:val="right"/>
              <w:rPr>
                <w:rFonts w:eastAsia="Verdana"/>
                <w:sz w:val="15"/>
                <w:szCs w:val="15"/>
              </w:rPr>
            </w:pPr>
            <w:r>
              <w:rPr>
                <w:sz w:val="15"/>
                <w:szCs w:val="15"/>
              </w:rPr>
              <w:t>11.2</w:t>
            </w:r>
          </w:p>
        </w:tc>
        <w:tc>
          <w:tcPr>
            <w:tcW w:w="887" w:type="dxa"/>
            <w:noWrap/>
            <w:hideMark/>
          </w:tcPr>
          <w:p w14:paraId="4C5744EA" w14:textId="77777777" w:rsidR="00EB7374" w:rsidRPr="00F17159" w:rsidRDefault="00EB7374" w:rsidP="00C700EB">
            <w:pPr>
              <w:jc w:val="right"/>
              <w:rPr>
                <w:rFonts w:eastAsia="Verdana"/>
                <w:sz w:val="15"/>
                <w:szCs w:val="15"/>
              </w:rPr>
            </w:pPr>
            <w:r>
              <w:rPr>
                <w:sz w:val="15"/>
                <w:szCs w:val="15"/>
              </w:rPr>
              <w:t>11.6</w:t>
            </w:r>
          </w:p>
        </w:tc>
        <w:tc>
          <w:tcPr>
            <w:tcW w:w="887" w:type="dxa"/>
            <w:noWrap/>
            <w:hideMark/>
          </w:tcPr>
          <w:p w14:paraId="4AFB8FC9" w14:textId="77777777" w:rsidR="00EB7374" w:rsidRPr="00F17159" w:rsidRDefault="00EB7374" w:rsidP="00C700EB">
            <w:pPr>
              <w:jc w:val="right"/>
              <w:rPr>
                <w:rFonts w:eastAsia="Verdana"/>
                <w:sz w:val="15"/>
                <w:szCs w:val="15"/>
              </w:rPr>
            </w:pPr>
            <w:r>
              <w:rPr>
                <w:sz w:val="15"/>
                <w:szCs w:val="15"/>
              </w:rPr>
              <w:t>11.1</w:t>
            </w:r>
          </w:p>
        </w:tc>
        <w:tc>
          <w:tcPr>
            <w:tcW w:w="887" w:type="dxa"/>
            <w:noWrap/>
            <w:hideMark/>
          </w:tcPr>
          <w:p w14:paraId="2FC7F680" w14:textId="77777777" w:rsidR="00EB7374" w:rsidRPr="00F17159" w:rsidRDefault="00EB7374" w:rsidP="00C700EB">
            <w:pPr>
              <w:jc w:val="right"/>
              <w:rPr>
                <w:rFonts w:eastAsia="Verdana"/>
                <w:sz w:val="15"/>
                <w:szCs w:val="15"/>
              </w:rPr>
            </w:pPr>
            <w:r>
              <w:rPr>
                <w:sz w:val="15"/>
                <w:szCs w:val="15"/>
              </w:rPr>
              <w:t>10.9</w:t>
            </w:r>
          </w:p>
        </w:tc>
        <w:tc>
          <w:tcPr>
            <w:tcW w:w="887" w:type="dxa"/>
            <w:noWrap/>
            <w:hideMark/>
          </w:tcPr>
          <w:p w14:paraId="2548563B" w14:textId="77777777" w:rsidR="00EB7374" w:rsidRPr="00F17159" w:rsidRDefault="00EB7374" w:rsidP="00C700EB">
            <w:pPr>
              <w:jc w:val="right"/>
              <w:rPr>
                <w:rFonts w:eastAsia="Verdana"/>
                <w:sz w:val="15"/>
                <w:szCs w:val="15"/>
              </w:rPr>
            </w:pPr>
            <w:r>
              <w:rPr>
                <w:sz w:val="15"/>
                <w:szCs w:val="15"/>
              </w:rPr>
              <w:t>9.1</w:t>
            </w:r>
          </w:p>
        </w:tc>
      </w:tr>
      <w:tr w:rsidR="00EB7374" w:rsidRPr="00F17159" w14:paraId="4928D7B4" w14:textId="77777777" w:rsidTr="00C700EB">
        <w:trPr>
          <w:trHeight w:val="20"/>
        </w:trPr>
        <w:tc>
          <w:tcPr>
            <w:tcW w:w="9016" w:type="dxa"/>
            <w:gridSpan w:val="8"/>
            <w:noWrap/>
            <w:hideMark/>
          </w:tcPr>
          <w:p w14:paraId="000133B2" w14:textId="77777777" w:rsidR="00EB7374" w:rsidRPr="00F17159" w:rsidRDefault="00EB7374" w:rsidP="00C700EB">
            <w:pPr>
              <w:jc w:val="left"/>
              <w:rPr>
                <w:rFonts w:eastAsia="Verdana"/>
                <w:b/>
                <w:bCs/>
                <w:sz w:val="15"/>
                <w:szCs w:val="15"/>
              </w:rPr>
            </w:pPr>
            <w:proofErr w:type="spellStart"/>
            <w:r>
              <w:rPr>
                <w:b/>
                <w:bCs/>
                <w:sz w:val="15"/>
                <w:szCs w:val="15"/>
              </w:rPr>
              <w:t>Microprudential</w:t>
            </w:r>
            <w:proofErr w:type="spellEnd"/>
            <w:r>
              <w:rPr>
                <w:b/>
                <w:bCs/>
                <w:sz w:val="15"/>
                <w:szCs w:val="15"/>
              </w:rPr>
              <w:t xml:space="preserve"> indicators for full-service banks</w:t>
            </w:r>
          </w:p>
        </w:tc>
      </w:tr>
      <w:tr w:rsidR="00EB7374" w:rsidRPr="00F17159" w14:paraId="179778CF" w14:textId="77777777" w:rsidTr="00C700EB">
        <w:trPr>
          <w:cnfStyle w:val="000000010000" w:firstRow="0" w:lastRow="0" w:firstColumn="0" w:lastColumn="0" w:oddVBand="0" w:evenVBand="0" w:oddHBand="0" w:evenHBand="1" w:firstRowFirstColumn="0" w:firstRowLastColumn="0" w:lastRowFirstColumn="0" w:lastRowLastColumn="0"/>
          <w:trHeight w:val="20"/>
        </w:trPr>
        <w:tc>
          <w:tcPr>
            <w:tcW w:w="2808" w:type="dxa"/>
            <w:noWrap/>
            <w:hideMark/>
          </w:tcPr>
          <w:p w14:paraId="3EE7FC65" w14:textId="77777777" w:rsidR="00EB7374" w:rsidRPr="00F17159" w:rsidRDefault="00EB7374" w:rsidP="00C700EB">
            <w:pPr>
              <w:jc w:val="left"/>
              <w:rPr>
                <w:rFonts w:eastAsia="Verdana"/>
                <w:sz w:val="15"/>
                <w:szCs w:val="15"/>
              </w:rPr>
            </w:pPr>
            <w:r>
              <w:rPr>
                <w:sz w:val="15"/>
                <w:szCs w:val="15"/>
              </w:rPr>
              <w:t xml:space="preserve">Solvency ratio </w:t>
            </w:r>
          </w:p>
        </w:tc>
        <w:tc>
          <w:tcPr>
            <w:tcW w:w="886" w:type="dxa"/>
            <w:noWrap/>
            <w:hideMark/>
          </w:tcPr>
          <w:p w14:paraId="64CA7486" w14:textId="77777777" w:rsidR="00EB7374" w:rsidRPr="00F17159" w:rsidRDefault="00EB7374" w:rsidP="00C700EB">
            <w:pPr>
              <w:jc w:val="right"/>
              <w:rPr>
                <w:rFonts w:eastAsia="Verdana"/>
                <w:sz w:val="15"/>
                <w:szCs w:val="15"/>
              </w:rPr>
            </w:pPr>
            <w:r>
              <w:rPr>
                <w:sz w:val="15"/>
                <w:szCs w:val="15"/>
              </w:rPr>
              <w:t>16.0</w:t>
            </w:r>
          </w:p>
        </w:tc>
        <w:tc>
          <w:tcPr>
            <w:tcW w:w="887" w:type="dxa"/>
            <w:noWrap/>
            <w:hideMark/>
          </w:tcPr>
          <w:p w14:paraId="45E51D9C" w14:textId="77777777" w:rsidR="00EB7374" w:rsidRPr="00F17159" w:rsidRDefault="00EB7374" w:rsidP="00C700EB">
            <w:pPr>
              <w:jc w:val="right"/>
              <w:rPr>
                <w:rFonts w:eastAsia="Verdana"/>
                <w:sz w:val="15"/>
                <w:szCs w:val="15"/>
              </w:rPr>
            </w:pPr>
            <w:r>
              <w:rPr>
                <w:sz w:val="15"/>
                <w:szCs w:val="15"/>
              </w:rPr>
              <w:t>17.2</w:t>
            </w:r>
          </w:p>
        </w:tc>
        <w:tc>
          <w:tcPr>
            <w:tcW w:w="887" w:type="dxa"/>
            <w:noWrap/>
            <w:hideMark/>
          </w:tcPr>
          <w:p w14:paraId="01ADB6DA" w14:textId="77777777" w:rsidR="00EB7374" w:rsidRPr="00F17159" w:rsidRDefault="00EB7374" w:rsidP="00C700EB">
            <w:pPr>
              <w:jc w:val="right"/>
              <w:rPr>
                <w:rFonts w:eastAsia="Verdana"/>
                <w:sz w:val="15"/>
                <w:szCs w:val="15"/>
              </w:rPr>
            </w:pPr>
            <w:r>
              <w:rPr>
                <w:sz w:val="15"/>
                <w:szCs w:val="15"/>
              </w:rPr>
              <w:t>18.3</w:t>
            </w:r>
          </w:p>
        </w:tc>
        <w:tc>
          <w:tcPr>
            <w:tcW w:w="887" w:type="dxa"/>
            <w:noWrap/>
            <w:hideMark/>
          </w:tcPr>
          <w:p w14:paraId="004C801F" w14:textId="77777777" w:rsidR="00EB7374" w:rsidRPr="00F17159" w:rsidRDefault="00EB7374" w:rsidP="00C700EB">
            <w:pPr>
              <w:jc w:val="right"/>
              <w:rPr>
                <w:rFonts w:eastAsia="Verdana"/>
                <w:sz w:val="15"/>
                <w:szCs w:val="15"/>
              </w:rPr>
            </w:pPr>
            <w:r>
              <w:rPr>
                <w:sz w:val="15"/>
                <w:szCs w:val="15"/>
              </w:rPr>
              <w:t>17.1</w:t>
            </w:r>
          </w:p>
        </w:tc>
        <w:tc>
          <w:tcPr>
            <w:tcW w:w="887" w:type="dxa"/>
            <w:noWrap/>
            <w:hideMark/>
          </w:tcPr>
          <w:p w14:paraId="11DBDE36" w14:textId="77777777" w:rsidR="00EB7374" w:rsidRPr="00F17159" w:rsidRDefault="00EB7374" w:rsidP="00C700EB">
            <w:pPr>
              <w:jc w:val="right"/>
              <w:rPr>
                <w:rFonts w:eastAsia="Verdana"/>
                <w:sz w:val="15"/>
                <w:szCs w:val="15"/>
              </w:rPr>
            </w:pPr>
            <w:r>
              <w:rPr>
                <w:sz w:val="15"/>
                <w:szCs w:val="15"/>
              </w:rPr>
              <w:t>16.6</w:t>
            </w:r>
          </w:p>
        </w:tc>
        <w:tc>
          <w:tcPr>
            <w:tcW w:w="887" w:type="dxa"/>
            <w:noWrap/>
            <w:hideMark/>
          </w:tcPr>
          <w:p w14:paraId="3AE889E4" w14:textId="77777777" w:rsidR="00EB7374" w:rsidRPr="00F17159" w:rsidRDefault="00EB7374" w:rsidP="00C700EB">
            <w:pPr>
              <w:jc w:val="right"/>
              <w:rPr>
                <w:rFonts w:eastAsia="Verdana"/>
                <w:sz w:val="15"/>
                <w:szCs w:val="15"/>
              </w:rPr>
            </w:pPr>
            <w:r>
              <w:rPr>
                <w:sz w:val="15"/>
                <w:szCs w:val="15"/>
              </w:rPr>
              <w:t>21.1</w:t>
            </w:r>
          </w:p>
        </w:tc>
        <w:tc>
          <w:tcPr>
            <w:tcW w:w="887" w:type="dxa"/>
            <w:noWrap/>
            <w:hideMark/>
          </w:tcPr>
          <w:p w14:paraId="05FEB5F7" w14:textId="77777777" w:rsidR="00EB7374" w:rsidRPr="00F17159" w:rsidRDefault="00EB7374" w:rsidP="00C700EB">
            <w:pPr>
              <w:jc w:val="right"/>
              <w:rPr>
                <w:rFonts w:eastAsia="Verdana"/>
                <w:sz w:val="15"/>
                <w:szCs w:val="15"/>
              </w:rPr>
            </w:pPr>
            <w:r>
              <w:rPr>
                <w:sz w:val="15"/>
                <w:szCs w:val="15"/>
              </w:rPr>
              <w:t>19.1</w:t>
            </w:r>
          </w:p>
        </w:tc>
      </w:tr>
      <w:tr w:rsidR="00EB7374" w:rsidRPr="00F17159" w14:paraId="6058E26E" w14:textId="77777777" w:rsidTr="00C700EB">
        <w:trPr>
          <w:trHeight w:val="20"/>
        </w:trPr>
        <w:tc>
          <w:tcPr>
            <w:tcW w:w="2808" w:type="dxa"/>
            <w:noWrap/>
            <w:hideMark/>
          </w:tcPr>
          <w:p w14:paraId="290259E5" w14:textId="77777777" w:rsidR="00EB7374" w:rsidRPr="00F17159" w:rsidRDefault="00EB7374" w:rsidP="00C700EB">
            <w:pPr>
              <w:jc w:val="left"/>
              <w:rPr>
                <w:rFonts w:eastAsia="Verdana"/>
                <w:sz w:val="15"/>
                <w:szCs w:val="15"/>
              </w:rPr>
            </w:pPr>
            <w:r>
              <w:rPr>
                <w:sz w:val="15"/>
                <w:szCs w:val="15"/>
              </w:rPr>
              <w:t>Average return on equity (ROE)</w:t>
            </w:r>
          </w:p>
        </w:tc>
        <w:tc>
          <w:tcPr>
            <w:tcW w:w="886" w:type="dxa"/>
            <w:noWrap/>
            <w:hideMark/>
          </w:tcPr>
          <w:p w14:paraId="5A3F5E9C" w14:textId="77777777" w:rsidR="00EB7374" w:rsidRPr="00F17159" w:rsidRDefault="00EB7374" w:rsidP="00C700EB">
            <w:pPr>
              <w:jc w:val="right"/>
              <w:rPr>
                <w:rFonts w:eastAsia="Verdana"/>
                <w:sz w:val="15"/>
                <w:szCs w:val="15"/>
              </w:rPr>
            </w:pPr>
            <w:r>
              <w:rPr>
                <w:sz w:val="15"/>
                <w:szCs w:val="15"/>
              </w:rPr>
              <w:t>20.1</w:t>
            </w:r>
          </w:p>
        </w:tc>
        <w:tc>
          <w:tcPr>
            <w:tcW w:w="887" w:type="dxa"/>
            <w:noWrap/>
            <w:hideMark/>
          </w:tcPr>
          <w:p w14:paraId="4C1D7E42" w14:textId="77777777" w:rsidR="00EB7374" w:rsidRPr="00F17159" w:rsidRDefault="00EB7374" w:rsidP="00C700EB">
            <w:pPr>
              <w:jc w:val="right"/>
              <w:rPr>
                <w:rFonts w:eastAsia="Verdana"/>
                <w:sz w:val="15"/>
                <w:szCs w:val="15"/>
              </w:rPr>
            </w:pPr>
            <w:r>
              <w:rPr>
                <w:sz w:val="15"/>
                <w:szCs w:val="15"/>
              </w:rPr>
              <w:t>19.0</w:t>
            </w:r>
          </w:p>
        </w:tc>
        <w:tc>
          <w:tcPr>
            <w:tcW w:w="887" w:type="dxa"/>
            <w:noWrap/>
            <w:hideMark/>
          </w:tcPr>
          <w:p w14:paraId="22817FEC" w14:textId="77777777" w:rsidR="00EB7374" w:rsidRPr="00F17159" w:rsidRDefault="00EB7374" w:rsidP="00C700EB">
            <w:pPr>
              <w:jc w:val="right"/>
              <w:rPr>
                <w:rFonts w:eastAsia="Verdana"/>
                <w:sz w:val="15"/>
                <w:szCs w:val="15"/>
              </w:rPr>
            </w:pPr>
            <w:r>
              <w:rPr>
                <w:sz w:val="15"/>
                <w:szCs w:val="15"/>
              </w:rPr>
              <w:t>16.7</w:t>
            </w:r>
          </w:p>
        </w:tc>
        <w:tc>
          <w:tcPr>
            <w:tcW w:w="887" w:type="dxa"/>
            <w:noWrap/>
            <w:hideMark/>
          </w:tcPr>
          <w:p w14:paraId="5D154152" w14:textId="77777777" w:rsidR="00EB7374" w:rsidRPr="00F17159" w:rsidRDefault="00EB7374" w:rsidP="00C700EB">
            <w:pPr>
              <w:jc w:val="right"/>
              <w:rPr>
                <w:rFonts w:eastAsia="Verdana"/>
                <w:sz w:val="15"/>
                <w:szCs w:val="15"/>
              </w:rPr>
            </w:pPr>
            <w:r>
              <w:rPr>
                <w:sz w:val="15"/>
                <w:szCs w:val="15"/>
              </w:rPr>
              <w:t>20.0</w:t>
            </w:r>
          </w:p>
        </w:tc>
        <w:tc>
          <w:tcPr>
            <w:tcW w:w="887" w:type="dxa"/>
            <w:noWrap/>
            <w:hideMark/>
          </w:tcPr>
          <w:p w14:paraId="1377D6A9" w14:textId="77777777" w:rsidR="00EB7374" w:rsidRPr="00F17159" w:rsidRDefault="00EB7374" w:rsidP="00C700EB">
            <w:pPr>
              <w:jc w:val="right"/>
              <w:rPr>
                <w:rFonts w:eastAsia="Verdana"/>
                <w:sz w:val="15"/>
                <w:szCs w:val="15"/>
              </w:rPr>
            </w:pPr>
            <w:r>
              <w:rPr>
                <w:sz w:val="15"/>
                <w:szCs w:val="15"/>
              </w:rPr>
              <w:t>19.5</w:t>
            </w:r>
          </w:p>
        </w:tc>
        <w:tc>
          <w:tcPr>
            <w:tcW w:w="887" w:type="dxa"/>
            <w:noWrap/>
            <w:hideMark/>
          </w:tcPr>
          <w:p w14:paraId="7772CC23" w14:textId="77777777" w:rsidR="00EB7374" w:rsidRPr="00F17159" w:rsidRDefault="00EB7374" w:rsidP="00C700EB">
            <w:pPr>
              <w:jc w:val="right"/>
              <w:rPr>
                <w:rFonts w:eastAsia="Verdana"/>
                <w:sz w:val="15"/>
                <w:szCs w:val="15"/>
              </w:rPr>
            </w:pPr>
            <w:r>
              <w:rPr>
                <w:sz w:val="15"/>
                <w:szCs w:val="15"/>
              </w:rPr>
              <w:t>15.6</w:t>
            </w:r>
          </w:p>
        </w:tc>
        <w:tc>
          <w:tcPr>
            <w:tcW w:w="887" w:type="dxa"/>
            <w:noWrap/>
            <w:hideMark/>
          </w:tcPr>
          <w:p w14:paraId="0A0E4424" w14:textId="77777777" w:rsidR="00EB7374" w:rsidRPr="00F17159" w:rsidRDefault="00EB7374" w:rsidP="00C700EB">
            <w:pPr>
              <w:jc w:val="right"/>
              <w:rPr>
                <w:rFonts w:eastAsia="Verdana"/>
                <w:sz w:val="15"/>
                <w:szCs w:val="15"/>
              </w:rPr>
            </w:pPr>
            <w:r>
              <w:rPr>
                <w:sz w:val="15"/>
                <w:szCs w:val="15"/>
              </w:rPr>
              <w:t>21.0</w:t>
            </w:r>
          </w:p>
        </w:tc>
      </w:tr>
      <w:tr w:rsidR="00EB7374" w:rsidRPr="00F17159" w14:paraId="1A842ABA" w14:textId="77777777" w:rsidTr="00C700EB">
        <w:trPr>
          <w:cnfStyle w:val="000000010000" w:firstRow="0" w:lastRow="0" w:firstColumn="0" w:lastColumn="0" w:oddVBand="0" w:evenVBand="0" w:oddHBand="0" w:evenHBand="1" w:firstRowFirstColumn="0" w:firstRowLastColumn="0" w:lastRowFirstColumn="0" w:lastRowLastColumn="0"/>
          <w:trHeight w:val="20"/>
        </w:trPr>
        <w:tc>
          <w:tcPr>
            <w:tcW w:w="2808" w:type="dxa"/>
            <w:noWrap/>
            <w:hideMark/>
          </w:tcPr>
          <w:p w14:paraId="4CF38F7F" w14:textId="77777777" w:rsidR="00EB7374" w:rsidRPr="00F17159" w:rsidRDefault="00EB7374" w:rsidP="00C700EB">
            <w:pPr>
              <w:jc w:val="left"/>
              <w:rPr>
                <w:rFonts w:eastAsia="Verdana"/>
                <w:sz w:val="15"/>
                <w:szCs w:val="15"/>
              </w:rPr>
            </w:pPr>
            <w:r>
              <w:rPr>
                <w:sz w:val="15"/>
                <w:szCs w:val="15"/>
              </w:rPr>
              <w:t>Average return on assets (</w:t>
            </w:r>
            <w:proofErr w:type="spellStart"/>
            <w:r>
              <w:rPr>
                <w:sz w:val="15"/>
                <w:szCs w:val="15"/>
              </w:rPr>
              <w:t>ROA</w:t>
            </w:r>
            <w:proofErr w:type="spellEnd"/>
            <w:r>
              <w:rPr>
                <w:sz w:val="15"/>
                <w:szCs w:val="15"/>
              </w:rPr>
              <w:t>)</w:t>
            </w:r>
          </w:p>
        </w:tc>
        <w:tc>
          <w:tcPr>
            <w:tcW w:w="886" w:type="dxa"/>
            <w:noWrap/>
            <w:hideMark/>
          </w:tcPr>
          <w:p w14:paraId="36D4C671" w14:textId="77777777" w:rsidR="00EB7374" w:rsidRPr="00F17159" w:rsidRDefault="00EB7374" w:rsidP="00C700EB">
            <w:pPr>
              <w:jc w:val="right"/>
              <w:rPr>
                <w:rFonts w:eastAsia="Verdana"/>
                <w:sz w:val="15"/>
                <w:szCs w:val="15"/>
              </w:rPr>
            </w:pPr>
            <w:r>
              <w:rPr>
                <w:sz w:val="15"/>
                <w:szCs w:val="15"/>
              </w:rPr>
              <w:t>2.3</w:t>
            </w:r>
          </w:p>
        </w:tc>
        <w:tc>
          <w:tcPr>
            <w:tcW w:w="887" w:type="dxa"/>
            <w:noWrap/>
            <w:hideMark/>
          </w:tcPr>
          <w:p w14:paraId="1BCDA595" w14:textId="77777777" w:rsidR="00EB7374" w:rsidRPr="00F17159" w:rsidRDefault="00EB7374" w:rsidP="00C700EB">
            <w:pPr>
              <w:jc w:val="right"/>
              <w:rPr>
                <w:rFonts w:eastAsia="Verdana"/>
                <w:sz w:val="15"/>
                <w:szCs w:val="15"/>
              </w:rPr>
            </w:pPr>
            <w:r>
              <w:rPr>
                <w:sz w:val="15"/>
                <w:szCs w:val="15"/>
              </w:rPr>
              <w:t>2.2</w:t>
            </w:r>
          </w:p>
        </w:tc>
        <w:tc>
          <w:tcPr>
            <w:tcW w:w="887" w:type="dxa"/>
            <w:noWrap/>
            <w:hideMark/>
          </w:tcPr>
          <w:p w14:paraId="3B561860" w14:textId="77777777" w:rsidR="00EB7374" w:rsidRPr="00F17159" w:rsidRDefault="00EB7374" w:rsidP="00C700EB">
            <w:pPr>
              <w:jc w:val="right"/>
              <w:rPr>
                <w:rFonts w:eastAsia="Verdana"/>
                <w:sz w:val="15"/>
                <w:szCs w:val="15"/>
              </w:rPr>
            </w:pPr>
            <w:r>
              <w:rPr>
                <w:sz w:val="15"/>
                <w:szCs w:val="15"/>
              </w:rPr>
              <w:t>1.9</w:t>
            </w:r>
          </w:p>
        </w:tc>
        <w:tc>
          <w:tcPr>
            <w:tcW w:w="887" w:type="dxa"/>
            <w:noWrap/>
            <w:hideMark/>
          </w:tcPr>
          <w:p w14:paraId="70F1ED25" w14:textId="77777777" w:rsidR="00EB7374" w:rsidRPr="00F17159" w:rsidRDefault="00EB7374" w:rsidP="00C700EB">
            <w:pPr>
              <w:jc w:val="right"/>
              <w:rPr>
                <w:rFonts w:eastAsia="Verdana"/>
                <w:sz w:val="15"/>
                <w:szCs w:val="15"/>
              </w:rPr>
            </w:pPr>
            <w:r>
              <w:rPr>
                <w:sz w:val="15"/>
                <w:szCs w:val="15"/>
              </w:rPr>
              <w:t>2.4</w:t>
            </w:r>
          </w:p>
        </w:tc>
        <w:tc>
          <w:tcPr>
            <w:tcW w:w="887" w:type="dxa"/>
            <w:noWrap/>
            <w:hideMark/>
          </w:tcPr>
          <w:p w14:paraId="0C238F38" w14:textId="77777777" w:rsidR="00EB7374" w:rsidRPr="00F17159" w:rsidRDefault="00EB7374" w:rsidP="00C700EB">
            <w:pPr>
              <w:jc w:val="right"/>
              <w:rPr>
                <w:rFonts w:eastAsia="Verdana"/>
                <w:sz w:val="15"/>
                <w:szCs w:val="15"/>
              </w:rPr>
            </w:pPr>
            <w:r>
              <w:rPr>
                <w:sz w:val="15"/>
                <w:szCs w:val="15"/>
              </w:rPr>
              <w:t>2.3</w:t>
            </w:r>
          </w:p>
        </w:tc>
        <w:tc>
          <w:tcPr>
            <w:tcW w:w="887" w:type="dxa"/>
            <w:noWrap/>
            <w:hideMark/>
          </w:tcPr>
          <w:p w14:paraId="4B3A04AD" w14:textId="77777777" w:rsidR="00EB7374" w:rsidRPr="00F17159" w:rsidRDefault="00EB7374" w:rsidP="00C700EB">
            <w:pPr>
              <w:jc w:val="right"/>
              <w:rPr>
                <w:rFonts w:eastAsia="Verdana"/>
                <w:sz w:val="15"/>
                <w:szCs w:val="15"/>
              </w:rPr>
            </w:pPr>
            <w:r>
              <w:rPr>
                <w:sz w:val="15"/>
                <w:szCs w:val="15"/>
              </w:rPr>
              <w:t>1.8</w:t>
            </w:r>
          </w:p>
        </w:tc>
        <w:tc>
          <w:tcPr>
            <w:tcW w:w="887" w:type="dxa"/>
            <w:noWrap/>
            <w:hideMark/>
          </w:tcPr>
          <w:p w14:paraId="0BD23692" w14:textId="77777777" w:rsidR="00EB7374" w:rsidRPr="00F17159" w:rsidRDefault="00EB7374" w:rsidP="00C700EB">
            <w:pPr>
              <w:jc w:val="right"/>
              <w:rPr>
                <w:rFonts w:eastAsia="Verdana"/>
                <w:sz w:val="15"/>
                <w:szCs w:val="15"/>
              </w:rPr>
            </w:pPr>
            <w:r>
              <w:rPr>
                <w:sz w:val="15"/>
                <w:szCs w:val="15"/>
              </w:rPr>
              <w:t>2.3</w:t>
            </w:r>
          </w:p>
        </w:tc>
      </w:tr>
      <w:tr w:rsidR="00EB7374" w:rsidRPr="00F17159" w14:paraId="6E50B793" w14:textId="77777777" w:rsidTr="00C700EB">
        <w:trPr>
          <w:trHeight w:val="20"/>
        </w:trPr>
        <w:tc>
          <w:tcPr>
            <w:tcW w:w="2808" w:type="dxa"/>
            <w:noWrap/>
            <w:hideMark/>
          </w:tcPr>
          <w:p w14:paraId="5B67D113" w14:textId="77777777" w:rsidR="00EB7374" w:rsidRPr="00F17159" w:rsidRDefault="00EB7374" w:rsidP="00C700EB">
            <w:pPr>
              <w:jc w:val="left"/>
              <w:rPr>
                <w:rFonts w:eastAsia="Verdana"/>
                <w:sz w:val="15"/>
                <w:szCs w:val="15"/>
              </w:rPr>
            </w:pPr>
            <w:r>
              <w:rPr>
                <w:sz w:val="15"/>
                <w:szCs w:val="15"/>
              </w:rPr>
              <w:t>Financial intermediation margin (MIF)/earning assets</w:t>
            </w:r>
          </w:p>
        </w:tc>
        <w:tc>
          <w:tcPr>
            <w:tcW w:w="886" w:type="dxa"/>
            <w:noWrap/>
            <w:hideMark/>
          </w:tcPr>
          <w:p w14:paraId="38CCA5E3" w14:textId="77777777" w:rsidR="00EB7374" w:rsidRPr="00F17159" w:rsidRDefault="00EB7374" w:rsidP="00C700EB">
            <w:pPr>
              <w:jc w:val="right"/>
              <w:rPr>
                <w:rFonts w:eastAsia="Verdana"/>
                <w:sz w:val="15"/>
                <w:szCs w:val="15"/>
              </w:rPr>
            </w:pPr>
            <w:r>
              <w:rPr>
                <w:sz w:val="15"/>
                <w:szCs w:val="15"/>
              </w:rPr>
              <w:t>8.9</w:t>
            </w:r>
          </w:p>
        </w:tc>
        <w:tc>
          <w:tcPr>
            <w:tcW w:w="887" w:type="dxa"/>
            <w:noWrap/>
            <w:hideMark/>
          </w:tcPr>
          <w:p w14:paraId="1E04C318" w14:textId="77777777" w:rsidR="00EB7374" w:rsidRPr="00F17159" w:rsidRDefault="00EB7374" w:rsidP="00C700EB">
            <w:pPr>
              <w:jc w:val="right"/>
              <w:rPr>
                <w:rFonts w:eastAsia="Verdana"/>
                <w:sz w:val="15"/>
                <w:szCs w:val="15"/>
              </w:rPr>
            </w:pPr>
            <w:r>
              <w:rPr>
                <w:sz w:val="15"/>
                <w:szCs w:val="15"/>
              </w:rPr>
              <w:t>8.6</w:t>
            </w:r>
          </w:p>
        </w:tc>
        <w:tc>
          <w:tcPr>
            <w:tcW w:w="887" w:type="dxa"/>
            <w:noWrap/>
            <w:hideMark/>
          </w:tcPr>
          <w:p w14:paraId="37BD2A17" w14:textId="77777777" w:rsidR="00EB7374" w:rsidRPr="00F17159" w:rsidRDefault="00EB7374" w:rsidP="00C700EB">
            <w:pPr>
              <w:jc w:val="right"/>
              <w:rPr>
                <w:rFonts w:eastAsia="Verdana"/>
                <w:sz w:val="15"/>
                <w:szCs w:val="15"/>
              </w:rPr>
            </w:pPr>
            <w:r>
              <w:rPr>
                <w:sz w:val="15"/>
                <w:szCs w:val="15"/>
              </w:rPr>
              <w:t>8.5</w:t>
            </w:r>
          </w:p>
        </w:tc>
        <w:tc>
          <w:tcPr>
            <w:tcW w:w="887" w:type="dxa"/>
            <w:noWrap/>
            <w:hideMark/>
          </w:tcPr>
          <w:p w14:paraId="6F047AEF" w14:textId="77777777" w:rsidR="00EB7374" w:rsidRPr="00F17159" w:rsidRDefault="00EB7374" w:rsidP="00C700EB">
            <w:pPr>
              <w:jc w:val="right"/>
              <w:rPr>
                <w:rFonts w:eastAsia="Verdana"/>
                <w:sz w:val="15"/>
                <w:szCs w:val="15"/>
              </w:rPr>
            </w:pPr>
            <w:r>
              <w:rPr>
                <w:sz w:val="15"/>
                <w:szCs w:val="15"/>
              </w:rPr>
              <w:t>8.5</w:t>
            </w:r>
          </w:p>
        </w:tc>
        <w:tc>
          <w:tcPr>
            <w:tcW w:w="887" w:type="dxa"/>
            <w:noWrap/>
            <w:hideMark/>
          </w:tcPr>
          <w:p w14:paraId="19ED2713" w14:textId="77777777" w:rsidR="00EB7374" w:rsidRPr="00F17159" w:rsidRDefault="00EB7374" w:rsidP="00C700EB">
            <w:pPr>
              <w:jc w:val="right"/>
              <w:rPr>
                <w:rFonts w:eastAsia="Verdana"/>
                <w:sz w:val="15"/>
                <w:szCs w:val="15"/>
              </w:rPr>
            </w:pPr>
            <w:r>
              <w:rPr>
                <w:sz w:val="15"/>
                <w:szCs w:val="15"/>
              </w:rPr>
              <w:t>7.9</w:t>
            </w:r>
          </w:p>
        </w:tc>
        <w:tc>
          <w:tcPr>
            <w:tcW w:w="887" w:type="dxa"/>
            <w:noWrap/>
            <w:hideMark/>
          </w:tcPr>
          <w:p w14:paraId="3A00CE4F" w14:textId="77777777" w:rsidR="00EB7374" w:rsidRPr="00F17159" w:rsidRDefault="00EB7374" w:rsidP="00C700EB">
            <w:pPr>
              <w:jc w:val="right"/>
              <w:rPr>
                <w:rFonts w:eastAsia="Verdana"/>
                <w:sz w:val="15"/>
                <w:szCs w:val="15"/>
              </w:rPr>
            </w:pPr>
            <w:r>
              <w:rPr>
                <w:sz w:val="15"/>
                <w:szCs w:val="15"/>
              </w:rPr>
              <w:t>7.8</w:t>
            </w:r>
          </w:p>
        </w:tc>
        <w:tc>
          <w:tcPr>
            <w:tcW w:w="887" w:type="dxa"/>
            <w:noWrap/>
            <w:hideMark/>
          </w:tcPr>
          <w:p w14:paraId="4BF76E56" w14:textId="77777777" w:rsidR="00EB7374" w:rsidRPr="00F17159" w:rsidRDefault="00EB7374" w:rsidP="00C700EB">
            <w:pPr>
              <w:jc w:val="right"/>
              <w:rPr>
                <w:rFonts w:eastAsia="Verdana"/>
                <w:sz w:val="15"/>
                <w:szCs w:val="15"/>
              </w:rPr>
            </w:pPr>
            <w:r>
              <w:rPr>
                <w:sz w:val="15"/>
                <w:szCs w:val="15"/>
              </w:rPr>
              <w:t>7.5</w:t>
            </w:r>
          </w:p>
        </w:tc>
      </w:tr>
      <w:tr w:rsidR="00EB7374" w:rsidRPr="00F17159" w14:paraId="2224844D" w14:textId="77777777" w:rsidTr="00C700EB">
        <w:trPr>
          <w:cnfStyle w:val="000000010000" w:firstRow="0" w:lastRow="0" w:firstColumn="0" w:lastColumn="0" w:oddVBand="0" w:evenVBand="0" w:oddHBand="0" w:evenHBand="1" w:firstRowFirstColumn="0" w:firstRowLastColumn="0" w:lastRowFirstColumn="0" w:lastRowLastColumn="0"/>
          <w:trHeight w:val="20"/>
        </w:trPr>
        <w:tc>
          <w:tcPr>
            <w:tcW w:w="2808" w:type="dxa"/>
            <w:noWrap/>
            <w:hideMark/>
          </w:tcPr>
          <w:p w14:paraId="299F768B" w14:textId="77777777" w:rsidR="00EB7374" w:rsidRPr="00F17159" w:rsidRDefault="00EB7374" w:rsidP="00C700EB">
            <w:pPr>
              <w:jc w:val="left"/>
              <w:rPr>
                <w:rFonts w:eastAsia="Verdana"/>
                <w:sz w:val="15"/>
                <w:szCs w:val="15"/>
              </w:rPr>
            </w:pPr>
            <w:r>
              <w:rPr>
                <w:sz w:val="15"/>
                <w:szCs w:val="15"/>
              </w:rPr>
              <w:t xml:space="preserve">% of earning assets </w:t>
            </w:r>
          </w:p>
        </w:tc>
        <w:tc>
          <w:tcPr>
            <w:tcW w:w="886" w:type="dxa"/>
            <w:noWrap/>
            <w:hideMark/>
          </w:tcPr>
          <w:p w14:paraId="65937AF3" w14:textId="77777777" w:rsidR="00EB7374" w:rsidRPr="00F17159" w:rsidRDefault="00EB7374" w:rsidP="00C700EB">
            <w:pPr>
              <w:jc w:val="right"/>
              <w:rPr>
                <w:rFonts w:eastAsia="Verdana"/>
                <w:sz w:val="15"/>
                <w:szCs w:val="15"/>
              </w:rPr>
            </w:pPr>
            <w:r>
              <w:rPr>
                <w:sz w:val="15"/>
                <w:szCs w:val="15"/>
              </w:rPr>
              <w:t>74.2</w:t>
            </w:r>
          </w:p>
        </w:tc>
        <w:tc>
          <w:tcPr>
            <w:tcW w:w="887" w:type="dxa"/>
            <w:noWrap/>
            <w:hideMark/>
          </w:tcPr>
          <w:p w14:paraId="65E0AEEA" w14:textId="77777777" w:rsidR="00EB7374" w:rsidRPr="00F17159" w:rsidRDefault="00EB7374" w:rsidP="00C700EB">
            <w:pPr>
              <w:jc w:val="right"/>
              <w:rPr>
                <w:rFonts w:eastAsia="Verdana"/>
                <w:sz w:val="15"/>
                <w:szCs w:val="15"/>
              </w:rPr>
            </w:pPr>
            <w:r>
              <w:rPr>
                <w:sz w:val="15"/>
                <w:szCs w:val="15"/>
              </w:rPr>
              <w:t>74.4</w:t>
            </w:r>
          </w:p>
        </w:tc>
        <w:tc>
          <w:tcPr>
            <w:tcW w:w="887" w:type="dxa"/>
            <w:noWrap/>
            <w:hideMark/>
          </w:tcPr>
          <w:p w14:paraId="77A343C3" w14:textId="77777777" w:rsidR="00EB7374" w:rsidRPr="00F17159" w:rsidRDefault="00EB7374" w:rsidP="00C700EB">
            <w:pPr>
              <w:jc w:val="right"/>
              <w:rPr>
                <w:rFonts w:eastAsia="Verdana"/>
                <w:sz w:val="15"/>
                <w:szCs w:val="15"/>
              </w:rPr>
            </w:pPr>
            <w:r>
              <w:rPr>
                <w:sz w:val="15"/>
                <w:szCs w:val="15"/>
              </w:rPr>
              <w:t>77.0</w:t>
            </w:r>
          </w:p>
        </w:tc>
        <w:tc>
          <w:tcPr>
            <w:tcW w:w="887" w:type="dxa"/>
            <w:noWrap/>
            <w:hideMark/>
          </w:tcPr>
          <w:p w14:paraId="4D6B7A3D" w14:textId="77777777" w:rsidR="00EB7374" w:rsidRPr="00F17159" w:rsidRDefault="00EB7374" w:rsidP="00C700EB">
            <w:pPr>
              <w:jc w:val="right"/>
              <w:rPr>
                <w:rFonts w:eastAsia="Verdana"/>
                <w:sz w:val="15"/>
                <w:szCs w:val="15"/>
              </w:rPr>
            </w:pPr>
            <w:r>
              <w:rPr>
                <w:sz w:val="15"/>
                <w:szCs w:val="15"/>
              </w:rPr>
              <w:t>76.3</w:t>
            </w:r>
          </w:p>
        </w:tc>
        <w:tc>
          <w:tcPr>
            <w:tcW w:w="887" w:type="dxa"/>
            <w:noWrap/>
            <w:hideMark/>
          </w:tcPr>
          <w:p w14:paraId="2F3D4D4E" w14:textId="77777777" w:rsidR="00EB7374" w:rsidRPr="00F17159" w:rsidRDefault="00EB7374" w:rsidP="00C700EB">
            <w:pPr>
              <w:jc w:val="right"/>
              <w:rPr>
                <w:rFonts w:eastAsia="Verdana"/>
                <w:sz w:val="15"/>
                <w:szCs w:val="15"/>
              </w:rPr>
            </w:pPr>
            <w:r>
              <w:rPr>
                <w:sz w:val="15"/>
                <w:szCs w:val="15"/>
              </w:rPr>
              <w:t>79.4</w:t>
            </w:r>
          </w:p>
        </w:tc>
        <w:tc>
          <w:tcPr>
            <w:tcW w:w="887" w:type="dxa"/>
            <w:noWrap/>
            <w:hideMark/>
          </w:tcPr>
          <w:p w14:paraId="5DCB6653" w14:textId="77777777" w:rsidR="00EB7374" w:rsidRPr="00F17159" w:rsidRDefault="00EB7374" w:rsidP="00C700EB">
            <w:pPr>
              <w:jc w:val="right"/>
              <w:rPr>
                <w:rFonts w:eastAsia="Verdana"/>
                <w:sz w:val="15"/>
                <w:szCs w:val="15"/>
              </w:rPr>
            </w:pPr>
            <w:r>
              <w:rPr>
                <w:sz w:val="15"/>
                <w:szCs w:val="15"/>
              </w:rPr>
              <w:t>76.4</w:t>
            </w:r>
          </w:p>
        </w:tc>
        <w:tc>
          <w:tcPr>
            <w:tcW w:w="887" w:type="dxa"/>
            <w:noWrap/>
            <w:hideMark/>
          </w:tcPr>
          <w:p w14:paraId="5F2178CF" w14:textId="77777777" w:rsidR="00EB7374" w:rsidRPr="00F17159" w:rsidRDefault="00EB7374" w:rsidP="00C700EB">
            <w:pPr>
              <w:jc w:val="right"/>
              <w:rPr>
                <w:rFonts w:eastAsia="Verdana"/>
                <w:sz w:val="15"/>
                <w:szCs w:val="15"/>
              </w:rPr>
            </w:pPr>
            <w:r>
              <w:rPr>
                <w:sz w:val="15"/>
                <w:szCs w:val="15"/>
              </w:rPr>
              <w:t>80.1</w:t>
            </w:r>
          </w:p>
        </w:tc>
      </w:tr>
      <w:tr w:rsidR="00EB7374" w:rsidRPr="00F17159" w14:paraId="60AA452A" w14:textId="77777777" w:rsidTr="00C700EB">
        <w:trPr>
          <w:trHeight w:val="20"/>
        </w:trPr>
        <w:tc>
          <w:tcPr>
            <w:tcW w:w="2808" w:type="dxa"/>
            <w:noWrap/>
            <w:hideMark/>
          </w:tcPr>
          <w:p w14:paraId="6DF45569" w14:textId="77777777" w:rsidR="00EB7374" w:rsidRPr="00F17159" w:rsidRDefault="00EB7374" w:rsidP="00C700EB">
            <w:pPr>
              <w:jc w:val="left"/>
              <w:rPr>
                <w:rFonts w:eastAsia="Verdana"/>
                <w:sz w:val="15"/>
                <w:szCs w:val="15"/>
              </w:rPr>
            </w:pPr>
            <w:proofErr w:type="spellStart"/>
            <w:r>
              <w:rPr>
                <w:sz w:val="15"/>
                <w:szCs w:val="15"/>
              </w:rPr>
              <w:t>Efficiency</w:t>
            </w:r>
            <w:r>
              <w:rPr>
                <w:sz w:val="15"/>
                <w:szCs w:val="15"/>
                <w:vertAlign w:val="superscript"/>
              </w:rPr>
              <w:t>b</w:t>
            </w:r>
            <w:proofErr w:type="spellEnd"/>
          </w:p>
        </w:tc>
        <w:tc>
          <w:tcPr>
            <w:tcW w:w="886" w:type="dxa"/>
            <w:noWrap/>
            <w:hideMark/>
          </w:tcPr>
          <w:p w14:paraId="517D9C5F" w14:textId="77777777" w:rsidR="00EB7374" w:rsidRPr="00F17159" w:rsidRDefault="00EB7374" w:rsidP="00C700EB">
            <w:pPr>
              <w:jc w:val="right"/>
              <w:rPr>
                <w:rFonts w:eastAsia="Verdana"/>
                <w:sz w:val="15"/>
                <w:szCs w:val="15"/>
              </w:rPr>
            </w:pPr>
            <w:r>
              <w:rPr>
                <w:sz w:val="15"/>
                <w:szCs w:val="15"/>
              </w:rPr>
              <w:t xml:space="preserve"> </w:t>
            </w:r>
          </w:p>
        </w:tc>
        <w:tc>
          <w:tcPr>
            <w:tcW w:w="887" w:type="dxa"/>
            <w:noWrap/>
            <w:hideMark/>
          </w:tcPr>
          <w:p w14:paraId="5AE4D2D5" w14:textId="77777777" w:rsidR="00EB7374" w:rsidRPr="00F17159" w:rsidRDefault="00EB7374" w:rsidP="00C700EB">
            <w:pPr>
              <w:jc w:val="right"/>
              <w:rPr>
                <w:rFonts w:eastAsia="Verdana"/>
                <w:sz w:val="15"/>
                <w:szCs w:val="15"/>
              </w:rPr>
            </w:pPr>
            <w:r>
              <w:rPr>
                <w:sz w:val="15"/>
                <w:szCs w:val="15"/>
              </w:rPr>
              <w:t xml:space="preserve"> </w:t>
            </w:r>
          </w:p>
        </w:tc>
        <w:tc>
          <w:tcPr>
            <w:tcW w:w="887" w:type="dxa"/>
            <w:noWrap/>
            <w:hideMark/>
          </w:tcPr>
          <w:p w14:paraId="17792BEB" w14:textId="77777777" w:rsidR="00EB7374" w:rsidRPr="00F17159" w:rsidRDefault="00EB7374" w:rsidP="00C700EB">
            <w:pPr>
              <w:jc w:val="right"/>
              <w:rPr>
                <w:rFonts w:eastAsia="Verdana"/>
                <w:sz w:val="15"/>
                <w:szCs w:val="15"/>
              </w:rPr>
            </w:pPr>
            <w:r>
              <w:rPr>
                <w:sz w:val="15"/>
                <w:szCs w:val="15"/>
              </w:rPr>
              <w:t xml:space="preserve"> </w:t>
            </w:r>
          </w:p>
        </w:tc>
        <w:tc>
          <w:tcPr>
            <w:tcW w:w="887" w:type="dxa"/>
            <w:noWrap/>
            <w:hideMark/>
          </w:tcPr>
          <w:p w14:paraId="1E96977C" w14:textId="77777777" w:rsidR="00EB7374" w:rsidRPr="00F17159" w:rsidRDefault="00EB7374" w:rsidP="00C700EB">
            <w:pPr>
              <w:jc w:val="right"/>
              <w:rPr>
                <w:rFonts w:eastAsia="Verdana"/>
                <w:sz w:val="15"/>
                <w:szCs w:val="15"/>
              </w:rPr>
            </w:pPr>
            <w:r>
              <w:rPr>
                <w:sz w:val="15"/>
                <w:szCs w:val="15"/>
              </w:rPr>
              <w:t xml:space="preserve"> </w:t>
            </w:r>
          </w:p>
        </w:tc>
        <w:tc>
          <w:tcPr>
            <w:tcW w:w="887" w:type="dxa"/>
            <w:noWrap/>
            <w:hideMark/>
          </w:tcPr>
          <w:p w14:paraId="123E43F8" w14:textId="77777777" w:rsidR="00EB7374" w:rsidRPr="00F17159" w:rsidRDefault="00EB7374" w:rsidP="00C700EB">
            <w:pPr>
              <w:jc w:val="right"/>
              <w:rPr>
                <w:rFonts w:eastAsia="Verdana"/>
                <w:sz w:val="15"/>
                <w:szCs w:val="15"/>
              </w:rPr>
            </w:pPr>
            <w:r>
              <w:rPr>
                <w:sz w:val="15"/>
                <w:szCs w:val="15"/>
              </w:rPr>
              <w:t xml:space="preserve"> </w:t>
            </w:r>
          </w:p>
        </w:tc>
        <w:tc>
          <w:tcPr>
            <w:tcW w:w="887" w:type="dxa"/>
            <w:noWrap/>
            <w:hideMark/>
          </w:tcPr>
          <w:p w14:paraId="79C2455A" w14:textId="77777777" w:rsidR="00EB7374" w:rsidRPr="00F17159" w:rsidRDefault="00EB7374" w:rsidP="00C700EB">
            <w:pPr>
              <w:jc w:val="right"/>
              <w:rPr>
                <w:rFonts w:eastAsia="Verdana"/>
                <w:sz w:val="15"/>
                <w:szCs w:val="15"/>
              </w:rPr>
            </w:pPr>
            <w:r>
              <w:rPr>
                <w:sz w:val="15"/>
                <w:szCs w:val="15"/>
              </w:rPr>
              <w:t xml:space="preserve"> </w:t>
            </w:r>
          </w:p>
        </w:tc>
        <w:tc>
          <w:tcPr>
            <w:tcW w:w="887" w:type="dxa"/>
            <w:noWrap/>
            <w:hideMark/>
          </w:tcPr>
          <w:p w14:paraId="2CEB79BE" w14:textId="77777777" w:rsidR="00EB7374" w:rsidRPr="00F17159" w:rsidRDefault="00EB7374" w:rsidP="00C700EB">
            <w:pPr>
              <w:jc w:val="right"/>
              <w:rPr>
                <w:rFonts w:eastAsia="Verdana"/>
                <w:sz w:val="15"/>
                <w:szCs w:val="15"/>
              </w:rPr>
            </w:pPr>
            <w:r>
              <w:rPr>
                <w:sz w:val="15"/>
                <w:szCs w:val="15"/>
              </w:rPr>
              <w:t xml:space="preserve"> </w:t>
            </w:r>
          </w:p>
        </w:tc>
      </w:tr>
      <w:tr w:rsidR="00EB7374" w:rsidRPr="00F17159" w14:paraId="1D59A2A1" w14:textId="77777777" w:rsidTr="00C700EB">
        <w:trPr>
          <w:cnfStyle w:val="000000010000" w:firstRow="0" w:lastRow="0" w:firstColumn="0" w:lastColumn="0" w:oddVBand="0" w:evenVBand="0" w:oddHBand="0" w:evenHBand="1" w:firstRowFirstColumn="0" w:firstRowLastColumn="0" w:lastRowFirstColumn="0" w:lastRowLastColumn="0"/>
          <w:trHeight w:val="20"/>
        </w:trPr>
        <w:tc>
          <w:tcPr>
            <w:tcW w:w="2808" w:type="dxa"/>
            <w:noWrap/>
            <w:hideMark/>
          </w:tcPr>
          <w:p w14:paraId="7F2C3F9C" w14:textId="77777777" w:rsidR="00EB7374" w:rsidRPr="00F17159" w:rsidRDefault="00EB7374" w:rsidP="00C700EB">
            <w:pPr>
              <w:jc w:val="left"/>
              <w:rPr>
                <w:rFonts w:eastAsia="Verdana"/>
                <w:sz w:val="15"/>
                <w:szCs w:val="15"/>
              </w:rPr>
            </w:pPr>
            <w:r>
              <w:rPr>
                <w:sz w:val="15"/>
                <w:szCs w:val="15"/>
              </w:rPr>
              <w:t xml:space="preserve">Liquidity </w:t>
            </w:r>
            <w:proofErr w:type="spellStart"/>
            <w:r>
              <w:rPr>
                <w:sz w:val="15"/>
                <w:szCs w:val="15"/>
              </w:rPr>
              <w:t>ratio</w:t>
            </w:r>
            <w:r>
              <w:rPr>
                <w:sz w:val="15"/>
                <w:szCs w:val="15"/>
                <w:vertAlign w:val="superscript"/>
              </w:rPr>
              <w:t>c</w:t>
            </w:r>
            <w:proofErr w:type="spellEnd"/>
          </w:p>
        </w:tc>
        <w:tc>
          <w:tcPr>
            <w:tcW w:w="886" w:type="dxa"/>
            <w:noWrap/>
            <w:hideMark/>
          </w:tcPr>
          <w:p w14:paraId="5F913E54" w14:textId="77777777" w:rsidR="00EB7374" w:rsidRPr="00F17159" w:rsidRDefault="00EB7374" w:rsidP="00C700EB">
            <w:pPr>
              <w:jc w:val="right"/>
              <w:rPr>
                <w:rFonts w:eastAsia="Verdana"/>
                <w:sz w:val="15"/>
                <w:szCs w:val="15"/>
              </w:rPr>
            </w:pPr>
            <w:r>
              <w:rPr>
                <w:sz w:val="15"/>
                <w:szCs w:val="15"/>
              </w:rPr>
              <w:t>23.4</w:t>
            </w:r>
          </w:p>
        </w:tc>
        <w:tc>
          <w:tcPr>
            <w:tcW w:w="887" w:type="dxa"/>
            <w:noWrap/>
            <w:hideMark/>
          </w:tcPr>
          <w:p w14:paraId="621103B1" w14:textId="77777777" w:rsidR="00EB7374" w:rsidRPr="00F17159" w:rsidRDefault="00EB7374" w:rsidP="00C700EB">
            <w:pPr>
              <w:jc w:val="right"/>
              <w:rPr>
                <w:rFonts w:eastAsia="Verdana"/>
                <w:sz w:val="15"/>
                <w:szCs w:val="15"/>
              </w:rPr>
            </w:pPr>
            <w:r>
              <w:rPr>
                <w:sz w:val="15"/>
                <w:szCs w:val="15"/>
              </w:rPr>
              <w:t>23.6</w:t>
            </w:r>
          </w:p>
        </w:tc>
        <w:tc>
          <w:tcPr>
            <w:tcW w:w="887" w:type="dxa"/>
            <w:noWrap/>
            <w:hideMark/>
          </w:tcPr>
          <w:p w14:paraId="41C77BB6" w14:textId="77777777" w:rsidR="00EB7374" w:rsidRPr="00F17159" w:rsidRDefault="00EB7374" w:rsidP="00C700EB">
            <w:pPr>
              <w:jc w:val="right"/>
              <w:rPr>
                <w:rFonts w:eastAsia="Verdana"/>
                <w:sz w:val="15"/>
                <w:szCs w:val="15"/>
              </w:rPr>
            </w:pPr>
            <w:r>
              <w:rPr>
                <w:sz w:val="15"/>
                <w:szCs w:val="15"/>
              </w:rPr>
              <w:t>20.1</w:t>
            </w:r>
          </w:p>
        </w:tc>
        <w:tc>
          <w:tcPr>
            <w:tcW w:w="887" w:type="dxa"/>
            <w:noWrap/>
            <w:hideMark/>
          </w:tcPr>
          <w:p w14:paraId="1CE1C9DD" w14:textId="77777777" w:rsidR="00EB7374" w:rsidRPr="00F17159" w:rsidRDefault="00EB7374" w:rsidP="00C700EB">
            <w:pPr>
              <w:jc w:val="right"/>
              <w:rPr>
                <w:rFonts w:eastAsia="Verdana"/>
                <w:sz w:val="15"/>
                <w:szCs w:val="15"/>
              </w:rPr>
            </w:pPr>
            <w:r>
              <w:rPr>
                <w:sz w:val="15"/>
                <w:szCs w:val="15"/>
              </w:rPr>
              <w:t>21.6</w:t>
            </w:r>
          </w:p>
        </w:tc>
        <w:tc>
          <w:tcPr>
            <w:tcW w:w="887" w:type="dxa"/>
            <w:noWrap/>
            <w:hideMark/>
          </w:tcPr>
          <w:p w14:paraId="1D09E779" w14:textId="77777777" w:rsidR="00EB7374" w:rsidRPr="00F17159" w:rsidRDefault="00EB7374" w:rsidP="00C700EB">
            <w:pPr>
              <w:jc w:val="right"/>
              <w:rPr>
                <w:rFonts w:eastAsia="Verdana"/>
                <w:sz w:val="15"/>
                <w:szCs w:val="15"/>
              </w:rPr>
            </w:pPr>
            <w:r>
              <w:rPr>
                <w:sz w:val="15"/>
                <w:szCs w:val="15"/>
              </w:rPr>
              <w:t>18.3</w:t>
            </w:r>
          </w:p>
        </w:tc>
        <w:tc>
          <w:tcPr>
            <w:tcW w:w="887" w:type="dxa"/>
            <w:noWrap/>
            <w:hideMark/>
          </w:tcPr>
          <w:p w14:paraId="2001CBAD" w14:textId="77777777" w:rsidR="00EB7374" w:rsidRPr="00F17159" w:rsidRDefault="00EB7374" w:rsidP="00C700EB">
            <w:pPr>
              <w:jc w:val="right"/>
              <w:rPr>
                <w:rFonts w:eastAsia="Verdana"/>
                <w:sz w:val="15"/>
                <w:szCs w:val="15"/>
              </w:rPr>
            </w:pPr>
            <w:r>
              <w:rPr>
                <w:sz w:val="15"/>
                <w:szCs w:val="15"/>
              </w:rPr>
              <w:t>23.6</w:t>
            </w:r>
          </w:p>
        </w:tc>
        <w:tc>
          <w:tcPr>
            <w:tcW w:w="887" w:type="dxa"/>
            <w:noWrap/>
            <w:hideMark/>
          </w:tcPr>
          <w:p w14:paraId="7FEF6098" w14:textId="77777777" w:rsidR="00EB7374" w:rsidRPr="00F17159" w:rsidRDefault="00EB7374" w:rsidP="00C700EB">
            <w:pPr>
              <w:jc w:val="right"/>
              <w:rPr>
                <w:rFonts w:eastAsia="Verdana"/>
                <w:sz w:val="15"/>
                <w:szCs w:val="15"/>
              </w:rPr>
            </w:pPr>
            <w:r>
              <w:rPr>
                <w:sz w:val="15"/>
                <w:szCs w:val="15"/>
              </w:rPr>
              <w:t>18.7</w:t>
            </w:r>
          </w:p>
        </w:tc>
      </w:tr>
      <w:tr w:rsidR="00EB7374" w:rsidRPr="00F17159" w14:paraId="2E5DDBA7" w14:textId="77777777" w:rsidTr="00C700EB">
        <w:trPr>
          <w:trHeight w:val="20"/>
        </w:trPr>
        <w:tc>
          <w:tcPr>
            <w:tcW w:w="2808" w:type="dxa"/>
            <w:noWrap/>
            <w:hideMark/>
          </w:tcPr>
          <w:p w14:paraId="12C0B443" w14:textId="77777777" w:rsidR="00EB7374" w:rsidRPr="00F17159" w:rsidRDefault="00EB7374" w:rsidP="00C700EB">
            <w:pPr>
              <w:jc w:val="left"/>
              <w:rPr>
                <w:rFonts w:eastAsia="Verdana"/>
                <w:sz w:val="15"/>
                <w:szCs w:val="15"/>
              </w:rPr>
            </w:pPr>
            <w:r>
              <w:rPr>
                <w:sz w:val="15"/>
                <w:szCs w:val="15"/>
              </w:rPr>
              <w:t xml:space="preserve">% past-due portfolio </w:t>
            </w:r>
          </w:p>
        </w:tc>
        <w:tc>
          <w:tcPr>
            <w:tcW w:w="886" w:type="dxa"/>
            <w:noWrap/>
            <w:hideMark/>
          </w:tcPr>
          <w:p w14:paraId="05D0238B" w14:textId="77777777" w:rsidR="00EB7374" w:rsidRPr="00F17159" w:rsidRDefault="00EB7374" w:rsidP="00C700EB">
            <w:pPr>
              <w:jc w:val="right"/>
              <w:rPr>
                <w:rFonts w:eastAsia="Verdana"/>
                <w:sz w:val="15"/>
                <w:szCs w:val="15"/>
              </w:rPr>
            </w:pPr>
            <w:r>
              <w:rPr>
                <w:sz w:val="15"/>
                <w:szCs w:val="15"/>
              </w:rPr>
              <w:t>1.7</w:t>
            </w:r>
          </w:p>
        </w:tc>
        <w:tc>
          <w:tcPr>
            <w:tcW w:w="887" w:type="dxa"/>
            <w:noWrap/>
            <w:hideMark/>
          </w:tcPr>
          <w:p w14:paraId="1CF03DA0" w14:textId="77777777" w:rsidR="00EB7374" w:rsidRPr="00F17159" w:rsidRDefault="00EB7374" w:rsidP="00C700EB">
            <w:pPr>
              <w:jc w:val="right"/>
              <w:rPr>
                <w:rFonts w:eastAsia="Verdana"/>
                <w:sz w:val="15"/>
                <w:szCs w:val="15"/>
              </w:rPr>
            </w:pPr>
            <w:r>
              <w:rPr>
                <w:sz w:val="15"/>
                <w:szCs w:val="15"/>
              </w:rPr>
              <w:t>1.7</w:t>
            </w:r>
          </w:p>
        </w:tc>
        <w:tc>
          <w:tcPr>
            <w:tcW w:w="887" w:type="dxa"/>
            <w:noWrap/>
            <w:hideMark/>
          </w:tcPr>
          <w:p w14:paraId="4778EA75" w14:textId="77777777" w:rsidR="00EB7374" w:rsidRPr="00F17159" w:rsidRDefault="00EB7374" w:rsidP="00C700EB">
            <w:pPr>
              <w:jc w:val="right"/>
              <w:rPr>
                <w:rFonts w:eastAsia="Verdana"/>
                <w:sz w:val="15"/>
                <w:szCs w:val="15"/>
              </w:rPr>
            </w:pPr>
            <w:r>
              <w:rPr>
                <w:sz w:val="15"/>
                <w:szCs w:val="15"/>
              </w:rPr>
              <w:t>1.9</w:t>
            </w:r>
          </w:p>
        </w:tc>
        <w:tc>
          <w:tcPr>
            <w:tcW w:w="887" w:type="dxa"/>
            <w:noWrap/>
            <w:hideMark/>
          </w:tcPr>
          <w:p w14:paraId="04C7615A" w14:textId="77777777" w:rsidR="00EB7374" w:rsidRPr="00F17159" w:rsidRDefault="00EB7374" w:rsidP="00C700EB">
            <w:pPr>
              <w:jc w:val="right"/>
              <w:rPr>
                <w:rFonts w:eastAsia="Verdana"/>
                <w:sz w:val="15"/>
                <w:szCs w:val="15"/>
              </w:rPr>
            </w:pPr>
            <w:r>
              <w:rPr>
                <w:sz w:val="15"/>
                <w:szCs w:val="15"/>
              </w:rPr>
              <w:t>1.6</w:t>
            </w:r>
          </w:p>
        </w:tc>
        <w:tc>
          <w:tcPr>
            <w:tcW w:w="887" w:type="dxa"/>
            <w:noWrap/>
            <w:hideMark/>
          </w:tcPr>
          <w:p w14:paraId="6FEE5AD0" w14:textId="77777777" w:rsidR="00EB7374" w:rsidRPr="00F17159" w:rsidRDefault="00EB7374" w:rsidP="00C700EB">
            <w:pPr>
              <w:jc w:val="right"/>
              <w:rPr>
                <w:rFonts w:eastAsia="Verdana"/>
                <w:sz w:val="15"/>
                <w:szCs w:val="15"/>
              </w:rPr>
            </w:pPr>
            <w:r>
              <w:rPr>
                <w:sz w:val="15"/>
                <w:szCs w:val="15"/>
              </w:rPr>
              <w:t>1.6</w:t>
            </w:r>
          </w:p>
        </w:tc>
        <w:tc>
          <w:tcPr>
            <w:tcW w:w="887" w:type="dxa"/>
            <w:noWrap/>
            <w:hideMark/>
          </w:tcPr>
          <w:p w14:paraId="261EC258" w14:textId="77777777" w:rsidR="00EB7374" w:rsidRPr="00F17159" w:rsidRDefault="00EB7374" w:rsidP="00C700EB">
            <w:pPr>
              <w:jc w:val="right"/>
              <w:rPr>
                <w:rFonts w:eastAsia="Verdana"/>
                <w:sz w:val="15"/>
                <w:szCs w:val="15"/>
              </w:rPr>
            </w:pPr>
            <w:r>
              <w:rPr>
                <w:sz w:val="15"/>
                <w:szCs w:val="15"/>
              </w:rPr>
              <w:t>1.9</w:t>
            </w:r>
          </w:p>
        </w:tc>
        <w:tc>
          <w:tcPr>
            <w:tcW w:w="887" w:type="dxa"/>
            <w:noWrap/>
            <w:hideMark/>
          </w:tcPr>
          <w:p w14:paraId="05126949" w14:textId="77777777" w:rsidR="00EB7374" w:rsidRPr="00F17159" w:rsidRDefault="00EB7374" w:rsidP="00C700EB">
            <w:pPr>
              <w:jc w:val="right"/>
              <w:rPr>
                <w:rFonts w:eastAsia="Verdana"/>
                <w:sz w:val="15"/>
                <w:szCs w:val="15"/>
              </w:rPr>
            </w:pPr>
            <w:r>
              <w:rPr>
                <w:sz w:val="15"/>
                <w:szCs w:val="15"/>
              </w:rPr>
              <w:t>1.3</w:t>
            </w:r>
          </w:p>
        </w:tc>
      </w:tr>
      <w:tr w:rsidR="00EB7374" w:rsidRPr="00F17159" w14:paraId="67CC977E" w14:textId="77777777" w:rsidTr="00C700EB">
        <w:trPr>
          <w:cnfStyle w:val="000000010000" w:firstRow="0" w:lastRow="0" w:firstColumn="0" w:lastColumn="0" w:oddVBand="0" w:evenVBand="0" w:oddHBand="0" w:evenHBand="1" w:firstRowFirstColumn="0" w:firstRowLastColumn="0" w:lastRowFirstColumn="0" w:lastRowLastColumn="0"/>
          <w:trHeight w:val="20"/>
        </w:trPr>
        <w:tc>
          <w:tcPr>
            <w:tcW w:w="2808" w:type="dxa"/>
            <w:noWrap/>
            <w:hideMark/>
          </w:tcPr>
          <w:p w14:paraId="61C0701B" w14:textId="77777777" w:rsidR="00EB7374" w:rsidRPr="00F17159" w:rsidRDefault="00EB7374" w:rsidP="00C700EB">
            <w:pPr>
              <w:jc w:val="left"/>
              <w:rPr>
                <w:rFonts w:eastAsia="Verdana"/>
                <w:sz w:val="15"/>
                <w:szCs w:val="15"/>
              </w:rPr>
            </w:pPr>
            <w:r>
              <w:rPr>
                <w:sz w:val="15"/>
                <w:szCs w:val="15"/>
              </w:rPr>
              <w:t>Provisions/past-due portfolio</w:t>
            </w:r>
          </w:p>
        </w:tc>
        <w:tc>
          <w:tcPr>
            <w:tcW w:w="886" w:type="dxa"/>
            <w:noWrap/>
            <w:hideMark/>
          </w:tcPr>
          <w:p w14:paraId="2E999EDD" w14:textId="77777777" w:rsidR="00EB7374" w:rsidRPr="00F17159" w:rsidRDefault="00EB7374" w:rsidP="00C700EB">
            <w:pPr>
              <w:jc w:val="right"/>
              <w:rPr>
                <w:rFonts w:eastAsia="Verdana"/>
                <w:sz w:val="15"/>
                <w:szCs w:val="15"/>
              </w:rPr>
            </w:pPr>
            <w:r>
              <w:rPr>
                <w:sz w:val="15"/>
                <w:szCs w:val="15"/>
              </w:rPr>
              <w:t>152.4</w:t>
            </w:r>
          </w:p>
        </w:tc>
        <w:tc>
          <w:tcPr>
            <w:tcW w:w="887" w:type="dxa"/>
            <w:noWrap/>
            <w:hideMark/>
          </w:tcPr>
          <w:p w14:paraId="56706312" w14:textId="77777777" w:rsidR="00EB7374" w:rsidRPr="00F17159" w:rsidRDefault="00EB7374" w:rsidP="00C700EB">
            <w:pPr>
              <w:jc w:val="right"/>
              <w:rPr>
                <w:rFonts w:eastAsia="Verdana"/>
                <w:sz w:val="15"/>
                <w:szCs w:val="15"/>
              </w:rPr>
            </w:pPr>
            <w:r>
              <w:rPr>
                <w:sz w:val="15"/>
                <w:szCs w:val="15"/>
              </w:rPr>
              <w:t>156.3</w:t>
            </w:r>
          </w:p>
        </w:tc>
        <w:tc>
          <w:tcPr>
            <w:tcW w:w="887" w:type="dxa"/>
            <w:noWrap/>
            <w:hideMark/>
          </w:tcPr>
          <w:p w14:paraId="30957AC3" w14:textId="77777777" w:rsidR="00EB7374" w:rsidRPr="00F17159" w:rsidRDefault="00EB7374" w:rsidP="00C700EB">
            <w:pPr>
              <w:jc w:val="right"/>
              <w:rPr>
                <w:rFonts w:eastAsia="Verdana"/>
                <w:sz w:val="15"/>
                <w:szCs w:val="15"/>
              </w:rPr>
            </w:pPr>
            <w:r>
              <w:rPr>
                <w:sz w:val="15"/>
                <w:szCs w:val="15"/>
              </w:rPr>
              <w:t>149.3</w:t>
            </w:r>
          </w:p>
        </w:tc>
        <w:tc>
          <w:tcPr>
            <w:tcW w:w="887" w:type="dxa"/>
            <w:noWrap/>
            <w:hideMark/>
          </w:tcPr>
          <w:p w14:paraId="719360C8" w14:textId="77777777" w:rsidR="00EB7374" w:rsidRPr="00F17159" w:rsidRDefault="00EB7374" w:rsidP="00C700EB">
            <w:pPr>
              <w:jc w:val="right"/>
              <w:rPr>
                <w:rFonts w:eastAsia="Verdana"/>
                <w:sz w:val="15"/>
                <w:szCs w:val="15"/>
              </w:rPr>
            </w:pPr>
            <w:r>
              <w:rPr>
                <w:sz w:val="15"/>
                <w:szCs w:val="15"/>
              </w:rPr>
              <w:t>157.1</w:t>
            </w:r>
          </w:p>
        </w:tc>
        <w:tc>
          <w:tcPr>
            <w:tcW w:w="887" w:type="dxa"/>
            <w:noWrap/>
            <w:hideMark/>
          </w:tcPr>
          <w:p w14:paraId="3DF4BF9C" w14:textId="77777777" w:rsidR="00EB7374" w:rsidRPr="00F17159" w:rsidRDefault="00EB7374" w:rsidP="00C700EB">
            <w:pPr>
              <w:jc w:val="right"/>
              <w:rPr>
                <w:rFonts w:eastAsia="Verdana"/>
                <w:sz w:val="15"/>
                <w:szCs w:val="15"/>
              </w:rPr>
            </w:pPr>
            <w:r>
              <w:rPr>
                <w:sz w:val="15"/>
                <w:szCs w:val="15"/>
              </w:rPr>
              <w:t>162.1</w:t>
            </w:r>
          </w:p>
        </w:tc>
        <w:tc>
          <w:tcPr>
            <w:tcW w:w="887" w:type="dxa"/>
            <w:noWrap/>
            <w:hideMark/>
          </w:tcPr>
          <w:p w14:paraId="71678D53" w14:textId="77777777" w:rsidR="00EB7374" w:rsidRPr="00F17159" w:rsidRDefault="00EB7374" w:rsidP="00C700EB">
            <w:pPr>
              <w:jc w:val="right"/>
              <w:rPr>
                <w:rFonts w:eastAsia="Verdana"/>
                <w:sz w:val="15"/>
                <w:szCs w:val="15"/>
              </w:rPr>
            </w:pPr>
            <w:r>
              <w:rPr>
                <w:sz w:val="15"/>
                <w:szCs w:val="15"/>
              </w:rPr>
              <w:t>203.9</w:t>
            </w:r>
          </w:p>
        </w:tc>
        <w:tc>
          <w:tcPr>
            <w:tcW w:w="887" w:type="dxa"/>
            <w:noWrap/>
            <w:hideMark/>
          </w:tcPr>
          <w:p w14:paraId="2CA59833" w14:textId="77777777" w:rsidR="00EB7374" w:rsidRPr="00F17159" w:rsidRDefault="00EB7374" w:rsidP="00C700EB">
            <w:pPr>
              <w:jc w:val="right"/>
              <w:rPr>
                <w:rFonts w:eastAsia="Verdana"/>
                <w:sz w:val="15"/>
                <w:szCs w:val="15"/>
              </w:rPr>
            </w:pPr>
            <w:r>
              <w:rPr>
                <w:sz w:val="15"/>
                <w:szCs w:val="15"/>
              </w:rPr>
              <w:t>335.7</w:t>
            </w:r>
          </w:p>
        </w:tc>
      </w:tr>
    </w:tbl>
    <w:p w14:paraId="2EDCBB1B" w14:textId="77777777" w:rsidR="00EB7374" w:rsidRPr="00DB5A6A" w:rsidRDefault="00EB7374" w:rsidP="00B0434B">
      <w:pPr>
        <w:pStyle w:val="NoteText"/>
        <w:spacing w:before="120"/>
      </w:pPr>
      <w:r>
        <w:t>a</w:t>
      </w:r>
      <w:r>
        <w:tab/>
        <w:t>Latest information published by the Banking Supervisory Authority.</w:t>
      </w:r>
    </w:p>
    <w:p w14:paraId="6502B7B9" w14:textId="77777777" w:rsidR="00EB7374" w:rsidRPr="00DB5A6A" w:rsidRDefault="00EB7374" w:rsidP="00B0434B">
      <w:pPr>
        <w:pStyle w:val="NoteText"/>
      </w:pPr>
      <w:r>
        <w:t>b</w:t>
      </w:r>
      <w:r>
        <w:tab/>
        <w:t>Measured as the costs-to-income ratio.</w:t>
      </w:r>
    </w:p>
    <w:p w14:paraId="344F27E6" w14:textId="77777777" w:rsidR="00EB7374" w:rsidRPr="00A35956" w:rsidRDefault="00EB7374" w:rsidP="00B0434B">
      <w:pPr>
        <w:pStyle w:val="NoteText"/>
      </w:pPr>
      <w:r>
        <w:t>c</w:t>
      </w:r>
      <w:r>
        <w:tab/>
        <w:t>Measured as the liquid assets-to-total deposits ratio.</w:t>
      </w:r>
    </w:p>
    <w:p w14:paraId="5BBA676A" w14:textId="77777777" w:rsidR="00EB7374" w:rsidRPr="00A35956" w:rsidRDefault="00EB7374" w:rsidP="00B0434B">
      <w:pPr>
        <w:pStyle w:val="NoteText"/>
        <w:spacing w:before="120" w:after="240"/>
      </w:pPr>
      <w:r>
        <w:t>Source:</w:t>
      </w:r>
      <w:r>
        <w:tab/>
        <w:t xml:space="preserve">Institutional statistics of the Banking Supervisory Authority. Viewed at: </w:t>
      </w:r>
      <w:r>
        <w:rPr>
          <w:color w:val="0000FF" w:themeColor="hyperlink"/>
          <w:u w:val="single"/>
        </w:rPr>
        <w:t>http://sb.gov.do/transparencia/estadisticas-institucionaes</w:t>
      </w:r>
      <w:r w:rsidRPr="00C2164F">
        <w:t>.</w:t>
      </w:r>
    </w:p>
    <w:p w14:paraId="191E2494" w14:textId="77777777" w:rsidR="00EB7374" w:rsidRPr="00A35956" w:rsidRDefault="00EB7374" w:rsidP="00C80D98">
      <w:pPr>
        <w:pStyle w:val="BodyText"/>
      </w:pPr>
      <w:r>
        <w:t xml:space="preserve">During the period under review, the </w:t>
      </w:r>
      <w:proofErr w:type="spellStart"/>
      <w:r>
        <w:t>microprudential</w:t>
      </w:r>
      <w:proofErr w:type="spellEnd"/>
      <w:r>
        <w:t xml:space="preserve"> indicators of the Dominican financial system remained at appropriate levels, with good liquidity and capitalization conditions, despite the negative impact of the pandemic on economic activity. The solvency ratio remained well above the internationally recommended level of 8% and the national regulatory minimum of 10%, reaching 19.1% in December 2021 for the financial system and 16.8% for full-service banks. As of the same month, the average return on equity (ROE) of the banks was 21.0% and the return on assets (</w:t>
      </w:r>
      <w:proofErr w:type="spellStart"/>
      <w:r>
        <w:t>ROA</w:t>
      </w:r>
      <w:proofErr w:type="spellEnd"/>
      <w:r>
        <w:t>) indicator 2.3%. The past-due portfolio ratio remained low, at 1.4% in December 2021. As was already the case in the previous report, there were ample provisions to meet this past-due portfolio, with an index of 313.53% in December 2021, indicating that full-service banks were solvent and low risk. As was the case at the outbreak of the global financial crisis, the nature of the Dominican financial system, with most funding coming from domestic sources, has largely insulated it from external shocks. The Dominican Republic therefore withstood the impact of the pandemic satisfactorily, despite a temporary fall in remittances and tourism revenue. In this regard, the authorities observed that profitability indicators were similar to their pre-pandemic levels thanks to monetary and financial easing implemented to mitigate the coronavirus health crisis.</w:t>
      </w:r>
    </w:p>
    <w:p w14:paraId="346DF7CA" w14:textId="77777777" w:rsidR="00EB7374" w:rsidRPr="00C23180" w:rsidRDefault="00EB7374" w:rsidP="00C80D98">
      <w:pPr>
        <w:pStyle w:val="BodyText"/>
      </w:pPr>
      <w:r>
        <w:t>Given its ability to attract resources domestically, the Dominican financial system – as indicated in the previous review – has not shown a trend towards becoming dollarized. As of the end of May 2022, 71.5% of financial system assets other than shares were in the national currency and 28.5% in foreign currency, while 81.9% of loans were in the national currency, making the system's exposure to currency risk quite small.</w:t>
      </w:r>
      <w:r w:rsidRPr="00A35956">
        <w:rPr>
          <w:vertAlign w:val="superscript"/>
        </w:rPr>
        <w:footnoteReference w:id="479"/>
      </w:r>
      <w:bookmarkStart w:id="360" w:name="_Toc417038543"/>
      <w:bookmarkStart w:id="361" w:name="_Toc114735779"/>
    </w:p>
    <w:p w14:paraId="79C7D8CC" w14:textId="77777777" w:rsidR="00EB7374" w:rsidRPr="00A35956" w:rsidRDefault="00EB7374" w:rsidP="00C80D98">
      <w:pPr>
        <w:pStyle w:val="Heading5"/>
      </w:pPr>
      <w:bookmarkStart w:id="362" w:name="_Toc117260660"/>
      <w:r>
        <w:t>Regulatory framework</w:t>
      </w:r>
      <w:bookmarkEnd w:id="360"/>
      <w:bookmarkEnd w:id="361"/>
      <w:bookmarkEnd w:id="362"/>
    </w:p>
    <w:p w14:paraId="02D4F0D7" w14:textId="77777777" w:rsidR="00EB7374" w:rsidRPr="00C23180" w:rsidRDefault="00EB7374" w:rsidP="00C80D98">
      <w:pPr>
        <w:pStyle w:val="BodyText"/>
      </w:pPr>
      <w:r>
        <w:t>Since the previous review in 2015, the only substantial changes to legislation in the financial sector in the Dominican Republic have been new laws on money laundering, security interests and the securities market. The banking system's regulatory legal framework currently consists of the Constitution;</w:t>
      </w:r>
      <w:r w:rsidRPr="00A35956">
        <w:rPr>
          <w:vertAlign w:val="superscript"/>
        </w:rPr>
        <w:footnoteReference w:id="480"/>
      </w:r>
      <w:r>
        <w:t xml:space="preserve"> the Monetary and Financial Law (Law No. 183-02); Law No. 92-04 on Systemic Risk; Law No. 189-11 on the Development of the Mortgage Market and Trusts; Law No. 155-17 on </w:t>
      </w:r>
      <w:r w:rsidRPr="00007A8A">
        <w:t>Money</w:t>
      </w:r>
      <w:r>
        <w:t> </w:t>
      </w:r>
      <w:r w:rsidRPr="00007A8A">
        <w:t>Laundering</w:t>
      </w:r>
      <w:r>
        <w:t xml:space="preserve"> and the Financing of Terrorism; and the financial regulations issued by the Monetary Board.</w:t>
      </w:r>
      <w:r w:rsidRPr="00C23180">
        <w:rPr>
          <w:vertAlign w:val="superscript"/>
        </w:rPr>
        <w:footnoteReference w:id="481"/>
      </w:r>
      <w:r>
        <w:t xml:space="preserve"> Amendments to the legal regime governing the banking sector require the approval of two thirds of the combined membership of the Senate and the Chamber of Deputies, with the exception of amendments presented by the Executive and proposed by the Monetary Board, which must be approved in each chamber by two thirds of those members who are present.</w:t>
      </w:r>
      <w:r w:rsidRPr="00A35956">
        <w:rPr>
          <w:vertAlign w:val="superscript"/>
        </w:rPr>
        <w:footnoteReference w:id="482"/>
      </w:r>
    </w:p>
    <w:p w14:paraId="3E281CC8" w14:textId="77777777" w:rsidR="00EB7374" w:rsidRPr="00A35956" w:rsidRDefault="00EB7374" w:rsidP="00C80D98">
      <w:pPr>
        <w:pStyle w:val="BodyText"/>
      </w:pPr>
      <w:r>
        <w:t xml:space="preserve">The Monetary Board, through its Second Resolution of 23 November 2017, approved the Regulation Governing the Monetary Programme and Monetary Policy Instruments, which defines the </w:t>
      </w:r>
      <w:r>
        <w:lastRenderedPageBreak/>
        <w:t>mechanisms for achieving the targets of the Monetary Programme and monetary policy. During the period under review, the Monetary Board amended and updated certain regulations and implemented circulars issued by the Central Bank and the Banking Supervisory Authority. In 2015, for example, it amended the Regulation on Risk Concentrations and the Regulation on the Protection of Users in Financial Products and Services. In 2016, it amended certain aspects of the Rules on the Dissolution and Liquidation of Financial Intermediation Entities, including their scope of application, and it approved the final text of the Regulation on Repurchase Agreements, which is intended to regulate repurchase agreements in national or foreign currency entered into by financial intermediaries, whether with another intermediary, with the Central Bank or with other institutional investors.</w:t>
      </w:r>
    </w:p>
    <w:p w14:paraId="23E4F2BC" w14:textId="77777777" w:rsidR="00EB7374" w:rsidRPr="00A35956" w:rsidRDefault="00EB7374" w:rsidP="00C80D98">
      <w:pPr>
        <w:pStyle w:val="BodyText"/>
      </w:pPr>
      <w:r>
        <w:t>Under Article 19 of the Monetary and Financial Law, the Banking Supervisory Authority is the institution responsible for supervising financial intermediaries and has full operational autonomy. The Authority has the power to require financial intermediaries to book provisions relating to risks; to require them to rectify any breaches of laws and regulations in force; and to impose sanctions, except those applied by the Central Bank.</w:t>
      </w:r>
      <w:r w:rsidRPr="00C23180">
        <w:rPr>
          <w:vertAlign w:val="superscript"/>
        </w:rPr>
        <w:footnoteReference w:id="483"/>
      </w:r>
      <w:r>
        <w:t xml:space="preserve"> The Banking Supervisory Authority supervises the operations of all financial intermediaries regulated by the monetary and financial administration, with the exception of savings and credit cooperatives (see below). The Supervisory Authority, the Central Bank and the Ministry of Finance are members of the Monetary Board, which is the highest body in the monetary and financial administration. The Monetary Board is responsible for formulating financial, monetary and exchange policy, which is then implemented by the Central Bank, and for proposing amendments to the monetary and financial system to the Executive. The Board is responsible for authorizing the operations of financial intermediaries. The Central Bank has exclusive responsibility for administering the payments and securities settlement system.</w:t>
      </w:r>
      <w:r w:rsidRPr="00A35956">
        <w:rPr>
          <w:vertAlign w:val="superscript"/>
        </w:rPr>
        <w:footnoteReference w:id="484"/>
      </w:r>
    </w:p>
    <w:p w14:paraId="2140EB1E" w14:textId="77777777" w:rsidR="00EB7374" w:rsidRPr="00A35956" w:rsidRDefault="00EB7374" w:rsidP="00C80D98">
      <w:pPr>
        <w:pStyle w:val="BodyText"/>
      </w:pPr>
      <w:r>
        <w:t>The Supervisory Authority is also responsible for proposing authorizations or revocations of financial institutions. Its proposals are then evaluated by the Monetary Board, which can either approve or reject the proposals. Likewise, in areas within its remit, the Supervisory Authority may propose draft regulations to the Monetary Board, which has the power to approve or reject them. The Supervisory Authority may also issue instructions within its remit. In this regard, it has internal regulatory authority on a self-organized basis, subject to the approval of the Monetary Board, as well as subordinate regulatory authority to develop, through instructions, the provisions of regulations concerning areas within its remit.</w:t>
      </w:r>
    </w:p>
    <w:p w14:paraId="5288A90D" w14:textId="77777777" w:rsidR="00EB7374" w:rsidRPr="00A35956" w:rsidRDefault="00EB7374" w:rsidP="00C80D98">
      <w:pPr>
        <w:pStyle w:val="BodyText"/>
      </w:pPr>
      <w:r>
        <w:t>The regulatory framework for the Dominican financial system does not require necessity tests or establish any other special conditions on the establishment of financial intermediaries, whether domestic or foreign, nor does it impose any definitive restrictions on the activities that may be undertaken. However, the Monetary Board may impose operational limitations on the newly formed entity for up to five years, if doing so is deemed essential to ensure compliance with prudential rules. To commence (or cease) local financial intermediation activities, domestic and foreign investors must submit an application for authorization to the Monetary Board, after first having the application assessed by the Banking Supervisory Authority.</w:t>
      </w:r>
      <w:r w:rsidRPr="00A35956">
        <w:rPr>
          <w:vertAlign w:val="superscript"/>
          <w:lang w:val="es-DO"/>
        </w:rPr>
        <w:footnoteReference w:id="485"/>
      </w:r>
    </w:p>
    <w:p w14:paraId="5FCA38AE" w14:textId="77777777" w:rsidR="00EB7374" w:rsidRPr="00C23180" w:rsidRDefault="00EB7374" w:rsidP="00C80D98">
      <w:pPr>
        <w:pStyle w:val="BodyText"/>
      </w:pPr>
      <w:r>
        <w:t>Foreign investors may, subject to authorization by the Monetary Board: (a) buy shares in full-service banks and credit institutions established in the Dominican Republic; (b) establish joint</w:t>
      </w:r>
      <w:r>
        <w:noBreakHyphen/>
        <w:t>stock financial intermediaries; (c) establish subsidiaries; and (d) open branches of banks established abroad.</w:t>
      </w:r>
      <w:r w:rsidRPr="00C23180">
        <w:rPr>
          <w:vertAlign w:val="superscript"/>
        </w:rPr>
        <w:footnoteReference w:id="486"/>
      </w:r>
      <w:r>
        <w:t xml:space="preserve"> As of June 2022, there were five financial institutions controlled by foreign capital: four subsidiaries and one branch of foreign banks. Foreign investors must comply with the requirements of the Monetary and Financial Law and its implementing regulations. As indicated above, to commence, merge or cease local financial intermediation activities, domestic and foreign investors must be authorized to do so by the Monetary Board, after first having their application assessed by the Banking Supervisory Authority.</w:t>
      </w:r>
      <w:r w:rsidRPr="00C23180">
        <w:rPr>
          <w:vertAlign w:val="superscript"/>
        </w:rPr>
        <w:footnoteReference w:id="487"/>
      </w:r>
      <w:r>
        <w:t xml:space="preserve"> The Banking Supervisory Authority forms its opinion on the basis of the documentation submitted by the applicant entity. In doing so, the Authority shall verify the following: (a) the consolidated equity of the applicant shareholders is greater than or equal to the minimum capital required to establish the institution; (b) the founding </w:t>
      </w:r>
      <w:r>
        <w:lastRenderedPageBreak/>
        <w:t>partners have proven prior experience in financial matters;</w:t>
      </w:r>
      <w:r w:rsidRPr="00A35956">
        <w:rPr>
          <w:vertAlign w:val="superscript"/>
        </w:rPr>
        <w:footnoteReference w:id="488"/>
      </w:r>
      <w:r>
        <w:t xml:space="preserve"> (c) the articles of association and constitutional documents required do not contain any pacts or provisions that are illegal or unfair, or that severely harm the rights of minority shareholders, or that excessively limit control over decisions; and (d) the requirements established by law and the Monetary Board regulations have been met.</w:t>
      </w:r>
    </w:p>
    <w:p w14:paraId="6BED46B2" w14:textId="77777777" w:rsidR="00EB7374" w:rsidRPr="00C23180" w:rsidRDefault="00EB7374" w:rsidP="00C80D98">
      <w:pPr>
        <w:pStyle w:val="BodyText"/>
      </w:pPr>
      <w:r>
        <w:t>The establishment of foreign-bank subsidiaries and branches are both permitted. To establish a branch, the parent company must be located in a country with which it is possible to sign a coordination and information exchange agreement and must be subject to consolidated supervision. For the purpose of ensuring compliance with the prudential rules, the Monetary Board may impose operational limitations. Institutions located abroad may offer technical, economic and financial advisory services for the purpose of linking domestic banking and financial activities with foreign entities through the establishment of representative offices that have been authorized by the Monetary Board. As of December 2021, there were eight representative offices of foreign financial entities established in the Dominican Republic.</w:t>
      </w:r>
    </w:p>
    <w:p w14:paraId="08BE128E" w14:textId="77777777" w:rsidR="00EB7374" w:rsidRDefault="00EB7374" w:rsidP="00C80D98">
      <w:pPr>
        <w:pStyle w:val="BodyText"/>
      </w:pPr>
      <w:r>
        <w:t>Under Dominican legislation, full-service banks are institutions that can take instant-access, demand or current-account deposits from the public and carry out all types of operations included in the general catalogue of activities established in the Law. Credit institutions are institutions that collect their deposits in the form of savings deposits and time deposits, subject to the provisions of the Monetary Board and the terms agreed between the parties. Such entities are not permitted to take demand deposits or current-account deposits. Credit institutions fall into two categories: savings and credit banks, and credit corporations. The Monetary Board is authorized to establish certain regulatory differences between the two types of credit institutions, provided that the difference in the minimum paid-up capital required for each type of institution is linked to the number and type of authorizable operations and the permissible risks. Such a distinction must not create prudential requirements that are less stringent than those that apply to full-service banks.</w:t>
      </w:r>
    </w:p>
    <w:p w14:paraId="7EDA76AC" w14:textId="77777777" w:rsidR="00EB7374" w:rsidRPr="00C23180" w:rsidRDefault="00EB7374" w:rsidP="00C80D98">
      <w:pPr>
        <w:pStyle w:val="BodyText"/>
      </w:pPr>
      <w:r>
        <w:t>Full-service banks and credit institutions must be legally constituted in the form of joint</w:t>
      </w:r>
      <w:r>
        <w:noBreakHyphen/>
        <w:t>stock companies whose sole corporate purpose is to engage in financial intermediation. Such institutions and their articles of association are registered with the Banking Supervisory Authority. The corporate names of the institutions must not include any term that may suggest that the institution benefits from state or public guarantee. The minimum paid-up capital for full-service banks and credit institutions is determined by the Monetary Board, in accordance with the relevant regulations, and must be no less than DOP 90 million for full-service banks, DOP 18 million for savings and credit banks and DOP 5 million for credit corporations, adjusted for inflation each year. The minimum paid</w:t>
      </w:r>
      <w:r>
        <w:noBreakHyphen/>
        <w:t xml:space="preserve">up capital is the same for all entities of the same type and is represented by registered common shares. The Monetary Board may allow preferred shares as part of the paid-up capital of these entities. Under no circumstances may preferred shareholders be given greater voting rights than common shareholders, or the right to receive early dividend </w:t>
      </w:r>
      <w:proofErr w:type="spellStart"/>
      <w:r>
        <w:t>payouts</w:t>
      </w:r>
      <w:proofErr w:type="spellEnd"/>
      <w:r>
        <w:t>, or the right to receive dividends that are not tied to annual results. The Banking Supervisory Authority must be notified when shares representing more than 3% of paid-up capital are acquired and when transactions are carried out that directly or indirectly determine control of more than 3% of the paid-up capital of a full</w:t>
      </w:r>
      <w:r>
        <w:noBreakHyphen/>
        <w:t>service bank or credit institution.</w:t>
      </w:r>
    </w:p>
    <w:p w14:paraId="1E07A151" w14:textId="77777777" w:rsidR="00EB7374" w:rsidRPr="00A35956" w:rsidRDefault="00EB7374" w:rsidP="00C80D98">
      <w:pPr>
        <w:pStyle w:val="BodyText"/>
      </w:pPr>
      <w:r>
        <w:t>The board of directors shall be composed of at least five natural persons. At least 40% of board members must be professionals with experience in finance or persons with proven experience in economics, finance or business. The Banking Supervisory Authority keeps a register of the board members and senior managers of these institutions.</w:t>
      </w:r>
    </w:p>
    <w:p w14:paraId="25C46B95" w14:textId="77777777" w:rsidR="00EB7374" w:rsidRPr="00A35956" w:rsidRDefault="00EB7374" w:rsidP="00C80D98">
      <w:pPr>
        <w:pStyle w:val="BodyText"/>
      </w:pPr>
      <w:r>
        <w:t xml:space="preserve">Foreign ownership through the purchase of shares in existing full-service banks and credit institutions by banks, financial institutions and natural persons must be authorized by the Monetary Board if the value of the purchase is greater than 30% of the paid-up capital of the institution in question. Authorization from the Monetary Board is also required for foreign investment through a subsidiary, or for foreign investment through the establishment of branches of banks that were </w:t>
      </w:r>
      <w:r>
        <w:lastRenderedPageBreak/>
        <w:t>created under the laws of another country. Foreign banks not domiciled in the Dominican territory may open representative offices, which may not engage in financial intermediation.</w:t>
      </w:r>
    </w:p>
    <w:p w14:paraId="7B5FEDB8" w14:textId="77777777" w:rsidR="00EB7374" w:rsidRPr="00C23180" w:rsidRDefault="00EB7374" w:rsidP="00C80D98">
      <w:pPr>
        <w:pStyle w:val="BodyText"/>
      </w:pPr>
      <w:r>
        <w:t>Full-service banks may engage in the following:(a) receiving demand deposits in national currency and savings and time deposits in national and foreign currency; (b) issuing securities; (c) receiving loans from financial institutions; (d) issuing bills, payment orders, and drafts against their own offices or agents; collecting and making payments; and making fund transfers; (e) granting loans in national and foreign currency, with or without real guarantees, and granting credit lines; (f) discounting bills of exchange, payment orders, promissory notes and other commercial documents representing methods of payment. Full-service banks may invest up to 20% of their paid-up capital in support and related services entities. Support entities are defined as entities engaged exclusively in collection, invoice discounting, leasing, ATM operations, credit card sign-up and processing, foreign exchange, electronic data processing, credit information centres and other, similar services. Related services entities consist of mutual fund managers and stock exchange offices. Such entities must not be financed in any way through the collection of deposits from the public. The Banking Supervisory Authority keeps a register of support and related services entities. Full-service banks may invest up to 10% of their paid-up capital in the capital of non</w:t>
      </w:r>
      <w:r>
        <w:noBreakHyphen/>
        <w:t>financial companies, provided that the investment does not constitute ownership of more than 10% of the paid-up capital of each non-financial company in which the investment is made. They may also invest up to 20% of their paid-up capital in opening branches, agencies or representative offices abroad, and may invest in shares of foreign financial institutions.</w:t>
      </w:r>
    </w:p>
    <w:p w14:paraId="2A2FADB2" w14:textId="77777777" w:rsidR="00EB7374" w:rsidRPr="00A35956" w:rsidRDefault="00EB7374" w:rsidP="00C80D98">
      <w:pPr>
        <w:pStyle w:val="BodyText"/>
      </w:pPr>
      <w:r>
        <w:t>All savings and time deposits collected and loans issued by savings and credit banks must be in national currency. These banks may take on debt obligations abroad and issue loans in foreign currency only if authorized to do so by the Monetary Board. Credit corporations may also receive time deposits and issue loans in national currency.</w:t>
      </w:r>
    </w:p>
    <w:p w14:paraId="02275744" w14:textId="77777777" w:rsidR="00EB7374" w:rsidRPr="00A35956" w:rsidRDefault="00EB7374" w:rsidP="00C80D98">
      <w:pPr>
        <w:pStyle w:val="BodyText"/>
      </w:pPr>
      <w:r>
        <w:t xml:space="preserve">Full-service banks as well as savings and credit banks must obtain prior authorization from the Monetary Board before they engage in the following operations: (a) selling credit portfolio and goods with a value exceeding 20% of the paid-up capital of the bank; (b) participating in securitization as an originator, </w:t>
      </w:r>
      <w:proofErr w:type="spellStart"/>
      <w:r>
        <w:t>securitizer</w:t>
      </w:r>
      <w:proofErr w:type="spellEnd"/>
      <w:r>
        <w:t xml:space="preserve"> or manager, or acquiring securities through the securitization of its portfolio or assets; (c) owning equity in support and related services entities and in financial institutions abroad and, in the case of full-service banks, opening representative offices abroad.</w:t>
      </w:r>
      <w:r w:rsidRPr="00A35956">
        <w:rPr>
          <w:vertAlign w:val="superscript"/>
        </w:rPr>
        <w:footnoteReference w:id="489"/>
      </w:r>
    </w:p>
    <w:p w14:paraId="3A4B77C3" w14:textId="77777777" w:rsidR="00EB7374" w:rsidRPr="00A35956" w:rsidRDefault="00EB7374" w:rsidP="00C80D98">
      <w:pPr>
        <w:pStyle w:val="BodyText"/>
      </w:pPr>
      <w:r>
        <w:t>Law No. 45-20 on Secured Transactions, established the legal framework for the secured transactions regime, the Electronic System for Secured Transactions, the enforcement processes related to security interests, and the unitary legal regime governing the creation of security interests, their effectiveness, their publicity, their prioritization, their enforcement, and all matters relating to such transactions. The Law allows security interests to be created through a security contract, through an agreement within a contract, through legal provisions, or by court order. A security interest may be created for: (1) one or several movable property; (2) generic categories of property; (3) movable real rights; (4) contractual rights; and (5) present or future property, whether already determined or to be determined, and whether tangible or intangible, or all of the secured debtor's movable property. Security interests may also be established for economic rights derived from intellectual property, the right to the payment of money by virtue of deposits, lines of credit and shareholder rights for stocks, shares and equity or part-ownership of the capital of partnerships or corporations. Debt obligations may be secured irrespective of whether they are present or future. Transactions may be secured with or without possession of the good.</w:t>
      </w:r>
      <w:r w:rsidRPr="00A35956">
        <w:rPr>
          <w:vertAlign w:val="superscript"/>
        </w:rPr>
        <w:footnoteReference w:id="490"/>
      </w:r>
    </w:p>
    <w:p w14:paraId="7C3E462F" w14:textId="77777777" w:rsidR="00EB7374" w:rsidRPr="00A35956" w:rsidRDefault="00EB7374" w:rsidP="00C80D98">
      <w:pPr>
        <w:pStyle w:val="BodyText"/>
      </w:pPr>
      <w:r>
        <w:t>Foreign-owned financial institutions may offer the same services as their domestic counterparts and must observe the same operating regulations and prudential rules.</w:t>
      </w:r>
      <w:r w:rsidRPr="00C23180">
        <w:rPr>
          <w:vertAlign w:val="superscript"/>
        </w:rPr>
        <w:footnoteReference w:id="491"/>
      </w:r>
      <w:r>
        <w:t xml:space="preserve"> The minimum paid-up capital is DOP 275 million (USD 4.8 million) to establish a full-service bank, DOP 55 million (USD 1 million) for a savings and credit bank, DOP 15 million (USD 262,000) for a credit corporation and DOP 17 million (USD 297,000) for a savings and loan association.</w:t>
      </w:r>
      <w:r w:rsidRPr="00C23180">
        <w:rPr>
          <w:vertAlign w:val="superscript"/>
        </w:rPr>
        <w:footnoteReference w:id="492"/>
      </w:r>
      <w:r>
        <w:t xml:space="preserve"> </w:t>
      </w:r>
      <w:r>
        <w:lastRenderedPageBreak/>
        <w:t>Moreover, under Monetary and Financial Law No. 183-02, full-service banks may invest up to 20% of their paid-up capital in support and related services entities and up to 10% in non-financial enterprises. Under the prudential rules, full-service banks and credit institutions must maintain a solvency ratio of no less than 10% and are subject to the legal reserve requirements established by the Monetary Board.</w:t>
      </w:r>
      <w:r w:rsidRPr="00A35956">
        <w:rPr>
          <w:vertAlign w:val="superscript"/>
        </w:rPr>
        <w:footnoteReference w:id="493"/>
      </w:r>
    </w:p>
    <w:p w14:paraId="7C1781D1" w14:textId="77777777" w:rsidR="00EB7374" w:rsidRPr="00C23180" w:rsidRDefault="00EB7374" w:rsidP="00C80D98">
      <w:pPr>
        <w:pStyle w:val="BodyText"/>
      </w:pPr>
      <w:r>
        <w:t>Bank deposits in the Dominican Republic are guaranteed from the Contingency Fund for up to DOP 1.86 million per depositor, provided that the total amount used from the Fund does not exceed 30% of the preferred debt obligations of the financial intermediary being dissolved.</w:t>
      </w:r>
      <w:r w:rsidRPr="00C23180">
        <w:rPr>
          <w:vertAlign w:val="superscript"/>
        </w:rPr>
        <w:footnoteReference w:id="494"/>
      </w:r>
      <w:r>
        <w:t xml:space="preserve"> If this percentage is reached, the amount to be paid per depositor could be lower.</w:t>
      </w:r>
    </w:p>
    <w:p w14:paraId="2CDC1BCC" w14:textId="77777777" w:rsidR="00EB7374" w:rsidRPr="00C23180" w:rsidRDefault="00EB7374" w:rsidP="00C80D98">
      <w:pPr>
        <w:pStyle w:val="BodyText"/>
      </w:pPr>
      <w:r>
        <w:t>To manage the risks to which financial intermediaries are exposed, criteria and basic guidelines were drawn up for maintaining adequate comprehensive risk management based on the nature, size, complexity, profile and systemic significance of the risk.</w:t>
      </w:r>
      <w:r w:rsidRPr="00C23180">
        <w:rPr>
          <w:vertAlign w:val="superscript"/>
        </w:rPr>
        <w:footnoteReference w:id="495"/>
      </w:r>
      <w:r>
        <w:t xml:space="preserve"> In addition, to promote policies that channel credit to all economic sectors and to promote financial inclusion, the Monetary Board approved the comprehensive amendment to the Asset Valuation Regulations (REA) on 28 September 2017. The amendment broadened the scope of category-D debt risks, introduced a mandatory minimum coverage ratio of 100% and established new percentages for the mitigation of provisions for eligible securities, among other measures. On 18 November 2021, Articles 63 and 66 were also amended to make the shares of listed companies eligible as securities. Finally, the Dominican Republic approved the comprehensive amendment to the Microcredit Regulation, the purpose of which was to update the regulatory framework for granting, assessing and managing microcredits in accordance with the provisions of the REA.</w:t>
      </w:r>
      <w:r w:rsidRPr="00A35956">
        <w:rPr>
          <w:vertAlign w:val="superscript"/>
        </w:rPr>
        <w:footnoteReference w:id="496"/>
      </w:r>
    </w:p>
    <w:p w14:paraId="1323381B" w14:textId="77777777" w:rsidR="00EB7374" w:rsidRPr="00A35956" w:rsidRDefault="00EB7374" w:rsidP="00C80D98">
      <w:pPr>
        <w:pStyle w:val="BodyText"/>
      </w:pPr>
      <w:r>
        <w:t>To preserve financial and foreign exchange stability, the Foreign Exchange Regulation was amended to establish new macroprudential limits in terms of the net foreign currency position of financial and foreign exchange intermediaries. The following were established: a daily limit of 40% of the paid-up capital and legal reserves for the short position, and a daily limit of 50% of the paid</w:t>
      </w:r>
      <w:r>
        <w:noBreakHyphen/>
        <w:t>up capital and legal reserves for the long position. It was also stipulated that intermediaries must not have daily increases in their position that, averaged over five consecutive working days, exceed USD 10 million or 25% of the paid-up capital or legal reserves, whichever is the lesser. In addition, provisions were established stipulating the role of the Central Bank and the Banking Supervisory Authority on the Electronic Currency Trading Platform. These regulatory changes are intended to create a more competitive foreign exchange market by making foreign exchange transactions more transparent and more efficient.</w:t>
      </w:r>
      <w:r>
        <w:rPr>
          <w:rStyle w:val="FootnoteReference"/>
        </w:rPr>
        <w:footnoteReference w:id="497"/>
      </w:r>
    </w:p>
    <w:p w14:paraId="492C12DD" w14:textId="77777777" w:rsidR="00EB7374" w:rsidRPr="00C23180" w:rsidRDefault="00EB7374" w:rsidP="00C80D98">
      <w:pPr>
        <w:pStyle w:val="BodyText"/>
      </w:pPr>
      <w:r>
        <w:t>Measures were also adopted to promote the financing of the mortgage sector. A procedure was established for financial intermediaries that decide to sell a portion of their mortgage portfolios, to manage credit portfolios or to acquire securities generated through the securitization of mortgage portfolios. Intermediaries that submit sale applications must be authorized by the Monetary Board, the mortgage loans must be A-rated or B-rated and the loans must be equivalent to at least 80% of the mortgage guarantee.</w:t>
      </w:r>
      <w:r w:rsidRPr="00C23180">
        <w:rPr>
          <w:vertAlign w:val="superscript"/>
        </w:rPr>
        <w:footnoteReference w:id="498"/>
      </w:r>
      <w:r>
        <w:t xml:space="preserve"> In addition, a process was created for full-service banks, savings and credit banks, and savings and loan associations to issue mortgage securities and instruments, known as </w:t>
      </w:r>
      <w:proofErr w:type="spellStart"/>
      <w:r>
        <w:rPr>
          <w:i/>
          <w:iCs/>
        </w:rPr>
        <w:t>letras</w:t>
      </w:r>
      <w:proofErr w:type="spellEnd"/>
      <w:r>
        <w:rPr>
          <w:i/>
          <w:iCs/>
        </w:rPr>
        <w:t xml:space="preserve"> </w:t>
      </w:r>
      <w:proofErr w:type="spellStart"/>
      <w:r>
        <w:rPr>
          <w:i/>
          <w:iCs/>
        </w:rPr>
        <w:t>hipotecarias</w:t>
      </w:r>
      <w:proofErr w:type="spellEnd"/>
      <w:r>
        <w:t>.</w:t>
      </w:r>
      <w:r w:rsidRPr="002915C4">
        <w:rPr>
          <w:vertAlign w:val="superscript"/>
        </w:rPr>
        <w:footnoteReference w:id="499"/>
      </w:r>
    </w:p>
    <w:p w14:paraId="3ADC84D2" w14:textId="77777777" w:rsidR="00EB7374" w:rsidRPr="00A35956" w:rsidRDefault="00EB7374" w:rsidP="00C80D98">
      <w:pPr>
        <w:pStyle w:val="BodyText"/>
      </w:pPr>
      <w:r>
        <w:t xml:space="preserve">Among other improvements, the regulatory framework for external audit firms was updated to improve the processes, requirements and duties that these institutions must fulfil to register with </w:t>
      </w:r>
      <w:r>
        <w:lastRenderedPageBreak/>
        <w:t>the Banking Supervisory Authority and to be hired by financial and foreign exchange intermediaries.</w:t>
      </w:r>
      <w:r w:rsidRPr="00C23180">
        <w:rPr>
          <w:vertAlign w:val="superscript"/>
        </w:rPr>
        <w:footnoteReference w:id="500"/>
      </w:r>
      <w:r>
        <w:t xml:space="preserve"> A mechanism was also established to liquidate entities that voluntarily decide to exit the financial system, the purpose of which was to reduce the costs associated with an disorderly market exit.</w:t>
      </w:r>
      <w:r w:rsidRPr="002D4504">
        <w:rPr>
          <w:rFonts w:asciiTheme="minorHAnsi" w:hAnsiTheme="minorHAnsi"/>
          <w:szCs w:val="18"/>
          <w:vertAlign w:val="superscript"/>
        </w:rPr>
        <w:footnoteReference w:id="501"/>
      </w:r>
    </w:p>
    <w:p w14:paraId="38E052A4" w14:textId="77777777" w:rsidR="00EB7374" w:rsidRPr="00A35956" w:rsidRDefault="00EB7374" w:rsidP="00C80D98">
      <w:pPr>
        <w:pStyle w:val="BodyText"/>
      </w:pPr>
      <w:r>
        <w:t>To make transactions more secure, the Monetary Board approved the Cyber- and Information Security Regulations on 1 November 2018. The Regulations set out new guidelines on managing cyber risk and preventing financial services from being interrupted by cyberattacks and cybercrime. The Regulations are intended to make financial infrastructure feel safe and trustworthy for its users. The procedures applicable to the System of Payments and Settlement of Securities of the Dominican Republic (</w:t>
      </w:r>
      <w:proofErr w:type="spellStart"/>
      <w:r>
        <w:t>SIPARD</w:t>
      </w:r>
      <w:proofErr w:type="spellEnd"/>
      <w:r>
        <w:t>) have also been strengthened, largely thanks to the emergence of new market players, in line with the global trend regarding payment systems.</w:t>
      </w:r>
      <w:r w:rsidRPr="00A35956">
        <w:rPr>
          <w:vertAlign w:val="superscript"/>
        </w:rPr>
        <w:footnoteReference w:id="502"/>
      </w:r>
    </w:p>
    <w:p w14:paraId="10CF3C11" w14:textId="77777777" w:rsidR="00EB7374" w:rsidRPr="00C23180" w:rsidRDefault="00EB7374" w:rsidP="00C80D98">
      <w:pPr>
        <w:pStyle w:val="BodyText"/>
      </w:pPr>
      <w:r>
        <w:t>Law No. 122-21 of 22 June 2021, which repealed Law No. 126-15 of the National Export Bank (</w:t>
      </w:r>
      <w:proofErr w:type="spellStart"/>
      <w:r>
        <w:t>BANDEX</w:t>
      </w:r>
      <w:proofErr w:type="spellEnd"/>
      <w:r>
        <w:t xml:space="preserve">), stipulated that, in addition to financing the export sector, </w:t>
      </w:r>
      <w:proofErr w:type="spellStart"/>
      <w:r>
        <w:t>BANDEX</w:t>
      </w:r>
      <w:proofErr w:type="spellEnd"/>
      <w:r>
        <w:t xml:space="preserve"> can channel resources to the production sectors and can operate as a first- and-second tier bank. The Bank is currently 100% public-owned, but ownership is also open to private investors. Similarly, the Reserve Bank, which was established by Law No. 586 of 24 October 1941 and amendments thereto, is an autonomous state entity, vested with legal personality and authorized to enter into contracts and sue on its own behalf and in its own right. As of the end of December 2021 it ranked first among Dominican full-service banks, concentrating 32.6% of total financial system assets. The Reserve Bank is authorized to engage in all activities permitted for full-service banks, subject to the regulatory framework established for the financial system, and thus provides services similar to those provided by private full-service banks. Moreover, the Reserve Bank receives all the deposits of public-sector institutions and pays all cheques and other payment orders issued by the Government.</w:t>
      </w:r>
      <w:bookmarkStart w:id="363" w:name="_Toc114735780"/>
    </w:p>
    <w:p w14:paraId="79400D86" w14:textId="77777777" w:rsidR="00EB7374" w:rsidRPr="00A35956" w:rsidRDefault="00EB7374" w:rsidP="00C80D98">
      <w:pPr>
        <w:pStyle w:val="Heading5"/>
      </w:pPr>
      <w:bookmarkStart w:id="364" w:name="_Toc117260661"/>
      <w:r>
        <w:t>International financial zone regime</w:t>
      </w:r>
      <w:bookmarkEnd w:id="363"/>
      <w:bookmarkEnd w:id="364"/>
    </w:p>
    <w:p w14:paraId="2953B41C" w14:textId="77777777" w:rsidR="00EB7374" w:rsidRPr="00A35956" w:rsidRDefault="00EB7374" w:rsidP="00C80D98">
      <w:pPr>
        <w:pStyle w:val="BodyText"/>
      </w:pPr>
      <w:r>
        <w:t>Law No. 480-08 of 11 December 2008 created the legal regime for the establishment of international financial zones (</w:t>
      </w:r>
      <w:proofErr w:type="spellStart"/>
      <w:r>
        <w:t>ZFI</w:t>
      </w:r>
      <w:proofErr w:type="spellEnd"/>
      <w:r>
        <w:t xml:space="preserve">) throughout Dominican territory. </w:t>
      </w:r>
      <w:r w:rsidRPr="00411878">
        <w:t>The Law was subsequently repealed by Law No. 155-17 of 1 June 2017 on money laundering and the financing of terrorism, which aims to define: the actions that constitute money laundering and the financing of terrorism; offences and applicable criminal penalties and precautionary measures;</w:t>
      </w:r>
      <w:r>
        <w:t xml:space="preserve"> the regime for preventing and detecting such actions and for preventing and detecting the financing of the proliferation of weapons of mass destruction; the institutional framework to prevent the national economic system being used in the aforementioned offences; and special research techniques, international cooperation mechanisms and international legal assistance mechanisms in the area of money laundering and the financing of terrorism. </w:t>
      </w:r>
      <w:bookmarkStart w:id="365" w:name="_Hlk106808090"/>
      <w:r>
        <w:t>Law No. 155-17</w:t>
      </w:r>
      <w:bookmarkEnd w:id="365"/>
      <w:r>
        <w:t xml:space="preserve"> defines the scope of criminal offences. It also includes provisions on the following, which apply to financial and non-financial obligated persons: special investigation techniques for money laundering and the financing of terrorism; international cooperation; precautionary measures on goods; the seizure of goods and their purpose; and matters concerning third persons acting in good faith.</w:t>
      </w:r>
      <w:r w:rsidRPr="00A35956">
        <w:rPr>
          <w:vertAlign w:val="superscript"/>
        </w:rPr>
        <w:footnoteReference w:id="503"/>
      </w:r>
    </w:p>
    <w:p w14:paraId="0B315557" w14:textId="77777777" w:rsidR="00EB7374" w:rsidRPr="00C23180" w:rsidRDefault="00EB7374" w:rsidP="00C80D98">
      <w:pPr>
        <w:pStyle w:val="BodyText"/>
      </w:pPr>
      <w:r>
        <w:t xml:space="preserve">Law No. 155-17 abolished </w:t>
      </w:r>
      <w:proofErr w:type="spellStart"/>
      <w:r>
        <w:t>ZFIs</w:t>
      </w:r>
      <w:proofErr w:type="spellEnd"/>
      <w:r>
        <w:t xml:space="preserve">, which required the authorization of the Executive and were subject to a favourable report by the National Financial Zones Council. Operators and users of </w:t>
      </w:r>
      <w:proofErr w:type="spellStart"/>
      <w:r>
        <w:t>ZFIs</w:t>
      </w:r>
      <w:proofErr w:type="spellEnd"/>
      <w:r>
        <w:t xml:space="preserve"> needed to hold a licence issued by the Council. The operator had to be a legal person with authorized domicile in the Dominican Republic and at least DOP 100,000 in equity capital. </w:t>
      </w:r>
      <w:proofErr w:type="spellStart"/>
      <w:r>
        <w:t>ZFI</w:t>
      </w:r>
      <w:proofErr w:type="spellEnd"/>
      <w:r>
        <w:t xml:space="preserve"> users were required to provide services only to customers not established in the Dominican Republic and were prohibited from providing services other than financial services and other related activities or supporting services. </w:t>
      </w:r>
      <w:proofErr w:type="spellStart"/>
      <w:r>
        <w:t>ZFI</w:t>
      </w:r>
      <w:proofErr w:type="spellEnd"/>
      <w:r>
        <w:t xml:space="preserve"> operators and users benefited from: (a) a total exemption, for a period of </w:t>
      </w:r>
      <w:r>
        <w:lastRenderedPageBreak/>
        <w:t>30 years, from various taxes, such as the telecommunications development tax and the Selective Consumption Tax (</w:t>
      </w:r>
      <w:proofErr w:type="spellStart"/>
      <w:r>
        <w:t>ISC</w:t>
      </w:r>
      <w:proofErr w:type="spellEnd"/>
      <w:r>
        <w:t>) on telecommunications, (b) an exemption from additional levies or taxes on prices of energy and contracted power, (c) the tax-free purchase of fuel, and (d) the possibility of repatriating their capital and the profits derived from their operations free of taxes and charges and in freely convertible currency.</w:t>
      </w:r>
      <w:bookmarkStart w:id="366" w:name="_Toc417038545"/>
      <w:bookmarkStart w:id="367" w:name="_Toc114735781"/>
    </w:p>
    <w:p w14:paraId="7EA3A2CC" w14:textId="77777777" w:rsidR="00EB7374" w:rsidRDefault="00EB7374" w:rsidP="00C80D98">
      <w:pPr>
        <w:pStyle w:val="Heading4"/>
      </w:pPr>
      <w:bookmarkStart w:id="368" w:name="_Toc117260662"/>
      <w:bookmarkEnd w:id="366"/>
      <w:bookmarkEnd w:id="367"/>
      <w:r>
        <w:t>Insurance</w:t>
      </w:r>
      <w:bookmarkEnd w:id="368"/>
    </w:p>
    <w:p w14:paraId="66A97527" w14:textId="216B6997" w:rsidR="00EB7374" w:rsidRPr="00A35956" w:rsidRDefault="00EB7374" w:rsidP="00C80D98">
      <w:pPr>
        <w:pStyle w:val="BodyText"/>
      </w:pPr>
      <w:r>
        <w:t>In December 2020 the insurance market consisted mainly of 33 companies, of which 23 were Dominican and 10 foreign</w:t>
      </w:r>
      <w:r>
        <w:noBreakHyphen/>
        <w:t>owned. There were also two reinsurance companies. The sector is still highly concentrated, with the top six insurers controlling 80% of the assets and premiums paid. Between 2015 and 2020 the combined assets of the insurance companies rose by DOP 44.2 billion, to DOP 91.1 billion, equivalent to nominal growth of 94.1% (Table 4.11), while net premiums grew by DOP 36.6 billion, a nominal growth rate of over 100%. As a result insurance companies</w:t>
      </w:r>
      <w:r w:rsidR="00FE5A32">
        <w:t>'</w:t>
      </w:r>
      <w:r>
        <w:t xml:space="preserve"> share in the economy rose to more than 1.6% of GDP. The average share of net premiums accounted for by general insurance premiums between 2015 and 2020 remained steady at around 84%. </w:t>
      </w:r>
    </w:p>
    <w:p w14:paraId="0E003B8D" w14:textId="77777777" w:rsidR="00EB7374" w:rsidRPr="00A35956" w:rsidRDefault="00EB7374" w:rsidP="002E1080">
      <w:pPr>
        <w:pStyle w:val="Caption"/>
        <w:rPr>
          <w:b w:val="0"/>
          <w:bCs w:val="0"/>
        </w:rPr>
      </w:pPr>
      <w:bookmarkStart w:id="369" w:name="_Toc114735847"/>
      <w:bookmarkStart w:id="370" w:name="_Toc417038642"/>
      <w:bookmarkStart w:id="371" w:name="_Toc117238065"/>
      <w:r>
        <w:t xml:space="preserve">Table </w:t>
      </w:r>
      <w:r w:rsidR="00BD37F2">
        <w:fldChar w:fldCharType="begin"/>
      </w:r>
      <w:r w:rsidR="00BD37F2">
        <w:instrText xml:space="preserve"> STYLEREF 1 \s </w:instrText>
      </w:r>
      <w:r w:rsidR="00BD37F2">
        <w:fldChar w:fldCharType="separate"/>
      </w:r>
      <w:r>
        <w:rPr>
          <w:noProof/>
        </w:rPr>
        <w:t>4</w:t>
      </w:r>
      <w:r w:rsidR="00BD37F2">
        <w:rPr>
          <w:noProof/>
        </w:rPr>
        <w:fldChar w:fldCharType="end"/>
      </w:r>
      <w:r>
        <w:t>.</w:t>
      </w:r>
      <w:r w:rsidR="00BD37F2">
        <w:fldChar w:fldCharType="begin"/>
      </w:r>
      <w:r w:rsidR="00BD37F2">
        <w:instrText xml:space="preserve"> SEQ Table \* ARABIC \s 1 </w:instrText>
      </w:r>
      <w:r w:rsidR="00BD37F2">
        <w:fldChar w:fldCharType="separate"/>
      </w:r>
      <w:r>
        <w:rPr>
          <w:noProof/>
        </w:rPr>
        <w:t>11</w:t>
      </w:r>
      <w:r w:rsidR="00BD37F2">
        <w:rPr>
          <w:noProof/>
        </w:rPr>
        <w:fldChar w:fldCharType="end"/>
      </w:r>
      <w:r>
        <w:t xml:space="preserve"> Insurance and reinsurance market indicators, 2015-20</w:t>
      </w:r>
      <w:bookmarkEnd w:id="369"/>
      <w:bookmarkEnd w:id="370"/>
      <w:bookmarkEnd w:id="371"/>
    </w:p>
    <w:p w14:paraId="39F956A8" w14:textId="77777777" w:rsidR="00EB7374" w:rsidRPr="00173159" w:rsidRDefault="00EB7374" w:rsidP="002E1080">
      <w:pPr>
        <w:pStyle w:val="NoteText"/>
      </w:pPr>
      <w:r>
        <w:t>(DOP billion, unless otherwise indicated)</w:t>
      </w:r>
    </w:p>
    <w:tbl>
      <w:tblPr>
        <w:tblStyle w:val="WTOTable1"/>
        <w:tblW w:w="5000" w:type="pct"/>
        <w:tblLook w:val="04A0" w:firstRow="1" w:lastRow="0" w:firstColumn="1" w:lastColumn="0" w:noHBand="0" w:noVBand="1"/>
      </w:tblPr>
      <w:tblGrid>
        <w:gridCol w:w="3158"/>
        <w:gridCol w:w="978"/>
        <w:gridCol w:w="977"/>
        <w:gridCol w:w="977"/>
        <w:gridCol w:w="977"/>
        <w:gridCol w:w="977"/>
        <w:gridCol w:w="972"/>
      </w:tblGrid>
      <w:tr w:rsidR="00EB7374" w:rsidRPr="006E6EEB" w14:paraId="7EF77AD8" w14:textId="77777777" w:rsidTr="0098156B">
        <w:trPr>
          <w:cnfStyle w:val="100000000000" w:firstRow="1" w:lastRow="0" w:firstColumn="0" w:lastColumn="0" w:oddVBand="0" w:evenVBand="0" w:oddHBand="0" w:evenHBand="0" w:firstRowFirstColumn="0" w:firstRowLastColumn="0" w:lastRowFirstColumn="0" w:lastRowLastColumn="0"/>
          <w:trHeight w:val="113"/>
          <w:tblHeader/>
        </w:trPr>
        <w:tc>
          <w:tcPr>
            <w:tcW w:w="1751" w:type="pct"/>
            <w:noWrap/>
            <w:hideMark/>
          </w:tcPr>
          <w:p w14:paraId="2D7E3AFB" w14:textId="77777777" w:rsidR="00EB7374" w:rsidRPr="006E6EEB" w:rsidRDefault="00EB7374" w:rsidP="0098156B">
            <w:pPr>
              <w:tabs>
                <w:tab w:val="left" w:pos="851"/>
              </w:tabs>
              <w:ind w:left="851" w:hanging="851"/>
              <w:jc w:val="left"/>
              <w:rPr>
                <w:rFonts w:eastAsia="Verdana"/>
                <w:sz w:val="15"/>
                <w:szCs w:val="15"/>
              </w:rPr>
            </w:pPr>
            <w:r>
              <w:rPr>
                <w:rFonts w:eastAsia="Verdana"/>
                <w:bCs/>
                <w:sz w:val="15"/>
                <w:szCs w:val="15"/>
              </w:rPr>
              <w:t>(Billion)</w:t>
            </w:r>
          </w:p>
        </w:tc>
        <w:tc>
          <w:tcPr>
            <w:tcW w:w="542" w:type="pct"/>
            <w:noWrap/>
            <w:hideMark/>
          </w:tcPr>
          <w:p w14:paraId="5EA981C1" w14:textId="77777777" w:rsidR="00EB7374" w:rsidRPr="006E6EEB" w:rsidRDefault="00EB7374" w:rsidP="0098156B">
            <w:pPr>
              <w:tabs>
                <w:tab w:val="left" w:pos="851"/>
              </w:tabs>
              <w:ind w:left="851" w:hanging="851"/>
              <w:jc w:val="right"/>
              <w:rPr>
                <w:rFonts w:eastAsia="Verdana"/>
                <w:sz w:val="15"/>
                <w:szCs w:val="15"/>
              </w:rPr>
            </w:pPr>
            <w:r>
              <w:rPr>
                <w:rFonts w:eastAsia="Verdana"/>
                <w:bCs/>
                <w:sz w:val="15"/>
                <w:szCs w:val="15"/>
              </w:rPr>
              <w:t>2015</w:t>
            </w:r>
          </w:p>
        </w:tc>
        <w:tc>
          <w:tcPr>
            <w:tcW w:w="542" w:type="pct"/>
            <w:noWrap/>
            <w:hideMark/>
          </w:tcPr>
          <w:p w14:paraId="27E3A966" w14:textId="77777777" w:rsidR="00EB7374" w:rsidRPr="006E6EEB" w:rsidRDefault="00EB7374" w:rsidP="0098156B">
            <w:pPr>
              <w:tabs>
                <w:tab w:val="left" w:pos="851"/>
              </w:tabs>
              <w:ind w:left="851" w:hanging="851"/>
              <w:jc w:val="right"/>
              <w:rPr>
                <w:rFonts w:eastAsia="Verdana"/>
                <w:sz w:val="15"/>
                <w:szCs w:val="15"/>
              </w:rPr>
            </w:pPr>
            <w:r>
              <w:rPr>
                <w:rFonts w:eastAsia="Verdana"/>
                <w:bCs/>
                <w:sz w:val="15"/>
                <w:szCs w:val="15"/>
              </w:rPr>
              <w:t>2016</w:t>
            </w:r>
          </w:p>
        </w:tc>
        <w:tc>
          <w:tcPr>
            <w:tcW w:w="542" w:type="pct"/>
            <w:noWrap/>
            <w:hideMark/>
          </w:tcPr>
          <w:p w14:paraId="63E67130" w14:textId="77777777" w:rsidR="00EB7374" w:rsidRPr="006E6EEB" w:rsidRDefault="00EB7374" w:rsidP="0098156B">
            <w:pPr>
              <w:tabs>
                <w:tab w:val="left" w:pos="851"/>
              </w:tabs>
              <w:ind w:left="851" w:hanging="851"/>
              <w:jc w:val="right"/>
              <w:rPr>
                <w:rFonts w:eastAsia="Verdana"/>
                <w:sz w:val="15"/>
                <w:szCs w:val="15"/>
              </w:rPr>
            </w:pPr>
            <w:r>
              <w:rPr>
                <w:rFonts w:eastAsia="Verdana"/>
                <w:bCs/>
                <w:sz w:val="15"/>
                <w:szCs w:val="15"/>
              </w:rPr>
              <w:t>2017</w:t>
            </w:r>
          </w:p>
        </w:tc>
        <w:tc>
          <w:tcPr>
            <w:tcW w:w="542" w:type="pct"/>
            <w:noWrap/>
            <w:hideMark/>
          </w:tcPr>
          <w:p w14:paraId="1A91350D" w14:textId="77777777" w:rsidR="00EB7374" w:rsidRPr="006E6EEB" w:rsidRDefault="00EB7374" w:rsidP="0098156B">
            <w:pPr>
              <w:tabs>
                <w:tab w:val="left" w:pos="851"/>
              </w:tabs>
              <w:ind w:left="851" w:hanging="851"/>
              <w:jc w:val="right"/>
              <w:rPr>
                <w:rFonts w:eastAsia="Verdana"/>
                <w:sz w:val="15"/>
                <w:szCs w:val="15"/>
              </w:rPr>
            </w:pPr>
            <w:r>
              <w:rPr>
                <w:rFonts w:eastAsia="Verdana"/>
                <w:bCs/>
                <w:sz w:val="15"/>
                <w:szCs w:val="15"/>
              </w:rPr>
              <w:t>2018</w:t>
            </w:r>
          </w:p>
        </w:tc>
        <w:tc>
          <w:tcPr>
            <w:tcW w:w="542" w:type="pct"/>
            <w:noWrap/>
            <w:hideMark/>
          </w:tcPr>
          <w:p w14:paraId="4FACFBCE" w14:textId="77777777" w:rsidR="00EB7374" w:rsidRPr="006E6EEB" w:rsidRDefault="00EB7374" w:rsidP="0098156B">
            <w:pPr>
              <w:tabs>
                <w:tab w:val="left" w:pos="851"/>
              </w:tabs>
              <w:ind w:left="851" w:hanging="851"/>
              <w:jc w:val="right"/>
              <w:rPr>
                <w:rFonts w:eastAsia="Verdana"/>
                <w:sz w:val="15"/>
                <w:szCs w:val="15"/>
              </w:rPr>
            </w:pPr>
            <w:r>
              <w:rPr>
                <w:rFonts w:eastAsia="Verdana"/>
                <w:bCs/>
                <w:sz w:val="15"/>
                <w:szCs w:val="15"/>
              </w:rPr>
              <w:t>2019</w:t>
            </w:r>
          </w:p>
        </w:tc>
        <w:tc>
          <w:tcPr>
            <w:tcW w:w="540" w:type="pct"/>
            <w:noWrap/>
            <w:hideMark/>
          </w:tcPr>
          <w:p w14:paraId="3A44DDA3" w14:textId="77777777" w:rsidR="00EB7374" w:rsidRPr="006E6EEB" w:rsidRDefault="00EB7374" w:rsidP="0098156B">
            <w:pPr>
              <w:tabs>
                <w:tab w:val="left" w:pos="851"/>
              </w:tabs>
              <w:ind w:left="851" w:hanging="851"/>
              <w:jc w:val="right"/>
              <w:rPr>
                <w:rFonts w:eastAsia="Verdana"/>
                <w:sz w:val="15"/>
                <w:szCs w:val="15"/>
              </w:rPr>
            </w:pPr>
            <w:r>
              <w:rPr>
                <w:rFonts w:eastAsia="Verdana"/>
                <w:bCs/>
                <w:sz w:val="15"/>
                <w:szCs w:val="15"/>
              </w:rPr>
              <w:t>2020</w:t>
            </w:r>
          </w:p>
        </w:tc>
      </w:tr>
      <w:tr w:rsidR="00EB7374" w:rsidRPr="006E6EEB" w14:paraId="4B87C7E9" w14:textId="77777777" w:rsidTr="0098156B">
        <w:trPr>
          <w:trHeight w:val="113"/>
        </w:trPr>
        <w:tc>
          <w:tcPr>
            <w:tcW w:w="1751" w:type="pct"/>
            <w:noWrap/>
            <w:hideMark/>
          </w:tcPr>
          <w:p w14:paraId="7730BF5B" w14:textId="77777777" w:rsidR="00EB7374" w:rsidRPr="006E6EEB" w:rsidRDefault="00EB7374" w:rsidP="0098156B">
            <w:pPr>
              <w:tabs>
                <w:tab w:val="left" w:pos="851"/>
              </w:tabs>
              <w:ind w:left="851" w:hanging="851"/>
              <w:jc w:val="left"/>
              <w:rPr>
                <w:rFonts w:eastAsia="Verdana"/>
                <w:b/>
                <w:bCs/>
                <w:sz w:val="15"/>
                <w:szCs w:val="15"/>
              </w:rPr>
            </w:pPr>
            <w:r>
              <w:rPr>
                <w:rFonts w:eastAsia="Verdana"/>
                <w:b/>
                <w:bCs/>
                <w:sz w:val="15"/>
                <w:szCs w:val="15"/>
              </w:rPr>
              <w:t>Assets</w:t>
            </w:r>
          </w:p>
        </w:tc>
        <w:tc>
          <w:tcPr>
            <w:tcW w:w="542" w:type="pct"/>
            <w:noWrap/>
            <w:hideMark/>
          </w:tcPr>
          <w:p w14:paraId="2429EEE3" w14:textId="77777777" w:rsidR="00EB7374" w:rsidRPr="0091453B" w:rsidRDefault="00EB7374" w:rsidP="0098156B">
            <w:pPr>
              <w:tabs>
                <w:tab w:val="left" w:pos="851"/>
              </w:tabs>
              <w:ind w:left="851" w:hanging="851"/>
              <w:jc w:val="right"/>
              <w:rPr>
                <w:rFonts w:eastAsia="Verdana"/>
                <w:b/>
                <w:bCs/>
                <w:sz w:val="15"/>
                <w:szCs w:val="15"/>
              </w:rPr>
            </w:pPr>
            <w:r w:rsidRPr="0091453B">
              <w:rPr>
                <w:rFonts w:eastAsia="Verdana"/>
                <w:b/>
                <w:sz w:val="15"/>
                <w:szCs w:val="15"/>
              </w:rPr>
              <w:t>46.9</w:t>
            </w:r>
          </w:p>
        </w:tc>
        <w:tc>
          <w:tcPr>
            <w:tcW w:w="542" w:type="pct"/>
            <w:noWrap/>
            <w:hideMark/>
          </w:tcPr>
          <w:p w14:paraId="77BE326F" w14:textId="77777777" w:rsidR="00EB7374" w:rsidRPr="0091453B" w:rsidRDefault="00EB7374" w:rsidP="0098156B">
            <w:pPr>
              <w:tabs>
                <w:tab w:val="left" w:pos="851"/>
              </w:tabs>
              <w:ind w:left="851" w:hanging="851"/>
              <w:jc w:val="right"/>
              <w:rPr>
                <w:rFonts w:eastAsia="Verdana"/>
                <w:b/>
                <w:bCs/>
                <w:sz w:val="15"/>
                <w:szCs w:val="15"/>
              </w:rPr>
            </w:pPr>
            <w:r w:rsidRPr="0091453B">
              <w:rPr>
                <w:rFonts w:eastAsia="Verdana"/>
                <w:b/>
                <w:sz w:val="15"/>
                <w:szCs w:val="15"/>
              </w:rPr>
              <w:t>52.2</w:t>
            </w:r>
          </w:p>
        </w:tc>
        <w:tc>
          <w:tcPr>
            <w:tcW w:w="542" w:type="pct"/>
            <w:noWrap/>
            <w:hideMark/>
          </w:tcPr>
          <w:p w14:paraId="56A1C076" w14:textId="77777777" w:rsidR="00EB7374" w:rsidRPr="0091453B" w:rsidRDefault="00EB7374" w:rsidP="0098156B">
            <w:pPr>
              <w:tabs>
                <w:tab w:val="left" w:pos="851"/>
              </w:tabs>
              <w:ind w:left="851" w:hanging="851"/>
              <w:jc w:val="right"/>
              <w:rPr>
                <w:rFonts w:eastAsia="Verdana"/>
                <w:b/>
                <w:bCs/>
                <w:sz w:val="15"/>
                <w:szCs w:val="15"/>
              </w:rPr>
            </w:pPr>
            <w:r w:rsidRPr="0091453B">
              <w:rPr>
                <w:rFonts w:eastAsia="Verdana"/>
                <w:b/>
                <w:sz w:val="15"/>
                <w:szCs w:val="15"/>
              </w:rPr>
              <w:t>59.1</w:t>
            </w:r>
          </w:p>
        </w:tc>
        <w:tc>
          <w:tcPr>
            <w:tcW w:w="542" w:type="pct"/>
            <w:noWrap/>
            <w:hideMark/>
          </w:tcPr>
          <w:p w14:paraId="16615DB0" w14:textId="77777777" w:rsidR="00EB7374" w:rsidRPr="0091453B" w:rsidRDefault="00EB7374" w:rsidP="0098156B">
            <w:pPr>
              <w:tabs>
                <w:tab w:val="left" w:pos="851"/>
              </w:tabs>
              <w:ind w:left="851" w:hanging="851"/>
              <w:jc w:val="right"/>
              <w:rPr>
                <w:rFonts w:eastAsia="Verdana"/>
                <w:b/>
                <w:bCs/>
                <w:sz w:val="15"/>
                <w:szCs w:val="15"/>
              </w:rPr>
            </w:pPr>
            <w:r w:rsidRPr="0091453B">
              <w:rPr>
                <w:rFonts w:eastAsia="Verdana"/>
                <w:b/>
                <w:bCs/>
                <w:sz w:val="15"/>
                <w:szCs w:val="15"/>
              </w:rPr>
              <w:t>72</w:t>
            </w:r>
          </w:p>
        </w:tc>
        <w:tc>
          <w:tcPr>
            <w:tcW w:w="542" w:type="pct"/>
            <w:noWrap/>
            <w:hideMark/>
          </w:tcPr>
          <w:p w14:paraId="3053F537" w14:textId="77777777" w:rsidR="00EB7374" w:rsidRPr="0091453B" w:rsidRDefault="00EB7374" w:rsidP="0098156B">
            <w:pPr>
              <w:tabs>
                <w:tab w:val="left" w:pos="851"/>
              </w:tabs>
              <w:ind w:left="851" w:hanging="851"/>
              <w:jc w:val="right"/>
              <w:rPr>
                <w:rFonts w:eastAsia="Verdana"/>
                <w:b/>
                <w:bCs/>
                <w:sz w:val="15"/>
                <w:szCs w:val="15"/>
              </w:rPr>
            </w:pPr>
            <w:r w:rsidRPr="0091453B">
              <w:rPr>
                <w:rFonts w:eastAsia="Verdana"/>
                <w:b/>
                <w:sz w:val="15"/>
                <w:szCs w:val="15"/>
              </w:rPr>
              <w:t>77.9</w:t>
            </w:r>
          </w:p>
        </w:tc>
        <w:tc>
          <w:tcPr>
            <w:tcW w:w="540" w:type="pct"/>
            <w:noWrap/>
            <w:hideMark/>
          </w:tcPr>
          <w:p w14:paraId="1FF31560" w14:textId="77777777" w:rsidR="00EB7374" w:rsidRPr="0091453B" w:rsidRDefault="00EB7374" w:rsidP="0098156B">
            <w:pPr>
              <w:tabs>
                <w:tab w:val="left" w:pos="851"/>
              </w:tabs>
              <w:ind w:left="851" w:hanging="851"/>
              <w:jc w:val="right"/>
              <w:rPr>
                <w:rFonts w:eastAsia="Verdana"/>
                <w:b/>
                <w:bCs/>
                <w:sz w:val="15"/>
                <w:szCs w:val="15"/>
              </w:rPr>
            </w:pPr>
            <w:r w:rsidRPr="0091453B">
              <w:rPr>
                <w:rFonts w:eastAsia="Verdana"/>
                <w:b/>
                <w:sz w:val="15"/>
                <w:szCs w:val="15"/>
              </w:rPr>
              <w:t>91.1</w:t>
            </w:r>
          </w:p>
        </w:tc>
      </w:tr>
      <w:tr w:rsidR="00EB7374" w:rsidRPr="006E6EEB" w14:paraId="1D9B2517" w14:textId="77777777" w:rsidTr="0098156B">
        <w:trPr>
          <w:cnfStyle w:val="000000010000" w:firstRow="0" w:lastRow="0" w:firstColumn="0" w:lastColumn="0" w:oddVBand="0" w:evenVBand="0" w:oddHBand="0" w:evenHBand="1" w:firstRowFirstColumn="0" w:firstRowLastColumn="0" w:lastRowFirstColumn="0" w:lastRowLastColumn="0"/>
          <w:trHeight w:val="113"/>
        </w:trPr>
        <w:tc>
          <w:tcPr>
            <w:tcW w:w="1751" w:type="pct"/>
            <w:noWrap/>
            <w:hideMark/>
          </w:tcPr>
          <w:p w14:paraId="330D0CCA" w14:textId="77777777" w:rsidR="00EB7374" w:rsidRPr="006E6EEB" w:rsidRDefault="00EB7374" w:rsidP="0098156B">
            <w:pPr>
              <w:tabs>
                <w:tab w:val="left" w:pos="851"/>
              </w:tabs>
              <w:ind w:left="851" w:hanging="851"/>
              <w:jc w:val="left"/>
              <w:rPr>
                <w:rFonts w:eastAsia="Verdana"/>
                <w:b/>
                <w:bCs/>
                <w:sz w:val="15"/>
                <w:szCs w:val="15"/>
              </w:rPr>
            </w:pPr>
            <w:r>
              <w:rPr>
                <w:rFonts w:eastAsia="Verdana"/>
                <w:b/>
                <w:bCs/>
                <w:sz w:val="15"/>
                <w:szCs w:val="15"/>
              </w:rPr>
              <w:t>Net premiums paid</w:t>
            </w:r>
          </w:p>
        </w:tc>
        <w:tc>
          <w:tcPr>
            <w:tcW w:w="542" w:type="pct"/>
            <w:noWrap/>
            <w:hideMark/>
          </w:tcPr>
          <w:p w14:paraId="16B05E61" w14:textId="77777777" w:rsidR="00EB7374" w:rsidRPr="0091453B" w:rsidRDefault="00EB7374" w:rsidP="0098156B">
            <w:pPr>
              <w:tabs>
                <w:tab w:val="left" w:pos="851"/>
              </w:tabs>
              <w:ind w:left="851" w:hanging="851"/>
              <w:jc w:val="right"/>
              <w:rPr>
                <w:rFonts w:eastAsia="Verdana"/>
                <w:b/>
                <w:bCs/>
                <w:sz w:val="15"/>
                <w:szCs w:val="15"/>
              </w:rPr>
            </w:pPr>
            <w:r w:rsidRPr="0091453B">
              <w:rPr>
                <w:rFonts w:eastAsia="Verdana"/>
                <w:b/>
                <w:sz w:val="15"/>
                <w:szCs w:val="15"/>
              </w:rPr>
              <w:t>35.6</w:t>
            </w:r>
          </w:p>
        </w:tc>
        <w:tc>
          <w:tcPr>
            <w:tcW w:w="542" w:type="pct"/>
            <w:noWrap/>
            <w:hideMark/>
          </w:tcPr>
          <w:p w14:paraId="07215D2C" w14:textId="77777777" w:rsidR="00EB7374" w:rsidRPr="0091453B" w:rsidRDefault="00EB7374" w:rsidP="0098156B">
            <w:pPr>
              <w:tabs>
                <w:tab w:val="left" w:pos="851"/>
              </w:tabs>
              <w:ind w:left="851" w:hanging="851"/>
              <w:jc w:val="right"/>
              <w:rPr>
                <w:rFonts w:eastAsia="Verdana"/>
                <w:b/>
                <w:bCs/>
                <w:sz w:val="15"/>
                <w:szCs w:val="15"/>
              </w:rPr>
            </w:pPr>
            <w:r w:rsidRPr="0091453B">
              <w:rPr>
                <w:rFonts w:eastAsia="Verdana"/>
                <w:b/>
                <w:sz w:val="15"/>
                <w:szCs w:val="15"/>
              </w:rPr>
              <w:t>40.8</w:t>
            </w:r>
          </w:p>
        </w:tc>
        <w:tc>
          <w:tcPr>
            <w:tcW w:w="542" w:type="pct"/>
            <w:noWrap/>
            <w:hideMark/>
          </w:tcPr>
          <w:p w14:paraId="260021B9" w14:textId="77777777" w:rsidR="00EB7374" w:rsidRPr="0091453B" w:rsidRDefault="00EB7374" w:rsidP="0098156B">
            <w:pPr>
              <w:tabs>
                <w:tab w:val="left" w:pos="851"/>
              </w:tabs>
              <w:ind w:left="851" w:hanging="851"/>
              <w:jc w:val="right"/>
              <w:rPr>
                <w:rFonts w:eastAsia="Verdana"/>
                <w:b/>
                <w:bCs/>
                <w:sz w:val="15"/>
                <w:szCs w:val="15"/>
              </w:rPr>
            </w:pPr>
            <w:r w:rsidRPr="0091453B">
              <w:rPr>
                <w:rFonts w:eastAsia="Verdana"/>
                <w:b/>
                <w:sz w:val="15"/>
                <w:szCs w:val="15"/>
              </w:rPr>
              <w:t>49.4</w:t>
            </w:r>
          </w:p>
        </w:tc>
        <w:tc>
          <w:tcPr>
            <w:tcW w:w="542" w:type="pct"/>
            <w:noWrap/>
            <w:hideMark/>
          </w:tcPr>
          <w:p w14:paraId="6E1A8DA5" w14:textId="77777777" w:rsidR="00EB7374" w:rsidRPr="0091453B" w:rsidRDefault="00EB7374" w:rsidP="0098156B">
            <w:pPr>
              <w:tabs>
                <w:tab w:val="left" w:pos="851"/>
              </w:tabs>
              <w:ind w:left="851" w:hanging="851"/>
              <w:jc w:val="right"/>
              <w:rPr>
                <w:rFonts w:eastAsia="Verdana"/>
                <w:b/>
                <w:bCs/>
                <w:sz w:val="15"/>
                <w:szCs w:val="15"/>
              </w:rPr>
            </w:pPr>
            <w:r w:rsidRPr="0091453B">
              <w:rPr>
                <w:rFonts w:eastAsia="Verdana"/>
                <w:b/>
                <w:sz w:val="15"/>
                <w:szCs w:val="15"/>
              </w:rPr>
              <w:t>59.6</w:t>
            </w:r>
          </w:p>
        </w:tc>
        <w:tc>
          <w:tcPr>
            <w:tcW w:w="542" w:type="pct"/>
            <w:noWrap/>
            <w:hideMark/>
          </w:tcPr>
          <w:p w14:paraId="0BB8F22C" w14:textId="77777777" w:rsidR="00EB7374" w:rsidRPr="0091453B" w:rsidRDefault="00EB7374" w:rsidP="0098156B">
            <w:pPr>
              <w:tabs>
                <w:tab w:val="left" w:pos="851"/>
              </w:tabs>
              <w:ind w:left="851" w:hanging="851"/>
              <w:jc w:val="right"/>
              <w:rPr>
                <w:rFonts w:eastAsia="Verdana"/>
                <w:b/>
                <w:bCs/>
                <w:sz w:val="15"/>
                <w:szCs w:val="15"/>
              </w:rPr>
            </w:pPr>
            <w:r w:rsidRPr="0091453B">
              <w:rPr>
                <w:rFonts w:eastAsia="Verdana"/>
                <w:b/>
                <w:bCs/>
                <w:sz w:val="15"/>
                <w:szCs w:val="15"/>
              </w:rPr>
              <w:t>69.2</w:t>
            </w:r>
          </w:p>
        </w:tc>
        <w:tc>
          <w:tcPr>
            <w:tcW w:w="540" w:type="pct"/>
            <w:noWrap/>
            <w:hideMark/>
          </w:tcPr>
          <w:p w14:paraId="512F45F2" w14:textId="77777777" w:rsidR="00EB7374" w:rsidRPr="0091453B" w:rsidRDefault="00EB7374" w:rsidP="0098156B">
            <w:pPr>
              <w:tabs>
                <w:tab w:val="left" w:pos="851"/>
              </w:tabs>
              <w:ind w:left="851" w:hanging="851"/>
              <w:jc w:val="right"/>
              <w:rPr>
                <w:rFonts w:eastAsia="Verdana"/>
                <w:b/>
                <w:bCs/>
                <w:sz w:val="15"/>
                <w:szCs w:val="15"/>
              </w:rPr>
            </w:pPr>
            <w:r w:rsidRPr="0091453B">
              <w:rPr>
                <w:rFonts w:eastAsia="Verdana"/>
                <w:b/>
                <w:sz w:val="15"/>
                <w:szCs w:val="15"/>
              </w:rPr>
              <w:t>72.2</w:t>
            </w:r>
          </w:p>
        </w:tc>
      </w:tr>
      <w:tr w:rsidR="00EB7374" w:rsidRPr="006E6EEB" w14:paraId="555F37E2" w14:textId="77777777" w:rsidTr="0098156B">
        <w:trPr>
          <w:trHeight w:val="113"/>
        </w:trPr>
        <w:tc>
          <w:tcPr>
            <w:tcW w:w="1751" w:type="pct"/>
            <w:noWrap/>
            <w:hideMark/>
          </w:tcPr>
          <w:p w14:paraId="63EAA477" w14:textId="77777777" w:rsidR="00EB7374" w:rsidRPr="006E6EEB" w:rsidRDefault="00EB7374" w:rsidP="0098156B">
            <w:pPr>
              <w:tabs>
                <w:tab w:val="left" w:pos="851"/>
              </w:tabs>
              <w:ind w:left="964" w:hanging="851"/>
              <w:jc w:val="left"/>
              <w:rPr>
                <w:rFonts w:eastAsia="Verdana"/>
                <w:sz w:val="15"/>
                <w:szCs w:val="15"/>
              </w:rPr>
            </w:pPr>
            <w:r>
              <w:rPr>
                <w:rFonts w:eastAsia="Verdana"/>
                <w:sz w:val="15"/>
                <w:szCs w:val="15"/>
              </w:rPr>
              <w:t>As a % of GDP</w:t>
            </w:r>
          </w:p>
        </w:tc>
        <w:tc>
          <w:tcPr>
            <w:tcW w:w="542" w:type="pct"/>
            <w:noWrap/>
            <w:hideMark/>
          </w:tcPr>
          <w:p w14:paraId="3BB46384" w14:textId="77777777" w:rsidR="00EB7374" w:rsidRPr="006E6EEB" w:rsidRDefault="00EB7374" w:rsidP="0098156B">
            <w:pPr>
              <w:tabs>
                <w:tab w:val="left" w:pos="851"/>
              </w:tabs>
              <w:ind w:left="851" w:hanging="851"/>
              <w:jc w:val="right"/>
              <w:rPr>
                <w:rFonts w:eastAsia="Verdana"/>
                <w:sz w:val="15"/>
                <w:szCs w:val="15"/>
              </w:rPr>
            </w:pPr>
            <w:r>
              <w:rPr>
                <w:rFonts w:eastAsia="Verdana"/>
                <w:sz w:val="15"/>
                <w:szCs w:val="15"/>
              </w:rPr>
              <w:t>1.2</w:t>
            </w:r>
          </w:p>
        </w:tc>
        <w:tc>
          <w:tcPr>
            <w:tcW w:w="542" w:type="pct"/>
            <w:noWrap/>
            <w:hideMark/>
          </w:tcPr>
          <w:p w14:paraId="125A8337" w14:textId="77777777" w:rsidR="00EB7374" w:rsidRPr="006E6EEB" w:rsidRDefault="00EB7374" w:rsidP="0098156B">
            <w:pPr>
              <w:tabs>
                <w:tab w:val="left" w:pos="851"/>
              </w:tabs>
              <w:ind w:left="851" w:hanging="851"/>
              <w:jc w:val="right"/>
              <w:rPr>
                <w:rFonts w:eastAsia="Verdana"/>
                <w:sz w:val="15"/>
                <w:szCs w:val="15"/>
              </w:rPr>
            </w:pPr>
            <w:r>
              <w:rPr>
                <w:rFonts w:eastAsia="Verdana"/>
                <w:sz w:val="15"/>
                <w:szCs w:val="15"/>
              </w:rPr>
              <w:t>1.2</w:t>
            </w:r>
          </w:p>
        </w:tc>
        <w:tc>
          <w:tcPr>
            <w:tcW w:w="542" w:type="pct"/>
            <w:noWrap/>
            <w:hideMark/>
          </w:tcPr>
          <w:p w14:paraId="35689AAA" w14:textId="77777777" w:rsidR="00EB7374" w:rsidRPr="006E6EEB" w:rsidRDefault="00EB7374" w:rsidP="0098156B">
            <w:pPr>
              <w:tabs>
                <w:tab w:val="left" w:pos="851"/>
              </w:tabs>
              <w:ind w:left="851" w:hanging="851"/>
              <w:jc w:val="right"/>
              <w:rPr>
                <w:rFonts w:eastAsia="Verdana"/>
                <w:sz w:val="15"/>
                <w:szCs w:val="15"/>
              </w:rPr>
            </w:pPr>
            <w:r>
              <w:rPr>
                <w:rFonts w:eastAsia="Verdana"/>
                <w:sz w:val="15"/>
                <w:szCs w:val="15"/>
              </w:rPr>
              <w:t>1.4</w:t>
            </w:r>
          </w:p>
        </w:tc>
        <w:tc>
          <w:tcPr>
            <w:tcW w:w="542" w:type="pct"/>
            <w:noWrap/>
            <w:hideMark/>
          </w:tcPr>
          <w:p w14:paraId="090242C1" w14:textId="77777777" w:rsidR="00EB7374" w:rsidRPr="006E6EEB" w:rsidRDefault="00EB7374" w:rsidP="0098156B">
            <w:pPr>
              <w:tabs>
                <w:tab w:val="left" w:pos="851"/>
              </w:tabs>
              <w:ind w:left="851" w:hanging="851"/>
              <w:jc w:val="right"/>
              <w:rPr>
                <w:rFonts w:eastAsia="Verdana"/>
                <w:sz w:val="15"/>
                <w:szCs w:val="15"/>
              </w:rPr>
            </w:pPr>
            <w:r>
              <w:rPr>
                <w:rFonts w:eastAsia="Verdana"/>
                <w:sz w:val="15"/>
                <w:szCs w:val="15"/>
              </w:rPr>
              <w:t>1.5</w:t>
            </w:r>
          </w:p>
        </w:tc>
        <w:tc>
          <w:tcPr>
            <w:tcW w:w="542" w:type="pct"/>
            <w:noWrap/>
            <w:hideMark/>
          </w:tcPr>
          <w:p w14:paraId="36C7952B" w14:textId="77777777" w:rsidR="00EB7374" w:rsidRPr="006E6EEB" w:rsidRDefault="00EB7374" w:rsidP="0098156B">
            <w:pPr>
              <w:tabs>
                <w:tab w:val="left" w:pos="851"/>
              </w:tabs>
              <w:ind w:left="851" w:hanging="851"/>
              <w:jc w:val="right"/>
              <w:rPr>
                <w:rFonts w:eastAsia="Verdana"/>
                <w:sz w:val="15"/>
                <w:szCs w:val="15"/>
              </w:rPr>
            </w:pPr>
            <w:r>
              <w:rPr>
                <w:rFonts w:eastAsia="Verdana"/>
                <w:sz w:val="15"/>
                <w:szCs w:val="15"/>
              </w:rPr>
              <w:t>1.5</w:t>
            </w:r>
          </w:p>
        </w:tc>
        <w:tc>
          <w:tcPr>
            <w:tcW w:w="540" w:type="pct"/>
            <w:noWrap/>
            <w:hideMark/>
          </w:tcPr>
          <w:p w14:paraId="21B26F29" w14:textId="77777777" w:rsidR="00EB7374" w:rsidRPr="006E6EEB" w:rsidRDefault="00EB7374" w:rsidP="0098156B">
            <w:pPr>
              <w:tabs>
                <w:tab w:val="left" w:pos="851"/>
              </w:tabs>
              <w:ind w:left="851" w:hanging="851"/>
              <w:jc w:val="right"/>
              <w:rPr>
                <w:rFonts w:eastAsia="Verdana"/>
                <w:sz w:val="15"/>
                <w:szCs w:val="15"/>
              </w:rPr>
            </w:pPr>
            <w:r>
              <w:rPr>
                <w:rFonts w:eastAsia="Verdana"/>
                <w:sz w:val="15"/>
                <w:szCs w:val="15"/>
              </w:rPr>
              <w:t>1.6</w:t>
            </w:r>
          </w:p>
        </w:tc>
      </w:tr>
      <w:tr w:rsidR="00EB7374" w:rsidRPr="006E6EEB" w14:paraId="5364854C" w14:textId="77777777" w:rsidTr="0098156B">
        <w:trPr>
          <w:cnfStyle w:val="000000010000" w:firstRow="0" w:lastRow="0" w:firstColumn="0" w:lastColumn="0" w:oddVBand="0" w:evenVBand="0" w:oddHBand="0" w:evenHBand="1" w:firstRowFirstColumn="0" w:firstRowLastColumn="0" w:lastRowFirstColumn="0" w:lastRowLastColumn="0"/>
          <w:trHeight w:val="113"/>
        </w:trPr>
        <w:tc>
          <w:tcPr>
            <w:tcW w:w="1751" w:type="pct"/>
            <w:noWrap/>
            <w:hideMark/>
          </w:tcPr>
          <w:p w14:paraId="40EFB796" w14:textId="77777777" w:rsidR="00EB7374" w:rsidRPr="006E6EEB" w:rsidRDefault="00EB7374" w:rsidP="0098156B">
            <w:pPr>
              <w:tabs>
                <w:tab w:val="left" w:pos="851"/>
              </w:tabs>
              <w:ind w:left="851" w:hanging="851"/>
              <w:jc w:val="left"/>
              <w:rPr>
                <w:rFonts w:eastAsia="Verdana"/>
                <w:sz w:val="15"/>
                <w:szCs w:val="15"/>
              </w:rPr>
            </w:pPr>
            <w:r>
              <w:rPr>
                <w:rFonts w:eastAsia="Verdana"/>
                <w:sz w:val="15"/>
                <w:szCs w:val="15"/>
              </w:rPr>
              <w:t>Life insurance</w:t>
            </w:r>
          </w:p>
        </w:tc>
        <w:tc>
          <w:tcPr>
            <w:tcW w:w="542" w:type="pct"/>
            <w:noWrap/>
            <w:hideMark/>
          </w:tcPr>
          <w:p w14:paraId="4762D134" w14:textId="77777777" w:rsidR="00EB7374" w:rsidRPr="006E6EEB" w:rsidRDefault="00EB7374" w:rsidP="0098156B">
            <w:pPr>
              <w:tabs>
                <w:tab w:val="left" w:pos="851"/>
              </w:tabs>
              <w:ind w:left="851" w:hanging="851"/>
              <w:jc w:val="right"/>
              <w:rPr>
                <w:rFonts w:eastAsia="Verdana"/>
                <w:sz w:val="15"/>
                <w:szCs w:val="15"/>
              </w:rPr>
            </w:pPr>
            <w:r>
              <w:rPr>
                <w:rFonts w:eastAsia="Verdana"/>
                <w:sz w:val="15"/>
                <w:szCs w:val="15"/>
              </w:rPr>
              <w:t>6.3</w:t>
            </w:r>
          </w:p>
        </w:tc>
        <w:tc>
          <w:tcPr>
            <w:tcW w:w="542" w:type="pct"/>
            <w:noWrap/>
            <w:hideMark/>
          </w:tcPr>
          <w:p w14:paraId="35009E52" w14:textId="77777777" w:rsidR="00EB7374" w:rsidRPr="006E6EEB" w:rsidRDefault="00EB7374" w:rsidP="0098156B">
            <w:pPr>
              <w:tabs>
                <w:tab w:val="left" w:pos="851"/>
              </w:tabs>
              <w:ind w:left="851" w:hanging="851"/>
              <w:jc w:val="right"/>
              <w:rPr>
                <w:rFonts w:eastAsia="Verdana"/>
                <w:sz w:val="15"/>
                <w:szCs w:val="15"/>
              </w:rPr>
            </w:pPr>
            <w:r>
              <w:rPr>
                <w:rFonts w:eastAsia="Verdana"/>
                <w:sz w:val="15"/>
                <w:szCs w:val="15"/>
              </w:rPr>
              <w:t>7.5</w:t>
            </w:r>
          </w:p>
        </w:tc>
        <w:tc>
          <w:tcPr>
            <w:tcW w:w="542" w:type="pct"/>
            <w:noWrap/>
            <w:hideMark/>
          </w:tcPr>
          <w:p w14:paraId="73C66EE0" w14:textId="77777777" w:rsidR="00EB7374" w:rsidRPr="006E6EEB" w:rsidRDefault="00EB7374" w:rsidP="0098156B">
            <w:pPr>
              <w:tabs>
                <w:tab w:val="left" w:pos="851"/>
              </w:tabs>
              <w:ind w:left="851" w:hanging="851"/>
              <w:jc w:val="right"/>
              <w:rPr>
                <w:rFonts w:eastAsia="Verdana"/>
                <w:sz w:val="15"/>
                <w:szCs w:val="15"/>
              </w:rPr>
            </w:pPr>
            <w:r>
              <w:rPr>
                <w:rFonts w:eastAsia="Verdana"/>
                <w:sz w:val="15"/>
                <w:szCs w:val="15"/>
              </w:rPr>
              <w:t>8.5</w:t>
            </w:r>
          </w:p>
        </w:tc>
        <w:tc>
          <w:tcPr>
            <w:tcW w:w="542" w:type="pct"/>
            <w:noWrap/>
            <w:hideMark/>
          </w:tcPr>
          <w:p w14:paraId="1E988555" w14:textId="77777777" w:rsidR="00EB7374" w:rsidRPr="006E6EEB" w:rsidRDefault="00EB7374" w:rsidP="0098156B">
            <w:pPr>
              <w:tabs>
                <w:tab w:val="left" w:pos="851"/>
              </w:tabs>
              <w:ind w:left="851" w:hanging="851"/>
              <w:jc w:val="right"/>
              <w:rPr>
                <w:rFonts w:eastAsia="Verdana"/>
                <w:sz w:val="15"/>
                <w:szCs w:val="15"/>
              </w:rPr>
            </w:pPr>
            <w:r>
              <w:rPr>
                <w:rFonts w:eastAsia="Verdana"/>
                <w:sz w:val="15"/>
                <w:szCs w:val="15"/>
              </w:rPr>
              <w:t>9.5</w:t>
            </w:r>
          </w:p>
        </w:tc>
        <w:tc>
          <w:tcPr>
            <w:tcW w:w="542" w:type="pct"/>
            <w:noWrap/>
            <w:hideMark/>
          </w:tcPr>
          <w:p w14:paraId="5C3FCE64" w14:textId="77777777" w:rsidR="00EB7374" w:rsidRPr="006E6EEB" w:rsidRDefault="00EB7374" w:rsidP="0098156B">
            <w:pPr>
              <w:tabs>
                <w:tab w:val="left" w:pos="851"/>
              </w:tabs>
              <w:ind w:left="851" w:hanging="851"/>
              <w:jc w:val="right"/>
              <w:rPr>
                <w:rFonts w:eastAsia="Verdana"/>
                <w:sz w:val="15"/>
                <w:szCs w:val="15"/>
              </w:rPr>
            </w:pPr>
            <w:r>
              <w:rPr>
                <w:rFonts w:eastAsia="Verdana"/>
                <w:sz w:val="15"/>
                <w:szCs w:val="15"/>
              </w:rPr>
              <w:t>10.8</w:t>
            </w:r>
          </w:p>
        </w:tc>
        <w:tc>
          <w:tcPr>
            <w:tcW w:w="540" w:type="pct"/>
            <w:noWrap/>
            <w:hideMark/>
          </w:tcPr>
          <w:p w14:paraId="16DDBB3B" w14:textId="77777777" w:rsidR="00EB7374" w:rsidRPr="006E6EEB" w:rsidRDefault="00EB7374" w:rsidP="0098156B">
            <w:pPr>
              <w:tabs>
                <w:tab w:val="left" w:pos="851"/>
              </w:tabs>
              <w:ind w:left="851" w:hanging="851"/>
              <w:jc w:val="right"/>
              <w:rPr>
                <w:rFonts w:eastAsia="Verdana"/>
                <w:sz w:val="15"/>
                <w:szCs w:val="15"/>
              </w:rPr>
            </w:pPr>
            <w:r>
              <w:rPr>
                <w:rFonts w:eastAsia="Verdana"/>
                <w:sz w:val="15"/>
                <w:szCs w:val="15"/>
              </w:rPr>
              <w:t>10.6</w:t>
            </w:r>
          </w:p>
        </w:tc>
      </w:tr>
      <w:tr w:rsidR="00EB7374" w:rsidRPr="006E6EEB" w14:paraId="3741793B" w14:textId="77777777" w:rsidTr="0098156B">
        <w:trPr>
          <w:trHeight w:val="113"/>
        </w:trPr>
        <w:tc>
          <w:tcPr>
            <w:tcW w:w="1751" w:type="pct"/>
            <w:noWrap/>
            <w:hideMark/>
          </w:tcPr>
          <w:p w14:paraId="525A9DA8" w14:textId="77777777" w:rsidR="00EB7374" w:rsidRPr="006E6EEB" w:rsidRDefault="00EB7374" w:rsidP="0098156B">
            <w:pPr>
              <w:tabs>
                <w:tab w:val="left" w:pos="851"/>
              </w:tabs>
              <w:ind w:left="851" w:hanging="851"/>
              <w:jc w:val="left"/>
              <w:rPr>
                <w:rFonts w:eastAsia="Verdana"/>
                <w:sz w:val="15"/>
                <w:szCs w:val="15"/>
              </w:rPr>
            </w:pPr>
            <w:r>
              <w:rPr>
                <w:rFonts w:eastAsia="Verdana"/>
                <w:sz w:val="15"/>
                <w:szCs w:val="15"/>
              </w:rPr>
              <w:t>General insurance</w:t>
            </w:r>
          </w:p>
        </w:tc>
        <w:tc>
          <w:tcPr>
            <w:tcW w:w="542" w:type="pct"/>
            <w:noWrap/>
            <w:hideMark/>
          </w:tcPr>
          <w:p w14:paraId="795F2931" w14:textId="77777777" w:rsidR="00EB7374" w:rsidRPr="006E6EEB" w:rsidRDefault="00EB7374" w:rsidP="0098156B">
            <w:pPr>
              <w:tabs>
                <w:tab w:val="left" w:pos="851"/>
              </w:tabs>
              <w:ind w:left="851" w:hanging="851"/>
              <w:jc w:val="right"/>
              <w:rPr>
                <w:rFonts w:eastAsia="Verdana"/>
                <w:sz w:val="15"/>
                <w:szCs w:val="15"/>
              </w:rPr>
            </w:pPr>
            <w:r>
              <w:rPr>
                <w:rFonts w:eastAsia="Verdana"/>
                <w:sz w:val="15"/>
                <w:szCs w:val="15"/>
              </w:rPr>
              <w:t>29.3</w:t>
            </w:r>
          </w:p>
        </w:tc>
        <w:tc>
          <w:tcPr>
            <w:tcW w:w="542" w:type="pct"/>
            <w:noWrap/>
            <w:hideMark/>
          </w:tcPr>
          <w:p w14:paraId="52BC43F8" w14:textId="77777777" w:rsidR="00EB7374" w:rsidRPr="006E6EEB" w:rsidRDefault="00EB7374" w:rsidP="0098156B">
            <w:pPr>
              <w:tabs>
                <w:tab w:val="left" w:pos="851"/>
              </w:tabs>
              <w:ind w:left="851" w:hanging="851"/>
              <w:jc w:val="right"/>
              <w:rPr>
                <w:rFonts w:eastAsia="Verdana"/>
                <w:sz w:val="15"/>
                <w:szCs w:val="15"/>
              </w:rPr>
            </w:pPr>
            <w:r>
              <w:rPr>
                <w:rFonts w:eastAsia="Verdana"/>
                <w:sz w:val="15"/>
                <w:szCs w:val="15"/>
              </w:rPr>
              <w:t>33.1</w:t>
            </w:r>
          </w:p>
        </w:tc>
        <w:tc>
          <w:tcPr>
            <w:tcW w:w="542" w:type="pct"/>
            <w:noWrap/>
            <w:hideMark/>
          </w:tcPr>
          <w:p w14:paraId="1B887503" w14:textId="77777777" w:rsidR="00EB7374" w:rsidRPr="006E6EEB" w:rsidRDefault="00EB7374" w:rsidP="0098156B">
            <w:pPr>
              <w:tabs>
                <w:tab w:val="left" w:pos="851"/>
              </w:tabs>
              <w:ind w:left="851" w:hanging="851"/>
              <w:jc w:val="right"/>
              <w:rPr>
                <w:rFonts w:eastAsia="Verdana"/>
                <w:sz w:val="15"/>
                <w:szCs w:val="15"/>
              </w:rPr>
            </w:pPr>
            <w:r>
              <w:rPr>
                <w:rFonts w:eastAsia="Verdana"/>
                <w:sz w:val="15"/>
                <w:szCs w:val="15"/>
              </w:rPr>
              <w:t>40.9</w:t>
            </w:r>
          </w:p>
        </w:tc>
        <w:tc>
          <w:tcPr>
            <w:tcW w:w="542" w:type="pct"/>
            <w:noWrap/>
            <w:hideMark/>
          </w:tcPr>
          <w:p w14:paraId="5CFDA77D" w14:textId="77777777" w:rsidR="00EB7374" w:rsidRPr="006E6EEB" w:rsidRDefault="00EB7374" w:rsidP="0098156B">
            <w:pPr>
              <w:tabs>
                <w:tab w:val="left" w:pos="851"/>
              </w:tabs>
              <w:ind w:left="851" w:hanging="851"/>
              <w:jc w:val="right"/>
              <w:rPr>
                <w:rFonts w:eastAsia="Verdana"/>
                <w:sz w:val="15"/>
                <w:szCs w:val="15"/>
              </w:rPr>
            </w:pPr>
            <w:r>
              <w:rPr>
                <w:rFonts w:eastAsia="Verdana"/>
                <w:sz w:val="15"/>
                <w:szCs w:val="15"/>
              </w:rPr>
              <w:t>50.0</w:t>
            </w:r>
          </w:p>
        </w:tc>
        <w:tc>
          <w:tcPr>
            <w:tcW w:w="542" w:type="pct"/>
            <w:noWrap/>
            <w:hideMark/>
          </w:tcPr>
          <w:p w14:paraId="0A0F577B" w14:textId="77777777" w:rsidR="00EB7374" w:rsidRPr="006E6EEB" w:rsidRDefault="00EB7374" w:rsidP="0098156B">
            <w:pPr>
              <w:tabs>
                <w:tab w:val="left" w:pos="851"/>
              </w:tabs>
              <w:ind w:left="851" w:hanging="851"/>
              <w:jc w:val="right"/>
              <w:rPr>
                <w:rFonts w:eastAsia="Verdana"/>
                <w:sz w:val="15"/>
                <w:szCs w:val="15"/>
              </w:rPr>
            </w:pPr>
            <w:r>
              <w:rPr>
                <w:rFonts w:eastAsia="Verdana"/>
                <w:sz w:val="15"/>
                <w:szCs w:val="15"/>
              </w:rPr>
              <w:t>58.5</w:t>
            </w:r>
          </w:p>
        </w:tc>
        <w:tc>
          <w:tcPr>
            <w:tcW w:w="540" w:type="pct"/>
            <w:noWrap/>
            <w:hideMark/>
          </w:tcPr>
          <w:p w14:paraId="099BC0D6" w14:textId="77777777" w:rsidR="00EB7374" w:rsidRPr="006E6EEB" w:rsidRDefault="00EB7374" w:rsidP="0098156B">
            <w:pPr>
              <w:tabs>
                <w:tab w:val="left" w:pos="851"/>
              </w:tabs>
              <w:ind w:left="851" w:hanging="851"/>
              <w:jc w:val="right"/>
              <w:rPr>
                <w:rFonts w:eastAsia="Verdana"/>
                <w:sz w:val="15"/>
                <w:szCs w:val="15"/>
              </w:rPr>
            </w:pPr>
            <w:r>
              <w:rPr>
                <w:rFonts w:eastAsia="Verdana"/>
                <w:sz w:val="15"/>
                <w:szCs w:val="15"/>
              </w:rPr>
              <w:t>61.6</w:t>
            </w:r>
          </w:p>
        </w:tc>
      </w:tr>
      <w:tr w:rsidR="00EB7374" w:rsidRPr="006E6EEB" w14:paraId="46A1E715" w14:textId="77777777" w:rsidTr="0098156B">
        <w:trPr>
          <w:cnfStyle w:val="000000010000" w:firstRow="0" w:lastRow="0" w:firstColumn="0" w:lastColumn="0" w:oddVBand="0" w:evenVBand="0" w:oddHBand="0" w:evenHBand="1" w:firstRowFirstColumn="0" w:firstRowLastColumn="0" w:lastRowFirstColumn="0" w:lastRowLastColumn="0"/>
          <w:trHeight w:val="113"/>
        </w:trPr>
        <w:tc>
          <w:tcPr>
            <w:tcW w:w="1751" w:type="pct"/>
            <w:noWrap/>
            <w:hideMark/>
          </w:tcPr>
          <w:p w14:paraId="65D49BB5" w14:textId="77777777" w:rsidR="00EB7374" w:rsidRPr="006E6EEB" w:rsidRDefault="00EB7374" w:rsidP="0098156B">
            <w:pPr>
              <w:tabs>
                <w:tab w:val="left" w:pos="851"/>
              </w:tabs>
              <w:ind w:left="851" w:hanging="851"/>
              <w:jc w:val="left"/>
              <w:rPr>
                <w:rFonts w:eastAsia="Verdana"/>
                <w:b/>
                <w:bCs/>
                <w:sz w:val="15"/>
                <w:szCs w:val="15"/>
              </w:rPr>
            </w:pPr>
            <w:r>
              <w:rPr>
                <w:rFonts w:eastAsia="Verdana"/>
                <w:b/>
                <w:bCs/>
                <w:sz w:val="15"/>
                <w:szCs w:val="15"/>
              </w:rPr>
              <w:t xml:space="preserve">Ceded reinsurance premiums </w:t>
            </w:r>
          </w:p>
        </w:tc>
        <w:tc>
          <w:tcPr>
            <w:tcW w:w="542" w:type="pct"/>
            <w:noWrap/>
            <w:hideMark/>
          </w:tcPr>
          <w:p w14:paraId="28664F57" w14:textId="77777777" w:rsidR="00EB7374" w:rsidRPr="006E6EEB" w:rsidRDefault="00EB7374" w:rsidP="0098156B">
            <w:pPr>
              <w:tabs>
                <w:tab w:val="left" w:pos="851"/>
              </w:tabs>
              <w:ind w:left="851" w:hanging="851"/>
              <w:jc w:val="right"/>
              <w:rPr>
                <w:rFonts w:eastAsia="Verdana"/>
                <w:b/>
                <w:bCs/>
                <w:sz w:val="15"/>
                <w:szCs w:val="15"/>
              </w:rPr>
            </w:pPr>
            <w:r>
              <w:rPr>
                <w:rFonts w:eastAsia="Verdana"/>
                <w:b/>
                <w:bCs/>
                <w:sz w:val="15"/>
                <w:szCs w:val="15"/>
              </w:rPr>
              <w:t>15.9</w:t>
            </w:r>
          </w:p>
        </w:tc>
        <w:tc>
          <w:tcPr>
            <w:tcW w:w="542" w:type="pct"/>
            <w:noWrap/>
            <w:hideMark/>
          </w:tcPr>
          <w:p w14:paraId="77FE7540" w14:textId="77777777" w:rsidR="00EB7374" w:rsidRPr="006E6EEB" w:rsidRDefault="00EB7374" w:rsidP="0098156B">
            <w:pPr>
              <w:tabs>
                <w:tab w:val="left" w:pos="851"/>
              </w:tabs>
              <w:ind w:left="851" w:hanging="851"/>
              <w:jc w:val="right"/>
              <w:rPr>
                <w:rFonts w:eastAsia="Verdana"/>
                <w:b/>
                <w:bCs/>
                <w:sz w:val="15"/>
                <w:szCs w:val="15"/>
              </w:rPr>
            </w:pPr>
            <w:r>
              <w:rPr>
                <w:rFonts w:eastAsia="Verdana"/>
                <w:b/>
                <w:bCs/>
                <w:sz w:val="15"/>
                <w:szCs w:val="15"/>
              </w:rPr>
              <w:t>16</w:t>
            </w:r>
          </w:p>
        </w:tc>
        <w:tc>
          <w:tcPr>
            <w:tcW w:w="542" w:type="pct"/>
            <w:noWrap/>
            <w:hideMark/>
          </w:tcPr>
          <w:p w14:paraId="77E4FE60" w14:textId="77777777" w:rsidR="00EB7374" w:rsidRPr="006E6EEB" w:rsidRDefault="00EB7374" w:rsidP="0098156B">
            <w:pPr>
              <w:tabs>
                <w:tab w:val="left" w:pos="851"/>
              </w:tabs>
              <w:ind w:left="851" w:hanging="851"/>
              <w:jc w:val="right"/>
              <w:rPr>
                <w:rFonts w:eastAsia="Verdana"/>
                <w:b/>
                <w:bCs/>
                <w:sz w:val="15"/>
                <w:szCs w:val="15"/>
              </w:rPr>
            </w:pPr>
            <w:r>
              <w:rPr>
                <w:rFonts w:eastAsia="Verdana"/>
                <w:b/>
                <w:bCs/>
                <w:sz w:val="15"/>
                <w:szCs w:val="15"/>
              </w:rPr>
              <w:t>19.4</w:t>
            </w:r>
          </w:p>
        </w:tc>
        <w:tc>
          <w:tcPr>
            <w:tcW w:w="542" w:type="pct"/>
            <w:noWrap/>
            <w:hideMark/>
          </w:tcPr>
          <w:p w14:paraId="26FF98E5" w14:textId="77777777" w:rsidR="00EB7374" w:rsidRPr="006E6EEB" w:rsidRDefault="00EB7374" w:rsidP="0098156B">
            <w:pPr>
              <w:tabs>
                <w:tab w:val="left" w:pos="851"/>
              </w:tabs>
              <w:ind w:left="851" w:hanging="851"/>
              <w:jc w:val="right"/>
              <w:rPr>
                <w:rFonts w:eastAsia="Verdana"/>
                <w:b/>
                <w:bCs/>
                <w:sz w:val="15"/>
                <w:szCs w:val="15"/>
              </w:rPr>
            </w:pPr>
            <w:r>
              <w:rPr>
                <w:rFonts w:eastAsia="Verdana"/>
                <w:b/>
                <w:bCs/>
                <w:sz w:val="15"/>
                <w:szCs w:val="15"/>
              </w:rPr>
              <w:t>22.1</w:t>
            </w:r>
          </w:p>
        </w:tc>
        <w:tc>
          <w:tcPr>
            <w:tcW w:w="542" w:type="pct"/>
            <w:noWrap/>
            <w:hideMark/>
          </w:tcPr>
          <w:p w14:paraId="369951F3" w14:textId="77777777" w:rsidR="00EB7374" w:rsidRPr="006E6EEB" w:rsidRDefault="00EB7374" w:rsidP="0098156B">
            <w:pPr>
              <w:tabs>
                <w:tab w:val="left" w:pos="851"/>
              </w:tabs>
              <w:ind w:left="851" w:hanging="851"/>
              <w:jc w:val="right"/>
              <w:rPr>
                <w:rFonts w:eastAsia="Verdana"/>
                <w:b/>
                <w:bCs/>
                <w:sz w:val="15"/>
                <w:szCs w:val="15"/>
              </w:rPr>
            </w:pPr>
            <w:r>
              <w:rPr>
                <w:rFonts w:eastAsia="Verdana"/>
                <w:b/>
                <w:bCs/>
                <w:sz w:val="15"/>
                <w:szCs w:val="15"/>
              </w:rPr>
              <w:t>..</w:t>
            </w:r>
          </w:p>
        </w:tc>
        <w:tc>
          <w:tcPr>
            <w:tcW w:w="540" w:type="pct"/>
            <w:noWrap/>
            <w:hideMark/>
          </w:tcPr>
          <w:p w14:paraId="32E99911" w14:textId="77777777" w:rsidR="00EB7374" w:rsidRPr="006E6EEB" w:rsidRDefault="00EB7374" w:rsidP="0098156B">
            <w:pPr>
              <w:tabs>
                <w:tab w:val="left" w:pos="851"/>
              </w:tabs>
              <w:ind w:left="851" w:hanging="851"/>
              <w:jc w:val="right"/>
              <w:rPr>
                <w:rFonts w:eastAsia="Verdana"/>
                <w:b/>
                <w:bCs/>
                <w:sz w:val="15"/>
                <w:szCs w:val="15"/>
              </w:rPr>
            </w:pPr>
            <w:r>
              <w:rPr>
                <w:rFonts w:eastAsia="Verdana"/>
                <w:b/>
                <w:bCs/>
                <w:sz w:val="15"/>
                <w:szCs w:val="15"/>
              </w:rPr>
              <w:t>..</w:t>
            </w:r>
          </w:p>
        </w:tc>
      </w:tr>
    </w:tbl>
    <w:p w14:paraId="4C2AFC86" w14:textId="77777777" w:rsidR="00EB7374" w:rsidRPr="00A35956" w:rsidRDefault="00EB7374" w:rsidP="002E1080">
      <w:pPr>
        <w:pStyle w:val="NoteText"/>
        <w:spacing w:before="120"/>
      </w:pPr>
      <w:r>
        <w:t>..</w:t>
      </w:r>
      <w:r>
        <w:tab/>
        <w:t>Not available.</w:t>
      </w:r>
    </w:p>
    <w:p w14:paraId="2826901A" w14:textId="77777777" w:rsidR="00EB7374" w:rsidRPr="00A35956" w:rsidRDefault="00EB7374" w:rsidP="002E1080">
      <w:pPr>
        <w:pStyle w:val="NoteText"/>
        <w:spacing w:before="120" w:after="240"/>
      </w:pPr>
      <w:r>
        <w:t>Source:</w:t>
      </w:r>
      <w:r>
        <w:tab/>
        <w:t xml:space="preserve">Institutional statistics of the Insurance Supervisory Authority, viewed at : </w:t>
      </w:r>
      <w:hyperlink r:id="rId52" w:history="1">
        <w:r>
          <w:rPr>
            <w:color w:val="0000FF" w:themeColor="hyperlink"/>
            <w:u w:val="single"/>
          </w:rPr>
          <w:t>https://www.superseguros.gob.do/index.php/consultas/reportes-estadisticos</w:t>
        </w:r>
      </w:hyperlink>
      <w:r>
        <w:t>, and data provided by the authorities.</w:t>
      </w:r>
    </w:p>
    <w:p w14:paraId="6A72ECBD" w14:textId="77777777" w:rsidR="00EB7374" w:rsidRDefault="00EB7374" w:rsidP="00C80D98">
      <w:pPr>
        <w:pStyle w:val="BodyText"/>
      </w:pPr>
      <w:r>
        <w:t>The regulatory body for insurance market operators is the Insurance Supervisory Authority, an entity attached to the Ministry of Finance and created by Law No. 400 of 9 January 1969. The legal regime governing the insurance industry is set out in Law No. 146</w:t>
      </w:r>
      <w:r>
        <w:noBreakHyphen/>
        <w:t>02 on Insurance and Bonds of 9 September 2002 and in the resolutions issued by the Insurance Supervisory Authority. No amendments have been made to the Law to date; however, a number of resolutions have been issued bolstering the insurance sector's regulatory framework.</w:t>
      </w:r>
    </w:p>
    <w:p w14:paraId="55F110CF" w14:textId="77777777" w:rsidR="00EB7374" w:rsidRDefault="00EB7374" w:rsidP="00C80D98">
      <w:pPr>
        <w:pStyle w:val="BodyText"/>
      </w:pPr>
      <w:r>
        <w:t xml:space="preserve">In that connection, in November 2017 the Rules on the Prevention of Money Laundering and the Financing of Terrorism for the Insurance Sector were approved. The purpose of the Rules is to implement processes and mechanisms that aim to prevent and identify irregularities in transactions performed by insurers described in the Law on Money Laundering and the Law on Terrorism establishing the National Anti-Terrorist Committee and the National Anti-Terrorist Directorate. Moreover, following the enactment of Law No. 249-17 that repealed and replaced Law No. 19-00 on the Securities Market (see </w:t>
      </w:r>
      <w:r w:rsidRPr="005A0AAA">
        <w:t>below</w:t>
      </w:r>
      <w:r>
        <w:t>), authorizing investment funds to operate on the stock market, the Insurance Supervisory Authority issued its Fifth Resolution of 30 May 2018 authorizing insurers to invest reserves in: (1) open- and closed-ended investment funds; (2) shares in publicly offered trusts authorized by the Securities Market Supervisory Authority (</w:t>
      </w:r>
      <w:proofErr w:type="spellStart"/>
      <w:r>
        <w:t>SIMV</w:t>
      </w:r>
      <w:proofErr w:type="spellEnd"/>
      <w:r>
        <w:t xml:space="preserve">); and (3) transactions to purchase securities with repurchase agreements (repos) traded through brokerage firms authorized by the </w:t>
      </w:r>
      <w:proofErr w:type="spellStart"/>
      <w:r>
        <w:t>SIMV</w:t>
      </w:r>
      <w:proofErr w:type="spellEnd"/>
      <w:r>
        <w:t>.</w:t>
      </w:r>
    </w:p>
    <w:p w14:paraId="1C1EC299" w14:textId="1B8B66A4" w:rsidR="00EB7374" w:rsidRPr="00A35956" w:rsidRDefault="00EB7374" w:rsidP="00C80D98">
      <w:pPr>
        <w:pStyle w:val="BodyText"/>
      </w:pPr>
      <w:r>
        <w:t>In order to improve skills across the insurance sector generally, Resolution 02-2020 created the Insurance Supervisory Authority Training School (</w:t>
      </w:r>
      <w:proofErr w:type="spellStart"/>
      <w:r>
        <w:t>ESFOSIS</w:t>
      </w:r>
      <w:proofErr w:type="spellEnd"/>
      <w:r>
        <w:t>). The Client Service Centre of the Insurance Supervisory Authority was created in a similar vein to optimize and digitize the services of the Insurance Supervisory Authority by providing the Authority</w:t>
      </w:r>
      <w:r w:rsidR="00FE5A32">
        <w:t>'</w:t>
      </w:r>
      <w:r>
        <w:t>s services and any information it imparts in a centralized, specialist fashion.</w:t>
      </w:r>
    </w:p>
    <w:p w14:paraId="631C228C" w14:textId="77777777" w:rsidR="00EB7374" w:rsidRPr="00A35956" w:rsidRDefault="00EB7374" w:rsidP="00C80D98">
      <w:pPr>
        <w:pStyle w:val="BodyText"/>
      </w:pPr>
      <w:r>
        <w:t>Access to the market in insurance and reinsurance services for foreign companies is granted on the basis of the principle of reciprocity. To operate in the Dominican Republic an insurer or reinsurer must apply to the Insurance Supervisory Authority</w:t>
      </w:r>
      <w:r w:rsidRPr="0052687D">
        <w:t xml:space="preserve"> </w:t>
      </w:r>
      <w:r>
        <w:t xml:space="preserve">for authorization. The requirements </w:t>
      </w:r>
      <w:r>
        <w:lastRenderedPageBreak/>
        <w:t>and the documents that need to be submitted depend on the company's nationality. In addition to meeting the requirements imposed on Dominican companies, foreign firms must be set up as limited companies. The company must be registered in accordance with Dominican law and must establish a guarantee fund in the Dominican Republic of DOP 8.5 million from its authorized capital. Foreign persons must hold registered shares amounting to 51% of the company's capital, have offices in the Dominican Republic, have more than five years' experience operating in the insurance sector in their country of origin, be located and maintain the minimum capital required in the Dominican Republic and provide, in Spanish, a certificate from the regulatory body in their country of origin showing that they are authorized to engage in the branches of insurance indicated in their application for authorization. They must also provide a certificate from their country of origin showing that they are authorized to operate in the Dominican Republic.</w:t>
      </w:r>
      <w:r>
        <w:rPr>
          <w:rStyle w:val="FootnoteReference"/>
        </w:rPr>
        <w:footnoteReference w:id="504"/>
      </w:r>
    </w:p>
    <w:p w14:paraId="49665330" w14:textId="77777777" w:rsidR="00EB7374" w:rsidRPr="00A35956" w:rsidRDefault="00EB7374" w:rsidP="00C80D98">
      <w:pPr>
        <w:pStyle w:val="BodyText"/>
      </w:pPr>
      <w:r>
        <w:t>Although foreign insurance companies may not establish branches in the country, within the framework of the CAFTA</w:t>
      </w:r>
      <w:r>
        <w:noBreakHyphen/>
        <w:t>DR the Dominican Republic undertook to permit all foreign insurance/reinsurance companies to do so. The authorities pointed out that although this commitment has been implemented, foreign insurance and reinsurance companies have not established branches, preferring instead to set themselves up as local, foreign-capital companies. Agents, brokers and experts must be licensed by the Insurance Supervisory Authority. There is an exception for insurance companies, which may act as intermediaries without the need for a licence. Where natural persons are concerned, foreigners who want to act as intermediaries must be permanent residents and have lived in the Dominican Republic on a permanent basis, after obtaining permanent residence, for the six years preceding the licence application. At October 2021 there were 980 active insurance brokers. There are no restrictions on the activities that may be undertaken by companies that provide services in the insurance sector. For example, the same company may operate in both the general and personal branches. An insurance company wishing to offer new products must apply to the Insurance Supervisory Authority</w:t>
      </w:r>
      <w:r w:rsidRPr="0052687D">
        <w:t xml:space="preserve"> </w:t>
      </w:r>
      <w:r>
        <w:t>for authorization to do so. The Authority has 30 days to decide on the application.</w:t>
      </w:r>
    </w:p>
    <w:p w14:paraId="75923BB7" w14:textId="77777777" w:rsidR="00EB7374" w:rsidRPr="00A35956" w:rsidRDefault="00EB7374" w:rsidP="00C80D98">
      <w:pPr>
        <w:pStyle w:val="BodyText"/>
      </w:pPr>
      <w:r>
        <w:t>Some insurance contracts are subject to a local procurement obligation and must be concluded in the Dominican Republic with the prior approval of the Insurance Supervisory Authority to provide coverage there. This obligation includes insurance concerning (a) life and health; (b) property situated in the country and Dominican interests abroad; (c) ships' hulls, aircraft and motor vehicles licensed in the Dominican Republic or temporarily entering the country; and (d) import cargo transport. The law permits suspension of the local procurement obligation where signed regional trade agreements contain provisions to that end or where excess line insurance is concerned.</w:t>
      </w:r>
      <w:r>
        <w:rPr>
          <w:vertAlign w:val="superscript"/>
        </w:rPr>
        <w:footnoteReference w:id="505"/>
      </w:r>
      <w:r>
        <w:t xml:space="preserve"> The local procurement obligation does not apply to reinsurance operations. Foreign reinsurance companies authorized by the Insurance Supervisory Authority may carry out their activities without being established in the Dominican Republic. In 2021, there were 121 foreign reinsurers that were not established in the Dominican Republic and 89 brokers in the same position.</w:t>
      </w:r>
    </w:p>
    <w:p w14:paraId="0609CF2C" w14:textId="461BDEBF" w:rsidR="00EB7374" w:rsidRPr="00A35956" w:rsidRDefault="00EB7374" w:rsidP="00C80D98">
      <w:pPr>
        <w:pStyle w:val="BodyText"/>
      </w:pPr>
      <w:r>
        <w:t xml:space="preserve"> Insurers are free to set the tariffs for their premiums but they must be submitted to the Supervisory Authority for assessment and approval. The tariffs may not be amended without the Supervisory Authority</w:t>
      </w:r>
      <w:r w:rsidR="00FE5A32">
        <w:t>'</w:t>
      </w:r>
      <w:r>
        <w:t xml:space="preserve">s approval. Model policies must also be submitted for the Supervisory Authority's approval. Mergers of insurers and reinsurers are authorized by the Law on Insurance and Bonds subject to the prior approval of the Insurance Supervisory Authority. </w:t>
      </w:r>
    </w:p>
    <w:p w14:paraId="415D8FD8" w14:textId="77777777" w:rsidR="00EB7374" w:rsidRPr="00A35956" w:rsidRDefault="00EB7374" w:rsidP="00C80D98">
      <w:pPr>
        <w:pStyle w:val="BodyText"/>
      </w:pPr>
      <w:r>
        <w:t>The Dominican Republic continues to work with international agencies in the field of insurance sector oversight, such as the Latin American Association of Insurance Supervisors (</w:t>
      </w:r>
      <w:proofErr w:type="spellStart"/>
      <w:r>
        <w:t>ASSAL</w:t>
      </w:r>
      <w:proofErr w:type="spellEnd"/>
      <w:r>
        <w:t>) and the International Association of Insurance Supervisors (</w:t>
      </w:r>
      <w:proofErr w:type="spellStart"/>
      <w:r>
        <w:t>IAIS</w:t>
      </w:r>
      <w:proofErr w:type="spellEnd"/>
      <w:r>
        <w:t xml:space="preserve">). In 2019, the Dominican Republic, in the form of the Insurance Supervisory Authority, was approved as a permanent member of the </w:t>
      </w:r>
      <w:proofErr w:type="spellStart"/>
      <w:r>
        <w:t>ASSAL</w:t>
      </w:r>
      <w:proofErr w:type="spellEnd"/>
      <w:r>
        <w:t xml:space="preserve"> Disciplinary Panel. Also in that year, the Insurance Supervisory Authority contributed to the report by the Organisation for Economic Co-operation and Development (OECD) on global insurance market trends.</w:t>
      </w:r>
    </w:p>
    <w:p w14:paraId="3D642889" w14:textId="77777777" w:rsidR="00EB7374" w:rsidRPr="00A35956" w:rsidRDefault="00EB7374" w:rsidP="00C80D98">
      <w:pPr>
        <w:pStyle w:val="BodyText"/>
      </w:pPr>
      <w:r>
        <w:t>Premiums paid are subject to selective consumption tax (</w:t>
      </w:r>
      <w:proofErr w:type="spellStart"/>
      <w:r>
        <w:t>ISC</w:t>
      </w:r>
      <w:proofErr w:type="spellEnd"/>
      <w:r>
        <w:t>, 16%). Agricultural policies are exempt from payment of the tax.</w:t>
      </w:r>
      <w:r>
        <w:rPr>
          <w:vertAlign w:val="superscript"/>
        </w:rPr>
        <w:footnoteReference w:id="506"/>
      </w:r>
      <w:r>
        <w:t xml:space="preserve"> The provision of insurance services is exempt from payment of </w:t>
      </w:r>
      <w:r>
        <w:lastRenderedPageBreak/>
        <w:t>the tax on the transfer of industrialized goods and services (</w:t>
      </w:r>
      <w:proofErr w:type="spellStart"/>
      <w:r>
        <w:t>ITBIS</w:t>
      </w:r>
      <w:proofErr w:type="spellEnd"/>
      <w:r>
        <w:t>).</w:t>
      </w:r>
      <w:r>
        <w:rPr>
          <w:vertAlign w:val="superscript"/>
        </w:rPr>
        <w:footnoteReference w:id="507"/>
      </w:r>
      <w:r>
        <w:t xml:space="preserve"> In accordance with the figures set out in the Dominican insurance market report of 2020 by the Dominican Chamber of Insurers and Reinsurers, per capita expenditure on insurance is USD 125.70.</w:t>
      </w:r>
    </w:p>
    <w:p w14:paraId="4673EC28" w14:textId="77777777" w:rsidR="00EB7374" w:rsidRPr="00A35956" w:rsidRDefault="00EB7374" w:rsidP="00C80D98">
      <w:pPr>
        <w:pStyle w:val="BodyText"/>
      </w:pPr>
      <w:r>
        <w:t>The Dominican Republic has made few multilateral commitments in the area of insurance services, and current practice is considerably more liberal than the bindings under the GATS. In accordance with the commitments assumed under that Agreement, foreign ownership of up to 49% of equity in domestic insurance and reinsurance companies is permitted.</w:t>
      </w:r>
      <w:r>
        <w:rPr>
          <w:vertAlign w:val="superscript"/>
        </w:rPr>
        <w:footnoteReference w:id="508"/>
      </w:r>
      <w:r>
        <w:t xml:space="preserve"> </w:t>
      </w:r>
    </w:p>
    <w:p w14:paraId="683792F2" w14:textId="77777777" w:rsidR="00EB7374" w:rsidRPr="00A35956" w:rsidRDefault="00EB7374" w:rsidP="00C80D98">
      <w:pPr>
        <w:pStyle w:val="Heading4"/>
      </w:pPr>
      <w:bookmarkStart w:id="372" w:name="_Toc114735782"/>
      <w:bookmarkStart w:id="373" w:name="_Toc417038546"/>
      <w:bookmarkStart w:id="374" w:name="_Toc117260663"/>
      <w:r>
        <w:t>Securities market</w:t>
      </w:r>
      <w:bookmarkEnd w:id="372"/>
      <w:bookmarkEnd w:id="373"/>
      <w:bookmarkEnd w:id="374"/>
    </w:p>
    <w:p w14:paraId="370D34A4" w14:textId="6367D448" w:rsidR="00EB7374" w:rsidRPr="0079117E" w:rsidRDefault="00EB7374" w:rsidP="00C80D98">
      <w:pPr>
        <w:pStyle w:val="BodyText"/>
      </w:pPr>
      <w:r>
        <w:t>The activities of the securities market in the Dominican Republic are regulated and overseen by the Securities Market Supervisory Authority (</w:t>
      </w:r>
      <w:proofErr w:type="spellStart"/>
      <w:r>
        <w:t>SIMV</w:t>
      </w:r>
      <w:proofErr w:type="spellEnd"/>
      <w:r>
        <w:t xml:space="preserve">), an autonomous, decentralized state body established under Law No. 19-00 on the Securities Market, as subsequently amended by Law No. 249-17. The </w:t>
      </w:r>
      <w:proofErr w:type="spellStart"/>
      <w:r>
        <w:t>SIMV</w:t>
      </w:r>
      <w:proofErr w:type="spellEnd"/>
      <w:r>
        <w:t xml:space="preserve"> has legal personality, its own assets and administrative, financial and technical autonomy. Its role is to promote, regulate and supervise the securities market. During the review period, the Executive enacted Law No. 249-17 of 19 December 2017 repealing and replacing Law No. 19-00 on the Securities Market of 8 May 2000. The new Law on the Securities Market empowers the National Securities Market Council (</w:t>
      </w:r>
      <w:proofErr w:type="spellStart"/>
      <w:r>
        <w:t>CNMV</w:t>
      </w:r>
      <w:proofErr w:type="spellEnd"/>
      <w:r>
        <w:t xml:space="preserve">), in its capacity as the top-level body of the </w:t>
      </w:r>
      <w:proofErr w:type="spellStart"/>
      <w:r>
        <w:t>SIMV</w:t>
      </w:r>
      <w:proofErr w:type="spellEnd"/>
      <w:r>
        <w:t>, to approve the various regulations implementing the Law. The scope of the Law extends to the public offering of securities, in both national and foreign currency, their issuers, centralized trading mechanism managers, securities intermediaries and other securities market participants. The purpose of the Law is to regulate, supervise, develop and promote an ordered, efficient, transparent securities market in order to protect the rights and interests of the investing public, minimize systemic risk, foster healthy competition and maintain confidence in the securities market for the benefit of the country</w:t>
      </w:r>
      <w:r w:rsidR="00FE5A32">
        <w:t>'</w:t>
      </w:r>
      <w:r>
        <w:t>s social and economic development. The Law incorporates the objectives and principles of the International Organization of Securities Commissions (</w:t>
      </w:r>
      <w:proofErr w:type="spellStart"/>
      <w:r>
        <w:t>IOSCO</w:t>
      </w:r>
      <w:proofErr w:type="spellEnd"/>
      <w:r>
        <w:t xml:space="preserve">) that apply to the regulation of securities markets in the OECD. </w:t>
      </w:r>
    </w:p>
    <w:p w14:paraId="10A9528B" w14:textId="77777777" w:rsidR="00EB7374" w:rsidRPr="00C82265" w:rsidRDefault="00EB7374" w:rsidP="00C80D98">
      <w:pPr>
        <w:pStyle w:val="BodyText"/>
      </w:pPr>
      <w:r>
        <w:t xml:space="preserve">Securities market operators must be entered on the Securities Market Register (RMV) held by the </w:t>
      </w:r>
      <w:proofErr w:type="spellStart"/>
      <w:r>
        <w:t>SIMV</w:t>
      </w:r>
      <w:proofErr w:type="spellEnd"/>
      <w:r>
        <w:t>. At end-2021, the following were enrolled in the RMV: 26 external auditors, 10 investment fund management companies, 1 stock exchange, 1 commodity exchange, 3 rating agencies, 182 securities dealers, 1 centralized securities depository, 41 securities issuers, 17 brokerage firms, 25 investment developers (3 legal persons), 1 price vendor, 4 public offering trust companies and 1 securitization company.</w:t>
      </w:r>
    </w:p>
    <w:p w14:paraId="4AD0659A" w14:textId="142DE5BA" w:rsidR="00EB7374" w:rsidRDefault="00EB7374" w:rsidP="00C80D98">
      <w:pPr>
        <w:pStyle w:val="BodyText"/>
      </w:pPr>
      <w:r>
        <w:t xml:space="preserve">During the review period, the Dominican securities market has developed in positive fashion. The authorities indicated that the emergence of new instruments led to new guidelines being incorporated into the regulatory framework. In that regard, the </w:t>
      </w:r>
      <w:proofErr w:type="spellStart"/>
      <w:r>
        <w:t>CNMV</w:t>
      </w:r>
      <w:proofErr w:type="spellEnd"/>
      <w:r>
        <w:t xml:space="preserve"> approved a series of regulations that seek to develop and bolster the securities market, including: (a) amendments to the Regulation on Management Companies and Investment Funds (2021); (b) the Regulation on Supervision, Change of Control, Merger, Administrative Intervention, Suspension and Striking Off of Issuers and Publicly Offered Securities (2021); (c) the Regulation in respect of Comprehensive Risk Management for Securities Intermediaries (2020); (d) the Regulation on Management Companies and Investment Funds (2019); (e) the Regulation on Public Offerings (2019); (f) the Regulation on Securities Intermediaries (2019); (g) the Regulation on Centralized Securities Depositories and Securities Clearance and Settlement Systems (2019); (h) the Regulation to provide for and operate Centralized Trading Mechanisms (2019); (</w:t>
      </w:r>
      <w:proofErr w:type="spellStart"/>
      <w:r>
        <w:t>i</w:t>
      </w:r>
      <w:proofErr w:type="spellEnd"/>
      <w:r>
        <w:t>) the Regulation to provide for and operate on the OTC</w:t>
      </w:r>
      <w:r w:rsidR="00B46ED2">
        <w:t> </w:t>
      </w:r>
      <w:r>
        <w:t>Market and Registration Systems for Securities Transactions (2019); (j) the Regulation on Corporate Governance (2019); (k) the Regulation governing the Prevention of Money Laundering, Financing of Terrorism and the Proliferation of Weapons of Mass Destruction on the Dominican Securities Market (2018); and (l) the Regulation on Regulatory Fees and Fees for Services provided by the Securities Market Supervisory Authority (2018).</w:t>
      </w:r>
    </w:p>
    <w:p w14:paraId="37D6AD3F" w14:textId="77777777" w:rsidR="00EB7374" w:rsidRPr="00066030" w:rsidRDefault="00EB7374" w:rsidP="00C80D98">
      <w:pPr>
        <w:pStyle w:val="BodyText"/>
      </w:pPr>
      <w:r>
        <w:t xml:space="preserve">Additionally, in 2022 the </w:t>
      </w:r>
      <w:proofErr w:type="spellStart"/>
      <w:r>
        <w:t>CNMV</w:t>
      </w:r>
      <w:proofErr w:type="spellEnd"/>
      <w:r>
        <w:t xml:space="preserve"> approved (a) the Regulation on Rating Agencies; (b) the Regulation on the Administrative Penalties Procedure; and (c) the Regulation on Privileged Information, Relevant Facts and Market Manipulation.</w:t>
      </w:r>
    </w:p>
    <w:p w14:paraId="41C11DBB" w14:textId="57D0731B" w:rsidR="00EB7374" w:rsidRDefault="00EB7374" w:rsidP="00C80D98">
      <w:pPr>
        <w:pStyle w:val="BodyText"/>
      </w:pPr>
      <w:r w:rsidRPr="00125577">
        <w:lastRenderedPageBreak/>
        <w:t>Law No. 249-17 on</w:t>
      </w:r>
      <w:r>
        <w:t xml:space="preserve"> the Securities Market and its implementing regulations provide that the application for approval of a public offering of securities must be accompanied by a prospectus that includes economic and financial information covering, for share offerings, at least the three years of the company</w:t>
      </w:r>
      <w:r w:rsidR="00FE5A32">
        <w:t>'</w:t>
      </w:r>
      <w:r>
        <w:t xml:space="preserve">s operations prior to the application, or for debt securities, at least two years, as well as the characteristics of the securities offered and a report by a registered entity of the risks associated with them. Companies that do not meet the operating period set out above must submit financial statements for the period that they have been in operation. The financial statements must be in accordance with the International Financial Reporting Standards (IFRS). </w:t>
      </w:r>
    </w:p>
    <w:p w14:paraId="289E7297" w14:textId="77777777" w:rsidR="00EB7374" w:rsidRPr="00066030" w:rsidRDefault="00EB7374" w:rsidP="00C80D98">
      <w:pPr>
        <w:pStyle w:val="BodyText"/>
      </w:pPr>
      <w:r>
        <w:t xml:space="preserve">Law No. 249-17 on the Securities Market, the associated Regulations on Public Offering and Corporate Governance, and recent Law No. 163-21 Promoting the Placement and Trading of Publicly Offered Securities on the Securities Market of the Dominican Republic established a regulatory framework that made it possible for listed companies to emerge onto the market. The Single Resolution of the Securities Market Supervisory Authority (R-SIMV-2022-12-EV) of 4 April 2022 approved the first public share offering in the Dominican Republic. </w:t>
      </w:r>
    </w:p>
    <w:p w14:paraId="619ED4A8" w14:textId="77777777" w:rsidR="00EB7374" w:rsidRPr="00A35956" w:rsidRDefault="00EB7374" w:rsidP="00C80D98">
      <w:pPr>
        <w:pStyle w:val="Heading4"/>
      </w:pPr>
      <w:bookmarkStart w:id="375" w:name="_Toc114735783"/>
      <w:bookmarkStart w:id="376" w:name="_Toc117260664"/>
      <w:r>
        <w:t>Payment systems and cybersecurity</w:t>
      </w:r>
      <w:bookmarkEnd w:id="375"/>
      <w:bookmarkEnd w:id="376"/>
    </w:p>
    <w:p w14:paraId="25512E03" w14:textId="459A2FB6" w:rsidR="00EB7374" w:rsidRPr="00A35956" w:rsidRDefault="00EB7374" w:rsidP="00C80D98">
      <w:pPr>
        <w:pStyle w:val="BodyText"/>
      </w:pPr>
      <w:r>
        <w:t xml:space="preserve">In accordance with Law No. 183-02, the Central Bank is responsible for supervising and settling payment systems. The Law also provides that the key purposes of the regulations issued by the Monetary Board governing the organization and operation of the clearance and settlement system are to ensure that payments are made immediately and successfully. To that end, in its Sixth Resolution of 19 April 2007, the Monetary Board approved the Payment Systems Regulations, which determine the legal regime and procedures applicable to the </w:t>
      </w:r>
      <w:r w:rsidRPr="006E1530">
        <w:rPr>
          <w:rFonts w:eastAsia="Verdana" w:cs="Times New Roman"/>
        </w:rPr>
        <w:t>System of Payments and Settlement of Securities</w:t>
      </w:r>
      <w:r>
        <w:t xml:space="preserve"> of the Dominican Republic (</w:t>
      </w:r>
      <w:proofErr w:type="spellStart"/>
      <w:r>
        <w:t>SIPARD</w:t>
      </w:r>
      <w:proofErr w:type="spellEnd"/>
      <w:r>
        <w:t xml:space="preserve">). The rules have undergone several modifications to strengthen the regulation, oversight and management of the various payment systems that constitute </w:t>
      </w:r>
      <w:proofErr w:type="spellStart"/>
      <w:r>
        <w:t>SIPARD</w:t>
      </w:r>
      <w:proofErr w:type="spellEnd"/>
      <w:r>
        <w:t>, most recently under the Second Resolution of the Monetary Board of 29 January</w:t>
      </w:r>
      <w:r w:rsidR="002115D0">
        <w:t> </w:t>
      </w:r>
      <w:r>
        <w:t>2021.</w:t>
      </w:r>
      <w:r>
        <w:rPr>
          <w:vertAlign w:val="superscript"/>
        </w:rPr>
        <w:footnoteReference w:id="509"/>
      </w:r>
    </w:p>
    <w:p w14:paraId="365F0208" w14:textId="77777777" w:rsidR="00EB7374" w:rsidRPr="00A35956" w:rsidRDefault="00EB7374" w:rsidP="00C80D98">
      <w:pPr>
        <w:pStyle w:val="BodyText"/>
      </w:pPr>
      <w:r>
        <w:t xml:space="preserve">In order to ensure that the </w:t>
      </w:r>
      <w:proofErr w:type="spellStart"/>
      <w:r>
        <w:t>SIPARD</w:t>
      </w:r>
      <w:proofErr w:type="spellEnd"/>
      <w:r>
        <w:t xml:space="preserve"> infrastructure remains protected in the face of technological progress, the Second Resolution of the Monetary Board of 1 November 2018</w:t>
      </w:r>
      <w:r w:rsidRPr="009A57C3">
        <w:t xml:space="preserve"> </w:t>
      </w:r>
      <w:r>
        <w:t xml:space="preserve">approved the Cyber- and Information Security Regulations, establishing the principles and guidelines that will act as a foundation for financial intermediaries, payment system administrators and other participants in </w:t>
      </w:r>
      <w:proofErr w:type="spellStart"/>
      <w:r>
        <w:t>SIPARD</w:t>
      </w:r>
      <w:proofErr w:type="spellEnd"/>
      <w:r>
        <w:t xml:space="preserve">, and for institutions providing support and related services that are networked to financial intermediaries and </w:t>
      </w:r>
      <w:proofErr w:type="spellStart"/>
      <w:r>
        <w:t>SIPARD</w:t>
      </w:r>
      <w:proofErr w:type="spellEnd"/>
      <w:r>
        <w:t xml:space="preserve">, to maintain the integrity, availability and confidentiality of information while securing optimal functioning of information systems and the technological infrastructure. </w:t>
      </w:r>
    </w:p>
    <w:p w14:paraId="75DDB7AF" w14:textId="1839BE12" w:rsidR="00EB7374" w:rsidRPr="00A35956" w:rsidRDefault="00EB7374" w:rsidP="00C80D98">
      <w:pPr>
        <w:pStyle w:val="BodyText"/>
      </w:pPr>
      <w:proofErr w:type="spellStart"/>
      <w:r>
        <w:t>SIPARD</w:t>
      </w:r>
      <w:proofErr w:type="spellEnd"/>
      <w:r>
        <w:t xml:space="preserve"> underwent several changes during the review period, including (a) the implementation of an instant payment service managed by the Central Bank of the Dominican Republic (</w:t>
      </w:r>
      <w:proofErr w:type="spellStart"/>
      <w:r>
        <w:t>BCRD</w:t>
      </w:r>
      <w:proofErr w:type="spellEnd"/>
      <w:r>
        <w:t>), where bank clients use their banks</w:t>
      </w:r>
      <w:r w:rsidR="00FE5A32">
        <w:t>'</w:t>
      </w:r>
      <w:r>
        <w:t xml:space="preserve"> websites and mobile apps to transfer funds electronically in Dominican pesos and US dollars, 365 days a year; (b) compulsory adoption of the EMV (</w:t>
      </w:r>
      <w:proofErr w:type="spellStart"/>
      <w:r>
        <w:t>Europay</w:t>
      </w:r>
      <w:proofErr w:type="spellEnd"/>
      <w:r>
        <w:t xml:space="preserve"> Mastercard Visa) standard for issuing bank cards in order to make them more secure; and (c) the incorporation into the regulatory and supervisory framework of non</w:t>
      </w:r>
      <w:r w:rsidR="009E37D3">
        <w:noBreakHyphen/>
      </w:r>
      <w:r>
        <w:t>bank payment service providers such as (</w:t>
      </w:r>
      <w:proofErr w:type="spellStart"/>
      <w:r>
        <w:t>i</w:t>
      </w:r>
      <w:proofErr w:type="spellEnd"/>
      <w:r>
        <w:t>)  electronic payment entities – companies that provide, subject to regulations, payment services using financial technology; (ii)  acquiring companies that process payments made using electronic payment instruments, on behalf of affiliated establishments and/or payment aggregators; (iii) payment aggregators – companies that enable their affiliates to accept electronic payment instruments pursuant to agreements with other payment service providers; and (iv) administrators of automatic teller machine networks.</w:t>
      </w:r>
    </w:p>
    <w:p w14:paraId="55DC990D" w14:textId="77777777" w:rsidR="00EB7374" w:rsidRPr="00A35956" w:rsidRDefault="00EB7374" w:rsidP="00C80D98">
      <w:pPr>
        <w:pStyle w:val="BodyText"/>
      </w:pPr>
      <w:r>
        <w:t xml:space="preserve">In order to strengthen cybersecurity and provide greater protection for information, the </w:t>
      </w:r>
      <w:proofErr w:type="spellStart"/>
      <w:r>
        <w:t>BCRD</w:t>
      </w:r>
      <w:proofErr w:type="spellEnd"/>
      <w:r>
        <w:t xml:space="preserve"> has implemented strategies for the financial sector, for example by setting up the Sectoral Council for Financial Sector Cybersecurity Incident Response and the Financial Sector Cybersecurity Incident Response Centre (</w:t>
      </w:r>
      <w:proofErr w:type="spellStart"/>
      <w:r>
        <w:t>SPRICS</w:t>
      </w:r>
      <w:proofErr w:type="spellEnd"/>
      <w:r>
        <w:t xml:space="preserve">); by making an automated self-assessment tool available to all participants in the financial and payments systems in order to encourage implementation and management of the controls provided for in the Cyber- and Information Security Regulations; and </w:t>
      </w:r>
      <w:r>
        <w:lastRenderedPageBreak/>
        <w:t>by building capacity as regards monitoring, the generation of intelligence on threats to cybersecurity, and integration into analytical engines of intelligence on new sources of international data for the transmission of periodic alerts to the participants in the financial and payments system.</w:t>
      </w:r>
    </w:p>
    <w:p w14:paraId="0AE877E5" w14:textId="77777777" w:rsidR="00EB7374" w:rsidRDefault="00EB7374" w:rsidP="00C80D98">
      <w:pPr>
        <w:pStyle w:val="BodyText"/>
      </w:pPr>
      <w:r>
        <w:t xml:space="preserve">Electronic transfers of funds rose significantly during the review period, a fact that the authorities attribute to the initiatives referred to above. For example, the number of transactions processed daily through the real-time gross settlement (RTGS) system rose from 3,173 in 2015 to 50,558 in 2021. RTGS services are also used to process transactions performed using the payment systems managed by private payment system administrators. In 2021, there were eight systems using these services, compared to five in 2015. Similarly, a sum amounting to USD 13,077.3 million was settled in 2021, 35.4% more than the amount for 2015. </w:t>
      </w:r>
      <w:r>
        <w:rPr>
          <w:noProof/>
        </w:rPr>
        <w:t xml:space="preserve">At </w:t>
      </w:r>
      <w:r>
        <w:t>December 2021, 5.4 million users had signed up to Internet banking services provided by financial intermediaries, an increase of 164.8% compared to December 2015. Electronic commerce has grown significantly owing to the greater availability of bank cards and the diversity of suppliers of goods and services that operate using electronic solutions.</w:t>
      </w:r>
    </w:p>
    <w:p w14:paraId="134C3C73" w14:textId="77777777" w:rsidR="00EB7374" w:rsidRPr="00A35956" w:rsidRDefault="00EB7374" w:rsidP="00C80D98">
      <w:pPr>
        <w:pStyle w:val="BodyText"/>
      </w:pPr>
      <w:r>
        <w:t xml:space="preserve">The </w:t>
      </w:r>
      <w:proofErr w:type="spellStart"/>
      <w:r>
        <w:t>BCRD</w:t>
      </w:r>
      <w:proofErr w:type="spellEnd"/>
      <w:r>
        <w:t xml:space="preserve"> also manages a cross-border payment system – the </w:t>
      </w:r>
      <w:r w:rsidRPr="006E1530">
        <w:rPr>
          <w:rFonts w:eastAsia="Verdana" w:cs="Times New Roman"/>
        </w:rPr>
        <w:t>Central American Interconnected Payment System</w:t>
      </w:r>
      <w:r w:rsidDel="006E1530">
        <w:t xml:space="preserve"> </w:t>
      </w:r>
      <w:r>
        <w:t>(</w:t>
      </w:r>
      <w:proofErr w:type="spellStart"/>
      <w:r>
        <w:t>SIPA</w:t>
      </w:r>
      <w:proofErr w:type="spellEnd"/>
      <w:r>
        <w:t>), which is linked to the settlement systems of the central banks of the member States of the Central American Monetary Council (CMCA), namely Guatemala, Costa Rica, Honduras, Nicaragua, El Salvador and the Dominican Republic. The system, which processes intra-regional payments, allows payments between these countries to be settled in real time. The authorities indicated that during the review period the sum processed in transactions conducted using the system was USD 798.8 million.</w:t>
      </w:r>
    </w:p>
    <w:p w14:paraId="6EB7BA5A" w14:textId="77777777" w:rsidR="00EB7374" w:rsidRDefault="00EB7374" w:rsidP="00C80D98">
      <w:pPr>
        <w:pStyle w:val="Heading3"/>
      </w:pPr>
      <w:bookmarkStart w:id="377" w:name="_Toc114735784"/>
      <w:bookmarkStart w:id="378" w:name="_Toc117260665"/>
      <w:r>
        <w:t>Telecommunications</w:t>
      </w:r>
      <w:bookmarkEnd w:id="377"/>
      <w:bookmarkEnd w:id="378"/>
    </w:p>
    <w:p w14:paraId="1974FFD7" w14:textId="77777777" w:rsidR="00EB7374" w:rsidRDefault="00EB7374" w:rsidP="00C80D98">
      <w:pPr>
        <w:pStyle w:val="BodyText"/>
      </w:pPr>
      <w:r>
        <w:t>As is the case in other countries, telecommunications and related technologies have become a major cross-cutting force for social and economic development in the Dominican Republic. The transformation of the sector, which has partly been accelerated by the pandemic, is evident in the falling demand from landline telephony traffic and the rising demand for broadband. However, this dynamism within the sector stands in contrast with its performance in terms of share of GDP and value added. Its contribution to Dominican GDP fell 0.2 percentage points between 2015 and 2021, and was just 0.8% in 2021. Even though the sector's growth was positive (+31%) during the review period, the sector's value added has not increased significantly and has hovered around USD 750 million per year, only rising above USD 800 million in 2018.</w:t>
      </w:r>
      <w:r>
        <w:rPr>
          <w:rStyle w:val="FootnoteReference"/>
        </w:rPr>
        <w:footnoteReference w:id="510"/>
      </w:r>
    </w:p>
    <w:p w14:paraId="3887995F" w14:textId="4FB05E2C" w:rsidR="00EB7374" w:rsidRDefault="00EB7374" w:rsidP="00C80D98">
      <w:pPr>
        <w:pStyle w:val="BodyText"/>
      </w:pPr>
      <w:r>
        <w:t>The landline and mobile telephony segment experienced low growth (+6% between 2015 and 2021) compared to the growth in Internet services, where the number of users almost doubled (+90%) (Table 4.12). Landline telephony is showing signs of contraction as, even though the number of users has remained stable at around 1.2 million (-0.1 million users since 2015), due to population growth, its penetration rate was only slightly over 10% in 2021.</w:t>
      </w:r>
      <w:r w:rsidRPr="00C23180">
        <w:rPr>
          <w:rStyle w:val="FootnoteReference"/>
        </w:rPr>
        <w:footnoteReference w:id="511"/>
      </w:r>
      <w:r>
        <w:t xml:space="preserve"> During the review period, the number of mobile telephony users grew by 8%, meaning that 9 out of 10 Dominican residents have access to this service. The total number of Internet accounts in the country increased by 4.6</w:t>
      </w:r>
      <w:r w:rsidR="004904AD">
        <w:t> </w:t>
      </w:r>
      <w:r>
        <w:t xml:space="preserve">million, of which 93% are mobile broadband accounts. The </w:t>
      </w:r>
      <w:proofErr w:type="spellStart"/>
      <w:r>
        <w:t>teledensity</w:t>
      </w:r>
      <w:proofErr w:type="spellEnd"/>
      <w:r>
        <w:t xml:space="preserve"> of these services has been rising steadily since 2015, meaning that two thirds of the population (67.1%) had Internet access through this type of service in 2021.</w:t>
      </w:r>
      <w:r>
        <w:rPr>
          <w:rStyle w:val="FootnoteReference"/>
        </w:rPr>
        <w:footnoteReference w:id="512"/>
      </w:r>
    </w:p>
    <w:p w14:paraId="4513A92E" w14:textId="77777777" w:rsidR="00EB7374" w:rsidRDefault="00EB7374" w:rsidP="00107C00">
      <w:pPr>
        <w:pStyle w:val="Caption"/>
      </w:pPr>
      <w:bookmarkStart w:id="379" w:name="_Toc114735848"/>
      <w:bookmarkStart w:id="380" w:name="_Toc117238066"/>
      <w:bookmarkStart w:id="381" w:name="_Toc417038643"/>
      <w:r>
        <w:lastRenderedPageBreak/>
        <w:t xml:space="preserve">Table </w:t>
      </w:r>
      <w:r w:rsidR="00BD37F2">
        <w:fldChar w:fldCharType="begin"/>
      </w:r>
      <w:r w:rsidR="00BD37F2">
        <w:instrText xml:space="preserve"> STYLEREF 1 \s </w:instrText>
      </w:r>
      <w:r w:rsidR="00BD37F2">
        <w:fldChar w:fldCharType="separate"/>
      </w:r>
      <w:r>
        <w:rPr>
          <w:noProof/>
        </w:rPr>
        <w:t>4</w:t>
      </w:r>
      <w:r w:rsidR="00BD37F2">
        <w:rPr>
          <w:noProof/>
        </w:rPr>
        <w:fldChar w:fldCharType="end"/>
      </w:r>
      <w:r>
        <w:t>.</w:t>
      </w:r>
      <w:r w:rsidR="00BD37F2">
        <w:fldChar w:fldCharType="begin"/>
      </w:r>
      <w:r w:rsidR="00BD37F2">
        <w:instrText xml:space="preserve"> SEQ Table \* ARABIC \s 1 </w:instrText>
      </w:r>
      <w:r w:rsidR="00BD37F2">
        <w:fldChar w:fldCharType="separate"/>
      </w:r>
      <w:r>
        <w:rPr>
          <w:noProof/>
        </w:rPr>
        <w:t>12</w:t>
      </w:r>
      <w:r w:rsidR="00BD37F2">
        <w:rPr>
          <w:noProof/>
        </w:rPr>
        <w:fldChar w:fldCharType="end"/>
      </w:r>
      <w:r>
        <w:t xml:space="preserve"> Telecommunications indicators, 2015-21</w:t>
      </w:r>
      <w:bookmarkEnd w:id="379"/>
      <w:bookmarkEnd w:id="380"/>
    </w:p>
    <w:bookmarkEnd w:id="381"/>
    <w:tbl>
      <w:tblPr>
        <w:tblStyle w:val="WTOTable1"/>
        <w:tblW w:w="0" w:type="auto"/>
        <w:tblLook w:val="04A0" w:firstRow="1" w:lastRow="0" w:firstColumn="1" w:lastColumn="0" w:noHBand="0" w:noVBand="1"/>
      </w:tblPr>
      <w:tblGrid>
        <w:gridCol w:w="3114"/>
        <w:gridCol w:w="843"/>
        <w:gridCol w:w="843"/>
        <w:gridCol w:w="843"/>
        <w:gridCol w:w="843"/>
        <w:gridCol w:w="843"/>
        <w:gridCol w:w="843"/>
        <w:gridCol w:w="844"/>
      </w:tblGrid>
      <w:tr w:rsidR="00EB7374" w:rsidRPr="006E6EEB" w14:paraId="70EE45D5" w14:textId="77777777" w:rsidTr="00C700EB">
        <w:trPr>
          <w:cnfStyle w:val="100000000000" w:firstRow="1" w:lastRow="0" w:firstColumn="0" w:lastColumn="0" w:oddVBand="0" w:evenVBand="0" w:oddHBand="0" w:evenHBand="0" w:firstRowFirstColumn="0" w:firstRowLastColumn="0" w:lastRowFirstColumn="0" w:lastRowLastColumn="0"/>
          <w:cantSplit/>
          <w:tblHeader/>
        </w:trPr>
        <w:tc>
          <w:tcPr>
            <w:tcW w:w="3114" w:type="dxa"/>
          </w:tcPr>
          <w:p w14:paraId="1E4E111F" w14:textId="77777777" w:rsidR="00EB7374" w:rsidRPr="006E6EEB" w:rsidRDefault="00EB7374" w:rsidP="00107C00">
            <w:pPr>
              <w:keepNext/>
              <w:jc w:val="left"/>
              <w:rPr>
                <w:b w:val="0"/>
                <w:sz w:val="15"/>
                <w:szCs w:val="15"/>
              </w:rPr>
            </w:pPr>
          </w:p>
        </w:tc>
        <w:tc>
          <w:tcPr>
            <w:tcW w:w="843" w:type="dxa"/>
          </w:tcPr>
          <w:p w14:paraId="33F389B6" w14:textId="77777777" w:rsidR="00EB7374" w:rsidRPr="006E6EEB" w:rsidRDefault="00EB7374" w:rsidP="00107C00">
            <w:pPr>
              <w:keepNext/>
              <w:jc w:val="right"/>
              <w:rPr>
                <w:bCs/>
                <w:sz w:val="15"/>
                <w:szCs w:val="15"/>
              </w:rPr>
            </w:pPr>
            <w:r>
              <w:rPr>
                <w:sz w:val="15"/>
              </w:rPr>
              <w:t>2015</w:t>
            </w:r>
          </w:p>
        </w:tc>
        <w:tc>
          <w:tcPr>
            <w:tcW w:w="843" w:type="dxa"/>
          </w:tcPr>
          <w:p w14:paraId="20F6CE7B" w14:textId="77777777" w:rsidR="00EB7374" w:rsidRPr="006E6EEB" w:rsidRDefault="00EB7374" w:rsidP="00107C00">
            <w:pPr>
              <w:keepNext/>
              <w:jc w:val="right"/>
              <w:rPr>
                <w:bCs/>
                <w:sz w:val="15"/>
                <w:szCs w:val="15"/>
              </w:rPr>
            </w:pPr>
            <w:r>
              <w:rPr>
                <w:sz w:val="15"/>
              </w:rPr>
              <w:t>2016</w:t>
            </w:r>
          </w:p>
        </w:tc>
        <w:tc>
          <w:tcPr>
            <w:tcW w:w="843" w:type="dxa"/>
          </w:tcPr>
          <w:p w14:paraId="375C0379" w14:textId="77777777" w:rsidR="00EB7374" w:rsidRPr="006E6EEB" w:rsidRDefault="00EB7374" w:rsidP="00107C00">
            <w:pPr>
              <w:keepNext/>
              <w:jc w:val="right"/>
              <w:rPr>
                <w:bCs/>
                <w:sz w:val="15"/>
                <w:szCs w:val="15"/>
              </w:rPr>
            </w:pPr>
            <w:r>
              <w:rPr>
                <w:sz w:val="15"/>
              </w:rPr>
              <w:t>2017</w:t>
            </w:r>
          </w:p>
        </w:tc>
        <w:tc>
          <w:tcPr>
            <w:tcW w:w="843" w:type="dxa"/>
          </w:tcPr>
          <w:p w14:paraId="5FFE1B09" w14:textId="77777777" w:rsidR="00EB7374" w:rsidRPr="006E6EEB" w:rsidRDefault="00EB7374" w:rsidP="00107C00">
            <w:pPr>
              <w:keepNext/>
              <w:jc w:val="right"/>
              <w:rPr>
                <w:bCs/>
                <w:sz w:val="15"/>
                <w:szCs w:val="15"/>
              </w:rPr>
            </w:pPr>
            <w:r>
              <w:rPr>
                <w:sz w:val="15"/>
              </w:rPr>
              <w:t>2018</w:t>
            </w:r>
          </w:p>
        </w:tc>
        <w:tc>
          <w:tcPr>
            <w:tcW w:w="843" w:type="dxa"/>
          </w:tcPr>
          <w:p w14:paraId="32601F8E" w14:textId="77777777" w:rsidR="00EB7374" w:rsidRPr="006E6EEB" w:rsidRDefault="00EB7374" w:rsidP="00107C00">
            <w:pPr>
              <w:keepNext/>
              <w:jc w:val="right"/>
              <w:rPr>
                <w:bCs/>
                <w:sz w:val="15"/>
                <w:szCs w:val="15"/>
              </w:rPr>
            </w:pPr>
            <w:r>
              <w:rPr>
                <w:sz w:val="15"/>
              </w:rPr>
              <w:t>2019</w:t>
            </w:r>
          </w:p>
        </w:tc>
        <w:tc>
          <w:tcPr>
            <w:tcW w:w="843" w:type="dxa"/>
          </w:tcPr>
          <w:p w14:paraId="2CA76B05" w14:textId="77777777" w:rsidR="00EB7374" w:rsidRPr="006E6EEB" w:rsidRDefault="00EB7374" w:rsidP="00107C00">
            <w:pPr>
              <w:keepNext/>
              <w:jc w:val="right"/>
              <w:rPr>
                <w:bCs/>
                <w:sz w:val="15"/>
                <w:szCs w:val="15"/>
              </w:rPr>
            </w:pPr>
            <w:r>
              <w:rPr>
                <w:sz w:val="15"/>
              </w:rPr>
              <w:t>2020</w:t>
            </w:r>
          </w:p>
        </w:tc>
        <w:tc>
          <w:tcPr>
            <w:tcW w:w="844" w:type="dxa"/>
          </w:tcPr>
          <w:p w14:paraId="2DC16FE4" w14:textId="77777777" w:rsidR="00EB7374" w:rsidRPr="006E6EEB" w:rsidRDefault="00EB7374" w:rsidP="00107C00">
            <w:pPr>
              <w:keepNext/>
              <w:jc w:val="right"/>
              <w:rPr>
                <w:bCs/>
                <w:sz w:val="15"/>
                <w:szCs w:val="15"/>
              </w:rPr>
            </w:pPr>
            <w:r>
              <w:rPr>
                <w:sz w:val="15"/>
              </w:rPr>
              <w:t>2021</w:t>
            </w:r>
          </w:p>
        </w:tc>
      </w:tr>
      <w:tr w:rsidR="00EB7374" w:rsidRPr="006E6EEB" w14:paraId="202400EB" w14:textId="77777777" w:rsidTr="00C700EB">
        <w:trPr>
          <w:cantSplit/>
        </w:trPr>
        <w:tc>
          <w:tcPr>
            <w:tcW w:w="3114" w:type="dxa"/>
          </w:tcPr>
          <w:p w14:paraId="7FF9EB92" w14:textId="77777777" w:rsidR="00EB7374" w:rsidRPr="006E6EEB" w:rsidRDefault="00EB7374" w:rsidP="00107C00">
            <w:pPr>
              <w:keepNext/>
              <w:jc w:val="left"/>
              <w:rPr>
                <w:sz w:val="15"/>
                <w:szCs w:val="15"/>
              </w:rPr>
            </w:pPr>
            <w:r>
              <w:rPr>
                <w:sz w:val="15"/>
              </w:rPr>
              <w:t>Communications share of GDP (at current prices) (%)</w:t>
            </w:r>
          </w:p>
        </w:tc>
        <w:tc>
          <w:tcPr>
            <w:tcW w:w="843" w:type="dxa"/>
          </w:tcPr>
          <w:p w14:paraId="31CF2F29" w14:textId="77777777" w:rsidR="00EB7374" w:rsidRPr="006E6EEB" w:rsidRDefault="00EB7374" w:rsidP="00107C00">
            <w:pPr>
              <w:keepNext/>
              <w:jc w:val="right"/>
              <w:rPr>
                <w:sz w:val="15"/>
                <w:szCs w:val="15"/>
              </w:rPr>
            </w:pPr>
            <w:r>
              <w:rPr>
                <w:sz w:val="15"/>
              </w:rPr>
              <w:t>1.0</w:t>
            </w:r>
          </w:p>
        </w:tc>
        <w:tc>
          <w:tcPr>
            <w:tcW w:w="843" w:type="dxa"/>
          </w:tcPr>
          <w:p w14:paraId="7450F9C1" w14:textId="77777777" w:rsidR="00EB7374" w:rsidRPr="006E6EEB" w:rsidRDefault="00EB7374" w:rsidP="00107C00">
            <w:pPr>
              <w:keepNext/>
              <w:jc w:val="right"/>
              <w:rPr>
                <w:sz w:val="15"/>
                <w:szCs w:val="15"/>
              </w:rPr>
            </w:pPr>
            <w:r>
              <w:rPr>
                <w:sz w:val="15"/>
              </w:rPr>
              <w:t>1.0</w:t>
            </w:r>
          </w:p>
        </w:tc>
        <w:tc>
          <w:tcPr>
            <w:tcW w:w="843" w:type="dxa"/>
          </w:tcPr>
          <w:p w14:paraId="618A545A" w14:textId="77777777" w:rsidR="00EB7374" w:rsidRPr="006E6EEB" w:rsidRDefault="00EB7374" w:rsidP="00107C00">
            <w:pPr>
              <w:keepNext/>
              <w:jc w:val="right"/>
              <w:rPr>
                <w:sz w:val="15"/>
                <w:szCs w:val="15"/>
              </w:rPr>
            </w:pPr>
            <w:r>
              <w:rPr>
                <w:sz w:val="15"/>
              </w:rPr>
              <w:t>1.0</w:t>
            </w:r>
          </w:p>
        </w:tc>
        <w:tc>
          <w:tcPr>
            <w:tcW w:w="843" w:type="dxa"/>
          </w:tcPr>
          <w:p w14:paraId="12D2E8A0" w14:textId="77777777" w:rsidR="00EB7374" w:rsidRPr="006E6EEB" w:rsidRDefault="00EB7374" w:rsidP="00107C00">
            <w:pPr>
              <w:keepNext/>
              <w:jc w:val="right"/>
              <w:rPr>
                <w:sz w:val="15"/>
                <w:szCs w:val="15"/>
              </w:rPr>
            </w:pPr>
            <w:r>
              <w:rPr>
                <w:sz w:val="15"/>
              </w:rPr>
              <w:t>1.0</w:t>
            </w:r>
          </w:p>
        </w:tc>
        <w:tc>
          <w:tcPr>
            <w:tcW w:w="843" w:type="dxa"/>
          </w:tcPr>
          <w:p w14:paraId="4032F321" w14:textId="77777777" w:rsidR="00EB7374" w:rsidRPr="006E6EEB" w:rsidRDefault="00EB7374" w:rsidP="00107C00">
            <w:pPr>
              <w:keepNext/>
              <w:jc w:val="right"/>
              <w:rPr>
                <w:sz w:val="15"/>
                <w:szCs w:val="15"/>
              </w:rPr>
            </w:pPr>
            <w:r>
              <w:rPr>
                <w:sz w:val="15"/>
              </w:rPr>
              <w:t>0.8</w:t>
            </w:r>
          </w:p>
        </w:tc>
        <w:tc>
          <w:tcPr>
            <w:tcW w:w="843" w:type="dxa"/>
          </w:tcPr>
          <w:p w14:paraId="7DA60AE2" w14:textId="77777777" w:rsidR="00EB7374" w:rsidRPr="006E6EEB" w:rsidRDefault="00EB7374" w:rsidP="00107C00">
            <w:pPr>
              <w:keepNext/>
              <w:jc w:val="right"/>
              <w:rPr>
                <w:sz w:val="15"/>
                <w:szCs w:val="15"/>
              </w:rPr>
            </w:pPr>
            <w:r>
              <w:rPr>
                <w:sz w:val="15"/>
              </w:rPr>
              <w:t>0.9</w:t>
            </w:r>
          </w:p>
        </w:tc>
        <w:tc>
          <w:tcPr>
            <w:tcW w:w="844" w:type="dxa"/>
          </w:tcPr>
          <w:p w14:paraId="65FC6E65" w14:textId="77777777" w:rsidR="00EB7374" w:rsidRPr="006E6EEB" w:rsidRDefault="00EB7374" w:rsidP="00107C00">
            <w:pPr>
              <w:keepNext/>
              <w:jc w:val="right"/>
              <w:rPr>
                <w:sz w:val="15"/>
                <w:szCs w:val="15"/>
              </w:rPr>
            </w:pPr>
            <w:r>
              <w:rPr>
                <w:sz w:val="15"/>
              </w:rPr>
              <w:t>0.8</w:t>
            </w:r>
          </w:p>
        </w:tc>
      </w:tr>
      <w:tr w:rsidR="00EB7374" w:rsidRPr="006E6EEB" w14:paraId="365DDC70" w14:textId="77777777" w:rsidTr="00C700EB">
        <w:trPr>
          <w:cnfStyle w:val="000000010000" w:firstRow="0" w:lastRow="0" w:firstColumn="0" w:lastColumn="0" w:oddVBand="0" w:evenVBand="0" w:oddHBand="0" w:evenHBand="1" w:firstRowFirstColumn="0" w:firstRowLastColumn="0" w:lastRowFirstColumn="0" w:lastRowLastColumn="0"/>
          <w:cantSplit/>
        </w:trPr>
        <w:tc>
          <w:tcPr>
            <w:tcW w:w="3114" w:type="dxa"/>
          </w:tcPr>
          <w:p w14:paraId="20440440" w14:textId="77777777" w:rsidR="00EB7374" w:rsidRPr="006E6EEB" w:rsidRDefault="00EB7374" w:rsidP="00107C00">
            <w:pPr>
              <w:keepNext/>
              <w:jc w:val="left"/>
              <w:rPr>
                <w:sz w:val="15"/>
                <w:szCs w:val="15"/>
              </w:rPr>
            </w:pPr>
            <w:r>
              <w:rPr>
                <w:sz w:val="15"/>
              </w:rPr>
              <w:t>Communications GDP growth rate (%)</w:t>
            </w:r>
          </w:p>
        </w:tc>
        <w:tc>
          <w:tcPr>
            <w:tcW w:w="843" w:type="dxa"/>
          </w:tcPr>
          <w:p w14:paraId="6C63CCA9" w14:textId="77777777" w:rsidR="00EB7374" w:rsidRPr="006E6EEB" w:rsidRDefault="00EB7374" w:rsidP="00107C00">
            <w:pPr>
              <w:keepNext/>
              <w:jc w:val="right"/>
              <w:rPr>
                <w:rFonts w:cs="Arial"/>
                <w:sz w:val="15"/>
                <w:szCs w:val="15"/>
              </w:rPr>
            </w:pPr>
            <w:r>
              <w:rPr>
                <w:sz w:val="15"/>
              </w:rPr>
              <w:t>5.8</w:t>
            </w:r>
          </w:p>
        </w:tc>
        <w:tc>
          <w:tcPr>
            <w:tcW w:w="843" w:type="dxa"/>
          </w:tcPr>
          <w:p w14:paraId="4BAF5F30" w14:textId="77777777" w:rsidR="00EB7374" w:rsidRPr="006E6EEB" w:rsidRDefault="00EB7374" w:rsidP="00107C00">
            <w:pPr>
              <w:keepNext/>
              <w:jc w:val="right"/>
              <w:rPr>
                <w:rFonts w:cs="Arial"/>
                <w:sz w:val="15"/>
                <w:szCs w:val="15"/>
              </w:rPr>
            </w:pPr>
            <w:r>
              <w:rPr>
                <w:sz w:val="15"/>
              </w:rPr>
              <w:t>5.9</w:t>
            </w:r>
          </w:p>
        </w:tc>
        <w:tc>
          <w:tcPr>
            <w:tcW w:w="843" w:type="dxa"/>
          </w:tcPr>
          <w:p w14:paraId="21E38E94" w14:textId="77777777" w:rsidR="00EB7374" w:rsidRPr="006E6EEB" w:rsidRDefault="00EB7374" w:rsidP="00107C00">
            <w:pPr>
              <w:keepNext/>
              <w:ind w:firstLineChars="100" w:firstLine="150"/>
              <w:jc w:val="right"/>
              <w:rPr>
                <w:rFonts w:cs="Arial"/>
                <w:sz w:val="15"/>
                <w:szCs w:val="15"/>
              </w:rPr>
            </w:pPr>
            <w:r>
              <w:rPr>
                <w:sz w:val="15"/>
              </w:rPr>
              <w:t>3.9</w:t>
            </w:r>
          </w:p>
        </w:tc>
        <w:tc>
          <w:tcPr>
            <w:tcW w:w="843" w:type="dxa"/>
          </w:tcPr>
          <w:p w14:paraId="31E18AF3" w14:textId="77777777" w:rsidR="00EB7374" w:rsidRPr="006E6EEB" w:rsidRDefault="00EB7374" w:rsidP="00107C00">
            <w:pPr>
              <w:keepNext/>
              <w:jc w:val="right"/>
              <w:rPr>
                <w:rFonts w:cs="Arial"/>
                <w:sz w:val="15"/>
                <w:szCs w:val="15"/>
              </w:rPr>
            </w:pPr>
            <w:r>
              <w:rPr>
                <w:sz w:val="15"/>
              </w:rPr>
              <w:t>12.5</w:t>
            </w:r>
          </w:p>
        </w:tc>
        <w:tc>
          <w:tcPr>
            <w:tcW w:w="843" w:type="dxa"/>
          </w:tcPr>
          <w:p w14:paraId="349C552F" w14:textId="77777777" w:rsidR="00EB7374" w:rsidRPr="006E6EEB" w:rsidRDefault="00EB7374" w:rsidP="00107C00">
            <w:pPr>
              <w:keepNext/>
              <w:jc w:val="right"/>
              <w:rPr>
                <w:rFonts w:cs="Arial"/>
                <w:sz w:val="15"/>
                <w:szCs w:val="15"/>
              </w:rPr>
            </w:pPr>
            <w:r>
              <w:rPr>
                <w:sz w:val="15"/>
              </w:rPr>
              <w:t>-7.2</w:t>
            </w:r>
          </w:p>
        </w:tc>
        <w:tc>
          <w:tcPr>
            <w:tcW w:w="843" w:type="dxa"/>
          </w:tcPr>
          <w:p w14:paraId="6C7CBBCC" w14:textId="77777777" w:rsidR="00EB7374" w:rsidRPr="006E6EEB" w:rsidRDefault="00EB7374" w:rsidP="00107C00">
            <w:pPr>
              <w:keepNext/>
              <w:jc w:val="right"/>
              <w:rPr>
                <w:sz w:val="15"/>
                <w:szCs w:val="15"/>
              </w:rPr>
            </w:pPr>
            <w:r>
              <w:rPr>
                <w:sz w:val="15"/>
              </w:rPr>
              <w:t>2.7</w:t>
            </w:r>
          </w:p>
        </w:tc>
        <w:tc>
          <w:tcPr>
            <w:tcW w:w="844" w:type="dxa"/>
          </w:tcPr>
          <w:p w14:paraId="083D6524" w14:textId="77777777" w:rsidR="00EB7374" w:rsidRPr="006E6EEB" w:rsidRDefault="00EB7374" w:rsidP="00107C00">
            <w:pPr>
              <w:keepNext/>
              <w:jc w:val="right"/>
              <w:rPr>
                <w:sz w:val="15"/>
                <w:szCs w:val="15"/>
              </w:rPr>
            </w:pPr>
            <w:r>
              <w:rPr>
                <w:sz w:val="15"/>
              </w:rPr>
              <w:t>4.0</w:t>
            </w:r>
          </w:p>
        </w:tc>
      </w:tr>
      <w:tr w:rsidR="00EB7374" w:rsidRPr="006E6EEB" w14:paraId="278D56D1" w14:textId="77777777" w:rsidTr="00C700EB">
        <w:trPr>
          <w:cantSplit/>
        </w:trPr>
        <w:tc>
          <w:tcPr>
            <w:tcW w:w="3114" w:type="dxa"/>
          </w:tcPr>
          <w:p w14:paraId="49DE7DAB" w14:textId="77777777" w:rsidR="00EB7374" w:rsidRPr="006E6EEB" w:rsidRDefault="00EB7374" w:rsidP="00C700EB">
            <w:pPr>
              <w:jc w:val="left"/>
              <w:rPr>
                <w:sz w:val="15"/>
                <w:szCs w:val="15"/>
              </w:rPr>
            </w:pPr>
            <w:r>
              <w:rPr>
                <w:sz w:val="15"/>
              </w:rPr>
              <w:t>Communications sector value added (USD million)</w:t>
            </w:r>
          </w:p>
        </w:tc>
        <w:tc>
          <w:tcPr>
            <w:tcW w:w="843" w:type="dxa"/>
          </w:tcPr>
          <w:p w14:paraId="7787DFCF" w14:textId="77777777" w:rsidR="00EB7374" w:rsidRPr="006E6EEB" w:rsidRDefault="00EB7374" w:rsidP="00C700EB">
            <w:pPr>
              <w:jc w:val="right"/>
              <w:rPr>
                <w:sz w:val="15"/>
                <w:szCs w:val="15"/>
              </w:rPr>
            </w:pPr>
            <w:r>
              <w:rPr>
                <w:sz w:val="15"/>
              </w:rPr>
              <w:t>744.8</w:t>
            </w:r>
          </w:p>
        </w:tc>
        <w:tc>
          <w:tcPr>
            <w:tcW w:w="843" w:type="dxa"/>
          </w:tcPr>
          <w:p w14:paraId="32A20E79" w14:textId="77777777" w:rsidR="00EB7374" w:rsidRPr="006E6EEB" w:rsidRDefault="00EB7374" w:rsidP="00C700EB">
            <w:pPr>
              <w:jc w:val="right"/>
              <w:rPr>
                <w:sz w:val="15"/>
                <w:szCs w:val="15"/>
              </w:rPr>
            </w:pPr>
            <w:r>
              <w:rPr>
                <w:sz w:val="15"/>
              </w:rPr>
              <w:t>757.3</w:t>
            </w:r>
          </w:p>
        </w:tc>
        <w:tc>
          <w:tcPr>
            <w:tcW w:w="843" w:type="dxa"/>
          </w:tcPr>
          <w:p w14:paraId="0E11FE9E" w14:textId="77777777" w:rsidR="00EB7374" w:rsidRPr="006E6EEB" w:rsidRDefault="00EB7374" w:rsidP="00C700EB">
            <w:pPr>
              <w:jc w:val="right"/>
              <w:rPr>
                <w:sz w:val="15"/>
                <w:szCs w:val="15"/>
              </w:rPr>
            </w:pPr>
            <w:r>
              <w:rPr>
                <w:sz w:val="15"/>
              </w:rPr>
              <w:t>766.7</w:t>
            </w:r>
          </w:p>
        </w:tc>
        <w:tc>
          <w:tcPr>
            <w:tcW w:w="843" w:type="dxa"/>
          </w:tcPr>
          <w:p w14:paraId="6361B1E3" w14:textId="77777777" w:rsidR="00EB7374" w:rsidRPr="006E6EEB" w:rsidRDefault="00EB7374" w:rsidP="00C700EB">
            <w:pPr>
              <w:jc w:val="right"/>
              <w:rPr>
                <w:sz w:val="15"/>
                <w:szCs w:val="15"/>
              </w:rPr>
            </w:pPr>
            <w:r>
              <w:rPr>
                <w:sz w:val="15"/>
              </w:rPr>
              <w:t>819.4</w:t>
            </w:r>
          </w:p>
        </w:tc>
        <w:tc>
          <w:tcPr>
            <w:tcW w:w="843" w:type="dxa"/>
          </w:tcPr>
          <w:p w14:paraId="35F23E09" w14:textId="77777777" w:rsidR="00EB7374" w:rsidRPr="006E6EEB" w:rsidRDefault="00EB7374" w:rsidP="00C700EB">
            <w:pPr>
              <w:jc w:val="right"/>
              <w:rPr>
                <w:sz w:val="15"/>
                <w:szCs w:val="15"/>
              </w:rPr>
            </w:pPr>
            <w:r>
              <w:rPr>
                <w:sz w:val="15"/>
              </w:rPr>
              <w:t>747.3</w:t>
            </w:r>
          </w:p>
        </w:tc>
        <w:tc>
          <w:tcPr>
            <w:tcW w:w="843" w:type="dxa"/>
          </w:tcPr>
          <w:p w14:paraId="2942C0AE" w14:textId="77777777" w:rsidR="00EB7374" w:rsidRPr="006E6EEB" w:rsidRDefault="00EB7374" w:rsidP="00C700EB">
            <w:pPr>
              <w:jc w:val="right"/>
              <w:rPr>
                <w:sz w:val="15"/>
                <w:szCs w:val="15"/>
              </w:rPr>
            </w:pPr>
            <w:r>
              <w:rPr>
                <w:sz w:val="15"/>
              </w:rPr>
              <w:t>712.2</w:t>
            </w:r>
          </w:p>
        </w:tc>
        <w:tc>
          <w:tcPr>
            <w:tcW w:w="844" w:type="dxa"/>
          </w:tcPr>
          <w:p w14:paraId="00E68BC9" w14:textId="77777777" w:rsidR="00EB7374" w:rsidRPr="006E6EEB" w:rsidRDefault="00EB7374" w:rsidP="00C700EB">
            <w:pPr>
              <w:jc w:val="right"/>
              <w:rPr>
                <w:sz w:val="15"/>
                <w:szCs w:val="15"/>
              </w:rPr>
            </w:pPr>
            <w:r>
              <w:rPr>
                <w:sz w:val="15"/>
              </w:rPr>
              <w:t>543.0</w:t>
            </w:r>
          </w:p>
        </w:tc>
      </w:tr>
      <w:tr w:rsidR="00EB7374" w:rsidRPr="006E6EEB" w14:paraId="4089567B" w14:textId="77777777" w:rsidTr="00C700EB">
        <w:trPr>
          <w:cnfStyle w:val="000000010000" w:firstRow="0" w:lastRow="0" w:firstColumn="0" w:lastColumn="0" w:oddVBand="0" w:evenVBand="0" w:oddHBand="0" w:evenHBand="1" w:firstRowFirstColumn="0" w:firstRowLastColumn="0" w:lastRowFirstColumn="0" w:lastRowLastColumn="0"/>
          <w:cantSplit/>
        </w:trPr>
        <w:tc>
          <w:tcPr>
            <w:tcW w:w="3114" w:type="dxa"/>
          </w:tcPr>
          <w:p w14:paraId="74485DA0" w14:textId="77777777" w:rsidR="00EB7374" w:rsidRPr="006E6EEB" w:rsidRDefault="00EB7374" w:rsidP="00C700EB">
            <w:pPr>
              <w:jc w:val="left"/>
              <w:rPr>
                <w:sz w:val="15"/>
                <w:szCs w:val="15"/>
              </w:rPr>
            </w:pPr>
            <w:r>
              <w:rPr>
                <w:sz w:val="15"/>
              </w:rPr>
              <w:t>Investment (USD million)</w:t>
            </w:r>
          </w:p>
          <w:p w14:paraId="173CB654" w14:textId="77777777" w:rsidR="00EB7374" w:rsidRPr="006E6EEB" w:rsidRDefault="00EB7374" w:rsidP="00C700EB">
            <w:pPr>
              <w:ind w:left="113"/>
              <w:jc w:val="left"/>
              <w:rPr>
                <w:sz w:val="15"/>
                <w:szCs w:val="15"/>
              </w:rPr>
            </w:pPr>
            <w:r>
              <w:rPr>
                <w:sz w:val="15"/>
              </w:rPr>
              <w:t xml:space="preserve">% of total </w:t>
            </w:r>
            <w:proofErr w:type="spellStart"/>
            <w:r>
              <w:rPr>
                <w:sz w:val="15"/>
              </w:rPr>
              <w:t>FDI</w:t>
            </w:r>
            <w:proofErr w:type="spellEnd"/>
            <w:r>
              <w:rPr>
                <w:sz w:val="15"/>
              </w:rPr>
              <w:t xml:space="preserve"> </w:t>
            </w:r>
          </w:p>
        </w:tc>
        <w:tc>
          <w:tcPr>
            <w:tcW w:w="843" w:type="dxa"/>
          </w:tcPr>
          <w:p w14:paraId="0F2B85AB" w14:textId="77777777" w:rsidR="00EB7374" w:rsidRPr="006E6EEB" w:rsidRDefault="00EB7374" w:rsidP="00C700EB">
            <w:pPr>
              <w:jc w:val="right"/>
              <w:rPr>
                <w:sz w:val="15"/>
                <w:szCs w:val="15"/>
              </w:rPr>
            </w:pPr>
            <w:r>
              <w:rPr>
                <w:sz w:val="15"/>
              </w:rPr>
              <w:t>335.9</w:t>
            </w:r>
          </w:p>
          <w:p w14:paraId="13B399BC" w14:textId="77777777" w:rsidR="00EB7374" w:rsidRPr="006E6EEB" w:rsidRDefault="00EB7374" w:rsidP="00C700EB">
            <w:pPr>
              <w:jc w:val="right"/>
              <w:rPr>
                <w:sz w:val="15"/>
                <w:szCs w:val="15"/>
              </w:rPr>
            </w:pPr>
            <w:r>
              <w:rPr>
                <w:sz w:val="15"/>
              </w:rPr>
              <w:t>15.2</w:t>
            </w:r>
          </w:p>
        </w:tc>
        <w:tc>
          <w:tcPr>
            <w:tcW w:w="843" w:type="dxa"/>
          </w:tcPr>
          <w:p w14:paraId="6C1D8601" w14:textId="77777777" w:rsidR="00EB7374" w:rsidRPr="006E6EEB" w:rsidRDefault="00EB7374" w:rsidP="00C700EB">
            <w:pPr>
              <w:jc w:val="right"/>
              <w:rPr>
                <w:sz w:val="15"/>
                <w:szCs w:val="15"/>
              </w:rPr>
            </w:pPr>
            <w:r>
              <w:rPr>
                <w:sz w:val="15"/>
              </w:rPr>
              <w:t>-263.9</w:t>
            </w:r>
          </w:p>
          <w:p w14:paraId="43AAC3DB" w14:textId="77777777" w:rsidR="00EB7374" w:rsidRPr="006E6EEB" w:rsidRDefault="00EB7374" w:rsidP="00C700EB">
            <w:pPr>
              <w:jc w:val="right"/>
              <w:rPr>
                <w:sz w:val="15"/>
                <w:szCs w:val="15"/>
              </w:rPr>
            </w:pPr>
            <w:r>
              <w:rPr>
                <w:sz w:val="15"/>
              </w:rPr>
              <w:t>-10.3</w:t>
            </w:r>
          </w:p>
        </w:tc>
        <w:tc>
          <w:tcPr>
            <w:tcW w:w="843" w:type="dxa"/>
          </w:tcPr>
          <w:p w14:paraId="09288D31" w14:textId="77777777" w:rsidR="00EB7374" w:rsidRPr="006E6EEB" w:rsidRDefault="00EB7374" w:rsidP="00C700EB">
            <w:pPr>
              <w:jc w:val="right"/>
              <w:rPr>
                <w:sz w:val="15"/>
                <w:szCs w:val="15"/>
              </w:rPr>
            </w:pPr>
            <w:r>
              <w:rPr>
                <w:sz w:val="15"/>
              </w:rPr>
              <w:t>67.1</w:t>
            </w:r>
          </w:p>
          <w:p w14:paraId="73BD421A" w14:textId="77777777" w:rsidR="00EB7374" w:rsidRPr="006E6EEB" w:rsidRDefault="00EB7374" w:rsidP="00C700EB">
            <w:pPr>
              <w:jc w:val="right"/>
              <w:rPr>
                <w:sz w:val="15"/>
                <w:szCs w:val="15"/>
              </w:rPr>
            </w:pPr>
            <w:r>
              <w:rPr>
                <w:sz w:val="15"/>
              </w:rPr>
              <w:t>1.9</w:t>
            </w:r>
          </w:p>
        </w:tc>
        <w:tc>
          <w:tcPr>
            <w:tcW w:w="843" w:type="dxa"/>
          </w:tcPr>
          <w:p w14:paraId="3E9DCD37" w14:textId="77777777" w:rsidR="00EB7374" w:rsidRPr="006E6EEB" w:rsidRDefault="00EB7374" w:rsidP="00C700EB">
            <w:pPr>
              <w:jc w:val="right"/>
              <w:rPr>
                <w:sz w:val="15"/>
                <w:szCs w:val="15"/>
              </w:rPr>
            </w:pPr>
            <w:r>
              <w:rPr>
                <w:sz w:val="15"/>
              </w:rPr>
              <w:t>-240.1</w:t>
            </w:r>
          </w:p>
          <w:p w14:paraId="46D694DE" w14:textId="77777777" w:rsidR="00EB7374" w:rsidRPr="006E6EEB" w:rsidRDefault="00EB7374" w:rsidP="00C700EB">
            <w:pPr>
              <w:jc w:val="right"/>
              <w:rPr>
                <w:sz w:val="15"/>
                <w:szCs w:val="15"/>
              </w:rPr>
            </w:pPr>
            <w:r>
              <w:rPr>
                <w:sz w:val="15"/>
              </w:rPr>
              <w:t>-9.4</w:t>
            </w:r>
          </w:p>
        </w:tc>
        <w:tc>
          <w:tcPr>
            <w:tcW w:w="843" w:type="dxa"/>
          </w:tcPr>
          <w:p w14:paraId="3119D2FB" w14:textId="77777777" w:rsidR="00EB7374" w:rsidRPr="006E6EEB" w:rsidRDefault="00EB7374" w:rsidP="00C700EB">
            <w:pPr>
              <w:jc w:val="right"/>
              <w:rPr>
                <w:sz w:val="15"/>
                <w:szCs w:val="15"/>
              </w:rPr>
            </w:pPr>
            <w:r>
              <w:rPr>
                <w:sz w:val="15"/>
              </w:rPr>
              <w:t>312.4</w:t>
            </w:r>
          </w:p>
          <w:p w14:paraId="46BFA1DA" w14:textId="77777777" w:rsidR="00EB7374" w:rsidRPr="006E6EEB" w:rsidRDefault="00EB7374" w:rsidP="00C700EB">
            <w:pPr>
              <w:jc w:val="right"/>
              <w:rPr>
                <w:sz w:val="15"/>
                <w:szCs w:val="15"/>
              </w:rPr>
            </w:pPr>
            <w:r>
              <w:rPr>
                <w:sz w:val="15"/>
              </w:rPr>
              <w:t>10.3</w:t>
            </w:r>
          </w:p>
        </w:tc>
        <w:tc>
          <w:tcPr>
            <w:tcW w:w="843" w:type="dxa"/>
          </w:tcPr>
          <w:p w14:paraId="40B10AA7" w14:textId="77777777" w:rsidR="00EB7374" w:rsidRPr="006E6EEB" w:rsidRDefault="00EB7374" w:rsidP="00C700EB">
            <w:pPr>
              <w:jc w:val="right"/>
              <w:rPr>
                <w:sz w:val="15"/>
                <w:szCs w:val="15"/>
              </w:rPr>
            </w:pPr>
            <w:r>
              <w:rPr>
                <w:sz w:val="15"/>
              </w:rPr>
              <w:t>-123.0</w:t>
            </w:r>
          </w:p>
          <w:p w14:paraId="62F27611" w14:textId="77777777" w:rsidR="00EB7374" w:rsidRPr="006E6EEB" w:rsidRDefault="00EB7374" w:rsidP="00C700EB">
            <w:pPr>
              <w:jc w:val="right"/>
              <w:rPr>
                <w:sz w:val="15"/>
                <w:szCs w:val="15"/>
              </w:rPr>
            </w:pPr>
            <w:r>
              <w:rPr>
                <w:sz w:val="15"/>
              </w:rPr>
              <w:t>-4.7</w:t>
            </w:r>
          </w:p>
        </w:tc>
        <w:tc>
          <w:tcPr>
            <w:tcW w:w="844" w:type="dxa"/>
          </w:tcPr>
          <w:p w14:paraId="0AA85C5F" w14:textId="77777777" w:rsidR="00EB7374" w:rsidRPr="006E6EEB" w:rsidRDefault="00EB7374" w:rsidP="00C700EB">
            <w:pPr>
              <w:jc w:val="right"/>
              <w:rPr>
                <w:sz w:val="15"/>
                <w:szCs w:val="15"/>
              </w:rPr>
            </w:pPr>
            <w:r>
              <w:rPr>
                <w:sz w:val="15"/>
              </w:rPr>
              <w:t>84.3</w:t>
            </w:r>
          </w:p>
          <w:p w14:paraId="77EC5517" w14:textId="77777777" w:rsidR="00EB7374" w:rsidRPr="006E6EEB" w:rsidRDefault="00EB7374" w:rsidP="00C700EB">
            <w:pPr>
              <w:jc w:val="right"/>
              <w:rPr>
                <w:sz w:val="15"/>
                <w:szCs w:val="15"/>
              </w:rPr>
            </w:pPr>
            <w:r>
              <w:rPr>
                <w:sz w:val="15"/>
              </w:rPr>
              <w:t>2.7</w:t>
            </w:r>
          </w:p>
        </w:tc>
      </w:tr>
      <w:tr w:rsidR="00EB7374" w:rsidRPr="006E6EEB" w14:paraId="522DA13B" w14:textId="77777777" w:rsidTr="00C700EB">
        <w:trPr>
          <w:cantSplit/>
        </w:trPr>
        <w:tc>
          <w:tcPr>
            <w:tcW w:w="3114" w:type="dxa"/>
          </w:tcPr>
          <w:p w14:paraId="6FC781BA" w14:textId="6BFFC8DA" w:rsidR="00EB7374" w:rsidRPr="006E6EEB" w:rsidRDefault="00EB7374" w:rsidP="00C700EB">
            <w:pPr>
              <w:jc w:val="left"/>
              <w:rPr>
                <w:b/>
                <w:sz w:val="15"/>
                <w:szCs w:val="15"/>
              </w:rPr>
            </w:pPr>
            <w:r>
              <w:rPr>
                <w:b/>
                <w:sz w:val="15"/>
              </w:rPr>
              <w:t>Telecommunications services</w:t>
            </w:r>
          </w:p>
        </w:tc>
        <w:tc>
          <w:tcPr>
            <w:tcW w:w="5902" w:type="dxa"/>
            <w:gridSpan w:val="7"/>
            <w:vAlign w:val="center"/>
          </w:tcPr>
          <w:p w14:paraId="53C89CA1" w14:textId="77777777" w:rsidR="00EB7374" w:rsidRPr="006E6EEB" w:rsidRDefault="00EB7374" w:rsidP="00C700EB">
            <w:pPr>
              <w:jc w:val="center"/>
              <w:rPr>
                <w:sz w:val="15"/>
                <w:szCs w:val="15"/>
              </w:rPr>
            </w:pPr>
            <w:r>
              <w:rPr>
                <w:sz w:val="15"/>
              </w:rPr>
              <w:t>(Million, unless otherwise indicated)</w:t>
            </w:r>
          </w:p>
        </w:tc>
      </w:tr>
      <w:tr w:rsidR="00EB7374" w:rsidRPr="006E6EEB" w14:paraId="284B34CC" w14:textId="77777777" w:rsidTr="00C700EB">
        <w:trPr>
          <w:cnfStyle w:val="000000010000" w:firstRow="0" w:lastRow="0" w:firstColumn="0" w:lastColumn="0" w:oddVBand="0" w:evenVBand="0" w:oddHBand="0" w:evenHBand="1" w:firstRowFirstColumn="0" w:firstRowLastColumn="0" w:lastRowFirstColumn="0" w:lastRowLastColumn="0"/>
          <w:cantSplit/>
        </w:trPr>
        <w:tc>
          <w:tcPr>
            <w:tcW w:w="3114" w:type="dxa"/>
          </w:tcPr>
          <w:p w14:paraId="3B8F3EFB" w14:textId="77777777" w:rsidR="00EB7374" w:rsidRPr="006E6EEB" w:rsidRDefault="00EB7374" w:rsidP="00C700EB">
            <w:pPr>
              <w:jc w:val="left"/>
              <w:rPr>
                <w:sz w:val="15"/>
                <w:szCs w:val="15"/>
              </w:rPr>
            </w:pPr>
            <w:r>
              <w:rPr>
                <w:sz w:val="15"/>
              </w:rPr>
              <w:t>Total number of lines</w:t>
            </w:r>
          </w:p>
          <w:p w14:paraId="01700844" w14:textId="77777777" w:rsidR="00EB7374" w:rsidRPr="006E6EEB" w:rsidRDefault="00EB7374" w:rsidP="00C700EB">
            <w:pPr>
              <w:ind w:left="113"/>
              <w:jc w:val="left"/>
              <w:rPr>
                <w:sz w:val="15"/>
                <w:szCs w:val="15"/>
              </w:rPr>
            </w:pPr>
            <w:r>
              <w:rPr>
                <w:sz w:val="15"/>
              </w:rPr>
              <w:t>Number of landlines</w:t>
            </w:r>
          </w:p>
          <w:p w14:paraId="41F9CD74" w14:textId="77777777" w:rsidR="00EB7374" w:rsidRPr="006E6EEB" w:rsidRDefault="00EB7374" w:rsidP="00C700EB">
            <w:pPr>
              <w:ind w:left="113"/>
              <w:jc w:val="left"/>
              <w:rPr>
                <w:sz w:val="15"/>
                <w:szCs w:val="15"/>
              </w:rPr>
            </w:pPr>
            <w:r>
              <w:rPr>
                <w:sz w:val="15"/>
              </w:rPr>
              <w:t>Number of mobile lines</w:t>
            </w:r>
          </w:p>
        </w:tc>
        <w:tc>
          <w:tcPr>
            <w:tcW w:w="843" w:type="dxa"/>
          </w:tcPr>
          <w:p w14:paraId="274BB030" w14:textId="77777777" w:rsidR="00EB7374" w:rsidRPr="006E6EEB" w:rsidRDefault="00EB7374" w:rsidP="00C700EB">
            <w:pPr>
              <w:jc w:val="right"/>
              <w:rPr>
                <w:sz w:val="15"/>
                <w:szCs w:val="15"/>
              </w:rPr>
            </w:pPr>
            <w:r>
              <w:rPr>
                <w:sz w:val="15"/>
              </w:rPr>
              <w:t>10.1</w:t>
            </w:r>
          </w:p>
          <w:p w14:paraId="1DB2E699" w14:textId="77777777" w:rsidR="00EB7374" w:rsidRPr="006E6EEB" w:rsidRDefault="00EB7374" w:rsidP="00C700EB">
            <w:pPr>
              <w:jc w:val="right"/>
              <w:rPr>
                <w:sz w:val="15"/>
                <w:szCs w:val="15"/>
              </w:rPr>
            </w:pPr>
            <w:r>
              <w:rPr>
                <w:sz w:val="15"/>
              </w:rPr>
              <w:t>1.3</w:t>
            </w:r>
          </w:p>
          <w:p w14:paraId="73454828" w14:textId="77777777" w:rsidR="00EB7374" w:rsidRPr="006E6EEB" w:rsidRDefault="00EB7374" w:rsidP="00C700EB">
            <w:pPr>
              <w:jc w:val="right"/>
              <w:rPr>
                <w:sz w:val="15"/>
                <w:szCs w:val="15"/>
              </w:rPr>
            </w:pPr>
            <w:r>
              <w:rPr>
                <w:sz w:val="15"/>
              </w:rPr>
              <w:t>8.8</w:t>
            </w:r>
          </w:p>
        </w:tc>
        <w:tc>
          <w:tcPr>
            <w:tcW w:w="843" w:type="dxa"/>
          </w:tcPr>
          <w:p w14:paraId="43EE18CC" w14:textId="77777777" w:rsidR="00EB7374" w:rsidRPr="006E6EEB" w:rsidRDefault="00EB7374" w:rsidP="00C700EB">
            <w:pPr>
              <w:jc w:val="right"/>
              <w:rPr>
                <w:sz w:val="15"/>
                <w:szCs w:val="15"/>
              </w:rPr>
            </w:pPr>
            <w:r>
              <w:rPr>
                <w:sz w:val="15"/>
              </w:rPr>
              <w:t>10.0</w:t>
            </w:r>
          </w:p>
          <w:p w14:paraId="203A241A" w14:textId="77777777" w:rsidR="00EB7374" w:rsidRPr="006E6EEB" w:rsidRDefault="00EB7374" w:rsidP="00C700EB">
            <w:pPr>
              <w:jc w:val="right"/>
              <w:rPr>
                <w:sz w:val="15"/>
                <w:szCs w:val="15"/>
              </w:rPr>
            </w:pPr>
            <w:r>
              <w:rPr>
                <w:sz w:val="15"/>
              </w:rPr>
              <w:t>1.3</w:t>
            </w:r>
          </w:p>
          <w:p w14:paraId="7187B2B0" w14:textId="77777777" w:rsidR="00EB7374" w:rsidRPr="006E6EEB" w:rsidRDefault="00EB7374" w:rsidP="00C700EB">
            <w:pPr>
              <w:jc w:val="right"/>
              <w:rPr>
                <w:sz w:val="15"/>
                <w:szCs w:val="15"/>
              </w:rPr>
            </w:pPr>
            <w:r>
              <w:rPr>
                <w:sz w:val="15"/>
              </w:rPr>
              <w:t>8.7</w:t>
            </w:r>
          </w:p>
        </w:tc>
        <w:tc>
          <w:tcPr>
            <w:tcW w:w="843" w:type="dxa"/>
          </w:tcPr>
          <w:p w14:paraId="7DDF0172" w14:textId="77777777" w:rsidR="00EB7374" w:rsidRPr="006E6EEB" w:rsidRDefault="00EB7374" w:rsidP="00C700EB">
            <w:pPr>
              <w:jc w:val="right"/>
              <w:rPr>
                <w:sz w:val="15"/>
                <w:szCs w:val="15"/>
              </w:rPr>
            </w:pPr>
            <w:r>
              <w:rPr>
                <w:sz w:val="15"/>
              </w:rPr>
              <w:t>10.1</w:t>
            </w:r>
          </w:p>
          <w:p w14:paraId="6F4767D3" w14:textId="77777777" w:rsidR="00EB7374" w:rsidRPr="006E6EEB" w:rsidRDefault="00EB7374" w:rsidP="00C700EB">
            <w:pPr>
              <w:jc w:val="right"/>
              <w:rPr>
                <w:sz w:val="15"/>
                <w:szCs w:val="15"/>
              </w:rPr>
            </w:pPr>
            <w:r>
              <w:rPr>
                <w:sz w:val="15"/>
              </w:rPr>
              <w:t>1.3</w:t>
            </w:r>
          </w:p>
          <w:p w14:paraId="2166FBC5" w14:textId="77777777" w:rsidR="00EB7374" w:rsidRPr="006E6EEB" w:rsidRDefault="00EB7374" w:rsidP="00C700EB">
            <w:pPr>
              <w:jc w:val="right"/>
              <w:rPr>
                <w:sz w:val="15"/>
                <w:szCs w:val="15"/>
              </w:rPr>
            </w:pPr>
            <w:r>
              <w:rPr>
                <w:sz w:val="15"/>
              </w:rPr>
              <w:t>8.8</w:t>
            </w:r>
          </w:p>
        </w:tc>
        <w:tc>
          <w:tcPr>
            <w:tcW w:w="843" w:type="dxa"/>
          </w:tcPr>
          <w:p w14:paraId="06D5809F" w14:textId="77777777" w:rsidR="00EB7374" w:rsidRPr="006E6EEB" w:rsidRDefault="00EB7374" w:rsidP="00C700EB">
            <w:pPr>
              <w:jc w:val="right"/>
              <w:rPr>
                <w:sz w:val="15"/>
                <w:szCs w:val="15"/>
              </w:rPr>
            </w:pPr>
            <w:r>
              <w:rPr>
                <w:sz w:val="15"/>
              </w:rPr>
              <w:t>10.2</w:t>
            </w:r>
          </w:p>
          <w:p w14:paraId="47B41540" w14:textId="77777777" w:rsidR="00EB7374" w:rsidRPr="006E6EEB" w:rsidRDefault="00EB7374" w:rsidP="00C700EB">
            <w:pPr>
              <w:jc w:val="right"/>
              <w:rPr>
                <w:sz w:val="15"/>
                <w:szCs w:val="15"/>
              </w:rPr>
            </w:pPr>
            <w:r>
              <w:rPr>
                <w:sz w:val="15"/>
              </w:rPr>
              <w:t>1.3</w:t>
            </w:r>
          </w:p>
          <w:p w14:paraId="62A008A5" w14:textId="77777777" w:rsidR="00EB7374" w:rsidRPr="006E6EEB" w:rsidRDefault="00EB7374" w:rsidP="00C700EB">
            <w:pPr>
              <w:jc w:val="right"/>
              <w:rPr>
                <w:sz w:val="15"/>
                <w:szCs w:val="15"/>
              </w:rPr>
            </w:pPr>
            <w:r>
              <w:rPr>
                <w:sz w:val="15"/>
              </w:rPr>
              <w:t>8.9</w:t>
            </w:r>
          </w:p>
        </w:tc>
        <w:tc>
          <w:tcPr>
            <w:tcW w:w="843" w:type="dxa"/>
          </w:tcPr>
          <w:p w14:paraId="30789E53" w14:textId="77777777" w:rsidR="00EB7374" w:rsidRPr="006E6EEB" w:rsidRDefault="00EB7374" w:rsidP="00C700EB">
            <w:pPr>
              <w:jc w:val="right"/>
              <w:rPr>
                <w:sz w:val="15"/>
                <w:szCs w:val="15"/>
              </w:rPr>
            </w:pPr>
            <w:r>
              <w:rPr>
                <w:sz w:val="15"/>
              </w:rPr>
              <w:t>10.1</w:t>
            </w:r>
          </w:p>
          <w:p w14:paraId="1E5E9DB6" w14:textId="77777777" w:rsidR="00EB7374" w:rsidRPr="006E6EEB" w:rsidRDefault="00EB7374" w:rsidP="00C700EB">
            <w:pPr>
              <w:jc w:val="right"/>
              <w:rPr>
                <w:sz w:val="15"/>
                <w:szCs w:val="15"/>
              </w:rPr>
            </w:pPr>
            <w:r>
              <w:rPr>
                <w:sz w:val="15"/>
              </w:rPr>
              <w:t>1.2</w:t>
            </w:r>
          </w:p>
          <w:p w14:paraId="2ED51481" w14:textId="77777777" w:rsidR="00EB7374" w:rsidRPr="006E6EEB" w:rsidRDefault="00EB7374" w:rsidP="00C700EB">
            <w:pPr>
              <w:jc w:val="right"/>
              <w:rPr>
                <w:sz w:val="15"/>
                <w:szCs w:val="15"/>
              </w:rPr>
            </w:pPr>
            <w:r>
              <w:rPr>
                <w:sz w:val="15"/>
              </w:rPr>
              <w:t>8.9</w:t>
            </w:r>
          </w:p>
        </w:tc>
        <w:tc>
          <w:tcPr>
            <w:tcW w:w="843" w:type="dxa"/>
          </w:tcPr>
          <w:p w14:paraId="3F8053FB" w14:textId="77777777" w:rsidR="00EB7374" w:rsidRPr="006E6EEB" w:rsidRDefault="00EB7374" w:rsidP="00C700EB">
            <w:pPr>
              <w:jc w:val="right"/>
              <w:rPr>
                <w:sz w:val="15"/>
                <w:szCs w:val="15"/>
              </w:rPr>
            </w:pPr>
            <w:r>
              <w:rPr>
                <w:sz w:val="15"/>
              </w:rPr>
              <w:t>10.1</w:t>
            </w:r>
          </w:p>
          <w:p w14:paraId="3922AA16" w14:textId="77777777" w:rsidR="00EB7374" w:rsidRPr="006E6EEB" w:rsidRDefault="00EB7374" w:rsidP="00C700EB">
            <w:pPr>
              <w:jc w:val="right"/>
              <w:rPr>
                <w:sz w:val="15"/>
                <w:szCs w:val="15"/>
              </w:rPr>
            </w:pPr>
            <w:r>
              <w:rPr>
                <w:sz w:val="15"/>
              </w:rPr>
              <w:t>1.1</w:t>
            </w:r>
          </w:p>
          <w:p w14:paraId="01E3E909" w14:textId="77777777" w:rsidR="00EB7374" w:rsidRPr="006E6EEB" w:rsidRDefault="00EB7374" w:rsidP="00C700EB">
            <w:pPr>
              <w:jc w:val="right"/>
              <w:rPr>
                <w:sz w:val="15"/>
                <w:szCs w:val="15"/>
              </w:rPr>
            </w:pPr>
            <w:r>
              <w:rPr>
                <w:sz w:val="15"/>
              </w:rPr>
              <w:t>9.0</w:t>
            </w:r>
          </w:p>
        </w:tc>
        <w:tc>
          <w:tcPr>
            <w:tcW w:w="844" w:type="dxa"/>
          </w:tcPr>
          <w:p w14:paraId="1F6FA5FC" w14:textId="77777777" w:rsidR="00EB7374" w:rsidRPr="006E6EEB" w:rsidRDefault="00EB7374" w:rsidP="00C700EB">
            <w:pPr>
              <w:jc w:val="right"/>
              <w:rPr>
                <w:sz w:val="15"/>
                <w:szCs w:val="15"/>
              </w:rPr>
            </w:pPr>
            <w:r>
              <w:rPr>
                <w:sz w:val="15"/>
              </w:rPr>
              <w:t>10.7</w:t>
            </w:r>
          </w:p>
          <w:p w14:paraId="193F725E" w14:textId="77777777" w:rsidR="00EB7374" w:rsidRPr="006E6EEB" w:rsidRDefault="00EB7374" w:rsidP="00C700EB">
            <w:pPr>
              <w:jc w:val="right"/>
              <w:rPr>
                <w:sz w:val="15"/>
                <w:szCs w:val="15"/>
              </w:rPr>
            </w:pPr>
            <w:r>
              <w:rPr>
                <w:sz w:val="15"/>
              </w:rPr>
              <w:t>1.2</w:t>
            </w:r>
          </w:p>
          <w:p w14:paraId="32134502" w14:textId="77777777" w:rsidR="00EB7374" w:rsidRPr="006E6EEB" w:rsidRDefault="00EB7374" w:rsidP="00C700EB">
            <w:pPr>
              <w:jc w:val="right"/>
              <w:rPr>
                <w:sz w:val="15"/>
                <w:szCs w:val="15"/>
              </w:rPr>
            </w:pPr>
            <w:r>
              <w:rPr>
                <w:sz w:val="15"/>
              </w:rPr>
              <w:t>9.5</w:t>
            </w:r>
          </w:p>
        </w:tc>
      </w:tr>
      <w:tr w:rsidR="00EB7374" w:rsidRPr="006E6EEB" w14:paraId="2A926EEB" w14:textId="77777777" w:rsidTr="00C700EB">
        <w:trPr>
          <w:cantSplit/>
        </w:trPr>
        <w:tc>
          <w:tcPr>
            <w:tcW w:w="3114" w:type="dxa"/>
          </w:tcPr>
          <w:p w14:paraId="68352C21" w14:textId="77777777" w:rsidR="00EB7374" w:rsidRPr="006E6EEB" w:rsidRDefault="00EB7374" w:rsidP="00C700EB">
            <w:pPr>
              <w:jc w:val="left"/>
              <w:rPr>
                <w:b/>
                <w:sz w:val="15"/>
                <w:szCs w:val="15"/>
              </w:rPr>
            </w:pPr>
            <w:r>
              <w:rPr>
                <w:sz w:val="15"/>
              </w:rPr>
              <w:t>Number of Internet accounts</w:t>
            </w:r>
          </w:p>
          <w:p w14:paraId="5AEAECC4" w14:textId="77777777" w:rsidR="00EB7374" w:rsidRPr="006E6EEB" w:rsidRDefault="00EB7374" w:rsidP="00C700EB">
            <w:pPr>
              <w:ind w:left="113"/>
              <w:jc w:val="left"/>
              <w:rPr>
                <w:sz w:val="15"/>
                <w:szCs w:val="15"/>
              </w:rPr>
            </w:pPr>
            <w:r>
              <w:rPr>
                <w:sz w:val="15"/>
              </w:rPr>
              <w:t>Fixed broadband (%)</w:t>
            </w:r>
            <w:r>
              <w:rPr>
                <w:sz w:val="15"/>
                <w:vertAlign w:val="superscript"/>
              </w:rPr>
              <w:t>a</w:t>
            </w:r>
          </w:p>
          <w:p w14:paraId="018A01EF" w14:textId="77777777" w:rsidR="00EB7374" w:rsidRPr="006E6EEB" w:rsidRDefault="00EB7374" w:rsidP="00C700EB">
            <w:pPr>
              <w:ind w:left="113"/>
              <w:jc w:val="left"/>
              <w:rPr>
                <w:sz w:val="15"/>
                <w:szCs w:val="15"/>
              </w:rPr>
            </w:pPr>
            <w:r>
              <w:rPr>
                <w:sz w:val="15"/>
              </w:rPr>
              <w:t>Mobile broadband (%)</w:t>
            </w:r>
            <w:r>
              <w:rPr>
                <w:sz w:val="15"/>
                <w:vertAlign w:val="superscript"/>
              </w:rPr>
              <w:t>a</w:t>
            </w:r>
          </w:p>
          <w:p w14:paraId="2678E26D" w14:textId="77777777" w:rsidR="00EB7374" w:rsidRPr="006E6EEB" w:rsidRDefault="00EB7374" w:rsidP="00C700EB">
            <w:pPr>
              <w:ind w:left="113"/>
              <w:jc w:val="left"/>
              <w:rPr>
                <w:b/>
                <w:sz w:val="15"/>
                <w:szCs w:val="15"/>
              </w:rPr>
            </w:pPr>
            <w:r>
              <w:rPr>
                <w:sz w:val="15"/>
              </w:rPr>
              <w:t>Other (%)</w:t>
            </w:r>
            <w:r>
              <w:rPr>
                <w:sz w:val="15"/>
                <w:vertAlign w:val="superscript"/>
              </w:rPr>
              <w:t>a</w:t>
            </w:r>
          </w:p>
        </w:tc>
        <w:tc>
          <w:tcPr>
            <w:tcW w:w="843" w:type="dxa"/>
          </w:tcPr>
          <w:p w14:paraId="069336B6" w14:textId="77777777" w:rsidR="00EB7374" w:rsidRPr="006E6EEB" w:rsidRDefault="00EB7374" w:rsidP="00C700EB">
            <w:pPr>
              <w:jc w:val="right"/>
              <w:rPr>
                <w:sz w:val="15"/>
                <w:szCs w:val="15"/>
              </w:rPr>
            </w:pPr>
            <w:r>
              <w:rPr>
                <w:sz w:val="15"/>
              </w:rPr>
              <w:t>4.9</w:t>
            </w:r>
          </w:p>
          <w:p w14:paraId="58A68B31" w14:textId="77777777" w:rsidR="00EB7374" w:rsidRPr="006E6EEB" w:rsidRDefault="00EB7374" w:rsidP="00C700EB">
            <w:pPr>
              <w:jc w:val="right"/>
              <w:rPr>
                <w:sz w:val="15"/>
                <w:szCs w:val="15"/>
              </w:rPr>
            </w:pPr>
            <w:r>
              <w:rPr>
                <w:sz w:val="15"/>
              </w:rPr>
              <w:t>12.4</w:t>
            </w:r>
          </w:p>
          <w:p w14:paraId="0836B94C" w14:textId="77777777" w:rsidR="00EB7374" w:rsidRPr="006E6EEB" w:rsidRDefault="00EB7374" w:rsidP="00C700EB">
            <w:pPr>
              <w:jc w:val="right"/>
              <w:rPr>
                <w:sz w:val="15"/>
                <w:szCs w:val="15"/>
              </w:rPr>
            </w:pPr>
            <w:r>
              <w:rPr>
                <w:sz w:val="15"/>
              </w:rPr>
              <w:t>74.2</w:t>
            </w:r>
          </w:p>
          <w:p w14:paraId="366F565A" w14:textId="77777777" w:rsidR="00EB7374" w:rsidRPr="006E6EEB" w:rsidRDefault="00EB7374" w:rsidP="00C700EB">
            <w:pPr>
              <w:jc w:val="right"/>
              <w:rPr>
                <w:sz w:val="15"/>
                <w:szCs w:val="15"/>
              </w:rPr>
            </w:pPr>
            <w:r>
              <w:rPr>
                <w:sz w:val="15"/>
              </w:rPr>
              <w:t>13.4</w:t>
            </w:r>
          </w:p>
        </w:tc>
        <w:tc>
          <w:tcPr>
            <w:tcW w:w="843" w:type="dxa"/>
          </w:tcPr>
          <w:p w14:paraId="685087F2" w14:textId="77777777" w:rsidR="00EB7374" w:rsidRPr="006E6EEB" w:rsidRDefault="00EB7374" w:rsidP="00C700EB">
            <w:pPr>
              <w:jc w:val="right"/>
              <w:rPr>
                <w:sz w:val="15"/>
                <w:szCs w:val="15"/>
              </w:rPr>
            </w:pPr>
            <w:r>
              <w:rPr>
                <w:sz w:val="15"/>
              </w:rPr>
              <w:t>6.1</w:t>
            </w:r>
          </w:p>
          <w:p w14:paraId="747C332A" w14:textId="77777777" w:rsidR="00EB7374" w:rsidRPr="006E6EEB" w:rsidRDefault="00EB7374" w:rsidP="00C700EB">
            <w:pPr>
              <w:jc w:val="right"/>
              <w:rPr>
                <w:sz w:val="15"/>
                <w:szCs w:val="15"/>
              </w:rPr>
            </w:pPr>
            <w:r>
              <w:rPr>
                <w:sz w:val="15"/>
              </w:rPr>
              <w:t>10.9</w:t>
            </w:r>
          </w:p>
          <w:p w14:paraId="5BC3D3CF" w14:textId="77777777" w:rsidR="00EB7374" w:rsidRPr="006E6EEB" w:rsidRDefault="00EB7374" w:rsidP="00C700EB">
            <w:pPr>
              <w:jc w:val="right"/>
              <w:rPr>
                <w:sz w:val="15"/>
                <w:szCs w:val="15"/>
              </w:rPr>
            </w:pPr>
            <w:r>
              <w:rPr>
                <w:sz w:val="15"/>
              </w:rPr>
              <w:t>75.5</w:t>
            </w:r>
          </w:p>
          <w:p w14:paraId="02A1884A" w14:textId="77777777" w:rsidR="00EB7374" w:rsidRPr="006E6EEB" w:rsidRDefault="00EB7374" w:rsidP="00C700EB">
            <w:pPr>
              <w:jc w:val="right"/>
              <w:rPr>
                <w:sz w:val="15"/>
                <w:szCs w:val="15"/>
              </w:rPr>
            </w:pPr>
            <w:r>
              <w:rPr>
                <w:sz w:val="15"/>
              </w:rPr>
              <w:t>13.5</w:t>
            </w:r>
          </w:p>
        </w:tc>
        <w:tc>
          <w:tcPr>
            <w:tcW w:w="843" w:type="dxa"/>
          </w:tcPr>
          <w:p w14:paraId="09F63B6E" w14:textId="77777777" w:rsidR="00EB7374" w:rsidRPr="006E6EEB" w:rsidRDefault="00EB7374" w:rsidP="00C700EB">
            <w:pPr>
              <w:jc w:val="right"/>
              <w:rPr>
                <w:sz w:val="15"/>
                <w:szCs w:val="15"/>
              </w:rPr>
            </w:pPr>
            <w:r>
              <w:rPr>
                <w:sz w:val="15"/>
              </w:rPr>
              <w:t>7.0</w:t>
            </w:r>
          </w:p>
          <w:p w14:paraId="46529573" w14:textId="77777777" w:rsidR="00EB7374" w:rsidRPr="006E6EEB" w:rsidRDefault="00EB7374" w:rsidP="00C700EB">
            <w:pPr>
              <w:jc w:val="right"/>
              <w:rPr>
                <w:sz w:val="15"/>
                <w:szCs w:val="15"/>
              </w:rPr>
            </w:pPr>
            <w:r>
              <w:rPr>
                <w:sz w:val="15"/>
              </w:rPr>
              <w:t>10.9</w:t>
            </w:r>
          </w:p>
          <w:p w14:paraId="693C26DF" w14:textId="77777777" w:rsidR="00EB7374" w:rsidRPr="006E6EEB" w:rsidRDefault="00EB7374" w:rsidP="00C700EB">
            <w:pPr>
              <w:jc w:val="right"/>
              <w:rPr>
                <w:sz w:val="15"/>
                <w:szCs w:val="15"/>
              </w:rPr>
            </w:pPr>
            <w:r>
              <w:rPr>
                <w:sz w:val="15"/>
              </w:rPr>
              <w:t>84.6</w:t>
            </w:r>
          </w:p>
          <w:p w14:paraId="43AC1C38" w14:textId="77777777" w:rsidR="00EB7374" w:rsidRPr="006E6EEB" w:rsidRDefault="00EB7374" w:rsidP="00C700EB">
            <w:pPr>
              <w:jc w:val="right"/>
              <w:rPr>
                <w:sz w:val="15"/>
                <w:szCs w:val="15"/>
              </w:rPr>
            </w:pPr>
            <w:r>
              <w:rPr>
                <w:sz w:val="15"/>
              </w:rPr>
              <w:t>4.5</w:t>
            </w:r>
          </w:p>
        </w:tc>
        <w:tc>
          <w:tcPr>
            <w:tcW w:w="843" w:type="dxa"/>
          </w:tcPr>
          <w:p w14:paraId="3CC356B4" w14:textId="77777777" w:rsidR="00EB7374" w:rsidRPr="006E6EEB" w:rsidRDefault="00EB7374" w:rsidP="00C700EB">
            <w:pPr>
              <w:jc w:val="right"/>
              <w:rPr>
                <w:sz w:val="15"/>
                <w:szCs w:val="15"/>
              </w:rPr>
            </w:pPr>
            <w:r>
              <w:rPr>
                <w:sz w:val="15"/>
              </w:rPr>
              <w:t>7.7</w:t>
            </w:r>
          </w:p>
          <w:p w14:paraId="2CE2005F" w14:textId="77777777" w:rsidR="00EB7374" w:rsidRPr="006E6EEB" w:rsidRDefault="00EB7374" w:rsidP="00C700EB">
            <w:pPr>
              <w:jc w:val="right"/>
              <w:rPr>
                <w:sz w:val="15"/>
                <w:szCs w:val="15"/>
              </w:rPr>
            </w:pPr>
            <w:r>
              <w:rPr>
                <w:sz w:val="15"/>
              </w:rPr>
              <w:t>10.4</w:t>
            </w:r>
          </w:p>
          <w:p w14:paraId="75351333" w14:textId="77777777" w:rsidR="00EB7374" w:rsidRPr="006E6EEB" w:rsidRDefault="00EB7374" w:rsidP="00C700EB">
            <w:pPr>
              <w:jc w:val="right"/>
              <w:rPr>
                <w:sz w:val="15"/>
                <w:szCs w:val="15"/>
              </w:rPr>
            </w:pPr>
            <w:r>
              <w:rPr>
                <w:sz w:val="15"/>
              </w:rPr>
              <w:t>88.5</w:t>
            </w:r>
          </w:p>
          <w:p w14:paraId="102E91CD" w14:textId="77777777" w:rsidR="00EB7374" w:rsidRPr="006E6EEB" w:rsidRDefault="00EB7374" w:rsidP="00C700EB">
            <w:pPr>
              <w:jc w:val="right"/>
              <w:rPr>
                <w:sz w:val="15"/>
                <w:szCs w:val="15"/>
              </w:rPr>
            </w:pPr>
            <w:r>
              <w:rPr>
                <w:sz w:val="15"/>
              </w:rPr>
              <w:t>1.1</w:t>
            </w:r>
          </w:p>
        </w:tc>
        <w:tc>
          <w:tcPr>
            <w:tcW w:w="843" w:type="dxa"/>
          </w:tcPr>
          <w:p w14:paraId="659C2C21" w14:textId="77777777" w:rsidR="00EB7374" w:rsidRPr="006E6EEB" w:rsidRDefault="00EB7374" w:rsidP="00C700EB">
            <w:pPr>
              <w:jc w:val="right"/>
              <w:rPr>
                <w:sz w:val="15"/>
                <w:szCs w:val="15"/>
              </w:rPr>
            </w:pPr>
            <w:r>
              <w:rPr>
                <w:sz w:val="15"/>
              </w:rPr>
              <w:t>8.2</w:t>
            </w:r>
          </w:p>
          <w:p w14:paraId="3355D2D8" w14:textId="77777777" w:rsidR="00EB7374" w:rsidRPr="006E6EEB" w:rsidRDefault="00EB7374" w:rsidP="00C700EB">
            <w:pPr>
              <w:jc w:val="right"/>
              <w:rPr>
                <w:sz w:val="15"/>
                <w:szCs w:val="15"/>
              </w:rPr>
            </w:pPr>
            <w:r>
              <w:rPr>
                <w:sz w:val="15"/>
              </w:rPr>
              <w:t>11.2</w:t>
            </w:r>
          </w:p>
          <w:p w14:paraId="7E866EAC" w14:textId="77777777" w:rsidR="00EB7374" w:rsidRPr="006E6EEB" w:rsidRDefault="00EB7374" w:rsidP="00C700EB">
            <w:pPr>
              <w:jc w:val="right"/>
              <w:rPr>
                <w:sz w:val="15"/>
                <w:szCs w:val="15"/>
              </w:rPr>
            </w:pPr>
            <w:r>
              <w:rPr>
                <w:sz w:val="15"/>
              </w:rPr>
              <w:t>88.3</w:t>
            </w:r>
          </w:p>
          <w:p w14:paraId="0650C442" w14:textId="77777777" w:rsidR="00EB7374" w:rsidRPr="006E6EEB" w:rsidRDefault="00EB7374" w:rsidP="00C700EB">
            <w:pPr>
              <w:jc w:val="right"/>
              <w:rPr>
                <w:sz w:val="15"/>
                <w:szCs w:val="15"/>
              </w:rPr>
            </w:pPr>
            <w:r>
              <w:rPr>
                <w:sz w:val="15"/>
              </w:rPr>
              <w:t>0.5</w:t>
            </w:r>
          </w:p>
        </w:tc>
        <w:tc>
          <w:tcPr>
            <w:tcW w:w="843" w:type="dxa"/>
          </w:tcPr>
          <w:p w14:paraId="6385D08C" w14:textId="77777777" w:rsidR="00EB7374" w:rsidRPr="006E6EEB" w:rsidRDefault="00EB7374" w:rsidP="00C700EB">
            <w:pPr>
              <w:jc w:val="right"/>
              <w:rPr>
                <w:sz w:val="15"/>
                <w:szCs w:val="15"/>
              </w:rPr>
            </w:pPr>
            <w:r>
              <w:rPr>
                <w:sz w:val="15"/>
              </w:rPr>
              <w:t>8.8</w:t>
            </w:r>
          </w:p>
          <w:p w14:paraId="1F9E6A05" w14:textId="77777777" w:rsidR="00EB7374" w:rsidRPr="006E6EEB" w:rsidRDefault="00EB7374" w:rsidP="00C700EB">
            <w:pPr>
              <w:jc w:val="right"/>
              <w:rPr>
                <w:sz w:val="15"/>
                <w:szCs w:val="15"/>
              </w:rPr>
            </w:pPr>
            <w:r>
              <w:rPr>
                <w:sz w:val="15"/>
              </w:rPr>
              <w:t>11.7</w:t>
            </w:r>
          </w:p>
          <w:p w14:paraId="1B560F85" w14:textId="77777777" w:rsidR="00EB7374" w:rsidRPr="006E6EEB" w:rsidRDefault="00EB7374" w:rsidP="00C700EB">
            <w:pPr>
              <w:jc w:val="right"/>
              <w:rPr>
                <w:sz w:val="15"/>
                <w:szCs w:val="15"/>
              </w:rPr>
            </w:pPr>
            <w:r>
              <w:rPr>
                <w:sz w:val="15"/>
              </w:rPr>
              <w:t>87.7</w:t>
            </w:r>
          </w:p>
          <w:p w14:paraId="4F9E22A7" w14:textId="77777777" w:rsidR="00EB7374" w:rsidRPr="006E6EEB" w:rsidRDefault="00EB7374" w:rsidP="00C700EB">
            <w:pPr>
              <w:jc w:val="right"/>
              <w:rPr>
                <w:sz w:val="15"/>
                <w:szCs w:val="15"/>
              </w:rPr>
            </w:pPr>
            <w:r>
              <w:rPr>
                <w:sz w:val="15"/>
              </w:rPr>
              <w:t>0.6</w:t>
            </w:r>
          </w:p>
        </w:tc>
        <w:tc>
          <w:tcPr>
            <w:tcW w:w="844" w:type="dxa"/>
          </w:tcPr>
          <w:p w14:paraId="00A4497F" w14:textId="77777777" w:rsidR="00EB7374" w:rsidRPr="006E6EEB" w:rsidRDefault="00EB7374" w:rsidP="00C700EB">
            <w:pPr>
              <w:jc w:val="right"/>
              <w:rPr>
                <w:sz w:val="15"/>
                <w:szCs w:val="15"/>
              </w:rPr>
            </w:pPr>
            <w:r>
              <w:rPr>
                <w:sz w:val="15"/>
              </w:rPr>
              <w:t>9.5</w:t>
            </w:r>
          </w:p>
          <w:p w14:paraId="39A44509" w14:textId="77777777" w:rsidR="00EB7374" w:rsidRPr="006E6EEB" w:rsidRDefault="00EB7374" w:rsidP="00C700EB">
            <w:pPr>
              <w:jc w:val="right"/>
              <w:rPr>
                <w:sz w:val="15"/>
                <w:szCs w:val="15"/>
              </w:rPr>
            </w:pPr>
            <w:r>
              <w:rPr>
                <w:sz w:val="15"/>
              </w:rPr>
              <w:t>10.1</w:t>
            </w:r>
            <w:r>
              <w:rPr>
                <w:sz w:val="15"/>
                <w:vertAlign w:val="superscript"/>
              </w:rPr>
              <w:t>b</w:t>
            </w:r>
          </w:p>
          <w:p w14:paraId="6DF93113" w14:textId="77777777" w:rsidR="00EB7374" w:rsidRPr="006E6EEB" w:rsidRDefault="00EB7374" w:rsidP="00C700EB">
            <w:pPr>
              <w:jc w:val="right"/>
              <w:rPr>
                <w:sz w:val="15"/>
                <w:szCs w:val="15"/>
              </w:rPr>
            </w:pPr>
            <w:r>
              <w:rPr>
                <w:sz w:val="15"/>
              </w:rPr>
              <w:t>76.4</w:t>
            </w:r>
            <w:r>
              <w:rPr>
                <w:sz w:val="15"/>
                <w:vertAlign w:val="superscript"/>
              </w:rPr>
              <w:t>b</w:t>
            </w:r>
          </w:p>
          <w:p w14:paraId="0BDCA429" w14:textId="77777777" w:rsidR="00EB7374" w:rsidRPr="006E6EEB" w:rsidRDefault="00EB7374" w:rsidP="00C700EB">
            <w:pPr>
              <w:jc w:val="right"/>
              <w:rPr>
                <w:sz w:val="15"/>
                <w:szCs w:val="15"/>
              </w:rPr>
            </w:pPr>
            <w:r>
              <w:rPr>
                <w:sz w:val="15"/>
              </w:rPr>
              <w:t>13.5</w:t>
            </w:r>
            <w:r>
              <w:rPr>
                <w:sz w:val="15"/>
                <w:vertAlign w:val="superscript"/>
              </w:rPr>
              <w:t>b</w:t>
            </w:r>
          </w:p>
        </w:tc>
      </w:tr>
      <w:tr w:rsidR="00EB7374" w:rsidRPr="006E6EEB" w14:paraId="4623385A" w14:textId="77777777" w:rsidTr="00C700EB">
        <w:trPr>
          <w:cnfStyle w:val="000000010000" w:firstRow="0" w:lastRow="0" w:firstColumn="0" w:lastColumn="0" w:oddVBand="0" w:evenVBand="0" w:oddHBand="0" w:evenHBand="1" w:firstRowFirstColumn="0" w:firstRowLastColumn="0" w:lastRowFirstColumn="0" w:lastRowLastColumn="0"/>
          <w:cantSplit/>
        </w:trPr>
        <w:tc>
          <w:tcPr>
            <w:tcW w:w="3114" w:type="dxa"/>
          </w:tcPr>
          <w:p w14:paraId="4EB605C9" w14:textId="4EC948AF" w:rsidR="00EB7374" w:rsidRPr="006E6EEB" w:rsidRDefault="00EB7374" w:rsidP="00C700EB">
            <w:pPr>
              <w:jc w:val="left"/>
              <w:rPr>
                <w:b/>
                <w:sz w:val="15"/>
                <w:szCs w:val="15"/>
              </w:rPr>
            </w:pPr>
            <w:proofErr w:type="spellStart"/>
            <w:r>
              <w:rPr>
                <w:b/>
                <w:sz w:val="15"/>
              </w:rPr>
              <w:t>Teledensity</w:t>
            </w:r>
            <w:proofErr w:type="spellEnd"/>
          </w:p>
        </w:tc>
        <w:tc>
          <w:tcPr>
            <w:tcW w:w="5902" w:type="dxa"/>
            <w:gridSpan w:val="7"/>
          </w:tcPr>
          <w:p w14:paraId="3808D6BF" w14:textId="77777777" w:rsidR="00EB7374" w:rsidRPr="006E6EEB" w:rsidRDefault="00EB7374" w:rsidP="00C700EB">
            <w:pPr>
              <w:jc w:val="center"/>
              <w:rPr>
                <w:sz w:val="15"/>
                <w:szCs w:val="15"/>
              </w:rPr>
            </w:pPr>
            <w:r>
              <w:rPr>
                <w:sz w:val="15"/>
              </w:rPr>
              <w:t>(%)</w:t>
            </w:r>
          </w:p>
        </w:tc>
      </w:tr>
      <w:tr w:rsidR="00EB7374" w:rsidRPr="006E6EEB" w14:paraId="656A41BB" w14:textId="77777777" w:rsidTr="00C700EB">
        <w:trPr>
          <w:cantSplit/>
        </w:trPr>
        <w:tc>
          <w:tcPr>
            <w:tcW w:w="3114" w:type="dxa"/>
          </w:tcPr>
          <w:p w14:paraId="50359BCD" w14:textId="77777777" w:rsidR="00EB7374" w:rsidRPr="006E6EEB" w:rsidRDefault="00EB7374" w:rsidP="00C700EB">
            <w:pPr>
              <w:jc w:val="left"/>
              <w:rPr>
                <w:sz w:val="15"/>
                <w:szCs w:val="15"/>
              </w:rPr>
            </w:pPr>
            <w:r>
              <w:rPr>
                <w:sz w:val="15"/>
              </w:rPr>
              <w:t>Total lines</w:t>
            </w:r>
          </w:p>
          <w:p w14:paraId="33A6EFC6" w14:textId="77777777" w:rsidR="00EB7374" w:rsidRPr="006E6EEB" w:rsidRDefault="00EB7374" w:rsidP="00C700EB">
            <w:pPr>
              <w:ind w:left="170"/>
              <w:jc w:val="left"/>
              <w:rPr>
                <w:sz w:val="15"/>
                <w:szCs w:val="15"/>
              </w:rPr>
            </w:pPr>
            <w:r>
              <w:rPr>
                <w:sz w:val="15"/>
              </w:rPr>
              <w:t>Landlines</w:t>
            </w:r>
          </w:p>
          <w:p w14:paraId="264952C7" w14:textId="77777777" w:rsidR="00EB7374" w:rsidRPr="006E6EEB" w:rsidRDefault="00EB7374" w:rsidP="00C700EB">
            <w:pPr>
              <w:ind w:left="170"/>
              <w:jc w:val="left"/>
              <w:rPr>
                <w:sz w:val="15"/>
                <w:szCs w:val="15"/>
              </w:rPr>
            </w:pPr>
            <w:r>
              <w:rPr>
                <w:sz w:val="15"/>
              </w:rPr>
              <w:t xml:space="preserve">Mobile lines </w:t>
            </w:r>
          </w:p>
        </w:tc>
        <w:tc>
          <w:tcPr>
            <w:tcW w:w="843" w:type="dxa"/>
          </w:tcPr>
          <w:p w14:paraId="65F95995" w14:textId="77777777" w:rsidR="00EB7374" w:rsidRPr="006E6EEB" w:rsidRDefault="00EB7374" w:rsidP="00C700EB">
            <w:pPr>
              <w:jc w:val="right"/>
              <w:rPr>
                <w:rFonts w:cs="Arial"/>
                <w:sz w:val="15"/>
                <w:szCs w:val="15"/>
              </w:rPr>
            </w:pPr>
            <w:r>
              <w:rPr>
                <w:sz w:val="15"/>
              </w:rPr>
              <w:t>101.2</w:t>
            </w:r>
          </w:p>
          <w:p w14:paraId="29EE994C" w14:textId="77777777" w:rsidR="00EB7374" w:rsidRPr="006E6EEB" w:rsidRDefault="00EB7374" w:rsidP="00C700EB">
            <w:pPr>
              <w:jc w:val="right"/>
              <w:rPr>
                <w:rFonts w:cs="Arial"/>
                <w:sz w:val="15"/>
                <w:szCs w:val="15"/>
              </w:rPr>
            </w:pPr>
            <w:r>
              <w:rPr>
                <w:sz w:val="15"/>
              </w:rPr>
              <w:t>13.1</w:t>
            </w:r>
          </w:p>
          <w:p w14:paraId="417BCF3A" w14:textId="77777777" w:rsidR="00EB7374" w:rsidRPr="006E6EEB" w:rsidRDefault="00EB7374" w:rsidP="00C700EB">
            <w:pPr>
              <w:jc w:val="right"/>
              <w:rPr>
                <w:rFonts w:cs="Arial"/>
                <w:sz w:val="15"/>
                <w:szCs w:val="15"/>
              </w:rPr>
            </w:pPr>
            <w:r>
              <w:rPr>
                <w:sz w:val="15"/>
              </w:rPr>
              <w:t>88.1</w:t>
            </w:r>
          </w:p>
        </w:tc>
        <w:tc>
          <w:tcPr>
            <w:tcW w:w="843" w:type="dxa"/>
          </w:tcPr>
          <w:p w14:paraId="45C9BD03" w14:textId="77777777" w:rsidR="00EB7374" w:rsidRPr="006E6EEB" w:rsidRDefault="00EB7374" w:rsidP="00C700EB">
            <w:pPr>
              <w:jc w:val="right"/>
              <w:rPr>
                <w:rFonts w:cs="Arial"/>
                <w:sz w:val="15"/>
                <w:szCs w:val="15"/>
              </w:rPr>
            </w:pPr>
            <w:r>
              <w:rPr>
                <w:sz w:val="15"/>
              </w:rPr>
              <w:t>99.8</w:t>
            </w:r>
          </w:p>
          <w:p w14:paraId="6764E6DE" w14:textId="77777777" w:rsidR="00EB7374" w:rsidRPr="006E6EEB" w:rsidRDefault="00EB7374" w:rsidP="00C700EB">
            <w:pPr>
              <w:jc w:val="right"/>
              <w:rPr>
                <w:rFonts w:cs="Arial"/>
                <w:sz w:val="15"/>
                <w:szCs w:val="15"/>
              </w:rPr>
            </w:pPr>
            <w:r>
              <w:rPr>
                <w:sz w:val="15"/>
              </w:rPr>
              <w:t>13.4</w:t>
            </w:r>
          </w:p>
          <w:p w14:paraId="24F9B721" w14:textId="77777777" w:rsidR="00EB7374" w:rsidRPr="006E6EEB" w:rsidRDefault="00EB7374" w:rsidP="00C700EB">
            <w:pPr>
              <w:jc w:val="right"/>
              <w:rPr>
                <w:rFonts w:cs="Arial"/>
                <w:sz w:val="15"/>
                <w:szCs w:val="15"/>
              </w:rPr>
            </w:pPr>
            <w:r>
              <w:rPr>
                <w:sz w:val="15"/>
              </w:rPr>
              <w:t>86.4</w:t>
            </w:r>
          </w:p>
        </w:tc>
        <w:tc>
          <w:tcPr>
            <w:tcW w:w="843" w:type="dxa"/>
          </w:tcPr>
          <w:p w14:paraId="1AF336B8" w14:textId="77777777" w:rsidR="00EB7374" w:rsidRPr="006E6EEB" w:rsidRDefault="00EB7374" w:rsidP="00C700EB">
            <w:pPr>
              <w:jc w:val="right"/>
              <w:rPr>
                <w:rFonts w:cs="Arial"/>
                <w:sz w:val="15"/>
                <w:szCs w:val="15"/>
              </w:rPr>
            </w:pPr>
            <w:r>
              <w:rPr>
                <w:sz w:val="15"/>
              </w:rPr>
              <w:t>99.3</w:t>
            </w:r>
          </w:p>
          <w:p w14:paraId="7F87007D" w14:textId="77777777" w:rsidR="00EB7374" w:rsidRPr="006E6EEB" w:rsidRDefault="00EB7374" w:rsidP="00C700EB">
            <w:pPr>
              <w:jc w:val="right"/>
              <w:rPr>
                <w:rFonts w:cs="Arial"/>
                <w:sz w:val="15"/>
                <w:szCs w:val="15"/>
              </w:rPr>
            </w:pPr>
            <w:r>
              <w:rPr>
                <w:sz w:val="15"/>
              </w:rPr>
              <w:t>13.1</w:t>
            </w:r>
          </w:p>
          <w:p w14:paraId="792ABED5" w14:textId="77777777" w:rsidR="00EB7374" w:rsidRPr="006E6EEB" w:rsidRDefault="00EB7374" w:rsidP="00C700EB">
            <w:pPr>
              <w:jc w:val="right"/>
              <w:rPr>
                <w:rFonts w:cs="Arial"/>
                <w:sz w:val="15"/>
                <w:szCs w:val="15"/>
              </w:rPr>
            </w:pPr>
            <w:r>
              <w:rPr>
                <w:sz w:val="15"/>
              </w:rPr>
              <w:t>86.2</w:t>
            </w:r>
          </w:p>
        </w:tc>
        <w:tc>
          <w:tcPr>
            <w:tcW w:w="843" w:type="dxa"/>
          </w:tcPr>
          <w:p w14:paraId="77E7E24B" w14:textId="77777777" w:rsidR="00EB7374" w:rsidRPr="006E6EEB" w:rsidRDefault="00EB7374" w:rsidP="00C700EB">
            <w:pPr>
              <w:jc w:val="right"/>
              <w:rPr>
                <w:rFonts w:cs="Arial"/>
                <w:sz w:val="15"/>
                <w:szCs w:val="15"/>
              </w:rPr>
            </w:pPr>
            <w:r>
              <w:rPr>
                <w:sz w:val="15"/>
              </w:rPr>
              <w:t>99.5</w:t>
            </w:r>
          </w:p>
          <w:p w14:paraId="15E14D43" w14:textId="77777777" w:rsidR="00EB7374" w:rsidRPr="006E6EEB" w:rsidRDefault="00EB7374" w:rsidP="00C700EB">
            <w:pPr>
              <w:jc w:val="right"/>
              <w:rPr>
                <w:rFonts w:cs="Arial"/>
                <w:sz w:val="15"/>
                <w:szCs w:val="15"/>
              </w:rPr>
            </w:pPr>
            <w:r>
              <w:rPr>
                <w:sz w:val="15"/>
              </w:rPr>
              <w:t>12.4</w:t>
            </w:r>
          </w:p>
          <w:p w14:paraId="7F5DBA1C" w14:textId="77777777" w:rsidR="00EB7374" w:rsidRPr="006E6EEB" w:rsidRDefault="00EB7374" w:rsidP="00C700EB">
            <w:pPr>
              <w:jc w:val="right"/>
              <w:rPr>
                <w:rFonts w:cs="Arial"/>
                <w:sz w:val="15"/>
                <w:szCs w:val="15"/>
              </w:rPr>
            </w:pPr>
            <w:r>
              <w:rPr>
                <w:sz w:val="15"/>
              </w:rPr>
              <w:t>87.1</w:t>
            </w:r>
          </w:p>
        </w:tc>
        <w:tc>
          <w:tcPr>
            <w:tcW w:w="843" w:type="dxa"/>
          </w:tcPr>
          <w:p w14:paraId="49B9BBE8" w14:textId="77777777" w:rsidR="00EB7374" w:rsidRPr="006E6EEB" w:rsidRDefault="00EB7374" w:rsidP="00C700EB">
            <w:pPr>
              <w:jc w:val="right"/>
              <w:rPr>
                <w:rFonts w:cs="Arial"/>
                <w:sz w:val="15"/>
                <w:szCs w:val="15"/>
              </w:rPr>
            </w:pPr>
            <w:r>
              <w:rPr>
                <w:sz w:val="15"/>
              </w:rPr>
              <w:t>98.1</w:t>
            </w:r>
          </w:p>
          <w:p w14:paraId="756A974F" w14:textId="77777777" w:rsidR="00EB7374" w:rsidRPr="006E6EEB" w:rsidRDefault="00EB7374" w:rsidP="00C700EB">
            <w:pPr>
              <w:jc w:val="right"/>
              <w:rPr>
                <w:rFonts w:cs="Arial"/>
                <w:sz w:val="15"/>
                <w:szCs w:val="15"/>
              </w:rPr>
            </w:pPr>
            <w:r>
              <w:rPr>
                <w:sz w:val="15"/>
              </w:rPr>
              <w:t>11.7</w:t>
            </w:r>
          </w:p>
          <w:p w14:paraId="153B9E59" w14:textId="77777777" w:rsidR="00EB7374" w:rsidRPr="006E6EEB" w:rsidRDefault="00EB7374" w:rsidP="00C700EB">
            <w:pPr>
              <w:jc w:val="right"/>
              <w:rPr>
                <w:rFonts w:cs="Arial"/>
                <w:sz w:val="15"/>
                <w:szCs w:val="15"/>
              </w:rPr>
            </w:pPr>
            <w:r>
              <w:rPr>
                <w:sz w:val="15"/>
              </w:rPr>
              <w:t>86.4</w:t>
            </w:r>
          </w:p>
        </w:tc>
        <w:tc>
          <w:tcPr>
            <w:tcW w:w="843" w:type="dxa"/>
          </w:tcPr>
          <w:p w14:paraId="2B367E7F" w14:textId="77777777" w:rsidR="00EB7374" w:rsidRPr="006E6EEB" w:rsidRDefault="00EB7374" w:rsidP="00C700EB">
            <w:pPr>
              <w:jc w:val="right"/>
              <w:rPr>
                <w:sz w:val="15"/>
                <w:szCs w:val="15"/>
              </w:rPr>
            </w:pPr>
            <w:r>
              <w:rPr>
                <w:sz w:val="15"/>
              </w:rPr>
              <w:t>97.1</w:t>
            </w:r>
          </w:p>
          <w:p w14:paraId="649F9085" w14:textId="77777777" w:rsidR="00EB7374" w:rsidRPr="006E6EEB" w:rsidRDefault="00EB7374" w:rsidP="00C700EB">
            <w:pPr>
              <w:jc w:val="right"/>
              <w:rPr>
                <w:sz w:val="15"/>
                <w:szCs w:val="15"/>
              </w:rPr>
            </w:pPr>
            <w:r>
              <w:rPr>
                <w:sz w:val="15"/>
              </w:rPr>
              <w:t>11.1</w:t>
            </w:r>
          </w:p>
          <w:p w14:paraId="58783BF8" w14:textId="77777777" w:rsidR="00EB7374" w:rsidRPr="006E6EEB" w:rsidRDefault="00EB7374" w:rsidP="00C700EB">
            <w:pPr>
              <w:jc w:val="right"/>
              <w:rPr>
                <w:sz w:val="15"/>
                <w:szCs w:val="15"/>
              </w:rPr>
            </w:pPr>
            <w:r>
              <w:rPr>
                <w:sz w:val="15"/>
              </w:rPr>
              <w:t>86.0</w:t>
            </w:r>
          </w:p>
        </w:tc>
        <w:tc>
          <w:tcPr>
            <w:tcW w:w="844" w:type="dxa"/>
          </w:tcPr>
          <w:p w14:paraId="17A18A63" w14:textId="77777777" w:rsidR="00EB7374" w:rsidRPr="006E6EEB" w:rsidRDefault="00EB7374" w:rsidP="00C700EB">
            <w:pPr>
              <w:jc w:val="right"/>
              <w:rPr>
                <w:sz w:val="15"/>
                <w:szCs w:val="15"/>
              </w:rPr>
            </w:pPr>
            <w:r>
              <w:rPr>
                <w:sz w:val="15"/>
              </w:rPr>
              <w:t>101.1</w:t>
            </w:r>
          </w:p>
          <w:p w14:paraId="2B46C405" w14:textId="77777777" w:rsidR="00EB7374" w:rsidRPr="006E6EEB" w:rsidRDefault="00EB7374" w:rsidP="00C700EB">
            <w:pPr>
              <w:jc w:val="right"/>
              <w:rPr>
                <w:sz w:val="15"/>
                <w:szCs w:val="15"/>
              </w:rPr>
            </w:pPr>
            <w:r>
              <w:rPr>
                <w:sz w:val="15"/>
              </w:rPr>
              <w:t>11.0</w:t>
            </w:r>
          </w:p>
          <w:p w14:paraId="54DAB54E" w14:textId="77777777" w:rsidR="00EB7374" w:rsidRPr="006E6EEB" w:rsidRDefault="00EB7374" w:rsidP="00C700EB">
            <w:pPr>
              <w:jc w:val="right"/>
              <w:rPr>
                <w:sz w:val="15"/>
                <w:szCs w:val="15"/>
              </w:rPr>
            </w:pPr>
            <w:r>
              <w:rPr>
                <w:sz w:val="15"/>
              </w:rPr>
              <w:t>90.1</w:t>
            </w:r>
          </w:p>
        </w:tc>
      </w:tr>
      <w:tr w:rsidR="00EB7374" w:rsidRPr="006E6EEB" w14:paraId="1A96FFB5" w14:textId="77777777" w:rsidTr="00C700EB">
        <w:trPr>
          <w:cnfStyle w:val="000000010000" w:firstRow="0" w:lastRow="0" w:firstColumn="0" w:lastColumn="0" w:oddVBand="0" w:evenVBand="0" w:oddHBand="0" w:evenHBand="1" w:firstRowFirstColumn="0" w:firstRowLastColumn="0" w:lastRowFirstColumn="0" w:lastRowLastColumn="0"/>
          <w:cantSplit/>
        </w:trPr>
        <w:tc>
          <w:tcPr>
            <w:tcW w:w="3114" w:type="dxa"/>
          </w:tcPr>
          <w:p w14:paraId="38689F51" w14:textId="77777777" w:rsidR="00EB7374" w:rsidRPr="006E6EEB" w:rsidRDefault="00EB7374" w:rsidP="00C700EB">
            <w:pPr>
              <w:jc w:val="left"/>
              <w:rPr>
                <w:sz w:val="15"/>
                <w:szCs w:val="15"/>
              </w:rPr>
            </w:pPr>
            <w:r>
              <w:rPr>
                <w:sz w:val="15"/>
              </w:rPr>
              <w:t>Internet</w:t>
            </w:r>
          </w:p>
          <w:p w14:paraId="20B4ADFC" w14:textId="77777777" w:rsidR="00EB7374" w:rsidRPr="006E6EEB" w:rsidRDefault="00EB7374" w:rsidP="00C700EB">
            <w:pPr>
              <w:ind w:left="113"/>
              <w:jc w:val="left"/>
              <w:rPr>
                <w:b/>
                <w:sz w:val="15"/>
                <w:szCs w:val="15"/>
              </w:rPr>
            </w:pPr>
            <w:r>
              <w:rPr>
                <w:sz w:val="15"/>
              </w:rPr>
              <w:t>Mobile broadband (%)</w:t>
            </w:r>
          </w:p>
        </w:tc>
        <w:tc>
          <w:tcPr>
            <w:tcW w:w="843" w:type="dxa"/>
          </w:tcPr>
          <w:p w14:paraId="4E8361EE" w14:textId="77777777" w:rsidR="00EB7374" w:rsidRPr="006E6EEB" w:rsidRDefault="00EB7374" w:rsidP="00C700EB">
            <w:pPr>
              <w:jc w:val="right"/>
              <w:rPr>
                <w:rFonts w:cs="Arial"/>
                <w:sz w:val="15"/>
                <w:szCs w:val="15"/>
              </w:rPr>
            </w:pPr>
            <w:r>
              <w:rPr>
                <w:sz w:val="15"/>
              </w:rPr>
              <w:t>49.2</w:t>
            </w:r>
          </w:p>
          <w:p w14:paraId="2150C8F2" w14:textId="77777777" w:rsidR="00EB7374" w:rsidRPr="006E6EEB" w:rsidRDefault="00EB7374" w:rsidP="00C700EB">
            <w:pPr>
              <w:jc w:val="right"/>
              <w:rPr>
                <w:rFonts w:cs="Arial"/>
                <w:sz w:val="15"/>
                <w:szCs w:val="15"/>
              </w:rPr>
            </w:pPr>
            <w:r>
              <w:rPr>
                <w:sz w:val="15"/>
              </w:rPr>
              <w:t>36.5</w:t>
            </w:r>
          </w:p>
        </w:tc>
        <w:tc>
          <w:tcPr>
            <w:tcW w:w="843" w:type="dxa"/>
          </w:tcPr>
          <w:p w14:paraId="3339AB74" w14:textId="77777777" w:rsidR="00EB7374" w:rsidRPr="006E6EEB" w:rsidRDefault="00EB7374" w:rsidP="00C700EB">
            <w:pPr>
              <w:jc w:val="right"/>
              <w:rPr>
                <w:rFonts w:cs="Arial"/>
                <w:sz w:val="15"/>
                <w:szCs w:val="15"/>
              </w:rPr>
            </w:pPr>
            <w:r>
              <w:rPr>
                <w:sz w:val="15"/>
              </w:rPr>
              <w:t>60.2</w:t>
            </w:r>
          </w:p>
          <w:p w14:paraId="46735C2E" w14:textId="77777777" w:rsidR="00EB7374" w:rsidRPr="006E6EEB" w:rsidRDefault="00EB7374" w:rsidP="00C700EB">
            <w:pPr>
              <w:jc w:val="right"/>
              <w:rPr>
                <w:rFonts w:cs="Arial"/>
                <w:sz w:val="15"/>
                <w:szCs w:val="15"/>
              </w:rPr>
            </w:pPr>
            <w:r>
              <w:rPr>
                <w:sz w:val="15"/>
              </w:rPr>
              <w:t>45.4</w:t>
            </w:r>
          </w:p>
        </w:tc>
        <w:tc>
          <w:tcPr>
            <w:tcW w:w="843" w:type="dxa"/>
          </w:tcPr>
          <w:p w14:paraId="52A41EC9" w14:textId="77777777" w:rsidR="00EB7374" w:rsidRPr="006E6EEB" w:rsidRDefault="00EB7374" w:rsidP="00C700EB">
            <w:pPr>
              <w:ind w:firstLineChars="100" w:firstLine="150"/>
              <w:jc w:val="right"/>
              <w:rPr>
                <w:rFonts w:cs="Arial"/>
                <w:sz w:val="15"/>
                <w:szCs w:val="15"/>
              </w:rPr>
            </w:pPr>
            <w:r>
              <w:rPr>
                <w:sz w:val="15"/>
              </w:rPr>
              <w:t>68.8</w:t>
            </w:r>
          </w:p>
          <w:p w14:paraId="7D3DE932" w14:textId="77777777" w:rsidR="00EB7374" w:rsidRPr="006E6EEB" w:rsidRDefault="00EB7374" w:rsidP="00C700EB">
            <w:pPr>
              <w:ind w:firstLineChars="100" w:firstLine="150"/>
              <w:jc w:val="right"/>
              <w:rPr>
                <w:rFonts w:cs="Arial"/>
                <w:sz w:val="15"/>
                <w:szCs w:val="15"/>
              </w:rPr>
            </w:pPr>
            <w:r>
              <w:rPr>
                <w:sz w:val="15"/>
              </w:rPr>
              <w:t>58.2</w:t>
            </w:r>
          </w:p>
        </w:tc>
        <w:tc>
          <w:tcPr>
            <w:tcW w:w="843" w:type="dxa"/>
          </w:tcPr>
          <w:p w14:paraId="4B281DBF" w14:textId="77777777" w:rsidR="00EB7374" w:rsidRPr="006E6EEB" w:rsidRDefault="00EB7374" w:rsidP="00C700EB">
            <w:pPr>
              <w:jc w:val="right"/>
              <w:rPr>
                <w:rFonts w:cs="Arial"/>
                <w:sz w:val="15"/>
                <w:szCs w:val="15"/>
              </w:rPr>
            </w:pPr>
            <w:r>
              <w:rPr>
                <w:sz w:val="15"/>
              </w:rPr>
              <w:t>74.6</w:t>
            </w:r>
          </w:p>
          <w:p w14:paraId="5D0A0885" w14:textId="77777777" w:rsidR="00EB7374" w:rsidRPr="006E6EEB" w:rsidRDefault="00EB7374" w:rsidP="00C700EB">
            <w:pPr>
              <w:jc w:val="right"/>
              <w:rPr>
                <w:rFonts w:cs="Arial"/>
                <w:sz w:val="15"/>
                <w:szCs w:val="15"/>
              </w:rPr>
            </w:pPr>
            <w:r>
              <w:rPr>
                <w:sz w:val="15"/>
              </w:rPr>
              <w:t>66.0</w:t>
            </w:r>
          </w:p>
        </w:tc>
        <w:tc>
          <w:tcPr>
            <w:tcW w:w="843" w:type="dxa"/>
          </w:tcPr>
          <w:p w14:paraId="64F5B1E0" w14:textId="77777777" w:rsidR="00EB7374" w:rsidRPr="006E6EEB" w:rsidRDefault="00EB7374" w:rsidP="00C700EB">
            <w:pPr>
              <w:jc w:val="right"/>
              <w:rPr>
                <w:rFonts w:cs="Arial"/>
                <w:sz w:val="15"/>
                <w:szCs w:val="15"/>
              </w:rPr>
            </w:pPr>
            <w:r>
              <w:rPr>
                <w:sz w:val="15"/>
              </w:rPr>
              <w:t>78.9</w:t>
            </w:r>
          </w:p>
          <w:p w14:paraId="40B5DD3B" w14:textId="77777777" w:rsidR="00EB7374" w:rsidRPr="006E6EEB" w:rsidRDefault="00EB7374" w:rsidP="00C700EB">
            <w:pPr>
              <w:jc w:val="right"/>
              <w:rPr>
                <w:rFonts w:cs="Arial"/>
                <w:sz w:val="15"/>
                <w:szCs w:val="15"/>
              </w:rPr>
            </w:pPr>
            <w:r>
              <w:rPr>
                <w:sz w:val="15"/>
              </w:rPr>
              <w:t>69.7</w:t>
            </w:r>
          </w:p>
        </w:tc>
        <w:tc>
          <w:tcPr>
            <w:tcW w:w="843" w:type="dxa"/>
          </w:tcPr>
          <w:p w14:paraId="1BF4E7C5" w14:textId="77777777" w:rsidR="00EB7374" w:rsidRPr="006E6EEB" w:rsidRDefault="00EB7374" w:rsidP="00C700EB">
            <w:pPr>
              <w:jc w:val="right"/>
              <w:rPr>
                <w:sz w:val="15"/>
                <w:szCs w:val="15"/>
              </w:rPr>
            </w:pPr>
            <w:r>
              <w:rPr>
                <w:sz w:val="15"/>
              </w:rPr>
              <w:t>83.9</w:t>
            </w:r>
          </w:p>
          <w:p w14:paraId="1D6C210C" w14:textId="77777777" w:rsidR="00EB7374" w:rsidRPr="006E6EEB" w:rsidRDefault="00EB7374" w:rsidP="00C700EB">
            <w:pPr>
              <w:jc w:val="right"/>
              <w:rPr>
                <w:sz w:val="15"/>
                <w:szCs w:val="15"/>
              </w:rPr>
            </w:pPr>
            <w:r>
              <w:rPr>
                <w:sz w:val="15"/>
              </w:rPr>
              <w:t>73.6</w:t>
            </w:r>
          </w:p>
        </w:tc>
        <w:tc>
          <w:tcPr>
            <w:tcW w:w="844" w:type="dxa"/>
          </w:tcPr>
          <w:p w14:paraId="583C90D7" w14:textId="77777777" w:rsidR="00EB7374" w:rsidRPr="006E6EEB" w:rsidRDefault="00EB7374" w:rsidP="00C700EB">
            <w:pPr>
              <w:jc w:val="right"/>
              <w:rPr>
                <w:sz w:val="15"/>
                <w:szCs w:val="15"/>
              </w:rPr>
            </w:pPr>
            <w:r>
              <w:rPr>
                <w:sz w:val="15"/>
              </w:rPr>
              <w:t>87.9</w:t>
            </w:r>
            <w:r>
              <w:rPr>
                <w:sz w:val="15"/>
                <w:vertAlign w:val="superscript"/>
              </w:rPr>
              <w:t>b</w:t>
            </w:r>
          </w:p>
          <w:p w14:paraId="268D6CE3" w14:textId="77777777" w:rsidR="00EB7374" w:rsidRPr="006E6EEB" w:rsidRDefault="00EB7374" w:rsidP="00C700EB">
            <w:pPr>
              <w:jc w:val="right"/>
              <w:rPr>
                <w:sz w:val="15"/>
                <w:szCs w:val="15"/>
              </w:rPr>
            </w:pPr>
            <w:r>
              <w:rPr>
                <w:sz w:val="15"/>
              </w:rPr>
              <w:t>67.1</w:t>
            </w:r>
            <w:r>
              <w:rPr>
                <w:sz w:val="15"/>
                <w:vertAlign w:val="superscript"/>
              </w:rPr>
              <w:t>b</w:t>
            </w:r>
          </w:p>
        </w:tc>
      </w:tr>
      <w:tr w:rsidR="00EB7374" w:rsidRPr="006E6EEB" w14:paraId="2B247725" w14:textId="77777777" w:rsidTr="00C700EB">
        <w:trPr>
          <w:cantSplit/>
        </w:trPr>
        <w:tc>
          <w:tcPr>
            <w:tcW w:w="3114" w:type="dxa"/>
          </w:tcPr>
          <w:p w14:paraId="2DDC81EB" w14:textId="77777777" w:rsidR="00EB7374" w:rsidRPr="006E6EEB" w:rsidRDefault="00EB7374" w:rsidP="00C700EB">
            <w:pPr>
              <w:jc w:val="left"/>
              <w:rPr>
                <w:b/>
                <w:sz w:val="15"/>
                <w:szCs w:val="15"/>
              </w:rPr>
            </w:pPr>
            <w:r>
              <w:rPr>
                <w:b/>
                <w:sz w:val="15"/>
              </w:rPr>
              <w:t>Tariffs</w:t>
            </w:r>
          </w:p>
        </w:tc>
        <w:tc>
          <w:tcPr>
            <w:tcW w:w="5902" w:type="dxa"/>
            <w:gridSpan w:val="7"/>
          </w:tcPr>
          <w:p w14:paraId="7F70F2ED" w14:textId="77777777" w:rsidR="00EB7374" w:rsidRPr="006E6EEB" w:rsidRDefault="00EB7374" w:rsidP="00C700EB">
            <w:pPr>
              <w:jc w:val="center"/>
              <w:rPr>
                <w:sz w:val="15"/>
                <w:szCs w:val="15"/>
              </w:rPr>
            </w:pPr>
            <w:r>
              <w:rPr>
                <w:sz w:val="15"/>
              </w:rPr>
              <w:t>(DOP per minute)</w:t>
            </w:r>
          </w:p>
        </w:tc>
      </w:tr>
      <w:tr w:rsidR="00EB7374" w:rsidRPr="006E6EEB" w14:paraId="1C220E2C" w14:textId="77777777" w:rsidTr="00C700EB">
        <w:trPr>
          <w:cnfStyle w:val="000000010000" w:firstRow="0" w:lastRow="0" w:firstColumn="0" w:lastColumn="0" w:oddVBand="0" w:evenVBand="0" w:oddHBand="0" w:evenHBand="1" w:firstRowFirstColumn="0" w:firstRowLastColumn="0" w:lastRowFirstColumn="0" w:lastRowLastColumn="0"/>
          <w:cantSplit/>
        </w:trPr>
        <w:tc>
          <w:tcPr>
            <w:tcW w:w="3114" w:type="dxa"/>
          </w:tcPr>
          <w:p w14:paraId="30FB8276" w14:textId="77777777" w:rsidR="00EB7374" w:rsidRPr="006E6EEB" w:rsidRDefault="00EB7374" w:rsidP="00C700EB">
            <w:pPr>
              <w:jc w:val="left"/>
              <w:rPr>
                <w:sz w:val="15"/>
                <w:szCs w:val="15"/>
              </w:rPr>
            </w:pPr>
            <w:r>
              <w:rPr>
                <w:sz w:val="15"/>
              </w:rPr>
              <w:t>Landline telephony</w:t>
            </w:r>
          </w:p>
        </w:tc>
        <w:tc>
          <w:tcPr>
            <w:tcW w:w="843" w:type="dxa"/>
          </w:tcPr>
          <w:p w14:paraId="3BC8AF4D" w14:textId="77777777" w:rsidR="00EB7374" w:rsidRPr="006E6EEB" w:rsidRDefault="00EB7374" w:rsidP="00C700EB">
            <w:pPr>
              <w:jc w:val="right"/>
              <w:rPr>
                <w:rFonts w:cs="Arial"/>
                <w:sz w:val="15"/>
                <w:szCs w:val="15"/>
              </w:rPr>
            </w:pPr>
            <w:r>
              <w:rPr>
                <w:sz w:val="15"/>
              </w:rPr>
              <w:t>1.50</w:t>
            </w:r>
          </w:p>
        </w:tc>
        <w:tc>
          <w:tcPr>
            <w:tcW w:w="843" w:type="dxa"/>
          </w:tcPr>
          <w:p w14:paraId="1CF9ECEC" w14:textId="77777777" w:rsidR="00EB7374" w:rsidRPr="006E6EEB" w:rsidRDefault="00EB7374" w:rsidP="00C700EB">
            <w:pPr>
              <w:jc w:val="right"/>
              <w:rPr>
                <w:rFonts w:cs="Arial"/>
                <w:sz w:val="15"/>
                <w:szCs w:val="15"/>
              </w:rPr>
            </w:pPr>
            <w:r>
              <w:rPr>
                <w:sz w:val="15"/>
              </w:rPr>
              <w:t>1.24</w:t>
            </w:r>
          </w:p>
        </w:tc>
        <w:tc>
          <w:tcPr>
            <w:tcW w:w="843" w:type="dxa"/>
          </w:tcPr>
          <w:p w14:paraId="3B02EC4E" w14:textId="77777777" w:rsidR="00EB7374" w:rsidRPr="006E6EEB" w:rsidRDefault="00EB7374" w:rsidP="00C700EB">
            <w:pPr>
              <w:jc w:val="right"/>
              <w:rPr>
                <w:rFonts w:cs="Arial"/>
                <w:sz w:val="15"/>
                <w:szCs w:val="15"/>
              </w:rPr>
            </w:pPr>
            <w:r>
              <w:rPr>
                <w:sz w:val="15"/>
              </w:rPr>
              <w:t>1.47</w:t>
            </w:r>
          </w:p>
        </w:tc>
        <w:tc>
          <w:tcPr>
            <w:tcW w:w="843" w:type="dxa"/>
          </w:tcPr>
          <w:p w14:paraId="7A304C9E" w14:textId="77777777" w:rsidR="00EB7374" w:rsidRPr="006E6EEB" w:rsidRDefault="00EB7374" w:rsidP="00C700EB">
            <w:pPr>
              <w:jc w:val="right"/>
              <w:rPr>
                <w:rFonts w:cs="Arial"/>
                <w:sz w:val="15"/>
                <w:szCs w:val="15"/>
              </w:rPr>
            </w:pPr>
            <w:r>
              <w:rPr>
                <w:sz w:val="15"/>
              </w:rPr>
              <w:t>1.36</w:t>
            </w:r>
          </w:p>
        </w:tc>
        <w:tc>
          <w:tcPr>
            <w:tcW w:w="843" w:type="dxa"/>
          </w:tcPr>
          <w:p w14:paraId="29F832E6" w14:textId="77777777" w:rsidR="00EB7374" w:rsidRPr="006E6EEB" w:rsidRDefault="00EB7374" w:rsidP="00C700EB">
            <w:pPr>
              <w:jc w:val="right"/>
              <w:rPr>
                <w:rFonts w:cs="Arial"/>
                <w:sz w:val="15"/>
                <w:szCs w:val="15"/>
              </w:rPr>
            </w:pPr>
            <w:r>
              <w:rPr>
                <w:sz w:val="15"/>
              </w:rPr>
              <w:t>1.51</w:t>
            </w:r>
          </w:p>
        </w:tc>
        <w:tc>
          <w:tcPr>
            <w:tcW w:w="843" w:type="dxa"/>
          </w:tcPr>
          <w:p w14:paraId="31C571CE" w14:textId="77777777" w:rsidR="00EB7374" w:rsidRPr="006E6EEB" w:rsidRDefault="00EB7374" w:rsidP="00C700EB">
            <w:pPr>
              <w:jc w:val="right"/>
              <w:rPr>
                <w:rFonts w:cs="Arial"/>
                <w:sz w:val="15"/>
                <w:szCs w:val="15"/>
              </w:rPr>
            </w:pPr>
            <w:r>
              <w:rPr>
                <w:sz w:val="15"/>
              </w:rPr>
              <w:t>1.43</w:t>
            </w:r>
          </w:p>
        </w:tc>
        <w:tc>
          <w:tcPr>
            <w:tcW w:w="844" w:type="dxa"/>
          </w:tcPr>
          <w:p w14:paraId="7EABB3EA" w14:textId="77777777" w:rsidR="00EB7374" w:rsidRPr="006E6EEB" w:rsidRDefault="00EB7374" w:rsidP="00C700EB">
            <w:pPr>
              <w:jc w:val="right"/>
              <w:rPr>
                <w:rFonts w:cs="Arial"/>
                <w:sz w:val="15"/>
                <w:szCs w:val="15"/>
              </w:rPr>
            </w:pPr>
            <w:r>
              <w:rPr>
                <w:sz w:val="15"/>
              </w:rPr>
              <w:t>1.63</w:t>
            </w:r>
          </w:p>
        </w:tc>
      </w:tr>
      <w:tr w:rsidR="00EB7374" w:rsidRPr="006E6EEB" w14:paraId="7DAC580A" w14:textId="77777777" w:rsidTr="00C700EB">
        <w:trPr>
          <w:cantSplit/>
        </w:trPr>
        <w:tc>
          <w:tcPr>
            <w:tcW w:w="3114" w:type="dxa"/>
          </w:tcPr>
          <w:p w14:paraId="618672B1" w14:textId="77777777" w:rsidR="00EB7374" w:rsidRPr="006E6EEB" w:rsidRDefault="00EB7374" w:rsidP="00C700EB">
            <w:pPr>
              <w:jc w:val="left"/>
              <w:rPr>
                <w:sz w:val="15"/>
                <w:szCs w:val="15"/>
              </w:rPr>
            </w:pPr>
            <w:r>
              <w:rPr>
                <w:sz w:val="15"/>
              </w:rPr>
              <w:t>Mobile telephony (</w:t>
            </w:r>
            <w:proofErr w:type="spellStart"/>
            <w:r>
              <w:rPr>
                <w:sz w:val="15"/>
              </w:rPr>
              <w:t>postpaid</w:t>
            </w:r>
            <w:proofErr w:type="spellEnd"/>
            <w:r>
              <w:rPr>
                <w:sz w:val="15"/>
              </w:rPr>
              <w:t>)</w:t>
            </w:r>
          </w:p>
        </w:tc>
        <w:tc>
          <w:tcPr>
            <w:tcW w:w="843" w:type="dxa"/>
          </w:tcPr>
          <w:p w14:paraId="7DEADFCA" w14:textId="77777777" w:rsidR="00EB7374" w:rsidRPr="006E6EEB" w:rsidRDefault="00EB7374" w:rsidP="00C700EB">
            <w:pPr>
              <w:jc w:val="right"/>
              <w:rPr>
                <w:rFonts w:cs="Arial"/>
                <w:sz w:val="15"/>
                <w:szCs w:val="15"/>
              </w:rPr>
            </w:pPr>
            <w:r>
              <w:rPr>
                <w:sz w:val="15"/>
              </w:rPr>
              <w:t>3.48</w:t>
            </w:r>
          </w:p>
        </w:tc>
        <w:tc>
          <w:tcPr>
            <w:tcW w:w="843" w:type="dxa"/>
          </w:tcPr>
          <w:p w14:paraId="36985360" w14:textId="77777777" w:rsidR="00EB7374" w:rsidRPr="006E6EEB" w:rsidRDefault="00EB7374" w:rsidP="00C700EB">
            <w:pPr>
              <w:jc w:val="right"/>
              <w:rPr>
                <w:rFonts w:cs="Arial"/>
                <w:sz w:val="15"/>
                <w:szCs w:val="15"/>
              </w:rPr>
            </w:pPr>
            <w:r>
              <w:rPr>
                <w:sz w:val="15"/>
              </w:rPr>
              <w:t>3.46</w:t>
            </w:r>
          </w:p>
        </w:tc>
        <w:tc>
          <w:tcPr>
            <w:tcW w:w="843" w:type="dxa"/>
          </w:tcPr>
          <w:p w14:paraId="0CC3619F" w14:textId="77777777" w:rsidR="00EB7374" w:rsidRPr="006E6EEB" w:rsidRDefault="00EB7374" w:rsidP="00C700EB">
            <w:pPr>
              <w:jc w:val="right"/>
              <w:rPr>
                <w:rFonts w:cs="Arial"/>
                <w:sz w:val="15"/>
                <w:szCs w:val="15"/>
              </w:rPr>
            </w:pPr>
            <w:r>
              <w:rPr>
                <w:sz w:val="15"/>
              </w:rPr>
              <w:t>4.11</w:t>
            </w:r>
          </w:p>
        </w:tc>
        <w:tc>
          <w:tcPr>
            <w:tcW w:w="843" w:type="dxa"/>
          </w:tcPr>
          <w:p w14:paraId="3E84B8C6" w14:textId="77777777" w:rsidR="00EB7374" w:rsidRPr="006E6EEB" w:rsidRDefault="00EB7374" w:rsidP="00C700EB">
            <w:pPr>
              <w:jc w:val="right"/>
              <w:rPr>
                <w:rFonts w:cs="Arial"/>
                <w:sz w:val="15"/>
                <w:szCs w:val="15"/>
              </w:rPr>
            </w:pPr>
            <w:r>
              <w:rPr>
                <w:sz w:val="15"/>
              </w:rPr>
              <w:t>3.18</w:t>
            </w:r>
          </w:p>
        </w:tc>
        <w:tc>
          <w:tcPr>
            <w:tcW w:w="843" w:type="dxa"/>
          </w:tcPr>
          <w:p w14:paraId="04B15D9F" w14:textId="77777777" w:rsidR="00EB7374" w:rsidRPr="006E6EEB" w:rsidRDefault="00EB7374" w:rsidP="00C700EB">
            <w:pPr>
              <w:jc w:val="right"/>
              <w:rPr>
                <w:rFonts w:cs="Arial"/>
                <w:sz w:val="15"/>
                <w:szCs w:val="15"/>
              </w:rPr>
            </w:pPr>
            <w:r>
              <w:rPr>
                <w:sz w:val="15"/>
              </w:rPr>
              <w:t>3.10</w:t>
            </w:r>
          </w:p>
        </w:tc>
        <w:tc>
          <w:tcPr>
            <w:tcW w:w="843" w:type="dxa"/>
          </w:tcPr>
          <w:p w14:paraId="23616080" w14:textId="77777777" w:rsidR="00EB7374" w:rsidRPr="006E6EEB" w:rsidRDefault="00EB7374" w:rsidP="00C700EB">
            <w:pPr>
              <w:jc w:val="right"/>
              <w:rPr>
                <w:rFonts w:cs="Arial"/>
                <w:sz w:val="15"/>
                <w:szCs w:val="15"/>
              </w:rPr>
            </w:pPr>
            <w:r>
              <w:rPr>
                <w:sz w:val="15"/>
              </w:rPr>
              <w:t>3.05</w:t>
            </w:r>
          </w:p>
        </w:tc>
        <w:tc>
          <w:tcPr>
            <w:tcW w:w="844" w:type="dxa"/>
          </w:tcPr>
          <w:p w14:paraId="69BFC9C4" w14:textId="77777777" w:rsidR="00EB7374" w:rsidRPr="006E6EEB" w:rsidRDefault="00EB7374" w:rsidP="00C700EB">
            <w:pPr>
              <w:jc w:val="right"/>
              <w:rPr>
                <w:rFonts w:cs="Arial"/>
                <w:sz w:val="15"/>
                <w:szCs w:val="15"/>
              </w:rPr>
            </w:pPr>
            <w:r>
              <w:rPr>
                <w:sz w:val="15"/>
              </w:rPr>
              <w:t>2.75</w:t>
            </w:r>
          </w:p>
        </w:tc>
      </w:tr>
      <w:tr w:rsidR="00EB7374" w:rsidRPr="006E6EEB" w14:paraId="6266D54E" w14:textId="77777777" w:rsidTr="00C700EB">
        <w:trPr>
          <w:cnfStyle w:val="000000010000" w:firstRow="0" w:lastRow="0" w:firstColumn="0" w:lastColumn="0" w:oddVBand="0" w:evenVBand="0" w:oddHBand="0" w:evenHBand="1" w:firstRowFirstColumn="0" w:firstRowLastColumn="0" w:lastRowFirstColumn="0" w:lastRowLastColumn="0"/>
          <w:cantSplit/>
        </w:trPr>
        <w:tc>
          <w:tcPr>
            <w:tcW w:w="3114" w:type="dxa"/>
          </w:tcPr>
          <w:p w14:paraId="57BA70CA" w14:textId="77777777" w:rsidR="00EB7374" w:rsidRPr="006E6EEB" w:rsidRDefault="00EB7374" w:rsidP="00C700EB">
            <w:pPr>
              <w:jc w:val="left"/>
              <w:rPr>
                <w:sz w:val="15"/>
                <w:szCs w:val="15"/>
              </w:rPr>
            </w:pPr>
            <w:r>
              <w:rPr>
                <w:sz w:val="15"/>
              </w:rPr>
              <w:t>Mobile telephony (prepaid)</w:t>
            </w:r>
          </w:p>
        </w:tc>
        <w:tc>
          <w:tcPr>
            <w:tcW w:w="843" w:type="dxa"/>
          </w:tcPr>
          <w:p w14:paraId="2685EAA6" w14:textId="77777777" w:rsidR="00EB7374" w:rsidRPr="006E6EEB" w:rsidRDefault="00EB7374" w:rsidP="00C700EB">
            <w:pPr>
              <w:jc w:val="right"/>
              <w:rPr>
                <w:rFonts w:cs="Arial"/>
                <w:sz w:val="15"/>
                <w:szCs w:val="15"/>
              </w:rPr>
            </w:pPr>
            <w:r>
              <w:rPr>
                <w:sz w:val="15"/>
              </w:rPr>
              <w:t>6.74</w:t>
            </w:r>
          </w:p>
        </w:tc>
        <w:tc>
          <w:tcPr>
            <w:tcW w:w="843" w:type="dxa"/>
          </w:tcPr>
          <w:p w14:paraId="7A87A00B" w14:textId="77777777" w:rsidR="00EB7374" w:rsidRPr="006E6EEB" w:rsidRDefault="00EB7374" w:rsidP="00C700EB">
            <w:pPr>
              <w:jc w:val="right"/>
              <w:rPr>
                <w:rFonts w:cs="Arial"/>
                <w:sz w:val="15"/>
                <w:szCs w:val="15"/>
              </w:rPr>
            </w:pPr>
            <w:r>
              <w:rPr>
                <w:sz w:val="15"/>
              </w:rPr>
              <w:t>6.05</w:t>
            </w:r>
          </w:p>
        </w:tc>
        <w:tc>
          <w:tcPr>
            <w:tcW w:w="843" w:type="dxa"/>
          </w:tcPr>
          <w:p w14:paraId="4013B99C" w14:textId="77777777" w:rsidR="00EB7374" w:rsidRPr="006E6EEB" w:rsidRDefault="00EB7374" w:rsidP="00C700EB">
            <w:pPr>
              <w:ind w:firstLineChars="100" w:firstLine="150"/>
              <w:jc w:val="right"/>
              <w:rPr>
                <w:rFonts w:cs="Arial"/>
                <w:sz w:val="15"/>
                <w:szCs w:val="15"/>
              </w:rPr>
            </w:pPr>
            <w:r>
              <w:rPr>
                <w:sz w:val="15"/>
              </w:rPr>
              <w:t>5.74</w:t>
            </w:r>
          </w:p>
        </w:tc>
        <w:tc>
          <w:tcPr>
            <w:tcW w:w="843" w:type="dxa"/>
          </w:tcPr>
          <w:p w14:paraId="4FC47A00" w14:textId="77777777" w:rsidR="00EB7374" w:rsidRPr="006E6EEB" w:rsidRDefault="00EB7374" w:rsidP="00C700EB">
            <w:pPr>
              <w:jc w:val="right"/>
              <w:rPr>
                <w:rFonts w:cs="Arial"/>
                <w:sz w:val="15"/>
                <w:szCs w:val="15"/>
              </w:rPr>
            </w:pPr>
            <w:r>
              <w:rPr>
                <w:sz w:val="15"/>
              </w:rPr>
              <w:t>6.11</w:t>
            </w:r>
          </w:p>
        </w:tc>
        <w:tc>
          <w:tcPr>
            <w:tcW w:w="843" w:type="dxa"/>
          </w:tcPr>
          <w:p w14:paraId="3F893428" w14:textId="77777777" w:rsidR="00EB7374" w:rsidRPr="006E6EEB" w:rsidRDefault="00EB7374" w:rsidP="00C700EB">
            <w:pPr>
              <w:jc w:val="right"/>
              <w:rPr>
                <w:rFonts w:cs="Arial"/>
                <w:sz w:val="15"/>
                <w:szCs w:val="15"/>
              </w:rPr>
            </w:pPr>
            <w:r>
              <w:rPr>
                <w:sz w:val="15"/>
              </w:rPr>
              <w:t>6.08</w:t>
            </w:r>
          </w:p>
        </w:tc>
        <w:tc>
          <w:tcPr>
            <w:tcW w:w="843" w:type="dxa"/>
          </w:tcPr>
          <w:p w14:paraId="0DA2BA6D" w14:textId="77777777" w:rsidR="00EB7374" w:rsidRPr="006E6EEB" w:rsidRDefault="00EB7374" w:rsidP="00C700EB">
            <w:pPr>
              <w:jc w:val="right"/>
              <w:rPr>
                <w:sz w:val="15"/>
                <w:szCs w:val="15"/>
              </w:rPr>
            </w:pPr>
            <w:r>
              <w:rPr>
                <w:sz w:val="15"/>
              </w:rPr>
              <w:t>6.09</w:t>
            </w:r>
          </w:p>
        </w:tc>
        <w:tc>
          <w:tcPr>
            <w:tcW w:w="844" w:type="dxa"/>
          </w:tcPr>
          <w:p w14:paraId="36D69D8C" w14:textId="77777777" w:rsidR="00EB7374" w:rsidRPr="006E6EEB" w:rsidRDefault="00EB7374" w:rsidP="00C700EB">
            <w:pPr>
              <w:jc w:val="right"/>
              <w:rPr>
                <w:sz w:val="15"/>
                <w:szCs w:val="15"/>
              </w:rPr>
            </w:pPr>
            <w:r>
              <w:rPr>
                <w:sz w:val="15"/>
              </w:rPr>
              <w:t>6.09</w:t>
            </w:r>
          </w:p>
        </w:tc>
      </w:tr>
    </w:tbl>
    <w:p w14:paraId="1E11FC30" w14:textId="77777777" w:rsidR="00EB7374" w:rsidRDefault="00EB7374" w:rsidP="00B0434B">
      <w:pPr>
        <w:pStyle w:val="NoteText"/>
        <w:spacing w:before="120"/>
      </w:pPr>
      <w:proofErr w:type="spellStart"/>
      <w:r>
        <w:t>a</w:t>
      </w:r>
      <w:proofErr w:type="spellEnd"/>
      <w:r>
        <w:tab/>
        <w:t>Estimated data for 2015 and 2016.</w:t>
      </w:r>
    </w:p>
    <w:p w14:paraId="330471AA" w14:textId="0560AF78" w:rsidR="00EB7374" w:rsidRDefault="00EB7374" w:rsidP="00B0434B">
      <w:pPr>
        <w:pStyle w:val="NoteText"/>
      </w:pPr>
      <w:r>
        <w:t>b</w:t>
      </w:r>
      <w:r>
        <w:tab/>
        <w:t>In 2021, the minimum standard broadband speed was changed from 512 kilobytes per second (</w:t>
      </w:r>
      <w:proofErr w:type="spellStart"/>
      <w:r>
        <w:t>KBps</w:t>
      </w:r>
      <w:proofErr w:type="spellEnd"/>
      <w:r>
        <w:t>) to 4 megabytes per second (</w:t>
      </w:r>
      <w:proofErr w:type="spellStart"/>
      <w:r>
        <w:t>MBps</w:t>
      </w:r>
      <w:proofErr w:type="spellEnd"/>
      <w:r>
        <w:t xml:space="preserve">), which has created an inconsistency in the fixed and mobile broadband data, as well as in their respective </w:t>
      </w:r>
      <w:proofErr w:type="spellStart"/>
      <w:r>
        <w:t>teledensity</w:t>
      </w:r>
      <w:proofErr w:type="spellEnd"/>
      <w:r>
        <w:t xml:space="preserve"> data (Resolution No.</w:t>
      </w:r>
      <w:r w:rsidR="00FC2C9F">
        <w:t> </w:t>
      </w:r>
      <w:r>
        <w:t xml:space="preserve">026-21 of the </w:t>
      </w:r>
      <w:proofErr w:type="spellStart"/>
      <w:r>
        <w:t>INDOTEL</w:t>
      </w:r>
      <w:proofErr w:type="spellEnd"/>
      <w:r>
        <w:t xml:space="preserve"> Board of Directors).</w:t>
      </w:r>
    </w:p>
    <w:p w14:paraId="4C895163" w14:textId="77777777" w:rsidR="00EB7374" w:rsidRPr="00A4298B" w:rsidRDefault="00EB7374" w:rsidP="00B0434B">
      <w:pPr>
        <w:pStyle w:val="NoteText"/>
        <w:spacing w:before="120" w:after="240"/>
      </w:pPr>
      <w:r>
        <w:t>Source:</w:t>
      </w:r>
      <w:r>
        <w:tab/>
        <w:t>Data provided by the Central Bank, Dominican Telecommunications Institute (</w:t>
      </w:r>
      <w:proofErr w:type="spellStart"/>
      <w:r>
        <w:t>INDOTEL</w:t>
      </w:r>
      <w:proofErr w:type="spellEnd"/>
      <w:r>
        <w:t xml:space="preserve">) and the National Statistics Office. Viewed at: </w:t>
      </w:r>
      <w:hyperlink r:id="rId53" w:history="1">
        <w:r w:rsidRPr="00284762">
          <w:rPr>
            <w:rStyle w:val="Hyperlink"/>
          </w:rPr>
          <w:t>http://www.bancentral.gov.do</w:t>
        </w:r>
      </w:hyperlink>
      <w:r>
        <w:rPr>
          <w:rStyle w:val="Hyperlink"/>
        </w:rPr>
        <w:t>,</w:t>
      </w:r>
      <w:r>
        <w:t xml:space="preserve"> </w:t>
      </w:r>
      <w:hyperlink r:id="rId54" w:history="1">
        <w:r w:rsidRPr="00284762">
          <w:rPr>
            <w:rStyle w:val="Hyperlink"/>
          </w:rPr>
          <w:t>http://www.indotel.gob.do</w:t>
        </w:r>
      </w:hyperlink>
      <w:r>
        <w:t xml:space="preserve"> and </w:t>
      </w:r>
      <w:hyperlink r:id="rId55" w:history="1">
        <w:r w:rsidRPr="00284762">
          <w:rPr>
            <w:rStyle w:val="Hyperlink"/>
          </w:rPr>
          <w:t>http://www.one.gob.do</w:t>
        </w:r>
      </w:hyperlink>
      <w:r>
        <w:t>.</w:t>
      </w:r>
    </w:p>
    <w:p w14:paraId="4B041982" w14:textId="40052918" w:rsidR="00EB7374" w:rsidRPr="00C23180" w:rsidRDefault="00EB7374" w:rsidP="00C80D98">
      <w:pPr>
        <w:pStyle w:val="BodyText"/>
      </w:pPr>
      <w:r>
        <w:t>The Dominican telecommunications sector continued receiving foreign direct investment (</w:t>
      </w:r>
      <w:proofErr w:type="spellStart"/>
      <w:r>
        <w:t>FDI</w:t>
      </w:r>
      <w:proofErr w:type="spellEnd"/>
      <w:r>
        <w:t xml:space="preserve">) during the review period, but the </w:t>
      </w:r>
      <w:proofErr w:type="spellStart"/>
      <w:r>
        <w:t>FDI</w:t>
      </w:r>
      <w:proofErr w:type="spellEnd"/>
      <w:r>
        <w:t xml:space="preserve"> amounts have fluctuated considerably from one year to another and the balance for the period (USD</w:t>
      </w:r>
      <w:r w:rsidR="004904AD">
        <w:t> </w:t>
      </w:r>
      <w:r>
        <w:t>171.8</w:t>
      </w:r>
      <w:r w:rsidR="004904AD">
        <w:t> </w:t>
      </w:r>
      <w:r>
        <w:t>million) is eight times lower than the flows during the previous TPR.</w:t>
      </w:r>
      <w:r w:rsidRPr="00C23180">
        <w:rPr>
          <w:rStyle w:val="FootnoteReference"/>
        </w:rPr>
        <w:footnoteReference w:id="513"/>
      </w:r>
      <w:r>
        <w:t xml:space="preserve"> In 2016 and 2018, there were two major disinvestments in the sector (of</w:t>
      </w:r>
      <w:r w:rsidR="004904AD">
        <w:t> </w:t>
      </w:r>
      <w:r>
        <w:t>approximately USD</w:t>
      </w:r>
      <w:r w:rsidR="004904AD">
        <w:t> </w:t>
      </w:r>
      <w:r>
        <w:t>250</w:t>
      </w:r>
      <w:r w:rsidR="004904AD">
        <w:t> </w:t>
      </w:r>
      <w:r>
        <w:t xml:space="preserve">million each), and there was also a negative flow of approximately USD 120 million in 2020. The 2016 divestment was due to national investors purchasing the company Trilogy (Viva). The 2018 disinvestment was linked to profits being paid out abroad, while that of 2020 was due to telecommunications companies with foreign investment lending to their parent companies. The largest investors are from Mexico, Denmark and the United States. The </w:t>
      </w:r>
      <w:proofErr w:type="spellStart"/>
      <w:r>
        <w:t>FDI</w:t>
      </w:r>
      <w:proofErr w:type="spellEnd"/>
      <w:r>
        <w:t xml:space="preserve"> during the review period was intended for infrastructure, in particular, for developing mobile phone services (expanding and improving 4G networks), expanding landline telephony services (transition to fibre optic networks and Voice over Internet Protocol (VoIP) services) and the roll-out of new Internet access technologies (introduction of 5G technology).</w:t>
      </w:r>
    </w:p>
    <w:p w14:paraId="77536232" w14:textId="77777777" w:rsidR="00EB7374" w:rsidRDefault="00EB7374" w:rsidP="00C80D98">
      <w:pPr>
        <w:pStyle w:val="BodyText"/>
      </w:pPr>
      <w:r>
        <w:t>The authorities have stated that the infrastructure for the mobile telephony network has been rolled out across almost the entire territory and the vast majority of municipalities have 4G coverage (97.6% of the population). The tendering process for 4G bands was undertaken in 2014; however, 4G technology only arrived on the market in 2017.</w:t>
      </w:r>
    </w:p>
    <w:p w14:paraId="54EB0D6D" w14:textId="77777777" w:rsidR="00EB7374" w:rsidRPr="00C23180" w:rsidRDefault="00EB7374" w:rsidP="00C80D98">
      <w:pPr>
        <w:pStyle w:val="BodyText"/>
      </w:pPr>
      <w:r>
        <w:t>A total of 22 companies are licensed to provide public telephony services, of which 10 currently do so, with 8 also providing Internet services. Another 42 companies provide Internet and television subscription services.</w:t>
      </w:r>
      <w:r w:rsidRPr="00C23180">
        <w:rPr>
          <w:vertAlign w:val="superscript"/>
        </w:rPr>
        <w:footnoteReference w:id="514"/>
      </w:r>
      <w:r>
        <w:t xml:space="preserve"> Only private sector companies operate on the public telecommunications service market. The </w:t>
      </w:r>
      <w:proofErr w:type="spellStart"/>
      <w:r>
        <w:t>Compañía</w:t>
      </w:r>
      <w:proofErr w:type="spellEnd"/>
      <w:r>
        <w:t xml:space="preserve"> </w:t>
      </w:r>
      <w:proofErr w:type="spellStart"/>
      <w:r>
        <w:t>Dominicana</w:t>
      </w:r>
      <w:proofErr w:type="spellEnd"/>
      <w:r>
        <w:t xml:space="preserve"> de </w:t>
      </w:r>
      <w:proofErr w:type="spellStart"/>
      <w:r>
        <w:t>Teléfonos</w:t>
      </w:r>
      <w:proofErr w:type="spellEnd"/>
      <w:r>
        <w:t xml:space="preserve"> (Claro) is the largest provider on the market, accounting for 72% of the landline telephony market, 63% of the mobile telephony market and 59% of the Internet services market. Claro increased its share in the two </w:t>
      </w:r>
      <w:r>
        <w:lastRenderedPageBreak/>
        <w:t xml:space="preserve">telephony sectors between 2015 and 2021. Altice </w:t>
      </w:r>
      <w:proofErr w:type="spellStart"/>
      <w:r>
        <w:t>Dominicana</w:t>
      </w:r>
      <w:proofErr w:type="spellEnd"/>
      <w:r>
        <w:t xml:space="preserve">, a group which came into operation in 2014 following its acquisition of Orange </w:t>
      </w:r>
      <w:proofErr w:type="spellStart"/>
      <w:r>
        <w:t>Dominicana</w:t>
      </w:r>
      <w:proofErr w:type="spellEnd"/>
      <w:r>
        <w:t xml:space="preserve"> and </w:t>
      </w:r>
      <w:proofErr w:type="spellStart"/>
      <w:r>
        <w:t>Tricom</w:t>
      </w:r>
      <w:proofErr w:type="spellEnd"/>
      <w:r>
        <w:t>, with the merger approved in 2018</w:t>
      </w:r>
      <w:r w:rsidRPr="0073340E">
        <w:rPr>
          <w:rStyle w:val="FootnoteReference"/>
        </w:rPr>
        <w:footnoteReference w:id="515"/>
      </w:r>
      <w:r>
        <w:t xml:space="preserve">, is the second largest provider in all segments: landline telephony (24%), mobile telephony (32%) and Internet services (36%). There is practically a duopoly on the telephony services market, resulting in low competition, which is clear from the stable prices for the services provided (Table 4.12). Trilogy </w:t>
      </w:r>
      <w:proofErr w:type="spellStart"/>
      <w:r>
        <w:t>Dominicana</w:t>
      </w:r>
      <w:proofErr w:type="spellEnd"/>
      <w:r>
        <w:t xml:space="preserve"> (Viva) is the third largest operator in all segments, but its share in each of them is less than 5%. The other operators hold a tiny share of the different market segments.</w:t>
      </w:r>
    </w:p>
    <w:p w14:paraId="586EF2C7" w14:textId="77777777" w:rsidR="00EB7374" w:rsidRPr="00C23180" w:rsidRDefault="00EB7374" w:rsidP="00C80D98">
      <w:pPr>
        <w:pStyle w:val="BodyText"/>
      </w:pPr>
      <w:r>
        <w:t>Public telecommunications services are governed by the General Law on Telecommunications (</w:t>
      </w:r>
      <w:proofErr w:type="spellStart"/>
      <w:r>
        <w:t>LGT</w:t>
      </w:r>
      <w:proofErr w:type="spellEnd"/>
      <w:r>
        <w:t>)</w:t>
      </w:r>
      <w:r>
        <w:rPr>
          <w:rStyle w:val="FootnoteReference"/>
        </w:rPr>
        <w:footnoteReference w:id="516"/>
      </w:r>
      <w:r>
        <w:t xml:space="preserve"> and regulations issued through resolutions of the Board of Directors</w:t>
      </w:r>
      <w:r w:rsidRPr="002D60C9">
        <w:t xml:space="preserve"> </w:t>
      </w:r>
      <w:r>
        <w:t>of the Dominican Telecommunications Institute (</w:t>
      </w:r>
      <w:proofErr w:type="spellStart"/>
      <w:r>
        <w:t>INDOTEL</w:t>
      </w:r>
      <w:proofErr w:type="spellEnd"/>
      <w:r>
        <w:t>).</w:t>
      </w:r>
      <w:r w:rsidRPr="00C23180">
        <w:rPr>
          <w:rStyle w:val="FootnoteReference"/>
        </w:rPr>
        <w:footnoteReference w:id="517"/>
      </w:r>
      <w:r>
        <w:t xml:space="preserve"> The </w:t>
      </w:r>
      <w:proofErr w:type="spellStart"/>
      <w:r>
        <w:t>LGT</w:t>
      </w:r>
      <w:proofErr w:type="spellEnd"/>
      <w:r>
        <w:t xml:space="preserve"> governs the installation, maintenance and operation of the telecommunications network, as well as the provision of services and telecommunications equipment. It stipulates that the interest of the State is to guarantee an efficient, modern and affordable telecommunications service for all its inhabitants, under a system of fair, genuine and sustainable competition. During the review period, no amendments were made to the </w:t>
      </w:r>
      <w:proofErr w:type="spellStart"/>
      <w:r>
        <w:t>LGT</w:t>
      </w:r>
      <w:proofErr w:type="spellEnd"/>
      <w:r>
        <w:t xml:space="preserve">, but there were a series of technical changes which amended some regulations and standards (Table 4.13). A public consultation is currently under way with a view to preparing a draft information technology and communications law, which would replace the </w:t>
      </w:r>
      <w:proofErr w:type="spellStart"/>
      <w:r>
        <w:t>LGT</w:t>
      </w:r>
      <w:proofErr w:type="spellEnd"/>
      <w:r>
        <w:t>.</w:t>
      </w:r>
      <w:r>
        <w:rPr>
          <w:rStyle w:val="FootnoteReference"/>
        </w:rPr>
        <w:footnoteReference w:id="518"/>
      </w:r>
      <w:bookmarkStart w:id="382" w:name="_Toc114735849"/>
    </w:p>
    <w:p w14:paraId="33649083" w14:textId="77777777" w:rsidR="00EB7374" w:rsidRDefault="00EB7374" w:rsidP="00A75753">
      <w:pPr>
        <w:pStyle w:val="Caption"/>
      </w:pPr>
      <w:bookmarkStart w:id="383" w:name="_Toc117238067"/>
      <w:r>
        <w:t xml:space="preserve">Table </w:t>
      </w:r>
      <w:r w:rsidR="00BD37F2">
        <w:fldChar w:fldCharType="begin"/>
      </w:r>
      <w:r w:rsidR="00BD37F2">
        <w:instrText xml:space="preserve"> STYLEREF 1 \s </w:instrText>
      </w:r>
      <w:r w:rsidR="00BD37F2">
        <w:fldChar w:fldCharType="separate"/>
      </w:r>
      <w:r>
        <w:rPr>
          <w:noProof/>
        </w:rPr>
        <w:t>4</w:t>
      </w:r>
      <w:r w:rsidR="00BD37F2">
        <w:rPr>
          <w:noProof/>
        </w:rPr>
        <w:fldChar w:fldCharType="end"/>
      </w:r>
      <w:r>
        <w:t>.</w:t>
      </w:r>
      <w:r w:rsidR="00BD37F2">
        <w:fldChar w:fldCharType="begin"/>
      </w:r>
      <w:r w:rsidR="00BD37F2">
        <w:instrText xml:space="preserve"> SEQ Table \* ARABIC \s 1 </w:instrText>
      </w:r>
      <w:r w:rsidR="00BD37F2">
        <w:fldChar w:fldCharType="separate"/>
      </w:r>
      <w:r>
        <w:rPr>
          <w:noProof/>
        </w:rPr>
        <w:t>13</w:t>
      </w:r>
      <w:r w:rsidR="00BD37F2">
        <w:rPr>
          <w:noProof/>
        </w:rPr>
        <w:fldChar w:fldCharType="end"/>
      </w:r>
      <w:r>
        <w:t xml:space="preserve"> Main regulations and standards approved, 2015-22 (June)</w:t>
      </w:r>
      <w:bookmarkEnd w:id="382"/>
      <w:bookmarkEnd w:id="383"/>
    </w:p>
    <w:tbl>
      <w:tblPr>
        <w:tblStyle w:val="WTOTable1"/>
        <w:tblW w:w="0" w:type="auto"/>
        <w:tblLook w:val="04A0" w:firstRow="1" w:lastRow="0" w:firstColumn="1" w:lastColumn="0" w:noHBand="0" w:noVBand="1"/>
      </w:tblPr>
      <w:tblGrid>
        <w:gridCol w:w="6941"/>
        <w:gridCol w:w="2075"/>
      </w:tblGrid>
      <w:tr w:rsidR="00EB7374" w:rsidRPr="006E6EEB" w14:paraId="4B193B0E" w14:textId="77777777" w:rsidTr="00C700EB">
        <w:trPr>
          <w:cnfStyle w:val="100000000000" w:firstRow="1" w:lastRow="0" w:firstColumn="0" w:lastColumn="0" w:oddVBand="0" w:evenVBand="0" w:oddHBand="0" w:evenHBand="0" w:firstRowFirstColumn="0" w:firstRowLastColumn="0" w:lastRowFirstColumn="0" w:lastRowLastColumn="0"/>
          <w:cantSplit/>
          <w:tblHeader/>
        </w:trPr>
        <w:tc>
          <w:tcPr>
            <w:tcW w:w="6941" w:type="dxa"/>
          </w:tcPr>
          <w:p w14:paraId="3408D1B9" w14:textId="77777777" w:rsidR="00EB7374" w:rsidRPr="006E6EEB" w:rsidRDefault="00EB7374" w:rsidP="00C700EB">
            <w:pPr>
              <w:pStyle w:val="BodyText"/>
              <w:numPr>
                <w:ilvl w:val="0"/>
                <w:numId w:val="0"/>
              </w:numPr>
              <w:spacing w:after="0"/>
              <w:jc w:val="left"/>
              <w:rPr>
                <w:sz w:val="15"/>
                <w:szCs w:val="15"/>
              </w:rPr>
            </w:pPr>
            <w:r>
              <w:rPr>
                <w:sz w:val="15"/>
              </w:rPr>
              <w:t>Regulation or standard</w:t>
            </w:r>
          </w:p>
        </w:tc>
        <w:tc>
          <w:tcPr>
            <w:tcW w:w="2075" w:type="dxa"/>
          </w:tcPr>
          <w:p w14:paraId="516281C5" w14:textId="77777777" w:rsidR="00EB7374" w:rsidRPr="006E6EEB" w:rsidRDefault="00EB7374" w:rsidP="00C700EB">
            <w:pPr>
              <w:pStyle w:val="BodyText"/>
              <w:numPr>
                <w:ilvl w:val="0"/>
                <w:numId w:val="0"/>
              </w:numPr>
              <w:spacing w:after="0"/>
              <w:jc w:val="left"/>
              <w:rPr>
                <w:sz w:val="15"/>
                <w:szCs w:val="15"/>
              </w:rPr>
            </w:pPr>
            <w:r>
              <w:rPr>
                <w:sz w:val="15"/>
              </w:rPr>
              <w:t>Reference</w:t>
            </w:r>
          </w:p>
        </w:tc>
      </w:tr>
      <w:tr w:rsidR="00EB7374" w:rsidRPr="006E6EEB" w14:paraId="733705FB" w14:textId="77777777" w:rsidTr="00C700EB">
        <w:trPr>
          <w:cantSplit/>
        </w:trPr>
        <w:tc>
          <w:tcPr>
            <w:tcW w:w="6941" w:type="dxa"/>
          </w:tcPr>
          <w:p w14:paraId="21FB75C8" w14:textId="77777777" w:rsidR="00EB7374" w:rsidRPr="006E6EEB" w:rsidRDefault="00EB7374" w:rsidP="00C700EB">
            <w:pPr>
              <w:pStyle w:val="BodyText"/>
              <w:numPr>
                <w:ilvl w:val="0"/>
                <w:numId w:val="0"/>
              </w:numPr>
              <w:spacing w:after="0"/>
              <w:jc w:val="left"/>
              <w:rPr>
                <w:sz w:val="15"/>
                <w:szCs w:val="15"/>
              </w:rPr>
            </w:pPr>
            <w:r>
              <w:rPr>
                <w:sz w:val="15"/>
              </w:rPr>
              <w:t>General Regulations on Number Portability</w:t>
            </w:r>
          </w:p>
        </w:tc>
        <w:tc>
          <w:tcPr>
            <w:tcW w:w="2075" w:type="dxa"/>
          </w:tcPr>
          <w:p w14:paraId="46E2507F" w14:textId="77777777" w:rsidR="00EB7374" w:rsidRPr="006E6EEB" w:rsidRDefault="00EB7374" w:rsidP="00C700EB">
            <w:pPr>
              <w:pStyle w:val="BodyText"/>
              <w:numPr>
                <w:ilvl w:val="0"/>
                <w:numId w:val="0"/>
              </w:numPr>
              <w:spacing w:after="0"/>
              <w:jc w:val="left"/>
              <w:rPr>
                <w:sz w:val="15"/>
                <w:szCs w:val="15"/>
              </w:rPr>
            </w:pPr>
            <w:bookmarkStart w:id="384" w:name="_Hlk110432259"/>
            <w:r>
              <w:rPr>
                <w:sz w:val="15"/>
              </w:rPr>
              <w:t>Resolutions No. 015-15 and No. 037-15</w:t>
            </w:r>
            <w:bookmarkEnd w:id="384"/>
          </w:p>
        </w:tc>
      </w:tr>
      <w:tr w:rsidR="00EB7374" w:rsidRPr="006E6EEB" w14:paraId="1CF3CB7F" w14:textId="77777777" w:rsidTr="00C700EB">
        <w:trPr>
          <w:cnfStyle w:val="000000010000" w:firstRow="0" w:lastRow="0" w:firstColumn="0" w:lastColumn="0" w:oddVBand="0" w:evenVBand="0" w:oddHBand="0" w:evenHBand="1" w:firstRowFirstColumn="0" w:firstRowLastColumn="0" w:lastRowFirstColumn="0" w:lastRowLastColumn="0"/>
          <w:cantSplit/>
        </w:trPr>
        <w:tc>
          <w:tcPr>
            <w:tcW w:w="6941" w:type="dxa"/>
          </w:tcPr>
          <w:p w14:paraId="20ED52F7" w14:textId="77777777" w:rsidR="00EB7374" w:rsidRPr="006E6EEB" w:rsidRDefault="00EB7374" w:rsidP="00C700EB">
            <w:pPr>
              <w:pStyle w:val="BodyText"/>
              <w:numPr>
                <w:ilvl w:val="0"/>
                <w:numId w:val="0"/>
              </w:numPr>
              <w:spacing w:after="0"/>
              <w:jc w:val="left"/>
              <w:rPr>
                <w:sz w:val="15"/>
                <w:szCs w:val="15"/>
              </w:rPr>
            </w:pPr>
            <w:r>
              <w:rPr>
                <w:sz w:val="15"/>
              </w:rPr>
              <w:t>Telephony Service and Internet Access Quality Standard</w:t>
            </w:r>
          </w:p>
        </w:tc>
        <w:tc>
          <w:tcPr>
            <w:tcW w:w="2075" w:type="dxa"/>
          </w:tcPr>
          <w:p w14:paraId="4B948D0B" w14:textId="77777777" w:rsidR="00EB7374" w:rsidRPr="006E6EEB" w:rsidRDefault="00EB7374" w:rsidP="00C700EB">
            <w:pPr>
              <w:pStyle w:val="BodyText"/>
              <w:numPr>
                <w:ilvl w:val="0"/>
                <w:numId w:val="0"/>
              </w:numPr>
              <w:spacing w:after="0"/>
              <w:jc w:val="left"/>
              <w:rPr>
                <w:sz w:val="15"/>
                <w:szCs w:val="15"/>
              </w:rPr>
            </w:pPr>
            <w:r>
              <w:rPr>
                <w:sz w:val="15"/>
              </w:rPr>
              <w:t>Resolution No. 016-15</w:t>
            </w:r>
          </w:p>
        </w:tc>
      </w:tr>
      <w:tr w:rsidR="00EB7374" w:rsidRPr="006E6EEB" w14:paraId="64F30A44" w14:textId="77777777" w:rsidTr="00C700EB">
        <w:trPr>
          <w:cantSplit/>
        </w:trPr>
        <w:tc>
          <w:tcPr>
            <w:tcW w:w="6941" w:type="dxa"/>
          </w:tcPr>
          <w:p w14:paraId="4FD27B36" w14:textId="77777777" w:rsidR="00EB7374" w:rsidRPr="006E6EEB" w:rsidRDefault="00EB7374" w:rsidP="00C700EB">
            <w:pPr>
              <w:pStyle w:val="BodyText"/>
              <w:numPr>
                <w:ilvl w:val="0"/>
                <w:numId w:val="0"/>
              </w:numPr>
              <w:spacing w:after="0"/>
              <w:jc w:val="left"/>
              <w:rPr>
                <w:sz w:val="15"/>
                <w:szCs w:val="15"/>
              </w:rPr>
            </w:pPr>
            <w:r>
              <w:rPr>
                <w:sz w:val="15"/>
              </w:rPr>
              <w:t>Regulations on the Contribution to Telecommunications Development (CDT)</w:t>
            </w:r>
          </w:p>
        </w:tc>
        <w:tc>
          <w:tcPr>
            <w:tcW w:w="2075" w:type="dxa"/>
          </w:tcPr>
          <w:p w14:paraId="58CDA9AC" w14:textId="77777777" w:rsidR="00EB7374" w:rsidRPr="006E6EEB" w:rsidRDefault="00EB7374" w:rsidP="00C700EB">
            <w:pPr>
              <w:pStyle w:val="BodyText"/>
              <w:numPr>
                <w:ilvl w:val="0"/>
                <w:numId w:val="0"/>
              </w:numPr>
              <w:spacing w:after="0"/>
              <w:jc w:val="left"/>
              <w:rPr>
                <w:sz w:val="15"/>
                <w:szCs w:val="15"/>
              </w:rPr>
            </w:pPr>
            <w:r>
              <w:rPr>
                <w:sz w:val="15"/>
              </w:rPr>
              <w:t>Resolution No. 061-17</w:t>
            </w:r>
          </w:p>
        </w:tc>
      </w:tr>
      <w:tr w:rsidR="00EB7374" w:rsidRPr="006E6EEB" w14:paraId="4C2ADB9A" w14:textId="77777777" w:rsidTr="00C700EB">
        <w:trPr>
          <w:cnfStyle w:val="000000010000" w:firstRow="0" w:lastRow="0" w:firstColumn="0" w:lastColumn="0" w:oddVBand="0" w:evenVBand="0" w:oddHBand="0" w:evenHBand="1" w:firstRowFirstColumn="0" w:firstRowLastColumn="0" w:lastRowFirstColumn="0" w:lastRowLastColumn="0"/>
          <w:cantSplit/>
          <w:trHeight w:val="356"/>
        </w:trPr>
        <w:tc>
          <w:tcPr>
            <w:tcW w:w="6941" w:type="dxa"/>
          </w:tcPr>
          <w:p w14:paraId="5ADDCA4A" w14:textId="77777777" w:rsidR="00EB7374" w:rsidRPr="006E6EEB" w:rsidRDefault="00EB7374" w:rsidP="00C700EB">
            <w:pPr>
              <w:pStyle w:val="BodyText"/>
              <w:numPr>
                <w:ilvl w:val="6"/>
                <w:numId w:val="0"/>
              </w:numPr>
              <w:spacing w:after="0"/>
              <w:jc w:val="left"/>
              <w:rPr>
                <w:rFonts w:eastAsiaTheme="minorEastAsia"/>
                <w:sz w:val="15"/>
                <w:szCs w:val="15"/>
              </w:rPr>
            </w:pPr>
            <w:r>
              <w:rPr>
                <w:sz w:val="15"/>
              </w:rPr>
              <w:t>Regulations on the Rights and Obligations of Users and Providers of Public Telecommunications Services</w:t>
            </w:r>
          </w:p>
        </w:tc>
        <w:tc>
          <w:tcPr>
            <w:tcW w:w="2075" w:type="dxa"/>
          </w:tcPr>
          <w:p w14:paraId="09A64ED4" w14:textId="77777777" w:rsidR="00EB7374" w:rsidRPr="006E6EEB" w:rsidRDefault="00EB7374" w:rsidP="00C700EB">
            <w:pPr>
              <w:pStyle w:val="BodyText"/>
              <w:numPr>
                <w:ilvl w:val="6"/>
                <w:numId w:val="0"/>
              </w:numPr>
              <w:spacing w:after="0" w:line="259" w:lineRule="auto"/>
              <w:jc w:val="left"/>
              <w:rPr>
                <w:sz w:val="15"/>
                <w:szCs w:val="15"/>
              </w:rPr>
            </w:pPr>
            <w:r>
              <w:rPr>
                <w:sz w:val="15"/>
              </w:rPr>
              <w:t>Resolution No. 062-17</w:t>
            </w:r>
          </w:p>
        </w:tc>
      </w:tr>
      <w:tr w:rsidR="00EB7374" w:rsidRPr="006E6EEB" w14:paraId="1F5A878C" w14:textId="77777777" w:rsidTr="00C700EB">
        <w:trPr>
          <w:cantSplit/>
        </w:trPr>
        <w:tc>
          <w:tcPr>
            <w:tcW w:w="6941" w:type="dxa"/>
          </w:tcPr>
          <w:p w14:paraId="233792D1" w14:textId="77777777" w:rsidR="00EB7374" w:rsidRPr="006E6EEB" w:rsidRDefault="00EB7374" w:rsidP="00C700EB">
            <w:pPr>
              <w:pStyle w:val="BodyText"/>
              <w:numPr>
                <w:ilvl w:val="6"/>
                <w:numId w:val="0"/>
              </w:numPr>
              <w:spacing w:after="0"/>
              <w:jc w:val="left"/>
              <w:rPr>
                <w:rFonts w:eastAsiaTheme="minorEastAsia"/>
                <w:sz w:val="15"/>
                <w:szCs w:val="15"/>
              </w:rPr>
            </w:pPr>
            <w:r>
              <w:rPr>
                <w:sz w:val="15"/>
              </w:rPr>
              <w:t>Standard setting out the measures for activating and billing mobile data services; international mobile roaming services (data roaming and voice roaming); and premium short message services (SMS) by public telecommunications services providers.</w:t>
            </w:r>
          </w:p>
        </w:tc>
        <w:tc>
          <w:tcPr>
            <w:tcW w:w="2075" w:type="dxa"/>
          </w:tcPr>
          <w:p w14:paraId="260816AC" w14:textId="77777777" w:rsidR="00EB7374" w:rsidRPr="006E6EEB" w:rsidRDefault="00EB7374" w:rsidP="00C700EB">
            <w:pPr>
              <w:pStyle w:val="BodyText"/>
              <w:numPr>
                <w:ilvl w:val="6"/>
                <w:numId w:val="0"/>
              </w:numPr>
              <w:spacing w:after="0"/>
              <w:jc w:val="left"/>
              <w:rPr>
                <w:sz w:val="15"/>
                <w:szCs w:val="15"/>
              </w:rPr>
            </w:pPr>
            <w:r>
              <w:rPr>
                <w:sz w:val="15"/>
              </w:rPr>
              <w:t xml:space="preserve">Resolution No. 069-17 </w:t>
            </w:r>
          </w:p>
        </w:tc>
      </w:tr>
      <w:tr w:rsidR="00EB7374" w:rsidRPr="006E6EEB" w14:paraId="366CEDA8" w14:textId="77777777" w:rsidTr="00C700EB">
        <w:trPr>
          <w:cnfStyle w:val="000000010000" w:firstRow="0" w:lastRow="0" w:firstColumn="0" w:lastColumn="0" w:oddVBand="0" w:evenVBand="0" w:oddHBand="0" w:evenHBand="1" w:firstRowFirstColumn="0" w:firstRowLastColumn="0" w:lastRowFirstColumn="0" w:lastRowLastColumn="0"/>
          <w:cantSplit/>
        </w:trPr>
        <w:tc>
          <w:tcPr>
            <w:tcW w:w="6941" w:type="dxa"/>
          </w:tcPr>
          <w:p w14:paraId="6F0ECF23" w14:textId="77777777" w:rsidR="00EB7374" w:rsidRPr="006E6EEB" w:rsidRDefault="00EB7374" w:rsidP="00C700EB">
            <w:pPr>
              <w:pStyle w:val="BodyText"/>
              <w:numPr>
                <w:ilvl w:val="0"/>
                <w:numId w:val="0"/>
              </w:numPr>
              <w:spacing w:after="0"/>
              <w:jc w:val="left"/>
              <w:rPr>
                <w:sz w:val="15"/>
                <w:szCs w:val="15"/>
              </w:rPr>
            </w:pPr>
            <w:r>
              <w:rPr>
                <w:sz w:val="15"/>
              </w:rPr>
              <w:t>Administrative Sanctioning Regulations</w:t>
            </w:r>
          </w:p>
        </w:tc>
        <w:tc>
          <w:tcPr>
            <w:tcW w:w="2075" w:type="dxa"/>
          </w:tcPr>
          <w:p w14:paraId="262D6448" w14:textId="77777777" w:rsidR="00EB7374" w:rsidRPr="006E6EEB" w:rsidRDefault="00EB7374" w:rsidP="00C700EB">
            <w:pPr>
              <w:pStyle w:val="BodyText"/>
              <w:numPr>
                <w:ilvl w:val="0"/>
                <w:numId w:val="0"/>
              </w:numPr>
              <w:spacing w:after="0"/>
              <w:jc w:val="left"/>
              <w:rPr>
                <w:sz w:val="15"/>
                <w:szCs w:val="15"/>
              </w:rPr>
            </w:pPr>
            <w:r>
              <w:rPr>
                <w:sz w:val="15"/>
              </w:rPr>
              <w:t>Resolution No. 081-17</w:t>
            </w:r>
          </w:p>
        </w:tc>
      </w:tr>
      <w:tr w:rsidR="00EB7374" w:rsidRPr="006E6EEB" w14:paraId="1C170F9A" w14:textId="77777777" w:rsidTr="00C700EB">
        <w:trPr>
          <w:cantSplit/>
        </w:trPr>
        <w:tc>
          <w:tcPr>
            <w:tcW w:w="6941" w:type="dxa"/>
          </w:tcPr>
          <w:p w14:paraId="0BE61529" w14:textId="77777777" w:rsidR="00EB7374" w:rsidRPr="006E6EEB" w:rsidRDefault="00EB7374" w:rsidP="00C700EB">
            <w:pPr>
              <w:pStyle w:val="BodyText"/>
              <w:numPr>
                <w:ilvl w:val="0"/>
                <w:numId w:val="0"/>
              </w:numPr>
              <w:spacing w:after="0"/>
              <w:jc w:val="left"/>
              <w:rPr>
                <w:sz w:val="15"/>
                <w:szCs w:val="15"/>
              </w:rPr>
            </w:pPr>
            <w:r>
              <w:rPr>
                <w:sz w:val="15"/>
              </w:rPr>
              <w:t xml:space="preserve">General Regulations on Sharing Passive Infrastructure and Related Telecommunications Facilities </w:t>
            </w:r>
          </w:p>
        </w:tc>
        <w:tc>
          <w:tcPr>
            <w:tcW w:w="2075" w:type="dxa"/>
          </w:tcPr>
          <w:p w14:paraId="14C6722E" w14:textId="77777777" w:rsidR="00EB7374" w:rsidRPr="006E6EEB" w:rsidRDefault="00EB7374" w:rsidP="00C700EB">
            <w:pPr>
              <w:pStyle w:val="BodyText"/>
              <w:numPr>
                <w:ilvl w:val="0"/>
                <w:numId w:val="0"/>
              </w:numPr>
              <w:spacing w:after="0"/>
              <w:jc w:val="left"/>
              <w:rPr>
                <w:sz w:val="15"/>
                <w:szCs w:val="15"/>
              </w:rPr>
            </w:pPr>
            <w:r>
              <w:rPr>
                <w:sz w:val="15"/>
              </w:rPr>
              <w:t>Resolution No. 089-17</w:t>
            </w:r>
          </w:p>
        </w:tc>
      </w:tr>
      <w:tr w:rsidR="00EB7374" w:rsidRPr="006E6EEB" w14:paraId="3841DAD5" w14:textId="77777777" w:rsidTr="00C700EB">
        <w:trPr>
          <w:cnfStyle w:val="000000010000" w:firstRow="0" w:lastRow="0" w:firstColumn="0" w:lastColumn="0" w:oddVBand="0" w:evenVBand="0" w:oddHBand="0" w:evenHBand="1" w:firstRowFirstColumn="0" w:firstRowLastColumn="0" w:lastRowFirstColumn="0" w:lastRowLastColumn="0"/>
          <w:cantSplit/>
        </w:trPr>
        <w:tc>
          <w:tcPr>
            <w:tcW w:w="6941" w:type="dxa"/>
          </w:tcPr>
          <w:p w14:paraId="3BBE45F6" w14:textId="77777777" w:rsidR="00EB7374" w:rsidRPr="006E6EEB" w:rsidRDefault="00EB7374" w:rsidP="00C700EB">
            <w:pPr>
              <w:pStyle w:val="BodyText"/>
              <w:numPr>
                <w:ilvl w:val="0"/>
                <w:numId w:val="0"/>
              </w:numPr>
              <w:spacing w:after="0"/>
              <w:jc w:val="left"/>
              <w:rPr>
                <w:sz w:val="15"/>
                <w:szCs w:val="15"/>
              </w:rPr>
            </w:pPr>
            <w:r>
              <w:rPr>
                <w:sz w:val="15"/>
              </w:rPr>
              <w:t>Amendment of Regulations on Sharing Passive Infrastructure and Related Telecommunications Facilities</w:t>
            </w:r>
          </w:p>
        </w:tc>
        <w:tc>
          <w:tcPr>
            <w:tcW w:w="2075" w:type="dxa"/>
          </w:tcPr>
          <w:p w14:paraId="0D8EBEFE" w14:textId="77777777" w:rsidR="00EB7374" w:rsidRPr="006E6EEB" w:rsidRDefault="00EB7374" w:rsidP="00C700EB">
            <w:pPr>
              <w:pStyle w:val="BodyText"/>
              <w:numPr>
                <w:ilvl w:val="0"/>
                <w:numId w:val="0"/>
              </w:numPr>
              <w:spacing w:after="0"/>
              <w:jc w:val="left"/>
              <w:rPr>
                <w:sz w:val="15"/>
                <w:szCs w:val="15"/>
              </w:rPr>
            </w:pPr>
            <w:r>
              <w:rPr>
                <w:sz w:val="15"/>
              </w:rPr>
              <w:t>Resolution No. 005-19</w:t>
            </w:r>
          </w:p>
        </w:tc>
      </w:tr>
      <w:tr w:rsidR="00EB7374" w:rsidRPr="006E6EEB" w14:paraId="0E4B9A96" w14:textId="77777777" w:rsidTr="00C700EB">
        <w:trPr>
          <w:cantSplit/>
        </w:trPr>
        <w:tc>
          <w:tcPr>
            <w:tcW w:w="6941" w:type="dxa"/>
          </w:tcPr>
          <w:p w14:paraId="5174FEEF" w14:textId="77777777" w:rsidR="00EB7374" w:rsidRPr="006E6EEB" w:rsidRDefault="00EB7374" w:rsidP="00C700EB">
            <w:pPr>
              <w:pStyle w:val="BodyText"/>
              <w:numPr>
                <w:ilvl w:val="0"/>
                <w:numId w:val="0"/>
              </w:numPr>
              <w:spacing w:after="0"/>
              <w:jc w:val="left"/>
              <w:rPr>
                <w:sz w:val="15"/>
                <w:szCs w:val="15"/>
              </w:rPr>
            </w:pPr>
            <w:r>
              <w:rPr>
                <w:sz w:val="15"/>
              </w:rPr>
              <w:t>Regulations on Authorizations for Telecommunications Services</w:t>
            </w:r>
          </w:p>
        </w:tc>
        <w:tc>
          <w:tcPr>
            <w:tcW w:w="2075" w:type="dxa"/>
          </w:tcPr>
          <w:p w14:paraId="106503B3" w14:textId="77777777" w:rsidR="00EB7374" w:rsidRPr="006E6EEB" w:rsidRDefault="00EB7374" w:rsidP="00C700EB">
            <w:pPr>
              <w:pStyle w:val="BodyText"/>
              <w:numPr>
                <w:ilvl w:val="0"/>
                <w:numId w:val="0"/>
              </w:numPr>
              <w:spacing w:after="0"/>
              <w:jc w:val="left"/>
              <w:rPr>
                <w:sz w:val="15"/>
                <w:szCs w:val="15"/>
              </w:rPr>
            </w:pPr>
            <w:r>
              <w:rPr>
                <w:sz w:val="15"/>
              </w:rPr>
              <w:t>Resolution No. 036-19</w:t>
            </w:r>
          </w:p>
        </w:tc>
      </w:tr>
      <w:tr w:rsidR="00EB7374" w:rsidRPr="006E6EEB" w14:paraId="0D66DF37" w14:textId="77777777" w:rsidTr="00C700EB">
        <w:trPr>
          <w:cnfStyle w:val="000000010000" w:firstRow="0" w:lastRow="0" w:firstColumn="0" w:lastColumn="0" w:oddVBand="0" w:evenVBand="0" w:oddHBand="0" w:evenHBand="1" w:firstRowFirstColumn="0" w:firstRowLastColumn="0" w:lastRowFirstColumn="0" w:lastRowLastColumn="0"/>
          <w:cantSplit/>
        </w:trPr>
        <w:tc>
          <w:tcPr>
            <w:tcW w:w="6941" w:type="dxa"/>
          </w:tcPr>
          <w:p w14:paraId="05761495" w14:textId="77777777" w:rsidR="00EB7374" w:rsidRPr="006E6EEB" w:rsidRDefault="00EB7374" w:rsidP="00C700EB">
            <w:pPr>
              <w:pStyle w:val="BodyText"/>
              <w:numPr>
                <w:ilvl w:val="0"/>
                <w:numId w:val="0"/>
              </w:numPr>
              <w:spacing w:after="0"/>
              <w:jc w:val="left"/>
              <w:rPr>
                <w:sz w:val="15"/>
                <w:szCs w:val="15"/>
              </w:rPr>
            </w:pPr>
            <w:r>
              <w:rPr>
                <w:sz w:val="15"/>
              </w:rPr>
              <w:t>Telecommunications Development Fund (</w:t>
            </w:r>
            <w:proofErr w:type="spellStart"/>
            <w:r>
              <w:rPr>
                <w:sz w:val="15"/>
              </w:rPr>
              <w:t>FDT</w:t>
            </w:r>
            <w:proofErr w:type="spellEnd"/>
            <w:r>
              <w:rPr>
                <w:sz w:val="15"/>
              </w:rPr>
              <w:t>) Regulations</w:t>
            </w:r>
          </w:p>
        </w:tc>
        <w:tc>
          <w:tcPr>
            <w:tcW w:w="2075" w:type="dxa"/>
          </w:tcPr>
          <w:p w14:paraId="1E00526D" w14:textId="77777777" w:rsidR="00EB7374" w:rsidRPr="006E6EEB" w:rsidRDefault="00EB7374" w:rsidP="00C700EB">
            <w:pPr>
              <w:pStyle w:val="BodyText"/>
              <w:numPr>
                <w:ilvl w:val="0"/>
                <w:numId w:val="0"/>
              </w:numPr>
              <w:spacing w:after="0"/>
              <w:jc w:val="left"/>
              <w:rPr>
                <w:sz w:val="15"/>
                <w:szCs w:val="15"/>
              </w:rPr>
            </w:pPr>
            <w:r>
              <w:rPr>
                <w:sz w:val="15"/>
              </w:rPr>
              <w:t>Resolution No. 063-19</w:t>
            </w:r>
          </w:p>
        </w:tc>
      </w:tr>
      <w:tr w:rsidR="00EB7374" w:rsidRPr="006E6EEB" w14:paraId="6109F3D1" w14:textId="77777777" w:rsidTr="00C700EB">
        <w:trPr>
          <w:cantSplit/>
          <w:trHeight w:val="377"/>
        </w:trPr>
        <w:tc>
          <w:tcPr>
            <w:tcW w:w="6941" w:type="dxa"/>
          </w:tcPr>
          <w:p w14:paraId="3E8DFCA0" w14:textId="77777777" w:rsidR="00EB7374" w:rsidRPr="006E6EEB" w:rsidRDefault="00EB7374" w:rsidP="00C700EB">
            <w:pPr>
              <w:pStyle w:val="BodyText"/>
              <w:numPr>
                <w:ilvl w:val="6"/>
                <w:numId w:val="0"/>
              </w:numPr>
              <w:spacing w:after="0"/>
              <w:jc w:val="left"/>
              <w:rPr>
                <w:rFonts w:eastAsiaTheme="minorEastAsia"/>
                <w:sz w:val="15"/>
                <w:szCs w:val="15"/>
              </w:rPr>
            </w:pPr>
            <w:r>
              <w:rPr>
                <w:sz w:val="15"/>
              </w:rPr>
              <w:t>Standard governing the contracting and activation of public telecommunications services</w:t>
            </w:r>
          </w:p>
        </w:tc>
        <w:tc>
          <w:tcPr>
            <w:tcW w:w="2075" w:type="dxa"/>
          </w:tcPr>
          <w:p w14:paraId="68215014" w14:textId="77777777" w:rsidR="00EB7374" w:rsidRPr="006E6EEB" w:rsidRDefault="00EB7374" w:rsidP="00C700EB">
            <w:pPr>
              <w:pStyle w:val="BodyText"/>
              <w:numPr>
                <w:ilvl w:val="6"/>
                <w:numId w:val="0"/>
              </w:numPr>
              <w:spacing w:after="0"/>
              <w:rPr>
                <w:sz w:val="15"/>
                <w:szCs w:val="15"/>
              </w:rPr>
            </w:pPr>
            <w:r>
              <w:rPr>
                <w:sz w:val="15"/>
              </w:rPr>
              <w:t>Resolution No. 070-19</w:t>
            </w:r>
          </w:p>
        </w:tc>
      </w:tr>
      <w:tr w:rsidR="00EB7374" w:rsidRPr="006E6EEB" w14:paraId="365DAE20" w14:textId="77777777" w:rsidTr="00C700EB">
        <w:trPr>
          <w:cnfStyle w:val="000000010000" w:firstRow="0" w:lastRow="0" w:firstColumn="0" w:lastColumn="0" w:oddVBand="0" w:evenVBand="0" w:oddHBand="0" w:evenHBand="1" w:firstRowFirstColumn="0" w:firstRowLastColumn="0" w:lastRowFirstColumn="0" w:lastRowLastColumn="0"/>
          <w:cantSplit/>
        </w:trPr>
        <w:tc>
          <w:tcPr>
            <w:tcW w:w="6941" w:type="dxa"/>
          </w:tcPr>
          <w:p w14:paraId="55DB8FFC" w14:textId="77777777" w:rsidR="00EB7374" w:rsidRPr="006E6EEB" w:rsidRDefault="00EB7374" w:rsidP="00C700EB">
            <w:pPr>
              <w:pStyle w:val="BodyText"/>
              <w:numPr>
                <w:ilvl w:val="0"/>
                <w:numId w:val="0"/>
              </w:numPr>
              <w:spacing w:after="0"/>
              <w:jc w:val="left"/>
              <w:rPr>
                <w:sz w:val="15"/>
                <w:szCs w:val="15"/>
              </w:rPr>
            </w:pPr>
            <w:r>
              <w:rPr>
                <w:sz w:val="15"/>
              </w:rPr>
              <w:t>Establishment of a Single Pricing Area for the Landline Telephony Service</w:t>
            </w:r>
          </w:p>
        </w:tc>
        <w:tc>
          <w:tcPr>
            <w:tcW w:w="2075" w:type="dxa"/>
          </w:tcPr>
          <w:p w14:paraId="632FA870" w14:textId="77777777" w:rsidR="00EB7374" w:rsidRPr="006E6EEB" w:rsidRDefault="00EB7374" w:rsidP="00C700EB">
            <w:pPr>
              <w:pStyle w:val="BodyText"/>
              <w:numPr>
                <w:ilvl w:val="0"/>
                <w:numId w:val="0"/>
              </w:numPr>
              <w:spacing w:after="0"/>
              <w:jc w:val="left"/>
              <w:rPr>
                <w:sz w:val="15"/>
                <w:szCs w:val="15"/>
              </w:rPr>
            </w:pPr>
            <w:r>
              <w:rPr>
                <w:sz w:val="15"/>
              </w:rPr>
              <w:t>Resolution No. 078-19</w:t>
            </w:r>
          </w:p>
        </w:tc>
      </w:tr>
      <w:tr w:rsidR="00EB7374" w:rsidRPr="006E6EEB" w14:paraId="12CF11F9" w14:textId="77777777" w:rsidTr="00C700EB">
        <w:trPr>
          <w:cantSplit/>
        </w:trPr>
        <w:tc>
          <w:tcPr>
            <w:tcW w:w="6941" w:type="dxa"/>
          </w:tcPr>
          <w:p w14:paraId="42EDC882" w14:textId="77777777" w:rsidR="00EB7374" w:rsidRPr="006E6EEB" w:rsidRDefault="00EB7374" w:rsidP="00C700EB">
            <w:pPr>
              <w:pStyle w:val="BodyText"/>
              <w:numPr>
                <w:ilvl w:val="0"/>
                <w:numId w:val="0"/>
              </w:numPr>
              <w:spacing w:after="0"/>
              <w:jc w:val="left"/>
              <w:rPr>
                <w:sz w:val="15"/>
                <w:szCs w:val="15"/>
              </w:rPr>
            </w:pPr>
            <w:r>
              <w:rPr>
                <w:sz w:val="15"/>
              </w:rPr>
              <w:t>National Frequency Allocation Plan (</w:t>
            </w:r>
            <w:proofErr w:type="spellStart"/>
            <w:r>
              <w:rPr>
                <w:sz w:val="15"/>
              </w:rPr>
              <w:t>PNAF</w:t>
            </w:r>
            <w:proofErr w:type="spellEnd"/>
            <w:r>
              <w:rPr>
                <w:sz w:val="15"/>
              </w:rPr>
              <w:t>)</w:t>
            </w:r>
          </w:p>
        </w:tc>
        <w:tc>
          <w:tcPr>
            <w:tcW w:w="2075" w:type="dxa"/>
          </w:tcPr>
          <w:p w14:paraId="3731F69F" w14:textId="77777777" w:rsidR="00EB7374" w:rsidRPr="006E6EEB" w:rsidRDefault="00EB7374" w:rsidP="00C700EB">
            <w:pPr>
              <w:pStyle w:val="BodyText"/>
              <w:numPr>
                <w:ilvl w:val="0"/>
                <w:numId w:val="0"/>
              </w:numPr>
              <w:spacing w:after="0"/>
              <w:jc w:val="left"/>
              <w:rPr>
                <w:sz w:val="15"/>
                <w:szCs w:val="15"/>
              </w:rPr>
            </w:pPr>
            <w:r>
              <w:rPr>
                <w:sz w:val="15"/>
              </w:rPr>
              <w:t>Resolution No. 011-20 and Decree No. 91-20</w:t>
            </w:r>
          </w:p>
        </w:tc>
      </w:tr>
      <w:tr w:rsidR="00EB7374" w:rsidRPr="006E6EEB" w14:paraId="558D66D8" w14:textId="77777777" w:rsidTr="00C700EB">
        <w:trPr>
          <w:cnfStyle w:val="000000010000" w:firstRow="0" w:lastRow="0" w:firstColumn="0" w:lastColumn="0" w:oddVBand="0" w:evenVBand="0" w:oddHBand="0" w:evenHBand="1" w:firstRowFirstColumn="0" w:firstRowLastColumn="0" w:lastRowFirstColumn="0" w:lastRowLastColumn="0"/>
          <w:cantSplit/>
        </w:trPr>
        <w:tc>
          <w:tcPr>
            <w:tcW w:w="6941" w:type="dxa"/>
          </w:tcPr>
          <w:p w14:paraId="2CF139A0" w14:textId="77777777" w:rsidR="00EB7374" w:rsidRPr="006E6EEB" w:rsidRDefault="00EB7374" w:rsidP="00C700EB">
            <w:pPr>
              <w:pStyle w:val="BodyText"/>
              <w:numPr>
                <w:ilvl w:val="0"/>
                <w:numId w:val="0"/>
              </w:numPr>
              <w:spacing w:after="0"/>
              <w:jc w:val="left"/>
              <w:rPr>
                <w:sz w:val="15"/>
                <w:szCs w:val="15"/>
              </w:rPr>
            </w:pPr>
            <w:r>
              <w:rPr>
                <w:sz w:val="15"/>
              </w:rPr>
              <w:t>General Regulations for Internet Access Services</w:t>
            </w:r>
          </w:p>
        </w:tc>
        <w:tc>
          <w:tcPr>
            <w:tcW w:w="2075" w:type="dxa"/>
          </w:tcPr>
          <w:p w14:paraId="3D3C837F" w14:textId="77777777" w:rsidR="00EB7374" w:rsidRPr="006E6EEB" w:rsidRDefault="00EB7374" w:rsidP="00C700EB">
            <w:pPr>
              <w:pStyle w:val="BodyText"/>
              <w:numPr>
                <w:ilvl w:val="0"/>
                <w:numId w:val="0"/>
              </w:numPr>
              <w:spacing w:after="0"/>
              <w:jc w:val="left"/>
              <w:rPr>
                <w:sz w:val="15"/>
                <w:szCs w:val="15"/>
              </w:rPr>
            </w:pPr>
            <w:r>
              <w:rPr>
                <w:sz w:val="15"/>
              </w:rPr>
              <w:t>Resolution No. 033-20</w:t>
            </w:r>
          </w:p>
        </w:tc>
      </w:tr>
      <w:tr w:rsidR="00EB7374" w:rsidRPr="006E6EEB" w14:paraId="585E176A" w14:textId="77777777" w:rsidTr="00C700EB">
        <w:trPr>
          <w:cantSplit/>
        </w:trPr>
        <w:tc>
          <w:tcPr>
            <w:tcW w:w="6941" w:type="dxa"/>
          </w:tcPr>
          <w:p w14:paraId="2CAF3FCA" w14:textId="77777777" w:rsidR="00EB7374" w:rsidRPr="006E6EEB" w:rsidRDefault="00EB7374" w:rsidP="00C700EB">
            <w:pPr>
              <w:pStyle w:val="BodyText"/>
              <w:numPr>
                <w:ilvl w:val="0"/>
                <w:numId w:val="0"/>
              </w:numPr>
              <w:spacing w:after="0"/>
              <w:jc w:val="left"/>
              <w:rPr>
                <w:sz w:val="15"/>
                <w:szCs w:val="15"/>
              </w:rPr>
            </w:pPr>
            <w:r>
              <w:rPr>
                <w:sz w:val="15"/>
              </w:rPr>
              <w:t>General Regulations on the Use of the Radio Spectrum</w:t>
            </w:r>
          </w:p>
        </w:tc>
        <w:tc>
          <w:tcPr>
            <w:tcW w:w="2075" w:type="dxa"/>
          </w:tcPr>
          <w:p w14:paraId="5A2F019F" w14:textId="77777777" w:rsidR="00EB7374" w:rsidRPr="006E6EEB" w:rsidRDefault="00EB7374" w:rsidP="00C700EB">
            <w:pPr>
              <w:pStyle w:val="BodyText"/>
              <w:numPr>
                <w:ilvl w:val="0"/>
                <w:numId w:val="0"/>
              </w:numPr>
              <w:spacing w:after="0"/>
              <w:jc w:val="left"/>
              <w:rPr>
                <w:sz w:val="15"/>
                <w:szCs w:val="15"/>
              </w:rPr>
            </w:pPr>
            <w:r>
              <w:rPr>
                <w:sz w:val="15"/>
              </w:rPr>
              <w:t>Resolution No. 034-20</w:t>
            </w:r>
          </w:p>
        </w:tc>
      </w:tr>
      <w:tr w:rsidR="00EB7374" w:rsidRPr="006E6EEB" w14:paraId="31335348" w14:textId="77777777" w:rsidTr="00C700EB">
        <w:trPr>
          <w:cnfStyle w:val="000000010000" w:firstRow="0" w:lastRow="0" w:firstColumn="0" w:lastColumn="0" w:oddVBand="0" w:evenVBand="0" w:oddHBand="0" w:evenHBand="1" w:firstRowFirstColumn="0" w:firstRowLastColumn="0" w:lastRowFirstColumn="0" w:lastRowLastColumn="0"/>
          <w:cantSplit/>
        </w:trPr>
        <w:tc>
          <w:tcPr>
            <w:tcW w:w="6941" w:type="dxa"/>
          </w:tcPr>
          <w:p w14:paraId="2CB51181" w14:textId="77777777" w:rsidR="00EB7374" w:rsidRPr="006E6EEB" w:rsidRDefault="00EB7374" w:rsidP="00C700EB">
            <w:pPr>
              <w:pStyle w:val="BodyText"/>
              <w:numPr>
                <w:ilvl w:val="0"/>
                <w:numId w:val="0"/>
              </w:numPr>
              <w:spacing w:after="0"/>
              <w:jc w:val="left"/>
              <w:rPr>
                <w:sz w:val="15"/>
                <w:szCs w:val="15"/>
              </w:rPr>
            </w:pPr>
            <w:r>
              <w:rPr>
                <w:sz w:val="15"/>
              </w:rPr>
              <w:t>Regulations on the Settlement of Disputes between Users and Providers of Public Telecommunications Services</w:t>
            </w:r>
          </w:p>
        </w:tc>
        <w:tc>
          <w:tcPr>
            <w:tcW w:w="2075" w:type="dxa"/>
          </w:tcPr>
          <w:p w14:paraId="396D4D18" w14:textId="77777777" w:rsidR="00EB7374" w:rsidRPr="006E6EEB" w:rsidRDefault="00EB7374" w:rsidP="00C700EB">
            <w:pPr>
              <w:pStyle w:val="BodyText"/>
              <w:numPr>
                <w:ilvl w:val="0"/>
                <w:numId w:val="0"/>
              </w:numPr>
              <w:spacing w:after="0"/>
              <w:jc w:val="left"/>
              <w:rPr>
                <w:sz w:val="15"/>
                <w:szCs w:val="15"/>
              </w:rPr>
            </w:pPr>
            <w:r>
              <w:rPr>
                <w:sz w:val="15"/>
              </w:rPr>
              <w:t>Resolution No. 091-20</w:t>
            </w:r>
          </w:p>
        </w:tc>
      </w:tr>
      <w:tr w:rsidR="00EB7374" w:rsidRPr="006E6EEB" w14:paraId="267D8BB3" w14:textId="77777777" w:rsidTr="00C700EB">
        <w:trPr>
          <w:cantSplit/>
        </w:trPr>
        <w:tc>
          <w:tcPr>
            <w:tcW w:w="6941" w:type="dxa"/>
          </w:tcPr>
          <w:p w14:paraId="190EC886" w14:textId="77777777" w:rsidR="00EB7374" w:rsidRPr="006E6EEB" w:rsidRDefault="00EB7374" w:rsidP="00C700EB">
            <w:pPr>
              <w:pStyle w:val="BodyText"/>
              <w:numPr>
                <w:ilvl w:val="0"/>
                <w:numId w:val="0"/>
              </w:numPr>
              <w:spacing w:after="0"/>
              <w:jc w:val="left"/>
              <w:rPr>
                <w:sz w:val="15"/>
                <w:szCs w:val="15"/>
              </w:rPr>
            </w:pPr>
            <w:r>
              <w:rPr>
                <w:sz w:val="15"/>
              </w:rPr>
              <w:t xml:space="preserve">International Public Tender for 5G, </w:t>
            </w:r>
            <w:proofErr w:type="spellStart"/>
            <w:r>
              <w:rPr>
                <w:sz w:val="15"/>
              </w:rPr>
              <w:t>INDOTEL</w:t>
            </w:r>
            <w:proofErr w:type="spellEnd"/>
            <w:r>
              <w:rPr>
                <w:sz w:val="15"/>
              </w:rPr>
              <w:t xml:space="preserve">/LPI-001-2021 </w:t>
            </w:r>
          </w:p>
        </w:tc>
        <w:tc>
          <w:tcPr>
            <w:tcW w:w="2075" w:type="dxa"/>
          </w:tcPr>
          <w:p w14:paraId="672F8E93" w14:textId="77777777" w:rsidR="00EB7374" w:rsidRPr="006E6EEB" w:rsidRDefault="00EB7374" w:rsidP="00C700EB">
            <w:pPr>
              <w:pStyle w:val="BodyText"/>
              <w:numPr>
                <w:ilvl w:val="0"/>
                <w:numId w:val="0"/>
              </w:numPr>
              <w:spacing w:after="0"/>
              <w:jc w:val="left"/>
              <w:rPr>
                <w:sz w:val="15"/>
                <w:szCs w:val="15"/>
              </w:rPr>
            </w:pPr>
            <w:r>
              <w:rPr>
                <w:sz w:val="15"/>
              </w:rPr>
              <w:t>Resolution No. 005-21</w:t>
            </w:r>
          </w:p>
        </w:tc>
      </w:tr>
      <w:tr w:rsidR="00EB7374" w:rsidRPr="006E6EEB" w14:paraId="5044872A" w14:textId="77777777" w:rsidTr="00C700EB">
        <w:trPr>
          <w:cnfStyle w:val="000000010000" w:firstRow="0" w:lastRow="0" w:firstColumn="0" w:lastColumn="0" w:oddVBand="0" w:evenVBand="0" w:oddHBand="0" w:evenHBand="1" w:firstRowFirstColumn="0" w:firstRowLastColumn="0" w:lastRowFirstColumn="0" w:lastRowLastColumn="0"/>
          <w:cantSplit/>
        </w:trPr>
        <w:tc>
          <w:tcPr>
            <w:tcW w:w="6941" w:type="dxa"/>
          </w:tcPr>
          <w:p w14:paraId="396513E4" w14:textId="77777777" w:rsidR="00EB7374" w:rsidRPr="006E6EEB" w:rsidRDefault="00EB7374" w:rsidP="00C700EB">
            <w:pPr>
              <w:pStyle w:val="BodyText"/>
              <w:numPr>
                <w:ilvl w:val="0"/>
                <w:numId w:val="0"/>
              </w:numPr>
              <w:spacing w:after="0"/>
              <w:jc w:val="left"/>
              <w:rPr>
                <w:sz w:val="15"/>
                <w:szCs w:val="15"/>
              </w:rPr>
            </w:pPr>
            <w:r>
              <w:rPr>
                <w:sz w:val="15"/>
              </w:rPr>
              <w:t>Regulations on Statistical Indicators</w:t>
            </w:r>
          </w:p>
        </w:tc>
        <w:tc>
          <w:tcPr>
            <w:tcW w:w="2075" w:type="dxa"/>
          </w:tcPr>
          <w:p w14:paraId="75B8DEB4" w14:textId="77777777" w:rsidR="00EB7374" w:rsidRPr="006E6EEB" w:rsidRDefault="00EB7374" w:rsidP="00C700EB">
            <w:pPr>
              <w:pStyle w:val="BodyText"/>
              <w:numPr>
                <w:ilvl w:val="0"/>
                <w:numId w:val="0"/>
              </w:numPr>
              <w:spacing w:after="0"/>
              <w:jc w:val="left"/>
              <w:rPr>
                <w:sz w:val="15"/>
                <w:szCs w:val="15"/>
              </w:rPr>
            </w:pPr>
            <w:r>
              <w:rPr>
                <w:sz w:val="15"/>
              </w:rPr>
              <w:t>Resolution No. 026-21</w:t>
            </w:r>
          </w:p>
        </w:tc>
      </w:tr>
      <w:tr w:rsidR="00EB7374" w:rsidRPr="006E6EEB" w14:paraId="6993615B" w14:textId="77777777" w:rsidTr="00C700EB">
        <w:trPr>
          <w:cantSplit/>
        </w:trPr>
        <w:tc>
          <w:tcPr>
            <w:tcW w:w="6941" w:type="dxa"/>
          </w:tcPr>
          <w:p w14:paraId="70024620" w14:textId="77777777" w:rsidR="00EB7374" w:rsidRPr="006E6EEB" w:rsidRDefault="00EB7374" w:rsidP="00C700EB">
            <w:pPr>
              <w:pStyle w:val="BodyText"/>
              <w:numPr>
                <w:ilvl w:val="0"/>
                <w:numId w:val="0"/>
              </w:numPr>
              <w:spacing w:after="0"/>
              <w:jc w:val="left"/>
              <w:rPr>
                <w:sz w:val="15"/>
                <w:szCs w:val="15"/>
              </w:rPr>
            </w:pPr>
            <w:r>
              <w:rPr>
                <w:sz w:val="15"/>
              </w:rPr>
              <w:t>Master Plan on the Use of the Radio Spectrum</w:t>
            </w:r>
          </w:p>
        </w:tc>
        <w:tc>
          <w:tcPr>
            <w:tcW w:w="2075" w:type="dxa"/>
          </w:tcPr>
          <w:p w14:paraId="22491ABC" w14:textId="77777777" w:rsidR="00EB7374" w:rsidRPr="006E6EEB" w:rsidRDefault="00EB7374" w:rsidP="00C700EB">
            <w:pPr>
              <w:pStyle w:val="BodyText"/>
              <w:numPr>
                <w:ilvl w:val="0"/>
                <w:numId w:val="0"/>
              </w:numPr>
              <w:spacing w:after="0"/>
              <w:jc w:val="left"/>
              <w:rPr>
                <w:sz w:val="15"/>
                <w:szCs w:val="15"/>
              </w:rPr>
            </w:pPr>
            <w:r>
              <w:rPr>
                <w:sz w:val="15"/>
              </w:rPr>
              <w:t>Resolution No. 071-21</w:t>
            </w:r>
          </w:p>
        </w:tc>
      </w:tr>
      <w:tr w:rsidR="00EB7374" w:rsidRPr="006E6EEB" w14:paraId="5A23AEA4" w14:textId="77777777" w:rsidTr="00C700EB">
        <w:trPr>
          <w:cnfStyle w:val="000000010000" w:firstRow="0" w:lastRow="0" w:firstColumn="0" w:lastColumn="0" w:oddVBand="0" w:evenVBand="0" w:oddHBand="0" w:evenHBand="1" w:firstRowFirstColumn="0" w:firstRowLastColumn="0" w:lastRowFirstColumn="0" w:lastRowLastColumn="0"/>
          <w:cantSplit/>
        </w:trPr>
        <w:tc>
          <w:tcPr>
            <w:tcW w:w="6941" w:type="dxa"/>
          </w:tcPr>
          <w:p w14:paraId="560ACFB3" w14:textId="77777777" w:rsidR="00EB7374" w:rsidRPr="006E6EEB" w:rsidRDefault="00EB7374" w:rsidP="00C700EB">
            <w:pPr>
              <w:pStyle w:val="BodyText"/>
              <w:numPr>
                <w:ilvl w:val="0"/>
                <w:numId w:val="0"/>
              </w:numPr>
              <w:spacing w:after="0"/>
              <w:jc w:val="left"/>
              <w:rPr>
                <w:sz w:val="15"/>
                <w:szCs w:val="15"/>
              </w:rPr>
            </w:pPr>
            <w:r>
              <w:rPr>
                <w:sz w:val="15"/>
              </w:rPr>
              <w:t>Regulations on the Digital Terrestrial Television Service</w:t>
            </w:r>
          </w:p>
        </w:tc>
        <w:tc>
          <w:tcPr>
            <w:tcW w:w="2075" w:type="dxa"/>
          </w:tcPr>
          <w:p w14:paraId="77CEF897" w14:textId="77777777" w:rsidR="00EB7374" w:rsidRPr="006E6EEB" w:rsidRDefault="00EB7374" w:rsidP="00C700EB">
            <w:pPr>
              <w:pStyle w:val="BodyText"/>
              <w:numPr>
                <w:ilvl w:val="0"/>
                <w:numId w:val="0"/>
              </w:numPr>
              <w:spacing w:after="0"/>
              <w:jc w:val="left"/>
              <w:rPr>
                <w:sz w:val="15"/>
                <w:szCs w:val="15"/>
              </w:rPr>
            </w:pPr>
            <w:r>
              <w:rPr>
                <w:sz w:val="15"/>
              </w:rPr>
              <w:t>Resolution No. 121-21</w:t>
            </w:r>
          </w:p>
        </w:tc>
      </w:tr>
      <w:tr w:rsidR="00EB7374" w:rsidRPr="006E6EEB" w14:paraId="726104B5" w14:textId="77777777" w:rsidTr="00C700EB">
        <w:trPr>
          <w:cantSplit/>
        </w:trPr>
        <w:tc>
          <w:tcPr>
            <w:tcW w:w="6941" w:type="dxa"/>
          </w:tcPr>
          <w:p w14:paraId="25EFB819" w14:textId="77777777" w:rsidR="00EB7374" w:rsidRPr="006E6EEB" w:rsidRDefault="00EB7374" w:rsidP="00C700EB">
            <w:pPr>
              <w:pStyle w:val="BodyText"/>
              <w:numPr>
                <w:ilvl w:val="0"/>
                <w:numId w:val="0"/>
              </w:numPr>
              <w:spacing w:after="0"/>
              <w:jc w:val="left"/>
              <w:rPr>
                <w:sz w:val="15"/>
                <w:szCs w:val="15"/>
              </w:rPr>
            </w:pPr>
            <w:r>
              <w:rPr>
                <w:sz w:val="15"/>
              </w:rPr>
              <w:t>Digital Terrestrial Television Switchover Plan</w:t>
            </w:r>
          </w:p>
        </w:tc>
        <w:tc>
          <w:tcPr>
            <w:tcW w:w="2075" w:type="dxa"/>
          </w:tcPr>
          <w:p w14:paraId="78766DD9" w14:textId="77777777" w:rsidR="00EB7374" w:rsidRPr="006E6EEB" w:rsidRDefault="00EB7374" w:rsidP="00C700EB">
            <w:pPr>
              <w:pStyle w:val="BodyText"/>
              <w:numPr>
                <w:ilvl w:val="0"/>
                <w:numId w:val="0"/>
              </w:numPr>
              <w:spacing w:after="0"/>
              <w:jc w:val="left"/>
              <w:rPr>
                <w:sz w:val="15"/>
                <w:szCs w:val="15"/>
              </w:rPr>
            </w:pPr>
            <w:r>
              <w:rPr>
                <w:sz w:val="15"/>
              </w:rPr>
              <w:t>Resolution No. 122-21</w:t>
            </w:r>
          </w:p>
        </w:tc>
      </w:tr>
      <w:tr w:rsidR="00EB7374" w:rsidRPr="006E6EEB" w14:paraId="327C3F01" w14:textId="77777777" w:rsidTr="00C700EB">
        <w:trPr>
          <w:cnfStyle w:val="000000010000" w:firstRow="0" w:lastRow="0" w:firstColumn="0" w:lastColumn="0" w:oddVBand="0" w:evenVBand="0" w:oddHBand="0" w:evenHBand="1" w:firstRowFirstColumn="0" w:firstRowLastColumn="0" w:lastRowFirstColumn="0" w:lastRowLastColumn="0"/>
          <w:cantSplit/>
        </w:trPr>
        <w:tc>
          <w:tcPr>
            <w:tcW w:w="6941" w:type="dxa"/>
          </w:tcPr>
          <w:p w14:paraId="0EFE7CBB" w14:textId="77777777" w:rsidR="00EB7374" w:rsidRPr="006E6EEB" w:rsidRDefault="00EB7374" w:rsidP="00C700EB">
            <w:pPr>
              <w:pStyle w:val="BodyText"/>
              <w:numPr>
                <w:ilvl w:val="0"/>
                <w:numId w:val="0"/>
              </w:numPr>
              <w:spacing w:after="0"/>
              <w:jc w:val="left"/>
              <w:rPr>
                <w:sz w:val="15"/>
                <w:szCs w:val="15"/>
              </w:rPr>
            </w:pPr>
            <w:r>
              <w:rPr>
                <w:sz w:val="15"/>
              </w:rPr>
              <w:t>Regulations on Cybersecurity</w:t>
            </w:r>
          </w:p>
        </w:tc>
        <w:tc>
          <w:tcPr>
            <w:tcW w:w="2075" w:type="dxa"/>
          </w:tcPr>
          <w:p w14:paraId="5403D7D7" w14:textId="77777777" w:rsidR="00EB7374" w:rsidRPr="006E6EEB" w:rsidRDefault="00EB7374" w:rsidP="00C700EB">
            <w:pPr>
              <w:pStyle w:val="BodyText"/>
              <w:numPr>
                <w:ilvl w:val="0"/>
                <w:numId w:val="0"/>
              </w:numPr>
              <w:spacing w:after="0"/>
              <w:jc w:val="left"/>
              <w:rPr>
                <w:sz w:val="15"/>
                <w:szCs w:val="15"/>
              </w:rPr>
            </w:pPr>
            <w:r>
              <w:rPr>
                <w:sz w:val="15"/>
              </w:rPr>
              <w:t>Resolution No. 126-21</w:t>
            </w:r>
          </w:p>
        </w:tc>
      </w:tr>
      <w:tr w:rsidR="00EB7374" w:rsidRPr="006E6EEB" w14:paraId="5404AD31" w14:textId="77777777" w:rsidTr="00C700EB">
        <w:trPr>
          <w:cantSplit/>
        </w:trPr>
        <w:tc>
          <w:tcPr>
            <w:tcW w:w="6941" w:type="dxa"/>
          </w:tcPr>
          <w:p w14:paraId="6389D26B" w14:textId="77777777" w:rsidR="00EB7374" w:rsidRPr="006E6EEB" w:rsidRDefault="00EB7374" w:rsidP="00C700EB">
            <w:pPr>
              <w:rPr>
                <w:rFonts w:eastAsiaTheme="minorEastAsia"/>
                <w:sz w:val="15"/>
                <w:szCs w:val="15"/>
              </w:rPr>
            </w:pPr>
            <w:r>
              <w:rPr>
                <w:sz w:val="15"/>
              </w:rPr>
              <w:t xml:space="preserve">New regulations for holding consultations and public hearings for drawing up </w:t>
            </w:r>
            <w:proofErr w:type="spellStart"/>
            <w:r>
              <w:rPr>
                <w:sz w:val="15"/>
              </w:rPr>
              <w:t>INDOTEL</w:t>
            </w:r>
            <w:proofErr w:type="spellEnd"/>
            <w:r>
              <w:rPr>
                <w:sz w:val="15"/>
              </w:rPr>
              <w:t xml:space="preserve"> standards and regulations</w:t>
            </w:r>
          </w:p>
        </w:tc>
        <w:tc>
          <w:tcPr>
            <w:tcW w:w="2075" w:type="dxa"/>
          </w:tcPr>
          <w:p w14:paraId="395A3088" w14:textId="77777777" w:rsidR="00EB7374" w:rsidRPr="006E6EEB" w:rsidRDefault="00EB7374" w:rsidP="00C700EB">
            <w:pPr>
              <w:pStyle w:val="BodyText"/>
              <w:numPr>
                <w:ilvl w:val="6"/>
                <w:numId w:val="0"/>
              </w:numPr>
              <w:rPr>
                <w:sz w:val="15"/>
                <w:szCs w:val="15"/>
              </w:rPr>
            </w:pPr>
            <w:r>
              <w:rPr>
                <w:sz w:val="15"/>
              </w:rPr>
              <w:t>Resolution No. 022-22</w:t>
            </w:r>
          </w:p>
        </w:tc>
      </w:tr>
    </w:tbl>
    <w:p w14:paraId="52751E32" w14:textId="77777777" w:rsidR="00EB7374" w:rsidRPr="00A4298B" w:rsidRDefault="00EB7374" w:rsidP="00A75753">
      <w:pPr>
        <w:pStyle w:val="NoteText"/>
        <w:spacing w:before="120"/>
      </w:pPr>
      <w:r>
        <w:t>Source:</w:t>
      </w:r>
      <w:r>
        <w:tab/>
        <w:t xml:space="preserve">Information provided by </w:t>
      </w:r>
      <w:proofErr w:type="spellStart"/>
      <w:r>
        <w:t>INDOTEL</w:t>
      </w:r>
      <w:proofErr w:type="spellEnd"/>
      <w:r>
        <w:t>.</w:t>
      </w:r>
    </w:p>
    <w:p w14:paraId="7214457E" w14:textId="3AEC2103" w:rsidR="00EB7374" w:rsidRPr="00C23180" w:rsidRDefault="00EB7374" w:rsidP="00C80D98">
      <w:pPr>
        <w:pStyle w:val="BodyText"/>
      </w:pPr>
      <w:r>
        <w:lastRenderedPageBreak/>
        <w:t xml:space="preserve">The </w:t>
      </w:r>
      <w:proofErr w:type="spellStart"/>
      <w:r>
        <w:t>LGT</w:t>
      </w:r>
      <w:proofErr w:type="spellEnd"/>
      <w:r>
        <w:t xml:space="preserve"> created and established </w:t>
      </w:r>
      <w:proofErr w:type="spellStart"/>
      <w:r>
        <w:t>INDOTEL</w:t>
      </w:r>
      <w:proofErr w:type="spellEnd"/>
      <w:r>
        <w:t>, which, as the telecommunications regulatory body, is responsible for regulating and supervising the telecommunications market. It is a decentralized public entity with functional, jurisdictional and financial autonomy. It is mandated to ensure universal service, free and fair competition, the protection of customer rights and the efficient use of the radio spectrum.</w:t>
      </w:r>
      <w:r w:rsidRPr="00C23180">
        <w:rPr>
          <w:rStyle w:val="FootnoteReference"/>
        </w:rPr>
        <w:footnoteReference w:id="519"/>
      </w:r>
      <w:r>
        <w:t xml:space="preserve"> </w:t>
      </w:r>
      <w:proofErr w:type="spellStart"/>
      <w:r>
        <w:t>INDOTEL</w:t>
      </w:r>
      <w:proofErr w:type="spellEnd"/>
      <w:r>
        <w:t xml:space="preserve"> also implements priority measures for the development of public telecommunications services, including the priority measures set out in the various </w:t>
      </w:r>
      <w:r w:rsidRPr="00FC17EA">
        <w:t>Multi</w:t>
      </w:r>
      <w:r w:rsidR="004904AD">
        <w:noBreakHyphen/>
      </w:r>
      <w:r w:rsidRPr="00FC17EA">
        <w:t>Year Public Sector Plan</w:t>
      </w:r>
      <w:r>
        <w:t>s.</w:t>
      </w:r>
    </w:p>
    <w:p w14:paraId="0EBAF11B" w14:textId="77777777" w:rsidR="00EB7374" w:rsidRDefault="00EB7374" w:rsidP="00C80D98">
      <w:pPr>
        <w:pStyle w:val="BodyText"/>
      </w:pPr>
      <w:r>
        <w:t>The State holds no ownership stake in companies providing public telephony and Internet services, serving only as the regulator for this market. In 2018, the Dominican Power Transmission Company (</w:t>
      </w:r>
      <w:proofErr w:type="spellStart"/>
      <w:r>
        <w:t>ETED</w:t>
      </w:r>
      <w:proofErr w:type="spellEnd"/>
      <w:r>
        <w:t xml:space="preserve">), a state-owned enterprise, obtained a concession to provide (wholesale) carrier services, with the aim of creating a national fibre optic network for the national transportation of telecommunications services. With the exception of </w:t>
      </w:r>
      <w:r>
        <w:rPr>
          <w:snapToGrid w:val="0"/>
        </w:rPr>
        <w:t>public broadcasting</w:t>
      </w:r>
      <w:r w:rsidRPr="007169C3">
        <w:rPr>
          <w:snapToGrid w:val="0"/>
        </w:rPr>
        <w:t xml:space="preserve"> </w:t>
      </w:r>
      <w:r>
        <w:rPr>
          <w:snapToGrid w:val="0"/>
        </w:rPr>
        <w:t xml:space="preserve">services, where control (more than 50%) must be in the hands of a Dominican national, </w:t>
      </w:r>
      <w:r>
        <w:t>f</w:t>
      </w:r>
      <w:r>
        <w:rPr>
          <w:snapToGrid w:val="0"/>
        </w:rPr>
        <w:t>oreign capital may hold an ownership stake in all areas of the telecommunications sector.</w:t>
      </w:r>
    </w:p>
    <w:p w14:paraId="34C055E0" w14:textId="77777777" w:rsidR="00EB7374" w:rsidRPr="00A4298B" w:rsidRDefault="00EB7374" w:rsidP="00C80D98">
      <w:pPr>
        <w:pStyle w:val="BodyText"/>
      </w:pPr>
      <w:r>
        <w:t xml:space="preserve">Public telecommunications service providers require authorization from </w:t>
      </w:r>
      <w:proofErr w:type="spellStart"/>
      <w:r>
        <w:t>INDOTEL</w:t>
      </w:r>
      <w:proofErr w:type="spellEnd"/>
      <w:r>
        <w:t xml:space="preserve"> in order to offer the different types of services: a concession (public telecommunications service) or registration in the relevant Special Register (value added services; aeronautical or maritime mobile services; private radiocommunications services; satellite carrier, passive infrastructure and related facility services; and resale of public telecommunications services) is needed. </w:t>
      </w:r>
      <w:r w:rsidRPr="00E62DE5">
        <w:t>In addition, when the provision of the service involves the use of the radio spectrum, a licen</w:t>
      </w:r>
      <w:r>
        <w:t>c</w:t>
      </w:r>
      <w:r w:rsidRPr="00E62DE5">
        <w:t xml:space="preserve">e </w:t>
      </w:r>
      <w:r>
        <w:t xml:space="preserve">to use it must be </w:t>
      </w:r>
      <w:r w:rsidRPr="00E62DE5">
        <w:t>obtain</w:t>
      </w:r>
      <w:r>
        <w:t>ed</w:t>
      </w:r>
      <w:r w:rsidRPr="00E62DE5">
        <w:t>.</w:t>
      </w:r>
      <w:r>
        <w:t xml:space="preserve"> Any concession to provide a public telecommunications service that requires using the radio spectrum is awarded through a public tender, in accordance with the availability of frequencies to be allocated and the National Frequency Allocation Plan in force. Only businesses incorporated in the Dominican Republic can obtain a concession. Licences </w:t>
      </w:r>
      <w:r w:rsidRPr="00B81BBD">
        <w:t>are</w:t>
      </w:r>
      <w:r w:rsidRPr="00672C38">
        <w:rPr>
          <w:rStyle w:val="FootnoteReference"/>
        </w:rPr>
        <w:t xml:space="preserve"> </w:t>
      </w:r>
      <w:r>
        <w:t xml:space="preserve">valid for the same length of time as their related concession (5 to 20 years) or registration in the Special Register (up to 10 years). Companies registered in the Special Register may be incorporated abroad, but must be domiciled in the Dominican Republic should the registration application be for services that are going to be provided directly by the registration-holder to end users. In 2019, the number of requirements for obtaining a </w:t>
      </w:r>
      <w:proofErr w:type="spellStart"/>
      <w:r>
        <w:rPr>
          <w:i/>
          <w:iCs/>
        </w:rPr>
        <w:t>título</w:t>
      </w:r>
      <w:proofErr w:type="spellEnd"/>
      <w:r>
        <w:rPr>
          <w:i/>
          <w:iCs/>
        </w:rPr>
        <w:t xml:space="preserve"> </w:t>
      </w:r>
      <w:proofErr w:type="spellStart"/>
      <w:r>
        <w:rPr>
          <w:i/>
          <w:iCs/>
        </w:rPr>
        <w:t>habilitante</w:t>
      </w:r>
      <w:proofErr w:type="spellEnd"/>
      <w:r>
        <w:t xml:space="preserve"> authorization from </w:t>
      </w:r>
      <w:proofErr w:type="spellStart"/>
      <w:r>
        <w:t>INDOTEL</w:t>
      </w:r>
      <w:proofErr w:type="spellEnd"/>
      <w:r>
        <w:t xml:space="preserve"> was reduced (from 37 to 17), as was the time period for obtaining a concession (from 185 days to 140 days); the mechanism for expanding the services under the concession was established; and the maximum period for registrations in the Special Registers was extended, among other developments.</w:t>
      </w:r>
      <w:r w:rsidRPr="0028339C">
        <w:rPr>
          <w:rStyle w:val="FootnoteReference"/>
        </w:rPr>
        <w:footnoteReference w:id="520"/>
      </w:r>
    </w:p>
    <w:p w14:paraId="51AB4DA3" w14:textId="77777777" w:rsidR="00EB7374" w:rsidRPr="005D0602" w:rsidRDefault="00EB7374" w:rsidP="00C80D98">
      <w:pPr>
        <w:pStyle w:val="BodyText"/>
      </w:pPr>
      <w:r>
        <w:t xml:space="preserve">Under the </w:t>
      </w:r>
      <w:proofErr w:type="spellStart"/>
      <w:r>
        <w:t>LGT</w:t>
      </w:r>
      <w:proofErr w:type="spellEnd"/>
      <w:r>
        <w:t>, which entered into force in 1998, all concessions, licences, permits or other authorizations granted before that year had to be aligned with the provisions of this Law within one year. However, this process is still not complete. The alignment process for the three largest concession holders for public telecommunications services was completed in 2021: the concessions previously awarded to these operators were amended, with the validity period for their concessions set at 20 years (up to 2041). Between 2015 and 2021, 49 concessions were awarded for the provision of public telecommunications services, including 2 for landline telephony, 16 for Internet access, 6 for cable broadcasting, 2 for satellite carrier services, 5 for sound broadcasting, 1 for satellite television broadcasting and 17 for multiple services. In 2021, the operating rights for broadband frequencies were awarded through an international public tender</w:t>
      </w:r>
      <w:r>
        <w:rPr>
          <w:rStyle w:val="FootnoteReference"/>
        </w:rPr>
        <w:footnoteReference w:id="521"/>
      </w:r>
      <w:r>
        <w:t xml:space="preserve"> as part of the process of developing the 5G network in the Dominican Republic.</w:t>
      </w:r>
      <w:r w:rsidRPr="00C23180">
        <w:rPr>
          <w:rStyle w:val="FootnoteReference"/>
        </w:rPr>
        <w:footnoteReference w:id="522"/>
      </w:r>
      <w:r>
        <w:t xml:space="preserve"> The rights were awarded to Claro and Altice, the only bidders in this tender, which also included the 700MHz band, which was not awarded.</w:t>
      </w:r>
      <w:r w:rsidRPr="005D0602">
        <w:rPr>
          <w:rStyle w:val="FootnoteReference"/>
        </w:rPr>
        <w:footnoteReference w:id="523"/>
      </w:r>
    </w:p>
    <w:p w14:paraId="33CE4932" w14:textId="77777777" w:rsidR="00EB7374" w:rsidRPr="00A4298B" w:rsidRDefault="00EB7374" w:rsidP="00C80D98">
      <w:pPr>
        <w:pStyle w:val="BodyText"/>
      </w:pPr>
      <w:r>
        <w:t xml:space="preserve">The </w:t>
      </w:r>
      <w:proofErr w:type="spellStart"/>
      <w:r>
        <w:t>LGT</w:t>
      </w:r>
      <w:proofErr w:type="spellEnd"/>
      <w:r>
        <w:t xml:space="preserve"> defines anti-competitive practices and prohibits operators from applying different conditions to equivalent services that place some competitors at a relative disadvantage to others. Operators are required to provide </w:t>
      </w:r>
      <w:proofErr w:type="spellStart"/>
      <w:r>
        <w:t>INDOTEL</w:t>
      </w:r>
      <w:proofErr w:type="spellEnd"/>
      <w:r>
        <w:t xml:space="preserve"> with accounting records for each service under </w:t>
      </w:r>
      <w:r>
        <w:lastRenderedPageBreak/>
        <w:t>concession in order to prevent cross subsidies or any other practice that could impact competition. During the review period, such information led to the initiation of an investigation, which was subsequently closed with no sanction given.</w:t>
      </w:r>
    </w:p>
    <w:p w14:paraId="0BDADAFC" w14:textId="77777777" w:rsidR="00EB7374" w:rsidRPr="00C23180" w:rsidRDefault="00EB7374" w:rsidP="00C80D98">
      <w:pPr>
        <w:pStyle w:val="BodyText"/>
      </w:pPr>
      <w:r>
        <w:t>Consumer prices are set independently, while operators agree the interconnection charges</w:t>
      </w:r>
      <w:r w:rsidRPr="00C9454C">
        <w:rPr>
          <w:rStyle w:val="FootnoteReference"/>
        </w:rPr>
        <w:footnoteReference w:id="524"/>
      </w:r>
      <w:r>
        <w:t xml:space="preserve"> and accounting rates among themselves.</w:t>
      </w:r>
      <w:r w:rsidRPr="00C23180">
        <w:rPr>
          <w:rStyle w:val="FootnoteReference"/>
        </w:rPr>
        <w:footnoteReference w:id="525"/>
      </w:r>
      <w:r>
        <w:t xml:space="preserve"> </w:t>
      </w:r>
      <w:proofErr w:type="spellStart"/>
      <w:r>
        <w:t>INDOTEL</w:t>
      </w:r>
      <w:proofErr w:type="spellEnd"/>
      <w:r>
        <w:t xml:space="preserve"> may intervene if it is of the opinion that these amounts will not ensure effective and sustainable competition on the market. Interconnection agreements must be submitted to </w:t>
      </w:r>
      <w:proofErr w:type="spellStart"/>
      <w:r>
        <w:t>INDOTEL</w:t>
      </w:r>
      <w:proofErr w:type="spellEnd"/>
      <w:r>
        <w:t xml:space="preserve">, which may raise objections to them and even has the power to set interconnection charges should operators fail to reach agreement. The authorities have stated that, during the review period, </w:t>
      </w:r>
      <w:proofErr w:type="spellStart"/>
      <w:r>
        <w:t>INDOTEL</w:t>
      </w:r>
      <w:proofErr w:type="spellEnd"/>
      <w:r>
        <w:t xml:space="preserve"> has not intervened on consumer prices and accounting rates, but has rejected interconnection charges submitted by operators on five occasions since 2015. In 2021, </w:t>
      </w:r>
      <w:proofErr w:type="spellStart"/>
      <w:r>
        <w:t>INDOTEL</w:t>
      </w:r>
      <w:proofErr w:type="spellEnd"/>
      <w:r>
        <w:t xml:space="preserve"> launched a process for setting interconnection charges. As long as </w:t>
      </w:r>
      <w:proofErr w:type="spellStart"/>
      <w:r>
        <w:t>INDOTEL</w:t>
      </w:r>
      <w:proofErr w:type="spellEnd"/>
      <w:r>
        <w:t xml:space="preserve"> does not set these amounts, the charges agreed by operators shall apply, even if they have not been approved by </w:t>
      </w:r>
      <w:proofErr w:type="spellStart"/>
      <w:r>
        <w:t>INDOTEL</w:t>
      </w:r>
      <w:proofErr w:type="spellEnd"/>
      <w:r>
        <w:t xml:space="preserve">. During the review period, no clear trend emerged for landline telephone charges, while mobile telephone charges fell 10%-20% depending on the contract type (Table 4.12). The relative cost of prepaid plans compared to </w:t>
      </w:r>
      <w:proofErr w:type="spellStart"/>
      <w:r>
        <w:t>postpaid</w:t>
      </w:r>
      <w:proofErr w:type="spellEnd"/>
      <w:r>
        <w:t xml:space="preserve"> plans is increasing and the rate per equivalent minute paid by consumers on prepaid plans was more than double that paid by consumers on </w:t>
      </w:r>
      <w:proofErr w:type="spellStart"/>
      <w:r>
        <w:t>postpaid</w:t>
      </w:r>
      <w:proofErr w:type="spellEnd"/>
      <w:r>
        <w:t xml:space="preserve"> plans in 2021.</w:t>
      </w:r>
    </w:p>
    <w:p w14:paraId="660FA486" w14:textId="0DB42862" w:rsidR="00EB7374" w:rsidRPr="00A4298B" w:rsidRDefault="00EB7374" w:rsidP="00C80D98">
      <w:pPr>
        <w:pStyle w:val="BodyText"/>
      </w:pPr>
      <w:r>
        <w:t>Telecommunications services are subject to two taxes and one levy, the contribution to telecommunications development (CDT). The CDT is intended to finance the Telecommunications Development Fund (</w:t>
      </w:r>
      <w:proofErr w:type="spellStart"/>
      <w:r>
        <w:t>FDT</w:t>
      </w:r>
      <w:proofErr w:type="spellEnd"/>
      <w:r>
        <w:t xml:space="preserve">) and </w:t>
      </w:r>
      <w:proofErr w:type="spellStart"/>
      <w:r>
        <w:t>INDOTEL</w:t>
      </w:r>
      <w:proofErr w:type="spellEnd"/>
      <w:r>
        <w:t>, and is set at a 2% rate, levied on the gross amount of end customers</w:t>
      </w:r>
      <w:r w:rsidR="00FE5A32">
        <w:t>'</w:t>
      </w:r>
      <w:r>
        <w:t xml:space="preserve"> bills and on operators</w:t>
      </w:r>
      <w:r w:rsidR="00FE5A32">
        <w:t>'</w:t>
      </w:r>
      <w:r>
        <w:t xml:space="preserve"> net earnings from international traffic.</w:t>
      </w:r>
      <w:r w:rsidRPr="00C23180">
        <w:rPr>
          <w:rStyle w:val="FootnoteReference"/>
        </w:rPr>
        <w:footnoteReference w:id="526"/>
      </w:r>
      <w:r>
        <w:t xml:space="preserve"> End users have also paid the selective consumption tax (</w:t>
      </w:r>
      <w:proofErr w:type="spellStart"/>
      <w:r>
        <w:t>ISC</w:t>
      </w:r>
      <w:proofErr w:type="spellEnd"/>
      <w:r>
        <w:t xml:space="preserve">) applied to telecommunications (10%) and the </w:t>
      </w:r>
      <w:proofErr w:type="spellStart"/>
      <w:r>
        <w:t>ITBIS</w:t>
      </w:r>
      <w:proofErr w:type="spellEnd"/>
      <w:r>
        <w:t xml:space="preserve"> (18%) since 2013. I</w:t>
      </w:r>
      <w:r w:rsidRPr="000C175D">
        <w:t xml:space="preserve">nternational incoming call traffic from landlines and mobiles is exempt from the </w:t>
      </w:r>
      <w:proofErr w:type="spellStart"/>
      <w:r w:rsidRPr="000C175D">
        <w:t>ITBIS</w:t>
      </w:r>
      <w:proofErr w:type="spellEnd"/>
      <w:r w:rsidRPr="000C175D">
        <w:t xml:space="preserve"> and the </w:t>
      </w:r>
      <w:proofErr w:type="spellStart"/>
      <w:r w:rsidRPr="000C175D">
        <w:t>ISC</w:t>
      </w:r>
      <w:proofErr w:type="spellEnd"/>
      <w:r w:rsidRPr="000C175D">
        <w:t>.</w:t>
      </w:r>
      <w:r>
        <w:t xml:space="preserve"> Similarly, the </w:t>
      </w:r>
      <w:proofErr w:type="spellStart"/>
      <w:r>
        <w:t>ITBIS</w:t>
      </w:r>
      <w:proofErr w:type="spellEnd"/>
      <w:r>
        <w:t xml:space="preserve"> is not levied on foreign customers' mobile roaming traffic. Under the tax incentive schemes (sections 2.4 and 3.3) in place, the Dominican Republic offers </w:t>
      </w:r>
      <w:proofErr w:type="spellStart"/>
      <w:r>
        <w:t>ISC</w:t>
      </w:r>
      <w:proofErr w:type="spellEnd"/>
      <w:r>
        <w:t xml:space="preserve"> refunds to manufacturing exporters on telecommunications, and to companies in the Special Comprehensive Border Development Zone. No estimates are available of the tax revenue foregone as a result of these exemptions and refunds.</w:t>
      </w:r>
    </w:p>
    <w:p w14:paraId="0127A49E" w14:textId="7CC0CAAA" w:rsidR="00EB7374" w:rsidRPr="006B0DD2" w:rsidRDefault="00EB7374" w:rsidP="00C80D98">
      <w:pPr>
        <w:pStyle w:val="BodyText"/>
        <w:rPr>
          <w:szCs w:val="18"/>
        </w:rPr>
      </w:pPr>
      <w:r>
        <w:t>Within the framework of the National Development Strategy 2030 (Law No. 1-12), the Dominican</w:t>
      </w:r>
      <w:r w:rsidR="00714B55">
        <w:t> </w:t>
      </w:r>
      <w:r>
        <w:t>Republic is seeking to "[a]chieve universal access and the productive use of information and communication technologies". It is looking to expand connectivity and widen broadband access at affordable prices for customers, and to narrow the knowledge and opportunities gaps in order to drive the digital transformation forward.</w:t>
      </w:r>
      <w:r w:rsidRPr="00C23180">
        <w:rPr>
          <w:rStyle w:val="FootnoteReference"/>
          <w:szCs w:val="18"/>
        </w:rPr>
        <w:footnoteReference w:id="527"/>
      </w:r>
      <w:r>
        <w:t xml:space="preserve"> This objective involves a number of actions designed to achieve specified outcomes. Through its Social Policy on Universal Service</w:t>
      </w:r>
      <w:r w:rsidRPr="007A6FC6">
        <w:rPr>
          <w:rStyle w:val="FootnoteReference"/>
        </w:rPr>
        <w:footnoteReference w:id="528"/>
      </w:r>
      <w:r>
        <w:t xml:space="preserve">, </w:t>
      </w:r>
      <w:proofErr w:type="spellStart"/>
      <w:r>
        <w:t>INDOTEL</w:t>
      </w:r>
      <w:proofErr w:type="spellEnd"/>
      <w:r>
        <w:t xml:space="preserve"> manages the </w:t>
      </w:r>
      <w:proofErr w:type="spellStart"/>
      <w:r>
        <w:t>FDT</w:t>
      </w:r>
      <w:proofErr w:type="spellEnd"/>
      <w:r>
        <w:t>, which finances projects in unserved rural areas or in areas where there are low levels of Internet penetration (areas below the poverty line), so that they can access and connect to high-quality broadband.</w:t>
      </w:r>
      <w:r w:rsidRPr="00C23180">
        <w:rPr>
          <w:rStyle w:val="FootnoteReference"/>
        </w:rPr>
        <w:footnoteReference w:id="529"/>
      </w:r>
      <w:r>
        <w:t xml:space="preserve"> The </w:t>
      </w:r>
      <w:proofErr w:type="spellStart"/>
      <w:r>
        <w:t>FDT</w:t>
      </w:r>
      <w:proofErr w:type="spellEnd"/>
      <w:r>
        <w:t xml:space="preserve"> is financed with proceeds from the CDT and other financial contributions. The 2021-22 Biennial Plan provides for the implementation of a comprehensive project to connect the unconnected, which is built around three pillars (access and infrastructure, an </w:t>
      </w:r>
      <w:r w:rsidR="00DE3802">
        <w:t>I</w:t>
      </w:r>
      <w:r>
        <w:t>nternet usage subsidy for 200,000 women, and skills development) and has a budget of DOP 150 million.</w:t>
      </w:r>
      <w:r w:rsidRPr="00C23180">
        <w:rPr>
          <w:rStyle w:val="FootnoteReference"/>
        </w:rPr>
        <w:footnoteReference w:id="530"/>
      </w:r>
      <w:r>
        <w:t xml:space="preserve"> Under another measure in this area, when amending their concessions, operators were required to expand their mobile service operations to 40 new localities in provinces </w:t>
      </w:r>
      <w:r>
        <w:lastRenderedPageBreak/>
        <w:t>with the lowest levels of penetration and their home fibre optic service to more than 15</w:t>
      </w:r>
      <w:r w:rsidR="00714B55">
        <w:t> </w:t>
      </w:r>
      <w:r>
        <w:t>new municipalities.</w:t>
      </w:r>
    </w:p>
    <w:p w14:paraId="68E2DF25" w14:textId="77777777" w:rsidR="00EB7374" w:rsidRPr="007D5801" w:rsidRDefault="00EB7374" w:rsidP="00C80D98">
      <w:pPr>
        <w:pStyle w:val="BodyText"/>
      </w:pPr>
      <w:proofErr w:type="spellStart"/>
      <w:r>
        <w:t>INDOTEL</w:t>
      </w:r>
      <w:proofErr w:type="spellEnd"/>
      <w:r>
        <w:t xml:space="preserve"> is responsible for settling disputes between providers, and between customers and operators. In the event of a disputes, decisions may be appealed in the first instance to </w:t>
      </w:r>
      <w:proofErr w:type="spellStart"/>
      <w:r>
        <w:t>INDOTEL</w:t>
      </w:r>
      <w:proofErr w:type="spellEnd"/>
      <w:r>
        <w:t xml:space="preserve"> itself, in the second instance before the Administrative Court, and in the third instance before the Supreme Court of Justice.</w:t>
      </w:r>
      <w:r w:rsidRPr="00C23180">
        <w:rPr>
          <w:rStyle w:val="FootnoteReference"/>
        </w:rPr>
        <w:footnoteReference w:id="531"/>
      </w:r>
      <w:r>
        <w:t xml:space="preserve"> In 2020, </w:t>
      </w:r>
      <w:proofErr w:type="spellStart"/>
      <w:r>
        <w:t>INDOTEL</w:t>
      </w:r>
      <w:proofErr w:type="spellEnd"/>
      <w:r>
        <w:t xml:space="preserve"> published new regulations</w:t>
      </w:r>
      <w:r w:rsidRPr="007D5801">
        <w:rPr>
          <w:rStyle w:val="FootnoteReference"/>
        </w:rPr>
        <w:footnoteReference w:id="532"/>
      </w:r>
      <w:r>
        <w:t xml:space="preserve"> for settling these disputes, which reduced the response times for user complaints, streamlined and simplified decision</w:t>
      </w:r>
      <w:r>
        <w:noBreakHyphen/>
        <w:t>making through arbitral rulings, and established statutes of limitations for complaints, among other aspects. According to the data provided by the authorities, between 16,000 and 25,000 complaints were processed annually between 2015 and 2021.</w:t>
      </w:r>
    </w:p>
    <w:p w14:paraId="62976C8D" w14:textId="50914649" w:rsidR="00EB7374" w:rsidRPr="00A4298B" w:rsidRDefault="00EB7374" w:rsidP="00C80D98">
      <w:pPr>
        <w:pStyle w:val="BodyText"/>
      </w:pPr>
      <w:r>
        <w:t>The process of introducing number portability in the Dominican</w:t>
      </w:r>
      <w:r w:rsidR="00714B55">
        <w:t> </w:t>
      </w:r>
      <w:r>
        <w:t>Republic began in 2006, with the approval of the initial Regulations on Number Portability</w:t>
      </w:r>
      <w:r>
        <w:rPr>
          <w:rStyle w:val="FootnoteReference"/>
        </w:rPr>
        <w:footnoteReference w:id="533"/>
      </w:r>
      <w:r>
        <w:t>. Following a preparation period, this service subsequently came into effect in 2009. After a public consultation which began in</w:t>
      </w:r>
      <w:r w:rsidR="00714B55">
        <w:t> </w:t>
      </w:r>
      <w:r>
        <w:t xml:space="preserve">2013, </w:t>
      </w:r>
      <w:proofErr w:type="spellStart"/>
      <w:r>
        <w:t>INDOTEL</w:t>
      </w:r>
      <w:proofErr w:type="spellEnd"/>
      <w:r>
        <w:t xml:space="preserve"> introduced new Regulations on Number Portability in 2015, which aim to streamline the process.</w:t>
      </w:r>
      <w:r w:rsidRPr="00C23180">
        <w:rPr>
          <w:rStyle w:val="FootnoteReference"/>
        </w:rPr>
        <w:footnoteReference w:id="534"/>
      </w:r>
      <w:r>
        <w:t xml:space="preserve"> The changes made include abolishing grounds for rejecting portability requests and reducing the time period for porting a number to 24 hours for mobile telephony and 7 days for landline telephony. Currently, customers can port a number within the same service (mobile or</w:t>
      </w:r>
      <w:r w:rsidR="00714B55">
        <w:t> </w:t>
      </w:r>
      <w:r>
        <w:t>landline), as, since 2019, there have been no geographic restrictions for landline telephony.</w:t>
      </w:r>
      <w:r w:rsidRPr="00C23180">
        <w:rPr>
          <w:rStyle w:val="FootnoteReference"/>
        </w:rPr>
        <w:footnoteReference w:id="535"/>
      </w:r>
      <w:r>
        <w:t xml:space="preserve"> Operators bear the technical and administrative costs for porting a number and, since 2015, have not been able to recoup them from customers using this service. During the review period, the total number of numbers ported was approximately 700,000, which means fewer than 100,000</w:t>
      </w:r>
      <w:r>
        <w:noBreakHyphen/>
        <w:t>number</w:t>
      </w:r>
      <w:r>
        <w:noBreakHyphen/>
        <w:t xml:space="preserve">porting requests were completed per year or, in other words, less than 1% of users request this service each year. The authorities have stated that long-term </w:t>
      </w:r>
      <w:proofErr w:type="spellStart"/>
      <w:r>
        <w:t>postpaid</w:t>
      </w:r>
      <w:proofErr w:type="spellEnd"/>
      <w:r>
        <w:t xml:space="preserve"> contracts (22% of the active lines), easy access to prepaid plans and the limited number of options available to users has reduced the incentive to port numbers.</w:t>
      </w:r>
    </w:p>
    <w:p w14:paraId="662C47EB" w14:textId="44D91806" w:rsidR="00EB7374" w:rsidRPr="00942E6A" w:rsidRDefault="00EB7374" w:rsidP="00C80D98">
      <w:pPr>
        <w:pStyle w:val="BodyText"/>
        <w:rPr>
          <w:szCs w:val="18"/>
        </w:rPr>
      </w:pPr>
      <w:r>
        <w:t>During the review period, other measures adopted to promote the development of the telecommunications market included: adopting regulations allowing passive infrastructure to be shared between operators</w:t>
      </w:r>
      <w:r>
        <w:rPr>
          <w:rStyle w:val="FootnoteReference"/>
          <w:lang w:val="es-DO"/>
        </w:rPr>
        <w:footnoteReference w:id="536"/>
      </w:r>
      <w:r>
        <w:t>; adopting new quality standards for the different services; rolling out home fibre optic networks in all municipalities in urban areas (in accordance with the National Broadband Plan)</w:t>
      </w:r>
      <w:r w:rsidRPr="00942E6A">
        <w:rPr>
          <w:rStyle w:val="FootnoteReference"/>
        </w:rPr>
        <w:footnoteReference w:id="537"/>
      </w:r>
      <w:r>
        <w:t>; setting up digital terrestrial television; and adopting Cybersecurity</w:t>
      </w:r>
      <w:r w:rsidR="00714B55">
        <w:t xml:space="preserve"> </w:t>
      </w:r>
      <w:r>
        <w:t>Regulations for providing Internet services (Table 4.13).</w:t>
      </w:r>
    </w:p>
    <w:p w14:paraId="4BCFF563" w14:textId="77777777" w:rsidR="00EB7374" w:rsidRDefault="00EB7374" w:rsidP="00C80D98">
      <w:pPr>
        <w:pStyle w:val="Heading3"/>
      </w:pPr>
      <w:bookmarkStart w:id="385" w:name="_Toc114735785"/>
      <w:bookmarkStart w:id="386" w:name="_Toc117260666"/>
      <w:r>
        <w:t>Transport</w:t>
      </w:r>
      <w:bookmarkEnd w:id="385"/>
      <w:bookmarkEnd w:id="386"/>
    </w:p>
    <w:p w14:paraId="0405A9D7" w14:textId="77777777" w:rsidR="00EB7374" w:rsidRPr="00A4298B" w:rsidRDefault="00EB7374" w:rsidP="00C80D98">
      <w:pPr>
        <w:pStyle w:val="Heading4"/>
      </w:pPr>
      <w:bookmarkStart w:id="387" w:name="_Toc417038549"/>
      <w:bookmarkStart w:id="388" w:name="_Toc114735786"/>
      <w:bookmarkStart w:id="389" w:name="_Toc117260667"/>
      <w:r>
        <w:t>Air transport</w:t>
      </w:r>
      <w:bookmarkEnd w:id="387"/>
      <w:bookmarkEnd w:id="388"/>
      <w:bookmarkEnd w:id="389"/>
    </w:p>
    <w:p w14:paraId="68514C88" w14:textId="190C190D" w:rsidR="00EB7374" w:rsidRPr="00C23180" w:rsidRDefault="00EB7374" w:rsidP="00C80D98">
      <w:pPr>
        <w:pStyle w:val="BodyText"/>
        <w:rPr>
          <w:rFonts w:eastAsia="Calibri"/>
        </w:rPr>
      </w:pPr>
      <w:bookmarkStart w:id="390" w:name="_Toc417038644"/>
      <w:r>
        <w:t>Air transport is vitally important for the Dominican Republic and, in particular, for the tourism sector, as more than 86% of tourists arrive in the country by air.</w:t>
      </w:r>
      <w:r w:rsidRPr="00C23180">
        <w:rPr>
          <w:rStyle w:val="FootnoteReference"/>
          <w:rFonts w:eastAsia="Calibri"/>
        </w:rPr>
        <w:footnoteReference w:id="538"/>
      </w:r>
      <w:r>
        <w:t xml:space="preserve"> Up until the global downturn in air transport caused by the COVID-19 pandemic, air traffic at the eight Dominican international airports had been increasing during the review period (Table 4.14), boosted by the air transport policy.</w:t>
      </w:r>
      <w:r w:rsidRPr="00C23180">
        <w:rPr>
          <w:rFonts w:eastAsia="Calibri"/>
          <w:vertAlign w:val="superscript"/>
        </w:rPr>
        <w:footnoteReference w:id="539"/>
      </w:r>
      <w:r>
        <w:t xml:space="preserve"> Even though air traffic has now returned to its 2015 levels, the number of passengers </w:t>
      </w:r>
      <w:r>
        <w:lastRenderedPageBreak/>
        <w:t>in</w:t>
      </w:r>
      <w:r w:rsidR="00714B55">
        <w:t> </w:t>
      </w:r>
      <w:r>
        <w:t>2021 was still far below 2015 figures. The Dominican Republic's air connections included more than 320 daily flights, 381 scheduled routes and 584 charter routes in 2021.</w:t>
      </w:r>
      <w:bookmarkStart w:id="391" w:name="_Toc114735850"/>
      <w:bookmarkEnd w:id="390"/>
    </w:p>
    <w:p w14:paraId="11F1FCCA" w14:textId="77777777" w:rsidR="00EB7374" w:rsidRPr="006E6EEB" w:rsidRDefault="00EB7374" w:rsidP="00A55A6F">
      <w:pPr>
        <w:pStyle w:val="Caption"/>
      </w:pPr>
      <w:bookmarkStart w:id="392" w:name="_Toc117238068"/>
      <w:r>
        <w:t xml:space="preserve">Table </w:t>
      </w:r>
      <w:r w:rsidR="00BD37F2">
        <w:fldChar w:fldCharType="begin"/>
      </w:r>
      <w:r w:rsidR="00BD37F2">
        <w:instrText xml:space="preserve"> STYLEREF 1 \s </w:instrText>
      </w:r>
      <w:r w:rsidR="00BD37F2">
        <w:fldChar w:fldCharType="separate"/>
      </w:r>
      <w:r>
        <w:rPr>
          <w:noProof/>
        </w:rPr>
        <w:t>4</w:t>
      </w:r>
      <w:r w:rsidR="00BD37F2">
        <w:rPr>
          <w:noProof/>
        </w:rPr>
        <w:fldChar w:fldCharType="end"/>
      </w:r>
      <w:r>
        <w:t>.</w:t>
      </w:r>
      <w:r w:rsidR="00BD37F2">
        <w:fldChar w:fldCharType="begin"/>
      </w:r>
      <w:r w:rsidR="00BD37F2">
        <w:instrText xml:space="preserve"> SEQ Table \* ARABIC \s 1 </w:instrText>
      </w:r>
      <w:r w:rsidR="00BD37F2">
        <w:fldChar w:fldCharType="separate"/>
      </w:r>
      <w:r>
        <w:rPr>
          <w:noProof/>
        </w:rPr>
        <w:t>14</w:t>
      </w:r>
      <w:r w:rsidR="00BD37F2">
        <w:rPr>
          <w:noProof/>
        </w:rPr>
        <w:fldChar w:fldCharType="end"/>
      </w:r>
      <w:r>
        <w:t xml:space="preserve"> Air traffic, 2015-21</w:t>
      </w:r>
      <w:bookmarkEnd w:id="391"/>
      <w:bookmarkEnd w:id="392"/>
    </w:p>
    <w:tbl>
      <w:tblPr>
        <w:tblW w:w="5000" w:type="pct"/>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2428"/>
        <w:gridCol w:w="941"/>
        <w:gridCol w:w="941"/>
        <w:gridCol w:w="941"/>
        <w:gridCol w:w="941"/>
        <w:gridCol w:w="941"/>
        <w:gridCol w:w="941"/>
        <w:gridCol w:w="942"/>
      </w:tblGrid>
      <w:tr w:rsidR="00EB7374" w:rsidRPr="006E6EEB" w14:paraId="6F6A50D2" w14:textId="77777777" w:rsidTr="00C700EB">
        <w:trPr>
          <w:cantSplit/>
          <w:tblHeader/>
        </w:trPr>
        <w:tc>
          <w:tcPr>
            <w:tcW w:w="1176" w:type="pct"/>
            <w:shd w:val="clear" w:color="auto" w:fill="006283"/>
            <w:noWrap/>
            <w:hideMark/>
          </w:tcPr>
          <w:p w14:paraId="0B7B7CC5" w14:textId="77777777" w:rsidR="00EB7374" w:rsidRPr="006E6EEB" w:rsidRDefault="00EB7374" w:rsidP="00C700EB">
            <w:pPr>
              <w:keepNext/>
              <w:keepLines/>
              <w:jc w:val="left"/>
              <w:rPr>
                <w:b/>
                <w:color w:val="FFFFFF"/>
                <w:sz w:val="15"/>
                <w:szCs w:val="15"/>
              </w:rPr>
            </w:pPr>
          </w:p>
        </w:tc>
        <w:tc>
          <w:tcPr>
            <w:tcW w:w="546" w:type="pct"/>
            <w:shd w:val="clear" w:color="auto" w:fill="006283"/>
            <w:noWrap/>
            <w:hideMark/>
          </w:tcPr>
          <w:p w14:paraId="1B6E4B90" w14:textId="77777777" w:rsidR="00EB7374" w:rsidRPr="006E6EEB" w:rsidRDefault="00EB7374" w:rsidP="00C700EB">
            <w:pPr>
              <w:keepNext/>
              <w:keepLines/>
              <w:jc w:val="right"/>
              <w:rPr>
                <w:b/>
                <w:color w:val="FFFFFF"/>
                <w:sz w:val="15"/>
                <w:szCs w:val="15"/>
              </w:rPr>
            </w:pPr>
            <w:r>
              <w:rPr>
                <w:b/>
                <w:color w:val="FFFFFF"/>
                <w:sz w:val="15"/>
              </w:rPr>
              <w:t>2015</w:t>
            </w:r>
          </w:p>
        </w:tc>
        <w:tc>
          <w:tcPr>
            <w:tcW w:w="546" w:type="pct"/>
            <w:shd w:val="clear" w:color="auto" w:fill="006283"/>
            <w:noWrap/>
            <w:hideMark/>
          </w:tcPr>
          <w:p w14:paraId="71559D6A" w14:textId="77777777" w:rsidR="00EB7374" w:rsidRPr="006E6EEB" w:rsidRDefault="00EB7374" w:rsidP="00C700EB">
            <w:pPr>
              <w:keepNext/>
              <w:keepLines/>
              <w:jc w:val="right"/>
              <w:rPr>
                <w:b/>
                <w:color w:val="FFFFFF"/>
                <w:sz w:val="15"/>
                <w:szCs w:val="15"/>
              </w:rPr>
            </w:pPr>
            <w:r>
              <w:rPr>
                <w:b/>
                <w:color w:val="FFFFFF"/>
                <w:sz w:val="15"/>
              </w:rPr>
              <w:t>2016</w:t>
            </w:r>
          </w:p>
        </w:tc>
        <w:tc>
          <w:tcPr>
            <w:tcW w:w="546" w:type="pct"/>
            <w:shd w:val="clear" w:color="auto" w:fill="006283"/>
            <w:noWrap/>
            <w:hideMark/>
          </w:tcPr>
          <w:p w14:paraId="7C84DDFF" w14:textId="77777777" w:rsidR="00EB7374" w:rsidRPr="006E6EEB" w:rsidRDefault="00EB7374" w:rsidP="00C700EB">
            <w:pPr>
              <w:keepNext/>
              <w:keepLines/>
              <w:jc w:val="right"/>
              <w:rPr>
                <w:b/>
                <w:color w:val="FFFFFF"/>
                <w:sz w:val="15"/>
                <w:szCs w:val="15"/>
              </w:rPr>
            </w:pPr>
            <w:r>
              <w:rPr>
                <w:b/>
                <w:color w:val="FFFFFF"/>
                <w:sz w:val="15"/>
              </w:rPr>
              <w:t>2017</w:t>
            </w:r>
          </w:p>
        </w:tc>
        <w:tc>
          <w:tcPr>
            <w:tcW w:w="546" w:type="pct"/>
            <w:shd w:val="clear" w:color="auto" w:fill="006283"/>
            <w:noWrap/>
            <w:hideMark/>
          </w:tcPr>
          <w:p w14:paraId="10456E75" w14:textId="77777777" w:rsidR="00EB7374" w:rsidRPr="006E6EEB" w:rsidRDefault="00EB7374" w:rsidP="00C700EB">
            <w:pPr>
              <w:keepNext/>
              <w:keepLines/>
              <w:jc w:val="right"/>
              <w:rPr>
                <w:b/>
                <w:color w:val="FFFFFF"/>
                <w:sz w:val="15"/>
                <w:szCs w:val="15"/>
              </w:rPr>
            </w:pPr>
            <w:r>
              <w:rPr>
                <w:b/>
                <w:color w:val="FFFFFF"/>
                <w:sz w:val="15"/>
              </w:rPr>
              <w:t>2018</w:t>
            </w:r>
          </w:p>
        </w:tc>
        <w:tc>
          <w:tcPr>
            <w:tcW w:w="546" w:type="pct"/>
            <w:shd w:val="clear" w:color="auto" w:fill="006283"/>
            <w:noWrap/>
            <w:hideMark/>
          </w:tcPr>
          <w:p w14:paraId="52AB4ADB" w14:textId="77777777" w:rsidR="00EB7374" w:rsidRPr="006E6EEB" w:rsidRDefault="00EB7374" w:rsidP="00C700EB">
            <w:pPr>
              <w:keepNext/>
              <w:keepLines/>
              <w:jc w:val="right"/>
              <w:rPr>
                <w:b/>
                <w:color w:val="FFFFFF"/>
                <w:sz w:val="15"/>
                <w:szCs w:val="15"/>
              </w:rPr>
            </w:pPr>
            <w:r>
              <w:rPr>
                <w:b/>
                <w:color w:val="FFFFFF"/>
                <w:sz w:val="15"/>
              </w:rPr>
              <w:t>2019</w:t>
            </w:r>
          </w:p>
        </w:tc>
        <w:tc>
          <w:tcPr>
            <w:tcW w:w="546" w:type="pct"/>
            <w:shd w:val="clear" w:color="auto" w:fill="006283"/>
            <w:noWrap/>
            <w:hideMark/>
          </w:tcPr>
          <w:p w14:paraId="106390EC" w14:textId="77777777" w:rsidR="00EB7374" w:rsidRPr="006E6EEB" w:rsidRDefault="00EB7374" w:rsidP="00C700EB">
            <w:pPr>
              <w:keepNext/>
              <w:keepLines/>
              <w:jc w:val="right"/>
              <w:rPr>
                <w:b/>
                <w:color w:val="FFFFFF"/>
                <w:sz w:val="15"/>
                <w:szCs w:val="15"/>
              </w:rPr>
            </w:pPr>
            <w:r>
              <w:rPr>
                <w:b/>
                <w:color w:val="FFFFFF"/>
                <w:sz w:val="15"/>
              </w:rPr>
              <w:t>2020</w:t>
            </w:r>
          </w:p>
        </w:tc>
        <w:tc>
          <w:tcPr>
            <w:tcW w:w="546" w:type="pct"/>
            <w:shd w:val="clear" w:color="auto" w:fill="006283"/>
          </w:tcPr>
          <w:p w14:paraId="56BB6DA6" w14:textId="77777777" w:rsidR="00EB7374" w:rsidRPr="006E6EEB" w:rsidRDefault="00EB7374" w:rsidP="00C700EB">
            <w:pPr>
              <w:keepNext/>
              <w:keepLines/>
              <w:jc w:val="right"/>
              <w:rPr>
                <w:b/>
                <w:color w:val="FFFFFF"/>
                <w:sz w:val="15"/>
                <w:szCs w:val="15"/>
              </w:rPr>
            </w:pPr>
            <w:r>
              <w:rPr>
                <w:b/>
                <w:color w:val="FFFFFF"/>
                <w:sz w:val="15"/>
              </w:rPr>
              <w:t>2021</w:t>
            </w:r>
          </w:p>
        </w:tc>
      </w:tr>
      <w:tr w:rsidR="00EB7374" w:rsidRPr="006E6EEB" w14:paraId="5F1CF793" w14:textId="77777777" w:rsidTr="00C700EB">
        <w:trPr>
          <w:cantSplit/>
        </w:trPr>
        <w:tc>
          <w:tcPr>
            <w:tcW w:w="1176" w:type="pct"/>
            <w:shd w:val="clear" w:color="auto" w:fill="auto"/>
            <w:noWrap/>
            <w:hideMark/>
          </w:tcPr>
          <w:p w14:paraId="5CAB681F" w14:textId="77777777" w:rsidR="00EB7374" w:rsidRPr="006E6EEB" w:rsidRDefault="00EB7374" w:rsidP="00C700EB">
            <w:pPr>
              <w:jc w:val="left"/>
              <w:rPr>
                <w:sz w:val="15"/>
                <w:szCs w:val="15"/>
              </w:rPr>
            </w:pPr>
            <w:r>
              <w:rPr>
                <w:b/>
                <w:bCs/>
                <w:sz w:val="15"/>
              </w:rPr>
              <w:t>Aircraft</w:t>
            </w:r>
            <w:r>
              <w:rPr>
                <w:sz w:val="15"/>
              </w:rPr>
              <w:t xml:space="preserve"> (units)</w:t>
            </w:r>
          </w:p>
        </w:tc>
        <w:tc>
          <w:tcPr>
            <w:tcW w:w="546" w:type="pct"/>
            <w:shd w:val="clear" w:color="auto" w:fill="auto"/>
            <w:noWrap/>
          </w:tcPr>
          <w:p w14:paraId="36C65364" w14:textId="77777777" w:rsidR="00EB7374" w:rsidRPr="00672C38" w:rsidRDefault="00EB7374" w:rsidP="00C700EB">
            <w:pPr>
              <w:ind w:right="23"/>
              <w:jc w:val="right"/>
              <w:rPr>
                <w:rFonts w:asciiTheme="minorHAnsi" w:hAnsiTheme="minorHAnsi"/>
                <w:bCs/>
                <w:sz w:val="15"/>
                <w:szCs w:val="15"/>
              </w:rPr>
            </w:pPr>
            <w:r w:rsidRPr="00672C38">
              <w:rPr>
                <w:rFonts w:asciiTheme="minorHAnsi" w:hAnsiTheme="minorHAnsi"/>
                <w:bCs/>
                <w:sz w:val="15"/>
                <w:szCs w:val="15"/>
                <w:rtl/>
              </w:rPr>
              <w:t>98,648</w:t>
            </w:r>
          </w:p>
        </w:tc>
        <w:tc>
          <w:tcPr>
            <w:tcW w:w="546" w:type="pct"/>
            <w:shd w:val="clear" w:color="auto" w:fill="auto"/>
            <w:noWrap/>
          </w:tcPr>
          <w:p w14:paraId="7179ECE8" w14:textId="77777777" w:rsidR="00EB7374" w:rsidRPr="006E6EEB" w:rsidRDefault="00EB7374" w:rsidP="00C700EB">
            <w:pPr>
              <w:jc w:val="right"/>
              <w:rPr>
                <w:b/>
                <w:bCs/>
                <w:sz w:val="15"/>
                <w:szCs w:val="15"/>
              </w:rPr>
            </w:pPr>
            <w:r>
              <w:rPr>
                <w:b/>
                <w:sz w:val="15"/>
              </w:rPr>
              <w:t>102,875</w:t>
            </w:r>
          </w:p>
        </w:tc>
        <w:tc>
          <w:tcPr>
            <w:tcW w:w="546" w:type="pct"/>
            <w:shd w:val="clear" w:color="auto" w:fill="auto"/>
            <w:noWrap/>
          </w:tcPr>
          <w:p w14:paraId="6D82685B" w14:textId="77777777" w:rsidR="00EB7374" w:rsidRPr="006E6EEB" w:rsidRDefault="00EB7374" w:rsidP="00C700EB">
            <w:pPr>
              <w:ind w:right="9"/>
              <w:jc w:val="right"/>
              <w:rPr>
                <w:b/>
                <w:bCs/>
                <w:sz w:val="15"/>
                <w:szCs w:val="15"/>
              </w:rPr>
            </w:pPr>
            <w:r>
              <w:rPr>
                <w:b/>
                <w:sz w:val="15"/>
              </w:rPr>
              <w:t>102,874</w:t>
            </w:r>
          </w:p>
        </w:tc>
        <w:tc>
          <w:tcPr>
            <w:tcW w:w="546" w:type="pct"/>
            <w:shd w:val="clear" w:color="auto" w:fill="auto"/>
            <w:noWrap/>
          </w:tcPr>
          <w:p w14:paraId="3EEA5070" w14:textId="77777777" w:rsidR="00EB7374" w:rsidRPr="006E6EEB" w:rsidRDefault="00EB7374" w:rsidP="00C700EB">
            <w:pPr>
              <w:ind w:right="2"/>
              <w:jc w:val="right"/>
              <w:rPr>
                <w:b/>
                <w:bCs/>
                <w:sz w:val="15"/>
                <w:szCs w:val="15"/>
              </w:rPr>
            </w:pPr>
            <w:r>
              <w:rPr>
                <w:b/>
                <w:sz w:val="15"/>
              </w:rPr>
              <w:t>107,383</w:t>
            </w:r>
          </w:p>
        </w:tc>
        <w:tc>
          <w:tcPr>
            <w:tcW w:w="546" w:type="pct"/>
            <w:shd w:val="clear" w:color="auto" w:fill="auto"/>
            <w:noWrap/>
            <w:hideMark/>
          </w:tcPr>
          <w:p w14:paraId="3E1CA963" w14:textId="77777777" w:rsidR="00EB7374" w:rsidRPr="006E6EEB" w:rsidRDefault="00EB7374" w:rsidP="00C700EB">
            <w:pPr>
              <w:jc w:val="right"/>
              <w:rPr>
                <w:b/>
                <w:bCs/>
                <w:sz w:val="15"/>
                <w:szCs w:val="15"/>
              </w:rPr>
            </w:pPr>
            <w:r>
              <w:rPr>
                <w:b/>
                <w:sz w:val="15"/>
              </w:rPr>
              <w:t>116,788</w:t>
            </w:r>
          </w:p>
        </w:tc>
        <w:tc>
          <w:tcPr>
            <w:tcW w:w="546" w:type="pct"/>
            <w:shd w:val="clear" w:color="auto" w:fill="auto"/>
            <w:noWrap/>
            <w:hideMark/>
          </w:tcPr>
          <w:p w14:paraId="6C9B067D" w14:textId="77777777" w:rsidR="00EB7374" w:rsidRPr="006E6EEB" w:rsidRDefault="00EB7374" w:rsidP="00C700EB">
            <w:pPr>
              <w:jc w:val="right"/>
              <w:rPr>
                <w:b/>
                <w:bCs/>
                <w:sz w:val="15"/>
                <w:szCs w:val="15"/>
              </w:rPr>
            </w:pPr>
            <w:r>
              <w:rPr>
                <w:b/>
                <w:sz w:val="15"/>
              </w:rPr>
              <w:t>52,998</w:t>
            </w:r>
          </w:p>
        </w:tc>
        <w:tc>
          <w:tcPr>
            <w:tcW w:w="546" w:type="pct"/>
          </w:tcPr>
          <w:p w14:paraId="1254ED36" w14:textId="77777777" w:rsidR="00EB7374" w:rsidRPr="006E6EEB" w:rsidRDefault="00EB7374" w:rsidP="00C700EB">
            <w:pPr>
              <w:jc w:val="right"/>
              <w:rPr>
                <w:b/>
                <w:bCs/>
                <w:sz w:val="15"/>
                <w:szCs w:val="15"/>
              </w:rPr>
            </w:pPr>
            <w:r>
              <w:rPr>
                <w:b/>
                <w:sz w:val="15"/>
              </w:rPr>
              <w:t>95,155</w:t>
            </w:r>
          </w:p>
        </w:tc>
      </w:tr>
      <w:tr w:rsidR="00EB7374" w:rsidRPr="006E6EEB" w14:paraId="2C66BA11" w14:textId="77777777" w:rsidTr="00C700EB">
        <w:trPr>
          <w:cantSplit/>
        </w:trPr>
        <w:tc>
          <w:tcPr>
            <w:tcW w:w="1176" w:type="pct"/>
            <w:shd w:val="clear" w:color="auto" w:fill="C9DED4"/>
            <w:noWrap/>
            <w:hideMark/>
          </w:tcPr>
          <w:p w14:paraId="75529CC3" w14:textId="77777777" w:rsidR="00EB7374" w:rsidRPr="006E6EEB" w:rsidRDefault="00EB7374" w:rsidP="00C700EB">
            <w:pPr>
              <w:ind w:left="113"/>
              <w:jc w:val="left"/>
              <w:rPr>
                <w:sz w:val="15"/>
                <w:szCs w:val="15"/>
              </w:rPr>
            </w:pPr>
            <w:r>
              <w:rPr>
                <w:sz w:val="15"/>
              </w:rPr>
              <w:t xml:space="preserve">Scheduled </w:t>
            </w:r>
          </w:p>
        </w:tc>
        <w:tc>
          <w:tcPr>
            <w:tcW w:w="546" w:type="pct"/>
            <w:shd w:val="clear" w:color="auto" w:fill="C9DED4"/>
            <w:noWrap/>
          </w:tcPr>
          <w:p w14:paraId="7D54E749" w14:textId="77777777" w:rsidR="00EB7374" w:rsidRPr="006E6EEB" w:rsidRDefault="00EB7374" w:rsidP="00C700EB">
            <w:pPr>
              <w:ind w:right="23"/>
              <w:jc w:val="right"/>
              <w:rPr>
                <w:sz w:val="15"/>
                <w:szCs w:val="15"/>
              </w:rPr>
            </w:pPr>
            <w:r>
              <w:rPr>
                <w:sz w:val="15"/>
              </w:rPr>
              <w:t>85,495</w:t>
            </w:r>
          </w:p>
        </w:tc>
        <w:tc>
          <w:tcPr>
            <w:tcW w:w="546" w:type="pct"/>
            <w:shd w:val="clear" w:color="auto" w:fill="C9DED4"/>
            <w:noWrap/>
          </w:tcPr>
          <w:p w14:paraId="3D39E4DD" w14:textId="77777777" w:rsidR="00EB7374" w:rsidRPr="006E6EEB" w:rsidRDefault="00EB7374" w:rsidP="00C700EB">
            <w:pPr>
              <w:jc w:val="right"/>
              <w:rPr>
                <w:sz w:val="15"/>
                <w:szCs w:val="15"/>
              </w:rPr>
            </w:pPr>
            <w:r>
              <w:rPr>
                <w:sz w:val="15"/>
              </w:rPr>
              <w:t>87,156</w:t>
            </w:r>
          </w:p>
        </w:tc>
        <w:tc>
          <w:tcPr>
            <w:tcW w:w="546" w:type="pct"/>
            <w:shd w:val="clear" w:color="auto" w:fill="C9DED4"/>
            <w:noWrap/>
          </w:tcPr>
          <w:p w14:paraId="710DCA2C" w14:textId="77777777" w:rsidR="00EB7374" w:rsidRPr="006E6EEB" w:rsidRDefault="00EB7374" w:rsidP="00C700EB">
            <w:pPr>
              <w:ind w:right="9"/>
              <w:jc w:val="right"/>
              <w:rPr>
                <w:sz w:val="15"/>
                <w:szCs w:val="15"/>
              </w:rPr>
            </w:pPr>
            <w:r>
              <w:rPr>
                <w:sz w:val="15"/>
              </w:rPr>
              <w:t>87,167</w:t>
            </w:r>
          </w:p>
        </w:tc>
        <w:tc>
          <w:tcPr>
            <w:tcW w:w="546" w:type="pct"/>
            <w:shd w:val="clear" w:color="auto" w:fill="C9DED4"/>
            <w:noWrap/>
          </w:tcPr>
          <w:p w14:paraId="3911FCA9" w14:textId="77777777" w:rsidR="00EB7374" w:rsidRPr="006E6EEB" w:rsidRDefault="00EB7374" w:rsidP="00C700EB">
            <w:pPr>
              <w:ind w:right="2"/>
              <w:jc w:val="right"/>
              <w:rPr>
                <w:sz w:val="15"/>
                <w:szCs w:val="15"/>
              </w:rPr>
            </w:pPr>
            <w:r>
              <w:rPr>
                <w:sz w:val="15"/>
              </w:rPr>
              <w:t>90,106</w:t>
            </w:r>
          </w:p>
        </w:tc>
        <w:tc>
          <w:tcPr>
            <w:tcW w:w="546" w:type="pct"/>
            <w:shd w:val="clear" w:color="auto" w:fill="C9DED4"/>
            <w:noWrap/>
            <w:hideMark/>
          </w:tcPr>
          <w:p w14:paraId="0216B0D8" w14:textId="77777777" w:rsidR="00EB7374" w:rsidRPr="006E6EEB" w:rsidRDefault="00EB7374" w:rsidP="00C700EB">
            <w:pPr>
              <w:jc w:val="right"/>
              <w:rPr>
                <w:sz w:val="15"/>
                <w:szCs w:val="15"/>
              </w:rPr>
            </w:pPr>
            <w:r>
              <w:rPr>
                <w:sz w:val="15"/>
              </w:rPr>
              <w:t>98,324</w:t>
            </w:r>
          </w:p>
        </w:tc>
        <w:tc>
          <w:tcPr>
            <w:tcW w:w="546" w:type="pct"/>
            <w:shd w:val="clear" w:color="auto" w:fill="C9DED4"/>
            <w:noWrap/>
            <w:hideMark/>
          </w:tcPr>
          <w:p w14:paraId="3B8B12F4" w14:textId="77777777" w:rsidR="00EB7374" w:rsidRPr="006E6EEB" w:rsidRDefault="00EB7374" w:rsidP="00C700EB">
            <w:pPr>
              <w:jc w:val="right"/>
              <w:rPr>
                <w:sz w:val="15"/>
                <w:szCs w:val="15"/>
              </w:rPr>
            </w:pPr>
            <w:r>
              <w:rPr>
                <w:sz w:val="15"/>
              </w:rPr>
              <w:t>43,809</w:t>
            </w:r>
          </w:p>
        </w:tc>
        <w:tc>
          <w:tcPr>
            <w:tcW w:w="546" w:type="pct"/>
            <w:shd w:val="clear" w:color="auto" w:fill="C9DED4"/>
          </w:tcPr>
          <w:p w14:paraId="6162F53B" w14:textId="77777777" w:rsidR="00EB7374" w:rsidRPr="006E6EEB" w:rsidRDefault="00EB7374" w:rsidP="00C700EB">
            <w:pPr>
              <w:jc w:val="right"/>
              <w:rPr>
                <w:sz w:val="15"/>
                <w:szCs w:val="15"/>
              </w:rPr>
            </w:pPr>
            <w:r>
              <w:rPr>
                <w:sz w:val="15"/>
              </w:rPr>
              <w:t>77,804</w:t>
            </w:r>
          </w:p>
        </w:tc>
      </w:tr>
      <w:tr w:rsidR="00EB7374" w:rsidRPr="006E6EEB" w14:paraId="55FEC274" w14:textId="77777777" w:rsidTr="00C700EB">
        <w:trPr>
          <w:cantSplit/>
        </w:trPr>
        <w:tc>
          <w:tcPr>
            <w:tcW w:w="1176" w:type="pct"/>
            <w:shd w:val="clear" w:color="auto" w:fill="auto"/>
            <w:noWrap/>
            <w:hideMark/>
          </w:tcPr>
          <w:p w14:paraId="7BFCEBA6" w14:textId="77777777" w:rsidR="00EB7374" w:rsidRPr="006E6EEB" w:rsidRDefault="00EB7374" w:rsidP="00C700EB">
            <w:pPr>
              <w:ind w:left="113"/>
              <w:jc w:val="left"/>
              <w:rPr>
                <w:sz w:val="15"/>
                <w:szCs w:val="15"/>
              </w:rPr>
            </w:pPr>
            <w:r>
              <w:rPr>
                <w:sz w:val="15"/>
              </w:rPr>
              <w:t xml:space="preserve">Charter </w:t>
            </w:r>
          </w:p>
        </w:tc>
        <w:tc>
          <w:tcPr>
            <w:tcW w:w="546" w:type="pct"/>
            <w:shd w:val="clear" w:color="auto" w:fill="auto"/>
            <w:noWrap/>
          </w:tcPr>
          <w:p w14:paraId="30E93877" w14:textId="77777777" w:rsidR="00EB7374" w:rsidRPr="006E6EEB" w:rsidRDefault="00EB7374" w:rsidP="00C700EB">
            <w:pPr>
              <w:ind w:right="23"/>
              <w:jc w:val="right"/>
              <w:rPr>
                <w:sz w:val="15"/>
                <w:szCs w:val="15"/>
              </w:rPr>
            </w:pPr>
            <w:r>
              <w:rPr>
                <w:sz w:val="15"/>
              </w:rPr>
              <w:t>13,153</w:t>
            </w:r>
          </w:p>
        </w:tc>
        <w:tc>
          <w:tcPr>
            <w:tcW w:w="546" w:type="pct"/>
            <w:shd w:val="clear" w:color="auto" w:fill="auto"/>
            <w:noWrap/>
          </w:tcPr>
          <w:p w14:paraId="7E27FC20" w14:textId="77777777" w:rsidR="00EB7374" w:rsidRPr="006E6EEB" w:rsidRDefault="00EB7374" w:rsidP="00C700EB">
            <w:pPr>
              <w:jc w:val="right"/>
              <w:rPr>
                <w:sz w:val="15"/>
                <w:szCs w:val="15"/>
              </w:rPr>
            </w:pPr>
            <w:r>
              <w:rPr>
                <w:sz w:val="15"/>
              </w:rPr>
              <w:t>15,719</w:t>
            </w:r>
          </w:p>
        </w:tc>
        <w:tc>
          <w:tcPr>
            <w:tcW w:w="546" w:type="pct"/>
            <w:shd w:val="clear" w:color="auto" w:fill="auto"/>
            <w:noWrap/>
          </w:tcPr>
          <w:p w14:paraId="5F006217" w14:textId="77777777" w:rsidR="00EB7374" w:rsidRPr="006E6EEB" w:rsidRDefault="00EB7374" w:rsidP="00C700EB">
            <w:pPr>
              <w:ind w:right="9"/>
              <w:jc w:val="right"/>
              <w:rPr>
                <w:sz w:val="15"/>
                <w:szCs w:val="15"/>
              </w:rPr>
            </w:pPr>
            <w:r>
              <w:rPr>
                <w:sz w:val="15"/>
              </w:rPr>
              <w:t>15,707</w:t>
            </w:r>
          </w:p>
        </w:tc>
        <w:tc>
          <w:tcPr>
            <w:tcW w:w="546" w:type="pct"/>
            <w:shd w:val="clear" w:color="auto" w:fill="auto"/>
            <w:noWrap/>
          </w:tcPr>
          <w:p w14:paraId="2CBFFFF9" w14:textId="77777777" w:rsidR="00EB7374" w:rsidRPr="006E6EEB" w:rsidRDefault="00EB7374" w:rsidP="00C700EB">
            <w:pPr>
              <w:ind w:right="2"/>
              <w:jc w:val="right"/>
              <w:rPr>
                <w:sz w:val="15"/>
                <w:szCs w:val="15"/>
              </w:rPr>
            </w:pPr>
            <w:r>
              <w:rPr>
                <w:sz w:val="15"/>
              </w:rPr>
              <w:t>17,277</w:t>
            </w:r>
          </w:p>
        </w:tc>
        <w:tc>
          <w:tcPr>
            <w:tcW w:w="546" w:type="pct"/>
            <w:shd w:val="clear" w:color="auto" w:fill="auto"/>
            <w:noWrap/>
            <w:hideMark/>
          </w:tcPr>
          <w:p w14:paraId="5CCBB159" w14:textId="77777777" w:rsidR="00EB7374" w:rsidRPr="006E6EEB" w:rsidRDefault="00EB7374" w:rsidP="00C700EB">
            <w:pPr>
              <w:jc w:val="right"/>
              <w:rPr>
                <w:sz w:val="15"/>
                <w:szCs w:val="15"/>
              </w:rPr>
            </w:pPr>
            <w:r>
              <w:rPr>
                <w:sz w:val="15"/>
              </w:rPr>
              <w:t>18,464</w:t>
            </w:r>
          </w:p>
        </w:tc>
        <w:tc>
          <w:tcPr>
            <w:tcW w:w="546" w:type="pct"/>
            <w:shd w:val="clear" w:color="auto" w:fill="auto"/>
            <w:noWrap/>
            <w:hideMark/>
          </w:tcPr>
          <w:p w14:paraId="0D5F7E86" w14:textId="77777777" w:rsidR="00EB7374" w:rsidRPr="006E6EEB" w:rsidRDefault="00EB7374" w:rsidP="00C700EB">
            <w:pPr>
              <w:jc w:val="right"/>
              <w:rPr>
                <w:sz w:val="15"/>
                <w:szCs w:val="15"/>
              </w:rPr>
            </w:pPr>
            <w:r>
              <w:rPr>
                <w:sz w:val="15"/>
              </w:rPr>
              <w:t>9,189</w:t>
            </w:r>
          </w:p>
        </w:tc>
        <w:tc>
          <w:tcPr>
            <w:tcW w:w="546" w:type="pct"/>
          </w:tcPr>
          <w:p w14:paraId="23859055" w14:textId="77777777" w:rsidR="00EB7374" w:rsidRPr="006E6EEB" w:rsidRDefault="00EB7374" w:rsidP="00C700EB">
            <w:pPr>
              <w:jc w:val="right"/>
              <w:rPr>
                <w:sz w:val="15"/>
                <w:szCs w:val="15"/>
              </w:rPr>
            </w:pPr>
            <w:r>
              <w:rPr>
                <w:sz w:val="15"/>
              </w:rPr>
              <w:t>17,351</w:t>
            </w:r>
          </w:p>
        </w:tc>
      </w:tr>
      <w:tr w:rsidR="00EB7374" w:rsidRPr="006E6EEB" w14:paraId="24EBA67F" w14:textId="77777777" w:rsidTr="00C700EB">
        <w:trPr>
          <w:cantSplit/>
        </w:trPr>
        <w:tc>
          <w:tcPr>
            <w:tcW w:w="1176" w:type="pct"/>
            <w:shd w:val="clear" w:color="auto" w:fill="C9DED4"/>
            <w:noWrap/>
            <w:hideMark/>
          </w:tcPr>
          <w:p w14:paraId="2976B11C" w14:textId="77777777" w:rsidR="00EB7374" w:rsidRPr="006E6EEB" w:rsidRDefault="00EB7374" w:rsidP="00C700EB">
            <w:pPr>
              <w:jc w:val="left"/>
              <w:rPr>
                <w:b/>
                <w:bCs/>
                <w:color w:val="000000"/>
                <w:sz w:val="15"/>
                <w:szCs w:val="15"/>
              </w:rPr>
            </w:pPr>
            <w:r>
              <w:rPr>
                <w:b/>
                <w:bCs/>
                <w:color w:val="000000"/>
                <w:sz w:val="15"/>
              </w:rPr>
              <w:t>Passengers</w:t>
            </w:r>
            <w:r>
              <w:rPr>
                <w:color w:val="000000"/>
                <w:sz w:val="15"/>
              </w:rPr>
              <w:t xml:space="preserve"> (millions)</w:t>
            </w:r>
          </w:p>
        </w:tc>
        <w:tc>
          <w:tcPr>
            <w:tcW w:w="546" w:type="pct"/>
            <w:shd w:val="clear" w:color="auto" w:fill="C9DED4"/>
            <w:noWrap/>
            <w:hideMark/>
          </w:tcPr>
          <w:p w14:paraId="49755843" w14:textId="77777777" w:rsidR="00EB7374" w:rsidRPr="006E6EEB" w:rsidRDefault="00EB7374" w:rsidP="00C700EB">
            <w:pPr>
              <w:ind w:right="23"/>
              <w:jc w:val="right"/>
              <w:rPr>
                <w:b/>
                <w:bCs/>
                <w:color w:val="000000"/>
                <w:sz w:val="15"/>
                <w:szCs w:val="15"/>
              </w:rPr>
            </w:pPr>
            <w:r>
              <w:rPr>
                <w:b/>
                <w:color w:val="000000"/>
                <w:sz w:val="15"/>
              </w:rPr>
              <w:t>12.3</w:t>
            </w:r>
          </w:p>
        </w:tc>
        <w:tc>
          <w:tcPr>
            <w:tcW w:w="546" w:type="pct"/>
            <w:shd w:val="clear" w:color="auto" w:fill="C9DED4"/>
            <w:noWrap/>
            <w:hideMark/>
          </w:tcPr>
          <w:p w14:paraId="35C7DB0E" w14:textId="77777777" w:rsidR="00EB7374" w:rsidRPr="006E6EEB" w:rsidRDefault="00EB7374" w:rsidP="00C700EB">
            <w:pPr>
              <w:jc w:val="right"/>
              <w:rPr>
                <w:b/>
                <w:bCs/>
                <w:color w:val="000000"/>
                <w:sz w:val="15"/>
                <w:szCs w:val="15"/>
              </w:rPr>
            </w:pPr>
            <w:r>
              <w:rPr>
                <w:b/>
                <w:color w:val="000000"/>
                <w:sz w:val="15"/>
              </w:rPr>
              <w:t>13.1</w:t>
            </w:r>
          </w:p>
        </w:tc>
        <w:tc>
          <w:tcPr>
            <w:tcW w:w="546" w:type="pct"/>
            <w:shd w:val="clear" w:color="auto" w:fill="C9DED4"/>
            <w:noWrap/>
          </w:tcPr>
          <w:p w14:paraId="4F2B8452" w14:textId="77777777" w:rsidR="00EB7374" w:rsidRPr="006E6EEB" w:rsidRDefault="00EB7374" w:rsidP="00C700EB">
            <w:pPr>
              <w:ind w:right="9"/>
              <w:jc w:val="right"/>
              <w:rPr>
                <w:b/>
                <w:bCs/>
                <w:color w:val="000000"/>
                <w:sz w:val="15"/>
                <w:szCs w:val="15"/>
              </w:rPr>
            </w:pPr>
            <w:r>
              <w:rPr>
                <w:b/>
                <w:color w:val="000000"/>
                <w:sz w:val="15"/>
              </w:rPr>
              <w:t>13.8</w:t>
            </w:r>
          </w:p>
        </w:tc>
        <w:tc>
          <w:tcPr>
            <w:tcW w:w="546" w:type="pct"/>
            <w:shd w:val="clear" w:color="auto" w:fill="C9DED4"/>
            <w:noWrap/>
          </w:tcPr>
          <w:p w14:paraId="53802EA1" w14:textId="77777777" w:rsidR="00EB7374" w:rsidRPr="006E6EEB" w:rsidRDefault="00EB7374" w:rsidP="00C700EB">
            <w:pPr>
              <w:ind w:right="2"/>
              <w:jc w:val="right"/>
              <w:rPr>
                <w:b/>
                <w:bCs/>
                <w:color w:val="000000"/>
                <w:sz w:val="15"/>
                <w:szCs w:val="15"/>
              </w:rPr>
            </w:pPr>
            <w:r>
              <w:rPr>
                <w:b/>
                <w:color w:val="000000"/>
                <w:sz w:val="15"/>
              </w:rPr>
              <w:t>14.5</w:t>
            </w:r>
          </w:p>
        </w:tc>
        <w:tc>
          <w:tcPr>
            <w:tcW w:w="546" w:type="pct"/>
            <w:shd w:val="clear" w:color="auto" w:fill="C9DED4"/>
            <w:noWrap/>
          </w:tcPr>
          <w:p w14:paraId="7789C574" w14:textId="77777777" w:rsidR="00EB7374" w:rsidRPr="006E6EEB" w:rsidRDefault="00EB7374" w:rsidP="00C700EB">
            <w:pPr>
              <w:jc w:val="right"/>
              <w:rPr>
                <w:b/>
                <w:bCs/>
                <w:color w:val="000000"/>
                <w:sz w:val="15"/>
                <w:szCs w:val="15"/>
              </w:rPr>
            </w:pPr>
            <w:r>
              <w:rPr>
                <w:b/>
                <w:color w:val="000000"/>
                <w:sz w:val="15"/>
              </w:rPr>
              <w:t>14.4</w:t>
            </w:r>
          </w:p>
        </w:tc>
        <w:tc>
          <w:tcPr>
            <w:tcW w:w="546" w:type="pct"/>
            <w:shd w:val="clear" w:color="auto" w:fill="C9DED4"/>
            <w:noWrap/>
          </w:tcPr>
          <w:p w14:paraId="7B68F3B7" w14:textId="77777777" w:rsidR="00EB7374" w:rsidRPr="006E6EEB" w:rsidRDefault="00EB7374" w:rsidP="00C700EB">
            <w:pPr>
              <w:jc w:val="right"/>
              <w:rPr>
                <w:b/>
                <w:color w:val="000000"/>
                <w:sz w:val="15"/>
                <w:szCs w:val="15"/>
              </w:rPr>
            </w:pPr>
            <w:r>
              <w:rPr>
                <w:b/>
                <w:color w:val="000000"/>
                <w:sz w:val="15"/>
              </w:rPr>
              <w:t>5.5</w:t>
            </w:r>
          </w:p>
        </w:tc>
        <w:tc>
          <w:tcPr>
            <w:tcW w:w="546" w:type="pct"/>
            <w:shd w:val="clear" w:color="auto" w:fill="C9DED4"/>
          </w:tcPr>
          <w:p w14:paraId="045AA7FF" w14:textId="77777777" w:rsidR="00EB7374" w:rsidRPr="006E6EEB" w:rsidRDefault="00EB7374" w:rsidP="00C700EB">
            <w:pPr>
              <w:jc w:val="right"/>
              <w:rPr>
                <w:b/>
                <w:color w:val="000000"/>
                <w:sz w:val="15"/>
                <w:szCs w:val="15"/>
              </w:rPr>
            </w:pPr>
            <w:r>
              <w:rPr>
                <w:b/>
                <w:color w:val="000000"/>
                <w:sz w:val="15"/>
              </w:rPr>
              <w:t>10.8</w:t>
            </w:r>
          </w:p>
        </w:tc>
      </w:tr>
      <w:tr w:rsidR="00EB7374" w:rsidRPr="006E6EEB" w14:paraId="391521BE" w14:textId="77777777" w:rsidTr="00C700EB">
        <w:trPr>
          <w:cantSplit/>
        </w:trPr>
        <w:tc>
          <w:tcPr>
            <w:tcW w:w="1176" w:type="pct"/>
            <w:shd w:val="clear" w:color="auto" w:fill="auto"/>
            <w:noWrap/>
            <w:hideMark/>
          </w:tcPr>
          <w:p w14:paraId="7F5F2D33" w14:textId="77777777" w:rsidR="00EB7374" w:rsidRPr="006E6EEB" w:rsidRDefault="00EB7374" w:rsidP="00C700EB">
            <w:pPr>
              <w:jc w:val="left"/>
              <w:rPr>
                <w:color w:val="000000"/>
                <w:sz w:val="15"/>
                <w:szCs w:val="15"/>
              </w:rPr>
            </w:pPr>
            <w:r>
              <w:rPr>
                <w:color w:val="000000"/>
                <w:sz w:val="15"/>
              </w:rPr>
              <w:t xml:space="preserve">Embarked </w:t>
            </w:r>
          </w:p>
        </w:tc>
        <w:tc>
          <w:tcPr>
            <w:tcW w:w="546" w:type="pct"/>
            <w:shd w:val="clear" w:color="auto" w:fill="auto"/>
            <w:noWrap/>
            <w:hideMark/>
          </w:tcPr>
          <w:p w14:paraId="01560048" w14:textId="77777777" w:rsidR="00EB7374" w:rsidRPr="006E6EEB" w:rsidRDefault="00EB7374" w:rsidP="00C700EB">
            <w:pPr>
              <w:ind w:right="23"/>
              <w:jc w:val="right"/>
              <w:rPr>
                <w:color w:val="000000"/>
                <w:sz w:val="15"/>
                <w:szCs w:val="15"/>
              </w:rPr>
            </w:pPr>
            <w:r>
              <w:rPr>
                <w:color w:val="000000"/>
                <w:sz w:val="15"/>
              </w:rPr>
              <w:t>6.2</w:t>
            </w:r>
          </w:p>
        </w:tc>
        <w:tc>
          <w:tcPr>
            <w:tcW w:w="546" w:type="pct"/>
            <w:shd w:val="clear" w:color="auto" w:fill="auto"/>
            <w:noWrap/>
          </w:tcPr>
          <w:p w14:paraId="5B557C48" w14:textId="77777777" w:rsidR="00EB7374" w:rsidRPr="006E6EEB" w:rsidRDefault="00EB7374" w:rsidP="00C700EB">
            <w:pPr>
              <w:jc w:val="right"/>
              <w:rPr>
                <w:color w:val="000000"/>
                <w:sz w:val="15"/>
                <w:szCs w:val="15"/>
              </w:rPr>
            </w:pPr>
            <w:r>
              <w:rPr>
                <w:color w:val="000000"/>
                <w:sz w:val="15"/>
              </w:rPr>
              <w:t>6.6</w:t>
            </w:r>
          </w:p>
        </w:tc>
        <w:tc>
          <w:tcPr>
            <w:tcW w:w="546" w:type="pct"/>
            <w:shd w:val="clear" w:color="auto" w:fill="auto"/>
            <w:noWrap/>
          </w:tcPr>
          <w:p w14:paraId="798DC3D9" w14:textId="77777777" w:rsidR="00EB7374" w:rsidRPr="006E6EEB" w:rsidRDefault="00EB7374" w:rsidP="00C700EB">
            <w:pPr>
              <w:ind w:right="9"/>
              <w:jc w:val="right"/>
              <w:rPr>
                <w:color w:val="000000"/>
                <w:sz w:val="15"/>
                <w:szCs w:val="15"/>
              </w:rPr>
            </w:pPr>
            <w:r>
              <w:rPr>
                <w:color w:val="000000"/>
                <w:sz w:val="15"/>
              </w:rPr>
              <w:t>6.9</w:t>
            </w:r>
          </w:p>
        </w:tc>
        <w:tc>
          <w:tcPr>
            <w:tcW w:w="546" w:type="pct"/>
            <w:shd w:val="clear" w:color="auto" w:fill="auto"/>
            <w:noWrap/>
          </w:tcPr>
          <w:p w14:paraId="4E9F6480" w14:textId="77777777" w:rsidR="00EB7374" w:rsidRPr="006E6EEB" w:rsidRDefault="00EB7374" w:rsidP="00C700EB">
            <w:pPr>
              <w:ind w:right="2"/>
              <w:jc w:val="right"/>
              <w:rPr>
                <w:color w:val="000000"/>
                <w:sz w:val="15"/>
                <w:szCs w:val="15"/>
              </w:rPr>
            </w:pPr>
            <w:r>
              <w:rPr>
                <w:color w:val="000000"/>
                <w:sz w:val="15"/>
              </w:rPr>
              <w:t>7.3</w:t>
            </w:r>
          </w:p>
        </w:tc>
        <w:tc>
          <w:tcPr>
            <w:tcW w:w="546" w:type="pct"/>
            <w:shd w:val="clear" w:color="auto" w:fill="auto"/>
            <w:noWrap/>
          </w:tcPr>
          <w:p w14:paraId="53DF6854" w14:textId="77777777" w:rsidR="00EB7374" w:rsidRPr="006E6EEB" w:rsidRDefault="00EB7374" w:rsidP="00C700EB">
            <w:pPr>
              <w:jc w:val="right"/>
              <w:rPr>
                <w:color w:val="000000"/>
                <w:sz w:val="15"/>
                <w:szCs w:val="15"/>
              </w:rPr>
            </w:pPr>
            <w:r>
              <w:rPr>
                <w:color w:val="000000"/>
                <w:sz w:val="15"/>
              </w:rPr>
              <w:t>7.2</w:t>
            </w:r>
          </w:p>
        </w:tc>
        <w:tc>
          <w:tcPr>
            <w:tcW w:w="546" w:type="pct"/>
            <w:shd w:val="clear" w:color="auto" w:fill="auto"/>
            <w:noWrap/>
          </w:tcPr>
          <w:p w14:paraId="3CB23296" w14:textId="77777777" w:rsidR="00EB7374" w:rsidRPr="006E6EEB" w:rsidRDefault="00EB7374" w:rsidP="00C700EB">
            <w:pPr>
              <w:jc w:val="right"/>
              <w:rPr>
                <w:color w:val="000000"/>
                <w:sz w:val="15"/>
                <w:szCs w:val="15"/>
              </w:rPr>
            </w:pPr>
            <w:r>
              <w:rPr>
                <w:color w:val="000000"/>
                <w:sz w:val="15"/>
              </w:rPr>
              <w:t>2.7</w:t>
            </w:r>
          </w:p>
        </w:tc>
        <w:tc>
          <w:tcPr>
            <w:tcW w:w="546" w:type="pct"/>
          </w:tcPr>
          <w:p w14:paraId="1B4B76B1" w14:textId="77777777" w:rsidR="00EB7374" w:rsidRPr="006E6EEB" w:rsidRDefault="00EB7374" w:rsidP="00C700EB">
            <w:pPr>
              <w:jc w:val="right"/>
              <w:rPr>
                <w:color w:val="000000"/>
                <w:sz w:val="15"/>
                <w:szCs w:val="15"/>
              </w:rPr>
            </w:pPr>
            <w:r>
              <w:rPr>
                <w:color w:val="000000"/>
                <w:sz w:val="15"/>
              </w:rPr>
              <w:t>5.4</w:t>
            </w:r>
          </w:p>
        </w:tc>
      </w:tr>
      <w:tr w:rsidR="00EB7374" w:rsidRPr="006E6EEB" w14:paraId="54B0D462" w14:textId="77777777" w:rsidTr="00C700EB">
        <w:trPr>
          <w:cantSplit/>
        </w:trPr>
        <w:tc>
          <w:tcPr>
            <w:tcW w:w="1176" w:type="pct"/>
            <w:shd w:val="clear" w:color="auto" w:fill="C9DED4"/>
            <w:noWrap/>
            <w:hideMark/>
          </w:tcPr>
          <w:p w14:paraId="7ABC4DC3" w14:textId="77777777" w:rsidR="00EB7374" w:rsidRPr="006E6EEB" w:rsidRDefault="00EB7374" w:rsidP="00C700EB">
            <w:pPr>
              <w:ind w:left="113"/>
              <w:jc w:val="left"/>
              <w:rPr>
                <w:color w:val="000000"/>
                <w:sz w:val="15"/>
                <w:szCs w:val="15"/>
              </w:rPr>
            </w:pPr>
            <w:r>
              <w:rPr>
                <w:color w:val="000000"/>
                <w:sz w:val="15"/>
              </w:rPr>
              <w:t>Scheduled</w:t>
            </w:r>
          </w:p>
        </w:tc>
        <w:tc>
          <w:tcPr>
            <w:tcW w:w="546" w:type="pct"/>
            <w:shd w:val="clear" w:color="auto" w:fill="C9DED4"/>
            <w:noWrap/>
            <w:hideMark/>
          </w:tcPr>
          <w:p w14:paraId="25002695" w14:textId="77777777" w:rsidR="00EB7374" w:rsidRPr="006E6EEB" w:rsidRDefault="00EB7374" w:rsidP="00C700EB">
            <w:pPr>
              <w:ind w:right="23"/>
              <w:jc w:val="right"/>
              <w:rPr>
                <w:color w:val="000000"/>
                <w:sz w:val="15"/>
                <w:szCs w:val="15"/>
              </w:rPr>
            </w:pPr>
            <w:r>
              <w:rPr>
                <w:color w:val="000000"/>
                <w:sz w:val="15"/>
              </w:rPr>
              <w:t>5.6</w:t>
            </w:r>
          </w:p>
        </w:tc>
        <w:tc>
          <w:tcPr>
            <w:tcW w:w="546" w:type="pct"/>
            <w:shd w:val="clear" w:color="auto" w:fill="C9DED4"/>
            <w:noWrap/>
          </w:tcPr>
          <w:p w14:paraId="11D4D59C" w14:textId="77777777" w:rsidR="00EB7374" w:rsidRPr="006E6EEB" w:rsidRDefault="00EB7374" w:rsidP="00C700EB">
            <w:pPr>
              <w:jc w:val="right"/>
              <w:rPr>
                <w:color w:val="000000"/>
                <w:sz w:val="15"/>
                <w:szCs w:val="15"/>
              </w:rPr>
            </w:pPr>
            <w:r>
              <w:rPr>
                <w:color w:val="000000"/>
                <w:sz w:val="15"/>
              </w:rPr>
              <w:t>5.8</w:t>
            </w:r>
          </w:p>
        </w:tc>
        <w:tc>
          <w:tcPr>
            <w:tcW w:w="546" w:type="pct"/>
            <w:shd w:val="clear" w:color="auto" w:fill="C9DED4"/>
            <w:noWrap/>
          </w:tcPr>
          <w:p w14:paraId="2D136CFB" w14:textId="77777777" w:rsidR="00EB7374" w:rsidRPr="006E6EEB" w:rsidRDefault="00EB7374" w:rsidP="00C700EB">
            <w:pPr>
              <w:ind w:right="9"/>
              <w:jc w:val="right"/>
              <w:rPr>
                <w:color w:val="000000"/>
                <w:sz w:val="15"/>
                <w:szCs w:val="15"/>
              </w:rPr>
            </w:pPr>
            <w:r>
              <w:rPr>
                <w:color w:val="000000"/>
                <w:sz w:val="15"/>
              </w:rPr>
              <w:t>6.1</w:t>
            </w:r>
          </w:p>
        </w:tc>
        <w:tc>
          <w:tcPr>
            <w:tcW w:w="546" w:type="pct"/>
            <w:shd w:val="clear" w:color="auto" w:fill="C9DED4"/>
            <w:noWrap/>
          </w:tcPr>
          <w:p w14:paraId="5D48B292" w14:textId="77777777" w:rsidR="00EB7374" w:rsidRPr="006E6EEB" w:rsidRDefault="00EB7374" w:rsidP="00C700EB">
            <w:pPr>
              <w:ind w:right="2"/>
              <w:jc w:val="right"/>
              <w:rPr>
                <w:color w:val="000000"/>
                <w:sz w:val="15"/>
                <w:szCs w:val="15"/>
              </w:rPr>
            </w:pPr>
            <w:r>
              <w:rPr>
                <w:color w:val="000000"/>
                <w:sz w:val="15"/>
              </w:rPr>
              <w:t>6.5</w:t>
            </w:r>
          </w:p>
        </w:tc>
        <w:tc>
          <w:tcPr>
            <w:tcW w:w="546" w:type="pct"/>
            <w:shd w:val="clear" w:color="auto" w:fill="C9DED4"/>
            <w:noWrap/>
          </w:tcPr>
          <w:p w14:paraId="48F77FA1" w14:textId="77777777" w:rsidR="00EB7374" w:rsidRPr="006E6EEB" w:rsidRDefault="00EB7374" w:rsidP="00C700EB">
            <w:pPr>
              <w:jc w:val="right"/>
              <w:rPr>
                <w:color w:val="000000"/>
                <w:sz w:val="15"/>
                <w:szCs w:val="15"/>
              </w:rPr>
            </w:pPr>
            <w:r>
              <w:rPr>
                <w:color w:val="000000"/>
                <w:sz w:val="15"/>
              </w:rPr>
              <w:t>6.6</w:t>
            </w:r>
          </w:p>
        </w:tc>
        <w:tc>
          <w:tcPr>
            <w:tcW w:w="546" w:type="pct"/>
            <w:shd w:val="clear" w:color="auto" w:fill="C9DED4"/>
            <w:noWrap/>
          </w:tcPr>
          <w:p w14:paraId="59E80F3D" w14:textId="77777777" w:rsidR="00EB7374" w:rsidRPr="006E6EEB" w:rsidRDefault="00EB7374" w:rsidP="00C700EB">
            <w:pPr>
              <w:jc w:val="right"/>
              <w:rPr>
                <w:color w:val="000000"/>
                <w:sz w:val="15"/>
                <w:szCs w:val="15"/>
              </w:rPr>
            </w:pPr>
            <w:r>
              <w:rPr>
                <w:color w:val="000000"/>
                <w:sz w:val="15"/>
              </w:rPr>
              <w:t>2.6</w:t>
            </w:r>
          </w:p>
        </w:tc>
        <w:tc>
          <w:tcPr>
            <w:tcW w:w="546" w:type="pct"/>
            <w:shd w:val="clear" w:color="auto" w:fill="C9DED4"/>
          </w:tcPr>
          <w:p w14:paraId="369D8980" w14:textId="77777777" w:rsidR="00EB7374" w:rsidRPr="006E6EEB" w:rsidRDefault="00EB7374" w:rsidP="00C700EB">
            <w:pPr>
              <w:jc w:val="right"/>
              <w:rPr>
                <w:color w:val="000000"/>
                <w:sz w:val="15"/>
                <w:szCs w:val="15"/>
              </w:rPr>
            </w:pPr>
            <w:r>
              <w:rPr>
                <w:color w:val="000000"/>
                <w:sz w:val="15"/>
              </w:rPr>
              <w:t>5.0</w:t>
            </w:r>
          </w:p>
        </w:tc>
      </w:tr>
      <w:tr w:rsidR="00EB7374" w:rsidRPr="006E6EEB" w14:paraId="601054D8" w14:textId="77777777" w:rsidTr="00C700EB">
        <w:trPr>
          <w:cantSplit/>
        </w:trPr>
        <w:tc>
          <w:tcPr>
            <w:tcW w:w="1176" w:type="pct"/>
            <w:shd w:val="clear" w:color="auto" w:fill="auto"/>
            <w:noWrap/>
            <w:hideMark/>
          </w:tcPr>
          <w:p w14:paraId="1ED0881F" w14:textId="77777777" w:rsidR="00EB7374" w:rsidRPr="006E6EEB" w:rsidRDefault="00EB7374" w:rsidP="00C700EB">
            <w:pPr>
              <w:ind w:left="113"/>
              <w:jc w:val="left"/>
              <w:rPr>
                <w:color w:val="000000"/>
                <w:sz w:val="15"/>
                <w:szCs w:val="15"/>
              </w:rPr>
            </w:pPr>
            <w:r>
              <w:rPr>
                <w:color w:val="000000"/>
                <w:sz w:val="15"/>
              </w:rPr>
              <w:t xml:space="preserve">Charter </w:t>
            </w:r>
          </w:p>
        </w:tc>
        <w:tc>
          <w:tcPr>
            <w:tcW w:w="546" w:type="pct"/>
            <w:shd w:val="clear" w:color="auto" w:fill="auto"/>
            <w:noWrap/>
            <w:hideMark/>
          </w:tcPr>
          <w:p w14:paraId="4102E2E8" w14:textId="77777777" w:rsidR="00EB7374" w:rsidRPr="006E6EEB" w:rsidRDefault="00EB7374" w:rsidP="00C700EB">
            <w:pPr>
              <w:ind w:right="23"/>
              <w:jc w:val="right"/>
              <w:rPr>
                <w:color w:val="000000"/>
                <w:sz w:val="15"/>
                <w:szCs w:val="15"/>
              </w:rPr>
            </w:pPr>
            <w:r>
              <w:rPr>
                <w:color w:val="000000"/>
                <w:sz w:val="15"/>
              </w:rPr>
              <w:t>0.6</w:t>
            </w:r>
          </w:p>
        </w:tc>
        <w:tc>
          <w:tcPr>
            <w:tcW w:w="546" w:type="pct"/>
            <w:shd w:val="clear" w:color="auto" w:fill="auto"/>
            <w:noWrap/>
          </w:tcPr>
          <w:p w14:paraId="26C7A95C" w14:textId="77777777" w:rsidR="00EB7374" w:rsidRPr="006E6EEB" w:rsidRDefault="00EB7374" w:rsidP="00C700EB">
            <w:pPr>
              <w:jc w:val="right"/>
              <w:rPr>
                <w:color w:val="000000"/>
                <w:sz w:val="15"/>
                <w:szCs w:val="15"/>
              </w:rPr>
            </w:pPr>
            <w:r>
              <w:rPr>
                <w:color w:val="000000"/>
                <w:sz w:val="15"/>
              </w:rPr>
              <w:t>0.8</w:t>
            </w:r>
          </w:p>
        </w:tc>
        <w:tc>
          <w:tcPr>
            <w:tcW w:w="546" w:type="pct"/>
            <w:shd w:val="clear" w:color="auto" w:fill="auto"/>
            <w:noWrap/>
          </w:tcPr>
          <w:p w14:paraId="54B90869" w14:textId="77777777" w:rsidR="00EB7374" w:rsidRPr="006E6EEB" w:rsidRDefault="00EB7374" w:rsidP="00C700EB">
            <w:pPr>
              <w:ind w:right="9"/>
              <w:jc w:val="right"/>
              <w:rPr>
                <w:color w:val="000000"/>
                <w:sz w:val="15"/>
                <w:szCs w:val="15"/>
              </w:rPr>
            </w:pPr>
            <w:r>
              <w:rPr>
                <w:color w:val="000000"/>
                <w:sz w:val="15"/>
              </w:rPr>
              <w:t>0.8</w:t>
            </w:r>
          </w:p>
        </w:tc>
        <w:tc>
          <w:tcPr>
            <w:tcW w:w="546" w:type="pct"/>
            <w:shd w:val="clear" w:color="auto" w:fill="auto"/>
            <w:noWrap/>
          </w:tcPr>
          <w:p w14:paraId="598483C0" w14:textId="77777777" w:rsidR="00EB7374" w:rsidRPr="006E6EEB" w:rsidRDefault="00EB7374" w:rsidP="00C700EB">
            <w:pPr>
              <w:ind w:right="2"/>
              <w:jc w:val="right"/>
              <w:rPr>
                <w:color w:val="000000"/>
                <w:sz w:val="15"/>
                <w:szCs w:val="15"/>
              </w:rPr>
            </w:pPr>
            <w:r>
              <w:rPr>
                <w:color w:val="000000"/>
                <w:sz w:val="15"/>
              </w:rPr>
              <w:t>0.7</w:t>
            </w:r>
          </w:p>
        </w:tc>
        <w:tc>
          <w:tcPr>
            <w:tcW w:w="546" w:type="pct"/>
            <w:shd w:val="clear" w:color="auto" w:fill="auto"/>
            <w:noWrap/>
          </w:tcPr>
          <w:p w14:paraId="4BBF5443" w14:textId="77777777" w:rsidR="00EB7374" w:rsidRPr="006E6EEB" w:rsidRDefault="00EB7374" w:rsidP="00C700EB">
            <w:pPr>
              <w:jc w:val="right"/>
              <w:rPr>
                <w:color w:val="000000"/>
                <w:sz w:val="15"/>
                <w:szCs w:val="15"/>
              </w:rPr>
            </w:pPr>
            <w:r>
              <w:rPr>
                <w:color w:val="000000"/>
                <w:sz w:val="15"/>
              </w:rPr>
              <w:t>0.6</w:t>
            </w:r>
          </w:p>
        </w:tc>
        <w:tc>
          <w:tcPr>
            <w:tcW w:w="546" w:type="pct"/>
            <w:shd w:val="clear" w:color="auto" w:fill="auto"/>
            <w:noWrap/>
          </w:tcPr>
          <w:p w14:paraId="06105D51" w14:textId="77777777" w:rsidR="00EB7374" w:rsidRPr="006E6EEB" w:rsidRDefault="00EB7374" w:rsidP="00C700EB">
            <w:pPr>
              <w:jc w:val="right"/>
              <w:rPr>
                <w:color w:val="000000"/>
                <w:sz w:val="15"/>
                <w:szCs w:val="15"/>
              </w:rPr>
            </w:pPr>
            <w:r>
              <w:rPr>
                <w:color w:val="000000"/>
                <w:sz w:val="15"/>
              </w:rPr>
              <w:t>0.2</w:t>
            </w:r>
          </w:p>
        </w:tc>
        <w:tc>
          <w:tcPr>
            <w:tcW w:w="546" w:type="pct"/>
          </w:tcPr>
          <w:p w14:paraId="3CD8B123" w14:textId="77777777" w:rsidR="00EB7374" w:rsidRPr="006E6EEB" w:rsidRDefault="00EB7374" w:rsidP="00C700EB">
            <w:pPr>
              <w:jc w:val="right"/>
              <w:rPr>
                <w:color w:val="000000"/>
                <w:sz w:val="15"/>
                <w:szCs w:val="15"/>
              </w:rPr>
            </w:pPr>
            <w:r>
              <w:rPr>
                <w:color w:val="000000"/>
                <w:sz w:val="15"/>
              </w:rPr>
              <w:t>0.4</w:t>
            </w:r>
          </w:p>
        </w:tc>
      </w:tr>
      <w:tr w:rsidR="00EB7374" w:rsidRPr="006E6EEB" w14:paraId="263CCBA1" w14:textId="77777777" w:rsidTr="00C700EB">
        <w:trPr>
          <w:cantSplit/>
        </w:trPr>
        <w:tc>
          <w:tcPr>
            <w:tcW w:w="1176" w:type="pct"/>
            <w:shd w:val="clear" w:color="auto" w:fill="C9DED4"/>
            <w:noWrap/>
            <w:hideMark/>
          </w:tcPr>
          <w:p w14:paraId="6D93C718" w14:textId="77777777" w:rsidR="00EB7374" w:rsidRPr="006E6EEB" w:rsidRDefault="00EB7374" w:rsidP="00C700EB">
            <w:pPr>
              <w:jc w:val="left"/>
              <w:rPr>
                <w:sz w:val="15"/>
                <w:szCs w:val="15"/>
              </w:rPr>
            </w:pPr>
            <w:r>
              <w:rPr>
                <w:sz w:val="15"/>
              </w:rPr>
              <w:t xml:space="preserve">Disembarked </w:t>
            </w:r>
          </w:p>
        </w:tc>
        <w:tc>
          <w:tcPr>
            <w:tcW w:w="546" w:type="pct"/>
            <w:shd w:val="clear" w:color="auto" w:fill="C9DED4"/>
            <w:noWrap/>
            <w:hideMark/>
          </w:tcPr>
          <w:p w14:paraId="5949E1BF" w14:textId="77777777" w:rsidR="00EB7374" w:rsidRPr="006E6EEB" w:rsidRDefault="00EB7374" w:rsidP="00C700EB">
            <w:pPr>
              <w:ind w:right="23"/>
              <w:jc w:val="right"/>
              <w:rPr>
                <w:sz w:val="15"/>
                <w:szCs w:val="15"/>
              </w:rPr>
            </w:pPr>
            <w:r>
              <w:rPr>
                <w:sz w:val="15"/>
              </w:rPr>
              <w:t>6.1</w:t>
            </w:r>
          </w:p>
        </w:tc>
        <w:tc>
          <w:tcPr>
            <w:tcW w:w="546" w:type="pct"/>
            <w:shd w:val="clear" w:color="auto" w:fill="C9DED4"/>
            <w:noWrap/>
          </w:tcPr>
          <w:p w14:paraId="02664A50" w14:textId="77777777" w:rsidR="00EB7374" w:rsidRPr="006E6EEB" w:rsidRDefault="00EB7374" w:rsidP="00C700EB">
            <w:pPr>
              <w:jc w:val="right"/>
              <w:rPr>
                <w:sz w:val="15"/>
                <w:szCs w:val="15"/>
              </w:rPr>
            </w:pPr>
            <w:r>
              <w:rPr>
                <w:sz w:val="15"/>
              </w:rPr>
              <w:t>6.6</w:t>
            </w:r>
          </w:p>
        </w:tc>
        <w:tc>
          <w:tcPr>
            <w:tcW w:w="546" w:type="pct"/>
            <w:shd w:val="clear" w:color="auto" w:fill="C9DED4"/>
            <w:noWrap/>
          </w:tcPr>
          <w:p w14:paraId="293D7E16" w14:textId="77777777" w:rsidR="00EB7374" w:rsidRPr="006E6EEB" w:rsidRDefault="00EB7374" w:rsidP="00C700EB">
            <w:pPr>
              <w:ind w:right="9"/>
              <w:jc w:val="right"/>
              <w:rPr>
                <w:sz w:val="15"/>
                <w:szCs w:val="15"/>
              </w:rPr>
            </w:pPr>
            <w:r>
              <w:rPr>
                <w:sz w:val="15"/>
              </w:rPr>
              <w:t>6.8</w:t>
            </w:r>
          </w:p>
        </w:tc>
        <w:tc>
          <w:tcPr>
            <w:tcW w:w="546" w:type="pct"/>
            <w:shd w:val="clear" w:color="auto" w:fill="C9DED4"/>
            <w:noWrap/>
          </w:tcPr>
          <w:p w14:paraId="371ACD1D" w14:textId="77777777" w:rsidR="00EB7374" w:rsidRPr="006E6EEB" w:rsidRDefault="00EB7374" w:rsidP="00C700EB">
            <w:pPr>
              <w:ind w:right="2"/>
              <w:jc w:val="right"/>
              <w:rPr>
                <w:sz w:val="15"/>
                <w:szCs w:val="15"/>
              </w:rPr>
            </w:pPr>
            <w:r>
              <w:rPr>
                <w:sz w:val="15"/>
              </w:rPr>
              <w:t>7.2</w:t>
            </w:r>
          </w:p>
        </w:tc>
        <w:tc>
          <w:tcPr>
            <w:tcW w:w="546" w:type="pct"/>
            <w:shd w:val="clear" w:color="auto" w:fill="C9DED4"/>
            <w:noWrap/>
          </w:tcPr>
          <w:p w14:paraId="1A3BA814" w14:textId="77777777" w:rsidR="00EB7374" w:rsidRPr="006E6EEB" w:rsidRDefault="00EB7374" w:rsidP="00C700EB">
            <w:pPr>
              <w:jc w:val="right"/>
              <w:rPr>
                <w:sz w:val="15"/>
                <w:szCs w:val="15"/>
              </w:rPr>
            </w:pPr>
            <w:r>
              <w:rPr>
                <w:sz w:val="15"/>
              </w:rPr>
              <w:t>7.2</w:t>
            </w:r>
          </w:p>
        </w:tc>
        <w:tc>
          <w:tcPr>
            <w:tcW w:w="546" w:type="pct"/>
            <w:shd w:val="clear" w:color="auto" w:fill="C9DED4"/>
            <w:noWrap/>
          </w:tcPr>
          <w:p w14:paraId="7DABD93C" w14:textId="77777777" w:rsidR="00EB7374" w:rsidRPr="006E6EEB" w:rsidRDefault="00EB7374" w:rsidP="00C700EB">
            <w:pPr>
              <w:jc w:val="right"/>
              <w:rPr>
                <w:sz w:val="15"/>
                <w:szCs w:val="15"/>
              </w:rPr>
            </w:pPr>
            <w:r>
              <w:rPr>
                <w:sz w:val="15"/>
              </w:rPr>
              <w:t>2.7</w:t>
            </w:r>
          </w:p>
        </w:tc>
        <w:tc>
          <w:tcPr>
            <w:tcW w:w="546" w:type="pct"/>
            <w:shd w:val="clear" w:color="auto" w:fill="C9DED4"/>
          </w:tcPr>
          <w:p w14:paraId="44B9C80F" w14:textId="77777777" w:rsidR="00EB7374" w:rsidRPr="006E6EEB" w:rsidRDefault="00EB7374" w:rsidP="00C700EB">
            <w:pPr>
              <w:jc w:val="right"/>
              <w:rPr>
                <w:sz w:val="15"/>
                <w:szCs w:val="15"/>
              </w:rPr>
            </w:pPr>
            <w:r>
              <w:rPr>
                <w:sz w:val="15"/>
              </w:rPr>
              <w:t>5.4</w:t>
            </w:r>
          </w:p>
        </w:tc>
      </w:tr>
      <w:tr w:rsidR="00EB7374" w:rsidRPr="006E6EEB" w14:paraId="00B6EAEC" w14:textId="77777777" w:rsidTr="00C700EB">
        <w:trPr>
          <w:cantSplit/>
        </w:trPr>
        <w:tc>
          <w:tcPr>
            <w:tcW w:w="1176" w:type="pct"/>
            <w:shd w:val="clear" w:color="auto" w:fill="auto"/>
            <w:noWrap/>
            <w:hideMark/>
          </w:tcPr>
          <w:p w14:paraId="055CB3B6" w14:textId="77777777" w:rsidR="00EB7374" w:rsidRPr="006E6EEB" w:rsidRDefault="00EB7374" w:rsidP="00C700EB">
            <w:pPr>
              <w:ind w:left="113"/>
              <w:jc w:val="left"/>
              <w:rPr>
                <w:sz w:val="15"/>
                <w:szCs w:val="15"/>
              </w:rPr>
            </w:pPr>
            <w:r>
              <w:rPr>
                <w:sz w:val="15"/>
              </w:rPr>
              <w:t xml:space="preserve">Scheduled </w:t>
            </w:r>
          </w:p>
        </w:tc>
        <w:tc>
          <w:tcPr>
            <w:tcW w:w="546" w:type="pct"/>
            <w:shd w:val="clear" w:color="auto" w:fill="auto"/>
            <w:noWrap/>
            <w:hideMark/>
          </w:tcPr>
          <w:p w14:paraId="506706E3" w14:textId="77777777" w:rsidR="00EB7374" w:rsidRPr="006E6EEB" w:rsidRDefault="00EB7374" w:rsidP="00C700EB">
            <w:pPr>
              <w:ind w:right="23"/>
              <w:jc w:val="right"/>
              <w:rPr>
                <w:sz w:val="15"/>
                <w:szCs w:val="15"/>
              </w:rPr>
            </w:pPr>
            <w:r>
              <w:rPr>
                <w:sz w:val="15"/>
              </w:rPr>
              <w:t>5.5</w:t>
            </w:r>
          </w:p>
        </w:tc>
        <w:tc>
          <w:tcPr>
            <w:tcW w:w="546" w:type="pct"/>
            <w:shd w:val="clear" w:color="auto" w:fill="auto"/>
            <w:noWrap/>
          </w:tcPr>
          <w:p w14:paraId="1B800E08" w14:textId="77777777" w:rsidR="00EB7374" w:rsidRPr="006E6EEB" w:rsidRDefault="00EB7374" w:rsidP="00C700EB">
            <w:pPr>
              <w:jc w:val="right"/>
              <w:rPr>
                <w:sz w:val="15"/>
                <w:szCs w:val="15"/>
              </w:rPr>
            </w:pPr>
            <w:r>
              <w:rPr>
                <w:sz w:val="15"/>
              </w:rPr>
              <w:t>5.7</w:t>
            </w:r>
          </w:p>
        </w:tc>
        <w:tc>
          <w:tcPr>
            <w:tcW w:w="546" w:type="pct"/>
            <w:shd w:val="clear" w:color="auto" w:fill="auto"/>
            <w:noWrap/>
          </w:tcPr>
          <w:p w14:paraId="1AA6FB09" w14:textId="77777777" w:rsidR="00EB7374" w:rsidRPr="006E6EEB" w:rsidRDefault="00EB7374" w:rsidP="00C700EB">
            <w:pPr>
              <w:ind w:right="9"/>
              <w:jc w:val="right"/>
              <w:rPr>
                <w:sz w:val="15"/>
                <w:szCs w:val="15"/>
              </w:rPr>
            </w:pPr>
            <w:r>
              <w:rPr>
                <w:sz w:val="15"/>
              </w:rPr>
              <w:t>6.1</w:t>
            </w:r>
          </w:p>
        </w:tc>
        <w:tc>
          <w:tcPr>
            <w:tcW w:w="546" w:type="pct"/>
            <w:shd w:val="clear" w:color="auto" w:fill="auto"/>
            <w:noWrap/>
          </w:tcPr>
          <w:p w14:paraId="12F94F9B" w14:textId="77777777" w:rsidR="00EB7374" w:rsidRPr="006E6EEB" w:rsidRDefault="00EB7374" w:rsidP="00C700EB">
            <w:pPr>
              <w:ind w:right="2"/>
              <w:jc w:val="right"/>
              <w:rPr>
                <w:sz w:val="15"/>
                <w:szCs w:val="15"/>
              </w:rPr>
            </w:pPr>
            <w:r>
              <w:rPr>
                <w:sz w:val="15"/>
              </w:rPr>
              <w:t>6.5</w:t>
            </w:r>
          </w:p>
        </w:tc>
        <w:tc>
          <w:tcPr>
            <w:tcW w:w="546" w:type="pct"/>
            <w:shd w:val="clear" w:color="auto" w:fill="auto"/>
            <w:noWrap/>
          </w:tcPr>
          <w:p w14:paraId="016F9DCB" w14:textId="77777777" w:rsidR="00EB7374" w:rsidRPr="006E6EEB" w:rsidRDefault="00EB7374" w:rsidP="00C700EB">
            <w:pPr>
              <w:jc w:val="right"/>
              <w:rPr>
                <w:sz w:val="15"/>
                <w:szCs w:val="15"/>
              </w:rPr>
            </w:pPr>
            <w:r>
              <w:rPr>
                <w:sz w:val="15"/>
              </w:rPr>
              <w:t>6.6</w:t>
            </w:r>
          </w:p>
        </w:tc>
        <w:tc>
          <w:tcPr>
            <w:tcW w:w="546" w:type="pct"/>
            <w:shd w:val="clear" w:color="auto" w:fill="auto"/>
            <w:noWrap/>
          </w:tcPr>
          <w:p w14:paraId="320515DE" w14:textId="77777777" w:rsidR="00EB7374" w:rsidRPr="006E6EEB" w:rsidRDefault="00EB7374" w:rsidP="00C700EB">
            <w:pPr>
              <w:jc w:val="right"/>
              <w:rPr>
                <w:sz w:val="15"/>
                <w:szCs w:val="15"/>
              </w:rPr>
            </w:pPr>
            <w:r>
              <w:rPr>
                <w:sz w:val="15"/>
              </w:rPr>
              <w:t>2.6</w:t>
            </w:r>
          </w:p>
        </w:tc>
        <w:tc>
          <w:tcPr>
            <w:tcW w:w="546" w:type="pct"/>
          </w:tcPr>
          <w:p w14:paraId="0824A412" w14:textId="77777777" w:rsidR="00EB7374" w:rsidRPr="006E6EEB" w:rsidRDefault="00EB7374" w:rsidP="00C700EB">
            <w:pPr>
              <w:jc w:val="right"/>
              <w:rPr>
                <w:sz w:val="15"/>
                <w:szCs w:val="15"/>
              </w:rPr>
            </w:pPr>
            <w:r>
              <w:rPr>
                <w:sz w:val="15"/>
              </w:rPr>
              <w:t>5.0</w:t>
            </w:r>
          </w:p>
        </w:tc>
      </w:tr>
      <w:tr w:rsidR="00EB7374" w:rsidRPr="006E6EEB" w14:paraId="6D867FE0" w14:textId="77777777" w:rsidTr="00C700EB">
        <w:trPr>
          <w:cantSplit/>
        </w:trPr>
        <w:tc>
          <w:tcPr>
            <w:tcW w:w="1176" w:type="pct"/>
            <w:shd w:val="clear" w:color="auto" w:fill="C9DED4"/>
            <w:noWrap/>
            <w:hideMark/>
          </w:tcPr>
          <w:p w14:paraId="045F0730" w14:textId="77777777" w:rsidR="00EB7374" w:rsidRPr="006E6EEB" w:rsidRDefault="00EB7374" w:rsidP="00C700EB">
            <w:pPr>
              <w:ind w:left="113"/>
              <w:jc w:val="left"/>
              <w:rPr>
                <w:sz w:val="15"/>
                <w:szCs w:val="15"/>
              </w:rPr>
            </w:pPr>
            <w:r>
              <w:rPr>
                <w:sz w:val="15"/>
              </w:rPr>
              <w:t xml:space="preserve">Charter </w:t>
            </w:r>
          </w:p>
        </w:tc>
        <w:tc>
          <w:tcPr>
            <w:tcW w:w="546" w:type="pct"/>
            <w:shd w:val="clear" w:color="auto" w:fill="C9DED4"/>
            <w:noWrap/>
            <w:hideMark/>
          </w:tcPr>
          <w:p w14:paraId="4CA3750C" w14:textId="77777777" w:rsidR="00EB7374" w:rsidRPr="006E6EEB" w:rsidRDefault="00EB7374" w:rsidP="00C700EB">
            <w:pPr>
              <w:ind w:right="23"/>
              <w:jc w:val="right"/>
              <w:rPr>
                <w:sz w:val="15"/>
                <w:szCs w:val="15"/>
              </w:rPr>
            </w:pPr>
            <w:r>
              <w:rPr>
                <w:sz w:val="15"/>
              </w:rPr>
              <w:t>0.6</w:t>
            </w:r>
          </w:p>
        </w:tc>
        <w:tc>
          <w:tcPr>
            <w:tcW w:w="546" w:type="pct"/>
            <w:shd w:val="clear" w:color="auto" w:fill="C9DED4"/>
            <w:noWrap/>
          </w:tcPr>
          <w:p w14:paraId="35CE2852" w14:textId="77777777" w:rsidR="00EB7374" w:rsidRPr="006E6EEB" w:rsidRDefault="00EB7374" w:rsidP="00C700EB">
            <w:pPr>
              <w:jc w:val="right"/>
              <w:rPr>
                <w:sz w:val="15"/>
                <w:szCs w:val="15"/>
              </w:rPr>
            </w:pPr>
            <w:r>
              <w:rPr>
                <w:sz w:val="15"/>
              </w:rPr>
              <w:t>0.8</w:t>
            </w:r>
          </w:p>
        </w:tc>
        <w:tc>
          <w:tcPr>
            <w:tcW w:w="546" w:type="pct"/>
            <w:shd w:val="clear" w:color="auto" w:fill="C9DED4"/>
            <w:noWrap/>
          </w:tcPr>
          <w:p w14:paraId="40ED9141" w14:textId="77777777" w:rsidR="00EB7374" w:rsidRPr="006E6EEB" w:rsidRDefault="00EB7374" w:rsidP="00C700EB">
            <w:pPr>
              <w:ind w:right="9"/>
              <w:jc w:val="right"/>
              <w:rPr>
                <w:sz w:val="15"/>
                <w:szCs w:val="15"/>
              </w:rPr>
            </w:pPr>
            <w:r>
              <w:rPr>
                <w:sz w:val="15"/>
              </w:rPr>
              <w:t>0.8</w:t>
            </w:r>
          </w:p>
        </w:tc>
        <w:tc>
          <w:tcPr>
            <w:tcW w:w="546" w:type="pct"/>
            <w:shd w:val="clear" w:color="auto" w:fill="C9DED4"/>
            <w:noWrap/>
          </w:tcPr>
          <w:p w14:paraId="74EA3EAE" w14:textId="77777777" w:rsidR="00EB7374" w:rsidRPr="006E6EEB" w:rsidRDefault="00EB7374" w:rsidP="00C700EB">
            <w:pPr>
              <w:ind w:right="2"/>
              <w:jc w:val="right"/>
              <w:rPr>
                <w:sz w:val="15"/>
                <w:szCs w:val="15"/>
              </w:rPr>
            </w:pPr>
            <w:r>
              <w:rPr>
                <w:sz w:val="15"/>
              </w:rPr>
              <w:t>0.7</w:t>
            </w:r>
          </w:p>
        </w:tc>
        <w:tc>
          <w:tcPr>
            <w:tcW w:w="546" w:type="pct"/>
            <w:shd w:val="clear" w:color="auto" w:fill="C9DED4"/>
            <w:noWrap/>
          </w:tcPr>
          <w:p w14:paraId="597391C5" w14:textId="77777777" w:rsidR="00EB7374" w:rsidRPr="006E6EEB" w:rsidRDefault="00EB7374" w:rsidP="00C700EB">
            <w:pPr>
              <w:jc w:val="right"/>
              <w:rPr>
                <w:sz w:val="15"/>
                <w:szCs w:val="15"/>
              </w:rPr>
            </w:pPr>
            <w:r>
              <w:rPr>
                <w:sz w:val="15"/>
              </w:rPr>
              <w:t>0.6</w:t>
            </w:r>
          </w:p>
        </w:tc>
        <w:tc>
          <w:tcPr>
            <w:tcW w:w="546" w:type="pct"/>
            <w:shd w:val="clear" w:color="auto" w:fill="C9DED4"/>
            <w:noWrap/>
          </w:tcPr>
          <w:p w14:paraId="41AC1672" w14:textId="77777777" w:rsidR="00EB7374" w:rsidRPr="006E6EEB" w:rsidRDefault="00EB7374" w:rsidP="00C700EB">
            <w:pPr>
              <w:jc w:val="right"/>
              <w:rPr>
                <w:sz w:val="15"/>
                <w:szCs w:val="15"/>
              </w:rPr>
            </w:pPr>
            <w:r>
              <w:rPr>
                <w:sz w:val="15"/>
              </w:rPr>
              <w:t>0.2</w:t>
            </w:r>
          </w:p>
        </w:tc>
        <w:tc>
          <w:tcPr>
            <w:tcW w:w="546" w:type="pct"/>
            <w:shd w:val="clear" w:color="auto" w:fill="C9DED4"/>
          </w:tcPr>
          <w:p w14:paraId="01E5F221" w14:textId="77777777" w:rsidR="00EB7374" w:rsidRPr="006E6EEB" w:rsidRDefault="00EB7374" w:rsidP="00C700EB">
            <w:pPr>
              <w:jc w:val="right"/>
              <w:rPr>
                <w:sz w:val="15"/>
                <w:szCs w:val="15"/>
              </w:rPr>
            </w:pPr>
            <w:r>
              <w:rPr>
                <w:sz w:val="15"/>
              </w:rPr>
              <w:t>0.4</w:t>
            </w:r>
          </w:p>
        </w:tc>
      </w:tr>
      <w:tr w:rsidR="00EB7374" w:rsidRPr="006E6EEB" w14:paraId="6AEA5D1A" w14:textId="77777777" w:rsidTr="00C700EB">
        <w:trPr>
          <w:cantSplit/>
        </w:trPr>
        <w:tc>
          <w:tcPr>
            <w:tcW w:w="1176" w:type="pct"/>
            <w:shd w:val="clear" w:color="auto" w:fill="auto"/>
            <w:noWrap/>
          </w:tcPr>
          <w:p w14:paraId="5BE4B4CE" w14:textId="77777777" w:rsidR="00EB7374" w:rsidRPr="006E6EEB" w:rsidRDefault="00EB7374" w:rsidP="00C700EB">
            <w:pPr>
              <w:jc w:val="left"/>
              <w:rPr>
                <w:b/>
                <w:sz w:val="15"/>
                <w:szCs w:val="15"/>
              </w:rPr>
            </w:pPr>
            <w:r>
              <w:rPr>
                <w:b/>
                <w:bCs/>
                <w:sz w:val="15"/>
              </w:rPr>
              <w:t>Cargo</w:t>
            </w:r>
            <w:r>
              <w:rPr>
                <w:sz w:val="15"/>
              </w:rPr>
              <w:t xml:space="preserve"> (thousands of tonnes)</w:t>
            </w:r>
          </w:p>
        </w:tc>
        <w:tc>
          <w:tcPr>
            <w:tcW w:w="546" w:type="pct"/>
            <w:shd w:val="clear" w:color="auto" w:fill="auto"/>
            <w:noWrap/>
          </w:tcPr>
          <w:p w14:paraId="6FF91A20" w14:textId="77777777" w:rsidR="00EB7374" w:rsidRPr="006E6EEB" w:rsidRDefault="00EB7374" w:rsidP="00C700EB">
            <w:pPr>
              <w:ind w:right="23"/>
              <w:jc w:val="right"/>
              <w:rPr>
                <w:b/>
                <w:sz w:val="15"/>
                <w:szCs w:val="15"/>
              </w:rPr>
            </w:pPr>
            <w:r>
              <w:rPr>
                <w:b/>
                <w:sz w:val="15"/>
              </w:rPr>
              <w:t>105.4</w:t>
            </w:r>
          </w:p>
        </w:tc>
        <w:tc>
          <w:tcPr>
            <w:tcW w:w="546" w:type="pct"/>
            <w:shd w:val="clear" w:color="auto" w:fill="auto"/>
            <w:noWrap/>
          </w:tcPr>
          <w:p w14:paraId="426C2EEB" w14:textId="77777777" w:rsidR="00EB7374" w:rsidRPr="006E6EEB" w:rsidRDefault="00EB7374" w:rsidP="00C700EB">
            <w:pPr>
              <w:jc w:val="right"/>
              <w:rPr>
                <w:b/>
                <w:sz w:val="15"/>
                <w:szCs w:val="15"/>
              </w:rPr>
            </w:pPr>
            <w:r>
              <w:rPr>
                <w:b/>
                <w:sz w:val="15"/>
              </w:rPr>
              <w:t>112.2</w:t>
            </w:r>
          </w:p>
        </w:tc>
        <w:tc>
          <w:tcPr>
            <w:tcW w:w="546" w:type="pct"/>
            <w:shd w:val="clear" w:color="auto" w:fill="auto"/>
            <w:noWrap/>
          </w:tcPr>
          <w:p w14:paraId="4B50B96C" w14:textId="77777777" w:rsidR="00EB7374" w:rsidRPr="006E6EEB" w:rsidRDefault="00EB7374" w:rsidP="00C700EB">
            <w:pPr>
              <w:ind w:right="9"/>
              <w:jc w:val="right"/>
              <w:rPr>
                <w:b/>
                <w:sz w:val="15"/>
                <w:szCs w:val="15"/>
              </w:rPr>
            </w:pPr>
            <w:r>
              <w:rPr>
                <w:b/>
                <w:sz w:val="15"/>
              </w:rPr>
              <w:t>117.7</w:t>
            </w:r>
          </w:p>
        </w:tc>
        <w:tc>
          <w:tcPr>
            <w:tcW w:w="546" w:type="pct"/>
            <w:shd w:val="clear" w:color="auto" w:fill="auto"/>
            <w:noWrap/>
          </w:tcPr>
          <w:p w14:paraId="72E64C15" w14:textId="77777777" w:rsidR="00EB7374" w:rsidRPr="006E6EEB" w:rsidRDefault="00EB7374" w:rsidP="00C700EB">
            <w:pPr>
              <w:ind w:right="2"/>
              <w:jc w:val="right"/>
              <w:rPr>
                <w:b/>
                <w:sz w:val="15"/>
                <w:szCs w:val="15"/>
              </w:rPr>
            </w:pPr>
            <w:r>
              <w:rPr>
                <w:b/>
                <w:sz w:val="15"/>
              </w:rPr>
              <w:t>126.6</w:t>
            </w:r>
          </w:p>
        </w:tc>
        <w:tc>
          <w:tcPr>
            <w:tcW w:w="546" w:type="pct"/>
            <w:shd w:val="clear" w:color="auto" w:fill="auto"/>
            <w:noWrap/>
          </w:tcPr>
          <w:p w14:paraId="0801B865" w14:textId="77777777" w:rsidR="00EB7374" w:rsidRPr="006E6EEB" w:rsidRDefault="00EB7374" w:rsidP="00C700EB">
            <w:pPr>
              <w:jc w:val="right"/>
              <w:rPr>
                <w:b/>
                <w:sz w:val="15"/>
                <w:szCs w:val="15"/>
              </w:rPr>
            </w:pPr>
            <w:r>
              <w:rPr>
                <w:b/>
                <w:sz w:val="15"/>
              </w:rPr>
              <w:t>119.6</w:t>
            </w:r>
          </w:p>
        </w:tc>
        <w:tc>
          <w:tcPr>
            <w:tcW w:w="546" w:type="pct"/>
            <w:shd w:val="clear" w:color="auto" w:fill="auto"/>
            <w:noWrap/>
          </w:tcPr>
          <w:p w14:paraId="450BAA6C" w14:textId="77777777" w:rsidR="00EB7374" w:rsidRPr="006E6EEB" w:rsidRDefault="00EB7374" w:rsidP="00C700EB">
            <w:pPr>
              <w:jc w:val="right"/>
              <w:rPr>
                <w:b/>
                <w:sz w:val="15"/>
                <w:szCs w:val="15"/>
              </w:rPr>
            </w:pPr>
            <w:r>
              <w:rPr>
                <w:b/>
                <w:sz w:val="15"/>
              </w:rPr>
              <w:t>79.9</w:t>
            </w:r>
          </w:p>
        </w:tc>
        <w:tc>
          <w:tcPr>
            <w:tcW w:w="546" w:type="pct"/>
          </w:tcPr>
          <w:p w14:paraId="6B95BFC2" w14:textId="77777777" w:rsidR="00EB7374" w:rsidRPr="006E6EEB" w:rsidRDefault="00EB7374" w:rsidP="00C700EB">
            <w:pPr>
              <w:jc w:val="right"/>
              <w:rPr>
                <w:b/>
                <w:sz w:val="15"/>
                <w:szCs w:val="15"/>
              </w:rPr>
            </w:pPr>
            <w:r>
              <w:rPr>
                <w:b/>
                <w:sz w:val="15"/>
              </w:rPr>
              <w:t>97.2</w:t>
            </w:r>
          </w:p>
        </w:tc>
      </w:tr>
      <w:tr w:rsidR="00EB7374" w:rsidRPr="006E6EEB" w14:paraId="1FE288CB" w14:textId="77777777" w:rsidTr="00C700EB">
        <w:trPr>
          <w:cantSplit/>
        </w:trPr>
        <w:tc>
          <w:tcPr>
            <w:tcW w:w="1176" w:type="pct"/>
            <w:shd w:val="clear" w:color="auto" w:fill="C9DED4"/>
            <w:noWrap/>
            <w:hideMark/>
          </w:tcPr>
          <w:p w14:paraId="3C029061" w14:textId="77777777" w:rsidR="00EB7374" w:rsidRPr="006E6EEB" w:rsidRDefault="00EB7374" w:rsidP="00C700EB">
            <w:pPr>
              <w:ind w:left="113"/>
              <w:jc w:val="left"/>
              <w:rPr>
                <w:sz w:val="15"/>
                <w:szCs w:val="15"/>
              </w:rPr>
            </w:pPr>
            <w:r>
              <w:rPr>
                <w:sz w:val="15"/>
              </w:rPr>
              <w:t xml:space="preserve">Imports </w:t>
            </w:r>
          </w:p>
        </w:tc>
        <w:tc>
          <w:tcPr>
            <w:tcW w:w="546" w:type="pct"/>
            <w:shd w:val="clear" w:color="auto" w:fill="C9DED4"/>
            <w:noWrap/>
          </w:tcPr>
          <w:p w14:paraId="49699C4D" w14:textId="77777777" w:rsidR="00EB7374" w:rsidRPr="006E6EEB" w:rsidRDefault="00EB7374" w:rsidP="00C700EB">
            <w:pPr>
              <w:ind w:right="23"/>
              <w:jc w:val="right"/>
              <w:rPr>
                <w:sz w:val="15"/>
                <w:szCs w:val="15"/>
              </w:rPr>
            </w:pPr>
            <w:r>
              <w:rPr>
                <w:sz w:val="15"/>
              </w:rPr>
              <w:t>39.5</w:t>
            </w:r>
          </w:p>
        </w:tc>
        <w:tc>
          <w:tcPr>
            <w:tcW w:w="546" w:type="pct"/>
            <w:shd w:val="clear" w:color="auto" w:fill="C9DED4"/>
            <w:noWrap/>
          </w:tcPr>
          <w:p w14:paraId="739DFF40" w14:textId="77777777" w:rsidR="00EB7374" w:rsidRPr="006E6EEB" w:rsidRDefault="00EB7374" w:rsidP="00C700EB">
            <w:pPr>
              <w:jc w:val="right"/>
              <w:rPr>
                <w:sz w:val="15"/>
                <w:szCs w:val="15"/>
              </w:rPr>
            </w:pPr>
            <w:r>
              <w:rPr>
                <w:sz w:val="15"/>
              </w:rPr>
              <w:t>41.5</w:t>
            </w:r>
          </w:p>
        </w:tc>
        <w:tc>
          <w:tcPr>
            <w:tcW w:w="546" w:type="pct"/>
            <w:shd w:val="clear" w:color="auto" w:fill="C9DED4"/>
            <w:noWrap/>
          </w:tcPr>
          <w:p w14:paraId="0F562CD2" w14:textId="77777777" w:rsidR="00EB7374" w:rsidRPr="006E6EEB" w:rsidRDefault="00EB7374" w:rsidP="00C700EB">
            <w:pPr>
              <w:ind w:right="9"/>
              <w:jc w:val="right"/>
              <w:rPr>
                <w:sz w:val="15"/>
                <w:szCs w:val="15"/>
              </w:rPr>
            </w:pPr>
            <w:r>
              <w:rPr>
                <w:sz w:val="15"/>
              </w:rPr>
              <w:t>40.9</w:t>
            </w:r>
          </w:p>
        </w:tc>
        <w:tc>
          <w:tcPr>
            <w:tcW w:w="546" w:type="pct"/>
            <w:shd w:val="clear" w:color="auto" w:fill="C9DED4"/>
            <w:noWrap/>
          </w:tcPr>
          <w:p w14:paraId="78021D6C" w14:textId="77777777" w:rsidR="00EB7374" w:rsidRPr="006E6EEB" w:rsidRDefault="00EB7374" w:rsidP="00C700EB">
            <w:pPr>
              <w:ind w:right="2"/>
              <w:jc w:val="right"/>
              <w:rPr>
                <w:sz w:val="15"/>
                <w:szCs w:val="15"/>
              </w:rPr>
            </w:pPr>
            <w:r>
              <w:rPr>
                <w:sz w:val="15"/>
              </w:rPr>
              <w:t xml:space="preserve">43.3 </w:t>
            </w:r>
          </w:p>
        </w:tc>
        <w:tc>
          <w:tcPr>
            <w:tcW w:w="546" w:type="pct"/>
            <w:shd w:val="clear" w:color="auto" w:fill="C9DED4"/>
            <w:noWrap/>
          </w:tcPr>
          <w:p w14:paraId="042FADBA" w14:textId="77777777" w:rsidR="00EB7374" w:rsidRPr="006E6EEB" w:rsidRDefault="00EB7374" w:rsidP="00C700EB">
            <w:pPr>
              <w:jc w:val="right"/>
              <w:rPr>
                <w:sz w:val="15"/>
                <w:szCs w:val="15"/>
              </w:rPr>
            </w:pPr>
            <w:r>
              <w:rPr>
                <w:sz w:val="15"/>
              </w:rPr>
              <w:t>36.5</w:t>
            </w:r>
          </w:p>
        </w:tc>
        <w:tc>
          <w:tcPr>
            <w:tcW w:w="546" w:type="pct"/>
            <w:shd w:val="clear" w:color="auto" w:fill="C9DED4"/>
            <w:noWrap/>
          </w:tcPr>
          <w:p w14:paraId="342864DB" w14:textId="77777777" w:rsidR="00EB7374" w:rsidRPr="006E6EEB" w:rsidRDefault="00EB7374" w:rsidP="00C700EB">
            <w:pPr>
              <w:jc w:val="right"/>
              <w:rPr>
                <w:sz w:val="15"/>
                <w:szCs w:val="15"/>
              </w:rPr>
            </w:pPr>
            <w:r>
              <w:rPr>
                <w:sz w:val="15"/>
              </w:rPr>
              <w:t>27.0</w:t>
            </w:r>
          </w:p>
        </w:tc>
        <w:tc>
          <w:tcPr>
            <w:tcW w:w="546" w:type="pct"/>
            <w:shd w:val="clear" w:color="auto" w:fill="C9DED4"/>
          </w:tcPr>
          <w:p w14:paraId="0CB1E673" w14:textId="77777777" w:rsidR="00EB7374" w:rsidRPr="006E6EEB" w:rsidRDefault="00EB7374" w:rsidP="00C700EB">
            <w:pPr>
              <w:jc w:val="right"/>
              <w:rPr>
                <w:sz w:val="15"/>
                <w:szCs w:val="15"/>
              </w:rPr>
            </w:pPr>
            <w:r>
              <w:rPr>
                <w:sz w:val="15"/>
              </w:rPr>
              <w:t>32.0</w:t>
            </w:r>
          </w:p>
        </w:tc>
      </w:tr>
      <w:tr w:rsidR="00EB7374" w:rsidRPr="006E6EEB" w14:paraId="17D816A1" w14:textId="77777777" w:rsidTr="00C700EB">
        <w:trPr>
          <w:cantSplit/>
        </w:trPr>
        <w:tc>
          <w:tcPr>
            <w:tcW w:w="1176" w:type="pct"/>
            <w:shd w:val="clear" w:color="auto" w:fill="auto"/>
            <w:noWrap/>
            <w:hideMark/>
          </w:tcPr>
          <w:p w14:paraId="50A6A45E" w14:textId="77777777" w:rsidR="00EB7374" w:rsidRPr="006E6EEB" w:rsidRDefault="00EB7374" w:rsidP="00C700EB">
            <w:pPr>
              <w:ind w:left="113"/>
              <w:jc w:val="left"/>
              <w:rPr>
                <w:sz w:val="15"/>
                <w:szCs w:val="15"/>
              </w:rPr>
            </w:pPr>
            <w:r>
              <w:rPr>
                <w:sz w:val="15"/>
              </w:rPr>
              <w:t>Exports</w:t>
            </w:r>
          </w:p>
        </w:tc>
        <w:tc>
          <w:tcPr>
            <w:tcW w:w="546" w:type="pct"/>
            <w:shd w:val="clear" w:color="auto" w:fill="auto"/>
            <w:noWrap/>
          </w:tcPr>
          <w:p w14:paraId="23FC9513" w14:textId="77777777" w:rsidR="00EB7374" w:rsidRPr="006E6EEB" w:rsidRDefault="00EB7374" w:rsidP="00C700EB">
            <w:pPr>
              <w:ind w:right="23"/>
              <w:jc w:val="right"/>
              <w:rPr>
                <w:sz w:val="15"/>
                <w:szCs w:val="15"/>
              </w:rPr>
            </w:pPr>
            <w:r>
              <w:rPr>
                <w:sz w:val="15"/>
              </w:rPr>
              <w:t>65.9</w:t>
            </w:r>
          </w:p>
        </w:tc>
        <w:tc>
          <w:tcPr>
            <w:tcW w:w="546" w:type="pct"/>
            <w:shd w:val="clear" w:color="auto" w:fill="auto"/>
            <w:noWrap/>
          </w:tcPr>
          <w:p w14:paraId="2BEFB519" w14:textId="77777777" w:rsidR="00EB7374" w:rsidRPr="006E6EEB" w:rsidRDefault="00EB7374" w:rsidP="00C700EB">
            <w:pPr>
              <w:jc w:val="right"/>
              <w:rPr>
                <w:sz w:val="15"/>
                <w:szCs w:val="15"/>
              </w:rPr>
            </w:pPr>
            <w:r>
              <w:rPr>
                <w:sz w:val="15"/>
              </w:rPr>
              <w:t>71.7</w:t>
            </w:r>
          </w:p>
        </w:tc>
        <w:tc>
          <w:tcPr>
            <w:tcW w:w="546" w:type="pct"/>
            <w:shd w:val="clear" w:color="auto" w:fill="auto"/>
            <w:noWrap/>
          </w:tcPr>
          <w:p w14:paraId="26034697" w14:textId="77777777" w:rsidR="00EB7374" w:rsidRPr="006E6EEB" w:rsidRDefault="00EB7374" w:rsidP="00C700EB">
            <w:pPr>
              <w:ind w:right="9"/>
              <w:jc w:val="right"/>
              <w:rPr>
                <w:sz w:val="15"/>
                <w:szCs w:val="15"/>
              </w:rPr>
            </w:pPr>
            <w:r>
              <w:rPr>
                <w:sz w:val="15"/>
              </w:rPr>
              <w:t>76.8</w:t>
            </w:r>
          </w:p>
        </w:tc>
        <w:tc>
          <w:tcPr>
            <w:tcW w:w="546" w:type="pct"/>
            <w:shd w:val="clear" w:color="auto" w:fill="auto"/>
            <w:noWrap/>
          </w:tcPr>
          <w:p w14:paraId="66B7E5C5" w14:textId="77777777" w:rsidR="00EB7374" w:rsidRPr="006E6EEB" w:rsidRDefault="00EB7374" w:rsidP="00C700EB">
            <w:pPr>
              <w:ind w:right="2"/>
              <w:jc w:val="right"/>
              <w:rPr>
                <w:sz w:val="15"/>
                <w:szCs w:val="15"/>
              </w:rPr>
            </w:pPr>
            <w:r>
              <w:rPr>
                <w:sz w:val="15"/>
              </w:rPr>
              <w:t>83.3</w:t>
            </w:r>
          </w:p>
        </w:tc>
        <w:tc>
          <w:tcPr>
            <w:tcW w:w="546" w:type="pct"/>
            <w:shd w:val="clear" w:color="auto" w:fill="auto"/>
            <w:noWrap/>
          </w:tcPr>
          <w:p w14:paraId="37F6AB61" w14:textId="77777777" w:rsidR="00EB7374" w:rsidRPr="006E6EEB" w:rsidRDefault="00EB7374" w:rsidP="00C700EB">
            <w:pPr>
              <w:jc w:val="right"/>
              <w:rPr>
                <w:sz w:val="15"/>
                <w:szCs w:val="15"/>
              </w:rPr>
            </w:pPr>
            <w:r>
              <w:rPr>
                <w:sz w:val="15"/>
              </w:rPr>
              <w:t>83.1</w:t>
            </w:r>
          </w:p>
        </w:tc>
        <w:tc>
          <w:tcPr>
            <w:tcW w:w="546" w:type="pct"/>
            <w:shd w:val="clear" w:color="auto" w:fill="auto"/>
            <w:noWrap/>
          </w:tcPr>
          <w:p w14:paraId="0D1988E6" w14:textId="77777777" w:rsidR="00EB7374" w:rsidRPr="006E6EEB" w:rsidRDefault="00EB7374" w:rsidP="00C700EB">
            <w:pPr>
              <w:jc w:val="right"/>
              <w:rPr>
                <w:sz w:val="15"/>
                <w:szCs w:val="15"/>
              </w:rPr>
            </w:pPr>
            <w:r>
              <w:rPr>
                <w:sz w:val="15"/>
              </w:rPr>
              <w:t>52.9</w:t>
            </w:r>
          </w:p>
        </w:tc>
        <w:tc>
          <w:tcPr>
            <w:tcW w:w="546" w:type="pct"/>
          </w:tcPr>
          <w:p w14:paraId="27A59F2C" w14:textId="77777777" w:rsidR="00EB7374" w:rsidRPr="006E6EEB" w:rsidRDefault="00EB7374" w:rsidP="00C700EB">
            <w:pPr>
              <w:jc w:val="right"/>
              <w:rPr>
                <w:sz w:val="15"/>
                <w:szCs w:val="15"/>
              </w:rPr>
            </w:pPr>
            <w:r>
              <w:rPr>
                <w:sz w:val="15"/>
              </w:rPr>
              <w:t>65.2</w:t>
            </w:r>
          </w:p>
        </w:tc>
      </w:tr>
    </w:tbl>
    <w:p w14:paraId="57E8E871" w14:textId="77777777" w:rsidR="00EB7374" w:rsidRPr="00A4298B" w:rsidRDefault="00EB7374" w:rsidP="00B0434B">
      <w:pPr>
        <w:pStyle w:val="NoteText"/>
        <w:spacing w:before="120" w:after="240"/>
      </w:pPr>
      <w:r>
        <w:t>Source:</w:t>
      </w:r>
      <w:r>
        <w:tab/>
      </w:r>
      <w:r w:rsidRPr="00672C38">
        <w:rPr>
          <w:i/>
          <w:iCs/>
        </w:rPr>
        <w:t xml:space="preserve">Informe </w:t>
      </w:r>
      <w:proofErr w:type="spellStart"/>
      <w:r w:rsidRPr="00672C38">
        <w:rPr>
          <w:i/>
          <w:iCs/>
        </w:rPr>
        <w:t>Estadístico</w:t>
      </w:r>
      <w:proofErr w:type="spellEnd"/>
      <w:r w:rsidRPr="00672C38">
        <w:rPr>
          <w:i/>
          <w:iCs/>
        </w:rPr>
        <w:t xml:space="preserve"> del </w:t>
      </w:r>
      <w:proofErr w:type="spellStart"/>
      <w:r w:rsidRPr="00672C38">
        <w:rPr>
          <w:i/>
          <w:iCs/>
        </w:rPr>
        <w:t>Transporte</w:t>
      </w:r>
      <w:proofErr w:type="spellEnd"/>
      <w:r w:rsidRPr="00672C38">
        <w:rPr>
          <w:i/>
          <w:iCs/>
        </w:rPr>
        <w:t xml:space="preserve"> </w:t>
      </w:r>
      <w:proofErr w:type="spellStart"/>
      <w:r w:rsidRPr="00672C38">
        <w:rPr>
          <w:i/>
          <w:iCs/>
        </w:rPr>
        <w:t>Aéreo</w:t>
      </w:r>
      <w:proofErr w:type="spellEnd"/>
      <w:r w:rsidRPr="00672C38">
        <w:rPr>
          <w:i/>
          <w:iCs/>
        </w:rPr>
        <w:t xml:space="preserve"> de la República </w:t>
      </w:r>
      <w:proofErr w:type="spellStart"/>
      <w:r w:rsidRPr="00672C38">
        <w:rPr>
          <w:i/>
          <w:iCs/>
        </w:rPr>
        <w:t>Dominicana</w:t>
      </w:r>
      <w:proofErr w:type="spellEnd"/>
      <w:r w:rsidRPr="00672C38">
        <w:rPr>
          <w:i/>
          <w:iCs/>
        </w:rPr>
        <w:t xml:space="preserve"> 2021</w:t>
      </w:r>
      <w:r>
        <w:t xml:space="preserve">; </w:t>
      </w:r>
      <w:proofErr w:type="spellStart"/>
      <w:r w:rsidRPr="00672C38">
        <w:rPr>
          <w:i/>
          <w:iCs/>
        </w:rPr>
        <w:t>Reporte</w:t>
      </w:r>
      <w:proofErr w:type="spellEnd"/>
      <w:r w:rsidRPr="00672C38">
        <w:rPr>
          <w:i/>
          <w:iCs/>
        </w:rPr>
        <w:t xml:space="preserve"> </w:t>
      </w:r>
      <w:proofErr w:type="spellStart"/>
      <w:r w:rsidRPr="00672C38">
        <w:rPr>
          <w:i/>
          <w:iCs/>
        </w:rPr>
        <w:t>Histórico</w:t>
      </w:r>
      <w:proofErr w:type="spellEnd"/>
      <w:r w:rsidRPr="00672C38">
        <w:rPr>
          <w:i/>
          <w:iCs/>
        </w:rPr>
        <w:t xml:space="preserve"> de la Junta de </w:t>
      </w:r>
      <w:proofErr w:type="spellStart"/>
      <w:r w:rsidRPr="00672C38">
        <w:rPr>
          <w:i/>
          <w:iCs/>
        </w:rPr>
        <w:t>Aviación</w:t>
      </w:r>
      <w:proofErr w:type="spellEnd"/>
      <w:r w:rsidRPr="00672C38">
        <w:rPr>
          <w:i/>
          <w:iCs/>
        </w:rPr>
        <w:t xml:space="preserve"> Civil</w:t>
      </w:r>
      <w:r>
        <w:t xml:space="preserve">, National Statistics Office of the Civil Aviation Board (JAC); and information provided by </w:t>
      </w:r>
      <w:proofErr w:type="spellStart"/>
      <w:r>
        <w:t>IDAC</w:t>
      </w:r>
      <w:proofErr w:type="spellEnd"/>
      <w:r>
        <w:t>.</w:t>
      </w:r>
    </w:p>
    <w:p w14:paraId="1D2A1B9B" w14:textId="213FE979" w:rsidR="00EB7374" w:rsidRPr="00C23180" w:rsidRDefault="00EB7374" w:rsidP="00C80D98">
      <w:pPr>
        <w:pStyle w:val="BodyText"/>
        <w:rPr>
          <w:rFonts w:eastAsia="Calibri"/>
        </w:rPr>
      </w:pPr>
      <w:r>
        <w:t>In 2021, the country</w:t>
      </w:r>
      <w:r w:rsidR="00FE5A32">
        <w:t>'</w:t>
      </w:r>
      <w:r>
        <w:t xml:space="preserve">s main airports were Punta Cana and Las </w:t>
      </w:r>
      <w:proofErr w:type="spellStart"/>
      <w:r>
        <w:t>Américas</w:t>
      </w:r>
      <w:proofErr w:type="spellEnd"/>
      <w:r>
        <w:t xml:space="preserve"> (Santo</w:t>
      </w:r>
      <w:r w:rsidR="00714B55">
        <w:t> </w:t>
      </w:r>
      <w:r>
        <w:t xml:space="preserve">Domingo), which handled 40% and 35% of passenger arrivals, respectively, followed by </w:t>
      </w:r>
      <w:proofErr w:type="spellStart"/>
      <w:r>
        <w:t>Cibao</w:t>
      </w:r>
      <w:proofErr w:type="spellEnd"/>
      <w:r>
        <w:t xml:space="preserve"> (province of</w:t>
      </w:r>
      <w:r w:rsidR="00AB0994">
        <w:t> </w:t>
      </w:r>
      <w:r>
        <w:t>Santiago) (17%), while the other five airports handled less than 8% of passenger arrivals.</w:t>
      </w:r>
      <w:r w:rsidRPr="00C23180">
        <w:rPr>
          <w:rFonts w:eastAsia="Calibri"/>
          <w:vertAlign w:val="superscript"/>
        </w:rPr>
        <w:footnoteReference w:id="540"/>
      </w:r>
      <w:r>
        <w:t xml:space="preserve"> Air cargo is handled mainly by Santo</w:t>
      </w:r>
      <w:r w:rsidR="00AB0994">
        <w:t> </w:t>
      </w:r>
      <w:r>
        <w:t xml:space="preserve">Domingo (Las </w:t>
      </w:r>
      <w:proofErr w:type="spellStart"/>
      <w:r>
        <w:t>Américas</w:t>
      </w:r>
      <w:proofErr w:type="spellEnd"/>
      <w:r>
        <w:t xml:space="preserve">), </w:t>
      </w:r>
      <w:proofErr w:type="spellStart"/>
      <w:r>
        <w:t>Cibao</w:t>
      </w:r>
      <w:proofErr w:type="spellEnd"/>
      <w:r>
        <w:t>, Puerto</w:t>
      </w:r>
      <w:r w:rsidR="00AB0994">
        <w:t> </w:t>
      </w:r>
      <w:r>
        <w:t>Plata and Punta</w:t>
      </w:r>
      <w:r w:rsidR="00AB0994">
        <w:t> </w:t>
      </w:r>
      <w:r>
        <w:t>Cana</w:t>
      </w:r>
      <w:r w:rsidR="00AB0994">
        <w:t> </w:t>
      </w:r>
      <w:r>
        <w:t xml:space="preserve">Airports. </w:t>
      </w:r>
      <w:proofErr w:type="spellStart"/>
      <w:r>
        <w:t>Cibao</w:t>
      </w:r>
      <w:proofErr w:type="spellEnd"/>
      <w:r>
        <w:t xml:space="preserve"> Airport serves as a collection centre for exporting goods to the United</w:t>
      </w:r>
      <w:r w:rsidR="00AB0994">
        <w:t> </w:t>
      </w:r>
      <w:r>
        <w:t>States, while Punta Cana Airport is used for exporting goods to non-traditional destinations, due to the large number of charter flights travelling to and from there.</w:t>
      </w:r>
      <w:r w:rsidRPr="009B2A97">
        <w:rPr>
          <w:rFonts w:eastAsia="Calibri"/>
          <w:vertAlign w:val="superscript"/>
        </w:rPr>
        <w:footnoteReference w:id="541"/>
      </w:r>
    </w:p>
    <w:p w14:paraId="7371DA01" w14:textId="77777777" w:rsidR="00EB7374" w:rsidRPr="00274280" w:rsidRDefault="00EB7374" w:rsidP="00C80D98">
      <w:pPr>
        <w:pStyle w:val="BodyText"/>
        <w:rPr>
          <w:rFonts w:eastAsia="Calibri"/>
        </w:rPr>
      </w:pPr>
      <w:r>
        <w:t xml:space="preserve">Five out of the eight international airports are operated and managed under concession by the foreign company </w:t>
      </w:r>
      <w:proofErr w:type="spellStart"/>
      <w:r>
        <w:t>Aeropuertos</w:t>
      </w:r>
      <w:proofErr w:type="spellEnd"/>
      <w:r>
        <w:t xml:space="preserve"> </w:t>
      </w:r>
      <w:proofErr w:type="spellStart"/>
      <w:r>
        <w:t>Dominicanos</w:t>
      </w:r>
      <w:proofErr w:type="spellEnd"/>
      <w:r>
        <w:t xml:space="preserve"> </w:t>
      </w:r>
      <w:proofErr w:type="spellStart"/>
      <w:r>
        <w:t>Siglo</w:t>
      </w:r>
      <w:proofErr w:type="spellEnd"/>
      <w:r>
        <w:t xml:space="preserve"> XXI (</w:t>
      </w:r>
      <w:proofErr w:type="spellStart"/>
      <w:r>
        <w:t>AERODOM</w:t>
      </w:r>
      <w:proofErr w:type="spellEnd"/>
      <w:r>
        <w:t>).</w:t>
      </w:r>
      <w:r w:rsidRPr="00C23180">
        <w:rPr>
          <w:rFonts w:eastAsia="Calibri"/>
          <w:vertAlign w:val="superscript"/>
        </w:rPr>
        <w:footnoteReference w:id="542"/>
      </w:r>
      <w:r>
        <w:t xml:space="preserve"> The other three airports, including two high-traffic airports (Punta Cana and </w:t>
      </w:r>
      <w:proofErr w:type="spellStart"/>
      <w:r>
        <w:t>Cibao</w:t>
      </w:r>
      <w:proofErr w:type="spellEnd"/>
      <w:r>
        <w:t>), are operated by Dominican companies.</w:t>
      </w:r>
    </w:p>
    <w:p w14:paraId="71C54A40" w14:textId="77777777" w:rsidR="00EB7374" w:rsidRPr="00C23180" w:rsidRDefault="00EB7374" w:rsidP="00C80D98">
      <w:pPr>
        <w:pStyle w:val="BodyText"/>
        <w:rPr>
          <w:rFonts w:eastAsia="Calibri"/>
        </w:rPr>
      </w:pPr>
      <w:r>
        <w:t>The institutional framework for the sector is made up of the Dominican Civil Aviation Institute (</w:t>
      </w:r>
      <w:proofErr w:type="spellStart"/>
      <w:r>
        <w:t>IDAC</w:t>
      </w:r>
      <w:proofErr w:type="spellEnd"/>
      <w:r>
        <w:t>), an autonomous public body, and the Civil Aviation Board (JAC), an agency of the executive branch.</w:t>
      </w:r>
      <w:r w:rsidRPr="00C23180">
        <w:rPr>
          <w:rFonts w:eastAsia="Calibri"/>
          <w:vertAlign w:val="superscript"/>
        </w:rPr>
        <w:footnoteReference w:id="543"/>
      </w:r>
      <w:r>
        <w:t xml:space="preserve"> </w:t>
      </w:r>
      <w:proofErr w:type="spellStart"/>
      <w:r>
        <w:t>IDAC</w:t>
      </w:r>
      <w:proofErr w:type="spellEnd"/>
      <w:r>
        <w:t xml:space="preserve"> acts as the regulatory body and ensures air safety by providing, among other things, navigation services. The JAC is also an autonomous public body made up of a number of government entities and private-sector representatives. It is responsible for drawing up commercial air transport policy, regulating the economic aspects of air transport, negotiating agreements on air services and advising the President on all matters relating to commercial aviation.</w:t>
      </w:r>
    </w:p>
    <w:p w14:paraId="38BE7D0D" w14:textId="77777777" w:rsidR="00EB7374" w:rsidRPr="00C23180" w:rsidRDefault="00EB7374" w:rsidP="00C80D98">
      <w:pPr>
        <w:pStyle w:val="BodyText"/>
        <w:rPr>
          <w:rFonts w:eastAsia="Calibri"/>
        </w:rPr>
      </w:pPr>
      <w:r>
        <w:t>The Dominican Republic Air Transport Policy was adopted in 2010, but remained in force during the review period, as it is an open skies policy designed to develop tourism. For example, traffic rights are granted up to the Sixth Freedom of the air for passenger, cargo, and combined flights, and up to the Seventh Freedom for cargo-only flights.</w:t>
      </w:r>
      <w:r w:rsidRPr="00C23180">
        <w:rPr>
          <w:rStyle w:val="FootnoteReference"/>
          <w:rFonts w:eastAsia="Calibri"/>
        </w:rPr>
        <w:footnoteReference w:id="544"/>
      </w:r>
      <w:r>
        <w:t xml:space="preserve"> The policy also allows cooperation between airlines, free determination of capacity, freedom to set fares and multiple carrier designations for routes. The International Civil Aviation Organization (ICAO) estimates that, by implementing this policy, there has been an increase in the number of routes and of passengers, and in tourist spending, which has had a positive impact on Dominican GDP.</w:t>
      </w:r>
      <w:r w:rsidRPr="00C23180">
        <w:rPr>
          <w:rStyle w:val="FootnoteReference"/>
          <w:rFonts w:eastAsia="Calibri"/>
        </w:rPr>
        <w:footnoteReference w:id="545"/>
      </w:r>
      <w:r>
        <w:t xml:space="preserve"> However, despite this policy, the authorities reserve the right to limit the number of operators on specific routes. In </w:t>
      </w:r>
      <w:r>
        <w:lastRenderedPageBreak/>
        <w:t>addition, the domestic market is restricted to Dominican carriers and foreign carriers cannot provide cabotage services.</w:t>
      </w:r>
    </w:p>
    <w:p w14:paraId="7ED022AD" w14:textId="6C1773F6" w:rsidR="00EB7374" w:rsidRPr="00F54CD0" w:rsidRDefault="00EB7374" w:rsidP="00C80D98">
      <w:pPr>
        <w:pStyle w:val="BodyText"/>
        <w:rPr>
          <w:rFonts w:eastAsia="Calibri"/>
        </w:rPr>
      </w:pPr>
      <w:r>
        <w:t>Air transport is regulated by the Civil Aviation Law (LAC) and amendments thereto.</w:t>
      </w:r>
      <w:r w:rsidRPr="00C23180">
        <w:rPr>
          <w:rFonts w:eastAsia="Calibri"/>
          <w:vertAlign w:val="superscript"/>
        </w:rPr>
        <w:footnoteReference w:id="546"/>
      </w:r>
      <w:r>
        <w:t xml:space="preserve"> In 2018, an amendment was made to an article of the LAC relating to the restrictions on flight times for pilots and crews set out in a 1964 Law.</w:t>
      </w:r>
      <w:r w:rsidRPr="00C23180">
        <w:rPr>
          <w:rStyle w:val="FootnoteReference"/>
          <w:rFonts w:eastAsia="Calibri"/>
        </w:rPr>
        <w:footnoteReference w:id="547"/>
      </w:r>
      <w:r>
        <w:t xml:space="preserve"> During the review period, implementing regulations (Decree No. 376-16) were issued for the Law on Airport and Civil Aviation Security (Law No.</w:t>
      </w:r>
      <w:r w:rsidR="00AB0994">
        <w:t> </w:t>
      </w:r>
      <w:r>
        <w:t>188</w:t>
      </w:r>
      <w:r>
        <w:noBreakHyphen/>
        <w:t xml:space="preserve">11). </w:t>
      </w:r>
      <w:proofErr w:type="spellStart"/>
      <w:r>
        <w:t>IDAC</w:t>
      </w:r>
      <w:proofErr w:type="spellEnd"/>
      <w:r>
        <w:t xml:space="preserve"> Resolutions, particularly resolutions relating to Dominican Aeronautical Regulations (RAD), are a major component of civil aviation regulatory policy in the Dominican Republic.</w:t>
      </w:r>
    </w:p>
    <w:p w14:paraId="11CF4794" w14:textId="5C25740D" w:rsidR="00EB7374" w:rsidRPr="002E225A" w:rsidRDefault="00EB7374" w:rsidP="00C80D98">
      <w:pPr>
        <w:pStyle w:val="BodyText"/>
        <w:rPr>
          <w:rFonts w:eastAsia="Calibri"/>
        </w:rPr>
      </w:pPr>
      <w:r>
        <w:t>The LAC stipulates that, in order to be considered a Dominican airline, airlines must be companies incorporated under Dominican law and have the three following characteristics: (</w:t>
      </w:r>
      <w:proofErr w:type="spellStart"/>
      <w:r w:rsidR="00C14E6A">
        <w:t>i</w:t>
      </w:r>
      <w:proofErr w:type="spellEnd"/>
      <w:r>
        <w:t>)</w:t>
      </w:r>
      <w:r w:rsidR="00AB0994">
        <w:t> </w:t>
      </w:r>
      <w:r>
        <w:t>35% of the capital or substantial ownership is in the hands of Dominicans and the board of directors is composed of Dominicans in the same proportion; (</w:t>
      </w:r>
      <w:r w:rsidR="00C14E6A">
        <w:t>ii</w:t>
      </w:r>
      <w:r>
        <w:t>) half plus one of the other executives are Dominicans; and (</w:t>
      </w:r>
      <w:r w:rsidR="00C14E6A">
        <w:t>iii</w:t>
      </w:r>
      <w:r>
        <w:t>) the principal place of business is in the Dominican Republic. Airlines incorporated in the country with 100% foreign capital are also considered as Dominican airlines, provided that the investment has been authorized by the executive branch and has been made by an airline of international repute.</w:t>
      </w:r>
      <w:r w:rsidRPr="00C23180">
        <w:rPr>
          <w:rFonts w:eastAsia="Calibri"/>
          <w:vertAlign w:val="superscript"/>
        </w:rPr>
        <w:footnoteReference w:id="548"/>
      </w:r>
      <w:r>
        <w:t xml:space="preserve"> In 2021, the executive branch granted this exception for the first time to an airline with 100% foreign capital and has recognized it as a Dominican airline since then.</w:t>
      </w:r>
    </w:p>
    <w:p w14:paraId="57F9AEA3" w14:textId="77777777" w:rsidR="00EB7374" w:rsidRPr="00672C38" w:rsidRDefault="00EB7374" w:rsidP="00C80D98">
      <w:pPr>
        <w:pStyle w:val="BodyText"/>
      </w:pPr>
      <w:r>
        <w:t>There is currently no flag carrier airline in the Dominican Republic. In 2022, there were 16 medium-capacity national airlines.</w:t>
      </w:r>
      <w:r w:rsidRPr="00C23180">
        <w:rPr>
          <w:rFonts w:eastAsia="Calibri"/>
          <w:vertAlign w:val="superscript"/>
        </w:rPr>
        <w:footnoteReference w:id="549"/>
      </w:r>
      <w:r>
        <w:t xml:space="preserve"> National airline operators need an economic authorization certificate (CAE) from the JAC and an airline operator certificate (AOC) from the </w:t>
      </w:r>
      <w:proofErr w:type="spellStart"/>
      <w:r>
        <w:t>IDAC</w:t>
      </w:r>
      <w:proofErr w:type="spellEnd"/>
      <w:r>
        <w:t>. The CAE is issued for a specified route, for a renewable period of 10 years, and is conditional upon the approval of the executive branch.</w:t>
      </w:r>
      <w:r w:rsidRPr="00C23180">
        <w:rPr>
          <w:rFonts w:eastAsia="Calibri"/>
          <w:vertAlign w:val="superscript"/>
        </w:rPr>
        <w:footnoteReference w:id="550"/>
      </w:r>
      <w:r>
        <w:t xml:space="preserve"> During the review period, the CAEs of 10 national airlines were cancelled due to a failure to comply with the requirements stipulated in the LAC. All JAC decisions may be appealed within 10 days and, in 2022, the JAC issued the administrative procedure it applies as soon as it is determined that there has been a violation or breach of the LAC.</w:t>
      </w:r>
      <w:r w:rsidRPr="00C23180">
        <w:rPr>
          <w:rStyle w:val="FootnoteReference"/>
          <w:rFonts w:eastAsia="Calibri"/>
        </w:rPr>
        <w:footnoteReference w:id="551"/>
      </w:r>
      <w:r>
        <w:t xml:space="preserve"> The </w:t>
      </w:r>
      <w:proofErr w:type="spellStart"/>
      <w:r>
        <w:t>IDAC</w:t>
      </w:r>
      <w:proofErr w:type="spellEnd"/>
      <w:r>
        <w:t xml:space="preserve"> also suspends and revokes </w:t>
      </w:r>
      <w:proofErr w:type="spellStart"/>
      <w:r>
        <w:t>AOCs</w:t>
      </w:r>
      <w:proofErr w:type="spellEnd"/>
      <w:r>
        <w:t>, but statistics in this regard were not available.</w:t>
      </w:r>
    </w:p>
    <w:p w14:paraId="20AD940F" w14:textId="58155DE3" w:rsidR="00EB7374" w:rsidRPr="00241722" w:rsidRDefault="00EB7374" w:rsidP="00C80D98">
      <w:pPr>
        <w:pStyle w:val="BodyText"/>
        <w:rPr>
          <w:rFonts w:eastAsia="Calibri"/>
        </w:rPr>
      </w:pPr>
      <w:r>
        <w:t>International flights are operated in accordance with the air-service agreements and, in the absence of an agreement, under the principle of reciprocity. The JAC issues operating permits for foreign carriers operating scheduled flights and special licences for charter flights. Operating permits are valid for up to 10 years, non-transferable and issued for a specific route, and must be approved by the executive branch. In order to add a new route, the operating permit must be amended and the legal, economic and financial requirements must be met.</w:t>
      </w:r>
      <w:r w:rsidRPr="00C23180">
        <w:rPr>
          <w:rStyle w:val="FootnoteReference"/>
          <w:rFonts w:eastAsia="Calibri"/>
        </w:rPr>
        <w:footnoteReference w:id="552"/>
      </w:r>
      <w:r>
        <w:t xml:space="preserve"> Airlines applying for an operating permit must appoint a legal and/or business representative in the country. A total of 59</w:t>
      </w:r>
      <w:r w:rsidR="00AB0994">
        <w:t> </w:t>
      </w:r>
      <w:r>
        <w:t>foreign</w:t>
      </w:r>
      <w:r w:rsidR="00AB0994">
        <w:t> </w:t>
      </w:r>
      <w:r>
        <w:t>airlines held an operating licence in 2022. During the review period, two operating licences held by foreign airlines were cancelled.</w:t>
      </w:r>
    </w:p>
    <w:p w14:paraId="3E15CC0E" w14:textId="77777777" w:rsidR="00EB7374" w:rsidRPr="004A0A82" w:rsidRDefault="00EB7374" w:rsidP="00C80D98">
      <w:pPr>
        <w:pStyle w:val="BodyText"/>
        <w:rPr>
          <w:rFonts w:eastAsia="Calibri"/>
        </w:rPr>
      </w:pPr>
      <w:r>
        <w:t xml:space="preserve">Applications for special licences for charter flights are made through a company incorporated in the Dominican Republic and licensed by the JAC as a </w:t>
      </w:r>
      <w:proofErr w:type="spellStart"/>
      <w:r>
        <w:t>cosignee</w:t>
      </w:r>
      <w:proofErr w:type="spellEnd"/>
      <w:r>
        <w:t xml:space="preserve"> agent for aircrafts of foreign operators operating non-scheduled flights.</w:t>
      </w:r>
      <w:r w:rsidRPr="00C23180">
        <w:rPr>
          <w:rStyle w:val="FootnoteReference"/>
          <w:rFonts w:eastAsia="Calibri"/>
        </w:rPr>
        <w:footnoteReference w:id="553"/>
      </w:r>
      <w:r>
        <w:t xml:space="preserve"> A Dominican airline may act as a consignee agent, with the exception of a 100% foreign-owned airline. In 2022, just one company obtained a </w:t>
      </w:r>
      <w:proofErr w:type="spellStart"/>
      <w:r>
        <w:t>cosignee</w:t>
      </w:r>
      <w:proofErr w:type="spellEnd"/>
      <w:r>
        <w:t xml:space="preserve"> agent licence and 18 companies currently have this licence. There are no limitations on foreign ownership stakes in companies that provide </w:t>
      </w:r>
      <w:proofErr w:type="spellStart"/>
      <w:r>
        <w:t>cosignee</w:t>
      </w:r>
      <w:proofErr w:type="spellEnd"/>
      <w:r>
        <w:t xml:space="preserve"> agency services for non-scheduled (charter) flights.</w:t>
      </w:r>
    </w:p>
    <w:p w14:paraId="65420F4C" w14:textId="762B7452" w:rsidR="00EB7374" w:rsidRPr="00C23180" w:rsidRDefault="00EB7374" w:rsidP="00C80D98">
      <w:pPr>
        <w:pStyle w:val="BodyText"/>
        <w:rPr>
          <w:rFonts w:eastAsia="Calibri"/>
          <w:b/>
          <w:bCs/>
        </w:rPr>
      </w:pPr>
      <w:r>
        <w:t>Domestic and cabotage flights are reserved to Dominican-owned airlines. However, code</w:t>
      </w:r>
      <w:r w:rsidR="00CC048D">
        <w:noBreakHyphen/>
      </w:r>
      <w:r>
        <w:t>sharing agreements with foreign airlines on domestic flights are permitted.</w:t>
      </w:r>
      <w:r w:rsidRPr="00C23180">
        <w:rPr>
          <w:rStyle w:val="FootnoteReference"/>
          <w:rFonts w:eastAsia="Calibri"/>
        </w:rPr>
        <w:footnoteReference w:id="554"/>
      </w:r>
      <w:r>
        <w:t xml:space="preserve"> Airlines operating </w:t>
      </w:r>
      <w:r>
        <w:lastRenderedPageBreak/>
        <w:t>internal and cabotage flights must satisfy stricter substantial ownership and effective control criteria: (</w:t>
      </w:r>
      <w:proofErr w:type="spellStart"/>
      <w:r>
        <w:t>i</w:t>
      </w:r>
      <w:proofErr w:type="spellEnd"/>
      <w:r>
        <w:t>) belong to Dominicans (51% of the capital); (ii) be under the control of Dominican executives (two thirds); and (iii) maintain effective control over their fleet.</w:t>
      </w:r>
      <w:r w:rsidRPr="00C23180">
        <w:rPr>
          <w:rFonts w:eastAsia="Calibri"/>
          <w:vertAlign w:val="superscript"/>
        </w:rPr>
        <w:footnoteReference w:id="555"/>
      </w:r>
      <w:r>
        <w:t xml:space="preserve"> Cabotage is also reserved to Dominican-registered aircraft.</w:t>
      </w:r>
      <w:r w:rsidRPr="00C23180">
        <w:rPr>
          <w:rStyle w:val="FootnoteReference"/>
          <w:rFonts w:eastAsia="Calibri"/>
        </w:rPr>
        <w:footnoteReference w:id="556"/>
      </w:r>
      <w:r>
        <w:t xml:space="preserve"> Of the 16 national airlines (excluding the sole 100% foreign-owned airline), 14 fulfil the requirements for making cabotage flights.</w:t>
      </w:r>
    </w:p>
    <w:p w14:paraId="3251CB20" w14:textId="77777777" w:rsidR="00EB7374" w:rsidRPr="00C15492" w:rsidRDefault="00EB7374" w:rsidP="00C80D98">
      <w:pPr>
        <w:pStyle w:val="BodyText"/>
        <w:rPr>
          <w:rFonts w:eastAsia="Calibri"/>
          <w:b/>
          <w:bCs/>
        </w:rPr>
      </w:pPr>
      <w:r>
        <w:t>Foreign airlines may hire foreign aviation staff, while airlines under substantial Dominican ownership may only hire Dominican staff. In the event of a shortage of qualified staff, they may temporarily hire foreign aviation staff, provided that conditions of reciprocity are in force.</w:t>
      </w:r>
      <w:r w:rsidRPr="00C23180">
        <w:rPr>
          <w:rFonts w:eastAsia="Calibri"/>
          <w:vertAlign w:val="superscript"/>
        </w:rPr>
        <w:footnoteReference w:id="557"/>
      </w:r>
      <w:r>
        <w:t xml:space="preserve"> Dominican-registered aircraft may be maintained in workshops abroad which have a certificate issued by the civil aviation authority of an ICAO member State or which are covered by an Article 83 bis agreement under the Chicago Convention, and when this certificate is recognized or authenticated by </w:t>
      </w:r>
      <w:proofErr w:type="spellStart"/>
      <w:r>
        <w:t>IDAC</w:t>
      </w:r>
      <w:proofErr w:type="spellEnd"/>
      <w:r>
        <w:t>.</w:t>
      </w:r>
      <w:r w:rsidRPr="008B1C7E">
        <w:rPr>
          <w:rFonts w:eastAsia="Calibri"/>
          <w:vertAlign w:val="superscript"/>
        </w:rPr>
        <w:footnoteReference w:id="558"/>
      </w:r>
    </w:p>
    <w:p w14:paraId="06EA4F6A" w14:textId="35EC4955" w:rsidR="00EB7374" w:rsidRPr="00C23180" w:rsidRDefault="00EB7374" w:rsidP="00C80D98">
      <w:pPr>
        <w:pStyle w:val="BodyText"/>
        <w:rPr>
          <w:rFonts w:eastAsia="Calibri"/>
        </w:rPr>
      </w:pPr>
      <w:r>
        <w:t>Foreign airlines with an operating licence may freely sell their services in the country. Similarly, there are no restrictions on the activities of providers of computerized booking systems; not in terms of the number of travel agencies to which they may provide their services, nor in terms of requirements to be established in the country.</w:t>
      </w:r>
    </w:p>
    <w:p w14:paraId="65F53F3E" w14:textId="77777777" w:rsidR="00EB7374" w:rsidRPr="00C23180" w:rsidRDefault="00EB7374" w:rsidP="00C80D98">
      <w:pPr>
        <w:pStyle w:val="BodyText"/>
        <w:rPr>
          <w:bCs/>
        </w:rPr>
      </w:pPr>
      <w:r>
        <w:t>Both when entering and leaving the Dominican Republic, passengers must pay airport and aviation taxes</w:t>
      </w:r>
      <w:r w:rsidRPr="00C23180">
        <w:rPr>
          <w:rFonts w:eastAsia="Calibri"/>
          <w:vertAlign w:val="superscript"/>
        </w:rPr>
        <w:footnoteReference w:id="559"/>
      </w:r>
      <w:r>
        <w:t>; however, passengers travelling on to cruises do not have to pay these taxes.</w:t>
      </w:r>
      <w:r w:rsidRPr="00C23180">
        <w:rPr>
          <w:rStyle w:val="FootnoteReference"/>
          <w:rFonts w:eastAsia="Calibri"/>
        </w:rPr>
        <w:footnoteReference w:id="560"/>
      </w:r>
      <w:r>
        <w:t xml:space="preserve"> The </w:t>
      </w:r>
      <w:proofErr w:type="spellStart"/>
      <w:r>
        <w:t>IDAC</w:t>
      </w:r>
      <w:proofErr w:type="spellEnd"/>
      <w:r>
        <w:t xml:space="preserve"> collects the aviation tax of</w:t>
      </w:r>
      <w:r w:rsidRPr="000562B1">
        <w:t xml:space="preserve"> </w:t>
      </w:r>
      <w:r>
        <w:t>USD 14, which is included in the price of an air ticket, and distributes the revenue among various entities.</w:t>
      </w:r>
      <w:r w:rsidRPr="00C23180">
        <w:rPr>
          <w:rStyle w:val="FootnoteReference"/>
          <w:rFonts w:eastAsia="Calibri"/>
        </w:rPr>
        <w:footnoteReference w:id="561"/>
      </w:r>
      <w:r>
        <w:t xml:space="preserve"> The airport tax of USD 1.3 is fully collected by the airports. For airports operated under concession, these taxes form part of the profits earned by the concession holders. Between 2014 and 2022 (July), exemptions were granted to the concession holders for these airports on various taxes (including the </w:t>
      </w:r>
      <w:proofErr w:type="spellStart"/>
      <w:r>
        <w:t>ITBIS</w:t>
      </w:r>
      <w:proofErr w:type="spellEnd"/>
      <w:r>
        <w:t xml:space="preserve">, the </w:t>
      </w:r>
      <w:proofErr w:type="spellStart"/>
      <w:r>
        <w:t>ISC</w:t>
      </w:r>
      <w:proofErr w:type="spellEnd"/>
      <w:r>
        <w:t xml:space="preserve"> and lien) set out in the Concession Contract</w:t>
      </w:r>
      <w:r w:rsidRPr="008D261B">
        <w:rPr>
          <w:rStyle w:val="FootnoteReference"/>
          <w:bCs/>
        </w:rPr>
        <w:footnoteReference w:id="562"/>
      </w:r>
      <w:r>
        <w:t>, in the amount of DOP 755.8 million.</w:t>
      </w:r>
    </w:p>
    <w:p w14:paraId="0C880E09" w14:textId="77777777" w:rsidR="00EB7374" w:rsidRPr="00C23180" w:rsidRDefault="00EB7374" w:rsidP="00C80D98">
      <w:pPr>
        <w:pStyle w:val="BodyText"/>
        <w:rPr>
          <w:rFonts w:eastAsia="Calibri"/>
        </w:rPr>
      </w:pPr>
      <w:r>
        <w:t xml:space="preserve">In 2021, </w:t>
      </w:r>
      <w:proofErr w:type="spellStart"/>
      <w:r>
        <w:t>IDAC</w:t>
      </w:r>
      <w:proofErr w:type="spellEnd"/>
      <w:r>
        <w:t xml:space="preserve"> approved the requirements for granting licences to build airports, aerodromes, runways and heliports.</w:t>
      </w:r>
      <w:r w:rsidRPr="00C23180">
        <w:rPr>
          <w:rStyle w:val="FootnoteReference"/>
          <w:rFonts w:eastAsia="Calibri"/>
        </w:rPr>
        <w:footnoteReference w:id="563"/>
      </w:r>
      <w:r>
        <w:t xml:space="preserve"> The authorities have stated that this approval procedure will be useful in developing public-private partnerships in this area.</w:t>
      </w:r>
    </w:p>
    <w:p w14:paraId="5A8F20F2" w14:textId="77777777" w:rsidR="00EB7374" w:rsidRPr="00C23180" w:rsidRDefault="00EB7374" w:rsidP="00C80D98">
      <w:pPr>
        <w:pStyle w:val="BodyText"/>
        <w:rPr>
          <w:rFonts w:eastAsia="Calibri"/>
        </w:rPr>
      </w:pPr>
      <w:r>
        <w:t>During the review period, 27 bilateral agreements on air transport were negotiated, either Air Service Agreements (ASA) or Memorandum of Understanding (MoU), giving a total of 70 bilateral agreements in force (Table 4.15). The Dominican Republic has also signed two plurilateral agreements.</w:t>
      </w:r>
      <w:r w:rsidRPr="00C23180">
        <w:rPr>
          <w:rStyle w:val="FootnoteReference"/>
          <w:rFonts w:eastAsia="Calibri"/>
        </w:rPr>
        <w:footnoteReference w:id="564"/>
      </w:r>
      <w:r>
        <w:t xml:space="preserve"> Under a Memorandum of Understanding, the Dominican Republic and other member States of the Latin American Civil Aviation Commission reached a reciprocal agreement on exercising seventh-freedom traffic rights for cargo flights between 2020 and 2021. In general, the scope of the agreements reached by the Dominican Republic reflect the open skies commercial aviation policy adopted in 2010.</w:t>
      </w:r>
      <w:bookmarkStart w:id="393" w:name="_Toc114735851"/>
      <w:bookmarkStart w:id="394" w:name="_Toc434225435"/>
    </w:p>
    <w:p w14:paraId="3FEFCE2A" w14:textId="77777777" w:rsidR="00EB7374" w:rsidRPr="006E6EEB" w:rsidRDefault="00EB7374" w:rsidP="00A55A6F">
      <w:pPr>
        <w:pStyle w:val="Caption"/>
      </w:pPr>
      <w:bookmarkStart w:id="395" w:name="_Toc117238069"/>
      <w:r>
        <w:t xml:space="preserve">Table </w:t>
      </w:r>
      <w:r w:rsidR="00BD37F2">
        <w:fldChar w:fldCharType="begin"/>
      </w:r>
      <w:r w:rsidR="00BD37F2">
        <w:instrText xml:space="preserve"> STYLEREF 1 \s </w:instrText>
      </w:r>
      <w:r w:rsidR="00BD37F2">
        <w:fldChar w:fldCharType="separate"/>
      </w:r>
      <w:r>
        <w:rPr>
          <w:noProof/>
        </w:rPr>
        <w:t>4</w:t>
      </w:r>
      <w:r w:rsidR="00BD37F2">
        <w:rPr>
          <w:noProof/>
        </w:rPr>
        <w:fldChar w:fldCharType="end"/>
      </w:r>
      <w:r>
        <w:t>.</w:t>
      </w:r>
      <w:r w:rsidR="00BD37F2">
        <w:fldChar w:fldCharType="begin"/>
      </w:r>
      <w:r w:rsidR="00BD37F2">
        <w:instrText xml:space="preserve"> SEQ Table \* ARABIC \s 1 </w:instrText>
      </w:r>
      <w:r w:rsidR="00BD37F2">
        <w:fldChar w:fldCharType="separate"/>
      </w:r>
      <w:r>
        <w:rPr>
          <w:noProof/>
        </w:rPr>
        <w:t>15</w:t>
      </w:r>
      <w:r w:rsidR="00BD37F2">
        <w:rPr>
          <w:noProof/>
        </w:rPr>
        <w:fldChar w:fldCharType="end"/>
      </w:r>
      <w:r>
        <w:t xml:space="preserve"> Air service agreement modalities: bilateral agreements</w:t>
      </w:r>
      <w:bookmarkEnd w:id="393"/>
      <w:bookmarkEnd w:id="395"/>
      <w:r>
        <w:t xml:space="preserve"> </w:t>
      </w:r>
      <w:bookmarkEnd w:id="394"/>
    </w:p>
    <w:tbl>
      <w:tblPr>
        <w:tblStyle w:val="WTOTable1"/>
        <w:tblW w:w="5000" w:type="pct"/>
        <w:tblLayout w:type="fixed"/>
        <w:tblLook w:val="04A0" w:firstRow="1" w:lastRow="0" w:firstColumn="1" w:lastColumn="0" w:noHBand="0" w:noVBand="1"/>
      </w:tblPr>
      <w:tblGrid>
        <w:gridCol w:w="2324"/>
        <w:gridCol w:w="1217"/>
        <w:gridCol w:w="848"/>
        <w:gridCol w:w="1001"/>
        <w:gridCol w:w="1224"/>
        <w:gridCol w:w="1244"/>
        <w:gridCol w:w="1158"/>
      </w:tblGrid>
      <w:tr w:rsidR="00EB7374" w:rsidRPr="00381A8B" w14:paraId="07519932" w14:textId="77777777" w:rsidTr="00C700EB">
        <w:trPr>
          <w:cnfStyle w:val="100000000000" w:firstRow="1" w:lastRow="0" w:firstColumn="0" w:lastColumn="0" w:oddVBand="0" w:evenVBand="0" w:oddHBand="0" w:evenHBand="0" w:firstRowFirstColumn="0" w:firstRowLastColumn="0" w:lastRowFirstColumn="0" w:lastRowLastColumn="0"/>
          <w:tblHeader/>
        </w:trPr>
        <w:tc>
          <w:tcPr>
            <w:tcW w:w="1289" w:type="pct"/>
            <w:vMerge w:val="restart"/>
            <w:vAlign w:val="center"/>
          </w:tcPr>
          <w:p w14:paraId="6DC4EA76" w14:textId="77777777" w:rsidR="00EB7374" w:rsidRPr="00381A8B" w:rsidRDefault="00EB7374" w:rsidP="00C700EB">
            <w:pPr>
              <w:jc w:val="left"/>
              <w:rPr>
                <w:b w:val="0"/>
                <w:sz w:val="15"/>
                <w:szCs w:val="15"/>
              </w:rPr>
            </w:pPr>
            <w:r>
              <w:rPr>
                <w:sz w:val="15"/>
              </w:rPr>
              <w:t xml:space="preserve">Partner </w:t>
            </w:r>
          </w:p>
        </w:tc>
        <w:tc>
          <w:tcPr>
            <w:tcW w:w="675" w:type="pct"/>
            <w:vMerge w:val="restart"/>
            <w:vAlign w:val="center"/>
          </w:tcPr>
          <w:p w14:paraId="36639C77" w14:textId="77777777" w:rsidR="00EB7374" w:rsidRPr="00381A8B" w:rsidRDefault="00EB7374" w:rsidP="00C700EB">
            <w:pPr>
              <w:jc w:val="center"/>
              <w:rPr>
                <w:b w:val="0"/>
                <w:sz w:val="15"/>
                <w:szCs w:val="15"/>
              </w:rPr>
            </w:pPr>
            <w:r>
              <w:rPr>
                <w:sz w:val="15"/>
              </w:rPr>
              <w:t>Year signed</w:t>
            </w:r>
          </w:p>
        </w:tc>
        <w:tc>
          <w:tcPr>
            <w:tcW w:w="1704" w:type="pct"/>
            <w:gridSpan w:val="3"/>
            <w:tcBorders>
              <w:bottom w:val="single" w:sz="4" w:space="0" w:color="auto"/>
            </w:tcBorders>
            <w:vAlign w:val="center"/>
          </w:tcPr>
          <w:p w14:paraId="267654C7" w14:textId="77777777" w:rsidR="00EB7374" w:rsidRPr="00381A8B" w:rsidRDefault="00EB7374" w:rsidP="00C700EB">
            <w:pPr>
              <w:jc w:val="center"/>
              <w:rPr>
                <w:b w:val="0"/>
                <w:sz w:val="15"/>
                <w:szCs w:val="15"/>
              </w:rPr>
            </w:pPr>
            <w:proofErr w:type="spellStart"/>
            <w:r>
              <w:rPr>
                <w:sz w:val="15"/>
              </w:rPr>
              <w:t>Freedom</w:t>
            </w:r>
            <w:r>
              <w:rPr>
                <w:sz w:val="15"/>
                <w:vertAlign w:val="superscript"/>
              </w:rPr>
              <w:t>a</w:t>
            </w:r>
            <w:proofErr w:type="spellEnd"/>
          </w:p>
        </w:tc>
        <w:tc>
          <w:tcPr>
            <w:tcW w:w="1332" w:type="pct"/>
            <w:gridSpan w:val="2"/>
            <w:tcBorders>
              <w:bottom w:val="single" w:sz="4" w:space="0" w:color="auto"/>
            </w:tcBorders>
            <w:vAlign w:val="center"/>
          </w:tcPr>
          <w:p w14:paraId="249F1E14" w14:textId="77777777" w:rsidR="00EB7374" w:rsidRPr="00381A8B" w:rsidRDefault="00EB7374" w:rsidP="00C700EB">
            <w:pPr>
              <w:jc w:val="center"/>
              <w:rPr>
                <w:b w:val="0"/>
                <w:sz w:val="15"/>
                <w:szCs w:val="15"/>
              </w:rPr>
            </w:pPr>
            <w:r>
              <w:rPr>
                <w:sz w:val="15"/>
              </w:rPr>
              <w:t>Clause</w:t>
            </w:r>
          </w:p>
        </w:tc>
      </w:tr>
      <w:tr w:rsidR="00EB7374" w:rsidRPr="00381A8B" w14:paraId="0F7786B5" w14:textId="77777777" w:rsidTr="00C700EB">
        <w:trPr>
          <w:cnfStyle w:val="100000000000" w:firstRow="1" w:lastRow="0" w:firstColumn="0" w:lastColumn="0" w:oddVBand="0" w:evenVBand="0" w:oddHBand="0" w:evenHBand="0" w:firstRowFirstColumn="0" w:firstRowLastColumn="0" w:lastRowFirstColumn="0" w:lastRowLastColumn="0"/>
          <w:tblHeader/>
        </w:trPr>
        <w:tc>
          <w:tcPr>
            <w:tcW w:w="1289" w:type="pct"/>
            <w:vMerge/>
            <w:vAlign w:val="center"/>
          </w:tcPr>
          <w:p w14:paraId="606EC1EB" w14:textId="77777777" w:rsidR="00EB7374" w:rsidRPr="00381A8B" w:rsidRDefault="00EB7374" w:rsidP="00C700EB">
            <w:pPr>
              <w:jc w:val="left"/>
              <w:rPr>
                <w:b w:val="0"/>
                <w:sz w:val="15"/>
                <w:szCs w:val="15"/>
              </w:rPr>
            </w:pPr>
          </w:p>
        </w:tc>
        <w:tc>
          <w:tcPr>
            <w:tcW w:w="675" w:type="pct"/>
            <w:vMerge/>
            <w:vAlign w:val="center"/>
          </w:tcPr>
          <w:p w14:paraId="14123B67" w14:textId="77777777" w:rsidR="00EB7374" w:rsidRPr="00381A8B" w:rsidRDefault="00EB7374" w:rsidP="00C700EB">
            <w:pPr>
              <w:jc w:val="center"/>
              <w:rPr>
                <w:b w:val="0"/>
                <w:sz w:val="15"/>
                <w:szCs w:val="15"/>
              </w:rPr>
            </w:pPr>
          </w:p>
        </w:tc>
        <w:tc>
          <w:tcPr>
            <w:tcW w:w="470" w:type="pct"/>
            <w:tcBorders>
              <w:top w:val="single" w:sz="4" w:space="0" w:color="auto"/>
              <w:bottom w:val="nil"/>
            </w:tcBorders>
            <w:vAlign w:val="center"/>
          </w:tcPr>
          <w:p w14:paraId="1A7D8888" w14:textId="77777777" w:rsidR="00EB7374" w:rsidRPr="00381A8B" w:rsidRDefault="00EB7374" w:rsidP="00C700EB">
            <w:pPr>
              <w:jc w:val="center"/>
              <w:rPr>
                <w:b w:val="0"/>
                <w:sz w:val="15"/>
                <w:szCs w:val="15"/>
              </w:rPr>
            </w:pPr>
            <w:r>
              <w:rPr>
                <w:sz w:val="15"/>
              </w:rPr>
              <w:t>Fifth</w:t>
            </w:r>
          </w:p>
        </w:tc>
        <w:tc>
          <w:tcPr>
            <w:tcW w:w="555" w:type="pct"/>
            <w:tcBorders>
              <w:top w:val="single" w:sz="4" w:space="0" w:color="auto"/>
              <w:bottom w:val="nil"/>
            </w:tcBorders>
            <w:vAlign w:val="center"/>
          </w:tcPr>
          <w:p w14:paraId="5CEB8007" w14:textId="77777777" w:rsidR="00EB7374" w:rsidRPr="00381A8B" w:rsidRDefault="00EB7374" w:rsidP="00C700EB">
            <w:pPr>
              <w:jc w:val="center"/>
              <w:rPr>
                <w:b w:val="0"/>
                <w:sz w:val="15"/>
                <w:szCs w:val="15"/>
              </w:rPr>
            </w:pPr>
            <w:r>
              <w:rPr>
                <w:sz w:val="15"/>
              </w:rPr>
              <w:t xml:space="preserve">Seventh </w:t>
            </w:r>
          </w:p>
        </w:tc>
        <w:tc>
          <w:tcPr>
            <w:tcW w:w="679" w:type="pct"/>
            <w:tcBorders>
              <w:top w:val="single" w:sz="4" w:space="0" w:color="auto"/>
              <w:bottom w:val="nil"/>
            </w:tcBorders>
            <w:vAlign w:val="center"/>
          </w:tcPr>
          <w:p w14:paraId="519B7657" w14:textId="77777777" w:rsidR="00EB7374" w:rsidRPr="00381A8B" w:rsidRDefault="00EB7374" w:rsidP="00C700EB">
            <w:pPr>
              <w:jc w:val="center"/>
              <w:rPr>
                <w:b w:val="0"/>
                <w:sz w:val="15"/>
                <w:szCs w:val="15"/>
              </w:rPr>
            </w:pPr>
            <w:r>
              <w:rPr>
                <w:sz w:val="15"/>
              </w:rPr>
              <w:t>Eighth (cabotage)</w:t>
            </w:r>
          </w:p>
        </w:tc>
        <w:tc>
          <w:tcPr>
            <w:tcW w:w="690" w:type="pct"/>
            <w:tcBorders>
              <w:top w:val="single" w:sz="4" w:space="0" w:color="auto"/>
              <w:bottom w:val="nil"/>
            </w:tcBorders>
            <w:vAlign w:val="center"/>
          </w:tcPr>
          <w:p w14:paraId="5417D3BA" w14:textId="77777777" w:rsidR="00EB7374" w:rsidRPr="00381A8B" w:rsidRDefault="00EB7374" w:rsidP="00C700EB">
            <w:pPr>
              <w:keepNext/>
              <w:keepLines/>
              <w:jc w:val="center"/>
              <w:rPr>
                <w:b w:val="0"/>
                <w:iCs/>
                <w:sz w:val="15"/>
                <w:szCs w:val="15"/>
              </w:rPr>
            </w:pPr>
            <w:r>
              <w:rPr>
                <w:sz w:val="15"/>
              </w:rPr>
              <w:t xml:space="preserve">Tariff </w:t>
            </w:r>
            <w:proofErr w:type="spellStart"/>
            <w:r>
              <w:rPr>
                <w:sz w:val="15"/>
              </w:rPr>
              <w:t>setting</w:t>
            </w:r>
            <w:r>
              <w:rPr>
                <w:sz w:val="15"/>
                <w:vertAlign w:val="superscript"/>
              </w:rPr>
              <w:t>b</w:t>
            </w:r>
            <w:proofErr w:type="spellEnd"/>
          </w:p>
        </w:tc>
        <w:tc>
          <w:tcPr>
            <w:tcW w:w="642" w:type="pct"/>
            <w:tcBorders>
              <w:top w:val="single" w:sz="4" w:space="0" w:color="auto"/>
              <w:bottom w:val="nil"/>
            </w:tcBorders>
            <w:vAlign w:val="center"/>
          </w:tcPr>
          <w:p w14:paraId="31226488" w14:textId="77777777" w:rsidR="00EB7374" w:rsidRPr="00381A8B" w:rsidRDefault="00EB7374" w:rsidP="00C700EB">
            <w:pPr>
              <w:keepNext/>
              <w:keepLines/>
              <w:jc w:val="center"/>
              <w:rPr>
                <w:b w:val="0"/>
                <w:iCs/>
                <w:sz w:val="15"/>
                <w:szCs w:val="15"/>
              </w:rPr>
            </w:pPr>
            <w:proofErr w:type="spellStart"/>
            <w:r>
              <w:rPr>
                <w:sz w:val="15"/>
              </w:rPr>
              <w:t>Capacity</w:t>
            </w:r>
            <w:r>
              <w:rPr>
                <w:sz w:val="15"/>
                <w:vertAlign w:val="superscript"/>
              </w:rPr>
              <w:t>c</w:t>
            </w:r>
            <w:proofErr w:type="spellEnd"/>
          </w:p>
        </w:tc>
      </w:tr>
      <w:tr w:rsidR="00EB7374" w:rsidRPr="0009144C" w14:paraId="6607F0FF" w14:textId="77777777" w:rsidTr="00C700EB">
        <w:tc>
          <w:tcPr>
            <w:tcW w:w="1289" w:type="pct"/>
          </w:tcPr>
          <w:p w14:paraId="7777844C" w14:textId="77777777" w:rsidR="00EB7374" w:rsidRPr="0009144C" w:rsidRDefault="00EB7374" w:rsidP="00C700EB">
            <w:pPr>
              <w:jc w:val="left"/>
              <w:rPr>
                <w:sz w:val="15"/>
                <w:szCs w:val="15"/>
              </w:rPr>
            </w:pPr>
            <w:r>
              <w:rPr>
                <w:sz w:val="15"/>
              </w:rPr>
              <w:t xml:space="preserve">Antigua and Barbuda </w:t>
            </w:r>
          </w:p>
        </w:tc>
        <w:tc>
          <w:tcPr>
            <w:tcW w:w="675" w:type="pct"/>
          </w:tcPr>
          <w:p w14:paraId="3F1B60CE" w14:textId="77777777" w:rsidR="00EB7374" w:rsidRPr="0009144C" w:rsidRDefault="00EB7374" w:rsidP="00C700EB">
            <w:pPr>
              <w:jc w:val="center"/>
              <w:rPr>
                <w:sz w:val="15"/>
                <w:szCs w:val="15"/>
              </w:rPr>
            </w:pPr>
            <w:r>
              <w:rPr>
                <w:sz w:val="15"/>
              </w:rPr>
              <w:t>2019*</w:t>
            </w:r>
          </w:p>
        </w:tc>
        <w:tc>
          <w:tcPr>
            <w:tcW w:w="470" w:type="pct"/>
          </w:tcPr>
          <w:p w14:paraId="185D88CB" w14:textId="77777777" w:rsidR="00EB7374" w:rsidRPr="0009144C" w:rsidRDefault="00EB7374" w:rsidP="00C700EB">
            <w:pPr>
              <w:jc w:val="center"/>
              <w:rPr>
                <w:sz w:val="15"/>
                <w:szCs w:val="15"/>
              </w:rPr>
            </w:pPr>
            <w:r>
              <w:rPr>
                <w:sz w:val="15"/>
              </w:rPr>
              <w:t>Yes</w:t>
            </w:r>
          </w:p>
        </w:tc>
        <w:tc>
          <w:tcPr>
            <w:tcW w:w="555" w:type="pct"/>
          </w:tcPr>
          <w:p w14:paraId="575591EF" w14:textId="77777777" w:rsidR="00EB7374" w:rsidRPr="0009144C" w:rsidRDefault="00EB7374" w:rsidP="00C700EB">
            <w:pPr>
              <w:jc w:val="center"/>
              <w:rPr>
                <w:sz w:val="15"/>
                <w:szCs w:val="15"/>
              </w:rPr>
            </w:pPr>
            <w:r>
              <w:rPr>
                <w:sz w:val="15"/>
              </w:rPr>
              <w:t>Cargo</w:t>
            </w:r>
          </w:p>
        </w:tc>
        <w:tc>
          <w:tcPr>
            <w:tcW w:w="679" w:type="pct"/>
          </w:tcPr>
          <w:p w14:paraId="08CC74E4" w14:textId="77777777" w:rsidR="00EB7374" w:rsidRPr="0009144C" w:rsidRDefault="00EB7374" w:rsidP="00C700EB">
            <w:pPr>
              <w:jc w:val="center"/>
              <w:rPr>
                <w:sz w:val="15"/>
                <w:szCs w:val="15"/>
              </w:rPr>
            </w:pPr>
            <w:r>
              <w:rPr>
                <w:sz w:val="15"/>
              </w:rPr>
              <w:t>No</w:t>
            </w:r>
          </w:p>
        </w:tc>
        <w:tc>
          <w:tcPr>
            <w:tcW w:w="690" w:type="pct"/>
          </w:tcPr>
          <w:p w14:paraId="26ACF3FF" w14:textId="77777777" w:rsidR="00EB7374" w:rsidRPr="0009144C" w:rsidRDefault="00EB7374" w:rsidP="00C700EB">
            <w:pPr>
              <w:jc w:val="center"/>
              <w:rPr>
                <w:sz w:val="15"/>
                <w:szCs w:val="15"/>
              </w:rPr>
            </w:pPr>
            <w:r>
              <w:rPr>
                <w:sz w:val="15"/>
              </w:rPr>
              <w:t>FP</w:t>
            </w:r>
          </w:p>
        </w:tc>
        <w:tc>
          <w:tcPr>
            <w:tcW w:w="642" w:type="pct"/>
          </w:tcPr>
          <w:p w14:paraId="541934B5" w14:textId="77777777" w:rsidR="00EB7374" w:rsidRPr="0009144C" w:rsidRDefault="00EB7374" w:rsidP="00C700EB">
            <w:pPr>
              <w:jc w:val="center"/>
              <w:rPr>
                <w:sz w:val="15"/>
                <w:szCs w:val="15"/>
              </w:rPr>
            </w:pPr>
            <w:r>
              <w:rPr>
                <w:sz w:val="15"/>
              </w:rPr>
              <w:t xml:space="preserve">FD </w:t>
            </w:r>
          </w:p>
        </w:tc>
      </w:tr>
      <w:tr w:rsidR="00EB7374" w:rsidRPr="0009144C" w14:paraId="53C9DEA8" w14:textId="77777777" w:rsidTr="00C700EB">
        <w:trPr>
          <w:cnfStyle w:val="000000010000" w:firstRow="0" w:lastRow="0" w:firstColumn="0" w:lastColumn="0" w:oddVBand="0" w:evenVBand="0" w:oddHBand="0" w:evenHBand="1" w:firstRowFirstColumn="0" w:firstRowLastColumn="0" w:lastRowFirstColumn="0" w:lastRowLastColumn="0"/>
        </w:trPr>
        <w:tc>
          <w:tcPr>
            <w:tcW w:w="1289" w:type="pct"/>
          </w:tcPr>
          <w:p w14:paraId="59B56065" w14:textId="77777777" w:rsidR="00EB7374" w:rsidRPr="0009144C" w:rsidRDefault="00EB7374" w:rsidP="00C700EB">
            <w:pPr>
              <w:jc w:val="left"/>
              <w:rPr>
                <w:sz w:val="15"/>
                <w:szCs w:val="15"/>
              </w:rPr>
            </w:pPr>
            <w:r>
              <w:rPr>
                <w:sz w:val="15"/>
              </w:rPr>
              <w:t xml:space="preserve">Argentina (MoU) </w:t>
            </w:r>
          </w:p>
        </w:tc>
        <w:tc>
          <w:tcPr>
            <w:tcW w:w="675" w:type="pct"/>
          </w:tcPr>
          <w:p w14:paraId="1E3FE2E7" w14:textId="77777777" w:rsidR="00EB7374" w:rsidRPr="0009144C" w:rsidRDefault="00EB7374" w:rsidP="00C700EB">
            <w:pPr>
              <w:jc w:val="center"/>
              <w:rPr>
                <w:sz w:val="15"/>
                <w:szCs w:val="15"/>
              </w:rPr>
            </w:pPr>
            <w:r>
              <w:rPr>
                <w:sz w:val="15"/>
              </w:rPr>
              <w:t>2021</w:t>
            </w:r>
          </w:p>
        </w:tc>
        <w:tc>
          <w:tcPr>
            <w:tcW w:w="470" w:type="pct"/>
          </w:tcPr>
          <w:p w14:paraId="13F07417" w14:textId="77777777" w:rsidR="00EB7374" w:rsidRPr="0009144C" w:rsidRDefault="00EB7374" w:rsidP="00C700EB">
            <w:pPr>
              <w:jc w:val="center"/>
              <w:rPr>
                <w:sz w:val="15"/>
                <w:szCs w:val="15"/>
              </w:rPr>
            </w:pPr>
            <w:r>
              <w:rPr>
                <w:sz w:val="15"/>
              </w:rPr>
              <w:t>Yes</w:t>
            </w:r>
          </w:p>
        </w:tc>
        <w:tc>
          <w:tcPr>
            <w:tcW w:w="555" w:type="pct"/>
          </w:tcPr>
          <w:p w14:paraId="0AA2445D" w14:textId="77777777" w:rsidR="00EB7374" w:rsidRPr="0009144C" w:rsidRDefault="00EB7374" w:rsidP="00C700EB">
            <w:pPr>
              <w:jc w:val="center"/>
              <w:rPr>
                <w:sz w:val="15"/>
                <w:szCs w:val="15"/>
              </w:rPr>
            </w:pPr>
            <w:r>
              <w:rPr>
                <w:sz w:val="15"/>
              </w:rPr>
              <w:t>No</w:t>
            </w:r>
          </w:p>
        </w:tc>
        <w:tc>
          <w:tcPr>
            <w:tcW w:w="679" w:type="pct"/>
          </w:tcPr>
          <w:p w14:paraId="0E256B7F" w14:textId="77777777" w:rsidR="00EB7374" w:rsidRPr="0009144C" w:rsidRDefault="00EB7374" w:rsidP="00C700EB">
            <w:pPr>
              <w:jc w:val="center"/>
              <w:rPr>
                <w:sz w:val="15"/>
                <w:szCs w:val="15"/>
              </w:rPr>
            </w:pPr>
            <w:r>
              <w:rPr>
                <w:sz w:val="15"/>
              </w:rPr>
              <w:t>No</w:t>
            </w:r>
          </w:p>
        </w:tc>
        <w:tc>
          <w:tcPr>
            <w:tcW w:w="690" w:type="pct"/>
          </w:tcPr>
          <w:p w14:paraId="4C999418" w14:textId="77777777" w:rsidR="00EB7374" w:rsidRPr="0009144C" w:rsidRDefault="00EB7374" w:rsidP="00C700EB">
            <w:pPr>
              <w:jc w:val="center"/>
              <w:rPr>
                <w:sz w:val="15"/>
                <w:szCs w:val="15"/>
              </w:rPr>
            </w:pPr>
            <w:r>
              <w:rPr>
                <w:sz w:val="15"/>
              </w:rPr>
              <w:t>..</w:t>
            </w:r>
          </w:p>
        </w:tc>
        <w:tc>
          <w:tcPr>
            <w:tcW w:w="642" w:type="pct"/>
          </w:tcPr>
          <w:p w14:paraId="3AD335F6" w14:textId="77777777" w:rsidR="00EB7374" w:rsidRPr="0009144C" w:rsidRDefault="00EB7374" w:rsidP="00C700EB">
            <w:pPr>
              <w:jc w:val="center"/>
              <w:rPr>
                <w:sz w:val="15"/>
                <w:szCs w:val="15"/>
              </w:rPr>
            </w:pPr>
            <w:r>
              <w:rPr>
                <w:sz w:val="15"/>
              </w:rPr>
              <w:t>PD</w:t>
            </w:r>
          </w:p>
        </w:tc>
      </w:tr>
      <w:tr w:rsidR="00EB7374" w:rsidRPr="0009144C" w14:paraId="415A1342" w14:textId="77777777" w:rsidTr="00C700EB">
        <w:tc>
          <w:tcPr>
            <w:tcW w:w="1289" w:type="pct"/>
          </w:tcPr>
          <w:p w14:paraId="026FA708" w14:textId="77777777" w:rsidR="00EB7374" w:rsidRPr="0009144C" w:rsidRDefault="00EB7374" w:rsidP="00C700EB">
            <w:pPr>
              <w:jc w:val="left"/>
              <w:rPr>
                <w:sz w:val="15"/>
                <w:szCs w:val="15"/>
              </w:rPr>
            </w:pPr>
            <w:r>
              <w:rPr>
                <w:sz w:val="15"/>
              </w:rPr>
              <w:t>Aruba (MoU)</w:t>
            </w:r>
          </w:p>
        </w:tc>
        <w:tc>
          <w:tcPr>
            <w:tcW w:w="675" w:type="pct"/>
          </w:tcPr>
          <w:p w14:paraId="106782C6" w14:textId="77777777" w:rsidR="00EB7374" w:rsidRPr="0009144C" w:rsidRDefault="00EB7374" w:rsidP="00C700EB">
            <w:pPr>
              <w:jc w:val="center"/>
              <w:rPr>
                <w:sz w:val="15"/>
                <w:szCs w:val="15"/>
              </w:rPr>
            </w:pPr>
            <w:r>
              <w:rPr>
                <w:sz w:val="15"/>
              </w:rPr>
              <w:t>2014</w:t>
            </w:r>
          </w:p>
        </w:tc>
        <w:tc>
          <w:tcPr>
            <w:tcW w:w="470" w:type="pct"/>
          </w:tcPr>
          <w:p w14:paraId="6E10A77E" w14:textId="77777777" w:rsidR="00EB7374" w:rsidRPr="0009144C" w:rsidRDefault="00EB7374" w:rsidP="00C700EB">
            <w:pPr>
              <w:jc w:val="center"/>
              <w:rPr>
                <w:sz w:val="15"/>
                <w:szCs w:val="15"/>
              </w:rPr>
            </w:pPr>
            <w:r>
              <w:rPr>
                <w:sz w:val="15"/>
              </w:rPr>
              <w:t>Yes</w:t>
            </w:r>
          </w:p>
        </w:tc>
        <w:tc>
          <w:tcPr>
            <w:tcW w:w="555" w:type="pct"/>
          </w:tcPr>
          <w:p w14:paraId="0FF67B25" w14:textId="77777777" w:rsidR="00EB7374" w:rsidRPr="0009144C" w:rsidRDefault="00EB7374" w:rsidP="00C700EB">
            <w:pPr>
              <w:jc w:val="center"/>
              <w:rPr>
                <w:sz w:val="15"/>
                <w:szCs w:val="15"/>
              </w:rPr>
            </w:pPr>
            <w:r>
              <w:rPr>
                <w:sz w:val="15"/>
              </w:rPr>
              <w:t>No</w:t>
            </w:r>
          </w:p>
        </w:tc>
        <w:tc>
          <w:tcPr>
            <w:tcW w:w="679" w:type="pct"/>
          </w:tcPr>
          <w:p w14:paraId="7DDF0358" w14:textId="77777777" w:rsidR="00EB7374" w:rsidRPr="0009144C" w:rsidRDefault="00EB7374" w:rsidP="00C700EB">
            <w:pPr>
              <w:jc w:val="center"/>
              <w:rPr>
                <w:sz w:val="15"/>
                <w:szCs w:val="15"/>
              </w:rPr>
            </w:pPr>
            <w:r>
              <w:rPr>
                <w:sz w:val="15"/>
              </w:rPr>
              <w:t>No</w:t>
            </w:r>
          </w:p>
        </w:tc>
        <w:tc>
          <w:tcPr>
            <w:tcW w:w="690" w:type="pct"/>
          </w:tcPr>
          <w:p w14:paraId="6F903D0E" w14:textId="77777777" w:rsidR="00EB7374" w:rsidRPr="0009144C" w:rsidRDefault="00EB7374" w:rsidP="00C700EB">
            <w:pPr>
              <w:jc w:val="center"/>
              <w:rPr>
                <w:sz w:val="15"/>
                <w:szCs w:val="15"/>
              </w:rPr>
            </w:pPr>
            <w:r>
              <w:rPr>
                <w:sz w:val="15"/>
              </w:rPr>
              <w:t>FP</w:t>
            </w:r>
          </w:p>
        </w:tc>
        <w:tc>
          <w:tcPr>
            <w:tcW w:w="642" w:type="pct"/>
          </w:tcPr>
          <w:p w14:paraId="0B83261E" w14:textId="77777777" w:rsidR="00EB7374" w:rsidRPr="0009144C" w:rsidRDefault="00EB7374" w:rsidP="00C700EB">
            <w:pPr>
              <w:jc w:val="center"/>
              <w:rPr>
                <w:sz w:val="15"/>
                <w:szCs w:val="15"/>
              </w:rPr>
            </w:pPr>
            <w:r>
              <w:rPr>
                <w:sz w:val="15"/>
              </w:rPr>
              <w:t>FD</w:t>
            </w:r>
          </w:p>
        </w:tc>
      </w:tr>
      <w:tr w:rsidR="00EB7374" w:rsidRPr="0009144C" w14:paraId="265AEFF3" w14:textId="77777777" w:rsidTr="00C700EB">
        <w:trPr>
          <w:cnfStyle w:val="000000010000" w:firstRow="0" w:lastRow="0" w:firstColumn="0" w:lastColumn="0" w:oddVBand="0" w:evenVBand="0" w:oddHBand="0" w:evenHBand="1" w:firstRowFirstColumn="0" w:firstRowLastColumn="0" w:lastRowFirstColumn="0" w:lastRowLastColumn="0"/>
        </w:trPr>
        <w:tc>
          <w:tcPr>
            <w:tcW w:w="1289" w:type="pct"/>
          </w:tcPr>
          <w:p w14:paraId="37A193F5" w14:textId="77777777" w:rsidR="00EB7374" w:rsidRPr="0009144C" w:rsidRDefault="00EB7374" w:rsidP="00C700EB">
            <w:pPr>
              <w:jc w:val="left"/>
              <w:rPr>
                <w:sz w:val="15"/>
                <w:szCs w:val="15"/>
              </w:rPr>
            </w:pPr>
            <w:r>
              <w:rPr>
                <w:sz w:val="15"/>
              </w:rPr>
              <w:t>Austria</w:t>
            </w:r>
          </w:p>
        </w:tc>
        <w:tc>
          <w:tcPr>
            <w:tcW w:w="675" w:type="pct"/>
          </w:tcPr>
          <w:p w14:paraId="4CB5F4B2" w14:textId="77777777" w:rsidR="00EB7374" w:rsidRPr="0009144C" w:rsidRDefault="00EB7374" w:rsidP="00C700EB">
            <w:pPr>
              <w:jc w:val="center"/>
              <w:rPr>
                <w:sz w:val="15"/>
                <w:szCs w:val="15"/>
              </w:rPr>
            </w:pPr>
            <w:r>
              <w:rPr>
                <w:sz w:val="15"/>
              </w:rPr>
              <w:t>2007</w:t>
            </w:r>
          </w:p>
        </w:tc>
        <w:tc>
          <w:tcPr>
            <w:tcW w:w="470" w:type="pct"/>
          </w:tcPr>
          <w:p w14:paraId="7B793092" w14:textId="77777777" w:rsidR="00EB7374" w:rsidRPr="0009144C" w:rsidRDefault="00EB7374" w:rsidP="00C700EB">
            <w:pPr>
              <w:jc w:val="center"/>
              <w:rPr>
                <w:sz w:val="15"/>
                <w:szCs w:val="15"/>
              </w:rPr>
            </w:pPr>
            <w:r>
              <w:rPr>
                <w:sz w:val="15"/>
              </w:rPr>
              <w:t>Yes</w:t>
            </w:r>
          </w:p>
        </w:tc>
        <w:tc>
          <w:tcPr>
            <w:tcW w:w="555" w:type="pct"/>
          </w:tcPr>
          <w:p w14:paraId="73493E0F" w14:textId="77777777" w:rsidR="00EB7374" w:rsidRPr="0009144C" w:rsidRDefault="00EB7374" w:rsidP="00C700EB">
            <w:pPr>
              <w:jc w:val="center"/>
              <w:rPr>
                <w:sz w:val="15"/>
                <w:szCs w:val="15"/>
              </w:rPr>
            </w:pPr>
            <w:r>
              <w:rPr>
                <w:sz w:val="15"/>
              </w:rPr>
              <w:t>No</w:t>
            </w:r>
          </w:p>
        </w:tc>
        <w:tc>
          <w:tcPr>
            <w:tcW w:w="679" w:type="pct"/>
          </w:tcPr>
          <w:p w14:paraId="5BDEAA60" w14:textId="77777777" w:rsidR="00EB7374" w:rsidRPr="0009144C" w:rsidRDefault="00EB7374" w:rsidP="00C700EB">
            <w:pPr>
              <w:jc w:val="center"/>
              <w:rPr>
                <w:sz w:val="15"/>
                <w:szCs w:val="15"/>
              </w:rPr>
            </w:pPr>
            <w:r>
              <w:rPr>
                <w:sz w:val="15"/>
              </w:rPr>
              <w:t>No</w:t>
            </w:r>
          </w:p>
        </w:tc>
        <w:tc>
          <w:tcPr>
            <w:tcW w:w="690" w:type="pct"/>
          </w:tcPr>
          <w:p w14:paraId="083B187E" w14:textId="77777777" w:rsidR="00EB7374" w:rsidRPr="0009144C" w:rsidRDefault="00EB7374" w:rsidP="00C700EB">
            <w:pPr>
              <w:jc w:val="center"/>
              <w:rPr>
                <w:sz w:val="15"/>
                <w:szCs w:val="15"/>
              </w:rPr>
            </w:pPr>
            <w:r>
              <w:rPr>
                <w:sz w:val="15"/>
              </w:rPr>
              <w:t>FP</w:t>
            </w:r>
          </w:p>
        </w:tc>
        <w:tc>
          <w:tcPr>
            <w:tcW w:w="642" w:type="pct"/>
          </w:tcPr>
          <w:p w14:paraId="5E2757AA" w14:textId="77777777" w:rsidR="00EB7374" w:rsidRPr="0009144C" w:rsidRDefault="00EB7374" w:rsidP="00C700EB">
            <w:pPr>
              <w:jc w:val="center"/>
              <w:rPr>
                <w:sz w:val="15"/>
                <w:szCs w:val="15"/>
              </w:rPr>
            </w:pPr>
            <w:r>
              <w:rPr>
                <w:sz w:val="15"/>
              </w:rPr>
              <w:t>FD</w:t>
            </w:r>
          </w:p>
        </w:tc>
      </w:tr>
      <w:tr w:rsidR="00EB7374" w:rsidRPr="0009144C" w14:paraId="77451301" w14:textId="77777777" w:rsidTr="00C700EB">
        <w:tc>
          <w:tcPr>
            <w:tcW w:w="1289" w:type="pct"/>
          </w:tcPr>
          <w:p w14:paraId="09B3F2EE" w14:textId="77777777" w:rsidR="00EB7374" w:rsidRPr="0009144C" w:rsidRDefault="00EB7374" w:rsidP="00C700EB">
            <w:pPr>
              <w:jc w:val="left"/>
              <w:rPr>
                <w:sz w:val="15"/>
                <w:szCs w:val="15"/>
              </w:rPr>
            </w:pPr>
            <w:r>
              <w:rPr>
                <w:sz w:val="15"/>
              </w:rPr>
              <w:lastRenderedPageBreak/>
              <w:t>Bahamas</w:t>
            </w:r>
          </w:p>
        </w:tc>
        <w:tc>
          <w:tcPr>
            <w:tcW w:w="675" w:type="pct"/>
          </w:tcPr>
          <w:p w14:paraId="577B4A09" w14:textId="77777777" w:rsidR="00EB7374" w:rsidRPr="0009144C" w:rsidRDefault="00EB7374" w:rsidP="00C700EB">
            <w:pPr>
              <w:jc w:val="center"/>
              <w:rPr>
                <w:sz w:val="15"/>
                <w:szCs w:val="15"/>
              </w:rPr>
            </w:pPr>
            <w:r>
              <w:rPr>
                <w:sz w:val="15"/>
              </w:rPr>
              <w:t>2018</w:t>
            </w:r>
          </w:p>
        </w:tc>
        <w:tc>
          <w:tcPr>
            <w:tcW w:w="470" w:type="pct"/>
          </w:tcPr>
          <w:p w14:paraId="2FD4103D" w14:textId="77777777" w:rsidR="00EB7374" w:rsidRPr="0009144C" w:rsidRDefault="00EB7374" w:rsidP="00C700EB">
            <w:pPr>
              <w:jc w:val="center"/>
              <w:rPr>
                <w:sz w:val="15"/>
                <w:szCs w:val="15"/>
              </w:rPr>
            </w:pPr>
            <w:r>
              <w:rPr>
                <w:sz w:val="15"/>
              </w:rPr>
              <w:t>Yes</w:t>
            </w:r>
          </w:p>
        </w:tc>
        <w:tc>
          <w:tcPr>
            <w:tcW w:w="555" w:type="pct"/>
          </w:tcPr>
          <w:p w14:paraId="757FCD3F" w14:textId="77777777" w:rsidR="00EB7374" w:rsidRPr="0009144C" w:rsidRDefault="00EB7374" w:rsidP="00C700EB">
            <w:pPr>
              <w:jc w:val="center"/>
              <w:rPr>
                <w:sz w:val="15"/>
                <w:szCs w:val="15"/>
              </w:rPr>
            </w:pPr>
            <w:r>
              <w:rPr>
                <w:sz w:val="15"/>
              </w:rPr>
              <w:t>No</w:t>
            </w:r>
          </w:p>
        </w:tc>
        <w:tc>
          <w:tcPr>
            <w:tcW w:w="679" w:type="pct"/>
          </w:tcPr>
          <w:p w14:paraId="42F1E8F7" w14:textId="77777777" w:rsidR="00EB7374" w:rsidRPr="0009144C" w:rsidRDefault="00EB7374" w:rsidP="00C700EB">
            <w:pPr>
              <w:jc w:val="center"/>
              <w:rPr>
                <w:sz w:val="15"/>
                <w:szCs w:val="15"/>
              </w:rPr>
            </w:pPr>
            <w:r>
              <w:rPr>
                <w:sz w:val="15"/>
              </w:rPr>
              <w:t>No</w:t>
            </w:r>
          </w:p>
        </w:tc>
        <w:tc>
          <w:tcPr>
            <w:tcW w:w="690" w:type="pct"/>
          </w:tcPr>
          <w:p w14:paraId="558327F7" w14:textId="77777777" w:rsidR="00EB7374" w:rsidRPr="0009144C" w:rsidRDefault="00EB7374" w:rsidP="00C700EB">
            <w:pPr>
              <w:jc w:val="center"/>
              <w:rPr>
                <w:b/>
                <w:bCs/>
                <w:sz w:val="15"/>
                <w:szCs w:val="15"/>
              </w:rPr>
            </w:pPr>
            <w:r>
              <w:rPr>
                <w:sz w:val="15"/>
              </w:rPr>
              <w:t>PD</w:t>
            </w:r>
          </w:p>
        </w:tc>
        <w:tc>
          <w:tcPr>
            <w:tcW w:w="642" w:type="pct"/>
          </w:tcPr>
          <w:p w14:paraId="23A11F93" w14:textId="77777777" w:rsidR="00EB7374" w:rsidRPr="0009144C" w:rsidRDefault="00EB7374" w:rsidP="00C700EB">
            <w:pPr>
              <w:jc w:val="center"/>
              <w:rPr>
                <w:sz w:val="15"/>
                <w:szCs w:val="15"/>
              </w:rPr>
            </w:pPr>
            <w:r>
              <w:rPr>
                <w:sz w:val="15"/>
              </w:rPr>
              <w:t>FD</w:t>
            </w:r>
          </w:p>
        </w:tc>
      </w:tr>
      <w:tr w:rsidR="00EB7374" w:rsidRPr="0009144C" w14:paraId="027EBA1F" w14:textId="77777777" w:rsidTr="00C700EB">
        <w:trPr>
          <w:cnfStyle w:val="000000010000" w:firstRow="0" w:lastRow="0" w:firstColumn="0" w:lastColumn="0" w:oddVBand="0" w:evenVBand="0" w:oddHBand="0" w:evenHBand="1" w:firstRowFirstColumn="0" w:firstRowLastColumn="0" w:lastRowFirstColumn="0" w:lastRowLastColumn="0"/>
        </w:trPr>
        <w:tc>
          <w:tcPr>
            <w:tcW w:w="1289" w:type="pct"/>
          </w:tcPr>
          <w:p w14:paraId="2FF70DF1" w14:textId="77777777" w:rsidR="00EB7374" w:rsidRPr="0009144C" w:rsidRDefault="00EB7374" w:rsidP="00C700EB">
            <w:pPr>
              <w:jc w:val="left"/>
              <w:rPr>
                <w:sz w:val="15"/>
                <w:szCs w:val="15"/>
              </w:rPr>
            </w:pPr>
            <w:r>
              <w:rPr>
                <w:sz w:val="15"/>
              </w:rPr>
              <w:t xml:space="preserve">Belgium </w:t>
            </w:r>
          </w:p>
        </w:tc>
        <w:tc>
          <w:tcPr>
            <w:tcW w:w="675" w:type="pct"/>
          </w:tcPr>
          <w:p w14:paraId="33DEA4B4" w14:textId="77777777" w:rsidR="00EB7374" w:rsidRPr="0009144C" w:rsidRDefault="00EB7374" w:rsidP="00C700EB">
            <w:pPr>
              <w:jc w:val="center"/>
              <w:rPr>
                <w:sz w:val="15"/>
                <w:szCs w:val="15"/>
              </w:rPr>
            </w:pPr>
            <w:r>
              <w:rPr>
                <w:sz w:val="15"/>
              </w:rPr>
              <w:t>1998</w:t>
            </w:r>
          </w:p>
        </w:tc>
        <w:tc>
          <w:tcPr>
            <w:tcW w:w="470" w:type="pct"/>
          </w:tcPr>
          <w:p w14:paraId="7F61522C" w14:textId="77777777" w:rsidR="00EB7374" w:rsidRPr="0009144C" w:rsidRDefault="00EB7374" w:rsidP="00C700EB">
            <w:pPr>
              <w:jc w:val="center"/>
              <w:rPr>
                <w:sz w:val="15"/>
                <w:szCs w:val="15"/>
              </w:rPr>
            </w:pPr>
            <w:r>
              <w:rPr>
                <w:sz w:val="15"/>
              </w:rPr>
              <w:t>Yes</w:t>
            </w:r>
          </w:p>
        </w:tc>
        <w:tc>
          <w:tcPr>
            <w:tcW w:w="555" w:type="pct"/>
          </w:tcPr>
          <w:p w14:paraId="539A5872" w14:textId="77777777" w:rsidR="00EB7374" w:rsidRPr="0009144C" w:rsidRDefault="00EB7374" w:rsidP="00C700EB">
            <w:pPr>
              <w:jc w:val="center"/>
              <w:rPr>
                <w:sz w:val="15"/>
                <w:szCs w:val="15"/>
              </w:rPr>
            </w:pPr>
            <w:r>
              <w:rPr>
                <w:sz w:val="15"/>
              </w:rPr>
              <w:t>No</w:t>
            </w:r>
          </w:p>
        </w:tc>
        <w:tc>
          <w:tcPr>
            <w:tcW w:w="679" w:type="pct"/>
          </w:tcPr>
          <w:p w14:paraId="633FEDFF" w14:textId="77777777" w:rsidR="00EB7374" w:rsidRPr="0009144C" w:rsidRDefault="00EB7374" w:rsidP="00C700EB">
            <w:pPr>
              <w:jc w:val="center"/>
              <w:rPr>
                <w:sz w:val="15"/>
                <w:szCs w:val="15"/>
              </w:rPr>
            </w:pPr>
            <w:r>
              <w:rPr>
                <w:sz w:val="15"/>
              </w:rPr>
              <w:t>No</w:t>
            </w:r>
          </w:p>
        </w:tc>
        <w:tc>
          <w:tcPr>
            <w:tcW w:w="690" w:type="pct"/>
          </w:tcPr>
          <w:p w14:paraId="269A2EA6" w14:textId="77777777" w:rsidR="00EB7374" w:rsidRPr="0009144C" w:rsidRDefault="00EB7374" w:rsidP="00C700EB">
            <w:pPr>
              <w:jc w:val="center"/>
              <w:rPr>
                <w:sz w:val="15"/>
                <w:szCs w:val="15"/>
              </w:rPr>
            </w:pPr>
            <w:r>
              <w:rPr>
                <w:sz w:val="15"/>
              </w:rPr>
              <w:t>DA</w:t>
            </w:r>
          </w:p>
        </w:tc>
        <w:tc>
          <w:tcPr>
            <w:tcW w:w="642" w:type="pct"/>
          </w:tcPr>
          <w:p w14:paraId="03FC5613" w14:textId="77777777" w:rsidR="00EB7374" w:rsidRPr="0009144C" w:rsidRDefault="00EB7374" w:rsidP="00C700EB">
            <w:pPr>
              <w:jc w:val="center"/>
              <w:rPr>
                <w:sz w:val="15"/>
                <w:szCs w:val="15"/>
              </w:rPr>
            </w:pPr>
            <w:r>
              <w:rPr>
                <w:sz w:val="15"/>
              </w:rPr>
              <w:t>PD</w:t>
            </w:r>
          </w:p>
        </w:tc>
      </w:tr>
      <w:tr w:rsidR="00EB7374" w:rsidRPr="0009144C" w14:paraId="4472A5DB" w14:textId="77777777" w:rsidTr="00C700EB">
        <w:tc>
          <w:tcPr>
            <w:tcW w:w="1289" w:type="pct"/>
          </w:tcPr>
          <w:p w14:paraId="52B6F8F9" w14:textId="77777777" w:rsidR="00EB7374" w:rsidRPr="0009144C" w:rsidRDefault="00EB7374" w:rsidP="00C700EB">
            <w:pPr>
              <w:jc w:val="left"/>
              <w:rPr>
                <w:sz w:val="15"/>
                <w:szCs w:val="15"/>
              </w:rPr>
            </w:pPr>
            <w:r>
              <w:rPr>
                <w:sz w:val="15"/>
              </w:rPr>
              <w:t>Bolivia (MoU)</w:t>
            </w:r>
          </w:p>
        </w:tc>
        <w:tc>
          <w:tcPr>
            <w:tcW w:w="675" w:type="pct"/>
          </w:tcPr>
          <w:p w14:paraId="507A4DC3" w14:textId="77777777" w:rsidR="00EB7374" w:rsidRPr="0009144C" w:rsidRDefault="00EB7374" w:rsidP="00C700EB">
            <w:pPr>
              <w:jc w:val="center"/>
              <w:rPr>
                <w:sz w:val="15"/>
                <w:szCs w:val="15"/>
              </w:rPr>
            </w:pPr>
            <w:r>
              <w:rPr>
                <w:sz w:val="15"/>
              </w:rPr>
              <w:t>2018</w:t>
            </w:r>
          </w:p>
        </w:tc>
        <w:tc>
          <w:tcPr>
            <w:tcW w:w="470" w:type="pct"/>
          </w:tcPr>
          <w:p w14:paraId="7F06127E" w14:textId="77777777" w:rsidR="00EB7374" w:rsidRPr="0009144C" w:rsidRDefault="00EB7374" w:rsidP="00C700EB">
            <w:pPr>
              <w:jc w:val="center"/>
              <w:rPr>
                <w:sz w:val="15"/>
                <w:szCs w:val="15"/>
              </w:rPr>
            </w:pPr>
            <w:r>
              <w:rPr>
                <w:sz w:val="15"/>
              </w:rPr>
              <w:t>Yes</w:t>
            </w:r>
          </w:p>
        </w:tc>
        <w:tc>
          <w:tcPr>
            <w:tcW w:w="555" w:type="pct"/>
          </w:tcPr>
          <w:p w14:paraId="2700781E" w14:textId="77777777" w:rsidR="00EB7374" w:rsidRPr="0009144C" w:rsidRDefault="00EB7374" w:rsidP="00C700EB">
            <w:pPr>
              <w:jc w:val="center"/>
              <w:rPr>
                <w:sz w:val="15"/>
                <w:szCs w:val="15"/>
              </w:rPr>
            </w:pPr>
            <w:r>
              <w:rPr>
                <w:sz w:val="15"/>
              </w:rPr>
              <w:t>Cargo</w:t>
            </w:r>
          </w:p>
        </w:tc>
        <w:tc>
          <w:tcPr>
            <w:tcW w:w="679" w:type="pct"/>
          </w:tcPr>
          <w:p w14:paraId="580CD29D" w14:textId="77777777" w:rsidR="00EB7374" w:rsidRPr="0009144C" w:rsidRDefault="00EB7374" w:rsidP="00C700EB">
            <w:pPr>
              <w:jc w:val="center"/>
              <w:rPr>
                <w:sz w:val="15"/>
                <w:szCs w:val="15"/>
              </w:rPr>
            </w:pPr>
            <w:r>
              <w:rPr>
                <w:sz w:val="15"/>
              </w:rPr>
              <w:t>No</w:t>
            </w:r>
          </w:p>
        </w:tc>
        <w:tc>
          <w:tcPr>
            <w:tcW w:w="690" w:type="pct"/>
          </w:tcPr>
          <w:p w14:paraId="7EF8C851" w14:textId="77777777" w:rsidR="00EB7374" w:rsidRPr="0009144C" w:rsidRDefault="00EB7374" w:rsidP="00C700EB">
            <w:pPr>
              <w:jc w:val="center"/>
              <w:rPr>
                <w:sz w:val="15"/>
                <w:szCs w:val="15"/>
              </w:rPr>
            </w:pPr>
            <w:r>
              <w:rPr>
                <w:sz w:val="15"/>
              </w:rPr>
              <w:t>..</w:t>
            </w:r>
          </w:p>
        </w:tc>
        <w:tc>
          <w:tcPr>
            <w:tcW w:w="642" w:type="pct"/>
          </w:tcPr>
          <w:p w14:paraId="2929D239" w14:textId="77777777" w:rsidR="00EB7374" w:rsidRPr="0009144C" w:rsidRDefault="00EB7374" w:rsidP="00C700EB">
            <w:pPr>
              <w:jc w:val="center"/>
              <w:rPr>
                <w:sz w:val="15"/>
                <w:szCs w:val="15"/>
              </w:rPr>
            </w:pPr>
            <w:r>
              <w:rPr>
                <w:sz w:val="15"/>
              </w:rPr>
              <w:t>PD</w:t>
            </w:r>
          </w:p>
        </w:tc>
      </w:tr>
      <w:tr w:rsidR="00EB7374" w:rsidRPr="0009144C" w14:paraId="1E6ACCD5" w14:textId="77777777" w:rsidTr="00C700EB">
        <w:trPr>
          <w:cnfStyle w:val="000000010000" w:firstRow="0" w:lastRow="0" w:firstColumn="0" w:lastColumn="0" w:oddVBand="0" w:evenVBand="0" w:oddHBand="0" w:evenHBand="1" w:firstRowFirstColumn="0" w:firstRowLastColumn="0" w:lastRowFirstColumn="0" w:lastRowLastColumn="0"/>
        </w:trPr>
        <w:tc>
          <w:tcPr>
            <w:tcW w:w="1289" w:type="pct"/>
          </w:tcPr>
          <w:p w14:paraId="7D519188" w14:textId="77777777" w:rsidR="00EB7374" w:rsidRPr="0009144C" w:rsidRDefault="00EB7374" w:rsidP="00C700EB">
            <w:pPr>
              <w:jc w:val="left"/>
              <w:rPr>
                <w:sz w:val="15"/>
                <w:szCs w:val="15"/>
              </w:rPr>
            </w:pPr>
            <w:r>
              <w:rPr>
                <w:sz w:val="15"/>
              </w:rPr>
              <w:t xml:space="preserve">Brazil </w:t>
            </w:r>
          </w:p>
        </w:tc>
        <w:tc>
          <w:tcPr>
            <w:tcW w:w="675" w:type="pct"/>
          </w:tcPr>
          <w:p w14:paraId="3D48F97B" w14:textId="77777777" w:rsidR="00EB7374" w:rsidRPr="0009144C" w:rsidRDefault="00EB7374" w:rsidP="00C700EB">
            <w:pPr>
              <w:jc w:val="center"/>
              <w:rPr>
                <w:sz w:val="15"/>
                <w:szCs w:val="15"/>
              </w:rPr>
            </w:pPr>
            <w:r>
              <w:rPr>
                <w:sz w:val="15"/>
              </w:rPr>
              <w:t>2018*</w:t>
            </w:r>
          </w:p>
        </w:tc>
        <w:tc>
          <w:tcPr>
            <w:tcW w:w="470" w:type="pct"/>
          </w:tcPr>
          <w:p w14:paraId="3397ACE4" w14:textId="77777777" w:rsidR="00EB7374" w:rsidRPr="0009144C" w:rsidRDefault="00EB7374" w:rsidP="00C700EB">
            <w:pPr>
              <w:jc w:val="center"/>
              <w:rPr>
                <w:sz w:val="15"/>
                <w:szCs w:val="15"/>
              </w:rPr>
            </w:pPr>
            <w:r>
              <w:rPr>
                <w:sz w:val="15"/>
              </w:rPr>
              <w:t>Yes</w:t>
            </w:r>
          </w:p>
        </w:tc>
        <w:tc>
          <w:tcPr>
            <w:tcW w:w="555" w:type="pct"/>
          </w:tcPr>
          <w:p w14:paraId="5CD06C0F" w14:textId="77777777" w:rsidR="00EB7374" w:rsidRPr="0009144C" w:rsidRDefault="00EB7374" w:rsidP="00C700EB">
            <w:pPr>
              <w:jc w:val="center"/>
              <w:rPr>
                <w:sz w:val="15"/>
                <w:szCs w:val="15"/>
              </w:rPr>
            </w:pPr>
            <w:r>
              <w:rPr>
                <w:sz w:val="15"/>
              </w:rPr>
              <w:t>Cargo</w:t>
            </w:r>
          </w:p>
        </w:tc>
        <w:tc>
          <w:tcPr>
            <w:tcW w:w="679" w:type="pct"/>
          </w:tcPr>
          <w:p w14:paraId="42CE755C" w14:textId="77777777" w:rsidR="00EB7374" w:rsidRPr="0009144C" w:rsidRDefault="00EB7374" w:rsidP="00C700EB">
            <w:pPr>
              <w:jc w:val="center"/>
              <w:rPr>
                <w:sz w:val="15"/>
                <w:szCs w:val="15"/>
              </w:rPr>
            </w:pPr>
            <w:r>
              <w:rPr>
                <w:sz w:val="15"/>
              </w:rPr>
              <w:t>No</w:t>
            </w:r>
          </w:p>
        </w:tc>
        <w:tc>
          <w:tcPr>
            <w:tcW w:w="690" w:type="pct"/>
          </w:tcPr>
          <w:p w14:paraId="05791235" w14:textId="77777777" w:rsidR="00EB7374" w:rsidRPr="0009144C" w:rsidRDefault="00EB7374" w:rsidP="00C700EB">
            <w:pPr>
              <w:jc w:val="center"/>
              <w:rPr>
                <w:sz w:val="15"/>
                <w:szCs w:val="15"/>
              </w:rPr>
            </w:pPr>
            <w:r>
              <w:rPr>
                <w:sz w:val="15"/>
              </w:rPr>
              <w:t>FP</w:t>
            </w:r>
          </w:p>
        </w:tc>
        <w:tc>
          <w:tcPr>
            <w:tcW w:w="642" w:type="pct"/>
          </w:tcPr>
          <w:p w14:paraId="10BC2F2F" w14:textId="77777777" w:rsidR="00EB7374" w:rsidRPr="0009144C" w:rsidRDefault="00EB7374" w:rsidP="00C700EB">
            <w:pPr>
              <w:jc w:val="center"/>
              <w:rPr>
                <w:sz w:val="15"/>
                <w:szCs w:val="15"/>
              </w:rPr>
            </w:pPr>
            <w:r>
              <w:rPr>
                <w:sz w:val="15"/>
              </w:rPr>
              <w:t>FD</w:t>
            </w:r>
          </w:p>
        </w:tc>
      </w:tr>
      <w:tr w:rsidR="00EB7374" w:rsidRPr="0009144C" w14:paraId="1B8E59E8" w14:textId="77777777" w:rsidTr="00C700EB">
        <w:tc>
          <w:tcPr>
            <w:tcW w:w="1289" w:type="pct"/>
          </w:tcPr>
          <w:p w14:paraId="0240C80C" w14:textId="77777777" w:rsidR="00EB7374" w:rsidRPr="0009144C" w:rsidRDefault="00EB7374" w:rsidP="00C700EB">
            <w:pPr>
              <w:jc w:val="left"/>
              <w:rPr>
                <w:sz w:val="15"/>
                <w:szCs w:val="15"/>
              </w:rPr>
            </w:pPr>
            <w:r>
              <w:rPr>
                <w:sz w:val="15"/>
              </w:rPr>
              <w:t>Canada (ASA/MoU)</w:t>
            </w:r>
          </w:p>
        </w:tc>
        <w:tc>
          <w:tcPr>
            <w:tcW w:w="675" w:type="pct"/>
          </w:tcPr>
          <w:p w14:paraId="0A471E79" w14:textId="77777777" w:rsidR="00EB7374" w:rsidRPr="0009144C" w:rsidRDefault="00EB7374" w:rsidP="00C700EB">
            <w:pPr>
              <w:jc w:val="center"/>
              <w:rPr>
                <w:sz w:val="15"/>
                <w:szCs w:val="15"/>
              </w:rPr>
            </w:pPr>
            <w:r>
              <w:rPr>
                <w:sz w:val="15"/>
              </w:rPr>
              <w:t>2008</w:t>
            </w:r>
          </w:p>
        </w:tc>
        <w:tc>
          <w:tcPr>
            <w:tcW w:w="470" w:type="pct"/>
          </w:tcPr>
          <w:p w14:paraId="6568BE95" w14:textId="77777777" w:rsidR="00EB7374" w:rsidRPr="0009144C" w:rsidRDefault="00EB7374" w:rsidP="00C700EB">
            <w:pPr>
              <w:jc w:val="center"/>
              <w:rPr>
                <w:sz w:val="15"/>
                <w:szCs w:val="15"/>
              </w:rPr>
            </w:pPr>
            <w:r>
              <w:rPr>
                <w:sz w:val="15"/>
              </w:rPr>
              <w:t>Yes</w:t>
            </w:r>
          </w:p>
        </w:tc>
        <w:tc>
          <w:tcPr>
            <w:tcW w:w="555" w:type="pct"/>
          </w:tcPr>
          <w:p w14:paraId="7E64348E" w14:textId="77777777" w:rsidR="00EB7374" w:rsidRPr="0009144C" w:rsidRDefault="00EB7374" w:rsidP="00C700EB">
            <w:pPr>
              <w:jc w:val="center"/>
              <w:rPr>
                <w:sz w:val="15"/>
                <w:szCs w:val="15"/>
              </w:rPr>
            </w:pPr>
            <w:r>
              <w:rPr>
                <w:sz w:val="15"/>
              </w:rPr>
              <w:t>Cargo</w:t>
            </w:r>
          </w:p>
        </w:tc>
        <w:tc>
          <w:tcPr>
            <w:tcW w:w="679" w:type="pct"/>
          </w:tcPr>
          <w:p w14:paraId="654125B8" w14:textId="77777777" w:rsidR="00EB7374" w:rsidRPr="0009144C" w:rsidRDefault="00EB7374" w:rsidP="00C700EB">
            <w:pPr>
              <w:jc w:val="center"/>
              <w:rPr>
                <w:sz w:val="15"/>
                <w:szCs w:val="15"/>
              </w:rPr>
            </w:pPr>
            <w:r>
              <w:rPr>
                <w:sz w:val="15"/>
              </w:rPr>
              <w:t>No</w:t>
            </w:r>
          </w:p>
        </w:tc>
        <w:tc>
          <w:tcPr>
            <w:tcW w:w="690" w:type="pct"/>
          </w:tcPr>
          <w:p w14:paraId="0F50E0AF" w14:textId="77777777" w:rsidR="00EB7374" w:rsidRPr="0009144C" w:rsidRDefault="00EB7374" w:rsidP="00C700EB">
            <w:pPr>
              <w:jc w:val="center"/>
              <w:rPr>
                <w:sz w:val="15"/>
                <w:szCs w:val="15"/>
              </w:rPr>
            </w:pPr>
            <w:r>
              <w:rPr>
                <w:sz w:val="15"/>
              </w:rPr>
              <w:t>FP</w:t>
            </w:r>
          </w:p>
        </w:tc>
        <w:tc>
          <w:tcPr>
            <w:tcW w:w="642" w:type="pct"/>
          </w:tcPr>
          <w:p w14:paraId="2CC84F13" w14:textId="77777777" w:rsidR="00EB7374" w:rsidRPr="0009144C" w:rsidRDefault="00EB7374" w:rsidP="00C700EB">
            <w:pPr>
              <w:jc w:val="center"/>
              <w:rPr>
                <w:sz w:val="15"/>
                <w:szCs w:val="15"/>
              </w:rPr>
            </w:pPr>
            <w:r>
              <w:rPr>
                <w:sz w:val="15"/>
              </w:rPr>
              <w:t xml:space="preserve">FD </w:t>
            </w:r>
          </w:p>
        </w:tc>
      </w:tr>
      <w:tr w:rsidR="00EB7374" w:rsidRPr="0009144C" w14:paraId="40293CDC" w14:textId="77777777" w:rsidTr="00C700EB">
        <w:trPr>
          <w:cnfStyle w:val="000000010000" w:firstRow="0" w:lastRow="0" w:firstColumn="0" w:lastColumn="0" w:oddVBand="0" w:evenVBand="0" w:oddHBand="0" w:evenHBand="1" w:firstRowFirstColumn="0" w:firstRowLastColumn="0" w:lastRowFirstColumn="0" w:lastRowLastColumn="0"/>
        </w:trPr>
        <w:tc>
          <w:tcPr>
            <w:tcW w:w="1289" w:type="pct"/>
          </w:tcPr>
          <w:p w14:paraId="3F1BD021" w14:textId="77777777" w:rsidR="00EB7374" w:rsidRPr="0009144C" w:rsidRDefault="00EB7374" w:rsidP="00C700EB">
            <w:pPr>
              <w:jc w:val="left"/>
              <w:rPr>
                <w:sz w:val="15"/>
                <w:szCs w:val="15"/>
              </w:rPr>
            </w:pPr>
            <w:r>
              <w:rPr>
                <w:sz w:val="15"/>
              </w:rPr>
              <w:t>Chile</w:t>
            </w:r>
          </w:p>
        </w:tc>
        <w:tc>
          <w:tcPr>
            <w:tcW w:w="675" w:type="pct"/>
          </w:tcPr>
          <w:p w14:paraId="290C5A55" w14:textId="77777777" w:rsidR="00EB7374" w:rsidRPr="0009144C" w:rsidRDefault="00EB7374" w:rsidP="00C700EB">
            <w:pPr>
              <w:jc w:val="center"/>
              <w:rPr>
                <w:sz w:val="15"/>
                <w:szCs w:val="15"/>
              </w:rPr>
            </w:pPr>
            <w:r>
              <w:rPr>
                <w:sz w:val="15"/>
              </w:rPr>
              <w:t>2009</w:t>
            </w:r>
          </w:p>
        </w:tc>
        <w:tc>
          <w:tcPr>
            <w:tcW w:w="470" w:type="pct"/>
          </w:tcPr>
          <w:p w14:paraId="59F22846" w14:textId="77777777" w:rsidR="00EB7374" w:rsidRPr="0009144C" w:rsidRDefault="00EB7374" w:rsidP="00C700EB">
            <w:pPr>
              <w:jc w:val="center"/>
              <w:rPr>
                <w:sz w:val="15"/>
                <w:szCs w:val="15"/>
              </w:rPr>
            </w:pPr>
            <w:r>
              <w:rPr>
                <w:sz w:val="15"/>
              </w:rPr>
              <w:t>Yes</w:t>
            </w:r>
          </w:p>
        </w:tc>
        <w:tc>
          <w:tcPr>
            <w:tcW w:w="555" w:type="pct"/>
          </w:tcPr>
          <w:p w14:paraId="39FFE484" w14:textId="77777777" w:rsidR="00EB7374" w:rsidRPr="0009144C" w:rsidRDefault="00EB7374" w:rsidP="00C700EB">
            <w:pPr>
              <w:jc w:val="center"/>
              <w:rPr>
                <w:sz w:val="15"/>
                <w:szCs w:val="15"/>
              </w:rPr>
            </w:pPr>
            <w:r>
              <w:rPr>
                <w:sz w:val="15"/>
              </w:rPr>
              <w:t>Cargo</w:t>
            </w:r>
          </w:p>
        </w:tc>
        <w:tc>
          <w:tcPr>
            <w:tcW w:w="679" w:type="pct"/>
          </w:tcPr>
          <w:p w14:paraId="28EE62B0" w14:textId="77777777" w:rsidR="00EB7374" w:rsidRPr="0009144C" w:rsidRDefault="00EB7374" w:rsidP="00C700EB">
            <w:pPr>
              <w:jc w:val="center"/>
              <w:rPr>
                <w:sz w:val="15"/>
                <w:szCs w:val="15"/>
              </w:rPr>
            </w:pPr>
            <w:r>
              <w:rPr>
                <w:sz w:val="15"/>
              </w:rPr>
              <w:t>No</w:t>
            </w:r>
          </w:p>
        </w:tc>
        <w:tc>
          <w:tcPr>
            <w:tcW w:w="690" w:type="pct"/>
          </w:tcPr>
          <w:p w14:paraId="5C4CBF65" w14:textId="77777777" w:rsidR="00EB7374" w:rsidRPr="0009144C" w:rsidRDefault="00EB7374" w:rsidP="00C700EB">
            <w:pPr>
              <w:jc w:val="center"/>
              <w:rPr>
                <w:sz w:val="15"/>
                <w:szCs w:val="15"/>
              </w:rPr>
            </w:pPr>
            <w:r>
              <w:rPr>
                <w:sz w:val="15"/>
              </w:rPr>
              <w:t>FP</w:t>
            </w:r>
          </w:p>
        </w:tc>
        <w:tc>
          <w:tcPr>
            <w:tcW w:w="642" w:type="pct"/>
          </w:tcPr>
          <w:p w14:paraId="07576E25" w14:textId="77777777" w:rsidR="00EB7374" w:rsidRPr="0009144C" w:rsidRDefault="00EB7374" w:rsidP="00C700EB">
            <w:pPr>
              <w:jc w:val="center"/>
              <w:rPr>
                <w:sz w:val="15"/>
                <w:szCs w:val="15"/>
              </w:rPr>
            </w:pPr>
            <w:r>
              <w:rPr>
                <w:sz w:val="15"/>
              </w:rPr>
              <w:t xml:space="preserve">FD </w:t>
            </w:r>
          </w:p>
        </w:tc>
      </w:tr>
      <w:tr w:rsidR="00EB7374" w:rsidRPr="0009144C" w14:paraId="7DC57AC9" w14:textId="77777777" w:rsidTr="00C700EB">
        <w:tc>
          <w:tcPr>
            <w:tcW w:w="1289" w:type="pct"/>
          </w:tcPr>
          <w:p w14:paraId="09109F57" w14:textId="77777777" w:rsidR="00EB7374" w:rsidRPr="0009144C" w:rsidRDefault="00EB7374" w:rsidP="00C700EB">
            <w:pPr>
              <w:jc w:val="left"/>
              <w:rPr>
                <w:sz w:val="15"/>
                <w:szCs w:val="15"/>
              </w:rPr>
            </w:pPr>
            <w:r>
              <w:rPr>
                <w:sz w:val="15"/>
              </w:rPr>
              <w:t>China</w:t>
            </w:r>
          </w:p>
        </w:tc>
        <w:tc>
          <w:tcPr>
            <w:tcW w:w="675" w:type="pct"/>
          </w:tcPr>
          <w:p w14:paraId="5DBD70CB" w14:textId="77777777" w:rsidR="00EB7374" w:rsidRPr="0009144C" w:rsidRDefault="00EB7374" w:rsidP="00C700EB">
            <w:pPr>
              <w:jc w:val="center"/>
              <w:rPr>
                <w:sz w:val="15"/>
                <w:szCs w:val="15"/>
              </w:rPr>
            </w:pPr>
            <w:r>
              <w:rPr>
                <w:sz w:val="15"/>
              </w:rPr>
              <w:t>2018</w:t>
            </w:r>
          </w:p>
        </w:tc>
        <w:tc>
          <w:tcPr>
            <w:tcW w:w="470" w:type="pct"/>
          </w:tcPr>
          <w:p w14:paraId="479D11AF" w14:textId="77777777" w:rsidR="00EB7374" w:rsidRPr="0009144C" w:rsidRDefault="00EB7374" w:rsidP="00C700EB">
            <w:pPr>
              <w:jc w:val="center"/>
              <w:rPr>
                <w:sz w:val="15"/>
                <w:szCs w:val="15"/>
              </w:rPr>
            </w:pPr>
            <w:r>
              <w:rPr>
                <w:sz w:val="15"/>
              </w:rPr>
              <w:t>Yes</w:t>
            </w:r>
          </w:p>
        </w:tc>
        <w:tc>
          <w:tcPr>
            <w:tcW w:w="555" w:type="pct"/>
          </w:tcPr>
          <w:p w14:paraId="6FBC3CAA" w14:textId="77777777" w:rsidR="00EB7374" w:rsidRPr="0009144C" w:rsidRDefault="00EB7374" w:rsidP="00C700EB">
            <w:pPr>
              <w:jc w:val="center"/>
              <w:rPr>
                <w:sz w:val="15"/>
                <w:szCs w:val="15"/>
              </w:rPr>
            </w:pPr>
            <w:r>
              <w:rPr>
                <w:sz w:val="15"/>
              </w:rPr>
              <w:t>No</w:t>
            </w:r>
          </w:p>
        </w:tc>
        <w:tc>
          <w:tcPr>
            <w:tcW w:w="679" w:type="pct"/>
          </w:tcPr>
          <w:p w14:paraId="23703AA6" w14:textId="77777777" w:rsidR="00EB7374" w:rsidRPr="0009144C" w:rsidRDefault="00EB7374" w:rsidP="00C700EB">
            <w:pPr>
              <w:jc w:val="center"/>
              <w:rPr>
                <w:sz w:val="15"/>
                <w:szCs w:val="15"/>
              </w:rPr>
            </w:pPr>
            <w:r>
              <w:rPr>
                <w:sz w:val="15"/>
              </w:rPr>
              <w:t>No</w:t>
            </w:r>
          </w:p>
        </w:tc>
        <w:tc>
          <w:tcPr>
            <w:tcW w:w="690" w:type="pct"/>
          </w:tcPr>
          <w:p w14:paraId="2386B392" w14:textId="77777777" w:rsidR="00EB7374" w:rsidRPr="0009144C" w:rsidRDefault="00EB7374" w:rsidP="00C700EB">
            <w:pPr>
              <w:jc w:val="center"/>
              <w:rPr>
                <w:sz w:val="15"/>
                <w:szCs w:val="15"/>
              </w:rPr>
            </w:pPr>
            <w:r>
              <w:rPr>
                <w:sz w:val="15"/>
              </w:rPr>
              <w:t>PD</w:t>
            </w:r>
          </w:p>
        </w:tc>
        <w:tc>
          <w:tcPr>
            <w:tcW w:w="642" w:type="pct"/>
          </w:tcPr>
          <w:p w14:paraId="01A3A389" w14:textId="77777777" w:rsidR="00EB7374" w:rsidRPr="0009144C" w:rsidRDefault="00EB7374" w:rsidP="00C700EB">
            <w:pPr>
              <w:jc w:val="center"/>
              <w:rPr>
                <w:sz w:val="15"/>
                <w:szCs w:val="15"/>
              </w:rPr>
            </w:pPr>
            <w:r>
              <w:rPr>
                <w:sz w:val="15"/>
              </w:rPr>
              <w:t>PD</w:t>
            </w:r>
          </w:p>
        </w:tc>
      </w:tr>
      <w:tr w:rsidR="00EB7374" w:rsidRPr="0009144C" w14:paraId="5C5DB2C8" w14:textId="77777777" w:rsidTr="00C700EB">
        <w:trPr>
          <w:cnfStyle w:val="000000010000" w:firstRow="0" w:lastRow="0" w:firstColumn="0" w:lastColumn="0" w:oddVBand="0" w:evenVBand="0" w:oddHBand="0" w:evenHBand="1" w:firstRowFirstColumn="0" w:firstRowLastColumn="0" w:lastRowFirstColumn="0" w:lastRowLastColumn="0"/>
        </w:trPr>
        <w:tc>
          <w:tcPr>
            <w:tcW w:w="1289" w:type="pct"/>
          </w:tcPr>
          <w:p w14:paraId="1C045DD2" w14:textId="77777777" w:rsidR="00EB7374" w:rsidRPr="0009144C" w:rsidRDefault="00EB7374" w:rsidP="00C700EB">
            <w:pPr>
              <w:jc w:val="left"/>
              <w:rPr>
                <w:sz w:val="15"/>
                <w:szCs w:val="15"/>
              </w:rPr>
            </w:pPr>
            <w:r>
              <w:rPr>
                <w:sz w:val="15"/>
              </w:rPr>
              <w:t>Colombia</w:t>
            </w:r>
          </w:p>
        </w:tc>
        <w:tc>
          <w:tcPr>
            <w:tcW w:w="675" w:type="pct"/>
          </w:tcPr>
          <w:p w14:paraId="6E8FF669" w14:textId="77777777" w:rsidR="00EB7374" w:rsidRPr="0009144C" w:rsidRDefault="00EB7374" w:rsidP="00C700EB">
            <w:pPr>
              <w:jc w:val="center"/>
              <w:rPr>
                <w:sz w:val="15"/>
                <w:szCs w:val="15"/>
              </w:rPr>
            </w:pPr>
            <w:r>
              <w:rPr>
                <w:sz w:val="15"/>
              </w:rPr>
              <w:t>2011/2013*</w:t>
            </w:r>
          </w:p>
        </w:tc>
        <w:tc>
          <w:tcPr>
            <w:tcW w:w="470" w:type="pct"/>
          </w:tcPr>
          <w:p w14:paraId="23ED1208" w14:textId="77777777" w:rsidR="00EB7374" w:rsidRPr="0009144C" w:rsidRDefault="00EB7374" w:rsidP="00C700EB">
            <w:pPr>
              <w:jc w:val="center"/>
              <w:rPr>
                <w:sz w:val="15"/>
                <w:szCs w:val="15"/>
              </w:rPr>
            </w:pPr>
            <w:r>
              <w:rPr>
                <w:sz w:val="15"/>
              </w:rPr>
              <w:t>Yes</w:t>
            </w:r>
          </w:p>
        </w:tc>
        <w:tc>
          <w:tcPr>
            <w:tcW w:w="555" w:type="pct"/>
          </w:tcPr>
          <w:p w14:paraId="58D9885C" w14:textId="77777777" w:rsidR="00EB7374" w:rsidRPr="0009144C" w:rsidRDefault="00EB7374" w:rsidP="00C700EB">
            <w:pPr>
              <w:jc w:val="center"/>
              <w:rPr>
                <w:sz w:val="15"/>
                <w:szCs w:val="15"/>
              </w:rPr>
            </w:pPr>
            <w:r>
              <w:rPr>
                <w:sz w:val="15"/>
              </w:rPr>
              <w:t>No</w:t>
            </w:r>
          </w:p>
        </w:tc>
        <w:tc>
          <w:tcPr>
            <w:tcW w:w="679" w:type="pct"/>
          </w:tcPr>
          <w:p w14:paraId="2C5107E4" w14:textId="77777777" w:rsidR="00EB7374" w:rsidRPr="0009144C" w:rsidRDefault="00EB7374" w:rsidP="00C700EB">
            <w:pPr>
              <w:jc w:val="center"/>
              <w:rPr>
                <w:sz w:val="15"/>
                <w:szCs w:val="15"/>
              </w:rPr>
            </w:pPr>
            <w:r>
              <w:rPr>
                <w:sz w:val="15"/>
              </w:rPr>
              <w:t>No</w:t>
            </w:r>
          </w:p>
        </w:tc>
        <w:tc>
          <w:tcPr>
            <w:tcW w:w="690" w:type="pct"/>
          </w:tcPr>
          <w:p w14:paraId="3BA880D5" w14:textId="77777777" w:rsidR="00EB7374" w:rsidRPr="0009144C" w:rsidRDefault="00EB7374" w:rsidP="00C700EB">
            <w:pPr>
              <w:jc w:val="center"/>
              <w:rPr>
                <w:sz w:val="15"/>
                <w:szCs w:val="15"/>
              </w:rPr>
            </w:pPr>
            <w:r>
              <w:rPr>
                <w:sz w:val="15"/>
              </w:rPr>
              <w:t>CO</w:t>
            </w:r>
          </w:p>
        </w:tc>
        <w:tc>
          <w:tcPr>
            <w:tcW w:w="642" w:type="pct"/>
          </w:tcPr>
          <w:p w14:paraId="4A633E66" w14:textId="77777777" w:rsidR="00EB7374" w:rsidRPr="0009144C" w:rsidRDefault="00EB7374" w:rsidP="00C700EB">
            <w:pPr>
              <w:jc w:val="center"/>
              <w:rPr>
                <w:sz w:val="15"/>
                <w:szCs w:val="15"/>
              </w:rPr>
            </w:pPr>
            <w:r>
              <w:rPr>
                <w:sz w:val="15"/>
              </w:rPr>
              <w:t>PD</w:t>
            </w:r>
          </w:p>
        </w:tc>
      </w:tr>
      <w:tr w:rsidR="00EB7374" w:rsidRPr="0009144C" w14:paraId="1148C1C8" w14:textId="77777777" w:rsidTr="00C700EB">
        <w:tc>
          <w:tcPr>
            <w:tcW w:w="1289" w:type="pct"/>
          </w:tcPr>
          <w:p w14:paraId="11A099CC" w14:textId="77777777" w:rsidR="00EB7374" w:rsidRPr="0009144C" w:rsidRDefault="00EB7374" w:rsidP="00C700EB">
            <w:pPr>
              <w:jc w:val="left"/>
              <w:rPr>
                <w:sz w:val="15"/>
                <w:szCs w:val="15"/>
              </w:rPr>
            </w:pPr>
            <w:r>
              <w:rPr>
                <w:sz w:val="15"/>
              </w:rPr>
              <w:t>Costa Rica</w:t>
            </w:r>
          </w:p>
        </w:tc>
        <w:tc>
          <w:tcPr>
            <w:tcW w:w="675" w:type="pct"/>
          </w:tcPr>
          <w:p w14:paraId="5938D33E" w14:textId="77777777" w:rsidR="00EB7374" w:rsidRPr="0009144C" w:rsidRDefault="00EB7374" w:rsidP="00C700EB">
            <w:pPr>
              <w:jc w:val="center"/>
              <w:rPr>
                <w:sz w:val="15"/>
                <w:szCs w:val="15"/>
              </w:rPr>
            </w:pPr>
            <w:r>
              <w:rPr>
                <w:sz w:val="15"/>
              </w:rPr>
              <w:t>2022*</w:t>
            </w:r>
          </w:p>
        </w:tc>
        <w:tc>
          <w:tcPr>
            <w:tcW w:w="470" w:type="pct"/>
          </w:tcPr>
          <w:p w14:paraId="740CCAD6" w14:textId="77777777" w:rsidR="00EB7374" w:rsidRPr="0009144C" w:rsidRDefault="00EB7374" w:rsidP="00C700EB">
            <w:pPr>
              <w:jc w:val="center"/>
              <w:rPr>
                <w:sz w:val="15"/>
                <w:szCs w:val="15"/>
              </w:rPr>
            </w:pPr>
            <w:r>
              <w:rPr>
                <w:sz w:val="15"/>
              </w:rPr>
              <w:t>Yes</w:t>
            </w:r>
          </w:p>
        </w:tc>
        <w:tc>
          <w:tcPr>
            <w:tcW w:w="555" w:type="pct"/>
          </w:tcPr>
          <w:p w14:paraId="29CE615D" w14:textId="77777777" w:rsidR="00EB7374" w:rsidRPr="0009144C" w:rsidRDefault="00EB7374" w:rsidP="00C700EB">
            <w:pPr>
              <w:jc w:val="center"/>
              <w:rPr>
                <w:sz w:val="15"/>
                <w:szCs w:val="15"/>
              </w:rPr>
            </w:pPr>
            <w:r>
              <w:rPr>
                <w:sz w:val="15"/>
              </w:rPr>
              <w:t>Cargo</w:t>
            </w:r>
          </w:p>
        </w:tc>
        <w:tc>
          <w:tcPr>
            <w:tcW w:w="679" w:type="pct"/>
          </w:tcPr>
          <w:p w14:paraId="6D79FCBB" w14:textId="77777777" w:rsidR="00EB7374" w:rsidRPr="0009144C" w:rsidRDefault="00EB7374" w:rsidP="00C700EB">
            <w:pPr>
              <w:jc w:val="center"/>
              <w:rPr>
                <w:sz w:val="15"/>
                <w:szCs w:val="15"/>
              </w:rPr>
            </w:pPr>
            <w:r>
              <w:rPr>
                <w:sz w:val="15"/>
              </w:rPr>
              <w:t>No</w:t>
            </w:r>
          </w:p>
        </w:tc>
        <w:tc>
          <w:tcPr>
            <w:tcW w:w="690" w:type="pct"/>
          </w:tcPr>
          <w:p w14:paraId="7BE18ADD" w14:textId="77777777" w:rsidR="00EB7374" w:rsidRPr="0009144C" w:rsidRDefault="00EB7374" w:rsidP="00C700EB">
            <w:pPr>
              <w:jc w:val="center"/>
              <w:rPr>
                <w:sz w:val="15"/>
                <w:szCs w:val="15"/>
              </w:rPr>
            </w:pPr>
            <w:r>
              <w:rPr>
                <w:sz w:val="15"/>
              </w:rPr>
              <w:t>FP</w:t>
            </w:r>
          </w:p>
        </w:tc>
        <w:tc>
          <w:tcPr>
            <w:tcW w:w="642" w:type="pct"/>
          </w:tcPr>
          <w:p w14:paraId="16994716" w14:textId="77777777" w:rsidR="00EB7374" w:rsidRPr="0009144C" w:rsidRDefault="00EB7374" w:rsidP="00C700EB">
            <w:pPr>
              <w:jc w:val="center"/>
              <w:rPr>
                <w:sz w:val="15"/>
                <w:szCs w:val="15"/>
              </w:rPr>
            </w:pPr>
            <w:r>
              <w:rPr>
                <w:sz w:val="15"/>
              </w:rPr>
              <w:t>FD</w:t>
            </w:r>
          </w:p>
        </w:tc>
      </w:tr>
      <w:tr w:rsidR="00EB7374" w:rsidRPr="0009144C" w14:paraId="19473959" w14:textId="77777777" w:rsidTr="00C700EB">
        <w:trPr>
          <w:cnfStyle w:val="000000010000" w:firstRow="0" w:lastRow="0" w:firstColumn="0" w:lastColumn="0" w:oddVBand="0" w:evenVBand="0" w:oddHBand="0" w:evenHBand="1" w:firstRowFirstColumn="0" w:firstRowLastColumn="0" w:lastRowFirstColumn="0" w:lastRowLastColumn="0"/>
        </w:trPr>
        <w:tc>
          <w:tcPr>
            <w:tcW w:w="1289" w:type="pct"/>
          </w:tcPr>
          <w:p w14:paraId="2F3EBE45" w14:textId="77777777" w:rsidR="00EB7374" w:rsidRPr="0009144C" w:rsidRDefault="00EB7374" w:rsidP="00C700EB">
            <w:pPr>
              <w:jc w:val="left"/>
              <w:rPr>
                <w:sz w:val="15"/>
                <w:szCs w:val="15"/>
              </w:rPr>
            </w:pPr>
            <w:r>
              <w:rPr>
                <w:sz w:val="15"/>
              </w:rPr>
              <w:t>Cuba</w:t>
            </w:r>
          </w:p>
        </w:tc>
        <w:tc>
          <w:tcPr>
            <w:tcW w:w="675" w:type="pct"/>
          </w:tcPr>
          <w:p w14:paraId="151621C7" w14:textId="77777777" w:rsidR="00EB7374" w:rsidRPr="0009144C" w:rsidRDefault="00EB7374" w:rsidP="00C700EB">
            <w:pPr>
              <w:jc w:val="center"/>
              <w:rPr>
                <w:sz w:val="15"/>
                <w:szCs w:val="15"/>
              </w:rPr>
            </w:pPr>
            <w:r>
              <w:rPr>
                <w:sz w:val="15"/>
              </w:rPr>
              <w:t>2005</w:t>
            </w:r>
          </w:p>
        </w:tc>
        <w:tc>
          <w:tcPr>
            <w:tcW w:w="470" w:type="pct"/>
          </w:tcPr>
          <w:p w14:paraId="0D1A986D" w14:textId="77777777" w:rsidR="00EB7374" w:rsidRPr="0009144C" w:rsidRDefault="00EB7374" w:rsidP="00C700EB">
            <w:pPr>
              <w:jc w:val="center"/>
              <w:rPr>
                <w:sz w:val="15"/>
                <w:szCs w:val="15"/>
              </w:rPr>
            </w:pPr>
            <w:r>
              <w:rPr>
                <w:sz w:val="15"/>
              </w:rPr>
              <w:t>Yes</w:t>
            </w:r>
          </w:p>
        </w:tc>
        <w:tc>
          <w:tcPr>
            <w:tcW w:w="555" w:type="pct"/>
          </w:tcPr>
          <w:p w14:paraId="50564BDD" w14:textId="77777777" w:rsidR="00EB7374" w:rsidRPr="0009144C" w:rsidRDefault="00EB7374" w:rsidP="00C700EB">
            <w:pPr>
              <w:jc w:val="center"/>
              <w:rPr>
                <w:sz w:val="15"/>
                <w:szCs w:val="15"/>
              </w:rPr>
            </w:pPr>
            <w:r>
              <w:rPr>
                <w:sz w:val="15"/>
              </w:rPr>
              <w:t>No</w:t>
            </w:r>
          </w:p>
        </w:tc>
        <w:tc>
          <w:tcPr>
            <w:tcW w:w="679" w:type="pct"/>
          </w:tcPr>
          <w:p w14:paraId="19A934F4" w14:textId="77777777" w:rsidR="00EB7374" w:rsidRPr="0009144C" w:rsidRDefault="00EB7374" w:rsidP="00C700EB">
            <w:pPr>
              <w:jc w:val="center"/>
              <w:rPr>
                <w:sz w:val="15"/>
                <w:szCs w:val="15"/>
              </w:rPr>
            </w:pPr>
            <w:r>
              <w:rPr>
                <w:sz w:val="15"/>
              </w:rPr>
              <w:t>No</w:t>
            </w:r>
          </w:p>
        </w:tc>
        <w:tc>
          <w:tcPr>
            <w:tcW w:w="690" w:type="pct"/>
          </w:tcPr>
          <w:p w14:paraId="0B613C0D" w14:textId="77777777" w:rsidR="00EB7374" w:rsidRPr="0009144C" w:rsidRDefault="00EB7374" w:rsidP="00C700EB">
            <w:pPr>
              <w:jc w:val="center"/>
              <w:rPr>
                <w:sz w:val="15"/>
                <w:szCs w:val="15"/>
              </w:rPr>
            </w:pPr>
            <w:r>
              <w:rPr>
                <w:sz w:val="15"/>
              </w:rPr>
              <w:t>CO</w:t>
            </w:r>
          </w:p>
        </w:tc>
        <w:tc>
          <w:tcPr>
            <w:tcW w:w="642" w:type="pct"/>
          </w:tcPr>
          <w:p w14:paraId="2C49762C" w14:textId="77777777" w:rsidR="00EB7374" w:rsidRPr="0009144C" w:rsidRDefault="00EB7374" w:rsidP="00C700EB">
            <w:pPr>
              <w:jc w:val="center"/>
              <w:rPr>
                <w:sz w:val="15"/>
                <w:szCs w:val="15"/>
              </w:rPr>
            </w:pPr>
            <w:r>
              <w:rPr>
                <w:sz w:val="15"/>
              </w:rPr>
              <w:t>PD</w:t>
            </w:r>
          </w:p>
        </w:tc>
      </w:tr>
      <w:tr w:rsidR="00EB7374" w:rsidRPr="00CC405F" w14:paraId="3FBBB4C6" w14:textId="77777777" w:rsidTr="00153C22">
        <w:tc>
          <w:tcPr>
            <w:tcW w:w="1289" w:type="pct"/>
          </w:tcPr>
          <w:p w14:paraId="5C6FCA1F" w14:textId="77777777" w:rsidR="00EB7374" w:rsidRPr="00CC405F" w:rsidRDefault="00EB7374" w:rsidP="00153C22">
            <w:pPr>
              <w:jc w:val="left"/>
              <w:rPr>
                <w:sz w:val="15"/>
                <w:szCs w:val="15"/>
              </w:rPr>
            </w:pPr>
            <w:r>
              <w:rPr>
                <w:sz w:val="15"/>
              </w:rPr>
              <w:t xml:space="preserve">Czech Republic </w:t>
            </w:r>
          </w:p>
        </w:tc>
        <w:tc>
          <w:tcPr>
            <w:tcW w:w="675" w:type="pct"/>
          </w:tcPr>
          <w:p w14:paraId="47A9E958" w14:textId="77777777" w:rsidR="00EB7374" w:rsidRPr="00CC405F" w:rsidRDefault="00EB7374" w:rsidP="00153C22">
            <w:pPr>
              <w:jc w:val="center"/>
              <w:rPr>
                <w:sz w:val="15"/>
                <w:szCs w:val="15"/>
              </w:rPr>
            </w:pPr>
            <w:r>
              <w:rPr>
                <w:sz w:val="15"/>
              </w:rPr>
              <w:t>2016*</w:t>
            </w:r>
          </w:p>
        </w:tc>
        <w:tc>
          <w:tcPr>
            <w:tcW w:w="470" w:type="pct"/>
          </w:tcPr>
          <w:p w14:paraId="5C69A5E4" w14:textId="77777777" w:rsidR="00EB7374" w:rsidRPr="00CC405F" w:rsidRDefault="00EB7374" w:rsidP="00153C22">
            <w:pPr>
              <w:jc w:val="center"/>
              <w:rPr>
                <w:sz w:val="15"/>
                <w:szCs w:val="15"/>
              </w:rPr>
            </w:pPr>
            <w:r>
              <w:rPr>
                <w:sz w:val="15"/>
              </w:rPr>
              <w:t>Yes</w:t>
            </w:r>
          </w:p>
        </w:tc>
        <w:tc>
          <w:tcPr>
            <w:tcW w:w="555" w:type="pct"/>
          </w:tcPr>
          <w:p w14:paraId="5C0DFC42" w14:textId="77777777" w:rsidR="00EB7374" w:rsidRPr="00CC405F" w:rsidRDefault="00EB7374" w:rsidP="00153C22">
            <w:pPr>
              <w:jc w:val="center"/>
              <w:rPr>
                <w:sz w:val="15"/>
                <w:szCs w:val="15"/>
              </w:rPr>
            </w:pPr>
            <w:r>
              <w:rPr>
                <w:sz w:val="15"/>
              </w:rPr>
              <w:t>No</w:t>
            </w:r>
          </w:p>
        </w:tc>
        <w:tc>
          <w:tcPr>
            <w:tcW w:w="679" w:type="pct"/>
          </w:tcPr>
          <w:p w14:paraId="1F93676A" w14:textId="77777777" w:rsidR="00EB7374" w:rsidRPr="00CC405F" w:rsidRDefault="00EB7374" w:rsidP="00153C22">
            <w:pPr>
              <w:jc w:val="center"/>
              <w:rPr>
                <w:sz w:val="15"/>
                <w:szCs w:val="15"/>
              </w:rPr>
            </w:pPr>
            <w:r>
              <w:rPr>
                <w:sz w:val="15"/>
              </w:rPr>
              <w:t>No</w:t>
            </w:r>
          </w:p>
        </w:tc>
        <w:tc>
          <w:tcPr>
            <w:tcW w:w="690" w:type="pct"/>
          </w:tcPr>
          <w:p w14:paraId="74F31583" w14:textId="77777777" w:rsidR="00EB7374" w:rsidRPr="00CC405F" w:rsidRDefault="00EB7374" w:rsidP="00153C22">
            <w:pPr>
              <w:jc w:val="center"/>
              <w:rPr>
                <w:sz w:val="15"/>
                <w:szCs w:val="15"/>
              </w:rPr>
            </w:pPr>
            <w:r>
              <w:rPr>
                <w:sz w:val="15"/>
              </w:rPr>
              <w:t>PD</w:t>
            </w:r>
          </w:p>
        </w:tc>
        <w:tc>
          <w:tcPr>
            <w:tcW w:w="642" w:type="pct"/>
          </w:tcPr>
          <w:p w14:paraId="2C8D31C9" w14:textId="77777777" w:rsidR="00EB7374" w:rsidRPr="00CC405F" w:rsidRDefault="00EB7374" w:rsidP="00153C22">
            <w:pPr>
              <w:jc w:val="center"/>
              <w:rPr>
                <w:sz w:val="15"/>
                <w:szCs w:val="15"/>
              </w:rPr>
            </w:pPr>
            <w:r>
              <w:rPr>
                <w:sz w:val="15"/>
              </w:rPr>
              <w:t>PD</w:t>
            </w:r>
          </w:p>
        </w:tc>
      </w:tr>
      <w:tr w:rsidR="00EB7374" w:rsidRPr="0009144C" w14:paraId="2CD329E1" w14:textId="77777777" w:rsidTr="00C700EB">
        <w:trPr>
          <w:cnfStyle w:val="000000010000" w:firstRow="0" w:lastRow="0" w:firstColumn="0" w:lastColumn="0" w:oddVBand="0" w:evenVBand="0" w:oddHBand="0" w:evenHBand="1" w:firstRowFirstColumn="0" w:firstRowLastColumn="0" w:lastRowFirstColumn="0" w:lastRowLastColumn="0"/>
        </w:trPr>
        <w:tc>
          <w:tcPr>
            <w:tcW w:w="1289" w:type="pct"/>
          </w:tcPr>
          <w:p w14:paraId="1F12F815" w14:textId="77777777" w:rsidR="00EB7374" w:rsidRPr="0009144C" w:rsidRDefault="00EB7374" w:rsidP="00C700EB">
            <w:pPr>
              <w:jc w:val="left"/>
              <w:rPr>
                <w:sz w:val="15"/>
                <w:szCs w:val="15"/>
              </w:rPr>
            </w:pPr>
            <w:r>
              <w:rPr>
                <w:sz w:val="15"/>
              </w:rPr>
              <w:t>Denmark (SA/MoU)</w:t>
            </w:r>
          </w:p>
        </w:tc>
        <w:tc>
          <w:tcPr>
            <w:tcW w:w="675" w:type="pct"/>
          </w:tcPr>
          <w:p w14:paraId="35C4038A" w14:textId="77777777" w:rsidR="00EB7374" w:rsidRPr="0009144C" w:rsidRDefault="00EB7374" w:rsidP="00C700EB">
            <w:pPr>
              <w:jc w:val="center"/>
              <w:rPr>
                <w:sz w:val="15"/>
                <w:szCs w:val="15"/>
              </w:rPr>
            </w:pPr>
            <w:r>
              <w:rPr>
                <w:sz w:val="15"/>
              </w:rPr>
              <w:t>2016*</w:t>
            </w:r>
          </w:p>
        </w:tc>
        <w:tc>
          <w:tcPr>
            <w:tcW w:w="470" w:type="pct"/>
          </w:tcPr>
          <w:p w14:paraId="3BC88AAB" w14:textId="77777777" w:rsidR="00EB7374" w:rsidRPr="0009144C" w:rsidRDefault="00EB7374" w:rsidP="00C700EB">
            <w:pPr>
              <w:jc w:val="center"/>
              <w:rPr>
                <w:sz w:val="15"/>
                <w:szCs w:val="15"/>
              </w:rPr>
            </w:pPr>
            <w:r>
              <w:rPr>
                <w:sz w:val="15"/>
              </w:rPr>
              <w:t>Yes</w:t>
            </w:r>
          </w:p>
        </w:tc>
        <w:tc>
          <w:tcPr>
            <w:tcW w:w="555" w:type="pct"/>
          </w:tcPr>
          <w:p w14:paraId="177C8B2E" w14:textId="77777777" w:rsidR="00EB7374" w:rsidRPr="0009144C" w:rsidRDefault="00EB7374" w:rsidP="00C700EB">
            <w:pPr>
              <w:jc w:val="center"/>
              <w:rPr>
                <w:sz w:val="15"/>
                <w:szCs w:val="15"/>
              </w:rPr>
            </w:pPr>
            <w:r>
              <w:rPr>
                <w:sz w:val="15"/>
              </w:rPr>
              <w:t>No</w:t>
            </w:r>
          </w:p>
        </w:tc>
        <w:tc>
          <w:tcPr>
            <w:tcW w:w="679" w:type="pct"/>
          </w:tcPr>
          <w:p w14:paraId="1FF41B03" w14:textId="77777777" w:rsidR="00EB7374" w:rsidRPr="0009144C" w:rsidRDefault="00EB7374" w:rsidP="00C700EB">
            <w:pPr>
              <w:jc w:val="center"/>
              <w:rPr>
                <w:sz w:val="15"/>
                <w:szCs w:val="15"/>
              </w:rPr>
            </w:pPr>
            <w:r>
              <w:rPr>
                <w:sz w:val="15"/>
              </w:rPr>
              <w:t>No</w:t>
            </w:r>
          </w:p>
        </w:tc>
        <w:tc>
          <w:tcPr>
            <w:tcW w:w="690" w:type="pct"/>
          </w:tcPr>
          <w:p w14:paraId="72BCF783" w14:textId="77777777" w:rsidR="00EB7374" w:rsidRPr="0009144C" w:rsidRDefault="00EB7374" w:rsidP="00C700EB">
            <w:pPr>
              <w:jc w:val="center"/>
              <w:rPr>
                <w:sz w:val="15"/>
                <w:szCs w:val="15"/>
              </w:rPr>
            </w:pPr>
            <w:r>
              <w:rPr>
                <w:sz w:val="15"/>
              </w:rPr>
              <w:t>FP</w:t>
            </w:r>
          </w:p>
        </w:tc>
        <w:tc>
          <w:tcPr>
            <w:tcW w:w="642" w:type="pct"/>
          </w:tcPr>
          <w:p w14:paraId="567049FC" w14:textId="77777777" w:rsidR="00EB7374" w:rsidRPr="0009144C" w:rsidRDefault="00EB7374" w:rsidP="00C700EB">
            <w:pPr>
              <w:jc w:val="center"/>
              <w:rPr>
                <w:sz w:val="15"/>
                <w:szCs w:val="15"/>
              </w:rPr>
            </w:pPr>
            <w:r>
              <w:rPr>
                <w:sz w:val="15"/>
              </w:rPr>
              <w:t xml:space="preserve">FD </w:t>
            </w:r>
          </w:p>
        </w:tc>
      </w:tr>
      <w:tr w:rsidR="00EB7374" w:rsidRPr="0009144C" w14:paraId="3CD800BF" w14:textId="77777777" w:rsidTr="00C700EB">
        <w:tc>
          <w:tcPr>
            <w:tcW w:w="1289" w:type="pct"/>
          </w:tcPr>
          <w:p w14:paraId="3BFA74B4" w14:textId="77777777" w:rsidR="00EB7374" w:rsidRPr="0009144C" w:rsidRDefault="00EB7374" w:rsidP="00C700EB">
            <w:pPr>
              <w:jc w:val="left"/>
              <w:rPr>
                <w:sz w:val="15"/>
                <w:szCs w:val="15"/>
              </w:rPr>
            </w:pPr>
            <w:r>
              <w:rPr>
                <w:sz w:val="15"/>
              </w:rPr>
              <w:t>Ecuador</w:t>
            </w:r>
          </w:p>
        </w:tc>
        <w:tc>
          <w:tcPr>
            <w:tcW w:w="675" w:type="pct"/>
          </w:tcPr>
          <w:p w14:paraId="125C00AC" w14:textId="77777777" w:rsidR="00EB7374" w:rsidRPr="0009144C" w:rsidRDefault="00EB7374" w:rsidP="00C700EB">
            <w:pPr>
              <w:jc w:val="center"/>
              <w:rPr>
                <w:sz w:val="15"/>
                <w:szCs w:val="15"/>
              </w:rPr>
            </w:pPr>
            <w:r>
              <w:rPr>
                <w:sz w:val="15"/>
              </w:rPr>
              <w:t>2022*</w:t>
            </w:r>
          </w:p>
        </w:tc>
        <w:tc>
          <w:tcPr>
            <w:tcW w:w="470" w:type="pct"/>
          </w:tcPr>
          <w:p w14:paraId="6E9293CF" w14:textId="77777777" w:rsidR="00EB7374" w:rsidRPr="0009144C" w:rsidRDefault="00EB7374" w:rsidP="00C700EB">
            <w:pPr>
              <w:jc w:val="center"/>
              <w:rPr>
                <w:sz w:val="15"/>
                <w:szCs w:val="15"/>
              </w:rPr>
            </w:pPr>
            <w:r>
              <w:rPr>
                <w:sz w:val="15"/>
              </w:rPr>
              <w:t>Yes</w:t>
            </w:r>
          </w:p>
        </w:tc>
        <w:tc>
          <w:tcPr>
            <w:tcW w:w="555" w:type="pct"/>
          </w:tcPr>
          <w:p w14:paraId="083D576D" w14:textId="77777777" w:rsidR="00EB7374" w:rsidRPr="0009144C" w:rsidRDefault="00EB7374" w:rsidP="00C700EB">
            <w:pPr>
              <w:jc w:val="center"/>
              <w:rPr>
                <w:sz w:val="15"/>
                <w:szCs w:val="15"/>
              </w:rPr>
            </w:pPr>
            <w:r>
              <w:rPr>
                <w:sz w:val="15"/>
              </w:rPr>
              <w:t>Cargo</w:t>
            </w:r>
          </w:p>
        </w:tc>
        <w:tc>
          <w:tcPr>
            <w:tcW w:w="679" w:type="pct"/>
          </w:tcPr>
          <w:p w14:paraId="344FA161" w14:textId="77777777" w:rsidR="00EB7374" w:rsidRPr="0009144C" w:rsidRDefault="00EB7374" w:rsidP="00C700EB">
            <w:pPr>
              <w:jc w:val="center"/>
              <w:rPr>
                <w:sz w:val="15"/>
                <w:szCs w:val="15"/>
              </w:rPr>
            </w:pPr>
            <w:r>
              <w:rPr>
                <w:sz w:val="15"/>
              </w:rPr>
              <w:t>No</w:t>
            </w:r>
          </w:p>
        </w:tc>
        <w:tc>
          <w:tcPr>
            <w:tcW w:w="690" w:type="pct"/>
          </w:tcPr>
          <w:p w14:paraId="6DEEC33A" w14:textId="77777777" w:rsidR="00EB7374" w:rsidRPr="0009144C" w:rsidRDefault="00EB7374" w:rsidP="00C700EB">
            <w:pPr>
              <w:jc w:val="center"/>
              <w:rPr>
                <w:sz w:val="15"/>
                <w:szCs w:val="15"/>
              </w:rPr>
            </w:pPr>
            <w:r>
              <w:rPr>
                <w:sz w:val="15"/>
              </w:rPr>
              <w:t>FP</w:t>
            </w:r>
          </w:p>
        </w:tc>
        <w:tc>
          <w:tcPr>
            <w:tcW w:w="642" w:type="pct"/>
          </w:tcPr>
          <w:p w14:paraId="7BC482B9" w14:textId="77777777" w:rsidR="00EB7374" w:rsidRPr="0009144C" w:rsidRDefault="00EB7374" w:rsidP="00C700EB">
            <w:pPr>
              <w:jc w:val="center"/>
              <w:rPr>
                <w:sz w:val="15"/>
                <w:szCs w:val="15"/>
              </w:rPr>
            </w:pPr>
            <w:r>
              <w:rPr>
                <w:sz w:val="15"/>
              </w:rPr>
              <w:t>PD</w:t>
            </w:r>
          </w:p>
        </w:tc>
      </w:tr>
      <w:tr w:rsidR="00EB7374" w:rsidRPr="0009144C" w14:paraId="61792FAA" w14:textId="77777777" w:rsidTr="00C700EB">
        <w:trPr>
          <w:cnfStyle w:val="000000010000" w:firstRow="0" w:lastRow="0" w:firstColumn="0" w:lastColumn="0" w:oddVBand="0" w:evenVBand="0" w:oddHBand="0" w:evenHBand="1" w:firstRowFirstColumn="0" w:firstRowLastColumn="0" w:lastRowFirstColumn="0" w:lastRowLastColumn="0"/>
        </w:trPr>
        <w:tc>
          <w:tcPr>
            <w:tcW w:w="1289" w:type="pct"/>
          </w:tcPr>
          <w:p w14:paraId="45A17DDF" w14:textId="77777777" w:rsidR="00EB7374" w:rsidRPr="0009144C" w:rsidRDefault="00EB7374" w:rsidP="00C700EB">
            <w:pPr>
              <w:jc w:val="left"/>
              <w:rPr>
                <w:sz w:val="15"/>
                <w:szCs w:val="15"/>
              </w:rPr>
            </w:pPr>
            <w:r>
              <w:rPr>
                <w:sz w:val="15"/>
              </w:rPr>
              <w:t>El Salvador (Minutes)</w:t>
            </w:r>
          </w:p>
        </w:tc>
        <w:tc>
          <w:tcPr>
            <w:tcW w:w="675" w:type="pct"/>
          </w:tcPr>
          <w:p w14:paraId="5F66AFB9" w14:textId="77777777" w:rsidR="00EB7374" w:rsidRPr="0009144C" w:rsidRDefault="00EB7374" w:rsidP="00C700EB">
            <w:pPr>
              <w:jc w:val="center"/>
              <w:rPr>
                <w:sz w:val="15"/>
                <w:szCs w:val="15"/>
              </w:rPr>
            </w:pPr>
            <w:r>
              <w:rPr>
                <w:sz w:val="15"/>
              </w:rPr>
              <w:t>1998</w:t>
            </w:r>
          </w:p>
        </w:tc>
        <w:tc>
          <w:tcPr>
            <w:tcW w:w="470" w:type="pct"/>
          </w:tcPr>
          <w:p w14:paraId="017032A3" w14:textId="77777777" w:rsidR="00EB7374" w:rsidRPr="0009144C" w:rsidRDefault="00EB7374" w:rsidP="00C700EB">
            <w:pPr>
              <w:jc w:val="center"/>
              <w:rPr>
                <w:sz w:val="15"/>
                <w:szCs w:val="15"/>
              </w:rPr>
            </w:pPr>
            <w:r>
              <w:rPr>
                <w:sz w:val="15"/>
              </w:rPr>
              <w:t>Yes</w:t>
            </w:r>
          </w:p>
        </w:tc>
        <w:tc>
          <w:tcPr>
            <w:tcW w:w="555" w:type="pct"/>
          </w:tcPr>
          <w:p w14:paraId="4853564E" w14:textId="77777777" w:rsidR="00EB7374" w:rsidRPr="0009144C" w:rsidRDefault="00EB7374" w:rsidP="00C700EB">
            <w:pPr>
              <w:jc w:val="center"/>
              <w:rPr>
                <w:sz w:val="15"/>
                <w:szCs w:val="15"/>
              </w:rPr>
            </w:pPr>
            <w:r>
              <w:rPr>
                <w:sz w:val="15"/>
              </w:rPr>
              <w:t>No</w:t>
            </w:r>
          </w:p>
        </w:tc>
        <w:tc>
          <w:tcPr>
            <w:tcW w:w="679" w:type="pct"/>
          </w:tcPr>
          <w:p w14:paraId="4022C5EE" w14:textId="77777777" w:rsidR="00EB7374" w:rsidRPr="0009144C" w:rsidRDefault="00EB7374" w:rsidP="00C700EB">
            <w:pPr>
              <w:jc w:val="center"/>
              <w:rPr>
                <w:sz w:val="15"/>
                <w:szCs w:val="15"/>
              </w:rPr>
            </w:pPr>
            <w:r>
              <w:rPr>
                <w:sz w:val="15"/>
              </w:rPr>
              <w:t>No</w:t>
            </w:r>
          </w:p>
        </w:tc>
        <w:tc>
          <w:tcPr>
            <w:tcW w:w="690" w:type="pct"/>
          </w:tcPr>
          <w:p w14:paraId="1110075E" w14:textId="77777777" w:rsidR="00EB7374" w:rsidRPr="0009144C" w:rsidRDefault="00EB7374" w:rsidP="00C700EB">
            <w:pPr>
              <w:jc w:val="center"/>
              <w:rPr>
                <w:sz w:val="15"/>
                <w:szCs w:val="15"/>
              </w:rPr>
            </w:pPr>
            <w:r>
              <w:rPr>
                <w:sz w:val="15"/>
              </w:rPr>
              <w:t>FP</w:t>
            </w:r>
          </w:p>
        </w:tc>
        <w:tc>
          <w:tcPr>
            <w:tcW w:w="642" w:type="pct"/>
          </w:tcPr>
          <w:p w14:paraId="2EF754B3" w14:textId="77777777" w:rsidR="00EB7374" w:rsidRPr="0009144C" w:rsidRDefault="00EB7374" w:rsidP="00C700EB">
            <w:pPr>
              <w:jc w:val="center"/>
              <w:rPr>
                <w:sz w:val="15"/>
                <w:szCs w:val="15"/>
              </w:rPr>
            </w:pPr>
            <w:r>
              <w:rPr>
                <w:sz w:val="15"/>
              </w:rPr>
              <w:t xml:space="preserve">FD </w:t>
            </w:r>
          </w:p>
        </w:tc>
      </w:tr>
      <w:tr w:rsidR="00EB7374" w:rsidRPr="0009144C" w14:paraId="4BFE2ABB" w14:textId="77777777" w:rsidTr="00C700EB">
        <w:tc>
          <w:tcPr>
            <w:tcW w:w="1289" w:type="pct"/>
          </w:tcPr>
          <w:p w14:paraId="01268865" w14:textId="77777777" w:rsidR="00EB7374" w:rsidRPr="0009144C" w:rsidRDefault="00EB7374" w:rsidP="00C700EB">
            <w:pPr>
              <w:jc w:val="left"/>
              <w:rPr>
                <w:sz w:val="15"/>
                <w:szCs w:val="15"/>
              </w:rPr>
            </w:pPr>
            <w:r>
              <w:rPr>
                <w:sz w:val="15"/>
              </w:rPr>
              <w:t>Finland</w:t>
            </w:r>
          </w:p>
        </w:tc>
        <w:tc>
          <w:tcPr>
            <w:tcW w:w="675" w:type="pct"/>
          </w:tcPr>
          <w:p w14:paraId="3E4B32EE" w14:textId="77777777" w:rsidR="00EB7374" w:rsidRPr="0009144C" w:rsidRDefault="00EB7374" w:rsidP="00C700EB">
            <w:pPr>
              <w:jc w:val="center"/>
              <w:rPr>
                <w:sz w:val="15"/>
                <w:szCs w:val="15"/>
              </w:rPr>
            </w:pPr>
            <w:r>
              <w:rPr>
                <w:sz w:val="15"/>
              </w:rPr>
              <w:t>2016</w:t>
            </w:r>
          </w:p>
        </w:tc>
        <w:tc>
          <w:tcPr>
            <w:tcW w:w="470" w:type="pct"/>
          </w:tcPr>
          <w:p w14:paraId="65ED9CB1" w14:textId="77777777" w:rsidR="00EB7374" w:rsidRPr="0009144C" w:rsidRDefault="00EB7374" w:rsidP="00C700EB">
            <w:pPr>
              <w:jc w:val="center"/>
              <w:rPr>
                <w:sz w:val="15"/>
                <w:szCs w:val="15"/>
              </w:rPr>
            </w:pPr>
            <w:r>
              <w:rPr>
                <w:sz w:val="15"/>
              </w:rPr>
              <w:t>Yes</w:t>
            </w:r>
          </w:p>
        </w:tc>
        <w:tc>
          <w:tcPr>
            <w:tcW w:w="555" w:type="pct"/>
          </w:tcPr>
          <w:p w14:paraId="67A11B7F" w14:textId="77777777" w:rsidR="00EB7374" w:rsidRPr="0009144C" w:rsidRDefault="00EB7374" w:rsidP="00C700EB">
            <w:pPr>
              <w:jc w:val="center"/>
              <w:rPr>
                <w:sz w:val="15"/>
                <w:szCs w:val="15"/>
              </w:rPr>
            </w:pPr>
            <w:r>
              <w:rPr>
                <w:sz w:val="15"/>
              </w:rPr>
              <w:t>No</w:t>
            </w:r>
          </w:p>
        </w:tc>
        <w:tc>
          <w:tcPr>
            <w:tcW w:w="679" w:type="pct"/>
          </w:tcPr>
          <w:p w14:paraId="2AA8D83D" w14:textId="77777777" w:rsidR="00EB7374" w:rsidRPr="0009144C" w:rsidRDefault="00EB7374" w:rsidP="00C700EB">
            <w:pPr>
              <w:jc w:val="center"/>
              <w:rPr>
                <w:sz w:val="15"/>
                <w:szCs w:val="15"/>
              </w:rPr>
            </w:pPr>
            <w:r>
              <w:rPr>
                <w:sz w:val="15"/>
              </w:rPr>
              <w:t>No</w:t>
            </w:r>
          </w:p>
        </w:tc>
        <w:tc>
          <w:tcPr>
            <w:tcW w:w="690" w:type="pct"/>
          </w:tcPr>
          <w:p w14:paraId="2A7C74BA" w14:textId="77777777" w:rsidR="00EB7374" w:rsidRPr="0009144C" w:rsidRDefault="00EB7374" w:rsidP="00C700EB">
            <w:pPr>
              <w:jc w:val="center"/>
              <w:rPr>
                <w:sz w:val="15"/>
                <w:szCs w:val="15"/>
              </w:rPr>
            </w:pPr>
            <w:r>
              <w:rPr>
                <w:sz w:val="15"/>
              </w:rPr>
              <w:t>FP</w:t>
            </w:r>
          </w:p>
        </w:tc>
        <w:tc>
          <w:tcPr>
            <w:tcW w:w="642" w:type="pct"/>
          </w:tcPr>
          <w:p w14:paraId="0396D1E0" w14:textId="77777777" w:rsidR="00EB7374" w:rsidRPr="0009144C" w:rsidRDefault="00EB7374" w:rsidP="00C700EB">
            <w:pPr>
              <w:jc w:val="center"/>
              <w:rPr>
                <w:sz w:val="15"/>
                <w:szCs w:val="15"/>
              </w:rPr>
            </w:pPr>
            <w:r>
              <w:rPr>
                <w:sz w:val="15"/>
              </w:rPr>
              <w:t xml:space="preserve">FD </w:t>
            </w:r>
          </w:p>
        </w:tc>
      </w:tr>
      <w:tr w:rsidR="00EB7374" w:rsidRPr="0009144C" w14:paraId="7D8E6A00" w14:textId="77777777" w:rsidTr="00C700EB">
        <w:trPr>
          <w:cnfStyle w:val="000000010000" w:firstRow="0" w:lastRow="0" w:firstColumn="0" w:lastColumn="0" w:oddVBand="0" w:evenVBand="0" w:oddHBand="0" w:evenHBand="1" w:firstRowFirstColumn="0" w:firstRowLastColumn="0" w:lastRowFirstColumn="0" w:lastRowLastColumn="0"/>
        </w:trPr>
        <w:tc>
          <w:tcPr>
            <w:tcW w:w="1289" w:type="pct"/>
          </w:tcPr>
          <w:p w14:paraId="70BA3627" w14:textId="77777777" w:rsidR="00EB7374" w:rsidRPr="00C23180" w:rsidRDefault="00EB7374" w:rsidP="00C700EB">
            <w:pPr>
              <w:jc w:val="left"/>
              <w:rPr>
                <w:sz w:val="15"/>
                <w:szCs w:val="15"/>
              </w:rPr>
            </w:pPr>
            <w:r>
              <w:rPr>
                <w:sz w:val="15"/>
              </w:rPr>
              <w:t>France</w:t>
            </w:r>
          </w:p>
          <w:p w14:paraId="32BC576D" w14:textId="77777777" w:rsidR="00EB7374" w:rsidRPr="0009144C" w:rsidRDefault="00EB7374" w:rsidP="00C700EB">
            <w:pPr>
              <w:jc w:val="left"/>
              <w:rPr>
                <w:sz w:val="15"/>
                <w:szCs w:val="15"/>
              </w:rPr>
            </w:pPr>
            <w:r>
              <w:rPr>
                <w:sz w:val="15"/>
              </w:rPr>
              <w:t>(ASA/MoU)</w:t>
            </w:r>
          </w:p>
        </w:tc>
        <w:tc>
          <w:tcPr>
            <w:tcW w:w="675" w:type="pct"/>
          </w:tcPr>
          <w:p w14:paraId="7E72C1BE" w14:textId="77777777" w:rsidR="00EB7374" w:rsidRPr="0009144C" w:rsidRDefault="00EB7374" w:rsidP="00C700EB">
            <w:pPr>
              <w:jc w:val="center"/>
              <w:rPr>
                <w:sz w:val="15"/>
                <w:szCs w:val="15"/>
              </w:rPr>
            </w:pPr>
            <w:r>
              <w:rPr>
                <w:sz w:val="15"/>
              </w:rPr>
              <w:t>1969 2011/2013</w:t>
            </w:r>
          </w:p>
        </w:tc>
        <w:tc>
          <w:tcPr>
            <w:tcW w:w="470" w:type="pct"/>
          </w:tcPr>
          <w:p w14:paraId="137F8B5D" w14:textId="77777777" w:rsidR="00EB7374" w:rsidRPr="0009144C" w:rsidRDefault="00EB7374" w:rsidP="00C700EB">
            <w:pPr>
              <w:jc w:val="center"/>
              <w:rPr>
                <w:sz w:val="15"/>
                <w:szCs w:val="15"/>
              </w:rPr>
            </w:pPr>
            <w:r>
              <w:rPr>
                <w:sz w:val="15"/>
              </w:rPr>
              <w:t>Yes</w:t>
            </w:r>
          </w:p>
        </w:tc>
        <w:tc>
          <w:tcPr>
            <w:tcW w:w="555" w:type="pct"/>
          </w:tcPr>
          <w:p w14:paraId="1F1233A6" w14:textId="77777777" w:rsidR="00EB7374" w:rsidRPr="0009144C" w:rsidRDefault="00EB7374" w:rsidP="00C700EB">
            <w:pPr>
              <w:jc w:val="center"/>
              <w:rPr>
                <w:sz w:val="15"/>
                <w:szCs w:val="15"/>
              </w:rPr>
            </w:pPr>
            <w:r>
              <w:rPr>
                <w:sz w:val="15"/>
              </w:rPr>
              <w:t>No</w:t>
            </w:r>
          </w:p>
        </w:tc>
        <w:tc>
          <w:tcPr>
            <w:tcW w:w="679" w:type="pct"/>
          </w:tcPr>
          <w:p w14:paraId="18541803" w14:textId="77777777" w:rsidR="00EB7374" w:rsidRPr="0009144C" w:rsidRDefault="00EB7374" w:rsidP="00C700EB">
            <w:pPr>
              <w:jc w:val="center"/>
              <w:rPr>
                <w:sz w:val="15"/>
                <w:szCs w:val="15"/>
              </w:rPr>
            </w:pPr>
            <w:r>
              <w:rPr>
                <w:sz w:val="15"/>
              </w:rPr>
              <w:t>No</w:t>
            </w:r>
          </w:p>
        </w:tc>
        <w:tc>
          <w:tcPr>
            <w:tcW w:w="690" w:type="pct"/>
          </w:tcPr>
          <w:p w14:paraId="6D29E11C" w14:textId="77777777" w:rsidR="00EB7374" w:rsidRPr="0009144C" w:rsidRDefault="00EB7374" w:rsidP="00C700EB">
            <w:pPr>
              <w:jc w:val="center"/>
              <w:rPr>
                <w:sz w:val="15"/>
                <w:szCs w:val="15"/>
              </w:rPr>
            </w:pPr>
            <w:r>
              <w:rPr>
                <w:sz w:val="15"/>
              </w:rPr>
              <w:t>FP</w:t>
            </w:r>
          </w:p>
        </w:tc>
        <w:tc>
          <w:tcPr>
            <w:tcW w:w="642" w:type="pct"/>
          </w:tcPr>
          <w:p w14:paraId="7AADEDF3" w14:textId="77777777" w:rsidR="00EB7374" w:rsidRPr="0009144C" w:rsidRDefault="00EB7374" w:rsidP="00C700EB">
            <w:pPr>
              <w:jc w:val="center"/>
              <w:rPr>
                <w:sz w:val="15"/>
                <w:szCs w:val="15"/>
              </w:rPr>
            </w:pPr>
            <w:r>
              <w:rPr>
                <w:sz w:val="15"/>
              </w:rPr>
              <w:t>FD</w:t>
            </w:r>
          </w:p>
        </w:tc>
      </w:tr>
      <w:tr w:rsidR="00EB7374" w:rsidRPr="00381A8B" w14:paraId="29217699" w14:textId="77777777" w:rsidTr="00153C22">
        <w:tc>
          <w:tcPr>
            <w:tcW w:w="1289" w:type="pct"/>
          </w:tcPr>
          <w:p w14:paraId="5B858366" w14:textId="77777777" w:rsidR="00EB7374" w:rsidRPr="00381A8B" w:rsidRDefault="00EB7374" w:rsidP="00153C22">
            <w:pPr>
              <w:jc w:val="left"/>
              <w:rPr>
                <w:sz w:val="15"/>
                <w:szCs w:val="15"/>
              </w:rPr>
            </w:pPr>
            <w:r>
              <w:rPr>
                <w:sz w:val="15"/>
              </w:rPr>
              <w:t>Germany</w:t>
            </w:r>
          </w:p>
        </w:tc>
        <w:tc>
          <w:tcPr>
            <w:tcW w:w="675" w:type="pct"/>
          </w:tcPr>
          <w:p w14:paraId="2C0ED492" w14:textId="77777777" w:rsidR="00EB7374" w:rsidRPr="00381A8B" w:rsidRDefault="00EB7374" w:rsidP="00153C22">
            <w:pPr>
              <w:jc w:val="center"/>
              <w:rPr>
                <w:sz w:val="15"/>
                <w:szCs w:val="15"/>
              </w:rPr>
            </w:pPr>
            <w:r>
              <w:rPr>
                <w:sz w:val="15"/>
              </w:rPr>
              <w:t>1992</w:t>
            </w:r>
          </w:p>
        </w:tc>
        <w:tc>
          <w:tcPr>
            <w:tcW w:w="470" w:type="pct"/>
            <w:tcBorders>
              <w:top w:val="nil"/>
            </w:tcBorders>
          </w:tcPr>
          <w:p w14:paraId="4FFDA9D3" w14:textId="77777777" w:rsidR="00EB7374" w:rsidRPr="00381A8B" w:rsidRDefault="00EB7374" w:rsidP="00153C22">
            <w:pPr>
              <w:jc w:val="center"/>
              <w:rPr>
                <w:sz w:val="15"/>
                <w:szCs w:val="15"/>
              </w:rPr>
            </w:pPr>
            <w:r>
              <w:rPr>
                <w:sz w:val="15"/>
              </w:rPr>
              <w:t>Yes</w:t>
            </w:r>
          </w:p>
        </w:tc>
        <w:tc>
          <w:tcPr>
            <w:tcW w:w="555" w:type="pct"/>
            <w:tcBorders>
              <w:top w:val="nil"/>
            </w:tcBorders>
          </w:tcPr>
          <w:p w14:paraId="5168D3C0" w14:textId="77777777" w:rsidR="00EB7374" w:rsidRPr="00381A8B" w:rsidRDefault="00EB7374" w:rsidP="00153C22">
            <w:pPr>
              <w:jc w:val="center"/>
              <w:rPr>
                <w:sz w:val="15"/>
                <w:szCs w:val="15"/>
              </w:rPr>
            </w:pPr>
            <w:r>
              <w:rPr>
                <w:sz w:val="15"/>
              </w:rPr>
              <w:t>No</w:t>
            </w:r>
          </w:p>
        </w:tc>
        <w:tc>
          <w:tcPr>
            <w:tcW w:w="679" w:type="pct"/>
            <w:tcBorders>
              <w:top w:val="nil"/>
            </w:tcBorders>
          </w:tcPr>
          <w:p w14:paraId="3D904D42" w14:textId="77777777" w:rsidR="00EB7374" w:rsidRPr="00381A8B" w:rsidRDefault="00EB7374" w:rsidP="00153C22">
            <w:pPr>
              <w:jc w:val="center"/>
              <w:rPr>
                <w:sz w:val="15"/>
                <w:szCs w:val="15"/>
              </w:rPr>
            </w:pPr>
            <w:r>
              <w:rPr>
                <w:sz w:val="15"/>
              </w:rPr>
              <w:t>No</w:t>
            </w:r>
          </w:p>
        </w:tc>
        <w:tc>
          <w:tcPr>
            <w:tcW w:w="690" w:type="pct"/>
            <w:tcBorders>
              <w:top w:val="nil"/>
            </w:tcBorders>
          </w:tcPr>
          <w:p w14:paraId="63F0B504" w14:textId="77777777" w:rsidR="00EB7374" w:rsidRPr="00381A8B" w:rsidRDefault="00EB7374" w:rsidP="00153C22">
            <w:pPr>
              <w:keepNext/>
              <w:keepLines/>
              <w:jc w:val="center"/>
              <w:rPr>
                <w:iCs/>
                <w:sz w:val="15"/>
                <w:szCs w:val="15"/>
              </w:rPr>
            </w:pPr>
            <w:r>
              <w:rPr>
                <w:sz w:val="15"/>
              </w:rPr>
              <w:t>FP</w:t>
            </w:r>
          </w:p>
        </w:tc>
        <w:tc>
          <w:tcPr>
            <w:tcW w:w="642" w:type="pct"/>
            <w:tcBorders>
              <w:top w:val="nil"/>
            </w:tcBorders>
          </w:tcPr>
          <w:p w14:paraId="245D44B4" w14:textId="77777777" w:rsidR="00EB7374" w:rsidRPr="00381A8B" w:rsidRDefault="00EB7374" w:rsidP="00153C22">
            <w:pPr>
              <w:keepNext/>
              <w:keepLines/>
              <w:jc w:val="center"/>
              <w:rPr>
                <w:iCs/>
                <w:sz w:val="15"/>
                <w:szCs w:val="15"/>
              </w:rPr>
            </w:pPr>
            <w:r>
              <w:rPr>
                <w:sz w:val="15"/>
              </w:rPr>
              <w:t>FD</w:t>
            </w:r>
          </w:p>
        </w:tc>
      </w:tr>
      <w:tr w:rsidR="00EB7374" w:rsidRPr="0009144C" w14:paraId="1E2E5190" w14:textId="77777777" w:rsidTr="00C700EB">
        <w:trPr>
          <w:cnfStyle w:val="000000010000" w:firstRow="0" w:lastRow="0" w:firstColumn="0" w:lastColumn="0" w:oddVBand="0" w:evenVBand="0" w:oddHBand="0" w:evenHBand="1" w:firstRowFirstColumn="0" w:firstRowLastColumn="0" w:lastRowFirstColumn="0" w:lastRowLastColumn="0"/>
        </w:trPr>
        <w:tc>
          <w:tcPr>
            <w:tcW w:w="1289" w:type="pct"/>
          </w:tcPr>
          <w:p w14:paraId="03CF90D2" w14:textId="77777777" w:rsidR="00EB7374" w:rsidRPr="0009144C" w:rsidRDefault="00EB7374" w:rsidP="00C700EB">
            <w:pPr>
              <w:jc w:val="left"/>
              <w:rPr>
                <w:sz w:val="15"/>
                <w:szCs w:val="15"/>
              </w:rPr>
            </w:pPr>
            <w:r>
              <w:rPr>
                <w:sz w:val="15"/>
              </w:rPr>
              <w:t>Guatemala</w:t>
            </w:r>
          </w:p>
        </w:tc>
        <w:tc>
          <w:tcPr>
            <w:tcW w:w="675" w:type="pct"/>
          </w:tcPr>
          <w:p w14:paraId="4CF37578" w14:textId="77777777" w:rsidR="00EB7374" w:rsidRPr="0009144C" w:rsidRDefault="00EB7374" w:rsidP="00C700EB">
            <w:pPr>
              <w:jc w:val="center"/>
              <w:rPr>
                <w:sz w:val="15"/>
                <w:szCs w:val="15"/>
              </w:rPr>
            </w:pPr>
            <w:r>
              <w:rPr>
                <w:sz w:val="15"/>
              </w:rPr>
              <w:t>2022*</w:t>
            </w:r>
          </w:p>
        </w:tc>
        <w:tc>
          <w:tcPr>
            <w:tcW w:w="470" w:type="pct"/>
          </w:tcPr>
          <w:p w14:paraId="32EE6ABD" w14:textId="77777777" w:rsidR="00EB7374" w:rsidRPr="0009144C" w:rsidRDefault="00EB7374" w:rsidP="00C700EB">
            <w:pPr>
              <w:jc w:val="center"/>
              <w:rPr>
                <w:sz w:val="15"/>
                <w:szCs w:val="15"/>
              </w:rPr>
            </w:pPr>
            <w:r>
              <w:rPr>
                <w:sz w:val="15"/>
              </w:rPr>
              <w:t>Yes</w:t>
            </w:r>
          </w:p>
        </w:tc>
        <w:tc>
          <w:tcPr>
            <w:tcW w:w="555" w:type="pct"/>
          </w:tcPr>
          <w:p w14:paraId="7F81AEF2" w14:textId="77777777" w:rsidR="00EB7374" w:rsidRPr="0009144C" w:rsidRDefault="00EB7374" w:rsidP="00C700EB">
            <w:pPr>
              <w:jc w:val="center"/>
              <w:rPr>
                <w:sz w:val="15"/>
                <w:szCs w:val="15"/>
              </w:rPr>
            </w:pPr>
            <w:r>
              <w:rPr>
                <w:sz w:val="15"/>
              </w:rPr>
              <w:t>Cargo</w:t>
            </w:r>
          </w:p>
        </w:tc>
        <w:tc>
          <w:tcPr>
            <w:tcW w:w="679" w:type="pct"/>
          </w:tcPr>
          <w:p w14:paraId="2D217566" w14:textId="77777777" w:rsidR="00EB7374" w:rsidRPr="0009144C" w:rsidRDefault="00EB7374" w:rsidP="00C700EB">
            <w:pPr>
              <w:jc w:val="center"/>
              <w:rPr>
                <w:sz w:val="15"/>
                <w:szCs w:val="15"/>
              </w:rPr>
            </w:pPr>
            <w:r>
              <w:rPr>
                <w:sz w:val="15"/>
              </w:rPr>
              <w:t>No</w:t>
            </w:r>
          </w:p>
        </w:tc>
        <w:tc>
          <w:tcPr>
            <w:tcW w:w="690" w:type="pct"/>
          </w:tcPr>
          <w:p w14:paraId="77A18AB7" w14:textId="77777777" w:rsidR="00EB7374" w:rsidRPr="0009144C" w:rsidRDefault="00EB7374" w:rsidP="00C700EB">
            <w:pPr>
              <w:jc w:val="center"/>
              <w:rPr>
                <w:sz w:val="15"/>
                <w:szCs w:val="15"/>
              </w:rPr>
            </w:pPr>
            <w:r>
              <w:rPr>
                <w:sz w:val="15"/>
              </w:rPr>
              <w:t>FP</w:t>
            </w:r>
          </w:p>
        </w:tc>
        <w:tc>
          <w:tcPr>
            <w:tcW w:w="642" w:type="pct"/>
          </w:tcPr>
          <w:p w14:paraId="0B538552" w14:textId="77777777" w:rsidR="00EB7374" w:rsidRPr="0009144C" w:rsidRDefault="00EB7374" w:rsidP="00C700EB">
            <w:pPr>
              <w:jc w:val="center"/>
              <w:rPr>
                <w:sz w:val="15"/>
                <w:szCs w:val="15"/>
              </w:rPr>
            </w:pPr>
            <w:r>
              <w:rPr>
                <w:sz w:val="15"/>
              </w:rPr>
              <w:t>FD</w:t>
            </w:r>
          </w:p>
        </w:tc>
      </w:tr>
      <w:tr w:rsidR="00EB7374" w:rsidRPr="0009144C" w14:paraId="65351F33" w14:textId="77777777" w:rsidTr="00C700EB">
        <w:tc>
          <w:tcPr>
            <w:tcW w:w="1289" w:type="pct"/>
          </w:tcPr>
          <w:p w14:paraId="71FBD2AF" w14:textId="77777777" w:rsidR="00EB7374" w:rsidRPr="0009144C" w:rsidRDefault="00EB7374" w:rsidP="00C700EB">
            <w:pPr>
              <w:jc w:val="left"/>
              <w:rPr>
                <w:sz w:val="15"/>
                <w:szCs w:val="15"/>
              </w:rPr>
            </w:pPr>
            <w:r>
              <w:rPr>
                <w:sz w:val="15"/>
              </w:rPr>
              <w:t>Guyana (ASA/MoU)</w:t>
            </w:r>
          </w:p>
        </w:tc>
        <w:tc>
          <w:tcPr>
            <w:tcW w:w="675" w:type="pct"/>
          </w:tcPr>
          <w:p w14:paraId="64CE6774" w14:textId="77777777" w:rsidR="00EB7374" w:rsidRPr="0009144C" w:rsidRDefault="00EB7374" w:rsidP="00C700EB">
            <w:pPr>
              <w:jc w:val="center"/>
              <w:rPr>
                <w:sz w:val="15"/>
                <w:szCs w:val="15"/>
              </w:rPr>
            </w:pPr>
            <w:r>
              <w:rPr>
                <w:sz w:val="15"/>
              </w:rPr>
              <w:t>2016</w:t>
            </w:r>
          </w:p>
        </w:tc>
        <w:tc>
          <w:tcPr>
            <w:tcW w:w="470" w:type="pct"/>
          </w:tcPr>
          <w:p w14:paraId="5D63ABEC" w14:textId="77777777" w:rsidR="00EB7374" w:rsidRPr="0009144C" w:rsidRDefault="00EB7374" w:rsidP="00C700EB">
            <w:pPr>
              <w:jc w:val="center"/>
              <w:rPr>
                <w:sz w:val="15"/>
                <w:szCs w:val="15"/>
              </w:rPr>
            </w:pPr>
            <w:r>
              <w:rPr>
                <w:sz w:val="15"/>
              </w:rPr>
              <w:t>Yes</w:t>
            </w:r>
          </w:p>
        </w:tc>
        <w:tc>
          <w:tcPr>
            <w:tcW w:w="555" w:type="pct"/>
          </w:tcPr>
          <w:p w14:paraId="53C77452" w14:textId="77777777" w:rsidR="00EB7374" w:rsidRPr="0009144C" w:rsidRDefault="00EB7374" w:rsidP="00C700EB">
            <w:pPr>
              <w:jc w:val="center"/>
              <w:rPr>
                <w:sz w:val="15"/>
                <w:szCs w:val="15"/>
              </w:rPr>
            </w:pPr>
            <w:r>
              <w:rPr>
                <w:sz w:val="15"/>
              </w:rPr>
              <w:t>Cargo</w:t>
            </w:r>
          </w:p>
        </w:tc>
        <w:tc>
          <w:tcPr>
            <w:tcW w:w="679" w:type="pct"/>
          </w:tcPr>
          <w:p w14:paraId="25C643BC" w14:textId="77777777" w:rsidR="00EB7374" w:rsidRPr="0009144C" w:rsidRDefault="00EB7374" w:rsidP="00C700EB">
            <w:pPr>
              <w:jc w:val="center"/>
              <w:rPr>
                <w:sz w:val="15"/>
                <w:szCs w:val="15"/>
              </w:rPr>
            </w:pPr>
            <w:r>
              <w:rPr>
                <w:sz w:val="15"/>
              </w:rPr>
              <w:t>No</w:t>
            </w:r>
          </w:p>
        </w:tc>
        <w:tc>
          <w:tcPr>
            <w:tcW w:w="690" w:type="pct"/>
          </w:tcPr>
          <w:p w14:paraId="422143E3" w14:textId="77777777" w:rsidR="00EB7374" w:rsidRPr="0009144C" w:rsidRDefault="00EB7374" w:rsidP="00C700EB">
            <w:pPr>
              <w:jc w:val="center"/>
              <w:rPr>
                <w:sz w:val="15"/>
                <w:szCs w:val="15"/>
              </w:rPr>
            </w:pPr>
            <w:r>
              <w:rPr>
                <w:sz w:val="15"/>
              </w:rPr>
              <w:t>FP</w:t>
            </w:r>
          </w:p>
        </w:tc>
        <w:tc>
          <w:tcPr>
            <w:tcW w:w="642" w:type="pct"/>
          </w:tcPr>
          <w:p w14:paraId="113624F9" w14:textId="77777777" w:rsidR="00EB7374" w:rsidRPr="0009144C" w:rsidRDefault="00EB7374" w:rsidP="00C700EB">
            <w:pPr>
              <w:jc w:val="center"/>
              <w:rPr>
                <w:sz w:val="15"/>
                <w:szCs w:val="15"/>
              </w:rPr>
            </w:pPr>
            <w:r>
              <w:rPr>
                <w:sz w:val="15"/>
              </w:rPr>
              <w:t xml:space="preserve">FD </w:t>
            </w:r>
          </w:p>
        </w:tc>
      </w:tr>
      <w:tr w:rsidR="00EB7374" w:rsidRPr="0009144C" w14:paraId="4D33D5E2" w14:textId="77777777" w:rsidTr="00C700EB">
        <w:trPr>
          <w:cnfStyle w:val="000000010000" w:firstRow="0" w:lastRow="0" w:firstColumn="0" w:lastColumn="0" w:oddVBand="0" w:evenVBand="0" w:oddHBand="0" w:evenHBand="1" w:firstRowFirstColumn="0" w:firstRowLastColumn="0" w:lastRowFirstColumn="0" w:lastRowLastColumn="0"/>
        </w:trPr>
        <w:tc>
          <w:tcPr>
            <w:tcW w:w="1289" w:type="pct"/>
          </w:tcPr>
          <w:p w14:paraId="41FAD0F4" w14:textId="77777777" w:rsidR="00EB7374" w:rsidRPr="0009144C" w:rsidRDefault="00EB7374" w:rsidP="00C700EB">
            <w:pPr>
              <w:jc w:val="left"/>
              <w:rPr>
                <w:sz w:val="15"/>
                <w:szCs w:val="15"/>
              </w:rPr>
            </w:pPr>
            <w:r>
              <w:rPr>
                <w:sz w:val="15"/>
              </w:rPr>
              <w:t>Haiti (MoU)</w:t>
            </w:r>
          </w:p>
        </w:tc>
        <w:tc>
          <w:tcPr>
            <w:tcW w:w="675" w:type="pct"/>
          </w:tcPr>
          <w:p w14:paraId="4E2EE9EC" w14:textId="77777777" w:rsidR="00EB7374" w:rsidRPr="0009144C" w:rsidRDefault="00EB7374" w:rsidP="00C700EB">
            <w:pPr>
              <w:jc w:val="center"/>
              <w:rPr>
                <w:sz w:val="15"/>
                <w:szCs w:val="15"/>
              </w:rPr>
            </w:pPr>
            <w:r>
              <w:rPr>
                <w:sz w:val="15"/>
              </w:rPr>
              <w:t>2017</w:t>
            </w:r>
          </w:p>
        </w:tc>
        <w:tc>
          <w:tcPr>
            <w:tcW w:w="470" w:type="pct"/>
          </w:tcPr>
          <w:p w14:paraId="78D0CEEF" w14:textId="77777777" w:rsidR="00EB7374" w:rsidRPr="0009144C" w:rsidRDefault="00EB7374" w:rsidP="00C700EB">
            <w:pPr>
              <w:jc w:val="center"/>
              <w:rPr>
                <w:sz w:val="15"/>
                <w:szCs w:val="15"/>
              </w:rPr>
            </w:pPr>
            <w:r>
              <w:rPr>
                <w:sz w:val="15"/>
              </w:rPr>
              <w:t>Yes</w:t>
            </w:r>
          </w:p>
        </w:tc>
        <w:tc>
          <w:tcPr>
            <w:tcW w:w="555" w:type="pct"/>
          </w:tcPr>
          <w:p w14:paraId="7D9F9C9C" w14:textId="77777777" w:rsidR="00EB7374" w:rsidRPr="0009144C" w:rsidRDefault="00EB7374" w:rsidP="00C700EB">
            <w:pPr>
              <w:jc w:val="center"/>
              <w:rPr>
                <w:sz w:val="15"/>
                <w:szCs w:val="15"/>
              </w:rPr>
            </w:pPr>
            <w:r>
              <w:rPr>
                <w:sz w:val="15"/>
              </w:rPr>
              <w:t>Cargo</w:t>
            </w:r>
          </w:p>
        </w:tc>
        <w:tc>
          <w:tcPr>
            <w:tcW w:w="679" w:type="pct"/>
          </w:tcPr>
          <w:p w14:paraId="6F47FB30" w14:textId="77777777" w:rsidR="00EB7374" w:rsidRPr="0009144C" w:rsidRDefault="00EB7374" w:rsidP="00C700EB">
            <w:pPr>
              <w:jc w:val="center"/>
              <w:rPr>
                <w:sz w:val="15"/>
                <w:szCs w:val="15"/>
              </w:rPr>
            </w:pPr>
            <w:r>
              <w:rPr>
                <w:sz w:val="15"/>
              </w:rPr>
              <w:t>No</w:t>
            </w:r>
          </w:p>
        </w:tc>
        <w:tc>
          <w:tcPr>
            <w:tcW w:w="690" w:type="pct"/>
          </w:tcPr>
          <w:p w14:paraId="377C5DA5" w14:textId="77777777" w:rsidR="00EB7374" w:rsidRPr="0009144C" w:rsidRDefault="00EB7374" w:rsidP="00C700EB">
            <w:pPr>
              <w:jc w:val="center"/>
              <w:rPr>
                <w:sz w:val="15"/>
                <w:szCs w:val="15"/>
              </w:rPr>
            </w:pPr>
            <w:r>
              <w:rPr>
                <w:sz w:val="15"/>
              </w:rPr>
              <w:t>PD</w:t>
            </w:r>
          </w:p>
        </w:tc>
        <w:tc>
          <w:tcPr>
            <w:tcW w:w="642" w:type="pct"/>
          </w:tcPr>
          <w:p w14:paraId="39214A80" w14:textId="77777777" w:rsidR="00EB7374" w:rsidRPr="0009144C" w:rsidRDefault="00EB7374" w:rsidP="00C700EB">
            <w:pPr>
              <w:jc w:val="center"/>
              <w:rPr>
                <w:sz w:val="15"/>
                <w:szCs w:val="15"/>
              </w:rPr>
            </w:pPr>
            <w:r>
              <w:rPr>
                <w:sz w:val="15"/>
              </w:rPr>
              <w:t>PD</w:t>
            </w:r>
          </w:p>
        </w:tc>
      </w:tr>
      <w:tr w:rsidR="00EB7374" w:rsidRPr="0009144C" w14:paraId="4F987E55" w14:textId="77777777" w:rsidTr="00C700EB">
        <w:tc>
          <w:tcPr>
            <w:tcW w:w="1289" w:type="pct"/>
          </w:tcPr>
          <w:p w14:paraId="58A12095" w14:textId="77777777" w:rsidR="00EB7374" w:rsidRPr="0009144C" w:rsidRDefault="00EB7374" w:rsidP="00C700EB">
            <w:pPr>
              <w:ind w:right="-44"/>
              <w:jc w:val="left"/>
              <w:rPr>
                <w:sz w:val="15"/>
                <w:szCs w:val="15"/>
              </w:rPr>
            </w:pPr>
            <w:r>
              <w:rPr>
                <w:sz w:val="15"/>
              </w:rPr>
              <w:t>Hungary (Agreement Minutes)</w:t>
            </w:r>
          </w:p>
        </w:tc>
        <w:tc>
          <w:tcPr>
            <w:tcW w:w="675" w:type="pct"/>
          </w:tcPr>
          <w:p w14:paraId="386BDA08" w14:textId="77777777" w:rsidR="00EB7374" w:rsidRPr="0009144C" w:rsidRDefault="00EB7374" w:rsidP="00C700EB">
            <w:pPr>
              <w:jc w:val="center"/>
              <w:rPr>
                <w:sz w:val="15"/>
                <w:szCs w:val="15"/>
              </w:rPr>
            </w:pPr>
            <w:r>
              <w:rPr>
                <w:sz w:val="15"/>
              </w:rPr>
              <w:t>2003</w:t>
            </w:r>
          </w:p>
        </w:tc>
        <w:tc>
          <w:tcPr>
            <w:tcW w:w="470" w:type="pct"/>
          </w:tcPr>
          <w:p w14:paraId="1C983FF2" w14:textId="77777777" w:rsidR="00EB7374" w:rsidRPr="0009144C" w:rsidRDefault="00EB7374" w:rsidP="00C700EB">
            <w:pPr>
              <w:jc w:val="center"/>
              <w:rPr>
                <w:sz w:val="15"/>
                <w:szCs w:val="15"/>
              </w:rPr>
            </w:pPr>
            <w:r>
              <w:rPr>
                <w:sz w:val="15"/>
              </w:rPr>
              <w:t>Yes</w:t>
            </w:r>
          </w:p>
        </w:tc>
        <w:tc>
          <w:tcPr>
            <w:tcW w:w="555" w:type="pct"/>
          </w:tcPr>
          <w:p w14:paraId="17D9F4FE" w14:textId="77777777" w:rsidR="00EB7374" w:rsidRPr="0009144C" w:rsidRDefault="00EB7374" w:rsidP="00C700EB">
            <w:pPr>
              <w:jc w:val="center"/>
              <w:rPr>
                <w:sz w:val="15"/>
                <w:szCs w:val="15"/>
              </w:rPr>
            </w:pPr>
            <w:r>
              <w:rPr>
                <w:sz w:val="15"/>
              </w:rPr>
              <w:t>No</w:t>
            </w:r>
          </w:p>
        </w:tc>
        <w:tc>
          <w:tcPr>
            <w:tcW w:w="679" w:type="pct"/>
          </w:tcPr>
          <w:p w14:paraId="1F987217" w14:textId="77777777" w:rsidR="00EB7374" w:rsidRPr="0009144C" w:rsidRDefault="00EB7374" w:rsidP="00C700EB">
            <w:pPr>
              <w:jc w:val="center"/>
              <w:rPr>
                <w:sz w:val="15"/>
                <w:szCs w:val="15"/>
              </w:rPr>
            </w:pPr>
            <w:r>
              <w:rPr>
                <w:sz w:val="15"/>
              </w:rPr>
              <w:t>No</w:t>
            </w:r>
          </w:p>
        </w:tc>
        <w:tc>
          <w:tcPr>
            <w:tcW w:w="690" w:type="pct"/>
          </w:tcPr>
          <w:p w14:paraId="365DB093" w14:textId="77777777" w:rsidR="00EB7374" w:rsidRPr="0009144C" w:rsidRDefault="00EB7374" w:rsidP="00C700EB">
            <w:pPr>
              <w:jc w:val="center"/>
              <w:rPr>
                <w:b/>
                <w:bCs/>
                <w:sz w:val="15"/>
                <w:szCs w:val="15"/>
              </w:rPr>
            </w:pPr>
            <w:r>
              <w:rPr>
                <w:sz w:val="15"/>
              </w:rPr>
              <w:t>FP</w:t>
            </w:r>
          </w:p>
        </w:tc>
        <w:tc>
          <w:tcPr>
            <w:tcW w:w="642" w:type="pct"/>
          </w:tcPr>
          <w:p w14:paraId="434BD789" w14:textId="77777777" w:rsidR="00EB7374" w:rsidRPr="0009144C" w:rsidRDefault="00EB7374" w:rsidP="00C700EB">
            <w:pPr>
              <w:jc w:val="center"/>
              <w:rPr>
                <w:b/>
                <w:bCs/>
                <w:sz w:val="15"/>
                <w:szCs w:val="15"/>
              </w:rPr>
            </w:pPr>
            <w:r>
              <w:rPr>
                <w:sz w:val="15"/>
              </w:rPr>
              <w:t>FD</w:t>
            </w:r>
          </w:p>
        </w:tc>
      </w:tr>
      <w:tr w:rsidR="00EB7374" w:rsidRPr="0009144C" w14:paraId="0CA967F6" w14:textId="77777777" w:rsidTr="00C700EB">
        <w:trPr>
          <w:cnfStyle w:val="000000010000" w:firstRow="0" w:lastRow="0" w:firstColumn="0" w:lastColumn="0" w:oddVBand="0" w:evenVBand="0" w:oddHBand="0" w:evenHBand="1" w:firstRowFirstColumn="0" w:firstRowLastColumn="0" w:lastRowFirstColumn="0" w:lastRowLastColumn="0"/>
        </w:trPr>
        <w:tc>
          <w:tcPr>
            <w:tcW w:w="1289" w:type="pct"/>
          </w:tcPr>
          <w:p w14:paraId="28335B5F" w14:textId="77777777" w:rsidR="00EB7374" w:rsidRPr="0009144C" w:rsidRDefault="00EB7374" w:rsidP="00C700EB">
            <w:pPr>
              <w:jc w:val="left"/>
              <w:rPr>
                <w:sz w:val="15"/>
                <w:szCs w:val="15"/>
              </w:rPr>
            </w:pPr>
            <w:r>
              <w:rPr>
                <w:sz w:val="15"/>
              </w:rPr>
              <w:t xml:space="preserve">India (ASA/MoU) </w:t>
            </w:r>
          </w:p>
        </w:tc>
        <w:tc>
          <w:tcPr>
            <w:tcW w:w="675" w:type="pct"/>
          </w:tcPr>
          <w:p w14:paraId="554512D8" w14:textId="77777777" w:rsidR="00EB7374" w:rsidRPr="0009144C" w:rsidRDefault="00EB7374" w:rsidP="00C700EB">
            <w:pPr>
              <w:jc w:val="center"/>
              <w:rPr>
                <w:sz w:val="15"/>
                <w:szCs w:val="15"/>
              </w:rPr>
            </w:pPr>
            <w:r>
              <w:rPr>
                <w:sz w:val="15"/>
              </w:rPr>
              <w:t>2011</w:t>
            </w:r>
          </w:p>
        </w:tc>
        <w:tc>
          <w:tcPr>
            <w:tcW w:w="470" w:type="pct"/>
          </w:tcPr>
          <w:p w14:paraId="55F0BF4F" w14:textId="77777777" w:rsidR="00EB7374" w:rsidRPr="0009144C" w:rsidRDefault="00EB7374" w:rsidP="00C700EB">
            <w:pPr>
              <w:jc w:val="center"/>
              <w:rPr>
                <w:sz w:val="15"/>
                <w:szCs w:val="15"/>
              </w:rPr>
            </w:pPr>
            <w:r>
              <w:rPr>
                <w:sz w:val="15"/>
              </w:rPr>
              <w:t>Yes</w:t>
            </w:r>
          </w:p>
        </w:tc>
        <w:tc>
          <w:tcPr>
            <w:tcW w:w="555" w:type="pct"/>
          </w:tcPr>
          <w:p w14:paraId="0FE8278C" w14:textId="77777777" w:rsidR="00EB7374" w:rsidRPr="0009144C" w:rsidRDefault="00EB7374" w:rsidP="00C700EB">
            <w:pPr>
              <w:jc w:val="center"/>
              <w:rPr>
                <w:sz w:val="15"/>
                <w:szCs w:val="15"/>
              </w:rPr>
            </w:pPr>
            <w:r>
              <w:rPr>
                <w:sz w:val="15"/>
              </w:rPr>
              <w:t>No</w:t>
            </w:r>
          </w:p>
        </w:tc>
        <w:tc>
          <w:tcPr>
            <w:tcW w:w="679" w:type="pct"/>
          </w:tcPr>
          <w:p w14:paraId="5841E446" w14:textId="77777777" w:rsidR="00EB7374" w:rsidRPr="0009144C" w:rsidRDefault="00EB7374" w:rsidP="00C700EB">
            <w:pPr>
              <w:jc w:val="center"/>
              <w:rPr>
                <w:sz w:val="15"/>
                <w:szCs w:val="15"/>
              </w:rPr>
            </w:pPr>
            <w:r>
              <w:rPr>
                <w:sz w:val="15"/>
              </w:rPr>
              <w:t>No</w:t>
            </w:r>
          </w:p>
        </w:tc>
        <w:tc>
          <w:tcPr>
            <w:tcW w:w="690" w:type="pct"/>
          </w:tcPr>
          <w:p w14:paraId="72DF3708" w14:textId="77777777" w:rsidR="00EB7374" w:rsidRPr="0009144C" w:rsidRDefault="00EB7374" w:rsidP="00C700EB">
            <w:pPr>
              <w:jc w:val="center"/>
              <w:rPr>
                <w:sz w:val="15"/>
                <w:szCs w:val="15"/>
              </w:rPr>
            </w:pPr>
            <w:r>
              <w:rPr>
                <w:sz w:val="15"/>
              </w:rPr>
              <w:t xml:space="preserve">FP </w:t>
            </w:r>
          </w:p>
        </w:tc>
        <w:tc>
          <w:tcPr>
            <w:tcW w:w="642" w:type="pct"/>
          </w:tcPr>
          <w:p w14:paraId="784F136E" w14:textId="77777777" w:rsidR="00EB7374" w:rsidRPr="0009144C" w:rsidRDefault="00EB7374" w:rsidP="00C700EB">
            <w:pPr>
              <w:jc w:val="center"/>
              <w:rPr>
                <w:sz w:val="15"/>
                <w:szCs w:val="15"/>
              </w:rPr>
            </w:pPr>
            <w:r>
              <w:rPr>
                <w:sz w:val="15"/>
              </w:rPr>
              <w:t xml:space="preserve">FD </w:t>
            </w:r>
          </w:p>
        </w:tc>
      </w:tr>
      <w:tr w:rsidR="00EB7374" w:rsidRPr="0009144C" w14:paraId="4220B1D3" w14:textId="77777777" w:rsidTr="00C700EB">
        <w:tc>
          <w:tcPr>
            <w:tcW w:w="1289" w:type="pct"/>
          </w:tcPr>
          <w:p w14:paraId="5A060BBA" w14:textId="77777777" w:rsidR="00EB7374" w:rsidRPr="0009144C" w:rsidRDefault="00EB7374" w:rsidP="00C700EB">
            <w:pPr>
              <w:jc w:val="left"/>
              <w:rPr>
                <w:sz w:val="15"/>
                <w:szCs w:val="15"/>
              </w:rPr>
            </w:pPr>
            <w:r>
              <w:rPr>
                <w:sz w:val="15"/>
              </w:rPr>
              <w:t xml:space="preserve">Iceland (ASA/MoU) </w:t>
            </w:r>
          </w:p>
        </w:tc>
        <w:tc>
          <w:tcPr>
            <w:tcW w:w="675" w:type="pct"/>
          </w:tcPr>
          <w:p w14:paraId="34FCC3B9" w14:textId="77777777" w:rsidR="00EB7374" w:rsidRPr="0009144C" w:rsidRDefault="00EB7374" w:rsidP="00C700EB">
            <w:pPr>
              <w:jc w:val="center"/>
              <w:rPr>
                <w:sz w:val="15"/>
                <w:szCs w:val="15"/>
              </w:rPr>
            </w:pPr>
            <w:r>
              <w:rPr>
                <w:sz w:val="15"/>
              </w:rPr>
              <w:t>2009</w:t>
            </w:r>
          </w:p>
        </w:tc>
        <w:tc>
          <w:tcPr>
            <w:tcW w:w="470" w:type="pct"/>
          </w:tcPr>
          <w:p w14:paraId="5FED7249" w14:textId="77777777" w:rsidR="00EB7374" w:rsidRPr="0009144C" w:rsidRDefault="00EB7374" w:rsidP="00C700EB">
            <w:pPr>
              <w:jc w:val="center"/>
              <w:rPr>
                <w:sz w:val="15"/>
                <w:szCs w:val="15"/>
              </w:rPr>
            </w:pPr>
            <w:r>
              <w:rPr>
                <w:sz w:val="15"/>
              </w:rPr>
              <w:t>Yes</w:t>
            </w:r>
          </w:p>
        </w:tc>
        <w:tc>
          <w:tcPr>
            <w:tcW w:w="555" w:type="pct"/>
          </w:tcPr>
          <w:p w14:paraId="334651CE" w14:textId="77777777" w:rsidR="00EB7374" w:rsidRPr="0009144C" w:rsidRDefault="00EB7374" w:rsidP="00C700EB">
            <w:pPr>
              <w:jc w:val="center"/>
              <w:rPr>
                <w:sz w:val="15"/>
                <w:szCs w:val="15"/>
              </w:rPr>
            </w:pPr>
            <w:r>
              <w:rPr>
                <w:sz w:val="15"/>
              </w:rPr>
              <w:t>Cargo</w:t>
            </w:r>
          </w:p>
        </w:tc>
        <w:tc>
          <w:tcPr>
            <w:tcW w:w="679" w:type="pct"/>
          </w:tcPr>
          <w:p w14:paraId="2BBD2C45" w14:textId="77777777" w:rsidR="00EB7374" w:rsidRPr="0009144C" w:rsidRDefault="00EB7374" w:rsidP="00C700EB">
            <w:pPr>
              <w:jc w:val="center"/>
              <w:rPr>
                <w:sz w:val="15"/>
                <w:szCs w:val="15"/>
              </w:rPr>
            </w:pPr>
            <w:r>
              <w:rPr>
                <w:sz w:val="15"/>
              </w:rPr>
              <w:t>No</w:t>
            </w:r>
          </w:p>
        </w:tc>
        <w:tc>
          <w:tcPr>
            <w:tcW w:w="690" w:type="pct"/>
          </w:tcPr>
          <w:p w14:paraId="13582424" w14:textId="77777777" w:rsidR="00EB7374" w:rsidRPr="0009144C" w:rsidRDefault="00EB7374" w:rsidP="00C700EB">
            <w:pPr>
              <w:jc w:val="center"/>
              <w:rPr>
                <w:sz w:val="15"/>
                <w:szCs w:val="15"/>
              </w:rPr>
            </w:pPr>
            <w:r>
              <w:rPr>
                <w:sz w:val="15"/>
              </w:rPr>
              <w:t>FP</w:t>
            </w:r>
          </w:p>
        </w:tc>
        <w:tc>
          <w:tcPr>
            <w:tcW w:w="642" w:type="pct"/>
          </w:tcPr>
          <w:p w14:paraId="376F4116" w14:textId="77777777" w:rsidR="00EB7374" w:rsidRPr="0009144C" w:rsidRDefault="00EB7374" w:rsidP="00C700EB">
            <w:pPr>
              <w:jc w:val="center"/>
              <w:rPr>
                <w:sz w:val="15"/>
                <w:szCs w:val="15"/>
              </w:rPr>
            </w:pPr>
            <w:r>
              <w:rPr>
                <w:sz w:val="15"/>
              </w:rPr>
              <w:t>FD</w:t>
            </w:r>
          </w:p>
        </w:tc>
      </w:tr>
      <w:tr w:rsidR="00EB7374" w:rsidRPr="00CC405F" w14:paraId="2682C617" w14:textId="77777777" w:rsidTr="00C700EB">
        <w:trPr>
          <w:cnfStyle w:val="000000010000" w:firstRow="0" w:lastRow="0" w:firstColumn="0" w:lastColumn="0" w:oddVBand="0" w:evenVBand="0" w:oddHBand="0" w:evenHBand="1" w:firstRowFirstColumn="0" w:firstRowLastColumn="0" w:lastRowFirstColumn="0" w:lastRowLastColumn="0"/>
        </w:trPr>
        <w:tc>
          <w:tcPr>
            <w:tcW w:w="1289" w:type="pct"/>
          </w:tcPr>
          <w:p w14:paraId="7B52B468" w14:textId="77777777" w:rsidR="00EB7374" w:rsidRPr="00CC405F" w:rsidRDefault="00EB7374" w:rsidP="00C700EB">
            <w:pPr>
              <w:jc w:val="left"/>
              <w:rPr>
                <w:sz w:val="15"/>
                <w:szCs w:val="15"/>
              </w:rPr>
            </w:pPr>
            <w:r>
              <w:rPr>
                <w:sz w:val="15"/>
              </w:rPr>
              <w:t xml:space="preserve">Israel </w:t>
            </w:r>
          </w:p>
        </w:tc>
        <w:tc>
          <w:tcPr>
            <w:tcW w:w="675" w:type="pct"/>
          </w:tcPr>
          <w:p w14:paraId="2EDFE1EF" w14:textId="77777777" w:rsidR="00EB7374" w:rsidRPr="00CC405F" w:rsidRDefault="00EB7374" w:rsidP="00C700EB">
            <w:pPr>
              <w:jc w:val="center"/>
              <w:rPr>
                <w:sz w:val="15"/>
                <w:szCs w:val="15"/>
              </w:rPr>
            </w:pPr>
            <w:r>
              <w:rPr>
                <w:sz w:val="15"/>
              </w:rPr>
              <w:t>2019*</w:t>
            </w:r>
          </w:p>
        </w:tc>
        <w:tc>
          <w:tcPr>
            <w:tcW w:w="470" w:type="pct"/>
          </w:tcPr>
          <w:p w14:paraId="5DEB53E1" w14:textId="77777777" w:rsidR="00EB7374" w:rsidRPr="00CC405F" w:rsidRDefault="00EB7374" w:rsidP="00C700EB">
            <w:pPr>
              <w:jc w:val="center"/>
              <w:rPr>
                <w:sz w:val="15"/>
                <w:szCs w:val="15"/>
              </w:rPr>
            </w:pPr>
            <w:r>
              <w:rPr>
                <w:sz w:val="15"/>
              </w:rPr>
              <w:t>Yes</w:t>
            </w:r>
          </w:p>
        </w:tc>
        <w:tc>
          <w:tcPr>
            <w:tcW w:w="555" w:type="pct"/>
          </w:tcPr>
          <w:p w14:paraId="27FDD893" w14:textId="77777777" w:rsidR="00EB7374" w:rsidRPr="00CC405F" w:rsidRDefault="00EB7374" w:rsidP="00C700EB">
            <w:pPr>
              <w:jc w:val="center"/>
              <w:rPr>
                <w:sz w:val="15"/>
                <w:szCs w:val="15"/>
              </w:rPr>
            </w:pPr>
            <w:r>
              <w:rPr>
                <w:sz w:val="15"/>
              </w:rPr>
              <w:t>No</w:t>
            </w:r>
          </w:p>
        </w:tc>
        <w:tc>
          <w:tcPr>
            <w:tcW w:w="679" w:type="pct"/>
          </w:tcPr>
          <w:p w14:paraId="506A4037" w14:textId="77777777" w:rsidR="00EB7374" w:rsidRPr="00CC405F" w:rsidRDefault="00EB7374" w:rsidP="00C700EB">
            <w:pPr>
              <w:jc w:val="center"/>
              <w:rPr>
                <w:sz w:val="15"/>
                <w:szCs w:val="15"/>
              </w:rPr>
            </w:pPr>
            <w:r>
              <w:rPr>
                <w:sz w:val="15"/>
              </w:rPr>
              <w:t>No</w:t>
            </w:r>
          </w:p>
        </w:tc>
        <w:tc>
          <w:tcPr>
            <w:tcW w:w="690" w:type="pct"/>
          </w:tcPr>
          <w:p w14:paraId="172E5C65" w14:textId="77777777" w:rsidR="00EB7374" w:rsidRPr="00CC405F" w:rsidRDefault="00EB7374" w:rsidP="00C700EB">
            <w:pPr>
              <w:jc w:val="center"/>
              <w:rPr>
                <w:sz w:val="15"/>
                <w:szCs w:val="15"/>
              </w:rPr>
            </w:pPr>
            <w:r>
              <w:rPr>
                <w:sz w:val="15"/>
              </w:rPr>
              <w:t>FP</w:t>
            </w:r>
          </w:p>
        </w:tc>
        <w:tc>
          <w:tcPr>
            <w:tcW w:w="642" w:type="pct"/>
          </w:tcPr>
          <w:p w14:paraId="689B3D12" w14:textId="77777777" w:rsidR="00EB7374" w:rsidRPr="00CC405F" w:rsidRDefault="00EB7374" w:rsidP="00C700EB">
            <w:pPr>
              <w:jc w:val="center"/>
              <w:rPr>
                <w:sz w:val="15"/>
                <w:szCs w:val="15"/>
              </w:rPr>
            </w:pPr>
            <w:r>
              <w:rPr>
                <w:sz w:val="15"/>
              </w:rPr>
              <w:t>FD</w:t>
            </w:r>
          </w:p>
        </w:tc>
      </w:tr>
      <w:tr w:rsidR="00EB7374" w:rsidRPr="00CC405F" w14:paraId="68D3017F" w14:textId="77777777" w:rsidTr="00C700EB">
        <w:tc>
          <w:tcPr>
            <w:tcW w:w="1289" w:type="pct"/>
          </w:tcPr>
          <w:p w14:paraId="01F61F13" w14:textId="77777777" w:rsidR="00EB7374" w:rsidRPr="00CC405F" w:rsidRDefault="00EB7374" w:rsidP="00C700EB">
            <w:pPr>
              <w:jc w:val="left"/>
              <w:rPr>
                <w:sz w:val="15"/>
                <w:szCs w:val="15"/>
              </w:rPr>
            </w:pPr>
            <w:r>
              <w:rPr>
                <w:sz w:val="15"/>
              </w:rPr>
              <w:t>Italy (ASA/MoU)</w:t>
            </w:r>
          </w:p>
        </w:tc>
        <w:tc>
          <w:tcPr>
            <w:tcW w:w="675" w:type="pct"/>
          </w:tcPr>
          <w:p w14:paraId="5A12D0A7" w14:textId="77777777" w:rsidR="00EB7374" w:rsidRPr="00CC405F" w:rsidRDefault="00EB7374" w:rsidP="00C700EB">
            <w:pPr>
              <w:jc w:val="center"/>
              <w:rPr>
                <w:sz w:val="15"/>
                <w:szCs w:val="15"/>
              </w:rPr>
            </w:pPr>
            <w:r>
              <w:rPr>
                <w:sz w:val="15"/>
              </w:rPr>
              <w:t>1971/2000</w:t>
            </w:r>
          </w:p>
        </w:tc>
        <w:tc>
          <w:tcPr>
            <w:tcW w:w="470" w:type="pct"/>
          </w:tcPr>
          <w:p w14:paraId="1EDB6BB7" w14:textId="77777777" w:rsidR="00EB7374" w:rsidRPr="00CC405F" w:rsidRDefault="00EB7374" w:rsidP="00C700EB">
            <w:pPr>
              <w:jc w:val="center"/>
              <w:rPr>
                <w:sz w:val="15"/>
                <w:szCs w:val="15"/>
              </w:rPr>
            </w:pPr>
            <w:r>
              <w:rPr>
                <w:sz w:val="15"/>
              </w:rPr>
              <w:t>Yes</w:t>
            </w:r>
          </w:p>
        </w:tc>
        <w:tc>
          <w:tcPr>
            <w:tcW w:w="555" w:type="pct"/>
          </w:tcPr>
          <w:p w14:paraId="62C01C2D" w14:textId="77777777" w:rsidR="00EB7374" w:rsidRPr="00CC405F" w:rsidRDefault="00EB7374" w:rsidP="00C700EB">
            <w:pPr>
              <w:jc w:val="center"/>
              <w:rPr>
                <w:sz w:val="15"/>
                <w:szCs w:val="15"/>
              </w:rPr>
            </w:pPr>
            <w:r>
              <w:rPr>
                <w:sz w:val="15"/>
              </w:rPr>
              <w:t>No</w:t>
            </w:r>
          </w:p>
        </w:tc>
        <w:tc>
          <w:tcPr>
            <w:tcW w:w="679" w:type="pct"/>
          </w:tcPr>
          <w:p w14:paraId="7F05DC3C" w14:textId="77777777" w:rsidR="00EB7374" w:rsidRPr="00CC405F" w:rsidRDefault="00EB7374" w:rsidP="00C700EB">
            <w:pPr>
              <w:jc w:val="center"/>
              <w:rPr>
                <w:sz w:val="15"/>
                <w:szCs w:val="15"/>
              </w:rPr>
            </w:pPr>
            <w:r>
              <w:rPr>
                <w:sz w:val="15"/>
              </w:rPr>
              <w:t>No</w:t>
            </w:r>
          </w:p>
        </w:tc>
        <w:tc>
          <w:tcPr>
            <w:tcW w:w="690" w:type="pct"/>
          </w:tcPr>
          <w:p w14:paraId="1EDEED99" w14:textId="77777777" w:rsidR="00EB7374" w:rsidRPr="00CC405F" w:rsidRDefault="00EB7374" w:rsidP="00C700EB">
            <w:pPr>
              <w:jc w:val="center"/>
              <w:rPr>
                <w:sz w:val="15"/>
                <w:szCs w:val="15"/>
              </w:rPr>
            </w:pPr>
            <w:r>
              <w:rPr>
                <w:sz w:val="15"/>
              </w:rPr>
              <w:t>FP</w:t>
            </w:r>
          </w:p>
        </w:tc>
        <w:tc>
          <w:tcPr>
            <w:tcW w:w="642" w:type="pct"/>
          </w:tcPr>
          <w:p w14:paraId="694DCD89" w14:textId="77777777" w:rsidR="00EB7374" w:rsidRPr="00CC405F" w:rsidRDefault="00EB7374" w:rsidP="00C700EB">
            <w:pPr>
              <w:jc w:val="center"/>
              <w:rPr>
                <w:sz w:val="15"/>
                <w:szCs w:val="15"/>
              </w:rPr>
            </w:pPr>
            <w:r>
              <w:rPr>
                <w:sz w:val="15"/>
              </w:rPr>
              <w:t>FD</w:t>
            </w:r>
          </w:p>
        </w:tc>
      </w:tr>
      <w:tr w:rsidR="00EB7374" w:rsidRPr="00CC405F" w14:paraId="2C7D4EE5" w14:textId="77777777" w:rsidTr="00C700EB">
        <w:trPr>
          <w:cnfStyle w:val="000000010000" w:firstRow="0" w:lastRow="0" w:firstColumn="0" w:lastColumn="0" w:oddVBand="0" w:evenVBand="0" w:oddHBand="0" w:evenHBand="1" w:firstRowFirstColumn="0" w:firstRowLastColumn="0" w:lastRowFirstColumn="0" w:lastRowLastColumn="0"/>
        </w:trPr>
        <w:tc>
          <w:tcPr>
            <w:tcW w:w="1289" w:type="pct"/>
          </w:tcPr>
          <w:p w14:paraId="01ED413A" w14:textId="77777777" w:rsidR="00EB7374" w:rsidRPr="00CC405F" w:rsidRDefault="00EB7374" w:rsidP="00C700EB">
            <w:pPr>
              <w:jc w:val="left"/>
              <w:rPr>
                <w:sz w:val="15"/>
                <w:szCs w:val="15"/>
              </w:rPr>
            </w:pPr>
            <w:r>
              <w:rPr>
                <w:sz w:val="15"/>
              </w:rPr>
              <w:t>Jamaica (ASA/MoU)</w:t>
            </w:r>
          </w:p>
        </w:tc>
        <w:tc>
          <w:tcPr>
            <w:tcW w:w="675" w:type="pct"/>
          </w:tcPr>
          <w:p w14:paraId="05EC0A9E" w14:textId="77777777" w:rsidR="00EB7374" w:rsidRPr="00CC405F" w:rsidRDefault="00EB7374" w:rsidP="00C700EB">
            <w:pPr>
              <w:jc w:val="center"/>
              <w:rPr>
                <w:sz w:val="15"/>
                <w:szCs w:val="15"/>
              </w:rPr>
            </w:pPr>
            <w:r>
              <w:rPr>
                <w:sz w:val="15"/>
              </w:rPr>
              <w:t>2018*</w:t>
            </w:r>
          </w:p>
        </w:tc>
        <w:tc>
          <w:tcPr>
            <w:tcW w:w="470" w:type="pct"/>
          </w:tcPr>
          <w:p w14:paraId="4B5FF9E2" w14:textId="77777777" w:rsidR="00EB7374" w:rsidRPr="00CC405F" w:rsidRDefault="00EB7374" w:rsidP="00C700EB">
            <w:pPr>
              <w:jc w:val="center"/>
              <w:rPr>
                <w:sz w:val="15"/>
                <w:szCs w:val="15"/>
              </w:rPr>
            </w:pPr>
            <w:r>
              <w:rPr>
                <w:sz w:val="15"/>
              </w:rPr>
              <w:t>Yes</w:t>
            </w:r>
          </w:p>
        </w:tc>
        <w:tc>
          <w:tcPr>
            <w:tcW w:w="555" w:type="pct"/>
          </w:tcPr>
          <w:p w14:paraId="3C02438F" w14:textId="77777777" w:rsidR="00EB7374" w:rsidRPr="00CC405F" w:rsidRDefault="00EB7374" w:rsidP="00C700EB">
            <w:pPr>
              <w:jc w:val="center"/>
              <w:rPr>
                <w:sz w:val="15"/>
                <w:szCs w:val="15"/>
              </w:rPr>
            </w:pPr>
            <w:r>
              <w:rPr>
                <w:sz w:val="15"/>
              </w:rPr>
              <w:t>Cargo</w:t>
            </w:r>
          </w:p>
        </w:tc>
        <w:tc>
          <w:tcPr>
            <w:tcW w:w="679" w:type="pct"/>
          </w:tcPr>
          <w:p w14:paraId="3DE6A828" w14:textId="77777777" w:rsidR="00EB7374" w:rsidRPr="00CC405F" w:rsidRDefault="00EB7374" w:rsidP="00C700EB">
            <w:pPr>
              <w:jc w:val="center"/>
              <w:rPr>
                <w:sz w:val="15"/>
                <w:szCs w:val="15"/>
              </w:rPr>
            </w:pPr>
            <w:r>
              <w:rPr>
                <w:sz w:val="15"/>
              </w:rPr>
              <w:t>No</w:t>
            </w:r>
          </w:p>
        </w:tc>
        <w:tc>
          <w:tcPr>
            <w:tcW w:w="690" w:type="pct"/>
          </w:tcPr>
          <w:p w14:paraId="54CDCCE3" w14:textId="77777777" w:rsidR="00EB7374" w:rsidRPr="00CC405F" w:rsidRDefault="00EB7374" w:rsidP="00C700EB">
            <w:pPr>
              <w:jc w:val="center"/>
              <w:rPr>
                <w:sz w:val="15"/>
                <w:szCs w:val="15"/>
              </w:rPr>
            </w:pPr>
            <w:r>
              <w:rPr>
                <w:sz w:val="15"/>
              </w:rPr>
              <w:t>FP</w:t>
            </w:r>
          </w:p>
        </w:tc>
        <w:tc>
          <w:tcPr>
            <w:tcW w:w="642" w:type="pct"/>
          </w:tcPr>
          <w:p w14:paraId="763A0FCE" w14:textId="77777777" w:rsidR="00EB7374" w:rsidRPr="00CC405F" w:rsidRDefault="00EB7374" w:rsidP="00C700EB">
            <w:pPr>
              <w:jc w:val="center"/>
              <w:rPr>
                <w:sz w:val="15"/>
                <w:szCs w:val="15"/>
              </w:rPr>
            </w:pPr>
            <w:r>
              <w:rPr>
                <w:sz w:val="15"/>
              </w:rPr>
              <w:t xml:space="preserve">FD </w:t>
            </w:r>
          </w:p>
        </w:tc>
      </w:tr>
      <w:tr w:rsidR="00EB7374" w:rsidRPr="00CC405F" w14:paraId="30D1E271" w14:textId="77777777" w:rsidTr="00C700EB">
        <w:tc>
          <w:tcPr>
            <w:tcW w:w="1289" w:type="pct"/>
          </w:tcPr>
          <w:p w14:paraId="5E4860CF" w14:textId="77777777" w:rsidR="00EB7374" w:rsidRPr="00CC405F" w:rsidRDefault="00EB7374" w:rsidP="00C700EB">
            <w:pPr>
              <w:jc w:val="left"/>
              <w:rPr>
                <w:sz w:val="15"/>
                <w:szCs w:val="15"/>
              </w:rPr>
            </w:pPr>
            <w:r>
              <w:rPr>
                <w:sz w:val="15"/>
              </w:rPr>
              <w:t>Jordan (ASA/MoU)</w:t>
            </w:r>
          </w:p>
        </w:tc>
        <w:tc>
          <w:tcPr>
            <w:tcW w:w="675" w:type="pct"/>
          </w:tcPr>
          <w:p w14:paraId="19B6D931" w14:textId="77777777" w:rsidR="00EB7374" w:rsidRPr="00CC405F" w:rsidRDefault="00EB7374" w:rsidP="00C700EB">
            <w:pPr>
              <w:jc w:val="center"/>
              <w:rPr>
                <w:sz w:val="15"/>
                <w:szCs w:val="15"/>
              </w:rPr>
            </w:pPr>
            <w:r>
              <w:rPr>
                <w:sz w:val="15"/>
              </w:rPr>
              <w:t>2019*</w:t>
            </w:r>
          </w:p>
        </w:tc>
        <w:tc>
          <w:tcPr>
            <w:tcW w:w="470" w:type="pct"/>
          </w:tcPr>
          <w:p w14:paraId="16B6E72C" w14:textId="77777777" w:rsidR="00EB7374" w:rsidRPr="00CC405F" w:rsidRDefault="00EB7374" w:rsidP="00C700EB">
            <w:pPr>
              <w:jc w:val="center"/>
              <w:rPr>
                <w:sz w:val="15"/>
                <w:szCs w:val="15"/>
              </w:rPr>
            </w:pPr>
            <w:r>
              <w:rPr>
                <w:sz w:val="15"/>
              </w:rPr>
              <w:t>Yes</w:t>
            </w:r>
          </w:p>
        </w:tc>
        <w:tc>
          <w:tcPr>
            <w:tcW w:w="555" w:type="pct"/>
          </w:tcPr>
          <w:p w14:paraId="01CF4992" w14:textId="77777777" w:rsidR="00EB7374" w:rsidRPr="00CC405F" w:rsidRDefault="00EB7374" w:rsidP="00C700EB">
            <w:pPr>
              <w:jc w:val="center"/>
              <w:rPr>
                <w:sz w:val="15"/>
                <w:szCs w:val="15"/>
              </w:rPr>
            </w:pPr>
            <w:r>
              <w:rPr>
                <w:sz w:val="15"/>
              </w:rPr>
              <w:t>No</w:t>
            </w:r>
          </w:p>
        </w:tc>
        <w:tc>
          <w:tcPr>
            <w:tcW w:w="679" w:type="pct"/>
          </w:tcPr>
          <w:p w14:paraId="08461D91" w14:textId="77777777" w:rsidR="00EB7374" w:rsidRPr="00CC405F" w:rsidRDefault="00EB7374" w:rsidP="00C700EB">
            <w:pPr>
              <w:jc w:val="center"/>
              <w:rPr>
                <w:sz w:val="15"/>
                <w:szCs w:val="15"/>
              </w:rPr>
            </w:pPr>
            <w:r>
              <w:rPr>
                <w:sz w:val="15"/>
              </w:rPr>
              <w:t>No</w:t>
            </w:r>
          </w:p>
        </w:tc>
        <w:tc>
          <w:tcPr>
            <w:tcW w:w="690" w:type="pct"/>
          </w:tcPr>
          <w:p w14:paraId="04E8E7A6" w14:textId="77777777" w:rsidR="00EB7374" w:rsidRPr="00CC405F" w:rsidRDefault="00EB7374" w:rsidP="00C700EB">
            <w:pPr>
              <w:jc w:val="center"/>
              <w:rPr>
                <w:sz w:val="15"/>
                <w:szCs w:val="15"/>
              </w:rPr>
            </w:pPr>
            <w:r>
              <w:rPr>
                <w:sz w:val="15"/>
              </w:rPr>
              <w:t>FP</w:t>
            </w:r>
          </w:p>
        </w:tc>
        <w:tc>
          <w:tcPr>
            <w:tcW w:w="642" w:type="pct"/>
          </w:tcPr>
          <w:p w14:paraId="760B769A" w14:textId="77777777" w:rsidR="00EB7374" w:rsidRPr="00CC405F" w:rsidRDefault="00EB7374" w:rsidP="00C700EB">
            <w:pPr>
              <w:jc w:val="center"/>
              <w:rPr>
                <w:sz w:val="15"/>
                <w:szCs w:val="15"/>
              </w:rPr>
            </w:pPr>
            <w:r>
              <w:rPr>
                <w:sz w:val="15"/>
              </w:rPr>
              <w:t>FD</w:t>
            </w:r>
          </w:p>
        </w:tc>
      </w:tr>
      <w:tr w:rsidR="00EB7374" w:rsidRPr="00CC405F" w14:paraId="0D4F8ECA" w14:textId="77777777" w:rsidTr="00C700EB">
        <w:trPr>
          <w:cnfStyle w:val="000000010000" w:firstRow="0" w:lastRow="0" w:firstColumn="0" w:lastColumn="0" w:oddVBand="0" w:evenVBand="0" w:oddHBand="0" w:evenHBand="1" w:firstRowFirstColumn="0" w:firstRowLastColumn="0" w:lastRowFirstColumn="0" w:lastRowLastColumn="0"/>
        </w:trPr>
        <w:tc>
          <w:tcPr>
            <w:tcW w:w="1289" w:type="pct"/>
          </w:tcPr>
          <w:p w14:paraId="7EE8DC98" w14:textId="77777777" w:rsidR="00EB7374" w:rsidRPr="00CC405F" w:rsidRDefault="00EB7374" w:rsidP="00C700EB">
            <w:pPr>
              <w:jc w:val="left"/>
              <w:rPr>
                <w:sz w:val="15"/>
                <w:szCs w:val="15"/>
              </w:rPr>
            </w:pPr>
            <w:r>
              <w:rPr>
                <w:sz w:val="15"/>
              </w:rPr>
              <w:t>Kenya (ASA/MOU)</w:t>
            </w:r>
          </w:p>
        </w:tc>
        <w:tc>
          <w:tcPr>
            <w:tcW w:w="675" w:type="pct"/>
          </w:tcPr>
          <w:p w14:paraId="4663A15D" w14:textId="77777777" w:rsidR="00EB7374" w:rsidRPr="00CC405F" w:rsidRDefault="00EB7374" w:rsidP="00C700EB">
            <w:pPr>
              <w:jc w:val="center"/>
              <w:rPr>
                <w:sz w:val="15"/>
                <w:szCs w:val="15"/>
              </w:rPr>
            </w:pPr>
            <w:r>
              <w:rPr>
                <w:sz w:val="15"/>
              </w:rPr>
              <w:t>2018*</w:t>
            </w:r>
          </w:p>
        </w:tc>
        <w:tc>
          <w:tcPr>
            <w:tcW w:w="470" w:type="pct"/>
          </w:tcPr>
          <w:p w14:paraId="77324738" w14:textId="77777777" w:rsidR="00EB7374" w:rsidRPr="00CC405F" w:rsidRDefault="00EB7374" w:rsidP="00C700EB">
            <w:pPr>
              <w:jc w:val="center"/>
              <w:rPr>
                <w:sz w:val="15"/>
                <w:szCs w:val="15"/>
              </w:rPr>
            </w:pPr>
            <w:r>
              <w:rPr>
                <w:sz w:val="15"/>
              </w:rPr>
              <w:t>Yes</w:t>
            </w:r>
          </w:p>
        </w:tc>
        <w:tc>
          <w:tcPr>
            <w:tcW w:w="555" w:type="pct"/>
          </w:tcPr>
          <w:p w14:paraId="5EE338C3" w14:textId="77777777" w:rsidR="00EB7374" w:rsidRPr="00CC405F" w:rsidRDefault="00EB7374" w:rsidP="00C700EB">
            <w:pPr>
              <w:jc w:val="center"/>
              <w:rPr>
                <w:sz w:val="15"/>
                <w:szCs w:val="15"/>
              </w:rPr>
            </w:pPr>
            <w:r>
              <w:rPr>
                <w:sz w:val="15"/>
              </w:rPr>
              <w:t>No</w:t>
            </w:r>
          </w:p>
        </w:tc>
        <w:tc>
          <w:tcPr>
            <w:tcW w:w="679" w:type="pct"/>
          </w:tcPr>
          <w:p w14:paraId="4E056FC6" w14:textId="77777777" w:rsidR="00EB7374" w:rsidRPr="00CC405F" w:rsidRDefault="00EB7374" w:rsidP="00C700EB">
            <w:pPr>
              <w:jc w:val="center"/>
              <w:rPr>
                <w:sz w:val="15"/>
                <w:szCs w:val="15"/>
              </w:rPr>
            </w:pPr>
            <w:r>
              <w:rPr>
                <w:sz w:val="15"/>
              </w:rPr>
              <w:t>No</w:t>
            </w:r>
          </w:p>
        </w:tc>
        <w:tc>
          <w:tcPr>
            <w:tcW w:w="690" w:type="pct"/>
          </w:tcPr>
          <w:p w14:paraId="419DDE17" w14:textId="77777777" w:rsidR="00EB7374" w:rsidRPr="00CC405F" w:rsidRDefault="00EB7374" w:rsidP="00C700EB">
            <w:pPr>
              <w:jc w:val="center"/>
              <w:rPr>
                <w:sz w:val="15"/>
                <w:szCs w:val="15"/>
              </w:rPr>
            </w:pPr>
            <w:r>
              <w:rPr>
                <w:sz w:val="15"/>
              </w:rPr>
              <w:t>PD</w:t>
            </w:r>
          </w:p>
        </w:tc>
        <w:tc>
          <w:tcPr>
            <w:tcW w:w="642" w:type="pct"/>
          </w:tcPr>
          <w:p w14:paraId="605DE60E" w14:textId="77777777" w:rsidR="00EB7374" w:rsidRPr="00CC405F" w:rsidRDefault="00EB7374" w:rsidP="00C700EB">
            <w:pPr>
              <w:jc w:val="center"/>
              <w:rPr>
                <w:sz w:val="15"/>
                <w:szCs w:val="15"/>
              </w:rPr>
            </w:pPr>
            <w:r>
              <w:rPr>
                <w:sz w:val="15"/>
              </w:rPr>
              <w:t>PD</w:t>
            </w:r>
          </w:p>
        </w:tc>
      </w:tr>
      <w:tr w:rsidR="00EB7374" w:rsidRPr="00CC405F" w14:paraId="0C4709A6" w14:textId="77777777" w:rsidTr="00C700EB">
        <w:tc>
          <w:tcPr>
            <w:tcW w:w="1289" w:type="pct"/>
          </w:tcPr>
          <w:p w14:paraId="40259DD8" w14:textId="77777777" w:rsidR="00EB7374" w:rsidRPr="00CC405F" w:rsidRDefault="00EB7374" w:rsidP="00C700EB">
            <w:pPr>
              <w:jc w:val="left"/>
              <w:rPr>
                <w:sz w:val="15"/>
                <w:szCs w:val="15"/>
              </w:rPr>
            </w:pPr>
            <w:r>
              <w:rPr>
                <w:sz w:val="15"/>
              </w:rPr>
              <w:t xml:space="preserve">Kuwait, State of </w:t>
            </w:r>
          </w:p>
        </w:tc>
        <w:tc>
          <w:tcPr>
            <w:tcW w:w="675" w:type="pct"/>
          </w:tcPr>
          <w:p w14:paraId="7E2545BA" w14:textId="77777777" w:rsidR="00EB7374" w:rsidRPr="00CC405F" w:rsidRDefault="00EB7374" w:rsidP="00C700EB">
            <w:pPr>
              <w:jc w:val="center"/>
              <w:rPr>
                <w:sz w:val="15"/>
                <w:szCs w:val="15"/>
              </w:rPr>
            </w:pPr>
            <w:r>
              <w:rPr>
                <w:sz w:val="15"/>
              </w:rPr>
              <w:t>2019</w:t>
            </w:r>
          </w:p>
        </w:tc>
        <w:tc>
          <w:tcPr>
            <w:tcW w:w="470" w:type="pct"/>
          </w:tcPr>
          <w:p w14:paraId="76F0DDBD" w14:textId="77777777" w:rsidR="00EB7374" w:rsidRPr="00CC405F" w:rsidDel="007523B5" w:rsidRDefault="00EB7374" w:rsidP="00C700EB">
            <w:pPr>
              <w:jc w:val="center"/>
              <w:rPr>
                <w:sz w:val="15"/>
                <w:szCs w:val="15"/>
              </w:rPr>
            </w:pPr>
            <w:r>
              <w:rPr>
                <w:sz w:val="15"/>
              </w:rPr>
              <w:t>Yes</w:t>
            </w:r>
          </w:p>
        </w:tc>
        <w:tc>
          <w:tcPr>
            <w:tcW w:w="555" w:type="pct"/>
          </w:tcPr>
          <w:p w14:paraId="11778E87" w14:textId="77777777" w:rsidR="00EB7374" w:rsidRPr="00CC405F" w:rsidRDefault="00EB7374" w:rsidP="00C700EB">
            <w:pPr>
              <w:jc w:val="center"/>
              <w:rPr>
                <w:sz w:val="15"/>
                <w:szCs w:val="15"/>
              </w:rPr>
            </w:pPr>
            <w:r>
              <w:rPr>
                <w:sz w:val="15"/>
              </w:rPr>
              <w:t>No</w:t>
            </w:r>
          </w:p>
        </w:tc>
        <w:tc>
          <w:tcPr>
            <w:tcW w:w="679" w:type="pct"/>
          </w:tcPr>
          <w:p w14:paraId="32A3960E" w14:textId="77777777" w:rsidR="00EB7374" w:rsidRPr="00CC405F" w:rsidRDefault="00EB7374" w:rsidP="00C700EB">
            <w:pPr>
              <w:jc w:val="center"/>
              <w:rPr>
                <w:sz w:val="15"/>
                <w:szCs w:val="15"/>
              </w:rPr>
            </w:pPr>
            <w:r>
              <w:rPr>
                <w:sz w:val="15"/>
              </w:rPr>
              <w:t>No</w:t>
            </w:r>
          </w:p>
        </w:tc>
        <w:tc>
          <w:tcPr>
            <w:tcW w:w="690" w:type="pct"/>
          </w:tcPr>
          <w:p w14:paraId="48C055BA" w14:textId="77777777" w:rsidR="00EB7374" w:rsidRPr="00CC405F" w:rsidRDefault="00EB7374" w:rsidP="00C700EB">
            <w:pPr>
              <w:jc w:val="center"/>
              <w:rPr>
                <w:sz w:val="15"/>
                <w:szCs w:val="15"/>
              </w:rPr>
            </w:pPr>
            <w:r>
              <w:rPr>
                <w:sz w:val="15"/>
              </w:rPr>
              <w:t>FP</w:t>
            </w:r>
          </w:p>
        </w:tc>
        <w:tc>
          <w:tcPr>
            <w:tcW w:w="642" w:type="pct"/>
          </w:tcPr>
          <w:p w14:paraId="15A594B8" w14:textId="77777777" w:rsidR="00EB7374" w:rsidRPr="00CC405F" w:rsidRDefault="00EB7374" w:rsidP="00C700EB">
            <w:pPr>
              <w:jc w:val="center"/>
              <w:rPr>
                <w:sz w:val="15"/>
                <w:szCs w:val="15"/>
              </w:rPr>
            </w:pPr>
            <w:r>
              <w:rPr>
                <w:sz w:val="15"/>
              </w:rPr>
              <w:t>FD</w:t>
            </w:r>
          </w:p>
        </w:tc>
      </w:tr>
      <w:tr w:rsidR="00EB7374" w:rsidRPr="00CC405F" w14:paraId="40AB5DE4" w14:textId="77777777" w:rsidTr="00C700EB">
        <w:trPr>
          <w:cnfStyle w:val="000000010000" w:firstRow="0" w:lastRow="0" w:firstColumn="0" w:lastColumn="0" w:oddVBand="0" w:evenVBand="0" w:oddHBand="0" w:evenHBand="1" w:firstRowFirstColumn="0" w:firstRowLastColumn="0" w:lastRowFirstColumn="0" w:lastRowLastColumn="0"/>
        </w:trPr>
        <w:tc>
          <w:tcPr>
            <w:tcW w:w="1289" w:type="pct"/>
          </w:tcPr>
          <w:p w14:paraId="1C49DEA1" w14:textId="77777777" w:rsidR="00EB7374" w:rsidRPr="00CC405F" w:rsidRDefault="00EB7374" w:rsidP="00C700EB">
            <w:pPr>
              <w:jc w:val="left"/>
              <w:rPr>
                <w:sz w:val="15"/>
                <w:szCs w:val="15"/>
              </w:rPr>
            </w:pPr>
            <w:r>
              <w:rPr>
                <w:sz w:val="15"/>
              </w:rPr>
              <w:t>Latvia (ASA/MoU)</w:t>
            </w:r>
          </w:p>
        </w:tc>
        <w:tc>
          <w:tcPr>
            <w:tcW w:w="675" w:type="pct"/>
          </w:tcPr>
          <w:p w14:paraId="58EE783D" w14:textId="77777777" w:rsidR="00EB7374" w:rsidRPr="00CC405F" w:rsidRDefault="00EB7374" w:rsidP="00C700EB">
            <w:pPr>
              <w:jc w:val="center"/>
              <w:rPr>
                <w:sz w:val="15"/>
                <w:szCs w:val="15"/>
              </w:rPr>
            </w:pPr>
            <w:r>
              <w:rPr>
                <w:sz w:val="15"/>
              </w:rPr>
              <w:t>2021*</w:t>
            </w:r>
          </w:p>
        </w:tc>
        <w:tc>
          <w:tcPr>
            <w:tcW w:w="470" w:type="pct"/>
          </w:tcPr>
          <w:p w14:paraId="4F87AD60" w14:textId="77777777" w:rsidR="00EB7374" w:rsidRPr="00CC405F" w:rsidRDefault="00EB7374" w:rsidP="00C700EB">
            <w:pPr>
              <w:jc w:val="center"/>
              <w:rPr>
                <w:sz w:val="15"/>
                <w:szCs w:val="15"/>
              </w:rPr>
            </w:pPr>
            <w:r>
              <w:rPr>
                <w:sz w:val="15"/>
              </w:rPr>
              <w:t>Yes</w:t>
            </w:r>
          </w:p>
        </w:tc>
        <w:tc>
          <w:tcPr>
            <w:tcW w:w="555" w:type="pct"/>
          </w:tcPr>
          <w:p w14:paraId="23132753" w14:textId="77777777" w:rsidR="00EB7374" w:rsidRPr="00CC405F" w:rsidRDefault="00EB7374" w:rsidP="00C700EB">
            <w:pPr>
              <w:jc w:val="center"/>
              <w:rPr>
                <w:sz w:val="15"/>
                <w:szCs w:val="15"/>
              </w:rPr>
            </w:pPr>
            <w:r>
              <w:rPr>
                <w:sz w:val="15"/>
              </w:rPr>
              <w:t>Cargo</w:t>
            </w:r>
          </w:p>
        </w:tc>
        <w:tc>
          <w:tcPr>
            <w:tcW w:w="679" w:type="pct"/>
          </w:tcPr>
          <w:p w14:paraId="30D860C3" w14:textId="77777777" w:rsidR="00EB7374" w:rsidRPr="00CC405F" w:rsidRDefault="00EB7374" w:rsidP="00C700EB">
            <w:pPr>
              <w:jc w:val="center"/>
              <w:rPr>
                <w:sz w:val="15"/>
                <w:szCs w:val="15"/>
              </w:rPr>
            </w:pPr>
            <w:r>
              <w:rPr>
                <w:sz w:val="15"/>
              </w:rPr>
              <w:t>No</w:t>
            </w:r>
          </w:p>
        </w:tc>
        <w:tc>
          <w:tcPr>
            <w:tcW w:w="690" w:type="pct"/>
          </w:tcPr>
          <w:p w14:paraId="7804E8DC" w14:textId="77777777" w:rsidR="00EB7374" w:rsidRPr="00CC405F" w:rsidRDefault="00EB7374" w:rsidP="00C700EB">
            <w:pPr>
              <w:jc w:val="center"/>
              <w:rPr>
                <w:sz w:val="15"/>
                <w:szCs w:val="15"/>
              </w:rPr>
            </w:pPr>
            <w:r>
              <w:rPr>
                <w:sz w:val="15"/>
              </w:rPr>
              <w:t>PD</w:t>
            </w:r>
          </w:p>
        </w:tc>
        <w:tc>
          <w:tcPr>
            <w:tcW w:w="642" w:type="pct"/>
          </w:tcPr>
          <w:p w14:paraId="6F663FD2" w14:textId="77777777" w:rsidR="00EB7374" w:rsidRPr="00CC405F" w:rsidRDefault="00EB7374" w:rsidP="00C700EB">
            <w:pPr>
              <w:jc w:val="center"/>
              <w:rPr>
                <w:sz w:val="15"/>
                <w:szCs w:val="15"/>
              </w:rPr>
            </w:pPr>
            <w:r>
              <w:rPr>
                <w:sz w:val="15"/>
              </w:rPr>
              <w:t>PD</w:t>
            </w:r>
          </w:p>
        </w:tc>
      </w:tr>
      <w:tr w:rsidR="00EB7374" w:rsidRPr="00CC405F" w14:paraId="167C051F" w14:textId="77777777" w:rsidTr="00C700EB">
        <w:tc>
          <w:tcPr>
            <w:tcW w:w="1289" w:type="pct"/>
          </w:tcPr>
          <w:p w14:paraId="093DBE63" w14:textId="77777777" w:rsidR="00EB7374" w:rsidRPr="00CC405F" w:rsidRDefault="00EB7374" w:rsidP="00C700EB">
            <w:pPr>
              <w:jc w:val="left"/>
              <w:rPr>
                <w:sz w:val="15"/>
                <w:szCs w:val="15"/>
              </w:rPr>
            </w:pPr>
            <w:r>
              <w:rPr>
                <w:sz w:val="15"/>
              </w:rPr>
              <w:t>Luxembourg (ASA/MoU)</w:t>
            </w:r>
          </w:p>
        </w:tc>
        <w:tc>
          <w:tcPr>
            <w:tcW w:w="675" w:type="pct"/>
          </w:tcPr>
          <w:p w14:paraId="20BD852D" w14:textId="77777777" w:rsidR="00EB7374" w:rsidRPr="00CC405F" w:rsidRDefault="00EB7374" w:rsidP="00C700EB">
            <w:pPr>
              <w:jc w:val="center"/>
              <w:rPr>
                <w:sz w:val="15"/>
                <w:szCs w:val="15"/>
              </w:rPr>
            </w:pPr>
            <w:r>
              <w:rPr>
                <w:sz w:val="15"/>
              </w:rPr>
              <w:t>2015*</w:t>
            </w:r>
          </w:p>
        </w:tc>
        <w:tc>
          <w:tcPr>
            <w:tcW w:w="470" w:type="pct"/>
          </w:tcPr>
          <w:p w14:paraId="21AAE571" w14:textId="77777777" w:rsidR="00EB7374" w:rsidRPr="00CC405F" w:rsidRDefault="00EB7374" w:rsidP="00C700EB">
            <w:pPr>
              <w:jc w:val="center"/>
              <w:rPr>
                <w:sz w:val="15"/>
                <w:szCs w:val="15"/>
              </w:rPr>
            </w:pPr>
            <w:r>
              <w:rPr>
                <w:sz w:val="15"/>
              </w:rPr>
              <w:t>Yes</w:t>
            </w:r>
          </w:p>
        </w:tc>
        <w:tc>
          <w:tcPr>
            <w:tcW w:w="555" w:type="pct"/>
          </w:tcPr>
          <w:p w14:paraId="3430EE94" w14:textId="77777777" w:rsidR="00EB7374" w:rsidRPr="00CC405F" w:rsidRDefault="00EB7374" w:rsidP="00C700EB">
            <w:pPr>
              <w:jc w:val="center"/>
              <w:rPr>
                <w:sz w:val="15"/>
                <w:szCs w:val="15"/>
              </w:rPr>
            </w:pPr>
            <w:r>
              <w:rPr>
                <w:sz w:val="15"/>
              </w:rPr>
              <w:t>Cargo</w:t>
            </w:r>
          </w:p>
        </w:tc>
        <w:tc>
          <w:tcPr>
            <w:tcW w:w="679" w:type="pct"/>
          </w:tcPr>
          <w:p w14:paraId="543D6507" w14:textId="77777777" w:rsidR="00EB7374" w:rsidRPr="00CC405F" w:rsidRDefault="00EB7374" w:rsidP="00C700EB">
            <w:pPr>
              <w:jc w:val="center"/>
              <w:rPr>
                <w:sz w:val="15"/>
                <w:szCs w:val="15"/>
              </w:rPr>
            </w:pPr>
            <w:r>
              <w:rPr>
                <w:sz w:val="15"/>
              </w:rPr>
              <w:t>No</w:t>
            </w:r>
          </w:p>
        </w:tc>
        <w:tc>
          <w:tcPr>
            <w:tcW w:w="690" w:type="pct"/>
          </w:tcPr>
          <w:p w14:paraId="52599F66" w14:textId="77777777" w:rsidR="00EB7374" w:rsidRPr="00CC405F" w:rsidRDefault="00EB7374" w:rsidP="00C700EB">
            <w:pPr>
              <w:jc w:val="center"/>
              <w:rPr>
                <w:sz w:val="15"/>
                <w:szCs w:val="15"/>
              </w:rPr>
            </w:pPr>
            <w:r>
              <w:rPr>
                <w:sz w:val="15"/>
              </w:rPr>
              <w:t>FP</w:t>
            </w:r>
          </w:p>
        </w:tc>
        <w:tc>
          <w:tcPr>
            <w:tcW w:w="642" w:type="pct"/>
          </w:tcPr>
          <w:p w14:paraId="5344EE6F" w14:textId="77777777" w:rsidR="00EB7374" w:rsidRPr="00CC405F" w:rsidRDefault="00EB7374" w:rsidP="00C700EB">
            <w:pPr>
              <w:jc w:val="center"/>
              <w:rPr>
                <w:sz w:val="15"/>
                <w:szCs w:val="15"/>
              </w:rPr>
            </w:pPr>
            <w:r>
              <w:rPr>
                <w:sz w:val="15"/>
              </w:rPr>
              <w:t xml:space="preserve">FD </w:t>
            </w:r>
          </w:p>
        </w:tc>
      </w:tr>
      <w:tr w:rsidR="00EB7374" w:rsidRPr="00CC405F" w14:paraId="0AA7C357" w14:textId="77777777" w:rsidTr="00C700EB">
        <w:trPr>
          <w:cnfStyle w:val="000000010000" w:firstRow="0" w:lastRow="0" w:firstColumn="0" w:lastColumn="0" w:oddVBand="0" w:evenVBand="0" w:oddHBand="0" w:evenHBand="1" w:firstRowFirstColumn="0" w:firstRowLastColumn="0" w:lastRowFirstColumn="0" w:lastRowLastColumn="0"/>
        </w:trPr>
        <w:tc>
          <w:tcPr>
            <w:tcW w:w="1289" w:type="pct"/>
          </w:tcPr>
          <w:p w14:paraId="2EDD4636" w14:textId="77777777" w:rsidR="00EB7374" w:rsidRPr="00CC405F" w:rsidRDefault="00EB7374" w:rsidP="00C700EB">
            <w:pPr>
              <w:jc w:val="left"/>
              <w:rPr>
                <w:sz w:val="15"/>
                <w:szCs w:val="15"/>
              </w:rPr>
            </w:pPr>
            <w:r>
              <w:rPr>
                <w:sz w:val="15"/>
              </w:rPr>
              <w:t>Malaysia (ASA/MoU)</w:t>
            </w:r>
          </w:p>
        </w:tc>
        <w:tc>
          <w:tcPr>
            <w:tcW w:w="675" w:type="pct"/>
          </w:tcPr>
          <w:p w14:paraId="79DB582F" w14:textId="77777777" w:rsidR="00EB7374" w:rsidRPr="00CC405F" w:rsidRDefault="00EB7374" w:rsidP="00C700EB">
            <w:pPr>
              <w:jc w:val="center"/>
              <w:rPr>
                <w:sz w:val="15"/>
                <w:szCs w:val="15"/>
              </w:rPr>
            </w:pPr>
            <w:r>
              <w:rPr>
                <w:sz w:val="15"/>
              </w:rPr>
              <w:t>2019*</w:t>
            </w:r>
          </w:p>
        </w:tc>
        <w:tc>
          <w:tcPr>
            <w:tcW w:w="470" w:type="pct"/>
          </w:tcPr>
          <w:p w14:paraId="6ED309B8" w14:textId="77777777" w:rsidR="00EB7374" w:rsidRPr="00CC405F" w:rsidRDefault="00EB7374" w:rsidP="00C700EB">
            <w:pPr>
              <w:jc w:val="center"/>
              <w:rPr>
                <w:sz w:val="15"/>
                <w:szCs w:val="15"/>
              </w:rPr>
            </w:pPr>
            <w:r>
              <w:rPr>
                <w:sz w:val="15"/>
              </w:rPr>
              <w:t>Yes</w:t>
            </w:r>
          </w:p>
        </w:tc>
        <w:tc>
          <w:tcPr>
            <w:tcW w:w="555" w:type="pct"/>
          </w:tcPr>
          <w:p w14:paraId="3128C16B" w14:textId="77777777" w:rsidR="00EB7374" w:rsidRPr="00CC405F" w:rsidRDefault="00EB7374" w:rsidP="00C700EB">
            <w:pPr>
              <w:jc w:val="center"/>
              <w:rPr>
                <w:sz w:val="15"/>
                <w:szCs w:val="15"/>
              </w:rPr>
            </w:pPr>
            <w:r>
              <w:rPr>
                <w:sz w:val="15"/>
              </w:rPr>
              <w:t>No</w:t>
            </w:r>
          </w:p>
        </w:tc>
        <w:tc>
          <w:tcPr>
            <w:tcW w:w="679" w:type="pct"/>
          </w:tcPr>
          <w:p w14:paraId="0390FD2B" w14:textId="77777777" w:rsidR="00EB7374" w:rsidRPr="00CC405F" w:rsidRDefault="00EB7374" w:rsidP="00C700EB">
            <w:pPr>
              <w:jc w:val="center"/>
              <w:rPr>
                <w:sz w:val="15"/>
                <w:szCs w:val="15"/>
              </w:rPr>
            </w:pPr>
            <w:r>
              <w:rPr>
                <w:sz w:val="15"/>
              </w:rPr>
              <w:t>No</w:t>
            </w:r>
          </w:p>
        </w:tc>
        <w:tc>
          <w:tcPr>
            <w:tcW w:w="690" w:type="pct"/>
          </w:tcPr>
          <w:p w14:paraId="6C4CFF2F" w14:textId="77777777" w:rsidR="00EB7374" w:rsidRPr="00CC405F" w:rsidRDefault="00EB7374" w:rsidP="00C700EB">
            <w:pPr>
              <w:jc w:val="center"/>
              <w:rPr>
                <w:sz w:val="15"/>
                <w:szCs w:val="15"/>
              </w:rPr>
            </w:pPr>
            <w:r>
              <w:rPr>
                <w:sz w:val="15"/>
              </w:rPr>
              <w:t>PD</w:t>
            </w:r>
          </w:p>
        </w:tc>
        <w:tc>
          <w:tcPr>
            <w:tcW w:w="642" w:type="pct"/>
          </w:tcPr>
          <w:p w14:paraId="60E6A07D" w14:textId="77777777" w:rsidR="00EB7374" w:rsidRPr="00CC405F" w:rsidRDefault="00EB7374" w:rsidP="00C700EB">
            <w:pPr>
              <w:jc w:val="center"/>
              <w:rPr>
                <w:sz w:val="15"/>
                <w:szCs w:val="15"/>
              </w:rPr>
            </w:pPr>
            <w:r>
              <w:rPr>
                <w:sz w:val="15"/>
              </w:rPr>
              <w:t>PD</w:t>
            </w:r>
          </w:p>
        </w:tc>
      </w:tr>
      <w:tr w:rsidR="00EB7374" w:rsidRPr="00CC405F" w14:paraId="267765D3" w14:textId="77777777" w:rsidTr="00C700EB">
        <w:tc>
          <w:tcPr>
            <w:tcW w:w="1289" w:type="pct"/>
          </w:tcPr>
          <w:p w14:paraId="60FD919B" w14:textId="77777777" w:rsidR="00EB7374" w:rsidRPr="00CC405F" w:rsidRDefault="00EB7374" w:rsidP="00C700EB">
            <w:pPr>
              <w:jc w:val="left"/>
              <w:rPr>
                <w:sz w:val="15"/>
                <w:szCs w:val="15"/>
              </w:rPr>
            </w:pPr>
            <w:r>
              <w:rPr>
                <w:sz w:val="15"/>
              </w:rPr>
              <w:t>Morocco</w:t>
            </w:r>
          </w:p>
        </w:tc>
        <w:tc>
          <w:tcPr>
            <w:tcW w:w="675" w:type="pct"/>
          </w:tcPr>
          <w:p w14:paraId="7AC7DF91" w14:textId="77777777" w:rsidR="00EB7374" w:rsidRPr="00CC405F" w:rsidRDefault="00EB7374" w:rsidP="00C700EB">
            <w:pPr>
              <w:jc w:val="center"/>
              <w:rPr>
                <w:sz w:val="15"/>
                <w:szCs w:val="15"/>
              </w:rPr>
            </w:pPr>
            <w:r>
              <w:rPr>
                <w:sz w:val="15"/>
              </w:rPr>
              <w:t>2018</w:t>
            </w:r>
          </w:p>
        </w:tc>
        <w:tc>
          <w:tcPr>
            <w:tcW w:w="470" w:type="pct"/>
          </w:tcPr>
          <w:p w14:paraId="60D8ABF8" w14:textId="77777777" w:rsidR="00EB7374" w:rsidRPr="00CC405F" w:rsidRDefault="00EB7374" w:rsidP="00C700EB">
            <w:pPr>
              <w:jc w:val="center"/>
              <w:rPr>
                <w:sz w:val="15"/>
                <w:szCs w:val="15"/>
              </w:rPr>
            </w:pPr>
            <w:r>
              <w:rPr>
                <w:sz w:val="15"/>
              </w:rPr>
              <w:t>Yes</w:t>
            </w:r>
          </w:p>
        </w:tc>
        <w:tc>
          <w:tcPr>
            <w:tcW w:w="555" w:type="pct"/>
          </w:tcPr>
          <w:p w14:paraId="734A3151" w14:textId="77777777" w:rsidR="00EB7374" w:rsidRPr="00CC405F" w:rsidRDefault="00EB7374" w:rsidP="00C700EB">
            <w:pPr>
              <w:jc w:val="center"/>
              <w:rPr>
                <w:sz w:val="15"/>
                <w:szCs w:val="15"/>
              </w:rPr>
            </w:pPr>
            <w:r>
              <w:rPr>
                <w:sz w:val="15"/>
              </w:rPr>
              <w:t>No</w:t>
            </w:r>
          </w:p>
        </w:tc>
        <w:tc>
          <w:tcPr>
            <w:tcW w:w="679" w:type="pct"/>
          </w:tcPr>
          <w:p w14:paraId="0052E3AB" w14:textId="77777777" w:rsidR="00EB7374" w:rsidRPr="00CC405F" w:rsidRDefault="00EB7374" w:rsidP="00C700EB">
            <w:pPr>
              <w:jc w:val="center"/>
              <w:rPr>
                <w:sz w:val="15"/>
                <w:szCs w:val="15"/>
              </w:rPr>
            </w:pPr>
            <w:r>
              <w:rPr>
                <w:sz w:val="15"/>
              </w:rPr>
              <w:t>No</w:t>
            </w:r>
          </w:p>
        </w:tc>
        <w:tc>
          <w:tcPr>
            <w:tcW w:w="690" w:type="pct"/>
          </w:tcPr>
          <w:p w14:paraId="06F4D8B0" w14:textId="77777777" w:rsidR="00EB7374" w:rsidRPr="00CC405F" w:rsidRDefault="00EB7374" w:rsidP="00C700EB">
            <w:pPr>
              <w:jc w:val="center"/>
              <w:rPr>
                <w:b/>
                <w:bCs/>
                <w:sz w:val="15"/>
                <w:szCs w:val="15"/>
              </w:rPr>
            </w:pPr>
            <w:r>
              <w:rPr>
                <w:sz w:val="15"/>
              </w:rPr>
              <w:t>FP</w:t>
            </w:r>
          </w:p>
        </w:tc>
        <w:tc>
          <w:tcPr>
            <w:tcW w:w="642" w:type="pct"/>
          </w:tcPr>
          <w:p w14:paraId="7A2988F0" w14:textId="77777777" w:rsidR="00EB7374" w:rsidRPr="00CC405F" w:rsidRDefault="00EB7374" w:rsidP="00C700EB">
            <w:pPr>
              <w:jc w:val="center"/>
              <w:rPr>
                <w:b/>
                <w:bCs/>
                <w:sz w:val="15"/>
                <w:szCs w:val="15"/>
              </w:rPr>
            </w:pPr>
            <w:r>
              <w:rPr>
                <w:sz w:val="15"/>
              </w:rPr>
              <w:t xml:space="preserve">FD </w:t>
            </w:r>
          </w:p>
        </w:tc>
      </w:tr>
      <w:tr w:rsidR="00EB7374" w:rsidRPr="00CC405F" w14:paraId="76BACE0A" w14:textId="77777777" w:rsidTr="00C700EB">
        <w:trPr>
          <w:cnfStyle w:val="000000010000" w:firstRow="0" w:lastRow="0" w:firstColumn="0" w:lastColumn="0" w:oddVBand="0" w:evenVBand="0" w:oddHBand="0" w:evenHBand="1" w:firstRowFirstColumn="0" w:firstRowLastColumn="0" w:lastRowFirstColumn="0" w:lastRowLastColumn="0"/>
        </w:trPr>
        <w:tc>
          <w:tcPr>
            <w:tcW w:w="1289" w:type="pct"/>
          </w:tcPr>
          <w:p w14:paraId="4D8A29F1" w14:textId="77777777" w:rsidR="00EB7374" w:rsidRPr="00CC405F" w:rsidRDefault="00EB7374" w:rsidP="00C700EB">
            <w:pPr>
              <w:jc w:val="left"/>
              <w:rPr>
                <w:sz w:val="15"/>
                <w:szCs w:val="15"/>
              </w:rPr>
            </w:pPr>
            <w:r>
              <w:rPr>
                <w:sz w:val="15"/>
              </w:rPr>
              <w:t>Mexico (ASA/MoU)</w:t>
            </w:r>
          </w:p>
        </w:tc>
        <w:tc>
          <w:tcPr>
            <w:tcW w:w="675" w:type="pct"/>
          </w:tcPr>
          <w:p w14:paraId="4877D7AB" w14:textId="77777777" w:rsidR="00EB7374" w:rsidRPr="00CC405F" w:rsidRDefault="00EB7374" w:rsidP="00C700EB">
            <w:pPr>
              <w:jc w:val="center"/>
              <w:rPr>
                <w:sz w:val="15"/>
                <w:szCs w:val="15"/>
              </w:rPr>
            </w:pPr>
            <w:r>
              <w:rPr>
                <w:sz w:val="15"/>
              </w:rPr>
              <w:t>1994/2007*</w:t>
            </w:r>
          </w:p>
        </w:tc>
        <w:tc>
          <w:tcPr>
            <w:tcW w:w="470" w:type="pct"/>
          </w:tcPr>
          <w:p w14:paraId="3899A226" w14:textId="77777777" w:rsidR="00EB7374" w:rsidRPr="00CC405F" w:rsidRDefault="00EB7374" w:rsidP="00C700EB">
            <w:pPr>
              <w:jc w:val="center"/>
              <w:rPr>
                <w:sz w:val="15"/>
                <w:szCs w:val="15"/>
              </w:rPr>
            </w:pPr>
            <w:r>
              <w:rPr>
                <w:sz w:val="15"/>
              </w:rPr>
              <w:t>Yes</w:t>
            </w:r>
          </w:p>
        </w:tc>
        <w:tc>
          <w:tcPr>
            <w:tcW w:w="555" w:type="pct"/>
          </w:tcPr>
          <w:p w14:paraId="78EE5C46" w14:textId="77777777" w:rsidR="00EB7374" w:rsidRPr="00CC405F" w:rsidRDefault="00EB7374" w:rsidP="00C700EB">
            <w:pPr>
              <w:jc w:val="center"/>
              <w:rPr>
                <w:sz w:val="15"/>
                <w:szCs w:val="15"/>
              </w:rPr>
            </w:pPr>
            <w:r>
              <w:rPr>
                <w:sz w:val="15"/>
              </w:rPr>
              <w:t>No</w:t>
            </w:r>
          </w:p>
        </w:tc>
        <w:tc>
          <w:tcPr>
            <w:tcW w:w="679" w:type="pct"/>
          </w:tcPr>
          <w:p w14:paraId="6B56ECC7" w14:textId="77777777" w:rsidR="00EB7374" w:rsidRPr="00CC405F" w:rsidRDefault="00EB7374" w:rsidP="00C700EB">
            <w:pPr>
              <w:jc w:val="center"/>
              <w:rPr>
                <w:sz w:val="15"/>
                <w:szCs w:val="15"/>
              </w:rPr>
            </w:pPr>
            <w:r>
              <w:rPr>
                <w:sz w:val="15"/>
              </w:rPr>
              <w:t>No</w:t>
            </w:r>
          </w:p>
        </w:tc>
        <w:tc>
          <w:tcPr>
            <w:tcW w:w="690" w:type="pct"/>
          </w:tcPr>
          <w:p w14:paraId="00C6782C" w14:textId="77777777" w:rsidR="00EB7374" w:rsidRPr="00CC405F" w:rsidRDefault="00EB7374" w:rsidP="00C700EB">
            <w:pPr>
              <w:jc w:val="center"/>
              <w:rPr>
                <w:b/>
                <w:bCs/>
                <w:sz w:val="15"/>
                <w:szCs w:val="15"/>
              </w:rPr>
            </w:pPr>
            <w:r>
              <w:rPr>
                <w:sz w:val="15"/>
              </w:rPr>
              <w:t>FP</w:t>
            </w:r>
          </w:p>
        </w:tc>
        <w:tc>
          <w:tcPr>
            <w:tcW w:w="642" w:type="pct"/>
          </w:tcPr>
          <w:p w14:paraId="58FCD66C" w14:textId="77777777" w:rsidR="00EB7374" w:rsidRPr="00CC405F" w:rsidRDefault="00EB7374" w:rsidP="00C700EB">
            <w:pPr>
              <w:jc w:val="center"/>
              <w:rPr>
                <w:b/>
                <w:bCs/>
                <w:sz w:val="15"/>
                <w:szCs w:val="15"/>
              </w:rPr>
            </w:pPr>
            <w:r>
              <w:rPr>
                <w:sz w:val="15"/>
              </w:rPr>
              <w:t xml:space="preserve">FD </w:t>
            </w:r>
          </w:p>
        </w:tc>
      </w:tr>
      <w:tr w:rsidR="00EB7374" w:rsidRPr="00CC405F" w14:paraId="3939EE15" w14:textId="77777777" w:rsidTr="00C700EB">
        <w:tc>
          <w:tcPr>
            <w:tcW w:w="1289" w:type="pct"/>
          </w:tcPr>
          <w:p w14:paraId="777F5502" w14:textId="77777777" w:rsidR="00EB7374" w:rsidRPr="00CC405F" w:rsidRDefault="00EB7374" w:rsidP="00C700EB">
            <w:pPr>
              <w:jc w:val="left"/>
              <w:rPr>
                <w:sz w:val="15"/>
                <w:szCs w:val="15"/>
              </w:rPr>
            </w:pPr>
            <w:r>
              <w:rPr>
                <w:sz w:val="15"/>
              </w:rPr>
              <w:t>Nicaragua (ASA/MoU)</w:t>
            </w:r>
          </w:p>
        </w:tc>
        <w:tc>
          <w:tcPr>
            <w:tcW w:w="675" w:type="pct"/>
          </w:tcPr>
          <w:p w14:paraId="6AED25D6" w14:textId="77777777" w:rsidR="00EB7374" w:rsidRPr="00CC405F" w:rsidRDefault="00EB7374" w:rsidP="00C700EB">
            <w:pPr>
              <w:jc w:val="center"/>
              <w:rPr>
                <w:sz w:val="15"/>
                <w:szCs w:val="15"/>
              </w:rPr>
            </w:pPr>
            <w:r>
              <w:rPr>
                <w:sz w:val="15"/>
              </w:rPr>
              <w:t>2016*</w:t>
            </w:r>
          </w:p>
        </w:tc>
        <w:tc>
          <w:tcPr>
            <w:tcW w:w="470" w:type="pct"/>
          </w:tcPr>
          <w:p w14:paraId="26D1632D" w14:textId="77777777" w:rsidR="00EB7374" w:rsidRPr="00CC405F" w:rsidRDefault="00EB7374" w:rsidP="00C700EB">
            <w:pPr>
              <w:jc w:val="center"/>
              <w:rPr>
                <w:sz w:val="15"/>
                <w:szCs w:val="15"/>
              </w:rPr>
            </w:pPr>
            <w:r>
              <w:rPr>
                <w:sz w:val="15"/>
              </w:rPr>
              <w:t>Yes</w:t>
            </w:r>
          </w:p>
        </w:tc>
        <w:tc>
          <w:tcPr>
            <w:tcW w:w="555" w:type="pct"/>
          </w:tcPr>
          <w:p w14:paraId="49D6867F" w14:textId="77777777" w:rsidR="00EB7374" w:rsidRPr="00CC405F" w:rsidRDefault="00EB7374" w:rsidP="00C700EB">
            <w:pPr>
              <w:jc w:val="center"/>
              <w:rPr>
                <w:sz w:val="15"/>
                <w:szCs w:val="15"/>
              </w:rPr>
            </w:pPr>
            <w:r>
              <w:rPr>
                <w:sz w:val="15"/>
              </w:rPr>
              <w:t>No</w:t>
            </w:r>
          </w:p>
        </w:tc>
        <w:tc>
          <w:tcPr>
            <w:tcW w:w="679" w:type="pct"/>
          </w:tcPr>
          <w:p w14:paraId="45F2851C" w14:textId="77777777" w:rsidR="00EB7374" w:rsidRPr="00CC405F" w:rsidRDefault="00EB7374" w:rsidP="00C700EB">
            <w:pPr>
              <w:jc w:val="center"/>
              <w:rPr>
                <w:sz w:val="15"/>
                <w:szCs w:val="15"/>
              </w:rPr>
            </w:pPr>
            <w:r>
              <w:rPr>
                <w:sz w:val="15"/>
              </w:rPr>
              <w:t>No</w:t>
            </w:r>
          </w:p>
        </w:tc>
        <w:tc>
          <w:tcPr>
            <w:tcW w:w="690" w:type="pct"/>
          </w:tcPr>
          <w:p w14:paraId="03E96E40" w14:textId="77777777" w:rsidR="00EB7374" w:rsidRPr="00CC405F" w:rsidRDefault="00EB7374" w:rsidP="00C700EB">
            <w:pPr>
              <w:jc w:val="center"/>
              <w:rPr>
                <w:sz w:val="15"/>
                <w:szCs w:val="15"/>
              </w:rPr>
            </w:pPr>
            <w:r>
              <w:rPr>
                <w:sz w:val="15"/>
              </w:rPr>
              <w:t>PD</w:t>
            </w:r>
          </w:p>
        </w:tc>
        <w:tc>
          <w:tcPr>
            <w:tcW w:w="642" w:type="pct"/>
          </w:tcPr>
          <w:p w14:paraId="2D373005" w14:textId="77777777" w:rsidR="00EB7374" w:rsidRPr="00CC405F" w:rsidRDefault="00EB7374" w:rsidP="00C700EB">
            <w:pPr>
              <w:jc w:val="center"/>
              <w:rPr>
                <w:sz w:val="15"/>
                <w:szCs w:val="15"/>
              </w:rPr>
            </w:pPr>
            <w:r>
              <w:rPr>
                <w:sz w:val="15"/>
              </w:rPr>
              <w:t>PD</w:t>
            </w:r>
          </w:p>
        </w:tc>
      </w:tr>
      <w:tr w:rsidR="00EB7374" w:rsidRPr="00CC405F" w14:paraId="483AEE47" w14:textId="77777777" w:rsidTr="00C700EB">
        <w:trPr>
          <w:cnfStyle w:val="000000010000" w:firstRow="0" w:lastRow="0" w:firstColumn="0" w:lastColumn="0" w:oddVBand="0" w:evenVBand="0" w:oddHBand="0" w:evenHBand="1" w:firstRowFirstColumn="0" w:firstRowLastColumn="0" w:lastRowFirstColumn="0" w:lastRowLastColumn="0"/>
        </w:trPr>
        <w:tc>
          <w:tcPr>
            <w:tcW w:w="1289" w:type="pct"/>
          </w:tcPr>
          <w:p w14:paraId="7E6F734B" w14:textId="77777777" w:rsidR="00EB7374" w:rsidRPr="00CC405F" w:rsidRDefault="00EB7374" w:rsidP="00C700EB">
            <w:pPr>
              <w:jc w:val="left"/>
              <w:rPr>
                <w:sz w:val="15"/>
                <w:szCs w:val="15"/>
              </w:rPr>
            </w:pPr>
            <w:r>
              <w:rPr>
                <w:sz w:val="15"/>
              </w:rPr>
              <w:t>Norway (ASA/MoU)</w:t>
            </w:r>
          </w:p>
        </w:tc>
        <w:tc>
          <w:tcPr>
            <w:tcW w:w="675" w:type="pct"/>
          </w:tcPr>
          <w:p w14:paraId="14A6F205" w14:textId="77777777" w:rsidR="00EB7374" w:rsidRPr="00CC405F" w:rsidRDefault="00EB7374" w:rsidP="00C700EB">
            <w:pPr>
              <w:jc w:val="center"/>
              <w:rPr>
                <w:sz w:val="15"/>
                <w:szCs w:val="15"/>
              </w:rPr>
            </w:pPr>
            <w:r>
              <w:rPr>
                <w:sz w:val="15"/>
              </w:rPr>
              <w:t>2016*</w:t>
            </w:r>
          </w:p>
        </w:tc>
        <w:tc>
          <w:tcPr>
            <w:tcW w:w="470" w:type="pct"/>
          </w:tcPr>
          <w:p w14:paraId="639F6156" w14:textId="77777777" w:rsidR="00EB7374" w:rsidRPr="00CC405F" w:rsidRDefault="00EB7374" w:rsidP="00C700EB">
            <w:pPr>
              <w:jc w:val="center"/>
              <w:rPr>
                <w:sz w:val="15"/>
                <w:szCs w:val="15"/>
              </w:rPr>
            </w:pPr>
            <w:r>
              <w:rPr>
                <w:sz w:val="15"/>
              </w:rPr>
              <w:t>Yes</w:t>
            </w:r>
          </w:p>
        </w:tc>
        <w:tc>
          <w:tcPr>
            <w:tcW w:w="555" w:type="pct"/>
          </w:tcPr>
          <w:p w14:paraId="746610EE" w14:textId="77777777" w:rsidR="00EB7374" w:rsidRPr="00CC405F" w:rsidRDefault="00EB7374" w:rsidP="00C700EB">
            <w:pPr>
              <w:jc w:val="center"/>
              <w:rPr>
                <w:sz w:val="15"/>
                <w:szCs w:val="15"/>
              </w:rPr>
            </w:pPr>
            <w:r>
              <w:rPr>
                <w:sz w:val="15"/>
              </w:rPr>
              <w:t>No</w:t>
            </w:r>
          </w:p>
        </w:tc>
        <w:tc>
          <w:tcPr>
            <w:tcW w:w="679" w:type="pct"/>
          </w:tcPr>
          <w:p w14:paraId="0AA481DC" w14:textId="77777777" w:rsidR="00EB7374" w:rsidRPr="00CC405F" w:rsidRDefault="00EB7374" w:rsidP="00C700EB">
            <w:pPr>
              <w:jc w:val="center"/>
              <w:rPr>
                <w:sz w:val="15"/>
                <w:szCs w:val="15"/>
              </w:rPr>
            </w:pPr>
            <w:r>
              <w:rPr>
                <w:sz w:val="15"/>
              </w:rPr>
              <w:t>No</w:t>
            </w:r>
          </w:p>
        </w:tc>
        <w:tc>
          <w:tcPr>
            <w:tcW w:w="690" w:type="pct"/>
          </w:tcPr>
          <w:p w14:paraId="64169116" w14:textId="77777777" w:rsidR="00EB7374" w:rsidRPr="00CC405F" w:rsidRDefault="00EB7374" w:rsidP="00C700EB">
            <w:pPr>
              <w:jc w:val="center"/>
              <w:rPr>
                <w:sz w:val="15"/>
                <w:szCs w:val="15"/>
              </w:rPr>
            </w:pPr>
            <w:r>
              <w:rPr>
                <w:sz w:val="15"/>
              </w:rPr>
              <w:t>PD</w:t>
            </w:r>
          </w:p>
        </w:tc>
        <w:tc>
          <w:tcPr>
            <w:tcW w:w="642" w:type="pct"/>
          </w:tcPr>
          <w:p w14:paraId="50C8F3B9" w14:textId="77777777" w:rsidR="00EB7374" w:rsidRPr="00CC405F" w:rsidRDefault="00EB7374" w:rsidP="00C700EB">
            <w:pPr>
              <w:jc w:val="center"/>
              <w:rPr>
                <w:sz w:val="15"/>
                <w:szCs w:val="15"/>
              </w:rPr>
            </w:pPr>
            <w:r>
              <w:rPr>
                <w:sz w:val="15"/>
              </w:rPr>
              <w:t>PD</w:t>
            </w:r>
          </w:p>
        </w:tc>
      </w:tr>
      <w:tr w:rsidR="00EB7374" w:rsidRPr="00CC405F" w14:paraId="7A7AB396" w14:textId="77777777" w:rsidTr="00C700EB">
        <w:tc>
          <w:tcPr>
            <w:tcW w:w="1289" w:type="pct"/>
          </w:tcPr>
          <w:p w14:paraId="17D3ED1E" w14:textId="77777777" w:rsidR="00EB7374" w:rsidRPr="00CC405F" w:rsidRDefault="00EB7374" w:rsidP="00C700EB">
            <w:pPr>
              <w:jc w:val="left"/>
              <w:rPr>
                <w:sz w:val="15"/>
                <w:szCs w:val="15"/>
              </w:rPr>
            </w:pPr>
            <w:r>
              <w:rPr>
                <w:sz w:val="15"/>
              </w:rPr>
              <w:t>New Zealand (ASA/MoU)</w:t>
            </w:r>
          </w:p>
        </w:tc>
        <w:tc>
          <w:tcPr>
            <w:tcW w:w="675" w:type="pct"/>
          </w:tcPr>
          <w:p w14:paraId="383C4AC7" w14:textId="77777777" w:rsidR="00EB7374" w:rsidRPr="00CC405F" w:rsidRDefault="00EB7374" w:rsidP="00C700EB">
            <w:pPr>
              <w:jc w:val="center"/>
              <w:rPr>
                <w:sz w:val="15"/>
                <w:szCs w:val="15"/>
              </w:rPr>
            </w:pPr>
            <w:r>
              <w:rPr>
                <w:sz w:val="15"/>
              </w:rPr>
              <w:t>2016*</w:t>
            </w:r>
          </w:p>
        </w:tc>
        <w:tc>
          <w:tcPr>
            <w:tcW w:w="470" w:type="pct"/>
          </w:tcPr>
          <w:p w14:paraId="7C0D7494" w14:textId="77777777" w:rsidR="00EB7374" w:rsidRPr="00CC405F" w:rsidRDefault="00EB7374" w:rsidP="00C700EB">
            <w:pPr>
              <w:jc w:val="center"/>
              <w:rPr>
                <w:sz w:val="15"/>
                <w:szCs w:val="15"/>
              </w:rPr>
            </w:pPr>
            <w:r>
              <w:rPr>
                <w:sz w:val="15"/>
              </w:rPr>
              <w:t>Yes</w:t>
            </w:r>
          </w:p>
        </w:tc>
        <w:tc>
          <w:tcPr>
            <w:tcW w:w="555" w:type="pct"/>
          </w:tcPr>
          <w:p w14:paraId="2B3E4C20" w14:textId="77777777" w:rsidR="00EB7374" w:rsidRPr="00CC405F" w:rsidRDefault="00EB7374" w:rsidP="00C700EB">
            <w:pPr>
              <w:jc w:val="center"/>
              <w:rPr>
                <w:sz w:val="15"/>
                <w:szCs w:val="15"/>
              </w:rPr>
            </w:pPr>
            <w:r>
              <w:rPr>
                <w:sz w:val="15"/>
              </w:rPr>
              <w:t>Cargo</w:t>
            </w:r>
          </w:p>
        </w:tc>
        <w:tc>
          <w:tcPr>
            <w:tcW w:w="679" w:type="pct"/>
          </w:tcPr>
          <w:p w14:paraId="0FFB32EE" w14:textId="77777777" w:rsidR="00EB7374" w:rsidRPr="00CC405F" w:rsidRDefault="00EB7374" w:rsidP="00C700EB">
            <w:pPr>
              <w:jc w:val="center"/>
              <w:rPr>
                <w:sz w:val="15"/>
                <w:szCs w:val="15"/>
              </w:rPr>
            </w:pPr>
            <w:r>
              <w:rPr>
                <w:sz w:val="15"/>
              </w:rPr>
              <w:t>No</w:t>
            </w:r>
          </w:p>
        </w:tc>
        <w:tc>
          <w:tcPr>
            <w:tcW w:w="690" w:type="pct"/>
          </w:tcPr>
          <w:p w14:paraId="32DD9CFE" w14:textId="77777777" w:rsidR="00EB7374" w:rsidRPr="00CC405F" w:rsidRDefault="00EB7374" w:rsidP="00C700EB">
            <w:pPr>
              <w:jc w:val="center"/>
              <w:rPr>
                <w:b/>
                <w:bCs/>
                <w:sz w:val="15"/>
                <w:szCs w:val="15"/>
              </w:rPr>
            </w:pPr>
            <w:r>
              <w:rPr>
                <w:sz w:val="15"/>
              </w:rPr>
              <w:t>PD</w:t>
            </w:r>
          </w:p>
        </w:tc>
        <w:tc>
          <w:tcPr>
            <w:tcW w:w="642" w:type="pct"/>
          </w:tcPr>
          <w:p w14:paraId="7ADC8F84" w14:textId="77777777" w:rsidR="00EB7374" w:rsidRPr="00CC405F" w:rsidRDefault="00EB7374" w:rsidP="00C700EB">
            <w:pPr>
              <w:jc w:val="center"/>
              <w:rPr>
                <w:b/>
                <w:bCs/>
                <w:sz w:val="15"/>
                <w:szCs w:val="15"/>
              </w:rPr>
            </w:pPr>
            <w:r>
              <w:rPr>
                <w:sz w:val="15"/>
              </w:rPr>
              <w:t>PD</w:t>
            </w:r>
          </w:p>
        </w:tc>
      </w:tr>
      <w:tr w:rsidR="00EB7374" w:rsidRPr="00CC405F" w14:paraId="6099A926" w14:textId="77777777" w:rsidTr="00C700EB">
        <w:trPr>
          <w:cnfStyle w:val="000000010000" w:firstRow="0" w:lastRow="0" w:firstColumn="0" w:lastColumn="0" w:oddVBand="0" w:evenVBand="0" w:oddHBand="0" w:evenHBand="1" w:firstRowFirstColumn="0" w:firstRowLastColumn="0" w:lastRowFirstColumn="0" w:lastRowLastColumn="0"/>
        </w:trPr>
        <w:tc>
          <w:tcPr>
            <w:tcW w:w="1289" w:type="pct"/>
          </w:tcPr>
          <w:p w14:paraId="50486C6A" w14:textId="77777777" w:rsidR="00EB7374" w:rsidRPr="00CC405F" w:rsidRDefault="00EB7374" w:rsidP="00C700EB">
            <w:pPr>
              <w:jc w:val="left"/>
              <w:rPr>
                <w:sz w:val="15"/>
                <w:szCs w:val="15"/>
              </w:rPr>
            </w:pPr>
            <w:r>
              <w:rPr>
                <w:sz w:val="15"/>
              </w:rPr>
              <w:t>Oman (ASA/MoU)</w:t>
            </w:r>
          </w:p>
        </w:tc>
        <w:tc>
          <w:tcPr>
            <w:tcW w:w="675" w:type="pct"/>
          </w:tcPr>
          <w:p w14:paraId="05740025" w14:textId="77777777" w:rsidR="00EB7374" w:rsidRPr="00CC405F" w:rsidRDefault="00EB7374" w:rsidP="00C700EB">
            <w:pPr>
              <w:jc w:val="center"/>
              <w:rPr>
                <w:sz w:val="15"/>
                <w:szCs w:val="15"/>
              </w:rPr>
            </w:pPr>
            <w:r>
              <w:rPr>
                <w:sz w:val="15"/>
              </w:rPr>
              <w:t>2019*</w:t>
            </w:r>
          </w:p>
        </w:tc>
        <w:tc>
          <w:tcPr>
            <w:tcW w:w="470" w:type="pct"/>
          </w:tcPr>
          <w:p w14:paraId="4E36328E" w14:textId="77777777" w:rsidR="00EB7374" w:rsidRPr="00CC405F" w:rsidRDefault="00EB7374" w:rsidP="00C700EB">
            <w:pPr>
              <w:jc w:val="center"/>
              <w:rPr>
                <w:sz w:val="15"/>
                <w:szCs w:val="15"/>
              </w:rPr>
            </w:pPr>
            <w:r>
              <w:rPr>
                <w:sz w:val="15"/>
              </w:rPr>
              <w:t>Yes</w:t>
            </w:r>
          </w:p>
        </w:tc>
        <w:tc>
          <w:tcPr>
            <w:tcW w:w="555" w:type="pct"/>
          </w:tcPr>
          <w:p w14:paraId="103E4463" w14:textId="77777777" w:rsidR="00EB7374" w:rsidRPr="00CC405F" w:rsidRDefault="00EB7374" w:rsidP="00C700EB">
            <w:pPr>
              <w:jc w:val="center"/>
              <w:rPr>
                <w:sz w:val="15"/>
                <w:szCs w:val="15"/>
              </w:rPr>
            </w:pPr>
            <w:r>
              <w:rPr>
                <w:sz w:val="15"/>
              </w:rPr>
              <w:t>No</w:t>
            </w:r>
          </w:p>
        </w:tc>
        <w:tc>
          <w:tcPr>
            <w:tcW w:w="679" w:type="pct"/>
          </w:tcPr>
          <w:p w14:paraId="3FD2326D" w14:textId="77777777" w:rsidR="00EB7374" w:rsidRPr="00CC405F" w:rsidRDefault="00EB7374" w:rsidP="00C700EB">
            <w:pPr>
              <w:jc w:val="center"/>
              <w:rPr>
                <w:sz w:val="15"/>
                <w:szCs w:val="15"/>
              </w:rPr>
            </w:pPr>
            <w:r>
              <w:rPr>
                <w:sz w:val="15"/>
              </w:rPr>
              <w:t>No</w:t>
            </w:r>
          </w:p>
        </w:tc>
        <w:tc>
          <w:tcPr>
            <w:tcW w:w="690" w:type="pct"/>
          </w:tcPr>
          <w:p w14:paraId="7DE55CBB" w14:textId="77777777" w:rsidR="00EB7374" w:rsidRPr="00CC405F" w:rsidRDefault="00EB7374" w:rsidP="00C700EB">
            <w:pPr>
              <w:jc w:val="center"/>
              <w:rPr>
                <w:b/>
                <w:bCs/>
                <w:sz w:val="15"/>
                <w:szCs w:val="15"/>
              </w:rPr>
            </w:pPr>
            <w:r>
              <w:rPr>
                <w:sz w:val="15"/>
              </w:rPr>
              <w:t>PD</w:t>
            </w:r>
          </w:p>
        </w:tc>
        <w:tc>
          <w:tcPr>
            <w:tcW w:w="642" w:type="pct"/>
          </w:tcPr>
          <w:p w14:paraId="632369AB" w14:textId="77777777" w:rsidR="00EB7374" w:rsidRPr="00CC405F" w:rsidRDefault="00EB7374" w:rsidP="00C700EB">
            <w:pPr>
              <w:jc w:val="center"/>
              <w:rPr>
                <w:b/>
                <w:bCs/>
                <w:sz w:val="15"/>
                <w:szCs w:val="15"/>
              </w:rPr>
            </w:pPr>
            <w:r>
              <w:rPr>
                <w:sz w:val="15"/>
              </w:rPr>
              <w:t>PD</w:t>
            </w:r>
          </w:p>
        </w:tc>
      </w:tr>
      <w:tr w:rsidR="00EB7374" w:rsidRPr="00CC405F" w14:paraId="4D2B65D3" w14:textId="77777777" w:rsidTr="00C700EB">
        <w:tc>
          <w:tcPr>
            <w:tcW w:w="1289" w:type="pct"/>
          </w:tcPr>
          <w:p w14:paraId="01FB0374" w14:textId="77777777" w:rsidR="00EB7374" w:rsidRDefault="00EB7374" w:rsidP="00C700EB">
            <w:pPr>
              <w:jc w:val="left"/>
              <w:rPr>
                <w:sz w:val="15"/>
                <w:szCs w:val="15"/>
              </w:rPr>
            </w:pPr>
            <w:r>
              <w:rPr>
                <w:sz w:val="15"/>
              </w:rPr>
              <w:t>The Netherlands</w:t>
            </w:r>
          </w:p>
          <w:p w14:paraId="15C03B28" w14:textId="77777777" w:rsidR="00EB7374" w:rsidRPr="00CC405F" w:rsidRDefault="00EB7374" w:rsidP="00C700EB">
            <w:pPr>
              <w:jc w:val="left"/>
              <w:rPr>
                <w:sz w:val="15"/>
                <w:szCs w:val="15"/>
              </w:rPr>
            </w:pPr>
            <w:r>
              <w:rPr>
                <w:sz w:val="15"/>
              </w:rPr>
              <w:t xml:space="preserve"> Curaçao</w:t>
            </w:r>
          </w:p>
          <w:p w14:paraId="0AAA21FD" w14:textId="77777777" w:rsidR="00EB7374" w:rsidRPr="00CC405F" w:rsidRDefault="00EB7374" w:rsidP="00C700EB">
            <w:pPr>
              <w:jc w:val="left"/>
              <w:rPr>
                <w:sz w:val="15"/>
                <w:szCs w:val="15"/>
              </w:rPr>
            </w:pPr>
            <w:r>
              <w:rPr>
                <w:sz w:val="15"/>
              </w:rPr>
              <w:t xml:space="preserve"> </w:t>
            </w:r>
            <w:r w:rsidRPr="003F12BD">
              <w:rPr>
                <w:sz w:val="15"/>
              </w:rPr>
              <w:t>Sint Maarten</w:t>
            </w:r>
          </w:p>
        </w:tc>
        <w:tc>
          <w:tcPr>
            <w:tcW w:w="675" w:type="pct"/>
          </w:tcPr>
          <w:p w14:paraId="3BE690B9" w14:textId="77777777" w:rsidR="00EB7374" w:rsidRDefault="00EB7374" w:rsidP="00C700EB">
            <w:pPr>
              <w:jc w:val="center"/>
              <w:rPr>
                <w:sz w:val="15"/>
                <w:szCs w:val="15"/>
              </w:rPr>
            </w:pPr>
            <w:r>
              <w:rPr>
                <w:sz w:val="15"/>
              </w:rPr>
              <w:t>2019</w:t>
            </w:r>
          </w:p>
          <w:p w14:paraId="174ACA53" w14:textId="77777777" w:rsidR="00EB7374" w:rsidRPr="00CC405F" w:rsidRDefault="00EB7374" w:rsidP="00C700EB">
            <w:pPr>
              <w:jc w:val="center"/>
              <w:rPr>
                <w:sz w:val="15"/>
                <w:szCs w:val="15"/>
              </w:rPr>
            </w:pPr>
            <w:r>
              <w:rPr>
                <w:sz w:val="15"/>
              </w:rPr>
              <w:t>2019</w:t>
            </w:r>
          </w:p>
          <w:p w14:paraId="2B407FB6" w14:textId="77777777" w:rsidR="00EB7374" w:rsidRPr="00CC405F" w:rsidRDefault="00EB7374" w:rsidP="00C700EB">
            <w:pPr>
              <w:jc w:val="center"/>
              <w:rPr>
                <w:sz w:val="15"/>
                <w:szCs w:val="15"/>
              </w:rPr>
            </w:pPr>
            <w:r>
              <w:rPr>
                <w:sz w:val="15"/>
              </w:rPr>
              <w:t>2019*</w:t>
            </w:r>
          </w:p>
        </w:tc>
        <w:tc>
          <w:tcPr>
            <w:tcW w:w="470" w:type="pct"/>
          </w:tcPr>
          <w:p w14:paraId="64702D60" w14:textId="77777777" w:rsidR="00EB7374" w:rsidRDefault="00EB7374" w:rsidP="00C700EB">
            <w:pPr>
              <w:jc w:val="center"/>
              <w:rPr>
                <w:sz w:val="15"/>
                <w:szCs w:val="15"/>
              </w:rPr>
            </w:pPr>
            <w:r>
              <w:rPr>
                <w:sz w:val="15"/>
              </w:rPr>
              <w:t>Yes</w:t>
            </w:r>
          </w:p>
          <w:p w14:paraId="3E89A7EC" w14:textId="77777777" w:rsidR="00EB7374" w:rsidRDefault="00EB7374" w:rsidP="00C700EB">
            <w:pPr>
              <w:jc w:val="center"/>
              <w:rPr>
                <w:sz w:val="15"/>
                <w:szCs w:val="15"/>
              </w:rPr>
            </w:pPr>
            <w:r>
              <w:rPr>
                <w:sz w:val="15"/>
              </w:rPr>
              <w:t>Yes</w:t>
            </w:r>
          </w:p>
          <w:p w14:paraId="41FBDFBA" w14:textId="77777777" w:rsidR="00EB7374" w:rsidRPr="00CC405F" w:rsidRDefault="00EB7374" w:rsidP="00C700EB">
            <w:pPr>
              <w:jc w:val="center"/>
              <w:rPr>
                <w:sz w:val="15"/>
                <w:szCs w:val="15"/>
              </w:rPr>
            </w:pPr>
            <w:r>
              <w:rPr>
                <w:sz w:val="15"/>
              </w:rPr>
              <w:t>Yes</w:t>
            </w:r>
          </w:p>
        </w:tc>
        <w:tc>
          <w:tcPr>
            <w:tcW w:w="555" w:type="pct"/>
          </w:tcPr>
          <w:p w14:paraId="76C2B7FC" w14:textId="77777777" w:rsidR="00EB7374" w:rsidRDefault="00EB7374" w:rsidP="00C700EB">
            <w:pPr>
              <w:jc w:val="center"/>
              <w:rPr>
                <w:sz w:val="15"/>
                <w:szCs w:val="15"/>
              </w:rPr>
            </w:pPr>
            <w:r>
              <w:rPr>
                <w:sz w:val="15"/>
              </w:rPr>
              <w:t>No</w:t>
            </w:r>
          </w:p>
          <w:p w14:paraId="27194173" w14:textId="77777777" w:rsidR="00EB7374" w:rsidRDefault="00EB7374" w:rsidP="00C700EB">
            <w:pPr>
              <w:jc w:val="center"/>
              <w:rPr>
                <w:sz w:val="15"/>
                <w:szCs w:val="15"/>
              </w:rPr>
            </w:pPr>
            <w:r>
              <w:rPr>
                <w:sz w:val="15"/>
              </w:rPr>
              <w:t>No</w:t>
            </w:r>
          </w:p>
          <w:p w14:paraId="0EF098D8" w14:textId="77777777" w:rsidR="00EB7374" w:rsidRPr="00CC405F" w:rsidRDefault="00EB7374" w:rsidP="00C700EB">
            <w:pPr>
              <w:jc w:val="center"/>
              <w:rPr>
                <w:sz w:val="15"/>
                <w:szCs w:val="15"/>
              </w:rPr>
            </w:pPr>
            <w:r>
              <w:rPr>
                <w:sz w:val="15"/>
              </w:rPr>
              <w:t>Cargo</w:t>
            </w:r>
          </w:p>
        </w:tc>
        <w:tc>
          <w:tcPr>
            <w:tcW w:w="679" w:type="pct"/>
          </w:tcPr>
          <w:p w14:paraId="3F24558F" w14:textId="77777777" w:rsidR="00EB7374" w:rsidRDefault="00EB7374" w:rsidP="00C700EB">
            <w:pPr>
              <w:jc w:val="center"/>
              <w:rPr>
                <w:sz w:val="15"/>
                <w:szCs w:val="15"/>
              </w:rPr>
            </w:pPr>
            <w:r>
              <w:rPr>
                <w:sz w:val="15"/>
              </w:rPr>
              <w:t>No</w:t>
            </w:r>
          </w:p>
          <w:p w14:paraId="6FF3268A" w14:textId="77777777" w:rsidR="00EB7374" w:rsidRDefault="00EB7374" w:rsidP="00C700EB">
            <w:pPr>
              <w:jc w:val="center"/>
              <w:rPr>
                <w:sz w:val="15"/>
                <w:szCs w:val="15"/>
              </w:rPr>
            </w:pPr>
            <w:r>
              <w:rPr>
                <w:sz w:val="15"/>
              </w:rPr>
              <w:t>No</w:t>
            </w:r>
          </w:p>
          <w:p w14:paraId="5E1A62EF" w14:textId="77777777" w:rsidR="00EB7374" w:rsidRPr="00CC405F" w:rsidRDefault="00EB7374" w:rsidP="00C700EB">
            <w:pPr>
              <w:jc w:val="center"/>
              <w:rPr>
                <w:sz w:val="15"/>
                <w:szCs w:val="15"/>
              </w:rPr>
            </w:pPr>
            <w:r>
              <w:rPr>
                <w:sz w:val="15"/>
              </w:rPr>
              <w:t>No</w:t>
            </w:r>
          </w:p>
        </w:tc>
        <w:tc>
          <w:tcPr>
            <w:tcW w:w="690" w:type="pct"/>
          </w:tcPr>
          <w:p w14:paraId="35524CC2" w14:textId="77777777" w:rsidR="00EB7374" w:rsidRDefault="00EB7374" w:rsidP="00C700EB">
            <w:pPr>
              <w:jc w:val="center"/>
              <w:rPr>
                <w:sz w:val="15"/>
                <w:szCs w:val="15"/>
              </w:rPr>
            </w:pPr>
            <w:r>
              <w:rPr>
                <w:sz w:val="15"/>
              </w:rPr>
              <w:t>FP</w:t>
            </w:r>
          </w:p>
          <w:p w14:paraId="31577177" w14:textId="77777777" w:rsidR="00EB7374" w:rsidRDefault="00EB7374" w:rsidP="00C700EB">
            <w:pPr>
              <w:jc w:val="center"/>
              <w:rPr>
                <w:sz w:val="15"/>
                <w:szCs w:val="15"/>
              </w:rPr>
            </w:pPr>
            <w:r>
              <w:rPr>
                <w:sz w:val="15"/>
              </w:rPr>
              <w:t>FP</w:t>
            </w:r>
          </w:p>
          <w:p w14:paraId="02A8A48C" w14:textId="77777777" w:rsidR="00EB7374" w:rsidRPr="00CC405F" w:rsidRDefault="00EB7374" w:rsidP="00C700EB">
            <w:pPr>
              <w:jc w:val="center"/>
              <w:rPr>
                <w:b/>
                <w:bCs/>
                <w:sz w:val="15"/>
                <w:szCs w:val="15"/>
              </w:rPr>
            </w:pPr>
            <w:r>
              <w:rPr>
                <w:sz w:val="15"/>
              </w:rPr>
              <w:t>FP</w:t>
            </w:r>
          </w:p>
        </w:tc>
        <w:tc>
          <w:tcPr>
            <w:tcW w:w="642" w:type="pct"/>
          </w:tcPr>
          <w:p w14:paraId="1ABD38D2" w14:textId="77777777" w:rsidR="00EB7374" w:rsidRDefault="00EB7374" w:rsidP="00C700EB">
            <w:pPr>
              <w:jc w:val="center"/>
              <w:rPr>
                <w:sz w:val="15"/>
                <w:szCs w:val="15"/>
              </w:rPr>
            </w:pPr>
            <w:r>
              <w:rPr>
                <w:sz w:val="15"/>
              </w:rPr>
              <w:t>FD</w:t>
            </w:r>
          </w:p>
          <w:p w14:paraId="68399F57" w14:textId="77777777" w:rsidR="00EB7374" w:rsidRDefault="00EB7374" w:rsidP="00C700EB">
            <w:pPr>
              <w:jc w:val="center"/>
              <w:rPr>
                <w:sz w:val="15"/>
                <w:szCs w:val="15"/>
              </w:rPr>
            </w:pPr>
            <w:r>
              <w:rPr>
                <w:sz w:val="15"/>
              </w:rPr>
              <w:t>FD</w:t>
            </w:r>
          </w:p>
          <w:p w14:paraId="05A2AF4A" w14:textId="77777777" w:rsidR="00EB7374" w:rsidRPr="00CC405F" w:rsidRDefault="00EB7374" w:rsidP="00C700EB">
            <w:pPr>
              <w:jc w:val="center"/>
              <w:rPr>
                <w:b/>
                <w:bCs/>
                <w:sz w:val="15"/>
                <w:szCs w:val="15"/>
              </w:rPr>
            </w:pPr>
            <w:r>
              <w:rPr>
                <w:sz w:val="15"/>
              </w:rPr>
              <w:t>FD</w:t>
            </w:r>
          </w:p>
        </w:tc>
      </w:tr>
      <w:tr w:rsidR="00EB7374" w:rsidRPr="00CC405F" w14:paraId="555CD433" w14:textId="77777777" w:rsidTr="00C700EB">
        <w:trPr>
          <w:cnfStyle w:val="000000010000" w:firstRow="0" w:lastRow="0" w:firstColumn="0" w:lastColumn="0" w:oddVBand="0" w:evenVBand="0" w:oddHBand="0" w:evenHBand="1" w:firstRowFirstColumn="0" w:firstRowLastColumn="0" w:lastRowFirstColumn="0" w:lastRowLastColumn="0"/>
        </w:trPr>
        <w:tc>
          <w:tcPr>
            <w:tcW w:w="1289" w:type="pct"/>
          </w:tcPr>
          <w:p w14:paraId="14EE357C" w14:textId="77777777" w:rsidR="00EB7374" w:rsidRPr="00CC405F" w:rsidRDefault="00EB7374" w:rsidP="00C700EB">
            <w:pPr>
              <w:ind w:left="171" w:hanging="171"/>
              <w:jc w:val="left"/>
              <w:rPr>
                <w:sz w:val="15"/>
                <w:szCs w:val="15"/>
              </w:rPr>
            </w:pPr>
            <w:r>
              <w:rPr>
                <w:sz w:val="15"/>
              </w:rPr>
              <w:t>Panama</w:t>
            </w:r>
          </w:p>
        </w:tc>
        <w:tc>
          <w:tcPr>
            <w:tcW w:w="675" w:type="pct"/>
          </w:tcPr>
          <w:p w14:paraId="118683C2" w14:textId="77777777" w:rsidR="00EB7374" w:rsidRPr="00CC405F" w:rsidRDefault="00EB7374" w:rsidP="00C700EB">
            <w:pPr>
              <w:jc w:val="center"/>
              <w:rPr>
                <w:sz w:val="15"/>
                <w:szCs w:val="15"/>
              </w:rPr>
            </w:pPr>
            <w:r>
              <w:rPr>
                <w:sz w:val="15"/>
              </w:rPr>
              <w:t>2008*</w:t>
            </w:r>
          </w:p>
        </w:tc>
        <w:tc>
          <w:tcPr>
            <w:tcW w:w="470" w:type="pct"/>
          </w:tcPr>
          <w:p w14:paraId="7079554F" w14:textId="77777777" w:rsidR="00EB7374" w:rsidRPr="00CC405F" w:rsidRDefault="00EB7374" w:rsidP="00C700EB">
            <w:pPr>
              <w:jc w:val="center"/>
              <w:rPr>
                <w:sz w:val="15"/>
                <w:szCs w:val="15"/>
              </w:rPr>
            </w:pPr>
            <w:r>
              <w:rPr>
                <w:sz w:val="15"/>
              </w:rPr>
              <w:t>Yes</w:t>
            </w:r>
          </w:p>
        </w:tc>
        <w:tc>
          <w:tcPr>
            <w:tcW w:w="555" w:type="pct"/>
          </w:tcPr>
          <w:p w14:paraId="79CA9B80" w14:textId="77777777" w:rsidR="00EB7374" w:rsidRPr="00CC405F" w:rsidRDefault="00EB7374" w:rsidP="00C700EB">
            <w:pPr>
              <w:jc w:val="center"/>
              <w:rPr>
                <w:sz w:val="15"/>
                <w:szCs w:val="15"/>
              </w:rPr>
            </w:pPr>
            <w:r>
              <w:rPr>
                <w:sz w:val="15"/>
              </w:rPr>
              <w:t>Cargo</w:t>
            </w:r>
          </w:p>
        </w:tc>
        <w:tc>
          <w:tcPr>
            <w:tcW w:w="679" w:type="pct"/>
          </w:tcPr>
          <w:p w14:paraId="6CBC7B9A" w14:textId="77777777" w:rsidR="00EB7374" w:rsidRPr="00CC405F" w:rsidRDefault="00EB7374" w:rsidP="00C700EB">
            <w:pPr>
              <w:jc w:val="center"/>
              <w:rPr>
                <w:sz w:val="15"/>
                <w:szCs w:val="15"/>
              </w:rPr>
            </w:pPr>
            <w:r>
              <w:rPr>
                <w:sz w:val="15"/>
              </w:rPr>
              <w:t>No</w:t>
            </w:r>
          </w:p>
        </w:tc>
        <w:tc>
          <w:tcPr>
            <w:tcW w:w="690" w:type="pct"/>
          </w:tcPr>
          <w:p w14:paraId="15DEB7C3" w14:textId="77777777" w:rsidR="00EB7374" w:rsidRPr="00CC405F" w:rsidRDefault="00EB7374" w:rsidP="00C700EB">
            <w:pPr>
              <w:jc w:val="center"/>
              <w:rPr>
                <w:sz w:val="15"/>
                <w:szCs w:val="15"/>
              </w:rPr>
            </w:pPr>
            <w:r>
              <w:rPr>
                <w:sz w:val="15"/>
              </w:rPr>
              <w:t>FP</w:t>
            </w:r>
          </w:p>
        </w:tc>
        <w:tc>
          <w:tcPr>
            <w:tcW w:w="642" w:type="pct"/>
          </w:tcPr>
          <w:p w14:paraId="1C3C6E36" w14:textId="77777777" w:rsidR="00EB7374" w:rsidRPr="00CC405F" w:rsidRDefault="00EB7374" w:rsidP="00C700EB">
            <w:pPr>
              <w:jc w:val="center"/>
              <w:rPr>
                <w:sz w:val="15"/>
                <w:szCs w:val="15"/>
              </w:rPr>
            </w:pPr>
            <w:r>
              <w:rPr>
                <w:sz w:val="15"/>
              </w:rPr>
              <w:t>FD</w:t>
            </w:r>
          </w:p>
        </w:tc>
      </w:tr>
      <w:tr w:rsidR="00EB7374" w:rsidRPr="00CC405F" w14:paraId="2E2D5AF7" w14:textId="77777777" w:rsidTr="00C700EB">
        <w:tc>
          <w:tcPr>
            <w:tcW w:w="1289" w:type="pct"/>
          </w:tcPr>
          <w:p w14:paraId="65458669" w14:textId="77777777" w:rsidR="00EB7374" w:rsidRPr="00CC405F" w:rsidRDefault="00EB7374" w:rsidP="00C700EB">
            <w:pPr>
              <w:jc w:val="left"/>
              <w:rPr>
                <w:sz w:val="15"/>
                <w:szCs w:val="15"/>
              </w:rPr>
            </w:pPr>
            <w:r>
              <w:rPr>
                <w:sz w:val="15"/>
              </w:rPr>
              <w:t>Paraguay (ASA/Consultation Minutes)</w:t>
            </w:r>
          </w:p>
        </w:tc>
        <w:tc>
          <w:tcPr>
            <w:tcW w:w="675" w:type="pct"/>
          </w:tcPr>
          <w:p w14:paraId="37425AD6" w14:textId="77777777" w:rsidR="00EB7374" w:rsidRPr="00CC405F" w:rsidRDefault="00EB7374" w:rsidP="00C700EB">
            <w:pPr>
              <w:jc w:val="center"/>
              <w:rPr>
                <w:sz w:val="15"/>
                <w:szCs w:val="15"/>
              </w:rPr>
            </w:pPr>
            <w:r>
              <w:rPr>
                <w:sz w:val="15"/>
              </w:rPr>
              <w:t>2010*</w:t>
            </w:r>
          </w:p>
        </w:tc>
        <w:tc>
          <w:tcPr>
            <w:tcW w:w="470" w:type="pct"/>
          </w:tcPr>
          <w:p w14:paraId="07A3A4C7" w14:textId="77777777" w:rsidR="00EB7374" w:rsidRPr="00CC405F" w:rsidRDefault="00EB7374" w:rsidP="00C700EB">
            <w:pPr>
              <w:jc w:val="center"/>
              <w:rPr>
                <w:sz w:val="15"/>
                <w:szCs w:val="15"/>
              </w:rPr>
            </w:pPr>
            <w:r>
              <w:rPr>
                <w:sz w:val="15"/>
              </w:rPr>
              <w:t>Yes</w:t>
            </w:r>
          </w:p>
        </w:tc>
        <w:tc>
          <w:tcPr>
            <w:tcW w:w="555" w:type="pct"/>
          </w:tcPr>
          <w:p w14:paraId="2BF52263" w14:textId="77777777" w:rsidR="00EB7374" w:rsidRPr="00CC405F" w:rsidRDefault="00EB7374" w:rsidP="00C700EB">
            <w:pPr>
              <w:jc w:val="center"/>
              <w:rPr>
                <w:sz w:val="15"/>
                <w:szCs w:val="15"/>
              </w:rPr>
            </w:pPr>
            <w:r>
              <w:rPr>
                <w:sz w:val="15"/>
              </w:rPr>
              <w:t>Cargo</w:t>
            </w:r>
          </w:p>
        </w:tc>
        <w:tc>
          <w:tcPr>
            <w:tcW w:w="679" w:type="pct"/>
          </w:tcPr>
          <w:p w14:paraId="7634FD5D" w14:textId="77777777" w:rsidR="00EB7374" w:rsidRPr="00CC405F" w:rsidRDefault="00EB7374" w:rsidP="00C700EB">
            <w:pPr>
              <w:jc w:val="center"/>
              <w:rPr>
                <w:sz w:val="15"/>
                <w:szCs w:val="15"/>
              </w:rPr>
            </w:pPr>
            <w:r>
              <w:rPr>
                <w:sz w:val="15"/>
              </w:rPr>
              <w:t>No</w:t>
            </w:r>
          </w:p>
        </w:tc>
        <w:tc>
          <w:tcPr>
            <w:tcW w:w="690" w:type="pct"/>
          </w:tcPr>
          <w:p w14:paraId="69E8CAF9" w14:textId="77777777" w:rsidR="00EB7374" w:rsidRPr="00CC405F" w:rsidRDefault="00EB7374" w:rsidP="00C700EB">
            <w:pPr>
              <w:jc w:val="center"/>
              <w:rPr>
                <w:sz w:val="15"/>
                <w:szCs w:val="15"/>
              </w:rPr>
            </w:pPr>
            <w:r>
              <w:rPr>
                <w:sz w:val="15"/>
              </w:rPr>
              <w:t>FP</w:t>
            </w:r>
          </w:p>
        </w:tc>
        <w:tc>
          <w:tcPr>
            <w:tcW w:w="642" w:type="pct"/>
          </w:tcPr>
          <w:p w14:paraId="22BFABC5" w14:textId="77777777" w:rsidR="00EB7374" w:rsidRPr="00CC405F" w:rsidRDefault="00EB7374" w:rsidP="00C700EB">
            <w:pPr>
              <w:jc w:val="center"/>
              <w:rPr>
                <w:sz w:val="15"/>
                <w:szCs w:val="15"/>
              </w:rPr>
            </w:pPr>
            <w:r>
              <w:rPr>
                <w:sz w:val="15"/>
              </w:rPr>
              <w:t>FD</w:t>
            </w:r>
          </w:p>
        </w:tc>
      </w:tr>
      <w:tr w:rsidR="00EB7374" w:rsidRPr="00CC405F" w14:paraId="61D26D75" w14:textId="77777777" w:rsidTr="00C700EB">
        <w:trPr>
          <w:cnfStyle w:val="000000010000" w:firstRow="0" w:lastRow="0" w:firstColumn="0" w:lastColumn="0" w:oddVBand="0" w:evenVBand="0" w:oddHBand="0" w:evenHBand="1" w:firstRowFirstColumn="0" w:firstRowLastColumn="0" w:lastRowFirstColumn="0" w:lastRowLastColumn="0"/>
        </w:trPr>
        <w:tc>
          <w:tcPr>
            <w:tcW w:w="1289" w:type="pct"/>
          </w:tcPr>
          <w:p w14:paraId="1D078AA0" w14:textId="77777777" w:rsidR="00EB7374" w:rsidRPr="00CC405F" w:rsidRDefault="00EB7374" w:rsidP="00C700EB">
            <w:pPr>
              <w:jc w:val="left"/>
              <w:rPr>
                <w:sz w:val="15"/>
                <w:szCs w:val="15"/>
              </w:rPr>
            </w:pPr>
            <w:r>
              <w:rPr>
                <w:sz w:val="15"/>
              </w:rPr>
              <w:t>Peru</w:t>
            </w:r>
          </w:p>
        </w:tc>
        <w:tc>
          <w:tcPr>
            <w:tcW w:w="675" w:type="pct"/>
          </w:tcPr>
          <w:p w14:paraId="455DEE3F" w14:textId="77777777" w:rsidR="00EB7374" w:rsidRPr="00CC405F" w:rsidRDefault="00EB7374" w:rsidP="00C700EB">
            <w:pPr>
              <w:jc w:val="center"/>
              <w:rPr>
                <w:sz w:val="15"/>
                <w:szCs w:val="15"/>
              </w:rPr>
            </w:pPr>
            <w:r>
              <w:rPr>
                <w:sz w:val="15"/>
              </w:rPr>
              <w:t>2019</w:t>
            </w:r>
          </w:p>
        </w:tc>
        <w:tc>
          <w:tcPr>
            <w:tcW w:w="470" w:type="pct"/>
          </w:tcPr>
          <w:p w14:paraId="3F89C3B9" w14:textId="77777777" w:rsidR="00EB7374" w:rsidRPr="00CC405F" w:rsidRDefault="00EB7374" w:rsidP="00C700EB">
            <w:pPr>
              <w:jc w:val="center"/>
              <w:rPr>
                <w:sz w:val="15"/>
                <w:szCs w:val="15"/>
              </w:rPr>
            </w:pPr>
            <w:r>
              <w:rPr>
                <w:sz w:val="15"/>
              </w:rPr>
              <w:t>Yes</w:t>
            </w:r>
          </w:p>
        </w:tc>
        <w:tc>
          <w:tcPr>
            <w:tcW w:w="555" w:type="pct"/>
          </w:tcPr>
          <w:p w14:paraId="23266C12" w14:textId="77777777" w:rsidR="00EB7374" w:rsidRPr="00CC405F" w:rsidRDefault="00EB7374" w:rsidP="00C700EB">
            <w:pPr>
              <w:jc w:val="center"/>
              <w:rPr>
                <w:sz w:val="15"/>
                <w:szCs w:val="15"/>
              </w:rPr>
            </w:pPr>
            <w:r>
              <w:rPr>
                <w:sz w:val="15"/>
              </w:rPr>
              <w:t>Cargo</w:t>
            </w:r>
          </w:p>
        </w:tc>
        <w:tc>
          <w:tcPr>
            <w:tcW w:w="679" w:type="pct"/>
          </w:tcPr>
          <w:p w14:paraId="140CBC8B" w14:textId="77777777" w:rsidR="00EB7374" w:rsidRPr="00CC405F" w:rsidRDefault="00EB7374" w:rsidP="00C700EB">
            <w:pPr>
              <w:jc w:val="center"/>
              <w:rPr>
                <w:sz w:val="15"/>
                <w:szCs w:val="15"/>
              </w:rPr>
            </w:pPr>
            <w:r>
              <w:rPr>
                <w:sz w:val="15"/>
              </w:rPr>
              <w:t>No</w:t>
            </w:r>
          </w:p>
        </w:tc>
        <w:tc>
          <w:tcPr>
            <w:tcW w:w="690" w:type="pct"/>
          </w:tcPr>
          <w:p w14:paraId="47A9D758" w14:textId="77777777" w:rsidR="00EB7374" w:rsidRPr="00CC405F" w:rsidRDefault="00EB7374" w:rsidP="00C700EB">
            <w:pPr>
              <w:jc w:val="center"/>
              <w:rPr>
                <w:sz w:val="15"/>
                <w:szCs w:val="15"/>
              </w:rPr>
            </w:pPr>
            <w:r>
              <w:rPr>
                <w:sz w:val="15"/>
              </w:rPr>
              <w:t>FP</w:t>
            </w:r>
          </w:p>
        </w:tc>
        <w:tc>
          <w:tcPr>
            <w:tcW w:w="642" w:type="pct"/>
          </w:tcPr>
          <w:p w14:paraId="59B7234F" w14:textId="77777777" w:rsidR="00EB7374" w:rsidRPr="00CC405F" w:rsidRDefault="00EB7374" w:rsidP="00C700EB">
            <w:pPr>
              <w:jc w:val="center"/>
              <w:rPr>
                <w:sz w:val="15"/>
                <w:szCs w:val="15"/>
              </w:rPr>
            </w:pPr>
            <w:r>
              <w:rPr>
                <w:sz w:val="15"/>
              </w:rPr>
              <w:t>FD</w:t>
            </w:r>
          </w:p>
        </w:tc>
      </w:tr>
      <w:tr w:rsidR="00EB7374" w:rsidRPr="00CC405F" w14:paraId="3E4C63D0" w14:textId="77777777" w:rsidTr="00C700EB">
        <w:tc>
          <w:tcPr>
            <w:tcW w:w="1289" w:type="pct"/>
          </w:tcPr>
          <w:p w14:paraId="60BE0096" w14:textId="77777777" w:rsidR="00EB7374" w:rsidRPr="00CC405F" w:rsidRDefault="00EB7374" w:rsidP="00C700EB">
            <w:pPr>
              <w:jc w:val="left"/>
              <w:rPr>
                <w:sz w:val="15"/>
                <w:szCs w:val="15"/>
              </w:rPr>
            </w:pPr>
            <w:r>
              <w:rPr>
                <w:sz w:val="15"/>
              </w:rPr>
              <w:t>Poland (ASA/MoU)</w:t>
            </w:r>
          </w:p>
        </w:tc>
        <w:tc>
          <w:tcPr>
            <w:tcW w:w="675" w:type="pct"/>
          </w:tcPr>
          <w:p w14:paraId="74296796" w14:textId="77777777" w:rsidR="00EB7374" w:rsidRPr="00CC405F" w:rsidRDefault="00EB7374" w:rsidP="00C700EB">
            <w:pPr>
              <w:jc w:val="center"/>
              <w:rPr>
                <w:sz w:val="15"/>
                <w:szCs w:val="15"/>
              </w:rPr>
            </w:pPr>
            <w:r>
              <w:rPr>
                <w:sz w:val="15"/>
              </w:rPr>
              <w:t>2019*</w:t>
            </w:r>
          </w:p>
        </w:tc>
        <w:tc>
          <w:tcPr>
            <w:tcW w:w="470" w:type="pct"/>
          </w:tcPr>
          <w:p w14:paraId="7377D150" w14:textId="77777777" w:rsidR="00EB7374" w:rsidRPr="00CC405F" w:rsidRDefault="00EB7374" w:rsidP="00C700EB">
            <w:pPr>
              <w:jc w:val="center"/>
              <w:rPr>
                <w:sz w:val="15"/>
                <w:szCs w:val="15"/>
              </w:rPr>
            </w:pPr>
            <w:r>
              <w:rPr>
                <w:sz w:val="15"/>
              </w:rPr>
              <w:t>Yes</w:t>
            </w:r>
          </w:p>
        </w:tc>
        <w:tc>
          <w:tcPr>
            <w:tcW w:w="555" w:type="pct"/>
          </w:tcPr>
          <w:p w14:paraId="56A5D296" w14:textId="77777777" w:rsidR="00EB7374" w:rsidRPr="00CC405F" w:rsidRDefault="00EB7374" w:rsidP="00C700EB">
            <w:pPr>
              <w:jc w:val="center"/>
              <w:rPr>
                <w:sz w:val="15"/>
                <w:szCs w:val="15"/>
              </w:rPr>
            </w:pPr>
            <w:r>
              <w:rPr>
                <w:sz w:val="15"/>
              </w:rPr>
              <w:t>No</w:t>
            </w:r>
          </w:p>
        </w:tc>
        <w:tc>
          <w:tcPr>
            <w:tcW w:w="679" w:type="pct"/>
          </w:tcPr>
          <w:p w14:paraId="328CAD51" w14:textId="77777777" w:rsidR="00EB7374" w:rsidRPr="00CC405F" w:rsidRDefault="00EB7374" w:rsidP="00C700EB">
            <w:pPr>
              <w:jc w:val="center"/>
              <w:rPr>
                <w:sz w:val="15"/>
                <w:szCs w:val="15"/>
              </w:rPr>
            </w:pPr>
            <w:r>
              <w:rPr>
                <w:sz w:val="15"/>
              </w:rPr>
              <w:t>No</w:t>
            </w:r>
          </w:p>
        </w:tc>
        <w:tc>
          <w:tcPr>
            <w:tcW w:w="690" w:type="pct"/>
          </w:tcPr>
          <w:p w14:paraId="59E1DAAF" w14:textId="77777777" w:rsidR="00EB7374" w:rsidRPr="00CC405F" w:rsidRDefault="00EB7374" w:rsidP="00C700EB">
            <w:pPr>
              <w:jc w:val="center"/>
              <w:rPr>
                <w:sz w:val="15"/>
                <w:szCs w:val="15"/>
              </w:rPr>
            </w:pPr>
            <w:r>
              <w:rPr>
                <w:sz w:val="15"/>
              </w:rPr>
              <w:t>..</w:t>
            </w:r>
          </w:p>
        </w:tc>
        <w:tc>
          <w:tcPr>
            <w:tcW w:w="642" w:type="pct"/>
          </w:tcPr>
          <w:p w14:paraId="488F58BF" w14:textId="77777777" w:rsidR="00EB7374" w:rsidRPr="00CC405F" w:rsidRDefault="00EB7374" w:rsidP="00C700EB">
            <w:pPr>
              <w:jc w:val="center"/>
              <w:rPr>
                <w:sz w:val="15"/>
                <w:szCs w:val="15"/>
              </w:rPr>
            </w:pPr>
            <w:r>
              <w:rPr>
                <w:sz w:val="15"/>
              </w:rPr>
              <w:t>FD</w:t>
            </w:r>
          </w:p>
        </w:tc>
      </w:tr>
      <w:tr w:rsidR="00EB7374" w:rsidRPr="00CC405F" w14:paraId="344D3886" w14:textId="77777777" w:rsidTr="00C700EB">
        <w:trPr>
          <w:cnfStyle w:val="000000010000" w:firstRow="0" w:lastRow="0" w:firstColumn="0" w:lastColumn="0" w:oddVBand="0" w:evenVBand="0" w:oddHBand="0" w:evenHBand="1" w:firstRowFirstColumn="0" w:firstRowLastColumn="0" w:lastRowFirstColumn="0" w:lastRowLastColumn="0"/>
        </w:trPr>
        <w:tc>
          <w:tcPr>
            <w:tcW w:w="1289" w:type="pct"/>
          </w:tcPr>
          <w:p w14:paraId="139E06E5" w14:textId="77777777" w:rsidR="00EB7374" w:rsidRPr="00CC405F" w:rsidRDefault="00EB7374" w:rsidP="00C700EB">
            <w:pPr>
              <w:jc w:val="left"/>
              <w:rPr>
                <w:sz w:val="15"/>
                <w:szCs w:val="15"/>
              </w:rPr>
            </w:pPr>
            <w:r>
              <w:rPr>
                <w:sz w:val="15"/>
              </w:rPr>
              <w:t xml:space="preserve">Portugal </w:t>
            </w:r>
          </w:p>
        </w:tc>
        <w:tc>
          <w:tcPr>
            <w:tcW w:w="675" w:type="pct"/>
          </w:tcPr>
          <w:p w14:paraId="307B3AFC" w14:textId="77777777" w:rsidR="00EB7374" w:rsidRPr="00CC405F" w:rsidDel="00C6314B" w:rsidRDefault="00EB7374" w:rsidP="00C700EB">
            <w:pPr>
              <w:jc w:val="center"/>
              <w:rPr>
                <w:sz w:val="15"/>
                <w:szCs w:val="15"/>
              </w:rPr>
            </w:pPr>
            <w:r>
              <w:rPr>
                <w:sz w:val="15"/>
              </w:rPr>
              <w:t>2019</w:t>
            </w:r>
          </w:p>
        </w:tc>
        <w:tc>
          <w:tcPr>
            <w:tcW w:w="470" w:type="pct"/>
          </w:tcPr>
          <w:p w14:paraId="0292AD71" w14:textId="77777777" w:rsidR="00EB7374" w:rsidRPr="00CC405F" w:rsidRDefault="00EB7374" w:rsidP="00C700EB">
            <w:pPr>
              <w:jc w:val="center"/>
              <w:rPr>
                <w:sz w:val="15"/>
                <w:szCs w:val="15"/>
              </w:rPr>
            </w:pPr>
            <w:r>
              <w:rPr>
                <w:sz w:val="15"/>
              </w:rPr>
              <w:t>Yes</w:t>
            </w:r>
          </w:p>
        </w:tc>
        <w:tc>
          <w:tcPr>
            <w:tcW w:w="555" w:type="pct"/>
          </w:tcPr>
          <w:p w14:paraId="50147E00" w14:textId="77777777" w:rsidR="00EB7374" w:rsidRPr="00CC405F" w:rsidRDefault="00EB7374" w:rsidP="00C700EB">
            <w:pPr>
              <w:jc w:val="center"/>
              <w:rPr>
                <w:sz w:val="15"/>
                <w:szCs w:val="15"/>
              </w:rPr>
            </w:pPr>
            <w:r>
              <w:rPr>
                <w:sz w:val="15"/>
              </w:rPr>
              <w:t>No</w:t>
            </w:r>
          </w:p>
        </w:tc>
        <w:tc>
          <w:tcPr>
            <w:tcW w:w="679" w:type="pct"/>
          </w:tcPr>
          <w:p w14:paraId="3D329773" w14:textId="77777777" w:rsidR="00EB7374" w:rsidRPr="00CC405F" w:rsidRDefault="00EB7374" w:rsidP="00C700EB">
            <w:pPr>
              <w:jc w:val="center"/>
              <w:rPr>
                <w:sz w:val="15"/>
                <w:szCs w:val="15"/>
              </w:rPr>
            </w:pPr>
            <w:r>
              <w:rPr>
                <w:sz w:val="15"/>
              </w:rPr>
              <w:t>No</w:t>
            </w:r>
          </w:p>
        </w:tc>
        <w:tc>
          <w:tcPr>
            <w:tcW w:w="690" w:type="pct"/>
          </w:tcPr>
          <w:p w14:paraId="58E8F243" w14:textId="77777777" w:rsidR="00EB7374" w:rsidRPr="00CC405F" w:rsidRDefault="00EB7374" w:rsidP="00C700EB">
            <w:pPr>
              <w:jc w:val="center"/>
              <w:rPr>
                <w:sz w:val="15"/>
                <w:szCs w:val="15"/>
              </w:rPr>
            </w:pPr>
            <w:r>
              <w:rPr>
                <w:sz w:val="15"/>
              </w:rPr>
              <w:t>FP</w:t>
            </w:r>
          </w:p>
        </w:tc>
        <w:tc>
          <w:tcPr>
            <w:tcW w:w="642" w:type="pct"/>
          </w:tcPr>
          <w:p w14:paraId="7BA2EC39" w14:textId="77777777" w:rsidR="00EB7374" w:rsidRPr="00CC405F" w:rsidRDefault="00EB7374" w:rsidP="00C700EB">
            <w:pPr>
              <w:jc w:val="center"/>
              <w:rPr>
                <w:sz w:val="15"/>
                <w:szCs w:val="15"/>
              </w:rPr>
            </w:pPr>
            <w:r>
              <w:rPr>
                <w:sz w:val="15"/>
              </w:rPr>
              <w:t>PD</w:t>
            </w:r>
          </w:p>
        </w:tc>
      </w:tr>
      <w:tr w:rsidR="00EB7374" w:rsidRPr="00CC405F" w14:paraId="69DD48B2" w14:textId="77777777" w:rsidTr="00C700EB">
        <w:tc>
          <w:tcPr>
            <w:tcW w:w="1289" w:type="pct"/>
          </w:tcPr>
          <w:p w14:paraId="117E433A" w14:textId="77777777" w:rsidR="00EB7374" w:rsidRPr="00CC405F" w:rsidRDefault="00EB7374" w:rsidP="00C700EB">
            <w:pPr>
              <w:jc w:val="left"/>
              <w:rPr>
                <w:sz w:val="15"/>
                <w:szCs w:val="15"/>
              </w:rPr>
            </w:pPr>
            <w:r>
              <w:rPr>
                <w:sz w:val="15"/>
              </w:rPr>
              <w:t xml:space="preserve">Qatar </w:t>
            </w:r>
          </w:p>
        </w:tc>
        <w:tc>
          <w:tcPr>
            <w:tcW w:w="675" w:type="pct"/>
          </w:tcPr>
          <w:p w14:paraId="33E5B3AE" w14:textId="77777777" w:rsidR="00EB7374" w:rsidRPr="00CC405F" w:rsidRDefault="00EB7374" w:rsidP="00C700EB">
            <w:pPr>
              <w:jc w:val="center"/>
              <w:rPr>
                <w:sz w:val="15"/>
                <w:szCs w:val="15"/>
              </w:rPr>
            </w:pPr>
            <w:r>
              <w:rPr>
                <w:sz w:val="15"/>
              </w:rPr>
              <w:t>2017</w:t>
            </w:r>
          </w:p>
        </w:tc>
        <w:tc>
          <w:tcPr>
            <w:tcW w:w="470" w:type="pct"/>
          </w:tcPr>
          <w:p w14:paraId="0E2AE91D" w14:textId="77777777" w:rsidR="00EB7374" w:rsidRPr="00CC405F" w:rsidRDefault="00EB7374" w:rsidP="00C700EB">
            <w:pPr>
              <w:jc w:val="center"/>
              <w:rPr>
                <w:sz w:val="15"/>
                <w:szCs w:val="15"/>
              </w:rPr>
            </w:pPr>
            <w:r>
              <w:rPr>
                <w:sz w:val="15"/>
              </w:rPr>
              <w:t>Yes</w:t>
            </w:r>
          </w:p>
        </w:tc>
        <w:tc>
          <w:tcPr>
            <w:tcW w:w="555" w:type="pct"/>
          </w:tcPr>
          <w:p w14:paraId="1F3DBB47" w14:textId="77777777" w:rsidR="00EB7374" w:rsidRPr="00CC405F" w:rsidRDefault="00EB7374" w:rsidP="00C700EB">
            <w:pPr>
              <w:jc w:val="center"/>
              <w:rPr>
                <w:sz w:val="15"/>
                <w:szCs w:val="15"/>
              </w:rPr>
            </w:pPr>
            <w:r>
              <w:rPr>
                <w:sz w:val="15"/>
              </w:rPr>
              <w:t>No</w:t>
            </w:r>
          </w:p>
        </w:tc>
        <w:tc>
          <w:tcPr>
            <w:tcW w:w="679" w:type="pct"/>
          </w:tcPr>
          <w:p w14:paraId="1E46600C" w14:textId="77777777" w:rsidR="00EB7374" w:rsidRPr="00CC405F" w:rsidRDefault="00EB7374" w:rsidP="00C700EB">
            <w:pPr>
              <w:jc w:val="center"/>
              <w:rPr>
                <w:sz w:val="15"/>
                <w:szCs w:val="15"/>
              </w:rPr>
            </w:pPr>
            <w:r>
              <w:rPr>
                <w:sz w:val="15"/>
              </w:rPr>
              <w:t>No</w:t>
            </w:r>
          </w:p>
        </w:tc>
        <w:tc>
          <w:tcPr>
            <w:tcW w:w="690" w:type="pct"/>
          </w:tcPr>
          <w:p w14:paraId="0CDF6A41" w14:textId="77777777" w:rsidR="00EB7374" w:rsidRPr="00CC405F" w:rsidRDefault="00EB7374" w:rsidP="00C700EB">
            <w:pPr>
              <w:jc w:val="center"/>
              <w:rPr>
                <w:sz w:val="15"/>
                <w:szCs w:val="15"/>
              </w:rPr>
            </w:pPr>
            <w:r>
              <w:rPr>
                <w:sz w:val="15"/>
              </w:rPr>
              <w:t>FP</w:t>
            </w:r>
          </w:p>
        </w:tc>
        <w:tc>
          <w:tcPr>
            <w:tcW w:w="642" w:type="pct"/>
          </w:tcPr>
          <w:p w14:paraId="71FBF46F" w14:textId="77777777" w:rsidR="00EB7374" w:rsidRPr="00CC405F" w:rsidRDefault="00EB7374" w:rsidP="00C700EB">
            <w:pPr>
              <w:jc w:val="center"/>
              <w:rPr>
                <w:sz w:val="15"/>
                <w:szCs w:val="15"/>
              </w:rPr>
            </w:pPr>
            <w:r>
              <w:rPr>
                <w:sz w:val="15"/>
              </w:rPr>
              <w:t>FD</w:t>
            </w:r>
          </w:p>
        </w:tc>
      </w:tr>
      <w:tr w:rsidR="00EB7374" w:rsidRPr="0009144C" w14:paraId="562B0F8A" w14:textId="77777777" w:rsidTr="00153C22">
        <w:trPr>
          <w:cnfStyle w:val="000000010000" w:firstRow="0" w:lastRow="0" w:firstColumn="0" w:lastColumn="0" w:oddVBand="0" w:evenVBand="0" w:oddHBand="0" w:evenHBand="1" w:firstRowFirstColumn="0" w:firstRowLastColumn="0" w:lastRowFirstColumn="0" w:lastRowLastColumn="0"/>
        </w:trPr>
        <w:tc>
          <w:tcPr>
            <w:tcW w:w="1289" w:type="pct"/>
          </w:tcPr>
          <w:p w14:paraId="693AD6F6" w14:textId="77777777" w:rsidR="00EB7374" w:rsidRPr="0009144C" w:rsidRDefault="00EB7374" w:rsidP="00153C22">
            <w:pPr>
              <w:ind w:right="-57"/>
              <w:jc w:val="left"/>
              <w:rPr>
                <w:sz w:val="15"/>
                <w:szCs w:val="15"/>
              </w:rPr>
            </w:pPr>
            <w:r>
              <w:rPr>
                <w:sz w:val="15"/>
              </w:rPr>
              <w:t>Russian Federation (ASA/MoU)</w:t>
            </w:r>
          </w:p>
        </w:tc>
        <w:tc>
          <w:tcPr>
            <w:tcW w:w="675" w:type="pct"/>
          </w:tcPr>
          <w:p w14:paraId="115596B4" w14:textId="77777777" w:rsidR="00EB7374" w:rsidRPr="0009144C" w:rsidRDefault="00EB7374" w:rsidP="00153C22">
            <w:pPr>
              <w:jc w:val="center"/>
              <w:rPr>
                <w:sz w:val="15"/>
                <w:szCs w:val="15"/>
              </w:rPr>
            </w:pPr>
            <w:r>
              <w:rPr>
                <w:sz w:val="15"/>
              </w:rPr>
              <w:t>2009</w:t>
            </w:r>
          </w:p>
        </w:tc>
        <w:tc>
          <w:tcPr>
            <w:tcW w:w="470" w:type="pct"/>
          </w:tcPr>
          <w:p w14:paraId="1B832A1F" w14:textId="77777777" w:rsidR="00EB7374" w:rsidRPr="0009144C" w:rsidRDefault="00EB7374" w:rsidP="00153C22">
            <w:pPr>
              <w:jc w:val="center"/>
              <w:rPr>
                <w:sz w:val="15"/>
                <w:szCs w:val="15"/>
              </w:rPr>
            </w:pPr>
            <w:r>
              <w:rPr>
                <w:sz w:val="15"/>
              </w:rPr>
              <w:t>Yes</w:t>
            </w:r>
          </w:p>
        </w:tc>
        <w:tc>
          <w:tcPr>
            <w:tcW w:w="555" w:type="pct"/>
          </w:tcPr>
          <w:p w14:paraId="11F3999E" w14:textId="77777777" w:rsidR="00EB7374" w:rsidRPr="0009144C" w:rsidRDefault="00EB7374" w:rsidP="00153C22">
            <w:pPr>
              <w:jc w:val="center"/>
              <w:rPr>
                <w:sz w:val="15"/>
                <w:szCs w:val="15"/>
              </w:rPr>
            </w:pPr>
            <w:r>
              <w:rPr>
                <w:sz w:val="15"/>
              </w:rPr>
              <w:t>No</w:t>
            </w:r>
          </w:p>
        </w:tc>
        <w:tc>
          <w:tcPr>
            <w:tcW w:w="679" w:type="pct"/>
          </w:tcPr>
          <w:p w14:paraId="4958F846" w14:textId="77777777" w:rsidR="00EB7374" w:rsidRPr="0009144C" w:rsidRDefault="00EB7374" w:rsidP="00153C22">
            <w:pPr>
              <w:jc w:val="center"/>
              <w:rPr>
                <w:sz w:val="15"/>
                <w:szCs w:val="15"/>
              </w:rPr>
            </w:pPr>
            <w:r>
              <w:rPr>
                <w:sz w:val="15"/>
              </w:rPr>
              <w:t>No</w:t>
            </w:r>
          </w:p>
        </w:tc>
        <w:tc>
          <w:tcPr>
            <w:tcW w:w="690" w:type="pct"/>
          </w:tcPr>
          <w:p w14:paraId="75395FE8" w14:textId="77777777" w:rsidR="00EB7374" w:rsidRPr="0009144C" w:rsidRDefault="00EB7374" w:rsidP="00153C22">
            <w:pPr>
              <w:jc w:val="center"/>
              <w:rPr>
                <w:sz w:val="15"/>
                <w:szCs w:val="15"/>
              </w:rPr>
            </w:pPr>
            <w:r>
              <w:rPr>
                <w:sz w:val="15"/>
              </w:rPr>
              <w:t>FP</w:t>
            </w:r>
          </w:p>
        </w:tc>
        <w:tc>
          <w:tcPr>
            <w:tcW w:w="642" w:type="pct"/>
          </w:tcPr>
          <w:p w14:paraId="35213640" w14:textId="77777777" w:rsidR="00EB7374" w:rsidRPr="0009144C" w:rsidRDefault="00EB7374" w:rsidP="00153C22">
            <w:pPr>
              <w:jc w:val="center"/>
              <w:rPr>
                <w:sz w:val="15"/>
                <w:szCs w:val="15"/>
              </w:rPr>
            </w:pPr>
            <w:r>
              <w:rPr>
                <w:sz w:val="15"/>
              </w:rPr>
              <w:t>FD</w:t>
            </w:r>
          </w:p>
        </w:tc>
      </w:tr>
      <w:tr w:rsidR="00EB7374" w:rsidRPr="00CC405F" w14:paraId="0E070CAE" w14:textId="77777777" w:rsidTr="00C700EB">
        <w:tc>
          <w:tcPr>
            <w:tcW w:w="1289" w:type="pct"/>
          </w:tcPr>
          <w:p w14:paraId="4CFFF640" w14:textId="77777777" w:rsidR="00EB7374" w:rsidRPr="00CC405F" w:rsidRDefault="00EB7374" w:rsidP="00C700EB">
            <w:pPr>
              <w:jc w:val="left"/>
              <w:rPr>
                <w:sz w:val="15"/>
                <w:szCs w:val="15"/>
              </w:rPr>
            </w:pPr>
            <w:r>
              <w:rPr>
                <w:sz w:val="15"/>
              </w:rPr>
              <w:t>Rwanda</w:t>
            </w:r>
          </w:p>
        </w:tc>
        <w:tc>
          <w:tcPr>
            <w:tcW w:w="675" w:type="pct"/>
          </w:tcPr>
          <w:p w14:paraId="1296DC48" w14:textId="77777777" w:rsidR="00EB7374" w:rsidRPr="00CC405F" w:rsidRDefault="00EB7374" w:rsidP="00C700EB">
            <w:pPr>
              <w:jc w:val="center"/>
              <w:rPr>
                <w:sz w:val="15"/>
                <w:szCs w:val="15"/>
              </w:rPr>
            </w:pPr>
            <w:r>
              <w:rPr>
                <w:sz w:val="15"/>
              </w:rPr>
              <w:t>2019</w:t>
            </w:r>
          </w:p>
        </w:tc>
        <w:tc>
          <w:tcPr>
            <w:tcW w:w="470" w:type="pct"/>
          </w:tcPr>
          <w:p w14:paraId="408D6044" w14:textId="77777777" w:rsidR="00EB7374" w:rsidRPr="00CC405F" w:rsidRDefault="00EB7374" w:rsidP="00C700EB">
            <w:pPr>
              <w:jc w:val="center"/>
              <w:rPr>
                <w:sz w:val="15"/>
                <w:szCs w:val="15"/>
              </w:rPr>
            </w:pPr>
            <w:r>
              <w:rPr>
                <w:sz w:val="15"/>
              </w:rPr>
              <w:t>Yes</w:t>
            </w:r>
          </w:p>
        </w:tc>
        <w:tc>
          <w:tcPr>
            <w:tcW w:w="555" w:type="pct"/>
          </w:tcPr>
          <w:p w14:paraId="0AB2EDB1" w14:textId="77777777" w:rsidR="00EB7374" w:rsidRPr="00CC405F" w:rsidRDefault="00EB7374" w:rsidP="00C700EB">
            <w:pPr>
              <w:jc w:val="center"/>
              <w:rPr>
                <w:sz w:val="15"/>
                <w:szCs w:val="15"/>
              </w:rPr>
            </w:pPr>
            <w:r>
              <w:rPr>
                <w:sz w:val="15"/>
              </w:rPr>
              <w:t>Cargo</w:t>
            </w:r>
          </w:p>
        </w:tc>
        <w:tc>
          <w:tcPr>
            <w:tcW w:w="679" w:type="pct"/>
          </w:tcPr>
          <w:p w14:paraId="0D5562BD" w14:textId="77777777" w:rsidR="00EB7374" w:rsidRPr="00CC405F" w:rsidRDefault="00EB7374" w:rsidP="00C700EB">
            <w:pPr>
              <w:jc w:val="center"/>
              <w:rPr>
                <w:sz w:val="15"/>
                <w:szCs w:val="15"/>
              </w:rPr>
            </w:pPr>
            <w:r>
              <w:rPr>
                <w:sz w:val="15"/>
              </w:rPr>
              <w:t>No</w:t>
            </w:r>
          </w:p>
        </w:tc>
        <w:tc>
          <w:tcPr>
            <w:tcW w:w="690" w:type="pct"/>
          </w:tcPr>
          <w:p w14:paraId="1FB9B26C" w14:textId="77777777" w:rsidR="00EB7374" w:rsidRPr="00CC405F" w:rsidRDefault="00EB7374" w:rsidP="00C700EB">
            <w:pPr>
              <w:jc w:val="center"/>
              <w:rPr>
                <w:sz w:val="15"/>
                <w:szCs w:val="15"/>
              </w:rPr>
            </w:pPr>
            <w:r>
              <w:rPr>
                <w:sz w:val="15"/>
              </w:rPr>
              <w:t>FP</w:t>
            </w:r>
          </w:p>
        </w:tc>
        <w:tc>
          <w:tcPr>
            <w:tcW w:w="642" w:type="pct"/>
          </w:tcPr>
          <w:p w14:paraId="31FE90D5" w14:textId="77777777" w:rsidR="00EB7374" w:rsidRPr="00CC405F" w:rsidRDefault="00EB7374" w:rsidP="00C700EB">
            <w:pPr>
              <w:jc w:val="center"/>
              <w:rPr>
                <w:sz w:val="15"/>
                <w:szCs w:val="15"/>
              </w:rPr>
            </w:pPr>
            <w:r>
              <w:rPr>
                <w:sz w:val="15"/>
              </w:rPr>
              <w:t>FD</w:t>
            </w:r>
          </w:p>
        </w:tc>
      </w:tr>
      <w:tr w:rsidR="00EB7374" w:rsidRPr="00CC405F" w14:paraId="0982E791" w14:textId="77777777" w:rsidTr="00C700EB">
        <w:trPr>
          <w:cnfStyle w:val="000000010000" w:firstRow="0" w:lastRow="0" w:firstColumn="0" w:lastColumn="0" w:oddVBand="0" w:evenVBand="0" w:oddHBand="0" w:evenHBand="1" w:firstRowFirstColumn="0" w:firstRowLastColumn="0" w:lastRowFirstColumn="0" w:lastRowLastColumn="0"/>
        </w:trPr>
        <w:tc>
          <w:tcPr>
            <w:tcW w:w="1289" w:type="pct"/>
          </w:tcPr>
          <w:p w14:paraId="3F7E25C2" w14:textId="77777777" w:rsidR="00EB7374" w:rsidRPr="00CC405F" w:rsidRDefault="00EB7374" w:rsidP="00C700EB">
            <w:pPr>
              <w:jc w:val="left"/>
              <w:rPr>
                <w:sz w:val="15"/>
                <w:szCs w:val="15"/>
              </w:rPr>
            </w:pPr>
            <w:r>
              <w:rPr>
                <w:sz w:val="15"/>
              </w:rPr>
              <w:t xml:space="preserve">Serbia </w:t>
            </w:r>
          </w:p>
        </w:tc>
        <w:tc>
          <w:tcPr>
            <w:tcW w:w="675" w:type="pct"/>
          </w:tcPr>
          <w:p w14:paraId="657B664E" w14:textId="77777777" w:rsidR="00EB7374" w:rsidRPr="00CC405F" w:rsidRDefault="00EB7374" w:rsidP="00C700EB">
            <w:pPr>
              <w:jc w:val="center"/>
              <w:rPr>
                <w:sz w:val="15"/>
                <w:szCs w:val="15"/>
              </w:rPr>
            </w:pPr>
            <w:r>
              <w:rPr>
                <w:sz w:val="15"/>
              </w:rPr>
              <w:t>2015</w:t>
            </w:r>
          </w:p>
        </w:tc>
        <w:tc>
          <w:tcPr>
            <w:tcW w:w="470" w:type="pct"/>
          </w:tcPr>
          <w:p w14:paraId="4A10AE94" w14:textId="77777777" w:rsidR="00EB7374" w:rsidRPr="00CC405F" w:rsidRDefault="00EB7374" w:rsidP="00C700EB">
            <w:pPr>
              <w:jc w:val="center"/>
              <w:rPr>
                <w:sz w:val="15"/>
                <w:szCs w:val="15"/>
              </w:rPr>
            </w:pPr>
            <w:r>
              <w:rPr>
                <w:sz w:val="15"/>
              </w:rPr>
              <w:t>Yes</w:t>
            </w:r>
          </w:p>
        </w:tc>
        <w:tc>
          <w:tcPr>
            <w:tcW w:w="555" w:type="pct"/>
          </w:tcPr>
          <w:p w14:paraId="7D064159" w14:textId="77777777" w:rsidR="00EB7374" w:rsidRPr="00CC405F" w:rsidDel="00367F73" w:rsidRDefault="00EB7374" w:rsidP="00C700EB">
            <w:pPr>
              <w:jc w:val="center"/>
              <w:rPr>
                <w:sz w:val="15"/>
                <w:szCs w:val="15"/>
              </w:rPr>
            </w:pPr>
            <w:r>
              <w:rPr>
                <w:sz w:val="15"/>
              </w:rPr>
              <w:t>Cargo</w:t>
            </w:r>
          </w:p>
        </w:tc>
        <w:tc>
          <w:tcPr>
            <w:tcW w:w="679" w:type="pct"/>
          </w:tcPr>
          <w:p w14:paraId="7405EE83" w14:textId="77777777" w:rsidR="00EB7374" w:rsidRPr="00CC405F" w:rsidRDefault="00EB7374" w:rsidP="00C700EB">
            <w:pPr>
              <w:jc w:val="center"/>
              <w:rPr>
                <w:sz w:val="15"/>
                <w:szCs w:val="15"/>
              </w:rPr>
            </w:pPr>
            <w:r>
              <w:rPr>
                <w:sz w:val="15"/>
              </w:rPr>
              <w:t>No</w:t>
            </w:r>
          </w:p>
        </w:tc>
        <w:tc>
          <w:tcPr>
            <w:tcW w:w="690" w:type="pct"/>
          </w:tcPr>
          <w:p w14:paraId="229C091C" w14:textId="77777777" w:rsidR="00EB7374" w:rsidRPr="00CC405F" w:rsidRDefault="00EB7374" w:rsidP="00C700EB">
            <w:pPr>
              <w:jc w:val="center"/>
              <w:rPr>
                <w:sz w:val="15"/>
                <w:szCs w:val="15"/>
              </w:rPr>
            </w:pPr>
            <w:r>
              <w:rPr>
                <w:sz w:val="15"/>
              </w:rPr>
              <w:t>PD</w:t>
            </w:r>
          </w:p>
        </w:tc>
        <w:tc>
          <w:tcPr>
            <w:tcW w:w="642" w:type="pct"/>
          </w:tcPr>
          <w:p w14:paraId="571631D7" w14:textId="77777777" w:rsidR="00EB7374" w:rsidRPr="00CC405F" w:rsidRDefault="00EB7374" w:rsidP="00C700EB">
            <w:pPr>
              <w:jc w:val="center"/>
              <w:rPr>
                <w:sz w:val="15"/>
                <w:szCs w:val="15"/>
              </w:rPr>
            </w:pPr>
            <w:r>
              <w:rPr>
                <w:sz w:val="15"/>
              </w:rPr>
              <w:t>PD</w:t>
            </w:r>
          </w:p>
        </w:tc>
      </w:tr>
      <w:tr w:rsidR="00EB7374" w:rsidRPr="00CC405F" w14:paraId="1752655F" w14:textId="77777777" w:rsidTr="00C700EB">
        <w:tc>
          <w:tcPr>
            <w:tcW w:w="1289" w:type="pct"/>
          </w:tcPr>
          <w:p w14:paraId="7DFA4CB6" w14:textId="77777777" w:rsidR="00EB7374" w:rsidRPr="00CC405F" w:rsidRDefault="00EB7374" w:rsidP="00C700EB">
            <w:pPr>
              <w:jc w:val="left"/>
              <w:rPr>
                <w:sz w:val="15"/>
                <w:szCs w:val="15"/>
              </w:rPr>
            </w:pPr>
            <w:r>
              <w:rPr>
                <w:sz w:val="15"/>
              </w:rPr>
              <w:t>Seychelles</w:t>
            </w:r>
          </w:p>
        </w:tc>
        <w:tc>
          <w:tcPr>
            <w:tcW w:w="675" w:type="pct"/>
          </w:tcPr>
          <w:p w14:paraId="065DD450" w14:textId="77777777" w:rsidR="00EB7374" w:rsidRPr="00CC405F" w:rsidRDefault="00EB7374" w:rsidP="00C700EB">
            <w:pPr>
              <w:jc w:val="center"/>
              <w:rPr>
                <w:sz w:val="15"/>
                <w:szCs w:val="15"/>
              </w:rPr>
            </w:pPr>
            <w:r>
              <w:rPr>
                <w:sz w:val="15"/>
              </w:rPr>
              <w:t>2015</w:t>
            </w:r>
          </w:p>
        </w:tc>
        <w:tc>
          <w:tcPr>
            <w:tcW w:w="470" w:type="pct"/>
          </w:tcPr>
          <w:p w14:paraId="58A6ADA5" w14:textId="77777777" w:rsidR="00EB7374" w:rsidRPr="00CC405F" w:rsidRDefault="00EB7374" w:rsidP="00C700EB">
            <w:pPr>
              <w:jc w:val="center"/>
              <w:rPr>
                <w:sz w:val="15"/>
                <w:szCs w:val="15"/>
              </w:rPr>
            </w:pPr>
            <w:r>
              <w:rPr>
                <w:sz w:val="15"/>
              </w:rPr>
              <w:t>Yes</w:t>
            </w:r>
          </w:p>
        </w:tc>
        <w:tc>
          <w:tcPr>
            <w:tcW w:w="555" w:type="pct"/>
          </w:tcPr>
          <w:p w14:paraId="0D606FB5" w14:textId="77777777" w:rsidR="00EB7374" w:rsidRPr="00CC405F" w:rsidDel="00367F73" w:rsidRDefault="00EB7374" w:rsidP="00C700EB">
            <w:pPr>
              <w:jc w:val="center"/>
              <w:rPr>
                <w:sz w:val="15"/>
                <w:szCs w:val="15"/>
              </w:rPr>
            </w:pPr>
            <w:r>
              <w:rPr>
                <w:sz w:val="15"/>
              </w:rPr>
              <w:t>Cargo</w:t>
            </w:r>
          </w:p>
        </w:tc>
        <w:tc>
          <w:tcPr>
            <w:tcW w:w="679" w:type="pct"/>
          </w:tcPr>
          <w:p w14:paraId="47AA2149" w14:textId="77777777" w:rsidR="00EB7374" w:rsidRPr="00CC405F" w:rsidRDefault="00EB7374" w:rsidP="00C700EB">
            <w:pPr>
              <w:jc w:val="center"/>
              <w:rPr>
                <w:sz w:val="15"/>
                <w:szCs w:val="15"/>
              </w:rPr>
            </w:pPr>
            <w:r>
              <w:rPr>
                <w:sz w:val="15"/>
              </w:rPr>
              <w:t>No</w:t>
            </w:r>
          </w:p>
        </w:tc>
        <w:tc>
          <w:tcPr>
            <w:tcW w:w="690" w:type="pct"/>
          </w:tcPr>
          <w:p w14:paraId="64CBBFA4" w14:textId="77777777" w:rsidR="00EB7374" w:rsidRPr="00CC405F" w:rsidRDefault="00EB7374" w:rsidP="00C700EB">
            <w:pPr>
              <w:jc w:val="center"/>
              <w:rPr>
                <w:sz w:val="15"/>
                <w:szCs w:val="15"/>
              </w:rPr>
            </w:pPr>
            <w:r>
              <w:rPr>
                <w:sz w:val="15"/>
              </w:rPr>
              <w:t>PD</w:t>
            </w:r>
          </w:p>
        </w:tc>
        <w:tc>
          <w:tcPr>
            <w:tcW w:w="642" w:type="pct"/>
          </w:tcPr>
          <w:p w14:paraId="7783D369" w14:textId="77777777" w:rsidR="00EB7374" w:rsidRPr="00CC405F" w:rsidRDefault="00EB7374" w:rsidP="00C700EB">
            <w:pPr>
              <w:jc w:val="center"/>
              <w:rPr>
                <w:sz w:val="15"/>
                <w:szCs w:val="15"/>
              </w:rPr>
            </w:pPr>
            <w:r>
              <w:rPr>
                <w:sz w:val="15"/>
              </w:rPr>
              <w:t>PD</w:t>
            </w:r>
          </w:p>
        </w:tc>
      </w:tr>
      <w:tr w:rsidR="00EB7374" w:rsidRPr="00CC405F" w14:paraId="0DBE7F40" w14:textId="77777777" w:rsidTr="00C700EB">
        <w:trPr>
          <w:cnfStyle w:val="000000010000" w:firstRow="0" w:lastRow="0" w:firstColumn="0" w:lastColumn="0" w:oddVBand="0" w:evenVBand="0" w:oddHBand="0" w:evenHBand="1" w:firstRowFirstColumn="0" w:firstRowLastColumn="0" w:lastRowFirstColumn="0" w:lastRowLastColumn="0"/>
        </w:trPr>
        <w:tc>
          <w:tcPr>
            <w:tcW w:w="1289" w:type="pct"/>
          </w:tcPr>
          <w:p w14:paraId="4F07BBA9" w14:textId="77777777" w:rsidR="00EB7374" w:rsidRPr="00CC405F" w:rsidRDefault="00EB7374" w:rsidP="00C700EB">
            <w:pPr>
              <w:jc w:val="left"/>
              <w:rPr>
                <w:sz w:val="15"/>
                <w:szCs w:val="15"/>
              </w:rPr>
            </w:pPr>
            <w:r>
              <w:rPr>
                <w:sz w:val="15"/>
              </w:rPr>
              <w:t xml:space="preserve">Singapore </w:t>
            </w:r>
          </w:p>
        </w:tc>
        <w:tc>
          <w:tcPr>
            <w:tcW w:w="675" w:type="pct"/>
          </w:tcPr>
          <w:p w14:paraId="76B72D8A" w14:textId="77777777" w:rsidR="00EB7374" w:rsidRPr="00CC405F" w:rsidRDefault="00EB7374" w:rsidP="00C700EB">
            <w:pPr>
              <w:jc w:val="center"/>
              <w:rPr>
                <w:sz w:val="15"/>
                <w:szCs w:val="15"/>
              </w:rPr>
            </w:pPr>
            <w:r>
              <w:rPr>
                <w:sz w:val="15"/>
              </w:rPr>
              <w:t>2016</w:t>
            </w:r>
          </w:p>
        </w:tc>
        <w:tc>
          <w:tcPr>
            <w:tcW w:w="470" w:type="pct"/>
          </w:tcPr>
          <w:p w14:paraId="6C5AFD98" w14:textId="77777777" w:rsidR="00EB7374" w:rsidRPr="00CC405F" w:rsidRDefault="00EB7374" w:rsidP="00C700EB">
            <w:pPr>
              <w:jc w:val="center"/>
              <w:rPr>
                <w:sz w:val="15"/>
                <w:szCs w:val="15"/>
              </w:rPr>
            </w:pPr>
            <w:r>
              <w:rPr>
                <w:sz w:val="15"/>
              </w:rPr>
              <w:t>Yes</w:t>
            </w:r>
          </w:p>
        </w:tc>
        <w:tc>
          <w:tcPr>
            <w:tcW w:w="555" w:type="pct"/>
          </w:tcPr>
          <w:p w14:paraId="79BF90CC" w14:textId="77777777" w:rsidR="00EB7374" w:rsidRPr="00CC405F" w:rsidDel="00367F73" w:rsidRDefault="00EB7374" w:rsidP="00C700EB">
            <w:pPr>
              <w:jc w:val="center"/>
              <w:rPr>
                <w:sz w:val="15"/>
                <w:szCs w:val="15"/>
              </w:rPr>
            </w:pPr>
            <w:r>
              <w:rPr>
                <w:sz w:val="15"/>
              </w:rPr>
              <w:t>Cargo</w:t>
            </w:r>
          </w:p>
        </w:tc>
        <w:tc>
          <w:tcPr>
            <w:tcW w:w="679" w:type="pct"/>
          </w:tcPr>
          <w:p w14:paraId="4522E78F" w14:textId="77777777" w:rsidR="00EB7374" w:rsidRPr="00CC405F" w:rsidRDefault="00EB7374" w:rsidP="00C700EB">
            <w:pPr>
              <w:jc w:val="center"/>
              <w:rPr>
                <w:sz w:val="15"/>
                <w:szCs w:val="15"/>
              </w:rPr>
            </w:pPr>
            <w:r>
              <w:rPr>
                <w:sz w:val="15"/>
              </w:rPr>
              <w:t>No</w:t>
            </w:r>
          </w:p>
        </w:tc>
        <w:tc>
          <w:tcPr>
            <w:tcW w:w="690" w:type="pct"/>
          </w:tcPr>
          <w:p w14:paraId="671A1FC1" w14:textId="77777777" w:rsidR="00EB7374" w:rsidRPr="00CC405F" w:rsidRDefault="00EB7374" w:rsidP="00C700EB">
            <w:pPr>
              <w:jc w:val="center"/>
              <w:rPr>
                <w:sz w:val="15"/>
                <w:szCs w:val="15"/>
              </w:rPr>
            </w:pPr>
            <w:r>
              <w:rPr>
                <w:sz w:val="15"/>
              </w:rPr>
              <w:t>PD</w:t>
            </w:r>
          </w:p>
        </w:tc>
        <w:tc>
          <w:tcPr>
            <w:tcW w:w="642" w:type="pct"/>
          </w:tcPr>
          <w:p w14:paraId="704121E7" w14:textId="77777777" w:rsidR="00EB7374" w:rsidRPr="00CC405F" w:rsidRDefault="00EB7374" w:rsidP="00C700EB">
            <w:pPr>
              <w:jc w:val="center"/>
              <w:rPr>
                <w:sz w:val="15"/>
                <w:szCs w:val="15"/>
              </w:rPr>
            </w:pPr>
            <w:r>
              <w:rPr>
                <w:sz w:val="15"/>
              </w:rPr>
              <w:t>PD</w:t>
            </w:r>
          </w:p>
        </w:tc>
      </w:tr>
      <w:tr w:rsidR="00EB7374" w:rsidRPr="0009144C" w14:paraId="029262A1" w14:textId="77777777" w:rsidTr="00153C22">
        <w:tc>
          <w:tcPr>
            <w:tcW w:w="1289" w:type="pct"/>
          </w:tcPr>
          <w:p w14:paraId="6024761E" w14:textId="77777777" w:rsidR="00EB7374" w:rsidRPr="0009144C" w:rsidRDefault="00EB7374" w:rsidP="00153C22">
            <w:pPr>
              <w:jc w:val="left"/>
              <w:rPr>
                <w:sz w:val="15"/>
                <w:szCs w:val="15"/>
              </w:rPr>
            </w:pPr>
            <w:r>
              <w:rPr>
                <w:sz w:val="15"/>
              </w:rPr>
              <w:t>Spain (ASA/Technical agreement)</w:t>
            </w:r>
          </w:p>
        </w:tc>
        <w:tc>
          <w:tcPr>
            <w:tcW w:w="675" w:type="pct"/>
          </w:tcPr>
          <w:p w14:paraId="71D43BC1" w14:textId="77777777" w:rsidR="00EB7374" w:rsidRPr="0009144C" w:rsidRDefault="00EB7374" w:rsidP="00153C22">
            <w:pPr>
              <w:jc w:val="center"/>
              <w:rPr>
                <w:sz w:val="15"/>
                <w:szCs w:val="15"/>
              </w:rPr>
            </w:pPr>
            <w:r>
              <w:rPr>
                <w:sz w:val="15"/>
              </w:rPr>
              <w:t>2022*</w:t>
            </w:r>
          </w:p>
        </w:tc>
        <w:tc>
          <w:tcPr>
            <w:tcW w:w="470" w:type="pct"/>
          </w:tcPr>
          <w:p w14:paraId="760559AA" w14:textId="77777777" w:rsidR="00EB7374" w:rsidRPr="0009144C" w:rsidRDefault="00EB7374" w:rsidP="00153C22">
            <w:pPr>
              <w:jc w:val="center"/>
              <w:rPr>
                <w:sz w:val="15"/>
                <w:szCs w:val="15"/>
              </w:rPr>
            </w:pPr>
            <w:r>
              <w:rPr>
                <w:sz w:val="15"/>
              </w:rPr>
              <w:t>Yes</w:t>
            </w:r>
          </w:p>
        </w:tc>
        <w:tc>
          <w:tcPr>
            <w:tcW w:w="555" w:type="pct"/>
          </w:tcPr>
          <w:p w14:paraId="464DC705" w14:textId="77777777" w:rsidR="00EB7374" w:rsidRPr="0009144C" w:rsidRDefault="00EB7374" w:rsidP="00153C22">
            <w:pPr>
              <w:jc w:val="center"/>
              <w:rPr>
                <w:sz w:val="15"/>
                <w:szCs w:val="15"/>
              </w:rPr>
            </w:pPr>
            <w:r>
              <w:rPr>
                <w:sz w:val="15"/>
              </w:rPr>
              <w:t>No</w:t>
            </w:r>
          </w:p>
        </w:tc>
        <w:tc>
          <w:tcPr>
            <w:tcW w:w="679" w:type="pct"/>
          </w:tcPr>
          <w:p w14:paraId="30D8D2D3" w14:textId="77777777" w:rsidR="00EB7374" w:rsidRPr="0009144C" w:rsidRDefault="00EB7374" w:rsidP="00153C22">
            <w:pPr>
              <w:jc w:val="center"/>
              <w:rPr>
                <w:sz w:val="15"/>
                <w:szCs w:val="15"/>
              </w:rPr>
            </w:pPr>
            <w:r>
              <w:rPr>
                <w:sz w:val="15"/>
              </w:rPr>
              <w:t>No</w:t>
            </w:r>
          </w:p>
        </w:tc>
        <w:tc>
          <w:tcPr>
            <w:tcW w:w="690" w:type="pct"/>
          </w:tcPr>
          <w:p w14:paraId="091CB17C" w14:textId="77777777" w:rsidR="00EB7374" w:rsidRPr="0009144C" w:rsidRDefault="00EB7374" w:rsidP="00153C22">
            <w:pPr>
              <w:jc w:val="center"/>
              <w:rPr>
                <w:sz w:val="15"/>
                <w:szCs w:val="15"/>
              </w:rPr>
            </w:pPr>
            <w:r>
              <w:rPr>
                <w:sz w:val="15"/>
              </w:rPr>
              <w:t>FP</w:t>
            </w:r>
          </w:p>
        </w:tc>
        <w:tc>
          <w:tcPr>
            <w:tcW w:w="642" w:type="pct"/>
          </w:tcPr>
          <w:p w14:paraId="2CD1AACE" w14:textId="77777777" w:rsidR="00EB7374" w:rsidRPr="0009144C" w:rsidRDefault="00EB7374" w:rsidP="00153C22">
            <w:pPr>
              <w:jc w:val="center"/>
              <w:rPr>
                <w:sz w:val="15"/>
                <w:szCs w:val="15"/>
              </w:rPr>
            </w:pPr>
            <w:r>
              <w:rPr>
                <w:sz w:val="15"/>
              </w:rPr>
              <w:t>PD</w:t>
            </w:r>
          </w:p>
        </w:tc>
      </w:tr>
      <w:tr w:rsidR="00EB7374" w:rsidRPr="00CC405F" w14:paraId="02F6FA67" w14:textId="77777777" w:rsidTr="00C700EB">
        <w:trPr>
          <w:cnfStyle w:val="000000010000" w:firstRow="0" w:lastRow="0" w:firstColumn="0" w:lastColumn="0" w:oddVBand="0" w:evenVBand="0" w:oddHBand="0" w:evenHBand="1" w:firstRowFirstColumn="0" w:firstRowLastColumn="0" w:lastRowFirstColumn="0" w:lastRowLastColumn="0"/>
        </w:trPr>
        <w:tc>
          <w:tcPr>
            <w:tcW w:w="1289" w:type="pct"/>
          </w:tcPr>
          <w:p w14:paraId="44DE5A08" w14:textId="77777777" w:rsidR="00EB7374" w:rsidRPr="00CC405F" w:rsidRDefault="00EB7374" w:rsidP="00C700EB">
            <w:pPr>
              <w:jc w:val="left"/>
              <w:rPr>
                <w:sz w:val="15"/>
                <w:szCs w:val="15"/>
              </w:rPr>
            </w:pPr>
            <w:r>
              <w:rPr>
                <w:sz w:val="15"/>
              </w:rPr>
              <w:t xml:space="preserve">Sri Lanka </w:t>
            </w:r>
          </w:p>
        </w:tc>
        <w:tc>
          <w:tcPr>
            <w:tcW w:w="675" w:type="pct"/>
          </w:tcPr>
          <w:p w14:paraId="2130D0CF" w14:textId="77777777" w:rsidR="00EB7374" w:rsidRPr="00CC405F" w:rsidRDefault="00EB7374" w:rsidP="00C700EB">
            <w:pPr>
              <w:jc w:val="center"/>
              <w:rPr>
                <w:sz w:val="15"/>
                <w:szCs w:val="15"/>
              </w:rPr>
            </w:pPr>
            <w:r>
              <w:rPr>
                <w:sz w:val="15"/>
              </w:rPr>
              <w:t>2017</w:t>
            </w:r>
          </w:p>
        </w:tc>
        <w:tc>
          <w:tcPr>
            <w:tcW w:w="470" w:type="pct"/>
          </w:tcPr>
          <w:p w14:paraId="68C74EE4" w14:textId="77777777" w:rsidR="00EB7374" w:rsidRPr="00CC405F" w:rsidRDefault="00EB7374" w:rsidP="00C700EB">
            <w:pPr>
              <w:jc w:val="center"/>
              <w:rPr>
                <w:sz w:val="15"/>
                <w:szCs w:val="15"/>
              </w:rPr>
            </w:pPr>
            <w:r>
              <w:rPr>
                <w:sz w:val="15"/>
              </w:rPr>
              <w:t>Yes</w:t>
            </w:r>
          </w:p>
        </w:tc>
        <w:tc>
          <w:tcPr>
            <w:tcW w:w="555" w:type="pct"/>
          </w:tcPr>
          <w:p w14:paraId="412A7BC9" w14:textId="77777777" w:rsidR="00EB7374" w:rsidRPr="00CC405F" w:rsidRDefault="00EB7374" w:rsidP="00C700EB">
            <w:pPr>
              <w:jc w:val="center"/>
              <w:rPr>
                <w:sz w:val="15"/>
                <w:szCs w:val="15"/>
              </w:rPr>
            </w:pPr>
            <w:r>
              <w:rPr>
                <w:sz w:val="15"/>
              </w:rPr>
              <w:t>Cargo</w:t>
            </w:r>
          </w:p>
        </w:tc>
        <w:tc>
          <w:tcPr>
            <w:tcW w:w="679" w:type="pct"/>
          </w:tcPr>
          <w:p w14:paraId="15DBAAA2" w14:textId="77777777" w:rsidR="00EB7374" w:rsidRPr="00CC405F" w:rsidRDefault="00EB7374" w:rsidP="00C700EB">
            <w:pPr>
              <w:jc w:val="center"/>
              <w:rPr>
                <w:sz w:val="15"/>
                <w:szCs w:val="15"/>
              </w:rPr>
            </w:pPr>
            <w:r>
              <w:rPr>
                <w:sz w:val="15"/>
              </w:rPr>
              <w:t>No</w:t>
            </w:r>
          </w:p>
        </w:tc>
        <w:tc>
          <w:tcPr>
            <w:tcW w:w="690" w:type="pct"/>
          </w:tcPr>
          <w:p w14:paraId="272DCFCF" w14:textId="77777777" w:rsidR="00EB7374" w:rsidRPr="00CC405F" w:rsidRDefault="00EB7374" w:rsidP="00C700EB">
            <w:pPr>
              <w:jc w:val="center"/>
              <w:rPr>
                <w:b/>
                <w:bCs/>
                <w:sz w:val="15"/>
                <w:szCs w:val="15"/>
              </w:rPr>
            </w:pPr>
            <w:r>
              <w:rPr>
                <w:sz w:val="15"/>
              </w:rPr>
              <w:t>FP</w:t>
            </w:r>
          </w:p>
        </w:tc>
        <w:tc>
          <w:tcPr>
            <w:tcW w:w="642" w:type="pct"/>
          </w:tcPr>
          <w:p w14:paraId="238A1291" w14:textId="77777777" w:rsidR="00EB7374" w:rsidRPr="00CC405F" w:rsidRDefault="00EB7374" w:rsidP="00C700EB">
            <w:pPr>
              <w:jc w:val="center"/>
              <w:rPr>
                <w:b/>
                <w:bCs/>
                <w:sz w:val="15"/>
                <w:szCs w:val="15"/>
              </w:rPr>
            </w:pPr>
            <w:r>
              <w:rPr>
                <w:sz w:val="15"/>
              </w:rPr>
              <w:t>FD</w:t>
            </w:r>
          </w:p>
        </w:tc>
      </w:tr>
      <w:tr w:rsidR="00EB7374" w:rsidRPr="00CC405F" w14:paraId="4718510E" w14:textId="77777777" w:rsidTr="00C700EB">
        <w:tc>
          <w:tcPr>
            <w:tcW w:w="1289" w:type="pct"/>
          </w:tcPr>
          <w:p w14:paraId="57F0FDF5" w14:textId="77777777" w:rsidR="00EB7374" w:rsidRPr="00CC405F" w:rsidRDefault="00EB7374" w:rsidP="00C700EB">
            <w:pPr>
              <w:jc w:val="left"/>
              <w:rPr>
                <w:sz w:val="15"/>
                <w:szCs w:val="15"/>
              </w:rPr>
            </w:pPr>
            <w:r>
              <w:rPr>
                <w:sz w:val="15"/>
              </w:rPr>
              <w:t>South Africa (MoU)</w:t>
            </w:r>
          </w:p>
        </w:tc>
        <w:tc>
          <w:tcPr>
            <w:tcW w:w="675" w:type="pct"/>
          </w:tcPr>
          <w:p w14:paraId="534B9737" w14:textId="77777777" w:rsidR="00EB7374" w:rsidRPr="00CC405F" w:rsidRDefault="00EB7374" w:rsidP="00C700EB">
            <w:pPr>
              <w:jc w:val="center"/>
              <w:rPr>
                <w:sz w:val="15"/>
                <w:szCs w:val="15"/>
              </w:rPr>
            </w:pPr>
            <w:r>
              <w:rPr>
                <w:sz w:val="15"/>
              </w:rPr>
              <w:t>2017</w:t>
            </w:r>
          </w:p>
        </w:tc>
        <w:tc>
          <w:tcPr>
            <w:tcW w:w="470" w:type="pct"/>
          </w:tcPr>
          <w:p w14:paraId="15F50973" w14:textId="77777777" w:rsidR="00EB7374" w:rsidRPr="00CC405F" w:rsidRDefault="00EB7374" w:rsidP="00C700EB">
            <w:pPr>
              <w:jc w:val="center"/>
              <w:rPr>
                <w:sz w:val="15"/>
                <w:szCs w:val="15"/>
              </w:rPr>
            </w:pPr>
            <w:r>
              <w:rPr>
                <w:sz w:val="15"/>
              </w:rPr>
              <w:t>Cargo</w:t>
            </w:r>
          </w:p>
        </w:tc>
        <w:tc>
          <w:tcPr>
            <w:tcW w:w="555" w:type="pct"/>
          </w:tcPr>
          <w:p w14:paraId="74784CE7" w14:textId="77777777" w:rsidR="00EB7374" w:rsidRPr="00CC405F" w:rsidRDefault="00EB7374" w:rsidP="00C700EB">
            <w:pPr>
              <w:jc w:val="center"/>
              <w:rPr>
                <w:sz w:val="15"/>
                <w:szCs w:val="15"/>
              </w:rPr>
            </w:pPr>
            <w:r>
              <w:rPr>
                <w:sz w:val="15"/>
              </w:rPr>
              <w:t>No</w:t>
            </w:r>
          </w:p>
        </w:tc>
        <w:tc>
          <w:tcPr>
            <w:tcW w:w="679" w:type="pct"/>
          </w:tcPr>
          <w:p w14:paraId="462B28BD" w14:textId="77777777" w:rsidR="00EB7374" w:rsidRPr="00CC405F" w:rsidRDefault="00EB7374" w:rsidP="00C700EB">
            <w:pPr>
              <w:jc w:val="center"/>
              <w:rPr>
                <w:sz w:val="15"/>
                <w:szCs w:val="15"/>
              </w:rPr>
            </w:pPr>
            <w:r>
              <w:rPr>
                <w:sz w:val="15"/>
              </w:rPr>
              <w:t>No</w:t>
            </w:r>
          </w:p>
        </w:tc>
        <w:tc>
          <w:tcPr>
            <w:tcW w:w="690" w:type="pct"/>
          </w:tcPr>
          <w:p w14:paraId="00C6A704" w14:textId="77777777" w:rsidR="00EB7374" w:rsidRPr="00CC405F" w:rsidRDefault="00EB7374" w:rsidP="00C700EB">
            <w:pPr>
              <w:jc w:val="center"/>
              <w:rPr>
                <w:sz w:val="15"/>
                <w:szCs w:val="15"/>
              </w:rPr>
            </w:pPr>
            <w:r>
              <w:rPr>
                <w:sz w:val="15"/>
              </w:rPr>
              <w:t>FP</w:t>
            </w:r>
          </w:p>
        </w:tc>
        <w:tc>
          <w:tcPr>
            <w:tcW w:w="642" w:type="pct"/>
          </w:tcPr>
          <w:p w14:paraId="6001FB73" w14:textId="77777777" w:rsidR="00EB7374" w:rsidRPr="00CC405F" w:rsidRDefault="00EB7374" w:rsidP="00C700EB">
            <w:pPr>
              <w:jc w:val="center"/>
              <w:rPr>
                <w:sz w:val="15"/>
                <w:szCs w:val="15"/>
              </w:rPr>
            </w:pPr>
            <w:r>
              <w:rPr>
                <w:sz w:val="15"/>
              </w:rPr>
              <w:t>FD</w:t>
            </w:r>
          </w:p>
        </w:tc>
      </w:tr>
      <w:tr w:rsidR="00EB7374" w:rsidRPr="00CC405F" w14:paraId="43BC978A" w14:textId="77777777" w:rsidTr="00C700EB">
        <w:trPr>
          <w:cnfStyle w:val="000000010000" w:firstRow="0" w:lastRow="0" w:firstColumn="0" w:lastColumn="0" w:oddVBand="0" w:evenVBand="0" w:oddHBand="0" w:evenHBand="1" w:firstRowFirstColumn="0" w:firstRowLastColumn="0" w:lastRowFirstColumn="0" w:lastRowLastColumn="0"/>
        </w:trPr>
        <w:tc>
          <w:tcPr>
            <w:tcW w:w="1289" w:type="pct"/>
          </w:tcPr>
          <w:p w14:paraId="0AEA6912" w14:textId="77777777" w:rsidR="00EB7374" w:rsidRPr="00CC405F" w:rsidRDefault="00EB7374" w:rsidP="00C700EB">
            <w:pPr>
              <w:jc w:val="left"/>
              <w:rPr>
                <w:sz w:val="15"/>
                <w:szCs w:val="15"/>
              </w:rPr>
            </w:pPr>
            <w:r>
              <w:rPr>
                <w:sz w:val="15"/>
              </w:rPr>
              <w:t>Sweden (MoU)</w:t>
            </w:r>
          </w:p>
        </w:tc>
        <w:tc>
          <w:tcPr>
            <w:tcW w:w="675" w:type="pct"/>
          </w:tcPr>
          <w:p w14:paraId="5DCD88FE" w14:textId="77777777" w:rsidR="00EB7374" w:rsidRPr="00CC405F" w:rsidRDefault="00EB7374" w:rsidP="00C700EB">
            <w:pPr>
              <w:jc w:val="center"/>
              <w:rPr>
                <w:sz w:val="15"/>
                <w:szCs w:val="15"/>
              </w:rPr>
            </w:pPr>
            <w:r>
              <w:rPr>
                <w:sz w:val="15"/>
              </w:rPr>
              <w:t>2016</w:t>
            </w:r>
          </w:p>
        </w:tc>
        <w:tc>
          <w:tcPr>
            <w:tcW w:w="470" w:type="pct"/>
          </w:tcPr>
          <w:p w14:paraId="310D4D9E" w14:textId="77777777" w:rsidR="00EB7374" w:rsidRPr="00CC405F" w:rsidRDefault="00EB7374" w:rsidP="00C700EB">
            <w:pPr>
              <w:jc w:val="center"/>
              <w:rPr>
                <w:sz w:val="15"/>
                <w:szCs w:val="15"/>
              </w:rPr>
            </w:pPr>
            <w:r>
              <w:rPr>
                <w:sz w:val="15"/>
              </w:rPr>
              <w:t>Yes</w:t>
            </w:r>
          </w:p>
        </w:tc>
        <w:tc>
          <w:tcPr>
            <w:tcW w:w="555" w:type="pct"/>
          </w:tcPr>
          <w:p w14:paraId="66677BF7" w14:textId="77777777" w:rsidR="00EB7374" w:rsidRPr="00CC405F" w:rsidRDefault="00EB7374" w:rsidP="00C700EB">
            <w:pPr>
              <w:jc w:val="center"/>
              <w:rPr>
                <w:sz w:val="15"/>
                <w:szCs w:val="15"/>
              </w:rPr>
            </w:pPr>
            <w:r>
              <w:rPr>
                <w:sz w:val="15"/>
              </w:rPr>
              <w:t>No</w:t>
            </w:r>
          </w:p>
        </w:tc>
        <w:tc>
          <w:tcPr>
            <w:tcW w:w="679" w:type="pct"/>
          </w:tcPr>
          <w:p w14:paraId="2B0B9D35" w14:textId="77777777" w:rsidR="00EB7374" w:rsidRPr="00CC405F" w:rsidRDefault="00EB7374" w:rsidP="00C700EB">
            <w:pPr>
              <w:jc w:val="center"/>
              <w:rPr>
                <w:sz w:val="15"/>
                <w:szCs w:val="15"/>
              </w:rPr>
            </w:pPr>
            <w:r>
              <w:rPr>
                <w:sz w:val="15"/>
              </w:rPr>
              <w:t>No</w:t>
            </w:r>
          </w:p>
        </w:tc>
        <w:tc>
          <w:tcPr>
            <w:tcW w:w="690" w:type="pct"/>
          </w:tcPr>
          <w:p w14:paraId="779AB1FF" w14:textId="77777777" w:rsidR="00EB7374" w:rsidRPr="00CC405F" w:rsidRDefault="00EB7374" w:rsidP="00C700EB">
            <w:pPr>
              <w:jc w:val="center"/>
              <w:rPr>
                <w:b/>
                <w:bCs/>
                <w:sz w:val="15"/>
                <w:szCs w:val="15"/>
              </w:rPr>
            </w:pPr>
            <w:r>
              <w:rPr>
                <w:sz w:val="15"/>
              </w:rPr>
              <w:t>FP</w:t>
            </w:r>
          </w:p>
        </w:tc>
        <w:tc>
          <w:tcPr>
            <w:tcW w:w="642" w:type="pct"/>
          </w:tcPr>
          <w:p w14:paraId="04AB893D" w14:textId="77777777" w:rsidR="00EB7374" w:rsidRPr="00CC405F" w:rsidRDefault="00EB7374" w:rsidP="00C700EB">
            <w:pPr>
              <w:jc w:val="center"/>
              <w:rPr>
                <w:b/>
                <w:bCs/>
                <w:sz w:val="15"/>
                <w:szCs w:val="15"/>
              </w:rPr>
            </w:pPr>
            <w:r>
              <w:rPr>
                <w:sz w:val="15"/>
              </w:rPr>
              <w:t>FD</w:t>
            </w:r>
          </w:p>
        </w:tc>
      </w:tr>
      <w:tr w:rsidR="00EB7374" w:rsidRPr="00CC405F" w14:paraId="64D0C4AF" w14:textId="77777777" w:rsidTr="00C700EB">
        <w:tc>
          <w:tcPr>
            <w:tcW w:w="1289" w:type="pct"/>
          </w:tcPr>
          <w:p w14:paraId="350E73AF" w14:textId="77777777" w:rsidR="00EB7374" w:rsidRPr="00CC405F" w:rsidRDefault="00EB7374" w:rsidP="00C700EB">
            <w:pPr>
              <w:jc w:val="left"/>
              <w:rPr>
                <w:sz w:val="15"/>
                <w:szCs w:val="15"/>
              </w:rPr>
            </w:pPr>
            <w:r>
              <w:rPr>
                <w:sz w:val="15"/>
              </w:rPr>
              <w:t>Switzerland (ASA/MoU)</w:t>
            </w:r>
          </w:p>
        </w:tc>
        <w:tc>
          <w:tcPr>
            <w:tcW w:w="675" w:type="pct"/>
          </w:tcPr>
          <w:p w14:paraId="0678BF4B" w14:textId="77777777" w:rsidR="00EB7374" w:rsidRPr="00CC405F" w:rsidRDefault="00EB7374" w:rsidP="00C700EB">
            <w:pPr>
              <w:jc w:val="center"/>
              <w:rPr>
                <w:sz w:val="15"/>
                <w:szCs w:val="15"/>
              </w:rPr>
            </w:pPr>
            <w:r>
              <w:rPr>
                <w:sz w:val="15"/>
              </w:rPr>
              <w:t>2000/2021</w:t>
            </w:r>
          </w:p>
        </w:tc>
        <w:tc>
          <w:tcPr>
            <w:tcW w:w="470" w:type="pct"/>
          </w:tcPr>
          <w:p w14:paraId="614F54FE" w14:textId="77777777" w:rsidR="00EB7374" w:rsidRPr="00CC405F" w:rsidRDefault="00EB7374" w:rsidP="00C700EB">
            <w:pPr>
              <w:jc w:val="center"/>
              <w:rPr>
                <w:sz w:val="15"/>
                <w:szCs w:val="15"/>
              </w:rPr>
            </w:pPr>
            <w:r>
              <w:rPr>
                <w:sz w:val="15"/>
              </w:rPr>
              <w:t>Yes</w:t>
            </w:r>
          </w:p>
        </w:tc>
        <w:tc>
          <w:tcPr>
            <w:tcW w:w="555" w:type="pct"/>
          </w:tcPr>
          <w:p w14:paraId="3B7C8FAE" w14:textId="77777777" w:rsidR="00EB7374" w:rsidRPr="00CC405F" w:rsidRDefault="00EB7374" w:rsidP="00C700EB">
            <w:pPr>
              <w:jc w:val="center"/>
              <w:rPr>
                <w:sz w:val="15"/>
                <w:szCs w:val="15"/>
              </w:rPr>
            </w:pPr>
            <w:r>
              <w:rPr>
                <w:sz w:val="15"/>
              </w:rPr>
              <w:t>No</w:t>
            </w:r>
          </w:p>
        </w:tc>
        <w:tc>
          <w:tcPr>
            <w:tcW w:w="679" w:type="pct"/>
          </w:tcPr>
          <w:p w14:paraId="34A0E645" w14:textId="77777777" w:rsidR="00EB7374" w:rsidRPr="00CC405F" w:rsidRDefault="00EB7374" w:rsidP="00C700EB">
            <w:pPr>
              <w:jc w:val="center"/>
              <w:rPr>
                <w:sz w:val="15"/>
                <w:szCs w:val="15"/>
              </w:rPr>
            </w:pPr>
            <w:r>
              <w:rPr>
                <w:sz w:val="15"/>
              </w:rPr>
              <w:t>No</w:t>
            </w:r>
          </w:p>
        </w:tc>
        <w:tc>
          <w:tcPr>
            <w:tcW w:w="690" w:type="pct"/>
          </w:tcPr>
          <w:p w14:paraId="1BAEB9AA" w14:textId="77777777" w:rsidR="00EB7374" w:rsidRPr="00CC405F" w:rsidRDefault="00EB7374" w:rsidP="00C700EB">
            <w:pPr>
              <w:jc w:val="center"/>
              <w:rPr>
                <w:sz w:val="15"/>
                <w:szCs w:val="15"/>
              </w:rPr>
            </w:pPr>
            <w:r>
              <w:rPr>
                <w:sz w:val="15"/>
              </w:rPr>
              <w:t>PD</w:t>
            </w:r>
          </w:p>
        </w:tc>
        <w:tc>
          <w:tcPr>
            <w:tcW w:w="642" w:type="pct"/>
          </w:tcPr>
          <w:p w14:paraId="19156502" w14:textId="77777777" w:rsidR="00EB7374" w:rsidRPr="00CC405F" w:rsidRDefault="00EB7374" w:rsidP="00C700EB">
            <w:pPr>
              <w:jc w:val="center"/>
              <w:rPr>
                <w:sz w:val="15"/>
                <w:szCs w:val="15"/>
              </w:rPr>
            </w:pPr>
            <w:r>
              <w:rPr>
                <w:sz w:val="15"/>
              </w:rPr>
              <w:t>PD</w:t>
            </w:r>
          </w:p>
        </w:tc>
      </w:tr>
      <w:tr w:rsidR="00EB7374" w:rsidRPr="00CC405F" w14:paraId="103B7991" w14:textId="77777777" w:rsidTr="00C700EB">
        <w:trPr>
          <w:cnfStyle w:val="000000010000" w:firstRow="0" w:lastRow="0" w:firstColumn="0" w:lastColumn="0" w:oddVBand="0" w:evenVBand="0" w:oddHBand="0" w:evenHBand="1" w:firstRowFirstColumn="0" w:firstRowLastColumn="0" w:lastRowFirstColumn="0" w:lastRowLastColumn="0"/>
        </w:trPr>
        <w:tc>
          <w:tcPr>
            <w:tcW w:w="1289" w:type="pct"/>
          </w:tcPr>
          <w:p w14:paraId="381647F0" w14:textId="77777777" w:rsidR="00EB7374" w:rsidRPr="00CC405F" w:rsidRDefault="00EB7374" w:rsidP="00C700EB">
            <w:pPr>
              <w:jc w:val="left"/>
              <w:rPr>
                <w:sz w:val="15"/>
                <w:szCs w:val="15"/>
              </w:rPr>
            </w:pPr>
            <w:r>
              <w:rPr>
                <w:sz w:val="15"/>
              </w:rPr>
              <w:t>Trinidad and Tobago (Final Minutes)</w:t>
            </w:r>
          </w:p>
        </w:tc>
        <w:tc>
          <w:tcPr>
            <w:tcW w:w="675" w:type="pct"/>
          </w:tcPr>
          <w:p w14:paraId="49D29E46" w14:textId="77777777" w:rsidR="00EB7374" w:rsidRPr="00CC405F" w:rsidRDefault="00EB7374" w:rsidP="00C700EB">
            <w:pPr>
              <w:jc w:val="center"/>
              <w:rPr>
                <w:sz w:val="15"/>
                <w:szCs w:val="15"/>
              </w:rPr>
            </w:pPr>
            <w:r>
              <w:rPr>
                <w:sz w:val="15"/>
              </w:rPr>
              <w:t>1992</w:t>
            </w:r>
          </w:p>
        </w:tc>
        <w:tc>
          <w:tcPr>
            <w:tcW w:w="470" w:type="pct"/>
          </w:tcPr>
          <w:p w14:paraId="300EC656" w14:textId="77777777" w:rsidR="00EB7374" w:rsidRPr="00CC405F" w:rsidRDefault="00EB7374" w:rsidP="00C700EB">
            <w:pPr>
              <w:jc w:val="center"/>
              <w:rPr>
                <w:sz w:val="15"/>
                <w:szCs w:val="15"/>
              </w:rPr>
            </w:pPr>
            <w:r>
              <w:rPr>
                <w:sz w:val="15"/>
              </w:rPr>
              <w:t>Yes</w:t>
            </w:r>
          </w:p>
        </w:tc>
        <w:tc>
          <w:tcPr>
            <w:tcW w:w="555" w:type="pct"/>
          </w:tcPr>
          <w:p w14:paraId="41DBA217" w14:textId="77777777" w:rsidR="00EB7374" w:rsidRPr="00CC405F" w:rsidRDefault="00EB7374" w:rsidP="00C700EB">
            <w:pPr>
              <w:jc w:val="center"/>
              <w:rPr>
                <w:sz w:val="15"/>
                <w:szCs w:val="15"/>
              </w:rPr>
            </w:pPr>
            <w:r>
              <w:rPr>
                <w:sz w:val="15"/>
              </w:rPr>
              <w:t>No</w:t>
            </w:r>
          </w:p>
        </w:tc>
        <w:tc>
          <w:tcPr>
            <w:tcW w:w="679" w:type="pct"/>
          </w:tcPr>
          <w:p w14:paraId="21E625D2" w14:textId="77777777" w:rsidR="00EB7374" w:rsidRPr="00CC405F" w:rsidRDefault="00EB7374" w:rsidP="00C700EB">
            <w:pPr>
              <w:jc w:val="center"/>
              <w:rPr>
                <w:sz w:val="15"/>
                <w:szCs w:val="15"/>
              </w:rPr>
            </w:pPr>
            <w:r>
              <w:rPr>
                <w:sz w:val="15"/>
              </w:rPr>
              <w:t>No</w:t>
            </w:r>
          </w:p>
        </w:tc>
        <w:tc>
          <w:tcPr>
            <w:tcW w:w="690" w:type="pct"/>
          </w:tcPr>
          <w:p w14:paraId="1545BE7C" w14:textId="77777777" w:rsidR="00EB7374" w:rsidRPr="00CC405F" w:rsidRDefault="00EB7374" w:rsidP="00C700EB">
            <w:pPr>
              <w:jc w:val="center"/>
              <w:rPr>
                <w:sz w:val="15"/>
                <w:szCs w:val="15"/>
              </w:rPr>
            </w:pPr>
            <w:r>
              <w:rPr>
                <w:sz w:val="15"/>
              </w:rPr>
              <w:t>PD</w:t>
            </w:r>
          </w:p>
        </w:tc>
        <w:tc>
          <w:tcPr>
            <w:tcW w:w="642" w:type="pct"/>
          </w:tcPr>
          <w:p w14:paraId="2FA962AE" w14:textId="77777777" w:rsidR="00EB7374" w:rsidRPr="00CC405F" w:rsidRDefault="00EB7374" w:rsidP="00C700EB">
            <w:pPr>
              <w:jc w:val="center"/>
              <w:rPr>
                <w:sz w:val="15"/>
                <w:szCs w:val="15"/>
              </w:rPr>
            </w:pPr>
            <w:r>
              <w:rPr>
                <w:sz w:val="15"/>
              </w:rPr>
              <w:t>PD</w:t>
            </w:r>
          </w:p>
        </w:tc>
      </w:tr>
      <w:tr w:rsidR="00EB7374" w:rsidRPr="00CC405F" w14:paraId="3B3D0704" w14:textId="77777777" w:rsidTr="00C700EB">
        <w:tc>
          <w:tcPr>
            <w:tcW w:w="1289" w:type="pct"/>
          </w:tcPr>
          <w:p w14:paraId="54B366AC" w14:textId="77777777" w:rsidR="00EB7374" w:rsidRPr="00CC405F" w:rsidRDefault="00EB7374" w:rsidP="00C700EB">
            <w:pPr>
              <w:jc w:val="left"/>
              <w:rPr>
                <w:sz w:val="15"/>
                <w:szCs w:val="15"/>
              </w:rPr>
            </w:pPr>
            <w:r>
              <w:rPr>
                <w:sz w:val="15"/>
              </w:rPr>
              <w:t>Turkey</w:t>
            </w:r>
          </w:p>
        </w:tc>
        <w:tc>
          <w:tcPr>
            <w:tcW w:w="675" w:type="pct"/>
          </w:tcPr>
          <w:p w14:paraId="0176BAC4" w14:textId="77777777" w:rsidR="00EB7374" w:rsidRPr="00CC405F" w:rsidRDefault="00EB7374" w:rsidP="00C700EB">
            <w:pPr>
              <w:jc w:val="center"/>
              <w:rPr>
                <w:sz w:val="15"/>
                <w:szCs w:val="15"/>
              </w:rPr>
            </w:pPr>
            <w:r>
              <w:rPr>
                <w:sz w:val="15"/>
              </w:rPr>
              <w:t>2014</w:t>
            </w:r>
          </w:p>
        </w:tc>
        <w:tc>
          <w:tcPr>
            <w:tcW w:w="470" w:type="pct"/>
          </w:tcPr>
          <w:p w14:paraId="42E7A25B" w14:textId="77777777" w:rsidR="00EB7374" w:rsidRPr="00CC405F" w:rsidRDefault="00EB7374" w:rsidP="00C700EB">
            <w:pPr>
              <w:jc w:val="center"/>
              <w:rPr>
                <w:sz w:val="15"/>
                <w:szCs w:val="15"/>
              </w:rPr>
            </w:pPr>
            <w:r>
              <w:rPr>
                <w:sz w:val="15"/>
              </w:rPr>
              <w:t>Yes</w:t>
            </w:r>
          </w:p>
        </w:tc>
        <w:tc>
          <w:tcPr>
            <w:tcW w:w="555" w:type="pct"/>
          </w:tcPr>
          <w:p w14:paraId="4B4C5CE5" w14:textId="77777777" w:rsidR="00EB7374" w:rsidRPr="00CC405F" w:rsidRDefault="00EB7374" w:rsidP="00C700EB">
            <w:pPr>
              <w:jc w:val="center"/>
              <w:rPr>
                <w:sz w:val="15"/>
                <w:szCs w:val="15"/>
              </w:rPr>
            </w:pPr>
            <w:r>
              <w:rPr>
                <w:sz w:val="15"/>
              </w:rPr>
              <w:t>No</w:t>
            </w:r>
          </w:p>
        </w:tc>
        <w:tc>
          <w:tcPr>
            <w:tcW w:w="679" w:type="pct"/>
          </w:tcPr>
          <w:p w14:paraId="4B948858" w14:textId="77777777" w:rsidR="00EB7374" w:rsidRPr="00CC405F" w:rsidRDefault="00EB7374" w:rsidP="00C700EB">
            <w:pPr>
              <w:jc w:val="center"/>
              <w:rPr>
                <w:sz w:val="15"/>
                <w:szCs w:val="15"/>
              </w:rPr>
            </w:pPr>
            <w:r>
              <w:rPr>
                <w:sz w:val="15"/>
              </w:rPr>
              <w:t>No</w:t>
            </w:r>
          </w:p>
        </w:tc>
        <w:tc>
          <w:tcPr>
            <w:tcW w:w="690" w:type="pct"/>
          </w:tcPr>
          <w:p w14:paraId="1C3F78EE" w14:textId="77777777" w:rsidR="00EB7374" w:rsidRPr="00CC405F" w:rsidRDefault="00EB7374" w:rsidP="00C700EB">
            <w:pPr>
              <w:jc w:val="center"/>
              <w:rPr>
                <w:sz w:val="15"/>
                <w:szCs w:val="15"/>
              </w:rPr>
            </w:pPr>
            <w:r>
              <w:rPr>
                <w:sz w:val="15"/>
              </w:rPr>
              <w:t>FP</w:t>
            </w:r>
          </w:p>
        </w:tc>
        <w:tc>
          <w:tcPr>
            <w:tcW w:w="642" w:type="pct"/>
          </w:tcPr>
          <w:p w14:paraId="4A0EF796" w14:textId="77777777" w:rsidR="00EB7374" w:rsidRPr="00CC405F" w:rsidRDefault="00EB7374" w:rsidP="00C700EB">
            <w:pPr>
              <w:jc w:val="center"/>
              <w:rPr>
                <w:sz w:val="15"/>
                <w:szCs w:val="15"/>
              </w:rPr>
            </w:pPr>
            <w:r>
              <w:rPr>
                <w:sz w:val="15"/>
              </w:rPr>
              <w:t>FD</w:t>
            </w:r>
          </w:p>
        </w:tc>
      </w:tr>
      <w:tr w:rsidR="00EB7374" w:rsidRPr="0009144C" w14:paraId="6ACD0CF2" w14:textId="77777777" w:rsidTr="00153C22">
        <w:trPr>
          <w:cnfStyle w:val="000000010000" w:firstRow="0" w:lastRow="0" w:firstColumn="0" w:lastColumn="0" w:oddVBand="0" w:evenVBand="0" w:oddHBand="0" w:evenHBand="1" w:firstRowFirstColumn="0" w:firstRowLastColumn="0" w:lastRowFirstColumn="0" w:lastRowLastColumn="0"/>
        </w:trPr>
        <w:tc>
          <w:tcPr>
            <w:tcW w:w="1289" w:type="pct"/>
          </w:tcPr>
          <w:p w14:paraId="2F42EFE8" w14:textId="77777777" w:rsidR="00EB7374" w:rsidRDefault="00EB7374" w:rsidP="00153C22">
            <w:pPr>
              <w:jc w:val="left"/>
              <w:rPr>
                <w:sz w:val="15"/>
                <w:szCs w:val="15"/>
              </w:rPr>
            </w:pPr>
            <w:r>
              <w:rPr>
                <w:sz w:val="15"/>
              </w:rPr>
              <w:t>United Arab Emirates</w:t>
            </w:r>
          </w:p>
          <w:p w14:paraId="35FA6DC0" w14:textId="77777777" w:rsidR="00EB7374" w:rsidRPr="0009144C" w:rsidRDefault="00EB7374" w:rsidP="00153C22">
            <w:pPr>
              <w:jc w:val="left"/>
              <w:rPr>
                <w:sz w:val="15"/>
                <w:szCs w:val="15"/>
              </w:rPr>
            </w:pPr>
            <w:r>
              <w:rPr>
                <w:sz w:val="15"/>
              </w:rPr>
              <w:t xml:space="preserve"> Dubai (MoU)</w:t>
            </w:r>
          </w:p>
        </w:tc>
        <w:tc>
          <w:tcPr>
            <w:tcW w:w="675" w:type="pct"/>
          </w:tcPr>
          <w:p w14:paraId="635129C0" w14:textId="77777777" w:rsidR="00EB7374" w:rsidRDefault="00EB7374" w:rsidP="00153C22">
            <w:pPr>
              <w:jc w:val="center"/>
              <w:rPr>
                <w:sz w:val="15"/>
                <w:szCs w:val="15"/>
              </w:rPr>
            </w:pPr>
            <w:r>
              <w:rPr>
                <w:sz w:val="15"/>
              </w:rPr>
              <w:t>2014/2021*</w:t>
            </w:r>
          </w:p>
          <w:p w14:paraId="3BBBA422" w14:textId="77777777" w:rsidR="00EB7374" w:rsidRPr="0009144C" w:rsidRDefault="00EB7374" w:rsidP="00153C22">
            <w:pPr>
              <w:jc w:val="center"/>
              <w:rPr>
                <w:sz w:val="15"/>
                <w:szCs w:val="15"/>
              </w:rPr>
            </w:pPr>
            <w:r>
              <w:rPr>
                <w:sz w:val="15"/>
              </w:rPr>
              <w:t>2007</w:t>
            </w:r>
          </w:p>
        </w:tc>
        <w:tc>
          <w:tcPr>
            <w:tcW w:w="470" w:type="pct"/>
          </w:tcPr>
          <w:p w14:paraId="28949015" w14:textId="77777777" w:rsidR="00EB7374" w:rsidRDefault="00EB7374" w:rsidP="00153C22">
            <w:pPr>
              <w:jc w:val="center"/>
              <w:rPr>
                <w:sz w:val="15"/>
                <w:szCs w:val="15"/>
              </w:rPr>
            </w:pPr>
            <w:r>
              <w:rPr>
                <w:sz w:val="15"/>
              </w:rPr>
              <w:t>Yes</w:t>
            </w:r>
          </w:p>
          <w:p w14:paraId="66684666" w14:textId="77777777" w:rsidR="00EB7374" w:rsidRPr="0009144C" w:rsidRDefault="00EB7374" w:rsidP="00153C22">
            <w:pPr>
              <w:jc w:val="center"/>
              <w:rPr>
                <w:sz w:val="15"/>
                <w:szCs w:val="15"/>
              </w:rPr>
            </w:pPr>
            <w:r>
              <w:rPr>
                <w:sz w:val="15"/>
              </w:rPr>
              <w:t>Yes</w:t>
            </w:r>
          </w:p>
        </w:tc>
        <w:tc>
          <w:tcPr>
            <w:tcW w:w="555" w:type="pct"/>
          </w:tcPr>
          <w:p w14:paraId="4961AFEA" w14:textId="77777777" w:rsidR="00EB7374" w:rsidRDefault="00EB7374" w:rsidP="00153C22">
            <w:pPr>
              <w:jc w:val="center"/>
              <w:rPr>
                <w:sz w:val="15"/>
                <w:szCs w:val="15"/>
              </w:rPr>
            </w:pPr>
            <w:r>
              <w:rPr>
                <w:sz w:val="15"/>
              </w:rPr>
              <w:t>Cargo</w:t>
            </w:r>
          </w:p>
          <w:p w14:paraId="43A67D53" w14:textId="77777777" w:rsidR="00EB7374" w:rsidRPr="0009144C" w:rsidRDefault="00EB7374" w:rsidP="00153C22">
            <w:pPr>
              <w:jc w:val="center"/>
              <w:rPr>
                <w:sz w:val="15"/>
                <w:szCs w:val="15"/>
              </w:rPr>
            </w:pPr>
            <w:r>
              <w:rPr>
                <w:sz w:val="15"/>
              </w:rPr>
              <w:t>No</w:t>
            </w:r>
          </w:p>
        </w:tc>
        <w:tc>
          <w:tcPr>
            <w:tcW w:w="679" w:type="pct"/>
          </w:tcPr>
          <w:p w14:paraId="6522A068" w14:textId="77777777" w:rsidR="00EB7374" w:rsidRDefault="00EB7374" w:rsidP="00153C22">
            <w:pPr>
              <w:jc w:val="center"/>
              <w:rPr>
                <w:sz w:val="15"/>
                <w:szCs w:val="15"/>
              </w:rPr>
            </w:pPr>
            <w:r>
              <w:rPr>
                <w:sz w:val="15"/>
              </w:rPr>
              <w:t>No</w:t>
            </w:r>
          </w:p>
          <w:p w14:paraId="7C70AC04" w14:textId="77777777" w:rsidR="00EB7374" w:rsidRPr="0009144C" w:rsidRDefault="00EB7374" w:rsidP="00153C22">
            <w:pPr>
              <w:jc w:val="center"/>
              <w:rPr>
                <w:sz w:val="15"/>
                <w:szCs w:val="15"/>
              </w:rPr>
            </w:pPr>
            <w:r>
              <w:rPr>
                <w:sz w:val="15"/>
              </w:rPr>
              <w:t>No</w:t>
            </w:r>
          </w:p>
        </w:tc>
        <w:tc>
          <w:tcPr>
            <w:tcW w:w="690" w:type="pct"/>
          </w:tcPr>
          <w:p w14:paraId="0984076C" w14:textId="77777777" w:rsidR="00EB7374" w:rsidRDefault="00EB7374" w:rsidP="00153C22">
            <w:pPr>
              <w:jc w:val="center"/>
              <w:rPr>
                <w:sz w:val="15"/>
                <w:szCs w:val="15"/>
              </w:rPr>
            </w:pPr>
            <w:r>
              <w:rPr>
                <w:sz w:val="15"/>
              </w:rPr>
              <w:t>FP</w:t>
            </w:r>
          </w:p>
          <w:p w14:paraId="291D785A" w14:textId="77777777" w:rsidR="00EB7374" w:rsidRPr="0009144C" w:rsidRDefault="00EB7374" w:rsidP="00153C22">
            <w:pPr>
              <w:jc w:val="center"/>
              <w:rPr>
                <w:b/>
                <w:bCs/>
                <w:sz w:val="15"/>
                <w:szCs w:val="15"/>
              </w:rPr>
            </w:pPr>
            <w:r>
              <w:rPr>
                <w:sz w:val="15"/>
              </w:rPr>
              <w:t>FP</w:t>
            </w:r>
          </w:p>
        </w:tc>
        <w:tc>
          <w:tcPr>
            <w:tcW w:w="642" w:type="pct"/>
          </w:tcPr>
          <w:p w14:paraId="6A9EDE6C" w14:textId="77777777" w:rsidR="00EB7374" w:rsidRDefault="00EB7374" w:rsidP="00153C22">
            <w:pPr>
              <w:jc w:val="center"/>
              <w:rPr>
                <w:sz w:val="15"/>
                <w:szCs w:val="15"/>
              </w:rPr>
            </w:pPr>
            <w:r>
              <w:rPr>
                <w:sz w:val="15"/>
              </w:rPr>
              <w:t>FD</w:t>
            </w:r>
          </w:p>
          <w:p w14:paraId="6BC7CB3E" w14:textId="77777777" w:rsidR="00EB7374" w:rsidRPr="0009144C" w:rsidRDefault="00EB7374" w:rsidP="00153C22">
            <w:pPr>
              <w:jc w:val="center"/>
              <w:rPr>
                <w:b/>
                <w:bCs/>
                <w:sz w:val="15"/>
                <w:szCs w:val="15"/>
              </w:rPr>
            </w:pPr>
            <w:r>
              <w:rPr>
                <w:sz w:val="15"/>
              </w:rPr>
              <w:t>FD</w:t>
            </w:r>
          </w:p>
        </w:tc>
      </w:tr>
      <w:tr w:rsidR="00EB7374" w:rsidRPr="00CC405F" w14:paraId="36ED3472" w14:textId="77777777" w:rsidTr="00153C22">
        <w:tc>
          <w:tcPr>
            <w:tcW w:w="1289" w:type="pct"/>
          </w:tcPr>
          <w:p w14:paraId="577690D4" w14:textId="77777777" w:rsidR="00EB7374" w:rsidRPr="00CC405F" w:rsidRDefault="00EB7374" w:rsidP="00153C22">
            <w:pPr>
              <w:jc w:val="left"/>
              <w:rPr>
                <w:sz w:val="15"/>
                <w:szCs w:val="15"/>
              </w:rPr>
            </w:pPr>
            <w:r>
              <w:rPr>
                <w:sz w:val="15"/>
              </w:rPr>
              <w:t>United Kingdom</w:t>
            </w:r>
          </w:p>
        </w:tc>
        <w:tc>
          <w:tcPr>
            <w:tcW w:w="675" w:type="pct"/>
          </w:tcPr>
          <w:p w14:paraId="7A9F0B06" w14:textId="77777777" w:rsidR="00EB7374" w:rsidRPr="00CC405F" w:rsidRDefault="00EB7374" w:rsidP="00153C22">
            <w:pPr>
              <w:jc w:val="center"/>
              <w:rPr>
                <w:sz w:val="15"/>
                <w:szCs w:val="15"/>
              </w:rPr>
            </w:pPr>
            <w:r>
              <w:rPr>
                <w:sz w:val="15"/>
              </w:rPr>
              <w:t>2006</w:t>
            </w:r>
          </w:p>
        </w:tc>
        <w:tc>
          <w:tcPr>
            <w:tcW w:w="470" w:type="pct"/>
          </w:tcPr>
          <w:p w14:paraId="4276E89B" w14:textId="77777777" w:rsidR="00EB7374" w:rsidRPr="00CC405F" w:rsidDel="00C6314B" w:rsidRDefault="00EB7374" w:rsidP="00153C22">
            <w:pPr>
              <w:jc w:val="center"/>
              <w:rPr>
                <w:sz w:val="15"/>
                <w:szCs w:val="15"/>
              </w:rPr>
            </w:pPr>
            <w:r>
              <w:rPr>
                <w:sz w:val="15"/>
              </w:rPr>
              <w:t>Yes</w:t>
            </w:r>
          </w:p>
        </w:tc>
        <w:tc>
          <w:tcPr>
            <w:tcW w:w="555" w:type="pct"/>
          </w:tcPr>
          <w:p w14:paraId="66C64CDC" w14:textId="77777777" w:rsidR="00EB7374" w:rsidRPr="00CC405F" w:rsidRDefault="00EB7374" w:rsidP="00153C22">
            <w:pPr>
              <w:jc w:val="center"/>
              <w:rPr>
                <w:sz w:val="15"/>
                <w:szCs w:val="15"/>
              </w:rPr>
            </w:pPr>
            <w:r>
              <w:rPr>
                <w:sz w:val="15"/>
              </w:rPr>
              <w:t>Cargo</w:t>
            </w:r>
          </w:p>
        </w:tc>
        <w:tc>
          <w:tcPr>
            <w:tcW w:w="679" w:type="pct"/>
          </w:tcPr>
          <w:p w14:paraId="607F89DB" w14:textId="77777777" w:rsidR="00EB7374" w:rsidRPr="00CC405F" w:rsidRDefault="00EB7374" w:rsidP="00153C22">
            <w:pPr>
              <w:jc w:val="center"/>
              <w:rPr>
                <w:sz w:val="15"/>
                <w:szCs w:val="15"/>
              </w:rPr>
            </w:pPr>
            <w:r>
              <w:rPr>
                <w:sz w:val="15"/>
              </w:rPr>
              <w:t>No</w:t>
            </w:r>
          </w:p>
        </w:tc>
        <w:tc>
          <w:tcPr>
            <w:tcW w:w="690" w:type="pct"/>
          </w:tcPr>
          <w:p w14:paraId="17D89304" w14:textId="77777777" w:rsidR="00EB7374" w:rsidRPr="00CC405F" w:rsidRDefault="00EB7374" w:rsidP="00153C22">
            <w:pPr>
              <w:jc w:val="center"/>
              <w:rPr>
                <w:b/>
                <w:bCs/>
                <w:sz w:val="15"/>
                <w:szCs w:val="15"/>
              </w:rPr>
            </w:pPr>
            <w:r>
              <w:rPr>
                <w:sz w:val="15"/>
              </w:rPr>
              <w:t>FP</w:t>
            </w:r>
          </w:p>
        </w:tc>
        <w:tc>
          <w:tcPr>
            <w:tcW w:w="642" w:type="pct"/>
          </w:tcPr>
          <w:p w14:paraId="6A8CCEFA" w14:textId="77777777" w:rsidR="00EB7374" w:rsidRPr="00CC405F" w:rsidRDefault="00EB7374" w:rsidP="00153C22">
            <w:pPr>
              <w:jc w:val="center"/>
              <w:rPr>
                <w:b/>
                <w:bCs/>
                <w:sz w:val="15"/>
                <w:szCs w:val="15"/>
              </w:rPr>
            </w:pPr>
            <w:r>
              <w:rPr>
                <w:sz w:val="15"/>
              </w:rPr>
              <w:t>FD</w:t>
            </w:r>
          </w:p>
        </w:tc>
      </w:tr>
      <w:tr w:rsidR="00EB7374" w:rsidRPr="0009144C" w14:paraId="7C54D782" w14:textId="77777777" w:rsidTr="00153C22">
        <w:trPr>
          <w:cnfStyle w:val="000000010000" w:firstRow="0" w:lastRow="0" w:firstColumn="0" w:lastColumn="0" w:oddVBand="0" w:evenVBand="0" w:oddHBand="0" w:evenHBand="1" w:firstRowFirstColumn="0" w:firstRowLastColumn="0" w:lastRowFirstColumn="0" w:lastRowLastColumn="0"/>
        </w:trPr>
        <w:tc>
          <w:tcPr>
            <w:tcW w:w="1289" w:type="pct"/>
          </w:tcPr>
          <w:p w14:paraId="4501DB45" w14:textId="77777777" w:rsidR="00EB7374" w:rsidRPr="0009144C" w:rsidRDefault="00EB7374" w:rsidP="00153C22">
            <w:pPr>
              <w:jc w:val="left"/>
              <w:rPr>
                <w:sz w:val="15"/>
                <w:szCs w:val="15"/>
              </w:rPr>
            </w:pPr>
            <w:r>
              <w:rPr>
                <w:sz w:val="15"/>
              </w:rPr>
              <w:t xml:space="preserve">United States </w:t>
            </w:r>
          </w:p>
        </w:tc>
        <w:tc>
          <w:tcPr>
            <w:tcW w:w="675" w:type="pct"/>
          </w:tcPr>
          <w:p w14:paraId="7345C872" w14:textId="77777777" w:rsidR="00EB7374" w:rsidRPr="0009144C" w:rsidRDefault="00EB7374" w:rsidP="00153C22">
            <w:pPr>
              <w:jc w:val="center"/>
              <w:rPr>
                <w:sz w:val="15"/>
                <w:szCs w:val="15"/>
              </w:rPr>
            </w:pPr>
            <w:r>
              <w:rPr>
                <w:sz w:val="15"/>
              </w:rPr>
              <w:t>1949</w:t>
            </w:r>
          </w:p>
        </w:tc>
        <w:tc>
          <w:tcPr>
            <w:tcW w:w="470" w:type="pct"/>
          </w:tcPr>
          <w:p w14:paraId="5727AA35" w14:textId="77777777" w:rsidR="00EB7374" w:rsidRPr="0009144C" w:rsidRDefault="00EB7374" w:rsidP="00153C22">
            <w:pPr>
              <w:jc w:val="center"/>
              <w:rPr>
                <w:sz w:val="15"/>
                <w:szCs w:val="15"/>
              </w:rPr>
            </w:pPr>
            <w:r>
              <w:rPr>
                <w:sz w:val="15"/>
              </w:rPr>
              <w:t>Yes</w:t>
            </w:r>
          </w:p>
        </w:tc>
        <w:tc>
          <w:tcPr>
            <w:tcW w:w="555" w:type="pct"/>
          </w:tcPr>
          <w:p w14:paraId="27B9A991" w14:textId="77777777" w:rsidR="00EB7374" w:rsidRPr="0009144C" w:rsidRDefault="00EB7374" w:rsidP="00153C22">
            <w:pPr>
              <w:jc w:val="center"/>
              <w:rPr>
                <w:sz w:val="15"/>
                <w:szCs w:val="15"/>
              </w:rPr>
            </w:pPr>
            <w:r>
              <w:rPr>
                <w:sz w:val="15"/>
              </w:rPr>
              <w:t>No</w:t>
            </w:r>
          </w:p>
        </w:tc>
        <w:tc>
          <w:tcPr>
            <w:tcW w:w="679" w:type="pct"/>
          </w:tcPr>
          <w:p w14:paraId="18AAF240" w14:textId="77777777" w:rsidR="00EB7374" w:rsidRPr="0009144C" w:rsidRDefault="00EB7374" w:rsidP="00153C22">
            <w:pPr>
              <w:jc w:val="center"/>
              <w:rPr>
                <w:sz w:val="15"/>
                <w:szCs w:val="15"/>
              </w:rPr>
            </w:pPr>
            <w:r>
              <w:rPr>
                <w:sz w:val="15"/>
              </w:rPr>
              <w:t>No</w:t>
            </w:r>
          </w:p>
        </w:tc>
        <w:tc>
          <w:tcPr>
            <w:tcW w:w="690" w:type="pct"/>
          </w:tcPr>
          <w:p w14:paraId="711C3B2B" w14:textId="77777777" w:rsidR="00EB7374" w:rsidRPr="0009144C" w:rsidRDefault="00EB7374" w:rsidP="00153C22">
            <w:pPr>
              <w:jc w:val="center"/>
              <w:rPr>
                <w:sz w:val="15"/>
                <w:szCs w:val="15"/>
              </w:rPr>
            </w:pPr>
            <w:r>
              <w:rPr>
                <w:sz w:val="15"/>
              </w:rPr>
              <w:t>FP</w:t>
            </w:r>
          </w:p>
        </w:tc>
        <w:tc>
          <w:tcPr>
            <w:tcW w:w="642" w:type="pct"/>
          </w:tcPr>
          <w:p w14:paraId="6316CA1E" w14:textId="77777777" w:rsidR="00EB7374" w:rsidRPr="0009144C" w:rsidRDefault="00EB7374" w:rsidP="00153C22">
            <w:pPr>
              <w:jc w:val="center"/>
              <w:rPr>
                <w:sz w:val="15"/>
                <w:szCs w:val="15"/>
              </w:rPr>
            </w:pPr>
            <w:r>
              <w:rPr>
                <w:sz w:val="15"/>
              </w:rPr>
              <w:t>FD</w:t>
            </w:r>
          </w:p>
        </w:tc>
      </w:tr>
      <w:tr w:rsidR="00EB7374" w:rsidRPr="00CC405F" w14:paraId="56E9627B" w14:textId="77777777" w:rsidTr="00C700EB">
        <w:tc>
          <w:tcPr>
            <w:tcW w:w="1289" w:type="pct"/>
          </w:tcPr>
          <w:p w14:paraId="5DDC84AB" w14:textId="77777777" w:rsidR="00EB7374" w:rsidRPr="00CC405F" w:rsidRDefault="00EB7374" w:rsidP="00C700EB">
            <w:pPr>
              <w:jc w:val="left"/>
              <w:rPr>
                <w:sz w:val="15"/>
                <w:szCs w:val="15"/>
              </w:rPr>
            </w:pPr>
            <w:r>
              <w:rPr>
                <w:sz w:val="15"/>
              </w:rPr>
              <w:t xml:space="preserve">Uruguay </w:t>
            </w:r>
          </w:p>
        </w:tc>
        <w:tc>
          <w:tcPr>
            <w:tcW w:w="675" w:type="pct"/>
          </w:tcPr>
          <w:p w14:paraId="6FDA8A6E" w14:textId="77777777" w:rsidR="00EB7374" w:rsidRPr="00CC405F" w:rsidRDefault="00EB7374" w:rsidP="00C700EB">
            <w:pPr>
              <w:jc w:val="center"/>
              <w:rPr>
                <w:sz w:val="15"/>
                <w:szCs w:val="15"/>
              </w:rPr>
            </w:pPr>
            <w:r>
              <w:rPr>
                <w:sz w:val="15"/>
              </w:rPr>
              <w:t>2018*</w:t>
            </w:r>
          </w:p>
        </w:tc>
        <w:tc>
          <w:tcPr>
            <w:tcW w:w="470" w:type="pct"/>
          </w:tcPr>
          <w:p w14:paraId="2DFD96E6" w14:textId="77777777" w:rsidR="00EB7374" w:rsidRPr="00CC405F" w:rsidRDefault="00EB7374" w:rsidP="00C700EB">
            <w:pPr>
              <w:jc w:val="center"/>
              <w:rPr>
                <w:sz w:val="15"/>
                <w:szCs w:val="15"/>
              </w:rPr>
            </w:pPr>
            <w:r>
              <w:rPr>
                <w:sz w:val="15"/>
              </w:rPr>
              <w:t>Yes</w:t>
            </w:r>
          </w:p>
        </w:tc>
        <w:tc>
          <w:tcPr>
            <w:tcW w:w="555" w:type="pct"/>
          </w:tcPr>
          <w:p w14:paraId="7492AF9F" w14:textId="77777777" w:rsidR="00EB7374" w:rsidRPr="00CC405F" w:rsidRDefault="00EB7374" w:rsidP="00C700EB">
            <w:pPr>
              <w:jc w:val="center"/>
              <w:rPr>
                <w:sz w:val="15"/>
                <w:szCs w:val="15"/>
              </w:rPr>
            </w:pPr>
            <w:r>
              <w:rPr>
                <w:sz w:val="15"/>
              </w:rPr>
              <w:t>Cargo</w:t>
            </w:r>
          </w:p>
        </w:tc>
        <w:tc>
          <w:tcPr>
            <w:tcW w:w="679" w:type="pct"/>
          </w:tcPr>
          <w:p w14:paraId="3A685E33" w14:textId="77777777" w:rsidR="00EB7374" w:rsidRPr="00CC405F" w:rsidRDefault="00EB7374" w:rsidP="00C700EB">
            <w:pPr>
              <w:jc w:val="center"/>
              <w:rPr>
                <w:sz w:val="15"/>
                <w:szCs w:val="15"/>
              </w:rPr>
            </w:pPr>
            <w:r>
              <w:rPr>
                <w:sz w:val="15"/>
              </w:rPr>
              <w:t>No</w:t>
            </w:r>
          </w:p>
        </w:tc>
        <w:tc>
          <w:tcPr>
            <w:tcW w:w="690" w:type="pct"/>
          </w:tcPr>
          <w:p w14:paraId="50F292AF" w14:textId="77777777" w:rsidR="00EB7374" w:rsidRPr="00CC405F" w:rsidRDefault="00EB7374" w:rsidP="00C700EB">
            <w:pPr>
              <w:jc w:val="center"/>
              <w:rPr>
                <w:sz w:val="15"/>
                <w:szCs w:val="15"/>
              </w:rPr>
            </w:pPr>
            <w:r>
              <w:rPr>
                <w:sz w:val="15"/>
              </w:rPr>
              <w:t>FP</w:t>
            </w:r>
          </w:p>
        </w:tc>
        <w:tc>
          <w:tcPr>
            <w:tcW w:w="642" w:type="pct"/>
          </w:tcPr>
          <w:p w14:paraId="04F21A58" w14:textId="77777777" w:rsidR="00EB7374" w:rsidRPr="00CC405F" w:rsidRDefault="00EB7374" w:rsidP="00C700EB">
            <w:pPr>
              <w:jc w:val="center"/>
              <w:rPr>
                <w:sz w:val="15"/>
                <w:szCs w:val="15"/>
              </w:rPr>
            </w:pPr>
            <w:r>
              <w:rPr>
                <w:sz w:val="15"/>
              </w:rPr>
              <w:t>FD</w:t>
            </w:r>
          </w:p>
        </w:tc>
      </w:tr>
      <w:tr w:rsidR="00EB7374" w:rsidRPr="00CC405F" w14:paraId="08A7E1F2" w14:textId="77777777" w:rsidTr="00C700EB">
        <w:trPr>
          <w:cnfStyle w:val="000000010000" w:firstRow="0" w:lastRow="0" w:firstColumn="0" w:lastColumn="0" w:oddVBand="0" w:evenVBand="0" w:oddHBand="0" w:evenHBand="1" w:firstRowFirstColumn="0" w:firstRowLastColumn="0" w:lastRowFirstColumn="0" w:lastRowLastColumn="0"/>
          <w:trHeight w:val="240"/>
        </w:trPr>
        <w:tc>
          <w:tcPr>
            <w:tcW w:w="1289" w:type="pct"/>
          </w:tcPr>
          <w:p w14:paraId="5273F195" w14:textId="77777777" w:rsidR="00EB7374" w:rsidRPr="00CC405F" w:rsidRDefault="00EB7374" w:rsidP="00C700EB">
            <w:pPr>
              <w:jc w:val="left"/>
              <w:rPr>
                <w:sz w:val="15"/>
                <w:szCs w:val="15"/>
              </w:rPr>
            </w:pPr>
            <w:r>
              <w:rPr>
                <w:sz w:val="15"/>
              </w:rPr>
              <w:lastRenderedPageBreak/>
              <w:t xml:space="preserve">Venezuela, Bolivarian Republic of </w:t>
            </w:r>
          </w:p>
        </w:tc>
        <w:tc>
          <w:tcPr>
            <w:tcW w:w="675" w:type="pct"/>
          </w:tcPr>
          <w:p w14:paraId="4507C65B" w14:textId="77777777" w:rsidR="00EB7374" w:rsidRPr="00CC405F" w:rsidRDefault="00EB7374" w:rsidP="00C700EB">
            <w:pPr>
              <w:jc w:val="center"/>
              <w:rPr>
                <w:sz w:val="15"/>
                <w:szCs w:val="15"/>
              </w:rPr>
            </w:pPr>
            <w:r>
              <w:rPr>
                <w:sz w:val="15"/>
              </w:rPr>
              <w:t>1970</w:t>
            </w:r>
          </w:p>
        </w:tc>
        <w:tc>
          <w:tcPr>
            <w:tcW w:w="470" w:type="pct"/>
          </w:tcPr>
          <w:p w14:paraId="56517A1B" w14:textId="77777777" w:rsidR="00EB7374" w:rsidRPr="00CC405F" w:rsidRDefault="00EB7374" w:rsidP="00C700EB">
            <w:pPr>
              <w:jc w:val="center"/>
              <w:rPr>
                <w:sz w:val="15"/>
                <w:szCs w:val="15"/>
              </w:rPr>
            </w:pPr>
            <w:r>
              <w:rPr>
                <w:sz w:val="15"/>
              </w:rPr>
              <w:t>Yes</w:t>
            </w:r>
          </w:p>
        </w:tc>
        <w:tc>
          <w:tcPr>
            <w:tcW w:w="555" w:type="pct"/>
          </w:tcPr>
          <w:p w14:paraId="0EC650FA" w14:textId="77777777" w:rsidR="00EB7374" w:rsidRPr="00CC405F" w:rsidRDefault="00EB7374" w:rsidP="00C700EB">
            <w:pPr>
              <w:jc w:val="center"/>
              <w:rPr>
                <w:sz w:val="15"/>
                <w:szCs w:val="15"/>
              </w:rPr>
            </w:pPr>
            <w:r>
              <w:rPr>
                <w:sz w:val="15"/>
              </w:rPr>
              <w:t>Cargo</w:t>
            </w:r>
          </w:p>
        </w:tc>
        <w:tc>
          <w:tcPr>
            <w:tcW w:w="679" w:type="pct"/>
          </w:tcPr>
          <w:p w14:paraId="691D4143" w14:textId="77777777" w:rsidR="00EB7374" w:rsidRPr="00CC405F" w:rsidRDefault="00EB7374" w:rsidP="00C700EB">
            <w:pPr>
              <w:jc w:val="center"/>
              <w:rPr>
                <w:sz w:val="15"/>
                <w:szCs w:val="15"/>
              </w:rPr>
            </w:pPr>
            <w:r>
              <w:rPr>
                <w:sz w:val="15"/>
              </w:rPr>
              <w:t>No</w:t>
            </w:r>
          </w:p>
        </w:tc>
        <w:tc>
          <w:tcPr>
            <w:tcW w:w="690" w:type="pct"/>
          </w:tcPr>
          <w:p w14:paraId="225D9B42" w14:textId="77777777" w:rsidR="00EB7374" w:rsidRPr="00CC405F" w:rsidRDefault="00EB7374" w:rsidP="00C700EB">
            <w:pPr>
              <w:jc w:val="center"/>
              <w:rPr>
                <w:sz w:val="15"/>
                <w:szCs w:val="15"/>
              </w:rPr>
            </w:pPr>
            <w:r>
              <w:rPr>
                <w:sz w:val="15"/>
              </w:rPr>
              <w:t>FP</w:t>
            </w:r>
          </w:p>
        </w:tc>
        <w:tc>
          <w:tcPr>
            <w:tcW w:w="642" w:type="pct"/>
          </w:tcPr>
          <w:p w14:paraId="7C19E660" w14:textId="77777777" w:rsidR="00EB7374" w:rsidRPr="00CC405F" w:rsidRDefault="00EB7374" w:rsidP="00C700EB">
            <w:pPr>
              <w:jc w:val="center"/>
              <w:rPr>
                <w:sz w:val="15"/>
                <w:szCs w:val="15"/>
              </w:rPr>
            </w:pPr>
            <w:r>
              <w:rPr>
                <w:sz w:val="15"/>
              </w:rPr>
              <w:t>FD</w:t>
            </w:r>
          </w:p>
        </w:tc>
      </w:tr>
    </w:tbl>
    <w:p w14:paraId="2B93B823" w14:textId="77777777" w:rsidR="00EB7374" w:rsidRPr="00C23180" w:rsidRDefault="00EB7374" w:rsidP="00B0434B">
      <w:pPr>
        <w:pStyle w:val="NoteText"/>
        <w:spacing w:before="120"/>
      </w:pPr>
      <w:r>
        <w:t>..</w:t>
      </w:r>
      <w:r>
        <w:tab/>
        <w:t>Not available.</w:t>
      </w:r>
    </w:p>
    <w:p w14:paraId="5D0BEB88" w14:textId="77777777" w:rsidR="00EB7374" w:rsidRDefault="00EB7374" w:rsidP="00B0434B">
      <w:pPr>
        <w:pStyle w:val="NoteText"/>
        <w:spacing w:before="120"/>
      </w:pPr>
      <w:r>
        <w:t>*</w:t>
      </w:r>
      <w:r>
        <w:tab/>
        <w:t>Service agreement (ASA) or memorandum of understanding (MoU) awaiting ratification.</w:t>
      </w:r>
    </w:p>
    <w:p w14:paraId="2D57B1ED" w14:textId="77777777" w:rsidR="00EB7374" w:rsidRPr="00A4298B" w:rsidRDefault="00EB7374" w:rsidP="00B0434B">
      <w:pPr>
        <w:pStyle w:val="NoteText"/>
        <w:spacing w:before="120"/>
      </w:pPr>
      <w:r>
        <w:t>a</w:t>
      </w:r>
      <w:r>
        <w:tab/>
        <w:t>Yes = Rights, even limited ones, are granted.</w:t>
      </w:r>
    </w:p>
    <w:p w14:paraId="18518BB2" w14:textId="77777777" w:rsidR="00EB7374" w:rsidRPr="00A4298B" w:rsidRDefault="00EB7374" w:rsidP="00B0434B">
      <w:pPr>
        <w:pStyle w:val="NoteText"/>
      </w:pPr>
      <w:r>
        <w:t>b</w:t>
      </w:r>
      <w:r>
        <w:tab/>
        <w:t>DA = Double approval; FP = Freedom to set prices; CO = Country of origin.</w:t>
      </w:r>
    </w:p>
    <w:p w14:paraId="0B68E0CB" w14:textId="77777777" w:rsidR="00EB7374" w:rsidRPr="00A4298B" w:rsidRDefault="00EB7374" w:rsidP="00B0434B">
      <w:pPr>
        <w:pStyle w:val="NoteText"/>
      </w:pPr>
      <w:r>
        <w:t>c</w:t>
      </w:r>
      <w:r>
        <w:tab/>
        <w:t>FD = Freely determined; PD = Predetermined.</w:t>
      </w:r>
    </w:p>
    <w:p w14:paraId="518476E7" w14:textId="77777777" w:rsidR="00EB7374" w:rsidRDefault="00EB7374" w:rsidP="00B0434B">
      <w:pPr>
        <w:pStyle w:val="NoteText"/>
        <w:spacing w:before="120" w:after="240"/>
      </w:pPr>
      <w:r>
        <w:t>Source:</w:t>
      </w:r>
      <w:r>
        <w:tab/>
        <w:t>WTO Secretariat, based on online data from the JAC, "</w:t>
      </w:r>
      <w:proofErr w:type="spellStart"/>
      <w:r w:rsidRPr="00A4298B">
        <w:t>Cuadros</w:t>
      </w:r>
      <w:proofErr w:type="spellEnd"/>
      <w:r w:rsidRPr="00A4298B">
        <w:t xml:space="preserve"> de A</w:t>
      </w:r>
      <w:r>
        <w:t xml:space="preserve">SA y MOU – </w:t>
      </w:r>
      <w:proofErr w:type="spellStart"/>
      <w:r>
        <w:t>Repu</w:t>
      </w:r>
      <w:proofErr w:type="spellEnd"/>
      <w:r>
        <w:t xml:space="preserve">. Dom. con </w:t>
      </w:r>
      <w:proofErr w:type="spellStart"/>
      <w:r>
        <w:t>Otros</w:t>
      </w:r>
      <w:proofErr w:type="spellEnd"/>
      <w:r>
        <w:t xml:space="preserve"> </w:t>
      </w:r>
      <w:proofErr w:type="spellStart"/>
      <w:r>
        <w:t>Estados</w:t>
      </w:r>
      <w:proofErr w:type="spellEnd"/>
      <w:r>
        <w:t xml:space="preserve">", viewed at: </w:t>
      </w:r>
      <w:hyperlink r:id="rId56" w:history="1">
        <w:r w:rsidRPr="00D75A15">
          <w:rPr>
            <w:rStyle w:val="Hyperlink"/>
          </w:rPr>
          <w:t>https://jac.gob.do/index.php/publicacion/cuadro-de-acuerdos</w:t>
        </w:r>
      </w:hyperlink>
      <w:r>
        <w:t xml:space="preserve">; </w:t>
      </w:r>
      <w:r w:rsidRPr="00D75A15">
        <w:t>and information provided by the authorities</w:t>
      </w:r>
      <w:r>
        <w:t>.</w:t>
      </w:r>
    </w:p>
    <w:p w14:paraId="61D26DBB" w14:textId="77777777" w:rsidR="00EB7374" w:rsidRPr="00A4298B" w:rsidRDefault="00EB7374" w:rsidP="00C80D98">
      <w:pPr>
        <w:pStyle w:val="Heading4"/>
      </w:pPr>
      <w:bookmarkStart w:id="396" w:name="_Toc417038550"/>
      <w:bookmarkStart w:id="397" w:name="_Toc114735787"/>
      <w:bookmarkStart w:id="398" w:name="_Toc117260668"/>
      <w:r>
        <w:t>Maritime transport and port activities</w:t>
      </w:r>
      <w:bookmarkEnd w:id="396"/>
      <w:bookmarkEnd w:id="397"/>
      <w:bookmarkEnd w:id="398"/>
    </w:p>
    <w:p w14:paraId="60C89BC3" w14:textId="77777777" w:rsidR="00EB7374" w:rsidRPr="00A4298B" w:rsidRDefault="00EB7374" w:rsidP="00C80D98">
      <w:pPr>
        <w:pStyle w:val="Heading5"/>
      </w:pPr>
      <w:bookmarkStart w:id="399" w:name="_Toc417038551"/>
      <w:bookmarkStart w:id="400" w:name="_Toc114735788"/>
      <w:bookmarkStart w:id="401" w:name="_Toc117260669"/>
      <w:r>
        <w:t>Maritime transport</w:t>
      </w:r>
      <w:bookmarkEnd w:id="399"/>
      <w:bookmarkEnd w:id="400"/>
      <w:bookmarkEnd w:id="401"/>
    </w:p>
    <w:p w14:paraId="0B0C7936" w14:textId="77777777" w:rsidR="00EB7374" w:rsidRPr="00C23180" w:rsidRDefault="00EB7374" w:rsidP="00C80D98">
      <w:pPr>
        <w:pStyle w:val="BodyText"/>
      </w:pPr>
      <w:r>
        <w:t>Maritime transport is essential to Dominican foreign trade, as 96% of trade flows passed through its ports in 2021. In 2022, 17 shipping lines provided services from Dominican ports. There are no Dominican shipping lines.</w:t>
      </w:r>
    </w:p>
    <w:p w14:paraId="7892B945" w14:textId="77777777" w:rsidR="00EB7374" w:rsidRPr="00834DC2" w:rsidRDefault="00EB7374" w:rsidP="00C80D98">
      <w:pPr>
        <w:pStyle w:val="BodyText"/>
        <w:rPr>
          <w:rFonts w:eastAsia="Calibri"/>
        </w:rPr>
      </w:pPr>
      <w:r>
        <w:t>The Ministry of Industry, Trade and MSMEs (</w:t>
      </w:r>
      <w:proofErr w:type="spellStart"/>
      <w:r>
        <w:t>MICM</w:t>
      </w:r>
      <w:proofErr w:type="spellEnd"/>
      <w:r>
        <w:t>) and the Dominican Navy are responsible for formulating maritime transport policy.</w:t>
      </w:r>
      <w:r w:rsidRPr="00C23180">
        <w:rPr>
          <w:rStyle w:val="FootnoteReference"/>
          <w:rFonts w:eastAsia="Calibri"/>
        </w:rPr>
        <w:footnoteReference w:id="565"/>
      </w:r>
      <w:r>
        <w:t xml:space="preserve"> The Directorate-General of Customs and the Dominican Port Authority (</w:t>
      </w:r>
      <w:proofErr w:type="spellStart"/>
      <w:r>
        <w:t>APORDOM</w:t>
      </w:r>
      <w:proofErr w:type="spellEnd"/>
      <w:r>
        <w:t>) are also involved in this process.</w:t>
      </w:r>
    </w:p>
    <w:p w14:paraId="2FDA9629" w14:textId="77777777" w:rsidR="00EB7374" w:rsidRPr="00412821" w:rsidRDefault="00EB7374" w:rsidP="00C80D98">
      <w:pPr>
        <w:pStyle w:val="BodyText"/>
        <w:rPr>
          <w:rFonts w:eastAsia="Calibri"/>
          <w:b/>
          <w:bCs/>
        </w:rPr>
      </w:pPr>
      <w:r>
        <w:t>International maritime conventions are signed by the Ministry of Foreign Affairs, with support and advice from state institutions, depending on the area in question.</w:t>
      </w:r>
    </w:p>
    <w:p w14:paraId="6FBF73BD" w14:textId="77777777" w:rsidR="00EB7374" w:rsidRPr="00C23180" w:rsidRDefault="00EB7374" w:rsidP="00C80D98">
      <w:pPr>
        <w:pStyle w:val="BodyText"/>
        <w:rPr>
          <w:rFonts w:eastAsia="Calibri"/>
          <w:b/>
          <w:bCs/>
          <w:caps/>
        </w:rPr>
      </w:pPr>
      <w:r>
        <w:t>In order to obtain a licence to operate in the Dominican Republic, shipping lines must flag their vessels through the following process: (</w:t>
      </w:r>
      <w:proofErr w:type="spellStart"/>
      <w:r>
        <w:t>i</w:t>
      </w:r>
      <w:proofErr w:type="spellEnd"/>
      <w:r>
        <w:t>) register as a company; (ii) pay the appropriate taxes for each vessel; (iii) obtain a seaworthiness certificate following inspection by the Dominican Navy; and (iv) obtain a Dominican registration number for the vessel. With the registration number, the boat is flagged to the Dominican Republic, while the seaworthiness certificate confirms that the vessel complies with all national safety requirements and other aspects in order to sail.</w:t>
      </w:r>
      <w:r w:rsidRPr="00C23180">
        <w:rPr>
          <w:rStyle w:val="FootnoteReference"/>
          <w:rFonts w:eastAsia="Calibri"/>
        </w:rPr>
        <w:footnoteReference w:id="566"/>
      </w:r>
      <w:r>
        <w:t xml:space="preserve"> Once a vessel has been flagged, the shipping line must apply for a permit as a shipping </w:t>
      </w:r>
      <w:proofErr w:type="spellStart"/>
      <w:r>
        <w:t>cosignee</w:t>
      </w:r>
      <w:proofErr w:type="spellEnd"/>
      <w:r>
        <w:t xml:space="preserve"> agent, which is approved by the </w:t>
      </w:r>
      <w:proofErr w:type="spellStart"/>
      <w:r>
        <w:t>APORDOM</w:t>
      </w:r>
      <w:proofErr w:type="spellEnd"/>
      <w:r>
        <w:t xml:space="preserve"> management board.</w:t>
      </w:r>
    </w:p>
    <w:p w14:paraId="1EC8197D" w14:textId="77777777" w:rsidR="00EB7374" w:rsidRPr="00C23180" w:rsidRDefault="00EB7374" w:rsidP="00C80D98">
      <w:pPr>
        <w:pStyle w:val="BodyText"/>
        <w:rPr>
          <w:rFonts w:eastAsia="Calibri"/>
        </w:rPr>
      </w:pPr>
      <w:r>
        <w:t xml:space="preserve">In order to be able to operate in the Dominican Republic, non-Dominican-based shipping lines must be represented by a shipping agent accredited by the Ministry of Finance and by </w:t>
      </w:r>
      <w:proofErr w:type="spellStart"/>
      <w:r>
        <w:t>APORDOM</w:t>
      </w:r>
      <w:proofErr w:type="spellEnd"/>
      <w:r>
        <w:t xml:space="preserve"> or, failing that, must become a consignee agent. Shipping agents must also have a licence to act as a consignee agent or a representative for domestic and international shipping lines.</w:t>
      </w:r>
      <w:r>
        <w:rPr>
          <w:rStyle w:val="FootnoteReference"/>
          <w:rFonts w:eastAsia="Calibri"/>
        </w:rPr>
        <w:footnoteReference w:id="567"/>
      </w:r>
    </w:p>
    <w:p w14:paraId="7D86A5C0" w14:textId="77777777" w:rsidR="00EB7374" w:rsidRPr="00C23180" w:rsidRDefault="00EB7374" w:rsidP="00C80D98">
      <w:pPr>
        <w:pStyle w:val="BodyText"/>
        <w:rPr>
          <w:rFonts w:eastAsia="Calibri"/>
        </w:rPr>
      </w:pPr>
      <w:r>
        <w:t>Shipping lines are free to set the rates for their maritime transport services. These rates do not have to be approved by any Dominican authority.</w:t>
      </w:r>
    </w:p>
    <w:p w14:paraId="3191B2AF" w14:textId="77777777" w:rsidR="00EB7374" w:rsidRPr="00C23180" w:rsidRDefault="00EB7374" w:rsidP="00C80D98">
      <w:pPr>
        <w:pStyle w:val="BodyText"/>
        <w:rPr>
          <w:rFonts w:eastAsia="Calibri"/>
        </w:rPr>
      </w:pPr>
      <w:r>
        <w:t>The Dominican Republic has no regulations on liner conferences and the authorities have stated that there are no liner conferences in the country.</w:t>
      </w:r>
    </w:p>
    <w:p w14:paraId="3D80A7D6" w14:textId="77777777" w:rsidR="00EB7374" w:rsidRPr="00A716BE" w:rsidRDefault="00EB7374" w:rsidP="00C80D98">
      <w:pPr>
        <w:pStyle w:val="BodyText"/>
        <w:rPr>
          <w:rFonts w:eastAsia="Calibri"/>
        </w:rPr>
      </w:pPr>
      <w:r>
        <w:t xml:space="preserve">The Dominican Republic does not have a national merchant fleet. There are no limits on foreign ownership stakes in Dominican-flag vessels. However, owners of these vessels must be </w:t>
      </w:r>
      <w:r>
        <w:lastRenderedPageBreak/>
        <w:t>residents of the Dominican Republic or, alternatively, incorporate a company with a commercial presence under Dominican laws.</w:t>
      </w:r>
    </w:p>
    <w:p w14:paraId="0BB3826E" w14:textId="77777777" w:rsidR="00EB7374" w:rsidRPr="00C23180" w:rsidRDefault="00EB7374" w:rsidP="00C80D98">
      <w:pPr>
        <w:pStyle w:val="BodyText"/>
        <w:rPr>
          <w:rFonts w:eastAsia="Calibri"/>
        </w:rPr>
      </w:pPr>
      <w:r>
        <w:t>Cabotage services are restricted to Dominican-flag vessels.</w:t>
      </w:r>
      <w:r w:rsidRPr="00C23180">
        <w:rPr>
          <w:vertAlign w:val="superscript"/>
        </w:rPr>
        <w:footnoteReference w:id="568"/>
      </w:r>
      <w:r>
        <w:t xml:space="preserve"> As Dominican-flag vessels are not widely available, Dominican ownership operators are allowed to lease temporarily a foreign vessel to provide the service, although this arrangement is not covered by the law. This temporary permit is issued by the Dominican Navy, following an inspection.</w:t>
      </w:r>
      <w:bookmarkStart w:id="402" w:name="_Toc114735789"/>
      <w:bookmarkStart w:id="403" w:name="_Toc417038552"/>
    </w:p>
    <w:p w14:paraId="009F6698" w14:textId="77777777" w:rsidR="00EB7374" w:rsidRPr="00C23180" w:rsidRDefault="00EB7374" w:rsidP="00C80D98">
      <w:pPr>
        <w:pStyle w:val="Heading5"/>
      </w:pPr>
      <w:bookmarkStart w:id="404" w:name="_Toc117260670"/>
      <w:r>
        <w:t>Ports</w:t>
      </w:r>
      <w:bookmarkEnd w:id="402"/>
      <w:bookmarkEnd w:id="403"/>
      <w:bookmarkEnd w:id="404"/>
    </w:p>
    <w:p w14:paraId="7E2F8445" w14:textId="77777777" w:rsidR="00EB7374" w:rsidRPr="00C23180" w:rsidRDefault="00EB7374" w:rsidP="00C80D98">
      <w:pPr>
        <w:pStyle w:val="BodyText"/>
        <w:rPr>
          <w:rFonts w:eastAsia="Calibri"/>
        </w:rPr>
      </w:pPr>
      <w:r>
        <w:t>The volume of cargo handled in Dominican ports has grown steadily during the review period, totalling 35 million tonnes in 2021, which is a 30.3% increase from 2015 (Table 4.16). In 2021, almost a fifth (18.6%) of port activity concerned goods transiting to and from other Caribbean ports. These activities have declined compared to the figures seen in 2018, as a result of the COVID-19 pandemic. Almost a quarter (23.7%) of the total cargo handled in 2021 was containerized.</w:t>
      </w:r>
      <w:bookmarkStart w:id="405" w:name="_Toc114735852"/>
      <w:bookmarkStart w:id="406" w:name="_Toc417038645"/>
    </w:p>
    <w:p w14:paraId="7FF24DF7" w14:textId="77777777" w:rsidR="00EB7374" w:rsidRDefault="00EB7374" w:rsidP="00A55A6F">
      <w:pPr>
        <w:pStyle w:val="Caption"/>
      </w:pPr>
      <w:bookmarkStart w:id="407" w:name="_Toc117238070"/>
      <w:r>
        <w:t xml:space="preserve">Table </w:t>
      </w:r>
      <w:r w:rsidR="00BD37F2">
        <w:fldChar w:fldCharType="begin"/>
      </w:r>
      <w:r w:rsidR="00BD37F2">
        <w:instrText xml:space="preserve"> STYLEREF 1 \s </w:instrText>
      </w:r>
      <w:r w:rsidR="00BD37F2">
        <w:fldChar w:fldCharType="separate"/>
      </w:r>
      <w:r>
        <w:rPr>
          <w:noProof/>
        </w:rPr>
        <w:t>4</w:t>
      </w:r>
      <w:r w:rsidR="00BD37F2">
        <w:rPr>
          <w:noProof/>
        </w:rPr>
        <w:fldChar w:fldCharType="end"/>
      </w:r>
      <w:r>
        <w:t>.</w:t>
      </w:r>
      <w:r w:rsidR="00BD37F2">
        <w:fldChar w:fldCharType="begin"/>
      </w:r>
      <w:r w:rsidR="00BD37F2">
        <w:instrText xml:space="preserve"> SEQ Table \* ARABIC \s 1 </w:instrText>
      </w:r>
      <w:r w:rsidR="00BD37F2">
        <w:fldChar w:fldCharType="separate"/>
      </w:r>
      <w:r>
        <w:rPr>
          <w:noProof/>
        </w:rPr>
        <w:t>16</w:t>
      </w:r>
      <w:r w:rsidR="00BD37F2">
        <w:rPr>
          <w:noProof/>
        </w:rPr>
        <w:fldChar w:fldCharType="end"/>
      </w:r>
      <w:r>
        <w:t xml:space="preserve"> Port operations, 2015-22 (June)</w:t>
      </w:r>
      <w:bookmarkEnd w:id="405"/>
      <w:bookmarkEnd w:id="407"/>
    </w:p>
    <w:bookmarkEnd w:id="406"/>
    <w:tbl>
      <w:tblPr>
        <w:tblW w:w="5000" w:type="pct"/>
        <w:tblBorders>
          <w:top w:val="single" w:sz="4" w:space="0" w:color="auto"/>
          <w:left w:val="single" w:sz="4" w:space="0" w:color="auto"/>
          <w:bottom w:val="single" w:sz="4" w:space="0" w:color="auto"/>
          <w:right w:val="single" w:sz="4" w:space="0" w:color="auto"/>
          <w:insideV w:val="single" w:sz="4" w:space="0" w:color="auto"/>
        </w:tblBorders>
        <w:tblLayout w:type="fixed"/>
        <w:tblLook w:val="05A0" w:firstRow="1" w:lastRow="0" w:firstColumn="1" w:lastColumn="1" w:noHBand="0" w:noVBand="1"/>
      </w:tblPr>
      <w:tblGrid>
        <w:gridCol w:w="1555"/>
        <w:gridCol w:w="933"/>
        <w:gridCol w:w="932"/>
        <w:gridCol w:w="932"/>
        <w:gridCol w:w="932"/>
        <w:gridCol w:w="932"/>
        <w:gridCol w:w="932"/>
        <w:gridCol w:w="932"/>
        <w:gridCol w:w="936"/>
      </w:tblGrid>
      <w:tr w:rsidR="00EB7374" w:rsidRPr="00D72A31" w14:paraId="375A8F95" w14:textId="77777777" w:rsidTr="00C700EB">
        <w:trPr>
          <w:cantSplit/>
          <w:tblHeader/>
        </w:trPr>
        <w:tc>
          <w:tcPr>
            <w:tcW w:w="862" w:type="pct"/>
            <w:shd w:val="clear" w:color="auto" w:fill="006283"/>
          </w:tcPr>
          <w:p w14:paraId="0DA5EEB3" w14:textId="77777777" w:rsidR="00EB7374" w:rsidRPr="00D72A31" w:rsidRDefault="00EB7374" w:rsidP="00C700EB">
            <w:pPr>
              <w:keepNext/>
              <w:keepLines/>
              <w:jc w:val="left"/>
              <w:rPr>
                <w:b/>
                <w:color w:val="FFFFFF"/>
                <w:sz w:val="15"/>
                <w:szCs w:val="15"/>
              </w:rPr>
            </w:pPr>
          </w:p>
        </w:tc>
        <w:tc>
          <w:tcPr>
            <w:tcW w:w="517" w:type="pct"/>
            <w:shd w:val="clear" w:color="auto" w:fill="006283"/>
            <w:hideMark/>
          </w:tcPr>
          <w:p w14:paraId="31C30725" w14:textId="77777777" w:rsidR="00EB7374" w:rsidRPr="00D72A31" w:rsidRDefault="00EB7374" w:rsidP="00C700EB">
            <w:pPr>
              <w:keepNext/>
              <w:keepLines/>
              <w:jc w:val="right"/>
              <w:rPr>
                <w:b/>
                <w:color w:val="FFFFFF"/>
                <w:sz w:val="15"/>
                <w:szCs w:val="15"/>
              </w:rPr>
            </w:pPr>
            <w:r>
              <w:rPr>
                <w:b/>
                <w:color w:val="FFFFFF"/>
                <w:sz w:val="15"/>
              </w:rPr>
              <w:t>2015</w:t>
            </w:r>
          </w:p>
        </w:tc>
        <w:tc>
          <w:tcPr>
            <w:tcW w:w="517" w:type="pct"/>
            <w:shd w:val="clear" w:color="auto" w:fill="006283"/>
            <w:hideMark/>
          </w:tcPr>
          <w:p w14:paraId="21F5E02C" w14:textId="77777777" w:rsidR="00EB7374" w:rsidRPr="00D72A31" w:rsidRDefault="00EB7374" w:rsidP="00C700EB">
            <w:pPr>
              <w:keepNext/>
              <w:keepLines/>
              <w:jc w:val="right"/>
              <w:rPr>
                <w:b/>
                <w:color w:val="FFFFFF"/>
                <w:sz w:val="15"/>
                <w:szCs w:val="15"/>
              </w:rPr>
            </w:pPr>
            <w:r>
              <w:rPr>
                <w:b/>
                <w:color w:val="FFFFFF"/>
                <w:sz w:val="15"/>
              </w:rPr>
              <w:t>2016</w:t>
            </w:r>
          </w:p>
        </w:tc>
        <w:tc>
          <w:tcPr>
            <w:tcW w:w="517" w:type="pct"/>
            <w:shd w:val="clear" w:color="auto" w:fill="006283"/>
            <w:hideMark/>
          </w:tcPr>
          <w:p w14:paraId="70A5C7A1" w14:textId="77777777" w:rsidR="00EB7374" w:rsidRPr="00D72A31" w:rsidRDefault="00EB7374" w:rsidP="00C700EB">
            <w:pPr>
              <w:keepNext/>
              <w:keepLines/>
              <w:jc w:val="right"/>
              <w:rPr>
                <w:b/>
                <w:color w:val="FFFFFF"/>
                <w:sz w:val="15"/>
                <w:szCs w:val="15"/>
              </w:rPr>
            </w:pPr>
            <w:r>
              <w:rPr>
                <w:b/>
                <w:color w:val="FFFFFF"/>
                <w:sz w:val="15"/>
              </w:rPr>
              <w:t>2017</w:t>
            </w:r>
          </w:p>
        </w:tc>
        <w:tc>
          <w:tcPr>
            <w:tcW w:w="517" w:type="pct"/>
            <w:shd w:val="clear" w:color="auto" w:fill="006283"/>
            <w:hideMark/>
          </w:tcPr>
          <w:p w14:paraId="22E86EEA" w14:textId="77777777" w:rsidR="00EB7374" w:rsidRPr="00D72A31" w:rsidRDefault="00EB7374" w:rsidP="00C700EB">
            <w:pPr>
              <w:keepNext/>
              <w:keepLines/>
              <w:jc w:val="right"/>
              <w:rPr>
                <w:b/>
                <w:color w:val="FFFFFF"/>
                <w:sz w:val="15"/>
                <w:szCs w:val="15"/>
              </w:rPr>
            </w:pPr>
            <w:r>
              <w:rPr>
                <w:b/>
                <w:color w:val="FFFFFF"/>
                <w:sz w:val="15"/>
              </w:rPr>
              <w:t>2018</w:t>
            </w:r>
          </w:p>
        </w:tc>
        <w:tc>
          <w:tcPr>
            <w:tcW w:w="517" w:type="pct"/>
            <w:shd w:val="clear" w:color="auto" w:fill="006283"/>
            <w:hideMark/>
          </w:tcPr>
          <w:p w14:paraId="49F3D190" w14:textId="77777777" w:rsidR="00EB7374" w:rsidRPr="00D72A31" w:rsidRDefault="00EB7374" w:rsidP="00C700EB">
            <w:pPr>
              <w:keepNext/>
              <w:keepLines/>
              <w:jc w:val="right"/>
              <w:rPr>
                <w:b/>
                <w:color w:val="FFFFFF"/>
                <w:sz w:val="15"/>
                <w:szCs w:val="15"/>
              </w:rPr>
            </w:pPr>
            <w:r>
              <w:rPr>
                <w:b/>
                <w:color w:val="FFFFFF"/>
                <w:sz w:val="15"/>
              </w:rPr>
              <w:t>2019</w:t>
            </w:r>
          </w:p>
        </w:tc>
        <w:tc>
          <w:tcPr>
            <w:tcW w:w="517" w:type="pct"/>
            <w:shd w:val="clear" w:color="auto" w:fill="006283"/>
            <w:hideMark/>
          </w:tcPr>
          <w:p w14:paraId="29BB50E3" w14:textId="77777777" w:rsidR="00EB7374" w:rsidRPr="00D72A31" w:rsidRDefault="00EB7374" w:rsidP="00C700EB">
            <w:pPr>
              <w:keepNext/>
              <w:keepLines/>
              <w:jc w:val="right"/>
              <w:rPr>
                <w:b/>
                <w:color w:val="FFFFFF"/>
                <w:sz w:val="15"/>
                <w:szCs w:val="15"/>
              </w:rPr>
            </w:pPr>
            <w:r>
              <w:rPr>
                <w:b/>
                <w:color w:val="FFFFFF"/>
                <w:sz w:val="15"/>
              </w:rPr>
              <w:t>2020</w:t>
            </w:r>
          </w:p>
        </w:tc>
        <w:tc>
          <w:tcPr>
            <w:tcW w:w="517" w:type="pct"/>
            <w:shd w:val="clear" w:color="auto" w:fill="006283"/>
            <w:hideMark/>
          </w:tcPr>
          <w:p w14:paraId="121AEA90" w14:textId="77777777" w:rsidR="00EB7374" w:rsidRPr="00D72A31" w:rsidRDefault="00EB7374" w:rsidP="00C700EB">
            <w:pPr>
              <w:keepNext/>
              <w:keepLines/>
              <w:jc w:val="right"/>
              <w:rPr>
                <w:b/>
                <w:color w:val="FFFFFF"/>
                <w:sz w:val="15"/>
                <w:szCs w:val="15"/>
              </w:rPr>
            </w:pPr>
            <w:r>
              <w:rPr>
                <w:b/>
                <w:color w:val="FFFFFF"/>
                <w:sz w:val="15"/>
              </w:rPr>
              <w:t>2021</w:t>
            </w:r>
          </w:p>
        </w:tc>
        <w:tc>
          <w:tcPr>
            <w:tcW w:w="517" w:type="pct"/>
            <w:shd w:val="clear" w:color="auto" w:fill="006283"/>
          </w:tcPr>
          <w:p w14:paraId="2DA53E7A" w14:textId="77777777" w:rsidR="00EB7374" w:rsidRPr="00D72A31" w:rsidRDefault="00EB7374" w:rsidP="00C700EB">
            <w:pPr>
              <w:keepNext/>
              <w:keepLines/>
              <w:jc w:val="right"/>
              <w:rPr>
                <w:b/>
                <w:color w:val="FFFFFF"/>
                <w:sz w:val="15"/>
                <w:szCs w:val="15"/>
              </w:rPr>
            </w:pPr>
            <w:r>
              <w:rPr>
                <w:b/>
                <w:color w:val="FFFFFF"/>
                <w:sz w:val="15"/>
              </w:rPr>
              <w:t>2022</w:t>
            </w:r>
          </w:p>
        </w:tc>
      </w:tr>
      <w:tr w:rsidR="00EB7374" w:rsidRPr="00D72A31" w14:paraId="0A56C9E6" w14:textId="77777777" w:rsidTr="00C700EB">
        <w:trPr>
          <w:cantSplit/>
        </w:trPr>
        <w:tc>
          <w:tcPr>
            <w:tcW w:w="862" w:type="pct"/>
            <w:shd w:val="clear" w:color="auto" w:fill="auto"/>
          </w:tcPr>
          <w:p w14:paraId="284328FD" w14:textId="77777777" w:rsidR="00EB7374" w:rsidRPr="00D72A31" w:rsidRDefault="00EB7374" w:rsidP="00C700EB">
            <w:pPr>
              <w:jc w:val="left"/>
              <w:rPr>
                <w:b/>
                <w:color w:val="FFFFFF"/>
                <w:sz w:val="15"/>
                <w:szCs w:val="15"/>
              </w:rPr>
            </w:pPr>
          </w:p>
        </w:tc>
        <w:tc>
          <w:tcPr>
            <w:tcW w:w="4138" w:type="pct"/>
            <w:gridSpan w:val="8"/>
            <w:shd w:val="clear" w:color="auto" w:fill="auto"/>
          </w:tcPr>
          <w:p w14:paraId="33882DEE" w14:textId="77777777" w:rsidR="00EB7374" w:rsidRPr="00D72A31" w:rsidRDefault="00EB7374" w:rsidP="00C700EB">
            <w:pPr>
              <w:jc w:val="center"/>
              <w:rPr>
                <w:sz w:val="15"/>
                <w:szCs w:val="15"/>
              </w:rPr>
            </w:pPr>
            <w:r>
              <w:rPr>
                <w:sz w:val="15"/>
              </w:rPr>
              <w:t>(million tonnes)</w:t>
            </w:r>
          </w:p>
        </w:tc>
      </w:tr>
      <w:tr w:rsidR="00EB7374" w:rsidRPr="00D72A31" w14:paraId="5CB1BA3B" w14:textId="77777777" w:rsidTr="00C700EB">
        <w:trPr>
          <w:cantSplit/>
        </w:trPr>
        <w:tc>
          <w:tcPr>
            <w:tcW w:w="862" w:type="pct"/>
            <w:shd w:val="clear" w:color="auto" w:fill="C9DED4"/>
          </w:tcPr>
          <w:p w14:paraId="3E8C2624" w14:textId="77777777" w:rsidR="00EB7374" w:rsidRPr="00D72A31" w:rsidRDefault="00EB7374" w:rsidP="00C700EB">
            <w:pPr>
              <w:jc w:val="left"/>
              <w:rPr>
                <w:b/>
                <w:sz w:val="15"/>
                <w:szCs w:val="15"/>
              </w:rPr>
            </w:pPr>
            <w:r>
              <w:rPr>
                <w:b/>
                <w:sz w:val="15"/>
              </w:rPr>
              <w:t xml:space="preserve">Total cargo </w:t>
            </w:r>
          </w:p>
        </w:tc>
        <w:tc>
          <w:tcPr>
            <w:tcW w:w="517" w:type="pct"/>
            <w:shd w:val="clear" w:color="auto" w:fill="C9DED4"/>
          </w:tcPr>
          <w:p w14:paraId="21A005A7" w14:textId="77777777" w:rsidR="00EB7374" w:rsidRPr="00D72A31" w:rsidRDefault="00EB7374" w:rsidP="00C700EB">
            <w:pPr>
              <w:jc w:val="right"/>
              <w:rPr>
                <w:b/>
                <w:sz w:val="15"/>
                <w:szCs w:val="15"/>
              </w:rPr>
            </w:pPr>
            <w:r>
              <w:rPr>
                <w:b/>
                <w:sz w:val="15"/>
              </w:rPr>
              <w:t>25.3</w:t>
            </w:r>
          </w:p>
        </w:tc>
        <w:tc>
          <w:tcPr>
            <w:tcW w:w="517" w:type="pct"/>
            <w:shd w:val="clear" w:color="auto" w:fill="C9DED4"/>
          </w:tcPr>
          <w:p w14:paraId="13059197" w14:textId="77777777" w:rsidR="00EB7374" w:rsidRPr="00D72A31" w:rsidRDefault="00EB7374" w:rsidP="00C700EB">
            <w:pPr>
              <w:jc w:val="right"/>
              <w:rPr>
                <w:b/>
                <w:sz w:val="15"/>
                <w:szCs w:val="15"/>
              </w:rPr>
            </w:pPr>
            <w:r>
              <w:rPr>
                <w:b/>
                <w:sz w:val="15"/>
              </w:rPr>
              <w:t>24.9</w:t>
            </w:r>
          </w:p>
        </w:tc>
        <w:tc>
          <w:tcPr>
            <w:tcW w:w="517" w:type="pct"/>
            <w:shd w:val="clear" w:color="auto" w:fill="C9DED4"/>
          </w:tcPr>
          <w:p w14:paraId="57AF10FD" w14:textId="77777777" w:rsidR="00EB7374" w:rsidRPr="00D72A31" w:rsidRDefault="00EB7374" w:rsidP="00C700EB">
            <w:pPr>
              <w:jc w:val="right"/>
              <w:rPr>
                <w:b/>
                <w:sz w:val="15"/>
                <w:szCs w:val="15"/>
              </w:rPr>
            </w:pPr>
            <w:r>
              <w:rPr>
                <w:b/>
                <w:sz w:val="15"/>
              </w:rPr>
              <w:t>27.3</w:t>
            </w:r>
          </w:p>
        </w:tc>
        <w:tc>
          <w:tcPr>
            <w:tcW w:w="517" w:type="pct"/>
            <w:shd w:val="clear" w:color="auto" w:fill="C9DED4"/>
          </w:tcPr>
          <w:p w14:paraId="722BB085" w14:textId="77777777" w:rsidR="00EB7374" w:rsidRPr="00D72A31" w:rsidRDefault="00EB7374" w:rsidP="00C700EB">
            <w:pPr>
              <w:jc w:val="right"/>
              <w:rPr>
                <w:b/>
                <w:sz w:val="15"/>
                <w:szCs w:val="15"/>
              </w:rPr>
            </w:pPr>
            <w:r>
              <w:rPr>
                <w:b/>
                <w:sz w:val="15"/>
              </w:rPr>
              <w:t>28.9</w:t>
            </w:r>
          </w:p>
        </w:tc>
        <w:tc>
          <w:tcPr>
            <w:tcW w:w="517" w:type="pct"/>
            <w:shd w:val="clear" w:color="auto" w:fill="C9DED4"/>
          </w:tcPr>
          <w:p w14:paraId="111FCCC4" w14:textId="77777777" w:rsidR="00EB7374" w:rsidRPr="00D72A31" w:rsidRDefault="00EB7374" w:rsidP="00C700EB">
            <w:pPr>
              <w:jc w:val="right"/>
              <w:rPr>
                <w:b/>
                <w:sz w:val="15"/>
                <w:szCs w:val="15"/>
              </w:rPr>
            </w:pPr>
            <w:r>
              <w:rPr>
                <w:b/>
                <w:sz w:val="15"/>
              </w:rPr>
              <w:t>29.6</w:t>
            </w:r>
          </w:p>
        </w:tc>
        <w:tc>
          <w:tcPr>
            <w:tcW w:w="517" w:type="pct"/>
            <w:shd w:val="clear" w:color="auto" w:fill="C9DED4"/>
          </w:tcPr>
          <w:p w14:paraId="0BFF24CB" w14:textId="77777777" w:rsidR="00EB7374" w:rsidRPr="00D72A31" w:rsidRDefault="00EB7374" w:rsidP="00C700EB">
            <w:pPr>
              <w:jc w:val="right"/>
              <w:rPr>
                <w:b/>
                <w:sz w:val="15"/>
                <w:szCs w:val="15"/>
              </w:rPr>
            </w:pPr>
            <w:r>
              <w:rPr>
                <w:b/>
                <w:sz w:val="15"/>
              </w:rPr>
              <w:t>29.1</w:t>
            </w:r>
          </w:p>
        </w:tc>
        <w:tc>
          <w:tcPr>
            <w:tcW w:w="517" w:type="pct"/>
            <w:shd w:val="clear" w:color="auto" w:fill="C9DED4"/>
          </w:tcPr>
          <w:p w14:paraId="56332BF4" w14:textId="77777777" w:rsidR="00EB7374" w:rsidRPr="00D72A31" w:rsidRDefault="00EB7374" w:rsidP="00C700EB">
            <w:pPr>
              <w:jc w:val="right"/>
              <w:rPr>
                <w:b/>
                <w:sz w:val="15"/>
                <w:szCs w:val="15"/>
              </w:rPr>
            </w:pPr>
            <w:r>
              <w:rPr>
                <w:b/>
                <w:sz w:val="15"/>
              </w:rPr>
              <w:t>35.0</w:t>
            </w:r>
          </w:p>
        </w:tc>
        <w:tc>
          <w:tcPr>
            <w:tcW w:w="517" w:type="pct"/>
            <w:shd w:val="clear" w:color="auto" w:fill="C9DED4"/>
          </w:tcPr>
          <w:p w14:paraId="042A0FED" w14:textId="77777777" w:rsidR="00EB7374" w:rsidRPr="00D72A31" w:rsidRDefault="00EB7374" w:rsidP="00C700EB">
            <w:pPr>
              <w:jc w:val="right"/>
              <w:rPr>
                <w:b/>
                <w:sz w:val="15"/>
                <w:szCs w:val="15"/>
              </w:rPr>
            </w:pPr>
            <w:r>
              <w:rPr>
                <w:b/>
                <w:sz w:val="15"/>
              </w:rPr>
              <w:t>17.8</w:t>
            </w:r>
          </w:p>
        </w:tc>
      </w:tr>
      <w:tr w:rsidR="00EB7374" w:rsidRPr="00D72A31" w14:paraId="5EB43491" w14:textId="77777777" w:rsidTr="00C700EB">
        <w:trPr>
          <w:cantSplit/>
        </w:trPr>
        <w:tc>
          <w:tcPr>
            <w:tcW w:w="862" w:type="pct"/>
            <w:shd w:val="clear" w:color="auto" w:fill="auto"/>
            <w:hideMark/>
          </w:tcPr>
          <w:p w14:paraId="2942600C" w14:textId="77777777" w:rsidR="00EB7374" w:rsidRPr="00D72A31" w:rsidRDefault="00EB7374" w:rsidP="00C700EB">
            <w:pPr>
              <w:jc w:val="left"/>
              <w:rPr>
                <w:b/>
                <w:sz w:val="15"/>
                <w:szCs w:val="15"/>
              </w:rPr>
            </w:pPr>
            <w:r>
              <w:rPr>
                <w:b/>
                <w:sz w:val="15"/>
              </w:rPr>
              <w:t>Foreign trade</w:t>
            </w:r>
          </w:p>
        </w:tc>
        <w:tc>
          <w:tcPr>
            <w:tcW w:w="517" w:type="pct"/>
            <w:shd w:val="clear" w:color="auto" w:fill="auto"/>
          </w:tcPr>
          <w:p w14:paraId="726B7470" w14:textId="77777777" w:rsidR="00EB7374" w:rsidRPr="00D72A31" w:rsidRDefault="00EB7374" w:rsidP="00C700EB">
            <w:pPr>
              <w:jc w:val="right"/>
              <w:rPr>
                <w:b/>
                <w:sz w:val="15"/>
                <w:szCs w:val="15"/>
              </w:rPr>
            </w:pPr>
            <w:r>
              <w:rPr>
                <w:b/>
                <w:sz w:val="15"/>
              </w:rPr>
              <w:t>21.9</w:t>
            </w:r>
          </w:p>
        </w:tc>
        <w:tc>
          <w:tcPr>
            <w:tcW w:w="517" w:type="pct"/>
            <w:shd w:val="clear" w:color="auto" w:fill="auto"/>
          </w:tcPr>
          <w:p w14:paraId="1F5EE2DA" w14:textId="77777777" w:rsidR="00EB7374" w:rsidRPr="00D72A31" w:rsidRDefault="00EB7374" w:rsidP="00C700EB">
            <w:pPr>
              <w:jc w:val="right"/>
              <w:rPr>
                <w:b/>
                <w:sz w:val="15"/>
                <w:szCs w:val="15"/>
              </w:rPr>
            </w:pPr>
            <w:r>
              <w:rPr>
                <w:b/>
                <w:sz w:val="15"/>
              </w:rPr>
              <w:t>21.1</w:t>
            </w:r>
          </w:p>
        </w:tc>
        <w:tc>
          <w:tcPr>
            <w:tcW w:w="517" w:type="pct"/>
            <w:shd w:val="clear" w:color="auto" w:fill="auto"/>
          </w:tcPr>
          <w:p w14:paraId="163189E8" w14:textId="77777777" w:rsidR="00EB7374" w:rsidRPr="00D72A31" w:rsidRDefault="00EB7374" w:rsidP="00C700EB">
            <w:pPr>
              <w:jc w:val="right"/>
              <w:rPr>
                <w:b/>
                <w:sz w:val="15"/>
                <w:szCs w:val="15"/>
              </w:rPr>
            </w:pPr>
            <w:r>
              <w:rPr>
                <w:b/>
                <w:sz w:val="15"/>
              </w:rPr>
              <w:t>20.6</w:t>
            </w:r>
          </w:p>
        </w:tc>
        <w:tc>
          <w:tcPr>
            <w:tcW w:w="517" w:type="pct"/>
            <w:shd w:val="clear" w:color="auto" w:fill="auto"/>
          </w:tcPr>
          <w:p w14:paraId="0584526A" w14:textId="77777777" w:rsidR="00EB7374" w:rsidRPr="00D72A31" w:rsidRDefault="00EB7374" w:rsidP="00C700EB">
            <w:pPr>
              <w:jc w:val="right"/>
              <w:rPr>
                <w:b/>
                <w:sz w:val="15"/>
                <w:szCs w:val="15"/>
              </w:rPr>
            </w:pPr>
            <w:r>
              <w:rPr>
                <w:b/>
                <w:sz w:val="15"/>
              </w:rPr>
              <w:t>21.7</w:t>
            </w:r>
          </w:p>
        </w:tc>
        <w:tc>
          <w:tcPr>
            <w:tcW w:w="517" w:type="pct"/>
            <w:shd w:val="clear" w:color="auto" w:fill="auto"/>
          </w:tcPr>
          <w:p w14:paraId="405A6AC6" w14:textId="77777777" w:rsidR="00EB7374" w:rsidRPr="00D72A31" w:rsidRDefault="00EB7374" w:rsidP="00C700EB">
            <w:pPr>
              <w:jc w:val="right"/>
              <w:rPr>
                <w:b/>
                <w:sz w:val="15"/>
                <w:szCs w:val="15"/>
              </w:rPr>
            </w:pPr>
            <w:r>
              <w:rPr>
                <w:b/>
                <w:sz w:val="15"/>
              </w:rPr>
              <w:t>23.5</w:t>
            </w:r>
          </w:p>
        </w:tc>
        <w:tc>
          <w:tcPr>
            <w:tcW w:w="517" w:type="pct"/>
            <w:shd w:val="clear" w:color="auto" w:fill="auto"/>
          </w:tcPr>
          <w:p w14:paraId="67BF0598" w14:textId="77777777" w:rsidR="00EB7374" w:rsidRPr="00D72A31" w:rsidRDefault="00EB7374" w:rsidP="00C700EB">
            <w:pPr>
              <w:jc w:val="right"/>
              <w:rPr>
                <w:b/>
                <w:sz w:val="15"/>
                <w:szCs w:val="15"/>
              </w:rPr>
            </w:pPr>
            <w:r>
              <w:rPr>
                <w:b/>
                <w:sz w:val="15"/>
              </w:rPr>
              <w:t>23.5</w:t>
            </w:r>
          </w:p>
        </w:tc>
        <w:tc>
          <w:tcPr>
            <w:tcW w:w="517" w:type="pct"/>
            <w:shd w:val="clear" w:color="auto" w:fill="auto"/>
          </w:tcPr>
          <w:p w14:paraId="264685FE" w14:textId="77777777" w:rsidR="00EB7374" w:rsidRPr="00D72A31" w:rsidRDefault="00EB7374" w:rsidP="00C700EB">
            <w:pPr>
              <w:jc w:val="right"/>
              <w:rPr>
                <w:b/>
                <w:sz w:val="15"/>
                <w:szCs w:val="15"/>
              </w:rPr>
            </w:pPr>
            <w:r>
              <w:rPr>
                <w:b/>
                <w:sz w:val="15"/>
              </w:rPr>
              <w:t>28.4</w:t>
            </w:r>
          </w:p>
        </w:tc>
        <w:tc>
          <w:tcPr>
            <w:tcW w:w="517" w:type="pct"/>
          </w:tcPr>
          <w:p w14:paraId="7A8F18B8" w14:textId="77777777" w:rsidR="00EB7374" w:rsidRPr="00D72A31" w:rsidRDefault="00EB7374" w:rsidP="00C700EB">
            <w:pPr>
              <w:jc w:val="right"/>
              <w:rPr>
                <w:b/>
                <w:sz w:val="15"/>
                <w:szCs w:val="15"/>
              </w:rPr>
            </w:pPr>
            <w:r>
              <w:rPr>
                <w:b/>
                <w:sz w:val="15"/>
              </w:rPr>
              <w:t>14.2</w:t>
            </w:r>
          </w:p>
        </w:tc>
      </w:tr>
      <w:tr w:rsidR="00EB7374" w:rsidRPr="00D72A31" w14:paraId="32146DB1" w14:textId="77777777" w:rsidTr="00C700EB">
        <w:trPr>
          <w:cantSplit/>
        </w:trPr>
        <w:tc>
          <w:tcPr>
            <w:tcW w:w="862" w:type="pct"/>
            <w:shd w:val="clear" w:color="auto" w:fill="C9DED4"/>
            <w:hideMark/>
          </w:tcPr>
          <w:p w14:paraId="425183E7" w14:textId="77777777" w:rsidR="00EB7374" w:rsidRPr="00D72A31" w:rsidRDefault="00EB7374" w:rsidP="00C700EB">
            <w:pPr>
              <w:ind w:left="113"/>
              <w:jc w:val="left"/>
              <w:rPr>
                <w:sz w:val="15"/>
                <w:szCs w:val="15"/>
              </w:rPr>
            </w:pPr>
            <w:r>
              <w:rPr>
                <w:sz w:val="15"/>
              </w:rPr>
              <w:t xml:space="preserve">Imports </w:t>
            </w:r>
          </w:p>
        </w:tc>
        <w:tc>
          <w:tcPr>
            <w:tcW w:w="517" w:type="pct"/>
            <w:shd w:val="clear" w:color="auto" w:fill="C9DED4"/>
          </w:tcPr>
          <w:p w14:paraId="4C3E1DF8" w14:textId="77777777" w:rsidR="00EB7374" w:rsidRPr="00D72A31" w:rsidRDefault="00EB7374" w:rsidP="00C700EB">
            <w:pPr>
              <w:jc w:val="right"/>
              <w:rPr>
                <w:sz w:val="15"/>
                <w:szCs w:val="15"/>
              </w:rPr>
            </w:pPr>
            <w:r>
              <w:rPr>
                <w:sz w:val="15"/>
              </w:rPr>
              <w:t>16.8</w:t>
            </w:r>
          </w:p>
        </w:tc>
        <w:tc>
          <w:tcPr>
            <w:tcW w:w="517" w:type="pct"/>
            <w:shd w:val="clear" w:color="auto" w:fill="C9DED4"/>
          </w:tcPr>
          <w:p w14:paraId="06107FE6" w14:textId="77777777" w:rsidR="00EB7374" w:rsidRPr="00D72A31" w:rsidRDefault="00EB7374" w:rsidP="00C700EB">
            <w:pPr>
              <w:jc w:val="right"/>
              <w:rPr>
                <w:sz w:val="15"/>
                <w:szCs w:val="15"/>
              </w:rPr>
            </w:pPr>
            <w:r>
              <w:rPr>
                <w:sz w:val="15"/>
              </w:rPr>
              <w:t>17.6</w:t>
            </w:r>
          </w:p>
        </w:tc>
        <w:tc>
          <w:tcPr>
            <w:tcW w:w="517" w:type="pct"/>
            <w:shd w:val="clear" w:color="auto" w:fill="C9DED4"/>
          </w:tcPr>
          <w:p w14:paraId="42075500" w14:textId="77777777" w:rsidR="00EB7374" w:rsidRPr="00D72A31" w:rsidRDefault="00EB7374" w:rsidP="00C700EB">
            <w:pPr>
              <w:jc w:val="right"/>
              <w:rPr>
                <w:sz w:val="15"/>
                <w:szCs w:val="15"/>
              </w:rPr>
            </w:pPr>
            <w:r>
              <w:rPr>
                <w:sz w:val="15"/>
              </w:rPr>
              <w:t>17.4</w:t>
            </w:r>
          </w:p>
        </w:tc>
        <w:tc>
          <w:tcPr>
            <w:tcW w:w="517" w:type="pct"/>
            <w:shd w:val="clear" w:color="auto" w:fill="C9DED4"/>
          </w:tcPr>
          <w:p w14:paraId="2E54AE8D" w14:textId="77777777" w:rsidR="00EB7374" w:rsidRPr="00D72A31" w:rsidRDefault="00EB7374" w:rsidP="00C700EB">
            <w:pPr>
              <w:jc w:val="right"/>
              <w:rPr>
                <w:sz w:val="15"/>
                <w:szCs w:val="15"/>
              </w:rPr>
            </w:pPr>
            <w:r>
              <w:rPr>
                <w:sz w:val="15"/>
              </w:rPr>
              <w:t>18.3</w:t>
            </w:r>
          </w:p>
        </w:tc>
        <w:tc>
          <w:tcPr>
            <w:tcW w:w="517" w:type="pct"/>
            <w:shd w:val="clear" w:color="auto" w:fill="C9DED4"/>
          </w:tcPr>
          <w:p w14:paraId="01B930FE" w14:textId="77777777" w:rsidR="00EB7374" w:rsidRPr="00D72A31" w:rsidRDefault="00EB7374" w:rsidP="00C700EB">
            <w:pPr>
              <w:jc w:val="right"/>
              <w:rPr>
                <w:sz w:val="15"/>
                <w:szCs w:val="15"/>
              </w:rPr>
            </w:pPr>
            <w:r>
              <w:rPr>
                <w:sz w:val="15"/>
              </w:rPr>
              <w:t>20.2</w:t>
            </w:r>
          </w:p>
        </w:tc>
        <w:tc>
          <w:tcPr>
            <w:tcW w:w="517" w:type="pct"/>
            <w:shd w:val="clear" w:color="auto" w:fill="C9DED4"/>
          </w:tcPr>
          <w:p w14:paraId="3899249D" w14:textId="77777777" w:rsidR="00EB7374" w:rsidRPr="00D72A31" w:rsidRDefault="00EB7374" w:rsidP="00C700EB">
            <w:pPr>
              <w:jc w:val="right"/>
              <w:rPr>
                <w:sz w:val="15"/>
                <w:szCs w:val="15"/>
              </w:rPr>
            </w:pPr>
            <w:r>
              <w:rPr>
                <w:sz w:val="15"/>
              </w:rPr>
              <w:t>20.3</w:t>
            </w:r>
          </w:p>
        </w:tc>
        <w:tc>
          <w:tcPr>
            <w:tcW w:w="517" w:type="pct"/>
            <w:shd w:val="clear" w:color="auto" w:fill="C9DED4"/>
          </w:tcPr>
          <w:p w14:paraId="661E788C" w14:textId="77777777" w:rsidR="00EB7374" w:rsidRPr="00D72A31" w:rsidRDefault="00EB7374" w:rsidP="00C700EB">
            <w:pPr>
              <w:jc w:val="right"/>
              <w:rPr>
                <w:sz w:val="15"/>
                <w:szCs w:val="15"/>
              </w:rPr>
            </w:pPr>
            <w:r>
              <w:rPr>
                <w:sz w:val="15"/>
              </w:rPr>
              <w:t>23.7</w:t>
            </w:r>
          </w:p>
        </w:tc>
        <w:tc>
          <w:tcPr>
            <w:tcW w:w="517" w:type="pct"/>
            <w:shd w:val="clear" w:color="auto" w:fill="C9DED4"/>
          </w:tcPr>
          <w:p w14:paraId="3A0377B7" w14:textId="77777777" w:rsidR="00EB7374" w:rsidRPr="00D72A31" w:rsidRDefault="00EB7374" w:rsidP="00C700EB">
            <w:pPr>
              <w:jc w:val="right"/>
              <w:rPr>
                <w:sz w:val="15"/>
                <w:szCs w:val="15"/>
              </w:rPr>
            </w:pPr>
            <w:r>
              <w:rPr>
                <w:sz w:val="15"/>
              </w:rPr>
              <w:t>11.3</w:t>
            </w:r>
          </w:p>
        </w:tc>
      </w:tr>
      <w:tr w:rsidR="00EB7374" w:rsidRPr="00D72A31" w14:paraId="25F013DD" w14:textId="77777777" w:rsidTr="00C700EB">
        <w:trPr>
          <w:cantSplit/>
        </w:trPr>
        <w:tc>
          <w:tcPr>
            <w:tcW w:w="862" w:type="pct"/>
            <w:shd w:val="clear" w:color="auto" w:fill="auto"/>
            <w:hideMark/>
          </w:tcPr>
          <w:p w14:paraId="54C0DA58" w14:textId="77777777" w:rsidR="00EB7374" w:rsidRPr="00D72A31" w:rsidRDefault="00EB7374" w:rsidP="00C700EB">
            <w:pPr>
              <w:ind w:left="113"/>
              <w:jc w:val="left"/>
              <w:rPr>
                <w:sz w:val="15"/>
                <w:szCs w:val="15"/>
              </w:rPr>
            </w:pPr>
            <w:r>
              <w:rPr>
                <w:sz w:val="15"/>
              </w:rPr>
              <w:t>Exports</w:t>
            </w:r>
          </w:p>
        </w:tc>
        <w:tc>
          <w:tcPr>
            <w:tcW w:w="517" w:type="pct"/>
            <w:shd w:val="clear" w:color="auto" w:fill="auto"/>
          </w:tcPr>
          <w:p w14:paraId="058540E8" w14:textId="77777777" w:rsidR="00EB7374" w:rsidRPr="00D72A31" w:rsidRDefault="00EB7374" w:rsidP="00C700EB">
            <w:pPr>
              <w:jc w:val="right"/>
              <w:rPr>
                <w:sz w:val="15"/>
                <w:szCs w:val="15"/>
              </w:rPr>
            </w:pPr>
            <w:r>
              <w:rPr>
                <w:sz w:val="15"/>
              </w:rPr>
              <w:t>5.1</w:t>
            </w:r>
          </w:p>
        </w:tc>
        <w:tc>
          <w:tcPr>
            <w:tcW w:w="517" w:type="pct"/>
            <w:shd w:val="clear" w:color="auto" w:fill="auto"/>
          </w:tcPr>
          <w:p w14:paraId="6417BD13" w14:textId="77777777" w:rsidR="00EB7374" w:rsidRPr="00D72A31" w:rsidRDefault="00EB7374" w:rsidP="00C700EB">
            <w:pPr>
              <w:jc w:val="right"/>
              <w:rPr>
                <w:sz w:val="15"/>
                <w:szCs w:val="15"/>
              </w:rPr>
            </w:pPr>
            <w:r>
              <w:rPr>
                <w:sz w:val="15"/>
              </w:rPr>
              <w:t>3.5</w:t>
            </w:r>
          </w:p>
        </w:tc>
        <w:tc>
          <w:tcPr>
            <w:tcW w:w="517" w:type="pct"/>
            <w:shd w:val="clear" w:color="auto" w:fill="auto"/>
          </w:tcPr>
          <w:p w14:paraId="7DBD75F6" w14:textId="77777777" w:rsidR="00EB7374" w:rsidRPr="00D72A31" w:rsidRDefault="00EB7374" w:rsidP="00C700EB">
            <w:pPr>
              <w:jc w:val="right"/>
              <w:rPr>
                <w:sz w:val="15"/>
                <w:szCs w:val="15"/>
              </w:rPr>
            </w:pPr>
            <w:r>
              <w:rPr>
                <w:sz w:val="15"/>
              </w:rPr>
              <w:t>3.2</w:t>
            </w:r>
          </w:p>
        </w:tc>
        <w:tc>
          <w:tcPr>
            <w:tcW w:w="517" w:type="pct"/>
            <w:shd w:val="clear" w:color="auto" w:fill="auto"/>
          </w:tcPr>
          <w:p w14:paraId="68636C6E" w14:textId="77777777" w:rsidR="00EB7374" w:rsidRPr="00D72A31" w:rsidRDefault="00EB7374" w:rsidP="00C700EB">
            <w:pPr>
              <w:jc w:val="right"/>
              <w:rPr>
                <w:sz w:val="15"/>
                <w:szCs w:val="15"/>
              </w:rPr>
            </w:pPr>
            <w:r>
              <w:rPr>
                <w:sz w:val="15"/>
              </w:rPr>
              <w:t>3.5</w:t>
            </w:r>
          </w:p>
        </w:tc>
        <w:tc>
          <w:tcPr>
            <w:tcW w:w="517" w:type="pct"/>
            <w:shd w:val="clear" w:color="auto" w:fill="auto"/>
          </w:tcPr>
          <w:p w14:paraId="4943A0C9" w14:textId="77777777" w:rsidR="00EB7374" w:rsidRPr="00D72A31" w:rsidRDefault="00EB7374" w:rsidP="00C700EB">
            <w:pPr>
              <w:jc w:val="right"/>
              <w:rPr>
                <w:sz w:val="15"/>
                <w:szCs w:val="15"/>
              </w:rPr>
            </w:pPr>
            <w:r>
              <w:rPr>
                <w:sz w:val="15"/>
              </w:rPr>
              <w:t>3.3</w:t>
            </w:r>
          </w:p>
        </w:tc>
        <w:tc>
          <w:tcPr>
            <w:tcW w:w="517" w:type="pct"/>
            <w:shd w:val="clear" w:color="auto" w:fill="auto"/>
          </w:tcPr>
          <w:p w14:paraId="427C1D48" w14:textId="77777777" w:rsidR="00EB7374" w:rsidRPr="00D72A31" w:rsidRDefault="00EB7374" w:rsidP="00C700EB">
            <w:pPr>
              <w:jc w:val="right"/>
              <w:rPr>
                <w:sz w:val="15"/>
                <w:szCs w:val="15"/>
              </w:rPr>
            </w:pPr>
            <w:r>
              <w:rPr>
                <w:sz w:val="15"/>
              </w:rPr>
              <w:t>3.2</w:t>
            </w:r>
          </w:p>
        </w:tc>
        <w:tc>
          <w:tcPr>
            <w:tcW w:w="517" w:type="pct"/>
            <w:shd w:val="clear" w:color="auto" w:fill="auto"/>
          </w:tcPr>
          <w:p w14:paraId="2E7C19F7" w14:textId="77777777" w:rsidR="00EB7374" w:rsidRPr="00D72A31" w:rsidRDefault="00EB7374" w:rsidP="00C700EB">
            <w:pPr>
              <w:jc w:val="right"/>
              <w:rPr>
                <w:sz w:val="15"/>
                <w:szCs w:val="15"/>
              </w:rPr>
            </w:pPr>
            <w:r>
              <w:rPr>
                <w:sz w:val="15"/>
              </w:rPr>
              <w:t>4.7</w:t>
            </w:r>
          </w:p>
        </w:tc>
        <w:tc>
          <w:tcPr>
            <w:tcW w:w="517" w:type="pct"/>
          </w:tcPr>
          <w:p w14:paraId="69FCE528" w14:textId="77777777" w:rsidR="00EB7374" w:rsidRPr="00D72A31" w:rsidRDefault="00EB7374" w:rsidP="00C700EB">
            <w:pPr>
              <w:jc w:val="right"/>
              <w:rPr>
                <w:sz w:val="15"/>
                <w:szCs w:val="15"/>
              </w:rPr>
            </w:pPr>
            <w:r>
              <w:rPr>
                <w:sz w:val="15"/>
              </w:rPr>
              <w:t>2.9</w:t>
            </w:r>
          </w:p>
        </w:tc>
      </w:tr>
      <w:tr w:rsidR="00EB7374" w:rsidRPr="00D72A31" w14:paraId="16387ED9" w14:textId="77777777" w:rsidTr="00C700EB">
        <w:trPr>
          <w:cantSplit/>
        </w:trPr>
        <w:tc>
          <w:tcPr>
            <w:tcW w:w="862" w:type="pct"/>
            <w:shd w:val="clear" w:color="auto" w:fill="C9DED4"/>
            <w:hideMark/>
          </w:tcPr>
          <w:p w14:paraId="0636C115" w14:textId="77777777" w:rsidR="00EB7374" w:rsidRPr="00D72A31" w:rsidRDefault="00EB7374" w:rsidP="00C700EB">
            <w:pPr>
              <w:jc w:val="left"/>
              <w:rPr>
                <w:sz w:val="15"/>
                <w:szCs w:val="15"/>
              </w:rPr>
            </w:pPr>
            <w:r>
              <w:rPr>
                <w:sz w:val="15"/>
              </w:rPr>
              <w:t>By type of cargo</w:t>
            </w:r>
          </w:p>
        </w:tc>
        <w:tc>
          <w:tcPr>
            <w:tcW w:w="4138" w:type="pct"/>
            <w:gridSpan w:val="8"/>
            <w:shd w:val="clear" w:color="auto" w:fill="C9DED4"/>
          </w:tcPr>
          <w:p w14:paraId="7D99F427" w14:textId="77777777" w:rsidR="00EB7374" w:rsidRPr="00D72A31" w:rsidDel="003B3EA1" w:rsidRDefault="00EB7374" w:rsidP="00C700EB">
            <w:pPr>
              <w:jc w:val="center"/>
              <w:rPr>
                <w:sz w:val="15"/>
                <w:szCs w:val="15"/>
              </w:rPr>
            </w:pPr>
          </w:p>
        </w:tc>
      </w:tr>
      <w:tr w:rsidR="00EB7374" w:rsidRPr="00D72A31" w14:paraId="4A109F27" w14:textId="77777777" w:rsidTr="00C700EB">
        <w:trPr>
          <w:cantSplit/>
        </w:trPr>
        <w:tc>
          <w:tcPr>
            <w:tcW w:w="862" w:type="pct"/>
            <w:shd w:val="clear" w:color="auto" w:fill="auto"/>
            <w:hideMark/>
          </w:tcPr>
          <w:p w14:paraId="1066F5EB" w14:textId="77777777" w:rsidR="00EB7374" w:rsidRPr="00D72A31" w:rsidRDefault="00EB7374" w:rsidP="00C700EB">
            <w:pPr>
              <w:ind w:left="113"/>
              <w:jc w:val="left"/>
              <w:rPr>
                <w:sz w:val="15"/>
                <w:szCs w:val="15"/>
              </w:rPr>
            </w:pPr>
            <w:r>
              <w:rPr>
                <w:sz w:val="15"/>
              </w:rPr>
              <w:t xml:space="preserve">Loose </w:t>
            </w:r>
          </w:p>
        </w:tc>
        <w:tc>
          <w:tcPr>
            <w:tcW w:w="517" w:type="pct"/>
            <w:shd w:val="clear" w:color="auto" w:fill="auto"/>
          </w:tcPr>
          <w:p w14:paraId="58F4FCDB" w14:textId="77777777" w:rsidR="00EB7374" w:rsidRPr="00D72A31" w:rsidRDefault="00EB7374" w:rsidP="00C700EB">
            <w:pPr>
              <w:jc w:val="right"/>
              <w:rPr>
                <w:bCs/>
                <w:sz w:val="15"/>
                <w:szCs w:val="15"/>
              </w:rPr>
            </w:pPr>
            <w:r>
              <w:rPr>
                <w:sz w:val="15"/>
              </w:rPr>
              <w:t>2.4</w:t>
            </w:r>
          </w:p>
        </w:tc>
        <w:tc>
          <w:tcPr>
            <w:tcW w:w="517" w:type="pct"/>
            <w:shd w:val="clear" w:color="auto" w:fill="auto"/>
          </w:tcPr>
          <w:p w14:paraId="49953826" w14:textId="77777777" w:rsidR="00EB7374" w:rsidRPr="00D72A31" w:rsidRDefault="00EB7374" w:rsidP="00C700EB">
            <w:pPr>
              <w:jc w:val="right"/>
              <w:rPr>
                <w:sz w:val="15"/>
                <w:szCs w:val="15"/>
              </w:rPr>
            </w:pPr>
            <w:r>
              <w:rPr>
                <w:sz w:val="15"/>
              </w:rPr>
              <w:t>2.5</w:t>
            </w:r>
          </w:p>
        </w:tc>
        <w:tc>
          <w:tcPr>
            <w:tcW w:w="517" w:type="pct"/>
            <w:shd w:val="clear" w:color="auto" w:fill="auto"/>
          </w:tcPr>
          <w:p w14:paraId="7C97D46E" w14:textId="77777777" w:rsidR="00EB7374" w:rsidRPr="00D72A31" w:rsidRDefault="00EB7374" w:rsidP="00C700EB">
            <w:pPr>
              <w:jc w:val="right"/>
              <w:rPr>
                <w:sz w:val="15"/>
                <w:szCs w:val="15"/>
              </w:rPr>
            </w:pPr>
            <w:r>
              <w:rPr>
                <w:sz w:val="15"/>
              </w:rPr>
              <w:t>1.8</w:t>
            </w:r>
          </w:p>
        </w:tc>
        <w:tc>
          <w:tcPr>
            <w:tcW w:w="517" w:type="pct"/>
            <w:shd w:val="clear" w:color="auto" w:fill="auto"/>
          </w:tcPr>
          <w:p w14:paraId="67BD7CDD" w14:textId="77777777" w:rsidR="00EB7374" w:rsidRPr="00D72A31" w:rsidRDefault="00EB7374" w:rsidP="00C700EB">
            <w:pPr>
              <w:jc w:val="right"/>
              <w:rPr>
                <w:sz w:val="15"/>
                <w:szCs w:val="15"/>
              </w:rPr>
            </w:pPr>
            <w:r>
              <w:rPr>
                <w:sz w:val="15"/>
              </w:rPr>
              <w:t>2.0</w:t>
            </w:r>
          </w:p>
        </w:tc>
        <w:tc>
          <w:tcPr>
            <w:tcW w:w="517" w:type="pct"/>
            <w:shd w:val="clear" w:color="auto" w:fill="auto"/>
          </w:tcPr>
          <w:p w14:paraId="6B6C22B1" w14:textId="77777777" w:rsidR="00EB7374" w:rsidRPr="00D72A31" w:rsidRDefault="00EB7374" w:rsidP="00C700EB">
            <w:pPr>
              <w:jc w:val="right"/>
              <w:rPr>
                <w:sz w:val="15"/>
                <w:szCs w:val="15"/>
              </w:rPr>
            </w:pPr>
            <w:r>
              <w:rPr>
                <w:sz w:val="15"/>
              </w:rPr>
              <w:t>2.0</w:t>
            </w:r>
          </w:p>
        </w:tc>
        <w:tc>
          <w:tcPr>
            <w:tcW w:w="517" w:type="pct"/>
            <w:shd w:val="clear" w:color="auto" w:fill="auto"/>
          </w:tcPr>
          <w:p w14:paraId="2E7BDC89" w14:textId="77777777" w:rsidR="00EB7374" w:rsidRPr="00D72A31" w:rsidRDefault="00EB7374" w:rsidP="00C700EB">
            <w:pPr>
              <w:jc w:val="right"/>
              <w:rPr>
                <w:sz w:val="15"/>
                <w:szCs w:val="15"/>
              </w:rPr>
            </w:pPr>
            <w:r>
              <w:rPr>
                <w:sz w:val="15"/>
              </w:rPr>
              <w:t>2.2</w:t>
            </w:r>
          </w:p>
        </w:tc>
        <w:tc>
          <w:tcPr>
            <w:tcW w:w="517" w:type="pct"/>
            <w:shd w:val="clear" w:color="auto" w:fill="auto"/>
          </w:tcPr>
          <w:p w14:paraId="60C82D8A" w14:textId="77777777" w:rsidR="00EB7374" w:rsidRPr="00D72A31" w:rsidRDefault="00EB7374" w:rsidP="00C700EB">
            <w:pPr>
              <w:jc w:val="right"/>
              <w:rPr>
                <w:sz w:val="15"/>
                <w:szCs w:val="15"/>
              </w:rPr>
            </w:pPr>
            <w:r>
              <w:rPr>
                <w:sz w:val="15"/>
              </w:rPr>
              <w:t>3.1</w:t>
            </w:r>
          </w:p>
        </w:tc>
        <w:tc>
          <w:tcPr>
            <w:tcW w:w="517" w:type="pct"/>
          </w:tcPr>
          <w:p w14:paraId="7A87E2B1" w14:textId="77777777" w:rsidR="00EB7374" w:rsidRPr="00D72A31" w:rsidRDefault="00EB7374" w:rsidP="00C700EB">
            <w:pPr>
              <w:jc w:val="right"/>
              <w:rPr>
                <w:sz w:val="15"/>
                <w:szCs w:val="15"/>
              </w:rPr>
            </w:pPr>
            <w:r>
              <w:rPr>
                <w:sz w:val="15"/>
              </w:rPr>
              <w:t>1.9</w:t>
            </w:r>
          </w:p>
        </w:tc>
      </w:tr>
      <w:tr w:rsidR="00EB7374" w:rsidRPr="00D72A31" w14:paraId="6BA71D1C" w14:textId="77777777" w:rsidTr="00C700EB">
        <w:trPr>
          <w:cantSplit/>
        </w:trPr>
        <w:tc>
          <w:tcPr>
            <w:tcW w:w="862" w:type="pct"/>
            <w:shd w:val="clear" w:color="auto" w:fill="C9DED4"/>
            <w:hideMark/>
          </w:tcPr>
          <w:p w14:paraId="7AB688EF" w14:textId="77777777" w:rsidR="00EB7374" w:rsidRPr="00D72A31" w:rsidRDefault="00EB7374" w:rsidP="00C700EB">
            <w:pPr>
              <w:ind w:left="113"/>
              <w:jc w:val="left"/>
              <w:rPr>
                <w:sz w:val="15"/>
                <w:szCs w:val="15"/>
              </w:rPr>
            </w:pPr>
            <w:r>
              <w:rPr>
                <w:sz w:val="15"/>
              </w:rPr>
              <w:t>Containerized</w:t>
            </w:r>
          </w:p>
        </w:tc>
        <w:tc>
          <w:tcPr>
            <w:tcW w:w="517" w:type="pct"/>
            <w:shd w:val="clear" w:color="auto" w:fill="C9DED4"/>
          </w:tcPr>
          <w:p w14:paraId="47B03CFF" w14:textId="77777777" w:rsidR="00EB7374" w:rsidRPr="00D72A31" w:rsidRDefault="00EB7374" w:rsidP="00C700EB">
            <w:pPr>
              <w:jc w:val="right"/>
              <w:rPr>
                <w:sz w:val="15"/>
                <w:szCs w:val="15"/>
              </w:rPr>
            </w:pPr>
            <w:r>
              <w:rPr>
                <w:sz w:val="15"/>
              </w:rPr>
              <w:t>5.7</w:t>
            </w:r>
          </w:p>
        </w:tc>
        <w:tc>
          <w:tcPr>
            <w:tcW w:w="517" w:type="pct"/>
            <w:shd w:val="clear" w:color="auto" w:fill="C9DED4"/>
          </w:tcPr>
          <w:p w14:paraId="4F20EC5C" w14:textId="77777777" w:rsidR="00EB7374" w:rsidRPr="00D72A31" w:rsidRDefault="00EB7374" w:rsidP="00C700EB">
            <w:pPr>
              <w:jc w:val="right"/>
              <w:rPr>
                <w:sz w:val="15"/>
                <w:szCs w:val="15"/>
              </w:rPr>
            </w:pPr>
            <w:r>
              <w:rPr>
                <w:sz w:val="15"/>
              </w:rPr>
              <w:t>6.3</w:t>
            </w:r>
          </w:p>
        </w:tc>
        <w:tc>
          <w:tcPr>
            <w:tcW w:w="517" w:type="pct"/>
            <w:shd w:val="clear" w:color="auto" w:fill="C9DED4"/>
          </w:tcPr>
          <w:p w14:paraId="3D186A93" w14:textId="77777777" w:rsidR="00EB7374" w:rsidRPr="00D72A31" w:rsidRDefault="00EB7374" w:rsidP="00C700EB">
            <w:pPr>
              <w:jc w:val="right"/>
              <w:rPr>
                <w:sz w:val="15"/>
                <w:szCs w:val="15"/>
              </w:rPr>
            </w:pPr>
            <w:r>
              <w:rPr>
                <w:sz w:val="15"/>
              </w:rPr>
              <w:t>6.1</w:t>
            </w:r>
          </w:p>
        </w:tc>
        <w:tc>
          <w:tcPr>
            <w:tcW w:w="517" w:type="pct"/>
            <w:shd w:val="clear" w:color="auto" w:fill="C9DED4"/>
          </w:tcPr>
          <w:p w14:paraId="6CBD6B7B" w14:textId="77777777" w:rsidR="00EB7374" w:rsidRPr="00D72A31" w:rsidRDefault="00EB7374" w:rsidP="00C700EB">
            <w:pPr>
              <w:jc w:val="right"/>
              <w:rPr>
                <w:sz w:val="15"/>
                <w:szCs w:val="15"/>
              </w:rPr>
            </w:pPr>
            <w:r>
              <w:rPr>
                <w:sz w:val="15"/>
              </w:rPr>
              <w:t>6.8</w:t>
            </w:r>
          </w:p>
        </w:tc>
        <w:tc>
          <w:tcPr>
            <w:tcW w:w="517" w:type="pct"/>
            <w:shd w:val="clear" w:color="auto" w:fill="C9DED4"/>
          </w:tcPr>
          <w:p w14:paraId="39D144F8" w14:textId="77777777" w:rsidR="00EB7374" w:rsidRPr="00D72A31" w:rsidRDefault="00EB7374" w:rsidP="00C700EB">
            <w:pPr>
              <w:jc w:val="right"/>
              <w:rPr>
                <w:sz w:val="15"/>
                <w:szCs w:val="15"/>
              </w:rPr>
            </w:pPr>
            <w:r>
              <w:rPr>
                <w:sz w:val="15"/>
              </w:rPr>
              <w:t>7.0</w:t>
            </w:r>
          </w:p>
        </w:tc>
        <w:tc>
          <w:tcPr>
            <w:tcW w:w="517" w:type="pct"/>
            <w:shd w:val="clear" w:color="auto" w:fill="C9DED4"/>
          </w:tcPr>
          <w:p w14:paraId="2C4FBE87" w14:textId="77777777" w:rsidR="00EB7374" w:rsidRPr="00D72A31" w:rsidRDefault="00EB7374" w:rsidP="00C700EB">
            <w:pPr>
              <w:jc w:val="right"/>
              <w:rPr>
                <w:sz w:val="15"/>
                <w:szCs w:val="15"/>
              </w:rPr>
            </w:pPr>
            <w:r>
              <w:rPr>
                <w:sz w:val="15"/>
              </w:rPr>
              <w:t>6.6</w:t>
            </w:r>
          </w:p>
        </w:tc>
        <w:tc>
          <w:tcPr>
            <w:tcW w:w="517" w:type="pct"/>
            <w:shd w:val="clear" w:color="auto" w:fill="C9DED4"/>
          </w:tcPr>
          <w:p w14:paraId="0A4D121E" w14:textId="77777777" w:rsidR="00EB7374" w:rsidRPr="00D72A31" w:rsidRDefault="00EB7374" w:rsidP="00C700EB">
            <w:pPr>
              <w:jc w:val="right"/>
              <w:rPr>
                <w:sz w:val="15"/>
                <w:szCs w:val="15"/>
              </w:rPr>
            </w:pPr>
            <w:r>
              <w:rPr>
                <w:sz w:val="15"/>
              </w:rPr>
              <w:t>8.3</w:t>
            </w:r>
          </w:p>
        </w:tc>
        <w:tc>
          <w:tcPr>
            <w:tcW w:w="517" w:type="pct"/>
            <w:shd w:val="clear" w:color="auto" w:fill="C9DED4"/>
          </w:tcPr>
          <w:p w14:paraId="49BCD0E7" w14:textId="77777777" w:rsidR="00EB7374" w:rsidRPr="00D72A31" w:rsidRDefault="00EB7374" w:rsidP="00C700EB">
            <w:pPr>
              <w:jc w:val="right"/>
              <w:rPr>
                <w:sz w:val="15"/>
                <w:szCs w:val="15"/>
              </w:rPr>
            </w:pPr>
            <w:r>
              <w:rPr>
                <w:sz w:val="15"/>
              </w:rPr>
              <w:t>4.5</w:t>
            </w:r>
          </w:p>
        </w:tc>
      </w:tr>
      <w:tr w:rsidR="00EB7374" w:rsidRPr="00D72A31" w14:paraId="16399BF5" w14:textId="77777777" w:rsidTr="00C700EB">
        <w:trPr>
          <w:cantSplit/>
        </w:trPr>
        <w:tc>
          <w:tcPr>
            <w:tcW w:w="862" w:type="pct"/>
            <w:shd w:val="clear" w:color="auto" w:fill="auto"/>
            <w:hideMark/>
          </w:tcPr>
          <w:p w14:paraId="0514AA4B" w14:textId="77777777" w:rsidR="00EB7374" w:rsidRPr="00D72A31" w:rsidRDefault="00EB7374" w:rsidP="00C700EB">
            <w:pPr>
              <w:ind w:left="113"/>
              <w:jc w:val="left"/>
              <w:rPr>
                <w:sz w:val="15"/>
                <w:szCs w:val="15"/>
              </w:rPr>
            </w:pPr>
            <w:r>
              <w:rPr>
                <w:sz w:val="15"/>
              </w:rPr>
              <w:t>Solid bulk</w:t>
            </w:r>
          </w:p>
        </w:tc>
        <w:tc>
          <w:tcPr>
            <w:tcW w:w="517" w:type="pct"/>
            <w:shd w:val="clear" w:color="auto" w:fill="auto"/>
          </w:tcPr>
          <w:p w14:paraId="04D5C11D" w14:textId="77777777" w:rsidR="00EB7374" w:rsidRPr="00D72A31" w:rsidRDefault="00EB7374" w:rsidP="00C700EB">
            <w:pPr>
              <w:jc w:val="right"/>
              <w:rPr>
                <w:sz w:val="15"/>
                <w:szCs w:val="15"/>
              </w:rPr>
            </w:pPr>
            <w:r>
              <w:rPr>
                <w:sz w:val="15"/>
              </w:rPr>
              <w:t>6.9</w:t>
            </w:r>
          </w:p>
        </w:tc>
        <w:tc>
          <w:tcPr>
            <w:tcW w:w="517" w:type="pct"/>
            <w:shd w:val="clear" w:color="auto" w:fill="auto"/>
          </w:tcPr>
          <w:p w14:paraId="175E1C0D" w14:textId="77777777" w:rsidR="00EB7374" w:rsidRPr="00D72A31" w:rsidRDefault="00EB7374" w:rsidP="00C700EB">
            <w:pPr>
              <w:jc w:val="right"/>
              <w:rPr>
                <w:sz w:val="15"/>
                <w:szCs w:val="15"/>
              </w:rPr>
            </w:pPr>
            <w:r>
              <w:rPr>
                <w:sz w:val="15"/>
              </w:rPr>
              <w:t>4.9</w:t>
            </w:r>
          </w:p>
        </w:tc>
        <w:tc>
          <w:tcPr>
            <w:tcW w:w="517" w:type="pct"/>
            <w:shd w:val="clear" w:color="auto" w:fill="auto"/>
          </w:tcPr>
          <w:p w14:paraId="1066E023" w14:textId="77777777" w:rsidR="00EB7374" w:rsidRPr="00D72A31" w:rsidRDefault="00EB7374" w:rsidP="00C700EB">
            <w:pPr>
              <w:jc w:val="right"/>
              <w:rPr>
                <w:sz w:val="15"/>
                <w:szCs w:val="15"/>
              </w:rPr>
            </w:pPr>
            <w:r>
              <w:rPr>
                <w:sz w:val="15"/>
              </w:rPr>
              <w:t>5.1</w:t>
            </w:r>
          </w:p>
        </w:tc>
        <w:tc>
          <w:tcPr>
            <w:tcW w:w="517" w:type="pct"/>
            <w:shd w:val="clear" w:color="auto" w:fill="auto"/>
          </w:tcPr>
          <w:p w14:paraId="55B16825" w14:textId="77777777" w:rsidR="00EB7374" w:rsidRPr="00D72A31" w:rsidRDefault="00EB7374" w:rsidP="00C700EB">
            <w:pPr>
              <w:jc w:val="right"/>
              <w:rPr>
                <w:sz w:val="15"/>
                <w:szCs w:val="15"/>
              </w:rPr>
            </w:pPr>
            <w:r>
              <w:rPr>
                <w:sz w:val="15"/>
              </w:rPr>
              <w:t>5.3</w:t>
            </w:r>
          </w:p>
        </w:tc>
        <w:tc>
          <w:tcPr>
            <w:tcW w:w="517" w:type="pct"/>
            <w:shd w:val="clear" w:color="auto" w:fill="auto"/>
          </w:tcPr>
          <w:p w14:paraId="11F52D95" w14:textId="77777777" w:rsidR="00EB7374" w:rsidRPr="00D72A31" w:rsidRDefault="00EB7374" w:rsidP="00C700EB">
            <w:pPr>
              <w:jc w:val="right"/>
              <w:rPr>
                <w:sz w:val="15"/>
                <w:szCs w:val="15"/>
              </w:rPr>
            </w:pPr>
            <w:r>
              <w:rPr>
                <w:sz w:val="15"/>
              </w:rPr>
              <w:t>6.3</w:t>
            </w:r>
          </w:p>
        </w:tc>
        <w:tc>
          <w:tcPr>
            <w:tcW w:w="517" w:type="pct"/>
            <w:shd w:val="clear" w:color="auto" w:fill="auto"/>
          </w:tcPr>
          <w:p w14:paraId="05E27451" w14:textId="77777777" w:rsidR="00EB7374" w:rsidRPr="00D72A31" w:rsidRDefault="00EB7374" w:rsidP="00C700EB">
            <w:pPr>
              <w:jc w:val="right"/>
              <w:rPr>
                <w:sz w:val="15"/>
                <w:szCs w:val="15"/>
              </w:rPr>
            </w:pPr>
            <w:r>
              <w:rPr>
                <w:sz w:val="15"/>
              </w:rPr>
              <w:t>7.2</w:t>
            </w:r>
          </w:p>
        </w:tc>
        <w:tc>
          <w:tcPr>
            <w:tcW w:w="517" w:type="pct"/>
            <w:shd w:val="clear" w:color="auto" w:fill="auto"/>
          </w:tcPr>
          <w:p w14:paraId="5B94E9F7" w14:textId="77777777" w:rsidR="00EB7374" w:rsidRPr="00D72A31" w:rsidRDefault="00EB7374" w:rsidP="00C700EB">
            <w:pPr>
              <w:jc w:val="right"/>
              <w:rPr>
                <w:sz w:val="15"/>
                <w:szCs w:val="15"/>
              </w:rPr>
            </w:pPr>
            <w:r>
              <w:rPr>
                <w:sz w:val="15"/>
              </w:rPr>
              <w:t>7.3</w:t>
            </w:r>
          </w:p>
        </w:tc>
        <w:tc>
          <w:tcPr>
            <w:tcW w:w="517" w:type="pct"/>
          </w:tcPr>
          <w:p w14:paraId="7AE09ED0" w14:textId="77777777" w:rsidR="00EB7374" w:rsidRPr="00D72A31" w:rsidRDefault="00EB7374" w:rsidP="00C700EB">
            <w:pPr>
              <w:jc w:val="right"/>
              <w:rPr>
                <w:sz w:val="15"/>
                <w:szCs w:val="15"/>
              </w:rPr>
            </w:pPr>
            <w:r>
              <w:rPr>
                <w:sz w:val="15"/>
              </w:rPr>
              <w:t>3.1</w:t>
            </w:r>
          </w:p>
        </w:tc>
      </w:tr>
      <w:tr w:rsidR="00EB7374" w:rsidRPr="00D72A31" w14:paraId="3A34F5B1" w14:textId="77777777" w:rsidTr="00C700EB">
        <w:trPr>
          <w:cantSplit/>
        </w:trPr>
        <w:tc>
          <w:tcPr>
            <w:tcW w:w="862" w:type="pct"/>
            <w:shd w:val="clear" w:color="auto" w:fill="C9DED4"/>
            <w:hideMark/>
          </w:tcPr>
          <w:p w14:paraId="3B20CC5D" w14:textId="77777777" w:rsidR="00EB7374" w:rsidRPr="00D72A31" w:rsidRDefault="00EB7374" w:rsidP="00C700EB">
            <w:pPr>
              <w:ind w:left="113"/>
              <w:jc w:val="left"/>
              <w:rPr>
                <w:sz w:val="15"/>
                <w:szCs w:val="15"/>
              </w:rPr>
            </w:pPr>
            <w:r>
              <w:rPr>
                <w:sz w:val="15"/>
              </w:rPr>
              <w:t xml:space="preserve">Liquid bulk </w:t>
            </w:r>
          </w:p>
        </w:tc>
        <w:tc>
          <w:tcPr>
            <w:tcW w:w="517" w:type="pct"/>
            <w:shd w:val="clear" w:color="auto" w:fill="C9DED4"/>
          </w:tcPr>
          <w:p w14:paraId="744CD4C3" w14:textId="77777777" w:rsidR="00EB7374" w:rsidRPr="00D72A31" w:rsidRDefault="00EB7374" w:rsidP="00C700EB">
            <w:pPr>
              <w:jc w:val="right"/>
              <w:rPr>
                <w:bCs/>
                <w:sz w:val="15"/>
                <w:szCs w:val="15"/>
              </w:rPr>
            </w:pPr>
            <w:r>
              <w:rPr>
                <w:sz w:val="15"/>
              </w:rPr>
              <w:t>2.4</w:t>
            </w:r>
          </w:p>
        </w:tc>
        <w:tc>
          <w:tcPr>
            <w:tcW w:w="517" w:type="pct"/>
            <w:shd w:val="clear" w:color="auto" w:fill="C9DED4"/>
          </w:tcPr>
          <w:p w14:paraId="428B39E5" w14:textId="77777777" w:rsidR="00EB7374" w:rsidRPr="00D72A31" w:rsidRDefault="00EB7374" w:rsidP="00C700EB">
            <w:pPr>
              <w:jc w:val="right"/>
              <w:rPr>
                <w:sz w:val="15"/>
                <w:szCs w:val="15"/>
              </w:rPr>
            </w:pPr>
            <w:r>
              <w:rPr>
                <w:sz w:val="15"/>
              </w:rPr>
              <w:t>2.5</w:t>
            </w:r>
          </w:p>
        </w:tc>
        <w:tc>
          <w:tcPr>
            <w:tcW w:w="517" w:type="pct"/>
            <w:shd w:val="clear" w:color="auto" w:fill="C9DED4"/>
          </w:tcPr>
          <w:p w14:paraId="7238E62C" w14:textId="77777777" w:rsidR="00EB7374" w:rsidRPr="00D72A31" w:rsidRDefault="00EB7374" w:rsidP="00C700EB">
            <w:pPr>
              <w:jc w:val="right"/>
              <w:rPr>
                <w:sz w:val="15"/>
                <w:szCs w:val="15"/>
              </w:rPr>
            </w:pPr>
            <w:r>
              <w:rPr>
                <w:sz w:val="15"/>
              </w:rPr>
              <w:t>1.8</w:t>
            </w:r>
          </w:p>
        </w:tc>
        <w:tc>
          <w:tcPr>
            <w:tcW w:w="517" w:type="pct"/>
            <w:shd w:val="clear" w:color="auto" w:fill="C9DED4"/>
          </w:tcPr>
          <w:p w14:paraId="0BE319FA" w14:textId="77777777" w:rsidR="00EB7374" w:rsidRPr="00D72A31" w:rsidRDefault="00EB7374" w:rsidP="00C700EB">
            <w:pPr>
              <w:jc w:val="right"/>
              <w:rPr>
                <w:sz w:val="15"/>
                <w:szCs w:val="15"/>
              </w:rPr>
            </w:pPr>
            <w:r>
              <w:rPr>
                <w:sz w:val="15"/>
              </w:rPr>
              <w:t>7.6</w:t>
            </w:r>
          </w:p>
        </w:tc>
        <w:tc>
          <w:tcPr>
            <w:tcW w:w="517" w:type="pct"/>
            <w:shd w:val="clear" w:color="auto" w:fill="C9DED4"/>
          </w:tcPr>
          <w:p w14:paraId="22684631" w14:textId="77777777" w:rsidR="00EB7374" w:rsidRPr="00D72A31" w:rsidRDefault="00EB7374" w:rsidP="00C700EB">
            <w:pPr>
              <w:jc w:val="right"/>
              <w:rPr>
                <w:sz w:val="15"/>
                <w:szCs w:val="15"/>
              </w:rPr>
            </w:pPr>
            <w:r>
              <w:rPr>
                <w:sz w:val="15"/>
              </w:rPr>
              <w:t>8.2</w:t>
            </w:r>
          </w:p>
        </w:tc>
        <w:tc>
          <w:tcPr>
            <w:tcW w:w="517" w:type="pct"/>
            <w:shd w:val="clear" w:color="auto" w:fill="C9DED4"/>
          </w:tcPr>
          <w:p w14:paraId="15598C63" w14:textId="77777777" w:rsidR="00EB7374" w:rsidRPr="00D72A31" w:rsidRDefault="00EB7374" w:rsidP="00C700EB">
            <w:pPr>
              <w:jc w:val="right"/>
              <w:rPr>
                <w:sz w:val="15"/>
                <w:szCs w:val="15"/>
              </w:rPr>
            </w:pPr>
            <w:r>
              <w:rPr>
                <w:sz w:val="15"/>
              </w:rPr>
              <w:t>7.5</w:t>
            </w:r>
          </w:p>
        </w:tc>
        <w:tc>
          <w:tcPr>
            <w:tcW w:w="517" w:type="pct"/>
            <w:shd w:val="clear" w:color="auto" w:fill="C9DED4"/>
          </w:tcPr>
          <w:p w14:paraId="276B697D" w14:textId="77777777" w:rsidR="00EB7374" w:rsidRPr="00D72A31" w:rsidRDefault="00EB7374" w:rsidP="00C700EB">
            <w:pPr>
              <w:jc w:val="right"/>
              <w:rPr>
                <w:sz w:val="15"/>
                <w:szCs w:val="15"/>
              </w:rPr>
            </w:pPr>
            <w:r>
              <w:rPr>
                <w:sz w:val="15"/>
              </w:rPr>
              <w:t>9.7</w:t>
            </w:r>
          </w:p>
        </w:tc>
        <w:tc>
          <w:tcPr>
            <w:tcW w:w="517" w:type="pct"/>
            <w:shd w:val="clear" w:color="auto" w:fill="C9DED4"/>
          </w:tcPr>
          <w:p w14:paraId="5EBAAABD" w14:textId="77777777" w:rsidR="00EB7374" w:rsidRPr="00D72A31" w:rsidRDefault="00EB7374" w:rsidP="00C700EB">
            <w:pPr>
              <w:jc w:val="right"/>
              <w:rPr>
                <w:sz w:val="15"/>
                <w:szCs w:val="15"/>
              </w:rPr>
            </w:pPr>
            <w:r>
              <w:rPr>
                <w:sz w:val="15"/>
              </w:rPr>
              <w:t>4.5</w:t>
            </w:r>
          </w:p>
        </w:tc>
      </w:tr>
      <w:tr w:rsidR="00EB7374" w:rsidRPr="00D72A31" w14:paraId="23A7F791" w14:textId="77777777" w:rsidTr="00C700EB">
        <w:trPr>
          <w:cantSplit/>
        </w:trPr>
        <w:tc>
          <w:tcPr>
            <w:tcW w:w="862" w:type="pct"/>
            <w:shd w:val="clear" w:color="auto" w:fill="auto"/>
          </w:tcPr>
          <w:p w14:paraId="1CC269C2" w14:textId="77777777" w:rsidR="00EB7374" w:rsidRPr="00D72A31" w:rsidRDefault="00EB7374" w:rsidP="00C700EB">
            <w:pPr>
              <w:ind w:left="113"/>
              <w:jc w:val="left"/>
              <w:rPr>
                <w:sz w:val="15"/>
                <w:szCs w:val="15"/>
              </w:rPr>
            </w:pPr>
          </w:p>
        </w:tc>
        <w:tc>
          <w:tcPr>
            <w:tcW w:w="4138" w:type="pct"/>
            <w:gridSpan w:val="8"/>
            <w:shd w:val="clear" w:color="auto" w:fill="auto"/>
          </w:tcPr>
          <w:p w14:paraId="696004E0" w14:textId="77777777" w:rsidR="00EB7374" w:rsidRPr="00D72A31" w:rsidRDefault="00EB7374" w:rsidP="00C700EB">
            <w:pPr>
              <w:jc w:val="center"/>
              <w:rPr>
                <w:sz w:val="15"/>
                <w:szCs w:val="15"/>
              </w:rPr>
            </w:pPr>
            <w:r>
              <w:rPr>
                <w:sz w:val="15"/>
              </w:rPr>
              <w:t>(million tonnes)</w:t>
            </w:r>
          </w:p>
        </w:tc>
      </w:tr>
      <w:tr w:rsidR="00EB7374" w:rsidRPr="00D72A31" w14:paraId="1A22EC0E" w14:textId="77777777" w:rsidTr="00C700EB">
        <w:trPr>
          <w:cantSplit/>
        </w:trPr>
        <w:tc>
          <w:tcPr>
            <w:tcW w:w="862" w:type="pct"/>
            <w:shd w:val="clear" w:color="auto" w:fill="C9DED4"/>
          </w:tcPr>
          <w:p w14:paraId="7DD1489E" w14:textId="77777777" w:rsidR="00EB7374" w:rsidRPr="00D72A31" w:rsidRDefault="00EB7374" w:rsidP="00C700EB">
            <w:pPr>
              <w:jc w:val="left"/>
              <w:rPr>
                <w:b/>
                <w:sz w:val="15"/>
                <w:szCs w:val="15"/>
              </w:rPr>
            </w:pPr>
            <w:r>
              <w:rPr>
                <w:b/>
                <w:sz w:val="15"/>
              </w:rPr>
              <w:t>Cargo in transit</w:t>
            </w:r>
          </w:p>
        </w:tc>
        <w:tc>
          <w:tcPr>
            <w:tcW w:w="517" w:type="pct"/>
            <w:shd w:val="clear" w:color="auto" w:fill="C9DED4"/>
          </w:tcPr>
          <w:p w14:paraId="60DBD885" w14:textId="77777777" w:rsidR="00EB7374" w:rsidRPr="00D72A31" w:rsidRDefault="00EB7374" w:rsidP="00C700EB">
            <w:pPr>
              <w:jc w:val="right"/>
              <w:rPr>
                <w:b/>
                <w:sz w:val="15"/>
                <w:szCs w:val="15"/>
              </w:rPr>
            </w:pPr>
            <w:r>
              <w:rPr>
                <w:b/>
                <w:sz w:val="15"/>
              </w:rPr>
              <w:t>3.3</w:t>
            </w:r>
          </w:p>
        </w:tc>
        <w:tc>
          <w:tcPr>
            <w:tcW w:w="517" w:type="pct"/>
            <w:shd w:val="clear" w:color="auto" w:fill="C9DED4"/>
          </w:tcPr>
          <w:p w14:paraId="6D0E61B9" w14:textId="77777777" w:rsidR="00EB7374" w:rsidRPr="00D72A31" w:rsidRDefault="00EB7374" w:rsidP="00C700EB">
            <w:pPr>
              <w:jc w:val="right"/>
              <w:rPr>
                <w:b/>
                <w:sz w:val="15"/>
                <w:szCs w:val="15"/>
              </w:rPr>
            </w:pPr>
            <w:r>
              <w:rPr>
                <w:b/>
                <w:sz w:val="15"/>
              </w:rPr>
              <w:t>3.8</w:t>
            </w:r>
          </w:p>
        </w:tc>
        <w:tc>
          <w:tcPr>
            <w:tcW w:w="517" w:type="pct"/>
            <w:shd w:val="clear" w:color="auto" w:fill="C9DED4"/>
          </w:tcPr>
          <w:p w14:paraId="5BC7D644" w14:textId="77777777" w:rsidR="00EB7374" w:rsidRPr="00D72A31" w:rsidRDefault="00EB7374" w:rsidP="00C700EB">
            <w:pPr>
              <w:jc w:val="right"/>
              <w:rPr>
                <w:b/>
                <w:sz w:val="15"/>
                <w:szCs w:val="15"/>
              </w:rPr>
            </w:pPr>
            <w:r>
              <w:rPr>
                <w:b/>
                <w:sz w:val="15"/>
              </w:rPr>
              <w:t>6.6</w:t>
            </w:r>
          </w:p>
        </w:tc>
        <w:tc>
          <w:tcPr>
            <w:tcW w:w="517" w:type="pct"/>
            <w:shd w:val="clear" w:color="auto" w:fill="C9DED4"/>
          </w:tcPr>
          <w:p w14:paraId="1C73C373" w14:textId="77777777" w:rsidR="00EB7374" w:rsidRPr="00D72A31" w:rsidRDefault="00EB7374" w:rsidP="00C700EB">
            <w:pPr>
              <w:jc w:val="right"/>
              <w:rPr>
                <w:b/>
                <w:sz w:val="15"/>
                <w:szCs w:val="15"/>
              </w:rPr>
            </w:pPr>
            <w:r>
              <w:rPr>
                <w:b/>
                <w:sz w:val="15"/>
              </w:rPr>
              <w:t>7.2</w:t>
            </w:r>
          </w:p>
        </w:tc>
        <w:tc>
          <w:tcPr>
            <w:tcW w:w="517" w:type="pct"/>
            <w:shd w:val="clear" w:color="auto" w:fill="C9DED4"/>
          </w:tcPr>
          <w:p w14:paraId="201DD6F7" w14:textId="77777777" w:rsidR="00EB7374" w:rsidRPr="00D72A31" w:rsidRDefault="00EB7374" w:rsidP="00C700EB">
            <w:pPr>
              <w:jc w:val="right"/>
              <w:rPr>
                <w:b/>
                <w:sz w:val="15"/>
                <w:szCs w:val="15"/>
              </w:rPr>
            </w:pPr>
            <w:r>
              <w:rPr>
                <w:b/>
                <w:sz w:val="15"/>
              </w:rPr>
              <w:t>6.0</w:t>
            </w:r>
          </w:p>
        </w:tc>
        <w:tc>
          <w:tcPr>
            <w:tcW w:w="517" w:type="pct"/>
            <w:shd w:val="clear" w:color="auto" w:fill="C9DED4"/>
          </w:tcPr>
          <w:p w14:paraId="33CC8072" w14:textId="77777777" w:rsidR="00EB7374" w:rsidRPr="00D72A31" w:rsidRDefault="00EB7374" w:rsidP="00C700EB">
            <w:pPr>
              <w:jc w:val="right"/>
              <w:rPr>
                <w:b/>
                <w:sz w:val="15"/>
                <w:szCs w:val="15"/>
              </w:rPr>
            </w:pPr>
            <w:r>
              <w:rPr>
                <w:b/>
                <w:sz w:val="15"/>
              </w:rPr>
              <w:t>5.6</w:t>
            </w:r>
          </w:p>
        </w:tc>
        <w:tc>
          <w:tcPr>
            <w:tcW w:w="517" w:type="pct"/>
            <w:shd w:val="clear" w:color="auto" w:fill="C9DED4"/>
          </w:tcPr>
          <w:p w14:paraId="47687087" w14:textId="77777777" w:rsidR="00EB7374" w:rsidRPr="00D72A31" w:rsidRDefault="00EB7374" w:rsidP="00C700EB">
            <w:pPr>
              <w:jc w:val="right"/>
              <w:rPr>
                <w:b/>
                <w:sz w:val="15"/>
                <w:szCs w:val="15"/>
              </w:rPr>
            </w:pPr>
            <w:r>
              <w:rPr>
                <w:b/>
                <w:sz w:val="15"/>
              </w:rPr>
              <w:t>6.5</w:t>
            </w:r>
          </w:p>
        </w:tc>
        <w:tc>
          <w:tcPr>
            <w:tcW w:w="517" w:type="pct"/>
            <w:shd w:val="clear" w:color="auto" w:fill="C9DED4"/>
          </w:tcPr>
          <w:p w14:paraId="0CB1C017" w14:textId="77777777" w:rsidR="00EB7374" w:rsidRPr="00D72A31" w:rsidRDefault="00EB7374" w:rsidP="00C700EB">
            <w:pPr>
              <w:jc w:val="right"/>
              <w:rPr>
                <w:b/>
                <w:sz w:val="15"/>
                <w:szCs w:val="15"/>
              </w:rPr>
            </w:pPr>
            <w:r>
              <w:rPr>
                <w:b/>
                <w:sz w:val="15"/>
              </w:rPr>
              <w:t>3.7</w:t>
            </w:r>
          </w:p>
        </w:tc>
      </w:tr>
      <w:tr w:rsidR="00EB7374" w:rsidRPr="00D72A31" w14:paraId="7A292630" w14:textId="77777777" w:rsidTr="00C700EB">
        <w:trPr>
          <w:cantSplit/>
        </w:trPr>
        <w:tc>
          <w:tcPr>
            <w:tcW w:w="862" w:type="pct"/>
            <w:shd w:val="clear" w:color="auto" w:fill="auto"/>
            <w:hideMark/>
          </w:tcPr>
          <w:p w14:paraId="48C68351" w14:textId="77777777" w:rsidR="00EB7374" w:rsidRPr="00D72A31" w:rsidRDefault="00EB7374" w:rsidP="00C700EB">
            <w:pPr>
              <w:ind w:left="113"/>
              <w:jc w:val="left"/>
              <w:rPr>
                <w:sz w:val="15"/>
                <w:szCs w:val="15"/>
              </w:rPr>
            </w:pPr>
            <w:r>
              <w:rPr>
                <w:sz w:val="15"/>
              </w:rPr>
              <w:t xml:space="preserve">Entering </w:t>
            </w:r>
          </w:p>
        </w:tc>
        <w:tc>
          <w:tcPr>
            <w:tcW w:w="517" w:type="pct"/>
            <w:shd w:val="clear" w:color="auto" w:fill="auto"/>
          </w:tcPr>
          <w:p w14:paraId="02A8970B" w14:textId="77777777" w:rsidR="00EB7374" w:rsidRPr="00D72A31" w:rsidRDefault="00EB7374" w:rsidP="00C700EB">
            <w:pPr>
              <w:jc w:val="right"/>
              <w:rPr>
                <w:sz w:val="15"/>
                <w:szCs w:val="15"/>
              </w:rPr>
            </w:pPr>
            <w:r>
              <w:rPr>
                <w:sz w:val="15"/>
              </w:rPr>
              <w:t>1.6</w:t>
            </w:r>
          </w:p>
        </w:tc>
        <w:tc>
          <w:tcPr>
            <w:tcW w:w="517" w:type="pct"/>
            <w:shd w:val="clear" w:color="auto" w:fill="auto"/>
          </w:tcPr>
          <w:p w14:paraId="18B72198" w14:textId="77777777" w:rsidR="00EB7374" w:rsidRPr="00D72A31" w:rsidRDefault="00EB7374" w:rsidP="00C700EB">
            <w:pPr>
              <w:jc w:val="right"/>
              <w:rPr>
                <w:sz w:val="15"/>
                <w:szCs w:val="15"/>
              </w:rPr>
            </w:pPr>
            <w:r>
              <w:rPr>
                <w:sz w:val="15"/>
              </w:rPr>
              <w:t>1.9</w:t>
            </w:r>
          </w:p>
        </w:tc>
        <w:tc>
          <w:tcPr>
            <w:tcW w:w="517" w:type="pct"/>
            <w:shd w:val="clear" w:color="auto" w:fill="auto"/>
          </w:tcPr>
          <w:p w14:paraId="44907839" w14:textId="77777777" w:rsidR="00EB7374" w:rsidRPr="00D72A31" w:rsidRDefault="00EB7374" w:rsidP="00C700EB">
            <w:pPr>
              <w:jc w:val="right"/>
              <w:rPr>
                <w:sz w:val="15"/>
                <w:szCs w:val="15"/>
              </w:rPr>
            </w:pPr>
            <w:r>
              <w:rPr>
                <w:sz w:val="15"/>
              </w:rPr>
              <w:t>3.3</w:t>
            </w:r>
          </w:p>
        </w:tc>
        <w:tc>
          <w:tcPr>
            <w:tcW w:w="517" w:type="pct"/>
            <w:shd w:val="clear" w:color="auto" w:fill="auto"/>
          </w:tcPr>
          <w:p w14:paraId="7560EF6E" w14:textId="77777777" w:rsidR="00EB7374" w:rsidRPr="00D72A31" w:rsidRDefault="00EB7374" w:rsidP="00C700EB">
            <w:pPr>
              <w:jc w:val="right"/>
              <w:rPr>
                <w:sz w:val="15"/>
                <w:szCs w:val="15"/>
              </w:rPr>
            </w:pPr>
            <w:r>
              <w:rPr>
                <w:sz w:val="15"/>
              </w:rPr>
              <w:t>3.6</w:t>
            </w:r>
          </w:p>
        </w:tc>
        <w:tc>
          <w:tcPr>
            <w:tcW w:w="517" w:type="pct"/>
            <w:shd w:val="clear" w:color="auto" w:fill="auto"/>
          </w:tcPr>
          <w:p w14:paraId="22CE4F2A" w14:textId="77777777" w:rsidR="00EB7374" w:rsidRPr="00D72A31" w:rsidRDefault="00EB7374" w:rsidP="00C700EB">
            <w:pPr>
              <w:jc w:val="right"/>
              <w:rPr>
                <w:sz w:val="15"/>
                <w:szCs w:val="15"/>
              </w:rPr>
            </w:pPr>
            <w:r>
              <w:rPr>
                <w:sz w:val="15"/>
              </w:rPr>
              <w:t>3.1</w:t>
            </w:r>
          </w:p>
        </w:tc>
        <w:tc>
          <w:tcPr>
            <w:tcW w:w="517" w:type="pct"/>
            <w:shd w:val="clear" w:color="auto" w:fill="auto"/>
          </w:tcPr>
          <w:p w14:paraId="5FBFD001" w14:textId="77777777" w:rsidR="00EB7374" w:rsidRPr="00D72A31" w:rsidRDefault="00EB7374" w:rsidP="00C700EB">
            <w:pPr>
              <w:jc w:val="right"/>
              <w:rPr>
                <w:sz w:val="15"/>
                <w:szCs w:val="15"/>
              </w:rPr>
            </w:pPr>
            <w:r>
              <w:rPr>
                <w:sz w:val="15"/>
              </w:rPr>
              <w:t>2.8</w:t>
            </w:r>
          </w:p>
        </w:tc>
        <w:tc>
          <w:tcPr>
            <w:tcW w:w="517" w:type="pct"/>
            <w:shd w:val="clear" w:color="auto" w:fill="auto"/>
          </w:tcPr>
          <w:p w14:paraId="5C9B96B8" w14:textId="77777777" w:rsidR="00EB7374" w:rsidRPr="00D72A31" w:rsidRDefault="00EB7374" w:rsidP="00C700EB">
            <w:pPr>
              <w:jc w:val="right"/>
              <w:rPr>
                <w:sz w:val="15"/>
                <w:szCs w:val="15"/>
              </w:rPr>
            </w:pPr>
            <w:r>
              <w:rPr>
                <w:sz w:val="15"/>
              </w:rPr>
              <w:t>3.4</w:t>
            </w:r>
          </w:p>
        </w:tc>
        <w:tc>
          <w:tcPr>
            <w:tcW w:w="517" w:type="pct"/>
          </w:tcPr>
          <w:p w14:paraId="57F2014F" w14:textId="77777777" w:rsidR="00EB7374" w:rsidRPr="00D72A31" w:rsidRDefault="00EB7374" w:rsidP="00C700EB">
            <w:pPr>
              <w:jc w:val="right"/>
              <w:rPr>
                <w:sz w:val="15"/>
                <w:szCs w:val="15"/>
              </w:rPr>
            </w:pPr>
            <w:r>
              <w:rPr>
                <w:sz w:val="15"/>
              </w:rPr>
              <w:t>1.7</w:t>
            </w:r>
          </w:p>
        </w:tc>
      </w:tr>
      <w:tr w:rsidR="00EB7374" w:rsidRPr="00D72A31" w14:paraId="189E1F42" w14:textId="77777777" w:rsidTr="00C700EB">
        <w:trPr>
          <w:cantSplit/>
        </w:trPr>
        <w:tc>
          <w:tcPr>
            <w:tcW w:w="862" w:type="pct"/>
            <w:shd w:val="clear" w:color="auto" w:fill="C9DED4"/>
            <w:hideMark/>
          </w:tcPr>
          <w:p w14:paraId="17AAEE42" w14:textId="77777777" w:rsidR="00EB7374" w:rsidRPr="00D72A31" w:rsidRDefault="00EB7374" w:rsidP="00C700EB">
            <w:pPr>
              <w:ind w:left="113"/>
              <w:jc w:val="left"/>
              <w:rPr>
                <w:sz w:val="15"/>
                <w:szCs w:val="15"/>
              </w:rPr>
            </w:pPr>
            <w:r>
              <w:rPr>
                <w:sz w:val="15"/>
              </w:rPr>
              <w:t xml:space="preserve">Leaving </w:t>
            </w:r>
          </w:p>
        </w:tc>
        <w:tc>
          <w:tcPr>
            <w:tcW w:w="517" w:type="pct"/>
            <w:shd w:val="clear" w:color="auto" w:fill="C9DED4"/>
          </w:tcPr>
          <w:p w14:paraId="13832655" w14:textId="77777777" w:rsidR="00EB7374" w:rsidRPr="00D72A31" w:rsidRDefault="00EB7374" w:rsidP="00C700EB">
            <w:pPr>
              <w:jc w:val="right"/>
              <w:rPr>
                <w:sz w:val="15"/>
                <w:szCs w:val="15"/>
              </w:rPr>
            </w:pPr>
            <w:r>
              <w:rPr>
                <w:sz w:val="15"/>
              </w:rPr>
              <w:t>1.6</w:t>
            </w:r>
          </w:p>
        </w:tc>
        <w:tc>
          <w:tcPr>
            <w:tcW w:w="517" w:type="pct"/>
            <w:shd w:val="clear" w:color="auto" w:fill="C9DED4"/>
          </w:tcPr>
          <w:p w14:paraId="296241E1" w14:textId="77777777" w:rsidR="00EB7374" w:rsidRPr="00D72A31" w:rsidRDefault="00EB7374" w:rsidP="00C700EB">
            <w:pPr>
              <w:jc w:val="right"/>
              <w:rPr>
                <w:sz w:val="15"/>
                <w:szCs w:val="15"/>
              </w:rPr>
            </w:pPr>
            <w:r>
              <w:rPr>
                <w:sz w:val="15"/>
              </w:rPr>
              <w:t>1.9</w:t>
            </w:r>
          </w:p>
        </w:tc>
        <w:tc>
          <w:tcPr>
            <w:tcW w:w="517" w:type="pct"/>
            <w:shd w:val="clear" w:color="auto" w:fill="C9DED4"/>
          </w:tcPr>
          <w:p w14:paraId="398614A7" w14:textId="77777777" w:rsidR="00EB7374" w:rsidRPr="00D72A31" w:rsidRDefault="00EB7374" w:rsidP="00C700EB">
            <w:pPr>
              <w:jc w:val="right"/>
              <w:rPr>
                <w:sz w:val="15"/>
                <w:szCs w:val="15"/>
              </w:rPr>
            </w:pPr>
            <w:r>
              <w:rPr>
                <w:sz w:val="15"/>
              </w:rPr>
              <w:t>3.3</w:t>
            </w:r>
          </w:p>
        </w:tc>
        <w:tc>
          <w:tcPr>
            <w:tcW w:w="517" w:type="pct"/>
            <w:shd w:val="clear" w:color="auto" w:fill="C9DED4"/>
          </w:tcPr>
          <w:p w14:paraId="67D3222F" w14:textId="77777777" w:rsidR="00EB7374" w:rsidRPr="00D72A31" w:rsidRDefault="00EB7374" w:rsidP="00C700EB">
            <w:pPr>
              <w:jc w:val="right"/>
              <w:rPr>
                <w:sz w:val="15"/>
                <w:szCs w:val="15"/>
              </w:rPr>
            </w:pPr>
            <w:r>
              <w:rPr>
                <w:sz w:val="15"/>
              </w:rPr>
              <w:t>3.5</w:t>
            </w:r>
          </w:p>
        </w:tc>
        <w:tc>
          <w:tcPr>
            <w:tcW w:w="517" w:type="pct"/>
            <w:shd w:val="clear" w:color="auto" w:fill="C9DED4"/>
          </w:tcPr>
          <w:p w14:paraId="29D344E9" w14:textId="77777777" w:rsidR="00EB7374" w:rsidRPr="00D72A31" w:rsidRDefault="00EB7374" w:rsidP="00C700EB">
            <w:pPr>
              <w:ind w:left="366"/>
              <w:jc w:val="right"/>
              <w:rPr>
                <w:sz w:val="15"/>
                <w:szCs w:val="15"/>
              </w:rPr>
            </w:pPr>
            <w:r>
              <w:rPr>
                <w:sz w:val="15"/>
              </w:rPr>
              <w:t>3.0</w:t>
            </w:r>
          </w:p>
        </w:tc>
        <w:tc>
          <w:tcPr>
            <w:tcW w:w="517" w:type="pct"/>
            <w:shd w:val="clear" w:color="auto" w:fill="C9DED4"/>
          </w:tcPr>
          <w:p w14:paraId="29075E56" w14:textId="77777777" w:rsidR="00EB7374" w:rsidRPr="00D72A31" w:rsidRDefault="00EB7374" w:rsidP="00C700EB">
            <w:pPr>
              <w:jc w:val="right"/>
              <w:rPr>
                <w:sz w:val="15"/>
                <w:szCs w:val="15"/>
              </w:rPr>
            </w:pPr>
            <w:r>
              <w:rPr>
                <w:sz w:val="15"/>
              </w:rPr>
              <w:t>2.8</w:t>
            </w:r>
          </w:p>
        </w:tc>
        <w:tc>
          <w:tcPr>
            <w:tcW w:w="517" w:type="pct"/>
            <w:shd w:val="clear" w:color="auto" w:fill="C9DED4"/>
          </w:tcPr>
          <w:p w14:paraId="1ABACBDB" w14:textId="77777777" w:rsidR="00EB7374" w:rsidRPr="00D72A31" w:rsidRDefault="00EB7374" w:rsidP="00C700EB">
            <w:pPr>
              <w:jc w:val="right"/>
              <w:rPr>
                <w:sz w:val="15"/>
                <w:szCs w:val="15"/>
              </w:rPr>
            </w:pPr>
            <w:r>
              <w:rPr>
                <w:sz w:val="15"/>
              </w:rPr>
              <w:t>3.2</w:t>
            </w:r>
          </w:p>
        </w:tc>
        <w:tc>
          <w:tcPr>
            <w:tcW w:w="517" w:type="pct"/>
            <w:shd w:val="clear" w:color="auto" w:fill="C9DED4"/>
          </w:tcPr>
          <w:p w14:paraId="0B2B5665" w14:textId="77777777" w:rsidR="00EB7374" w:rsidRPr="00D72A31" w:rsidRDefault="00EB7374" w:rsidP="00C700EB">
            <w:pPr>
              <w:jc w:val="right"/>
              <w:rPr>
                <w:sz w:val="15"/>
                <w:szCs w:val="15"/>
              </w:rPr>
            </w:pPr>
            <w:r>
              <w:rPr>
                <w:sz w:val="15"/>
              </w:rPr>
              <w:t>2.0</w:t>
            </w:r>
          </w:p>
        </w:tc>
      </w:tr>
      <w:tr w:rsidR="00EB7374" w:rsidRPr="00D72A31" w14:paraId="5C949673" w14:textId="77777777" w:rsidTr="00C700EB">
        <w:trPr>
          <w:cantSplit/>
        </w:trPr>
        <w:tc>
          <w:tcPr>
            <w:tcW w:w="862" w:type="pct"/>
            <w:shd w:val="clear" w:color="auto" w:fill="auto"/>
          </w:tcPr>
          <w:p w14:paraId="0521F428" w14:textId="77777777" w:rsidR="00EB7374" w:rsidRPr="00D72A31" w:rsidRDefault="00EB7374" w:rsidP="00C700EB">
            <w:pPr>
              <w:ind w:left="113"/>
              <w:jc w:val="left"/>
              <w:rPr>
                <w:sz w:val="15"/>
                <w:szCs w:val="15"/>
              </w:rPr>
            </w:pPr>
          </w:p>
        </w:tc>
        <w:tc>
          <w:tcPr>
            <w:tcW w:w="4138" w:type="pct"/>
            <w:gridSpan w:val="8"/>
            <w:shd w:val="clear" w:color="auto" w:fill="auto"/>
          </w:tcPr>
          <w:p w14:paraId="02A05975" w14:textId="77777777" w:rsidR="00EB7374" w:rsidRPr="00D72A31" w:rsidRDefault="00EB7374" w:rsidP="00C700EB">
            <w:pPr>
              <w:jc w:val="center"/>
              <w:rPr>
                <w:sz w:val="15"/>
                <w:szCs w:val="15"/>
              </w:rPr>
            </w:pPr>
            <w:r>
              <w:rPr>
                <w:sz w:val="15"/>
              </w:rPr>
              <w:t>(thousand TEUs)</w:t>
            </w:r>
          </w:p>
        </w:tc>
      </w:tr>
      <w:tr w:rsidR="00EB7374" w:rsidRPr="00D72A31" w14:paraId="0AAB3B14" w14:textId="77777777" w:rsidTr="00C700EB">
        <w:trPr>
          <w:cantSplit/>
        </w:trPr>
        <w:tc>
          <w:tcPr>
            <w:tcW w:w="862" w:type="pct"/>
            <w:shd w:val="clear" w:color="auto" w:fill="C9DED4"/>
          </w:tcPr>
          <w:p w14:paraId="4B5C956B" w14:textId="77777777" w:rsidR="00EB7374" w:rsidRPr="00D72A31" w:rsidRDefault="00EB7374" w:rsidP="00C700EB">
            <w:pPr>
              <w:jc w:val="left"/>
              <w:rPr>
                <w:b/>
                <w:sz w:val="15"/>
                <w:szCs w:val="15"/>
              </w:rPr>
            </w:pPr>
            <w:r>
              <w:rPr>
                <w:b/>
                <w:sz w:val="15"/>
              </w:rPr>
              <w:t>Containers</w:t>
            </w:r>
          </w:p>
        </w:tc>
        <w:tc>
          <w:tcPr>
            <w:tcW w:w="517" w:type="pct"/>
            <w:shd w:val="clear" w:color="auto" w:fill="C9DED4"/>
            <w:vAlign w:val="bottom"/>
          </w:tcPr>
          <w:p w14:paraId="39DCF9F8" w14:textId="77777777" w:rsidR="00EB7374" w:rsidRPr="00D72A31" w:rsidRDefault="00EB7374" w:rsidP="00C700EB">
            <w:pPr>
              <w:jc w:val="right"/>
              <w:rPr>
                <w:b/>
                <w:sz w:val="15"/>
                <w:szCs w:val="15"/>
              </w:rPr>
            </w:pPr>
            <w:r>
              <w:rPr>
                <w:b/>
                <w:sz w:val="15"/>
              </w:rPr>
              <w:t>1,208.4</w:t>
            </w:r>
          </w:p>
        </w:tc>
        <w:tc>
          <w:tcPr>
            <w:tcW w:w="517" w:type="pct"/>
            <w:shd w:val="clear" w:color="auto" w:fill="C9DED4"/>
            <w:vAlign w:val="bottom"/>
          </w:tcPr>
          <w:p w14:paraId="6D6E7F99" w14:textId="77777777" w:rsidR="00EB7374" w:rsidRPr="00D72A31" w:rsidRDefault="00EB7374" w:rsidP="00C700EB">
            <w:pPr>
              <w:jc w:val="right"/>
              <w:rPr>
                <w:b/>
                <w:sz w:val="15"/>
                <w:szCs w:val="15"/>
              </w:rPr>
            </w:pPr>
            <w:r>
              <w:rPr>
                <w:b/>
                <w:sz w:val="15"/>
              </w:rPr>
              <w:t>1,486.2</w:t>
            </w:r>
          </w:p>
        </w:tc>
        <w:tc>
          <w:tcPr>
            <w:tcW w:w="517" w:type="pct"/>
            <w:shd w:val="clear" w:color="auto" w:fill="C9DED4"/>
            <w:vAlign w:val="bottom"/>
          </w:tcPr>
          <w:p w14:paraId="43220EFC" w14:textId="77777777" w:rsidR="00EB7374" w:rsidRPr="00D72A31" w:rsidRDefault="00EB7374" w:rsidP="00C700EB">
            <w:pPr>
              <w:jc w:val="right"/>
              <w:rPr>
                <w:b/>
                <w:sz w:val="15"/>
                <w:szCs w:val="15"/>
              </w:rPr>
            </w:pPr>
            <w:r>
              <w:rPr>
                <w:b/>
                <w:sz w:val="15"/>
              </w:rPr>
              <w:t>1,842.5</w:t>
            </w:r>
          </w:p>
        </w:tc>
        <w:tc>
          <w:tcPr>
            <w:tcW w:w="517" w:type="pct"/>
            <w:shd w:val="clear" w:color="auto" w:fill="C9DED4"/>
            <w:vAlign w:val="bottom"/>
          </w:tcPr>
          <w:p w14:paraId="0CA5C3E0" w14:textId="77777777" w:rsidR="00EB7374" w:rsidRPr="00D72A31" w:rsidRDefault="00EB7374" w:rsidP="00C700EB">
            <w:pPr>
              <w:jc w:val="right"/>
              <w:rPr>
                <w:rFonts w:eastAsia="Times New Roman"/>
                <w:b/>
                <w:bCs/>
                <w:sz w:val="15"/>
                <w:szCs w:val="15"/>
              </w:rPr>
            </w:pPr>
            <w:r>
              <w:rPr>
                <w:b/>
                <w:sz w:val="15"/>
              </w:rPr>
              <w:t>1,898.0</w:t>
            </w:r>
          </w:p>
        </w:tc>
        <w:tc>
          <w:tcPr>
            <w:tcW w:w="517" w:type="pct"/>
            <w:shd w:val="clear" w:color="auto" w:fill="C9DED4"/>
            <w:vAlign w:val="bottom"/>
          </w:tcPr>
          <w:p w14:paraId="4E58122F" w14:textId="77777777" w:rsidR="00EB7374" w:rsidRPr="00D72A31" w:rsidRDefault="00EB7374" w:rsidP="00C700EB">
            <w:pPr>
              <w:jc w:val="right"/>
              <w:rPr>
                <w:rFonts w:eastAsia="Times New Roman"/>
                <w:b/>
                <w:bCs/>
                <w:sz w:val="15"/>
                <w:szCs w:val="15"/>
              </w:rPr>
            </w:pPr>
            <w:r>
              <w:rPr>
                <w:b/>
                <w:sz w:val="15"/>
              </w:rPr>
              <w:t>1,822.8</w:t>
            </w:r>
          </w:p>
        </w:tc>
        <w:tc>
          <w:tcPr>
            <w:tcW w:w="517" w:type="pct"/>
            <w:shd w:val="clear" w:color="auto" w:fill="C9DED4"/>
            <w:vAlign w:val="bottom"/>
          </w:tcPr>
          <w:p w14:paraId="23BE7C8D" w14:textId="77777777" w:rsidR="00EB7374" w:rsidRPr="00D72A31" w:rsidRDefault="00EB7374" w:rsidP="00C700EB">
            <w:pPr>
              <w:jc w:val="right"/>
              <w:rPr>
                <w:rFonts w:eastAsia="Times New Roman"/>
                <w:b/>
                <w:bCs/>
                <w:sz w:val="15"/>
                <w:szCs w:val="15"/>
              </w:rPr>
            </w:pPr>
            <w:r>
              <w:rPr>
                <w:b/>
                <w:sz w:val="15"/>
              </w:rPr>
              <w:t>1,781.9</w:t>
            </w:r>
          </w:p>
        </w:tc>
        <w:tc>
          <w:tcPr>
            <w:tcW w:w="517" w:type="pct"/>
            <w:shd w:val="clear" w:color="auto" w:fill="C9DED4"/>
            <w:vAlign w:val="bottom"/>
          </w:tcPr>
          <w:p w14:paraId="5DBD0124" w14:textId="77777777" w:rsidR="00EB7374" w:rsidRPr="00D72A31" w:rsidRDefault="00EB7374" w:rsidP="00C700EB">
            <w:pPr>
              <w:jc w:val="right"/>
              <w:rPr>
                <w:rFonts w:eastAsia="Times New Roman"/>
                <w:b/>
                <w:bCs/>
                <w:sz w:val="15"/>
                <w:szCs w:val="15"/>
              </w:rPr>
            </w:pPr>
            <w:r>
              <w:rPr>
                <w:b/>
                <w:sz w:val="15"/>
              </w:rPr>
              <w:t>2,184.8</w:t>
            </w:r>
          </w:p>
        </w:tc>
        <w:tc>
          <w:tcPr>
            <w:tcW w:w="517" w:type="pct"/>
            <w:shd w:val="clear" w:color="auto" w:fill="C9DED4"/>
            <w:vAlign w:val="bottom"/>
          </w:tcPr>
          <w:p w14:paraId="36E1ACB4" w14:textId="77777777" w:rsidR="00EB7374" w:rsidRPr="00D72A31" w:rsidRDefault="00EB7374" w:rsidP="00C700EB">
            <w:pPr>
              <w:jc w:val="right"/>
              <w:rPr>
                <w:rFonts w:eastAsia="Times New Roman"/>
                <w:b/>
                <w:bCs/>
                <w:sz w:val="15"/>
                <w:szCs w:val="15"/>
              </w:rPr>
            </w:pPr>
            <w:r>
              <w:rPr>
                <w:b/>
                <w:sz w:val="15"/>
              </w:rPr>
              <w:t>1,146.1</w:t>
            </w:r>
          </w:p>
        </w:tc>
      </w:tr>
      <w:tr w:rsidR="00EB7374" w:rsidRPr="00D72A31" w14:paraId="70FBCA32" w14:textId="77777777" w:rsidTr="00C700EB">
        <w:trPr>
          <w:cantSplit/>
        </w:trPr>
        <w:tc>
          <w:tcPr>
            <w:tcW w:w="862" w:type="pct"/>
            <w:shd w:val="clear" w:color="auto" w:fill="auto"/>
            <w:hideMark/>
          </w:tcPr>
          <w:p w14:paraId="66061EE4" w14:textId="77777777" w:rsidR="00EB7374" w:rsidRPr="00D72A31" w:rsidRDefault="00EB7374" w:rsidP="00C700EB">
            <w:pPr>
              <w:jc w:val="left"/>
              <w:rPr>
                <w:sz w:val="15"/>
                <w:szCs w:val="15"/>
              </w:rPr>
            </w:pPr>
            <w:r>
              <w:rPr>
                <w:sz w:val="15"/>
              </w:rPr>
              <w:t xml:space="preserve">Foreign trade </w:t>
            </w:r>
          </w:p>
        </w:tc>
        <w:tc>
          <w:tcPr>
            <w:tcW w:w="517" w:type="pct"/>
            <w:shd w:val="clear" w:color="auto" w:fill="auto"/>
          </w:tcPr>
          <w:p w14:paraId="13DC0C9D" w14:textId="77777777" w:rsidR="00EB7374" w:rsidRPr="00D72A31" w:rsidRDefault="00EB7374" w:rsidP="00C700EB">
            <w:pPr>
              <w:jc w:val="right"/>
              <w:rPr>
                <w:sz w:val="15"/>
                <w:szCs w:val="15"/>
              </w:rPr>
            </w:pPr>
            <w:r>
              <w:rPr>
                <w:sz w:val="15"/>
              </w:rPr>
              <w:t>852.6</w:t>
            </w:r>
          </w:p>
        </w:tc>
        <w:tc>
          <w:tcPr>
            <w:tcW w:w="517" w:type="pct"/>
            <w:shd w:val="clear" w:color="auto" w:fill="auto"/>
          </w:tcPr>
          <w:p w14:paraId="7BDC9934" w14:textId="77777777" w:rsidR="00EB7374" w:rsidRPr="00D72A31" w:rsidRDefault="00EB7374" w:rsidP="00C700EB">
            <w:pPr>
              <w:jc w:val="right"/>
              <w:rPr>
                <w:sz w:val="15"/>
                <w:szCs w:val="15"/>
              </w:rPr>
            </w:pPr>
            <w:r>
              <w:rPr>
                <w:sz w:val="15"/>
              </w:rPr>
              <w:t>1,090.0</w:t>
            </w:r>
          </w:p>
        </w:tc>
        <w:tc>
          <w:tcPr>
            <w:tcW w:w="517" w:type="pct"/>
            <w:shd w:val="clear" w:color="auto" w:fill="auto"/>
          </w:tcPr>
          <w:p w14:paraId="58EE6C9B" w14:textId="77777777" w:rsidR="00EB7374" w:rsidRPr="00D72A31" w:rsidRDefault="00EB7374" w:rsidP="00C700EB">
            <w:pPr>
              <w:jc w:val="right"/>
              <w:rPr>
                <w:sz w:val="15"/>
                <w:szCs w:val="15"/>
              </w:rPr>
            </w:pPr>
            <w:r>
              <w:rPr>
                <w:sz w:val="15"/>
              </w:rPr>
              <w:t>1,113.5</w:t>
            </w:r>
          </w:p>
        </w:tc>
        <w:tc>
          <w:tcPr>
            <w:tcW w:w="517" w:type="pct"/>
            <w:shd w:val="clear" w:color="auto" w:fill="auto"/>
            <w:vAlign w:val="bottom"/>
          </w:tcPr>
          <w:p w14:paraId="4DC954F1" w14:textId="77777777" w:rsidR="00EB7374" w:rsidRPr="00D72A31" w:rsidRDefault="00EB7374" w:rsidP="00C700EB">
            <w:pPr>
              <w:jc w:val="right"/>
              <w:rPr>
                <w:rFonts w:eastAsia="Times New Roman"/>
                <w:sz w:val="15"/>
                <w:szCs w:val="15"/>
              </w:rPr>
            </w:pPr>
            <w:r>
              <w:rPr>
                <w:sz w:val="15"/>
              </w:rPr>
              <w:t>1,184.6</w:t>
            </w:r>
          </w:p>
        </w:tc>
        <w:tc>
          <w:tcPr>
            <w:tcW w:w="517" w:type="pct"/>
            <w:shd w:val="clear" w:color="auto" w:fill="auto"/>
            <w:vAlign w:val="bottom"/>
          </w:tcPr>
          <w:p w14:paraId="3FCC8B33" w14:textId="77777777" w:rsidR="00EB7374" w:rsidRPr="00D72A31" w:rsidRDefault="00EB7374" w:rsidP="00C700EB">
            <w:pPr>
              <w:jc w:val="right"/>
              <w:rPr>
                <w:rFonts w:eastAsia="Times New Roman"/>
                <w:sz w:val="15"/>
                <w:szCs w:val="15"/>
              </w:rPr>
            </w:pPr>
            <w:r>
              <w:rPr>
                <w:sz w:val="15"/>
              </w:rPr>
              <w:t>1,241.0</w:t>
            </w:r>
          </w:p>
        </w:tc>
        <w:tc>
          <w:tcPr>
            <w:tcW w:w="517" w:type="pct"/>
            <w:shd w:val="clear" w:color="auto" w:fill="auto"/>
            <w:vAlign w:val="bottom"/>
          </w:tcPr>
          <w:p w14:paraId="250501B7" w14:textId="77777777" w:rsidR="00EB7374" w:rsidRPr="00D72A31" w:rsidRDefault="00EB7374" w:rsidP="00C700EB">
            <w:pPr>
              <w:jc w:val="right"/>
              <w:rPr>
                <w:rFonts w:eastAsia="Times New Roman"/>
                <w:sz w:val="15"/>
                <w:szCs w:val="15"/>
              </w:rPr>
            </w:pPr>
            <w:r>
              <w:rPr>
                <w:sz w:val="15"/>
              </w:rPr>
              <w:t>1,172.5</w:t>
            </w:r>
          </w:p>
        </w:tc>
        <w:tc>
          <w:tcPr>
            <w:tcW w:w="517" w:type="pct"/>
            <w:shd w:val="clear" w:color="auto" w:fill="auto"/>
            <w:vAlign w:val="bottom"/>
          </w:tcPr>
          <w:p w14:paraId="4C1F8952" w14:textId="77777777" w:rsidR="00EB7374" w:rsidRPr="00D72A31" w:rsidRDefault="00EB7374" w:rsidP="00C700EB">
            <w:pPr>
              <w:jc w:val="right"/>
              <w:rPr>
                <w:rFonts w:eastAsia="Times New Roman"/>
                <w:sz w:val="15"/>
                <w:szCs w:val="15"/>
              </w:rPr>
            </w:pPr>
            <w:r>
              <w:rPr>
                <w:sz w:val="15"/>
              </w:rPr>
              <w:t>1,420.7</w:t>
            </w:r>
          </w:p>
        </w:tc>
        <w:tc>
          <w:tcPr>
            <w:tcW w:w="517" w:type="pct"/>
          </w:tcPr>
          <w:p w14:paraId="70E3DF56" w14:textId="77777777" w:rsidR="00EB7374" w:rsidRPr="00D72A31" w:rsidRDefault="00EB7374" w:rsidP="00C700EB">
            <w:pPr>
              <w:jc w:val="right"/>
              <w:rPr>
                <w:rFonts w:eastAsia="Times New Roman"/>
                <w:sz w:val="15"/>
                <w:szCs w:val="15"/>
              </w:rPr>
            </w:pPr>
            <w:r>
              <w:rPr>
                <w:sz w:val="15"/>
              </w:rPr>
              <w:t>698.3</w:t>
            </w:r>
          </w:p>
        </w:tc>
      </w:tr>
      <w:tr w:rsidR="00EB7374" w:rsidRPr="00D72A31" w14:paraId="4A25C13B" w14:textId="77777777" w:rsidTr="00C700EB">
        <w:trPr>
          <w:cantSplit/>
        </w:trPr>
        <w:tc>
          <w:tcPr>
            <w:tcW w:w="862" w:type="pct"/>
            <w:shd w:val="clear" w:color="auto" w:fill="C9DED4"/>
            <w:hideMark/>
          </w:tcPr>
          <w:p w14:paraId="0688C5FF" w14:textId="77777777" w:rsidR="00EB7374" w:rsidRPr="00D72A31" w:rsidRDefault="00EB7374" w:rsidP="00C700EB">
            <w:pPr>
              <w:ind w:left="113"/>
              <w:jc w:val="left"/>
              <w:rPr>
                <w:sz w:val="15"/>
                <w:szCs w:val="15"/>
              </w:rPr>
            </w:pPr>
            <w:r>
              <w:rPr>
                <w:sz w:val="15"/>
              </w:rPr>
              <w:t>Imports</w:t>
            </w:r>
          </w:p>
        </w:tc>
        <w:tc>
          <w:tcPr>
            <w:tcW w:w="517" w:type="pct"/>
            <w:shd w:val="clear" w:color="auto" w:fill="C9DED4"/>
          </w:tcPr>
          <w:p w14:paraId="4820756B" w14:textId="77777777" w:rsidR="00EB7374" w:rsidRPr="00D72A31" w:rsidRDefault="00EB7374" w:rsidP="00C700EB">
            <w:pPr>
              <w:jc w:val="right"/>
              <w:rPr>
                <w:sz w:val="15"/>
                <w:szCs w:val="15"/>
              </w:rPr>
            </w:pPr>
            <w:r>
              <w:rPr>
                <w:sz w:val="15"/>
              </w:rPr>
              <w:t>525.1</w:t>
            </w:r>
          </w:p>
        </w:tc>
        <w:tc>
          <w:tcPr>
            <w:tcW w:w="517" w:type="pct"/>
            <w:shd w:val="clear" w:color="auto" w:fill="C9DED4"/>
          </w:tcPr>
          <w:p w14:paraId="2045630A" w14:textId="77777777" w:rsidR="00EB7374" w:rsidRPr="00D72A31" w:rsidRDefault="00EB7374" w:rsidP="00C700EB">
            <w:pPr>
              <w:jc w:val="right"/>
              <w:rPr>
                <w:sz w:val="15"/>
                <w:szCs w:val="15"/>
              </w:rPr>
            </w:pPr>
            <w:r>
              <w:rPr>
                <w:sz w:val="15"/>
              </w:rPr>
              <w:t>556.5</w:t>
            </w:r>
          </w:p>
        </w:tc>
        <w:tc>
          <w:tcPr>
            <w:tcW w:w="517" w:type="pct"/>
            <w:shd w:val="clear" w:color="auto" w:fill="C9DED4"/>
          </w:tcPr>
          <w:p w14:paraId="20F52FF5" w14:textId="77777777" w:rsidR="00EB7374" w:rsidRPr="00D72A31" w:rsidRDefault="00EB7374" w:rsidP="00C700EB">
            <w:pPr>
              <w:jc w:val="right"/>
              <w:rPr>
                <w:sz w:val="15"/>
                <w:szCs w:val="15"/>
              </w:rPr>
            </w:pPr>
            <w:r>
              <w:rPr>
                <w:sz w:val="15"/>
              </w:rPr>
              <w:t>572.6</w:t>
            </w:r>
          </w:p>
        </w:tc>
        <w:tc>
          <w:tcPr>
            <w:tcW w:w="517" w:type="pct"/>
            <w:shd w:val="clear" w:color="auto" w:fill="C9DED4"/>
            <w:vAlign w:val="bottom"/>
          </w:tcPr>
          <w:p w14:paraId="793D7BC1" w14:textId="77777777" w:rsidR="00EB7374" w:rsidRPr="00D72A31" w:rsidRDefault="00EB7374" w:rsidP="00C700EB">
            <w:pPr>
              <w:jc w:val="right"/>
              <w:rPr>
                <w:rFonts w:eastAsia="Times New Roman"/>
                <w:sz w:val="15"/>
                <w:szCs w:val="15"/>
              </w:rPr>
            </w:pPr>
            <w:r>
              <w:rPr>
                <w:sz w:val="15"/>
              </w:rPr>
              <w:t>601.5</w:t>
            </w:r>
          </w:p>
        </w:tc>
        <w:tc>
          <w:tcPr>
            <w:tcW w:w="517" w:type="pct"/>
            <w:shd w:val="clear" w:color="auto" w:fill="C9DED4"/>
            <w:vAlign w:val="bottom"/>
          </w:tcPr>
          <w:p w14:paraId="46C18C54" w14:textId="77777777" w:rsidR="00EB7374" w:rsidRPr="00D72A31" w:rsidRDefault="00EB7374" w:rsidP="00C700EB">
            <w:pPr>
              <w:jc w:val="right"/>
              <w:rPr>
                <w:rFonts w:eastAsia="Times New Roman"/>
                <w:sz w:val="15"/>
                <w:szCs w:val="15"/>
              </w:rPr>
            </w:pPr>
            <w:r>
              <w:rPr>
                <w:sz w:val="15"/>
              </w:rPr>
              <w:t>635.5</w:t>
            </w:r>
          </w:p>
        </w:tc>
        <w:tc>
          <w:tcPr>
            <w:tcW w:w="517" w:type="pct"/>
            <w:shd w:val="clear" w:color="auto" w:fill="C9DED4"/>
            <w:vAlign w:val="bottom"/>
          </w:tcPr>
          <w:p w14:paraId="0A315E0B" w14:textId="77777777" w:rsidR="00EB7374" w:rsidRPr="00D72A31" w:rsidRDefault="00EB7374" w:rsidP="00C700EB">
            <w:pPr>
              <w:jc w:val="right"/>
              <w:rPr>
                <w:rFonts w:eastAsia="Times New Roman"/>
                <w:sz w:val="15"/>
                <w:szCs w:val="15"/>
              </w:rPr>
            </w:pPr>
            <w:r>
              <w:rPr>
                <w:sz w:val="15"/>
              </w:rPr>
              <w:t>603.8</w:t>
            </w:r>
          </w:p>
        </w:tc>
        <w:tc>
          <w:tcPr>
            <w:tcW w:w="517" w:type="pct"/>
            <w:shd w:val="clear" w:color="auto" w:fill="C9DED4"/>
            <w:vAlign w:val="bottom"/>
          </w:tcPr>
          <w:p w14:paraId="22F17236" w14:textId="77777777" w:rsidR="00EB7374" w:rsidRPr="00D72A31" w:rsidRDefault="00EB7374" w:rsidP="00C700EB">
            <w:pPr>
              <w:jc w:val="right"/>
              <w:rPr>
                <w:rFonts w:eastAsia="Times New Roman"/>
                <w:sz w:val="15"/>
                <w:szCs w:val="15"/>
              </w:rPr>
            </w:pPr>
            <w:r>
              <w:rPr>
                <w:sz w:val="15"/>
              </w:rPr>
              <w:t>717.5</w:t>
            </w:r>
          </w:p>
        </w:tc>
        <w:tc>
          <w:tcPr>
            <w:tcW w:w="517" w:type="pct"/>
            <w:shd w:val="clear" w:color="auto" w:fill="C9DED4"/>
          </w:tcPr>
          <w:p w14:paraId="23B74D86" w14:textId="77777777" w:rsidR="00EB7374" w:rsidRPr="00D72A31" w:rsidRDefault="00EB7374" w:rsidP="00C700EB">
            <w:pPr>
              <w:jc w:val="right"/>
              <w:rPr>
                <w:rFonts w:eastAsia="Times New Roman"/>
                <w:sz w:val="15"/>
                <w:szCs w:val="15"/>
              </w:rPr>
            </w:pPr>
            <w:r>
              <w:rPr>
                <w:sz w:val="15"/>
              </w:rPr>
              <w:t>362.2</w:t>
            </w:r>
          </w:p>
        </w:tc>
      </w:tr>
      <w:tr w:rsidR="00EB7374" w:rsidRPr="00D72A31" w14:paraId="120475A9" w14:textId="77777777" w:rsidTr="00C700EB">
        <w:trPr>
          <w:cantSplit/>
        </w:trPr>
        <w:tc>
          <w:tcPr>
            <w:tcW w:w="862" w:type="pct"/>
            <w:shd w:val="clear" w:color="auto" w:fill="auto"/>
            <w:hideMark/>
          </w:tcPr>
          <w:p w14:paraId="2572CD13" w14:textId="77777777" w:rsidR="00EB7374" w:rsidRPr="00D72A31" w:rsidRDefault="00EB7374" w:rsidP="00C700EB">
            <w:pPr>
              <w:ind w:left="113"/>
              <w:jc w:val="left"/>
              <w:rPr>
                <w:sz w:val="15"/>
                <w:szCs w:val="15"/>
              </w:rPr>
            </w:pPr>
            <w:r>
              <w:rPr>
                <w:sz w:val="15"/>
              </w:rPr>
              <w:t>Exports</w:t>
            </w:r>
          </w:p>
        </w:tc>
        <w:tc>
          <w:tcPr>
            <w:tcW w:w="517" w:type="pct"/>
            <w:shd w:val="clear" w:color="auto" w:fill="auto"/>
          </w:tcPr>
          <w:p w14:paraId="4032272C" w14:textId="77777777" w:rsidR="00EB7374" w:rsidRPr="00D72A31" w:rsidRDefault="00EB7374" w:rsidP="00C700EB">
            <w:pPr>
              <w:jc w:val="right"/>
              <w:rPr>
                <w:sz w:val="15"/>
                <w:szCs w:val="15"/>
              </w:rPr>
            </w:pPr>
            <w:r>
              <w:rPr>
                <w:sz w:val="15"/>
              </w:rPr>
              <w:t>490.7</w:t>
            </w:r>
          </w:p>
        </w:tc>
        <w:tc>
          <w:tcPr>
            <w:tcW w:w="517" w:type="pct"/>
            <w:shd w:val="clear" w:color="auto" w:fill="auto"/>
          </w:tcPr>
          <w:p w14:paraId="5F159195" w14:textId="77777777" w:rsidR="00EB7374" w:rsidRPr="00D72A31" w:rsidRDefault="00EB7374" w:rsidP="00C700EB">
            <w:pPr>
              <w:jc w:val="right"/>
              <w:rPr>
                <w:sz w:val="15"/>
                <w:szCs w:val="15"/>
              </w:rPr>
            </w:pPr>
            <w:r>
              <w:rPr>
                <w:sz w:val="15"/>
              </w:rPr>
              <w:t>533.5</w:t>
            </w:r>
          </w:p>
        </w:tc>
        <w:tc>
          <w:tcPr>
            <w:tcW w:w="517" w:type="pct"/>
            <w:shd w:val="clear" w:color="auto" w:fill="auto"/>
          </w:tcPr>
          <w:p w14:paraId="597EEFB9" w14:textId="77777777" w:rsidR="00EB7374" w:rsidRPr="00D72A31" w:rsidRDefault="00EB7374" w:rsidP="00C700EB">
            <w:pPr>
              <w:jc w:val="right"/>
              <w:rPr>
                <w:sz w:val="15"/>
                <w:szCs w:val="15"/>
              </w:rPr>
            </w:pPr>
            <w:r>
              <w:rPr>
                <w:sz w:val="15"/>
              </w:rPr>
              <w:t>540.8</w:t>
            </w:r>
          </w:p>
        </w:tc>
        <w:tc>
          <w:tcPr>
            <w:tcW w:w="517" w:type="pct"/>
            <w:shd w:val="clear" w:color="auto" w:fill="auto"/>
            <w:vAlign w:val="bottom"/>
          </w:tcPr>
          <w:p w14:paraId="75BF69F0" w14:textId="77777777" w:rsidR="00EB7374" w:rsidRPr="00D72A31" w:rsidRDefault="00EB7374" w:rsidP="00C700EB">
            <w:pPr>
              <w:jc w:val="right"/>
              <w:rPr>
                <w:rFonts w:eastAsia="Times New Roman"/>
                <w:sz w:val="15"/>
                <w:szCs w:val="15"/>
              </w:rPr>
            </w:pPr>
            <w:r>
              <w:rPr>
                <w:sz w:val="15"/>
              </w:rPr>
              <w:t>583.0</w:t>
            </w:r>
          </w:p>
        </w:tc>
        <w:tc>
          <w:tcPr>
            <w:tcW w:w="517" w:type="pct"/>
            <w:shd w:val="clear" w:color="auto" w:fill="auto"/>
            <w:vAlign w:val="bottom"/>
          </w:tcPr>
          <w:p w14:paraId="4B50254E" w14:textId="77777777" w:rsidR="00EB7374" w:rsidRPr="00D72A31" w:rsidRDefault="00EB7374" w:rsidP="00C700EB">
            <w:pPr>
              <w:jc w:val="right"/>
              <w:rPr>
                <w:rFonts w:eastAsia="Times New Roman"/>
                <w:sz w:val="15"/>
                <w:szCs w:val="15"/>
              </w:rPr>
            </w:pPr>
            <w:r>
              <w:rPr>
                <w:sz w:val="15"/>
              </w:rPr>
              <w:t>605.5</w:t>
            </w:r>
          </w:p>
        </w:tc>
        <w:tc>
          <w:tcPr>
            <w:tcW w:w="517" w:type="pct"/>
            <w:shd w:val="clear" w:color="auto" w:fill="auto"/>
            <w:vAlign w:val="bottom"/>
          </w:tcPr>
          <w:p w14:paraId="5CB40AC2" w14:textId="77777777" w:rsidR="00EB7374" w:rsidRPr="00D72A31" w:rsidRDefault="00EB7374" w:rsidP="00C700EB">
            <w:pPr>
              <w:jc w:val="right"/>
              <w:rPr>
                <w:rFonts w:eastAsia="Times New Roman"/>
                <w:sz w:val="15"/>
                <w:szCs w:val="15"/>
              </w:rPr>
            </w:pPr>
            <w:r>
              <w:rPr>
                <w:sz w:val="15"/>
              </w:rPr>
              <w:t>568.8</w:t>
            </w:r>
          </w:p>
        </w:tc>
        <w:tc>
          <w:tcPr>
            <w:tcW w:w="517" w:type="pct"/>
            <w:shd w:val="clear" w:color="auto" w:fill="auto"/>
            <w:vAlign w:val="bottom"/>
          </w:tcPr>
          <w:p w14:paraId="020DA420" w14:textId="77777777" w:rsidR="00EB7374" w:rsidRPr="00D72A31" w:rsidRDefault="00EB7374" w:rsidP="00C700EB">
            <w:pPr>
              <w:jc w:val="right"/>
              <w:rPr>
                <w:rFonts w:eastAsia="Times New Roman"/>
                <w:sz w:val="15"/>
                <w:szCs w:val="15"/>
              </w:rPr>
            </w:pPr>
            <w:r>
              <w:rPr>
                <w:sz w:val="15"/>
              </w:rPr>
              <w:t>703.2</w:t>
            </w:r>
          </w:p>
        </w:tc>
        <w:tc>
          <w:tcPr>
            <w:tcW w:w="517" w:type="pct"/>
          </w:tcPr>
          <w:p w14:paraId="605E0576" w14:textId="77777777" w:rsidR="00EB7374" w:rsidRPr="00D72A31" w:rsidRDefault="00EB7374" w:rsidP="00C700EB">
            <w:pPr>
              <w:jc w:val="right"/>
              <w:rPr>
                <w:rFonts w:eastAsia="Times New Roman"/>
                <w:sz w:val="15"/>
                <w:szCs w:val="15"/>
              </w:rPr>
            </w:pPr>
            <w:r>
              <w:rPr>
                <w:sz w:val="15"/>
              </w:rPr>
              <w:t>336.1</w:t>
            </w:r>
          </w:p>
        </w:tc>
      </w:tr>
      <w:tr w:rsidR="00EB7374" w:rsidRPr="00D72A31" w14:paraId="2674AA30" w14:textId="77777777" w:rsidTr="00C700EB">
        <w:trPr>
          <w:cantSplit/>
        </w:trPr>
        <w:tc>
          <w:tcPr>
            <w:tcW w:w="862" w:type="pct"/>
            <w:shd w:val="clear" w:color="auto" w:fill="C9DED4"/>
            <w:hideMark/>
          </w:tcPr>
          <w:p w14:paraId="50228D31" w14:textId="77777777" w:rsidR="00EB7374" w:rsidRPr="00D72A31" w:rsidRDefault="00EB7374" w:rsidP="00C700EB">
            <w:pPr>
              <w:jc w:val="left"/>
              <w:rPr>
                <w:sz w:val="15"/>
                <w:szCs w:val="15"/>
              </w:rPr>
            </w:pPr>
            <w:r>
              <w:rPr>
                <w:sz w:val="15"/>
              </w:rPr>
              <w:t xml:space="preserve">Transit </w:t>
            </w:r>
          </w:p>
        </w:tc>
        <w:tc>
          <w:tcPr>
            <w:tcW w:w="517" w:type="pct"/>
            <w:shd w:val="clear" w:color="auto" w:fill="C9DED4"/>
          </w:tcPr>
          <w:p w14:paraId="588F5E80" w14:textId="77777777" w:rsidR="00EB7374" w:rsidRPr="00D72A31" w:rsidRDefault="00EB7374" w:rsidP="00C700EB">
            <w:pPr>
              <w:jc w:val="right"/>
              <w:rPr>
                <w:sz w:val="15"/>
                <w:szCs w:val="15"/>
              </w:rPr>
            </w:pPr>
            <w:r>
              <w:rPr>
                <w:sz w:val="15"/>
              </w:rPr>
              <w:t>355.8</w:t>
            </w:r>
          </w:p>
        </w:tc>
        <w:tc>
          <w:tcPr>
            <w:tcW w:w="517" w:type="pct"/>
            <w:shd w:val="clear" w:color="auto" w:fill="C9DED4"/>
          </w:tcPr>
          <w:p w14:paraId="0F293C34" w14:textId="77777777" w:rsidR="00EB7374" w:rsidRPr="00D72A31" w:rsidRDefault="00EB7374" w:rsidP="00C700EB">
            <w:pPr>
              <w:jc w:val="right"/>
              <w:rPr>
                <w:sz w:val="15"/>
                <w:szCs w:val="15"/>
              </w:rPr>
            </w:pPr>
            <w:r>
              <w:rPr>
                <w:sz w:val="15"/>
              </w:rPr>
              <w:t>396.0</w:t>
            </w:r>
          </w:p>
        </w:tc>
        <w:tc>
          <w:tcPr>
            <w:tcW w:w="517" w:type="pct"/>
            <w:shd w:val="clear" w:color="auto" w:fill="C9DED4"/>
          </w:tcPr>
          <w:p w14:paraId="3BF7595A" w14:textId="77777777" w:rsidR="00EB7374" w:rsidRPr="00D72A31" w:rsidRDefault="00EB7374" w:rsidP="00C700EB">
            <w:pPr>
              <w:jc w:val="right"/>
              <w:rPr>
                <w:sz w:val="15"/>
                <w:szCs w:val="15"/>
              </w:rPr>
            </w:pPr>
            <w:r>
              <w:rPr>
                <w:sz w:val="15"/>
              </w:rPr>
              <w:t>792.0</w:t>
            </w:r>
          </w:p>
        </w:tc>
        <w:tc>
          <w:tcPr>
            <w:tcW w:w="517" w:type="pct"/>
            <w:shd w:val="clear" w:color="auto" w:fill="C9DED4"/>
            <w:vAlign w:val="bottom"/>
          </w:tcPr>
          <w:p w14:paraId="1B2BAFF5" w14:textId="77777777" w:rsidR="00EB7374" w:rsidRPr="00D72A31" w:rsidRDefault="00EB7374" w:rsidP="00C700EB">
            <w:pPr>
              <w:jc w:val="right"/>
              <w:rPr>
                <w:sz w:val="15"/>
                <w:szCs w:val="15"/>
              </w:rPr>
            </w:pPr>
            <w:r>
              <w:rPr>
                <w:sz w:val="15"/>
              </w:rPr>
              <w:t>713.5</w:t>
            </w:r>
          </w:p>
        </w:tc>
        <w:tc>
          <w:tcPr>
            <w:tcW w:w="517" w:type="pct"/>
            <w:shd w:val="clear" w:color="auto" w:fill="C9DED4"/>
            <w:vAlign w:val="bottom"/>
          </w:tcPr>
          <w:p w14:paraId="760A10CF" w14:textId="77777777" w:rsidR="00EB7374" w:rsidRPr="00D72A31" w:rsidRDefault="00EB7374" w:rsidP="00C700EB">
            <w:pPr>
              <w:jc w:val="right"/>
              <w:rPr>
                <w:sz w:val="15"/>
                <w:szCs w:val="15"/>
              </w:rPr>
            </w:pPr>
            <w:r>
              <w:rPr>
                <w:sz w:val="15"/>
              </w:rPr>
              <w:t>581.8</w:t>
            </w:r>
          </w:p>
        </w:tc>
        <w:tc>
          <w:tcPr>
            <w:tcW w:w="517" w:type="pct"/>
            <w:shd w:val="clear" w:color="auto" w:fill="C9DED4"/>
            <w:vAlign w:val="bottom"/>
          </w:tcPr>
          <w:p w14:paraId="7B33C7FC" w14:textId="77777777" w:rsidR="00EB7374" w:rsidRPr="00D72A31" w:rsidRDefault="00EB7374" w:rsidP="00C700EB">
            <w:pPr>
              <w:jc w:val="right"/>
              <w:rPr>
                <w:sz w:val="15"/>
                <w:szCs w:val="15"/>
              </w:rPr>
            </w:pPr>
            <w:r>
              <w:rPr>
                <w:sz w:val="15"/>
              </w:rPr>
              <w:t>609.4</w:t>
            </w:r>
          </w:p>
        </w:tc>
        <w:tc>
          <w:tcPr>
            <w:tcW w:w="517" w:type="pct"/>
            <w:shd w:val="clear" w:color="auto" w:fill="C9DED4"/>
            <w:vAlign w:val="bottom"/>
          </w:tcPr>
          <w:p w14:paraId="0C8C193E" w14:textId="77777777" w:rsidR="00EB7374" w:rsidRPr="00D72A31" w:rsidRDefault="00EB7374" w:rsidP="00C700EB">
            <w:pPr>
              <w:jc w:val="right"/>
              <w:rPr>
                <w:sz w:val="15"/>
                <w:szCs w:val="15"/>
              </w:rPr>
            </w:pPr>
            <w:r>
              <w:rPr>
                <w:sz w:val="15"/>
              </w:rPr>
              <w:t>764.0</w:t>
            </w:r>
          </w:p>
        </w:tc>
        <w:tc>
          <w:tcPr>
            <w:tcW w:w="517" w:type="pct"/>
            <w:shd w:val="clear" w:color="auto" w:fill="C9DED4"/>
          </w:tcPr>
          <w:p w14:paraId="75B11B63" w14:textId="77777777" w:rsidR="00EB7374" w:rsidRPr="00D72A31" w:rsidRDefault="00EB7374" w:rsidP="00C700EB">
            <w:pPr>
              <w:jc w:val="right"/>
              <w:rPr>
                <w:sz w:val="15"/>
                <w:szCs w:val="15"/>
              </w:rPr>
            </w:pPr>
            <w:r>
              <w:rPr>
                <w:sz w:val="15"/>
              </w:rPr>
              <w:t>447.8</w:t>
            </w:r>
          </w:p>
        </w:tc>
      </w:tr>
      <w:tr w:rsidR="00EB7374" w:rsidRPr="00D72A31" w14:paraId="3A939635" w14:textId="77777777" w:rsidTr="00C700EB">
        <w:trPr>
          <w:cantSplit/>
        </w:trPr>
        <w:tc>
          <w:tcPr>
            <w:tcW w:w="862" w:type="pct"/>
            <w:shd w:val="clear" w:color="auto" w:fill="auto"/>
            <w:hideMark/>
          </w:tcPr>
          <w:p w14:paraId="64B1CBC7" w14:textId="77777777" w:rsidR="00EB7374" w:rsidRPr="00D72A31" w:rsidRDefault="00EB7374" w:rsidP="00C700EB">
            <w:pPr>
              <w:ind w:left="113"/>
              <w:jc w:val="left"/>
              <w:rPr>
                <w:sz w:val="15"/>
                <w:szCs w:val="15"/>
              </w:rPr>
            </w:pPr>
            <w:r>
              <w:rPr>
                <w:sz w:val="15"/>
              </w:rPr>
              <w:t xml:space="preserve">Entering </w:t>
            </w:r>
          </w:p>
        </w:tc>
        <w:tc>
          <w:tcPr>
            <w:tcW w:w="517" w:type="pct"/>
            <w:shd w:val="clear" w:color="auto" w:fill="auto"/>
          </w:tcPr>
          <w:p w14:paraId="13E3710E" w14:textId="77777777" w:rsidR="00EB7374" w:rsidRPr="00D72A31" w:rsidRDefault="00EB7374" w:rsidP="00C700EB">
            <w:pPr>
              <w:jc w:val="right"/>
              <w:rPr>
                <w:sz w:val="15"/>
                <w:szCs w:val="15"/>
              </w:rPr>
            </w:pPr>
            <w:r>
              <w:rPr>
                <w:sz w:val="15"/>
              </w:rPr>
              <w:t>177.7</w:t>
            </w:r>
          </w:p>
        </w:tc>
        <w:tc>
          <w:tcPr>
            <w:tcW w:w="517" w:type="pct"/>
            <w:shd w:val="clear" w:color="auto" w:fill="auto"/>
          </w:tcPr>
          <w:p w14:paraId="1774DECF" w14:textId="77777777" w:rsidR="00EB7374" w:rsidRPr="00D72A31" w:rsidRDefault="00EB7374" w:rsidP="00C700EB">
            <w:pPr>
              <w:jc w:val="right"/>
              <w:rPr>
                <w:sz w:val="15"/>
                <w:szCs w:val="15"/>
              </w:rPr>
            </w:pPr>
            <w:r>
              <w:rPr>
                <w:sz w:val="15"/>
              </w:rPr>
              <w:t>198.1</w:t>
            </w:r>
          </w:p>
        </w:tc>
        <w:tc>
          <w:tcPr>
            <w:tcW w:w="517" w:type="pct"/>
            <w:shd w:val="clear" w:color="auto" w:fill="auto"/>
          </w:tcPr>
          <w:p w14:paraId="799471EE" w14:textId="77777777" w:rsidR="00EB7374" w:rsidRPr="00D72A31" w:rsidRDefault="00EB7374" w:rsidP="00C700EB">
            <w:pPr>
              <w:jc w:val="right"/>
              <w:rPr>
                <w:sz w:val="15"/>
                <w:szCs w:val="15"/>
              </w:rPr>
            </w:pPr>
            <w:r>
              <w:rPr>
                <w:sz w:val="15"/>
              </w:rPr>
              <w:t>365.3</w:t>
            </w:r>
          </w:p>
        </w:tc>
        <w:tc>
          <w:tcPr>
            <w:tcW w:w="517" w:type="pct"/>
            <w:shd w:val="clear" w:color="auto" w:fill="auto"/>
            <w:vAlign w:val="bottom"/>
          </w:tcPr>
          <w:p w14:paraId="4EE3A348" w14:textId="77777777" w:rsidR="00EB7374" w:rsidRPr="00D72A31" w:rsidRDefault="00EB7374" w:rsidP="00C700EB">
            <w:pPr>
              <w:jc w:val="right"/>
              <w:rPr>
                <w:sz w:val="15"/>
                <w:szCs w:val="15"/>
              </w:rPr>
            </w:pPr>
            <w:r>
              <w:rPr>
                <w:sz w:val="15"/>
              </w:rPr>
              <w:t>357.6</w:t>
            </w:r>
          </w:p>
        </w:tc>
        <w:tc>
          <w:tcPr>
            <w:tcW w:w="517" w:type="pct"/>
            <w:shd w:val="clear" w:color="auto" w:fill="auto"/>
            <w:vAlign w:val="bottom"/>
          </w:tcPr>
          <w:p w14:paraId="0DFBE9AF" w14:textId="77777777" w:rsidR="00EB7374" w:rsidRPr="00D72A31" w:rsidRDefault="00EB7374" w:rsidP="00C700EB">
            <w:pPr>
              <w:jc w:val="right"/>
              <w:rPr>
                <w:sz w:val="15"/>
                <w:szCs w:val="15"/>
              </w:rPr>
            </w:pPr>
            <w:r>
              <w:rPr>
                <w:sz w:val="15"/>
              </w:rPr>
              <w:t>291.3</w:t>
            </w:r>
          </w:p>
        </w:tc>
        <w:tc>
          <w:tcPr>
            <w:tcW w:w="517" w:type="pct"/>
            <w:shd w:val="clear" w:color="auto" w:fill="auto"/>
            <w:vAlign w:val="bottom"/>
          </w:tcPr>
          <w:p w14:paraId="1440A0F7" w14:textId="77777777" w:rsidR="00EB7374" w:rsidRPr="00D72A31" w:rsidRDefault="00EB7374" w:rsidP="00C700EB">
            <w:pPr>
              <w:jc w:val="right"/>
              <w:rPr>
                <w:sz w:val="15"/>
                <w:szCs w:val="15"/>
              </w:rPr>
            </w:pPr>
            <w:r>
              <w:rPr>
                <w:sz w:val="15"/>
              </w:rPr>
              <w:t>330.0</w:t>
            </w:r>
          </w:p>
        </w:tc>
        <w:tc>
          <w:tcPr>
            <w:tcW w:w="517" w:type="pct"/>
            <w:shd w:val="clear" w:color="auto" w:fill="auto"/>
            <w:vAlign w:val="bottom"/>
          </w:tcPr>
          <w:p w14:paraId="0E6BD4A9" w14:textId="77777777" w:rsidR="00EB7374" w:rsidRPr="00D72A31" w:rsidRDefault="00EB7374" w:rsidP="00C700EB">
            <w:pPr>
              <w:jc w:val="right"/>
              <w:rPr>
                <w:sz w:val="15"/>
                <w:szCs w:val="15"/>
              </w:rPr>
            </w:pPr>
            <w:r>
              <w:rPr>
                <w:sz w:val="15"/>
              </w:rPr>
              <w:t>387.0</w:t>
            </w:r>
          </w:p>
        </w:tc>
        <w:tc>
          <w:tcPr>
            <w:tcW w:w="517" w:type="pct"/>
          </w:tcPr>
          <w:p w14:paraId="59CA2252" w14:textId="77777777" w:rsidR="00EB7374" w:rsidRPr="00D72A31" w:rsidRDefault="00EB7374" w:rsidP="00C700EB">
            <w:pPr>
              <w:jc w:val="right"/>
              <w:rPr>
                <w:sz w:val="15"/>
                <w:szCs w:val="15"/>
              </w:rPr>
            </w:pPr>
            <w:r>
              <w:rPr>
                <w:sz w:val="15"/>
              </w:rPr>
              <w:t>222.5</w:t>
            </w:r>
          </w:p>
        </w:tc>
      </w:tr>
      <w:tr w:rsidR="00EB7374" w:rsidRPr="00D72A31" w14:paraId="3D5948DA" w14:textId="77777777" w:rsidTr="00C700EB">
        <w:trPr>
          <w:cantSplit/>
        </w:trPr>
        <w:tc>
          <w:tcPr>
            <w:tcW w:w="862" w:type="pct"/>
            <w:shd w:val="clear" w:color="auto" w:fill="C9DED4"/>
            <w:hideMark/>
          </w:tcPr>
          <w:p w14:paraId="4AF630BE" w14:textId="77777777" w:rsidR="00EB7374" w:rsidRPr="00D72A31" w:rsidRDefault="00EB7374" w:rsidP="00C700EB">
            <w:pPr>
              <w:ind w:left="113"/>
              <w:jc w:val="left"/>
              <w:rPr>
                <w:sz w:val="15"/>
                <w:szCs w:val="15"/>
              </w:rPr>
            </w:pPr>
            <w:r>
              <w:rPr>
                <w:sz w:val="15"/>
              </w:rPr>
              <w:t xml:space="preserve">Leaving </w:t>
            </w:r>
          </w:p>
        </w:tc>
        <w:tc>
          <w:tcPr>
            <w:tcW w:w="517" w:type="pct"/>
            <w:shd w:val="clear" w:color="auto" w:fill="C9DED4"/>
          </w:tcPr>
          <w:p w14:paraId="61B8B96B" w14:textId="77777777" w:rsidR="00EB7374" w:rsidRPr="00D72A31" w:rsidRDefault="00EB7374" w:rsidP="00C700EB">
            <w:pPr>
              <w:jc w:val="right"/>
              <w:rPr>
                <w:sz w:val="15"/>
                <w:szCs w:val="15"/>
              </w:rPr>
            </w:pPr>
            <w:r>
              <w:rPr>
                <w:sz w:val="15"/>
              </w:rPr>
              <w:t>178.0</w:t>
            </w:r>
          </w:p>
        </w:tc>
        <w:tc>
          <w:tcPr>
            <w:tcW w:w="517" w:type="pct"/>
            <w:shd w:val="clear" w:color="auto" w:fill="C9DED4"/>
          </w:tcPr>
          <w:p w14:paraId="06AE3A42" w14:textId="77777777" w:rsidR="00EB7374" w:rsidRPr="00D72A31" w:rsidRDefault="00EB7374" w:rsidP="00C700EB">
            <w:pPr>
              <w:jc w:val="right"/>
              <w:rPr>
                <w:sz w:val="15"/>
                <w:szCs w:val="15"/>
              </w:rPr>
            </w:pPr>
            <w:r>
              <w:rPr>
                <w:sz w:val="15"/>
              </w:rPr>
              <w:t>197.9</w:t>
            </w:r>
          </w:p>
        </w:tc>
        <w:tc>
          <w:tcPr>
            <w:tcW w:w="517" w:type="pct"/>
            <w:shd w:val="clear" w:color="auto" w:fill="C9DED4"/>
          </w:tcPr>
          <w:p w14:paraId="64FD972B" w14:textId="77777777" w:rsidR="00EB7374" w:rsidRPr="00D72A31" w:rsidRDefault="00EB7374" w:rsidP="00C700EB">
            <w:pPr>
              <w:jc w:val="right"/>
              <w:rPr>
                <w:sz w:val="15"/>
                <w:szCs w:val="15"/>
              </w:rPr>
            </w:pPr>
            <w:r>
              <w:rPr>
                <w:sz w:val="15"/>
              </w:rPr>
              <w:t>363.7</w:t>
            </w:r>
          </w:p>
        </w:tc>
        <w:tc>
          <w:tcPr>
            <w:tcW w:w="517" w:type="pct"/>
            <w:shd w:val="clear" w:color="auto" w:fill="C9DED4"/>
            <w:vAlign w:val="bottom"/>
          </w:tcPr>
          <w:p w14:paraId="6F9D385E" w14:textId="77777777" w:rsidR="00EB7374" w:rsidRPr="00D72A31" w:rsidRDefault="00EB7374" w:rsidP="00C700EB">
            <w:pPr>
              <w:jc w:val="right"/>
              <w:rPr>
                <w:rFonts w:eastAsia="Times New Roman"/>
                <w:sz w:val="15"/>
                <w:szCs w:val="15"/>
              </w:rPr>
            </w:pPr>
            <w:r>
              <w:rPr>
                <w:sz w:val="15"/>
              </w:rPr>
              <w:t>355.8</w:t>
            </w:r>
          </w:p>
        </w:tc>
        <w:tc>
          <w:tcPr>
            <w:tcW w:w="517" w:type="pct"/>
            <w:shd w:val="clear" w:color="auto" w:fill="C9DED4"/>
            <w:vAlign w:val="bottom"/>
          </w:tcPr>
          <w:p w14:paraId="7D884FA0" w14:textId="77777777" w:rsidR="00EB7374" w:rsidRPr="00D72A31" w:rsidRDefault="00EB7374" w:rsidP="00C700EB">
            <w:pPr>
              <w:jc w:val="right"/>
              <w:rPr>
                <w:rFonts w:eastAsia="Times New Roman"/>
                <w:sz w:val="15"/>
                <w:szCs w:val="15"/>
              </w:rPr>
            </w:pPr>
            <w:r>
              <w:rPr>
                <w:sz w:val="15"/>
              </w:rPr>
              <w:t>290.6</w:t>
            </w:r>
          </w:p>
        </w:tc>
        <w:tc>
          <w:tcPr>
            <w:tcW w:w="517" w:type="pct"/>
            <w:shd w:val="clear" w:color="auto" w:fill="C9DED4"/>
            <w:vAlign w:val="bottom"/>
          </w:tcPr>
          <w:p w14:paraId="7163B977" w14:textId="77777777" w:rsidR="00EB7374" w:rsidRPr="00D72A31" w:rsidRDefault="00EB7374" w:rsidP="00C700EB">
            <w:pPr>
              <w:jc w:val="right"/>
              <w:rPr>
                <w:rFonts w:eastAsia="Times New Roman"/>
                <w:sz w:val="15"/>
                <w:szCs w:val="15"/>
              </w:rPr>
            </w:pPr>
            <w:r>
              <w:rPr>
                <w:sz w:val="15"/>
              </w:rPr>
              <w:t>279.4</w:t>
            </w:r>
          </w:p>
        </w:tc>
        <w:tc>
          <w:tcPr>
            <w:tcW w:w="517" w:type="pct"/>
            <w:shd w:val="clear" w:color="auto" w:fill="C9DED4"/>
            <w:vAlign w:val="bottom"/>
          </w:tcPr>
          <w:p w14:paraId="19CEEC50" w14:textId="77777777" w:rsidR="00EB7374" w:rsidRPr="00D72A31" w:rsidRDefault="00EB7374" w:rsidP="00C700EB">
            <w:pPr>
              <w:jc w:val="right"/>
              <w:rPr>
                <w:rFonts w:eastAsia="Times New Roman"/>
                <w:sz w:val="15"/>
                <w:szCs w:val="15"/>
              </w:rPr>
            </w:pPr>
            <w:r>
              <w:rPr>
                <w:sz w:val="15"/>
              </w:rPr>
              <w:t>377.0</w:t>
            </w:r>
          </w:p>
        </w:tc>
        <w:tc>
          <w:tcPr>
            <w:tcW w:w="517" w:type="pct"/>
            <w:shd w:val="clear" w:color="auto" w:fill="C9DED4"/>
          </w:tcPr>
          <w:p w14:paraId="324C8A10" w14:textId="77777777" w:rsidR="00EB7374" w:rsidRPr="00D72A31" w:rsidRDefault="00EB7374" w:rsidP="00C700EB">
            <w:pPr>
              <w:jc w:val="right"/>
              <w:rPr>
                <w:rFonts w:eastAsia="Times New Roman"/>
                <w:sz w:val="15"/>
                <w:szCs w:val="15"/>
              </w:rPr>
            </w:pPr>
            <w:r>
              <w:rPr>
                <w:sz w:val="15"/>
              </w:rPr>
              <w:t>225.3</w:t>
            </w:r>
          </w:p>
        </w:tc>
      </w:tr>
      <w:tr w:rsidR="00EB7374" w:rsidRPr="00D72A31" w14:paraId="6A2FE8BE" w14:textId="77777777" w:rsidTr="00C700EB">
        <w:trPr>
          <w:cantSplit/>
        </w:trPr>
        <w:tc>
          <w:tcPr>
            <w:tcW w:w="862" w:type="pct"/>
            <w:shd w:val="clear" w:color="auto" w:fill="auto"/>
            <w:hideMark/>
          </w:tcPr>
          <w:p w14:paraId="254CA026" w14:textId="77777777" w:rsidR="00EB7374" w:rsidRPr="00D72A31" w:rsidRDefault="00EB7374" w:rsidP="00C700EB">
            <w:pPr>
              <w:jc w:val="left"/>
              <w:rPr>
                <w:b/>
                <w:sz w:val="15"/>
                <w:szCs w:val="15"/>
              </w:rPr>
            </w:pPr>
            <w:r>
              <w:rPr>
                <w:b/>
                <w:sz w:val="15"/>
              </w:rPr>
              <w:t xml:space="preserve">Other information </w:t>
            </w:r>
          </w:p>
        </w:tc>
        <w:tc>
          <w:tcPr>
            <w:tcW w:w="4138" w:type="pct"/>
            <w:gridSpan w:val="8"/>
            <w:shd w:val="clear" w:color="auto" w:fill="auto"/>
          </w:tcPr>
          <w:p w14:paraId="07A89A30" w14:textId="77777777" w:rsidR="00EB7374" w:rsidRPr="00D72A31" w:rsidRDefault="00EB7374" w:rsidP="00C700EB">
            <w:pPr>
              <w:jc w:val="center"/>
              <w:rPr>
                <w:sz w:val="15"/>
                <w:szCs w:val="15"/>
              </w:rPr>
            </w:pPr>
          </w:p>
        </w:tc>
      </w:tr>
      <w:tr w:rsidR="00EB7374" w:rsidRPr="00D72A31" w14:paraId="6B22C8BA" w14:textId="77777777" w:rsidTr="00C700EB">
        <w:trPr>
          <w:cantSplit/>
        </w:trPr>
        <w:tc>
          <w:tcPr>
            <w:tcW w:w="862" w:type="pct"/>
            <w:shd w:val="clear" w:color="auto" w:fill="C9DED4"/>
            <w:hideMark/>
          </w:tcPr>
          <w:p w14:paraId="4B00C1E6" w14:textId="77777777" w:rsidR="00EB7374" w:rsidRPr="00D72A31" w:rsidRDefault="00EB7374" w:rsidP="00C700EB">
            <w:pPr>
              <w:jc w:val="left"/>
              <w:rPr>
                <w:sz w:val="15"/>
                <w:szCs w:val="15"/>
              </w:rPr>
            </w:pPr>
            <w:r>
              <w:rPr>
                <w:sz w:val="15"/>
              </w:rPr>
              <w:t xml:space="preserve">No. of </w:t>
            </w:r>
            <w:proofErr w:type="spellStart"/>
            <w:r>
              <w:rPr>
                <w:sz w:val="15"/>
              </w:rPr>
              <w:t>vessels</w:t>
            </w:r>
            <w:r>
              <w:rPr>
                <w:sz w:val="15"/>
                <w:vertAlign w:val="superscript"/>
              </w:rPr>
              <w:t>a</w:t>
            </w:r>
            <w:proofErr w:type="spellEnd"/>
          </w:p>
        </w:tc>
        <w:tc>
          <w:tcPr>
            <w:tcW w:w="517" w:type="pct"/>
            <w:shd w:val="clear" w:color="auto" w:fill="C9DED4"/>
          </w:tcPr>
          <w:p w14:paraId="771B7E93" w14:textId="77777777" w:rsidR="00EB7374" w:rsidRPr="00D72A31" w:rsidRDefault="00EB7374" w:rsidP="00C700EB">
            <w:pPr>
              <w:jc w:val="right"/>
              <w:rPr>
                <w:sz w:val="15"/>
                <w:szCs w:val="15"/>
              </w:rPr>
            </w:pPr>
            <w:r>
              <w:rPr>
                <w:sz w:val="15"/>
              </w:rPr>
              <w:t>4,983</w:t>
            </w:r>
          </w:p>
        </w:tc>
        <w:tc>
          <w:tcPr>
            <w:tcW w:w="517" w:type="pct"/>
            <w:shd w:val="clear" w:color="auto" w:fill="C9DED4"/>
          </w:tcPr>
          <w:p w14:paraId="74D3CE6D" w14:textId="77777777" w:rsidR="00EB7374" w:rsidRPr="00D72A31" w:rsidRDefault="00EB7374" w:rsidP="00C700EB">
            <w:pPr>
              <w:jc w:val="right"/>
              <w:rPr>
                <w:sz w:val="15"/>
                <w:szCs w:val="15"/>
              </w:rPr>
            </w:pPr>
            <w:r>
              <w:rPr>
                <w:sz w:val="15"/>
              </w:rPr>
              <w:t>5,205</w:t>
            </w:r>
          </w:p>
        </w:tc>
        <w:tc>
          <w:tcPr>
            <w:tcW w:w="517" w:type="pct"/>
            <w:shd w:val="clear" w:color="auto" w:fill="C9DED4"/>
          </w:tcPr>
          <w:p w14:paraId="7CA323B4" w14:textId="77777777" w:rsidR="00EB7374" w:rsidRPr="00D72A31" w:rsidRDefault="00EB7374" w:rsidP="00C700EB">
            <w:pPr>
              <w:jc w:val="right"/>
              <w:rPr>
                <w:sz w:val="15"/>
                <w:szCs w:val="15"/>
              </w:rPr>
            </w:pPr>
            <w:r>
              <w:rPr>
                <w:sz w:val="15"/>
              </w:rPr>
              <w:t>5,258</w:t>
            </w:r>
          </w:p>
        </w:tc>
        <w:tc>
          <w:tcPr>
            <w:tcW w:w="517" w:type="pct"/>
            <w:shd w:val="clear" w:color="auto" w:fill="C9DED4"/>
          </w:tcPr>
          <w:p w14:paraId="199DB730" w14:textId="77777777" w:rsidR="00EB7374" w:rsidRPr="00D72A31" w:rsidRDefault="00EB7374" w:rsidP="00C700EB">
            <w:pPr>
              <w:jc w:val="right"/>
              <w:rPr>
                <w:sz w:val="15"/>
                <w:szCs w:val="15"/>
              </w:rPr>
            </w:pPr>
            <w:r>
              <w:rPr>
                <w:sz w:val="15"/>
              </w:rPr>
              <w:t>4,917</w:t>
            </w:r>
          </w:p>
        </w:tc>
        <w:tc>
          <w:tcPr>
            <w:tcW w:w="517" w:type="pct"/>
            <w:shd w:val="clear" w:color="auto" w:fill="C9DED4"/>
          </w:tcPr>
          <w:p w14:paraId="52897D96" w14:textId="77777777" w:rsidR="00EB7374" w:rsidRPr="00D72A31" w:rsidRDefault="00EB7374" w:rsidP="00C700EB">
            <w:pPr>
              <w:jc w:val="right"/>
              <w:rPr>
                <w:sz w:val="15"/>
                <w:szCs w:val="15"/>
              </w:rPr>
            </w:pPr>
            <w:r>
              <w:rPr>
                <w:sz w:val="15"/>
              </w:rPr>
              <w:t>5,025</w:t>
            </w:r>
          </w:p>
        </w:tc>
        <w:tc>
          <w:tcPr>
            <w:tcW w:w="517" w:type="pct"/>
            <w:shd w:val="clear" w:color="auto" w:fill="C9DED4"/>
          </w:tcPr>
          <w:p w14:paraId="7FA3B277" w14:textId="77777777" w:rsidR="00EB7374" w:rsidRPr="00D72A31" w:rsidRDefault="00EB7374" w:rsidP="00C700EB">
            <w:pPr>
              <w:jc w:val="right"/>
              <w:rPr>
                <w:sz w:val="15"/>
                <w:szCs w:val="15"/>
              </w:rPr>
            </w:pPr>
            <w:r>
              <w:rPr>
                <w:sz w:val="15"/>
              </w:rPr>
              <w:t>4,337</w:t>
            </w:r>
          </w:p>
        </w:tc>
        <w:tc>
          <w:tcPr>
            <w:tcW w:w="517" w:type="pct"/>
            <w:shd w:val="clear" w:color="auto" w:fill="C9DED4"/>
          </w:tcPr>
          <w:p w14:paraId="46026A4E" w14:textId="77777777" w:rsidR="00EB7374" w:rsidRPr="00D72A31" w:rsidRDefault="00EB7374" w:rsidP="00C700EB">
            <w:pPr>
              <w:jc w:val="right"/>
              <w:rPr>
                <w:sz w:val="15"/>
                <w:szCs w:val="15"/>
              </w:rPr>
            </w:pPr>
            <w:r>
              <w:rPr>
                <w:sz w:val="15"/>
              </w:rPr>
              <w:t>4,837</w:t>
            </w:r>
          </w:p>
        </w:tc>
        <w:tc>
          <w:tcPr>
            <w:tcW w:w="517" w:type="pct"/>
            <w:shd w:val="clear" w:color="auto" w:fill="C9DED4"/>
          </w:tcPr>
          <w:p w14:paraId="65B4FB8A" w14:textId="77777777" w:rsidR="00EB7374" w:rsidRPr="00D72A31" w:rsidRDefault="00EB7374" w:rsidP="00C700EB">
            <w:pPr>
              <w:jc w:val="right"/>
              <w:rPr>
                <w:sz w:val="15"/>
                <w:szCs w:val="15"/>
              </w:rPr>
            </w:pPr>
            <w:r>
              <w:rPr>
                <w:sz w:val="15"/>
              </w:rPr>
              <w:t>2,805</w:t>
            </w:r>
          </w:p>
        </w:tc>
      </w:tr>
      <w:tr w:rsidR="00EB7374" w:rsidRPr="00D72A31" w14:paraId="474FDE17" w14:textId="77777777" w:rsidTr="00C700EB">
        <w:trPr>
          <w:cantSplit/>
        </w:trPr>
        <w:tc>
          <w:tcPr>
            <w:tcW w:w="862" w:type="pct"/>
            <w:shd w:val="clear" w:color="auto" w:fill="auto"/>
            <w:hideMark/>
          </w:tcPr>
          <w:p w14:paraId="307B817B" w14:textId="77777777" w:rsidR="00EB7374" w:rsidRPr="00D72A31" w:rsidRDefault="00EB7374" w:rsidP="00C700EB">
            <w:pPr>
              <w:jc w:val="left"/>
              <w:rPr>
                <w:sz w:val="15"/>
                <w:szCs w:val="15"/>
              </w:rPr>
            </w:pPr>
            <w:r>
              <w:rPr>
                <w:sz w:val="15"/>
              </w:rPr>
              <w:t xml:space="preserve">No. of </w:t>
            </w:r>
            <w:proofErr w:type="spellStart"/>
            <w:r>
              <w:rPr>
                <w:sz w:val="15"/>
              </w:rPr>
              <w:t>passengers</w:t>
            </w:r>
            <w:r>
              <w:rPr>
                <w:sz w:val="15"/>
                <w:vertAlign w:val="superscript"/>
              </w:rPr>
              <w:t>b</w:t>
            </w:r>
            <w:proofErr w:type="spellEnd"/>
          </w:p>
        </w:tc>
        <w:tc>
          <w:tcPr>
            <w:tcW w:w="517" w:type="pct"/>
            <w:shd w:val="clear" w:color="auto" w:fill="auto"/>
          </w:tcPr>
          <w:p w14:paraId="0D23138B" w14:textId="77777777" w:rsidR="00EB7374" w:rsidRPr="00D72A31" w:rsidRDefault="00EB7374" w:rsidP="00C700EB">
            <w:pPr>
              <w:jc w:val="right"/>
              <w:rPr>
                <w:sz w:val="15"/>
                <w:szCs w:val="15"/>
              </w:rPr>
            </w:pPr>
            <w:r>
              <w:rPr>
                <w:sz w:val="15"/>
              </w:rPr>
              <w:t>528.9</w:t>
            </w:r>
          </w:p>
        </w:tc>
        <w:tc>
          <w:tcPr>
            <w:tcW w:w="517" w:type="pct"/>
            <w:shd w:val="clear" w:color="auto" w:fill="auto"/>
          </w:tcPr>
          <w:p w14:paraId="15B17665" w14:textId="77777777" w:rsidR="00EB7374" w:rsidRPr="00D72A31" w:rsidRDefault="00EB7374" w:rsidP="00C700EB">
            <w:pPr>
              <w:jc w:val="right"/>
              <w:rPr>
                <w:sz w:val="15"/>
                <w:szCs w:val="15"/>
              </w:rPr>
            </w:pPr>
            <w:r>
              <w:rPr>
                <w:sz w:val="15"/>
              </w:rPr>
              <w:t>809.2</w:t>
            </w:r>
          </w:p>
        </w:tc>
        <w:tc>
          <w:tcPr>
            <w:tcW w:w="517" w:type="pct"/>
            <w:shd w:val="clear" w:color="auto" w:fill="auto"/>
          </w:tcPr>
          <w:p w14:paraId="5417AB53" w14:textId="77777777" w:rsidR="00EB7374" w:rsidRPr="00D72A31" w:rsidRDefault="00EB7374" w:rsidP="00C700EB">
            <w:pPr>
              <w:jc w:val="right"/>
              <w:rPr>
                <w:sz w:val="15"/>
                <w:szCs w:val="15"/>
              </w:rPr>
            </w:pPr>
            <w:r>
              <w:rPr>
                <w:sz w:val="15"/>
              </w:rPr>
              <w:t>1,493.3</w:t>
            </w:r>
          </w:p>
        </w:tc>
        <w:tc>
          <w:tcPr>
            <w:tcW w:w="517" w:type="pct"/>
            <w:shd w:val="clear" w:color="auto" w:fill="auto"/>
          </w:tcPr>
          <w:p w14:paraId="2B14768E" w14:textId="77777777" w:rsidR="00EB7374" w:rsidRPr="00D72A31" w:rsidRDefault="00EB7374" w:rsidP="00C700EB">
            <w:pPr>
              <w:jc w:val="right"/>
              <w:rPr>
                <w:sz w:val="15"/>
                <w:szCs w:val="15"/>
              </w:rPr>
            </w:pPr>
            <w:r>
              <w:rPr>
                <w:sz w:val="15"/>
              </w:rPr>
              <w:t>982.3</w:t>
            </w:r>
          </w:p>
        </w:tc>
        <w:tc>
          <w:tcPr>
            <w:tcW w:w="517" w:type="pct"/>
            <w:shd w:val="clear" w:color="auto" w:fill="auto"/>
          </w:tcPr>
          <w:p w14:paraId="4B14F289" w14:textId="77777777" w:rsidR="00EB7374" w:rsidRPr="00D72A31" w:rsidRDefault="00EB7374" w:rsidP="00C700EB">
            <w:pPr>
              <w:jc w:val="right"/>
              <w:rPr>
                <w:sz w:val="15"/>
                <w:szCs w:val="15"/>
              </w:rPr>
            </w:pPr>
            <w:r>
              <w:rPr>
                <w:sz w:val="15"/>
              </w:rPr>
              <w:t>1,103.9</w:t>
            </w:r>
          </w:p>
        </w:tc>
        <w:tc>
          <w:tcPr>
            <w:tcW w:w="517" w:type="pct"/>
            <w:shd w:val="clear" w:color="auto" w:fill="auto"/>
          </w:tcPr>
          <w:p w14:paraId="7DA96083" w14:textId="77777777" w:rsidR="00EB7374" w:rsidRPr="00D72A31" w:rsidRDefault="00EB7374" w:rsidP="00C700EB">
            <w:pPr>
              <w:jc w:val="right"/>
              <w:rPr>
                <w:sz w:val="15"/>
                <w:szCs w:val="15"/>
              </w:rPr>
            </w:pPr>
            <w:r>
              <w:rPr>
                <w:sz w:val="15"/>
              </w:rPr>
              <w:t>344.9</w:t>
            </w:r>
          </w:p>
        </w:tc>
        <w:tc>
          <w:tcPr>
            <w:tcW w:w="517" w:type="pct"/>
            <w:shd w:val="clear" w:color="auto" w:fill="auto"/>
          </w:tcPr>
          <w:p w14:paraId="65E86D43" w14:textId="77777777" w:rsidR="00EB7374" w:rsidRPr="00D72A31" w:rsidRDefault="00EB7374" w:rsidP="00C700EB">
            <w:pPr>
              <w:jc w:val="right"/>
              <w:rPr>
                <w:sz w:val="15"/>
                <w:szCs w:val="15"/>
              </w:rPr>
            </w:pPr>
            <w:r>
              <w:rPr>
                <w:sz w:val="15"/>
              </w:rPr>
              <w:t>363.3</w:t>
            </w:r>
          </w:p>
        </w:tc>
        <w:tc>
          <w:tcPr>
            <w:tcW w:w="517" w:type="pct"/>
          </w:tcPr>
          <w:p w14:paraId="20B47DEE" w14:textId="77777777" w:rsidR="00EB7374" w:rsidRPr="00D72A31" w:rsidRDefault="00EB7374" w:rsidP="00C700EB">
            <w:pPr>
              <w:jc w:val="right"/>
              <w:rPr>
                <w:sz w:val="15"/>
                <w:szCs w:val="15"/>
              </w:rPr>
            </w:pPr>
            <w:r>
              <w:rPr>
                <w:sz w:val="15"/>
              </w:rPr>
              <w:t>652.4</w:t>
            </w:r>
          </w:p>
        </w:tc>
      </w:tr>
    </w:tbl>
    <w:p w14:paraId="5E07EEE5" w14:textId="77777777" w:rsidR="00EB7374" w:rsidRDefault="00EB7374" w:rsidP="00B0434B">
      <w:pPr>
        <w:pStyle w:val="NoteText"/>
        <w:spacing w:before="120"/>
      </w:pPr>
      <w:r>
        <w:t>a</w:t>
      </w:r>
      <w:r>
        <w:tab/>
        <w:t>Freighters, bulk carriers, tankers and passenger ships.</w:t>
      </w:r>
    </w:p>
    <w:p w14:paraId="7164BF86" w14:textId="77777777" w:rsidR="00EB7374" w:rsidRPr="00724732" w:rsidRDefault="00EB7374" w:rsidP="00B0434B">
      <w:pPr>
        <w:pStyle w:val="NoteText"/>
      </w:pPr>
      <w:r>
        <w:t>b</w:t>
      </w:r>
      <w:r>
        <w:tab/>
        <w:t>Thousands of passengers.</w:t>
      </w:r>
    </w:p>
    <w:p w14:paraId="41146CF1" w14:textId="77777777" w:rsidR="00EB7374" w:rsidRPr="00A4298B" w:rsidRDefault="00EB7374" w:rsidP="00B0434B">
      <w:pPr>
        <w:pStyle w:val="NoteText"/>
        <w:spacing w:before="120" w:after="240"/>
      </w:pPr>
      <w:r>
        <w:t>Source:</w:t>
      </w:r>
      <w:r>
        <w:tab/>
      </w:r>
      <w:proofErr w:type="spellStart"/>
      <w:r>
        <w:t>APORDOM</w:t>
      </w:r>
      <w:proofErr w:type="spellEnd"/>
      <w:r>
        <w:t xml:space="preserve"> statistics, viewed at: </w:t>
      </w:r>
      <w:hyperlink r:id="rId57" w:history="1">
        <w:r w:rsidRPr="005171E3">
          <w:rPr>
            <w:rStyle w:val="Hyperlink"/>
          </w:rPr>
          <w:t>https://portuaria.gob.do/transparencia/estadisticas-institucionales</w:t>
        </w:r>
      </w:hyperlink>
      <w:r>
        <w:t>; and data provided by the Dominican authorities.</w:t>
      </w:r>
    </w:p>
    <w:p w14:paraId="47A43DBB" w14:textId="77777777" w:rsidR="00EB7374" w:rsidRDefault="00EB7374" w:rsidP="00C80D98">
      <w:pPr>
        <w:pStyle w:val="BodyText"/>
        <w:rPr>
          <w:rFonts w:eastAsia="Calibri"/>
        </w:rPr>
      </w:pPr>
      <w:r>
        <w:t>There were no changes to the legislation regulating port activities or to the institutions implementing it during the review period. Law No. 70-70 is still in force and governs port activities.</w:t>
      </w:r>
      <w:r w:rsidRPr="00C23180">
        <w:rPr>
          <w:rStyle w:val="FootnoteReference"/>
          <w:rFonts w:eastAsia="Calibri"/>
        </w:rPr>
        <w:footnoteReference w:id="569"/>
      </w:r>
      <w:r>
        <w:t xml:space="preserve"> This Law establishes </w:t>
      </w:r>
      <w:proofErr w:type="spellStart"/>
      <w:r>
        <w:t>APORDOM</w:t>
      </w:r>
      <w:proofErr w:type="spellEnd"/>
      <w:r>
        <w:t xml:space="preserve">, which is the regulatory body for the port system. In addition, the Law on Port and Coastal Policing (Law No. 3003-51) stipulates that Port Commanders shall act under the authority of the Dominican Navy; provides for the payment of specific services, such as port entry and clearance; and regulates in-port inspections and shipbuilding in Dominican territory. Law No. 70-70 gives </w:t>
      </w:r>
      <w:proofErr w:type="spellStart"/>
      <w:r>
        <w:t>APORDOM</w:t>
      </w:r>
      <w:proofErr w:type="spellEnd"/>
      <w:r>
        <w:t xml:space="preserve"> the power to grant concessions for port structures. Up until the Law on Public-Private Partnerships (PPPs) was enacted in 2020, concessions were regulated by Law No. 340</w:t>
      </w:r>
      <w:r>
        <w:noBreakHyphen/>
        <w:t>06 and amendments thereto. The authorities have stated that they expect this new legislation to have a positive impact on port development in the coming years.</w:t>
      </w:r>
    </w:p>
    <w:p w14:paraId="02E10328" w14:textId="2DAE1D21" w:rsidR="00EB7374" w:rsidRPr="00C23180" w:rsidRDefault="00EB7374" w:rsidP="00C80D98">
      <w:pPr>
        <w:pStyle w:val="BodyText"/>
        <w:rPr>
          <w:rFonts w:eastAsia="Calibri"/>
        </w:rPr>
      </w:pPr>
      <w:r>
        <w:lastRenderedPageBreak/>
        <w:t xml:space="preserve">The Dominican Republic has 16 ports, including 10 state-owned ports. The private ports are Amber Cove (a cruise ship port), La Romana and the Multimodal </w:t>
      </w:r>
      <w:proofErr w:type="spellStart"/>
      <w:r>
        <w:t>Caucedo</w:t>
      </w:r>
      <w:proofErr w:type="spellEnd"/>
      <w:r>
        <w:t xml:space="preserve"> Port. </w:t>
      </w:r>
      <w:proofErr w:type="spellStart"/>
      <w:r>
        <w:t>APORDOM</w:t>
      </w:r>
      <w:proofErr w:type="spellEnd"/>
      <w:r>
        <w:t xml:space="preserve"> operates and manages seven state-owned ports</w:t>
      </w:r>
      <w:r w:rsidRPr="00A01374">
        <w:rPr>
          <w:rFonts w:eastAsia="Calibri"/>
          <w:vertAlign w:val="superscript"/>
        </w:rPr>
        <w:footnoteReference w:id="570"/>
      </w:r>
      <w:r>
        <w:t>, while the other three are operated and managed by private sector operators under concession.</w:t>
      </w:r>
      <w:r w:rsidRPr="00C23180">
        <w:rPr>
          <w:rFonts w:eastAsia="Calibri"/>
          <w:vertAlign w:val="superscript"/>
        </w:rPr>
        <w:footnoteReference w:id="571"/>
      </w:r>
      <w:r>
        <w:t xml:space="preserve"> </w:t>
      </w:r>
      <w:proofErr w:type="spellStart"/>
      <w:r>
        <w:t>APORDOM</w:t>
      </w:r>
      <w:proofErr w:type="spellEnd"/>
      <w:r>
        <w:t xml:space="preserve"> grants concessions and supervises the operation of the ports under concession. Concessions are granted on a 10-year renewable basis and the maximum term for the concession is determined as a percentage of the port infrastructure</w:t>
      </w:r>
      <w:r w:rsidR="00FE5A32">
        <w:t>'</w:t>
      </w:r>
      <w:r>
        <w:t>s service life.</w:t>
      </w:r>
      <w:r w:rsidRPr="00C23180">
        <w:rPr>
          <w:rStyle w:val="FootnoteReference"/>
        </w:rPr>
        <w:footnoteReference w:id="572"/>
      </w:r>
      <w:r>
        <w:t xml:space="preserve"> Any concession must be put out to public tender and current concessions were generally granted more than 20 years ago. There are no limitations on foreign ownership stakes in ports under concession.</w:t>
      </w:r>
    </w:p>
    <w:p w14:paraId="0D42CF4E" w14:textId="77777777" w:rsidR="00EB7374" w:rsidRPr="00C23180" w:rsidRDefault="00EB7374" w:rsidP="00C80D98">
      <w:pPr>
        <w:pStyle w:val="BodyText"/>
        <w:rPr>
          <w:rFonts w:eastAsia="Calibri"/>
        </w:rPr>
      </w:pPr>
      <w:r>
        <w:t xml:space="preserve">Most cargo traffic continues to come through the Multimodal </w:t>
      </w:r>
      <w:proofErr w:type="spellStart"/>
      <w:r>
        <w:t>Caucedo</w:t>
      </w:r>
      <w:proofErr w:type="spellEnd"/>
      <w:r>
        <w:t xml:space="preserve"> Port (privately owned) and Río </w:t>
      </w:r>
      <w:proofErr w:type="spellStart"/>
      <w:r>
        <w:t>Haina</w:t>
      </w:r>
      <w:proofErr w:type="spellEnd"/>
      <w:r>
        <w:t xml:space="preserve"> (operated by private entities). Río </w:t>
      </w:r>
      <w:proofErr w:type="spellStart"/>
      <w:r>
        <w:t>Haina</w:t>
      </w:r>
      <w:proofErr w:type="spellEnd"/>
      <w:r>
        <w:t xml:space="preserve"> handles half of imports, while two thirds of exports go through </w:t>
      </w:r>
      <w:proofErr w:type="spellStart"/>
      <w:r>
        <w:t>Caucedo</w:t>
      </w:r>
      <w:proofErr w:type="spellEnd"/>
      <w:r>
        <w:t xml:space="preserve"> and Río </w:t>
      </w:r>
      <w:proofErr w:type="spellStart"/>
      <w:r>
        <w:t>Haina</w:t>
      </w:r>
      <w:proofErr w:type="spellEnd"/>
      <w:r>
        <w:t xml:space="preserve">. The remaining imports and exports mainly move through Puerto Plata, San Pedro de </w:t>
      </w:r>
      <w:proofErr w:type="spellStart"/>
      <w:r>
        <w:t>Marcorís</w:t>
      </w:r>
      <w:proofErr w:type="spellEnd"/>
      <w:r>
        <w:t xml:space="preserve"> and Santo Domingo. </w:t>
      </w:r>
      <w:proofErr w:type="spellStart"/>
      <w:r>
        <w:t>Caucedo</w:t>
      </w:r>
      <w:proofErr w:type="spellEnd"/>
      <w:r>
        <w:t xml:space="preserve"> handles the bulk of transit cargo and two thirds of container traffic. The remaining containerized cargo mainly comes through Río </w:t>
      </w:r>
      <w:proofErr w:type="spellStart"/>
      <w:r>
        <w:t>Haina</w:t>
      </w:r>
      <w:proofErr w:type="spellEnd"/>
      <w:r>
        <w:t xml:space="preserve">. </w:t>
      </w:r>
      <w:proofErr w:type="spellStart"/>
      <w:r>
        <w:t>Caucedo</w:t>
      </w:r>
      <w:proofErr w:type="spellEnd"/>
      <w:r>
        <w:t xml:space="preserve"> is the only port equipped for berthing post-Panamax vessels. </w:t>
      </w:r>
    </w:p>
    <w:p w14:paraId="57179889" w14:textId="77777777" w:rsidR="00EB7374" w:rsidRPr="00C23180" w:rsidRDefault="00EB7374" w:rsidP="00C80D98">
      <w:pPr>
        <w:pStyle w:val="BodyText"/>
        <w:rPr>
          <w:rFonts w:eastAsia="Calibri"/>
        </w:rPr>
      </w:pPr>
      <w:r>
        <w:t xml:space="preserve">The construction of the Amber Cove tourist terminal in the </w:t>
      </w:r>
      <w:proofErr w:type="spellStart"/>
      <w:r>
        <w:t>Maimón</w:t>
      </w:r>
      <w:proofErr w:type="spellEnd"/>
      <w:r>
        <w:t xml:space="preserve"> Bay (Puerto Plata province), which is solely used for cruise ship berthing, has resulted in growth in this type of tourism. In the first six months of 2022, a total of 337 ships from 9 cruise lines carrying 554,000 passengers arrived in the Dominican Republic. In 2019, 1.1 million passengers and cruise ship tourists travelling on 366 cruise ships arrived in the Dominican Republic (Table 4.16).</w:t>
      </w:r>
      <w:r w:rsidRPr="00C23180">
        <w:rPr>
          <w:rStyle w:val="FootnoteReference"/>
        </w:rPr>
        <w:footnoteReference w:id="573"/>
      </w:r>
      <w:r>
        <w:t xml:space="preserve"> Of these passengers, 60% docked at the new Amber Cover terminal, which can accommodate two ships simultaneously and 4,000 passengers. La Romana port also handles cruise ship arrivals and welcomed 26.5% of registered visitors in 2019. The other passenger terminals with lower traffic levels are Santo Domingo and </w:t>
      </w:r>
      <w:proofErr w:type="spellStart"/>
      <w:r>
        <w:t>Samaná</w:t>
      </w:r>
      <w:proofErr w:type="spellEnd"/>
      <w:r>
        <w:t>.</w:t>
      </w:r>
    </w:p>
    <w:p w14:paraId="3F43AF41" w14:textId="2E175980" w:rsidR="00EB7374" w:rsidRPr="00C23180" w:rsidRDefault="00EB7374" w:rsidP="00C80D98">
      <w:pPr>
        <w:pStyle w:val="BodyText"/>
        <w:rPr>
          <w:rFonts w:eastAsia="Calibri"/>
        </w:rPr>
      </w:pPr>
      <w:r>
        <w:t xml:space="preserve">In 2016, the Cap Cana anchorage was put out on concession under an agreement arrangement used in the </w:t>
      </w:r>
      <w:r w:rsidR="009468D7">
        <w:t>eastern</w:t>
      </w:r>
      <w:r>
        <w:t xml:space="preserve"> region of the island. During the review period, the eastern part of the state-owned port (Puerto Plata province) was put out on concession under the regulatory framework set out in Law No. 340-06. After enacting the Law on Public-Private Partnerships, it was declared that developing a cruise ship terminal in Arroyo </w:t>
      </w:r>
      <w:proofErr w:type="spellStart"/>
      <w:r>
        <w:t>Barril</w:t>
      </w:r>
      <w:proofErr w:type="spellEnd"/>
      <w:r>
        <w:t xml:space="preserve"> Port (</w:t>
      </w:r>
      <w:proofErr w:type="spellStart"/>
      <w:r>
        <w:t>Samaná</w:t>
      </w:r>
      <w:proofErr w:type="spellEnd"/>
      <w:r>
        <w:t xml:space="preserve"> province) was in the public interest. In July 2022, construction of this terminal began, which will be equipped to welcome 10,000 tourists per day and has received USD 22 million of private investment.</w:t>
      </w:r>
    </w:p>
    <w:p w14:paraId="22A725F5" w14:textId="77777777" w:rsidR="00EB7374" w:rsidRPr="00214EF4" w:rsidRDefault="00EB7374" w:rsidP="00C80D98">
      <w:pPr>
        <w:pStyle w:val="BodyText"/>
        <w:rPr>
          <w:rFonts w:eastAsia="Calibri"/>
        </w:rPr>
      </w:pPr>
      <w:r>
        <w:t xml:space="preserve">Port services may usually be put out on concession. Stevedoring, buoyage and towing services are currently operated under this system. However, towing services can only be provided by Dominican vessels (with a Dominican registration number). The service providers must be incorporated in the Dominican Republic and must have a licence issued by </w:t>
      </w:r>
      <w:proofErr w:type="spellStart"/>
      <w:r>
        <w:t>APORDOM</w:t>
      </w:r>
      <w:proofErr w:type="spellEnd"/>
      <w:r>
        <w:t>.</w:t>
      </w:r>
      <w:r>
        <w:rPr>
          <w:rStyle w:val="FootnoteReference"/>
          <w:rFonts w:eastAsia="Calibri"/>
        </w:rPr>
        <w:footnoteReference w:id="574"/>
      </w:r>
    </w:p>
    <w:p w14:paraId="0167FD93" w14:textId="77777777" w:rsidR="00EB7374" w:rsidRPr="00214EF4" w:rsidRDefault="00EB7374" w:rsidP="00C80D98">
      <w:pPr>
        <w:pStyle w:val="BodyText"/>
        <w:rPr>
          <w:rFonts w:eastAsia="Calibri"/>
        </w:rPr>
      </w:pPr>
      <w:r>
        <w:t>The executive branch sets port charges in US dollars through a decree and there have been no changes to them since 2005.</w:t>
      </w:r>
      <w:r w:rsidRPr="00C23180">
        <w:rPr>
          <w:rFonts w:eastAsia="Calibri"/>
          <w:vertAlign w:val="superscript"/>
        </w:rPr>
        <w:footnoteReference w:id="575"/>
      </w:r>
      <w:r>
        <w:t xml:space="preserve"> However, port charges in Dominican pesos are updated every week by </w:t>
      </w:r>
      <w:proofErr w:type="spellStart"/>
      <w:r>
        <w:t>APORDOM</w:t>
      </w:r>
      <w:proofErr w:type="spellEnd"/>
      <w:r>
        <w:t xml:space="preserve">. Dominican-flag vessels and passenger boats do not pay berthing charges, but do pay for pilotage services, as well as inspection charges and a set amount per passenger. If they are performing loading or unloading operations, </w:t>
      </w:r>
      <w:bookmarkStart w:id="408" w:name="_Hlk117182489"/>
      <w:r>
        <w:t xml:space="preserve">Dominican-flag vessels </w:t>
      </w:r>
      <w:bookmarkEnd w:id="408"/>
      <w:r>
        <w:t>may receive a 50% discount on the port-stay charge; if they are not performing these operations, they do not have to pay the port-stay charge.</w:t>
      </w:r>
    </w:p>
    <w:p w14:paraId="0D77B484" w14:textId="77777777" w:rsidR="00EB7374" w:rsidRDefault="00EB7374" w:rsidP="00C80D98">
      <w:pPr>
        <w:pStyle w:val="Heading3"/>
      </w:pPr>
      <w:bookmarkStart w:id="409" w:name="_Toc114735790"/>
      <w:bookmarkStart w:id="410" w:name="_Toc117260671"/>
      <w:r>
        <w:lastRenderedPageBreak/>
        <w:t>Tourism</w:t>
      </w:r>
      <w:bookmarkEnd w:id="409"/>
      <w:bookmarkEnd w:id="410"/>
    </w:p>
    <w:p w14:paraId="4454E3B3" w14:textId="77777777" w:rsidR="00EB7374" w:rsidRPr="007074AB" w:rsidRDefault="00EB7374" w:rsidP="00C80D98">
      <w:pPr>
        <w:pStyle w:val="BodyText"/>
      </w:pPr>
      <w:bookmarkStart w:id="411" w:name="_Hlk114097195"/>
      <w:r>
        <w:t>Tourism is still making a vital contribution to the Dominican economy</w:t>
      </w:r>
      <w:bookmarkEnd w:id="411"/>
      <w:r>
        <w:t>. Tourism is the fourth largest employer in the economy, accounting for 7.3% of jobs during the review period on average. In 2015, it contributed 12.7% to the Dominican GDP, but, due to the pandemic, this contribution has fallen considerably and was just 5.6% in 2022 (Table 4.17).</w:t>
      </w:r>
      <w:r w:rsidRPr="00C23180">
        <w:rPr>
          <w:rStyle w:val="FootnoteReference"/>
        </w:rPr>
        <w:footnoteReference w:id="576"/>
      </w:r>
      <w:r>
        <w:t xml:space="preserve"> Up until the outbreak of the pandemic, the sector had been performing well: income had increased 22% between 2015 and 2019, tax income had been up almost 44% and </w:t>
      </w:r>
      <w:proofErr w:type="spellStart"/>
      <w:r>
        <w:t>FDI</w:t>
      </w:r>
      <w:proofErr w:type="spellEnd"/>
      <w:r>
        <w:t xml:space="preserve"> was around USD 1 billion.</w:t>
      </w:r>
      <w:r w:rsidRPr="00C23180">
        <w:rPr>
          <w:rStyle w:val="FootnoteReference"/>
        </w:rPr>
        <w:footnoteReference w:id="577"/>
      </w:r>
      <w:r>
        <w:t xml:space="preserve"> In addition, 2018 saw a record 6.6 million visitors and the number of hotels available grew to 900 in 2020. The closure of airports in the country and the travel restrictions put in place internationally to fight the pandemic hit the sector hard, with income falling by almost 65% between 2019 and 2020. In late 2021 and early 2022, the sector showed signs of recovery and, during the fourth quarter of 2021 and the first two quarters of 2022, the largest number of tourists in the country's history was recorded in each of these quarters.</w:t>
      </w:r>
    </w:p>
    <w:p w14:paraId="07B034C4" w14:textId="77777777" w:rsidR="00EB7374" w:rsidRPr="00A4298B" w:rsidRDefault="00EB7374" w:rsidP="00A55A6F">
      <w:pPr>
        <w:pStyle w:val="Caption"/>
      </w:pPr>
      <w:bookmarkStart w:id="412" w:name="_Toc114735853"/>
      <w:bookmarkStart w:id="413" w:name="_Toc117238071"/>
      <w:r>
        <w:t xml:space="preserve">Table </w:t>
      </w:r>
      <w:r w:rsidR="00BD37F2">
        <w:fldChar w:fldCharType="begin"/>
      </w:r>
      <w:r w:rsidR="00BD37F2">
        <w:instrText xml:space="preserve"> STYLEREF 1 \s </w:instrText>
      </w:r>
      <w:r w:rsidR="00BD37F2">
        <w:fldChar w:fldCharType="separate"/>
      </w:r>
      <w:r>
        <w:rPr>
          <w:noProof/>
        </w:rPr>
        <w:t>4</w:t>
      </w:r>
      <w:r w:rsidR="00BD37F2">
        <w:rPr>
          <w:noProof/>
        </w:rPr>
        <w:fldChar w:fldCharType="end"/>
      </w:r>
      <w:r>
        <w:t>.</w:t>
      </w:r>
      <w:r w:rsidR="00BD37F2">
        <w:fldChar w:fldCharType="begin"/>
      </w:r>
      <w:r w:rsidR="00BD37F2">
        <w:instrText xml:space="preserve"> SEQ Table \* ARABIC \s 1 </w:instrText>
      </w:r>
      <w:r w:rsidR="00BD37F2">
        <w:fldChar w:fldCharType="separate"/>
      </w:r>
      <w:r>
        <w:rPr>
          <w:noProof/>
        </w:rPr>
        <w:t>17</w:t>
      </w:r>
      <w:r w:rsidR="00BD37F2">
        <w:rPr>
          <w:noProof/>
        </w:rPr>
        <w:fldChar w:fldCharType="end"/>
      </w:r>
      <w:r>
        <w:t xml:space="preserve"> Tourism indicators, 2015-22 (June)</w:t>
      </w:r>
      <w:bookmarkEnd w:id="412"/>
      <w:bookmarkEnd w:id="413"/>
    </w:p>
    <w:tbl>
      <w:tblPr>
        <w:tblStyle w:val="WTOTable1"/>
        <w:tblW w:w="5000" w:type="pct"/>
        <w:tblLayout w:type="fixed"/>
        <w:tblLook w:val="04A0" w:firstRow="1" w:lastRow="0" w:firstColumn="1" w:lastColumn="0" w:noHBand="0" w:noVBand="1"/>
      </w:tblPr>
      <w:tblGrid>
        <w:gridCol w:w="2263"/>
        <w:gridCol w:w="994"/>
        <w:gridCol w:w="851"/>
        <w:gridCol w:w="851"/>
        <w:gridCol w:w="849"/>
        <w:gridCol w:w="851"/>
        <w:gridCol w:w="851"/>
        <w:gridCol w:w="851"/>
        <w:gridCol w:w="655"/>
      </w:tblGrid>
      <w:tr w:rsidR="00EB7374" w:rsidRPr="00D72A31" w14:paraId="55CCCAEB" w14:textId="77777777" w:rsidTr="00BB3ED8">
        <w:trPr>
          <w:cnfStyle w:val="100000000000" w:firstRow="1" w:lastRow="0" w:firstColumn="0" w:lastColumn="0" w:oddVBand="0" w:evenVBand="0" w:oddHBand="0" w:evenHBand="0" w:firstRowFirstColumn="0" w:firstRowLastColumn="0" w:lastRowFirstColumn="0" w:lastRowLastColumn="0"/>
          <w:tblHeader/>
        </w:trPr>
        <w:tc>
          <w:tcPr>
            <w:tcW w:w="1255" w:type="pct"/>
          </w:tcPr>
          <w:p w14:paraId="0DE50033" w14:textId="77777777" w:rsidR="00EB7374" w:rsidRPr="00D72A31" w:rsidRDefault="00EB7374" w:rsidP="00C700EB">
            <w:pPr>
              <w:jc w:val="left"/>
              <w:rPr>
                <w:rFonts w:asciiTheme="majorHAnsi" w:hAnsiTheme="majorHAnsi"/>
                <w:b w:val="0"/>
                <w:sz w:val="15"/>
                <w:szCs w:val="15"/>
              </w:rPr>
            </w:pPr>
          </w:p>
        </w:tc>
        <w:tc>
          <w:tcPr>
            <w:tcW w:w="551" w:type="pct"/>
          </w:tcPr>
          <w:p w14:paraId="25455276" w14:textId="77777777" w:rsidR="00EB7374" w:rsidRPr="00D72A31" w:rsidRDefault="00EB7374" w:rsidP="00C700EB">
            <w:pPr>
              <w:jc w:val="right"/>
              <w:rPr>
                <w:rFonts w:asciiTheme="majorHAnsi" w:hAnsiTheme="majorHAnsi"/>
                <w:sz w:val="15"/>
                <w:szCs w:val="15"/>
              </w:rPr>
            </w:pPr>
            <w:r>
              <w:rPr>
                <w:rFonts w:asciiTheme="majorHAnsi" w:hAnsiTheme="majorHAnsi"/>
                <w:sz w:val="15"/>
              </w:rPr>
              <w:t>2015</w:t>
            </w:r>
          </w:p>
        </w:tc>
        <w:tc>
          <w:tcPr>
            <w:tcW w:w="472" w:type="pct"/>
          </w:tcPr>
          <w:p w14:paraId="6F79399A" w14:textId="77777777" w:rsidR="00EB7374" w:rsidRPr="00D72A31" w:rsidRDefault="00EB7374" w:rsidP="00C700EB">
            <w:pPr>
              <w:jc w:val="right"/>
              <w:rPr>
                <w:rFonts w:asciiTheme="majorHAnsi" w:hAnsiTheme="majorHAnsi"/>
                <w:sz w:val="15"/>
                <w:szCs w:val="15"/>
              </w:rPr>
            </w:pPr>
            <w:r>
              <w:rPr>
                <w:rFonts w:asciiTheme="majorHAnsi" w:hAnsiTheme="majorHAnsi"/>
                <w:sz w:val="15"/>
              </w:rPr>
              <w:t>2016</w:t>
            </w:r>
          </w:p>
        </w:tc>
        <w:tc>
          <w:tcPr>
            <w:tcW w:w="472" w:type="pct"/>
          </w:tcPr>
          <w:p w14:paraId="18A3C6C1" w14:textId="77777777" w:rsidR="00EB7374" w:rsidRPr="00D72A31" w:rsidRDefault="00EB7374" w:rsidP="00C700EB">
            <w:pPr>
              <w:jc w:val="right"/>
              <w:rPr>
                <w:rFonts w:asciiTheme="majorHAnsi" w:hAnsiTheme="majorHAnsi"/>
                <w:sz w:val="15"/>
                <w:szCs w:val="15"/>
              </w:rPr>
            </w:pPr>
            <w:r>
              <w:rPr>
                <w:rFonts w:asciiTheme="majorHAnsi" w:hAnsiTheme="majorHAnsi"/>
                <w:sz w:val="15"/>
              </w:rPr>
              <w:t>2017</w:t>
            </w:r>
          </w:p>
        </w:tc>
        <w:tc>
          <w:tcPr>
            <w:tcW w:w="471" w:type="pct"/>
          </w:tcPr>
          <w:p w14:paraId="5E0C8CB0" w14:textId="77777777" w:rsidR="00EB7374" w:rsidRPr="00D72A31" w:rsidRDefault="00EB7374" w:rsidP="00C700EB">
            <w:pPr>
              <w:jc w:val="right"/>
              <w:rPr>
                <w:rFonts w:asciiTheme="majorHAnsi" w:hAnsiTheme="majorHAnsi"/>
                <w:sz w:val="15"/>
                <w:szCs w:val="15"/>
              </w:rPr>
            </w:pPr>
            <w:r>
              <w:rPr>
                <w:rFonts w:asciiTheme="majorHAnsi" w:hAnsiTheme="majorHAnsi"/>
                <w:sz w:val="15"/>
              </w:rPr>
              <w:t>2018</w:t>
            </w:r>
          </w:p>
        </w:tc>
        <w:tc>
          <w:tcPr>
            <w:tcW w:w="472" w:type="pct"/>
          </w:tcPr>
          <w:p w14:paraId="227E2D15" w14:textId="77777777" w:rsidR="00EB7374" w:rsidRPr="00D72A31" w:rsidRDefault="00EB7374" w:rsidP="00C700EB">
            <w:pPr>
              <w:jc w:val="right"/>
              <w:rPr>
                <w:rFonts w:asciiTheme="majorHAnsi" w:hAnsiTheme="majorHAnsi"/>
                <w:sz w:val="15"/>
                <w:szCs w:val="15"/>
              </w:rPr>
            </w:pPr>
            <w:r>
              <w:rPr>
                <w:rFonts w:asciiTheme="majorHAnsi" w:hAnsiTheme="majorHAnsi"/>
                <w:sz w:val="15"/>
              </w:rPr>
              <w:t>2019</w:t>
            </w:r>
          </w:p>
        </w:tc>
        <w:tc>
          <w:tcPr>
            <w:tcW w:w="472" w:type="pct"/>
          </w:tcPr>
          <w:p w14:paraId="5D943CBE" w14:textId="77777777" w:rsidR="00EB7374" w:rsidRPr="00D72A31" w:rsidRDefault="00EB7374" w:rsidP="00C700EB">
            <w:pPr>
              <w:jc w:val="right"/>
              <w:rPr>
                <w:rFonts w:asciiTheme="majorHAnsi" w:hAnsiTheme="majorHAnsi"/>
                <w:sz w:val="15"/>
                <w:szCs w:val="15"/>
              </w:rPr>
            </w:pPr>
            <w:r>
              <w:rPr>
                <w:rFonts w:asciiTheme="majorHAnsi" w:hAnsiTheme="majorHAnsi"/>
                <w:sz w:val="15"/>
              </w:rPr>
              <w:t>2020</w:t>
            </w:r>
          </w:p>
        </w:tc>
        <w:tc>
          <w:tcPr>
            <w:tcW w:w="472" w:type="pct"/>
          </w:tcPr>
          <w:p w14:paraId="1AEB351E" w14:textId="77777777" w:rsidR="00EB7374" w:rsidRPr="00D72A31" w:rsidRDefault="00EB7374" w:rsidP="00C700EB">
            <w:pPr>
              <w:jc w:val="right"/>
              <w:rPr>
                <w:rFonts w:asciiTheme="majorHAnsi" w:hAnsiTheme="majorHAnsi"/>
                <w:sz w:val="15"/>
                <w:szCs w:val="15"/>
              </w:rPr>
            </w:pPr>
            <w:r>
              <w:rPr>
                <w:rFonts w:asciiTheme="majorHAnsi" w:hAnsiTheme="majorHAnsi"/>
                <w:sz w:val="15"/>
              </w:rPr>
              <w:t>2021</w:t>
            </w:r>
          </w:p>
        </w:tc>
        <w:tc>
          <w:tcPr>
            <w:tcW w:w="364" w:type="pct"/>
          </w:tcPr>
          <w:p w14:paraId="4C618F8C" w14:textId="77777777" w:rsidR="00EB7374" w:rsidRPr="00D72A31" w:rsidRDefault="00EB7374" w:rsidP="00C700EB">
            <w:pPr>
              <w:jc w:val="right"/>
              <w:rPr>
                <w:rFonts w:asciiTheme="majorHAnsi" w:hAnsiTheme="majorHAnsi"/>
                <w:sz w:val="15"/>
                <w:szCs w:val="15"/>
              </w:rPr>
            </w:pPr>
            <w:r>
              <w:rPr>
                <w:rFonts w:asciiTheme="majorHAnsi" w:hAnsiTheme="majorHAnsi"/>
                <w:sz w:val="15"/>
              </w:rPr>
              <w:t>2022</w:t>
            </w:r>
          </w:p>
        </w:tc>
      </w:tr>
      <w:tr w:rsidR="00EB7374" w:rsidRPr="00D72A31" w14:paraId="7A5E7968" w14:textId="77777777" w:rsidTr="00BB3ED8">
        <w:tc>
          <w:tcPr>
            <w:tcW w:w="1255" w:type="pct"/>
          </w:tcPr>
          <w:p w14:paraId="2C918A24" w14:textId="77777777" w:rsidR="00EB7374" w:rsidRPr="00D72A31" w:rsidRDefault="00EB7374" w:rsidP="00C700EB">
            <w:pPr>
              <w:jc w:val="left"/>
              <w:rPr>
                <w:rFonts w:asciiTheme="majorHAnsi" w:hAnsiTheme="majorHAnsi"/>
                <w:sz w:val="15"/>
                <w:szCs w:val="15"/>
              </w:rPr>
            </w:pPr>
            <w:r>
              <w:rPr>
                <w:rFonts w:asciiTheme="majorHAnsi" w:hAnsiTheme="majorHAnsi"/>
                <w:sz w:val="15"/>
              </w:rPr>
              <w:t xml:space="preserve">Contribution to </w:t>
            </w:r>
            <w:proofErr w:type="spellStart"/>
            <w:r>
              <w:rPr>
                <w:rFonts w:asciiTheme="majorHAnsi" w:hAnsiTheme="majorHAnsi"/>
                <w:sz w:val="15"/>
              </w:rPr>
              <w:t>GDP</w:t>
            </w:r>
            <w:r>
              <w:rPr>
                <w:rFonts w:asciiTheme="majorHAnsi" w:hAnsiTheme="majorHAnsi"/>
                <w:sz w:val="15"/>
                <w:vertAlign w:val="superscript"/>
              </w:rPr>
              <w:t>a</w:t>
            </w:r>
            <w:proofErr w:type="spellEnd"/>
            <w:r>
              <w:rPr>
                <w:rFonts w:asciiTheme="majorHAnsi" w:hAnsiTheme="majorHAnsi"/>
                <w:sz w:val="15"/>
              </w:rPr>
              <w:t xml:space="preserve"> (%) </w:t>
            </w:r>
          </w:p>
        </w:tc>
        <w:tc>
          <w:tcPr>
            <w:tcW w:w="551" w:type="pct"/>
          </w:tcPr>
          <w:p w14:paraId="666D48B7" w14:textId="77777777" w:rsidR="00EB7374" w:rsidRPr="00D72A31" w:rsidRDefault="00EB7374" w:rsidP="00C700EB">
            <w:pPr>
              <w:jc w:val="right"/>
              <w:rPr>
                <w:rFonts w:asciiTheme="majorHAnsi" w:hAnsiTheme="majorHAnsi"/>
                <w:sz w:val="15"/>
                <w:szCs w:val="15"/>
              </w:rPr>
            </w:pPr>
            <w:r>
              <w:rPr>
                <w:rFonts w:asciiTheme="majorHAnsi" w:hAnsiTheme="majorHAnsi"/>
                <w:sz w:val="15"/>
              </w:rPr>
              <w:t>7.8</w:t>
            </w:r>
          </w:p>
        </w:tc>
        <w:tc>
          <w:tcPr>
            <w:tcW w:w="472" w:type="pct"/>
          </w:tcPr>
          <w:p w14:paraId="098B72D2" w14:textId="77777777" w:rsidR="00EB7374" w:rsidRPr="00D72A31" w:rsidRDefault="00EB7374" w:rsidP="00C700EB">
            <w:pPr>
              <w:jc w:val="right"/>
              <w:rPr>
                <w:rFonts w:asciiTheme="majorHAnsi" w:hAnsiTheme="majorHAnsi"/>
                <w:sz w:val="15"/>
                <w:szCs w:val="15"/>
              </w:rPr>
            </w:pPr>
            <w:r>
              <w:rPr>
                <w:rFonts w:asciiTheme="majorHAnsi" w:hAnsiTheme="majorHAnsi"/>
                <w:sz w:val="15"/>
              </w:rPr>
              <w:t>7.8</w:t>
            </w:r>
          </w:p>
        </w:tc>
        <w:tc>
          <w:tcPr>
            <w:tcW w:w="472" w:type="pct"/>
          </w:tcPr>
          <w:p w14:paraId="45C089B4" w14:textId="77777777" w:rsidR="00EB7374" w:rsidRPr="00D72A31" w:rsidRDefault="00EB7374" w:rsidP="00C700EB">
            <w:pPr>
              <w:jc w:val="right"/>
              <w:rPr>
                <w:rFonts w:asciiTheme="majorHAnsi" w:hAnsiTheme="majorHAnsi"/>
                <w:sz w:val="15"/>
                <w:szCs w:val="15"/>
              </w:rPr>
            </w:pPr>
            <w:r>
              <w:rPr>
                <w:rFonts w:asciiTheme="majorHAnsi" w:hAnsiTheme="majorHAnsi"/>
                <w:sz w:val="15"/>
              </w:rPr>
              <w:t>7.8</w:t>
            </w:r>
          </w:p>
        </w:tc>
        <w:tc>
          <w:tcPr>
            <w:tcW w:w="471" w:type="pct"/>
          </w:tcPr>
          <w:p w14:paraId="066F86B3" w14:textId="77777777" w:rsidR="00EB7374" w:rsidRPr="00D72A31" w:rsidRDefault="00EB7374" w:rsidP="00C700EB">
            <w:pPr>
              <w:jc w:val="right"/>
              <w:rPr>
                <w:rFonts w:asciiTheme="majorHAnsi" w:hAnsiTheme="majorHAnsi"/>
                <w:sz w:val="15"/>
                <w:szCs w:val="15"/>
              </w:rPr>
            </w:pPr>
            <w:r>
              <w:rPr>
                <w:rFonts w:asciiTheme="majorHAnsi" w:hAnsiTheme="majorHAnsi"/>
                <w:sz w:val="15"/>
              </w:rPr>
              <w:t>7.6</w:t>
            </w:r>
          </w:p>
        </w:tc>
        <w:tc>
          <w:tcPr>
            <w:tcW w:w="472" w:type="pct"/>
          </w:tcPr>
          <w:p w14:paraId="7F8F3F5D" w14:textId="77777777" w:rsidR="00EB7374" w:rsidRPr="00D72A31" w:rsidRDefault="00EB7374" w:rsidP="00C700EB">
            <w:pPr>
              <w:jc w:val="right"/>
              <w:rPr>
                <w:rFonts w:asciiTheme="majorHAnsi" w:hAnsiTheme="majorHAnsi"/>
                <w:sz w:val="15"/>
                <w:szCs w:val="15"/>
              </w:rPr>
            </w:pPr>
            <w:r>
              <w:rPr>
                <w:rFonts w:asciiTheme="majorHAnsi" w:hAnsiTheme="majorHAnsi"/>
                <w:sz w:val="15"/>
              </w:rPr>
              <w:t>7.4</w:t>
            </w:r>
          </w:p>
        </w:tc>
        <w:tc>
          <w:tcPr>
            <w:tcW w:w="472" w:type="pct"/>
          </w:tcPr>
          <w:p w14:paraId="357ED7C9" w14:textId="77777777" w:rsidR="00EB7374" w:rsidRPr="00D72A31" w:rsidRDefault="00EB7374" w:rsidP="00C700EB">
            <w:pPr>
              <w:jc w:val="right"/>
              <w:rPr>
                <w:rFonts w:asciiTheme="majorHAnsi" w:hAnsiTheme="majorHAnsi"/>
                <w:sz w:val="15"/>
                <w:szCs w:val="15"/>
              </w:rPr>
            </w:pPr>
            <w:r>
              <w:rPr>
                <w:rFonts w:asciiTheme="majorHAnsi" w:hAnsiTheme="majorHAnsi"/>
                <w:sz w:val="15"/>
              </w:rPr>
              <w:t>4.1</w:t>
            </w:r>
          </w:p>
        </w:tc>
        <w:tc>
          <w:tcPr>
            <w:tcW w:w="472" w:type="pct"/>
          </w:tcPr>
          <w:p w14:paraId="5E28FD61" w14:textId="77777777" w:rsidR="00EB7374" w:rsidRPr="00D72A31" w:rsidRDefault="00EB7374" w:rsidP="00C700EB">
            <w:pPr>
              <w:jc w:val="right"/>
              <w:rPr>
                <w:rFonts w:asciiTheme="majorHAnsi" w:hAnsiTheme="majorHAnsi"/>
                <w:sz w:val="15"/>
                <w:szCs w:val="15"/>
              </w:rPr>
            </w:pPr>
            <w:r>
              <w:rPr>
                <w:rFonts w:asciiTheme="majorHAnsi" w:hAnsiTheme="majorHAnsi"/>
                <w:sz w:val="15"/>
              </w:rPr>
              <w:t>5.3</w:t>
            </w:r>
          </w:p>
        </w:tc>
        <w:tc>
          <w:tcPr>
            <w:tcW w:w="364" w:type="pct"/>
          </w:tcPr>
          <w:p w14:paraId="658D5764" w14:textId="77777777" w:rsidR="00EB7374" w:rsidRPr="00D72A31" w:rsidRDefault="00EB7374" w:rsidP="00C700EB">
            <w:pPr>
              <w:jc w:val="right"/>
              <w:rPr>
                <w:rFonts w:asciiTheme="majorHAnsi" w:hAnsiTheme="majorHAnsi"/>
                <w:sz w:val="15"/>
                <w:szCs w:val="15"/>
              </w:rPr>
            </w:pPr>
            <w:r>
              <w:rPr>
                <w:rFonts w:asciiTheme="majorHAnsi" w:hAnsiTheme="majorHAnsi"/>
                <w:sz w:val="15"/>
              </w:rPr>
              <w:t>5.6</w:t>
            </w:r>
          </w:p>
        </w:tc>
      </w:tr>
      <w:tr w:rsidR="00EB7374" w:rsidRPr="00D72A31" w14:paraId="7CB01559" w14:textId="77777777" w:rsidTr="00BB3ED8">
        <w:trPr>
          <w:cnfStyle w:val="000000010000" w:firstRow="0" w:lastRow="0" w:firstColumn="0" w:lastColumn="0" w:oddVBand="0" w:evenVBand="0" w:oddHBand="0" w:evenHBand="1" w:firstRowFirstColumn="0" w:firstRowLastColumn="0" w:lastRowFirstColumn="0" w:lastRowLastColumn="0"/>
        </w:trPr>
        <w:tc>
          <w:tcPr>
            <w:tcW w:w="1255" w:type="pct"/>
          </w:tcPr>
          <w:p w14:paraId="15648212" w14:textId="77777777" w:rsidR="00EB7374" w:rsidRPr="00D72A31" w:rsidRDefault="00EB7374" w:rsidP="00C700EB">
            <w:pPr>
              <w:jc w:val="left"/>
              <w:rPr>
                <w:rFonts w:asciiTheme="majorHAnsi" w:hAnsiTheme="majorHAnsi"/>
                <w:sz w:val="15"/>
                <w:szCs w:val="15"/>
              </w:rPr>
            </w:pPr>
            <w:r>
              <w:rPr>
                <w:rFonts w:asciiTheme="majorHAnsi" w:hAnsiTheme="majorHAnsi"/>
                <w:sz w:val="15"/>
              </w:rPr>
              <w:t xml:space="preserve">Contribution to services </w:t>
            </w:r>
            <w:proofErr w:type="spellStart"/>
            <w:r>
              <w:rPr>
                <w:rFonts w:asciiTheme="majorHAnsi" w:hAnsiTheme="majorHAnsi"/>
                <w:sz w:val="15"/>
              </w:rPr>
              <w:t>GDP</w:t>
            </w:r>
            <w:r>
              <w:rPr>
                <w:rFonts w:asciiTheme="majorHAnsi" w:hAnsiTheme="majorHAnsi"/>
                <w:sz w:val="15"/>
                <w:vertAlign w:val="superscript"/>
              </w:rPr>
              <w:t>a</w:t>
            </w:r>
            <w:proofErr w:type="spellEnd"/>
            <w:r>
              <w:rPr>
                <w:rFonts w:asciiTheme="majorHAnsi" w:hAnsiTheme="majorHAnsi"/>
                <w:sz w:val="15"/>
              </w:rPr>
              <w:t xml:space="preserve"> (%) </w:t>
            </w:r>
          </w:p>
        </w:tc>
        <w:tc>
          <w:tcPr>
            <w:tcW w:w="551" w:type="pct"/>
          </w:tcPr>
          <w:p w14:paraId="4BDEA69C" w14:textId="77777777" w:rsidR="00EB7374" w:rsidRPr="00D72A31" w:rsidRDefault="00EB7374" w:rsidP="00C700EB">
            <w:pPr>
              <w:jc w:val="right"/>
              <w:rPr>
                <w:rFonts w:asciiTheme="majorHAnsi" w:hAnsiTheme="majorHAnsi"/>
                <w:sz w:val="15"/>
                <w:szCs w:val="15"/>
              </w:rPr>
            </w:pPr>
            <w:r>
              <w:rPr>
                <w:rFonts w:asciiTheme="majorHAnsi" w:hAnsiTheme="majorHAnsi"/>
                <w:sz w:val="15"/>
              </w:rPr>
              <w:t>12.7</w:t>
            </w:r>
          </w:p>
        </w:tc>
        <w:tc>
          <w:tcPr>
            <w:tcW w:w="472" w:type="pct"/>
          </w:tcPr>
          <w:p w14:paraId="37AA7FBF" w14:textId="77777777" w:rsidR="00EB7374" w:rsidRPr="00D72A31" w:rsidRDefault="00EB7374" w:rsidP="00C700EB">
            <w:pPr>
              <w:jc w:val="right"/>
              <w:rPr>
                <w:rFonts w:asciiTheme="majorHAnsi" w:hAnsiTheme="majorHAnsi"/>
                <w:sz w:val="15"/>
                <w:szCs w:val="15"/>
              </w:rPr>
            </w:pPr>
            <w:r>
              <w:rPr>
                <w:rFonts w:asciiTheme="majorHAnsi" w:hAnsiTheme="majorHAnsi"/>
                <w:sz w:val="15"/>
              </w:rPr>
              <w:t>12.7</w:t>
            </w:r>
          </w:p>
        </w:tc>
        <w:tc>
          <w:tcPr>
            <w:tcW w:w="472" w:type="pct"/>
          </w:tcPr>
          <w:p w14:paraId="22F38A65" w14:textId="77777777" w:rsidR="00EB7374" w:rsidRPr="00D72A31" w:rsidRDefault="00EB7374" w:rsidP="00C700EB">
            <w:pPr>
              <w:jc w:val="right"/>
              <w:rPr>
                <w:rFonts w:asciiTheme="majorHAnsi" w:hAnsiTheme="majorHAnsi"/>
                <w:sz w:val="15"/>
                <w:szCs w:val="15"/>
              </w:rPr>
            </w:pPr>
            <w:r>
              <w:rPr>
                <w:rFonts w:asciiTheme="majorHAnsi" w:hAnsiTheme="majorHAnsi"/>
                <w:sz w:val="15"/>
              </w:rPr>
              <w:t>12.8</w:t>
            </w:r>
          </w:p>
        </w:tc>
        <w:tc>
          <w:tcPr>
            <w:tcW w:w="471" w:type="pct"/>
          </w:tcPr>
          <w:p w14:paraId="74110D85" w14:textId="77777777" w:rsidR="00EB7374" w:rsidRPr="00D72A31" w:rsidRDefault="00EB7374" w:rsidP="00C700EB">
            <w:pPr>
              <w:jc w:val="right"/>
              <w:rPr>
                <w:rFonts w:asciiTheme="majorHAnsi" w:hAnsiTheme="majorHAnsi"/>
                <w:sz w:val="15"/>
                <w:szCs w:val="15"/>
              </w:rPr>
            </w:pPr>
            <w:r>
              <w:rPr>
                <w:rFonts w:asciiTheme="majorHAnsi" w:hAnsiTheme="majorHAnsi"/>
                <w:sz w:val="15"/>
              </w:rPr>
              <w:t>12.7</w:t>
            </w:r>
          </w:p>
        </w:tc>
        <w:tc>
          <w:tcPr>
            <w:tcW w:w="472" w:type="pct"/>
          </w:tcPr>
          <w:p w14:paraId="4D40966F" w14:textId="77777777" w:rsidR="00EB7374" w:rsidRPr="00D72A31" w:rsidRDefault="00EB7374" w:rsidP="00C700EB">
            <w:pPr>
              <w:jc w:val="right"/>
              <w:rPr>
                <w:rFonts w:asciiTheme="majorHAnsi" w:hAnsiTheme="majorHAnsi"/>
                <w:sz w:val="15"/>
                <w:szCs w:val="15"/>
              </w:rPr>
            </w:pPr>
            <w:r>
              <w:rPr>
                <w:rFonts w:asciiTheme="majorHAnsi" w:hAnsiTheme="majorHAnsi"/>
                <w:sz w:val="15"/>
              </w:rPr>
              <w:t>12.3</w:t>
            </w:r>
          </w:p>
        </w:tc>
        <w:tc>
          <w:tcPr>
            <w:tcW w:w="472" w:type="pct"/>
          </w:tcPr>
          <w:p w14:paraId="41D8088D" w14:textId="77777777" w:rsidR="00EB7374" w:rsidRPr="00D72A31" w:rsidRDefault="00EB7374" w:rsidP="00C700EB">
            <w:pPr>
              <w:jc w:val="right"/>
              <w:rPr>
                <w:rFonts w:asciiTheme="majorHAnsi" w:hAnsiTheme="majorHAnsi"/>
                <w:sz w:val="15"/>
                <w:szCs w:val="15"/>
              </w:rPr>
            </w:pPr>
            <w:r>
              <w:rPr>
                <w:rFonts w:asciiTheme="majorHAnsi" w:hAnsiTheme="majorHAnsi"/>
                <w:sz w:val="15"/>
              </w:rPr>
              <w:t>7.0</w:t>
            </w:r>
          </w:p>
        </w:tc>
        <w:tc>
          <w:tcPr>
            <w:tcW w:w="472" w:type="pct"/>
          </w:tcPr>
          <w:p w14:paraId="17CCD61A" w14:textId="77777777" w:rsidR="00EB7374" w:rsidRPr="00D72A31" w:rsidRDefault="00EB7374" w:rsidP="00C700EB">
            <w:pPr>
              <w:jc w:val="right"/>
              <w:rPr>
                <w:rFonts w:asciiTheme="majorHAnsi" w:hAnsiTheme="majorHAnsi"/>
                <w:sz w:val="15"/>
                <w:szCs w:val="15"/>
              </w:rPr>
            </w:pPr>
            <w:r>
              <w:rPr>
                <w:rFonts w:asciiTheme="majorHAnsi" w:hAnsiTheme="majorHAnsi"/>
                <w:sz w:val="15"/>
              </w:rPr>
              <w:t>9.5</w:t>
            </w:r>
          </w:p>
        </w:tc>
        <w:tc>
          <w:tcPr>
            <w:tcW w:w="364" w:type="pct"/>
          </w:tcPr>
          <w:p w14:paraId="283E64DC" w14:textId="77777777" w:rsidR="00EB7374" w:rsidRPr="00D72A31" w:rsidRDefault="00EB7374" w:rsidP="00C700EB">
            <w:pPr>
              <w:jc w:val="right"/>
              <w:rPr>
                <w:rFonts w:asciiTheme="majorHAnsi" w:hAnsiTheme="majorHAnsi"/>
                <w:sz w:val="15"/>
                <w:szCs w:val="15"/>
              </w:rPr>
            </w:pPr>
            <w:r>
              <w:rPr>
                <w:rFonts w:asciiTheme="majorHAnsi" w:hAnsiTheme="majorHAnsi"/>
                <w:sz w:val="15"/>
              </w:rPr>
              <w:t>10.2</w:t>
            </w:r>
          </w:p>
        </w:tc>
      </w:tr>
      <w:tr w:rsidR="00EB7374" w:rsidRPr="00D72A31" w14:paraId="185DD152" w14:textId="77777777" w:rsidTr="00BB3ED8">
        <w:tc>
          <w:tcPr>
            <w:tcW w:w="1255" w:type="pct"/>
          </w:tcPr>
          <w:p w14:paraId="0A2FF7D6" w14:textId="77777777" w:rsidR="00EB7374" w:rsidRPr="00D72A31" w:rsidRDefault="00EB7374" w:rsidP="00C700EB">
            <w:pPr>
              <w:jc w:val="left"/>
              <w:rPr>
                <w:rFonts w:asciiTheme="majorHAnsi" w:hAnsiTheme="majorHAnsi"/>
                <w:sz w:val="15"/>
                <w:szCs w:val="15"/>
              </w:rPr>
            </w:pPr>
            <w:r>
              <w:rPr>
                <w:rFonts w:asciiTheme="majorHAnsi" w:hAnsiTheme="majorHAnsi"/>
                <w:sz w:val="15"/>
              </w:rPr>
              <w:t>Employment (%)</w:t>
            </w:r>
          </w:p>
        </w:tc>
        <w:tc>
          <w:tcPr>
            <w:tcW w:w="551" w:type="pct"/>
          </w:tcPr>
          <w:p w14:paraId="6D4393FF" w14:textId="77777777" w:rsidR="00EB7374" w:rsidRPr="00D72A31" w:rsidRDefault="00EB7374" w:rsidP="00C700EB">
            <w:pPr>
              <w:jc w:val="right"/>
              <w:rPr>
                <w:rFonts w:asciiTheme="majorHAnsi" w:hAnsiTheme="majorHAnsi"/>
                <w:sz w:val="15"/>
                <w:szCs w:val="15"/>
              </w:rPr>
            </w:pPr>
            <w:r>
              <w:rPr>
                <w:rFonts w:asciiTheme="majorHAnsi" w:hAnsiTheme="majorHAnsi"/>
                <w:sz w:val="15"/>
              </w:rPr>
              <w:t>7.9</w:t>
            </w:r>
          </w:p>
        </w:tc>
        <w:tc>
          <w:tcPr>
            <w:tcW w:w="472" w:type="pct"/>
          </w:tcPr>
          <w:p w14:paraId="549193DF" w14:textId="77777777" w:rsidR="00EB7374" w:rsidRPr="00D72A31" w:rsidRDefault="00EB7374" w:rsidP="00C700EB">
            <w:pPr>
              <w:jc w:val="right"/>
              <w:rPr>
                <w:rFonts w:asciiTheme="majorHAnsi" w:hAnsiTheme="majorHAnsi"/>
                <w:sz w:val="15"/>
                <w:szCs w:val="15"/>
              </w:rPr>
            </w:pPr>
            <w:r>
              <w:rPr>
                <w:rFonts w:asciiTheme="majorHAnsi" w:hAnsiTheme="majorHAnsi"/>
                <w:sz w:val="15"/>
              </w:rPr>
              <w:t>7.5</w:t>
            </w:r>
          </w:p>
        </w:tc>
        <w:tc>
          <w:tcPr>
            <w:tcW w:w="472" w:type="pct"/>
          </w:tcPr>
          <w:p w14:paraId="6FE2C420" w14:textId="77777777" w:rsidR="00EB7374" w:rsidRPr="00D72A31" w:rsidRDefault="00EB7374" w:rsidP="00C700EB">
            <w:pPr>
              <w:jc w:val="right"/>
              <w:rPr>
                <w:rFonts w:asciiTheme="majorHAnsi" w:hAnsiTheme="majorHAnsi"/>
                <w:sz w:val="15"/>
                <w:szCs w:val="15"/>
              </w:rPr>
            </w:pPr>
            <w:r>
              <w:rPr>
                <w:rFonts w:asciiTheme="majorHAnsi" w:hAnsiTheme="majorHAnsi"/>
                <w:sz w:val="15"/>
              </w:rPr>
              <w:t>7.6</w:t>
            </w:r>
          </w:p>
        </w:tc>
        <w:tc>
          <w:tcPr>
            <w:tcW w:w="471" w:type="pct"/>
          </w:tcPr>
          <w:p w14:paraId="698AF1F7" w14:textId="77777777" w:rsidR="00EB7374" w:rsidRPr="00D72A31" w:rsidRDefault="00EB7374" w:rsidP="00C700EB">
            <w:pPr>
              <w:jc w:val="right"/>
              <w:rPr>
                <w:rFonts w:asciiTheme="majorHAnsi" w:hAnsiTheme="majorHAnsi"/>
                <w:sz w:val="15"/>
                <w:szCs w:val="15"/>
              </w:rPr>
            </w:pPr>
            <w:r>
              <w:rPr>
                <w:rFonts w:asciiTheme="majorHAnsi" w:hAnsiTheme="majorHAnsi"/>
                <w:sz w:val="15"/>
              </w:rPr>
              <w:t>7.1</w:t>
            </w:r>
          </w:p>
        </w:tc>
        <w:tc>
          <w:tcPr>
            <w:tcW w:w="472" w:type="pct"/>
          </w:tcPr>
          <w:p w14:paraId="127171C4" w14:textId="77777777" w:rsidR="00EB7374" w:rsidRPr="00D72A31" w:rsidRDefault="00EB7374" w:rsidP="00C700EB">
            <w:pPr>
              <w:jc w:val="right"/>
              <w:rPr>
                <w:rFonts w:asciiTheme="majorHAnsi" w:hAnsiTheme="majorHAnsi"/>
                <w:sz w:val="15"/>
                <w:szCs w:val="15"/>
              </w:rPr>
            </w:pPr>
            <w:r>
              <w:rPr>
                <w:rFonts w:asciiTheme="majorHAnsi" w:hAnsiTheme="majorHAnsi"/>
                <w:sz w:val="15"/>
              </w:rPr>
              <w:t>7.4</w:t>
            </w:r>
          </w:p>
        </w:tc>
        <w:tc>
          <w:tcPr>
            <w:tcW w:w="472" w:type="pct"/>
          </w:tcPr>
          <w:p w14:paraId="2526284C" w14:textId="77777777" w:rsidR="00EB7374" w:rsidRPr="00D72A31" w:rsidRDefault="00EB7374" w:rsidP="00C700EB">
            <w:pPr>
              <w:jc w:val="right"/>
              <w:rPr>
                <w:rFonts w:asciiTheme="majorHAnsi" w:hAnsiTheme="majorHAnsi"/>
                <w:sz w:val="15"/>
                <w:szCs w:val="15"/>
              </w:rPr>
            </w:pPr>
            <w:r>
              <w:rPr>
                <w:rFonts w:asciiTheme="majorHAnsi" w:hAnsiTheme="majorHAnsi"/>
                <w:sz w:val="15"/>
              </w:rPr>
              <w:t>6.5</w:t>
            </w:r>
          </w:p>
        </w:tc>
        <w:tc>
          <w:tcPr>
            <w:tcW w:w="472" w:type="pct"/>
          </w:tcPr>
          <w:p w14:paraId="43E4B903" w14:textId="77777777" w:rsidR="00EB7374" w:rsidRPr="00D72A31" w:rsidRDefault="00EB7374" w:rsidP="00C700EB">
            <w:pPr>
              <w:jc w:val="right"/>
              <w:rPr>
                <w:rFonts w:asciiTheme="majorHAnsi" w:hAnsiTheme="majorHAnsi"/>
                <w:sz w:val="15"/>
                <w:szCs w:val="15"/>
              </w:rPr>
            </w:pPr>
            <w:r>
              <w:rPr>
                <w:rFonts w:asciiTheme="majorHAnsi" w:hAnsiTheme="majorHAnsi"/>
                <w:sz w:val="15"/>
              </w:rPr>
              <w:t>6.8</w:t>
            </w:r>
          </w:p>
        </w:tc>
        <w:tc>
          <w:tcPr>
            <w:tcW w:w="364" w:type="pct"/>
          </w:tcPr>
          <w:p w14:paraId="389A73EB" w14:textId="77777777" w:rsidR="00EB7374" w:rsidRPr="00D72A31" w:rsidRDefault="00EB7374" w:rsidP="00C700EB">
            <w:pPr>
              <w:jc w:val="right"/>
              <w:rPr>
                <w:rFonts w:asciiTheme="majorHAnsi" w:hAnsiTheme="majorHAnsi"/>
                <w:sz w:val="15"/>
                <w:szCs w:val="15"/>
              </w:rPr>
            </w:pPr>
            <w:r>
              <w:rPr>
                <w:rFonts w:asciiTheme="majorHAnsi" w:hAnsiTheme="majorHAnsi"/>
                <w:sz w:val="15"/>
              </w:rPr>
              <w:t>7.4</w:t>
            </w:r>
          </w:p>
        </w:tc>
      </w:tr>
      <w:tr w:rsidR="00EB7374" w:rsidRPr="00D72A31" w14:paraId="448AF883" w14:textId="77777777" w:rsidTr="00BB3ED8">
        <w:trPr>
          <w:cnfStyle w:val="000000010000" w:firstRow="0" w:lastRow="0" w:firstColumn="0" w:lastColumn="0" w:oddVBand="0" w:evenVBand="0" w:oddHBand="0" w:evenHBand="1" w:firstRowFirstColumn="0" w:firstRowLastColumn="0" w:lastRowFirstColumn="0" w:lastRowLastColumn="0"/>
        </w:trPr>
        <w:tc>
          <w:tcPr>
            <w:tcW w:w="1255" w:type="pct"/>
          </w:tcPr>
          <w:p w14:paraId="6233ED2F" w14:textId="77777777" w:rsidR="00EB7374" w:rsidRPr="00D72A31" w:rsidRDefault="00EB7374" w:rsidP="00C700EB">
            <w:pPr>
              <w:jc w:val="left"/>
              <w:rPr>
                <w:rFonts w:asciiTheme="majorHAnsi" w:hAnsiTheme="majorHAnsi"/>
                <w:sz w:val="15"/>
                <w:szCs w:val="15"/>
              </w:rPr>
            </w:pPr>
            <w:proofErr w:type="spellStart"/>
            <w:r>
              <w:rPr>
                <w:rFonts w:asciiTheme="majorHAnsi" w:hAnsiTheme="majorHAnsi"/>
                <w:sz w:val="15"/>
              </w:rPr>
              <w:t>Income</w:t>
            </w:r>
            <w:r>
              <w:rPr>
                <w:rFonts w:asciiTheme="majorHAnsi" w:hAnsiTheme="majorHAnsi"/>
                <w:sz w:val="15"/>
                <w:vertAlign w:val="superscript"/>
              </w:rPr>
              <w:t>b</w:t>
            </w:r>
            <w:proofErr w:type="spellEnd"/>
          </w:p>
        </w:tc>
        <w:tc>
          <w:tcPr>
            <w:tcW w:w="551" w:type="pct"/>
          </w:tcPr>
          <w:p w14:paraId="7D1F1F54" w14:textId="77777777" w:rsidR="00EB7374" w:rsidRPr="00D72A31" w:rsidRDefault="00EB7374" w:rsidP="00C700EB">
            <w:pPr>
              <w:jc w:val="right"/>
              <w:rPr>
                <w:rFonts w:asciiTheme="majorHAnsi" w:hAnsiTheme="majorHAnsi"/>
                <w:sz w:val="15"/>
                <w:szCs w:val="15"/>
              </w:rPr>
            </w:pPr>
            <w:r>
              <w:rPr>
                <w:rFonts w:asciiTheme="majorHAnsi" w:hAnsiTheme="majorHAnsi"/>
                <w:sz w:val="15"/>
              </w:rPr>
              <w:t>6,115.9</w:t>
            </w:r>
          </w:p>
        </w:tc>
        <w:tc>
          <w:tcPr>
            <w:tcW w:w="472" w:type="pct"/>
          </w:tcPr>
          <w:p w14:paraId="2E01D200" w14:textId="77777777" w:rsidR="00EB7374" w:rsidRPr="00D72A31" w:rsidRDefault="00EB7374" w:rsidP="00C700EB">
            <w:pPr>
              <w:jc w:val="right"/>
              <w:rPr>
                <w:rFonts w:asciiTheme="majorHAnsi" w:hAnsiTheme="majorHAnsi"/>
                <w:sz w:val="15"/>
                <w:szCs w:val="15"/>
              </w:rPr>
            </w:pPr>
            <w:r>
              <w:rPr>
                <w:rFonts w:asciiTheme="majorHAnsi" w:hAnsiTheme="majorHAnsi"/>
                <w:sz w:val="15"/>
              </w:rPr>
              <w:t>6,719.6</w:t>
            </w:r>
          </w:p>
        </w:tc>
        <w:tc>
          <w:tcPr>
            <w:tcW w:w="472" w:type="pct"/>
          </w:tcPr>
          <w:p w14:paraId="16E226D7" w14:textId="77777777" w:rsidR="00EB7374" w:rsidRPr="00D72A31" w:rsidRDefault="00EB7374" w:rsidP="00C700EB">
            <w:pPr>
              <w:jc w:val="right"/>
              <w:rPr>
                <w:rFonts w:asciiTheme="majorHAnsi" w:hAnsiTheme="majorHAnsi"/>
                <w:sz w:val="15"/>
                <w:szCs w:val="15"/>
              </w:rPr>
            </w:pPr>
            <w:r>
              <w:rPr>
                <w:rFonts w:asciiTheme="majorHAnsi" w:hAnsiTheme="majorHAnsi"/>
                <w:sz w:val="15"/>
              </w:rPr>
              <w:t>7,184.1</w:t>
            </w:r>
          </w:p>
        </w:tc>
        <w:tc>
          <w:tcPr>
            <w:tcW w:w="471" w:type="pct"/>
          </w:tcPr>
          <w:p w14:paraId="7CF8BB9A" w14:textId="77777777" w:rsidR="00EB7374" w:rsidRPr="00D72A31" w:rsidRDefault="00EB7374" w:rsidP="00C700EB">
            <w:pPr>
              <w:jc w:val="right"/>
              <w:rPr>
                <w:rFonts w:asciiTheme="majorHAnsi" w:hAnsiTheme="majorHAnsi"/>
                <w:sz w:val="15"/>
                <w:szCs w:val="15"/>
              </w:rPr>
            </w:pPr>
            <w:r>
              <w:rPr>
                <w:rFonts w:asciiTheme="majorHAnsi" w:hAnsiTheme="majorHAnsi"/>
                <w:sz w:val="15"/>
              </w:rPr>
              <w:t>7,547.7</w:t>
            </w:r>
          </w:p>
        </w:tc>
        <w:tc>
          <w:tcPr>
            <w:tcW w:w="472" w:type="pct"/>
          </w:tcPr>
          <w:p w14:paraId="6D41F74E" w14:textId="77777777" w:rsidR="00EB7374" w:rsidRPr="00D72A31" w:rsidRDefault="00EB7374" w:rsidP="00C700EB">
            <w:pPr>
              <w:jc w:val="right"/>
              <w:rPr>
                <w:rFonts w:asciiTheme="majorHAnsi" w:hAnsiTheme="majorHAnsi"/>
                <w:sz w:val="15"/>
                <w:szCs w:val="15"/>
              </w:rPr>
            </w:pPr>
            <w:r>
              <w:rPr>
                <w:rFonts w:asciiTheme="majorHAnsi" w:hAnsiTheme="majorHAnsi"/>
                <w:sz w:val="15"/>
              </w:rPr>
              <w:t>7,471.5</w:t>
            </w:r>
          </w:p>
        </w:tc>
        <w:tc>
          <w:tcPr>
            <w:tcW w:w="472" w:type="pct"/>
          </w:tcPr>
          <w:p w14:paraId="16B96EFD" w14:textId="77777777" w:rsidR="00EB7374" w:rsidRPr="00D72A31" w:rsidRDefault="00EB7374" w:rsidP="00C700EB">
            <w:pPr>
              <w:jc w:val="right"/>
              <w:rPr>
                <w:rFonts w:asciiTheme="majorHAnsi" w:hAnsiTheme="majorHAnsi"/>
                <w:sz w:val="15"/>
                <w:szCs w:val="15"/>
              </w:rPr>
            </w:pPr>
            <w:r>
              <w:rPr>
                <w:rFonts w:asciiTheme="majorHAnsi" w:hAnsiTheme="majorHAnsi"/>
                <w:sz w:val="15"/>
              </w:rPr>
              <w:t>2,674.8</w:t>
            </w:r>
          </w:p>
        </w:tc>
        <w:tc>
          <w:tcPr>
            <w:tcW w:w="472" w:type="pct"/>
          </w:tcPr>
          <w:p w14:paraId="62E398EE" w14:textId="77777777" w:rsidR="00EB7374" w:rsidRPr="00D72A31" w:rsidRDefault="00EB7374" w:rsidP="00C700EB">
            <w:pPr>
              <w:jc w:val="right"/>
              <w:rPr>
                <w:rFonts w:asciiTheme="majorHAnsi" w:hAnsiTheme="majorHAnsi"/>
                <w:sz w:val="15"/>
                <w:szCs w:val="15"/>
              </w:rPr>
            </w:pPr>
            <w:r>
              <w:rPr>
                <w:rFonts w:asciiTheme="majorHAnsi" w:hAnsiTheme="majorHAnsi"/>
                <w:sz w:val="15"/>
              </w:rPr>
              <w:t>5,686.5</w:t>
            </w:r>
          </w:p>
        </w:tc>
        <w:tc>
          <w:tcPr>
            <w:tcW w:w="364" w:type="pct"/>
          </w:tcPr>
          <w:p w14:paraId="506EC511" w14:textId="77777777" w:rsidR="00EB7374" w:rsidRPr="00B67C66" w:rsidRDefault="00EB7374" w:rsidP="00C700EB">
            <w:pPr>
              <w:jc w:val="right"/>
              <w:rPr>
                <w:rFonts w:asciiTheme="majorHAnsi" w:hAnsiTheme="majorHAnsi"/>
                <w:sz w:val="15"/>
                <w:szCs w:val="15"/>
              </w:rPr>
            </w:pPr>
            <w:r>
              <w:rPr>
                <w:sz w:val="15"/>
              </w:rPr>
              <w:t>..</w:t>
            </w:r>
          </w:p>
        </w:tc>
      </w:tr>
      <w:tr w:rsidR="00EB7374" w:rsidRPr="00D72A31" w14:paraId="7BCAABCD" w14:textId="77777777" w:rsidTr="00BB3ED8">
        <w:tc>
          <w:tcPr>
            <w:tcW w:w="1255" w:type="pct"/>
          </w:tcPr>
          <w:p w14:paraId="226CA38A" w14:textId="77777777" w:rsidR="00EB7374" w:rsidRPr="00D72A31" w:rsidRDefault="00EB7374" w:rsidP="00C700EB">
            <w:pPr>
              <w:jc w:val="left"/>
              <w:rPr>
                <w:rFonts w:asciiTheme="majorHAnsi" w:hAnsiTheme="majorHAnsi"/>
                <w:sz w:val="15"/>
                <w:szCs w:val="15"/>
              </w:rPr>
            </w:pPr>
            <w:proofErr w:type="spellStart"/>
            <w:r>
              <w:rPr>
                <w:rFonts w:asciiTheme="majorHAnsi" w:hAnsiTheme="majorHAnsi"/>
                <w:sz w:val="15"/>
              </w:rPr>
              <w:t>FDI</w:t>
            </w:r>
            <w:r>
              <w:rPr>
                <w:rFonts w:asciiTheme="majorHAnsi" w:hAnsiTheme="majorHAnsi"/>
                <w:sz w:val="15"/>
                <w:vertAlign w:val="superscript"/>
              </w:rPr>
              <w:t>b</w:t>
            </w:r>
            <w:proofErr w:type="spellEnd"/>
          </w:p>
        </w:tc>
        <w:tc>
          <w:tcPr>
            <w:tcW w:w="551" w:type="pct"/>
          </w:tcPr>
          <w:p w14:paraId="3CCAB8D4" w14:textId="77777777" w:rsidR="00EB7374" w:rsidRPr="00D72A31" w:rsidRDefault="00EB7374" w:rsidP="00C700EB">
            <w:pPr>
              <w:jc w:val="right"/>
              <w:rPr>
                <w:rFonts w:asciiTheme="majorHAnsi" w:hAnsiTheme="majorHAnsi"/>
                <w:sz w:val="15"/>
                <w:szCs w:val="15"/>
              </w:rPr>
            </w:pPr>
            <w:r>
              <w:rPr>
                <w:rFonts w:asciiTheme="majorHAnsi" w:hAnsiTheme="majorHAnsi"/>
                <w:sz w:val="15"/>
              </w:rPr>
              <w:t>671.9</w:t>
            </w:r>
          </w:p>
        </w:tc>
        <w:tc>
          <w:tcPr>
            <w:tcW w:w="472" w:type="pct"/>
          </w:tcPr>
          <w:p w14:paraId="482172BC" w14:textId="77777777" w:rsidR="00EB7374" w:rsidRPr="00D72A31" w:rsidRDefault="00EB7374" w:rsidP="00C700EB">
            <w:pPr>
              <w:jc w:val="right"/>
              <w:rPr>
                <w:rFonts w:asciiTheme="majorHAnsi" w:hAnsiTheme="majorHAnsi"/>
                <w:sz w:val="15"/>
                <w:szCs w:val="15"/>
              </w:rPr>
            </w:pPr>
            <w:r>
              <w:rPr>
                <w:rFonts w:asciiTheme="majorHAnsi" w:hAnsiTheme="majorHAnsi"/>
                <w:sz w:val="15"/>
              </w:rPr>
              <w:t>790.0</w:t>
            </w:r>
          </w:p>
        </w:tc>
        <w:tc>
          <w:tcPr>
            <w:tcW w:w="472" w:type="pct"/>
          </w:tcPr>
          <w:p w14:paraId="463B6858" w14:textId="77777777" w:rsidR="00EB7374" w:rsidRPr="00D72A31" w:rsidRDefault="00EB7374" w:rsidP="00C700EB">
            <w:pPr>
              <w:jc w:val="right"/>
              <w:rPr>
                <w:rFonts w:asciiTheme="majorHAnsi" w:hAnsiTheme="majorHAnsi"/>
                <w:sz w:val="15"/>
                <w:szCs w:val="15"/>
              </w:rPr>
            </w:pPr>
            <w:r>
              <w:rPr>
                <w:rFonts w:asciiTheme="majorHAnsi" w:hAnsiTheme="majorHAnsi"/>
                <w:sz w:val="15"/>
              </w:rPr>
              <w:t>704.0</w:t>
            </w:r>
          </w:p>
        </w:tc>
        <w:tc>
          <w:tcPr>
            <w:tcW w:w="471" w:type="pct"/>
          </w:tcPr>
          <w:p w14:paraId="701ECDD5" w14:textId="77777777" w:rsidR="00EB7374" w:rsidRPr="00D72A31" w:rsidRDefault="00EB7374" w:rsidP="00C700EB">
            <w:pPr>
              <w:jc w:val="right"/>
              <w:rPr>
                <w:rFonts w:asciiTheme="majorHAnsi" w:hAnsiTheme="majorHAnsi"/>
                <w:sz w:val="15"/>
                <w:szCs w:val="15"/>
              </w:rPr>
            </w:pPr>
            <w:r>
              <w:rPr>
                <w:rFonts w:asciiTheme="majorHAnsi" w:hAnsiTheme="majorHAnsi"/>
                <w:sz w:val="15"/>
              </w:rPr>
              <w:t>854.2</w:t>
            </w:r>
          </w:p>
        </w:tc>
        <w:tc>
          <w:tcPr>
            <w:tcW w:w="472" w:type="pct"/>
          </w:tcPr>
          <w:p w14:paraId="68CB6AB9" w14:textId="77777777" w:rsidR="00EB7374" w:rsidRPr="00D72A31" w:rsidRDefault="00EB7374" w:rsidP="00C700EB">
            <w:pPr>
              <w:jc w:val="right"/>
              <w:rPr>
                <w:rFonts w:asciiTheme="majorHAnsi" w:hAnsiTheme="majorHAnsi"/>
                <w:sz w:val="15"/>
                <w:szCs w:val="15"/>
              </w:rPr>
            </w:pPr>
            <w:r>
              <w:rPr>
                <w:rFonts w:asciiTheme="majorHAnsi" w:hAnsiTheme="majorHAnsi"/>
                <w:sz w:val="15"/>
              </w:rPr>
              <w:t>994.2</w:t>
            </w:r>
          </w:p>
        </w:tc>
        <w:tc>
          <w:tcPr>
            <w:tcW w:w="472" w:type="pct"/>
          </w:tcPr>
          <w:p w14:paraId="5ECA2F45" w14:textId="77777777" w:rsidR="00EB7374" w:rsidRPr="00D72A31" w:rsidRDefault="00EB7374" w:rsidP="00C700EB">
            <w:pPr>
              <w:jc w:val="right"/>
              <w:rPr>
                <w:rFonts w:asciiTheme="majorHAnsi" w:hAnsiTheme="majorHAnsi"/>
                <w:sz w:val="15"/>
                <w:szCs w:val="15"/>
              </w:rPr>
            </w:pPr>
            <w:r>
              <w:rPr>
                <w:rFonts w:asciiTheme="majorHAnsi" w:hAnsiTheme="majorHAnsi"/>
                <w:sz w:val="15"/>
              </w:rPr>
              <w:t>954.0</w:t>
            </w:r>
          </w:p>
        </w:tc>
        <w:tc>
          <w:tcPr>
            <w:tcW w:w="472" w:type="pct"/>
          </w:tcPr>
          <w:p w14:paraId="0D8451C5" w14:textId="77777777" w:rsidR="00EB7374" w:rsidRPr="00D72A31" w:rsidRDefault="00EB7374" w:rsidP="00C700EB">
            <w:pPr>
              <w:jc w:val="right"/>
              <w:rPr>
                <w:rFonts w:asciiTheme="majorHAnsi" w:hAnsiTheme="majorHAnsi"/>
                <w:sz w:val="15"/>
                <w:szCs w:val="15"/>
              </w:rPr>
            </w:pPr>
            <w:r>
              <w:rPr>
                <w:rFonts w:asciiTheme="majorHAnsi" w:hAnsiTheme="majorHAnsi"/>
                <w:sz w:val="15"/>
              </w:rPr>
              <w:t>961.8</w:t>
            </w:r>
          </w:p>
        </w:tc>
        <w:tc>
          <w:tcPr>
            <w:tcW w:w="364" w:type="pct"/>
          </w:tcPr>
          <w:p w14:paraId="2841B508" w14:textId="77777777" w:rsidR="00EB7374" w:rsidRPr="00B67C66" w:rsidRDefault="00EB7374" w:rsidP="00C700EB">
            <w:pPr>
              <w:jc w:val="right"/>
              <w:rPr>
                <w:rFonts w:asciiTheme="majorHAnsi" w:hAnsiTheme="majorHAnsi"/>
                <w:sz w:val="15"/>
                <w:szCs w:val="15"/>
              </w:rPr>
            </w:pPr>
            <w:r>
              <w:rPr>
                <w:sz w:val="15"/>
              </w:rPr>
              <w:t>..</w:t>
            </w:r>
          </w:p>
        </w:tc>
      </w:tr>
      <w:tr w:rsidR="00EB7374" w:rsidRPr="00D72A31" w14:paraId="1E4826EF" w14:textId="77777777" w:rsidTr="00BB3ED8">
        <w:trPr>
          <w:cnfStyle w:val="000000010000" w:firstRow="0" w:lastRow="0" w:firstColumn="0" w:lastColumn="0" w:oddVBand="0" w:evenVBand="0" w:oddHBand="0" w:evenHBand="1" w:firstRowFirstColumn="0" w:firstRowLastColumn="0" w:lastRowFirstColumn="0" w:lastRowLastColumn="0"/>
        </w:trPr>
        <w:tc>
          <w:tcPr>
            <w:tcW w:w="1255" w:type="pct"/>
          </w:tcPr>
          <w:p w14:paraId="292DC4A5" w14:textId="77777777" w:rsidR="00EB7374" w:rsidRPr="00D72A31" w:rsidRDefault="00EB7374" w:rsidP="00C700EB">
            <w:pPr>
              <w:jc w:val="left"/>
              <w:rPr>
                <w:rFonts w:asciiTheme="majorHAnsi" w:hAnsiTheme="majorHAnsi"/>
                <w:sz w:val="15"/>
                <w:szCs w:val="15"/>
              </w:rPr>
            </w:pPr>
            <w:r>
              <w:rPr>
                <w:rFonts w:asciiTheme="majorHAnsi" w:hAnsiTheme="majorHAnsi"/>
                <w:sz w:val="15"/>
              </w:rPr>
              <w:t xml:space="preserve">% of the total </w:t>
            </w:r>
            <w:proofErr w:type="spellStart"/>
            <w:r>
              <w:rPr>
                <w:rFonts w:asciiTheme="majorHAnsi" w:hAnsiTheme="majorHAnsi"/>
                <w:sz w:val="15"/>
              </w:rPr>
              <w:t>FDI</w:t>
            </w:r>
            <w:proofErr w:type="spellEnd"/>
          </w:p>
        </w:tc>
        <w:tc>
          <w:tcPr>
            <w:tcW w:w="551" w:type="pct"/>
          </w:tcPr>
          <w:p w14:paraId="5BDDBA71" w14:textId="77777777" w:rsidR="00EB7374" w:rsidRPr="00D72A31" w:rsidRDefault="00EB7374" w:rsidP="00C700EB">
            <w:pPr>
              <w:jc w:val="right"/>
              <w:rPr>
                <w:rFonts w:asciiTheme="majorHAnsi" w:hAnsiTheme="majorHAnsi"/>
                <w:sz w:val="15"/>
                <w:szCs w:val="15"/>
              </w:rPr>
            </w:pPr>
            <w:r>
              <w:rPr>
                <w:rFonts w:asciiTheme="majorHAnsi" w:hAnsiTheme="majorHAnsi"/>
                <w:sz w:val="15"/>
              </w:rPr>
              <w:t>30.5</w:t>
            </w:r>
          </w:p>
        </w:tc>
        <w:tc>
          <w:tcPr>
            <w:tcW w:w="472" w:type="pct"/>
          </w:tcPr>
          <w:p w14:paraId="64466C59" w14:textId="77777777" w:rsidR="00EB7374" w:rsidRPr="00D72A31" w:rsidRDefault="00EB7374" w:rsidP="00C700EB">
            <w:pPr>
              <w:jc w:val="right"/>
              <w:rPr>
                <w:rFonts w:asciiTheme="majorHAnsi" w:hAnsiTheme="majorHAnsi"/>
                <w:sz w:val="15"/>
                <w:szCs w:val="15"/>
              </w:rPr>
            </w:pPr>
            <w:r>
              <w:rPr>
                <w:rFonts w:asciiTheme="majorHAnsi" w:hAnsiTheme="majorHAnsi"/>
                <w:sz w:val="15"/>
              </w:rPr>
              <w:t>32.8</w:t>
            </w:r>
          </w:p>
        </w:tc>
        <w:tc>
          <w:tcPr>
            <w:tcW w:w="472" w:type="pct"/>
          </w:tcPr>
          <w:p w14:paraId="7CB7705D" w14:textId="77777777" w:rsidR="00EB7374" w:rsidRPr="00D72A31" w:rsidRDefault="00EB7374" w:rsidP="00C700EB">
            <w:pPr>
              <w:jc w:val="right"/>
              <w:rPr>
                <w:rFonts w:asciiTheme="majorHAnsi" w:hAnsiTheme="majorHAnsi"/>
                <w:sz w:val="15"/>
                <w:szCs w:val="15"/>
              </w:rPr>
            </w:pPr>
            <w:r>
              <w:rPr>
                <w:rFonts w:asciiTheme="majorHAnsi" w:hAnsiTheme="majorHAnsi"/>
                <w:sz w:val="15"/>
              </w:rPr>
              <w:t>19.7</w:t>
            </w:r>
          </w:p>
        </w:tc>
        <w:tc>
          <w:tcPr>
            <w:tcW w:w="471" w:type="pct"/>
          </w:tcPr>
          <w:p w14:paraId="245E9E6A" w14:textId="77777777" w:rsidR="00EB7374" w:rsidRPr="00D72A31" w:rsidRDefault="00EB7374" w:rsidP="00C700EB">
            <w:pPr>
              <w:jc w:val="right"/>
              <w:rPr>
                <w:rFonts w:asciiTheme="majorHAnsi" w:hAnsiTheme="majorHAnsi"/>
                <w:sz w:val="15"/>
                <w:szCs w:val="15"/>
              </w:rPr>
            </w:pPr>
            <w:r>
              <w:rPr>
                <w:rFonts w:asciiTheme="majorHAnsi" w:hAnsiTheme="majorHAnsi"/>
                <w:sz w:val="15"/>
              </w:rPr>
              <w:t>33.7</w:t>
            </w:r>
          </w:p>
        </w:tc>
        <w:tc>
          <w:tcPr>
            <w:tcW w:w="472" w:type="pct"/>
          </w:tcPr>
          <w:p w14:paraId="5CF02172" w14:textId="77777777" w:rsidR="00EB7374" w:rsidRPr="00D72A31" w:rsidRDefault="00EB7374" w:rsidP="00C700EB">
            <w:pPr>
              <w:jc w:val="right"/>
              <w:rPr>
                <w:rFonts w:asciiTheme="majorHAnsi" w:hAnsiTheme="majorHAnsi"/>
                <w:sz w:val="15"/>
                <w:szCs w:val="15"/>
              </w:rPr>
            </w:pPr>
            <w:r>
              <w:rPr>
                <w:rFonts w:asciiTheme="majorHAnsi" w:hAnsiTheme="majorHAnsi"/>
                <w:sz w:val="15"/>
              </w:rPr>
              <w:t>32.9</w:t>
            </w:r>
          </w:p>
        </w:tc>
        <w:tc>
          <w:tcPr>
            <w:tcW w:w="472" w:type="pct"/>
          </w:tcPr>
          <w:p w14:paraId="0340038F" w14:textId="77777777" w:rsidR="00EB7374" w:rsidRPr="00D72A31" w:rsidRDefault="00EB7374" w:rsidP="00C700EB">
            <w:pPr>
              <w:jc w:val="right"/>
              <w:rPr>
                <w:rFonts w:asciiTheme="majorHAnsi" w:hAnsiTheme="majorHAnsi"/>
                <w:sz w:val="15"/>
                <w:szCs w:val="15"/>
              </w:rPr>
            </w:pPr>
            <w:r>
              <w:rPr>
                <w:rFonts w:asciiTheme="majorHAnsi" w:hAnsiTheme="majorHAnsi"/>
                <w:sz w:val="15"/>
              </w:rPr>
              <w:t>37.3</w:t>
            </w:r>
          </w:p>
        </w:tc>
        <w:tc>
          <w:tcPr>
            <w:tcW w:w="472" w:type="pct"/>
          </w:tcPr>
          <w:p w14:paraId="49D54311" w14:textId="77777777" w:rsidR="00EB7374" w:rsidRPr="00D72A31" w:rsidRDefault="00EB7374" w:rsidP="00C700EB">
            <w:pPr>
              <w:jc w:val="right"/>
              <w:rPr>
                <w:rFonts w:asciiTheme="majorHAnsi" w:hAnsiTheme="majorHAnsi"/>
                <w:sz w:val="15"/>
                <w:szCs w:val="15"/>
              </w:rPr>
            </w:pPr>
            <w:r>
              <w:rPr>
                <w:rFonts w:asciiTheme="majorHAnsi" w:hAnsiTheme="majorHAnsi"/>
                <w:sz w:val="15"/>
              </w:rPr>
              <w:t>31.0</w:t>
            </w:r>
          </w:p>
        </w:tc>
        <w:tc>
          <w:tcPr>
            <w:tcW w:w="364" w:type="pct"/>
          </w:tcPr>
          <w:p w14:paraId="157AACE9" w14:textId="77777777" w:rsidR="00EB7374" w:rsidRPr="00B67C66" w:rsidRDefault="00EB7374" w:rsidP="00C700EB">
            <w:pPr>
              <w:jc w:val="right"/>
              <w:rPr>
                <w:rFonts w:asciiTheme="majorHAnsi" w:hAnsiTheme="majorHAnsi"/>
                <w:b/>
                <w:bCs/>
                <w:sz w:val="15"/>
                <w:szCs w:val="15"/>
              </w:rPr>
            </w:pPr>
            <w:r>
              <w:rPr>
                <w:sz w:val="15"/>
              </w:rPr>
              <w:t>..</w:t>
            </w:r>
          </w:p>
        </w:tc>
      </w:tr>
      <w:tr w:rsidR="00EB7374" w:rsidRPr="00D72A31" w14:paraId="2482687E" w14:textId="77777777" w:rsidTr="00BB3ED8">
        <w:tc>
          <w:tcPr>
            <w:tcW w:w="1255" w:type="pct"/>
          </w:tcPr>
          <w:p w14:paraId="510A72D1" w14:textId="77777777" w:rsidR="00EB7374" w:rsidRPr="00D72A31" w:rsidRDefault="00EB7374" w:rsidP="00C700EB">
            <w:pPr>
              <w:jc w:val="left"/>
              <w:rPr>
                <w:rFonts w:asciiTheme="majorHAnsi" w:hAnsiTheme="majorHAnsi"/>
                <w:sz w:val="15"/>
                <w:szCs w:val="15"/>
              </w:rPr>
            </w:pPr>
            <w:r>
              <w:rPr>
                <w:rFonts w:asciiTheme="majorHAnsi" w:hAnsiTheme="majorHAnsi"/>
                <w:sz w:val="15"/>
              </w:rPr>
              <w:t xml:space="preserve">Tax </w:t>
            </w:r>
            <w:proofErr w:type="spellStart"/>
            <w:r>
              <w:rPr>
                <w:rFonts w:asciiTheme="majorHAnsi" w:hAnsiTheme="majorHAnsi"/>
                <w:sz w:val="15"/>
              </w:rPr>
              <w:t>income</w:t>
            </w:r>
            <w:r>
              <w:rPr>
                <w:rFonts w:asciiTheme="majorHAnsi" w:hAnsiTheme="majorHAnsi"/>
                <w:sz w:val="15"/>
                <w:vertAlign w:val="superscript"/>
              </w:rPr>
              <w:t>c</w:t>
            </w:r>
            <w:proofErr w:type="spellEnd"/>
          </w:p>
        </w:tc>
        <w:tc>
          <w:tcPr>
            <w:tcW w:w="551" w:type="pct"/>
          </w:tcPr>
          <w:p w14:paraId="18E3AD85" w14:textId="77777777" w:rsidR="00EB7374" w:rsidRPr="00D72A31" w:rsidRDefault="00EB7374" w:rsidP="00C700EB">
            <w:pPr>
              <w:jc w:val="right"/>
              <w:rPr>
                <w:rFonts w:asciiTheme="majorHAnsi" w:hAnsiTheme="majorHAnsi" w:cs="Arial"/>
                <w:sz w:val="15"/>
                <w:szCs w:val="15"/>
              </w:rPr>
            </w:pPr>
            <w:r>
              <w:rPr>
                <w:rFonts w:asciiTheme="majorHAnsi" w:hAnsiTheme="majorHAnsi"/>
                <w:sz w:val="15"/>
              </w:rPr>
              <w:t>7,631.3</w:t>
            </w:r>
          </w:p>
        </w:tc>
        <w:tc>
          <w:tcPr>
            <w:tcW w:w="472" w:type="pct"/>
          </w:tcPr>
          <w:p w14:paraId="718488E0" w14:textId="77777777" w:rsidR="00EB7374" w:rsidRPr="00D72A31" w:rsidRDefault="00EB7374" w:rsidP="00C700EB">
            <w:pPr>
              <w:jc w:val="right"/>
              <w:rPr>
                <w:rFonts w:asciiTheme="majorHAnsi" w:hAnsiTheme="majorHAnsi" w:cs="Arial"/>
                <w:sz w:val="15"/>
                <w:szCs w:val="15"/>
              </w:rPr>
            </w:pPr>
            <w:r>
              <w:rPr>
                <w:rFonts w:asciiTheme="majorHAnsi" w:hAnsiTheme="majorHAnsi"/>
                <w:sz w:val="15"/>
              </w:rPr>
              <w:t>8,029.4</w:t>
            </w:r>
          </w:p>
        </w:tc>
        <w:tc>
          <w:tcPr>
            <w:tcW w:w="472" w:type="pct"/>
          </w:tcPr>
          <w:p w14:paraId="0483F71C" w14:textId="77777777" w:rsidR="00EB7374" w:rsidRPr="00D72A31" w:rsidRDefault="00EB7374" w:rsidP="00C700EB">
            <w:pPr>
              <w:jc w:val="right"/>
              <w:rPr>
                <w:rFonts w:asciiTheme="majorHAnsi" w:hAnsiTheme="majorHAnsi" w:cs="Arial"/>
                <w:sz w:val="15"/>
                <w:szCs w:val="15"/>
              </w:rPr>
            </w:pPr>
            <w:r>
              <w:rPr>
                <w:rFonts w:asciiTheme="majorHAnsi" w:hAnsiTheme="majorHAnsi"/>
                <w:sz w:val="15"/>
              </w:rPr>
              <w:t>8,500.8</w:t>
            </w:r>
          </w:p>
        </w:tc>
        <w:tc>
          <w:tcPr>
            <w:tcW w:w="471" w:type="pct"/>
          </w:tcPr>
          <w:p w14:paraId="55AB98DB" w14:textId="77777777" w:rsidR="00EB7374" w:rsidRPr="00D72A31" w:rsidRDefault="00EB7374" w:rsidP="00C700EB">
            <w:pPr>
              <w:jc w:val="right"/>
              <w:rPr>
                <w:rFonts w:asciiTheme="majorHAnsi" w:hAnsiTheme="majorHAnsi" w:cs="Arial"/>
                <w:sz w:val="15"/>
                <w:szCs w:val="15"/>
              </w:rPr>
            </w:pPr>
            <w:r>
              <w:rPr>
                <w:rFonts w:asciiTheme="majorHAnsi" w:hAnsiTheme="majorHAnsi"/>
                <w:sz w:val="15"/>
              </w:rPr>
              <w:t>9,803.9</w:t>
            </w:r>
          </w:p>
        </w:tc>
        <w:tc>
          <w:tcPr>
            <w:tcW w:w="472" w:type="pct"/>
          </w:tcPr>
          <w:p w14:paraId="3313DF6D" w14:textId="77777777" w:rsidR="00EB7374" w:rsidRPr="00D72A31" w:rsidRDefault="00EB7374" w:rsidP="00C700EB">
            <w:pPr>
              <w:jc w:val="right"/>
              <w:rPr>
                <w:rFonts w:asciiTheme="majorHAnsi" w:hAnsiTheme="majorHAnsi" w:cs="Arial"/>
                <w:sz w:val="15"/>
                <w:szCs w:val="15"/>
              </w:rPr>
            </w:pPr>
            <w:r>
              <w:rPr>
                <w:rFonts w:asciiTheme="majorHAnsi" w:hAnsiTheme="majorHAnsi"/>
                <w:sz w:val="15"/>
              </w:rPr>
              <w:t>10,986.5</w:t>
            </w:r>
          </w:p>
        </w:tc>
        <w:tc>
          <w:tcPr>
            <w:tcW w:w="472" w:type="pct"/>
          </w:tcPr>
          <w:p w14:paraId="1C6F3895" w14:textId="77777777" w:rsidR="00EB7374" w:rsidRPr="00D72A31" w:rsidRDefault="00EB7374" w:rsidP="00C700EB">
            <w:pPr>
              <w:jc w:val="right"/>
              <w:rPr>
                <w:rFonts w:asciiTheme="majorHAnsi" w:hAnsiTheme="majorHAnsi" w:cs="Arial"/>
                <w:sz w:val="15"/>
                <w:szCs w:val="15"/>
              </w:rPr>
            </w:pPr>
            <w:r>
              <w:rPr>
                <w:rFonts w:asciiTheme="majorHAnsi" w:hAnsiTheme="majorHAnsi"/>
                <w:sz w:val="15"/>
              </w:rPr>
              <w:t>5,015.6</w:t>
            </w:r>
          </w:p>
        </w:tc>
        <w:tc>
          <w:tcPr>
            <w:tcW w:w="472" w:type="pct"/>
          </w:tcPr>
          <w:p w14:paraId="71DA79C0" w14:textId="77777777" w:rsidR="00EB7374" w:rsidRPr="00D72A31" w:rsidRDefault="00EB7374" w:rsidP="00C700EB">
            <w:pPr>
              <w:jc w:val="right"/>
              <w:rPr>
                <w:rFonts w:asciiTheme="majorHAnsi" w:hAnsiTheme="majorHAnsi"/>
                <w:sz w:val="15"/>
                <w:szCs w:val="15"/>
              </w:rPr>
            </w:pPr>
            <w:r>
              <w:rPr>
                <w:rFonts w:asciiTheme="majorHAnsi" w:hAnsiTheme="majorHAnsi"/>
                <w:sz w:val="15"/>
              </w:rPr>
              <w:t>9,577.4</w:t>
            </w:r>
          </w:p>
        </w:tc>
        <w:tc>
          <w:tcPr>
            <w:tcW w:w="364" w:type="pct"/>
          </w:tcPr>
          <w:p w14:paraId="657DC1D8" w14:textId="77777777" w:rsidR="00EB7374" w:rsidRPr="00B67C66" w:rsidRDefault="00EB7374" w:rsidP="00C700EB">
            <w:pPr>
              <w:jc w:val="right"/>
              <w:rPr>
                <w:rFonts w:asciiTheme="majorHAnsi" w:hAnsiTheme="majorHAnsi"/>
                <w:sz w:val="15"/>
                <w:szCs w:val="15"/>
              </w:rPr>
            </w:pPr>
            <w:r>
              <w:rPr>
                <w:sz w:val="15"/>
              </w:rPr>
              <w:t>..</w:t>
            </w:r>
          </w:p>
        </w:tc>
      </w:tr>
      <w:tr w:rsidR="00EB7374" w:rsidRPr="00D72A31" w14:paraId="605626C1" w14:textId="77777777" w:rsidTr="00BB3ED8">
        <w:trPr>
          <w:cnfStyle w:val="000000010000" w:firstRow="0" w:lastRow="0" w:firstColumn="0" w:lastColumn="0" w:oddVBand="0" w:evenVBand="0" w:oddHBand="0" w:evenHBand="1" w:firstRowFirstColumn="0" w:firstRowLastColumn="0" w:lastRowFirstColumn="0" w:lastRowLastColumn="0"/>
        </w:trPr>
        <w:tc>
          <w:tcPr>
            <w:tcW w:w="1255" w:type="pct"/>
          </w:tcPr>
          <w:p w14:paraId="39EF6844" w14:textId="77777777" w:rsidR="00EB7374" w:rsidRPr="00D72A31" w:rsidRDefault="00EB7374" w:rsidP="00C700EB">
            <w:pPr>
              <w:jc w:val="left"/>
              <w:rPr>
                <w:rFonts w:asciiTheme="majorHAnsi" w:hAnsiTheme="majorHAnsi"/>
                <w:sz w:val="15"/>
                <w:szCs w:val="15"/>
              </w:rPr>
            </w:pPr>
            <w:r>
              <w:rPr>
                <w:rFonts w:asciiTheme="majorHAnsi" w:hAnsiTheme="majorHAnsi"/>
                <w:sz w:val="15"/>
              </w:rPr>
              <w:t xml:space="preserve">Tourist </w:t>
            </w:r>
            <w:proofErr w:type="spellStart"/>
            <w:r>
              <w:rPr>
                <w:rFonts w:asciiTheme="majorHAnsi" w:hAnsiTheme="majorHAnsi"/>
                <w:sz w:val="15"/>
              </w:rPr>
              <w:t>arrivals</w:t>
            </w:r>
            <w:r>
              <w:rPr>
                <w:rFonts w:asciiTheme="majorHAnsi" w:hAnsiTheme="majorHAnsi"/>
                <w:sz w:val="15"/>
                <w:vertAlign w:val="superscript"/>
              </w:rPr>
              <w:t>d</w:t>
            </w:r>
            <w:proofErr w:type="spellEnd"/>
          </w:p>
        </w:tc>
        <w:tc>
          <w:tcPr>
            <w:tcW w:w="551" w:type="pct"/>
          </w:tcPr>
          <w:p w14:paraId="307FBEEA" w14:textId="77777777" w:rsidR="00EB7374" w:rsidRPr="00D72A31" w:rsidRDefault="00EB7374" w:rsidP="00C700EB">
            <w:pPr>
              <w:jc w:val="right"/>
              <w:rPr>
                <w:rFonts w:asciiTheme="majorHAnsi" w:hAnsiTheme="majorHAnsi"/>
                <w:sz w:val="15"/>
                <w:szCs w:val="15"/>
              </w:rPr>
            </w:pPr>
            <w:r>
              <w:rPr>
                <w:rFonts w:asciiTheme="majorHAnsi" w:hAnsiTheme="majorHAnsi"/>
                <w:sz w:val="15"/>
              </w:rPr>
              <w:t>5.6</w:t>
            </w:r>
          </w:p>
        </w:tc>
        <w:tc>
          <w:tcPr>
            <w:tcW w:w="472" w:type="pct"/>
          </w:tcPr>
          <w:p w14:paraId="2FCBD20D" w14:textId="77777777" w:rsidR="00EB7374" w:rsidRPr="00D72A31" w:rsidRDefault="00EB7374" w:rsidP="00C700EB">
            <w:pPr>
              <w:jc w:val="right"/>
              <w:rPr>
                <w:rFonts w:asciiTheme="majorHAnsi" w:hAnsiTheme="majorHAnsi"/>
                <w:sz w:val="15"/>
                <w:szCs w:val="15"/>
              </w:rPr>
            </w:pPr>
            <w:r>
              <w:rPr>
                <w:rFonts w:asciiTheme="majorHAnsi" w:hAnsiTheme="majorHAnsi"/>
                <w:sz w:val="15"/>
              </w:rPr>
              <w:t>6.0</w:t>
            </w:r>
          </w:p>
        </w:tc>
        <w:tc>
          <w:tcPr>
            <w:tcW w:w="472" w:type="pct"/>
          </w:tcPr>
          <w:p w14:paraId="39461BA8" w14:textId="77777777" w:rsidR="00EB7374" w:rsidRPr="00D72A31" w:rsidRDefault="00EB7374" w:rsidP="00C700EB">
            <w:pPr>
              <w:jc w:val="right"/>
              <w:rPr>
                <w:rFonts w:asciiTheme="majorHAnsi" w:hAnsiTheme="majorHAnsi"/>
                <w:sz w:val="15"/>
                <w:szCs w:val="15"/>
              </w:rPr>
            </w:pPr>
            <w:r>
              <w:rPr>
                <w:rFonts w:asciiTheme="majorHAnsi" w:hAnsiTheme="majorHAnsi"/>
                <w:sz w:val="15"/>
              </w:rPr>
              <w:t>6.2</w:t>
            </w:r>
          </w:p>
        </w:tc>
        <w:tc>
          <w:tcPr>
            <w:tcW w:w="471" w:type="pct"/>
          </w:tcPr>
          <w:p w14:paraId="519FDB30" w14:textId="77777777" w:rsidR="00EB7374" w:rsidRPr="00D72A31" w:rsidRDefault="00EB7374" w:rsidP="00C700EB">
            <w:pPr>
              <w:jc w:val="right"/>
              <w:rPr>
                <w:rFonts w:asciiTheme="majorHAnsi" w:hAnsiTheme="majorHAnsi"/>
                <w:sz w:val="15"/>
                <w:szCs w:val="15"/>
              </w:rPr>
            </w:pPr>
            <w:r>
              <w:rPr>
                <w:rFonts w:asciiTheme="majorHAnsi" w:hAnsiTheme="majorHAnsi"/>
                <w:sz w:val="15"/>
              </w:rPr>
              <w:t>6.6</w:t>
            </w:r>
          </w:p>
        </w:tc>
        <w:tc>
          <w:tcPr>
            <w:tcW w:w="472" w:type="pct"/>
          </w:tcPr>
          <w:p w14:paraId="7CA8B47F" w14:textId="77777777" w:rsidR="00EB7374" w:rsidRPr="00D72A31" w:rsidRDefault="00EB7374" w:rsidP="00C700EB">
            <w:pPr>
              <w:jc w:val="right"/>
              <w:rPr>
                <w:rFonts w:asciiTheme="majorHAnsi" w:hAnsiTheme="majorHAnsi"/>
                <w:sz w:val="15"/>
                <w:szCs w:val="15"/>
              </w:rPr>
            </w:pPr>
            <w:r>
              <w:rPr>
                <w:rFonts w:asciiTheme="majorHAnsi" w:hAnsiTheme="majorHAnsi"/>
                <w:sz w:val="15"/>
              </w:rPr>
              <w:t>6.4</w:t>
            </w:r>
          </w:p>
        </w:tc>
        <w:tc>
          <w:tcPr>
            <w:tcW w:w="472" w:type="pct"/>
          </w:tcPr>
          <w:p w14:paraId="6F217A33" w14:textId="77777777" w:rsidR="00EB7374" w:rsidRPr="00D72A31" w:rsidRDefault="00EB7374" w:rsidP="00C700EB">
            <w:pPr>
              <w:jc w:val="right"/>
              <w:rPr>
                <w:rFonts w:asciiTheme="majorHAnsi" w:hAnsiTheme="majorHAnsi"/>
                <w:sz w:val="15"/>
                <w:szCs w:val="15"/>
              </w:rPr>
            </w:pPr>
            <w:r>
              <w:rPr>
                <w:rFonts w:asciiTheme="majorHAnsi" w:hAnsiTheme="majorHAnsi"/>
                <w:sz w:val="15"/>
              </w:rPr>
              <w:t>2.4</w:t>
            </w:r>
          </w:p>
        </w:tc>
        <w:tc>
          <w:tcPr>
            <w:tcW w:w="472" w:type="pct"/>
          </w:tcPr>
          <w:p w14:paraId="7259DF59" w14:textId="77777777" w:rsidR="00EB7374" w:rsidRPr="00D72A31" w:rsidRDefault="00EB7374" w:rsidP="00C700EB">
            <w:pPr>
              <w:jc w:val="right"/>
              <w:rPr>
                <w:rFonts w:asciiTheme="majorHAnsi" w:hAnsiTheme="majorHAnsi"/>
                <w:sz w:val="15"/>
                <w:szCs w:val="15"/>
              </w:rPr>
            </w:pPr>
            <w:r>
              <w:rPr>
                <w:rFonts w:asciiTheme="majorHAnsi" w:hAnsiTheme="majorHAnsi"/>
                <w:sz w:val="15"/>
              </w:rPr>
              <w:t>5.0</w:t>
            </w:r>
          </w:p>
        </w:tc>
        <w:tc>
          <w:tcPr>
            <w:tcW w:w="364" w:type="pct"/>
          </w:tcPr>
          <w:p w14:paraId="7CDA5E07" w14:textId="77777777" w:rsidR="00EB7374" w:rsidRPr="00B67C66" w:rsidRDefault="00EB7374" w:rsidP="00C700EB">
            <w:pPr>
              <w:jc w:val="right"/>
              <w:rPr>
                <w:rFonts w:asciiTheme="majorHAnsi" w:hAnsiTheme="majorHAnsi"/>
                <w:b/>
                <w:bCs/>
                <w:sz w:val="15"/>
                <w:szCs w:val="15"/>
              </w:rPr>
            </w:pPr>
            <w:r>
              <w:rPr>
                <w:sz w:val="15"/>
              </w:rPr>
              <w:t>..</w:t>
            </w:r>
          </w:p>
        </w:tc>
      </w:tr>
      <w:tr w:rsidR="00EB7374" w:rsidRPr="00D72A31" w14:paraId="06F66B0B" w14:textId="77777777" w:rsidTr="00BB3ED8">
        <w:tc>
          <w:tcPr>
            <w:tcW w:w="1255" w:type="pct"/>
          </w:tcPr>
          <w:p w14:paraId="6419AFD3" w14:textId="77777777" w:rsidR="00EB7374" w:rsidRPr="00D72A31" w:rsidRDefault="00EB7374" w:rsidP="00C700EB">
            <w:pPr>
              <w:ind w:firstLine="171"/>
              <w:jc w:val="left"/>
              <w:rPr>
                <w:rFonts w:asciiTheme="majorHAnsi" w:hAnsiTheme="majorHAnsi"/>
                <w:sz w:val="15"/>
                <w:szCs w:val="15"/>
              </w:rPr>
            </w:pPr>
            <w:r>
              <w:rPr>
                <w:rFonts w:asciiTheme="majorHAnsi" w:hAnsiTheme="majorHAnsi"/>
                <w:sz w:val="15"/>
              </w:rPr>
              <w:t>Dominican</w:t>
            </w:r>
          </w:p>
        </w:tc>
        <w:tc>
          <w:tcPr>
            <w:tcW w:w="551" w:type="pct"/>
          </w:tcPr>
          <w:p w14:paraId="487B1934" w14:textId="77777777" w:rsidR="00EB7374" w:rsidRPr="00D72A31" w:rsidRDefault="00EB7374" w:rsidP="00C700EB">
            <w:pPr>
              <w:jc w:val="right"/>
              <w:rPr>
                <w:rFonts w:asciiTheme="majorHAnsi" w:hAnsiTheme="majorHAnsi"/>
                <w:sz w:val="15"/>
                <w:szCs w:val="15"/>
              </w:rPr>
            </w:pPr>
            <w:r>
              <w:rPr>
                <w:rFonts w:asciiTheme="majorHAnsi" w:hAnsiTheme="majorHAnsi"/>
                <w:sz w:val="15"/>
              </w:rPr>
              <w:t>0.8</w:t>
            </w:r>
          </w:p>
        </w:tc>
        <w:tc>
          <w:tcPr>
            <w:tcW w:w="472" w:type="pct"/>
          </w:tcPr>
          <w:p w14:paraId="3582BAC8" w14:textId="77777777" w:rsidR="00EB7374" w:rsidRPr="00D72A31" w:rsidRDefault="00EB7374" w:rsidP="00C700EB">
            <w:pPr>
              <w:jc w:val="right"/>
              <w:rPr>
                <w:rFonts w:asciiTheme="majorHAnsi" w:hAnsiTheme="majorHAnsi"/>
                <w:sz w:val="15"/>
                <w:szCs w:val="15"/>
              </w:rPr>
            </w:pPr>
            <w:r>
              <w:rPr>
                <w:rFonts w:asciiTheme="majorHAnsi" w:hAnsiTheme="majorHAnsi"/>
                <w:sz w:val="15"/>
              </w:rPr>
              <w:t>0.8</w:t>
            </w:r>
          </w:p>
        </w:tc>
        <w:tc>
          <w:tcPr>
            <w:tcW w:w="472" w:type="pct"/>
          </w:tcPr>
          <w:p w14:paraId="73444ACB" w14:textId="77777777" w:rsidR="00EB7374" w:rsidRPr="00D72A31" w:rsidRDefault="00EB7374" w:rsidP="00C700EB">
            <w:pPr>
              <w:jc w:val="right"/>
              <w:rPr>
                <w:rFonts w:asciiTheme="majorHAnsi" w:hAnsiTheme="majorHAnsi"/>
                <w:sz w:val="15"/>
                <w:szCs w:val="15"/>
              </w:rPr>
            </w:pPr>
            <w:r>
              <w:rPr>
                <w:rFonts w:asciiTheme="majorHAnsi" w:hAnsiTheme="majorHAnsi"/>
                <w:sz w:val="15"/>
              </w:rPr>
              <w:t>0.8</w:t>
            </w:r>
          </w:p>
        </w:tc>
        <w:tc>
          <w:tcPr>
            <w:tcW w:w="471" w:type="pct"/>
          </w:tcPr>
          <w:p w14:paraId="1DF63A2B" w14:textId="77777777" w:rsidR="00EB7374" w:rsidRPr="00D72A31" w:rsidRDefault="00EB7374" w:rsidP="00C700EB">
            <w:pPr>
              <w:jc w:val="right"/>
              <w:rPr>
                <w:rFonts w:asciiTheme="majorHAnsi" w:hAnsiTheme="majorHAnsi"/>
                <w:sz w:val="15"/>
                <w:szCs w:val="15"/>
              </w:rPr>
            </w:pPr>
            <w:r>
              <w:rPr>
                <w:rFonts w:asciiTheme="majorHAnsi" w:hAnsiTheme="majorHAnsi"/>
                <w:sz w:val="15"/>
              </w:rPr>
              <w:t>1.0</w:t>
            </w:r>
          </w:p>
        </w:tc>
        <w:tc>
          <w:tcPr>
            <w:tcW w:w="472" w:type="pct"/>
          </w:tcPr>
          <w:p w14:paraId="0A22572B" w14:textId="77777777" w:rsidR="00EB7374" w:rsidRPr="00D72A31" w:rsidRDefault="00EB7374" w:rsidP="00C700EB">
            <w:pPr>
              <w:jc w:val="right"/>
              <w:rPr>
                <w:rFonts w:asciiTheme="majorHAnsi" w:hAnsiTheme="majorHAnsi"/>
                <w:sz w:val="15"/>
                <w:szCs w:val="15"/>
              </w:rPr>
            </w:pPr>
            <w:r>
              <w:rPr>
                <w:rFonts w:asciiTheme="majorHAnsi" w:hAnsiTheme="majorHAnsi"/>
                <w:sz w:val="15"/>
              </w:rPr>
              <w:t>1.1</w:t>
            </w:r>
          </w:p>
        </w:tc>
        <w:tc>
          <w:tcPr>
            <w:tcW w:w="472" w:type="pct"/>
          </w:tcPr>
          <w:p w14:paraId="6276D467" w14:textId="77777777" w:rsidR="00EB7374" w:rsidRPr="00D72A31" w:rsidRDefault="00EB7374" w:rsidP="00C700EB">
            <w:pPr>
              <w:jc w:val="right"/>
              <w:rPr>
                <w:rFonts w:asciiTheme="majorHAnsi" w:hAnsiTheme="majorHAnsi"/>
                <w:sz w:val="15"/>
                <w:szCs w:val="15"/>
              </w:rPr>
            </w:pPr>
            <w:r>
              <w:rPr>
                <w:rFonts w:asciiTheme="majorHAnsi" w:hAnsiTheme="majorHAnsi"/>
                <w:sz w:val="15"/>
              </w:rPr>
              <w:t>0.7</w:t>
            </w:r>
          </w:p>
        </w:tc>
        <w:tc>
          <w:tcPr>
            <w:tcW w:w="472" w:type="pct"/>
          </w:tcPr>
          <w:p w14:paraId="03BF4DB6" w14:textId="77777777" w:rsidR="00EB7374" w:rsidRPr="00D72A31" w:rsidRDefault="00EB7374" w:rsidP="00C700EB">
            <w:pPr>
              <w:jc w:val="right"/>
              <w:rPr>
                <w:rFonts w:asciiTheme="majorHAnsi" w:hAnsiTheme="majorHAnsi"/>
                <w:sz w:val="15"/>
                <w:szCs w:val="15"/>
              </w:rPr>
            </w:pPr>
            <w:r>
              <w:rPr>
                <w:rFonts w:asciiTheme="majorHAnsi" w:hAnsiTheme="majorHAnsi"/>
                <w:sz w:val="15"/>
              </w:rPr>
              <w:t>1.3</w:t>
            </w:r>
          </w:p>
        </w:tc>
        <w:tc>
          <w:tcPr>
            <w:tcW w:w="364" w:type="pct"/>
          </w:tcPr>
          <w:p w14:paraId="5D14EDDF" w14:textId="77777777" w:rsidR="00EB7374" w:rsidRPr="00B67C66" w:rsidRDefault="00EB7374" w:rsidP="00C700EB">
            <w:pPr>
              <w:jc w:val="right"/>
              <w:rPr>
                <w:rFonts w:asciiTheme="majorHAnsi" w:hAnsiTheme="majorHAnsi"/>
                <w:b/>
                <w:bCs/>
                <w:sz w:val="15"/>
                <w:szCs w:val="15"/>
              </w:rPr>
            </w:pPr>
            <w:r>
              <w:rPr>
                <w:sz w:val="15"/>
              </w:rPr>
              <w:t>..</w:t>
            </w:r>
          </w:p>
        </w:tc>
      </w:tr>
      <w:tr w:rsidR="00EB7374" w:rsidRPr="00D72A31" w14:paraId="1582E87C" w14:textId="77777777" w:rsidTr="00BB3ED8">
        <w:trPr>
          <w:cnfStyle w:val="000000010000" w:firstRow="0" w:lastRow="0" w:firstColumn="0" w:lastColumn="0" w:oddVBand="0" w:evenVBand="0" w:oddHBand="0" w:evenHBand="1" w:firstRowFirstColumn="0" w:firstRowLastColumn="0" w:lastRowFirstColumn="0" w:lastRowLastColumn="0"/>
        </w:trPr>
        <w:tc>
          <w:tcPr>
            <w:tcW w:w="1255" w:type="pct"/>
          </w:tcPr>
          <w:p w14:paraId="36752F1B" w14:textId="77777777" w:rsidR="00EB7374" w:rsidRPr="00D72A31" w:rsidRDefault="00EB7374" w:rsidP="00C700EB">
            <w:pPr>
              <w:ind w:firstLine="171"/>
              <w:jc w:val="left"/>
              <w:rPr>
                <w:rFonts w:asciiTheme="majorHAnsi" w:hAnsiTheme="majorHAnsi"/>
                <w:sz w:val="15"/>
                <w:szCs w:val="15"/>
              </w:rPr>
            </w:pPr>
            <w:r>
              <w:rPr>
                <w:rFonts w:asciiTheme="majorHAnsi" w:hAnsiTheme="majorHAnsi"/>
                <w:sz w:val="15"/>
              </w:rPr>
              <w:t>Foreign</w:t>
            </w:r>
          </w:p>
        </w:tc>
        <w:tc>
          <w:tcPr>
            <w:tcW w:w="551" w:type="pct"/>
          </w:tcPr>
          <w:p w14:paraId="489CFBCB" w14:textId="77777777" w:rsidR="00EB7374" w:rsidRPr="00D72A31" w:rsidRDefault="00EB7374" w:rsidP="00C700EB">
            <w:pPr>
              <w:jc w:val="right"/>
              <w:rPr>
                <w:rFonts w:asciiTheme="majorHAnsi" w:hAnsiTheme="majorHAnsi"/>
                <w:sz w:val="15"/>
                <w:szCs w:val="15"/>
              </w:rPr>
            </w:pPr>
            <w:r>
              <w:rPr>
                <w:rFonts w:asciiTheme="majorHAnsi" w:hAnsiTheme="majorHAnsi"/>
                <w:sz w:val="15"/>
              </w:rPr>
              <w:t>4.8</w:t>
            </w:r>
          </w:p>
        </w:tc>
        <w:tc>
          <w:tcPr>
            <w:tcW w:w="472" w:type="pct"/>
          </w:tcPr>
          <w:p w14:paraId="4974848B" w14:textId="77777777" w:rsidR="00EB7374" w:rsidRPr="00D72A31" w:rsidRDefault="00EB7374" w:rsidP="00C700EB">
            <w:pPr>
              <w:jc w:val="right"/>
              <w:rPr>
                <w:rFonts w:asciiTheme="majorHAnsi" w:hAnsiTheme="majorHAnsi"/>
                <w:sz w:val="15"/>
                <w:szCs w:val="15"/>
              </w:rPr>
            </w:pPr>
            <w:r>
              <w:rPr>
                <w:rFonts w:asciiTheme="majorHAnsi" w:hAnsiTheme="majorHAnsi"/>
                <w:sz w:val="15"/>
              </w:rPr>
              <w:t>5.1</w:t>
            </w:r>
          </w:p>
        </w:tc>
        <w:tc>
          <w:tcPr>
            <w:tcW w:w="472" w:type="pct"/>
          </w:tcPr>
          <w:p w14:paraId="160DB49F" w14:textId="77777777" w:rsidR="00EB7374" w:rsidRPr="00D72A31" w:rsidRDefault="00EB7374" w:rsidP="00C700EB">
            <w:pPr>
              <w:jc w:val="right"/>
              <w:rPr>
                <w:rFonts w:asciiTheme="majorHAnsi" w:hAnsiTheme="majorHAnsi"/>
                <w:sz w:val="15"/>
                <w:szCs w:val="15"/>
              </w:rPr>
            </w:pPr>
            <w:r>
              <w:rPr>
                <w:rFonts w:asciiTheme="majorHAnsi" w:hAnsiTheme="majorHAnsi"/>
                <w:sz w:val="15"/>
              </w:rPr>
              <w:t>5.4</w:t>
            </w:r>
          </w:p>
        </w:tc>
        <w:tc>
          <w:tcPr>
            <w:tcW w:w="471" w:type="pct"/>
          </w:tcPr>
          <w:p w14:paraId="26D6EF5C" w14:textId="77777777" w:rsidR="00EB7374" w:rsidRPr="00D72A31" w:rsidRDefault="00EB7374" w:rsidP="00C700EB">
            <w:pPr>
              <w:jc w:val="right"/>
              <w:rPr>
                <w:rFonts w:asciiTheme="majorHAnsi" w:hAnsiTheme="majorHAnsi"/>
                <w:sz w:val="15"/>
                <w:szCs w:val="15"/>
              </w:rPr>
            </w:pPr>
            <w:r>
              <w:rPr>
                <w:rFonts w:asciiTheme="majorHAnsi" w:hAnsiTheme="majorHAnsi"/>
                <w:sz w:val="15"/>
              </w:rPr>
              <w:t>5.6</w:t>
            </w:r>
          </w:p>
        </w:tc>
        <w:tc>
          <w:tcPr>
            <w:tcW w:w="472" w:type="pct"/>
          </w:tcPr>
          <w:p w14:paraId="1EA96DB9" w14:textId="77777777" w:rsidR="00EB7374" w:rsidRPr="00D72A31" w:rsidRDefault="00EB7374" w:rsidP="00C700EB">
            <w:pPr>
              <w:jc w:val="right"/>
              <w:rPr>
                <w:rFonts w:asciiTheme="majorHAnsi" w:hAnsiTheme="majorHAnsi"/>
                <w:sz w:val="15"/>
                <w:szCs w:val="15"/>
              </w:rPr>
            </w:pPr>
            <w:r>
              <w:rPr>
                <w:rFonts w:asciiTheme="majorHAnsi" w:hAnsiTheme="majorHAnsi"/>
                <w:sz w:val="15"/>
              </w:rPr>
              <w:t>5.4</w:t>
            </w:r>
          </w:p>
        </w:tc>
        <w:tc>
          <w:tcPr>
            <w:tcW w:w="472" w:type="pct"/>
          </w:tcPr>
          <w:p w14:paraId="64E308C1" w14:textId="77777777" w:rsidR="00EB7374" w:rsidRPr="00D72A31" w:rsidRDefault="00EB7374" w:rsidP="00C700EB">
            <w:pPr>
              <w:jc w:val="right"/>
              <w:rPr>
                <w:rFonts w:asciiTheme="majorHAnsi" w:hAnsiTheme="majorHAnsi"/>
                <w:sz w:val="15"/>
                <w:szCs w:val="15"/>
              </w:rPr>
            </w:pPr>
            <w:r>
              <w:rPr>
                <w:rFonts w:asciiTheme="majorHAnsi" w:hAnsiTheme="majorHAnsi"/>
                <w:sz w:val="15"/>
              </w:rPr>
              <w:t>1.7</w:t>
            </w:r>
          </w:p>
        </w:tc>
        <w:tc>
          <w:tcPr>
            <w:tcW w:w="472" w:type="pct"/>
          </w:tcPr>
          <w:p w14:paraId="74D3B6F1" w14:textId="77777777" w:rsidR="00EB7374" w:rsidRPr="00D72A31" w:rsidRDefault="00EB7374" w:rsidP="00C700EB">
            <w:pPr>
              <w:jc w:val="right"/>
              <w:rPr>
                <w:rFonts w:asciiTheme="majorHAnsi" w:hAnsiTheme="majorHAnsi"/>
                <w:sz w:val="15"/>
                <w:szCs w:val="15"/>
              </w:rPr>
            </w:pPr>
            <w:r>
              <w:rPr>
                <w:rFonts w:asciiTheme="majorHAnsi" w:hAnsiTheme="majorHAnsi"/>
                <w:sz w:val="15"/>
              </w:rPr>
              <w:t>3.7</w:t>
            </w:r>
          </w:p>
        </w:tc>
        <w:tc>
          <w:tcPr>
            <w:tcW w:w="364" w:type="pct"/>
          </w:tcPr>
          <w:p w14:paraId="791E2BCA" w14:textId="77777777" w:rsidR="00EB7374" w:rsidRPr="00B67C66" w:rsidRDefault="00EB7374" w:rsidP="00C700EB">
            <w:pPr>
              <w:jc w:val="right"/>
              <w:rPr>
                <w:rFonts w:asciiTheme="majorHAnsi" w:hAnsiTheme="majorHAnsi"/>
                <w:b/>
                <w:bCs/>
                <w:sz w:val="15"/>
                <w:szCs w:val="15"/>
              </w:rPr>
            </w:pPr>
            <w:r>
              <w:rPr>
                <w:sz w:val="15"/>
              </w:rPr>
              <w:t>..</w:t>
            </w:r>
          </w:p>
        </w:tc>
      </w:tr>
      <w:tr w:rsidR="00EB7374" w:rsidRPr="00D72A31" w14:paraId="7BA74F27" w14:textId="77777777" w:rsidTr="00BB3ED8">
        <w:tc>
          <w:tcPr>
            <w:tcW w:w="1255" w:type="pct"/>
          </w:tcPr>
          <w:p w14:paraId="5A1D9983" w14:textId="77777777" w:rsidR="00EB7374" w:rsidRPr="00D72A31" w:rsidRDefault="00EB7374" w:rsidP="00C700EB">
            <w:pPr>
              <w:jc w:val="left"/>
              <w:rPr>
                <w:rFonts w:asciiTheme="majorHAnsi" w:hAnsiTheme="majorHAnsi"/>
                <w:sz w:val="15"/>
                <w:szCs w:val="15"/>
              </w:rPr>
            </w:pPr>
            <w:r>
              <w:rPr>
                <w:rFonts w:asciiTheme="majorHAnsi" w:hAnsiTheme="majorHAnsi"/>
                <w:sz w:val="15"/>
              </w:rPr>
              <w:t xml:space="preserve">Average </w:t>
            </w:r>
            <w:proofErr w:type="spellStart"/>
            <w:r>
              <w:rPr>
                <w:rFonts w:asciiTheme="majorHAnsi" w:hAnsiTheme="majorHAnsi"/>
                <w:sz w:val="15"/>
              </w:rPr>
              <w:t>spend</w:t>
            </w:r>
            <w:r>
              <w:rPr>
                <w:rFonts w:asciiTheme="majorHAnsi" w:hAnsiTheme="majorHAnsi"/>
                <w:sz w:val="15"/>
                <w:vertAlign w:val="superscript"/>
              </w:rPr>
              <w:t>e</w:t>
            </w:r>
            <w:proofErr w:type="spellEnd"/>
          </w:p>
        </w:tc>
        <w:tc>
          <w:tcPr>
            <w:tcW w:w="551" w:type="pct"/>
          </w:tcPr>
          <w:p w14:paraId="3C9726D5" w14:textId="77777777" w:rsidR="00EB7374" w:rsidRPr="00D72A31" w:rsidRDefault="00EB7374" w:rsidP="00C700EB">
            <w:pPr>
              <w:jc w:val="right"/>
              <w:rPr>
                <w:rFonts w:asciiTheme="majorHAnsi" w:hAnsiTheme="majorHAnsi"/>
                <w:sz w:val="15"/>
                <w:szCs w:val="15"/>
              </w:rPr>
            </w:pPr>
            <w:r>
              <w:rPr>
                <w:rFonts w:asciiTheme="majorHAnsi" w:hAnsiTheme="majorHAnsi"/>
                <w:sz w:val="15"/>
              </w:rPr>
              <w:t>129.6</w:t>
            </w:r>
          </w:p>
        </w:tc>
        <w:tc>
          <w:tcPr>
            <w:tcW w:w="472" w:type="pct"/>
          </w:tcPr>
          <w:p w14:paraId="0DB996F8" w14:textId="77777777" w:rsidR="00EB7374" w:rsidRPr="00D72A31" w:rsidRDefault="00EB7374" w:rsidP="00C700EB">
            <w:pPr>
              <w:jc w:val="right"/>
              <w:rPr>
                <w:rFonts w:asciiTheme="majorHAnsi" w:hAnsiTheme="majorHAnsi"/>
                <w:sz w:val="15"/>
                <w:szCs w:val="15"/>
              </w:rPr>
            </w:pPr>
            <w:r>
              <w:rPr>
                <w:rFonts w:asciiTheme="majorHAnsi" w:hAnsiTheme="majorHAnsi"/>
                <w:sz w:val="15"/>
              </w:rPr>
              <w:t>130.7</w:t>
            </w:r>
          </w:p>
        </w:tc>
        <w:tc>
          <w:tcPr>
            <w:tcW w:w="472" w:type="pct"/>
          </w:tcPr>
          <w:p w14:paraId="23E1568D" w14:textId="77777777" w:rsidR="00EB7374" w:rsidRPr="00D72A31" w:rsidRDefault="00EB7374" w:rsidP="00C700EB">
            <w:pPr>
              <w:jc w:val="right"/>
              <w:rPr>
                <w:rFonts w:asciiTheme="majorHAnsi" w:hAnsiTheme="majorHAnsi"/>
                <w:sz w:val="15"/>
                <w:szCs w:val="15"/>
              </w:rPr>
            </w:pPr>
            <w:r>
              <w:rPr>
                <w:rFonts w:asciiTheme="majorHAnsi" w:hAnsiTheme="majorHAnsi"/>
                <w:sz w:val="15"/>
              </w:rPr>
              <w:t>133.5</w:t>
            </w:r>
          </w:p>
        </w:tc>
        <w:tc>
          <w:tcPr>
            <w:tcW w:w="471" w:type="pct"/>
          </w:tcPr>
          <w:p w14:paraId="16C22A61" w14:textId="77777777" w:rsidR="00EB7374" w:rsidRPr="00D72A31" w:rsidRDefault="00EB7374" w:rsidP="00C700EB">
            <w:pPr>
              <w:jc w:val="right"/>
              <w:rPr>
                <w:rFonts w:asciiTheme="majorHAnsi" w:hAnsiTheme="majorHAnsi"/>
                <w:sz w:val="15"/>
                <w:szCs w:val="15"/>
              </w:rPr>
            </w:pPr>
            <w:r>
              <w:rPr>
                <w:rFonts w:asciiTheme="majorHAnsi" w:hAnsiTheme="majorHAnsi"/>
                <w:sz w:val="15"/>
              </w:rPr>
              <w:t>136.5</w:t>
            </w:r>
          </w:p>
        </w:tc>
        <w:tc>
          <w:tcPr>
            <w:tcW w:w="472" w:type="pct"/>
          </w:tcPr>
          <w:p w14:paraId="31E085D5" w14:textId="77777777" w:rsidR="00EB7374" w:rsidRPr="00D72A31" w:rsidRDefault="00EB7374" w:rsidP="00C700EB">
            <w:pPr>
              <w:jc w:val="right"/>
              <w:rPr>
                <w:rFonts w:asciiTheme="majorHAnsi" w:hAnsiTheme="majorHAnsi"/>
                <w:sz w:val="15"/>
                <w:szCs w:val="15"/>
              </w:rPr>
            </w:pPr>
            <w:r>
              <w:rPr>
                <w:rFonts w:asciiTheme="majorHAnsi" w:hAnsiTheme="majorHAnsi"/>
                <w:sz w:val="15"/>
              </w:rPr>
              <w:t>136.2</w:t>
            </w:r>
          </w:p>
        </w:tc>
        <w:tc>
          <w:tcPr>
            <w:tcW w:w="472" w:type="pct"/>
          </w:tcPr>
          <w:p w14:paraId="0D7B17DF" w14:textId="77777777" w:rsidR="00EB7374" w:rsidRPr="00D72A31" w:rsidRDefault="00EB7374" w:rsidP="00C700EB">
            <w:pPr>
              <w:jc w:val="right"/>
              <w:rPr>
                <w:rFonts w:asciiTheme="majorHAnsi" w:hAnsiTheme="majorHAnsi"/>
                <w:sz w:val="15"/>
                <w:szCs w:val="15"/>
              </w:rPr>
            </w:pPr>
            <w:r>
              <w:rPr>
                <w:rFonts w:asciiTheme="majorHAnsi" w:hAnsiTheme="majorHAnsi"/>
                <w:sz w:val="15"/>
              </w:rPr>
              <w:t>129.6</w:t>
            </w:r>
          </w:p>
        </w:tc>
        <w:tc>
          <w:tcPr>
            <w:tcW w:w="472" w:type="pct"/>
          </w:tcPr>
          <w:p w14:paraId="464F712C" w14:textId="77777777" w:rsidR="00EB7374" w:rsidRPr="00D72A31" w:rsidRDefault="00EB7374" w:rsidP="00C700EB">
            <w:pPr>
              <w:jc w:val="right"/>
              <w:rPr>
                <w:rFonts w:asciiTheme="majorHAnsi" w:hAnsiTheme="majorHAnsi"/>
                <w:sz w:val="15"/>
                <w:szCs w:val="15"/>
              </w:rPr>
            </w:pPr>
            <w:r>
              <w:rPr>
                <w:rFonts w:asciiTheme="majorHAnsi" w:hAnsiTheme="majorHAnsi"/>
                <w:sz w:val="15"/>
              </w:rPr>
              <w:t>129.5</w:t>
            </w:r>
          </w:p>
        </w:tc>
        <w:tc>
          <w:tcPr>
            <w:tcW w:w="364" w:type="pct"/>
          </w:tcPr>
          <w:p w14:paraId="70B5706F" w14:textId="77777777" w:rsidR="00EB7374" w:rsidRPr="00B67C66" w:rsidRDefault="00EB7374" w:rsidP="00C700EB">
            <w:pPr>
              <w:jc w:val="right"/>
              <w:rPr>
                <w:rFonts w:asciiTheme="majorHAnsi" w:hAnsiTheme="majorHAnsi"/>
                <w:sz w:val="15"/>
                <w:szCs w:val="15"/>
              </w:rPr>
            </w:pPr>
            <w:r>
              <w:rPr>
                <w:sz w:val="15"/>
              </w:rPr>
              <w:t>..</w:t>
            </w:r>
          </w:p>
        </w:tc>
      </w:tr>
      <w:tr w:rsidR="00EB7374" w:rsidRPr="00D72A31" w14:paraId="681C72E1" w14:textId="77777777" w:rsidTr="00BB3ED8">
        <w:trPr>
          <w:cnfStyle w:val="000000010000" w:firstRow="0" w:lastRow="0" w:firstColumn="0" w:lastColumn="0" w:oddVBand="0" w:evenVBand="0" w:oddHBand="0" w:evenHBand="1" w:firstRowFirstColumn="0" w:firstRowLastColumn="0" w:lastRowFirstColumn="0" w:lastRowLastColumn="0"/>
        </w:trPr>
        <w:tc>
          <w:tcPr>
            <w:tcW w:w="1255" w:type="pct"/>
          </w:tcPr>
          <w:p w14:paraId="5C947CAF" w14:textId="77777777" w:rsidR="00EB7374" w:rsidRPr="00D72A31" w:rsidRDefault="00EB7374" w:rsidP="00C700EB">
            <w:pPr>
              <w:jc w:val="left"/>
              <w:rPr>
                <w:rFonts w:asciiTheme="majorHAnsi" w:hAnsiTheme="majorHAnsi"/>
                <w:sz w:val="15"/>
                <w:szCs w:val="15"/>
              </w:rPr>
            </w:pPr>
            <w:r>
              <w:rPr>
                <w:rFonts w:asciiTheme="majorHAnsi" w:hAnsiTheme="majorHAnsi"/>
                <w:sz w:val="15"/>
              </w:rPr>
              <w:t>Stay (nights)</w:t>
            </w:r>
          </w:p>
        </w:tc>
        <w:tc>
          <w:tcPr>
            <w:tcW w:w="551" w:type="pct"/>
          </w:tcPr>
          <w:p w14:paraId="4780269B" w14:textId="77777777" w:rsidR="00EB7374" w:rsidRPr="00D72A31" w:rsidRDefault="00EB7374" w:rsidP="00C700EB">
            <w:pPr>
              <w:jc w:val="right"/>
              <w:rPr>
                <w:rFonts w:asciiTheme="majorHAnsi" w:hAnsiTheme="majorHAnsi"/>
                <w:sz w:val="15"/>
                <w:szCs w:val="15"/>
              </w:rPr>
            </w:pPr>
            <w:r>
              <w:rPr>
                <w:rFonts w:asciiTheme="majorHAnsi" w:hAnsiTheme="majorHAnsi"/>
                <w:sz w:val="15"/>
              </w:rPr>
              <w:t>8.3</w:t>
            </w:r>
          </w:p>
        </w:tc>
        <w:tc>
          <w:tcPr>
            <w:tcW w:w="472" w:type="pct"/>
          </w:tcPr>
          <w:p w14:paraId="1A55EAC4" w14:textId="77777777" w:rsidR="00EB7374" w:rsidRPr="00D72A31" w:rsidRDefault="00EB7374" w:rsidP="00C700EB">
            <w:pPr>
              <w:jc w:val="right"/>
              <w:rPr>
                <w:rFonts w:asciiTheme="majorHAnsi" w:hAnsiTheme="majorHAnsi"/>
                <w:sz w:val="15"/>
                <w:szCs w:val="15"/>
              </w:rPr>
            </w:pPr>
            <w:r>
              <w:rPr>
                <w:rFonts w:asciiTheme="majorHAnsi" w:hAnsiTheme="majorHAnsi"/>
                <w:sz w:val="15"/>
              </w:rPr>
              <w:t>8.5</w:t>
            </w:r>
          </w:p>
        </w:tc>
        <w:tc>
          <w:tcPr>
            <w:tcW w:w="472" w:type="pct"/>
          </w:tcPr>
          <w:p w14:paraId="6D1C2E9A" w14:textId="77777777" w:rsidR="00EB7374" w:rsidRPr="00D72A31" w:rsidRDefault="00EB7374" w:rsidP="00C700EB">
            <w:pPr>
              <w:jc w:val="right"/>
              <w:rPr>
                <w:rFonts w:asciiTheme="majorHAnsi" w:hAnsiTheme="majorHAnsi"/>
                <w:sz w:val="15"/>
                <w:szCs w:val="15"/>
              </w:rPr>
            </w:pPr>
            <w:r>
              <w:rPr>
                <w:rFonts w:asciiTheme="majorHAnsi" w:hAnsiTheme="majorHAnsi"/>
                <w:sz w:val="15"/>
              </w:rPr>
              <w:t>8.6</w:t>
            </w:r>
          </w:p>
        </w:tc>
        <w:tc>
          <w:tcPr>
            <w:tcW w:w="471" w:type="pct"/>
          </w:tcPr>
          <w:p w14:paraId="6D34BC22" w14:textId="77777777" w:rsidR="00EB7374" w:rsidRPr="00D72A31" w:rsidRDefault="00EB7374" w:rsidP="00C700EB">
            <w:pPr>
              <w:jc w:val="right"/>
              <w:rPr>
                <w:rFonts w:asciiTheme="majorHAnsi" w:hAnsiTheme="majorHAnsi"/>
                <w:sz w:val="15"/>
                <w:szCs w:val="15"/>
              </w:rPr>
            </w:pPr>
            <w:r>
              <w:rPr>
                <w:rFonts w:asciiTheme="majorHAnsi" w:hAnsiTheme="majorHAnsi"/>
                <w:sz w:val="15"/>
              </w:rPr>
              <w:t>8.4</w:t>
            </w:r>
          </w:p>
        </w:tc>
        <w:tc>
          <w:tcPr>
            <w:tcW w:w="472" w:type="pct"/>
          </w:tcPr>
          <w:p w14:paraId="1B225DAA" w14:textId="77777777" w:rsidR="00EB7374" w:rsidRPr="00D72A31" w:rsidRDefault="00EB7374" w:rsidP="00C700EB">
            <w:pPr>
              <w:jc w:val="right"/>
              <w:rPr>
                <w:rFonts w:asciiTheme="majorHAnsi" w:hAnsiTheme="majorHAnsi"/>
                <w:sz w:val="15"/>
                <w:szCs w:val="15"/>
              </w:rPr>
            </w:pPr>
            <w:r>
              <w:rPr>
                <w:rFonts w:asciiTheme="majorHAnsi" w:hAnsiTheme="majorHAnsi"/>
                <w:sz w:val="15"/>
              </w:rPr>
              <w:t>8.5</w:t>
            </w:r>
          </w:p>
        </w:tc>
        <w:tc>
          <w:tcPr>
            <w:tcW w:w="472" w:type="pct"/>
          </w:tcPr>
          <w:p w14:paraId="106FF93C" w14:textId="77777777" w:rsidR="00EB7374" w:rsidRPr="00D72A31" w:rsidRDefault="00EB7374" w:rsidP="00C700EB">
            <w:pPr>
              <w:jc w:val="right"/>
              <w:rPr>
                <w:rFonts w:asciiTheme="majorHAnsi" w:hAnsiTheme="majorHAnsi"/>
                <w:sz w:val="15"/>
                <w:szCs w:val="15"/>
              </w:rPr>
            </w:pPr>
            <w:r>
              <w:rPr>
                <w:rFonts w:asciiTheme="majorHAnsi" w:hAnsiTheme="majorHAnsi"/>
                <w:sz w:val="15"/>
              </w:rPr>
              <w:t>9.1</w:t>
            </w:r>
          </w:p>
        </w:tc>
        <w:tc>
          <w:tcPr>
            <w:tcW w:w="472" w:type="pct"/>
          </w:tcPr>
          <w:p w14:paraId="32B9284C" w14:textId="77777777" w:rsidR="00EB7374" w:rsidRPr="00D72A31" w:rsidRDefault="00EB7374" w:rsidP="00C700EB">
            <w:pPr>
              <w:jc w:val="right"/>
              <w:rPr>
                <w:rFonts w:asciiTheme="majorHAnsi" w:hAnsiTheme="majorHAnsi"/>
                <w:sz w:val="15"/>
                <w:szCs w:val="15"/>
              </w:rPr>
            </w:pPr>
            <w:r>
              <w:rPr>
                <w:rFonts w:asciiTheme="majorHAnsi" w:hAnsiTheme="majorHAnsi"/>
                <w:sz w:val="15"/>
              </w:rPr>
              <w:t>9.6</w:t>
            </w:r>
          </w:p>
        </w:tc>
        <w:tc>
          <w:tcPr>
            <w:tcW w:w="364" w:type="pct"/>
          </w:tcPr>
          <w:p w14:paraId="044BB99D" w14:textId="77777777" w:rsidR="00EB7374" w:rsidRPr="00B67C66" w:rsidRDefault="00EB7374" w:rsidP="00C700EB">
            <w:pPr>
              <w:jc w:val="right"/>
              <w:rPr>
                <w:rFonts w:asciiTheme="majorHAnsi" w:hAnsiTheme="majorHAnsi"/>
                <w:sz w:val="15"/>
                <w:szCs w:val="15"/>
              </w:rPr>
            </w:pPr>
            <w:r>
              <w:rPr>
                <w:sz w:val="15"/>
              </w:rPr>
              <w:t>..</w:t>
            </w:r>
          </w:p>
        </w:tc>
      </w:tr>
      <w:tr w:rsidR="00EB7374" w:rsidRPr="00D72A31" w14:paraId="4CF505D8" w14:textId="77777777" w:rsidTr="00BB3ED8">
        <w:tc>
          <w:tcPr>
            <w:tcW w:w="1255" w:type="pct"/>
          </w:tcPr>
          <w:p w14:paraId="26702072" w14:textId="77777777" w:rsidR="00EB7374" w:rsidRPr="00D72A31" w:rsidRDefault="00EB7374" w:rsidP="00C700EB">
            <w:pPr>
              <w:jc w:val="left"/>
              <w:rPr>
                <w:rFonts w:asciiTheme="majorHAnsi" w:hAnsiTheme="majorHAnsi"/>
                <w:sz w:val="15"/>
                <w:szCs w:val="15"/>
              </w:rPr>
            </w:pPr>
            <w:r>
              <w:rPr>
                <w:rFonts w:asciiTheme="majorHAnsi" w:hAnsiTheme="majorHAnsi"/>
                <w:sz w:val="15"/>
              </w:rPr>
              <w:t>Hotels</w:t>
            </w:r>
          </w:p>
        </w:tc>
        <w:tc>
          <w:tcPr>
            <w:tcW w:w="551" w:type="pct"/>
          </w:tcPr>
          <w:p w14:paraId="36996ECF" w14:textId="77777777" w:rsidR="00EB7374" w:rsidRPr="00D72A31" w:rsidRDefault="00EB7374" w:rsidP="00C700EB">
            <w:pPr>
              <w:jc w:val="right"/>
              <w:rPr>
                <w:rFonts w:asciiTheme="majorHAnsi" w:hAnsiTheme="majorHAnsi"/>
                <w:sz w:val="15"/>
                <w:szCs w:val="15"/>
              </w:rPr>
            </w:pPr>
            <w:r>
              <w:rPr>
                <w:rFonts w:asciiTheme="majorHAnsi" w:hAnsiTheme="majorHAnsi"/>
                <w:sz w:val="15"/>
              </w:rPr>
              <w:t>724</w:t>
            </w:r>
          </w:p>
        </w:tc>
        <w:tc>
          <w:tcPr>
            <w:tcW w:w="472" w:type="pct"/>
          </w:tcPr>
          <w:p w14:paraId="373CDA49" w14:textId="77777777" w:rsidR="00EB7374" w:rsidRPr="00D72A31" w:rsidRDefault="00EB7374" w:rsidP="00C700EB">
            <w:pPr>
              <w:jc w:val="right"/>
              <w:rPr>
                <w:rFonts w:asciiTheme="majorHAnsi" w:hAnsiTheme="majorHAnsi"/>
                <w:sz w:val="15"/>
                <w:szCs w:val="15"/>
              </w:rPr>
            </w:pPr>
            <w:r>
              <w:rPr>
                <w:rFonts w:asciiTheme="majorHAnsi" w:hAnsiTheme="majorHAnsi"/>
                <w:sz w:val="15"/>
              </w:rPr>
              <w:t>751</w:t>
            </w:r>
          </w:p>
        </w:tc>
        <w:tc>
          <w:tcPr>
            <w:tcW w:w="472" w:type="pct"/>
          </w:tcPr>
          <w:p w14:paraId="348EE941" w14:textId="77777777" w:rsidR="00EB7374" w:rsidRPr="00D72A31" w:rsidRDefault="00EB7374" w:rsidP="00C700EB">
            <w:pPr>
              <w:jc w:val="right"/>
              <w:rPr>
                <w:rFonts w:asciiTheme="majorHAnsi" w:hAnsiTheme="majorHAnsi"/>
                <w:sz w:val="15"/>
                <w:szCs w:val="15"/>
              </w:rPr>
            </w:pPr>
            <w:r>
              <w:rPr>
                <w:rFonts w:asciiTheme="majorHAnsi" w:hAnsiTheme="majorHAnsi"/>
                <w:sz w:val="15"/>
              </w:rPr>
              <w:t>762</w:t>
            </w:r>
          </w:p>
        </w:tc>
        <w:tc>
          <w:tcPr>
            <w:tcW w:w="471" w:type="pct"/>
          </w:tcPr>
          <w:p w14:paraId="69972812" w14:textId="77777777" w:rsidR="00EB7374" w:rsidRPr="00D72A31" w:rsidRDefault="00EB7374" w:rsidP="00C700EB">
            <w:pPr>
              <w:jc w:val="right"/>
              <w:rPr>
                <w:rFonts w:asciiTheme="majorHAnsi" w:hAnsiTheme="majorHAnsi"/>
                <w:sz w:val="15"/>
                <w:szCs w:val="15"/>
              </w:rPr>
            </w:pPr>
            <w:r>
              <w:rPr>
                <w:rFonts w:asciiTheme="majorHAnsi" w:hAnsiTheme="majorHAnsi"/>
                <w:sz w:val="15"/>
              </w:rPr>
              <w:t>876</w:t>
            </w:r>
          </w:p>
        </w:tc>
        <w:tc>
          <w:tcPr>
            <w:tcW w:w="472" w:type="pct"/>
          </w:tcPr>
          <w:p w14:paraId="66E922FD" w14:textId="77777777" w:rsidR="00EB7374" w:rsidRPr="00D72A31" w:rsidRDefault="00EB7374" w:rsidP="00C700EB">
            <w:pPr>
              <w:jc w:val="right"/>
              <w:rPr>
                <w:rFonts w:asciiTheme="majorHAnsi" w:hAnsiTheme="majorHAnsi"/>
                <w:sz w:val="15"/>
                <w:szCs w:val="15"/>
              </w:rPr>
            </w:pPr>
            <w:r>
              <w:rPr>
                <w:rFonts w:asciiTheme="majorHAnsi" w:hAnsiTheme="majorHAnsi"/>
                <w:sz w:val="15"/>
              </w:rPr>
              <w:t>887</w:t>
            </w:r>
          </w:p>
        </w:tc>
        <w:tc>
          <w:tcPr>
            <w:tcW w:w="472" w:type="pct"/>
          </w:tcPr>
          <w:p w14:paraId="18F025B2" w14:textId="77777777" w:rsidR="00EB7374" w:rsidRPr="00D72A31" w:rsidRDefault="00EB7374" w:rsidP="00C700EB">
            <w:pPr>
              <w:jc w:val="right"/>
              <w:rPr>
                <w:rFonts w:asciiTheme="majorHAnsi" w:hAnsiTheme="majorHAnsi"/>
                <w:sz w:val="15"/>
                <w:szCs w:val="15"/>
              </w:rPr>
            </w:pPr>
            <w:r>
              <w:rPr>
                <w:rFonts w:asciiTheme="majorHAnsi" w:hAnsiTheme="majorHAnsi"/>
                <w:sz w:val="15"/>
              </w:rPr>
              <w:t>905</w:t>
            </w:r>
          </w:p>
        </w:tc>
        <w:tc>
          <w:tcPr>
            <w:tcW w:w="472" w:type="pct"/>
          </w:tcPr>
          <w:p w14:paraId="4FE2D2B6" w14:textId="77777777" w:rsidR="00EB7374" w:rsidRPr="00D72A31" w:rsidRDefault="00EB7374" w:rsidP="00C700EB">
            <w:pPr>
              <w:jc w:val="right"/>
              <w:rPr>
                <w:rFonts w:asciiTheme="majorHAnsi" w:hAnsiTheme="majorHAnsi"/>
                <w:sz w:val="15"/>
                <w:szCs w:val="15"/>
              </w:rPr>
            </w:pPr>
            <w:r>
              <w:rPr>
                <w:rFonts w:asciiTheme="majorHAnsi" w:hAnsiTheme="majorHAnsi"/>
                <w:sz w:val="15"/>
              </w:rPr>
              <w:t>894</w:t>
            </w:r>
          </w:p>
        </w:tc>
        <w:tc>
          <w:tcPr>
            <w:tcW w:w="364" w:type="pct"/>
          </w:tcPr>
          <w:p w14:paraId="4BBA8109" w14:textId="77777777" w:rsidR="00EB7374" w:rsidRPr="00B67C66" w:rsidRDefault="00EB7374" w:rsidP="00C700EB">
            <w:pPr>
              <w:jc w:val="right"/>
              <w:rPr>
                <w:rFonts w:asciiTheme="majorHAnsi" w:hAnsiTheme="majorHAnsi"/>
                <w:sz w:val="15"/>
                <w:szCs w:val="15"/>
              </w:rPr>
            </w:pPr>
            <w:r>
              <w:rPr>
                <w:sz w:val="15"/>
              </w:rPr>
              <w:t>..</w:t>
            </w:r>
          </w:p>
        </w:tc>
      </w:tr>
      <w:tr w:rsidR="00EB7374" w:rsidRPr="00D72A31" w14:paraId="2596D87B" w14:textId="77777777" w:rsidTr="00BB3ED8">
        <w:trPr>
          <w:cnfStyle w:val="000000010000" w:firstRow="0" w:lastRow="0" w:firstColumn="0" w:lastColumn="0" w:oddVBand="0" w:evenVBand="0" w:oddHBand="0" w:evenHBand="1" w:firstRowFirstColumn="0" w:firstRowLastColumn="0" w:lastRowFirstColumn="0" w:lastRowLastColumn="0"/>
        </w:trPr>
        <w:tc>
          <w:tcPr>
            <w:tcW w:w="1255" w:type="pct"/>
          </w:tcPr>
          <w:p w14:paraId="6EEE058F" w14:textId="77777777" w:rsidR="00EB7374" w:rsidRPr="00D72A31" w:rsidRDefault="00EB7374" w:rsidP="00C700EB">
            <w:pPr>
              <w:jc w:val="left"/>
              <w:rPr>
                <w:rFonts w:asciiTheme="majorHAnsi" w:hAnsiTheme="majorHAnsi"/>
                <w:sz w:val="15"/>
                <w:szCs w:val="15"/>
              </w:rPr>
            </w:pPr>
            <w:r>
              <w:rPr>
                <w:rFonts w:asciiTheme="majorHAnsi" w:hAnsiTheme="majorHAnsi"/>
                <w:sz w:val="15"/>
              </w:rPr>
              <w:t>Rooms</w:t>
            </w:r>
          </w:p>
        </w:tc>
        <w:tc>
          <w:tcPr>
            <w:tcW w:w="551" w:type="pct"/>
          </w:tcPr>
          <w:p w14:paraId="3C5833D7" w14:textId="77777777" w:rsidR="00EB7374" w:rsidRPr="00D72A31" w:rsidRDefault="00EB7374" w:rsidP="00C700EB">
            <w:pPr>
              <w:jc w:val="right"/>
              <w:rPr>
                <w:rFonts w:asciiTheme="majorHAnsi" w:hAnsiTheme="majorHAnsi"/>
                <w:sz w:val="15"/>
                <w:szCs w:val="15"/>
              </w:rPr>
            </w:pPr>
            <w:r>
              <w:rPr>
                <w:rFonts w:asciiTheme="majorHAnsi" w:hAnsiTheme="majorHAnsi"/>
                <w:sz w:val="15"/>
              </w:rPr>
              <w:t>72,192</w:t>
            </w:r>
          </w:p>
        </w:tc>
        <w:tc>
          <w:tcPr>
            <w:tcW w:w="472" w:type="pct"/>
          </w:tcPr>
          <w:p w14:paraId="1EC9805F" w14:textId="77777777" w:rsidR="00EB7374" w:rsidRPr="00D72A31" w:rsidRDefault="00EB7374" w:rsidP="00C700EB">
            <w:pPr>
              <w:jc w:val="right"/>
              <w:rPr>
                <w:rFonts w:asciiTheme="majorHAnsi" w:hAnsiTheme="majorHAnsi"/>
                <w:sz w:val="15"/>
                <w:szCs w:val="15"/>
              </w:rPr>
            </w:pPr>
            <w:r>
              <w:rPr>
                <w:rFonts w:asciiTheme="majorHAnsi" w:hAnsiTheme="majorHAnsi"/>
                <w:sz w:val="15"/>
              </w:rPr>
              <w:t>73,578</w:t>
            </w:r>
          </w:p>
        </w:tc>
        <w:tc>
          <w:tcPr>
            <w:tcW w:w="472" w:type="pct"/>
          </w:tcPr>
          <w:p w14:paraId="334E7802" w14:textId="77777777" w:rsidR="00EB7374" w:rsidRPr="00D72A31" w:rsidRDefault="00EB7374" w:rsidP="00C700EB">
            <w:pPr>
              <w:jc w:val="right"/>
              <w:rPr>
                <w:rFonts w:asciiTheme="majorHAnsi" w:hAnsiTheme="majorHAnsi"/>
                <w:sz w:val="15"/>
                <w:szCs w:val="15"/>
              </w:rPr>
            </w:pPr>
            <w:r>
              <w:rPr>
                <w:rFonts w:asciiTheme="majorHAnsi" w:hAnsiTheme="majorHAnsi"/>
                <w:sz w:val="15"/>
              </w:rPr>
              <w:t>77,947</w:t>
            </w:r>
          </w:p>
        </w:tc>
        <w:tc>
          <w:tcPr>
            <w:tcW w:w="471" w:type="pct"/>
          </w:tcPr>
          <w:p w14:paraId="645EA0BE" w14:textId="77777777" w:rsidR="00EB7374" w:rsidRPr="00D72A31" w:rsidRDefault="00EB7374" w:rsidP="00C700EB">
            <w:pPr>
              <w:jc w:val="right"/>
              <w:rPr>
                <w:rFonts w:asciiTheme="majorHAnsi" w:hAnsiTheme="majorHAnsi"/>
                <w:sz w:val="15"/>
                <w:szCs w:val="15"/>
              </w:rPr>
            </w:pPr>
            <w:r>
              <w:rPr>
                <w:rFonts w:asciiTheme="majorHAnsi" w:hAnsiTheme="majorHAnsi"/>
                <w:sz w:val="15"/>
              </w:rPr>
              <w:t>80,703</w:t>
            </w:r>
          </w:p>
        </w:tc>
        <w:tc>
          <w:tcPr>
            <w:tcW w:w="472" w:type="pct"/>
          </w:tcPr>
          <w:p w14:paraId="1D4985D2" w14:textId="77777777" w:rsidR="00EB7374" w:rsidRPr="00D72A31" w:rsidRDefault="00EB7374" w:rsidP="00C700EB">
            <w:pPr>
              <w:jc w:val="right"/>
              <w:rPr>
                <w:rFonts w:asciiTheme="majorHAnsi" w:hAnsiTheme="majorHAnsi"/>
                <w:sz w:val="15"/>
                <w:szCs w:val="15"/>
              </w:rPr>
            </w:pPr>
            <w:r>
              <w:rPr>
                <w:rFonts w:asciiTheme="majorHAnsi" w:hAnsiTheme="majorHAnsi"/>
                <w:sz w:val="15"/>
              </w:rPr>
              <w:t>83,041</w:t>
            </w:r>
          </w:p>
        </w:tc>
        <w:tc>
          <w:tcPr>
            <w:tcW w:w="472" w:type="pct"/>
          </w:tcPr>
          <w:p w14:paraId="289F993D" w14:textId="77777777" w:rsidR="00EB7374" w:rsidRPr="00D72A31" w:rsidRDefault="00EB7374" w:rsidP="00C700EB">
            <w:pPr>
              <w:jc w:val="right"/>
              <w:rPr>
                <w:rFonts w:asciiTheme="majorHAnsi" w:hAnsiTheme="majorHAnsi"/>
                <w:sz w:val="15"/>
                <w:szCs w:val="15"/>
              </w:rPr>
            </w:pPr>
            <w:r>
              <w:rPr>
                <w:rFonts w:asciiTheme="majorHAnsi" w:hAnsiTheme="majorHAnsi"/>
                <w:sz w:val="15"/>
              </w:rPr>
              <w:t>35,036</w:t>
            </w:r>
          </w:p>
        </w:tc>
        <w:tc>
          <w:tcPr>
            <w:tcW w:w="472" w:type="pct"/>
          </w:tcPr>
          <w:p w14:paraId="0DC68BBC" w14:textId="77777777" w:rsidR="00EB7374" w:rsidRPr="00D72A31" w:rsidRDefault="00EB7374" w:rsidP="00C700EB">
            <w:pPr>
              <w:jc w:val="right"/>
              <w:rPr>
                <w:rFonts w:asciiTheme="majorHAnsi" w:hAnsiTheme="majorHAnsi"/>
                <w:sz w:val="15"/>
                <w:szCs w:val="15"/>
              </w:rPr>
            </w:pPr>
            <w:r>
              <w:rPr>
                <w:rFonts w:asciiTheme="majorHAnsi" w:hAnsiTheme="majorHAnsi"/>
                <w:sz w:val="15"/>
              </w:rPr>
              <w:t>78,136</w:t>
            </w:r>
          </w:p>
        </w:tc>
        <w:tc>
          <w:tcPr>
            <w:tcW w:w="364" w:type="pct"/>
          </w:tcPr>
          <w:p w14:paraId="14EB6538" w14:textId="77777777" w:rsidR="00EB7374" w:rsidRPr="00B67C66" w:rsidRDefault="00EB7374" w:rsidP="00C700EB">
            <w:pPr>
              <w:jc w:val="right"/>
              <w:rPr>
                <w:rFonts w:asciiTheme="majorHAnsi" w:hAnsiTheme="majorHAnsi"/>
                <w:b/>
                <w:bCs/>
                <w:sz w:val="15"/>
                <w:szCs w:val="15"/>
              </w:rPr>
            </w:pPr>
            <w:r>
              <w:rPr>
                <w:sz w:val="15"/>
              </w:rPr>
              <w:t>..</w:t>
            </w:r>
          </w:p>
        </w:tc>
      </w:tr>
      <w:tr w:rsidR="00EB7374" w:rsidRPr="00D72A31" w14:paraId="43B6A954" w14:textId="77777777" w:rsidTr="00BB3ED8">
        <w:tc>
          <w:tcPr>
            <w:tcW w:w="1255" w:type="pct"/>
          </w:tcPr>
          <w:p w14:paraId="26FBB6EF" w14:textId="77777777" w:rsidR="00EB7374" w:rsidRPr="00D72A31" w:rsidRDefault="00EB7374" w:rsidP="00C700EB">
            <w:pPr>
              <w:ind w:firstLine="171"/>
              <w:jc w:val="left"/>
              <w:rPr>
                <w:rFonts w:asciiTheme="majorHAnsi" w:hAnsiTheme="majorHAnsi"/>
                <w:sz w:val="15"/>
                <w:szCs w:val="15"/>
              </w:rPr>
            </w:pPr>
            <w:r>
              <w:rPr>
                <w:rFonts w:asciiTheme="majorHAnsi" w:hAnsiTheme="majorHAnsi"/>
                <w:sz w:val="15"/>
              </w:rPr>
              <w:t>Occupancy rate (%)</w:t>
            </w:r>
          </w:p>
        </w:tc>
        <w:tc>
          <w:tcPr>
            <w:tcW w:w="551" w:type="pct"/>
          </w:tcPr>
          <w:p w14:paraId="21A5B6E8" w14:textId="77777777" w:rsidR="00EB7374" w:rsidRPr="00D72A31" w:rsidRDefault="00EB7374" w:rsidP="00C700EB">
            <w:pPr>
              <w:jc w:val="right"/>
              <w:rPr>
                <w:rFonts w:asciiTheme="majorHAnsi" w:hAnsiTheme="majorHAnsi"/>
                <w:sz w:val="15"/>
                <w:szCs w:val="15"/>
              </w:rPr>
            </w:pPr>
            <w:r>
              <w:rPr>
                <w:rFonts w:asciiTheme="majorHAnsi" w:hAnsiTheme="majorHAnsi"/>
                <w:sz w:val="15"/>
              </w:rPr>
              <w:t>76</w:t>
            </w:r>
          </w:p>
        </w:tc>
        <w:tc>
          <w:tcPr>
            <w:tcW w:w="472" w:type="pct"/>
          </w:tcPr>
          <w:p w14:paraId="6D66B214" w14:textId="77777777" w:rsidR="00EB7374" w:rsidRPr="00D72A31" w:rsidRDefault="00EB7374" w:rsidP="00C700EB">
            <w:pPr>
              <w:jc w:val="right"/>
              <w:rPr>
                <w:rFonts w:asciiTheme="majorHAnsi" w:hAnsiTheme="majorHAnsi"/>
                <w:sz w:val="15"/>
                <w:szCs w:val="15"/>
              </w:rPr>
            </w:pPr>
            <w:r>
              <w:rPr>
                <w:rFonts w:asciiTheme="majorHAnsi" w:hAnsiTheme="majorHAnsi"/>
                <w:sz w:val="15"/>
              </w:rPr>
              <w:t>78</w:t>
            </w:r>
          </w:p>
        </w:tc>
        <w:tc>
          <w:tcPr>
            <w:tcW w:w="472" w:type="pct"/>
          </w:tcPr>
          <w:p w14:paraId="17CA9444" w14:textId="77777777" w:rsidR="00EB7374" w:rsidRPr="00D72A31" w:rsidRDefault="00EB7374" w:rsidP="00C700EB">
            <w:pPr>
              <w:jc w:val="right"/>
              <w:rPr>
                <w:rFonts w:asciiTheme="majorHAnsi" w:hAnsiTheme="majorHAnsi"/>
                <w:sz w:val="15"/>
                <w:szCs w:val="15"/>
              </w:rPr>
            </w:pPr>
            <w:r>
              <w:rPr>
                <w:rFonts w:asciiTheme="majorHAnsi" w:hAnsiTheme="majorHAnsi"/>
                <w:sz w:val="15"/>
              </w:rPr>
              <w:t>77</w:t>
            </w:r>
          </w:p>
        </w:tc>
        <w:tc>
          <w:tcPr>
            <w:tcW w:w="471" w:type="pct"/>
          </w:tcPr>
          <w:p w14:paraId="51A6B6DD" w14:textId="77777777" w:rsidR="00EB7374" w:rsidRPr="00D72A31" w:rsidRDefault="00EB7374" w:rsidP="00C700EB">
            <w:pPr>
              <w:jc w:val="right"/>
              <w:rPr>
                <w:rFonts w:asciiTheme="majorHAnsi" w:hAnsiTheme="majorHAnsi"/>
                <w:sz w:val="15"/>
                <w:szCs w:val="15"/>
              </w:rPr>
            </w:pPr>
            <w:r>
              <w:rPr>
                <w:rFonts w:asciiTheme="majorHAnsi" w:hAnsiTheme="majorHAnsi"/>
                <w:sz w:val="15"/>
              </w:rPr>
              <w:t>78</w:t>
            </w:r>
          </w:p>
        </w:tc>
        <w:tc>
          <w:tcPr>
            <w:tcW w:w="472" w:type="pct"/>
          </w:tcPr>
          <w:p w14:paraId="03C2250A" w14:textId="77777777" w:rsidR="00EB7374" w:rsidRPr="00D72A31" w:rsidRDefault="00EB7374" w:rsidP="00C700EB">
            <w:pPr>
              <w:jc w:val="right"/>
              <w:rPr>
                <w:rFonts w:asciiTheme="majorHAnsi" w:hAnsiTheme="majorHAnsi"/>
                <w:sz w:val="15"/>
                <w:szCs w:val="15"/>
              </w:rPr>
            </w:pPr>
            <w:r>
              <w:rPr>
                <w:rFonts w:asciiTheme="majorHAnsi" w:hAnsiTheme="majorHAnsi"/>
                <w:sz w:val="15"/>
              </w:rPr>
              <w:t>72</w:t>
            </w:r>
          </w:p>
        </w:tc>
        <w:tc>
          <w:tcPr>
            <w:tcW w:w="472" w:type="pct"/>
          </w:tcPr>
          <w:p w14:paraId="4A13A190" w14:textId="77777777" w:rsidR="00EB7374" w:rsidRPr="00D72A31" w:rsidRDefault="00EB7374" w:rsidP="00C700EB">
            <w:pPr>
              <w:jc w:val="right"/>
              <w:rPr>
                <w:rFonts w:asciiTheme="majorHAnsi" w:hAnsiTheme="majorHAnsi"/>
                <w:b/>
                <w:bCs/>
                <w:sz w:val="15"/>
                <w:szCs w:val="15"/>
              </w:rPr>
            </w:pPr>
            <w:r>
              <w:rPr>
                <w:rFonts w:asciiTheme="majorHAnsi" w:hAnsiTheme="majorHAnsi"/>
                <w:sz w:val="15"/>
              </w:rPr>
              <w:t>41</w:t>
            </w:r>
          </w:p>
        </w:tc>
        <w:tc>
          <w:tcPr>
            <w:tcW w:w="472" w:type="pct"/>
          </w:tcPr>
          <w:p w14:paraId="6E29DC3D" w14:textId="77777777" w:rsidR="00EB7374" w:rsidRPr="00D72A31" w:rsidRDefault="00EB7374" w:rsidP="00C700EB">
            <w:pPr>
              <w:jc w:val="right"/>
              <w:rPr>
                <w:rFonts w:asciiTheme="majorHAnsi" w:hAnsiTheme="majorHAnsi"/>
                <w:b/>
                <w:bCs/>
                <w:sz w:val="15"/>
                <w:szCs w:val="15"/>
              </w:rPr>
            </w:pPr>
            <w:proofErr w:type="spellStart"/>
            <w:r>
              <w:rPr>
                <w:rFonts w:asciiTheme="majorHAnsi" w:hAnsiTheme="majorHAnsi"/>
                <w:sz w:val="15"/>
              </w:rPr>
              <w:t>n.a.</w:t>
            </w:r>
            <w:proofErr w:type="spellEnd"/>
          </w:p>
        </w:tc>
        <w:tc>
          <w:tcPr>
            <w:tcW w:w="364" w:type="pct"/>
          </w:tcPr>
          <w:p w14:paraId="56F30293" w14:textId="77777777" w:rsidR="00EB7374" w:rsidRPr="00B67C66" w:rsidRDefault="00EB7374" w:rsidP="00C700EB">
            <w:pPr>
              <w:jc w:val="right"/>
              <w:rPr>
                <w:rFonts w:asciiTheme="majorHAnsi" w:hAnsiTheme="majorHAnsi"/>
                <w:b/>
                <w:bCs/>
                <w:sz w:val="15"/>
                <w:szCs w:val="15"/>
              </w:rPr>
            </w:pPr>
            <w:r>
              <w:rPr>
                <w:sz w:val="15"/>
              </w:rPr>
              <w:t>..</w:t>
            </w:r>
          </w:p>
        </w:tc>
      </w:tr>
    </w:tbl>
    <w:p w14:paraId="518AD2E2" w14:textId="77777777" w:rsidR="00EB7374" w:rsidRPr="00D72A31" w:rsidRDefault="00EB7374" w:rsidP="00B0434B">
      <w:pPr>
        <w:pStyle w:val="NoteText"/>
        <w:spacing w:before="120"/>
      </w:pPr>
      <w:r>
        <w:t>..</w:t>
      </w:r>
      <w:r>
        <w:tab/>
        <w:t>Not available.</w:t>
      </w:r>
    </w:p>
    <w:p w14:paraId="55C8F9FF" w14:textId="77777777" w:rsidR="00EB7374" w:rsidRPr="00D72A31" w:rsidRDefault="00EB7374" w:rsidP="00B0434B">
      <w:pPr>
        <w:pStyle w:val="NoteText"/>
        <w:spacing w:before="120"/>
      </w:pPr>
      <w:proofErr w:type="spellStart"/>
      <w:r>
        <w:t>a</w:t>
      </w:r>
      <w:proofErr w:type="spellEnd"/>
      <w:r>
        <w:tab/>
        <w:t>At current prices.</w:t>
      </w:r>
    </w:p>
    <w:p w14:paraId="1A2B99EF" w14:textId="77777777" w:rsidR="00EB7374" w:rsidRPr="00D72A31" w:rsidRDefault="00EB7374" w:rsidP="00B0434B">
      <w:pPr>
        <w:pStyle w:val="NoteText"/>
      </w:pPr>
      <w:r>
        <w:t>b</w:t>
      </w:r>
      <w:r>
        <w:tab/>
        <w:t>USD million.</w:t>
      </w:r>
    </w:p>
    <w:p w14:paraId="15BD27B0" w14:textId="77777777" w:rsidR="00EB7374" w:rsidRPr="00D72A31" w:rsidRDefault="00EB7374" w:rsidP="00B0434B">
      <w:pPr>
        <w:pStyle w:val="NoteText"/>
      </w:pPr>
      <w:r>
        <w:t xml:space="preserve">c </w:t>
      </w:r>
      <w:r>
        <w:tab/>
        <w:t>Includes the foreign passenger exit tax and the tourist card fee. DOP million.</w:t>
      </w:r>
    </w:p>
    <w:p w14:paraId="14A857D1" w14:textId="77777777" w:rsidR="00EB7374" w:rsidRPr="00D72A31" w:rsidRDefault="00EB7374" w:rsidP="00B0434B">
      <w:pPr>
        <w:pStyle w:val="NoteText"/>
      </w:pPr>
      <w:r>
        <w:t>d</w:t>
      </w:r>
      <w:r>
        <w:tab/>
        <w:t>Non-resident arrivals by air, in millions.</w:t>
      </w:r>
    </w:p>
    <w:p w14:paraId="193DAE57" w14:textId="77777777" w:rsidR="00EB7374" w:rsidRPr="00D72A31" w:rsidRDefault="00EB7374" w:rsidP="00B0434B">
      <w:pPr>
        <w:pStyle w:val="NoteText"/>
      </w:pPr>
      <w:r>
        <w:t>e</w:t>
      </w:r>
      <w:r>
        <w:tab/>
        <w:t>Data for non-resident foreigners, in USD.</w:t>
      </w:r>
    </w:p>
    <w:p w14:paraId="6E560908" w14:textId="77777777" w:rsidR="00EB7374" w:rsidRPr="00D72A31" w:rsidRDefault="00EB7374" w:rsidP="00B0434B">
      <w:pPr>
        <w:pStyle w:val="NoteText"/>
        <w:spacing w:before="120" w:after="240"/>
      </w:pPr>
      <w:r>
        <w:t>Source:</w:t>
      </w:r>
      <w:r>
        <w:tab/>
        <w:t xml:space="preserve">Economic statistics for the tourism subsector and the external sector compiled by the Central Bank and tourism statistics from the National Statistics Office, viewed at: </w:t>
      </w:r>
      <w:hyperlink r:id="rId58" w:history="1">
        <w:r w:rsidRPr="005F0374">
          <w:rPr>
            <w:rStyle w:val="Hyperlink"/>
          </w:rPr>
          <w:t>http://www.bancentral.gov.do</w:t>
        </w:r>
      </w:hyperlink>
      <w:r>
        <w:t xml:space="preserve">; </w:t>
      </w:r>
      <w:hyperlink r:id="rId59" w:history="1">
        <w:r w:rsidRPr="005F0374">
          <w:rPr>
            <w:rStyle w:val="Hyperlink"/>
          </w:rPr>
          <w:t>http://www.one.gob.do</w:t>
        </w:r>
      </w:hyperlink>
      <w:r>
        <w:t>; and data provided by the authorities.</w:t>
      </w:r>
    </w:p>
    <w:p w14:paraId="75A57868" w14:textId="77777777" w:rsidR="00EB7374" w:rsidRPr="004C51CA" w:rsidRDefault="00EB7374" w:rsidP="00C80D98">
      <w:pPr>
        <w:pStyle w:val="BodyText"/>
      </w:pPr>
      <w:r>
        <w:t>The Tourism Law continued to regulate the tourism sector during the review period.</w:t>
      </w:r>
      <w:r w:rsidRPr="00C23180">
        <w:rPr>
          <w:rStyle w:val="FootnoteReference"/>
        </w:rPr>
        <w:footnoteReference w:id="578"/>
      </w:r>
      <w:r>
        <w:t xml:space="preserve"> By virtue of this law, the Ministry of Tourism (</w:t>
      </w:r>
      <w:proofErr w:type="spellStart"/>
      <w:r>
        <w:t>MITUR</w:t>
      </w:r>
      <w:proofErr w:type="spellEnd"/>
      <w:r>
        <w:t>) regulates tourism activities and implements tourism policy.</w:t>
      </w:r>
    </w:p>
    <w:p w14:paraId="68091B66" w14:textId="77777777" w:rsidR="00EB7374" w:rsidRPr="00C23180" w:rsidRDefault="00EB7374" w:rsidP="00C80D98">
      <w:pPr>
        <w:pStyle w:val="BodyText"/>
      </w:pPr>
      <w:r>
        <w:t>According to the authorities, tourist sector development in the Dominican Republic is highly dependent on the "sun and beach" sector (approximately 70% of the accommodation offering) and a separation from local economies and communities, due to the use of the "all-inclusive" model.</w:t>
      </w:r>
      <w:r w:rsidRPr="00C23180">
        <w:rPr>
          <w:rStyle w:val="FootnoteReference"/>
        </w:rPr>
        <w:footnoteReference w:id="579"/>
      </w:r>
      <w:r>
        <w:t xml:space="preserve"> The construction of the Amber Cove terminal for cruise ships has boosted the sector. However, it has not led to a diversification of the development model or a movement away from tourist enclaves.</w:t>
      </w:r>
    </w:p>
    <w:p w14:paraId="406D0E5E" w14:textId="212257D8" w:rsidR="00EB7374" w:rsidRPr="00A21A8A" w:rsidRDefault="00EB7374" w:rsidP="00C80D98">
      <w:pPr>
        <w:pStyle w:val="BodyText"/>
      </w:pPr>
      <w:r>
        <w:lastRenderedPageBreak/>
        <w:t>In addition to the lack of diversity in its tourism offering, the sector is facing other obstacles, such as the need to improve transport infrastructure and the lack of productive linkages with national industry. To mitigate these difficulties, the Government is proposing to promote health and wellness tourism; provide technical assistance to air transport; improve airport infrastructure; and attract tourism to protected areas in order to promote sustainable and socially inclusive tourism. There are also 26 tourism clusters, which are business clusters that seek to pursue initiatives that diversify the country</w:t>
      </w:r>
      <w:r w:rsidR="00FE5A32">
        <w:t>'</w:t>
      </w:r>
      <w:r>
        <w:t>s tourism offering.</w:t>
      </w:r>
      <w:r w:rsidRPr="00A21A8A">
        <w:rPr>
          <w:rStyle w:val="FootnoteReference"/>
        </w:rPr>
        <w:footnoteReference w:id="580"/>
      </w:r>
    </w:p>
    <w:p w14:paraId="32CCFEB8" w14:textId="77777777" w:rsidR="00EB7374" w:rsidRPr="00A4298B" w:rsidRDefault="00EB7374" w:rsidP="00C80D98">
      <w:pPr>
        <w:pStyle w:val="BodyText"/>
      </w:pPr>
      <w:r>
        <w:t xml:space="preserve">The digitalization of </w:t>
      </w:r>
      <w:proofErr w:type="spellStart"/>
      <w:r>
        <w:t>MITUR</w:t>
      </w:r>
      <w:proofErr w:type="spellEnd"/>
      <w:r>
        <w:t xml:space="preserve"> services has helped to bring more foreign investment into the country. There are no limitations on foreign investment in the tourism sector in the Dominican Republic. The largest foreign investors are from the United States, Canada, Spain, Mexico, Italy and Austria, in descending order of investment. The State does not own any stakes in tourism service companies.</w:t>
      </w:r>
    </w:p>
    <w:p w14:paraId="7D54B920" w14:textId="77777777" w:rsidR="00EB7374" w:rsidRPr="00C23180" w:rsidRDefault="00EB7374" w:rsidP="00C80D98">
      <w:pPr>
        <w:pStyle w:val="BodyText"/>
      </w:pPr>
      <w:r>
        <w:t xml:space="preserve">Tourism service providers must have a licence issued by </w:t>
      </w:r>
      <w:proofErr w:type="spellStart"/>
      <w:r>
        <w:t>MITUR</w:t>
      </w:r>
      <w:proofErr w:type="spellEnd"/>
      <w:r>
        <w:t xml:space="preserve"> in order to operate.</w:t>
      </w:r>
      <w:r w:rsidRPr="00C23180">
        <w:rPr>
          <w:rStyle w:val="FootnoteReference"/>
        </w:rPr>
        <w:footnoteReference w:id="581"/>
      </w:r>
      <w:r>
        <w:t xml:space="preserve"> The Tourism Law and a number of regulations classify the different tourism services and stipulate the procedures for providing them.</w:t>
      </w:r>
      <w:r w:rsidRPr="00C23180">
        <w:rPr>
          <w:rStyle w:val="FootnoteReference"/>
        </w:rPr>
        <w:footnoteReference w:id="582"/>
      </w:r>
      <w:r>
        <w:t xml:space="preserve"> Licences are only granted to Dominican nationals or residents. However, under exceptional circumstances, temporary licences are granted to non-residents to provide tourism services. To operate in the Dominican Republic, travel agencies and tour operators based abroad must appoint a local representative. Foreign guides may only operate in the country under exceptional circumstances, such as when there is no local guide to provide the service.</w:t>
      </w:r>
      <w:r w:rsidRPr="00C23180">
        <w:rPr>
          <w:rStyle w:val="FootnoteReference"/>
        </w:rPr>
        <w:footnoteReference w:id="583"/>
      </w:r>
      <w:r>
        <w:t xml:space="preserve"> Providers of tourist guide, accommodation and transport services may not charge higher prices than those set by </w:t>
      </w:r>
      <w:proofErr w:type="spellStart"/>
      <w:r>
        <w:t>MITUR</w:t>
      </w:r>
      <w:proofErr w:type="spellEnd"/>
      <w:r>
        <w:t>.</w:t>
      </w:r>
      <w:r w:rsidRPr="00831293">
        <w:rPr>
          <w:rStyle w:val="FootnoteReference"/>
        </w:rPr>
        <w:footnoteReference w:id="584"/>
      </w:r>
    </w:p>
    <w:p w14:paraId="364EEA20" w14:textId="76ED13D5" w:rsidR="00EB7374" w:rsidRDefault="00EB7374" w:rsidP="00C80D98">
      <w:pPr>
        <w:pStyle w:val="BodyText"/>
      </w:pPr>
      <w:r>
        <w:t>The Dominican Republic offers tax and tariff incentives for developing tourism projects throughout Dominican territory to all natural or legal persons domiciled in the country (Table 4.18).</w:t>
      </w:r>
      <w:r w:rsidRPr="00C23180">
        <w:rPr>
          <w:rStyle w:val="FootnoteReference"/>
        </w:rPr>
        <w:footnoteReference w:id="585"/>
      </w:r>
      <w:r>
        <w:t xml:space="preserve"> The incentives are granted once the Technical Board of the Council for Tourism Development (</w:t>
      </w:r>
      <w:proofErr w:type="spellStart"/>
      <w:r>
        <w:t>CONFOTUR</w:t>
      </w:r>
      <w:proofErr w:type="spellEnd"/>
      <w:r>
        <w:t xml:space="preserve">), a </w:t>
      </w:r>
      <w:proofErr w:type="spellStart"/>
      <w:r>
        <w:t>MITUR</w:t>
      </w:r>
      <w:proofErr w:type="spellEnd"/>
      <w:r>
        <w:t xml:space="preserve"> agency, </w:t>
      </w:r>
      <w:r w:rsidRPr="0056310D">
        <w:t>approves the Final Classification of</w:t>
      </w:r>
      <w:r>
        <w:t xml:space="preserve"> the tourism project recognizing it as eligible, and the Ministry of Finance has performed a cost-benefit analysis of the project.</w:t>
      </w:r>
      <w:r w:rsidRPr="00C23180">
        <w:rPr>
          <w:rStyle w:val="FootnoteReference"/>
        </w:rPr>
        <w:footnoteReference w:id="586"/>
      </w:r>
      <w:r>
        <w:t xml:space="preserve"> Hotel facilities, resorts or hotel complexes that were built more  than 5 or 15 years ago can also apply for incentives for modernizing and refurbishing their facilities. For facilities built more than 15 years ago, all the benefits earmarked for new projects may be granted on the condition that the refurbishment work covers more than 50% of the hotel's infrastructure. An application for a Provisional Classification, which is valid for a year and may be renewed once, may be made should the project have not obtained all of the permits required for the Final Classification; in this instance, only some of the incentives are provided (Article 15 of </w:t>
      </w:r>
      <w:r w:rsidR="009468D7">
        <w:t>Decree</w:t>
      </w:r>
      <w:r>
        <w:t xml:space="preserve"> No. </w:t>
      </w:r>
      <w:r w:rsidR="009468D7">
        <w:t>372-14</w:t>
      </w:r>
      <w:r>
        <w:t>).</w:t>
      </w:r>
      <w:r>
        <w:rPr>
          <w:rStyle w:val="FootnoteReference"/>
        </w:rPr>
        <w:footnoteReference w:id="587"/>
      </w:r>
    </w:p>
    <w:p w14:paraId="0C789DE0" w14:textId="77777777" w:rsidR="00EB7374" w:rsidRDefault="00EB7374" w:rsidP="00A55A6F">
      <w:pPr>
        <w:pStyle w:val="Caption"/>
      </w:pPr>
      <w:bookmarkStart w:id="414" w:name="_Toc114735854"/>
      <w:bookmarkStart w:id="415" w:name="_Toc117238072"/>
      <w:r>
        <w:t xml:space="preserve">Table </w:t>
      </w:r>
      <w:r w:rsidR="00BD37F2">
        <w:fldChar w:fldCharType="begin"/>
      </w:r>
      <w:r w:rsidR="00BD37F2">
        <w:instrText xml:space="preserve"> STYLEREF 1 \s </w:instrText>
      </w:r>
      <w:r w:rsidR="00BD37F2">
        <w:fldChar w:fldCharType="separate"/>
      </w:r>
      <w:r>
        <w:rPr>
          <w:noProof/>
        </w:rPr>
        <w:t>4</w:t>
      </w:r>
      <w:r w:rsidR="00BD37F2">
        <w:rPr>
          <w:noProof/>
        </w:rPr>
        <w:fldChar w:fldCharType="end"/>
      </w:r>
      <w:r>
        <w:t>.</w:t>
      </w:r>
      <w:r w:rsidR="00BD37F2">
        <w:fldChar w:fldCharType="begin"/>
      </w:r>
      <w:r w:rsidR="00BD37F2">
        <w:instrText xml:space="preserve"> SEQ Table \* ARABIC \s 1 </w:instrText>
      </w:r>
      <w:r w:rsidR="00BD37F2">
        <w:fldChar w:fldCharType="separate"/>
      </w:r>
      <w:r>
        <w:rPr>
          <w:noProof/>
        </w:rPr>
        <w:t>18</w:t>
      </w:r>
      <w:r w:rsidR="00BD37F2">
        <w:rPr>
          <w:noProof/>
        </w:rPr>
        <w:fldChar w:fldCharType="end"/>
      </w:r>
      <w:r>
        <w:t xml:space="preserve"> Tax incentives for tourism projects or tourism activities</w:t>
      </w:r>
      <w:bookmarkEnd w:id="414"/>
      <w:bookmarkEnd w:id="415"/>
    </w:p>
    <w:tbl>
      <w:tblPr>
        <w:tblStyle w:val="WTOTable1"/>
        <w:tblW w:w="9067" w:type="dxa"/>
        <w:tblLook w:val="04A0" w:firstRow="1" w:lastRow="0" w:firstColumn="1" w:lastColumn="0" w:noHBand="0" w:noVBand="1"/>
      </w:tblPr>
      <w:tblGrid>
        <w:gridCol w:w="2405"/>
        <w:gridCol w:w="6662"/>
      </w:tblGrid>
      <w:tr w:rsidR="00EB7374" w:rsidRPr="00D72A31" w14:paraId="4C4A5EF8" w14:textId="77777777" w:rsidTr="00C700EB">
        <w:trPr>
          <w:cnfStyle w:val="100000000000" w:firstRow="1" w:lastRow="0" w:firstColumn="0" w:lastColumn="0" w:oddVBand="0" w:evenVBand="0" w:oddHBand="0" w:evenHBand="0" w:firstRowFirstColumn="0" w:firstRowLastColumn="0" w:lastRowFirstColumn="0" w:lastRowLastColumn="0"/>
          <w:tblHeader/>
        </w:trPr>
        <w:tc>
          <w:tcPr>
            <w:tcW w:w="2405" w:type="dxa"/>
          </w:tcPr>
          <w:p w14:paraId="0A4D6276" w14:textId="77777777" w:rsidR="00EB7374" w:rsidRPr="00D72A31" w:rsidRDefault="00EB7374" w:rsidP="00C700EB">
            <w:pPr>
              <w:pStyle w:val="BodyText"/>
              <w:numPr>
                <w:ilvl w:val="0"/>
                <w:numId w:val="0"/>
              </w:numPr>
              <w:spacing w:after="0"/>
              <w:rPr>
                <w:sz w:val="15"/>
                <w:szCs w:val="15"/>
              </w:rPr>
            </w:pPr>
            <w:r>
              <w:rPr>
                <w:sz w:val="15"/>
              </w:rPr>
              <w:t>Project type</w:t>
            </w:r>
          </w:p>
        </w:tc>
        <w:tc>
          <w:tcPr>
            <w:tcW w:w="6662" w:type="dxa"/>
          </w:tcPr>
          <w:p w14:paraId="55C6F24D" w14:textId="77777777" w:rsidR="00EB7374" w:rsidRPr="00D72A31" w:rsidRDefault="00EB7374" w:rsidP="00C700EB">
            <w:pPr>
              <w:pStyle w:val="BodyText"/>
              <w:numPr>
                <w:ilvl w:val="0"/>
                <w:numId w:val="0"/>
              </w:numPr>
              <w:spacing w:after="0"/>
              <w:rPr>
                <w:sz w:val="15"/>
                <w:szCs w:val="15"/>
              </w:rPr>
            </w:pPr>
            <w:r>
              <w:rPr>
                <w:sz w:val="15"/>
              </w:rPr>
              <w:t>Incentives</w:t>
            </w:r>
          </w:p>
        </w:tc>
      </w:tr>
      <w:tr w:rsidR="00EB7374" w:rsidRPr="00D72A31" w14:paraId="06249825" w14:textId="77777777" w:rsidTr="00C700EB">
        <w:tc>
          <w:tcPr>
            <w:tcW w:w="2405" w:type="dxa"/>
          </w:tcPr>
          <w:p w14:paraId="5C2A389E" w14:textId="77777777" w:rsidR="00EB7374" w:rsidRPr="00D72A31" w:rsidRDefault="00EB7374" w:rsidP="00C700EB">
            <w:pPr>
              <w:pStyle w:val="BodyText"/>
              <w:numPr>
                <w:ilvl w:val="0"/>
                <w:numId w:val="0"/>
              </w:numPr>
              <w:spacing w:after="0"/>
              <w:jc w:val="left"/>
              <w:rPr>
                <w:sz w:val="15"/>
                <w:szCs w:val="15"/>
              </w:rPr>
            </w:pPr>
            <w:r>
              <w:rPr>
                <w:sz w:val="15"/>
              </w:rPr>
              <w:t xml:space="preserve">New </w:t>
            </w:r>
            <w:proofErr w:type="spellStart"/>
            <w:r>
              <w:rPr>
                <w:sz w:val="15"/>
              </w:rPr>
              <w:t>projects</w:t>
            </w:r>
            <w:r>
              <w:rPr>
                <w:sz w:val="15"/>
                <w:vertAlign w:val="superscript"/>
              </w:rPr>
              <w:t>a</w:t>
            </w:r>
            <w:proofErr w:type="spellEnd"/>
          </w:p>
        </w:tc>
        <w:tc>
          <w:tcPr>
            <w:tcW w:w="6662" w:type="dxa"/>
          </w:tcPr>
          <w:p w14:paraId="5ACAEE26" w14:textId="77777777" w:rsidR="00EB7374" w:rsidRPr="00D72A31" w:rsidRDefault="00EB7374" w:rsidP="00C23180">
            <w:pPr>
              <w:pStyle w:val="BodyText"/>
              <w:numPr>
                <w:ilvl w:val="0"/>
                <w:numId w:val="0"/>
              </w:numPr>
              <w:spacing w:after="0"/>
              <w:ind w:left="360" w:hanging="360"/>
              <w:jc w:val="left"/>
              <w:rPr>
                <w:sz w:val="15"/>
                <w:szCs w:val="15"/>
              </w:rPr>
            </w:pPr>
            <w:r>
              <w:rPr>
                <w:rFonts w:ascii="Segoe UI" w:hAnsi="Segoe UI"/>
                <w:sz w:val="15"/>
              </w:rPr>
              <w:t>–</w:t>
            </w:r>
            <w:r>
              <w:rPr>
                <w:rFonts w:ascii="Segoe UI" w:hAnsi="Segoe UI"/>
                <w:sz w:val="15"/>
              </w:rPr>
              <w:tab/>
            </w:r>
            <w:r>
              <w:rPr>
                <w:sz w:val="15"/>
              </w:rPr>
              <w:t>Exemption from income tax for 15 years from the conclusion of construction and fitting-out work for the project.</w:t>
            </w:r>
          </w:p>
          <w:p w14:paraId="361EFF19" w14:textId="77777777" w:rsidR="00EB7374" w:rsidRPr="00D72A31" w:rsidRDefault="00EB7374" w:rsidP="00C23180">
            <w:pPr>
              <w:pStyle w:val="BodyText"/>
              <w:numPr>
                <w:ilvl w:val="0"/>
                <w:numId w:val="0"/>
              </w:numPr>
              <w:spacing w:after="0"/>
              <w:ind w:left="360" w:hanging="360"/>
              <w:jc w:val="left"/>
              <w:rPr>
                <w:sz w:val="15"/>
                <w:szCs w:val="15"/>
              </w:rPr>
            </w:pPr>
            <w:r>
              <w:rPr>
                <w:rFonts w:ascii="Segoe UI" w:hAnsi="Segoe UI"/>
                <w:sz w:val="15"/>
              </w:rPr>
              <w:t>–</w:t>
            </w:r>
            <w:r>
              <w:rPr>
                <w:rFonts w:ascii="Segoe UI" w:hAnsi="Segoe UI"/>
                <w:sz w:val="15"/>
              </w:rPr>
              <w:tab/>
            </w:r>
            <w:r>
              <w:rPr>
                <w:sz w:val="15"/>
              </w:rPr>
              <w:t>Exemption from national and municipal taxes for incorporating companies; for capital increases in companies that have already been incorporated; and for sales, exchanges or transfers of property rights.</w:t>
            </w:r>
          </w:p>
          <w:p w14:paraId="5E2D2D02" w14:textId="77777777" w:rsidR="00EB7374" w:rsidRPr="00D72A31" w:rsidRDefault="00EB7374" w:rsidP="00C23180">
            <w:pPr>
              <w:pStyle w:val="BodyText"/>
              <w:numPr>
                <w:ilvl w:val="0"/>
                <w:numId w:val="0"/>
              </w:numPr>
              <w:spacing w:after="0"/>
              <w:ind w:left="360" w:hanging="360"/>
              <w:jc w:val="left"/>
              <w:rPr>
                <w:sz w:val="15"/>
                <w:szCs w:val="15"/>
              </w:rPr>
            </w:pPr>
            <w:r>
              <w:rPr>
                <w:rFonts w:ascii="Segoe UI" w:hAnsi="Segoe UI"/>
                <w:sz w:val="15"/>
              </w:rPr>
              <w:lastRenderedPageBreak/>
              <w:t>–</w:t>
            </w:r>
            <w:r>
              <w:rPr>
                <w:rFonts w:ascii="Segoe UI" w:hAnsi="Segoe UI"/>
                <w:sz w:val="15"/>
              </w:rPr>
              <w:tab/>
            </w:r>
            <w:r>
              <w:rPr>
                <w:sz w:val="15"/>
              </w:rPr>
              <w:t xml:space="preserve">Exemption from the </w:t>
            </w:r>
            <w:proofErr w:type="spellStart"/>
            <w:r>
              <w:rPr>
                <w:sz w:val="15"/>
              </w:rPr>
              <w:t>ITBIS</w:t>
            </w:r>
            <w:proofErr w:type="spellEnd"/>
            <w:r>
              <w:rPr>
                <w:sz w:val="15"/>
              </w:rPr>
              <w:t xml:space="preserve">, the </w:t>
            </w:r>
            <w:proofErr w:type="spellStart"/>
            <w:r>
              <w:rPr>
                <w:sz w:val="15"/>
              </w:rPr>
              <w:t>ISC</w:t>
            </w:r>
            <w:proofErr w:type="spellEnd"/>
            <w:r>
              <w:rPr>
                <w:sz w:val="15"/>
              </w:rPr>
              <w:t xml:space="preserve"> and the levy on machinery, equipment, materials and movable property required for fitting out the tourism facility for the first time and starting up its operations.</w:t>
            </w:r>
          </w:p>
        </w:tc>
      </w:tr>
      <w:tr w:rsidR="00EB7374" w:rsidRPr="00D72A31" w14:paraId="22D6C3F1" w14:textId="77777777" w:rsidTr="00C700EB">
        <w:trPr>
          <w:cnfStyle w:val="000000010000" w:firstRow="0" w:lastRow="0" w:firstColumn="0" w:lastColumn="0" w:oddVBand="0" w:evenVBand="0" w:oddHBand="0" w:evenHBand="1" w:firstRowFirstColumn="0" w:firstRowLastColumn="0" w:lastRowFirstColumn="0" w:lastRowLastColumn="0"/>
        </w:trPr>
        <w:tc>
          <w:tcPr>
            <w:tcW w:w="2405" w:type="dxa"/>
          </w:tcPr>
          <w:p w14:paraId="44ED84EE" w14:textId="77777777" w:rsidR="00EB7374" w:rsidRPr="00D72A31" w:rsidRDefault="00EB7374" w:rsidP="00C700EB">
            <w:pPr>
              <w:pStyle w:val="BodyText"/>
              <w:numPr>
                <w:ilvl w:val="0"/>
                <w:numId w:val="0"/>
              </w:numPr>
              <w:spacing w:after="0"/>
              <w:jc w:val="left"/>
              <w:rPr>
                <w:sz w:val="15"/>
                <w:szCs w:val="15"/>
              </w:rPr>
            </w:pPr>
            <w:r>
              <w:rPr>
                <w:sz w:val="15"/>
              </w:rPr>
              <w:lastRenderedPageBreak/>
              <w:t>Hotel facilities, resorts or hotel complexes built more than 5 years ago</w:t>
            </w:r>
          </w:p>
        </w:tc>
        <w:tc>
          <w:tcPr>
            <w:tcW w:w="6662" w:type="dxa"/>
          </w:tcPr>
          <w:p w14:paraId="67116EDB" w14:textId="77777777" w:rsidR="00EB7374" w:rsidRPr="00D72A31" w:rsidRDefault="00EB7374" w:rsidP="00C23180">
            <w:pPr>
              <w:pStyle w:val="BodyText"/>
              <w:numPr>
                <w:ilvl w:val="0"/>
                <w:numId w:val="0"/>
              </w:numPr>
              <w:spacing w:after="0"/>
              <w:ind w:left="360" w:hanging="360"/>
              <w:jc w:val="left"/>
              <w:rPr>
                <w:sz w:val="15"/>
                <w:szCs w:val="15"/>
              </w:rPr>
            </w:pPr>
            <w:r>
              <w:rPr>
                <w:sz w:val="15"/>
              </w:rPr>
              <w:t>–</w:t>
            </w:r>
            <w:r>
              <w:rPr>
                <w:sz w:val="15"/>
              </w:rPr>
              <w:tab/>
              <w:t xml:space="preserve">Exemption from the </w:t>
            </w:r>
            <w:proofErr w:type="spellStart"/>
            <w:r>
              <w:rPr>
                <w:sz w:val="15"/>
              </w:rPr>
              <w:t>ITBIS</w:t>
            </w:r>
            <w:proofErr w:type="spellEnd"/>
            <w:r>
              <w:rPr>
                <w:sz w:val="15"/>
              </w:rPr>
              <w:t xml:space="preserve">, the </w:t>
            </w:r>
            <w:proofErr w:type="spellStart"/>
            <w:r>
              <w:rPr>
                <w:sz w:val="15"/>
              </w:rPr>
              <w:t>ISC</w:t>
            </w:r>
            <w:proofErr w:type="spellEnd"/>
            <w:r>
              <w:rPr>
                <w:sz w:val="15"/>
              </w:rPr>
              <w:t xml:space="preserve"> and the levy on local purchases and imports of machinery, equipment, materials and movable property required for modernizing, enhancing and renovating these facilities. </w:t>
            </w:r>
          </w:p>
        </w:tc>
      </w:tr>
      <w:tr w:rsidR="00EB7374" w:rsidRPr="00D72A31" w14:paraId="3610C44E" w14:textId="77777777" w:rsidTr="00C700EB">
        <w:tc>
          <w:tcPr>
            <w:tcW w:w="2405" w:type="dxa"/>
          </w:tcPr>
          <w:p w14:paraId="2427BC1C" w14:textId="4D014895" w:rsidR="00EB7374" w:rsidRPr="00D72A31" w:rsidRDefault="00EB7374" w:rsidP="00C700EB">
            <w:pPr>
              <w:pStyle w:val="BodyText"/>
              <w:keepNext/>
              <w:keepLines/>
              <w:numPr>
                <w:ilvl w:val="0"/>
                <w:numId w:val="0"/>
              </w:numPr>
              <w:spacing w:after="0"/>
              <w:jc w:val="left"/>
              <w:rPr>
                <w:sz w:val="15"/>
                <w:szCs w:val="15"/>
              </w:rPr>
            </w:pPr>
            <w:r>
              <w:rPr>
                <w:sz w:val="15"/>
              </w:rPr>
              <w:t xml:space="preserve">Hotel facilities, resorts or hotel complexes built more than 15 years </w:t>
            </w:r>
            <w:proofErr w:type="spellStart"/>
            <w:r>
              <w:rPr>
                <w:sz w:val="15"/>
              </w:rPr>
              <w:t>ago</w:t>
            </w:r>
            <w:r w:rsidR="00F07253" w:rsidRPr="00F07253">
              <w:rPr>
                <w:sz w:val="15"/>
                <w:vertAlign w:val="superscript"/>
              </w:rPr>
              <w:t>b</w:t>
            </w:r>
            <w:proofErr w:type="spellEnd"/>
          </w:p>
        </w:tc>
        <w:tc>
          <w:tcPr>
            <w:tcW w:w="6662" w:type="dxa"/>
          </w:tcPr>
          <w:p w14:paraId="2368438F" w14:textId="77777777" w:rsidR="00EB7374" w:rsidRPr="00D72A31" w:rsidRDefault="00EB7374" w:rsidP="00C23180">
            <w:pPr>
              <w:pStyle w:val="BodyText"/>
              <w:keepNext/>
              <w:keepLines/>
              <w:numPr>
                <w:ilvl w:val="0"/>
                <w:numId w:val="0"/>
              </w:numPr>
              <w:spacing w:after="0"/>
              <w:ind w:left="360" w:hanging="360"/>
              <w:jc w:val="left"/>
              <w:rPr>
                <w:sz w:val="15"/>
                <w:szCs w:val="15"/>
              </w:rPr>
            </w:pPr>
            <w:r>
              <w:rPr>
                <w:rFonts w:ascii="Segoe UI" w:hAnsi="Segoe UI"/>
                <w:sz w:val="15"/>
              </w:rPr>
              <w:t>–</w:t>
            </w:r>
            <w:r>
              <w:rPr>
                <w:rFonts w:ascii="Segoe UI" w:hAnsi="Segoe UI"/>
                <w:sz w:val="15"/>
              </w:rPr>
              <w:tab/>
            </w:r>
            <w:r>
              <w:rPr>
                <w:sz w:val="15"/>
              </w:rPr>
              <w:t>Exemption from income tax for 15 years from the conclusion of refurbishment work.</w:t>
            </w:r>
          </w:p>
          <w:p w14:paraId="71F48011" w14:textId="77777777" w:rsidR="00EB7374" w:rsidRPr="00D72A31" w:rsidRDefault="00EB7374" w:rsidP="00C23180">
            <w:pPr>
              <w:pStyle w:val="BodyText"/>
              <w:keepNext/>
              <w:keepLines/>
              <w:numPr>
                <w:ilvl w:val="0"/>
                <w:numId w:val="0"/>
              </w:numPr>
              <w:spacing w:after="0"/>
              <w:ind w:left="360" w:hanging="360"/>
              <w:jc w:val="left"/>
              <w:rPr>
                <w:sz w:val="15"/>
                <w:szCs w:val="15"/>
              </w:rPr>
            </w:pPr>
            <w:r>
              <w:rPr>
                <w:sz w:val="15"/>
              </w:rPr>
              <w:t>–</w:t>
            </w:r>
            <w:r>
              <w:rPr>
                <w:sz w:val="15"/>
              </w:rPr>
              <w:tab/>
              <w:t>Exemption from national and municipal taxes for incorporating companies; for capital increases in companies that have already been incorporated; and for sales, exchanges or transfers of property rights.</w:t>
            </w:r>
          </w:p>
          <w:p w14:paraId="4BE1F214" w14:textId="77777777" w:rsidR="00EB7374" w:rsidRPr="00D72A31" w:rsidRDefault="00EB7374" w:rsidP="00C23180">
            <w:pPr>
              <w:pStyle w:val="BodyText"/>
              <w:keepNext/>
              <w:keepLines/>
              <w:numPr>
                <w:ilvl w:val="0"/>
                <w:numId w:val="0"/>
              </w:numPr>
              <w:spacing w:after="0"/>
              <w:ind w:left="360" w:hanging="360"/>
              <w:jc w:val="left"/>
              <w:rPr>
                <w:sz w:val="15"/>
                <w:szCs w:val="15"/>
              </w:rPr>
            </w:pPr>
            <w:r>
              <w:rPr>
                <w:sz w:val="15"/>
              </w:rPr>
              <w:t>–</w:t>
            </w:r>
            <w:r>
              <w:rPr>
                <w:sz w:val="15"/>
              </w:rPr>
              <w:tab/>
              <w:t xml:space="preserve">Exemption from the </w:t>
            </w:r>
            <w:proofErr w:type="spellStart"/>
            <w:r>
              <w:rPr>
                <w:sz w:val="15"/>
              </w:rPr>
              <w:t>ITBIS</w:t>
            </w:r>
            <w:proofErr w:type="spellEnd"/>
            <w:r>
              <w:rPr>
                <w:sz w:val="15"/>
              </w:rPr>
              <w:t xml:space="preserve">, the </w:t>
            </w:r>
            <w:proofErr w:type="spellStart"/>
            <w:r>
              <w:rPr>
                <w:sz w:val="15"/>
              </w:rPr>
              <w:t>ISC</w:t>
            </w:r>
            <w:proofErr w:type="spellEnd"/>
            <w:r>
              <w:rPr>
                <w:sz w:val="15"/>
              </w:rPr>
              <w:t xml:space="preserve"> and the levy on machinery, equipment, materials and movable property required for renovating them.</w:t>
            </w:r>
          </w:p>
        </w:tc>
      </w:tr>
    </w:tbl>
    <w:p w14:paraId="3C47B269" w14:textId="77777777" w:rsidR="00EB7374" w:rsidRDefault="00EB7374" w:rsidP="003F12BD">
      <w:pPr>
        <w:pStyle w:val="NoteText"/>
        <w:spacing w:before="120"/>
      </w:pPr>
      <w:r>
        <w:t>a</w:t>
      </w:r>
      <w:r>
        <w:tab/>
        <w:t>Hotel facilities, resorts and/or hotel complexes; convention, exhibition and congress centres; ecological, theme or amusement parks; and port and maritime infrastructure for tourism, among others, are eligible for these incentives (Article 3 of Law No. 158-01).</w:t>
      </w:r>
    </w:p>
    <w:p w14:paraId="25944A53" w14:textId="77777777" w:rsidR="00EB7374" w:rsidRDefault="00EB7374" w:rsidP="00B0434B">
      <w:pPr>
        <w:pStyle w:val="NoteText"/>
      </w:pPr>
      <w:r>
        <w:t>b</w:t>
      </w:r>
      <w:r>
        <w:tab/>
        <w:t>In order to qualify for all of these benefits, the renovation work must cover more than 50% of the hotel facilities.</w:t>
      </w:r>
    </w:p>
    <w:p w14:paraId="44F4265F" w14:textId="77777777" w:rsidR="00EB7374" w:rsidRPr="0031774C" w:rsidRDefault="00EB7374" w:rsidP="00B0434B">
      <w:pPr>
        <w:pStyle w:val="NoteText"/>
        <w:spacing w:before="120" w:after="240"/>
      </w:pPr>
      <w:r>
        <w:t>Source:</w:t>
      </w:r>
      <w:r>
        <w:tab/>
      </w:r>
      <w:proofErr w:type="spellStart"/>
      <w:r w:rsidRPr="00672C38">
        <w:rPr>
          <w:i/>
          <w:iCs/>
        </w:rPr>
        <w:t>Guía</w:t>
      </w:r>
      <w:proofErr w:type="spellEnd"/>
      <w:r w:rsidRPr="00672C38">
        <w:rPr>
          <w:i/>
          <w:iCs/>
        </w:rPr>
        <w:t xml:space="preserve"> para la </w:t>
      </w:r>
      <w:proofErr w:type="spellStart"/>
      <w:r w:rsidRPr="00672C38">
        <w:rPr>
          <w:i/>
          <w:iCs/>
        </w:rPr>
        <w:t>presentación</w:t>
      </w:r>
      <w:proofErr w:type="spellEnd"/>
      <w:r w:rsidRPr="00672C38">
        <w:rPr>
          <w:i/>
          <w:iCs/>
        </w:rPr>
        <w:t xml:space="preserve"> de </w:t>
      </w:r>
      <w:proofErr w:type="spellStart"/>
      <w:r w:rsidRPr="00672C38">
        <w:rPr>
          <w:i/>
          <w:iCs/>
        </w:rPr>
        <w:t>Proyectos</w:t>
      </w:r>
      <w:proofErr w:type="spellEnd"/>
      <w:r w:rsidRPr="00672C38">
        <w:rPr>
          <w:i/>
          <w:iCs/>
        </w:rPr>
        <w:t xml:space="preserve"> </w:t>
      </w:r>
      <w:proofErr w:type="spellStart"/>
      <w:r w:rsidRPr="00672C38">
        <w:rPr>
          <w:i/>
          <w:iCs/>
        </w:rPr>
        <w:t>Turísticos</w:t>
      </w:r>
      <w:proofErr w:type="spellEnd"/>
      <w:r w:rsidRPr="00672C38">
        <w:rPr>
          <w:i/>
          <w:iCs/>
        </w:rPr>
        <w:t xml:space="preserve"> para acceder a </w:t>
      </w:r>
      <w:proofErr w:type="spellStart"/>
      <w:r w:rsidRPr="00672C38">
        <w:rPr>
          <w:i/>
          <w:iCs/>
        </w:rPr>
        <w:t>los</w:t>
      </w:r>
      <w:proofErr w:type="spellEnd"/>
      <w:r w:rsidRPr="00672C38">
        <w:rPr>
          <w:i/>
          <w:iCs/>
        </w:rPr>
        <w:t xml:space="preserve"> </w:t>
      </w:r>
      <w:proofErr w:type="spellStart"/>
      <w:r w:rsidRPr="00672C38">
        <w:rPr>
          <w:i/>
          <w:iCs/>
        </w:rPr>
        <w:t>Incentivos</w:t>
      </w:r>
      <w:proofErr w:type="spellEnd"/>
      <w:r w:rsidRPr="00672C38">
        <w:rPr>
          <w:i/>
          <w:iCs/>
        </w:rPr>
        <w:t xml:space="preserve"> y </w:t>
      </w:r>
      <w:proofErr w:type="spellStart"/>
      <w:r w:rsidRPr="00672C38">
        <w:rPr>
          <w:i/>
          <w:iCs/>
        </w:rPr>
        <w:t>Beneficios</w:t>
      </w:r>
      <w:proofErr w:type="spellEnd"/>
      <w:r w:rsidRPr="00672C38">
        <w:rPr>
          <w:i/>
          <w:iCs/>
        </w:rPr>
        <w:t xml:space="preserve"> de la Ley Nº 158-01</w:t>
      </w:r>
      <w:r>
        <w:t xml:space="preserve">. Online information. Viewed at: </w:t>
      </w:r>
      <w:hyperlink r:id="rId60" w:history="1">
        <w:r w:rsidRPr="005437D6">
          <w:rPr>
            <w:rStyle w:val="Hyperlink"/>
          </w:rPr>
          <w:t>https://confotur.mitur.gob.do/wp-content/uploads/2021/11/Guia-para-acceder-incentivos-Beneficios-Ley-No158-01.pdf</w:t>
        </w:r>
      </w:hyperlink>
      <w:r>
        <w:t>.</w:t>
      </w:r>
    </w:p>
    <w:p w14:paraId="6570EAA5" w14:textId="77777777" w:rsidR="00EB7374" w:rsidRDefault="00EB7374" w:rsidP="00C80D98">
      <w:pPr>
        <w:pStyle w:val="BodyText"/>
      </w:pPr>
      <w:r>
        <w:t>The continuous and uninterrupted operation of an approved project must begin within three years, while the tax exemption will last for 15 years in all instances.</w:t>
      </w:r>
      <w:r w:rsidRPr="00C23180">
        <w:rPr>
          <w:rStyle w:val="FootnoteReference"/>
        </w:rPr>
        <w:footnoteReference w:id="588"/>
      </w:r>
      <w:r>
        <w:t xml:space="preserve"> The exemption on tariffs applies only to the capital assets required to initiate the project and must be assessed and approved by the </w:t>
      </w:r>
      <w:proofErr w:type="spellStart"/>
      <w:r>
        <w:t>CONFOTUR</w:t>
      </w:r>
      <w:proofErr w:type="spellEnd"/>
      <w:r>
        <w:t>, which will determine the assets (amounts, characteristics and components) that will be exempted based on the project investment and the cost-benefit analysis issued by the Ministry of Finance.</w:t>
      </w:r>
      <w:r w:rsidRPr="00320675">
        <w:rPr>
          <w:rStyle w:val="FootnoteReference"/>
        </w:rPr>
        <w:footnoteReference w:id="589"/>
      </w:r>
    </w:p>
    <w:p w14:paraId="37E69781" w14:textId="77777777" w:rsidR="00EB7374" w:rsidRPr="00C23180" w:rsidRDefault="00EB7374" w:rsidP="00C80D98">
      <w:pPr>
        <w:pStyle w:val="BodyText"/>
      </w:pPr>
      <w:r>
        <w:t>During the first five years of the project, companies and investors may also deduct up to 20% of their investments in tourism projects from their net taxable income. Tourism service companies located in border provinces may apply for the incentives outlined in Law No. 158-01 or in Law No. 12-21 on Special Comprehensive Border Development Zone (Sections 2.4 and 3.3). However, tourism in the Border Development Zone is still rather limited.</w:t>
      </w:r>
    </w:p>
    <w:p w14:paraId="244F085B" w14:textId="77777777" w:rsidR="00EB7374" w:rsidRPr="00C23180" w:rsidRDefault="00EB7374" w:rsidP="00C80D98">
      <w:pPr>
        <w:pStyle w:val="BodyText"/>
      </w:pPr>
      <w:r>
        <w:t>In 2021, more than 60 companies benefited from the incentive scheme for tourism development, and obtained incentives and exemptions worth USD 336.9 million the same year. Of this amount, 23.7% corresponds to tariff exemptions.</w:t>
      </w:r>
    </w:p>
    <w:p w14:paraId="07005265" w14:textId="77777777" w:rsidR="00EB7374" w:rsidRPr="008A763F" w:rsidRDefault="00EB7374" w:rsidP="00C80D98">
      <w:pPr>
        <w:pStyle w:val="BodyText"/>
      </w:pPr>
      <w:r>
        <w:t xml:space="preserve">The Official Tourism Promotion Fund, administered by </w:t>
      </w:r>
      <w:proofErr w:type="spellStart"/>
      <w:r>
        <w:t>MITUR</w:t>
      </w:r>
      <w:proofErr w:type="spellEnd"/>
      <w:r>
        <w:t xml:space="preserve"> in partnership with the private sector, is responsible for promoting the Dominican Republic as a tourism destination. This Fund is financed through proceeds from Tourism Card payments (USD 10 per passenger)</w:t>
      </w:r>
      <w:r w:rsidRPr="00A4298B">
        <w:rPr>
          <w:rStyle w:val="FootnoteReference"/>
        </w:rPr>
        <w:footnoteReference w:id="590"/>
      </w:r>
      <w:r>
        <w:t xml:space="preserve"> and aviation taxes (USD 3.25 per passenger upon entry and exit).</w:t>
      </w:r>
      <w:r w:rsidRPr="00C23180">
        <w:rPr>
          <w:rStyle w:val="FootnoteReference"/>
        </w:rPr>
        <w:footnoteReference w:id="591"/>
      </w:r>
      <w:r>
        <w:t xml:space="preserve"> As a result, in 2022, DOP </w:t>
      </w:r>
      <w:bookmarkStart w:id="416" w:name="_Hlk114560331"/>
      <w:r>
        <w:t xml:space="preserve">6.5 billion </w:t>
      </w:r>
      <w:bookmarkEnd w:id="416"/>
      <w:r>
        <w:t xml:space="preserve">was allocated to </w:t>
      </w:r>
      <w:proofErr w:type="spellStart"/>
      <w:r>
        <w:t>MITUR</w:t>
      </w:r>
      <w:proofErr w:type="spellEnd"/>
      <w:r>
        <w:t>.</w:t>
      </w:r>
      <w:r w:rsidRPr="00C23180">
        <w:rPr>
          <w:rStyle w:val="FootnoteReference"/>
        </w:rPr>
        <w:footnoteReference w:id="592"/>
      </w:r>
      <w:r>
        <w:t xml:space="preserve"> A combined strategy (the "Tourism in Every Corner" campaign) was launched, setting out to broaden the reach of tourism activities and strengthening the image of the country as a tourism destination in the main countries of origin for tourists to the Dominican Republic. </w:t>
      </w:r>
      <w:proofErr w:type="spellStart"/>
      <w:r>
        <w:t>MITUR</w:t>
      </w:r>
      <w:proofErr w:type="spellEnd"/>
      <w:r>
        <w:t xml:space="preserve"> has a network of more than 50 Tourism Promotion Offices, including 22 located abroad.</w:t>
      </w:r>
    </w:p>
    <w:p w14:paraId="03C6CD5B" w14:textId="77777777" w:rsidR="007069EA" w:rsidRDefault="007069EA">
      <w:pPr>
        <w:jc w:val="left"/>
        <w:rPr>
          <w:sz w:val="16"/>
        </w:rPr>
      </w:pPr>
    </w:p>
    <w:p w14:paraId="164BD031" w14:textId="6EB07D60" w:rsidR="007069EA" w:rsidRDefault="007069EA">
      <w:pPr>
        <w:jc w:val="left"/>
        <w:rPr>
          <w:sz w:val="16"/>
        </w:rPr>
        <w:sectPr w:rsidR="007069EA" w:rsidSect="00AD4325">
          <w:footnotePr>
            <w:numRestart w:val="eachSect"/>
          </w:footnotePr>
          <w:pgSz w:w="11906" w:h="16838" w:code="9"/>
          <w:pgMar w:top="1701" w:right="1440" w:bottom="1440" w:left="1440" w:header="720" w:footer="720" w:gutter="0"/>
          <w:cols w:space="720"/>
          <w:docGrid w:linePitch="360"/>
        </w:sectPr>
      </w:pPr>
    </w:p>
    <w:p w14:paraId="24A20E67" w14:textId="77777777" w:rsidR="004F64EF" w:rsidRPr="004C7649" w:rsidRDefault="004F64EF" w:rsidP="00574469">
      <w:pPr>
        <w:pStyle w:val="Heading1"/>
      </w:pPr>
      <w:bookmarkStart w:id="417" w:name="_Toc117260672"/>
      <w:bookmarkStart w:id="418" w:name="_Hlk116917283"/>
      <w:r>
        <w:lastRenderedPageBreak/>
        <w:t>APPENDIX TABLES</w:t>
      </w:r>
      <w:bookmarkEnd w:id="417"/>
    </w:p>
    <w:p w14:paraId="780F5763" w14:textId="77777777" w:rsidR="004F64EF" w:rsidRPr="003003C0" w:rsidRDefault="004F64EF" w:rsidP="00B91D96">
      <w:pPr>
        <w:pStyle w:val="Caption"/>
      </w:pPr>
      <w:bookmarkStart w:id="419" w:name="_Toc114735861"/>
      <w:bookmarkStart w:id="420" w:name="_Toc117004279"/>
      <w:r>
        <w:t>Table</w:t>
      </w:r>
      <w:r w:rsidRPr="003003C0">
        <w:t xml:space="preserve"> A1.</w:t>
      </w:r>
      <w:r w:rsidR="00BD37F2">
        <w:fldChar w:fldCharType="begin"/>
      </w:r>
      <w:r w:rsidR="00BD37F2">
        <w:instrText xml:space="preserve"> SEQ Table_A1. \* ARABIC </w:instrText>
      </w:r>
      <w:r w:rsidR="00BD37F2">
        <w:fldChar w:fldCharType="separate"/>
      </w:r>
      <w:r w:rsidRPr="003003C0">
        <w:rPr>
          <w:noProof/>
        </w:rPr>
        <w:t>1</w:t>
      </w:r>
      <w:r w:rsidR="00BD37F2">
        <w:rPr>
          <w:noProof/>
        </w:rPr>
        <w:fldChar w:fldCharType="end"/>
      </w:r>
      <w:r w:rsidRPr="003003C0">
        <w:t xml:space="preserve"> Exports of consumer goods and re-exports </w:t>
      </w:r>
      <w:r>
        <w:t>by HS section and main HS chapter</w:t>
      </w:r>
      <w:r w:rsidRPr="003003C0">
        <w:t>, 2015-21</w:t>
      </w:r>
      <w:bookmarkEnd w:id="419"/>
      <w:bookmarkEnd w:id="420"/>
    </w:p>
    <w:p w14:paraId="7F986639" w14:textId="77777777" w:rsidR="004F64EF" w:rsidRPr="003003C0" w:rsidRDefault="004F64EF" w:rsidP="00B91D96">
      <w:pPr>
        <w:pStyle w:val="NoteText"/>
      </w:pPr>
      <w:r w:rsidRPr="003003C0">
        <w:t xml:space="preserve">(USD </w:t>
      </w:r>
      <w:r>
        <w:t xml:space="preserve">million and </w:t>
      </w:r>
      <w:r w:rsidRPr="003003C0">
        <w:t>%)</w:t>
      </w:r>
    </w:p>
    <w:tbl>
      <w:tblPr>
        <w:tblStyle w:val="WTOTable1"/>
        <w:tblW w:w="9029" w:type="dxa"/>
        <w:tblLayout w:type="fixed"/>
        <w:tblLook w:val="04A0" w:firstRow="1" w:lastRow="0" w:firstColumn="1" w:lastColumn="0" w:noHBand="0" w:noVBand="1"/>
      </w:tblPr>
      <w:tblGrid>
        <w:gridCol w:w="3681"/>
        <w:gridCol w:w="764"/>
        <w:gridCol w:w="764"/>
        <w:gridCol w:w="764"/>
        <w:gridCol w:w="764"/>
        <w:gridCol w:w="764"/>
        <w:gridCol w:w="764"/>
        <w:gridCol w:w="764"/>
      </w:tblGrid>
      <w:tr w:rsidR="004F64EF" w:rsidRPr="003003C0" w14:paraId="3EEA13FC" w14:textId="77777777" w:rsidTr="00FD6B66">
        <w:trPr>
          <w:cnfStyle w:val="100000000000" w:firstRow="1" w:lastRow="0" w:firstColumn="0" w:lastColumn="0" w:oddVBand="0" w:evenVBand="0" w:oddHBand="0" w:evenHBand="0" w:firstRowFirstColumn="0" w:firstRowLastColumn="0" w:lastRowFirstColumn="0" w:lastRowLastColumn="0"/>
          <w:trHeight w:val="20"/>
          <w:tblHeader/>
        </w:trPr>
        <w:tc>
          <w:tcPr>
            <w:tcW w:w="3681" w:type="dxa"/>
            <w:noWrap/>
            <w:vAlign w:val="center"/>
            <w:hideMark/>
          </w:tcPr>
          <w:p w14:paraId="1496A341" w14:textId="77777777" w:rsidR="004F64EF" w:rsidRPr="003003C0" w:rsidRDefault="004F64EF" w:rsidP="00FD6B66">
            <w:pPr>
              <w:jc w:val="left"/>
              <w:rPr>
                <w:rFonts w:eastAsia="Times New Roman" w:cs="Arial"/>
                <w:color w:val="FFFFFF" w:themeColor="background1"/>
                <w:sz w:val="15"/>
                <w:szCs w:val="15"/>
                <w:lang w:eastAsia="en-GB"/>
              </w:rPr>
            </w:pPr>
            <w:r w:rsidRPr="003003C0">
              <w:rPr>
                <w:rFonts w:cs="Arial"/>
                <w:color w:val="FFFFFF" w:themeColor="background1"/>
                <w:sz w:val="15"/>
                <w:szCs w:val="15"/>
              </w:rPr>
              <w:t>Descrip</w:t>
            </w:r>
            <w:r>
              <w:rPr>
                <w:rFonts w:cs="Arial"/>
                <w:color w:val="FFFFFF" w:themeColor="background1"/>
                <w:sz w:val="15"/>
                <w:szCs w:val="15"/>
              </w:rPr>
              <w:t>tion</w:t>
            </w:r>
          </w:p>
        </w:tc>
        <w:tc>
          <w:tcPr>
            <w:tcW w:w="764" w:type="dxa"/>
            <w:noWrap/>
            <w:vAlign w:val="center"/>
            <w:hideMark/>
          </w:tcPr>
          <w:p w14:paraId="7201A28B" w14:textId="77777777" w:rsidR="004F64EF" w:rsidRPr="003003C0" w:rsidRDefault="004F64EF" w:rsidP="00FD6B66">
            <w:pPr>
              <w:ind w:right="57"/>
              <w:jc w:val="right"/>
              <w:rPr>
                <w:rFonts w:cs="Arial"/>
                <w:color w:val="FFFFFF" w:themeColor="background1"/>
                <w:sz w:val="15"/>
                <w:szCs w:val="15"/>
              </w:rPr>
            </w:pPr>
            <w:r w:rsidRPr="003003C0">
              <w:rPr>
                <w:rFonts w:cs="Arial"/>
                <w:color w:val="FFFFFF" w:themeColor="background1"/>
                <w:sz w:val="15"/>
                <w:szCs w:val="15"/>
              </w:rPr>
              <w:t>2015</w:t>
            </w:r>
          </w:p>
        </w:tc>
        <w:tc>
          <w:tcPr>
            <w:tcW w:w="764" w:type="dxa"/>
            <w:noWrap/>
            <w:vAlign w:val="center"/>
            <w:hideMark/>
          </w:tcPr>
          <w:p w14:paraId="43C59599" w14:textId="77777777" w:rsidR="004F64EF" w:rsidRPr="003003C0" w:rsidRDefault="004F64EF" w:rsidP="00FD6B66">
            <w:pPr>
              <w:ind w:right="57"/>
              <w:jc w:val="right"/>
              <w:rPr>
                <w:rFonts w:cs="Arial"/>
                <w:color w:val="FFFFFF" w:themeColor="background1"/>
                <w:sz w:val="15"/>
                <w:szCs w:val="15"/>
              </w:rPr>
            </w:pPr>
            <w:r w:rsidRPr="003003C0">
              <w:rPr>
                <w:rFonts w:cs="Arial"/>
                <w:color w:val="FFFFFF" w:themeColor="background1"/>
                <w:sz w:val="15"/>
                <w:szCs w:val="15"/>
              </w:rPr>
              <w:t>2016</w:t>
            </w:r>
          </w:p>
        </w:tc>
        <w:tc>
          <w:tcPr>
            <w:tcW w:w="764" w:type="dxa"/>
            <w:noWrap/>
            <w:vAlign w:val="center"/>
            <w:hideMark/>
          </w:tcPr>
          <w:p w14:paraId="0E08E607" w14:textId="77777777" w:rsidR="004F64EF" w:rsidRPr="003003C0" w:rsidRDefault="004F64EF" w:rsidP="00FD6B66">
            <w:pPr>
              <w:ind w:right="57"/>
              <w:jc w:val="right"/>
              <w:rPr>
                <w:rFonts w:cs="Arial"/>
                <w:color w:val="FFFFFF" w:themeColor="background1"/>
                <w:sz w:val="15"/>
                <w:szCs w:val="15"/>
              </w:rPr>
            </w:pPr>
            <w:r w:rsidRPr="003003C0">
              <w:rPr>
                <w:rFonts w:cs="Arial"/>
                <w:color w:val="FFFFFF" w:themeColor="background1"/>
                <w:sz w:val="15"/>
                <w:szCs w:val="15"/>
              </w:rPr>
              <w:t>2017</w:t>
            </w:r>
          </w:p>
        </w:tc>
        <w:tc>
          <w:tcPr>
            <w:tcW w:w="764" w:type="dxa"/>
            <w:noWrap/>
            <w:vAlign w:val="center"/>
            <w:hideMark/>
          </w:tcPr>
          <w:p w14:paraId="066D4D0C" w14:textId="77777777" w:rsidR="004F64EF" w:rsidRPr="003003C0" w:rsidRDefault="004F64EF" w:rsidP="00FD6B66">
            <w:pPr>
              <w:ind w:right="57"/>
              <w:jc w:val="right"/>
              <w:rPr>
                <w:rFonts w:cs="Arial"/>
                <w:color w:val="FFFFFF" w:themeColor="background1"/>
                <w:sz w:val="15"/>
                <w:szCs w:val="15"/>
              </w:rPr>
            </w:pPr>
            <w:r w:rsidRPr="003003C0">
              <w:rPr>
                <w:rFonts w:cs="Arial"/>
                <w:color w:val="FFFFFF" w:themeColor="background1"/>
                <w:sz w:val="15"/>
                <w:szCs w:val="15"/>
              </w:rPr>
              <w:t>2018</w:t>
            </w:r>
          </w:p>
        </w:tc>
        <w:tc>
          <w:tcPr>
            <w:tcW w:w="764" w:type="dxa"/>
            <w:noWrap/>
            <w:vAlign w:val="center"/>
            <w:hideMark/>
          </w:tcPr>
          <w:p w14:paraId="2A31892C" w14:textId="77777777" w:rsidR="004F64EF" w:rsidRPr="003003C0" w:rsidRDefault="004F64EF" w:rsidP="00FD6B66">
            <w:pPr>
              <w:ind w:right="57"/>
              <w:jc w:val="right"/>
              <w:rPr>
                <w:rFonts w:cs="Arial"/>
                <w:color w:val="FFFFFF" w:themeColor="background1"/>
                <w:sz w:val="15"/>
                <w:szCs w:val="15"/>
              </w:rPr>
            </w:pPr>
            <w:r w:rsidRPr="003003C0">
              <w:rPr>
                <w:rFonts w:cs="Arial"/>
                <w:color w:val="FFFFFF" w:themeColor="background1"/>
                <w:sz w:val="15"/>
                <w:szCs w:val="15"/>
              </w:rPr>
              <w:t>2019</w:t>
            </w:r>
          </w:p>
        </w:tc>
        <w:tc>
          <w:tcPr>
            <w:tcW w:w="764" w:type="dxa"/>
            <w:noWrap/>
            <w:vAlign w:val="center"/>
            <w:hideMark/>
          </w:tcPr>
          <w:p w14:paraId="49681F39" w14:textId="77777777" w:rsidR="004F64EF" w:rsidRPr="003003C0" w:rsidRDefault="004F64EF" w:rsidP="00FD6B66">
            <w:pPr>
              <w:ind w:right="57"/>
              <w:jc w:val="right"/>
              <w:rPr>
                <w:rFonts w:cs="Arial"/>
                <w:color w:val="FFFFFF" w:themeColor="background1"/>
                <w:sz w:val="15"/>
                <w:szCs w:val="15"/>
              </w:rPr>
            </w:pPr>
            <w:r w:rsidRPr="003003C0">
              <w:rPr>
                <w:rFonts w:cs="Arial"/>
                <w:color w:val="FFFFFF" w:themeColor="background1"/>
                <w:sz w:val="15"/>
                <w:szCs w:val="15"/>
              </w:rPr>
              <w:t>2020</w:t>
            </w:r>
          </w:p>
        </w:tc>
        <w:tc>
          <w:tcPr>
            <w:tcW w:w="764" w:type="dxa"/>
            <w:noWrap/>
            <w:vAlign w:val="center"/>
            <w:hideMark/>
          </w:tcPr>
          <w:p w14:paraId="3A829710" w14:textId="77777777" w:rsidR="004F64EF" w:rsidRPr="003003C0" w:rsidRDefault="004F64EF" w:rsidP="00FD6B66">
            <w:pPr>
              <w:ind w:right="57"/>
              <w:jc w:val="right"/>
              <w:rPr>
                <w:rFonts w:cs="Arial"/>
                <w:color w:val="FFFFFF" w:themeColor="background1"/>
                <w:sz w:val="15"/>
                <w:szCs w:val="15"/>
              </w:rPr>
            </w:pPr>
            <w:r w:rsidRPr="003003C0">
              <w:rPr>
                <w:rFonts w:cs="Arial"/>
                <w:color w:val="FFFFFF" w:themeColor="background1"/>
                <w:sz w:val="15"/>
                <w:szCs w:val="15"/>
              </w:rPr>
              <w:t>2021</w:t>
            </w:r>
          </w:p>
        </w:tc>
      </w:tr>
      <w:tr w:rsidR="004F64EF" w:rsidRPr="003003C0" w14:paraId="404369E8" w14:textId="77777777" w:rsidTr="00FD6B66">
        <w:trPr>
          <w:trHeight w:val="20"/>
        </w:trPr>
        <w:tc>
          <w:tcPr>
            <w:tcW w:w="3681" w:type="dxa"/>
            <w:noWrap/>
            <w:vAlign w:val="center"/>
            <w:hideMark/>
          </w:tcPr>
          <w:p w14:paraId="350D75DA" w14:textId="77777777" w:rsidR="004F64EF" w:rsidRPr="003003C0" w:rsidRDefault="004F64EF" w:rsidP="00FD6B66">
            <w:pPr>
              <w:jc w:val="left"/>
              <w:rPr>
                <w:rFonts w:cs="Arial"/>
                <w:color w:val="000000"/>
                <w:sz w:val="15"/>
                <w:szCs w:val="15"/>
              </w:rPr>
            </w:pPr>
            <w:r>
              <w:rPr>
                <w:rFonts w:cs="Arial"/>
                <w:color w:val="000000"/>
                <w:sz w:val="15"/>
                <w:szCs w:val="15"/>
              </w:rPr>
              <w:t>Total exports</w:t>
            </w:r>
            <w:r w:rsidRPr="003003C0">
              <w:rPr>
                <w:rFonts w:cs="Arial"/>
                <w:color w:val="000000"/>
                <w:sz w:val="15"/>
                <w:szCs w:val="15"/>
              </w:rPr>
              <w:t xml:space="preserve"> (USD</w:t>
            </w:r>
            <w:r>
              <w:rPr>
                <w:rFonts w:cs="Arial"/>
                <w:color w:val="000000"/>
                <w:sz w:val="15"/>
                <w:szCs w:val="15"/>
              </w:rPr>
              <w:t xml:space="preserve"> million</w:t>
            </w:r>
            <w:r w:rsidRPr="003003C0">
              <w:rPr>
                <w:rFonts w:cs="Arial"/>
                <w:color w:val="000000"/>
                <w:sz w:val="15"/>
                <w:szCs w:val="15"/>
              </w:rPr>
              <w:t>)</w:t>
            </w:r>
          </w:p>
        </w:tc>
        <w:tc>
          <w:tcPr>
            <w:tcW w:w="764" w:type="dxa"/>
            <w:noWrap/>
            <w:vAlign w:val="center"/>
            <w:hideMark/>
          </w:tcPr>
          <w:p w14:paraId="606EF4B9" w14:textId="77777777" w:rsidR="004F64EF" w:rsidRPr="003003C0" w:rsidRDefault="004F64EF" w:rsidP="00FD6B66">
            <w:pPr>
              <w:jc w:val="right"/>
              <w:rPr>
                <w:rFonts w:cs="Arial"/>
                <w:color w:val="000000"/>
                <w:sz w:val="15"/>
                <w:szCs w:val="15"/>
              </w:rPr>
            </w:pPr>
            <w:r w:rsidRPr="003003C0">
              <w:rPr>
                <w:rFonts w:cs="Arial"/>
                <w:color w:val="000000"/>
                <w:sz w:val="15"/>
                <w:szCs w:val="15"/>
              </w:rPr>
              <w:t>9</w:t>
            </w:r>
            <w:r>
              <w:rPr>
                <w:rFonts w:cs="Arial"/>
                <w:color w:val="000000"/>
                <w:sz w:val="15"/>
                <w:szCs w:val="15"/>
              </w:rPr>
              <w:t>,</w:t>
            </w:r>
            <w:r w:rsidRPr="003003C0">
              <w:rPr>
                <w:rFonts w:cs="Arial"/>
                <w:color w:val="000000"/>
                <w:sz w:val="15"/>
                <w:szCs w:val="15"/>
              </w:rPr>
              <w:t>389</w:t>
            </w:r>
          </w:p>
        </w:tc>
        <w:tc>
          <w:tcPr>
            <w:tcW w:w="764" w:type="dxa"/>
            <w:noWrap/>
            <w:vAlign w:val="center"/>
            <w:hideMark/>
          </w:tcPr>
          <w:p w14:paraId="1BAF56D1" w14:textId="77777777" w:rsidR="004F64EF" w:rsidRPr="003003C0" w:rsidRDefault="004F64EF" w:rsidP="00FD6B66">
            <w:pPr>
              <w:jc w:val="right"/>
              <w:rPr>
                <w:rFonts w:cs="Arial"/>
                <w:color w:val="000000"/>
                <w:sz w:val="15"/>
                <w:szCs w:val="15"/>
              </w:rPr>
            </w:pPr>
            <w:r w:rsidRPr="003003C0">
              <w:rPr>
                <w:rFonts w:cs="Arial"/>
                <w:color w:val="000000"/>
                <w:sz w:val="15"/>
                <w:szCs w:val="15"/>
              </w:rPr>
              <w:t>9</w:t>
            </w:r>
            <w:r>
              <w:rPr>
                <w:rFonts w:cs="Arial"/>
                <w:color w:val="000000"/>
                <w:sz w:val="15"/>
                <w:szCs w:val="15"/>
              </w:rPr>
              <w:t>,</w:t>
            </w:r>
            <w:r w:rsidRPr="003003C0">
              <w:rPr>
                <w:rFonts w:cs="Arial"/>
                <w:color w:val="000000"/>
                <w:sz w:val="15"/>
                <w:szCs w:val="15"/>
              </w:rPr>
              <w:t>785</w:t>
            </w:r>
          </w:p>
        </w:tc>
        <w:tc>
          <w:tcPr>
            <w:tcW w:w="764" w:type="dxa"/>
            <w:noWrap/>
            <w:vAlign w:val="center"/>
            <w:hideMark/>
          </w:tcPr>
          <w:p w14:paraId="30A26233" w14:textId="77777777" w:rsidR="004F64EF" w:rsidRPr="003003C0" w:rsidRDefault="004F64EF" w:rsidP="00FD6B66">
            <w:pPr>
              <w:jc w:val="right"/>
              <w:rPr>
                <w:rFonts w:cs="Arial"/>
                <w:color w:val="000000"/>
                <w:sz w:val="15"/>
                <w:szCs w:val="15"/>
              </w:rPr>
            </w:pPr>
            <w:r w:rsidRPr="003003C0">
              <w:rPr>
                <w:rFonts w:cs="Arial"/>
                <w:color w:val="000000"/>
                <w:sz w:val="15"/>
                <w:szCs w:val="15"/>
              </w:rPr>
              <w:t>10</w:t>
            </w:r>
            <w:r>
              <w:rPr>
                <w:rFonts w:cs="Arial"/>
                <w:color w:val="000000"/>
                <w:sz w:val="15"/>
                <w:szCs w:val="15"/>
              </w:rPr>
              <w:t>,</w:t>
            </w:r>
            <w:r w:rsidRPr="003003C0">
              <w:rPr>
                <w:rFonts w:cs="Arial"/>
                <w:color w:val="000000"/>
                <w:sz w:val="15"/>
                <w:szCs w:val="15"/>
              </w:rPr>
              <w:t>225</w:t>
            </w:r>
          </w:p>
        </w:tc>
        <w:tc>
          <w:tcPr>
            <w:tcW w:w="764" w:type="dxa"/>
            <w:noWrap/>
            <w:vAlign w:val="center"/>
            <w:hideMark/>
          </w:tcPr>
          <w:p w14:paraId="609E02EF" w14:textId="77777777" w:rsidR="004F64EF" w:rsidRPr="003003C0" w:rsidRDefault="004F64EF" w:rsidP="00FD6B66">
            <w:pPr>
              <w:jc w:val="right"/>
              <w:rPr>
                <w:rFonts w:cs="Arial"/>
                <w:color w:val="000000"/>
                <w:sz w:val="15"/>
                <w:szCs w:val="15"/>
              </w:rPr>
            </w:pPr>
            <w:r w:rsidRPr="003003C0">
              <w:rPr>
                <w:rFonts w:cs="Arial"/>
                <w:color w:val="000000"/>
                <w:sz w:val="15"/>
                <w:szCs w:val="15"/>
              </w:rPr>
              <w:t>10</w:t>
            </w:r>
            <w:r>
              <w:rPr>
                <w:rFonts w:cs="Arial"/>
                <w:color w:val="000000"/>
                <w:sz w:val="15"/>
                <w:szCs w:val="15"/>
              </w:rPr>
              <w:t>,</w:t>
            </w:r>
            <w:r w:rsidRPr="003003C0">
              <w:rPr>
                <w:rFonts w:cs="Arial"/>
                <w:color w:val="000000"/>
                <w:sz w:val="15"/>
                <w:szCs w:val="15"/>
              </w:rPr>
              <w:t>758</w:t>
            </w:r>
          </w:p>
        </w:tc>
        <w:tc>
          <w:tcPr>
            <w:tcW w:w="764" w:type="dxa"/>
            <w:noWrap/>
            <w:vAlign w:val="center"/>
            <w:hideMark/>
          </w:tcPr>
          <w:p w14:paraId="28E384CF" w14:textId="77777777" w:rsidR="004F64EF" w:rsidRPr="003003C0" w:rsidRDefault="004F64EF" w:rsidP="00FD6B66">
            <w:pPr>
              <w:jc w:val="right"/>
              <w:rPr>
                <w:rFonts w:cs="Arial"/>
                <w:color w:val="000000"/>
                <w:sz w:val="15"/>
                <w:szCs w:val="15"/>
              </w:rPr>
            </w:pPr>
            <w:r w:rsidRPr="003003C0">
              <w:rPr>
                <w:rFonts w:cs="Arial"/>
                <w:color w:val="000000"/>
                <w:sz w:val="15"/>
                <w:szCs w:val="15"/>
              </w:rPr>
              <w:t>11</w:t>
            </w:r>
            <w:r>
              <w:rPr>
                <w:rFonts w:cs="Arial"/>
                <w:color w:val="000000"/>
                <w:sz w:val="15"/>
                <w:szCs w:val="15"/>
              </w:rPr>
              <w:t>,</w:t>
            </w:r>
            <w:r w:rsidRPr="003003C0">
              <w:rPr>
                <w:rFonts w:cs="Arial"/>
                <w:color w:val="000000"/>
                <w:sz w:val="15"/>
                <w:szCs w:val="15"/>
              </w:rPr>
              <w:t>287</w:t>
            </w:r>
          </w:p>
        </w:tc>
        <w:tc>
          <w:tcPr>
            <w:tcW w:w="764" w:type="dxa"/>
            <w:noWrap/>
            <w:vAlign w:val="center"/>
            <w:hideMark/>
          </w:tcPr>
          <w:p w14:paraId="3B6AC7F3" w14:textId="77777777" w:rsidR="004F64EF" w:rsidRPr="003003C0" w:rsidRDefault="004F64EF" w:rsidP="00FD6B66">
            <w:pPr>
              <w:jc w:val="right"/>
              <w:rPr>
                <w:rFonts w:cs="Arial"/>
                <w:color w:val="000000"/>
                <w:sz w:val="15"/>
                <w:szCs w:val="15"/>
              </w:rPr>
            </w:pPr>
            <w:r w:rsidRPr="003003C0">
              <w:rPr>
                <w:rFonts w:cs="Arial"/>
                <w:color w:val="000000"/>
                <w:sz w:val="15"/>
                <w:szCs w:val="15"/>
              </w:rPr>
              <w:t>9</w:t>
            </w:r>
            <w:r>
              <w:rPr>
                <w:rFonts w:cs="Arial"/>
                <w:color w:val="000000"/>
                <w:sz w:val="15"/>
                <w:szCs w:val="15"/>
              </w:rPr>
              <w:t>,</w:t>
            </w:r>
            <w:r w:rsidRPr="003003C0">
              <w:rPr>
                <w:rFonts w:cs="Arial"/>
                <w:color w:val="000000"/>
                <w:sz w:val="15"/>
                <w:szCs w:val="15"/>
              </w:rPr>
              <w:t>853</w:t>
            </w:r>
          </w:p>
        </w:tc>
        <w:tc>
          <w:tcPr>
            <w:tcW w:w="764" w:type="dxa"/>
            <w:noWrap/>
            <w:vAlign w:val="center"/>
            <w:hideMark/>
          </w:tcPr>
          <w:p w14:paraId="0A858B73" w14:textId="77777777" w:rsidR="004F64EF" w:rsidRPr="003003C0" w:rsidRDefault="004F64EF" w:rsidP="00FD6B66">
            <w:pPr>
              <w:jc w:val="right"/>
              <w:rPr>
                <w:rFonts w:cs="Arial"/>
                <w:color w:val="000000"/>
                <w:sz w:val="15"/>
                <w:szCs w:val="15"/>
              </w:rPr>
            </w:pPr>
            <w:r w:rsidRPr="003003C0">
              <w:rPr>
                <w:rFonts w:cs="Arial"/>
                <w:color w:val="000000"/>
                <w:sz w:val="15"/>
                <w:szCs w:val="15"/>
              </w:rPr>
              <w:t>11</w:t>
            </w:r>
            <w:r>
              <w:rPr>
                <w:rFonts w:cs="Arial"/>
                <w:color w:val="000000"/>
                <w:sz w:val="15"/>
                <w:szCs w:val="15"/>
              </w:rPr>
              <w:t>,</w:t>
            </w:r>
            <w:r w:rsidRPr="003003C0">
              <w:rPr>
                <w:rFonts w:cs="Arial"/>
                <w:color w:val="000000"/>
                <w:sz w:val="15"/>
                <w:szCs w:val="15"/>
              </w:rPr>
              <w:t>832</w:t>
            </w:r>
          </w:p>
        </w:tc>
      </w:tr>
      <w:tr w:rsidR="004F64EF" w:rsidRPr="003003C0" w14:paraId="6799BD9A" w14:textId="77777777" w:rsidTr="00FD6B66">
        <w:trPr>
          <w:cnfStyle w:val="000000010000" w:firstRow="0" w:lastRow="0" w:firstColumn="0" w:lastColumn="0" w:oddVBand="0" w:evenVBand="0" w:oddHBand="0" w:evenHBand="1" w:firstRowFirstColumn="0" w:firstRowLastColumn="0" w:lastRowFirstColumn="0" w:lastRowLastColumn="0"/>
          <w:trHeight w:val="20"/>
        </w:trPr>
        <w:tc>
          <w:tcPr>
            <w:tcW w:w="3681" w:type="dxa"/>
            <w:noWrap/>
            <w:vAlign w:val="center"/>
            <w:hideMark/>
          </w:tcPr>
          <w:p w14:paraId="7542CCC8" w14:textId="77777777" w:rsidR="004F64EF" w:rsidRPr="003003C0" w:rsidRDefault="004F64EF" w:rsidP="003E0CD7">
            <w:pPr>
              <w:tabs>
                <w:tab w:val="left" w:pos="170"/>
              </w:tabs>
              <w:ind w:left="170" w:hanging="170"/>
              <w:jc w:val="left"/>
              <w:rPr>
                <w:rFonts w:cs="Arial"/>
                <w:color w:val="000000"/>
                <w:sz w:val="15"/>
                <w:szCs w:val="15"/>
              </w:rPr>
            </w:pPr>
            <w:r w:rsidRPr="003003C0">
              <w:rPr>
                <w:rFonts w:cs="Arial"/>
                <w:color w:val="000000"/>
                <w:sz w:val="15"/>
                <w:szCs w:val="15"/>
              </w:rPr>
              <w:tab/>
            </w:r>
            <w:r>
              <w:rPr>
                <w:rFonts w:cs="Arial"/>
                <w:color w:val="000000"/>
                <w:sz w:val="15"/>
                <w:szCs w:val="15"/>
              </w:rPr>
              <w:t>consumer goods</w:t>
            </w:r>
            <w:r w:rsidRPr="003003C0">
              <w:rPr>
                <w:rFonts w:cs="Arial"/>
                <w:color w:val="000000"/>
                <w:sz w:val="15"/>
                <w:szCs w:val="15"/>
              </w:rPr>
              <w:t xml:space="preserve">, </w:t>
            </w:r>
            <w:r>
              <w:rPr>
                <w:rFonts w:cs="Arial"/>
                <w:color w:val="000000"/>
                <w:sz w:val="15"/>
                <w:szCs w:val="15"/>
              </w:rPr>
              <w:t>re-exports</w:t>
            </w:r>
            <w:r w:rsidRPr="003003C0">
              <w:rPr>
                <w:rFonts w:cs="Arial"/>
                <w:color w:val="000000"/>
                <w:sz w:val="15"/>
                <w:szCs w:val="15"/>
              </w:rPr>
              <w:t xml:space="preserve"> (% </w:t>
            </w:r>
            <w:r>
              <w:rPr>
                <w:rFonts w:cs="Arial"/>
                <w:color w:val="000000"/>
                <w:sz w:val="15"/>
                <w:szCs w:val="15"/>
              </w:rPr>
              <w:t>of total exports</w:t>
            </w:r>
            <w:r w:rsidRPr="003003C0">
              <w:rPr>
                <w:rFonts w:cs="Arial"/>
                <w:color w:val="000000"/>
                <w:sz w:val="15"/>
                <w:szCs w:val="15"/>
              </w:rPr>
              <w:t>)</w:t>
            </w:r>
          </w:p>
        </w:tc>
        <w:tc>
          <w:tcPr>
            <w:tcW w:w="764" w:type="dxa"/>
            <w:noWrap/>
            <w:vAlign w:val="center"/>
            <w:hideMark/>
          </w:tcPr>
          <w:p w14:paraId="1EB71D41" w14:textId="77777777" w:rsidR="004F64EF" w:rsidRPr="003003C0" w:rsidRDefault="004F64EF" w:rsidP="00FD6B66">
            <w:pPr>
              <w:jc w:val="right"/>
              <w:rPr>
                <w:rFonts w:cs="Arial"/>
                <w:color w:val="000000"/>
                <w:sz w:val="15"/>
                <w:szCs w:val="15"/>
              </w:rPr>
            </w:pPr>
            <w:r w:rsidRPr="003003C0">
              <w:rPr>
                <w:rFonts w:cs="Arial"/>
                <w:color w:val="000000"/>
                <w:sz w:val="15"/>
                <w:szCs w:val="15"/>
              </w:rPr>
              <w:t>42</w:t>
            </w:r>
            <w:r>
              <w:rPr>
                <w:rFonts w:cs="Arial"/>
                <w:color w:val="000000"/>
                <w:sz w:val="15"/>
                <w:szCs w:val="15"/>
              </w:rPr>
              <w:t>.</w:t>
            </w:r>
            <w:r w:rsidRPr="003003C0">
              <w:rPr>
                <w:rFonts w:cs="Arial"/>
                <w:color w:val="000000"/>
                <w:sz w:val="15"/>
                <w:szCs w:val="15"/>
              </w:rPr>
              <w:t>5</w:t>
            </w:r>
          </w:p>
        </w:tc>
        <w:tc>
          <w:tcPr>
            <w:tcW w:w="764" w:type="dxa"/>
            <w:noWrap/>
            <w:vAlign w:val="center"/>
            <w:hideMark/>
          </w:tcPr>
          <w:p w14:paraId="71E9FF2E" w14:textId="77777777" w:rsidR="004F64EF" w:rsidRPr="003003C0" w:rsidRDefault="004F64EF" w:rsidP="00FD6B66">
            <w:pPr>
              <w:jc w:val="right"/>
              <w:rPr>
                <w:rFonts w:cs="Arial"/>
                <w:color w:val="000000"/>
                <w:sz w:val="15"/>
                <w:szCs w:val="15"/>
              </w:rPr>
            </w:pPr>
            <w:r w:rsidRPr="003003C0">
              <w:rPr>
                <w:rFonts w:cs="Arial"/>
                <w:color w:val="000000"/>
                <w:sz w:val="15"/>
                <w:szCs w:val="15"/>
              </w:rPr>
              <w:t>45</w:t>
            </w:r>
            <w:r>
              <w:rPr>
                <w:rFonts w:cs="Arial"/>
                <w:color w:val="000000"/>
                <w:sz w:val="15"/>
                <w:szCs w:val="15"/>
              </w:rPr>
              <w:t>.</w:t>
            </w:r>
            <w:r w:rsidRPr="003003C0">
              <w:rPr>
                <w:rFonts w:cs="Arial"/>
                <w:color w:val="000000"/>
                <w:sz w:val="15"/>
                <w:szCs w:val="15"/>
              </w:rPr>
              <w:t>0</w:t>
            </w:r>
          </w:p>
        </w:tc>
        <w:tc>
          <w:tcPr>
            <w:tcW w:w="764" w:type="dxa"/>
            <w:noWrap/>
            <w:vAlign w:val="center"/>
            <w:hideMark/>
          </w:tcPr>
          <w:p w14:paraId="38EF8D3C" w14:textId="77777777" w:rsidR="004F64EF" w:rsidRPr="003003C0" w:rsidRDefault="004F64EF" w:rsidP="00FD6B66">
            <w:pPr>
              <w:jc w:val="right"/>
              <w:rPr>
                <w:rFonts w:cs="Arial"/>
                <w:color w:val="000000"/>
                <w:sz w:val="15"/>
                <w:szCs w:val="15"/>
              </w:rPr>
            </w:pPr>
            <w:r w:rsidRPr="003003C0">
              <w:rPr>
                <w:rFonts w:cs="Arial"/>
                <w:color w:val="000000"/>
                <w:sz w:val="15"/>
                <w:szCs w:val="15"/>
              </w:rPr>
              <w:t>43</w:t>
            </w:r>
            <w:r>
              <w:rPr>
                <w:rFonts w:cs="Arial"/>
                <w:color w:val="000000"/>
                <w:sz w:val="15"/>
                <w:szCs w:val="15"/>
              </w:rPr>
              <w:t>.</w:t>
            </w:r>
            <w:r w:rsidRPr="003003C0">
              <w:rPr>
                <w:rFonts w:cs="Arial"/>
                <w:color w:val="000000"/>
                <w:sz w:val="15"/>
                <w:szCs w:val="15"/>
              </w:rPr>
              <w:t>4</w:t>
            </w:r>
          </w:p>
        </w:tc>
        <w:tc>
          <w:tcPr>
            <w:tcW w:w="764" w:type="dxa"/>
            <w:noWrap/>
            <w:vAlign w:val="center"/>
            <w:hideMark/>
          </w:tcPr>
          <w:p w14:paraId="590A04A5" w14:textId="77777777" w:rsidR="004F64EF" w:rsidRPr="003003C0" w:rsidRDefault="004F64EF" w:rsidP="00FD6B66">
            <w:pPr>
              <w:jc w:val="right"/>
              <w:rPr>
                <w:rFonts w:cs="Arial"/>
                <w:color w:val="000000"/>
                <w:sz w:val="15"/>
                <w:szCs w:val="15"/>
              </w:rPr>
            </w:pPr>
            <w:r w:rsidRPr="003003C0">
              <w:rPr>
                <w:rFonts w:cs="Arial"/>
                <w:color w:val="000000"/>
                <w:sz w:val="15"/>
                <w:szCs w:val="15"/>
              </w:rPr>
              <w:t>42</w:t>
            </w:r>
            <w:r>
              <w:rPr>
                <w:rFonts w:cs="Arial"/>
                <w:color w:val="000000"/>
                <w:sz w:val="15"/>
                <w:szCs w:val="15"/>
              </w:rPr>
              <w:t>.</w:t>
            </w:r>
            <w:r w:rsidRPr="003003C0">
              <w:rPr>
                <w:rFonts w:cs="Arial"/>
                <w:color w:val="000000"/>
                <w:sz w:val="15"/>
                <w:szCs w:val="15"/>
              </w:rPr>
              <w:t>9</w:t>
            </w:r>
          </w:p>
        </w:tc>
        <w:tc>
          <w:tcPr>
            <w:tcW w:w="764" w:type="dxa"/>
            <w:noWrap/>
            <w:vAlign w:val="center"/>
            <w:hideMark/>
          </w:tcPr>
          <w:p w14:paraId="70612394" w14:textId="77777777" w:rsidR="004F64EF" w:rsidRPr="003003C0" w:rsidRDefault="004F64EF" w:rsidP="00FD6B66">
            <w:pPr>
              <w:jc w:val="right"/>
              <w:rPr>
                <w:rFonts w:cs="Arial"/>
                <w:color w:val="000000"/>
                <w:sz w:val="15"/>
                <w:szCs w:val="15"/>
              </w:rPr>
            </w:pPr>
            <w:r w:rsidRPr="003003C0">
              <w:rPr>
                <w:rFonts w:cs="Arial"/>
                <w:color w:val="000000"/>
                <w:sz w:val="15"/>
                <w:szCs w:val="15"/>
              </w:rPr>
              <w:t>43</w:t>
            </w:r>
            <w:r>
              <w:rPr>
                <w:rFonts w:cs="Arial"/>
                <w:color w:val="000000"/>
                <w:sz w:val="15"/>
                <w:szCs w:val="15"/>
              </w:rPr>
              <w:t>.</w:t>
            </w:r>
            <w:r w:rsidRPr="003003C0">
              <w:rPr>
                <w:rFonts w:cs="Arial"/>
                <w:color w:val="000000"/>
                <w:sz w:val="15"/>
                <w:szCs w:val="15"/>
              </w:rPr>
              <w:t>7</w:t>
            </w:r>
          </w:p>
        </w:tc>
        <w:tc>
          <w:tcPr>
            <w:tcW w:w="764" w:type="dxa"/>
            <w:noWrap/>
            <w:vAlign w:val="center"/>
            <w:hideMark/>
          </w:tcPr>
          <w:p w14:paraId="599EC559" w14:textId="77777777" w:rsidR="004F64EF" w:rsidRPr="003003C0" w:rsidRDefault="004F64EF" w:rsidP="00FD6B66">
            <w:pPr>
              <w:jc w:val="right"/>
              <w:rPr>
                <w:rFonts w:cs="Arial"/>
                <w:color w:val="000000"/>
                <w:sz w:val="15"/>
                <w:szCs w:val="15"/>
              </w:rPr>
            </w:pPr>
            <w:r w:rsidRPr="003003C0">
              <w:rPr>
                <w:rFonts w:cs="Arial"/>
                <w:color w:val="000000"/>
                <w:sz w:val="15"/>
                <w:szCs w:val="15"/>
              </w:rPr>
              <w:t>40</w:t>
            </w:r>
            <w:r>
              <w:rPr>
                <w:rFonts w:cs="Arial"/>
                <w:color w:val="000000"/>
                <w:sz w:val="15"/>
                <w:szCs w:val="15"/>
              </w:rPr>
              <w:t>.</w:t>
            </w:r>
            <w:r w:rsidRPr="003003C0">
              <w:rPr>
                <w:rFonts w:cs="Arial"/>
                <w:color w:val="000000"/>
                <w:sz w:val="15"/>
                <w:szCs w:val="15"/>
              </w:rPr>
              <w:t>9</w:t>
            </w:r>
          </w:p>
        </w:tc>
        <w:tc>
          <w:tcPr>
            <w:tcW w:w="764" w:type="dxa"/>
            <w:noWrap/>
            <w:vAlign w:val="center"/>
            <w:hideMark/>
          </w:tcPr>
          <w:p w14:paraId="3B05C66B" w14:textId="77777777" w:rsidR="004F64EF" w:rsidRPr="003003C0" w:rsidRDefault="004F64EF" w:rsidP="00FD6B66">
            <w:pPr>
              <w:jc w:val="right"/>
              <w:rPr>
                <w:rFonts w:cs="Arial"/>
                <w:color w:val="000000"/>
                <w:sz w:val="15"/>
                <w:szCs w:val="15"/>
              </w:rPr>
            </w:pPr>
            <w:r w:rsidRPr="003003C0">
              <w:rPr>
                <w:rFonts w:cs="Arial"/>
                <w:color w:val="000000"/>
                <w:sz w:val="15"/>
                <w:szCs w:val="15"/>
              </w:rPr>
              <w:t>39</w:t>
            </w:r>
            <w:r>
              <w:rPr>
                <w:rFonts w:cs="Arial"/>
                <w:color w:val="000000"/>
                <w:sz w:val="15"/>
                <w:szCs w:val="15"/>
              </w:rPr>
              <w:t>.</w:t>
            </w:r>
            <w:r w:rsidRPr="003003C0">
              <w:rPr>
                <w:rFonts w:cs="Arial"/>
                <w:color w:val="000000"/>
                <w:sz w:val="15"/>
                <w:szCs w:val="15"/>
              </w:rPr>
              <w:t>6</w:t>
            </w:r>
          </w:p>
        </w:tc>
      </w:tr>
      <w:tr w:rsidR="004F64EF" w:rsidRPr="003003C0" w14:paraId="69D2F084" w14:textId="77777777" w:rsidTr="00FD6B66">
        <w:trPr>
          <w:trHeight w:val="20"/>
        </w:trPr>
        <w:tc>
          <w:tcPr>
            <w:tcW w:w="3681" w:type="dxa"/>
            <w:noWrap/>
            <w:vAlign w:val="center"/>
            <w:hideMark/>
          </w:tcPr>
          <w:p w14:paraId="100BA8C5" w14:textId="77777777" w:rsidR="004F64EF" w:rsidRPr="003003C0" w:rsidRDefault="004F64EF" w:rsidP="00FD6B66">
            <w:pPr>
              <w:tabs>
                <w:tab w:val="left" w:pos="170"/>
              </w:tabs>
              <w:jc w:val="left"/>
              <w:rPr>
                <w:rFonts w:cs="Arial"/>
                <w:color w:val="000000"/>
                <w:sz w:val="15"/>
                <w:szCs w:val="15"/>
              </w:rPr>
            </w:pPr>
            <w:r w:rsidRPr="003003C0">
              <w:rPr>
                <w:rFonts w:cs="Arial"/>
                <w:color w:val="000000"/>
                <w:sz w:val="15"/>
                <w:szCs w:val="15"/>
              </w:rPr>
              <w:tab/>
            </w:r>
            <w:r>
              <w:rPr>
                <w:rFonts w:cs="Arial"/>
                <w:color w:val="000000"/>
                <w:sz w:val="15"/>
                <w:szCs w:val="15"/>
              </w:rPr>
              <w:t>free zones</w:t>
            </w:r>
            <w:r w:rsidRPr="003003C0">
              <w:rPr>
                <w:rFonts w:cs="Arial"/>
                <w:color w:val="000000"/>
                <w:sz w:val="15"/>
                <w:szCs w:val="15"/>
              </w:rPr>
              <w:t xml:space="preserve"> (% </w:t>
            </w:r>
            <w:r>
              <w:rPr>
                <w:rFonts w:cs="Arial"/>
                <w:color w:val="000000"/>
                <w:sz w:val="15"/>
                <w:szCs w:val="15"/>
              </w:rPr>
              <w:t>of total exports</w:t>
            </w:r>
            <w:r w:rsidRPr="003003C0">
              <w:rPr>
                <w:rFonts w:cs="Arial"/>
                <w:color w:val="000000"/>
                <w:sz w:val="15"/>
                <w:szCs w:val="15"/>
              </w:rPr>
              <w:t>)</w:t>
            </w:r>
          </w:p>
        </w:tc>
        <w:tc>
          <w:tcPr>
            <w:tcW w:w="764" w:type="dxa"/>
            <w:noWrap/>
            <w:vAlign w:val="center"/>
            <w:hideMark/>
          </w:tcPr>
          <w:p w14:paraId="2A564FA8" w14:textId="77777777" w:rsidR="004F64EF" w:rsidRPr="003003C0" w:rsidRDefault="004F64EF" w:rsidP="00FD6B66">
            <w:pPr>
              <w:jc w:val="right"/>
              <w:rPr>
                <w:rFonts w:cs="Arial"/>
                <w:color w:val="000000"/>
                <w:sz w:val="15"/>
                <w:szCs w:val="15"/>
              </w:rPr>
            </w:pPr>
            <w:r w:rsidRPr="003003C0">
              <w:rPr>
                <w:rFonts w:cs="Arial"/>
                <w:color w:val="000000"/>
                <w:sz w:val="15"/>
                <w:szCs w:val="15"/>
              </w:rPr>
              <w:t>57</w:t>
            </w:r>
            <w:r>
              <w:rPr>
                <w:rFonts w:cs="Arial"/>
                <w:color w:val="000000"/>
                <w:sz w:val="15"/>
                <w:szCs w:val="15"/>
              </w:rPr>
              <w:t>.</w:t>
            </w:r>
            <w:r w:rsidRPr="003003C0">
              <w:rPr>
                <w:rFonts w:cs="Arial"/>
                <w:color w:val="000000"/>
                <w:sz w:val="15"/>
                <w:szCs w:val="15"/>
              </w:rPr>
              <w:t>5</w:t>
            </w:r>
          </w:p>
        </w:tc>
        <w:tc>
          <w:tcPr>
            <w:tcW w:w="764" w:type="dxa"/>
            <w:noWrap/>
            <w:vAlign w:val="center"/>
            <w:hideMark/>
          </w:tcPr>
          <w:p w14:paraId="4C3A9B73" w14:textId="77777777" w:rsidR="004F64EF" w:rsidRPr="003003C0" w:rsidRDefault="004F64EF" w:rsidP="00FD6B66">
            <w:pPr>
              <w:jc w:val="right"/>
              <w:rPr>
                <w:rFonts w:cs="Arial"/>
                <w:color w:val="000000"/>
                <w:sz w:val="15"/>
                <w:szCs w:val="15"/>
              </w:rPr>
            </w:pPr>
            <w:r w:rsidRPr="003003C0">
              <w:rPr>
                <w:rFonts w:cs="Arial"/>
                <w:color w:val="000000"/>
                <w:sz w:val="15"/>
                <w:szCs w:val="15"/>
              </w:rPr>
              <w:t>55</w:t>
            </w:r>
            <w:r>
              <w:rPr>
                <w:rFonts w:cs="Arial"/>
                <w:color w:val="000000"/>
                <w:sz w:val="15"/>
                <w:szCs w:val="15"/>
              </w:rPr>
              <w:t>.</w:t>
            </w:r>
            <w:r w:rsidRPr="003003C0">
              <w:rPr>
                <w:rFonts w:cs="Arial"/>
                <w:color w:val="000000"/>
                <w:sz w:val="15"/>
                <w:szCs w:val="15"/>
              </w:rPr>
              <w:t>0</w:t>
            </w:r>
          </w:p>
        </w:tc>
        <w:tc>
          <w:tcPr>
            <w:tcW w:w="764" w:type="dxa"/>
            <w:noWrap/>
            <w:vAlign w:val="center"/>
            <w:hideMark/>
          </w:tcPr>
          <w:p w14:paraId="7F6A6630" w14:textId="77777777" w:rsidR="004F64EF" w:rsidRPr="003003C0" w:rsidRDefault="004F64EF" w:rsidP="00FD6B66">
            <w:pPr>
              <w:jc w:val="right"/>
              <w:rPr>
                <w:rFonts w:cs="Arial"/>
                <w:color w:val="000000"/>
                <w:sz w:val="15"/>
                <w:szCs w:val="15"/>
              </w:rPr>
            </w:pPr>
            <w:r w:rsidRPr="003003C0">
              <w:rPr>
                <w:rFonts w:cs="Arial"/>
                <w:color w:val="000000"/>
                <w:sz w:val="15"/>
                <w:szCs w:val="15"/>
              </w:rPr>
              <w:t>56</w:t>
            </w:r>
            <w:r>
              <w:rPr>
                <w:rFonts w:cs="Arial"/>
                <w:color w:val="000000"/>
                <w:sz w:val="15"/>
                <w:szCs w:val="15"/>
              </w:rPr>
              <w:t>.</w:t>
            </w:r>
            <w:r w:rsidRPr="003003C0">
              <w:rPr>
                <w:rFonts w:cs="Arial"/>
                <w:color w:val="000000"/>
                <w:sz w:val="15"/>
                <w:szCs w:val="15"/>
              </w:rPr>
              <w:t>6</w:t>
            </w:r>
          </w:p>
        </w:tc>
        <w:tc>
          <w:tcPr>
            <w:tcW w:w="764" w:type="dxa"/>
            <w:noWrap/>
            <w:vAlign w:val="center"/>
            <w:hideMark/>
          </w:tcPr>
          <w:p w14:paraId="2FDF305B" w14:textId="77777777" w:rsidR="004F64EF" w:rsidRPr="003003C0" w:rsidRDefault="004F64EF" w:rsidP="00FD6B66">
            <w:pPr>
              <w:jc w:val="right"/>
              <w:rPr>
                <w:rFonts w:cs="Arial"/>
                <w:color w:val="000000"/>
                <w:sz w:val="15"/>
                <w:szCs w:val="15"/>
              </w:rPr>
            </w:pPr>
            <w:r w:rsidRPr="003003C0">
              <w:rPr>
                <w:rFonts w:cs="Arial"/>
                <w:color w:val="000000"/>
                <w:sz w:val="15"/>
                <w:szCs w:val="15"/>
              </w:rPr>
              <w:t>57</w:t>
            </w:r>
            <w:r>
              <w:rPr>
                <w:rFonts w:cs="Arial"/>
                <w:color w:val="000000"/>
                <w:sz w:val="15"/>
                <w:szCs w:val="15"/>
              </w:rPr>
              <w:t>.</w:t>
            </w:r>
            <w:r w:rsidRPr="003003C0">
              <w:rPr>
                <w:rFonts w:cs="Arial"/>
                <w:color w:val="000000"/>
                <w:sz w:val="15"/>
                <w:szCs w:val="15"/>
              </w:rPr>
              <w:t>1</w:t>
            </w:r>
          </w:p>
        </w:tc>
        <w:tc>
          <w:tcPr>
            <w:tcW w:w="764" w:type="dxa"/>
            <w:noWrap/>
            <w:vAlign w:val="center"/>
            <w:hideMark/>
          </w:tcPr>
          <w:p w14:paraId="204EE2B6" w14:textId="77777777" w:rsidR="004F64EF" w:rsidRPr="003003C0" w:rsidRDefault="004F64EF" w:rsidP="00FD6B66">
            <w:pPr>
              <w:jc w:val="right"/>
              <w:rPr>
                <w:rFonts w:cs="Arial"/>
                <w:color w:val="000000"/>
                <w:sz w:val="15"/>
                <w:szCs w:val="15"/>
              </w:rPr>
            </w:pPr>
            <w:r w:rsidRPr="003003C0">
              <w:rPr>
                <w:rFonts w:cs="Arial"/>
                <w:color w:val="000000"/>
                <w:sz w:val="15"/>
                <w:szCs w:val="15"/>
              </w:rPr>
              <w:t>56</w:t>
            </w:r>
            <w:r>
              <w:rPr>
                <w:rFonts w:cs="Arial"/>
                <w:color w:val="000000"/>
                <w:sz w:val="15"/>
                <w:szCs w:val="15"/>
              </w:rPr>
              <w:t>.</w:t>
            </w:r>
            <w:r w:rsidRPr="003003C0">
              <w:rPr>
                <w:rFonts w:cs="Arial"/>
                <w:color w:val="000000"/>
                <w:sz w:val="15"/>
                <w:szCs w:val="15"/>
              </w:rPr>
              <w:t>3</w:t>
            </w:r>
          </w:p>
        </w:tc>
        <w:tc>
          <w:tcPr>
            <w:tcW w:w="764" w:type="dxa"/>
            <w:noWrap/>
            <w:vAlign w:val="center"/>
            <w:hideMark/>
          </w:tcPr>
          <w:p w14:paraId="0D5C16D1" w14:textId="77777777" w:rsidR="004F64EF" w:rsidRPr="003003C0" w:rsidRDefault="004F64EF" w:rsidP="00FD6B66">
            <w:pPr>
              <w:jc w:val="right"/>
              <w:rPr>
                <w:rFonts w:cs="Arial"/>
                <w:color w:val="000000"/>
                <w:sz w:val="15"/>
                <w:szCs w:val="15"/>
              </w:rPr>
            </w:pPr>
            <w:r w:rsidRPr="003003C0">
              <w:rPr>
                <w:rFonts w:cs="Arial"/>
                <w:color w:val="000000"/>
                <w:sz w:val="15"/>
                <w:szCs w:val="15"/>
              </w:rPr>
              <w:t>59</w:t>
            </w:r>
            <w:r>
              <w:rPr>
                <w:rFonts w:cs="Arial"/>
                <w:color w:val="000000"/>
                <w:sz w:val="15"/>
                <w:szCs w:val="15"/>
              </w:rPr>
              <w:t>.</w:t>
            </w:r>
            <w:r w:rsidRPr="003003C0">
              <w:rPr>
                <w:rFonts w:cs="Arial"/>
                <w:color w:val="000000"/>
                <w:sz w:val="15"/>
                <w:szCs w:val="15"/>
              </w:rPr>
              <w:t>1</w:t>
            </w:r>
          </w:p>
        </w:tc>
        <w:tc>
          <w:tcPr>
            <w:tcW w:w="764" w:type="dxa"/>
            <w:noWrap/>
            <w:vAlign w:val="center"/>
            <w:hideMark/>
          </w:tcPr>
          <w:p w14:paraId="20E41A55" w14:textId="77777777" w:rsidR="004F64EF" w:rsidRPr="003003C0" w:rsidRDefault="004F64EF" w:rsidP="00FD6B66">
            <w:pPr>
              <w:jc w:val="right"/>
              <w:rPr>
                <w:rFonts w:cs="Arial"/>
                <w:color w:val="000000"/>
                <w:sz w:val="15"/>
                <w:szCs w:val="15"/>
              </w:rPr>
            </w:pPr>
            <w:r w:rsidRPr="003003C0">
              <w:rPr>
                <w:rFonts w:cs="Arial"/>
                <w:color w:val="000000"/>
                <w:sz w:val="15"/>
                <w:szCs w:val="15"/>
              </w:rPr>
              <w:t>60</w:t>
            </w:r>
            <w:r>
              <w:rPr>
                <w:rFonts w:cs="Arial"/>
                <w:color w:val="000000"/>
                <w:sz w:val="15"/>
                <w:szCs w:val="15"/>
              </w:rPr>
              <w:t>.</w:t>
            </w:r>
            <w:r w:rsidRPr="003003C0">
              <w:rPr>
                <w:rFonts w:cs="Arial"/>
                <w:color w:val="000000"/>
                <w:sz w:val="15"/>
                <w:szCs w:val="15"/>
              </w:rPr>
              <w:t>4</w:t>
            </w:r>
          </w:p>
        </w:tc>
      </w:tr>
      <w:tr w:rsidR="004F64EF" w:rsidRPr="003003C0" w14:paraId="6C7AF5B3" w14:textId="77777777" w:rsidTr="00FD6B66">
        <w:trPr>
          <w:cnfStyle w:val="000000010000" w:firstRow="0" w:lastRow="0" w:firstColumn="0" w:lastColumn="0" w:oddVBand="0" w:evenVBand="0" w:oddHBand="0" w:evenHBand="1" w:firstRowFirstColumn="0" w:firstRowLastColumn="0" w:lastRowFirstColumn="0" w:lastRowLastColumn="0"/>
          <w:trHeight w:val="20"/>
        </w:trPr>
        <w:tc>
          <w:tcPr>
            <w:tcW w:w="3681" w:type="dxa"/>
            <w:noWrap/>
            <w:vAlign w:val="center"/>
            <w:hideMark/>
          </w:tcPr>
          <w:p w14:paraId="5C61D649" w14:textId="77777777" w:rsidR="004F64EF" w:rsidRPr="003003C0" w:rsidRDefault="004F64EF" w:rsidP="00FD6B66">
            <w:pPr>
              <w:jc w:val="left"/>
              <w:rPr>
                <w:sz w:val="15"/>
                <w:szCs w:val="15"/>
              </w:rPr>
            </w:pPr>
          </w:p>
        </w:tc>
        <w:tc>
          <w:tcPr>
            <w:tcW w:w="5348" w:type="dxa"/>
            <w:gridSpan w:val="7"/>
            <w:noWrap/>
            <w:vAlign w:val="center"/>
            <w:hideMark/>
          </w:tcPr>
          <w:p w14:paraId="3066A2A9" w14:textId="77777777" w:rsidR="004F64EF" w:rsidRPr="003003C0" w:rsidRDefault="004F64EF" w:rsidP="00FD6B66">
            <w:pPr>
              <w:jc w:val="center"/>
              <w:rPr>
                <w:rFonts w:cs="Arial"/>
                <w:b/>
                <w:bCs/>
                <w:color w:val="000000"/>
                <w:sz w:val="15"/>
                <w:szCs w:val="15"/>
              </w:rPr>
            </w:pPr>
            <w:r w:rsidRPr="003003C0">
              <w:rPr>
                <w:rFonts w:cs="Arial"/>
                <w:b/>
                <w:bCs/>
                <w:color w:val="000000"/>
                <w:sz w:val="15"/>
                <w:szCs w:val="15"/>
              </w:rPr>
              <w:t>(USD</w:t>
            </w:r>
            <w:r>
              <w:rPr>
                <w:rFonts w:cs="Arial"/>
                <w:b/>
                <w:bCs/>
                <w:color w:val="000000"/>
                <w:sz w:val="15"/>
                <w:szCs w:val="15"/>
              </w:rPr>
              <w:t xml:space="preserve"> million</w:t>
            </w:r>
            <w:r w:rsidRPr="003003C0">
              <w:rPr>
                <w:rFonts w:cs="Arial"/>
                <w:b/>
                <w:bCs/>
                <w:color w:val="000000"/>
                <w:sz w:val="15"/>
                <w:szCs w:val="15"/>
              </w:rPr>
              <w:t>)</w:t>
            </w:r>
          </w:p>
        </w:tc>
      </w:tr>
      <w:tr w:rsidR="004F64EF" w:rsidRPr="003003C0" w14:paraId="042795BB" w14:textId="77777777" w:rsidTr="00FD6B66">
        <w:trPr>
          <w:trHeight w:val="20"/>
        </w:trPr>
        <w:tc>
          <w:tcPr>
            <w:tcW w:w="3681" w:type="dxa"/>
            <w:noWrap/>
            <w:vAlign w:val="center"/>
            <w:hideMark/>
          </w:tcPr>
          <w:p w14:paraId="4430B8BB" w14:textId="77777777" w:rsidR="004F64EF" w:rsidRPr="003003C0" w:rsidRDefault="004F64EF" w:rsidP="00FD6B66">
            <w:pPr>
              <w:jc w:val="left"/>
              <w:rPr>
                <w:rFonts w:cs="Arial"/>
                <w:color w:val="000000"/>
                <w:sz w:val="15"/>
                <w:szCs w:val="15"/>
              </w:rPr>
            </w:pPr>
            <w:r>
              <w:rPr>
                <w:rFonts w:cs="Arial"/>
                <w:color w:val="000000"/>
                <w:sz w:val="15"/>
                <w:szCs w:val="15"/>
              </w:rPr>
              <w:t>Exports of consumer goods and re-exports</w:t>
            </w:r>
          </w:p>
        </w:tc>
        <w:tc>
          <w:tcPr>
            <w:tcW w:w="764" w:type="dxa"/>
            <w:noWrap/>
            <w:vAlign w:val="center"/>
            <w:hideMark/>
          </w:tcPr>
          <w:p w14:paraId="1C2BBC92" w14:textId="77777777" w:rsidR="004F64EF" w:rsidRPr="003003C0" w:rsidRDefault="004F64EF" w:rsidP="00FD6B66">
            <w:pPr>
              <w:jc w:val="right"/>
              <w:rPr>
                <w:rFonts w:cs="Arial"/>
                <w:color w:val="000000"/>
                <w:sz w:val="15"/>
                <w:szCs w:val="15"/>
              </w:rPr>
            </w:pPr>
            <w:r w:rsidRPr="003003C0">
              <w:rPr>
                <w:rFonts w:cs="Arial"/>
                <w:color w:val="000000"/>
                <w:sz w:val="15"/>
                <w:szCs w:val="15"/>
              </w:rPr>
              <w:t>3</w:t>
            </w:r>
            <w:r>
              <w:rPr>
                <w:rFonts w:cs="Arial"/>
                <w:color w:val="000000"/>
                <w:sz w:val="15"/>
                <w:szCs w:val="15"/>
              </w:rPr>
              <w:t>,</w:t>
            </w:r>
            <w:r w:rsidRPr="003003C0">
              <w:rPr>
                <w:rFonts w:cs="Arial"/>
                <w:color w:val="000000"/>
                <w:sz w:val="15"/>
                <w:szCs w:val="15"/>
              </w:rPr>
              <w:t>995</w:t>
            </w:r>
          </w:p>
        </w:tc>
        <w:tc>
          <w:tcPr>
            <w:tcW w:w="764" w:type="dxa"/>
            <w:noWrap/>
            <w:vAlign w:val="center"/>
            <w:hideMark/>
          </w:tcPr>
          <w:p w14:paraId="54EDF053" w14:textId="77777777" w:rsidR="004F64EF" w:rsidRPr="003003C0" w:rsidRDefault="004F64EF" w:rsidP="00FD6B66">
            <w:pPr>
              <w:jc w:val="right"/>
              <w:rPr>
                <w:rFonts w:cs="Arial"/>
                <w:color w:val="000000"/>
                <w:sz w:val="15"/>
                <w:szCs w:val="15"/>
              </w:rPr>
            </w:pPr>
            <w:r w:rsidRPr="003003C0">
              <w:rPr>
                <w:rFonts w:cs="Arial"/>
                <w:color w:val="000000"/>
                <w:sz w:val="15"/>
                <w:szCs w:val="15"/>
              </w:rPr>
              <w:t>4</w:t>
            </w:r>
            <w:r>
              <w:rPr>
                <w:rFonts w:cs="Arial"/>
                <w:color w:val="000000"/>
                <w:sz w:val="15"/>
                <w:szCs w:val="15"/>
              </w:rPr>
              <w:t>,</w:t>
            </w:r>
            <w:r w:rsidRPr="003003C0">
              <w:rPr>
                <w:rFonts w:cs="Arial"/>
                <w:color w:val="000000"/>
                <w:sz w:val="15"/>
                <w:szCs w:val="15"/>
              </w:rPr>
              <w:t>399</w:t>
            </w:r>
          </w:p>
        </w:tc>
        <w:tc>
          <w:tcPr>
            <w:tcW w:w="764" w:type="dxa"/>
            <w:noWrap/>
            <w:vAlign w:val="center"/>
            <w:hideMark/>
          </w:tcPr>
          <w:p w14:paraId="47297E56" w14:textId="77777777" w:rsidR="004F64EF" w:rsidRPr="003003C0" w:rsidRDefault="004F64EF" w:rsidP="00FD6B66">
            <w:pPr>
              <w:jc w:val="right"/>
              <w:rPr>
                <w:rFonts w:cs="Arial"/>
                <w:color w:val="000000"/>
                <w:sz w:val="15"/>
                <w:szCs w:val="15"/>
              </w:rPr>
            </w:pPr>
            <w:r w:rsidRPr="003003C0">
              <w:rPr>
                <w:rFonts w:cs="Arial"/>
                <w:color w:val="000000"/>
                <w:sz w:val="15"/>
                <w:szCs w:val="15"/>
              </w:rPr>
              <w:t>4</w:t>
            </w:r>
            <w:r>
              <w:rPr>
                <w:rFonts w:cs="Arial"/>
                <w:color w:val="000000"/>
                <w:sz w:val="15"/>
                <w:szCs w:val="15"/>
              </w:rPr>
              <w:t>,</w:t>
            </w:r>
            <w:r w:rsidRPr="003003C0">
              <w:rPr>
                <w:rFonts w:cs="Arial"/>
                <w:color w:val="000000"/>
                <w:sz w:val="15"/>
                <w:szCs w:val="15"/>
              </w:rPr>
              <w:t>442</w:t>
            </w:r>
          </w:p>
        </w:tc>
        <w:tc>
          <w:tcPr>
            <w:tcW w:w="764" w:type="dxa"/>
            <w:noWrap/>
            <w:vAlign w:val="center"/>
            <w:hideMark/>
          </w:tcPr>
          <w:p w14:paraId="1DE08F72" w14:textId="77777777" w:rsidR="004F64EF" w:rsidRPr="003003C0" w:rsidRDefault="004F64EF" w:rsidP="00FD6B66">
            <w:pPr>
              <w:jc w:val="right"/>
              <w:rPr>
                <w:rFonts w:cs="Arial"/>
                <w:color w:val="000000"/>
                <w:sz w:val="15"/>
                <w:szCs w:val="15"/>
              </w:rPr>
            </w:pPr>
            <w:r w:rsidRPr="003003C0">
              <w:rPr>
                <w:rFonts w:cs="Arial"/>
                <w:color w:val="000000"/>
                <w:sz w:val="15"/>
                <w:szCs w:val="15"/>
              </w:rPr>
              <w:t>4</w:t>
            </w:r>
            <w:r>
              <w:rPr>
                <w:rFonts w:cs="Arial"/>
                <w:color w:val="000000"/>
                <w:sz w:val="15"/>
                <w:szCs w:val="15"/>
              </w:rPr>
              <w:t>,</w:t>
            </w:r>
            <w:r w:rsidRPr="003003C0">
              <w:rPr>
                <w:rFonts w:cs="Arial"/>
                <w:color w:val="000000"/>
                <w:sz w:val="15"/>
                <w:szCs w:val="15"/>
              </w:rPr>
              <w:t>610</w:t>
            </w:r>
          </w:p>
        </w:tc>
        <w:tc>
          <w:tcPr>
            <w:tcW w:w="764" w:type="dxa"/>
            <w:noWrap/>
            <w:vAlign w:val="center"/>
            <w:hideMark/>
          </w:tcPr>
          <w:p w14:paraId="4AEBD8F6" w14:textId="77777777" w:rsidR="004F64EF" w:rsidRPr="003003C0" w:rsidRDefault="004F64EF" w:rsidP="00FD6B66">
            <w:pPr>
              <w:jc w:val="right"/>
              <w:rPr>
                <w:rFonts w:cs="Arial"/>
                <w:color w:val="000000"/>
                <w:sz w:val="15"/>
                <w:szCs w:val="15"/>
              </w:rPr>
            </w:pPr>
            <w:r w:rsidRPr="003003C0">
              <w:rPr>
                <w:rFonts w:cs="Arial"/>
                <w:color w:val="000000"/>
                <w:sz w:val="15"/>
                <w:szCs w:val="15"/>
              </w:rPr>
              <w:t>4</w:t>
            </w:r>
            <w:r>
              <w:rPr>
                <w:rFonts w:cs="Arial"/>
                <w:color w:val="000000"/>
                <w:sz w:val="15"/>
                <w:szCs w:val="15"/>
              </w:rPr>
              <w:t>,</w:t>
            </w:r>
            <w:r w:rsidRPr="003003C0">
              <w:rPr>
                <w:rFonts w:cs="Arial"/>
                <w:color w:val="000000"/>
                <w:sz w:val="15"/>
                <w:szCs w:val="15"/>
              </w:rPr>
              <w:t>935</w:t>
            </w:r>
          </w:p>
        </w:tc>
        <w:tc>
          <w:tcPr>
            <w:tcW w:w="764" w:type="dxa"/>
            <w:noWrap/>
            <w:vAlign w:val="center"/>
            <w:hideMark/>
          </w:tcPr>
          <w:p w14:paraId="54EF3952" w14:textId="77777777" w:rsidR="004F64EF" w:rsidRPr="003003C0" w:rsidRDefault="004F64EF" w:rsidP="00FD6B66">
            <w:pPr>
              <w:jc w:val="right"/>
              <w:rPr>
                <w:rFonts w:cs="Arial"/>
                <w:color w:val="000000"/>
                <w:sz w:val="15"/>
                <w:szCs w:val="15"/>
              </w:rPr>
            </w:pPr>
            <w:r w:rsidRPr="003003C0">
              <w:rPr>
                <w:rFonts w:cs="Arial"/>
                <w:color w:val="000000"/>
                <w:sz w:val="15"/>
                <w:szCs w:val="15"/>
              </w:rPr>
              <w:t>4</w:t>
            </w:r>
            <w:r>
              <w:rPr>
                <w:rFonts w:cs="Arial"/>
                <w:color w:val="000000"/>
                <w:sz w:val="15"/>
                <w:szCs w:val="15"/>
              </w:rPr>
              <w:t>,</w:t>
            </w:r>
            <w:r w:rsidRPr="003003C0">
              <w:rPr>
                <w:rFonts w:cs="Arial"/>
                <w:color w:val="000000"/>
                <w:sz w:val="15"/>
                <w:szCs w:val="15"/>
              </w:rPr>
              <w:t>025</w:t>
            </w:r>
          </w:p>
        </w:tc>
        <w:tc>
          <w:tcPr>
            <w:tcW w:w="764" w:type="dxa"/>
            <w:noWrap/>
            <w:vAlign w:val="center"/>
            <w:hideMark/>
          </w:tcPr>
          <w:p w14:paraId="7876E477" w14:textId="77777777" w:rsidR="004F64EF" w:rsidRPr="003003C0" w:rsidRDefault="004F64EF" w:rsidP="00FD6B66">
            <w:pPr>
              <w:jc w:val="right"/>
              <w:rPr>
                <w:rFonts w:cs="Arial"/>
                <w:color w:val="000000"/>
                <w:sz w:val="15"/>
                <w:szCs w:val="15"/>
              </w:rPr>
            </w:pPr>
            <w:r w:rsidRPr="003003C0">
              <w:rPr>
                <w:rFonts w:cs="Arial"/>
                <w:color w:val="000000"/>
                <w:sz w:val="15"/>
                <w:szCs w:val="15"/>
              </w:rPr>
              <w:t>4</w:t>
            </w:r>
            <w:r>
              <w:rPr>
                <w:rFonts w:cs="Arial"/>
                <w:color w:val="000000"/>
                <w:sz w:val="15"/>
                <w:szCs w:val="15"/>
              </w:rPr>
              <w:t>,</w:t>
            </w:r>
            <w:r w:rsidRPr="003003C0">
              <w:rPr>
                <w:rFonts w:cs="Arial"/>
                <w:color w:val="000000"/>
                <w:sz w:val="15"/>
                <w:szCs w:val="15"/>
              </w:rPr>
              <w:t>688</w:t>
            </w:r>
          </w:p>
        </w:tc>
      </w:tr>
      <w:tr w:rsidR="004F64EF" w:rsidRPr="003003C0" w14:paraId="5E68DD97" w14:textId="77777777" w:rsidTr="00FD6B66">
        <w:trPr>
          <w:cnfStyle w:val="000000010000" w:firstRow="0" w:lastRow="0" w:firstColumn="0" w:lastColumn="0" w:oddVBand="0" w:evenVBand="0" w:oddHBand="0" w:evenHBand="1" w:firstRowFirstColumn="0" w:firstRowLastColumn="0" w:lastRowFirstColumn="0" w:lastRowLastColumn="0"/>
          <w:trHeight w:val="20"/>
        </w:trPr>
        <w:tc>
          <w:tcPr>
            <w:tcW w:w="3681" w:type="dxa"/>
            <w:noWrap/>
            <w:vAlign w:val="center"/>
            <w:hideMark/>
          </w:tcPr>
          <w:p w14:paraId="7DA7DB01" w14:textId="77777777" w:rsidR="004F64EF" w:rsidRPr="003003C0" w:rsidRDefault="004F64EF" w:rsidP="00FD6B66">
            <w:pPr>
              <w:jc w:val="left"/>
              <w:rPr>
                <w:sz w:val="15"/>
                <w:szCs w:val="15"/>
              </w:rPr>
            </w:pPr>
          </w:p>
        </w:tc>
        <w:tc>
          <w:tcPr>
            <w:tcW w:w="5348" w:type="dxa"/>
            <w:gridSpan w:val="7"/>
            <w:noWrap/>
            <w:vAlign w:val="center"/>
            <w:hideMark/>
          </w:tcPr>
          <w:p w14:paraId="2B89BEC9" w14:textId="77777777" w:rsidR="004F64EF" w:rsidRPr="003003C0" w:rsidRDefault="004F64EF" w:rsidP="00FD6B66">
            <w:pPr>
              <w:jc w:val="center"/>
              <w:rPr>
                <w:rFonts w:cs="Arial"/>
                <w:b/>
                <w:bCs/>
                <w:color w:val="000000"/>
                <w:sz w:val="15"/>
                <w:szCs w:val="15"/>
              </w:rPr>
            </w:pPr>
            <w:r w:rsidRPr="003003C0">
              <w:rPr>
                <w:rFonts w:cs="Arial"/>
                <w:b/>
                <w:bCs/>
                <w:color w:val="000000"/>
                <w:sz w:val="15"/>
                <w:szCs w:val="15"/>
              </w:rPr>
              <w:t xml:space="preserve">(% </w:t>
            </w:r>
            <w:r>
              <w:rPr>
                <w:rFonts w:cs="Arial"/>
                <w:b/>
                <w:bCs/>
                <w:color w:val="000000"/>
                <w:sz w:val="15"/>
                <w:szCs w:val="15"/>
              </w:rPr>
              <w:t>of exports of consumer goods and re-exports</w:t>
            </w:r>
            <w:r w:rsidRPr="003003C0">
              <w:rPr>
                <w:rFonts w:cs="Arial"/>
                <w:b/>
                <w:bCs/>
                <w:color w:val="000000"/>
                <w:sz w:val="15"/>
                <w:szCs w:val="15"/>
              </w:rPr>
              <w:t>)</w:t>
            </w:r>
          </w:p>
        </w:tc>
      </w:tr>
      <w:tr w:rsidR="004F64EF" w:rsidRPr="003003C0" w14:paraId="7D0A630A" w14:textId="77777777" w:rsidTr="00FD6B66">
        <w:trPr>
          <w:trHeight w:val="20"/>
        </w:trPr>
        <w:tc>
          <w:tcPr>
            <w:tcW w:w="3681" w:type="dxa"/>
            <w:noWrap/>
            <w:vAlign w:val="center"/>
            <w:hideMark/>
          </w:tcPr>
          <w:p w14:paraId="7809C903" w14:textId="77777777" w:rsidR="004F64EF" w:rsidRPr="003003C0" w:rsidRDefault="004F64EF" w:rsidP="00FD6B66">
            <w:pPr>
              <w:jc w:val="left"/>
              <w:rPr>
                <w:rFonts w:cs="Arial"/>
                <w:color w:val="000000"/>
                <w:sz w:val="15"/>
                <w:szCs w:val="15"/>
              </w:rPr>
            </w:pPr>
            <w:r w:rsidRPr="003003C0">
              <w:rPr>
                <w:rFonts w:cs="Arial"/>
                <w:color w:val="000000"/>
                <w:sz w:val="15"/>
                <w:szCs w:val="15"/>
              </w:rPr>
              <w:t xml:space="preserve">1 </w:t>
            </w:r>
            <w:r>
              <w:rPr>
                <w:rFonts w:cs="Arial"/>
                <w:color w:val="000000"/>
                <w:sz w:val="15"/>
                <w:szCs w:val="15"/>
              </w:rPr>
              <w:t>–</w:t>
            </w:r>
            <w:r w:rsidRPr="003003C0">
              <w:rPr>
                <w:rFonts w:cs="Arial"/>
                <w:color w:val="000000"/>
                <w:sz w:val="15"/>
                <w:szCs w:val="15"/>
              </w:rPr>
              <w:t xml:space="preserve"> </w:t>
            </w:r>
            <w:r>
              <w:rPr>
                <w:rFonts w:cs="Arial"/>
                <w:color w:val="000000"/>
                <w:sz w:val="15"/>
                <w:szCs w:val="15"/>
              </w:rPr>
              <w:t>Live animals; animal products</w:t>
            </w:r>
          </w:p>
        </w:tc>
        <w:tc>
          <w:tcPr>
            <w:tcW w:w="764" w:type="dxa"/>
            <w:noWrap/>
            <w:vAlign w:val="center"/>
            <w:hideMark/>
          </w:tcPr>
          <w:p w14:paraId="2A716C28" w14:textId="77777777" w:rsidR="004F64EF" w:rsidRPr="003003C0" w:rsidRDefault="004F64EF" w:rsidP="00FD6B66">
            <w:pPr>
              <w:jc w:val="right"/>
              <w:rPr>
                <w:rFonts w:cs="Arial"/>
                <w:color w:val="000000"/>
                <w:sz w:val="15"/>
                <w:szCs w:val="15"/>
              </w:rPr>
            </w:pPr>
            <w:r w:rsidRPr="003003C0">
              <w:rPr>
                <w:rFonts w:cs="Arial"/>
                <w:color w:val="000000"/>
                <w:sz w:val="15"/>
                <w:szCs w:val="15"/>
              </w:rPr>
              <w:t>1</w:t>
            </w:r>
            <w:r>
              <w:rPr>
                <w:rFonts w:cs="Arial"/>
                <w:color w:val="000000"/>
                <w:sz w:val="15"/>
                <w:szCs w:val="15"/>
              </w:rPr>
              <w:t>.</w:t>
            </w:r>
            <w:r w:rsidRPr="003003C0">
              <w:rPr>
                <w:rFonts w:cs="Arial"/>
                <w:color w:val="000000"/>
                <w:sz w:val="15"/>
                <w:szCs w:val="15"/>
              </w:rPr>
              <w:t>5</w:t>
            </w:r>
          </w:p>
        </w:tc>
        <w:tc>
          <w:tcPr>
            <w:tcW w:w="764" w:type="dxa"/>
            <w:noWrap/>
            <w:vAlign w:val="center"/>
            <w:hideMark/>
          </w:tcPr>
          <w:p w14:paraId="5C4EFBF1" w14:textId="77777777" w:rsidR="004F64EF" w:rsidRPr="003003C0" w:rsidRDefault="004F64EF" w:rsidP="00FD6B66">
            <w:pPr>
              <w:jc w:val="right"/>
              <w:rPr>
                <w:rFonts w:cs="Arial"/>
                <w:color w:val="000000"/>
                <w:sz w:val="15"/>
                <w:szCs w:val="15"/>
              </w:rPr>
            </w:pPr>
            <w:r w:rsidRPr="003003C0">
              <w:rPr>
                <w:rFonts w:cs="Arial"/>
                <w:color w:val="000000"/>
                <w:sz w:val="15"/>
                <w:szCs w:val="15"/>
              </w:rPr>
              <w:t>1</w:t>
            </w:r>
            <w:r>
              <w:rPr>
                <w:rFonts w:cs="Arial"/>
                <w:color w:val="000000"/>
                <w:sz w:val="15"/>
                <w:szCs w:val="15"/>
              </w:rPr>
              <w:t>.</w:t>
            </w:r>
            <w:r w:rsidRPr="003003C0">
              <w:rPr>
                <w:rFonts w:cs="Arial"/>
                <w:color w:val="000000"/>
                <w:sz w:val="15"/>
                <w:szCs w:val="15"/>
              </w:rPr>
              <w:t>7</w:t>
            </w:r>
          </w:p>
        </w:tc>
        <w:tc>
          <w:tcPr>
            <w:tcW w:w="764" w:type="dxa"/>
            <w:noWrap/>
            <w:vAlign w:val="center"/>
            <w:hideMark/>
          </w:tcPr>
          <w:p w14:paraId="5D243C58" w14:textId="77777777" w:rsidR="004F64EF" w:rsidRPr="003003C0" w:rsidRDefault="004F64EF" w:rsidP="00FD6B66">
            <w:pPr>
              <w:jc w:val="right"/>
              <w:rPr>
                <w:rFonts w:cs="Arial"/>
                <w:color w:val="000000"/>
                <w:sz w:val="15"/>
                <w:szCs w:val="15"/>
              </w:rPr>
            </w:pPr>
            <w:r w:rsidRPr="003003C0">
              <w:rPr>
                <w:rFonts w:cs="Arial"/>
                <w:color w:val="000000"/>
                <w:sz w:val="15"/>
                <w:szCs w:val="15"/>
              </w:rPr>
              <w:t>1</w:t>
            </w:r>
            <w:r>
              <w:rPr>
                <w:rFonts w:cs="Arial"/>
                <w:color w:val="000000"/>
                <w:sz w:val="15"/>
                <w:szCs w:val="15"/>
              </w:rPr>
              <w:t>.</w:t>
            </w:r>
            <w:r w:rsidRPr="003003C0">
              <w:rPr>
                <w:rFonts w:cs="Arial"/>
                <w:color w:val="000000"/>
                <w:sz w:val="15"/>
                <w:szCs w:val="15"/>
              </w:rPr>
              <w:t>4</w:t>
            </w:r>
          </w:p>
        </w:tc>
        <w:tc>
          <w:tcPr>
            <w:tcW w:w="764" w:type="dxa"/>
            <w:noWrap/>
            <w:vAlign w:val="center"/>
            <w:hideMark/>
          </w:tcPr>
          <w:p w14:paraId="522BD61B" w14:textId="77777777" w:rsidR="004F64EF" w:rsidRPr="003003C0" w:rsidRDefault="004F64EF" w:rsidP="00FD6B66">
            <w:pPr>
              <w:jc w:val="right"/>
              <w:rPr>
                <w:rFonts w:cs="Arial"/>
                <w:color w:val="000000"/>
                <w:sz w:val="15"/>
                <w:szCs w:val="15"/>
              </w:rPr>
            </w:pPr>
            <w:r w:rsidRPr="003003C0">
              <w:rPr>
                <w:rFonts w:cs="Arial"/>
                <w:color w:val="000000"/>
                <w:sz w:val="15"/>
                <w:szCs w:val="15"/>
              </w:rPr>
              <w:t>1</w:t>
            </w:r>
            <w:r>
              <w:rPr>
                <w:rFonts w:cs="Arial"/>
                <w:color w:val="000000"/>
                <w:sz w:val="15"/>
                <w:szCs w:val="15"/>
              </w:rPr>
              <w:t>.</w:t>
            </w:r>
            <w:r w:rsidRPr="003003C0">
              <w:rPr>
                <w:rFonts w:cs="Arial"/>
                <w:color w:val="000000"/>
                <w:sz w:val="15"/>
                <w:szCs w:val="15"/>
              </w:rPr>
              <w:t>6</w:t>
            </w:r>
          </w:p>
        </w:tc>
        <w:tc>
          <w:tcPr>
            <w:tcW w:w="764" w:type="dxa"/>
            <w:noWrap/>
            <w:vAlign w:val="center"/>
            <w:hideMark/>
          </w:tcPr>
          <w:p w14:paraId="76C1B75A" w14:textId="77777777" w:rsidR="004F64EF" w:rsidRPr="003003C0" w:rsidRDefault="004F64EF" w:rsidP="00FD6B66">
            <w:pPr>
              <w:jc w:val="right"/>
              <w:rPr>
                <w:rFonts w:cs="Arial"/>
                <w:color w:val="000000"/>
                <w:sz w:val="15"/>
                <w:szCs w:val="15"/>
              </w:rPr>
            </w:pPr>
            <w:r w:rsidRPr="003003C0">
              <w:rPr>
                <w:rFonts w:cs="Arial"/>
                <w:color w:val="000000"/>
                <w:sz w:val="15"/>
                <w:szCs w:val="15"/>
              </w:rPr>
              <w:t>1</w:t>
            </w:r>
            <w:r>
              <w:rPr>
                <w:rFonts w:cs="Arial"/>
                <w:color w:val="000000"/>
                <w:sz w:val="15"/>
                <w:szCs w:val="15"/>
              </w:rPr>
              <w:t>.</w:t>
            </w:r>
            <w:r w:rsidRPr="003003C0">
              <w:rPr>
                <w:rFonts w:cs="Arial"/>
                <w:color w:val="000000"/>
                <w:sz w:val="15"/>
                <w:szCs w:val="15"/>
              </w:rPr>
              <w:t>4</w:t>
            </w:r>
          </w:p>
        </w:tc>
        <w:tc>
          <w:tcPr>
            <w:tcW w:w="764" w:type="dxa"/>
            <w:noWrap/>
            <w:vAlign w:val="center"/>
            <w:hideMark/>
          </w:tcPr>
          <w:p w14:paraId="00A3E6F8" w14:textId="77777777" w:rsidR="004F64EF" w:rsidRPr="003003C0" w:rsidRDefault="004F64EF" w:rsidP="00FD6B66">
            <w:pPr>
              <w:jc w:val="right"/>
              <w:rPr>
                <w:rFonts w:cs="Arial"/>
                <w:color w:val="000000"/>
                <w:sz w:val="15"/>
                <w:szCs w:val="15"/>
              </w:rPr>
            </w:pPr>
            <w:r w:rsidRPr="003003C0">
              <w:rPr>
                <w:rFonts w:cs="Arial"/>
                <w:color w:val="000000"/>
                <w:sz w:val="15"/>
                <w:szCs w:val="15"/>
              </w:rPr>
              <w:t>0</w:t>
            </w:r>
            <w:r>
              <w:rPr>
                <w:rFonts w:cs="Arial"/>
                <w:color w:val="000000"/>
                <w:sz w:val="15"/>
                <w:szCs w:val="15"/>
              </w:rPr>
              <w:t>.</w:t>
            </w:r>
            <w:r w:rsidRPr="003003C0">
              <w:rPr>
                <w:rFonts w:cs="Arial"/>
                <w:color w:val="000000"/>
                <w:sz w:val="15"/>
                <w:szCs w:val="15"/>
              </w:rPr>
              <w:t>6</w:t>
            </w:r>
          </w:p>
        </w:tc>
        <w:tc>
          <w:tcPr>
            <w:tcW w:w="764" w:type="dxa"/>
            <w:noWrap/>
            <w:vAlign w:val="center"/>
            <w:hideMark/>
          </w:tcPr>
          <w:p w14:paraId="2AE06188" w14:textId="77777777" w:rsidR="004F64EF" w:rsidRPr="003003C0" w:rsidRDefault="004F64EF" w:rsidP="00FD6B66">
            <w:pPr>
              <w:jc w:val="right"/>
              <w:rPr>
                <w:rFonts w:cs="Arial"/>
                <w:color w:val="000000"/>
                <w:sz w:val="15"/>
                <w:szCs w:val="15"/>
              </w:rPr>
            </w:pPr>
            <w:r w:rsidRPr="003003C0">
              <w:rPr>
                <w:rFonts w:cs="Arial"/>
                <w:color w:val="000000"/>
                <w:sz w:val="15"/>
                <w:szCs w:val="15"/>
              </w:rPr>
              <w:t>0</w:t>
            </w:r>
            <w:r>
              <w:rPr>
                <w:rFonts w:cs="Arial"/>
                <w:color w:val="000000"/>
                <w:sz w:val="15"/>
                <w:szCs w:val="15"/>
              </w:rPr>
              <w:t>.</w:t>
            </w:r>
            <w:r w:rsidRPr="003003C0">
              <w:rPr>
                <w:rFonts w:cs="Arial"/>
                <w:color w:val="000000"/>
                <w:sz w:val="15"/>
                <w:szCs w:val="15"/>
              </w:rPr>
              <w:t>4</w:t>
            </w:r>
          </w:p>
        </w:tc>
      </w:tr>
      <w:tr w:rsidR="004F64EF" w:rsidRPr="003003C0" w14:paraId="03896D7E" w14:textId="77777777" w:rsidTr="00FD6B66">
        <w:trPr>
          <w:cnfStyle w:val="000000010000" w:firstRow="0" w:lastRow="0" w:firstColumn="0" w:lastColumn="0" w:oddVBand="0" w:evenVBand="0" w:oddHBand="0" w:evenHBand="1" w:firstRowFirstColumn="0" w:firstRowLastColumn="0" w:lastRowFirstColumn="0" w:lastRowLastColumn="0"/>
          <w:trHeight w:val="20"/>
        </w:trPr>
        <w:tc>
          <w:tcPr>
            <w:tcW w:w="3681" w:type="dxa"/>
            <w:noWrap/>
            <w:vAlign w:val="center"/>
            <w:hideMark/>
          </w:tcPr>
          <w:p w14:paraId="12866AAA" w14:textId="77777777" w:rsidR="004F64EF" w:rsidRPr="003003C0" w:rsidRDefault="004F64EF" w:rsidP="003E0CD7">
            <w:pPr>
              <w:tabs>
                <w:tab w:val="left" w:pos="170"/>
              </w:tabs>
              <w:ind w:left="170" w:hanging="170"/>
              <w:jc w:val="left"/>
              <w:rPr>
                <w:rFonts w:cs="Arial"/>
                <w:color w:val="000000"/>
                <w:sz w:val="15"/>
                <w:szCs w:val="15"/>
              </w:rPr>
            </w:pPr>
            <w:r w:rsidRPr="003003C0">
              <w:rPr>
                <w:rFonts w:cs="Arial"/>
                <w:color w:val="000000"/>
                <w:sz w:val="15"/>
                <w:szCs w:val="15"/>
              </w:rPr>
              <w:tab/>
              <w:t xml:space="preserve">03. </w:t>
            </w:r>
            <w:r w:rsidRPr="00807F3E">
              <w:rPr>
                <w:rFonts w:cs="Arial"/>
                <w:color w:val="000000"/>
                <w:sz w:val="15"/>
                <w:szCs w:val="15"/>
              </w:rPr>
              <w:t>Fish and crustaceans, molluscs and other aquatic invertebrates</w:t>
            </w:r>
          </w:p>
        </w:tc>
        <w:tc>
          <w:tcPr>
            <w:tcW w:w="764" w:type="dxa"/>
            <w:noWrap/>
            <w:vAlign w:val="center"/>
            <w:hideMark/>
          </w:tcPr>
          <w:p w14:paraId="49B6A68B" w14:textId="77777777" w:rsidR="004F64EF" w:rsidRPr="003003C0" w:rsidRDefault="004F64EF" w:rsidP="00FD6B66">
            <w:pPr>
              <w:jc w:val="right"/>
              <w:rPr>
                <w:rFonts w:cs="Arial"/>
                <w:color w:val="000000"/>
                <w:sz w:val="15"/>
                <w:szCs w:val="15"/>
              </w:rPr>
            </w:pPr>
            <w:r w:rsidRPr="003003C0">
              <w:rPr>
                <w:rFonts w:cs="Arial"/>
                <w:color w:val="000000"/>
                <w:sz w:val="15"/>
                <w:szCs w:val="15"/>
              </w:rPr>
              <w:t>0</w:t>
            </w:r>
            <w:r>
              <w:rPr>
                <w:rFonts w:cs="Arial"/>
                <w:color w:val="000000"/>
                <w:sz w:val="15"/>
                <w:szCs w:val="15"/>
              </w:rPr>
              <w:t>.</w:t>
            </w:r>
            <w:r w:rsidRPr="003003C0">
              <w:rPr>
                <w:rFonts w:cs="Arial"/>
                <w:color w:val="000000"/>
                <w:sz w:val="15"/>
                <w:szCs w:val="15"/>
              </w:rPr>
              <w:t>5</w:t>
            </w:r>
          </w:p>
        </w:tc>
        <w:tc>
          <w:tcPr>
            <w:tcW w:w="764" w:type="dxa"/>
            <w:noWrap/>
            <w:vAlign w:val="center"/>
            <w:hideMark/>
          </w:tcPr>
          <w:p w14:paraId="7F1FF178" w14:textId="77777777" w:rsidR="004F64EF" w:rsidRPr="003003C0" w:rsidRDefault="004F64EF" w:rsidP="00FD6B66">
            <w:pPr>
              <w:jc w:val="right"/>
              <w:rPr>
                <w:rFonts w:cs="Arial"/>
                <w:color w:val="000000"/>
                <w:sz w:val="15"/>
                <w:szCs w:val="15"/>
              </w:rPr>
            </w:pPr>
            <w:r w:rsidRPr="003003C0">
              <w:rPr>
                <w:rFonts w:cs="Arial"/>
                <w:color w:val="000000"/>
                <w:sz w:val="15"/>
                <w:szCs w:val="15"/>
              </w:rPr>
              <w:t>0</w:t>
            </w:r>
            <w:r>
              <w:rPr>
                <w:rFonts w:cs="Arial"/>
                <w:color w:val="000000"/>
                <w:sz w:val="15"/>
                <w:szCs w:val="15"/>
              </w:rPr>
              <w:t>.</w:t>
            </w:r>
            <w:r w:rsidRPr="003003C0">
              <w:rPr>
                <w:rFonts w:cs="Arial"/>
                <w:color w:val="000000"/>
                <w:sz w:val="15"/>
                <w:szCs w:val="15"/>
              </w:rPr>
              <w:t>5</w:t>
            </w:r>
          </w:p>
        </w:tc>
        <w:tc>
          <w:tcPr>
            <w:tcW w:w="764" w:type="dxa"/>
            <w:noWrap/>
            <w:vAlign w:val="center"/>
            <w:hideMark/>
          </w:tcPr>
          <w:p w14:paraId="077F73AC" w14:textId="77777777" w:rsidR="004F64EF" w:rsidRPr="003003C0" w:rsidRDefault="004F64EF" w:rsidP="00FD6B66">
            <w:pPr>
              <w:jc w:val="right"/>
              <w:rPr>
                <w:rFonts w:cs="Arial"/>
                <w:color w:val="000000"/>
                <w:sz w:val="15"/>
                <w:szCs w:val="15"/>
              </w:rPr>
            </w:pPr>
            <w:r w:rsidRPr="003003C0">
              <w:rPr>
                <w:rFonts w:cs="Arial"/>
                <w:color w:val="000000"/>
                <w:sz w:val="15"/>
                <w:szCs w:val="15"/>
              </w:rPr>
              <w:t>0</w:t>
            </w:r>
            <w:r>
              <w:rPr>
                <w:rFonts w:cs="Arial"/>
                <w:color w:val="000000"/>
                <w:sz w:val="15"/>
                <w:szCs w:val="15"/>
              </w:rPr>
              <w:t>.</w:t>
            </w:r>
            <w:r w:rsidRPr="003003C0">
              <w:rPr>
                <w:rFonts w:cs="Arial"/>
                <w:color w:val="000000"/>
                <w:sz w:val="15"/>
                <w:szCs w:val="15"/>
              </w:rPr>
              <w:t>5</w:t>
            </w:r>
          </w:p>
        </w:tc>
        <w:tc>
          <w:tcPr>
            <w:tcW w:w="764" w:type="dxa"/>
            <w:noWrap/>
            <w:vAlign w:val="center"/>
            <w:hideMark/>
          </w:tcPr>
          <w:p w14:paraId="3F853054" w14:textId="77777777" w:rsidR="004F64EF" w:rsidRPr="003003C0" w:rsidRDefault="004F64EF" w:rsidP="00FD6B66">
            <w:pPr>
              <w:jc w:val="right"/>
              <w:rPr>
                <w:rFonts w:cs="Arial"/>
                <w:color w:val="000000"/>
                <w:sz w:val="15"/>
                <w:szCs w:val="15"/>
              </w:rPr>
            </w:pPr>
            <w:r w:rsidRPr="003003C0">
              <w:rPr>
                <w:rFonts w:cs="Arial"/>
                <w:color w:val="000000"/>
                <w:sz w:val="15"/>
                <w:szCs w:val="15"/>
              </w:rPr>
              <w:t>0</w:t>
            </w:r>
            <w:r>
              <w:rPr>
                <w:rFonts w:cs="Arial"/>
                <w:color w:val="000000"/>
                <w:sz w:val="15"/>
                <w:szCs w:val="15"/>
              </w:rPr>
              <w:t>.</w:t>
            </w:r>
            <w:r w:rsidRPr="003003C0">
              <w:rPr>
                <w:rFonts w:cs="Arial"/>
                <w:color w:val="000000"/>
                <w:sz w:val="15"/>
                <w:szCs w:val="15"/>
              </w:rPr>
              <w:t>5</w:t>
            </w:r>
          </w:p>
        </w:tc>
        <w:tc>
          <w:tcPr>
            <w:tcW w:w="764" w:type="dxa"/>
            <w:noWrap/>
            <w:vAlign w:val="center"/>
            <w:hideMark/>
          </w:tcPr>
          <w:p w14:paraId="739BCBBF" w14:textId="77777777" w:rsidR="004F64EF" w:rsidRPr="003003C0" w:rsidRDefault="004F64EF" w:rsidP="00FD6B66">
            <w:pPr>
              <w:jc w:val="right"/>
              <w:rPr>
                <w:rFonts w:cs="Arial"/>
                <w:color w:val="000000"/>
                <w:sz w:val="15"/>
                <w:szCs w:val="15"/>
              </w:rPr>
            </w:pPr>
            <w:r w:rsidRPr="003003C0">
              <w:rPr>
                <w:rFonts w:cs="Arial"/>
                <w:color w:val="000000"/>
                <w:sz w:val="15"/>
                <w:szCs w:val="15"/>
              </w:rPr>
              <w:t>0</w:t>
            </w:r>
            <w:r>
              <w:rPr>
                <w:rFonts w:cs="Arial"/>
                <w:color w:val="000000"/>
                <w:sz w:val="15"/>
                <w:szCs w:val="15"/>
              </w:rPr>
              <w:t>.</w:t>
            </w:r>
            <w:r w:rsidRPr="003003C0">
              <w:rPr>
                <w:rFonts w:cs="Arial"/>
                <w:color w:val="000000"/>
                <w:sz w:val="15"/>
                <w:szCs w:val="15"/>
              </w:rPr>
              <w:t>5</w:t>
            </w:r>
          </w:p>
        </w:tc>
        <w:tc>
          <w:tcPr>
            <w:tcW w:w="764" w:type="dxa"/>
            <w:noWrap/>
            <w:vAlign w:val="center"/>
            <w:hideMark/>
          </w:tcPr>
          <w:p w14:paraId="3AE4584C" w14:textId="77777777" w:rsidR="004F64EF" w:rsidRPr="003003C0" w:rsidRDefault="004F64EF" w:rsidP="00FD6B66">
            <w:pPr>
              <w:jc w:val="right"/>
              <w:rPr>
                <w:rFonts w:cs="Arial"/>
                <w:color w:val="000000"/>
                <w:sz w:val="15"/>
                <w:szCs w:val="15"/>
              </w:rPr>
            </w:pPr>
            <w:r w:rsidRPr="003003C0">
              <w:rPr>
                <w:rFonts w:cs="Arial"/>
                <w:color w:val="000000"/>
                <w:sz w:val="15"/>
                <w:szCs w:val="15"/>
              </w:rPr>
              <w:t>0</w:t>
            </w:r>
            <w:r>
              <w:rPr>
                <w:rFonts w:cs="Arial"/>
                <w:color w:val="000000"/>
                <w:sz w:val="15"/>
                <w:szCs w:val="15"/>
              </w:rPr>
              <w:t>.</w:t>
            </w:r>
            <w:r w:rsidRPr="003003C0">
              <w:rPr>
                <w:rFonts w:cs="Arial"/>
                <w:color w:val="000000"/>
                <w:sz w:val="15"/>
                <w:szCs w:val="15"/>
              </w:rPr>
              <w:t>2</w:t>
            </w:r>
          </w:p>
        </w:tc>
        <w:tc>
          <w:tcPr>
            <w:tcW w:w="764" w:type="dxa"/>
            <w:noWrap/>
            <w:vAlign w:val="center"/>
            <w:hideMark/>
          </w:tcPr>
          <w:p w14:paraId="651C2377" w14:textId="77777777" w:rsidR="004F64EF" w:rsidRPr="003003C0" w:rsidRDefault="004F64EF" w:rsidP="00FD6B66">
            <w:pPr>
              <w:jc w:val="right"/>
              <w:rPr>
                <w:rFonts w:cs="Arial"/>
                <w:color w:val="000000"/>
                <w:sz w:val="15"/>
                <w:szCs w:val="15"/>
              </w:rPr>
            </w:pPr>
            <w:r w:rsidRPr="003003C0">
              <w:rPr>
                <w:rFonts w:cs="Arial"/>
                <w:color w:val="000000"/>
                <w:sz w:val="15"/>
                <w:szCs w:val="15"/>
              </w:rPr>
              <w:t>0</w:t>
            </w:r>
            <w:r>
              <w:rPr>
                <w:rFonts w:cs="Arial"/>
                <w:color w:val="000000"/>
                <w:sz w:val="15"/>
                <w:szCs w:val="15"/>
              </w:rPr>
              <w:t>.</w:t>
            </w:r>
            <w:r w:rsidRPr="003003C0">
              <w:rPr>
                <w:rFonts w:cs="Arial"/>
                <w:color w:val="000000"/>
                <w:sz w:val="15"/>
                <w:szCs w:val="15"/>
              </w:rPr>
              <w:t>2</w:t>
            </w:r>
          </w:p>
        </w:tc>
      </w:tr>
      <w:tr w:rsidR="004F64EF" w:rsidRPr="003003C0" w14:paraId="36E4710D" w14:textId="77777777" w:rsidTr="00FD6B66">
        <w:trPr>
          <w:trHeight w:val="20"/>
        </w:trPr>
        <w:tc>
          <w:tcPr>
            <w:tcW w:w="3681" w:type="dxa"/>
            <w:noWrap/>
            <w:vAlign w:val="center"/>
            <w:hideMark/>
          </w:tcPr>
          <w:p w14:paraId="4A3A2568" w14:textId="77777777" w:rsidR="004F64EF" w:rsidRPr="003003C0" w:rsidRDefault="004F64EF" w:rsidP="003E0CD7">
            <w:pPr>
              <w:tabs>
                <w:tab w:val="left" w:pos="170"/>
              </w:tabs>
              <w:ind w:left="170" w:hanging="170"/>
              <w:jc w:val="left"/>
              <w:rPr>
                <w:rFonts w:cs="Arial"/>
                <w:color w:val="000000"/>
                <w:sz w:val="15"/>
                <w:szCs w:val="15"/>
              </w:rPr>
            </w:pPr>
            <w:r w:rsidRPr="003003C0">
              <w:rPr>
                <w:rFonts w:cs="Arial"/>
                <w:color w:val="000000"/>
                <w:sz w:val="15"/>
                <w:szCs w:val="15"/>
              </w:rPr>
              <w:tab/>
              <w:t xml:space="preserve">04. </w:t>
            </w:r>
            <w:r w:rsidRPr="00807F3E">
              <w:rPr>
                <w:rFonts w:cs="Arial"/>
                <w:color w:val="000000"/>
                <w:sz w:val="15"/>
                <w:szCs w:val="15"/>
              </w:rPr>
              <w:t>Dairy produce; birds' eggs; natural honey; edible products of animal origin</w:t>
            </w:r>
          </w:p>
        </w:tc>
        <w:tc>
          <w:tcPr>
            <w:tcW w:w="764" w:type="dxa"/>
            <w:noWrap/>
            <w:vAlign w:val="center"/>
            <w:hideMark/>
          </w:tcPr>
          <w:p w14:paraId="33B9EE2F" w14:textId="77777777" w:rsidR="004F64EF" w:rsidRPr="003003C0" w:rsidRDefault="004F64EF" w:rsidP="00FD6B66">
            <w:pPr>
              <w:jc w:val="right"/>
              <w:rPr>
                <w:rFonts w:cs="Arial"/>
                <w:color w:val="000000"/>
                <w:sz w:val="15"/>
                <w:szCs w:val="15"/>
              </w:rPr>
            </w:pPr>
            <w:r w:rsidRPr="003003C0">
              <w:rPr>
                <w:rFonts w:cs="Arial"/>
                <w:color w:val="000000"/>
                <w:sz w:val="15"/>
                <w:szCs w:val="15"/>
              </w:rPr>
              <w:t>0</w:t>
            </w:r>
            <w:r>
              <w:rPr>
                <w:rFonts w:cs="Arial"/>
                <w:color w:val="000000"/>
                <w:sz w:val="15"/>
                <w:szCs w:val="15"/>
              </w:rPr>
              <w:t>.</w:t>
            </w:r>
            <w:r w:rsidRPr="003003C0">
              <w:rPr>
                <w:rFonts w:cs="Arial"/>
                <w:color w:val="000000"/>
                <w:sz w:val="15"/>
                <w:szCs w:val="15"/>
              </w:rPr>
              <w:t>5</w:t>
            </w:r>
          </w:p>
        </w:tc>
        <w:tc>
          <w:tcPr>
            <w:tcW w:w="764" w:type="dxa"/>
            <w:noWrap/>
            <w:vAlign w:val="center"/>
            <w:hideMark/>
          </w:tcPr>
          <w:p w14:paraId="7EF34E06" w14:textId="77777777" w:rsidR="004F64EF" w:rsidRPr="003003C0" w:rsidRDefault="004F64EF" w:rsidP="00FD6B66">
            <w:pPr>
              <w:jc w:val="right"/>
              <w:rPr>
                <w:rFonts w:cs="Arial"/>
                <w:color w:val="000000"/>
                <w:sz w:val="15"/>
                <w:szCs w:val="15"/>
              </w:rPr>
            </w:pPr>
            <w:r w:rsidRPr="003003C0">
              <w:rPr>
                <w:rFonts w:cs="Arial"/>
                <w:color w:val="000000"/>
                <w:sz w:val="15"/>
                <w:szCs w:val="15"/>
              </w:rPr>
              <w:t>0</w:t>
            </w:r>
            <w:r>
              <w:rPr>
                <w:rFonts w:cs="Arial"/>
                <w:color w:val="000000"/>
                <w:sz w:val="15"/>
                <w:szCs w:val="15"/>
              </w:rPr>
              <w:t>.</w:t>
            </w:r>
            <w:r w:rsidRPr="003003C0">
              <w:rPr>
                <w:rFonts w:cs="Arial"/>
                <w:color w:val="000000"/>
                <w:sz w:val="15"/>
                <w:szCs w:val="15"/>
              </w:rPr>
              <w:t>5</w:t>
            </w:r>
          </w:p>
        </w:tc>
        <w:tc>
          <w:tcPr>
            <w:tcW w:w="764" w:type="dxa"/>
            <w:noWrap/>
            <w:vAlign w:val="center"/>
            <w:hideMark/>
          </w:tcPr>
          <w:p w14:paraId="57052AEC" w14:textId="77777777" w:rsidR="004F64EF" w:rsidRPr="003003C0" w:rsidRDefault="004F64EF" w:rsidP="00FD6B66">
            <w:pPr>
              <w:jc w:val="right"/>
              <w:rPr>
                <w:rFonts w:cs="Arial"/>
                <w:color w:val="000000"/>
                <w:sz w:val="15"/>
                <w:szCs w:val="15"/>
              </w:rPr>
            </w:pPr>
            <w:r w:rsidRPr="003003C0">
              <w:rPr>
                <w:rFonts w:cs="Arial"/>
                <w:color w:val="000000"/>
                <w:sz w:val="15"/>
                <w:szCs w:val="15"/>
              </w:rPr>
              <w:t>0</w:t>
            </w:r>
            <w:r>
              <w:rPr>
                <w:rFonts w:cs="Arial"/>
                <w:color w:val="000000"/>
                <w:sz w:val="15"/>
                <w:szCs w:val="15"/>
              </w:rPr>
              <w:t>.</w:t>
            </w:r>
            <w:r w:rsidRPr="003003C0">
              <w:rPr>
                <w:rFonts w:cs="Arial"/>
                <w:color w:val="000000"/>
                <w:sz w:val="15"/>
                <w:szCs w:val="15"/>
              </w:rPr>
              <w:t>4</w:t>
            </w:r>
          </w:p>
        </w:tc>
        <w:tc>
          <w:tcPr>
            <w:tcW w:w="764" w:type="dxa"/>
            <w:noWrap/>
            <w:vAlign w:val="center"/>
            <w:hideMark/>
          </w:tcPr>
          <w:p w14:paraId="7C4C8B8E" w14:textId="77777777" w:rsidR="004F64EF" w:rsidRPr="003003C0" w:rsidRDefault="004F64EF" w:rsidP="00FD6B66">
            <w:pPr>
              <w:jc w:val="right"/>
              <w:rPr>
                <w:rFonts w:cs="Arial"/>
                <w:color w:val="000000"/>
                <w:sz w:val="15"/>
                <w:szCs w:val="15"/>
              </w:rPr>
            </w:pPr>
            <w:r w:rsidRPr="003003C0">
              <w:rPr>
                <w:rFonts w:cs="Arial"/>
                <w:color w:val="000000"/>
                <w:sz w:val="15"/>
                <w:szCs w:val="15"/>
              </w:rPr>
              <w:t>0</w:t>
            </w:r>
            <w:r>
              <w:rPr>
                <w:rFonts w:cs="Arial"/>
                <w:color w:val="000000"/>
                <w:sz w:val="15"/>
                <w:szCs w:val="15"/>
              </w:rPr>
              <w:t>.</w:t>
            </w:r>
            <w:r w:rsidRPr="003003C0">
              <w:rPr>
                <w:rFonts w:cs="Arial"/>
                <w:color w:val="000000"/>
                <w:sz w:val="15"/>
                <w:szCs w:val="15"/>
              </w:rPr>
              <w:t>3</w:t>
            </w:r>
          </w:p>
        </w:tc>
        <w:tc>
          <w:tcPr>
            <w:tcW w:w="764" w:type="dxa"/>
            <w:noWrap/>
            <w:vAlign w:val="center"/>
            <w:hideMark/>
          </w:tcPr>
          <w:p w14:paraId="1F92AF0A" w14:textId="77777777" w:rsidR="004F64EF" w:rsidRPr="003003C0" w:rsidRDefault="004F64EF" w:rsidP="00FD6B66">
            <w:pPr>
              <w:jc w:val="right"/>
              <w:rPr>
                <w:rFonts w:cs="Arial"/>
                <w:color w:val="000000"/>
                <w:sz w:val="15"/>
                <w:szCs w:val="15"/>
              </w:rPr>
            </w:pPr>
            <w:r w:rsidRPr="003003C0">
              <w:rPr>
                <w:rFonts w:cs="Arial"/>
                <w:color w:val="000000"/>
                <w:sz w:val="15"/>
                <w:szCs w:val="15"/>
              </w:rPr>
              <w:t>0</w:t>
            </w:r>
            <w:r>
              <w:rPr>
                <w:rFonts w:cs="Arial"/>
                <w:color w:val="000000"/>
                <w:sz w:val="15"/>
                <w:szCs w:val="15"/>
              </w:rPr>
              <w:t>.</w:t>
            </w:r>
            <w:r w:rsidRPr="003003C0">
              <w:rPr>
                <w:rFonts w:cs="Arial"/>
                <w:color w:val="000000"/>
                <w:sz w:val="15"/>
                <w:szCs w:val="15"/>
              </w:rPr>
              <w:t>3</w:t>
            </w:r>
          </w:p>
        </w:tc>
        <w:tc>
          <w:tcPr>
            <w:tcW w:w="764" w:type="dxa"/>
            <w:noWrap/>
            <w:vAlign w:val="center"/>
            <w:hideMark/>
          </w:tcPr>
          <w:p w14:paraId="5951CE33" w14:textId="77777777" w:rsidR="004F64EF" w:rsidRPr="003003C0" w:rsidRDefault="004F64EF" w:rsidP="00FD6B66">
            <w:pPr>
              <w:jc w:val="right"/>
              <w:rPr>
                <w:rFonts w:cs="Arial"/>
                <w:color w:val="000000"/>
                <w:sz w:val="15"/>
                <w:szCs w:val="15"/>
              </w:rPr>
            </w:pPr>
            <w:r w:rsidRPr="003003C0">
              <w:rPr>
                <w:rFonts w:cs="Arial"/>
                <w:color w:val="000000"/>
                <w:sz w:val="15"/>
                <w:szCs w:val="15"/>
              </w:rPr>
              <w:t>0</w:t>
            </w:r>
            <w:r>
              <w:rPr>
                <w:rFonts w:cs="Arial"/>
                <w:color w:val="000000"/>
                <w:sz w:val="15"/>
                <w:szCs w:val="15"/>
              </w:rPr>
              <w:t>.</w:t>
            </w:r>
            <w:r w:rsidRPr="003003C0">
              <w:rPr>
                <w:rFonts w:cs="Arial"/>
                <w:color w:val="000000"/>
                <w:sz w:val="15"/>
                <w:szCs w:val="15"/>
              </w:rPr>
              <w:t>2</w:t>
            </w:r>
          </w:p>
        </w:tc>
        <w:tc>
          <w:tcPr>
            <w:tcW w:w="764" w:type="dxa"/>
            <w:noWrap/>
            <w:vAlign w:val="center"/>
            <w:hideMark/>
          </w:tcPr>
          <w:p w14:paraId="326063E1" w14:textId="77777777" w:rsidR="004F64EF" w:rsidRPr="003003C0" w:rsidRDefault="004F64EF" w:rsidP="00FD6B66">
            <w:pPr>
              <w:jc w:val="right"/>
              <w:rPr>
                <w:rFonts w:cs="Arial"/>
                <w:color w:val="000000"/>
                <w:sz w:val="15"/>
                <w:szCs w:val="15"/>
              </w:rPr>
            </w:pPr>
            <w:r w:rsidRPr="003003C0">
              <w:rPr>
                <w:rFonts w:cs="Arial"/>
                <w:color w:val="000000"/>
                <w:sz w:val="15"/>
                <w:szCs w:val="15"/>
              </w:rPr>
              <w:t>0</w:t>
            </w:r>
            <w:r>
              <w:rPr>
                <w:rFonts w:cs="Arial"/>
                <w:color w:val="000000"/>
                <w:sz w:val="15"/>
                <w:szCs w:val="15"/>
              </w:rPr>
              <w:t>.</w:t>
            </w:r>
            <w:r w:rsidRPr="003003C0">
              <w:rPr>
                <w:rFonts w:cs="Arial"/>
                <w:color w:val="000000"/>
                <w:sz w:val="15"/>
                <w:szCs w:val="15"/>
              </w:rPr>
              <w:t>1</w:t>
            </w:r>
          </w:p>
        </w:tc>
      </w:tr>
      <w:tr w:rsidR="004F64EF" w:rsidRPr="003003C0" w14:paraId="70F12804" w14:textId="77777777" w:rsidTr="00FD6B66">
        <w:trPr>
          <w:cnfStyle w:val="000000010000" w:firstRow="0" w:lastRow="0" w:firstColumn="0" w:lastColumn="0" w:oddVBand="0" w:evenVBand="0" w:oddHBand="0" w:evenHBand="1" w:firstRowFirstColumn="0" w:firstRowLastColumn="0" w:lastRowFirstColumn="0" w:lastRowLastColumn="0"/>
          <w:trHeight w:val="20"/>
        </w:trPr>
        <w:tc>
          <w:tcPr>
            <w:tcW w:w="3681" w:type="dxa"/>
            <w:noWrap/>
            <w:vAlign w:val="center"/>
            <w:hideMark/>
          </w:tcPr>
          <w:p w14:paraId="74D1D00B" w14:textId="77777777" w:rsidR="004F64EF" w:rsidRPr="003003C0" w:rsidRDefault="004F64EF" w:rsidP="00FD6B66">
            <w:pPr>
              <w:tabs>
                <w:tab w:val="left" w:pos="170"/>
              </w:tabs>
              <w:jc w:val="left"/>
              <w:rPr>
                <w:rFonts w:cs="Arial"/>
                <w:color w:val="000000"/>
                <w:sz w:val="15"/>
                <w:szCs w:val="15"/>
              </w:rPr>
            </w:pPr>
            <w:r w:rsidRPr="003003C0">
              <w:rPr>
                <w:rFonts w:cs="Arial"/>
                <w:color w:val="000000"/>
                <w:sz w:val="15"/>
                <w:szCs w:val="15"/>
              </w:rPr>
              <w:tab/>
              <w:t xml:space="preserve">02. </w:t>
            </w:r>
            <w:r w:rsidRPr="00807F3E">
              <w:rPr>
                <w:rFonts w:cs="Arial"/>
                <w:color w:val="000000"/>
                <w:sz w:val="15"/>
                <w:szCs w:val="15"/>
              </w:rPr>
              <w:t>Meat and edible meat offal</w:t>
            </w:r>
          </w:p>
        </w:tc>
        <w:tc>
          <w:tcPr>
            <w:tcW w:w="764" w:type="dxa"/>
            <w:noWrap/>
            <w:vAlign w:val="center"/>
            <w:hideMark/>
          </w:tcPr>
          <w:p w14:paraId="30272B69" w14:textId="77777777" w:rsidR="004F64EF" w:rsidRPr="003003C0" w:rsidRDefault="004F64EF" w:rsidP="00FD6B66">
            <w:pPr>
              <w:jc w:val="right"/>
              <w:rPr>
                <w:rFonts w:cs="Arial"/>
                <w:color w:val="000000"/>
                <w:sz w:val="15"/>
                <w:szCs w:val="15"/>
              </w:rPr>
            </w:pPr>
            <w:r w:rsidRPr="003003C0">
              <w:rPr>
                <w:rFonts w:cs="Arial"/>
                <w:color w:val="000000"/>
                <w:sz w:val="15"/>
                <w:szCs w:val="15"/>
              </w:rPr>
              <w:t>0</w:t>
            </w:r>
            <w:r>
              <w:rPr>
                <w:rFonts w:cs="Arial"/>
                <w:color w:val="000000"/>
                <w:sz w:val="15"/>
                <w:szCs w:val="15"/>
              </w:rPr>
              <w:t>.</w:t>
            </w:r>
            <w:r w:rsidRPr="003003C0">
              <w:rPr>
                <w:rFonts w:cs="Arial"/>
                <w:color w:val="000000"/>
                <w:sz w:val="15"/>
                <w:szCs w:val="15"/>
              </w:rPr>
              <w:t>4</w:t>
            </w:r>
          </w:p>
        </w:tc>
        <w:tc>
          <w:tcPr>
            <w:tcW w:w="764" w:type="dxa"/>
            <w:noWrap/>
            <w:vAlign w:val="center"/>
            <w:hideMark/>
          </w:tcPr>
          <w:p w14:paraId="69B926E5" w14:textId="77777777" w:rsidR="004F64EF" w:rsidRPr="003003C0" w:rsidRDefault="004F64EF" w:rsidP="00FD6B66">
            <w:pPr>
              <w:jc w:val="right"/>
              <w:rPr>
                <w:rFonts w:cs="Arial"/>
                <w:color w:val="000000"/>
                <w:sz w:val="15"/>
                <w:szCs w:val="15"/>
              </w:rPr>
            </w:pPr>
            <w:r w:rsidRPr="003003C0">
              <w:rPr>
                <w:rFonts w:cs="Arial"/>
                <w:color w:val="000000"/>
                <w:sz w:val="15"/>
                <w:szCs w:val="15"/>
              </w:rPr>
              <w:t>0</w:t>
            </w:r>
            <w:r>
              <w:rPr>
                <w:rFonts w:cs="Arial"/>
                <w:color w:val="000000"/>
                <w:sz w:val="15"/>
                <w:szCs w:val="15"/>
              </w:rPr>
              <w:t>.</w:t>
            </w:r>
            <w:r w:rsidRPr="003003C0">
              <w:rPr>
                <w:rFonts w:cs="Arial"/>
                <w:color w:val="000000"/>
                <w:sz w:val="15"/>
                <w:szCs w:val="15"/>
              </w:rPr>
              <w:t>4</w:t>
            </w:r>
          </w:p>
        </w:tc>
        <w:tc>
          <w:tcPr>
            <w:tcW w:w="764" w:type="dxa"/>
            <w:noWrap/>
            <w:vAlign w:val="center"/>
            <w:hideMark/>
          </w:tcPr>
          <w:p w14:paraId="7F161187" w14:textId="77777777" w:rsidR="004F64EF" w:rsidRPr="003003C0" w:rsidRDefault="004F64EF" w:rsidP="00FD6B66">
            <w:pPr>
              <w:jc w:val="right"/>
              <w:rPr>
                <w:rFonts w:cs="Arial"/>
                <w:color w:val="000000"/>
                <w:sz w:val="15"/>
                <w:szCs w:val="15"/>
              </w:rPr>
            </w:pPr>
            <w:r w:rsidRPr="003003C0">
              <w:rPr>
                <w:rFonts w:cs="Arial"/>
                <w:color w:val="000000"/>
                <w:sz w:val="15"/>
                <w:szCs w:val="15"/>
              </w:rPr>
              <w:t>0</w:t>
            </w:r>
            <w:r>
              <w:rPr>
                <w:rFonts w:cs="Arial"/>
                <w:color w:val="000000"/>
                <w:sz w:val="15"/>
                <w:szCs w:val="15"/>
              </w:rPr>
              <w:t>.</w:t>
            </w:r>
            <w:r w:rsidRPr="003003C0">
              <w:rPr>
                <w:rFonts w:cs="Arial"/>
                <w:color w:val="000000"/>
                <w:sz w:val="15"/>
                <w:szCs w:val="15"/>
              </w:rPr>
              <w:t>2</w:t>
            </w:r>
          </w:p>
        </w:tc>
        <w:tc>
          <w:tcPr>
            <w:tcW w:w="764" w:type="dxa"/>
            <w:noWrap/>
            <w:vAlign w:val="center"/>
            <w:hideMark/>
          </w:tcPr>
          <w:p w14:paraId="0CAB6F4B" w14:textId="77777777" w:rsidR="004F64EF" w:rsidRPr="003003C0" w:rsidRDefault="004F64EF" w:rsidP="00FD6B66">
            <w:pPr>
              <w:jc w:val="right"/>
              <w:rPr>
                <w:rFonts w:cs="Arial"/>
                <w:color w:val="000000"/>
                <w:sz w:val="15"/>
                <w:szCs w:val="15"/>
              </w:rPr>
            </w:pPr>
            <w:r w:rsidRPr="003003C0">
              <w:rPr>
                <w:rFonts w:cs="Arial"/>
                <w:color w:val="000000"/>
                <w:sz w:val="15"/>
                <w:szCs w:val="15"/>
              </w:rPr>
              <w:t>0</w:t>
            </w:r>
            <w:r>
              <w:rPr>
                <w:rFonts w:cs="Arial"/>
                <w:color w:val="000000"/>
                <w:sz w:val="15"/>
                <w:szCs w:val="15"/>
              </w:rPr>
              <w:t>.</w:t>
            </w:r>
            <w:r w:rsidRPr="003003C0">
              <w:rPr>
                <w:rFonts w:cs="Arial"/>
                <w:color w:val="000000"/>
                <w:sz w:val="15"/>
                <w:szCs w:val="15"/>
              </w:rPr>
              <w:t>4</w:t>
            </w:r>
          </w:p>
        </w:tc>
        <w:tc>
          <w:tcPr>
            <w:tcW w:w="764" w:type="dxa"/>
            <w:noWrap/>
            <w:vAlign w:val="center"/>
            <w:hideMark/>
          </w:tcPr>
          <w:p w14:paraId="27D93E7B" w14:textId="77777777" w:rsidR="004F64EF" w:rsidRPr="003003C0" w:rsidRDefault="004F64EF" w:rsidP="00FD6B66">
            <w:pPr>
              <w:jc w:val="right"/>
              <w:rPr>
                <w:rFonts w:cs="Arial"/>
                <w:color w:val="000000"/>
                <w:sz w:val="15"/>
                <w:szCs w:val="15"/>
              </w:rPr>
            </w:pPr>
            <w:r w:rsidRPr="003003C0">
              <w:rPr>
                <w:rFonts w:cs="Arial"/>
                <w:color w:val="000000"/>
                <w:sz w:val="15"/>
                <w:szCs w:val="15"/>
              </w:rPr>
              <w:t>0</w:t>
            </w:r>
            <w:r>
              <w:rPr>
                <w:rFonts w:cs="Arial"/>
                <w:color w:val="000000"/>
                <w:sz w:val="15"/>
                <w:szCs w:val="15"/>
              </w:rPr>
              <w:t>.</w:t>
            </w:r>
            <w:r w:rsidRPr="003003C0">
              <w:rPr>
                <w:rFonts w:cs="Arial"/>
                <w:color w:val="000000"/>
                <w:sz w:val="15"/>
                <w:szCs w:val="15"/>
              </w:rPr>
              <w:t>3</w:t>
            </w:r>
          </w:p>
        </w:tc>
        <w:tc>
          <w:tcPr>
            <w:tcW w:w="764" w:type="dxa"/>
            <w:noWrap/>
            <w:vAlign w:val="center"/>
            <w:hideMark/>
          </w:tcPr>
          <w:p w14:paraId="543EAAEE" w14:textId="77777777" w:rsidR="004F64EF" w:rsidRPr="003003C0" w:rsidRDefault="004F64EF" w:rsidP="00FD6B66">
            <w:pPr>
              <w:jc w:val="right"/>
              <w:rPr>
                <w:rFonts w:cs="Arial"/>
                <w:color w:val="000000"/>
                <w:sz w:val="15"/>
                <w:szCs w:val="15"/>
              </w:rPr>
            </w:pPr>
            <w:r w:rsidRPr="003003C0">
              <w:rPr>
                <w:rFonts w:cs="Arial"/>
                <w:color w:val="000000"/>
                <w:sz w:val="15"/>
                <w:szCs w:val="15"/>
              </w:rPr>
              <w:t>0</w:t>
            </w:r>
            <w:r>
              <w:rPr>
                <w:rFonts w:cs="Arial"/>
                <w:color w:val="000000"/>
                <w:sz w:val="15"/>
                <w:szCs w:val="15"/>
              </w:rPr>
              <w:t>.</w:t>
            </w:r>
            <w:r w:rsidRPr="003003C0">
              <w:rPr>
                <w:rFonts w:cs="Arial"/>
                <w:color w:val="000000"/>
                <w:sz w:val="15"/>
                <w:szCs w:val="15"/>
              </w:rPr>
              <w:t>1</w:t>
            </w:r>
          </w:p>
        </w:tc>
        <w:tc>
          <w:tcPr>
            <w:tcW w:w="764" w:type="dxa"/>
            <w:noWrap/>
            <w:vAlign w:val="center"/>
            <w:hideMark/>
          </w:tcPr>
          <w:p w14:paraId="033059C9" w14:textId="77777777" w:rsidR="004F64EF" w:rsidRPr="003003C0" w:rsidRDefault="004F64EF" w:rsidP="00FD6B66">
            <w:pPr>
              <w:jc w:val="right"/>
              <w:rPr>
                <w:rFonts w:cs="Arial"/>
                <w:color w:val="000000"/>
                <w:sz w:val="15"/>
                <w:szCs w:val="15"/>
              </w:rPr>
            </w:pPr>
            <w:r w:rsidRPr="003003C0">
              <w:rPr>
                <w:rFonts w:cs="Arial"/>
                <w:color w:val="000000"/>
                <w:sz w:val="15"/>
                <w:szCs w:val="15"/>
              </w:rPr>
              <w:t>0</w:t>
            </w:r>
            <w:r>
              <w:rPr>
                <w:rFonts w:cs="Arial"/>
                <w:color w:val="000000"/>
                <w:sz w:val="15"/>
                <w:szCs w:val="15"/>
              </w:rPr>
              <w:t>.</w:t>
            </w:r>
            <w:r w:rsidRPr="003003C0">
              <w:rPr>
                <w:rFonts w:cs="Arial"/>
                <w:color w:val="000000"/>
                <w:sz w:val="15"/>
                <w:szCs w:val="15"/>
              </w:rPr>
              <w:t>1</w:t>
            </w:r>
          </w:p>
        </w:tc>
      </w:tr>
      <w:tr w:rsidR="004F64EF" w:rsidRPr="003003C0" w14:paraId="15EABC91" w14:textId="77777777" w:rsidTr="00FD6B66">
        <w:trPr>
          <w:trHeight w:val="20"/>
        </w:trPr>
        <w:tc>
          <w:tcPr>
            <w:tcW w:w="3681" w:type="dxa"/>
            <w:noWrap/>
            <w:vAlign w:val="center"/>
            <w:hideMark/>
          </w:tcPr>
          <w:p w14:paraId="6E9923E7" w14:textId="77777777" w:rsidR="004F64EF" w:rsidRPr="003003C0" w:rsidRDefault="004F64EF" w:rsidP="00FD6B66">
            <w:pPr>
              <w:tabs>
                <w:tab w:val="left" w:pos="170"/>
              </w:tabs>
              <w:jc w:val="left"/>
              <w:rPr>
                <w:rFonts w:cs="Arial"/>
                <w:color w:val="000000"/>
                <w:sz w:val="15"/>
                <w:szCs w:val="15"/>
              </w:rPr>
            </w:pPr>
            <w:r w:rsidRPr="003003C0">
              <w:rPr>
                <w:rFonts w:cs="Arial"/>
                <w:color w:val="000000"/>
                <w:sz w:val="15"/>
                <w:szCs w:val="15"/>
              </w:rPr>
              <w:t xml:space="preserve">2 </w:t>
            </w:r>
            <w:r>
              <w:rPr>
                <w:rFonts w:cs="Arial"/>
                <w:color w:val="000000"/>
                <w:sz w:val="15"/>
                <w:szCs w:val="15"/>
              </w:rPr>
              <w:t>–</w:t>
            </w:r>
            <w:r w:rsidRPr="003003C0">
              <w:rPr>
                <w:rFonts w:cs="Arial"/>
                <w:color w:val="000000"/>
                <w:sz w:val="15"/>
                <w:szCs w:val="15"/>
              </w:rPr>
              <w:t xml:space="preserve"> </w:t>
            </w:r>
            <w:r>
              <w:rPr>
                <w:rFonts w:cs="Arial"/>
                <w:color w:val="000000"/>
                <w:sz w:val="15"/>
                <w:szCs w:val="15"/>
              </w:rPr>
              <w:t>Vegetable products</w:t>
            </w:r>
            <w:r w:rsidRPr="003003C0">
              <w:rPr>
                <w:rFonts w:cs="Arial"/>
                <w:color w:val="000000"/>
                <w:sz w:val="15"/>
                <w:szCs w:val="15"/>
              </w:rPr>
              <w:t xml:space="preserve"> </w:t>
            </w:r>
          </w:p>
        </w:tc>
        <w:tc>
          <w:tcPr>
            <w:tcW w:w="764" w:type="dxa"/>
            <w:noWrap/>
            <w:vAlign w:val="center"/>
            <w:hideMark/>
          </w:tcPr>
          <w:p w14:paraId="04034ED5" w14:textId="77777777" w:rsidR="004F64EF" w:rsidRPr="003003C0" w:rsidRDefault="004F64EF" w:rsidP="00FD6B66">
            <w:pPr>
              <w:jc w:val="right"/>
              <w:rPr>
                <w:rFonts w:cs="Arial"/>
                <w:color w:val="000000"/>
                <w:sz w:val="15"/>
                <w:szCs w:val="15"/>
              </w:rPr>
            </w:pPr>
            <w:r w:rsidRPr="003003C0">
              <w:rPr>
                <w:rFonts w:cs="Arial"/>
                <w:color w:val="000000"/>
                <w:sz w:val="15"/>
                <w:szCs w:val="15"/>
              </w:rPr>
              <w:t>12</w:t>
            </w:r>
            <w:r>
              <w:rPr>
                <w:rFonts w:cs="Arial"/>
                <w:color w:val="000000"/>
                <w:sz w:val="15"/>
                <w:szCs w:val="15"/>
              </w:rPr>
              <w:t>.</w:t>
            </w:r>
            <w:r w:rsidRPr="003003C0">
              <w:rPr>
                <w:rFonts w:cs="Arial"/>
                <w:color w:val="000000"/>
                <w:sz w:val="15"/>
                <w:szCs w:val="15"/>
              </w:rPr>
              <w:t>9</w:t>
            </w:r>
          </w:p>
        </w:tc>
        <w:tc>
          <w:tcPr>
            <w:tcW w:w="764" w:type="dxa"/>
            <w:noWrap/>
            <w:vAlign w:val="center"/>
            <w:hideMark/>
          </w:tcPr>
          <w:p w14:paraId="0DF3E2E0" w14:textId="77777777" w:rsidR="004F64EF" w:rsidRPr="003003C0" w:rsidRDefault="004F64EF" w:rsidP="00FD6B66">
            <w:pPr>
              <w:jc w:val="right"/>
              <w:rPr>
                <w:rFonts w:cs="Arial"/>
                <w:color w:val="000000"/>
                <w:sz w:val="15"/>
                <w:szCs w:val="15"/>
              </w:rPr>
            </w:pPr>
            <w:r w:rsidRPr="003003C0">
              <w:rPr>
                <w:rFonts w:cs="Arial"/>
                <w:color w:val="000000"/>
                <w:sz w:val="15"/>
                <w:szCs w:val="15"/>
              </w:rPr>
              <w:t>13</w:t>
            </w:r>
            <w:r>
              <w:rPr>
                <w:rFonts w:cs="Arial"/>
                <w:color w:val="000000"/>
                <w:sz w:val="15"/>
                <w:szCs w:val="15"/>
              </w:rPr>
              <w:t>.</w:t>
            </w:r>
            <w:r w:rsidRPr="003003C0">
              <w:rPr>
                <w:rFonts w:cs="Arial"/>
                <w:color w:val="000000"/>
                <w:sz w:val="15"/>
                <w:szCs w:val="15"/>
              </w:rPr>
              <w:t>8</w:t>
            </w:r>
          </w:p>
        </w:tc>
        <w:tc>
          <w:tcPr>
            <w:tcW w:w="764" w:type="dxa"/>
            <w:noWrap/>
            <w:vAlign w:val="center"/>
            <w:hideMark/>
          </w:tcPr>
          <w:p w14:paraId="60536644" w14:textId="77777777" w:rsidR="004F64EF" w:rsidRPr="003003C0" w:rsidRDefault="004F64EF" w:rsidP="00FD6B66">
            <w:pPr>
              <w:jc w:val="right"/>
              <w:rPr>
                <w:rFonts w:cs="Arial"/>
                <w:color w:val="000000"/>
                <w:sz w:val="15"/>
                <w:szCs w:val="15"/>
              </w:rPr>
            </w:pPr>
            <w:r w:rsidRPr="003003C0">
              <w:rPr>
                <w:rFonts w:cs="Arial"/>
                <w:color w:val="000000"/>
                <w:sz w:val="15"/>
                <w:szCs w:val="15"/>
              </w:rPr>
              <w:t>10</w:t>
            </w:r>
            <w:r>
              <w:rPr>
                <w:rFonts w:cs="Arial"/>
                <w:color w:val="000000"/>
                <w:sz w:val="15"/>
                <w:szCs w:val="15"/>
              </w:rPr>
              <w:t>.</w:t>
            </w:r>
            <w:r w:rsidRPr="003003C0">
              <w:rPr>
                <w:rFonts w:cs="Arial"/>
                <w:color w:val="000000"/>
                <w:sz w:val="15"/>
                <w:szCs w:val="15"/>
              </w:rPr>
              <w:t>5</w:t>
            </w:r>
          </w:p>
        </w:tc>
        <w:tc>
          <w:tcPr>
            <w:tcW w:w="764" w:type="dxa"/>
            <w:noWrap/>
            <w:vAlign w:val="center"/>
            <w:hideMark/>
          </w:tcPr>
          <w:p w14:paraId="7A873610" w14:textId="77777777" w:rsidR="004F64EF" w:rsidRPr="003003C0" w:rsidRDefault="004F64EF" w:rsidP="00FD6B66">
            <w:pPr>
              <w:jc w:val="right"/>
              <w:rPr>
                <w:rFonts w:cs="Arial"/>
                <w:color w:val="000000"/>
                <w:sz w:val="15"/>
                <w:szCs w:val="15"/>
              </w:rPr>
            </w:pPr>
            <w:r w:rsidRPr="003003C0">
              <w:rPr>
                <w:rFonts w:cs="Arial"/>
                <w:color w:val="000000"/>
                <w:sz w:val="15"/>
                <w:szCs w:val="15"/>
              </w:rPr>
              <w:t>10</w:t>
            </w:r>
            <w:r>
              <w:rPr>
                <w:rFonts w:cs="Arial"/>
                <w:color w:val="000000"/>
                <w:sz w:val="15"/>
                <w:szCs w:val="15"/>
              </w:rPr>
              <w:t>.</w:t>
            </w:r>
            <w:r w:rsidRPr="003003C0">
              <w:rPr>
                <w:rFonts w:cs="Arial"/>
                <w:color w:val="000000"/>
                <w:sz w:val="15"/>
                <w:szCs w:val="15"/>
              </w:rPr>
              <w:t>6</w:t>
            </w:r>
          </w:p>
        </w:tc>
        <w:tc>
          <w:tcPr>
            <w:tcW w:w="764" w:type="dxa"/>
            <w:noWrap/>
            <w:vAlign w:val="center"/>
            <w:hideMark/>
          </w:tcPr>
          <w:p w14:paraId="3031EB37" w14:textId="77777777" w:rsidR="004F64EF" w:rsidRPr="003003C0" w:rsidRDefault="004F64EF" w:rsidP="00FD6B66">
            <w:pPr>
              <w:jc w:val="right"/>
              <w:rPr>
                <w:rFonts w:cs="Arial"/>
                <w:color w:val="000000"/>
                <w:sz w:val="15"/>
                <w:szCs w:val="15"/>
              </w:rPr>
            </w:pPr>
            <w:r w:rsidRPr="003003C0">
              <w:rPr>
                <w:rFonts w:cs="Arial"/>
                <w:color w:val="000000"/>
                <w:sz w:val="15"/>
                <w:szCs w:val="15"/>
              </w:rPr>
              <w:t>11</w:t>
            </w:r>
            <w:r>
              <w:rPr>
                <w:rFonts w:cs="Arial"/>
                <w:color w:val="000000"/>
                <w:sz w:val="15"/>
                <w:szCs w:val="15"/>
              </w:rPr>
              <w:t>.</w:t>
            </w:r>
            <w:r w:rsidRPr="003003C0">
              <w:rPr>
                <w:rFonts w:cs="Arial"/>
                <w:color w:val="000000"/>
                <w:sz w:val="15"/>
                <w:szCs w:val="15"/>
              </w:rPr>
              <w:t>1</w:t>
            </w:r>
          </w:p>
        </w:tc>
        <w:tc>
          <w:tcPr>
            <w:tcW w:w="764" w:type="dxa"/>
            <w:noWrap/>
            <w:vAlign w:val="center"/>
            <w:hideMark/>
          </w:tcPr>
          <w:p w14:paraId="061969F0" w14:textId="77777777" w:rsidR="004F64EF" w:rsidRPr="003003C0" w:rsidRDefault="004F64EF" w:rsidP="00FD6B66">
            <w:pPr>
              <w:jc w:val="right"/>
              <w:rPr>
                <w:rFonts w:cs="Arial"/>
                <w:color w:val="000000"/>
                <w:sz w:val="15"/>
                <w:szCs w:val="15"/>
              </w:rPr>
            </w:pPr>
            <w:r w:rsidRPr="003003C0">
              <w:rPr>
                <w:rFonts w:cs="Arial"/>
                <w:color w:val="000000"/>
                <w:sz w:val="15"/>
                <w:szCs w:val="15"/>
              </w:rPr>
              <w:t>10</w:t>
            </w:r>
            <w:r>
              <w:rPr>
                <w:rFonts w:cs="Arial"/>
                <w:color w:val="000000"/>
                <w:sz w:val="15"/>
                <w:szCs w:val="15"/>
              </w:rPr>
              <w:t>.</w:t>
            </w:r>
            <w:r w:rsidRPr="003003C0">
              <w:rPr>
                <w:rFonts w:cs="Arial"/>
                <w:color w:val="000000"/>
                <w:sz w:val="15"/>
                <w:szCs w:val="15"/>
              </w:rPr>
              <w:t>7</w:t>
            </w:r>
          </w:p>
        </w:tc>
        <w:tc>
          <w:tcPr>
            <w:tcW w:w="764" w:type="dxa"/>
            <w:noWrap/>
            <w:vAlign w:val="center"/>
            <w:hideMark/>
          </w:tcPr>
          <w:p w14:paraId="1801BE35" w14:textId="77777777" w:rsidR="004F64EF" w:rsidRPr="003003C0" w:rsidRDefault="004F64EF" w:rsidP="00FD6B66">
            <w:pPr>
              <w:jc w:val="right"/>
              <w:rPr>
                <w:rFonts w:cs="Arial"/>
                <w:color w:val="000000"/>
                <w:sz w:val="15"/>
                <w:szCs w:val="15"/>
              </w:rPr>
            </w:pPr>
            <w:r w:rsidRPr="003003C0">
              <w:rPr>
                <w:rFonts w:cs="Arial"/>
                <w:color w:val="000000"/>
                <w:sz w:val="15"/>
                <w:szCs w:val="15"/>
              </w:rPr>
              <w:t>9</w:t>
            </w:r>
            <w:r>
              <w:rPr>
                <w:rFonts w:cs="Arial"/>
                <w:color w:val="000000"/>
                <w:sz w:val="15"/>
                <w:szCs w:val="15"/>
              </w:rPr>
              <w:t>.</w:t>
            </w:r>
            <w:r w:rsidRPr="003003C0">
              <w:rPr>
                <w:rFonts w:cs="Arial"/>
                <w:color w:val="000000"/>
                <w:sz w:val="15"/>
                <w:szCs w:val="15"/>
              </w:rPr>
              <w:t>2</w:t>
            </w:r>
          </w:p>
        </w:tc>
      </w:tr>
      <w:tr w:rsidR="004F64EF" w:rsidRPr="003003C0" w14:paraId="12B3D323" w14:textId="77777777" w:rsidTr="00FD6B66">
        <w:trPr>
          <w:cnfStyle w:val="000000010000" w:firstRow="0" w:lastRow="0" w:firstColumn="0" w:lastColumn="0" w:oddVBand="0" w:evenVBand="0" w:oddHBand="0" w:evenHBand="1" w:firstRowFirstColumn="0" w:firstRowLastColumn="0" w:lastRowFirstColumn="0" w:lastRowLastColumn="0"/>
          <w:trHeight w:val="20"/>
        </w:trPr>
        <w:tc>
          <w:tcPr>
            <w:tcW w:w="3681" w:type="dxa"/>
            <w:noWrap/>
            <w:vAlign w:val="center"/>
            <w:hideMark/>
          </w:tcPr>
          <w:p w14:paraId="6950BAD3" w14:textId="77777777" w:rsidR="004F64EF" w:rsidRPr="003003C0" w:rsidRDefault="004F64EF" w:rsidP="003E0CD7">
            <w:pPr>
              <w:tabs>
                <w:tab w:val="left" w:pos="170"/>
              </w:tabs>
              <w:ind w:left="170" w:hanging="170"/>
              <w:jc w:val="left"/>
              <w:rPr>
                <w:rFonts w:cs="Arial"/>
                <w:color w:val="000000"/>
                <w:sz w:val="15"/>
                <w:szCs w:val="15"/>
              </w:rPr>
            </w:pPr>
            <w:r w:rsidRPr="003003C0">
              <w:rPr>
                <w:rFonts w:cs="Arial"/>
                <w:color w:val="000000"/>
                <w:sz w:val="15"/>
                <w:szCs w:val="15"/>
              </w:rPr>
              <w:tab/>
              <w:t xml:space="preserve">08. </w:t>
            </w:r>
            <w:r w:rsidRPr="00807F3E">
              <w:rPr>
                <w:rFonts w:cs="Arial"/>
                <w:color w:val="000000"/>
                <w:sz w:val="15"/>
                <w:szCs w:val="15"/>
              </w:rPr>
              <w:t>Edible fruit and nuts; peel of citrus fruit or melons</w:t>
            </w:r>
          </w:p>
        </w:tc>
        <w:tc>
          <w:tcPr>
            <w:tcW w:w="764" w:type="dxa"/>
            <w:noWrap/>
            <w:vAlign w:val="center"/>
            <w:hideMark/>
          </w:tcPr>
          <w:p w14:paraId="591C1AAD" w14:textId="77777777" w:rsidR="004F64EF" w:rsidRPr="003003C0" w:rsidRDefault="004F64EF" w:rsidP="00FD6B66">
            <w:pPr>
              <w:jc w:val="right"/>
              <w:rPr>
                <w:rFonts w:cs="Arial"/>
                <w:color w:val="000000"/>
                <w:sz w:val="15"/>
                <w:szCs w:val="15"/>
              </w:rPr>
            </w:pPr>
            <w:r w:rsidRPr="003003C0">
              <w:rPr>
                <w:rFonts w:cs="Arial"/>
                <w:color w:val="000000"/>
                <w:sz w:val="15"/>
                <w:szCs w:val="15"/>
              </w:rPr>
              <w:t>8</w:t>
            </w:r>
            <w:r>
              <w:rPr>
                <w:rFonts w:cs="Arial"/>
                <w:color w:val="000000"/>
                <w:sz w:val="15"/>
                <w:szCs w:val="15"/>
              </w:rPr>
              <w:t>.</w:t>
            </w:r>
            <w:r w:rsidRPr="003003C0">
              <w:rPr>
                <w:rFonts w:cs="Arial"/>
                <w:color w:val="000000"/>
                <w:sz w:val="15"/>
                <w:szCs w:val="15"/>
              </w:rPr>
              <w:t>7</w:t>
            </w:r>
          </w:p>
        </w:tc>
        <w:tc>
          <w:tcPr>
            <w:tcW w:w="764" w:type="dxa"/>
            <w:noWrap/>
            <w:vAlign w:val="center"/>
            <w:hideMark/>
          </w:tcPr>
          <w:p w14:paraId="26383983" w14:textId="77777777" w:rsidR="004F64EF" w:rsidRPr="003003C0" w:rsidRDefault="004F64EF" w:rsidP="00FD6B66">
            <w:pPr>
              <w:jc w:val="right"/>
              <w:rPr>
                <w:rFonts w:cs="Arial"/>
                <w:color w:val="000000"/>
                <w:sz w:val="15"/>
                <w:szCs w:val="15"/>
              </w:rPr>
            </w:pPr>
            <w:r w:rsidRPr="003003C0">
              <w:rPr>
                <w:rFonts w:cs="Arial"/>
                <w:color w:val="000000"/>
                <w:sz w:val="15"/>
                <w:szCs w:val="15"/>
              </w:rPr>
              <w:t>10</w:t>
            </w:r>
            <w:r>
              <w:rPr>
                <w:rFonts w:cs="Arial"/>
                <w:color w:val="000000"/>
                <w:sz w:val="15"/>
                <w:szCs w:val="15"/>
              </w:rPr>
              <w:t>.</w:t>
            </w:r>
            <w:r w:rsidRPr="003003C0">
              <w:rPr>
                <w:rFonts w:cs="Arial"/>
                <w:color w:val="000000"/>
                <w:sz w:val="15"/>
                <w:szCs w:val="15"/>
              </w:rPr>
              <w:t>1</w:t>
            </w:r>
          </w:p>
        </w:tc>
        <w:tc>
          <w:tcPr>
            <w:tcW w:w="764" w:type="dxa"/>
            <w:noWrap/>
            <w:vAlign w:val="center"/>
            <w:hideMark/>
          </w:tcPr>
          <w:p w14:paraId="56032830" w14:textId="77777777" w:rsidR="004F64EF" w:rsidRPr="003003C0" w:rsidRDefault="004F64EF" w:rsidP="00FD6B66">
            <w:pPr>
              <w:jc w:val="right"/>
              <w:rPr>
                <w:rFonts w:cs="Arial"/>
                <w:color w:val="000000"/>
                <w:sz w:val="15"/>
                <w:szCs w:val="15"/>
              </w:rPr>
            </w:pPr>
            <w:r w:rsidRPr="003003C0">
              <w:rPr>
                <w:rFonts w:cs="Arial"/>
                <w:color w:val="000000"/>
                <w:sz w:val="15"/>
                <w:szCs w:val="15"/>
              </w:rPr>
              <w:t>7</w:t>
            </w:r>
            <w:r>
              <w:rPr>
                <w:rFonts w:cs="Arial"/>
                <w:color w:val="000000"/>
                <w:sz w:val="15"/>
                <w:szCs w:val="15"/>
              </w:rPr>
              <w:t>.</w:t>
            </w:r>
            <w:r w:rsidRPr="003003C0">
              <w:rPr>
                <w:rFonts w:cs="Arial"/>
                <w:color w:val="000000"/>
                <w:sz w:val="15"/>
                <w:szCs w:val="15"/>
              </w:rPr>
              <w:t>4</w:t>
            </w:r>
          </w:p>
        </w:tc>
        <w:tc>
          <w:tcPr>
            <w:tcW w:w="764" w:type="dxa"/>
            <w:noWrap/>
            <w:vAlign w:val="center"/>
            <w:hideMark/>
          </w:tcPr>
          <w:p w14:paraId="52298BDC" w14:textId="77777777" w:rsidR="004F64EF" w:rsidRPr="003003C0" w:rsidRDefault="004F64EF" w:rsidP="00FD6B66">
            <w:pPr>
              <w:jc w:val="right"/>
              <w:rPr>
                <w:rFonts w:cs="Arial"/>
                <w:color w:val="000000"/>
                <w:sz w:val="15"/>
                <w:szCs w:val="15"/>
              </w:rPr>
            </w:pPr>
            <w:r w:rsidRPr="003003C0">
              <w:rPr>
                <w:rFonts w:cs="Arial"/>
                <w:color w:val="000000"/>
                <w:sz w:val="15"/>
                <w:szCs w:val="15"/>
              </w:rPr>
              <w:t>7</w:t>
            </w:r>
            <w:r>
              <w:rPr>
                <w:rFonts w:cs="Arial"/>
                <w:color w:val="000000"/>
                <w:sz w:val="15"/>
                <w:szCs w:val="15"/>
              </w:rPr>
              <w:t>.</w:t>
            </w:r>
            <w:r w:rsidRPr="003003C0">
              <w:rPr>
                <w:rFonts w:cs="Arial"/>
                <w:color w:val="000000"/>
                <w:sz w:val="15"/>
                <w:szCs w:val="15"/>
              </w:rPr>
              <w:t>2</w:t>
            </w:r>
          </w:p>
        </w:tc>
        <w:tc>
          <w:tcPr>
            <w:tcW w:w="764" w:type="dxa"/>
            <w:noWrap/>
            <w:vAlign w:val="center"/>
            <w:hideMark/>
          </w:tcPr>
          <w:p w14:paraId="1EE74945" w14:textId="77777777" w:rsidR="004F64EF" w:rsidRPr="003003C0" w:rsidRDefault="004F64EF" w:rsidP="00FD6B66">
            <w:pPr>
              <w:jc w:val="right"/>
              <w:rPr>
                <w:rFonts w:cs="Arial"/>
                <w:color w:val="000000"/>
                <w:sz w:val="15"/>
                <w:szCs w:val="15"/>
              </w:rPr>
            </w:pPr>
            <w:r w:rsidRPr="003003C0">
              <w:rPr>
                <w:rFonts w:cs="Arial"/>
                <w:color w:val="000000"/>
                <w:sz w:val="15"/>
                <w:szCs w:val="15"/>
              </w:rPr>
              <w:t>7</w:t>
            </w:r>
            <w:r>
              <w:rPr>
                <w:rFonts w:cs="Arial"/>
                <w:color w:val="000000"/>
                <w:sz w:val="15"/>
                <w:szCs w:val="15"/>
              </w:rPr>
              <w:t>.</w:t>
            </w:r>
            <w:r w:rsidRPr="003003C0">
              <w:rPr>
                <w:rFonts w:cs="Arial"/>
                <w:color w:val="000000"/>
                <w:sz w:val="15"/>
                <w:szCs w:val="15"/>
              </w:rPr>
              <w:t>5</w:t>
            </w:r>
          </w:p>
        </w:tc>
        <w:tc>
          <w:tcPr>
            <w:tcW w:w="764" w:type="dxa"/>
            <w:noWrap/>
            <w:vAlign w:val="center"/>
            <w:hideMark/>
          </w:tcPr>
          <w:p w14:paraId="29F2A772" w14:textId="77777777" w:rsidR="004F64EF" w:rsidRPr="003003C0" w:rsidRDefault="004F64EF" w:rsidP="00FD6B66">
            <w:pPr>
              <w:jc w:val="right"/>
              <w:rPr>
                <w:rFonts w:cs="Arial"/>
                <w:color w:val="000000"/>
                <w:sz w:val="15"/>
                <w:szCs w:val="15"/>
              </w:rPr>
            </w:pPr>
            <w:r w:rsidRPr="003003C0">
              <w:rPr>
                <w:rFonts w:cs="Arial"/>
                <w:color w:val="000000"/>
                <w:sz w:val="15"/>
                <w:szCs w:val="15"/>
              </w:rPr>
              <w:t>7</w:t>
            </w:r>
            <w:r>
              <w:rPr>
                <w:rFonts w:cs="Arial"/>
                <w:color w:val="000000"/>
                <w:sz w:val="15"/>
                <w:szCs w:val="15"/>
              </w:rPr>
              <w:t>.</w:t>
            </w:r>
            <w:r w:rsidRPr="003003C0">
              <w:rPr>
                <w:rFonts w:cs="Arial"/>
                <w:color w:val="000000"/>
                <w:sz w:val="15"/>
                <w:szCs w:val="15"/>
              </w:rPr>
              <w:t>8</w:t>
            </w:r>
          </w:p>
        </w:tc>
        <w:tc>
          <w:tcPr>
            <w:tcW w:w="764" w:type="dxa"/>
            <w:noWrap/>
            <w:vAlign w:val="center"/>
            <w:hideMark/>
          </w:tcPr>
          <w:p w14:paraId="5D0E8FE9" w14:textId="77777777" w:rsidR="004F64EF" w:rsidRPr="003003C0" w:rsidRDefault="004F64EF" w:rsidP="00FD6B66">
            <w:pPr>
              <w:jc w:val="right"/>
              <w:rPr>
                <w:rFonts w:cs="Arial"/>
                <w:color w:val="000000"/>
                <w:sz w:val="15"/>
                <w:szCs w:val="15"/>
              </w:rPr>
            </w:pPr>
            <w:r w:rsidRPr="003003C0">
              <w:rPr>
                <w:rFonts w:cs="Arial"/>
                <w:color w:val="000000"/>
                <w:sz w:val="15"/>
                <w:szCs w:val="15"/>
              </w:rPr>
              <w:t>6</w:t>
            </w:r>
            <w:r>
              <w:rPr>
                <w:rFonts w:cs="Arial"/>
                <w:color w:val="000000"/>
                <w:sz w:val="15"/>
                <w:szCs w:val="15"/>
              </w:rPr>
              <w:t>.</w:t>
            </w:r>
            <w:r w:rsidRPr="003003C0">
              <w:rPr>
                <w:rFonts w:cs="Arial"/>
                <w:color w:val="000000"/>
                <w:sz w:val="15"/>
                <w:szCs w:val="15"/>
              </w:rPr>
              <w:t>3</w:t>
            </w:r>
          </w:p>
        </w:tc>
      </w:tr>
      <w:tr w:rsidR="004F64EF" w:rsidRPr="003003C0" w14:paraId="18624A4D" w14:textId="77777777" w:rsidTr="00FD6B66">
        <w:trPr>
          <w:trHeight w:val="20"/>
        </w:trPr>
        <w:tc>
          <w:tcPr>
            <w:tcW w:w="3681" w:type="dxa"/>
            <w:noWrap/>
            <w:vAlign w:val="center"/>
            <w:hideMark/>
          </w:tcPr>
          <w:p w14:paraId="17B79200" w14:textId="77777777" w:rsidR="004F64EF" w:rsidRPr="003003C0" w:rsidRDefault="004F64EF" w:rsidP="003E0CD7">
            <w:pPr>
              <w:tabs>
                <w:tab w:val="left" w:pos="170"/>
              </w:tabs>
              <w:ind w:left="170" w:hanging="170"/>
              <w:jc w:val="left"/>
              <w:rPr>
                <w:rFonts w:cs="Arial"/>
                <w:color w:val="000000"/>
                <w:sz w:val="15"/>
                <w:szCs w:val="15"/>
              </w:rPr>
            </w:pPr>
            <w:r w:rsidRPr="003003C0">
              <w:rPr>
                <w:rFonts w:cs="Arial"/>
                <w:color w:val="000000"/>
                <w:sz w:val="15"/>
                <w:szCs w:val="15"/>
              </w:rPr>
              <w:tab/>
              <w:t xml:space="preserve">11. </w:t>
            </w:r>
            <w:r w:rsidRPr="00807F3E">
              <w:rPr>
                <w:rFonts w:cs="Arial"/>
                <w:color w:val="000000"/>
                <w:sz w:val="15"/>
                <w:szCs w:val="15"/>
              </w:rPr>
              <w:t>Products of the milling industry; malt; starches; inulin; wheat gluten</w:t>
            </w:r>
          </w:p>
        </w:tc>
        <w:tc>
          <w:tcPr>
            <w:tcW w:w="764" w:type="dxa"/>
            <w:noWrap/>
            <w:vAlign w:val="center"/>
            <w:hideMark/>
          </w:tcPr>
          <w:p w14:paraId="7868CAE3" w14:textId="77777777" w:rsidR="004F64EF" w:rsidRPr="003003C0" w:rsidRDefault="004F64EF" w:rsidP="00FD6B66">
            <w:pPr>
              <w:jc w:val="right"/>
              <w:rPr>
                <w:rFonts w:cs="Arial"/>
                <w:color w:val="000000"/>
                <w:sz w:val="15"/>
                <w:szCs w:val="15"/>
              </w:rPr>
            </w:pPr>
            <w:r w:rsidRPr="003003C0">
              <w:rPr>
                <w:rFonts w:cs="Arial"/>
                <w:color w:val="000000"/>
                <w:sz w:val="15"/>
                <w:szCs w:val="15"/>
              </w:rPr>
              <w:t>2</w:t>
            </w:r>
            <w:r>
              <w:rPr>
                <w:rFonts w:cs="Arial"/>
                <w:color w:val="000000"/>
                <w:sz w:val="15"/>
                <w:szCs w:val="15"/>
              </w:rPr>
              <w:t>.</w:t>
            </w:r>
            <w:r w:rsidRPr="003003C0">
              <w:rPr>
                <w:rFonts w:cs="Arial"/>
                <w:color w:val="000000"/>
                <w:sz w:val="15"/>
                <w:szCs w:val="15"/>
              </w:rPr>
              <w:t>1</w:t>
            </w:r>
          </w:p>
        </w:tc>
        <w:tc>
          <w:tcPr>
            <w:tcW w:w="764" w:type="dxa"/>
            <w:noWrap/>
            <w:vAlign w:val="center"/>
            <w:hideMark/>
          </w:tcPr>
          <w:p w14:paraId="673C4BD7" w14:textId="77777777" w:rsidR="004F64EF" w:rsidRPr="003003C0" w:rsidRDefault="004F64EF" w:rsidP="00FD6B66">
            <w:pPr>
              <w:jc w:val="right"/>
              <w:rPr>
                <w:rFonts w:cs="Arial"/>
                <w:color w:val="000000"/>
                <w:sz w:val="15"/>
                <w:szCs w:val="15"/>
              </w:rPr>
            </w:pPr>
            <w:r w:rsidRPr="003003C0">
              <w:rPr>
                <w:rFonts w:cs="Arial"/>
                <w:color w:val="000000"/>
                <w:sz w:val="15"/>
                <w:szCs w:val="15"/>
              </w:rPr>
              <w:t>1</w:t>
            </w:r>
            <w:r>
              <w:rPr>
                <w:rFonts w:cs="Arial"/>
                <w:color w:val="000000"/>
                <w:sz w:val="15"/>
                <w:szCs w:val="15"/>
              </w:rPr>
              <w:t>.</w:t>
            </w:r>
            <w:r w:rsidRPr="003003C0">
              <w:rPr>
                <w:rFonts w:cs="Arial"/>
                <w:color w:val="000000"/>
                <w:sz w:val="15"/>
                <w:szCs w:val="15"/>
              </w:rPr>
              <w:t>6</w:t>
            </w:r>
          </w:p>
        </w:tc>
        <w:tc>
          <w:tcPr>
            <w:tcW w:w="764" w:type="dxa"/>
            <w:noWrap/>
            <w:vAlign w:val="center"/>
            <w:hideMark/>
          </w:tcPr>
          <w:p w14:paraId="0F366E2B" w14:textId="77777777" w:rsidR="004F64EF" w:rsidRPr="003003C0" w:rsidRDefault="004F64EF" w:rsidP="00FD6B66">
            <w:pPr>
              <w:jc w:val="right"/>
              <w:rPr>
                <w:rFonts w:cs="Arial"/>
                <w:color w:val="000000"/>
                <w:sz w:val="15"/>
                <w:szCs w:val="15"/>
              </w:rPr>
            </w:pPr>
            <w:r w:rsidRPr="003003C0">
              <w:rPr>
                <w:rFonts w:cs="Arial"/>
                <w:color w:val="000000"/>
                <w:sz w:val="15"/>
                <w:szCs w:val="15"/>
              </w:rPr>
              <w:t>1</w:t>
            </w:r>
            <w:r>
              <w:rPr>
                <w:rFonts w:cs="Arial"/>
                <w:color w:val="000000"/>
                <w:sz w:val="15"/>
                <w:szCs w:val="15"/>
              </w:rPr>
              <w:t>.</w:t>
            </w:r>
            <w:r w:rsidRPr="003003C0">
              <w:rPr>
                <w:rFonts w:cs="Arial"/>
                <w:color w:val="000000"/>
                <w:sz w:val="15"/>
                <w:szCs w:val="15"/>
              </w:rPr>
              <w:t>2</w:t>
            </w:r>
          </w:p>
        </w:tc>
        <w:tc>
          <w:tcPr>
            <w:tcW w:w="764" w:type="dxa"/>
            <w:noWrap/>
            <w:vAlign w:val="center"/>
            <w:hideMark/>
          </w:tcPr>
          <w:p w14:paraId="362D3326" w14:textId="77777777" w:rsidR="004F64EF" w:rsidRPr="003003C0" w:rsidRDefault="004F64EF" w:rsidP="00FD6B66">
            <w:pPr>
              <w:jc w:val="right"/>
              <w:rPr>
                <w:rFonts w:cs="Arial"/>
                <w:color w:val="000000"/>
                <w:sz w:val="15"/>
                <w:szCs w:val="15"/>
              </w:rPr>
            </w:pPr>
            <w:r w:rsidRPr="003003C0">
              <w:rPr>
                <w:rFonts w:cs="Arial"/>
                <w:color w:val="000000"/>
                <w:sz w:val="15"/>
                <w:szCs w:val="15"/>
              </w:rPr>
              <w:t>1</w:t>
            </w:r>
            <w:r>
              <w:rPr>
                <w:rFonts w:cs="Arial"/>
                <w:color w:val="000000"/>
                <w:sz w:val="15"/>
                <w:szCs w:val="15"/>
              </w:rPr>
              <w:t>.</w:t>
            </w:r>
            <w:r w:rsidRPr="003003C0">
              <w:rPr>
                <w:rFonts w:cs="Arial"/>
                <w:color w:val="000000"/>
                <w:sz w:val="15"/>
                <w:szCs w:val="15"/>
              </w:rPr>
              <w:t>3</w:t>
            </w:r>
          </w:p>
        </w:tc>
        <w:tc>
          <w:tcPr>
            <w:tcW w:w="764" w:type="dxa"/>
            <w:noWrap/>
            <w:vAlign w:val="center"/>
            <w:hideMark/>
          </w:tcPr>
          <w:p w14:paraId="7F10163D" w14:textId="77777777" w:rsidR="004F64EF" w:rsidRPr="003003C0" w:rsidRDefault="004F64EF" w:rsidP="00FD6B66">
            <w:pPr>
              <w:jc w:val="right"/>
              <w:rPr>
                <w:rFonts w:cs="Arial"/>
                <w:color w:val="000000"/>
                <w:sz w:val="15"/>
                <w:szCs w:val="15"/>
              </w:rPr>
            </w:pPr>
            <w:r w:rsidRPr="003003C0">
              <w:rPr>
                <w:rFonts w:cs="Arial"/>
                <w:color w:val="000000"/>
                <w:sz w:val="15"/>
                <w:szCs w:val="15"/>
              </w:rPr>
              <w:t>2</w:t>
            </w:r>
            <w:r>
              <w:rPr>
                <w:rFonts w:cs="Arial"/>
                <w:color w:val="000000"/>
                <w:sz w:val="15"/>
                <w:szCs w:val="15"/>
              </w:rPr>
              <w:t>.</w:t>
            </w:r>
            <w:r w:rsidRPr="003003C0">
              <w:rPr>
                <w:rFonts w:cs="Arial"/>
                <w:color w:val="000000"/>
                <w:sz w:val="15"/>
                <w:szCs w:val="15"/>
              </w:rPr>
              <w:t>0</w:t>
            </w:r>
          </w:p>
        </w:tc>
        <w:tc>
          <w:tcPr>
            <w:tcW w:w="764" w:type="dxa"/>
            <w:noWrap/>
            <w:vAlign w:val="center"/>
            <w:hideMark/>
          </w:tcPr>
          <w:p w14:paraId="27320F68" w14:textId="77777777" w:rsidR="004F64EF" w:rsidRPr="003003C0" w:rsidRDefault="004F64EF" w:rsidP="00FD6B66">
            <w:pPr>
              <w:jc w:val="right"/>
              <w:rPr>
                <w:rFonts w:cs="Arial"/>
                <w:color w:val="000000"/>
                <w:sz w:val="15"/>
                <w:szCs w:val="15"/>
              </w:rPr>
            </w:pPr>
            <w:r w:rsidRPr="003003C0">
              <w:rPr>
                <w:rFonts w:cs="Arial"/>
                <w:color w:val="000000"/>
                <w:sz w:val="15"/>
                <w:szCs w:val="15"/>
              </w:rPr>
              <w:t>1</w:t>
            </w:r>
            <w:r>
              <w:rPr>
                <w:rFonts w:cs="Arial"/>
                <w:color w:val="000000"/>
                <w:sz w:val="15"/>
                <w:szCs w:val="15"/>
              </w:rPr>
              <w:t>.</w:t>
            </w:r>
            <w:r w:rsidRPr="003003C0">
              <w:rPr>
                <w:rFonts w:cs="Arial"/>
                <w:color w:val="000000"/>
                <w:sz w:val="15"/>
                <w:szCs w:val="15"/>
              </w:rPr>
              <w:t>3</w:t>
            </w:r>
          </w:p>
        </w:tc>
        <w:tc>
          <w:tcPr>
            <w:tcW w:w="764" w:type="dxa"/>
            <w:noWrap/>
            <w:vAlign w:val="center"/>
            <w:hideMark/>
          </w:tcPr>
          <w:p w14:paraId="4685DC54" w14:textId="77777777" w:rsidR="004F64EF" w:rsidRPr="003003C0" w:rsidRDefault="004F64EF" w:rsidP="00FD6B66">
            <w:pPr>
              <w:jc w:val="right"/>
              <w:rPr>
                <w:rFonts w:cs="Arial"/>
                <w:color w:val="000000"/>
                <w:sz w:val="15"/>
                <w:szCs w:val="15"/>
              </w:rPr>
            </w:pPr>
            <w:r w:rsidRPr="003003C0">
              <w:rPr>
                <w:rFonts w:cs="Arial"/>
                <w:color w:val="000000"/>
                <w:sz w:val="15"/>
                <w:szCs w:val="15"/>
              </w:rPr>
              <w:t>1</w:t>
            </w:r>
            <w:r>
              <w:rPr>
                <w:rFonts w:cs="Arial"/>
                <w:color w:val="000000"/>
                <w:sz w:val="15"/>
                <w:szCs w:val="15"/>
              </w:rPr>
              <w:t>.</w:t>
            </w:r>
            <w:r w:rsidRPr="003003C0">
              <w:rPr>
                <w:rFonts w:cs="Arial"/>
                <w:color w:val="000000"/>
                <w:sz w:val="15"/>
                <w:szCs w:val="15"/>
              </w:rPr>
              <w:t>3</w:t>
            </w:r>
          </w:p>
        </w:tc>
      </w:tr>
      <w:tr w:rsidR="004F64EF" w:rsidRPr="003003C0" w14:paraId="094010D1" w14:textId="77777777" w:rsidTr="00FD6B66">
        <w:trPr>
          <w:cnfStyle w:val="000000010000" w:firstRow="0" w:lastRow="0" w:firstColumn="0" w:lastColumn="0" w:oddVBand="0" w:evenVBand="0" w:oddHBand="0" w:evenHBand="1" w:firstRowFirstColumn="0" w:firstRowLastColumn="0" w:lastRowFirstColumn="0" w:lastRowLastColumn="0"/>
          <w:trHeight w:val="20"/>
        </w:trPr>
        <w:tc>
          <w:tcPr>
            <w:tcW w:w="3681" w:type="dxa"/>
            <w:noWrap/>
            <w:vAlign w:val="center"/>
            <w:hideMark/>
          </w:tcPr>
          <w:p w14:paraId="0DC91FE7" w14:textId="77777777" w:rsidR="004F64EF" w:rsidRPr="003003C0" w:rsidRDefault="004F64EF" w:rsidP="003E0CD7">
            <w:pPr>
              <w:tabs>
                <w:tab w:val="left" w:pos="170"/>
              </w:tabs>
              <w:ind w:left="170" w:hanging="170"/>
              <w:jc w:val="left"/>
              <w:rPr>
                <w:rFonts w:cs="Arial"/>
                <w:color w:val="000000"/>
                <w:sz w:val="15"/>
                <w:szCs w:val="15"/>
              </w:rPr>
            </w:pPr>
            <w:r w:rsidRPr="003003C0">
              <w:rPr>
                <w:rFonts w:cs="Arial"/>
                <w:color w:val="000000"/>
                <w:sz w:val="15"/>
                <w:szCs w:val="15"/>
              </w:rPr>
              <w:tab/>
              <w:t xml:space="preserve">07. </w:t>
            </w:r>
            <w:r w:rsidRPr="00807F3E">
              <w:rPr>
                <w:rFonts w:cs="Arial"/>
                <w:color w:val="000000"/>
                <w:sz w:val="15"/>
                <w:szCs w:val="15"/>
              </w:rPr>
              <w:t>Edible vegetables and certain roots and tubers</w:t>
            </w:r>
          </w:p>
        </w:tc>
        <w:tc>
          <w:tcPr>
            <w:tcW w:w="764" w:type="dxa"/>
            <w:noWrap/>
            <w:vAlign w:val="center"/>
            <w:hideMark/>
          </w:tcPr>
          <w:p w14:paraId="77D98FAC" w14:textId="77777777" w:rsidR="004F64EF" w:rsidRPr="003003C0" w:rsidRDefault="004F64EF" w:rsidP="00FD6B66">
            <w:pPr>
              <w:jc w:val="right"/>
              <w:rPr>
                <w:rFonts w:cs="Arial"/>
                <w:color w:val="000000"/>
                <w:sz w:val="15"/>
                <w:szCs w:val="15"/>
              </w:rPr>
            </w:pPr>
            <w:r w:rsidRPr="003003C0">
              <w:rPr>
                <w:rFonts w:cs="Arial"/>
                <w:color w:val="000000"/>
                <w:sz w:val="15"/>
                <w:szCs w:val="15"/>
              </w:rPr>
              <w:t>1</w:t>
            </w:r>
            <w:r>
              <w:rPr>
                <w:rFonts w:cs="Arial"/>
                <w:color w:val="000000"/>
                <w:sz w:val="15"/>
                <w:szCs w:val="15"/>
              </w:rPr>
              <w:t>.</w:t>
            </w:r>
            <w:r w:rsidRPr="003003C0">
              <w:rPr>
                <w:rFonts w:cs="Arial"/>
                <w:color w:val="000000"/>
                <w:sz w:val="15"/>
                <w:szCs w:val="15"/>
              </w:rPr>
              <w:t>1</w:t>
            </w:r>
          </w:p>
        </w:tc>
        <w:tc>
          <w:tcPr>
            <w:tcW w:w="764" w:type="dxa"/>
            <w:noWrap/>
            <w:vAlign w:val="center"/>
            <w:hideMark/>
          </w:tcPr>
          <w:p w14:paraId="7069A082" w14:textId="77777777" w:rsidR="004F64EF" w:rsidRPr="003003C0" w:rsidRDefault="004F64EF" w:rsidP="00FD6B66">
            <w:pPr>
              <w:jc w:val="right"/>
              <w:rPr>
                <w:rFonts w:cs="Arial"/>
                <w:color w:val="000000"/>
                <w:sz w:val="15"/>
                <w:szCs w:val="15"/>
              </w:rPr>
            </w:pPr>
            <w:r w:rsidRPr="003003C0">
              <w:rPr>
                <w:rFonts w:cs="Arial"/>
                <w:color w:val="000000"/>
                <w:sz w:val="15"/>
                <w:szCs w:val="15"/>
              </w:rPr>
              <w:t>1</w:t>
            </w:r>
            <w:r>
              <w:rPr>
                <w:rFonts w:cs="Arial"/>
                <w:color w:val="000000"/>
                <w:sz w:val="15"/>
                <w:szCs w:val="15"/>
              </w:rPr>
              <w:t>.</w:t>
            </w:r>
            <w:r w:rsidRPr="003003C0">
              <w:rPr>
                <w:rFonts w:cs="Arial"/>
                <w:color w:val="000000"/>
                <w:sz w:val="15"/>
                <w:szCs w:val="15"/>
              </w:rPr>
              <w:t>3</w:t>
            </w:r>
          </w:p>
        </w:tc>
        <w:tc>
          <w:tcPr>
            <w:tcW w:w="764" w:type="dxa"/>
            <w:noWrap/>
            <w:vAlign w:val="center"/>
            <w:hideMark/>
          </w:tcPr>
          <w:p w14:paraId="1F3F9224" w14:textId="77777777" w:rsidR="004F64EF" w:rsidRPr="003003C0" w:rsidRDefault="004F64EF" w:rsidP="00FD6B66">
            <w:pPr>
              <w:jc w:val="right"/>
              <w:rPr>
                <w:rFonts w:cs="Arial"/>
                <w:color w:val="000000"/>
                <w:sz w:val="15"/>
                <w:szCs w:val="15"/>
              </w:rPr>
            </w:pPr>
            <w:r w:rsidRPr="003003C0">
              <w:rPr>
                <w:rFonts w:cs="Arial"/>
                <w:color w:val="000000"/>
                <w:sz w:val="15"/>
                <w:szCs w:val="15"/>
              </w:rPr>
              <w:t>1</w:t>
            </w:r>
            <w:r>
              <w:rPr>
                <w:rFonts w:cs="Arial"/>
                <w:color w:val="000000"/>
                <w:sz w:val="15"/>
                <w:szCs w:val="15"/>
              </w:rPr>
              <w:t>.</w:t>
            </w:r>
            <w:r w:rsidRPr="003003C0">
              <w:rPr>
                <w:rFonts w:cs="Arial"/>
                <w:color w:val="000000"/>
                <w:sz w:val="15"/>
                <w:szCs w:val="15"/>
              </w:rPr>
              <w:t>2</w:t>
            </w:r>
          </w:p>
        </w:tc>
        <w:tc>
          <w:tcPr>
            <w:tcW w:w="764" w:type="dxa"/>
            <w:noWrap/>
            <w:vAlign w:val="center"/>
            <w:hideMark/>
          </w:tcPr>
          <w:p w14:paraId="64D62CBE" w14:textId="77777777" w:rsidR="004F64EF" w:rsidRPr="003003C0" w:rsidRDefault="004F64EF" w:rsidP="00FD6B66">
            <w:pPr>
              <w:jc w:val="right"/>
              <w:rPr>
                <w:rFonts w:cs="Arial"/>
                <w:color w:val="000000"/>
                <w:sz w:val="15"/>
                <w:szCs w:val="15"/>
              </w:rPr>
            </w:pPr>
            <w:r w:rsidRPr="003003C0">
              <w:rPr>
                <w:rFonts w:cs="Arial"/>
                <w:color w:val="000000"/>
                <w:sz w:val="15"/>
                <w:szCs w:val="15"/>
              </w:rPr>
              <w:t>1</w:t>
            </w:r>
            <w:r>
              <w:rPr>
                <w:rFonts w:cs="Arial"/>
                <w:color w:val="000000"/>
                <w:sz w:val="15"/>
                <w:szCs w:val="15"/>
              </w:rPr>
              <w:t>.</w:t>
            </w:r>
            <w:r w:rsidRPr="003003C0">
              <w:rPr>
                <w:rFonts w:cs="Arial"/>
                <w:color w:val="000000"/>
                <w:sz w:val="15"/>
                <w:szCs w:val="15"/>
              </w:rPr>
              <w:t>1</w:t>
            </w:r>
          </w:p>
        </w:tc>
        <w:tc>
          <w:tcPr>
            <w:tcW w:w="764" w:type="dxa"/>
            <w:noWrap/>
            <w:vAlign w:val="center"/>
            <w:hideMark/>
          </w:tcPr>
          <w:p w14:paraId="077F61AC" w14:textId="77777777" w:rsidR="004F64EF" w:rsidRPr="003003C0" w:rsidRDefault="004F64EF" w:rsidP="00FD6B66">
            <w:pPr>
              <w:jc w:val="right"/>
              <w:rPr>
                <w:rFonts w:cs="Arial"/>
                <w:color w:val="000000"/>
                <w:sz w:val="15"/>
                <w:szCs w:val="15"/>
              </w:rPr>
            </w:pPr>
            <w:r w:rsidRPr="003003C0">
              <w:rPr>
                <w:rFonts w:cs="Arial"/>
                <w:color w:val="000000"/>
                <w:sz w:val="15"/>
                <w:szCs w:val="15"/>
              </w:rPr>
              <w:t>1</w:t>
            </w:r>
            <w:r>
              <w:rPr>
                <w:rFonts w:cs="Arial"/>
                <w:color w:val="000000"/>
                <w:sz w:val="15"/>
                <w:szCs w:val="15"/>
              </w:rPr>
              <w:t>.</w:t>
            </w:r>
            <w:r w:rsidRPr="003003C0">
              <w:rPr>
                <w:rFonts w:cs="Arial"/>
                <w:color w:val="000000"/>
                <w:sz w:val="15"/>
                <w:szCs w:val="15"/>
              </w:rPr>
              <w:t>0</w:t>
            </w:r>
          </w:p>
        </w:tc>
        <w:tc>
          <w:tcPr>
            <w:tcW w:w="764" w:type="dxa"/>
            <w:noWrap/>
            <w:vAlign w:val="center"/>
            <w:hideMark/>
          </w:tcPr>
          <w:p w14:paraId="3CD2C57F" w14:textId="77777777" w:rsidR="004F64EF" w:rsidRPr="003003C0" w:rsidRDefault="004F64EF" w:rsidP="00FD6B66">
            <w:pPr>
              <w:jc w:val="right"/>
              <w:rPr>
                <w:rFonts w:cs="Arial"/>
                <w:color w:val="000000"/>
                <w:sz w:val="15"/>
                <w:szCs w:val="15"/>
              </w:rPr>
            </w:pPr>
            <w:r w:rsidRPr="003003C0">
              <w:rPr>
                <w:rFonts w:cs="Arial"/>
                <w:color w:val="000000"/>
                <w:sz w:val="15"/>
                <w:szCs w:val="15"/>
              </w:rPr>
              <w:t>1</w:t>
            </w:r>
            <w:r>
              <w:rPr>
                <w:rFonts w:cs="Arial"/>
                <w:color w:val="000000"/>
                <w:sz w:val="15"/>
                <w:szCs w:val="15"/>
              </w:rPr>
              <w:t>.</w:t>
            </w:r>
            <w:r w:rsidRPr="003003C0">
              <w:rPr>
                <w:rFonts w:cs="Arial"/>
                <w:color w:val="000000"/>
                <w:sz w:val="15"/>
                <w:szCs w:val="15"/>
              </w:rPr>
              <w:t>2</w:t>
            </w:r>
          </w:p>
        </w:tc>
        <w:tc>
          <w:tcPr>
            <w:tcW w:w="764" w:type="dxa"/>
            <w:noWrap/>
            <w:vAlign w:val="center"/>
            <w:hideMark/>
          </w:tcPr>
          <w:p w14:paraId="7CEF73F2" w14:textId="77777777" w:rsidR="004F64EF" w:rsidRPr="003003C0" w:rsidRDefault="004F64EF" w:rsidP="00FD6B66">
            <w:pPr>
              <w:jc w:val="right"/>
              <w:rPr>
                <w:rFonts w:cs="Arial"/>
                <w:color w:val="000000"/>
                <w:sz w:val="15"/>
                <w:szCs w:val="15"/>
              </w:rPr>
            </w:pPr>
            <w:r w:rsidRPr="003003C0">
              <w:rPr>
                <w:rFonts w:cs="Arial"/>
                <w:color w:val="000000"/>
                <w:sz w:val="15"/>
                <w:szCs w:val="15"/>
              </w:rPr>
              <w:t>1</w:t>
            </w:r>
            <w:r>
              <w:rPr>
                <w:rFonts w:cs="Arial"/>
                <w:color w:val="000000"/>
                <w:sz w:val="15"/>
                <w:szCs w:val="15"/>
              </w:rPr>
              <w:t>.</w:t>
            </w:r>
            <w:r w:rsidRPr="003003C0">
              <w:rPr>
                <w:rFonts w:cs="Arial"/>
                <w:color w:val="000000"/>
                <w:sz w:val="15"/>
                <w:szCs w:val="15"/>
              </w:rPr>
              <w:t>2</w:t>
            </w:r>
          </w:p>
        </w:tc>
      </w:tr>
      <w:tr w:rsidR="004F64EF" w:rsidRPr="003003C0" w14:paraId="33F4EF78" w14:textId="77777777" w:rsidTr="00FD6B66">
        <w:trPr>
          <w:trHeight w:val="20"/>
        </w:trPr>
        <w:tc>
          <w:tcPr>
            <w:tcW w:w="3681" w:type="dxa"/>
            <w:noWrap/>
            <w:vAlign w:val="center"/>
            <w:hideMark/>
          </w:tcPr>
          <w:p w14:paraId="79D1C5D0" w14:textId="77777777" w:rsidR="004F64EF" w:rsidRPr="003003C0" w:rsidRDefault="004F64EF" w:rsidP="00FD6B66">
            <w:pPr>
              <w:jc w:val="left"/>
              <w:rPr>
                <w:rFonts w:cs="Arial"/>
                <w:color w:val="000000"/>
                <w:sz w:val="15"/>
                <w:szCs w:val="15"/>
              </w:rPr>
            </w:pPr>
            <w:r w:rsidRPr="003003C0">
              <w:rPr>
                <w:rFonts w:cs="Arial"/>
                <w:color w:val="000000"/>
                <w:sz w:val="15"/>
                <w:szCs w:val="15"/>
              </w:rPr>
              <w:t xml:space="preserve">3 </w:t>
            </w:r>
            <w:r>
              <w:rPr>
                <w:rFonts w:cs="Arial"/>
                <w:color w:val="000000"/>
                <w:sz w:val="15"/>
                <w:szCs w:val="15"/>
              </w:rPr>
              <w:t>–</w:t>
            </w:r>
            <w:r w:rsidRPr="003003C0">
              <w:rPr>
                <w:rFonts w:cs="Arial"/>
                <w:color w:val="000000"/>
                <w:sz w:val="15"/>
                <w:szCs w:val="15"/>
              </w:rPr>
              <w:t xml:space="preserve"> </w:t>
            </w:r>
            <w:r>
              <w:rPr>
                <w:rFonts w:cs="Arial"/>
                <w:color w:val="000000"/>
                <w:sz w:val="15"/>
                <w:szCs w:val="15"/>
              </w:rPr>
              <w:t>Animal or vegetable fats and oils</w:t>
            </w:r>
          </w:p>
        </w:tc>
        <w:tc>
          <w:tcPr>
            <w:tcW w:w="764" w:type="dxa"/>
            <w:noWrap/>
            <w:vAlign w:val="center"/>
            <w:hideMark/>
          </w:tcPr>
          <w:p w14:paraId="7F9EBCFC" w14:textId="77777777" w:rsidR="004F64EF" w:rsidRPr="003003C0" w:rsidRDefault="004F64EF" w:rsidP="00FD6B66">
            <w:pPr>
              <w:jc w:val="right"/>
              <w:rPr>
                <w:rFonts w:cs="Arial"/>
                <w:color w:val="000000"/>
                <w:sz w:val="15"/>
                <w:szCs w:val="15"/>
              </w:rPr>
            </w:pPr>
            <w:r w:rsidRPr="003003C0">
              <w:rPr>
                <w:rFonts w:cs="Arial"/>
                <w:color w:val="000000"/>
                <w:sz w:val="15"/>
                <w:szCs w:val="15"/>
              </w:rPr>
              <w:t>1</w:t>
            </w:r>
            <w:r>
              <w:rPr>
                <w:rFonts w:cs="Arial"/>
                <w:color w:val="000000"/>
                <w:sz w:val="15"/>
                <w:szCs w:val="15"/>
              </w:rPr>
              <w:t>.</w:t>
            </w:r>
            <w:r w:rsidRPr="003003C0">
              <w:rPr>
                <w:rFonts w:cs="Arial"/>
                <w:color w:val="000000"/>
                <w:sz w:val="15"/>
                <w:szCs w:val="15"/>
              </w:rPr>
              <w:t>2</w:t>
            </w:r>
          </w:p>
        </w:tc>
        <w:tc>
          <w:tcPr>
            <w:tcW w:w="764" w:type="dxa"/>
            <w:noWrap/>
            <w:vAlign w:val="center"/>
            <w:hideMark/>
          </w:tcPr>
          <w:p w14:paraId="07C51CA4" w14:textId="77777777" w:rsidR="004F64EF" w:rsidRPr="003003C0" w:rsidRDefault="004F64EF" w:rsidP="00FD6B66">
            <w:pPr>
              <w:jc w:val="right"/>
              <w:rPr>
                <w:rFonts w:cs="Arial"/>
                <w:color w:val="000000"/>
                <w:sz w:val="15"/>
                <w:szCs w:val="15"/>
              </w:rPr>
            </w:pPr>
            <w:r w:rsidRPr="003003C0">
              <w:rPr>
                <w:rFonts w:cs="Arial"/>
                <w:color w:val="000000"/>
                <w:sz w:val="15"/>
                <w:szCs w:val="15"/>
              </w:rPr>
              <w:t>1</w:t>
            </w:r>
            <w:r>
              <w:rPr>
                <w:rFonts w:cs="Arial"/>
                <w:color w:val="000000"/>
                <w:sz w:val="15"/>
                <w:szCs w:val="15"/>
              </w:rPr>
              <w:t>.</w:t>
            </w:r>
            <w:r w:rsidRPr="003003C0">
              <w:rPr>
                <w:rFonts w:cs="Arial"/>
                <w:color w:val="000000"/>
                <w:sz w:val="15"/>
                <w:szCs w:val="15"/>
              </w:rPr>
              <w:t>3</w:t>
            </w:r>
          </w:p>
        </w:tc>
        <w:tc>
          <w:tcPr>
            <w:tcW w:w="764" w:type="dxa"/>
            <w:noWrap/>
            <w:vAlign w:val="center"/>
            <w:hideMark/>
          </w:tcPr>
          <w:p w14:paraId="2FE87441" w14:textId="77777777" w:rsidR="004F64EF" w:rsidRPr="003003C0" w:rsidRDefault="004F64EF" w:rsidP="00FD6B66">
            <w:pPr>
              <w:jc w:val="right"/>
              <w:rPr>
                <w:rFonts w:cs="Arial"/>
                <w:color w:val="000000"/>
                <w:sz w:val="15"/>
                <w:szCs w:val="15"/>
              </w:rPr>
            </w:pPr>
            <w:r w:rsidRPr="003003C0">
              <w:rPr>
                <w:rFonts w:cs="Arial"/>
                <w:color w:val="000000"/>
                <w:sz w:val="15"/>
                <w:szCs w:val="15"/>
              </w:rPr>
              <w:t>1</w:t>
            </w:r>
            <w:r>
              <w:rPr>
                <w:rFonts w:cs="Arial"/>
                <w:color w:val="000000"/>
                <w:sz w:val="15"/>
                <w:szCs w:val="15"/>
              </w:rPr>
              <w:t>.</w:t>
            </w:r>
            <w:r w:rsidRPr="003003C0">
              <w:rPr>
                <w:rFonts w:cs="Arial"/>
                <w:color w:val="000000"/>
                <w:sz w:val="15"/>
                <w:szCs w:val="15"/>
              </w:rPr>
              <w:t>1</w:t>
            </w:r>
          </w:p>
        </w:tc>
        <w:tc>
          <w:tcPr>
            <w:tcW w:w="764" w:type="dxa"/>
            <w:noWrap/>
            <w:vAlign w:val="center"/>
            <w:hideMark/>
          </w:tcPr>
          <w:p w14:paraId="03C0AFB1" w14:textId="77777777" w:rsidR="004F64EF" w:rsidRPr="003003C0" w:rsidRDefault="004F64EF" w:rsidP="00FD6B66">
            <w:pPr>
              <w:jc w:val="right"/>
              <w:rPr>
                <w:rFonts w:cs="Arial"/>
                <w:color w:val="000000"/>
                <w:sz w:val="15"/>
                <w:szCs w:val="15"/>
              </w:rPr>
            </w:pPr>
            <w:r w:rsidRPr="003003C0">
              <w:rPr>
                <w:rFonts w:cs="Arial"/>
                <w:color w:val="000000"/>
                <w:sz w:val="15"/>
                <w:szCs w:val="15"/>
              </w:rPr>
              <w:t>0</w:t>
            </w:r>
            <w:r>
              <w:rPr>
                <w:rFonts w:cs="Arial"/>
                <w:color w:val="000000"/>
                <w:sz w:val="15"/>
                <w:szCs w:val="15"/>
              </w:rPr>
              <w:t>.</w:t>
            </w:r>
            <w:r w:rsidRPr="003003C0">
              <w:rPr>
                <w:rFonts w:cs="Arial"/>
                <w:color w:val="000000"/>
                <w:sz w:val="15"/>
                <w:szCs w:val="15"/>
              </w:rPr>
              <w:t>8</w:t>
            </w:r>
          </w:p>
        </w:tc>
        <w:tc>
          <w:tcPr>
            <w:tcW w:w="764" w:type="dxa"/>
            <w:noWrap/>
            <w:vAlign w:val="center"/>
            <w:hideMark/>
          </w:tcPr>
          <w:p w14:paraId="1220D71F" w14:textId="77777777" w:rsidR="004F64EF" w:rsidRPr="003003C0" w:rsidRDefault="004F64EF" w:rsidP="00FD6B66">
            <w:pPr>
              <w:jc w:val="right"/>
              <w:rPr>
                <w:rFonts w:cs="Arial"/>
                <w:color w:val="000000"/>
                <w:sz w:val="15"/>
                <w:szCs w:val="15"/>
              </w:rPr>
            </w:pPr>
            <w:r w:rsidRPr="003003C0">
              <w:rPr>
                <w:rFonts w:cs="Arial"/>
                <w:color w:val="000000"/>
                <w:sz w:val="15"/>
                <w:szCs w:val="15"/>
              </w:rPr>
              <w:t>0</w:t>
            </w:r>
            <w:r>
              <w:rPr>
                <w:rFonts w:cs="Arial"/>
                <w:color w:val="000000"/>
                <w:sz w:val="15"/>
                <w:szCs w:val="15"/>
              </w:rPr>
              <w:t>.</w:t>
            </w:r>
            <w:r w:rsidRPr="003003C0">
              <w:rPr>
                <w:rFonts w:cs="Arial"/>
                <w:color w:val="000000"/>
                <w:sz w:val="15"/>
                <w:szCs w:val="15"/>
              </w:rPr>
              <w:t>8</w:t>
            </w:r>
          </w:p>
        </w:tc>
        <w:tc>
          <w:tcPr>
            <w:tcW w:w="764" w:type="dxa"/>
            <w:noWrap/>
            <w:vAlign w:val="center"/>
            <w:hideMark/>
          </w:tcPr>
          <w:p w14:paraId="10E96E1F" w14:textId="77777777" w:rsidR="004F64EF" w:rsidRPr="003003C0" w:rsidRDefault="004F64EF" w:rsidP="00FD6B66">
            <w:pPr>
              <w:jc w:val="right"/>
              <w:rPr>
                <w:rFonts w:cs="Arial"/>
                <w:color w:val="000000"/>
                <w:sz w:val="15"/>
                <w:szCs w:val="15"/>
              </w:rPr>
            </w:pPr>
            <w:r w:rsidRPr="003003C0">
              <w:rPr>
                <w:rFonts w:cs="Arial"/>
                <w:color w:val="000000"/>
                <w:sz w:val="15"/>
                <w:szCs w:val="15"/>
              </w:rPr>
              <w:t>0</w:t>
            </w:r>
            <w:r>
              <w:rPr>
                <w:rFonts w:cs="Arial"/>
                <w:color w:val="000000"/>
                <w:sz w:val="15"/>
                <w:szCs w:val="15"/>
              </w:rPr>
              <w:t>.</w:t>
            </w:r>
            <w:r w:rsidRPr="003003C0">
              <w:rPr>
                <w:rFonts w:cs="Arial"/>
                <w:color w:val="000000"/>
                <w:sz w:val="15"/>
                <w:szCs w:val="15"/>
              </w:rPr>
              <w:t>8</w:t>
            </w:r>
          </w:p>
        </w:tc>
        <w:tc>
          <w:tcPr>
            <w:tcW w:w="764" w:type="dxa"/>
            <w:noWrap/>
            <w:vAlign w:val="center"/>
            <w:hideMark/>
          </w:tcPr>
          <w:p w14:paraId="66325508" w14:textId="77777777" w:rsidR="004F64EF" w:rsidRPr="003003C0" w:rsidRDefault="004F64EF" w:rsidP="00FD6B66">
            <w:pPr>
              <w:jc w:val="right"/>
              <w:rPr>
                <w:rFonts w:cs="Arial"/>
                <w:color w:val="000000"/>
                <w:sz w:val="15"/>
                <w:szCs w:val="15"/>
              </w:rPr>
            </w:pPr>
            <w:r w:rsidRPr="003003C0">
              <w:rPr>
                <w:rFonts w:cs="Arial"/>
                <w:color w:val="000000"/>
                <w:sz w:val="15"/>
                <w:szCs w:val="15"/>
              </w:rPr>
              <w:t>1</w:t>
            </w:r>
            <w:r>
              <w:rPr>
                <w:rFonts w:cs="Arial"/>
                <w:color w:val="000000"/>
                <w:sz w:val="15"/>
                <w:szCs w:val="15"/>
              </w:rPr>
              <w:t>.</w:t>
            </w:r>
            <w:r w:rsidRPr="003003C0">
              <w:rPr>
                <w:rFonts w:cs="Arial"/>
                <w:color w:val="000000"/>
                <w:sz w:val="15"/>
                <w:szCs w:val="15"/>
              </w:rPr>
              <w:t>4</w:t>
            </w:r>
          </w:p>
        </w:tc>
      </w:tr>
      <w:tr w:rsidR="004F64EF" w:rsidRPr="003003C0" w14:paraId="4E719491" w14:textId="77777777" w:rsidTr="00FD6B66">
        <w:trPr>
          <w:cnfStyle w:val="000000010000" w:firstRow="0" w:lastRow="0" w:firstColumn="0" w:lastColumn="0" w:oddVBand="0" w:evenVBand="0" w:oddHBand="0" w:evenHBand="1" w:firstRowFirstColumn="0" w:firstRowLastColumn="0" w:lastRowFirstColumn="0" w:lastRowLastColumn="0"/>
          <w:trHeight w:val="20"/>
        </w:trPr>
        <w:tc>
          <w:tcPr>
            <w:tcW w:w="3681" w:type="dxa"/>
            <w:noWrap/>
            <w:vAlign w:val="center"/>
            <w:hideMark/>
          </w:tcPr>
          <w:p w14:paraId="5693A715" w14:textId="77777777" w:rsidR="004F64EF" w:rsidRPr="00807F3E" w:rsidRDefault="004F64EF" w:rsidP="00807F3E">
            <w:pPr>
              <w:jc w:val="left"/>
              <w:rPr>
                <w:rFonts w:cs="Arial"/>
                <w:color w:val="000000"/>
                <w:sz w:val="15"/>
                <w:szCs w:val="15"/>
              </w:rPr>
            </w:pPr>
            <w:r w:rsidRPr="003003C0">
              <w:rPr>
                <w:rFonts w:cs="Arial"/>
                <w:color w:val="000000"/>
                <w:sz w:val="15"/>
                <w:szCs w:val="15"/>
              </w:rPr>
              <w:t xml:space="preserve">4 - </w:t>
            </w:r>
            <w:r>
              <w:rPr>
                <w:rFonts w:cs="Arial"/>
                <w:color w:val="000000"/>
                <w:sz w:val="15"/>
                <w:szCs w:val="15"/>
              </w:rPr>
              <w:t>P</w:t>
            </w:r>
            <w:r w:rsidRPr="00807F3E">
              <w:rPr>
                <w:rFonts w:cs="Arial"/>
                <w:color w:val="000000"/>
                <w:sz w:val="15"/>
                <w:szCs w:val="15"/>
              </w:rPr>
              <w:t>repared foodstuffs;</w:t>
            </w:r>
          </w:p>
          <w:p w14:paraId="797DBE52" w14:textId="77777777" w:rsidR="004F64EF" w:rsidRPr="003003C0" w:rsidRDefault="004F64EF" w:rsidP="00F0233E">
            <w:pPr>
              <w:jc w:val="left"/>
              <w:rPr>
                <w:rFonts w:cs="Arial"/>
                <w:color w:val="000000"/>
                <w:sz w:val="15"/>
                <w:szCs w:val="15"/>
              </w:rPr>
            </w:pPr>
            <w:r w:rsidRPr="00807F3E">
              <w:rPr>
                <w:rFonts w:cs="Arial"/>
                <w:color w:val="000000"/>
                <w:sz w:val="15"/>
                <w:szCs w:val="15"/>
              </w:rPr>
              <w:t>beverages, spirits and vinegar; tobacco</w:t>
            </w:r>
            <w:r>
              <w:rPr>
                <w:rFonts w:cs="Arial"/>
                <w:color w:val="000000"/>
                <w:sz w:val="15"/>
                <w:szCs w:val="15"/>
              </w:rPr>
              <w:t xml:space="preserve"> </w:t>
            </w:r>
            <w:r w:rsidRPr="00807F3E">
              <w:rPr>
                <w:rFonts w:cs="Arial"/>
                <w:color w:val="000000"/>
                <w:sz w:val="15"/>
                <w:szCs w:val="15"/>
              </w:rPr>
              <w:t>and manufactured tobacco substitutes</w:t>
            </w:r>
          </w:p>
        </w:tc>
        <w:tc>
          <w:tcPr>
            <w:tcW w:w="764" w:type="dxa"/>
            <w:noWrap/>
            <w:vAlign w:val="center"/>
            <w:hideMark/>
          </w:tcPr>
          <w:p w14:paraId="67FB4CFE" w14:textId="77777777" w:rsidR="004F64EF" w:rsidRPr="003003C0" w:rsidRDefault="004F64EF" w:rsidP="00FD6B66">
            <w:pPr>
              <w:jc w:val="right"/>
              <w:rPr>
                <w:rFonts w:cs="Arial"/>
                <w:color w:val="000000"/>
                <w:sz w:val="15"/>
                <w:szCs w:val="15"/>
              </w:rPr>
            </w:pPr>
            <w:r w:rsidRPr="003003C0">
              <w:rPr>
                <w:rFonts w:cs="Arial"/>
                <w:color w:val="000000"/>
                <w:sz w:val="15"/>
                <w:szCs w:val="15"/>
              </w:rPr>
              <w:t>16</w:t>
            </w:r>
            <w:r>
              <w:rPr>
                <w:rFonts w:cs="Arial"/>
                <w:color w:val="000000"/>
                <w:sz w:val="15"/>
                <w:szCs w:val="15"/>
              </w:rPr>
              <w:t>.</w:t>
            </w:r>
            <w:r w:rsidRPr="003003C0">
              <w:rPr>
                <w:rFonts w:cs="Arial"/>
                <w:color w:val="000000"/>
                <w:sz w:val="15"/>
                <w:szCs w:val="15"/>
              </w:rPr>
              <w:t>1</w:t>
            </w:r>
          </w:p>
        </w:tc>
        <w:tc>
          <w:tcPr>
            <w:tcW w:w="764" w:type="dxa"/>
            <w:noWrap/>
            <w:vAlign w:val="center"/>
            <w:hideMark/>
          </w:tcPr>
          <w:p w14:paraId="2EC59A32" w14:textId="77777777" w:rsidR="004F64EF" w:rsidRPr="003003C0" w:rsidRDefault="004F64EF" w:rsidP="00FD6B66">
            <w:pPr>
              <w:jc w:val="right"/>
              <w:rPr>
                <w:rFonts w:cs="Arial"/>
                <w:color w:val="000000"/>
                <w:sz w:val="15"/>
                <w:szCs w:val="15"/>
              </w:rPr>
            </w:pPr>
            <w:r w:rsidRPr="003003C0">
              <w:rPr>
                <w:rFonts w:cs="Arial"/>
                <w:color w:val="000000"/>
                <w:sz w:val="15"/>
                <w:szCs w:val="15"/>
              </w:rPr>
              <w:t>14</w:t>
            </w:r>
            <w:r>
              <w:rPr>
                <w:rFonts w:cs="Arial"/>
                <w:color w:val="000000"/>
                <w:sz w:val="15"/>
                <w:szCs w:val="15"/>
              </w:rPr>
              <w:t>.</w:t>
            </w:r>
            <w:r w:rsidRPr="003003C0">
              <w:rPr>
                <w:rFonts w:cs="Arial"/>
                <w:color w:val="000000"/>
                <w:sz w:val="15"/>
                <w:szCs w:val="15"/>
              </w:rPr>
              <w:t>9</w:t>
            </w:r>
          </w:p>
        </w:tc>
        <w:tc>
          <w:tcPr>
            <w:tcW w:w="764" w:type="dxa"/>
            <w:noWrap/>
            <w:vAlign w:val="center"/>
            <w:hideMark/>
          </w:tcPr>
          <w:p w14:paraId="6DB9358C" w14:textId="77777777" w:rsidR="004F64EF" w:rsidRPr="003003C0" w:rsidRDefault="004F64EF" w:rsidP="00FD6B66">
            <w:pPr>
              <w:jc w:val="right"/>
              <w:rPr>
                <w:rFonts w:cs="Arial"/>
                <w:color w:val="000000"/>
                <w:sz w:val="15"/>
                <w:szCs w:val="15"/>
              </w:rPr>
            </w:pPr>
            <w:r w:rsidRPr="003003C0">
              <w:rPr>
                <w:rFonts w:cs="Arial"/>
                <w:color w:val="000000"/>
                <w:sz w:val="15"/>
                <w:szCs w:val="15"/>
              </w:rPr>
              <w:t>12</w:t>
            </w:r>
            <w:r>
              <w:rPr>
                <w:rFonts w:cs="Arial"/>
                <w:color w:val="000000"/>
                <w:sz w:val="15"/>
                <w:szCs w:val="15"/>
              </w:rPr>
              <w:t>.</w:t>
            </w:r>
            <w:r w:rsidRPr="003003C0">
              <w:rPr>
                <w:rFonts w:cs="Arial"/>
                <w:color w:val="000000"/>
                <w:sz w:val="15"/>
                <w:szCs w:val="15"/>
              </w:rPr>
              <w:t>5</w:t>
            </w:r>
          </w:p>
        </w:tc>
        <w:tc>
          <w:tcPr>
            <w:tcW w:w="764" w:type="dxa"/>
            <w:noWrap/>
            <w:vAlign w:val="center"/>
            <w:hideMark/>
          </w:tcPr>
          <w:p w14:paraId="75481D57" w14:textId="77777777" w:rsidR="004F64EF" w:rsidRPr="003003C0" w:rsidRDefault="004F64EF" w:rsidP="00FD6B66">
            <w:pPr>
              <w:jc w:val="right"/>
              <w:rPr>
                <w:rFonts w:cs="Arial"/>
                <w:color w:val="000000"/>
                <w:sz w:val="15"/>
                <w:szCs w:val="15"/>
              </w:rPr>
            </w:pPr>
            <w:r w:rsidRPr="003003C0">
              <w:rPr>
                <w:rFonts w:cs="Arial"/>
                <w:color w:val="000000"/>
                <w:sz w:val="15"/>
                <w:szCs w:val="15"/>
              </w:rPr>
              <w:t>13</w:t>
            </w:r>
            <w:r>
              <w:rPr>
                <w:rFonts w:cs="Arial"/>
                <w:color w:val="000000"/>
                <w:sz w:val="15"/>
                <w:szCs w:val="15"/>
              </w:rPr>
              <w:t>.</w:t>
            </w:r>
            <w:r w:rsidRPr="003003C0">
              <w:rPr>
                <w:rFonts w:cs="Arial"/>
                <w:color w:val="000000"/>
                <w:sz w:val="15"/>
                <w:szCs w:val="15"/>
              </w:rPr>
              <w:t>5</w:t>
            </w:r>
          </w:p>
        </w:tc>
        <w:tc>
          <w:tcPr>
            <w:tcW w:w="764" w:type="dxa"/>
            <w:noWrap/>
            <w:vAlign w:val="center"/>
            <w:hideMark/>
          </w:tcPr>
          <w:p w14:paraId="6A9A7895" w14:textId="77777777" w:rsidR="004F64EF" w:rsidRPr="003003C0" w:rsidRDefault="004F64EF" w:rsidP="00FD6B66">
            <w:pPr>
              <w:jc w:val="right"/>
              <w:rPr>
                <w:rFonts w:cs="Arial"/>
                <w:color w:val="000000"/>
                <w:sz w:val="15"/>
                <w:szCs w:val="15"/>
              </w:rPr>
            </w:pPr>
            <w:r w:rsidRPr="003003C0">
              <w:rPr>
                <w:rFonts w:cs="Arial"/>
                <w:color w:val="000000"/>
                <w:sz w:val="15"/>
                <w:szCs w:val="15"/>
              </w:rPr>
              <w:t>13</w:t>
            </w:r>
            <w:r>
              <w:rPr>
                <w:rFonts w:cs="Arial"/>
                <w:color w:val="000000"/>
                <w:sz w:val="15"/>
                <w:szCs w:val="15"/>
              </w:rPr>
              <w:t>.</w:t>
            </w:r>
            <w:r w:rsidRPr="003003C0">
              <w:rPr>
                <w:rFonts w:cs="Arial"/>
                <w:color w:val="000000"/>
                <w:sz w:val="15"/>
                <w:szCs w:val="15"/>
              </w:rPr>
              <w:t>0</w:t>
            </w:r>
          </w:p>
        </w:tc>
        <w:tc>
          <w:tcPr>
            <w:tcW w:w="764" w:type="dxa"/>
            <w:noWrap/>
            <w:vAlign w:val="center"/>
            <w:hideMark/>
          </w:tcPr>
          <w:p w14:paraId="4310CE36" w14:textId="77777777" w:rsidR="004F64EF" w:rsidRPr="003003C0" w:rsidRDefault="004F64EF" w:rsidP="00FD6B66">
            <w:pPr>
              <w:jc w:val="right"/>
              <w:rPr>
                <w:rFonts w:cs="Arial"/>
                <w:color w:val="000000"/>
                <w:sz w:val="15"/>
                <w:szCs w:val="15"/>
              </w:rPr>
            </w:pPr>
            <w:r w:rsidRPr="003003C0">
              <w:rPr>
                <w:rFonts w:cs="Arial"/>
                <w:color w:val="000000"/>
                <w:sz w:val="15"/>
                <w:szCs w:val="15"/>
              </w:rPr>
              <w:t>12</w:t>
            </w:r>
            <w:r>
              <w:rPr>
                <w:rFonts w:cs="Arial"/>
                <w:color w:val="000000"/>
                <w:sz w:val="15"/>
                <w:szCs w:val="15"/>
              </w:rPr>
              <w:t>.</w:t>
            </w:r>
            <w:r w:rsidRPr="003003C0">
              <w:rPr>
                <w:rFonts w:cs="Arial"/>
                <w:color w:val="000000"/>
                <w:sz w:val="15"/>
                <w:szCs w:val="15"/>
              </w:rPr>
              <w:t>7</w:t>
            </w:r>
          </w:p>
        </w:tc>
        <w:tc>
          <w:tcPr>
            <w:tcW w:w="764" w:type="dxa"/>
            <w:noWrap/>
            <w:vAlign w:val="center"/>
            <w:hideMark/>
          </w:tcPr>
          <w:p w14:paraId="76C3BE89" w14:textId="77777777" w:rsidR="004F64EF" w:rsidRPr="003003C0" w:rsidRDefault="004F64EF" w:rsidP="00FD6B66">
            <w:pPr>
              <w:jc w:val="right"/>
              <w:rPr>
                <w:rFonts w:cs="Arial"/>
                <w:color w:val="000000"/>
                <w:sz w:val="15"/>
                <w:szCs w:val="15"/>
              </w:rPr>
            </w:pPr>
            <w:r w:rsidRPr="003003C0">
              <w:rPr>
                <w:rFonts w:cs="Arial"/>
                <w:color w:val="000000"/>
                <w:sz w:val="15"/>
                <w:szCs w:val="15"/>
              </w:rPr>
              <w:t>12</w:t>
            </w:r>
            <w:r>
              <w:rPr>
                <w:rFonts w:cs="Arial"/>
                <w:color w:val="000000"/>
                <w:sz w:val="15"/>
                <w:szCs w:val="15"/>
              </w:rPr>
              <w:t>.</w:t>
            </w:r>
            <w:r w:rsidRPr="003003C0">
              <w:rPr>
                <w:rFonts w:cs="Arial"/>
                <w:color w:val="000000"/>
                <w:sz w:val="15"/>
                <w:szCs w:val="15"/>
              </w:rPr>
              <w:t>5</w:t>
            </w:r>
          </w:p>
        </w:tc>
      </w:tr>
      <w:tr w:rsidR="004F64EF" w:rsidRPr="003003C0" w14:paraId="17CA721C" w14:textId="77777777" w:rsidTr="00FD6B66">
        <w:trPr>
          <w:trHeight w:val="20"/>
        </w:trPr>
        <w:tc>
          <w:tcPr>
            <w:tcW w:w="3681" w:type="dxa"/>
            <w:noWrap/>
            <w:vAlign w:val="center"/>
            <w:hideMark/>
          </w:tcPr>
          <w:p w14:paraId="765D4FD2" w14:textId="77777777" w:rsidR="004F64EF" w:rsidRPr="003003C0" w:rsidRDefault="004F64EF" w:rsidP="00FD6B66">
            <w:pPr>
              <w:tabs>
                <w:tab w:val="left" w:pos="170"/>
              </w:tabs>
              <w:jc w:val="left"/>
              <w:rPr>
                <w:rFonts w:cs="Arial"/>
                <w:color w:val="000000"/>
                <w:sz w:val="15"/>
                <w:szCs w:val="15"/>
              </w:rPr>
            </w:pPr>
            <w:r w:rsidRPr="003003C0">
              <w:rPr>
                <w:rFonts w:cs="Arial"/>
                <w:color w:val="000000"/>
                <w:sz w:val="15"/>
                <w:szCs w:val="15"/>
              </w:rPr>
              <w:tab/>
              <w:t xml:space="preserve">17. </w:t>
            </w:r>
            <w:r w:rsidRPr="00D61198">
              <w:rPr>
                <w:rFonts w:cs="Arial"/>
                <w:color w:val="000000"/>
                <w:sz w:val="15"/>
                <w:szCs w:val="15"/>
              </w:rPr>
              <w:t>Sugars and sugar confectionery</w:t>
            </w:r>
          </w:p>
        </w:tc>
        <w:tc>
          <w:tcPr>
            <w:tcW w:w="764" w:type="dxa"/>
            <w:noWrap/>
            <w:vAlign w:val="center"/>
            <w:hideMark/>
          </w:tcPr>
          <w:p w14:paraId="74CC20A0" w14:textId="77777777" w:rsidR="004F64EF" w:rsidRPr="003003C0" w:rsidRDefault="004F64EF" w:rsidP="00FD6B66">
            <w:pPr>
              <w:jc w:val="right"/>
              <w:rPr>
                <w:rFonts w:cs="Arial"/>
                <w:color w:val="000000"/>
                <w:sz w:val="15"/>
                <w:szCs w:val="15"/>
              </w:rPr>
            </w:pPr>
            <w:r w:rsidRPr="003003C0">
              <w:rPr>
                <w:rFonts w:cs="Arial"/>
                <w:color w:val="000000"/>
                <w:sz w:val="15"/>
                <w:szCs w:val="15"/>
              </w:rPr>
              <w:t>2</w:t>
            </w:r>
            <w:r>
              <w:rPr>
                <w:rFonts w:cs="Arial"/>
                <w:color w:val="000000"/>
                <w:sz w:val="15"/>
                <w:szCs w:val="15"/>
              </w:rPr>
              <w:t>.</w:t>
            </w:r>
            <w:r w:rsidRPr="003003C0">
              <w:rPr>
                <w:rFonts w:cs="Arial"/>
                <w:color w:val="000000"/>
                <w:sz w:val="15"/>
                <w:szCs w:val="15"/>
              </w:rPr>
              <w:t>9</w:t>
            </w:r>
          </w:p>
        </w:tc>
        <w:tc>
          <w:tcPr>
            <w:tcW w:w="764" w:type="dxa"/>
            <w:noWrap/>
            <w:vAlign w:val="center"/>
            <w:hideMark/>
          </w:tcPr>
          <w:p w14:paraId="560C8559" w14:textId="77777777" w:rsidR="004F64EF" w:rsidRPr="003003C0" w:rsidRDefault="004F64EF" w:rsidP="00FD6B66">
            <w:pPr>
              <w:jc w:val="right"/>
              <w:rPr>
                <w:rFonts w:cs="Arial"/>
                <w:color w:val="000000"/>
                <w:sz w:val="15"/>
                <w:szCs w:val="15"/>
              </w:rPr>
            </w:pPr>
            <w:r w:rsidRPr="003003C0">
              <w:rPr>
                <w:rFonts w:cs="Arial"/>
                <w:color w:val="000000"/>
                <w:sz w:val="15"/>
                <w:szCs w:val="15"/>
              </w:rPr>
              <w:t>2</w:t>
            </w:r>
            <w:r>
              <w:rPr>
                <w:rFonts w:cs="Arial"/>
                <w:color w:val="000000"/>
                <w:sz w:val="15"/>
                <w:szCs w:val="15"/>
              </w:rPr>
              <w:t>.</w:t>
            </w:r>
            <w:r w:rsidRPr="003003C0">
              <w:rPr>
                <w:rFonts w:cs="Arial"/>
                <w:color w:val="000000"/>
                <w:sz w:val="15"/>
                <w:szCs w:val="15"/>
              </w:rPr>
              <w:t>6</w:t>
            </w:r>
          </w:p>
        </w:tc>
        <w:tc>
          <w:tcPr>
            <w:tcW w:w="764" w:type="dxa"/>
            <w:noWrap/>
            <w:vAlign w:val="center"/>
            <w:hideMark/>
          </w:tcPr>
          <w:p w14:paraId="39647E79" w14:textId="77777777" w:rsidR="004F64EF" w:rsidRPr="003003C0" w:rsidRDefault="004F64EF" w:rsidP="00FD6B66">
            <w:pPr>
              <w:jc w:val="right"/>
              <w:rPr>
                <w:rFonts w:cs="Arial"/>
                <w:color w:val="000000"/>
                <w:sz w:val="15"/>
                <w:szCs w:val="15"/>
              </w:rPr>
            </w:pPr>
            <w:r w:rsidRPr="003003C0">
              <w:rPr>
                <w:rFonts w:cs="Arial"/>
                <w:color w:val="000000"/>
                <w:sz w:val="15"/>
                <w:szCs w:val="15"/>
              </w:rPr>
              <w:t>2</w:t>
            </w:r>
            <w:r>
              <w:rPr>
                <w:rFonts w:cs="Arial"/>
                <w:color w:val="000000"/>
                <w:sz w:val="15"/>
                <w:szCs w:val="15"/>
              </w:rPr>
              <w:t>.</w:t>
            </w:r>
            <w:r w:rsidRPr="003003C0">
              <w:rPr>
                <w:rFonts w:cs="Arial"/>
                <w:color w:val="000000"/>
                <w:sz w:val="15"/>
                <w:szCs w:val="15"/>
              </w:rPr>
              <w:t>7</w:t>
            </w:r>
          </w:p>
        </w:tc>
        <w:tc>
          <w:tcPr>
            <w:tcW w:w="764" w:type="dxa"/>
            <w:noWrap/>
            <w:vAlign w:val="center"/>
            <w:hideMark/>
          </w:tcPr>
          <w:p w14:paraId="5F54CB4F" w14:textId="77777777" w:rsidR="004F64EF" w:rsidRPr="003003C0" w:rsidRDefault="004F64EF" w:rsidP="00FD6B66">
            <w:pPr>
              <w:jc w:val="right"/>
              <w:rPr>
                <w:rFonts w:cs="Arial"/>
                <w:color w:val="000000"/>
                <w:sz w:val="15"/>
                <w:szCs w:val="15"/>
              </w:rPr>
            </w:pPr>
            <w:r w:rsidRPr="003003C0">
              <w:rPr>
                <w:rFonts w:cs="Arial"/>
                <w:color w:val="000000"/>
                <w:sz w:val="15"/>
                <w:szCs w:val="15"/>
              </w:rPr>
              <w:t>2</w:t>
            </w:r>
            <w:r>
              <w:rPr>
                <w:rFonts w:cs="Arial"/>
                <w:color w:val="000000"/>
                <w:sz w:val="15"/>
                <w:szCs w:val="15"/>
              </w:rPr>
              <w:t>.</w:t>
            </w:r>
            <w:r w:rsidRPr="003003C0">
              <w:rPr>
                <w:rFonts w:cs="Arial"/>
                <w:color w:val="000000"/>
                <w:sz w:val="15"/>
                <w:szCs w:val="15"/>
              </w:rPr>
              <w:t>8</w:t>
            </w:r>
          </w:p>
        </w:tc>
        <w:tc>
          <w:tcPr>
            <w:tcW w:w="764" w:type="dxa"/>
            <w:noWrap/>
            <w:vAlign w:val="center"/>
            <w:hideMark/>
          </w:tcPr>
          <w:p w14:paraId="5308905B" w14:textId="77777777" w:rsidR="004F64EF" w:rsidRPr="003003C0" w:rsidRDefault="004F64EF" w:rsidP="00FD6B66">
            <w:pPr>
              <w:jc w:val="right"/>
              <w:rPr>
                <w:rFonts w:cs="Arial"/>
                <w:color w:val="000000"/>
                <w:sz w:val="15"/>
                <w:szCs w:val="15"/>
              </w:rPr>
            </w:pPr>
            <w:r w:rsidRPr="003003C0">
              <w:rPr>
                <w:rFonts w:cs="Arial"/>
                <w:color w:val="000000"/>
                <w:sz w:val="15"/>
                <w:szCs w:val="15"/>
              </w:rPr>
              <w:t>2</w:t>
            </w:r>
            <w:r>
              <w:rPr>
                <w:rFonts w:cs="Arial"/>
                <w:color w:val="000000"/>
                <w:sz w:val="15"/>
                <w:szCs w:val="15"/>
              </w:rPr>
              <w:t>.</w:t>
            </w:r>
            <w:r w:rsidRPr="003003C0">
              <w:rPr>
                <w:rFonts w:cs="Arial"/>
                <w:color w:val="000000"/>
                <w:sz w:val="15"/>
                <w:szCs w:val="15"/>
              </w:rPr>
              <w:t>2</w:t>
            </w:r>
          </w:p>
        </w:tc>
        <w:tc>
          <w:tcPr>
            <w:tcW w:w="764" w:type="dxa"/>
            <w:noWrap/>
            <w:vAlign w:val="center"/>
            <w:hideMark/>
          </w:tcPr>
          <w:p w14:paraId="0A96DA2A" w14:textId="77777777" w:rsidR="004F64EF" w:rsidRPr="003003C0" w:rsidRDefault="004F64EF" w:rsidP="00FD6B66">
            <w:pPr>
              <w:jc w:val="right"/>
              <w:rPr>
                <w:rFonts w:cs="Arial"/>
                <w:color w:val="000000"/>
                <w:sz w:val="15"/>
                <w:szCs w:val="15"/>
              </w:rPr>
            </w:pPr>
            <w:r w:rsidRPr="003003C0">
              <w:rPr>
                <w:rFonts w:cs="Arial"/>
                <w:color w:val="000000"/>
                <w:sz w:val="15"/>
                <w:szCs w:val="15"/>
              </w:rPr>
              <w:t>3</w:t>
            </w:r>
            <w:r>
              <w:rPr>
                <w:rFonts w:cs="Arial"/>
                <w:color w:val="000000"/>
                <w:sz w:val="15"/>
                <w:szCs w:val="15"/>
              </w:rPr>
              <w:t>.</w:t>
            </w:r>
            <w:r w:rsidRPr="003003C0">
              <w:rPr>
                <w:rFonts w:cs="Arial"/>
                <w:color w:val="000000"/>
                <w:sz w:val="15"/>
                <w:szCs w:val="15"/>
              </w:rPr>
              <w:t>3</w:t>
            </w:r>
          </w:p>
        </w:tc>
        <w:tc>
          <w:tcPr>
            <w:tcW w:w="764" w:type="dxa"/>
            <w:noWrap/>
            <w:vAlign w:val="center"/>
            <w:hideMark/>
          </w:tcPr>
          <w:p w14:paraId="583C2E56" w14:textId="77777777" w:rsidR="004F64EF" w:rsidRPr="003003C0" w:rsidRDefault="004F64EF" w:rsidP="00FD6B66">
            <w:pPr>
              <w:jc w:val="right"/>
              <w:rPr>
                <w:rFonts w:cs="Arial"/>
                <w:color w:val="000000"/>
                <w:sz w:val="15"/>
                <w:szCs w:val="15"/>
              </w:rPr>
            </w:pPr>
            <w:r w:rsidRPr="003003C0">
              <w:rPr>
                <w:rFonts w:cs="Arial"/>
                <w:color w:val="000000"/>
                <w:sz w:val="15"/>
                <w:szCs w:val="15"/>
              </w:rPr>
              <w:t>3</w:t>
            </w:r>
            <w:r>
              <w:rPr>
                <w:rFonts w:cs="Arial"/>
                <w:color w:val="000000"/>
                <w:sz w:val="15"/>
                <w:szCs w:val="15"/>
              </w:rPr>
              <w:t>.</w:t>
            </w:r>
            <w:r w:rsidRPr="003003C0">
              <w:rPr>
                <w:rFonts w:cs="Arial"/>
                <w:color w:val="000000"/>
                <w:sz w:val="15"/>
                <w:szCs w:val="15"/>
              </w:rPr>
              <w:t>0</w:t>
            </w:r>
          </w:p>
        </w:tc>
      </w:tr>
      <w:tr w:rsidR="004F64EF" w:rsidRPr="003003C0" w14:paraId="1CCA9BC0" w14:textId="77777777" w:rsidTr="00FD6B66">
        <w:trPr>
          <w:cnfStyle w:val="000000010000" w:firstRow="0" w:lastRow="0" w:firstColumn="0" w:lastColumn="0" w:oddVBand="0" w:evenVBand="0" w:oddHBand="0" w:evenHBand="1" w:firstRowFirstColumn="0" w:firstRowLastColumn="0" w:lastRowFirstColumn="0" w:lastRowLastColumn="0"/>
          <w:trHeight w:val="20"/>
        </w:trPr>
        <w:tc>
          <w:tcPr>
            <w:tcW w:w="3681" w:type="dxa"/>
            <w:noWrap/>
            <w:vAlign w:val="center"/>
            <w:hideMark/>
          </w:tcPr>
          <w:p w14:paraId="4C885FFB" w14:textId="77777777" w:rsidR="004F64EF" w:rsidRPr="003003C0" w:rsidRDefault="004F64EF" w:rsidP="00FD6B66">
            <w:pPr>
              <w:tabs>
                <w:tab w:val="left" w:pos="170"/>
              </w:tabs>
              <w:jc w:val="left"/>
              <w:rPr>
                <w:rFonts w:cs="Arial"/>
                <w:color w:val="000000"/>
                <w:sz w:val="15"/>
                <w:szCs w:val="15"/>
              </w:rPr>
            </w:pPr>
            <w:r w:rsidRPr="003003C0">
              <w:rPr>
                <w:rFonts w:cs="Arial"/>
                <w:color w:val="000000"/>
                <w:sz w:val="15"/>
                <w:szCs w:val="15"/>
              </w:rPr>
              <w:tab/>
              <w:t xml:space="preserve">22. </w:t>
            </w:r>
            <w:r w:rsidRPr="00D61198">
              <w:rPr>
                <w:rFonts w:cs="Arial"/>
                <w:color w:val="000000"/>
                <w:sz w:val="15"/>
                <w:szCs w:val="15"/>
              </w:rPr>
              <w:t>Beverages, spirits and vinegar</w:t>
            </w:r>
          </w:p>
        </w:tc>
        <w:tc>
          <w:tcPr>
            <w:tcW w:w="764" w:type="dxa"/>
            <w:noWrap/>
            <w:vAlign w:val="center"/>
            <w:hideMark/>
          </w:tcPr>
          <w:p w14:paraId="26D708C9" w14:textId="77777777" w:rsidR="004F64EF" w:rsidRPr="003003C0" w:rsidRDefault="004F64EF" w:rsidP="00FD6B66">
            <w:pPr>
              <w:jc w:val="right"/>
              <w:rPr>
                <w:rFonts w:cs="Arial"/>
                <w:color w:val="000000"/>
                <w:sz w:val="15"/>
                <w:szCs w:val="15"/>
              </w:rPr>
            </w:pPr>
            <w:r w:rsidRPr="003003C0">
              <w:rPr>
                <w:rFonts w:cs="Arial"/>
                <w:color w:val="000000"/>
                <w:sz w:val="15"/>
                <w:szCs w:val="15"/>
              </w:rPr>
              <w:t>3</w:t>
            </w:r>
            <w:r>
              <w:rPr>
                <w:rFonts w:cs="Arial"/>
                <w:color w:val="000000"/>
                <w:sz w:val="15"/>
                <w:szCs w:val="15"/>
              </w:rPr>
              <w:t>.</w:t>
            </w:r>
            <w:r w:rsidRPr="003003C0">
              <w:rPr>
                <w:rFonts w:cs="Arial"/>
                <w:color w:val="000000"/>
                <w:sz w:val="15"/>
                <w:szCs w:val="15"/>
              </w:rPr>
              <w:t>5</w:t>
            </w:r>
          </w:p>
        </w:tc>
        <w:tc>
          <w:tcPr>
            <w:tcW w:w="764" w:type="dxa"/>
            <w:noWrap/>
            <w:vAlign w:val="center"/>
            <w:hideMark/>
          </w:tcPr>
          <w:p w14:paraId="2278D060" w14:textId="77777777" w:rsidR="004F64EF" w:rsidRPr="003003C0" w:rsidRDefault="004F64EF" w:rsidP="00FD6B66">
            <w:pPr>
              <w:jc w:val="right"/>
              <w:rPr>
                <w:rFonts w:cs="Arial"/>
                <w:color w:val="000000"/>
                <w:sz w:val="15"/>
                <w:szCs w:val="15"/>
              </w:rPr>
            </w:pPr>
            <w:r w:rsidRPr="003003C0">
              <w:rPr>
                <w:rFonts w:cs="Arial"/>
                <w:color w:val="000000"/>
                <w:sz w:val="15"/>
                <w:szCs w:val="15"/>
              </w:rPr>
              <w:t>3</w:t>
            </w:r>
            <w:r>
              <w:rPr>
                <w:rFonts w:cs="Arial"/>
                <w:color w:val="000000"/>
                <w:sz w:val="15"/>
                <w:szCs w:val="15"/>
              </w:rPr>
              <w:t>.</w:t>
            </w:r>
            <w:r w:rsidRPr="003003C0">
              <w:rPr>
                <w:rFonts w:cs="Arial"/>
                <w:color w:val="000000"/>
                <w:sz w:val="15"/>
                <w:szCs w:val="15"/>
              </w:rPr>
              <w:t>3</w:t>
            </w:r>
          </w:p>
        </w:tc>
        <w:tc>
          <w:tcPr>
            <w:tcW w:w="764" w:type="dxa"/>
            <w:noWrap/>
            <w:vAlign w:val="center"/>
            <w:hideMark/>
          </w:tcPr>
          <w:p w14:paraId="0FDEC60C" w14:textId="77777777" w:rsidR="004F64EF" w:rsidRPr="003003C0" w:rsidRDefault="004F64EF" w:rsidP="00FD6B66">
            <w:pPr>
              <w:jc w:val="right"/>
              <w:rPr>
                <w:rFonts w:cs="Arial"/>
                <w:color w:val="000000"/>
                <w:sz w:val="15"/>
                <w:szCs w:val="15"/>
              </w:rPr>
            </w:pPr>
            <w:r w:rsidRPr="003003C0">
              <w:rPr>
                <w:rFonts w:cs="Arial"/>
                <w:color w:val="000000"/>
                <w:sz w:val="15"/>
                <w:szCs w:val="15"/>
              </w:rPr>
              <w:t>3</w:t>
            </w:r>
            <w:r>
              <w:rPr>
                <w:rFonts w:cs="Arial"/>
                <w:color w:val="000000"/>
                <w:sz w:val="15"/>
                <w:szCs w:val="15"/>
              </w:rPr>
              <w:t>.</w:t>
            </w:r>
            <w:r w:rsidRPr="003003C0">
              <w:rPr>
                <w:rFonts w:cs="Arial"/>
                <w:color w:val="000000"/>
                <w:sz w:val="15"/>
                <w:szCs w:val="15"/>
              </w:rPr>
              <w:t>0</w:t>
            </w:r>
          </w:p>
        </w:tc>
        <w:tc>
          <w:tcPr>
            <w:tcW w:w="764" w:type="dxa"/>
            <w:noWrap/>
            <w:vAlign w:val="center"/>
            <w:hideMark/>
          </w:tcPr>
          <w:p w14:paraId="706085A9" w14:textId="77777777" w:rsidR="004F64EF" w:rsidRPr="003003C0" w:rsidRDefault="004F64EF" w:rsidP="00FD6B66">
            <w:pPr>
              <w:jc w:val="right"/>
              <w:rPr>
                <w:rFonts w:cs="Arial"/>
                <w:color w:val="000000"/>
                <w:sz w:val="15"/>
                <w:szCs w:val="15"/>
              </w:rPr>
            </w:pPr>
            <w:r w:rsidRPr="003003C0">
              <w:rPr>
                <w:rFonts w:cs="Arial"/>
                <w:color w:val="000000"/>
                <w:sz w:val="15"/>
                <w:szCs w:val="15"/>
              </w:rPr>
              <w:t>2</w:t>
            </w:r>
            <w:r>
              <w:rPr>
                <w:rFonts w:cs="Arial"/>
                <w:color w:val="000000"/>
                <w:sz w:val="15"/>
                <w:szCs w:val="15"/>
              </w:rPr>
              <w:t>.</w:t>
            </w:r>
            <w:r w:rsidRPr="003003C0">
              <w:rPr>
                <w:rFonts w:cs="Arial"/>
                <w:color w:val="000000"/>
                <w:sz w:val="15"/>
                <w:szCs w:val="15"/>
              </w:rPr>
              <w:t>5</w:t>
            </w:r>
          </w:p>
        </w:tc>
        <w:tc>
          <w:tcPr>
            <w:tcW w:w="764" w:type="dxa"/>
            <w:noWrap/>
            <w:vAlign w:val="center"/>
            <w:hideMark/>
          </w:tcPr>
          <w:p w14:paraId="41F4934A" w14:textId="77777777" w:rsidR="004F64EF" w:rsidRPr="003003C0" w:rsidRDefault="004F64EF" w:rsidP="00FD6B66">
            <w:pPr>
              <w:jc w:val="right"/>
              <w:rPr>
                <w:rFonts w:cs="Arial"/>
                <w:color w:val="000000"/>
                <w:sz w:val="15"/>
                <w:szCs w:val="15"/>
              </w:rPr>
            </w:pPr>
            <w:r w:rsidRPr="003003C0">
              <w:rPr>
                <w:rFonts w:cs="Arial"/>
                <w:color w:val="000000"/>
                <w:sz w:val="15"/>
                <w:szCs w:val="15"/>
              </w:rPr>
              <w:t>2</w:t>
            </w:r>
            <w:r>
              <w:rPr>
                <w:rFonts w:cs="Arial"/>
                <w:color w:val="000000"/>
                <w:sz w:val="15"/>
                <w:szCs w:val="15"/>
              </w:rPr>
              <w:t>.</w:t>
            </w:r>
            <w:r w:rsidRPr="003003C0">
              <w:rPr>
                <w:rFonts w:cs="Arial"/>
                <w:color w:val="000000"/>
                <w:sz w:val="15"/>
                <w:szCs w:val="15"/>
              </w:rPr>
              <w:t>4</w:t>
            </w:r>
          </w:p>
        </w:tc>
        <w:tc>
          <w:tcPr>
            <w:tcW w:w="764" w:type="dxa"/>
            <w:noWrap/>
            <w:vAlign w:val="center"/>
            <w:hideMark/>
          </w:tcPr>
          <w:p w14:paraId="5EC35120" w14:textId="77777777" w:rsidR="004F64EF" w:rsidRPr="003003C0" w:rsidRDefault="004F64EF" w:rsidP="00FD6B66">
            <w:pPr>
              <w:jc w:val="right"/>
              <w:rPr>
                <w:rFonts w:cs="Arial"/>
                <w:color w:val="000000"/>
                <w:sz w:val="15"/>
                <w:szCs w:val="15"/>
              </w:rPr>
            </w:pPr>
            <w:r w:rsidRPr="003003C0">
              <w:rPr>
                <w:rFonts w:cs="Arial"/>
                <w:color w:val="000000"/>
                <w:sz w:val="15"/>
                <w:szCs w:val="15"/>
              </w:rPr>
              <w:t>2</w:t>
            </w:r>
            <w:r>
              <w:rPr>
                <w:rFonts w:cs="Arial"/>
                <w:color w:val="000000"/>
                <w:sz w:val="15"/>
                <w:szCs w:val="15"/>
              </w:rPr>
              <w:t>.</w:t>
            </w:r>
            <w:r w:rsidRPr="003003C0">
              <w:rPr>
                <w:rFonts w:cs="Arial"/>
                <w:color w:val="000000"/>
                <w:sz w:val="15"/>
                <w:szCs w:val="15"/>
              </w:rPr>
              <w:t>2</w:t>
            </w:r>
          </w:p>
        </w:tc>
        <w:tc>
          <w:tcPr>
            <w:tcW w:w="764" w:type="dxa"/>
            <w:noWrap/>
            <w:vAlign w:val="center"/>
            <w:hideMark/>
          </w:tcPr>
          <w:p w14:paraId="060C3143" w14:textId="77777777" w:rsidR="004F64EF" w:rsidRPr="003003C0" w:rsidRDefault="004F64EF" w:rsidP="00FD6B66">
            <w:pPr>
              <w:jc w:val="right"/>
              <w:rPr>
                <w:rFonts w:cs="Arial"/>
                <w:color w:val="000000"/>
                <w:sz w:val="15"/>
                <w:szCs w:val="15"/>
              </w:rPr>
            </w:pPr>
            <w:r w:rsidRPr="003003C0">
              <w:rPr>
                <w:rFonts w:cs="Arial"/>
                <w:color w:val="000000"/>
                <w:sz w:val="15"/>
                <w:szCs w:val="15"/>
              </w:rPr>
              <w:t>2</w:t>
            </w:r>
            <w:r>
              <w:rPr>
                <w:rFonts w:cs="Arial"/>
                <w:color w:val="000000"/>
                <w:sz w:val="15"/>
                <w:szCs w:val="15"/>
              </w:rPr>
              <w:t>.</w:t>
            </w:r>
            <w:r w:rsidRPr="003003C0">
              <w:rPr>
                <w:rFonts w:cs="Arial"/>
                <w:color w:val="000000"/>
                <w:sz w:val="15"/>
                <w:szCs w:val="15"/>
              </w:rPr>
              <w:t>5</w:t>
            </w:r>
          </w:p>
        </w:tc>
      </w:tr>
      <w:tr w:rsidR="004F64EF" w:rsidRPr="003003C0" w14:paraId="55023DFB" w14:textId="77777777" w:rsidTr="00FD6B66">
        <w:trPr>
          <w:trHeight w:val="20"/>
        </w:trPr>
        <w:tc>
          <w:tcPr>
            <w:tcW w:w="3681" w:type="dxa"/>
            <w:noWrap/>
            <w:vAlign w:val="center"/>
            <w:hideMark/>
          </w:tcPr>
          <w:p w14:paraId="23C5E85F" w14:textId="77777777" w:rsidR="004F64EF" w:rsidRPr="003003C0" w:rsidRDefault="004F64EF" w:rsidP="00FD6B66">
            <w:pPr>
              <w:tabs>
                <w:tab w:val="left" w:pos="170"/>
              </w:tabs>
              <w:jc w:val="left"/>
              <w:rPr>
                <w:rFonts w:cs="Arial"/>
                <w:color w:val="000000"/>
                <w:sz w:val="15"/>
                <w:szCs w:val="15"/>
              </w:rPr>
            </w:pPr>
            <w:r w:rsidRPr="003003C0">
              <w:rPr>
                <w:rFonts w:cs="Arial"/>
                <w:color w:val="000000"/>
                <w:sz w:val="15"/>
                <w:szCs w:val="15"/>
              </w:rPr>
              <w:tab/>
              <w:t xml:space="preserve">18. </w:t>
            </w:r>
            <w:r w:rsidRPr="00D61198">
              <w:rPr>
                <w:rFonts w:cs="Arial"/>
                <w:color w:val="000000"/>
                <w:sz w:val="15"/>
                <w:szCs w:val="15"/>
              </w:rPr>
              <w:t>Cocoa and cocoa preparations</w:t>
            </w:r>
          </w:p>
        </w:tc>
        <w:tc>
          <w:tcPr>
            <w:tcW w:w="764" w:type="dxa"/>
            <w:noWrap/>
            <w:vAlign w:val="center"/>
            <w:hideMark/>
          </w:tcPr>
          <w:p w14:paraId="7A705342" w14:textId="77777777" w:rsidR="004F64EF" w:rsidRPr="003003C0" w:rsidRDefault="004F64EF" w:rsidP="00FD6B66">
            <w:pPr>
              <w:jc w:val="right"/>
              <w:rPr>
                <w:rFonts w:cs="Arial"/>
                <w:color w:val="000000"/>
                <w:sz w:val="15"/>
                <w:szCs w:val="15"/>
              </w:rPr>
            </w:pPr>
            <w:r w:rsidRPr="003003C0">
              <w:rPr>
                <w:rFonts w:cs="Arial"/>
                <w:color w:val="000000"/>
                <w:sz w:val="15"/>
                <w:szCs w:val="15"/>
              </w:rPr>
              <w:t>3</w:t>
            </w:r>
            <w:r>
              <w:rPr>
                <w:rFonts w:cs="Arial"/>
                <w:color w:val="000000"/>
                <w:sz w:val="15"/>
                <w:szCs w:val="15"/>
              </w:rPr>
              <w:t>.</w:t>
            </w:r>
            <w:r w:rsidRPr="003003C0">
              <w:rPr>
                <w:rFonts w:cs="Arial"/>
                <w:color w:val="000000"/>
                <w:sz w:val="15"/>
                <w:szCs w:val="15"/>
              </w:rPr>
              <w:t>2</w:t>
            </w:r>
          </w:p>
        </w:tc>
        <w:tc>
          <w:tcPr>
            <w:tcW w:w="764" w:type="dxa"/>
            <w:noWrap/>
            <w:vAlign w:val="center"/>
            <w:hideMark/>
          </w:tcPr>
          <w:p w14:paraId="42370782" w14:textId="77777777" w:rsidR="004F64EF" w:rsidRPr="003003C0" w:rsidRDefault="004F64EF" w:rsidP="00FD6B66">
            <w:pPr>
              <w:jc w:val="right"/>
              <w:rPr>
                <w:rFonts w:cs="Arial"/>
                <w:color w:val="000000"/>
                <w:sz w:val="15"/>
                <w:szCs w:val="15"/>
              </w:rPr>
            </w:pPr>
            <w:r w:rsidRPr="003003C0">
              <w:rPr>
                <w:rFonts w:cs="Arial"/>
                <w:color w:val="000000"/>
                <w:sz w:val="15"/>
                <w:szCs w:val="15"/>
              </w:rPr>
              <w:t>2</w:t>
            </w:r>
            <w:r>
              <w:rPr>
                <w:rFonts w:cs="Arial"/>
                <w:color w:val="000000"/>
                <w:sz w:val="15"/>
                <w:szCs w:val="15"/>
              </w:rPr>
              <w:t>.</w:t>
            </w:r>
            <w:r w:rsidRPr="003003C0">
              <w:rPr>
                <w:rFonts w:cs="Arial"/>
                <w:color w:val="000000"/>
                <w:sz w:val="15"/>
                <w:szCs w:val="15"/>
              </w:rPr>
              <w:t>9</w:t>
            </w:r>
          </w:p>
        </w:tc>
        <w:tc>
          <w:tcPr>
            <w:tcW w:w="764" w:type="dxa"/>
            <w:noWrap/>
            <w:vAlign w:val="center"/>
            <w:hideMark/>
          </w:tcPr>
          <w:p w14:paraId="5427DBDE" w14:textId="77777777" w:rsidR="004F64EF" w:rsidRPr="003003C0" w:rsidRDefault="004F64EF" w:rsidP="00FD6B66">
            <w:pPr>
              <w:jc w:val="right"/>
              <w:rPr>
                <w:rFonts w:cs="Arial"/>
                <w:color w:val="000000"/>
                <w:sz w:val="15"/>
                <w:szCs w:val="15"/>
              </w:rPr>
            </w:pPr>
            <w:r w:rsidRPr="003003C0">
              <w:rPr>
                <w:rFonts w:cs="Arial"/>
                <w:color w:val="000000"/>
                <w:sz w:val="15"/>
                <w:szCs w:val="15"/>
              </w:rPr>
              <w:t>1</w:t>
            </w:r>
            <w:r>
              <w:rPr>
                <w:rFonts w:cs="Arial"/>
                <w:color w:val="000000"/>
                <w:sz w:val="15"/>
                <w:szCs w:val="15"/>
              </w:rPr>
              <w:t>.</w:t>
            </w:r>
            <w:r w:rsidRPr="003003C0">
              <w:rPr>
                <w:rFonts w:cs="Arial"/>
                <w:color w:val="000000"/>
                <w:sz w:val="15"/>
                <w:szCs w:val="15"/>
              </w:rPr>
              <w:t>5</w:t>
            </w:r>
          </w:p>
        </w:tc>
        <w:tc>
          <w:tcPr>
            <w:tcW w:w="764" w:type="dxa"/>
            <w:noWrap/>
            <w:vAlign w:val="center"/>
            <w:hideMark/>
          </w:tcPr>
          <w:p w14:paraId="182AC518" w14:textId="77777777" w:rsidR="004F64EF" w:rsidRPr="003003C0" w:rsidRDefault="004F64EF" w:rsidP="00FD6B66">
            <w:pPr>
              <w:jc w:val="right"/>
              <w:rPr>
                <w:rFonts w:cs="Arial"/>
                <w:color w:val="000000"/>
                <w:sz w:val="15"/>
                <w:szCs w:val="15"/>
              </w:rPr>
            </w:pPr>
            <w:r w:rsidRPr="003003C0">
              <w:rPr>
                <w:rFonts w:cs="Arial"/>
                <w:color w:val="000000"/>
                <w:sz w:val="15"/>
                <w:szCs w:val="15"/>
              </w:rPr>
              <w:t>2</w:t>
            </w:r>
            <w:r>
              <w:rPr>
                <w:rFonts w:cs="Arial"/>
                <w:color w:val="000000"/>
                <w:sz w:val="15"/>
                <w:szCs w:val="15"/>
              </w:rPr>
              <w:t>.</w:t>
            </w:r>
            <w:r w:rsidRPr="003003C0">
              <w:rPr>
                <w:rFonts w:cs="Arial"/>
                <w:color w:val="000000"/>
                <w:sz w:val="15"/>
                <w:szCs w:val="15"/>
              </w:rPr>
              <w:t>2</w:t>
            </w:r>
          </w:p>
        </w:tc>
        <w:tc>
          <w:tcPr>
            <w:tcW w:w="764" w:type="dxa"/>
            <w:noWrap/>
            <w:vAlign w:val="center"/>
            <w:hideMark/>
          </w:tcPr>
          <w:p w14:paraId="3BD7DD58" w14:textId="77777777" w:rsidR="004F64EF" w:rsidRPr="003003C0" w:rsidRDefault="004F64EF" w:rsidP="00FD6B66">
            <w:pPr>
              <w:jc w:val="right"/>
              <w:rPr>
                <w:rFonts w:cs="Arial"/>
                <w:color w:val="000000"/>
                <w:sz w:val="15"/>
                <w:szCs w:val="15"/>
              </w:rPr>
            </w:pPr>
            <w:r w:rsidRPr="003003C0">
              <w:rPr>
                <w:rFonts w:cs="Arial"/>
                <w:color w:val="000000"/>
                <w:sz w:val="15"/>
                <w:szCs w:val="15"/>
              </w:rPr>
              <w:t>1</w:t>
            </w:r>
            <w:r>
              <w:rPr>
                <w:rFonts w:cs="Arial"/>
                <w:color w:val="000000"/>
                <w:sz w:val="15"/>
                <w:szCs w:val="15"/>
              </w:rPr>
              <w:t>.</w:t>
            </w:r>
            <w:r w:rsidRPr="003003C0">
              <w:rPr>
                <w:rFonts w:cs="Arial"/>
                <w:color w:val="000000"/>
                <w:sz w:val="15"/>
                <w:szCs w:val="15"/>
              </w:rPr>
              <w:t>9</w:t>
            </w:r>
          </w:p>
        </w:tc>
        <w:tc>
          <w:tcPr>
            <w:tcW w:w="764" w:type="dxa"/>
            <w:noWrap/>
            <w:vAlign w:val="center"/>
            <w:hideMark/>
          </w:tcPr>
          <w:p w14:paraId="63535893" w14:textId="77777777" w:rsidR="004F64EF" w:rsidRPr="003003C0" w:rsidRDefault="004F64EF" w:rsidP="00FD6B66">
            <w:pPr>
              <w:jc w:val="right"/>
              <w:rPr>
                <w:rFonts w:cs="Arial"/>
                <w:color w:val="000000"/>
                <w:sz w:val="15"/>
                <w:szCs w:val="15"/>
              </w:rPr>
            </w:pPr>
            <w:r w:rsidRPr="003003C0">
              <w:rPr>
                <w:rFonts w:cs="Arial"/>
                <w:color w:val="000000"/>
                <w:sz w:val="15"/>
                <w:szCs w:val="15"/>
              </w:rPr>
              <w:t>2</w:t>
            </w:r>
            <w:r>
              <w:rPr>
                <w:rFonts w:cs="Arial"/>
                <w:color w:val="000000"/>
                <w:sz w:val="15"/>
                <w:szCs w:val="15"/>
              </w:rPr>
              <w:t>.</w:t>
            </w:r>
            <w:r w:rsidRPr="003003C0">
              <w:rPr>
                <w:rFonts w:cs="Arial"/>
                <w:color w:val="000000"/>
                <w:sz w:val="15"/>
                <w:szCs w:val="15"/>
              </w:rPr>
              <w:t>4</w:t>
            </w:r>
          </w:p>
        </w:tc>
        <w:tc>
          <w:tcPr>
            <w:tcW w:w="764" w:type="dxa"/>
            <w:noWrap/>
            <w:vAlign w:val="center"/>
            <w:hideMark/>
          </w:tcPr>
          <w:p w14:paraId="0F79F6EB" w14:textId="77777777" w:rsidR="004F64EF" w:rsidRPr="003003C0" w:rsidRDefault="004F64EF" w:rsidP="00FD6B66">
            <w:pPr>
              <w:jc w:val="right"/>
              <w:rPr>
                <w:rFonts w:cs="Arial"/>
                <w:color w:val="000000"/>
                <w:sz w:val="15"/>
                <w:szCs w:val="15"/>
              </w:rPr>
            </w:pPr>
            <w:r w:rsidRPr="003003C0">
              <w:rPr>
                <w:rFonts w:cs="Arial"/>
                <w:color w:val="000000"/>
                <w:sz w:val="15"/>
                <w:szCs w:val="15"/>
              </w:rPr>
              <w:t>2</w:t>
            </w:r>
            <w:r>
              <w:rPr>
                <w:rFonts w:cs="Arial"/>
                <w:color w:val="000000"/>
                <w:sz w:val="15"/>
                <w:szCs w:val="15"/>
              </w:rPr>
              <w:t>.</w:t>
            </w:r>
            <w:r w:rsidRPr="003003C0">
              <w:rPr>
                <w:rFonts w:cs="Arial"/>
                <w:color w:val="000000"/>
                <w:sz w:val="15"/>
                <w:szCs w:val="15"/>
              </w:rPr>
              <w:t>3</w:t>
            </w:r>
          </w:p>
        </w:tc>
      </w:tr>
      <w:tr w:rsidR="004F64EF" w:rsidRPr="003003C0" w14:paraId="5110EDB3" w14:textId="77777777" w:rsidTr="00FD6B66">
        <w:trPr>
          <w:cnfStyle w:val="000000010000" w:firstRow="0" w:lastRow="0" w:firstColumn="0" w:lastColumn="0" w:oddVBand="0" w:evenVBand="0" w:oddHBand="0" w:evenHBand="1" w:firstRowFirstColumn="0" w:firstRowLastColumn="0" w:lastRowFirstColumn="0" w:lastRowLastColumn="0"/>
          <w:trHeight w:val="20"/>
        </w:trPr>
        <w:tc>
          <w:tcPr>
            <w:tcW w:w="3681" w:type="dxa"/>
            <w:noWrap/>
            <w:vAlign w:val="center"/>
            <w:hideMark/>
          </w:tcPr>
          <w:p w14:paraId="5210B141" w14:textId="77777777" w:rsidR="004F64EF" w:rsidRPr="003003C0" w:rsidRDefault="004F64EF" w:rsidP="00FD6B66">
            <w:pPr>
              <w:tabs>
                <w:tab w:val="left" w:pos="170"/>
              </w:tabs>
              <w:jc w:val="left"/>
              <w:rPr>
                <w:rFonts w:cs="Arial"/>
                <w:color w:val="000000"/>
                <w:sz w:val="15"/>
                <w:szCs w:val="15"/>
              </w:rPr>
            </w:pPr>
            <w:r w:rsidRPr="003003C0">
              <w:rPr>
                <w:rFonts w:cs="Arial"/>
                <w:color w:val="000000"/>
                <w:sz w:val="15"/>
                <w:szCs w:val="15"/>
              </w:rPr>
              <w:tab/>
              <w:t xml:space="preserve">21. </w:t>
            </w:r>
            <w:r w:rsidRPr="00D61198">
              <w:rPr>
                <w:rFonts w:cs="Arial"/>
                <w:color w:val="000000"/>
                <w:sz w:val="15"/>
                <w:szCs w:val="15"/>
              </w:rPr>
              <w:t>Miscellaneous edible preparations</w:t>
            </w:r>
          </w:p>
        </w:tc>
        <w:tc>
          <w:tcPr>
            <w:tcW w:w="764" w:type="dxa"/>
            <w:noWrap/>
            <w:vAlign w:val="center"/>
            <w:hideMark/>
          </w:tcPr>
          <w:p w14:paraId="656CFA1B" w14:textId="77777777" w:rsidR="004F64EF" w:rsidRPr="003003C0" w:rsidRDefault="004F64EF" w:rsidP="00FD6B66">
            <w:pPr>
              <w:jc w:val="right"/>
              <w:rPr>
                <w:rFonts w:cs="Arial"/>
                <w:color w:val="000000"/>
                <w:sz w:val="15"/>
                <w:szCs w:val="15"/>
              </w:rPr>
            </w:pPr>
            <w:r w:rsidRPr="003003C0">
              <w:rPr>
                <w:rFonts w:cs="Arial"/>
                <w:color w:val="000000"/>
                <w:sz w:val="15"/>
                <w:szCs w:val="15"/>
              </w:rPr>
              <w:t>3</w:t>
            </w:r>
            <w:r>
              <w:rPr>
                <w:rFonts w:cs="Arial"/>
                <w:color w:val="000000"/>
                <w:sz w:val="15"/>
                <w:szCs w:val="15"/>
              </w:rPr>
              <w:t>.</w:t>
            </w:r>
            <w:r w:rsidRPr="003003C0">
              <w:rPr>
                <w:rFonts w:cs="Arial"/>
                <w:color w:val="000000"/>
                <w:sz w:val="15"/>
                <w:szCs w:val="15"/>
              </w:rPr>
              <w:t>2</w:t>
            </w:r>
          </w:p>
        </w:tc>
        <w:tc>
          <w:tcPr>
            <w:tcW w:w="764" w:type="dxa"/>
            <w:noWrap/>
            <w:vAlign w:val="center"/>
            <w:hideMark/>
          </w:tcPr>
          <w:p w14:paraId="20C3C271" w14:textId="77777777" w:rsidR="004F64EF" w:rsidRPr="003003C0" w:rsidRDefault="004F64EF" w:rsidP="00FD6B66">
            <w:pPr>
              <w:jc w:val="right"/>
              <w:rPr>
                <w:rFonts w:cs="Arial"/>
                <w:color w:val="000000"/>
                <w:sz w:val="15"/>
                <w:szCs w:val="15"/>
              </w:rPr>
            </w:pPr>
            <w:r w:rsidRPr="003003C0">
              <w:rPr>
                <w:rFonts w:cs="Arial"/>
                <w:color w:val="000000"/>
                <w:sz w:val="15"/>
                <w:szCs w:val="15"/>
              </w:rPr>
              <w:t>2</w:t>
            </w:r>
            <w:r>
              <w:rPr>
                <w:rFonts w:cs="Arial"/>
                <w:color w:val="000000"/>
                <w:sz w:val="15"/>
                <w:szCs w:val="15"/>
              </w:rPr>
              <w:t>.</w:t>
            </w:r>
            <w:r w:rsidRPr="003003C0">
              <w:rPr>
                <w:rFonts w:cs="Arial"/>
                <w:color w:val="000000"/>
                <w:sz w:val="15"/>
                <w:szCs w:val="15"/>
              </w:rPr>
              <w:t>8</w:t>
            </w:r>
          </w:p>
        </w:tc>
        <w:tc>
          <w:tcPr>
            <w:tcW w:w="764" w:type="dxa"/>
            <w:noWrap/>
            <w:vAlign w:val="center"/>
            <w:hideMark/>
          </w:tcPr>
          <w:p w14:paraId="11071A5B" w14:textId="77777777" w:rsidR="004F64EF" w:rsidRPr="003003C0" w:rsidRDefault="004F64EF" w:rsidP="00FD6B66">
            <w:pPr>
              <w:jc w:val="right"/>
              <w:rPr>
                <w:rFonts w:cs="Arial"/>
                <w:color w:val="000000"/>
                <w:sz w:val="15"/>
                <w:szCs w:val="15"/>
              </w:rPr>
            </w:pPr>
            <w:r w:rsidRPr="003003C0">
              <w:rPr>
                <w:rFonts w:cs="Arial"/>
                <w:color w:val="000000"/>
                <w:sz w:val="15"/>
                <w:szCs w:val="15"/>
              </w:rPr>
              <w:t>2</w:t>
            </w:r>
            <w:r>
              <w:rPr>
                <w:rFonts w:cs="Arial"/>
                <w:color w:val="000000"/>
                <w:sz w:val="15"/>
                <w:szCs w:val="15"/>
              </w:rPr>
              <w:t>.</w:t>
            </w:r>
            <w:r w:rsidRPr="003003C0">
              <w:rPr>
                <w:rFonts w:cs="Arial"/>
                <w:color w:val="000000"/>
                <w:sz w:val="15"/>
                <w:szCs w:val="15"/>
              </w:rPr>
              <w:t>1</w:t>
            </w:r>
          </w:p>
        </w:tc>
        <w:tc>
          <w:tcPr>
            <w:tcW w:w="764" w:type="dxa"/>
            <w:noWrap/>
            <w:vAlign w:val="center"/>
            <w:hideMark/>
          </w:tcPr>
          <w:p w14:paraId="588ADC77" w14:textId="77777777" w:rsidR="004F64EF" w:rsidRPr="003003C0" w:rsidRDefault="004F64EF" w:rsidP="00FD6B66">
            <w:pPr>
              <w:jc w:val="right"/>
              <w:rPr>
                <w:rFonts w:cs="Arial"/>
                <w:color w:val="000000"/>
                <w:sz w:val="15"/>
                <w:szCs w:val="15"/>
              </w:rPr>
            </w:pPr>
            <w:r w:rsidRPr="003003C0">
              <w:rPr>
                <w:rFonts w:cs="Arial"/>
                <w:color w:val="000000"/>
                <w:sz w:val="15"/>
                <w:szCs w:val="15"/>
              </w:rPr>
              <w:t>1</w:t>
            </w:r>
            <w:r>
              <w:rPr>
                <w:rFonts w:cs="Arial"/>
                <w:color w:val="000000"/>
                <w:sz w:val="15"/>
                <w:szCs w:val="15"/>
              </w:rPr>
              <w:t>.</w:t>
            </w:r>
            <w:r w:rsidRPr="003003C0">
              <w:rPr>
                <w:rFonts w:cs="Arial"/>
                <w:color w:val="000000"/>
                <w:sz w:val="15"/>
                <w:szCs w:val="15"/>
              </w:rPr>
              <w:t>7</w:t>
            </w:r>
          </w:p>
        </w:tc>
        <w:tc>
          <w:tcPr>
            <w:tcW w:w="764" w:type="dxa"/>
            <w:noWrap/>
            <w:vAlign w:val="center"/>
            <w:hideMark/>
          </w:tcPr>
          <w:p w14:paraId="62389F0A" w14:textId="77777777" w:rsidR="004F64EF" w:rsidRPr="003003C0" w:rsidRDefault="004F64EF" w:rsidP="00FD6B66">
            <w:pPr>
              <w:jc w:val="right"/>
              <w:rPr>
                <w:rFonts w:cs="Arial"/>
                <w:color w:val="000000"/>
                <w:sz w:val="15"/>
                <w:szCs w:val="15"/>
              </w:rPr>
            </w:pPr>
            <w:r w:rsidRPr="003003C0">
              <w:rPr>
                <w:rFonts w:cs="Arial"/>
                <w:color w:val="000000"/>
                <w:sz w:val="15"/>
                <w:szCs w:val="15"/>
              </w:rPr>
              <w:t>1</w:t>
            </w:r>
            <w:r>
              <w:rPr>
                <w:rFonts w:cs="Arial"/>
                <w:color w:val="000000"/>
                <w:sz w:val="15"/>
                <w:szCs w:val="15"/>
              </w:rPr>
              <w:t>.</w:t>
            </w:r>
            <w:r w:rsidRPr="003003C0">
              <w:rPr>
                <w:rFonts w:cs="Arial"/>
                <w:color w:val="000000"/>
                <w:sz w:val="15"/>
                <w:szCs w:val="15"/>
              </w:rPr>
              <w:t>8</w:t>
            </w:r>
          </w:p>
        </w:tc>
        <w:tc>
          <w:tcPr>
            <w:tcW w:w="764" w:type="dxa"/>
            <w:noWrap/>
            <w:vAlign w:val="center"/>
            <w:hideMark/>
          </w:tcPr>
          <w:p w14:paraId="313A2C5C" w14:textId="77777777" w:rsidR="004F64EF" w:rsidRPr="003003C0" w:rsidRDefault="004F64EF" w:rsidP="00FD6B66">
            <w:pPr>
              <w:jc w:val="right"/>
              <w:rPr>
                <w:rFonts w:cs="Arial"/>
                <w:color w:val="000000"/>
                <w:sz w:val="15"/>
                <w:szCs w:val="15"/>
              </w:rPr>
            </w:pPr>
            <w:r w:rsidRPr="003003C0">
              <w:rPr>
                <w:rFonts w:cs="Arial"/>
                <w:color w:val="000000"/>
                <w:sz w:val="15"/>
                <w:szCs w:val="15"/>
              </w:rPr>
              <w:t>1</w:t>
            </w:r>
            <w:r>
              <w:rPr>
                <w:rFonts w:cs="Arial"/>
                <w:color w:val="000000"/>
                <w:sz w:val="15"/>
                <w:szCs w:val="15"/>
              </w:rPr>
              <w:t>.</w:t>
            </w:r>
            <w:r w:rsidRPr="003003C0">
              <w:rPr>
                <w:rFonts w:cs="Arial"/>
                <w:color w:val="000000"/>
                <w:sz w:val="15"/>
                <w:szCs w:val="15"/>
              </w:rPr>
              <w:t>9</w:t>
            </w:r>
          </w:p>
        </w:tc>
        <w:tc>
          <w:tcPr>
            <w:tcW w:w="764" w:type="dxa"/>
            <w:noWrap/>
            <w:vAlign w:val="center"/>
            <w:hideMark/>
          </w:tcPr>
          <w:p w14:paraId="1FC48437" w14:textId="77777777" w:rsidR="004F64EF" w:rsidRPr="003003C0" w:rsidRDefault="004F64EF" w:rsidP="00FD6B66">
            <w:pPr>
              <w:jc w:val="right"/>
              <w:rPr>
                <w:rFonts w:cs="Arial"/>
                <w:color w:val="000000"/>
                <w:sz w:val="15"/>
                <w:szCs w:val="15"/>
              </w:rPr>
            </w:pPr>
            <w:r w:rsidRPr="003003C0">
              <w:rPr>
                <w:rFonts w:cs="Arial"/>
                <w:color w:val="000000"/>
                <w:sz w:val="15"/>
                <w:szCs w:val="15"/>
              </w:rPr>
              <w:t>1</w:t>
            </w:r>
            <w:r>
              <w:rPr>
                <w:rFonts w:cs="Arial"/>
                <w:color w:val="000000"/>
                <w:sz w:val="15"/>
                <w:szCs w:val="15"/>
              </w:rPr>
              <w:t>.</w:t>
            </w:r>
            <w:r w:rsidRPr="003003C0">
              <w:rPr>
                <w:rFonts w:cs="Arial"/>
                <w:color w:val="000000"/>
                <w:sz w:val="15"/>
                <w:szCs w:val="15"/>
              </w:rPr>
              <w:t>6</w:t>
            </w:r>
          </w:p>
        </w:tc>
      </w:tr>
      <w:tr w:rsidR="004F64EF" w:rsidRPr="003003C0" w14:paraId="34D4B32D" w14:textId="77777777" w:rsidTr="00FD6B66">
        <w:trPr>
          <w:trHeight w:val="20"/>
        </w:trPr>
        <w:tc>
          <w:tcPr>
            <w:tcW w:w="3681" w:type="dxa"/>
            <w:noWrap/>
            <w:vAlign w:val="center"/>
            <w:hideMark/>
          </w:tcPr>
          <w:p w14:paraId="117BBCF4" w14:textId="77777777" w:rsidR="004F64EF" w:rsidRPr="003003C0" w:rsidRDefault="004F64EF" w:rsidP="003E0CD7">
            <w:pPr>
              <w:tabs>
                <w:tab w:val="left" w:pos="170"/>
              </w:tabs>
              <w:ind w:left="170" w:hanging="170"/>
              <w:jc w:val="left"/>
              <w:rPr>
                <w:rFonts w:cs="Arial"/>
                <w:color w:val="000000"/>
                <w:sz w:val="15"/>
                <w:szCs w:val="15"/>
              </w:rPr>
            </w:pPr>
            <w:r w:rsidRPr="003003C0">
              <w:rPr>
                <w:rFonts w:cs="Arial"/>
                <w:color w:val="000000"/>
                <w:sz w:val="15"/>
                <w:szCs w:val="15"/>
              </w:rPr>
              <w:tab/>
              <w:t xml:space="preserve">19. </w:t>
            </w:r>
            <w:r w:rsidRPr="00D61198">
              <w:rPr>
                <w:rFonts w:cs="Arial"/>
                <w:color w:val="000000"/>
                <w:sz w:val="15"/>
                <w:szCs w:val="15"/>
              </w:rPr>
              <w:t>Preparations of cereals, flour, starch or milk</w:t>
            </w:r>
          </w:p>
        </w:tc>
        <w:tc>
          <w:tcPr>
            <w:tcW w:w="764" w:type="dxa"/>
            <w:noWrap/>
            <w:vAlign w:val="center"/>
            <w:hideMark/>
          </w:tcPr>
          <w:p w14:paraId="530C96B6" w14:textId="77777777" w:rsidR="004F64EF" w:rsidRPr="003003C0" w:rsidRDefault="004F64EF" w:rsidP="00FD6B66">
            <w:pPr>
              <w:jc w:val="right"/>
              <w:rPr>
                <w:rFonts w:cs="Arial"/>
                <w:color w:val="000000"/>
                <w:sz w:val="15"/>
                <w:szCs w:val="15"/>
              </w:rPr>
            </w:pPr>
            <w:r w:rsidRPr="003003C0">
              <w:rPr>
                <w:rFonts w:cs="Arial"/>
                <w:color w:val="000000"/>
                <w:sz w:val="15"/>
                <w:szCs w:val="15"/>
              </w:rPr>
              <w:t>0</w:t>
            </w:r>
            <w:r>
              <w:rPr>
                <w:rFonts w:cs="Arial"/>
                <w:color w:val="000000"/>
                <w:sz w:val="15"/>
                <w:szCs w:val="15"/>
              </w:rPr>
              <w:t>.</w:t>
            </w:r>
            <w:r w:rsidRPr="003003C0">
              <w:rPr>
                <w:rFonts w:cs="Arial"/>
                <w:color w:val="000000"/>
                <w:sz w:val="15"/>
                <w:szCs w:val="15"/>
              </w:rPr>
              <w:t>9</w:t>
            </w:r>
          </w:p>
        </w:tc>
        <w:tc>
          <w:tcPr>
            <w:tcW w:w="764" w:type="dxa"/>
            <w:noWrap/>
            <w:vAlign w:val="center"/>
            <w:hideMark/>
          </w:tcPr>
          <w:p w14:paraId="24FE9531" w14:textId="77777777" w:rsidR="004F64EF" w:rsidRPr="003003C0" w:rsidRDefault="004F64EF" w:rsidP="00FD6B66">
            <w:pPr>
              <w:jc w:val="right"/>
              <w:rPr>
                <w:rFonts w:cs="Arial"/>
                <w:color w:val="000000"/>
                <w:sz w:val="15"/>
                <w:szCs w:val="15"/>
              </w:rPr>
            </w:pPr>
            <w:r w:rsidRPr="003003C0">
              <w:rPr>
                <w:rFonts w:cs="Arial"/>
                <w:color w:val="000000"/>
                <w:sz w:val="15"/>
                <w:szCs w:val="15"/>
              </w:rPr>
              <w:t>0</w:t>
            </w:r>
            <w:r>
              <w:rPr>
                <w:rFonts w:cs="Arial"/>
                <w:color w:val="000000"/>
                <w:sz w:val="15"/>
                <w:szCs w:val="15"/>
              </w:rPr>
              <w:t>.</w:t>
            </w:r>
            <w:r w:rsidRPr="003003C0">
              <w:rPr>
                <w:rFonts w:cs="Arial"/>
                <w:color w:val="000000"/>
                <w:sz w:val="15"/>
                <w:szCs w:val="15"/>
              </w:rPr>
              <w:t>8</w:t>
            </w:r>
          </w:p>
        </w:tc>
        <w:tc>
          <w:tcPr>
            <w:tcW w:w="764" w:type="dxa"/>
            <w:noWrap/>
            <w:vAlign w:val="center"/>
            <w:hideMark/>
          </w:tcPr>
          <w:p w14:paraId="55AE40CE" w14:textId="77777777" w:rsidR="004F64EF" w:rsidRPr="003003C0" w:rsidRDefault="004F64EF" w:rsidP="00FD6B66">
            <w:pPr>
              <w:jc w:val="right"/>
              <w:rPr>
                <w:rFonts w:cs="Arial"/>
                <w:color w:val="000000"/>
                <w:sz w:val="15"/>
                <w:szCs w:val="15"/>
              </w:rPr>
            </w:pPr>
            <w:r w:rsidRPr="003003C0">
              <w:rPr>
                <w:rFonts w:cs="Arial"/>
                <w:color w:val="000000"/>
                <w:sz w:val="15"/>
                <w:szCs w:val="15"/>
              </w:rPr>
              <w:t>0</w:t>
            </w:r>
            <w:r>
              <w:rPr>
                <w:rFonts w:cs="Arial"/>
                <w:color w:val="000000"/>
                <w:sz w:val="15"/>
                <w:szCs w:val="15"/>
              </w:rPr>
              <w:t>.</w:t>
            </w:r>
            <w:r w:rsidRPr="003003C0">
              <w:rPr>
                <w:rFonts w:cs="Arial"/>
                <w:color w:val="000000"/>
                <w:sz w:val="15"/>
                <w:szCs w:val="15"/>
              </w:rPr>
              <w:t>9</w:t>
            </w:r>
          </w:p>
        </w:tc>
        <w:tc>
          <w:tcPr>
            <w:tcW w:w="764" w:type="dxa"/>
            <w:noWrap/>
            <w:vAlign w:val="center"/>
            <w:hideMark/>
          </w:tcPr>
          <w:p w14:paraId="18F90E08" w14:textId="77777777" w:rsidR="004F64EF" w:rsidRPr="003003C0" w:rsidRDefault="004F64EF" w:rsidP="00FD6B66">
            <w:pPr>
              <w:jc w:val="right"/>
              <w:rPr>
                <w:rFonts w:cs="Arial"/>
                <w:color w:val="000000"/>
                <w:sz w:val="15"/>
                <w:szCs w:val="15"/>
              </w:rPr>
            </w:pPr>
            <w:r w:rsidRPr="003003C0">
              <w:rPr>
                <w:rFonts w:cs="Arial"/>
                <w:color w:val="000000"/>
                <w:sz w:val="15"/>
                <w:szCs w:val="15"/>
              </w:rPr>
              <w:t>1</w:t>
            </w:r>
            <w:r>
              <w:rPr>
                <w:rFonts w:cs="Arial"/>
                <w:color w:val="000000"/>
                <w:sz w:val="15"/>
                <w:szCs w:val="15"/>
              </w:rPr>
              <w:t>.</w:t>
            </w:r>
            <w:r w:rsidRPr="003003C0">
              <w:rPr>
                <w:rFonts w:cs="Arial"/>
                <w:color w:val="000000"/>
                <w:sz w:val="15"/>
                <w:szCs w:val="15"/>
              </w:rPr>
              <w:t>1</w:t>
            </w:r>
          </w:p>
        </w:tc>
        <w:tc>
          <w:tcPr>
            <w:tcW w:w="764" w:type="dxa"/>
            <w:noWrap/>
            <w:vAlign w:val="center"/>
            <w:hideMark/>
          </w:tcPr>
          <w:p w14:paraId="259C11AA" w14:textId="77777777" w:rsidR="004F64EF" w:rsidRPr="003003C0" w:rsidRDefault="004F64EF" w:rsidP="00FD6B66">
            <w:pPr>
              <w:jc w:val="right"/>
              <w:rPr>
                <w:rFonts w:cs="Arial"/>
                <w:color w:val="000000"/>
                <w:sz w:val="15"/>
                <w:szCs w:val="15"/>
              </w:rPr>
            </w:pPr>
            <w:r w:rsidRPr="003003C0">
              <w:rPr>
                <w:rFonts w:cs="Arial"/>
                <w:color w:val="000000"/>
                <w:sz w:val="15"/>
                <w:szCs w:val="15"/>
              </w:rPr>
              <w:t>0</w:t>
            </w:r>
            <w:r>
              <w:rPr>
                <w:rFonts w:cs="Arial"/>
                <w:color w:val="000000"/>
                <w:sz w:val="15"/>
                <w:szCs w:val="15"/>
              </w:rPr>
              <w:t>.</w:t>
            </w:r>
            <w:r w:rsidRPr="003003C0">
              <w:rPr>
                <w:rFonts w:cs="Arial"/>
                <w:color w:val="000000"/>
                <w:sz w:val="15"/>
                <w:szCs w:val="15"/>
              </w:rPr>
              <w:t>9</w:t>
            </w:r>
          </w:p>
        </w:tc>
        <w:tc>
          <w:tcPr>
            <w:tcW w:w="764" w:type="dxa"/>
            <w:noWrap/>
            <w:vAlign w:val="center"/>
            <w:hideMark/>
          </w:tcPr>
          <w:p w14:paraId="6F5E688B" w14:textId="77777777" w:rsidR="004F64EF" w:rsidRPr="003003C0" w:rsidRDefault="004F64EF" w:rsidP="00FD6B66">
            <w:pPr>
              <w:jc w:val="right"/>
              <w:rPr>
                <w:rFonts w:cs="Arial"/>
                <w:color w:val="000000"/>
                <w:sz w:val="15"/>
                <w:szCs w:val="15"/>
              </w:rPr>
            </w:pPr>
            <w:r w:rsidRPr="003003C0">
              <w:rPr>
                <w:rFonts w:cs="Arial"/>
                <w:color w:val="000000"/>
                <w:sz w:val="15"/>
                <w:szCs w:val="15"/>
              </w:rPr>
              <w:t>1</w:t>
            </w:r>
            <w:r>
              <w:rPr>
                <w:rFonts w:cs="Arial"/>
                <w:color w:val="000000"/>
                <w:sz w:val="15"/>
                <w:szCs w:val="15"/>
              </w:rPr>
              <w:t>.</w:t>
            </w:r>
            <w:r w:rsidRPr="003003C0">
              <w:rPr>
                <w:rFonts w:cs="Arial"/>
                <w:color w:val="000000"/>
                <w:sz w:val="15"/>
                <w:szCs w:val="15"/>
              </w:rPr>
              <w:t>3</w:t>
            </w:r>
          </w:p>
        </w:tc>
        <w:tc>
          <w:tcPr>
            <w:tcW w:w="764" w:type="dxa"/>
            <w:noWrap/>
            <w:vAlign w:val="center"/>
            <w:hideMark/>
          </w:tcPr>
          <w:p w14:paraId="13DD88C5" w14:textId="77777777" w:rsidR="004F64EF" w:rsidRPr="003003C0" w:rsidRDefault="004F64EF" w:rsidP="00FD6B66">
            <w:pPr>
              <w:jc w:val="right"/>
              <w:rPr>
                <w:rFonts w:cs="Arial"/>
                <w:color w:val="000000"/>
                <w:sz w:val="15"/>
                <w:szCs w:val="15"/>
              </w:rPr>
            </w:pPr>
            <w:r w:rsidRPr="003003C0">
              <w:rPr>
                <w:rFonts w:cs="Arial"/>
                <w:color w:val="000000"/>
                <w:sz w:val="15"/>
                <w:szCs w:val="15"/>
              </w:rPr>
              <w:t>1</w:t>
            </w:r>
            <w:r>
              <w:rPr>
                <w:rFonts w:cs="Arial"/>
                <w:color w:val="000000"/>
                <w:sz w:val="15"/>
                <w:szCs w:val="15"/>
              </w:rPr>
              <w:t>.</w:t>
            </w:r>
            <w:r w:rsidRPr="003003C0">
              <w:rPr>
                <w:rFonts w:cs="Arial"/>
                <w:color w:val="000000"/>
                <w:sz w:val="15"/>
                <w:szCs w:val="15"/>
              </w:rPr>
              <w:t>5</w:t>
            </w:r>
          </w:p>
        </w:tc>
      </w:tr>
      <w:tr w:rsidR="004F64EF" w:rsidRPr="003003C0" w14:paraId="460FCA19" w14:textId="77777777" w:rsidTr="00FD6B66">
        <w:trPr>
          <w:cnfStyle w:val="000000010000" w:firstRow="0" w:lastRow="0" w:firstColumn="0" w:lastColumn="0" w:oddVBand="0" w:evenVBand="0" w:oddHBand="0" w:evenHBand="1" w:firstRowFirstColumn="0" w:firstRowLastColumn="0" w:lastRowFirstColumn="0" w:lastRowLastColumn="0"/>
          <w:trHeight w:val="20"/>
        </w:trPr>
        <w:tc>
          <w:tcPr>
            <w:tcW w:w="3681" w:type="dxa"/>
            <w:noWrap/>
            <w:vAlign w:val="center"/>
            <w:hideMark/>
          </w:tcPr>
          <w:p w14:paraId="5EEA955F" w14:textId="77777777" w:rsidR="004F64EF" w:rsidRPr="003003C0" w:rsidRDefault="004F64EF" w:rsidP="003E0CD7">
            <w:pPr>
              <w:tabs>
                <w:tab w:val="left" w:pos="170"/>
              </w:tabs>
              <w:ind w:left="170" w:hanging="170"/>
              <w:jc w:val="left"/>
              <w:rPr>
                <w:rFonts w:cs="Arial"/>
                <w:color w:val="000000"/>
                <w:sz w:val="15"/>
                <w:szCs w:val="15"/>
              </w:rPr>
            </w:pPr>
            <w:r w:rsidRPr="003003C0">
              <w:rPr>
                <w:rFonts w:cs="Arial"/>
                <w:color w:val="000000"/>
                <w:sz w:val="15"/>
                <w:szCs w:val="15"/>
              </w:rPr>
              <w:tab/>
              <w:t xml:space="preserve">20. </w:t>
            </w:r>
            <w:r w:rsidRPr="00D61198">
              <w:rPr>
                <w:rFonts w:cs="Arial"/>
                <w:color w:val="000000"/>
                <w:sz w:val="15"/>
                <w:szCs w:val="15"/>
              </w:rPr>
              <w:t>Preparations of vegetables, fruit, nuts or other parts of plants</w:t>
            </w:r>
          </w:p>
        </w:tc>
        <w:tc>
          <w:tcPr>
            <w:tcW w:w="764" w:type="dxa"/>
            <w:noWrap/>
            <w:vAlign w:val="center"/>
            <w:hideMark/>
          </w:tcPr>
          <w:p w14:paraId="6871370D" w14:textId="77777777" w:rsidR="004F64EF" w:rsidRPr="003003C0" w:rsidRDefault="004F64EF" w:rsidP="00FD6B66">
            <w:pPr>
              <w:jc w:val="right"/>
              <w:rPr>
                <w:rFonts w:cs="Arial"/>
                <w:color w:val="000000"/>
                <w:sz w:val="15"/>
                <w:szCs w:val="15"/>
              </w:rPr>
            </w:pPr>
            <w:r w:rsidRPr="003003C0">
              <w:rPr>
                <w:rFonts w:cs="Arial"/>
                <w:color w:val="000000"/>
                <w:sz w:val="15"/>
                <w:szCs w:val="15"/>
              </w:rPr>
              <w:t>1</w:t>
            </w:r>
            <w:r>
              <w:rPr>
                <w:rFonts w:cs="Arial"/>
                <w:color w:val="000000"/>
                <w:sz w:val="15"/>
                <w:szCs w:val="15"/>
              </w:rPr>
              <w:t>.</w:t>
            </w:r>
            <w:r w:rsidRPr="003003C0">
              <w:rPr>
                <w:rFonts w:cs="Arial"/>
                <w:color w:val="000000"/>
                <w:sz w:val="15"/>
                <w:szCs w:val="15"/>
              </w:rPr>
              <w:t>2</w:t>
            </w:r>
          </w:p>
        </w:tc>
        <w:tc>
          <w:tcPr>
            <w:tcW w:w="764" w:type="dxa"/>
            <w:noWrap/>
            <w:vAlign w:val="center"/>
            <w:hideMark/>
          </w:tcPr>
          <w:p w14:paraId="5A59C9E2" w14:textId="77777777" w:rsidR="004F64EF" w:rsidRPr="003003C0" w:rsidRDefault="004F64EF" w:rsidP="00FD6B66">
            <w:pPr>
              <w:jc w:val="right"/>
              <w:rPr>
                <w:rFonts w:cs="Arial"/>
                <w:color w:val="000000"/>
                <w:sz w:val="15"/>
                <w:szCs w:val="15"/>
              </w:rPr>
            </w:pPr>
            <w:r w:rsidRPr="003003C0">
              <w:rPr>
                <w:rFonts w:cs="Arial"/>
                <w:color w:val="000000"/>
                <w:sz w:val="15"/>
                <w:szCs w:val="15"/>
              </w:rPr>
              <w:t>1</w:t>
            </w:r>
            <w:r>
              <w:rPr>
                <w:rFonts w:cs="Arial"/>
                <w:color w:val="000000"/>
                <w:sz w:val="15"/>
                <w:szCs w:val="15"/>
              </w:rPr>
              <w:t>.</w:t>
            </w:r>
            <w:r w:rsidRPr="003003C0">
              <w:rPr>
                <w:rFonts w:cs="Arial"/>
                <w:color w:val="000000"/>
                <w:sz w:val="15"/>
                <w:szCs w:val="15"/>
              </w:rPr>
              <w:t>2</w:t>
            </w:r>
          </w:p>
        </w:tc>
        <w:tc>
          <w:tcPr>
            <w:tcW w:w="764" w:type="dxa"/>
            <w:noWrap/>
            <w:vAlign w:val="center"/>
            <w:hideMark/>
          </w:tcPr>
          <w:p w14:paraId="41A2CCFA" w14:textId="77777777" w:rsidR="004F64EF" w:rsidRPr="003003C0" w:rsidRDefault="004F64EF" w:rsidP="00FD6B66">
            <w:pPr>
              <w:jc w:val="right"/>
              <w:rPr>
                <w:rFonts w:cs="Arial"/>
                <w:color w:val="000000"/>
                <w:sz w:val="15"/>
                <w:szCs w:val="15"/>
              </w:rPr>
            </w:pPr>
            <w:r w:rsidRPr="003003C0">
              <w:rPr>
                <w:rFonts w:cs="Arial"/>
                <w:color w:val="000000"/>
                <w:sz w:val="15"/>
                <w:szCs w:val="15"/>
              </w:rPr>
              <w:t>1</w:t>
            </w:r>
            <w:r>
              <w:rPr>
                <w:rFonts w:cs="Arial"/>
                <w:color w:val="000000"/>
                <w:sz w:val="15"/>
                <w:szCs w:val="15"/>
              </w:rPr>
              <w:t>.</w:t>
            </w:r>
            <w:r w:rsidRPr="003003C0">
              <w:rPr>
                <w:rFonts w:cs="Arial"/>
                <w:color w:val="000000"/>
                <w:sz w:val="15"/>
                <w:szCs w:val="15"/>
              </w:rPr>
              <w:t>2</w:t>
            </w:r>
          </w:p>
        </w:tc>
        <w:tc>
          <w:tcPr>
            <w:tcW w:w="764" w:type="dxa"/>
            <w:noWrap/>
            <w:vAlign w:val="center"/>
            <w:hideMark/>
          </w:tcPr>
          <w:p w14:paraId="1D9E5F8D" w14:textId="77777777" w:rsidR="004F64EF" w:rsidRPr="003003C0" w:rsidRDefault="004F64EF" w:rsidP="00FD6B66">
            <w:pPr>
              <w:jc w:val="right"/>
              <w:rPr>
                <w:rFonts w:cs="Arial"/>
                <w:color w:val="000000"/>
                <w:sz w:val="15"/>
                <w:szCs w:val="15"/>
              </w:rPr>
            </w:pPr>
            <w:r w:rsidRPr="003003C0">
              <w:rPr>
                <w:rFonts w:cs="Arial"/>
                <w:color w:val="000000"/>
                <w:sz w:val="15"/>
                <w:szCs w:val="15"/>
              </w:rPr>
              <w:t>1</w:t>
            </w:r>
            <w:r>
              <w:rPr>
                <w:rFonts w:cs="Arial"/>
                <w:color w:val="000000"/>
                <w:sz w:val="15"/>
                <w:szCs w:val="15"/>
              </w:rPr>
              <w:t>.</w:t>
            </w:r>
            <w:r w:rsidRPr="003003C0">
              <w:rPr>
                <w:rFonts w:cs="Arial"/>
                <w:color w:val="000000"/>
                <w:sz w:val="15"/>
                <w:szCs w:val="15"/>
              </w:rPr>
              <w:t>4</w:t>
            </w:r>
          </w:p>
        </w:tc>
        <w:tc>
          <w:tcPr>
            <w:tcW w:w="764" w:type="dxa"/>
            <w:noWrap/>
            <w:vAlign w:val="center"/>
            <w:hideMark/>
          </w:tcPr>
          <w:p w14:paraId="5FC457B2" w14:textId="77777777" w:rsidR="004F64EF" w:rsidRPr="003003C0" w:rsidRDefault="004F64EF" w:rsidP="00FD6B66">
            <w:pPr>
              <w:jc w:val="right"/>
              <w:rPr>
                <w:rFonts w:cs="Arial"/>
                <w:color w:val="000000"/>
                <w:sz w:val="15"/>
                <w:szCs w:val="15"/>
              </w:rPr>
            </w:pPr>
            <w:r w:rsidRPr="003003C0">
              <w:rPr>
                <w:rFonts w:cs="Arial"/>
                <w:color w:val="000000"/>
                <w:sz w:val="15"/>
                <w:szCs w:val="15"/>
              </w:rPr>
              <w:t>1</w:t>
            </w:r>
            <w:r>
              <w:rPr>
                <w:rFonts w:cs="Arial"/>
                <w:color w:val="000000"/>
                <w:sz w:val="15"/>
                <w:szCs w:val="15"/>
              </w:rPr>
              <w:t>.</w:t>
            </w:r>
            <w:r w:rsidRPr="003003C0">
              <w:rPr>
                <w:rFonts w:cs="Arial"/>
                <w:color w:val="000000"/>
                <w:sz w:val="15"/>
                <w:szCs w:val="15"/>
              </w:rPr>
              <w:t>0</w:t>
            </w:r>
          </w:p>
        </w:tc>
        <w:tc>
          <w:tcPr>
            <w:tcW w:w="764" w:type="dxa"/>
            <w:noWrap/>
            <w:vAlign w:val="center"/>
            <w:hideMark/>
          </w:tcPr>
          <w:p w14:paraId="0A653FB4" w14:textId="77777777" w:rsidR="004F64EF" w:rsidRPr="003003C0" w:rsidRDefault="004F64EF" w:rsidP="00FD6B66">
            <w:pPr>
              <w:jc w:val="right"/>
              <w:rPr>
                <w:rFonts w:cs="Arial"/>
                <w:color w:val="000000"/>
                <w:sz w:val="15"/>
                <w:szCs w:val="15"/>
              </w:rPr>
            </w:pPr>
            <w:r w:rsidRPr="003003C0">
              <w:rPr>
                <w:rFonts w:cs="Arial"/>
                <w:color w:val="000000"/>
                <w:sz w:val="15"/>
                <w:szCs w:val="15"/>
              </w:rPr>
              <w:t>1</w:t>
            </w:r>
            <w:r>
              <w:rPr>
                <w:rFonts w:cs="Arial"/>
                <w:color w:val="000000"/>
                <w:sz w:val="15"/>
                <w:szCs w:val="15"/>
              </w:rPr>
              <w:t>.</w:t>
            </w:r>
            <w:r w:rsidRPr="003003C0">
              <w:rPr>
                <w:rFonts w:cs="Arial"/>
                <w:color w:val="000000"/>
                <w:sz w:val="15"/>
                <w:szCs w:val="15"/>
              </w:rPr>
              <w:t>0</w:t>
            </w:r>
          </w:p>
        </w:tc>
        <w:tc>
          <w:tcPr>
            <w:tcW w:w="764" w:type="dxa"/>
            <w:noWrap/>
            <w:vAlign w:val="center"/>
            <w:hideMark/>
          </w:tcPr>
          <w:p w14:paraId="69498F6A" w14:textId="77777777" w:rsidR="004F64EF" w:rsidRPr="003003C0" w:rsidRDefault="004F64EF" w:rsidP="00FD6B66">
            <w:pPr>
              <w:jc w:val="right"/>
              <w:rPr>
                <w:rFonts w:cs="Arial"/>
                <w:color w:val="000000"/>
                <w:sz w:val="15"/>
                <w:szCs w:val="15"/>
              </w:rPr>
            </w:pPr>
            <w:r w:rsidRPr="003003C0">
              <w:rPr>
                <w:rFonts w:cs="Arial"/>
                <w:color w:val="000000"/>
                <w:sz w:val="15"/>
                <w:szCs w:val="15"/>
              </w:rPr>
              <w:t>1</w:t>
            </w:r>
            <w:r>
              <w:rPr>
                <w:rFonts w:cs="Arial"/>
                <w:color w:val="000000"/>
                <w:sz w:val="15"/>
                <w:szCs w:val="15"/>
              </w:rPr>
              <w:t>.</w:t>
            </w:r>
            <w:r w:rsidRPr="003003C0">
              <w:rPr>
                <w:rFonts w:cs="Arial"/>
                <w:color w:val="000000"/>
                <w:sz w:val="15"/>
                <w:szCs w:val="15"/>
              </w:rPr>
              <w:t>1</w:t>
            </w:r>
          </w:p>
        </w:tc>
      </w:tr>
      <w:tr w:rsidR="004F64EF" w:rsidRPr="003003C0" w14:paraId="6E8AA481" w14:textId="77777777" w:rsidTr="00FD6B66">
        <w:trPr>
          <w:trHeight w:val="20"/>
        </w:trPr>
        <w:tc>
          <w:tcPr>
            <w:tcW w:w="3681" w:type="dxa"/>
            <w:noWrap/>
            <w:vAlign w:val="center"/>
            <w:hideMark/>
          </w:tcPr>
          <w:p w14:paraId="66C8ECD5" w14:textId="77777777" w:rsidR="004F64EF" w:rsidRPr="003003C0" w:rsidRDefault="004F64EF" w:rsidP="00FD6B66">
            <w:pPr>
              <w:jc w:val="left"/>
              <w:rPr>
                <w:rFonts w:cs="Arial"/>
                <w:color w:val="000000"/>
                <w:sz w:val="15"/>
                <w:szCs w:val="15"/>
              </w:rPr>
            </w:pPr>
            <w:r w:rsidRPr="003003C0">
              <w:rPr>
                <w:rFonts w:cs="Arial"/>
                <w:color w:val="000000"/>
                <w:sz w:val="15"/>
                <w:szCs w:val="15"/>
              </w:rPr>
              <w:t xml:space="preserve">5 </w:t>
            </w:r>
            <w:r>
              <w:rPr>
                <w:rFonts w:cs="Arial"/>
                <w:color w:val="000000"/>
                <w:sz w:val="15"/>
                <w:szCs w:val="15"/>
              </w:rPr>
              <w:t>–</w:t>
            </w:r>
            <w:r w:rsidRPr="003003C0">
              <w:rPr>
                <w:rFonts w:cs="Arial"/>
                <w:color w:val="000000"/>
                <w:sz w:val="15"/>
                <w:szCs w:val="15"/>
              </w:rPr>
              <w:t xml:space="preserve"> </w:t>
            </w:r>
            <w:r>
              <w:rPr>
                <w:rFonts w:cs="Arial"/>
                <w:color w:val="000000"/>
                <w:sz w:val="15"/>
                <w:szCs w:val="15"/>
              </w:rPr>
              <w:t>Mineral products</w:t>
            </w:r>
          </w:p>
        </w:tc>
        <w:tc>
          <w:tcPr>
            <w:tcW w:w="764" w:type="dxa"/>
            <w:noWrap/>
            <w:vAlign w:val="center"/>
            <w:hideMark/>
          </w:tcPr>
          <w:p w14:paraId="453299B8" w14:textId="77777777" w:rsidR="004F64EF" w:rsidRPr="003003C0" w:rsidRDefault="004F64EF" w:rsidP="00FD6B66">
            <w:pPr>
              <w:jc w:val="right"/>
              <w:rPr>
                <w:rFonts w:cs="Arial"/>
                <w:color w:val="000000"/>
                <w:sz w:val="15"/>
                <w:szCs w:val="15"/>
              </w:rPr>
            </w:pPr>
            <w:r w:rsidRPr="003003C0">
              <w:rPr>
                <w:rFonts w:cs="Arial"/>
                <w:color w:val="000000"/>
                <w:sz w:val="15"/>
                <w:szCs w:val="15"/>
              </w:rPr>
              <w:t>14</w:t>
            </w:r>
            <w:r>
              <w:rPr>
                <w:rFonts w:cs="Arial"/>
                <w:color w:val="000000"/>
                <w:sz w:val="15"/>
                <w:szCs w:val="15"/>
              </w:rPr>
              <w:t>.</w:t>
            </w:r>
            <w:r w:rsidRPr="003003C0">
              <w:rPr>
                <w:rFonts w:cs="Arial"/>
                <w:color w:val="000000"/>
                <w:sz w:val="15"/>
                <w:szCs w:val="15"/>
              </w:rPr>
              <w:t>6</w:t>
            </w:r>
          </w:p>
        </w:tc>
        <w:tc>
          <w:tcPr>
            <w:tcW w:w="764" w:type="dxa"/>
            <w:noWrap/>
            <w:vAlign w:val="center"/>
            <w:hideMark/>
          </w:tcPr>
          <w:p w14:paraId="414008BA" w14:textId="77777777" w:rsidR="004F64EF" w:rsidRPr="003003C0" w:rsidRDefault="004F64EF" w:rsidP="00FD6B66">
            <w:pPr>
              <w:jc w:val="right"/>
              <w:rPr>
                <w:rFonts w:cs="Arial"/>
                <w:color w:val="000000"/>
                <w:sz w:val="15"/>
                <w:szCs w:val="15"/>
              </w:rPr>
            </w:pPr>
            <w:r w:rsidRPr="003003C0">
              <w:rPr>
                <w:rFonts w:cs="Arial"/>
                <w:color w:val="000000"/>
                <w:sz w:val="15"/>
                <w:szCs w:val="15"/>
              </w:rPr>
              <w:t>11</w:t>
            </w:r>
            <w:r>
              <w:rPr>
                <w:rFonts w:cs="Arial"/>
                <w:color w:val="000000"/>
                <w:sz w:val="15"/>
                <w:szCs w:val="15"/>
              </w:rPr>
              <w:t>.</w:t>
            </w:r>
            <w:r w:rsidRPr="003003C0">
              <w:rPr>
                <w:rFonts w:cs="Arial"/>
                <w:color w:val="000000"/>
                <w:sz w:val="15"/>
                <w:szCs w:val="15"/>
              </w:rPr>
              <w:t>8</w:t>
            </w:r>
          </w:p>
        </w:tc>
        <w:tc>
          <w:tcPr>
            <w:tcW w:w="764" w:type="dxa"/>
            <w:noWrap/>
            <w:vAlign w:val="center"/>
            <w:hideMark/>
          </w:tcPr>
          <w:p w14:paraId="509B9C17" w14:textId="77777777" w:rsidR="004F64EF" w:rsidRPr="003003C0" w:rsidRDefault="004F64EF" w:rsidP="00FD6B66">
            <w:pPr>
              <w:jc w:val="right"/>
              <w:rPr>
                <w:rFonts w:cs="Arial"/>
                <w:color w:val="000000"/>
                <w:sz w:val="15"/>
                <w:szCs w:val="15"/>
              </w:rPr>
            </w:pPr>
            <w:r w:rsidRPr="003003C0">
              <w:rPr>
                <w:rFonts w:cs="Arial"/>
                <w:color w:val="000000"/>
                <w:sz w:val="15"/>
                <w:szCs w:val="15"/>
              </w:rPr>
              <w:t>14</w:t>
            </w:r>
            <w:r>
              <w:rPr>
                <w:rFonts w:cs="Arial"/>
                <w:color w:val="000000"/>
                <w:sz w:val="15"/>
                <w:szCs w:val="15"/>
              </w:rPr>
              <w:t>.</w:t>
            </w:r>
            <w:r w:rsidRPr="003003C0">
              <w:rPr>
                <w:rFonts w:cs="Arial"/>
                <w:color w:val="000000"/>
                <w:sz w:val="15"/>
                <w:szCs w:val="15"/>
              </w:rPr>
              <w:t>0</w:t>
            </w:r>
          </w:p>
        </w:tc>
        <w:tc>
          <w:tcPr>
            <w:tcW w:w="764" w:type="dxa"/>
            <w:noWrap/>
            <w:vAlign w:val="center"/>
            <w:hideMark/>
          </w:tcPr>
          <w:p w14:paraId="7CBFF3FF" w14:textId="77777777" w:rsidR="004F64EF" w:rsidRPr="003003C0" w:rsidRDefault="004F64EF" w:rsidP="00FD6B66">
            <w:pPr>
              <w:jc w:val="right"/>
              <w:rPr>
                <w:rFonts w:cs="Arial"/>
                <w:color w:val="000000"/>
                <w:sz w:val="15"/>
                <w:szCs w:val="15"/>
              </w:rPr>
            </w:pPr>
            <w:r w:rsidRPr="003003C0">
              <w:rPr>
                <w:rFonts w:cs="Arial"/>
                <w:color w:val="000000"/>
                <w:sz w:val="15"/>
                <w:szCs w:val="15"/>
              </w:rPr>
              <w:t>15</w:t>
            </w:r>
            <w:r>
              <w:rPr>
                <w:rFonts w:cs="Arial"/>
                <w:color w:val="000000"/>
                <w:sz w:val="15"/>
                <w:szCs w:val="15"/>
              </w:rPr>
              <w:t>.</w:t>
            </w:r>
            <w:r w:rsidRPr="003003C0">
              <w:rPr>
                <w:rFonts w:cs="Arial"/>
                <w:color w:val="000000"/>
                <w:sz w:val="15"/>
                <w:szCs w:val="15"/>
              </w:rPr>
              <w:t>1</w:t>
            </w:r>
          </w:p>
        </w:tc>
        <w:tc>
          <w:tcPr>
            <w:tcW w:w="764" w:type="dxa"/>
            <w:noWrap/>
            <w:vAlign w:val="center"/>
            <w:hideMark/>
          </w:tcPr>
          <w:p w14:paraId="6B006F13" w14:textId="77777777" w:rsidR="004F64EF" w:rsidRPr="003003C0" w:rsidRDefault="004F64EF" w:rsidP="00FD6B66">
            <w:pPr>
              <w:jc w:val="right"/>
              <w:rPr>
                <w:rFonts w:cs="Arial"/>
                <w:color w:val="000000"/>
                <w:sz w:val="15"/>
                <w:szCs w:val="15"/>
              </w:rPr>
            </w:pPr>
            <w:r w:rsidRPr="003003C0">
              <w:rPr>
                <w:rFonts w:cs="Arial"/>
                <w:color w:val="000000"/>
                <w:sz w:val="15"/>
                <w:szCs w:val="15"/>
              </w:rPr>
              <w:t>12</w:t>
            </w:r>
            <w:r>
              <w:rPr>
                <w:rFonts w:cs="Arial"/>
                <w:color w:val="000000"/>
                <w:sz w:val="15"/>
                <w:szCs w:val="15"/>
              </w:rPr>
              <w:t>.</w:t>
            </w:r>
            <w:r w:rsidRPr="003003C0">
              <w:rPr>
                <w:rFonts w:cs="Arial"/>
                <w:color w:val="000000"/>
                <w:sz w:val="15"/>
                <w:szCs w:val="15"/>
              </w:rPr>
              <w:t>5</w:t>
            </w:r>
          </w:p>
        </w:tc>
        <w:tc>
          <w:tcPr>
            <w:tcW w:w="764" w:type="dxa"/>
            <w:noWrap/>
            <w:vAlign w:val="center"/>
            <w:hideMark/>
          </w:tcPr>
          <w:p w14:paraId="0AB22C68" w14:textId="77777777" w:rsidR="004F64EF" w:rsidRPr="003003C0" w:rsidRDefault="004F64EF" w:rsidP="00FD6B66">
            <w:pPr>
              <w:jc w:val="right"/>
              <w:rPr>
                <w:rFonts w:cs="Arial"/>
                <w:color w:val="000000"/>
                <w:sz w:val="15"/>
                <w:szCs w:val="15"/>
              </w:rPr>
            </w:pPr>
            <w:r w:rsidRPr="003003C0">
              <w:rPr>
                <w:rFonts w:cs="Arial"/>
                <w:color w:val="000000"/>
                <w:sz w:val="15"/>
                <w:szCs w:val="15"/>
              </w:rPr>
              <w:t>2</w:t>
            </w:r>
            <w:r>
              <w:rPr>
                <w:rFonts w:cs="Arial"/>
                <w:color w:val="000000"/>
                <w:sz w:val="15"/>
                <w:szCs w:val="15"/>
              </w:rPr>
              <w:t>.</w:t>
            </w:r>
            <w:r w:rsidRPr="003003C0">
              <w:rPr>
                <w:rFonts w:cs="Arial"/>
                <w:color w:val="000000"/>
                <w:sz w:val="15"/>
                <w:szCs w:val="15"/>
              </w:rPr>
              <w:t>9</w:t>
            </w:r>
          </w:p>
        </w:tc>
        <w:tc>
          <w:tcPr>
            <w:tcW w:w="764" w:type="dxa"/>
            <w:noWrap/>
            <w:vAlign w:val="center"/>
            <w:hideMark/>
          </w:tcPr>
          <w:p w14:paraId="705E5909" w14:textId="77777777" w:rsidR="004F64EF" w:rsidRPr="003003C0" w:rsidRDefault="004F64EF" w:rsidP="00FD6B66">
            <w:pPr>
              <w:jc w:val="right"/>
              <w:rPr>
                <w:rFonts w:cs="Arial"/>
                <w:color w:val="000000"/>
                <w:sz w:val="15"/>
                <w:szCs w:val="15"/>
              </w:rPr>
            </w:pPr>
            <w:r w:rsidRPr="003003C0">
              <w:rPr>
                <w:rFonts w:cs="Arial"/>
                <w:color w:val="000000"/>
                <w:sz w:val="15"/>
                <w:szCs w:val="15"/>
              </w:rPr>
              <w:t>7</w:t>
            </w:r>
            <w:r>
              <w:rPr>
                <w:rFonts w:cs="Arial"/>
                <w:color w:val="000000"/>
                <w:sz w:val="15"/>
                <w:szCs w:val="15"/>
              </w:rPr>
              <w:t>.</w:t>
            </w:r>
            <w:r w:rsidRPr="003003C0">
              <w:rPr>
                <w:rFonts w:cs="Arial"/>
                <w:color w:val="000000"/>
                <w:sz w:val="15"/>
                <w:szCs w:val="15"/>
              </w:rPr>
              <w:t>1</w:t>
            </w:r>
          </w:p>
        </w:tc>
      </w:tr>
      <w:tr w:rsidR="004F64EF" w:rsidRPr="003003C0" w14:paraId="2B99726B" w14:textId="77777777" w:rsidTr="00FD6B66">
        <w:trPr>
          <w:cnfStyle w:val="000000010000" w:firstRow="0" w:lastRow="0" w:firstColumn="0" w:lastColumn="0" w:oddVBand="0" w:evenVBand="0" w:oddHBand="0" w:evenHBand="1" w:firstRowFirstColumn="0" w:firstRowLastColumn="0" w:lastRowFirstColumn="0" w:lastRowLastColumn="0"/>
          <w:trHeight w:val="20"/>
        </w:trPr>
        <w:tc>
          <w:tcPr>
            <w:tcW w:w="3681" w:type="dxa"/>
            <w:noWrap/>
            <w:vAlign w:val="center"/>
            <w:hideMark/>
          </w:tcPr>
          <w:p w14:paraId="57D5DAFA" w14:textId="77777777" w:rsidR="004F64EF" w:rsidRPr="003003C0" w:rsidRDefault="004F64EF" w:rsidP="003E0CD7">
            <w:pPr>
              <w:tabs>
                <w:tab w:val="left" w:pos="170"/>
              </w:tabs>
              <w:ind w:left="170" w:hanging="170"/>
              <w:jc w:val="left"/>
              <w:rPr>
                <w:rFonts w:cs="Arial"/>
                <w:color w:val="000000"/>
                <w:sz w:val="15"/>
                <w:szCs w:val="15"/>
              </w:rPr>
            </w:pPr>
            <w:r w:rsidRPr="003003C0">
              <w:rPr>
                <w:rFonts w:cs="Arial"/>
                <w:color w:val="000000"/>
                <w:sz w:val="15"/>
                <w:szCs w:val="15"/>
              </w:rPr>
              <w:tab/>
              <w:t xml:space="preserve">27. </w:t>
            </w:r>
            <w:r w:rsidRPr="00D61198">
              <w:rPr>
                <w:rFonts w:cs="Arial"/>
                <w:color w:val="000000"/>
                <w:sz w:val="15"/>
                <w:szCs w:val="15"/>
              </w:rPr>
              <w:t>Mineral fuels; bituminous substances; mineral waxe</w:t>
            </w:r>
            <w:r>
              <w:rPr>
                <w:rFonts w:cs="Arial"/>
                <w:color w:val="000000"/>
                <w:sz w:val="15"/>
                <w:szCs w:val="15"/>
              </w:rPr>
              <w:t>s</w:t>
            </w:r>
          </w:p>
        </w:tc>
        <w:tc>
          <w:tcPr>
            <w:tcW w:w="764" w:type="dxa"/>
            <w:noWrap/>
            <w:vAlign w:val="center"/>
            <w:hideMark/>
          </w:tcPr>
          <w:p w14:paraId="423E9B3C" w14:textId="77777777" w:rsidR="004F64EF" w:rsidRPr="003003C0" w:rsidRDefault="004F64EF" w:rsidP="00FD6B66">
            <w:pPr>
              <w:jc w:val="right"/>
              <w:rPr>
                <w:rFonts w:cs="Arial"/>
                <w:color w:val="000000"/>
                <w:sz w:val="15"/>
                <w:szCs w:val="15"/>
              </w:rPr>
            </w:pPr>
            <w:r w:rsidRPr="003003C0">
              <w:rPr>
                <w:rFonts w:cs="Arial"/>
                <w:color w:val="000000"/>
                <w:sz w:val="15"/>
                <w:szCs w:val="15"/>
              </w:rPr>
              <w:t>10</w:t>
            </w:r>
            <w:r>
              <w:rPr>
                <w:rFonts w:cs="Arial"/>
                <w:color w:val="000000"/>
                <w:sz w:val="15"/>
                <w:szCs w:val="15"/>
              </w:rPr>
              <w:t>.</w:t>
            </w:r>
            <w:r w:rsidRPr="003003C0">
              <w:rPr>
                <w:rFonts w:cs="Arial"/>
                <w:color w:val="000000"/>
                <w:sz w:val="15"/>
                <w:szCs w:val="15"/>
              </w:rPr>
              <w:t>3</w:t>
            </w:r>
          </w:p>
        </w:tc>
        <w:tc>
          <w:tcPr>
            <w:tcW w:w="764" w:type="dxa"/>
            <w:noWrap/>
            <w:vAlign w:val="center"/>
            <w:hideMark/>
          </w:tcPr>
          <w:p w14:paraId="76D634A5" w14:textId="77777777" w:rsidR="004F64EF" w:rsidRPr="003003C0" w:rsidRDefault="004F64EF" w:rsidP="00FD6B66">
            <w:pPr>
              <w:jc w:val="right"/>
              <w:rPr>
                <w:rFonts w:cs="Arial"/>
                <w:color w:val="000000"/>
                <w:sz w:val="15"/>
                <w:szCs w:val="15"/>
              </w:rPr>
            </w:pPr>
            <w:r w:rsidRPr="003003C0">
              <w:rPr>
                <w:rFonts w:cs="Arial"/>
                <w:color w:val="000000"/>
                <w:sz w:val="15"/>
                <w:szCs w:val="15"/>
              </w:rPr>
              <w:t>8</w:t>
            </w:r>
            <w:r>
              <w:rPr>
                <w:rFonts w:cs="Arial"/>
                <w:color w:val="000000"/>
                <w:sz w:val="15"/>
                <w:szCs w:val="15"/>
              </w:rPr>
              <w:t>.</w:t>
            </w:r>
            <w:r w:rsidRPr="003003C0">
              <w:rPr>
                <w:rFonts w:cs="Arial"/>
                <w:color w:val="000000"/>
                <w:sz w:val="15"/>
                <w:szCs w:val="15"/>
              </w:rPr>
              <w:t>5</w:t>
            </w:r>
          </w:p>
        </w:tc>
        <w:tc>
          <w:tcPr>
            <w:tcW w:w="764" w:type="dxa"/>
            <w:noWrap/>
            <w:vAlign w:val="center"/>
            <w:hideMark/>
          </w:tcPr>
          <w:p w14:paraId="12AE94B5" w14:textId="77777777" w:rsidR="004F64EF" w:rsidRPr="003003C0" w:rsidRDefault="004F64EF" w:rsidP="00FD6B66">
            <w:pPr>
              <w:jc w:val="right"/>
              <w:rPr>
                <w:rFonts w:cs="Arial"/>
                <w:color w:val="000000"/>
                <w:sz w:val="15"/>
                <w:szCs w:val="15"/>
              </w:rPr>
            </w:pPr>
            <w:r w:rsidRPr="003003C0">
              <w:rPr>
                <w:rFonts w:cs="Arial"/>
                <w:color w:val="000000"/>
                <w:sz w:val="15"/>
                <w:szCs w:val="15"/>
              </w:rPr>
              <w:t>10</w:t>
            </w:r>
            <w:r>
              <w:rPr>
                <w:rFonts w:cs="Arial"/>
                <w:color w:val="000000"/>
                <w:sz w:val="15"/>
                <w:szCs w:val="15"/>
              </w:rPr>
              <w:t>.</w:t>
            </w:r>
            <w:r w:rsidRPr="003003C0">
              <w:rPr>
                <w:rFonts w:cs="Arial"/>
                <w:color w:val="000000"/>
                <w:sz w:val="15"/>
                <w:szCs w:val="15"/>
              </w:rPr>
              <w:t>8</w:t>
            </w:r>
          </w:p>
        </w:tc>
        <w:tc>
          <w:tcPr>
            <w:tcW w:w="764" w:type="dxa"/>
            <w:noWrap/>
            <w:vAlign w:val="center"/>
            <w:hideMark/>
          </w:tcPr>
          <w:p w14:paraId="4E8B937C" w14:textId="77777777" w:rsidR="004F64EF" w:rsidRPr="003003C0" w:rsidRDefault="004F64EF" w:rsidP="00FD6B66">
            <w:pPr>
              <w:jc w:val="right"/>
              <w:rPr>
                <w:rFonts w:cs="Arial"/>
                <w:color w:val="000000"/>
                <w:sz w:val="15"/>
                <w:szCs w:val="15"/>
              </w:rPr>
            </w:pPr>
            <w:r w:rsidRPr="003003C0">
              <w:rPr>
                <w:rFonts w:cs="Arial"/>
                <w:color w:val="000000"/>
                <w:sz w:val="15"/>
                <w:szCs w:val="15"/>
              </w:rPr>
              <w:t>11</w:t>
            </w:r>
            <w:r>
              <w:rPr>
                <w:rFonts w:cs="Arial"/>
                <w:color w:val="000000"/>
                <w:sz w:val="15"/>
                <w:szCs w:val="15"/>
              </w:rPr>
              <w:t>.</w:t>
            </w:r>
            <w:r w:rsidRPr="003003C0">
              <w:rPr>
                <w:rFonts w:cs="Arial"/>
                <w:color w:val="000000"/>
                <w:sz w:val="15"/>
                <w:szCs w:val="15"/>
              </w:rPr>
              <w:t>8</w:t>
            </w:r>
          </w:p>
        </w:tc>
        <w:tc>
          <w:tcPr>
            <w:tcW w:w="764" w:type="dxa"/>
            <w:noWrap/>
            <w:vAlign w:val="center"/>
            <w:hideMark/>
          </w:tcPr>
          <w:p w14:paraId="5BA5CA92" w14:textId="77777777" w:rsidR="004F64EF" w:rsidRPr="003003C0" w:rsidRDefault="004F64EF" w:rsidP="00FD6B66">
            <w:pPr>
              <w:jc w:val="right"/>
              <w:rPr>
                <w:rFonts w:cs="Arial"/>
                <w:color w:val="000000"/>
                <w:sz w:val="15"/>
                <w:szCs w:val="15"/>
              </w:rPr>
            </w:pPr>
            <w:r w:rsidRPr="003003C0">
              <w:rPr>
                <w:rFonts w:cs="Arial"/>
                <w:color w:val="000000"/>
                <w:sz w:val="15"/>
                <w:szCs w:val="15"/>
              </w:rPr>
              <w:t>9</w:t>
            </w:r>
            <w:r>
              <w:rPr>
                <w:rFonts w:cs="Arial"/>
                <w:color w:val="000000"/>
                <w:sz w:val="15"/>
                <w:szCs w:val="15"/>
              </w:rPr>
              <w:t>.</w:t>
            </w:r>
            <w:r w:rsidRPr="003003C0">
              <w:rPr>
                <w:rFonts w:cs="Arial"/>
                <w:color w:val="000000"/>
                <w:sz w:val="15"/>
                <w:szCs w:val="15"/>
              </w:rPr>
              <w:t>9</w:t>
            </w:r>
          </w:p>
        </w:tc>
        <w:tc>
          <w:tcPr>
            <w:tcW w:w="764" w:type="dxa"/>
            <w:noWrap/>
            <w:vAlign w:val="center"/>
            <w:hideMark/>
          </w:tcPr>
          <w:p w14:paraId="02592AAB" w14:textId="77777777" w:rsidR="004F64EF" w:rsidRPr="003003C0" w:rsidRDefault="004F64EF" w:rsidP="00FD6B66">
            <w:pPr>
              <w:jc w:val="right"/>
              <w:rPr>
                <w:rFonts w:cs="Arial"/>
                <w:color w:val="000000"/>
                <w:sz w:val="15"/>
                <w:szCs w:val="15"/>
              </w:rPr>
            </w:pPr>
            <w:r w:rsidRPr="003003C0">
              <w:rPr>
                <w:rFonts w:cs="Arial"/>
                <w:color w:val="000000"/>
                <w:sz w:val="15"/>
                <w:szCs w:val="15"/>
              </w:rPr>
              <w:t>0</w:t>
            </w:r>
            <w:r>
              <w:rPr>
                <w:rFonts w:cs="Arial"/>
                <w:color w:val="000000"/>
                <w:sz w:val="15"/>
                <w:szCs w:val="15"/>
              </w:rPr>
              <w:t>.</w:t>
            </w:r>
            <w:r w:rsidRPr="003003C0">
              <w:rPr>
                <w:rFonts w:cs="Arial"/>
                <w:color w:val="000000"/>
                <w:sz w:val="15"/>
                <w:szCs w:val="15"/>
              </w:rPr>
              <w:t>7</w:t>
            </w:r>
          </w:p>
        </w:tc>
        <w:tc>
          <w:tcPr>
            <w:tcW w:w="764" w:type="dxa"/>
            <w:noWrap/>
            <w:vAlign w:val="center"/>
            <w:hideMark/>
          </w:tcPr>
          <w:p w14:paraId="31C69D9E" w14:textId="77777777" w:rsidR="004F64EF" w:rsidRPr="003003C0" w:rsidRDefault="004F64EF" w:rsidP="00FD6B66">
            <w:pPr>
              <w:jc w:val="right"/>
              <w:rPr>
                <w:rFonts w:cs="Arial"/>
                <w:color w:val="000000"/>
                <w:sz w:val="15"/>
                <w:szCs w:val="15"/>
              </w:rPr>
            </w:pPr>
            <w:r w:rsidRPr="003003C0">
              <w:rPr>
                <w:rFonts w:cs="Arial"/>
                <w:color w:val="000000"/>
                <w:sz w:val="15"/>
                <w:szCs w:val="15"/>
              </w:rPr>
              <w:t>4</w:t>
            </w:r>
            <w:r>
              <w:rPr>
                <w:rFonts w:cs="Arial"/>
                <w:color w:val="000000"/>
                <w:sz w:val="15"/>
                <w:szCs w:val="15"/>
              </w:rPr>
              <w:t>.</w:t>
            </w:r>
            <w:r w:rsidRPr="003003C0">
              <w:rPr>
                <w:rFonts w:cs="Arial"/>
                <w:color w:val="000000"/>
                <w:sz w:val="15"/>
                <w:szCs w:val="15"/>
              </w:rPr>
              <w:t>1</w:t>
            </w:r>
          </w:p>
        </w:tc>
      </w:tr>
      <w:tr w:rsidR="004F64EF" w:rsidRPr="003003C0" w14:paraId="6F597CF6" w14:textId="77777777" w:rsidTr="00FD6B66">
        <w:trPr>
          <w:trHeight w:val="20"/>
        </w:trPr>
        <w:tc>
          <w:tcPr>
            <w:tcW w:w="3681" w:type="dxa"/>
            <w:noWrap/>
            <w:vAlign w:val="center"/>
            <w:hideMark/>
          </w:tcPr>
          <w:p w14:paraId="38C7504F" w14:textId="77777777" w:rsidR="004F64EF" w:rsidRPr="003003C0" w:rsidRDefault="004F64EF" w:rsidP="00FD6B66">
            <w:pPr>
              <w:tabs>
                <w:tab w:val="left" w:pos="170"/>
              </w:tabs>
              <w:jc w:val="left"/>
              <w:rPr>
                <w:rFonts w:cs="Arial"/>
                <w:color w:val="000000"/>
                <w:sz w:val="15"/>
                <w:szCs w:val="15"/>
              </w:rPr>
            </w:pPr>
            <w:r w:rsidRPr="003003C0">
              <w:rPr>
                <w:rFonts w:cs="Arial"/>
                <w:color w:val="000000"/>
                <w:sz w:val="15"/>
                <w:szCs w:val="15"/>
              </w:rPr>
              <w:tab/>
              <w:t xml:space="preserve">25. </w:t>
            </w:r>
            <w:r w:rsidRPr="005151F5">
              <w:rPr>
                <w:rFonts w:cs="Arial"/>
                <w:color w:val="000000"/>
                <w:sz w:val="15"/>
                <w:szCs w:val="15"/>
              </w:rPr>
              <w:t>Salt; sulphur; earths and stone; plastering materials, lime and cement</w:t>
            </w:r>
          </w:p>
        </w:tc>
        <w:tc>
          <w:tcPr>
            <w:tcW w:w="764" w:type="dxa"/>
            <w:noWrap/>
            <w:vAlign w:val="center"/>
            <w:hideMark/>
          </w:tcPr>
          <w:p w14:paraId="5160AD95" w14:textId="77777777" w:rsidR="004F64EF" w:rsidRPr="003003C0" w:rsidRDefault="004F64EF" w:rsidP="00FD6B66">
            <w:pPr>
              <w:jc w:val="right"/>
              <w:rPr>
                <w:rFonts w:cs="Arial"/>
                <w:color w:val="000000"/>
                <w:sz w:val="15"/>
                <w:szCs w:val="15"/>
              </w:rPr>
            </w:pPr>
            <w:r w:rsidRPr="003003C0">
              <w:rPr>
                <w:rFonts w:cs="Arial"/>
                <w:color w:val="000000"/>
                <w:sz w:val="15"/>
                <w:szCs w:val="15"/>
              </w:rPr>
              <w:t>2</w:t>
            </w:r>
            <w:r>
              <w:rPr>
                <w:rFonts w:cs="Arial"/>
                <w:color w:val="000000"/>
                <w:sz w:val="15"/>
                <w:szCs w:val="15"/>
              </w:rPr>
              <w:t>.</w:t>
            </w:r>
            <w:r w:rsidRPr="003003C0">
              <w:rPr>
                <w:rFonts w:cs="Arial"/>
                <w:color w:val="000000"/>
                <w:sz w:val="15"/>
                <w:szCs w:val="15"/>
              </w:rPr>
              <w:t>5</w:t>
            </w:r>
          </w:p>
        </w:tc>
        <w:tc>
          <w:tcPr>
            <w:tcW w:w="764" w:type="dxa"/>
            <w:noWrap/>
            <w:vAlign w:val="center"/>
            <w:hideMark/>
          </w:tcPr>
          <w:p w14:paraId="04F00087" w14:textId="77777777" w:rsidR="004F64EF" w:rsidRPr="003003C0" w:rsidRDefault="004F64EF" w:rsidP="00FD6B66">
            <w:pPr>
              <w:jc w:val="right"/>
              <w:rPr>
                <w:rFonts w:cs="Arial"/>
                <w:color w:val="000000"/>
                <w:sz w:val="15"/>
                <w:szCs w:val="15"/>
              </w:rPr>
            </w:pPr>
            <w:r w:rsidRPr="003003C0">
              <w:rPr>
                <w:rFonts w:cs="Arial"/>
                <w:color w:val="000000"/>
                <w:sz w:val="15"/>
                <w:szCs w:val="15"/>
              </w:rPr>
              <w:t>1</w:t>
            </w:r>
            <w:r>
              <w:rPr>
                <w:rFonts w:cs="Arial"/>
                <w:color w:val="000000"/>
                <w:sz w:val="15"/>
                <w:szCs w:val="15"/>
              </w:rPr>
              <w:t>.</w:t>
            </w:r>
            <w:r w:rsidRPr="003003C0">
              <w:rPr>
                <w:rFonts w:cs="Arial"/>
                <w:color w:val="000000"/>
                <w:sz w:val="15"/>
                <w:szCs w:val="15"/>
              </w:rPr>
              <w:t>8</w:t>
            </w:r>
          </w:p>
        </w:tc>
        <w:tc>
          <w:tcPr>
            <w:tcW w:w="764" w:type="dxa"/>
            <w:noWrap/>
            <w:vAlign w:val="center"/>
            <w:hideMark/>
          </w:tcPr>
          <w:p w14:paraId="0650F4E4" w14:textId="77777777" w:rsidR="004F64EF" w:rsidRPr="003003C0" w:rsidRDefault="004F64EF" w:rsidP="00FD6B66">
            <w:pPr>
              <w:jc w:val="right"/>
              <w:rPr>
                <w:rFonts w:cs="Arial"/>
                <w:color w:val="000000"/>
                <w:sz w:val="15"/>
                <w:szCs w:val="15"/>
              </w:rPr>
            </w:pPr>
            <w:r w:rsidRPr="003003C0">
              <w:rPr>
                <w:rFonts w:cs="Arial"/>
                <w:color w:val="000000"/>
                <w:sz w:val="15"/>
                <w:szCs w:val="15"/>
              </w:rPr>
              <w:t>1</w:t>
            </w:r>
            <w:r>
              <w:rPr>
                <w:rFonts w:cs="Arial"/>
                <w:color w:val="000000"/>
                <w:sz w:val="15"/>
                <w:szCs w:val="15"/>
              </w:rPr>
              <w:t>.</w:t>
            </w:r>
            <w:r w:rsidRPr="003003C0">
              <w:rPr>
                <w:rFonts w:cs="Arial"/>
                <w:color w:val="000000"/>
                <w:sz w:val="15"/>
                <w:szCs w:val="15"/>
              </w:rPr>
              <w:t>9</w:t>
            </w:r>
          </w:p>
        </w:tc>
        <w:tc>
          <w:tcPr>
            <w:tcW w:w="764" w:type="dxa"/>
            <w:noWrap/>
            <w:vAlign w:val="center"/>
            <w:hideMark/>
          </w:tcPr>
          <w:p w14:paraId="6ACF8AFE" w14:textId="77777777" w:rsidR="004F64EF" w:rsidRPr="003003C0" w:rsidRDefault="004F64EF" w:rsidP="00FD6B66">
            <w:pPr>
              <w:jc w:val="right"/>
              <w:rPr>
                <w:rFonts w:cs="Arial"/>
                <w:color w:val="000000"/>
                <w:sz w:val="15"/>
                <w:szCs w:val="15"/>
              </w:rPr>
            </w:pPr>
            <w:r w:rsidRPr="003003C0">
              <w:rPr>
                <w:rFonts w:cs="Arial"/>
                <w:color w:val="000000"/>
                <w:sz w:val="15"/>
                <w:szCs w:val="15"/>
              </w:rPr>
              <w:t>1</w:t>
            </w:r>
            <w:r>
              <w:rPr>
                <w:rFonts w:cs="Arial"/>
                <w:color w:val="000000"/>
                <w:sz w:val="15"/>
                <w:szCs w:val="15"/>
              </w:rPr>
              <w:t>.</w:t>
            </w:r>
            <w:r w:rsidRPr="003003C0">
              <w:rPr>
                <w:rFonts w:cs="Arial"/>
                <w:color w:val="000000"/>
                <w:sz w:val="15"/>
                <w:szCs w:val="15"/>
              </w:rPr>
              <w:t>8</w:t>
            </w:r>
          </w:p>
        </w:tc>
        <w:tc>
          <w:tcPr>
            <w:tcW w:w="764" w:type="dxa"/>
            <w:noWrap/>
            <w:vAlign w:val="center"/>
            <w:hideMark/>
          </w:tcPr>
          <w:p w14:paraId="37142D02" w14:textId="77777777" w:rsidR="004F64EF" w:rsidRPr="003003C0" w:rsidRDefault="004F64EF" w:rsidP="00FD6B66">
            <w:pPr>
              <w:jc w:val="right"/>
              <w:rPr>
                <w:rFonts w:cs="Arial"/>
                <w:color w:val="000000"/>
                <w:sz w:val="15"/>
                <w:szCs w:val="15"/>
              </w:rPr>
            </w:pPr>
            <w:r w:rsidRPr="003003C0">
              <w:rPr>
                <w:rFonts w:cs="Arial"/>
                <w:color w:val="000000"/>
                <w:sz w:val="15"/>
                <w:szCs w:val="15"/>
              </w:rPr>
              <w:t>1</w:t>
            </w:r>
            <w:r>
              <w:rPr>
                <w:rFonts w:cs="Arial"/>
                <w:color w:val="000000"/>
                <w:sz w:val="15"/>
                <w:szCs w:val="15"/>
              </w:rPr>
              <w:t>.</w:t>
            </w:r>
            <w:r w:rsidRPr="003003C0">
              <w:rPr>
                <w:rFonts w:cs="Arial"/>
                <w:color w:val="000000"/>
                <w:sz w:val="15"/>
                <w:szCs w:val="15"/>
              </w:rPr>
              <w:t>7</w:t>
            </w:r>
          </w:p>
        </w:tc>
        <w:tc>
          <w:tcPr>
            <w:tcW w:w="764" w:type="dxa"/>
            <w:noWrap/>
            <w:vAlign w:val="center"/>
            <w:hideMark/>
          </w:tcPr>
          <w:p w14:paraId="1C0F6D96" w14:textId="77777777" w:rsidR="004F64EF" w:rsidRPr="003003C0" w:rsidRDefault="004F64EF" w:rsidP="00FD6B66">
            <w:pPr>
              <w:jc w:val="right"/>
              <w:rPr>
                <w:rFonts w:cs="Arial"/>
                <w:color w:val="000000"/>
                <w:sz w:val="15"/>
                <w:szCs w:val="15"/>
              </w:rPr>
            </w:pPr>
            <w:r w:rsidRPr="003003C0">
              <w:rPr>
                <w:rFonts w:cs="Arial"/>
                <w:color w:val="000000"/>
                <w:sz w:val="15"/>
                <w:szCs w:val="15"/>
              </w:rPr>
              <w:t>1</w:t>
            </w:r>
            <w:r>
              <w:rPr>
                <w:rFonts w:cs="Arial"/>
                <w:color w:val="000000"/>
                <w:sz w:val="15"/>
                <w:szCs w:val="15"/>
              </w:rPr>
              <w:t>.</w:t>
            </w:r>
            <w:r w:rsidRPr="003003C0">
              <w:rPr>
                <w:rFonts w:cs="Arial"/>
                <w:color w:val="000000"/>
                <w:sz w:val="15"/>
                <w:szCs w:val="15"/>
              </w:rPr>
              <w:t>7</w:t>
            </w:r>
          </w:p>
        </w:tc>
        <w:tc>
          <w:tcPr>
            <w:tcW w:w="764" w:type="dxa"/>
            <w:noWrap/>
            <w:vAlign w:val="center"/>
            <w:hideMark/>
          </w:tcPr>
          <w:p w14:paraId="16EBCE63" w14:textId="77777777" w:rsidR="004F64EF" w:rsidRPr="003003C0" w:rsidRDefault="004F64EF" w:rsidP="00FD6B66">
            <w:pPr>
              <w:jc w:val="right"/>
              <w:rPr>
                <w:rFonts w:cs="Arial"/>
                <w:color w:val="000000"/>
                <w:sz w:val="15"/>
                <w:szCs w:val="15"/>
              </w:rPr>
            </w:pPr>
            <w:r w:rsidRPr="003003C0">
              <w:rPr>
                <w:rFonts w:cs="Arial"/>
                <w:color w:val="000000"/>
                <w:sz w:val="15"/>
                <w:szCs w:val="15"/>
              </w:rPr>
              <w:t>1</w:t>
            </w:r>
            <w:r>
              <w:rPr>
                <w:rFonts w:cs="Arial"/>
                <w:color w:val="000000"/>
                <w:sz w:val="15"/>
                <w:szCs w:val="15"/>
              </w:rPr>
              <w:t>.</w:t>
            </w:r>
            <w:r w:rsidRPr="003003C0">
              <w:rPr>
                <w:rFonts w:cs="Arial"/>
                <w:color w:val="000000"/>
                <w:sz w:val="15"/>
                <w:szCs w:val="15"/>
              </w:rPr>
              <w:t>8</w:t>
            </w:r>
          </w:p>
        </w:tc>
      </w:tr>
      <w:tr w:rsidR="004F64EF" w:rsidRPr="003003C0" w14:paraId="2550BA2A" w14:textId="77777777" w:rsidTr="00FD6B66">
        <w:trPr>
          <w:cnfStyle w:val="000000010000" w:firstRow="0" w:lastRow="0" w:firstColumn="0" w:lastColumn="0" w:oddVBand="0" w:evenVBand="0" w:oddHBand="0" w:evenHBand="1" w:firstRowFirstColumn="0" w:firstRowLastColumn="0" w:lastRowFirstColumn="0" w:lastRowLastColumn="0"/>
          <w:trHeight w:val="20"/>
        </w:trPr>
        <w:tc>
          <w:tcPr>
            <w:tcW w:w="3681" w:type="dxa"/>
            <w:noWrap/>
            <w:vAlign w:val="center"/>
            <w:hideMark/>
          </w:tcPr>
          <w:p w14:paraId="571BD0C4" w14:textId="77777777" w:rsidR="004F64EF" w:rsidRPr="003003C0" w:rsidRDefault="004F64EF" w:rsidP="00FD6B66">
            <w:pPr>
              <w:tabs>
                <w:tab w:val="left" w:pos="170"/>
              </w:tabs>
              <w:jc w:val="left"/>
              <w:rPr>
                <w:rFonts w:cs="Arial"/>
                <w:color w:val="000000"/>
                <w:sz w:val="15"/>
                <w:szCs w:val="15"/>
              </w:rPr>
            </w:pPr>
            <w:r w:rsidRPr="003003C0">
              <w:rPr>
                <w:rFonts w:cs="Arial"/>
                <w:color w:val="000000"/>
                <w:sz w:val="15"/>
                <w:szCs w:val="15"/>
              </w:rPr>
              <w:tab/>
              <w:t xml:space="preserve">26. </w:t>
            </w:r>
            <w:r w:rsidRPr="00212C88">
              <w:rPr>
                <w:rFonts w:cs="Arial"/>
                <w:color w:val="000000"/>
                <w:sz w:val="15"/>
                <w:szCs w:val="15"/>
              </w:rPr>
              <w:t>Ores, slag and ash</w:t>
            </w:r>
          </w:p>
        </w:tc>
        <w:tc>
          <w:tcPr>
            <w:tcW w:w="764" w:type="dxa"/>
            <w:noWrap/>
            <w:vAlign w:val="center"/>
            <w:hideMark/>
          </w:tcPr>
          <w:p w14:paraId="6124E284" w14:textId="77777777" w:rsidR="004F64EF" w:rsidRPr="003003C0" w:rsidRDefault="004F64EF" w:rsidP="00FD6B66">
            <w:pPr>
              <w:jc w:val="right"/>
              <w:rPr>
                <w:rFonts w:cs="Arial"/>
                <w:color w:val="000000"/>
                <w:sz w:val="15"/>
                <w:szCs w:val="15"/>
              </w:rPr>
            </w:pPr>
            <w:r w:rsidRPr="003003C0">
              <w:rPr>
                <w:rFonts w:cs="Arial"/>
                <w:color w:val="000000"/>
                <w:sz w:val="15"/>
                <w:szCs w:val="15"/>
              </w:rPr>
              <w:t>1</w:t>
            </w:r>
            <w:r>
              <w:rPr>
                <w:rFonts w:cs="Arial"/>
                <w:color w:val="000000"/>
                <w:sz w:val="15"/>
                <w:szCs w:val="15"/>
              </w:rPr>
              <w:t>.</w:t>
            </w:r>
            <w:r w:rsidRPr="003003C0">
              <w:rPr>
                <w:rFonts w:cs="Arial"/>
                <w:color w:val="000000"/>
                <w:sz w:val="15"/>
                <w:szCs w:val="15"/>
              </w:rPr>
              <w:t>7</w:t>
            </w:r>
          </w:p>
        </w:tc>
        <w:tc>
          <w:tcPr>
            <w:tcW w:w="764" w:type="dxa"/>
            <w:noWrap/>
            <w:vAlign w:val="center"/>
            <w:hideMark/>
          </w:tcPr>
          <w:p w14:paraId="5F12D0B2" w14:textId="77777777" w:rsidR="004F64EF" w:rsidRPr="003003C0" w:rsidRDefault="004F64EF" w:rsidP="00FD6B66">
            <w:pPr>
              <w:jc w:val="right"/>
              <w:rPr>
                <w:rFonts w:cs="Arial"/>
                <w:color w:val="000000"/>
                <w:sz w:val="15"/>
                <w:szCs w:val="15"/>
              </w:rPr>
            </w:pPr>
            <w:r w:rsidRPr="003003C0">
              <w:rPr>
                <w:rFonts w:cs="Arial"/>
                <w:color w:val="000000"/>
                <w:sz w:val="15"/>
                <w:szCs w:val="15"/>
              </w:rPr>
              <w:t>1</w:t>
            </w:r>
            <w:r>
              <w:rPr>
                <w:rFonts w:cs="Arial"/>
                <w:color w:val="000000"/>
                <w:sz w:val="15"/>
                <w:szCs w:val="15"/>
              </w:rPr>
              <w:t>.</w:t>
            </w:r>
            <w:r w:rsidRPr="003003C0">
              <w:rPr>
                <w:rFonts w:cs="Arial"/>
                <w:color w:val="000000"/>
                <w:sz w:val="15"/>
                <w:szCs w:val="15"/>
              </w:rPr>
              <w:t>4</w:t>
            </w:r>
          </w:p>
        </w:tc>
        <w:tc>
          <w:tcPr>
            <w:tcW w:w="764" w:type="dxa"/>
            <w:noWrap/>
            <w:vAlign w:val="center"/>
            <w:hideMark/>
          </w:tcPr>
          <w:p w14:paraId="6FDD2855" w14:textId="77777777" w:rsidR="004F64EF" w:rsidRPr="003003C0" w:rsidRDefault="004F64EF" w:rsidP="00FD6B66">
            <w:pPr>
              <w:jc w:val="right"/>
              <w:rPr>
                <w:rFonts w:cs="Arial"/>
                <w:color w:val="000000"/>
                <w:sz w:val="15"/>
                <w:szCs w:val="15"/>
              </w:rPr>
            </w:pPr>
            <w:r w:rsidRPr="003003C0">
              <w:rPr>
                <w:rFonts w:cs="Arial"/>
                <w:color w:val="000000"/>
                <w:sz w:val="15"/>
                <w:szCs w:val="15"/>
              </w:rPr>
              <w:t>1</w:t>
            </w:r>
            <w:r>
              <w:rPr>
                <w:rFonts w:cs="Arial"/>
                <w:color w:val="000000"/>
                <w:sz w:val="15"/>
                <w:szCs w:val="15"/>
              </w:rPr>
              <w:t>.</w:t>
            </w:r>
            <w:r w:rsidRPr="003003C0">
              <w:rPr>
                <w:rFonts w:cs="Arial"/>
                <w:color w:val="000000"/>
                <w:sz w:val="15"/>
                <w:szCs w:val="15"/>
              </w:rPr>
              <w:t>4</w:t>
            </w:r>
          </w:p>
        </w:tc>
        <w:tc>
          <w:tcPr>
            <w:tcW w:w="764" w:type="dxa"/>
            <w:noWrap/>
            <w:vAlign w:val="center"/>
            <w:hideMark/>
          </w:tcPr>
          <w:p w14:paraId="126145C2" w14:textId="77777777" w:rsidR="004F64EF" w:rsidRPr="003003C0" w:rsidRDefault="004F64EF" w:rsidP="00FD6B66">
            <w:pPr>
              <w:jc w:val="right"/>
              <w:rPr>
                <w:rFonts w:cs="Arial"/>
                <w:color w:val="000000"/>
                <w:sz w:val="15"/>
                <w:szCs w:val="15"/>
              </w:rPr>
            </w:pPr>
            <w:r w:rsidRPr="003003C0">
              <w:rPr>
                <w:rFonts w:cs="Arial"/>
                <w:color w:val="000000"/>
                <w:sz w:val="15"/>
                <w:szCs w:val="15"/>
              </w:rPr>
              <w:t>1</w:t>
            </w:r>
            <w:r>
              <w:rPr>
                <w:rFonts w:cs="Arial"/>
                <w:color w:val="000000"/>
                <w:sz w:val="15"/>
                <w:szCs w:val="15"/>
              </w:rPr>
              <w:t>.</w:t>
            </w:r>
            <w:r w:rsidRPr="003003C0">
              <w:rPr>
                <w:rFonts w:cs="Arial"/>
                <w:color w:val="000000"/>
                <w:sz w:val="15"/>
                <w:szCs w:val="15"/>
              </w:rPr>
              <w:t>4</w:t>
            </w:r>
          </w:p>
        </w:tc>
        <w:tc>
          <w:tcPr>
            <w:tcW w:w="764" w:type="dxa"/>
            <w:noWrap/>
            <w:vAlign w:val="center"/>
            <w:hideMark/>
          </w:tcPr>
          <w:p w14:paraId="38BDE723" w14:textId="77777777" w:rsidR="004F64EF" w:rsidRPr="003003C0" w:rsidRDefault="004F64EF" w:rsidP="00FD6B66">
            <w:pPr>
              <w:jc w:val="right"/>
              <w:rPr>
                <w:rFonts w:cs="Arial"/>
                <w:color w:val="000000"/>
                <w:sz w:val="15"/>
                <w:szCs w:val="15"/>
              </w:rPr>
            </w:pPr>
            <w:r w:rsidRPr="003003C0">
              <w:rPr>
                <w:rFonts w:cs="Arial"/>
                <w:color w:val="000000"/>
                <w:sz w:val="15"/>
                <w:szCs w:val="15"/>
              </w:rPr>
              <w:t>0</w:t>
            </w:r>
            <w:r>
              <w:rPr>
                <w:rFonts w:cs="Arial"/>
                <w:color w:val="000000"/>
                <w:sz w:val="15"/>
                <w:szCs w:val="15"/>
              </w:rPr>
              <w:t>.</w:t>
            </w:r>
            <w:r w:rsidRPr="003003C0">
              <w:rPr>
                <w:rFonts w:cs="Arial"/>
                <w:color w:val="000000"/>
                <w:sz w:val="15"/>
                <w:szCs w:val="15"/>
              </w:rPr>
              <w:t>8</w:t>
            </w:r>
          </w:p>
        </w:tc>
        <w:tc>
          <w:tcPr>
            <w:tcW w:w="764" w:type="dxa"/>
            <w:noWrap/>
            <w:vAlign w:val="center"/>
            <w:hideMark/>
          </w:tcPr>
          <w:p w14:paraId="68590460" w14:textId="77777777" w:rsidR="004F64EF" w:rsidRPr="003003C0" w:rsidRDefault="004F64EF" w:rsidP="00FD6B66">
            <w:pPr>
              <w:jc w:val="right"/>
              <w:rPr>
                <w:rFonts w:cs="Arial"/>
                <w:color w:val="000000"/>
                <w:sz w:val="15"/>
                <w:szCs w:val="15"/>
              </w:rPr>
            </w:pPr>
            <w:r w:rsidRPr="003003C0">
              <w:rPr>
                <w:rFonts w:cs="Arial"/>
                <w:color w:val="000000"/>
                <w:sz w:val="15"/>
                <w:szCs w:val="15"/>
              </w:rPr>
              <w:t>0</w:t>
            </w:r>
            <w:r>
              <w:rPr>
                <w:rFonts w:cs="Arial"/>
                <w:color w:val="000000"/>
                <w:sz w:val="15"/>
                <w:szCs w:val="15"/>
              </w:rPr>
              <w:t>.</w:t>
            </w:r>
            <w:r w:rsidRPr="003003C0">
              <w:rPr>
                <w:rFonts w:cs="Arial"/>
                <w:color w:val="000000"/>
                <w:sz w:val="15"/>
                <w:szCs w:val="15"/>
              </w:rPr>
              <w:t>5</w:t>
            </w:r>
          </w:p>
        </w:tc>
        <w:tc>
          <w:tcPr>
            <w:tcW w:w="764" w:type="dxa"/>
            <w:noWrap/>
            <w:vAlign w:val="center"/>
            <w:hideMark/>
          </w:tcPr>
          <w:p w14:paraId="3A09CED6" w14:textId="77777777" w:rsidR="004F64EF" w:rsidRPr="003003C0" w:rsidRDefault="004F64EF" w:rsidP="00FD6B66">
            <w:pPr>
              <w:jc w:val="right"/>
              <w:rPr>
                <w:rFonts w:cs="Arial"/>
                <w:color w:val="000000"/>
                <w:sz w:val="15"/>
                <w:szCs w:val="15"/>
              </w:rPr>
            </w:pPr>
            <w:r w:rsidRPr="003003C0">
              <w:rPr>
                <w:rFonts w:cs="Arial"/>
                <w:color w:val="000000"/>
                <w:sz w:val="15"/>
                <w:szCs w:val="15"/>
              </w:rPr>
              <w:t>1</w:t>
            </w:r>
            <w:r>
              <w:rPr>
                <w:rFonts w:cs="Arial"/>
                <w:color w:val="000000"/>
                <w:sz w:val="15"/>
                <w:szCs w:val="15"/>
              </w:rPr>
              <w:t>.</w:t>
            </w:r>
            <w:r w:rsidRPr="003003C0">
              <w:rPr>
                <w:rFonts w:cs="Arial"/>
                <w:color w:val="000000"/>
                <w:sz w:val="15"/>
                <w:szCs w:val="15"/>
              </w:rPr>
              <w:t>2</w:t>
            </w:r>
          </w:p>
        </w:tc>
      </w:tr>
      <w:tr w:rsidR="004F64EF" w:rsidRPr="003003C0" w14:paraId="7BF7A9D7" w14:textId="77777777" w:rsidTr="00FD6B66">
        <w:trPr>
          <w:trHeight w:val="20"/>
        </w:trPr>
        <w:tc>
          <w:tcPr>
            <w:tcW w:w="3681" w:type="dxa"/>
            <w:noWrap/>
            <w:vAlign w:val="center"/>
            <w:hideMark/>
          </w:tcPr>
          <w:p w14:paraId="2502AF9B" w14:textId="77777777" w:rsidR="004F64EF" w:rsidRPr="003003C0" w:rsidRDefault="004F64EF" w:rsidP="00FD6B66">
            <w:pPr>
              <w:jc w:val="left"/>
              <w:rPr>
                <w:rFonts w:cs="Arial"/>
                <w:color w:val="000000"/>
                <w:sz w:val="15"/>
                <w:szCs w:val="15"/>
              </w:rPr>
            </w:pPr>
            <w:r w:rsidRPr="003003C0">
              <w:rPr>
                <w:rFonts w:cs="Arial"/>
                <w:color w:val="000000"/>
                <w:sz w:val="15"/>
                <w:szCs w:val="15"/>
              </w:rPr>
              <w:t xml:space="preserve">6 - </w:t>
            </w:r>
            <w:r>
              <w:rPr>
                <w:rFonts w:cs="Arial"/>
                <w:color w:val="000000"/>
                <w:sz w:val="15"/>
                <w:szCs w:val="15"/>
              </w:rPr>
              <w:t>P</w:t>
            </w:r>
            <w:r w:rsidRPr="00212C88">
              <w:rPr>
                <w:rFonts w:cs="Arial"/>
                <w:color w:val="000000"/>
                <w:sz w:val="15"/>
                <w:szCs w:val="15"/>
              </w:rPr>
              <w:t>roducts of the chemical or allied industries</w:t>
            </w:r>
          </w:p>
        </w:tc>
        <w:tc>
          <w:tcPr>
            <w:tcW w:w="764" w:type="dxa"/>
            <w:noWrap/>
            <w:vAlign w:val="center"/>
            <w:hideMark/>
          </w:tcPr>
          <w:p w14:paraId="731798AF" w14:textId="77777777" w:rsidR="004F64EF" w:rsidRPr="003003C0" w:rsidRDefault="004F64EF" w:rsidP="00FD6B66">
            <w:pPr>
              <w:jc w:val="right"/>
              <w:rPr>
                <w:rFonts w:cs="Arial"/>
                <w:color w:val="000000"/>
                <w:sz w:val="15"/>
                <w:szCs w:val="15"/>
              </w:rPr>
            </w:pPr>
            <w:r w:rsidRPr="003003C0">
              <w:rPr>
                <w:rFonts w:cs="Arial"/>
                <w:color w:val="000000"/>
                <w:sz w:val="15"/>
                <w:szCs w:val="15"/>
              </w:rPr>
              <w:t>3</w:t>
            </w:r>
            <w:r>
              <w:rPr>
                <w:rFonts w:cs="Arial"/>
                <w:color w:val="000000"/>
                <w:sz w:val="15"/>
                <w:szCs w:val="15"/>
              </w:rPr>
              <w:t>.</w:t>
            </w:r>
            <w:r w:rsidRPr="003003C0">
              <w:rPr>
                <w:rFonts w:cs="Arial"/>
                <w:color w:val="000000"/>
                <w:sz w:val="15"/>
                <w:szCs w:val="15"/>
              </w:rPr>
              <w:t>2</w:t>
            </w:r>
          </w:p>
        </w:tc>
        <w:tc>
          <w:tcPr>
            <w:tcW w:w="764" w:type="dxa"/>
            <w:noWrap/>
            <w:vAlign w:val="center"/>
            <w:hideMark/>
          </w:tcPr>
          <w:p w14:paraId="6B49676F" w14:textId="77777777" w:rsidR="004F64EF" w:rsidRPr="003003C0" w:rsidRDefault="004F64EF" w:rsidP="00FD6B66">
            <w:pPr>
              <w:jc w:val="right"/>
              <w:rPr>
                <w:rFonts w:cs="Arial"/>
                <w:color w:val="000000"/>
                <w:sz w:val="15"/>
                <w:szCs w:val="15"/>
              </w:rPr>
            </w:pPr>
            <w:r w:rsidRPr="003003C0">
              <w:rPr>
                <w:rFonts w:cs="Arial"/>
                <w:color w:val="000000"/>
                <w:sz w:val="15"/>
                <w:szCs w:val="15"/>
              </w:rPr>
              <w:t>2</w:t>
            </w:r>
            <w:r>
              <w:rPr>
                <w:rFonts w:cs="Arial"/>
                <w:color w:val="000000"/>
                <w:sz w:val="15"/>
                <w:szCs w:val="15"/>
              </w:rPr>
              <w:t>.</w:t>
            </w:r>
            <w:r w:rsidRPr="003003C0">
              <w:rPr>
                <w:rFonts w:cs="Arial"/>
                <w:color w:val="000000"/>
                <w:sz w:val="15"/>
                <w:szCs w:val="15"/>
              </w:rPr>
              <w:t>8</w:t>
            </w:r>
          </w:p>
        </w:tc>
        <w:tc>
          <w:tcPr>
            <w:tcW w:w="764" w:type="dxa"/>
            <w:noWrap/>
            <w:vAlign w:val="center"/>
            <w:hideMark/>
          </w:tcPr>
          <w:p w14:paraId="7A1202E2" w14:textId="77777777" w:rsidR="004F64EF" w:rsidRPr="003003C0" w:rsidRDefault="004F64EF" w:rsidP="00FD6B66">
            <w:pPr>
              <w:jc w:val="right"/>
              <w:rPr>
                <w:rFonts w:cs="Arial"/>
                <w:color w:val="000000"/>
                <w:sz w:val="15"/>
                <w:szCs w:val="15"/>
              </w:rPr>
            </w:pPr>
            <w:r w:rsidRPr="003003C0">
              <w:rPr>
                <w:rFonts w:cs="Arial"/>
                <w:color w:val="000000"/>
                <w:sz w:val="15"/>
                <w:szCs w:val="15"/>
              </w:rPr>
              <w:t>3</w:t>
            </w:r>
            <w:r>
              <w:rPr>
                <w:rFonts w:cs="Arial"/>
                <w:color w:val="000000"/>
                <w:sz w:val="15"/>
                <w:szCs w:val="15"/>
              </w:rPr>
              <w:t>.</w:t>
            </w:r>
            <w:r w:rsidRPr="003003C0">
              <w:rPr>
                <w:rFonts w:cs="Arial"/>
                <w:color w:val="000000"/>
                <w:sz w:val="15"/>
                <w:szCs w:val="15"/>
              </w:rPr>
              <w:t>2</w:t>
            </w:r>
          </w:p>
        </w:tc>
        <w:tc>
          <w:tcPr>
            <w:tcW w:w="764" w:type="dxa"/>
            <w:noWrap/>
            <w:vAlign w:val="center"/>
            <w:hideMark/>
          </w:tcPr>
          <w:p w14:paraId="20059828" w14:textId="77777777" w:rsidR="004F64EF" w:rsidRPr="003003C0" w:rsidRDefault="004F64EF" w:rsidP="00FD6B66">
            <w:pPr>
              <w:jc w:val="right"/>
              <w:rPr>
                <w:rFonts w:cs="Arial"/>
                <w:color w:val="000000"/>
                <w:sz w:val="15"/>
                <w:szCs w:val="15"/>
              </w:rPr>
            </w:pPr>
            <w:r w:rsidRPr="003003C0">
              <w:rPr>
                <w:rFonts w:cs="Arial"/>
                <w:color w:val="000000"/>
                <w:sz w:val="15"/>
                <w:szCs w:val="15"/>
              </w:rPr>
              <w:t>5</w:t>
            </w:r>
            <w:r>
              <w:rPr>
                <w:rFonts w:cs="Arial"/>
                <w:color w:val="000000"/>
                <w:sz w:val="15"/>
                <w:szCs w:val="15"/>
              </w:rPr>
              <w:t>.</w:t>
            </w:r>
            <w:r w:rsidRPr="003003C0">
              <w:rPr>
                <w:rFonts w:cs="Arial"/>
                <w:color w:val="000000"/>
                <w:sz w:val="15"/>
                <w:szCs w:val="15"/>
              </w:rPr>
              <w:t>3</w:t>
            </w:r>
          </w:p>
        </w:tc>
        <w:tc>
          <w:tcPr>
            <w:tcW w:w="764" w:type="dxa"/>
            <w:noWrap/>
            <w:vAlign w:val="center"/>
            <w:hideMark/>
          </w:tcPr>
          <w:p w14:paraId="11AAFA58" w14:textId="77777777" w:rsidR="004F64EF" w:rsidRPr="003003C0" w:rsidRDefault="004F64EF" w:rsidP="00FD6B66">
            <w:pPr>
              <w:jc w:val="right"/>
              <w:rPr>
                <w:rFonts w:cs="Arial"/>
                <w:color w:val="000000"/>
                <w:sz w:val="15"/>
                <w:szCs w:val="15"/>
              </w:rPr>
            </w:pPr>
            <w:r w:rsidRPr="003003C0">
              <w:rPr>
                <w:rFonts w:cs="Arial"/>
                <w:color w:val="000000"/>
                <w:sz w:val="15"/>
                <w:szCs w:val="15"/>
              </w:rPr>
              <w:t>4</w:t>
            </w:r>
            <w:r>
              <w:rPr>
                <w:rFonts w:cs="Arial"/>
                <w:color w:val="000000"/>
                <w:sz w:val="15"/>
                <w:szCs w:val="15"/>
              </w:rPr>
              <w:t>.</w:t>
            </w:r>
            <w:r w:rsidRPr="003003C0">
              <w:rPr>
                <w:rFonts w:cs="Arial"/>
                <w:color w:val="000000"/>
                <w:sz w:val="15"/>
                <w:szCs w:val="15"/>
              </w:rPr>
              <w:t>3</w:t>
            </w:r>
          </w:p>
        </w:tc>
        <w:tc>
          <w:tcPr>
            <w:tcW w:w="764" w:type="dxa"/>
            <w:noWrap/>
            <w:vAlign w:val="center"/>
            <w:hideMark/>
          </w:tcPr>
          <w:p w14:paraId="6752C434" w14:textId="77777777" w:rsidR="004F64EF" w:rsidRPr="003003C0" w:rsidRDefault="004F64EF" w:rsidP="00FD6B66">
            <w:pPr>
              <w:jc w:val="right"/>
              <w:rPr>
                <w:rFonts w:cs="Arial"/>
                <w:color w:val="000000"/>
                <w:sz w:val="15"/>
                <w:szCs w:val="15"/>
              </w:rPr>
            </w:pPr>
            <w:r w:rsidRPr="003003C0">
              <w:rPr>
                <w:rFonts w:cs="Arial"/>
                <w:color w:val="000000"/>
                <w:sz w:val="15"/>
                <w:szCs w:val="15"/>
              </w:rPr>
              <w:t>3</w:t>
            </w:r>
            <w:r>
              <w:rPr>
                <w:rFonts w:cs="Arial"/>
                <w:color w:val="000000"/>
                <w:sz w:val="15"/>
                <w:szCs w:val="15"/>
              </w:rPr>
              <w:t>.</w:t>
            </w:r>
            <w:r w:rsidRPr="003003C0">
              <w:rPr>
                <w:rFonts w:cs="Arial"/>
                <w:color w:val="000000"/>
                <w:sz w:val="15"/>
                <w:szCs w:val="15"/>
              </w:rPr>
              <w:t>8</w:t>
            </w:r>
          </w:p>
        </w:tc>
        <w:tc>
          <w:tcPr>
            <w:tcW w:w="764" w:type="dxa"/>
            <w:noWrap/>
            <w:vAlign w:val="center"/>
            <w:hideMark/>
          </w:tcPr>
          <w:p w14:paraId="6D3DEE9B" w14:textId="77777777" w:rsidR="004F64EF" w:rsidRPr="003003C0" w:rsidRDefault="004F64EF" w:rsidP="00FD6B66">
            <w:pPr>
              <w:jc w:val="right"/>
              <w:rPr>
                <w:rFonts w:cs="Arial"/>
                <w:color w:val="000000"/>
                <w:sz w:val="15"/>
                <w:szCs w:val="15"/>
              </w:rPr>
            </w:pPr>
            <w:r w:rsidRPr="003003C0">
              <w:rPr>
                <w:rFonts w:cs="Arial"/>
                <w:color w:val="000000"/>
                <w:sz w:val="15"/>
                <w:szCs w:val="15"/>
              </w:rPr>
              <w:t>3</w:t>
            </w:r>
            <w:r>
              <w:rPr>
                <w:rFonts w:cs="Arial"/>
                <w:color w:val="000000"/>
                <w:sz w:val="15"/>
                <w:szCs w:val="15"/>
              </w:rPr>
              <w:t>.</w:t>
            </w:r>
            <w:r w:rsidRPr="003003C0">
              <w:rPr>
                <w:rFonts w:cs="Arial"/>
                <w:color w:val="000000"/>
                <w:sz w:val="15"/>
                <w:szCs w:val="15"/>
              </w:rPr>
              <w:t>6</w:t>
            </w:r>
          </w:p>
        </w:tc>
      </w:tr>
      <w:tr w:rsidR="004F64EF" w:rsidRPr="003003C0" w14:paraId="7EEA34A8" w14:textId="77777777" w:rsidTr="00FD6B66">
        <w:trPr>
          <w:cnfStyle w:val="000000010000" w:firstRow="0" w:lastRow="0" w:firstColumn="0" w:lastColumn="0" w:oddVBand="0" w:evenVBand="0" w:oddHBand="0" w:evenHBand="1" w:firstRowFirstColumn="0" w:firstRowLastColumn="0" w:lastRowFirstColumn="0" w:lastRowLastColumn="0"/>
          <w:trHeight w:val="20"/>
        </w:trPr>
        <w:tc>
          <w:tcPr>
            <w:tcW w:w="3681" w:type="dxa"/>
            <w:noWrap/>
            <w:vAlign w:val="center"/>
            <w:hideMark/>
          </w:tcPr>
          <w:p w14:paraId="673B8EEB" w14:textId="77777777" w:rsidR="004F64EF" w:rsidRPr="003003C0" w:rsidRDefault="004F64EF" w:rsidP="003E0CD7">
            <w:pPr>
              <w:tabs>
                <w:tab w:val="left" w:pos="170"/>
              </w:tabs>
              <w:ind w:left="170" w:hanging="170"/>
              <w:jc w:val="left"/>
              <w:rPr>
                <w:rFonts w:cs="Arial"/>
                <w:color w:val="000000"/>
                <w:sz w:val="15"/>
                <w:szCs w:val="15"/>
              </w:rPr>
            </w:pPr>
            <w:r w:rsidRPr="003003C0">
              <w:rPr>
                <w:rFonts w:cs="Arial"/>
                <w:color w:val="000000"/>
                <w:sz w:val="15"/>
                <w:szCs w:val="15"/>
              </w:rPr>
              <w:tab/>
              <w:t xml:space="preserve">33. </w:t>
            </w:r>
            <w:r w:rsidRPr="00212C88">
              <w:rPr>
                <w:rFonts w:cs="Arial"/>
                <w:color w:val="000000"/>
                <w:sz w:val="15"/>
                <w:szCs w:val="15"/>
              </w:rPr>
              <w:t>Essential oils; perfumery</w:t>
            </w:r>
            <w:r>
              <w:rPr>
                <w:rFonts w:cs="Arial"/>
                <w:color w:val="000000"/>
                <w:sz w:val="15"/>
                <w:szCs w:val="15"/>
              </w:rPr>
              <w:t xml:space="preserve"> or</w:t>
            </w:r>
            <w:r w:rsidRPr="00212C88">
              <w:rPr>
                <w:rFonts w:cs="Arial"/>
                <w:color w:val="000000"/>
                <w:sz w:val="15"/>
                <w:szCs w:val="15"/>
              </w:rPr>
              <w:t xml:space="preserve"> cosmetic preparations</w:t>
            </w:r>
          </w:p>
        </w:tc>
        <w:tc>
          <w:tcPr>
            <w:tcW w:w="764" w:type="dxa"/>
            <w:noWrap/>
            <w:vAlign w:val="center"/>
            <w:hideMark/>
          </w:tcPr>
          <w:p w14:paraId="72E6CA46" w14:textId="77777777" w:rsidR="004F64EF" w:rsidRPr="003003C0" w:rsidRDefault="004F64EF" w:rsidP="00FD6B66">
            <w:pPr>
              <w:jc w:val="right"/>
              <w:rPr>
                <w:rFonts w:cs="Arial"/>
                <w:color w:val="000000"/>
                <w:sz w:val="15"/>
                <w:szCs w:val="15"/>
              </w:rPr>
            </w:pPr>
            <w:r w:rsidRPr="003003C0">
              <w:rPr>
                <w:rFonts w:cs="Arial"/>
                <w:color w:val="000000"/>
                <w:sz w:val="15"/>
                <w:szCs w:val="15"/>
              </w:rPr>
              <w:t>0</w:t>
            </w:r>
            <w:r>
              <w:rPr>
                <w:rFonts w:cs="Arial"/>
                <w:color w:val="000000"/>
                <w:sz w:val="15"/>
                <w:szCs w:val="15"/>
              </w:rPr>
              <w:t>.</w:t>
            </w:r>
            <w:r w:rsidRPr="003003C0">
              <w:rPr>
                <w:rFonts w:cs="Arial"/>
                <w:color w:val="000000"/>
                <w:sz w:val="15"/>
                <w:szCs w:val="15"/>
              </w:rPr>
              <w:t>7</w:t>
            </w:r>
          </w:p>
        </w:tc>
        <w:tc>
          <w:tcPr>
            <w:tcW w:w="764" w:type="dxa"/>
            <w:noWrap/>
            <w:vAlign w:val="center"/>
            <w:hideMark/>
          </w:tcPr>
          <w:p w14:paraId="1AEAD7C4" w14:textId="77777777" w:rsidR="004F64EF" w:rsidRPr="003003C0" w:rsidRDefault="004F64EF" w:rsidP="00FD6B66">
            <w:pPr>
              <w:jc w:val="right"/>
              <w:rPr>
                <w:rFonts w:cs="Arial"/>
                <w:color w:val="000000"/>
                <w:sz w:val="15"/>
                <w:szCs w:val="15"/>
              </w:rPr>
            </w:pPr>
            <w:r w:rsidRPr="003003C0">
              <w:rPr>
                <w:rFonts w:cs="Arial"/>
                <w:color w:val="000000"/>
                <w:sz w:val="15"/>
                <w:szCs w:val="15"/>
              </w:rPr>
              <w:t>0</w:t>
            </w:r>
            <w:r>
              <w:rPr>
                <w:rFonts w:cs="Arial"/>
                <w:color w:val="000000"/>
                <w:sz w:val="15"/>
                <w:szCs w:val="15"/>
              </w:rPr>
              <w:t>.</w:t>
            </w:r>
            <w:r w:rsidRPr="003003C0">
              <w:rPr>
                <w:rFonts w:cs="Arial"/>
                <w:color w:val="000000"/>
                <w:sz w:val="15"/>
                <w:szCs w:val="15"/>
              </w:rPr>
              <w:t>5</w:t>
            </w:r>
          </w:p>
        </w:tc>
        <w:tc>
          <w:tcPr>
            <w:tcW w:w="764" w:type="dxa"/>
            <w:noWrap/>
            <w:vAlign w:val="center"/>
            <w:hideMark/>
          </w:tcPr>
          <w:p w14:paraId="3E644941" w14:textId="77777777" w:rsidR="004F64EF" w:rsidRPr="003003C0" w:rsidRDefault="004F64EF" w:rsidP="00FD6B66">
            <w:pPr>
              <w:jc w:val="right"/>
              <w:rPr>
                <w:rFonts w:cs="Arial"/>
                <w:color w:val="000000"/>
                <w:sz w:val="15"/>
                <w:szCs w:val="15"/>
              </w:rPr>
            </w:pPr>
            <w:r w:rsidRPr="003003C0">
              <w:rPr>
                <w:rFonts w:cs="Arial"/>
                <w:color w:val="000000"/>
                <w:sz w:val="15"/>
                <w:szCs w:val="15"/>
              </w:rPr>
              <w:t>0</w:t>
            </w:r>
            <w:r>
              <w:rPr>
                <w:rFonts w:cs="Arial"/>
                <w:color w:val="000000"/>
                <w:sz w:val="15"/>
                <w:szCs w:val="15"/>
              </w:rPr>
              <w:t>.</w:t>
            </w:r>
            <w:r w:rsidRPr="003003C0">
              <w:rPr>
                <w:rFonts w:cs="Arial"/>
                <w:color w:val="000000"/>
                <w:sz w:val="15"/>
                <w:szCs w:val="15"/>
              </w:rPr>
              <w:t>6</w:t>
            </w:r>
          </w:p>
        </w:tc>
        <w:tc>
          <w:tcPr>
            <w:tcW w:w="764" w:type="dxa"/>
            <w:noWrap/>
            <w:vAlign w:val="center"/>
            <w:hideMark/>
          </w:tcPr>
          <w:p w14:paraId="285B0E4B" w14:textId="77777777" w:rsidR="004F64EF" w:rsidRPr="003003C0" w:rsidRDefault="004F64EF" w:rsidP="00FD6B66">
            <w:pPr>
              <w:jc w:val="right"/>
              <w:rPr>
                <w:rFonts w:cs="Arial"/>
                <w:color w:val="000000"/>
                <w:sz w:val="15"/>
                <w:szCs w:val="15"/>
              </w:rPr>
            </w:pPr>
            <w:r w:rsidRPr="003003C0">
              <w:rPr>
                <w:rFonts w:cs="Arial"/>
                <w:color w:val="000000"/>
                <w:sz w:val="15"/>
                <w:szCs w:val="15"/>
              </w:rPr>
              <w:t>0</w:t>
            </w:r>
            <w:r>
              <w:rPr>
                <w:rFonts w:cs="Arial"/>
                <w:color w:val="000000"/>
                <w:sz w:val="15"/>
                <w:szCs w:val="15"/>
              </w:rPr>
              <w:t>.</w:t>
            </w:r>
            <w:r w:rsidRPr="003003C0">
              <w:rPr>
                <w:rFonts w:cs="Arial"/>
                <w:color w:val="000000"/>
                <w:sz w:val="15"/>
                <w:szCs w:val="15"/>
              </w:rPr>
              <w:t>6</w:t>
            </w:r>
          </w:p>
        </w:tc>
        <w:tc>
          <w:tcPr>
            <w:tcW w:w="764" w:type="dxa"/>
            <w:noWrap/>
            <w:vAlign w:val="center"/>
            <w:hideMark/>
          </w:tcPr>
          <w:p w14:paraId="48401841" w14:textId="77777777" w:rsidR="004F64EF" w:rsidRPr="003003C0" w:rsidRDefault="004F64EF" w:rsidP="00FD6B66">
            <w:pPr>
              <w:jc w:val="right"/>
              <w:rPr>
                <w:rFonts w:cs="Arial"/>
                <w:color w:val="000000"/>
                <w:sz w:val="15"/>
                <w:szCs w:val="15"/>
              </w:rPr>
            </w:pPr>
            <w:r w:rsidRPr="003003C0">
              <w:rPr>
                <w:rFonts w:cs="Arial"/>
                <w:color w:val="000000"/>
                <w:sz w:val="15"/>
                <w:szCs w:val="15"/>
              </w:rPr>
              <w:t>0</w:t>
            </w:r>
            <w:r>
              <w:rPr>
                <w:rFonts w:cs="Arial"/>
                <w:color w:val="000000"/>
                <w:sz w:val="15"/>
                <w:szCs w:val="15"/>
              </w:rPr>
              <w:t>.</w:t>
            </w:r>
            <w:r w:rsidRPr="003003C0">
              <w:rPr>
                <w:rFonts w:cs="Arial"/>
                <w:color w:val="000000"/>
                <w:sz w:val="15"/>
                <w:szCs w:val="15"/>
              </w:rPr>
              <w:t>5</w:t>
            </w:r>
          </w:p>
        </w:tc>
        <w:tc>
          <w:tcPr>
            <w:tcW w:w="764" w:type="dxa"/>
            <w:noWrap/>
            <w:vAlign w:val="center"/>
            <w:hideMark/>
          </w:tcPr>
          <w:p w14:paraId="5DEF5A9D" w14:textId="77777777" w:rsidR="004F64EF" w:rsidRPr="003003C0" w:rsidRDefault="004F64EF" w:rsidP="00FD6B66">
            <w:pPr>
              <w:jc w:val="right"/>
              <w:rPr>
                <w:rFonts w:cs="Arial"/>
                <w:color w:val="000000"/>
                <w:sz w:val="15"/>
                <w:szCs w:val="15"/>
              </w:rPr>
            </w:pPr>
            <w:r w:rsidRPr="003003C0">
              <w:rPr>
                <w:rFonts w:cs="Arial"/>
                <w:color w:val="000000"/>
                <w:sz w:val="15"/>
                <w:szCs w:val="15"/>
              </w:rPr>
              <w:t>0</w:t>
            </w:r>
            <w:r>
              <w:rPr>
                <w:rFonts w:cs="Arial"/>
                <w:color w:val="000000"/>
                <w:sz w:val="15"/>
                <w:szCs w:val="15"/>
              </w:rPr>
              <w:t>.</w:t>
            </w:r>
            <w:r w:rsidRPr="003003C0">
              <w:rPr>
                <w:rFonts w:cs="Arial"/>
                <w:color w:val="000000"/>
                <w:sz w:val="15"/>
                <w:szCs w:val="15"/>
              </w:rPr>
              <w:t>7</w:t>
            </w:r>
          </w:p>
        </w:tc>
        <w:tc>
          <w:tcPr>
            <w:tcW w:w="764" w:type="dxa"/>
            <w:noWrap/>
            <w:vAlign w:val="center"/>
            <w:hideMark/>
          </w:tcPr>
          <w:p w14:paraId="4274338B" w14:textId="77777777" w:rsidR="004F64EF" w:rsidRPr="003003C0" w:rsidRDefault="004F64EF" w:rsidP="00FD6B66">
            <w:pPr>
              <w:jc w:val="right"/>
              <w:rPr>
                <w:rFonts w:cs="Arial"/>
                <w:color w:val="000000"/>
                <w:sz w:val="15"/>
                <w:szCs w:val="15"/>
              </w:rPr>
            </w:pPr>
            <w:r w:rsidRPr="003003C0">
              <w:rPr>
                <w:rFonts w:cs="Arial"/>
                <w:color w:val="000000"/>
                <w:sz w:val="15"/>
                <w:szCs w:val="15"/>
              </w:rPr>
              <w:t>0</w:t>
            </w:r>
            <w:r>
              <w:rPr>
                <w:rFonts w:cs="Arial"/>
                <w:color w:val="000000"/>
                <w:sz w:val="15"/>
                <w:szCs w:val="15"/>
              </w:rPr>
              <w:t>.</w:t>
            </w:r>
            <w:r w:rsidRPr="003003C0">
              <w:rPr>
                <w:rFonts w:cs="Arial"/>
                <w:color w:val="000000"/>
                <w:sz w:val="15"/>
                <w:szCs w:val="15"/>
              </w:rPr>
              <w:t>7</w:t>
            </w:r>
          </w:p>
        </w:tc>
      </w:tr>
      <w:tr w:rsidR="004F64EF" w:rsidRPr="003003C0" w14:paraId="7327EF5F" w14:textId="77777777" w:rsidTr="00FD6B66">
        <w:trPr>
          <w:trHeight w:val="20"/>
        </w:trPr>
        <w:tc>
          <w:tcPr>
            <w:tcW w:w="3681" w:type="dxa"/>
            <w:noWrap/>
            <w:vAlign w:val="center"/>
            <w:hideMark/>
          </w:tcPr>
          <w:p w14:paraId="79F31713" w14:textId="77777777" w:rsidR="004F64EF" w:rsidRPr="003003C0" w:rsidRDefault="004F64EF" w:rsidP="003E0CD7">
            <w:pPr>
              <w:tabs>
                <w:tab w:val="left" w:pos="170"/>
              </w:tabs>
              <w:ind w:left="170" w:hanging="170"/>
              <w:jc w:val="left"/>
              <w:rPr>
                <w:rFonts w:cs="Arial"/>
                <w:color w:val="000000"/>
                <w:sz w:val="15"/>
                <w:szCs w:val="15"/>
              </w:rPr>
            </w:pPr>
            <w:r w:rsidRPr="003003C0">
              <w:rPr>
                <w:rFonts w:cs="Arial"/>
                <w:color w:val="000000"/>
                <w:sz w:val="15"/>
                <w:szCs w:val="15"/>
              </w:rPr>
              <w:tab/>
              <w:t xml:space="preserve">34. </w:t>
            </w:r>
            <w:r w:rsidRPr="00567706">
              <w:rPr>
                <w:rFonts w:cs="Arial"/>
                <w:color w:val="000000"/>
                <w:sz w:val="15"/>
                <w:szCs w:val="15"/>
              </w:rPr>
              <w:t>Soap, organic surface-active agents, washing preparations</w:t>
            </w:r>
            <w:r>
              <w:rPr>
                <w:rFonts w:cs="Arial"/>
                <w:color w:val="000000"/>
                <w:sz w:val="15"/>
                <w:szCs w:val="15"/>
              </w:rPr>
              <w:t xml:space="preserve"> and</w:t>
            </w:r>
            <w:r w:rsidRPr="00567706">
              <w:rPr>
                <w:rFonts w:cs="Arial"/>
                <w:color w:val="000000"/>
                <w:sz w:val="15"/>
                <w:szCs w:val="15"/>
              </w:rPr>
              <w:t xml:space="preserve"> lubricating preparations</w:t>
            </w:r>
          </w:p>
        </w:tc>
        <w:tc>
          <w:tcPr>
            <w:tcW w:w="764" w:type="dxa"/>
            <w:noWrap/>
            <w:vAlign w:val="center"/>
            <w:hideMark/>
          </w:tcPr>
          <w:p w14:paraId="7DC93274" w14:textId="77777777" w:rsidR="004F64EF" w:rsidRPr="003003C0" w:rsidRDefault="004F64EF" w:rsidP="00FD6B66">
            <w:pPr>
              <w:jc w:val="right"/>
              <w:rPr>
                <w:rFonts w:cs="Arial"/>
                <w:color w:val="000000"/>
                <w:sz w:val="15"/>
                <w:szCs w:val="15"/>
              </w:rPr>
            </w:pPr>
            <w:r w:rsidRPr="003003C0">
              <w:rPr>
                <w:rFonts w:cs="Arial"/>
                <w:color w:val="000000"/>
                <w:sz w:val="15"/>
                <w:szCs w:val="15"/>
              </w:rPr>
              <w:t>0</w:t>
            </w:r>
            <w:r>
              <w:rPr>
                <w:rFonts w:cs="Arial"/>
                <w:color w:val="000000"/>
                <w:sz w:val="15"/>
                <w:szCs w:val="15"/>
              </w:rPr>
              <w:t>.</w:t>
            </w:r>
            <w:r w:rsidRPr="003003C0">
              <w:rPr>
                <w:rFonts w:cs="Arial"/>
                <w:color w:val="000000"/>
                <w:sz w:val="15"/>
                <w:szCs w:val="15"/>
              </w:rPr>
              <w:t>6</w:t>
            </w:r>
          </w:p>
        </w:tc>
        <w:tc>
          <w:tcPr>
            <w:tcW w:w="764" w:type="dxa"/>
            <w:noWrap/>
            <w:vAlign w:val="center"/>
            <w:hideMark/>
          </w:tcPr>
          <w:p w14:paraId="2AA18467" w14:textId="77777777" w:rsidR="004F64EF" w:rsidRPr="003003C0" w:rsidRDefault="004F64EF" w:rsidP="00FD6B66">
            <w:pPr>
              <w:jc w:val="right"/>
              <w:rPr>
                <w:rFonts w:cs="Arial"/>
                <w:color w:val="000000"/>
                <w:sz w:val="15"/>
                <w:szCs w:val="15"/>
              </w:rPr>
            </w:pPr>
            <w:r w:rsidRPr="003003C0">
              <w:rPr>
                <w:rFonts w:cs="Arial"/>
                <w:color w:val="000000"/>
                <w:sz w:val="15"/>
                <w:szCs w:val="15"/>
              </w:rPr>
              <w:t>0</w:t>
            </w:r>
            <w:r>
              <w:rPr>
                <w:rFonts w:cs="Arial"/>
                <w:color w:val="000000"/>
                <w:sz w:val="15"/>
                <w:szCs w:val="15"/>
              </w:rPr>
              <w:t>.</w:t>
            </w:r>
            <w:r w:rsidRPr="003003C0">
              <w:rPr>
                <w:rFonts w:cs="Arial"/>
                <w:color w:val="000000"/>
                <w:sz w:val="15"/>
                <w:szCs w:val="15"/>
              </w:rPr>
              <w:t>5</w:t>
            </w:r>
          </w:p>
        </w:tc>
        <w:tc>
          <w:tcPr>
            <w:tcW w:w="764" w:type="dxa"/>
            <w:noWrap/>
            <w:vAlign w:val="center"/>
            <w:hideMark/>
          </w:tcPr>
          <w:p w14:paraId="11612B6D" w14:textId="77777777" w:rsidR="004F64EF" w:rsidRPr="003003C0" w:rsidRDefault="004F64EF" w:rsidP="00FD6B66">
            <w:pPr>
              <w:jc w:val="right"/>
              <w:rPr>
                <w:rFonts w:cs="Arial"/>
                <w:color w:val="000000"/>
                <w:sz w:val="15"/>
                <w:szCs w:val="15"/>
              </w:rPr>
            </w:pPr>
            <w:r w:rsidRPr="003003C0">
              <w:rPr>
                <w:rFonts w:cs="Arial"/>
                <w:color w:val="000000"/>
                <w:sz w:val="15"/>
                <w:szCs w:val="15"/>
              </w:rPr>
              <w:t>0</w:t>
            </w:r>
            <w:r>
              <w:rPr>
                <w:rFonts w:cs="Arial"/>
                <w:color w:val="000000"/>
                <w:sz w:val="15"/>
                <w:szCs w:val="15"/>
              </w:rPr>
              <w:t>.</w:t>
            </w:r>
            <w:r w:rsidRPr="003003C0">
              <w:rPr>
                <w:rFonts w:cs="Arial"/>
                <w:color w:val="000000"/>
                <w:sz w:val="15"/>
                <w:szCs w:val="15"/>
              </w:rPr>
              <w:t>4</w:t>
            </w:r>
          </w:p>
        </w:tc>
        <w:tc>
          <w:tcPr>
            <w:tcW w:w="764" w:type="dxa"/>
            <w:noWrap/>
            <w:vAlign w:val="center"/>
            <w:hideMark/>
          </w:tcPr>
          <w:p w14:paraId="57CBBD6D" w14:textId="77777777" w:rsidR="004F64EF" w:rsidRPr="003003C0" w:rsidRDefault="004F64EF" w:rsidP="00FD6B66">
            <w:pPr>
              <w:jc w:val="right"/>
              <w:rPr>
                <w:rFonts w:cs="Arial"/>
                <w:color w:val="000000"/>
                <w:sz w:val="15"/>
                <w:szCs w:val="15"/>
              </w:rPr>
            </w:pPr>
            <w:r w:rsidRPr="003003C0">
              <w:rPr>
                <w:rFonts w:cs="Arial"/>
                <w:color w:val="000000"/>
                <w:sz w:val="15"/>
                <w:szCs w:val="15"/>
              </w:rPr>
              <w:t>0</w:t>
            </w:r>
            <w:r>
              <w:rPr>
                <w:rFonts w:cs="Arial"/>
                <w:color w:val="000000"/>
                <w:sz w:val="15"/>
                <w:szCs w:val="15"/>
              </w:rPr>
              <w:t>.</w:t>
            </w:r>
            <w:r w:rsidRPr="003003C0">
              <w:rPr>
                <w:rFonts w:cs="Arial"/>
                <w:color w:val="000000"/>
                <w:sz w:val="15"/>
                <w:szCs w:val="15"/>
              </w:rPr>
              <w:t>5</w:t>
            </w:r>
          </w:p>
        </w:tc>
        <w:tc>
          <w:tcPr>
            <w:tcW w:w="764" w:type="dxa"/>
            <w:noWrap/>
            <w:vAlign w:val="center"/>
            <w:hideMark/>
          </w:tcPr>
          <w:p w14:paraId="3E2EEDB7" w14:textId="77777777" w:rsidR="004F64EF" w:rsidRPr="003003C0" w:rsidRDefault="004F64EF" w:rsidP="00FD6B66">
            <w:pPr>
              <w:jc w:val="right"/>
              <w:rPr>
                <w:rFonts w:cs="Arial"/>
                <w:color w:val="000000"/>
                <w:sz w:val="15"/>
                <w:szCs w:val="15"/>
              </w:rPr>
            </w:pPr>
            <w:r w:rsidRPr="003003C0">
              <w:rPr>
                <w:rFonts w:cs="Arial"/>
                <w:color w:val="000000"/>
                <w:sz w:val="15"/>
                <w:szCs w:val="15"/>
              </w:rPr>
              <w:t>0</w:t>
            </w:r>
            <w:r>
              <w:rPr>
                <w:rFonts w:cs="Arial"/>
                <w:color w:val="000000"/>
                <w:sz w:val="15"/>
                <w:szCs w:val="15"/>
              </w:rPr>
              <w:t>.</w:t>
            </w:r>
            <w:r w:rsidRPr="003003C0">
              <w:rPr>
                <w:rFonts w:cs="Arial"/>
                <w:color w:val="000000"/>
                <w:sz w:val="15"/>
                <w:szCs w:val="15"/>
              </w:rPr>
              <w:t>5</w:t>
            </w:r>
          </w:p>
        </w:tc>
        <w:tc>
          <w:tcPr>
            <w:tcW w:w="764" w:type="dxa"/>
            <w:noWrap/>
            <w:vAlign w:val="center"/>
            <w:hideMark/>
          </w:tcPr>
          <w:p w14:paraId="29626DA2" w14:textId="77777777" w:rsidR="004F64EF" w:rsidRPr="003003C0" w:rsidRDefault="004F64EF" w:rsidP="00FD6B66">
            <w:pPr>
              <w:jc w:val="right"/>
              <w:rPr>
                <w:rFonts w:cs="Arial"/>
                <w:color w:val="000000"/>
                <w:sz w:val="15"/>
                <w:szCs w:val="15"/>
              </w:rPr>
            </w:pPr>
            <w:r w:rsidRPr="003003C0">
              <w:rPr>
                <w:rFonts w:cs="Arial"/>
                <w:color w:val="000000"/>
                <w:sz w:val="15"/>
                <w:szCs w:val="15"/>
              </w:rPr>
              <w:t>0</w:t>
            </w:r>
            <w:r>
              <w:rPr>
                <w:rFonts w:cs="Arial"/>
                <w:color w:val="000000"/>
                <w:sz w:val="15"/>
                <w:szCs w:val="15"/>
              </w:rPr>
              <w:t>.</w:t>
            </w:r>
            <w:r w:rsidRPr="003003C0">
              <w:rPr>
                <w:rFonts w:cs="Arial"/>
                <w:color w:val="000000"/>
                <w:sz w:val="15"/>
                <w:szCs w:val="15"/>
              </w:rPr>
              <w:t>6</w:t>
            </w:r>
          </w:p>
        </w:tc>
        <w:tc>
          <w:tcPr>
            <w:tcW w:w="764" w:type="dxa"/>
            <w:noWrap/>
            <w:vAlign w:val="center"/>
            <w:hideMark/>
          </w:tcPr>
          <w:p w14:paraId="4014A5C3" w14:textId="77777777" w:rsidR="004F64EF" w:rsidRPr="003003C0" w:rsidRDefault="004F64EF" w:rsidP="00FD6B66">
            <w:pPr>
              <w:jc w:val="right"/>
              <w:rPr>
                <w:rFonts w:cs="Arial"/>
                <w:color w:val="000000"/>
                <w:sz w:val="15"/>
                <w:szCs w:val="15"/>
              </w:rPr>
            </w:pPr>
            <w:r w:rsidRPr="003003C0">
              <w:rPr>
                <w:rFonts w:cs="Arial"/>
                <w:color w:val="000000"/>
                <w:sz w:val="15"/>
                <w:szCs w:val="15"/>
              </w:rPr>
              <w:t>0</w:t>
            </w:r>
            <w:r>
              <w:rPr>
                <w:rFonts w:cs="Arial"/>
                <w:color w:val="000000"/>
                <w:sz w:val="15"/>
                <w:szCs w:val="15"/>
              </w:rPr>
              <w:t>.</w:t>
            </w:r>
            <w:r w:rsidRPr="003003C0">
              <w:rPr>
                <w:rFonts w:cs="Arial"/>
                <w:color w:val="000000"/>
                <w:sz w:val="15"/>
                <w:szCs w:val="15"/>
              </w:rPr>
              <w:t>6</w:t>
            </w:r>
          </w:p>
        </w:tc>
      </w:tr>
      <w:tr w:rsidR="004F64EF" w:rsidRPr="003003C0" w14:paraId="2933A8BA" w14:textId="77777777" w:rsidTr="00FD6B66">
        <w:trPr>
          <w:cnfStyle w:val="000000010000" w:firstRow="0" w:lastRow="0" w:firstColumn="0" w:lastColumn="0" w:oddVBand="0" w:evenVBand="0" w:oddHBand="0" w:evenHBand="1" w:firstRowFirstColumn="0" w:firstRowLastColumn="0" w:lastRowFirstColumn="0" w:lastRowLastColumn="0"/>
          <w:trHeight w:val="20"/>
        </w:trPr>
        <w:tc>
          <w:tcPr>
            <w:tcW w:w="3681" w:type="dxa"/>
            <w:noWrap/>
            <w:vAlign w:val="center"/>
            <w:hideMark/>
          </w:tcPr>
          <w:p w14:paraId="5E16FEEE" w14:textId="77777777" w:rsidR="004F64EF" w:rsidRPr="003003C0" w:rsidRDefault="004F64EF" w:rsidP="00FD6B66">
            <w:pPr>
              <w:tabs>
                <w:tab w:val="left" w:pos="170"/>
              </w:tabs>
              <w:jc w:val="left"/>
              <w:rPr>
                <w:rFonts w:cs="Arial"/>
                <w:color w:val="000000"/>
                <w:sz w:val="15"/>
                <w:szCs w:val="15"/>
              </w:rPr>
            </w:pPr>
            <w:r w:rsidRPr="003003C0">
              <w:rPr>
                <w:rFonts w:cs="Arial"/>
                <w:color w:val="000000"/>
                <w:sz w:val="15"/>
                <w:szCs w:val="15"/>
              </w:rPr>
              <w:tab/>
              <w:t xml:space="preserve">31. </w:t>
            </w:r>
            <w:r w:rsidRPr="00567706">
              <w:rPr>
                <w:rFonts w:cs="Arial"/>
                <w:color w:val="000000"/>
                <w:sz w:val="15"/>
                <w:szCs w:val="15"/>
              </w:rPr>
              <w:t>Fertilisers</w:t>
            </w:r>
          </w:p>
        </w:tc>
        <w:tc>
          <w:tcPr>
            <w:tcW w:w="764" w:type="dxa"/>
            <w:noWrap/>
            <w:vAlign w:val="center"/>
            <w:hideMark/>
          </w:tcPr>
          <w:p w14:paraId="333ECE33" w14:textId="77777777" w:rsidR="004F64EF" w:rsidRPr="003003C0" w:rsidRDefault="004F64EF" w:rsidP="00FD6B66">
            <w:pPr>
              <w:jc w:val="right"/>
              <w:rPr>
                <w:rFonts w:cs="Arial"/>
                <w:color w:val="000000"/>
                <w:sz w:val="15"/>
                <w:szCs w:val="15"/>
              </w:rPr>
            </w:pPr>
            <w:r w:rsidRPr="003003C0">
              <w:rPr>
                <w:rFonts w:cs="Arial"/>
                <w:color w:val="000000"/>
                <w:sz w:val="15"/>
                <w:szCs w:val="15"/>
              </w:rPr>
              <w:t>0</w:t>
            </w:r>
            <w:r>
              <w:rPr>
                <w:rFonts w:cs="Arial"/>
                <w:color w:val="000000"/>
                <w:sz w:val="15"/>
                <w:szCs w:val="15"/>
              </w:rPr>
              <w:t>.</w:t>
            </w:r>
            <w:r w:rsidRPr="003003C0">
              <w:rPr>
                <w:rFonts w:cs="Arial"/>
                <w:color w:val="000000"/>
                <w:sz w:val="15"/>
                <w:szCs w:val="15"/>
              </w:rPr>
              <w:t>6</w:t>
            </w:r>
          </w:p>
        </w:tc>
        <w:tc>
          <w:tcPr>
            <w:tcW w:w="764" w:type="dxa"/>
            <w:noWrap/>
            <w:vAlign w:val="center"/>
            <w:hideMark/>
          </w:tcPr>
          <w:p w14:paraId="0B7936EC" w14:textId="77777777" w:rsidR="004F64EF" w:rsidRPr="003003C0" w:rsidRDefault="004F64EF" w:rsidP="00FD6B66">
            <w:pPr>
              <w:jc w:val="right"/>
              <w:rPr>
                <w:rFonts w:cs="Arial"/>
                <w:color w:val="000000"/>
                <w:sz w:val="15"/>
                <w:szCs w:val="15"/>
              </w:rPr>
            </w:pPr>
            <w:r w:rsidRPr="003003C0">
              <w:rPr>
                <w:rFonts w:cs="Arial"/>
                <w:color w:val="000000"/>
                <w:sz w:val="15"/>
                <w:szCs w:val="15"/>
              </w:rPr>
              <w:t>0</w:t>
            </w:r>
            <w:r>
              <w:rPr>
                <w:rFonts w:cs="Arial"/>
                <w:color w:val="000000"/>
                <w:sz w:val="15"/>
                <w:szCs w:val="15"/>
              </w:rPr>
              <w:t>.</w:t>
            </w:r>
            <w:r w:rsidRPr="003003C0">
              <w:rPr>
                <w:rFonts w:cs="Arial"/>
                <w:color w:val="000000"/>
                <w:sz w:val="15"/>
                <w:szCs w:val="15"/>
              </w:rPr>
              <w:t>6</w:t>
            </w:r>
          </w:p>
        </w:tc>
        <w:tc>
          <w:tcPr>
            <w:tcW w:w="764" w:type="dxa"/>
            <w:noWrap/>
            <w:vAlign w:val="center"/>
            <w:hideMark/>
          </w:tcPr>
          <w:p w14:paraId="443CBEA5" w14:textId="77777777" w:rsidR="004F64EF" w:rsidRPr="003003C0" w:rsidRDefault="004F64EF" w:rsidP="00FD6B66">
            <w:pPr>
              <w:jc w:val="right"/>
              <w:rPr>
                <w:rFonts w:cs="Arial"/>
                <w:color w:val="000000"/>
                <w:sz w:val="15"/>
                <w:szCs w:val="15"/>
              </w:rPr>
            </w:pPr>
            <w:r w:rsidRPr="003003C0">
              <w:rPr>
                <w:rFonts w:cs="Arial"/>
                <w:color w:val="000000"/>
                <w:sz w:val="15"/>
                <w:szCs w:val="15"/>
              </w:rPr>
              <w:t>0</w:t>
            </w:r>
            <w:r>
              <w:rPr>
                <w:rFonts w:cs="Arial"/>
                <w:color w:val="000000"/>
                <w:sz w:val="15"/>
                <w:szCs w:val="15"/>
              </w:rPr>
              <w:t>.</w:t>
            </w:r>
            <w:r w:rsidRPr="003003C0">
              <w:rPr>
                <w:rFonts w:cs="Arial"/>
                <w:color w:val="000000"/>
                <w:sz w:val="15"/>
                <w:szCs w:val="15"/>
              </w:rPr>
              <w:t>6</w:t>
            </w:r>
          </w:p>
        </w:tc>
        <w:tc>
          <w:tcPr>
            <w:tcW w:w="764" w:type="dxa"/>
            <w:noWrap/>
            <w:vAlign w:val="center"/>
            <w:hideMark/>
          </w:tcPr>
          <w:p w14:paraId="696AA1A5" w14:textId="77777777" w:rsidR="004F64EF" w:rsidRPr="003003C0" w:rsidRDefault="004F64EF" w:rsidP="00FD6B66">
            <w:pPr>
              <w:jc w:val="right"/>
              <w:rPr>
                <w:rFonts w:cs="Arial"/>
                <w:color w:val="000000"/>
                <w:sz w:val="15"/>
                <w:szCs w:val="15"/>
              </w:rPr>
            </w:pPr>
            <w:r w:rsidRPr="003003C0">
              <w:rPr>
                <w:rFonts w:cs="Arial"/>
                <w:color w:val="000000"/>
                <w:sz w:val="15"/>
                <w:szCs w:val="15"/>
              </w:rPr>
              <w:t>2</w:t>
            </w:r>
            <w:r>
              <w:rPr>
                <w:rFonts w:cs="Arial"/>
                <w:color w:val="000000"/>
                <w:sz w:val="15"/>
                <w:szCs w:val="15"/>
              </w:rPr>
              <w:t>.</w:t>
            </w:r>
            <w:r w:rsidRPr="003003C0">
              <w:rPr>
                <w:rFonts w:cs="Arial"/>
                <w:color w:val="000000"/>
                <w:sz w:val="15"/>
                <w:szCs w:val="15"/>
              </w:rPr>
              <w:t>6</w:t>
            </w:r>
          </w:p>
        </w:tc>
        <w:tc>
          <w:tcPr>
            <w:tcW w:w="764" w:type="dxa"/>
            <w:noWrap/>
            <w:vAlign w:val="center"/>
            <w:hideMark/>
          </w:tcPr>
          <w:p w14:paraId="3AC831C0" w14:textId="77777777" w:rsidR="004F64EF" w:rsidRPr="003003C0" w:rsidRDefault="004F64EF" w:rsidP="00FD6B66">
            <w:pPr>
              <w:jc w:val="right"/>
              <w:rPr>
                <w:rFonts w:cs="Arial"/>
                <w:color w:val="000000"/>
                <w:sz w:val="15"/>
                <w:szCs w:val="15"/>
              </w:rPr>
            </w:pPr>
            <w:r w:rsidRPr="003003C0">
              <w:rPr>
                <w:rFonts w:cs="Arial"/>
                <w:color w:val="000000"/>
                <w:sz w:val="15"/>
                <w:szCs w:val="15"/>
              </w:rPr>
              <w:t>2</w:t>
            </w:r>
            <w:r>
              <w:rPr>
                <w:rFonts w:cs="Arial"/>
                <w:color w:val="000000"/>
                <w:sz w:val="15"/>
                <w:szCs w:val="15"/>
              </w:rPr>
              <w:t>.</w:t>
            </w:r>
            <w:r w:rsidRPr="003003C0">
              <w:rPr>
                <w:rFonts w:cs="Arial"/>
                <w:color w:val="000000"/>
                <w:sz w:val="15"/>
                <w:szCs w:val="15"/>
              </w:rPr>
              <w:t>0</w:t>
            </w:r>
          </w:p>
        </w:tc>
        <w:tc>
          <w:tcPr>
            <w:tcW w:w="764" w:type="dxa"/>
            <w:noWrap/>
            <w:vAlign w:val="center"/>
            <w:hideMark/>
          </w:tcPr>
          <w:p w14:paraId="2D29616D" w14:textId="77777777" w:rsidR="004F64EF" w:rsidRPr="003003C0" w:rsidRDefault="004F64EF" w:rsidP="00FD6B66">
            <w:pPr>
              <w:jc w:val="right"/>
              <w:rPr>
                <w:rFonts w:cs="Arial"/>
                <w:color w:val="000000"/>
                <w:sz w:val="15"/>
                <w:szCs w:val="15"/>
              </w:rPr>
            </w:pPr>
            <w:r w:rsidRPr="003003C0">
              <w:rPr>
                <w:rFonts w:cs="Arial"/>
                <w:color w:val="000000"/>
                <w:sz w:val="15"/>
                <w:szCs w:val="15"/>
              </w:rPr>
              <w:t>0</w:t>
            </w:r>
            <w:r>
              <w:rPr>
                <w:rFonts w:cs="Arial"/>
                <w:color w:val="000000"/>
                <w:sz w:val="15"/>
                <w:szCs w:val="15"/>
              </w:rPr>
              <w:t>.</w:t>
            </w:r>
            <w:r w:rsidRPr="003003C0">
              <w:rPr>
                <w:rFonts w:cs="Arial"/>
                <w:color w:val="000000"/>
                <w:sz w:val="15"/>
                <w:szCs w:val="15"/>
              </w:rPr>
              <w:t>6</w:t>
            </w:r>
          </w:p>
        </w:tc>
        <w:tc>
          <w:tcPr>
            <w:tcW w:w="764" w:type="dxa"/>
            <w:noWrap/>
            <w:vAlign w:val="center"/>
            <w:hideMark/>
          </w:tcPr>
          <w:p w14:paraId="278B61CC" w14:textId="77777777" w:rsidR="004F64EF" w:rsidRPr="003003C0" w:rsidRDefault="004F64EF" w:rsidP="00FD6B66">
            <w:pPr>
              <w:jc w:val="right"/>
              <w:rPr>
                <w:rFonts w:cs="Arial"/>
                <w:color w:val="000000"/>
                <w:sz w:val="15"/>
                <w:szCs w:val="15"/>
              </w:rPr>
            </w:pPr>
            <w:r w:rsidRPr="003003C0">
              <w:rPr>
                <w:rFonts w:cs="Arial"/>
                <w:color w:val="000000"/>
                <w:sz w:val="15"/>
                <w:szCs w:val="15"/>
              </w:rPr>
              <w:t>0</w:t>
            </w:r>
            <w:r>
              <w:rPr>
                <w:rFonts w:cs="Arial"/>
                <w:color w:val="000000"/>
                <w:sz w:val="15"/>
                <w:szCs w:val="15"/>
              </w:rPr>
              <w:t>.</w:t>
            </w:r>
            <w:r w:rsidRPr="003003C0">
              <w:rPr>
                <w:rFonts w:cs="Arial"/>
                <w:color w:val="000000"/>
                <w:sz w:val="15"/>
                <w:szCs w:val="15"/>
              </w:rPr>
              <w:t>6</w:t>
            </w:r>
          </w:p>
        </w:tc>
      </w:tr>
      <w:tr w:rsidR="004F64EF" w:rsidRPr="003003C0" w14:paraId="20C5B5E7" w14:textId="77777777" w:rsidTr="00FD6B66">
        <w:trPr>
          <w:trHeight w:val="20"/>
        </w:trPr>
        <w:tc>
          <w:tcPr>
            <w:tcW w:w="3681" w:type="dxa"/>
            <w:noWrap/>
            <w:vAlign w:val="center"/>
            <w:hideMark/>
          </w:tcPr>
          <w:p w14:paraId="3DDCA456" w14:textId="77777777" w:rsidR="004F64EF" w:rsidRPr="003003C0" w:rsidRDefault="004F64EF" w:rsidP="00FD6B66">
            <w:pPr>
              <w:tabs>
                <w:tab w:val="left" w:pos="170"/>
              </w:tabs>
              <w:jc w:val="left"/>
              <w:rPr>
                <w:rFonts w:cs="Arial"/>
                <w:color w:val="000000"/>
                <w:sz w:val="15"/>
                <w:szCs w:val="15"/>
              </w:rPr>
            </w:pPr>
            <w:r w:rsidRPr="003003C0">
              <w:rPr>
                <w:rFonts w:cs="Arial"/>
                <w:color w:val="000000"/>
                <w:sz w:val="15"/>
                <w:szCs w:val="15"/>
              </w:rPr>
              <w:tab/>
              <w:t xml:space="preserve">29. </w:t>
            </w:r>
            <w:r w:rsidRPr="00567706">
              <w:rPr>
                <w:rFonts w:cs="Arial"/>
                <w:color w:val="000000"/>
                <w:sz w:val="15"/>
                <w:szCs w:val="15"/>
              </w:rPr>
              <w:t>Organic chemicals</w:t>
            </w:r>
          </w:p>
        </w:tc>
        <w:tc>
          <w:tcPr>
            <w:tcW w:w="764" w:type="dxa"/>
            <w:noWrap/>
            <w:vAlign w:val="center"/>
            <w:hideMark/>
          </w:tcPr>
          <w:p w14:paraId="54995CFE" w14:textId="77777777" w:rsidR="004F64EF" w:rsidRPr="003003C0" w:rsidRDefault="004F64EF" w:rsidP="00FD6B66">
            <w:pPr>
              <w:jc w:val="right"/>
              <w:rPr>
                <w:rFonts w:cs="Arial"/>
                <w:color w:val="000000"/>
                <w:sz w:val="15"/>
                <w:szCs w:val="15"/>
              </w:rPr>
            </w:pPr>
            <w:r w:rsidRPr="003003C0">
              <w:rPr>
                <w:rFonts w:cs="Arial"/>
                <w:color w:val="000000"/>
                <w:sz w:val="15"/>
                <w:szCs w:val="15"/>
              </w:rPr>
              <w:t>0</w:t>
            </w:r>
            <w:r>
              <w:rPr>
                <w:rFonts w:cs="Arial"/>
                <w:color w:val="000000"/>
                <w:sz w:val="15"/>
                <w:szCs w:val="15"/>
              </w:rPr>
              <w:t>.</w:t>
            </w:r>
            <w:r w:rsidRPr="003003C0">
              <w:rPr>
                <w:rFonts w:cs="Arial"/>
                <w:color w:val="000000"/>
                <w:sz w:val="15"/>
                <w:szCs w:val="15"/>
              </w:rPr>
              <w:t>5</w:t>
            </w:r>
          </w:p>
        </w:tc>
        <w:tc>
          <w:tcPr>
            <w:tcW w:w="764" w:type="dxa"/>
            <w:noWrap/>
            <w:vAlign w:val="center"/>
            <w:hideMark/>
          </w:tcPr>
          <w:p w14:paraId="1A916FBE" w14:textId="77777777" w:rsidR="004F64EF" w:rsidRPr="003003C0" w:rsidRDefault="004F64EF" w:rsidP="00FD6B66">
            <w:pPr>
              <w:jc w:val="right"/>
              <w:rPr>
                <w:rFonts w:cs="Arial"/>
                <w:color w:val="000000"/>
                <w:sz w:val="15"/>
                <w:szCs w:val="15"/>
              </w:rPr>
            </w:pPr>
            <w:r w:rsidRPr="003003C0">
              <w:rPr>
                <w:rFonts w:cs="Arial"/>
                <w:color w:val="000000"/>
                <w:sz w:val="15"/>
                <w:szCs w:val="15"/>
              </w:rPr>
              <w:t>0</w:t>
            </w:r>
            <w:r>
              <w:rPr>
                <w:rFonts w:cs="Arial"/>
                <w:color w:val="000000"/>
                <w:sz w:val="15"/>
                <w:szCs w:val="15"/>
              </w:rPr>
              <w:t>.</w:t>
            </w:r>
            <w:r w:rsidRPr="003003C0">
              <w:rPr>
                <w:rFonts w:cs="Arial"/>
                <w:color w:val="000000"/>
                <w:sz w:val="15"/>
                <w:szCs w:val="15"/>
              </w:rPr>
              <w:t>4</w:t>
            </w:r>
          </w:p>
        </w:tc>
        <w:tc>
          <w:tcPr>
            <w:tcW w:w="764" w:type="dxa"/>
            <w:noWrap/>
            <w:vAlign w:val="center"/>
            <w:hideMark/>
          </w:tcPr>
          <w:p w14:paraId="58787BFA" w14:textId="77777777" w:rsidR="004F64EF" w:rsidRPr="003003C0" w:rsidRDefault="004F64EF" w:rsidP="00FD6B66">
            <w:pPr>
              <w:jc w:val="right"/>
              <w:rPr>
                <w:rFonts w:cs="Arial"/>
                <w:color w:val="000000"/>
                <w:sz w:val="15"/>
                <w:szCs w:val="15"/>
              </w:rPr>
            </w:pPr>
            <w:r w:rsidRPr="003003C0">
              <w:rPr>
                <w:rFonts w:cs="Arial"/>
                <w:color w:val="000000"/>
                <w:sz w:val="15"/>
                <w:szCs w:val="15"/>
              </w:rPr>
              <w:t>0</w:t>
            </w:r>
            <w:r>
              <w:rPr>
                <w:rFonts w:cs="Arial"/>
                <w:color w:val="000000"/>
                <w:sz w:val="15"/>
                <w:szCs w:val="15"/>
              </w:rPr>
              <w:t>.</w:t>
            </w:r>
            <w:r w:rsidRPr="003003C0">
              <w:rPr>
                <w:rFonts w:cs="Arial"/>
                <w:color w:val="000000"/>
                <w:sz w:val="15"/>
                <w:szCs w:val="15"/>
              </w:rPr>
              <w:t>5</w:t>
            </w:r>
          </w:p>
        </w:tc>
        <w:tc>
          <w:tcPr>
            <w:tcW w:w="764" w:type="dxa"/>
            <w:noWrap/>
            <w:vAlign w:val="center"/>
            <w:hideMark/>
          </w:tcPr>
          <w:p w14:paraId="21390941" w14:textId="77777777" w:rsidR="004F64EF" w:rsidRPr="003003C0" w:rsidRDefault="004F64EF" w:rsidP="00FD6B66">
            <w:pPr>
              <w:jc w:val="right"/>
              <w:rPr>
                <w:rFonts w:cs="Arial"/>
                <w:color w:val="000000"/>
                <w:sz w:val="15"/>
                <w:szCs w:val="15"/>
              </w:rPr>
            </w:pPr>
            <w:r w:rsidRPr="003003C0">
              <w:rPr>
                <w:rFonts w:cs="Arial"/>
                <w:color w:val="000000"/>
                <w:sz w:val="15"/>
                <w:szCs w:val="15"/>
              </w:rPr>
              <w:t>0</w:t>
            </w:r>
            <w:r>
              <w:rPr>
                <w:rFonts w:cs="Arial"/>
                <w:color w:val="000000"/>
                <w:sz w:val="15"/>
                <w:szCs w:val="15"/>
              </w:rPr>
              <w:t>.</w:t>
            </w:r>
            <w:r w:rsidRPr="003003C0">
              <w:rPr>
                <w:rFonts w:cs="Arial"/>
                <w:color w:val="000000"/>
                <w:sz w:val="15"/>
                <w:szCs w:val="15"/>
              </w:rPr>
              <w:t>5</w:t>
            </w:r>
          </w:p>
        </w:tc>
        <w:tc>
          <w:tcPr>
            <w:tcW w:w="764" w:type="dxa"/>
            <w:noWrap/>
            <w:vAlign w:val="center"/>
            <w:hideMark/>
          </w:tcPr>
          <w:p w14:paraId="2424B784" w14:textId="77777777" w:rsidR="004F64EF" w:rsidRPr="003003C0" w:rsidRDefault="004F64EF" w:rsidP="00FD6B66">
            <w:pPr>
              <w:jc w:val="right"/>
              <w:rPr>
                <w:rFonts w:cs="Arial"/>
                <w:color w:val="000000"/>
                <w:sz w:val="15"/>
                <w:szCs w:val="15"/>
              </w:rPr>
            </w:pPr>
            <w:r w:rsidRPr="003003C0">
              <w:rPr>
                <w:rFonts w:cs="Arial"/>
                <w:color w:val="000000"/>
                <w:sz w:val="15"/>
                <w:szCs w:val="15"/>
              </w:rPr>
              <w:t>0</w:t>
            </w:r>
            <w:r>
              <w:rPr>
                <w:rFonts w:cs="Arial"/>
                <w:color w:val="000000"/>
                <w:sz w:val="15"/>
                <w:szCs w:val="15"/>
              </w:rPr>
              <w:t>.</w:t>
            </w:r>
            <w:r w:rsidRPr="003003C0">
              <w:rPr>
                <w:rFonts w:cs="Arial"/>
                <w:color w:val="000000"/>
                <w:sz w:val="15"/>
                <w:szCs w:val="15"/>
              </w:rPr>
              <w:t>5</w:t>
            </w:r>
          </w:p>
        </w:tc>
        <w:tc>
          <w:tcPr>
            <w:tcW w:w="764" w:type="dxa"/>
            <w:noWrap/>
            <w:vAlign w:val="center"/>
            <w:hideMark/>
          </w:tcPr>
          <w:p w14:paraId="2FA0FF92" w14:textId="77777777" w:rsidR="004F64EF" w:rsidRPr="003003C0" w:rsidRDefault="004F64EF" w:rsidP="00FD6B66">
            <w:pPr>
              <w:jc w:val="right"/>
              <w:rPr>
                <w:rFonts w:cs="Arial"/>
                <w:color w:val="000000"/>
                <w:sz w:val="15"/>
                <w:szCs w:val="15"/>
              </w:rPr>
            </w:pPr>
            <w:r w:rsidRPr="003003C0">
              <w:rPr>
                <w:rFonts w:cs="Arial"/>
                <w:color w:val="000000"/>
                <w:sz w:val="15"/>
                <w:szCs w:val="15"/>
              </w:rPr>
              <w:t>0</w:t>
            </w:r>
            <w:r>
              <w:rPr>
                <w:rFonts w:cs="Arial"/>
                <w:color w:val="000000"/>
                <w:sz w:val="15"/>
                <w:szCs w:val="15"/>
              </w:rPr>
              <w:t>.</w:t>
            </w:r>
            <w:r w:rsidRPr="003003C0">
              <w:rPr>
                <w:rFonts w:cs="Arial"/>
                <w:color w:val="000000"/>
                <w:sz w:val="15"/>
                <w:szCs w:val="15"/>
              </w:rPr>
              <w:t>7</w:t>
            </w:r>
          </w:p>
        </w:tc>
        <w:tc>
          <w:tcPr>
            <w:tcW w:w="764" w:type="dxa"/>
            <w:noWrap/>
            <w:vAlign w:val="center"/>
            <w:hideMark/>
          </w:tcPr>
          <w:p w14:paraId="4E795BDB" w14:textId="77777777" w:rsidR="004F64EF" w:rsidRPr="003003C0" w:rsidRDefault="004F64EF" w:rsidP="00FD6B66">
            <w:pPr>
              <w:jc w:val="right"/>
              <w:rPr>
                <w:rFonts w:cs="Arial"/>
                <w:color w:val="000000"/>
                <w:sz w:val="15"/>
                <w:szCs w:val="15"/>
              </w:rPr>
            </w:pPr>
            <w:r w:rsidRPr="003003C0">
              <w:rPr>
                <w:rFonts w:cs="Arial"/>
                <w:color w:val="000000"/>
                <w:sz w:val="15"/>
                <w:szCs w:val="15"/>
              </w:rPr>
              <w:t>0</w:t>
            </w:r>
            <w:r>
              <w:rPr>
                <w:rFonts w:cs="Arial"/>
                <w:color w:val="000000"/>
                <w:sz w:val="15"/>
                <w:szCs w:val="15"/>
              </w:rPr>
              <w:t>.</w:t>
            </w:r>
            <w:r w:rsidRPr="003003C0">
              <w:rPr>
                <w:rFonts w:cs="Arial"/>
                <w:color w:val="000000"/>
                <w:sz w:val="15"/>
                <w:szCs w:val="15"/>
              </w:rPr>
              <w:t>5</w:t>
            </w:r>
          </w:p>
        </w:tc>
      </w:tr>
      <w:tr w:rsidR="004F64EF" w:rsidRPr="003003C0" w14:paraId="394D9C5D" w14:textId="77777777" w:rsidTr="00FD6B66">
        <w:trPr>
          <w:cnfStyle w:val="000000010000" w:firstRow="0" w:lastRow="0" w:firstColumn="0" w:lastColumn="0" w:oddVBand="0" w:evenVBand="0" w:oddHBand="0" w:evenHBand="1" w:firstRowFirstColumn="0" w:firstRowLastColumn="0" w:lastRowFirstColumn="0" w:lastRowLastColumn="0"/>
          <w:trHeight w:val="20"/>
        </w:trPr>
        <w:tc>
          <w:tcPr>
            <w:tcW w:w="3681" w:type="dxa"/>
            <w:noWrap/>
            <w:vAlign w:val="center"/>
            <w:hideMark/>
          </w:tcPr>
          <w:p w14:paraId="5BE0347C" w14:textId="77777777" w:rsidR="004F64EF" w:rsidRPr="003003C0" w:rsidRDefault="004F64EF" w:rsidP="00FD6B66">
            <w:pPr>
              <w:tabs>
                <w:tab w:val="left" w:pos="170"/>
              </w:tabs>
              <w:jc w:val="left"/>
              <w:rPr>
                <w:rFonts w:cs="Arial"/>
                <w:color w:val="000000"/>
                <w:sz w:val="15"/>
                <w:szCs w:val="15"/>
              </w:rPr>
            </w:pPr>
            <w:r w:rsidRPr="003003C0">
              <w:rPr>
                <w:rFonts w:cs="Arial"/>
                <w:color w:val="000000"/>
                <w:sz w:val="15"/>
                <w:szCs w:val="15"/>
              </w:rPr>
              <w:tab/>
              <w:t xml:space="preserve">30. </w:t>
            </w:r>
            <w:r w:rsidRPr="00567706">
              <w:rPr>
                <w:rFonts w:cs="Arial"/>
                <w:color w:val="000000"/>
                <w:sz w:val="15"/>
                <w:szCs w:val="15"/>
              </w:rPr>
              <w:t>Pharmaceutical products</w:t>
            </w:r>
          </w:p>
        </w:tc>
        <w:tc>
          <w:tcPr>
            <w:tcW w:w="764" w:type="dxa"/>
            <w:noWrap/>
            <w:vAlign w:val="center"/>
            <w:hideMark/>
          </w:tcPr>
          <w:p w14:paraId="434A6385" w14:textId="77777777" w:rsidR="004F64EF" w:rsidRPr="003003C0" w:rsidRDefault="004F64EF" w:rsidP="00FD6B66">
            <w:pPr>
              <w:jc w:val="right"/>
              <w:rPr>
                <w:rFonts w:cs="Arial"/>
                <w:color w:val="000000"/>
                <w:sz w:val="15"/>
                <w:szCs w:val="15"/>
              </w:rPr>
            </w:pPr>
            <w:r w:rsidRPr="003003C0">
              <w:rPr>
                <w:rFonts w:cs="Arial"/>
                <w:color w:val="000000"/>
                <w:sz w:val="15"/>
                <w:szCs w:val="15"/>
              </w:rPr>
              <w:t>0</w:t>
            </w:r>
            <w:r>
              <w:rPr>
                <w:rFonts w:cs="Arial"/>
                <w:color w:val="000000"/>
                <w:sz w:val="15"/>
                <w:szCs w:val="15"/>
              </w:rPr>
              <w:t>.</w:t>
            </w:r>
            <w:r w:rsidRPr="003003C0">
              <w:rPr>
                <w:rFonts w:cs="Arial"/>
                <w:color w:val="000000"/>
                <w:sz w:val="15"/>
                <w:szCs w:val="15"/>
              </w:rPr>
              <w:t>2</w:t>
            </w:r>
          </w:p>
        </w:tc>
        <w:tc>
          <w:tcPr>
            <w:tcW w:w="764" w:type="dxa"/>
            <w:noWrap/>
            <w:vAlign w:val="center"/>
            <w:hideMark/>
          </w:tcPr>
          <w:p w14:paraId="17D8C36E" w14:textId="77777777" w:rsidR="004F64EF" w:rsidRPr="003003C0" w:rsidRDefault="004F64EF" w:rsidP="00FD6B66">
            <w:pPr>
              <w:jc w:val="right"/>
              <w:rPr>
                <w:rFonts w:cs="Arial"/>
                <w:color w:val="000000"/>
                <w:sz w:val="15"/>
                <w:szCs w:val="15"/>
              </w:rPr>
            </w:pPr>
            <w:r w:rsidRPr="003003C0">
              <w:rPr>
                <w:rFonts w:cs="Arial"/>
                <w:color w:val="000000"/>
                <w:sz w:val="15"/>
                <w:szCs w:val="15"/>
              </w:rPr>
              <w:t>0</w:t>
            </w:r>
            <w:r>
              <w:rPr>
                <w:rFonts w:cs="Arial"/>
                <w:color w:val="000000"/>
                <w:sz w:val="15"/>
                <w:szCs w:val="15"/>
              </w:rPr>
              <w:t>.</w:t>
            </w:r>
            <w:r w:rsidRPr="003003C0">
              <w:rPr>
                <w:rFonts w:cs="Arial"/>
                <w:color w:val="000000"/>
                <w:sz w:val="15"/>
                <w:szCs w:val="15"/>
              </w:rPr>
              <w:t>1</w:t>
            </w:r>
          </w:p>
        </w:tc>
        <w:tc>
          <w:tcPr>
            <w:tcW w:w="764" w:type="dxa"/>
            <w:noWrap/>
            <w:vAlign w:val="center"/>
            <w:hideMark/>
          </w:tcPr>
          <w:p w14:paraId="71CE0BD4" w14:textId="77777777" w:rsidR="004F64EF" w:rsidRPr="003003C0" w:rsidRDefault="004F64EF" w:rsidP="00FD6B66">
            <w:pPr>
              <w:jc w:val="right"/>
              <w:rPr>
                <w:rFonts w:cs="Arial"/>
                <w:color w:val="000000"/>
                <w:sz w:val="15"/>
                <w:szCs w:val="15"/>
              </w:rPr>
            </w:pPr>
            <w:r w:rsidRPr="003003C0">
              <w:rPr>
                <w:rFonts w:cs="Arial"/>
                <w:color w:val="000000"/>
                <w:sz w:val="15"/>
                <w:szCs w:val="15"/>
              </w:rPr>
              <w:t>0</w:t>
            </w:r>
            <w:r>
              <w:rPr>
                <w:rFonts w:cs="Arial"/>
                <w:color w:val="000000"/>
                <w:sz w:val="15"/>
                <w:szCs w:val="15"/>
              </w:rPr>
              <w:t>.</w:t>
            </w:r>
            <w:r w:rsidRPr="003003C0">
              <w:rPr>
                <w:rFonts w:cs="Arial"/>
                <w:color w:val="000000"/>
                <w:sz w:val="15"/>
                <w:szCs w:val="15"/>
              </w:rPr>
              <w:t>6</w:t>
            </w:r>
          </w:p>
        </w:tc>
        <w:tc>
          <w:tcPr>
            <w:tcW w:w="764" w:type="dxa"/>
            <w:noWrap/>
            <w:vAlign w:val="center"/>
            <w:hideMark/>
          </w:tcPr>
          <w:p w14:paraId="08A8BF0D" w14:textId="77777777" w:rsidR="004F64EF" w:rsidRPr="003003C0" w:rsidRDefault="004F64EF" w:rsidP="00FD6B66">
            <w:pPr>
              <w:jc w:val="right"/>
              <w:rPr>
                <w:rFonts w:cs="Arial"/>
                <w:color w:val="000000"/>
                <w:sz w:val="15"/>
                <w:szCs w:val="15"/>
              </w:rPr>
            </w:pPr>
            <w:r w:rsidRPr="003003C0">
              <w:rPr>
                <w:rFonts w:cs="Arial"/>
                <w:color w:val="000000"/>
                <w:sz w:val="15"/>
                <w:szCs w:val="15"/>
              </w:rPr>
              <w:t>0</w:t>
            </w:r>
            <w:r>
              <w:rPr>
                <w:rFonts w:cs="Arial"/>
                <w:color w:val="000000"/>
                <w:sz w:val="15"/>
                <w:szCs w:val="15"/>
              </w:rPr>
              <w:t>.</w:t>
            </w:r>
            <w:r w:rsidRPr="003003C0">
              <w:rPr>
                <w:rFonts w:cs="Arial"/>
                <w:color w:val="000000"/>
                <w:sz w:val="15"/>
                <w:szCs w:val="15"/>
              </w:rPr>
              <w:t>5</w:t>
            </w:r>
          </w:p>
        </w:tc>
        <w:tc>
          <w:tcPr>
            <w:tcW w:w="764" w:type="dxa"/>
            <w:noWrap/>
            <w:vAlign w:val="center"/>
            <w:hideMark/>
          </w:tcPr>
          <w:p w14:paraId="4CB61317" w14:textId="77777777" w:rsidR="004F64EF" w:rsidRPr="003003C0" w:rsidRDefault="004F64EF" w:rsidP="00FD6B66">
            <w:pPr>
              <w:jc w:val="right"/>
              <w:rPr>
                <w:rFonts w:cs="Arial"/>
                <w:color w:val="000000"/>
                <w:sz w:val="15"/>
                <w:szCs w:val="15"/>
              </w:rPr>
            </w:pPr>
            <w:r w:rsidRPr="003003C0">
              <w:rPr>
                <w:rFonts w:cs="Arial"/>
                <w:color w:val="000000"/>
                <w:sz w:val="15"/>
                <w:szCs w:val="15"/>
              </w:rPr>
              <w:t>0</w:t>
            </w:r>
            <w:r>
              <w:rPr>
                <w:rFonts w:cs="Arial"/>
                <w:color w:val="000000"/>
                <w:sz w:val="15"/>
                <w:szCs w:val="15"/>
              </w:rPr>
              <w:t>.</w:t>
            </w:r>
            <w:r w:rsidRPr="003003C0">
              <w:rPr>
                <w:rFonts w:cs="Arial"/>
                <w:color w:val="000000"/>
                <w:sz w:val="15"/>
                <w:szCs w:val="15"/>
              </w:rPr>
              <w:t>3</w:t>
            </w:r>
          </w:p>
        </w:tc>
        <w:tc>
          <w:tcPr>
            <w:tcW w:w="764" w:type="dxa"/>
            <w:noWrap/>
            <w:vAlign w:val="center"/>
            <w:hideMark/>
          </w:tcPr>
          <w:p w14:paraId="00072A22" w14:textId="77777777" w:rsidR="004F64EF" w:rsidRPr="003003C0" w:rsidRDefault="004F64EF" w:rsidP="00FD6B66">
            <w:pPr>
              <w:jc w:val="right"/>
              <w:rPr>
                <w:rFonts w:cs="Arial"/>
                <w:color w:val="000000"/>
                <w:sz w:val="15"/>
                <w:szCs w:val="15"/>
              </w:rPr>
            </w:pPr>
            <w:r w:rsidRPr="003003C0">
              <w:rPr>
                <w:rFonts w:cs="Arial"/>
                <w:color w:val="000000"/>
                <w:sz w:val="15"/>
                <w:szCs w:val="15"/>
              </w:rPr>
              <w:t>0</w:t>
            </w:r>
            <w:r>
              <w:rPr>
                <w:rFonts w:cs="Arial"/>
                <w:color w:val="000000"/>
                <w:sz w:val="15"/>
                <w:szCs w:val="15"/>
              </w:rPr>
              <w:t>.</w:t>
            </w:r>
            <w:r w:rsidRPr="003003C0">
              <w:rPr>
                <w:rFonts w:cs="Arial"/>
                <w:color w:val="000000"/>
                <w:sz w:val="15"/>
                <w:szCs w:val="15"/>
              </w:rPr>
              <w:t>6</w:t>
            </w:r>
          </w:p>
        </w:tc>
        <w:tc>
          <w:tcPr>
            <w:tcW w:w="764" w:type="dxa"/>
            <w:noWrap/>
            <w:vAlign w:val="center"/>
            <w:hideMark/>
          </w:tcPr>
          <w:p w14:paraId="2DE8067C" w14:textId="77777777" w:rsidR="004F64EF" w:rsidRPr="003003C0" w:rsidRDefault="004F64EF" w:rsidP="00FD6B66">
            <w:pPr>
              <w:jc w:val="right"/>
              <w:rPr>
                <w:rFonts w:cs="Arial"/>
                <w:color w:val="000000"/>
                <w:sz w:val="15"/>
                <w:szCs w:val="15"/>
              </w:rPr>
            </w:pPr>
            <w:r w:rsidRPr="003003C0">
              <w:rPr>
                <w:rFonts w:cs="Arial"/>
                <w:color w:val="000000"/>
                <w:sz w:val="15"/>
                <w:szCs w:val="15"/>
              </w:rPr>
              <w:t>0</w:t>
            </w:r>
            <w:r>
              <w:rPr>
                <w:rFonts w:cs="Arial"/>
                <w:color w:val="000000"/>
                <w:sz w:val="15"/>
                <w:szCs w:val="15"/>
              </w:rPr>
              <w:t>.</w:t>
            </w:r>
            <w:r w:rsidRPr="003003C0">
              <w:rPr>
                <w:rFonts w:cs="Arial"/>
                <w:color w:val="000000"/>
                <w:sz w:val="15"/>
                <w:szCs w:val="15"/>
              </w:rPr>
              <w:t>5</w:t>
            </w:r>
          </w:p>
        </w:tc>
      </w:tr>
      <w:tr w:rsidR="004F64EF" w:rsidRPr="003003C0" w14:paraId="08347F65" w14:textId="77777777" w:rsidTr="00FD6B66">
        <w:trPr>
          <w:trHeight w:val="20"/>
        </w:trPr>
        <w:tc>
          <w:tcPr>
            <w:tcW w:w="3681" w:type="dxa"/>
            <w:noWrap/>
            <w:vAlign w:val="center"/>
            <w:hideMark/>
          </w:tcPr>
          <w:p w14:paraId="717470AD" w14:textId="77777777" w:rsidR="004F64EF" w:rsidRPr="003003C0" w:rsidRDefault="004F64EF" w:rsidP="00FD6B66">
            <w:pPr>
              <w:jc w:val="left"/>
              <w:rPr>
                <w:rFonts w:cs="Arial"/>
                <w:color w:val="000000"/>
                <w:sz w:val="15"/>
                <w:szCs w:val="15"/>
              </w:rPr>
            </w:pPr>
            <w:r w:rsidRPr="003003C0">
              <w:rPr>
                <w:rFonts w:cs="Arial"/>
                <w:color w:val="000000"/>
                <w:sz w:val="15"/>
                <w:szCs w:val="15"/>
              </w:rPr>
              <w:t xml:space="preserve">7 - </w:t>
            </w:r>
            <w:r>
              <w:rPr>
                <w:rFonts w:cs="Arial"/>
                <w:color w:val="000000"/>
                <w:sz w:val="15"/>
                <w:szCs w:val="15"/>
              </w:rPr>
              <w:t>P</w:t>
            </w:r>
            <w:r w:rsidRPr="00567706">
              <w:rPr>
                <w:rFonts w:cs="Arial"/>
                <w:color w:val="000000"/>
                <w:sz w:val="15"/>
                <w:szCs w:val="15"/>
              </w:rPr>
              <w:t>lastics and articles thereof</w:t>
            </w:r>
          </w:p>
        </w:tc>
        <w:tc>
          <w:tcPr>
            <w:tcW w:w="764" w:type="dxa"/>
            <w:noWrap/>
            <w:vAlign w:val="center"/>
            <w:hideMark/>
          </w:tcPr>
          <w:p w14:paraId="1B139556" w14:textId="77777777" w:rsidR="004F64EF" w:rsidRPr="003003C0" w:rsidRDefault="004F64EF" w:rsidP="00FD6B66">
            <w:pPr>
              <w:jc w:val="right"/>
              <w:rPr>
                <w:rFonts w:cs="Arial"/>
                <w:color w:val="000000"/>
                <w:sz w:val="15"/>
                <w:szCs w:val="15"/>
              </w:rPr>
            </w:pPr>
            <w:r w:rsidRPr="003003C0">
              <w:rPr>
                <w:rFonts w:cs="Arial"/>
                <w:color w:val="000000"/>
                <w:sz w:val="15"/>
                <w:szCs w:val="15"/>
              </w:rPr>
              <w:t>6</w:t>
            </w:r>
            <w:r>
              <w:rPr>
                <w:rFonts w:cs="Arial"/>
                <w:color w:val="000000"/>
                <w:sz w:val="15"/>
                <w:szCs w:val="15"/>
              </w:rPr>
              <w:t>.</w:t>
            </w:r>
            <w:r w:rsidRPr="003003C0">
              <w:rPr>
                <w:rFonts w:cs="Arial"/>
                <w:color w:val="000000"/>
                <w:sz w:val="15"/>
                <w:szCs w:val="15"/>
              </w:rPr>
              <w:t>2</w:t>
            </w:r>
          </w:p>
        </w:tc>
        <w:tc>
          <w:tcPr>
            <w:tcW w:w="764" w:type="dxa"/>
            <w:noWrap/>
            <w:vAlign w:val="center"/>
            <w:hideMark/>
          </w:tcPr>
          <w:p w14:paraId="5954BAB7" w14:textId="77777777" w:rsidR="004F64EF" w:rsidRPr="003003C0" w:rsidRDefault="004F64EF" w:rsidP="00FD6B66">
            <w:pPr>
              <w:jc w:val="right"/>
              <w:rPr>
                <w:rFonts w:cs="Arial"/>
                <w:color w:val="000000"/>
                <w:sz w:val="15"/>
                <w:szCs w:val="15"/>
              </w:rPr>
            </w:pPr>
            <w:r w:rsidRPr="003003C0">
              <w:rPr>
                <w:rFonts w:cs="Arial"/>
                <w:color w:val="000000"/>
                <w:sz w:val="15"/>
                <w:szCs w:val="15"/>
              </w:rPr>
              <w:t>5</w:t>
            </w:r>
            <w:r>
              <w:rPr>
                <w:rFonts w:cs="Arial"/>
                <w:color w:val="000000"/>
                <w:sz w:val="15"/>
                <w:szCs w:val="15"/>
              </w:rPr>
              <w:t>.</w:t>
            </w:r>
            <w:r w:rsidRPr="003003C0">
              <w:rPr>
                <w:rFonts w:cs="Arial"/>
                <w:color w:val="000000"/>
                <w:sz w:val="15"/>
                <w:szCs w:val="15"/>
              </w:rPr>
              <w:t>5</w:t>
            </w:r>
          </w:p>
        </w:tc>
        <w:tc>
          <w:tcPr>
            <w:tcW w:w="764" w:type="dxa"/>
            <w:noWrap/>
            <w:vAlign w:val="center"/>
            <w:hideMark/>
          </w:tcPr>
          <w:p w14:paraId="228BDA58" w14:textId="77777777" w:rsidR="004F64EF" w:rsidRPr="003003C0" w:rsidRDefault="004F64EF" w:rsidP="00FD6B66">
            <w:pPr>
              <w:jc w:val="right"/>
              <w:rPr>
                <w:rFonts w:cs="Arial"/>
                <w:color w:val="000000"/>
                <w:sz w:val="15"/>
                <w:szCs w:val="15"/>
              </w:rPr>
            </w:pPr>
            <w:r w:rsidRPr="003003C0">
              <w:rPr>
                <w:rFonts w:cs="Arial"/>
                <w:color w:val="000000"/>
                <w:sz w:val="15"/>
                <w:szCs w:val="15"/>
              </w:rPr>
              <w:t>5</w:t>
            </w:r>
            <w:r>
              <w:rPr>
                <w:rFonts w:cs="Arial"/>
                <w:color w:val="000000"/>
                <w:sz w:val="15"/>
                <w:szCs w:val="15"/>
              </w:rPr>
              <w:t>.</w:t>
            </w:r>
            <w:r w:rsidRPr="003003C0">
              <w:rPr>
                <w:rFonts w:cs="Arial"/>
                <w:color w:val="000000"/>
                <w:sz w:val="15"/>
                <w:szCs w:val="15"/>
              </w:rPr>
              <w:t>1</w:t>
            </w:r>
          </w:p>
        </w:tc>
        <w:tc>
          <w:tcPr>
            <w:tcW w:w="764" w:type="dxa"/>
            <w:noWrap/>
            <w:vAlign w:val="center"/>
            <w:hideMark/>
          </w:tcPr>
          <w:p w14:paraId="6A442FF8" w14:textId="77777777" w:rsidR="004F64EF" w:rsidRPr="003003C0" w:rsidRDefault="004F64EF" w:rsidP="00FD6B66">
            <w:pPr>
              <w:jc w:val="right"/>
              <w:rPr>
                <w:rFonts w:cs="Arial"/>
                <w:color w:val="000000"/>
                <w:sz w:val="15"/>
                <w:szCs w:val="15"/>
              </w:rPr>
            </w:pPr>
            <w:r w:rsidRPr="003003C0">
              <w:rPr>
                <w:rFonts w:cs="Arial"/>
                <w:color w:val="000000"/>
                <w:sz w:val="15"/>
                <w:szCs w:val="15"/>
              </w:rPr>
              <w:t>4</w:t>
            </w:r>
            <w:r>
              <w:rPr>
                <w:rFonts w:cs="Arial"/>
                <w:color w:val="000000"/>
                <w:sz w:val="15"/>
                <w:szCs w:val="15"/>
              </w:rPr>
              <w:t>.</w:t>
            </w:r>
            <w:r w:rsidRPr="003003C0">
              <w:rPr>
                <w:rFonts w:cs="Arial"/>
                <w:color w:val="000000"/>
                <w:sz w:val="15"/>
                <w:szCs w:val="15"/>
              </w:rPr>
              <w:t>4</w:t>
            </w:r>
          </w:p>
        </w:tc>
        <w:tc>
          <w:tcPr>
            <w:tcW w:w="764" w:type="dxa"/>
            <w:noWrap/>
            <w:vAlign w:val="center"/>
            <w:hideMark/>
          </w:tcPr>
          <w:p w14:paraId="54F11A4E" w14:textId="77777777" w:rsidR="004F64EF" w:rsidRPr="003003C0" w:rsidRDefault="004F64EF" w:rsidP="00FD6B66">
            <w:pPr>
              <w:jc w:val="right"/>
              <w:rPr>
                <w:rFonts w:cs="Arial"/>
                <w:color w:val="000000"/>
                <w:sz w:val="15"/>
                <w:szCs w:val="15"/>
              </w:rPr>
            </w:pPr>
            <w:r w:rsidRPr="003003C0">
              <w:rPr>
                <w:rFonts w:cs="Arial"/>
                <w:color w:val="000000"/>
                <w:sz w:val="15"/>
                <w:szCs w:val="15"/>
              </w:rPr>
              <w:t>4</w:t>
            </w:r>
            <w:r>
              <w:rPr>
                <w:rFonts w:cs="Arial"/>
                <w:color w:val="000000"/>
                <w:sz w:val="15"/>
                <w:szCs w:val="15"/>
              </w:rPr>
              <w:t>.</w:t>
            </w:r>
            <w:r w:rsidRPr="003003C0">
              <w:rPr>
                <w:rFonts w:cs="Arial"/>
                <w:color w:val="000000"/>
                <w:sz w:val="15"/>
                <w:szCs w:val="15"/>
              </w:rPr>
              <w:t>4</w:t>
            </w:r>
          </w:p>
        </w:tc>
        <w:tc>
          <w:tcPr>
            <w:tcW w:w="764" w:type="dxa"/>
            <w:noWrap/>
            <w:vAlign w:val="center"/>
            <w:hideMark/>
          </w:tcPr>
          <w:p w14:paraId="408AFAAD" w14:textId="77777777" w:rsidR="004F64EF" w:rsidRPr="003003C0" w:rsidRDefault="004F64EF" w:rsidP="00FD6B66">
            <w:pPr>
              <w:jc w:val="right"/>
              <w:rPr>
                <w:rFonts w:cs="Arial"/>
                <w:color w:val="000000"/>
                <w:sz w:val="15"/>
                <w:szCs w:val="15"/>
              </w:rPr>
            </w:pPr>
            <w:r w:rsidRPr="003003C0">
              <w:rPr>
                <w:rFonts w:cs="Arial"/>
                <w:color w:val="000000"/>
                <w:sz w:val="15"/>
                <w:szCs w:val="15"/>
              </w:rPr>
              <w:t>5</w:t>
            </w:r>
            <w:r>
              <w:rPr>
                <w:rFonts w:cs="Arial"/>
                <w:color w:val="000000"/>
                <w:sz w:val="15"/>
                <w:szCs w:val="15"/>
              </w:rPr>
              <w:t>.</w:t>
            </w:r>
            <w:r w:rsidRPr="003003C0">
              <w:rPr>
                <w:rFonts w:cs="Arial"/>
                <w:color w:val="000000"/>
                <w:sz w:val="15"/>
                <w:szCs w:val="15"/>
              </w:rPr>
              <w:t>8</w:t>
            </w:r>
          </w:p>
        </w:tc>
        <w:tc>
          <w:tcPr>
            <w:tcW w:w="764" w:type="dxa"/>
            <w:noWrap/>
            <w:vAlign w:val="center"/>
            <w:hideMark/>
          </w:tcPr>
          <w:p w14:paraId="2EBF9E9B" w14:textId="77777777" w:rsidR="004F64EF" w:rsidRPr="003003C0" w:rsidRDefault="004F64EF" w:rsidP="00FD6B66">
            <w:pPr>
              <w:jc w:val="right"/>
              <w:rPr>
                <w:rFonts w:cs="Arial"/>
                <w:color w:val="000000"/>
                <w:sz w:val="15"/>
                <w:szCs w:val="15"/>
              </w:rPr>
            </w:pPr>
            <w:r w:rsidRPr="003003C0">
              <w:rPr>
                <w:rFonts w:cs="Arial"/>
                <w:color w:val="000000"/>
                <w:sz w:val="15"/>
                <w:szCs w:val="15"/>
              </w:rPr>
              <w:t>6</w:t>
            </w:r>
            <w:r>
              <w:rPr>
                <w:rFonts w:cs="Arial"/>
                <w:color w:val="000000"/>
                <w:sz w:val="15"/>
                <w:szCs w:val="15"/>
              </w:rPr>
              <w:t>.</w:t>
            </w:r>
            <w:r w:rsidRPr="003003C0">
              <w:rPr>
                <w:rFonts w:cs="Arial"/>
                <w:color w:val="000000"/>
                <w:sz w:val="15"/>
                <w:szCs w:val="15"/>
              </w:rPr>
              <w:t>5</w:t>
            </w:r>
          </w:p>
        </w:tc>
      </w:tr>
      <w:tr w:rsidR="004F64EF" w:rsidRPr="003003C0" w14:paraId="66C6E7DD" w14:textId="77777777" w:rsidTr="00FD6B66">
        <w:trPr>
          <w:cnfStyle w:val="000000010000" w:firstRow="0" w:lastRow="0" w:firstColumn="0" w:lastColumn="0" w:oddVBand="0" w:evenVBand="0" w:oddHBand="0" w:evenHBand="1" w:firstRowFirstColumn="0" w:firstRowLastColumn="0" w:lastRowFirstColumn="0" w:lastRowLastColumn="0"/>
          <w:trHeight w:val="20"/>
        </w:trPr>
        <w:tc>
          <w:tcPr>
            <w:tcW w:w="3681" w:type="dxa"/>
            <w:noWrap/>
            <w:vAlign w:val="center"/>
            <w:hideMark/>
          </w:tcPr>
          <w:p w14:paraId="61080C6C" w14:textId="77777777" w:rsidR="004F64EF" w:rsidRPr="003003C0" w:rsidRDefault="004F64EF" w:rsidP="00FD6B66">
            <w:pPr>
              <w:tabs>
                <w:tab w:val="left" w:pos="170"/>
              </w:tabs>
              <w:jc w:val="left"/>
              <w:rPr>
                <w:rFonts w:cs="Arial"/>
                <w:color w:val="000000"/>
                <w:sz w:val="15"/>
                <w:szCs w:val="15"/>
              </w:rPr>
            </w:pPr>
            <w:r w:rsidRPr="003003C0">
              <w:rPr>
                <w:rFonts w:cs="Arial"/>
                <w:color w:val="000000"/>
                <w:sz w:val="15"/>
                <w:szCs w:val="15"/>
              </w:rPr>
              <w:tab/>
              <w:t xml:space="preserve">39. </w:t>
            </w:r>
            <w:r w:rsidRPr="00567706">
              <w:rPr>
                <w:rFonts w:cs="Arial"/>
                <w:color w:val="000000"/>
                <w:sz w:val="15"/>
                <w:szCs w:val="15"/>
              </w:rPr>
              <w:t>Plastics and articles thereof</w:t>
            </w:r>
          </w:p>
        </w:tc>
        <w:tc>
          <w:tcPr>
            <w:tcW w:w="764" w:type="dxa"/>
            <w:noWrap/>
            <w:vAlign w:val="center"/>
            <w:hideMark/>
          </w:tcPr>
          <w:p w14:paraId="0CD1770F" w14:textId="77777777" w:rsidR="004F64EF" w:rsidRPr="003003C0" w:rsidRDefault="004F64EF" w:rsidP="00FD6B66">
            <w:pPr>
              <w:jc w:val="right"/>
              <w:rPr>
                <w:rFonts w:cs="Arial"/>
                <w:color w:val="000000"/>
                <w:sz w:val="15"/>
                <w:szCs w:val="15"/>
              </w:rPr>
            </w:pPr>
            <w:r w:rsidRPr="003003C0">
              <w:rPr>
                <w:rFonts w:cs="Arial"/>
                <w:color w:val="000000"/>
                <w:sz w:val="15"/>
                <w:szCs w:val="15"/>
              </w:rPr>
              <w:t>6</w:t>
            </w:r>
            <w:r>
              <w:rPr>
                <w:rFonts w:cs="Arial"/>
                <w:color w:val="000000"/>
                <w:sz w:val="15"/>
                <w:szCs w:val="15"/>
              </w:rPr>
              <w:t>.</w:t>
            </w:r>
            <w:r w:rsidRPr="003003C0">
              <w:rPr>
                <w:rFonts w:cs="Arial"/>
                <w:color w:val="000000"/>
                <w:sz w:val="15"/>
                <w:szCs w:val="15"/>
              </w:rPr>
              <w:t>0</w:t>
            </w:r>
          </w:p>
        </w:tc>
        <w:tc>
          <w:tcPr>
            <w:tcW w:w="764" w:type="dxa"/>
            <w:noWrap/>
            <w:vAlign w:val="center"/>
            <w:hideMark/>
          </w:tcPr>
          <w:p w14:paraId="5AD13C89" w14:textId="77777777" w:rsidR="004F64EF" w:rsidRPr="003003C0" w:rsidRDefault="004F64EF" w:rsidP="00FD6B66">
            <w:pPr>
              <w:jc w:val="right"/>
              <w:rPr>
                <w:rFonts w:cs="Arial"/>
                <w:color w:val="000000"/>
                <w:sz w:val="15"/>
                <w:szCs w:val="15"/>
              </w:rPr>
            </w:pPr>
            <w:r w:rsidRPr="003003C0">
              <w:rPr>
                <w:rFonts w:cs="Arial"/>
                <w:color w:val="000000"/>
                <w:sz w:val="15"/>
                <w:szCs w:val="15"/>
              </w:rPr>
              <w:t>5</w:t>
            </w:r>
            <w:r>
              <w:rPr>
                <w:rFonts w:cs="Arial"/>
                <w:color w:val="000000"/>
                <w:sz w:val="15"/>
                <w:szCs w:val="15"/>
              </w:rPr>
              <w:t>.</w:t>
            </w:r>
            <w:r w:rsidRPr="003003C0">
              <w:rPr>
                <w:rFonts w:cs="Arial"/>
                <w:color w:val="000000"/>
                <w:sz w:val="15"/>
                <w:szCs w:val="15"/>
              </w:rPr>
              <w:t>3</w:t>
            </w:r>
          </w:p>
        </w:tc>
        <w:tc>
          <w:tcPr>
            <w:tcW w:w="764" w:type="dxa"/>
            <w:noWrap/>
            <w:vAlign w:val="center"/>
            <w:hideMark/>
          </w:tcPr>
          <w:p w14:paraId="280C358E" w14:textId="77777777" w:rsidR="004F64EF" w:rsidRPr="003003C0" w:rsidRDefault="004F64EF" w:rsidP="00FD6B66">
            <w:pPr>
              <w:jc w:val="right"/>
              <w:rPr>
                <w:rFonts w:cs="Arial"/>
                <w:color w:val="000000"/>
                <w:sz w:val="15"/>
                <w:szCs w:val="15"/>
              </w:rPr>
            </w:pPr>
            <w:r w:rsidRPr="003003C0">
              <w:rPr>
                <w:rFonts w:cs="Arial"/>
                <w:color w:val="000000"/>
                <w:sz w:val="15"/>
                <w:szCs w:val="15"/>
              </w:rPr>
              <w:t>5</w:t>
            </w:r>
            <w:r>
              <w:rPr>
                <w:rFonts w:cs="Arial"/>
                <w:color w:val="000000"/>
                <w:sz w:val="15"/>
                <w:szCs w:val="15"/>
              </w:rPr>
              <w:t>.</w:t>
            </w:r>
            <w:r w:rsidRPr="003003C0">
              <w:rPr>
                <w:rFonts w:cs="Arial"/>
                <w:color w:val="000000"/>
                <w:sz w:val="15"/>
                <w:szCs w:val="15"/>
              </w:rPr>
              <w:t>0</w:t>
            </w:r>
          </w:p>
        </w:tc>
        <w:tc>
          <w:tcPr>
            <w:tcW w:w="764" w:type="dxa"/>
            <w:noWrap/>
            <w:vAlign w:val="center"/>
            <w:hideMark/>
          </w:tcPr>
          <w:p w14:paraId="776F3DA2" w14:textId="77777777" w:rsidR="004F64EF" w:rsidRPr="003003C0" w:rsidRDefault="004F64EF" w:rsidP="00FD6B66">
            <w:pPr>
              <w:jc w:val="right"/>
              <w:rPr>
                <w:rFonts w:cs="Arial"/>
                <w:color w:val="000000"/>
                <w:sz w:val="15"/>
                <w:szCs w:val="15"/>
              </w:rPr>
            </w:pPr>
            <w:r w:rsidRPr="003003C0">
              <w:rPr>
                <w:rFonts w:cs="Arial"/>
                <w:color w:val="000000"/>
                <w:sz w:val="15"/>
                <w:szCs w:val="15"/>
              </w:rPr>
              <w:t>4</w:t>
            </w:r>
            <w:r>
              <w:rPr>
                <w:rFonts w:cs="Arial"/>
                <w:color w:val="000000"/>
                <w:sz w:val="15"/>
                <w:szCs w:val="15"/>
              </w:rPr>
              <w:t>.</w:t>
            </w:r>
            <w:r w:rsidRPr="003003C0">
              <w:rPr>
                <w:rFonts w:cs="Arial"/>
                <w:color w:val="000000"/>
                <w:sz w:val="15"/>
                <w:szCs w:val="15"/>
              </w:rPr>
              <w:t>3</w:t>
            </w:r>
          </w:p>
        </w:tc>
        <w:tc>
          <w:tcPr>
            <w:tcW w:w="764" w:type="dxa"/>
            <w:noWrap/>
            <w:vAlign w:val="center"/>
            <w:hideMark/>
          </w:tcPr>
          <w:p w14:paraId="019C60C6" w14:textId="77777777" w:rsidR="004F64EF" w:rsidRPr="003003C0" w:rsidRDefault="004F64EF" w:rsidP="00FD6B66">
            <w:pPr>
              <w:jc w:val="right"/>
              <w:rPr>
                <w:rFonts w:cs="Arial"/>
                <w:color w:val="000000"/>
                <w:sz w:val="15"/>
                <w:szCs w:val="15"/>
              </w:rPr>
            </w:pPr>
            <w:r w:rsidRPr="003003C0">
              <w:rPr>
                <w:rFonts w:cs="Arial"/>
                <w:color w:val="000000"/>
                <w:sz w:val="15"/>
                <w:szCs w:val="15"/>
              </w:rPr>
              <w:t>4</w:t>
            </w:r>
            <w:r>
              <w:rPr>
                <w:rFonts w:cs="Arial"/>
                <w:color w:val="000000"/>
                <w:sz w:val="15"/>
                <w:szCs w:val="15"/>
              </w:rPr>
              <w:t>.</w:t>
            </w:r>
            <w:r w:rsidRPr="003003C0">
              <w:rPr>
                <w:rFonts w:cs="Arial"/>
                <w:color w:val="000000"/>
                <w:sz w:val="15"/>
                <w:szCs w:val="15"/>
              </w:rPr>
              <w:t>3</w:t>
            </w:r>
          </w:p>
        </w:tc>
        <w:tc>
          <w:tcPr>
            <w:tcW w:w="764" w:type="dxa"/>
            <w:noWrap/>
            <w:vAlign w:val="center"/>
            <w:hideMark/>
          </w:tcPr>
          <w:p w14:paraId="67393537" w14:textId="77777777" w:rsidR="004F64EF" w:rsidRPr="003003C0" w:rsidRDefault="004F64EF" w:rsidP="00FD6B66">
            <w:pPr>
              <w:jc w:val="right"/>
              <w:rPr>
                <w:rFonts w:cs="Arial"/>
                <w:color w:val="000000"/>
                <w:sz w:val="15"/>
                <w:szCs w:val="15"/>
              </w:rPr>
            </w:pPr>
            <w:r w:rsidRPr="003003C0">
              <w:rPr>
                <w:rFonts w:cs="Arial"/>
                <w:color w:val="000000"/>
                <w:sz w:val="15"/>
                <w:szCs w:val="15"/>
              </w:rPr>
              <w:t>5</w:t>
            </w:r>
            <w:r>
              <w:rPr>
                <w:rFonts w:cs="Arial"/>
                <w:color w:val="000000"/>
                <w:sz w:val="15"/>
                <w:szCs w:val="15"/>
              </w:rPr>
              <w:t>.</w:t>
            </w:r>
            <w:r w:rsidRPr="003003C0">
              <w:rPr>
                <w:rFonts w:cs="Arial"/>
                <w:color w:val="000000"/>
                <w:sz w:val="15"/>
                <w:szCs w:val="15"/>
              </w:rPr>
              <w:t>7</w:t>
            </w:r>
          </w:p>
        </w:tc>
        <w:tc>
          <w:tcPr>
            <w:tcW w:w="764" w:type="dxa"/>
            <w:noWrap/>
            <w:vAlign w:val="center"/>
            <w:hideMark/>
          </w:tcPr>
          <w:p w14:paraId="18BB5C0C" w14:textId="77777777" w:rsidR="004F64EF" w:rsidRPr="003003C0" w:rsidRDefault="004F64EF" w:rsidP="00FD6B66">
            <w:pPr>
              <w:jc w:val="right"/>
              <w:rPr>
                <w:rFonts w:cs="Arial"/>
                <w:color w:val="000000"/>
                <w:sz w:val="15"/>
                <w:szCs w:val="15"/>
              </w:rPr>
            </w:pPr>
            <w:r w:rsidRPr="003003C0">
              <w:rPr>
                <w:rFonts w:cs="Arial"/>
                <w:color w:val="000000"/>
                <w:sz w:val="15"/>
                <w:szCs w:val="15"/>
              </w:rPr>
              <w:t>6</w:t>
            </w:r>
            <w:r>
              <w:rPr>
                <w:rFonts w:cs="Arial"/>
                <w:color w:val="000000"/>
                <w:sz w:val="15"/>
                <w:szCs w:val="15"/>
              </w:rPr>
              <w:t>.</w:t>
            </w:r>
            <w:r w:rsidRPr="003003C0">
              <w:rPr>
                <w:rFonts w:cs="Arial"/>
                <w:color w:val="000000"/>
                <w:sz w:val="15"/>
                <w:szCs w:val="15"/>
              </w:rPr>
              <w:t>4</w:t>
            </w:r>
          </w:p>
        </w:tc>
      </w:tr>
      <w:tr w:rsidR="004F64EF" w:rsidRPr="003003C0" w14:paraId="42B8E5B6" w14:textId="77777777" w:rsidTr="00FD6B66">
        <w:trPr>
          <w:trHeight w:val="20"/>
        </w:trPr>
        <w:tc>
          <w:tcPr>
            <w:tcW w:w="3681" w:type="dxa"/>
            <w:noWrap/>
            <w:vAlign w:val="center"/>
            <w:hideMark/>
          </w:tcPr>
          <w:p w14:paraId="77B9E944" w14:textId="77777777" w:rsidR="004F64EF" w:rsidRPr="003003C0" w:rsidRDefault="004F64EF" w:rsidP="00567706">
            <w:pPr>
              <w:jc w:val="left"/>
              <w:rPr>
                <w:rFonts w:cs="Arial"/>
                <w:color w:val="000000"/>
                <w:sz w:val="15"/>
                <w:szCs w:val="15"/>
              </w:rPr>
            </w:pPr>
            <w:r w:rsidRPr="003003C0">
              <w:rPr>
                <w:rFonts w:cs="Arial"/>
                <w:color w:val="000000"/>
                <w:sz w:val="15"/>
                <w:szCs w:val="15"/>
              </w:rPr>
              <w:t xml:space="preserve">8 - </w:t>
            </w:r>
            <w:r>
              <w:rPr>
                <w:rFonts w:cs="Arial"/>
                <w:color w:val="000000"/>
                <w:sz w:val="15"/>
                <w:szCs w:val="15"/>
              </w:rPr>
              <w:t>R</w:t>
            </w:r>
            <w:r w:rsidRPr="00567706">
              <w:rPr>
                <w:rFonts w:cs="Arial"/>
                <w:color w:val="000000"/>
                <w:sz w:val="15"/>
                <w:szCs w:val="15"/>
              </w:rPr>
              <w:t xml:space="preserve">aw hides and skins, leather, </w:t>
            </w:r>
            <w:proofErr w:type="spellStart"/>
            <w:r w:rsidRPr="00567706">
              <w:rPr>
                <w:rFonts w:cs="Arial"/>
                <w:color w:val="000000"/>
                <w:sz w:val="15"/>
                <w:szCs w:val="15"/>
              </w:rPr>
              <w:t>furskins</w:t>
            </w:r>
            <w:proofErr w:type="spellEnd"/>
            <w:r w:rsidRPr="00567706">
              <w:rPr>
                <w:rFonts w:cs="Arial"/>
                <w:color w:val="000000"/>
                <w:sz w:val="15"/>
                <w:szCs w:val="15"/>
              </w:rPr>
              <w:t xml:space="preserve"> and articles</w:t>
            </w:r>
            <w:r>
              <w:rPr>
                <w:rFonts w:cs="Arial"/>
                <w:color w:val="000000"/>
                <w:sz w:val="15"/>
                <w:szCs w:val="15"/>
              </w:rPr>
              <w:t xml:space="preserve"> </w:t>
            </w:r>
            <w:r w:rsidRPr="00567706">
              <w:rPr>
                <w:rFonts w:cs="Arial"/>
                <w:color w:val="000000"/>
                <w:sz w:val="15"/>
                <w:szCs w:val="15"/>
              </w:rPr>
              <w:t>thereof; saddlery and harness</w:t>
            </w:r>
          </w:p>
        </w:tc>
        <w:tc>
          <w:tcPr>
            <w:tcW w:w="764" w:type="dxa"/>
            <w:noWrap/>
            <w:vAlign w:val="center"/>
            <w:hideMark/>
          </w:tcPr>
          <w:p w14:paraId="3236C9B1" w14:textId="77777777" w:rsidR="004F64EF" w:rsidRPr="003003C0" w:rsidRDefault="004F64EF" w:rsidP="00FD6B66">
            <w:pPr>
              <w:jc w:val="right"/>
              <w:rPr>
                <w:rFonts w:cs="Arial"/>
                <w:color w:val="000000"/>
                <w:sz w:val="15"/>
                <w:szCs w:val="15"/>
              </w:rPr>
            </w:pPr>
            <w:r w:rsidRPr="003003C0">
              <w:rPr>
                <w:rFonts w:cs="Arial"/>
                <w:color w:val="000000"/>
                <w:sz w:val="15"/>
                <w:szCs w:val="15"/>
              </w:rPr>
              <w:t>0</w:t>
            </w:r>
            <w:r>
              <w:rPr>
                <w:rFonts w:cs="Arial"/>
                <w:color w:val="000000"/>
                <w:sz w:val="15"/>
                <w:szCs w:val="15"/>
              </w:rPr>
              <w:t>.</w:t>
            </w:r>
            <w:r w:rsidRPr="003003C0">
              <w:rPr>
                <w:rFonts w:cs="Arial"/>
                <w:color w:val="000000"/>
                <w:sz w:val="15"/>
                <w:szCs w:val="15"/>
              </w:rPr>
              <w:t>2</w:t>
            </w:r>
          </w:p>
        </w:tc>
        <w:tc>
          <w:tcPr>
            <w:tcW w:w="764" w:type="dxa"/>
            <w:noWrap/>
            <w:vAlign w:val="center"/>
            <w:hideMark/>
          </w:tcPr>
          <w:p w14:paraId="7AE46C08" w14:textId="77777777" w:rsidR="004F64EF" w:rsidRPr="003003C0" w:rsidRDefault="004F64EF" w:rsidP="00FD6B66">
            <w:pPr>
              <w:jc w:val="right"/>
              <w:rPr>
                <w:rFonts w:cs="Arial"/>
                <w:color w:val="000000"/>
                <w:sz w:val="15"/>
                <w:szCs w:val="15"/>
              </w:rPr>
            </w:pPr>
            <w:r w:rsidRPr="003003C0">
              <w:rPr>
                <w:rFonts w:cs="Arial"/>
                <w:color w:val="000000"/>
                <w:sz w:val="15"/>
                <w:szCs w:val="15"/>
              </w:rPr>
              <w:t>0</w:t>
            </w:r>
            <w:r>
              <w:rPr>
                <w:rFonts w:cs="Arial"/>
                <w:color w:val="000000"/>
                <w:sz w:val="15"/>
                <w:szCs w:val="15"/>
              </w:rPr>
              <w:t>.</w:t>
            </w:r>
            <w:r w:rsidRPr="003003C0">
              <w:rPr>
                <w:rFonts w:cs="Arial"/>
                <w:color w:val="000000"/>
                <w:sz w:val="15"/>
                <w:szCs w:val="15"/>
              </w:rPr>
              <w:t>1</w:t>
            </w:r>
          </w:p>
        </w:tc>
        <w:tc>
          <w:tcPr>
            <w:tcW w:w="764" w:type="dxa"/>
            <w:noWrap/>
            <w:vAlign w:val="center"/>
            <w:hideMark/>
          </w:tcPr>
          <w:p w14:paraId="28115BDB" w14:textId="77777777" w:rsidR="004F64EF" w:rsidRPr="003003C0" w:rsidRDefault="004F64EF" w:rsidP="00FD6B66">
            <w:pPr>
              <w:jc w:val="right"/>
              <w:rPr>
                <w:rFonts w:cs="Arial"/>
                <w:color w:val="000000"/>
                <w:sz w:val="15"/>
                <w:szCs w:val="15"/>
              </w:rPr>
            </w:pPr>
            <w:r w:rsidRPr="003003C0">
              <w:rPr>
                <w:rFonts w:cs="Arial"/>
                <w:color w:val="000000"/>
                <w:sz w:val="15"/>
                <w:szCs w:val="15"/>
              </w:rPr>
              <w:t>0</w:t>
            </w:r>
            <w:r>
              <w:rPr>
                <w:rFonts w:cs="Arial"/>
                <w:color w:val="000000"/>
                <w:sz w:val="15"/>
                <w:szCs w:val="15"/>
              </w:rPr>
              <w:t>.</w:t>
            </w:r>
            <w:r w:rsidRPr="003003C0">
              <w:rPr>
                <w:rFonts w:cs="Arial"/>
                <w:color w:val="000000"/>
                <w:sz w:val="15"/>
                <w:szCs w:val="15"/>
              </w:rPr>
              <w:t>1</w:t>
            </w:r>
          </w:p>
        </w:tc>
        <w:tc>
          <w:tcPr>
            <w:tcW w:w="764" w:type="dxa"/>
            <w:noWrap/>
            <w:vAlign w:val="center"/>
            <w:hideMark/>
          </w:tcPr>
          <w:p w14:paraId="3CFD983B" w14:textId="77777777" w:rsidR="004F64EF" w:rsidRPr="003003C0" w:rsidRDefault="004F64EF" w:rsidP="00FD6B66">
            <w:pPr>
              <w:jc w:val="right"/>
              <w:rPr>
                <w:rFonts w:cs="Arial"/>
                <w:color w:val="000000"/>
                <w:sz w:val="15"/>
                <w:szCs w:val="15"/>
              </w:rPr>
            </w:pPr>
            <w:r w:rsidRPr="003003C0">
              <w:rPr>
                <w:rFonts w:cs="Arial"/>
                <w:color w:val="000000"/>
                <w:sz w:val="15"/>
                <w:szCs w:val="15"/>
              </w:rPr>
              <w:t>0</w:t>
            </w:r>
            <w:r>
              <w:rPr>
                <w:rFonts w:cs="Arial"/>
                <w:color w:val="000000"/>
                <w:sz w:val="15"/>
                <w:szCs w:val="15"/>
              </w:rPr>
              <w:t>.</w:t>
            </w:r>
            <w:r w:rsidRPr="003003C0">
              <w:rPr>
                <w:rFonts w:cs="Arial"/>
                <w:color w:val="000000"/>
                <w:sz w:val="15"/>
                <w:szCs w:val="15"/>
              </w:rPr>
              <w:t>1</w:t>
            </w:r>
          </w:p>
        </w:tc>
        <w:tc>
          <w:tcPr>
            <w:tcW w:w="764" w:type="dxa"/>
            <w:noWrap/>
            <w:vAlign w:val="center"/>
            <w:hideMark/>
          </w:tcPr>
          <w:p w14:paraId="67C5E7B2" w14:textId="77777777" w:rsidR="004F64EF" w:rsidRPr="003003C0" w:rsidRDefault="004F64EF" w:rsidP="00FD6B66">
            <w:pPr>
              <w:jc w:val="right"/>
              <w:rPr>
                <w:rFonts w:cs="Arial"/>
                <w:color w:val="000000"/>
                <w:sz w:val="15"/>
                <w:szCs w:val="15"/>
              </w:rPr>
            </w:pPr>
            <w:r w:rsidRPr="003003C0">
              <w:rPr>
                <w:rFonts w:cs="Arial"/>
                <w:color w:val="000000"/>
                <w:sz w:val="15"/>
                <w:szCs w:val="15"/>
              </w:rPr>
              <w:t>0</w:t>
            </w:r>
            <w:r>
              <w:rPr>
                <w:rFonts w:cs="Arial"/>
                <w:color w:val="000000"/>
                <w:sz w:val="15"/>
                <w:szCs w:val="15"/>
              </w:rPr>
              <w:t>.</w:t>
            </w:r>
            <w:r w:rsidRPr="003003C0">
              <w:rPr>
                <w:rFonts w:cs="Arial"/>
                <w:color w:val="000000"/>
                <w:sz w:val="15"/>
                <w:szCs w:val="15"/>
              </w:rPr>
              <w:t>1</w:t>
            </w:r>
          </w:p>
        </w:tc>
        <w:tc>
          <w:tcPr>
            <w:tcW w:w="764" w:type="dxa"/>
            <w:noWrap/>
            <w:vAlign w:val="center"/>
            <w:hideMark/>
          </w:tcPr>
          <w:p w14:paraId="2E5696D2" w14:textId="77777777" w:rsidR="004F64EF" w:rsidRPr="003003C0" w:rsidRDefault="004F64EF" w:rsidP="00FD6B66">
            <w:pPr>
              <w:jc w:val="right"/>
              <w:rPr>
                <w:rFonts w:cs="Arial"/>
                <w:color w:val="000000"/>
                <w:sz w:val="15"/>
                <w:szCs w:val="15"/>
              </w:rPr>
            </w:pPr>
            <w:r w:rsidRPr="003003C0">
              <w:rPr>
                <w:rFonts w:cs="Arial"/>
                <w:color w:val="000000"/>
                <w:sz w:val="15"/>
                <w:szCs w:val="15"/>
              </w:rPr>
              <w:t>0</w:t>
            </w:r>
            <w:r>
              <w:rPr>
                <w:rFonts w:cs="Arial"/>
                <w:color w:val="000000"/>
                <w:sz w:val="15"/>
                <w:szCs w:val="15"/>
              </w:rPr>
              <w:t>.</w:t>
            </w:r>
            <w:r w:rsidRPr="003003C0">
              <w:rPr>
                <w:rFonts w:cs="Arial"/>
                <w:color w:val="000000"/>
                <w:sz w:val="15"/>
                <w:szCs w:val="15"/>
              </w:rPr>
              <w:t>1</w:t>
            </w:r>
          </w:p>
        </w:tc>
        <w:tc>
          <w:tcPr>
            <w:tcW w:w="764" w:type="dxa"/>
            <w:noWrap/>
            <w:vAlign w:val="center"/>
            <w:hideMark/>
          </w:tcPr>
          <w:p w14:paraId="4AE4B321" w14:textId="77777777" w:rsidR="004F64EF" w:rsidRPr="003003C0" w:rsidRDefault="004F64EF" w:rsidP="00FD6B66">
            <w:pPr>
              <w:jc w:val="right"/>
              <w:rPr>
                <w:rFonts w:cs="Arial"/>
                <w:color w:val="000000"/>
                <w:sz w:val="15"/>
                <w:szCs w:val="15"/>
              </w:rPr>
            </w:pPr>
            <w:r w:rsidRPr="003003C0">
              <w:rPr>
                <w:rFonts w:cs="Arial"/>
                <w:color w:val="000000"/>
                <w:sz w:val="15"/>
                <w:szCs w:val="15"/>
              </w:rPr>
              <w:t>0</w:t>
            </w:r>
            <w:r>
              <w:rPr>
                <w:rFonts w:cs="Arial"/>
                <w:color w:val="000000"/>
                <w:sz w:val="15"/>
                <w:szCs w:val="15"/>
              </w:rPr>
              <w:t>.</w:t>
            </w:r>
            <w:r w:rsidRPr="003003C0">
              <w:rPr>
                <w:rFonts w:cs="Arial"/>
                <w:color w:val="000000"/>
                <w:sz w:val="15"/>
                <w:szCs w:val="15"/>
              </w:rPr>
              <w:t>1</w:t>
            </w:r>
          </w:p>
        </w:tc>
      </w:tr>
      <w:tr w:rsidR="004F64EF" w:rsidRPr="003003C0" w14:paraId="34A8253C" w14:textId="77777777" w:rsidTr="00FD6B66">
        <w:trPr>
          <w:cnfStyle w:val="000000010000" w:firstRow="0" w:lastRow="0" w:firstColumn="0" w:lastColumn="0" w:oddVBand="0" w:evenVBand="0" w:oddHBand="0" w:evenHBand="1" w:firstRowFirstColumn="0" w:firstRowLastColumn="0" w:lastRowFirstColumn="0" w:lastRowLastColumn="0"/>
          <w:trHeight w:val="20"/>
        </w:trPr>
        <w:tc>
          <w:tcPr>
            <w:tcW w:w="3681" w:type="dxa"/>
            <w:noWrap/>
            <w:vAlign w:val="center"/>
            <w:hideMark/>
          </w:tcPr>
          <w:p w14:paraId="4A514019" w14:textId="77777777" w:rsidR="004F64EF" w:rsidRPr="003003C0" w:rsidRDefault="004F64EF" w:rsidP="00FD6B66">
            <w:pPr>
              <w:jc w:val="left"/>
              <w:rPr>
                <w:rFonts w:cs="Arial"/>
                <w:color w:val="000000"/>
                <w:sz w:val="15"/>
                <w:szCs w:val="15"/>
              </w:rPr>
            </w:pPr>
            <w:r w:rsidRPr="003003C0">
              <w:rPr>
                <w:rFonts w:cs="Arial"/>
                <w:color w:val="000000"/>
                <w:sz w:val="15"/>
                <w:szCs w:val="15"/>
              </w:rPr>
              <w:t xml:space="preserve">9 - </w:t>
            </w:r>
            <w:r>
              <w:rPr>
                <w:rFonts w:cs="Arial"/>
                <w:color w:val="000000"/>
                <w:sz w:val="15"/>
                <w:szCs w:val="15"/>
              </w:rPr>
              <w:t>W</w:t>
            </w:r>
            <w:r w:rsidRPr="00567706">
              <w:rPr>
                <w:rFonts w:cs="Arial"/>
                <w:color w:val="000000"/>
                <w:sz w:val="15"/>
                <w:szCs w:val="15"/>
              </w:rPr>
              <w:t>ood and articles of wood; wood charcoal</w:t>
            </w:r>
          </w:p>
        </w:tc>
        <w:tc>
          <w:tcPr>
            <w:tcW w:w="764" w:type="dxa"/>
            <w:noWrap/>
            <w:vAlign w:val="center"/>
            <w:hideMark/>
          </w:tcPr>
          <w:p w14:paraId="2A14D5C7" w14:textId="77777777" w:rsidR="004F64EF" w:rsidRPr="003003C0" w:rsidRDefault="004F64EF" w:rsidP="00FD6B66">
            <w:pPr>
              <w:jc w:val="right"/>
              <w:rPr>
                <w:rFonts w:cs="Arial"/>
                <w:color w:val="000000"/>
                <w:sz w:val="15"/>
                <w:szCs w:val="15"/>
              </w:rPr>
            </w:pPr>
            <w:r w:rsidRPr="003003C0">
              <w:rPr>
                <w:rFonts w:cs="Arial"/>
                <w:color w:val="000000"/>
                <w:sz w:val="15"/>
                <w:szCs w:val="15"/>
              </w:rPr>
              <w:t>0</w:t>
            </w:r>
            <w:r>
              <w:rPr>
                <w:rFonts w:cs="Arial"/>
                <w:color w:val="000000"/>
                <w:sz w:val="15"/>
                <w:szCs w:val="15"/>
              </w:rPr>
              <w:t>.</w:t>
            </w:r>
            <w:r w:rsidRPr="003003C0">
              <w:rPr>
                <w:rFonts w:cs="Arial"/>
                <w:color w:val="000000"/>
                <w:sz w:val="15"/>
                <w:szCs w:val="15"/>
              </w:rPr>
              <w:t>2</w:t>
            </w:r>
          </w:p>
        </w:tc>
        <w:tc>
          <w:tcPr>
            <w:tcW w:w="764" w:type="dxa"/>
            <w:noWrap/>
            <w:vAlign w:val="center"/>
            <w:hideMark/>
          </w:tcPr>
          <w:p w14:paraId="7C59ECD6" w14:textId="77777777" w:rsidR="004F64EF" w:rsidRPr="003003C0" w:rsidRDefault="004F64EF" w:rsidP="00FD6B66">
            <w:pPr>
              <w:jc w:val="right"/>
              <w:rPr>
                <w:rFonts w:cs="Arial"/>
                <w:color w:val="000000"/>
                <w:sz w:val="15"/>
                <w:szCs w:val="15"/>
              </w:rPr>
            </w:pPr>
            <w:r w:rsidRPr="003003C0">
              <w:rPr>
                <w:rFonts w:cs="Arial"/>
                <w:color w:val="000000"/>
                <w:sz w:val="15"/>
                <w:szCs w:val="15"/>
              </w:rPr>
              <w:t>0</w:t>
            </w:r>
            <w:r>
              <w:rPr>
                <w:rFonts w:cs="Arial"/>
                <w:color w:val="000000"/>
                <w:sz w:val="15"/>
                <w:szCs w:val="15"/>
              </w:rPr>
              <w:t>.</w:t>
            </w:r>
            <w:r w:rsidRPr="003003C0">
              <w:rPr>
                <w:rFonts w:cs="Arial"/>
                <w:color w:val="000000"/>
                <w:sz w:val="15"/>
                <w:szCs w:val="15"/>
              </w:rPr>
              <w:t>1</w:t>
            </w:r>
          </w:p>
        </w:tc>
        <w:tc>
          <w:tcPr>
            <w:tcW w:w="764" w:type="dxa"/>
            <w:noWrap/>
            <w:vAlign w:val="center"/>
            <w:hideMark/>
          </w:tcPr>
          <w:p w14:paraId="20DFBAC4" w14:textId="77777777" w:rsidR="004F64EF" w:rsidRPr="003003C0" w:rsidRDefault="004F64EF" w:rsidP="00FD6B66">
            <w:pPr>
              <w:jc w:val="right"/>
              <w:rPr>
                <w:rFonts w:cs="Arial"/>
                <w:color w:val="000000"/>
                <w:sz w:val="15"/>
                <w:szCs w:val="15"/>
              </w:rPr>
            </w:pPr>
            <w:r w:rsidRPr="003003C0">
              <w:rPr>
                <w:rFonts w:cs="Arial"/>
                <w:color w:val="000000"/>
                <w:sz w:val="15"/>
                <w:szCs w:val="15"/>
              </w:rPr>
              <w:t>0</w:t>
            </w:r>
            <w:r>
              <w:rPr>
                <w:rFonts w:cs="Arial"/>
                <w:color w:val="000000"/>
                <w:sz w:val="15"/>
                <w:szCs w:val="15"/>
              </w:rPr>
              <w:t>.</w:t>
            </w:r>
            <w:r w:rsidRPr="003003C0">
              <w:rPr>
                <w:rFonts w:cs="Arial"/>
                <w:color w:val="000000"/>
                <w:sz w:val="15"/>
                <w:szCs w:val="15"/>
              </w:rPr>
              <w:t>1</w:t>
            </w:r>
          </w:p>
        </w:tc>
        <w:tc>
          <w:tcPr>
            <w:tcW w:w="764" w:type="dxa"/>
            <w:noWrap/>
            <w:vAlign w:val="center"/>
            <w:hideMark/>
          </w:tcPr>
          <w:p w14:paraId="420CAFC5" w14:textId="77777777" w:rsidR="004F64EF" w:rsidRPr="003003C0" w:rsidRDefault="004F64EF" w:rsidP="00FD6B66">
            <w:pPr>
              <w:jc w:val="right"/>
              <w:rPr>
                <w:rFonts w:cs="Arial"/>
                <w:color w:val="000000"/>
                <w:sz w:val="15"/>
                <w:szCs w:val="15"/>
              </w:rPr>
            </w:pPr>
            <w:r w:rsidRPr="003003C0">
              <w:rPr>
                <w:rFonts w:cs="Arial"/>
                <w:color w:val="000000"/>
                <w:sz w:val="15"/>
                <w:szCs w:val="15"/>
              </w:rPr>
              <w:t>0</w:t>
            </w:r>
            <w:r>
              <w:rPr>
                <w:rFonts w:cs="Arial"/>
                <w:color w:val="000000"/>
                <w:sz w:val="15"/>
                <w:szCs w:val="15"/>
              </w:rPr>
              <w:t>.</w:t>
            </w:r>
            <w:r w:rsidRPr="003003C0">
              <w:rPr>
                <w:rFonts w:cs="Arial"/>
                <w:color w:val="000000"/>
                <w:sz w:val="15"/>
                <w:szCs w:val="15"/>
              </w:rPr>
              <w:t>2</w:t>
            </w:r>
          </w:p>
        </w:tc>
        <w:tc>
          <w:tcPr>
            <w:tcW w:w="764" w:type="dxa"/>
            <w:noWrap/>
            <w:vAlign w:val="center"/>
            <w:hideMark/>
          </w:tcPr>
          <w:p w14:paraId="7BBFE5BD" w14:textId="77777777" w:rsidR="004F64EF" w:rsidRPr="003003C0" w:rsidRDefault="004F64EF" w:rsidP="00FD6B66">
            <w:pPr>
              <w:jc w:val="right"/>
              <w:rPr>
                <w:rFonts w:cs="Arial"/>
                <w:color w:val="000000"/>
                <w:sz w:val="15"/>
                <w:szCs w:val="15"/>
              </w:rPr>
            </w:pPr>
            <w:r w:rsidRPr="003003C0">
              <w:rPr>
                <w:rFonts w:cs="Arial"/>
                <w:color w:val="000000"/>
                <w:sz w:val="15"/>
                <w:szCs w:val="15"/>
              </w:rPr>
              <w:t>0</w:t>
            </w:r>
            <w:r>
              <w:rPr>
                <w:rFonts w:cs="Arial"/>
                <w:color w:val="000000"/>
                <w:sz w:val="15"/>
                <w:szCs w:val="15"/>
              </w:rPr>
              <w:t>.</w:t>
            </w:r>
            <w:r w:rsidRPr="003003C0">
              <w:rPr>
                <w:rFonts w:cs="Arial"/>
                <w:color w:val="000000"/>
                <w:sz w:val="15"/>
                <w:szCs w:val="15"/>
              </w:rPr>
              <w:t>2</w:t>
            </w:r>
          </w:p>
        </w:tc>
        <w:tc>
          <w:tcPr>
            <w:tcW w:w="764" w:type="dxa"/>
            <w:noWrap/>
            <w:vAlign w:val="center"/>
            <w:hideMark/>
          </w:tcPr>
          <w:p w14:paraId="0BDD8750" w14:textId="77777777" w:rsidR="004F64EF" w:rsidRPr="003003C0" w:rsidRDefault="004F64EF" w:rsidP="00FD6B66">
            <w:pPr>
              <w:jc w:val="right"/>
              <w:rPr>
                <w:rFonts w:cs="Arial"/>
                <w:color w:val="000000"/>
                <w:sz w:val="15"/>
                <w:szCs w:val="15"/>
              </w:rPr>
            </w:pPr>
            <w:r w:rsidRPr="003003C0">
              <w:rPr>
                <w:rFonts w:cs="Arial"/>
                <w:color w:val="000000"/>
                <w:sz w:val="15"/>
                <w:szCs w:val="15"/>
              </w:rPr>
              <w:t>0</w:t>
            </w:r>
            <w:r>
              <w:rPr>
                <w:rFonts w:cs="Arial"/>
                <w:color w:val="000000"/>
                <w:sz w:val="15"/>
                <w:szCs w:val="15"/>
              </w:rPr>
              <w:t>.</w:t>
            </w:r>
            <w:r w:rsidRPr="003003C0">
              <w:rPr>
                <w:rFonts w:cs="Arial"/>
                <w:color w:val="000000"/>
                <w:sz w:val="15"/>
                <w:szCs w:val="15"/>
              </w:rPr>
              <w:t>1</w:t>
            </w:r>
          </w:p>
        </w:tc>
        <w:tc>
          <w:tcPr>
            <w:tcW w:w="764" w:type="dxa"/>
            <w:noWrap/>
            <w:vAlign w:val="center"/>
            <w:hideMark/>
          </w:tcPr>
          <w:p w14:paraId="4C9CC115" w14:textId="77777777" w:rsidR="004F64EF" w:rsidRPr="003003C0" w:rsidRDefault="004F64EF" w:rsidP="00FD6B66">
            <w:pPr>
              <w:jc w:val="right"/>
              <w:rPr>
                <w:rFonts w:cs="Arial"/>
                <w:color w:val="000000"/>
                <w:sz w:val="15"/>
                <w:szCs w:val="15"/>
              </w:rPr>
            </w:pPr>
            <w:r w:rsidRPr="003003C0">
              <w:rPr>
                <w:rFonts w:cs="Arial"/>
                <w:color w:val="000000"/>
                <w:sz w:val="15"/>
                <w:szCs w:val="15"/>
              </w:rPr>
              <w:t>0</w:t>
            </w:r>
            <w:r>
              <w:rPr>
                <w:rFonts w:cs="Arial"/>
                <w:color w:val="000000"/>
                <w:sz w:val="15"/>
                <w:szCs w:val="15"/>
              </w:rPr>
              <w:t>.</w:t>
            </w:r>
            <w:r w:rsidRPr="003003C0">
              <w:rPr>
                <w:rFonts w:cs="Arial"/>
                <w:color w:val="000000"/>
                <w:sz w:val="15"/>
                <w:szCs w:val="15"/>
              </w:rPr>
              <w:t>1</w:t>
            </w:r>
          </w:p>
        </w:tc>
      </w:tr>
      <w:tr w:rsidR="004F64EF" w:rsidRPr="003003C0" w14:paraId="4044C2AD" w14:textId="77777777" w:rsidTr="00FD6B66">
        <w:trPr>
          <w:trHeight w:val="20"/>
        </w:trPr>
        <w:tc>
          <w:tcPr>
            <w:tcW w:w="3681" w:type="dxa"/>
            <w:noWrap/>
            <w:vAlign w:val="center"/>
            <w:hideMark/>
          </w:tcPr>
          <w:p w14:paraId="31A94A23" w14:textId="77777777" w:rsidR="004F64EF" w:rsidRPr="003003C0" w:rsidRDefault="004F64EF" w:rsidP="00567706">
            <w:pPr>
              <w:jc w:val="left"/>
              <w:rPr>
                <w:rFonts w:cs="Arial"/>
                <w:color w:val="000000"/>
                <w:sz w:val="15"/>
                <w:szCs w:val="15"/>
              </w:rPr>
            </w:pPr>
            <w:r w:rsidRPr="003003C0">
              <w:rPr>
                <w:rFonts w:cs="Arial"/>
                <w:color w:val="000000"/>
                <w:sz w:val="15"/>
                <w:szCs w:val="15"/>
              </w:rPr>
              <w:t xml:space="preserve">10 - </w:t>
            </w:r>
            <w:r>
              <w:rPr>
                <w:rFonts w:cs="Arial"/>
                <w:color w:val="000000"/>
                <w:sz w:val="15"/>
                <w:szCs w:val="15"/>
              </w:rPr>
              <w:t>P</w:t>
            </w:r>
            <w:r w:rsidRPr="00567706">
              <w:rPr>
                <w:rFonts w:cs="Arial"/>
                <w:color w:val="000000"/>
                <w:sz w:val="15"/>
                <w:szCs w:val="15"/>
              </w:rPr>
              <w:t>ulp of wood or of other fibrous cellulosic material;</w:t>
            </w:r>
            <w:r>
              <w:rPr>
                <w:rFonts w:cs="Arial"/>
                <w:color w:val="000000"/>
                <w:sz w:val="15"/>
                <w:szCs w:val="15"/>
              </w:rPr>
              <w:t xml:space="preserve"> </w:t>
            </w:r>
            <w:r w:rsidRPr="00567706">
              <w:rPr>
                <w:rFonts w:cs="Arial"/>
                <w:color w:val="000000"/>
                <w:sz w:val="15"/>
                <w:szCs w:val="15"/>
              </w:rPr>
              <w:t>paper and paperboard and articles thereof</w:t>
            </w:r>
          </w:p>
        </w:tc>
        <w:tc>
          <w:tcPr>
            <w:tcW w:w="764" w:type="dxa"/>
            <w:noWrap/>
            <w:vAlign w:val="center"/>
            <w:hideMark/>
          </w:tcPr>
          <w:p w14:paraId="468DE44D" w14:textId="77777777" w:rsidR="004F64EF" w:rsidRPr="003003C0" w:rsidRDefault="004F64EF" w:rsidP="00FD6B66">
            <w:pPr>
              <w:jc w:val="right"/>
              <w:rPr>
                <w:rFonts w:cs="Arial"/>
                <w:color w:val="000000"/>
                <w:sz w:val="15"/>
                <w:szCs w:val="15"/>
              </w:rPr>
            </w:pPr>
            <w:r w:rsidRPr="003003C0">
              <w:rPr>
                <w:rFonts w:cs="Arial"/>
                <w:color w:val="000000"/>
                <w:sz w:val="15"/>
                <w:szCs w:val="15"/>
              </w:rPr>
              <w:t>1</w:t>
            </w:r>
            <w:r>
              <w:rPr>
                <w:rFonts w:cs="Arial"/>
                <w:color w:val="000000"/>
                <w:sz w:val="15"/>
                <w:szCs w:val="15"/>
              </w:rPr>
              <w:t>.</w:t>
            </w:r>
            <w:r w:rsidRPr="003003C0">
              <w:rPr>
                <w:rFonts w:cs="Arial"/>
                <w:color w:val="000000"/>
                <w:sz w:val="15"/>
                <w:szCs w:val="15"/>
              </w:rPr>
              <w:t>6</w:t>
            </w:r>
          </w:p>
        </w:tc>
        <w:tc>
          <w:tcPr>
            <w:tcW w:w="764" w:type="dxa"/>
            <w:noWrap/>
            <w:vAlign w:val="center"/>
            <w:hideMark/>
          </w:tcPr>
          <w:p w14:paraId="4C7C31AB" w14:textId="77777777" w:rsidR="004F64EF" w:rsidRPr="003003C0" w:rsidRDefault="004F64EF" w:rsidP="00FD6B66">
            <w:pPr>
              <w:jc w:val="right"/>
              <w:rPr>
                <w:rFonts w:cs="Arial"/>
                <w:color w:val="000000"/>
                <w:sz w:val="15"/>
                <w:szCs w:val="15"/>
              </w:rPr>
            </w:pPr>
            <w:r w:rsidRPr="003003C0">
              <w:rPr>
                <w:rFonts w:cs="Arial"/>
                <w:color w:val="000000"/>
                <w:sz w:val="15"/>
                <w:szCs w:val="15"/>
              </w:rPr>
              <w:t>1</w:t>
            </w:r>
            <w:r>
              <w:rPr>
                <w:rFonts w:cs="Arial"/>
                <w:color w:val="000000"/>
                <w:sz w:val="15"/>
                <w:szCs w:val="15"/>
              </w:rPr>
              <w:t>.</w:t>
            </w:r>
            <w:r w:rsidRPr="003003C0">
              <w:rPr>
                <w:rFonts w:cs="Arial"/>
                <w:color w:val="000000"/>
                <w:sz w:val="15"/>
                <w:szCs w:val="15"/>
              </w:rPr>
              <w:t>4</w:t>
            </w:r>
          </w:p>
        </w:tc>
        <w:tc>
          <w:tcPr>
            <w:tcW w:w="764" w:type="dxa"/>
            <w:noWrap/>
            <w:vAlign w:val="center"/>
            <w:hideMark/>
          </w:tcPr>
          <w:p w14:paraId="538A42D7" w14:textId="77777777" w:rsidR="004F64EF" w:rsidRPr="003003C0" w:rsidRDefault="004F64EF" w:rsidP="00FD6B66">
            <w:pPr>
              <w:jc w:val="right"/>
              <w:rPr>
                <w:rFonts w:cs="Arial"/>
                <w:color w:val="000000"/>
                <w:sz w:val="15"/>
                <w:szCs w:val="15"/>
              </w:rPr>
            </w:pPr>
            <w:r w:rsidRPr="003003C0">
              <w:rPr>
                <w:rFonts w:cs="Arial"/>
                <w:color w:val="000000"/>
                <w:sz w:val="15"/>
                <w:szCs w:val="15"/>
              </w:rPr>
              <w:t>1</w:t>
            </w:r>
            <w:r>
              <w:rPr>
                <w:rFonts w:cs="Arial"/>
                <w:color w:val="000000"/>
                <w:sz w:val="15"/>
                <w:szCs w:val="15"/>
              </w:rPr>
              <w:t>.</w:t>
            </w:r>
            <w:r w:rsidRPr="003003C0">
              <w:rPr>
                <w:rFonts w:cs="Arial"/>
                <w:color w:val="000000"/>
                <w:sz w:val="15"/>
                <w:szCs w:val="15"/>
              </w:rPr>
              <w:t>5</w:t>
            </w:r>
          </w:p>
        </w:tc>
        <w:tc>
          <w:tcPr>
            <w:tcW w:w="764" w:type="dxa"/>
            <w:noWrap/>
            <w:vAlign w:val="center"/>
            <w:hideMark/>
          </w:tcPr>
          <w:p w14:paraId="7A330426" w14:textId="77777777" w:rsidR="004F64EF" w:rsidRPr="003003C0" w:rsidRDefault="004F64EF" w:rsidP="00FD6B66">
            <w:pPr>
              <w:jc w:val="right"/>
              <w:rPr>
                <w:rFonts w:cs="Arial"/>
                <w:color w:val="000000"/>
                <w:sz w:val="15"/>
                <w:szCs w:val="15"/>
              </w:rPr>
            </w:pPr>
            <w:r w:rsidRPr="003003C0">
              <w:rPr>
                <w:rFonts w:cs="Arial"/>
                <w:color w:val="000000"/>
                <w:sz w:val="15"/>
                <w:szCs w:val="15"/>
              </w:rPr>
              <w:t>1</w:t>
            </w:r>
            <w:r>
              <w:rPr>
                <w:rFonts w:cs="Arial"/>
                <w:color w:val="000000"/>
                <w:sz w:val="15"/>
                <w:szCs w:val="15"/>
              </w:rPr>
              <w:t>.</w:t>
            </w:r>
            <w:r w:rsidRPr="003003C0">
              <w:rPr>
                <w:rFonts w:cs="Arial"/>
                <w:color w:val="000000"/>
                <w:sz w:val="15"/>
                <w:szCs w:val="15"/>
              </w:rPr>
              <w:t>4</w:t>
            </w:r>
          </w:p>
        </w:tc>
        <w:tc>
          <w:tcPr>
            <w:tcW w:w="764" w:type="dxa"/>
            <w:noWrap/>
            <w:vAlign w:val="center"/>
            <w:hideMark/>
          </w:tcPr>
          <w:p w14:paraId="1233220A" w14:textId="77777777" w:rsidR="004F64EF" w:rsidRPr="003003C0" w:rsidRDefault="004F64EF" w:rsidP="00FD6B66">
            <w:pPr>
              <w:jc w:val="right"/>
              <w:rPr>
                <w:rFonts w:cs="Arial"/>
                <w:color w:val="000000"/>
                <w:sz w:val="15"/>
                <w:szCs w:val="15"/>
              </w:rPr>
            </w:pPr>
            <w:r w:rsidRPr="003003C0">
              <w:rPr>
                <w:rFonts w:cs="Arial"/>
                <w:color w:val="000000"/>
                <w:sz w:val="15"/>
                <w:szCs w:val="15"/>
              </w:rPr>
              <w:t>1</w:t>
            </w:r>
            <w:r>
              <w:rPr>
                <w:rFonts w:cs="Arial"/>
                <w:color w:val="000000"/>
                <w:sz w:val="15"/>
                <w:szCs w:val="15"/>
              </w:rPr>
              <w:t>.</w:t>
            </w:r>
            <w:r w:rsidRPr="003003C0">
              <w:rPr>
                <w:rFonts w:cs="Arial"/>
                <w:color w:val="000000"/>
                <w:sz w:val="15"/>
                <w:szCs w:val="15"/>
              </w:rPr>
              <w:t>1</w:t>
            </w:r>
          </w:p>
        </w:tc>
        <w:tc>
          <w:tcPr>
            <w:tcW w:w="764" w:type="dxa"/>
            <w:noWrap/>
            <w:vAlign w:val="center"/>
            <w:hideMark/>
          </w:tcPr>
          <w:p w14:paraId="4EAD9367" w14:textId="77777777" w:rsidR="004F64EF" w:rsidRPr="003003C0" w:rsidRDefault="004F64EF" w:rsidP="00FD6B66">
            <w:pPr>
              <w:jc w:val="right"/>
              <w:rPr>
                <w:rFonts w:cs="Arial"/>
                <w:color w:val="000000"/>
                <w:sz w:val="15"/>
                <w:szCs w:val="15"/>
              </w:rPr>
            </w:pPr>
            <w:r w:rsidRPr="003003C0">
              <w:rPr>
                <w:rFonts w:cs="Arial"/>
                <w:color w:val="000000"/>
                <w:sz w:val="15"/>
                <w:szCs w:val="15"/>
              </w:rPr>
              <w:t>1</w:t>
            </w:r>
            <w:r>
              <w:rPr>
                <w:rFonts w:cs="Arial"/>
                <w:color w:val="000000"/>
                <w:sz w:val="15"/>
                <w:szCs w:val="15"/>
              </w:rPr>
              <w:t>.</w:t>
            </w:r>
            <w:r w:rsidRPr="003003C0">
              <w:rPr>
                <w:rFonts w:cs="Arial"/>
                <w:color w:val="000000"/>
                <w:sz w:val="15"/>
                <w:szCs w:val="15"/>
              </w:rPr>
              <w:t>6</w:t>
            </w:r>
          </w:p>
        </w:tc>
        <w:tc>
          <w:tcPr>
            <w:tcW w:w="764" w:type="dxa"/>
            <w:noWrap/>
            <w:vAlign w:val="center"/>
            <w:hideMark/>
          </w:tcPr>
          <w:p w14:paraId="73FCB1FA" w14:textId="77777777" w:rsidR="004F64EF" w:rsidRPr="003003C0" w:rsidRDefault="004F64EF" w:rsidP="00FD6B66">
            <w:pPr>
              <w:jc w:val="right"/>
              <w:rPr>
                <w:rFonts w:cs="Arial"/>
                <w:color w:val="000000"/>
                <w:sz w:val="15"/>
                <w:szCs w:val="15"/>
              </w:rPr>
            </w:pPr>
            <w:r w:rsidRPr="003003C0">
              <w:rPr>
                <w:rFonts w:cs="Arial"/>
                <w:color w:val="000000"/>
                <w:sz w:val="15"/>
                <w:szCs w:val="15"/>
              </w:rPr>
              <w:t>1</w:t>
            </w:r>
            <w:r>
              <w:rPr>
                <w:rFonts w:cs="Arial"/>
                <w:color w:val="000000"/>
                <w:sz w:val="15"/>
                <w:szCs w:val="15"/>
              </w:rPr>
              <w:t>.</w:t>
            </w:r>
            <w:r w:rsidRPr="003003C0">
              <w:rPr>
                <w:rFonts w:cs="Arial"/>
                <w:color w:val="000000"/>
                <w:sz w:val="15"/>
                <w:szCs w:val="15"/>
              </w:rPr>
              <w:t>6</w:t>
            </w:r>
          </w:p>
        </w:tc>
      </w:tr>
      <w:tr w:rsidR="004F64EF" w:rsidRPr="003003C0" w14:paraId="3DC020D9" w14:textId="77777777" w:rsidTr="00FD6B66">
        <w:trPr>
          <w:cnfStyle w:val="000000010000" w:firstRow="0" w:lastRow="0" w:firstColumn="0" w:lastColumn="0" w:oddVBand="0" w:evenVBand="0" w:oddHBand="0" w:evenHBand="1" w:firstRowFirstColumn="0" w:firstRowLastColumn="0" w:lastRowFirstColumn="0" w:lastRowLastColumn="0"/>
          <w:trHeight w:val="20"/>
        </w:trPr>
        <w:tc>
          <w:tcPr>
            <w:tcW w:w="3681" w:type="dxa"/>
            <w:noWrap/>
            <w:vAlign w:val="center"/>
            <w:hideMark/>
          </w:tcPr>
          <w:p w14:paraId="28ED2E42" w14:textId="77777777" w:rsidR="004F64EF" w:rsidRPr="003003C0" w:rsidRDefault="004F64EF" w:rsidP="003E0CD7">
            <w:pPr>
              <w:tabs>
                <w:tab w:val="left" w:pos="170"/>
              </w:tabs>
              <w:ind w:left="170" w:hanging="170"/>
              <w:jc w:val="left"/>
              <w:rPr>
                <w:rFonts w:cs="Arial"/>
                <w:color w:val="000000"/>
                <w:sz w:val="15"/>
                <w:szCs w:val="15"/>
              </w:rPr>
            </w:pPr>
            <w:r w:rsidRPr="003003C0">
              <w:rPr>
                <w:rFonts w:cs="Arial"/>
                <w:color w:val="000000"/>
                <w:sz w:val="15"/>
                <w:szCs w:val="15"/>
              </w:rPr>
              <w:tab/>
              <w:t xml:space="preserve">48. </w:t>
            </w:r>
            <w:r w:rsidRPr="00A1158A">
              <w:rPr>
                <w:rFonts w:cs="Arial"/>
                <w:color w:val="000000"/>
                <w:sz w:val="15"/>
                <w:szCs w:val="15"/>
              </w:rPr>
              <w:t>Paper and paperboard; articles of paper pulp, of paper or of paperboard</w:t>
            </w:r>
          </w:p>
        </w:tc>
        <w:tc>
          <w:tcPr>
            <w:tcW w:w="764" w:type="dxa"/>
            <w:noWrap/>
            <w:vAlign w:val="center"/>
            <w:hideMark/>
          </w:tcPr>
          <w:p w14:paraId="2E14516D" w14:textId="77777777" w:rsidR="004F64EF" w:rsidRPr="003003C0" w:rsidRDefault="004F64EF" w:rsidP="00FD6B66">
            <w:pPr>
              <w:jc w:val="right"/>
              <w:rPr>
                <w:rFonts w:cs="Arial"/>
                <w:color w:val="000000"/>
                <w:sz w:val="15"/>
                <w:szCs w:val="15"/>
              </w:rPr>
            </w:pPr>
            <w:r w:rsidRPr="003003C0">
              <w:rPr>
                <w:rFonts w:cs="Arial"/>
                <w:color w:val="000000"/>
                <w:sz w:val="15"/>
                <w:szCs w:val="15"/>
              </w:rPr>
              <w:t>1</w:t>
            </w:r>
            <w:r>
              <w:rPr>
                <w:rFonts w:cs="Arial"/>
                <w:color w:val="000000"/>
                <w:sz w:val="15"/>
                <w:szCs w:val="15"/>
              </w:rPr>
              <w:t>.</w:t>
            </w:r>
            <w:r w:rsidRPr="003003C0">
              <w:rPr>
                <w:rFonts w:cs="Arial"/>
                <w:color w:val="000000"/>
                <w:sz w:val="15"/>
                <w:szCs w:val="15"/>
              </w:rPr>
              <w:t>2</w:t>
            </w:r>
          </w:p>
        </w:tc>
        <w:tc>
          <w:tcPr>
            <w:tcW w:w="764" w:type="dxa"/>
            <w:noWrap/>
            <w:vAlign w:val="center"/>
            <w:hideMark/>
          </w:tcPr>
          <w:p w14:paraId="5C8485F5" w14:textId="77777777" w:rsidR="004F64EF" w:rsidRPr="003003C0" w:rsidRDefault="004F64EF" w:rsidP="00FD6B66">
            <w:pPr>
              <w:jc w:val="right"/>
              <w:rPr>
                <w:rFonts w:cs="Arial"/>
                <w:color w:val="000000"/>
                <w:sz w:val="15"/>
                <w:szCs w:val="15"/>
              </w:rPr>
            </w:pPr>
            <w:r w:rsidRPr="003003C0">
              <w:rPr>
                <w:rFonts w:cs="Arial"/>
                <w:color w:val="000000"/>
                <w:sz w:val="15"/>
                <w:szCs w:val="15"/>
              </w:rPr>
              <w:t>1</w:t>
            </w:r>
            <w:r>
              <w:rPr>
                <w:rFonts w:cs="Arial"/>
                <w:color w:val="000000"/>
                <w:sz w:val="15"/>
                <w:szCs w:val="15"/>
              </w:rPr>
              <w:t>.</w:t>
            </w:r>
            <w:r w:rsidRPr="003003C0">
              <w:rPr>
                <w:rFonts w:cs="Arial"/>
                <w:color w:val="000000"/>
                <w:sz w:val="15"/>
                <w:szCs w:val="15"/>
              </w:rPr>
              <w:t>1</w:t>
            </w:r>
          </w:p>
        </w:tc>
        <w:tc>
          <w:tcPr>
            <w:tcW w:w="764" w:type="dxa"/>
            <w:noWrap/>
            <w:vAlign w:val="center"/>
            <w:hideMark/>
          </w:tcPr>
          <w:p w14:paraId="6313ED28" w14:textId="77777777" w:rsidR="004F64EF" w:rsidRPr="003003C0" w:rsidRDefault="004F64EF" w:rsidP="00FD6B66">
            <w:pPr>
              <w:jc w:val="right"/>
              <w:rPr>
                <w:rFonts w:cs="Arial"/>
                <w:color w:val="000000"/>
                <w:sz w:val="15"/>
                <w:szCs w:val="15"/>
              </w:rPr>
            </w:pPr>
            <w:r w:rsidRPr="003003C0">
              <w:rPr>
                <w:rFonts w:cs="Arial"/>
                <w:color w:val="000000"/>
                <w:sz w:val="15"/>
                <w:szCs w:val="15"/>
              </w:rPr>
              <w:t>1</w:t>
            </w:r>
            <w:r>
              <w:rPr>
                <w:rFonts w:cs="Arial"/>
                <w:color w:val="000000"/>
                <w:sz w:val="15"/>
                <w:szCs w:val="15"/>
              </w:rPr>
              <w:t>.</w:t>
            </w:r>
            <w:r w:rsidRPr="003003C0">
              <w:rPr>
                <w:rFonts w:cs="Arial"/>
                <w:color w:val="000000"/>
                <w:sz w:val="15"/>
                <w:szCs w:val="15"/>
              </w:rPr>
              <w:t>1</w:t>
            </w:r>
          </w:p>
        </w:tc>
        <w:tc>
          <w:tcPr>
            <w:tcW w:w="764" w:type="dxa"/>
            <w:noWrap/>
            <w:vAlign w:val="center"/>
            <w:hideMark/>
          </w:tcPr>
          <w:p w14:paraId="0E7DF99E" w14:textId="77777777" w:rsidR="004F64EF" w:rsidRPr="003003C0" w:rsidRDefault="004F64EF" w:rsidP="00FD6B66">
            <w:pPr>
              <w:jc w:val="right"/>
              <w:rPr>
                <w:rFonts w:cs="Arial"/>
                <w:color w:val="000000"/>
                <w:sz w:val="15"/>
                <w:szCs w:val="15"/>
              </w:rPr>
            </w:pPr>
            <w:r w:rsidRPr="003003C0">
              <w:rPr>
                <w:rFonts w:cs="Arial"/>
                <w:color w:val="000000"/>
                <w:sz w:val="15"/>
                <w:szCs w:val="15"/>
              </w:rPr>
              <w:t>1</w:t>
            </w:r>
            <w:r>
              <w:rPr>
                <w:rFonts w:cs="Arial"/>
                <w:color w:val="000000"/>
                <w:sz w:val="15"/>
                <w:szCs w:val="15"/>
              </w:rPr>
              <w:t>.</w:t>
            </w:r>
            <w:r w:rsidRPr="003003C0">
              <w:rPr>
                <w:rFonts w:cs="Arial"/>
                <w:color w:val="000000"/>
                <w:sz w:val="15"/>
                <w:szCs w:val="15"/>
              </w:rPr>
              <w:t>0</w:t>
            </w:r>
          </w:p>
        </w:tc>
        <w:tc>
          <w:tcPr>
            <w:tcW w:w="764" w:type="dxa"/>
            <w:noWrap/>
            <w:vAlign w:val="center"/>
            <w:hideMark/>
          </w:tcPr>
          <w:p w14:paraId="11DDCCF6" w14:textId="77777777" w:rsidR="004F64EF" w:rsidRPr="003003C0" w:rsidRDefault="004F64EF" w:rsidP="00FD6B66">
            <w:pPr>
              <w:jc w:val="right"/>
              <w:rPr>
                <w:rFonts w:cs="Arial"/>
                <w:color w:val="000000"/>
                <w:sz w:val="15"/>
                <w:szCs w:val="15"/>
              </w:rPr>
            </w:pPr>
            <w:r w:rsidRPr="003003C0">
              <w:rPr>
                <w:rFonts w:cs="Arial"/>
                <w:color w:val="000000"/>
                <w:sz w:val="15"/>
                <w:szCs w:val="15"/>
              </w:rPr>
              <w:t>0</w:t>
            </w:r>
            <w:r>
              <w:rPr>
                <w:rFonts w:cs="Arial"/>
                <w:color w:val="000000"/>
                <w:sz w:val="15"/>
                <w:szCs w:val="15"/>
              </w:rPr>
              <w:t>.</w:t>
            </w:r>
            <w:r w:rsidRPr="003003C0">
              <w:rPr>
                <w:rFonts w:cs="Arial"/>
                <w:color w:val="000000"/>
                <w:sz w:val="15"/>
                <w:szCs w:val="15"/>
              </w:rPr>
              <w:t>9</w:t>
            </w:r>
          </w:p>
        </w:tc>
        <w:tc>
          <w:tcPr>
            <w:tcW w:w="764" w:type="dxa"/>
            <w:noWrap/>
            <w:vAlign w:val="center"/>
            <w:hideMark/>
          </w:tcPr>
          <w:p w14:paraId="050CB371" w14:textId="77777777" w:rsidR="004F64EF" w:rsidRPr="003003C0" w:rsidRDefault="004F64EF" w:rsidP="00FD6B66">
            <w:pPr>
              <w:jc w:val="right"/>
              <w:rPr>
                <w:rFonts w:cs="Arial"/>
                <w:color w:val="000000"/>
                <w:sz w:val="15"/>
                <w:szCs w:val="15"/>
              </w:rPr>
            </w:pPr>
            <w:r w:rsidRPr="003003C0">
              <w:rPr>
                <w:rFonts w:cs="Arial"/>
                <w:color w:val="000000"/>
                <w:sz w:val="15"/>
                <w:szCs w:val="15"/>
              </w:rPr>
              <w:t>1</w:t>
            </w:r>
            <w:r>
              <w:rPr>
                <w:rFonts w:cs="Arial"/>
                <w:color w:val="000000"/>
                <w:sz w:val="15"/>
                <w:szCs w:val="15"/>
              </w:rPr>
              <w:t>.</w:t>
            </w:r>
            <w:r w:rsidRPr="003003C0">
              <w:rPr>
                <w:rFonts w:cs="Arial"/>
                <w:color w:val="000000"/>
                <w:sz w:val="15"/>
                <w:szCs w:val="15"/>
              </w:rPr>
              <w:t>3</w:t>
            </w:r>
          </w:p>
        </w:tc>
        <w:tc>
          <w:tcPr>
            <w:tcW w:w="764" w:type="dxa"/>
            <w:noWrap/>
            <w:vAlign w:val="center"/>
            <w:hideMark/>
          </w:tcPr>
          <w:p w14:paraId="534CA0C2" w14:textId="77777777" w:rsidR="004F64EF" w:rsidRPr="003003C0" w:rsidRDefault="004F64EF" w:rsidP="00FD6B66">
            <w:pPr>
              <w:jc w:val="right"/>
              <w:rPr>
                <w:rFonts w:cs="Arial"/>
                <w:color w:val="000000"/>
                <w:sz w:val="15"/>
                <w:szCs w:val="15"/>
              </w:rPr>
            </w:pPr>
            <w:r w:rsidRPr="003003C0">
              <w:rPr>
                <w:rFonts w:cs="Arial"/>
                <w:color w:val="000000"/>
                <w:sz w:val="15"/>
                <w:szCs w:val="15"/>
              </w:rPr>
              <w:t>1</w:t>
            </w:r>
            <w:r>
              <w:rPr>
                <w:rFonts w:cs="Arial"/>
                <w:color w:val="000000"/>
                <w:sz w:val="15"/>
                <w:szCs w:val="15"/>
              </w:rPr>
              <w:t>.</w:t>
            </w:r>
            <w:r w:rsidRPr="003003C0">
              <w:rPr>
                <w:rFonts w:cs="Arial"/>
                <w:color w:val="000000"/>
                <w:sz w:val="15"/>
                <w:szCs w:val="15"/>
              </w:rPr>
              <w:t>2</w:t>
            </w:r>
          </w:p>
        </w:tc>
      </w:tr>
      <w:tr w:rsidR="004F64EF" w:rsidRPr="003003C0" w14:paraId="78F9943F" w14:textId="77777777" w:rsidTr="00FD6B66">
        <w:trPr>
          <w:trHeight w:val="20"/>
        </w:trPr>
        <w:tc>
          <w:tcPr>
            <w:tcW w:w="3681" w:type="dxa"/>
            <w:noWrap/>
            <w:vAlign w:val="center"/>
            <w:hideMark/>
          </w:tcPr>
          <w:p w14:paraId="0EB8EDAA" w14:textId="77777777" w:rsidR="004F64EF" w:rsidRPr="003003C0" w:rsidRDefault="004F64EF" w:rsidP="00FD6B66">
            <w:pPr>
              <w:jc w:val="left"/>
              <w:rPr>
                <w:rFonts w:cs="Arial"/>
                <w:color w:val="000000"/>
                <w:sz w:val="15"/>
                <w:szCs w:val="15"/>
              </w:rPr>
            </w:pPr>
            <w:r w:rsidRPr="003003C0">
              <w:rPr>
                <w:rFonts w:cs="Arial"/>
                <w:color w:val="000000"/>
                <w:sz w:val="15"/>
                <w:szCs w:val="15"/>
              </w:rPr>
              <w:t xml:space="preserve">11 - </w:t>
            </w:r>
            <w:r>
              <w:rPr>
                <w:rFonts w:cs="Arial"/>
                <w:color w:val="000000"/>
                <w:sz w:val="15"/>
                <w:szCs w:val="15"/>
              </w:rPr>
              <w:t>T</w:t>
            </w:r>
            <w:r w:rsidRPr="00A1158A">
              <w:rPr>
                <w:rFonts w:cs="Arial"/>
                <w:color w:val="000000"/>
                <w:sz w:val="15"/>
                <w:szCs w:val="15"/>
              </w:rPr>
              <w:t>extiles and textile articles</w:t>
            </w:r>
          </w:p>
        </w:tc>
        <w:tc>
          <w:tcPr>
            <w:tcW w:w="764" w:type="dxa"/>
            <w:noWrap/>
            <w:vAlign w:val="center"/>
            <w:hideMark/>
          </w:tcPr>
          <w:p w14:paraId="67825B83" w14:textId="77777777" w:rsidR="004F64EF" w:rsidRPr="003003C0" w:rsidRDefault="004F64EF" w:rsidP="00FD6B66">
            <w:pPr>
              <w:jc w:val="right"/>
              <w:rPr>
                <w:rFonts w:cs="Arial"/>
                <w:color w:val="000000"/>
                <w:sz w:val="15"/>
                <w:szCs w:val="15"/>
              </w:rPr>
            </w:pPr>
            <w:r w:rsidRPr="003003C0">
              <w:rPr>
                <w:rFonts w:cs="Arial"/>
                <w:color w:val="000000"/>
                <w:sz w:val="15"/>
                <w:szCs w:val="15"/>
              </w:rPr>
              <w:t>0</w:t>
            </w:r>
            <w:r>
              <w:rPr>
                <w:rFonts w:cs="Arial"/>
                <w:color w:val="000000"/>
                <w:sz w:val="15"/>
                <w:szCs w:val="15"/>
              </w:rPr>
              <w:t>.</w:t>
            </w:r>
            <w:r w:rsidRPr="003003C0">
              <w:rPr>
                <w:rFonts w:cs="Arial"/>
                <w:color w:val="000000"/>
                <w:sz w:val="15"/>
                <w:szCs w:val="15"/>
              </w:rPr>
              <w:t>6</w:t>
            </w:r>
          </w:p>
        </w:tc>
        <w:tc>
          <w:tcPr>
            <w:tcW w:w="764" w:type="dxa"/>
            <w:noWrap/>
            <w:vAlign w:val="center"/>
            <w:hideMark/>
          </w:tcPr>
          <w:p w14:paraId="0EFD98BE" w14:textId="77777777" w:rsidR="004F64EF" w:rsidRPr="003003C0" w:rsidRDefault="004F64EF" w:rsidP="00FD6B66">
            <w:pPr>
              <w:jc w:val="right"/>
              <w:rPr>
                <w:rFonts w:cs="Arial"/>
                <w:color w:val="000000"/>
                <w:sz w:val="15"/>
                <w:szCs w:val="15"/>
              </w:rPr>
            </w:pPr>
            <w:r w:rsidRPr="003003C0">
              <w:rPr>
                <w:rFonts w:cs="Arial"/>
                <w:color w:val="000000"/>
                <w:sz w:val="15"/>
                <w:szCs w:val="15"/>
              </w:rPr>
              <w:t>0</w:t>
            </w:r>
            <w:r>
              <w:rPr>
                <w:rFonts w:cs="Arial"/>
                <w:color w:val="000000"/>
                <w:sz w:val="15"/>
                <w:szCs w:val="15"/>
              </w:rPr>
              <w:t>.</w:t>
            </w:r>
            <w:r w:rsidRPr="003003C0">
              <w:rPr>
                <w:rFonts w:cs="Arial"/>
                <w:color w:val="000000"/>
                <w:sz w:val="15"/>
                <w:szCs w:val="15"/>
              </w:rPr>
              <w:t>7</w:t>
            </w:r>
          </w:p>
        </w:tc>
        <w:tc>
          <w:tcPr>
            <w:tcW w:w="764" w:type="dxa"/>
            <w:noWrap/>
            <w:vAlign w:val="center"/>
            <w:hideMark/>
          </w:tcPr>
          <w:p w14:paraId="31D976EF" w14:textId="77777777" w:rsidR="004F64EF" w:rsidRPr="003003C0" w:rsidRDefault="004F64EF" w:rsidP="00FD6B66">
            <w:pPr>
              <w:jc w:val="right"/>
              <w:rPr>
                <w:rFonts w:cs="Arial"/>
                <w:color w:val="000000"/>
                <w:sz w:val="15"/>
                <w:szCs w:val="15"/>
              </w:rPr>
            </w:pPr>
            <w:r w:rsidRPr="003003C0">
              <w:rPr>
                <w:rFonts w:cs="Arial"/>
                <w:color w:val="000000"/>
                <w:sz w:val="15"/>
                <w:szCs w:val="15"/>
              </w:rPr>
              <w:t>4</w:t>
            </w:r>
            <w:r>
              <w:rPr>
                <w:rFonts w:cs="Arial"/>
                <w:color w:val="000000"/>
                <w:sz w:val="15"/>
                <w:szCs w:val="15"/>
              </w:rPr>
              <w:t>.</w:t>
            </w:r>
            <w:r w:rsidRPr="003003C0">
              <w:rPr>
                <w:rFonts w:cs="Arial"/>
                <w:color w:val="000000"/>
                <w:sz w:val="15"/>
                <w:szCs w:val="15"/>
              </w:rPr>
              <w:t>3</w:t>
            </w:r>
          </w:p>
        </w:tc>
        <w:tc>
          <w:tcPr>
            <w:tcW w:w="764" w:type="dxa"/>
            <w:noWrap/>
            <w:vAlign w:val="center"/>
            <w:hideMark/>
          </w:tcPr>
          <w:p w14:paraId="7EB4745B" w14:textId="77777777" w:rsidR="004F64EF" w:rsidRPr="003003C0" w:rsidRDefault="004F64EF" w:rsidP="00FD6B66">
            <w:pPr>
              <w:jc w:val="right"/>
              <w:rPr>
                <w:rFonts w:cs="Arial"/>
                <w:color w:val="000000"/>
                <w:sz w:val="15"/>
                <w:szCs w:val="15"/>
              </w:rPr>
            </w:pPr>
            <w:r w:rsidRPr="003003C0">
              <w:rPr>
                <w:rFonts w:cs="Arial"/>
                <w:color w:val="000000"/>
                <w:sz w:val="15"/>
                <w:szCs w:val="15"/>
              </w:rPr>
              <w:t>0</w:t>
            </w:r>
            <w:r>
              <w:rPr>
                <w:rFonts w:cs="Arial"/>
                <w:color w:val="000000"/>
                <w:sz w:val="15"/>
                <w:szCs w:val="15"/>
              </w:rPr>
              <w:t>.</w:t>
            </w:r>
            <w:r w:rsidRPr="003003C0">
              <w:rPr>
                <w:rFonts w:cs="Arial"/>
                <w:color w:val="000000"/>
                <w:sz w:val="15"/>
                <w:szCs w:val="15"/>
              </w:rPr>
              <w:t>7</w:t>
            </w:r>
          </w:p>
        </w:tc>
        <w:tc>
          <w:tcPr>
            <w:tcW w:w="764" w:type="dxa"/>
            <w:noWrap/>
            <w:vAlign w:val="center"/>
            <w:hideMark/>
          </w:tcPr>
          <w:p w14:paraId="6BE0B67A" w14:textId="77777777" w:rsidR="004F64EF" w:rsidRPr="003003C0" w:rsidRDefault="004F64EF" w:rsidP="00FD6B66">
            <w:pPr>
              <w:jc w:val="right"/>
              <w:rPr>
                <w:rFonts w:cs="Arial"/>
                <w:color w:val="000000"/>
                <w:sz w:val="15"/>
                <w:szCs w:val="15"/>
              </w:rPr>
            </w:pPr>
            <w:r w:rsidRPr="003003C0">
              <w:rPr>
                <w:rFonts w:cs="Arial"/>
                <w:color w:val="000000"/>
                <w:sz w:val="15"/>
                <w:szCs w:val="15"/>
              </w:rPr>
              <w:t>1</w:t>
            </w:r>
            <w:r>
              <w:rPr>
                <w:rFonts w:cs="Arial"/>
                <w:color w:val="000000"/>
                <w:sz w:val="15"/>
                <w:szCs w:val="15"/>
              </w:rPr>
              <w:t>.</w:t>
            </w:r>
            <w:r w:rsidRPr="003003C0">
              <w:rPr>
                <w:rFonts w:cs="Arial"/>
                <w:color w:val="000000"/>
                <w:sz w:val="15"/>
                <w:szCs w:val="15"/>
              </w:rPr>
              <w:t>0</w:t>
            </w:r>
          </w:p>
        </w:tc>
        <w:tc>
          <w:tcPr>
            <w:tcW w:w="764" w:type="dxa"/>
            <w:noWrap/>
            <w:vAlign w:val="center"/>
            <w:hideMark/>
          </w:tcPr>
          <w:p w14:paraId="26C5440F" w14:textId="77777777" w:rsidR="004F64EF" w:rsidRPr="003003C0" w:rsidRDefault="004F64EF" w:rsidP="00FD6B66">
            <w:pPr>
              <w:jc w:val="right"/>
              <w:rPr>
                <w:rFonts w:cs="Arial"/>
                <w:color w:val="000000"/>
                <w:sz w:val="15"/>
                <w:szCs w:val="15"/>
              </w:rPr>
            </w:pPr>
            <w:r w:rsidRPr="003003C0">
              <w:rPr>
                <w:rFonts w:cs="Arial"/>
                <w:color w:val="000000"/>
                <w:sz w:val="15"/>
                <w:szCs w:val="15"/>
              </w:rPr>
              <w:t>0</w:t>
            </w:r>
            <w:r>
              <w:rPr>
                <w:rFonts w:cs="Arial"/>
                <w:color w:val="000000"/>
                <w:sz w:val="15"/>
                <w:szCs w:val="15"/>
              </w:rPr>
              <w:t>.</w:t>
            </w:r>
            <w:r w:rsidRPr="003003C0">
              <w:rPr>
                <w:rFonts w:cs="Arial"/>
                <w:color w:val="000000"/>
                <w:sz w:val="15"/>
                <w:szCs w:val="15"/>
              </w:rPr>
              <w:t>8</w:t>
            </w:r>
          </w:p>
        </w:tc>
        <w:tc>
          <w:tcPr>
            <w:tcW w:w="764" w:type="dxa"/>
            <w:noWrap/>
            <w:vAlign w:val="center"/>
            <w:hideMark/>
          </w:tcPr>
          <w:p w14:paraId="78D0AFEA" w14:textId="77777777" w:rsidR="004F64EF" w:rsidRPr="003003C0" w:rsidRDefault="004F64EF" w:rsidP="00FD6B66">
            <w:pPr>
              <w:jc w:val="right"/>
              <w:rPr>
                <w:rFonts w:cs="Arial"/>
                <w:color w:val="000000"/>
                <w:sz w:val="15"/>
                <w:szCs w:val="15"/>
              </w:rPr>
            </w:pPr>
            <w:r w:rsidRPr="003003C0">
              <w:rPr>
                <w:rFonts w:cs="Arial"/>
                <w:color w:val="000000"/>
                <w:sz w:val="15"/>
                <w:szCs w:val="15"/>
              </w:rPr>
              <w:t>0</w:t>
            </w:r>
            <w:r>
              <w:rPr>
                <w:rFonts w:cs="Arial"/>
                <w:color w:val="000000"/>
                <w:sz w:val="15"/>
                <w:szCs w:val="15"/>
              </w:rPr>
              <w:t>.</w:t>
            </w:r>
            <w:r w:rsidRPr="003003C0">
              <w:rPr>
                <w:rFonts w:cs="Arial"/>
                <w:color w:val="000000"/>
                <w:sz w:val="15"/>
                <w:szCs w:val="15"/>
              </w:rPr>
              <w:t>5</w:t>
            </w:r>
          </w:p>
        </w:tc>
      </w:tr>
      <w:tr w:rsidR="004F64EF" w:rsidRPr="003003C0" w14:paraId="73A31084" w14:textId="77777777" w:rsidTr="00FD6B66">
        <w:trPr>
          <w:cnfStyle w:val="000000010000" w:firstRow="0" w:lastRow="0" w:firstColumn="0" w:lastColumn="0" w:oddVBand="0" w:evenVBand="0" w:oddHBand="0" w:evenHBand="1" w:firstRowFirstColumn="0" w:firstRowLastColumn="0" w:lastRowFirstColumn="0" w:lastRowLastColumn="0"/>
          <w:trHeight w:val="20"/>
        </w:trPr>
        <w:tc>
          <w:tcPr>
            <w:tcW w:w="3681" w:type="dxa"/>
            <w:noWrap/>
            <w:vAlign w:val="center"/>
            <w:hideMark/>
          </w:tcPr>
          <w:p w14:paraId="19B938FD" w14:textId="77777777" w:rsidR="004F64EF" w:rsidRPr="003003C0" w:rsidRDefault="004F64EF" w:rsidP="00A1158A">
            <w:pPr>
              <w:jc w:val="left"/>
              <w:rPr>
                <w:rFonts w:cs="Arial"/>
                <w:color w:val="000000"/>
                <w:sz w:val="15"/>
                <w:szCs w:val="15"/>
              </w:rPr>
            </w:pPr>
            <w:r w:rsidRPr="003003C0">
              <w:rPr>
                <w:rFonts w:cs="Arial"/>
                <w:color w:val="000000"/>
                <w:sz w:val="15"/>
                <w:szCs w:val="15"/>
              </w:rPr>
              <w:t xml:space="preserve">12 - </w:t>
            </w:r>
            <w:r>
              <w:rPr>
                <w:rFonts w:cs="Arial"/>
                <w:color w:val="000000"/>
                <w:sz w:val="15"/>
                <w:szCs w:val="15"/>
              </w:rPr>
              <w:t>F</w:t>
            </w:r>
            <w:r w:rsidRPr="00A1158A">
              <w:rPr>
                <w:rFonts w:cs="Arial"/>
                <w:color w:val="000000"/>
                <w:sz w:val="15"/>
                <w:szCs w:val="15"/>
              </w:rPr>
              <w:t>ootwear, headgear, umbrellas, sun umbrellas,</w:t>
            </w:r>
            <w:r>
              <w:rPr>
                <w:rFonts w:cs="Arial"/>
                <w:color w:val="000000"/>
                <w:sz w:val="15"/>
                <w:szCs w:val="15"/>
              </w:rPr>
              <w:t xml:space="preserve"> </w:t>
            </w:r>
            <w:r w:rsidRPr="00A1158A">
              <w:rPr>
                <w:rFonts w:cs="Arial"/>
                <w:color w:val="000000"/>
                <w:sz w:val="15"/>
                <w:szCs w:val="15"/>
              </w:rPr>
              <w:t>walking-sticks, seat-sticks, whips, riding-crops and</w:t>
            </w:r>
            <w:r>
              <w:rPr>
                <w:rFonts w:cs="Arial"/>
                <w:color w:val="000000"/>
                <w:sz w:val="15"/>
                <w:szCs w:val="15"/>
              </w:rPr>
              <w:t xml:space="preserve"> </w:t>
            </w:r>
            <w:r w:rsidRPr="00A1158A">
              <w:rPr>
                <w:rFonts w:cs="Arial"/>
                <w:color w:val="000000"/>
                <w:sz w:val="15"/>
                <w:szCs w:val="15"/>
              </w:rPr>
              <w:t>parts thereof; prepared feathers and articles made</w:t>
            </w:r>
            <w:r>
              <w:rPr>
                <w:rFonts w:cs="Arial"/>
                <w:color w:val="000000"/>
                <w:sz w:val="15"/>
                <w:szCs w:val="15"/>
              </w:rPr>
              <w:t xml:space="preserve"> </w:t>
            </w:r>
            <w:r w:rsidRPr="00A1158A">
              <w:rPr>
                <w:rFonts w:cs="Arial"/>
                <w:color w:val="000000"/>
                <w:sz w:val="15"/>
                <w:szCs w:val="15"/>
              </w:rPr>
              <w:t>therewith</w:t>
            </w:r>
          </w:p>
        </w:tc>
        <w:tc>
          <w:tcPr>
            <w:tcW w:w="764" w:type="dxa"/>
            <w:noWrap/>
            <w:vAlign w:val="center"/>
            <w:hideMark/>
          </w:tcPr>
          <w:p w14:paraId="71CBFE60" w14:textId="77777777" w:rsidR="004F64EF" w:rsidRPr="003003C0" w:rsidRDefault="004F64EF" w:rsidP="00FD6B66">
            <w:pPr>
              <w:jc w:val="right"/>
              <w:rPr>
                <w:rFonts w:cs="Arial"/>
                <w:color w:val="000000"/>
                <w:sz w:val="15"/>
                <w:szCs w:val="15"/>
              </w:rPr>
            </w:pPr>
            <w:r w:rsidRPr="003003C0">
              <w:rPr>
                <w:rFonts w:cs="Arial"/>
                <w:color w:val="000000"/>
                <w:sz w:val="15"/>
                <w:szCs w:val="15"/>
              </w:rPr>
              <w:t>0</w:t>
            </w:r>
            <w:r>
              <w:rPr>
                <w:rFonts w:cs="Arial"/>
                <w:color w:val="000000"/>
                <w:sz w:val="15"/>
                <w:szCs w:val="15"/>
              </w:rPr>
              <w:t>.</w:t>
            </w:r>
            <w:r w:rsidRPr="003003C0">
              <w:rPr>
                <w:rFonts w:cs="Arial"/>
                <w:color w:val="000000"/>
                <w:sz w:val="15"/>
                <w:szCs w:val="15"/>
              </w:rPr>
              <w:t>3</w:t>
            </w:r>
          </w:p>
        </w:tc>
        <w:tc>
          <w:tcPr>
            <w:tcW w:w="764" w:type="dxa"/>
            <w:noWrap/>
            <w:vAlign w:val="center"/>
            <w:hideMark/>
          </w:tcPr>
          <w:p w14:paraId="39EA991E" w14:textId="77777777" w:rsidR="004F64EF" w:rsidRPr="003003C0" w:rsidRDefault="004F64EF" w:rsidP="00FD6B66">
            <w:pPr>
              <w:jc w:val="right"/>
              <w:rPr>
                <w:rFonts w:cs="Arial"/>
                <w:color w:val="000000"/>
                <w:sz w:val="15"/>
                <w:szCs w:val="15"/>
              </w:rPr>
            </w:pPr>
            <w:r w:rsidRPr="003003C0">
              <w:rPr>
                <w:rFonts w:cs="Arial"/>
                <w:color w:val="000000"/>
                <w:sz w:val="15"/>
                <w:szCs w:val="15"/>
              </w:rPr>
              <w:t>0</w:t>
            </w:r>
            <w:r>
              <w:rPr>
                <w:rFonts w:cs="Arial"/>
                <w:color w:val="000000"/>
                <w:sz w:val="15"/>
                <w:szCs w:val="15"/>
              </w:rPr>
              <w:t>.</w:t>
            </w:r>
            <w:r w:rsidRPr="003003C0">
              <w:rPr>
                <w:rFonts w:cs="Arial"/>
                <w:color w:val="000000"/>
                <w:sz w:val="15"/>
                <w:szCs w:val="15"/>
              </w:rPr>
              <w:t>2</w:t>
            </w:r>
          </w:p>
        </w:tc>
        <w:tc>
          <w:tcPr>
            <w:tcW w:w="764" w:type="dxa"/>
            <w:noWrap/>
            <w:vAlign w:val="center"/>
            <w:hideMark/>
          </w:tcPr>
          <w:p w14:paraId="7800F1A1" w14:textId="77777777" w:rsidR="004F64EF" w:rsidRPr="003003C0" w:rsidRDefault="004F64EF" w:rsidP="00FD6B66">
            <w:pPr>
              <w:jc w:val="right"/>
              <w:rPr>
                <w:rFonts w:cs="Arial"/>
                <w:color w:val="000000"/>
                <w:sz w:val="15"/>
                <w:szCs w:val="15"/>
              </w:rPr>
            </w:pPr>
            <w:r w:rsidRPr="003003C0">
              <w:rPr>
                <w:rFonts w:cs="Arial"/>
                <w:color w:val="000000"/>
                <w:sz w:val="15"/>
                <w:szCs w:val="15"/>
              </w:rPr>
              <w:t>0</w:t>
            </w:r>
            <w:r>
              <w:rPr>
                <w:rFonts w:cs="Arial"/>
                <w:color w:val="000000"/>
                <w:sz w:val="15"/>
                <w:szCs w:val="15"/>
              </w:rPr>
              <w:t>.</w:t>
            </w:r>
            <w:r w:rsidRPr="003003C0">
              <w:rPr>
                <w:rFonts w:cs="Arial"/>
                <w:color w:val="000000"/>
                <w:sz w:val="15"/>
                <w:szCs w:val="15"/>
              </w:rPr>
              <w:t>2</w:t>
            </w:r>
          </w:p>
        </w:tc>
        <w:tc>
          <w:tcPr>
            <w:tcW w:w="764" w:type="dxa"/>
            <w:noWrap/>
            <w:vAlign w:val="center"/>
            <w:hideMark/>
          </w:tcPr>
          <w:p w14:paraId="5742B69B" w14:textId="77777777" w:rsidR="004F64EF" w:rsidRPr="003003C0" w:rsidRDefault="004F64EF" w:rsidP="00FD6B66">
            <w:pPr>
              <w:jc w:val="right"/>
              <w:rPr>
                <w:rFonts w:cs="Arial"/>
                <w:color w:val="000000"/>
                <w:sz w:val="15"/>
                <w:szCs w:val="15"/>
              </w:rPr>
            </w:pPr>
            <w:r w:rsidRPr="003003C0">
              <w:rPr>
                <w:rFonts w:cs="Arial"/>
                <w:color w:val="000000"/>
                <w:sz w:val="15"/>
                <w:szCs w:val="15"/>
              </w:rPr>
              <w:t>0</w:t>
            </w:r>
            <w:r>
              <w:rPr>
                <w:rFonts w:cs="Arial"/>
                <w:color w:val="000000"/>
                <w:sz w:val="15"/>
                <w:szCs w:val="15"/>
              </w:rPr>
              <w:t>.</w:t>
            </w:r>
            <w:r w:rsidRPr="003003C0">
              <w:rPr>
                <w:rFonts w:cs="Arial"/>
                <w:color w:val="000000"/>
                <w:sz w:val="15"/>
                <w:szCs w:val="15"/>
              </w:rPr>
              <w:t>2</w:t>
            </w:r>
          </w:p>
        </w:tc>
        <w:tc>
          <w:tcPr>
            <w:tcW w:w="764" w:type="dxa"/>
            <w:noWrap/>
            <w:vAlign w:val="center"/>
            <w:hideMark/>
          </w:tcPr>
          <w:p w14:paraId="356441BC" w14:textId="77777777" w:rsidR="004F64EF" w:rsidRPr="003003C0" w:rsidRDefault="004F64EF" w:rsidP="00FD6B66">
            <w:pPr>
              <w:jc w:val="right"/>
              <w:rPr>
                <w:rFonts w:cs="Arial"/>
                <w:color w:val="000000"/>
                <w:sz w:val="15"/>
                <w:szCs w:val="15"/>
              </w:rPr>
            </w:pPr>
            <w:r w:rsidRPr="003003C0">
              <w:rPr>
                <w:rFonts w:cs="Arial"/>
                <w:color w:val="000000"/>
                <w:sz w:val="15"/>
                <w:szCs w:val="15"/>
              </w:rPr>
              <w:t>0</w:t>
            </w:r>
            <w:r>
              <w:rPr>
                <w:rFonts w:cs="Arial"/>
                <w:color w:val="000000"/>
                <w:sz w:val="15"/>
                <w:szCs w:val="15"/>
              </w:rPr>
              <w:t>.</w:t>
            </w:r>
            <w:r w:rsidRPr="003003C0">
              <w:rPr>
                <w:rFonts w:cs="Arial"/>
                <w:color w:val="000000"/>
                <w:sz w:val="15"/>
                <w:szCs w:val="15"/>
              </w:rPr>
              <w:t>1</w:t>
            </w:r>
          </w:p>
        </w:tc>
        <w:tc>
          <w:tcPr>
            <w:tcW w:w="764" w:type="dxa"/>
            <w:noWrap/>
            <w:vAlign w:val="center"/>
            <w:hideMark/>
          </w:tcPr>
          <w:p w14:paraId="623A9293" w14:textId="77777777" w:rsidR="004F64EF" w:rsidRPr="003003C0" w:rsidRDefault="004F64EF" w:rsidP="00FD6B66">
            <w:pPr>
              <w:jc w:val="right"/>
              <w:rPr>
                <w:rFonts w:cs="Arial"/>
                <w:color w:val="000000"/>
                <w:sz w:val="15"/>
                <w:szCs w:val="15"/>
              </w:rPr>
            </w:pPr>
            <w:r w:rsidRPr="003003C0">
              <w:rPr>
                <w:rFonts w:cs="Arial"/>
                <w:color w:val="000000"/>
                <w:sz w:val="15"/>
                <w:szCs w:val="15"/>
              </w:rPr>
              <w:t>0</w:t>
            </w:r>
            <w:r>
              <w:rPr>
                <w:rFonts w:cs="Arial"/>
                <w:color w:val="000000"/>
                <w:sz w:val="15"/>
                <w:szCs w:val="15"/>
              </w:rPr>
              <w:t>.</w:t>
            </w:r>
            <w:r w:rsidRPr="003003C0">
              <w:rPr>
                <w:rFonts w:cs="Arial"/>
                <w:color w:val="000000"/>
                <w:sz w:val="15"/>
                <w:szCs w:val="15"/>
              </w:rPr>
              <w:t>2</w:t>
            </w:r>
          </w:p>
        </w:tc>
        <w:tc>
          <w:tcPr>
            <w:tcW w:w="764" w:type="dxa"/>
            <w:noWrap/>
            <w:vAlign w:val="center"/>
            <w:hideMark/>
          </w:tcPr>
          <w:p w14:paraId="7C1603F7" w14:textId="77777777" w:rsidR="004F64EF" w:rsidRPr="003003C0" w:rsidRDefault="004F64EF" w:rsidP="00FD6B66">
            <w:pPr>
              <w:jc w:val="right"/>
              <w:rPr>
                <w:rFonts w:cs="Arial"/>
                <w:color w:val="000000"/>
                <w:sz w:val="15"/>
                <w:szCs w:val="15"/>
              </w:rPr>
            </w:pPr>
            <w:r w:rsidRPr="003003C0">
              <w:rPr>
                <w:rFonts w:cs="Arial"/>
                <w:color w:val="000000"/>
                <w:sz w:val="15"/>
                <w:szCs w:val="15"/>
              </w:rPr>
              <w:t>0</w:t>
            </w:r>
            <w:r>
              <w:rPr>
                <w:rFonts w:cs="Arial"/>
                <w:color w:val="000000"/>
                <w:sz w:val="15"/>
                <w:szCs w:val="15"/>
              </w:rPr>
              <w:t>.</w:t>
            </w:r>
            <w:r w:rsidRPr="003003C0">
              <w:rPr>
                <w:rFonts w:cs="Arial"/>
                <w:color w:val="000000"/>
                <w:sz w:val="15"/>
                <w:szCs w:val="15"/>
              </w:rPr>
              <w:t>3</w:t>
            </w:r>
          </w:p>
        </w:tc>
      </w:tr>
      <w:tr w:rsidR="004F64EF" w:rsidRPr="003003C0" w14:paraId="72C9901A" w14:textId="77777777" w:rsidTr="00FD6B66">
        <w:trPr>
          <w:trHeight w:val="20"/>
        </w:trPr>
        <w:tc>
          <w:tcPr>
            <w:tcW w:w="3681" w:type="dxa"/>
            <w:noWrap/>
            <w:vAlign w:val="center"/>
            <w:hideMark/>
          </w:tcPr>
          <w:p w14:paraId="51BD8679" w14:textId="77777777" w:rsidR="004F64EF" w:rsidRPr="003003C0" w:rsidRDefault="004F64EF" w:rsidP="00FD6B66">
            <w:pPr>
              <w:jc w:val="left"/>
              <w:rPr>
                <w:rFonts w:cs="Arial"/>
                <w:color w:val="000000"/>
                <w:sz w:val="15"/>
                <w:szCs w:val="15"/>
              </w:rPr>
            </w:pPr>
            <w:r w:rsidRPr="003003C0">
              <w:rPr>
                <w:rFonts w:cs="Arial"/>
                <w:color w:val="000000"/>
                <w:sz w:val="15"/>
                <w:szCs w:val="15"/>
              </w:rPr>
              <w:t xml:space="preserve">13 - </w:t>
            </w:r>
            <w:r>
              <w:rPr>
                <w:rFonts w:cs="Arial"/>
                <w:color w:val="000000"/>
                <w:sz w:val="15"/>
                <w:szCs w:val="15"/>
              </w:rPr>
              <w:t>A</w:t>
            </w:r>
            <w:r w:rsidRPr="00A1158A">
              <w:rPr>
                <w:rFonts w:cs="Arial"/>
                <w:color w:val="000000"/>
                <w:sz w:val="15"/>
                <w:szCs w:val="15"/>
              </w:rPr>
              <w:t>rticles of stone, plaster, cement, asbestos, mica</w:t>
            </w:r>
            <w:r>
              <w:rPr>
                <w:rFonts w:cs="Arial"/>
                <w:color w:val="000000"/>
                <w:sz w:val="15"/>
                <w:szCs w:val="15"/>
              </w:rPr>
              <w:t xml:space="preserve"> </w:t>
            </w:r>
            <w:r w:rsidRPr="00A1158A">
              <w:rPr>
                <w:rFonts w:cs="Arial"/>
                <w:color w:val="000000"/>
                <w:sz w:val="15"/>
                <w:szCs w:val="15"/>
              </w:rPr>
              <w:t>or similar materials; ceramic products;</w:t>
            </w:r>
            <w:r>
              <w:rPr>
                <w:rFonts w:cs="Arial"/>
                <w:color w:val="000000"/>
                <w:sz w:val="15"/>
                <w:szCs w:val="15"/>
              </w:rPr>
              <w:t xml:space="preserve"> </w:t>
            </w:r>
            <w:r w:rsidRPr="00A1158A">
              <w:rPr>
                <w:rFonts w:cs="Arial"/>
                <w:color w:val="000000"/>
                <w:sz w:val="15"/>
                <w:szCs w:val="15"/>
              </w:rPr>
              <w:t>glass and glassware</w:t>
            </w:r>
          </w:p>
        </w:tc>
        <w:tc>
          <w:tcPr>
            <w:tcW w:w="764" w:type="dxa"/>
            <w:noWrap/>
            <w:vAlign w:val="center"/>
            <w:hideMark/>
          </w:tcPr>
          <w:p w14:paraId="6EDCA6CC" w14:textId="77777777" w:rsidR="004F64EF" w:rsidRPr="003003C0" w:rsidRDefault="004F64EF" w:rsidP="00FD6B66">
            <w:pPr>
              <w:jc w:val="right"/>
              <w:rPr>
                <w:rFonts w:cs="Arial"/>
                <w:color w:val="000000"/>
                <w:sz w:val="15"/>
                <w:szCs w:val="15"/>
              </w:rPr>
            </w:pPr>
            <w:r w:rsidRPr="003003C0">
              <w:rPr>
                <w:rFonts w:cs="Arial"/>
                <w:color w:val="000000"/>
                <w:sz w:val="15"/>
                <w:szCs w:val="15"/>
              </w:rPr>
              <w:t>0</w:t>
            </w:r>
            <w:r>
              <w:rPr>
                <w:rFonts w:cs="Arial"/>
                <w:color w:val="000000"/>
                <w:sz w:val="15"/>
                <w:szCs w:val="15"/>
              </w:rPr>
              <w:t>.</w:t>
            </w:r>
            <w:r w:rsidRPr="003003C0">
              <w:rPr>
                <w:rFonts w:cs="Arial"/>
                <w:color w:val="000000"/>
                <w:sz w:val="15"/>
                <w:szCs w:val="15"/>
              </w:rPr>
              <w:t>6</w:t>
            </w:r>
          </w:p>
        </w:tc>
        <w:tc>
          <w:tcPr>
            <w:tcW w:w="764" w:type="dxa"/>
            <w:noWrap/>
            <w:vAlign w:val="center"/>
            <w:hideMark/>
          </w:tcPr>
          <w:p w14:paraId="21F7CDF5" w14:textId="77777777" w:rsidR="004F64EF" w:rsidRPr="003003C0" w:rsidRDefault="004F64EF" w:rsidP="00FD6B66">
            <w:pPr>
              <w:jc w:val="right"/>
              <w:rPr>
                <w:rFonts w:cs="Arial"/>
                <w:color w:val="000000"/>
                <w:sz w:val="15"/>
                <w:szCs w:val="15"/>
              </w:rPr>
            </w:pPr>
            <w:r w:rsidRPr="003003C0">
              <w:rPr>
                <w:rFonts w:cs="Arial"/>
                <w:color w:val="000000"/>
                <w:sz w:val="15"/>
                <w:szCs w:val="15"/>
              </w:rPr>
              <w:t>0</w:t>
            </w:r>
            <w:r>
              <w:rPr>
                <w:rFonts w:cs="Arial"/>
                <w:color w:val="000000"/>
                <w:sz w:val="15"/>
                <w:szCs w:val="15"/>
              </w:rPr>
              <w:t>.</w:t>
            </w:r>
            <w:r w:rsidRPr="003003C0">
              <w:rPr>
                <w:rFonts w:cs="Arial"/>
                <w:color w:val="000000"/>
                <w:sz w:val="15"/>
                <w:szCs w:val="15"/>
              </w:rPr>
              <w:t>7</w:t>
            </w:r>
          </w:p>
        </w:tc>
        <w:tc>
          <w:tcPr>
            <w:tcW w:w="764" w:type="dxa"/>
            <w:noWrap/>
            <w:vAlign w:val="center"/>
            <w:hideMark/>
          </w:tcPr>
          <w:p w14:paraId="3AA4EE92" w14:textId="77777777" w:rsidR="004F64EF" w:rsidRPr="003003C0" w:rsidRDefault="004F64EF" w:rsidP="00FD6B66">
            <w:pPr>
              <w:jc w:val="right"/>
              <w:rPr>
                <w:rFonts w:cs="Arial"/>
                <w:color w:val="000000"/>
                <w:sz w:val="15"/>
                <w:szCs w:val="15"/>
              </w:rPr>
            </w:pPr>
            <w:r w:rsidRPr="003003C0">
              <w:rPr>
                <w:rFonts w:cs="Arial"/>
                <w:color w:val="000000"/>
                <w:sz w:val="15"/>
                <w:szCs w:val="15"/>
              </w:rPr>
              <w:t>0</w:t>
            </w:r>
            <w:r>
              <w:rPr>
                <w:rFonts w:cs="Arial"/>
                <w:color w:val="000000"/>
                <w:sz w:val="15"/>
                <w:szCs w:val="15"/>
              </w:rPr>
              <w:t>.</w:t>
            </w:r>
            <w:r w:rsidRPr="003003C0">
              <w:rPr>
                <w:rFonts w:cs="Arial"/>
                <w:color w:val="000000"/>
                <w:sz w:val="15"/>
                <w:szCs w:val="15"/>
              </w:rPr>
              <w:t>5</w:t>
            </w:r>
          </w:p>
        </w:tc>
        <w:tc>
          <w:tcPr>
            <w:tcW w:w="764" w:type="dxa"/>
            <w:noWrap/>
            <w:vAlign w:val="center"/>
            <w:hideMark/>
          </w:tcPr>
          <w:p w14:paraId="64612437" w14:textId="77777777" w:rsidR="004F64EF" w:rsidRPr="003003C0" w:rsidRDefault="004F64EF" w:rsidP="00FD6B66">
            <w:pPr>
              <w:jc w:val="right"/>
              <w:rPr>
                <w:rFonts w:cs="Arial"/>
                <w:color w:val="000000"/>
                <w:sz w:val="15"/>
                <w:szCs w:val="15"/>
              </w:rPr>
            </w:pPr>
            <w:r w:rsidRPr="003003C0">
              <w:rPr>
                <w:rFonts w:cs="Arial"/>
                <w:color w:val="000000"/>
                <w:sz w:val="15"/>
                <w:szCs w:val="15"/>
              </w:rPr>
              <w:t>0</w:t>
            </w:r>
            <w:r>
              <w:rPr>
                <w:rFonts w:cs="Arial"/>
                <w:color w:val="000000"/>
                <w:sz w:val="15"/>
                <w:szCs w:val="15"/>
              </w:rPr>
              <w:t>.</w:t>
            </w:r>
            <w:r w:rsidRPr="003003C0">
              <w:rPr>
                <w:rFonts w:cs="Arial"/>
                <w:color w:val="000000"/>
                <w:sz w:val="15"/>
                <w:szCs w:val="15"/>
              </w:rPr>
              <w:t>8</w:t>
            </w:r>
          </w:p>
        </w:tc>
        <w:tc>
          <w:tcPr>
            <w:tcW w:w="764" w:type="dxa"/>
            <w:noWrap/>
            <w:vAlign w:val="center"/>
            <w:hideMark/>
          </w:tcPr>
          <w:p w14:paraId="7DB72F43" w14:textId="77777777" w:rsidR="004F64EF" w:rsidRPr="003003C0" w:rsidRDefault="004F64EF" w:rsidP="00FD6B66">
            <w:pPr>
              <w:jc w:val="right"/>
              <w:rPr>
                <w:rFonts w:cs="Arial"/>
                <w:color w:val="000000"/>
                <w:sz w:val="15"/>
                <w:szCs w:val="15"/>
              </w:rPr>
            </w:pPr>
            <w:r w:rsidRPr="003003C0">
              <w:rPr>
                <w:rFonts w:cs="Arial"/>
                <w:color w:val="000000"/>
                <w:sz w:val="15"/>
                <w:szCs w:val="15"/>
              </w:rPr>
              <w:t>0</w:t>
            </w:r>
            <w:r>
              <w:rPr>
                <w:rFonts w:cs="Arial"/>
                <w:color w:val="000000"/>
                <w:sz w:val="15"/>
                <w:szCs w:val="15"/>
              </w:rPr>
              <w:t>.</w:t>
            </w:r>
            <w:r w:rsidRPr="003003C0">
              <w:rPr>
                <w:rFonts w:cs="Arial"/>
                <w:color w:val="000000"/>
                <w:sz w:val="15"/>
                <w:szCs w:val="15"/>
              </w:rPr>
              <w:t>9</w:t>
            </w:r>
          </w:p>
        </w:tc>
        <w:tc>
          <w:tcPr>
            <w:tcW w:w="764" w:type="dxa"/>
            <w:noWrap/>
            <w:vAlign w:val="center"/>
            <w:hideMark/>
          </w:tcPr>
          <w:p w14:paraId="779D2302" w14:textId="77777777" w:rsidR="004F64EF" w:rsidRPr="003003C0" w:rsidRDefault="004F64EF" w:rsidP="00FD6B66">
            <w:pPr>
              <w:jc w:val="right"/>
              <w:rPr>
                <w:rFonts w:cs="Arial"/>
                <w:color w:val="000000"/>
                <w:sz w:val="15"/>
                <w:szCs w:val="15"/>
              </w:rPr>
            </w:pPr>
            <w:r w:rsidRPr="003003C0">
              <w:rPr>
                <w:rFonts w:cs="Arial"/>
                <w:color w:val="000000"/>
                <w:sz w:val="15"/>
                <w:szCs w:val="15"/>
              </w:rPr>
              <w:t>0</w:t>
            </w:r>
            <w:r>
              <w:rPr>
                <w:rFonts w:cs="Arial"/>
                <w:color w:val="000000"/>
                <w:sz w:val="15"/>
                <w:szCs w:val="15"/>
              </w:rPr>
              <w:t>.</w:t>
            </w:r>
            <w:r w:rsidRPr="003003C0">
              <w:rPr>
                <w:rFonts w:cs="Arial"/>
                <w:color w:val="000000"/>
                <w:sz w:val="15"/>
                <w:szCs w:val="15"/>
              </w:rPr>
              <w:t>7</w:t>
            </w:r>
          </w:p>
        </w:tc>
        <w:tc>
          <w:tcPr>
            <w:tcW w:w="764" w:type="dxa"/>
            <w:noWrap/>
            <w:vAlign w:val="center"/>
            <w:hideMark/>
          </w:tcPr>
          <w:p w14:paraId="625505BA" w14:textId="77777777" w:rsidR="004F64EF" w:rsidRPr="003003C0" w:rsidRDefault="004F64EF" w:rsidP="00FD6B66">
            <w:pPr>
              <w:jc w:val="right"/>
              <w:rPr>
                <w:rFonts w:cs="Arial"/>
                <w:color w:val="000000"/>
                <w:sz w:val="15"/>
                <w:szCs w:val="15"/>
              </w:rPr>
            </w:pPr>
            <w:r w:rsidRPr="003003C0">
              <w:rPr>
                <w:rFonts w:cs="Arial"/>
                <w:color w:val="000000"/>
                <w:sz w:val="15"/>
                <w:szCs w:val="15"/>
              </w:rPr>
              <w:t>0</w:t>
            </w:r>
            <w:r>
              <w:rPr>
                <w:rFonts w:cs="Arial"/>
                <w:color w:val="000000"/>
                <w:sz w:val="15"/>
                <w:szCs w:val="15"/>
              </w:rPr>
              <w:t>.</w:t>
            </w:r>
            <w:r w:rsidRPr="003003C0">
              <w:rPr>
                <w:rFonts w:cs="Arial"/>
                <w:color w:val="000000"/>
                <w:sz w:val="15"/>
                <w:szCs w:val="15"/>
              </w:rPr>
              <w:t>8</w:t>
            </w:r>
          </w:p>
        </w:tc>
      </w:tr>
      <w:tr w:rsidR="004F64EF" w:rsidRPr="003003C0" w14:paraId="42584FEC" w14:textId="77777777" w:rsidTr="00FD6B66">
        <w:trPr>
          <w:cnfStyle w:val="000000010000" w:firstRow="0" w:lastRow="0" w:firstColumn="0" w:lastColumn="0" w:oddVBand="0" w:evenVBand="0" w:oddHBand="0" w:evenHBand="1" w:firstRowFirstColumn="0" w:firstRowLastColumn="0" w:lastRowFirstColumn="0" w:lastRowLastColumn="0"/>
          <w:trHeight w:val="20"/>
        </w:trPr>
        <w:tc>
          <w:tcPr>
            <w:tcW w:w="3681" w:type="dxa"/>
            <w:noWrap/>
            <w:vAlign w:val="center"/>
            <w:hideMark/>
          </w:tcPr>
          <w:p w14:paraId="39AA25FD" w14:textId="77777777" w:rsidR="004F64EF" w:rsidRPr="003003C0" w:rsidRDefault="004F64EF" w:rsidP="00FD6B66">
            <w:pPr>
              <w:tabs>
                <w:tab w:val="left" w:pos="170"/>
              </w:tabs>
              <w:jc w:val="left"/>
              <w:rPr>
                <w:rFonts w:cs="Arial"/>
                <w:color w:val="000000"/>
                <w:sz w:val="15"/>
                <w:szCs w:val="15"/>
              </w:rPr>
            </w:pPr>
            <w:r w:rsidRPr="003003C0">
              <w:rPr>
                <w:rFonts w:cs="Arial"/>
                <w:color w:val="000000"/>
                <w:sz w:val="15"/>
                <w:szCs w:val="15"/>
              </w:rPr>
              <w:tab/>
              <w:t xml:space="preserve">69. </w:t>
            </w:r>
            <w:r w:rsidRPr="00A1158A">
              <w:rPr>
                <w:rFonts w:cs="Arial"/>
                <w:color w:val="000000"/>
                <w:sz w:val="15"/>
                <w:szCs w:val="15"/>
              </w:rPr>
              <w:t>Ceramic products</w:t>
            </w:r>
          </w:p>
        </w:tc>
        <w:tc>
          <w:tcPr>
            <w:tcW w:w="764" w:type="dxa"/>
            <w:noWrap/>
            <w:vAlign w:val="center"/>
            <w:hideMark/>
          </w:tcPr>
          <w:p w14:paraId="4F802E28" w14:textId="77777777" w:rsidR="004F64EF" w:rsidRPr="003003C0" w:rsidRDefault="004F64EF" w:rsidP="00FD6B66">
            <w:pPr>
              <w:jc w:val="right"/>
              <w:rPr>
                <w:rFonts w:cs="Arial"/>
                <w:color w:val="000000"/>
                <w:sz w:val="15"/>
                <w:szCs w:val="15"/>
              </w:rPr>
            </w:pPr>
            <w:r w:rsidRPr="003003C0">
              <w:rPr>
                <w:rFonts w:cs="Arial"/>
                <w:color w:val="000000"/>
                <w:sz w:val="15"/>
                <w:szCs w:val="15"/>
              </w:rPr>
              <w:t>0</w:t>
            </w:r>
            <w:r>
              <w:rPr>
                <w:rFonts w:cs="Arial"/>
                <w:color w:val="000000"/>
                <w:sz w:val="15"/>
                <w:szCs w:val="15"/>
              </w:rPr>
              <w:t>.</w:t>
            </w:r>
            <w:r w:rsidRPr="003003C0">
              <w:rPr>
                <w:rFonts w:cs="Arial"/>
                <w:color w:val="000000"/>
                <w:sz w:val="15"/>
                <w:szCs w:val="15"/>
              </w:rPr>
              <w:t>1</w:t>
            </w:r>
          </w:p>
        </w:tc>
        <w:tc>
          <w:tcPr>
            <w:tcW w:w="764" w:type="dxa"/>
            <w:noWrap/>
            <w:vAlign w:val="center"/>
            <w:hideMark/>
          </w:tcPr>
          <w:p w14:paraId="037786CE" w14:textId="77777777" w:rsidR="004F64EF" w:rsidRPr="003003C0" w:rsidRDefault="004F64EF" w:rsidP="00FD6B66">
            <w:pPr>
              <w:jc w:val="right"/>
              <w:rPr>
                <w:rFonts w:cs="Arial"/>
                <w:color w:val="000000"/>
                <w:sz w:val="15"/>
                <w:szCs w:val="15"/>
              </w:rPr>
            </w:pPr>
            <w:r w:rsidRPr="003003C0">
              <w:rPr>
                <w:rFonts w:cs="Arial"/>
                <w:color w:val="000000"/>
                <w:sz w:val="15"/>
                <w:szCs w:val="15"/>
              </w:rPr>
              <w:t>0</w:t>
            </w:r>
            <w:r>
              <w:rPr>
                <w:rFonts w:cs="Arial"/>
                <w:color w:val="000000"/>
                <w:sz w:val="15"/>
                <w:szCs w:val="15"/>
              </w:rPr>
              <w:t>.</w:t>
            </w:r>
            <w:r w:rsidRPr="003003C0">
              <w:rPr>
                <w:rFonts w:cs="Arial"/>
                <w:color w:val="000000"/>
                <w:sz w:val="15"/>
                <w:szCs w:val="15"/>
              </w:rPr>
              <w:t>2</w:t>
            </w:r>
          </w:p>
        </w:tc>
        <w:tc>
          <w:tcPr>
            <w:tcW w:w="764" w:type="dxa"/>
            <w:noWrap/>
            <w:vAlign w:val="center"/>
            <w:hideMark/>
          </w:tcPr>
          <w:p w14:paraId="1B7B513F" w14:textId="77777777" w:rsidR="004F64EF" w:rsidRPr="003003C0" w:rsidRDefault="004F64EF" w:rsidP="00FD6B66">
            <w:pPr>
              <w:jc w:val="right"/>
              <w:rPr>
                <w:rFonts w:cs="Arial"/>
                <w:color w:val="000000"/>
                <w:sz w:val="15"/>
                <w:szCs w:val="15"/>
              </w:rPr>
            </w:pPr>
            <w:r w:rsidRPr="003003C0">
              <w:rPr>
                <w:rFonts w:cs="Arial"/>
                <w:color w:val="000000"/>
                <w:sz w:val="15"/>
                <w:szCs w:val="15"/>
              </w:rPr>
              <w:t>0</w:t>
            </w:r>
            <w:r>
              <w:rPr>
                <w:rFonts w:cs="Arial"/>
                <w:color w:val="000000"/>
                <w:sz w:val="15"/>
                <w:szCs w:val="15"/>
              </w:rPr>
              <w:t>.</w:t>
            </w:r>
            <w:r w:rsidRPr="003003C0">
              <w:rPr>
                <w:rFonts w:cs="Arial"/>
                <w:color w:val="000000"/>
                <w:sz w:val="15"/>
                <w:szCs w:val="15"/>
              </w:rPr>
              <w:t>1</w:t>
            </w:r>
          </w:p>
        </w:tc>
        <w:tc>
          <w:tcPr>
            <w:tcW w:w="764" w:type="dxa"/>
            <w:noWrap/>
            <w:vAlign w:val="center"/>
            <w:hideMark/>
          </w:tcPr>
          <w:p w14:paraId="64E8B181" w14:textId="77777777" w:rsidR="004F64EF" w:rsidRPr="003003C0" w:rsidRDefault="004F64EF" w:rsidP="00FD6B66">
            <w:pPr>
              <w:jc w:val="right"/>
              <w:rPr>
                <w:rFonts w:cs="Arial"/>
                <w:color w:val="000000"/>
                <w:sz w:val="15"/>
                <w:szCs w:val="15"/>
              </w:rPr>
            </w:pPr>
            <w:r w:rsidRPr="003003C0">
              <w:rPr>
                <w:rFonts w:cs="Arial"/>
                <w:color w:val="000000"/>
                <w:sz w:val="15"/>
                <w:szCs w:val="15"/>
              </w:rPr>
              <w:t>0</w:t>
            </w:r>
            <w:r>
              <w:rPr>
                <w:rFonts w:cs="Arial"/>
                <w:color w:val="000000"/>
                <w:sz w:val="15"/>
                <w:szCs w:val="15"/>
              </w:rPr>
              <w:t>.</w:t>
            </w:r>
            <w:r w:rsidRPr="003003C0">
              <w:rPr>
                <w:rFonts w:cs="Arial"/>
                <w:color w:val="000000"/>
                <w:sz w:val="15"/>
                <w:szCs w:val="15"/>
              </w:rPr>
              <w:t>3</w:t>
            </w:r>
          </w:p>
        </w:tc>
        <w:tc>
          <w:tcPr>
            <w:tcW w:w="764" w:type="dxa"/>
            <w:noWrap/>
            <w:vAlign w:val="center"/>
            <w:hideMark/>
          </w:tcPr>
          <w:p w14:paraId="4DEE96FA" w14:textId="77777777" w:rsidR="004F64EF" w:rsidRPr="003003C0" w:rsidRDefault="004F64EF" w:rsidP="00FD6B66">
            <w:pPr>
              <w:jc w:val="right"/>
              <w:rPr>
                <w:rFonts w:cs="Arial"/>
                <w:color w:val="000000"/>
                <w:sz w:val="15"/>
                <w:szCs w:val="15"/>
              </w:rPr>
            </w:pPr>
            <w:r w:rsidRPr="003003C0">
              <w:rPr>
                <w:rFonts w:cs="Arial"/>
                <w:color w:val="000000"/>
                <w:sz w:val="15"/>
                <w:szCs w:val="15"/>
              </w:rPr>
              <w:t>0</w:t>
            </w:r>
            <w:r>
              <w:rPr>
                <w:rFonts w:cs="Arial"/>
                <w:color w:val="000000"/>
                <w:sz w:val="15"/>
                <w:szCs w:val="15"/>
              </w:rPr>
              <w:t>.</w:t>
            </w:r>
            <w:r w:rsidRPr="003003C0">
              <w:rPr>
                <w:rFonts w:cs="Arial"/>
                <w:color w:val="000000"/>
                <w:sz w:val="15"/>
                <w:szCs w:val="15"/>
              </w:rPr>
              <w:t>5</w:t>
            </w:r>
          </w:p>
        </w:tc>
        <w:tc>
          <w:tcPr>
            <w:tcW w:w="764" w:type="dxa"/>
            <w:noWrap/>
            <w:vAlign w:val="center"/>
            <w:hideMark/>
          </w:tcPr>
          <w:p w14:paraId="5522CAFD" w14:textId="77777777" w:rsidR="004F64EF" w:rsidRPr="003003C0" w:rsidRDefault="004F64EF" w:rsidP="00FD6B66">
            <w:pPr>
              <w:jc w:val="right"/>
              <w:rPr>
                <w:rFonts w:cs="Arial"/>
                <w:color w:val="000000"/>
                <w:sz w:val="15"/>
                <w:szCs w:val="15"/>
              </w:rPr>
            </w:pPr>
            <w:r w:rsidRPr="003003C0">
              <w:rPr>
                <w:rFonts w:cs="Arial"/>
                <w:color w:val="000000"/>
                <w:sz w:val="15"/>
                <w:szCs w:val="15"/>
              </w:rPr>
              <w:t>0</w:t>
            </w:r>
            <w:r>
              <w:rPr>
                <w:rFonts w:cs="Arial"/>
                <w:color w:val="000000"/>
                <w:sz w:val="15"/>
                <w:szCs w:val="15"/>
              </w:rPr>
              <w:t>.</w:t>
            </w:r>
            <w:r w:rsidRPr="003003C0">
              <w:rPr>
                <w:rFonts w:cs="Arial"/>
                <w:color w:val="000000"/>
                <w:sz w:val="15"/>
                <w:szCs w:val="15"/>
              </w:rPr>
              <w:t>4</w:t>
            </w:r>
          </w:p>
        </w:tc>
        <w:tc>
          <w:tcPr>
            <w:tcW w:w="764" w:type="dxa"/>
            <w:noWrap/>
            <w:vAlign w:val="center"/>
            <w:hideMark/>
          </w:tcPr>
          <w:p w14:paraId="32D22168" w14:textId="77777777" w:rsidR="004F64EF" w:rsidRPr="003003C0" w:rsidRDefault="004F64EF" w:rsidP="00FD6B66">
            <w:pPr>
              <w:jc w:val="right"/>
              <w:rPr>
                <w:rFonts w:cs="Arial"/>
                <w:color w:val="000000"/>
                <w:sz w:val="15"/>
                <w:szCs w:val="15"/>
              </w:rPr>
            </w:pPr>
            <w:r w:rsidRPr="003003C0">
              <w:rPr>
                <w:rFonts w:cs="Arial"/>
                <w:color w:val="000000"/>
                <w:sz w:val="15"/>
                <w:szCs w:val="15"/>
              </w:rPr>
              <w:t>0</w:t>
            </w:r>
            <w:r>
              <w:rPr>
                <w:rFonts w:cs="Arial"/>
                <w:color w:val="000000"/>
                <w:sz w:val="15"/>
                <w:szCs w:val="15"/>
              </w:rPr>
              <w:t>.</w:t>
            </w:r>
            <w:r w:rsidRPr="003003C0">
              <w:rPr>
                <w:rFonts w:cs="Arial"/>
                <w:color w:val="000000"/>
                <w:sz w:val="15"/>
                <w:szCs w:val="15"/>
              </w:rPr>
              <w:t>4</w:t>
            </w:r>
          </w:p>
        </w:tc>
      </w:tr>
      <w:tr w:rsidR="004F64EF" w:rsidRPr="003003C0" w14:paraId="770ABC19" w14:textId="77777777" w:rsidTr="00FD6B66">
        <w:trPr>
          <w:trHeight w:val="20"/>
        </w:trPr>
        <w:tc>
          <w:tcPr>
            <w:tcW w:w="3681" w:type="dxa"/>
            <w:noWrap/>
            <w:vAlign w:val="center"/>
            <w:hideMark/>
          </w:tcPr>
          <w:p w14:paraId="50FEF2F7" w14:textId="77777777" w:rsidR="004F64EF" w:rsidRPr="003003C0" w:rsidRDefault="004F64EF" w:rsidP="00A371B5">
            <w:pPr>
              <w:jc w:val="left"/>
              <w:rPr>
                <w:rFonts w:cs="Arial"/>
                <w:color w:val="000000"/>
                <w:sz w:val="15"/>
                <w:szCs w:val="15"/>
              </w:rPr>
            </w:pPr>
            <w:r w:rsidRPr="003003C0">
              <w:rPr>
                <w:rFonts w:cs="Arial"/>
                <w:color w:val="000000"/>
                <w:sz w:val="15"/>
                <w:szCs w:val="15"/>
              </w:rPr>
              <w:lastRenderedPageBreak/>
              <w:t xml:space="preserve">14 - </w:t>
            </w:r>
            <w:r>
              <w:rPr>
                <w:rFonts w:cs="Arial"/>
                <w:color w:val="000000"/>
                <w:sz w:val="15"/>
                <w:szCs w:val="15"/>
              </w:rPr>
              <w:t>N</w:t>
            </w:r>
            <w:r w:rsidRPr="00A371B5">
              <w:rPr>
                <w:rFonts w:cs="Arial"/>
                <w:color w:val="000000"/>
                <w:sz w:val="15"/>
                <w:szCs w:val="15"/>
              </w:rPr>
              <w:t>atural or cultured pearls, precious or semi-precious</w:t>
            </w:r>
            <w:r>
              <w:rPr>
                <w:rFonts w:cs="Arial"/>
                <w:color w:val="000000"/>
                <w:sz w:val="15"/>
                <w:szCs w:val="15"/>
              </w:rPr>
              <w:t xml:space="preserve"> </w:t>
            </w:r>
            <w:r w:rsidRPr="00A371B5">
              <w:rPr>
                <w:rFonts w:cs="Arial"/>
                <w:color w:val="000000"/>
                <w:sz w:val="15"/>
                <w:szCs w:val="15"/>
              </w:rPr>
              <w:t>stones, precious metals</w:t>
            </w:r>
          </w:p>
        </w:tc>
        <w:tc>
          <w:tcPr>
            <w:tcW w:w="764" w:type="dxa"/>
            <w:noWrap/>
            <w:vAlign w:val="center"/>
            <w:hideMark/>
          </w:tcPr>
          <w:p w14:paraId="5FBBCC97" w14:textId="77777777" w:rsidR="004F64EF" w:rsidRPr="003003C0" w:rsidRDefault="004F64EF" w:rsidP="00FD6B66">
            <w:pPr>
              <w:jc w:val="right"/>
              <w:rPr>
                <w:rFonts w:cs="Arial"/>
                <w:color w:val="000000"/>
                <w:sz w:val="15"/>
                <w:szCs w:val="15"/>
              </w:rPr>
            </w:pPr>
            <w:r w:rsidRPr="003003C0">
              <w:rPr>
                <w:rFonts w:cs="Arial"/>
                <w:color w:val="000000"/>
                <w:sz w:val="15"/>
                <w:szCs w:val="15"/>
              </w:rPr>
              <w:t>32</w:t>
            </w:r>
            <w:r>
              <w:rPr>
                <w:rFonts w:cs="Arial"/>
                <w:color w:val="000000"/>
                <w:sz w:val="15"/>
                <w:szCs w:val="15"/>
              </w:rPr>
              <w:t>.</w:t>
            </w:r>
            <w:r w:rsidRPr="003003C0">
              <w:rPr>
                <w:rFonts w:cs="Arial"/>
                <w:color w:val="000000"/>
                <w:sz w:val="15"/>
                <w:szCs w:val="15"/>
              </w:rPr>
              <w:t>0</w:t>
            </w:r>
          </w:p>
        </w:tc>
        <w:tc>
          <w:tcPr>
            <w:tcW w:w="764" w:type="dxa"/>
            <w:noWrap/>
            <w:vAlign w:val="center"/>
            <w:hideMark/>
          </w:tcPr>
          <w:p w14:paraId="42A4950C" w14:textId="77777777" w:rsidR="004F64EF" w:rsidRPr="003003C0" w:rsidRDefault="004F64EF" w:rsidP="00FD6B66">
            <w:pPr>
              <w:jc w:val="right"/>
              <w:rPr>
                <w:rFonts w:cs="Arial"/>
                <w:color w:val="000000"/>
                <w:sz w:val="15"/>
                <w:szCs w:val="15"/>
              </w:rPr>
            </w:pPr>
            <w:r w:rsidRPr="003003C0">
              <w:rPr>
                <w:rFonts w:cs="Arial"/>
                <w:color w:val="000000"/>
                <w:sz w:val="15"/>
                <w:szCs w:val="15"/>
              </w:rPr>
              <w:t>37</w:t>
            </w:r>
            <w:r>
              <w:rPr>
                <w:rFonts w:cs="Arial"/>
                <w:color w:val="000000"/>
                <w:sz w:val="15"/>
                <w:szCs w:val="15"/>
              </w:rPr>
              <w:t>.</w:t>
            </w:r>
            <w:r w:rsidRPr="003003C0">
              <w:rPr>
                <w:rFonts w:cs="Arial"/>
                <w:color w:val="000000"/>
                <w:sz w:val="15"/>
                <w:szCs w:val="15"/>
              </w:rPr>
              <w:t>2</w:t>
            </w:r>
          </w:p>
        </w:tc>
        <w:tc>
          <w:tcPr>
            <w:tcW w:w="764" w:type="dxa"/>
            <w:noWrap/>
            <w:vAlign w:val="center"/>
            <w:hideMark/>
          </w:tcPr>
          <w:p w14:paraId="3EF6BF2E" w14:textId="77777777" w:rsidR="004F64EF" w:rsidRPr="003003C0" w:rsidRDefault="004F64EF" w:rsidP="00FD6B66">
            <w:pPr>
              <w:jc w:val="right"/>
              <w:rPr>
                <w:rFonts w:cs="Arial"/>
                <w:color w:val="000000"/>
                <w:sz w:val="15"/>
                <w:szCs w:val="15"/>
              </w:rPr>
            </w:pPr>
            <w:r w:rsidRPr="003003C0">
              <w:rPr>
                <w:rFonts w:cs="Arial"/>
                <w:color w:val="000000"/>
                <w:sz w:val="15"/>
                <w:szCs w:val="15"/>
              </w:rPr>
              <w:t>34</w:t>
            </w:r>
            <w:r>
              <w:rPr>
                <w:rFonts w:cs="Arial"/>
                <w:color w:val="000000"/>
                <w:sz w:val="15"/>
                <w:szCs w:val="15"/>
              </w:rPr>
              <w:t>.</w:t>
            </w:r>
            <w:r w:rsidRPr="003003C0">
              <w:rPr>
                <w:rFonts w:cs="Arial"/>
                <w:color w:val="000000"/>
                <w:sz w:val="15"/>
                <w:szCs w:val="15"/>
              </w:rPr>
              <w:t>6</w:t>
            </w:r>
          </w:p>
        </w:tc>
        <w:tc>
          <w:tcPr>
            <w:tcW w:w="764" w:type="dxa"/>
            <w:noWrap/>
            <w:vAlign w:val="center"/>
            <w:hideMark/>
          </w:tcPr>
          <w:p w14:paraId="1B112F0A" w14:textId="77777777" w:rsidR="004F64EF" w:rsidRPr="003003C0" w:rsidRDefault="004F64EF" w:rsidP="00FD6B66">
            <w:pPr>
              <w:jc w:val="right"/>
              <w:rPr>
                <w:rFonts w:cs="Arial"/>
                <w:color w:val="000000"/>
                <w:sz w:val="15"/>
                <w:szCs w:val="15"/>
              </w:rPr>
            </w:pPr>
            <w:r w:rsidRPr="003003C0">
              <w:rPr>
                <w:rFonts w:cs="Arial"/>
                <w:color w:val="000000"/>
                <w:sz w:val="15"/>
                <w:szCs w:val="15"/>
              </w:rPr>
              <w:t>31</w:t>
            </w:r>
            <w:r>
              <w:rPr>
                <w:rFonts w:cs="Arial"/>
                <w:color w:val="000000"/>
                <w:sz w:val="15"/>
                <w:szCs w:val="15"/>
              </w:rPr>
              <w:t>.</w:t>
            </w:r>
            <w:r w:rsidRPr="003003C0">
              <w:rPr>
                <w:rFonts w:cs="Arial"/>
                <w:color w:val="000000"/>
                <w:sz w:val="15"/>
                <w:szCs w:val="15"/>
              </w:rPr>
              <w:t>3</w:t>
            </w:r>
          </w:p>
        </w:tc>
        <w:tc>
          <w:tcPr>
            <w:tcW w:w="764" w:type="dxa"/>
            <w:noWrap/>
            <w:vAlign w:val="center"/>
            <w:hideMark/>
          </w:tcPr>
          <w:p w14:paraId="7D46589D" w14:textId="77777777" w:rsidR="004F64EF" w:rsidRPr="003003C0" w:rsidRDefault="004F64EF" w:rsidP="00FD6B66">
            <w:pPr>
              <w:jc w:val="right"/>
              <w:rPr>
                <w:rFonts w:cs="Arial"/>
                <w:color w:val="000000"/>
                <w:sz w:val="15"/>
                <w:szCs w:val="15"/>
              </w:rPr>
            </w:pPr>
            <w:r w:rsidRPr="003003C0">
              <w:rPr>
                <w:rFonts w:cs="Arial"/>
                <w:color w:val="000000"/>
                <w:sz w:val="15"/>
                <w:szCs w:val="15"/>
              </w:rPr>
              <w:t>32</w:t>
            </w:r>
            <w:r>
              <w:rPr>
                <w:rFonts w:cs="Arial"/>
                <w:color w:val="000000"/>
                <w:sz w:val="15"/>
                <w:szCs w:val="15"/>
              </w:rPr>
              <w:t>.</w:t>
            </w:r>
            <w:r w:rsidRPr="003003C0">
              <w:rPr>
                <w:rFonts w:cs="Arial"/>
                <w:color w:val="000000"/>
                <w:sz w:val="15"/>
                <w:szCs w:val="15"/>
              </w:rPr>
              <w:t>8</w:t>
            </w:r>
          </w:p>
        </w:tc>
        <w:tc>
          <w:tcPr>
            <w:tcW w:w="764" w:type="dxa"/>
            <w:noWrap/>
            <w:vAlign w:val="center"/>
            <w:hideMark/>
          </w:tcPr>
          <w:p w14:paraId="0EC271E7" w14:textId="77777777" w:rsidR="004F64EF" w:rsidRPr="003003C0" w:rsidRDefault="004F64EF" w:rsidP="00FD6B66">
            <w:pPr>
              <w:jc w:val="right"/>
              <w:rPr>
                <w:rFonts w:cs="Arial"/>
                <w:color w:val="000000"/>
                <w:sz w:val="15"/>
                <w:szCs w:val="15"/>
              </w:rPr>
            </w:pPr>
            <w:r w:rsidRPr="003003C0">
              <w:rPr>
                <w:rFonts w:cs="Arial"/>
                <w:color w:val="000000"/>
                <w:sz w:val="15"/>
                <w:szCs w:val="15"/>
              </w:rPr>
              <w:t>43</w:t>
            </w:r>
            <w:r>
              <w:rPr>
                <w:rFonts w:cs="Arial"/>
                <w:color w:val="000000"/>
                <w:sz w:val="15"/>
                <w:szCs w:val="15"/>
              </w:rPr>
              <w:t>.</w:t>
            </w:r>
            <w:r w:rsidRPr="003003C0">
              <w:rPr>
                <w:rFonts w:cs="Arial"/>
                <w:color w:val="000000"/>
                <w:sz w:val="15"/>
                <w:szCs w:val="15"/>
              </w:rPr>
              <w:t>8</w:t>
            </w:r>
          </w:p>
        </w:tc>
        <w:tc>
          <w:tcPr>
            <w:tcW w:w="764" w:type="dxa"/>
            <w:noWrap/>
            <w:vAlign w:val="center"/>
            <w:hideMark/>
          </w:tcPr>
          <w:p w14:paraId="54986FED" w14:textId="77777777" w:rsidR="004F64EF" w:rsidRPr="003003C0" w:rsidRDefault="004F64EF" w:rsidP="00FD6B66">
            <w:pPr>
              <w:jc w:val="right"/>
              <w:rPr>
                <w:rFonts w:cs="Arial"/>
                <w:color w:val="000000"/>
                <w:sz w:val="15"/>
                <w:szCs w:val="15"/>
              </w:rPr>
            </w:pPr>
            <w:r w:rsidRPr="003003C0">
              <w:rPr>
                <w:rFonts w:cs="Arial"/>
                <w:color w:val="000000"/>
                <w:sz w:val="15"/>
                <w:szCs w:val="15"/>
              </w:rPr>
              <w:t>38</w:t>
            </w:r>
            <w:r>
              <w:rPr>
                <w:rFonts w:cs="Arial"/>
                <w:color w:val="000000"/>
                <w:sz w:val="15"/>
                <w:szCs w:val="15"/>
              </w:rPr>
              <w:t>.</w:t>
            </w:r>
            <w:r w:rsidRPr="003003C0">
              <w:rPr>
                <w:rFonts w:cs="Arial"/>
                <w:color w:val="000000"/>
                <w:sz w:val="15"/>
                <w:szCs w:val="15"/>
              </w:rPr>
              <w:t>1</w:t>
            </w:r>
          </w:p>
        </w:tc>
      </w:tr>
      <w:tr w:rsidR="004F64EF" w:rsidRPr="003003C0" w14:paraId="0E13F9FC" w14:textId="77777777" w:rsidTr="00FD6B66">
        <w:trPr>
          <w:cnfStyle w:val="000000010000" w:firstRow="0" w:lastRow="0" w:firstColumn="0" w:lastColumn="0" w:oddVBand="0" w:evenVBand="0" w:oddHBand="0" w:evenHBand="1" w:firstRowFirstColumn="0" w:firstRowLastColumn="0" w:lastRowFirstColumn="0" w:lastRowLastColumn="0"/>
          <w:trHeight w:val="20"/>
        </w:trPr>
        <w:tc>
          <w:tcPr>
            <w:tcW w:w="3681" w:type="dxa"/>
            <w:noWrap/>
            <w:vAlign w:val="center"/>
            <w:hideMark/>
          </w:tcPr>
          <w:p w14:paraId="71DF0596" w14:textId="77777777" w:rsidR="004F64EF" w:rsidRPr="003003C0" w:rsidRDefault="004F64EF" w:rsidP="003E0CD7">
            <w:pPr>
              <w:tabs>
                <w:tab w:val="left" w:pos="170"/>
              </w:tabs>
              <w:ind w:left="170" w:hanging="170"/>
              <w:jc w:val="left"/>
              <w:rPr>
                <w:rFonts w:cs="Arial"/>
                <w:color w:val="000000"/>
                <w:sz w:val="15"/>
                <w:szCs w:val="15"/>
              </w:rPr>
            </w:pPr>
            <w:r w:rsidRPr="003003C0">
              <w:rPr>
                <w:rFonts w:cs="Arial"/>
                <w:color w:val="000000"/>
                <w:sz w:val="15"/>
                <w:szCs w:val="15"/>
              </w:rPr>
              <w:tab/>
              <w:t xml:space="preserve">7108. </w:t>
            </w:r>
            <w:r w:rsidRPr="00404ABD">
              <w:rPr>
                <w:rFonts w:cs="Arial"/>
                <w:color w:val="000000"/>
                <w:sz w:val="15"/>
                <w:szCs w:val="15"/>
              </w:rPr>
              <w:t>Gold (including gold plated with platinum) unwrought or in semi</w:t>
            </w:r>
            <w:r>
              <w:rPr>
                <w:rFonts w:cs="Arial"/>
                <w:color w:val="000000"/>
                <w:sz w:val="15"/>
                <w:szCs w:val="15"/>
              </w:rPr>
              <w:noBreakHyphen/>
            </w:r>
            <w:r w:rsidRPr="00404ABD">
              <w:rPr>
                <w:rFonts w:cs="Arial"/>
                <w:color w:val="000000"/>
                <w:sz w:val="15"/>
                <w:szCs w:val="15"/>
              </w:rPr>
              <w:t>manufactured forms, or in powder form</w:t>
            </w:r>
          </w:p>
        </w:tc>
        <w:tc>
          <w:tcPr>
            <w:tcW w:w="764" w:type="dxa"/>
            <w:noWrap/>
            <w:vAlign w:val="center"/>
            <w:hideMark/>
          </w:tcPr>
          <w:p w14:paraId="13E64B19" w14:textId="77777777" w:rsidR="004F64EF" w:rsidRPr="003003C0" w:rsidRDefault="004F64EF" w:rsidP="00FD6B66">
            <w:pPr>
              <w:jc w:val="right"/>
              <w:rPr>
                <w:rFonts w:cs="Arial"/>
                <w:color w:val="000000"/>
                <w:sz w:val="15"/>
                <w:szCs w:val="15"/>
              </w:rPr>
            </w:pPr>
            <w:r w:rsidRPr="003003C0">
              <w:rPr>
                <w:rFonts w:cs="Arial"/>
                <w:color w:val="000000"/>
                <w:sz w:val="15"/>
                <w:szCs w:val="15"/>
              </w:rPr>
              <w:t>31</w:t>
            </w:r>
            <w:r>
              <w:rPr>
                <w:rFonts w:cs="Arial"/>
                <w:color w:val="000000"/>
                <w:sz w:val="15"/>
                <w:szCs w:val="15"/>
              </w:rPr>
              <w:t>.</w:t>
            </w:r>
            <w:r w:rsidRPr="003003C0">
              <w:rPr>
                <w:rFonts w:cs="Arial"/>
                <w:color w:val="000000"/>
                <w:sz w:val="15"/>
                <w:szCs w:val="15"/>
              </w:rPr>
              <w:t>6</w:t>
            </w:r>
          </w:p>
        </w:tc>
        <w:tc>
          <w:tcPr>
            <w:tcW w:w="764" w:type="dxa"/>
            <w:noWrap/>
            <w:vAlign w:val="center"/>
            <w:hideMark/>
          </w:tcPr>
          <w:p w14:paraId="04DBBE73" w14:textId="77777777" w:rsidR="004F64EF" w:rsidRPr="003003C0" w:rsidRDefault="004F64EF" w:rsidP="00FD6B66">
            <w:pPr>
              <w:jc w:val="right"/>
              <w:rPr>
                <w:rFonts w:cs="Arial"/>
                <w:color w:val="000000"/>
                <w:sz w:val="15"/>
                <w:szCs w:val="15"/>
              </w:rPr>
            </w:pPr>
            <w:r w:rsidRPr="003003C0">
              <w:rPr>
                <w:rFonts w:cs="Arial"/>
                <w:color w:val="000000"/>
                <w:sz w:val="15"/>
                <w:szCs w:val="15"/>
              </w:rPr>
              <w:t>36</w:t>
            </w:r>
            <w:r>
              <w:rPr>
                <w:rFonts w:cs="Arial"/>
                <w:color w:val="000000"/>
                <w:sz w:val="15"/>
                <w:szCs w:val="15"/>
              </w:rPr>
              <w:t>.</w:t>
            </w:r>
            <w:r w:rsidRPr="003003C0">
              <w:rPr>
                <w:rFonts w:cs="Arial"/>
                <w:color w:val="000000"/>
                <w:sz w:val="15"/>
                <w:szCs w:val="15"/>
              </w:rPr>
              <w:t>7</w:t>
            </w:r>
          </w:p>
        </w:tc>
        <w:tc>
          <w:tcPr>
            <w:tcW w:w="764" w:type="dxa"/>
            <w:noWrap/>
            <w:vAlign w:val="center"/>
            <w:hideMark/>
          </w:tcPr>
          <w:p w14:paraId="7D25F660" w14:textId="77777777" w:rsidR="004F64EF" w:rsidRPr="003003C0" w:rsidRDefault="004F64EF" w:rsidP="00FD6B66">
            <w:pPr>
              <w:jc w:val="right"/>
              <w:rPr>
                <w:rFonts w:cs="Arial"/>
                <w:color w:val="000000"/>
                <w:sz w:val="15"/>
                <w:szCs w:val="15"/>
              </w:rPr>
            </w:pPr>
            <w:r w:rsidRPr="003003C0">
              <w:rPr>
                <w:rFonts w:cs="Arial"/>
                <w:color w:val="000000"/>
                <w:sz w:val="15"/>
                <w:szCs w:val="15"/>
              </w:rPr>
              <w:t>34</w:t>
            </w:r>
            <w:r>
              <w:rPr>
                <w:rFonts w:cs="Arial"/>
                <w:color w:val="000000"/>
                <w:sz w:val="15"/>
                <w:szCs w:val="15"/>
              </w:rPr>
              <w:t>.</w:t>
            </w:r>
            <w:r w:rsidRPr="003003C0">
              <w:rPr>
                <w:rFonts w:cs="Arial"/>
                <w:color w:val="000000"/>
                <w:sz w:val="15"/>
                <w:szCs w:val="15"/>
              </w:rPr>
              <w:t>5</w:t>
            </w:r>
          </w:p>
        </w:tc>
        <w:tc>
          <w:tcPr>
            <w:tcW w:w="764" w:type="dxa"/>
            <w:noWrap/>
            <w:vAlign w:val="center"/>
            <w:hideMark/>
          </w:tcPr>
          <w:p w14:paraId="3469AE59" w14:textId="77777777" w:rsidR="004F64EF" w:rsidRPr="003003C0" w:rsidRDefault="004F64EF" w:rsidP="00FD6B66">
            <w:pPr>
              <w:jc w:val="right"/>
              <w:rPr>
                <w:rFonts w:cs="Arial"/>
                <w:color w:val="000000"/>
                <w:sz w:val="15"/>
                <w:szCs w:val="15"/>
              </w:rPr>
            </w:pPr>
            <w:r w:rsidRPr="003003C0">
              <w:rPr>
                <w:rFonts w:cs="Arial"/>
                <w:color w:val="000000"/>
                <w:sz w:val="15"/>
                <w:szCs w:val="15"/>
              </w:rPr>
              <w:t>31</w:t>
            </w:r>
            <w:r>
              <w:rPr>
                <w:rFonts w:cs="Arial"/>
                <w:color w:val="000000"/>
                <w:sz w:val="15"/>
                <w:szCs w:val="15"/>
              </w:rPr>
              <w:t>.</w:t>
            </w:r>
            <w:r w:rsidRPr="003003C0">
              <w:rPr>
                <w:rFonts w:cs="Arial"/>
                <w:color w:val="000000"/>
                <w:sz w:val="15"/>
                <w:szCs w:val="15"/>
              </w:rPr>
              <w:t>2</w:t>
            </w:r>
          </w:p>
        </w:tc>
        <w:tc>
          <w:tcPr>
            <w:tcW w:w="764" w:type="dxa"/>
            <w:noWrap/>
            <w:vAlign w:val="center"/>
            <w:hideMark/>
          </w:tcPr>
          <w:p w14:paraId="55524E58" w14:textId="77777777" w:rsidR="004F64EF" w:rsidRPr="003003C0" w:rsidRDefault="004F64EF" w:rsidP="00FD6B66">
            <w:pPr>
              <w:jc w:val="right"/>
              <w:rPr>
                <w:rFonts w:cs="Arial"/>
                <w:color w:val="000000"/>
                <w:sz w:val="15"/>
                <w:szCs w:val="15"/>
              </w:rPr>
            </w:pPr>
            <w:r w:rsidRPr="003003C0">
              <w:rPr>
                <w:rFonts w:cs="Arial"/>
                <w:color w:val="000000"/>
                <w:sz w:val="15"/>
                <w:szCs w:val="15"/>
              </w:rPr>
              <w:t>32</w:t>
            </w:r>
            <w:r>
              <w:rPr>
                <w:rFonts w:cs="Arial"/>
                <w:color w:val="000000"/>
                <w:sz w:val="15"/>
                <w:szCs w:val="15"/>
              </w:rPr>
              <w:t>.</w:t>
            </w:r>
            <w:r w:rsidRPr="003003C0">
              <w:rPr>
                <w:rFonts w:cs="Arial"/>
                <w:color w:val="000000"/>
                <w:sz w:val="15"/>
                <w:szCs w:val="15"/>
              </w:rPr>
              <w:t>7</w:t>
            </w:r>
          </w:p>
        </w:tc>
        <w:tc>
          <w:tcPr>
            <w:tcW w:w="764" w:type="dxa"/>
            <w:noWrap/>
            <w:vAlign w:val="center"/>
            <w:hideMark/>
          </w:tcPr>
          <w:p w14:paraId="519460C8" w14:textId="77777777" w:rsidR="004F64EF" w:rsidRPr="003003C0" w:rsidRDefault="004F64EF" w:rsidP="00FD6B66">
            <w:pPr>
              <w:jc w:val="right"/>
              <w:rPr>
                <w:rFonts w:cs="Arial"/>
                <w:color w:val="000000"/>
                <w:sz w:val="15"/>
                <w:szCs w:val="15"/>
              </w:rPr>
            </w:pPr>
            <w:r w:rsidRPr="003003C0">
              <w:rPr>
                <w:rFonts w:cs="Arial"/>
                <w:color w:val="000000"/>
                <w:sz w:val="15"/>
                <w:szCs w:val="15"/>
              </w:rPr>
              <w:t>43</w:t>
            </w:r>
            <w:r>
              <w:rPr>
                <w:rFonts w:cs="Arial"/>
                <w:color w:val="000000"/>
                <w:sz w:val="15"/>
                <w:szCs w:val="15"/>
              </w:rPr>
              <w:t>.</w:t>
            </w:r>
            <w:r w:rsidRPr="003003C0">
              <w:rPr>
                <w:rFonts w:cs="Arial"/>
                <w:color w:val="000000"/>
                <w:sz w:val="15"/>
                <w:szCs w:val="15"/>
              </w:rPr>
              <w:t>7</w:t>
            </w:r>
          </w:p>
        </w:tc>
        <w:tc>
          <w:tcPr>
            <w:tcW w:w="764" w:type="dxa"/>
            <w:noWrap/>
            <w:vAlign w:val="center"/>
            <w:hideMark/>
          </w:tcPr>
          <w:p w14:paraId="4451B831" w14:textId="77777777" w:rsidR="004F64EF" w:rsidRPr="003003C0" w:rsidRDefault="004F64EF" w:rsidP="00FD6B66">
            <w:pPr>
              <w:jc w:val="right"/>
              <w:rPr>
                <w:rFonts w:cs="Arial"/>
                <w:color w:val="000000"/>
                <w:sz w:val="15"/>
                <w:szCs w:val="15"/>
              </w:rPr>
            </w:pPr>
            <w:r w:rsidRPr="003003C0">
              <w:rPr>
                <w:rFonts w:cs="Arial"/>
                <w:color w:val="000000"/>
                <w:sz w:val="15"/>
                <w:szCs w:val="15"/>
              </w:rPr>
              <w:t>38</w:t>
            </w:r>
            <w:r>
              <w:rPr>
                <w:rFonts w:cs="Arial"/>
                <w:color w:val="000000"/>
                <w:sz w:val="15"/>
                <w:szCs w:val="15"/>
              </w:rPr>
              <w:t>.</w:t>
            </w:r>
            <w:r w:rsidRPr="003003C0">
              <w:rPr>
                <w:rFonts w:cs="Arial"/>
                <w:color w:val="000000"/>
                <w:sz w:val="15"/>
                <w:szCs w:val="15"/>
              </w:rPr>
              <w:t>0</w:t>
            </w:r>
          </w:p>
        </w:tc>
      </w:tr>
      <w:tr w:rsidR="004F64EF" w:rsidRPr="003003C0" w14:paraId="563A7A8B" w14:textId="77777777" w:rsidTr="00FD6B66">
        <w:trPr>
          <w:trHeight w:val="20"/>
        </w:trPr>
        <w:tc>
          <w:tcPr>
            <w:tcW w:w="3681" w:type="dxa"/>
            <w:noWrap/>
            <w:vAlign w:val="center"/>
            <w:hideMark/>
          </w:tcPr>
          <w:p w14:paraId="2F69E548" w14:textId="77777777" w:rsidR="004F64EF" w:rsidRPr="003003C0" w:rsidRDefault="004F64EF" w:rsidP="003E0CD7">
            <w:pPr>
              <w:tabs>
                <w:tab w:val="left" w:pos="170"/>
              </w:tabs>
              <w:ind w:left="170" w:hanging="170"/>
              <w:jc w:val="left"/>
              <w:rPr>
                <w:rFonts w:cs="Arial"/>
                <w:color w:val="000000"/>
                <w:sz w:val="15"/>
                <w:szCs w:val="15"/>
              </w:rPr>
            </w:pPr>
            <w:r w:rsidRPr="003003C0">
              <w:rPr>
                <w:rFonts w:cs="Arial"/>
                <w:color w:val="000000"/>
                <w:sz w:val="15"/>
                <w:szCs w:val="15"/>
              </w:rPr>
              <w:tab/>
              <w:t xml:space="preserve">7113. </w:t>
            </w:r>
            <w:r w:rsidRPr="002D25B6">
              <w:rPr>
                <w:rFonts w:cs="Arial"/>
                <w:bCs/>
                <w:color w:val="000000"/>
                <w:sz w:val="15"/>
                <w:szCs w:val="15"/>
              </w:rPr>
              <w:t>Articles of jewellery and parts thereof, of precious metal or of metal clad with precious metal</w:t>
            </w:r>
          </w:p>
        </w:tc>
        <w:tc>
          <w:tcPr>
            <w:tcW w:w="764" w:type="dxa"/>
            <w:noWrap/>
            <w:vAlign w:val="center"/>
            <w:hideMark/>
          </w:tcPr>
          <w:p w14:paraId="0C8DBF7F" w14:textId="77777777" w:rsidR="004F64EF" w:rsidRPr="003003C0" w:rsidRDefault="004F64EF" w:rsidP="00FD6B66">
            <w:pPr>
              <w:jc w:val="right"/>
              <w:rPr>
                <w:rFonts w:cs="Arial"/>
                <w:color w:val="000000"/>
                <w:sz w:val="15"/>
                <w:szCs w:val="15"/>
              </w:rPr>
            </w:pPr>
            <w:r w:rsidRPr="003003C0">
              <w:rPr>
                <w:rFonts w:cs="Arial"/>
                <w:color w:val="000000"/>
                <w:sz w:val="15"/>
                <w:szCs w:val="15"/>
              </w:rPr>
              <w:t>0</w:t>
            </w:r>
            <w:r>
              <w:rPr>
                <w:rFonts w:cs="Arial"/>
                <w:color w:val="000000"/>
                <w:sz w:val="15"/>
                <w:szCs w:val="15"/>
              </w:rPr>
              <w:t>.</w:t>
            </w:r>
            <w:r w:rsidRPr="003003C0">
              <w:rPr>
                <w:rFonts w:cs="Arial"/>
                <w:color w:val="000000"/>
                <w:sz w:val="15"/>
                <w:szCs w:val="15"/>
              </w:rPr>
              <w:t>1</w:t>
            </w:r>
          </w:p>
        </w:tc>
        <w:tc>
          <w:tcPr>
            <w:tcW w:w="764" w:type="dxa"/>
            <w:noWrap/>
            <w:vAlign w:val="center"/>
            <w:hideMark/>
          </w:tcPr>
          <w:p w14:paraId="34F8116D" w14:textId="77777777" w:rsidR="004F64EF" w:rsidRPr="003003C0" w:rsidRDefault="004F64EF" w:rsidP="00FD6B66">
            <w:pPr>
              <w:jc w:val="right"/>
              <w:rPr>
                <w:rFonts w:cs="Arial"/>
                <w:color w:val="000000"/>
                <w:sz w:val="15"/>
                <w:szCs w:val="15"/>
              </w:rPr>
            </w:pPr>
            <w:r w:rsidRPr="003003C0">
              <w:rPr>
                <w:rFonts w:cs="Arial"/>
                <w:color w:val="000000"/>
                <w:sz w:val="15"/>
                <w:szCs w:val="15"/>
              </w:rPr>
              <w:t>0</w:t>
            </w:r>
            <w:r>
              <w:rPr>
                <w:rFonts w:cs="Arial"/>
                <w:color w:val="000000"/>
                <w:sz w:val="15"/>
                <w:szCs w:val="15"/>
              </w:rPr>
              <w:t>.</w:t>
            </w:r>
            <w:r w:rsidRPr="003003C0">
              <w:rPr>
                <w:rFonts w:cs="Arial"/>
                <w:color w:val="000000"/>
                <w:sz w:val="15"/>
                <w:szCs w:val="15"/>
              </w:rPr>
              <w:t>5</w:t>
            </w:r>
          </w:p>
        </w:tc>
        <w:tc>
          <w:tcPr>
            <w:tcW w:w="764" w:type="dxa"/>
            <w:noWrap/>
            <w:vAlign w:val="center"/>
            <w:hideMark/>
          </w:tcPr>
          <w:p w14:paraId="2BC15578" w14:textId="77777777" w:rsidR="004F64EF" w:rsidRPr="003003C0" w:rsidRDefault="004F64EF" w:rsidP="00FD6B66">
            <w:pPr>
              <w:jc w:val="right"/>
              <w:rPr>
                <w:rFonts w:cs="Arial"/>
                <w:color w:val="000000"/>
                <w:sz w:val="15"/>
                <w:szCs w:val="15"/>
              </w:rPr>
            </w:pPr>
            <w:r w:rsidRPr="003003C0">
              <w:rPr>
                <w:rFonts w:cs="Arial"/>
                <w:color w:val="000000"/>
                <w:sz w:val="15"/>
                <w:szCs w:val="15"/>
              </w:rPr>
              <w:t>0</w:t>
            </w:r>
            <w:r>
              <w:rPr>
                <w:rFonts w:cs="Arial"/>
                <w:color w:val="000000"/>
                <w:sz w:val="15"/>
                <w:szCs w:val="15"/>
              </w:rPr>
              <w:t>.</w:t>
            </w:r>
            <w:r w:rsidRPr="003003C0">
              <w:rPr>
                <w:rFonts w:cs="Arial"/>
                <w:color w:val="000000"/>
                <w:sz w:val="15"/>
                <w:szCs w:val="15"/>
              </w:rPr>
              <w:t>1</w:t>
            </w:r>
          </w:p>
        </w:tc>
        <w:tc>
          <w:tcPr>
            <w:tcW w:w="764" w:type="dxa"/>
            <w:noWrap/>
            <w:vAlign w:val="center"/>
            <w:hideMark/>
          </w:tcPr>
          <w:p w14:paraId="32F8B263" w14:textId="77777777" w:rsidR="004F64EF" w:rsidRPr="003003C0" w:rsidRDefault="004F64EF" w:rsidP="00FD6B66">
            <w:pPr>
              <w:jc w:val="right"/>
              <w:rPr>
                <w:rFonts w:cs="Arial"/>
                <w:color w:val="000000"/>
                <w:sz w:val="15"/>
                <w:szCs w:val="15"/>
              </w:rPr>
            </w:pPr>
            <w:r w:rsidRPr="003003C0">
              <w:rPr>
                <w:rFonts w:cs="Arial"/>
                <w:color w:val="000000"/>
                <w:sz w:val="15"/>
                <w:szCs w:val="15"/>
              </w:rPr>
              <w:t>0</w:t>
            </w:r>
            <w:r>
              <w:rPr>
                <w:rFonts w:cs="Arial"/>
                <w:color w:val="000000"/>
                <w:sz w:val="15"/>
                <w:szCs w:val="15"/>
              </w:rPr>
              <w:t>.</w:t>
            </w:r>
            <w:r w:rsidRPr="003003C0">
              <w:rPr>
                <w:rFonts w:cs="Arial"/>
                <w:color w:val="000000"/>
                <w:sz w:val="15"/>
                <w:szCs w:val="15"/>
              </w:rPr>
              <w:t>1</w:t>
            </w:r>
          </w:p>
        </w:tc>
        <w:tc>
          <w:tcPr>
            <w:tcW w:w="764" w:type="dxa"/>
            <w:noWrap/>
            <w:vAlign w:val="center"/>
            <w:hideMark/>
          </w:tcPr>
          <w:p w14:paraId="09E058FC" w14:textId="77777777" w:rsidR="004F64EF" w:rsidRPr="003003C0" w:rsidRDefault="004F64EF" w:rsidP="00FD6B66">
            <w:pPr>
              <w:jc w:val="right"/>
              <w:rPr>
                <w:rFonts w:cs="Arial"/>
                <w:color w:val="000000"/>
                <w:sz w:val="15"/>
                <w:szCs w:val="15"/>
              </w:rPr>
            </w:pPr>
            <w:r w:rsidRPr="003003C0">
              <w:rPr>
                <w:rFonts w:cs="Arial"/>
                <w:color w:val="000000"/>
                <w:sz w:val="15"/>
                <w:szCs w:val="15"/>
              </w:rPr>
              <w:t>0</w:t>
            </w:r>
            <w:r>
              <w:rPr>
                <w:rFonts w:cs="Arial"/>
                <w:color w:val="000000"/>
                <w:sz w:val="15"/>
                <w:szCs w:val="15"/>
              </w:rPr>
              <w:t>.</w:t>
            </w:r>
            <w:r w:rsidRPr="003003C0">
              <w:rPr>
                <w:rFonts w:cs="Arial"/>
                <w:color w:val="000000"/>
                <w:sz w:val="15"/>
                <w:szCs w:val="15"/>
              </w:rPr>
              <w:t>1</w:t>
            </w:r>
          </w:p>
        </w:tc>
        <w:tc>
          <w:tcPr>
            <w:tcW w:w="764" w:type="dxa"/>
            <w:noWrap/>
            <w:vAlign w:val="center"/>
            <w:hideMark/>
          </w:tcPr>
          <w:p w14:paraId="7EC266ED" w14:textId="77777777" w:rsidR="004F64EF" w:rsidRPr="003003C0" w:rsidRDefault="004F64EF" w:rsidP="00FD6B66">
            <w:pPr>
              <w:jc w:val="right"/>
              <w:rPr>
                <w:rFonts w:cs="Arial"/>
                <w:color w:val="000000"/>
                <w:sz w:val="15"/>
                <w:szCs w:val="15"/>
              </w:rPr>
            </w:pPr>
            <w:r w:rsidRPr="003003C0">
              <w:rPr>
                <w:rFonts w:cs="Arial"/>
                <w:color w:val="000000"/>
                <w:sz w:val="15"/>
                <w:szCs w:val="15"/>
              </w:rPr>
              <w:t>0</w:t>
            </w:r>
            <w:r>
              <w:rPr>
                <w:rFonts w:cs="Arial"/>
                <w:color w:val="000000"/>
                <w:sz w:val="15"/>
                <w:szCs w:val="15"/>
              </w:rPr>
              <w:t>.</w:t>
            </w:r>
            <w:r w:rsidRPr="003003C0">
              <w:rPr>
                <w:rFonts w:cs="Arial"/>
                <w:color w:val="000000"/>
                <w:sz w:val="15"/>
                <w:szCs w:val="15"/>
              </w:rPr>
              <w:t>0</w:t>
            </w:r>
          </w:p>
        </w:tc>
        <w:tc>
          <w:tcPr>
            <w:tcW w:w="764" w:type="dxa"/>
            <w:noWrap/>
            <w:vAlign w:val="center"/>
            <w:hideMark/>
          </w:tcPr>
          <w:p w14:paraId="02F398D3" w14:textId="77777777" w:rsidR="004F64EF" w:rsidRPr="003003C0" w:rsidRDefault="004F64EF" w:rsidP="00FD6B66">
            <w:pPr>
              <w:jc w:val="right"/>
              <w:rPr>
                <w:rFonts w:cs="Arial"/>
                <w:color w:val="000000"/>
                <w:sz w:val="15"/>
                <w:szCs w:val="15"/>
              </w:rPr>
            </w:pPr>
            <w:r w:rsidRPr="003003C0">
              <w:rPr>
                <w:rFonts w:cs="Arial"/>
                <w:color w:val="000000"/>
                <w:sz w:val="15"/>
                <w:szCs w:val="15"/>
              </w:rPr>
              <w:t>0</w:t>
            </w:r>
            <w:r>
              <w:rPr>
                <w:rFonts w:cs="Arial"/>
                <w:color w:val="000000"/>
                <w:sz w:val="15"/>
                <w:szCs w:val="15"/>
              </w:rPr>
              <w:t>.</w:t>
            </w:r>
            <w:r w:rsidRPr="003003C0">
              <w:rPr>
                <w:rFonts w:cs="Arial"/>
                <w:color w:val="000000"/>
                <w:sz w:val="15"/>
                <w:szCs w:val="15"/>
              </w:rPr>
              <w:t>1</w:t>
            </w:r>
          </w:p>
        </w:tc>
      </w:tr>
      <w:tr w:rsidR="004F64EF" w:rsidRPr="003003C0" w14:paraId="5A5A4A08" w14:textId="77777777" w:rsidTr="00FD6B66">
        <w:trPr>
          <w:cnfStyle w:val="000000010000" w:firstRow="0" w:lastRow="0" w:firstColumn="0" w:lastColumn="0" w:oddVBand="0" w:evenVBand="0" w:oddHBand="0" w:evenHBand="1" w:firstRowFirstColumn="0" w:firstRowLastColumn="0" w:lastRowFirstColumn="0" w:lastRowLastColumn="0"/>
          <w:trHeight w:val="20"/>
        </w:trPr>
        <w:tc>
          <w:tcPr>
            <w:tcW w:w="3681" w:type="dxa"/>
            <w:noWrap/>
            <w:vAlign w:val="center"/>
            <w:hideMark/>
          </w:tcPr>
          <w:p w14:paraId="1C7C0091" w14:textId="77777777" w:rsidR="004F64EF" w:rsidRPr="003003C0" w:rsidRDefault="004F64EF" w:rsidP="00FD6B66">
            <w:pPr>
              <w:jc w:val="left"/>
              <w:rPr>
                <w:rFonts w:cs="Arial"/>
                <w:color w:val="000000"/>
                <w:sz w:val="15"/>
                <w:szCs w:val="15"/>
              </w:rPr>
            </w:pPr>
            <w:r w:rsidRPr="003003C0">
              <w:rPr>
                <w:rFonts w:cs="Arial"/>
                <w:color w:val="000000"/>
                <w:sz w:val="15"/>
                <w:szCs w:val="15"/>
              </w:rPr>
              <w:t xml:space="preserve">15 - </w:t>
            </w:r>
            <w:r>
              <w:rPr>
                <w:rFonts w:cs="Arial"/>
                <w:color w:val="000000"/>
                <w:sz w:val="15"/>
                <w:szCs w:val="15"/>
              </w:rPr>
              <w:t>B</w:t>
            </w:r>
            <w:r w:rsidRPr="002D25B6">
              <w:rPr>
                <w:rFonts w:cs="Arial"/>
                <w:color w:val="000000"/>
                <w:sz w:val="15"/>
                <w:szCs w:val="15"/>
              </w:rPr>
              <w:t>ase metals and articles of base metal</w:t>
            </w:r>
          </w:p>
        </w:tc>
        <w:tc>
          <w:tcPr>
            <w:tcW w:w="764" w:type="dxa"/>
            <w:noWrap/>
            <w:vAlign w:val="center"/>
            <w:hideMark/>
          </w:tcPr>
          <w:p w14:paraId="5C2E6B87" w14:textId="77777777" w:rsidR="004F64EF" w:rsidRPr="003003C0" w:rsidRDefault="004F64EF" w:rsidP="00FD6B66">
            <w:pPr>
              <w:jc w:val="right"/>
              <w:rPr>
                <w:rFonts w:cs="Arial"/>
                <w:color w:val="000000"/>
                <w:sz w:val="15"/>
                <w:szCs w:val="15"/>
              </w:rPr>
            </w:pPr>
            <w:r w:rsidRPr="003003C0">
              <w:rPr>
                <w:rFonts w:cs="Arial"/>
                <w:color w:val="000000"/>
                <w:sz w:val="15"/>
                <w:szCs w:val="15"/>
              </w:rPr>
              <w:t>4</w:t>
            </w:r>
            <w:r>
              <w:rPr>
                <w:rFonts w:cs="Arial"/>
                <w:color w:val="000000"/>
                <w:sz w:val="15"/>
                <w:szCs w:val="15"/>
              </w:rPr>
              <w:t>.</w:t>
            </w:r>
            <w:r w:rsidRPr="003003C0">
              <w:rPr>
                <w:rFonts w:cs="Arial"/>
                <w:color w:val="000000"/>
                <w:sz w:val="15"/>
                <w:szCs w:val="15"/>
              </w:rPr>
              <w:t>4</w:t>
            </w:r>
          </w:p>
        </w:tc>
        <w:tc>
          <w:tcPr>
            <w:tcW w:w="764" w:type="dxa"/>
            <w:noWrap/>
            <w:vAlign w:val="center"/>
            <w:hideMark/>
          </w:tcPr>
          <w:p w14:paraId="7BE0045D" w14:textId="77777777" w:rsidR="004F64EF" w:rsidRPr="003003C0" w:rsidRDefault="004F64EF" w:rsidP="00FD6B66">
            <w:pPr>
              <w:jc w:val="right"/>
              <w:rPr>
                <w:rFonts w:cs="Arial"/>
                <w:color w:val="000000"/>
                <w:sz w:val="15"/>
                <w:szCs w:val="15"/>
              </w:rPr>
            </w:pPr>
            <w:r w:rsidRPr="003003C0">
              <w:rPr>
                <w:rFonts w:cs="Arial"/>
                <w:color w:val="000000"/>
                <w:sz w:val="15"/>
                <w:szCs w:val="15"/>
              </w:rPr>
              <w:t>5</w:t>
            </w:r>
            <w:r>
              <w:rPr>
                <w:rFonts w:cs="Arial"/>
                <w:color w:val="000000"/>
                <w:sz w:val="15"/>
                <w:szCs w:val="15"/>
              </w:rPr>
              <w:t>.</w:t>
            </w:r>
            <w:r w:rsidRPr="003003C0">
              <w:rPr>
                <w:rFonts w:cs="Arial"/>
                <w:color w:val="000000"/>
                <w:sz w:val="15"/>
                <w:szCs w:val="15"/>
              </w:rPr>
              <w:t>1</w:t>
            </w:r>
          </w:p>
        </w:tc>
        <w:tc>
          <w:tcPr>
            <w:tcW w:w="764" w:type="dxa"/>
            <w:noWrap/>
            <w:vAlign w:val="center"/>
            <w:hideMark/>
          </w:tcPr>
          <w:p w14:paraId="5C145A52" w14:textId="77777777" w:rsidR="004F64EF" w:rsidRPr="003003C0" w:rsidRDefault="004F64EF" w:rsidP="00FD6B66">
            <w:pPr>
              <w:jc w:val="right"/>
              <w:rPr>
                <w:rFonts w:cs="Arial"/>
                <w:color w:val="000000"/>
                <w:sz w:val="15"/>
                <w:szCs w:val="15"/>
              </w:rPr>
            </w:pPr>
            <w:r w:rsidRPr="003003C0">
              <w:rPr>
                <w:rFonts w:cs="Arial"/>
                <w:color w:val="000000"/>
                <w:sz w:val="15"/>
                <w:szCs w:val="15"/>
              </w:rPr>
              <w:t>7</w:t>
            </w:r>
            <w:r>
              <w:rPr>
                <w:rFonts w:cs="Arial"/>
                <w:color w:val="000000"/>
                <w:sz w:val="15"/>
                <w:szCs w:val="15"/>
              </w:rPr>
              <w:t>.</w:t>
            </w:r>
            <w:r w:rsidRPr="003003C0">
              <w:rPr>
                <w:rFonts w:cs="Arial"/>
                <w:color w:val="000000"/>
                <w:sz w:val="15"/>
                <w:szCs w:val="15"/>
              </w:rPr>
              <w:t>5</w:t>
            </w:r>
          </w:p>
        </w:tc>
        <w:tc>
          <w:tcPr>
            <w:tcW w:w="764" w:type="dxa"/>
            <w:noWrap/>
            <w:vAlign w:val="center"/>
            <w:hideMark/>
          </w:tcPr>
          <w:p w14:paraId="13D9E36B" w14:textId="77777777" w:rsidR="004F64EF" w:rsidRPr="003003C0" w:rsidRDefault="004F64EF" w:rsidP="00FD6B66">
            <w:pPr>
              <w:jc w:val="right"/>
              <w:rPr>
                <w:rFonts w:cs="Arial"/>
                <w:color w:val="000000"/>
                <w:sz w:val="15"/>
                <w:szCs w:val="15"/>
              </w:rPr>
            </w:pPr>
            <w:r w:rsidRPr="003003C0">
              <w:rPr>
                <w:rFonts w:cs="Arial"/>
                <w:color w:val="000000"/>
                <w:sz w:val="15"/>
                <w:szCs w:val="15"/>
              </w:rPr>
              <w:t>9</w:t>
            </w:r>
            <w:r>
              <w:rPr>
                <w:rFonts w:cs="Arial"/>
                <w:color w:val="000000"/>
                <w:sz w:val="15"/>
                <w:szCs w:val="15"/>
              </w:rPr>
              <w:t>.</w:t>
            </w:r>
            <w:r w:rsidRPr="003003C0">
              <w:rPr>
                <w:rFonts w:cs="Arial"/>
                <w:color w:val="000000"/>
                <w:sz w:val="15"/>
                <w:szCs w:val="15"/>
              </w:rPr>
              <w:t>9</w:t>
            </w:r>
          </w:p>
        </w:tc>
        <w:tc>
          <w:tcPr>
            <w:tcW w:w="764" w:type="dxa"/>
            <w:noWrap/>
            <w:vAlign w:val="center"/>
            <w:hideMark/>
          </w:tcPr>
          <w:p w14:paraId="28F63B5E" w14:textId="77777777" w:rsidR="004F64EF" w:rsidRPr="003003C0" w:rsidRDefault="004F64EF" w:rsidP="00FD6B66">
            <w:pPr>
              <w:jc w:val="right"/>
              <w:rPr>
                <w:rFonts w:cs="Arial"/>
                <w:color w:val="000000"/>
                <w:sz w:val="15"/>
                <w:szCs w:val="15"/>
              </w:rPr>
            </w:pPr>
            <w:r w:rsidRPr="003003C0">
              <w:rPr>
                <w:rFonts w:cs="Arial"/>
                <w:color w:val="000000"/>
                <w:sz w:val="15"/>
                <w:szCs w:val="15"/>
              </w:rPr>
              <w:t>11</w:t>
            </w:r>
            <w:r>
              <w:rPr>
                <w:rFonts w:cs="Arial"/>
                <w:color w:val="000000"/>
                <w:sz w:val="15"/>
                <w:szCs w:val="15"/>
              </w:rPr>
              <w:t>.</w:t>
            </w:r>
            <w:r w:rsidRPr="003003C0">
              <w:rPr>
                <w:rFonts w:cs="Arial"/>
                <w:color w:val="000000"/>
                <w:sz w:val="15"/>
                <w:szCs w:val="15"/>
              </w:rPr>
              <w:t>3</w:t>
            </w:r>
          </w:p>
        </w:tc>
        <w:tc>
          <w:tcPr>
            <w:tcW w:w="764" w:type="dxa"/>
            <w:noWrap/>
            <w:vAlign w:val="center"/>
            <w:hideMark/>
          </w:tcPr>
          <w:p w14:paraId="0950412B" w14:textId="77777777" w:rsidR="004F64EF" w:rsidRPr="003003C0" w:rsidRDefault="004F64EF" w:rsidP="00FD6B66">
            <w:pPr>
              <w:jc w:val="right"/>
              <w:rPr>
                <w:rFonts w:cs="Arial"/>
                <w:color w:val="000000"/>
                <w:sz w:val="15"/>
                <w:szCs w:val="15"/>
              </w:rPr>
            </w:pPr>
            <w:r w:rsidRPr="003003C0">
              <w:rPr>
                <w:rFonts w:cs="Arial"/>
                <w:color w:val="000000"/>
                <w:sz w:val="15"/>
                <w:szCs w:val="15"/>
              </w:rPr>
              <w:t>12</w:t>
            </w:r>
            <w:r>
              <w:rPr>
                <w:rFonts w:cs="Arial"/>
                <w:color w:val="000000"/>
                <w:sz w:val="15"/>
                <w:szCs w:val="15"/>
              </w:rPr>
              <w:t>.</w:t>
            </w:r>
            <w:r w:rsidRPr="003003C0">
              <w:rPr>
                <w:rFonts w:cs="Arial"/>
                <w:color w:val="000000"/>
                <w:sz w:val="15"/>
                <w:szCs w:val="15"/>
              </w:rPr>
              <w:t>6</w:t>
            </w:r>
          </w:p>
        </w:tc>
        <w:tc>
          <w:tcPr>
            <w:tcW w:w="764" w:type="dxa"/>
            <w:noWrap/>
            <w:vAlign w:val="center"/>
            <w:hideMark/>
          </w:tcPr>
          <w:p w14:paraId="66E0D50D" w14:textId="77777777" w:rsidR="004F64EF" w:rsidRPr="003003C0" w:rsidRDefault="004F64EF" w:rsidP="00FD6B66">
            <w:pPr>
              <w:jc w:val="right"/>
              <w:rPr>
                <w:rFonts w:cs="Arial"/>
                <w:color w:val="000000"/>
                <w:sz w:val="15"/>
                <w:szCs w:val="15"/>
              </w:rPr>
            </w:pPr>
            <w:r w:rsidRPr="003003C0">
              <w:rPr>
                <w:rFonts w:cs="Arial"/>
                <w:color w:val="000000"/>
                <w:sz w:val="15"/>
                <w:szCs w:val="15"/>
              </w:rPr>
              <w:t>14</w:t>
            </w:r>
            <w:r>
              <w:rPr>
                <w:rFonts w:cs="Arial"/>
                <w:color w:val="000000"/>
                <w:sz w:val="15"/>
                <w:szCs w:val="15"/>
              </w:rPr>
              <w:t>.</w:t>
            </w:r>
            <w:r w:rsidRPr="003003C0">
              <w:rPr>
                <w:rFonts w:cs="Arial"/>
                <w:color w:val="000000"/>
                <w:sz w:val="15"/>
                <w:szCs w:val="15"/>
              </w:rPr>
              <w:t>9</w:t>
            </w:r>
          </w:p>
        </w:tc>
      </w:tr>
      <w:tr w:rsidR="004F64EF" w:rsidRPr="003003C0" w14:paraId="4940390D" w14:textId="77777777" w:rsidTr="00FD6B66">
        <w:trPr>
          <w:trHeight w:val="20"/>
        </w:trPr>
        <w:tc>
          <w:tcPr>
            <w:tcW w:w="3681" w:type="dxa"/>
            <w:noWrap/>
            <w:vAlign w:val="center"/>
            <w:hideMark/>
          </w:tcPr>
          <w:p w14:paraId="54D70DD7" w14:textId="77777777" w:rsidR="004F64EF" w:rsidRPr="003003C0" w:rsidRDefault="004F64EF" w:rsidP="00FD6B66">
            <w:pPr>
              <w:tabs>
                <w:tab w:val="left" w:pos="170"/>
              </w:tabs>
              <w:jc w:val="left"/>
              <w:rPr>
                <w:rFonts w:cs="Arial"/>
                <w:color w:val="000000"/>
                <w:sz w:val="15"/>
                <w:szCs w:val="15"/>
              </w:rPr>
            </w:pPr>
            <w:r w:rsidRPr="003003C0">
              <w:rPr>
                <w:rFonts w:cs="Arial"/>
                <w:color w:val="000000"/>
                <w:sz w:val="15"/>
                <w:szCs w:val="15"/>
              </w:rPr>
              <w:tab/>
              <w:t xml:space="preserve">72. </w:t>
            </w:r>
            <w:r w:rsidRPr="002D25B6">
              <w:rPr>
                <w:rFonts w:cs="Arial"/>
                <w:color w:val="000000"/>
                <w:sz w:val="15"/>
                <w:szCs w:val="15"/>
              </w:rPr>
              <w:t>Iron and steel</w:t>
            </w:r>
          </w:p>
        </w:tc>
        <w:tc>
          <w:tcPr>
            <w:tcW w:w="764" w:type="dxa"/>
            <w:noWrap/>
            <w:vAlign w:val="center"/>
            <w:hideMark/>
          </w:tcPr>
          <w:p w14:paraId="593AD163" w14:textId="77777777" w:rsidR="004F64EF" w:rsidRPr="003003C0" w:rsidRDefault="004F64EF" w:rsidP="00FD6B66">
            <w:pPr>
              <w:jc w:val="right"/>
              <w:rPr>
                <w:rFonts w:cs="Arial"/>
                <w:color w:val="000000"/>
                <w:sz w:val="15"/>
                <w:szCs w:val="15"/>
              </w:rPr>
            </w:pPr>
            <w:r w:rsidRPr="003003C0">
              <w:rPr>
                <w:rFonts w:cs="Arial"/>
                <w:color w:val="000000"/>
                <w:sz w:val="15"/>
                <w:szCs w:val="15"/>
              </w:rPr>
              <w:t>3</w:t>
            </w:r>
            <w:r>
              <w:rPr>
                <w:rFonts w:cs="Arial"/>
                <w:color w:val="000000"/>
                <w:sz w:val="15"/>
                <w:szCs w:val="15"/>
              </w:rPr>
              <w:t>.</w:t>
            </w:r>
            <w:r w:rsidRPr="003003C0">
              <w:rPr>
                <w:rFonts w:cs="Arial"/>
                <w:color w:val="000000"/>
                <w:sz w:val="15"/>
                <w:szCs w:val="15"/>
              </w:rPr>
              <w:t>3</w:t>
            </w:r>
          </w:p>
        </w:tc>
        <w:tc>
          <w:tcPr>
            <w:tcW w:w="764" w:type="dxa"/>
            <w:noWrap/>
            <w:vAlign w:val="center"/>
            <w:hideMark/>
          </w:tcPr>
          <w:p w14:paraId="407FAC77" w14:textId="77777777" w:rsidR="004F64EF" w:rsidRPr="003003C0" w:rsidRDefault="004F64EF" w:rsidP="00FD6B66">
            <w:pPr>
              <w:jc w:val="right"/>
              <w:rPr>
                <w:rFonts w:cs="Arial"/>
                <w:color w:val="000000"/>
                <w:sz w:val="15"/>
                <w:szCs w:val="15"/>
              </w:rPr>
            </w:pPr>
            <w:r w:rsidRPr="003003C0">
              <w:rPr>
                <w:rFonts w:cs="Arial"/>
                <w:color w:val="000000"/>
                <w:sz w:val="15"/>
                <w:szCs w:val="15"/>
              </w:rPr>
              <w:t>4</w:t>
            </w:r>
            <w:r>
              <w:rPr>
                <w:rFonts w:cs="Arial"/>
                <w:color w:val="000000"/>
                <w:sz w:val="15"/>
                <w:szCs w:val="15"/>
              </w:rPr>
              <w:t>.</w:t>
            </w:r>
            <w:r w:rsidRPr="003003C0">
              <w:rPr>
                <w:rFonts w:cs="Arial"/>
                <w:color w:val="000000"/>
                <w:sz w:val="15"/>
                <w:szCs w:val="15"/>
              </w:rPr>
              <w:t>1</w:t>
            </w:r>
          </w:p>
        </w:tc>
        <w:tc>
          <w:tcPr>
            <w:tcW w:w="764" w:type="dxa"/>
            <w:noWrap/>
            <w:vAlign w:val="center"/>
            <w:hideMark/>
          </w:tcPr>
          <w:p w14:paraId="7D08217A" w14:textId="77777777" w:rsidR="004F64EF" w:rsidRPr="003003C0" w:rsidRDefault="004F64EF" w:rsidP="00FD6B66">
            <w:pPr>
              <w:jc w:val="right"/>
              <w:rPr>
                <w:rFonts w:cs="Arial"/>
                <w:color w:val="000000"/>
                <w:sz w:val="15"/>
                <w:szCs w:val="15"/>
              </w:rPr>
            </w:pPr>
            <w:r w:rsidRPr="003003C0">
              <w:rPr>
                <w:rFonts w:cs="Arial"/>
                <w:color w:val="000000"/>
                <w:sz w:val="15"/>
                <w:szCs w:val="15"/>
              </w:rPr>
              <w:t>6</w:t>
            </w:r>
            <w:r>
              <w:rPr>
                <w:rFonts w:cs="Arial"/>
                <w:color w:val="000000"/>
                <w:sz w:val="15"/>
                <w:szCs w:val="15"/>
              </w:rPr>
              <w:t>.</w:t>
            </w:r>
            <w:r w:rsidRPr="003003C0">
              <w:rPr>
                <w:rFonts w:cs="Arial"/>
                <w:color w:val="000000"/>
                <w:sz w:val="15"/>
                <w:szCs w:val="15"/>
              </w:rPr>
              <w:t>5</w:t>
            </w:r>
          </w:p>
        </w:tc>
        <w:tc>
          <w:tcPr>
            <w:tcW w:w="764" w:type="dxa"/>
            <w:noWrap/>
            <w:vAlign w:val="center"/>
            <w:hideMark/>
          </w:tcPr>
          <w:p w14:paraId="3BF933C4" w14:textId="77777777" w:rsidR="004F64EF" w:rsidRPr="003003C0" w:rsidRDefault="004F64EF" w:rsidP="00FD6B66">
            <w:pPr>
              <w:jc w:val="right"/>
              <w:rPr>
                <w:rFonts w:cs="Arial"/>
                <w:color w:val="000000"/>
                <w:sz w:val="15"/>
                <w:szCs w:val="15"/>
              </w:rPr>
            </w:pPr>
            <w:r w:rsidRPr="003003C0">
              <w:rPr>
                <w:rFonts w:cs="Arial"/>
                <w:color w:val="000000"/>
                <w:sz w:val="15"/>
                <w:szCs w:val="15"/>
              </w:rPr>
              <w:t>8</w:t>
            </w:r>
            <w:r>
              <w:rPr>
                <w:rFonts w:cs="Arial"/>
                <w:color w:val="000000"/>
                <w:sz w:val="15"/>
                <w:szCs w:val="15"/>
              </w:rPr>
              <w:t>.</w:t>
            </w:r>
            <w:r w:rsidRPr="003003C0">
              <w:rPr>
                <w:rFonts w:cs="Arial"/>
                <w:color w:val="000000"/>
                <w:sz w:val="15"/>
                <w:szCs w:val="15"/>
              </w:rPr>
              <w:t>4</w:t>
            </w:r>
          </w:p>
        </w:tc>
        <w:tc>
          <w:tcPr>
            <w:tcW w:w="764" w:type="dxa"/>
            <w:noWrap/>
            <w:vAlign w:val="center"/>
            <w:hideMark/>
          </w:tcPr>
          <w:p w14:paraId="6243B626" w14:textId="77777777" w:rsidR="004F64EF" w:rsidRPr="003003C0" w:rsidRDefault="004F64EF" w:rsidP="00FD6B66">
            <w:pPr>
              <w:jc w:val="right"/>
              <w:rPr>
                <w:rFonts w:cs="Arial"/>
                <w:color w:val="000000"/>
                <w:sz w:val="15"/>
                <w:szCs w:val="15"/>
              </w:rPr>
            </w:pPr>
            <w:r w:rsidRPr="003003C0">
              <w:rPr>
                <w:rFonts w:cs="Arial"/>
                <w:color w:val="000000"/>
                <w:sz w:val="15"/>
                <w:szCs w:val="15"/>
              </w:rPr>
              <w:t>9</w:t>
            </w:r>
            <w:r>
              <w:rPr>
                <w:rFonts w:cs="Arial"/>
                <w:color w:val="000000"/>
                <w:sz w:val="15"/>
                <w:szCs w:val="15"/>
              </w:rPr>
              <w:t>.</w:t>
            </w:r>
            <w:r w:rsidRPr="003003C0">
              <w:rPr>
                <w:rFonts w:cs="Arial"/>
                <w:color w:val="000000"/>
                <w:sz w:val="15"/>
                <w:szCs w:val="15"/>
              </w:rPr>
              <w:t>9</w:t>
            </w:r>
          </w:p>
        </w:tc>
        <w:tc>
          <w:tcPr>
            <w:tcW w:w="764" w:type="dxa"/>
            <w:noWrap/>
            <w:vAlign w:val="center"/>
            <w:hideMark/>
          </w:tcPr>
          <w:p w14:paraId="5AAFC8BD" w14:textId="77777777" w:rsidR="004F64EF" w:rsidRPr="003003C0" w:rsidRDefault="004F64EF" w:rsidP="00FD6B66">
            <w:pPr>
              <w:jc w:val="right"/>
              <w:rPr>
                <w:rFonts w:cs="Arial"/>
                <w:color w:val="000000"/>
                <w:sz w:val="15"/>
                <w:szCs w:val="15"/>
              </w:rPr>
            </w:pPr>
            <w:r w:rsidRPr="003003C0">
              <w:rPr>
                <w:rFonts w:cs="Arial"/>
                <w:color w:val="000000"/>
                <w:sz w:val="15"/>
                <w:szCs w:val="15"/>
              </w:rPr>
              <w:t>11</w:t>
            </w:r>
            <w:r>
              <w:rPr>
                <w:rFonts w:cs="Arial"/>
                <w:color w:val="000000"/>
                <w:sz w:val="15"/>
                <w:szCs w:val="15"/>
              </w:rPr>
              <w:t>.</w:t>
            </w:r>
            <w:r w:rsidRPr="003003C0">
              <w:rPr>
                <w:rFonts w:cs="Arial"/>
                <w:color w:val="000000"/>
                <w:sz w:val="15"/>
                <w:szCs w:val="15"/>
              </w:rPr>
              <w:t>0</w:t>
            </w:r>
          </w:p>
        </w:tc>
        <w:tc>
          <w:tcPr>
            <w:tcW w:w="764" w:type="dxa"/>
            <w:noWrap/>
            <w:vAlign w:val="center"/>
            <w:hideMark/>
          </w:tcPr>
          <w:p w14:paraId="24B4DAF2" w14:textId="77777777" w:rsidR="004F64EF" w:rsidRPr="003003C0" w:rsidRDefault="004F64EF" w:rsidP="00FD6B66">
            <w:pPr>
              <w:jc w:val="right"/>
              <w:rPr>
                <w:rFonts w:cs="Arial"/>
                <w:color w:val="000000"/>
                <w:sz w:val="15"/>
                <w:szCs w:val="15"/>
              </w:rPr>
            </w:pPr>
            <w:r w:rsidRPr="003003C0">
              <w:rPr>
                <w:rFonts w:cs="Arial"/>
                <w:color w:val="000000"/>
                <w:sz w:val="15"/>
                <w:szCs w:val="15"/>
              </w:rPr>
              <w:t>13</w:t>
            </w:r>
            <w:r>
              <w:rPr>
                <w:rFonts w:cs="Arial"/>
                <w:color w:val="000000"/>
                <w:sz w:val="15"/>
                <w:szCs w:val="15"/>
              </w:rPr>
              <w:t>.</w:t>
            </w:r>
            <w:r w:rsidRPr="003003C0">
              <w:rPr>
                <w:rFonts w:cs="Arial"/>
                <w:color w:val="000000"/>
                <w:sz w:val="15"/>
                <w:szCs w:val="15"/>
              </w:rPr>
              <w:t>2</w:t>
            </w:r>
          </w:p>
        </w:tc>
      </w:tr>
      <w:tr w:rsidR="004F64EF" w:rsidRPr="003003C0" w14:paraId="4450ADA5" w14:textId="77777777" w:rsidTr="00FD6B66">
        <w:trPr>
          <w:cnfStyle w:val="000000010000" w:firstRow="0" w:lastRow="0" w:firstColumn="0" w:lastColumn="0" w:oddVBand="0" w:evenVBand="0" w:oddHBand="0" w:evenHBand="1" w:firstRowFirstColumn="0" w:firstRowLastColumn="0" w:lastRowFirstColumn="0" w:lastRowLastColumn="0"/>
          <w:trHeight w:val="20"/>
        </w:trPr>
        <w:tc>
          <w:tcPr>
            <w:tcW w:w="3681" w:type="dxa"/>
            <w:noWrap/>
            <w:vAlign w:val="center"/>
            <w:hideMark/>
          </w:tcPr>
          <w:p w14:paraId="3FD977F9" w14:textId="77777777" w:rsidR="004F64EF" w:rsidRPr="003003C0" w:rsidRDefault="004F64EF" w:rsidP="00FD6B66">
            <w:pPr>
              <w:tabs>
                <w:tab w:val="left" w:pos="170"/>
              </w:tabs>
              <w:jc w:val="left"/>
              <w:rPr>
                <w:rFonts w:cs="Arial"/>
                <w:color w:val="000000"/>
                <w:sz w:val="15"/>
                <w:szCs w:val="15"/>
              </w:rPr>
            </w:pPr>
            <w:r w:rsidRPr="003003C0">
              <w:rPr>
                <w:rFonts w:cs="Arial"/>
                <w:color w:val="000000"/>
                <w:sz w:val="15"/>
                <w:szCs w:val="15"/>
              </w:rPr>
              <w:tab/>
              <w:t xml:space="preserve">73. </w:t>
            </w:r>
            <w:r w:rsidRPr="002D25B6">
              <w:rPr>
                <w:rFonts w:cs="Arial"/>
                <w:color w:val="000000"/>
                <w:sz w:val="15"/>
                <w:szCs w:val="15"/>
              </w:rPr>
              <w:t>Articles of iron or steel</w:t>
            </w:r>
          </w:p>
        </w:tc>
        <w:tc>
          <w:tcPr>
            <w:tcW w:w="764" w:type="dxa"/>
            <w:noWrap/>
            <w:vAlign w:val="center"/>
            <w:hideMark/>
          </w:tcPr>
          <w:p w14:paraId="14DC538A" w14:textId="77777777" w:rsidR="004F64EF" w:rsidRPr="003003C0" w:rsidRDefault="004F64EF" w:rsidP="00FD6B66">
            <w:pPr>
              <w:jc w:val="right"/>
              <w:rPr>
                <w:rFonts w:cs="Arial"/>
                <w:color w:val="000000"/>
                <w:sz w:val="15"/>
                <w:szCs w:val="15"/>
              </w:rPr>
            </w:pPr>
            <w:r w:rsidRPr="003003C0">
              <w:rPr>
                <w:rFonts w:cs="Arial"/>
                <w:color w:val="000000"/>
                <w:sz w:val="15"/>
                <w:szCs w:val="15"/>
              </w:rPr>
              <w:t>0</w:t>
            </w:r>
            <w:r>
              <w:rPr>
                <w:rFonts w:cs="Arial"/>
                <w:color w:val="000000"/>
                <w:sz w:val="15"/>
                <w:szCs w:val="15"/>
              </w:rPr>
              <w:t>.</w:t>
            </w:r>
            <w:r w:rsidRPr="003003C0">
              <w:rPr>
                <w:rFonts w:cs="Arial"/>
                <w:color w:val="000000"/>
                <w:sz w:val="15"/>
                <w:szCs w:val="15"/>
              </w:rPr>
              <w:t>8</w:t>
            </w:r>
          </w:p>
        </w:tc>
        <w:tc>
          <w:tcPr>
            <w:tcW w:w="764" w:type="dxa"/>
            <w:noWrap/>
            <w:vAlign w:val="center"/>
            <w:hideMark/>
          </w:tcPr>
          <w:p w14:paraId="637DA4EE" w14:textId="77777777" w:rsidR="004F64EF" w:rsidRPr="003003C0" w:rsidRDefault="004F64EF" w:rsidP="00FD6B66">
            <w:pPr>
              <w:jc w:val="right"/>
              <w:rPr>
                <w:rFonts w:cs="Arial"/>
                <w:color w:val="000000"/>
                <w:sz w:val="15"/>
                <w:szCs w:val="15"/>
              </w:rPr>
            </w:pPr>
            <w:r w:rsidRPr="003003C0">
              <w:rPr>
                <w:rFonts w:cs="Arial"/>
                <w:color w:val="000000"/>
                <w:sz w:val="15"/>
                <w:szCs w:val="15"/>
              </w:rPr>
              <w:t>0</w:t>
            </w:r>
            <w:r>
              <w:rPr>
                <w:rFonts w:cs="Arial"/>
                <w:color w:val="000000"/>
                <w:sz w:val="15"/>
                <w:szCs w:val="15"/>
              </w:rPr>
              <w:t>.</w:t>
            </w:r>
            <w:r w:rsidRPr="003003C0">
              <w:rPr>
                <w:rFonts w:cs="Arial"/>
                <w:color w:val="000000"/>
                <w:sz w:val="15"/>
                <w:szCs w:val="15"/>
              </w:rPr>
              <w:t>6</w:t>
            </w:r>
          </w:p>
        </w:tc>
        <w:tc>
          <w:tcPr>
            <w:tcW w:w="764" w:type="dxa"/>
            <w:noWrap/>
            <w:vAlign w:val="center"/>
            <w:hideMark/>
          </w:tcPr>
          <w:p w14:paraId="662D2975" w14:textId="77777777" w:rsidR="004F64EF" w:rsidRPr="003003C0" w:rsidRDefault="004F64EF" w:rsidP="00FD6B66">
            <w:pPr>
              <w:jc w:val="right"/>
              <w:rPr>
                <w:rFonts w:cs="Arial"/>
                <w:color w:val="000000"/>
                <w:sz w:val="15"/>
                <w:szCs w:val="15"/>
              </w:rPr>
            </w:pPr>
            <w:r w:rsidRPr="003003C0">
              <w:rPr>
                <w:rFonts w:cs="Arial"/>
                <w:color w:val="000000"/>
                <w:sz w:val="15"/>
                <w:szCs w:val="15"/>
              </w:rPr>
              <w:t>0</w:t>
            </w:r>
            <w:r>
              <w:rPr>
                <w:rFonts w:cs="Arial"/>
                <w:color w:val="000000"/>
                <w:sz w:val="15"/>
                <w:szCs w:val="15"/>
              </w:rPr>
              <w:t>.</w:t>
            </w:r>
            <w:r w:rsidRPr="003003C0">
              <w:rPr>
                <w:rFonts w:cs="Arial"/>
                <w:color w:val="000000"/>
                <w:sz w:val="15"/>
                <w:szCs w:val="15"/>
              </w:rPr>
              <w:t>6</w:t>
            </w:r>
          </w:p>
        </w:tc>
        <w:tc>
          <w:tcPr>
            <w:tcW w:w="764" w:type="dxa"/>
            <w:noWrap/>
            <w:vAlign w:val="center"/>
            <w:hideMark/>
          </w:tcPr>
          <w:p w14:paraId="6D9C5607" w14:textId="77777777" w:rsidR="004F64EF" w:rsidRPr="003003C0" w:rsidRDefault="004F64EF" w:rsidP="00FD6B66">
            <w:pPr>
              <w:jc w:val="right"/>
              <w:rPr>
                <w:rFonts w:cs="Arial"/>
                <w:color w:val="000000"/>
                <w:sz w:val="15"/>
                <w:szCs w:val="15"/>
              </w:rPr>
            </w:pPr>
            <w:r w:rsidRPr="003003C0">
              <w:rPr>
                <w:rFonts w:cs="Arial"/>
                <w:color w:val="000000"/>
                <w:sz w:val="15"/>
                <w:szCs w:val="15"/>
              </w:rPr>
              <w:t>0</w:t>
            </w:r>
            <w:r>
              <w:rPr>
                <w:rFonts w:cs="Arial"/>
                <w:color w:val="000000"/>
                <w:sz w:val="15"/>
                <w:szCs w:val="15"/>
              </w:rPr>
              <w:t>.</w:t>
            </w:r>
            <w:r w:rsidRPr="003003C0">
              <w:rPr>
                <w:rFonts w:cs="Arial"/>
                <w:color w:val="000000"/>
                <w:sz w:val="15"/>
                <w:szCs w:val="15"/>
              </w:rPr>
              <w:t>8</w:t>
            </w:r>
          </w:p>
        </w:tc>
        <w:tc>
          <w:tcPr>
            <w:tcW w:w="764" w:type="dxa"/>
            <w:noWrap/>
            <w:vAlign w:val="center"/>
            <w:hideMark/>
          </w:tcPr>
          <w:p w14:paraId="219D334B" w14:textId="77777777" w:rsidR="004F64EF" w:rsidRPr="003003C0" w:rsidRDefault="004F64EF" w:rsidP="00FD6B66">
            <w:pPr>
              <w:jc w:val="right"/>
              <w:rPr>
                <w:rFonts w:cs="Arial"/>
                <w:color w:val="000000"/>
                <w:sz w:val="15"/>
                <w:szCs w:val="15"/>
              </w:rPr>
            </w:pPr>
            <w:r w:rsidRPr="003003C0">
              <w:rPr>
                <w:rFonts w:cs="Arial"/>
                <w:color w:val="000000"/>
                <w:sz w:val="15"/>
                <w:szCs w:val="15"/>
              </w:rPr>
              <w:t>0</w:t>
            </w:r>
            <w:r>
              <w:rPr>
                <w:rFonts w:cs="Arial"/>
                <w:color w:val="000000"/>
                <w:sz w:val="15"/>
                <w:szCs w:val="15"/>
              </w:rPr>
              <w:t>.</w:t>
            </w:r>
            <w:r w:rsidRPr="003003C0">
              <w:rPr>
                <w:rFonts w:cs="Arial"/>
                <w:color w:val="000000"/>
                <w:sz w:val="15"/>
                <w:szCs w:val="15"/>
              </w:rPr>
              <w:t>6</w:t>
            </w:r>
          </w:p>
        </w:tc>
        <w:tc>
          <w:tcPr>
            <w:tcW w:w="764" w:type="dxa"/>
            <w:noWrap/>
            <w:vAlign w:val="center"/>
            <w:hideMark/>
          </w:tcPr>
          <w:p w14:paraId="26C59BB0" w14:textId="77777777" w:rsidR="004F64EF" w:rsidRPr="003003C0" w:rsidRDefault="004F64EF" w:rsidP="00FD6B66">
            <w:pPr>
              <w:jc w:val="right"/>
              <w:rPr>
                <w:rFonts w:cs="Arial"/>
                <w:color w:val="000000"/>
                <w:sz w:val="15"/>
                <w:szCs w:val="15"/>
              </w:rPr>
            </w:pPr>
            <w:r w:rsidRPr="003003C0">
              <w:rPr>
                <w:rFonts w:cs="Arial"/>
                <w:color w:val="000000"/>
                <w:sz w:val="15"/>
                <w:szCs w:val="15"/>
              </w:rPr>
              <w:t>0</w:t>
            </w:r>
            <w:r>
              <w:rPr>
                <w:rFonts w:cs="Arial"/>
                <w:color w:val="000000"/>
                <w:sz w:val="15"/>
                <w:szCs w:val="15"/>
              </w:rPr>
              <w:t>.</w:t>
            </w:r>
            <w:r w:rsidRPr="003003C0">
              <w:rPr>
                <w:rFonts w:cs="Arial"/>
                <w:color w:val="000000"/>
                <w:sz w:val="15"/>
                <w:szCs w:val="15"/>
              </w:rPr>
              <w:t>7</w:t>
            </w:r>
          </w:p>
        </w:tc>
        <w:tc>
          <w:tcPr>
            <w:tcW w:w="764" w:type="dxa"/>
            <w:noWrap/>
            <w:vAlign w:val="center"/>
            <w:hideMark/>
          </w:tcPr>
          <w:p w14:paraId="05F287CE" w14:textId="77777777" w:rsidR="004F64EF" w:rsidRPr="003003C0" w:rsidRDefault="004F64EF" w:rsidP="00FD6B66">
            <w:pPr>
              <w:jc w:val="right"/>
              <w:rPr>
                <w:rFonts w:cs="Arial"/>
                <w:color w:val="000000"/>
                <w:sz w:val="15"/>
                <w:szCs w:val="15"/>
              </w:rPr>
            </w:pPr>
            <w:r w:rsidRPr="003003C0">
              <w:rPr>
                <w:rFonts w:cs="Arial"/>
                <w:color w:val="000000"/>
                <w:sz w:val="15"/>
                <w:szCs w:val="15"/>
              </w:rPr>
              <w:t>0</w:t>
            </w:r>
            <w:r>
              <w:rPr>
                <w:rFonts w:cs="Arial"/>
                <w:color w:val="000000"/>
                <w:sz w:val="15"/>
                <w:szCs w:val="15"/>
              </w:rPr>
              <w:t>.</w:t>
            </w:r>
            <w:r w:rsidRPr="003003C0">
              <w:rPr>
                <w:rFonts w:cs="Arial"/>
                <w:color w:val="000000"/>
                <w:sz w:val="15"/>
                <w:szCs w:val="15"/>
              </w:rPr>
              <w:t>7</w:t>
            </w:r>
          </w:p>
        </w:tc>
      </w:tr>
      <w:tr w:rsidR="004F64EF" w:rsidRPr="003003C0" w14:paraId="7E7EC460" w14:textId="77777777" w:rsidTr="00FD6B66">
        <w:trPr>
          <w:trHeight w:val="20"/>
        </w:trPr>
        <w:tc>
          <w:tcPr>
            <w:tcW w:w="3681" w:type="dxa"/>
            <w:noWrap/>
            <w:vAlign w:val="center"/>
            <w:hideMark/>
          </w:tcPr>
          <w:p w14:paraId="66227B8A" w14:textId="77777777" w:rsidR="004F64EF" w:rsidRPr="003003C0" w:rsidRDefault="004F64EF" w:rsidP="00FD6B66">
            <w:pPr>
              <w:tabs>
                <w:tab w:val="left" w:pos="170"/>
              </w:tabs>
              <w:jc w:val="left"/>
              <w:rPr>
                <w:rFonts w:cs="Arial"/>
                <w:color w:val="000000"/>
                <w:sz w:val="15"/>
                <w:szCs w:val="15"/>
              </w:rPr>
            </w:pPr>
            <w:r w:rsidRPr="003003C0">
              <w:rPr>
                <w:rFonts w:cs="Arial"/>
                <w:color w:val="000000"/>
                <w:sz w:val="15"/>
                <w:szCs w:val="15"/>
              </w:rPr>
              <w:tab/>
              <w:t xml:space="preserve">76. </w:t>
            </w:r>
            <w:r w:rsidRPr="002D25B6">
              <w:rPr>
                <w:rFonts w:cs="Arial"/>
                <w:color w:val="000000"/>
                <w:sz w:val="15"/>
                <w:szCs w:val="15"/>
              </w:rPr>
              <w:t>Aluminium and articles thereof</w:t>
            </w:r>
          </w:p>
        </w:tc>
        <w:tc>
          <w:tcPr>
            <w:tcW w:w="764" w:type="dxa"/>
            <w:noWrap/>
            <w:vAlign w:val="center"/>
            <w:hideMark/>
          </w:tcPr>
          <w:p w14:paraId="53EA4CDA" w14:textId="77777777" w:rsidR="004F64EF" w:rsidRPr="003003C0" w:rsidRDefault="004F64EF" w:rsidP="00FD6B66">
            <w:pPr>
              <w:jc w:val="right"/>
              <w:rPr>
                <w:rFonts w:cs="Arial"/>
                <w:color w:val="000000"/>
                <w:sz w:val="15"/>
                <w:szCs w:val="15"/>
              </w:rPr>
            </w:pPr>
            <w:r w:rsidRPr="003003C0">
              <w:rPr>
                <w:rFonts w:cs="Arial"/>
                <w:color w:val="000000"/>
                <w:sz w:val="15"/>
                <w:szCs w:val="15"/>
              </w:rPr>
              <w:t>0</w:t>
            </w:r>
            <w:r>
              <w:rPr>
                <w:rFonts w:cs="Arial"/>
                <w:color w:val="000000"/>
                <w:sz w:val="15"/>
                <w:szCs w:val="15"/>
              </w:rPr>
              <w:t>.</w:t>
            </w:r>
            <w:r w:rsidRPr="003003C0">
              <w:rPr>
                <w:rFonts w:cs="Arial"/>
                <w:color w:val="000000"/>
                <w:sz w:val="15"/>
                <w:szCs w:val="15"/>
              </w:rPr>
              <w:t>1</w:t>
            </w:r>
          </w:p>
        </w:tc>
        <w:tc>
          <w:tcPr>
            <w:tcW w:w="764" w:type="dxa"/>
            <w:noWrap/>
            <w:vAlign w:val="center"/>
            <w:hideMark/>
          </w:tcPr>
          <w:p w14:paraId="5E931A5D" w14:textId="77777777" w:rsidR="004F64EF" w:rsidRPr="003003C0" w:rsidRDefault="004F64EF" w:rsidP="00FD6B66">
            <w:pPr>
              <w:jc w:val="right"/>
              <w:rPr>
                <w:rFonts w:cs="Arial"/>
                <w:color w:val="000000"/>
                <w:sz w:val="15"/>
                <w:szCs w:val="15"/>
              </w:rPr>
            </w:pPr>
            <w:r w:rsidRPr="003003C0">
              <w:rPr>
                <w:rFonts w:cs="Arial"/>
                <w:color w:val="000000"/>
                <w:sz w:val="15"/>
                <w:szCs w:val="15"/>
              </w:rPr>
              <w:t>0</w:t>
            </w:r>
            <w:r>
              <w:rPr>
                <w:rFonts w:cs="Arial"/>
                <w:color w:val="000000"/>
                <w:sz w:val="15"/>
                <w:szCs w:val="15"/>
              </w:rPr>
              <w:t>.</w:t>
            </w:r>
            <w:r w:rsidRPr="003003C0">
              <w:rPr>
                <w:rFonts w:cs="Arial"/>
                <w:color w:val="000000"/>
                <w:sz w:val="15"/>
                <w:szCs w:val="15"/>
              </w:rPr>
              <w:t>1</w:t>
            </w:r>
          </w:p>
        </w:tc>
        <w:tc>
          <w:tcPr>
            <w:tcW w:w="764" w:type="dxa"/>
            <w:noWrap/>
            <w:vAlign w:val="center"/>
            <w:hideMark/>
          </w:tcPr>
          <w:p w14:paraId="4C675373" w14:textId="77777777" w:rsidR="004F64EF" w:rsidRPr="003003C0" w:rsidRDefault="004F64EF" w:rsidP="00FD6B66">
            <w:pPr>
              <w:jc w:val="right"/>
              <w:rPr>
                <w:rFonts w:cs="Arial"/>
                <w:color w:val="000000"/>
                <w:sz w:val="15"/>
                <w:szCs w:val="15"/>
              </w:rPr>
            </w:pPr>
            <w:r w:rsidRPr="003003C0">
              <w:rPr>
                <w:rFonts w:cs="Arial"/>
                <w:color w:val="000000"/>
                <w:sz w:val="15"/>
                <w:szCs w:val="15"/>
              </w:rPr>
              <w:t>0</w:t>
            </w:r>
            <w:r>
              <w:rPr>
                <w:rFonts w:cs="Arial"/>
                <w:color w:val="000000"/>
                <w:sz w:val="15"/>
                <w:szCs w:val="15"/>
              </w:rPr>
              <w:t>.</w:t>
            </w:r>
            <w:r w:rsidRPr="003003C0">
              <w:rPr>
                <w:rFonts w:cs="Arial"/>
                <w:color w:val="000000"/>
                <w:sz w:val="15"/>
                <w:szCs w:val="15"/>
              </w:rPr>
              <w:t>1</w:t>
            </w:r>
          </w:p>
        </w:tc>
        <w:tc>
          <w:tcPr>
            <w:tcW w:w="764" w:type="dxa"/>
            <w:noWrap/>
            <w:vAlign w:val="center"/>
            <w:hideMark/>
          </w:tcPr>
          <w:p w14:paraId="32F951AC" w14:textId="77777777" w:rsidR="004F64EF" w:rsidRPr="003003C0" w:rsidRDefault="004F64EF" w:rsidP="00FD6B66">
            <w:pPr>
              <w:jc w:val="right"/>
              <w:rPr>
                <w:rFonts w:cs="Arial"/>
                <w:color w:val="000000"/>
                <w:sz w:val="15"/>
                <w:szCs w:val="15"/>
              </w:rPr>
            </w:pPr>
            <w:r w:rsidRPr="003003C0">
              <w:rPr>
                <w:rFonts w:cs="Arial"/>
                <w:color w:val="000000"/>
                <w:sz w:val="15"/>
                <w:szCs w:val="15"/>
              </w:rPr>
              <w:t>0</w:t>
            </w:r>
            <w:r>
              <w:rPr>
                <w:rFonts w:cs="Arial"/>
                <w:color w:val="000000"/>
                <w:sz w:val="15"/>
                <w:szCs w:val="15"/>
              </w:rPr>
              <w:t>.</w:t>
            </w:r>
            <w:r w:rsidRPr="003003C0">
              <w:rPr>
                <w:rFonts w:cs="Arial"/>
                <w:color w:val="000000"/>
                <w:sz w:val="15"/>
                <w:szCs w:val="15"/>
              </w:rPr>
              <w:t>4</w:t>
            </w:r>
          </w:p>
        </w:tc>
        <w:tc>
          <w:tcPr>
            <w:tcW w:w="764" w:type="dxa"/>
            <w:noWrap/>
            <w:vAlign w:val="center"/>
            <w:hideMark/>
          </w:tcPr>
          <w:p w14:paraId="21BF06BB" w14:textId="77777777" w:rsidR="004F64EF" w:rsidRPr="003003C0" w:rsidRDefault="004F64EF" w:rsidP="00FD6B66">
            <w:pPr>
              <w:jc w:val="right"/>
              <w:rPr>
                <w:rFonts w:cs="Arial"/>
                <w:color w:val="000000"/>
                <w:sz w:val="15"/>
                <w:szCs w:val="15"/>
              </w:rPr>
            </w:pPr>
            <w:r w:rsidRPr="003003C0">
              <w:rPr>
                <w:rFonts w:cs="Arial"/>
                <w:color w:val="000000"/>
                <w:sz w:val="15"/>
                <w:szCs w:val="15"/>
              </w:rPr>
              <w:t>0</w:t>
            </w:r>
            <w:r>
              <w:rPr>
                <w:rFonts w:cs="Arial"/>
                <w:color w:val="000000"/>
                <w:sz w:val="15"/>
                <w:szCs w:val="15"/>
              </w:rPr>
              <w:t>.</w:t>
            </w:r>
            <w:r w:rsidRPr="003003C0">
              <w:rPr>
                <w:rFonts w:cs="Arial"/>
                <w:color w:val="000000"/>
                <w:sz w:val="15"/>
                <w:szCs w:val="15"/>
              </w:rPr>
              <w:t>4</w:t>
            </w:r>
          </w:p>
        </w:tc>
        <w:tc>
          <w:tcPr>
            <w:tcW w:w="764" w:type="dxa"/>
            <w:noWrap/>
            <w:vAlign w:val="center"/>
            <w:hideMark/>
          </w:tcPr>
          <w:p w14:paraId="38720635" w14:textId="77777777" w:rsidR="004F64EF" w:rsidRPr="003003C0" w:rsidRDefault="004F64EF" w:rsidP="00FD6B66">
            <w:pPr>
              <w:jc w:val="right"/>
              <w:rPr>
                <w:rFonts w:cs="Arial"/>
                <w:color w:val="000000"/>
                <w:sz w:val="15"/>
                <w:szCs w:val="15"/>
              </w:rPr>
            </w:pPr>
            <w:r w:rsidRPr="003003C0">
              <w:rPr>
                <w:rFonts w:cs="Arial"/>
                <w:color w:val="000000"/>
                <w:sz w:val="15"/>
                <w:szCs w:val="15"/>
              </w:rPr>
              <w:t>0</w:t>
            </w:r>
            <w:r>
              <w:rPr>
                <w:rFonts w:cs="Arial"/>
                <w:color w:val="000000"/>
                <w:sz w:val="15"/>
                <w:szCs w:val="15"/>
              </w:rPr>
              <w:t>.</w:t>
            </w:r>
            <w:r w:rsidRPr="003003C0">
              <w:rPr>
                <w:rFonts w:cs="Arial"/>
                <w:color w:val="000000"/>
                <w:sz w:val="15"/>
                <w:szCs w:val="15"/>
              </w:rPr>
              <w:t>3</w:t>
            </w:r>
          </w:p>
        </w:tc>
        <w:tc>
          <w:tcPr>
            <w:tcW w:w="764" w:type="dxa"/>
            <w:noWrap/>
            <w:vAlign w:val="center"/>
            <w:hideMark/>
          </w:tcPr>
          <w:p w14:paraId="0964E3AB" w14:textId="77777777" w:rsidR="004F64EF" w:rsidRPr="003003C0" w:rsidRDefault="004F64EF" w:rsidP="00FD6B66">
            <w:pPr>
              <w:jc w:val="right"/>
              <w:rPr>
                <w:rFonts w:cs="Arial"/>
                <w:color w:val="000000"/>
                <w:sz w:val="15"/>
                <w:szCs w:val="15"/>
              </w:rPr>
            </w:pPr>
            <w:r w:rsidRPr="003003C0">
              <w:rPr>
                <w:rFonts w:cs="Arial"/>
                <w:color w:val="000000"/>
                <w:sz w:val="15"/>
                <w:szCs w:val="15"/>
              </w:rPr>
              <w:t>0</w:t>
            </w:r>
            <w:r>
              <w:rPr>
                <w:rFonts w:cs="Arial"/>
                <w:color w:val="000000"/>
                <w:sz w:val="15"/>
                <w:szCs w:val="15"/>
              </w:rPr>
              <w:t>.</w:t>
            </w:r>
            <w:r w:rsidRPr="003003C0">
              <w:rPr>
                <w:rFonts w:cs="Arial"/>
                <w:color w:val="000000"/>
                <w:sz w:val="15"/>
                <w:szCs w:val="15"/>
              </w:rPr>
              <w:t>4</w:t>
            </w:r>
          </w:p>
        </w:tc>
      </w:tr>
      <w:tr w:rsidR="004F64EF" w:rsidRPr="003003C0" w14:paraId="6DE8EBC8" w14:textId="77777777" w:rsidTr="00FD6B66">
        <w:trPr>
          <w:cnfStyle w:val="000000010000" w:firstRow="0" w:lastRow="0" w:firstColumn="0" w:lastColumn="0" w:oddVBand="0" w:evenVBand="0" w:oddHBand="0" w:evenHBand="1" w:firstRowFirstColumn="0" w:firstRowLastColumn="0" w:lastRowFirstColumn="0" w:lastRowLastColumn="0"/>
          <w:trHeight w:val="20"/>
        </w:trPr>
        <w:tc>
          <w:tcPr>
            <w:tcW w:w="3681" w:type="dxa"/>
            <w:noWrap/>
            <w:vAlign w:val="center"/>
            <w:hideMark/>
          </w:tcPr>
          <w:p w14:paraId="60408BFC" w14:textId="77777777" w:rsidR="004F64EF" w:rsidRPr="002D25B6" w:rsidRDefault="004F64EF" w:rsidP="002D25B6">
            <w:pPr>
              <w:jc w:val="left"/>
              <w:rPr>
                <w:rFonts w:cs="Arial"/>
                <w:color w:val="000000"/>
                <w:sz w:val="15"/>
                <w:szCs w:val="15"/>
              </w:rPr>
            </w:pPr>
            <w:r w:rsidRPr="003003C0">
              <w:rPr>
                <w:rFonts w:cs="Arial"/>
                <w:color w:val="000000"/>
                <w:sz w:val="15"/>
                <w:szCs w:val="15"/>
              </w:rPr>
              <w:t xml:space="preserve">16 - </w:t>
            </w:r>
            <w:r>
              <w:rPr>
                <w:rFonts w:cs="Arial"/>
                <w:color w:val="000000"/>
                <w:sz w:val="15"/>
                <w:szCs w:val="15"/>
              </w:rPr>
              <w:t>M</w:t>
            </w:r>
            <w:r w:rsidRPr="002D25B6">
              <w:rPr>
                <w:rFonts w:cs="Arial"/>
                <w:color w:val="000000"/>
                <w:sz w:val="15"/>
                <w:szCs w:val="15"/>
              </w:rPr>
              <w:t>achinery and mechanical appliances;</w:t>
            </w:r>
          </w:p>
          <w:p w14:paraId="27473F28" w14:textId="77777777" w:rsidR="004F64EF" w:rsidRPr="003003C0" w:rsidRDefault="004F64EF" w:rsidP="002D25B6">
            <w:pPr>
              <w:jc w:val="left"/>
              <w:rPr>
                <w:rFonts w:cs="Arial"/>
                <w:color w:val="000000"/>
                <w:sz w:val="15"/>
                <w:szCs w:val="15"/>
              </w:rPr>
            </w:pPr>
            <w:r w:rsidRPr="002D25B6">
              <w:rPr>
                <w:rFonts w:cs="Arial"/>
                <w:color w:val="000000"/>
                <w:sz w:val="15"/>
                <w:szCs w:val="15"/>
              </w:rPr>
              <w:t>electrical equipment; parts thereof</w:t>
            </w:r>
          </w:p>
        </w:tc>
        <w:tc>
          <w:tcPr>
            <w:tcW w:w="764" w:type="dxa"/>
            <w:noWrap/>
            <w:vAlign w:val="center"/>
            <w:hideMark/>
          </w:tcPr>
          <w:p w14:paraId="734E97A0" w14:textId="77777777" w:rsidR="004F64EF" w:rsidRPr="003003C0" w:rsidRDefault="004F64EF" w:rsidP="00FD6B66">
            <w:pPr>
              <w:jc w:val="right"/>
              <w:rPr>
                <w:rFonts w:cs="Arial"/>
                <w:color w:val="000000"/>
                <w:sz w:val="15"/>
                <w:szCs w:val="15"/>
              </w:rPr>
            </w:pPr>
            <w:r w:rsidRPr="003003C0">
              <w:rPr>
                <w:rFonts w:cs="Arial"/>
                <w:color w:val="000000"/>
                <w:sz w:val="15"/>
                <w:szCs w:val="15"/>
              </w:rPr>
              <w:t>2</w:t>
            </w:r>
            <w:r>
              <w:rPr>
                <w:rFonts w:cs="Arial"/>
                <w:color w:val="000000"/>
                <w:sz w:val="15"/>
                <w:szCs w:val="15"/>
              </w:rPr>
              <w:t>.</w:t>
            </w:r>
            <w:r w:rsidRPr="003003C0">
              <w:rPr>
                <w:rFonts w:cs="Arial"/>
                <w:color w:val="000000"/>
                <w:sz w:val="15"/>
                <w:szCs w:val="15"/>
              </w:rPr>
              <w:t>4</w:t>
            </w:r>
          </w:p>
        </w:tc>
        <w:tc>
          <w:tcPr>
            <w:tcW w:w="764" w:type="dxa"/>
            <w:noWrap/>
            <w:vAlign w:val="center"/>
            <w:hideMark/>
          </w:tcPr>
          <w:p w14:paraId="291BDAE0" w14:textId="77777777" w:rsidR="004F64EF" w:rsidRPr="003003C0" w:rsidRDefault="004F64EF" w:rsidP="00FD6B66">
            <w:pPr>
              <w:jc w:val="right"/>
              <w:rPr>
                <w:rFonts w:cs="Arial"/>
                <w:color w:val="000000"/>
                <w:sz w:val="15"/>
                <w:szCs w:val="15"/>
              </w:rPr>
            </w:pPr>
            <w:r w:rsidRPr="003003C0">
              <w:rPr>
                <w:rFonts w:cs="Arial"/>
                <w:color w:val="000000"/>
                <w:sz w:val="15"/>
                <w:szCs w:val="15"/>
              </w:rPr>
              <w:t>1</w:t>
            </w:r>
            <w:r>
              <w:rPr>
                <w:rFonts w:cs="Arial"/>
                <w:color w:val="000000"/>
                <w:sz w:val="15"/>
                <w:szCs w:val="15"/>
              </w:rPr>
              <w:t>.</w:t>
            </w:r>
            <w:r w:rsidRPr="003003C0">
              <w:rPr>
                <w:rFonts w:cs="Arial"/>
                <w:color w:val="000000"/>
                <w:sz w:val="15"/>
                <w:szCs w:val="15"/>
              </w:rPr>
              <w:t>5</w:t>
            </w:r>
          </w:p>
        </w:tc>
        <w:tc>
          <w:tcPr>
            <w:tcW w:w="764" w:type="dxa"/>
            <w:noWrap/>
            <w:vAlign w:val="center"/>
            <w:hideMark/>
          </w:tcPr>
          <w:p w14:paraId="2CA87FB2" w14:textId="77777777" w:rsidR="004F64EF" w:rsidRPr="003003C0" w:rsidRDefault="004F64EF" w:rsidP="00FD6B66">
            <w:pPr>
              <w:jc w:val="right"/>
              <w:rPr>
                <w:rFonts w:cs="Arial"/>
                <w:color w:val="000000"/>
                <w:sz w:val="15"/>
                <w:szCs w:val="15"/>
              </w:rPr>
            </w:pPr>
            <w:r w:rsidRPr="003003C0">
              <w:rPr>
                <w:rFonts w:cs="Arial"/>
                <w:color w:val="000000"/>
                <w:sz w:val="15"/>
                <w:szCs w:val="15"/>
              </w:rPr>
              <w:t>1</w:t>
            </w:r>
            <w:r>
              <w:rPr>
                <w:rFonts w:cs="Arial"/>
                <w:color w:val="000000"/>
                <w:sz w:val="15"/>
                <w:szCs w:val="15"/>
              </w:rPr>
              <w:t>.</w:t>
            </w:r>
            <w:r w:rsidRPr="003003C0">
              <w:rPr>
                <w:rFonts w:cs="Arial"/>
                <w:color w:val="000000"/>
                <w:sz w:val="15"/>
                <w:szCs w:val="15"/>
              </w:rPr>
              <w:t>9</w:t>
            </w:r>
          </w:p>
        </w:tc>
        <w:tc>
          <w:tcPr>
            <w:tcW w:w="764" w:type="dxa"/>
            <w:noWrap/>
            <w:vAlign w:val="center"/>
            <w:hideMark/>
          </w:tcPr>
          <w:p w14:paraId="57378B9B" w14:textId="77777777" w:rsidR="004F64EF" w:rsidRPr="003003C0" w:rsidRDefault="004F64EF" w:rsidP="00FD6B66">
            <w:pPr>
              <w:jc w:val="right"/>
              <w:rPr>
                <w:rFonts w:cs="Arial"/>
                <w:color w:val="000000"/>
                <w:sz w:val="15"/>
                <w:szCs w:val="15"/>
              </w:rPr>
            </w:pPr>
            <w:r w:rsidRPr="003003C0">
              <w:rPr>
                <w:rFonts w:cs="Arial"/>
                <w:color w:val="000000"/>
                <w:sz w:val="15"/>
                <w:szCs w:val="15"/>
              </w:rPr>
              <w:t>2</w:t>
            </w:r>
            <w:r>
              <w:rPr>
                <w:rFonts w:cs="Arial"/>
                <w:color w:val="000000"/>
                <w:sz w:val="15"/>
                <w:szCs w:val="15"/>
              </w:rPr>
              <w:t>.</w:t>
            </w:r>
            <w:r w:rsidRPr="003003C0">
              <w:rPr>
                <w:rFonts w:cs="Arial"/>
                <w:color w:val="000000"/>
                <w:sz w:val="15"/>
                <w:szCs w:val="15"/>
              </w:rPr>
              <w:t>3</w:t>
            </w:r>
          </w:p>
        </w:tc>
        <w:tc>
          <w:tcPr>
            <w:tcW w:w="764" w:type="dxa"/>
            <w:noWrap/>
            <w:vAlign w:val="center"/>
            <w:hideMark/>
          </w:tcPr>
          <w:p w14:paraId="08F39F24" w14:textId="77777777" w:rsidR="004F64EF" w:rsidRPr="003003C0" w:rsidRDefault="004F64EF" w:rsidP="00FD6B66">
            <w:pPr>
              <w:jc w:val="right"/>
              <w:rPr>
                <w:rFonts w:cs="Arial"/>
                <w:color w:val="000000"/>
                <w:sz w:val="15"/>
                <w:szCs w:val="15"/>
              </w:rPr>
            </w:pPr>
            <w:r w:rsidRPr="003003C0">
              <w:rPr>
                <w:rFonts w:cs="Arial"/>
                <w:color w:val="000000"/>
                <w:sz w:val="15"/>
                <w:szCs w:val="15"/>
              </w:rPr>
              <w:t>3</w:t>
            </w:r>
            <w:r>
              <w:rPr>
                <w:rFonts w:cs="Arial"/>
                <w:color w:val="000000"/>
                <w:sz w:val="15"/>
                <w:szCs w:val="15"/>
              </w:rPr>
              <w:t>.</w:t>
            </w:r>
            <w:r w:rsidRPr="003003C0">
              <w:rPr>
                <w:rFonts w:cs="Arial"/>
                <w:color w:val="000000"/>
                <w:sz w:val="15"/>
                <w:szCs w:val="15"/>
              </w:rPr>
              <w:t>7</w:t>
            </w:r>
          </w:p>
        </w:tc>
        <w:tc>
          <w:tcPr>
            <w:tcW w:w="764" w:type="dxa"/>
            <w:noWrap/>
            <w:vAlign w:val="center"/>
            <w:hideMark/>
          </w:tcPr>
          <w:p w14:paraId="052CD5CA" w14:textId="77777777" w:rsidR="004F64EF" w:rsidRPr="003003C0" w:rsidRDefault="004F64EF" w:rsidP="00FD6B66">
            <w:pPr>
              <w:jc w:val="right"/>
              <w:rPr>
                <w:rFonts w:cs="Arial"/>
                <w:color w:val="000000"/>
                <w:sz w:val="15"/>
                <w:szCs w:val="15"/>
              </w:rPr>
            </w:pPr>
            <w:r w:rsidRPr="003003C0">
              <w:rPr>
                <w:rFonts w:cs="Arial"/>
                <w:color w:val="000000"/>
                <w:sz w:val="15"/>
                <w:szCs w:val="15"/>
              </w:rPr>
              <w:t>1</w:t>
            </w:r>
            <w:r>
              <w:rPr>
                <w:rFonts w:cs="Arial"/>
                <w:color w:val="000000"/>
                <w:sz w:val="15"/>
                <w:szCs w:val="15"/>
              </w:rPr>
              <w:t>.</w:t>
            </w:r>
            <w:r w:rsidRPr="003003C0">
              <w:rPr>
                <w:rFonts w:cs="Arial"/>
                <w:color w:val="000000"/>
                <w:sz w:val="15"/>
                <w:szCs w:val="15"/>
              </w:rPr>
              <w:t>6</w:t>
            </w:r>
          </w:p>
        </w:tc>
        <w:tc>
          <w:tcPr>
            <w:tcW w:w="764" w:type="dxa"/>
            <w:noWrap/>
            <w:vAlign w:val="center"/>
            <w:hideMark/>
          </w:tcPr>
          <w:p w14:paraId="24125238" w14:textId="77777777" w:rsidR="004F64EF" w:rsidRPr="003003C0" w:rsidRDefault="004F64EF" w:rsidP="00FD6B66">
            <w:pPr>
              <w:jc w:val="right"/>
              <w:rPr>
                <w:rFonts w:cs="Arial"/>
                <w:color w:val="000000"/>
                <w:sz w:val="15"/>
                <w:szCs w:val="15"/>
              </w:rPr>
            </w:pPr>
            <w:r w:rsidRPr="003003C0">
              <w:rPr>
                <w:rFonts w:cs="Arial"/>
                <w:color w:val="000000"/>
                <w:sz w:val="15"/>
                <w:szCs w:val="15"/>
              </w:rPr>
              <w:t>1</w:t>
            </w:r>
            <w:r>
              <w:rPr>
                <w:rFonts w:cs="Arial"/>
                <w:color w:val="000000"/>
                <w:sz w:val="15"/>
                <w:szCs w:val="15"/>
              </w:rPr>
              <w:t>.</w:t>
            </w:r>
            <w:r w:rsidRPr="003003C0">
              <w:rPr>
                <w:rFonts w:cs="Arial"/>
                <w:color w:val="000000"/>
                <w:sz w:val="15"/>
                <w:szCs w:val="15"/>
              </w:rPr>
              <w:t>6</w:t>
            </w:r>
          </w:p>
        </w:tc>
      </w:tr>
      <w:tr w:rsidR="004F64EF" w:rsidRPr="003003C0" w14:paraId="6F7CB62E" w14:textId="77777777" w:rsidTr="00FD6B66">
        <w:trPr>
          <w:trHeight w:val="20"/>
        </w:trPr>
        <w:tc>
          <w:tcPr>
            <w:tcW w:w="3681" w:type="dxa"/>
            <w:noWrap/>
            <w:vAlign w:val="center"/>
            <w:hideMark/>
          </w:tcPr>
          <w:p w14:paraId="1BAA55C3" w14:textId="77777777" w:rsidR="004F64EF" w:rsidRPr="002D25B6" w:rsidRDefault="004F64EF" w:rsidP="003E0CD7">
            <w:pPr>
              <w:tabs>
                <w:tab w:val="left" w:pos="170"/>
              </w:tabs>
              <w:jc w:val="left"/>
              <w:rPr>
                <w:rFonts w:cs="Arial"/>
                <w:color w:val="000000"/>
                <w:sz w:val="14"/>
                <w:szCs w:val="14"/>
              </w:rPr>
            </w:pPr>
            <w:r w:rsidRPr="003003C0">
              <w:rPr>
                <w:rFonts w:cs="Arial"/>
                <w:color w:val="000000"/>
                <w:sz w:val="15"/>
                <w:szCs w:val="15"/>
              </w:rPr>
              <w:tab/>
              <w:t xml:space="preserve">85. </w:t>
            </w:r>
            <w:r w:rsidRPr="002D25B6">
              <w:rPr>
                <w:rFonts w:cs="Arial"/>
                <w:color w:val="000000"/>
                <w:sz w:val="15"/>
                <w:szCs w:val="15"/>
              </w:rPr>
              <w:t>Electrical machinery and equipment and parts thereof; sound recorders and reproducers, television image and sound recorders and reproducers, and parts and accessories of such articles</w:t>
            </w:r>
          </w:p>
        </w:tc>
        <w:tc>
          <w:tcPr>
            <w:tcW w:w="764" w:type="dxa"/>
            <w:noWrap/>
            <w:vAlign w:val="center"/>
            <w:hideMark/>
          </w:tcPr>
          <w:p w14:paraId="70A8E84A" w14:textId="77777777" w:rsidR="004F64EF" w:rsidRPr="003003C0" w:rsidRDefault="004F64EF" w:rsidP="00FD6B66">
            <w:pPr>
              <w:jc w:val="right"/>
              <w:rPr>
                <w:rFonts w:cs="Arial"/>
                <w:color w:val="000000"/>
                <w:sz w:val="15"/>
                <w:szCs w:val="15"/>
              </w:rPr>
            </w:pPr>
            <w:r w:rsidRPr="003003C0">
              <w:rPr>
                <w:rFonts w:cs="Arial"/>
                <w:color w:val="000000"/>
                <w:sz w:val="15"/>
                <w:szCs w:val="15"/>
              </w:rPr>
              <w:t>0</w:t>
            </w:r>
            <w:r>
              <w:rPr>
                <w:rFonts w:cs="Arial"/>
                <w:color w:val="000000"/>
                <w:sz w:val="15"/>
                <w:szCs w:val="15"/>
              </w:rPr>
              <w:t>.</w:t>
            </w:r>
            <w:r w:rsidRPr="003003C0">
              <w:rPr>
                <w:rFonts w:cs="Arial"/>
                <w:color w:val="000000"/>
                <w:sz w:val="15"/>
                <w:szCs w:val="15"/>
              </w:rPr>
              <w:t>9</w:t>
            </w:r>
          </w:p>
        </w:tc>
        <w:tc>
          <w:tcPr>
            <w:tcW w:w="764" w:type="dxa"/>
            <w:noWrap/>
            <w:vAlign w:val="center"/>
            <w:hideMark/>
          </w:tcPr>
          <w:p w14:paraId="1AE43F8B" w14:textId="77777777" w:rsidR="004F64EF" w:rsidRPr="003003C0" w:rsidRDefault="004F64EF" w:rsidP="00FD6B66">
            <w:pPr>
              <w:jc w:val="right"/>
              <w:rPr>
                <w:rFonts w:cs="Arial"/>
                <w:color w:val="000000"/>
                <w:sz w:val="15"/>
                <w:szCs w:val="15"/>
              </w:rPr>
            </w:pPr>
            <w:r w:rsidRPr="003003C0">
              <w:rPr>
                <w:rFonts w:cs="Arial"/>
                <w:color w:val="000000"/>
                <w:sz w:val="15"/>
                <w:szCs w:val="15"/>
              </w:rPr>
              <w:t>0</w:t>
            </w:r>
            <w:r>
              <w:rPr>
                <w:rFonts w:cs="Arial"/>
                <w:color w:val="000000"/>
                <w:sz w:val="15"/>
                <w:szCs w:val="15"/>
              </w:rPr>
              <w:t>.</w:t>
            </w:r>
            <w:r w:rsidRPr="003003C0">
              <w:rPr>
                <w:rFonts w:cs="Arial"/>
                <w:color w:val="000000"/>
                <w:sz w:val="15"/>
                <w:szCs w:val="15"/>
              </w:rPr>
              <w:t>4</w:t>
            </w:r>
          </w:p>
        </w:tc>
        <w:tc>
          <w:tcPr>
            <w:tcW w:w="764" w:type="dxa"/>
            <w:noWrap/>
            <w:vAlign w:val="center"/>
            <w:hideMark/>
          </w:tcPr>
          <w:p w14:paraId="41667743" w14:textId="77777777" w:rsidR="004F64EF" w:rsidRPr="003003C0" w:rsidRDefault="004F64EF" w:rsidP="00FD6B66">
            <w:pPr>
              <w:jc w:val="right"/>
              <w:rPr>
                <w:rFonts w:cs="Arial"/>
                <w:color w:val="000000"/>
                <w:sz w:val="15"/>
                <w:szCs w:val="15"/>
              </w:rPr>
            </w:pPr>
            <w:r w:rsidRPr="003003C0">
              <w:rPr>
                <w:rFonts w:cs="Arial"/>
                <w:color w:val="000000"/>
                <w:sz w:val="15"/>
                <w:szCs w:val="15"/>
              </w:rPr>
              <w:t>0</w:t>
            </w:r>
            <w:r>
              <w:rPr>
                <w:rFonts w:cs="Arial"/>
                <w:color w:val="000000"/>
                <w:sz w:val="15"/>
                <w:szCs w:val="15"/>
              </w:rPr>
              <w:t>.</w:t>
            </w:r>
            <w:r w:rsidRPr="003003C0">
              <w:rPr>
                <w:rFonts w:cs="Arial"/>
                <w:color w:val="000000"/>
                <w:sz w:val="15"/>
                <w:szCs w:val="15"/>
              </w:rPr>
              <w:t>9</w:t>
            </w:r>
          </w:p>
        </w:tc>
        <w:tc>
          <w:tcPr>
            <w:tcW w:w="764" w:type="dxa"/>
            <w:noWrap/>
            <w:vAlign w:val="center"/>
            <w:hideMark/>
          </w:tcPr>
          <w:p w14:paraId="12FA0EEC" w14:textId="77777777" w:rsidR="004F64EF" w:rsidRPr="003003C0" w:rsidRDefault="004F64EF" w:rsidP="00FD6B66">
            <w:pPr>
              <w:jc w:val="right"/>
              <w:rPr>
                <w:rFonts w:cs="Arial"/>
                <w:color w:val="000000"/>
                <w:sz w:val="15"/>
                <w:szCs w:val="15"/>
              </w:rPr>
            </w:pPr>
            <w:r w:rsidRPr="003003C0">
              <w:rPr>
                <w:rFonts w:cs="Arial"/>
                <w:color w:val="000000"/>
                <w:sz w:val="15"/>
                <w:szCs w:val="15"/>
              </w:rPr>
              <w:t>0</w:t>
            </w:r>
            <w:r>
              <w:rPr>
                <w:rFonts w:cs="Arial"/>
                <w:color w:val="000000"/>
                <w:sz w:val="15"/>
                <w:szCs w:val="15"/>
              </w:rPr>
              <w:t>.</w:t>
            </w:r>
            <w:r w:rsidRPr="003003C0">
              <w:rPr>
                <w:rFonts w:cs="Arial"/>
                <w:color w:val="000000"/>
                <w:sz w:val="15"/>
                <w:szCs w:val="15"/>
              </w:rPr>
              <w:t>8</w:t>
            </w:r>
          </w:p>
        </w:tc>
        <w:tc>
          <w:tcPr>
            <w:tcW w:w="764" w:type="dxa"/>
            <w:noWrap/>
            <w:vAlign w:val="center"/>
            <w:hideMark/>
          </w:tcPr>
          <w:p w14:paraId="1E1B3573" w14:textId="77777777" w:rsidR="004F64EF" w:rsidRPr="003003C0" w:rsidRDefault="004F64EF" w:rsidP="00FD6B66">
            <w:pPr>
              <w:jc w:val="right"/>
              <w:rPr>
                <w:rFonts w:cs="Arial"/>
                <w:color w:val="000000"/>
                <w:sz w:val="15"/>
                <w:szCs w:val="15"/>
              </w:rPr>
            </w:pPr>
            <w:r w:rsidRPr="003003C0">
              <w:rPr>
                <w:rFonts w:cs="Arial"/>
                <w:color w:val="000000"/>
                <w:sz w:val="15"/>
                <w:szCs w:val="15"/>
              </w:rPr>
              <w:t>2</w:t>
            </w:r>
            <w:r>
              <w:rPr>
                <w:rFonts w:cs="Arial"/>
                <w:color w:val="000000"/>
                <w:sz w:val="15"/>
                <w:szCs w:val="15"/>
              </w:rPr>
              <w:t>.</w:t>
            </w:r>
            <w:r w:rsidRPr="003003C0">
              <w:rPr>
                <w:rFonts w:cs="Arial"/>
                <w:color w:val="000000"/>
                <w:sz w:val="15"/>
                <w:szCs w:val="15"/>
              </w:rPr>
              <w:t>7</w:t>
            </w:r>
          </w:p>
        </w:tc>
        <w:tc>
          <w:tcPr>
            <w:tcW w:w="764" w:type="dxa"/>
            <w:noWrap/>
            <w:vAlign w:val="center"/>
            <w:hideMark/>
          </w:tcPr>
          <w:p w14:paraId="14DE3BB8" w14:textId="77777777" w:rsidR="004F64EF" w:rsidRPr="003003C0" w:rsidRDefault="004F64EF" w:rsidP="00FD6B66">
            <w:pPr>
              <w:jc w:val="right"/>
              <w:rPr>
                <w:rFonts w:cs="Arial"/>
                <w:color w:val="000000"/>
                <w:sz w:val="15"/>
                <w:szCs w:val="15"/>
              </w:rPr>
            </w:pPr>
            <w:r w:rsidRPr="003003C0">
              <w:rPr>
                <w:rFonts w:cs="Arial"/>
                <w:color w:val="000000"/>
                <w:sz w:val="15"/>
                <w:szCs w:val="15"/>
              </w:rPr>
              <w:t>0</w:t>
            </w:r>
            <w:r>
              <w:rPr>
                <w:rFonts w:cs="Arial"/>
                <w:color w:val="000000"/>
                <w:sz w:val="15"/>
                <w:szCs w:val="15"/>
              </w:rPr>
              <w:t>.</w:t>
            </w:r>
            <w:r w:rsidRPr="003003C0">
              <w:rPr>
                <w:rFonts w:cs="Arial"/>
                <w:color w:val="000000"/>
                <w:sz w:val="15"/>
                <w:szCs w:val="15"/>
              </w:rPr>
              <w:t>8</w:t>
            </w:r>
          </w:p>
        </w:tc>
        <w:tc>
          <w:tcPr>
            <w:tcW w:w="764" w:type="dxa"/>
            <w:noWrap/>
            <w:vAlign w:val="center"/>
            <w:hideMark/>
          </w:tcPr>
          <w:p w14:paraId="2CA5CB80" w14:textId="77777777" w:rsidR="004F64EF" w:rsidRPr="003003C0" w:rsidRDefault="004F64EF" w:rsidP="00FD6B66">
            <w:pPr>
              <w:jc w:val="right"/>
              <w:rPr>
                <w:rFonts w:cs="Arial"/>
                <w:color w:val="000000"/>
                <w:sz w:val="15"/>
                <w:szCs w:val="15"/>
              </w:rPr>
            </w:pPr>
            <w:r w:rsidRPr="003003C0">
              <w:rPr>
                <w:rFonts w:cs="Arial"/>
                <w:color w:val="000000"/>
                <w:sz w:val="15"/>
                <w:szCs w:val="15"/>
              </w:rPr>
              <w:t>1</w:t>
            </w:r>
            <w:r>
              <w:rPr>
                <w:rFonts w:cs="Arial"/>
                <w:color w:val="000000"/>
                <w:sz w:val="15"/>
                <w:szCs w:val="15"/>
              </w:rPr>
              <w:t>.</w:t>
            </w:r>
            <w:r w:rsidRPr="003003C0">
              <w:rPr>
                <w:rFonts w:cs="Arial"/>
                <w:color w:val="000000"/>
                <w:sz w:val="15"/>
                <w:szCs w:val="15"/>
              </w:rPr>
              <w:t>0</w:t>
            </w:r>
          </w:p>
        </w:tc>
      </w:tr>
      <w:tr w:rsidR="004F64EF" w:rsidRPr="003003C0" w14:paraId="64852CD1" w14:textId="77777777" w:rsidTr="00FD6B66">
        <w:trPr>
          <w:cnfStyle w:val="000000010000" w:firstRow="0" w:lastRow="0" w:firstColumn="0" w:lastColumn="0" w:oddVBand="0" w:evenVBand="0" w:oddHBand="0" w:evenHBand="1" w:firstRowFirstColumn="0" w:firstRowLastColumn="0" w:lastRowFirstColumn="0" w:lastRowLastColumn="0"/>
          <w:trHeight w:val="20"/>
        </w:trPr>
        <w:tc>
          <w:tcPr>
            <w:tcW w:w="3681" w:type="dxa"/>
            <w:noWrap/>
            <w:vAlign w:val="center"/>
            <w:hideMark/>
          </w:tcPr>
          <w:p w14:paraId="1E65E3E5" w14:textId="77777777" w:rsidR="004F64EF" w:rsidRPr="002D25B6" w:rsidRDefault="004F64EF" w:rsidP="002D25B6">
            <w:pPr>
              <w:jc w:val="left"/>
              <w:rPr>
                <w:rFonts w:cs="Arial"/>
                <w:color w:val="000000"/>
                <w:sz w:val="15"/>
                <w:szCs w:val="15"/>
              </w:rPr>
            </w:pPr>
            <w:r w:rsidRPr="003003C0">
              <w:rPr>
                <w:rFonts w:cs="Arial"/>
                <w:color w:val="000000"/>
                <w:sz w:val="15"/>
                <w:szCs w:val="15"/>
              </w:rPr>
              <w:t xml:space="preserve">17 - </w:t>
            </w:r>
            <w:r>
              <w:rPr>
                <w:rFonts w:cs="Arial"/>
                <w:color w:val="000000"/>
                <w:sz w:val="15"/>
                <w:szCs w:val="15"/>
              </w:rPr>
              <w:t>V</w:t>
            </w:r>
            <w:r w:rsidRPr="002D25B6">
              <w:rPr>
                <w:rFonts w:cs="Arial"/>
                <w:color w:val="000000"/>
                <w:sz w:val="15"/>
                <w:szCs w:val="15"/>
              </w:rPr>
              <w:t>ehicles, aircraft, vessels and associated</w:t>
            </w:r>
          </w:p>
          <w:p w14:paraId="45E4924C" w14:textId="77777777" w:rsidR="004F64EF" w:rsidRPr="003003C0" w:rsidRDefault="004F64EF" w:rsidP="002D25B6">
            <w:pPr>
              <w:jc w:val="left"/>
              <w:rPr>
                <w:rFonts w:cs="Arial"/>
                <w:color w:val="000000"/>
                <w:sz w:val="15"/>
                <w:szCs w:val="15"/>
              </w:rPr>
            </w:pPr>
            <w:r w:rsidRPr="002D25B6">
              <w:rPr>
                <w:rFonts w:cs="Arial"/>
                <w:color w:val="000000"/>
                <w:sz w:val="15"/>
                <w:szCs w:val="15"/>
              </w:rPr>
              <w:t>transport equipment</w:t>
            </w:r>
          </w:p>
        </w:tc>
        <w:tc>
          <w:tcPr>
            <w:tcW w:w="764" w:type="dxa"/>
            <w:noWrap/>
            <w:vAlign w:val="center"/>
            <w:hideMark/>
          </w:tcPr>
          <w:p w14:paraId="6CCD39BC" w14:textId="77777777" w:rsidR="004F64EF" w:rsidRPr="003003C0" w:rsidRDefault="004F64EF" w:rsidP="00FD6B66">
            <w:pPr>
              <w:jc w:val="right"/>
              <w:rPr>
                <w:rFonts w:cs="Arial"/>
                <w:color w:val="000000"/>
                <w:sz w:val="15"/>
                <w:szCs w:val="15"/>
              </w:rPr>
            </w:pPr>
            <w:r w:rsidRPr="003003C0">
              <w:rPr>
                <w:rFonts w:cs="Arial"/>
                <w:color w:val="000000"/>
                <w:sz w:val="15"/>
                <w:szCs w:val="15"/>
              </w:rPr>
              <w:t>0</w:t>
            </w:r>
            <w:r>
              <w:rPr>
                <w:rFonts w:cs="Arial"/>
                <w:color w:val="000000"/>
                <w:sz w:val="15"/>
                <w:szCs w:val="15"/>
              </w:rPr>
              <w:t>.</w:t>
            </w:r>
            <w:r w:rsidRPr="003003C0">
              <w:rPr>
                <w:rFonts w:cs="Arial"/>
                <w:color w:val="000000"/>
                <w:sz w:val="15"/>
                <w:szCs w:val="15"/>
              </w:rPr>
              <w:t>6</w:t>
            </w:r>
          </w:p>
        </w:tc>
        <w:tc>
          <w:tcPr>
            <w:tcW w:w="764" w:type="dxa"/>
            <w:noWrap/>
            <w:vAlign w:val="center"/>
            <w:hideMark/>
          </w:tcPr>
          <w:p w14:paraId="182CD01E" w14:textId="77777777" w:rsidR="004F64EF" w:rsidRPr="003003C0" w:rsidRDefault="004F64EF" w:rsidP="00FD6B66">
            <w:pPr>
              <w:jc w:val="right"/>
              <w:rPr>
                <w:rFonts w:cs="Arial"/>
                <w:color w:val="000000"/>
                <w:sz w:val="15"/>
                <w:szCs w:val="15"/>
              </w:rPr>
            </w:pPr>
            <w:r w:rsidRPr="003003C0">
              <w:rPr>
                <w:rFonts w:cs="Arial"/>
                <w:color w:val="000000"/>
                <w:sz w:val="15"/>
                <w:szCs w:val="15"/>
              </w:rPr>
              <w:t>0</w:t>
            </w:r>
            <w:r>
              <w:rPr>
                <w:rFonts w:cs="Arial"/>
                <w:color w:val="000000"/>
                <w:sz w:val="15"/>
                <w:szCs w:val="15"/>
              </w:rPr>
              <w:t>.</w:t>
            </w:r>
            <w:r w:rsidRPr="003003C0">
              <w:rPr>
                <w:rFonts w:cs="Arial"/>
                <w:color w:val="000000"/>
                <w:sz w:val="15"/>
                <w:szCs w:val="15"/>
              </w:rPr>
              <w:t>3</w:t>
            </w:r>
          </w:p>
        </w:tc>
        <w:tc>
          <w:tcPr>
            <w:tcW w:w="764" w:type="dxa"/>
            <w:noWrap/>
            <w:vAlign w:val="center"/>
            <w:hideMark/>
          </w:tcPr>
          <w:p w14:paraId="0A38DB41" w14:textId="77777777" w:rsidR="004F64EF" w:rsidRPr="003003C0" w:rsidRDefault="004F64EF" w:rsidP="00FD6B66">
            <w:pPr>
              <w:jc w:val="right"/>
              <w:rPr>
                <w:rFonts w:cs="Arial"/>
                <w:color w:val="000000"/>
                <w:sz w:val="15"/>
                <w:szCs w:val="15"/>
              </w:rPr>
            </w:pPr>
            <w:r w:rsidRPr="003003C0">
              <w:rPr>
                <w:rFonts w:cs="Arial"/>
                <w:color w:val="000000"/>
                <w:sz w:val="15"/>
                <w:szCs w:val="15"/>
              </w:rPr>
              <w:t>0</w:t>
            </w:r>
            <w:r>
              <w:rPr>
                <w:rFonts w:cs="Arial"/>
                <w:color w:val="000000"/>
                <w:sz w:val="15"/>
                <w:szCs w:val="15"/>
              </w:rPr>
              <w:t>.</w:t>
            </w:r>
            <w:r w:rsidRPr="003003C0">
              <w:rPr>
                <w:rFonts w:cs="Arial"/>
                <w:color w:val="000000"/>
                <w:sz w:val="15"/>
                <w:szCs w:val="15"/>
              </w:rPr>
              <w:t>5</w:t>
            </w:r>
          </w:p>
        </w:tc>
        <w:tc>
          <w:tcPr>
            <w:tcW w:w="764" w:type="dxa"/>
            <w:noWrap/>
            <w:vAlign w:val="center"/>
            <w:hideMark/>
          </w:tcPr>
          <w:p w14:paraId="4240039C" w14:textId="77777777" w:rsidR="004F64EF" w:rsidRPr="003003C0" w:rsidRDefault="004F64EF" w:rsidP="00FD6B66">
            <w:pPr>
              <w:jc w:val="right"/>
              <w:rPr>
                <w:rFonts w:cs="Arial"/>
                <w:color w:val="000000"/>
                <w:sz w:val="15"/>
                <w:szCs w:val="15"/>
              </w:rPr>
            </w:pPr>
            <w:r w:rsidRPr="003003C0">
              <w:rPr>
                <w:rFonts w:cs="Arial"/>
                <w:color w:val="000000"/>
                <w:sz w:val="15"/>
                <w:szCs w:val="15"/>
              </w:rPr>
              <w:t>0</w:t>
            </w:r>
            <w:r>
              <w:rPr>
                <w:rFonts w:cs="Arial"/>
                <w:color w:val="000000"/>
                <w:sz w:val="15"/>
                <w:szCs w:val="15"/>
              </w:rPr>
              <w:t>.</w:t>
            </w:r>
            <w:r w:rsidRPr="003003C0">
              <w:rPr>
                <w:rFonts w:cs="Arial"/>
                <w:color w:val="000000"/>
                <w:sz w:val="15"/>
                <w:szCs w:val="15"/>
              </w:rPr>
              <w:t>5</w:t>
            </w:r>
          </w:p>
        </w:tc>
        <w:tc>
          <w:tcPr>
            <w:tcW w:w="764" w:type="dxa"/>
            <w:noWrap/>
            <w:vAlign w:val="center"/>
            <w:hideMark/>
          </w:tcPr>
          <w:p w14:paraId="2CD75DF3" w14:textId="77777777" w:rsidR="004F64EF" w:rsidRPr="003003C0" w:rsidRDefault="004F64EF" w:rsidP="00FD6B66">
            <w:pPr>
              <w:jc w:val="right"/>
              <w:rPr>
                <w:rFonts w:cs="Arial"/>
                <w:color w:val="000000"/>
                <w:sz w:val="15"/>
                <w:szCs w:val="15"/>
              </w:rPr>
            </w:pPr>
            <w:r w:rsidRPr="003003C0">
              <w:rPr>
                <w:rFonts w:cs="Arial"/>
                <w:color w:val="000000"/>
                <w:sz w:val="15"/>
                <w:szCs w:val="15"/>
              </w:rPr>
              <w:t>0</w:t>
            </w:r>
            <w:r>
              <w:rPr>
                <w:rFonts w:cs="Arial"/>
                <w:color w:val="000000"/>
                <w:sz w:val="15"/>
                <w:szCs w:val="15"/>
              </w:rPr>
              <w:t>.</w:t>
            </w:r>
            <w:r w:rsidRPr="003003C0">
              <w:rPr>
                <w:rFonts w:cs="Arial"/>
                <w:color w:val="000000"/>
                <w:sz w:val="15"/>
                <w:szCs w:val="15"/>
              </w:rPr>
              <w:t>3</w:t>
            </w:r>
          </w:p>
        </w:tc>
        <w:tc>
          <w:tcPr>
            <w:tcW w:w="764" w:type="dxa"/>
            <w:noWrap/>
            <w:vAlign w:val="center"/>
            <w:hideMark/>
          </w:tcPr>
          <w:p w14:paraId="5D3C0ACB" w14:textId="77777777" w:rsidR="004F64EF" w:rsidRPr="003003C0" w:rsidRDefault="004F64EF" w:rsidP="00FD6B66">
            <w:pPr>
              <w:jc w:val="right"/>
              <w:rPr>
                <w:rFonts w:cs="Arial"/>
                <w:color w:val="000000"/>
                <w:sz w:val="15"/>
                <w:szCs w:val="15"/>
              </w:rPr>
            </w:pPr>
            <w:r w:rsidRPr="003003C0">
              <w:rPr>
                <w:rFonts w:cs="Arial"/>
                <w:color w:val="000000"/>
                <w:sz w:val="15"/>
                <w:szCs w:val="15"/>
              </w:rPr>
              <w:t>0</w:t>
            </w:r>
            <w:r>
              <w:rPr>
                <w:rFonts w:cs="Arial"/>
                <w:color w:val="000000"/>
                <w:sz w:val="15"/>
                <w:szCs w:val="15"/>
              </w:rPr>
              <w:t>.</w:t>
            </w:r>
            <w:r w:rsidRPr="003003C0">
              <w:rPr>
                <w:rFonts w:cs="Arial"/>
                <w:color w:val="000000"/>
                <w:sz w:val="15"/>
                <w:szCs w:val="15"/>
              </w:rPr>
              <w:t>3</w:t>
            </w:r>
          </w:p>
        </w:tc>
        <w:tc>
          <w:tcPr>
            <w:tcW w:w="764" w:type="dxa"/>
            <w:noWrap/>
            <w:vAlign w:val="center"/>
            <w:hideMark/>
          </w:tcPr>
          <w:p w14:paraId="6376ED94" w14:textId="77777777" w:rsidR="004F64EF" w:rsidRPr="003003C0" w:rsidRDefault="004F64EF" w:rsidP="00FD6B66">
            <w:pPr>
              <w:jc w:val="right"/>
              <w:rPr>
                <w:rFonts w:cs="Arial"/>
                <w:color w:val="000000"/>
                <w:sz w:val="15"/>
                <w:szCs w:val="15"/>
              </w:rPr>
            </w:pPr>
            <w:r w:rsidRPr="003003C0">
              <w:rPr>
                <w:rFonts w:cs="Arial"/>
                <w:color w:val="000000"/>
                <w:sz w:val="15"/>
                <w:szCs w:val="15"/>
              </w:rPr>
              <w:t>0</w:t>
            </w:r>
            <w:r>
              <w:rPr>
                <w:rFonts w:cs="Arial"/>
                <w:color w:val="000000"/>
                <w:sz w:val="15"/>
                <w:szCs w:val="15"/>
              </w:rPr>
              <w:t>.</w:t>
            </w:r>
            <w:r w:rsidRPr="003003C0">
              <w:rPr>
                <w:rFonts w:cs="Arial"/>
                <w:color w:val="000000"/>
                <w:sz w:val="15"/>
                <w:szCs w:val="15"/>
              </w:rPr>
              <w:t>4</w:t>
            </w:r>
          </w:p>
        </w:tc>
      </w:tr>
      <w:tr w:rsidR="004F64EF" w:rsidRPr="003003C0" w14:paraId="0230E14E" w14:textId="77777777" w:rsidTr="00FD6B66">
        <w:trPr>
          <w:trHeight w:val="20"/>
        </w:trPr>
        <w:tc>
          <w:tcPr>
            <w:tcW w:w="3681" w:type="dxa"/>
            <w:noWrap/>
            <w:vAlign w:val="center"/>
            <w:hideMark/>
          </w:tcPr>
          <w:p w14:paraId="641536E6" w14:textId="77777777" w:rsidR="004F64EF" w:rsidRPr="002D25B6" w:rsidRDefault="004F64EF" w:rsidP="002D25B6">
            <w:pPr>
              <w:jc w:val="left"/>
              <w:rPr>
                <w:rFonts w:cs="Arial"/>
                <w:color w:val="000000"/>
                <w:sz w:val="15"/>
                <w:szCs w:val="15"/>
              </w:rPr>
            </w:pPr>
            <w:r w:rsidRPr="003003C0">
              <w:rPr>
                <w:rFonts w:cs="Arial"/>
                <w:color w:val="000000"/>
                <w:sz w:val="15"/>
                <w:szCs w:val="15"/>
              </w:rPr>
              <w:t xml:space="preserve">18 - </w:t>
            </w:r>
            <w:r>
              <w:rPr>
                <w:rFonts w:cs="Arial"/>
                <w:color w:val="000000"/>
                <w:sz w:val="15"/>
                <w:szCs w:val="15"/>
              </w:rPr>
              <w:t>O</w:t>
            </w:r>
            <w:r w:rsidRPr="002D25B6">
              <w:rPr>
                <w:rFonts w:cs="Arial"/>
                <w:color w:val="000000"/>
                <w:sz w:val="15"/>
                <w:szCs w:val="15"/>
              </w:rPr>
              <w:t>ptical, photographic, cinematographic, measuring,</w:t>
            </w:r>
            <w:r>
              <w:rPr>
                <w:rFonts w:cs="Arial"/>
                <w:color w:val="000000"/>
                <w:sz w:val="15"/>
                <w:szCs w:val="15"/>
              </w:rPr>
              <w:t xml:space="preserve"> </w:t>
            </w:r>
            <w:r w:rsidRPr="002D25B6">
              <w:rPr>
                <w:rFonts w:cs="Arial"/>
                <w:color w:val="000000"/>
                <w:sz w:val="15"/>
                <w:szCs w:val="15"/>
              </w:rPr>
              <w:t>checking</w:t>
            </w:r>
            <w:r>
              <w:rPr>
                <w:rFonts w:cs="Arial"/>
                <w:color w:val="000000"/>
                <w:sz w:val="15"/>
                <w:szCs w:val="15"/>
              </w:rPr>
              <w:t xml:space="preserve"> or</w:t>
            </w:r>
            <w:r w:rsidRPr="002D25B6">
              <w:rPr>
                <w:rFonts w:cs="Arial"/>
                <w:color w:val="000000"/>
                <w:sz w:val="15"/>
                <w:szCs w:val="15"/>
              </w:rPr>
              <w:t xml:space="preserve"> precision</w:t>
            </w:r>
            <w:r>
              <w:rPr>
                <w:rFonts w:cs="Arial"/>
                <w:color w:val="000000"/>
                <w:sz w:val="15"/>
                <w:szCs w:val="15"/>
              </w:rPr>
              <w:t xml:space="preserve"> </w:t>
            </w:r>
            <w:r w:rsidRPr="002D25B6">
              <w:rPr>
                <w:rFonts w:cs="Arial"/>
                <w:color w:val="000000"/>
                <w:sz w:val="15"/>
                <w:szCs w:val="15"/>
              </w:rPr>
              <w:t>instruments</w:t>
            </w:r>
          </w:p>
          <w:p w14:paraId="1CE801C1" w14:textId="77777777" w:rsidR="004F64EF" w:rsidRPr="003003C0" w:rsidRDefault="004F64EF" w:rsidP="002D25B6">
            <w:pPr>
              <w:jc w:val="left"/>
              <w:rPr>
                <w:rFonts w:cs="Arial"/>
                <w:color w:val="000000"/>
                <w:sz w:val="15"/>
                <w:szCs w:val="15"/>
              </w:rPr>
            </w:pPr>
            <w:r w:rsidRPr="002D25B6">
              <w:rPr>
                <w:rFonts w:cs="Arial"/>
                <w:color w:val="000000"/>
                <w:sz w:val="15"/>
                <w:szCs w:val="15"/>
              </w:rPr>
              <w:t>and apparatus</w:t>
            </w:r>
            <w:r w:rsidRPr="003003C0">
              <w:rPr>
                <w:rFonts w:cs="Arial"/>
                <w:color w:val="000000"/>
                <w:sz w:val="15"/>
                <w:szCs w:val="15"/>
              </w:rPr>
              <w:t>, etc.</w:t>
            </w:r>
          </w:p>
        </w:tc>
        <w:tc>
          <w:tcPr>
            <w:tcW w:w="764" w:type="dxa"/>
            <w:noWrap/>
            <w:vAlign w:val="center"/>
            <w:hideMark/>
          </w:tcPr>
          <w:p w14:paraId="0B9807AF" w14:textId="77777777" w:rsidR="004F64EF" w:rsidRPr="003003C0" w:rsidRDefault="004F64EF" w:rsidP="00FD6B66">
            <w:pPr>
              <w:jc w:val="right"/>
              <w:rPr>
                <w:rFonts w:cs="Arial"/>
                <w:color w:val="000000"/>
                <w:sz w:val="15"/>
                <w:szCs w:val="15"/>
              </w:rPr>
            </w:pPr>
            <w:r w:rsidRPr="003003C0">
              <w:rPr>
                <w:rFonts w:cs="Arial"/>
                <w:color w:val="000000"/>
                <w:sz w:val="15"/>
                <w:szCs w:val="15"/>
              </w:rPr>
              <w:t>0</w:t>
            </w:r>
            <w:r>
              <w:rPr>
                <w:rFonts w:cs="Arial"/>
                <w:color w:val="000000"/>
                <w:sz w:val="15"/>
                <w:szCs w:val="15"/>
              </w:rPr>
              <w:t>.</w:t>
            </w:r>
            <w:r w:rsidRPr="003003C0">
              <w:rPr>
                <w:rFonts w:cs="Arial"/>
                <w:color w:val="000000"/>
                <w:sz w:val="15"/>
                <w:szCs w:val="15"/>
              </w:rPr>
              <w:t>5</w:t>
            </w:r>
          </w:p>
        </w:tc>
        <w:tc>
          <w:tcPr>
            <w:tcW w:w="764" w:type="dxa"/>
            <w:noWrap/>
            <w:vAlign w:val="center"/>
            <w:hideMark/>
          </w:tcPr>
          <w:p w14:paraId="626B6B63" w14:textId="77777777" w:rsidR="004F64EF" w:rsidRPr="003003C0" w:rsidRDefault="004F64EF" w:rsidP="00FD6B66">
            <w:pPr>
              <w:jc w:val="right"/>
              <w:rPr>
                <w:rFonts w:cs="Arial"/>
                <w:color w:val="000000"/>
                <w:sz w:val="15"/>
                <w:szCs w:val="15"/>
              </w:rPr>
            </w:pPr>
            <w:r w:rsidRPr="003003C0">
              <w:rPr>
                <w:rFonts w:cs="Arial"/>
                <w:color w:val="000000"/>
                <w:sz w:val="15"/>
                <w:szCs w:val="15"/>
              </w:rPr>
              <w:t>0</w:t>
            </w:r>
            <w:r>
              <w:rPr>
                <w:rFonts w:cs="Arial"/>
                <w:color w:val="000000"/>
                <w:sz w:val="15"/>
                <w:szCs w:val="15"/>
              </w:rPr>
              <w:t>.</w:t>
            </w:r>
            <w:r w:rsidRPr="003003C0">
              <w:rPr>
                <w:rFonts w:cs="Arial"/>
                <w:color w:val="000000"/>
                <w:sz w:val="15"/>
                <w:szCs w:val="15"/>
              </w:rPr>
              <w:t>3</w:t>
            </w:r>
          </w:p>
        </w:tc>
        <w:tc>
          <w:tcPr>
            <w:tcW w:w="764" w:type="dxa"/>
            <w:noWrap/>
            <w:vAlign w:val="center"/>
            <w:hideMark/>
          </w:tcPr>
          <w:p w14:paraId="4E039240" w14:textId="77777777" w:rsidR="004F64EF" w:rsidRPr="003003C0" w:rsidRDefault="004F64EF" w:rsidP="00FD6B66">
            <w:pPr>
              <w:jc w:val="right"/>
              <w:rPr>
                <w:rFonts w:cs="Arial"/>
                <w:color w:val="000000"/>
                <w:sz w:val="15"/>
                <w:szCs w:val="15"/>
              </w:rPr>
            </w:pPr>
            <w:r w:rsidRPr="003003C0">
              <w:rPr>
                <w:rFonts w:cs="Arial"/>
                <w:color w:val="000000"/>
                <w:sz w:val="15"/>
                <w:szCs w:val="15"/>
              </w:rPr>
              <w:t>0</w:t>
            </w:r>
            <w:r>
              <w:rPr>
                <w:rFonts w:cs="Arial"/>
                <w:color w:val="000000"/>
                <w:sz w:val="15"/>
                <w:szCs w:val="15"/>
              </w:rPr>
              <w:t>.</w:t>
            </w:r>
            <w:r w:rsidRPr="003003C0">
              <w:rPr>
                <w:rFonts w:cs="Arial"/>
                <w:color w:val="000000"/>
                <w:sz w:val="15"/>
                <w:szCs w:val="15"/>
              </w:rPr>
              <w:t>5</w:t>
            </w:r>
          </w:p>
        </w:tc>
        <w:tc>
          <w:tcPr>
            <w:tcW w:w="764" w:type="dxa"/>
            <w:noWrap/>
            <w:vAlign w:val="center"/>
            <w:hideMark/>
          </w:tcPr>
          <w:p w14:paraId="7A0E808E" w14:textId="77777777" w:rsidR="004F64EF" w:rsidRPr="003003C0" w:rsidRDefault="004F64EF" w:rsidP="00FD6B66">
            <w:pPr>
              <w:jc w:val="right"/>
              <w:rPr>
                <w:rFonts w:cs="Arial"/>
                <w:color w:val="000000"/>
                <w:sz w:val="15"/>
                <w:szCs w:val="15"/>
              </w:rPr>
            </w:pPr>
            <w:r w:rsidRPr="003003C0">
              <w:rPr>
                <w:rFonts w:cs="Arial"/>
                <w:color w:val="000000"/>
                <w:sz w:val="15"/>
                <w:szCs w:val="15"/>
              </w:rPr>
              <w:t>0</w:t>
            </w:r>
            <w:r>
              <w:rPr>
                <w:rFonts w:cs="Arial"/>
                <w:color w:val="000000"/>
                <w:sz w:val="15"/>
                <w:szCs w:val="15"/>
              </w:rPr>
              <w:t>.</w:t>
            </w:r>
            <w:r w:rsidRPr="003003C0">
              <w:rPr>
                <w:rFonts w:cs="Arial"/>
                <w:color w:val="000000"/>
                <w:sz w:val="15"/>
                <w:szCs w:val="15"/>
              </w:rPr>
              <w:t>3</w:t>
            </w:r>
          </w:p>
        </w:tc>
        <w:tc>
          <w:tcPr>
            <w:tcW w:w="764" w:type="dxa"/>
            <w:noWrap/>
            <w:vAlign w:val="center"/>
            <w:hideMark/>
          </w:tcPr>
          <w:p w14:paraId="1966C997" w14:textId="77777777" w:rsidR="004F64EF" w:rsidRPr="003003C0" w:rsidRDefault="004F64EF" w:rsidP="00FD6B66">
            <w:pPr>
              <w:jc w:val="right"/>
              <w:rPr>
                <w:rFonts w:cs="Arial"/>
                <w:color w:val="000000"/>
                <w:sz w:val="15"/>
                <w:szCs w:val="15"/>
              </w:rPr>
            </w:pPr>
            <w:r w:rsidRPr="003003C0">
              <w:rPr>
                <w:rFonts w:cs="Arial"/>
                <w:color w:val="000000"/>
                <w:sz w:val="15"/>
                <w:szCs w:val="15"/>
              </w:rPr>
              <w:t>0</w:t>
            </w:r>
            <w:r>
              <w:rPr>
                <w:rFonts w:cs="Arial"/>
                <w:color w:val="000000"/>
                <w:sz w:val="15"/>
                <w:szCs w:val="15"/>
              </w:rPr>
              <w:t>.</w:t>
            </w:r>
            <w:r w:rsidRPr="003003C0">
              <w:rPr>
                <w:rFonts w:cs="Arial"/>
                <w:color w:val="000000"/>
                <w:sz w:val="15"/>
                <w:szCs w:val="15"/>
              </w:rPr>
              <w:t>2</w:t>
            </w:r>
          </w:p>
        </w:tc>
        <w:tc>
          <w:tcPr>
            <w:tcW w:w="764" w:type="dxa"/>
            <w:noWrap/>
            <w:vAlign w:val="center"/>
            <w:hideMark/>
          </w:tcPr>
          <w:p w14:paraId="17505F07" w14:textId="77777777" w:rsidR="004F64EF" w:rsidRPr="003003C0" w:rsidRDefault="004F64EF" w:rsidP="00FD6B66">
            <w:pPr>
              <w:jc w:val="right"/>
              <w:rPr>
                <w:rFonts w:cs="Arial"/>
                <w:color w:val="000000"/>
                <w:sz w:val="15"/>
                <w:szCs w:val="15"/>
              </w:rPr>
            </w:pPr>
            <w:r w:rsidRPr="003003C0">
              <w:rPr>
                <w:rFonts w:cs="Arial"/>
                <w:color w:val="000000"/>
                <w:sz w:val="15"/>
                <w:szCs w:val="15"/>
              </w:rPr>
              <w:t>0</w:t>
            </w:r>
            <w:r>
              <w:rPr>
                <w:rFonts w:cs="Arial"/>
                <w:color w:val="000000"/>
                <w:sz w:val="15"/>
                <w:szCs w:val="15"/>
              </w:rPr>
              <w:t>.</w:t>
            </w:r>
            <w:r w:rsidRPr="003003C0">
              <w:rPr>
                <w:rFonts w:cs="Arial"/>
                <w:color w:val="000000"/>
                <w:sz w:val="15"/>
                <w:szCs w:val="15"/>
              </w:rPr>
              <w:t>2</w:t>
            </w:r>
          </w:p>
        </w:tc>
        <w:tc>
          <w:tcPr>
            <w:tcW w:w="764" w:type="dxa"/>
            <w:noWrap/>
            <w:vAlign w:val="center"/>
            <w:hideMark/>
          </w:tcPr>
          <w:p w14:paraId="015A59BA" w14:textId="77777777" w:rsidR="004F64EF" w:rsidRPr="003003C0" w:rsidRDefault="004F64EF" w:rsidP="00FD6B66">
            <w:pPr>
              <w:jc w:val="right"/>
              <w:rPr>
                <w:rFonts w:cs="Arial"/>
                <w:color w:val="000000"/>
                <w:sz w:val="15"/>
                <w:szCs w:val="15"/>
              </w:rPr>
            </w:pPr>
            <w:r w:rsidRPr="003003C0">
              <w:rPr>
                <w:rFonts w:cs="Arial"/>
                <w:color w:val="000000"/>
                <w:sz w:val="15"/>
                <w:szCs w:val="15"/>
              </w:rPr>
              <w:t>0</w:t>
            </w:r>
            <w:r>
              <w:rPr>
                <w:rFonts w:cs="Arial"/>
                <w:color w:val="000000"/>
                <w:sz w:val="15"/>
                <w:szCs w:val="15"/>
              </w:rPr>
              <w:t>.</w:t>
            </w:r>
            <w:r w:rsidRPr="003003C0">
              <w:rPr>
                <w:rFonts w:cs="Arial"/>
                <w:color w:val="000000"/>
                <w:sz w:val="15"/>
                <w:szCs w:val="15"/>
              </w:rPr>
              <w:t>3</w:t>
            </w:r>
          </w:p>
        </w:tc>
      </w:tr>
      <w:tr w:rsidR="004F64EF" w:rsidRPr="003003C0" w14:paraId="283BC17B" w14:textId="77777777" w:rsidTr="00FD6B66">
        <w:trPr>
          <w:cnfStyle w:val="000000010000" w:firstRow="0" w:lastRow="0" w:firstColumn="0" w:lastColumn="0" w:oddVBand="0" w:evenVBand="0" w:oddHBand="0" w:evenHBand="1" w:firstRowFirstColumn="0" w:firstRowLastColumn="0" w:lastRowFirstColumn="0" w:lastRowLastColumn="0"/>
          <w:trHeight w:val="20"/>
        </w:trPr>
        <w:tc>
          <w:tcPr>
            <w:tcW w:w="3681" w:type="dxa"/>
            <w:noWrap/>
            <w:vAlign w:val="center"/>
            <w:hideMark/>
          </w:tcPr>
          <w:p w14:paraId="284031AC" w14:textId="77777777" w:rsidR="004F64EF" w:rsidRPr="003003C0" w:rsidRDefault="004F64EF" w:rsidP="00FD6B66">
            <w:pPr>
              <w:jc w:val="left"/>
              <w:rPr>
                <w:rFonts w:cs="Arial"/>
                <w:color w:val="000000"/>
                <w:sz w:val="15"/>
                <w:szCs w:val="15"/>
              </w:rPr>
            </w:pPr>
            <w:r w:rsidRPr="003003C0">
              <w:rPr>
                <w:rFonts w:cs="Arial"/>
                <w:color w:val="000000"/>
                <w:sz w:val="15"/>
                <w:szCs w:val="15"/>
              </w:rPr>
              <w:t xml:space="preserve">19 - </w:t>
            </w:r>
            <w:r>
              <w:rPr>
                <w:rFonts w:cs="Arial"/>
                <w:color w:val="000000"/>
                <w:sz w:val="15"/>
                <w:szCs w:val="15"/>
              </w:rPr>
              <w:t>A</w:t>
            </w:r>
            <w:r w:rsidRPr="001E433B">
              <w:rPr>
                <w:rFonts w:cs="Arial"/>
                <w:color w:val="000000"/>
                <w:sz w:val="15"/>
                <w:szCs w:val="15"/>
              </w:rPr>
              <w:t>rms and ammunition; parts and accessories thereof</w:t>
            </w:r>
          </w:p>
        </w:tc>
        <w:tc>
          <w:tcPr>
            <w:tcW w:w="764" w:type="dxa"/>
            <w:noWrap/>
            <w:vAlign w:val="center"/>
            <w:hideMark/>
          </w:tcPr>
          <w:p w14:paraId="41BE6BA3" w14:textId="77777777" w:rsidR="004F64EF" w:rsidRPr="003003C0" w:rsidRDefault="004F64EF" w:rsidP="00FD6B66">
            <w:pPr>
              <w:jc w:val="right"/>
              <w:rPr>
                <w:rFonts w:cs="Arial"/>
                <w:color w:val="000000"/>
                <w:sz w:val="15"/>
                <w:szCs w:val="15"/>
              </w:rPr>
            </w:pPr>
            <w:r w:rsidRPr="003003C0">
              <w:rPr>
                <w:rFonts w:cs="Arial"/>
                <w:color w:val="000000"/>
                <w:sz w:val="15"/>
                <w:szCs w:val="15"/>
              </w:rPr>
              <w:t>0</w:t>
            </w:r>
            <w:r>
              <w:rPr>
                <w:rFonts w:cs="Arial"/>
                <w:color w:val="000000"/>
                <w:sz w:val="15"/>
                <w:szCs w:val="15"/>
              </w:rPr>
              <w:t>.</w:t>
            </w:r>
            <w:r w:rsidRPr="003003C0">
              <w:rPr>
                <w:rFonts w:cs="Arial"/>
                <w:color w:val="000000"/>
                <w:sz w:val="15"/>
                <w:szCs w:val="15"/>
              </w:rPr>
              <w:t>0</w:t>
            </w:r>
          </w:p>
        </w:tc>
        <w:tc>
          <w:tcPr>
            <w:tcW w:w="764" w:type="dxa"/>
            <w:noWrap/>
            <w:vAlign w:val="center"/>
            <w:hideMark/>
          </w:tcPr>
          <w:p w14:paraId="413416BB" w14:textId="77777777" w:rsidR="004F64EF" w:rsidRPr="003003C0" w:rsidRDefault="004F64EF" w:rsidP="00FD6B66">
            <w:pPr>
              <w:jc w:val="right"/>
              <w:rPr>
                <w:rFonts w:cs="Arial"/>
                <w:color w:val="000000"/>
                <w:sz w:val="15"/>
                <w:szCs w:val="15"/>
              </w:rPr>
            </w:pPr>
            <w:r w:rsidRPr="003003C0">
              <w:rPr>
                <w:rFonts w:cs="Arial"/>
                <w:color w:val="000000"/>
                <w:sz w:val="15"/>
                <w:szCs w:val="15"/>
              </w:rPr>
              <w:t>0</w:t>
            </w:r>
            <w:r>
              <w:rPr>
                <w:rFonts w:cs="Arial"/>
                <w:color w:val="000000"/>
                <w:sz w:val="15"/>
                <w:szCs w:val="15"/>
              </w:rPr>
              <w:t>.</w:t>
            </w:r>
            <w:r w:rsidRPr="003003C0">
              <w:rPr>
                <w:rFonts w:cs="Arial"/>
                <w:color w:val="000000"/>
                <w:sz w:val="15"/>
                <w:szCs w:val="15"/>
              </w:rPr>
              <w:t>0</w:t>
            </w:r>
          </w:p>
        </w:tc>
        <w:tc>
          <w:tcPr>
            <w:tcW w:w="764" w:type="dxa"/>
            <w:noWrap/>
            <w:vAlign w:val="center"/>
            <w:hideMark/>
          </w:tcPr>
          <w:p w14:paraId="0658E33F" w14:textId="77777777" w:rsidR="004F64EF" w:rsidRPr="003003C0" w:rsidRDefault="004F64EF" w:rsidP="00FD6B66">
            <w:pPr>
              <w:jc w:val="right"/>
              <w:rPr>
                <w:rFonts w:cs="Arial"/>
                <w:color w:val="000000"/>
                <w:sz w:val="15"/>
                <w:szCs w:val="15"/>
              </w:rPr>
            </w:pPr>
            <w:r w:rsidRPr="003003C0">
              <w:rPr>
                <w:rFonts w:cs="Arial"/>
                <w:color w:val="000000"/>
                <w:sz w:val="15"/>
                <w:szCs w:val="15"/>
              </w:rPr>
              <w:t>0</w:t>
            </w:r>
            <w:r>
              <w:rPr>
                <w:rFonts w:cs="Arial"/>
                <w:color w:val="000000"/>
                <w:sz w:val="15"/>
                <w:szCs w:val="15"/>
              </w:rPr>
              <w:t>.</w:t>
            </w:r>
            <w:r w:rsidRPr="003003C0">
              <w:rPr>
                <w:rFonts w:cs="Arial"/>
                <w:color w:val="000000"/>
                <w:sz w:val="15"/>
                <w:szCs w:val="15"/>
              </w:rPr>
              <w:t>0</w:t>
            </w:r>
          </w:p>
        </w:tc>
        <w:tc>
          <w:tcPr>
            <w:tcW w:w="764" w:type="dxa"/>
            <w:noWrap/>
            <w:vAlign w:val="center"/>
            <w:hideMark/>
          </w:tcPr>
          <w:p w14:paraId="1B129D2A" w14:textId="77777777" w:rsidR="004F64EF" w:rsidRPr="003003C0" w:rsidRDefault="004F64EF" w:rsidP="00FD6B66">
            <w:pPr>
              <w:jc w:val="right"/>
              <w:rPr>
                <w:rFonts w:cs="Arial"/>
                <w:color w:val="000000"/>
                <w:sz w:val="15"/>
                <w:szCs w:val="15"/>
              </w:rPr>
            </w:pPr>
            <w:r w:rsidRPr="003003C0">
              <w:rPr>
                <w:rFonts w:cs="Arial"/>
                <w:color w:val="000000"/>
                <w:sz w:val="15"/>
                <w:szCs w:val="15"/>
              </w:rPr>
              <w:t>0</w:t>
            </w:r>
            <w:r>
              <w:rPr>
                <w:rFonts w:cs="Arial"/>
                <w:color w:val="000000"/>
                <w:sz w:val="15"/>
                <w:szCs w:val="15"/>
              </w:rPr>
              <w:t>.</w:t>
            </w:r>
            <w:r w:rsidRPr="003003C0">
              <w:rPr>
                <w:rFonts w:cs="Arial"/>
                <w:color w:val="000000"/>
                <w:sz w:val="15"/>
                <w:szCs w:val="15"/>
              </w:rPr>
              <w:t>0</w:t>
            </w:r>
          </w:p>
        </w:tc>
        <w:tc>
          <w:tcPr>
            <w:tcW w:w="764" w:type="dxa"/>
            <w:noWrap/>
            <w:vAlign w:val="center"/>
            <w:hideMark/>
          </w:tcPr>
          <w:p w14:paraId="34240D5B" w14:textId="77777777" w:rsidR="004F64EF" w:rsidRPr="003003C0" w:rsidRDefault="004F64EF" w:rsidP="00FD6B66">
            <w:pPr>
              <w:jc w:val="right"/>
              <w:rPr>
                <w:rFonts w:cs="Arial"/>
                <w:color w:val="000000"/>
                <w:sz w:val="15"/>
                <w:szCs w:val="15"/>
              </w:rPr>
            </w:pPr>
            <w:r w:rsidRPr="003003C0">
              <w:rPr>
                <w:rFonts w:cs="Arial"/>
                <w:color w:val="000000"/>
                <w:sz w:val="15"/>
                <w:szCs w:val="15"/>
              </w:rPr>
              <w:t>0</w:t>
            </w:r>
            <w:r>
              <w:rPr>
                <w:rFonts w:cs="Arial"/>
                <w:color w:val="000000"/>
                <w:sz w:val="15"/>
                <w:szCs w:val="15"/>
              </w:rPr>
              <w:t>.</w:t>
            </w:r>
            <w:r w:rsidRPr="003003C0">
              <w:rPr>
                <w:rFonts w:cs="Arial"/>
                <w:color w:val="000000"/>
                <w:sz w:val="15"/>
                <w:szCs w:val="15"/>
              </w:rPr>
              <w:t>0</w:t>
            </w:r>
          </w:p>
        </w:tc>
        <w:tc>
          <w:tcPr>
            <w:tcW w:w="764" w:type="dxa"/>
            <w:noWrap/>
            <w:vAlign w:val="center"/>
            <w:hideMark/>
          </w:tcPr>
          <w:p w14:paraId="66211F44" w14:textId="77777777" w:rsidR="004F64EF" w:rsidRPr="003003C0" w:rsidRDefault="004F64EF" w:rsidP="00FD6B66">
            <w:pPr>
              <w:jc w:val="right"/>
              <w:rPr>
                <w:rFonts w:cs="Arial"/>
                <w:color w:val="000000"/>
                <w:sz w:val="15"/>
                <w:szCs w:val="15"/>
              </w:rPr>
            </w:pPr>
            <w:r w:rsidRPr="003003C0">
              <w:rPr>
                <w:rFonts w:cs="Arial"/>
                <w:color w:val="000000"/>
                <w:sz w:val="15"/>
                <w:szCs w:val="15"/>
              </w:rPr>
              <w:t>0</w:t>
            </w:r>
            <w:r>
              <w:rPr>
                <w:rFonts w:cs="Arial"/>
                <w:color w:val="000000"/>
                <w:sz w:val="15"/>
                <w:szCs w:val="15"/>
              </w:rPr>
              <w:t>.</w:t>
            </w:r>
            <w:r w:rsidRPr="003003C0">
              <w:rPr>
                <w:rFonts w:cs="Arial"/>
                <w:color w:val="000000"/>
                <w:sz w:val="15"/>
                <w:szCs w:val="15"/>
              </w:rPr>
              <w:t>0</w:t>
            </w:r>
          </w:p>
        </w:tc>
        <w:tc>
          <w:tcPr>
            <w:tcW w:w="764" w:type="dxa"/>
            <w:noWrap/>
            <w:vAlign w:val="center"/>
            <w:hideMark/>
          </w:tcPr>
          <w:p w14:paraId="1FB97149" w14:textId="77777777" w:rsidR="004F64EF" w:rsidRPr="003003C0" w:rsidRDefault="004F64EF" w:rsidP="00FD6B66">
            <w:pPr>
              <w:jc w:val="right"/>
              <w:rPr>
                <w:rFonts w:cs="Arial"/>
                <w:color w:val="000000"/>
                <w:sz w:val="15"/>
                <w:szCs w:val="15"/>
              </w:rPr>
            </w:pPr>
            <w:r w:rsidRPr="003003C0">
              <w:rPr>
                <w:rFonts w:cs="Arial"/>
                <w:color w:val="000000"/>
                <w:sz w:val="15"/>
                <w:szCs w:val="15"/>
              </w:rPr>
              <w:t>0</w:t>
            </w:r>
            <w:r>
              <w:rPr>
                <w:rFonts w:cs="Arial"/>
                <w:color w:val="000000"/>
                <w:sz w:val="15"/>
                <w:szCs w:val="15"/>
              </w:rPr>
              <w:t>.</w:t>
            </w:r>
            <w:r w:rsidRPr="003003C0">
              <w:rPr>
                <w:rFonts w:cs="Arial"/>
                <w:color w:val="000000"/>
                <w:sz w:val="15"/>
                <w:szCs w:val="15"/>
              </w:rPr>
              <w:t>0</w:t>
            </w:r>
          </w:p>
        </w:tc>
      </w:tr>
      <w:tr w:rsidR="004F64EF" w:rsidRPr="003003C0" w14:paraId="3D14B926" w14:textId="77777777" w:rsidTr="00FD6B66">
        <w:trPr>
          <w:trHeight w:val="20"/>
        </w:trPr>
        <w:tc>
          <w:tcPr>
            <w:tcW w:w="3681" w:type="dxa"/>
            <w:noWrap/>
            <w:vAlign w:val="center"/>
            <w:hideMark/>
          </w:tcPr>
          <w:p w14:paraId="177A5BDC" w14:textId="77777777" w:rsidR="004F64EF" w:rsidRPr="003003C0" w:rsidRDefault="004F64EF" w:rsidP="00FD6B66">
            <w:pPr>
              <w:jc w:val="left"/>
              <w:rPr>
                <w:rFonts w:cs="Arial"/>
                <w:color w:val="000000"/>
                <w:sz w:val="15"/>
                <w:szCs w:val="15"/>
              </w:rPr>
            </w:pPr>
            <w:r w:rsidRPr="003003C0">
              <w:rPr>
                <w:rFonts w:cs="Arial"/>
                <w:color w:val="000000"/>
                <w:sz w:val="15"/>
                <w:szCs w:val="15"/>
              </w:rPr>
              <w:t xml:space="preserve">20 - </w:t>
            </w:r>
            <w:r>
              <w:rPr>
                <w:rFonts w:cs="Arial"/>
                <w:color w:val="000000"/>
                <w:sz w:val="15"/>
                <w:szCs w:val="15"/>
              </w:rPr>
              <w:t>M</w:t>
            </w:r>
            <w:r w:rsidRPr="001E433B">
              <w:rPr>
                <w:rFonts w:cs="Arial"/>
                <w:color w:val="000000"/>
                <w:sz w:val="15"/>
                <w:szCs w:val="15"/>
              </w:rPr>
              <w:t>iscellaneous manufactured articles</w:t>
            </w:r>
          </w:p>
        </w:tc>
        <w:tc>
          <w:tcPr>
            <w:tcW w:w="764" w:type="dxa"/>
            <w:noWrap/>
            <w:vAlign w:val="center"/>
            <w:hideMark/>
          </w:tcPr>
          <w:p w14:paraId="4C22C809" w14:textId="77777777" w:rsidR="004F64EF" w:rsidRPr="003003C0" w:rsidRDefault="004F64EF" w:rsidP="00FD6B66">
            <w:pPr>
              <w:jc w:val="right"/>
              <w:rPr>
                <w:rFonts w:cs="Arial"/>
                <w:color w:val="000000"/>
                <w:sz w:val="15"/>
                <w:szCs w:val="15"/>
              </w:rPr>
            </w:pPr>
            <w:r w:rsidRPr="003003C0">
              <w:rPr>
                <w:rFonts w:cs="Arial"/>
                <w:color w:val="000000"/>
                <w:sz w:val="15"/>
                <w:szCs w:val="15"/>
              </w:rPr>
              <w:t>0</w:t>
            </w:r>
            <w:r>
              <w:rPr>
                <w:rFonts w:cs="Arial"/>
                <w:color w:val="000000"/>
                <w:sz w:val="15"/>
                <w:szCs w:val="15"/>
              </w:rPr>
              <w:t>.</w:t>
            </w:r>
            <w:r w:rsidRPr="003003C0">
              <w:rPr>
                <w:rFonts w:cs="Arial"/>
                <w:color w:val="000000"/>
                <w:sz w:val="15"/>
                <w:szCs w:val="15"/>
              </w:rPr>
              <w:t>8</w:t>
            </w:r>
          </w:p>
        </w:tc>
        <w:tc>
          <w:tcPr>
            <w:tcW w:w="764" w:type="dxa"/>
            <w:noWrap/>
            <w:vAlign w:val="center"/>
            <w:hideMark/>
          </w:tcPr>
          <w:p w14:paraId="6D60D530" w14:textId="77777777" w:rsidR="004F64EF" w:rsidRPr="003003C0" w:rsidRDefault="004F64EF" w:rsidP="00FD6B66">
            <w:pPr>
              <w:jc w:val="right"/>
              <w:rPr>
                <w:rFonts w:cs="Arial"/>
                <w:color w:val="000000"/>
                <w:sz w:val="15"/>
                <w:szCs w:val="15"/>
              </w:rPr>
            </w:pPr>
            <w:r w:rsidRPr="003003C0">
              <w:rPr>
                <w:rFonts w:cs="Arial"/>
                <w:color w:val="000000"/>
                <w:sz w:val="15"/>
                <w:szCs w:val="15"/>
              </w:rPr>
              <w:t>0</w:t>
            </w:r>
            <w:r>
              <w:rPr>
                <w:rFonts w:cs="Arial"/>
                <w:color w:val="000000"/>
                <w:sz w:val="15"/>
                <w:szCs w:val="15"/>
              </w:rPr>
              <w:t>.</w:t>
            </w:r>
            <w:r w:rsidRPr="003003C0">
              <w:rPr>
                <w:rFonts w:cs="Arial"/>
                <w:color w:val="000000"/>
                <w:sz w:val="15"/>
                <w:szCs w:val="15"/>
              </w:rPr>
              <w:t>6</w:t>
            </w:r>
          </w:p>
        </w:tc>
        <w:tc>
          <w:tcPr>
            <w:tcW w:w="764" w:type="dxa"/>
            <w:noWrap/>
            <w:vAlign w:val="center"/>
            <w:hideMark/>
          </w:tcPr>
          <w:p w14:paraId="36DF7D10" w14:textId="77777777" w:rsidR="004F64EF" w:rsidRPr="003003C0" w:rsidRDefault="004F64EF" w:rsidP="00FD6B66">
            <w:pPr>
              <w:jc w:val="right"/>
              <w:rPr>
                <w:rFonts w:cs="Arial"/>
                <w:color w:val="000000"/>
                <w:sz w:val="15"/>
                <w:szCs w:val="15"/>
              </w:rPr>
            </w:pPr>
            <w:r w:rsidRPr="003003C0">
              <w:rPr>
                <w:rFonts w:cs="Arial"/>
                <w:color w:val="000000"/>
                <w:sz w:val="15"/>
                <w:szCs w:val="15"/>
              </w:rPr>
              <w:t>0</w:t>
            </w:r>
            <w:r>
              <w:rPr>
                <w:rFonts w:cs="Arial"/>
                <w:color w:val="000000"/>
                <w:sz w:val="15"/>
                <w:szCs w:val="15"/>
              </w:rPr>
              <w:t>.</w:t>
            </w:r>
            <w:r w:rsidRPr="003003C0">
              <w:rPr>
                <w:rFonts w:cs="Arial"/>
                <w:color w:val="000000"/>
                <w:sz w:val="15"/>
                <w:szCs w:val="15"/>
              </w:rPr>
              <w:t>6</w:t>
            </w:r>
          </w:p>
        </w:tc>
        <w:tc>
          <w:tcPr>
            <w:tcW w:w="764" w:type="dxa"/>
            <w:noWrap/>
            <w:vAlign w:val="center"/>
            <w:hideMark/>
          </w:tcPr>
          <w:p w14:paraId="36CD9492" w14:textId="77777777" w:rsidR="004F64EF" w:rsidRPr="003003C0" w:rsidRDefault="004F64EF" w:rsidP="00FD6B66">
            <w:pPr>
              <w:jc w:val="right"/>
              <w:rPr>
                <w:rFonts w:cs="Arial"/>
                <w:color w:val="000000"/>
                <w:sz w:val="15"/>
                <w:szCs w:val="15"/>
              </w:rPr>
            </w:pPr>
            <w:r w:rsidRPr="003003C0">
              <w:rPr>
                <w:rFonts w:cs="Arial"/>
                <w:color w:val="000000"/>
                <w:sz w:val="15"/>
                <w:szCs w:val="15"/>
              </w:rPr>
              <w:t>1</w:t>
            </w:r>
            <w:r>
              <w:rPr>
                <w:rFonts w:cs="Arial"/>
                <w:color w:val="000000"/>
                <w:sz w:val="15"/>
                <w:szCs w:val="15"/>
              </w:rPr>
              <w:t>.</w:t>
            </w:r>
            <w:r w:rsidRPr="003003C0">
              <w:rPr>
                <w:rFonts w:cs="Arial"/>
                <w:color w:val="000000"/>
                <w:sz w:val="15"/>
                <w:szCs w:val="15"/>
              </w:rPr>
              <w:t>1</w:t>
            </w:r>
          </w:p>
        </w:tc>
        <w:tc>
          <w:tcPr>
            <w:tcW w:w="764" w:type="dxa"/>
            <w:noWrap/>
            <w:vAlign w:val="center"/>
            <w:hideMark/>
          </w:tcPr>
          <w:p w14:paraId="07C98301" w14:textId="77777777" w:rsidR="004F64EF" w:rsidRPr="003003C0" w:rsidRDefault="004F64EF" w:rsidP="00FD6B66">
            <w:pPr>
              <w:jc w:val="right"/>
              <w:rPr>
                <w:rFonts w:cs="Arial"/>
                <w:color w:val="000000"/>
                <w:sz w:val="15"/>
                <w:szCs w:val="15"/>
              </w:rPr>
            </w:pPr>
            <w:r w:rsidRPr="003003C0">
              <w:rPr>
                <w:rFonts w:cs="Arial"/>
                <w:color w:val="000000"/>
                <w:sz w:val="15"/>
                <w:szCs w:val="15"/>
              </w:rPr>
              <w:t>0</w:t>
            </w:r>
            <w:r>
              <w:rPr>
                <w:rFonts w:cs="Arial"/>
                <w:color w:val="000000"/>
                <w:sz w:val="15"/>
                <w:szCs w:val="15"/>
              </w:rPr>
              <w:t>.</w:t>
            </w:r>
            <w:r w:rsidRPr="003003C0">
              <w:rPr>
                <w:rFonts w:cs="Arial"/>
                <w:color w:val="000000"/>
                <w:sz w:val="15"/>
                <w:szCs w:val="15"/>
              </w:rPr>
              <w:t>8</w:t>
            </w:r>
          </w:p>
        </w:tc>
        <w:tc>
          <w:tcPr>
            <w:tcW w:w="764" w:type="dxa"/>
            <w:noWrap/>
            <w:vAlign w:val="center"/>
            <w:hideMark/>
          </w:tcPr>
          <w:p w14:paraId="58B3684C" w14:textId="77777777" w:rsidR="004F64EF" w:rsidRPr="003003C0" w:rsidRDefault="004F64EF" w:rsidP="00FD6B66">
            <w:pPr>
              <w:jc w:val="right"/>
              <w:rPr>
                <w:rFonts w:cs="Arial"/>
                <w:color w:val="000000"/>
                <w:sz w:val="15"/>
                <w:szCs w:val="15"/>
              </w:rPr>
            </w:pPr>
            <w:r w:rsidRPr="003003C0">
              <w:rPr>
                <w:rFonts w:cs="Arial"/>
                <w:color w:val="000000"/>
                <w:sz w:val="15"/>
                <w:szCs w:val="15"/>
              </w:rPr>
              <w:t>0</w:t>
            </w:r>
            <w:r>
              <w:rPr>
                <w:rFonts w:cs="Arial"/>
                <w:color w:val="000000"/>
                <w:sz w:val="15"/>
                <w:szCs w:val="15"/>
              </w:rPr>
              <w:t>.</w:t>
            </w:r>
            <w:r w:rsidRPr="003003C0">
              <w:rPr>
                <w:rFonts w:cs="Arial"/>
                <w:color w:val="000000"/>
                <w:sz w:val="15"/>
                <w:szCs w:val="15"/>
              </w:rPr>
              <w:t>6</w:t>
            </w:r>
          </w:p>
        </w:tc>
        <w:tc>
          <w:tcPr>
            <w:tcW w:w="764" w:type="dxa"/>
            <w:noWrap/>
            <w:vAlign w:val="center"/>
            <w:hideMark/>
          </w:tcPr>
          <w:p w14:paraId="75B50884" w14:textId="77777777" w:rsidR="004F64EF" w:rsidRPr="003003C0" w:rsidRDefault="004F64EF" w:rsidP="00FD6B66">
            <w:pPr>
              <w:jc w:val="right"/>
              <w:rPr>
                <w:rFonts w:cs="Arial"/>
                <w:color w:val="000000"/>
                <w:sz w:val="15"/>
                <w:szCs w:val="15"/>
              </w:rPr>
            </w:pPr>
            <w:r w:rsidRPr="003003C0">
              <w:rPr>
                <w:rFonts w:cs="Arial"/>
                <w:color w:val="000000"/>
                <w:sz w:val="15"/>
                <w:szCs w:val="15"/>
              </w:rPr>
              <w:t>0</w:t>
            </w:r>
            <w:r>
              <w:rPr>
                <w:rFonts w:cs="Arial"/>
                <w:color w:val="000000"/>
                <w:sz w:val="15"/>
                <w:szCs w:val="15"/>
              </w:rPr>
              <w:t>.</w:t>
            </w:r>
            <w:r w:rsidRPr="003003C0">
              <w:rPr>
                <w:rFonts w:cs="Arial"/>
                <w:color w:val="000000"/>
                <w:sz w:val="15"/>
                <w:szCs w:val="15"/>
              </w:rPr>
              <w:t>6</w:t>
            </w:r>
          </w:p>
        </w:tc>
      </w:tr>
      <w:tr w:rsidR="004F64EF" w:rsidRPr="003003C0" w14:paraId="7F9983D9" w14:textId="77777777" w:rsidTr="00FD6B66">
        <w:trPr>
          <w:cnfStyle w:val="000000010000" w:firstRow="0" w:lastRow="0" w:firstColumn="0" w:lastColumn="0" w:oddVBand="0" w:evenVBand="0" w:oddHBand="0" w:evenHBand="1" w:firstRowFirstColumn="0" w:firstRowLastColumn="0" w:lastRowFirstColumn="0" w:lastRowLastColumn="0"/>
          <w:trHeight w:val="20"/>
        </w:trPr>
        <w:tc>
          <w:tcPr>
            <w:tcW w:w="3681" w:type="dxa"/>
            <w:noWrap/>
            <w:vAlign w:val="center"/>
            <w:hideMark/>
          </w:tcPr>
          <w:p w14:paraId="5F0FB0C2" w14:textId="77777777" w:rsidR="004F64EF" w:rsidRPr="003003C0" w:rsidRDefault="004F64EF" w:rsidP="00FD6B66">
            <w:pPr>
              <w:jc w:val="left"/>
              <w:rPr>
                <w:rFonts w:cs="Arial"/>
                <w:color w:val="000000"/>
                <w:sz w:val="15"/>
                <w:szCs w:val="15"/>
              </w:rPr>
            </w:pPr>
            <w:r w:rsidRPr="003003C0">
              <w:rPr>
                <w:rFonts w:cs="Arial"/>
                <w:color w:val="000000"/>
                <w:sz w:val="15"/>
                <w:szCs w:val="15"/>
              </w:rPr>
              <w:t xml:space="preserve">21 - </w:t>
            </w:r>
            <w:r>
              <w:rPr>
                <w:rFonts w:cs="Arial"/>
                <w:color w:val="000000"/>
                <w:sz w:val="15"/>
                <w:szCs w:val="15"/>
              </w:rPr>
              <w:t>W</w:t>
            </w:r>
            <w:r w:rsidRPr="001E433B">
              <w:rPr>
                <w:rFonts w:cs="Arial"/>
                <w:color w:val="000000"/>
                <w:sz w:val="15"/>
                <w:szCs w:val="15"/>
              </w:rPr>
              <w:t>orks of art, collectors' pieces and antiques</w:t>
            </w:r>
          </w:p>
        </w:tc>
        <w:tc>
          <w:tcPr>
            <w:tcW w:w="764" w:type="dxa"/>
            <w:noWrap/>
            <w:vAlign w:val="center"/>
            <w:hideMark/>
          </w:tcPr>
          <w:p w14:paraId="77FCE707" w14:textId="77777777" w:rsidR="004F64EF" w:rsidRPr="003003C0" w:rsidRDefault="004F64EF" w:rsidP="00FD6B66">
            <w:pPr>
              <w:jc w:val="right"/>
              <w:rPr>
                <w:rFonts w:cs="Arial"/>
                <w:color w:val="000000"/>
                <w:sz w:val="15"/>
                <w:szCs w:val="15"/>
              </w:rPr>
            </w:pPr>
            <w:r w:rsidRPr="003003C0">
              <w:rPr>
                <w:rFonts w:cs="Arial"/>
                <w:color w:val="000000"/>
                <w:sz w:val="15"/>
                <w:szCs w:val="15"/>
              </w:rPr>
              <w:t>0</w:t>
            </w:r>
            <w:r>
              <w:rPr>
                <w:rFonts w:cs="Arial"/>
                <w:color w:val="000000"/>
                <w:sz w:val="15"/>
                <w:szCs w:val="15"/>
              </w:rPr>
              <w:t>.</w:t>
            </w:r>
            <w:r w:rsidRPr="003003C0">
              <w:rPr>
                <w:rFonts w:cs="Arial"/>
                <w:color w:val="000000"/>
                <w:sz w:val="15"/>
                <w:szCs w:val="15"/>
              </w:rPr>
              <w:t>0</w:t>
            </w:r>
          </w:p>
        </w:tc>
        <w:tc>
          <w:tcPr>
            <w:tcW w:w="764" w:type="dxa"/>
            <w:noWrap/>
            <w:vAlign w:val="center"/>
            <w:hideMark/>
          </w:tcPr>
          <w:p w14:paraId="3C37EE9B" w14:textId="77777777" w:rsidR="004F64EF" w:rsidRPr="003003C0" w:rsidRDefault="004F64EF" w:rsidP="00FD6B66">
            <w:pPr>
              <w:jc w:val="right"/>
              <w:rPr>
                <w:rFonts w:cs="Arial"/>
                <w:color w:val="000000"/>
                <w:sz w:val="15"/>
                <w:szCs w:val="15"/>
              </w:rPr>
            </w:pPr>
            <w:r w:rsidRPr="003003C0">
              <w:rPr>
                <w:rFonts w:cs="Arial"/>
                <w:color w:val="000000"/>
                <w:sz w:val="15"/>
                <w:szCs w:val="15"/>
              </w:rPr>
              <w:t>0</w:t>
            </w:r>
            <w:r>
              <w:rPr>
                <w:rFonts w:cs="Arial"/>
                <w:color w:val="000000"/>
                <w:sz w:val="15"/>
                <w:szCs w:val="15"/>
              </w:rPr>
              <w:t>.</w:t>
            </w:r>
            <w:r w:rsidRPr="003003C0">
              <w:rPr>
                <w:rFonts w:cs="Arial"/>
                <w:color w:val="000000"/>
                <w:sz w:val="15"/>
                <w:szCs w:val="15"/>
              </w:rPr>
              <w:t>0</w:t>
            </w:r>
          </w:p>
        </w:tc>
        <w:tc>
          <w:tcPr>
            <w:tcW w:w="764" w:type="dxa"/>
            <w:noWrap/>
            <w:vAlign w:val="center"/>
            <w:hideMark/>
          </w:tcPr>
          <w:p w14:paraId="48C97BE9" w14:textId="77777777" w:rsidR="004F64EF" w:rsidRPr="003003C0" w:rsidRDefault="004F64EF" w:rsidP="00FD6B66">
            <w:pPr>
              <w:jc w:val="right"/>
              <w:rPr>
                <w:rFonts w:cs="Arial"/>
                <w:color w:val="000000"/>
                <w:sz w:val="15"/>
                <w:szCs w:val="15"/>
              </w:rPr>
            </w:pPr>
            <w:r w:rsidRPr="003003C0">
              <w:rPr>
                <w:rFonts w:cs="Arial"/>
                <w:color w:val="000000"/>
                <w:sz w:val="15"/>
                <w:szCs w:val="15"/>
              </w:rPr>
              <w:t>0</w:t>
            </w:r>
            <w:r>
              <w:rPr>
                <w:rFonts w:cs="Arial"/>
                <w:color w:val="000000"/>
                <w:sz w:val="15"/>
                <w:szCs w:val="15"/>
              </w:rPr>
              <w:t>.</w:t>
            </w:r>
            <w:r w:rsidRPr="003003C0">
              <w:rPr>
                <w:rFonts w:cs="Arial"/>
                <w:color w:val="000000"/>
                <w:sz w:val="15"/>
                <w:szCs w:val="15"/>
              </w:rPr>
              <w:t>0</w:t>
            </w:r>
          </w:p>
        </w:tc>
        <w:tc>
          <w:tcPr>
            <w:tcW w:w="764" w:type="dxa"/>
            <w:noWrap/>
            <w:vAlign w:val="center"/>
            <w:hideMark/>
          </w:tcPr>
          <w:p w14:paraId="74A37E0C" w14:textId="77777777" w:rsidR="004F64EF" w:rsidRPr="003003C0" w:rsidRDefault="004F64EF" w:rsidP="00FD6B66">
            <w:pPr>
              <w:jc w:val="right"/>
              <w:rPr>
                <w:rFonts w:cs="Arial"/>
                <w:color w:val="000000"/>
                <w:sz w:val="15"/>
                <w:szCs w:val="15"/>
              </w:rPr>
            </w:pPr>
            <w:r w:rsidRPr="003003C0">
              <w:rPr>
                <w:rFonts w:cs="Arial"/>
                <w:color w:val="000000"/>
                <w:sz w:val="15"/>
                <w:szCs w:val="15"/>
              </w:rPr>
              <w:t>0</w:t>
            </w:r>
            <w:r>
              <w:rPr>
                <w:rFonts w:cs="Arial"/>
                <w:color w:val="000000"/>
                <w:sz w:val="15"/>
                <w:szCs w:val="15"/>
              </w:rPr>
              <w:t>.</w:t>
            </w:r>
            <w:r w:rsidRPr="003003C0">
              <w:rPr>
                <w:rFonts w:cs="Arial"/>
                <w:color w:val="000000"/>
                <w:sz w:val="15"/>
                <w:szCs w:val="15"/>
              </w:rPr>
              <w:t>0</w:t>
            </w:r>
          </w:p>
        </w:tc>
        <w:tc>
          <w:tcPr>
            <w:tcW w:w="764" w:type="dxa"/>
            <w:noWrap/>
            <w:vAlign w:val="center"/>
            <w:hideMark/>
          </w:tcPr>
          <w:p w14:paraId="3F277B7C" w14:textId="77777777" w:rsidR="004F64EF" w:rsidRPr="003003C0" w:rsidRDefault="004F64EF" w:rsidP="00FD6B66">
            <w:pPr>
              <w:jc w:val="right"/>
              <w:rPr>
                <w:rFonts w:cs="Arial"/>
                <w:color w:val="000000"/>
                <w:sz w:val="15"/>
                <w:szCs w:val="15"/>
              </w:rPr>
            </w:pPr>
            <w:r w:rsidRPr="003003C0">
              <w:rPr>
                <w:rFonts w:cs="Arial"/>
                <w:color w:val="000000"/>
                <w:sz w:val="15"/>
                <w:szCs w:val="15"/>
              </w:rPr>
              <w:t>0</w:t>
            </w:r>
            <w:r>
              <w:rPr>
                <w:rFonts w:cs="Arial"/>
                <w:color w:val="000000"/>
                <w:sz w:val="15"/>
                <w:szCs w:val="15"/>
              </w:rPr>
              <w:t>.</w:t>
            </w:r>
            <w:r w:rsidRPr="003003C0">
              <w:rPr>
                <w:rFonts w:cs="Arial"/>
                <w:color w:val="000000"/>
                <w:sz w:val="15"/>
                <w:szCs w:val="15"/>
              </w:rPr>
              <w:t>0</w:t>
            </w:r>
          </w:p>
        </w:tc>
        <w:tc>
          <w:tcPr>
            <w:tcW w:w="764" w:type="dxa"/>
            <w:noWrap/>
            <w:vAlign w:val="center"/>
            <w:hideMark/>
          </w:tcPr>
          <w:p w14:paraId="68B917E4" w14:textId="77777777" w:rsidR="004F64EF" w:rsidRPr="003003C0" w:rsidRDefault="004F64EF" w:rsidP="00FD6B66">
            <w:pPr>
              <w:jc w:val="right"/>
              <w:rPr>
                <w:rFonts w:cs="Arial"/>
                <w:color w:val="000000"/>
                <w:sz w:val="15"/>
                <w:szCs w:val="15"/>
              </w:rPr>
            </w:pPr>
            <w:r w:rsidRPr="003003C0">
              <w:rPr>
                <w:rFonts w:cs="Arial"/>
                <w:color w:val="000000"/>
                <w:sz w:val="15"/>
                <w:szCs w:val="15"/>
              </w:rPr>
              <w:t>0</w:t>
            </w:r>
            <w:r>
              <w:rPr>
                <w:rFonts w:cs="Arial"/>
                <w:color w:val="000000"/>
                <w:sz w:val="15"/>
                <w:szCs w:val="15"/>
              </w:rPr>
              <w:t>.</w:t>
            </w:r>
            <w:r w:rsidRPr="003003C0">
              <w:rPr>
                <w:rFonts w:cs="Arial"/>
                <w:color w:val="000000"/>
                <w:sz w:val="15"/>
                <w:szCs w:val="15"/>
              </w:rPr>
              <w:t>0</w:t>
            </w:r>
          </w:p>
        </w:tc>
        <w:tc>
          <w:tcPr>
            <w:tcW w:w="764" w:type="dxa"/>
            <w:noWrap/>
            <w:vAlign w:val="center"/>
            <w:hideMark/>
          </w:tcPr>
          <w:p w14:paraId="1FD6697C" w14:textId="77777777" w:rsidR="004F64EF" w:rsidRPr="003003C0" w:rsidRDefault="004F64EF" w:rsidP="00FD6B66">
            <w:pPr>
              <w:jc w:val="right"/>
              <w:rPr>
                <w:rFonts w:cs="Arial"/>
                <w:color w:val="000000"/>
                <w:sz w:val="15"/>
                <w:szCs w:val="15"/>
              </w:rPr>
            </w:pPr>
            <w:r w:rsidRPr="003003C0">
              <w:rPr>
                <w:rFonts w:cs="Arial"/>
                <w:color w:val="000000"/>
                <w:sz w:val="15"/>
                <w:szCs w:val="15"/>
              </w:rPr>
              <w:t>0</w:t>
            </w:r>
            <w:r>
              <w:rPr>
                <w:rFonts w:cs="Arial"/>
                <w:color w:val="000000"/>
                <w:sz w:val="15"/>
                <w:szCs w:val="15"/>
              </w:rPr>
              <w:t>.</w:t>
            </w:r>
            <w:r w:rsidRPr="003003C0">
              <w:rPr>
                <w:rFonts w:cs="Arial"/>
                <w:color w:val="000000"/>
                <w:sz w:val="15"/>
                <w:szCs w:val="15"/>
              </w:rPr>
              <w:t>0</w:t>
            </w:r>
          </w:p>
        </w:tc>
      </w:tr>
      <w:tr w:rsidR="004F64EF" w:rsidRPr="003003C0" w14:paraId="12FAEA98" w14:textId="77777777" w:rsidTr="00FD6B66">
        <w:trPr>
          <w:trHeight w:val="20"/>
        </w:trPr>
        <w:tc>
          <w:tcPr>
            <w:tcW w:w="3681" w:type="dxa"/>
            <w:noWrap/>
            <w:vAlign w:val="center"/>
            <w:hideMark/>
          </w:tcPr>
          <w:p w14:paraId="3F6418D0" w14:textId="77777777" w:rsidR="004F64EF" w:rsidRPr="003003C0" w:rsidRDefault="004F64EF" w:rsidP="00FD6B66">
            <w:pPr>
              <w:jc w:val="left"/>
              <w:rPr>
                <w:rFonts w:cs="Arial"/>
                <w:color w:val="000000"/>
                <w:sz w:val="15"/>
                <w:szCs w:val="15"/>
              </w:rPr>
            </w:pPr>
            <w:r w:rsidRPr="003003C0">
              <w:rPr>
                <w:rFonts w:cs="Arial"/>
                <w:color w:val="000000"/>
                <w:sz w:val="15"/>
                <w:szCs w:val="15"/>
              </w:rPr>
              <w:t>Ot</w:t>
            </w:r>
            <w:r>
              <w:rPr>
                <w:rFonts w:cs="Arial"/>
                <w:color w:val="000000"/>
                <w:sz w:val="15"/>
                <w:szCs w:val="15"/>
              </w:rPr>
              <w:t>her</w:t>
            </w:r>
          </w:p>
        </w:tc>
        <w:tc>
          <w:tcPr>
            <w:tcW w:w="764" w:type="dxa"/>
            <w:noWrap/>
            <w:vAlign w:val="center"/>
            <w:hideMark/>
          </w:tcPr>
          <w:p w14:paraId="7E18BC80" w14:textId="77777777" w:rsidR="004F64EF" w:rsidRPr="003003C0" w:rsidRDefault="004F64EF" w:rsidP="00FD6B66">
            <w:pPr>
              <w:jc w:val="right"/>
              <w:rPr>
                <w:rFonts w:cs="Arial"/>
                <w:color w:val="000000"/>
                <w:sz w:val="15"/>
                <w:szCs w:val="15"/>
              </w:rPr>
            </w:pPr>
            <w:r w:rsidRPr="003003C0">
              <w:rPr>
                <w:rFonts w:cs="Arial"/>
                <w:color w:val="000000"/>
                <w:sz w:val="15"/>
                <w:szCs w:val="15"/>
              </w:rPr>
              <w:t>0</w:t>
            </w:r>
            <w:r>
              <w:rPr>
                <w:rFonts w:cs="Arial"/>
                <w:color w:val="000000"/>
                <w:sz w:val="15"/>
                <w:szCs w:val="15"/>
              </w:rPr>
              <w:t>.</w:t>
            </w:r>
            <w:r w:rsidRPr="003003C0">
              <w:rPr>
                <w:rFonts w:cs="Arial"/>
                <w:color w:val="000000"/>
                <w:sz w:val="15"/>
                <w:szCs w:val="15"/>
              </w:rPr>
              <w:t>0</w:t>
            </w:r>
          </w:p>
        </w:tc>
        <w:tc>
          <w:tcPr>
            <w:tcW w:w="764" w:type="dxa"/>
            <w:noWrap/>
            <w:vAlign w:val="center"/>
            <w:hideMark/>
          </w:tcPr>
          <w:p w14:paraId="16046BA5" w14:textId="77777777" w:rsidR="004F64EF" w:rsidRPr="003003C0" w:rsidRDefault="004F64EF" w:rsidP="00FD6B66">
            <w:pPr>
              <w:jc w:val="right"/>
              <w:rPr>
                <w:rFonts w:cs="Arial"/>
                <w:color w:val="000000"/>
                <w:sz w:val="15"/>
                <w:szCs w:val="15"/>
              </w:rPr>
            </w:pPr>
            <w:r w:rsidRPr="003003C0">
              <w:rPr>
                <w:rFonts w:cs="Arial"/>
                <w:color w:val="000000"/>
                <w:sz w:val="15"/>
                <w:szCs w:val="15"/>
              </w:rPr>
              <w:t>0</w:t>
            </w:r>
            <w:r>
              <w:rPr>
                <w:rFonts w:cs="Arial"/>
                <w:color w:val="000000"/>
                <w:sz w:val="15"/>
                <w:szCs w:val="15"/>
              </w:rPr>
              <w:t>.</w:t>
            </w:r>
            <w:r w:rsidRPr="003003C0">
              <w:rPr>
                <w:rFonts w:cs="Arial"/>
                <w:color w:val="000000"/>
                <w:sz w:val="15"/>
                <w:szCs w:val="15"/>
              </w:rPr>
              <w:t>0</w:t>
            </w:r>
          </w:p>
        </w:tc>
        <w:tc>
          <w:tcPr>
            <w:tcW w:w="764" w:type="dxa"/>
            <w:noWrap/>
            <w:vAlign w:val="center"/>
            <w:hideMark/>
          </w:tcPr>
          <w:p w14:paraId="42A25735" w14:textId="77777777" w:rsidR="004F64EF" w:rsidRPr="003003C0" w:rsidRDefault="004F64EF" w:rsidP="00FD6B66">
            <w:pPr>
              <w:jc w:val="right"/>
              <w:rPr>
                <w:rFonts w:cs="Arial"/>
                <w:color w:val="000000"/>
                <w:sz w:val="15"/>
                <w:szCs w:val="15"/>
              </w:rPr>
            </w:pPr>
            <w:r w:rsidRPr="003003C0">
              <w:rPr>
                <w:rFonts w:cs="Arial"/>
                <w:color w:val="000000"/>
                <w:sz w:val="15"/>
                <w:szCs w:val="15"/>
              </w:rPr>
              <w:t>0</w:t>
            </w:r>
            <w:r>
              <w:rPr>
                <w:rFonts w:cs="Arial"/>
                <w:color w:val="000000"/>
                <w:sz w:val="15"/>
                <w:szCs w:val="15"/>
              </w:rPr>
              <w:t>.</w:t>
            </w:r>
            <w:r w:rsidRPr="003003C0">
              <w:rPr>
                <w:rFonts w:cs="Arial"/>
                <w:color w:val="000000"/>
                <w:sz w:val="15"/>
                <w:szCs w:val="15"/>
              </w:rPr>
              <w:t>0</w:t>
            </w:r>
          </w:p>
        </w:tc>
        <w:tc>
          <w:tcPr>
            <w:tcW w:w="764" w:type="dxa"/>
            <w:noWrap/>
            <w:vAlign w:val="center"/>
            <w:hideMark/>
          </w:tcPr>
          <w:p w14:paraId="68F863EB" w14:textId="77777777" w:rsidR="004F64EF" w:rsidRPr="003003C0" w:rsidRDefault="004F64EF" w:rsidP="00FD6B66">
            <w:pPr>
              <w:jc w:val="right"/>
              <w:rPr>
                <w:rFonts w:cs="Arial"/>
                <w:color w:val="000000"/>
                <w:sz w:val="15"/>
                <w:szCs w:val="15"/>
              </w:rPr>
            </w:pPr>
            <w:r w:rsidRPr="003003C0">
              <w:rPr>
                <w:rFonts w:cs="Arial"/>
                <w:color w:val="000000"/>
                <w:sz w:val="15"/>
                <w:szCs w:val="15"/>
              </w:rPr>
              <w:t>0</w:t>
            </w:r>
            <w:r>
              <w:rPr>
                <w:rFonts w:cs="Arial"/>
                <w:color w:val="000000"/>
                <w:sz w:val="15"/>
                <w:szCs w:val="15"/>
              </w:rPr>
              <w:t>.</w:t>
            </w:r>
            <w:r w:rsidRPr="003003C0">
              <w:rPr>
                <w:rFonts w:cs="Arial"/>
                <w:color w:val="000000"/>
                <w:sz w:val="15"/>
                <w:szCs w:val="15"/>
              </w:rPr>
              <w:t>0</w:t>
            </w:r>
          </w:p>
        </w:tc>
        <w:tc>
          <w:tcPr>
            <w:tcW w:w="764" w:type="dxa"/>
            <w:noWrap/>
            <w:vAlign w:val="center"/>
            <w:hideMark/>
          </w:tcPr>
          <w:p w14:paraId="1C1E1C25" w14:textId="77777777" w:rsidR="004F64EF" w:rsidRPr="003003C0" w:rsidRDefault="004F64EF" w:rsidP="00FD6B66">
            <w:pPr>
              <w:jc w:val="right"/>
              <w:rPr>
                <w:rFonts w:cs="Arial"/>
                <w:color w:val="000000"/>
                <w:sz w:val="15"/>
                <w:szCs w:val="15"/>
              </w:rPr>
            </w:pPr>
            <w:r w:rsidRPr="003003C0">
              <w:rPr>
                <w:rFonts w:cs="Arial"/>
                <w:color w:val="000000"/>
                <w:sz w:val="15"/>
                <w:szCs w:val="15"/>
              </w:rPr>
              <w:t>0</w:t>
            </w:r>
            <w:r>
              <w:rPr>
                <w:rFonts w:cs="Arial"/>
                <w:color w:val="000000"/>
                <w:sz w:val="15"/>
                <w:szCs w:val="15"/>
              </w:rPr>
              <w:t>.</w:t>
            </w:r>
            <w:r w:rsidRPr="003003C0">
              <w:rPr>
                <w:rFonts w:cs="Arial"/>
                <w:color w:val="000000"/>
                <w:sz w:val="15"/>
                <w:szCs w:val="15"/>
              </w:rPr>
              <w:t>0</w:t>
            </w:r>
          </w:p>
        </w:tc>
        <w:tc>
          <w:tcPr>
            <w:tcW w:w="764" w:type="dxa"/>
            <w:noWrap/>
            <w:vAlign w:val="center"/>
            <w:hideMark/>
          </w:tcPr>
          <w:p w14:paraId="4A2A6EE3" w14:textId="77777777" w:rsidR="004F64EF" w:rsidRPr="003003C0" w:rsidRDefault="004F64EF" w:rsidP="00FD6B66">
            <w:pPr>
              <w:jc w:val="right"/>
              <w:rPr>
                <w:rFonts w:cs="Arial"/>
                <w:color w:val="000000"/>
                <w:sz w:val="15"/>
                <w:szCs w:val="15"/>
              </w:rPr>
            </w:pPr>
            <w:r w:rsidRPr="003003C0">
              <w:rPr>
                <w:rFonts w:cs="Arial"/>
                <w:color w:val="000000"/>
                <w:sz w:val="15"/>
                <w:szCs w:val="15"/>
              </w:rPr>
              <w:t>0</w:t>
            </w:r>
            <w:r>
              <w:rPr>
                <w:rFonts w:cs="Arial"/>
                <w:color w:val="000000"/>
                <w:sz w:val="15"/>
                <w:szCs w:val="15"/>
              </w:rPr>
              <w:t>.</w:t>
            </w:r>
            <w:r w:rsidRPr="003003C0">
              <w:rPr>
                <w:rFonts w:cs="Arial"/>
                <w:color w:val="000000"/>
                <w:sz w:val="15"/>
                <w:szCs w:val="15"/>
              </w:rPr>
              <w:t>0</w:t>
            </w:r>
          </w:p>
        </w:tc>
        <w:tc>
          <w:tcPr>
            <w:tcW w:w="764" w:type="dxa"/>
            <w:noWrap/>
            <w:vAlign w:val="center"/>
            <w:hideMark/>
          </w:tcPr>
          <w:p w14:paraId="58ECE430" w14:textId="77777777" w:rsidR="004F64EF" w:rsidRPr="003003C0" w:rsidRDefault="004F64EF" w:rsidP="00FD6B66">
            <w:pPr>
              <w:jc w:val="right"/>
              <w:rPr>
                <w:rFonts w:cs="Arial"/>
                <w:color w:val="000000"/>
                <w:sz w:val="15"/>
                <w:szCs w:val="15"/>
              </w:rPr>
            </w:pPr>
            <w:r w:rsidRPr="003003C0">
              <w:rPr>
                <w:rFonts w:cs="Arial"/>
                <w:color w:val="000000"/>
                <w:sz w:val="15"/>
                <w:szCs w:val="15"/>
              </w:rPr>
              <w:t>0</w:t>
            </w:r>
            <w:r>
              <w:rPr>
                <w:rFonts w:cs="Arial"/>
                <w:color w:val="000000"/>
                <w:sz w:val="15"/>
                <w:szCs w:val="15"/>
              </w:rPr>
              <w:t>.</w:t>
            </w:r>
            <w:r w:rsidRPr="003003C0">
              <w:rPr>
                <w:rFonts w:cs="Arial"/>
                <w:color w:val="000000"/>
                <w:sz w:val="15"/>
                <w:szCs w:val="15"/>
              </w:rPr>
              <w:t>0</w:t>
            </w:r>
          </w:p>
        </w:tc>
      </w:tr>
    </w:tbl>
    <w:p w14:paraId="3F0684F0" w14:textId="77777777" w:rsidR="004F64EF" w:rsidRPr="003003C0" w:rsidRDefault="004F64EF" w:rsidP="00B91D96">
      <w:pPr>
        <w:pStyle w:val="NoteText"/>
        <w:spacing w:before="120" w:after="240"/>
      </w:pPr>
      <w:r>
        <w:t>Sourc</w:t>
      </w:r>
      <w:r w:rsidRPr="003003C0">
        <w:t>e:</w:t>
      </w:r>
      <w:r w:rsidRPr="003003C0">
        <w:tab/>
      </w:r>
      <w:r>
        <w:t xml:space="preserve">WTO Secretariat calculations based on data from </w:t>
      </w:r>
      <w:r w:rsidRPr="003003C0">
        <w:t>COMEX.</w:t>
      </w:r>
    </w:p>
    <w:p w14:paraId="7826BC1B" w14:textId="77777777" w:rsidR="004F64EF" w:rsidRPr="003003C0" w:rsidRDefault="004F64EF" w:rsidP="00B91D96">
      <w:r w:rsidRPr="003003C0">
        <w:br w:type="page"/>
      </w:r>
    </w:p>
    <w:p w14:paraId="010B5E9C" w14:textId="77777777" w:rsidR="004F64EF" w:rsidRPr="003003C0" w:rsidRDefault="004F64EF" w:rsidP="00B91D96">
      <w:pPr>
        <w:pStyle w:val="Caption"/>
      </w:pPr>
      <w:bookmarkStart w:id="421" w:name="_Toc114735862"/>
      <w:bookmarkStart w:id="422" w:name="_Toc117004280"/>
      <w:r>
        <w:lastRenderedPageBreak/>
        <w:t>Table</w:t>
      </w:r>
      <w:r w:rsidRPr="003003C0">
        <w:t xml:space="preserve"> A1.</w:t>
      </w:r>
      <w:r w:rsidR="00BD37F2">
        <w:fldChar w:fldCharType="begin"/>
      </w:r>
      <w:r w:rsidR="00BD37F2">
        <w:instrText xml:space="preserve"> SEQ Table_A1. \* ARABIC </w:instrText>
      </w:r>
      <w:r w:rsidR="00BD37F2">
        <w:fldChar w:fldCharType="separate"/>
      </w:r>
      <w:r w:rsidRPr="003003C0">
        <w:rPr>
          <w:noProof/>
        </w:rPr>
        <w:t>2</w:t>
      </w:r>
      <w:r w:rsidR="00BD37F2">
        <w:rPr>
          <w:noProof/>
        </w:rPr>
        <w:fldChar w:fldCharType="end"/>
      </w:r>
      <w:r w:rsidRPr="003003C0">
        <w:t xml:space="preserve"> Export</w:t>
      </w:r>
      <w:r>
        <w:t>s from free zones by HS section and main HS chapter</w:t>
      </w:r>
      <w:r w:rsidRPr="003003C0">
        <w:t>, 2015-21</w:t>
      </w:r>
      <w:bookmarkEnd w:id="421"/>
      <w:bookmarkEnd w:id="422"/>
    </w:p>
    <w:p w14:paraId="2C393175" w14:textId="77777777" w:rsidR="004F64EF" w:rsidRPr="003003C0" w:rsidRDefault="004F64EF" w:rsidP="00B91D96">
      <w:pPr>
        <w:pStyle w:val="NoteText"/>
      </w:pPr>
      <w:r w:rsidRPr="003003C0">
        <w:t xml:space="preserve">(USD </w:t>
      </w:r>
      <w:r>
        <w:t xml:space="preserve">million and </w:t>
      </w:r>
      <w:r w:rsidRPr="003003C0">
        <w:t>%)</w:t>
      </w:r>
    </w:p>
    <w:tbl>
      <w:tblPr>
        <w:tblStyle w:val="WTOTable1"/>
        <w:tblW w:w="9029" w:type="dxa"/>
        <w:tblLayout w:type="fixed"/>
        <w:tblLook w:val="04A0" w:firstRow="1" w:lastRow="0" w:firstColumn="1" w:lastColumn="0" w:noHBand="0" w:noVBand="1"/>
      </w:tblPr>
      <w:tblGrid>
        <w:gridCol w:w="4246"/>
        <w:gridCol w:w="683"/>
        <w:gridCol w:w="683"/>
        <w:gridCol w:w="683"/>
        <w:gridCol w:w="684"/>
        <w:gridCol w:w="683"/>
        <w:gridCol w:w="683"/>
        <w:gridCol w:w="684"/>
      </w:tblGrid>
      <w:tr w:rsidR="004F64EF" w:rsidRPr="003003C0" w14:paraId="677F5D45" w14:textId="77777777" w:rsidTr="00FD6B66">
        <w:trPr>
          <w:cnfStyle w:val="100000000000" w:firstRow="1" w:lastRow="0" w:firstColumn="0" w:lastColumn="0" w:oddVBand="0" w:evenVBand="0" w:oddHBand="0" w:evenHBand="0" w:firstRowFirstColumn="0" w:firstRowLastColumn="0" w:lastRowFirstColumn="0" w:lastRowLastColumn="0"/>
          <w:trHeight w:val="20"/>
          <w:tblHeader/>
        </w:trPr>
        <w:tc>
          <w:tcPr>
            <w:tcW w:w="4246" w:type="dxa"/>
            <w:noWrap/>
            <w:vAlign w:val="center"/>
            <w:hideMark/>
          </w:tcPr>
          <w:p w14:paraId="292B247B" w14:textId="77777777" w:rsidR="004F64EF" w:rsidRPr="003003C0" w:rsidRDefault="004F64EF" w:rsidP="00FD6B66">
            <w:pPr>
              <w:jc w:val="left"/>
              <w:rPr>
                <w:rFonts w:eastAsia="Times New Roman" w:cs="Calibri"/>
                <w:color w:val="FFFFFF" w:themeColor="background1"/>
                <w:sz w:val="14"/>
                <w:szCs w:val="14"/>
                <w:lang w:eastAsia="en-GB"/>
              </w:rPr>
            </w:pPr>
            <w:r w:rsidRPr="003003C0">
              <w:rPr>
                <w:rFonts w:cs="Calibri"/>
                <w:color w:val="FFFFFF" w:themeColor="background1"/>
                <w:sz w:val="14"/>
                <w:szCs w:val="14"/>
              </w:rPr>
              <w:t>Descrip</w:t>
            </w:r>
            <w:r>
              <w:rPr>
                <w:rFonts w:cs="Calibri"/>
                <w:color w:val="FFFFFF" w:themeColor="background1"/>
                <w:sz w:val="14"/>
                <w:szCs w:val="14"/>
              </w:rPr>
              <w:t>tion</w:t>
            </w:r>
          </w:p>
        </w:tc>
        <w:tc>
          <w:tcPr>
            <w:tcW w:w="683" w:type="dxa"/>
            <w:noWrap/>
            <w:vAlign w:val="center"/>
            <w:hideMark/>
          </w:tcPr>
          <w:p w14:paraId="772352E4" w14:textId="77777777" w:rsidR="004F64EF" w:rsidRPr="003003C0" w:rsidRDefault="004F64EF" w:rsidP="00FD6B66">
            <w:pPr>
              <w:ind w:right="28"/>
              <w:jc w:val="right"/>
              <w:rPr>
                <w:rFonts w:cs="Calibri"/>
                <w:color w:val="FFFFFF" w:themeColor="background1"/>
                <w:sz w:val="14"/>
                <w:szCs w:val="14"/>
              </w:rPr>
            </w:pPr>
            <w:r w:rsidRPr="003003C0">
              <w:rPr>
                <w:rFonts w:cs="Calibri"/>
                <w:color w:val="FFFFFF" w:themeColor="background1"/>
                <w:sz w:val="14"/>
                <w:szCs w:val="14"/>
              </w:rPr>
              <w:t>2015</w:t>
            </w:r>
          </w:p>
        </w:tc>
        <w:tc>
          <w:tcPr>
            <w:tcW w:w="683" w:type="dxa"/>
            <w:noWrap/>
            <w:vAlign w:val="center"/>
            <w:hideMark/>
          </w:tcPr>
          <w:p w14:paraId="212FF2F9" w14:textId="77777777" w:rsidR="004F64EF" w:rsidRPr="003003C0" w:rsidRDefault="004F64EF" w:rsidP="00FD6B66">
            <w:pPr>
              <w:ind w:right="28"/>
              <w:jc w:val="right"/>
              <w:rPr>
                <w:rFonts w:cs="Calibri"/>
                <w:color w:val="FFFFFF" w:themeColor="background1"/>
                <w:sz w:val="14"/>
                <w:szCs w:val="14"/>
              </w:rPr>
            </w:pPr>
            <w:r w:rsidRPr="003003C0">
              <w:rPr>
                <w:rFonts w:cs="Calibri"/>
                <w:color w:val="FFFFFF" w:themeColor="background1"/>
                <w:sz w:val="14"/>
                <w:szCs w:val="14"/>
              </w:rPr>
              <w:t>2016</w:t>
            </w:r>
          </w:p>
        </w:tc>
        <w:tc>
          <w:tcPr>
            <w:tcW w:w="683" w:type="dxa"/>
            <w:noWrap/>
            <w:vAlign w:val="center"/>
            <w:hideMark/>
          </w:tcPr>
          <w:p w14:paraId="4788F92C" w14:textId="77777777" w:rsidR="004F64EF" w:rsidRPr="003003C0" w:rsidRDefault="004F64EF" w:rsidP="00FD6B66">
            <w:pPr>
              <w:ind w:right="28"/>
              <w:jc w:val="right"/>
              <w:rPr>
                <w:rFonts w:cs="Calibri"/>
                <w:color w:val="FFFFFF" w:themeColor="background1"/>
                <w:sz w:val="14"/>
                <w:szCs w:val="14"/>
              </w:rPr>
            </w:pPr>
            <w:r w:rsidRPr="003003C0">
              <w:rPr>
                <w:rFonts w:cs="Calibri"/>
                <w:color w:val="FFFFFF" w:themeColor="background1"/>
                <w:sz w:val="14"/>
                <w:szCs w:val="14"/>
              </w:rPr>
              <w:t>2017</w:t>
            </w:r>
          </w:p>
        </w:tc>
        <w:tc>
          <w:tcPr>
            <w:tcW w:w="684" w:type="dxa"/>
            <w:noWrap/>
            <w:vAlign w:val="center"/>
            <w:hideMark/>
          </w:tcPr>
          <w:p w14:paraId="6CCBE818" w14:textId="77777777" w:rsidR="004F64EF" w:rsidRPr="003003C0" w:rsidRDefault="004F64EF" w:rsidP="00FD6B66">
            <w:pPr>
              <w:ind w:right="28"/>
              <w:jc w:val="right"/>
              <w:rPr>
                <w:rFonts w:cs="Calibri"/>
                <w:color w:val="FFFFFF" w:themeColor="background1"/>
                <w:sz w:val="14"/>
                <w:szCs w:val="14"/>
              </w:rPr>
            </w:pPr>
            <w:r w:rsidRPr="003003C0">
              <w:rPr>
                <w:rFonts w:cs="Calibri"/>
                <w:color w:val="FFFFFF" w:themeColor="background1"/>
                <w:sz w:val="14"/>
                <w:szCs w:val="14"/>
              </w:rPr>
              <w:t>2018</w:t>
            </w:r>
          </w:p>
        </w:tc>
        <w:tc>
          <w:tcPr>
            <w:tcW w:w="683" w:type="dxa"/>
            <w:noWrap/>
            <w:vAlign w:val="center"/>
            <w:hideMark/>
          </w:tcPr>
          <w:p w14:paraId="6593DC20" w14:textId="77777777" w:rsidR="004F64EF" w:rsidRPr="003003C0" w:rsidRDefault="004F64EF" w:rsidP="00FD6B66">
            <w:pPr>
              <w:ind w:right="28"/>
              <w:jc w:val="right"/>
              <w:rPr>
                <w:rFonts w:cs="Calibri"/>
                <w:color w:val="FFFFFF" w:themeColor="background1"/>
                <w:sz w:val="14"/>
                <w:szCs w:val="14"/>
              </w:rPr>
            </w:pPr>
            <w:r w:rsidRPr="003003C0">
              <w:rPr>
                <w:rFonts w:cs="Calibri"/>
                <w:color w:val="FFFFFF" w:themeColor="background1"/>
                <w:sz w:val="14"/>
                <w:szCs w:val="14"/>
              </w:rPr>
              <w:t>2019</w:t>
            </w:r>
          </w:p>
        </w:tc>
        <w:tc>
          <w:tcPr>
            <w:tcW w:w="683" w:type="dxa"/>
            <w:noWrap/>
            <w:vAlign w:val="center"/>
            <w:hideMark/>
          </w:tcPr>
          <w:p w14:paraId="747097C1" w14:textId="77777777" w:rsidR="004F64EF" w:rsidRPr="003003C0" w:rsidRDefault="004F64EF" w:rsidP="00FD6B66">
            <w:pPr>
              <w:ind w:right="28"/>
              <w:jc w:val="right"/>
              <w:rPr>
                <w:rFonts w:cs="Calibri"/>
                <w:color w:val="FFFFFF" w:themeColor="background1"/>
                <w:sz w:val="14"/>
                <w:szCs w:val="14"/>
              </w:rPr>
            </w:pPr>
            <w:r w:rsidRPr="003003C0">
              <w:rPr>
                <w:rFonts w:cs="Calibri"/>
                <w:color w:val="FFFFFF" w:themeColor="background1"/>
                <w:sz w:val="14"/>
                <w:szCs w:val="14"/>
              </w:rPr>
              <w:t>2020</w:t>
            </w:r>
          </w:p>
        </w:tc>
        <w:tc>
          <w:tcPr>
            <w:tcW w:w="684" w:type="dxa"/>
            <w:noWrap/>
            <w:vAlign w:val="center"/>
            <w:hideMark/>
          </w:tcPr>
          <w:p w14:paraId="1E7AC90B" w14:textId="77777777" w:rsidR="004F64EF" w:rsidRPr="003003C0" w:rsidRDefault="004F64EF" w:rsidP="00FD6B66">
            <w:pPr>
              <w:ind w:right="28"/>
              <w:jc w:val="right"/>
              <w:rPr>
                <w:rFonts w:cs="Calibri"/>
                <w:color w:val="FFFFFF" w:themeColor="background1"/>
                <w:sz w:val="14"/>
                <w:szCs w:val="14"/>
              </w:rPr>
            </w:pPr>
            <w:r w:rsidRPr="003003C0">
              <w:rPr>
                <w:rFonts w:cs="Calibri"/>
                <w:color w:val="FFFFFF" w:themeColor="background1"/>
                <w:sz w:val="14"/>
                <w:szCs w:val="14"/>
              </w:rPr>
              <w:t>2021</w:t>
            </w:r>
          </w:p>
        </w:tc>
      </w:tr>
      <w:tr w:rsidR="004F64EF" w:rsidRPr="003003C0" w14:paraId="326E98B8" w14:textId="77777777" w:rsidTr="00FD6B66">
        <w:trPr>
          <w:trHeight w:val="20"/>
        </w:trPr>
        <w:tc>
          <w:tcPr>
            <w:tcW w:w="4246" w:type="dxa"/>
            <w:noWrap/>
            <w:vAlign w:val="center"/>
            <w:hideMark/>
          </w:tcPr>
          <w:p w14:paraId="1C2A1BB3" w14:textId="77777777" w:rsidR="004F64EF" w:rsidRPr="003003C0" w:rsidRDefault="004F64EF" w:rsidP="00FD6B66">
            <w:pPr>
              <w:jc w:val="left"/>
              <w:rPr>
                <w:sz w:val="14"/>
                <w:szCs w:val="14"/>
              </w:rPr>
            </w:pPr>
          </w:p>
        </w:tc>
        <w:tc>
          <w:tcPr>
            <w:tcW w:w="4783" w:type="dxa"/>
            <w:gridSpan w:val="7"/>
            <w:noWrap/>
            <w:vAlign w:val="center"/>
            <w:hideMark/>
          </w:tcPr>
          <w:p w14:paraId="167570A1" w14:textId="77777777" w:rsidR="004F64EF" w:rsidRPr="003003C0" w:rsidRDefault="004F64EF" w:rsidP="00FD6B66">
            <w:pPr>
              <w:jc w:val="center"/>
              <w:rPr>
                <w:rFonts w:cs="Calibri"/>
                <w:b/>
                <w:bCs/>
                <w:color w:val="000000"/>
                <w:sz w:val="14"/>
                <w:szCs w:val="14"/>
              </w:rPr>
            </w:pPr>
            <w:r w:rsidRPr="003003C0">
              <w:rPr>
                <w:rFonts w:cs="Calibri"/>
                <w:b/>
                <w:bCs/>
                <w:color w:val="000000"/>
                <w:sz w:val="14"/>
                <w:szCs w:val="14"/>
              </w:rPr>
              <w:t>(</w:t>
            </w:r>
            <w:r>
              <w:rPr>
                <w:rFonts w:cs="Calibri"/>
                <w:b/>
                <w:bCs/>
                <w:color w:val="000000"/>
                <w:sz w:val="14"/>
                <w:szCs w:val="14"/>
              </w:rPr>
              <w:t xml:space="preserve">USD </w:t>
            </w:r>
            <w:r w:rsidRPr="003003C0">
              <w:rPr>
                <w:rFonts w:cs="Calibri"/>
                <w:b/>
                <w:bCs/>
                <w:color w:val="000000"/>
                <w:sz w:val="14"/>
                <w:szCs w:val="14"/>
              </w:rPr>
              <w:t>mill</w:t>
            </w:r>
            <w:r>
              <w:rPr>
                <w:rFonts w:cs="Calibri"/>
                <w:b/>
                <w:bCs/>
                <w:color w:val="000000"/>
                <w:sz w:val="14"/>
                <w:szCs w:val="14"/>
              </w:rPr>
              <w:t>i</w:t>
            </w:r>
            <w:r w:rsidRPr="003003C0">
              <w:rPr>
                <w:rFonts w:cs="Calibri"/>
                <w:b/>
                <w:bCs/>
                <w:color w:val="000000"/>
                <w:sz w:val="14"/>
                <w:szCs w:val="14"/>
              </w:rPr>
              <w:t>on)</w:t>
            </w:r>
          </w:p>
        </w:tc>
      </w:tr>
      <w:tr w:rsidR="004F64EF" w:rsidRPr="003003C0" w14:paraId="39B05F9F" w14:textId="77777777" w:rsidTr="00FD6B66">
        <w:trPr>
          <w:cnfStyle w:val="000000010000" w:firstRow="0" w:lastRow="0" w:firstColumn="0" w:lastColumn="0" w:oddVBand="0" w:evenVBand="0" w:oddHBand="0" w:evenHBand="1" w:firstRowFirstColumn="0" w:firstRowLastColumn="0" w:lastRowFirstColumn="0" w:lastRowLastColumn="0"/>
          <w:trHeight w:val="20"/>
        </w:trPr>
        <w:tc>
          <w:tcPr>
            <w:tcW w:w="4246" w:type="dxa"/>
            <w:noWrap/>
            <w:vAlign w:val="center"/>
            <w:hideMark/>
          </w:tcPr>
          <w:p w14:paraId="57E5A894" w14:textId="77777777" w:rsidR="004F64EF" w:rsidRPr="003003C0" w:rsidRDefault="004F64EF" w:rsidP="00FD6B66">
            <w:pPr>
              <w:jc w:val="left"/>
              <w:rPr>
                <w:rFonts w:cs="Calibri"/>
                <w:color w:val="000000"/>
                <w:sz w:val="14"/>
                <w:szCs w:val="14"/>
              </w:rPr>
            </w:pPr>
            <w:r w:rsidRPr="003003C0">
              <w:rPr>
                <w:rFonts w:cs="Calibri"/>
                <w:color w:val="000000"/>
                <w:sz w:val="14"/>
                <w:szCs w:val="14"/>
              </w:rPr>
              <w:t>Export</w:t>
            </w:r>
            <w:r>
              <w:rPr>
                <w:rFonts w:cs="Calibri"/>
                <w:color w:val="000000"/>
                <w:sz w:val="14"/>
                <w:szCs w:val="14"/>
              </w:rPr>
              <w:t>s from free zones</w:t>
            </w:r>
          </w:p>
        </w:tc>
        <w:tc>
          <w:tcPr>
            <w:tcW w:w="683" w:type="dxa"/>
            <w:noWrap/>
            <w:vAlign w:val="center"/>
            <w:hideMark/>
          </w:tcPr>
          <w:p w14:paraId="20811886" w14:textId="77777777" w:rsidR="004F64EF" w:rsidRPr="003003C0" w:rsidRDefault="004F64EF" w:rsidP="00FD6B66">
            <w:pPr>
              <w:jc w:val="right"/>
              <w:rPr>
                <w:rFonts w:cs="Calibri"/>
                <w:sz w:val="14"/>
                <w:szCs w:val="14"/>
              </w:rPr>
            </w:pPr>
            <w:r w:rsidRPr="003003C0">
              <w:rPr>
                <w:rFonts w:cs="Calibri"/>
                <w:sz w:val="14"/>
                <w:szCs w:val="14"/>
              </w:rPr>
              <w:t>5</w:t>
            </w:r>
            <w:r>
              <w:rPr>
                <w:rFonts w:cs="Calibri"/>
                <w:sz w:val="14"/>
                <w:szCs w:val="14"/>
              </w:rPr>
              <w:t>,</w:t>
            </w:r>
            <w:r w:rsidRPr="003003C0">
              <w:rPr>
                <w:rFonts w:cs="Calibri"/>
                <w:sz w:val="14"/>
                <w:szCs w:val="14"/>
              </w:rPr>
              <w:t>394</w:t>
            </w:r>
          </w:p>
        </w:tc>
        <w:tc>
          <w:tcPr>
            <w:tcW w:w="683" w:type="dxa"/>
            <w:noWrap/>
            <w:vAlign w:val="center"/>
            <w:hideMark/>
          </w:tcPr>
          <w:p w14:paraId="13968F98" w14:textId="77777777" w:rsidR="004F64EF" w:rsidRPr="003003C0" w:rsidRDefault="004F64EF" w:rsidP="00FD6B66">
            <w:pPr>
              <w:jc w:val="right"/>
              <w:rPr>
                <w:rFonts w:cs="Calibri"/>
                <w:sz w:val="14"/>
                <w:szCs w:val="14"/>
              </w:rPr>
            </w:pPr>
            <w:r w:rsidRPr="003003C0">
              <w:rPr>
                <w:rFonts w:cs="Calibri"/>
                <w:sz w:val="14"/>
                <w:szCs w:val="14"/>
              </w:rPr>
              <w:t>5</w:t>
            </w:r>
            <w:r>
              <w:rPr>
                <w:rFonts w:cs="Calibri"/>
                <w:sz w:val="14"/>
                <w:szCs w:val="14"/>
              </w:rPr>
              <w:t>,</w:t>
            </w:r>
            <w:r w:rsidRPr="003003C0">
              <w:rPr>
                <w:rFonts w:cs="Calibri"/>
                <w:sz w:val="14"/>
                <w:szCs w:val="14"/>
              </w:rPr>
              <w:t>386</w:t>
            </w:r>
          </w:p>
        </w:tc>
        <w:tc>
          <w:tcPr>
            <w:tcW w:w="683" w:type="dxa"/>
            <w:noWrap/>
            <w:vAlign w:val="center"/>
            <w:hideMark/>
          </w:tcPr>
          <w:p w14:paraId="120F7591" w14:textId="77777777" w:rsidR="004F64EF" w:rsidRPr="003003C0" w:rsidRDefault="004F64EF" w:rsidP="00FD6B66">
            <w:pPr>
              <w:jc w:val="right"/>
              <w:rPr>
                <w:rFonts w:cs="Calibri"/>
                <w:sz w:val="14"/>
                <w:szCs w:val="14"/>
              </w:rPr>
            </w:pPr>
            <w:r w:rsidRPr="003003C0">
              <w:rPr>
                <w:rFonts w:cs="Calibri"/>
                <w:sz w:val="14"/>
                <w:szCs w:val="14"/>
              </w:rPr>
              <w:t>5</w:t>
            </w:r>
            <w:r>
              <w:rPr>
                <w:rFonts w:cs="Calibri"/>
                <w:sz w:val="14"/>
                <w:szCs w:val="14"/>
              </w:rPr>
              <w:t>,</w:t>
            </w:r>
            <w:r w:rsidRPr="003003C0">
              <w:rPr>
                <w:rFonts w:cs="Calibri"/>
                <w:sz w:val="14"/>
                <w:szCs w:val="14"/>
              </w:rPr>
              <w:t>709</w:t>
            </w:r>
          </w:p>
        </w:tc>
        <w:tc>
          <w:tcPr>
            <w:tcW w:w="684" w:type="dxa"/>
            <w:noWrap/>
            <w:vAlign w:val="center"/>
            <w:hideMark/>
          </w:tcPr>
          <w:p w14:paraId="761DE9C1" w14:textId="77777777" w:rsidR="004F64EF" w:rsidRPr="003003C0" w:rsidRDefault="004F64EF" w:rsidP="00FD6B66">
            <w:pPr>
              <w:jc w:val="right"/>
              <w:rPr>
                <w:rFonts w:cs="Calibri"/>
                <w:sz w:val="14"/>
                <w:szCs w:val="14"/>
              </w:rPr>
            </w:pPr>
            <w:r w:rsidRPr="003003C0">
              <w:rPr>
                <w:rFonts w:cs="Calibri"/>
                <w:sz w:val="14"/>
                <w:szCs w:val="14"/>
              </w:rPr>
              <w:t>6</w:t>
            </w:r>
            <w:r>
              <w:rPr>
                <w:rFonts w:cs="Calibri"/>
                <w:sz w:val="14"/>
                <w:szCs w:val="14"/>
              </w:rPr>
              <w:t>,</w:t>
            </w:r>
            <w:r w:rsidRPr="003003C0">
              <w:rPr>
                <w:rFonts w:cs="Calibri"/>
                <w:sz w:val="14"/>
                <w:szCs w:val="14"/>
              </w:rPr>
              <w:t>035</w:t>
            </w:r>
          </w:p>
        </w:tc>
        <w:tc>
          <w:tcPr>
            <w:tcW w:w="683" w:type="dxa"/>
            <w:noWrap/>
            <w:vAlign w:val="center"/>
            <w:hideMark/>
          </w:tcPr>
          <w:p w14:paraId="749D8626" w14:textId="77777777" w:rsidR="004F64EF" w:rsidRPr="003003C0" w:rsidRDefault="004F64EF" w:rsidP="00FD6B66">
            <w:pPr>
              <w:jc w:val="right"/>
              <w:rPr>
                <w:rFonts w:cs="Calibri"/>
                <w:sz w:val="14"/>
                <w:szCs w:val="14"/>
              </w:rPr>
            </w:pPr>
            <w:r w:rsidRPr="003003C0">
              <w:rPr>
                <w:rFonts w:cs="Calibri"/>
                <w:sz w:val="14"/>
                <w:szCs w:val="14"/>
              </w:rPr>
              <w:t>6</w:t>
            </w:r>
            <w:r>
              <w:rPr>
                <w:rFonts w:cs="Calibri"/>
                <w:sz w:val="14"/>
                <w:szCs w:val="14"/>
              </w:rPr>
              <w:t>,</w:t>
            </w:r>
            <w:r w:rsidRPr="003003C0">
              <w:rPr>
                <w:rFonts w:cs="Calibri"/>
                <w:sz w:val="14"/>
                <w:szCs w:val="14"/>
              </w:rPr>
              <w:t>249</w:t>
            </w:r>
          </w:p>
        </w:tc>
        <w:tc>
          <w:tcPr>
            <w:tcW w:w="683" w:type="dxa"/>
            <w:noWrap/>
            <w:vAlign w:val="center"/>
            <w:hideMark/>
          </w:tcPr>
          <w:p w14:paraId="5A305584" w14:textId="77777777" w:rsidR="004F64EF" w:rsidRPr="003003C0" w:rsidRDefault="004F64EF" w:rsidP="00FD6B66">
            <w:pPr>
              <w:jc w:val="right"/>
              <w:rPr>
                <w:rFonts w:cs="Calibri"/>
                <w:sz w:val="14"/>
                <w:szCs w:val="14"/>
              </w:rPr>
            </w:pPr>
            <w:r w:rsidRPr="003003C0">
              <w:rPr>
                <w:rFonts w:cs="Calibri"/>
                <w:sz w:val="14"/>
                <w:szCs w:val="14"/>
              </w:rPr>
              <w:t>5</w:t>
            </w:r>
            <w:r>
              <w:rPr>
                <w:rFonts w:cs="Calibri"/>
                <w:sz w:val="14"/>
                <w:szCs w:val="14"/>
              </w:rPr>
              <w:t>,</w:t>
            </w:r>
            <w:r w:rsidRPr="003003C0">
              <w:rPr>
                <w:rFonts w:cs="Calibri"/>
                <w:sz w:val="14"/>
                <w:szCs w:val="14"/>
              </w:rPr>
              <w:t>828</w:t>
            </w:r>
          </w:p>
        </w:tc>
        <w:tc>
          <w:tcPr>
            <w:tcW w:w="684" w:type="dxa"/>
            <w:noWrap/>
            <w:vAlign w:val="center"/>
            <w:hideMark/>
          </w:tcPr>
          <w:p w14:paraId="0B4D9095" w14:textId="77777777" w:rsidR="004F64EF" w:rsidRPr="003003C0" w:rsidRDefault="004F64EF" w:rsidP="00FD6B66">
            <w:pPr>
              <w:jc w:val="right"/>
              <w:rPr>
                <w:rFonts w:cs="Calibri"/>
                <w:sz w:val="14"/>
                <w:szCs w:val="14"/>
              </w:rPr>
            </w:pPr>
            <w:r w:rsidRPr="003003C0">
              <w:rPr>
                <w:rFonts w:cs="Calibri"/>
                <w:sz w:val="14"/>
                <w:szCs w:val="14"/>
              </w:rPr>
              <w:t>7</w:t>
            </w:r>
            <w:r>
              <w:rPr>
                <w:rFonts w:cs="Calibri"/>
                <w:sz w:val="14"/>
                <w:szCs w:val="14"/>
              </w:rPr>
              <w:t>,</w:t>
            </w:r>
            <w:r w:rsidRPr="003003C0">
              <w:rPr>
                <w:rFonts w:cs="Calibri"/>
                <w:sz w:val="14"/>
                <w:szCs w:val="14"/>
              </w:rPr>
              <w:t>143</w:t>
            </w:r>
          </w:p>
        </w:tc>
      </w:tr>
      <w:tr w:rsidR="004F64EF" w:rsidRPr="003003C0" w14:paraId="14B68F54" w14:textId="77777777" w:rsidTr="00FD6B66">
        <w:trPr>
          <w:trHeight w:val="20"/>
        </w:trPr>
        <w:tc>
          <w:tcPr>
            <w:tcW w:w="4246" w:type="dxa"/>
            <w:noWrap/>
            <w:vAlign w:val="center"/>
            <w:hideMark/>
          </w:tcPr>
          <w:p w14:paraId="3E513925" w14:textId="77777777" w:rsidR="004F64EF" w:rsidRPr="003003C0" w:rsidRDefault="004F64EF" w:rsidP="00FD6B66">
            <w:pPr>
              <w:jc w:val="left"/>
              <w:rPr>
                <w:sz w:val="14"/>
                <w:szCs w:val="14"/>
              </w:rPr>
            </w:pPr>
          </w:p>
        </w:tc>
        <w:tc>
          <w:tcPr>
            <w:tcW w:w="4783" w:type="dxa"/>
            <w:gridSpan w:val="7"/>
            <w:noWrap/>
            <w:vAlign w:val="center"/>
            <w:hideMark/>
          </w:tcPr>
          <w:p w14:paraId="4D0A06E0" w14:textId="77777777" w:rsidR="004F64EF" w:rsidRPr="003003C0" w:rsidRDefault="004F64EF" w:rsidP="00FD6B66">
            <w:pPr>
              <w:jc w:val="center"/>
              <w:rPr>
                <w:rFonts w:cs="Calibri"/>
                <w:b/>
                <w:bCs/>
                <w:color w:val="000000"/>
                <w:sz w:val="14"/>
                <w:szCs w:val="14"/>
              </w:rPr>
            </w:pPr>
            <w:r w:rsidRPr="003003C0">
              <w:rPr>
                <w:rFonts w:cs="Calibri"/>
                <w:b/>
                <w:bCs/>
                <w:color w:val="000000"/>
                <w:sz w:val="14"/>
                <w:szCs w:val="14"/>
              </w:rPr>
              <w:t xml:space="preserve">(% </w:t>
            </w:r>
            <w:r>
              <w:rPr>
                <w:rFonts w:cs="Calibri"/>
                <w:b/>
                <w:bCs/>
                <w:color w:val="000000"/>
                <w:sz w:val="14"/>
                <w:szCs w:val="14"/>
              </w:rPr>
              <w:t>of exports from free zones</w:t>
            </w:r>
            <w:r w:rsidRPr="003003C0">
              <w:rPr>
                <w:rFonts w:cs="Calibri"/>
                <w:b/>
                <w:bCs/>
                <w:color w:val="000000"/>
                <w:sz w:val="14"/>
                <w:szCs w:val="14"/>
              </w:rPr>
              <w:t>)</w:t>
            </w:r>
          </w:p>
        </w:tc>
      </w:tr>
      <w:tr w:rsidR="004F64EF" w:rsidRPr="003003C0" w14:paraId="5E9CA70C" w14:textId="77777777" w:rsidTr="00FD6B66">
        <w:trPr>
          <w:cnfStyle w:val="000000010000" w:firstRow="0" w:lastRow="0" w:firstColumn="0" w:lastColumn="0" w:oddVBand="0" w:evenVBand="0" w:oddHBand="0" w:evenHBand="1" w:firstRowFirstColumn="0" w:firstRowLastColumn="0" w:lastRowFirstColumn="0" w:lastRowLastColumn="0"/>
          <w:trHeight w:val="20"/>
        </w:trPr>
        <w:tc>
          <w:tcPr>
            <w:tcW w:w="4246" w:type="dxa"/>
            <w:noWrap/>
            <w:vAlign w:val="center"/>
            <w:hideMark/>
          </w:tcPr>
          <w:p w14:paraId="3AA535B9" w14:textId="77777777" w:rsidR="004F64EF" w:rsidRPr="003003C0" w:rsidRDefault="004F64EF" w:rsidP="00FD6B66">
            <w:pPr>
              <w:jc w:val="left"/>
              <w:rPr>
                <w:rFonts w:cs="Calibri"/>
                <w:color w:val="000000"/>
                <w:sz w:val="14"/>
                <w:szCs w:val="14"/>
              </w:rPr>
            </w:pPr>
            <w:r w:rsidRPr="003003C0">
              <w:rPr>
                <w:rFonts w:cs="Calibri"/>
                <w:color w:val="000000"/>
                <w:sz w:val="14"/>
                <w:szCs w:val="14"/>
              </w:rPr>
              <w:t xml:space="preserve">1 - </w:t>
            </w:r>
            <w:r>
              <w:rPr>
                <w:rFonts w:cs="Calibri"/>
                <w:color w:val="000000"/>
                <w:sz w:val="14"/>
                <w:szCs w:val="14"/>
              </w:rPr>
              <w:t>L</w:t>
            </w:r>
            <w:r w:rsidRPr="001F0D1D">
              <w:rPr>
                <w:rFonts w:cs="Calibri"/>
                <w:color w:val="000000"/>
                <w:sz w:val="14"/>
                <w:szCs w:val="14"/>
              </w:rPr>
              <w:t>ive animals; animal products</w:t>
            </w:r>
          </w:p>
        </w:tc>
        <w:tc>
          <w:tcPr>
            <w:tcW w:w="683" w:type="dxa"/>
            <w:noWrap/>
            <w:vAlign w:val="center"/>
            <w:hideMark/>
          </w:tcPr>
          <w:p w14:paraId="6F0ADA7D" w14:textId="77777777" w:rsidR="004F64EF" w:rsidRPr="003003C0" w:rsidRDefault="004F64EF" w:rsidP="00FD6B66">
            <w:pPr>
              <w:jc w:val="right"/>
              <w:rPr>
                <w:rFonts w:cs="Calibri"/>
                <w:color w:val="000000"/>
                <w:sz w:val="14"/>
                <w:szCs w:val="14"/>
              </w:rPr>
            </w:pPr>
            <w:r w:rsidRPr="003003C0">
              <w:rPr>
                <w:rFonts w:cs="Calibri"/>
                <w:color w:val="000000"/>
                <w:sz w:val="14"/>
                <w:szCs w:val="14"/>
              </w:rPr>
              <w:t>0</w:t>
            </w:r>
            <w:r>
              <w:rPr>
                <w:rFonts w:cs="Calibri"/>
                <w:color w:val="000000"/>
                <w:sz w:val="14"/>
                <w:szCs w:val="14"/>
              </w:rPr>
              <w:t>.</w:t>
            </w:r>
            <w:r w:rsidRPr="003003C0">
              <w:rPr>
                <w:rFonts w:cs="Calibri"/>
                <w:color w:val="000000"/>
                <w:sz w:val="14"/>
                <w:szCs w:val="14"/>
              </w:rPr>
              <w:t>0</w:t>
            </w:r>
          </w:p>
        </w:tc>
        <w:tc>
          <w:tcPr>
            <w:tcW w:w="683" w:type="dxa"/>
            <w:noWrap/>
            <w:vAlign w:val="center"/>
            <w:hideMark/>
          </w:tcPr>
          <w:p w14:paraId="0E6CD6EA" w14:textId="77777777" w:rsidR="004F64EF" w:rsidRPr="003003C0" w:rsidRDefault="004F64EF" w:rsidP="00FD6B66">
            <w:pPr>
              <w:jc w:val="right"/>
              <w:rPr>
                <w:rFonts w:cs="Calibri"/>
                <w:color w:val="000000"/>
                <w:sz w:val="14"/>
                <w:szCs w:val="14"/>
              </w:rPr>
            </w:pPr>
            <w:r w:rsidRPr="003003C0">
              <w:rPr>
                <w:rFonts w:cs="Calibri"/>
                <w:color w:val="000000"/>
                <w:sz w:val="14"/>
                <w:szCs w:val="14"/>
              </w:rPr>
              <w:t>0</w:t>
            </w:r>
            <w:r>
              <w:rPr>
                <w:rFonts w:cs="Calibri"/>
                <w:color w:val="000000"/>
                <w:sz w:val="14"/>
                <w:szCs w:val="14"/>
              </w:rPr>
              <w:t>.</w:t>
            </w:r>
            <w:r w:rsidRPr="003003C0">
              <w:rPr>
                <w:rFonts w:cs="Calibri"/>
                <w:color w:val="000000"/>
                <w:sz w:val="14"/>
                <w:szCs w:val="14"/>
              </w:rPr>
              <w:t>0</w:t>
            </w:r>
          </w:p>
        </w:tc>
        <w:tc>
          <w:tcPr>
            <w:tcW w:w="683" w:type="dxa"/>
            <w:noWrap/>
            <w:vAlign w:val="center"/>
            <w:hideMark/>
          </w:tcPr>
          <w:p w14:paraId="007D78E6" w14:textId="77777777" w:rsidR="004F64EF" w:rsidRPr="003003C0" w:rsidRDefault="004F64EF" w:rsidP="00FD6B66">
            <w:pPr>
              <w:jc w:val="right"/>
              <w:rPr>
                <w:rFonts w:cs="Calibri"/>
                <w:color w:val="000000"/>
                <w:sz w:val="14"/>
                <w:szCs w:val="14"/>
              </w:rPr>
            </w:pPr>
            <w:r w:rsidRPr="003003C0">
              <w:rPr>
                <w:rFonts w:cs="Calibri"/>
                <w:color w:val="000000"/>
                <w:sz w:val="14"/>
                <w:szCs w:val="14"/>
              </w:rPr>
              <w:t>0</w:t>
            </w:r>
            <w:r>
              <w:rPr>
                <w:rFonts w:cs="Calibri"/>
                <w:color w:val="000000"/>
                <w:sz w:val="14"/>
                <w:szCs w:val="14"/>
              </w:rPr>
              <w:t>.</w:t>
            </w:r>
            <w:r w:rsidRPr="003003C0">
              <w:rPr>
                <w:rFonts w:cs="Calibri"/>
                <w:color w:val="000000"/>
                <w:sz w:val="14"/>
                <w:szCs w:val="14"/>
              </w:rPr>
              <w:t>0</w:t>
            </w:r>
          </w:p>
        </w:tc>
        <w:tc>
          <w:tcPr>
            <w:tcW w:w="684" w:type="dxa"/>
            <w:noWrap/>
            <w:vAlign w:val="center"/>
            <w:hideMark/>
          </w:tcPr>
          <w:p w14:paraId="6893B145" w14:textId="77777777" w:rsidR="004F64EF" w:rsidRPr="003003C0" w:rsidRDefault="004F64EF" w:rsidP="00FD6B66">
            <w:pPr>
              <w:jc w:val="right"/>
              <w:rPr>
                <w:rFonts w:cs="Calibri"/>
                <w:color w:val="000000"/>
                <w:sz w:val="14"/>
                <w:szCs w:val="14"/>
              </w:rPr>
            </w:pPr>
            <w:r w:rsidRPr="003003C0">
              <w:rPr>
                <w:rFonts w:cs="Calibri"/>
                <w:color w:val="000000"/>
                <w:sz w:val="14"/>
                <w:szCs w:val="14"/>
              </w:rPr>
              <w:t>0</w:t>
            </w:r>
            <w:r>
              <w:rPr>
                <w:rFonts w:cs="Calibri"/>
                <w:color w:val="000000"/>
                <w:sz w:val="14"/>
                <w:szCs w:val="14"/>
              </w:rPr>
              <w:t>.</w:t>
            </w:r>
            <w:r w:rsidRPr="003003C0">
              <w:rPr>
                <w:rFonts w:cs="Calibri"/>
                <w:color w:val="000000"/>
                <w:sz w:val="14"/>
                <w:szCs w:val="14"/>
              </w:rPr>
              <w:t>0</w:t>
            </w:r>
          </w:p>
        </w:tc>
        <w:tc>
          <w:tcPr>
            <w:tcW w:w="683" w:type="dxa"/>
            <w:noWrap/>
            <w:vAlign w:val="center"/>
            <w:hideMark/>
          </w:tcPr>
          <w:p w14:paraId="05049A3C" w14:textId="77777777" w:rsidR="004F64EF" w:rsidRPr="003003C0" w:rsidRDefault="004F64EF" w:rsidP="00FD6B66">
            <w:pPr>
              <w:jc w:val="right"/>
              <w:rPr>
                <w:rFonts w:cs="Calibri"/>
                <w:color w:val="000000"/>
                <w:sz w:val="14"/>
                <w:szCs w:val="14"/>
              </w:rPr>
            </w:pPr>
            <w:r w:rsidRPr="003003C0">
              <w:rPr>
                <w:rFonts w:cs="Calibri"/>
                <w:color w:val="000000"/>
                <w:sz w:val="14"/>
                <w:szCs w:val="14"/>
              </w:rPr>
              <w:t>0</w:t>
            </w:r>
            <w:r>
              <w:rPr>
                <w:rFonts w:cs="Calibri"/>
                <w:color w:val="000000"/>
                <w:sz w:val="14"/>
                <w:szCs w:val="14"/>
              </w:rPr>
              <w:t>.</w:t>
            </w:r>
            <w:r w:rsidRPr="003003C0">
              <w:rPr>
                <w:rFonts w:cs="Calibri"/>
                <w:color w:val="000000"/>
                <w:sz w:val="14"/>
                <w:szCs w:val="14"/>
              </w:rPr>
              <w:t>1</w:t>
            </w:r>
          </w:p>
        </w:tc>
        <w:tc>
          <w:tcPr>
            <w:tcW w:w="683" w:type="dxa"/>
            <w:noWrap/>
            <w:vAlign w:val="center"/>
            <w:hideMark/>
          </w:tcPr>
          <w:p w14:paraId="1C9D9989" w14:textId="77777777" w:rsidR="004F64EF" w:rsidRPr="003003C0" w:rsidRDefault="004F64EF" w:rsidP="00FD6B66">
            <w:pPr>
              <w:jc w:val="right"/>
              <w:rPr>
                <w:rFonts w:cs="Calibri"/>
                <w:color w:val="000000"/>
                <w:sz w:val="14"/>
                <w:szCs w:val="14"/>
              </w:rPr>
            </w:pPr>
            <w:r w:rsidRPr="003003C0">
              <w:rPr>
                <w:rFonts w:cs="Calibri"/>
                <w:color w:val="000000"/>
                <w:sz w:val="14"/>
                <w:szCs w:val="14"/>
              </w:rPr>
              <w:t>0</w:t>
            </w:r>
            <w:r>
              <w:rPr>
                <w:rFonts w:cs="Calibri"/>
                <w:color w:val="000000"/>
                <w:sz w:val="14"/>
                <w:szCs w:val="14"/>
              </w:rPr>
              <w:t>.</w:t>
            </w:r>
            <w:r w:rsidRPr="003003C0">
              <w:rPr>
                <w:rFonts w:cs="Calibri"/>
                <w:color w:val="000000"/>
                <w:sz w:val="14"/>
                <w:szCs w:val="14"/>
              </w:rPr>
              <w:t>0</w:t>
            </w:r>
          </w:p>
        </w:tc>
        <w:tc>
          <w:tcPr>
            <w:tcW w:w="684" w:type="dxa"/>
            <w:noWrap/>
            <w:vAlign w:val="center"/>
            <w:hideMark/>
          </w:tcPr>
          <w:p w14:paraId="6517D6E9" w14:textId="77777777" w:rsidR="004F64EF" w:rsidRPr="003003C0" w:rsidRDefault="004F64EF" w:rsidP="00FD6B66">
            <w:pPr>
              <w:jc w:val="right"/>
              <w:rPr>
                <w:rFonts w:cs="Calibri"/>
                <w:color w:val="000000"/>
                <w:sz w:val="14"/>
                <w:szCs w:val="14"/>
              </w:rPr>
            </w:pPr>
            <w:r w:rsidRPr="003003C0">
              <w:rPr>
                <w:rFonts w:cs="Calibri"/>
                <w:color w:val="000000"/>
                <w:sz w:val="14"/>
                <w:szCs w:val="14"/>
              </w:rPr>
              <w:t>0</w:t>
            </w:r>
            <w:r>
              <w:rPr>
                <w:rFonts w:cs="Calibri"/>
                <w:color w:val="000000"/>
                <w:sz w:val="14"/>
                <w:szCs w:val="14"/>
              </w:rPr>
              <w:t>.</w:t>
            </w:r>
            <w:r w:rsidRPr="003003C0">
              <w:rPr>
                <w:rFonts w:cs="Calibri"/>
                <w:color w:val="000000"/>
                <w:sz w:val="14"/>
                <w:szCs w:val="14"/>
              </w:rPr>
              <w:t>0</w:t>
            </w:r>
          </w:p>
        </w:tc>
      </w:tr>
      <w:tr w:rsidR="004F64EF" w:rsidRPr="003003C0" w14:paraId="3D557339" w14:textId="77777777" w:rsidTr="00FD6B66">
        <w:trPr>
          <w:trHeight w:val="20"/>
        </w:trPr>
        <w:tc>
          <w:tcPr>
            <w:tcW w:w="4246" w:type="dxa"/>
            <w:noWrap/>
            <w:vAlign w:val="center"/>
            <w:hideMark/>
          </w:tcPr>
          <w:p w14:paraId="3AC1619C" w14:textId="77777777" w:rsidR="004F64EF" w:rsidRPr="003003C0" w:rsidRDefault="004F64EF" w:rsidP="00FD6B66">
            <w:pPr>
              <w:jc w:val="left"/>
              <w:rPr>
                <w:rFonts w:cs="Calibri"/>
                <w:color w:val="000000"/>
                <w:sz w:val="14"/>
                <w:szCs w:val="14"/>
              </w:rPr>
            </w:pPr>
            <w:r w:rsidRPr="003003C0">
              <w:rPr>
                <w:rFonts w:cs="Calibri"/>
                <w:color w:val="000000"/>
                <w:sz w:val="14"/>
                <w:szCs w:val="14"/>
              </w:rPr>
              <w:t xml:space="preserve">2 - </w:t>
            </w:r>
            <w:r>
              <w:rPr>
                <w:rFonts w:cs="Calibri"/>
                <w:color w:val="000000"/>
                <w:sz w:val="14"/>
                <w:szCs w:val="14"/>
              </w:rPr>
              <w:t>V</w:t>
            </w:r>
            <w:r w:rsidRPr="001F0D1D">
              <w:rPr>
                <w:rFonts w:cs="Calibri"/>
                <w:color w:val="000000"/>
                <w:sz w:val="14"/>
                <w:szCs w:val="14"/>
              </w:rPr>
              <w:t>egetable products</w:t>
            </w:r>
          </w:p>
        </w:tc>
        <w:tc>
          <w:tcPr>
            <w:tcW w:w="683" w:type="dxa"/>
            <w:noWrap/>
            <w:vAlign w:val="center"/>
            <w:hideMark/>
          </w:tcPr>
          <w:p w14:paraId="27CA66E1" w14:textId="77777777" w:rsidR="004F64EF" w:rsidRPr="003003C0" w:rsidRDefault="004F64EF" w:rsidP="00FD6B66">
            <w:pPr>
              <w:jc w:val="right"/>
              <w:rPr>
                <w:rFonts w:cs="Calibri"/>
                <w:color w:val="000000"/>
                <w:sz w:val="14"/>
                <w:szCs w:val="14"/>
              </w:rPr>
            </w:pPr>
            <w:r w:rsidRPr="003003C0">
              <w:rPr>
                <w:rFonts w:cs="Calibri"/>
                <w:color w:val="000000"/>
                <w:sz w:val="14"/>
                <w:szCs w:val="14"/>
              </w:rPr>
              <w:t>1</w:t>
            </w:r>
            <w:r>
              <w:rPr>
                <w:rFonts w:cs="Calibri"/>
                <w:color w:val="000000"/>
                <w:sz w:val="14"/>
                <w:szCs w:val="14"/>
              </w:rPr>
              <w:t>.</w:t>
            </w:r>
            <w:r w:rsidRPr="003003C0">
              <w:rPr>
                <w:rFonts w:cs="Calibri"/>
                <w:color w:val="000000"/>
                <w:sz w:val="14"/>
                <w:szCs w:val="14"/>
              </w:rPr>
              <w:t>3</w:t>
            </w:r>
          </w:p>
        </w:tc>
        <w:tc>
          <w:tcPr>
            <w:tcW w:w="683" w:type="dxa"/>
            <w:noWrap/>
            <w:vAlign w:val="center"/>
            <w:hideMark/>
          </w:tcPr>
          <w:p w14:paraId="1AD98AFA" w14:textId="77777777" w:rsidR="004F64EF" w:rsidRPr="003003C0" w:rsidRDefault="004F64EF" w:rsidP="00FD6B66">
            <w:pPr>
              <w:jc w:val="right"/>
              <w:rPr>
                <w:rFonts w:cs="Calibri"/>
                <w:color w:val="000000"/>
                <w:sz w:val="14"/>
                <w:szCs w:val="14"/>
              </w:rPr>
            </w:pPr>
            <w:r w:rsidRPr="003003C0">
              <w:rPr>
                <w:rFonts w:cs="Calibri"/>
                <w:color w:val="000000"/>
                <w:sz w:val="14"/>
                <w:szCs w:val="14"/>
              </w:rPr>
              <w:t>1</w:t>
            </w:r>
            <w:r>
              <w:rPr>
                <w:rFonts w:cs="Calibri"/>
                <w:color w:val="000000"/>
                <w:sz w:val="14"/>
                <w:szCs w:val="14"/>
              </w:rPr>
              <w:t>.</w:t>
            </w:r>
            <w:r w:rsidRPr="003003C0">
              <w:rPr>
                <w:rFonts w:cs="Calibri"/>
                <w:color w:val="000000"/>
                <w:sz w:val="14"/>
                <w:szCs w:val="14"/>
              </w:rPr>
              <w:t>5</w:t>
            </w:r>
          </w:p>
        </w:tc>
        <w:tc>
          <w:tcPr>
            <w:tcW w:w="683" w:type="dxa"/>
            <w:noWrap/>
            <w:vAlign w:val="center"/>
            <w:hideMark/>
          </w:tcPr>
          <w:p w14:paraId="26B54601" w14:textId="77777777" w:rsidR="004F64EF" w:rsidRPr="003003C0" w:rsidRDefault="004F64EF" w:rsidP="00FD6B66">
            <w:pPr>
              <w:jc w:val="right"/>
              <w:rPr>
                <w:rFonts w:cs="Calibri"/>
                <w:color w:val="000000"/>
                <w:sz w:val="14"/>
                <w:szCs w:val="14"/>
              </w:rPr>
            </w:pPr>
            <w:r w:rsidRPr="003003C0">
              <w:rPr>
                <w:rFonts w:cs="Calibri"/>
                <w:color w:val="000000"/>
                <w:sz w:val="14"/>
                <w:szCs w:val="14"/>
              </w:rPr>
              <w:t>1</w:t>
            </w:r>
            <w:r>
              <w:rPr>
                <w:rFonts w:cs="Calibri"/>
                <w:color w:val="000000"/>
                <w:sz w:val="14"/>
                <w:szCs w:val="14"/>
              </w:rPr>
              <w:t>.</w:t>
            </w:r>
            <w:r w:rsidRPr="003003C0">
              <w:rPr>
                <w:rFonts w:cs="Calibri"/>
                <w:color w:val="000000"/>
                <w:sz w:val="14"/>
                <w:szCs w:val="14"/>
              </w:rPr>
              <w:t>6</w:t>
            </w:r>
          </w:p>
        </w:tc>
        <w:tc>
          <w:tcPr>
            <w:tcW w:w="684" w:type="dxa"/>
            <w:noWrap/>
            <w:vAlign w:val="center"/>
            <w:hideMark/>
          </w:tcPr>
          <w:p w14:paraId="134B5C26" w14:textId="77777777" w:rsidR="004F64EF" w:rsidRPr="003003C0" w:rsidRDefault="004F64EF" w:rsidP="00FD6B66">
            <w:pPr>
              <w:jc w:val="right"/>
              <w:rPr>
                <w:rFonts w:cs="Calibri"/>
                <w:color w:val="000000"/>
                <w:sz w:val="14"/>
                <w:szCs w:val="14"/>
              </w:rPr>
            </w:pPr>
            <w:r w:rsidRPr="003003C0">
              <w:rPr>
                <w:rFonts w:cs="Calibri"/>
                <w:color w:val="000000"/>
                <w:sz w:val="14"/>
                <w:szCs w:val="14"/>
              </w:rPr>
              <w:t>1</w:t>
            </w:r>
            <w:r>
              <w:rPr>
                <w:rFonts w:cs="Calibri"/>
                <w:color w:val="000000"/>
                <w:sz w:val="14"/>
                <w:szCs w:val="14"/>
              </w:rPr>
              <w:t>.</w:t>
            </w:r>
            <w:r w:rsidRPr="003003C0">
              <w:rPr>
                <w:rFonts w:cs="Calibri"/>
                <w:color w:val="000000"/>
                <w:sz w:val="14"/>
                <w:szCs w:val="14"/>
              </w:rPr>
              <w:t>5</w:t>
            </w:r>
          </w:p>
        </w:tc>
        <w:tc>
          <w:tcPr>
            <w:tcW w:w="683" w:type="dxa"/>
            <w:noWrap/>
            <w:vAlign w:val="center"/>
            <w:hideMark/>
          </w:tcPr>
          <w:p w14:paraId="4D1AD1BB" w14:textId="77777777" w:rsidR="004F64EF" w:rsidRPr="003003C0" w:rsidRDefault="004F64EF" w:rsidP="00FD6B66">
            <w:pPr>
              <w:jc w:val="right"/>
              <w:rPr>
                <w:rFonts w:cs="Calibri"/>
                <w:color w:val="000000"/>
                <w:sz w:val="14"/>
                <w:szCs w:val="14"/>
              </w:rPr>
            </w:pPr>
            <w:r w:rsidRPr="003003C0">
              <w:rPr>
                <w:rFonts w:cs="Calibri"/>
                <w:color w:val="000000"/>
                <w:sz w:val="14"/>
                <w:szCs w:val="14"/>
              </w:rPr>
              <w:t>1</w:t>
            </w:r>
            <w:r>
              <w:rPr>
                <w:rFonts w:cs="Calibri"/>
                <w:color w:val="000000"/>
                <w:sz w:val="14"/>
                <w:szCs w:val="14"/>
              </w:rPr>
              <w:t>.</w:t>
            </w:r>
            <w:r w:rsidRPr="003003C0">
              <w:rPr>
                <w:rFonts w:cs="Calibri"/>
                <w:color w:val="000000"/>
                <w:sz w:val="14"/>
                <w:szCs w:val="14"/>
              </w:rPr>
              <w:t>5</w:t>
            </w:r>
          </w:p>
        </w:tc>
        <w:tc>
          <w:tcPr>
            <w:tcW w:w="683" w:type="dxa"/>
            <w:noWrap/>
            <w:vAlign w:val="center"/>
            <w:hideMark/>
          </w:tcPr>
          <w:p w14:paraId="18ECC80E" w14:textId="77777777" w:rsidR="004F64EF" w:rsidRPr="003003C0" w:rsidRDefault="004F64EF" w:rsidP="00FD6B66">
            <w:pPr>
              <w:jc w:val="right"/>
              <w:rPr>
                <w:rFonts w:cs="Calibri"/>
                <w:color w:val="000000"/>
                <w:sz w:val="14"/>
                <w:szCs w:val="14"/>
              </w:rPr>
            </w:pPr>
            <w:r w:rsidRPr="003003C0">
              <w:rPr>
                <w:rFonts w:cs="Calibri"/>
                <w:color w:val="000000"/>
                <w:sz w:val="14"/>
                <w:szCs w:val="14"/>
              </w:rPr>
              <w:t>1</w:t>
            </w:r>
            <w:r>
              <w:rPr>
                <w:rFonts w:cs="Calibri"/>
                <w:color w:val="000000"/>
                <w:sz w:val="14"/>
                <w:szCs w:val="14"/>
              </w:rPr>
              <w:t>.</w:t>
            </w:r>
            <w:r w:rsidRPr="003003C0">
              <w:rPr>
                <w:rFonts w:cs="Calibri"/>
                <w:color w:val="000000"/>
                <w:sz w:val="14"/>
                <w:szCs w:val="14"/>
              </w:rPr>
              <w:t>6</w:t>
            </w:r>
          </w:p>
        </w:tc>
        <w:tc>
          <w:tcPr>
            <w:tcW w:w="684" w:type="dxa"/>
            <w:noWrap/>
            <w:vAlign w:val="center"/>
            <w:hideMark/>
          </w:tcPr>
          <w:p w14:paraId="4EC381C0" w14:textId="77777777" w:rsidR="004F64EF" w:rsidRPr="003003C0" w:rsidRDefault="004F64EF" w:rsidP="00FD6B66">
            <w:pPr>
              <w:jc w:val="right"/>
              <w:rPr>
                <w:rFonts w:cs="Calibri"/>
                <w:color w:val="000000"/>
                <w:sz w:val="14"/>
                <w:szCs w:val="14"/>
              </w:rPr>
            </w:pPr>
            <w:r w:rsidRPr="003003C0">
              <w:rPr>
                <w:rFonts w:cs="Calibri"/>
                <w:color w:val="000000"/>
                <w:sz w:val="14"/>
                <w:szCs w:val="14"/>
              </w:rPr>
              <w:t>1</w:t>
            </w:r>
            <w:r>
              <w:rPr>
                <w:rFonts w:cs="Calibri"/>
                <w:color w:val="000000"/>
                <w:sz w:val="14"/>
                <w:szCs w:val="14"/>
              </w:rPr>
              <w:t>.</w:t>
            </w:r>
            <w:r w:rsidRPr="003003C0">
              <w:rPr>
                <w:rFonts w:cs="Calibri"/>
                <w:color w:val="000000"/>
                <w:sz w:val="14"/>
                <w:szCs w:val="14"/>
              </w:rPr>
              <w:t>8</w:t>
            </w:r>
          </w:p>
        </w:tc>
      </w:tr>
      <w:tr w:rsidR="004F64EF" w:rsidRPr="003003C0" w14:paraId="5881A9B7" w14:textId="77777777" w:rsidTr="00FD6B66">
        <w:trPr>
          <w:cnfStyle w:val="000000010000" w:firstRow="0" w:lastRow="0" w:firstColumn="0" w:lastColumn="0" w:oddVBand="0" w:evenVBand="0" w:oddHBand="0" w:evenHBand="1" w:firstRowFirstColumn="0" w:firstRowLastColumn="0" w:lastRowFirstColumn="0" w:lastRowLastColumn="0"/>
          <w:trHeight w:val="20"/>
        </w:trPr>
        <w:tc>
          <w:tcPr>
            <w:tcW w:w="4246" w:type="dxa"/>
            <w:noWrap/>
            <w:vAlign w:val="center"/>
            <w:hideMark/>
          </w:tcPr>
          <w:p w14:paraId="12322EB2" w14:textId="77777777" w:rsidR="004F64EF" w:rsidRPr="003003C0" w:rsidRDefault="004F64EF" w:rsidP="00B22563">
            <w:pPr>
              <w:tabs>
                <w:tab w:val="left" w:pos="227"/>
              </w:tabs>
              <w:ind w:left="227" w:hanging="227"/>
              <w:jc w:val="left"/>
              <w:rPr>
                <w:rFonts w:cs="Calibri"/>
                <w:color w:val="000000"/>
                <w:sz w:val="14"/>
                <w:szCs w:val="14"/>
              </w:rPr>
            </w:pPr>
            <w:r w:rsidRPr="003003C0">
              <w:rPr>
                <w:rFonts w:cs="Calibri"/>
                <w:color w:val="000000"/>
                <w:sz w:val="14"/>
                <w:szCs w:val="14"/>
              </w:rPr>
              <w:tab/>
              <w:t xml:space="preserve">08. </w:t>
            </w:r>
            <w:r w:rsidRPr="001F0D1D">
              <w:rPr>
                <w:rFonts w:cs="Calibri"/>
                <w:color w:val="000000"/>
                <w:sz w:val="14"/>
                <w:szCs w:val="14"/>
              </w:rPr>
              <w:t>Edible fruit and nuts; peel of citrus fruit or melons</w:t>
            </w:r>
          </w:p>
        </w:tc>
        <w:tc>
          <w:tcPr>
            <w:tcW w:w="683" w:type="dxa"/>
            <w:noWrap/>
            <w:vAlign w:val="center"/>
            <w:hideMark/>
          </w:tcPr>
          <w:p w14:paraId="2A36261A" w14:textId="77777777" w:rsidR="004F64EF" w:rsidRPr="003003C0" w:rsidRDefault="004F64EF" w:rsidP="00FD6B66">
            <w:pPr>
              <w:jc w:val="right"/>
              <w:rPr>
                <w:rFonts w:cs="Calibri"/>
                <w:color w:val="000000"/>
                <w:sz w:val="14"/>
                <w:szCs w:val="14"/>
              </w:rPr>
            </w:pPr>
            <w:r w:rsidRPr="003003C0">
              <w:rPr>
                <w:rFonts w:cs="Calibri"/>
                <w:color w:val="000000"/>
                <w:sz w:val="14"/>
                <w:szCs w:val="14"/>
              </w:rPr>
              <w:t>0</w:t>
            </w:r>
            <w:r>
              <w:rPr>
                <w:rFonts w:cs="Calibri"/>
                <w:color w:val="000000"/>
                <w:sz w:val="14"/>
                <w:szCs w:val="14"/>
              </w:rPr>
              <w:t>.</w:t>
            </w:r>
            <w:r w:rsidRPr="003003C0">
              <w:rPr>
                <w:rFonts w:cs="Calibri"/>
                <w:color w:val="000000"/>
                <w:sz w:val="14"/>
                <w:szCs w:val="14"/>
              </w:rPr>
              <w:t>5</w:t>
            </w:r>
          </w:p>
        </w:tc>
        <w:tc>
          <w:tcPr>
            <w:tcW w:w="683" w:type="dxa"/>
            <w:noWrap/>
            <w:vAlign w:val="center"/>
            <w:hideMark/>
          </w:tcPr>
          <w:p w14:paraId="7A607933" w14:textId="77777777" w:rsidR="004F64EF" w:rsidRPr="003003C0" w:rsidRDefault="004F64EF" w:rsidP="00FD6B66">
            <w:pPr>
              <w:jc w:val="right"/>
              <w:rPr>
                <w:rFonts w:cs="Calibri"/>
                <w:color w:val="000000"/>
                <w:sz w:val="14"/>
                <w:szCs w:val="14"/>
              </w:rPr>
            </w:pPr>
            <w:r w:rsidRPr="003003C0">
              <w:rPr>
                <w:rFonts w:cs="Calibri"/>
                <w:color w:val="000000"/>
                <w:sz w:val="14"/>
                <w:szCs w:val="14"/>
              </w:rPr>
              <w:t>0</w:t>
            </w:r>
            <w:r>
              <w:rPr>
                <w:rFonts w:cs="Calibri"/>
                <w:color w:val="000000"/>
                <w:sz w:val="14"/>
                <w:szCs w:val="14"/>
              </w:rPr>
              <w:t>.</w:t>
            </w:r>
            <w:r w:rsidRPr="003003C0">
              <w:rPr>
                <w:rFonts w:cs="Calibri"/>
                <w:color w:val="000000"/>
                <w:sz w:val="14"/>
                <w:szCs w:val="14"/>
              </w:rPr>
              <w:t>7</w:t>
            </w:r>
          </w:p>
        </w:tc>
        <w:tc>
          <w:tcPr>
            <w:tcW w:w="683" w:type="dxa"/>
            <w:noWrap/>
            <w:vAlign w:val="center"/>
            <w:hideMark/>
          </w:tcPr>
          <w:p w14:paraId="62169DD9" w14:textId="77777777" w:rsidR="004F64EF" w:rsidRPr="003003C0" w:rsidRDefault="004F64EF" w:rsidP="00FD6B66">
            <w:pPr>
              <w:jc w:val="right"/>
              <w:rPr>
                <w:rFonts w:cs="Calibri"/>
                <w:color w:val="000000"/>
                <w:sz w:val="14"/>
                <w:szCs w:val="14"/>
              </w:rPr>
            </w:pPr>
            <w:r w:rsidRPr="003003C0">
              <w:rPr>
                <w:rFonts w:cs="Calibri"/>
                <w:color w:val="000000"/>
                <w:sz w:val="14"/>
                <w:szCs w:val="14"/>
              </w:rPr>
              <w:t>0</w:t>
            </w:r>
            <w:r>
              <w:rPr>
                <w:rFonts w:cs="Calibri"/>
                <w:color w:val="000000"/>
                <w:sz w:val="14"/>
                <w:szCs w:val="14"/>
              </w:rPr>
              <w:t>.</w:t>
            </w:r>
            <w:r w:rsidRPr="003003C0">
              <w:rPr>
                <w:rFonts w:cs="Calibri"/>
                <w:color w:val="000000"/>
                <w:sz w:val="14"/>
                <w:szCs w:val="14"/>
              </w:rPr>
              <w:t>8</w:t>
            </w:r>
          </w:p>
        </w:tc>
        <w:tc>
          <w:tcPr>
            <w:tcW w:w="684" w:type="dxa"/>
            <w:noWrap/>
            <w:vAlign w:val="center"/>
            <w:hideMark/>
          </w:tcPr>
          <w:p w14:paraId="18B285A5" w14:textId="77777777" w:rsidR="004F64EF" w:rsidRPr="003003C0" w:rsidRDefault="004F64EF" w:rsidP="00FD6B66">
            <w:pPr>
              <w:jc w:val="right"/>
              <w:rPr>
                <w:rFonts w:cs="Calibri"/>
                <w:color w:val="000000"/>
                <w:sz w:val="14"/>
                <w:szCs w:val="14"/>
              </w:rPr>
            </w:pPr>
            <w:r w:rsidRPr="003003C0">
              <w:rPr>
                <w:rFonts w:cs="Calibri"/>
                <w:color w:val="000000"/>
                <w:sz w:val="14"/>
                <w:szCs w:val="14"/>
              </w:rPr>
              <w:t>0</w:t>
            </w:r>
            <w:r>
              <w:rPr>
                <w:rFonts w:cs="Calibri"/>
                <w:color w:val="000000"/>
                <w:sz w:val="14"/>
                <w:szCs w:val="14"/>
              </w:rPr>
              <w:t>.</w:t>
            </w:r>
            <w:r w:rsidRPr="003003C0">
              <w:rPr>
                <w:rFonts w:cs="Calibri"/>
                <w:color w:val="000000"/>
                <w:sz w:val="14"/>
                <w:szCs w:val="14"/>
              </w:rPr>
              <w:t>8</w:t>
            </w:r>
          </w:p>
        </w:tc>
        <w:tc>
          <w:tcPr>
            <w:tcW w:w="683" w:type="dxa"/>
            <w:noWrap/>
            <w:vAlign w:val="center"/>
            <w:hideMark/>
          </w:tcPr>
          <w:p w14:paraId="13BDCF6E" w14:textId="77777777" w:rsidR="004F64EF" w:rsidRPr="003003C0" w:rsidRDefault="004F64EF" w:rsidP="00FD6B66">
            <w:pPr>
              <w:jc w:val="right"/>
              <w:rPr>
                <w:rFonts w:cs="Calibri"/>
                <w:color w:val="000000"/>
                <w:sz w:val="14"/>
                <w:szCs w:val="14"/>
              </w:rPr>
            </w:pPr>
            <w:r w:rsidRPr="003003C0">
              <w:rPr>
                <w:rFonts w:cs="Calibri"/>
                <w:color w:val="000000"/>
                <w:sz w:val="14"/>
                <w:szCs w:val="14"/>
              </w:rPr>
              <w:t>0</w:t>
            </w:r>
            <w:r>
              <w:rPr>
                <w:rFonts w:cs="Calibri"/>
                <w:color w:val="000000"/>
                <w:sz w:val="14"/>
                <w:szCs w:val="14"/>
              </w:rPr>
              <w:t>.</w:t>
            </w:r>
            <w:r w:rsidRPr="003003C0">
              <w:rPr>
                <w:rFonts w:cs="Calibri"/>
                <w:color w:val="000000"/>
                <w:sz w:val="14"/>
                <w:szCs w:val="14"/>
              </w:rPr>
              <w:t>8</w:t>
            </w:r>
          </w:p>
        </w:tc>
        <w:tc>
          <w:tcPr>
            <w:tcW w:w="683" w:type="dxa"/>
            <w:noWrap/>
            <w:vAlign w:val="center"/>
            <w:hideMark/>
          </w:tcPr>
          <w:p w14:paraId="73CB632F" w14:textId="77777777" w:rsidR="004F64EF" w:rsidRPr="003003C0" w:rsidRDefault="004F64EF" w:rsidP="00FD6B66">
            <w:pPr>
              <w:jc w:val="right"/>
              <w:rPr>
                <w:rFonts w:cs="Calibri"/>
                <w:color w:val="000000"/>
                <w:sz w:val="14"/>
                <w:szCs w:val="14"/>
              </w:rPr>
            </w:pPr>
            <w:r w:rsidRPr="003003C0">
              <w:rPr>
                <w:rFonts w:cs="Calibri"/>
                <w:color w:val="000000"/>
                <w:sz w:val="14"/>
                <w:szCs w:val="14"/>
              </w:rPr>
              <w:t>0</w:t>
            </w:r>
            <w:r>
              <w:rPr>
                <w:rFonts w:cs="Calibri"/>
                <w:color w:val="000000"/>
                <w:sz w:val="14"/>
                <w:szCs w:val="14"/>
              </w:rPr>
              <w:t>.</w:t>
            </w:r>
            <w:r w:rsidRPr="003003C0">
              <w:rPr>
                <w:rFonts w:cs="Calibri"/>
                <w:color w:val="000000"/>
                <w:sz w:val="14"/>
                <w:szCs w:val="14"/>
              </w:rPr>
              <w:t>8</w:t>
            </w:r>
          </w:p>
        </w:tc>
        <w:tc>
          <w:tcPr>
            <w:tcW w:w="684" w:type="dxa"/>
            <w:noWrap/>
            <w:vAlign w:val="center"/>
            <w:hideMark/>
          </w:tcPr>
          <w:p w14:paraId="5CA8F311" w14:textId="77777777" w:rsidR="004F64EF" w:rsidRPr="003003C0" w:rsidRDefault="004F64EF" w:rsidP="00FD6B66">
            <w:pPr>
              <w:jc w:val="right"/>
              <w:rPr>
                <w:rFonts w:cs="Calibri"/>
                <w:color w:val="000000"/>
                <w:sz w:val="14"/>
                <w:szCs w:val="14"/>
              </w:rPr>
            </w:pPr>
            <w:r w:rsidRPr="003003C0">
              <w:rPr>
                <w:rFonts w:cs="Calibri"/>
                <w:color w:val="000000"/>
                <w:sz w:val="14"/>
                <w:szCs w:val="14"/>
              </w:rPr>
              <w:t>1</w:t>
            </w:r>
            <w:r>
              <w:rPr>
                <w:rFonts w:cs="Calibri"/>
                <w:color w:val="000000"/>
                <w:sz w:val="14"/>
                <w:szCs w:val="14"/>
              </w:rPr>
              <w:t>.</w:t>
            </w:r>
            <w:r w:rsidRPr="003003C0">
              <w:rPr>
                <w:rFonts w:cs="Calibri"/>
                <w:color w:val="000000"/>
                <w:sz w:val="14"/>
                <w:szCs w:val="14"/>
              </w:rPr>
              <w:t>0</w:t>
            </w:r>
          </w:p>
        </w:tc>
      </w:tr>
      <w:tr w:rsidR="004F64EF" w:rsidRPr="003003C0" w14:paraId="18F96311" w14:textId="77777777" w:rsidTr="00FD6B66">
        <w:trPr>
          <w:trHeight w:val="20"/>
        </w:trPr>
        <w:tc>
          <w:tcPr>
            <w:tcW w:w="4246" w:type="dxa"/>
            <w:noWrap/>
            <w:vAlign w:val="center"/>
            <w:hideMark/>
          </w:tcPr>
          <w:p w14:paraId="0158C9D2" w14:textId="77777777" w:rsidR="004F64EF" w:rsidRPr="003003C0" w:rsidRDefault="004F64EF" w:rsidP="00FD6B66">
            <w:pPr>
              <w:tabs>
                <w:tab w:val="left" w:pos="227"/>
              </w:tabs>
              <w:jc w:val="left"/>
              <w:rPr>
                <w:rFonts w:cs="Calibri"/>
                <w:color w:val="000000"/>
                <w:sz w:val="14"/>
                <w:szCs w:val="14"/>
              </w:rPr>
            </w:pPr>
            <w:r w:rsidRPr="003003C0">
              <w:rPr>
                <w:rFonts w:cs="Calibri"/>
                <w:color w:val="000000"/>
                <w:sz w:val="14"/>
                <w:szCs w:val="14"/>
              </w:rPr>
              <w:tab/>
              <w:t xml:space="preserve">07. </w:t>
            </w:r>
            <w:r w:rsidRPr="001F0D1D">
              <w:rPr>
                <w:rFonts w:cs="Calibri"/>
                <w:color w:val="000000"/>
                <w:sz w:val="14"/>
                <w:szCs w:val="14"/>
              </w:rPr>
              <w:t>Edible vegetables and certain roots and tubers</w:t>
            </w:r>
          </w:p>
        </w:tc>
        <w:tc>
          <w:tcPr>
            <w:tcW w:w="683" w:type="dxa"/>
            <w:noWrap/>
            <w:vAlign w:val="center"/>
            <w:hideMark/>
          </w:tcPr>
          <w:p w14:paraId="464325D3" w14:textId="77777777" w:rsidR="004F64EF" w:rsidRPr="003003C0" w:rsidRDefault="004F64EF" w:rsidP="00FD6B66">
            <w:pPr>
              <w:jc w:val="right"/>
              <w:rPr>
                <w:rFonts w:cs="Calibri"/>
                <w:color w:val="000000"/>
                <w:sz w:val="14"/>
                <w:szCs w:val="14"/>
              </w:rPr>
            </w:pPr>
            <w:r w:rsidRPr="003003C0">
              <w:rPr>
                <w:rFonts w:cs="Calibri"/>
                <w:color w:val="000000"/>
                <w:sz w:val="14"/>
                <w:szCs w:val="14"/>
              </w:rPr>
              <w:t>0</w:t>
            </w:r>
            <w:r>
              <w:rPr>
                <w:rFonts w:cs="Calibri"/>
                <w:color w:val="000000"/>
                <w:sz w:val="14"/>
                <w:szCs w:val="14"/>
              </w:rPr>
              <w:t>.</w:t>
            </w:r>
            <w:r w:rsidRPr="003003C0">
              <w:rPr>
                <w:rFonts w:cs="Calibri"/>
                <w:color w:val="000000"/>
                <w:sz w:val="14"/>
                <w:szCs w:val="14"/>
              </w:rPr>
              <w:t>5</w:t>
            </w:r>
          </w:p>
        </w:tc>
        <w:tc>
          <w:tcPr>
            <w:tcW w:w="683" w:type="dxa"/>
            <w:noWrap/>
            <w:vAlign w:val="center"/>
            <w:hideMark/>
          </w:tcPr>
          <w:p w14:paraId="190EF3C3" w14:textId="77777777" w:rsidR="004F64EF" w:rsidRPr="003003C0" w:rsidRDefault="004F64EF" w:rsidP="00FD6B66">
            <w:pPr>
              <w:jc w:val="right"/>
              <w:rPr>
                <w:rFonts w:cs="Calibri"/>
                <w:color w:val="000000"/>
                <w:sz w:val="14"/>
                <w:szCs w:val="14"/>
              </w:rPr>
            </w:pPr>
            <w:r w:rsidRPr="003003C0">
              <w:rPr>
                <w:rFonts w:cs="Calibri"/>
                <w:color w:val="000000"/>
                <w:sz w:val="14"/>
                <w:szCs w:val="14"/>
              </w:rPr>
              <w:t>0</w:t>
            </w:r>
            <w:r>
              <w:rPr>
                <w:rFonts w:cs="Calibri"/>
                <w:color w:val="000000"/>
                <w:sz w:val="14"/>
                <w:szCs w:val="14"/>
              </w:rPr>
              <w:t>.</w:t>
            </w:r>
            <w:r w:rsidRPr="003003C0">
              <w:rPr>
                <w:rFonts w:cs="Calibri"/>
                <w:color w:val="000000"/>
                <w:sz w:val="14"/>
                <w:szCs w:val="14"/>
              </w:rPr>
              <w:t>5</w:t>
            </w:r>
          </w:p>
        </w:tc>
        <w:tc>
          <w:tcPr>
            <w:tcW w:w="683" w:type="dxa"/>
            <w:noWrap/>
            <w:vAlign w:val="center"/>
            <w:hideMark/>
          </w:tcPr>
          <w:p w14:paraId="6DAA3230" w14:textId="77777777" w:rsidR="004F64EF" w:rsidRPr="003003C0" w:rsidRDefault="004F64EF" w:rsidP="00FD6B66">
            <w:pPr>
              <w:jc w:val="right"/>
              <w:rPr>
                <w:rFonts w:cs="Calibri"/>
                <w:color w:val="000000"/>
                <w:sz w:val="14"/>
                <w:szCs w:val="14"/>
              </w:rPr>
            </w:pPr>
            <w:r w:rsidRPr="003003C0">
              <w:rPr>
                <w:rFonts w:cs="Calibri"/>
                <w:color w:val="000000"/>
                <w:sz w:val="14"/>
                <w:szCs w:val="14"/>
              </w:rPr>
              <w:t>0</w:t>
            </w:r>
            <w:r>
              <w:rPr>
                <w:rFonts w:cs="Calibri"/>
                <w:color w:val="000000"/>
                <w:sz w:val="14"/>
                <w:szCs w:val="14"/>
              </w:rPr>
              <w:t>.</w:t>
            </w:r>
            <w:r w:rsidRPr="003003C0">
              <w:rPr>
                <w:rFonts w:cs="Calibri"/>
                <w:color w:val="000000"/>
                <w:sz w:val="14"/>
                <w:szCs w:val="14"/>
              </w:rPr>
              <w:t>6</w:t>
            </w:r>
          </w:p>
        </w:tc>
        <w:tc>
          <w:tcPr>
            <w:tcW w:w="684" w:type="dxa"/>
            <w:noWrap/>
            <w:vAlign w:val="center"/>
            <w:hideMark/>
          </w:tcPr>
          <w:p w14:paraId="35545E0A" w14:textId="77777777" w:rsidR="004F64EF" w:rsidRPr="003003C0" w:rsidRDefault="004F64EF" w:rsidP="00FD6B66">
            <w:pPr>
              <w:jc w:val="right"/>
              <w:rPr>
                <w:rFonts w:cs="Calibri"/>
                <w:color w:val="000000"/>
                <w:sz w:val="14"/>
                <w:szCs w:val="14"/>
              </w:rPr>
            </w:pPr>
            <w:r w:rsidRPr="003003C0">
              <w:rPr>
                <w:rFonts w:cs="Calibri"/>
                <w:color w:val="000000"/>
                <w:sz w:val="14"/>
                <w:szCs w:val="14"/>
              </w:rPr>
              <w:t>0</w:t>
            </w:r>
            <w:r>
              <w:rPr>
                <w:rFonts w:cs="Calibri"/>
                <w:color w:val="000000"/>
                <w:sz w:val="14"/>
                <w:szCs w:val="14"/>
              </w:rPr>
              <w:t>.</w:t>
            </w:r>
            <w:r w:rsidRPr="003003C0">
              <w:rPr>
                <w:rFonts w:cs="Calibri"/>
                <w:color w:val="000000"/>
                <w:sz w:val="14"/>
                <w:szCs w:val="14"/>
              </w:rPr>
              <w:t>6</w:t>
            </w:r>
          </w:p>
        </w:tc>
        <w:tc>
          <w:tcPr>
            <w:tcW w:w="683" w:type="dxa"/>
            <w:noWrap/>
            <w:vAlign w:val="center"/>
            <w:hideMark/>
          </w:tcPr>
          <w:p w14:paraId="00A87031" w14:textId="77777777" w:rsidR="004F64EF" w:rsidRPr="003003C0" w:rsidRDefault="004F64EF" w:rsidP="00FD6B66">
            <w:pPr>
              <w:jc w:val="right"/>
              <w:rPr>
                <w:rFonts w:cs="Calibri"/>
                <w:color w:val="000000"/>
                <w:sz w:val="14"/>
                <w:szCs w:val="14"/>
              </w:rPr>
            </w:pPr>
            <w:r w:rsidRPr="003003C0">
              <w:rPr>
                <w:rFonts w:cs="Calibri"/>
                <w:color w:val="000000"/>
                <w:sz w:val="14"/>
                <w:szCs w:val="14"/>
              </w:rPr>
              <w:t>0</w:t>
            </w:r>
            <w:r>
              <w:rPr>
                <w:rFonts w:cs="Calibri"/>
                <w:color w:val="000000"/>
                <w:sz w:val="14"/>
                <w:szCs w:val="14"/>
              </w:rPr>
              <w:t>.</w:t>
            </w:r>
            <w:r w:rsidRPr="003003C0">
              <w:rPr>
                <w:rFonts w:cs="Calibri"/>
                <w:color w:val="000000"/>
                <w:sz w:val="14"/>
                <w:szCs w:val="14"/>
              </w:rPr>
              <w:t>5</w:t>
            </w:r>
          </w:p>
        </w:tc>
        <w:tc>
          <w:tcPr>
            <w:tcW w:w="683" w:type="dxa"/>
            <w:noWrap/>
            <w:vAlign w:val="center"/>
            <w:hideMark/>
          </w:tcPr>
          <w:p w14:paraId="58E4B103" w14:textId="77777777" w:rsidR="004F64EF" w:rsidRPr="003003C0" w:rsidRDefault="004F64EF" w:rsidP="00FD6B66">
            <w:pPr>
              <w:jc w:val="right"/>
              <w:rPr>
                <w:rFonts w:cs="Calibri"/>
                <w:color w:val="000000"/>
                <w:sz w:val="14"/>
                <w:szCs w:val="14"/>
              </w:rPr>
            </w:pPr>
            <w:r w:rsidRPr="003003C0">
              <w:rPr>
                <w:rFonts w:cs="Calibri"/>
                <w:color w:val="000000"/>
                <w:sz w:val="14"/>
                <w:szCs w:val="14"/>
              </w:rPr>
              <w:t>0</w:t>
            </w:r>
            <w:r>
              <w:rPr>
                <w:rFonts w:cs="Calibri"/>
                <w:color w:val="000000"/>
                <w:sz w:val="14"/>
                <w:szCs w:val="14"/>
              </w:rPr>
              <w:t>.</w:t>
            </w:r>
            <w:r w:rsidRPr="003003C0">
              <w:rPr>
                <w:rFonts w:cs="Calibri"/>
                <w:color w:val="000000"/>
                <w:sz w:val="14"/>
                <w:szCs w:val="14"/>
              </w:rPr>
              <w:t>5</w:t>
            </w:r>
          </w:p>
        </w:tc>
        <w:tc>
          <w:tcPr>
            <w:tcW w:w="684" w:type="dxa"/>
            <w:noWrap/>
            <w:vAlign w:val="center"/>
            <w:hideMark/>
          </w:tcPr>
          <w:p w14:paraId="5867962F" w14:textId="77777777" w:rsidR="004F64EF" w:rsidRPr="003003C0" w:rsidRDefault="004F64EF" w:rsidP="00FD6B66">
            <w:pPr>
              <w:jc w:val="right"/>
              <w:rPr>
                <w:rFonts w:cs="Calibri"/>
                <w:color w:val="000000"/>
                <w:sz w:val="14"/>
                <w:szCs w:val="14"/>
              </w:rPr>
            </w:pPr>
            <w:r w:rsidRPr="003003C0">
              <w:rPr>
                <w:rFonts w:cs="Calibri"/>
                <w:color w:val="000000"/>
                <w:sz w:val="14"/>
                <w:szCs w:val="14"/>
              </w:rPr>
              <w:t>0</w:t>
            </w:r>
            <w:r>
              <w:rPr>
                <w:rFonts w:cs="Calibri"/>
                <w:color w:val="000000"/>
                <w:sz w:val="14"/>
                <w:szCs w:val="14"/>
              </w:rPr>
              <w:t>.</w:t>
            </w:r>
            <w:r w:rsidRPr="003003C0">
              <w:rPr>
                <w:rFonts w:cs="Calibri"/>
                <w:color w:val="000000"/>
                <w:sz w:val="14"/>
                <w:szCs w:val="14"/>
              </w:rPr>
              <w:t>5</w:t>
            </w:r>
          </w:p>
        </w:tc>
      </w:tr>
      <w:tr w:rsidR="004F64EF" w:rsidRPr="003003C0" w14:paraId="43E429E2" w14:textId="77777777" w:rsidTr="00FD6B66">
        <w:trPr>
          <w:cnfStyle w:val="000000010000" w:firstRow="0" w:lastRow="0" w:firstColumn="0" w:lastColumn="0" w:oddVBand="0" w:evenVBand="0" w:oddHBand="0" w:evenHBand="1" w:firstRowFirstColumn="0" w:firstRowLastColumn="0" w:lastRowFirstColumn="0" w:lastRowLastColumn="0"/>
          <w:trHeight w:val="20"/>
        </w:trPr>
        <w:tc>
          <w:tcPr>
            <w:tcW w:w="4246" w:type="dxa"/>
            <w:noWrap/>
            <w:vAlign w:val="center"/>
            <w:hideMark/>
          </w:tcPr>
          <w:p w14:paraId="325A3C6C" w14:textId="77777777" w:rsidR="004F64EF" w:rsidRPr="003003C0" w:rsidRDefault="004F64EF" w:rsidP="00FD6B66">
            <w:pPr>
              <w:tabs>
                <w:tab w:val="left" w:pos="227"/>
              </w:tabs>
              <w:jc w:val="left"/>
              <w:rPr>
                <w:rFonts w:cs="Calibri"/>
                <w:color w:val="000000"/>
                <w:sz w:val="14"/>
                <w:szCs w:val="14"/>
              </w:rPr>
            </w:pPr>
            <w:r w:rsidRPr="003003C0">
              <w:rPr>
                <w:rFonts w:cs="Calibri"/>
                <w:color w:val="000000"/>
                <w:sz w:val="14"/>
                <w:szCs w:val="14"/>
              </w:rPr>
              <w:tab/>
              <w:t xml:space="preserve">06. </w:t>
            </w:r>
            <w:r w:rsidRPr="001F0D1D">
              <w:rPr>
                <w:rFonts w:cs="Calibri"/>
                <w:color w:val="000000"/>
                <w:sz w:val="14"/>
                <w:szCs w:val="14"/>
              </w:rPr>
              <w:t>Live trees and other plants; bulbs, roots and the like; cut flowers and ornamental foliage</w:t>
            </w:r>
          </w:p>
        </w:tc>
        <w:tc>
          <w:tcPr>
            <w:tcW w:w="683" w:type="dxa"/>
            <w:noWrap/>
            <w:vAlign w:val="center"/>
            <w:hideMark/>
          </w:tcPr>
          <w:p w14:paraId="4ACCCC62" w14:textId="77777777" w:rsidR="004F64EF" w:rsidRPr="003003C0" w:rsidRDefault="004F64EF" w:rsidP="00FD6B66">
            <w:pPr>
              <w:jc w:val="right"/>
              <w:rPr>
                <w:rFonts w:cs="Calibri"/>
                <w:color w:val="000000"/>
                <w:sz w:val="14"/>
                <w:szCs w:val="14"/>
              </w:rPr>
            </w:pPr>
            <w:r w:rsidRPr="003003C0">
              <w:rPr>
                <w:rFonts w:cs="Calibri"/>
                <w:color w:val="000000"/>
                <w:sz w:val="14"/>
                <w:szCs w:val="14"/>
              </w:rPr>
              <w:t>0</w:t>
            </w:r>
            <w:r>
              <w:rPr>
                <w:rFonts w:cs="Calibri"/>
                <w:color w:val="000000"/>
                <w:sz w:val="14"/>
                <w:szCs w:val="14"/>
              </w:rPr>
              <w:t>.</w:t>
            </w:r>
            <w:r w:rsidRPr="003003C0">
              <w:rPr>
                <w:rFonts w:cs="Calibri"/>
                <w:color w:val="000000"/>
                <w:sz w:val="14"/>
                <w:szCs w:val="14"/>
              </w:rPr>
              <w:t>1</w:t>
            </w:r>
          </w:p>
        </w:tc>
        <w:tc>
          <w:tcPr>
            <w:tcW w:w="683" w:type="dxa"/>
            <w:noWrap/>
            <w:vAlign w:val="center"/>
            <w:hideMark/>
          </w:tcPr>
          <w:p w14:paraId="2DC99A94" w14:textId="77777777" w:rsidR="004F64EF" w:rsidRPr="003003C0" w:rsidRDefault="004F64EF" w:rsidP="00FD6B66">
            <w:pPr>
              <w:jc w:val="right"/>
              <w:rPr>
                <w:rFonts w:cs="Calibri"/>
                <w:color w:val="000000"/>
                <w:sz w:val="14"/>
                <w:szCs w:val="14"/>
              </w:rPr>
            </w:pPr>
            <w:r w:rsidRPr="003003C0">
              <w:rPr>
                <w:rFonts w:cs="Calibri"/>
                <w:color w:val="000000"/>
                <w:sz w:val="14"/>
                <w:szCs w:val="14"/>
              </w:rPr>
              <w:t>0</w:t>
            </w:r>
            <w:r>
              <w:rPr>
                <w:rFonts w:cs="Calibri"/>
                <w:color w:val="000000"/>
                <w:sz w:val="14"/>
                <w:szCs w:val="14"/>
              </w:rPr>
              <w:t>.</w:t>
            </w:r>
            <w:r w:rsidRPr="003003C0">
              <w:rPr>
                <w:rFonts w:cs="Calibri"/>
                <w:color w:val="000000"/>
                <w:sz w:val="14"/>
                <w:szCs w:val="14"/>
              </w:rPr>
              <w:t>1</w:t>
            </w:r>
          </w:p>
        </w:tc>
        <w:tc>
          <w:tcPr>
            <w:tcW w:w="683" w:type="dxa"/>
            <w:noWrap/>
            <w:vAlign w:val="center"/>
            <w:hideMark/>
          </w:tcPr>
          <w:p w14:paraId="2A3BE47A" w14:textId="77777777" w:rsidR="004F64EF" w:rsidRPr="003003C0" w:rsidRDefault="004F64EF" w:rsidP="00FD6B66">
            <w:pPr>
              <w:jc w:val="right"/>
              <w:rPr>
                <w:rFonts w:cs="Calibri"/>
                <w:color w:val="000000"/>
                <w:sz w:val="14"/>
                <w:szCs w:val="14"/>
              </w:rPr>
            </w:pPr>
            <w:r w:rsidRPr="003003C0">
              <w:rPr>
                <w:rFonts w:cs="Calibri"/>
                <w:color w:val="000000"/>
                <w:sz w:val="14"/>
                <w:szCs w:val="14"/>
              </w:rPr>
              <w:t>0</w:t>
            </w:r>
            <w:r>
              <w:rPr>
                <w:rFonts w:cs="Calibri"/>
                <w:color w:val="000000"/>
                <w:sz w:val="14"/>
                <w:szCs w:val="14"/>
              </w:rPr>
              <w:t>.</w:t>
            </w:r>
            <w:r w:rsidRPr="003003C0">
              <w:rPr>
                <w:rFonts w:cs="Calibri"/>
                <w:color w:val="000000"/>
                <w:sz w:val="14"/>
                <w:szCs w:val="14"/>
              </w:rPr>
              <w:t>1</w:t>
            </w:r>
          </w:p>
        </w:tc>
        <w:tc>
          <w:tcPr>
            <w:tcW w:w="684" w:type="dxa"/>
            <w:noWrap/>
            <w:vAlign w:val="center"/>
            <w:hideMark/>
          </w:tcPr>
          <w:p w14:paraId="56B8E573" w14:textId="77777777" w:rsidR="004F64EF" w:rsidRPr="003003C0" w:rsidRDefault="004F64EF" w:rsidP="00FD6B66">
            <w:pPr>
              <w:jc w:val="right"/>
              <w:rPr>
                <w:rFonts w:cs="Calibri"/>
                <w:color w:val="000000"/>
                <w:sz w:val="14"/>
                <w:szCs w:val="14"/>
              </w:rPr>
            </w:pPr>
            <w:r w:rsidRPr="003003C0">
              <w:rPr>
                <w:rFonts w:cs="Calibri"/>
                <w:color w:val="000000"/>
                <w:sz w:val="14"/>
                <w:szCs w:val="14"/>
              </w:rPr>
              <w:t>0</w:t>
            </w:r>
            <w:r>
              <w:rPr>
                <w:rFonts w:cs="Calibri"/>
                <w:color w:val="000000"/>
                <w:sz w:val="14"/>
                <w:szCs w:val="14"/>
              </w:rPr>
              <w:t>.</w:t>
            </w:r>
            <w:r w:rsidRPr="003003C0">
              <w:rPr>
                <w:rFonts w:cs="Calibri"/>
                <w:color w:val="000000"/>
                <w:sz w:val="14"/>
                <w:szCs w:val="14"/>
              </w:rPr>
              <w:t>1</w:t>
            </w:r>
          </w:p>
        </w:tc>
        <w:tc>
          <w:tcPr>
            <w:tcW w:w="683" w:type="dxa"/>
            <w:noWrap/>
            <w:vAlign w:val="center"/>
            <w:hideMark/>
          </w:tcPr>
          <w:p w14:paraId="0E475169" w14:textId="77777777" w:rsidR="004F64EF" w:rsidRPr="003003C0" w:rsidRDefault="004F64EF" w:rsidP="00FD6B66">
            <w:pPr>
              <w:jc w:val="right"/>
              <w:rPr>
                <w:rFonts w:cs="Calibri"/>
                <w:color w:val="000000"/>
                <w:sz w:val="14"/>
                <w:szCs w:val="14"/>
              </w:rPr>
            </w:pPr>
            <w:r w:rsidRPr="003003C0">
              <w:rPr>
                <w:rFonts w:cs="Calibri"/>
                <w:color w:val="000000"/>
                <w:sz w:val="14"/>
                <w:szCs w:val="14"/>
              </w:rPr>
              <w:t>0</w:t>
            </w:r>
            <w:r>
              <w:rPr>
                <w:rFonts w:cs="Calibri"/>
                <w:color w:val="000000"/>
                <w:sz w:val="14"/>
                <w:szCs w:val="14"/>
              </w:rPr>
              <w:t>.</w:t>
            </w:r>
            <w:r w:rsidRPr="003003C0">
              <w:rPr>
                <w:rFonts w:cs="Calibri"/>
                <w:color w:val="000000"/>
                <w:sz w:val="14"/>
                <w:szCs w:val="14"/>
              </w:rPr>
              <w:t>1</w:t>
            </w:r>
          </w:p>
        </w:tc>
        <w:tc>
          <w:tcPr>
            <w:tcW w:w="683" w:type="dxa"/>
            <w:noWrap/>
            <w:vAlign w:val="center"/>
            <w:hideMark/>
          </w:tcPr>
          <w:p w14:paraId="610ADA72" w14:textId="77777777" w:rsidR="004F64EF" w:rsidRPr="003003C0" w:rsidRDefault="004F64EF" w:rsidP="00FD6B66">
            <w:pPr>
              <w:jc w:val="right"/>
              <w:rPr>
                <w:rFonts w:cs="Calibri"/>
                <w:color w:val="000000"/>
                <w:sz w:val="14"/>
                <w:szCs w:val="14"/>
              </w:rPr>
            </w:pPr>
            <w:r w:rsidRPr="003003C0">
              <w:rPr>
                <w:rFonts w:cs="Calibri"/>
                <w:color w:val="000000"/>
                <w:sz w:val="14"/>
                <w:szCs w:val="14"/>
              </w:rPr>
              <w:t>0</w:t>
            </w:r>
            <w:r>
              <w:rPr>
                <w:rFonts w:cs="Calibri"/>
                <w:color w:val="000000"/>
                <w:sz w:val="14"/>
                <w:szCs w:val="14"/>
              </w:rPr>
              <w:t>.</w:t>
            </w:r>
            <w:r w:rsidRPr="003003C0">
              <w:rPr>
                <w:rFonts w:cs="Calibri"/>
                <w:color w:val="000000"/>
                <w:sz w:val="14"/>
                <w:szCs w:val="14"/>
              </w:rPr>
              <w:t>1</w:t>
            </w:r>
          </w:p>
        </w:tc>
        <w:tc>
          <w:tcPr>
            <w:tcW w:w="684" w:type="dxa"/>
            <w:noWrap/>
            <w:vAlign w:val="center"/>
            <w:hideMark/>
          </w:tcPr>
          <w:p w14:paraId="786B352E" w14:textId="77777777" w:rsidR="004F64EF" w:rsidRPr="003003C0" w:rsidRDefault="004F64EF" w:rsidP="00FD6B66">
            <w:pPr>
              <w:jc w:val="right"/>
              <w:rPr>
                <w:rFonts w:cs="Calibri"/>
                <w:color w:val="000000"/>
                <w:sz w:val="14"/>
                <w:szCs w:val="14"/>
              </w:rPr>
            </w:pPr>
            <w:r w:rsidRPr="003003C0">
              <w:rPr>
                <w:rFonts w:cs="Calibri"/>
                <w:color w:val="000000"/>
                <w:sz w:val="14"/>
                <w:szCs w:val="14"/>
              </w:rPr>
              <w:t>0</w:t>
            </w:r>
            <w:r>
              <w:rPr>
                <w:rFonts w:cs="Calibri"/>
                <w:color w:val="000000"/>
                <w:sz w:val="14"/>
                <w:szCs w:val="14"/>
              </w:rPr>
              <w:t>.</w:t>
            </w:r>
            <w:r w:rsidRPr="003003C0">
              <w:rPr>
                <w:rFonts w:cs="Calibri"/>
                <w:color w:val="000000"/>
                <w:sz w:val="14"/>
                <w:szCs w:val="14"/>
              </w:rPr>
              <w:t>1</w:t>
            </w:r>
          </w:p>
        </w:tc>
      </w:tr>
      <w:tr w:rsidR="004F64EF" w:rsidRPr="003003C0" w14:paraId="3EA3F0E9" w14:textId="77777777" w:rsidTr="00FD6B66">
        <w:trPr>
          <w:trHeight w:val="20"/>
        </w:trPr>
        <w:tc>
          <w:tcPr>
            <w:tcW w:w="4246" w:type="dxa"/>
            <w:noWrap/>
            <w:vAlign w:val="center"/>
            <w:hideMark/>
          </w:tcPr>
          <w:p w14:paraId="2327ACD4" w14:textId="77777777" w:rsidR="004F64EF" w:rsidRPr="003003C0" w:rsidRDefault="004F64EF" w:rsidP="00FD6B66">
            <w:pPr>
              <w:tabs>
                <w:tab w:val="left" w:pos="227"/>
              </w:tabs>
              <w:jc w:val="left"/>
              <w:rPr>
                <w:rFonts w:cs="Calibri"/>
                <w:color w:val="000000"/>
                <w:sz w:val="14"/>
                <w:szCs w:val="14"/>
              </w:rPr>
            </w:pPr>
            <w:r w:rsidRPr="003003C0">
              <w:rPr>
                <w:rFonts w:cs="Calibri"/>
                <w:color w:val="000000"/>
                <w:sz w:val="14"/>
                <w:szCs w:val="14"/>
              </w:rPr>
              <w:tab/>
              <w:t xml:space="preserve">13. </w:t>
            </w:r>
            <w:r w:rsidRPr="001F0D1D">
              <w:rPr>
                <w:rFonts w:cs="Calibri"/>
                <w:color w:val="000000"/>
                <w:sz w:val="14"/>
                <w:szCs w:val="14"/>
              </w:rPr>
              <w:t>Lac; gums, resins and other vegetable saps and extracts</w:t>
            </w:r>
          </w:p>
        </w:tc>
        <w:tc>
          <w:tcPr>
            <w:tcW w:w="683" w:type="dxa"/>
            <w:noWrap/>
            <w:vAlign w:val="center"/>
            <w:hideMark/>
          </w:tcPr>
          <w:p w14:paraId="441DFFCE" w14:textId="77777777" w:rsidR="004F64EF" w:rsidRPr="003003C0" w:rsidRDefault="004F64EF" w:rsidP="00FD6B66">
            <w:pPr>
              <w:jc w:val="right"/>
              <w:rPr>
                <w:rFonts w:cs="Calibri"/>
                <w:color w:val="000000"/>
                <w:sz w:val="14"/>
                <w:szCs w:val="14"/>
              </w:rPr>
            </w:pPr>
            <w:r w:rsidRPr="003003C0">
              <w:rPr>
                <w:rFonts w:cs="Calibri"/>
                <w:color w:val="000000"/>
                <w:sz w:val="14"/>
                <w:szCs w:val="14"/>
              </w:rPr>
              <w:t>0</w:t>
            </w:r>
            <w:r>
              <w:rPr>
                <w:rFonts w:cs="Calibri"/>
                <w:color w:val="000000"/>
                <w:sz w:val="14"/>
                <w:szCs w:val="14"/>
              </w:rPr>
              <w:t>.</w:t>
            </w:r>
            <w:r w:rsidRPr="003003C0">
              <w:rPr>
                <w:rFonts w:cs="Calibri"/>
                <w:color w:val="000000"/>
                <w:sz w:val="14"/>
                <w:szCs w:val="14"/>
              </w:rPr>
              <w:t>2</w:t>
            </w:r>
          </w:p>
        </w:tc>
        <w:tc>
          <w:tcPr>
            <w:tcW w:w="683" w:type="dxa"/>
            <w:noWrap/>
            <w:vAlign w:val="center"/>
            <w:hideMark/>
          </w:tcPr>
          <w:p w14:paraId="4DEB63EB" w14:textId="77777777" w:rsidR="004F64EF" w:rsidRPr="003003C0" w:rsidRDefault="004F64EF" w:rsidP="00FD6B66">
            <w:pPr>
              <w:jc w:val="right"/>
              <w:rPr>
                <w:rFonts w:cs="Calibri"/>
                <w:color w:val="000000"/>
                <w:sz w:val="14"/>
                <w:szCs w:val="14"/>
              </w:rPr>
            </w:pPr>
            <w:r w:rsidRPr="003003C0">
              <w:rPr>
                <w:rFonts w:cs="Calibri"/>
                <w:color w:val="000000"/>
                <w:sz w:val="14"/>
                <w:szCs w:val="14"/>
              </w:rPr>
              <w:t>0</w:t>
            </w:r>
            <w:r>
              <w:rPr>
                <w:rFonts w:cs="Calibri"/>
                <w:color w:val="000000"/>
                <w:sz w:val="14"/>
                <w:szCs w:val="14"/>
              </w:rPr>
              <w:t>.</w:t>
            </w:r>
            <w:r w:rsidRPr="003003C0">
              <w:rPr>
                <w:rFonts w:cs="Calibri"/>
                <w:color w:val="000000"/>
                <w:sz w:val="14"/>
                <w:szCs w:val="14"/>
              </w:rPr>
              <w:t>1</w:t>
            </w:r>
          </w:p>
        </w:tc>
        <w:tc>
          <w:tcPr>
            <w:tcW w:w="683" w:type="dxa"/>
            <w:noWrap/>
            <w:vAlign w:val="center"/>
            <w:hideMark/>
          </w:tcPr>
          <w:p w14:paraId="5A64FF4B" w14:textId="77777777" w:rsidR="004F64EF" w:rsidRPr="003003C0" w:rsidRDefault="004F64EF" w:rsidP="00FD6B66">
            <w:pPr>
              <w:jc w:val="right"/>
              <w:rPr>
                <w:rFonts w:cs="Calibri"/>
                <w:color w:val="000000"/>
                <w:sz w:val="14"/>
                <w:szCs w:val="14"/>
              </w:rPr>
            </w:pPr>
            <w:r w:rsidRPr="003003C0">
              <w:rPr>
                <w:rFonts w:cs="Calibri"/>
                <w:color w:val="000000"/>
                <w:sz w:val="14"/>
                <w:szCs w:val="14"/>
              </w:rPr>
              <w:t>0</w:t>
            </w:r>
            <w:r>
              <w:rPr>
                <w:rFonts w:cs="Calibri"/>
                <w:color w:val="000000"/>
                <w:sz w:val="14"/>
                <w:szCs w:val="14"/>
              </w:rPr>
              <w:t>.</w:t>
            </w:r>
            <w:r w:rsidRPr="003003C0">
              <w:rPr>
                <w:rFonts w:cs="Calibri"/>
                <w:color w:val="000000"/>
                <w:sz w:val="14"/>
                <w:szCs w:val="14"/>
              </w:rPr>
              <w:t>1</w:t>
            </w:r>
          </w:p>
        </w:tc>
        <w:tc>
          <w:tcPr>
            <w:tcW w:w="684" w:type="dxa"/>
            <w:noWrap/>
            <w:vAlign w:val="center"/>
            <w:hideMark/>
          </w:tcPr>
          <w:p w14:paraId="6FA2C0AD" w14:textId="77777777" w:rsidR="004F64EF" w:rsidRPr="003003C0" w:rsidRDefault="004F64EF" w:rsidP="00FD6B66">
            <w:pPr>
              <w:jc w:val="right"/>
              <w:rPr>
                <w:rFonts w:cs="Calibri"/>
                <w:color w:val="000000"/>
                <w:sz w:val="14"/>
                <w:szCs w:val="14"/>
              </w:rPr>
            </w:pPr>
            <w:r w:rsidRPr="003003C0">
              <w:rPr>
                <w:rFonts w:cs="Calibri"/>
                <w:color w:val="000000"/>
                <w:sz w:val="14"/>
                <w:szCs w:val="14"/>
              </w:rPr>
              <w:t>0</w:t>
            </w:r>
            <w:r>
              <w:rPr>
                <w:rFonts w:cs="Calibri"/>
                <w:color w:val="000000"/>
                <w:sz w:val="14"/>
                <w:szCs w:val="14"/>
              </w:rPr>
              <w:t>.</w:t>
            </w:r>
            <w:r w:rsidRPr="003003C0">
              <w:rPr>
                <w:rFonts w:cs="Calibri"/>
                <w:color w:val="000000"/>
                <w:sz w:val="14"/>
                <w:szCs w:val="14"/>
              </w:rPr>
              <w:t>1</w:t>
            </w:r>
          </w:p>
        </w:tc>
        <w:tc>
          <w:tcPr>
            <w:tcW w:w="683" w:type="dxa"/>
            <w:noWrap/>
            <w:vAlign w:val="center"/>
            <w:hideMark/>
          </w:tcPr>
          <w:p w14:paraId="51C6A448" w14:textId="77777777" w:rsidR="004F64EF" w:rsidRPr="003003C0" w:rsidRDefault="004F64EF" w:rsidP="00FD6B66">
            <w:pPr>
              <w:jc w:val="right"/>
              <w:rPr>
                <w:rFonts w:cs="Calibri"/>
                <w:color w:val="000000"/>
                <w:sz w:val="14"/>
                <w:szCs w:val="14"/>
              </w:rPr>
            </w:pPr>
            <w:r w:rsidRPr="003003C0">
              <w:rPr>
                <w:rFonts w:cs="Calibri"/>
                <w:color w:val="000000"/>
                <w:sz w:val="14"/>
                <w:szCs w:val="14"/>
              </w:rPr>
              <w:t>0</w:t>
            </w:r>
            <w:r>
              <w:rPr>
                <w:rFonts w:cs="Calibri"/>
                <w:color w:val="000000"/>
                <w:sz w:val="14"/>
                <w:szCs w:val="14"/>
              </w:rPr>
              <w:t>.</w:t>
            </w:r>
            <w:r w:rsidRPr="003003C0">
              <w:rPr>
                <w:rFonts w:cs="Calibri"/>
                <w:color w:val="000000"/>
                <w:sz w:val="14"/>
                <w:szCs w:val="14"/>
              </w:rPr>
              <w:t>1</w:t>
            </w:r>
          </w:p>
        </w:tc>
        <w:tc>
          <w:tcPr>
            <w:tcW w:w="683" w:type="dxa"/>
            <w:noWrap/>
            <w:vAlign w:val="center"/>
            <w:hideMark/>
          </w:tcPr>
          <w:p w14:paraId="4C994CAD" w14:textId="77777777" w:rsidR="004F64EF" w:rsidRPr="003003C0" w:rsidRDefault="004F64EF" w:rsidP="00FD6B66">
            <w:pPr>
              <w:jc w:val="right"/>
              <w:rPr>
                <w:rFonts w:cs="Calibri"/>
                <w:color w:val="000000"/>
                <w:sz w:val="14"/>
                <w:szCs w:val="14"/>
              </w:rPr>
            </w:pPr>
            <w:r w:rsidRPr="003003C0">
              <w:rPr>
                <w:rFonts w:cs="Calibri"/>
                <w:color w:val="000000"/>
                <w:sz w:val="14"/>
                <w:szCs w:val="14"/>
              </w:rPr>
              <w:t>0</w:t>
            </w:r>
            <w:r>
              <w:rPr>
                <w:rFonts w:cs="Calibri"/>
                <w:color w:val="000000"/>
                <w:sz w:val="14"/>
                <w:szCs w:val="14"/>
              </w:rPr>
              <w:t>.</w:t>
            </w:r>
            <w:r w:rsidRPr="003003C0">
              <w:rPr>
                <w:rFonts w:cs="Calibri"/>
                <w:color w:val="000000"/>
                <w:sz w:val="14"/>
                <w:szCs w:val="14"/>
              </w:rPr>
              <w:t>1</w:t>
            </w:r>
          </w:p>
        </w:tc>
        <w:tc>
          <w:tcPr>
            <w:tcW w:w="684" w:type="dxa"/>
            <w:noWrap/>
            <w:vAlign w:val="center"/>
            <w:hideMark/>
          </w:tcPr>
          <w:p w14:paraId="301F5F9E" w14:textId="77777777" w:rsidR="004F64EF" w:rsidRPr="003003C0" w:rsidRDefault="004F64EF" w:rsidP="00FD6B66">
            <w:pPr>
              <w:jc w:val="right"/>
              <w:rPr>
                <w:rFonts w:cs="Calibri"/>
                <w:color w:val="000000"/>
                <w:sz w:val="14"/>
                <w:szCs w:val="14"/>
              </w:rPr>
            </w:pPr>
            <w:r w:rsidRPr="003003C0">
              <w:rPr>
                <w:rFonts w:cs="Calibri"/>
                <w:color w:val="000000"/>
                <w:sz w:val="14"/>
                <w:szCs w:val="14"/>
              </w:rPr>
              <w:t>0</w:t>
            </w:r>
            <w:r>
              <w:rPr>
                <w:rFonts w:cs="Calibri"/>
                <w:color w:val="000000"/>
                <w:sz w:val="14"/>
                <w:szCs w:val="14"/>
              </w:rPr>
              <w:t>.</w:t>
            </w:r>
            <w:r w:rsidRPr="003003C0">
              <w:rPr>
                <w:rFonts w:cs="Calibri"/>
                <w:color w:val="000000"/>
                <w:sz w:val="14"/>
                <w:szCs w:val="14"/>
              </w:rPr>
              <w:t>1</w:t>
            </w:r>
          </w:p>
        </w:tc>
      </w:tr>
      <w:tr w:rsidR="004F64EF" w:rsidRPr="003003C0" w14:paraId="057C5384" w14:textId="77777777" w:rsidTr="00FD6B66">
        <w:trPr>
          <w:cnfStyle w:val="000000010000" w:firstRow="0" w:lastRow="0" w:firstColumn="0" w:lastColumn="0" w:oddVBand="0" w:evenVBand="0" w:oddHBand="0" w:evenHBand="1" w:firstRowFirstColumn="0" w:firstRowLastColumn="0" w:lastRowFirstColumn="0" w:lastRowLastColumn="0"/>
          <w:trHeight w:val="20"/>
        </w:trPr>
        <w:tc>
          <w:tcPr>
            <w:tcW w:w="4246" w:type="dxa"/>
            <w:noWrap/>
            <w:vAlign w:val="center"/>
            <w:hideMark/>
          </w:tcPr>
          <w:p w14:paraId="325E038C" w14:textId="77777777" w:rsidR="004F64EF" w:rsidRPr="003003C0" w:rsidRDefault="004F64EF" w:rsidP="00FD6B66">
            <w:pPr>
              <w:jc w:val="left"/>
              <w:rPr>
                <w:rFonts w:cs="Calibri"/>
                <w:color w:val="000000"/>
                <w:sz w:val="14"/>
                <w:szCs w:val="14"/>
              </w:rPr>
            </w:pPr>
            <w:r w:rsidRPr="003003C0">
              <w:rPr>
                <w:rFonts w:cs="Calibri"/>
                <w:color w:val="000000"/>
                <w:sz w:val="14"/>
                <w:szCs w:val="14"/>
              </w:rPr>
              <w:t xml:space="preserve">3 - </w:t>
            </w:r>
            <w:r>
              <w:rPr>
                <w:rFonts w:cs="Calibri"/>
                <w:color w:val="000000"/>
                <w:sz w:val="14"/>
                <w:szCs w:val="14"/>
              </w:rPr>
              <w:t>A</w:t>
            </w:r>
            <w:r w:rsidRPr="00A777AC">
              <w:rPr>
                <w:rFonts w:cs="Calibri"/>
                <w:color w:val="000000"/>
                <w:sz w:val="14"/>
                <w:szCs w:val="14"/>
              </w:rPr>
              <w:t>nimal or vegetable fats and oils</w:t>
            </w:r>
          </w:p>
        </w:tc>
        <w:tc>
          <w:tcPr>
            <w:tcW w:w="683" w:type="dxa"/>
            <w:noWrap/>
            <w:vAlign w:val="center"/>
            <w:hideMark/>
          </w:tcPr>
          <w:p w14:paraId="5BBAD0B9" w14:textId="77777777" w:rsidR="004F64EF" w:rsidRPr="003003C0" w:rsidRDefault="004F64EF" w:rsidP="00FD6B66">
            <w:pPr>
              <w:jc w:val="right"/>
              <w:rPr>
                <w:rFonts w:cs="Calibri"/>
                <w:color w:val="000000"/>
                <w:sz w:val="14"/>
                <w:szCs w:val="14"/>
              </w:rPr>
            </w:pPr>
            <w:r w:rsidRPr="003003C0">
              <w:rPr>
                <w:rFonts w:cs="Calibri"/>
                <w:color w:val="000000"/>
                <w:sz w:val="14"/>
                <w:szCs w:val="14"/>
              </w:rPr>
              <w:t>0</w:t>
            </w:r>
            <w:r>
              <w:rPr>
                <w:rFonts w:cs="Calibri"/>
                <w:color w:val="000000"/>
                <w:sz w:val="14"/>
                <w:szCs w:val="14"/>
              </w:rPr>
              <w:t>.</w:t>
            </w:r>
            <w:r w:rsidRPr="003003C0">
              <w:rPr>
                <w:rFonts w:cs="Calibri"/>
                <w:color w:val="000000"/>
                <w:sz w:val="14"/>
                <w:szCs w:val="14"/>
              </w:rPr>
              <w:t>0</w:t>
            </w:r>
          </w:p>
        </w:tc>
        <w:tc>
          <w:tcPr>
            <w:tcW w:w="683" w:type="dxa"/>
            <w:noWrap/>
            <w:vAlign w:val="center"/>
            <w:hideMark/>
          </w:tcPr>
          <w:p w14:paraId="28E63242" w14:textId="77777777" w:rsidR="004F64EF" w:rsidRPr="003003C0" w:rsidRDefault="004F64EF" w:rsidP="00FD6B66">
            <w:pPr>
              <w:jc w:val="right"/>
              <w:rPr>
                <w:rFonts w:cs="Calibri"/>
                <w:color w:val="000000"/>
                <w:sz w:val="14"/>
                <w:szCs w:val="14"/>
              </w:rPr>
            </w:pPr>
            <w:r w:rsidRPr="003003C0">
              <w:rPr>
                <w:rFonts w:cs="Calibri"/>
                <w:color w:val="000000"/>
                <w:sz w:val="14"/>
                <w:szCs w:val="14"/>
              </w:rPr>
              <w:t>0</w:t>
            </w:r>
            <w:r>
              <w:rPr>
                <w:rFonts w:cs="Calibri"/>
                <w:color w:val="000000"/>
                <w:sz w:val="14"/>
                <w:szCs w:val="14"/>
              </w:rPr>
              <w:t>.</w:t>
            </w:r>
            <w:r w:rsidRPr="003003C0">
              <w:rPr>
                <w:rFonts w:cs="Calibri"/>
                <w:color w:val="000000"/>
                <w:sz w:val="14"/>
                <w:szCs w:val="14"/>
              </w:rPr>
              <w:t>0</w:t>
            </w:r>
          </w:p>
        </w:tc>
        <w:tc>
          <w:tcPr>
            <w:tcW w:w="683" w:type="dxa"/>
            <w:noWrap/>
            <w:vAlign w:val="center"/>
            <w:hideMark/>
          </w:tcPr>
          <w:p w14:paraId="2222DAC8" w14:textId="77777777" w:rsidR="004F64EF" w:rsidRPr="003003C0" w:rsidRDefault="004F64EF" w:rsidP="00FD6B66">
            <w:pPr>
              <w:jc w:val="right"/>
              <w:rPr>
                <w:rFonts w:cs="Calibri"/>
                <w:color w:val="000000"/>
                <w:sz w:val="14"/>
                <w:szCs w:val="14"/>
              </w:rPr>
            </w:pPr>
            <w:r w:rsidRPr="003003C0">
              <w:rPr>
                <w:rFonts w:cs="Calibri"/>
                <w:color w:val="000000"/>
                <w:sz w:val="14"/>
                <w:szCs w:val="14"/>
              </w:rPr>
              <w:t>0</w:t>
            </w:r>
            <w:r>
              <w:rPr>
                <w:rFonts w:cs="Calibri"/>
                <w:color w:val="000000"/>
                <w:sz w:val="14"/>
                <w:szCs w:val="14"/>
              </w:rPr>
              <w:t>.</w:t>
            </w:r>
            <w:r w:rsidRPr="003003C0">
              <w:rPr>
                <w:rFonts w:cs="Calibri"/>
                <w:color w:val="000000"/>
                <w:sz w:val="14"/>
                <w:szCs w:val="14"/>
              </w:rPr>
              <w:t>0</w:t>
            </w:r>
          </w:p>
        </w:tc>
        <w:tc>
          <w:tcPr>
            <w:tcW w:w="684" w:type="dxa"/>
            <w:noWrap/>
            <w:vAlign w:val="center"/>
            <w:hideMark/>
          </w:tcPr>
          <w:p w14:paraId="2E2FE51A" w14:textId="77777777" w:rsidR="004F64EF" w:rsidRPr="003003C0" w:rsidRDefault="004F64EF" w:rsidP="00FD6B66">
            <w:pPr>
              <w:jc w:val="right"/>
              <w:rPr>
                <w:rFonts w:cs="Calibri"/>
                <w:color w:val="000000"/>
                <w:sz w:val="14"/>
                <w:szCs w:val="14"/>
              </w:rPr>
            </w:pPr>
            <w:r w:rsidRPr="003003C0">
              <w:rPr>
                <w:rFonts w:cs="Calibri"/>
                <w:color w:val="000000"/>
                <w:sz w:val="14"/>
                <w:szCs w:val="14"/>
              </w:rPr>
              <w:t>0</w:t>
            </w:r>
            <w:r>
              <w:rPr>
                <w:rFonts w:cs="Calibri"/>
                <w:color w:val="000000"/>
                <w:sz w:val="14"/>
                <w:szCs w:val="14"/>
              </w:rPr>
              <w:t>.</w:t>
            </w:r>
            <w:r w:rsidRPr="003003C0">
              <w:rPr>
                <w:rFonts w:cs="Calibri"/>
                <w:color w:val="000000"/>
                <w:sz w:val="14"/>
                <w:szCs w:val="14"/>
              </w:rPr>
              <w:t>0</w:t>
            </w:r>
          </w:p>
        </w:tc>
        <w:tc>
          <w:tcPr>
            <w:tcW w:w="683" w:type="dxa"/>
            <w:noWrap/>
            <w:vAlign w:val="center"/>
            <w:hideMark/>
          </w:tcPr>
          <w:p w14:paraId="7E74E3FE" w14:textId="77777777" w:rsidR="004F64EF" w:rsidRPr="003003C0" w:rsidRDefault="004F64EF" w:rsidP="00FD6B66">
            <w:pPr>
              <w:jc w:val="right"/>
              <w:rPr>
                <w:rFonts w:cs="Calibri"/>
                <w:color w:val="000000"/>
                <w:sz w:val="14"/>
                <w:szCs w:val="14"/>
              </w:rPr>
            </w:pPr>
            <w:r w:rsidRPr="003003C0">
              <w:rPr>
                <w:rFonts w:cs="Calibri"/>
                <w:color w:val="000000"/>
                <w:sz w:val="14"/>
                <w:szCs w:val="14"/>
              </w:rPr>
              <w:t>0</w:t>
            </w:r>
            <w:r>
              <w:rPr>
                <w:rFonts w:cs="Calibri"/>
                <w:color w:val="000000"/>
                <w:sz w:val="14"/>
                <w:szCs w:val="14"/>
              </w:rPr>
              <w:t>.</w:t>
            </w:r>
            <w:r w:rsidRPr="003003C0">
              <w:rPr>
                <w:rFonts w:cs="Calibri"/>
                <w:color w:val="000000"/>
                <w:sz w:val="14"/>
                <w:szCs w:val="14"/>
              </w:rPr>
              <w:t>0</w:t>
            </w:r>
          </w:p>
        </w:tc>
        <w:tc>
          <w:tcPr>
            <w:tcW w:w="683" w:type="dxa"/>
            <w:noWrap/>
            <w:vAlign w:val="center"/>
            <w:hideMark/>
          </w:tcPr>
          <w:p w14:paraId="655B8766" w14:textId="77777777" w:rsidR="004F64EF" w:rsidRPr="003003C0" w:rsidRDefault="004F64EF" w:rsidP="00FD6B66">
            <w:pPr>
              <w:jc w:val="right"/>
              <w:rPr>
                <w:rFonts w:cs="Calibri"/>
                <w:color w:val="000000"/>
                <w:sz w:val="14"/>
                <w:szCs w:val="14"/>
              </w:rPr>
            </w:pPr>
            <w:r w:rsidRPr="003003C0">
              <w:rPr>
                <w:rFonts w:cs="Calibri"/>
                <w:color w:val="000000"/>
                <w:sz w:val="14"/>
                <w:szCs w:val="14"/>
              </w:rPr>
              <w:t>0</w:t>
            </w:r>
            <w:r>
              <w:rPr>
                <w:rFonts w:cs="Calibri"/>
                <w:color w:val="000000"/>
                <w:sz w:val="14"/>
                <w:szCs w:val="14"/>
              </w:rPr>
              <w:t>.</w:t>
            </w:r>
            <w:r w:rsidRPr="003003C0">
              <w:rPr>
                <w:rFonts w:cs="Calibri"/>
                <w:color w:val="000000"/>
                <w:sz w:val="14"/>
                <w:szCs w:val="14"/>
              </w:rPr>
              <w:t>0</w:t>
            </w:r>
          </w:p>
        </w:tc>
        <w:tc>
          <w:tcPr>
            <w:tcW w:w="684" w:type="dxa"/>
            <w:noWrap/>
            <w:vAlign w:val="center"/>
            <w:hideMark/>
          </w:tcPr>
          <w:p w14:paraId="03664546" w14:textId="77777777" w:rsidR="004F64EF" w:rsidRPr="003003C0" w:rsidRDefault="004F64EF" w:rsidP="00FD6B66">
            <w:pPr>
              <w:jc w:val="right"/>
              <w:rPr>
                <w:rFonts w:cs="Calibri"/>
                <w:color w:val="000000"/>
                <w:sz w:val="14"/>
                <w:szCs w:val="14"/>
              </w:rPr>
            </w:pPr>
            <w:r w:rsidRPr="003003C0">
              <w:rPr>
                <w:rFonts w:cs="Calibri"/>
                <w:color w:val="000000"/>
                <w:sz w:val="14"/>
                <w:szCs w:val="14"/>
              </w:rPr>
              <w:t>0</w:t>
            </w:r>
            <w:r>
              <w:rPr>
                <w:rFonts w:cs="Calibri"/>
                <w:color w:val="000000"/>
                <w:sz w:val="14"/>
                <w:szCs w:val="14"/>
              </w:rPr>
              <w:t>.</w:t>
            </w:r>
            <w:r w:rsidRPr="003003C0">
              <w:rPr>
                <w:rFonts w:cs="Calibri"/>
                <w:color w:val="000000"/>
                <w:sz w:val="14"/>
                <w:szCs w:val="14"/>
              </w:rPr>
              <w:t>0</w:t>
            </w:r>
          </w:p>
        </w:tc>
      </w:tr>
      <w:tr w:rsidR="004F64EF" w:rsidRPr="003003C0" w14:paraId="78A8F6AD" w14:textId="77777777" w:rsidTr="00FD6B66">
        <w:trPr>
          <w:trHeight w:val="20"/>
        </w:trPr>
        <w:tc>
          <w:tcPr>
            <w:tcW w:w="4246" w:type="dxa"/>
            <w:noWrap/>
            <w:vAlign w:val="center"/>
            <w:hideMark/>
          </w:tcPr>
          <w:p w14:paraId="0D9CB491" w14:textId="77777777" w:rsidR="004F64EF" w:rsidRPr="003003C0" w:rsidRDefault="004F64EF" w:rsidP="00FD6B66">
            <w:pPr>
              <w:jc w:val="left"/>
              <w:rPr>
                <w:rFonts w:cs="Calibri"/>
                <w:color w:val="000000"/>
                <w:sz w:val="14"/>
                <w:szCs w:val="14"/>
              </w:rPr>
            </w:pPr>
            <w:r w:rsidRPr="003003C0">
              <w:rPr>
                <w:rFonts w:cs="Calibri"/>
                <w:color w:val="000000"/>
                <w:sz w:val="14"/>
                <w:szCs w:val="14"/>
              </w:rPr>
              <w:t xml:space="preserve">4 - </w:t>
            </w:r>
            <w:r>
              <w:rPr>
                <w:rFonts w:cs="Calibri"/>
                <w:color w:val="000000"/>
                <w:sz w:val="14"/>
                <w:szCs w:val="14"/>
              </w:rPr>
              <w:t>P</w:t>
            </w:r>
            <w:r w:rsidRPr="00A777AC">
              <w:rPr>
                <w:rFonts w:cs="Calibri"/>
                <w:color w:val="000000"/>
                <w:sz w:val="14"/>
                <w:szCs w:val="14"/>
              </w:rPr>
              <w:t>repared foodstuffs</w:t>
            </w:r>
            <w:r>
              <w:rPr>
                <w:rFonts w:cs="Calibri"/>
                <w:color w:val="000000"/>
                <w:sz w:val="14"/>
                <w:szCs w:val="14"/>
              </w:rPr>
              <w:t xml:space="preserve">; </w:t>
            </w:r>
            <w:r w:rsidRPr="00A777AC">
              <w:rPr>
                <w:rFonts w:cs="Calibri"/>
                <w:color w:val="000000"/>
                <w:sz w:val="14"/>
                <w:szCs w:val="14"/>
              </w:rPr>
              <w:t>beverages, spirits and vinegar; tobacco</w:t>
            </w:r>
            <w:r>
              <w:rPr>
                <w:rFonts w:cs="Calibri"/>
                <w:color w:val="000000"/>
                <w:sz w:val="14"/>
                <w:szCs w:val="14"/>
              </w:rPr>
              <w:t xml:space="preserve"> </w:t>
            </w:r>
            <w:r w:rsidRPr="00A777AC">
              <w:rPr>
                <w:rFonts w:cs="Calibri"/>
                <w:color w:val="000000"/>
                <w:sz w:val="14"/>
                <w:szCs w:val="14"/>
              </w:rPr>
              <w:t>and manufactured tobacco substitutes</w:t>
            </w:r>
          </w:p>
        </w:tc>
        <w:tc>
          <w:tcPr>
            <w:tcW w:w="683" w:type="dxa"/>
            <w:noWrap/>
            <w:vAlign w:val="center"/>
            <w:hideMark/>
          </w:tcPr>
          <w:p w14:paraId="4FC7C856" w14:textId="77777777" w:rsidR="004F64EF" w:rsidRPr="003003C0" w:rsidRDefault="004F64EF" w:rsidP="00FD6B66">
            <w:pPr>
              <w:jc w:val="right"/>
              <w:rPr>
                <w:rFonts w:cs="Calibri"/>
                <w:color w:val="000000"/>
                <w:sz w:val="14"/>
                <w:szCs w:val="14"/>
              </w:rPr>
            </w:pPr>
            <w:r w:rsidRPr="003003C0">
              <w:rPr>
                <w:rFonts w:cs="Calibri"/>
                <w:color w:val="000000"/>
                <w:sz w:val="14"/>
                <w:szCs w:val="14"/>
              </w:rPr>
              <w:t>17</w:t>
            </w:r>
            <w:r>
              <w:rPr>
                <w:rFonts w:cs="Calibri"/>
                <w:color w:val="000000"/>
                <w:sz w:val="14"/>
                <w:szCs w:val="14"/>
              </w:rPr>
              <w:t>.</w:t>
            </w:r>
            <w:r w:rsidRPr="003003C0">
              <w:rPr>
                <w:rFonts w:cs="Calibri"/>
                <w:color w:val="000000"/>
                <w:sz w:val="14"/>
                <w:szCs w:val="14"/>
              </w:rPr>
              <w:t>3</w:t>
            </w:r>
          </w:p>
        </w:tc>
        <w:tc>
          <w:tcPr>
            <w:tcW w:w="683" w:type="dxa"/>
            <w:noWrap/>
            <w:vAlign w:val="center"/>
            <w:hideMark/>
          </w:tcPr>
          <w:p w14:paraId="3E5D64C8" w14:textId="77777777" w:rsidR="004F64EF" w:rsidRPr="003003C0" w:rsidRDefault="004F64EF" w:rsidP="00FD6B66">
            <w:pPr>
              <w:jc w:val="right"/>
              <w:rPr>
                <w:rFonts w:cs="Calibri"/>
                <w:color w:val="000000"/>
                <w:sz w:val="14"/>
                <w:szCs w:val="14"/>
              </w:rPr>
            </w:pPr>
            <w:r w:rsidRPr="003003C0">
              <w:rPr>
                <w:rFonts w:cs="Calibri"/>
                <w:color w:val="000000"/>
                <w:sz w:val="14"/>
                <w:szCs w:val="14"/>
              </w:rPr>
              <w:t>17</w:t>
            </w:r>
            <w:r>
              <w:rPr>
                <w:rFonts w:cs="Calibri"/>
                <w:color w:val="000000"/>
                <w:sz w:val="14"/>
                <w:szCs w:val="14"/>
              </w:rPr>
              <w:t>.</w:t>
            </w:r>
            <w:r w:rsidRPr="003003C0">
              <w:rPr>
                <w:rFonts w:cs="Calibri"/>
                <w:color w:val="000000"/>
                <w:sz w:val="14"/>
                <w:szCs w:val="14"/>
              </w:rPr>
              <w:t>9</w:t>
            </w:r>
          </w:p>
        </w:tc>
        <w:tc>
          <w:tcPr>
            <w:tcW w:w="683" w:type="dxa"/>
            <w:noWrap/>
            <w:vAlign w:val="center"/>
            <w:hideMark/>
          </w:tcPr>
          <w:p w14:paraId="1FF028D2" w14:textId="77777777" w:rsidR="004F64EF" w:rsidRPr="003003C0" w:rsidRDefault="004F64EF" w:rsidP="00FD6B66">
            <w:pPr>
              <w:jc w:val="right"/>
              <w:rPr>
                <w:rFonts w:cs="Calibri"/>
                <w:color w:val="000000"/>
                <w:sz w:val="14"/>
                <w:szCs w:val="14"/>
              </w:rPr>
            </w:pPr>
            <w:r w:rsidRPr="003003C0">
              <w:rPr>
                <w:rFonts w:cs="Calibri"/>
                <w:color w:val="000000"/>
                <w:sz w:val="14"/>
                <w:szCs w:val="14"/>
              </w:rPr>
              <w:t>18</w:t>
            </w:r>
            <w:r>
              <w:rPr>
                <w:rFonts w:cs="Calibri"/>
                <w:color w:val="000000"/>
                <w:sz w:val="14"/>
                <w:szCs w:val="14"/>
              </w:rPr>
              <w:t>.</w:t>
            </w:r>
            <w:r w:rsidRPr="003003C0">
              <w:rPr>
                <w:rFonts w:cs="Calibri"/>
                <w:color w:val="000000"/>
                <w:sz w:val="14"/>
                <w:szCs w:val="14"/>
              </w:rPr>
              <w:t>0</w:t>
            </w:r>
          </w:p>
        </w:tc>
        <w:tc>
          <w:tcPr>
            <w:tcW w:w="684" w:type="dxa"/>
            <w:noWrap/>
            <w:vAlign w:val="center"/>
            <w:hideMark/>
          </w:tcPr>
          <w:p w14:paraId="5B5AC3CC" w14:textId="77777777" w:rsidR="004F64EF" w:rsidRPr="003003C0" w:rsidRDefault="004F64EF" w:rsidP="00FD6B66">
            <w:pPr>
              <w:jc w:val="right"/>
              <w:rPr>
                <w:rFonts w:cs="Calibri"/>
                <w:color w:val="000000"/>
                <w:sz w:val="14"/>
                <w:szCs w:val="14"/>
              </w:rPr>
            </w:pPr>
            <w:r w:rsidRPr="003003C0">
              <w:rPr>
                <w:rFonts w:cs="Calibri"/>
                <w:color w:val="000000"/>
                <w:sz w:val="14"/>
                <w:szCs w:val="14"/>
              </w:rPr>
              <w:t>18</w:t>
            </w:r>
            <w:r>
              <w:rPr>
                <w:rFonts w:cs="Calibri"/>
                <w:color w:val="000000"/>
                <w:sz w:val="14"/>
                <w:szCs w:val="14"/>
              </w:rPr>
              <w:t>.</w:t>
            </w:r>
            <w:r w:rsidRPr="003003C0">
              <w:rPr>
                <w:rFonts w:cs="Calibri"/>
                <w:color w:val="000000"/>
                <w:sz w:val="14"/>
                <w:szCs w:val="14"/>
              </w:rPr>
              <w:t>3</w:t>
            </w:r>
          </w:p>
        </w:tc>
        <w:tc>
          <w:tcPr>
            <w:tcW w:w="683" w:type="dxa"/>
            <w:noWrap/>
            <w:vAlign w:val="center"/>
            <w:hideMark/>
          </w:tcPr>
          <w:p w14:paraId="44165C33" w14:textId="77777777" w:rsidR="004F64EF" w:rsidRPr="003003C0" w:rsidRDefault="004F64EF" w:rsidP="00FD6B66">
            <w:pPr>
              <w:jc w:val="right"/>
              <w:rPr>
                <w:rFonts w:cs="Calibri"/>
                <w:color w:val="000000"/>
                <w:sz w:val="14"/>
                <w:szCs w:val="14"/>
              </w:rPr>
            </w:pPr>
            <w:r w:rsidRPr="003003C0">
              <w:rPr>
                <w:rFonts w:cs="Calibri"/>
                <w:color w:val="000000"/>
                <w:sz w:val="14"/>
                <w:szCs w:val="14"/>
              </w:rPr>
              <w:t>18</w:t>
            </w:r>
            <w:r>
              <w:rPr>
                <w:rFonts w:cs="Calibri"/>
                <w:color w:val="000000"/>
                <w:sz w:val="14"/>
                <w:szCs w:val="14"/>
              </w:rPr>
              <w:t>.</w:t>
            </w:r>
            <w:r w:rsidRPr="003003C0">
              <w:rPr>
                <w:rFonts w:cs="Calibri"/>
                <w:color w:val="000000"/>
                <w:sz w:val="14"/>
                <w:szCs w:val="14"/>
              </w:rPr>
              <w:t>3</w:t>
            </w:r>
          </w:p>
        </w:tc>
        <w:tc>
          <w:tcPr>
            <w:tcW w:w="683" w:type="dxa"/>
            <w:noWrap/>
            <w:vAlign w:val="center"/>
            <w:hideMark/>
          </w:tcPr>
          <w:p w14:paraId="28DBEA5E" w14:textId="77777777" w:rsidR="004F64EF" w:rsidRPr="003003C0" w:rsidRDefault="004F64EF" w:rsidP="00FD6B66">
            <w:pPr>
              <w:jc w:val="right"/>
              <w:rPr>
                <w:rFonts w:cs="Calibri"/>
                <w:color w:val="000000"/>
                <w:sz w:val="14"/>
                <w:szCs w:val="14"/>
              </w:rPr>
            </w:pPr>
            <w:r w:rsidRPr="003003C0">
              <w:rPr>
                <w:rFonts w:cs="Calibri"/>
                <w:color w:val="000000"/>
                <w:sz w:val="14"/>
                <w:szCs w:val="14"/>
              </w:rPr>
              <w:t>19</w:t>
            </w:r>
            <w:r>
              <w:rPr>
                <w:rFonts w:cs="Calibri"/>
                <w:color w:val="000000"/>
                <w:sz w:val="14"/>
                <w:szCs w:val="14"/>
              </w:rPr>
              <w:t>.</w:t>
            </w:r>
            <w:r w:rsidRPr="003003C0">
              <w:rPr>
                <w:rFonts w:cs="Calibri"/>
                <w:color w:val="000000"/>
                <w:sz w:val="14"/>
                <w:szCs w:val="14"/>
              </w:rPr>
              <w:t>3</w:t>
            </w:r>
          </w:p>
        </w:tc>
        <w:tc>
          <w:tcPr>
            <w:tcW w:w="684" w:type="dxa"/>
            <w:noWrap/>
            <w:vAlign w:val="center"/>
            <w:hideMark/>
          </w:tcPr>
          <w:p w14:paraId="17BAE9D3" w14:textId="77777777" w:rsidR="004F64EF" w:rsidRPr="003003C0" w:rsidRDefault="004F64EF" w:rsidP="00FD6B66">
            <w:pPr>
              <w:jc w:val="right"/>
              <w:rPr>
                <w:rFonts w:cs="Calibri"/>
                <w:color w:val="000000"/>
                <w:sz w:val="14"/>
                <w:szCs w:val="14"/>
              </w:rPr>
            </w:pPr>
            <w:r w:rsidRPr="003003C0">
              <w:rPr>
                <w:rFonts w:cs="Calibri"/>
                <w:color w:val="000000"/>
                <w:sz w:val="14"/>
                <w:szCs w:val="14"/>
              </w:rPr>
              <w:t>20</w:t>
            </w:r>
            <w:r>
              <w:rPr>
                <w:rFonts w:cs="Calibri"/>
                <w:color w:val="000000"/>
                <w:sz w:val="14"/>
                <w:szCs w:val="14"/>
              </w:rPr>
              <w:t>.</w:t>
            </w:r>
            <w:r w:rsidRPr="003003C0">
              <w:rPr>
                <w:rFonts w:cs="Calibri"/>
                <w:color w:val="000000"/>
                <w:sz w:val="14"/>
                <w:szCs w:val="14"/>
              </w:rPr>
              <w:t>6</w:t>
            </w:r>
          </w:p>
        </w:tc>
      </w:tr>
      <w:tr w:rsidR="004F64EF" w:rsidRPr="003003C0" w14:paraId="22CFC95F" w14:textId="77777777" w:rsidTr="00FD6B66">
        <w:trPr>
          <w:cnfStyle w:val="000000010000" w:firstRow="0" w:lastRow="0" w:firstColumn="0" w:lastColumn="0" w:oddVBand="0" w:evenVBand="0" w:oddHBand="0" w:evenHBand="1" w:firstRowFirstColumn="0" w:firstRowLastColumn="0" w:lastRowFirstColumn="0" w:lastRowLastColumn="0"/>
          <w:trHeight w:val="20"/>
        </w:trPr>
        <w:tc>
          <w:tcPr>
            <w:tcW w:w="4246" w:type="dxa"/>
            <w:noWrap/>
            <w:vAlign w:val="center"/>
            <w:hideMark/>
          </w:tcPr>
          <w:p w14:paraId="050C3F71" w14:textId="77777777" w:rsidR="004F64EF" w:rsidRPr="003003C0" w:rsidRDefault="004F64EF" w:rsidP="00FD6B66">
            <w:pPr>
              <w:tabs>
                <w:tab w:val="left" w:pos="227"/>
              </w:tabs>
              <w:jc w:val="left"/>
              <w:rPr>
                <w:rFonts w:cs="Calibri"/>
                <w:color w:val="000000"/>
                <w:sz w:val="14"/>
                <w:szCs w:val="14"/>
              </w:rPr>
            </w:pPr>
            <w:r w:rsidRPr="003003C0">
              <w:rPr>
                <w:rFonts w:cs="Calibri"/>
                <w:color w:val="000000"/>
                <w:sz w:val="14"/>
                <w:szCs w:val="14"/>
              </w:rPr>
              <w:tab/>
              <w:t xml:space="preserve">24. </w:t>
            </w:r>
            <w:r w:rsidRPr="00A777AC">
              <w:rPr>
                <w:rFonts w:cs="Calibri"/>
                <w:color w:val="000000"/>
                <w:sz w:val="14"/>
                <w:szCs w:val="14"/>
              </w:rPr>
              <w:t>Tobacco and manufactured tobacco substitutes</w:t>
            </w:r>
          </w:p>
        </w:tc>
        <w:tc>
          <w:tcPr>
            <w:tcW w:w="683" w:type="dxa"/>
            <w:noWrap/>
            <w:vAlign w:val="center"/>
            <w:hideMark/>
          </w:tcPr>
          <w:p w14:paraId="41EA7771" w14:textId="77777777" w:rsidR="004F64EF" w:rsidRPr="003003C0" w:rsidRDefault="004F64EF" w:rsidP="00FD6B66">
            <w:pPr>
              <w:jc w:val="right"/>
              <w:rPr>
                <w:rFonts w:cs="Calibri"/>
                <w:color w:val="000000"/>
                <w:sz w:val="14"/>
                <w:szCs w:val="14"/>
              </w:rPr>
            </w:pPr>
            <w:r w:rsidRPr="003003C0">
              <w:rPr>
                <w:rFonts w:cs="Calibri"/>
                <w:color w:val="000000"/>
                <w:sz w:val="14"/>
                <w:szCs w:val="14"/>
              </w:rPr>
              <w:t>13</w:t>
            </w:r>
            <w:r>
              <w:rPr>
                <w:rFonts w:cs="Calibri"/>
                <w:color w:val="000000"/>
                <w:sz w:val="14"/>
                <w:szCs w:val="14"/>
              </w:rPr>
              <w:t>.</w:t>
            </w:r>
            <w:r w:rsidRPr="003003C0">
              <w:rPr>
                <w:rFonts w:cs="Calibri"/>
                <w:color w:val="000000"/>
                <w:sz w:val="14"/>
                <w:szCs w:val="14"/>
              </w:rPr>
              <w:t>0</w:t>
            </w:r>
          </w:p>
        </w:tc>
        <w:tc>
          <w:tcPr>
            <w:tcW w:w="683" w:type="dxa"/>
            <w:noWrap/>
            <w:vAlign w:val="center"/>
            <w:hideMark/>
          </w:tcPr>
          <w:p w14:paraId="5AF4F607" w14:textId="77777777" w:rsidR="004F64EF" w:rsidRPr="003003C0" w:rsidRDefault="004F64EF" w:rsidP="00FD6B66">
            <w:pPr>
              <w:jc w:val="right"/>
              <w:rPr>
                <w:rFonts w:cs="Calibri"/>
                <w:color w:val="000000"/>
                <w:sz w:val="14"/>
                <w:szCs w:val="14"/>
              </w:rPr>
            </w:pPr>
            <w:r w:rsidRPr="003003C0">
              <w:rPr>
                <w:rFonts w:cs="Calibri"/>
                <w:color w:val="000000"/>
                <w:sz w:val="14"/>
                <w:szCs w:val="14"/>
              </w:rPr>
              <w:t>13</w:t>
            </w:r>
            <w:r>
              <w:rPr>
                <w:rFonts w:cs="Calibri"/>
                <w:color w:val="000000"/>
                <w:sz w:val="14"/>
                <w:szCs w:val="14"/>
              </w:rPr>
              <w:t>.</w:t>
            </w:r>
            <w:r w:rsidRPr="003003C0">
              <w:rPr>
                <w:rFonts w:cs="Calibri"/>
                <w:color w:val="000000"/>
                <w:sz w:val="14"/>
                <w:szCs w:val="14"/>
              </w:rPr>
              <w:t>8</w:t>
            </w:r>
          </w:p>
        </w:tc>
        <w:tc>
          <w:tcPr>
            <w:tcW w:w="683" w:type="dxa"/>
            <w:noWrap/>
            <w:vAlign w:val="center"/>
            <w:hideMark/>
          </w:tcPr>
          <w:p w14:paraId="028F4B6E" w14:textId="77777777" w:rsidR="004F64EF" w:rsidRPr="003003C0" w:rsidRDefault="004F64EF" w:rsidP="00FD6B66">
            <w:pPr>
              <w:jc w:val="right"/>
              <w:rPr>
                <w:rFonts w:cs="Calibri"/>
                <w:color w:val="000000"/>
                <w:sz w:val="14"/>
                <w:szCs w:val="14"/>
              </w:rPr>
            </w:pPr>
            <w:r w:rsidRPr="003003C0">
              <w:rPr>
                <w:rFonts w:cs="Calibri"/>
                <w:color w:val="000000"/>
                <w:sz w:val="14"/>
                <w:szCs w:val="14"/>
              </w:rPr>
              <w:t>14</w:t>
            </w:r>
            <w:r>
              <w:rPr>
                <w:rFonts w:cs="Calibri"/>
                <w:color w:val="000000"/>
                <w:sz w:val="14"/>
                <w:szCs w:val="14"/>
              </w:rPr>
              <w:t>.</w:t>
            </w:r>
            <w:r w:rsidRPr="003003C0">
              <w:rPr>
                <w:rFonts w:cs="Calibri"/>
                <w:color w:val="000000"/>
                <w:sz w:val="14"/>
                <w:szCs w:val="14"/>
              </w:rPr>
              <w:t>2</w:t>
            </w:r>
          </w:p>
        </w:tc>
        <w:tc>
          <w:tcPr>
            <w:tcW w:w="684" w:type="dxa"/>
            <w:noWrap/>
            <w:vAlign w:val="center"/>
            <w:hideMark/>
          </w:tcPr>
          <w:p w14:paraId="4E4D691E" w14:textId="77777777" w:rsidR="004F64EF" w:rsidRPr="003003C0" w:rsidRDefault="004F64EF" w:rsidP="00FD6B66">
            <w:pPr>
              <w:jc w:val="right"/>
              <w:rPr>
                <w:rFonts w:cs="Calibri"/>
                <w:color w:val="000000"/>
                <w:sz w:val="14"/>
                <w:szCs w:val="14"/>
              </w:rPr>
            </w:pPr>
            <w:r w:rsidRPr="003003C0">
              <w:rPr>
                <w:rFonts w:cs="Calibri"/>
                <w:color w:val="000000"/>
                <w:sz w:val="14"/>
                <w:szCs w:val="14"/>
              </w:rPr>
              <w:t>14</w:t>
            </w:r>
            <w:r>
              <w:rPr>
                <w:rFonts w:cs="Calibri"/>
                <w:color w:val="000000"/>
                <w:sz w:val="14"/>
                <w:szCs w:val="14"/>
              </w:rPr>
              <w:t>.</w:t>
            </w:r>
            <w:r w:rsidRPr="003003C0">
              <w:rPr>
                <w:rFonts w:cs="Calibri"/>
                <w:color w:val="000000"/>
                <w:sz w:val="14"/>
                <w:szCs w:val="14"/>
              </w:rPr>
              <w:t>2</w:t>
            </w:r>
          </w:p>
        </w:tc>
        <w:tc>
          <w:tcPr>
            <w:tcW w:w="683" w:type="dxa"/>
            <w:noWrap/>
            <w:vAlign w:val="center"/>
            <w:hideMark/>
          </w:tcPr>
          <w:p w14:paraId="0AC6798C" w14:textId="77777777" w:rsidR="004F64EF" w:rsidRPr="003003C0" w:rsidRDefault="004F64EF" w:rsidP="00FD6B66">
            <w:pPr>
              <w:jc w:val="right"/>
              <w:rPr>
                <w:rFonts w:cs="Calibri"/>
                <w:color w:val="000000"/>
                <w:sz w:val="14"/>
                <w:szCs w:val="14"/>
              </w:rPr>
            </w:pPr>
            <w:r w:rsidRPr="003003C0">
              <w:rPr>
                <w:rFonts w:cs="Calibri"/>
                <w:color w:val="000000"/>
                <w:sz w:val="14"/>
                <w:szCs w:val="14"/>
              </w:rPr>
              <w:t>14</w:t>
            </w:r>
            <w:r>
              <w:rPr>
                <w:rFonts w:cs="Calibri"/>
                <w:color w:val="000000"/>
                <w:sz w:val="14"/>
                <w:szCs w:val="14"/>
              </w:rPr>
              <w:t>.</w:t>
            </w:r>
            <w:r w:rsidRPr="003003C0">
              <w:rPr>
                <w:rFonts w:cs="Calibri"/>
                <w:color w:val="000000"/>
                <w:sz w:val="14"/>
                <w:szCs w:val="14"/>
              </w:rPr>
              <w:t>5</w:t>
            </w:r>
          </w:p>
        </w:tc>
        <w:tc>
          <w:tcPr>
            <w:tcW w:w="683" w:type="dxa"/>
            <w:noWrap/>
            <w:vAlign w:val="center"/>
            <w:hideMark/>
          </w:tcPr>
          <w:p w14:paraId="7B31AB93" w14:textId="77777777" w:rsidR="004F64EF" w:rsidRPr="003003C0" w:rsidRDefault="004F64EF" w:rsidP="00FD6B66">
            <w:pPr>
              <w:jc w:val="right"/>
              <w:rPr>
                <w:rFonts w:cs="Calibri"/>
                <w:color w:val="000000"/>
                <w:sz w:val="14"/>
                <w:szCs w:val="14"/>
              </w:rPr>
            </w:pPr>
            <w:r w:rsidRPr="003003C0">
              <w:rPr>
                <w:rFonts w:cs="Calibri"/>
                <w:color w:val="000000"/>
                <w:sz w:val="14"/>
                <w:szCs w:val="14"/>
              </w:rPr>
              <w:t>15</w:t>
            </w:r>
            <w:r>
              <w:rPr>
                <w:rFonts w:cs="Calibri"/>
                <w:color w:val="000000"/>
                <w:sz w:val="14"/>
                <w:szCs w:val="14"/>
              </w:rPr>
              <w:t>.</w:t>
            </w:r>
            <w:r w:rsidRPr="003003C0">
              <w:rPr>
                <w:rFonts w:cs="Calibri"/>
                <w:color w:val="000000"/>
                <w:sz w:val="14"/>
                <w:szCs w:val="14"/>
              </w:rPr>
              <w:t>9</w:t>
            </w:r>
          </w:p>
        </w:tc>
        <w:tc>
          <w:tcPr>
            <w:tcW w:w="684" w:type="dxa"/>
            <w:noWrap/>
            <w:vAlign w:val="center"/>
            <w:hideMark/>
          </w:tcPr>
          <w:p w14:paraId="3B901DB0" w14:textId="77777777" w:rsidR="004F64EF" w:rsidRPr="003003C0" w:rsidRDefault="004F64EF" w:rsidP="00FD6B66">
            <w:pPr>
              <w:jc w:val="right"/>
              <w:rPr>
                <w:rFonts w:cs="Calibri"/>
                <w:color w:val="000000"/>
                <w:sz w:val="14"/>
                <w:szCs w:val="14"/>
              </w:rPr>
            </w:pPr>
            <w:r w:rsidRPr="003003C0">
              <w:rPr>
                <w:rFonts w:cs="Calibri"/>
                <w:color w:val="000000"/>
                <w:sz w:val="14"/>
                <w:szCs w:val="14"/>
              </w:rPr>
              <w:t>17</w:t>
            </w:r>
            <w:r>
              <w:rPr>
                <w:rFonts w:cs="Calibri"/>
                <w:color w:val="000000"/>
                <w:sz w:val="14"/>
                <w:szCs w:val="14"/>
              </w:rPr>
              <w:t>.</w:t>
            </w:r>
            <w:r w:rsidRPr="003003C0">
              <w:rPr>
                <w:rFonts w:cs="Calibri"/>
                <w:color w:val="000000"/>
                <w:sz w:val="14"/>
                <w:szCs w:val="14"/>
              </w:rPr>
              <w:t>2</w:t>
            </w:r>
          </w:p>
        </w:tc>
      </w:tr>
      <w:tr w:rsidR="004F64EF" w:rsidRPr="003003C0" w14:paraId="0DDB2B72" w14:textId="77777777" w:rsidTr="00FD6B66">
        <w:trPr>
          <w:trHeight w:val="20"/>
        </w:trPr>
        <w:tc>
          <w:tcPr>
            <w:tcW w:w="4246" w:type="dxa"/>
            <w:noWrap/>
            <w:vAlign w:val="center"/>
            <w:hideMark/>
          </w:tcPr>
          <w:p w14:paraId="186D1296" w14:textId="77777777" w:rsidR="004F64EF" w:rsidRPr="003003C0" w:rsidRDefault="004F64EF" w:rsidP="00FD6B66">
            <w:pPr>
              <w:tabs>
                <w:tab w:val="left" w:pos="227"/>
              </w:tabs>
              <w:jc w:val="left"/>
              <w:rPr>
                <w:rFonts w:cs="Calibri"/>
                <w:color w:val="000000"/>
                <w:sz w:val="14"/>
                <w:szCs w:val="14"/>
              </w:rPr>
            </w:pPr>
            <w:r w:rsidRPr="003003C0">
              <w:rPr>
                <w:rFonts w:cs="Calibri"/>
                <w:color w:val="000000"/>
                <w:sz w:val="14"/>
                <w:szCs w:val="14"/>
              </w:rPr>
              <w:tab/>
              <w:t xml:space="preserve">18. </w:t>
            </w:r>
            <w:r w:rsidRPr="00A777AC">
              <w:rPr>
                <w:rFonts w:cs="Calibri"/>
                <w:color w:val="000000"/>
                <w:sz w:val="14"/>
                <w:szCs w:val="14"/>
              </w:rPr>
              <w:t>Cocoa and cocoa preparations</w:t>
            </w:r>
          </w:p>
        </w:tc>
        <w:tc>
          <w:tcPr>
            <w:tcW w:w="683" w:type="dxa"/>
            <w:noWrap/>
            <w:vAlign w:val="center"/>
            <w:hideMark/>
          </w:tcPr>
          <w:p w14:paraId="2B6ECC80" w14:textId="77777777" w:rsidR="004F64EF" w:rsidRPr="003003C0" w:rsidRDefault="004F64EF" w:rsidP="00FD6B66">
            <w:pPr>
              <w:jc w:val="right"/>
              <w:rPr>
                <w:rFonts w:cs="Calibri"/>
                <w:color w:val="000000"/>
                <w:sz w:val="14"/>
                <w:szCs w:val="14"/>
              </w:rPr>
            </w:pPr>
            <w:r w:rsidRPr="003003C0">
              <w:rPr>
                <w:rFonts w:cs="Calibri"/>
                <w:color w:val="000000"/>
                <w:sz w:val="14"/>
                <w:szCs w:val="14"/>
              </w:rPr>
              <w:t>2</w:t>
            </w:r>
            <w:r>
              <w:rPr>
                <w:rFonts w:cs="Calibri"/>
                <w:color w:val="000000"/>
                <w:sz w:val="14"/>
                <w:szCs w:val="14"/>
              </w:rPr>
              <w:t>.</w:t>
            </w:r>
            <w:r w:rsidRPr="003003C0">
              <w:rPr>
                <w:rFonts w:cs="Calibri"/>
                <w:color w:val="000000"/>
                <w:sz w:val="14"/>
                <w:szCs w:val="14"/>
              </w:rPr>
              <w:t>5</w:t>
            </w:r>
          </w:p>
        </w:tc>
        <w:tc>
          <w:tcPr>
            <w:tcW w:w="683" w:type="dxa"/>
            <w:noWrap/>
            <w:vAlign w:val="center"/>
            <w:hideMark/>
          </w:tcPr>
          <w:p w14:paraId="54A81354" w14:textId="77777777" w:rsidR="004F64EF" w:rsidRPr="003003C0" w:rsidRDefault="004F64EF" w:rsidP="00FD6B66">
            <w:pPr>
              <w:jc w:val="right"/>
              <w:rPr>
                <w:rFonts w:cs="Calibri"/>
                <w:color w:val="000000"/>
                <w:sz w:val="14"/>
                <w:szCs w:val="14"/>
              </w:rPr>
            </w:pPr>
            <w:r w:rsidRPr="003003C0">
              <w:rPr>
                <w:rFonts w:cs="Calibri"/>
                <w:color w:val="000000"/>
                <w:sz w:val="14"/>
                <w:szCs w:val="14"/>
              </w:rPr>
              <w:t>2</w:t>
            </w:r>
            <w:r>
              <w:rPr>
                <w:rFonts w:cs="Calibri"/>
                <w:color w:val="000000"/>
                <w:sz w:val="14"/>
                <w:szCs w:val="14"/>
              </w:rPr>
              <w:t>.</w:t>
            </w:r>
            <w:r w:rsidRPr="003003C0">
              <w:rPr>
                <w:rFonts w:cs="Calibri"/>
                <w:color w:val="000000"/>
                <w:sz w:val="14"/>
                <w:szCs w:val="14"/>
              </w:rPr>
              <w:t>1</w:t>
            </w:r>
          </w:p>
        </w:tc>
        <w:tc>
          <w:tcPr>
            <w:tcW w:w="683" w:type="dxa"/>
            <w:noWrap/>
            <w:vAlign w:val="center"/>
            <w:hideMark/>
          </w:tcPr>
          <w:p w14:paraId="4EFA6CA2" w14:textId="77777777" w:rsidR="004F64EF" w:rsidRPr="003003C0" w:rsidRDefault="004F64EF" w:rsidP="00FD6B66">
            <w:pPr>
              <w:jc w:val="right"/>
              <w:rPr>
                <w:rFonts w:cs="Calibri"/>
                <w:color w:val="000000"/>
                <w:sz w:val="14"/>
                <w:szCs w:val="14"/>
              </w:rPr>
            </w:pPr>
            <w:r w:rsidRPr="003003C0">
              <w:rPr>
                <w:rFonts w:cs="Calibri"/>
                <w:color w:val="000000"/>
                <w:sz w:val="14"/>
                <w:szCs w:val="14"/>
              </w:rPr>
              <w:t>1</w:t>
            </w:r>
            <w:r>
              <w:rPr>
                <w:rFonts w:cs="Calibri"/>
                <w:color w:val="000000"/>
                <w:sz w:val="14"/>
                <w:szCs w:val="14"/>
              </w:rPr>
              <w:t>.</w:t>
            </w:r>
            <w:r w:rsidRPr="003003C0">
              <w:rPr>
                <w:rFonts w:cs="Calibri"/>
                <w:color w:val="000000"/>
                <w:sz w:val="14"/>
                <w:szCs w:val="14"/>
              </w:rPr>
              <w:t>4</w:t>
            </w:r>
          </w:p>
        </w:tc>
        <w:tc>
          <w:tcPr>
            <w:tcW w:w="684" w:type="dxa"/>
            <w:noWrap/>
            <w:vAlign w:val="center"/>
            <w:hideMark/>
          </w:tcPr>
          <w:p w14:paraId="78266B00" w14:textId="77777777" w:rsidR="004F64EF" w:rsidRPr="003003C0" w:rsidRDefault="004F64EF" w:rsidP="00FD6B66">
            <w:pPr>
              <w:jc w:val="right"/>
              <w:rPr>
                <w:rFonts w:cs="Calibri"/>
                <w:color w:val="000000"/>
                <w:sz w:val="14"/>
                <w:szCs w:val="14"/>
              </w:rPr>
            </w:pPr>
            <w:r w:rsidRPr="003003C0">
              <w:rPr>
                <w:rFonts w:cs="Calibri"/>
                <w:color w:val="000000"/>
                <w:sz w:val="14"/>
                <w:szCs w:val="14"/>
              </w:rPr>
              <w:t>2</w:t>
            </w:r>
            <w:r>
              <w:rPr>
                <w:rFonts w:cs="Calibri"/>
                <w:color w:val="000000"/>
                <w:sz w:val="14"/>
                <w:szCs w:val="14"/>
              </w:rPr>
              <w:t>.</w:t>
            </w:r>
            <w:r w:rsidRPr="003003C0">
              <w:rPr>
                <w:rFonts w:cs="Calibri"/>
                <w:color w:val="000000"/>
                <w:sz w:val="14"/>
                <w:szCs w:val="14"/>
              </w:rPr>
              <w:t>0</w:t>
            </w:r>
          </w:p>
        </w:tc>
        <w:tc>
          <w:tcPr>
            <w:tcW w:w="683" w:type="dxa"/>
            <w:noWrap/>
            <w:vAlign w:val="center"/>
            <w:hideMark/>
          </w:tcPr>
          <w:p w14:paraId="74E3CB45" w14:textId="77777777" w:rsidR="004F64EF" w:rsidRPr="003003C0" w:rsidRDefault="004F64EF" w:rsidP="00FD6B66">
            <w:pPr>
              <w:jc w:val="right"/>
              <w:rPr>
                <w:rFonts w:cs="Calibri"/>
                <w:color w:val="000000"/>
                <w:sz w:val="14"/>
                <w:szCs w:val="14"/>
              </w:rPr>
            </w:pPr>
            <w:r w:rsidRPr="003003C0">
              <w:rPr>
                <w:rFonts w:cs="Calibri"/>
                <w:color w:val="000000"/>
                <w:sz w:val="14"/>
                <w:szCs w:val="14"/>
              </w:rPr>
              <w:t>1</w:t>
            </w:r>
            <w:r>
              <w:rPr>
                <w:rFonts w:cs="Calibri"/>
                <w:color w:val="000000"/>
                <w:sz w:val="14"/>
                <w:szCs w:val="14"/>
              </w:rPr>
              <w:t>.</w:t>
            </w:r>
            <w:r w:rsidRPr="003003C0">
              <w:rPr>
                <w:rFonts w:cs="Calibri"/>
                <w:color w:val="000000"/>
                <w:sz w:val="14"/>
                <w:szCs w:val="14"/>
              </w:rPr>
              <w:t>6</w:t>
            </w:r>
          </w:p>
        </w:tc>
        <w:tc>
          <w:tcPr>
            <w:tcW w:w="683" w:type="dxa"/>
            <w:noWrap/>
            <w:vAlign w:val="center"/>
            <w:hideMark/>
          </w:tcPr>
          <w:p w14:paraId="61FA0209" w14:textId="77777777" w:rsidR="004F64EF" w:rsidRPr="003003C0" w:rsidRDefault="004F64EF" w:rsidP="00FD6B66">
            <w:pPr>
              <w:jc w:val="right"/>
              <w:rPr>
                <w:rFonts w:cs="Calibri"/>
                <w:color w:val="000000"/>
                <w:sz w:val="14"/>
                <w:szCs w:val="14"/>
              </w:rPr>
            </w:pPr>
            <w:r w:rsidRPr="003003C0">
              <w:rPr>
                <w:rFonts w:cs="Calibri"/>
                <w:color w:val="000000"/>
                <w:sz w:val="14"/>
                <w:szCs w:val="14"/>
              </w:rPr>
              <w:t>1</w:t>
            </w:r>
            <w:r>
              <w:rPr>
                <w:rFonts w:cs="Calibri"/>
                <w:color w:val="000000"/>
                <w:sz w:val="14"/>
                <w:szCs w:val="14"/>
              </w:rPr>
              <w:t>.</w:t>
            </w:r>
            <w:r w:rsidRPr="003003C0">
              <w:rPr>
                <w:rFonts w:cs="Calibri"/>
                <w:color w:val="000000"/>
                <w:sz w:val="14"/>
                <w:szCs w:val="14"/>
              </w:rPr>
              <w:t>7</w:t>
            </w:r>
          </w:p>
        </w:tc>
        <w:tc>
          <w:tcPr>
            <w:tcW w:w="684" w:type="dxa"/>
            <w:noWrap/>
            <w:vAlign w:val="center"/>
            <w:hideMark/>
          </w:tcPr>
          <w:p w14:paraId="4F2D09BB" w14:textId="77777777" w:rsidR="004F64EF" w:rsidRPr="003003C0" w:rsidRDefault="004F64EF" w:rsidP="00FD6B66">
            <w:pPr>
              <w:jc w:val="right"/>
              <w:rPr>
                <w:rFonts w:cs="Calibri"/>
                <w:color w:val="000000"/>
                <w:sz w:val="14"/>
                <w:szCs w:val="14"/>
              </w:rPr>
            </w:pPr>
            <w:r w:rsidRPr="003003C0">
              <w:rPr>
                <w:rFonts w:cs="Calibri"/>
                <w:color w:val="000000"/>
                <w:sz w:val="14"/>
                <w:szCs w:val="14"/>
              </w:rPr>
              <w:t>1</w:t>
            </w:r>
            <w:r>
              <w:rPr>
                <w:rFonts w:cs="Calibri"/>
                <w:color w:val="000000"/>
                <w:sz w:val="14"/>
                <w:szCs w:val="14"/>
              </w:rPr>
              <w:t>.</w:t>
            </w:r>
            <w:r w:rsidRPr="003003C0">
              <w:rPr>
                <w:rFonts w:cs="Calibri"/>
                <w:color w:val="000000"/>
                <w:sz w:val="14"/>
                <w:szCs w:val="14"/>
              </w:rPr>
              <w:t>5</w:t>
            </w:r>
          </w:p>
        </w:tc>
      </w:tr>
      <w:tr w:rsidR="004F64EF" w:rsidRPr="003003C0" w14:paraId="49AD3FDF" w14:textId="77777777" w:rsidTr="00FD6B66">
        <w:trPr>
          <w:cnfStyle w:val="000000010000" w:firstRow="0" w:lastRow="0" w:firstColumn="0" w:lastColumn="0" w:oddVBand="0" w:evenVBand="0" w:oddHBand="0" w:evenHBand="1" w:firstRowFirstColumn="0" w:firstRowLastColumn="0" w:lastRowFirstColumn="0" w:lastRowLastColumn="0"/>
          <w:trHeight w:val="20"/>
        </w:trPr>
        <w:tc>
          <w:tcPr>
            <w:tcW w:w="4246" w:type="dxa"/>
            <w:noWrap/>
            <w:vAlign w:val="center"/>
            <w:hideMark/>
          </w:tcPr>
          <w:p w14:paraId="2C1E6618" w14:textId="77777777" w:rsidR="004F64EF" w:rsidRPr="003003C0" w:rsidRDefault="004F64EF" w:rsidP="00FD6B66">
            <w:pPr>
              <w:tabs>
                <w:tab w:val="left" w:pos="227"/>
              </w:tabs>
              <w:jc w:val="left"/>
              <w:rPr>
                <w:rFonts w:cs="Calibri"/>
                <w:color w:val="000000"/>
                <w:sz w:val="14"/>
                <w:szCs w:val="14"/>
              </w:rPr>
            </w:pPr>
            <w:r w:rsidRPr="003003C0">
              <w:rPr>
                <w:rFonts w:cs="Calibri"/>
                <w:color w:val="000000"/>
                <w:sz w:val="14"/>
                <w:szCs w:val="14"/>
              </w:rPr>
              <w:tab/>
              <w:t xml:space="preserve">22. </w:t>
            </w:r>
            <w:r w:rsidRPr="00A777AC">
              <w:rPr>
                <w:rFonts w:cs="Calibri"/>
                <w:color w:val="000000"/>
                <w:sz w:val="14"/>
                <w:szCs w:val="14"/>
              </w:rPr>
              <w:t>Beverages, spirits and vinegar</w:t>
            </w:r>
          </w:p>
        </w:tc>
        <w:tc>
          <w:tcPr>
            <w:tcW w:w="683" w:type="dxa"/>
            <w:noWrap/>
            <w:vAlign w:val="center"/>
            <w:hideMark/>
          </w:tcPr>
          <w:p w14:paraId="253F6A9B" w14:textId="77777777" w:rsidR="004F64EF" w:rsidRPr="003003C0" w:rsidRDefault="004F64EF" w:rsidP="00FD6B66">
            <w:pPr>
              <w:jc w:val="right"/>
              <w:rPr>
                <w:rFonts w:cs="Calibri"/>
                <w:color w:val="000000"/>
                <w:sz w:val="14"/>
                <w:szCs w:val="14"/>
              </w:rPr>
            </w:pPr>
            <w:r w:rsidRPr="003003C0">
              <w:rPr>
                <w:rFonts w:cs="Calibri"/>
                <w:color w:val="000000"/>
                <w:sz w:val="14"/>
                <w:szCs w:val="14"/>
              </w:rPr>
              <w:t>0</w:t>
            </w:r>
            <w:r>
              <w:rPr>
                <w:rFonts w:cs="Calibri"/>
                <w:color w:val="000000"/>
                <w:sz w:val="14"/>
                <w:szCs w:val="14"/>
              </w:rPr>
              <w:t>.</w:t>
            </w:r>
            <w:r w:rsidRPr="003003C0">
              <w:rPr>
                <w:rFonts w:cs="Calibri"/>
                <w:color w:val="000000"/>
                <w:sz w:val="14"/>
                <w:szCs w:val="14"/>
              </w:rPr>
              <w:t>4</w:t>
            </w:r>
          </w:p>
        </w:tc>
        <w:tc>
          <w:tcPr>
            <w:tcW w:w="683" w:type="dxa"/>
            <w:noWrap/>
            <w:vAlign w:val="center"/>
            <w:hideMark/>
          </w:tcPr>
          <w:p w14:paraId="0CE98584" w14:textId="77777777" w:rsidR="004F64EF" w:rsidRPr="003003C0" w:rsidRDefault="004F64EF" w:rsidP="00FD6B66">
            <w:pPr>
              <w:jc w:val="right"/>
              <w:rPr>
                <w:rFonts w:cs="Calibri"/>
                <w:color w:val="000000"/>
                <w:sz w:val="14"/>
                <w:szCs w:val="14"/>
              </w:rPr>
            </w:pPr>
            <w:r w:rsidRPr="003003C0">
              <w:rPr>
                <w:rFonts w:cs="Calibri"/>
                <w:color w:val="000000"/>
                <w:sz w:val="14"/>
                <w:szCs w:val="14"/>
              </w:rPr>
              <w:t>0</w:t>
            </w:r>
            <w:r>
              <w:rPr>
                <w:rFonts w:cs="Calibri"/>
                <w:color w:val="000000"/>
                <w:sz w:val="14"/>
                <w:szCs w:val="14"/>
              </w:rPr>
              <w:t>.</w:t>
            </w:r>
            <w:r w:rsidRPr="003003C0">
              <w:rPr>
                <w:rFonts w:cs="Calibri"/>
                <w:color w:val="000000"/>
                <w:sz w:val="14"/>
                <w:szCs w:val="14"/>
              </w:rPr>
              <w:t>4</w:t>
            </w:r>
          </w:p>
        </w:tc>
        <w:tc>
          <w:tcPr>
            <w:tcW w:w="683" w:type="dxa"/>
            <w:noWrap/>
            <w:vAlign w:val="center"/>
            <w:hideMark/>
          </w:tcPr>
          <w:p w14:paraId="75B3DE2F" w14:textId="77777777" w:rsidR="004F64EF" w:rsidRPr="003003C0" w:rsidRDefault="004F64EF" w:rsidP="00FD6B66">
            <w:pPr>
              <w:jc w:val="right"/>
              <w:rPr>
                <w:rFonts w:cs="Calibri"/>
                <w:color w:val="000000"/>
                <w:sz w:val="14"/>
                <w:szCs w:val="14"/>
              </w:rPr>
            </w:pPr>
            <w:r w:rsidRPr="003003C0">
              <w:rPr>
                <w:rFonts w:cs="Calibri"/>
                <w:color w:val="000000"/>
                <w:sz w:val="14"/>
                <w:szCs w:val="14"/>
              </w:rPr>
              <w:t>0</w:t>
            </w:r>
            <w:r>
              <w:rPr>
                <w:rFonts w:cs="Calibri"/>
                <w:color w:val="000000"/>
                <w:sz w:val="14"/>
                <w:szCs w:val="14"/>
              </w:rPr>
              <w:t>.</w:t>
            </w:r>
            <w:r w:rsidRPr="003003C0">
              <w:rPr>
                <w:rFonts w:cs="Calibri"/>
                <w:color w:val="000000"/>
                <w:sz w:val="14"/>
                <w:szCs w:val="14"/>
              </w:rPr>
              <w:t>6</w:t>
            </w:r>
          </w:p>
        </w:tc>
        <w:tc>
          <w:tcPr>
            <w:tcW w:w="684" w:type="dxa"/>
            <w:noWrap/>
            <w:vAlign w:val="center"/>
            <w:hideMark/>
          </w:tcPr>
          <w:p w14:paraId="105FAAFC" w14:textId="77777777" w:rsidR="004F64EF" w:rsidRPr="003003C0" w:rsidRDefault="004F64EF" w:rsidP="00FD6B66">
            <w:pPr>
              <w:jc w:val="right"/>
              <w:rPr>
                <w:rFonts w:cs="Calibri"/>
                <w:color w:val="000000"/>
                <w:sz w:val="14"/>
                <w:szCs w:val="14"/>
              </w:rPr>
            </w:pPr>
            <w:r w:rsidRPr="003003C0">
              <w:rPr>
                <w:rFonts w:cs="Calibri"/>
                <w:color w:val="000000"/>
                <w:sz w:val="14"/>
                <w:szCs w:val="14"/>
              </w:rPr>
              <w:t>0</w:t>
            </w:r>
            <w:r>
              <w:rPr>
                <w:rFonts w:cs="Calibri"/>
                <w:color w:val="000000"/>
                <w:sz w:val="14"/>
                <w:szCs w:val="14"/>
              </w:rPr>
              <w:t>.</w:t>
            </w:r>
            <w:r w:rsidRPr="003003C0">
              <w:rPr>
                <w:rFonts w:cs="Calibri"/>
                <w:color w:val="000000"/>
                <w:sz w:val="14"/>
                <w:szCs w:val="14"/>
              </w:rPr>
              <w:t>6</w:t>
            </w:r>
          </w:p>
        </w:tc>
        <w:tc>
          <w:tcPr>
            <w:tcW w:w="683" w:type="dxa"/>
            <w:noWrap/>
            <w:vAlign w:val="center"/>
            <w:hideMark/>
          </w:tcPr>
          <w:p w14:paraId="412F4D67" w14:textId="77777777" w:rsidR="004F64EF" w:rsidRPr="003003C0" w:rsidRDefault="004F64EF" w:rsidP="00FD6B66">
            <w:pPr>
              <w:jc w:val="right"/>
              <w:rPr>
                <w:rFonts w:cs="Calibri"/>
                <w:color w:val="000000"/>
                <w:sz w:val="14"/>
                <w:szCs w:val="14"/>
              </w:rPr>
            </w:pPr>
            <w:r w:rsidRPr="003003C0">
              <w:rPr>
                <w:rFonts w:cs="Calibri"/>
                <w:color w:val="000000"/>
                <w:sz w:val="14"/>
                <w:szCs w:val="14"/>
              </w:rPr>
              <w:t>0</w:t>
            </w:r>
            <w:r>
              <w:rPr>
                <w:rFonts w:cs="Calibri"/>
                <w:color w:val="000000"/>
                <w:sz w:val="14"/>
                <w:szCs w:val="14"/>
              </w:rPr>
              <w:t>.</w:t>
            </w:r>
            <w:r w:rsidRPr="003003C0">
              <w:rPr>
                <w:rFonts w:cs="Calibri"/>
                <w:color w:val="000000"/>
                <w:sz w:val="14"/>
                <w:szCs w:val="14"/>
              </w:rPr>
              <w:t>6</w:t>
            </w:r>
          </w:p>
        </w:tc>
        <w:tc>
          <w:tcPr>
            <w:tcW w:w="683" w:type="dxa"/>
            <w:noWrap/>
            <w:vAlign w:val="center"/>
            <w:hideMark/>
          </w:tcPr>
          <w:p w14:paraId="4EB949AD" w14:textId="77777777" w:rsidR="004F64EF" w:rsidRPr="003003C0" w:rsidRDefault="004F64EF" w:rsidP="00FD6B66">
            <w:pPr>
              <w:jc w:val="right"/>
              <w:rPr>
                <w:rFonts w:cs="Calibri"/>
                <w:color w:val="000000"/>
                <w:sz w:val="14"/>
                <w:szCs w:val="14"/>
              </w:rPr>
            </w:pPr>
            <w:r w:rsidRPr="003003C0">
              <w:rPr>
                <w:rFonts w:cs="Calibri"/>
                <w:color w:val="000000"/>
                <w:sz w:val="14"/>
                <w:szCs w:val="14"/>
              </w:rPr>
              <w:t>0</w:t>
            </w:r>
            <w:r>
              <w:rPr>
                <w:rFonts w:cs="Calibri"/>
                <w:color w:val="000000"/>
                <w:sz w:val="14"/>
                <w:szCs w:val="14"/>
              </w:rPr>
              <w:t>.</w:t>
            </w:r>
            <w:r w:rsidRPr="003003C0">
              <w:rPr>
                <w:rFonts w:cs="Calibri"/>
                <w:color w:val="000000"/>
                <w:sz w:val="14"/>
                <w:szCs w:val="14"/>
              </w:rPr>
              <w:t>8</w:t>
            </w:r>
          </w:p>
        </w:tc>
        <w:tc>
          <w:tcPr>
            <w:tcW w:w="684" w:type="dxa"/>
            <w:noWrap/>
            <w:vAlign w:val="center"/>
            <w:hideMark/>
          </w:tcPr>
          <w:p w14:paraId="354C42D9" w14:textId="77777777" w:rsidR="004F64EF" w:rsidRPr="003003C0" w:rsidRDefault="004F64EF" w:rsidP="00FD6B66">
            <w:pPr>
              <w:jc w:val="right"/>
              <w:rPr>
                <w:rFonts w:cs="Calibri"/>
                <w:color w:val="000000"/>
                <w:sz w:val="14"/>
                <w:szCs w:val="14"/>
              </w:rPr>
            </w:pPr>
            <w:r w:rsidRPr="003003C0">
              <w:rPr>
                <w:rFonts w:cs="Calibri"/>
                <w:color w:val="000000"/>
                <w:sz w:val="14"/>
                <w:szCs w:val="14"/>
              </w:rPr>
              <w:t>1</w:t>
            </w:r>
            <w:r>
              <w:rPr>
                <w:rFonts w:cs="Calibri"/>
                <w:color w:val="000000"/>
                <w:sz w:val="14"/>
                <w:szCs w:val="14"/>
              </w:rPr>
              <w:t>.</w:t>
            </w:r>
            <w:r w:rsidRPr="003003C0">
              <w:rPr>
                <w:rFonts w:cs="Calibri"/>
                <w:color w:val="000000"/>
                <w:sz w:val="14"/>
                <w:szCs w:val="14"/>
              </w:rPr>
              <w:t>0</w:t>
            </w:r>
          </w:p>
        </w:tc>
      </w:tr>
      <w:tr w:rsidR="004F64EF" w:rsidRPr="003003C0" w14:paraId="56E7AF80" w14:textId="77777777" w:rsidTr="00FD6B66">
        <w:trPr>
          <w:trHeight w:val="20"/>
        </w:trPr>
        <w:tc>
          <w:tcPr>
            <w:tcW w:w="4246" w:type="dxa"/>
            <w:noWrap/>
            <w:vAlign w:val="center"/>
            <w:hideMark/>
          </w:tcPr>
          <w:p w14:paraId="16781AF7" w14:textId="77777777" w:rsidR="004F64EF" w:rsidRPr="003003C0" w:rsidRDefault="004F64EF" w:rsidP="00B22563">
            <w:pPr>
              <w:tabs>
                <w:tab w:val="left" w:pos="227"/>
              </w:tabs>
              <w:ind w:left="227" w:hanging="227"/>
              <w:jc w:val="left"/>
              <w:rPr>
                <w:rFonts w:cs="Calibri"/>
                <w:color w:val="000000"/>
                <w:sz w:val="14"/>
                <w:szCs w:val="14"/>
              </w:rPr>
            </w:pPr>
            <w:r w:rsidRPr="003003C0">
              <w:rPr>
                <w:rFonts w:cs="Calibri"/>
                <w:color w:val="000000"/>
                <w:sz w:val="14"/>
                <w:szCs w:val="14"/>
              </w:rPr>
              <w:tab/>
              <w:t xml:space="preserve">20. </w:t>
            </w:r>
            <w:r w:rsidRPr="00A777AC">
              <w:rPr>
                <w:rFonts w:cs="Calibri"/>
                <w:color w:val="000000"/>
                <w:sz w:val="14"/>
                <w:szCs w:val="14"/>
              </w:rPr>
              <w:t>Preparations of vegetables, fruit, nuts or other parts of plants</w:t>
            </w:r>
          </w:p>
        </w:tc>
        <w:tc>
          <w:tcPr>
            <w:tcW w:w="683" w:type="dxa"/>
            <w:noWrap/>
            <w:vAlign w:val="center"/>
            <w:hideMark/>
          </w:tcPr>
          <w:p w14:paraId="18AF3E1D" w14:textId="77777777" w:rsidR="004F64EF" w:rsidRPr="003003C0" w:rsidRDefault="004F64EF" w:rsidP="00FD6B66">
            <w:pPr>
              <w:jc w:val="right"/>
              <w:rPr>
                <w:rFonts w:cs="Calibri"/>
                <w:color w:val="000000"/>
                <w:sz w:val="14"/>
                <w:szCs w:val="14"/>
              </w:rPr>
            </w:pPr>
            <w:r w:rsidRPr="003003C0">
              <w:rPr>
                <w:rFonts w:cs="Calibri"/>
                <w:color w:val="000000"/>
                <w:sz w:val="14"/>
                <w:szCs w:val="14"/>
              </w:rPr>
              <w:t>0</w:t>
            </w:r>
            <w:r>
              <w:rPr>
                <w:rFonts w:cs="Calibri"/>
                <w:color w:val="000000"/>
                <w:sz w:val="14"/>
                <w:szCs w:val="14"/>
              </w:rPr>
              <w:t>.</w:t>
            </w:r>
            <w:r w:rsidRPr="003003C0">
              <w:rPr>
                <w:rFonts w:cs="Calibri"/>
                <w:color w:val="000000"/>
                <w:sz w:val="14"/>
                <w:szCs w:val="14"/>
              </w:rPr>
              <w:t>1</w:t>
            </w:r>
          </w:p>
        </w:tc>
        <w:tc>
          <w:tcPr>
            <w:tcW w:w="683" w:type="dxa"/>
            <w:noWrap/>
            <w:vAlign w:val="center"/>
            <w:hideMark/>
          </w:tcPr>
          <w:p w14:paraId="15EEA3D9" w14:textId="77777777" w:rsidR="004F64EF" w:rsidRPr="003003C0" w:rsidRDefault="004F64EF" w:rsidP="00FD6B66">
            <w:pPr>
              <w:jc w:val="right"/>
              <w:rPr>
                <w:rFonts w:cs="Calibri"/>
                <w:color w:val="000000"/>
                <w:sz w:val="14"/>
                <w:szCs w:val="14"/>
              </w:rPr>
            </w:pPr>
            <w:r w:rsidRPr="003003C0">
              <w:rPr>
                <w:rFonts w:cs="Calibri"/>
                <w:color w:val="000000"/>
                <w:sz w:val="14"/>
                <w:szCs w:val="14"/>
              </w:rPr>
              <w:t>0</w:t>
            </w:r>
            <w:r>
              <w:rPr>
                <w:rFonts w:cs="Calibri"/>
                <w:color w:val="000000"/>
                <w:sz w:val="14"/>
                <w:szCs w:val="14"/>
              </w:rPr>
              <w:t>.</w:t>
            </w:r>
            <w:r w:rsidRPr="003003C0">
              <w:rPr>
                <w:rFonts w:cs="Calibri"/>
                <w:color w:val="000000"/>
                <w:sz w:val="14"/>
                <w:szCs w:val="14"/>
              </w:rPr>
              <w:t>2</w:t>
            </w:r>
          </w:p>
        </w:tc>
        <w:tc>
          <w:tcPr>
            <w:tcW w:w="683" w:type="dxa"/>
            <w:noWrap/>
            <w:vAlign w:val="center"/>
            <w:hideMark/>
          </w:tcPr>
          <w:p w14:paraId="7F106FFB" w14:textId="77777777" w:rsidR="004F64EF" w:rsidRPr="003003C0" w:rsidRDefault="004F64EF" w:rsidP="00FD6B66">
            <w:pPr>
              <w:jc w:val="right"/>
              <w:rPr>
                <w:rFonts w:cs="Calibri"/>
                <w:color w:val="000000"/>
                <w:sz w:val="14"/>
                <w:szCs w:val="14"/>
              </w:rPr>
            </w:pPr>
            <w:r w:rsidRPr="003003C0">
              <w:rPr>
                <w:rFonts w:cs="Calibri"/>
                <w:color w:val="000000"/>
                <w:sz w:val="14"/>
                <w:szCs w:val="14"/>
              </w:rPr>
              <w:t>0</w:t>
            </w:r>
            <w:r>
              <w:rPr>
                <w:rFonts w:cs="Calibri"/>
                <w:color w:val="000000"/>
                <w:sz w:val="14"/>
                <w:szCs w:val="14"/>
              </w:rPr>
              <w:t>.</w:t>
            </w:r>
            <w:r w:rsidRPr="003003C0">
              <w:rPr>
                <w:rFonts w:cs="Calibri"/>
                <w:color w:val="000000"/>
                <w:sz w:val="14"/>
                <w:szCs w:val="14"/>
              </w:rPr>
              <w:t>2</w:t>
            </w:r>
          </w:p>
        </w:tc>
        <w:tc>
          <w:tcPr>
            <w:tcW w:w="684" w:type="dxa"/>
            <w:noWrap/>
            <w:vAlign w:val="center"/>
            <w:hideMark/>
          </w:tcPr>
          <w:p w14:paraId="34A4DA35" w14:textId="77777777" w:rsidR="004F64EF" w:rsidRPr="003003C0" w:rsidRDefault="004F64EF" w:rsidP="00FD6B66">
            <w:pPr>
              <w:jc w:val="right"/>
              <w:rPr>
                <w:rFonts w:cs="Calibri"/>
                <w:color w:val="000000"/>
                <w:sz w:val="14"/>
                <w:szCs w:val="14"/>
              </w:rPr>
            </w:pPr>
            <w:r w:rsidRPr="003003C0">
              <w:rPr>
                <w:rFonts w:cs="Calibri"/>
                <w:color w:val="000000"/>
                <w:sz w:val="14"/>
                <w:szCs w:val="14"/>
              </w:rPr>
              <w:t>0</w:t>
            </w:r>
            <w:r>
              <w:rPr>
                <w:rFonts w:cs="Calibri"/>
                <w:color w:val="000000"/>
                <w:sz w:val="14"/>
                <w:szCs w:val="14"/>
              </w:rPr>
              <w:t>.</w:t>
            </w:r>
            <w:r w:rsidRPr="003003C0">
              <w:rPr>
                <w:rFonts w:cs="Calibri"/>
                <w:color w:val="000000"/>
                <w:sz w:val="14"/>
                <w:szCs w:val="14"/>
              </w:rPr>
              <w:t>2</w:t>
            </w:r>
          </w:p>
        </w:tc>
        <w:tc>
          <w:tcPr>
            <w:tcW w:w="683" w:type="dxa"/>
            <w:noWrap/>
            <w:vAlign w:val="center"/>
            <w:hideMark/>
          </w:tcPr>
          <w:p w14:paraId="3353FDFE" w14:textId="77777777" w:rsidR="004F64EF" w:rsidRPr="003003C0" w:rsidRDefault="004F64EF" w:rsidP="00FD6B66">
            <w:pPr>
              <w:jc w:val="right"/>
              <w:rPr>
                <w:rFonts w:cs="Calibri"/>
                <w:color w:val="000000"/>
                <w:sz w:val="14"/>
                <w:szCs w:val="14"/>
              </w:rPr>
            </w:pPr>
            <w:r w:rsidRPr="003003C0">
              <w:rPr>
                <w:rFonts w:cs="Calibri"/>
                <w:color w:val="000000"/>
                <w:sz w:val="14"/>
                <w:szCs w:val="14"/>
              </w:rPr>
              <w:t>0</w:t>
            </w:r>
            <w:r>
              <w:rPr>
                <w:rFonts w:cs="Calibri"/>
                <w:color w:val="000000"/>
                <w:sz w:val="14"/>
                <w:szCs w:val="14"/>
              </w:rPr>
              <w:t>.</w:t>
            </w:r>
            <w:r w:rsidRPr="003003C0">
              <w:rPr>
                <w:rFonts w:cs="Calibri"/>
                <w:color w:val="000000"/>
                <w:sz w:val="14"/>
                <w:szCs w:val="14"/>
              </w:rPr>
              <w:t>2</w:t>
            </w:r>
          </w:p>
        </w:tc>
        <w:tc>
          <w:tcPr>
            <w:tcW w:w="683" w:type="dxa"/>
            <w:noWrap/>
            <w:vAlign w:val="center"/>
            <w:hideMark/>
          </w:tcPr>
          <w:p w14:paraId="3843D1D7" w14:textId="77777777" w:rsidR="004F64EF" w:rsidRPr="003003C0" w:rsidRDefault="004F64EF" w:rsidP="00FD6B66">
            <w:pPr>
              <w:jc w:val="right"/>
              <w:rPr>
                <w:rFonts w:cs="Calibri"/>
                <w:color w:val="000000"/>
                <w:sz w:val="14"/>
                <w:szCs w:val="14"/>
              </w:rPr>
            </w:pPr>
            <w:r w:rsidRPr="003003C0">
              <w:rPr>
                <w:rFonts w:cs="Calibri"/>
                <w:color w:val="000000"/>
                <w:sz w:val="14"/>
                <w:szCs w:val="14"/>
              </w:rPr>
              <w:t>0</w:t>
            </w:r>
            <w:r>
              <w:rPr>
                <w:rFonts w:cs="Calibri"/>
                <w:color w:val="000000"/>
                <w:sz w:val="14"/>
                <w:szCs w:val="14"/>
              </w:rPr>
              <w:t>.</w:t>
            </w:r>
            <w:r w:rsidRPr="003003C0">
              <w:rPr>
                <w:rFonts w:cs="Calibri"/>
                <w:color w:val="000000"/>
                <w:sz w:val="14"/>
                <w:szCs w:val="14"/>
              </w:rPr>
              <w:t>2</w:t>
            </w:r>
          </w:p>
        </w:tc>
        <w:tc>
          <w:tcPr>
            <w:tcW w:w="684" w:type="dxa"/>
            <w:noWrap/>
            <w:vAlign w:val="center"/>
            <w:hideMark/>
          </w:tcPr>
          <w:p w14:paraId="1CD5F368" w14:textId="77777777" w:rsidR="004F64EF" w:rsidRPr="003003C0" w:rsidRDefault="004F64EF" w:rsidP="00FD6B66">
            <w:pPr>
              <w:jc w:val="right"/>
              <w:rPr>
                <w:rFonts w:cs="Calibri"/>
                <w:color w:val="000000"/>
                <w:sz w:val="14"/>
                <w:szCs w:val="14"/>
              </w:rPr>
            </w:pPr>
            <w:r w:rsidRPr="003003C0">
              <w:rPr>
                <w:rFonts w:cs="Calibri"/>
                <w:color w:val="000000"/>
                <w:sz w:val="14"/>
                <w:szCs w:val="14"/>
              </w:rPr>
              <w:t>0</w:t>
            </w:r>
            <w:r>
              <w:rPr>
                <w:rFonts w:cs="Calibri"/>
                <w:color w:val="000000"/>
                <w:sz w:val="14"/>
                <w:szCs w:val="14"/>
              </w:rPr>
              <w:t>.</w:t>
            </w:r>
            <w:r w:rsidRPr="003003C0">
              <w:rPr>
                <w:rFonts w:cs="Calibri"/>
                <w:color w:val="000000"/>
                <w:sz w:val="14"/>
                <w:szCs w:val="14"/>
              </w:rPr>
              <w:t>7</w:t>
            </w:r>
          </w:p>
        </w:tc>
      </w:tr>
      <w:tr w:rsidR="004F64EF" w:rsidRPr="003003C0" w14:paraId="1A350727" w14:textId="77777777" w:rsidTr="00FD6B66">
        <w:trPr>
          <w:cnfStyle w:val="000000010000" w:firstRow="0" w:lastRow="0" w:firstColumn="0" w:lastColumn="0" w:oddVBand="0" w:evenVBand="0" w:oddHBand="0" w:evenHBand="1" w:firstRowFirstColumn="0" w:firstRowLastColumn="0" w:lastRowFirstColumn="0" w:lastRowLastColumn="0"/>
          <w:trHeight w:val="20"/>
        </w:trPr>
        <w:tc>
          <w:tcPr>
            <w:tcW w:w="4246" w:type="dxa"/>
            <w:noWrap/>
            <w:vAlign w:val="center"/>
            <w:hideMark/>
          </w:tcPr>
          <w:p w14:paraId="1144AFB9" w14:textId="77777777" w:rsidR="004F64EF" w:rsidRPr="003003C0" w:rsidRDefault="004F64EF" w:rsidP="00FD6B66">
            <w:pPr>
              <w:jc w:val="left"/>
              <w:rPr>
                <w:rFonts w:cs="Calibri"/>
                <w:color w:val="000000"/>
                <w:sz w:val="14"/>
                <w:szCs w:val="14"/>
              </w:rPr>
            </w:pPr>
            <w:r w:rsidRPr="003003C0">
              <w:rPr>
                <w:rFonts w:cs="Calibri"/>
                <w:color w:val="000000"/>
                <w:sz w:val="14"/>
                <w:szCs w:val="14"/>
              </w:rPr>
              <w:t xml:space="preserve">5 </w:t>
            </w:r>
            <w:r>
              <w:rPr>
                <w:rFonts w:cs="Calibri"/>
                <w:color w:val="000000"/>
                <w:sz w:val="14"/>
                <w:szCs w:val="14"/>
              </w:rPr>
              <w:t>–</w:t>
            </w:r>
            <w:r w:rsidRPr="003003C0">
              <w:rPr>
                <w:rFonts w:cs="Calibri"/>
                <w:color w:val="000000"/>
                <w:sz w:val="14"/>
                <w:szCs w:val="14"/>
              </w:rPr>
              <w:t xml:space="preserve"> </w:t>
            </w:r>
            <w:r>
              <w:rPr>
                <w:rFonts w:cs="Calibri"/>
                <w:color w:val="000000"/>
                <w:sz w:val="14"/>
                <w:szCs w:val="14"/>
              </w:rPr>
              <w:t>Mineral products</w:t>
            </w:r>
          </w:p>
        </w:tc>
        <w:tc>
          <w:tcPr>
            <w:tcW w:w="683" w:type="dxa"/>
            <w:noWrap/>
            <w:vAlign w:val="center"/>
            <w:hideMark/>
          </w:tcPr>
          <w:p w14:paraId="1316071B" w14:textId="77777777" w:rsidR="004F64EF" w:rsidRPr="003003C0" w:rsidRDefault="004F64EF" w:rsidP="00FD6B66">
            <w:pPr>
              <w:jc w:val="right"/>
              <w:rPr>
                <w:rFonts w:cs="Calibri"/>
                <w:color w:val="000000"/>
                <w:sz w:val="14"/>
                <w:szCs w:val="14"/>
              </w:rPr>
            </w:pPr>
            <w:r w:rsidRPr="003003C0">
              <w:rPr>
                <w:rFonts w:cs="Calibri"/>
                <w:color w:val="000000"/>
                <w:sz w:val="14"/>
                <w:szCs w:val="14"/>
              </w:rPr>
              <w:t>0</w:t>
            </w:r>
            <w:r>
              <w:rPr>
                <w:rFonts w:cs="Calibri"/>
                <w:color w:val="000000"/>
                <w:sz w:val="14"/>
                <w:szCs w:val="14"/>
              </w:rPr>
              <w:t>.</w:t>
            </w:r>
            <w:r w:rsidRPr="003003C0">
              <w:rPr>
                <w:rFonts w:cs="Calibri"/>
                <w:color w:val="000000"/>
                <w:sz w:val="14"/>
                <w:szCs w:val="14"/>
              </w:rPr>
              <w:t>0</w:t>
            </w:r>
          </w:p>
        </w:tc>
        <w:tc>
          <w:tcPr>
            <w:tcW w:w="683" w:type="dxa"/>
            <w:noWrap/>
            <w:vAlign w:val="center"/>
            <w:hideMark/>
          </w:tcPr>
          <w:p w14:paraId="4F1B4171" w14:textId="77777777" w:rsidR="004F64EF" w:rsidRPr="003003C0" w:rsidRDefault="004F64EF" w:rsidP="00FD6B66">
            <w:pPr>
              <w:jc w:val="right"/>
              <w:rPr>
                <w:rFonts w:cs="Calibri"/>
                <w:color w:val="000000"/>
                <w:sz w:val="14"/>
                <w:szCs w:val="14"/>
              </w:rPr>
            </w:pPr>
            <w:r w:rsidRPr="003003C0">
              <w:rPr>
                <w:rFonts w:cs="Calibri"/>
                <w:color w:val="000000"/>
                <w:sz w:val="14"/>
                <w:szCs w:val="14"/>
              </w:rPr>
              <w:t>0</w:t>
            </w:r>
            <w:r>
              <w:rPr>
                <w:rFonts w:cs="Calibri"/>
                <w:color w:val="000000"/>
                <w:sz w:val="14"/>
                <w:szCs w:val="14"/>
              </w:rPr>
              <w:t>.</w:t>
            </w:r>
            <w:r w:rsidRPr="003003C0">
              <w:rPr>
                <w:rFonts w:cs="Calibri"/>
                <w:color w:val="000000"/>
                <w:sz w:val="14"/>
                <w:szCs w:val="14"/>
              </w:rPr>
              <w:t>0</w:t>
            </w:r>
          </w:p>
        </w:tc>
        <w:tc>
          <w:tcPr>
            <w:tcW w:w="683" w:type="dxa"/>
            <w:noWrap/>
            <w:vAlign w:val="center"/>
            <w:hideMark/>
          </w:tcPr>
          <w:p w14:paraId="63AA7373" w14:textId="77777777" w:rsidR="004F64EF" w:rsidRPr="003003C0" w:rsidRDefault="004F64EF" w:rsidP="00FD6B66">
            <w:pPr>
              <w:jc w:val="right"/>
              <w:rPr>
                <w:rFonts w:cs="Calibri"/>
                <w:color w:val="000000"/>
                <w:sz w:val="14"/>
                <w:szCs w:val="14"/>
              </w:rPr>
            </w:pPr>
            <w:r w:rsidRPr="003003C0">
              <w:rPr>
                <w:rFonts w:cs="Calibri"/>
                <w:color w:val="000000"/>
                <w:sz w:val="14"/>
                <w:szCs w:val="14"/>
              </w:rPr>
              <w:t>0</w:t>
            </w:r>
            <w:r>
              <w:rPr>
                <w:rFonts w:cs="Calibri"/>
                <w:color w:val="000000"/>
                <w:sz w:val="14"/>
                <w:szCs w:val="14"/>
              </w:rPr>
              <w:t>.</w:t>
            </w:r>
            <w:r w:rsidRPr="003003C0">
              <w:rPr>
                <w:rFonts w:cs="Calibri"/>
                <w:color w:val="000000"/>
                <w:sz w:val="14"/>
                <w:szCs w:val="14"/>
              </w:rPr>
              <w:t>0</w:t>
            </w:r>
          </w:p>
        </w:tc>
        <w:tc>
          <w:tcPr>
            <w:tcW w:w="684" w:type="dxa"/>
            <w:noWrap/>
            <w:vAlign w:val="center"/>
            <w:hideMark/>
          </w:tcPr>
          <w:p w14:paraId="1D1BF618" w14:textId="77777777" w:rsidR="004F64EF" w:rsidRPr="003003C0" w:rsidRDefault="004F64EF" w:rsidP="00FD6B66">
            <w:pPr>
              <w:jc w:val="right"/>
              <w:rPr>
                <w:rFonts w:cs="Calibri"/>
                <w:color w:val="000000"/>
                <w:sz w:val="14"/>
                <w:szCs w:val="14"/>
              </w:rPr>
            </w:pPr>
            <w:r w:rsidRPr="003003C0">
              <w:rPr>
                <w:rFonts w:cs="Calibri"/>
                <w:color w:val="000000"/>
                <w:sz w:val="14"/>
                <w:szCs w:val="14"/>
              </w:rPr>
              <w:t>0</w:t>
            </w:r>
            <w:r>
              <w:rPr>
                <w:rFonts w:cs="Calibri"/>
                <w:color w:val="000000"/>
                <w:sz w:val="14"/>
                <w:szCs w:val="14"/>
              </w:rPr>
              <w:t>.</w:t>
            </w:r>
            <w:r w:rsidRPr="003003C0">
              <w:rPr>
                <w:rFonts w:cs="Calibri"/>
                <w:color w:val="000000"/>
                <w:sz w:val="14"/>
                <w:szCs w:val="14"/>
              </w:rPr>
              <w:t>0</w:t>
            </w:r>
          </w:p>
        </w:tc>
        <w:tc>
          <w:tcPr>
            <w:tcW w:w="683" w:type="dxa"/>
            <w:noWrap/>
            <w:vAlign w:val="center"/>
            <w:hideMark/>
          </w:tcPr>
          <w:p w14:paraId="54BCBF19" w14:textId="77777777" w:rsidR="004F64EF" w:rsidRPr="003003C0" w:rsidRDefault="004F64EF" w:rsidP="00FD6B66">
            <w:pPr>
              <w:jc w:val="right"/>
              <w:rPr>
                <w:rFonts w:cs="Calibri"/>
                <w:color w:val="000000"/>
                <w:sz w:val="14"/>
                <w:szCs w:val="14"/>
              </w:rPr>
            </w:pPr>
            <w:r w:rsidRPr="003003C0">
              <w:rPr>
                <w:rFonts w:cs="Calibri"/>
                <w:color w:val="000000"/>
                <w:sz w:val="14"/>
                <w:szCs w:val="14"/>
              </w:rPr>
              <w:t>0</w:t>
            </w:r>
            <w:r>
              <w:rPr>
                <w:rFonts w:cs="Calibri"/>
                <w:color w:val="000000"/>
                <w:sz w:val="14"/>
                <w:szCs w:val="14"/>
              </w:rPr>
              <w:t>.</w:t>
            </w:r>
            <w:r w:rsidRPr="003003C0">
              <w:rPr>
                <w:rFonts w:cs="Calibri"/>
                <w:color w:val="000000"/>
                <w:sz w:val="14"/>
                <w:szCs w:val="14"/>
              </w:rPr>
              <w:t>0</w:t>
            </w:r>
          </w:p>
        </w:tc>
        <w:tc>
          <w:tcPr>
            <w:tcW w:w="683" w:type="dxa"/>
            <w:noWrap/>
            <w:vAlign w:val="center"/>
            <w:hideMark/>
          </w:tcPr>
          <w:p w14:paraId="67FC0DC0" w14:textId="77777777" w:rsidR="004F64EF" w:rsidRPr="003003C0" w:rsidRDefault="004F64EF" w:rsidP="00FD6B66">
            <w:pPr>
              <w:jc w:val="right"/>
              <w:rPr>
                <w:rFonts w:cs="Calibri"/>
                <w:color w:val="000000"/>
                <w:sz w:val="14"/>
                <w:szCs w:val="14"/>
              </w:rPr>
            </w:pPr>
            <w:r w:rsidRPr="003003C0">
              <w:rPr>
                <w:rFonts w:cs="Calibri"/>
                <w:color w:val="000000"/>
                <w:sz w:val="14"/>
                <w:szCs w:val="14"/>
              </w:rPr>
              <w:t>0</w:t>
            </w:r>
            <w:r>
              <w:rPr>
                <w:rFonts w:cs="Calibri"/>
                <w:color w:val="000000"/>
                <w:sz w:val="14"/>
                <w:szCs w:val="14"/>
              </w:rPr>
              <w:t>.</w:t>
            </w:r>
            <w:r w:rsidRPr="003003C0">
              <w:rPr>
                <w:rFonts w:cs="Calibri"/>
                <w:color w:val="000000"/>
                <w:sz w:val="14"/>
                <w:szCs w:val="14"/>
              </w:rPr>
              <w:t>0</w:t>
            </w:r>
          </w:p>
        </w:tc>
        <w:tc>
          <w:tcPr>
            <w:tcW w:w="684" w:type="dxa"/>
            <w:noWrap/>
            <w:vAlign w:val="center"/>
            <w:hideMark/>
          </w:tcPr>
          <w:p w14:paraId="4BA87FA0" w14:textId="77777777" w:rsidR="004F64EF" w:rsidRPr="003003C0" w:rsidRDefault="004F64EF" w:rsidP="00FD6B66">
            <w:pPr>
              <w:jc w:val="right"/>
              <w:rPr>
                <w:rFonts w:cs="Calibri"/>
                <w:color w:val="000000"/>
                <w:sz w:val="14"/>
                <w:szCs w:val="14"/>
              </w:rPr>
            </w:pPr>
            <w:r w:rsidRPr="003003C0">
              <w:rPr>
                <w:rFonts w:cs="Calibri"/>
                <w:color w:val="000000"/>
                <w:sz w:val="14"/>
                <w:szCs w:val="14"/>
              </w:rPr>
              <w:t>0</w:t>
            </w:r>
            <w:r>
              <w:rPr>
                <w:rFonts w:cs="Calibri"/>
                <w:color w:val="000000"/>
                <w:sz w:val="14"/>
                <w:szCs w:val="14"/>
              </w:rPr>
              <w:t>.</w:t>
            </w:r>
            <w:r w:rsidRPr="003003C0">
              <w:rPr>
                <w:rFonts w:cs="Calibri"/>
                <w:color w:val="000000"/>
                <w:sz w:val="14"/>
                <w:szCs w:val="14"/>
              </w:rPr>
              <w:t>0</w:t>
            </w:r>
          </w:p>
        </w:tc>
      </w:tr>
      <w:tr w:rsidR="004F64EF" w:rsidRPr="003003C0" w14:paraId="01502A55" w14:textId="77777777" w:rsidTr="00FD6B66">
        <w:trPr>
          <w:trHeight w:val="20"/>
        </w:trPr>
        <w:tc>
          <w:tcPr>
            <w:tcW w:w="4246" w:type="dxa"/>
            <w:noWrap/>
            <w:vAlign w:val="center"/>
            <w:hideMark/>
          </w:tcPr>
          <w:p w14:paraId="7F601777" w14:textId="77777777" w:rsidR="004F64EF" w:rsidRPr="003003C0" w:rsidRDefault="004F64EF" w:rsidP="00FD6B66">
            <w:pPr>
              <w:jc w:val="left"/>
              <w:rPr>
                <w:rFonts w:cs="Calibri"/>
                <w:color w:val="000000"/>
                <w:sz w:val="14"/>
                <w:szCs w:val="14"/>
              </w:rPr>
            </w:pPr>
            <w:r w:rsidRPr="003003C0">
              <w:rPr>
                <w:rFonts w:cs="Calibri"/>
                <w:color w:val="000000"/>
                <w:sz w:val="14"/>
                <w:szCs w:val="14"/>
              </w:rPr>
              <w:t xml:space="preserve">6 - </w:t>
            </w:r>
            <w:r>
              <w:rPr>
                <w:rFonts w:cs="Calibri"/>
                <w:color w:val="000000"/>
                <w:sz w:val="14"/>
                <w:szCs w:val="14"/>
              </w:rPr>
              <w:t>P</w:t>
            </w:r>
            <w:r w:rsidRPr="00A777AC">
              <w:rPr>
                <w:rFonts w:cs="Calibri"/>
                <w:color w:val="000000"/>
                <w:sz w:val="14"/>
                <w:szCs w:val="14"/>
              </w:rPr>
              <w:t>roducts of the chemical or allied industries</w:t>
            </w:r>
          </w:p>
        </w:tc>
        <w:tc>
          <w:tcPr>
            <w:tcW w:w="683" w:type="dxa"/>
            <w:noWrap/>
            <w:vAlign w:val="center"/>
            <w:hideMark/>
          </w:tcPr>
          <w:p w14:paraId="24712831" w14:textId="77777777" w:rsidR="004F64EF" w:rsidRPr="003003C0" w:rsidRDefault="004F64EF" w:rsidP="00FD6B66">
            <w:pPr>
              <w:jc w:val="right"/>
              <w:rPr>
                <w:rFonts w:cs="Calibri"/>
                <w:color w:val="000000"/>
                <w:sz w:val="14"/>
                <w:szCs w:val="14"/>
              </w:rPr>
            </w:pPr>
            <w:r w:rsidRPr="003003C0">
              <w:rPr>
                <w:rFonts w:cs="Calibri"/>
                <w:color w:val="000000"/>
                <w:sz w:val="14"/>
                <w:szCs w:val="14"/>
              </w:rPr>
              <w:t>8</w:t>
            </w:r>
            <w:r>
              <w:rPr>
                <w:rFonts w:cs="Calibri"/>
                <w:color w:val="000000"/>
                <w:sz w:val="14"/>
                <w:szCs w:val="14"/>
              </w:rPr>
              <w:t>.</w:t>
            </w:r>
            <w:r w:rsidRPr="003003C0">
              <w:rPr>
                <w:rFonts w:cs="Calibri"/>
                <w:color w:val="000000"/>
                <w:sz w:val="14"/>
                <w:szCs w:val="14"/>
              </w:rPr>
              <w:t>0</w:t>
            </w:r>
          </w:p>
        </w:tc>
        <w:tc>
          <w:tcPr>
            <w:tcW w:w="683" w:type="dxa"/>
            <w:noWrap/>
            <w:vAlign w:val="center"/>
            <w:hideMark/>
          </w:tcPr>
          <w:p w14:paraId="241FB24D" w14:textId="77777777" w:rsidR="004F64EF" w:rsidRPr="003003C0" w:rsidRDefault="004F64EF" w:rsidP="00FD6B66">
            <w:pPr>
              <w:jc w:val="right"/>
              <w:rPr>
                <w:rFonts w:cs="Calibri"/>
                <w:color w:val="000000"/>
                <w:sz w:val="14"/>
                <w:szCs w:val="14"/>
              </w:rPr>
            </w:pPr>
            <w:r w:rsidRPr="003003C0">
              <w:rPr>
                <w:rFonts w:cs="Calibri"/>
                <w:color w:val="000000"/>
                <w:sz w:val="14"/>
                <w:szCs w:val="14"/>
              </w:rPr>
              <w:t>8</w:t>
            </w:r>
            <w:r>
              <w:rPr>
                <w:rFonts w:cs="Calibri"/>
                <w:color w:val="000000"/>
                <w:sz w:val="14"/>
                <w:szCs w:val="14"/>
              </w:rPr>
              <w:t>.</w:t>
            </w:r>
            <w:r w:rsidRPr="003003C0">
              <w:rPr>
                <w:rFonts w:cs="Calibri"/>
                <w:color w:val="000000"/>
                <w:sz w:val="14"/>
                <w:szCs w:val="14"/>
              </w:rPr>
              <w:t>3</w:t>
            </w:r>
          </w:p>
        </w:tc>
        <w:tc>
          <w:tcPr>
            <w:tcW w:w="683" w:type="dxa"/>
            <w:noWrap/>
            <w:vAlign w:val="center"/>
            <w:hideMark/>
          </w:tcPr>
          <w:p w14:paraId="6F07E6EC" w14:textId="77777777" w:rsidR="004F64EF" w:rsidRPr="003003C0" w:rsidRDefault="004F64EF" w:rsidP="00FD6B66">
            <w:pPr>
              <w:jc w:val="right"/>
              <w:rPr>
                <w:rFonts w:cs="Calibri"/>
                <w:color w:val="000000"/>
                <w:sz w:val="14"/>
                <w:szCs w:val="14"/>
              </w:rPr>
            </w:pPr>
            <w:r w:rsidRPr="003003C0">
              <w:rPr>
                <w:rFonts w:cs="Calibri"/>
                <w:color w:val="000000"/>
                <w:sz w:val="14"/>
                <w:szCs w:val="14"/>
              </w:rPr>
              <w:t>9</w:t>
            </w:r>
            <w:r>
              <w:rPr>
                <w:rFonts w:cs="Calibri"/>
                <w:color w:val="000000"/>
                <w:sz w:val="14"/>
                <w:szCs w:val="14"/>
              </w:rPr>
              <w:t>.</w:t>
            </w:r>
            <w:r w:rsidRPr="003003C0">
              <w:rPr>
                <w:rFonts w:cs="Calibri"/>
                <w:color w:val="000000"/>
                <w:sz w:val="14"/>
                <w:szCs w:val="14"/>
              </w:rPr>
              <w:t>5</w:t>
            </w:r>
          </w:p>
        </w:tc>
        <w:tc>
          <w:tcPr>
            <w:tcW w:w="684" w:type="dxa"/>
            <w:noWrap/>
            <w:vAlign w:val="center"/>
            <w:hideMark/>
          </w:tcPr>
          <w:p w14:paraId="1D32D95B" w14:textId="77777777" w:rsidR="004F64EF" w:rsidRPr="003003C0" w:rsidRDefault="004F64EF" w:rsidP="00FD6B66">
            <w:pPr>
              <w:jc w:val="right"/>
              <w:rPr>
                <w:rFonts w:cs="Calibri"/>
                <w:color w:val="000000"/>
                <w:sz w:val="14"/>
                <w:szCs w:val="14"/>
              </w:rPr>
            </w:pPr>
            <w:r w:rsidRPr="003003C0">
              <w:rPr>
                <w:rFonts w:cs="Calibri"/>
                <w:color w:val="000000"/>
                <w:sz w:val="14"/>
                <w:szCs w:val="14"/>
              </w:rPr>
              <w:t>9</w:t>
            </w:r>
            <w:r>
              <w:rPr>
                <w:rFonts w:cs="Calibri"/>
                <w:color w:val="000000"/>
                <w:sz w:val="14"/>
                <w:szCs w:val="14"/>
              </w:rPr>
              <w:t>.</w:t>
            </w:r>
            <w:r w:rsidRPr="003003C0">
              <w:rPr>
                <w:rFonts w:cs="Calibri"/>
                <w:color w:val="000000"/>
                <w:sz w:val="14"/>
                <w:szCs w:val="14"/>
              </w:rPr>
              <w:t>9</w:t>
            </w:r>
          </w:p>
        </w:tc>
        <w:tc>
          <w:tcPr>
            <w:tcW w:w="683" w:type="dxa"/>
            <w:noWrap/>
            <w:vAlign w:val="center"/>
            <w:hideMark/>
          </w:tcPr>
          <w:p w14:paraId="42C94802" w14:textId="77777777" w:rsidR="004F64EF" w:rsidRPr="003003C0" w:rsidRDefault="004F64EF" w:rsidP="00FD6B66">
            <w:pPr>
              <w:jc w:val="right"/>
              <w:rPr>
                <w:rFonts w:cs="Calibri"/>
                <w:color w:val="000000"/>
                <w:sz w:val="14"/>
                <w:szCs w:val="14"/>
              </w:rPr>
            </w:pPr>
            <w:r w:rsidRPr="003003C0">
              <w:rPr>
                <w:rFonts w:cs="Calibri"/>
                <w:color w:val="000000"/>
                <w:sz w:val="14"/>
                <w:szCs w:val="14"/>
              </w:rPr>
              <w:t>9</w:t>
            </w:r>
            <w:r>
              <w:rPr>
                <w:rFonts w:cs="Calibri"/>
                <w:color w:val="000000"/>
                <w:sz w:val="14"/>
                <w:szCs w:val="14"/>
              </w:rPr>
              <w:t>.</w:t>
            </w:r>
            <w:r w:rsidRPr="003003C0">
              <w:rPr>
                <w:rFonts w:cs="Calibri"/>
                <w:color w:val="000000"/>
                <w:sz w:val="14"/>
                <w:szCs w:val="14"/>
              </w:rPr>
              <w:t>8</w:t>
            </w:r>
          </w:p>
        </w:tc>
        <w:tc>
          <w:tcPr>
            <w:tcW w:w="683" w:type="dxa"/>
            <w:noWrap/>
            <w:vAlign w:val="center"/>
            <w:hideMark/>
          </w:tcPr>
          <w:p w14:paraId="3EDC474C" w14:textId="77777777" w:rsidR="004F64EF" w:rsidRPr="003003C0" w:rsidRDefault="004F64EF" w:rsidP="00FD6B66">
            <w:pPr>
              <w:jc w:val="right"/>
              <w:rPr>
                <w:rFonts w:cs="Calibri"/>
                <w:color w:val="000000"/>
                <w:sz w:val="14"/>
                <w:szCs w:val="14"/>
              </w:rPr>
            </w:pPr>
            <w:r w:rsidRPr="003003C0">
              <w:rPr>
                <w:rFonts w:cs="Calibri"/>
                <w:color w:val="000000"/>
                <w:sz w:val="14"/>
                <w:szCs w:val="14"/>
              </w:rPr>
              <w:t>9</w:t>
            </w:r>
            <w:r>
              <w:rPr>
                <w:rFonts w:cs="Calibri"/>
                <w:color w:val="000000"/>
                <w:sz w:val="14"/>
                <w:szCs w:val="14"/>
              </w:rPr>
              <w:t>.</w:t>
            </w:r>
            <w:r w:rsidRPr="003003C0">
              <w:rPr>
                <w:rFonts w:cs="Calibri"/>
                <w:color w:val="000000"/>
                <w:sz w:val="14"/>
                <w:szCs w:val="14"/>
              </w:rPr>
              <w:t>9</w:t>
            </w:r>
          </w:p>
        </w:tc>
        <w:tc>
          <w:tcPr>
            <w:tcW w:w="684" w:type="dxa"/>
            <w:noWrap/>
            <w:vAlign w:val="center"/>
            <w:hideMark/>
          </w:tcPr>
          <w:p w14:paraId="23A80EE5" w14:textId="77777777" w:rsidR="004F64EF" w:rsidRPr="003003C0" w:rsidRDefault="004F64EF" w:rsidP="00FD6B66">
            <w:pPr>
              <w:jc w:val="right"/>
              <w:rPr>
                <w:rFonts w:cs="Calibri"/>
                <w:color w:val="000000"/>
                <w:sz w:val="14"/>
                <w:szCs w:val="14"/>
              </w:rPr>
            </w:pPr>
            <w:r w:rsidRPr="003003C0">
              <w:rPr>
                <w:rFonts w:cs="Calibri"/>
                <w:color w:val="000000"/>
                <w:sz w:val="14"/>
                <w:szCs w:val="14"/>
              </w:rPr>
              <w:t>8</w:t>
            </w:r>
            <w:r>
              <w:rPr>
                <w:rFonts w:cs="Calibri"/>
                <w:color w:val="000000"/>
                <w:sz w:val="14"/>
                <w:szCs w:val="14"/>
              </w:rPr>
              <w:t>.</w:t>
            </w:r>
            <w:r w:rsidRPr="003003C0">
              <w:rPr>
                <w:rFonts w:cs="Calibri"/>
                <w:color w:val="000000"/>
                <w:sz w:val="14"/>
                <w:szCs w:val="14"/>
              </w:rPr>
              <w:t>3</w:t>
            </w:r>
          </w:p>
        </w:tc>
      </w:tr>
      <w:tr w:rsidR="004F64EF" w:rsidRPr="003003C0" w14:paraId="6B9A4930" w14:textId="77777777" w:rsidTr="00FD6B66">
        <w:trPr>
          <w:cnfStyle w:val="000000010000" w:firstRow="0" w:lastRow="0" w:firstColumn="0" w:lastColumn="0" w:oddVBand="0" w:evenVBand="0" w:oddHBand="0" w:evenHBand="1" w:firstRowFirstColumn="0" w:firstRowLastColumn="0" w:lastRowFirstColumn="0" w:lastRowLastColumn="0"/>
          <w:trHeight w:val="20"/>
        </w:trPr>
        <w:tc>
          <w:tcPr>
            <w:tcW w:w="4246" w:type="dxa"/>
            <w:noWrap/>
            <w:vAlign w:val="center"/>
            <w:hideMark/>
          </w:tcPr>
          <w:p w14:paraId="7B74A8C3" w14:textId="77777777" w:rsidR="004F64EF" w:rsidRPr="003003C0" w:rsidRDefault="004F64EF" w:rsidP="00FD6B66">
            <w:pPr>
              <w:tabs>
                <w:tab w:val="left" w:pos="227"/>
              </w:tabs>
              <w:jc w:val="left"/>
              <w:rPr>
                <w:rFonts w:cs="Calibri"/>
                <w:color w:val="000000"/>
                <w:sz w:val="14"/>
                <w:szCs w:val="14"/>
              </w:rPr>
            </w:pPr>
            <w:r w:rsidRPr="003003C0">
              <w:rPr>
                <w:rFonts w:cs="Calibri"/>
                <w:color w:val="000000"/>
                <w:sz w:val="14"/>
                <w:szCs w:val="14"/>
              </w:rPr>
              <w:tab/>
              <w:t xml:space="preserve">30. </w:t>
            </w:r>
            <w:r w:rsidRPr="00A777AC">
              <w:rPr>
                <w:rFonts w:cs="Calibri"/>
                <w:color w:val="000000"/>
                <w:sz w:val="14"/>
                <w:szCs w:val="14"/>
              </w:rPr>
              <w:t>Pharmaceutical products</w:t>
            </w:r>
          </w:p>
        </w:tc>
        <w:tc>
          <w:tcPr>
            <w:tcW w:w="683" w:type="dxa"/>
            <w:noWrap/>
            <w:vAlign w:val="center"/>
            <w:hideMark/>
          </w:tcPr>
          <w:p w14:paraId="457B2F49" w14:textId="77777777" w:rsidR="004F64EF" w:rsidRPr="003003C0" w:rsidRDefault="004F64EF" w:rsidP="00FD6B66">
            <w:pPr>
              <w:jc w:val="right"/>
              <w:rPr>
                <w:rFonts w:cs="Calibri"/>
                <w:color w:val="000000"/>
                <w:sz w:val="14"/>
                <w:szCs w:val="14"/>
              </w:rPr>
            </w:pPr>
            <w:r w:rsidRPr="003003C0">
              <w:rPr>
                <w:rFonts w:cs="Calibri"/>
                <w:color w:val="000000"/>
                <w:sz w:val="14"/>
                <w:szCs w:val="14"/>
              </w:rPr>
              <w:t>5</w:t>
            </w:r>
            <w:r>
              <w:rPr>
                <w:rFonts w:cs="Calibri"/>
                <w:color w:val="000000"/>
                <w:sz w:val="14"/>
                <w:szCs w:val="14"/>
              </w:rPr>
              <w:t>.</w:t>
            </w:r>
            <w:r w:rsidRPr="003003C0">
              <w:rPr>
                <w:rFonts w:cs="Calibri"/>
                <w:color w:val="000000"/>
                <w:sz w:val="14"/>
                <w:szCs w:val="14"/>
              </w:rPr>
              <w:t>8</w:t>
            </w:r>
          </w:p>
        </w:tc>
        <w:tc>
          <w:tcPr>
            <w:tcW w:w="683" w:type="dxa"/>
            <w:noWrap/>
            <w:vAlign w:val="center"/>
            <w:hideMark/>
          </w:tcPr>
          <w:p w14:paraId="21D1DEDC" w14:textId="77777777" w:rsidR="004F64EF" w:rsidRPr="003003C0" w:rsidRDefault="004F64EF" w:rsidP="00FD6B66">
            <w:pPr>
              <w:jc w:val="right"/>
              <w:rPr>
                <w:rFonts w:cs="Calibri"/>
                <w:color w:val="000000"/>
                <w:sz w:val="14"/>
                <w:szCs w:val="14"/>
              </w:rPr>
            </w:pPr>
            <w:r w:rsidRPr="003003C0">
              <w:rPr>
                <w:rFonts w:cs="Calibri"/>
                <w:color w:val="000000"/>
                <w:sz w:val="14"/>
                <w:szCs w:val="14"/>
              </w:rPr>
              <w:t>6</w:t>
            </w:r>
            <w:r>
              <w:rPr>
                <w:rFonts w:cs="Calibri"/>
                <w:color w:val="000000"/>
                <w:sz w:val="14"/>
                <w:szCs w:val="14"/>
              </w:rPr>
              <w:t>.</w:t>
            </w:r>
            <w:r w:rsidRPr="003003C0">
              <w:rPr>
                <w:rFonts w:cs="Calibri"/>
                <w:color w:val="000000"/>
                <w:sz w:val="14"/>
                <w:szCs w:val="14"/>
              </w:rPr>
              <w:t>0</w:t>
            </w:r>
          </w:p>
        </w:tc>
        <w:tc>
          <w:tcPr>
            <w:tcW w:w="683" w:type="dxa"/>
            <w:noWrap/>
            <w:vAlign w:val="center"/>
            <w:hideMark/>
          </w:tcPr>
          <w:p w14:paraId="0B5F6183" w14:textId="77777777" w:rsidR="004F64EF" w:rsidRPr="003003C0" w:rsidRDefault="004F64EF" w:rsidP="00FD6B66">
            <w:pPr>
              <w:jc w:val="right"/>
              <w:rPr>
                <w:rFonts w:cs="Calibri"/>
                <w:color w:val="000000"/>
                <w:sz w:val="14"/>
                <w:szCs w:val="14"/>
              </w:rPr>
            </w:pPr>
            <w:r w:rsidRPr="003003C0">
              <w:rPr>
                <w:rFonts w:cs="Calibri"/>
                <w:color w:val="000000"/>
                <w:sz w:val="14"/>
                <w:szCs w:val="14"/>
              </w:rPr>
              <w:t>7</w:t>
            </w:r>
            <w:r>
              <w:rPr>
                <w:rFonts w:cs="Calibri"/>
                <w:color w:val="000000"/>
                <w:sz w:val="14"/>
                <w:szCs w:val="14"/>
              </w:rPr>
              <w:t>.</w:t>
            </w:r>
            <w:r w:rsidRPr="003003C0">
              <w:rPr>
                <w:rFonts w:cs="Calibri"/>
                <w:color w:val="000000"/>
                <w:sz w:val="14"/>
                <w:szCs w:val="14"/>
              </w:rPr>
              <w:t>4</w:t>
            </w:r>
          </w:p>
        </w:tc>
        <w:tc>
          <w:tcPr>
            <w:tcW w:w="684" w:type="dxa"/>
            <w:noWrap/>
            <w:vAlign w:val="center"/>
            <w:hideMark/>
          </w:tcPr>
          <w:p w14:paraId="652C8BEB" w14:textId="77777777" w:rsidR="004F64EF" w:rsidRPr="003003C0" w:rsidRDefault="004F64EF" w:rsidP="00FD6B66">
            <w:pPr>
              <w:jc w:val="right"/>
              <w:rPr>
                <w:rFonts w:cs="Calibri"/>
                <w:color w:val="000000"/>
                <w:sz w:val="14"/>
                <w:szCs w:val="14"/>
              </w:rPr>
            </w:pPr>
            <w:r w:rsidRPr="003003C0">
              <w:rPr>
                <w:rFonts w:cs="Calibri"/>
                <w:color w:val="000000"/>
                <w:sz w:val="14"/>
                <w:szCs w:val="14"/>
              </w:rPr>
              <w:t>8</w:t>
            </w:r>
            <w:r>
              <w:rPr>
                <w:rFonts w:cs="Calibri"/>
                <w:color w:val="000000"/>
                <w:sz w:val="14"/>
                <w:szCs w:val="14"/>
              </w:rPr>
              <w:t>.</w:t>
            </w:r>
            <w:r w:rsidRPr="003003C0">
              <w:rPr>
                <w:rFonts w:cs="Calibri"/>
                <w:color w:val="000000"/>
                <w:sz w:val="14"/>
                <w:szCs w:val="14"/>
              </w:rPr>
              <w:t>0</w:t>
            </w:r>
          </w:p>
        </w:tc>
        <w:tc>
          <w:tcPr>
            <w:tcW w:w="683" w:type="dxa"/>
            <w:noWrap/>
            <w:vAlign w:val="center"/>
            <w:hideMark/>
          </w:tcPr>
          <w:p w14:paraId="7900B273" w14:textId="77777777" w:rsidR="004F64EF" w:rsidRPr="003003C0" w:rsidRDefault="004F64EF" w:rsidP="00FD6B66">
            <w:pPr>
              <w:jc w:val="right"/>
              <w:rPr>
                <w:rFonts w:cs="Calibri"/>
                <w:color w:val="000000"/>
                <w:sz w:val="14"/>
                <w:szCs w:val="14"/>
              </w:rPr>
            </w:pPr>
            <w:r w:rsidRPr="003003C0">
              <w:rPr>
                <w:rFonts w:cs="Calibri"/>
                <w:color w:val="000000"/>
                <w:sz w:val="14"/>
                <w:szCs w:val="14"/>
              </w:rPr>
              <w:t>7</w:t>
            </w:r>
            <w:r>
              <w:rPr>
                <w:rFonts w:cs="Calibri"/>
                <w:color w:val="000000"/>
                <w:sz w:val="14"/>
                <w:szCs w:val="14"/>
              </w:rPr>
              <w:t>.</w:t>
            </w:r>
            <w:r w:rsidRPr="003003C0">
              <w:rPr>
                <w:rFonts w:cs="Calibri"/>
                <w:color w:val="000000"/>
                <w:sz w:val="14"/>
                <w:szCs w:val="14"/>
              </w:rPr>
              <w:t>9</w:t>
            </w:r>
          </w:p>
        </w:tc>
        <w:tc>
          <w:tcPr>
            <w:tcW w:w="683" w:type="dxa"/>
            <w:noWrap/>
            <w:vAlign w:val="center"/>
            <w:hideMark/>
          </w:tcPr>
          <w:p w14:paraId="2ACADE30" w14:textId="77777777" w:rsidR="004F64EF" w:rsidRPr="003003C0" w:rsidRDefault="004F64EF" w:rsidP="00FD6B66">
            <w:pPr>
              <w:jc w:val="right"/>
              <w:rPr>
                <w:rFonts w:cs="Calibri"/>
                <w:color w:val="000000"/>
                <w:sz w:val="14"/>
                <w:szCs w:val="14"/>
              </w:rPr>
            </w:pPr>
            <w:r w:rsidRPr="003003C0">
              <w:rPr>
                <w:rFonts w:cs="Calibri"/>
                <w:color w:val="000000"/>
                <w:sz w:val="14"/>
                <w:szCs w:val="14"/>
              </w:rPr>
              <w:t>7</w:t>
            </w:r>
            <w:r>
              <w:rPr>
                <w:rFonts w:cs="Calibri"/>
                <w:color w:val="000000"/>
                <w:sz w:val="14"/>
                <w:szCs w:val="14"/>
              </w:rPr>
              <w:t>.</w:t>
            </w:r>
            <w:r w:rsidRPr="003003C0">
              <w:rPr>
                <w:rFonts w:cs="Calibri"/>
                <w:color w:val="000000"/>
                <w:sz w:val="14"/>
                <w:szCs w:val="14"/>
              </w:rPr>
              <w:t>6</w:t>
            </w:r>
          </w:p>
        </w:tc>
        <w:tc>
          <w:tcPr>
            <w:tcW w:w="684" w:type="dxa"/>
            <w:noWrap/>
            <w:vAlign w:val="center"/>
            <w:hideMark/>
          </w:tcPr>
          <w:p w14:paraId="43BAAD61" w14:textId="77777777" w:rsidR="004F64EF" w:rsidRPr="003003C0" w:rsidRDefault="004F64EF" w:rsidP="00FD6B66">
            <w:pPr>
              <w:jc w:val="right"/>
              <w:rPr>
                <w:rFonts w:cs="Calibri"/>
                <w:color w:val="000000"/>
                <w:sz w:val="14"/>
                <w:szCs w:val="14"/>
              </w:rPr>
            </w:pPr>
            <w:r w:rsidRPr="003003C0">
              <w:rPr>
                <w:rFonts w:cs="Calibri"/>
                <w:color w:val="000000"/>
                <w:sz w:val="14"/>
                <w:szCs w:val="14"/>
              </w:rPr>
              <w:t>6</w:t>
            </w:r>
            <w:r>
              <w:rPr>
                <w:rFonts w:cs="Calibri"/>
                <w:color w:val="000000"/>
                <w:sz w:val="14"/>
                <w:szCs w:val="14"/>
              </w:rPr>
              <w:t>.</w:t>
            </w:r>
            <w:r w:rsidRPr="003003C0">
              <w:rPr>
                <w:rFonts w:cs="Calibri"/>
                <w:color w:val="000000"/>
                <w:sz w:val="14"/>
                <w:szCs w:val="14"/>
              </w:rPr>
              <w:t>1</w:t>
            </w:r>
          </w:p>
        </w:tc>
      </w:tr>
      <w:tr w:rsidR="004F64EF" w:rsidRPr="003003C0" w14:paraId="3245FE90" w14:textId="77777777" w:rsidTr="00FD6B66">
        <w:trPr>
          <w:trHeight w:val="20"/>
        </w:trPr>
        <w:tc>
          <w:tcPr>
            <w:tcW w:w="4246" w:type="dxa"/>
            <w:noWrap/>
            <w:vAlign w:val="center"/>
            <w:hideMark/>
          </w:tcPr>
          <w:p w14:paraId="18F6A64F" w14:textId="77777777" w:rsidR="004F64EF" w:rsidRPr="003003C0" w:rsidRDefault="004F64EF" w:rsidP="00B22563">
            <w:pPr>
              <w:tabs>
                <w:tab w:val="left" w:pos="227"/>
              </w:tabs>
              <w:ind w:left="227" w:hanging="227"/>
              <w:jc w:val="left"/>
              <w:rPr>
                <w:rFonts w:cs="Calibri"/>
                <w:color w:val="000000"/>
                <w:sz w:val="14"/>
                <w:szCs w:val="14"/>
              </w:rPr>
            </w:pPr>
            <w:r w:rsidRPr="003003C0">
              <w:rPr>
                <w:rFonts w:cs="Calibri"/>
                <w:color w:val="000000"/>
                <w:sz w:val="14"/>
                <w:szCs w:val="14"/>
              </w:rPr>
              <w:tab/>
              <w:t xml:space="preserve">33. </w:t>
            </w:r>
            <w:r w:rsidRPr="00A777AC">
              <w:rPr>
                <w:rFonts w:cs="Calibri"/>
                <w:color w:val="000000"/>
                <w:sz w:val="14"/>
                <w:szCs w:val="14"/>
              </w:rPr>
              <w:t>Essential oils; perfumery or cosmetic preparations</w:t>
            </w:r>
          </w:p>
        </w:tc>
        <w:tc>
          <w:tcPr>
            <w:tcW w:w="683" w:type="dxa"/>
            <w:noWrap/>
            <w:vAlign w:val="center"/>
            <w:hideMark/>
          </w:tcPr>
          <w:p w14:paraId="4956DF85" w14:textId="77777777" w:rsidR="004F64EF" w:rsidRPr="003003C0" w:rsidRDefault="004F64EF" w:rsidP="00FD6B66">
            <w:pPr>
              <w:jc w:val="right"/>
              <w:rPr>
                <w:rFonts w:cs="Calibri"/>
                <w:color w:val="000000"/>
                <w:sz w:val="14"/>
                <w:szCs w:val="14"/>
              </w:rPr>
            </w:pPr>
            <w:r w:rsidRPr="003003C0">
              <w:rPr>
                <w:rFonts w:cs="Calibri"/>
                <w:color w:val="000000"/>
                <w:sz w:val="14"/>
                <w:szCs w:val="14"/>
              </w:rPr>
              <w:t>1</w:t>
            </w:r>
            <w:r>
              <w:rPr>
                <w:rFonts w:cs="Calibri"/>
                <w:color w:val="000000"/>
                <w:sz w:val="14"/>
                <w:szCs w:val="14"/>
              </w:rPr>
              <w:t>.</w:t>
            </w:r>
            <w:r w:rsidRPr="003003C0">
              <w:rPr>
                <w:rFonts w:cs="Calibri"/>
                <w:color w:val="000000"/>
                <w:sz w:val="14"/>
                <w:szCs w:val="14"/>
              </w:rPr>
              <w:t>2</w:t>
            </w:r>
          </w:p>
        </w:tc>
        <w:tc>
          <w:tcPr>
            <w:tcW w:w="683" w:type="dxa"/>
            <w:noWrap/>
            <w:vAlign w:val="center"/>
            <w:hideMark/>
          </w:tcPr>
          <w:p w14:paraId="24C9BB59" w14:textId="77777777" w:rsidR="004F64EF" w:rsidRPr="003003C0" w:rsidRDefault="004F64EF" w:rsidP="00FD6B66">
            <w:pPr>
              <w:jc w:val="right"/>
              <w:rPr>
                <w:rFonts w:cs="Calibri"/>
                <w:color w:val="000000"/>
                <w:sz w:val="14"/>
                <w:szCs w:val="14"/>
              </w:rPr>
            </w:pPr>
            <w:r w:rsidRPr="003003C0">
              <w:rPr>
                <w:rFonts w:cs="Calibri"/>
                <w:color w:val="000000"/>
                <w:sz w:val="14"/>
                <w:szCs w:val="14"/>
              </w:rPr>
              <w:t>1</w:t>
            </w:r>
            <w:r>
              <w:rPr>
                <w:rFonts w:cs="Calibri"/>
                <w:color w:val="000000"/>
                <w:sz w:val="14"/>
                <w:szCs w:val="14"/>
              </w:rPr>
              <w:t>.</w:t>
            </w:r>
            <w:r w:rsidRPr="003003C0">
              <w:rPr>
                <w:rFonts w:cs="Calibri"/>
                <w:color w:val="000000"/>
                <w:sz w:val="14"/>
                <w:szCs w:val="14"/>
              </w:rPr>
              <w:t>5</w:t>
            </w:r>
          </w:p>
        </w:tc>
        <w:tc>
          <w:tcPr>
            <w:tcW w:w="683" w:type="dxa"/>
            <w:noWrap/>
            <w:vAlign w:val="center"/>
            <w:hideMark/>
          </w:tcPr>
          <w:p w14:paraId="6A250A7D" w14:textId="77777777" w:rsidR="004F64EF" w:rsidRPr="003003C0" w:rsidRDefault="004F64EF" w:rsidP="00FD6B66">
            <w:pPr>
              <w:jc w:val="right"/>
              <w:rPr>
                <w:rFonts w:cs="Calibri"/>
                <w:color w:val="000000"/>
                <w:sz w:val="14"/>
                <w:szCs w:val="14"/>
              </w:rPr>
            </w:pPr>
            <w:r w:rsidRPr="003003C0">
              <w:rPr>
                <w:rFonts w:cs="Calibri"/>
                <w:color w:val="000000"/>
                <w:sz w:val="14"/>
                <w:szCs w:val="14"/>
              </w:rPr>
              <w:t>1</w:t>
            </w:r>
            <w:r>
              <w:rPr>
                <w:rFonts w:cs="Calibri"/>
                <w:color w:val="000000"/>
                <w:sz w:val="14"/>
                <w:szCs w:val="14"/>
              </w:rPr>
              <w:t>.</w:t>
            </w:r>
            <w:r w:rsidRPr="003003C0">
              <w:rPr>
                <w:rFonts w:cs="Calibri"/>
                <w:color w:val="000000"/>
                <w:sz w:val="14"/>
                <w:szCs w:val="14"/>
              </w:rPr>
              <w:t>3</w:t>
            </w:r>
          </w:p>
        </w:tc>
        <w:tc>
          <w:tcPr>
            <w:tcW w:w="684" w:type="dxa"/>
            <w:noWrap/>
            <w:vAlign w:val="center"/>
            <w:hideMark/>
          </w:tcPr>
          <w:p w14:paraId="2A10505A" w14:textId="77777777" w:rsidR="004F64EF" w:rsidRPr="003003C0" w:rsidRDefault="004F64EF" w:rsidP="00FD6B66">
            <w:pPr>
              <w:jc w:val="right"/>
              <w:rPr>
                <w:rFonts w:cs="Calibri"/>
                <w:color w:val="000000"/>
                <w:sz w:val="14"/>
                <w:szCs w:val="14"/>
              </w:rPr>
            </w:pPr>
            <w:r w:rsidRPr="003003C0">
              <w:rPr>
                <w:rFonts w:cs="Calibri"/>
                <w:color w:val="000000"/>
                <w:sz w:val="14"/>
                <w:szCs w:val="14"/>
              </w:rPr>
              <w:t>1</w:t>
            </w:r>
            <w:r>
              <w:rPr>
                <w:rFonts w:cs="Calibri"/>
                <w:color w:val="000000"/>
                <w:sz w:val="14"/>
                <w:szCs w:val="14"/>
              </w:rPr>
              <w:t>.</w:t>
            </w:r>
            <w:r w:rsidRPr="003003C0">
              <w:rPr>
                <w:rFonts w:cs="Calibri"/>
                <w:color w:val="000000"/>
                <w:sz w:val="14"/>
                <w:szCs w:val="14"/>
              </w:rPr>
              <w:t>2</w:t>
            </w:r>
          </w:p>
        </w:tc>
        <w:tc>
          <w:tcPr>
            <w:tcW w:w="683" w:type="dxa"/>
            <w:noWrap/>
            <w:vAlign w:val="center"/>
            <w:hideMark/>
          </w:tcPr>
          <w:p w14:paraId="4EE75899" w14:textId="77777777" w:rsidR="004F64EF" w:rsidRPr="003003C0" w:rsidRDefault="004F64EF" w:rsidP="00FD6B66">
            <w:pPr>
              <w:jc w:val="right"/>
              <w:rPr>
                <w:rFonts w:cs="Calibri"/>
                <w:color w:val="000000"/>
                <w:sz w:val="14"/>
                <w:szCs w:val="14"/>
              </w:rPr>
            </w:pPr>
            <w:r w:rsidRPr="003003C0">
              <w:rPr>
                <w:rFonts w:cs="Calibri"/>
                <w:color w:val="000000"/>
                <w:sz w:val="14"/>
                <w:szCs w:val="14"/>
              </w:rPr>
              <w:t>1</w:t>
            </w:r>
            <w:r>
              <w:rPr>
                <w:rFonts w:cs="Calibri"/>
                <w:color w:val="000000"/>
                <w:sz w:val="14"/>
                <w:szCs w:val="14"/>
              </w:rPr>
              <w:t>.</w:t>
            </w:r>
            <w:r w:rsidRPr="003003C0">
              <w:rPr>
                <w:rFonts w:cs="Calibri"/>
                <w:color w:val="000000"/>
                <w:sz w:val="14"/>
                <w:szCs w:val="14"/>
              </w:rPr>
              <w:t>3</w:t>
            </w:r>
          </w:p>
        </w:tc>
        <w:tc>
          <w:tcPr>
            <w:tcW w:w="683" w:type="dxa"/>
            <w:noWrap/>
            <w:vAlign w:val="center"/>
            <w:hideMark/>
          </w:tcPr>
          <w:p w14:paraId="1C3EBF80" w14:textId="77777777" w:rsidR="004F64EF" w:rsidRPr="003003C0" w:rsidRDefault="004F64EF" w:rsidP="00FD6B66">
            <w:pPr>
              <w:jc w:val="right"/>
              <w:rPr>
                <w:rFonts w:cs="Calibri"/>
                <w:color w:val="000000"/>
                <w:sz w:val="14"/>
                <w:szCs w:val="14"/>
              </w:rPr>
            </w:pPr>
            <w:r w:rsidRPr="003003C0">
              <w:rPr>
                <w:rFonts w:cs="Calibri"/>
                <w:color w:val="000000"/>
                <w:sz w:val="14"/>
                <w:szCs w:val="14"/>
              </w:rPr>
              <w:t>1</w:t>
            </w:r>
            <w:r>
              <w:rPr>
                <w:rFonts w:cs="Calibri"/>
                <w:color w:val="000000"/>
                <w:sz w:val="14"/>
                <w:szCs w:val="14"/>
              </w:rPr>
              <w:t>.</w:t>
            </w:r>
            <w:r w:rsidRPr="003003C0">
              <w:rPr>
                <w:rFonts w:cs="Calibri"/>
                <w:color w:val="000000"/>
                <w:sz w:val="14"/>
                <w:szCs w:val="14"/>
              </w:rPr>
              <w:t>4</w:t>
            </w:r>
          </w:p>
        </w:tc>
        <w:tc>
          <w:tcPr>
            <w:tcW w:w="684" w:type="dxa"/>
            <w:noWrap/>
            <w:vAlign w:val="center"/>
            <w:hideMark/>
          </w:tcPr>
          <w:p w14:paraId="2E4543C7" w14:textId="77777777" w:rsidR="004F64EF" w:rsidRPr="003003C0" w:rsidRDefault="004F64EF" w:rsidP="00FD6B66">
            <w:pPr>
              <w:jc w:val="right"/>
              <w:rPr>
                <w:rFonts w:cs="Calibri"/>
                <w:color w:val="000000"/>
                <w:sz w:val="14"/>
                <w:szCs w:val="14"/>
              </w:rPr>
            </w:pPr>
            <w:r w:rsidRPr="003003C0">
              <w:rPr>
                <w:rFonts w:cs="Calibri"/>
                <w:color w:val="000000"/>
                <w:sz w:val="14"/>
                <w:szCs w:val="14"/>
              </w:rPr>
              <w:t>1</w:t>
            </w:r>
            <w:r>
              <w:rPr>
                <w:rFonts w:cs="Calibri"/>
                <w:color w:val="000000"/>
                <w:sz w:val="14"/>
                <w:szCs w:val="14"/>
              </w:rPr>
              <w:t>.</w:t>
            </w:r>
            <w:r w:rsidRPr="003003C0">
              <w:rPr>
                <w:rFonts w:cs="Calibri"/>
                <w:color w:val="000000"/>
                <w:sz w:val="14"/>
                <w:szCs w:val="14"/>
              </w:rPr>
              <w:t>1</w:t>
            </w:r>
          </w:p>
        </w:tc>
      </w:tr>
      <w:tr w:rsidR="004F64EF" w:rsidRPr="003003C0" w14:paraId="4EC05347" w14:textId="77777777" w:rsidTr="00FD6B66">
        <w:trPr>
          <w:cnfStyle w:val="000000010000" w:firstRow="0" w:lastRow="0" w:firstColumn="0" w:lastColumn="0" w:oddVBand="0" w:evenVBand="0" w:oddHBand="0" w:evenHBand="1" w:firstRowFirstColumn="0" w:firstRowLastColumn="0" w:lastRowFirstColumn="0" w:lastRowLastColumn="0"/>
          <w:trHeight w:val="20"/>
        </w:trPr>
        <w:tc>
          <w:tcPr>
            <w:tcW w:w="4246" w:type="dxa"/>
            <w:noWrap/>
            <w:vAlign w:val="center"/>
            <w:hideMark/>
          </w:tcPr>
          <w:p w14:paraId="4243A8EA" w14:textId="77777777" w:rsidR="004F64EF" w:rsidRPr="003003C0" w:rsidRDefault="004F64EF" w:rsidP="00B22563">
            <w:pPr>
              <w:tabs>
                <w:tab w:val="left" w:pos="227"/>
              </w:tabs>
              <w:ind w:left="227" w:hanging="227"/>
              <w:jc w:val="left"/>
              <w:rPr>
                <w:rFonts w:cs="Calibri"/>
                <w:color w:val="000000"/>
                <w:sz w:val="14"/>
                <w:szCs w:val="14"/>
              </w:rPr>
            </w:pPr>
            <w:r w:rsidRPr="003003C0">
              <w:rPr>
                <w:rFonts w:cs="Calibri"/>
                <w:color w:val="000000"/>
                <w:sz w:val="14"/>
                <w:szCs w:val="14"/>
              </w:rPr>
              <w:tab/>
              <w:t xml:space="preserve">34. </w:t>
            </w:r>
            <w:r w:rsidRPr="00A777AC">
              <w:rPr>
                <w:rFonts w:cs="Calibri"/>
                <w:color w:val="000000"/>
                <w:sz w:val="14"/>
                <w:szCs w:val="14"/>
              </w:rPr>
              <w:t>Soap, organic surface-active agents, washing preparations and lubricating preparations</w:t>
            </w:r>
          </w:p>
        </w:tc>
        <w:tc>
          <w:tcPr>
            <w:tcW w:w="683" w:type="dxa"/>
            <w:noWrap/>
            <w:vAlign w:val="center"/>
            <w:hideMark/>
          </w:tcPr>
          <w:p w14:paraId="38B3E13D" w14:textId="77777777" w:rsidR="004F64EF" w:rsidRPr="003003C0" w:rsidRDefault="004F64EF" w:rsidP="00FD6B66">
            <w:pPr>
              <w:jc w:val="right"/>
              <w:rPr>
                <w:rFonts w:cs="Calibri"/>
                <w:color w:val="000000"/>
                <w:sz w:val="14"/>
                <w:szCs w:val="14"/>
              </w:rPr>
            </w:pPr>
            <w:r w:rsidRPr="003003C0">
              <w:rPr>
                <w:rFonts w:cs="Calibri"/>
                <w:color w:val="000000"/>
                <w:sz w:val="14"/>
                <w:szCs w:val="14"/>
              </w:rPr>
              <w:t>0</w:t>
            </w:r>
            <w:r>
              <w:rPr>
                <w:rFonts w:cs="Calibri"/>
                <w:color w:val="000000"/>
                <w:sz w:val="14"/>
                <w:szCs w:val="14"/>
              </w:rPr>
              <w:t>.</w:t>
            </w:r>
            <w:r w:rsidRPr="003003C0">
              <w:rPr>
                <w:rFonts w:cs="Calibri"/>
                <w:color w:val="000000"/>
                <w:sz w:val="14"/>
                <w:szCs w:val="14"/>
              </w:rPr>
              <w:t>5</w:t>
            </w:r>
          </w:p>
        </w:tc>
        <w:tc>
          <w:tcPr>
            <w:tcW w:w="683" w:type="dxa"/>
            <w:noWrap/>
            <w:vAlign w:val="center"/>
            <w:hideMark/>
          </w:tcPr>
          <w:p w14:paraId="67D4BEE5" w14:textId="77777777" w:rsidR="004F64EF" w:rsidRPr="003003C0" w:rsidRDefault="004F64EF" w:rsidP="00FD6B66">
            <w:pPr>
              <w:jc w:val="right"/>
              <w:rPr>
                <w:rFonts w:cs="Calibri"/>
                <w:color w:val="000000"/>
                <w:sz w:val="14"/>
                <w:szCs w:val="14"/>
              </w:rPr>
            </w:pPr>
            <w:r w:rsidRPr="003003C0">
              <w:rPr>
                <w:rFonts w:cs="Calibri"/>
                <w:color w:val="000000"/>
                <w:sz w:val="14"/>
                <w:szCs w:val="14"/>
              </w:rPr>
              <w:t>0</w:t>
            </w:r>
            <w:r>
              <w:rPr>
                <w:rFonts w:cs="Calibri"/>
                <w:color w:val="000000"/>
                <w:sz w:val="14"/>
                <w:szCs w:val="14"/>
              </w:rPr>
              <w:t>.</w:t>
            </w:r>
            <w:r w:rsidRPr="003003C0">
              <w:rPr>
                <w:rFonts w:cs="Calibri"/>
                <w:color w:val="000000"/>
                <w:sz w:val="14"/>
                <w:szCs w:val="14"/>
              </w:rPr>
              <w:t>3</w:t>
            </w:r>
          </w:p>
        </w:tc>
        <w:tc>
          <w:tcPr>
            <w:tcW w:w="683" w:type="dxa"/>
            <w:noWrap/>
            <w:vAlign w:val="center"/>
            <w:hideMark/>
          </w:tcPr>
          <w:p w14:paraId="67AC39F2" w14:textId="77777777" w:rsidR="004F64EF" w:rsidRPr="003003C0" w:rsidRDefault="004F64EF" w:rsidP="00FD6B66">
            <w:pPr>
              <w:jc w:val="right"/>
              <w:rPr>
                <w:rFonts w:cs="Calibri"/>
                <w:color w:val="000000"/>
                <w:sz w:val="14"/>
                <w:szCs w:val="14"/>
              </w:rPr>
            </w:pPr>
            <w:r w:rsidRPr="003003C0">
              <w:rPr>
                <w:rFonts w:cs="Calibri"/>
                <w:color w:val="000000"/>
                <w:sz w:val="14"/>
                <w:szCs w:val="14"/>
              </w:rPr>
              <w:t>0</w:t>
            </w:r>
            <w:r>
              <w:rPr>
                <w:rFonts w:cs="Calibri"/>
                <w:color w:val="000000"/>
                <w:sz w:val="14"/>
                <w:szCs w:val="14"/>
              </w:rPr>
              <w:t>.</w:t>
            </w:r>
            <w:r w:rsidRPr="003003C0">
              <w:rPr>
                <w:rFonts w:cs="Calibri"/>
                <w:color w:val="000000"/>
                <w:sz w:val="14"/>
                <w:szCs w:val="14"/>
              </w:rPr>
              <w:t>4</w:t>
            </w:r>
          </w:p>
        </w:tc>
        <w:tc>
          <w:tcPr>
            <w:tcW w:w="684" w:type="dxa"/>
            <w:noWrap/>
            <w:vAlign w:val="center"/>
            <w:hideMark/>
          </w:tcPr>
          <w:p w14:paraId="5537E230" w14:textId="77777777" w:rsidR="004F64EF" w:rsidRPr="003003C0" w:rsidRDefault="004F64EF" w:rsidP="00FD6B66">
            <w:pPr>
              <w:jc w:val="right"/>
              <w:rPr>
                <w:rFonts w:cs="Calibri"/>
                <w:color w:val="000000"/>
                <w:sz w:val="14"/>
                <w:szCs w:val="14"/>
              </w:rPr>
            </w:pPr>
            <w:r w:rsidRPr="003003C0">
              <w:rPr>
                <w:rFonts w:cs="Calibri"/>
                <w:color w:val="000000"/>
                <w:sz w:val="14"/>
                <w:szCs w:val="14"/>
              </w:rPr>
              <w:t>0</w:t>
            </w:r>
            <w:r>
              <w:rPr>
                <w:rFonts w:cs="Calibri"/>
                <w:color w:val="000000"/>
                <w:sz w:val="14"/>
                <w:szCs w:val="14"/>
              </w:rPr>
              <w:t>.</w:t>
            </w:r>
            <w:r w:rsidRPr="003003C0">
              <w:rPr>
                <w:rFonts w:cs="Calibri"/>
                <w:color w:val="000000"/>
                <w:sz w:val="14"/>
                <w:szCs w:val="14"/>
              </w:rPr>
              <w:t>3</w:t>
            </w:r>
          </w:p>
        </w:tc>
        <w:tc>
          <w:tcPr>
            <w:tcW w:w="683" w:type="dxa"/>
            <w:noWrap/>
            <w:vAlign w:val="center"/>
            <w:hideMark/>
          </w:tcPr>
          <w:p w14:paraId="5BED2D25" w14:textId="77777777" w:rsidR="004F64EF" w:rsidRPr="003003C0" w:rsidRDefault="004F64EF" w:rsidP="00FD6B66">
            <w:pPr>
              <w:jc w:val="right"/>
              <w:rPr>
                <w:rFonts w:cs="Calibri"/>
                <w:color w:val="000000"/>
                <w:sz w:val="14"/>
                <w:szCs w:val="14"/>
              </w:rPr>
            </w:pPr>
            <w:r w:rsidRPr="003003C0">
              <w:rPr>
                <w:rFonts w:cs="Calibri"/>
                <w:color w:val="000000"/>
                <w:sz w:val="14"/>
                <w:szCs w:val="14"/>
              </w:rPr>
              <w:t>0</w:t>
            </w:r>
            <w:r>
              <w:rPr>
                <w:rFonts w:cs="Calibri"/>
                <w:color w:val="000000"/>
                <w:sz w:val="14"/>
                <w:szCs w:val="14"/>
              </w:rPr>
              <w:t>.</w:t>
            </w:r>
            <w:r w:rsidRPr="003003C0">
              <w:rPr>
                <w:rFonts w:cs="Calibri"/>
                <w:color w:val="000000"/>
                <w:sz w:val="14"/>
                <w:szCs w:val="14"/>
              </w:rPr>
              <w:t>3</w:t>
            </w:r>
          </w:p>
        </w:tc>
        <w:tc>
          <w:tcPr>
            <w:tcW w:w="683" w:type="dxa"/>
            <w:noWrap/>
            <w:vAlign w:val="center"/>
            <w:hideMark/>
          </w:tcPr>
          <w:p w14:paraId="34E9B8E3" w14:textId="77777777" w:rsidR="004F64EF" w:rsidRPr="003003C0" w:rsidRDefault="004F64EF" w:rsidP="00FD6B66">
            <w:pPr>
              <w:jc w:val="right"/>
              <w:rPr>
                <w:rFonts w:cs="Calibri"/>
                <w:color w:val="000000"/>
                <w:sz w:val="14"/>
                <w:szCs w:val="14"/>
              </w:rPr>
            </w:pPr>
            <w:r w:rsidRPr="003003C0">
              <w:rPr>
                <w:rFonts w:cs="Calibri"/>
                <w:color w:val="000000"/>
                <w:sz w:val="14"/>
                <w:szCs w:val="14"/>
              </w:rPr>
              <w:t>0</w:t>
            </w:r>
            <w:r>
              <w:rPr>
                <w:rFonts w:cs="Calibri"/>
                <w:color w:val="000000"/>
                <w:sz w:val="14"/>
                <w:szCs w:val="14"/>
              </w:rPr>
              <w:t>.</w:t>
            </w:r>
            <w:r w:rsidRPr="003003C0">
              <w:rPr>
                <w:rFonts w:cs="Calibri"/>
                <w:color w:val="000000"/>
                <w:sz w:val="14"/>
                <w:szCs w:val="14"/>
              </w:rPr>
              <w:t>5</w:t>
            </w:r>
          </w:p>
        </w:tc>
        <w:tc>
          <w:tcPr>
            <w:tcW w:w="684" w:type="dxa"/>
            <w:noWrap/>
            <w:vAlign w:val="center"/>
            <w:hideMark/>
          </w:tcPr>
          <w:p w14:paraId="0566AB25" w14:textId="77777777" w:rsidR="004F64EF" w:rsidRPr="003003C0" w:rsidRDefault="004F64EF" w:rsidP="00FD6B66">
            <w:pPr>
              <w:jc w:val="right"/>
              <w:rPr>
                <w:rFonts w:cs="Calibri"/>
                <w:color w:val="000000"/>
                <w:sz w:val="14"/>
                <w:szCs w:val="14"/>
              </w:rPr>
            </w:pPr>
            <w:r w:rsidRPr="003003C0">
              <w:rPr>
                <w:rFonts w:cs="Calibri"/>
                <w:color w:val="000000"/>
                <w:sz w:val="14"/>
                <w:szCs w:val="14"/>
              </w:rPr>
              <w:t>0</w:t>
            </w:r>
            <w:r>
              <w:rPr>
                <w:rFonts w:cs="Calibri"/>
                <w:color w:val="000000"/>
                <w:sz w:val="14"/>
                <w:szCs w:val="14"/>
              </w:rPr>
              <w:t>.</w:t>
            </w:r>
            <w:r w:rsidRPr="003003C0">
              <w:rPr>
                <w:rFonts w:cs="Calibri"/>
                <w:color w:val="000000"/>
                <w:sz w:val="14"/>
                <w:szCs w:val="14"/>
              </w:rPr>
              <w:t>7</w:t>
            </w:r>
          </w:p>
        </w:tc>
      </w:tr>
      <w:tr w:rsidR="004F64EF" w:rsidRPr="003003C0" w14:paraId="42430CA8" w14:textId="77777777" w:rsidTr="00FD6B66">
        <w:trPr>
          <w:trHeight w:val="20"/>
        </w:trPr>
        <w:tc>
          <w:tcPr>
            <w:tcW w:w="4246" w:type="dxa"/>
            <w:noWrap/>
            <w:vAlign w:val="center"/>
            <w:hideMark/>
          </w:tcPr>
          <w:p w14:paraId="4347A468" w14:textId="77777777" w:rsidR="004F64EF" w:rsidRPr="003003C0" w:rsidRDefault="004F64EF" w:rsidP="00FD6B66">
            <w:pPr>
              <w:jc w:val="left"/>
              <w:rPr>
                <w:rFonts w:cs="Calibri"/>
                <w:color w:val="000000"/>
                <w:sz w:val="14"/>
                <w:szCs w:val="14"/>
              </w:rPr>
            </w:pPr>
            <w:r w:rsidRPr="003003C0">
              <w:rPr>
                <w:rFonts w:cs="Calibri"/>
                <w:color w:val="000000"/>
                <w:sz w:val="14"/>
                <w:szCs w:val="14"/>
              </w:rPr>
              <w:t xml:space="preserve">7 - </w:t>
            </w:r>
            <w:r w:rsidRPr="00A777AC">
              <w:rPr>
                <w:rFonts w:cs="Calibri"/>
                <w:color w:val="000000"/>
                <w:sz w:val="14"/>
                <w:szCs w:val="14"/>
              </w:rPr>
              <w:t>Plastics and articles thereof</w:t>
            </w:r>
          </w:p>
        </w:tc>
        <w:tc>
          <w:tcPr>
            <w:tcW w:w="683" w:type="dxa"/>
            <w:noWrap/>
            <w:vAlign w:val="center"/>
            <w:hideMark/>
          </w:tcPr>
          <w:p w14:paraId="2E7B0CEA" w14:textId="77777777" w:rsidR="004F64EF" w:rsidRPr="003003C0" w:rsidRDefault="004F64EF" w:rsidP="00FD6B66">
            <w:pPr>
              <w:jc w:val="right"/>
              <w:rPr>
                <w:rFonts w:cs="Calibri"/>
                <w:color w:val="000000"/>
                <w:sz w:val="14"/>
                <w:szCs w:val="14"/>
              </w:rPr>
            </w:pPr>
            <w:r w:rsidRPr="003003C0">
              <w:rPr>
                <w:rFonts w:cs="Calibri"/>
                <w:color w:val="000000"/>
                <w:sz w:val="14"/>
                <w:szCs w:val="14"/>
              </w:rPr>
              <w:t>2</w:t>
            </w:r>
            <w:r>
              <w:rPr>
                <w:rFonts w:cs="Calibri"/>
                <w:color w:val="000000"/>
                <w:sz w:val="14"/>
                <w:szCs w:val="14"/>
              </w:rPr>
              <w:t>.</w:t>
            </w:r>
            <w:r w:rsidRPr="003003C0">
              <w:rPr>
                <w:rFonts w:cs="Calibri"/>
                <w:color w:val="000000"/>
                <w:sz w:val="14"/>
                <w:szCs w:val="14"/>
              </w:rPr>
              <w:t>5</w:t>
            </w:r>
          </w:p>
        </w:tc>
        <w:tc>
          <w:tcPr>
            <w:tcW w:w="683" w:type="dxa"/>
            <w:noWrap/>
            <w:vAlign w:val="center"/>
            <w:hideMark/>
          </w:tcPr>
          <w:p w14:paraId="41AB2C66" w14:textId="77777777" w:rsidR="004F64EF" w:rsidRPr="003003C0" w:rsidRDefault="004F64EF" w:rsidP="00FD6B66">
            <w:pPr>
              <w:jc w:val="right"/>
              <w:rPr>
                <w:rFonts w:cs="Calibri"/>
                <w:color w:val="000000"/>
                <w:sz w:val="14"/>
                <w:szCs w:val="14"/>
              </w:rPr>
            </w:pPr>
            <w:r w:rsidRPr="003003C0">
              <w:rPr>
                <w:rFonts w:cs="Calibri"/>
                <w:color w:val="000000"/>
                <w:sz w:val="14"/>
                <w:szCs w:val="14"/>
              </w:rPr>
              <w:t>2</w:t>
            </w:r>
            <w:r>
              <w:rPr>
                <w:rFonts w:cs="Calibri"/>
                <w:color w:val="000000"/>
                <w:sz w:val="14"/>
                <w:szCs w:val="14"/>
              </w:rPr>
              <w:t>.</w:t>
            </w:r>
            <w:r w:rsidRPr="003003C0">
              <w:rPr>
                <w:rFonts w:cs="Calibri"/>
                <w:color w:val="000000"/>
                <w:sz w:val="14"/>
                <w:szCs w:val="14"/>
              </w:rPr>
              <w:t>4</w:t>
            </w:r>
          </w:p>
        </w:tc>
        <w:tc>
          <w:tcPr>
            <w:tcW w:w="683" w:type="dxa"/>
            <w:noWrap/>
            <w:vAlign w:val="center"/>
            <w:hideMark/>
          </w:tcPr>
          <w:p w14:paraId="5ED31228" w14:textId="77777777" w:rsidR="004F64EF" w:rsidRPr="003003C0" w:rsidRDefault="004F64EF" w:rsidP="00FD6B66">
            <w:pPr>
              <w:jc w:val="right"/>
              <w:rPr>
                <w:rFonts w:cs="Calibri"/>
                <w:color w:val="000000"/>
                <w:sz w:val="14"/>
                <w:szCs w:val="14"/>
              </w:rPr>
            </w:pPr>
            <w:r w:rsidRPr="003003C0">
              <w:rPr>
                <w:rFonts w:cs="Calibri"/>
                <w:color w:val="000000"/>
                <w:sz w:val="14"/>
                <w:szCs w:val="14"/>
              </w:rPr>
              <w:t>2</w:t>
            </w:r>
            <w:r>
              <w:rPr>
                <w:rFonts w:cs="Calibri"/>
                <w:color w:val="000000"/>
                <w:sz w:val="14"/>
                <w:szCs w:val="14"/>
              </w:rPr>
              <w:t>.</w:t>
            </w:r>
            <w:r w:rsidRPr="003003C0">
              <w:rPr>
                <w:rFonts w:cs="Calibri"/>
                <w:color w:val="000000"/>
                <w:sz w:val="14"/>
                <w:szCs w:val="14"/>
              </w:rPr>
              <w:t>3</w:t>
            </w:r>
          </w:p>
        </w:tc>
        <w:tc>
          <w:tcPr>
            <w:tcW w:w="684" w:type="dxa"/>
            <w:noWrap/>
            <w:vAlign w:val="center"/>
            <w:hideMark/>
          </w:tcPr>
          <w:p w14:paraId="626C5ED9" w14:textId="77777777" w:rsidR="004F64EF" w:rsidRPr="003003C0" w:rsidRDefault="004F64EF" w:rsidP="00FD6B66">
            <w:pPr>
              <w:jc w:val="right"/>
              <w:rPr>
                <w:rFonts w:cs="Calibri"/>
                <w:color w:val="000000"/>
                <w:sz w:val="14"/>
                <w:szCs w:val="14"/>
              </w:rPr>
            </w:pPr>
            <w:r w:rsidRPr="003003C0">
              <w:rPr>
                <w:rFonts w:cs="Calibri"/>
                <w:color w:val="000000"/>
                <w:sz w:val="14"/>
                <w:szCs w:val="14"/>
              </w:rPr>
              <w:t>2</w:t>
            </w:r>
            <w:r>
              <w:rPr>
                <w:rFonts w:cs="Calibri"/>
                <w:color w:val="000000"/>
                <w:sz w:val="14"/>
                <w:szCs w:val="14"/>
              </w:rPr>
              <w:t>.</w:t>
            </w:r>
            <w:r w:rsidRPr="003003C0">
              <w:rPr>
                <w:rFonts w:cs="Calibri"/>
                <w:color w:val="000000"/>
                <w:sz w:val="14"/>
                <w:szCs w:val="14"/>
              </w:rPr>
              <w:t>6</w:t>
            </w:r>
          </w:p>
        </w:tc>
        <w:tc>
          <w:tcPr>
            <w:tcW w:w="683" w:type="dxa"/>
            <w:noWrap/>
            <w:vAlign w:val="center"/>
            <w:hideMark/>
          </w:tcPr>
          <w:p w14:paraId="727F8E42" w14:textId="77777777" w:rsidR="004F64EF" w:rsidRPr="003003C0" w:rsidRDefault="004F64EF" w:rsidP="00FD6B66">
            <w:pPr>
              <w:jc w:val="right"/>
              <w:rPr>
                <w:rFonts w:cs="Calibri"/>
                <w:color w:val="000000"/>
                <w:sz w:val="14"/>
                <w:szCs w:val="14"/>
              </w:rPr>
            </w:pPr>
            <w:r w:rsidRPr="003003C0">
              <w:rPr>
                <w:rFonts w:cs="Calibri"/>
                <w:color w:val="000000"/>
                <w:sz w:val="14"/>
                <w:szCs w:val="14"/>
              </w:rPr>
              <w:t>2</w:t>
            </w:r>
            <w:r>
              <w:rPr>
                <w:rFonts w:cs="Calibri"/>
                <w:color w:val="000000"/>
                <w:sz w:val="14"/>
                <w:szCs w:val="14"/>
              </w:rPr>
              <w:t>.</w:t>
            </w:r>
            <w:r w:rsidRPr="003003C0">
              <w:rPr>
                <w:rFonts w:cs="Calibri"/>
                <w:color w:val="000000"/>
                <w:sz w:val="14"/>
                <w:szCs w:val="14"/>
              </w:rPr>
              <w:t>4</w:t>
            </w:r>
          </w:p>
        </w:tc>
        <w:tc>
          <w:tcPr>
            <w:tcW w:w="683" w:type="dxa"/>
            <w:noWrap/>
            <w:vAlign w:val="center"/>
            <w:hideMark/>
          </w:tcPr>
          <w:p w14:paraId="22817B9B" w14:textId="77777777" w:rsidR="004F64EF" w:rsidRPr="003003C0" w:rsidRDefault="004F64EF" w:rsidP="00FD6B66">
            <w:pPr>
              <w:jc w:val="right"/>
              <w:rPr>
                <w:rFonts w:cs="Calibri"/>
                <w:color w:val="000000"/>
                <w:sz w:val="14"/>
                <w:szCs w:val="14"/>
              </w:rPr>
            </w:pPr>
            <w:r w:rsidRPr="003003C0">
              <w:rPr>
                <w:rFonts w:cs="Calibri"/>
                <w:color w:val="000000"/>
                <w:sz w:val="14"/>
                <w:szCs w:val="14"/>
              </w:rPr>
              <w:t>2</w:t>
            </w:r>
            <w:r>
              <w:rPr>
                <w:rFonts w:cs="Calibri"/>
                <w:color w:val="000000"/>
                <w:sz w:val="14"/>
                <w:szCs w:val="14"/>
              </w:rPr>
              <w:t>.</w:t>
            </w:r>
            <w:r w:rsidRPr="003003C0">
              <w:rPr>
                <w:rFonts w:cs="Calibri"/>
                <w:color w:val="000000"/>
                <w:sz w:val="14"/>
                <w:szCs w:val="14"/>
              </w:rPr>
              <w:t>9</w:t>
            </w:r>
          </w:p>
        </w:tc>
        <w:tc>
          <w:tcPr>
            <w:tcW w:w="684" w:type="dxa"/>
            <w:noWrap/>
            <w:vAlign w:val="center"/>
            <w:hideMark/>
          </w:tcPr>
          <w:p w14:paraId="5C6FA613" w14:textId="77777777" w:rsidR="004F64EF" w:rsidRPr="003003C0" w:rsidRDefault="004F64EF" w:rsidP="00FD6B66">
            <w:pPr>
              <w:jc w:val="right"/>
              <w:rPr>
                <w:rFonts w:cs="Calibri"/>
                <w:color w:val="000000"/>
                <w:sz w:val="14"/>
                <w:szCs w:val="14"/>
              </w:rPr>
            </w:pPr>
            <w:r w:rsidRPr="003003C0">
              <w:rPr>
                <w:rFonts w:cs="Calibri"/>
                <w:color w:val="000000"/>
                <w:sz w:val="14"/>
                <w:szCs w:val="14"/>
              </w:rPr>
              <w:t>3</w:t>
            </w:r>
            <w:r>
              <w:rPr>
                <w:rFonts w:cs="Calibri"/>
                <w:color w:val="000000"/>
                <w:sz w:val="14"/>
                <w:szCs w:val="14"/>
              </w:rPr>
              <w:t>.</w:t>
            </w:r>
            <w:r w:rsidRPr="003003C0">
              <w:rPr>
                <w:rFonts w:cs="Calibri"/>
                <w:color w:val="000000"/>
                <w:sz w:val="14"/>
                <w:szCs w:val="14"/>
              </w:rPr>
              <w:t>5</w:t>
            </w:r>
          </w:p>
        </w:tc>
      </w:tr>
      <w:tr w:rsidR="004F64EF" w:rsidRPr="003003C0" w14:paraId="7B748109" w14:textId="77777777" w:rsidTr="00FD6B66">
        <w:trPr>
          <w:cnfStyle w:val="000000010000" w:firstRow="0" w:lastRow="0" w:firstColumn="0" w:lastColumn="0" w:oddVBand="0" w:evenVBand="0" w:oddHBand="0" w:evenHBand="1" w:firstRowFirstColumn="0" w:firstRowLastColumn="0" w:lastRowFirstColumn="0" w:lastRowLastColumn="0"/>
          <w:trHeight w:val="20"/>
        </w:trPr>
        <w:tc>
          <w:tcPr>
            <w:tcW w:w="4246" w:type="dxa"/>
            <w:noWrap/>
            <w:vAlign w:val="center"/>
            <w:hideMark/>
          </w:tcPr>
          <w:p w14:paraId="21495622" w14:textId="77777777" w:rsidR="004F64EF" w:rsidRPr="003003C0" w:rsidRDefault="004F64EF" w:rsidP="00FD6B66">
            <w:pPr>
              <w:tabs>
                <w:tab w:val="left" w:pos="227"/>
              </w:tabs>
              <w:jc w:val="left"/>
              <w:rPr>
                <w:rFonts w:cs="Calibri"/>
                <w:color w:val="000000"/>
                <w:sz w:val="14"/>
                <w:szCs w:val="14"/>
              </w:rPr>
            </w:pPr>
            <w:r w:rsidRPr="003003C0">
              <w:rPr>
                <w:rFonts w:cs="Calibri"/>
                <w:color w:val="000000"/>
                <w:sz w:val="14"/>
                <w:szCs w:val="14"/>
              </w:rPr>
              <w:tab/>
              <w:t xml:space="preserve">39. </w:t>
            </w:r>
            <w:r w:rsidRPr="00A777AC">
              <w:rPr>
                <w:rFonts w:cs="Calibri"/>
                <w:color w:val="000000"/>
                <w:sz w:val="14"/>
                <w:szCs w:val="14"/>
              </w:rPr>
              <w:t>Plastics and articles thereof</w:t>
            </w:r>
          </w:p>
        </w:tc>
        <w:tc>
          <w:tcPr>
            <w:tcW w:w="683" w:type="dxa"/>
            <w:noWrap/>
            <w:vAlign w:val="center"/>
            <w:hideMark/>
          </w:tcPr>
          <w:p w14:paraId="157A2CAC" w14:textId="77777777" w:rsidR="004F64EF" w:rsidRPr="003003C0" w:rsidRDefault="004F64EF" w:rsidP="00FD6B66">
            <w:pPr>
              <w:jc w:val="right"/>
              <w:rPr>
                <w:rFonts w:cs="Calibri"/>
                <w:color w:val="000000"/>
                <w:sz w:val="14"/>
                <w:szCs w:val="14"/>
              </w:rPr>
            </w:pPr>
            <w:r w:rsidRPr="003003C0">
              <w:rPr>
                <w:rFonts w:cs="Calibri"/>
                <w:color w:val="000000"/>
                <w:sz w:val="14"/>
                <w:szCs w:val="14"/>
              </w:rPr>
              <w:t>2</w:t>
            </w:r>
            <w:r>
              <w:rPr>
                <w:rFonts w:cs="Calibri"/>
                <w:color w:val="000000"/>
                <w:sz w:val="14"/>
                <w:szCs w:val="14"/>
              </w:rPr>
              <w:t>.</w:t>
            </w:r>
            <w:r w:rsidRPr="003003C0">
              <w:rPr>
                <w:rFonts w:cs="Calibri"/>
                <w:color w:val="000000"/>
                <w:sz w:val="14"/>
                <w:szCs w:val="14"/>
              </w:rPr>
              <w:t>5</w:t>
            </w:r>
          </w:p>
        </w:tc>
        <w:tc>
          <w:tcPr>
            <w:tcW w:w="683" w:type="dxa"/>
            <w:noWrap/>
            <w:vAlign w:val="center"/>
            <w:hideMark/>
          </w:tcPr>
          <w:p w14:paraId="0B107F8E" w14:textId="77777777" w:rsidR="004F64EF" w:rsidRPr="003003C0" w:rsidRDefault="004F64EF" w:rsidP="00FD6B66">
            <w:pPr>
              <w:jc w:val="right"/>
              <w:rPr>
                <w:rFonts w:cs="Calibri"/>
                <w:color w:val="000000"/>
                <w:sz w:val="14"/>
                <w:szCs w:val="14"/>
              </w:rPr>
            </w:pPr>
            <w:r w:rsidRPr="003003C0">
              <w:rPr>
                <w:rFonts w:cs="Calibri"/>
                <w:color w:val="000000"/>
                <w:sz w:val="14"/>
                <w:szCs w:val="14"/>
              </w:rPr>
              <w:t>2</w:t>
            </w:r>
            <w:r>
              <w:rPr>
                <w:rFonts w:cs="Calibri"/>
                <w:color w:val="000000"/>
                <w:sz w:val="14"/>
                <w:szCs w:val="14"/>
              </w:rPr>
              <w:t>.</w:t>
            </w:r>
            <w:r w:rsidRPr="003003C0">
              <w:rPr>
                <w:rFonts w:cs="Calibri"/>
                <w:color w:val="000000"/>
                <w:sz w:val="14"/>
                <w:szCs w:val="14"/>
              </w:rPr>
              <w:t>3</w:t>
            </w:r>
          </w:p>
        </w:tc>
        <w:tc>
          <w:tcPr>
            <w:tcW w:w="683" w:type="dxa"/>
            <w:noWrap/>
            <w:vAlign w:val="center"/>
            <w:hideMark/>
          </w:tcPr>
          <w:p w14:paraId="12FA1F7D" w14:textId="77777777" w:rsidR="004F64EF" w:rsidRPr="003003C0" w:rsidRDefault="004F64EF" w:rsidP="00FD6B66">
            <w:pPr>
              <w:jc w:val="right"/>
              <w:rPr>
                <w:rFonts w:cs="Calibri"/>
                <w:color w:val="000000"/>
                <w:sz w:val="14"/>
                <w:szCs w:val="14"/>
              </w:rPr>
            </w:pPr>
            <w:r w:rsidRPr="003003C0">
              <w:rPr>
                <w:rFonts w:cs="Calibri"/>
                <w:color w:val="000000"/>
                <w:sz w:val="14"/>
                <w:szCs w:val="14"/>
              </w:rPr>
              <w:t>2</w:t>
            </w:r>
            <w:r>
              <w:rPr>
                <w:rFonts w:cs="Calibri"/>
                <w:color w:val="000000"/>
                <w:sz w:val="14"/>
                <w:szCs w:val="14"/>
              </w:rPr>
              <w:t>.</w:t>
            </w:r>
            <w:r w:rsidRPr="003003C0">
              <w:rPr>
                <w:rFonts w:cs="Calibri"/>
                <w:color w:val="000000"/>
                <w:sz w:val="14"/>
                <w:szCs w:val="14"/>
              </w:rPr>
              <w:t>3</w:t>
            </w:r>
          </w:p>
        </w:tc>
        <w:tc>
          <w:tcPr>
            <w:tcW w:w="684" w:type="dxa"/>
            <w:noWrap/>
            <w:vAlign w:val="center"/>
            <w:hideMark/>
          </w:tcPr>
          <w:p w14:paraId="2096BB08" w14:textId="77777777" w:rsidR="004F64EF" w:rsidRPr="003003C0" w:rsidRDefault="004F64EF" w:rsidP="00FD6B66">
            <w:pPr>
              <w:jc w:val="right"/>
              <w:rPr>
                <w:rFonts w:cs="Calibri"/>
                <w:color w:val="000000"/>
                <w:sz w:val="14"/>
                <w:szCs w:val="14"/>
              </w:rPr>
            </w:pPr>
            <w:r w:rsidRPr="003003C0">
              <w:rPr>
                <w:rFonts w:cs="Calibri"/>
                <w:color w:val="000000"/>
                <w:sz w:val="14"/>
                <w:szCs w:val="14"/>
              </w:rPr>
              <w:t>2</w:t>
            </w:r>
            <w:r>
              <w:rPr>
                <w:rFonts w:cs="Calibri"/>
                <w:color w:val="000000"/>
                <w:sz w:val="14"/>
                <w:szCs w:val="14"/>
              </w:rPr>
              <w:t>.</w:t>
            </w:r>
            <w:r w:rsidRPr="003003C0">
              <w:rPr>
                <w:rFonts w:cs="Calibri"/>
                <w:color w:val="000000"/>
                <w:sz w:val="14"/>
                <w:szCs w:val="14"/>
              </w:rPr>
              <w:t>6</w:t>
            </w:r>
          </w:p>
        </w:tc>
        <w:tc>
          <w:tcPr>
            <w:tcW w:w="683" w:type="dxa"/>
            <w:noWrap/>
            <w:vAlign w:val="center"/>
            <w:hideMark/>
          </w:tcPr>
          <w:p w14:paraId="5191D35C" w14:textId="77777777" w:rsidR="004F64EF" w:rsidRPr="003003C0" w:rsidRDefault="004F64EF" w:rsidP="00FD6B66">
            <w:pPr>
              <w:jc w:val="right"/>
              <w:rPr>
                <w:rFonts w:cs="Calibri"/>
                <w:color w:val="000000"/>
                <w:sz w:val="14"/>
                <w:szCs w:val="14"/>
              </w:rPr>
            </w:pPr>
            <w:r w:rsidRPr="003003C0">
              <w:rPr>
                <w:rFonts w:cs="Calibri"/>
                <w:color w:val="000000"/>
                <w:sz w:val="14"/>
                <w:szCs w:val="14"/>
              </w:rPr>
              <w:t>2</w:t>
            </w:r>
            <w:r>
              <w:rPr>
                <w:rFonts w:cs="Calibri"/>
                <w:color w:val="000000"/>
                <w:sz w:val="14"/>
                <w:szCs w:val="14"/>
              </w:rPr>
              <w:t>.</w:t>
            </w:r>
            <w:r w:rsidRPr="003003C0">
              <w:rPr>
                <w:rFonts w:cs="Calibri"/>
                <w:color w:val="000000"/>
                <w:sz w:val="14"/>
                <w:szCs w:val="14"/>
              </w:rPr>
              <w:t>4</w:t>
            </w:r>
          </w:p>
        </w:tc>
        <w:tc>
          <w:tcPr>
            <w:tcW w:w="683" w:type="dxa"/>
            <w:noWrap/>
            <w:vAlign w:val="center"/>
            <w:hideMark/>
          </w:tcPr>
          <w:p w14:paraId="626645C3" w14:textId="77777777" w:rsidR="004F64EF" w:rsidRPr="003003C0" w:rsidRDefault="004F64EF" w:rsidP="00FD6B66">
            <w:pPr>
              <w:jc w:val="right"/>
              <w:rPr>
                <w:rFonts w:cs="Calibri"/>
                <w:color w:val="000000"/>
                <w:sz w:val="14"/>
                <w:szCs w:val="14"/>
              </w:rPr>
            </w:pPr>
            <w:r w:rsidRPr="003003C0">
              <w:rPr>
                <w:rFonts w:cs="Calibri"/>
                <w:color w:val="000000"/>
                <w:sz w:val="14"/>
                <w:szCs w:val="14"/>
              </w:rPr>
              <w:t>2</w:t>
            </w:r>
            <w:r>
              <w:rPr>
                <w:rFonts w:cs="Calibri"/>
                <w:color w:val="000000"/>
                <w:sz w:val="14"/>
                <w:szCs w:val="14"/>
              </w:rPr>
              <w:t>.</w:t>
            </w:r>
            <w:r w:rsidRPr="003003C0">
              <w:rPr>
                <w:rFonts w:cs="Calibri"/>
                <w:color w:val="000000"/>
                <w:sz w:val="14"/>
                <w:szCs w:val="14"/>
              </w:rPr>
              <w:t>9</w:t>
            </w:r>
          </w:p>
        </w:tc>
        <w:tc>
          <w:tcPr>
            <w:tcW w:w="684" w:type="dxa"/>
            <w:noWrap/>
            <w:vAlign w:val="center"/>
            <w:hideMark/>
          </w:tcPr>
          <w:p w14:paraId="088F45C6" w14:textId="77777777" w:rsidR="004F64EF" w:rsidRPr="003003C0" w:rsidRDefault="004F64EF" w:rsidP="00FD6B66">
            <w:pPr>
              <w:jc w:val="right"/>
              <w:rPr>
                <w:rFonts w:cs="Calibri"/>
                <w:color w:val="000000"/>
                <w:sz w:val="14"/>
                <w:szCs w:val="14"/>
              </w:rPr>
            </w:pPr>
            <w:r w:rsidRPr="003003C0">
              <w:rPr>
                <w:rFonts w:cs="Calibri"/>
                <w:color w:val="000000"/>
                <w:sz w:val="14"/>
                <w:szCs w:val="14"/>
              </w:rPr>
              <w:t>3</w:t>
            </w:r>
            <w:r>
              <w:rPr>
                <w:rFonts w:cs="Calibri"/>
                <w:color w:val="000000"/>
                <w:sz w:val="14"/>
                <w:szCs w:val="14"/>
              </w:rPr>
              <w:t>.</w:t>
            </w:r>
            <w:r w:rsidRPr="003003C0">
              <w:rPr>
                <w:rFonts w:cs="Calibri"/>
                <w:color w:val="000000"/>
                <w:sz w:val="14"/>
                <w:szCs w:val="14"/>
              </w:rPr>
              <w:t>5</w:t>
            </w:r>
          </w:p>
        </w:tc>
      </w:tr>
      <w:tr w:rsidR="004F64EF" w:rsidRPr="003003C0" w14:paraId="7BCA48FF" w14:textId="77777777" w:rsidTr="00FD6B66">
        <w:trPr>
          <w:trHeight w:val="20"/>
        </w:trPr>
        <w:tc>
          <w:tcPr>
            <w:tcW w:w="4246" w:type="dxa"/>
            <w:noWrap/>
            <w:vAlign w:val="center"/>
            <w:hideMark/>
          </w:tcPr>
          <w:p w14:paraId="3F873ABE" w14:textId="77777777" w:rsidR="004F64EF" w:rsidRPr="003003C0" w:rsidRDefault="004F64EF" w:rsidP="00FD6B66">
            <w:pPr>
              <w:jc w:val="left"/>
              <w:rPr>
                <w:rFonts w:cs="Calibri"/>
                <w:color w:val="000000"/>
                <w:sz w:val="14"/>
                <w:szCs w:val="14"/>
              </w:rPr>
            </w:pPr>
            <w:r w:rsidRPr="003003C0">
              <w:rPr>
                <w:rFonts w:cs="Calibri"/>
                <w:color w:val="000000"/>
                <w:sz w:val="14"/>
                <w:szCs w:val="14"/>
              </w:rPr>
              <w:t xml:space="preserve">8 - </w:t>
            </w:r>
            <w:r w:rsidRPr="00A777AC">
              <w:rPr>
                <w:rFonts w:cs="Calibri"/>
                <w:color w:val="000000"/>
                <w:sz w:val="14"/>
                <w:szCs w:val="14"/>
              </w:rPr>
              <w:t xml:space="preserve">Raw hides and skins, leather, </w:t>
            </w:r>
            <w:proofErr w:type="spellStart"/>
            <w:r w:rsidRPr="00A777AC">
              <w:rPr>
                <w:rFonts w:cs="Calibri"/>
                <w:color w:val="000000"/>
                <w:sz w:val="14"/>
                <w:szCs w:val="14"/>
              </w:rPr>
              <w:t>furskins</w:t>
            </w:r>
            <w:proofErr w:type="spellEnd"/>
            <w:r w:rsidRPr="00A777AC">
              <w:rPr>
                <w:rFonts w:cs="Calibri"/>
                <w:color w:val="000000"/>
                <w:sz w:val="14"/>
                <w:szCs w:val="14"/>
              </w:rPr>
              <w:t xml:space="preserve"> and articles thereof; saddlery and harness</w:t>
            </w:r>
          </w:p>
        </w:tc>
        <w:tc>
          <w:tcPr>
            <w:tcW w:w="683" w:type="dxa"/>
            <w:noWrap/>
            <w:vAlign w:val="center"/>
            <w:hideMark/>
          </w:tcPr>
          <w:p w14:paraId="41E56A42" w14:textId="77777777" w:rsidR="004F64EF" w:rsidRPr="003003C0" w:rsidRDefault="004F64EF" w:rsidP="00FD6B66">
            <w:pPr>
              <w:jc w:val="right"/>
              <w:rPr>
                <w:rFonts w:cs="Calibri"/>
                <w:color w:val="000000"/>
                <w:sz w:val="14"/>
                <w:szCs w:val="14"/>
              </w:rPr>
            </w:pPr>
            <w:r w:rsidRPr="003003C0">
              <w:rPr>
                <w:rFonts w:cs="Calibri"/>
                <w:color w:val="000000"/>
                <w:sz w:val="14"/>
                <w:szCs w:val="14"/>
              </w:rPr>
              <w:t>0</w:t>
            </w:r>
            <w:r>
              <w:rPr>
                <w:rFonts w:cs="Calibri"/>
                <w:color w:val="000000"/>
                <w:sz w:val="14"/>
                <w:szCs w:val="14"/>
              </w:rPr>
              <w:t>.</w:t>
            </w:r>
            <w:r w:rsidRPr="003003C0">
              <w:rPr>
                <w:rFonts w:cs="Calibri"/>
                <w:color w:val="000000"/>
                <w:sz w:val="14"/>
                <w:szCs w:val="14"/>
              </w:rPr>
              <w:t>3</w:t>
            </w:r>
          </w:p>
        </w:tc>
        <w:tc>
          <w:tcPr>
            <w:tcW w:w="683" w:type="dxa"/>
            <w:noWrap/>
            <w:vAlign w:val="center"/>
            <w:hideMark/>
          </w:tcPr>
          <w:p w14:paraId="192A3AA6" w14:textId="77777777" w:rsidR="004F64EF" w:rsidRPr="003003C0" w:rsidRDefault="004F64EF" w:rsidP="00FD6B66">
            <w:pPr>
              <w:jc w:val="right"/>
              <w:rPr>
                <w:rFonts w:cs="Calibri"/>
                <w:color w:val="000000"/>
                <w:sz w:val="14"/>
                <w:szCs w:val="14"/>
              </w:rPr>
            </w:pPr>
            <w:r w:rsidRPr="003003C0">
              <w:rPr>
                <w:rFonts w:cs="Calibri"/>
                <w:color w:val="000000"/>
                <w:sz w:val="14"/>
                <w:szCs w:val="14"/>
              </w:rPr>
              <w:t>0</w:t>
            </w:r>
            <w:r>
              <w:rPr>
                <w:rFonts w:cs="Calibri"/>
                <w:color w:val="000000"/>
                <w:sz w:val="14"/>
                <w:szCs w:val="14"/>
              </w:rPr>
              <w:t>.</w:t>
            </w:r>
            <w:r w:rsidRPr="003003C0">
              <w:rPr>
                <w:rFonts w:cs="Calibri"/>
                <w:color w:val="000000"/>
                <w:sz w:val="14"/>
                <w:szCs w:val="14"/>
              </w:rPr>
              <w:t>3</w:t>
            </w:r>
          </w:p>
        </w:tc>
        <w:tc>
          <w:tcPr>
            <w:tcW w:w="683" w:type="dxa"/>
            <w:noWrap/>
            <w:vAlign w:val="center"/>
            <w:hideMark/>
          </w:tcPr>
          <w:p w14:paraId="0418AF86" w14:textId="77777777" w:rsidR="004F64EF" w:rsidRPr="003003C0" w:rsidRDefault="004F64EF" w:rsidP="00FD6B66">
            <w:pPr>
              <w:jc w:val="right"/>
              <w:rPr>
                <w:rFonts w:cs="Calibri"/>
                <w:color w:val="000000"/>
                <w:sz w:val="14"/>
                <w:szCs w:val="14"/>
              </w:rPr>
            </w:pPr>
            <w:r w:rsidRPr="003003C0">
              <w:rPr>
                <w:rFonts w:cs="Calibri"/>
                <w:color w:val="000000"/>
                <w:sz w:val="14"/>
                <w:szCs w:val="14"/>
              </w:rPr>
              <w:t>0</w:t>
            </w:r>
            <w:r>
              <w:rPr>
                <w:rFonts w:cs="Calibri"/>
                <w:color w:val="000000"/>
                <w:sz w:val="14"/>
                <w:szCs w:val="14"/>
              </w:rPr>
              <w:t>.</w:t>
            </w:r>
            <w:r w:rsidRPr="003003C0">
              <w:rPr>
                <w:rFonts w:cs="Calibri"/>
                <w:color w:val="000000"/>
                <w:sz w:val="14"/>
                <w:szCs w:val="14"/>
              </w:rPr>
              <w:t>3</w:t>
            </w:r>
          </w:p>
        </w:tc>
        <w:tc>
          <w:tcPr>
            <w:tcW w:w="684" w:type="dxa"/>
            <w:noWrap/>
            <w:vAlign w:val="center"/>
            <w:hideMark/>
          </w:tcPr>
          <w:p w14:paraId="42126A84" w14:textId="77777777" w:rsidR="004F64EF" w:rsidRPr="003003C0" w:rsidRDefault="004F64EF" w:rsidP="00FD6B66">
            <w:pPr>
              <w:jc w:val="right"/>
              <w:rPr>
                <w:rFonts w:cs="Calibri"/>
                <w:color w:val="000000"/>
                <w:sz w:val="14"/>
                <w:szCs w:val="14"/>
              </w:rPr>
            </w:pPr>
            <w:r w:rsidRPr="003003C0">
              <w:rPr>
                <w:rFonts w:cs="Calibri"/>
                <w:color w:val="000000"/>
                <w:sz w:val="14"/>
                <w:szCs w:val="14"/>
              </w:rPr>
              <w:t>0</w:t>
            </w:r>
            <w:r>
              <w:rPr>
                <w:rFonts w:cs="Calibri"/>
                <w:color w:val="000000"/>
                <w:sz w:val="14"/>
                <w:szCs w:val="14"/>
              </w:rPr>
              <w:t>.</w:t>
            </w:r>
            <w:r w:rsidRPr="003003C0">
              <w:rPr>
                <w:rFonts w:cs="Calibri"/>
                <w:color w:val="000000"/>
                <w:sz w:val="14"/>
                <w:szCs w:val="14"/>
              </w:rPr>
              <w:t>3</w:t>
            </w:r>
          </w:p>
        </w:tc>
        <w:tc>
          <w:tcPr>
            <w:tcW w:w="683" w:type="dxa"/>
            <w:noWrap/>
            <w:vAlign w:val="center"/>
            <w:hideMark/>
          </w:tcPr>
          <w:p w14:paraId="578D24B1" w14:textId="77777777" w:rsidR="004F64EF" w:rsidRPr="003003C0" w:rsidRDefault="004F64EF" w:rsidP="00FD6B66">
            <w:pPr>
              <w:jc w:val="right"/>
              <w:rPr>
                <w:rFonts w:cs="Calibri"/>
                <w:color w:val="000000"/>
                <w:sz w:val="14"/>
                <w:szCs w:val="14"/>
              </w:rPr>
            </w:pPr>
            <w:r w:rsidRPr="003003C0">
              <w:rPr>
                <w:rFonts w:cs="Calibri"/>
                <w:color w:val="000000"/>
                <w:sz w:val="14"/>
                <w:szCs w:val="14"/>
              </w:rPr>
              <w:t>0</w:t>
            </w:r>
            <w:r>
              <w:rPr>
                <w:rFonts w:cs="Calibri"/>
                <w:color w:val="000000"/>
                <w:sz w:val="14"/>
                <w:szCs w:val="14"/>
              </w:rPr>
              <w:t>.</w:t>
            </w:r>
            <w:r w:rsidRPr="003003C0">
              <w:rPr>
                <w:rFonts w:cs="Calibri"/>
                <w:color w:val="000000"/>
                <w:sz w:val="14"/>
                <w:szCs w:val="14"/>
              </w:rPr>
              <w:t>4</w:t>
            </w:r>
          </w:p>
        </w:tc>
        <w:tc>
          <w:tcPr>
            <w:tcW w:w="683" w:type="dxa"/>
            <w:noWrap/>
            <w:vAlign w:val="center"/>
            <w:hideMark/>
          </w:tcPr>
          <w:p w14:paraId="5CC572DD" w14:textId="77777777" w:rsidR="004F64EF" w:rsidRPr="003003C0" w:rsidRDefault="004F64EF" w:rsidP="00FD6B66">
            <w:pPr>
              <w:jc w:val="right"/>
              <w:rPr>
                <w:rFonts w:cs="Calibri"/>
                <w:color w:val="000000"/>
                <w:sz w:val="14"/>
                <w:szCs w:val="14"/>
              </w:rPr>
            </w:pPr>
            <w:r w:rsidRPr="003003C0">
              <w:rPr>
                <w:rFonts w:cs="Calibri"/>
                <w:color w:val="000000"/>
                <w:sz w:val="14"/>
                <w:szCs w:val="14"/>
              </w:rPr>
              <w:t>0</w:t>
            </w:r>
            <w:r>
              <w:rPr>
                <w:rFonts w:cs="Calibri"/>
                <w:color w:val="000000"/>
                <w:sz w:val="14"/>
                <w:szCs w:val="14"/>
              </w:rPr>
              <w:t>.</w:t>
            </w:r>
            <w:r w:rsidRPr="003003C0">
              <w:rPr>
                <w:rFonts w:cs="Calibri"/>
                <w:color w:val="000000"/>
                <w:sz w:val="14"/>
                <w:szCs w:val="14"/>
              </w:rPr>
              <w:t>3</w:t>
            </w:r>
          </w:p>
        </w:tc>
        <w:tc>
          <w:tcPr>
            <w:tcW w:w="684" w:type="dxa"/>
            <w:noWrap/>
            <w:vAlign w:val="center"/>
            <w:hideMark/>
          </w:tcPr>
          <w:p w14:paraId="1DD47CF3" w14:textId="77777777" w:rsidR="004F64EF" w:rsidRPr="003003C0" w:rsidRDefault="004F64EF" w:rsidP="00FD6B66">
            <w:pPr>
              <w:jc w:val="right"/>
              <w:rPr>
                <w:rFonts w:cs="Calibri"/>
                <w:color w:val="000000"/>
                <w:sz w:val="14"/>
                <w:szCs w:val="14"/>
              </w:rPr>
            </w:pPr>
            <w:r w:rsidRPr="003003C0">
              <w:rPr>
                <w:rFonts w:cs="Calibri"/>
                <w:color w:val="000000"/>
                <w:sz w:val="14"/>
                <w:szCs w:val="14"/>
              </w:rPr>
              <w:t>0</w:t>
            </w:r>
            <w:r>
              <w:rPr>
                <w:rFonts w:cs="Calibri"/>
                <w:color w:val="000000"/>
                <w:sz w:val="14"/>
                <w:szCs w:val="14"/>
              </w:rPr>
              <w:t>.</w:t>
            </w:r>
            <w:r w:rsidRPr="003003C0">
              <w:rPr>
                <w:rFonts w:cs="Calibri"/>
                <w:color w:val="000000"/>
                <w:sz w:val="14"/>
                <w:szCs w:val="14"/>
              </w:rPr>
              <w:t>3</w:t>
            </w:r>
          </w:p>
        </w:tc>
      </w:tr>
      <w:tr w:rsidR="004F64EF" w:rsidRPr="003003C0" w14:paraId="71C20F15" w14:textId="77777777" w:rsidTr="00FD6B66">
        <w:trPr>
          <w:cnfStyle w:val="000000010000" w:firstRow="0" w:lastRow="0" w:firstColumn="0" w:lastColumn="0" w:oddVBand="0" w:evenVBand="0" w:oddHBand="0" w:evenHBand="1" w:firstRowFirstColumn="0" w:firstRowLastColumn="0" w:lastRowFirstColumn="0" w:lastRowLastColumn="0"/>
          <w:trHeight w:val="20"/>
        </w:trPr>
        <w:tc>
          <w:tcPr>
            <w:tcW w:w="4246" w:type="dxa"/>
            <w:noWrap/>
            <w:vAlign w:val="center"/>
            <w:hideMark/>
          </w:tcPr>
          <w:p w14:paraId="1A5F4CDC" w14:textId="77777777" w:rsidR="004F64EF" w:rsidRPr="003003C0" w:rsidRDefault="004F64EF" w:rsidP="00FD6B66">
            <w:pPr>
              <w:jc w:val="left"/>
              <w:rPr>
                <w:rFonts w:cs="Calibri"/>
                <w:color w:val="000000"/>
                <w:sz w:val="14"/>
                <w:szCs w:val="14"/>
              </w:rPr>
            </w:pPr>
            <w:r w:rsidRPr="003003C0">
              <w:rPr>
                <w:rFonts w:cs="Calibri"/>
                <w:color w:val="000000"/>
                <w:sz w:val="14"/>
                <w:szCs w:val="14"/>
              </w:rPr>
              <w:t xml:space="preserve">9 - </w:t>
            </w:r>
            <w:r w:rsidRPr="00A777AC">
              <w:rPr>
                <w:rFonts w:cs="Calibri"/>
                <w:color w:val="000000"/>
                <w:sz w:val="14"/>
                <w:szCs w:val="14"/>
              </w:rPr>
              <w:t>Wood and articles of wood; wood charcoal</w:t>
            </w:r>
          </w:p>
        </w:tc>
        <w:tc>
          <w:tcPr>
            <w:tcW w:w="683" w:type="dxa"/>
            <w:noWrap/>
            <w:vAlign w:val="center"/>
            <w:hideMark/>
          </w:tcPr>
          <w:p w14:paraId="55144EE4" w14:textId="77777777" w:rsidR="004F64EF" w:rsidRPr="003003C0" w:rsidRDefault="004F64EF" w:rsidP="00FD6B66">
            <w:pPr>
              <w:jc w:val="right"/>
              <w:rPr>
                <w:rFonts w:cs="Calibri"/>
                <w:color w:val="000000"/>
                <w:sz w:val="14"/>
                <w:szCs w:val="14"/>
              </w:rPr>
            </w:pPr>
            <w:r w:rsidRPr="003003C0">
              <w:rPr>
                <w:rFonts w:cs="Calibri"/>
                <w:color w:val="000000"/>
                <w:sz w:val="14"/>
                <w:szCs w:val="14"/>
              </w:rPr>
              <w:t>0</w:t>
            </w:r>
            <w:r>
              <w:rPr>
                <w:rFonts w:cs="Calibri"/>
                <w:color w:val="000000"/>
                <w:sz w:val="14"/>
                <w:szCs w:val="14"/>
              </w:rPr>
              <w:t>.</w:t>
            </w:r>
            <w:r w:rsidRPr="003003C0">
              <w:rPr>
                <w:rFonts w:cs="Calibri"/>
                <w:color w:val="000000"/>
                <w:sz w:val="14"/>
                <w:szCs w:val="14"/>
              </w:rPr>
              <w:t>0</w:t>
            </w:r>
          </w:p>
        </w:tc>
        <w:tc>
          <w:tcPr>
            <w:tcW w:w="683" w:type="dxa"/>
            <w:noWrap/>
            <w:vAlign w:val="center"/>
            <w:hideMark/>
          </w:tcPr>
          <w:p w14:paraId="072358CC" w14:textId="77777777" w:rsidR="004F64EF" w:rsidRPr="003003C0" w:rsidRDefault="004F64EF" w:rsidP="00FD6B66">
            <w:pPr>
              <w:jc w:val="right"/>
              <w:rPr>
                <w:rFonts w:cs="Calibri"/>
                <w:color w:val="000000"/>
                <w:sz w:val="14"/>
                <w:szCs w:val="14"/>
              </w:rPr>
            </w:pPr>
            <w:r w:rsidRPr="003003C0">
              <w:rPr>
                <w:rFonts w:cs="Calibri"/>
                <w:color w:val="000000"/>
                <w:sz w:val="14"/>
                <w:szCs w:val="14"/>
              </w:rPr>
              <w:t>0</w:t>
            </w:r>
            <w:r>
              <w:rPr>
                <w:rFonts w:cs="Calibri"/>
                <w:color w:val="000000"/>
                <w:sz w:val="14"/>
                <w:szCs w:val="14"/>
              </w:rPr>
              <w:t>.</w:t>
            </w:r>
            <w:r w:rsidRPr="003003C0">
              <w:rPr>
                <w:rFonts w:cs="Calibri"/>
                <w:color w:val="000000"/>
                <w:sz w:val="14"/>
                <w:szCs w:val="14"/>
              </w:rPr>
              <w:t>0</w:t>
            </w:r>
          </w:p>
        </w:tc>
        <w:tc>
          <w:tcPr>
            <w:tcW w:w="683" w:type="dxa"/>
            <w:noWrap/>
            <w:vAlign w:val="center"/>
            <w:hideMark/>
          </w:tcPr>
          <w:p w14:paraId="72124706" w14:textId="77777777" w:rsidR="004F64EF" w:rsidRPr="003003C0" w:rsidRDefault="004F64EF" w:rsidP="00FD6B66">
            <w:pPr>
              <w:jc w:val="right"/>
              <w:rPr>
                <w:rFonts w:cs="Calibri"/>
                <w:color w:val="000000"/>
                <w:sz w:val="14"/>
                <w:szCs w:val="14"/>
              </w:rPr>
            </w:pPr>
            <w:r w:rsidRPr="003003C0">
              <w:rPr>
                <w:rFonts w:cs="Calibri"/>
                <w:color w:val="000000"/>
                <w:sz w:val="14"/>
                <w:szCs w:val="14"/>
              </w:rPr>
              <w:t>0</w:t>
            </w:r>
            <w:r>
              <w:rPr>
                <w:rFonts w:cs="Calibri"/>
                <w:color w:val="000000"/>
                <w:sz w:val="14"/>
                <w:szCs w:val="14"/>
              </w:rPr>
              <w:t>.</w:t>
            </w:r>
            <w:r w:rsidRPr="003003C0">
              <w:rPr>
                <w:rFonts w:cs="Calibri"/>
                <w:color w:val="000000"/>
                <w:sz w:val="14"/>
                <w:szCs w:val="14"/>
              </w:rPr>
              <w:t>0</w:t>
            </w:r>
          </w:p>
        </w:tc>
        <w:tc>
          <w:tcPr>
            <w:tcW w:w="684" w:type="dxa"/>
            <w:noWrap/>
            <w:vAlign w:val="center"/>
            <w:hideMark/>
          </w:tcPr>
          <w:p w14:paraId="423BA4DF" w14:textId="77777777" w:rsidR="004F64EF" w:rsidRPr="003003C0" w:rsidRDefault="004F64EF" w:rsidP="00FD6B66">
            <w:pPr>
              <w:jc w:val="right"/>
              <w:rPr>
                <w:rFonts w:cs="Calibri"/>
                <w:color w:val="000000"/>
                <w:sz w:val="14"/>
                <w:szCs w:val="14"/>
              </w:rPr>
            </w:pPr>
            <w:r w:rsidRPr="003003C0">
              <w:rPr>
                <w:rFonts w:cs="Calibri"/>
                <w:color w:val="000000"/>
                <w:sz w:val="14"/>
                <w:szCs w:val="14"/>
              </w:rPr>
              <w:t>0</w:t>
            </w:r>
            <w:r>
              <w:rPr>
                <w:rFonts w:cs="Calibri"/>
                <w:color w:val="000000"/>
                <w:sz w:val="14"/>
                <w:szCs w:val="14"/>
              </w:rPr>
              <w:t>.</w:t>
            </w:r>
            <w:r w:rsidRPr="003003C0">
              <w:rPr>
                <w:rFonts w:cs="Calibri"/>
                <w:color w:val="000000"/>
                <w:sz w:val="14"/>
                <w:szCs w:val="14"/>
              </w:rPr>
              <w:t>0</w:t>
            </w:r>
          </w:p>
        </w:tc>
        <w:tc>
          <w:tcPr>
            <w:tcW w:w="683" w:type="dxa"/>
            <w:noWrap/>
            <w:vAlign w:val="center"/>
            <w:hideMark/>
          </w:tcPr>
          <w:p w14:paraId="0530C3E0" w14:textId="77777777" w:rsidR="004F64EF" w:rsidRPr="003003C0" w:rsidRDefault="004F64EF" w:rsidP="00FD6B66">
            <w:pPr>
              <w:jc w:val="right"/>
              <w:rPr>
                <w:rFonts w:cs="Calibri"/>
                <w:color w:val="000000"/>
                <w:sz w:val="14"/>
                <w:szCs w:val="14"/>
              </w:rPr>
            </w:pPr>
            <w:r w:rsidRPr="003003C0">
              <w:rPr>
                <w:rFonts w:cs="Calibri"/>
                <w:color w:val="000000"/>
                <w:sz w:val="14"/>
                <w:szCs w:val="14"/>
              </w:rPr>
              <w:t>0</w:t>
            </w:r>
            <w:r>
              <w:rPr>
                <w:rFonts w:cs="Calibri"/>
                <w:color w:val="000000"/>
                <w:sz w:val="14"/>
                <w:szCs w:val="14"/>
              </w:rPr>
              <w:t>.</w:t>
            </w:r>
            <w:r w:rsidRPr="003003C0">
              <w:rPr>
                <w:rFonts w:cs="Calibri"/>
                <w:color w:val="000000"/>
                <w:sz w:val="14"/>
                <w:szCs w:val="14"/>
              </w:rPr>
              <w:t>0</w:t>
            </w:r>
          </w:p>
        </w:tc>
        <w:tc>
          <w:tcPr>
            <w:tcW w:w="683" w:type="dxa"/>
            <w:noWrap/>
            <w:vAlign w:val="center"/>
            <w:hideMark/>
          </w:tcPr>
          <w:p w14:paraId="3AD71914" w14:textId="77777777" w:rsidR="004F64EF" w:rsidRPr="003003C0" w:rsidRDefault="004F64EF" w:rsidP="00FD6B66">
            <w:pPr>
              <w:jc w:val="right"/>
              <w:rPr>
                <w:rFonts w:cs="Calibri"/>
                <w:color w:val="000000"/>
                <w:sz w:val="14"/>
                <w:szCs w:val="14"/>
              </w:rPr>
            </w:pPr>
            <w:r w:rsidRPr="003003C0">
              <w:rPr>
                <w:rFonts w:cs="Calibri"/>
                <w:color w:val="000000"/>
                <w:sz w:val="14"/>
                <w:szCs w:val="14"/>
              </w:rPr>
              <w:t>0</w:t>
            </w:r>
            <w:r>
              <w:rPr>
                <w:rFonts w:cs="Calibri"/>
                <w:color w:val="000000"/>
                <w:sz w:val="14"/>
                <w:szCs w:val="14"/>
              </w:rPr>
              <w:t>.</w:t>
            </w:r>
            <w:r w:rsidRPr="003003C0">
              <w:rPr>
                <w:rFonts w:cs="Calibri"/>
                <w:color w:val="000000"/>
                <w:sz w:val="14"/>
                <w:szCs w:val="14"/>
              </w:rPr>
              <w:t>0</w:t>
            </w:r>
          </w:p>
        </w:tc>
        <w:tc>
          <w:tcPr>
            <w:tcW w:w="684" w:type="dxa"/>
            <w:noWrap/>
            <w:vAlign w:val="center"/>
            <w:hideMark/>
          </w:tcPr>
          <w:p w14:paraId="68E9F0A6" w14:textId="77777777" w:rsidR="004F64EF" w:rsidRPr="003003C0" w:rsidRDefault="004F64EF" w:rsidP="00FD6B66">
            <w:pPr>
              <w:jc w:val="right"/>
              <w:rPr>
                <w:rFonts w:cs="Calibri"/>
                <w:color w:val="000000"/>
                <w:sz w:val="14"/>
                <w:szCs w:val="14"/>
              </w:rPr>
            </w:pPr>
            <w:r w:rsidRPr="003003C0">
              <w:rPr>
                <w:rFonts w:cs="Calibri"/>
                <w:color w:val="000000"/>
                <w:sz w:val="14"/>
                <w:szCs w:val="14"/>
              </w:rPr>
              <w:t>0</w:t>
            </w:r>
            <w:r>
              <w:rPr>
                <w:rFonts w:cs="Calibri"/>
                <w:color w:val="000000"/>
                <w:sz w:val="14"/>
                <w:szCs w:val="14"/>
              </w:rPr>
              <w:t>.</w:t>
            </w:r>
            <w:r w:rsidRPr="003003C0">
              <w:rPr>
                <w:rFonts w:cs="Calibri"/>
                <w:color w:val="000000"/>
                <w:sz w:val="14"/>
                <w:szCs w:val="14"/>
              </w:rPr>
              <w:t>0</w:t>
            </w:r>
          </w:p>
        </w:tc>
      </w:tr>
      <w:tr w:rsidR="004F64EF" w:rsidRPr="003003C0" w14:paraId="1E83140C" w14:textId="77777777" w:rsidTr="00FD6B66">
        <w:trPr>
          <w:trHeight w:val="20"/>
        </w:trPr>
        <w:tc>
          <w:tcPr>
            <w:tcW w:w="4246" w:type="dxa"/>
            <w:noWrap/>
            <w:vAlign w:val="center"/>
            <w:hideMark/>
          </w:tcPr>
          <w:p w14:paraId="3CC97F5B" w14:textId="77777777" w:rsidR="004F64EF" w:rsidRPr="003003C0" w:rsidRDefault="004F64EF" w:rsidP="00FD6B66">
            <w:pPr>
              <w:jc w:val="left"/>
              <w:rPr>
                <w:rFonts w:cs="Calibri"/>
                <w:color w:val="000000"/>
                <w:sz w:val="14"/>
                <w:szCs w:val="14"/>
              </w:rPr>
            </w:pPr>
            <w:r w:rsidRPr="003003C0">
              <w:rPr>
                <w:rFonts w:cs="Calibri"/>
                <w:color w:val="000000"/>
                <w:sz w:val="14"/>
                <w:szCs w:val="14"/>
              </w:rPr>
              <w:t xml:space="preserve">10 - </w:t>
            </w:r>
            <w:r w:rsidRPr="00AD6585">
              <w:rPr>
                <w:rFonts w:cs="Calibri"/>
                <w:color w:val="000000"/>
                <w:sz w:val="14"/>
                <w:szCs w:val="14"/>
              </w:rPr>
              <w:t>Pulp of wood or of other fibrous cellulosic material; paper and paperboard and articles thereof</w:t>
            </w:r>
          </w:p>
        </w:tc>
        <w:tc>
          <w:tcPr>
            <w:tcW w:w="683" w:type="dxa"/>
            <w:noWrap/>
            <w:vAlign w:val="center"/>
            <w:hideMark/>
          </w:tcPr>
          <w:p w14:paraId="1927A119" w14:textId="77777777" w:rsidR="004F64EF" w:rsidRPr="003003C0" w:rsidRDefault="004F64EF" w:rsidP="00FD6B66">
            <w:pPr>
              <w:jc w:val="right"/>
              <w:rPr>
                <w:rFonts w:cs="Calibri"/>
                <w:color w:val="000000"/>
                <w:sz w:val="14"/>
                <w:szCs w:val="14"/>
              </w:rPr>
            </w:pPr>
            <w:r w:rsidRPr="003003C0">
              <w:rPr>
                <w:rFonts w:cs="Calibri"/>
                <w:color w:val="000000"/>
                <w:sz w:val="14"/>
                <w:szCs w:val="14"/>
              </w:rPr>
              <w:t>0</w:t>
            </w:r>
            <w:r>
              <w:rPr>
                <w:rFonts w:cs="Calibri"/>
                <w:color w:val="000000"/>
                <w:sz w:val="14"/>
                <w:szCs w:val="14"/>
              </w:rPr>
              <w:t>.</w:t>
            </w:r>
            <w:r w:rsidRPr="003003C0">
              <w:rPr>
                <w:rFonts w:cs="Calibri"/>
                <w:color w:val="000000"/>
                <w:sz w:val="14"/>
                <w:szCs w:val="14"/>
              </w:rPr>
              <w:t>5</w:t>
            </w:r>
          </w:p>
        </w:tc>
        <w:tc>
          <w:tcPr>
            <w:tcW w:w="683" w:type="dxa"/>
            <w:noWrap/>
            <w:vAlign w:val="center"/>
            <w:hideMark/>
          </w:tcPr>
          <w:p w14:paraId="205C0A29" w14:textId="77777777" w:rsidR="004F64EF" w:rsidRPr="003003C0" w:rsidRDefault="004F64EF" w:rsidP="00FD6B66">
            <w:pPr>
              <w:jc w:val="right"/>
              <w:rPr>
                <w:rFonts w:cs="Calibri"/>
                <w:color w:val="000000"/>
                <w:sz w:val="14"/>
                <w:szCs w:val="14"/>
              </w:rPr>
            </w:pPr>
            <w:r w:rsidRPr="003003C0">
              <w:rPr>
                <w:rFonts w:cs="Calibri"/>
                <w:color w:val="000000"/>
                <w:sz w:val="14"/>
                <w:szCs w:val="14"/>
              </w:rPr>
              <w:t>0</w:t>
            </w:r>
            <w:r>
              <w:rPr>
                <w:rFonts w:cs="Calibri"/>
                <w:color w:val="000000"/>
                <w:sz w:val="14"/>
                <w:szCs w:val="14"/>
              </w:rPr>
              <w:t>.</w:t>
            </w:r>
            <w:r w:rsidRPr="003003C0">
              <w:rPr>
                <w:rFonts w:cs="Calibri"/>
                <w:color w:val="000000"/>
                <w:sz w:val="14"/>
                <w:szCs w:val="14"/>
              </w:rPr>
              <w:t>5</w:t>
            </w:r>
          </w:p>
        </w:tc>
        <w:tc>
          <w:tcPr>
            <w:tcW w:w="683" w:type="dxa"/>
            <w:noWrap/>
            <w:vAlign w:val="center"/>
            <w:hideMark/>
          </w:tcPr>
          <w:p w14:paraId="05FE84B7" w14:textId="77777777" w:rsidR="004F64EF" w:rsidRPr="003003C0" w:rsidRDefault="004F64EF" w:rsidP="00FD6B66">
            <w:pPr>
              <w:jc w:val="right"/>
              <w:rPr>
                <w:rFonts w:cs="Calibri"/>
                <w:color w:val="000000"/>
                <w:sz w:val="14"/>
                <w:szCs w:val="14"/>
              </w:rPr>
            </w:pPr>
            <w:r w:rsidRPr="003003C0">
              <w:rPr>
                <w:rFonts w:cs="Calibri"/>
                <w:color w:val="000000"/>
                <w:sz w:val="14"/>
                <w:szCs w:val="14"/>
              </w:rPr>
              <w:t>0</w:t>
            </w:r>
            <w:r>
              <w:rPr>
                <w:rFonts w:cs="Calibri"/>
                <w:color w:val="000000"/>
                <w:sz w:val="14"/>
                <w:szCs w:val="14"/>
              </w:rPr>
              <w:t>.</w:t>
            </w:r>
            <w:r w:rsidRPr="003003C0">
              <w:rPr>
                <w:rFonts w:cs="Calibri"/>
                <w:color w:val="000000"/>
                <w:sz w:val="14"/>
                <w:szCs w:val="14"/>
              </w:rPr>
              <w:t>6</w:t>
            </w:r>
          </w:p>
        </w:tc>
        <w:tc>
          <w:tcPr>
            <w:tcW w:w="684" w:type="dxa"/>
            <w:noWrap/>
            <w:vAlign w:val="center"/>
            <w:hideMark/>
          </w:tcPr>
          <w:p w14:paraId="10360E57" w14:textId="77777777" w:rsidR="004F64EF" w:rsidRPr="003003C0" w:rsidRDefault="004F64EF" w:rsidP="00FD6B66">
            <w:pPr>
              <w:jc w:val="right"/>
              <w:rPr>
                <w:rFonts w:cs="Calibri"/>
                <w:color w:val="000000"/>
                <w:sz w:val="14"/>
                <w:szCs w:val="14"/>
              </w:rPr>
            </w:pPr>
            <w:r w:rsidRPr="003003C0">
              <w:rPr>
                <w:rFonts w:cs="Calibri"/>
                <w:color w:val="000000"/>
                <w:sz w:val="14"/>
                <w:szCs w:val="14"/>
              </w:rPr>
              <w:t>0</w:t>
            </w:r>
            <w:r>
              <w:rPr>
                <w:rFonts w:cs="Calibri"/>
                <w:color w:val="000000"/>
                <w:sz w:val="14"/>
                <w:szCs w:val="14"/>
              </w:rPr>
              <w:t>.</w:t>
            </w:r>
            <w:r w:rsidRPr="003003C0">
              <w:rPr>
                <w:rFonts w:cs="Calibri"/>
                <w:color w:val="000000"/>
                <w:sz w:val="14"/>
                <w:szCs w:val="14"/>
              </w:rPr>
              <w:t>6</w:t>
            </w:r>
          </w:p>
        </w:tc>
        <w:tc>
          <w:tcPr>
            <w:tcW w:w="683" w:type="dxa"/>
            <w:noWrap/>
            <w:vAlign w:val="center"/>
            <w:hideMark/>
          </w:tcPr>
          <w:p w14:paraId="04D0D961" w14:textId="77777777" w:rsidR="004F64EF" w:rsidRPr="003003C0" w:rsidRDefault="004F64EF" w:rsidP="00FD6B66">
            <w:pPr>
              <w:jc w:val="right"/>
              <w:rPr>
                <w:rFonts w:cs="Calibri"/>
                <w:color w:val="000000"/>
                <w:sz w:val="14"/>
                <w:szCs w:val="14"/>
              </w:rPr>
            </w:pPr>
            <w:r w:rsidRPr="003003C0">
              <w:rPr>
                <w:rFonts w:cs="Calibri"/>
                <w:color w:val="000000"/>
                <w:sz w:val="14"/>
                <w:szCs w:val="14"/>
              </w:rPr>
              <w:t>0</w:t>
            </w:r>
            <w:r>
              <w:rPr>
                <w:rFonts w:cs="Calibri"/>
                <w:color w:val="000000"/>
                <w:sz w:val="14"/>
                <w:szCs w:val="14"/>
              </w:rPr>
              <w:t>.</w:t>
            </w:r>
            <w:r w:rsidRPr="003003C0">
              <w:rPr>
                <w:rFonts w:cs="Calibri"/>
                <w:color w:val="000000"/>
                <w:sz w:val="14"/>
                <w:szCs w:val="14"/>
              </w:rPr>
              <w:t>8</w:t>
            </w:r>
          </w:p>
        </w:tc>
        <w:tc>
          <w:tcPr>
            <w:tcW w:w="683" w:type="dxa"/>
            <w:noWrap/>
            <w:vAlign w:val="center"/>
            <w:hideMark/>
          </w:tcPr>
          <w:p w14:paraId="5B301370" w14:textId="77777777" w:rsidR="004F64EF" w:rsidRPr="003003C0" w:rsidRDefault="004F64EF" w:rsidP="00FD6B66">
            <w:pPr>
              <w:jc w:val="right"/>
              <w:rPr>
                <w:rFonts w:cs="Calibri"/>
                <w:color w:val="000000"/>
                <w:sz w:val="14"/>
                <w:szCs w:val="14"/>
              </w:rPr>
            </w:pPr>
            <w:r w:rsidRPr="003003C0">
              <w:rPr>
                <w:rFonts w:cs="Calibri"/>
                <w:color w:val="000000"/>
                <w:sz w:val="14"/>
                <w:szCs w:val="14"/>
              </w:rPr>
              <w:t>0</w:t>
            </w:r>
            <w:r>
              <w:rPr>
                <w:rFonts w:cs="Calibri"/>
                <w:color w:val="000000"/>
                <w:sz w:val="14"/>
                <w:szCs w:val="14"/>
              </w:rPr>
              <w:t>.</w:t>
            </w:r>
            <w:r w:rsidRPr="003003C0">
              <w:rPr>
                <w:rFonts w:cs="Calibri"/>
                <w:color w:val="000000"/>
                <w:sz w:val="14"/>
                <w:szCs w:val="14"/>
              </w:rPr>
              <w:t>9</w:t>
            </w:r>
          </w:p>
        </w:tc>
        <w:tc>
          <w:tcPr>
            <w:tcW w:w="684" w:type="dxa"/>
            <w:noWrap/>
            <w:vAlign w:val="center"/>
            <w:hideMark/>
          </w:tcPr>
          <w:p w14:paraId="5E66882D" w14:textId="77777777" w:rsidR="004F64EF" w:rsidRPr="003003C0" w:rsidRDefault="004F64EF" w:rsidP="00FD6B66">
            <w:pPr>
              <w:jc w:val="right"/>
              <w:rPr>
                <w:rFonts w:cs="Calibri"/>
                <w:color w:val="000000"/>
                <w:sz w:val="14"/>
                <w:szCs w:val="14"/>
              </w:rPr>
            </w:pPr>
            <w:r w:rsidRPr="003003C0">
              <w:rPr>
                <w:rFonts w:cs="Calibri"/>
                <w:color w:val="000000"/>
                <w:sz w:val="14"/>
                <w:szCs w:val="14"/>
              </w:rPr>
              <w:t>1</w:t>
            </w:r>
            <w:r>
              <w:rPr>
                <w:rFonts w:cs="Calibri"/>
                <w:color w:val="000000"/>
                <w:sz w:val="14"/>
                <w:szCs w:val="14"/>
              </w:rPr>
              <w:t>.</w:t>
            </w:r>
            <w:r w:rsidRPr="003003C0">
              <w:rPr>
                <w:rFonts w:cs="Calibri"/>
                <w:color w:val="000000"/>
                <w:sz w:val="14"/>
                <w:szCs w:val="14"/>
              </w:rPr>
              <w:t>2</w:t>
            </w:r>
          </w:p>
        </w:tc>
      </w:tr>
      <w:tr w:rsidR="004F64EF" w:rsidRPr="003003C0" w14:paraId="50C89619" w14:textId="77777777" w:rsidTr="00FD6B66">
        <w:trPr>
          <w:cnfStyle w:val="000000010000" w:firstRow="0" w:lastRow="0" w:firstColumn="0" w:lastColumn="0" w:oddVBand="0" w:evenVBand="0" w:oddHBand="0" w:evenHBand="1" w:firstRowFirstColumn="0" w:firstRowLastColumn="0" w:lastRowFirstColumn="0" w:lastRowLastColumn="0"/>
          <w:trHeight w:val="20"/>
        </w:trPr>
        <w:tc>
          <w:tcPr>
            <w:tcW w:w="4246" w:type="dxa"/>
            <w:noWrap/>
            <w:vAlign w:val="center"/>
            <w:hideMark/>
          </w:tcPr>
          <w:p w14:paraId="25A4C0D7" w14:textId="77777777" w:rsidR="004F64EF" w:rsidRPr="003003C0" w:rsidRDefault="004F64EF" w:rsidP="00B22563">
            <w:pPr>
              <w:tabs>
                <w:tab w:val="left" w:pos="227"/>
              </w:tabs>
              <w:ind w:left="227" w:hanging="227"/>
              <w:jc w:val="left"/>
              <w:rPr>
                <w:rFonts w:cs="Calibri"/>
                <w:color w:val="000000"/>
                <w:sz w:val="14"/>
                <w:szCs w:val="14"/>
              </w:rPr>
            </w:pPr>
            <w:r w:rsidRPr="003003C0">
              <w:rPr>
                <w:rFonts w:cs="Calibri"/>
                <w:color w:val="000000"/>
                <w:sz w:val="14"/>
                <w:szCs w:val="14"/>
              </w:rPr>
              <w:tab/>
              <w:t xml:space="preserve">48. </w:t>
            </w:r>
            <w:r w:rsidRPr="00C70037">
              <w:rPr>
                <w:rFonts w:cs="Calibri"/>
                <w:color w:val="000000"/>
                <w:sz w:val="14"/>
                <w:szCs w:val="14"/>
              </w:rPr>
              <w:t>Paper and paperboard; articles of paper pulp, of paper or of paperboard</w:t>
            </w:r>
          </w:p>
        </w:tc>
        <w:tc>
          <w:tcPr>
            <w:tcW w:w="683" w:type="dxa"/>
            <w:noWrap/>
            <w:vAlign w:val="center"/>
            <w:hideMark/>
          </w:tcPr>
          <w:p w14:paraId="3C86BF96" w14:textId="77777777" w:rsidR="004F64EF" w:rsidRPr="003003C0" w:rsidRDefault="004F64EF" w:rsidP="00FD6B66">
            <w:pPr>
              <w:jc w:val="right"/>
              <w:rPr>
                <w:rFonts w:cs="Calibri"/>
                <w:color w:val="000000"/>
                <w:sz w:val="14"/>
                <w:szCs w:val="14"/>
              </w:rPr>
            </w:pPr>
            <w:r w:rsidRPr="003003C0">
              <w:rPr>
                <w:rFonts w:cs="Calibri"/>
                <w:color w:val="000000"/>
                <w:sz w:val="14"/>
                <w:szCs w:val="14"/>
              </w:rPr>
              <w:t>0</w:t>
            </w:r>
            <w:r>
              <w:rPr>
                <w:rFonts w:cs="Calibri"/>
                <w:color w:val="000000"/>
                <w:sz w:val="14"/>
                <w:szCs w:val="14"/>
              </w:rPr>
              <w:t>.</w:t>
            </w:r>
            <w:r w:rsidRPr="003003C0">
              <w:rPr>
                <w:rFonts w:cs="Calibri"/>
                <w:color w:val="000000"/>
                <w:sz w:val="14"/>
                <w:szCs w:val="14"/>
              </w:rPr>
              <w:t>5</w:t>
            </w:r>
          </w:p>
        </w:tc>
        <w:tc>
          <w:tcPr>
            <w:tcW w:w="683" w:type="dxa"/>
            <w:noWrap/>
            <w:vAlign w:val="center"/>
            <w:hideMark/>
          </w:tcPr>
          <w:p w14:paraId="1870C246" w14:textId="77777777" w:rsidR="004F64EF" w:rsidRPr="003003C0" w:rsidRDefault="004F64EF" w:rsidP="00FD6B66">
            <w:pPr>
              <w:jc w:val="right"/>
              <w:rPr>
                <w:rFonts w:cs="Calibri"/>
                <w:color w:val="000000"/>
                <w:sz w:val="14"/>
                <w:szCs w:val="14"/>
              </w:rPr>
            </w:pPr>
            <w:r w:rsidRPr="003003C0">
              <w:rPr>
                <w:rFonts w:cs="Calibri"/>
                <w:color w:val="000000"/>
                <w:sz w:val="14"/>
                <w:szCs w:val="14"/>
              </w:rPr>
              <w:t>0</w:t>
            </w:r>
            <w:r>
              <w:rPr>
                <w:rFonts w:cs="Calibri"/>
                <w:color w:val="000000"/>
                <w:sz w:val="14"/>
                <w:szCs w:val="14"/>
              </w:rPr>
              <w:t>.</w:t>
            </w:r>
            <w:r w:rsidRPr="003003C0">
              <w:rPr>
                <w:rFonts w:cs="Calibri"/>
                <w:color w:val="000000"/>
                <w:sz w:val="14"/>
                <w:szCs w:val="14"/>
              </w:rPr>
              <w:t>5</w:t>
            </w:r>
          </w:p>
        </w:tc>
        <w:tc>
          <w:tcPr>
            <w:tcW w:w="683" w:type="dxa"/>
            <w:noWrap/>
            <w:vAlign w:val="center"/>
            <w:hideMark/>
          </w:tcPr>
          <w:p w14:paraId="38D9B6AC" w14:textId="77777777" w:rsidR="004F64EF" w:rsidRPr="003003C0" w:rsidRDefault="004F64EF" w:rsidP="00FD6B66">
            <w:pPr>
              <w:jc w:val="right"/>
              <w:rPr>
                <w:rFonts w:cs="Calibri"/>
                <w:color w:val="000000"/>
                <w:sz w:val="14"/>
                <w:szCs w:val="14"/>
              </w:rPr>
            </w:pPr>
            <w:r w:rsidRPr="003003C0">
              <w:rPr>
                <w:rFonts w:cs="Calibri"/>
                <w:color w:val="000000"/>
                <w:sz w:val="14"/>
                <w:szCs w:val="14"/>
              </w:rPr>
              <w:t>0</w:t>
            </w:r>
            <w:r>
              <w:rPr>
                <w:rFonts w:cs="Calibri"/>
                <w:color w:val="000000"/>
                <w:sz w:val="14"/>
                <w:szCs w:val="14"/>
              </w:rPr>
              <w:t>.</w:t>
            </w:r>
            <w:r w:rsidRPr="003003C0">
              <w:rPr>
                <w:rFonts w:cs="Calibri"/>
                <w:color w:val="000000"/>
                <w:sz w:val="14"/>
                <w:szCs w:val="14"/>
              </w:rPr>
              <w:t>5</w:t>
            </w:r>
          </w:p>
        </w:tc>
        <w:tc>
          <w:tcPr>
            <w:tcW w:w="684" w:type="dxa"/>
            <w:noWrap/>
            <w:vAlign w:val="center"/>
            <w:hideMark/>
          </w:tcPr>
          <w:p w14:paraId="1341A3A7" w14:textId="77777777" w:rsidR="004F64EF" w:rsidRPr="003003C0" w:rsidRDefault="004F64EF" w:rsidP="00FD6B66">
            <w:pPr>
              <w:jc w:val="right"/>
              <w:rPr>
                <w:rFonts w:cs="Calibri"/>
                <w:color w:val="000000"/>
                <w:sz w:val="14"/>
                <w:szCs w:val="14"/>
              </w:rPr>
            </w:pPr>
            <w:r w:rsidRPr="003003C0">
              <w:rPr>
                <w:rFonts w:cs="Calibri"/>
                <w:color w:val="000000"/>
                <w:sz w:val="14"/>
                <w:szCs w:val="14"/>
              </w:rPr>
              <w:t>0</w:t>
            </w:r>
            <w:r>
              <w:rPr>
                <w:rFonts w:cs="Calibri"/>
                <w:color w:val="000000"/>
                <w:sz w:val="14"/>
                <w:szCs w:val="14"/>
              </w:rPr>
              <w:t>.</w:t>
            </w:r>
            <w:r w:rsidRPr="003003C0">
              <w:rPr>
                <w:rFonts w:cs="Calibri"/>
                <w:color w:val="000000"/>
                <w:sz w:val="14"/>
                <w:szCs w:val="14"/>
              </w:rPr>
              <w:t>5</w:t>
            </w:r>
          </w:p>
        </w:tc>
        <w:tc>
          <w:tcPr>
            <w:tcW w:w="683" w:type="dxa"/>
            <w:noWrap/>
            <w:vAlign w:val="center"/>
            <w:hideMark/>
          </w:tcPr>
          <w:p w14:paraId="582FF5DD" w14:textId="77777777" w:rsidR="004F64EF" w:rsidRPr="003003C0" w:rsidRDefault="004F64EF" w:rsidP="00FD6B66">
            <w:pPr>
              <w:jc w:val="right"/>
              <w:rPr>
                <w:rFonts w:cs="Calibri"/>
                <w:color w:val="000000"/>
                <w:sz w:val="14"/>
                <w:szCs w:val="14"/>
              </w:rPr>
            </w:pPr>
            <w:r w:rsidRPr="003003C0">
              <w:rPr>
                <w:rFonts w:cs="Calibri"/>
                <w:color w:val="000000"/>
                <w:sz w:val="14"/>
                <w:szCs w:val="14"/>
              </w:rPr>
              <w:t>0</w:t>
            </w:r>
            <w:r>
              <w:rPr>
                <w:rFonts w:cs="Calibri"/>
                <w:color w:val="000000"/>
                <w:sz w:val="14"/>
                <w:szCs w:val="14"/>
              </w:rPr>
              <w:t>.</w:t>
            </w:r>
            <w:r w:rsidRPr="003003C0">
              <w:rPr>
                <w:rFonts w:cs="Calibri"/>
                <w:color w:val="000000"/>
                <w:sz w:val="14"/>
                <w:szCs w:val="14"/>
              </w:rPr>
              <w:t>8</w:t>
            </w:r>
          </w:p>
        </w:tc>
        <w:tc>
          <w:tcPr>
            <w:tcW w:w="683" w:type="dxa"/>
            <w:noWrap/>
            <w:vAlign w:val="center"/>
            <w:hideMark/>
          </w:tcPr>
          <w:p w14:paraId="42F801F7" w14:textId="77777777" w:rsidR="004F64EF" w:rsidRPr="003003C0" w:rsidRDefault="004F64EF" w:rsidP="00FD6B66">
            <w:pPr>
              <w:jc w:val="right"/>
              <w:rPr>
                <w:rFonts w:cs="Calibri"/>
                <w:color w:val="000000"/>
                <w:sz w:val="14"/>
                <w:szCs w:val="14"/>
              </w:rPr>
            </w:pPr>
            <w:r w:rsidRPr="003003C0">
              <w:rPr>
                <w:rFonts w:cs="Calibri"/>
                <w:color w:val="000000"/>
                <w:sz w:val="14"/>
                <w:szCs w:val="14"/>
              </w:rPr>
              <w:t>0</w:t>
            </w:r>
            <w:r>
              <w:rPr>
                <w:rFonts w:cs="Calibri"/>
                <w:color w:val="000000"/>
                <w:sz w:val="14"/>
                <w:szCs w:val="14"/>
              </w:rPr>
              <w:t>.</w:t>
            </w:r>
            <w:r w:rsidRPr="003003C0">
              <w:rPr>
                <w:rFonts w:cs="Calibri"/>
                <w:color w:val="000000"/>
                <w:sz w:val="14"/>
                <w:szCs w:val="14"/>
              </w:rPr>
              <w:t>8</w:t>
            </w:r>
          </w:p>
        </w:tc>
        <w:tc>
          <w:tcPr>
            <w:tcW w:w="684" w:type="dxa"/>
            <w:noWrap/>
            <w:vAlign w:val="center"/>
            <w:hideMark/>
          </w:tcPr>
          <w:p w14:paraId="3F704309" w14:textId="77777777" w:rsidR="004F64EF" w:rsidRPr="003003C0" w:rsidRDefault="004F64EF" w:rsidP="00FD6B66">
            <w:pPr>
              <w:jc w:val="right"/>
              <w:rPr>
                <w:rFonts w:cs="Calibri"/>
                <w:color w:val="000000"/>
                <w:sz w:val="14"/>
                <w:szCs w:val="14"/>
              </w:rPr>
            </w:pPr>
            <w:r w:rsidRPr="003003C0">
              <w:rPr>
                <w:rFonts w:cs="Calibri"/>
                <w:color w:val="000000"/>
                <w:sz w:val="14"/>
                <w:szCs w:val="14"/>
              </w:rPr>
              <w:t>1</w:t>
            </w:r>
            <w:r>
              <w:rPr>
                <w:rFonts w:cs="Calibri"/>
                <w:color w:val="000000"/>
                <w:sz w:val="14"/>
                <w:szCs w:val="14"/>
              </w:rPr>
              <w:t>.</w:t>
            </w:r>
            <w:r w:rsidRPr="003003C0">
              <w:rPr>
                <w:rFonts w:cs="Calibri"/>
                <w:color w:val="000000"/>
                <w:sz w:val="14"/>
                <w:szCs w:val="14"/>
              </w:rPr>
              <w:t>0</w:t>
            </w:r>
          </w:p>
        </w:tc>
      </w:tr>
      <w:tr w:rsidR="004F64EF" w:rsidRPr="003003C0" w14:paraId="5B9E3069" w14:textId="77777777" w:rsidTr="00FD6B66">
        <w:trPr>
          <w:trHeight w:val="20"/>
        </w:trPr>
        <w:tc>
          <w:tcPr>
            <w:tcW w:w="4246" w:type="dxa"/>
            <w:noWrap/>
            <w:vAlign w:val="center"/>
            <w:hideMark/>
          </w:tcPr>
          <w:p w14:paraId="3A331127" w14:textId="77777777" w:rsidR="004F64EF" w:rsidRPr="003003C0" w:rsidRDefault="004F64EF" w:rsidP="00FD6B66">
            <w:pPr>
              <w:jc w:val="left"/>
              <w:rPr>
                <w:rFonts w:cs="Calibri"/>
                <w:color w:val="000000"/>
                <w:sz w:val="14"/>
                <w:szCs w:val="14"/>
              </w:rPr>
            </w:pPr>
            <w:r w:rsidRPr="003003C0">
              <w:rPr>
                <w:rFonts w:cs="Calibri"/>
                <w:color w:val="000000"/>
                <w:sz w:val="14"/>
                <w:szCs w:val="14"/>
              </w:rPr>
              <w:t xml:space="preserve">11 - </w:t>
            </w:r>
            <w:r>
              <w:rPr>
                <w:rFonts w:cs="Calibri"/>
                <w:color w:val="000000"/>
                <w:sz w:val="14"/>
                <w:szCs w:val="14"/>
              </w:rPr>
              <w:t>T</w:t>
            </w:r>
            <w:r w:rsidRPr="00C70037">
              <w:rPr>
                <w:rFonts w:cs="Calibri"/>
                <w:color w:val="000000"/>
                <w:sz w:val="14"/>
                <w:szCs w:val="14"/>
              </w:rPr>
              <w:t>extiles and textile articles</w:t>
            </w:r>
          </w:p>
        </w:tc>
        <w:tc>
          <w:tcPr>
            <w:tcW w:w="683" w:type="dxa"/>
            <w:noWrap/>
            <w:vAlign w:val="center"/>
            <w:hideMark/>
          </w:tcPr>
          <w:p w14:paraId="5425D75D" w14:textId="77777777" w:rsidR="004F64EF" w:rsidRPr="003003C0" w:rsidRDefault="004F64EF" w:rsidP="00FD6B66">
            <w:pPr>
              <w:jc w:val="right"/>
              <w:rPr>
                <w:rFonts w:cs="Calibri"/>
                <w:color w:val="000000"/>
                <w:sz w:val="14"/>
                <w:szCs w:val="14"/>
              </w:rPr>
            </w:pPr>
            <w:r w:rsidRPr="003003C0">
              <w:rPr>
                <w:rFonts w:cs="Calibri"/>
                <w:color w:val="000000"/>
                <w:sz w:val="14"/>
                <w:szCs w:val="14"/>
              </w:rPr>
              <w:t>23</w:t>
            </w:r>
            <w:r>
              <w:rPr>
                <w:rFonts w:cs="Calibri"/>
                <w:color w:val="000000"/>
                <w:sz w:val="14"/>
                <w:szCs w:val="14"/>
              </w:rPr>
              <w:t>.</w:t>
            </w:r>
            <w:r w:rsidRPr="003003C0">
              <w:rPr>
                <w:rFonts w:cs="Calibri"/>
                <w:color w:val="000000"/>
                <w:sz w:val="14"/>
                <w:szCs w:val="14"/>
              </w:rPr>
              <w:t>2</w:t>
            </w:r>
          </w:p>
        </w:tc>
        <w:tc>
          <w:tcPr>
            <w:tcW w:w="683" w:type="dxa"/>
            <w:noWrap/>
            <w:vAlign w:val="center"/>
            <w:hideMark/>
          </w:tcPr>
          <w:p w14:paraId="4AC3EE97" w14:textId="77777777" w:rsidR="004F64EF" w:rsidRPr="003003C0" w:rsidRDefault="004F64EF" w:rsidP="00FD6B66">
            <w:pPr>
              <w:jc w:val="right"/>
              <w:rPr>
                <w:rFonts w:cs="Calibri"/>
                <w:color w:val="000000"/>
                <w:sz w:val="14"/>
                <w:szCs w:val="14"/>
              </w:rPr>
            </w:pPr>
            <w:r w:rsidRPr="003003C0">
              <w:rPr>
                <w:rFonts w:cs="Calibri"/>
                <w:color w:val="000000"/>
                <w:sz w:val="14"/>
                <w:szCs w:val="14"/>
              </w:rPr>
              <w:t>20</w:t>
            </w:r>
            <w:r>
              <w:rPr>
                <w:rFonts w:cs="Calibri"/>
                <w:color w:val="000000"/>
                <w:sz w:val="14"/>
                <w:szCs w:val="14"/>
              </w:rPr>
              <w:t>.</w:t>
            </w:r>
            <w:r w:rsidRPr="003003C0">
              <w:rPr>
                <w:rFonts w:cs="Calibri"/>
                <w:color w:val="000000"/>
                <w:sz w:val="14"/>
                <w:szCs w:val="14"/>
              </w:rPr>
              <w:t>4</w:t>
            </w:r>
          </w:p>
        </w:tc>
        <w:tc>
          <w:tcPr>
            <w:tcW w:w="683" w:type="dxa"/>
            <w:noWrap/>
            <w:vAlign w:val="center"/>
            <w:hideMark/>
          </w:tcPr>
          <w:p w14:paraId="59A4EE98" w14:textId="77777777" w:rsidR="004F64EF" w:rsidRPr="003003C0" w:rsidRDefault="004F64EF" w:rsidP="00FD6B66">
            <w:pPr>
              <w:jc w:val="right"/>
              <w:rPr>
                <w:rFonts w:cs="Calibri"/>
                <w:color w:val="000000"/>
                <w:sz w:val="14"/>
                <w:szCs w:val="14"/>
              </w:rPr>
            </w:pPr>
            <w:r w:rsidRPr="003003C0">
              <w:rPr>
                <w:rFonts w:cs="Calibri"/>
                <w:color w:val="000000"/>
                <w:sz w:val="14"/>
                <w:szCs w:val="14"/>
              </w:rPr>
              <w:t>19</w:t>
            </w:r>
            <w:r>
              <w:rPr>
                <w:rFonts w:cs="Calibri"/>
                <w:color w:val="000000"/>
                <w:sz w:val="14"/>
                <w:szCs w:val="14"/>
              </w:rPr>
              <w:t>.</w:t>
            </w:r>
            <w:r w:rsidRPr="003003C0">
              <w:rPr>
                <w:rFonts w:cs="Calibri"/>
                <w:color w:val="000000"/>
                <w:sz w:val="14"/>
                <w:szCs w:val="14"/>
              </w:rPr>
              <w:t>3</w:t>
            </w:r>
          </w:p>
        </w:tc>
        <w:tc>
          <w:tcPr>
            <w:tcW w:w="684" w:type="dxa"/>
            <w:noWrap/>
            <w:vAlign w:val="center"/>
            <w:hideMark/>
          </w:tcPr>
          <w:p w14:paraId="276231F5" w14:textId="77777777" w:rsidR="004F64EF" w:rsidRPr="003003C0" w:rsidRDefault="004F64EF" w:rsidP="00FD6B66">
            <w:pPr>
              <w:jc w:val="right"/>
              <w:rPr>
                <w:rFonts w:cs="Calibri"/>
                <w:color w:val="000000"/>
                <w:sz w:val="14"/>
                <w:szCs w:val="14"/>
              </w:rPr>
            </w:pPr>
            <w:r w:rsidRPr="003003C0">
              <w:rPr>
                <w:rFonts w:cs="Calibri"/>
                <w:color w:val="000000"/>
                <w:sz w:val="14"/>
                <w:szCs w:val="14"/>
              </w:rPr>
              <w:t>18</w:t>
            </w:r>
            <w:r>
              <w:rPr>
                <w:rFonts w:cs="Calibri"/>
                <w:color w:val="000000"/>
                <w:sz w:val="14"/>
                <w:szCs w:val="14"/>
              </w:rPr>
              <w:t>.</w:t>
            </w:r>
            <w:r w:rsidRPr="003003C0">
              <w:rPr>
                <w:rFonts w:cs="Calibri"/>
                <w:color w:val="000000"/>
                <w:sz w:val="14"/>
                <w:szCs w:val="14"/>
              </w:rPr>
              <w:t>6</w:t>
            </w:r>
          </w:p>
        </w:tc>
        <w:tc>
          <w:tcPr>
            <w:tcW w:w="683" w:type="dxa"/>
            <w:noWrap/>
            <w:vAlign w:val="center"/>
            <w:hideMark/>
          </w:tcPr>
          <w:p w14:paraId="7D235DB1" w14:textId="77777777" w:rsidR="004F64EF" w:rsidRPr="003003C0" w:rsidRDefault="004F64EF" w:rsidP="00FD6B66">
            <w:pPr>
              <w:jc w:val="right"/>
              <w:rPr>
                <w:rFonts w:cs="Calibri"/>
                <w:color w:val="000000"/>
                <w:sz w:val="14"/>
                <w:szCs w:val="14"/>
              </w:rPr>
            </w:pPr>
            <w:r w:rsidRPr="003003C0">
              <w:rPr>
                <w:rFonts w:cs="Calibri"/>
                <w:color w:val="000000"/>
                <w:sz w:val="14"/>
                <w:szCs w:val="14"/>
              </w:rPr>
              <w:t>17</w:t>
            </w:r>
            <w:r>
              <w:rPr>
                <w:rFonts w:cs="Calibri"/>
                <w:color w:val="000000"/>
                <w:sz w:val="14"/>
                <w:szCs w:val="14"/>
              </w:rPr>
              <w:t>.</w:t>
            </w:r>
            <w:r w:rsidRPr="003003C0">
              <w:rPr>
                <w:rFonts w:cs="Calibri"/>
                <w:color w:val="000000"/>
                <w:sz w:val="14"/>
                <w:szCs w:val="14"/>
              </w:rPr>
              <w:t>3</w:t>
            </w:r>
          </w:p>
        </w:tc>
        <w:tc>
          <w:tcPr>
            <w:tcW w:w="683" w:type="dxa"/>
            <w:noWrap/>
            <w:vAlign w:val="center"/>
            <w:hideMark/>
          </w:tcPr>
          <w:p w14:paraId="50CE3966" w14:textId="77777777" w:rsidR="004F64EF" w:rsidRPr="003003C0" w:rsidRDefault="004F64EF" w:rsidP="00FD6B66">
            <w:pPr>
              <w:jc w:val="right"/>
              <w:rPr>
                <w:rFonts w:cs="Calibri"/>
                <w:color w:val="000000"/>
                <w:sz w:val="14"/>
                <w:szCs w:val="14"/>
              </w:rPr>
            </w:pPr>
            <w:r w:rsidRPr="003003C0">
              <w:rPr>
                <w:rFonts w:cs="Calibri"/>
                <w:color w:val="000000"/>
                <w:sz w:val="14"/>
                <w:szCs w:val="14"/>
              </w:rPr>
              <w:t>10</w:t>
            </w:r>
            <w:r>
              <w:rPr>
                <w:rFonts w:cs="Calibri"/>
                <w:color w:val="000000"/>
                <w:sz w:val="14"/>
                <w:szCs w:val="14"/>
              </w:rPr>
              <w:t>.</w:t>
            </w:r>
            <w:r w:rsidRPr="003003C0">
              <w:rPr>
                <w:rFonts w:cs="Calibri"/>
                <w:color w:val="000000"/>
                <w:sz w:val="14"/>
                <w:szCs w:val="14"/>
              </w:rPr>
              <w:t>8</w:t>
            </w:r>
          </w:p>
        </w:tc>
        <w:tc>
          <w:tcPr>
            <w:tcW w:w="684" w:type="dxa"/>
            <w:noWrap/>
            <w:vAlign w:val="center"/>
            <w:hideMark/>
          </w:tcPr>
          <w:p w14:paraId="127CDFB0" w14:textId="77777777" w:rsidR="004F64EF" w:rsidRPr="003003C0" w:rsidRDefault="004F64EF" w:rsidP="00FD6B66">
            <w:pPr>
              <w:jc w:val="right"/>
              <w:rPr>
                <w:rFonts w:cs="Calibri"/>
                <w:color w:val="000000"/>
                <w:sz w:val="14"/>
                <w:szCs w:val="14"/>
              </w:rPr>
            </w:pPr>
            <w:r w:rsidRPr="003003C0">
              <w:rPr>
                <w:rFonts w:cs="Calibri"/>
                <w:color w:val="000000"/>
                <w:sz w:val="14"/>
                <w:szCs w:val="14"/>
              </w:rPr>
              <w:t>11</w:t>
            </w:r>
            <w:r>
              <w:rPr>
                <w:rFonts w:cs="Calibri"/>
                <w:color w:val="000000"/>
                <w:sz w:val="14"/>
                <w:szCs w:val="14"/>
              </w:rPr>
              <w:t>.</w:t>
            </w:r>
            <w:r w:rsidRPr="003003C0">
              <w:rPr>
                <w:rFonts w:cs="Calibri"/>
                <w:color w:val="000000"/>
                <w:sz w:val="14"/>
                <w:szCs w:val="14"/>
              </w:rPr>
              <w:t>8</w:t>
            </w:r>
          </w:p>
        </w:tc>
      </w:tr>
      <w:tr w:rsidR="004F64EF" w:rsidRPr="003003C0" w14:paraId="45E6C69B" w14:textId="77777777" w:rsidTr="00FD6B66">
        <w:trPr>
          <w:cnfStyle w:val="000000010000" w:firstRow="0" w:lastRow="0" w:firstColumn="0" w:lastColumn="0" w:oddVBand="0" w:evenVBand="0" w:oddHBand="0" w:evenHBand="1" w:firstRowFirstColumn="0" w:firstRowLastColumn="0" w:lastRowFirstColumn="0" w:lastRowLastColumn="0"/>
          <w:trHeight w:val="20"/>
        </w:trPr>
        <w:tc>
          <w:tcPr>
            <w:tcW w:w="4246" w:type="dxa"/>
            <w:noWrap/>
            <w:vAlign w:val="center"/>
            <w:hideMark/>
          </w:tcPr>
          <w:p w14:paraId="5EB4254D" w14:textId="77777777" w:rsidR="004F64EF" w:rsidRPr="003003C0" w:rsidRDefault="004F64EF" w:rsidP="00B22563">
            <w:pPr>
              <w:tabs>
                <w:tab w:val="left" w:pos="227"/>
              </w:tabs>
              <w:ind w:left="227" w:hanging="227"/>
              <w:jc w:val="left"/>
              <w:rPr>
                <w:rFonts w:cs="Calibri"/>
                <w:color w:val="000000"/>
                <w:sz w:val="14"/>
                <w:szCs w:val="14"/>
              </w:rPr>
            </w:pPr>
            <w:r w:rsidRPr="003003C0">
              <w:rPr>
                <w:rFonts w:cs="Calibri"/>
                <w:color w:val="000000"/>
                <w:sz w:val="14"/>
                <w:szCs w:val="14"/>
              </w:rPr>
              <w:tab/>
              <w:t xml:space="preserve">61. </w:t>
            </w:r>
            <w:r w:rsidRPr="00C70037">
              <w:rPr>
                <w:rFonts w:cs="Calibri"/>
                <w:color w:val="000000"/>
                <w:sz w:val="14"/>
                <w:szCs w:val="14"/>
              </w:rPr>
              <w:t>Articles of apparel and clothing accessories, knitted or crocheted</w:t>
            </w:r>
          </w:p>
        </w:tc>
        <w:tc>
          <w:tcPr>
            <w:tcW w:w="683" w:type="dxa"/>
            <w:noWrap/>
            <w:vAlign w:val="center"/>
            <w:hideMark/>
          </w:tcPr>
          <w:p w14:paraId="4007F029" w14:textId="77777777" w:rsidR="004F64EF" w:rsidRPr="003003C0" w:rsidRDefault="004F64EF" w:rsidP="00FD6B66">
            <w:pPr>
              <w:jc w:val="right"/>
              <w:rPr>
                <w:rFonts w:cs="Calibri"/>
                <w:color w:val="000000"/>
                <w:sz w:val="14"/>
                <w:szCs w:val="14"/>
              </w:rPr>
            </w:pPr>
            <w:r w:rsidRPr="003003C0">
              <w:rPr>
                <w:rFonts w:cs="Calibri"/>
                <w:color w:val="000000"/>
                <w:sz w:val="14"/>
                <w:szCs w:val="14"/>
              </w:rPr>
              <w:t>10</w:t>
            </w:r>
            <w:r>
              <w:rPr>
                <w:rFonts w:cs="Calibri"/>
                <w:color w:val="000000"/>
                <w:sz w:val="14"/>
                <w:szCs w:val="14"/>
              </w:rPr>
              <w:t>.</w:t>
            </w:r>
            <w:r w:rsidRPr="003003C0">
              <w:rPr>
                <w:rFonts w:cs="Calibri"/>
                <w:color w:val="000000"/>
                <w:sz w:val="14"/>
                <w:szCs w:val="14"/>
              </w:rPr>
              <w:t>3</w:t>
            </w:r>
          </w:p>
        </w:tc>
        <w:tc>
          <w:tcPr>
            <w:tcW w:w="683" w:type="dxa"/>
            <w:noWrap/>
            <w:vAlign w:val="center"/>
            <w:hideMark/>
          </w:tcPr>
          <w:p w14:paraId="0B953209" w14:textId="77777777" w:rsidR="004F64EF" w:rsidRPr="003003C0" w:rsidRDefault="004F64EF" w:rsidP="00FD6B66">
            <w:pPr>
              <w:jc w:val="right"/>
              <w:rPr>
                <w:rFonts w:cs="Calibri"/>
                <w:color w:val="000000"/>
                <w:sz w:val="14"/>
                <w:szCs w:val="14"/>
              </w:rPr>
            </w:pPr>
            <w:r w:rsidRPr="003003C0">
              <w:rPr>
                <w:rFonts w:cs="Calibri"/>
                <w:color w:val="000000"/>
                <w:sz w:val="14"/>
                <w:szCs w:val="14"/>
              </w:rPr>
              <w:t>10</w:t>
            </w:r>
            <w:r>
              <w:rPr>
                <w:rFonts w:cs="Calibri"/>
                <w:color w:val="000000"/>
                <w:sz w:val="14"/>
                <w:szCs w:val="14"/>
              </w:rPr>
              <w:t>.</w:t>
            </w:r>
            <w:r w:rsidRPr="003003C0">
              <w:rPr>
                <w:rFonts w:cs="Calibri"/>
                <w:color w:val="000000"/>
                <w:sz w:val="14"/>
                <w:szCs w:val="14"/>
              </w:rPr>
              <w:t>0</w:t>
            </w:r>
          </w:p>
        </w:tc>
        <w:tc>
          <w:tcPr>
            <w:tcW w:w="683" w:type="dxa"/>
            <w:noWrap/>
            <w:vAlign w:val="center"/>
            <w:hideMark/>
          </w:tcPr>
          <w:p w14:paraId="75AD2E47" w14:textId="77777777" w:rsidR="004F64EF" w:rsidRPr="003003C0" w:rsidRDefault="004F64EF" w:rsidP="00FD6B66">
            <w:pPr>
              <w:jc w:val="right"/>
              <w:rPr>
                <w:rFonts w:cs="Calibri"/>
                <w:color w:val="000000"/>
                <w:sz w:val="14"/>
                <w:szCs w:val="14"/>
              </w:rPr>
            </w:pPr>
            <w:r w:rsidRPr="003003C0">
              <w:rPr>
                <w:rFonts w:cs="Calibri"/>
                <w:color w:val="000000"/>
                <w:sz w:val="14"/>
                <w:szCs w:val="14"/>
              </w:rPr>
              <w:t>9</w:t>
            </w:r>
            <w:r>
              <w:rPr>
                <w:rFonts w:cs="Calibri"/>
                <w:color w:val="000000"/>
                <w:sz w:val="14"/>
                <w:szCs w:val="14"/>
              </w:rPr>
              <w:t>.</w:t>
            </w:r>
            <w:r w:rsidRPr="003003C0">
              <w:rPr>
                <w:rFonts w:cs="Calibri"/>
                <w:color w:val="000000"/>
                <w:sz w:val="14"/>
                <w:szCs w:val="14"/>
              </w:rPr>
              <w:t>9</w:t>
            </w:r>
          </w:p>
        </w:tc>
        <w:tc>
          <w:tcPr>
            <w:tcW w:w="684" w:type="dxa"/>
            <w:noWrap/>
            <w:vAlign w:val="center"/>
            <w:hideMark/>
          </w:tcPr>
          <w:p w14:paraId="0FD53DAD" w14:textId="77777777" w:rsidR="004F64EF" w:rsidRPr="003003C0" w:rsidRDefault="004F64EF" w:rsidP="00FD6B66">
            <w:pPr>
              <w:jc w:val="right"/>
              <w:rPr>
                <w:rFonts w:cs="Calibri"/>
                <w:color w:val="000000"/>
                <w:sz w:val="14"/>
                <w:szCs w:val="14"/>
              </w:rPr>
            </w:pPr>
            <w:r w:rsidRPr="003003C0">
              <w:rPr>
                <w:rFonts w:cs="Calibri"/>
                <w:color w:val="000000"/>
                <w:sz w:val="14"/>
                <w:szCs w:val="14"/>
              </w:rPr>
              <w:t>10</w:t>
            </w:r>
            <w:r>
              <w:rPr>
                <w:rFonts w:cs="Calibri"/>
                <w:color w:val="000000"/>
                <w:sz w:val="14"/>
                <w:szCs w:val="14"/>
              </w:rPr>
              <w:t>.</w:t>
            </w:r>
            <w:r w:rsidRPr="003003C0">
              <w:rPr>
                <w:rFonts w:cs="Calibri"/>
                <w:color w:val="000000"/>
                <w:sz w:val="14"/>
                <w:szCs w:val="14"/>
              </w:rPr>
              <w:t>4</w:t>
            </w:r>
          </w:p>
        </w:tc>
        <w:tc>
          <w:tcPr>
            <w:tcW w:w="683" w:type="dxa"/>
            <w:noWrap/>
            <w:vAlign w:val="center"/>
            <w:hideMark/>
          </w:tcPr>
          <w:p w14:paraId="02ABCE46" w14:textId="77777777" w:rsidR="004F64EF" w:rsidRPr="003003C0" w:rsidRDefault="004F64EF" w:rsidP="00FD6B66">
            <w:pPr>
              <w:jc w:val="right"/>
              <w:rPr>
                <w:rFonts w:cs="Calibri"/>
                <w:color w:val="000000"/>
                <w:sz w:val="14"/>
                <w:szCs w:val="14"/>
              </w:rPr>
            </w:pPr>
            <w:r w:rsidRPr="003003C0">
              <w:rPr>
                <w:rFonts w:cs="Calibri"/>
                <w:color w:val="000000"/>
                <w:sz w:val="14"/>
                <w:szCs w:val="14"/>
              </w:rPr>
              <w:t>9</w:t>
            </w:r>
            <w:r>
              <w:rPr>
                <w:rFonts w:cs="Calibri"/>
                <w:color w:val="000000"/>
                <w:sz w:val="14"/>
                <w:szCs w:val="14"/>
              </w:rPr>
              <w:t>.</w:t>
            </w:r>
            <w:r w:rsidRPr="003003C0">
              <w:rPr>
                <w:rFonts w:cs="Calibri"/>
                <w:color w:val="000000"/>
                <w:sz w:val="14"/>
                <w:szCs w:val="14"/>
              </w:rPr>
              <w:t>8</w:t>
            </w:r>
          </w:p>
        </w:tc>
        <w:tc>
          <w:tcPr>
            <w:tcW w:w="683" w:type="dxa"/>
            <w:noWrap/>
            <w:vAlign w:val="center"/>
            <w:hideMark/>
          </w:tcPr>
          <w:p w14:paraId="1414FE4B" w14:textId="77777777" w:rsidR="004F64EF" w:rsidRPr="003003C0" w:rsidRDefault="004F64EF" w:rsidP="00FD6B66">
            <w:pPr>
              <w:jc w:val="right"/>
              <w:rPr>
                <w:rFonts w:cs="Calibri"/>
                <w:color w:val="000000"/>
                <w:sz w:val="14"/>
                <w:szCs w:val="14"/>
              </w:rPr>
            </w:pPr>
            <w:r w:rsidRPr="003003C0">
              <w:rPr>
                <w:rFonts w:cs="Calibri"/>
                <w:color w:val="000000"/>
                <w:sz w:val="14"/>
                <w:szCs w:val="14"/>
              </w:rPr>
              <w:t>5</w:t>
            </w:r>
            <w:r>
              <w:rPr>
                <w:rFonts w:cs="Calibri"/>
                <w:color w:val="000000"/>
                <w:sz w:val="14"/>
                <w:szCs w:val="14"/>
              </w:rPr>
              <w:t>.</w:t>
            </w:r>
            <w:r w:rsidRPr="003003C0">
              <w:rPr>
                <w:rFonts w:cs="Calibri"/>
                <w:color w:val="000000"/>
                <w:sz w:val="14"/>
                <w:szCs w:val="14"/>
              </w:rPr>
              <w:t>3</w:t>
            </w:r>
          </w:p>
        </w:tc>
        <w:tc>
          <w:tcPr>
            <w:tcW w:w="684" w:type="dxa"/>
            <w:noWrap/>
            <w:vAlign w:val="center"/>
            <w:hideMark/>
          </w:tcPr>
          <w:p w14:paraId="046C32D5" w14:textId="77777777" w:rsidR="004F64EF" w:rsidRPr="003003C0" w:rsidRDefault="004F64EF" w:rsidP="00FD6B66">
            <w:pPr>
              <w:jc w:val="right"/>
              <w:rPr>
                <w:rFonts w:cs="Calibri"/>
                <w:color w:val="000000"/>
                <w:sz w:val="14"/>
                <w:szCs w:val="14"/>
              </w:rPr>
            </w:pPr>
            <w:r w:rsidRPr="003003C0">
              <w:rPr>
                <w:rFonts w:cs="Calibri"/>
                <w:color w:val="000000"/>
                <w:sz w:val="14"/>
                <w:szCs w:val="14"/>
              </w:rPr>
              <w:t>6</w:t>
            </w:r>
            <w:r>
              <w:rPr>
                <w:rFonts w:cs="Calibri"/>
                <w:color w:val="000000"/>
                <w:sz w:val="14"/>
                <w:szCs w:val="14"/>
              </w:rPr>
              <w:t>.</w:t>
            </w:r>
            <w:r w:rsidRPr="003003C0">
              <w:rPr>
                <w:rFonts w:cs="Calibri"/>
                <w:color w:val="000000"/>
                <w:sz w:val="14"/>
                <w:szCs w:val="14"/>
              </w:rPr>
              <w:t>2</w:t>
            </w:r>
          </w:p>
        </w:tc>
      </w:tr>
      <w:tr w:rsidR="004F64EF" w:rsidRPr="003003C0" w14:paraId="329B30AA" w14:textId="77777777" w:rsidTr="00FD6B66">
        <w:trPr>
          <w:trHeight w:val="20"/>
        </w:trPr>
        <w:tc>
          <w:tcPr>
            <w:tcW w:w="4246" w:type="dxa"/>
            <w:noWrap/>
            <w:vAlign w:val="center"/>
            <w:hideMark/>
          </w:tcPr>
          <w:p w14:paraId="415E0F1C" w14:textId="77777777" w:rsidR="004F64EF" w:rsidRPr="003003C0" w:rsidRDefault="004F64EF" w:rsidP="00FD6B66">
            <w:pPr>
              <w:tabs>
                <w:tab w:val="left" w:pos="227"/>
              </w:tabs>
              <w:jc w:val="left"/>
              <w:rPr>
                <w:rFonts w:cs="Calibri"/>
                <w:color w:val="000000"/>
                <w:sz w:val="14"/>
                <w:szCs w:val="14"/>
              </w:rPr>
            </w:pPr>
            <w:r w:rsidRPr="003003C0">
              <w:rPr>
                <w:rFonts w:cs="Calibri"/>
                <w:color w:val="000000"/>
                <w:sz w:val="14"/>
                <w:szCs w:val="14"/>
              </w:rPr>
              <w:tab/>
              <w:t xml:space="preserve">52. </w:t>
            </w:r>
            <w:r>
              <w:rPr>
                <w:rFonts w:cs="Calibri"/>
                <w:color w:val="000000"/>
                <w:sz w:val="14"/>
                <w:szCs w:val="14"/>
              </w:rPr>
              <w:t>Cotton</w:t>
            </w:r>
          </w:p>
        </w:tc>
        <w:tc>
          <w:tcPr>
            <w:tcW w:w="683" w:type="dxa"/>
            <w:noWrap/>
            <w:vAlign w:val="center"/>
            <w:hideMark/>
          </w:tcPr>
          <w:p w14:paraId="5076871A" w14:textId="77777777" w:rsidR="004F64EF" w:rsidRPr="003003C0" w:rsidRDefault="004F64EF" w:rsidP="00FD6B66">
            <w:pPr>
              <w:jc w:val="right"/>
              <w:rPr>
                <w:rFonts w:cs="Calibri"/>
                <w:color w:val="000000"/>
                <w:sz w:val="14"/>
                <w:szCs w:val="14"/>
              </w:rPr>
            </w:pPr>
            <w:r w:rsidRPr="003003C0">
              <w:rPr>
                <w:rFonts w:cs="Calibri"/>
                <w:color w:val="000000"/>
                <w:sz w:val="14"/>
                <w:szCs w:val="14"/>
              </w:rPr>
              <w:t>4</w:t>
            </w:r>
            <w:r>
              <w:rPr>
                <w:rFonts w:cs="Calibri"/>
                <w:color w:val="000000"/>
                <w:sz w:val="14"/>
                <w:szCs w:val="14"/>
              </w:rPr>
              <w:t>.</w:t>
            </w:r>
            <w:r w:rsidRPr="003003C0">
              <w:rPr>
                <w:rFonts w:cs="Calibri"/>
                <w:color w:val="000000"/>
                <w:sz w:val="14"/>
                <w:szCs w:val="14"/>
              </w:rPr>
              <w:t>2</w:t>
            </w:r>
          </w:p>
        </w:tc>
        <w:tc>
          <w:tcPr>
            <w:tcW w:w="683" w:type="dxa"/>
            <w:noWrap/>
            <w:vAlign w:val="center"/>
            <w:hideMark/>
          </w:tcPr>
          <w:p w14:paraId="6E29D9CB" w14:textId="77777777" w:rsidR="004F64EF" w:rsidRPr="003003C0" w:rsidRDefault="004F64EF" w:rsidP="00FD6B66">
            <w:pPr>
              <w:jc w:val="right"/>
              <w:rPr>
                <w:rFonts w:cs="Calibri"/>
                <w:color w:val="000000"/>
                <w:sz w:val="14"/>
                <w:szCs w:val="14"/>
              </w:rPr>
            </w:pPr>
            <w:r w:rsidRPr="003003C0">
              <w:rPr>
                <w:rFonts w:cs="Calibri"/>
                <w:color w:val="000000"/>
                <w:sz w:val="14"/>
                <w:szCs w:val="14"/>
              </w:rPr>
              <w:t>2</w:t>
            </w:r>
            <w:r>
              <w:rPr>
                <w:rFonts w:cs="Calibri"/>
                <w:color w:val="000000"/>
                <w:sz w:val="14"/>
                <w:szCs w:val="14"/>
              </w:rPr>
              <w:t>.</w:t>
            </w:r>
            <w:r w:rsidRPr="003003C0">
              <w:rPr>
                <w:rFonts w:cs="Calibri"/>
                <w:color w:val="000000"/>
                <w:sz w:val="14"/>
                <w:szCs w:val="14"/>
              </w:rPr>
              <w:t>0</w:t>
            </w:r>
          </w:p>
        </w:tc>
        <w:tc>
          <w:tcPr>
            <w:tcW w:w="683" w:type="dxa"/>
            <w:noWrap/>
            <w:vAlign w:val="center"/>
            <w:hideMark/>
          </w:tcPr>
          <w:p w14:paraId="5695296B" w14:textId="77777777" w:rsidR="004F64EF" w:rsidRPr="003003C0" w:rsidRDefault="004F64EF" w:rsidP="00FD6B66">
            <w:pPr>
              <w:jc w:val="right"/>
              <w:rPr>
                <w:rFonts w:cs="Calibri"/>
                <w:color w:val="000000"/>
                <w:sz w:val="14"/>
                <w:szCs w:val="14"/>
              </w:rPr>
            </w:pPr>
            <w:r w:rsidRPr="003003C0">
              <w:rPr>
                <w:rFonts w:cs="Calibri"/>
                <w:color w:val="000000"/>
                <w:sz w:val="14"/>
                <w:szCs w:val="14"/>
              </w:rPr>
              <w:t>2</w:t>
            </w:r>
            <w:r>
              <w:rPr>
                <w:rFonts w:cs="Calibri"/>
                <w:color w:val="000000"/>
                <w:sz w:val="14"/>
                <w:szCs w:val="14"/>
              </w:rPr>
              <w:t>.</w:t>
            </w:r>
            <w:r w:rsidRPr="003003C0">
              <w:rPr>
                <w:rFonts w:cs="Calibri"/>
                <w:color w:val="000000"/>
                <w:sz w:val="14"/>
                <w:szCs w:val="14"/>
              </w:rPr>
              <w:t>2</w:t>
            </w:r>
          </w:p>
        </w:tc>
        <w:tc>
          <w:tcPr>
            <w:tcW w:w="684" w:type="dxa"/>
            <w:noWrap/>
            <w:vAlign w:val="center"/>
            <w:hideMark/>
          </w:tcPr>
          <w:p w14:paraId="3362E4A2" w14:textId="77777777" w:rsidR="004F64EF" w:rsidRPr="003003C0" w:rsidRDefault="004F64EF" w:rsidP="00FD6B66">
            <w:pPr>
              <w:jc w:val="right"/>
              <w:rPr>
                <w:rFonts w:cs="Calibri"/>
                <w:color w:val="000000"/>
                <w:sz w:val="14"/>
                <w:szCs w:val="14"/>
              </w:rPr>
            </w:pPr>
            <w:r w:rsidRPr="003003C0">
              <w:rPr>
                <w:rFonts w:cs="Calibri"/>
                <w:color w:val="000000"/>
                <w:sz w:val="14"/>
                <w:szCs w:val="14"/>
              </w:rPr>
              <w:t>2</w:t>
            </w:r>
            <w:r>
              <w:rPr>
                <w:rFonts w:cs="Calibri"/>
                <w:color w:val="000000"/>
                <w:sz w:val="14"/>
                <w:szCs w:val="14"/>
              </w:rPr>
              <w:t>.</w:t>
            </w:r>
            <w:r w:rsidRPr="003003C0">
              <w:rPr>
                <w:rFonts w:cs="Calibri"/>
                <w:color w:val="000000"/>
                <w:sz w:val="14"/>
                <w:szCs w:val="14"/>
              </w:rPr>
              <w:t>9</w:t>
            </w:r>
          </w:p>
        </w:tc>
        <w:tc>
          <w:tcPr>
            <w:tcW w:w="683" w:type="dxa"/>
            <w:noWrap/>
            <w:vAlign w:val="center"/>
            <w:hideMark/>
          </w:tcPr>
          <w:p w14:paraId="73E9F0DE" w14:textId="77777777" w:rsidR="004F64EF" w:rsidRPr="003003C0" w:rsidRDefault="004F64EF" w:rsidP="00FD6B66">
            <w:pPr>
              <w:jc w:val="right"/>
              <w:rPr>
                <w:rFonts w:cs="Calibri"/>
                <w:color w:val="000000"/>
                <w:sz w:val="14"/>
                <w:szCs w:val="14"/>
              </w:rPr>
            </w:pPr>
            <w:r w:rsidRPr="003003C0">
              <w:rPr>
                <w:rFonts w:cs="Calibri"/>
                <w:color w:val="000000"/>
                <w:sz w:val="14"/>
                <w:szCs w:val="14"/>
              </w:rPr>
              <w:t>2</w:t>
            </w:r>
            <w:r>
              <w:rPr>
                <w:rFonts w:cs="Calibri"/>
                <w:color w:val="000000"/>
                <w:sz w:val="14"/>
                <w:szCs w:val="14"/>
              </w:rPr>
              <w:t>.</w:t>
            </w:r>
            <w:r w:rsidRPr="003003C0">
              <w:rPr>
                <w:rFonts w:cs="Calibri"/>
                <w:color w:val="000000"/>
                <w:sz w:val="14"/>
                <w:szCs w:val="14"/>
              </w:rPr>
              <w:t>7</w:t>
            </w:r>
          </w:p>
        </w:tc>
        <w:tc>
          <w:tcPr>
            <w:tcW w:w="683" w:type="dxa"/>
            <w:noWrap/>
            <w:vAlign w:val="center"/>
            <w:hideMark/>
          </w:tcPr>
          <w:p w14:paraId="70CA6291" w14:textId="77777777" w:rsidR="004F64EF" w:rsidRPr="003003C0" w:rsidRDefault="004F64EF" w:rsidP="00FD6B66">
            <w:pPr>
              <w:jc w:val="right"/>
              <w:rPr>
                <w:rFonts w:cs="Calibri"/>
                <w:color w:val="000000"/>
                <w:sz w:val="14"/>
                <w:szCs w:val="14"/>
              </w:rPr>
            </w:pPr>
            <w:r w:rsidRPr="003003C0">
              <w:rPr>
                <w:rFonts w:cs="Calibri"/>
                <w:color w:val="000000"/>
                <w:sz w:val="14"/>
                <w:szCs w:val="14"/>
              </w:rPr>
              <w:t>2</w:t>
            </w:r>
            <w:r>
              <w:rPr>
                <w:rFonts w:cs="Calibri"/>
                <w:color w:val="000000"/>
                <w:sz w:val="14"/>
                <w:szCs w:val="14"/>
              </w:rPr>
              <w:t>.</w:t>
            </w:r>
            <w:r w:rsidRPr="003003C0">
              <w:rPr>
                <w:rFonts w:cs="Calibri"/>
                <w:color w:val="000000"/>
                <w:sz w:val="14"/>
                <w:szCs w:val="14"/>
              </w:rPr>
              <w:t>0</w:t>
            </w:r>
          </w:p>
        </w:tc>
        <w:tc>
          <w:tcPr>
            <w:tcW w:w="684" w:type="dxa"/>
            <w:noWrap/>
            <w:vAlign w:val="center"/>
            <w:hideMark/>
          </w:tcPr>
          <w:p w14:paraId="1F344080" w14:textId="77777777" w:rsidR="004F64EF" w:rsidRPr="003003C0" w:rsidRDefault="004F64EF" w:rsidP="00FD6B66">
            <w:pPr>
              <w:jc w:val="right"/>
              <w:rPr>
                <w:rFonts w:cs="Calibri"/>
                <w:color w:val="000000"/>
                <w:sz w:val="14"/>
                <w:szCs w:val="14"/>
              </w:rPr>
            </w:pPr>
            <w:r w:rsidRPr="003003C0">
              <w:rPr>
                <w:rFonts w:cs="Calibri"/>
                <w:color w:val="000000"/>
                <w:sz w:val="14"/>
                <w:szCs w:val="14"/>
              </w:rPr>
              <w:t>2</w:t>
            </w:r>
            <w:r>
              <w:rPr>
                <w:rFonts w:cs="Calibri"/>
                <w:color w:val="000000"/>
                <w:sz w:val="14"/>
                <w:szCs w:val="14"/>
              </w:rPr>
              <w:t>.</w:t>
            </w:r>
            <w:r w:rsidRPr="003003C0">
              <w:rPr>
                <w:rFonts w:cs="Calibri"/>
                <w:color w:val="000000"/>
                <w:sz w:val="14"/>
                <w:szCs w:val="14"/>
              </w:rPr>
              <w:t>6</w:t>
            </w:r>
          </w:p>
        </w:tc>
      </w:tr>
      <w:tr w:rsidR="004F64EF" w:rsidRPr="003003C0" w14:paraId="0F90E8EE" w14:textId="77777777" w:rsidTr="00FD6B66">
        <w:trPr>
          <w:cnfStyle w:val="000000010000" w:firstRow="0" w:lastRow="0" w:firstColumn="0" w:lastColumn="0" w:oddVBand="0" w:evenVBand="0" w:oddHBand="0" w:evenHBand="1" w:firstRowFirstColumn="0" w:firstRowLastColumn="0" w:lastRowFirstColumn="0" w:lastRowLastColumn="0"/>
          <w:trHeight w:val="20"/>
        </w:trPr>
        <w:tc>
          <w:tcPr>
            <w:tcW w:w="4246" w:type="dxa"/>
            <w:noWrap/>
            <w:vAlign w:val="center"/>
            <w:hideMark/>
          </w:tcPr>
          <w:p w14:paraId="06A6AC26" w14:textId="77777777" w:rsidR="004F64EF" w:rsidRPr="003003C0" w:rsidRDefault="004F64EF" w:rsidP="00B22563">
            <w:pPr>
              <w:tabs>
                <w:tab w:val="left" w:pos="227"/>
              </w:tabs>
              <w:ind w:left="227" w:hanging="227"/>
              <w:jc w:val="left"/>
              <w:rPr>
                <w:rFonts w:cs="Calibri"/>
                <w:color w:val="000000"/>
                <w:sz w:val="14"/>
                <w:szCs w:val="14"/>
              </w:rPr>
            </w:pPr>
            <w:r w:rsidRPr="003003C0">
              <w:rPr>
                <w:rFonts w:cs="Calibri"/>
                <w:color w:val="000000"/>
                <w:sz w:val="14"/>
                <w:szCs w:val="14"/>
              </w:rPr>
              <w:tab/>
              <w:t xml:space="preserve">62. </w:t>
            </w:r>
            <w:r w:rsidRPr="00C70037">
              <w:rPr>
                <w:rFonts w:cs="Calibri"/>
                <w:color w:val="000000"/>
                <w:sz w:val="14"/>
                <w:szCs w:val="14"/>
              </w:rPr>
              <w:t>Articles of apparel and clothing accessories, not knitted or crocheted</w:t>
            </w:r>
          </w:p>
        </w:tc>
        <w:tc>
          <w:tcPr>
            <w:tcW w:w="683" w:type="dxa"/>
            <w:noWrap/>
            <w:vAlign w:val="center"/>
            <w:hideMark/>
          </w:tcPr>
          <w:p w14:paraId="4326DEBC" w14:textId="77777777" w:rsidR="004F64EF" w:rsidRPr="003003C0" w:rsidRDefault="004F64EF" w:rsidP="00FD6B66">
            <w:pPr>
              <w:jc w:val="right"/>
              <w:rPr>
                <w:rFonts w:cs="Calibri"/>
                <w:color w:val="000000"/>
                <w:sz w:val="14"/>
                <w:szCs w:val="14"/>
              </w:rPr>
            </w:pPr>
            <w:r w:rsidRPr="003003C0">
              <w:rPr>
                <w:rFonts w:cs="Calibri"/>
                <w:color w:val="000000"/>
                <w:sz w:val="14"/>
                <w:szCs w:val="14"/>
              </w:rPr>
              <w:t>6</w:t>
            </w:r>
            <w:r>
              <w:rPr>
                <w:rFonts w:cs="Calibri"/>
                <w:color w:val="000000"/>
                <w:sz w:val="14"/>
                <w:szCs w:val="14"/>
              </w:rPr>
              <w:t>.</w:t>
            </w:r>
            <w:r w:rsidRPr="003003C0">
              <w:rPr>
                <w:rFonts w:cs="Calibri"/>
                <w:color w:val="000000"/>
                <w:sz w:val="14"/>
                <w:szCs w:val="14"/>
              </w:rPr>
              <w:t>2</w:t>
            </w:r>
          </w:p>
        </w:tc>
        <w:tc>
          <w:tcPr>
            <w:tcW w:w="683" w:type="dxa"/>
            <w:noWrap/>
            <w:vAlign w:val="center"/>
            <w:hideMark/>
          </w:tcPr>
          <w:p w14:paraId="453B9D3A" w14:textId="77777777" w:rsidR="004F64EF" w:rsidRPr="003003C0" w:rsidRDefault="004F64EF" w:rsidP="00FD6B66">
            <w:pPr>
              <w:jc w:val="right"/>
              <w:rPr>
                <w:rFonts w:cs="Calibri"/>
                <w:color w:val="000000"/>
                <w:sz w:val="14"/>
                <w:szCs w:val="14"/>
              </w:rPr>
            </w:pPr>
            <w:r w:rsidRPr="003003C0">
              <w:rPr>
                <w:rFonts w:cs="Calibri"/>
                <w:color w:val="000000"/>
                <w:sz w:val="14"/>
                <w:szCs w:val="14"/>
              </w:rPr>
              <w:t>5</w:t>
            </w:r>
            <w:r>
              <w:rPr>
                <w:rFonts w:cs="Calibri"/>
                <w:color w:val="000000"/>
                <w:sz w:val="14"/>
                <w:szCs w:val="14"/>
              </w:rPr>
              <w:t>.</w:t>
            </w:r>
            <w:r w:rsidRPr="003003C0">
              <w:rPr>
                <w:rFonts w:cs="Calibri"/>
                <w:color w:val="000000"/>
                <w:sz w:val="14"/>
                <w:szCs w:val="14"/>
              </w:rPr>
              <w:t>8</w:t>
            </w:r>
          </w:p>
        </w:tc>
        <w:tc>
          <w:tcPr>
            <w:tcW w:w="683" w:type="dxa"/>
            <w:noWrap/>
            <w:vAlign w:val="center"/>
            <w:hideMark/>
          </w:tcPr>
          <w:p w14:paraId="1B0B8620" w14:textId="77777777" w:rsidR="004F64EF" w:rsidRPr="003003C0" w:rsidRDefault="004F64EF" w:rsidP="00FD6B66">
            <w:pPr>
              <w:jc w:val="right"/>
              <w:rPr>
                <w:rFonts w:cs="Calibri"/>
                <w:color w:val="000000"/>
                <w:sz w:val="14"/>
                <w:szCs w:val="14"/>
              </w:rPr>
            </w:pPr>
            <w:r w:rsidRPr="003003C0">
              <w:rPr>
                <w:rFonts w:cs="Calibri"/>
                <w:color w:val="000000"/>
                <w:sz w:val="14"/>
                <w:szCs w:val="14"/>
              </w:rPr>
              <w:t>5</w:t>
            </w:r>
            <w:r>
              <w:rPr>
                <w:rFonts w:cs="Calibri"/>
                <w:color w:val="000000"/>
                <w:sz w:val="14"/>
                <w:szCs w:val="14"/>
              </w:rPr>
              <w:t>.</w:t>
            </w:r>
            <w:r w:rsidRPr="003003C0">
              <w:rPr>
                <w:rFonts w:cs="Calibri"/>
                <w:color w:val="000000"/>
                <w:sz w:val="14"/>
                <w:szCs w:val="14"/>
              </w:rPr>
              <w:t>0</w:t>
            </w:r>
          </w:p>
        </w:tc>
        <w:tc>
          <w:tcPr>
            <w:tcW w:w="684" w:type="dxa"/>
            <w:noWrap/>
            <w:vAlign w:val="center"/>
            <w:hideMark/>
          </w:tcPr>
          <w:p w14:paraId="24253B1D" w14:textId="77777777" w:rsidR="004F64EF" w:rsidRPr="003003C0" w:rsidRDefault="004F64EF" w:rsidP="00FD6B66">
            <w:pPr>
              <w:jc w:val="right"/>
              <w:rPr>
                <w:rFonts w:cs="Calibri"/>
                <w:color w:val="000000"/>
                <w:sz w:val="14"/>
                <w:szCs w:val="14"/>
              </w:rPr>
            </w:pPr>
            <w:r w:rsidRPr="003003C0">
              <w:rPr>
                <w:rFonts w:cs="Calibri"/>
                <w:color w:val="000000"/>
                <w:sz w:val="14"/>
                <w:szCs w:val="14"/>
              </w:rPr>
              <w:t>3</w:t>
            </w:r>
            <w:r>
              <w:rPr>
                <w:rFonts w:cs="Calibri"/>
                <w:color w:val="000000"/>
                <w:sz w:val="14"/>
                <w:szCs w:val="14"/>
              </w:rPr>
              <w:t>.</w:t>
            </w:r>
            <w:r w:rsidRPr="003003C0">
              <w:rPr>
                <w:rFonts w:cs="Calibri"/>
                <w:color w:val="000000"/>
                <w:sz w:val="14"/>
                <w:szCs w:val="14"/>
              </w:rPr>
              <w:t>3</w:t>
            </w:r>
          </w:p>
        </w:tc>
        <w:tc>
          <w:tcPr>
            <w:tcW w:w="683" w:type="dxa"/>
            <w:noWrap/>
            <w:vAlign w:val="center"/>
            <w:hideMark/>
          </w:tcPr>
          <w:p w14:paraId="435997EF" w14:textId="77777777" w:rsidR="004F64EF" w:rsidRPr="003003C0" w:rsidRDefault="004F64EF" w:rsidP="00FD6B66">
            <w:pPr>
              <w:jc w:val="right"/>
              <w:rPr>
                <w:rFonts w:cs="Calibri"/>
                <w:color w:val="000000"/>
                <w:sz w:val="14"/>
                <w:szCs w:val="14"/>
              </w:rPr>
            </w:pPr>
            <w:r w:rsidRPr="003003C0">
              <w:rPr>
                <w:rFonts w:cs="Calibri"/>
                <w:color w:val="000000"/>
                <w:sz w:val="14"/>
                <w:szCs w:val="14"/>
              </w:rPr>
              <w:t>2</w:t>
            </w:r>
            <w:r>
              <w:rPr>
                <w:rFonts w:cs="Calibri"/>
                <w:color w:val="000000"/>
                <w:sz w:val="14"/>
                <w:szCs w:val="14"/>
              </w:rPr>
              <w:t>.</w:t>
            </w:r>
            <w:r w:rsidRPr="003003C0">
              <w:rPr>
                <w:rFonts w:cs="Calibri"/>
                <w:color w:val="000000"/>
                <w:sz w:val="14"/>
                <w:szCs w:val="14"/>
              </w:rPr>
              <w:t>9</w:t>
            </w:r>
          </w:p>
        </w:tc>
        <w:tc>
          <w:tcPr>
            <w:tcW w:w="683" w:type="dxa"/>
            <w:noWrap/>
            <w:vAlign w:val="center"/>
            <w:hideMark/>
          </w:tcPr>
          <w:p w14:paraId="5F2681D7" w14:textId="77777777" w:rsidR="004F64EF" w:rsidRPr="003003C0" w:rsidRDefault="004F64EF" w:rsidP="00FD6B66">
            <w:pPr>
              <w:jc w:val="right"/>
              <w:rPr>
                <w:rFonts w:cs="Calibri"/>
                <w:color w:val="000000"/>
                <w:sz w:val="14"/>
                <w:szCs w:val="14"/>
              </w:rPr>
            </w:pPr>
            <w:r w:rsidRPr="003003C0">
              <w:rPr>
                <w:rFonts w:cs="Calibri"/>
                <w:color w:val="000000"/>
                <w:sz w:val="14"/>
                <w:szCs w:val="14"/>
              </w:rPr>
              <w:t>1</w:t>
            </w:r>
            <w:r>
              <w:rPr>
                <w:rFonts w:cs="Calibri"/>
                <w:color w:val="000000"/>
                <w:sz w:val="14"/>
                <w:szCs w:val="14"/>
              </w:rPr>
              <w:t>.</w:t>
            </w:r>
            <w:r w:rsidRPr="003003C0">
              <w:rPr>
                <w:rFonts w:cs="Calibri"/>
                <w:color w:val="000000"/>
                <w:sz w:val="14"/>
                <w:szCs w:val="14"/>
              </w:rPr>
              <w:t>2</w:t>
            </w:r>
          </w:p>
        </w:tc>
        <w:tc>
          <w:tcPr>
            <w:tcW w:w="684" w:type="dxa"/>
            <w:noWrap/>
            <w:vAlign w:val="center"/>
            <w:hideMark/>
          </w:tcPr>
          <w:p w14:paraId="63500306" w14:textId="77777777" w:rsidR="004F64EF" w:rsidRPr="003003C0" w:rsidRDefault="004F64EF" w:rsidP="00FD6B66">
            <w:pPr>
              <w:jc w:val="right"/>
              <w:rPr>
                <w:rFonts w:cs="Calibri"/>
                <w:color w:val="000000"/>
                <w:sz w:val="14"/>
                <w:szCs w:val="14"/>
              </w:rPr>
            </w:pPr>
            <w:r w:rsidRPr="003003C0">
              <w:rPr>
                <w:rFonts w:cs="Calibri"/>
                <w:color w:val="000000"/>
                <w:sz w:val="14"/>
                <w:szCs w:val="14"/>
              </w:rPr>
              <w:t>1</w:t>
            </w:r>
            <w:r>
              <w:rPr>
                <w:rFonts w:cs="Calibri"/>
                <w:color w:val="000000"/>
                <w:sz w:val="14"/>
                <w:szCs w:val="14"/>
              </w:rPr>
              <w:t>.</w:t>
            </w:r>
            <w:r w:rsidRPr="003003C0">
              <w:rPr>
                <w:rFonts w:cs="Calibri"/>
                <w:color w:val="000000"/>
                <w:sz w:val="14"/>
                <w:szCs w:val="14"/>
              </w:rPr>
              <w:t>3</w:t>
            </w:r>
          </w:p>
        </w:tc>
      </w:tr>
      <w:tr w:rsidR="004F64EF" w:rsidRPr="003003C0" w14:paraId="281372A6" w14:textId="77777777" w:rsidTr="00FD6B66">
        <w:trPr>
          <w:trHeight w:val="20"/>
        </w:trPr>
        <w:tc>
          <w:tcPr>
            <w:tcW w:w="4246" w:type="dxa"/>
            <w:noWrap/>
            <w:vAlign w:val="center"/>
            <w:hideMark/>
          </w:tcPr>
          <w:p w14:paraId="4544AD94" w14:textId="77777777" w:rsidR="004F64EF" w:rsidRPr="003003C0" w:rsidRDefault="004F64EF" w:rsidP="00B22563">
            <w:pPr>
              <w:tabs>
                <w:tab w:val="left" w:pos="227"/>
              </w:tabs>
              <w:ind w:left="227" w:hanging="227"/>
              <w:jc w:val="left"/>
              <w:rPr>
                <w:rFonts w:cs="Calibri"/>
                <w:color w:val="000000"/>
                <w:sz w:val="14"/>
                <w:szCs w:val="14"/>
              </w:rPr>
            </w:pPr>
            <w:r w:rsidRPr="003003C0">
              <w:rPr>
                <w:rFonts w:cs="Calibri"/>
                <w:color w:val="000000"/>
                <w:sz w:val="14"/>
                <w:szCs w:val="14"/>
              </w:rPr>
              <w:tab/>
              <w:t xml:space="preserve">63. </w:t>
            </w:r>
            <w:r w:rsidRPr="00C70037">
              <w:rPr>
                <w:rFonts w:cs="Calibri"/>
                <w:color w:val="000000"/>
                <w:sz w:val="14"/>
                <w:szCs w:val="14"/>
              </w:rPr>
              <w:t>Other made up textile articles; sets; worn clothing and worn textile articles; rags</w:t>
            </w:r>
          </w:p>
        </w:tc>
        <w:tc>
          <w:tcPr>
            <w:tcW w:w="683" w:type="dxa"/>
            <w:noWrap/>
            <w:vAlign w:val="center"/>
            <w:hideMark/>
          </w:tcPr>
          <w:p w14:paraId="76C3ECAA" w14:textId="77777777" w:rsidR="004F64EF" w:rsidRPr="003003C0" w:rsidRDefault="004F64EF" w:rsidP="00FD6B66">
            <w:pPr>
              <w:jc w:val="right"/>
              <w:rPr>
                <w:rFonts w:cs="Calibri"/>
                <w:color w:val="000000"/>
                <w:sz w:val="14"/>
                <w:szCs w:val="14"/>
              </w:rPr>
            </w:pPr>
            <w:r w:rsidRPr="003003C0">
              <w:rPr>
                <w:rFonts w:cs="Calibri"/>
                <w:color w:val="000000"/>
                <w:sz w:val="14"/>
                <w:szCs w:val="14"/>
              </w:rPr>
              <w:t>1</w:t>
            </w:r>
            <w:r>
              <w:rPr>
                <w:rFonts w:cs="Calibri"/>
                <w:color w:val="000000"/>
                <w:sz w:val="14"/>
                <w:szCs w:val="14"/>
              </w:rPr>
              <w:t>.</w:t>
            </w:r>
            <w:r w:rsidRPr="003003C0">
              <w:rPr>
                <w:rFonts w:cs="Calibri"/>
                <w:color w:val="000000"/>
                <w:sz w:val="14"/>
                <w:szCs w:val="14"/>
              </w:rPr>
              <w:t>6</w:t>
            </w:r>
          </w:p>
        </w:tc>
        <w:tc>
          <w:tcPr>
            <w:tcW w:w="683" w:type="dxa"/>
            <w:noWrap/>
            <w:vAlign w:val="center"/>
            <w:hideMark/>
          </w:tcPr>
          <w:p w14:paraId="555B3728" w14:textId="77777777" w:rsidR="004F64EF" w:rsidRPr="003003C0" w:rsidRDefault="004F64EF" w:rsidP="00FD6B66">
            <w:pPr>
              <w:jc w:val="right"/>
              <w:rPr>
                <w:rFonts w:cs="Calibri"/>
                <w:color w:val="000000"/>
                <w:sz w:val="14"/>
                <w:szCs w:val="14"/>
              </w:rPr>
            </w:pPr>
            <w:r w:rsidRPr="003003C0">
              <w:rPr>
                <w:rFonts w:cs="Calibri"/>
                <w:color w:val="000000"/>
                <w:sz w:val="14"/>
                <w:szCs w:val="14"/>
              </w:rPr>
              <w:t>1</w:t>
            </w:r>
            <w:r>
              <w:rPr>
                <w:rFonts w:cs="Calibri"/>
                <w:color w:val="000000"/>
                <w:sz w:val="14"/>
                <w:szCs w:val="14"/>
              </w:rPr>
              <w:t>.</w:t>
            </w:r>
            <w:r w:rsidRPr="003003C0">
              <w:rPr>
                <w:rFonts w:cs="Calibri"/>
                <w:color w:val="000000"/>
                <w:sz w:val="14"/>
                <w:szCs w:val="14"/>
              </w:rPr>
              <w:t>9</w:t>
            </w:r>
          </w:p>
        </w:tc>
        <w:tc>
          <w:tcPr>
            <w:tcW w:w="683" w:type="dxa"/>
            <w:noWrap/>
            <w:vAlign w:val="center"/>
            <w:hideMark/>
          </w:tcPr>
          <w:p w14:paraId="275FEE0C" w14:textId="77777777" w:rsidR="004F64EF" w:rsidRPr="003003C0" w:rsidRDefault="004F64EF" w:rsidP="00FD6B66">
            <w:pPr>
              <w:jc w:val="right"/>
              <w:rPr>
                <w:rFonts w:cs="Calibri"/>
                <w:color w:val="000000"/>
                <w:sz w:val="14"/>
                <w:szCs w:val="14"/>
              </w:rPr>
            </w:pPr>
            <w:r w:rsidRPr="003003C0">
              <w:rPr>
                <w:rFonts w:cs="Calibri"/>
                <w:color w:val="000000"/>
                <w:sz w:val="14"/>
                <w:szCs w:val="14"/>
              </w:rPr>
              <w:t>1</w:t>
            </w:r>
            <w:r>
              <w:rPr>
                <w:rFonts w:cs="Calibri"/>
                <w:color w:val="000000"/>
                <w:sz w:val="14"/>
                <w:szCs w:val="14"/>
              </w:rPr>
              <w:t>.</w:t>
            </w:r>
            <w:r w:rsidRPr="003003C0">
              <w:rPr>
                <w:rFonts w:cs="Calibri"/>
                <w:color w:val="000000"/>
                <w:sz w:val="14"/>
                <w:szCs w:val="14"/>
              </w:rPr>
              <w:t>4</w:t>
            </w:r>
          </w:p>
        </w:tc>
        <w:tc>
          <w:tcPr>
            <w:tcW w:w="684" w:type="dxa"/>
            <w:noWrap/>
            <w:vAlign w:val="center"/>
            <w:hideMark/>
          </w:tcPr>
          <w:p w14:paraId="263C0725" w14:textId="77777777" w:rsidR="004F64EF" w:rsidRPr="003003C0" w:rsidRDefault="004F64EF" w:rsidP="00FD6B66">
            <w:pPr>
              <w:jc w:val="right"/>
              <w:rPr>
                <w:rFonts w:cs="Calibri"/>
                <w:color w:val="000000"/>
                <w:sz w:val="14"/>
                <w:szCs w:val="14"/>
              </w:rPr>
            </w:pPr>
            <w:r w:rsidRPr="003003C0">
              <w:rPr>
                <w:rFonts w:cs="Calibri"/>
                <w:color w:val="000000"/>
                <w:sz w:val="14"/>
                <w:szCs w:val="14"/>
              </w:rPr>
              <w:t>1</w:t>
            </w:r>
            <w:r>
              <w:rPr>
                <w:rFonts w:cs="Calibri"/>
                <w:color w:val="000000"/>
                <w:sz w:val="14"/>
                <w:szCs w:val="14"/>
              </w:rPr>
              <w:t>.</w:t>
            </w:r>
            <w:r w:rsidRPr="003003C0">
              <w:rPr>
                <w:rFonts w:cs="Calibri"/>
                <w:color w:val="000000"/>
                <w:sz w:val="14"/>
                <w:szCs w:val="14"/>
              </w:rPr>
              <w:t>4</w:t>
            </w:r>
          </w:p>
        </w:tc>
        <w:tc>
          <w:tcPr>
            <w:tcW w:w="683" w:type="dxa"/>
            <w:noWrap/>
            <w:vAlign w:val="center"/>
            <w:hideMark/>
          </w:tcPr>
          <w:p w14:paraId="67EAE68A" w14:textId="77777777" w:rsidR="004F64EF" w:rsidRPr="003003C0" w:rsidRDefault="004F64EF" w:rsidP="00FD6B66">
            <w:pPr>
              <w:jc w:val="right"/>
              <w:rPr>
                <w:rFonts w:cs="Calibri"/>
                <w:color w:val="000000"/>
                <w:sz w:val="14"/>
                <w:szCs w:val="14"/>
              </w:rPr>
            </w:pPr>
            <w:r w:rsidRPr="003003C0">
              <w:rPr>
                <w:rFonts w:cs="Calibri"/>
                <w:color w:val="000000"/>
                <w:sz w:val="14"/>
                <w:szCs w:val="14"/>
              </w:rPr>
              <w:t>1</w:t>
            </w:r>
            <w:r>
              <w:rPr>
                <w:rFonts w:cs="Calibri"/>
                <w:color w:val="000000"/>
                <w:sz w:val="14"/>
                <w:szCs w:val="14"/>
              </w:rPr>
              <w:t>.</w:t>
            </w:r>
            <w:r w:rsidRPr="003003C0">
              <w:rPr>
                <w:rFonts w:cs="Calibri"/>
                <w:color w:val="000000"/>
                <w:sz w:val="14"/>
                <w:szCs w:val="14"/>
              </w:rPr>
              <w:t>4</w:t>
            </w:r>
          </w:p>
        </w:tc>
        <w:tc>
          <w:tcPr>
            <w:tcW w:w="683" w:type="dxa"/>
            <w:noWrap/>
            <w:vAlign w:val="center"/>
            <w:hideMark/>
          </w:tcPr>
          <w:p w14:paraId="399B1CA4" w14:textId="77777777" w:rsidR="004F64EF" w:rsidRPr="003003C0" w:rsidRDefault="004F64EF" w:rsidP="00FD6B66">
            <w:pPr>
              <w:jc w:val="right"/>
              <w:rPr>
                <w:rFonts w:cs="Calibri"/>
                <w:color w:val="000000"/>
                <w:sz w:val="14"/>
                <w:szCs w:val="14"/>
              </w:rPr>
            </w:pPr>
            <w:r w:rsidRPr="003003C0">
              <w:rPr>
                <w:rFonts w:cs="Calibri"/>
                <w:color w:val="000000"/>
                <w:sz w:val="14"/>
                <w:szCs w:val="14"/>
              </w:rPr>
              <w:t>1</w:t>
            </w:r>
            <w:r>
              <w:rPr>
                <w:rFonts w:cs="Calibri"/>
                <w:color w:val="000000"/>
                <w:sz w:val="14"/>
                <w:szCs w:val="14"/>
              </w:rPr>
              <w:t>.</w:t>
            </w:r>
            <w:r w:rsidRPr="003003C0">
              <w:rPr>
                <w:rFonts w:cs="Calibri"/>
                <w:color w:val="000000"/>
                <w:sz w:val="14"/>
                <w:szCs w:val="14"/>
              </w:rPr>
              <w:t>7</w:t>
            </w:r>
          </w:p>
        </w:tc>
        <w:tc>
          <w:tcPr>
            <w:tcW w:w="684" w:type="dxa"/>
            <w:noWrap/>
            <w:vAlign w:val="center"/>
            <w:hideMark/>
          </w:tcPr>
          <w:p w14:paraId="0EA6979F" w14:textId="77777777" w:rsidR="004F64EF" w:rsidRPr="003003C0" w:rsidRDefault="004F64EF" w:rsidP="00FD6B66">
            <w:pPr>
              <w:jc w:val="right"/>
              <w:rPr>
                <w:rFonts w:cs="Calibri"/>
                <w:color w:val="000000"/>
                <w:sz w:val="14"/>
                <w:szCs w:val="14"/>
              </w:rPr>
            </w:pPr>
            <w:r w:rsidRPr="003003C0">
              <w:rPr>
                <w:rFonts w:cs="Calibri"/>
                <w:color w:val="000000"/>
                <w:sz w:val="14"/>
                <w:szCs w:val="14"/>
              </w:rPr>
              <w:t>1</w:t>
            </w:r>
            <w:r>
              <w:rPr>
                <w:rFonts w:cs="Calibri"/>
                <w:color w:val="000000"/>
                <w:sz w:val="14"/>
                <w:szCs w:val="14"/>
              </w:rPr>
              <w:t>.</w:t>
            </w:r>
            <w:r w:rsidRPr="003003C0">
              <w:rPr>
                <w:rFonts w:cs="Calibri"/>
                <w:color w:val="000000"/>
                <w:sz w:val="14"/>
                <w:szCs w:val="14"/>
              </w:rPr>
              <w:t>2</w:t>
            </w:r>
          </w:p>
        </w:tc>
      </w:tr>
      <w:tr w:rsidR="004F64EF" w:rsidRPr="003003C0" w14:paraId="394F53E3" w14:textId="77777777" w:rsidTr="00FD6B66">
        <w:trPr>
          <w:cnfStyle w:val="000000010000" w:firstRow="0" w:lastRow="0" w:firstColumn="0" w:lastColumn="0" w:oddVBand="0" w:evenVBand="0" w:oddHBand="0" w:evenHBand="1" w:firstRowFirstColumn="0" w:firstRowLastColumn="0" w:lastRowFirstColumn="0" w:lastRowLastColumn="0"/>
          <w:trHeight w:val="20"/>
        </w:trPr>
        <w:tc>
          <w:tcPr>
            <w:tcW w:w="4246" w:type="dxa"/>
            <w:noWrap/>
            <w:vAlign w:val="center"/>
            <w:hideMark/>
          </w:tcPr>
          <w:p w14:paraId="0D221383" w14:textId="77777777" w:rsidR="004F64EF" w:rsidRPr="003003C0" w:rsidRDefault="004F64EF" w:rsidP="00FD6B66">
            <w:pPr>
              <w:jc w:val="left"/>
              <w:rPr>
                <w:rFonts w:cs="Calibri"/>
                <w:color w:val="000000"/>
                <w:sz w:val="14"/>
                <w:szCs w:val="14"/>
              </w:rPr>
            </w:pPr>
            <w:r w:rsidRPr="003003C0">
              <w:rPr>
                <w:rFonts w:cs="Calibri"/>
                <w:color w:val="000000"/>
                <w:sz w:val="14"/>
                <w:szCs w:val="14"/>
              </w:rPr>
              <w:t xml:space="preserve">12 - </w:t>
            </w:r>
            <w:r w:rsidRPr="00FD0EA2">
              <w:rPr>
                <w:rFonts w:cs="Calibri"/>
                <w:color w:val="000000"/>
                <w:sz w:val="14"/>
                <w:szCs w:val="14"/>
              </w:rPr>
              <w:t>Footwear, headgear, umbrellas, sun umbrellas, walking-sticks, seat-sticks, whips, riding-crops and parts thereof; prepared feathers and articles made therewith</w:t>
            </w:r>
          </w:p>
        </w:tc>
        <w:tc>
          <w:tcPr>
            <w:tcW w:w="683" w:type="dxa"/>
            <w:noWrap/>
            <w:vAlign w:val="center"/>
            <w:hideMark/>
          </w:tcPr>
          <w:p w14:paraId="6F534DD2" w14:textId="77777777" w:rsidR="004F64EF" w:rsidRPr="003003C0" w:rsidRDefault="004F64EF" w:rsidP="00FD6B66">
            <w:pPr>
              <w:jc w:val="right"/>
              <w:rPr>
                <w:rFonts w:cs="Calibri"/>
                <w:color w:val="000000"/>
                <w:sz w:val="14"/>
                <w:szCs w:val="14"/>
              </w:rPr>
            </w:pPr>
            <w:r w:rsidRPr="003003C0">
              <w:rPr>
                <w:rFonts w:cs="Calibri"/>
                <w:color w:val="000000"/>
                <w:sz w:val="14"/>
                <w:szCs w:val="14"/>
              </w:rPr>
              <w:t>8</w:t>
            </w:r>
            <w:r>
              <w:rPr>
                <w:rFonts w:cs="Calibri"/>
                <w:color w:val="000000"/>
                <w:sz w:val="14"/>
                <w:szCs w:val="14"/>
              </w:rPr>
              <w:t>.</w:t>
            </w:r>
            <w:r w:rsidRPr="003003C0">
              <w:rPr>
                <w:rFonts w:cs="Calibri"/>
                <w:color w:val="000000"/>
                <w:sz w:val="14"/>
                <w:szCs w:val="14"/>
              </w:rPr>
              <w:t>3</w:t>
            </w:r>
          </w:p>
        </w:tc>
        <w:tc>
          <w:tcPr>
            <w:tcW w:w="683" w:type="dxa"/>
            <w:noWrap/>
            <w:vAlign w:val="center"/>
            <w:hideMark/>
          </w:tcPr>
          <w:p w14:paraId="69DD6B32" w14:textId="77777777" w:rsidR="004F64EF" w:rsidRPr="003003C0" w:rsidRDefault="004F64EF" w:rsidP="00FD6B66">
            <w:pPr>
              <w:jc w:val="right"/>
              <w:rPr>
                <w:rFonts w:cs="Calibri"/>
                <w:color w:val="000000"/>
                <w:sz w:val="14"/>
                <w:szCs w:val="14"/>
              </w:rPr>
            </w:pPr>
            <w:r w:rsidRPr="003003C0">
              <w:rPr>
                <w:rFonts w:cs="Calibri"/>
                <w:color w:val="000000"/>
                <w:sz w:val="14"/>
                <w:szCs w:val="14"/>
              </w:rPr>
              <w:t>6</w:t>
            </w:r>
            <w:r>
              <w:rPr>
                <w:rFonts w:cs="Calibri"/>
                <w:color w:val="000000"/>
                <w:sz w:val="14"/>
                <w:szCs w:val="14"/>
              </w:rPr>
              <w:t>.</w:t>
            </w:r>
            <w:r w:rsidRPr="003003C0">
              <w:rPr>
                <w:rFonts w:cs="Calibri"/>
                <w:color w:val="000000"/>
                <w:sz w:val="14"/>
                <w:szCs w:val="14"/>
              </w:rPr>
              <w:t>9</w:t>
            </w:r>
          </w:p>
        </w:tc>
        <w:tc>
          <w:tcPr>
            <w:tcW w:w="683" w:type="dxa"/>
            <w:noWrap/>
            <w:vAlign w:val="center"/>
            <w:hideMark/>
          </w:tcPr>
          <w:p w14:paraId="6E664B62" w14:textId="77777777" w:rsidR="004F64EF" w:rsidRPr="003003C0" w:rsidRDefault="004F64EF" w:rsidP="00FD6B66">
            <w:pPr>
              <w:jc w:val="right"/>
              <w:rPr>
                <w:rFonts w:cs="Calibri"/>
                <w:color w:val="000000"/>
                <w:sz w:val="14"/>
                <w:szCs w:val="14"/>
              </w:rPr>
            </w:pPr>
            <w:r w:rsidRPr="003003C0">
              <w:rPr>
                <w:rFonts w:cs="Calibri"/>
                <w:color w:val="000000"/>
                <w:sz w:val="14"/>
                <w:szCs w:val="14"/>
              </w:rPr>
              <w:t>6</w:t>
            </w:r>
            <w:r>
              <w:rPr>
                <w:rFonts w:cs="Calibri"/>
                <w:color w:val="000000"/>
                <w:sz w:val="14"/>
                <w:szCs w:val="14"/>
              </w:rPr>
              <w:t>.</w:t>
            </w:r>
            <w:r w:rsidRPr="003003C0">
              <w:rPr>
                <w:rFonts w:cs="Calibri"/>
                <w:color w:val="000000"/>
                <w:sz w:val="14"/>
                <w:szCs w:val="14"/>
              </w:rPr>
              <w:t>9</w:t>
            </w:r>
          </w:p>
        </w:tc>
        <w:tc>
          <w:tcPr>
            <w:tcW w:w="684" w:type="dxa"/>
            <w:noWrap/>
            <w:vAlign w:val="center"/>
            <w:hideMark/>
          </w:tcPr>
          <w:p w14:paraId="6566CFDB" w14:textId="77777777" w:rsidR="004F64EF" w:rsidRPr="003003C0" w:rsidRDefault="004F64EF" w:rsidP="00FD6B66">
            <w:pPr>
              <w:jc w:val="right"/>
              <w:rPr>
                <w:rFonts w:cs="Calibri"/>
                <w:color w:val="000000"/>
                <w:sz w:val="14"/>
                <w:szCs w:val="14"/>
              </w:rPr>
            </w:pPr>
            <w:r w:rsidRPr="003003C0">
              <w:rPr>
                <w:rFonts w:cs="Calibri"/>
                <w:color w:val="000000"/>
                <w:sz w:val="14"/>
                <w:szCs w:val="14"/>
              </w:rPr>
              <w:t>5</w:t>
            </w:r>
            <w:r>
              <w:rPr>
                <w:rFonts w:cs="Calibri"/>
                <w:color w:val="000000"/>
                <w:sz w:val="14"/>
                <w:szCs w:val="14"/>
              </w:rPr>
              <w:t>.</w:t>
            </w:r>
            <w:r w:rsidRPr="003003C0">
              <w:rPr>
                <w:rFonts w:cs="Calibri"/>
                <w:color w:val="000000"/>
                <w:sz w:val="14"/>
                <w:szCs w:val="14"/>
              </w:rPr>
              <w:t>1</w:t>
            </w:r>
          </w:p>
        </w:tc>
        <w:tc>
          <w:tcPr>
            <w:tcW w:w="683" w:type="dxa"/>
            <w:noWrap/>
            <w:vAlign w:val="center"/>
            <w:hideMark/>
          </w:tcPr>
          <w:p w14:paraId="3440FC12" w14:textId="77777777" w:rsidR="004F64EF" w:rsidRPr="003003C0" w:rsidRDefault="004F64EF" w:rsidP="00FD6B66">
            <w:pPr>
              <w:jc w:val="right"/>
              <w:rPr>
                <w:rFonts w:cs="Calibri"/>
                <w:color w:val="000000"/>
                <w:sz w:val="14"/>
                <w:szCs w:val="14"/>
              </w:rPr>
            </w:pPr>
            <w:r w:rsidRPr="003003C0">
              <w:rPr>
                <w:rFonts w:cs="Calibri"/>
                <w:color w:val="000000"/>
                <w:sz w:val="14"/>
                <w:szCs w:val="14"/>
              </w:rPr>
              <w:t>4</w:t>
            </w:r>
            <w:r>
              <w:rPr>
                <w:rFonts w:cs="Calibri"/>
                <w:color w:val="000000"/>
                <w:sz w:val="14"/>
                <w:szCs w:val="14"/>
              </w:rPr>
              <w:t>.</w:t>
            </w:r>
            <w:r w:rsidRPr="003003C0">
              <w:rPr>
                <w:rFonts w:cs="Calibri"/>
                <w:color w:val="000000"/>
                <w:sz w:val="14"/>
                <w:szCs w:val="14"/>
              </w:rPr>
              <w:t>6</w:t>
            </w:r>
          </w:p>
        </w:tc>
        <w:tc>
          <w:tcPr>
            <w:tcW w:w="683" w:type="dxa"/>
            <w:noWrap/>
            <w:vAlign w:val="center"/>
            <w:hideMark/>
          </w:tcPr>
          <w:p w14:paraId="3C130D84" w14:textId="77777777" w:rsidR="004F64EF" w:rsidRPr="003003C0" w:rsidRDefault="004F64EF" w:rsidP="00FD6B66">
            <w:pPr>
              <w:jc w:val="right"/>
              <w:rPr>
                <w:rFonts w:cs="Calibri"/>
                <w:color w:val="000000"/>
                <w:sz w:val="14"/>
                <w:szCs w:val="14"/>
              </w:rPr>
            </w:pPr>
            <w:r w:rsidRPr="003003C0">
              <w:rPr>
                <w:rFonts w:cs="Calibri"/>
                <w:color w:val="000000"/>
                <w:sz w:val="14"/>
                <w:szCs w:val="14"/>
              </w:rPr>
              <w:t>3</w:t>
            </w:r>
            <w:r>
              <w:rPr>
                <w:rFonts w:cs="Calibri"/>
                <w:color w:val="000000"/>
                <w:sz w:val="14"/>
                <w:szCs w:val="14"/>
              </w:rPr>
              <w:t>.</w:t>
            </w:r>
            <w:r w:rsidRPr="003003C0">
              <w:rPr>
                <w:rFonts w:cs="Calibri"/>
                <w:color w:val="000000"/>
                <w:sz w:val="14"/>
                <w:szCs w:val="14"/>
              </w:rPr>
              <w:t>6</w:t>
            </w:r>
          </w:p>
        </w:tc>
        <w:tc>
          <w:tcPr>
            <w:tcW w:w="684" w:type="dxa"/>
            <w:noWrap/>
            <w:vAlign w:val="center"/>
            <w:hideMark/>
          </w:tcPr>
          <w:p w14:paraId="41FA45AA" w14:textId="77777777" w:rsidR="004F64EF" w:rsidRPr="003003C0" w:rsidRDefault="004F64EF" w:rsidP="00FD6B66">
            <w:pPr>
              <w:jc w:val="right"/>
              <w:rPr>
                <w:rFonts w:cs="Calibri"/>
                <w:color w:val="000000"/>
                <w:sz w:val="14"/>
                <w:szCs w:val="14"/>
              </w:rPr>
            </w:pPr>
            <w:r w:rsidRPr="003003C0">
              <w:rPr>
                <w:rFonts w:cs="Calibri"/>
                <w:color w:val="000000"/>
                <w:sz w:val="14"/>
                <w:szCs w:val="14"/>
              </w:rPr>
              <w:t>2</w:t>
            </w:r>
            <w:r>
              <w:rPr>
                <w:rFonts w:cs="Calibri"/>
                <w:color w:val="000000"/>
                <w:sz w:val="14"/>
                <w:szCs w:val="14"/>
              </w:rPr>
              <w:t>.</w:t>
            </w:r>
            <w:r w:rsidRPr="003003C0">
              <w:rPr>
                <w:rFonts w:cs="Calibri"/>
                <w:color w:val="000000"/>
                <w:sz w:val="14"/>
                <w:szCs w:val="14"/>
              </w:rPr>
              <w:t>9</w:t>
            </w:r>
          </w:p>
        </w:tc>
      </w:tr>
      <w:tr w:rsidR="004F64EF" w:rsidRPr="003003C0" w14:paraId="2FDF7059" w14:textId="77777777" w:rsidTr="00FD6B66">
        <w:trPr>
          <w:trHeight w:val="20"/>
        </w:trPr>
        <w:tc>
          <w:tcPr>
            <w:tcW w:w="4246" w:type="dxa"/>
            <w:noWrap/>
            <w:vAlign w:val="center"/>
            <w:hideMark/>
          </w:tcPr>
          <w:p w14:paraId="33521018" w14:textId="77777777" w:rsidR="004F64EF" w:rsidRPr="003003C0" w:rsidRDefault="004F64EF" w:rsidP="00B22563">
            <w:pPr>
              <w:tabs>
                <w:tab w:val="left" w:pos="227"/>
              </w:tabs>
              <w:ind w:left="227" w:hanging="227"/>
              <w:jc w:val="left"/>
              <w:rPr>
                <w:rFonts w:cs="Calibri"/>
                <w:color w:val="000000"/>
                <w:sz w:val="14"/>
                <w:szCs w:val="14"/>
              </w:rPr>
            </w:pPr>
            <w:r w:rsidRPr="003003C0">
              <w:rPr>
                <w:rFonts w:cs="Calibri"/>
                <w:color w:val="000000"/>
                <w:sz w:val="14"/>
                <w:szCs w:val="14"/>
              </w:rPr>
              <w:tab/>
              <w:t xml:space="preserve">64. </w:t>
            </w:r>
            <w:r w:rsidRPr="00FD0EA2">
              <w:rPr>
                <w:rFonts w:cs="Calibri"/>
                <w:color w:val="000000"/>
                <w:sz w:val="14"/>
                <w:szCs w:val="14"/>
              </w:rPr>
              <w:t>Footwear, gaiters and the like; parts of such articles</w:t>
            </w:r>
          </w:p>
        </w:tc>
        <w:tc>
          <w:tcPr>
            <w:tcW w:w="683" w:type="dxa"/>
            <w:noWrap/>
            <w:vAlign w:val="center"/>
            <w:hideMark/>
          </w:tcPr>
          <w:p w14:paraId="6E404062" w14:textId="77777777" w:rsidR="004F64EF" w:rsidRPr="003003C0" w:rsidRDefault="004F64EF" w:rsidP="00FD6B66">
            <w:pPr>
              <w:jc w:val="right"/>
              <w:rPr>
                <w:rFonts w:cs="Calibri"/>
                <w:color w:val="000000"/>
                <w:sz w:val="14"/>
                <w:szCs w:val="14"/>
              </w:rPr>
            </w:pPr>
            <w:r w:rsidRPr="003003C0">
              <w:rPr>
                <w:rFonts w:cs="Calibri"/>
                <w:color w:val="000000"/>
                <w:sz w:val="14"/>
                <w:szCs w:val="14"/>
              </w:rPr>
              <w:t>8</w:t>
            </w:r>
            <w:r>
              <w:rPr>
                <w:rFonts w:cs="Calibri"/>
                <w:color w:val="000000"/>
                <w:sz w:val="14"/>
                <w:szCs w:val="14"/>
              </w:rPr>
              <w:t>.</w:t>
            </w:r>
            <w:r w:rsidRPr="003003C0">
              <w:rPr>
                <w:rFonts w:cs="Calibri"/>
                <w:color w:val="000000"/>
                <w:sz w:val="14"/>
                <w:szCs w:val="14"/>
              </w:rPr>
              <w:t>2</w:t>
            </w:r>
          </w:p>
        </w:tc>
        <w:tc>
          <w:tcPr>
            <w:tcW w:w="683" w:type="dxa"/>
            <w:noWrap/>
            <w:vAlign w:val="center"/>
            <w:hideMark/>
          </w:tcPr>
          <w:p w14:paraId="31F2DD5F" w14:textId="77777777" w:rsidR="004F64EF" w:rsidRPr="003003C0" w:rsidRDefault="004F64EF" w:rsidP="00FD6B66">
            <w:pPr>
              <w:jc w:val="right"/>
              <w:rPr>
                <w:rFonts w:cs="Calibri"/>
                <w:color w:val="000000"/>
                <w:sz w:val="14"/>
                <w:szCs w:val="14"/>
              </w:rPr>
            </w:pPr>
            <w:r w:rsidRPr="003003C0">
              <w:rPr>
                <w:rFonts w:cs="Calibri"/>
                <w:color w:val="000000"/>
                <w:sz w:val="14"/>
                <w:szCs w:val="14"/>
              </w:rPr>
              <w:t>6</w:t>
            </w:r>
            <w:r>
              <w:rPr>
                <w:rFonts w:cs="Calibri"/>
                <w:color w:val="000000"/>
                <w:sz w:val="14"/>
                <w:szCs w:val="14"/>
              </w:rPr>
              <w:t>.</w:t>
            </w:r>
            <w:r w:rsidRPr="003003C0">
              <w:rPr>
                <w:rFonts w:cs="Calibri"/>
                <w:color w:val="000000"/>
                <w:sz w:val="14"/>
                <w:szCs w:val="14"/>
              </w:rPr>
              <w:t>8</w:t>
            </w:r>
          </w:p>
        </w:tc>
        <w:tc>
          <w:tcPr>
            <w:tcW w:w="683" w:type="dxa"/>
            <w:noWrap/>
            <w:vAlign w:val="center"/>
            <w:hideMark/>
          </w:tcPr>
          <w:p w14:paraId="4D236365" w14:textId="77777777" w:rsidR="004F64EF" w:rsidRPr="003003C0" w:rsidRDefault="004F64EF" w:rsidP="00FD6B66">
            <w:pPr>
              <w:jc w:val="right"/>
              <w:rPr>
                <w:rFonts w:cs="Calibri"/>
                <w:color w:val="000000"/>
                <w:sz w:val="14"/>
                <w:szCs w:val="14"/>
              </w:rPr>
            </w:pPr>
            <w:r w:rsidRPr="003003C0">
              <w:rPr>
                <w:rFonts w:cs="Calibri"/>
                <w:color w:val="000000"/>
                <w:sz w:val="14"/>
                <w:szCs w:val="14"/>
              </w:rPr>
              <w:t>6</w:t>
            </w:r>
            <w:r>
              <w:rPr>
                <w:rFonts w:cs="Calibri"/>
                <w:color w:val="000000"/>
                <w:sz w:val="14"/>
                <w:szCs w:val="14"/>
              </w:rPr>
              <w:t>.</w:t>
            </w:r>
            <w:r w:rsidRPr="003003C0">
              <w:rPr>
                <w:rFonts w:cs="Calibri"/>
                <w:color w:val="000000"/>
                <w:sz w:val="14"/>
                <w:szCs w:val="14"/>
              </w:rPr>
              <w:t>8</w:t>
            </w:r>
          </w:p>
        </w:tc>
        <w:tc>
          <w:tcPr>
            <w:tcW w:w="684" w:type="dxa"/>
            <w:noWrap/>
            <w:vAlign w:val="center"/>
            <w:hideMark/>
          </w:tcPr>
          <w:p w14:paraId="61A90A62" w14:textId="77777777" w:rsidR="004F64EF" w:rsidRPr="003003C0" w:rsidRDefault="004F64EF" w:rsidP="00FD6B66">
            <w:pPr>
              <w:jc w:val="right"/>
              <w:rPr>
                <w:rFonts w:cs="Calibri"/>
                <w:color w:val="000000"/>
                <w:sz w:val="14"/>
                <w:szCs w:val="14"/>
              </w:rPr>
            </w:pPr>
            <w:r w:rsidRPr="003003C0">
              <w:rPr>
                <w:rFonts w:cs="Calibri"/>
                <w:color w:val="000000"/>
                <w:sz w:val="14"/>
                <w:szCs w:val="14"/>
              </w:rPr>
              <w:t>5</w:t>
            </w:r>
            <w:r>
              <w:rPr>
                <w:rFonts w:cs="Calibri"/>
                <w:color w:val="000000"/>
                <w:sz w:val="14"/>
                <w:szCs w:val="14"/>
              </w:rPr>
              <w:t>.</w:t>
            </w:r>
            <w:r w:rsidRPr="003003C0">
              <w:rPr>
                <w:rFonts w:cs="Calibri"/>
                <w:color w:val="000000"/>
                <w:sz w:val="14"/>
                <w:szCs w:val="14"/>
              </w:rPr>
              <w:t>1</w:t>
            </w:r>
          </w:p>
        </w:tc>
        <w:tc>
          <w:tcPr>
            <w:tcW w:w="683" w:type="dxa"/>
            <w:noWrap/>
            <w:vAlign w:val="center"/>
            <w:hideMark/>
          </w:tcPr>
          <w:p w14:paraId="2D0032A3" w14:textId="77777777" w:rsidR="004F64EF" w:rsidRPr="003003C0" w:rsidRDefault="004F64EF" w:rsidP="00FD6B66">
            <w:pPr>
              <w:jc w:val="right"/>
              <w:rPr>
                <w:rFonts w:cs="Calibri"/>
                <w:color w:val="000000"/>
                <w:sz w:val="14"/>
                <w:szCs w:val="14"/>
              </w:rPr>
            </w:pPr>
            <w:r w:rsidRPr="003003C0">
              <w:rPr>
                <w:rFonts w:cs="Calibri"/>
                <w:color w:val="000000"/>
                <w:sz w:val="14"/>
                <w:szCs w:val="14"/>
              </w:rPr>
              <w:t>4</w:t>
            </w:r>
            <w:r>
              <w:rPr>
                <w:rFonts w:cs="Calibri"/>
                <w:color w:val="000000"/>
                <w:sz w:val="14"/>
                <w:szCs w:val="14"/>
              </w:rPr>
              <w:t>.</w:t>
            </w:r>
            <w:r w:rsidRPr="003003C0">
              <w:rPr>
                <w:rFonts w:cs="Calibri"/>
                <w:color w:val="000000"/>
                <w:sz w:val="14"/>
                <w:szCs w:val="14"/>
              </w:rPr>
              <w:t>6</w:t>
            </w:r>
          </w:p>
        </w:tc>
        <w:tc>
          <w:tcPr>
            <w:tcW w:w="683" w:type="dxa"/>
            <w:noWrap/>
            <w:vAlign w:val="center"/>
            <w:hideMark/>
          </w:tcPr>
          <w:p w14:paraId="7BA3534E" w14:textId="77777777" w:rsidR="004F64EF" w:rsidRPr="003003C0" w:rsidRDefault="004F64EF" w:rsidP="00FD6B66">
            <w:pPr>
              <w:jc w:val="right"/>
              <w:rPr>
                <w:rFonts w:cs="Calibri"/>
                <w:color w:val="000000"/>
                <w:sz w:val="14"/>
                <w:szCs w:val="14"/>
              </w:rPr>
            </w:pPr>
            <w:r w:rsidRPr="003003C0">
              <w:rPr>
                <w:rFonts w:cs="Calibri"/>
                <w:color w:val="000000"/>
                <w:sz w:val="14"/>
                <w:szCs w:val="14"/>
              </w:rPr>
              <w:t>3</w:t>
            </w:r>
            <w:r>
              <w:rPr>
                <w:rFonts w:cs="Calibri"/>
                <w:color w:val="000000"/>
                <w:sz w:val="14"/>
                <w:szCs w:val="14"/>
              </w:rPr>
              <w:t>.</w:t>
            </w:r>
            <w:r w:rsidRPr="003003C0">
              <w:rPr>
                <w:rFonts w:cs="Calibri"/>
                <w:color w:val="000000"/>
                <w:sz w:val="14"/>
                <w:szCs w:val="14"/>
              </w:rPr>
              <w:t>5</w:t>
            </w:r>
          </w:p>
        </w:tc>
        <w:tc>
          <w:tcPr>
            <w:tcW w:w="684" w:type="dxa"/>
            <w:noWrap/>
            <w:vAlign w:val="center"/>
            <w:hideMark/>
          </w:tcPr>
          <w:p w14:paraId="43BFCB1A" w14:textId="77777777" w:rsidR="004F64EF" w:rsidRPr="003003C0" w:rsidRDefault="004F64EF" w:rsidP="00FD6B66">
            <w:pPr>
              <w:jc w:val="right"/>
              <w:rPr>
                <w:rFonts w:cs="Calibri"/>
                <w:color w:val="000000"/>
                <w:sz w:val="14"/>
                <w:szCs w:val="14"/>
              </w:rPr>
            </w:pPr>
            <w:r w:rsidRPr="003003C0">
              <w:rPr>
                <w:rFonts w:cs="Calibri"/>
                <w:color w:val="000000"/>
                <w:sz w:val="14"/>
                <w:szCs w:val="14"/>
              </w:rPr>
              <w:t>2</w:t>
            </w:r>
            <w:r>
              <w:rPr>
                <w:rFonts w:cs="Calibri"/>
                <w:color w:val="000000"/>
                <w:sz w:val="14"/>
                <w:szCs w:val="14"/>
              </w:rPr>
              <w:t>.</w:t>
            </w:r>
            <w:r w:rsidRPr="003003C0">
              <w:rPr>
                <w:rFonts w:cs="Calibri"/>
                <w:color w:val="000000"/>
                <w:sz w:val="14"/>
                <w:szCs w:val="14"/>
              </w:rPr>
              <w:t>8</w:t>
            </w:r>
          </w:p>
        </w:tc>
      </w:tr>
      <w:tr w:rsidR="004F64EF" w:rsidRPr="003003C0" w14:paraId="2FD82314" w14:textId="77777777" w:rsidTr="00FD6B66">
        <w:trPr>
          <w:cnfStyle w:val="000000010000" w:firstRow="0" w:lastRow="0" w:firstColumn="0" w:lastColumn="0" w:oddVBand="0" w:evenVBand="0" w:oddHBand="0" w:evenHBand="1" w:firstRowFirstColumn="0" w:firstRowLastColumn="0" w:lastRowFirstColumn="0" w:lastRowLastColumn="0"/>
          <w:trHeight w:val="20"/>
        </w:trPr>
        <w:tc>
          <w:tcPr>
            <w:tcW w:w="4246" w:type="dxa"/>
            <w:noWrap/>
            <w:vAlign w:val="center"/>
            <w:hideMark/>
          </w:tcPr>
          <w:p w14:paraId="29E5E03F" w14:textId="77777777" w:rsidR="004F64EF" w:rsidRPr="003003C0" w:rsidRDefault="004F64EF" w:rsidP="00FD6B66">
            <w:pPr>
              <w:jc w:val="left"/>
              <w:rPr>
                <w:rFonts w:cs="Calibri"/>
                <w:color w:val="000000"/>
                <w:sz w:val="14"/>
                <w:szCs w:val="14"/>
              </w:rPr>
            </w:pPr>
            <w:r w:rsidRPr="003003C0">
              <w:rPr>
                <w:rFonts w:cs="Calibri"/>
                <w:color w:val="000000"/>
                <w:sz w:val="14"/>
                <w:szCs w:val="14"/>
              </w:rPr>
              <w:t xml:space="preserve">13 - </w:t>
            </w:r>
            <w:r w:rsidRPr="00FD0EA2">
              <w:rPr>
                <w:rFonts w:cs="Calibri"/>
                <w:color w:val="000000"/>
                <w:sz w:val="14"/>
                <w:szCs w:val="14"/>
              </w:rPr>
              <w:t>Articles of stone, plaster, cement, asbestos, mica or similar materials; ceramic products; glass and glassware</w:t>
            </w:r>
          </w:p>
        </w:tc>
        <w:tc>
          <w:tcPr>
            <w:tcW w:w="683" w:type="dxa"/>
            <w:noWrap/>
            <w:vAlign w:val="center"/>
            <w:hideMark/>
          </w:tcPr>
          <w:p w14:paraId="72D8A986" w14:textId="77777777" w:rsidR="004F64EF" w:rsidRPr="003003C0" w:rsidRDefault="004F64EF" w:rsidP="00FD6B66">
            <w:pPr>
              <w:jc w:val="right"/>
              <w:rPr>
                <w:rFonts w:cs="Calibri"/>
                <w:color w:val="000000"/>
                <w:sz w:val="14"/>
                <w:szCs w:val="14"/>
              </w:rPr>
            </w:pPr>
            <w:r w:rsidRPr="003003C0">
              <w:rPr>
                <w:rFonts w:cs="Calibri"/>
                <w:color w:val="000000"/>
                <w:sz w:val="14"/>
                <w:szCs w:val="14"/>
              </w:rPr>
              <w:t>0</w:t>
            </w:r>
            <w:r>
              <w:rPr>
                <w:rFonts w:cs="Calibri"/>
                <w:color w:val="000000"/>
                <w:sz w:val="14"/>
                <w:szCs w:val="14"/>
              </w:rPr>
              <w:t>.</w:t>
            </w:r>
            <w:r w:rsidRPr="003003C0">
              <w:rPr>
                <w:rFonts w:cs="Calibri"/>
                <w:color w:val="000000"/>
                <w:sz w:val="14"/>
                <w:szCs w:val="14"/>
              </w:rPr>
              <w:t>0</w:t>
            </w:r>
          </w:p>
        </w:tc>
        <w:tc>
          <w:tcPr>
            <w:tcW w:w="683" w:type="dxa"/>
            <w:noWrap/>
            <w:vAlign w:val="center"/>
            <w:hideMark/>
          </w:tcPr>
          <w:p w14:paraId="7CEC754F" w14:textId="77777777" w:rsidR="004F64EF" w:rsidRPr="003003C0" w:rsidRDefault="004F64EF" w:rsidP="00FD6B66">
            <w:pPr>
              <w:jc w:val="right"/>
              <w:rPr>
                <w:rFonts w:cs="Calibri"/>
                <w:color w:val="000000"/>
                <w:sz w:val="14"/>
                <w:szCs w:val="14"/>
              </w:rPr>
            </w:pPr>
            <w:r w:rsidRPr="003003C0">
              <w:rPr>
                <w:rFonts w:cs="Calibri"/>
                <w:color w:val="000000"/>
                <w:sz w:val="14"/>
                <w:szCs w:val="14"/>
              </w:rPr>
              <w:t>0</w:t>
            </w:r>
            <w:r>
              <w:rPr>
                <w:rFonts w:cs="Calibri"/>
                <w:color w:val="000000"/>
                <w:sz w:val="14"/>
                <w:szCs w:val="14"/>
              </w:rPr>
              <w:t>.</w:t>
            </w:r>
            <w:r w:rsidRPr="003003C0">
              <w:rPr>
                <w:rFonts w:cs="Calibri"/>
                <w:color w:val="000000"/>
                <w:sz w:val="14"/>
                <w:szCs w:val="14"/>
              </w:rPr>
              <w:t>1</w:t>
            </w:r>
          </w:p>
        </w:tc>
        <w:tc>
          <w:tcPr>
            <w:tcW w:w="683" w:type="dxa"/>
            <w:noWrap/>
            <w:vAlign w:val="center"/>
            <w:hideMark/>
          </w:tcPr>
          <w:p w14:paraId="165D4CD1" w14:textId="77777777" w:rsidR="004F64EF" w:rsidRPr="003003C0" w:rsidRDefault="004F64EF" w:rsidP="00FD6B66">
            <w:pPr>
              <w:jc w:val="right"/>
              <w:rPr>
                <w:rFonts w:cs="Calibri"/>
                <w:color w:val="000000"/>
                <w:sz w:val="14"/>
                <w:szCs w:val="14"/>
              </w:rPr>
            </w:pPr>
            <w:r w:rsidRPr="003003C0">
              <w:rPr>
                <w:rFonts w:cs="Calibri"/>
                <w:color w:val="000000"/>
                <w:sz w:val="14"/>
                <w:szCs w:val="14"/>
              </w:rPr>
              <w:t>0</w:t>
            </w:r>
            <w:r>
              <w:rPr>
                <w:rFonts w:cs="Calibri"/>
                <w:color w:val="000000"/>
                <w:sz w:val="14"/>
                <w:szCs w:val="14"/>
              </w:rPr>
              <w:t>.</w:t>
            </w:r>
            <w:r w:rsidRPr="003003C0">
              <w:rPr>
                <w:rFonts w:cs="Calibri"/>
                <w:color w:val="000000"/>
                <w:sz w:val="14"/>
                <w:szCs w:val="14"/>
              </w:rPr>
              <w:t>0</w:t>
            </w:r>
          </w:p>
        </w:tc>
        <w:tc>
          <w:tcPr>
            <w:tcW w:w="684" w:type="dxa"/>
            <w:noWrap/>
            <w:vAlign w:val="center"/>
            <w:hideMark/>
          </w:tcPr>
          <w:p w14:paraId="14589DCF" w14:textId="77777777" w:rsidR="004F64EF" w:rsidRPr="003003C0" w:rsidRDefault="004F64EF" w:rsidP="00FD6B66">
            <w:pPr>
              <w:jc w:val="right"/>
              <w:rPr>
                <w:rFonts w:cs="Calibri"/>
                <w:color w:val="000000"/>
                <w:sz w:val="14"/>
                <w:szCs w:val="14"/>
              </w:rPr>
            </w:pPr>
            <w:r w:rsidRPr="003003C0">
              <w:rPr>
                <w:rFonts w:cs="Calibri"/>
                <w:color w:val="000000"/>
                <w:sz w:val="14"/>
                <w:szCs w:val="14"/>
              </w:rPr>
              <w:t>0</w:t>
            </w:r>
            <w:r>
              <w:rPr>
                <w:rFonts w:cs="Calibri"/>
                <w:color w:val="000000"/>
                <w:sz w:val="14"/>
                <w:szCs w:val="14"/>
              </w:rPr>
              <w:t>.</w:t>
            </w:r>
            <w:r w:rsidRPr="003003C0">
              <w:rPr>
                <w:rFonts w:cs="Calibri"/>
                <w:color w:val="000000"/>
                <w:sz w:val="14"/>
                <w:szCs w:val="14"/>
              </w:rPr>
              <w:t>0</w:t>
            </w:r>
          </w:p>
        </w:tc>
        <w:tc>
          <w:tcPr>
            <w:tcW w:w="683" w:type="dxa"/>
            <w:noWrap/>
            <w:vAlign w:val="center"/>
            <w:hideMark/>
          </w:tcPr>
          <w:p w14:paraId="26AAC44D" w14:textId="77777777" w:rsidR="004F64EF" w:rsidRPr="003003C0" w:rsidRDefault="004F64EF" w:rsidP="00FD6B66">
            <w:pPr>
              <w:jc w:val="right"/>
              <w:rPr>
                <w:rFonts w:cs="Calibri"/>
                <w:color w:val="000000"/>
                <w:sz w:val="14"/>
                <w:szCs w:val="14"/>
              </w:rPr>
            </w:pPr>
            <w:r w:rsidRPr="003003C0">
              <w:rPr>
                <w:rFonts w:cs="Calibri"/>
                <w:color w:val="000000"/>
                <w:sz w:val="14"/>
                <w:szCs w:val="14"/>
              </w:rPr>
              <w:t>0</w:t>
            </w:r>
            <w:r>
              <w:rPr>
                <w:rFonts w:cs="Calibri"/>
                <w:color w:val="000000"/>
                <w:sz w:val="14"/>
                <w:szCs w:val="14"/>
              </w:rPr>
              <w:t>.</w:t>
            </w:r>
            <w:r w:rsidRPr="003003C0">
              <w:rPr>
                <w:rFonts w:cs="Calibri"/>
                <w:color w:val="000000"/>
                <w:sz w:val="14"/>
                <w:szCs w:val="14"/>
              </w:rPr>
              <w:t>0</w:t>
            </w:r>
          </w:p>
        </w:tc>
        <w:tc>
          <w:tcPr>
            <w:tcW w:w="683" w:type="dxa"/>
            <w:noWrap/>
            <w:vAlign w:val="center"/>
            <w:hideMark/>
          </w:tcPr>
          <w:p w14:paraId="003976FF" w14:textId="77777777" w:rsidR="004F64EF" w:rsidRPr="003003C0" w:rsidRDefault="004F64EF" w:rsidP="00FD6B66">
            <w:pPr>
              <w:jc w:val="right"/>
              <w:rPr>
                <w:rFonts w:cs="Calibri"/>
                <w:color w:val="000000"/>
                <w:sz w:val="14"/>
                <w:szCs w:val="14"/>
              </w:rPr>
            </w:pPr>
            <w:r w:rsidRPr="003003C0">
              <w:rPr>
                <w:rFonts w:cs="Calibri"/>
                <w:color w:val="000000"/>
                <w:sz w:val="14"/>
                <w:szCs w:val="14"/>
              </w:rPr>
              <w:t>0</w:t>
            </w:r>
            <w:r>
              <w:rPr>
                <w:rFonts w:cs="Calibri"/>
                <w:color w:val="000000"/>
                <w:sz w:val="14"/>
                <w:szCs w:val="14"/>
              </w:rPr>
              <w:t>.</w:t>
            </w:r>
            <w:r w:rsidRPr="003003C0">
              <w:rPr>
                <w:rFonts w:cs="Calibri"/>
                <w:color w:val="000000"/>
                <w:sz w:val="14"/>
                <w:szCs w:val="14"/>
              </w:rPr>
              <w:t>0</w:t>
            </w:r>
          </w:p>
        </w:tc>
        <w:tc>
          <w:tcPr>
            <w:tcW w:w="684" w:type="dxa"/>
            <w:noWrap/>
            <w:vAlign w:val="center"/>
            <w:hideMark/>
          </w:tcPr>
          <w:p w14:paraId="3796D0E1" w14:textId="77777777" w:rsidR="004F64EF" w:rsidRPr="003003C0" w:rsidRDefault="004F64EF" w:rsidP="00FD6B66">
            <w:pPr>
              <w:jc w:val="right"/>
              <w:rPr>
                <w:rFonts w:cs="Calibri"/>
                <w:color w:val="000000"/>
                <w:sz w:val="14"/>
                <w:szCs w:val="14"/>
              </w:rPr>
            </w:pPr>
            <w:r w:rsidRPr="003003C0">
              <w:rPr>
                <w:rFonts w:cs="Calibri"/>
                <w:color w:val="000000"/>
                <w:sz w:val="14"/>
                <w:szCs w:val="14"/>
              </w:rPr>
              <w:t>0</w:t>
            </w:r>
            <w:r>
              <w:rPr>
                <w:rFonts w:cs="Calibri"/>
                <w:color w:val="000000"/>
                <w:sz w:val="14"/>
                <w:szCs w:val="14"/>
              </w:rPr>
              <w:t>.</w:t>
            </w:r>
            <w:r w:rsidRPr="003003C0">
              <w:rPr>
                <w:rFonts w:cs="Calibri"/>
                <w:color w:val="000000"/>
                <w:sz w:val="14"/>
                <w:szCs w:val="14"/>
              </w:rPr>
              <w:t>0</w:t>
            </w:r>
          </w:p>
        </w:tc>
      </w:tr>
      <w:tr w:rsidR="004F64EF" w:rsidRPr="003003C0" w14:paraId="0C638D0B" w14:textId="77777777" w:rsidTr="00FD6B66">
        <w:trPr>
          <w:trHeight w:val="20"/>
        </w:trPr>
        <w:tc>
          <w:tcPr>
            <w:tcW w:w="4246" w:type="dxa"/>
            <w:noWrap/>
            <w:vAlign w:val="center"/>
            <w:hideMark/>
          </w:tcPr>
          <w:p w14:paraId="11C6883E" w14:textId="77777777" w:rsidR="004F64EF" w:rsidRPr="003003C0" w:rsidRDefault="004F64EF" w:rsidP="00FD6B66">
            <w:pPr>
              <w:jc w:val="left"/>
              <w:rPr>
                <w:rFonts w:cs="Calibri"/>
                <w:color w:val="000000"/>
                <w:sz w:val="14"/>
                <w:szCs w:val="14"/>
              </w:rPr>
            </w:pPr>
            <w:r w:rsidRPr="003003C0">
              <w:rPr>
                <w:rFonts w:cs="Calibri"/>
                <w:color w:val="000000"/>
                <w:sz w:val="14"/>
                <w:szCs w:val="14"/>
              </w:rPr>
              <w:t xml:space="preserve">14 - </w:t>
            </w:r>
            <w:r w:rsidRPr="00FD0EA2">
              <w:rPr>
                <w:rFonts w:cs="Calibri"/>
                <w:color w:val="000000"/>
                <w:sz w:val="14"/>
                <w:szCs w:val="14"/>
              </w:rPr>
              <w:t>Natural or cultured pearls, precious or semi-precious stones, precious metals</w:t>
            </w:r>
          </w:p>
        </w:tc>
        <w:tc>
          <w:tcPr>
            <w:tcW w:w="683" w:type="dxa"/>
            <w:noWrap/>
            <w:vAlign w:val="center"/>
            <w:hideMark/>
          </w:tcPr>
          <w:p w14:paraId="08655B10" w14:textId="77777777" w:rsidR="004F64EF" w:rsidRPr="003003C0" w:rsidRDefault="004F64EF" w:rsidP="00FD6B66">
            <w:pPr>
              <w:jc w:val="right"/>
              <w:rPr>
                <w:rFonts w:cs="Calibri"/>
                <w:color w:val="000000"/>
                <w:sz w:val="14"/>
                <w:szCs w:val="14"/>
              </w:rPr>
            </w:pPr>
            <w:r w:rsidRPr="003003C0">
              <w:rPr>
                <w:rFonts w:cs="Calibri"/>
                <w:color w:val="000000"/>
                <w:sz w:val="14"/>
                <w:szCs w:val="14"/>
              </w:rPr>
              <w:t>7</w:t>
            </w:r>
            <w:r>
              <w:rPr>
                <w:rFonts w:cs="Calibri"/>
                <w:color w:val="000000"/>
                <w:sz w:val="14"/>
                <w:szCs w:val="14"/>
              </w:rPr>
              <w:t>.</w:t>
            </w:r>
            <w:r w:rsidRPr="003003C0">
              <w:rPr>
                <w:rFonts w:cs="Calibri"/>
                <w:color w:val="000000"/>
                <w:sz w:val="14"/>
                <w:szCs w:val="14"/>
              </w:rPr>
              <w:t>3</w:t>
            </w:r>
          </w:p>
        </w:tc>
        <w:tc>
          <w:tcPr>
            <w:tcW w:w="683" w:type="dxa"/>
            <w:noWrap/>
            <w:vAlign w:val="center"/>
            <w:hideMark/>
          </w:tcPr>
          <w:p w14:paraId="3363328E" w14:textId="77777777" w:rsidR="004F64EF" w:rsidRPr="003003C0" w:rsidRDefault="004F64EF" w:rsidP="00FD6B66">
            <w:pPr>
              <w:jc w:val="right"/>
              <w:rPr>
                <w:rFonts w:cs="Calibri"/>
                <w:color w:val="000000"/>
                <w:sz w:val="14"/>
                <w:szCs w:val="14"/>
              </w:rPr>
            </w:pPr>
            <w:r w:rsidRPr="003003C0">
              <w:rPr>
                <w:rFonts w:cs="Calibri"/>
                <w:color w:val="000000"/>
                <w:sz w:val="14"/>
                <w:szCs w:val="14"/>
              </w:rPr>
              <w:t>7</w:t>
            </w:r>
            <w:r>
              <w:rPr>
                <w:rFonts w:cs="Calibri"/>
                <w:color w:val="000000"/>
                <w:sz w:val="14"/>
                <w:szCs w:val="14"/>
              </w:rPr>
              <w:t>.</w:t>
            </w:r>
            <w:r w:rsidRPr="003003C0">
              <w:rPr>
                <w:rFonts w:cs="Calibri"/>
                <w:color w:val="000000"/>
                <w:sz w:val="14"/>
                <w:szCs w:val="14"/>
              </w:rPr>
              <w:t>4</w:t>
            </w:r>
          </w:p>
        </w:tc>
        <w:tc>
          <w:tcPr>
            <w:tcW w:w="683" w:type="dxa"/>
            <w:noWrap/>
            <w:vAlign w:val="center"/>
            <w:hideMark/>
          </w:tcPr>
          <w:p w14:paraId="7F973ED5" w14:textId="77777777" w:rsidR="004F64EF" w:rsidRPr="003003C0" w:rsidRDefault="004F64EF" w:rsidP="00FD6B66">
            <w:pPr>
              <w:jc w:val="right"/>
              <w:rPr>
                <w:rFonts w:cs="Calibri"/>
                <w:color w:val="000000"/>
                <w:sz w:val="14"/>
                <w:szCs w:val="14"/>
              </w:rPr>
            </w:pPr>
            <w:r w:rsidRPr="003003C0">
              <w:rPr>
                <w:rFonts w:cs="Calibri"/>
                <w:color w:val="000000"/>
                <w:sz w:val="14"/>
                <w:szCs w:val="14"/>
              </w:rPr>
              <w:t>7</w:t>
            </w:r>
            <w:r>
              <w:rPr>
                <w:rFonts w:cs="Calibri"/>
                <w:color w:val="000000"/>
                <w:sz w:val="14"/>
                <w:szCs w:val="14"/>
              </w:rPr>
              <w:t>.</w:t>
            </w:r>
            <w:r w:rsidRPr="003003C0">
              <w:rPr>
                <w:rFonts w:cs="Calibri"/>
                <w:color w:val="000000"/>
                <w:sz w:val="14"/>
                <w:szCs w:val="14"/>
              </w:rPr>
              <w:t>5</w:t>
            </w:r>
          </w:p>
        </w:tc>
        <w:tc>
          <w:tcPr>
            <w:tcW w:w="684" w:type="dxa"/>
            <w:noWrap/>
            <w:vAlign w:val="center"/>
            <w:hideMark/>
          </w:tcPr>
          <w:p w14:paraId="68527BFE" w14:textId="77777777" w:rsidR="004F64EF" w:rsidRPr="003003C0" w:rsidRDefault="004F64EF" w:rsidP="00FD6B66">
            <w:pPr>
              <w:jc w:val="right"/>
              <w:rPr>
                <w:rFonts w:cs="Calibri"/>
                <w:color w:val="000000"/>
                <w:sz w:val="14"/>
                <w:szCs w:val="14"/>
              </w:rPr>
            </w:pPr>
            <w:r w:rsidRPr="003003C0">
              <w:rPr>
                <w:rFonts w:cs="Calibri"/>
                <w:color w:val="000000"/>
                <w:sz w:val="14"/>
                <w:szCs w:val="14"/>
              </w:rPr>
              <w:t>8</w:t>
            </w:r>
            <w:r>
              <w:rPr>
                <w:rFonts w:cs="Calibri"/>
                <w:color w:val="000000"/>
                <w:sz w:val="14"/>
                <w:szCs w:val="14"/>
              </w:rPr>
              <w:t>.</w:t>
            </w:r>
            <w:r w:rsidRPr="003003C0">
              <w:rPr>
                <w:rFonts w:cs="Calibri"/>
                <w:color w:val="000000"/>
                <w:sz w:val="14"/>
                <w:szCs w:val="14"/>
              </w:rPr>
              <w:t>1</w:t>
            </w:r>
          </w:p>
        </w:tc>
        <w:tc>
          <w:tcPr>
            <w:tcW w:w="683" w:type="dxa"/>
            <w:noWrap/>
            <w:vAlign w:val="center"/>
            <w:hideMark/>
          </w:tcPr>
          <w:p w14:paraId="3F6BC0FA" w14:textId="77777777" w:rsidR="004F64EF" w:rsidRPr="003003C0" w:rsidRDefault="004F64EF" w:rsidP="00FD6B66">
            <w:pPr>
              <w:jc w:val="right"/>
              <w:rPr>
                <w:rFonts w:cs="Calibri"/>
                <w:color w:val="000000"/>
                <w:sz w:val="14"/>
                <w:szCs w:val="14"/>
              </w:rPr>
            </w:pPr>
            <w:r w:rsidRPr="003003C0">
              <w:rPr>
                <w:rFonts w:cs="Calibri"/>
                <w:color w:val="000000"/>
                <w:sz w:val="14"/>
                <w:szCs w:val="14"/>
              </w:rPr>
              <w:t>8</w:t>
            </w:r>
            <w:r>
              <w:rPr>
                <w:rFonts w:cs="Calibri"/>
                <w:color w:val="000000"/>
                <w:sz w:val="14"/>
                <w:szCs w:val="14"/>
              </w:rPr>
              <w:t>.</w:t>
            </w:r>
            <w:r w:rsidRPr="003003C0">
              <w:rPr>
                <w:rFonts w:cs="Calibri"/>
                <w:color w:val="000000"/>
                <w:sz w:val="14"/>
                <w:szCs w:val="14"/>
              </w:rPr>
              <w:t>4</w:t>
            </w:r>
          </w:p>
        </w:tc>
        <w:tc>
          <w:tcPr>
            <w:tcW w:w="683" w:type="dxa"/>
            <w:noWrap/>
            <w:vAlign w:val="center"/>
            <w:hideMark/>
          </w:tcPr>
          <w:p w14:paraId="23D6FA68" w14:textId="77777777" w:rsidR="004F64EF" w:rsidRPr="003003C0" w:rsidRDefault="004F64EF" w:rsidP="00FD6B66">
            <w:pPr>
              <w:jc w:val="right"/>
              <w:rPr>
                <w:rFonts w:cs="Calibri"/>
                <w:color w:val="000000"/>
                <w:sz w:val="14"/>
                <w:szCs w:val="14"/>
              </w:rPr>
            </w:pPr>
            <w:r w:rsidRPr="003003C0">
              <w:rPr>
                <w:rFonts w:cs="Calibri"/>
                <w:color w:val="000000"/>
                <w:sz w:val="14"/>
                <w:szCs w:val="14"/>
              </w:rPr>
              <w:t>7</w:t>
            </w:r>
            <w:r>
              <w:rPr>
                <w:rFonts w:cs="Calibri"/>
                <w:color w:val="000000"/>
                <w:sz w:val="14"/>
                <w:szCs w:val="14"/>
              </w:rPr>
              <w:t>.</w:t>
            </w:r>
            <w:r w:rsidRPr="003003C0">
              <w:rPr>
                <w:rFonts w:cs="Calibri"/>
                <w:color w:val="000000"/>
                <w:sz w:val="14"/>
                <w:szCs w:val="14"/>
              </w:rPr>
              <w:t>5</w:t>
            </w:r>
          </w:p>
        </w:tc>
        <w:tc>
          <w:tcPr>
            <w:tcW w:w="684" w:type="dxa"/>
            <w:noWrap/>
            <w:vAlign w:val="center"/>
            <w:hideMark/>
          </w:tcPr>
          <w:p w14:paraId="09513B7B" w14:textId="77777777" w:rsidR="004F64EF" w:rsidRPr="003003C0" w:rsidRDefault="004F64EF" w:rsidP="00FD6B66">
            <w:pPr>
              <w:jc w:val="right"/>
              <w:rPr>
                <w:rFonts w:cs="Calibri"/>
                <w:color w:val="000000"/>
                <w:sz w:val="14"/>
                <w:szCs w:val="14"/>
              </w:rPr>
            </w:pPr>
            <w:r w:rsidRPr="003003C0">
              <w:rPr>
                <w:rFonts w:cs="Calibri"/>
                <w:color w:val="000000"/>
                <w:sz w:val="14"/>
                <w:szCs w:val="14"/>
              </w:rPr>
              <w:t>10</w:t>
            </w:r>
            <w:r>
              <w:rPr>
                <w:rFonts w:cs="Calibri"/>
                <w:color w:val="000000"/>
                <w:sz w:val="14"/>
                <w:szCs w:val="14"/>
              </w:rPr>
              <w:t>.</w:t>
            </w:r>
            <w:r w:rsidRPr="003003C0">
              <w:rPr>
                <w:rFonts w:cs="Calibri"/>
                <w:color w:val="000000"/>
                <w:sz w:val="14"/>
                <w:szCs w:val="14"/>
              </w:rPr>
              <w:t>8</w:t>
            </w:r>
          </w:p>
        </w:tc>
      </w:tr>
      <w:tr w:rsidR="004F64EF" w:rsidRPr="003003C0" w14:paraId="17E34C59" w14:textId="77777777" w:rsidTr="00FD6B66">
        <w:trPr>
          <w:cnfStyle w:val="000000010000" w:firstRow="0" w:lastRow="0" w:firstColumn="0" w:lastColumn="0" w:oddVBand="0" w:evenVBand="0" w:oddHBand="0" w:evenHBand="1" w:firstRowFirstColumn="0" w:firstRowLastColumn="0" w:lastRowFirstColumn="0" w:lastRowLastColumn="0"/>
          <w:trHeight w:val="20"/>
        </w:trPr>
        <w:tc>
          <w:tcPr>
            <w:tcW w:w="4246" w:type="dxa"/>
            <w:noWrap/>
            <w:vAlign w:val="center"/>
            <w:hideMark/>
          </w:tcPr>
          <w:p w14:paraId="62268AAD" w14:textId="77777777" w:rsidR="004F64EF" w:rsidRPr="003003C0" w:rsidRDefault="004F64EF" w:rsidP="00FD6B66">
            <w:pPr>
              <w:tabs>
                <w:tab w:val="left" w:pos="227"/>
              </w:tabs>
              <w:jc w:val="left"/>
              <w:rPr>
                <w:rFonts w:cs="Calibri"/>
                <w:color w:val="000000"/>
                <w:sz w:val="14"/>
                <w:szCs w:val="14"/>
              </w:rPr>
            </w:pPr>
            <w:r w:rsidRPr="003003C0">
              <w:rPr>
                <w:rFonts w:cs="Calibri"/>
                <w:color w:val="000000"/>
                <w:sz w:val="14"/>
                <w:szCs w:val="14"/>
              </w:rPr>
              <w:tab/>
              <w:t xml:space="preserve">7113. </w:t>
            </w:r>
            <w:r w:rsidRPr="00FD0EA2">
              <w:rPr>
                <w:rFonts w:cs="Calibri"/>
                <w:bCs/>
                <w:color w:val="000000"/>
                <w:sz w:val="14"/>
                <w:szCs w:val="14"/>
              </w:rPr>
              <w:t>Articles of jewellery and parts thereof, of precious metal or of metal clad with precious metal</w:t>
            </w:r>
          </w:p>
        </w:tc>
        <w:tc>
          <w:tcPr>
            <w:tcW w:w="683" w:type="dxa"/>
            <w:noWrap/>
            <w:vAlign w:val="center"/>
            <w:hideMark/>
          </w:tcPr>
          <w:p w14:paraId="7BA30B13" w14:textId="77777777" w:rsidR="004F64EF" w:rsidRPr="003003C0" w:rsidRDefault="004F64EF" w:rsidP="00FD6B66">
            <w:pPr>
              <w:jc w:val="right"/>
              <w:rPr>
                <w:rFonts w:cs="Calibri"/>
                <w:color w:val="000000"/>
                <w:sz w:val="14"/>
                <w:szCs w:val="14"/>
              </w:rPr>
            </w:pPr>
            <w:r w:rsidRPr="003003C0">
              <w:rPr>
                <w:rFonts w:cs="Calibri"/>
                <w:color w:val="000000"/>
                <w:sz w:val="14"/>
                <w:szCs w:val="14"/>
              </w:rPr>
              <w:t>6</w:t>
            </w:r>
            <w:r>
              <w:rPr>
                <w:rFonts w:cs="Calibri"/>
                <w:color w:val="000000"/>
                <w:sz w:val="14"/>
                <w:szCs w:val="14"/>
              </w:rPr>
              <w:t>.</w:t>
            </w:r>
            <w:r w:rsidRPr="003003C0">
              <w:rPr>
                <w:rFonts w:cs="Calibri"/>
                <w:color w:val="000000"/>
                <w:sz w:val="14"/>
                <w:szCs w:val="14"/>
              </w:rPr>
              <w:t>8</w:t>
            </w:r>
          </w:p>
        </w:tc>
        <w:tc>
          <w:tcPr>
            <w:tcW w:w="683" w:type="dxa"/>
            <w:noWrap/>
            <w:vAlign w:val="center"/>
            <w:hideMark/>
          </w:tcPr>
          <w:p w14:paraId="38ECDE40" w14:textId="77777777" w:rsidR="004F64EF" w:rsidRPr="003003C0" w:rsidRDefault="004F64EF" w:rsidP="00FD6B66">
            <w:pPr>
              <w:jc w:val="right"/>
              <w:rPr>
                <w:rFonts w:cs="Calibri"/>
                <w:color w:val="000000"/>
                <w:sz w:val="14"/>
                <w:szCs w:val="14"/>
              </w:rPr>
            </w:pPr>
            <w:r w:rsidRPr="003003C0">
              <w:rPr>
                <w:rFonts w:cs="Calibri"/>
                <w:color w:val="000000"/>
                <w:sz w:val="14"/>
                <w:szCs w:val="14"/>
              </w:rPr>
              <w:t>6</w:t>
            </w:r>
            <w:r>
              <w:rPr>
                <w:rFonts w:cs="Calibri"/>
                <w:color w:val="000000"/>
                <w:sz w:val="14"/>
                <w:szCs w:val="14"/>
              </w:rPr>
              <w:t>.</w:t>
            </w:r>
            <w:r w:rsidRPr="003003C0">
              <w:rPr>
                <w:rFonts w:cs="Calibri"/>
                <w:color w:val="000000"/>
                <w:sz w:val="14"/>
                <w:szCs w:val="14"/>
              </w:rPr>
              <w:t>8</w:t>
            </w:r>
          </w:p>
        </w:tc>
        <w:tc>
          <w:tcPr>
            <w:tcW w:w="683" w:type="dxa"/>
            <w:noWrap/>
            <w:vAlign w:val="center"/>
            <w:hideMark/>
          </w:tcPr>
          <w:p w14:paraId="72170AF3" w14:textId="77777777" w:rsidR="004F64EF" w:rsidRPr="003003C0" w:rsidRDefault="004F64EF" w:rsidP="00FD6B66">
            <w:pPr>
              <w:jc w:val="right"/>
              <w:rPr>
                <w:rFonts w:cs="Calibri"/>
                <w:color w:val="000000"/>
                <w:sz w:val="14"/>
                <w:szCs w:val="14"/>
              </w:rPr>
            </w:pPr>
            <w:r w:rsidRPr="003003C0">
              <w:rPr>
                <w:rFonts w:cs="Calibri"/>
                <w:color w:val="000000"/>
                <w:sz w:val="14"/>
                <w:szCs w:val="14"/>
              </w:rPr>
              <w:t>7</w:t>
            </w:r>
            <w:r>
              <w:rPr>
                <w:rFonts w:cs="Calibri"/>
                <w:color w:val="000000"/>
                <w:sz w:val="14"/>
                <w:szCs w:val="14"/>
              </w:rPr>
              <w:t>.</w:t>
            </w:r>
            <w:r w:rsidRPr="003003C0">
              <w:rPr>
                <w:rFonts w:cs="Calibri"/>
                <w:color w:val="000000"/>
                <w:sz w:val="14"/>
                <w:szCs w:val="14"/>
              </w:rPr>
              <w:t>0</w:t>
            </w:r>
          </w:p>
        </w:tc>
        <w:tc>
          <w:tcPr>
            <w:tcW w:w="684" w:type="dxa"/>
            <w:noWrap/>
            <w:vAlign w:val="center"/>
            <w:hideMark/>
          </w:tcPr>
          <w:p w14:paraId="790BF3FA" w14:textId="77777777" w:rsidR="004F64EF" w:rsidRPr="003003C0" w:rsidRDefault="004F64EF" w:rsidP="00FD6B66">
            <w:pPr>
              <w:jc w:val="right"/>
              <w:rPr>
                <w:rFonts w:cs="Calibri"/>
                <w:color w:val="000000"/>
                <w:sz w:val="14"/>
                <w:szCs w:val="14"/>
              </w:rPr>
            </w:pPr>
            <w:r w:rsidRPr="003003C0">
              <w:rPr>
                <w:rFonts w:cs="Calibri"/>
                <w:color w:val="000000"/>
                <w:sz w:val="14"/>
                <w:szCs w:val="14"/>
              </w:rPr>
              <w:t>7</w:t>
            </w:r>
            <w:r>
              <w:rPr>
                <w:rFonts w:cs="Calibri"/>
                <w:color w:val="000000"/>
                <w:sz w:val="14"/>
                <w:szCs w:val="14"/>
              </w:rPr>
              <w:t>.</w:t>
            </w:r>
            <w:r w:rsidRPr="003003C0">
              <w:rPr>
                <w:rFonts w:cs="Calibri"/>
                <w:color w:val="000000"/>
                <w:sz w:val="14"/>
                <w:szCs w:val="14"/>
              </w:rPr>
              <w:t>4</w:t>
            </w:r>
          </w:p>
        </w:tc>
        <w:tc>
          <w:tcPr>
            <w:tcW w:w="683" w:type="dxa"/>
            <w:noWrap/>
            <w:vAlign w:val="center"/>
            <w:hideMark/>
          </w:tcPr>
          <w:p w14:paraId="5A9BA6A5" w14:textId="77777777" w:rsidR="004F64EF" w:rsidRPr="003003C0" w:rsidRDefault="004F64EF" w:rsidP="00FD6B66">
            <w:pPr>
              <w:jc w:val="right"/>
              <w:rPr>
                <w:rFonts w:cs="Calibri"/>
                <w:color w:val="000000"/>
                <w:sz w:val="14"/>
                <w:szCs w:val="14"/>
              </w:rPr>
            </w:pPr>
            <w:r w:rsidRPr="003003C0">
              <w:rPr>
                <w:rFonts w:cs="Calibri"/>
                <w:color w:val="000000"/>
                <w:sz w:val="14"/>
                <w:szCs w:val="14"/>
              </w:rPr>
              <w:t>6</w:t>
            </w:r>
            <w:r>
              <w:rPr>
                <w:rFonts w:cs="Calibri"/>
                <w:color w:val="000000"/>
                <w:sz w:val="14"/>
                <w:szCs w:val="14"/>
              </w:rPr>
              <w:t>.</w:t>
            </w:r>
            <w:r w:rsidRPr="003003C0">
              <w:rPr>
                <w:rFonts w:cs="Calibri"/>
                <w:color w:val="000000"/>
                <w:sz w:val="14"/>
                <w:szCs w:val="14"/>
              </w:rPr>
              <w:t>7</w:t>
            </w:r>
          </w:p>
        </w:tc>
        <w:tc>
          <w:tcPr>
            <w:tcW w:w="683" w:type="dxa"/>
            <w:noWrap/>
            <w:vAlign w:val="center"/>
            <w:hideMark/>
          </w:tcPr>
          <w:p w14:paraId="2054E647" w14:textId="77777777" w:rsidR="004F64EF" w:rsidRPr="003003C0" w:rsidRDefault="004F64EF" w:rsidP="00FD6B66">
            <w:pPr>
              <w:jc w:val="right"/>
              <w:rPr>
                <w:rFonts w:cs="Calibri"/>
                <w:color w:val="000000"/>
                <w:sz w:val="14"/>
                <w:szCs w:val="14"/>
              </w:rPr>
            </w:pPr>
            <w:r w:rsidRPr="003003C0">
              <w:rPr>
                <w:rFonts w:cs="Calibri"/>
                <w:color w:val="000000"/>
                <w:sz w:val="14"/>
                <w:szCs w:val="14"/>
              </w:rPr>
              <w:t>6</w:t>
            </w:r>
            <w:r>
              <w:rPr>
                <w:rFonts w:cs="Calibri"/>
                <w:color w:val="000000"/>
                <w:sz w:val="14"/>
                <w:szCs w:val="14"/>
              </w:rPr>
              <w:t>.</w:t>
            </w:r>
            <w:r w:rsidRPr="003003C0">
              <w:rPr>
                <w:rFonts w:cs="Calibri"/>
                <w:color w:val="000000"/>
                <w:sz w:val="14"/>
                <w:szCs w:val="14"/>
              </w:rPr>
              <w:t>3</w:t>
            </w:r>
          </w:p>
        </w:tc>
        <w:tc>
          <w:tcPr>
            <w:tcW w:w="684" w:type="dxa"/>
            <w:noWrap/>
            <w:vAlign w:val="center"/>
            <w:hideMark/>
          </w:tcPr>
          <w:p w14:paraId="7412FF91" w14:textId="77777777" w:rsidR="004F64EF" w:rsidRPr="003003C0" w:rsidRDefault="004F64EF" w:rsidP="00FD6B66">
            <w:pPr>
              <w:jc w:val="right"/>
              <w:rPr>
                <w:rFonts w:cs="Calibri"/>
                <w:color w:val="000000"/>
                <w:sz w:val="14"/>
                <w:szCs w:val="14"/>
              </w:rPr>
            </w:pPr>
            <w:r w:rsidRPr="003003C0">
              <w:rPr>
                <w:rFonts w:cs="Calibri"/>
                <w:color w:val="000000"/>
                <w:sz w:val="14"/>
                <w:szCs w:val="14"/>
              </w:rPr>
              <w:t>8</w:t>
            </w:r>
            <w:r>
              <w:rPr>
                <w:rFonts w:cs="Calibri"/>
                <w:color w:val="000000"/>
                <w:sz w:val="14"/>
                <w:szCs w:val="14"/>
              </w:rPr>
              <w:t>.</w:t>
            </w:r>
            <w:r w:rsidRPr="003003C0">
              <w:rPr>
                <w:rFonts w:cs="Calibri"/>
                <w:color w:val="000000"/>
                <w:sz w:val="14"/>
                <w:szCs w:val="14"/>
              </w:rPr>
              <w:t>4</w:t>
            </w:r>
          </w:p>
        </w:tc>
      </w:tr>
      <w:tr w:rsidR="004F64EF" w:rsidRPr="003003C0" w14:paraId="33BFC218" w14:textId="77777777" w:rsidTr="00FD6B66">
        <w:trPr>
          <w:trHeight w:val="20"/>
        </w:trPr>
        <w:tc>
          <w:tcPr>
            <w:tcW w:w="4246" w:type="dxa"/>
            <w:noWrap/>
            <w:vAlign w:val="center"/>
            <w:hideMark/>
          </w:tcPr>
          <w:p w14:paraId="05F4B0C0" w14:textId="77777777" w:rsidR="004F64EF" w:rsidRPr="003003C0" w:rsidRDefault="004F64EF" w:rsidP="00B22563">
            <w:pPr>
              <w:tabs>
                <w:tab w:val="left" w:pos="227"/>
              </w:tabs>
              <w:ind w:left="227" w:hanging="227"/>
              <w:jc w:val="left"/>
              <w:rPr>
                <w:rFonts w:cs="Calibri"/>
                <w:color w:val="000000"/>
                <w:sz w:val="14"/>
                <w:szCs w:val="14"/>
              </w:rPr>
            </w:pPr>
            <w:r w:rsidRPr="003003C0">
              <w:rPr>
                <w:rFonts w:cs="Calibri"/>
                <w:color w:val="000000"/>
                <w:sz w:val="14"/>
                <w:szCs w:val="14"/>
              </w:rPr>
              <w:tab/>
              <w:t xml:space="preserve">7112. </w:t>
            </w:r>
            <w:r w:rsidRPr="00F81EED">
              <w:rPr>
                <w:rFonts w:cs="Calibri"/>
                <w:bCs/>
                <w:color w:val="000000"/>
                <w:sz w:val="14"/>
                <w:szCs w:val="14"/>
              </w:rPr>
              <w:t>Waste and scrap of precious metal or of metal clad with precious metal; other waste and scrap containing precious metal or precious metal compounds, of a kind used principally for the recovery of precious metal</w:t>
            </w:r>
          </w:p>
        </w:tc>
        <w:tc>
          <w:tcPr>
            <w:tcW w:w="683" w:type="dxa"/>
            <w:noWrap/>
            <w:vAlign w:val="center"/>
            <w:hideMark/>
          </w:tcPr>
          <w:p w14:paraId="172D74FE" w14:textId="77777777" w:rsidR="004F64EF" w:rsidRPr="003003C0" w:rsidRDefault="004F64EF" w:rsidP="00FD6B66">
            <w:pPr>
              <w:jc w:val="right"/>
              <w:rPr>
                <w:rFonts w:cs="Calibri"/>
                <w:color w:val="000000"/>
                <w:sz w:val="14"/>
                <w:szCs w:val="14"/>
              </w:rPr>
            </w:pPr>
            <w:r w:rsidRPr="003003C0">
              <w:rPr>
                <w:rFonts w:cs="Calibri"/>
                <w:color w:val="000000"/>
                <w:sz w:val="14"/>
                <w:szCs w:val="14"/>
              </w:rPr>
              <w:t>0</w:t>
            </w:r>
            <w:r>
              <w:rPr>
                <w:rFonts w:cs="Calibri"/>
                <w:color w:val="000000"/>
                <w:sz w:val="14"/>
                <w:szCs w:val="14"/>
              </w:rPr>
              <w:t>.</w:t>
            </w:r>
            <w:r w:rsidRPr="003003C0">
              <w:rPr>
                <w:rFonts w:cs="Calibri"/>
                <w:color w:val="000000"/>
                <w:sz w:val="14"/>
                <w:szCs w:val="14"/>
              </w:rPr>
              <w:t>1</w:t>
            </w:r>
          </w:p>
        </w:tc>
        <w:tc>
          <w:tcPr>
            <w:tcW w:w="683" w:type="dxa"/>
            <w:noWrap/>
            <w:vAlign w:val="center"/>
            <w:hideMark/>
          </w:tcPr>
          <w:p w14:paraId="45EDF370" w14:textId="77777777" w:rsidR="004F64EF" w:rsidRPr="003003C0" w:rsidRDefault="004F64EF" w:rsidP="00FD6B66">
            <w:pPr>
              <w:jc w:val="right"/>
              <w:rPr>
                <w:rFonts w:cs="Calibri"/>
                <w:color w:val="000000"/>
                <w:sz w:val="14"/>
                <w:szCs w:val="14"/>
              </w:rPr>
            </w:pPr>
            <w:r w:rsidRPr="003003C0">
              <w:rPr>
                <w:rFonts w:cs="Calibri"/>
                <w:color w:val="000000"/>
                <w:sz w:val="14"/>
                <w:szCs w:val="14"/>
              </w:rPr>
              <w:t>0</w:t>
            </w:r>
            <w:r>
              <w:rPr>
                <w:rFonts w:cs="Calibri"/>
                <w:color w:val="000000"/>
                <w:sz w:val="14"/>
                <w:szCs w:val="14"/>
              </w:rPr>
              <w:t>.</w:t>
            </w:r>
            <w:r w:rsidRPr="003003C0">
              <w:rPr>
                <w:rFonts w:cs="Calibri"/>
                <w:color w:val="000000"/>
                <w:sz w:val="14"/>
                <w:szCs w:val="14"/>
              </w:rPr>
              <w:t>2</w:t>
            </w:r>
          </w:p>
        </w:tc>
        <w:tc>
          <w:tcPr>
            <w:tcW w:w="683" w:type="dxa"/>
            <w:noWrap/>
            <w:vAlign w:val="center"/>
            <w:hideMark/>
          </w:tcPr>
          <w:p w14:paraId="54A0EE3F" w14:textId="77777777" w:rsidR="004F64EF" w:rsidRPr="003003C0" w:rsidRDefault="004F64EF" w:rsidP="00FD6B66">
            <w:pPr>
              <w:jc w:val="right"/>
              <w:rPr>
                <w:rFonts w:cs="Calibri"/>
                <w:color w:val="000000"/>
                <w:sz w:val="14"/>
                <w:szCs w:val="14"/>
              </w:rPr>
            </w:pPr>
            <w:r w:rsidRPr="003003C0">
              <w:rPr>
                <w:rFonts w:cs="Calibri"/>
                <w:color w:val="000000"/>
                <w:sz w:val="14"/>
                <w:szCs w:val="14"/>
              </w:rPr>
              <w:t>0</w:t>
            </w:r>
            <w:r>
              <w:rPr>
                <w:rFonts w:cs="Calibri"/>
                <w:color w:val="000000"/>
                <w:sz w:val="14"/>
                <w:szCs w:val="14"/>
              </w:rPr>
              <w:t>.</w:t>
            </w:r>
            <w:r w:rsidRPr="003003C0">
              <w:rPr>
                <w:rFonts w:cs="Calibri"/>
                <w:color w:val="000000"/>
                <w:sz w:val="14"/>
                <w:szCs w:val="14"/>
              </w:rPr>
              <w:t>1</w:t>
            </w:r>
          </w:p>
        </w:tc>
        <w:tc>
          <w:tcPr>
            <w:tcW w:w="684" w:type="dxa"/>
            <w:noWrap/>
            <w:vAlign w:val="center"/>
            <w:hideMark/>
          </w:tcPr>
          <w:p w14:paraId="3CE0C991" w14:textId="77777777" w:rsidR="004F64EF" w:rsidRPr="003003C0" w:rsidRDefault="004F64EF" w:rsidP="00FD6B66">
            <w:pPr>
              <w:jc w:val="right"/>
              <w:rPr>
                <w:rFonts w:cs="Calibri"/>
                <w:color w:val="000000"/>
                <w:sz w:val="14"/>
                <w:szCs w:val="14"/>
              </w:rPr>
            </w:pPr>
            <w:r w:rsidRPr="003003C0">
              <w:rPr>
                <w:rFonts w:cs="Calibri"/>
                <w:color w:val="000000"/>
                <w:sz w:val="14"/>
                <w:szCs w:val="14"/>
              </w:rPr>
              <w:t>0</w:t>
            </w:r>
            <w:r>
              <w:rPr>
                <w:rFonts w:cs="Calibri"/>
                <w:color w:val="000000"/>
                <w:sz w:val="14"/>
                <w:szCs w:val="14"/>
              </w:rPr>
              <w:t>.</w:t>
            </w:r>
            <w:r w:rsidRPr="003003C0">
              <w:rPr>
                <w:rFonts w:cs="Calibri"/>
                <w:color w:val="000000"/>
                <w:sz w:val="14"/>
                <w:szCs w:val="14"/>
              </w:rPr>
              <w:t>2</w:t>
            </w:r>
          </w:p>
        </w:tc>
        <w:tc>
          <w:tcPr>
            <w:tcW w:w="683" w:type="dxa"/>
            <w:noWrap/>
            <w:vAlign w:val="center"/>
            <w:hideMark/>
          </w:tcPr>
          <w:p w14:paraId="16A1A1FC" w14:textId="77777777" w:rsidR="004F64EF" w:rsidRPr="003003C0" w:rsidRDefault="004F64EF" w:rsidP="00FD6B66">
            <w:pPr>
              <w:jc w:val="right"/>
              <w:rPr>
                <w:rFonts w:cs="Calibri"/>
                <w:color w:val="000000"/>
                <w:sz w:val="14"/>
                <w:szCs w:val="14"/>
              </w:rPr>
            </w:pPr>
            <w:r w:rsidRPr="003003C0">
              <w:rPr>
                <w:rFonts w:cs="Calibri"/>
                <w:color w:val="000000"/>
                <w:sz w:val="14"/>
                <w:szCs w:val="14"/>
              </w:rPr>
              <w:t>0</w:t>
            </w:r>
            <w:r>
              <w:rPr>
                <w:rFonts w:cs="Calibri"/>
                <w:color w:val="000000"/>
                <w:sz w:val="14"/>
                <w:szCs w:val="14"/>
              </w:rPr>
              <w:t>.</w:t>
            </w:r>
            <w:r w:rsidRPr="003003C0">
              <w:rPr>
                <w:rFonts w:cs="Calibri"/>
                <w:color w:val="000000"/>
                <w:sz w:val="14"/>
                <w:szCs w:val="14"/>
              </w:rPr>
              <w:t>7</w:t>
            </w:r>
          </w:p>
        </w:tc>
        <w:tc>
          <w:tcPr>
            <w:tcW w:w="683" w:type="dxa"/>
            <w:noWrap/>
            <w:vAlign w:val="center"/>
            <w:hideMark/>
          </w:tcPr>
          <w:p w14:paraId="51D00003" w14:textId="77777777" w:rsidR="004F64EF" w:rsidRPr="003003C0" w:rsidRDefault="004F64EF" w:rsidP="00FD6B66">
            <w:pPr>
              <w:jc w:val="right"/>
              <w:rPr>
                <w:rFonts w:cs="Calibri"/>
                <w:color w:val="000000"/>
                <w:sz w:val="14"/>
                <w:szCs w:val="14"/>
              </w:rPr>
            </w:pPr>
            <w:r w:rsidRPr="003003C0">
              <w:rPr>
                <w:rFonts w:cs="Calibri"/>
                <w:color w:val="000000"/>
                <w:sz w:val="14"/>
                <w:szCs w:val="14"/>
              </w:rPr>
              <w:t>0</w:t>
            </w:r>
            <w:r>
              <w:rPr>
                <w:rFonts w:cs="Calibri"/>
                <w:color w:val="000000"/>
                <w:sz w:val="14"/>
                <w:szCs w:val="14"/>
              </w:rPr>
              <w:t>.</w:t>
            </w:r>
            <w:r w:rsidRPr="003003C0">
              <w:rPr>
                <w:rFonts w:cs="Calibri"/>
                <w:color w:val="000000"/>
                <w:sz w:val="14"/>
                <w:szCs w:val="14"/>
              </w:rPr>
              <w:t>7</w:t>
            </w:r>
          </w:p>
        </w:tc>
        <w:tc>
          <w:tcPr>
            <w:tcW w:w="684" w:type="dxa"/>
            <w:noWrap/>
            <w:vAlign w:val="center"/>
            <w:hideMark/>
          </w:tcPr>
          <w:p w14:paraId="339D4729" w14:textId="77777777" w:rsidR="004F64EF" w:rsidRPr="003003C0" w:rsidRDefault="004F64EF" w:rsidP="00FD6B66">
            <w:pPr>
              <w:jc w:val="right"/>
              <w:rPr>
                <w:rFonts w:cs="Calibri"/>
                <w:color w:val="000000"/>
                <w:sz w:val="14"/>
                <w:szCs w:val="14"/>
              </w:rPr>
            </w:pPr>
            <w:r w:rsidRPr="003003C0">
              <w:rPr>
                <w:rFonts w:cs="Calibri"/>
                <w:color w:val="000000"/>
                <w:sz w:val="14"/>
                <w:szCs w:val="14"/>
              </w:rPr>
              <w:t>0</w:t>
            </w:r>
            <w:r>
              <w:rPr>
                <w:rFonts w:cs="Calibri"/>
                <w:color w:val="000000"/>
                <w:sz w:val="14"/>
                <w:szCs w:val="14"/>
              </w:rPr>
              <w:t>.</w:t>
            </w:r>
            <w:r w:rsidRPr="003003C0">
              <w:rPr>
                <w:rFonts w:cs="Calibri"/>
                <w:color w:val="000000"/>
                <w:sz w:val="14"/>
                <w:szCs w:val="14"/>
              </w:rPr>
              <w:t>9</w:t>
            </w:r>
          </w:p>
        </w:tc>
      </w:tr>
      <w:tr w:rsidR="004F64EF" w:rsidRPr="003003C0" w14:paraId="63ACD459" w14:textId="77777777" w:rsidTr="00FD6B66">
        <w:trPr>
          <w:cnfStyle w:val="000000010000" w:firstRow="0" w:lastRow="0" w:firstColumn="0" w:lastColumn="0" w:oddVBand="0" w:evenVBand="0" w:oddHBand="0" w:evenHBand="1" w:firstRowFirstColumn="0" w:firstRowLastColumn="0" w:lastRowFirstColumn="0" w:lastRowLastColumn="0"/>
          <w:trHeight w:val="20"/>
        </w:trPr>
        <w:tc>
          <w:tcPr>
            <w:tcW w:w="4246" w:type="dxa"/>
            <w:noWrap/>
            <w:vAlign w:val="center"/>
            <w:hideMark/>
          </w:tcPr>
          <w:p w14:paraId="5E85D029" w14:textId="77777777" w:rsidR="004F64EF" w:rsidRPr="003003C0" w:rsidRDefault="004F64EF" w:rsidP="00B22563">
            <w:pPr>
              <w:tabs>
                <w:tab w:val="left" w:pos="227"/>
              </w:tabs>
              <w:ind w:left="227" w:hanging="227"/>
              <w:jc w:val="left"/>
              <w:rPr>
                <w:rFonts w:cs="Calibri"/>
                <w:color w:val="000000"/>
                <w:sz w:val="14"/>
                <w:szCs w:val="14"/>
              </w:rPr>
            </w:pPr>
            <w:r w:rsidRPr="003003C0">
              <w:rPr>
                <w:rFonts w:cs="Calibri"/>
                <w:color w:val="000000"/>
                <w:sz w:val="14"/>
                <w:szCs w:val="14"/>
              </w:rPr>
              <w:tab/>
              <w:t xml:space="preserve">7108. </w:t>
            </w:r>
            <w:r w:rsidRPr="00F81EED">
              <w:rPr>
                <w:rFonts w:cs="Calibri"/>
                <w:bCs/>
                <w:color w:val="000000"/>
                <w:sz w:val="14"/>
                <w:szCs w:val="14"/>
              </w:rPr>
              <w:t>Gold (including gold plated with platinum) unwrought or in semi-manufactured forms, or in powder form</w:t>
            </w:r>
          </w:p>
        </w:tc>
        <w:tc>
          <w:tcPr>
            <w:tcW w:w="683" w:type="dxa"/>
            <w:noWrap/>
            <w:vAlign w:val="center"/>
            <w:hideMark/>
          </w:tcPr>
          <w:p w14:paraId="4E8F8CA3" w14:textId="77777777" w:rsidR="004F64EF" w:rsidRPr="003003C0" w:rsidRDefault="004F64EF" w:rsidP="00FD6B66">
            <w:pPr>
              <w:jc w:val="right"/>
              <w:rPr>
                <w:rFonts w:cs="Calibri"/>
                <w:color w:val="000000"/>
                <w:sz w:val="14"/>
                <w:szCs w:val="14"/>
              </w:rPr>
            </w:pPr>
            <w:r w:rsidRPr="003003C0">
              <w:rPr>
                <w:rFonts w:cs="Calibri"/>
                <w:color w:val="000000"/>
                <w:sz w:val="14"/>
                <w:szCs w:val="14"/>
              </w:rPr>
              <w:t>0</w:t>
            </w:r>
            <w:r>
              <w:rPr>
                <w:rFonts w:cs="Calibri"/>
                <w:color w:val="000000"/>
                <w:sz w:val="14"/>
                <w:szCs w:val="14"/>
              </w:rPr>
              <w:t>.</w:t>
            </w:r>
            <w:r w:rsidRPr="003003C0">
              <w:rPr>
                <w:rFonts w:cs="Calibri"/>
                <w:color w:val="000000"/>
                <w:sz w:val="14"/>
                <w:szCs w:val="14"/>
              </w:rPr>
              <w:t>2</w:t>
            </w:r>
          </w:p>
        </w:tc>
        <w:tc>
          <w:tcPr>
            <w:tcW w:w="683" w:type="dxa"/>
            <w:noWrap/>
            <w:vAlign w:val="center"/>
            <w:hideMark/>
          </w:tcPr>
          <w:p w14:paraId="74131796" w14:textId="77777777" w:rsidR="004F64EF" w:rsidRPr="003003C0" w:rsidRDefault="004F64EF" w:rsidP="00FD6B66">
            <w:pPr>
              <w:jc w:val="right"/>
              <w:rPr>
                <w:rFonts w:cs="Calibri"/>
                <w:color w:val="000000"/>
                <w:sz w:val="14"/>
                <w:szCs w:val="14"/>
              </w:rPr>
            </w:pPr>
            <w:r w:rsidRPr="003003C0">
              <w:rPr>
                <w:rFonts w:cs="Calibri"/>
                <w:color w:val="000000"/>
                <w:sz w:val="14"/>
                <w:szCs w:val="14"/>
              </w:rPr>
              <w:t>0</w:t>
            </w:r>
            <w:r>
              <w:rPr>
                <w:rFonts w:cs="Calibri"/>
                <w:color w:val="000000"/>
                <w:sz w:val="14"/>
                <w:szCs w:val="14"/>
              </w:rPr>
              <w:t>.</w:t>
            </w:r>
            <w:r w:rsidRPr="003003C0">
              <w:rPr>
                <w:rFonts w:cs="Calibri"/>
                <w:color w:val="000000"/>
                <w:sz w:val="14"/>
                <w:szCs w:val="14"/>
              </w:rPr>
              <w:t>5</w:t>
            </w:r>
          </w:p>
        </w:tc>
        <w:tc>
          <w:tcPr>
            <w:tcW w:w="683" w:type="dxa"/>
            <w:noWrap/>
            <w:vAlign w:val="center"/>
            <w:hideMark/>
          </w:tcPr>
          <w:p w14:paraId="1B7CD58C" w14:textId="77777777" w:rsidR="004F64EF" w:rsidRPr="003003C0" w:rsidRDefault="004F64EF" w:rsidP="00FD6B66">
            <w:pPr>
              <w:jc w:val="right"/>
              <w:rPr>
                <w:rFonts w:cs="Calibri"/>
                <w:color w:val="000000"/>
                <w:sz w:val="14"/>
                <w:szCs w:val="14"/>
              </w:rPr>
            </w:pPr>
            <w:r w:rsidRPr="003003C0">
              <w:rPr>
                <w:rFonts w:cs="Calibri"/>
                <w:color w:val="000000"/>
                <w:sz w:val="14"/>
                <w:szCs w:val="14"/>
              </w:rPr>
              <w:t>0</w:t>
            </w:r>
            <w:r>
              <w:rPr>
                <w:rFonts w:cs="Calibri"/>
                <w:color w:val="000000"/>
                <w:sz w:val="14"/>
                <w:szCs w:val="14"/>
              </w:rPr>
              <w:t>.</w:t>
            </w:r>
            <w:r w:rsidRPr="003003C0">
              <w:rPr>
                <w:rFonts w:cs="Calibri"/>
                <w:color w:val="000000"/>
                <w:sz w:val="14"/>
                <w:szCs w:val="14"/>
              </w:rPr>
              <w:t>3</w:t>
            </w:r>
          </w:p>
        </w:tc>
        <w:tc>
          <w:tcPr>
            <w:tcW w:w="684" w:type="dxa"/>
            <w:noWrap/>
            <w:vAlign w:val="center"/>
            <w:hideMark/>
          </w:tcPr>
          <w:p w14:paraId="1F191FAC" w14:textId="77777777" w:rsidR="004F64EF" w:rsidRPr="003003C0" w:rsidRDefault="004F64EF" w:rsidP="00FD6B66">
            <w:pPr>
              <w:jc w:val="right"/>
              <w:rPr>
                <w:rFonts w:cs="Calibri"/>
                <w:color w:val="000000"/>
                <w:sz w:val="14"/>
                <w:szCs w:val="14"/>
              </w:rPr>
            </w:pPr>
            <w:r w:rsidRPr="003003C0">
              <w:rPr>
                <w:rFonts w:cs="Calibri"/>
                <w:color w:val="000000"/>
                <w:sz w:val="14"/>
                <w:szCs w:val="14"/>
              </w:rPr>
              <w:t>0</w:t>
            </w:r>
            <w:r>
              <w:rPr>
                <w:rFonts w:cs="Calibri"/>
                <w:color w:val="000000"/>
                <w:sz w:val="14"/>
                <w:szCs w:val="14"/>
              </w:rPr>
              <w:t>.</w:t>
            </w:r>
            <w:r w:rsidRPr="003003C0">
              <w:rPr>
                <w:rFonts w:cs="Calibri"/>
                <w:color w:val="000000"/>
                <w:sz w:val="14"/>
                <w:szCs w:val="14"/>
              </w:rPr>
              <w:t>3</w:t>
            </w:r>
          </w:p>
        </w:tc>
        <w:tc>
          <w:tcPr>
            <w:tcW w:w="683" w:type="dxa"/>
            <w:noWrap/>
            <w:vAlign w:val="center"/>
            <w:hideMark/>
          </w:tcPr>
          <w:p w14:paraId="21E0CBB9" w14:textId="77777777" w:rsidR="004F64EF" w:rsidRPr="003003C0" w:rsidRDefault="004F64EF" w:rsidP="00FD6B66">
            <w:pPr>
              <w:jc w:val="right"/>
              <w:rPr>
                <w:rFonts w:cs="Calibri"/>
                <w:color w:val="000000"/>
                <w:sz w:val="14"/>
                <w:szCs w:val="14"/>
              </w:rPr>
            </w:pPr>
            <w:r w:rsidRPr="003003C0">
              <w:rPr>
                <w:rFonts w:cs="Calibri"/>
                <w:color w:val="000000"/>
                <w:sz w:val="14"/>
                <w:szCs w:val="14"/>
              </w:rPr>
              <w:t>0</w:t>
            </w:r>
            <w:r>
              <w:rPr>
                <w:rFonts w:cs="Calibri"/>
                <w:color w:val="000000"/>
                <w:sz w:val="14"/>
                <w:szCs w:val="14"/>
              </w:rPr>
              <w:t>.</w:t>
            </w:r>
            <w:r w:rsidRPr="003003C0">
              <w:rPr>
                <w:rFonts w:cs="Calibri"/>
                <w:color w:val="000000"/>
                <w:sz w:val="14"/>
                <w:szCs w:val="14"/>
              </w:rPr>
              <w:t>2</w:t>
            </w:r>
          </w:p>
        </w:tc>
        <w:tc>
          <w:tcPr>
            <w:tcW w:w="683" w:type="dxa"/>
            <w:noWrap/>
            <w:vAlign w:val="center"/>
            <w:hideMark/>
          </w:tcPr>
          <w:p w14:paraId="47F44190" w14:textId="77777777" w:rsidR="004F64EF" w:rsidRPr="003003C0" w:rsidRDefault="004F64EF" w:rsidP="00FD6B66">
            <w:pPr>
              <w:jc w:val="right"/>
              <w:rPr>
                <w:rFonts w:cs="Calibri"/>
                <w:color w:val="000000"/>
                <w:sz w:val="14"/>
                <w:szCs w:val="14"/>
              </w:rPr>
            </w:pPr>
            <w:r w:rsidRPr="003003C0">
              <w:rPr>
                <w:rFonts w:cs="Calibri"/>
                <w:color w:val="000000"/>
                <w:sz w:val="14"/>
                <w:szCs w:val="14"/>
              </w:rPr>
              <w:t>0</w:t>
            </w:r>
            <w:r>
              <w:rPr>
                <w:rFonts w:cs="Calibri"/>
                <w:color w:val="000000"/>
                <w:sz w:val="14"/>
                <w:szCs w:val="14"/>
              </w:rPr>
              <w:t>.</w:t>
            </w:r>
            <w:r w:rsidRPr="003003C0">
              <w:rPr>
                <w:rFonts w:cs="Calibri"/>
                <w:color w:val="000000"/>
                <w:sz w:val="14"/>
                <w:szCs w:val="14"/>
              </w:rPr>
              <w:t>1</w:t>
            </w:r>
          </w:p>
        </w:tc>
        <w:tc>
          <w:tcPr>
            <w:tcW w:w="684" w:type="dxa"/>
            <w:noWrap/>
            <w:vAlign w:val="center"/>
            <w:hideMark/>
          </w:tcPr>
          <w:p w14:paraId="0084047D" w14:textId="77777777" w:rsidR="004F64EF" w:rsidRPr="003003C0" w:rsidRDefault="004F64EF" w:rsidP="00FD6B66">
            <w:pPr>
              <w:jc w:val="right"/>
              <w:rPr>
                <w:rFonts w:cs="Calibri"/>
                <w:color w:val="000000"/>
                <w:sz w:val="14"/>
                <w:szCs w:val="14"/>
              </w:rPr>
            </w:pPr>
            <w:r w:rsidRPr="003003C0">
              <w:rPr>
                <w:rFonts w:cs="Calibri"/>
                <w:color w:val="000000"/>
                <w:sz w:val="14"/>
                <w:szCs w:val="14"/>
              </w:rPr>
              <w:t>0</w:t>
            </w:r>
            <w:r>
              <w:rPr>
                <w:rFonts w:cs="Calibri"/>
                <w:color w:val="000000"/>
                <w:sz w:val="14"/>
                <w:szCs w:val="14"/>
              </w:rPr>
              <w:t>.</w:t>
            </w:r>
            <w:r w:rsidRPr="003003C0">
              <w:rPr>
                <w:rFonts w:cs="Calibri"/>
                <w:color w:val="000000"/>
                <w:sz w:val="14"/>
                <w:szCs w:val="14"/>
              </w:rPr>
              <w:t>7</w:t>
            </w:r>
          </w:p>
        </w:tc>
      </w:tr>
      <w:tr w:rsidR="004F64EF" w:rsidRPr="003003C0" w14:paraId="5F51D194" w14:textId="77777777" w:rsidTr="00FD6B66">
        <w:trPr>
          <w:trHeight w:val="20"/>
        </w:trPr>
        <w:tc>
          <w:tcPr>
            <w:tcW w:w="4246" w:type="dxa"/>
            <w:noWrap/>
            <w:vAlign w:val="center"/>
            <w:hideMark/>
          </w:tcPr>
          <w:p w14:paraId="785B4939" w14:textId="77777777" w:rsidR="004F64EF" w:rsidRPr="003003C0" w:rsidRDefault="004F64EF" w:rsidP="00B22563">
            <w:pPr>
              <w:tabs>
                <w:tab w:val="left" w:pos="227"/>
              </w:tabs>
              <w:ind w:left="227" w:hanging="227"/>
              <w:jc w:val="left"/>
              <w:rPr>
                <w:rFonts w:cs="Calibri"/>
                <w:color w:val="000000"/>
                <w:sz w:val="14"/>
                <w:szCs w:val="14"/>
              </w:rPr>
            </w:pPr>
            <w:r w:rsidRPr="003003C0">
              <w:rPr>
                <w:rFonts w:cs="Calibri"/>
                <w:color w:val="000000"/>
                <w:sz w:val="14"/>
                <w:szCs w:val="14"/>
              </w:rPr>
              <w:tab/>
              <w:t xml:space="preserve">7110. </w:t>
            </w:r>
            <w:r w:rsidRPr="005437BD">
              <w:rPr>
                <w:rFonts w:cs="Calibri"/>
                <w:bCs/>
                <w:color w:val="000000"/>
                <w:sz w:val="14"/>
                <w:szCs w:val="14"/>
              </w:rPr>
              <w:t>Platinum, unwrought or in semi-manufactured forms, or in powder form</w:t>
            </w:r>
          </w:p>
        </w:tc>
        <w:tc>
          <w:tcPr>
            <w:tcW w:w="683" w:type="dxa"/>
            <w:noWrap/>
            <w:vAlign w:val="center"/>
            <w:hideMark/>
          </w:tcPr>
          <w:p w14:paraId="611514C7" w14:textId="77777777" w:rsidR="004F64EF" w:rsidRPr="003003C0" w:rsidRDefault="004F64EF" w:rsidP="00FD6B66">
            <w:pPr>
              <w:jc w:val="right"/>
              <w:rPr>
                <w:rFonts w:cs="Calibri"/>
                <w:color w:val="000000"/>
                <w:sz w:val="14"/>
                <w:szCs w:val="14"/>
              </w:rPr>
            </w:pPr>
            <w:r w:rsidRPr="003003C0">
              <w:rPr>
                <w:rFonts w:cs="Calibri"/>
                <w:color w:val="000000"/>
                <w:sz w:val="14"/>
                <w:szCs w:val="14"/>
              </w:rPr>
              <w:t>0</w:t>
            </w:r>
            <w:r>
              <w:rPr>
                <w:rFonts w:cs="Calibri"/>
                <w:color w:val="000000"/>
                <w:sz w:val="14"/>
                <w:szCs w:val="14"/>
              </w:rPr>
              <w:t>.</w:t>
            </w:r>
            <w:r w:rsidRPr="003003C0">
              <w:rPr>
                <w:rFonts w:cs="Calibri"/>
                <w:color w:val="000000"/>
                <w:sz w:val="14"/>
                <w:szCs w:val="14"/>
              </w:rPr>
              <w:t>0</w:t>
            </w:r>
          </w:p>
        </w:tc>
        <w:tc>
          <w:tcPr>
            <w:tcW w:w="683" w:type="dxa"/>
            <w:noWrap/>
            <w:vAlign w:val="center"/>
            <w:hideMark/>
          </w:tcPr>
          <w:p w14:paraId="00CB06EA" w14:textId="77777777" w:rsidR="004F64EF" w:rsidRPr="003003C0" w:rsidRDefault="004F64EF" w:rsidP="00FD6B66">
            <w:pPr>
              <w:jc w:val="right"/>
              <w:rPr>
                <w:rFonts w:cs="Calibri"/>
                <w:color w:val="000000"/>
                <w:sz w:val="14"/>
                <w:szCs w:val="14"/>
              </w:rPr>
            </w:pPr>
            <w:r w:rsidRPr="003003C0">
              <w:rPr>
                <w:rFonts w:cs="Calibri"/>
                <w:color w:val="000000"/>
                <w:sz w:val="14"/>
                <w:szCs w:val="14"/>
              </w:rPr>
              <w:t>0</w:t>
            </w:r>
            <w:r>
              <w:rPr>
                <w:rFonts w:cs="Calibri"/>
                <w:color w:val="000000"/>
                <w:sz w:val="14"/>
                <w:szCs w:val="14"/>
              </w:rPr>
              <w:t>.</w:t>
            </w:r>
            <w:r w:rsidRPr="003003C0">
              <w:rPr>
                <w:rFonts w:cs="Calibri"/>
                <w:color w:val="000000"/>
                <w:sz w:val="14"/>
                <w:szCs w:val="14"/>
              </w:rPr>
              <w:t>0</w:t>
            </w:r>
          </w:p>
        </w:tc>
        <w:tc>
          <w:tcPr>
            <w:tcW w:w="683" w:type="dxa"/>
            <w:noWrap/>
            <w:vAlign w:val="center"/>
            <w:hideMark/>
          </w:tcPr>
          <w:p w14:paraId="07D4F2B6" w14:textId="77777777" w:rsidR="004F64EF" w:rsidRPr="003003C0" w:rsidRDefault="004F64EF" w:rsidP="00FD6B66">
            <w:pPr>
              <w:jc w:val="right"/>
              <w:rPr>
                <w:rFonts w:cs="Calibri"/>
                <w:color w:val="000000"/>
                <w:sz w:val="14"/>
                <w:szCs w:val="14"/>
              </w:rPr>
            </w:pPr>
            <w:r w:rsidRPr="003003C0">
              <w:rPr>
                <w:rFonts w:cs="Calibri"/>
                <w:color w:val="000000"/>
                <w:sz w:val="14"/>
                <w:szCs w:val="14"/>
              </w:rPr>
              <w:t>0</w:t>
            </w:r>
            <w:r>
              <w:rPr>
                <w:rFonts w:cs="Calibri"/>
                <w:color w:val="000000"/>
                <w:sz w:val="14"/>
                <w:szCs w:val="14"/>
              </w:rPr>
              <w:t>.</w:t>
            </w:r>
            <w:r w:rsidRPr="003003C0">
              <w:rPr>
                <w:rFonts w:cs="Calibri"/>
                <w:color w:val="000000"/>
                <w:sz w:val="14"/>
                <w:szCs w:val="14"/>
              </w:rPr>
              <w:t>0</w:t>
            </w:r>
          </w:p>
        </w:tc>
        <w:tc>
          <w:tcPr>
            <w:tcW w:w="684" w:type="dxa"/>
            <w:noWrap/>
            <w:vAlign w:val="center"/>
            <w:hideMark/>
          </w:tcPr>
          <w:p w14:paraId="0F6FF056" w14:textId="77777777" w:rsidR="004F64EF" w:rsidRPr="003003C0" w:rsidRDefault="004F64EF" w:rsidP="00FD6B66">
            <w:pPr>
              <w:jc w:val="right"/>
              <w:rPr>
                <w:rFonts w:cs="Calibri"/>
                <w:color w:val="000000"/>
                <w:sz w:val="14"/>
                <w:szCs w:val="14"/>
              </w:rPr>
            </w:pPr>
            <w:r w:rsidRPr="003003C0">
              <w:rPr>
                <w:rFonts w:cs="Calibri"/>
                <w:color w:val="000000"/>
                <w:sz w:val="14"/>
                <w:szCs w:val="14"/>
              </w:rPr>
              <w:t>0</w:t>
            </w:r>
            <w:r>
              <w:rPr>
                <w:rFonts w:cs="Calibri"/>
                <w:color w:val="000000"/>
                <w:sz w:val="14"/>
                <w:szCs w:val="14"/>
              </w:rPr>
              <w:t>.</w:t>
            </w:r>
            <w:r w:rsidRPr="003003C0">
              <w:rPr>
                <w:rFonts w:cs="Calibri"/>
                <w:color w:val="000000"/>
                <w:sz w:val="14"/>
                <w:szCs w:val="14"/>
              </w:rPr>
              <w:t>1</w:t>
            </w:r>
          </w:p>
        </w:tc>
        <w:tc>
          <w:tcPr>
            <w:tcW w:w="683" w:type="dxa"/>
            <w:noWrap/>
            <w:vAlign w:val="center"/>
            <w:hideMark/>
          </w:tcPr>
          <w:p w14:paraId="5463C568" w14:textId="77777777" w:rsidR="004F64EF" w:rsidRPr="003003C0" w:rsidRDefault="004F64EF" w:rsidP="00FD6B66">
            <w:pPr>
              <w:jc w:val="right"/>
              <w:rPr>
                <w:rFonts w:cs="Calibri"/>
                <w:color w:val="000000"/>
                <w:sz w:val="14"/>
                <w:szCs w:val="14"/>
              </w:rPr>
            </w:pPr>
            <w:r w:rsidRPr="003003C0">
              <w:rPr>
                <w:rFonts w:cs="Calibri"/>
                <w:color w:val="000000"/>
                <w:sz w:val="14"/>
                <w:szCs w:val="14"/>
              </w:rPr>
              <w:t>0</w:t>
            </w:r>
            <w:r>
              <w:rPr>
                <w:rFonts w:cs="Calibri"/>
                <w:color w:val="000000"/>
                <w:sz w:val="14"/>
                <w:szCs w:val="14"/>
              </w:rPr>
              <w:t>.</w:t>
            </w:r>
            <w:r w:rsidRPr="003003C0">
              <w:rPr>
                <w:rFonts w:cs="Calibri"/>
                <w:color w:val="000000"/>
                <w:sz w:val="14"/>
                <w:szCs w:val="14"/>
              </w:rPr>
              <w:t>6</w:t>
            </w:r>
          </w:p>
        </w:tc>
        <w:tc>
          <w:tcPr>
            <w:tcW w:w="683" w:type="dxa"/>
            <w:noWrap/>
            <w:vAlign w:val="center"/>
            <w:hideMark/>
          </w:tcPr>
          <w:p w14:paraId="129904C8" w14:textId="77777777" w:rsidR="004F64EF" w:rsidRPr="003003C0" w:rsidRDefault="004F64EF" w:rsidP="00FD6B66">
            <w:pPr>
              <w:jc w:val="right"/>
              <w:rPr>
                <w:rFonts w:cs="Calibri"/>
                <w:color w:val="000000"/>
                <w:sz w:val="14"/>
                <w:szCs w:val="14"/>
              </w:rPr>
            </w:pPr>
            <w:r w:rsidRPr="003003C0">
              <w:rPr>
                <w:rFonts w:cs="Calibri"/>
                <w:color w:val="000000"/>
                <w:sz w:val="14"/>
                <w:szCs w:val="14"/>
              </w:rPr>
              <w:t>0</w:t>
            </w:r>
            <w:r>
              <w:rPr>
                <w:rFonts w:cs="Calibri"/>
                <w:color w:val="000000"/>
                <w:sz w:val="14"/>
                <w:szCs w:val="14"/>
              </w:rPr>
              <w:t>.</w:t>
            </w:r>
            <w:r w:rsidRPr="003003C0">
              <w:rPr>
                <w:rFonts w:cs="Calibri"/>
                <w:color w:val="000000"/>
                <w:sz w:val="14"/>
                <w:szCs w:val="14"/>
              </w:rPr>
              <w:t>4</w:t>
            </w:r>
          </w:p>
        </w:tc>
        <w:tc>
          <w:tcPr>
            <w:tcW w:w="684" w:type="dxa"/>
            <w:noWrap/>
            <w:vAlign w:val="center"/>
            <w:hideMark/>
          </w:tcPr>
          <w:p w14:paraId="13592E4C" w14:textId="77777777" w:rsidR="004F64EF" w:rsidRPr="003003C0" w:rsidRDefault="004F64EF" w:rsidP="00FD6B66">
            <w:pPr>
              <w:jc w:val="right"/>
              <w:rPr>
                <w:rFonts w:cs="Calibri"/>
                <w:color w:val="000000"/>
                <w:sz w:val="14"/>
                <w:szCs w:val="14"/>
              </w:rPr>
            </w:pPr>
            <w:r w:rsidRPr="003003C0">
              <w:rPr>
                <w:rFonts w:cs="Calibri"/>
                <w:color w:val="000000"/>
                <w:sz w:val="14"/>
                <w:szCs w:val="14"/>
              </w:rPr>
              <w:t>0</w:t>
            </w:r>
            <w:r>
              <w:rPr>
                <w:rFonts w:cs="Calibri"/>
                <w:color w:val="000000"/>
                <w:sz w:val="14"/>
                <w:szCs w:val="14"/>
              </w:rPr>
              <w:t>.</w:t>
            </w:r>
            <w:r w:rsidRPr="003003C0">
              <w:rPr>
                <w:rFonts w:cs="Calibri"/>
                <w:color w:val="000000"/>
                <w:sz w:val="14"/>
                <w:szCs w:val="14"/>
              </w:rPr>
              <w:t>6</w:t>
            </w:r>
          </w:p>
        </w:tc>
      </w:tr>
      <w:tr w:rsidR="004F64EF" w:rsidRPr="003003C0" w14:paraId="3F6B4C50" w14:textId="77777777" w:rsidTr="00FD6B66">
        <w:trPr>
          <w:cnfStyle w:val="000000010000" w:firstRow="0" w:lastRow="0" w:firstColumn="0" w:lastColumn="0" w:oddVBand="0" w:evenVBand="0" w:oddHBand="0" w:evenHBand="1" w:firstRowFirstColumn="0" w:firstRowLastColumn="0" w:lastRowFirstColumn="0" w:lastRowLastColumn="0"/>
          <w:trHeight w:val="20"/>
        </w:trPr>
        <w:tc>
          <w:tcPr>
            <w:tcW w:w="4246" w:type="dxa"/>
            <w:noWrap/>
            <w:vAlign w:val="center"/>
            <w:hideMark/>
          </w:tcPr>
          <w:p w14:paraId="60E20EE7" w14:textId="77777777" w:rsidR="004F64EF" w:rsidRPr="003003C0" w:rsidRDefault="004F64EF" w:rsidP="00FD6B66">
            <w:pPr>
              <w:keepNext/>
              <w:keepLines/>
              <w:jc w:val="left"/>
              <w:rPr>
                <w:rFonts w:cs="Calibri"/>
                <w:color w:val="000000"/>
                <w:sz w:val="14"/>
                <w:szCs w:val="14"/>
              </w:rPr>
            </w:pPr>
            <w:r w:rsidRPr="003003C0">
              <w:rPr>
                <w:rFonts w:cs="Calibri"/>
                <w:color w:val="000000"/>
                <w:sz w:val="14"/>
                <w:szCs w:val="14"/>
              </w:rPr>
              <w:t xml:space="preserve">15 - </w:t>
            </w:r>
            <w:r>
              <w:rPr>
                <w:rFonts w:cs="Calibri"/>
                <w:color w:val="000000"/>
                <w:sz w:val="14"/>
                <w:szCs w:val="14"/>
              </w:rPr>
              <w:t>B</w:t>
            </w:r>
            <w:r w:rsidRPr="00144D63">
              <w:rPr>
                <w:rFonts w:cs="Calibri"/>
                <w:color w:val="000000"/>
                <w:sz w:val="14"/>
                <w:szCs w:val="14"/>
              </w:rPr>
              <w:t>ase metals and articles of base metal</w:t>
            </w:r>
          </w:p>
        </w:tc>
        <w:tc>
          <w:tcPr>
            <w:tcW w:w="683" w:type="dxa"/>
            <w:noWrap/>
            <w:vAlign w:val="center"/>
            <w:hideMark/>
          </w:tcPr>
          <w:p w14:paraId="5B62A296" w14:textId="77777777" w:rsidR="004F64EF" w:rsidRPr="003003C0" w:rsidRDefault="004F64EF" w:rsidP="00FD6B66">
            <w:pPr>
              <w:jc w:val="right"/>
              <w:rPr>
                <w:rFonts w:cs="Calibri"/>
                <w:color w:val="000000"/>
                <w:sz w:val="14"/>
                <w:szCs w:val="14"/>
              </w:rPr>
            </w:pPr>
            <w:r w:rsidRPr="003003C0">
              <w:rPr>
                <w:rFonts w:cs="Calibri"/>
                <w:color w:val="000000"/>
                <w:sz w:val="14"/>
                <w:szCs w:val="14"/>
              </w:rPr>
              <w:t>1</w:t>
            </w:r>
            <w:r>
              <w:rPr>
                <w:rFonts w:cs="Calibri"/>
                <w:color w:val="000000"/>
                <w:sz w:val="14"/>
                <w:szCs w:val="14"/>
              </w:rPr>
              <w:t>.</w:t>
            </w:r>
            <w:r w:rsidRPr="003003C0">
              <w:rPr>
                <w:rFonts w:cs="Calibri"/>
                <w:color w:val="000000"/>
                <w:sz w:val="14"/>
                <w:szCs w:val="14"/>
              </w:rPr>
              <w:t>6</w:t>
            </w:r>
          </w:p>
        </w:tc>
        <w:tc>
          <w:tcPr>
            <w:tcW w:w="683" w:type="dxa"/>
            <w:noWrap/>
            <w:vAlign w:val="center"/>
            <w:hideMark/>
          </w:tcPr>
          <w:p w14:paraId="72043931" w14:textId="77777777" w:rsidR="004F64EF" w:rsidRPr="003003C0" w:rsidRDefault="004F64EF" w:rsidP="00FD6B66">
            <w:pPr>
              <w:jc w:val="right"/>
              <w:rPr>
                <w:rFonts w:cs="Calibri"/>
                <w:color w:val="000000"/>
                <w:sz w:val="14"/>
                <w:szCs w:val="14"/>
              </w:rPr>
            </w:pPr>
            <w:r w:rsidRPr="003003C0">
              <w:rPr>
                <w:rFonts w:cs="Calibri"/>
                <w:color w:val="000000"/>
                <w:sz w:val="14"/>
                <w:szCs w:val="14"/>
              </w:rPr>
              <w:t>1</w:t>
            </w:r>
            <w:r>
              <w:rPr>
                <w:rFonts w:cs="Calibri"/>
                <w:color w:val="000000"/>
                <w:sz w:val="14"/>
                <w:szCs w:val="14"/>
              </w:rPr>
              <w:t>.</w:t>
            </w:r>
            <w:r w:rsidRPr="003003C0">
              <w:rPr>
                <w:rFonts w:cs="Calibri"/>
                <w:color w:val="000000"/>
                <w:sz w:val="14"/>
                <w:szCs w:val="14"/>
              </w:rPr>
              <w:t>8</w:t>
            </w:r>
          </w:p>
        </w:tc>
        <w:tc>
          <w:tcPr>
            <w:tcW w:w="683" w:type="dxa"/>
            <w:noWrap/>
            <w:vAlign w:val="center"/>
            <w:hideMark/>
          </w:tcPr>
          <w:p w14:paraId="271311CD" w14:textId="77777777" w:rsidR="004F64EF" w:rsidRPr="003003C0" w:rsidRDefault="004F64EF" w:rsidP="00FD6B66">
            <w:pPr>
              <w:jc w:val="right"/>
              <w:rPr>
                <w:rFonts w:cs="Calibri"/>
                <w:color w:val="000000"/>
                <w:sz w:val="14"/>
                <w:szCs w:val="14"/>
              </w:rPr>
            </w:pPr>
            <w:r w:rsidRPr="003003C0">
              <w:rPr>
                <w:rFonts w:cs="Calibri"/>
                <w:color w:val="000000"/>
                <w:sz w:val="14"/>
                <w:szCs w:val="14"/>
              </w:rPr>
              <w:t>1</w:t>
            </w:r>
            <w:r>
              <w:rPr>
                <w:rFonts w:cs="Calibri"/>
                <w:color w:val="000000"/>
                <w:sz w:val="14"/>
                <w:szCs w:val="14"/>
              </w:rPr>
              <w:t>.</w:t>
            </w:r>
            <w:r w:rsidRPr="003003C0">
              <w:rPr>
                <w:rFonts w:cs="Calibri"/>
                <w:color w:val="000000"/>
                <w:sz w:val="14"/>
                <w:szCs w:val="14"/>
              </w:rPr>
              <w:t>5</w:t>
            </w:r>
          </w:p>
        </w:tc>
        <w:tc>
          <w:tcPr>
            <w:tcW w:w="684" w:type="dxa"/>
            <w:noWrap/>
            <w:vAlign w:val="center"/>
            <w:hideMark/>
          </w:tcPr>
          <w:p w14:paraId="219EA8D6" w14:textId="77777777" w:rsidR="004F64EF" w:rsidRPr="003003C0" w:rsidRDefault="004F64EF" w:rsidP="00FD6B66">
            <w:pPr>
              <w:jc w:val="right"/>
              <w:rPr>
                <w:rFonts w:cs="Calibri"/>
                <w:color w:val="000000"/>
                <w:sz w:val="14"/>
                <w:szCs w:val="14"/>
              </w:rPr>
            </w:pPr>
            <w:r w:rsidRPr="003003C0">
              <w:rPr>
                <w:rFonts w:cs="Calibri"/>
                <w:color w:val="000000"/>
                <w:sz w:val="14"/>
                <w:szCs w:val="14"/>
              </w:rPr>
              <w:t>2</w:t>
            </w:r>
            <w:r>
              <w:rPr>
                <w:rFonts w:cs="Calibri"/>
                <w:color w:val="000000"/>
                <w:sz w:val="14"/>
                <w:szCs w:val="14"/>
              </w:rPr>
              <w:t>.</w:t>
            </w:r>
            <w:r w:rsidRPr="003003C0">
              <w:rPr>
                <w:rFonts w:cs="Calibri"/>
                <w:color w:val="000000"/>
                <w:sz w:val="14"/>
                <w:szCs w:val="14"/>
              </w:rPr>
              <w:t>0</w:t>
            </w:r>
          </w:p>
        </w:tc>
        <w:tc>
          <w:tcPr>
            <w:tcW w:w="683" w:type="dxa"/>
            <w:noWrap/>
            <w:vAlign w:val="center"/>
            <w:hideMark/>
          </w:tcPr>
          <w:p w14:paraId="5EBFD888" w14:textId="77777777" w:rsidR="004F64EF" w:rsidRPr="003003C0" w:rsidRDefault="004F64EF" w:rsidP="00FD6B66">
            <w:pPr>
              <w:jc w:val="right"/>
              <w:rPr>
                <w:rFonts w:cs="Calibri"/>
                <w:color w:val="000000"/>
                <w:sz w:val="14"/>
                <w:szCs w:val="14"/>
              </w:rPr>
            </w:pPr>
            <w:r w:rsidRPr="003003C0">
              <w:rPr>
                <w:rFonts w:cs="Calibri"/>
                <w:color w:val="000000"/>
                <w:sz w:val="14"/>
                <w:szCs w:val="14"/>
              </w:rPr>
              <w:t>2</w:t>
            </w:r>
            <w:r>
              <w:rPr>
                <w:rFonts w:cs="Calibri"/>
                <w:color w:val="000000"/>
                <w:sz w:val="14"/>
                <w:szCs w:val="14"/>
              </w:rPr>
              <w:t>.</w:t>
            </w:r>
            <w:r w:rsidRPr="003003C0">
              <w:rPr>
                <w:rFonts w:cs="Calibri"/>
                <w:color w:val="000000"/>
                <w:sz w:val="14"/>
                <w:szCs w:val="14"/>
              </w:rPr>
              <w:t>3</w:t>
            </w:r>
          </w:p>
        </w:tc>
        <w:tc>
          <w:tcPr>
            <w:tcW w:w="683" w:type="dxa"/>
            <w:noWrap/>
            <w:vAlign w:val="center"/>
            <w:hideMark/>
          </w:tcPr>
          <w:p w14:paraId="00E2BB7E" w14:textId="77777777" w:rsidR="004F64EF" w:rsidRPr="003003C0" w:rsidRDefault="004F64EF" w:rsidP="00FD6B66">
            <w:pPr>
              <w:jc w:val="right"/>
              <w:rPr>
                <w:rFonts w:cs="Calibri"/>
                <w:color w:val="000000"/>
                <w:sz w:val="14"/>
                <w:szCs w:val="14"/>
              </w:rPr>
            </w:pPr>
            <w:r w:rsidRPr="003003C0">
              <w:rPr>
                <w:rFonts w:cs="Calibri"/>
                <w:color w:val="000000"/>
                <w:sz w:val="14"/>
                <w:szCs w:val="14"/>
              </w:rPr>
              <w:t>2</w:t>
            </w:r>
            <w:r>
              <w:rPr>
                <w:rFonts w:cs="Calibri"/>
                <w:color w:val="000000"/>
                <w:sz w:val="14"/>
                <w:szCs w:val="14"/>
              </w:rPr>
              <w:t>.</w:t>
            </w:r>
            <w:r w:rsidRPr="003003C0">
              <w:rPr>
                <w:rFonts w:cs="Calibri"/>
                <w:color w:val="000000"/>
                <w:sz w:val="14"/>
                <w:szCs w:val="14"/>
              </w:rPr>
              <w:t>3</w:t>
            </w:r>
          </w:p>
        </w:tc>
        <w:tc>
          <w:tcPr>
            <w:tcW w:w="684" w:type="dxa"/>
            <w:noWrap/>
            <w:vAlign w:val="center"/>
            <w:hideMark/>
          </w:tcPr>
          <w:p w14:paraId="153F7B56" w14:textId="77777777" w:rsidR="004F64EF" w:rsidRPr="003003C0" w:rsidRDefault="004F64EF" w:rsidP="00FD6B66">
            <w:pPr>
              <w:jc w:val="right"/>
              <w:rPr>
                <w:rFonts w:cs="Calibri"/>
                <w:color w:val="000000"/>
                <w:sz w:val="14"/>
                <w:szCs w:val="14"/>
              </w:rPr>
            </w:pPr>
            <w:r w:rsidRPr="003003C0">
              <w:rPr>
                <w:rFonts w:cs="Calibri"/>
                <w:color w:val="000000"/>
                <w:sz w:val="14"/>
                <w:szCs w:val="14"/>
              </w:rPr>
              <w:t>2</w:t>
            </w:r>
            <w:r>
              <w:rPr>
                <w:rFonts w:cs="Calibri"/>
                <w:color w:val="000000"/>
                <w:sz w:val="14"/>
                <w:szCs w:val="14"/>
              </w:rPr>
              <w:t>.</w:t>
            </w:r>
            <w:r w:rsidRPr="003003C0">
              <w:rPr>
                <w:rFonts w:cs="Calibri"/>
                <w:color w:val="000000"/>
                <w:sz w:val="14"/>
                <w:szCs w:val="14"/>
              </w:rPr>
              <w:t>8</w:t>
            </w:r>
          </w:p>
        </w:tc>
      </w:tr>
      <w:tr w:rsidR="004F64EF" w:rsidRPr="003003C0" w14:paraId="2186DD03" w14:textId="77777777" w:rsidTr="00FD6B66">
        <w:trPr>
          <w:trHeight w:val="20"/>
        </w:trPr>
        <w:tc>
          <w:tcPr>
            <w:tcW w:w="4246" w:type="dxa"/>
            <w:noWrap/>
            <w:vAlign w:val="center"/>
            <w:hideMark/>
          </w:tcPr>
          <w:p w14:paraId="125B75A4" w14:textId="77777777" w:rsidR="004F64EF" w:rsidRPr="003003C0" w:rsidRDefault="004F64EF" w:rsidP="00FD6B66">
            <w:pPr>
              <w:keepNext/>
              <w:keepLines/>
              <w:tabs>
                <w:tab w:val="left" w:pos="227"/>
              </w:tabs>
              <w:jc w:val="left"/>
              <w:rPr>
                <w:rFonts w:cs="Calibri"/>
                <w:color w:val="000000"/>
                <w:sz w:val="14"/>
                <w:szCs w:val="14"/>
              </w:rPr>
            </w:pPr>
            <w:r w:rsidRPr="003003C0">
              <w:rPr>
                <w:rFonts w:cs="Calibri"/>
                <w:color w:val="000000"/>
                <w:sz w:val="14"/>
                <w:szCs w:val="14"/>
              </w:rPr>
              <w:tab/>
              <w:t xml:space="preserve">76. </w:t>
            </w:r>
            <w:r w:rsidRPr="00144D63">
              <w:rPr>
                <w:rFonts w:cs="Calibri"/>
                <w:color w:val="000000"/>
                <w:sz w:val="14"/>
                <w:szCs w:val="14"/>
              </w:rPr>
              <w:t>Aluminium and articles thereof</w:t>
            </w:r>
          </w:p>
        </w:tc>
        <w:tc>
          <w:tcPr>
            <w:tcW w:w="683" w:type="dxa"/>
            <w:noWrap/>
            <w:vAlign w:val="center"/>
            <w:hideMark/>
          </w:tcPr>
          <w:p w14:paraId="59BCC4D5" w14:textId="77777777" w:rsidR="004F64EF" w:rsidRPr="003003C0" w:rsidRDefault="004F64EF" w:rsidP="00FD6B66">
            <w:pPr>
              <w:jc w:val="right"/>
              <w:rPr>
                <w:rFonts w:cs="Calibri"/>
                <w:color w:val="000000"/>
                <w:sz w:val="14"/>
                <w:szCs w:val="14"/>
              </w:rPr>
            </w:pPr>
            <w:r w:rsidRPr="003003C0">
              <w:rPr>
                <w:rFonts w:cs="Calibri"/>
                <w:color w:val="000000"/>
                <w:sz w:val="14"/>
                <w:szCs w:val="14"/>
              </w:rPr>
              <w:t>0</w:t>
            </w:r>
            <w:r>
              <w:rPr>
                <w:rFonts w:cs="Calibri"/>
                <w:color w:val="000000"/>
                <w:sz w:val="14"/>
                <w:szCs w:val="14"/>
              </w:rPr>
              <w:t>.</w:t>
            </w:r>
            <w:r w:rsidRPr="003003C0">
              <w:rPr>
                <w:rFonts w:cs="Calibri"/>
                <w:color w:val="000000"/>
                <w:sz w:val="14"/>
                <w:szCs w:val="14"/>
              </w:rPr>
              <w:t>6</w:t>
            </w:r>
          </w:p>
        </w:tc>
        <w:tc>
          <w:tcPr>
            <w:tcW w:w="683" w:type="dxa"/>
            <w:noWrap/>
            <w:vAlign w:val="center"/>
            <w:hideMark/>
          </w:tcPr>
          <w:p w14:paraId="39D7F852" w14:textId="77777777" w:rsidR="004F64EF" w:rsidRPr="003003C0" w:rsidRDefault="004F64EF" w:rsidP="00FD6B66">
            <w:pPr>
              <w:jc w:val="right"/>
              <w:rPr>
                <w:rFonts w:cs="Calibri"/>
                <w:color w:val="000000"/>
                <w:sz w:val="14"/>
                <w:szCs w:val="14"/>
              </w:rPr>
            </w:pPr>
            <w:r w:rsidRPr="003003C0">
              <w:rPr>
                <w:rFonts w:cs="Calibri"/>
                <w:color w:val="000000"/>
                <w:sz w:val="14"/>
                <w:szCs w:val="14"/>
              </w:rPr>
              <w:t>0</w:t>
            </w:r>
            <w:r>
              <w:rPr>
                <w:rFonts w:cs="Calibri"/>
                <w:color w:val="000000"/>
                <w:sz w:val="14"/>
                <w:szCs w:val="14"/>
              </w:rPr>
              <w:t>.</w:t>
            </w:r>
            <w:r w:rsidRPr="003003C0">
              <w:rPr>
                <w:rFonts w:cs="Calibri"/>
                <w:color w:val="000000"/>
                <w:sz w:val="14"/>
                <w:szCs w:val="14"/>
              </w:rPr>
              <w:t>4</w:t>
            </w:r>
          </w:p>
        </w:tc>
        <w:tc>
          <w:tcPr>
            <w:tcW w:w="683" w:type="dxa"/>
            <w:noWrap/>
            <w:vAlign w:val="center"/>
            <w:hideMark/>
          </w:tcPr>
          <w:p w14:paraId="2D5E2C92" w14:textId="77777777" w:rsidR="004F64EF" w:rsidRPr="003003C0" w:rsidRDefault="004F64EF" w:rsidP="00FD6B66">
            <w:pPr>
              <w:jc w:val="right"/>
              <w:rPr>
                <w:rFonts w:cs="Calibri"/>
                <w:color w:val="000000"/>
                <w:sz w:val="14"/>
                <w:szCs w:val="14"/>
              </w:rPr>
            </w:pPr>
            <w:r w:rsidRPr="003003C0">
              <w:rPr>
                <w:rFonts w:cs="Calibri"/>
                <w:color w:val="000000"/>
                <w:sz w:val="14"/>
                <w:szCs w:val="14"/>
              </w:rPr>
              <w:t>0</w:t>
            </w:r>
            <w:r>
              <w:rPr>
                <w:rFonts w:cs="Calibri"/>
                <w:color w:val="000000"/>
                <w:sz w:val="14"/>
                <w:szCs w:val="14"/>
              </w:rPr>
              <w:t>.</w:t>
            </w:r>
            <w:r w:rsidRPr="003003C0">
              <w:rPr>
                <w:rFonts w:cs="Calibri"/>
                <w:color w:val="000000"/>
                <w:sz w:val="14"/>
                <w:szCs w:val="14"/>
              </w:rPr>
              <w:t>4</w:t>
            </w:r>
          </w:p>
        </w:tc>
        <w:tc>
          <w:tcPr>
            <w:tcW w:w="684" w:type="dxa"/>
            <w:noWrap/>
            <w:vAlign w:val="center"/>
            <w:hideMark/>
          </w:tcPr>
          <w:p w14:paraId="10E09B28" w14:textId="77777777" w:rsidR="004F64EF" w:rsidRPr="003003C0" w:rsidRDefault="004F64EF" w:rsidP="00FD6B66">
            <w:pPr>
              <w:jc w:val="right"/>
              <w:rPr>
                <w:rFonts w:cs="Calibri"/>
                <w:color w:val="000000"/>
                <w:sz w:val="14"/>
                <w:szCs w:val="14"/>
              </w:rPr>
            </w:pPr>
            <w:r w:rsidRPr="003003C0">
              <w:rPr>
                <w:rFonts w:cs="Calibri"/>
                <w:color w:val="000000"/>
                <w:sz w:val="14"/>
                <w:szCs w:val="14"/>
              </w:rPr>
              <w:t>0</w:t>
            </w:r>
            <w:r>
              <w:rPr>
                <w:rFonts w:cs="Calibri"/>
                <w:color w:val="000000"/>
                <w:sz w:val="14"/>
                <w:szCs w:val="14"/>
              </w:rPr>
              <w:t>.</w:t>
            </w:r>
            <w:r w:rsidRPr="003003C0">
              <w:rPr>
                <w:rFonts w:cs="Calibri"/>
                <w:color w:val="000000"/>
                <w:sz w:val="14"/>
                <w:szCs w:val="14"/>
              </w:rPr>
              <w:t>6</w:t>
            </w:r>
          </w:p>
        </w:tc>
        <w:tc>
          <w:tcPr>
            <w:tcW w:w="683" w:type="dxa"/>
            <w:noWrap/>
            <w:vAlign w:val="center"/>
            <w:hideMark/>
          </w:tcPr>
          <w:p w14:paraId="13AD1744" w14:textId="77777777" w:rsidR="004F64EF" w:rsidRPr="003003C0" w:rsidRDefault="004F64EF" w:rsidP="00FD6B66">
            <w:pPr>
              <w:jc w:val="right"/>
              <w:rPr>
                <w:rFonts w:cs="Calibri"/>
                <w:color w:val="000000"/>
                <w:sz w:val="14"/>
                <w:szCs w:val="14"/>
              </w:rPr>
            </w:pPr>
            <w:r w:rsidRPr="003003C0">
              <w:rPr>
                <w:rFonts w:cs="Calibri"/>
                <w:color w:val="000000"/>
                <w:sz w:val="14"/>
                <w:szCs w:val="14"/>
              </w:rPr>
              <w:t>0</w:t>
            </w:r>
            <w:r>
              <w:rPr>
                <w:rFonts w:cs="Calibri"/>
                <w:color w:val="000000"/>
                <w:sz w:val="14"/>
                <w:szCs w:val="14"/>
              </w:rPr>
              <w:t>.</w:t>
            </w:r>
            <w:r w:rsidRPr="003003C0">
              <w:rPr>
                <w:rFonts w:cs="Calibri"/>
                <w:color w:val="000000"/>
                <w:sz w:val="14"/>
                <w:szCs w:val="14"/>
              </w:rPr>
              <w:t>6</w:t>
            </w:r>
          </w:p>
        </w:tc>
        <w:tc>
          <w:tcPr>
            <w:tcW w:w="683" w:type="dxa"/>
            <w:noWrap/>
            <w:vAlign w:val="center"/>
            <w:hideMark/>
          </w:tcPr>
          <w:p w14:paraId="726234FC" w14:textId="77777777" w:rsidR="004F64EF" w:rsidRPr="003003C0" w:rsidRDefault="004F64EF" w:rsidP="00FD6B66">
            <w:pPr>
              <w:jc w:val="right"/>
              <w:rPr>
                <w:rFonts w:cs="Calibri"/>
                <w:color w:val="000000"/>
                <w:sz w:val="14"/>
                <w:szCs w:val="14"/>
              </w:rPr>
            </w:pPr>
            <w:r w:rsidRPr="003003C0">
              <w:rPr>
                <w:rFonts w:cs="Calibri"/>
                <w:color w:val="000000"/>
                <w:sz w:val="14"/>
                <w:szCs w:val="14"/>
              </w:rPr>
              <w:t>0</w:t>
            </w:r>
            <w:r>
              <w:rPr>
                <w:rFonts w:cs="Calibri"/>
                <w:color w:val="000000"/>
                <w:sz w:val="14"/>
                <w:szCs w:val="14"/>
              </w:rPr>
              <w:t>.</w:t>
            </w:r>
            <w:r w:rsidRPr="003003C0">
              <w:rPr>
                <w:rFonts w:cs="Calibri"/>
                <w:color w:val="000000"/>
                <w:sz w:val="14"/>
                <w:szCs w:val="14"/>
              </w:rPr>
              <w:t>8</w:t>
            </w:r>
          </w:p>
        </w:tc>
        <w:tc>
          <w:tcPr>
            <w:tcW w:w="684" w:type="dxa"/>
            <w:noWrap/>
            <w:vAlign w:val="center"/>
            <w:hideMark/>
          </w:tcPr>
          <w:p w14:paraId="3C97AAF9" w14:textId="77777777" w:rsidR="004F64EF" w:rsidRPr="003003C0" w:rsidRDefault="004F64EF" w:rsidP="00FD6B66">
            <w:pPr>
              <w:jc w:val="right"/>
              <w:rPr>
                <w:rFonts w:cs="Calibri"/>
                <w:color w:val="000000"/>
                <w:sz w:val="14"/>
                <w:szCs w:val="14"/>
              </w:rPr>
            </w:pPr>
            <w:r w:rsidRPr="003003C0">
              <w:rPr>
                <w:rFonts w:cs="Calibri"/>
                <w:color w:val="000000"/>
                <w:sz w:val="14"/>
                <w:szCs w:val="14"/>
              </w:rPr>
              <w:t>1</w:t>
            </w:r>
            <w:r>
              <w:rPr>
                <w:rFonts w:cs="Calibri"/>
                <w:color w:val="000000"/>
                <w:sz w:val="14"/>
                <w:szCs w:val="14"/>
              </w:rPr>
              <w:t>.</w:t>
            </w:r>
            <w:r w:rsidRPr="003003C0">
              <w:rPr>
                <w:rFonts w:cs="Calibri"/>
                <w:color w:val="000000"/>
                <w:sz w:val="14"/>
                <w:szCs w:val="14"/>
              </w:rPr>
              <w:t>3</w:t>
            </w:r>
          </w:p>
        </w:tc>
      </w:tr>
      <w:tr w:rsidR="004F64EF" w:rsidRPr="003003C0" w14:paraId="6269E4CD" w14:textId="77777777" w:rsidTr="00FD6B66">
        <w:trPr>
          <w:cnfStyle w:val="000000010000" w:firstRow="0" w:lastRow="0" w:firstColumn="0" w:lastColumn="0" w:oddVBand="0" w:evenVBand="0" w:oddHBand="0" w:evenHBand="1" w:firstRowFirstColumn="0" w:firstRowLastColumn="0" w:lastRowFirstColumn="0" w:lastRowLastColumn="0"/>
          <w:trHeight w:val="20"/>
        </w:trPr>
        <w:tc>
          <w:tcPr>
            <w:tcW w:w="4246" w:type="dxa"/>
            <w:noWrap/>
            <w:vAlign w:val="center"/>
            <w:hideMark/>
          </w:tcPr>
          <w:p w14:paraId="4DD98BAA" w14:textId="77777777" w:rsidR="004F64EF" w:rsidRPr="003003C0" w:rsidRDefault="004F64EF" w:rsidP="00FD6B66">
            <w:pPr>
              <w:keepNext/>
              <w:keepLines/>
              <w:tabs>
                <w:tab w:val="left" w:pos="227"/>
              </w:tabs>
              <w:jc w:val="left"/>
              <w:rPr>
                <w:rFonts w:cs="Calibri"/>
                <w:color w:val="000000"/>
                <w:sz w:val="14"/>
                <w:szCs w:val="14"/>
              </w:rPr>
            </w:pPr>
            <w:r w:rsidRPr="003003C0">
              <w:rPr>
                <w:rFonts w:cs="Calibri"/>
                <w:color w:val="000000"/>
                <w:sz w:val="14"/>
                <w:szCs w:val="14"/>
              </w:rPr>
              <w:tab/>
              <w:t xml:space="preserve">83. </w:t>
            </w:r>
            <w:r w:rsidRPr="00144D63">
              <w:rPr>
                <w:rFonts w:cs="Calibri"/>
                <w:color w:val="000000"/>
                <w:sz w:val="14"/>
                <w:szCs w:val="14"/>
              </w:rPr>
              <w:t>Miscellaneous articles of base metal</w:t>
            </w:r>
          </w:p>
        </w:tc>
        <w:tc>
          <w:tcPr>
            <w:tcW w:w="683" w:type="dxa"/>
            <w:noWrap/>
            <w:vAlign w:val="center"/>
            <w:hideMark/>
          </w:tcPr>
          <w:p w14:paraId="2DCFCEDA" w14:textId="77777777" w:rsidR="004F64EF" w:rsidRPr="003003C0" w:rsidRDefault="004F64EF" w:rsidP="00FD6B66">
            <w:pPr>
              <w:jc w:val="right"/>
              <w:rPr>
                <w:rFonts w:cs="Calibri"/>
                <w:color w:val="000000"/>
                <w:sz w:val="14"/>
                <w:szCs w:val="14"/>
              </w:rPr>
            </w:pPr>
            <w:r w:rsidRPr="003003C0">
              <w:rPr>
                <w:rFonts w:cs="Calibri"/>
                <w:color w:val="000000"/>
                <w:sz w:val="14"/>
                <w:szCs w:val="14"/>
              </w:rPr>
              <w:t>0</w:t>
            </w:r>
            <w:r>
              <w:rPr>
                <w:rFonts w:cs="Calibri"/>
                <w:color w:val="000000"/>
                <w:sz w:val="14"/>
                <w:szCs w:val="14"/>
              </w:rPr>
              <w:t>.</w:t>
            </w:r>
            <w:r w:rsidRPr="003003C0">
              <w:rPr>
                <w:rFonts w:cs="Calibri"/>
                <w:color w:val="000000"/>
                <w:sz w:val="14"/>
                <w:szCs w:val="14"/>
              </w:rPr>
              <w:t>3</w:t>
            </w:r>
          </w:p>
        </w:tc>
        <w:tc>
          <w:tcPr>
            <w:tcW w:w="683" w:type="dxa"/>
            <w:noWrap/>
            <w:vAlign w:val="center"/>
            <w:hideMark/>
          </w:tcPr>
          <w:p w14:paraId="183F4FB9" w14:textId="77777777" w:rsidR="004F64EF" w:rsidRPr="003003C0" w:rsidRDefault="004F64EF" w:rsidP="00FD6B66">
            <w:pPr>
              <w:jc w:val="right"/>
              <w:rPr>
                <w:rFonts w:cs="Calibri"/>
                <w:color w:val="000000"/>
                <w:sz w:val="14"/>
                <w:szCs w:val="14"/>
              </w:rPr>
            </w:pPr>
            <w:r w:rsidRPr="003003C0">
              <w:rPr>
                <w:rFonts w:cs="Calibri"/>
                <w:color w:val="000000"/>
                <w:sz w:val="14"/>
                <w:szCs w:val="14"/>
              </w:rPr>
              <w:t>0</w:t>
            </w:r>
            <w:r>
              <w:rPr>
                <w:rFonts w:cs="Calibri"/>
                <w:color w:val="000000"/>
                <w:sz w:val="14"/>
                <w:szCs w:val="14"/>
              </w:rPr>
              <w:t>.</w:t>
            </w:r>
            <w:r w:rsidRPr="003003C0">
              <w:rPr>
                <w:rFonts w:cs="Calibri"/>
                <w:color w:val="000000"/>
                <w:sz w:val="14"/>
                <w:szCs w:val="14"/>
              </w:rPr>
              <w:t>3</w:t>
            </w:r>
          </w:p>
        </w:tc>
        <w:tc>
          <w:tcPr>
            <w:tcW w:w="683" w:type="dxa"/>
            <w:noWrap/>
            <w:vAlign w:val="center"/>
            <w:hideMark/>
          </w:tcPr>
          <w:p w14:paraId="4FE22D78" w14:textId="77777777" w:rsidR="004F64EF" w:rsidRPr="003003C0" w:rsidRDefault="004F64EF" w:rsidP="00FD6B66">
            <w:pPr>
              <w:jc w:val="right"/>
              <w:rPr>
                <w:rFonts w:cs="Calibri"/>
                <w:color w:val="000000"/>
                <w:sz w:val="14"/>
                <w:szCs w:val="14"/>
              </w:rPr>
            </w:pPr>
            <w:r w:rsidRPr="003003C0">
              <w:rPr>
                <w:rFonts w:cs="Calibri"/>
                <w:color w:val="000000"/>
                <w:sz w:val="14"/>
                <w:szCs w:val="14"/>
              </w:rPr>
              <w:t>0</w:t>
            </w:r>
            <w:r>
              <w:rPr>
                <w:rFonts w:cs="Calibri"/>
                <w:color w:val="000000"/>
                <w:sz w:val="14"/>
                <w:szCs w:val="14"/>
              </w:rPr>
              <w:t>.</w:t>
            </w:r>
            <w:r w:rsidRPr="003003C0">
              <w:rPr>
                <w:rFonts w:cs="Calibri"/>
                <w:color w:val="000000"/>
                <w:sz w:val="14"/>
                <w:szCs w:val="14"/>
              </w:rPr>
              <w:t>3</w:t>
            </w:r>
          </w:p>
        </w:tc>
        <w:tc>
          <w:tcPr>
            <w:tcW w:w="684" w:type="dxa"/>
            <w:noWrap/>
            <w:vAlign w:val="center"/>
            <w:hideMark/>
          </w:tcPr>
          <w:p w14:paraId="32F73674" w14:textId="77777777" w:rsidR="004F64EF" w:rsidRPr="003003C0" w:rsidRDefault="004F64EF" w:rsidP="00FD6B66">
            <w:pPr>
              <w:jc w:val="right"/>
              <w:rPr>
                <w:rFonts w:cs="Calibri"/>
                <w:color w:val="000000"/>
                <w:sz w:val="14"/>
                <w:szCs w:val="14"/>
              </w:rPr>
            </w:pPr>
            <w:r w:rsidRPr="003003C0">
              <w:rPr>
                <w:rFonts w:cs="Calibri"/>
                <w:color w:val="000000"/>
                <w:sz w:val="14"/>
                <w:szCs w:val="14"/>
              </w:rPr>
              <w:t>0</w:t>
            </w:r>
            <w:r>
              <w:rPr>
                <w:rFonts w:cs="Calibri"/>
                <w:color w:val="000000"/>
                <w:sz w:val="14"/>
                <w:szCs w:val="14"/>
              </w:rPr>
              <w:t>.</w:t>
            </w:r>
            <w:r w:rsidRPr="003003C0">
              <w:rPr>
                <w:rFonts w:cs="Calibri"/>
                <w:color w:val="000000"/>
                <w:sz w:val="14"/>
                <w:szCs w:val="14"/>
              </w:rPr>
              <w:t>5</w:t>
            </w:r>
          </w:p>
        </w:tc>
        <w:tc>
          <w:tcPr>
            <w:tcW w:w="683" w:type="dxa"/>
            <w:noWrap/>
            <w:vAlign w:val="center"/>
            <w:hideMark/>
          </w:tcPr>
          <w:p w14:paraId="50F0BC28" w14:textId="77777777" w:rsidR="004F64EF" w:rsidRPr="003003C0" w:rsidRDefault="004F64EF" w:rsidP="00FD6B66">
            <w:pPr>
              <w:jc w:val="right"/>
              <w:rPr>
                <w:rFonts w:cs="Calibri"/>
                <w:color w:val="000000"/>
                <w:sz w:val="14"/>
                <w:szCs w:val="14"/>
              </w:rPr>
            </w:pPr>
            <w:r w:rsidRPr="003003C0">
              <w:rPr>
                <w:rFonts w:cs="Calibri"/>
                <w:color w:val="000000"/>
                <w:sz w:val="14"/>
                <w:szCs w:val="14"/>
              </w:rPr>
              <w:t>0</w:t>
            </w:r>
            <w:r>
              <w:rPr>
                <w:rFonts w:cs="Calibri"/>
                <w:color w:val="000000"/>
                <w:sz w:val="14"/>
                <w:szCs w:val="14"/>
              </w:rPr>
              <w:t>.</w:t>
            </w:r>
            <w:r w:rsidRPr="003003C0">
              <w:rPr>
                <w:rFonts w:cs="Calibri"/>
                <w:color w:val="000000"/>
                <w:sz w:val="14"/>
                <w:szCs w:val="14"/>
              </w:rPr>
              <w:t>9</w:t>
            </w:r>
          </w:p>
        </w:tc>
        <w:tc>
          <w:tcPr>
            <w:tcW w:w="683" w:type="dxa"/>
            <w:noWrap/>
            <w:vAlign w:val="center"/>
            <w:hideMark/>
          </w:tcPr>
          <w:p w14:paraId="3E6F3754" w14:textId="77777777" w:rsidR="004F64EF" w:rsidRPr="003003C0" w:rsidRDefault="004F64EF" w:rsidP="00FD6B66">
            <w:pPr>
              <w:jc w:val="right"/>
              <w:rPr>
                <w:rFonts w:cs="Calibri"/>
                <w:color w:val="000000"/>
                <w:sz w:val="14"/>
                <w:szCs w:val="14"/>
              </w:rPr>
            </w:pPr>
            <w:r w:rsidRPr="003003C0">
              <w:rPr>
                <w:rFonts w:cs="Calibri"/>
                <w:color w:val="000000"/>
                <w:sz w:val="14"/>
                <w:szCs w:val="14"/>
              </w:rPr>
              <w:t>0</w:t>
            </w:r>
            <w:r>
              <w:rPr>
                <w:rFonts w:cs="Calibri"/>
                <w:color w:val="000000"/>
                <w:sz w:val="14"/>
                <w:szCs w:val="14"/>
              </w:rPr>
              <w:t>.</w:t>
            </w:r>
            <w:r w:rsidRPr="003003C0">
              <w:rPr>
                <w:rFonts w:cs="Calibri"/>
                <w:color w:val="000000"/>
                <w:sz w:val="14"/>
                <w:szCs w:val="14"/>
              </w:rPr>
              <w:t>8</w:t>
            </w:r>
          </w:p>
        </w:tc>
        <w:tc>
          <w:tcPr>
            <w:tcW w:w="684" w:type="dxa"/>
            <w:noWrap/>
            <w:vAlign w:val="center"/>
            <w:hideMark/>
          </w:tcPr>
          <w:p w14:paraId="4BAA6177" w14:textId="77777777" w:rsidR="004F64EF" w:rsidRPr="003003C0" w:rsidRDefault="004F64EF" w:rsidP="00FD6B66">
            <w:pPr>
              <w:jc w:val="right"/>
              <w:rPr>
                <w:rFonts w:cs="Calibri"/>
                <w:color w:val="000000"/>
                <w:sz w:val="14"/>
                <w:szCs w:val="14"/>
              </w:rPr>
            </w:pPr>
            <w:r w:rsidRPr="003003C0">
              <w:rPr>
                <w:rFonts w:cs="Calibri"/>
                <w:color w:val="000000"/>
                <w:sz w:val="14"/>
                <w:szCs w:val="14"/>
              </w:rPr>
              <w:t>0</w:t>
            </w:r>
            <w:r>
              <w:rPr>
                <w:rFonts w:cs="Calibri"/>
                <w:color w:val="000000"/>
                <w:sz w:val="14"/>
                <w:szCs w:val="14"/>
              </w:rPr>
              <w:t>.</w:t>
            </w:r>
            <w:r w:rsidRPr="003003C0">
              <w:rPr>
                <w:rFonts w:cs="Calibri"/>
                <w:color w:val="000000"/>
                <w:sz w:val="14"/>
                <w:szCs w:val="14"/>
              </w:rPr>
              <w:t>7</w:t>
            </w:r>
          </w:p>
        </w:tc>
      </w:tr>
      <w:tr w:rsidR="004F64EF" w:rsidRPr="003003C0" w14:paraId="79161A97" w14:textId="77777777" w:rsidTr="00FD6B66">
        <w:trPr>
          <w:trHeight w:val="20"/>
        </w:trPr>
        <w:tc>
          <w:tcPr>
            <w:tcW w:w="4246" w:type="dxa"/>
            <w:noWrap/>
            <w:vAlign w:val="center"/>
            <w:hideMark/>
          </w:tcPr>
          <w:p w14:paraId="137B6CC2" w14:textId="77777777" w:rsidR="004F64EF" w:rsidRPr="003003C0" w:rsidRDefault="004F64EF" w:rsidP="00FD6B66">
            <w:pPr>
              <w:keepNext/>
              <w:keepLines/>
              <w:tabs>
                <w:tab w:val="left" w:pos="227"/>
              </w:tabs>
              <w:jc w:val="left"/>
              <w:rPr>
                <w:rFonts w:cs="Calibri"/>
                <w:color w:val="000000"/>
                <w:sz w:val="14"/>
                <w:szCs w:val="14"/>
              </w:rPr>
            </w:pPr>
            <w:r w:rsidRPr="003003C0">
              <w:rPr>
                <w:rFonts w:cs="Calibri"/>
                <w:color w:val="000000"/>
                <w:sz w:val="14"/>
                <w:szCs w:val="14"/>
              </w:rPr>
              <w:tab/>
              <w:t xml:space="preserve">72. </w:t>
            </w:r>
            <w:r w:rsidRPr="008018C3">
              <w:rPr>
                <w:rFonts w:cs="Calibri"/>
                <w:color w:val="000000"/>
                <w:sz w:val="14"/>
                <w:szCs w:val="14"/>
              </w:rPr>
              <w:t>Iron and steel</w:t>
            </w:r>
          </w:p>
        </w:tc>
        <w:tc>
          <w:tcPr>
            <w:tcW w:w="683" w:type="dxa"/>
            <w:noWrap/>
            <w:vAlign w:val="center"/>
            <w:hideMark/>
          </w:tcPr>
          <w:p w14:paraId="0108119E" w14:textId="77777777" w:rsidR="004F64EF" w:rsidRPr="003003C0" w:rsidRDefault="004F64EF" w:rsidP="00FD6B66">
            <w:pPr>
              <w:jc w:val="right"/>
              <w:rPr>
                <w:rFonts w:cs="Calibri"/>
                <w:color w:val="000000"/>
                <w:sz w:val="14"/>
                <w:szCs w:val="14"/>
              </w:rPr>
            </w:pPr>
            <w:r w:rsidRPr="003003C0">
              <w:rPr>
                <w:rFonts w:cs="Calibri"/>
                <w:color w:val="000000"/>
                <w:sz w:val="14"/>
                <w:szCs w:val="14"/>
              </w:rPr>
              <w:t>0</w:t>
            </w:r>
            <w:r>
              <w:rPr>
                <w:rFonts w:cs="Calibri"/>
                <w:color w:val="000000"/>
                <w:sz w:val="14"/>
                <w:szCs w:val="14"/>
              </w:rPr>
              <w:t>.</w:t>
            </w:r>
            <w:r w:rsidRPr="003003C0">
              <w:rPr>
                <w:rFonts w:cs="Calibri"/>
                <w:color w:val="000000"/>
                <w:sz w:val="14"/>
                <w:szCs w:val="14"/>
              </w:rPr>
              <w:t>2</w:t>
            </w:r>
          </w:p>
        </w:tc>
        <w:tc>
          <w:tcPr>
            <w:tcW w:w="683" w:type="dxa"/>
            <w:noWrap/>
            <w:vAlign w:val="center"/>
            <w:hideMark/>
          </w:tcPr>
          <w:p w14:paraId="2D988449" w14:textId="77777777" w:rsidR="004F64EF" w:rsidRPr="003003C0" w:rsidRDefault="004F64EF" w:rsidP="00FD6B66">
            <w:pPr>
              <w:jc w:val="right"/>
              <w:rPr>
                <w:rFonts w:cs="Calibri"/>
                <w:color w:val="000000"/>
                <w:sz w:val="14"/>
                <w:szCs w:val="14"/>
              </w:rPr>
            </w:pPr>
            <w:r w:rsidRPr="003003C0">
              <w:rPr>
                <w:rFonts w:cs="Calibri"/>
                <w:color w:val="000000"/>
                <w:sz w:val="14"/>
                <w:szCs w:val="14"/>
              </w:rPr>
              <w:t>0</w:t>
            </w:r>
            <w:r>
              <w:rPr>
                <w:rFonts w:cs="Calibri"/>
                <w:color w:val="000000"/>
                <w:sz w:val="14"/>
                <w:szCs w:val="14"/>
              </w:rPr>
              <w:t>.</w:t>
            </w:r>
            <w:r w:rsidRPr="003003C0">
              <w:rPr>
                <w:rFonts w:cs="Calibri"/>
                <w:color w:val="000000"/>
                <w:sz w:val="14"/>
                <w:szCs w:val="14"/>
              </w:rPr>
              <w:t>2</w:t>
            </w:r>
          </w:p>
        </w:tc>
        <w:tc>
          <w:tcPr>
            <w:tcW w:w="683" w:type="dxa"/>
            <w:noWrap/>
            <w:vAlign w:val="center"/>
            <w:hideMark/>
          </w:tcPr>
          <w:p w14:paraId="4F17AC9A" w14:textId="77777777" w:rsidR="004F64EF" w:rsidRPr="003003C0" w:rsidRDefault="004F64EF" w:rsidP="00FD6B66">
            <w:pPr>
              <w:jc w:val="right"/>
              <w:rPr>
                <w:rFonts w:cs="Calibri"/>
                <w:color w:val="000000"/>
                <w:sz w:val="14"/>
                <w:szCs w:val="14"/>
              </w:rPr>
            </w:pPr>
            <w:r w:rsidRPr="003003C0">
              <w:rPr>
                <w:rFonts w:cs="Calibri"/>
                <w:color w:val="000000"/>
                <w:sz w:val="14"/>
                <w:szCs w:val="14"/>
              </w:rPr>
              <w:t>0</w:t>
            </w:r>
            <w:r>
              <w:rPr>
                <w:rFonts w:cs="Calibri"/>
                <w:color w:val="000000"/>
                <w:sz w:val="14"/>
                <w:szCs w:val="14"/>
              </w:rPr>
              <w:t>.</w:t>
            </w:r>
            <w:r w:rsidRPr="003003C0">
              <w:rPr>
                <w:rFonts w:cs="Calibri"/>
                <w:color w:val="000000"/>
                <w:sz w:val="14"/>
                <w:szCs w:val="14"/>
              </w:rPr>
              <w:t>2</w:t>
            </w:r>
          </w:p>
        </w:tc>
        <w:tc>
          <w:tcPr>
            <w:tcW w:w="684" w:type="dxa"/>
            <w:noWrap/>
            <w:vAlign w:val="center"/>
            <w:hideMark/>
          </w:tcPr>
          <w:p w14:paraId="5A456B3F" w14:textId="77777777" w:rsidR="004F64EF" w:rsidRPr="003003C0" w:rsidRDefault="004F64EF" w:rsidP="00FD6B66">
            <w:pPr>
              <w:jc w:val="right"/>
              <w:rPr>
                <w:rFonts w:cs="Calibri"/>
                <w:color w:val="000000"/>
                <w:sz w:val="14"/>
                <w:szCs w:val="14"/>
              </w:rPr>
            </w:pPr>
            <w:r w:rsidRPr="003003C0">
              <w:rPr>
                <w:rFonts w:cs="Calibri"/>
                <w:color w:val="000000"/>
                <w:sz w:val="14"/>
                <w:szCs w:val="14"/>
              </w:rPr>
              <w:t>0</w:t>
            </w:r>
            <w:r>
              <w:rPr>
                <w:rFonts w:cs="Calibri"/>
                <w:color w:val="000000"/>
                <w:sz w:val="14"/>
                <w:szCs w:val="14"/>
              </w:rPr>
              <w:t>.</w:t>
            </w:r>
            <w:r w:rsidRPr="003003C0">
              <w:rPr>
                <w:rFonts w:cs="Calibri"/>
                <w:color w:val="000000"/>
                <w:sz w:val="14"/>
                <w:szCs w:val="14"/>
              </w:rPr>
              <w:t>2</w:t>
            </w:r>
          </w:p>
        </w:tc>
        <w:tc>
          <w:tcPr>
            <w:tcW w:w="683" w:type="dxa"/>
            <w:noWrap/>
            <w:vAlign w:val="center"/>
            <w:hideMark/>
          </w:tcPr>
          <w:p w14:paraId="34302335" w14:textId="77777777" w:rsidR="004F64EF" w:rsidRPr="003003C0" w:rsidRDefault="004F64EF" w:rsidP="00FD6B66">
            <w:pPr>
              <w:jc w:val="right"/>
              <w:rPr>
                <w:rFonts w:cs="Calibri"/>
                <w:color w:val="000000"/>
                <w:sz w:val="14"/>
                <w:szCs w:val="14"/>
              </w:rPr>
            </w:pPr>
            <w:r w:rsidRPr="003003C0">
              <w:rPr>
                <w:rFonts w:cs="Calibri"/>
                <w:color w:val="000000"/>
                <w:sz w:val="14"/>
                <w:szCs w:val="14"/>
              </w:rPr>
              <w:t>0</w:t>
            </w:r>
            <w:r>
              <w:rPr>
                <w:rFonts w:cs="Calibri"/>
                <w:color w:val="000000"/>
                <w:sz w:val="14"/>
                <w:szCs w:val="14"/>
              </w:rPr>
              <w:t>.</w:t>
            </w:r>
            <w:r w:rsidRPr="003003C0">
              <w:rPr>
                <w:rFonts w:cs="Calibri"/>
                <w:color w:val="000000"/>
                <w:sz w:val="14"/>
                <w:szCs w:val="14"/>
              </w:rPr>
              <w:t>2</w:t>
            </w:r>
          </w:p>
        </w:tc>
        <w:tc>
          <w:tcPr>
            <w:tcW w:w="683" w:type="dxa"/>
            <w:noWrap/>
            <w:vAlign w:val="center"/>
            <w:hideMark/>
          </w:tcPr>
          <w:p w14:paraId="35C3817F" w14:textId="77777777" w:rsidR="004F64EF" w:rsidRPr="003003C0" w:rsidRDefault="004F64EF" w:rsidP="00FD6B66">
            <w:pPr>
              <w:jc w:val="right"/>
              <w:rPr>
                <w:rFonts w:cs="Calibri"/>
                <w:color w:val="000000"/>
                <w:sz w:val="14"/>
                <w:szCs w:val="14"/>
              </w:rPr>
            </w:pPr>
            <w:r w:rsidRPr="003003C0">
              <w:rPr>
                <w:rFonts w:cs="Calibri"/>
                <w:color w:val="000000"/>
                <w:sz w:val="14"/>
                <w:szCs w:val="14"/>
              </w:rPr>
              <w:t>0</w:t>
            </w:r>
            <w:r>
              <w:rPr>
                <w:rFonts w:cs="Calibri"/>
                <w:color w:val="000000"/>
                <w:sz w:val="14"/>
                <w:szCs w:val="14"/>
              </w:rPr>
              <w:t>.</w:t>
            </w:r>
            <w:r w:rsidRPr="003003C0">
              <w:rPr>
                <w:rFonts w:cs="Calibri"/>
                <w:color w:val="000000"/>
                <w:sz w:val="14"/>
                <w:szCs w:val="14"/>
              </w:rPr>
              <w:t>1</w:t>
            </w:r>
          </w:p>
        </w:tc>
        <w:tc>
          <w:tcPr>
            <w:tcW w:w="684" w:type="dxa"/>
            <w:noWrap/>
            <w:vAlign w:val="center"/>
            <w:hideMark/>
          </w:tcPr>
          <w:p w14:paraId="284BA56D" w14:textId="77777777" w:rsidR="004F64EF" w:rsidRPr="003003C0" w:rsidRDefault="004F64EF" w:rsidP="00FD6B66">
            <w:pPr>
              <w:jc w:val="right"/>
              <w:rPr>
                <w:rFonts w:cs="Calibri"/>
                <w:color w:val="000000"/>
                <w:sz w:val="14"/>
                <w:szCs w:val="14"/>
              </w:rPr>
            </w:pPr>
            <w:r w:rsidRPr="003003C0">
              <w:rPr>
                <w:rFonts w:cs="Calibri"/>
                <w:color w:val="000000"/>
                <w:sz w:val="14"/>
                <w:szCs w:val="14"/>
              </w:rPr>
              <w:t>0</w:t>
            </w:r>
            <w:r>
              <w:rPr>
                <w:rFonts w:cs="Calibri"/>
                <w:color w:val="000000"/>
                <w:sz w:val="14"/>
                <w:szCs w:val="14"/>
              </w:rPr>
              <w:t>.</w:t>
            </w:r>
            <w:r w:rsidRPr="003003C0">
              <w:rPr>
                <w:rFonts w:cs="Calibri"/>
                <w:color w:val="000000"/>
                <w:sz w:val="14"/>
                <w:szCs w:val="14"/>
              </w:rPr>
              <w:t>3</w:t>
            </w:r>
          </w:p>
        </w:tc>
      </w:tr>
      <w:tr w:rsidR="004F64EF" w:rsidRPr="003003C0" w14:paraId="33A735A7" w14:textId="77777777" w:rsidTr="00FD6B66">
        <w:trPr>
          <w:cnfStyle w:val="000000010000" w:firstRow="0" w:lastRow="0" w:firstColumn="0" w:lastColumn="0" w:oddVBand="0" w:evenVBand="0" w:oddHBand="0" w:evenHBand="1" w:firstRowFirstColumn="0" w:firstRowLastColumn="0" w:lastRowFirstColumn="0" w:lastRowLastColumn="0"/>
          <w:trHeight w:val="20"/>
        </w:trPr>
        <w:tc>
          <w:tcPr>
            <w:tcW w:w="4246" w:type="dxa"/>
            <w:noWrap/>
            <w:vAlign w:val="center"/>
            <w:hideMark/>
          </w:tcPr>
          <w:p w14:paraId="60070472" w14:textId="77777777" w:rsidR="004F64EF" w:rsidRPr="003003C0" w:rsidRDefault="004F64EF" w:rsidP="00FD6B66">
            <w:pPr>
              <w:keepNext/>
              <w:keepLines/>
              <w:tabs>
                <w:tab w:val="left" w:pos="227"/>
              </w:tabs>
              <w:jc w:val="left"/>
              <w:rPr>
                <w:rFonts w:cs="Calibri"/>
                <w:color w:val="000000"/>
                <w:sz w:val="14"/>
                <w:szCs w:val="14"/>
              </w:rPr>
            </w:pPr>
            <w:r w:rsidRPr="003003C0">
              <w:rPr>
                <w:rFonts w:cs="Calibri"/>
                <w:color w:val="000000"/>
                <w:sz w:val="14"/>
                <w:szCs w:val="14"/>
              </w:rPr>
              <w:tab/>
              <w:t xml:space="preserve">73. </w:t>
            </w:r>
            <w:r w:rsidRPr="008018C3">
              <w:rPr>
                <w:rFonts w:cs="Calibri"/>
                <w:color w:val="000000"/>
                <w:sz w:val="14"/>
                <w:szCs w:val="14"/>
              </w:rPr>
              <w:t>Articles of iron or steel</w:t>
            </w:r>
          </w:p>
        </w:tc>
        <w:tc>
          <w:tcPr>
            <w:tcW w:w="683" w:type="dxa"/>
            <w:noWrap/>
            <w:vAlign w:val="center"/>
            <w:hideMark/>
          </w:tcPr>
          <w:p w14:paraId="08427158" w14:textId="77777777" w:rsidR="004F64EF" w:rsidRPr="003003C0" w:rsidRDefault="004F64EF" w:rsidP="00FD6B66">
            <w:pPr>
              <w:jc w:val="right"/>
              <w:rPr>
                <w:rFonts w:cs="Calibri"/>
                <w:color w:val="000000"/>
                <w:sz w:val="14"/>
                <w:szCs w:val="14"/>
              </w:rPr>
            </w:pPr>
            <w:r w:rsidRPr="003003C0">
              <w:rPr>
                <w:rFonts w:cs="Calibri"/>
                <w:color w:val="000000"/>
                <w:sz w:val="14"/>
                <w:szCs w:val="14"/>
              </w:rPr>
              <w:t>0</w:t>
            </w:r>
            <w:r>
              <w:rPr>
                <w:rFonts w:cs="Calibri"/>
                <w:color w:val="000000"/>
                <w:sz w:val="14"/>
                <w:szCs w:val="14"/>
              </w:rPr>
              <w:t>.</w:t>
            </w:r>
            <w:r w:rsidRPr="003003C0">
              <w:rPr>
                <w:rFonts w:cs="Calibri"/>
                <w:color w:val="000000"/>
                <w:sz w:val="14"/>
                <w:szCs w:val="14"/>
              </w:rPr>
              <w:t>2</w:t>
            </w:r>
          </w:p>
        </w:tc>
        <w:tc>
          <w:tcPr>
            <w:tcW w:w="683" w:type="dxa"/>
            <w:noWrap/>
            <w:vAlign w:val="center"/>
            <w:hideMark/>
          </w:tcPr>
          <w:p w14:paraId="7802EDF8" w14:textId="77777777" w:rsidR="004F64EF" w:rsidRPr="003003C0" w:rsidRDefault="004F64EF" w:rsidP="00FD6B66">
            <w:pPr>
              <w:jc w:val="right"/>
              <w:rPr>
                <w:rFonts w:cs="Calibri"/>
                <w:color w:val="000000"/>
                <w:sz w:val="14"/>
                <w:szCs w:val="14"/>
              </w:rPr>
            </w:pPr>
            <w:r w:rsidRPr="003003C0">
              <w:rPr>
                <w:rFonts w:cs="Calibri"/>
                <w:color w:val="000000"/>
                <w:sz w:val="14"/>
                <w:szCs w:val="14"/>
              </w:rPr>
              <w:t>0</w:t>
            </w:r>
            <w:r>
              <w:rPr>
                <w:rFonts w:cs="Calibri"/>
                <w:color w:val="000000"/>
                <w:sz w:val="14"/>
                <w:szCs w:val="14"/>
              </w:rPr>
              <w:t>.</w:t>
            </w:r>
            <w:r w:rsidRPr="003003C0">
              <w:rPr>
                <w:rFonts w:cs="Calibri"/>
                <w:color w:val="000000"/>
                <w:sz w:val="14"/>
                <w:szCs w:val="14"/>
              </w:rPr>
              <w:t>7</w:t>
            </w:r>
          </w:p>
        </w:tc>
        <w:tc>
          <w:tcPr>
            <w:tcW w:w="683" w:type="dxa"/>
            <w:noWrap/>
            <w:vAlign w:val="center"/>
            <w:hideMark/>
          </w:tcPr>
          <w:p w14:paraId="23703B5B" w14:textId="77777777" w:rsidR="004F64EF" w:rsidRPr="003003C0" w:rsidRDefault="004F64EF" w:rsidP="00FD6B66">
            <w:pPr>
              <w:jc w:val="right"/>
              <w:rPr>
                <w:rFonts w:cs="Calibri"/>
                <w:color w:val="000000"/>
                <w:sz w:val="14"/>
                <w:szCs w:val="14"/>
              </w:rPr>
            </w:pPr>
            <w:r w:rsidRPr="003003C0">
              <w:rPr>
                <w:rFonts w:cs="Calibri"/>
                <w:color w:val="000000"/>
                <w:sz w:val="14"/>
                <w:szCs w:val="14"/>
              </w:rPr>
              <w:t>0</w:t>
            </w:r>
            <w:r>
              <w:rPr>
                <w:rFonts w:cs="Calibri"/>
                <w:color w:val="000000"/>
                <w:sz w:val="14"/>
                <w:szCs w:val="14"/>
              </w:rPr>
              <w:t>.</w:t>
            </w:r>
            <w:r w:rsidRPr="003003C0">
              <w:rPr>
                <w:rFonts w:cs="Calibri"/>
                <w:color w:val="000000"/>
                <w:sz w:val="14"/>
                <w:szCs w:val="14"/>
              </w:rPr>
              <w:t>3</w:t>
            </w:r>
          </w:p>
        </w:tc>
        <w:tc>
          <w:tcPr>
            <w:tcW w:w="684" w:type="dxa"/>
            <w:noWrap/>
            <w:vAlign w:val="center"/>
            <w:hideMark/>
          </w:tcPr>
          <w:p w14:paraId="23A1DA11" w14:textId="77777777" w:rsidR="004F64EF" w:rsidRPr="003003C0" w:rsidRDefault="004F64EF" w:rsidP="00FD6B66">
            <w:pPr>
              <w:jc w:val="right"/>
              <w:rPr>
                <w:rFonts w:cs="Calibri"/>
                <w:color w:val="000000"/>
                <w:sz w:val="14"/>
                <w:szCs w:val="14"/>
              </w:rPr>
            </w:pPr>
            <w:r w:rsidRPr="003003C0">
              <w:rPr>
                <w:rFonts w:cs="Calibri"/>
                <w:color w:val="000000"/>
                <w:sz w:val="14"/>
                <w:szCs w:val="14"/>
              </w:rPr>
              <w:t>0</w:t>
            </w:r>
            <w:r>
              <w:rPr>
                <w:rFonts w:cs="Calibri"/>
                <w:color w:val="000000"/>
                <w:sz w:val="14"/>
                <w:szCs w:val="14"/>
              </w:rPr>
              <w:t>.</w:t>
            </w:r>
            <w:r w:rsidRPr="003003C0">
              <w:rPr>
                <w:rFonts w:cs="Calibri"/>
                <w:color w:val="000000"/>
                <w:sz w:val="14"/>
                <w:szCs w:val="14"/>
              </w:rPr>
              <w:t>4</w:t>
            </w:r>
          </w:p>
        </w:tc>
        <w:tc>
          <w:tcPr>
            <w:tcW w:w="683" w:type="dxa"/>
            <w:noWrap/>
            <w:vAlign w:val="center"/>
            <w:hideMark/>
          </w:tcPr>
          <w:p w14:paraId="13378702" w14:textId="77777777" w:rsidR="004F64EF" w:rsidRPr="003003C0" w:rsidRDefault="004F64EF" w:rsidP="00FD6B66">
            <w:pPr>
              <w:jc w:val="right"/>
              <w:rPr>
                <w:rFonts w:cs="Calibri"/>
                <w:color w:val="000000"/>
                <w:sz w:val="14"/>
                <w:szCs w:val="14"/>
              </w:rPr>
            </w:pPr>
            <w:r w:rsidRPr="003003C0">
              <w:rPr>
                <w:rFonts w:cs="Calibri"/>
                <w:color w:val="000000"/>
                <w:sz w:val="14"/>
                <w:szCs w:val="14"/>
              </w:rPr>
              <w:t>0</w:t>
            </w:r>
            <w:r>
              <w:rPr>
                <w:rFonts w:cs="Calibri"/>
                <w:color w:val="000000"/>
                <w:sz w:val="14"/>
                <w:szCs w:val="14"/>
              </w:rPr>
              <w:t>.</w:t>
            </w:r>
            <w:r w:rsidRPr="003003C0">
              <w:rPr>
                <w:rFonts w:cs="Calibri"/>
                <w:color w:val="000000"/>
                <w:sz w:val="14"/>
                <w:szCs w:val="14"/>
              </w:rPr>
              <w:t>4</w:t>
            </w:r>
          </w:p>
        </w:tc>
        <w:tc>
          <w:tcPr>
            <w:tcW w:w="683" w:type="dxa"/>
            <w:noWrap/>
            <w:vAlign w:val="center"/>
            <w:hideMark/>
          </w:tcPr>
          <w:p w14:paraId="5443207B" w14:textId="77777777" w:rsidR="004F64EF" w:rsidRPr="003003C0" w:rsidRDefault="004F64EF" w:rsidP="00FD6B66">
            <w:pPr>
              <w:jc w:val="right"/>
              <w:rPr>
                <w:rFonts w:cs="Calibri"/>
                <w:color w:val="000000"/>
                <w:sz w:val="14"/>
                <w:szCs w:val="14"/>
              </w:rPr>
            </w:pPr>
            <w:r w:rsidRPr="003003C0">
              <w:rPr>
                <w:rFonts w:cs="Calibri"/>
                <w:color w:val="000000"/>
                <w:sz w:val="14"/>
                <w:szCs w:val="14"/>
              </w:rPr>
              <w:t>0</w:t>
            </w:r>
            <w:r>
              <w:rPr>
                <w:rFonts w:cs="Calibri"/>
                <w:color w:val="000000"/>
                <w:sz w:val="14"/>
                <w:szCs w:val="14"/>
              </w:rPr>
              <w:t>.</w:t>
            </w:r>
            <w:r w:rsidRPr="003003C0">
              <w:rPr>
                <w:rFonts w:cs="Calibri"/>
                <w:color w:val="000000"/>
                <w:sz w:val="14"/>
                <w:szCs w:val="14"/>
              </w:rPr>
              <w:t>3</w:t>
            </w:r>
          </w:p>
        </w:tc>
        <w:tc>
          <w:tcPr>
            <w:tcW w:w="684" w:type="dxa"/>
            <w:noWrap/>
            <w:vAlign w:val="center"/>
            <w:hideMark/>
          </w:tcPr>
          <w:p w14:paraId="2E41F6D6" w14:textId="77777777" w:rsidR="004F64EF" w:rsidRPr="003003C0" w:rsidRDefault="004F64EF" w:rsidP="00FD6B66">
            <w:pPr>
              <w:jc w:val="right"/>
              <w:rPr>
                <w:rFonts w:cs="Calibri"/>
                <w:color w:val="000000"/>
                <w:sz w:val="14"/>
                <w:szCs w:val="14"/>
              </w:rPr>
            </w:pPr>
            <w:r w:rsidRPr="003003C0">
              <w:rPr>
                <w:rFonts w:cs="Calibri"/>
                <w:color w:val="000000"/>
                <w:sz w:val="14"/>
                <w:szCs w:val="14"/>
              </w:rPr>
              <w:t>0</w:t>
            </w:r>
            <w:r>
              <w:rPr>
                <w:rFonts w:cs="Calibri"/>
                <w:color w:val="000000"/>
                <w:sz w:val="14"/>
                <w:szCs w:val="14"/>
              </w:rPr>
              <w:t>.</w:t>
            </w:r>
            <w:r w:rsidRPr="003003C0">
              <w:rPr>
                <w:rFonts w:cs="Calibri"/>
                <w:color w:val="000000"/>
                <w:sz w:val="14"/>
                <w:szCs w:val="14"/>
              </w:rPr>
              <w:t>3</w:t>
            </w:r>
          </w:p>
        </w:tc>
      </w:tr>
      <w:tr w:rsidR="004F64EF" w:rsidRPr="003003C0" w14:paraId="7E4243F8" w14:textId="77777777" w:rsidTr="00FD6B66">
        <w:trPr>
          <w:trHeight w:val="20"/>
        </w:trPr>
        <w:tc>
          <w:tcPr>
            <w:tcW w:w="4246" w:type="dxa"/>
            <w:noWrap/>
            <w:vAlign w:val="center"/>
            <w:hideMark/>
          </w:tcPr>
          <w:p w14:paraId="30C20D34" w14:textId="77777777" w:rsidR="004F64EF" w:rsidRPr="003003C0" w:rsidRDefault="004F64EF" w:rsidP="008018C3">
            <w:pPr>
              <w:jc w:val="left"/>
              <w:rPr>
                <w:rFonts w:cs="Calibri"/>
                <w:color w:val="000000"/>
                <w:sz w:val="14"/>
                <w:szCs w:val="14"/>
              </w:rPr>
            </w:pPr>
            <w:r w:rsidRPr="003003C0">
              <w:rPr>
                <w:rFonts w:cs="Calibri"/>
                <w:color w:val="000000"/>
                <w:sz w:val="14"/>
                <w:szCs w:val="14"/>
              </w:rPr>
              <w:t xml:space="preserve">16 - </w:t>
            </w:r>
            <w:r w:rsidRPr="008018C3">
              <w:rPr>
                <w:rFonts w:cs="Calibri"/>
                <w:color w:val="000000"/>
                <w:sz w:val="14"/>
                <w:szCs w:val="14"/>
              </w:rPr>
              <w:t>Machinery and mechanical appliances;</w:t>
            </w:r>
            <w:r>
              <w:rPr>
                <w:rFonts w:cs="Calibri"/>
                <w:color w:val="000000"/>
                <w:sz w:val="14"/>
                <w:szCs w:val="14"/>
              </w:rPr>
              <w:t xml:space="preserve"> </w:t>
            </w:r>
            <w:r w:rsidRPr="008018C3">
              <w:rPr>
                <w:rFonts w:cs="Calibri"/>
                <w:color w:val="000000"/>
                <w:sz w:val="14"/>
                <w:szCs w:val="14"/>
              </w:rPr>
              <w:t>electrical equipment; parts thereof</w:t>
            </w:r>
          </w:p>
        </w:tc>
        <w:tc>
          <w:tcPr>
            <w:tcW w:w="683" w:type="dxa"/>
            <w:noWrap/>
            <w:vAlign w:val="center"/>
            <w:hideMark/>
          </w:tcPr>
          <w:p w14:paraId="1F814CF3" w14:textId="77777777" w:rsidR="004F64EF" w:rsidRPr="003003C0" w:rsidRDefault="004F64EF" w:rsidP="00FD6B66">
            <w:pPr>
              <w:jc w:val="right"/>
              <w:rPr>
                <w:rFonts w:cs="Calibri"/>
                <w:color w:val="000000"/>
                <w:sz w:val="14"/>
                <w:szCs w:val="14"/>
              </w:rPr>
            </w:pPr>
            <w:r w:rsidRPr="003003C0">
              <w:rPr>
                <w:rFonts w:cs="Calibri"/>
                <w:color w:val="000000"/>
                <w:sz w:val="14"/>
                <w:szCs w:val="14"/>
              </w:rPr>
              <w:t>10</w:t>
            </w:r>
            <w:r>
              <w:rPr>
                <w:rFonts w:cs="Calibri"/>
                <w:color w:val="000000"/>
                <w:sz w:val="14"/>
                <w:szCs w:val="14"/>
              </w:rPr>
              <w:t>.</w:t>
            </w:r>
            <w:r w:rsidRPr="003003C0">
              <w:rPr>
                <w:rFonts w:cs="Calibri"/>
                <w:color w:val="000000"/>
                <w:sz w:val="14"/>
                <w:szCs w:val="14"/>
              </w:rPr>
              <w:t>5</w:t>
            </w:r>
          </w:p>
        </w:tc>
        <w:tc>
          <w:tcPr>
            <w:tcW w:w="683" w:type="dxa"/>
            <w:noWrap/>
            <w:vAlign w:val="center"/>
            <w:hideMark/>
          </w:tcPr>
          <w:p w14:paraId="3E71BD93" w14:textId="77777777" w:rsidR="004F64EF" w:rsidRPr="003003C0" w:rsidRDefault="004F64EF" w:rsidP="00FD6B66">
            <w:pPr>
              <w:jc w:val="right"/>
              <w:rPr>
                <w:rFonts w:cs="Calibri"/>
                <w:color w:val="000000"/>
                <w:sz w:val="14"/>
                <w:szCs w:val="14"/>
              </w:rPr>
            </w:pPr>
            <w:r w:rsidRPr="003003C0">
              <w:rPr>
                <w:rFonts w:cs="Calibri"/>
                <w:color w:val="000000"/>
                <w:sz w:val="14"/>
                <w:szCs w:val="14"/>
              </w:rPr>
              <w:t>11</w:t>
            </w:r>
            <w:r>
              <w:rPr>
                <w:rFonts w:cs="Calibri"/>
                <w:color w:val="000000"/>
                <w:sz w:val="14"/>
                <w:szCs w:val="14"/>
              </w:rPr>
              <w:t>.</w:t>
            </w:r>
            <w:r w:rsidRPr="003003C0">
              <w:rPr>
                <w:rFonts w:cs="Calibri"/>
                <w:color w:val="000000"/>
                <w:sz w:val="14"/>
                <w:szCs w:val="14"/>
              </w:rPr>
              <w:t>3</w:t>
            </w:r>
          </w:p>
        </w:tc>
        <w:tc>
          <w:tcPr>
            <w:tcW w:w="683" w:type="dxa"/>
            <w:noWrap/>
            <w:vAlign w:val="center"/>
            <w:hideMark/>
          </w:tcPr>
          <w:p w14:paraId="2C828C31" w14:textId="77777777" w:rsidR="004F64EF" w:rsidRPr="003003C0" w:rsidRDefault="004F64EF" w:rsidP="00FD6B66">
            <w:pPr>
              <w:jc w:val="right"/>
              <w:rPr>
                <w:rFonts w:cs="Calibri"/>
                <w:color w:val="000000"/>
                <w:sz w:val="14"/>
                <w:szCs w:val="14"/>
              </w:rPr>
            </w:pPr>
            <w:r w:rsidRPr="003003C0">
              <w:rPr>
                <w:rFonts w:cs="Calibri"/>
                <w:color w:val="000000"/>
                <w:sz w:val="14"/>
                <w:szCs w:val="14"/>
              </w:rPr>
              <w:t>14</w:t>
            </w:r>
            <w:r>
              <w:rPr>
                <w:rFonts w:cs="Calibri"/>
                <w:color w:val="000000"/>
                <w:sz w:val="14"/>
                <w:szCs w:val="14"/>
              </w:rPr>
              <w:t>.</w:t>
            </w:r>
            <w:r w:rsidRPr="003003C0">
              <w:rPr>
                <w:rFonts w:cs="Calibri"/>
                <w:color w:val="000000"/>
                <w:sz w:val="14"/>
                <w:szCs w:val="14"/>
              </w:rPr>
              <w:t>8</w:t>
            </w:r>
          </w:p>
        </w:tc>
        <w:tc>
          <w:tcPr>
            <w:tcW w:w="684" w:type="dxa"/>
            <w:noWrap/>
            <w:vAlign w:val="center"/>
            <w:hideMark/>
          </w:tcPr>
          <w:p w14:paraId="2748FAD6" w14:textId="77777777" w:rsidR="004F64EF" w:rsidRPr="003003C0" w:rsidRDefault="004F64EF" w:rsidP="00FD6B66">
            <w:pPr>
              <w:jc w:val="right"/>
              <w:rPr>
                <w:rFonts w:cs="Calibri"/>
                <w:color w:val="000000"/>
                <w:sz w:val="14"/>
                <w:szCs w:val="14"/>
              </w:rPr>
            </w:pPr>
            <w:r w:rsidRPr="003003C0">
              <w:rPr>
                <w:rFonts w:cs="Calibri"/>
                <w:color w:val="000000"/>
                <w:sz w:val="14"/>
                <w:szCs w:val="14"/>
              </w:rPr>
              <w:t>16</w:t>
            </w:r>
            <w:r>
              <w:rPr>
                <w:rFonts w:cs="Calibri"/>
                <w:color w:val="000000"/>
                <w:sz w:val="14"/>
                <w:szCs w:val="14"/>
              </w:rPr>
              <w:t>.</w:t>
            </w:r>
            <w:r w:rsidRPr="003003C0">
              <w:rPr>
                <w:rFonts w:cs="Calibri"/>
                <w:color w:val="000000"/>
                <w:sz w:val="14"/>
                <w:szCs w:val="14"/>
              </w:rPr>
              <w:t>1</w:t>
            </w:r>
          </w:p>
        </w:tc>
        <w:tc>
          <w:tcPr>
            <w:tcW w:w="683" w:type="dxa"/>
            <w:noWrap/>
            <w:vAlign w:val="center"/>
            <w:hideMark/>
          </w:tcPr>
          <w:p w14:paraId="35CB9EB6" w14:textId="77777777" w:rsidR="004F64EF" w:rsidRPr="003003C0" w:rsidRDefault="004F64EF" w:rsidP="00FD6B66">
            <w:pPr>
              <w:jc w:val="right"/>
              <w:rPr>
                <w:rFonts w:cs="Calibri"/>
                <w:color w:val="000000"/>
                <w:sz w:val="14"/>
                <w:szCs w:val="14"/>
              </w:rPr>
            </w:pPr>
            <w:r w:rsidRPr="003003C0">
              <w:rPr>
                <w:rFonts w:cs="Calibri"/>
                <w:color w:val="000000"/>
                <w:sz w:val="14"/>
                <w:szCs w:val="14"/>
              </w:rPr>
              <w:t>16</w:t>
            </w:r>
            <w:r>
              <w:rPr>
                <w:rFonts w:cs="Calibri"/>
                <w:color w:val="000000"/>
                <w:sz w:val="14"/>
                <w:szCs w:val="14"/>
              </w:rPr>
              <w:t>.</w:t>
            </w:r>
            <w:r w:rsidRPr="003003C0">
              <w:rPr>
                <w:rFonts w:cs="Calibri"/>
                <w:color w:val="000000"/>
                <w:sz w:val="14"/>
                <w:szCs w:val="14"/>
              </w:rPr>
              <w:t>9</w:t>
            </w:r>
          </w:p>
        </w:tc>
        <w:tc>
          <w:tcPr>
            <w:tcW w:w="683" w:type="dxa"/>
            <w:noWrap/>
            <w:vAlign w:val="center"/>
            <w:hideMark/>
          </w:tcPr>
          <w:p w14:paraId="5F948415" w14:textId="77777777" w:rsidR="004F64EF" w:rsidRPr="003003C0" w:rsidRDefault="004F64EF" w:rsidP="00FD6B66">
            <w:pPr>
              <w:jc w:val="right"/>
              <w:rPr>
                <w:rFonts w:cs="Calibri"/>
                <w:color w:val="000000"/>
                <w:sz w:val="14"/>
                <w:szCs w:val="14"/>
              </w:rPr>
            </w:pPr>
            <w:r w:rsidRPr="003003C0">
              <w:rPr>
                <w:rFonts w:cs="Calibri"/>
                <w:color w:val="000000"/>
                <w:sz w:val="14"/>
                <w:szCs w:val="14"/>
              </w:rPr>
              <w:t>20</w:t>
            </w:r>
            <w:r>
              <w:rPr>
                <w:rFonts w:cs="Calibri"/>
                <w:color w:val="000000"/>
                <w:sz w:val="14"/>
                <w:szCs w:val="14"/>
              </w:rPr>
              <w:t>.</w:t>
            </w:r>
            <w:r w:rsidRPr="003003C0">
              <w:rPr>
                <w:rFonts w:cs="Calibri"/>
                <w:color w:val="000000"/>
                <w:sz w:val="14"/>
                <w:szCs w:val="14"/>
              </w:rPr>
              <w:t>7</w:t>
            </w:r>
          </w:p>
        </w:tc>
        <w:tc>
          <w:tcPr>
            <w:tcW w:w="684" w:type="dxa"/>
            <w:noWrap/>
            <w:vAlign w:val="center"/>
            <w:hideMark/>
          </w:tcPr>
          <w:p w14:paraId="5F9BFCE8" w14:textId="77777777" w:rsidR="004F64EF" w:rsidRPr="003003C0" w:rsidRDefault="004F64EF" w:rsidP="00FD6B66">
            <w:pPr>
              <w:jc w:val="right"/>
              <w:rPr>
                <w:rFonts w:cs="Calibri"/>
                <w:color w:val="000000"/>
                <w:sz w:val="14"/>
                <w:szCs w:val="14"/>
              </w:rPr>
            </w:pPr>
            <w:r w:rsidRPr="003003C0">
              <w:rPr>
                <w:rFonts w:cs="Calibri"/>
                <w:color w:val="000000"/>
                <w:sz w:val="14"/>
                <w:szCs w:val="14"/>
              </w:rPr>
              <w:t>17</w:t>
            </w:r>
            <w:r>
              <w:rPr>
                <w:rFonts w:cs="Calibri"/>
                <w:color w:val="000000"/>
                <w:sz w:val="14"/>
                <w:szCs w:val="14"/>
              </w:rPr>
              <w:t>.</w:t>
            </w:r>
            <w:r w:rsidRPr="003003C0">
              <w:rPr>
                <w:rFonts w:cs="Calibri"/>
                <w:color w:val="000000"/>
                <w:sz w:val="14"/>
                <w:szCs w:val="14"/>
              </w:rPr>
              <w:t>6</w:t>
            </w:r>
          </w:p>
        </w:tc>
      </w:tr>
      <w:tr w:rsidR="004F64EF" w:rsidRPr="003003C0" w14:paraId="0EF61ADD" w14:textId="77777777" w:rsidTr="00FD6B66">
        <w:trPr>
          <w:cnfStyle w:val="000000010000" w:firstRow="0" w:lastRow="0" w:firstColumn="0" w:lastColumn="0" w:oddVBand="0" w:evenVBand="0" w:oddHBand="0" w:evenHBand="1" w:firstRowFirstColumn="0" w:firstRowLastColumn="0" w:lastRowFirstColumn="0" w:lastRowLastColumn="0"/>
          <w:trHeight w:val="20"/>
        </w:trPr>
        <w:tc>
          <w:tcPr>
            <w:tcW w:w="4246" w:type="dxa"/>
            <w:noWrap/>
            <w:vAlign w:val="center"/>
            <w:hideMark/>
          </w:tcPr>
          <w:p w14:paraId="4F366C51" w14:textId="77777777" w:rsidR="004F64EF" w:rsidRPr="003003C0" w:rsidRDefault="004F64EF" w:rsidP="00B22563">
            <w:pPr>
              <w:tabs>
                <w:tab w:val="left" w:pos="227"/>
              </w:tabs>
              <w:ind w:left="227" w:hanging="227"/>
              <w:jc w:val="left"/>
              <w:rPr>
                <w:rFonts w:cs="Calibri"/>
                <w:color w:val="000000"/>
                <w:sz w:val="14"/>
                <w:szCs w:val="14"/>
              </w:rPr>
            </w:pPr>
            <w:r w:rsidRPr="003003C0">
              <w:rPr>
                <w:rFonts w:cs="Calibri"/>
                <w:color w:val="000000"/>
                <w:sz w:val="14"/>
                <w:szCs w:val="14"/>
              </w:rPr>
              <w:tab/>
              <w:t xml:space="preserve">85. </w:t>
            </w:r>
            <w:r w:rsidRPr="008018C3">
              <w:rPr>
                <w:rFonts w:cs="Calibri"/>
                <w:color w:val="000000"/>
                <w:sz w:val="14"/>
                <w:szCs w:val="14"/>
              </w:rPr>
              <w:t xml:space="preserve">Electrical machinery and equipment; sound </w:t>
            </w:r>
            <w:r>
              <w:rPr>
                <w:rFonts w:cs="Calibri"/>
                <w:color w:val="000000"/>
                <w:sz w:val="14"/>
                <w:szCs w:val="14"/>
              </w:rPr>
              <w:t xml:space="preserve">and image </w:t>
            </w:r>
            <w:r w:rsidRPr="008018C3">
              <w:rPr>
                <w:rFonts w:cs="Calibri"/>
                <w:color w:val="000000"/>
                <w:sz w:val="14"/>
                <w:szCs w:val="14"/>
              </w:rPr>
              <w:t>recorders and reproducers</w:t>
            </w:r>
          </w:p>
        </w:tc>
        <w:tc>
          <w:tcPr>
            <w:tcW w:w="683" w:type="dxa"/>
            <w:noWrap/>
            <w:vAlign w:val="center"/>
            <w:hideMark/>
          </w:tcPr>
          <w:p w14:paraId="75E63690" w14:textId="77777777" w:rsidR="004F64EF" w:rsidRPr="003003C0" w:rsidRDefault="004F64EF" w:rsidP="00FD6B66">
            <w:pPr>
              <w:jc w:val="right"/>
              <w:rPr>
                <w:rFonts w:cs="Calibri"/>
                <w:color w:val="000000"/>
                <w:sz w:val="14"/>
                <w:szCs w:val="14"/>
              </w:rPr>
            </w:pPr>
            <w:r w:rsidRPr="003003C0">
              <w:rPr>
                <w:rFonts w:cs="Calibri"/>
                <w:color w:val="000000"/>
                <w:sz w:val="14"/>
                <w:szCs w:val="14"/>
              </w:rPr>
              <w:t>9</w:t>
            </w:r>
            <w:r>
              <w:rPr>
                <w:rFonts w:cs="Calibri"/>
                <w:color w:val="000000"/>
                <w:sz w:val="14"/>
                <w:szCs w:val="14"/>
              </w:rPr>
              <w:t>.</w:t>
            </w:r>
            <w:r w:rsidRPr="003003C0">
              <w:rPr>
                <w:rFonts w:cs="Calibri"/>
                <w:color w:val="000000"/>
                <w:sz w:val="14"/>
                <w:szCs w:val="14"/>
              </w:rPr>
              <w:t>9</w:t>
            </w:r>
          </w:p>
        </w:tc>
        <w:tc>
          <w:tcPr>
            <w:tcW w:w="683" w:type="dxa"/>
            <w:noWrap/>
            <w:vAlign w:val="center"/>
            <w:hideMark/>
          </w:tcPr>
          <w:p w14:paraId="1BC83C09" w14:textId="77777777" w:rsidR="004F64EF" w:rsidRPr="003003C0" w:rsidRDefault="004F64EF" w:rsidP="00FD6B66">
            <w:pPr>
              <w:jc w:val="right"/>
              <w:rPr>
                <w:rFonts w:cs="Calibri"/>
                <w:color w:val="000000"/>
                <w:sz w:val="14"/>
                <w:szCs w:val="14"/>
              </w:rPr>
            </w:pPr>
            <w:r w:rsidRPr="003003C0">
              <w:rPr>
                <w:rFonts w:cs="Calibri"/>
                <w:color w:val="000000"/>
                <w:sz w:val="14"/>
                <w:szCs w:val="14"/>
              </w:rPr>
              <w:t>10</w:t>
            </w:r>
            <w:r>
              <w:rPr>
                <w:rFonts w:cs="Calibri"/>
                <w:color w:val="000000"/>
                <w:sz w:val="14"/>
                <w:szCs w:val="14"/>
              </w:rPr>
              <w:t>.</w:t>
            </w:r>
            <w:r w:rsidRPr="003003C0">
              <w:rPr>
                <w:rFonts w:cs="Calibri"/>
                <w:color w:val="000000"/>
                <w:sz w:val="14"/>
                <w:szCs w:val="14"/>
              </w:rPr>
              <w:t>8</w:t>
            </w:r>
          </w:p>
        </w:tc>
        <w:tc>
          <w:tcPr>
            <w:tcW w:w="683" w:type="dxa"/>
            <w:noWrap/>
            <w:vAlign w:val="center"/>
            <w:hideMark/>
          </w:tcPr>
          <w:p w14:paraId="6BB3D359" w14:textId="77777777" w:rsidR="004F64EF" w:rsidRPr="003003C0" w:rsidRDefault="004F64EF" w:rsidP="00FD6B66">
            <w:pPr>
              <w:jc w:val="right"/>
              <w:rPr>
                <w:rFonts w:cs="Calibri"/>
                <w:color w:val="000000"/>
                <w:sz w:val="14"/>
                <w:szCs w:val="14"/>
              </w:rPr>
            </w:pPr>
            <w:r w:rsidRPr="003003C0">
              <w:rPr>
                <w:rFonts w:cs="Calibri"/>
                <w:color w:val="000000"/>
                <w:sz w:val="14"/>
                <w:szCs w:val="14"/>
              </w:rPr>
              <w:t>14</w:t>
            </w:r>
            <w:r>
              <w:rPr>
                <w:rFonts w:cs="Calibri"/>
                <w:color w:val="000000"/>
                <w:sz w:val="14"/>
                <w:szCs w:val="14"/>
              </w:rPr>
              <w:t>.</w:t>
            </w:r>
            <w:r w:rsidRPr="003003C0">
              <w:rPr>
                <w:rFonts w:cs="Calibri"/>
                <w:color w:val="000000"/>
                <w:sz w:val="14"/>
                <w:szCs w:val="14"/>
              </w:rPr>
              <w:t>0</w:t>
            </w:r>
          </w:p>
        </w:tc>
        <w:tc>
          <w:tcPr>
            <w:tcW w:w="684" w:type="dxa"/>
            <w:noWrap/>
            <w:vAlign w:val="center"/>
            <w:hideMark/>
          </w:tcPr>
          <w:p w14:paraId="6CBFF25E" w14:textId="77777777" w:rsidR="004F64EF" w:rsidRPr="003003C0" w:rsidRDefault="004F64EF" w:rsidP="00FD6B66">
            <w:pPr>
              <w:jc w:val="right"/>
              <w:rPr>
                <w:rFonts w:cs="Calibri"/>
                <w:color w:val="000000"/>
                <w:sz w:val="14"/>
                <w:szCs w:val="14"/>
              </w:rPr>
            </w:pPr>
            <w:r w:rsidRPr="003003C0">
              <w:rPr>
                <w:rFonts w:cs="Calibri"/>
                <w:color w:val="000000"/>
                <w:sz w:val="14"/>
                <w:szCs w:val="14"/>
              </w:rPr>
              <w:t>15</w:t>
            </w:r>
            <w:r>
              <w:rPr>
                <w:rFonts w:cs="Calibri"/>
                <w:color w:val="000000"/>
                <w:sz w:val="14"/>
                <w:szCs w:val="14"/>
              </w:rPr>
              <w:t>.</w:t>
            </w:r>
            <w:r w:rsidRPr="003003C0">
              <w:rPr>
                <w:rFonts w:cs="Calibri"/>
                <w:color w:val="000000"/>
                <w:sz w:val="14"/>
                <w:szCs w:val="14"/>
              </w:rPr>
              <w:t>6</w:t>
            </w:r>
          </w:p>
        </w:tc>
        <w:tc>
          <w:tcPr>
            <w:tcW w:w="683" w:type="dxa"/>
            <w:noWrap/>
            <w:vAlign w:val="center"/>
            <w:hideMark/>
          </w:tcPr>
          <w:p w14:paraId="1AC1F5DD" w14:textId="77777777" w:rsidR="004F64EF" w:rsidRPr="003003C0" w:rsidRDefault="004F64EF" w:rsidP="00FD6B66">
            <w:pPr>
              <w:jc w:val="right"/>
              <w:rPr>
                <w:rFonts w:cs="Calibri"/>
                <w:color w:val="000000"/>
                <w:sz w:val="14"/>
                <w:szCs w:val="14"/>
              </w:rPr>
            </w:pPr>
            <w:r w:rsidRPr="003003C0">
              <w:rPr>
                <w:rFonts w:cs="Calibri"/>
                <w:color w:val="000000"/>
                <w:sz w:val="14"/>
                <w:szCs w:val="14"/>
              </w:rPr>
              <w:t>16</w:t>
            </w:r>
            <w:r>
              <w:rPr>
                <w:rFonts w:cs="Calibri"/>
                <w:color w:val="000000"/>
                <w:sz w:val="14"/>
                <w:szCs w:val="14"/>
              </w:rPr>
              <w:t>.</w:t>
            </w:r>
            <w:r w:rsidRPr="003003C0">
              <w:rPr>
                <w:rFonts w:cs="Calibri"/>
                <w:color w:val="000000"/>
                <w:sz w:val="14"/>
                <w:szCs w:val="14"/>
              </w:rPr>
              <w:t>1</w:t>
            </w:r>
          </w:p>
        </w:tc>
        <w:tc>
          <w:tcPr>
            <w:tcW w:w="683" w:type="dxa"/>
            <w:noWrap/>
            <w:vAlign w:val="center"/>
            <w:hideMark/>
          </w:tcPr>
          <w:p w14:paraId="1E01E08D" w14:textId="77777777" w:rsidR="004F64EF" w:rsidRPr="003003C0" w:rsidRDefault="004F64EF" w:rsidP="00FD6B66">
            <w:pPr>
              <w:jc w:val="right"/>
              <w:rPr>
                <w:rFonts w:cs="Calibri"/>
                <w:color w:val="000000"/>
                <w:sz w:val="14"/>
                <w:szCs w:val="14"/>
              </w:rPr>
            </w:pPr>
            <w:r w:rsidRPr="003003C0">
              <w:rPr>
                <w:rFonts w:cs="Calibri"/>
                <w:color w:val="000000"/>
                <w:sz w:val="14"/>
                <w:szCs w:val="14"/>
              </w:rPr>
              <w:t>19</w:t>
            </w:r>
            <w:r>
              <w:rPr>
                <w:rFonts w:cs="Calibri"/>
                <w:color w:val="000000"/>
                <w:sz w:val="14"/>
                <w:szCs w:val="14"/>
              </w:rPr>
              <w:t>.</w:t>
            </w:r>
            <w:r w:rsidRPr="003003C0">
              <w:rPr>
                <w:rFonts w:cs="Calibri"/>
                <w:color w:val="000000"/>
                <w:sz w:val="14"/>
                <w:szCs w:val="14"/>
              </w:rPr>
              <w:t>5</w:t>
            </w:r>
          </w:p>
        </w:tc>
        <w:tc>
          <w:tcPr>
            <w:tcW w:w="684" w:type="dxa"/>
            <w:noWrap/>
            <w:vAlign w:val="center"/>
            <w:hideMark/>
          </w:tcPr>
          <w:p w14:paraId="49103CB7" w14:textId="77777777" w:rsidR="004F64EF" w:rsidRPr="003003C0" w:rsidRDefault="004F64EF" w:rsidP="00FD6B66">
            <w:pPr>
              <w:jc w:val="right"/>
              <w:rPr>
                <w:rFonts w:cs="Calibri"/>
                <w:color w:val="000000"/>
                <w:sz w:val="14"/>
                <w:szCs w:val="14"/>
              </w:rPr>
            </w:pPr>
            <w:r w:rsidRPr="003003C0">
              <w:rPr>
                <w:rFonts w:cs="Calibri"/>
                <w:color w:val="000000"/>
                <w:sz w:val="14"/>
                <w:szCs w:val="14"/>
              </w:rPr>
              <w:t>16</w:t>
            </w:r>
            <w:r>
              <w:rPr>
                <w:rFonts w:cs="Calibri"/>
                <w:color w:val="000000"/>
                <w:sz w:val="14"/>
                <w:szCs w:val="14"/>
              </w:rPr>
              <w:t>.</w:t>
            </w:r>
            <w:r w:rsidRPr="003003C0">
              <w:rPr>
                <w:rFonts w:cs="Calibri"/>
                <w:color w:val="000000"/>
                <w:sz w:val="14"/>
                <w:szCs w:val="14"/>
              </w:rPr>
              <w:t>0</w:t>
            </w:r>
          </w:p>
        </w:tc>
      </w:tr>
      <w:tr w:rsidR="004F64EF" w:rsidRPr="003003C0" w14:paraId="09CE9760" w14:textId="77777777" w:rsidTr="00FD6B66">
        <w:trPr>
          <w:trHeight w:val="20"/>
        </w:trPr>
        <w:tc>
          <w:tcPr>
            <w:tcW w:w="4246" w:type="dxa"/>
            <w:noWrap/>
            <w:vAlign w:val="center"/>
            <w:hideMark/>
          </w:tcPr>
          <w:p w14:paraId="127156B9" w14:textId="77777777" w:rsidR="004F64EF" w:rsidRPr="008018C3" w:rsidRDefault="004F64EF" w:rsidP="008018C3">
            <w:pPr>
              <w:jc w:val="left"/>
              <w:rPr>
                <w:rFonts w:cs="Calibri"/>
                <w:color w:val="000000"/>
                <w:sz w:val="14"/>
                <w:szCs w:val="14"/>
              </w:rPr>
            </w:pPr>
            <w:r w:rsidRPr="003003C0">
              <w:rPr>
                <w:rFonts w:cs="Calibri"/>
                <w:color w:val="000000"/>
                <w:sz w:val="14"/>
                <w:szCs w:val="14"/>
              </w:rPr>
              <w:t xml:space="preserve">17 - </w:t>
            </w:r>
            <w:r w:rsidRPr="008018C3">
              <w:rPr>
                <w:rFonts w:cs="Calibri"/>
                <w:color w:val="000000"/>
                <w:sz w:val="14"/>
                <w:szCs w:val="14"/>
              </w:rPr>
              <w:t>Vehicles, aircraft, vessels and associated</w:t>
            </w:r>
          </w:p>
          <w:p w14:paraId="2118A0CB" w14:textId="77777777" w:rsidR="004F64EF" w:rsidRPr="003003C0" w:rsidRDefault="004F64EF" w:rsidP="008018C3">
            <w:pPr>
              <w:jc w:val="left"/>
              <w:rPr>
                <w:rFonts w:cs="Calibri"/>
                <w:color w:val="000000"/>
                <w:sz w:val="14"/>
                <w:szCs w:val="14"/>
              </w:rPr>
            </w:pPr>
            <w:r w:rsidRPr="008018C3">
              <w:rPr>
                <w:rFonts w:cs="Calibri"/>
                <w:color w:val="000000"/>
                <w:sz w:val="14"/>
                <w:szCs w:val="14"/>
              </w:rPr>
              <w:t>transport equipment</w:t>
            </w:r>
          </w:p>
        </w:tc>
        <w:tc>
          <w:tcPr>
            <w:tcW w:w="683" w:type="dxa"/>
            <w:noWrap/>
            <w:vAlign w:val="center"/>
            <w:hideMark/>
          </w:tcPr>
          <w:p w14:paraId="48DD5E51" w14:textId="77777777" w:rsidR="004F64EF" w:rsidRPr="003003C0" w:rsidRDefault="004F64EF" w:rsidP="00FD6B66">
            <w:pPr>
              <w:jc w:val="right"/>
              <w:rPr>
                <w:rFonts w:cs="Calibri"/>
                <w:color w:val="000000"/>
                <w:sz w:val="14"/>
                <w:szCs w:val="14"/>
              </w:rPr>
            </w:pPr>
            <w:r w:rsidRPr="003003C0">
              <w:rPr>
                <w:rFonts w:cs="Calibri"/>
                <w:color w:val="000000"/>
                <w:sz w:val="14"/>
                <w:szCs w:val="14"/>
              </w:rPr>
              <w:t>0</w:t>
            </w:r>
            <w:r>
              <w:rPr>
                <w:rFonts w:cs="Calibri"/>
                <w:color w:val="000000"/>
                <w:sz w:val="14"/>
                <w:szCs w:val="14"/>
              </w:rPr>
              <w:t>.</w:t>
            </w:r>
            <w:r w:rsidRPr="003003C0">
              <w:rPr>
                <w:rFonts w:cs="Calibri"/>
                <w:color w:val="000000"/>
                <w:sz w:val="14"/>
                <w:szCs w:val="14"/>
              </w:rPr>
              <w:t>2</w:t>
            </w:r>
          </w:p>
        </w:tc>
        <w:tc>
          <w:tcPr>
            <w:tcW w:w="683" w:type="dxa"/>
            <w:noWrap/>
            <w:vAlign w:val="center"/>
            <w:hideMark/>
          </w:tcPr>
          <w:p w14:paraId="6F7829B5" w14:textId="77777777" w:rsidR="004F64EF" w:rsidRPr="003003C0" w:rsidRDefault="004F64EF" w:rsidP="00FD6B66">
            <w:pPr>
              <w:jc w:val="right"/>
              <w:rPr>
                <w:rFonts w:cs="Calibri"/>
                <w:color w:val="000000"/>
                <w:sz w:val="14"/>
                <w:szCs w:val="14"/>
              </w:rPr>
            </w:pPr>
            <w:r w:rsidRPr="003003C0">
              <w:rPr>
                <w:rFonts w:cs="Calibri"/>
                <w:color w:val="000000"/>
                <w:sz w:val="14"/>
                <w:szCs w:val="14"/>
              </w:rPr>
              <w:t>0</w:t>
            </w:r>
            <w:r>
              <w:rPr>
                <w:rFonts w:cs="Calibri"/>
                <w:color w:val="000000"/>
                <w:sz w:val="14"/>
                <w:szCs w:val="14"/>
              </w:rPr>
              <w:t>.</w:t>
            </w:r>
            <w:r w:rsidRPr="003003C0">
              <w:rPr>
                <w:rFonts w:cs="Calibri"/>
                <w:color w:val="000000"/>
                <w:sz w:val="14"/>
                <w:szCs w:val="14"/>
              </w:rPr>
              <w:t>2</w:t>
            </w:r>
          </w:p>
        </w:tc>
        <w:tc>
          <w:tcPr>
            <w:tcW w:w="683" w:type="dxa"/>
            <w:noWrap/>
            <w:vAlign w:val="center"/>
            <w:hideMark/>
          </w:tcPr>
          <w:p w14:paraId="6FE4EE40" w14:textId="77777777" w:rsidR="004F64EF" w:rsidRPr="003003C0" w:rsidRDefault="004F64EF" w:rsidP="00FD6B66">
            <w:pPr>
              <w:jc w:val="right"/>
              <w:rPr>
                <w:rFonts w:cs="Calibri"/>
                <w:color w:val="000000"/>
                <w:sz w:val="14"/>
                <w:szCs w:val="14"/>
              </w:rPr>
            </w:pPr>
            <w:r w:rsidRPr="003003C0">
              <w:rPr>
                <w:rFonts w:cs="Calibri"/>
                <w:color w:val="000000"/>
                <w:sz w:val="14"/>
                <w:szCs w:val="14"/>
              </w:rPr>
              <w:t>0</w:t>
            </w:r>
            <w:r>
              <w:rPr>
                <w:rFonts w:cs="Calibri"/>
                <w:color w:val="000000"/>
                <w:sz w:val="14"/>
                <w:szCs w:val="14"/>
              </w:rPr>
              <w:t>.</w:t>
            </w:r>
            <w:r w:rsidRPr="003003C0">
              <w:rPr>
                <w:rFonts w:cs="Calibri"/>
                <w:color w:val="000000"/>
                <w:sz w:val="14"/>
                <w:szCs w:val="14"/>
              </w:rPr>
              <w:t>1</w:t>
            </w:r>
          </w:p>
        </w:tc>
        <w:tc>
          <w:tcPr>
            <w:tcW w:w="684" w:type="dxa"/>
            <w:noWrap/>
            <w:vAlign w:val="center"/>
            <w:hideMark/>
          </w:tcPr>
          <w:p w14:paraId="3C9503DD" w14:textId="77777777" w:rsidR="004F64EF" w:rsidRPr="003003C0" w:rsidRDefault="004F64EF" w:rsidP="00FD6B66">
            <w:pPr>
              <w:jc w:val="right"/>
              <w:rPr>
                <w:rFonts w:cs="Calibri"/>
                <w:color w:val="000000"/>
                <w:sz w:val="14"/>
                <w:szCs w:val="14"/>
              </w:rPr>
            </w:pPr>
            <w:r w:rsidRPr="003003C0">
              <w:rPr>
                <w:rFonts w:cs="Calibri"/>
                <w:color w:val="000000"/>
                <w:sz w:val="14"/>
                <w:szCs w:val="14"/>
              </w:rPr>
              <w:t>0</w:t>
            </w:r>
            <w:r>
              <w:rPr>
                <w:rFonts w:cs="Calibri"/>
                <w:color w:val="000000"/>
                <w:sz w:val="14"/>
                <w:szCs w:val="14"/>
              </w:rPr>
              <w:t>.</w:t>
            </w:r>
            <w:r w:rsidRPr="003003C0">
              <w:rPr>
                <w:rFonts w:cs="Calibri"/>
                <w:color w:val="000000"/>
                <w:sz w:val="14"/>
                <w:szCs w:val="14"/>
              </w:rPr>
              <w:t>2</w:t>
            </w:r>
          </w:p>
        </w:tc>
        <w:tc>
          <w:tcPr>
            <w:tcW w:w="683" w:type="dxa"/>
            <w:noWrap/>
            <w:vAlign w:val="center"/>
            <w:hideMark/>
          </w:tcPr>
          <w:p w14:paraId="3BC1FD71" w14:textId="77777777" w:rsidR="004F64EF" w:rsidRPr="003003C0" w:rsidRDefault="004F64EF" w:rsidP="00FD6B66">
            <w:pPr>
              <w:jc w:val="right"/>
              <w:rPr>
                <w:rFonts w:cs="Calibri"/>
                <w:color w:val="000000"/>
                <w:sz w:val="14"/>
                <w:szCs w:val="14"/>
              </w:rPr>
            </w:pPr>
            <w:r w:rsidRPr="003003C0">
              <w:rPr>
                <w:rFonts w:cs="Calibri"/>
                <w:color w:val="000000"/>
                <w:sz w:val="14"/>
                <w:szCs w:val="14"/>
              </w:rPr>
              <w:t>0</w:t>
            </w:r>
            <w:r>
              <w:rPr>
                <w:rFonts w:cs="Calibri"/>
                <w:color w:val="000000"/>
                <w:sz w:val="14"/>
                <w:szCs w:val="14"/>
              </w:rPr>
              <w:t>.</w:t>
            </w:r>
            <w:r w:rsidRPr="003003C0">
              <w:rPr>
                <w:rFonts w:cs="Calibri"/>
                <w:color w:val="000000"/>
                <w:sz w:val="14"/>
                <w:szCs w:val="14"/>
              </w:rPr>
              <w:t>2</w:t>
            </w:r>
          </w:p>
        </w:tc>
        <w:tc>
          <w:tcPr>
            <w:tcW w:w="683" w:type="dxa"/>
            <w:noWrap/>
            <w:vAlign w:val="center"/>
            <w:hideMark/>
          </w:tcPr>
          <w:p w14:paraId="1C24AED2" w14:textId="77777777" w:rsidR="004F64EF" w:rsidRPr="003003C0" w:rsidRDefault="004F64EF" w:rsidP="00FD6B66">
            <w:pPr>
              <w:jc w:val="right"/>
              <w:rPr>
                <w:rFonts w:cs="Calibri"/>
                <w:color w:val="000000"/>
                <w:sz w:val="14"/>
                <w:szCs w:val="14"/>
              </w:rPr>
            </w:pPr>
            <w:r w:rsidRPr="003003C0">
              <w:rPr>
                <w:rFonts w:cs="Calibri"/>
                <w:color w:val="000000"/>
                <w:sz w:val="14"/>
                <w:szCs w:val="14"/>
              </w:rPr>
              <w:t>0</w:t>
            </w:r>
            <w:r>
              <w:rPr>
                <w:rFonts w:cs="Calibri"/>
                <w:color w:val="000000"/>
                <w:sz w:val="14"/>
                <w:szCs w:val="14"/>
              </w:rPr>
              <w:t>.</w:t>
            </w:r>
            <w:r w:rsidRPr="003003C0">
              <w:rPr>
                <w:rFonts w:cs="Calibri"/>
                <w:color w:val="000000"/>
                <w:sz w:val="14"/>
                <w:szCs w:val="14"/>
              </w:rPr>
              <w:t>1</w:t>
            </w:r>
          </w:p>
        </w:tc>
        <w:tc>
          <w:tcPr>
            <w:tcW w:w="684" w:type="dxa"/>
            <w:noWrap/>
            <w:vAlign w:val="center"/>
            <w:hideMark/>
          </w:tcPr>
          <w:p w14:paraId="46536ECD" w14:textId="77777777" w:rsidR="004F64EF" w:rsidRPr="003003C0" w:rsidRDefault="004F64EF" w:rsidP="00FD6B66">
            <w:pPr>
              <w:jc w:val="right"/>
              <w:rPr>
                <w:rFonts w:cs="Calibri"/>
                <w:color w:val="000000"/>
                <w:sz w:val="14"/>
                <w:szCs w:val="14"/>
              </w:rPr>
            </w:pPr>
            <w:r w:rsidRPr="003003C0">
              <w:rPr>
                <w:rFonts w:cs="Calibri"/>
                <w:color w:val="000000"/>
                <w:sz w:val="14"/>
                <w:szCs w:val="14"/>
              </w:rPr>
              <w:t>0</w:t>
            </w:r>
            <w:r>
              <w:rPr>
                <w:rFonts w:cs="Calibri"/>
                <w:color w:val="000000"/>
                <w:sz w:val="14"/>
                <w:szCs w:val="14"/>
              </w:rPr>
              <w:t>.</w:t>
            </w:r>
            <w:r w:rsidRPr="003003C0">
              <w:rPr>
                <w:rFonts w:cs="Calibri"/>
                <w:color w:val="000000"/>
                <w:sz w:val="14"/>
                <w:szCs w:val="14"/>
              </w:rPr>
              <w:t>1</w:t>
            </w:r>
          </w:p>
        </w:tc>
      </w:tr>
      <w:tr w:rsidR="004F64EF" w:rsidRPr="003003C0" w14:paraId="0476C315" w14:textId="77777777" w:rsidTr="00FD6B66">
        <w:trPr>
          <w:cnfStyle w:val="000000010000" w:firstRow="0" w:lastRow="0" w:firstColumn="0" w:lastColumn="0" w:oddVBand="0" w:evenVBand="0" w:oddHBand="0" w:evenHBand="1" w:firstRowFirstColumn="0" w:firstRowLastColumn="0" w:lastRowFirstColumn="0" w:lastRowLastColumn="0"/>
          <w:trHeight w:val="20"/>
        </w:trPr>
        <w:tc>
          <w:tcPr>
            <w:tcW w:w="4246" w:type="dxa"/>
            <w:noWrap/>
            <w:vAlign w:val="center"/>
            <w:hideMark/>
          </w:tcPr>
          <w:p w14:paraId="5591FCBD" w14:textId="77777777" w:rsidR="004F64EF" w:rsidRPr="003003C0" w:rsidRDefault="004F64EF" w:rsidP="008018C3">
            <w:pPr>
              <w:jc w:val="left"/>
              <w:rPr>
                <w:rFonts w:cs="Calibri"/>
                <w:color w:val="000000"/>
                <w:sz w:val="14"/>
                <w:szCs w:val="14"/>
              </w:rPr>
            </w:pPr>
            <w:r w:rsidRPr="003003C0">
              <w:rPr>
                <w:rFonts w:cs="Calibri"/>
                <w:color w:val="000000"/>
                <w:sz w:val="14"/>
                <w:szCs w:val="14"/>
              </w:rPr>
              <w:lastRenderedPageBreak/>
              <w:t xml:space="preserve">18 - </w:t>
            </w:r>
            <w:r w:rsidRPr="008018C3">
              <w:rPr>
                <w:rFonts w:cs="Calibri"/>
                <w:color w:val="000000"/>
                <w:sz w:val="14"/>
                <w:szCs w:val="14"/>
              </w:rPr>
              <w:t>Optical, photographic, cinematographic, measuring, checking or precision instruments</w:t>
            </w:r>
            <w:r>
              <w:rPr>
                <w:rFonts w:cs="Calibri"/>
                <w:color w:val="000000"/>
                <w:sz w:val="14"/>
                <w:szCs w:val="14"/>
              </w:rPr>
              <w:t xml:space="preserve"> </w:t>
            </w:r>
            <w:r w:rsidRPr="008018C3">
              <w:rPr>
                <w:rFonts w:cs="Calibri"/>
                <w:color w:val="000000"/>
                <w:sz w:val="14"/>
                <w:szCs w:val="14"/>
              </w:rPr>
              <w:t>and apparatus</w:t>
            </w:r>
          </w:p>
        </w:tc>
        <w:tc>
          <w:tcPr>
            <w:tcW w:w="683" w:type="dxa"/>
            <w:noWrap/>
            <w:vAlign w:val="center"/>
            <w:hideMark/>
          </w:tcPr>
          <w:p w14:paraId="5C99C7B5" w14:textId="77777777" w:rsidR="004F64EF" w:rsidRPr="003003C0" w:rsidRDefault="004F64EF" w:rsidP="00FD6B66">
            <w:pPr>
              <w:jc w:val="right"/>
              <w:rPr>
                <w:rFonts w:cs="Calibri"/>
                <w:color w:val="000000"/>
                <w:sz w:val="14"/>
                <w:szCs w:val="14"/>
              </w:rPr>
            </w:pPr>
            <w:r w:rsidRPr="003003C0">
              <w:rPr>
                <w:rFonts w:cs="Calibri"/>
                <w:color w:val="000000"/>
                <w:sz w:val="14"/>
                <w:szCs w:val="14"/>
              </w:rPr>
              <w:t>18</w:t>
            </w:r>
            <w:r>
              <w:rPr>
                <w:rFonts w:cs="Calibri"/>
                <w:color w:val="000000"/>
                <w:sz w:val="14"/>
                <w:szCs w:val="14"/>
              </w:rPr>
              <w:t>.</w:t>
            </w:r>
            <w:r w:rsidRPr="003003C0">
              <w:rPr>
                <w:rFonts w:cs="Calibri"/>
                <w:color w:val="000000"/>
                <w:sz w:val="14"/>
                <w:szCs w:val="14"/>
              </w:rPr>
              <w:t>3</w:t>
            </w:r>
          </w:p>
        </w:tc>
        <w:tc>
          <w:tcPr>
            <w:tcW w:w="683" w:type="dxa"/>
            <w:noWrap/>
            <w:vAlign w:val="center"/>
            <w:hideMark/>
          </w:tcPr>
          <w:p w14:paraId="128F5DEC" w14:textId="77777777" w:rsidR="004F64EF" w:rsidRPr="003003C0" w:rsidRDefault="004F64EF" w:rsidP="00FD6B66">
            <w:pPr>
              <w:jc w:val="right"/>
              <w:rPr>
                <w:rFonts w:cs="Calibri"/>
                <w:color w:val="000000"/>
                <w:sz w:val="14"/>
                <w:szCs w:val="14"/>
              </w:rPr>
            </w:pPr>
            <w:r w:rsidRPr="003003C0">
              <w:rPr>
                <w:rFonts w:cs="Calibri"/>
                <w:color w:val="000000"/>
                <w:sz w:val="14"/>
                <w:szCs w:val="14"/>
              </w:rPr>
              <w:t>20</w:t>
            </w:r>
            <w:r>
              <w:rPr>
                <w:rFonts w:cs="Calibri"/>
                <w:color w:val="000000"/>
                <w:sz w:val="14"/>
                <w:szCs w:val="14"/>
              </w:rPr>
              <w:t>.</w:t>
            </w:r>
            <w:r w:rsidRPr="003003C0">
              <w:rPr>
                <w:rFonts w:cs="Calibri"/>
                <w:color w:val="000000"/>
                <w:sz w:val="14"/>
                <w:szCs w:val="14"/>
              </w:rPr>
              <w:t>3</w:t>
            </w:r>
          </w:p>
        </w:tc>
        <w:tc>
          <w:tcPr>
            <w:tcW w:w="683" w:type="dxa"/>
            <w:noWrap/>
            <w:vAlign w:val="center"/>
            <w:hideMark/>
          </w:tcPr>
          <w:p w14:paraId="2112E12E" w14:textId="77777777" w:rsidR="004F64EF" w:rsidRPr="003003C0" w:rsidRDefault="004F64EF" w:rsidP="00FD6B66">
            <w:pPr>
              <w:jc w:val="right"/>
              <w:rPr>
                <w:rFonts w:cs="Calibri"/>
                <w:color w:val="000000"/>
                <w:sz w:val="14"/>
                <w:szCs w:val="14"/>
              </w:rPr>
            </w:pPr>
            <w:r w:rsidRPr="003003C0">
              <w:rPr>
                <w:rFonts w:cs="Calibri"/>
                <w:color w:val="000000"/>
                <w:sz w:val="14"/>
                <w:szCs w:val="14"/>
              </w:rPr>
              <w:t>16</w:t>
            </w:r>
            <w:r>
              <w:rPr>
                <w:rFonts w:cs="Calibri"/>
                <w:color w:val="000000"/>
                <w:sz w:val="14"/>
                <w:szCs w:val="14"/>
              </w:rPr>
              <w:t>.</w:t>
            </w:r>
            <w:r w:rsidRPr="003003C0">
              <w:rPr>
                <w:rFonts w:cs="Calibri"/>
                <w:color w:val="000000"/>
                <w:sz w:val="14"/>
                <w:szCs w:val="14"/>
              </w:rPr>
              <w:t>9</w:t>
            </w:r>
          </w:p>
        </w:tc>
        <w:tc>
          <w:tcPr>
            <w:tcW w:w="684" w:type="dxa"/>
            <w:noWrap/>
            <w:vAlign w:val="center"/>
            <w:hideMark/>
          </w:tcPr>
          <w:p w14:paraId="6C556F42" w14:textId="77777777" w:rsidR="004F64EF" w:rsidRPr="003003C0" w:rsidRDefault="004F64EF" w:rsidP="00FD6B66">
            <w:pPr>
              <w:jc w:val="right"/>
              <w:rPr>
                <w:rFonts w:cs="Calibri"/>
                <w:color w:val="000000"/>
                <w:sz w:val="14"/>
                <w:szCs w:val="14"/>
              </w:rPr>
            </w:pPr>
            <w:r w:rsidRPr="003003C0">
              <w:rPr>
                <w:rFonts w:cs="Calibri"/>
                <w:color w:val="000000"/>
                <w:sz w:val="14"/>
                <w:szCs w:val="14"/>
              </w:rPr>
              <w:t>15</w:t>
            </w:r>
            <w:r>
              <w:rPr>
                <w:rFonts w:cs="Calibri"/>
                <w:color w:val="000000"/>
                <w:sz w:val="14"/>
                <w:szCs w:val="14"/>
              </w:rPr>
              <w:t>.</w:t>
            </w:r>
            <w:r w:rsidRPr="003003C0">
              <w:rPr>
                <w:rFonts w:cs="Calibri"/>
                <w:color w:val="000000"/>
                <w:sz w:val="14"/>
                <w:szCs w:val="14"/>
              </w:rPr>
              <w:t>5</w:t>
            </w:r>
          </w:p>
        </w:tc>
        <w:tc>
          <w:tcPr>
            <w:tcW w:w="683" w:type="dxa"/>
            <w:noWrap/>
            <w:vAlign w:val="center"/>
            <w:hideMark/>
          </w:tcPr>
          <w:p w14:paraId="249A371B" w14:textId="77777777" w:rsidR="004F64EF" w:rsidRPr="003003C0" w:rsidRDefault="004F64EF" w:rsidP="00FD6B66">
            <w:pPr>
              <w:jc w:val="right"/>
              <w:rPr>
                <w:rFonts w:cs="Calibri"/>
                <w:color w:val="000000"/>
                <w:sz w:val="14"/>
                <w:szCs w:val="14"/>
              </w:rPr>
            </w:pPr>
            <w:r w:rsidRPr="003003C0">
              <w:rPr>
                <w:rFonts w:cs="Calibri"/>
                <w:color w:val="000000"/>
                <w:sz w:val="14"/>
                <w:szCs w:val="14"/>
              </w:rPr>
              <w:t>15</w:t>
            </w:r>
            <w:r>
              <w:rPr>
                <w:rFonts w:cs="Calibri"/>
                <w:color w:val="000000"/>
                <w:sz w:val="14"/>
                <w:szCs w:val="14"/>
              </w:rPr>
              <w:t>.</w:t>
            </w:r>
            <w:r w:rsidRPr="003003C0">
              <w:rPr>
                <w:rFonts w:cs="Calibri"/>
                <w:color w:val="000000"/>
                <w:sz w:val="14"/>
                <w:szCs w:val="14"/>
              </w:rPr>
              <w:t>6</w:t>
            </w:r>
          </w:p>
        </w:tc>
        <w:tc>
          <w:tcPr>
            <w:tcW w:w="683" w:type="dxa"/>
            <w:noWrap/>
            <w:vAlign w:val="center"/>
            <w:hideMark/>
          </w:tcPr>
          <w:p w14:paraId="4B40D1A9" w14:textId="77777777" w:rsidR="004F64EF" w:rsidRPr="003003C0" w:rsidRDefault="004F64EF" w:rsidP="00FD6B66">
            <w:pPr>
              <w:jc w:val="right"/>
              <w:rPr>
                <w:rFonts w:cs="Calibri"/>
                <w:color w:val="000000"/>
                <w:sz w:val="14"/>
                <w:szCs w:val="14"/>
              </w:rPr>
            </w:pPr>
            <w:r w:rsidRPr="003003C0">
              <w:rPr>
                <w:rFonts w:cs="Calibri"/>
                <w:color w:val="000000"/>
                <w:sz w:val="14"/>
                <w:szCs w:val="14"/>
              </w:rPr>
              <w:t>18</w:t>
            </w:r>
            <w:r>
              <w:rPr>
                <w:rFonts w:cs="Calibri"/>
                <w:color w:val="000000"/>
                <w:sz w:val="14"/>
                <w:szCs w:val="14"/>
              </w:rPr>
              <w:t>.</w:t>
            </w:r>
            <w:r w:rsidRPr="003003C0">
              <w:rPr>
                <w:rFonts w:cs="Calibri"/>
                <w:color w:val="000000"/>
                <w:sz w:val="14"/>
                <w:szCs w:val="14"/>
              </w:rPr>
              <w:t>5</w:t>
            </w:r>
          </w:p>
        </w:tc>
        <w:tc>
          <w:tcPr>
            <w:tcW w:w="684" w:type="dxa"/>
            <w:noWrap/>
            <w:vAlign w:val="center"/>
            <w:hideMark/>
          </w:tcPr>
          <w:p w14:paraId="10B82BD8" w14:textId="77777777" w:rsidR="004F64EF" w:rsidRPr="003003C0" w:rsidRDefault="004F64EF" w:rsidP="00FD6B66">
            <w:pPr>
              <w:jc w:val="right"/>
              <w:rPr>
                <w:rFonts w:cs="Calibri"/>
                <w:color w:val="000000"/>
                <w:sz w:val="14"/>
                <w:szCs w:val="14"/>
              </w:rPr>
            </w:pPr>
            <w:r w:rsidRPr="003003C0">
              <w:rPr>
                <w:rFonts w:cs="Calibri"/>
                <w:color w:val="000000"/>
                <w:sz w:val="14"/>
                <w:szCs w:val="14"/>
              </w:rPr>
              <w:t>16</w:t>
            </w:r>
            <w:r>
              <w:rPr>
                <w:rFonts w:cs="Calibri"/>
                <w:color w:val="000000"/>
                <w:sz w:val="14"/>
                <w:szCs w:val="14"/>
              </w:rPr>
              <w:t>.</w:t>
            </w:r>
            <w:r w:rsidRPr="003003C0">
              <w:rPr>
                <w:rFonts w:cs="Calibri"/>
                <w:color w:val="000000"/>
                <w:sz w:val="14"/>
                <w:szCs w:val="14"/>
              </w:rPr>
              <w:t>5</w:t>
            </w:r>
          </w:p>
        </w:tc>
      </w:tr>
      <w:tr w:rsidR="004F64EF" w:rsidRPr="003003C0" w14:paraId="043D1313" w14:textId="77777777" w:rsidTr="00FD6B66">
        <w:trPr>
          <w:trHeight w:val="20"/>
        </w:trPr>
        <w:tc>
          <w:tcPr>
            <w:tcW w:w="4246" w:type="dxa"/>
            <w:noWrap/>
            <w:vAlign w:val="center"/>
            <w:hideMark/>
          </w:tcPr>
          <w:p w14:paraId="5B26A64A" w14:textId="77777777" w:rsidR="004F64EF" w:rsidRPr="003003C0" w:rsidRDefault="004F64EF" w:rsidP="00B22563">
            <w:pPr>
              <w:tabs>
                <w:tab w:val="left" w:pos="227"/>
              </w:tabs>
              <w:ind w:left="227" w:hanging="227"/>
              <w:jc w:val="left"/>
              <w:rPr>
                <w:rFonts w:cs="Calibri"/>
                <w:color w:val="000000"/>
                <w:sz w:val="14"/>
                <w:szCs w:val="14"/>
              </w:rPr>
            </w:pPr>
            <w:r w:rsidRPr="003003C0">
              <w:rPr>
                <w:rFonts w:cs="Calibri"/>
                <w:color w:val="000000"/>
                <w:sz w:val="14"/>
                <w:szCs w:val="14"/>
              </w:rPr>
              <w:tab/>
              <w:t xml:space="preserve">90. </w:t>
            </w:r>
            <w:r w:rsidRPr="008018C3">
              <w:rPr>
                <w:rFonts w:asciiTheme="minorHAnsi" w:hAnsiTheme="minorHAnsi" w:cs="Arial"/>
                <w:color w:val="000000"/>
                <w:sz w:val="14"/>
                <w:szCs w:val="14"/>
              </w:rPr>
              <w:t>Optical, photographic, cinematographic, measuring, checking, precision, medical or surgical</w:t>
            </w:r>
            <w:r>
              <w:rPr>
                <w:rFonts w:asciiTheme="minorHAnsi" w:hAnsiTheme="minorHAnsi" w:cs="Arial"/>
                <w:color w:val="000000"/>
                <w:sz w:val="14"/>
                <w:szCs w:val="14"/>
              </w:rPr>
              <w:t xml:space="preserve"> </w:t>
            </w:r>
            <w:r w:rsidRPr="008018C3">
              <w:rPr>
                <w:rFonts w:asciiTheme="minorHAnsi" w:hAnsiTheme="minorHAnsi" w:cs="Arial"/>
                <w:color w:val="000000"/>
                <w:sz w:val="14"/>
                <w:szCs w:val="14"/>
              </w:rPr>
              <w:t>instruments and apparatus; parts and accessories thereof</w:t>
            </w:r>
          </w:p>
        </w:tc>
        <w:tc>
          <w:tcPr>
            <w:tcW w:w="683" w:type="dxa"/>
            <w:noWrap/>
            <w:vAlign w:val="center"/>
            <w:hideMark/>
          </w:tcPr>
          <w:p w14:paraId="74C63E6B" w14:textId="77777777" w:rsidR="004F64EF" w:rsidRPr="003003C0" w:rsidRDefault="004F64EF" w:rsidP="00FD6B66">
            <w:pPr>
              <w:jc w:val="right"/>
              <w:rPr>
                <w:rFonts w:cs="Calibri"/>
                <w:color w:val="000000"/>
                <w:sz w:val="14"/>
                <w:szCs w:val="14"/>
              </w:rPr>
            </w:pPr>
            <w:r w:rsidRPr="003003C0">
              <w:rPr>
                <w:rFonts w:cs="Calibri"/>
                <w:color w:val="000000"/>
                <w:sz w:val="14"/>
                <w:szCs w:val="14"/>
              </w:rPr>
              <w:t>18</w:t>
            </w:r>
            <w:r>
              <w:rPr>
                <w:rFonts w:cs="Calibri"/>
                <w:color w:val="000000"/>
                <w:sz w:val="14"/>
                <w:szCs w:val="14"/>
              </w:rPr>
              <w:t>.</w:t>
            </w:r>
            <w:r w:rsidRPr="003003C0">
              <w:rPr>
                <w:rFonts w:cs="Calibri"/>
                <w:color w:val="000000"/>
                <w:sz w:val="14"/>
                <w:szCs w:val="14"/>
              </w:rPr>
              <w:t>3</w:t>
            </w:r>
          </w:p>
        </w:tc>
        <w:tc>
          <w:tcPr>
            <w:tcW w:w="683" w:type="dxa"/>
            <w:noWrap/>
            <w:vAlign w:val="center"/>
            <w:hideMark/>
          </w:tcPr>
          <w:p w14:paraId="74559165" w14:textId="77777777" w:rsidR="004F64EF" w:rsidRPr="003003C0" w:rsidRDefault="004F64EF" w:rsidP="00FD6B66">
            <w:pPr>
              <w:jc w:val="right"/>
              <w:rPr>
                <w:rFonts w:cs="Calibri"/>
                <w:color w:val="000000"/>
                <w:sz w:val="14"/>
                <w:szCs w:val="14"/>
              </w:rPr>
            </w:pPr>
            <w:r w:rsidRPr="003003C0">
              <w:rPr>
                <w:rFonts w:cs="Calibri"/>
                <w:color w:val="000000"/>
                <w:sz w:val="14"/>
                <w:szCs w:val="14"/>
              </w:rPr>
              <w:t>20</w:t>
            </w:r>
            <w:r>
              <w:rPr>
                <w:rFonts w:cs="Calibri"/>
                <w:color w:val="000000"/>
                <w:sz w:val="14"/>
                <w:szCs w:val="14"/>
              </w:rPr>
              <w:t>.</w:t>
            </w:r>
            <w:r w:rsidRPr="003003C0">
              <w:rPr>
                <w:rFonts w:cs="Calibri"/>
                <w:color w:val="000000"/>
                <w:sz w:val="14"/>
                <w:szCs w:val="14"/>
              </w:rPr>
              <w:t>3</w:t>
            </w:r>
          </w:p>
        </w:tc>
        <w:tc>
          <w:tcPr>
            <w:tcW w:w="683" w:type="dxa"/>
            <w:noWrap/>
            <w:vAlign w:val="center"/>
            <w:hideMark/>
          </w:tcPr>
          <w:p w14:paraId="11B7B9B8" w14:textId="77777777" w:rsidR="004F64EF" w:rsidRPr="003003C0" w:rsidRDefault="004F64EF" w:rsidP="00FD6B66">
            <w:pPr>
              <w:jc w:val="right"/>
              <w:rPr>
                <w:rFonts w:cs="Calibri"/>
                <w:color w:val="000000"/>
                <w:sz w:val="14"/>
                <w:szCs w:val="14"/>
              </w:rPr>
            </w:pPr>
            <w:r w:rsidRPr="003003C0">
              <w:rPr>
                <w:rFonts w:cs="Calibri"/>
                <w:color w:val="000000"/>
                <w:sz w:val="14"/>
                <w:szCs w:val="14"/>
              </w:rPr>
              <w:t>16</w:t>
            </w:r>
            <w:r>
              <w:rPr>
                <w:rFonts w:cs="Calibri"/>
                <w:color w:val="000000"/>
                <w:sz w:val="14"/>
                <w:szCs w:val="14"/>
              </w:rPr>
              <w:t>.</w:t>
            </w:r>
            <w:r w:rsidRPr="003003C0">
              <w:rPr>
                <w:rFonts w:cs="Calibri"/>
                <w:color w:val="000000"/>
                <w:sz w:val="14"/>
                <w:szCs w:val="14"/>
              </w:rPr>
              <w:t>9</w:t>
            </w:r>
          </w:p>
        </w:tc>
        <w:tc>
          <w:tcPr>
            <w:tcW w:w="684" w:type="dxa"/>
            <w:noWrap/>
            <w:vAlign w:val="center"/>
            <w:hideMark/>
          </w:tcPr>
          <w:p w14:paraId="505C7C38" w14:textId="77777777" w:rsidR="004F64EF" w:rsidRPr="003003C0" w:rsidRDefault="004F64EF" w:rsidP="00FD6B66">
            <w:pPr>
              <w:jc w:val="right"/>
              <w:rPr>
                <w:rFonts w:cs="Calibri"/>
                <w:color w:val="000000"/>
                <w:sz w:val="14"/>
                <w:szCs w:val="14"/>
              </w:rPr>
            </w:pPr>
            <w:r w:rsidRPr="003003C0">
              <w:rPr>
                <w:rFonts w:cs="Calibri"/>
                <w:color w:val="000000"/>
                <w:sz w:val="14"/>
                <w:szCs w:val="14"/>
              </w:rPr>
              <w:t>15</w:t>
            </w:r>
            <w:r>
              <w:rPr>
                <w:rFonts w:cs="Calibri"/>
                <w:color w:val="000000"/>
                <w:sz w:val="14"/>
                <w:szCs w:val="14"/>
              </w:rPr>
              <w:t>.</w:t>
            </w:r>
            <w:r w:rsidRPr="003003C0">
              <w:rPr>
                <w:rFonts w:cs="Calibri"/>
                <w:color w:val="000000"/>
                <w:sz w:val="14"/>
                <w:szCs w:val="14"/>
              </w:rPr>
              <w:t>5</w:t>
            </w:r>
          </w:p>
        </w:tc>
        <w:tc>
          <w:tcPr>
            <w:tcW w:w="683" w:type="dxa"/>
            <w:noWrap/>
            <w:vAlign w:val="center"/>
            <w:hideMark/>
          </w:tcPr>
          <w:p w14:paraId="071648EA" w14:textId="77777777" w:rsidR="004F64EF" w:rsidRPr="003003C0" w:rsidRDefault="004F64EF" w:rsidP="00FD6B66">
            <w:pPr>
              <w:jc w:val="right"/>
              <w:rPr>
                <w:rFonts w:cs="Calibri"/>
                <w:color w:val="000000"/>
                <w:sz w:val="14"/>
                <w:szCs w:val="14"/>
              </w:rPr>
            </w:pPr>
            <w:r w:rsidRPr="003003C0">
              <w:rPr>
                <w:rFonts w:cs="Calibri"/>
                <w:color w:val="000000"/>
                <w:sz w:val="14"/>
                <w:szCs w:val="14"/>
              </w:rPr>
              <w:t>15</w:t>
            </w:r>
            <w:r>
              <w:rPr>
                <w:rFonts w:cs="Calibri"/>
                <w:color w:val="000000"/>
                <w:sz w:val="14"/>
                <w:szCs w:val="14"/>
              </w:rPr>
              <w:t>.</w:t>
            </w:r>
            <w:r w:rsidRPr="003003C0">
              <w:rPr>
                <w:rFonts w:cs="Calibri"/>
                <w:color w:val="000000"/>
                <w:sz w:val="14"/>
                <w:szCs w:val="14"/>
              </w:rPr>
              <w:t>6</w:t>
            </w:r>
          </w:p>
        </w:tc>
        <w:tc>
          <w:tcPr>
            <w:tcW w:w="683" w:type="dxa"/>
            <w:noWrap/>
            <w:vAlign w:val="center"/>
            <w:hideMark/>
          </w:tcPr>
          <w:p w14:paraId="7CF7E0F1" w14:textId="77777777" w:rsidR="004F64EF" w:rsidRPr="003003C0" w:rsidRDefault="004F64EF" w:rsidP="00FD6B66">
            <w:pPr>
              <w:jc w:val="right"/>
              <w:rPr>
                <w:rFonts w:cs="Calibri"/>
                <w:color w:val="000000"/>
                <w:sz w:val="14"/>
                <w:szCs w:val="14"/>
              </w:rPr>
            </w:pPr>
            <w:r w:rsidRPr="003003C0">
              <w:rPr>
                <w:rFonts w:cs="Calibri"/>
                <w:color w:val="000000"/>
                <w:sz w:val="14"/>
                <w:szCs w:val="14"/>
              </w:rPr>
              <w:t>18</w:t>
            </w:r>
            <w:r>
              <w:rPr>
                <w:rFonts w:cs="Calibri"/>
                <w:color w:val="000000"/>
                <w:sz w:val="14"/>
                <w:szCs w:val="14"/>
              </w:rPr>
              <w:t>.</w:t>
            </w:r>
            <w:r w:rsidRPr="003003C0">
              <w:rPr>
                <w:rFonts w:cs="Calibri"/>
                <w:color w:val="000000"/>
                <w:sz w:val="14"/>
                <w:szCs w:val="14"/>
              </w:rPr>
              <w:t>5</w:t>
            </w:r>
          </w:p>
        </w:tc>
        <w:tc>
          <w:tcPr>
            <w:tcW w:w="684" w:type="dxa"/>
            <w:noWrap/>
            <w:vAlign w:val="center"/>
            <w:hideMark/>
          </w:tcPr>
          <w:p w14:paraId="4C7D76A2" w14:textId="77777777" w:rsidR="004F64EF" w:rsidRPr="003003C0" w:rsidRDefault="004F64EF" w:rsidP="00FD6B66">
            <w:pPr>
              <w:jc w:val="right"/>
              <w:rPr>
                <w:rFonts w:cs="Calibri"/>
                <w:color w:val="000000"/>
                <w:sz w:val="14"/>
                <w:szCs w:val="14"/>
              </w:rPr>
            </w:pPr>
            <w:r w:rsidRPr="003003C0">
              <w:rPr>
                <w:rFonts w:cs="Calibri"/>
                <w:color w:val="000000"/>
                <w:sz w:val="14"/>
                <w:szCs w:val="14"/>
              </w:rPr>
              <w:t>16</w:t>
            </w:r>
            <w:r>
              <w:rPr>
                <w:rFonts w:cs="Calibri"/>
                <w:color w:val="000000"/>
                <w:sz w:val="14"/>
                <w:szCs w:val="14"/>
              </w:rPr>
              <w:t>.</w:t>
            </w:r>
            <w:r w:rsidRPr="003003C0">
              <w:rPr>
                <w:rFonts w:cs="Calibri"/>
                <w:color w:val="000000"/>
                <w:sz w:val="14"/>
                <w:szCs w:val="14"/>
              </w:rPr>
              <w:t>5</w:t>
            </w:r>
          </w:p>
        </w:tc>
      </w:tr>
      <w:tr w:rsidR="004F64EF" w:rsidRPr="003003C0" w14:paraId="769CAAE4" w14:textId="77777777" w:rsidTr="00FD6B66">
        <w:trPr>
          <w:cnfStyle w:val="000000010000" w:firstRow="0" w:lastRow="0" w:firstColumn="0" w:lastColumn="0" w:oddVBand="0" w:evenVBand="0" w:oddHBand="0" w:evenHBand="1" w:firstRowFirstColumn="0" w:firstRowLastColumn="0" w:lastRowFirstColumn="0" w:lastRowLastColumn="0"/>
          <w:trHeight w:val="20"/>
        </w:trPr>
        <w:tc>
          <w:tcPr>
            <w:tcW w:w="4246" w:type="dxa"/>
            <w:noWrap/>
            <w:vAlign w:val="center"/>
            <w:hideMark/>
          </w:tcPr>
          <w:p w14:paraId="36117ACC" w14:textId="77777777" w:rsidR="004F64EF" w:rsidRPr="003003C0" w:rsidRDefault="004F64EF" w:rsidP="00FD6B66">
            <w:pPr>
              <w:jc w:val="left"/>
              <w:rPr>
                <w:rFonts w:cs="Calibri"/>
                <w:color w:val="000000"/>
                <w:sz w:val="14"/>
                <w:szCs w:val="14"/>
              </w:rPr>
            </w:pPr>
            <w:r w:rsidRPr="003003C0">
              <w:rPr>
                <w:rFonts w:cs="Calibri"/>
                <w:color w:val="000000"/>
                <w:sz w:val="14"/>
                <w:szCs w:val="14"/>
              </w:rPr>
              <w:t xml:space="preserve">20 - </w:t>
            </w:r>
            <w:r w:rsidRPr="008018C3">
              <w:rPr>
                <w:rFonts w:cs="Calibri"/>
                <w:color w:val="000000"/>
                <w:sz w:val="14"/>
                <w:szCs w:val="14"/>
              </w:rPr>
              <w:t>Miscellaneous manufactured articles</w:t>
            </w:r>
          </w:p>
        </w:tc>
        <w:tc>
          <w:tcPr>
            <w:tcW w:w="683" w:type="dxa"/>
            <w:noWrap/>
            <w:vAlign w:val="center"/>
            <w:hideMark/>
          </w:tcPr>
          <w:p w14:paraId="57A0B51B" w14:textId="77777777" w:rsidR="004F64EF" w:rsidRPr="003003C0" w:rsidRDefault="004F64EF" w:rsidP="00FD6B66">
            <w:pPr>
              <w:jc w:val="right"/>
              <w:rPr>
                <w:rFonts w:cs="Calibri"/>
                <w:color w:val="000000"/>
                <w:sz w:val="14"/>
                <w:szCs w:val="14"/>
              </w:rPr>
            </w:pPr>
            <w:r w:rsidRPr="003003C0">
              <w:rPr>
                <w:rFonts w:cs="Calibri"/>
                <w:color w:val="000000"/>
                <w:sz w:val="14"/>
                <w:szCs w:val="14"/>
              </w:rPr>
              <w:t>0</w:t>
            </w:r>
            <w:r>
              <w:rPr>
                <w:rFonts w:cs="Calibri"/>
                <w:color w:val="000000"/>
                <w:sz w:val="14"/>
                <w:szCs w:val="14"/>
              </w:rPr>
              <w:t>.</w:t>
            </w:r>
            <w:r w:rsidRPr="003003C0">
              <w:rPr>
                <w:rFonts w:cs="Calibri"/>
                <w:color w:val="000000"/>
                <w:sz w:val="14"/>
                <w:szCs w:val="14"/>
              </w:rPr>
              <w:t>5</w:t>
            </w:r>
          </w:p>
        </w:tc>
        <w:tc>
          <w:tcPr>
            <w:tcW w:w="683" w:type="dxa"/>
            <w:noWrap/>
            <w:vAlign w:val="center"/>
            <w:hideMark/>
          </w:tcPr>
          <w:p w14:paraId="4B50B436" w14:textId="77777777" w:rsidR="004F64EF" w:rsidRPr="003003C0" w:rsidRDefault="004F64EF" w:rsidP="00FD6B66">
            <w:pPr>
              <w:jc w:val="right"/>
              <w:rPr>
                <w:rFonts w:cs="Calibri"/>
                <w:color w:val="000000"/>
                <w:sz w:val="14"/>
                <w:szCs w:val="14"/>
              </w:rPr>
            </w:pPr>
            <w:r w:rsidRPr="003003C0">
              <w:rPr>
                <w:rFonts w:cs="Calibri"/>
                <w:color w:val="000000"/>
                <w:sz w:val="14"/>
                <w:szCs w:val="14"/>
              </w:rPr>
              <w:t>0</w:t>
            </w:r>
            <w:r>
              <w:rPr>
                <w:rFonts w:cs="Calibri"/>
                <w:color w:val="000000"/>
                <w:sz w:val="14"/>
                <w:szCs w:val="14"/>
              </w:rPr>
              <w:t>.</w:t>
            </w:r>
            <w:r w:rsidRPr="003003C0">
              <w:rPr>
                <w:rFonts w:cs="Calibri"/>
                <w:color w:val="000000"/>
                <w:sz w:val="14"/>
                <w:szCs w:val="14"/>
              </w:rPr>
              <w:t>5</w:t>
            </w:r>
          </w:p>
        </w:tc>
        <w:tc>
          <w:tcPr>
            <w:tcW w:w="683" w:type="dxa"/>
            <w:noWrap/>
            <w:vAlign w:val="center"/>
            <w:hideMark/>
          </w:tcPr>
          <w:p w14:paraId="721E4891" w14:textId="77777777" w:rsidR="004F64EF" w:rsidRPr="003003C0" w:rsidRDefault="004F64EF" w:rsidP="00FD6B66">
            <w:pPr>
              <w:jc w:val="right"/>
              <w:rPr>
                <w:rFonts w:cs="Calibri"/>
                <w:color w:val="000000"/>
                <w:sz w:val="14"/>
                <w:szCs w:val="14"/>
              </w:rPr>
            </w:pPr>
            <w:r w:rsidRPr="003003C0">
              <w:rPr>
                <w:rFonts w:cs="Calibri"/>
                <w:color w:val="000000"/>
                <w:sz w:val="14"/>
                <w:szCs w:val="14"/>
              </w:rPr>
              <w:t>0</w:t>
            </w:r>
            <w:r>
              <w:rPr>
                <w:rFonts w:cs="Calibri"/>
                <w:color w:val="000000"/>
                <w:sz w:val="14"/>
                <w:szCs w:val="14"/>
              </w:rPr>
              <w:t>.</w:t>
            </w:r>
            <w:r w:rsidRPr="003003C0">
              <w:rPr>
                <w:rFonts w:cs="Calibri"/>
                <w:color w:val="000000"/>
                <w:sz w:val="14"/>
                <w:szCs w:val="14"/>
              </w:rPr>
              <w:t>5</w:t>
            </w:r>
          </w:p>
        </w:tc>
        <w:tc>
          <w:tcPr>
            <w:tcW w:w="684" w:type="dxa"/>
            <w:noWrap/>
            <w:vAlign w:val="center"/>
            <w:hideMark/>
          </w:tcPr>
          <w:p w14:paraId="0ED2D16C" w14:textId="77777777" w:rsidR="004F64EF" w:rsidRPr="003003C0" w:rsidRDefault="004F64EF" w:rsidP="00FD6B66">
            <w:pPr>
              <w:jc w:val="right"/>
              <w:rPr>
                <w:rFonts w:cs="Calibri"/>
                <w:color w:val="000000"/>
                <w:sz w:val="14"/>
                <w:szCs w:val="14"/>
              </w:rPr>
            </w:pPr>
            <w:r w:rsidRPr="003003C0">
              <w:rPr>
                <w:rFonts w:cs="Calibri"/>
                <w:color w:val="000000"/>
                <w:sz w:val="14"/>
                <w:szCs w:val="14"/>
              </w:rPr>
              <w:t>1</w:t>
            </w:r>
            <w:r>
              <w:rPr>
                <w:rFonts w:cs="Calibri"/>
                <w:color w:val="000000"/>
                <w:sz w:val="14"/>
                <w:szCs w:val="14"/>
              </w:rPr>
              <w:t>.</w:t>
            </w:r>
            <w:r w:rsidRPr="003003C0">
              <w:rPr>
                <w:rFonts w:cs="Calibri"/>
                <w:color w:val="000000"/>
                <w:sz w:val="14"/>
                <w:szCs w:val="14"/>
              </w:rPr>
              <w:t>0</w:t>
            </w:r>
          </w:p>
        </w:tc>
        <w:tc>
          <w:tcPr>
            <w:tcW w:w="683" w:type="dxa"/>
            <w:noWrap/>
            <w:vAlign w:val="center"/>
            <w:hideMark/>
          </w:tcPr>
          <w:p w14:paraId="48B8E1B1" w14:textId="77777777" w:rsidR="004F64EF" w:rsidRPr="003003C0" w:rsidRDefault="004F64EF" w:rsidP="00FD6B66">
            <w:pPr>
              <w:jc w:val="right"/>
              <w:rPr>
                <w:rFonts w:cs="Calibri"/>
                <w:color w:val="000000"/>
                <w:sz w:val="14"/>
                <w:szCs w:val="14"/>
              </w:rPr>
            </w:pPr>
            <w:r w:rsidRPr="003003C0">
              <w:rPr>
                <w:rFonts w:cs="Calibri"/>
                <w:color w:val="000000"/>
                <w:sz w:val="14"/>
                <w:szCs w:val="14"/>
              </w:rPr>
              <w:t>1</w:t>
            </w:r>
            <w:r>
              <w:rPr>
                <w:rFonts w:cs="Calibri"/>
                <w:color w:val="000000"/>
                <w:sz w:val="14"/>
                <w:szCs w:val="14"/>
              </w:rPr>
              <w:t>.</w:t>
            </w:r>
            <w:r w:rsidRPr="003003C0">
              <w:rPr>
                <w:rFonts w:cs="Calibri"/>
                <w:color w:val="000000"/>
                <w:sz w:val="14"/>
                <w:szCs w:val="14"/>
              </w:rPr>
              <w:t>3</w:t>
            </w:r>
          </w:p>
        </w:tc>
        <w:tc>
          <w:tcPr>
            <w:tcW w:w="683" w:type="dxa"/>
            <w:noWrap/>
            <w:vAlign w:val="center"/>
            <w:hideMark/>
          </w:tcPr>
          <w:p w14:paraId="77B72BBF" w14:textId="77777777" w:rsidR="004F64EF" w:rsidRPr="003003C0" w:rsidRDefault="004F64EF" w:rsidP="00FD6B66">
            <w:pPr>
              <w:jc w:val="right"/>
              <w:rPr>
                <w:rFonts w:cs="Calibri"/>
                <w:color w:val="000000"/>
                <w:sz w:val="14"/>
                <w:szCs w:val="14"/>
              </w:rPr>
            </w:pPr>
            <w:r w:rsidRPr="003003C0">
              <w:rPr>
                <w:rFonts w:cs="Calibri"/>
                <w:color w:val="000000"/>
                <w:sz w:val="14"/>
                <w:szCs w:val="14"/>
              </w:rPr>
              <w:t>1</w:t>
            </w:r>
            <w:r>
              <w:rPr>
                <w:rFonts w:cs="Calibri"/>
                <w:color w:val="000000"/>
                <w:sz w:val="14"/>
                <w:szCs w:val="14"/>
              </w:rPr>
              <w:t>.</w:t>
            </w:r>
            <w:r w:rsidRPr="003003C0">
              <w:rPr>
                <w:rFonts w:cs="Calibri"/>
                <w:color w:val="000000"/>
                <w:sz w:val="14"/>
                <w:szCs w:val="14"/>
              </w:rPr>
              <w:t>4</w:t>
            </w:r>
          </w:p>
        </w:tc>
        <w:tc>
          <w:tcPr>
            <w:tcW w:w="684" w:type="dxa"/>
            <w:noWrap/>
            <w:vAlign w:val="center"/>
            <w:hideMark/>
          </w:tcPr>
          <w:p w14:paraId="49164688" w14:textId="77777777" w:rsidR="004F64EF" w:rsidRPr="003003C0" w:rsidRDefault="004F64EF" w:rsidP="00FD6B66">
            <w:pPr>
              <w:jc w:val="right"/>
              <w:rPr>
                <w:rFonts w:cs="Calibri"/>
                <w:color w:val="000000"/>
                <w:sz w:val="14"/>
                <w:szCs w:val="14"/>
              </w:rPr>
            </w:pPr>
            <w:r w:rsidRPr="003003C0">
              <w:rPr>
                <w:rFonts w:cs="Calibri"/>
                <w:color w:val="000000"/>
                <w:sz w:val="14"/>
                <w:szCs w:val="14"/>
              </w:rPr>
              <w:t>1</w:t>
            </w:r>
            <w:r>
              <w:rPr>
                <w:rFonts w:cs="Calibri"/>
                <w:color w:val="000000"/>
                <w:sz w:val="14"/>
                <w:szCs w:val="14"/>
              </w:rPr>
              <w:t>.</w:t>
            </w:r>
            <w:r w:rsidRPr="003003C0">
              <w:rPr>
                <w:rFonts w:cs="Calibri"/>
                <w:color w:val="000000"/>
                <w:sz w:val="14"/>
                <w:szCs w:val="14"/>
              </w:rPr>
              <w:t>7</w:t>
            </w:r>
          </w:p>
        </w:tc>
      </w:tr>
      <w:tr w:rsidR="004F64EF" w:rsidRPr="003003C0" w14:paraId="6907B30D" w14:textId="77777777" w:rsidTr="00FD6B66">
        <w:trPr>
          <w:trHeight w:val="20"/>
        </w:trPr>
        <w:tc>
          <w:tcPr>
            <w:tcW w:w="4246" w:type="dxa"/>
            <w:noWrap/>
            <w:vAlign w:val="center"/>
            <w:hideMark/>
          </w:tcPr>
          <w:p w14:paraId="7354E4B6" w14:textId="77777777" w:rsidR="004F64EF" w:rsidRPr="003003C0" w:rsidRDefault="004F64EF" w:rsidP="00FD6B66">
            <w:pPr>
              <w:tabs>
                <w:tab w:val="left" w:pos="227"/>
              </w:tabs>
              <w:jc w:val="left"/>
              <w:rPr>
                <w:rFonts w:cs="Calibri"/>
                <w:color w:val="000000"/>
                <w:sz w:val="14"/>
                <w:szCs w:val="14"/>
              </w:rPr>
            </w:pPr>
            <w:r w:rsidRPr="003003C0">
              <w:rPr>
                <w:rFonts w:cs="Calibri"/>
                <w:color w:val="000000"/>
                <w:sz w:val="14"/>
                <w:szCs w:val="14"/>
              </w:rPr>
              <w:tab/>
              <w:t xml:space="preserve">96. </w:t>
            </w:r>
            <w:r w:rsidRPr="008018C3">
              <w:rPr>
                <w:rFonts w:cs="Calibri"/>
                <w:color w:val="000000"/>
                <w:sz w:val="14"/>
                <w:szCs w:val="14"/>
              </w:rPr>
              <w:t>Miscellaneous manufactured articles</w:t>
            </w:r>
          </w:p>
        </w:tc>
        <w:tc>
          <w:tcPr>
            <w:tcW w:w="683" w:type="dxa"/>
            <w:noWrap/>
            <w:vAlign w:val="center"/>
            <w:hideMark/>
          </w:tcPr>
          <w:p w14:paraId="1AD70BF0" w14:textId="77777777" w:rsidR="004F64EF" w:rsidRPr="003003C0" w:rsidRDefault="004F64EF" w:rsidP="00FD6B66">
            <w:pPr>
              <w:jc w:val="right"/>
              <w:rPr>
                <w:rFonts w:cs="Calibri"/>
                <w:color w:val="000000"/>
                <w:sz w:val="14"/>
                <w:szCs w:val="14"/>
              </w:rPr>
            </w:pPr>
            <w:r w:rsidRPr="003003C0">
              <w:rPr>
                <w:rFonts w:cs="Calibri"/>
                <w:color w:val="000000"/>
                <w:sz w:val="14"/>
                <w:szCs w:val="14"/>
              </w:rPr>
              <w:t>0</w:t>
            </w:r>
            <w:r>
              <w:rPr>
                <w:rFonts w:cs="Calibri"/>
                <w:color w:val="000000"/>
                <w:sz w:val="14"/>
                <w:szCs w:val="14"/>
              </w:rPr>
              <w:t>.</w:t>
            </w:r>
            <w:r w:rsidRPr="003003C0">
              <w:rPr>
                <w:rFonts w:cs="Calibri"/>
                <w:color w:val="000000"/>
                <w:sz w:val="14"/>
                <w:szCs w:val="14"/>
              </w:rPr>
              <w:t>1</w:t>
            </w:r>
          </w:p>
        </w:tc>
        <w:tc>
          <w:tcPr>
            <w:tcW w:w="683" w:type="dxa"/>
            <w:noWrap/>
            <w:vAlign w:val="center"/>
            <w:hideMark/>
          </w:tcPr>
          <w:p w14:paraId="46F1A65E" w14:textId="77777777" w:rsidR="004F64EF" w:rsidRPr="003003C0" w:rsidRDefault="004F64EF" w:rsidP="00FD6B66">
            <w:pPr>
              <w:jc w:val="right"/>
              <w:rPr>
                <w:rFonts w:cs="Calibri"/>
                <w:color w:val="000000"/>
                <w:sz w:val="14"/>
                <w:szCs w:val="14"/>
              </w:rPr>
            </w:pPr>
            <w:r w:rsidRPr="003003C0">
              <w:rPr>
                <w:rFonts w:cs="Calibri"/>
                <w:color w:val="000000"/>
                <w:sz w:val="14"/>
                <w:szCs w:val="14"/>
              </w:rPr>
              <w:t>0</w:t>
            </w:r>
            <w:r>
              <w:rPr>
                <w:rFonts w:cs="Calibri"/>
                <w:color w:val="000000"/>
                <w:sz w:val="14"/>
                <w:szCs w:val="14"/>
              </w:rPr>
              <w:t>.</w:t>
            </w:r>
            <w:r w:rsidRPr="003003C0">
              <w:rPr>
                <w:rFonts w:cs="Calibri"/>
                <w:color w:val="000000"/>
                <w:sz w:val="14"/>
                <w:szCs w:val="14"/>
              </w:rPr>
              <w:t>1</w:t>
            </w:r>
          </w:p>
        </w:tc>
        <w:tc>
          <w:tcPr>
            <w:tcW w:w="683" w:type="dxa"/>
            <w:noWrap/>
            <w:vAlign w:val="center"/>
            <w:hideMark/>
          </w:tcPr>
          <w:p w14:paraId="3F88361F" w14:textId="77777777" w:rsidR="004F64EF" w:rsidRPr="003003C0" w:rsidRDefault="004F64EF" w:rsidP="00FD6B66">
            <w:pPr>
              <w:jc w:val="right"/>
              <w:rPr>
                <w:rFonts w:cs="Calibri"/>
                <w:color w:val="000000"/>
                <w:sz w:val="14"/>
                <w:szCs w:val="14"/>
              </w:rPr>
            </w:pPr>
            <w:r w:rsidRPr="003003C0">
              <w:rPr>
                <w:rFonts w:cs="Calibri"/>
                <w:color w:val="000000"/>
                <w:sz w:val="14"/>
                <w:szCs w:val="14"/>
              </w:rPr>
              <w:t>0</w:t>
            </w:r>
            <w:r>
              <w:rPr>
                <w:rFonts w:cs="Calibri"/>
                <w:color w:val="000000"/>
                <w:sz w:val="14"/>
                <w:szCs w:val="14"/>
              </w:rPr>
              <w:t>.</w:t>
            </w:r>
            <w:r w:rsidRPr="003003C0">
              <w:rPr>
                <w:rFonts w:cs="Calibri"/>
                <w:color w:val="000000"/>
                <w:sz w:val="14"/>
                <w:szCs w:val="14"/>
              </w:rPr>
              <w:t>1</w:t>
            </w:r>
          </w:p>
        </w:tc>
        <w:tc>
          <w:tcPr>
            <w:tcW w:w="684" w:type="dxa"/>
            <w:noWrap/>
            <w:vAlign w:val="center"/>
            <w:hideMark/>
          </w:tcPr>
          <w:p w14:paraId="67911229" w14:textId="77777777" w:rsidR="004F64EF" w:rsidRPr="003003C0" w:rsidRDefault="004F64EF" w:rsidP="00FD6B66">
            <w:pPr>
              <w:jc w:val="right"/>
              <w:rPr>
                <w:rFonts w:cs="Calibri"/>
                <w:color w:val="000000"/>
                <w:sz w:val="14"/>
                <w:szCs w:val="14"/>
              </w:rPr>
            </w:pPr>
            <w:r w:rsidRPr="003003C0">
              <w:rPr>
                <w:rFonts w:cs="Calibri"/>
                <w:color w:val="000000"/>
                <w:sz w:val="14"/>
                <w:szCs w:val="14"/>
              </w:rPr>
              <w:t>0</w:t>
            </w:r>
            <w:r>
              <w:rPr>
                <w:rFonts w:cs="Calibri"/>
                <w:color w:val="000000"/>
                <w:sz w:val="14"/>
                <w:szCs w:val="14"/>
              </w:rPr>
              <w:t>.</w:t>
            </w:r>
            <w:r w:rsidRPr="003003C0">
              <w:rPr>
                <w:rFonts w:cs="Calibri"/>
                <w:color w:val="000000"/>
                <w:sz w:val="14"/>
                <w:szCs w:val="14"/>
              </w:rPr>
              <w:t>6</w:t>
            </w:r>
          </w:p>
        </w:tc>
        <w:tc>
          <w:tcPr>
            <w:tcW w:w="683" w:type="dxa"/>
            <w:noWrap/>
            <w:vAlign w:val="center"/>
            <w:hideMark/>
          </w:tcPr>
          <w:p w14:paraId="43729300" w14:textId="77777777" w:rsidR="004F64EF" w:rsidRPr="003003C0" w:rsidRDefault="004F64EF" w:rsidP="00FD6B66">
            <w:pPr>
              <w:jc w:val="right"/>
              <w:rPr>
                <w:rFonts w:cs="Calibri"/>
                <w:color w:val="000000"/>
                <w:sz w:val="14"/>
                <w:szCs w:val="14"/>
              </w:rPr>
            </w:pPr>
            <w:r w:rsidRPr="003003C0">
              <w:rPr>
                <w:rFonts w:cs="Calibri"/>
                <w:color w:val="000000"/>
                <w:sz w:val="14"/>
                <w:szCs w:val="14"/>
              </w:rPr>
              <w:t>0</w:t>
            </w:r>
            <w:r>
              <w:rPr>
                <w:rFonts w:cs="Calibri"/>
                <w:color w:val="000000"/>
                <w:sz w:val="14"/>
                <w:szCs w:val="14"/>
              </w:rPr>
              <w:t>.</w:t>
            </w:r>
            <w:r w:rsidRPr="003003C0">
              <w:rPr>
                <w:rFonts w:cs="Calibri"/>
                <w:color w:val="000000"/>
                <w:sz w:val="14"/>
                <w:szCs w:val="14"/>
              </w:rPr>
              <w:t>9</w:t>
            </w:r>
          </w:p>
        </w:tc>
        <w:tc>
          <w:tcPr>
            <w:tcW w:w="683" w:type="dxa"/>
            <w:noWrap/>
            <w:vAlign w:val="center"/>
            <w:hideMark/>
          </w:tcPr>
          <w:p w14:paraId="1D7E3441" w14:textId="77777777" w:rsidR="004F64EF" w:rsidRPr="003003C0" w:rsidRDefault="004F64EF" w:rsidP="00FD6B66">
            <w:pPr>
              <w:jc w:val="right"/>
              <w:rPr>
                <w:rFonts w:cs="Calibri"/>
                <w:color w:val="000000"/>
                <w:sz w:val="14"/>
                <w:szCs w:val="14"/>
              </w:rPr>
            </w:pPr>
            <w:r w:rsidRPr="003003C0">
              <w:rPr>
                <w:rFonts w:cs="Calibri"/>
                <w:color w:val="000000"/>
                <w:sz w:val="14"/>
                <w:szCs w:val="14"/>
              </w:rPr>
              <w:t>1</w:t>
            </w:r>
            <w:r>
              <w:rPr>
                <w:rFonts w:cs="Calibri"/>
                <w:color w:val="000000"/>
                <w:sz w:val="14"/>
                <w:szCs w:val="14"/>
              </w:rPr>
              <w:t>.</w:t>
            </w:r>
            <w:r w:rsidRPr="003003C0">
              <w:rPr>
                <w:rFonts w:cs="Calibri"/>
                <w:color w:val="000000"/>
                <w:sz w:val="14"/>
                <w:szCs w:val="14"/>
              </w:rPr>
              <w:t>1</w:t>
            </w:r>
          </w:p>
        </w:tc>
        <w:tc>
          <w:tcPr>
            <w:tcW w:w="684" w:type="dxa"/>
            <w:noWrap/>
            <w:vAlign w:val="center"/>
            <w:hideMark/>
          </w:tcPr>
          <w:p w14:paraId="0DA75F82" w14:textId="77777777" w:rsidR="004F64EF" w:rsidRPr="003003C0" w:rsidRDefault="004F64EF" w:rsidP="00FD6B66">
            <w:pPr>
              <w:jc w:val="right"/>
              <w:rPr>
                <w:rFonts w:cs="Calibri"/>
                <w:color w:val="000000"/>
                <w:sz w:val="14"/>
                <w:szCs w:val="14"/>
              </w:rPr>
            </w:pPr>
            <w:r w:rsidRPr="003003C0">
              <w:rPr>
                <w:rFonts w:cs="Calibri"/>
                <w:color w:val="000000"/>
                <w:sz w:val="14"/>
                <w:szCs w:val="14"/>
              </w:rPr>
              <w:t>1</w:t>
            </w:r>
            <w:r>
              <w:rPr>
                <w:rFonts w:cs="Calibri"/>
                <w:color w:val="000000"/>
                <w:sz w:val="14"/>
                <w:szCs w:val="14"/>
              </w:rPr>
              <w:t>.</w:t>
            </w:r>
            <w:r w:rsidRPr="003003C0">
              <w:rPr>
                <w:rFonts w:cs="Calibri"/>
                <w:color w:val="000000"/>
                <w:sz w:val="14"/>
                <w:szCs w:val="14"/>
              </w:rPr>
              <w:t>3</w:t>
            </w:r>
          </w:p>
        </w:tc>
      </w:tr>
      <w:tr w:rsidR="004F64EF" w:rsidRPr="003003C0" w14:paraId="0B935A21" w14:textId="77777777" w:rsidTr="00FD6B66">
        <w:trPr>
          <w:cnfStyle w:val="000000010000" w:firstRow="0" w:lastRow="0" w:firstColumn="0" w:lastColumn="0" w:oddVBand="0" w:evenVBand="0" w:oddHBand="0" w:evenHBand="1" w:firstRowFirstColumn="0" w:firstRowLastColumn="0" w:lastRowFirstColumn="0" w:lastRowLastColumn="0"/>
          <w:trHeight w:val="20"/>
        </w:trPr>
        <w:tc>
          <w:tcPr>
            <w:tcW w:w="4246" w:type="dxa"/>
            <w:noWrap/>
            <w:vAlign w:val="center"/>
            <w:hideMark/>
          </w:tcPr>
          <w:p w14:paraId="676CD5BC" w14:textId="77777777" w:rsidR="004F64EF" w:rsidRPr="003003C0" w:rsidRDefault="004F64EF" w:rsidP="00FD6B66">
            <w:pPr>
              <w:jc w:val="left"/>
              <w:rPr>
                <w:rFonts w:cs="Calibri"/>
                <w:color w:val="000000"/>
                <w:sz w:val="14"/>
                <w:szCs w:val="14"/>
              </w:rPr>
            </w:pPr>
            <w:r w:rsidRPr="003003C0">
              <w:rPr>
                <w:rFonts w:cs="Calibri"/>
                <w:color w:val="000000"/>
                <w:sz w:val="14"/>
                <w:szCs w:val="14"/>
              </w:rPr>
              <w:t xml:space="preserve">21 - </w:t>
            </w:r>
            <w:r w:rsidRPr="008018C3">
              <w:rPr>
                <w:rFonts w:cs="Calibri"/>
                <w:color w:val="000000"/>
                <w:sz w:val="14"/>
                <w:szCs w:val="14"/>
              </w:rPr>
              <w:t>Works of art, collectors' pieces and antiques</w:t>
            </w:r>
          </w:p>
        </w:tc>
        <w:tc>
          <w:tcPr>
            <w:tcW w:w="683" w:type="dxa"/>
            <w:noWrap/>
            <w:vAlign w:val="center"/>
            <w:hideMark/>
          </w:tcPr>
          <w:p w14:paraId="5550693C" w14:textId="77777777" w:rsidR="004F64EF" w:rsidRPr="003003C0" w:rsidRDefault="004F64EF" w:rsidP="00FD6B66">
            <w:pPr>
              <w:jc w:val="right"/>
              <w:rPr>
                <w:rFonts w:cs="Calibri"/>
                <w:color w:val="000000"/>
                <w:sz w:val="14"/>
                <w:szCs w:val="14"/>
              </w:rPr>
            </w:pPr>
            <w:r w:rsidRPr="003003C0">
              <w:rPr>
                <w:rFonts w:cs="Calibri"/>
                <w:color w:val="000000"/>
                <w:sz w:val="14"/>
                <w:szCs w:val="14"/>
              </w:rPr>
              <w:t>0</w:t>
            </w:r>
            <w:r>
              <w:rPr>
                <w:rFonts w:cs="Calibri"/>
                <w:color w:val="000000"/>
                <w:sz w:val="14"/>
                <w:szCs w:val="14"/>
              </w:rPr>
              <w:t>.</w:t>
            </w:r>
            <w:r w:rsidRPr="003003C0">
              <w:rPr>
                <w:rFonts w:cs="Calibri"/>
                <w:color w:val="000000"/>
                <w:sz w:val="14"/>
                <w:szCs w:val="14"/>
              </w:rPr>
              <w:t>0</w:t>
            </w:r>
          </w:p>
        </w:tc>
        <w:tc>
          <w:tcPr>
            <w:tcW w:w="683" w:type="dxa"/>
            <w:noWrap/>
            <w:vAlign w:val="center"/>
            <w:hideMark/>
          </w:tcPr>
          <w:p w14:paraId="08E1F7C5" w14:textId="77777777" w:rsidR="004F64EF" w:rsidRPr="003003C0" w:rsidRDefault="004F64EF" w:rsidP="00FD6B66">
            <w:pPr>
              <w:jc w:val="right"/>
              <w:rPr>
                <w:rFonts w:cs="Calibri"/>
                <w:color w:val="000000"/>
                <w:sz w:val="14"/>
                <w:szCs w:val="14"/>
              </w:rPr>
            </w:pPr>
            <w:r w:rsidRPr="003003C0">
              <w:rPr>
                <w:rFonts w:cs="Calibri"/>
                <w:color w:val="000000"/>
                <w:sz w:val="14"/>
                <w:szCs w:val="14"/>
              </w:rPr>
              <w:t>0</w:t>
            </w:r>
            <w:r>
              <w:rPr>
                <w:rFonts w:cs="Calibri"/>
                <w:color w:val="000000"/>
                <w:sz w:val="14"/>
                <w:szCs w:val="14"/>
              </w:rPr>
              <w:t>.</w:t>
            </w:r>
            <w:r w:rsidRPr="003003C0">
              <w:rPr>
                <w:rFonts w:cs="Calibri"/>
                <w:color w:val="000000"/>
                <w:sz w:val="14"/>
                <w:szCs w:val="14"/>
              </w:rPr>
              <w:t>0</w:t>
            </w:r>
          </w:p>
        </w:tc>
        <w:tc>
          <w:tcPr>
            <w:tcW w:w="683" w:type="dxa"/>
            <w:noWrap/>
            <w:vAlign w:val="center"/>
            <w:hideMark/>
          </w:tcPr>
          <w:p w14:paraId="5FEAF34B" w14:textId="77777777" w:rsidR="004F64EF" w:rsidRPr="003003C0" w:rsidRDefault="004F64EF" w:rsidP="00FD6B66">
            <w:pPr>
              <w:jc w:val="right"/>
              <w:rPr>
                <w:rFonts w:cs="Calibri"/>
                <w:color w:val="000000"/>
                <w:sz w:val="14"/>
                <w:szCs w:val="14"/>
              </w:rPr>
            </w:pPr>
            <w:r w:rsidRPr="003003C0">
              <w:rPr>
                <w:rFonts w:cs="Calibri"/>
                <w:color w:val="000000"/>
                <w:sz w:val="14"/>
                <w:szCs w:val="14"/>
              </w:rPr>
              <w:t>0</w:t>
            </w:r>
            <w:r>
              <w:rPr>
                <w:rFonts w:cs="Calibri"/>
                <w:color w:val="000000"/>
                <w:sz w:val="14"/>
                <w:szCs w:val="14"/>
              </w:rPr>
              <w:t>.</w:t>
            </w:r>
            <w:r w:rsidRPr="003003C0">
              <w:rPr>
                <w:rFonts w:cs="Calibri"/>
                <w:color w:val="000000"/>
                <w:sz w:val="14"/>
                <w:szCs w:val="14"/>
              </w:rPr>
              <w:t>0</w:t>
            </w:r>
          </w:p>
        </w:tc>
        <w:tc>
          <w:tcPr>
            <w:tcW w:w="684" w:type="dxa"/>
            <w:noWrap/>
            <w:vAlign w:val="center"/>
            <w:hideMark/>
          </w:tcPr>
          <w:p w14:paraId="53845CF6" w14:textId="77777777" w:rsidR="004F64EF" w:rsidRPr="003003C0" w:rsidRDefault="004F64EF" w:rsidP="00FD6B66">
            <w:pPr>
              <w:jc w:val="right"/>
              <w:rPr>
                <w:rFonts w:cs="Calibri"/>
                <w:color w:val="000000"/>
                <w:sz w:val="14"/>
                <w:szCs w:val="14"/>
              </w:rPr>
            </w:pPr>
            <w:r w:rsidRPr="003003C0">
              <w:rPr>
                <w:rFonts w:cs="Calibri"/>
                <w:color w:val="000000"/>
                <w:sz w:val="14"/>
                <w:szCs w:val="14"/>
              </w:rPr>
              <w:t>0</w:t>
            </w:r>
            <w:r>
              <w:rPr>
                <w:rFonts w:cs="Calibri"/>
                <w:color w:val="000000"/>
                <w:sz w:val="14"/>
                <w:szCs w:val="14"/>
              </w:rPr>
              <w:t>.</w:t>
            </w:r>
            <w:r w:rsidRPr="003003C0">
              <w:rPr>
                <w:rFonts w:cs="Calibri"/>
                <w:color w:val="000000"/>
                <w:sz w:val="14"/>
                <w:szCs w:val="14"/>
              </w:rPr>
              <w:t>0</w:t>
            </w:r>
          </w:p>
        </w:tc>
        <w:tc>
          <w:tcPr>
            <w:tcW w:w="683" w:type="dxa"/>
            <w:noWrap/>
            <w:vAlign w:val="center"/>
            <w:hideMark/>
          </w:tcPr>
          <w:p w14:paraId="17EF259B" w14:textId="77777777" w:rsidR="004F64EF" w:rsidRPr="003003C0" w:rsidRDefault="004F64EF" w:rsidP="00FD6B66">
            <w:pPr>
              <w:jc w:val="right"/>
              <w:rPr>
                <w:rFonts w:cs="Calibri"/>
                <w:color w:val="000000"/>
                <w:sz w:val="14"/>
                <w:szCs w:val="14"/>
              </w:rPr>
            </w:pPr>
            <w:r w:rsidRPr="003003C0">
              <w:rPr>
                <w:rFonts w:cs="Calibri"/>
                <w:color w:val="000000"/>
                <w:sz w:val="14"/>
                <w:szCs w:val="14"/>
              </w:rPr>
              <w:t>0</w:t>
            </w:r>
            <w:r>
              <w:rPr>
                <w:rFonts w:cs="Calibri"/>
                <w:color w:val="000000"/>
                <w:sz w:val="14"/>
                <w:szCs w:val="14"/>
              </w:rPr>
              <w:t>.</w:t>
            </w:r>
            <w:r w:rsidRPr="003003C0">
              <w:rPr>
                <w:rFonts w:cs="Calibri"/>
                <w:color w:val="000000"/>
                <w:sz w:val="14"/>
                <w:szCs w:val="14"/>
              </w:rPr>
              <w:t>0</w:t>
            </w:r>
          </w:p>
        </w:tc>
        <w:tc>
          <w:tcPr>
            <w:tcW w:w="683" w:type="dxa"/>
            <w:noWrap/>
            <w:vAlign w:val="center"/>
            <w:hideMark/>
          </w:tcPr>
          <w:p w14:paraId="4C8275C9" w14:textId="77777777" w:rsidR="004F64EF" w:rsidRPr="003003C0" w:rsidRDefault="004F64EF" w:rsidP="00FD6B66">
            <w:pPr>
              <w:jc w:val="right"/>
              <w:rPr>
                <w:rFonts w:cs="Calibri"/>
                <w:color w:val="000000"/>
                <w:sz w:val="14"/>
                <w:szCs w:val="14"/>
              </w:rPr>
            </w:pPr>
            <w:r w:rsidRPr="003003C0">
              <w:rPr>
                <w:rFonts w:cs="Calibri"/>
                <w:color w:val="000000"/>
                <w:sz w:val="14"/>
                <w:szCs w:val="14"/>
              </w:rPr>
              <w:t>0</w:t>
            </w:r>
            <w:r>
              <w:rPr>
                <w:rFonts w:cs="Calibri"/>
                <w:color w:val="000000"/>
                <w:sz w:val="14"/>
                <w:szCs w:val="14"/>
              </w:rPr>
              <w:t>.</w:t>
            </w:r>
            <w:r w:rsidRPr="003003C0">
              <w:rPr>
                <w:rFonts w:cs="Calibri"/>
                <w:color w:val="000000"/>
                <w:sz w:val="14"/>
                <w:szCs w:val="14"/>
              </w:rPr>
              <w:t>0</w:t>
            </w:r>
          </w:p>
        </w:tc>
        <w:tc>
          <w:tcPr>
            <w:tcW w:w="684" w:type="dxa"/>
            <w:noWrap/>
            <w:vAlign w:val="center"/>
            <w:hideMark/>
          </w:tcPr>
          <w:p w14:paraId="43ED8EFD" w14:textId="77777777" w:rsidR="004F64EF" w:rsidRPr="003003C0" w:rsidRDefault="004F64EF" w:rsidP="00FD6B66">
            <w:pPr>
              <w:jc w:val="right"/>
              <w:rPr>
                <w:rFonts w:cs="Calibri"/>
                <w:color w:val="000000"/>
                <w:sz w:val="14"/>
                <w:szCs w:val="14"/>
              </w:rPr>
            </w:pPr>
            <w:r w:rsidRPr="003003C0">
              <w:rPr>
                <w:rFonts w:cs="Calibri"/>
                <w:color w:val="000000"/>
                <w:sz w:val="14"/>
                <w:szCs w:val="14"/>
              </w:rPr>
              <w:t>0</w:t>
            </w:r>
            <w:r>
              <w:rPr>
                <w:rFonts w:cs="Calibri"/>
                <w:color w:val="000000"/>
                <w:sz w:val="14"/>
                <w:szCs w:val="14"/>
              </w:rPr>
              <w:t>.</w:t>
            </w:r>
            <w:r w:rsidRPr="003003C0">
              <w:rPr>
                <w:rFonts w:cs="Calibri"/>
                <w:color w:val="000000"/>
                <w:sz w:val="14"/>
                <w:szCs w:val="14"/>
              </w:rPr>
              <w:t>0</w:t>
            </w:r>
          </w:p>
        </w:tc>
      </w:tr>
    </w:tbl>
    <w:p w14:paraId="2EF54BC7" w14:textId="77777777" w:rsidR="004F64EF" w:rsidRPr="003003C0" w:rsidRDefault="004F64EF" w:rsidP="00B91D96">
      <w:pPr>
        <w:pStyle w:val="NoteText"/>
        <w:spacing w:before="120" w:after="240"/>
      </w:pPr>
      <w:r w:rsidRPr="008018C3">
        <w:t>Source:</w:t>
      </w:r>
      <w:r w:rsidRPr="008018C3">
        <w:tab/>
        <w:t>WTO Secretariat calculations based on data from COMEX</w:t>
      </w:r>
      <w:r w:rsidRPr="003003C0">
        <w:t>.</w:t>
      </w:r>
    </w:p>
    <w:p w14:paraId="1368D615" w14:textId="77777777" w:rsidR="004F64EF" w:rsidRPr="003003C0" w:rsidRDefault="004F64EF" w:rsidP="00B91D96">
      <w:pPr>
        <w:pStyle w:val="NoteText"/>
      </w:pPr>
    </w:p>
    <w:p w14:paraId="37E98D5D" w14:textId="77777777" w:rsidR="004F64EF" w:rsidRPr="003003C0" w:rsidRDefault="004F64EF" w:rsidP="00B91D96">
      <w:r w:rsidRPr="003003C0">
        <w:br w:type="page"/>
      </w:r>
    </w:p>
    <w:p w14:paraId="15E1094C" w14:textId="77777777" w:rsidR="004F64EF" w:rsidRPr="003003C0" w:rsidRDefault="004F64EF" w:rsidP="00B91D96">
      <w:pPr>
        <w:pStyle w:val="Caption"/>
      </w:pPr>
      <w:bookmarkStart w:id="423" w:name="_Toc114735863"/>
      <w:bookmarkStart w:id="424" w:name="_Toc117004281"/>
      <w:r>
        <w:lastRenderedPageBreak/>
        <w:t>Table</w:t>
      </w:r>
      <w:r w:rsidRPr="003003C0">
        <w:t xml:space="preserve"> A1.</w:t>
      </w:r>
      <w:r w:rsidR="00BD37F2">
        <w:fldChar w:fldCharType="begin"/>
      </w:r>
      <w:r w:rsidR="00BD37F2">
        <w:instrText xml:space="preserve"> SEQ Table_A1. \* ARABIC </w:instrText>
      </w:r>
      <w:r w:rsidR="00BD37F2">
        <w:fldChar w:fldCharType="separate"/>
      </w:r>
      <w:r w:rsidRPr="003003C0">
        <w:rPr>
          <w:noProof/>
        </w:rPr>
        <w:t>3</w:t>
      </w:r>
      <w:r w:rsidR="00BD37F2">
        <w:rPr>
          <w:noProof/>
        </w:rPr>
        <w:fldChar w:fldCharType="end"/>
      </w:r>
      <w:r w:rsidRPr="003003C0">
        <w:t xml:space="preserve"> </w:t>
      </w:r>
      <w:r>
        <w:t xml:space="preserve">Total imports </w:t>
      </w:r>
      <w:r w:rsidRPr="003003C0">
        <w:t>(</w:t>
      </w:r>
      <w:r>
        <w:t>f.o.b.</w:t>
      </w:r>
      <w:r w:rsidRPr="003003C0">
        <w:t xml:space="preserve">) </w:t>
      </w:r>
      <w:r w:rsidRPr="002F4116">
        <w:t>by HS section and main HS chapter</w:t>
      </w:r>
      <w:r w:rsidRPr="003003C0">
        <w:t>, 2015-21</w:t>
      </w:r>
      <w:bookmarkEnd w:id="423"/>
      <w:bookmarkEnd w:id="424"/>
    </w:p>
    <w:p w14:paraId="752E5A49" w14:textId="77777777" w:rsidR="004F64EF" w:rsidRPr="003003C0" w:rsidRDefault="004F64EF" w:rsidP="00B91D96">
      <w:pPr>
        <w:pStyle w:val="NoteText"/>
      </w:pPr>
      <w:r w:rsidRPr="003003C0">
        <w:t xml:space="preserve">(USD </w:t>
      </w:r>
      <w:r>
        <w:t xml:space="preserve">million and </w:t>
      </w:r>
      <w:r w:rsidRPr="003003C0">
        <w:t>%)</w:t>
      </w:r>
    </w:p>
    <w:tbl>
      <w:tblPr>
        <w:tblStyle w:val="WTOTable1"/>
        <w:tblW w:w="0" w:type="auto"/>
        <w:tblLayout w:type="fixed"/>
        <w:tblLook w:val="04A0" w:firstRow="1" w:lastRow="0" w:firstColumn="1" w:lastColumn="0" w:noHBand="0" w:noVBand="1"/>
      </w:tblPr>
      <w:tblGrid>
        <w:gridCol w:w="3964"/>
        <w:gridCol w:w="721"/>
        <w:gridCol w:w="722"/>
        <w:gridCol w:w="722"/>
        <w:gridCol w:w="721"/>
        <w:gridCol w:w="722"/>
        <w:gridCol w:w="722"/>
        <w:gridCol w:w="722"/>
      </w:tblGrid>
      <w:tr w:rsidR="004F64EF" w:rsidRPr="003003C0" w14:paraId="1805613A" w14:textId="77777777" w:rsidTr="00FD6B66">
        <w:trPr>
          <w:cnfStyle w:val="100000000000" w:firstRow="1" w:lastRow="0" w:firstColumn="0" w:lastColumn="0" w:oddVBand="0" w:evenVBand="0" w:oddHBand="0" w:evenHBand="0" w:firstRowFirstColumn="0" w:firstRowLastColumn="0" w:lastRowFirstColumn="0" w:lastRowLastColumn="0"/>
          <w:trHeight w:val="20"/>
          <w:tblHeader/>
        </w:trPr>
        <w:tc>
          <w:tcPr>
            <w:tcW w:w="3964" w:type="dxa"/>
            <w:noWrap/>
            <w:vAlign w:val="center"/>
            <w:hideMark/>
          </w:tcPr>
          <w:p w14:paraId="0E4A8CC5" w14:textId="77777777" w:rsidR="004F64EF" w:rsidRPr="003003C0" w:rsidRDefault="004F64EF" w:rsidP="00FD6B66">
            <w:pPr>
              <w:jc w:val="left"/>
              <w:rPr>
                <w:rFonts w:eastAsia="Times New Roman" w:cs="Calibri"/>
                <w:color w:val="FFFFFF" w:themeColor="background1"/>
                <w:sz w:val="14"/>
                <w:szCs w:val="14"/>
                <w:lang w:eastAsia="en-GB"/>
              </w:rPr>
            </w:pPr>
            <w:r w:rsidRPr="003003C0">
              <w:rPr>
                <w:rFonts w:cs="Calibri"/>
                <w:color w:val="FFFFFF" w:themeColor="background1"/>
                <w:sz w:val="14"/>
                <w:szCs w:val="14"/>
              </w:rPr>
              <w:t>Descrip</w:t>
            </w:r>
            <w:r>
              <w:rPr>
                <w:rFonts w:cs="Calibri"/>
                <w:color w:val="FFFFFF" w:themeColor="background1"/>
                <w:sz w:val="14"/>
                <w:szCs w:val="14"/>
              </w:rPr>
              <w:t>tion</w:t>
            </w:r>
          </w:p>
        </w:tc>
        <w:tc>
          <w:tcPr>
            <w:tcW w:w="721" w:type="dxa"/>
            <w:noWrap/>
            <w:vAlign w:val="center"/>
            <w:hideMark/>
          </w:tcPr>
          <w:p w14:paraId="5D072AEB" w14:textId="77777777" w:rsidR="004F64EF" w:rsidRPr="003003C0" w:rsidRDefault="004F64EF" w:rsidP="00FD6B66">
            <w:pPr>
              <w:jc w:val="right"/>
              <w:rPr>
                <w:rFonts w:cs="Calibri"/>
                <w:color w:val="FFFFFF" w:themeColor="background1"/>
                <w:sz w:val="14"/>
                <w:szCs w:val="14"/>
              </w:rPr>
            </w:pPr>
            <w:r w:rsidRPr="003003C0">
              <w:rPr>
                <w:rFonts w:cs="Calibri"/>
                <w:color w:val="FFFFFF" w:themeColor="background1"/>
                <w:sz w:val="14"/>
                <w:szCs w:val="14"/>
              </w:rPr>
              <w:t>2015</w:t>
            </w:r>
          </w:p>
        </w:tc>
        <w:tc>
          <w:tcPr>
            <w:tcW w:w="722" w:type="dxa"/>
            <w:noWrap/>
            <w:vAlign w:val="center"/>
            <w:hideMark/>
          </w:tcPr>
          <w:p w14:paraId="770672E7" w14:textId="77777777" w:rsidR="004F64EF" w:rsidRPr="003003C0" w:rsidRDefault="004F64EF" w:rsidP="00FD6B66">
            <w:pPr>
              <w:jc w:val="right"/>
              <w:rPr>
                <w:rFonts w:cs="Calibri"/>
                <w:color w:val="FFFFFF" w:themeColor="background1"/>
                <w:sz w:val="14"/>
                <w:szCs w:val="14"/>
              </w:rPr>
            </w:pPr>
            <w:r w:rsidRPr="003003C0">
              <w:rPr>
                <w:rFonts w:cs="Calibri"/>
                <w:color w:val="FFFFFF" w:themeColor="background1"/>
                <w:sz w:val="14"/>
                <w:szCs w:val="14"/>
              </w:rPr>
              <w:t>2016</w:t>
            </w:r>
          </w:p>
        </w:tc>
        <w:tc>
          <w:tcPr>
            <w:tcW w:w="722" w:type="dxa"/>
            <w:noWrap/>
            <w:vAlign w:val="center"/>
            <w:hideMark/>
          </w:tcPr>
          <w:p w14:paraId="4D72F995" w14:textId="77777777" w:rsidR="004F64EF" w:rsidRPr="003003C0" w:rsidRDefault="004F64EF" w:rsidP="00FD6B66">
            <w:pPr>
              <w:jc w:val="right"/>
              <w:rPr>
                <w:rFonts w:cs="Calibri"/>
                <w:color w:val="FFFFFF" w:themeColor="background1"/>
                <w:sz w:val="14"/>
                <w:szCs w:val="14"/>
              </w:rPr>
            </w:pPr>
            <w:r w:rsidRPr="003003C0">
              <w:rPr>
                <w:rFonts w:cs="Calibri"/>
                <w:color w:val="FFFFFF" w:themeColor="background1"/>
                <w:sz w:val="14"/>
                <w:szCs w:val="14"/>
              </w:rPr>
              <w:t>2017</w:t>
            </w:r>
          </w:p>
        </w:tc>
        <w:tc>
          <w:tcPr>
            <w:tcW w:w="721" w:type="dxa"/>
            <w:noWrap/>
            <w:vAlign w:val="center"/>
            <w:hideMark/>
          </w:tcPr>
          <w:p w14:paraId="4EDDB819" w14:textId="77777777" w:rsidR="004F64EF" w:rsidRPr="003003C0" w:rsidRDefault="004F64EF" w:rsidP="00FD6B66">
            <w:pPr>
              <w:jc w:val="right"/>
              <w:rPr>
                <w:rFonts w:cs="Calibri"/>
                <w:color w:val="FFFFFF" w:themeColor="background1"/>
                <w:sz w:val="14"/>
                <w:szCs w:val="14"/>
              </w:rPr>
            </w:pPr>
            <w:r w:rsidRPr="003003C0">
              <w:rPr>
                <w:rFonts w:cs="Calibri"/>
                <w:color w:val="FFFFFF" w:themeColor="background1"/>
                <w:sz w:val="14"/>
                <w:szCs w:val="14"/>
              </w:rPr>
              <w:t>2018</w:t>
            </w:r>
          </w:p>
        </w:tc>
        <w:tc>
          <w:tcPr>
            <w:tcW w:w="722" w:type="dxa"/>
            <w:noWrap/>
            <w:vAlign w:val="center"/>
            <w:hideMark/>
          </w:tcPr>
          <w:p w14:paraId="2AEC714C" w14:textId="77777777" w:rsidR="004F64EF" w:rsidRPr="003003C0" w:rsidRDefault="004F64EF" w:rsidP="00FD6B66">
            <w:pPr>
              <w:jc w:val="right"/>
              <w:rPr>
                <w:rFonts w:cs="Calibri"/>
                <w:color w:val="FFFFFF" w:themeColor="background1"/>
                <w:sz w:val="14"/>
                <w:szCs w:val="14"/>
              </w:rPr>
            </w:pPr>
            <w:r w:rsidRPr="003003C0">
              <w:rPr>
                <w:rFonts w:cs="Calibri"/>
                <w:color w:val="FFFFFF" w:themeColor="background1"/>
                <w:sz w:val="14"/>
                <w:szCs w:val="14"/>
              </w:rPr>
              <w:t>2019</w:t>
            </w:r>
          </w:p>
        </w:tc>
        <w:tc>
          <w:tcPr>
            <w:tcW w:w="722" w:type="dxa"/>
            <w:noWrap/>
            <w:vAlign w:val="center"/>
            <w:hideMark/>
          </w:tcPr>
          <w:p w14:paraId="4BC33EC2" w14:textId="77777777" w:rsidR="004F64EF" w:rsidRPr="003003C0" w:rsidRDefault="004F64EF" w:rsidP="00FD6B66">
            <w:pPr>
              <w:jc w:val="right"/>
              <w:rPr>
                <w:rFonts w:cs="Calibri"/>
                <w:color w:val="FFFFFF" w:themeColor="background1"/>
                <w:sz w:val="14"/>
                <w:szCs w:val="14"/>
              </w:rPr>
            </w:pPr>
            <w:r w:rsidRPr="003003C0">
              <w:rPr>
                <w:rFonts w:cs="Calibri"/>
                <w:color w:val="FFFFFF" w:themeColor="background1"/>
                <w:sz w:val="14"/>
                <w:szCs w:val="14"/>
              </w:rPr>
              <w:t>2020</w:t>
            </w:r>
          </w:p>
        </w:tc>
        <w:tc>
          <w:tcPr>
            <w:tcW w:w="722" w:type="dxa"/>
            <w:noWrap/>
            <w:vAlign w:val="center"/>
            <w:hideMark/>
          </w:tcPr>
          <w:p w14:paraId="1C4B83A0" w14:textId="77777777" w:rsidR="004F64EF" w:rsidRPr="003003C0" w:rsidRDefault="004F64EF" w:rsidP="00FD6B66">
            <w:pPr>
              <w:jc w:val="right"/>
              <w:rPr>
                <w:rFonts w:cs="Calibri"/>
                <w:color w:val="FFFFFF" w:themeColor="background1"/>
                <w:sz w:val="14"/>
                <w:szCs w:val="14"/>
              </w:rPr>
            </w:pPr>
            <w:r w:rsidRPr="003003C0">
              <w:rPr>
                <w:rFonts w:cs="Calibri"/>
                <w:color w:val="FFFFFF" w:themeColor="background1"/>
                <w:sz w:val="14"/>
                <w:szCs w:val="14"/>
              </w:rPr>
              <w:t>2021</w:t>
            </w:r>
          </w:p>
        </w:tc>
      </w:tr>
      <w:tr w:rsidR="004F64EF" w:rsidRPr="003003C0" w14:paraId="3B85618E" w14:textId="77777777" w:rsidTr="00FD6B66">
        <w:trPr>
          <w:trHeight w:val="20"/>
        </w:trPr>
        <w:tc>
          <w:tcPr>
            <w:tcW w:w="3964" w:type="dxa"/>
            <w:noWrap/>
            <w:vAlign w:val="center"/>
            <w:hideMark/>
          </w:tcPr>
          <w:p w14:paraId="216FA838" w14:textId="77777777" w:rsidR="004F64EF" w:rsidRPr="003003C0" w:rsidRDefault="004F64EF" w:rsidP="00FD6B66">
            <w:pPr>
              <w:jc w:val="left"/>
              <w:rPr>
                <w:rFonts w:cs="Calibri"/>
                <w:color w:val="000000"/>
                <w:sz w:val="14"/>
                <w:szCs w:val="14"/>
              </w:rPr>
            </w:pPr>
            <w:r>
              <w:rPr>
                <w:rFonts w:cs="Calibri"/>
                <w:color w:val="000000"/>
                <w:sz w:val="14"/>
                <w:szCs w:val="14"/>
              </w:rPr>
              <w:t>Total imports</w:t>
            </w:r>
            <w:r w:rsidRPr="003003C0">
              <w:rPr>
                <w:rFonts w:cs="Calibri"/>
                <w:color w:val="000000"/>
                <w:sz w:val="14"/>
                <w:szCs w:val="14"/>
              </w:rPr>
              <w:t xml:space="preserve"> (</w:t>
            </w:r>
            <w:r>
              <w:rPr>
                <w:rFonts w:cs="Calibri"/>
                <w:color w:val="000000"/>
                <w:sz w:val="14"/>
                <w:szCs w:val="14"/>
              </w:rPr>
              <w:t xml:space="preserve">f.o.b., USD </w:t>
            </w:r>
            <w:r w:rsidRPr="003003C0">
              <w:rPr>
                <w:rFonts w:cs="Calibri"/>
                <w:color w:val="000000"/>
                <w:sz w:val="14"/>
                <w:szCs w:val="14"/>
              </w:rPr>
              <w:t>mil</w:t>
            </w:r>
            <w:r>
              <w:rPr>
                <w:rFonts w:cs="Calibri"/>
                <w:color w:val="000000"/>
                <w:sz w:val="14"/>
                <w:szCs w:val="14"/>
              </w:rPr>
              <w:t>lion</w:t>
            </w:r>
            <w:r w:rsidRPr="003003C0">
              <w:rPr>
                <w:rFonts w:cs="Calibri"/>
                <w:color w:val="000000"/>
                <w:sz w:val="14"/>
                <w:szCs w:val="14"/>
              </w:rPr>
              <w:t>)</w:t>
            </w:r>
          </w:p>
        </w:tc>
        <w:tc>
          <w:tcPr>
            <w:tcW w:w="721" w:type="dxa"/>
            <w:noWrap/>
            <w:vAlign w:val="center"/>
            <w:hideMark/>
          </w:tcPr>
          <w:p w14:paraId="53951E05" w14:textId="77777777" w:rsidR="004F64EF" w:rsidRPr="003003C0" w:rsidRDefault="004F64EF" w:rsidP="00FD6B66">
            <w:pPr>
              <w:ind w:left="-57"/>
              <w:jc w:val="right"/>
              <w:rPr>
                <w:rFonts w:cs="Calibri"/>
                <w:color w:val="000000"/>
                <w:sz w:val="14"/>
                <w:szCs w:val="14"/>
              </w:rPr>
            </w:pPr>
            <w:r w:rsidRPr="003003C0">
              <w:rPr>
                <w:rFonts w:cs="Calibri"/>
                <w:color w:val="000000"/>
                <w:sz w:val="14"/>
                <w:szCs w:val="14"/>
              </w:rPr>
              <w:t>17</w:t>
            </w:r>
            <w:r>
              <w:rPr>
                <w:rFonts w:cs="Calibri"/>
                <w:color w:val="000000"/>
                <w:sz w:val="14"/>
                <w:szCs w:val="14"/>
              </w:rPr>
              <w:t>,</w:t>
            </w:r>
            <w:r w:rsidRPr="003003C0">
              <w:rPr>
                <w:rFonts w:cs="Calibri"/>
                <w:color w:val="000000"/>
                <w:sz w:val="14"/>
                <w:szCs w:val="14"/>
              </w:rPr>
              <w:t>102</w:t>
            </w:r>
          </w:p>
        </w:tc>
        <w:tc>
          <w:tcPr>
            <w:tcW w:w="722" w:type="dxa"/>
            <w:noWrap/>
            <w:vAlign w:val="center"/>
            <w:hideMark/>
          </w:tcPr>
          <w:p w14:paraId="1AAD9011" w14:textId="77777777" w:rsidR="004F64EF" w:rsidRPr="003003C0" w:rsidRDefault="004F64EF" w:rsidP="00FD6B66">
            <w:pPr>
              <w:ind w:left="-57"/>
              <w:jc w:val="right"/>
              <w:rPr>
                <w:rFonts w:cs="Calibri"/>
                <w:color w:val="000000"/>
                <w:sz w:val="14"/>
                <w:szCs w:val="14"/>
              </w:rPr>
            </w:pPr>
            <w:r w:rsidRPr="003003C0">
              <w:rPr>
                <w:rFonts w:cs="Calibri"/>
                <w:color w:val="000000"/>
                <w:sz w:val="14"/>
                <w:szCs w:val="14"/>
              </w:rPr>
              <w:t>17</w:t>
            </w:r>
            <w:r>
              <w:rPr>
                <w:rFonts w:cs="Calibri"/>
                <w:color w:val="000000"/>
                <w:sz w:val="14"/>
                <w:szCs w:val="14"/>
              </w:rPr>
              <w:t>,</w:t>
            </w:r>
            <w:r w:rsidRPr="003003C0">
              <w:rPr>
                <w:rFonts w:cs="Calibri"/>
                <w:color w:val="000000"/>
                <w:sz w:val="14"/>
                <w:szCs w:val="14"/>
              </w:rPr>
              <w:t>816</w:t>
            </w:r>
          </w:p>
        </w:tc>
        <w:tc>
          <w:tcPr>
            <w:tcW w:w="722" w:type="dxa"/>
            <w:noWrap/>
            <w:vAlign w:val="center"/>
            <w:hideMark/>
          </w:tcPr>
          <w:p w14:paraId="0F7CA562" w14:textId="77777777" w:rsidR="004F64EF" w:rsidRPr="003003C0" w:rsidRDefault="004F64EF" w:rsidP="00FD6B66">
            <w:pPr>
              <w:ind w:left="-57"/>
              <w:jc w:val="right"/>
              <w:rPr>
                <w:rFonts w:cs="Calibri"/>
                <w:color w:val="000000"/>
                <w:sz w:val="14"/>
                <w:szCs w:val="14"/>
              </w:rPr>
            </w:pPr>
            <w:r w:rsidRPr="003003C0">
              <w:rPr>
                <w:rFonts w:cs="Calibri"/>
                <w:color w:val="000000"/>
                <w:sz w:val="14"/>
                <w:szCs w:val="14"/>
              </w:rPr>
              <w:t>18</w:t>
            </w:r>
            <w:r>
              <w:rPr>
                <w:rFonts w:cs="Calibri"/>
                <w:color w:val="000000"/>
                <w:sz w:val="14"/>
                <w:szCs w:val="14"/>
              </w:rPr>
              <w:t>,</w:t>
            </w:r>
            <w:r w:rsidRPr="003003C0">
              <w:rPr>
                <w:rFonts w:cs="Calibri"/>
                <w:color w:val="000000"/>
                <w:sz w:val="14"/>
                <w:szCs w:val="14"/>
              </w:rPr>
              <w:t>120</w:t>
            </w:r>
          </w:p>
        </w:tc>
        <w:tc>
          <w:tcPr>
            <w:tcW w:w="721" w:type="dxa"/>
            <w:noWrap/>
            <w:vAlign w:val="center"/>
            <w:hideMark/>
          </w:tcPr>
          <w:p w14:paraId="3BE165D6" w14:textId="77777777" w:rsidR="004F64EF" w:rsidRPr="003003C0" w:rsidRDefault="004F64EF" w:rsidP="00FD6B66">
            <w:pPr>
              <w:ind w:left="-57"/>
              <w:jc w:val="right"/>
              <w:rPr>
                <w:rFonts w:cs="Calibri"/>
                <w:color w:val="000000"/>
                <w:sz w:val="14"/>
                <w:szCs w:val="14"/>
              </w:rPr>
            </w:pPr>
            <w:r w:rsidRPr="003003C0">
              <w:rPr>
                <w:rFonts w:cs="Calibri"/>
                <w:color w:val="000000"/>
                <w:sz w:val="14"/>
                <w:szCs w:val="14"/>
              </w:rPr>
              <w:t>20</w:t>
            </w:r>
            <w:r>
              <w:rPr>
                <w:rFonts w:cs="Calibri"/>
                <w:color w:val="000000"/>
                <w:sz w:val="14"/>
                <w:szCs w:val="14"/>
              </w:rPr>
              <w:t>,</w:t>
            </w:r>
            <w:r w:rsidRPr="003003C0">
              <w:rPr>
                <w:rFonts w:cs="Calibri"/>
                <w:color w:val="000000"/>
                <w:sz w:val="14"/>
                <w:szCs w:val="14"/>
              </w:rPr>
              <w:t>356</w:t>
            </w:r>
          </w:p>
        </w:tc>
        <w:tc>
          <w:tcPr>
            <w:tcW w:w="722" w:type="dxa"/>
            <w:noWrap/>
            <w:vAlign w:val="center"/>
            <w:hideMark/>
          </w:tcPr>
          <w:p w14:paraId="510C9649" w14:textId="77777777" w:rsidR="004F64EF" w:rsidRPr="003003C0" w:rsidRDefault="004F64EF" w:rsidP="00FD6B66">
            <w:pPr>
              <w:ind w:left="-57"/>
              <w:jc w:val="right"/>
              <w:rPr>
                <w:rFonts w:cs="Calibri"/>
                <w:color w:val="000000"/>
                <w:sz w:val="14"/>
                <w:szCs w:val="14"/>
              </w:rPr>
            </w:pPr>
            <w:r w:rsidRPr="003003C0">
              <w:rPr>
                <w:rFonts w:cs="Calibri"/>
                <w:color w:val="000000"/>
                <w:sz w:val="14"/>
                <w:szCs w:val="14"/>
              </w:rPr>
              <w:t>20</w:t>
            </w:r>
            <w:r>
              <w:rPr>
                <w:rFonts w:cs="Calibri"/>
                <w:color w:val="000000"/>
                <w:sz w:val="14"/>
                <w:szCs w:val="14"/>
              </w:rPr>
              <w:t>,</w:t>
            </w:r>
            <w:r w:rsidRPr="003003C0">
              <w:rPr>
                <w:rFonts w:cs="Calibri"/>
                <w:color w:val="000000"/>
                <w:sz w:val="14"/>
                <w:szCs w:val="14"/>
              </w:rPr>
              <w:t>415</w:t>
            </w:r>
          </w:p>
        </w:tc>
        <w:tc>
          <w:tcPr>
            <w:tcW w:w="722" w:type="dxa"/>
            <w:noWrap/>
            <w:vAlign w:val="center"/>
            <w:hideMark/>
          </w:tcPr>
          <w:p w14:paraId="6AEE5CA9" w14:textId="77777777" w:rsidR="004F64EF" w:rsidRPr="003003C0" w:rsidRDefault="004F64EF" w:rsidP="00FD6B66">
            <w:pPr>
              <w:ind w:left="-57"/>
              <w:jc w:val="right"/>
              <w:rPr>
                <w:rFonts w:cs="Calibri"/>
                <w:color w:val="000000"/>
                <w:sz w:val="14"/>
                <w:szCs w:val="14"/>
              </w:rPr>
            </w:pPr>
            <w:r w:rsidRPr="003003C0">
              <w:rPr>
                <w:rFonts w:cs="Calibri"/>
                <w:color w:val="000000"/>
                <w:sz w:val="14"/>
                <w:szCs w:val="14"/>
              </w:rPr>
              <w:t>17</w:t>
            </w:r>
            <w:r>
              <w:rPr>
                <w:rFonts w:cs="Calibri"/>
                <w:color w:val="000000"/>
                <w:sz w:val="14"/>
                <w:szCs w:val="14"/>
              </w:rPr>
              <w:t>,</w:t>
            </w:r>
            <w:r w:rsidRPr="003003C0">
              <w:rPr>
                <w:rFonts w:cs="Calibri"/>
                <w:color w:val="000000"/>
                <w:sz w:val="14"/>
                <w:szCs w:val="14"/>
              </w:rPr>
              <w:t>118</w:t>
            </w:r>
          </w:p>
        </w:tc>
        <w:tc>
          <w:tcPr>
            <w:tcW w:w="722" w:type="dxa"/>
            <w:noWrap/>
            <w:vAlign w:val="center"/>
            <w:hideMark/>
          </w:tcPr>
          <w:p w14:paraId="5565C00C" w14:textId="77777777" w:rsidR="004F64EF" w:rsidRPr="003003C0" w:rsidRDefault="004F64EF" w:rsidP="00FD6B66">
            <w:pPr>
              <w:ind w:left="-57"/>
              <w:jc w:val="right"/>
              <w:rPr>
                <w:rFonts w:cs="Calibri"/>
                <w:color w:val="000000"/>
                <w:sz w:val="14"/>
                <w:szCs w:val="14"/>
              </w:rPr>
            </w:pPr>
            <w:r w:rsidRPr="003003C0">
              <w:rPr>
                <w:rFonts w:cs="Calibri"/>
                <w:color w:val="000000"/>
                <w:sz w:val="14"/>
                <w:szCs w:val="14"/>
              </w:rPr>
              <w:t>24</w:t>
            </w:r>
            <w:r>
              <w:rPr>
                <w:rFonts w:cs="Calibri"/>
                <w:color w:val="000000"/>
                <w:sz w:val="14"/>
                <w:szCs w:val="14"/>
              </w:rPr>
              <w:t>,</w:t>
            </w:r>
            <w:r w:rsidRPr="003003C0">
              <w:rPr>
                <w:rFonts w:cs="Calibri"/>
                <w:color w:val="000000"/>
                <w:sz w:val="14"/>
                <w:szCs w:val="14"/>
              </w:rPr>
              <w:t>487</w:t>
            </w:r>
          </w:p>
        </w:tc>
      </w:tr>
      <w:tr w:rsidR="004F64EF" w:rsidRPr="003003C0" w14:paraId="2924FE2E" w14:textId="77777777" w:rsidTr="00FD6B66">
        <w:trPr>
          <w:cnfStyle w:val="000000010000" w:firstRow="0" w:lastRow="0" w:firstColumn="0" w:lastColumn="0" w:oddVBand="0" w:evenVBand="0" w:oddHBand="0" w:evenHBand="1" w:firstRowFirstColumn="0" w:firstRowLastColumn="0" w:lastRowFirstColumn="0" w:lastRowLastColumn="0"/>
          <w:trHeight w:val="20"/>
        </w:trPr>
        <w:tc>
          <w:tcPr>
            <w:tcW w:w="3964" w:type="dxa"/>
            <w:noWrap/>
            <w:vAlign w:val="center"/>
            <w:hideMark/>
          </w:tcPr>
          <w:p w14:paraId="06FC4C39" w14:textId="77777777" w:rsidR="004F64EF" w:rsidRPr="003003C0" w:rsidRDefault="004F64EF" w:rsidP="00FD6B66">
            <w:pPr>
              <w:tabs>
                <w:tab w:val="left" w:pos="227"/>
              </w:tabs>
              <w:jc w:val="left"/>
              <w:rPr>
                <w:rFonts w:cs="Calibri"/>
                <w:color w:val="000000"/>
                <w:sz w:val="14"/>
                <w:szCs w:val="14"/>
              </w:rPr>
            </w:pPr>
            <w:r w:rsidRPr="003003C0">
              <w:rPr>
                <w:rFonts w:cs="Calibri"/>
                <w:color w:val="000000"/>
                <w:sz w:val="14"/>
                <w:szCs w:val="14"/>
              </w:rPr>
              <w:tab/>
            </w:r>
            <w:r>
              <w:rPr>
                <w:rFonts w:cs="Calibri"/>
                <w:color w:val="000000"/>
                <w:sz w:val="14"/>
                <w:szCs w:val="14"/>
              </w:rPr>
              <w:t>consumer goods</w:t>
            </w:r>
            <w:r w:rsidRPr="003003C0">
              <w:rPr>
                <w:rFonts w:cs="Calibri"/>
                <w:color w:val="000000"/>
                <w:sz w:val="14"/>
                <w:szCs w:val="14"/>
              </w:rPr>
              <w:t>, ot</w:t>
            </w:r>
            <w:r>
              <w:rPr>
                <w:rFonts w:cs="Calibri"/>
                <w:color w:val="000000"/>
                <w:sz w:val="14"/>
                <w:szCs w:val="14"/>
              </w:rPr>
              <w:t>her</w:t>
            </w:r>
            <w:r w:rsidRPr="003003C0">
              <w:rPr>
                <w:rFonts w:cs="Calibri"/>
                <w:color w:val="000000"/>
                <w:sz w:val="14"/>
                <w:szCs w:val="14"/>
              </w:rPr>
              <w:t xml:space="preserve"> (% </w:t>
            </w:r>
            <w:r>
              <w:rPr>
                <w:rFonts w:cs="Calibri"/>
                <w:color w:val="000000"/>
                <w:sz w:val="14"/>
                <w:szCs w:val="14"/>
              </w:rPr>
              <w:t>of total imports</w:t>
            </w:r>
            <w:r w:rsidRPr="003003C0">
              <w:rPr>
                <w:rFonts w:cs="Calibri"/>
                <w:color w:val="000000"/>
                <w:sz w:val="14"/>
                <w:szCs w:val="14"/>
              </w:rPr>
              <w:t>)</w:t>
            </w:r>
          </w:p>
        </w:tc>
        <w:tc>
          <w:tcPr>
            <w:tcW w:w="721" w:type="dxa"/>
            <w:noWrap/>
            <w:vAlign w:val="center"/>
            <w:hideMark/>
          </w:tcPr>
          <w:p w14:paraId="1804CCB3" w14:textId="77777777" w:rsidR="004F64EF" w:rsidRPr="003003C0" w:rsidRDefault="004F64EF" w:rsidP="00FD6B66">
            <w:pPr>
              <w:jc w:val="right"/>
              <w:rPr>
                <w:rFonts w:cs="Calibri"/>
                <w:color w:val="000000"/>
                <w:sz w:val="14"/>
                <w:szCs w:val="14"/>
              </w:rPr>
            </w:pPr>
            <w:r w:rsidRPr="003003C0">
              <w:rPr>
                <w:rFonts w:cs="Calibri"/>
                <w:color w:val="000000"/>
                <w:sz w:val="14"/>
                <w:szCs w:val="14"/>
              </w:rPr>
              <w:t>78</w:t>
            </w:r>
            <w:r>
              <w:rPr>
                <w:rFonts w:cs="Calibri"/>
                <w:color w:val="000000"/>
                <w:sz w:val="14"/>
                <w:szCs w:val="14"/>
              </w:rPr>
              <w:t>.</w:t>
            </w:r>
            <w:r w:rsidRPr="003003C0">
              <w:rPr>
                <w:rFonts w:cs="Calibri"/>
                <w:color w:val="000000"/>
                <w:sz w:val="14"/>
                <w:szCs w:val="14"/>
              </w:rPr>
              <w:t>5</w:t>
            </w:r>
          </w:p>
        </w:tc>
        <w:tc>
          <w:tcPr>
            <w:tcW w:w="722" w:type="dxa"/>
            <w:noWrap/>
            <w:vAlign w:val="center"/>
            <w:hideMark/>
          </w:tcPr>
          <w:p w14:paraId="0B2DA607" w14:textId="77777777" w:rsidR="004F64EF" w:rsidRPr="003003C0" w:rsidRDefault="004F64EF" w:rsidP="00FD6B66">
            <w:pPr>
              <w:jc w:val="right"/>
              <w:rPr>
                <w:rFonts w:cs="Calibri"/>
                <w:color w:val="000000"/>
                <w:sz w:val="14"/>
                <w:szCs w:val="14"/>
              </w:rPr>
            </w:pPr>
            <w:r w:rsidRPr="003003C0">
              <w:rPr>
                <w:rFonts w:cs="Calibri"/>
                <w:color w:val="000000"/>
                <w:sz w:val="14"/>
                <w:szCs w:val="14"/>
              </w:rPr>
              <w:t>79</w:t>
            </w:r>
            <w:r>
              <w:rPr>
                <w:rFonts w:cs="Calibri"/>
                <w:color w:val="000000"/>
                <w:sz w:val="14"/>
                <w:szCs w:val="14"/>
              </w:rPr>
              <w:t>.</w:t>
            </w:r>
            <w:r w:rsidRPr="003003C0">
              <w:rPr>
                <w:rFonts w:cs="Calibri"/>
                <w:color w:val="000000"/>
                <w:sz w:val="14"/>
                <w:szCs w:val="14"/>
              </w:rPr>
              <w:t>0</w:t>
            </w:r>
          </w:p>
        </w:tc>
        <w:tc>
          <w:tcPr>
            <w:tcW w:w="722" w:type="dxa"/>
            <w:noWrap/>
            <w:vAlign w:val="center"/>
            <w:hideMark/>
          </w:tcPr>
          <w:p w14:paraId="71471A74" w14:textId="77777777" w:rsidR="004F64EF" w:rsidRPr="003003C0" w:rsidRDefault="004F64EF" w:rsidP="00FD6B66">
            <w:pPr>
              <w:jc w:val="right"/>
              <w:rPr>
                <w:rFonts w:cs="Calibri"/>
                <w:color w:val="000000"/>
                <w:sz w:val="14"/>
                <w:szCs w:val="14"/>
              </w:rPr>
            </w:pPr>
            <w:r w:rsidRPr="003003C0">
              <w:rPr>
                <w:rFonts w:cs="Calibri"/>
                <w:color w:val="000000"/>
                <w:sz w:val="14"/>
                <w:szCs w:val="14"/>
              </w:rPr>
              <w:t>78</w:t>
            </w:r>
            <w:r>
              <w:rPr>
                <w:rFonts w:cs="Calibri"/>
                <w:color w:val="000000"/>
                <w:sz w:val="14"/>
                <w:szCs w:val="14"/>
              </w:rPr>
              <w:t>.</w:t>
            </w:r>
            <w:r w:rsidRPr="003003C0">
              <w:rPr>
                <w:rFonts w:cs="Calibri"/>
                <w:color w:val="000000"/>
                <w:sz w:val="14"/>
                <w:szCs w:val="14"/>
              </w:rPr>
              <w:t>2</w:t>
            </w:r>
          </w:p>
        </w:tc>
        <w:tc>
          <w:tcPr>
            <w:tcW w:w="721" w:type="dxa"/>
            <w:noWrap/>
            <w:vAlign w:val="center"/>
            <w:hideMark/>
          </w:tcPr>
          <w:p w14:paraId="4FCED205" w14:textId="77777777" w:rsidR="004F64EF" w:rsidRPr="003003C0" w:rsidRDefault="004F64EF" w:rsidP="00FD6B66">
            <w:pPr>
              <w:jc w:val="right"/>
              <w:rPr>
                <w:rFonts w:cs="Calibri"/>
                <w:color w:val="000000"/>
                <w:sz w:val="14"/>
                <w:szCs w:val="14"/>
              </w:rPr>
            </w:pPr>
            <w:r w:rsidRPr="003003C0">
              <w:rPr>
                <w:rFonts w:cs="Calibri"/>
                <w:color w:val="000000"/>
                <w:sz w:val="14"/>
                <w:szCs w:val="14"/>
              </w:rPr>
              <w:t>80</w:t>
            </w:r>
            <w:r>
              <w:rPr>
                <w:rFonts w:cs="Calibri"/>
                <w:color w:val="000000"/>
                <w:sz w:val="14"/>
                <w:szCs w:val="14"/>
              </w:rPr>
              <w:t>.</w:t>
            </w:r>
            <w:r w:rsidRPr="003003C0">
              <w:rPr>
                <w:rFonts w:cs="Calibri"/>
                <w:color w:val="000000"/>
                <w:sz w:val="14"/>
                <w:szCs w:val="14"/>
              </w:rPr>
              <w:t>3</w:t>
            </w:r>
          </w:p>
        </w:tc>
        <w:tc>
          <w:tcPr>
            <w:tcW w:w="722" w:type="dxa"/>
            <w:noWrap/>
            <w:vAlign w:val="center"/>
            <w:hideMark/>
          </w:tcPr>
          <w:p w14:paraId="4C5BE9A6" w14:textId="77777777" w:rsidR="004F64EF" w:rsidRPr="003003C0" w:rsidRDefault="004F64EF" w:rsidP="00FD6B66">
            <w:pPr>
              <w:jc w:val="right"/>
              <w:rPr>
                <w:rFonts w:cs="Calibri"/>
                <w:color w:val="000000"/>
                <w:sz w:val="14"/>
                <w:szCs w:val="14"/>
              </w:rPr>
            </w:pPr>
            <w:r w:rsidRPr="003003C0">
              <w:rPr>
                <w:rFonts w:cs="Calibri"/>
                <w:color w:val="000000"/>
                <w:sz w:val="14"/>
                <w:szCs w:val="14"/>
              </w:rPr>
              <w:t>79</w:t>
            </w:r>
            <w:r>
              <w:rPr>
                <w:rFonts w:cs="Calibri"/>
                <w:color w:val="000000"/>
                <w:sz w:val="14"/>
                <w:szCs w:val="14"/>
              </w:rPr>
              <w:t>.</w:t>
            </w:r>
            <w:r w:rsidRPr="003003C0">
              <w:rPr>
                <w:rFonts w:cs="Calibri"/>
                <w:color w:val="000000"/>
                <w:sz w:val="14"/>
                <w:szCs w:val="14"/>
              </w:rPr>
              <w:t>8</w:t>
            </w:r>
          </w:p>
        </w:tc>
        <w:tc>
          <w:tcPr>
            <w:tcW w:w="722" w:type="dxa"/>
            <w:noWrap/>
            <w:vAlign w:val="center"/>
            <w:hideMark/>
          </w:tcPr>
          <w:p w14:paraId="7D1F6B5B" w14:textId="77777777" w:rsidR="004F64EF" w:rsidRPr="003003C0" w:rsidRDefault="004F64EF" w:rsidP="00FD6B66">
            <w:pPr>
              <w:jc w:val="right"/>
              <w:rPr>
                <w:rFonts w:cs="Calibri"/>
                <w:color w:val="000000"/>
                <w:sz w:val="14"/>
                <w:szCs w:val="14"/>
              </w:rPr>
            </w:pPr>
            <w:r w:rsidRPr="003003C0">
              <w:rPr>
                <w:rFonts w:cs="Calibri"/>
                <w:color w:val="000000"/>
                <w:sz w:val="14"/>
                <w:szCs w:val="14"/>
              </w:rPr>
              <w:t>78</w:t>
            </w:r>
            <w:r>
              <w:rPr>
                <w:rFonts w:cs="Calibri"/>
                <w:color w:val="000000"/>
                <w:sz w:val="14"/>
                <w:szCs w:val="14"/>
              </w:rPr>
              <w:t>.</w:t>
            </w:r>
            <w:r w:rsidRPr="003003C0">
              <w:rPr>
                <w:rFonts w:cs="Calibri"/>
                <w:color w:val="000000"/>
                <w:sz w:val="14"/>
                <w:szCs w:val="14"/>
              </w:rPr>
              <w:t>2</w:t>
            </w:r>
          </w:p>
        </w:tc>
        <w:tc>
          <w:tcPr>
            <w:tcW w:w="722" w:type="dxa"/>
            <w:noWrap/>
            <w:vAlign w:val="center"/>
            <w:hideMark/>
          </w:tcPr>
          <w:p w14:paraId="39666B09" w14:textId="77777777" w:rsidR="004F64EF" w:rsidRPr="003003C0" w:rsidRDefault="004F64EF" w:rsidP="00FD6B66">
            <w:pPr>
              <w:jc w:val="right"/>
              <w:rPr>
                <w:rFonts w:cs="Calibri"/>
                <w:color w:val="000000"/>
                <w:sz w:val="14"/>
                <w:szCs w:val="14"/>
              </w:rPr>
            </w:pPr>
            <w:r w:rsidRPr="003003C0">
              <w:rPr>
                <w:rFonts w:cs="Calibri"/>
                <w:color w:val="000000"/>
                <w:sz w:val="14"/>
                <w:szCs w:val="14"/>
              </w:rPr>
              <w:t>80</w:t>
            </w:r>
            <w:r>
              <w:rPr>
                <w:rFonts w:cs="Calibri"/>
                <w:color w:val="000000"/>
                <w:sz w:val="14"/>
                <w:szCs w:val="14"/>
              </w:rPr>
              <w:t>.</w:t>
            </w:r>
            <w:r w:rsidRPr="003003C0">
              <w:rPr>
                <w:rFonts w:cs="Calibri"/>
                <w:color w:val="000000"/>
                <w:sz w:val="14"/>
                <w:szCs w:val="14"/>
              </w:rPr>
              <w:t>3</w:t>
            </w:r>
          </w:p>
        </w:tc>
      </w:tr>
      <w:tr w:rsidR="004F64EF" w:rsidRPr="003003C0" w14:paraId="2E96E72B" w14:textId="77777777" w:rsidTr="00FD6B66">
        <w:trPr>
          <w:trHeight w:val="20"/>
        </w:trPr>
        <w:tc>
          <w:tcPr>
            <w:tcW w:w="3964" w:type="dxa"/>
            <w:noWrap/>
            <w:vAlign w:val="center"/>
            <w:hideMark/>
          </w:tcPr>
          <w:p w14:paraId="0B37F03F" w14:textId="77777777" w:rsidR="004F64EF" w:rsidRPr="003003C0" w:rsidRDefault="004F64EF" w:rsidP="00FD6B66">
            <w:pPr>
              <w:tabs>
                <w:tab w:val="left" w:pos="227"/>
              </w:tabs>
              <w:jc w:val="left"/>
              <w:rPr>
                <w:rFonts w:cs="Calibri"/>
                <w:color w:val="000000"/>
                <w:sz w:val="14"/>
                <w:szCs w:val="14"/>
              </w:rPr>
            </w:pPr>
            <w:r w:rsidRPr="003003C0">
              <w:rPr>
                <w:rFonts w:cs="Calibri"/>
                <w:color w:val="000000"/>
                <w:sz w:val="14"/>
                <w:szCs w:val="14"/>
              </w:rPr>
              <w:tab/>
            </w:r>
            <w:r>
              <w:rPr>
                <w:rFonts w:cs="Calibri"/>
                <w:color w:val="000000"/>
                <w:sz w:val="14"/>
                <w:szCs w:val="14"/>
              </w:rPr>
              <w:t>free zones</w:t>
            </w:r>
            <w:r w:rsidRPr="003003C0">
              <w:rPr>
                <w:rFonts w:cs="Calibri"/>
                <w:color w:val="000000"/>
                <w:sz w:val="14"/>
                <w:szCs w:val="14"/>
              </w:rPr>
              <w:t xml:space="preserve"> (% </w:t>
            </w:r>
            <w:r>
              <w:rPr>
                <w:rFonts w:cs="Calibri"/>
                <w:color w:val="000000"/>
                <w:sz w:val="14"/>
                <w:szCs w:val="14"/>
              </w:rPr>
              <w:t>of total imports</w:t>
            </w:r>
            <w:r w:rsidRPr="003003C0">
              <w:rPr>
                <w:rFonts w:cs="Calibri"/>
                <w:color w:val="000000"/>
                <w:sz w:val="14"/>
                <w:szCs w:val="14"/>
              </w:rPr>
              <w:t>)</w:t>
            </w:r>
          </w:p>
        </w:tc>
        <w:tc>
          <w:tcPr>
            <w:tcW w:w="721" w:type="dxa"/>
            <w:noWrap/>
            <w:vAlign w:val="center"/>
            <w:hideMark/>
          </w:tcPr>
          <w:p w14:paraId="7C0869F0" w14:textId="77777777" w:rsidR="004F64EF" w:rsidRPr="003003C0" w:rsidRDefault="004F64EF" w:rsidP="00FD6B66">
            <w:pPr>
              <w:jc w:val="right"/>
              <w:rPr>
                <w:rFonts w:cs="Calibri"/>
                <w:color w:val="000000"/>
                <w:sz w:val="14"/>
                <w:szCs w:val="14"/>
              </w:rPr>
            </w:pPr>
            <w:r w:rsidRPr="003003C0">
              <w:rPr>
                <w:rFonts w:cs="Calibri"/>
                <w:color w:val="000000"/>
                <w:sz w:val="14"/>
                <w:szCs w:val="14"/>
              </w:rPr>
              <w:t>21</w:t>
            </w:r>
            <w:r>
              <w:rPr>
                <w:rFonts w:cs="Calibri"/>
                <w:color w:val="000000"/>
                <w:sz w:val="14"/>
                <w:szCs w:val="14"/>
              </w:rPr>
              <w:t>.</w:t>
            </w:r>
            <w:r w:rsidRPr="003003C0">
              <w:rPr>
                <w:rFonts w:cs="Calibri"/>
                <w:color w:val="000000"/>
                <w:sz w:val="14"/>
                <w:szCs w:val="14"/>
              </w:rPr>
              <w:t>5</w:t>
            </w:r>
          </w:p>
        </w:tc>
        <w:tc>
          <w:tcPr>
            <w:tcW w:w="722" w:type="dxa"/>
            <w:noWrap/>
            <w:vAlign w:val="center"/>
            <w:hideMark/>
          </w:tcPr>
          <w:p w14:paraId="69D52035" w14:textId="77777777" w:rsidR="004F64EF" w:rsidRPr="003003C0" w:rsidRDefault="004F64EF" w:rsidP="00FD6B66">
            <w:pPr>
              <w:jc w:val="right"/>
              <w:rPr>
                <w:rFonts w:cs="Calibri"/>
                <w:color w:val="000000"/>
                <w:sz w:val="14"/>
                <w:szCs w:val="14"/>
              </w:rPr>
            </w:pPr>
            <w:r w:rsidRPr="003003C0">
              <w:rPr>
                <w:rFonts w:cs="Calibri"/>
                <w:color w:val="000000"/>
                <w:sz w:val="14"/>
                <w:szCs w:val="14"/>
              </w:rPr>
              <w:t>21</w:t>
            </w:r>
            <w:r>
              <w:rPr>
                <w:rFonts w:cs="Calibri"/>
                <w:color w:val="000000"/>
                <w:sz w:val="14"/>
                <w:szCs w:val="14"/>
              </w:rPr>
              <w:t>.</w:t>
            </w:r>
            <w:r w:rsidRPr="003003C0">
              <w:rPr>
                <w:rFonts w:cs="Calibri"/>
                <w:color w:val="000000"/>
                <w:sz w:val="14"/>
                <w:szCs w:val="14"/>
              </w:rPr>
              <w:t>0</w:t>
            </w:r>
          </w:p>
        </w:tc>
        <w:tc>
          <w:tcPr>
            <w:tcW w:w="722" w:type="dxa"/>
            <w:noWrap/>
            <w:vAlign w:val="center"/>
            <w:hideMark/>
          </w:tcPr>
          <w:p w14:paraId="3041938E" w14:textId="77777777" w:rsidR="004F64EF" w:rsidRPr="003003C0" w:rsidRDefault="004F64EF" w:rsidP="00FD6B66">
            <w:pPr>
              <w:jc w:val="right"/>
              <w:rPr>
                <w:rFonts w:cs="Calibri"/>
                <w:color w:val="000000"/>
                <w:sz w:val="14"/>
                <w:szCs w:val="14"/>
              </w:rPr>
            </w:pPr>
            <w:r w:rsidRPr="003003C0">
              <w:rPr>
                <w:rFonts w:cs="Calibri"/>
                <w:color w:val="000000"/>
                <w:sz w:val="14"/>
                <w:szCs w:val="14"/>
              </w:rPr>
              <w:t>21</w:t>
            </w:r>
            <w:r>
              <w:rPr>
                <w:rFonts w:cs="Calibri"/>
                <w:color w:val="000000"/>
                <w:sz w:val="14"/>
                <w:szCs w:val="14"/>
              </w:rPr>
              <w:t>.</w:t>
            </w:r>
            <w:r w:rsidRPr="003003C0">
              <w:rPr>
                <w:rFonts w:cs="Calibri"/>
                <w:color w:val="000000"/>
                <w:sz w:val="14"/>
                <w:szCs w:val="14"/>
              </w:rPr>
              <w:t>8</w:t>
            </w:r>
          </w:p>
        </w:tc>
        <w:tc>
          <w:tcPr>
            <w:tcW w:w="721" w:type="dxa"/>
            <w:noWrap/>
            <w:vAlign w:val="center"/>
            <w:hideMark/>
          </w:tcPr>
          <w:p w14:paraId="5EC6838E" w14:textId="77777777" w:rsidR="004F64EF" w:rsidRPr="003003C0" w:rsidRDefault="004F64EF" w:rsidP="00FD6B66">
            <w:pPr>
              <w:jc w:val="right"/>
              <w:rPr>
                <w:rFonts w:cs="Calibri"/>
                <w:color w:val="000000"/>
                <w:sz w:val="14"/>
                <w:szCs w:val="14"/>
              </w:rPr>
            </w:pPr>
            <w:r w:rsidRPr="003003C0">
              <w:rPr>
                <w:rFonts w:cs="Calibri"/>
                <w:color w:val="000000"/>
                <w:sz w:val="14"/>
                <w:szCs w:val="14"/>
              </w:rPr>
              <w:t>19</w:t>
            </w:r>
            <w:r>
              <w:rPr>
                <w:rFonts w:cs="Calibri"/>
                <w:color w:val="000000"/>
                <w:sz w:val="14"/>
                <w:szCs w:val="14"/>
              </w:rPr>
              <w:t>.</w:t>
            </w:r>
            <w:r w:rsidRPr="003003C0">
              <w:rPr>
                <w:rFonts w:cs="Calibri"/>
                <w:color w:val="000000"/>
                <w:sz w:val="14"/>
                <w:szCs w:val="14"/>
              </w:rPr>
              <w:t>7</w:t>
            </w:r>
          </w:p>
        </w:tc>
        <w:tc>
          <w:tcPr>
            <w:tcW w:w="722" w:type="dxa"/>
            <w:noWrap/>
            <w:vAlign w:val="center"/>
            <w:hideMark/>
          </w:tcPr>
          <w:p w14:paraId="00B1B7AE" w14:textId="77777777" w:rsidR="004F64EF" w:rsidRPr="003003C0" w:rsidRDefault="004F64EF" w:rsidP="00FD6B66">
            <w:pPr>
              <w:jc w:val="right"/>
              <w:rPr>
                <w:rFonts w:cs="Calibri"/>
                <w:color w:val="000000"/>
                <w:sz w:val="14"/>
                <w:szCs w:val="14"/>
              </w:rPr>
            </w:pPr>
            <w:r w:rsidRPr="003003C0">
              <w:rPr>
                <w:rFonts w:cs="Calibri"/>
                <w:color w:val="000000"/>
                <w:sz w:val="14"/>
                <w:szCs w:val="14"/>
              </w:rPr>
              <w:t>20</w:t>
            </w:r>
            <w:r>
              <w:rPr>
                <w:rFonts w:cs="Calibri"/>
                <w:color w:val="000000"/>
                <w:sz w:val="14"/>
                <w:szCs w:val="14"/>
              </w:rPr>
              <w:t>.</w:t>
            </w:r>
            <w:r w:rsidRPr="003003C0">
              <w:rPr>
                <w:rFonts w:cs="Calibri"/>
                <w:color w:val="000000"/>
                <w:sz w:val="14"/>
                <w:szCs w:val="14"/>
              </w:rPr>
              <w:t>2</w:t>
            </w:r>
          </w:p>
        </w:tc>
        <w:tc>
          <w:tcPr>
            <w:tcW w:w="722" w:type="dxa"/>
            <w:noWrap/>
            <w:vAlign w:val="center"/>
            <w:hideMark/>
          </w:tcPr>
          <w:p w14:paraId="3CE04090" w14:textId="77777777" w:rsidR="004F64EF" w:rsidRPr="003003C0" w:rsidRDefault="004F64EF" w:rsidP="00FD6B66">
            <w:pPr>
              <w:jc w:val="right"/>
              <w:rPr>
                <w:rFonts w:cs="Calibri"/>
                <w:color w:val="000000"/>
                <w:sz w:val="14"/>
                <w:szCs w:val="14"/>
              </w:rPr>
            </w:pPr>
            <w:r w:rsidRPr="003003C0">
              <w:rPr>
                <w:rFonts w:cs="Calibri"/>
                <w:color w:val="000000"/>
                <w:sz w:val="14"/>
                <w:szCs w:val="14"/>
              </w:rPr>
              <w:t>21</w:t>
            </w:r>
            <w:r>
              <w:rPr>
                <w:rFonts w:cs="Calibri"/>
                <w:color w:val="000000"/>
                <w:sz w:val="14"/>
                <w:szCs w:val="14"/>
              </w:rPr>
              <w:t>.</w:t>
            </w:r>
            <w:r w:rsidRPr="003003C0">
              <w:rPr>
                <w:rFonts w:cs="Calibri"/>
                <w:color w:val="000000"/>
                <w:sz w:val="14"/>
                <w:szCs w:val="14"/>
              </w:rPr>
              <w:t>8</w:t>
            </w:r>
          </w:p>
        </w:tc>
        <w:tc>
          <w:tcPr>
            <w:tcW w:w="722" w:type="dxa"/>
            <w:noWrap/>
            <w:vAlign w:val="center"/>
            <w:hideMark/>
          </w:tcPr>
          <w:p w14:paraId="0219B08E" w14:textId="77777777" w:rsidR="004F64EF" w:rsidRPr="003003C0" w:rsidRDefault="004F64EF" w:rsidP="00FD6B66">
            <w:pPr>
              <w:jc w:val="right"/>
              <w:rPr>
                <w:rFonts w:cs="Calibri"/>
                <w:color w:val="000000"/>
                <w:sz w:val="14"/>
                <w:szCs w:val="14"/>
              </w:rPr>
            </w:pPr>
            <w:r w:rsidRPr="003003C0">
              <w:rPr>
                <w:rFonts w:cs="Calibri"/>
                <w:color w:val="000000"/>
                <w:sz w:val="14"/>
                <w:szCs w:val="14"/>
              </w:rPr>
              <w:t>19</w:t>
            </w:r>
            <w:r>
              <w:rPr>
                <w:rFonts w:cs="Calibri"/>
                <w:color w:val="000000"/>
                <w:sz w:val="14"/>
                <w:szCs w:val="14"/>
              </w:rPr>
              <w:t>.</w:t>
            </w:r>
            <w:r w:rsidRPr="003003C0">
              <w:rPr>
                <w:rFonts w:cs="Calibri"/>
                <w:color w:val="000000"/>
                <w:sz w:val="14"/>
                <w:szCs w:val="14"/>
              </w:rPr>
              <w:t>7</w:t>
            </w:r>
          </w:p>
        </w:tc>
      </w:tr>
      <w:tr w:rsidR="004F64EF" w:rsidRPr="003003C0" w14:paraId="7CE680AA" w14:textId="77777777" w:rsidTr="00FD6B66">
        <w:trPr>
          <w:cnfStyle w:val="000000010000" w:firstRow="0" w:lastRow="0" w:firstColumn="0" w:lastColumn="0" w:oddVBand="0" w:evenVBand="0" w:oddHBand="0" w:evenHBand="1" w:firstRowFirstColumn="0" w:firstRowLastColumn="0" w:lastRowFirstColumn="0" w:lastRowLastColumn="0"/>
          <w:trHeight w:val="20"/>
        </w:trPr>
        <w:tc>
          <w:tcPr>
            <w:tcW w:w="3964" w:type="dxa"/>
            <w:noWrap/>
            <w:vAlign w:val="center"/>
            <w:hideMark/>
          </w:tcPr>
          <w:p w14:paraId="6E2F1D36" w14:textId="77777777" w:rsidR="004F64EF" w:rsidRPr="003003C0" w:rsidRDefault="004F64EF" w:rsidP="00FD6B66">
            <w:pPr>
              <w:jc w:val="left"/>
              <w:rPr>
                <w:sz w:val="14"/>
                <w:szCs w:val="14"/>
              </w:rPr>
            </w:pPr>
          </w:p>
        </w:tc>
        <w:tc>
          <w:tcPr>
            <w:tcW w:w="5052" w:type="dxa"/>
            <w:gridSpan w:val="7"/>
            <w:noWrap/>
            <w:vAlign w:val="center"/>
            <w:hideMark/>
          </w:tcPr>
          <w:p w14:paraId="20808121" w14:textId="77777777" w:rsidR="004F64EF" w:rsidRPr="003003C0" w:rsidRDefault="004F64EF" w:rsidP="00FD6B66">
            <w:pPr>
              <w:jc w:val="center"/>
              <w:rPr>
                <w:rFonts w:cs="Calibri"/>
                <w:b/>
                <w:bCs/>
                <w:color w:val="000000"/>
                <w:sz w:val="14"/>
                <w:szCs w:val="14"/>
              </w:rPr>
            </w:pPr>
            <w:r w:rsidRPr="003003C0">
              <w:rPr>
                <w:rFonts w:cs="Calibri"/>
                <w:b/>
                <w:bCs/>
                <w:color w:val="000000"/>
                <w:sz w:val="14"/>
                <w:szCs w:val="14"/>
              </w:rPr>
              <w:t xml:space="preserve">(% </w:t>
            </w:r>
            <w:r>
              <w:rPr>
                <w:rFonts w:cs="Calibri"/>
                <w:b/>
                <w:bCs/>
                <w:color w:val="000000"/>
                <w:sz w:val="14"/>
                <w:szCs w:val="14"/>
              </w:rPr>
              <w:t>of total imports</w:t>
            </w:r>
            <w:r w:rsidRPr="003003C0">
              <w:rPr>
                <w:rFonts w:cs="Calibri"/>
                <w:b/>
                <w:bCs/>
                <w:color w:val="000000"/>
                <w:sz w:val="14"/>
                <w:szCs w:val="14"/>
              </w:rPr>
              <w:t>)</w:t>
            </w:r>
          </w:p>
        </w:tc>
      </w:tr>
      <w:tr w:rsidR="004F64EF" w:rsidRPr="003003C0" w14:paraId="3503DF38" w14:textId="77777777" w:rsidTr="00FD6B66">
        <w:trPr>
          <w:trHeight w:val="20"/>
        </w:trPr>
        <w:tc>
          <w:tcPr>
            <w:tcW w:w="3964" w:type="dxa"/>
            <w:noWrap/>
            <w:vAlign w:val="center"/>
            <w:hideMark/>
          </w:tcPr>
          <w:p w14:paraId="31E2E402" w14:textId="77777777" w:rsidR="004F64EF" w:rsidRPr="003003C0" w:rsidRDefault="004F64EF" w:rsidP="00FD6B66">
            <w:pPr>
              <w:jc w:val="left"/>
              <w:rPr>
                <w:rFonts w:cs="Calibri"/>
                <w:color w:val="000000"/>
                <w:sz w:val="14"/>
                <w:szCs w:val="14"/>
              </w:rPr>
            </w:pPr>
            <w:r w:rsidRPr="003003C0">
              <w:rPr>
                <w:rFonts w:cs="Calibri"/>
                <w:color w:val="000000"/>
                <w:sz w:val="14"/>
                <w:szCs w:val="14"/>
              </w:rPr>
              <w:t xml:space="preserve">1 - </w:t>
            </w:r>
            <w:r w:rsidRPr="006A3873">
              <w:rPr>
                <w:rFonts w:cs="Calibri"/>
                <w:color w:val="000000"/>
                <w:sz w:val="14"/>
                <w:szCs w:val="14"/>
              </w:rPr>
              <w:t>Live animals; animal products</w:t>
            </w:r>
          </w:p>
        </w:tc>
        <w:tc>
          <w:tcPr>
            <w:tcW w:w="721" w:type="dxa"/>
            <w:noWrap/>
            <w:vAlign w:val="center"/>
            <w:hideMark/>
          </w:tcPr>
          <w:p w14:paraId="6851EA14" w14:textId="77777777" w:rsidR="004F64EF" w:rsidRPr="003003C0" w:rsidRDefault="004F64EF" w:rsidP="00FD6B66">
            <w:pPr>
              <w:jc w:val="right"/>
              <w:rPr>
                <w:rFonts w:cs="Calibri"/>
                <w:color w:val="000000"/>
                <w:sz w:val="14"/>
                <w:szCs w:val="14"/>
              </w:rPr>
            </w:pPr>
            <w:r w:rsidRPr="003003C0">
              <w:rPr>
                <w:rFonts w:cs="Calibri"/>
                <w:color w:val="000000"/>
                <w:sz w:val="14"/>
                <w:szCs w:val="14"/>
              </w:rPr>
              <w:t>2</w:t>
            </w:r>
            <w:r>
              <w:rPr>
                <w:rFonts w:cs="Calibri"/>
                <w:color w:val="000000"/>
                <w:sz w:val="14"/>
                <w:szCs w:val="14"/>
              </w:rPr>
              <w:t>.</w:t>
            </w:r>
            <w:r w:rsidRPr="003003C0">
              <w:rPr>
                <w:rFonts w:cs="Calibri"/>
                <w:color w:val="000000"/>
                <w:sz w:val="14"/>
                <w:szCs w:val="14"/>
              </w:rPr>
              <w:t>6</w:t>
            </w:r>
          </w:p>
        </w:tc>
        <w:tc>
          <w:tcPr>
            <w:tcW w:w="722" w:type="dxa"/>
            <w:noWrap/>
            <w:vAlign w:val="center"/>
            <w:hideMark/>
          </w:tcPr>
          <w:p w14:paraId="298DFACD" w14:textId="77777777" w:rsidR="004F64EF" w:rsidRPr="003003C0" w:rsidRDefault="004F64EF" w:rsidP="00FD6B66">
            <w:pPr>
              <w:jc w:val="right"/>
              <w:rPr>
                <w:rFonts w:cs="Calibri"/>
                <w:color w:val="000000"/>
                <w:sz w:val="14"/>
                <w:szCs w:val="14"/>
              </w:rPr>
            </w:pPr>
            <w:r w:rsidRPr="003003C0">
              <w:rPr>
                <w:rFonts w:cs="Calibri"/>
                <w:color w:val="000000"/>
                <w:sz w:val="14"/>
                <w:szCs w:val="14"/>
              </w:rPr>
              <w:t>2</w:t>
            </w:r>
            <w:r>
              <w:rPr>
                <w:rFonts w:cs="Calibri"/>
                <w:color w:val="000000"/>
                <w:sz w:val="14"/>
                <w:szCs w:val="14"/>
              </w:rPr>
              <w:t>.</w:t>
            </w:r>
            <w:r w:rsidRPr="003003C0">
              <w:rPr>
                <w:rFonts w:cs="Calibri"/>
                <w:color w:val="000000"/>
                <w:sz w:val="14"/>
                <w:szCs w:val="14"/>
              </w:rPr>
              <w:t>7</w:t>
            </w:r>
          </w:p>
        </w:tc>
        <w:tc>
          <w:tcPr>
            <w:tcW w:w="722" w:type="dxa"/>
            <w:noWrap/>
            <w:vAlign w:val="center"/>
            <w:hideMark/>
          </w:tcPr>
          <w:p w14:paraId="46DB55C7" w14:textId="77777777" w:rsidR="004F64EF" w:rsidRPr="003003C0" w:rsidRDefault="004F64EF" w:rsidP="00FD6B66">
            <w:pPr>
              <w:jc w:val="right"/>
              <w:rPr>
                <w:rFonts w:cs="Calibri"/>
                <w:color w:val="000000"/>
                <w:sz w:val="14"/>
                <w:szCs w:val="14"/>
              </w:rPr>
            </w:pPr>
            <w:r w:rsidRPr="003003C0">
              <w:rPr>
                <w:rFonts w:cs="Calibri"/>
                <w:color w:val="000000"/>
                <w:sz w:val="14"/>
                <w:szCs w:val="14"/>
              </w:rPr>
              <w:t>2</w:t>
            </w:r>
            <w:r>
              <w:rPr>
                <w:rFonts w:cs="Calibri"/>
                <w:color w:val="000000"/>
                <w:sz w:val="14"/>
                <w:szCs w:val="14"/>
              </w:rPr>
              <w:t>.</w:t>
            </w:r>
            <w:r w:rsidRPr="003003C0">
              <w:rPr>
                <w:rFonts w:cs="Calibri"/>
                <w:color w:val="000000"/>
                <w:sz w:val="14"/>
                <w:szCs w:val="14"/>
              </w:rPr>
              <w:t>8</w:t>
            </w:r>
          </w:p>
        </w:tc>
        <w:tc>
          <w:tcPr>
            <w:tcW w:w="721" w:type="dxa"/>
            <w:noWrap/>
            <w:vAlign w:val="center"/>
            <w:hideMark/>
          </w:tcPr>
          <w:p w14:paraId="67767BD2" w14:textId="77777777" w:rsidR="004F64EF" w:rsidRPr="003003C0" w:rsidRDefault="004F64EF" w:rsidP="00FD6B66">
            <w:pPr>
              <w:jc w:val="right"/>
              <w:rPr>
                <w:rFonts w:cs="Calibri"/>
                <w:color w:val="000000"/>
                <w:sz w:val="14"/>
                <w:szCs w:val="14"/>
              </w:rPr>
            </w:pPr>
            <w:r w:rsidRPr="003003C0">
              <w:rPr>
                <w:rFonts w:cs="Calibri"/>
                <w:color w:val="000000"/>
                <w:sz w:val="14"/>
                <w:szCs w:val="14"/>
              </w:rPr>
              <w:t>2</w:t>
            </w:r>
            <w:r>
              <w:rPr>
                <w:rFonts w:cs="Calibri"/>
                <w:color w:val="000000"/>
                <w:sz w:val="14"/>
                <w:szCs w:val="14"/>
              </w:rPr>
              <w:t>.</w:t>
            </w:r>
            <w:r w:rsidRPr="003003C0">
              <w:rPr>
                <w:rFonts w:cs="Calibri"/>
                <w:color w:val="000000"/>
                <w:sz w:val="14"/>
                <w:szCs w:val="14"/>
              </w:rPr>
              <w:t>9</w:t>
            </w:r>
          </w:p>
        </w:tc>
        <w:tc>
          <w:tcPr>
            <w:tcW w:w="722" w:type="dxa"/>
            <w:noWrap/>
            <w:vAlign w:val="center"/>
            <w:hideMark/>
          </w:tcPr>
          <w:p w14:paraId="477920E6" w14:textId="77777777" w:rsidR="004F64EF" w:rsidRPr="003003C0" w:rsidRDefault="004F64EF" w:rsidP="00FD6B66">
            <w:pPr>
              <w:jc w:val="right"/>
              <w:rPr>
                <w:rFonts w:cs="Calibri"/>
                <w:color w:val="000000"/>
                <w:sz w:val="14"/>
                <w:szCs w:val="14"/>
              </w:rPr>
            </w:pPr>
            <w:r w:rsidRPr="003003C0">
              <w:rPr>
                <w:rFonts w:cs="Calibri"/>
                <w:color w:val="000000"/>
                <w:sz w:val="14"/>
                <w:szCs w:val="14"/>
              </w:rPr>
              <w:t>2</w:t>
            </w:r>
            <w:r>
              <w:rPr>
                <w:rFonts w:cs="Calibri"/>
                <w:color w:val="000000"/>
                <w:sz w:val="14"/>
                <w:szCs w:val="14"/>
              </w:rPr>
              <w:t>.</w:t>
            </w:r>
            <w:r w:rsidRPr="003003C0">
              <w:rPr>
                <w:rFonts w:cs="Calibri"/>
                <w:color w:val="000000"/>
                <w:sz w:val="14"/>
                <w:szCs w:val="14"/>
              </w:rPr>
              <w:t>9</w:t>
            </w:r>
          </w:p>
        </w:tc>
        <w:tc>
          <w:tcPr>
            <w:tcW w:w="722" w:type="dxa"/>
            <w:noWrap/>
            <w:vAlign w:val="center"/>
            <w:hideMark/>
          </w:tcPr>
          <w:p w14:paraId="0CEFE9D4" w14:textId="77777777" w:rsidR="004F64EF" w:rsidRPr="003003C0" w:rsidRDefault="004F64EF" w:rsidP="00FD6B66">
            <w:pPr>
              <w:jc w:val="right"/>
              <w:rPr>
                <w:rFonts w:cs="Calibri"/>
                <w:color w:val="000000"/>
                <w:sz w:val="14"/>
                <w:szCs w:val="14"/>
              </w:rPr>
            </w:pPr>
            <w:r w:rsidRPr="003003C0">
              <w:rPr>
                <w:rFonts w:cs="Calibri"/>
                <w:color w:val="000000"/>
                <w:sz w:val="14"/>
                <w:szCs w:val="14"/>
              </w:rPr>
              <w:t>3</w:t>
            </w:r>
            <w:r>
              <w:rPr>
                <w:rFonts w:cs="Calibri"/>
                <w:color w:val="000000"/>
                <w:sz w:val="14"/>
                <w:szCs w:val="14"/>
              </w:rPr>
              <w:t>.</w:t>
            </w:r>
            <w:r w:rsidRPr="003003C0">
              <w:rPr>
                <w:rFonts w:cs="Calibri"/>
                <w:color w:val="000000"/>
                <w:sz w:val="14"/>
                <w:szCs w:val="14"/>
              </w:rPr>
              <w:t>4</w:t>
            </w:r>
          </w:p>
        </w:tc>
        <w:tc>
          <w:tcPr>
            <w:tcW w:w="722" w:type="dxa"/>
            <w:noWrap/>
            <w:vAlign w:val="center"/>
            <w:hideMark/>
          </w:tcPr>
          <w:p w14:paraId="6AEA2E6C" w14:textId="77777777" w:rsidR="004F64EF" w:rsidRPr="003003C0" w:rsidRDefault="004F64EF" w:rsidP="00FD6B66">
            <w:pPr>
              <w:jc w:val="right"/>
              <w:rPr>
                <w:rFonts w:cs="Calibri"/>
                <w:color w:val="000000"/>
                <w:sz w:val="14"/>
                <w:szCs w:val="14"/>
              </w:rPr>
            </w:pPr>
            <w:r w:rsidRPr="003003C0">
              <w:rPr>
                <w:rFonts w:cs="Calibri"/>
                <w:color w:val="000000"/>
                <w:sz w:val="14"/>
                <w:szCs w:val="14"/>
              </w:rPr>
              <w:t>3</w:t>
            </w:r>
            <w:r>
              <w:rPr>
                <w:rFonts w:cs="Calibri"/>
                <w:color w:val="000000"/>
                <w:sz w:val="14"/>
                <w:szCs w:val="14"/>
              </w:rPr>
              <w:t>.</w:t>
            </w:r>
            <w:r w:rsidRPr="003003C0">
              <w:rPr>
                <w:rFonts w:cs="Calibri"/>
                <w:color w:val="000000"/>
                <w:sz w:val="14"/>
                <w:szCs w:val="14"/>
              </w:rPr>
              <w:t>3</w:t>
            </w:r>
          </w:p>
        </w:tc>
      </w:tr>
      <w:tr w:rsidR="004F64EF" w:rsidRPr="003003C0" w14:paraId="5F5C541E" w14:textId="77777777" w:rsidTr="00FD6B66">
        <w:trPr>
          <w:cnfStyle w:val="000000010000" w:firstRow="0" w:lastRow="0" w:firstColumn="0" w:lastColumn="0" w:oddVBand="0" w:evenVBand="0" w:oddHBand="0" w:evenHBand="1" w:firstRowFirstColumn="0" w:firstRowLastColumn="0" w:lastRowFirstColumn="0" w:lastRowLastColumn="0"/>
          <w:trHeight w:val="20"/>
        </w:trPr>
        <w:tc>
          <w:tcPr>
            <w:tcW w:w="3964" w:type="dxa"/>
            <w:noWrap/>
            <w:vAlign w:val="center"/>
            <w:hideMark/>
          </w:tcPr>
          <w:p w14:paraId="70973617" w14:textId="77777777" w:rsidR="004F64EF" w:rsidRPr="003003C0" w:rsidRDefault="004F64EF" w:rsidP="00FD6B66">
            <w:pPr>
              <w:tabs>
                <w:tab w:val="left" w:pos="227"/>
              </w:tabs>
              <w:jc w:val="left"/>
              <w:rPr>
                <w:rFonts w:cs="Calibri"/>
                <w:color w:val="000000"/>
                <w:sz w:val="14"/>
                <w:szCs w:val="14"/>
              </w:rPr>
            </w:pPr>
            <w:r w:rsidRPr="003003C0">
              <w:rPr>
                <w:rFonts w:cs="Calibri"/>
                <w:color w:val="000000"/>
                <w:sz w:val="14"/>
                <w:szCs w:val="14"/>
              </w:rPr>
              <w:tab/>
              <w:t xml:space="preserve">02. </w:t>
            </w:r>
            <w:r w:rsidRPr="006A3873">
              <w:rPr>
                <w:rFonts w:cs="Calibri"/>
                <w:color w:val="000000"/>
                <w:sz w:val="14"/>
                <w:szCs w:val="14"/>
              </w:rPr>
              <w:t>Meat and edible meat offal</w:t>
            </w:r>
          </w:p>
        </w:tc>
        <w:tc>
          <w:tcPr>
            <w:tcW w:w="721" w:type="dxa"/>
            <w:noWrap/>
            <w:vAlign w:val="center"/>
            <w:hideMark/>
          </w:tcPr>
          <w:p w14:paraId="74030CE2" w14:textId="77777777" w:rsidR="004F64EF" w:rsidRPr="003003C0" w:rsidRDefault="004F64EF" w:rsidP="00FD6B66">
            <w:pPr>
              <w:jc w:val="right"/>
              <w:rPr>
                <w:rFonts w:cs="Calibri"/>
                <w:color w:val="000000"/>
                <w:sz w:val="14"/>
                <w:szCs w:val="14"/>
              </w:rPr>
            </w:pPr>
            <w:r w:rsidRPr="003003C0">
              <w:rPr>
                <w:rFonts w:cs="Calibri"/>
                <w:color w:val="000000"/>
                <w:sz w:val="14"/>
                <w:szCs w:val="14"/>
              </w:rPr>
              <w:t>0</w:t>
            </w:r>
            <w:r>
              <w:rPr>
                <w:rFonts w:cs="Calibri"/>
                <w:color w:val="000000"/>
                <w:sz w:val="14"/>
                <w:szCs w:val="14"/>
              </w:rPr>
              <w:t>.</w:t>
            </w:r>
            <w:r w:rsidRPr="003003C0">
              <w:rPr>
                <w:rFonts w:cs="Calibri"/>
                <w:color w:val="000000"/>
                <w:sz w:val="14"/>
                <w:szCs w:val="14"/>
              </w:rPr>
              <w:t>9</w:t>
            </w:r>
          </w:p>
        </w:tc>
        <w:tc>
          <w:tcPr>
            <w:tcW w:w="722" w:type="dxa"/>
            <w:noWrap/>
            <w:vAlign w:val="center"/>
            <w:hideMark/>
          </w:tcPr>
          <w:p w14:paraId="3412361C" w14:textId="77777777" w:rsidR="004F64EF" w:rsidRPr="003003C0" w:rsidRDefault="004F64EF" w:rsidP="00FD6B66">
            <w:pPr>
              <w:jc w:val="right"/>
              <w:rPr>
                <w:rFonts w:cs="Calibri"/>
                <w:color w:val="000000"/>
                <w:sz w:val="14"/>
                <w:szCs w:val="14"/>
              </w:rPr>
            </w:pPr>
            <w:r w:rsidRPr="003003C0">
              <w:rPr>
                <w:rFonts w:cs="Calibri"/>
                <w:color w:val="000000"/>
                <w:sz w:val="14"/>
                <w:szCs w:val="14"/>
              </w:rPr>
              <w:t>1</w:t>
            </w:r>
            <w:r>
              <w:rPr>
                <w:rFonts w:cs="Calibri"/>
                <w:color w:val="000000"/>
                <w:sz w:val="14"/>
                <w:szCs w:val="14"/>
              </w:rPr>
              <w:t>.</w:t>
            </w:r>
            <w:r w:rsidRPr="003003C0">
              <w:rPr>
                <w:rFonts w:cs="Calibri"/>
                <w:color w:val="000000"/>
                <w:sz w:val="14"/>
                <w:szCs w:val="14"/>
              </w:rPr>
              <w:t>0</w:t>
            </w:r>
          </w:p>
        </w:tc>
        <w:tc>
          <w:tcPr>
            <w:tcW w:w="722" w:type="dxa"/>
            <w:noWrap/>
            <w:vAlign w:val="center"/>
            <w:hideMark/>
          </w:tcPr>
          <w:p w14:paraId="39B29B53" w14:textId="77777777" w:rsidR="004F64EF" w:rsidRPr="003003C0" w:rsidRDefault="004F64EF" w:rsidP="00FD6B66">
            <w:pPr>
              <w:jc w:val="right"/>
              <w:rPr>
                <w:rFonts w:cs="Calibri"/>
                <w:color w:val="000000"/>
                <w:sz w:val="14"/>
                <w:szCs w:val="14"/>
              </w:rPr>
            </w:pPr>
            <w:r w:rsidRPr="003003C0">
              <w:rPr>
                <w:rFonts w:cs="Calibri"/>
                <w:color w:val="000000"/>
                <w:sz w:val="14"/>
                <w:szCs w:val="14"/>
              </w:rPr>
              <w:t>1</w:t>
            </w:r>
            <w:r>
              <w:rPr>
                <w:rFonts w:cs="Calibri"/>
                <w:color w:val="000000"/>
                <w:sz w:val="14"/>
                <w:szCs w:val="14"/>
              </w:rPr>
              <w:t>.</w:t>
            </w:r>
            <w:r w:rsidRPr="003003C0">
              <w:rPr>
                <w:rFonts w:cs="Calibri"/>
                <w:color w:val="000000"/>
                <w:sz w:val="14"/>
                <w:szCs w:val="14"/>
              </w:rPr>
              <w:t>0</w:t>
            </w:r>
          </w:p>
        </w:tc>
        <w:tc>
          <w:tcPr>
            <w:tcW w:w="721" w:type="dxa"/>
            <w:noWrap/>
            <w:vAlign w:val="center"/>
            <w:hideMark/>
          </w:tcPr>
          <w:p w14:paraId="13FDA01D" w14:textId="77777777" w:rsidR="004F64EF" w:rsidRPr="003003C0" w:rsidRDefault="004F64EF" w:rsidP="00FD6B66">
            <w:pPr>
              <w:jc w:val="right"/>
              <w:rPr>
                <w:rFonts w:cs="Calibri"/>
                <w:color w:val="000000"/>
                <w:sz w:val="14"/>
                <w:szCs w:val="14"/>
              </w:rPr>
            </w:pPr>
            <w:r w:rsidRPr="003003C0">
              <w:rPr>
                <w:rFonts w:cs="Calibri"/>
                <w:color w:val="000000"/>
                <w:sz w:val="14"/>
                <w:szCs w:val="14"/>
              </w:rPr>
              <w:t>1</w:t>
            </w:r>
            <w:r>
              <w:rPr>
                <w:rFonts w:cs="Calibri"/>
                <w:color w:val="000000"/>
                <w:sz w:val="14"/>
                <w:szCs w:val="14"/>
              </w:rPr>
              <w:t>.</w:t>
            </w:r>
            <w:r w:rsidRPr="003003C0">
              <w:rPr>
                <w:rFonts w:cs="Calibri"/>
                <w:color w:val="000000"/>
                <w:sz w:val="14"/>
                <w:szCs w:val="14"/>
              </w:rPr>
              <w:t>1</w:t>
            </w:r>
          </w:p>
        </w:tc>
        <w:tc>
          <w:tcPr>
            <w:tcW w:w="722" w:type="dxa"/>
            <w:noWrap/>
            <w:vAlign w:val="center"/>
            <w:hideMark/>
          </w:tcPr>
          <w:p w14:paraId="03F42DAA" w14:textId="77777777" w:rsidR="004F64EF" w:rsidRPr="003003C0" w:rsidRDefault="004F64EF" w:rsidP="00FD6B66">
            <w:pPr>
              <w:jc w:val="right"/>
              <w:rPr>
                <w:rFonts w:cs="Calibri"/>
                <w:color w:val="000000"/>
                <w:sz w:val="14"/>
                <w:szCs w:val="14"/>
              </w:rPr>
            </w:pPr>
            <w:r w:rsidRPr="003003C0">
              <w:rPr>
                <w:rFonts w:cs="Calibri"/>
                <w:color w:val="000000"/>
                <w:sz w:val="14"/>
                <w:szCs w:val="14"/>
              </w:rPr>
              <w:t>1</w:t>
            </w:r>
            <w:r>
              <w:rPr>
                <w:rFonts w:cs="Calibri"/>
                <w:color w:val="000000"/>
                <w:sz w:val="14"/>
                <w:szCs w:val="14"/>
              </w:rPr>
              <w:t>.</w:t>
            </w:r>
            <w:r w:rsidRPr="003003C0">
              <w:rPr>
                <w:rFonts w:cs="Calibri"/>
                <w:color w:val="000000"/>
                <w:sz w:val="14"/>
                <w:szCs w:val="14"/>
              </w:rPr>
              <w:t>0</w:t>
            </w:r>
          </w:p>
        </w:tc>
        <w:tc>
          <w:tcPr>
            <w:tcW w:w="722" w:type="dxa"/>
            <w:noWrap/>
            <w:vAlign w:val="center"/>
            <w:hideMark/>
          </w:tcPr>
          <w:p w14:paraId="49887DEB" w14:textId="77777777" w:rsidR="004F64EF" w:rsidRPr="003003C0" w:rsidRDefault="004F64EF" w:rsidP="00FD6B66">
            <w:pPr>
              <w:jc w:val="right"/>
              <w:rPr>
                <w:rFonts w:cs="Calibri"/>
                <w:color w:val="000000"/>
                <w:sz w:val="14"/>
                <w:szCs w:val="14"/>
              </w:rPr>
            </w:pPr>
            <w:r w:rsidRPr="003003C0">
              <w:rPr>
                <w:rFonts w:cs="Calibri"/>
                <w:color w:val="000000"/>
                <w:sz w:val="14"/>
                <w:szCs w:val="14"/>
              </w:rPr>
              <w:t>1</w:t>
            </w:r>
            <w:r>
              <w:rPr>
                <w:rFonts w:cs="Calibri"/>
                <w:color w:val="000000"/>
                <w:sz w:val="14"/>
                <w:szCs w:val="14"/>
              </w:rPr>
              <w:t>.</w:t>
            </w:r>
            <w:r w:rsidRPr="003003C0">
              <w:rPr>
                <w:rFonts w:cs="Calibri"/>
                <w:color w:val="000000"/>
                <w:sz w:val="14"/>
                <w:szCs w:val="14"/>
              </w:rPr>
              <w:t>1</w:t>
            </w:r>
          </w:p>
        </w:tc>
        <w:tc>
          <w:tcPr>
            <w:tcW w:w="722" w:type="dxa"/>
            <w:noWrap/>
            <w:vAlign w:val="center"/>
            <w:hideMark/>
          </w:tcPr>
          <w:p w14:paraId="14536BD4" w14:textId="77777777" w:rsidR="004F64EF" w:rsidRPr="003003C0" w:rsidRDefault="004F64EF" w:rsidP="00FD6B66">
            <w:pPr>
              <w:jc w:val="right"/>
              <w:rPr>
                <w:rFonts w:cs="Calibri"/>
                <w:color w:val="000000"/>
                <w:sz w:val="14"/>
                <w:szCs w:val="14"/>
              </w:rPr>
            </w:pPr>
            <w:r w:rsidRPr="003003C0">
              <w:rPr>
                <w:rFonts w:cs="Calibri"/>
                <w:color w:val="000000"/>
                <w:sz w:val="14"/>
                <w:szCs w:val="14"/>
              </w:rPr>
              <w:t>1</w:t>
            </w:r>
            <w:r>
              <w:rPr>
                <w:rFonts w:cs="Calibri"/>
                <w:color w:val="000000"/>
                <w:sz w:val="14"/>
                <w:szCs w:val="14"/>
              </w:rPr>
              <w:t>.</w:t>
            </w:r>
            <w:r w:rsidRPr="003003C0">
              <w:rPr>
                <w:rFonts w:cs="Calibri"/>
                <w:color w:val="000000"/>
                <w:sz w:val="14"/>
                <w:szCs w:val="14"/>
              </w:rPr>
              <w:t>3</w:t>
            </w:r>
          </w:p>
        </w:tc>
      </w:tr>
      <w:tr w:rsidR="004F64EF" w:rsidRPr="003003C0" w14:paraId="36BB3C02" w14:textId="77777777" w:rsidTr="00FD6B66">
        <w:trPr>
          <w:trHeight w:val="20"/>
        </w:trPr>
        <w:tc>
          <w:tcPr>
            <w:tcW w:w="3964" w:type="dxa"/>
            <w:noWrap/>
            <w:vAlign w:val="center"/>
            <w:hideMark/>
          </w:tcPr>
          <w:p w14:paraId="7413F443" w14:textId="77777777" w:rsidR="004F64EF" w:rsidRPr="003003C0" w:rsidRDefault="004F64EF" w:rsidP="00B22563">
            <w:pPr>
              <w:tabs>
                <w:tab w:val="left" w:pos="227"/>
              </w:tabs>
              <w:ind w:left="227" w:hanging="227"/>
              <w:jc w:val="left"/>
              <w:rPr>
                <w:rFonts w:cs="Calibri"/>
                <w:color w:val="000000"/>
                <w:sz w:val="14"/>
                <w:szCs w:val="14"/>
              </w:rPr>
            </w:pPr>
            <w:r w:rsidRPr="003003C0">
              <w:rPr>
                <w:rFonts w:cs="Calibri"/>
                <w:color w:val="000000"/>
                <w:sz w:val="14"/>
                <w:szCs w:val="14"/>
              </w:rPr>
              <w:tab/>
              <w:t xml:space="preserve">04. </w:t>
            </w:r>
            <w:r w:rsidRPr="006A3873">
              <w:rPr>
                <w:rFonts w:cs="Calibri"/>
                <w:color w:val="000000"/>
                <w:sz w:val="14"/>
                <w:szCs w:val="14"/>
              </w:rPr>
              <w:t>Dairy produce; birds' eggs; natural honey; edible products of animal origin</w:t>
            </w:r>
          </w:p>
        </w:tc>
        <w:tc>
          <w:tcPr>
            <w:tcW w:w="721" w:type="dxa"/>
            <w:noWrap/>
            <w:vAlign w:val="center"/>
            <w:hideMark/>
          </w:tcPr>
          <w:p w14:paraId="3C8EA7B9" w14:textId="77777777" w:rsidR="004F64EF" w:rsidRPr="003003C0" w:rsidRDefault="004F64EF" w:rsidP="00FD6B66">
            <w:pPr>
              <w:jc w:val="right"/>
              <w:rPr>
                <w:rFonts w:cs="Calibri"/>
                <w:color w:val="000000"/>
                <w:sz w:val="14"/>
                <w:szCs w:val="14"/>
              </w:rPr>
            </w:pPr>
            <w:r w:rsidRPr="003003C0">
              <w:rPr>
                <w:rFonts w:cs="Calibri"/>
                <w:color w:val="000000"/>
                <w:sz w:val="14"/>
                <w:szCs w:val="14"/>
              </w:rPr>
              <w:t>1</w:t>
            </w:r>
            <w:r>
              <w:rPr>
                <w:rFonts w:cs="Calibri"/>
                <w:color w:val="000000"/>
                <w:sz w:val="14"/>
                <w:szCs w:val="14"/>
              </w:rPr>
              <w:t>.</w:t>
            </w:r>
            <w:r w:rsidRPr="003003C0">
              <w:rPr>
                <w:rFonts w:cs="Calibri"/>
                <w:color w:val="000000"/>
                <w:sz w:val="14"/>
                <w:szCs w:val="14"/>
              </w:rPr>
              <w:t>0</w:t>
            </w:r>
          </w:p>
        </w:tc>
        <w:tc>
          <w:tcPr>
            <w:tcW w:w="722" w:type="dxa"/>
            <w:noWrap/>
            <w:vAlign w:val="center"/>
            <w:hideMark/>
          </w:tcPr>
          <w:p w14:paraId="47C547F0" w14:textId="77777777" w:rsidR="004F64EF" w:rsidRPr="003003C0" w:rsidRDefault="004F64EF" w:rsidP="00FD6B66">
            <w:pPr>
              <w:jc w:val="right"/>
              <w:rPr>
                <w:rFonts w:cs="Calibri"/>
                <w:color w:val="000000"/>
                <w:sz w:val="14"/>
                <w:szCs w:val="14"/>
              </w:rPr>
            </w:pPr>
            <w:r w:rsidRPr="003003C0">
              <w:rPr>
                <w:rFonts w:cs="Calibri"/>
                <w:color w:val="000000"/>
                <w:sz w:val="14"/>
                <w:szCs w:val="14"/>
              </w:rPr>
              <w:t>1</w:t>
            </w:r>
            <w:r>
              <w:rPr>
                <w:rFonts w:cs="Calibri"/>
                <w:color w:val="000000"/>
                <w:sz w:val="14"/>
                <w:szCs w:val="14"/>
              </w:rPr>
              <w:t>.</w:t>
            </w:r>
            <w:r w:rsidRPr="003003C0">
              <w:rPr>
                <w:rFonts w:cs="Calibri"/>
                <w:color w:val="000000"/>
                <w:sz w:val="14"/>
                <w:szCs w:val="14"/>
              </w:rPr>
              <w:t>0</w:t>
            </w:r>
          </w:p>
        </w:tc>
        <w:tc>
          <w:tcPr>
            <w:tcW w:w="722" w:type="dxa"/>
            <w:noWrap/>
            <w:vAlign w:val="center"/>
            <w:hideMark/>
          </w:tcPr>
          <w:p w14:paraId="766592F5" w14:textId="77777777" w:rsidR="004F64EF" w:rsidRPr="003003C0" w:rsidRDefault="004F64EF" w:rsidP="00FD6B66">
            <w:pPr>
              <w:jc w:val="right"/>
              <w:rPr>
                <w:rFonts w:cs="Calibri"/>
                <w:color w:val="000000"/>
                <w:sz w:val="14"/>
                <w:szCs w:val="14"/>
              </w:rPr>
            </w:pPr>
            <w:r w:rsidRPr="003003C0">
              <w:rPr>
                <w:rFonts w:cs="Calibri"/>
                <w:color w:val="000000"/>
                <w:sz w:val="14"/>
                <w:szCs w:val="14"/>
              </w:rPr>
              <w:t>1</w:t>
            </w:r>
            <w:r>
              <w:rPr>
                <w:rFonts w:cs="Calibri"/>
                <w:color w:val="000000"/>
                <w:sz w:val="14"/>
                <w:szCs w:val="14"/>
              </w:rPr>
              <w:t>.</w:t>
            </w:r>
            <w:r w:rsidRPr="003003C0">
              <w:rPr>
                <w:rFonts w:cs="Calibri"/>
                <w:color w:val="000000"/>
                <w:sz w:val="14"/>
                <w:szCs w:val="14"/>
              </w:rPr>
              <w:t>1</w:t>
            </w:r>
          </w:p>
        </w:tc>
        <w:tc>
          <w:tcPr>
            <w:tcW w:w="721" w:type="dxa"/>
            <w:noWrap/>
            <w:vAlign w:val="center"/>
            <w:hideMark/>
          </w:tcPr>
          <w:p w14:paraId="31C3B9DD" w14:textId="77777777" w:rsidR="004F64EF" w:rsidRPr="003003C0" w:rsidRDefault="004F64EF" w:rsidP="00FD6B66">
            <w:pPr>
              <w:jc w:val="right"/>
              <w:rPr>
                <w:rFonts w:cs="Calibri"/>
                <w:color w:val="000000"/>
                <w:sz w:val="14"/>
                <w:szCs w:val="14"/>
              </w:rPr>
            </w:pPr>
            <w:r w:rsidRPr="003003C0">
              <w:rPr>
                <w:rFonts w:cs="Calibri"/>
                <w:color w:val="000000"/>
                <w:sz w:val="14"/>
                <w:szCs w:val="14"/>
              </w:rPr>
              <w:t>1</w:t>
            </w:r>
            <w:r>
              <w:rPr>
                <w:rFonts w:cs="Calibri"/>
                <w:color w:val="000000"/>
                <w:sz w:val="14"/>
                <w:szCs w:val="14"/>
              </w:rPr>
              <w:t>.</w:t>
            </w:r>
            <w:r w:rsidRPr="003003C0">
              <w:rPr>
                <w:rFonts w:cs="Calibri"/>
                <w:color w:val="000000"/>
                <w:sz w:val="14"/>
                <w:szCs w:val="14"/>
              </w:rPr>
              <w:t>1</w:t>
            </w:r>
          </w:p>
        </w:tc>
        <w:tc>
          <w:tcPr>
            <w:tcW w:w="722" w:type="dxa"/>
            <w:noWrap/>
            <w:vAlign w:val="center"/>
            <w:hideMark/>
          </w:tcPr>
          <w:p w14:paraId="3CBE2CAD" w14:textId="77777777" w:rsidR="004F64EF" w:rsidRPr="003003C0" w:rsidRDefault="004F64EF" w:rsidP="00FD6B66">
            <w:pPr>
              <w:jc w:val="right"/>
              <w:rPr>
                <w:rFonts w:cs="Calibri"/>
                <w:color w:val="000000"/>
                <w:sz w:val="14"/>
                <w:szCs w:val="14"/>
              </w:rPr>
            </w:pPr>
            <w:r w:rsidRPr="003003C0">
              <w:rPr>
                <w:rFonts w:cs="Calibri"/>
                <w:color w:val="000000"/>
                <w:sz w:val="14"/>
                <w:szCs w:val="14"/>
              </w:rPr>
              <w:t>1</w:t>
            </w:r>
            <w:r>
              <w:rPr>
                <w:rFonts w:cs="Calibri"/>
                <w:color w:val="000000"/>
                <w:sz w:val="14"/>
                <w:szCs w:val="14"/>
              </w:rPr>
              <w:t>.</w:t>
            </w:r>
            <w:r w:rsidRPr="003003C0">
              <w:rPr>
                <w:rFonts w:cs="Calibri"/>
                <w:color w:val="000000"/>
                <w:sz w:val="14"/>
                <w:szCs w:val="14"/>
              </w:rPr>
              <w:t>2</w:t>
            </w:r>
          </w:p>
        </w:tc>
        <w:tc>
          <w:tcPr>
            <w:tcW w:w="722" w:type="dxa"/>
            <w:noWrap/>
            <w:vAlign w:val="center"/>
            <w:hideMark/>
          </w:tcPr>
          <w:p w14:paraId="66C4B712" w14:textId="77777777" w:rsidR="004F64EF" w:rsidRPr="003003C0" w:rsidRDefault="004F64EF" w:rsidP="00FD6B66">
            <w:pPr>
              <w:jc w:val="right"/>
              <w:rPr>
                <w:rFonts w:cs="Calibri"/>
                <w:color w:val="000000"/>
                <w:sz w:val="14"/>
                <w:szCs w:val="14"/>
              </w:rPr>
            </w:pPr>
            <w:r w:rsidRPr="003003C0">
              <w:rPr>
                <w:rFonts w:cs="Calibri"/>
                <w:color w:val="000000"/>
                <w:sz w:val="14"/>
                <w:szCs w:val="14"/>
              </w:rPr>
              <w:t>1</w:t>
            </w:r>
            <w:r>
              <w:rPr>
                <w:rFonts w:cs="Calibri"/>
                <w:color w:val="000000"/>
                <w:sz w:val="14"/>
                <w:szCs w:val="14"/>
              </w:rPr>
              <w:t>.</w:t>
            </w:r>
            <w:r w:rsidRPr="003003C0">
              <w:rPr>
                <w:rFonts w:cs="Calibri"/>
                <w:color w:val="000000"/>
                <w:sz w:val="14"/>
                <w:szCs w:val="14"/>
              </w:rPr>
              <w:t>5</w:t>
            </w:r>
          </w:p>
        </w:tc>
        <w:tc>
          <w:tcPr>
            <w:tcW w:w="722" w:type="dxa"/>
            <w:noWrap/>
            <w:vAlign w:val="center"/>
            <w:hideMark/>
          </w:tcPr>
          <w:p w14:paraId="23B01FA8" w14:textId="77777777" w:rsidR="004F64EF" w:rsidRPr="003003C0" w:rsidRDefault="004F64EF" w:rsidP="00FD6B66">
            <w:pPr>
              <w:jc w:val="right"/>
              <w:rPr>
                <w:rFonts w:cs="Calibri"/>
                <w:color w:val="000000"/>
                <w:sz w:val="14"/>
                <w:szCs w:val="14"/>
              </w:rPr>
            </w:pPr>
            <w:r w:rsidRPr="003003C0">
              <w:rPr>
                <w:rFonts w:cs="Calibri"/>
                <w:color w:val="000000"/>
                <w:sz w:val="14"/>
                <w:szCs w:val="14"/>
              </w:rPr>
              <w:t>1</w:t>
            </w:r>
            <w:r>
              <w:rPr>
                <w:rFonts w:cs="Calibri"/>
                <w:color w:val="000000"/>
                <w:sz w:val="14"/>
                <w:szCs w:val="14"/>
              </w:rPr>
              <w:t>.</w:t>
            </w:r>
            <w:r w:rsidRPr="003003C0">
              <w:rPr>
                <w:rFonts w:cs="Calibri"/>
                <w:color w:val="000000"/>
                <w:sz w:val="14"/>
                <w:szCs w:val="14"/>
              </w:rPr>
              <w:t>2</w:t>
            </w:r>
          </w:p>
        </w:tc>
      </w:tr>
      <w:tr w:rsidR="004F64EF" w:rsidRPr="003003C0" w14:paraId="6FB85AD0" w14:textId="77777777" w:rsidTr="00FD6B66">
        <w:trPr>
          <w:cnfStyle w:val="000000010000" w:firstRow="0" w:lastRow="0" w:firstColumn="0" w:lastColumn="0" w:oddVBand="0" w:evenVBand="0" w:oddHBand="0" w:evenHBand="1" w:firstRowFirstColumn="0" w:firstRowLastColumn="0" w:lastRowFirstColumn="0" w:lastRowLastColumn="0"/>
          <w:trHeight w:val="20"/>
        </w:trPr>
        <w:tc>
          <w:tcPr>
            <w:tcW w:w="3964" w:type="dxa"/>
            <w:noWrap/>
            <w:vAlign w:val="center"/>
            <w:hideMark/>
          </w:tcPr>
          <w:p w14:paraId="47F9F99C" w14:textId="77777777" w:rsidR="004F64EF" w:rsidRPr="003003C0" w:rsidRDefault="004F64EF" w:rsidP="00B22563">
            <w:pPr>
              <w:tabs>
                <w:tab w:val="left" w:pos="227"/>
              </w:tabs>
              <w:ind w:left="227" w:hanging="227"/>
              <w:jc w:val="left"/>
              <w:rPr>
                <w:rFonts w:cs="Calibri"/>
                <w:color w:val="000000"/>
                <w:sz w:val="14"/>
                <w:szCs w:val="14"/>
              </w:rPr>
            </w:pPr>
            <w:r w:rsidRPr="003003C0">
              <w:rPr>
                <w:rFonts w:cs="Calibri"/>
                <w:color w:val="000000"/>
                <w:sz w:val="14"/>
                <w:szCs w:val="14"/>
              </w:rPr>
              <w:tab/>
              <w:t xml:space="preserve">03. </w:t>
            </w:r>
            <w:r w:rsidRPr="006A3873">
              <w:rPr>
                <w:rFonts w:cs="Calibri"/>
                <w:color w:val="000000"/>
                <w:sz w:val="14"/>
                <w:szCs w:val="14"/>
              </w:rPr>
              <w:t>Fish and crustaceans, molluscs and other aquatic invertebrates</w:t>
            </w:r>
          </w:p>
        </w:tc>
        <w:tc>
          <w:tcPr>
            <w:tcW w:w="721" w:type="dxa"/>
            <w:noWrap/>
            <w:vAlign w:val="center"/>
            <w:hideMark/>
          </w:tcPr>
          <w:p w14:paraId="5BE9AA31" w14:textId="77777777" w:rsidR="004F64EF" w:rsidRPr="003003C0" w:rsidRDefault="004F64EF" w:rsidP="00FD6B66">
            <w:pPr>
              <w:jc w:val="right"/>
              <w:rPr>
                <w:rFonts w:cs="Calibri"/>
                <w:color w:val="000000"/>
                <w:sz w:val="14"/>
                <w:szCs w:val="14"/>
              </w:rPr>
            </w:pPr>
            <w:r w:rsidRPr="003003C0">
              <w:rPr>
                <w:rFonts w:cs="Calibri"/>
                <w:color w:val="000000"/>
                <w:sz w:val="14"/>
                <w:szCs w:val="14"/>
              </w:rPr>
              <w:t>0</w:t>
            </w:r>
            <w:r>
              <w:rPr>
                <w:rFonts w:cs="Calibri"/>
                <w:color w:val="000000"/>
                <w:sz w:val="14"/>
                <w:szCs w:val="14"/>
              </w:rPr>
              <w:t>.</w:t>
            </w:r>
            <w:r w:rsidRPr="003003C0">
              <w:rPr>
                <w:rFonts w:cs="Calibri"/>
                <w:color w:val="000000"/>
                <w:sz w:val="14"/>
                <w:szCs w:val="14"/>
              </w:rPr>
              <w:t>6</w:t>
            </w:r>
          </w:p>
        </w:tc>
        <w:tc>
          <w:tcPr>
            <w:tcW w:w="722" w:type="dxa"/>
            <w:noWrap/>
            <w:vAlign w:val="center"/>
            <w:hideMark/>
          </w:tcPr>
          <w:p w14:paraId="2E32EF72" w14:textId="77777777" w:rsidR="004F64EF" w:rsidRPr="003003C0" w:rsidRDefault="004F64EF" w:rsidP="00FD6B66">
            <w:pPr>
              <w:jc w:val="right"/>
              <w:rPr>
                <w:rFonts w:cs="Calibri"/>
                <w:color w:val="000000"/>
                <w:sz w:val="14"/>
                <w:szCs w:val="14"/>
              </w:rPr>
            </w:pPr>
            <w:r w:rsidRPr="003003C0">
              <w:rPr>
                <w:rFonts w:cs="Calibri"/>
                <w:color w:val="000000"/>
                <w:sz w:val="14"/>
                <w:szCs w:val="14"/>
              </w:rPr>
              <w:t>0</w:t>
            </w:r>
            <w:r>
              <w:rPr>
                <w:rFonts w:cs="Calibri"/>
                <w:color w:val="000000"/>
                <w:sz w:val="14"/>
                <w:szCs w:val="14"/>
              </w:rPr>
              <w:t>.</w:t>
            </w:r>
            <w:r w:rsidRPr="003003C0">
              <w:rPr>
                <w:rFonts w:cs="Calibri"/>
                <w:color w:val="000000"/>
                <w:sz w:val="14"/>
                <w:szCs w:val="14"/>
              </w:rPr>
              <w:t>7</w:t>
            </w:r>
          </w:p>
        </w:tc>
        <w:tc>
          <w:tcPr>
            <w:tcW w:w="722" w:type="dxa"/>
            <w:noWrap/>
            <w:vAlign w:val="center"/>
            <w:hideMark/>
          </w:tcPr>
          <w:p w14:paraId="7318B37D" w14:textId="77777777" w:rsidR="004F64EF" w:rsidRPr="003003C0" w:rsidRDefault="004F64EF" w:rsidP="00FD6B66">
            <w:pPr>
              <w:jc w:val="right"/>
              <w:rPr>
                <w:rFonts w:cs="Calibri"/>
                <w:color w:val="000000"/>
                <w:sz w:val="14"/>
                <w:szCs w:val="14"/>
              </w:rPr>
            </w:pPr>
            <w:r w:rsidRPr="003003C0">
              <w:rPr>
                <w:rFonts w:cs="Calibri"/>
                <w:color w:val="000000"/>
                <w:sz w:val="14"/>
                <w:szCs w:val="14"/>
              </w:rPr>
              <w:t>0</w:t>
            </w:r>
            <w:r>
              <w:rPr>
                <w:rFonts w:cs="Calibri"/>
                <w:color w:val="000000"/>
                <w:sz w:val="14"/>
                <w:szCs w:val="14"/>
              </w:rPr>
              <w:t>.</w:t>
            </w:r>
            <w:r w:rsidRPr="003003C0">
              <w:rPr>
                <w:rFonts w:cs="Calibri"/>
                <w:color w:val="000000"/>
                <w:sz w:val="14"/>
                <w:szCs w:val="14"/>
              </w:rPr>
              <w:t>7</w:t>
            </w:r>
          </w:p>
        </w:tc>
        <w:tc>
          <w:tcPr>
            <w:tcW w:w="721" w:type="dxa"/>
            <w:noWrap/>
            <w:vAlign w:val="center"/>
            <w:hideMark/>
          </w:tcPr>
          <w:p w14:paraId="15AAC2C4" w14:textId="77777777" w:rsidR="004F64EF" w:rsidRPr="003003C0" w:rsidRDefault="004F64EF" w:rsidP="00FD6B66">
            <w:pPr>
              <w:jc w:val="right"/>
              <w:rPr>
                <w:rFonts w:cs="Calibri"/>
                <w:color w:val="000000"/>
                <w:sz w:val="14"/>
                <w:szCs w:val="14"/>
              </w:rPr>
            </w:pPr>
            <w:r w:rsidRPr="003003C0">
              <w:rPr>
                <w:rFonts w:cs="Calibri"/>
                <w:color w:val="000000"/>
                <w:sz w:val="14"/>
                <w:szCs w:val="14"/>
              </w:rPr>
              <w:t>0</w:t>
            </w:r>
            <w:r>
              <w:rPr>
                <w:rFonts w:cs="Calibri"/>
                <w:color w:val="000000"/>
                <w:sz w:val="14"/>
                <w:szCs w:val="14"/>
              </w:rPr>
              <w:t>.</w:t>
            </w:r>
            <w:r w:rsidRPr="003003C0">
              <w:rPr>
                <w:rFonts w:cs="Calibri"/>
                <w:color w:val="000000"/>
                <w:sz w:val="14"/>
                <w:szCs w:val="14"/>
              </w:rPr>
              <w:t>7</w:t>
            </w:r>
          </w:p>
        </w:tc>
        <w:tc>
          <w:tcPr>
            <w:tcW w:w="722" w:type="dxa"/>
            <w:noWrap/>
            <w:vAlign w:val="center"/>
            <w:hideMark/>
          </w:tcPr>
          <w:p w14:paraId="52FE9286" w14:textId="77777777" w:rsidR="004F64EF" w:rsidRPr="003003C0" w:rsidRDefault="004F64EF" w:rsidP="00FD6B66">
            <w:pPr>
              <w:jc w:val="right"/>
              <w:rPr>
                <w:rFonts w:cs="Calibri"/>
                <w:color w:val="000000"/>
                <w:sz w:val="14"/>
                <w:szCs w:val="14"/>
              </w:rPr>
            </w:pPr>
            <w:r w:rsidRPr="003003C0">
              <w:rPr>
                <w:rFonts w:cs="Calibri"/>
                <w:color w:val="000000"/>
                <w:sz w:val="14"/>
                <w:szCs w:val="14"/>
              </w:rPr>
              <w:t>0</w:t>
            </w:r>
            <w:r>
              <w:rPr>
                <w:rFonts w:cs="Calibri"/>
                <w:color w:val="000000"/>
                <w:sz w:val="14"/>
                <w:szCs w:val="14"/>
              </w:rPr>
              <w:t>.</w:t>
            </w:r>
            <w:r w:rsidRPr="003003C0">
              <w:rPr>
                <w:rFonts w:cs="Calibri"/>
                <w:color w:val="000000"/>
                <w:sz w:val="14"/>
                <w:szCs w:val="14"/>
              </w:rPr>
              <w:t>7</w:t>
            </w:r>
          </w:p>
        </w:tc>
        <w:tc>
          <w:tcPr>
            <w:tcW w:w="722" w:type="dxa"/>
            <w:noWrap/>
            <w:vAlign w:val="center"/>
            <w:hideMark/>
          </w:tcPr>
          <w:p w14:paraId="0B47F6CD" w14:textId="77777777" w:rsidR="004F64EF" w:rsidRPr="003003C0" w:rsidRDefault="004F64EF" w:rsidP="00FD6B66">
            <w:pPr>
              <w:jc w:val="right"/>
              <w:rPr>
                <w:rFonts w:cs="Calibri"/>
                <w:color w:val="000000"/>
                <w:sz w:val="14"/>
                <w:szCs w:val="14"/>
              </w:rPr>
            </w:pPr>
            <w:r w:rsidRPr="003003C0">
              <w:rPr>
                <w:rFonts w:cs="Calibri"/>
                <w:color w:val="000000"/>
                <w:sz w:val="14"/>
                <w:szCs w:val="14"/>
              </w:rPr>
              <w:t>0</w:t>
            </w:r>
            <w:r>
              <w:rPr>
                <w:rFonts w:cs="Calibri"/>
                <w:color w:val="000000"/>
                <w:sz w:val="14"/>
                <w:szCs w:val="14"/>
              </w:rPr>
              <w:t>.</w:t>
            </w:r>
            <w:r w:rsidRPr="003003C0">
              <w:rPr>
                <w:rFonts w:cs="Calibri"/>
                <w:color w:val="000000"/>
                <w:sz w:val="14"/>
                <w:szCs w:val="14"/>
              </w:rPr>
              <w:t>8</w:t>
            </w:r>
          </w:p>
        </w:tc>
        <w:tc>
          <w:tcPr>
            <w:tcW w:w="722" w:type="dxa"/>
            <w:noWrap/>
            <w:vAlign w:val="center"/>
            <w:hideMark/>
          </w:tcPr>
          <w:p w14:paraId="62D3BAF6" w14:textId="77777777" w:rsidR="004F64EF" w:rsidRPr="003003C0" w:rsidRDefault="004F64EF" w:rsidP="00FD6B66">
            <w:pPr>
              <w:jc w:val="right"/>
              <w:rPr>
                <w:rFonts w:cs="Calibri"/>
                <w:color w:val="000000"/>
                <w:sz w:val="14"/>
                <w:szCs w:val="14"/>
              </w:rPr>
            </w:pPr>
            <w:r w:rsidRPr="003003C0">
              <w:rPr>
                <w:rFonts w:cs="Calibri"/>
                <w:color w:val="000000"/>
                <w:sz w:val="14"/>
                <w:szCs w:val="14"/>
              </w:rPr>
              <w:t>0</w:t>
            </w:r>
            <w:r>
              <w:rPr>
                <w:rFonts w:cs="Calibri"/>
                <w:color w:val="000000"/>
                <w:sz w:val="14"/>
                <w:szCs w:val="14"/>
              </w:rPr>
              <w:t>.</w:t>
            </w:r>
            <w:r w:rsidRPr="003003C0">
              <w:rPr>
                <w:rFonts w:cs="Calibri"/>
                <w:color w:val="000000"/>
                <w:sz w:val="14"/>
                <w:szCs w:val="14"/>
              </w:rPr>
              <w:t>7</w:t>
            </w:r>
          </w:p>
        </w:tc>
      </w:tr>
      <w:tr w:rsidR="004F64EF" w:rsidRPr="003003C0" w14:paraId="366CEC33" w14:textId="77777777" w:rsidTr="00FD6B66">
        <w:trPr>
          <w:trHeight w:val="20"/>
        </w:trPr>
        <w:tc>
          <w:tcPr>
            <w:tcW w:w="3964" w:type="dxa"/>
            <w:noWrap/>
            <w:vAlign w:val="center"/>
            <w:hideMark/>
          </w:tcPr>
          <w:p w14:paraId="0E80C98A" w14:textId="77777777" w:rsidR="004F64EF" w:rsidRPr="003003C0" w:rsidRDefault="004F64EF" w:rsidP="00FD6B66">
            <w:pPr>
              <w:jc w:val="left"/>
              <w:rPr>
                <w:rFonts w:cs="Calibri"/>
                <w:color w:val="000000"/>
                <w:sz w:val="14"/>
                <w:szCs w:val="14"/>
              </w:rPr>
            </w:pPr>
            <w:r w:rsidRPr="003003C0">
              <w:rPr>
                <w:rFonts w:cs="Calibri"/>
                <w:color w:val="000000"/>
                <w:sz w:val="14"/>
                <w:szCs w:val="14"/>
              </w:rPr>
              <w:t xml:space="preserve">2 </w:t>
            </w:r>
            <w:r>
              <w:rPr>
                <w:rFonts w:cs="Calibri"/>
                <w:color w:val="000000"/>
                <w:sz w:val="14"/>
                <w:szCs w:val="14"/>
              </w:rPr>
              <w:t>–</w:t>
            </w:r>
            <w:r w:rsidRPr="003003C0">
              <w:rPr>
                <w:rFonts w:cs="Calibri"/>
                <w:color w:val="000000"/>
                <w:sz w:val="14"/>
                <w:szCs w:val="14"/>
              </w:rPr>
              <w:t xml:space="preserve"> </w:t>
            </w:r>
            <w:r>
              <w:rPr>
                <w:rFonts w:cs="Calibri"/>
                <w:color w:val="000000"/>
                <w:sz w:val="14"/>
                <w:szCs w:val="14"/>
              </w:rPr>
              <w:t>Vegetable products</w:t>
            </w:r>
            <w:r w:rsidRPr="003003C0">
              <w:rPr>
                <w:rFonts w:cs="Calibri"/>
                <w:color w:val="000000"/>
                <w:sz w:val="14"/>
                <w:szCs w:val="14"/>
              </w:rPr>
              <w:t xml:space="preserve"> </w:t>
            </w:r>
          </w:p>
        </w:tc>
        <w:tc>
          <w:tcPr>
            <w:tcW w:w="721" w:type="dxa"/>
            <w:noWrap/>
            <w:vAlign w:val="center"/>
            <w:hideMark/>
          </w:tcPr>
          <w:p w14:paraId="7DC05CDD" w14:textId="77777777" w:rsidR="004F64EF" w:rsidRPr="003003C0" w:rsidRDefault="004F64EF" w:rsidP="00FD6B66">
            <w:pPr>
              <w:jc w:val="right"/>
              <w:rPr>
                <w:rFonts w:cs="Calibri"/>
                <w:color w:val="000000"/>
                <w:sz w:val="14"/>
                <w:szCs w:val="14"/>
              </w:rPr>
            </w:pPr>
            <w:r w:rsidRPr="003003C0">
              <w:rPr>
                <w:rFonts w:cs="Calibri"/>
                <w:color w:val="000000"/>
                <w:sz w:val="14"/>
                <w:szCs w:val="14"/>
              </w:rPr>
              <w:t>4</w:t>
            </w:r>
            <w:r>
              <w:rPr>
                <w:rFonts w:cs="Calibri"/>
                <w:color w:val="000000"/>
                <w:sz w:val="14"/>
                <w:szCs w:val="14"/>
              </w:rPr>
              <w:t>.</w:t>
            </w:r>
            <w:r w:rsidRPr="003003C0">
              <w:rPr>
                <w:rFonts w:cs="Calibri"/>
                <w:color w:val="000000"/>
                <w:sz w:val="14"/>
                <w:szCs w:val="14"/>
              </w:rPr>
              <w:t>1</w:t>
            </w:r>
          </w:p>
        </w:tc>
        <w:tc>
          <w:tcPr>
            <w:tcW w:w="722" w:type="dxa"/>
            <w:noWrap/>
            <w:vAlign w:val="center"/>
            <w:hideMark/>
          </w:tcPr>
          <w:p w14:paraId="57B79128" w14:textId="77777777" w:rsidR="004F64EF" w:rsidRPr="003003C0" w:rsidRDefault="004F64EF" w:rsidP="00FD6B66">
            <w:pPr>
              <w:jc w:val="right"/>
              <w:rPr>
                <w:rFonts w:cs="Calibri"/>
                <w:color w:val="000000"/>
                <w:sz w:val="14"/>
                <w:szCs w:val="14"/>
              </w:rPr>
            </w:pPr>
            <w:r w:rsidRPr="003003C0">
              <w:rPr>
                <w:rFonts w:cs="Calibri"/>
                <w:color w:val="000000"/>
                <w:sz w:val="14"/>
                <w:szCs w:val="14"/>
              </w:rPr>
              <w:t>3</w:t>
            </w:r>
            <w:r>
              <w:rPr>
                <w:rFonts w:cs="Calibri"/>
                <w:color w:val="000000"/>
                <w:sz w:val="14"/>
                <w:szCs w:val="14"/>
              </w:rPr>
              <w:t>.</w:t>
            </w:r>
            <w:r w:rsidRPr="003003C0">
              <w:rPr>
                <w:rFonts w:cs="Calibri"/>
                <w:color w:val="000000"/>
                <w:sz w:val="14"/>
                <w:szCs w:val="14"/>
              </w:rPr>
              <w:t>9</w:t>
            </w:r>
          </w:p>
        </w:tc>
        <w:tc>
          <w:tcPr>
            <w:tcW w:w="722" w:type="dxa"/>
            <w:noWrap/>
            <w:vAlign w:val="center"/>
            <w:hideMark/>
          </w:tcPr>
          <w:p w14:paraId="38488393" w14:textId="77777777" w:rsidR="004F64EF" w:rsidRPr="003003C0" w:rsidRDefault="004F64EF" w:rsidP="00FD6B66">
            <w:pPr>
              <w:jc w:val="right"/>
              <w:rPr>
                <w:rFonts w:cs="Calibri"/>
                <w:color w:val="000000"/>
                <w:sz w:val="14"/>
                <w:szCs w:val="14"/>
              </w:rPr>
            </w:pPr>
            <w:r w:rsidRPr="003003C0">
              <w:rPr>
                <w:rFonts w:cs="Calibri"/>
                <w:color w:val="000000"/>
                <w:sz w:val="14"/>
                <w:szCs w:val="14"/>
              </w:rPr>
              <w:t>4</w:t>
            </w:r>
            <w:r>
              <w:rPr>
                <w:rFonts w:cs="Calibri"/>
                <w:color w:val="000000"/>
                <w:sz w:val="14"/>
                <w:szCs w:val="14"/>
              </w:rPr>
              <w:t>.</w:t>
            </w:r>
            <w:r w:rsidRPr="003003C0">
              <w:rPr>
                <w:rFonts w:cs="Calibri"/>
                <w:color w:val="000000"/>
                <w:sz w:val="14"/>
                <w:szCs w:val="14"/>
              </w:rPr>
              <w:t>4</w:t>
            </w:r>
          </w:p>
        </w:tc>
        <w:tc>
          <w:tcPr>
            <w:tcW w:w="721" w:type="dxa"/>
            <w:noWrap/>
            <w:vAlign w:val="center"/>
            <w:hideMark/>
          </w:tcPr>
          <w:p w14:paraId="50EC6249" w14:textId="77777777" w:rsidR="004F64EF" w:rsidRPr="003003C0" w:rsidRDefault="004F64EF" w:rsidP="00FD6B66">
            <w:pPr>
              <w:jc w:val="right"/>
              <w:rPr>
                <w:rFonts w:cs="Calibri"/>
                <w:color w:val="000000"/>
                <w:sz w:val="14"/>
                <w:szCs w:val="14"/>
              </w:rPr>
            </w:pPr>
            <w:r w:rsidRPr="003003C0">
              <w:rPr>
                <w:rFonts w:cs="Calibri"/>
                <w:color w:val="000000"/>
                <w:sz w:val="14"/>
                <w:szCs w:val="14"/>
              </w:rPr>
              <w:t>3</w:t>
            </w:r>
            <w:r>
              <w:rPr>
                <w:rFonts w:cs="Calibri"/>
                <w:color w:val="000000"/>
                <w:sz w:val="14"/>
                <w:szCs w:val="14"/>
              </w:rPr>
              <w:t>.</w:t>
            </w:r>
            <w:r w:rsidRPr="003003C0">
              <w:rPr>
                <w:rFonts w:cs="Calibri"/>
                <w:color w:val="000000"/>
                <w:sz w:val="14"/>
                <w:szCs w:val="14"/>
              </w:rPr>
              <w:t>9</w:t>
            </w:r>
          </w:p>
        </w:tc>
        <w:tc>
          <w:tcPr>
            <w:tcW w:w="722" w:type="dxa"/>
            <w:noWrap/>
            <w:vAlign w:val="center"/>
            <w:hideMark/>
          </w:tcPr>
          <w:p w14:paraId="17837A17" w14:textId="77777777" w:rsidR="004F64EF" w:rsidRPr="003003C0" w:rsidRDefault="004F64EF" w:rsidP="00FD6B66">
            <w:pPr>
              <w:jc w:val="right"/>
              <w:rPr>
                <w:rFonts w:cs="Calibri"/>
                <w:color w:val="000000"/>
                <w:sz w:val="14"/>
                <w:szCs w:val="14"/>
              </w:rPr>
            </w:pPr>
            <w:r w:rsidRPr="003003C0">
              <w:rPr>
                <w:rFonts w:cs="Calibri"/>
                <w:color w:val="000000"/>
                <w:sz w:val="14"/>
                <w:szCs w:val="14"/>
              </w:rPr>
              <w:t>4</w:t>
            </w:r>
            <w:r>
              <w:rPr>
                <w:rFonts w:cs="Calibri"/>
                <w:color w:val="000000"/>
                <w:sz w:val="14"/>
                <w:szCs w:val="14"/>
              </w:rPr>
              <w:t>.</w:t>
            </w:r>
            <w:r w:rsidRPr="003003C0">
              <w:rPr>
                <w:rFonts w:cs="Calibri"/>
                <w:color w:val="000000"/>
                <w:sz w:val="14"/>
                <w:szCs w:val="14"/>
              </w:rPr>
              <w:t>2</w:t>
            </w:r>
          </w:p>
        </w:tc>
        <w:tc>
          <w:tcPr>
            <w:tcW w:w="722" w:type="dxa"/>
            <w:noWrap/>
            <w:vAlign w:val="center"/>
            <w:hideMark/>
          </w:tcPr>
          <w:p w14:paraId="29EF8997" w14:textId="77777777" w:rsidR="004F64EF" w:rsidRPr="003003C0" w:rsidRDefault="004F64EF" w:rsidP="00FD6B66">
            <w:pPr>
              <w:jc w:val="right"/>
              <w:rPr>
                <w:rFonts w:cs="Calibri"/>
                <w:color w:val="000000"/>
                <w:sz w:val="14"/>
                <w:szCs w:val="14"/>
              </w:rPr>
            </w:pPr>
            <w:r w:rsidRPr="003003C0">
              <w:rPr>
                <w:rFonts w:cs="Calibri"/>
                <w:color w:val="000000"/>
                <w:sz w:val="14"/>
                <w:szCs w:val="14"/>
              </w:rPr>
              <w:t>4</w:t>
            </w:r>
            <w:r>
              <w:rPr>
                <w:rFonts w:cs="Calibri"/>
                <w:color w:val="000000"/>
                <w:sz w:val="14"/>
                <w:szCs w:val="14"/>
              </w:rPr>
              <w:t>.</w:t>
            </w:r>
            <w:r w:rsidRPr="003003C0">
              <w:rPr>
                <w:rFonts w:cs="Calibri"/>
                <w:color w:val="000000"/>
                <w:sz w:val="14"/>
                <w:szCs w:val="14"/>
              </w:rPr>
              <w:t>8</w:t>
            </w:r>
          </w:p>
        </w:tc>
        <w:tc>
          <w:tcPr>
            <w:tcW w:w="722" w:type="dxa"/>
            <w:noWrap/>
            <w:vAlign w:val="center"/>
            <w:hideMark/>
          </w:tcPr>
          <w:p w14:paraId="657E3966" w14:textId="77777777" w:rsidR="004F64EF" w:rsidRPr="003003C0" w:rsidRDefault="004F64EF" w:rsidP="00FD6B66">
            <w:pPr>
              <w:jc w:val="right"/>
              <w:rPr>
                <w:rFonts w:cs="Calibri"/>
                <w:color w:val="000000"/>
                <w:sz w:val="14"/>
                <w:szCs w:val="14"/>
              </w:rPr>
            </w:pPr>
            <w:r w:rsidRPr="003003C0">
              <w:rPr>
                <w:rFonts w:cs="Calibri"/>
                <w:color w:val="000000"/>
                <w:sz w:val="14"/>
                <w:szCs w:val="14"/>
              </w:rPr>
              <w:t>4</w:t>
            </w:r>
            <w:r>
              <w:rPr>
                <w:rFonts w:cs="Calibri"/>
                <w:color w:val="000000"/>
                <w:sz w:val="14"/>
                <w:szCs w:val="14"/>
              </w:rPr>
              <w:t>.</w:t>
            </w:r>
            <w:r w:rsidRPr="003003C0">
              <w:rPr>
                <w:rFonts w:cs="Calibri"/>
                <w:color w:val="000000"/>
                <w:sz w:val="14"/>
                <w:szCs w:val="14"/>
              </w:rPr>
              <w:t>5</w:t>
            </w:r>
          </w:p>
        </w:tc>
      </w:tr>
      <w:tr w:rsidR="004F64EF" w:rsidRPr="003003C0" w14:paraId="06B82C7B" w14:textId="77777777" w:rsidTr="00FD6B66">
        <w:trPr>
          <w:cnfStyle w:val="000000010000" w:firstRow="0" w:lastRow="0" w:firstColumn="0" w:lastColumn="0" w:oddVBand="0" w:evenVBand="0" w:oddHBand="0" w:evenHBand="1" w:firstRowFirstColumn="0" w:firstRowLastColumn="0" w:lastRowFirstColumn="0" w:lastRowLastColumn="0"/>
          <w:trHeight w:val="20"/>
        </w:trPr>
        <w:tc>
          <w:tcPr>
            <w:tcW w:w="3964" w:type="dxa"/>
            <w:noWrap/>
            <w:vAlign w:val="center"/>
            <w:hideMark/>
          </w:tcPr>
          <w:p w14:paraId="0BAE3AD2" w14:textId="77777777" w:rsidR="004F64EF" w:rsidRPr="003003C0" w:rsidRDefault="004F64EF" w:rsidP="00FD6B66">
            <w:pPr>
              <w:tabs>
                <w:tab w:val="left" w:pos="227"/>
              </w:tabs>
              <w:jc w:val="left"/>
              <w:rPr>
                <w:rFonts w:cs="Calibri"/>
                <w:color w:val="000000"/>
                <w:sz w:val="14"/>
                <w:szCs w:val="14"/>
              </w:rPr>
            </w:pPr>
            <w:r w:rsidRPr="003003C0">
              <w:rPr>
                <w:rFonts w:cs="Calibri"/>
                <w:color w:val="000000"/>
                <w:sz w:val="14"/>
                <w:szCs w:val="14"/>
              </w:rPr>
              <w:tab/>
              <w:t>10. Cereals</w:t>
            </w:r>
          </w:p>
        </w:tc>
        <w:tc>
          <w:tcPr>
            <w:tcW w:w="721" w:type="dxa"/>
            <w:noWrap/>
            <w:vAlign w:val="center"/>
            <w:hideMark/>
          </w:tcPr>
          <w:p w14:paraId="3613390C" w14:textId="77777777" w:rsidR="004F64EF" w:rsidRPr="003003C0" w:rsidRDefault="004F64EF" w:rsidP="00FD6B66">
            <w:pPr>
              <w:jc w:val="right"/>
              <w:rPr>
                <w:rFonts w:cs="Calibri"/>
                <w:color w:val="000000"/>
                <w:sz w:val="14"/>
                <w:szCs w:val="14"/>
              </w:rPr>
            </w:pPr>
            <w:r w:rsidRPr="003003C0">
              <w:rPr>
                <w:rFonts w:cs="Calibri"/>
                <w:color w:val="000000"/>
                <w:sz w:val="14"/>
                <w:szCs w:val="14"/>
              </w:rPr>
              <w:t>2</w:t>
            </w:r>
            <w:r>
              <w:rPr>
                <w:rFonts w:cs="Calibri"/>
                <w:color w:val="000000"/>
                <w:sz w:val="14"/>
                <w:szCs w:val="14"/>
              </w:rPr>
              <w:t>.</w:t>
            </w:r>
            <w:r w:rsidRPr="003003C0">
              <w:rPr>
                <w:rFonts w:cs="Calibri"/>
                <w:color w:val="000000"/>
                <w:sz w:val="14"/>
                <w:szCs w:val="14"/>
              </w:rPr>
              <w:t>1</w:t>
            </w:r>
          </w:p>
        </w:tc>
        <w:tc>
          <w:tcPr>
            <w:tcW w:w="722" w:type="dxa"/>
            <w:noWrap/>
            <w:vAlign w:val="center"/>
            <w:hideMark/>
          </w:tcPr>
          <w:p w14:paraId="1A804206" w14:textId="77777777" w:rsidR="004F64EF" w:rsidRPr="003003C0" w:rsidRDefault="004F64EF" w:rsidP="00FD6B66">
            <w:pPr>
              <w:jc w:val="right"/>
              <w:rPr>
                <w:rFonts w:cs="Calibri"/>
                <w:color w:val="000000"/>
                <w:sz w:val="14"/>
                <w:szCs w:val="14"/>
              </w:rPr>
            </w:pPr>
            <w:r w:rsidRPr="003003C0">
              <w:rPr>
                <w:rFonts w:cs="Calibri"/>
                <w:color w:val="000000"/>
                <w:sz w:val="14"/>
                <w:szCs w:val="14"/>
              </w:rPr>
              <w:t>1</w:t>
            </w:r>
            <w:r>
              <w:rPr>
                <w:rFonts w:cs="Calibri"/>
                <w:color w:val="000000"/>
                <w:sz w:val="14"/>
                <w:szCs w:val="14"/>
              </w:rPr>
              <w:t>.</w:t>
            </w:r>
            <w:r w:rsidRPr="003003C0">
              <w:rPr>
                <w:rFonts w:cs="Calibri"/>
                <w:color w:val="000000"/>
                <w:sz w:val="14"/>
                <w:szCs w:val="14"/>
              </w:rPr>
              <w:t>9</w:t>
            </w:r>
          </w:p>
        </w:tc>
        <w:tc>
          <w:tcPr>
            <w:tcW w:w="722" w:type="dxa"/>
            <w:noWrap/>
            <w:vAlign w:val="center"/>
            <w:hideMark/>
          </w:tcPr>
          <w:p w14:paraId="4571B0A7" w14:textId="77777777" w:rsidR="004F64EF" w:rsidRPr="003003C0" w:rsidRDefault="004F64EF" w:rsidP="00FD6B66">
            <w:pPr>
              <w:jc w:val="right"/>
              <w:rPr>
                <w:rFonts w:cs="Calibri"/>
                <w:color w:val="000000"/>
                <w:sz w:val="14"/>
                <w:szCs w:val="14"/>
              </w:rPr>
            </w:pPr>
            <w:r w:rsidRPr="003003C0">
              <w:rPr>
                <w:rFonts w:cs="Calibri"/>
                <w:color w:val="000000"/>
                <w:sz w:val="14"/>
                <w:szCs w:val="14"/>
              </w:rPr>
              <w:t>2</w:t>
            </w:r>
            <w:r>
              <w:rPr>
                <w:rFonts w:cs="Calibri"/>
                <w:color w:val="000000"/>
                <w:sz w:val="14"/>
                <w:szCs w:val="14"/>
              </w:rPr>
              <w:t>.</w:t>
            </w:r>
            <w:r w:rsidRPr="003003C0">
              <w:rPr>
                <w:rFonts w:cs="Calibri"/>
                <w:color w:val="000000"/>
                <w:sz w:val="14"/>
                <w:szCs w:val="14"/>
              </w:rPr>
              <w:t>0</w:t>
            </w:r>
          </w:p>
        </w:tc>
        <w:tc>
          <w:tcPr>
            <w:tcW w:w="721" w:type="dxa"/>
            <w:noWrap/>
            <w:vAlign w:val="center"/>
            <w:hideMark/>
          </w:tcPr>
          <w:p w14:paraId="3592D3A8" w14:textId="77777777" w:rsidR="004F64EF" w:rsidRPr="003003C0" w:rsidRDefault="004F64EF" w:rsidP="00FD6B66">
            <w:pPr>
              <w:jc w:val="right"/>
              <w:rPr>
                <w:rFonts w:cs="Calibri"/>
                <w:color w:val="000000"/>
                <w:sz w:val="14"/>
                <w:szCs w:val="14"/>
              </w:rPr>
            </w:pPr>
            <w:r w:rsidRPr="003003C0">
              <w:rPr>
                <w:rFonts w:cs="Calibri"/>
                <w:color w:val="000000"/>
                <w:sz w:val="14"/>
                <w:szCs w:val="14"/>
              </w:rPr>
              <w:t>1</w:t>
            </w:r>
            <w:r>
              <w:rPr>
                <w:rFonts w:cs="Calibri"/>
                <w:color w:val="000000"/>
                <w:sz w:val="14"/>
                <w:szCs w:val="14"/>
              </w:rPr>
              <w:t>.</w:t>
            </w:r>
            <w:r w:rsidRPr="003003C0">
              <w:rPr>
                <w:rFonts w:cs="Calibri"/>
                <w:color w:val="000000"/>
                <w:sz w:val="14"/>
                <w:szCs w:val="14"/>
              </w:rPr>
              <w:t>9</w:t>
            </w:r>
          </w:p>
        </w:tc>
        <w:tc>
          <w:tcPr>
            <w:tcW w:w="722" w:type="dxa"/>
            <w:noWrap/>
            <w:vAlign w:val="center"/>
            <w:hideMark/>
          </w:tcPr>
          <w:p w14:paraId="5CCE9777" w14:textId="77777777" w:rsidR="004F64EF" w:rsidRPr="003003C0" w:rsidRDefault="004F64EF" w:rsidP="00FD6B66">
            <w:pPr>
              <w:jc w:val="right"/>
              <w:rPr>
                <w:rFonts w:cs="Calibri"/>
                <w:color w:val="000000"/>
                <w:sz w:val="14"/>
                <w:szCs w:val="14"/>
              </w:rPr>
            </w:pPr>
            <w:r w:rsidRPr="003003C0">
              <w:rPr>
                <w:rFonts w:cs="Calibri"/>
                <w:color w:val="000000"/>
                <w:sz w:val="14"/>
                <w:szCs w:val="14"/>
              </w:rPr>
              <w:t>2</w:t>
            </w:r>
            <w:r>
              <w:rPr>
                <w:rFonts w:cs="Calibri"/>
                <w:color w:val="000000"/>
                <w:sz w:val="14"/>
                <w:szCs w:val="14"/>
              </w:rPr>
              <w:t>.</w:t>
            </w:r>
            <w:r w:rsidRPr="003003C0">
              <w:rPr>
                <w:rFonts w:cs="Calibri"/>
                <w:color w:val="000000"/>
                <w:sz w:val="14"/>
                <w:szCs w:val="14"/>
              </w:rPr>
              <w:t>0</w:t>
            </w:r>
          </w:p>
        </w:tc>
        <w:tc>
          <w:tcPr>
            <w:tcW w:w="722" w:type="dxa"/>
            <w:noWrap/>
            <w:vAlign w:val="center"/>
            <w:hideMark/>
          </w:tcPr>
          <w:p w14:paraId="7C959C59" w14:textId="77777777" w:rsidR="004F64EF" w:rsidRPr="003003C0" w:rsidRDefault="004F64EF" w:rsidP="00FD6B66">
            <w:pPr>
              <w:jc w:val="right"/>
              <w:rPr>
                <w:rFonts w:cs="Calibri"/>
                <w:color w:val="000000"/>
                <w:sz w:val="14"/>
                <w:szCs w:val="14"/>
              </w:rPr>
            </w:pPr>
            <w:r w:rsidRPr="003003C0">
              <w:rPr>
                <w:rFonts w:cs="Calibri"/>
                <w:color w:val="000000"/>
                <w:sz w:val="14"/>
                <w:szCs w:val="14"/>
              </w:rPr>
              <w:t>2</w:t>
            </w:r>
            <w:r>
              <w:rPr>
                <w:rFonts w:cs="Calibri"/>
                <w:color w:val="000000"/>
                <w:sz w:val="14"/>
                <w:szCs w:val="14"/>
              </w:rPr>
              <w:t>.</w:t>
            </w:r>
            <w:r w:rsidRPr="003003C0">
              <w:rPr>
                <w:rFonts w:cs="Calibri"/>
                <w:color w:val="000000"/>
                <w:sz w:val="14"/>
                <w:szCs w:val="14"/>
              </w:rPr>
              <w:t>2</w:t>
            </w:r>
          </w:p>
        </w:tc>
        <w:tc>
          <w:tcPr>
            <w:tcW w:w="722" w:type="dxa"/>
            <w:noWrap/>
            <w:vAlign w:val="center"/>
            <w:hideMark/>
          </w:tcPr>
          <w:p w14:paraId="129C06A9" w14:textId="77777777" w:rsidR="004F64EF" w:rsidRPr="003003C0" w:rsidRDefault="004F64EF" w:rsidP="00FD6B66">
            <w:pPr>
              <w:jc w:val="right"/>
              <w:rPr>
                <w:rFonts w:cs="Calibri"/>
                <w:color w:val="000000"/>
                <w:sz w:val="14"/>
                <w:szCs w:val="14"/>
              </w:rPr>
            </w:pPr>
            <w:r w:rsidRPr="003003C0">
              <w:rPr>
                <w:rFonts w:cs="Calibri"/>
                <w:color w:val="000000"/>
                <w:sz w:val="14"/>
                <w:szCs w:val="14"/>
              </w:rPr>
              <w:t>2</w:t>
            </w:r>
            <w:r>
              <w:rPr>
                <w:rFonts w:cs="Calibri"/>
                <w:color w:val="000000"/>
                <w:sz w:val="14"/>
                <w:szCs w:val="14"/>
              </w:rPr>
              <w:t>.</w:t>
            </w:r>
            <w:r w:rsidRPr="003003C0">
              <w:rPr>
                <w:rFonts w:cs="Calibri"/>
                <w:color w:val="000000"/>
                <w:sz w:val="14"/>
                <w:szCs w:val="14"/>
              </w:rPr>
              <w:t>4</w:t>
            </w:r>
          </w:p>
        </w:tc>
      </w:tr>
      <w:tr w:rsidR="004F64EF" w:rsidRPr="003003C0" w14:paraId="3FC0EFB0" w14:textId="77777777" w:rsidTr="00FD6B66">
        <w:trPr>
          <w:trHeight w:val="20"/>
        </w:trPr>
        <w:tc>
          <w:tcPr>
            <w:tcW w:w="3964" w:type="dxa"/>
            <w:noWrap/>
            <w:vAlign w:val="center"/>
            <w:hideMark/>
          </w:tcPr>
          <w:p w14:paraId="628F2F2B" w14:textId="77777777" w:rsidR="004F64EF" w:rsidRPr="003003C0" w:rsidRDefault="004F64EF" w:rsidP="00B22563">
            <w:pPr>
              <w:tabs>
                <w:tab w:val="left" w:pos="227"/>
              </w:tabs>
              <w:ind w:left="227" w:hanging="227"/>
              <w:jc w:val="left"/>
              <w:rPr>
                <w:rFonts w:cs="Calibri"/>
                <w:color w:val="000000"/>
                <w:sz w:val="14"/>
                <w:szCs w:val="14"/>
              </w:rPr>
            </w:pPr>
            <w:r w:rsidRPr="003003C0">
              <w:rPr>
                <w:rFonts w:cs="Calibri"/>
                <w:color w:val="000000"/>
                <w:sz w:val="14"/>
                <w:szCs w:val="14"/>
              </w:rPr>
              <w:tab/>
              <w:t xml:space="preserve">12. </w:t>
            </w:r>
            <w:r w:rsidRPr="006A3873">
              <w:rPr>
                <w:rFonts w:cs="Calibri"/>
                <w:color w:val="000000"/>
                <w:sz w:val="14"/>
                <w:szCs w:val="14"/>
              </w:rPr>
              <w:t>Oil seeds and oleaginous fruits; miscellaneous grains, seeds and fruit; industrial or medicinal plants;</w:t>
            </w:r>
            <w:r>
              <w:rPr>
                <w:rFonts w:cs="Calibri"/>
                <w:color w:val="000000"/>
                <w:sz w:val="14"/>
                <w:szCs w:val="14"/>
              </w:rPr>
              <w:t xml:space="preserve"> </w:t>
            </w:r>
            <w:r w:rsidRPr="006A3873">
              <w:rPr>
                <w:rFonts w:cs="Calibri"/>
                <w:color w:val="000000"/>
                <w:sz w:val="14"/>
                <w:szCs w:val="14"/>
              </w:rPr>
              <w:t>straw and fodder</w:t>
            </w:r>
          </w:p>
        </w:tc>
        <w:tc>
          <w:tcPr>
            <w:tcW w:w="721" w:type="dxa"/>
            <w:noWrap/>
            <w:vAlign w:val="center"/>
            <w:hideMark/>
          </w:tcPr>
          <w:p w14:paraId="2A115F36" w14:textId="77777777" w:rsidR="004F64EF" w:rsidRPr="003003C0" w:rsidRDefault="004F64EF" w:rsidP="00FD6B66">
            <w:pPr>
              <w:jc w:val="right"/>
              <w:rPr>
                <w:rFonts w:cs="Calibri"/>
                <w:color w:val="000000"/>
                <w:sz w:val="14"/>
                <w:szCs w:val="14"/>
              </w:rPr>
            </w:pPr>
            <w:r w:rsidRPr="003003C0">
              <w:rPr>
                <w:rFonts w:cs="Calibri"/>
                <w:color w:val="000000"/>
                <w:sz w:val="14"/>
                <w:szCs w:val="14"/>
              </w:rPr>
              <w:t>0</w:t>
            </w:r>
            <w:r>
              <w:rPr>
                <w:rFonts w:cs="Calibri"/>
                <w:color w:val="000000"/>
                <w:sz w:val="14"/>
                <w:szCs w:val="14"/>
              </w:rPr>
              <w:t>.</w:t>
            </w:r>
            <w:r w:rsidRPr="003003C0">
              <w:rPr>
                <w:rFonts w:cs="Calibri"/>
                <w:color w:val="000000"/>
                <w:sz w:val="14"/>
                <w:szCs w:val="14"/>
              </w:rPr>
              <w:t>5</w:t>
            </w:r>
          </w:p>
        </w:tc>
        <w:tc>
          <w:tcPr>
            <w:tcW w:w="722" w:type="dxa"/>
            <w:noWrap/>
            <w:vAlign w:val="center"/>
            <w:hideMark/>
          </w:tcPr>
          <w:p w14:paraId="777E653E" w14:textId="77777777" w:rsidR="004F64EF" w:rsidRPr="003003C0" w:rsidRDefault="004F64EF" w:rsidP="00FD6B66">
            <w:pPr>
              <w:jc w:val="right"/>
              <w:rPr>
                <w:rFonts w:cs="Calibri"/>
                <w:color w:val="000000"/>
                <w:sz w:val="14"/>
                <w:szCs w:val="14"/>
              </w:rPr>
            </w:pPr>
            <w:r w:rsidRPr="003003C0">
              <w:rPr>
                <w:rFonts w:cs="Calibri"/>
                <w:color w:val="000000"/>
                <w:sz w:val="14"/>
                <w:szCs w:val="14"/>
              </w:rPr>
              <w:t>0</w:t>
            </w:r>
            <w:r>
              <w:rPr>
                <w:rFonts w:cs="Calibri"/>
                <w:color w:val="000000"/>
                <w:sz w:val="14"/>
                <w:szCs w:val="14"/>
              </w:rPr>
              <w:t>.</w:t>
            </w:r>
            <w:r w:rsidRPr="003003C0">
              <w:rPr>
                <w:rFonts w:cs="Calibri"/>
                <w:color w:val="000000"/>
                <w:sz w:val="14"/>
                <w:szCs w:val="14"/>
              </w:rPr>
              <w:t>5</w:t>
            </w:r>
          </w:p>
        </w:tc>
        <w:tc>
          <w:tcPr>
            <w:tcW w:w="722" w:type="dxa"/>
            <w:noWrap/>
            <w:vAlign w:val="center"/>
            <w:hideMark/>
          </w:tcPr>
          <w:p w14:paraId="46FEF86E" w14:textId="77777777" w:rsidR="004F64EF" w:rsidRPr="003003C0" w:rsidRDefault="004F64EF" w:rsidP="00FD6B66">
            <w:pPr>
              <w:jc w:val="right"/>
              <w:rPr>
                <w:rFonts w:cs="Calibri"/>
                <w:color w:val="000000"/>
                <w:sz w:val="14"/>
                <w:szCs w:val="14"/>
              </w:rPr>
            </w:pPr>
            <w:r w:rsidRPr="003003C0">
              <w:rPr>
                <w:rFonts w:cs="Calibri"/>
                <w:color w:val="000000"/>
                <w:sz w:val="14"/>
                <w:szCs w:val="14"/>
              </w:rPr>
              <w:t>0</w:t>
            </w:r>
            <w:r>
              <w:rPr>
                <w:rFonts w:cs="Calibri"/>
                <w:color w:val="000000"/>
                <w:sz w:val="14"/>
                <w:szCs w:val="14"/>
              </w:rPr>
              <w:t>.</w:t>
            </w:r>
            <w:r w:rsidRPr="003003C0">
              <w:rPr>
                <w:rFonts w:cs="Calibri"/>
                <w:color w:val="000000"/>
                <w:sz w:val="14"/>
                <w:szCs w:val="14"/>
              </w:rPr>
              <w:t>6</w:t>
            </w:r>
          </w:p>
        </w:tc>
        <w:tc>
          <w:tcPr>
            <w:tcW w:w="721" w:type="dxa"/>
            <w:noWrap/>
            <w:vAlign w:val="center"/>
            <w:hideMark/>
          </w:tcPr>
          <w:p w14:paraId="3E8D6602" w14:textId="77777777" w:rsidR="004F64EF" w:rsidRPr="003003C0" w:rsidRDefault="004F64EF" w:rsidP="00FD6B66">
            <w:pPr>
              <w:jc w:val="right"/>
              <w:rPr>
                <w:rFonts w:cs="Calibri"/>
                <w:color w:val="000000"/>
                <w:sz w:val="14"/>
                <w:szCs w:val="14"/>
              </w:rPr>
            </w:pPr>
            <w:r w:rsidRPr="003003C0">
              <w:rPr>
                <w:rFonts w:cs="Calibri"/>
                <w:color w:val="000000"/>
                <w:sz w:val="14"/>
                <w:szCs w:val="14"/>
              </w:rPr>
              <w:t>0</w:t>
            </w:r>
            <w:r>
              <w:rPr>
                <w:rFonts w:cs="Calibri"/>
                <w:color w:val="000000"/>
                <w:sz w:val="14"/>
                <w:szCs w:val="14"/>
              </w:rPr>
              <w:t>.</w:t>
            </w:r>
            <w:r w:rsidRPr="003003C0">
              <w:rPr>
                <w:rFonts w:cs="Calibri"/>
                <w:color w:val="000000"/>
                <w:sz w:val="14"/>
                <w:szCs w:val="14"/>
              </w:rPr>
              <w:t>6</w:t>
            </w:r>
          </w:p>
        </w:tc>
        <w:tc>
          <w:tcPr>
            <w:tcW w:w="722" w:type="dxa"/>
            <w:noWrap/>
            <w:vAlign w:val="center"/>
            <w:hideMark/>
          </w:tcPr>
          <w:p w14:paraId="518F3098" w14:textId="77777777" w:rsidR="004F64EF" w:rsidRPr="003003C0" w:rsidRDefault="004F64EF" w:rsidP="00FD6B66">
            <w:pPr>
              <w:jc w:val="right"/>
              <w:rPr>
                <w:rFonts w:cs="Calibri"/>
                <w:color w:val="000000"/>
                <w:sz w:val="14"/>
                <w:szCs w:val="14"/>
              </w:rPr>
            </w:pPr>
            <w:r w:rsidRPr="003003C0">
              <w:rPr>
                <w:rFonts w:cs="Calibri"/>
                <w:color w:val="000000"/>
                <w:sz w:val="14"/>
                <w:szCs w:val="14"/>
              </w:rPr>
              <w:t>1</w:t>
            </w:r>
            <w:r>
              <w:rPr>
                <w:rFonts w:cs="Calibri"/>
                <w:color w:val="000000"/>
                <w:sz w:val="14"/>
                <w:szCs w:val="14"/>
              </w:rPr>
              <w:t>.</w:t>
            </w:r>
            <w:r w:rsidRPr="003003C0">
              <w:rPr>
                <w:rFonts w:cs="Calibri"/>
                <w:color w:val="000000"/>
                <w:sz w:val="14"/>
                <w:szCs w:val="14"/>
              </w:rPr>
              <w:t>0</w:t>
            </w:r>
          </w:p>
        </w:tc>
        <w:tc>
          <w:tcPr>
            <w:tcW w:w="722" w:type="dxa"/>
            <w:noWrap/>
            <w:vAlign w:val="center"/>
            <w:hideMark/>
          </w:tcPr>
          <w:p w14:paraId="7D481733" w14:textId="77777777" w:rsidR="004F64EF" w:rsidRPr="003003C0" w:rsidRDefault="004F64EF" w:rsidP="00FD6B66">
            <w:pPr>
              <w:jc w:val="right"/>
              <w:rPr>
                <w:rFonts w:cs="Calibri"/>
                <w:color w:val="000000"/>
                <w:sz w:val="14"/>
                <w:szCs w:val="14"/>
              </w:rPr>
            </w:pPr>
            <w:r w:rsidRPr="003003C0">
              <w:rPr>
                <w:rFonts w:cs="Calibri"/>
                <w:color w:val="000000"/>
                <w:sz w:val="14"/>
                <w:szCs w:val="14"/>
              </w:rPr>
              <w:t>0</w:t>
            </w:r>
            <w:r>
              <w:rPr>
                <w:rFonts w:cs="Calibri"/>
                <w:color w:val="000000"/>
                <w:sz w:val="14"/>
                <w:szCs w:val="14"/>
              </w:rPr>
              <w:t>.</w:t>
            </w:r>
            <w:r w:rsidRPr="003003C0">
              <w:rPr>
                <w:rFonts w:cs="Calibri"/>
                <w:color w:val="000000"/>
                <w:sz w:val="14"/>
                <w:szCs w:val="14"/>
              </w:rPr>
              <w:t>7</w:t>
            </w:r>
          </w:p>
        </w:tc>
        <w:tc>
          <w:tcPr>
            <w:tcW w:w="722" w:type="dxa"/>
            <w:noWrap/>
            <w:vAlign w:val="center"/>
            <w:hideMark/>
          </w:tcPr>
          <w:p w14:paraId="51AEF384" w14:textId="77777777" w:rsidR="004F64EF" w:rsidRPr="003003C0" w:rsidRDefault="004F64EF" w:rsidP="00FD6B66">
            <w:pPr>
              <w:jc w:val="right"/>
              <w:rPr>
                <w:rFonts w:cs="Calibri"/>
                <w:color w:val="000000"/>
                <w:sz w:val="14"/>
                <w:szCs w:val="14"/>
              </w:rPr>
            </w:pPr>
            <w:r w:rsidRPr="003003C0">
              <w:rPr>
                <w:rFonts w:cs="Calibri"/>
                <w:color w:val="000000"/>
                <w:sz w:val="14"/>
                <w:szCs w:val="14"/>
              </w:rPr>
              <w:t>0</w:t>
            </w:r>
            <w:r>
              <w:rPr>
                <w:rFonts w:cs="Calibri"/>
                <w:color w:val="000000"/>
                <w:sz w:val="14"/>
                <w:szCs w:val="14"/>
              </w:rPr>
              <w:t>.</w:t>
            </w:r>
            <w:r w:rsidRPr="003003C0">
              <w:rPr>
                <w:rFonts w:cs="Calibri"/>
                <w:color w:val="000000"/>
                <w:sz w:val="14"/>
                <w:szCs w:val="14"/>
              </w:rPr>
              <w:t>7</w:t>
            </w:r>
          </w:p>
        </w:tc>
      </w:tr>
      <w:tr w:rsidR="004F64EF" w:rsidRPr="003003C0" w14:paraId="087F039D" w14:textId="77777777" w:rsidTr="00FD6B66">
        <w:trPr>
          <w:cnfStyle w:val="000000010000" w:firstRow="0" w:lastRow="0" w:firstColumn="0" w:lastColumn="0" w:oddVBand="0" w:evenVBand="0" w:oddHBand="0" w:evenHBand="1" w:firstRowFirstColumn="0" w:firstRowLastColumn="0" w:lastRowFirstColumn="0" w:lastRowLastColumn="0"/>
          <w:trHeight w:val="20"/>
        </w:trPr>
        <w:tc>
          <w:tcPr>
            <w:tcW w:w="3964" w:type="dxa"/>
            <w:noWrap/>
            <w:vAlign w:val="center"/>
            <w:hideMark/>
          </w:tcPr>
          <w:p w14:paraId="67B7F985" w14:textId="77777777" w:rsidR="004F64EF" w:rsidRPr="003003C0" w:rsidRDefault="004F64EF" w:rsidP="00B22563">
            <w:pPr>
              <w:tabs>
                <w:tab w:val="left" w:pos="227"/>
              </w:tabs>
              <w:ind w:left="227" w:hanging="227"/>
              <w:jc w:val="left"/>
              <w:rPr>
                <w:rFonts w:cs="Calibri"/>
                <w:color w:val="000000"/>
                <w:sz w:val="14"/>
                <w:szCs w:val="14"/>
              </w:rPr>
            </w:pPr>
            <w:r w:rsidRPr="003003C0">
              <w:rPr>
                <w:rFonts w:cs="Calibri"/>
                <w:color w:val="000000"/>
                <w:sz w:val="14"/>
                <w:szCs w:val="14"/>
              </w:rPr>
              <w:tab/>
              <w:t xml:space="preserve">08. </w:t>
            </w:r>
            <w:r w:rsidRPr="006A3873">
              <w:rPr>
                <w:rFonts w:cs="Calibri"/>
                <w:color w:val="000000"/>
                <w:sz w:val="14"/>
                <w:szCs w:val="14"/>
              </w:rPr>
              <w:t>Edible fruit and nuts; peel of citrus fruit or melons</w:t>
            </w:r>
          </w:p>
        </w:tc>
        <w:tc>
          <w:tcPr>
            <w:tcW w:w="721" w:type="dxa"/>
            <w:noWrap/>
            <w:vAlign w:val="center"/>
            <w:hideMark/>
          </w:tcPr>
          <w:p w14:paraId="17EC4134" w14:textId="77777777" w:rsidR="004F64EF" w:rsidRPr="003003C0" w:rsidRDefault="004F64EF" w:rsidP="00FD6B66">
            <w:pPr>
              <w:jc w:val="right"/>
              <w:rPr>
                <w:rFonts w:cs="Calibri"/>
                <w:color w:val="000000"/>
                <w:sz w:val="14"/>
                <w:szCs w:val="14"/>
              </w:rPr>
            </w:pPr>
            <w:r w:rsidRPr="003003C0">
              <w:rPr>
                <w:rFonts w:cs="Calibri"/>
                <w:color w:val="000000"/>
                <w:sz w:val="14"/>
                <w:szCs w:val="14"/>
              </w:rPr>
              <w:t>0</w:t>
            </w:r>
            <w:r>
              <w:rPr>
                <w:rFonts w:cs="Calibri"/>
                <w:color w:val="000000"/>
                <w:sz w:val="14"/>
                <w:szCs w:val="14"/>
              </w:rPr>
              <w:t>.</w:t>
            </w:r>
            <w:r w:rsidRPr="003003C0">
              <w:rPr>
                <w:rFonts w:cs="Calibri"/>
                <w:color w:val="000000"/>
                <w:sz w:val="14"/>
                <w:szCs w:val="14"/>
              </w:rPr>
              <w:t>3</w:t>
            </w:r>
          </w:p>
        </w:tc>
        <w:tc>
          <w:tcPr>
            <w:tcW w:w="722" w:type="dxa"/>
            <w:noWrap/>
            <w:vAlign w:val="center"/>
            <w:hideMark/>
          </w:tcPr>
          <w:p w14:paraId="5D8E3238" w14:textId="77777777" w:rsidR="004F64EF" w:rsidRPr="003003C0" w:rsidRDefault="004F64EF" w:rsidP="00FD6B66">
            <w:pPr>
              <w:jc w:val="right"/>
              <w:rPr>
                <w:rFonts w:cs="Calibri"/>
                <w:color w:val="000000"/>
                <w:sz w:val="14"/>
                <w:szCs w:val="14"/>
              </w:rPr>
            </w:pPr>
            <w:r w:rsidRPr="003003C0">
              <w:rPr>
                <w:rFonts w:cs="Calibri"/>
                <w:color w:val="000000"/>
                <w:sz w:val="14"/>
                <w:szCs w:val="14"/>
              </w:rPr>
              <w:t>0</w:t>
            </w:r>
            <w:r>
              <w:rPr>
                <w:rFonts w:cs="Calibri"/>
                <w:color w:val="000000"/>
                <w:sz w:val="14"/>
                <w:szCs w:val="14"/>
              </w:rPr>
              <w:t>.</w:t>
            </w:r>
            <w:r w:rsidRPr="003003C0">
              <w:rPr>
                <w:rFonts w:cs="Calibri"/>
                <w:color w:val="000000"/>
                <w:sz w:val="14"/>
                <w:szCs w:val="14"/>
              </w:rPr>
              <w:t>3</w:t>
            </w:r>
          </w:p>
        </w:tc>
        <w:tc>
          <w:tcPr>
            <w:tcW w:w="722" w:type="dxa"/>
            <w:noWrap/>
            <w:vAlign w:val="center"/>
            <w:hideMark/>
          </w:tcPr>
          <w:p w14:paraId="33296F61" w14:textId="77777777" w:rsidR="004F64EF" w:rsidRPr="003003C0" w:rsidRDefault="004F64EF" w:rsidP="00FD6B66">
            <w:pPr>
              <w:jc w:val="right"/>
              <w:rPr>
                <w:rFonts w:cs="Calibri"/>
                <w:color w:val="000000"/>
                <w:sz w:val="14"/>
                <w:szCs w:val="14"/>
              </w:rPr>
            </w:pPr>
            <w:r w:rsidRPr="003003C0">
              <w:rPr>
                <w:rFonts w:cs="Calibri"/>
                <w:color w:val="000000"/>
                <w:sz w:val="14"/>
                <w:szCs w:val="14"/>
              </w:rPr>
              <w:t>0</w:t>
            </w:r>
            <w:r>
              <w:rPr>
                <w:rFonts w:cs="Calibri"/>
                <w:color w:val="000000"/>
                <w:sz w:val="14"/>
                <w:szCs w:val="14"/>
              </w:rPr>
              <w:t>.</w:t>
            </w:r>
            <w:r w:rsidRPr="003003C0">
              <w:rPr>
                <w:rFonts w:cs="Calibri"/>
                <w:color w:val="000000"/>
                <w:sz w:val="14"/>
                <w:szCs w:val="14"/>
              </w:rPr>
              <w:t>4</w:t>
            </w:r>
          </w:p>
        </w:tc>
        <w:tc>
          <w:tcPr>
            <w:tcW w:w="721" w:type="dxa"/>
            <w:noWrap/>
            <w:vAlign w:val="center"/>
            <w:hideMark/>
          </w:tcPr>
          <w:p w14:paraId="57A29854" w14:textId="77777777" w:rsidR="004F64EF" w:rsidRPr="003003C0" w:rsidRDefault="004F64EF" w:rsidP="00FD6B66">
            <w:pPr>
              <w:jc w:val="right"/>
              <w:rPr>
                <w:rFonts w:cs="Calibri"/>
                <w:color w:val="000000"/>
                <w:sz w:val="14"/>
                <w:szCs w:val="14"/>
              </w:rPr>
            </w:pPr>
            <w:r w:rsidRPr="003003C0">
              <w:rPr>
                <w:rFonts w:cs="Calibri"/>
                <w:color w:val="000000"/>
                <w:sz w:val="14"/>
                <w:szCs w:val="14"/>
              </w:rPr>
              <w:t>0</w:t>
            </w:r>
            <w:r>
              <w:rPr>
                <w:rFonts w:cs="Calibri"/>
                <w:color w:val="000000"/>
                <w:sz w:val="14"/>
                <w:szCs w:val="14"/>
              </w:rPr>
              <w:t>.</w:t>
            </w:r>
            <w:r w:rsidRPr="003003C0">
              <w:rPr>
                <w:rFonts w:cs="Calibri"/>
                <w:color w:val="000000"/>
                <w:sz w:val="14"/>
                <w:szCs w:val="14"/>
              </w:rPr>
              <w:t>3</w:t>
            </w:r>
          </w:p>
        </w:tc>
        <w:tc>
          <w:tcPr>
            <w:tcW w:w="722" w:type="dxa"/>
            <w:noWrap/>
            <w:vAlign w:val="center"/>
            <w:hideMark/>
          </w:tcPr>
          <w:p w14:paraId="13BAC248" w14:textId="77777777" w:rsidR="004F64EF" w:rsidRPr="003003C0" w:rsidRDefault="004F64EF" w:rsidP="00FD6B66">
            <w:pPr>
              <w:jc w:val="right"/>
              <w:rPr>
                <w:rFonts w:cs="Calibri"/>
                <w:color w:val="000000"/>
                <w:sz w:val="14"/>
                <w:szCs w:val="14"/>
              </w:rPr>
            </w:pPr>
            <w:r w:rsidRPr="003003C0">
              <w:rPr>
                <w:rFonts w:cs="Calibri"/>
                <w:color w:val="000000"/>
                <w:sz w:val="14"/>
                <w:szCs w:val="14"/>
              </w:rPr>
              <w:t>0</w:t>
            </w:r>
            <w:r>
              <w:rPr>
                <w:rFonts w:cs="Calibri"/>
                <w:color w:val="000000"/>
                <w:sz w:val="14"/>
                <w:szCs w:val="14"/>
              </w:rPr>
              <w:t>.</w:t>
            </w:r>
            <w:r w:rsidRPr="003003C0">
              <w:rPr>
                <w:rFonts w:cs="Calibri"/>
                <w:color w:val="000000"/>
                <w:sz w:val="14"/>
                <w:szCs w:val="14"/>
              </w:rPr>
              <w:t>3</w:t>
            </w:r>
          </w:p>
        </w:tc>
        <w:tc>
          <w:tcPr>
            <w:tcW w:w="722" w:type="dxa"/>
            <w:noWrap/>
            <w:vAlign w:val="center"/>
            <w:hideMark/>
          </w:tcPr>
          <w:p w14:paraId="7EBC0FFB" w14:textId="77777777" w:rsidR="004F64EF" w:rsidRPr="003003C0" w:rsidRDefault="004F64EF" w:rsidP="00FD6B66">
            <w:pPr>
              <w:jc w:val="right"/>
              <w:rPr>
                <w:rFonts w:cs="Calibri"/>
                <w:color w:val="000000"/>
                <w:sz w:val="14"/>
                <w:szCs w:val="14"/>
              </w:rPr>
            </w:pPr>
            <w:r w:rsidRPr="003003C0">
              <w:rPr>
                <w:rFonts w:cs="Calibri"/>
                <w:color w:val="000000"/>
                <w:sz w:val="14"/>
                <w:szCs w:val="14"/>
              </w:rPr>
              <w:t>0</w:t>
            </w:r>
            <w:r>
              <w:rPr>
                <w:rFonts w:cs="Calibri"/>
                <w:color w:val="000000"/>
                <w:sz w:val="14"/>
                <w:szCs w:val="14"/>
              </w:rPr>
              <w:t>.</w:t>
            </w:r>
            <w:r w:rsidRPr="003003C0">
              <w:rPr>
                <w:rFonts w:cs="Calibri"/>
                <w:color w:val="000000"/>
                <w:sz w:val="14"/>
                <w:szCs w:val="14"/>
              </w:rPr>
              <w:t>4</w:t>
            </w:r>
          </w:p>
        </w:tc>
        <w:tc>
          <w:tcPr>
            <w:tcW w:w="722" w:type="dxa"/>
            <w:noWrap/>
            <w:vAlign w:val="center"/>
            <w:hideMark/>
          </w:tcPr>
          <w:p w14:paraId="0FBE097F" w14:textId="77777777" w:rsidR="004F64EF" w:rsidRPr="003003C0" w:rsidRDefault="004F64EF" w:rsidP="00FD6B66">
            <w:pPr>
              <w:jc w:val="right"/>
              <w:rPr>
                <w:rFonts w:cs="Calibri"/>
                <w:color w:val="000000"/>
                <w:sz w:val="14"/>
                <w:szCs w:val="14"/>
              </w:rPr>
            </w:pPr>
            <w:r w:rsidRPr="003003C0">
              <w:rPr>
                <w:rFonts w:cs="Calibri"/>
                <w:color w:val="000000"/>
                <w:sz w:val="14"/>
                <w:szCs w:val="14"/>
              </w:rPr>
              <w:t>0</w:t>
            </w:r>
            <w:r>
              <w:rPr>
                <w:rFonts w:cs="Calibri"/>
                <w:color w:val="000000"/>
                <w:sz w:val="14"/>
                <w:szCs w:val="14"/>
              </w:rPr>
              <w:t>.</w:t>
            </w:r>
            <w:r w:rsidRPr="003003C0">
              <w:rPr>
                <w:rFonts w:cs="Calibri"/>
                <w:color w:val="000000"/>
                <w:sz w:val="14"/>
                <w:szCs w:val="14"/>
              </w:rPr>
              <w:t>4</w:t>
            </w:r>
          </w:p>
        </w:tc>
      </w:tr>
      <w:tr w:rsidR="004F64EF" w:rsidRPr="003003C0" w14:paraId="4855CC6D" w14:textId="77777777" w:rsidTr="00FD6B66">
        <w:trPr>
          <w:trHeight w:val="20"/>
        </w:trPr>
        <w:tc>
          <w:tcPr>
            <w:tcW w:w="3964" w:type="dxa"/>
            <w:noWrap/>
            <w:vAlign w:val="center"/>
            <w:hideMark/>
          </w:tcPr>
          <w:p w14:paraId="0BBA538A" w14:textId="77777777" w:rsidR="004F64EF" w:rsidRPr="003003C0" w:rsidRDefault="004F64EF" w:rsidP="00B22563">
            <w:pPr>
              <w:tabs>
                <w:tab w:val="left" w:pos="227"/>
              </w:tabs>
              <w:ind w:left="227" w:hanging="227"/>
              <w:jc w:val="left"/>
              <w:rPr>
                <w:rFonts w:cs="Calibri"/>
                <w:color w:val="000000"/>
                <w:sz w:val="14"/>
                <w:szCs w:val="14"/>
              </w:rPr>
            </w:pPr>
            <w:r w:rsidRPr="003003C0">
              <w:rPr>
                <w:rFonts w:cs="Calibri"/>
                <w:color w:val="000000"/>
                <w:sz w:val="14"/>
                <w:szCs w:val="14"/>
              </w:rPr>
              <w:tab/>
              <w:t xml:space="preserve">07. </w:t>
            </w:r>
            <w:r w:rsidRPr="006A3873">
              <w:rPr>
                <w:rFonts w:cs="Calibri"/>
                <w:color w:val="000000"/>
                <w:sz w:val="14"/>
                <w:szCs w:val="14"/>
              </w:rPr>
              <w:t>Edible vegetables and certain roots and tubers</w:t>
            </w:r>
          </w:p>
        </w:tc>
        <w:tc>
          <w:tcPr>
            <w:tcW w:w="721" w:type="dxa"/>
            <w:noWrap/>
            <w:vAlign w:val="center"/>
            <w:hideMark/>
          </w:tcPr>
          <w:p w14:paraId="06237CC6" w14:textId="77777777" w:rsidR="004F64EF" w:rsidRPr="003003C0" w:rsidRDefault="004F64EF" w:rsidP="00FD6B66">
            <w:pPr>
              <w:jc w:val="right"/>
              <w:rPr>
                <w:rFonts w:cs="Calibri"/>
                <w:color w:val="000000"/>
                <w:sz w:val="14"/>
                <w:szCs w:val="14"/>
              </w:rPr>
            </w:pPr>
            <w:r w:rsidRPr="003003C0">
              <w:rPr>
                <w:rFonts w:cs="Calibri"/>
                <w:color w:val="000000"/>
                <w:sz w:val="14"/>
                <w:szCs w:val="14"/>
              </w:rPr>
              <w:t>0</w:t>
            </w:r>
            <w:r>
              <w:rPr>
                <w:rFonts w:cs="Calibri"/>
                <w:color w:val="000000"/>
                <w:sz w:val="14"/>
                <w:szCs w:val="14"/>
              </w:rPr>
              <w:t>.</w:t>
            </w:r>
            <w:r w:rsidRPr="003003C0">
              <w:rPr>
                <w:rFonts w:cs="Calibri"/>
                <w:color w:val="000000"/>
                <w:sz w:val="14"/>
                <w:szCs w:val="14"/>
              </w:rPr>
              <w:t>4</w:t>
            </w:r>
          </w:p>
        </w:tc>
        <w:tc>
          <w:tcPr>
            <w:tcW w:w="722" w:type="dxa"/>
            <w:noWrap/>
            <w:vAlign w:val="center"/>
            <w:hideMark/>
          </w:tcPr>
          <w:p w14:paraId="1A766EC8" w14:textId="77777777" w:rsidR="004F64EF" w:rsidRPr="003003C0" w:rsidRDefault="004F64EF" w:rsidP="00FD6B66">
            <w:pPr>
              <w:jc w:val="right"/>
              <w:rPr>
                <w:rFonts w:cs="Calibri"/>
                <w:color w:val="000000"/>
                <w:sz w:val="14"/>
                <w:szCs w:val="14"/>
              </w:rPr>
            </w:pPr>
            <w:r w:rsidRPr="003003C0">
              <w:rPr>
                <w:rFonts w:cs="Calibri"/>
                <w:color w:val="000000"/>
                <w:sz w:val="14"/>
                <w:szCs w:val="14"/>
              </w:rPr>
              <w:t>0</w:t>
            </w:r>
            <w:r>
              <w:rPr>
                <w:rFonts w:cs="Calibri"/>
                <w:color w:val="000000"/>
                <w:sz w:val="14"/>
                <w:szCs w:val="14"/>
              </w:rPr>
              <w:t>.</w:t>
            </w:r>
            <w:r w:rsidRPr="003003C0">
              <w:rPr>
                <w:rFonts w:cs="Calibri"/>
                <w:color w:val="000000"/>
                <w:sz w:val="14"/>
                <w:szCs w:val="14"/>
              </w:rPr>
              <w:t>5</w:t>
            </w:r>
          </w:p>
        </w:tc>
        <w:tc>
          <w:tcPr>
            <w:tcW w:w="722" w:type="dxa"/>
            <w:noWrap/>
            <w:vAlign w:val="center"/>
            <w:hideMark/>
          </w:tcPr>
          <w:p w14:paraId="4C84A0A2" w14:textId="77777777" w:rsidR="004F64EF" w:rsidRPr="003003C0" w:rsidRDefault="004F64EF" w:rsidP="00FD6B66">
            <w:pPr>
              <w:jc w:val="right"/>
              <w:rPr>
                <w:rFonts w:cs="Calibri"/>
                <w:color w:val="000000"/>
                <w:sz w:val="14"/>
                <w:szCs w:val="14"/>
              </w:rPr>
            </w:pPr>
            <w:r w:rsidRPr="003003C0">
              <w:rPr>
                <w:rFonts w:cs="Calibri"/>
                <w:color w:val="000000"/>
                <w:sz w:val="14"/>
                <w:szCs w:val="14"/>
              </w:rPr>
              <w:t>0</w:t>
            </w:r>
            <w:r>
              <w:rPr>
                <w:rFonts w:cs="Calibri"/>
                <w:color w:val="000000"/>
                <w:sz w:val="14"/>
                <w:szCs w:val="14"/>
              </w:rPr>
              <w:t>.</w:t>
            </w:r>
            <w:r w:rsidRPr="003003C0">
              <w:rPr>
                <w:rFonts w:cs="Calibri"/>
                <w:color w:val="000000"/>
                <w:sz w:val="14"/>
                <w:szCs w:val="14"/>
              </w:rPr>
              <w:t>4</w:t>
            </w:r>
          </w:p>
        </w:tc>
        <w:tc>
          <w:tcPr>
            <w:tcW w:w="721" w:type="dxa"/>
            <w:noWrap/>
            <w:vAlign w:val="center"/>
            <w:hideMark/>
          </w:tcPr>
          <w:p w14:paraId="1713469D" w14:textId="77777777" w:rsidR="004F64EF" w:rsidRPr="003003C0" w:rsidRDefault="004F64EF" w:rsidP="00FD6B66">
            <w:pPr>
              <w:jc w:val="right"/>
              <w:rPr>
                <w:rFonts w:cs="Calibri"/>
                <w:color w:val="000000"/>
                <w:sz w:val="14"/>
                <w:szCs w:val="14"/>
              </w:rPr>
            </w:pPr>
            <w:r w:rsidRPr="003003C0">
              <w:rPr>
                <w:rFonts w:cs="Calibri"/>
                <w:color w:val="000000"/>
                <w:sz w:val="14"/>
                <w:szCs w:val="14"/>
              </w:rPr>
              <w:t>0</w:t>
            </w:r>
            <w:r>
              <w:rPr>
                <w:rFonts w:cs="Calibri"/>
                <w:color w:val="000000"/>
                <w:sz w:val="14"/>
                <w:szCs w:val="14"/>
              </w:rPr>
              <w:t>.</w:t>
            </w:r>
            <w:r w:rsidRPr="003003C0">
              <w:rPr>
                <w:rFonts w:cs="Calibri"/>
                <w:color w:val="000000"/>
                <w:sz w:val="14"/>
                <w:szCs w:val="14"/>
              </w:rPr>
              <w:t>3</w:t>
            </w:r>
          </w:p>
        </w:tc>
        <w:tc>
          <w:tcPr>
            <w:tcW w:w="722" w:type="dxa"/>
            <w:noWrap/>
            <w:vAlign w:val="center"/>
            <w:hideMark/>
          </w:tcPr>
          <w:p w14:paraId="5988ADC1" w14:textId="77777777" w:rsidR="004F64EF" w:rsidRPr="003003C0" w:rsidRDefault="004F64EF" w:rsidP="00FD6B66">
            <w:pPr>
              <w:jc w:val="right"/>
              <w:rPr>
                <w:rFonts w:cs="Calibri"/>
                <w:color w:val="000000"/>
                <w:sz w:val="14"/>
                <w:szCs w:val="14"/>
              </w:rPr>
            </w:pPr>
            <w:r w:rsidRPr="003003C0">
              <w:rPr>
                <w:rFonts w:cs="Calibri"/>
                <w:color w:val="000000"/>
                <w:sz w:val="14"/>
                <w:szCs w:val="14"/>
              </w:rPr>
              <w:t>0</w:t>
            </w:r>
            <w:r>
              <w:rPr>
                <w:rFonts w:cs="Calibri"/>
                <w:color w:val="000000"/>
                <w:sz w:val="14"/>
                <w:szCs w:val="14"/>
              </w:rPr>
              <w:t>.</w:t>
            </w:r>
            <w:r w:rsidRPr="003003C0">
              <w:rPr>
                <w:rFonts w:cs="Calibri"/>
                <w:color w:val="000000"/>
                <w:sz w:val="14"/>
                <w:szCs w:val="14"/>
              </w:rPr>
              <w:t>3</w:t>
            </w:r>
          </w:p>
        </w:tc>
        <w:tc>
          <w:tcPr>
            <w:tcW w:w="722" w:type="dxa"/>
            <w:noWrap/>
            <w:vAlign w:val="center"/>
            <w:hideMark/>
          </w:tcPr>
          <w:p w14:paraId="6B7EB235" w14:textId="77777777" w:rsidR="004F64EF" w:rsidRPr="003003C0" w:rsidRDefault="004F64EF" w:rsidP="00FD6B66">
            <w:pPr>
              <w:jc w:val="right"/>
              <w:rPr>
                <w:rFonts w:cs="Calibri"/>
                <w:color w:val="000000"/>
                <w:sz w:val="14"/>
                <w:szCs w:val="14"/>
              </w:rPr>
            </w:pPr>
            <w:r w:rsidRPr="003003C0">
              <w:rPr>
                <w:rFonts w:cs="Calibri"/>
                <w:color w:val="000000"/>
                <w:sz w:val="14"/>
                <w:szCs w:val="14"/>
              </w:rPr>
              <w:t>0</w:t>
            </w:r>
            <w:r>
              <w:rPr>
                <w:rFonts w:cs="Calibri"/>
                <w:color w:val="000000"/>
                <w:sz w:val="14"/>
                <w:szCs w:val="14"/>
              </w:rPr>
              <w:t>.</w:t>
            </w:r>
            <w:r w:rsidRPr="003003C0">
              <w:rPr>
                <w:rFonts w:cs="Calibri"/>
                <w:color w:val="000000"/>
                <w:sz w:val="14"/>
                <w:szCs w:val="14"/>
              </w:rPr>
              <w:t>7</w:t>
            </w:r>
          </w:p>
        </w:tc>
        <w:tc>
          <w:tcPr>
            <w:tcW w:w="722" w:type="dxa"/>
            <w:noWrap/>
            <w:vAlign w:val="center"/>
            <w:hideMark/>
          </w:tcPr>
          <w:p w14:paraId="76878713" w14:textId="77777777" w:rsidR="004F64EF" w:rsidRPr="003003C0" w:rsidRDefault="004F64EF" w:rsidP="00FD6B66">
            <w:pPr>
              <w:jc w:val="right"/>
              <w:rPr>
                <w:rFonts w:cs="Calibri"/>
                <w:color w:val="000000"/>
                <w:sz w:val="14"/>
                <w:szCs w:val="14"/>
              </w:rPr>
            </w:pPr>
            <w:r w:rsidRPr="003003C0">
              <w:rPr>
                <w:rFonts w:cs="Calibri"/>
                <w:color w:val="000000"/>
                <w:sz w:val="14"/>
                <w:szCs w:val="14"/>
              </w:rPr>
              <w:t>0</w:t>
            </w:r>
            <w:r>
              <w:rPr>
                <w:rFonts w:cs="Calibri"/>
                <w:color w:val="000000"/>
                <w:sz w:val="14"/>
                <w:szCs w:val="14"/>
              </w:rPr>
              <w:t>.</w:t>
            </w:r>
            <w:r w:rsidRPr="003003C0">
              <w:rPr>
                <w:rFonts w:cs="Calibri"/>
                <w:color w:val="000000"/>
                <w:sz w:val="14"/>
                <w:szCs w:val="14"/>
              </w:rPr>
              <w:t>4</w:t>
            </w:r>
          </w:p>
        </w:tc>
      </w:tr>
      <w:tr w:rsidR="004F64EF" w:rsidRPr="003003C0" w14:paraId="1581115D" w14:textId="77777777" w:rsidTr="00FD6B66">
        <w:trPr>
          <w:cnfStyle w:val="000000010000" w:firstRow="0" w:lastRow="0" w:firstColumn="0" w:lastColumn="0" w:oddVBand="0" w:evenVBand="0" w:oddHBand="0" w:evenHBand="1" w:firstRowFirstColumn="0" w:firstRowLastColumn="0" w:lastRowFirstColumn="0" w:lastRowLastColumn="0"/>
          <w:trHeight w:val="20"/>
        </w:trPr>
        <w:tc>
          <w:tcPr>
            <w:tcW w:w="3964" w:type="dxa"/>
            <w:noWrap/>
            <w:vAlign w:val="center"/>
            <w:hideMark/>
          </w:tcPr>
          <w:p w14:paraId="1E905A6D" w14:textId="77777777" w:rsidR="004F64EF" w:rsidRPr="003003C0" w:rsidRDefault="004F64EF" w:rsidP="00FD6B66">
            <w:pPr>
              <w:tabs>
                <w:tab w:val="left" w:pos="227"/>
              </w:tabs>
              <w:jc w:val="left"/>
              <w:rPr>
                <w:rFonts w:cs="Calibri"/>
                <w:color w:val="000000"/>
                <w:sz w:val="14"/>
                <w:szCs w:val="14"/>
              </w:rPr>
            </w:pPr>
            <w:r w:rsidRPr="003003C0">
              <w:rPr>
                <w:rFonts w:cs="Calibri"/>
                <w:color w:val="000000"/>
                <w:sz w:val="14"/>
                <w:szCs w:val="14"/>
              </w:rPr>
              <w:tab/>
              <w:t xml:space="preserve">09. </w:t>
            </w:r>
            <w:r w:rsidRPr="006A3873">
              <w:rPr>
                <w:rFonts w:cs="Calibri"/>
                <w:color w:val="000000"/>
                <w:sz w:val="14"/>
                <w:szCs w:val="14"/>
              </w:rPr>
              <w:t xml:space="preserve">Coffee, tea, </w:t>
            </w:r>
            <w:proofErr w:type="spellStart"/>
            <w:r w:rsidRPr="006A3873">
              <w:rPr>
                <w:rFonts w:cs="Calibri"/>
                <w:color w:val="000000"/>
                <w:sz w:val="14"/>
                <w:szCs w:val="14"/>
              </w:rPr>
              <w:t>maté</w:t>
            </w:r>
            <w:proofErr w:type="spellEnd"/>
            <w:r w:rsidRPr="006A3873">
              <w:rPr>
                <w:rFonts w:cs="Calibri"/>
                <w:color w:val="000000"/>
                <w:sz w:val="14"/>
                <w:szCs w:val="14"/>
              </w:rPr>
              <w:t xml:space="preserve"> and spices</w:t>
            </w:r>
          </w:p>
        </w:tc>
        <w:tc>
          <w:tcPr>
            <w:tcW w:w="721" w:type="dxa"/>
            <w:noWrap/>
            <w:vAlign w:val="center"/>
            <w:hideMark/>
          </w:tcPr>
          <w:p w14:paraId="22E9BF7F" w14:textId="77777777" w:rsidR="004F64EF" w:rsidRPr="003003C0" w:rsidRDefault="004F64EF" w:rsidP="00FD6B66">
            <w:pPr>
              <w:jc w:val="right"/>
              <w:rPr>
                <w:rFonts w:cs="Calibri"/>
                <w:color w:val="000000"/>
                <w:sz w:val="14"/>
                <w:szCs w:val="14"/>
              </w:rPr>
            </w:pPr>
            <w:r w:rsidRPr="003003C0">
              <w:rPr>
                <w:rFonts w:cs="Calibri"/>
                <w:color w:val="000000"/>
                <w:sz w:val="14"/>
                <w:szCs w:val="14"/>
              </w:rPr>
              <w:t>0</w:t>
            </w:r>
            <w:r>
              <w:rPr>
                <w:rFonts w:cs="Calibri"/>
                <w:color w:val="000000"/>
                <w:sz w:val="14"/>
                <w:szCs w:val="14"/>
              </w:rPr>
              <w:t>.</w:t>
            </w:r>
            <w:r w:rsidRPr="003003C0">
              <w:rPr>
                <w:rFonts w:cs="Calibri"/>
                <w:color w:val="000000"/>
                <w:sz w:val="14"/>
                <w:szCs w:val="14"/>
              </w:rPr>
              <w:t>5</w:t>
            </w:r>
          </w:p>
        </w:tc>
        <w:tc>
          <w:tcPr>
            <w:tcW w:w="722" w:type="dxa"/>
            <w:noWrap/>
            <w:vAlign w:val="center"/>
            <w:hideMark/>
          </w:tcPr>
          <w:p w14:paraId="7C6431F1" w14:textId="77777777" w:rsidR="004F64EF" w:rsidRPr="003003C0" w:rsidRDefault="004F64EF" w:rsidP="00FD6B66">
            <w:pPr>
              <w:jc w:val="right"/>
              <w:rPr>
                <w:rFonts w:cs="Calibri"/>
                <w:color w:val="000000"/>
                <w:sz w:val="14"/>
                <w:szCs w:val="14"/>
              </w:rPr>
            </w:pPr>
            <w:r w:rsidRPr="003003C0">
              <w:rPr>
                <w:rFonts w:cs="Calibri"/>
                <w:color w:val="000000"/>
                <w:sz w:val="14"/>
                <w:szCs w:val="14"/>
              </w:rPr>
              <w:t>0</w:t>
            </w:r>
            <w:r>
              <w:rPr>
                <w:rFonts w:cs="Calibri"/>
                <w:color w:val="000000"/>
                <w:sz w:val="14"/>
                <w:szCs w:val="14"/>
              </w:rPr>
              <w:t>.</w:t>
            </w:r>
            <w:r w:rsidRPr="003003C0">
              <w:rPr>
                <w:rFonts w:cs="Calibri"/>
                <w:color w:val="000000"/>
                <w:sz w:val="14"/>
                <w:szCs w:val="14"/>
              </w:rPr>
              <w:t>3</w:t>
            </w:r>
          </w:p>
        </w:tc>
        <w:tc>
          <w:tcPr>
            <w:tcW w:w="722" w:type="dxa"/>
            <w:noWrap/>
            <w:vAlign w:val="center"/>
            <w:hideMark/>
          </w:tcPr>
          <w:p w14:paraId="2ADCDD58" w14:textId="77777777" w:rsidR="004F64EF" w:rsidRPr="003003C0" w:rsidRDefault="004F64EF" w:rsidP="00FD6B66">
            <w:pPr>
              <w:jc w:val="right"/>
              <w:rPr>
                <w:rFonts w:cs="Calibri"/>
                <w:color w:val="000000"/>
                <w:sz w:val="14"/>
                <w:szCs w:val="14"/>
              </w:rPr>
            </w:pPr>
            <w:r w:rsidRPr="003003C0">
              <w:rPr>
                <w:rFonts w:cs="Calibri"/>
                <w:color w:val="000000"/>
                <w:sz w:val="14"/>
                <w:szCs w:val="14"/>
              </w:rPr>
              <w:t>0</w:t>
            </w:r>
            <w:r>
              <w:rPr>
                <w:rFonts w:cs="Calibri"/>
                <w:color w:val="000000"/>
                <w:sz w:val="14"/>
                <w:szCs w:val="14"/>
              </w:rPr>
              <w:t>.</w:t>
            </w:r>
            <w:r w:rsidRPr="003003C0">
              <w:rPr>
                <w:rFonts w:cs="Calibri"/>
                <w:color w:val="000000"/>
                <w:sz w:val="14"/>
                <w:szCs w:val="14"/>
              </w:rPr>
              <w:t>3</w:t>
            </w:r>
          </w:p>
        </w:tc>
        <w:tc>
          <w:tcPr>
            <w:tcW w:w="721" w:type="dxa"/>
            <w:noWrap/>
            <w:vAlign w:val="center"/>
            <w:hideMark/>
          </w:tcPr>
          <w:p w14:paraId="762436EE" w14:textId="77777777" w:rsidR="004F64EF" w:rsidRPr="003003C0" w:rsidRDefault="004F64EF" w:rsidP="00FD6B66">
            <w:pPr>
              <w:jc w:val="right"/>
              <w:rPr>
                <w:rFonts w:cs="Calibri"/>
                <w:color w:val="000000"/>
                <w:sz w:val="14"/>
                <w:szCs w:val="14"/>
              </w:rPr>
            </w:pPr>
            <w:r w:rsidRPr="003003C0">
              <w:rPr>
                <w:rFonts w:cs="Calibri"/>
                <w:color w:val="000000"/>
                <w:sz w:val="14"/>
                <w:szCs w:val="14"/>
              </w:rPr>
              <w:t>0</w:t>
            </w:r>
            <w:r>
              <w:rPr>
                <w:rFonts w:cs="Calibri"/>
                <w:color w:val="000000"/>
                <w:sz w:val="14"/>
                <w:szCs w:val="14"/>
              </w:rPr>
              <w:t>.</w:t>
            </w:r>
            <w:r w:rsidRPr="003003C0">
              <w:rPr>
                <w:rFonts w:cs="Calibri"/>
                <w:color w:val="000000"/>
                <w:sz w:val="14"/>
                <w:szCs w:val="14"/>
              </w:rPr>
              <w:t>3</w:t>
            </w:r>
          </w:p>
        </w:tc>
        <w:tc>
          <w:tcPr>
            <w:tcW w:w="722" w:type="dxa"/>
            <w:noWrap/>
            <w:vAlign w:val="center"/>
            <w:hideMark/>
          </w:tcPr>
          <w:p w14:paraId="665C50FA" w14:textId="77777777" w:rsidR="004F64EF" w:rsidRPr="003003C0" w:rsidRDefault="004F64EF" w:rsidP="00FD6B66">
            <w:pPr>
              <w:jc w:val="right"/>
              <w:rPr>
                <w:rFonts w:cs="Calibri"/>
                <w:color w:val="000000"/>
                <w:sz w:val="14"/>
                <w:szCs w:val="14"/>
              </w:rPr>
            </w:pPr>
            <w:r w:rsidRPr="003003C0">
              <w:rPr>
                <w:rFonts w:cs="Calibri"/>
                <w:color w:val="000000"/>
                <w:sz w:val="14"/>
                <w:szCs w:val="14"/>
              </w:rPr>
              <w:t>0</w:t>
            </w:r>
            <w:r>
              <w:rPr>
                <w:rFonts w:cs="Calibri"/>
                <w:color w:val="000000"/>
                <w:sz w:val="14"/>
                <w:szCs w:val="14"/>
              </w:rPr>
              <w:t>.</w:t>
            </w:r>
            <w:r w:rsidRPr="003003C0">
              <w:rPr>
                <w:rFonts w:cs="Calibri"/>
                <w:color w:val="000000"/>
                <w:sz w:val="14"/>
                <w:szCs w:val="14"/>
              </w:rPr>
              <w:t>3</w:t>
            </w:r>
          </w:p>
        </w:tc>
        <w:tc>
          <w:tcPr>
            <w:tcW w:w="722" w:type="dxa"/>
            <w:noWrap/>
            <w:vAlign w:val="center"/>
            <w:hideMark/>
          </w:tcPr>
          <w:p w14:paraId="7E9B8539" w14:textId="77777777" w:rsidR="004F64EF" w:rsidRPr="003003C0" w:rsidRDefault="004F64EF" w:rsidP="00FD6B66">
            <w:pPr>
              <w:jc w:val="right"/>
              <w:rPr>
                <w:rFonts w:cs="Calibri"/>
                <w:color w:val="000000"/>
                <w:sz w:val="14"/>
                <w:szCs w:val="14"/>
              </w:rPr>
            </w:pPr>
            <w:r w:rsidRPr="003003C0">
              <w:rPr>
                <w:rFonts w:cs="Calibri"/>
                <w:color w:val="000000"/>
                <w:sz w:val="14"/>
                <w:szCs w:val="14"/>
              </w:rPr>
              <w:t>0</w:t>
            </w:r>
            <w:r>
              <w:rPr>
                <w:rFonts w:cs="Calibri"/>
                <w:color w:val="000000"/>
                <w:sz w:val="14"/>
                <w:szCs w:val="14"/>
              </w:rPr>
              <w:t>.</w:t>
            </w:r>
            <w:r w:rsidRPr="003003C0">
              <w:rPr>
                <w:rFonts w:cs="Calibri"/>
                <w:color w:val="000000"/>
                <w:sz w:val="14"/>
                <w:szCs w:val="14"/>
              </w:rPr>
              <w:t>3</w:t>
            </w:r>
          </w:p>
        </w:tc>
        <w:tc>
          <w:tcPr>
            <w:tcW w:w="722" w:type="dxa"/>
            <w:noWrap/>
            <w:vAlign w:val="center"/>
            <w:hideMark/>
          </w:tcPr>
          <w:p w14:paraId="2F52C5F5" w14:textId="77777777" w:rsidR="004F64EF" w:rsidRPr="003003C0" w:rsidRDefault="004F64EF" w:rsidP="00FD6B66">
            <w:pPr>
              <w:jc w:val="right"/>
              <w:rPr>
                <w:rFonts w:cs="Calibri"/>
                <w:color w:val="000000"/>
                <w:sz w:val="14"/>
                <w:szCs w:val="14"/>
              </w:rPr>
            </w:pPr>
            <w:r w:rsidRPr="003003C0">
              <w:rPr>
                <w:rFonts w:cs="Calibri"/>
                <w:color w:val="000000"/>
                <w:sz w:val="14"/>
                <w:szCs w:val="14"/>
              </w:rPr>
              <w:t>0</w:t>
            </w:r>
            <w:r>
              <w:rPr>
                <w:rFonts w:cs="Calibri"/>
                <w:color w:val="000000"/>
                <w:sz w:val="14"/>
                <w:szCs w:val="14"/>
              </w:rPr>
              <w:t>.</w:t>
            </w:r>
            <w:r w:rsidRPr="003003C0">
              <w:rPr>
                <w:rFonts w:cs="Calibri"/>
                <w:color w:val="000000"/>
                <w:sz w:val="14"/>
                <w:szCs w:val="14"/>
              </w:rPr>
              <w:t>2</w:t>
            </w:r>
          </w:p>
        </w:tc>
      </w:tr>
      <w:tr w:rsidR="004F64EF" w:rsidRPr="003003C0" w14:paraId="77A862A0" w14:textId="77777777" w:rsidTr="00FD6B66">
        <w:trPr>
          <w:trHeight w:val="20"/>
        </w:trPr>
        <w:tc>
          <w:tcPr>
            <w:tcW w:w="3964" w:type="dxa"/>
            <w:noWrap/>
            <w:vAlign w:val="center"/>
            <w:hideMark/>
          </w:tcPr>
          <w:p w14:paraId="1383C998" w14:textId="77777777" w:rsidR="004F64EF" w:rsidRPr="003003C0" w:rsidRDefault="004F64EF" w:rsidP="00B22563">
            <w:pPr>
              <w:tabs>
                <w:tab w:val="left" w:pos="227"/>
              </w:tabs>
              <w:ind w:left="227" w:hanging="227"/>
              <w:jc w:val="left"/>
              <w:rPr>
                <w:rFonts w:cs="Calibri"/>
                <w:color w:val="000000"/>
                <w:sz w:val="14"/>
                <w:szCs w:val="14"/>
              </w:rPr>
            </w:pPr>
            <w:r w:rsidRPr="003003C0">
              <w:rPr>
                <w:rFonts w:cs="Calibri"/>
                <w:color w:val="000000"/>
                <w:sz w:val="14"/>
                <w:szCs w:val="14"/>
              </w:rPr>
              <w:tab/>
              <w:t xml:space="preserve">11. </w:t>
            </w:r>
            <w:r w:rsidRPr="006A3873">
              <w:rPr>
                <w:rFonts w:cs="Calibri"/>
                <w:color w:val="000000"/>
                <w:sz w:val="14"/>
                <w:szCs w:val="14"/>
              </w:rPr>
              <w:t>Products of the milling industry; malt; starches; inulin; wheat gluten</w:t>
            </w:r>
          </w:p>
        </w:tc>
        <w:tc>
          <w:tcPr>
            <w:tcW w:w="721" w:type="dxa"/>
            <w:noWrap/>
            <w:vAlign w:val="center"/>
            <w:hideMark/>
          </w:tcPr>
          <w:p w14:paraId="41D99786" w14:textId="77777777" w:rsidR="004F64EF" w:rsidRPr="003003C0" w:rsidRDefault="004F64EF" w:rsidP="00FD6B66">
            <w:pPr>
              <w:jc w:val="right"/>
              <w:rPr>
                <w:rFonts w:cs="Calibri"/>
                <w:color w:val="000000"/>
                <w:sz w:val="14"/>
                <w:szCs w:val="14"/>
              </w:rPr>
            </w:pPr>
            <w:r w:rsidRPr="003003C0">
              <w:rPr>
                <w:rFonts w:cs="Calibri"/>
                <w:color w:val="000000"/>
                <w:sz w:val="14"/>
                <w:szCs w:val="14"/>
              </w:rPr>
              <w:t>0</w:t>
            </w:r>
            <w:r>
              <w:rPr>
                <w:rFonts w:cs="Calibri"/>
                <w:color w:val="000000"/>
                <w:sz w:val="14"/>
                <w:szCs w:val="14"/>
              </w:rPr>
              <w:t>.</w:t>
            </w:r>
            <w:r w:rsidRPr="003003C0">
              <w:rPr>
                <w:rFonts w:cs="Calibri"/>
                <w:color w:val="000000"/>
                <w:sz w:val="14"/>
                <w:szCs w:val="14"/>
              </w:rPr>
              <w:t>2</w:t>
            </w:r>
          </w:p>
        </w:tc>
        <w:tc>
          <w:tcPr>
            <w:tcW w:w="722" w:type="dxa"/>
            <w:noWrap/>
            <w:vAlign w:val="center"/>
            <w:hideMark/>
          </w:tcPr>
          <w:p w14:paraId="5396B836" w14:textId="77777777" w:rsidR="004F64EF" w:rsidRPr="003003C0" w:rsidRDefault="004F64EF" w:rsidP="00FD6B66">
            <w:pPr>
              <w:jc w:val="right"/>
              <w:rPr>
                <w:rFonts w:cs="Calibri"/>
                <w:color w:val="000000"/>
                <w:sz w:val="14"/>
                <w:szCs w:val="14"/>
              </w:rPr>
            </w:pPr>
            <w:r w:rsidRPr="003003C0">
              <w:rPr>
                <w:rFonts w:cs="Calibri"/>
                <w:color w:val="000000"/>
                <w:sz w:val="14"/>
                <w:szCs w:val="14"/>
              </w:rPr>
              <w:t>0</w:t>
            </w:r>
            <w:r>
              <w:rPr>
                <w:rFonts w:cs="Calibri"/>
                <w:color w:val="000000"/>
                <w:sz w:val="14"/>
                <w:szCs w:val="14"/>
              </w:rPr>
              <w:t>.</w:t>
            </w:r>
            <w:r w:rsidRPr="003003C0">
              <w:rPr>
                <w:rFonts w:cs="Calibri"/>
                <w:color w:val="000000"/>
                <w:sz w:val="14"/>
                <w:szCs w:val="14"/>
              </w:rPr>
              <w:t>2</w:t>
            </w:r>
          </w:p>
        </w:tc>
        <w:tc>
          <w:tcPr>
            <w:tcW w:w="722" w:type="dxa"/>
            <w:noWrap/>
            <w:vAlign w:val="center"/>
            <w:hideMark/>
          </w:tcPr>
          <w:p w14:paraId="5825C2DD" w14:textId="77777777" w:rsidR="004F64EF" w:rsidRPr="003003C0" w:rsidRDefault="004F64EF" w:rsidP="00FD6B66">
            <w:pPr>
              <w:jc w:val="right"/>
              <w:rPr>
                <w:rFonts w:cs="Calibri"/>
                <w:color w:val="000000"/>
                <w:sz w:val="14"/>
                <w:szCs w:val="14"/>
              </w:rPr>
            </w:pPr>
            <w:r w:rsidRPr="003003C0">
              <w:rPr>
                <w:rFonts w:cs="Calibri"/>
                <w:color w:val="000000"/>
                <w:sz w:val="14"/>
                <w:szCs w:val="14"/>
              </w:rPr>
              <w:t>0</w:t>
            </w:r>
            <w:r>
              <w:rPr>
                <w:rFonts w:cs="Calibri"/>
                <w:color w:val="000000"/>
                <w:sz w:val="14"/>
                <w:szCs w:val="14"/>
              </w:rPr>
              <w:t>.</w:t>
            </w:r>
            <w:r w:rsidRPr="003003C0">
              <w:rPr>
                <w:rFonts w:cs="Calibri"/>
                <w:color w:val="000000"/>
                <w:sz w:val="14"/>
                <w:szCs w:val="14"/>
              </w:rPr>
              <w:t>2</w:t>
            </w:r>
          </w:p>
        </w:tc>
        <w:tc>
          <w:tcPr>
            <w:tcW w:w="721" w:type="dxa"/>
            <w:noWrap/>
            <w:vAlign w:val="center"/>
            <w:hideMark/>
          </w:tcPr>
          <w:p w14:paraId="3BB16A8F" w14:textId="77777777" w:rsidR="004F64EF" w:rsidRPr="003003C0" w:rsidRDefault="004F64EF" w:rsidP="00FD6B66">
            <w:pPr>
              <w:jc w:val="right"/>
              <w:rPr>
                <w:rFonts w:cs="Calibri"/>
                <w:color w:val="000000"/>
                <w:sz w:val="14"/>
                <w:szCs w:val="14"/>
              </w:rPr>
            </w:pPr>
            <w:r w:rsidRPr="003003C0">
              <w:rPr>
                <w:rFonts w:cs="Calibri"/>
                <w:color w:val="000000"/>
                <w:sz w:val="14"/>
                <w:szCs w:val="14"/>
              </w:rPr>
              <w:t>0</w:t>
            </w:r>
            <w:r>
              <w:rPr>
                <w:rFonts w:cs="Calibri"/>
                <w:color w:val="000000"/>
                <w:sz w:val="14"/>
                <w:szCs w:val="14"/>
              </w:rPr>
              <w:t>.</w:t>
            </w:r>
            <w:r w:rsidRPr="003003C0">
              <w:rPr>
                <w:rFonts w:cs="Calibri"/>
                <w:color w:val="000000"/>
                <w:sz w:val="14"/>
                <w:szCs w:val="14"/>
              </w:rPr>
              <w:t>2</w:t>
            </w:r>
          </w:p>
        </w:tc>
        <w:tc>
          <w:tcPr>
            <w:tcW w:w="722" w:type="dxa"/>
            <w:noWrap/>
            <w:vAlign w:val="center"/>
            <w:hideMark/>
          </w:tcPr>
          <w:p w14:paraId="2051B45C" w14:textId="77777777" w:rsidR="004F64EF" w:rsidRPr="003003C0" w:rsidRDefault="004F64EF" w:rsidP="00FD6B66">
            <w:pPr>
              <w:jc w:val="right"/>
              <w:rPr>
                <w:rFonts w:cs="Calibri"/>
                <w:color w:val="000000"/>
                <w:sz w:val="14"/>
                <w:szCs w:val="14"/>
              </w:rPr>
            </w:pPr>
            <w:r w:rsidRPr="003003C0">
              <w:rPr>
                <w:rFonts w:cs="Calibri"/>
                <w:color w:val="000000"/>
                <w:sz w:val="14"/>
                <w:szCs w:val="14"/>
              </w:rPr>
              <w:t>0</w:t>
            </w:r>
            <w:r>
              <w:rPr>
                <w:rFonts w:cs="Calibri"/>
                <w:color w:val="000000"/>
                <w:sz w:val="14"/>
                <w:szCs w:val="14"/>
              </w:rPr>
              <w:t>.</w:t>
            </w:r>
            <w:r w:rsidRPr="003003C0">
              <w:rPr>
                <w:rFonts w:cs="Calibri"/>
                <w:color w:val="000000"/>
                <w:sz w:val="14"/>
                <w:szCs w:val="14"/>
              </w:rPr>
              <w:t>2</w:t>
            </w:r>
          </w:p>
        </w:tc>
        <w:tc>
          <w:tcPr>
            <w:tcW w:w="722" w:type="dxa"/>
            <w:noWrap/>
            <w:vAlign w:val="center"/>
            <w:hideMark/>
          </w:tcPr>
          <w:p w14:paraId="7981010A" w14:textId="77777777" w:rsidR="004F64EF" w:rsidRPr="003003C0" w:rsidRDefault="004F64EF" w:rsidP="00FD6B66">
            <w:pPr>
              <w:jc w:val="right"/>
              <w:rPr>
                <w:rFonts w:cs="Calibri"/>
                <w:color w:val="000000"/>
                <w:sz w:val="14"/>
                <w:szCs w:val="14"/>
              </w:rPr>
            </w:pPr>
            <w:r w:rsidRPr="003003C0">
              <w:rPr>
                <w:rFonts w:cs="Calibri"/>
                <w:color w:val="000000"/>
                <w:sz w:val="14"/>
                <w:szCs w:val="14"/>
              </w:rPr>
              <w:t>0</w:t>
            </w:r>
            <w:r>
              <w:rPr>
                <w:rFonts w:cs="Calibri"/>
                <w:color w:val="000000"/>
                <w:sz w:val="14"/>
                <w:szCs w:val="14"/>
              </w:rPr>
              <w:t>.</w:t>
            </w:r>
            <w:r w:rsidRPr="003003C0">
              <w:rPr>
                <w:rFonts w:cs="Calibri"/>
                <w:color w:val="000000"/>
                <w:sz w:val="14"/>
                <w:szCs w:val="14"/>
              </w:rPr>
              <w:t>3</w:t>
            </w:r>
          </w:p>
        </w:tc>
        <w:tc>
          <w:tcPr>
            <w:tcW w:w="722" w:type="dxa"/>
            <w:noWrap/>
            <w:vAlign w:val="center"/>
            <w:hideMark/>
          </w:tcPr>
          <w:p w14:paraId="6511D1BE" w14:textId="77777777" w:rsidR="004F64EF" w:rsidRPr="003003C0" w:rsidRDefault="004F64EF" w:rsidP="00FD6B66">
            <w:pPr>
              <w:jc w:val="right"/>
              <w:rPr>
                <w:rFonts w:cs="Calibri"/>
                <w:color w:val="000000"/>
                <w:sz w:val="14"/>
                <w:szCs w:val="14"/>
              </w:rPr>
            </w:pPr>
            <w:r w:rsidRPr="003003C0">
              <w:rPr>
                <w:rFonts w:cs="Calibri"/>
                <w:color w:val="000000"/>
                <w:sz w:val="14"/>
                <w:szCs w:val="14"/>
              </w:rPr>
              <w:t>0</w:t>
            </w:r>
            <w:r>
              <w:rPr>
                <w:rFonts w:cs="Calibri"/>
                <w:color w:val="000000"/>
                <w:sz w:val="14"/>
                <w:szCs w:val="14"/>
              </w:rPr>
              <w:t>.</w:t>
            </w:r>
            <w:r w:rsidRPr="003003C0">
              <w:rPr>
                <w:rFonts w:cs="Calibri"/>
                <w:color w:val="000000"/>
                <w:sz w:val="14"/>
                <w:szCs w:val="14"/>
              </w:rPr>
              <w:t>2</w:t>
            </w:r>
          </w:p>
        </w:tc>
      </w:tr>
      <w:tr w:rsidR="004F64EF" w:rsidRPr="003003C0" w14:paraId="5D3AFBC8" w14:textId="77777777" w:rsidTr="00FD6B66">
        <w:trPr>
          <w:cnfStyle w:val="000000010000" w:firstRow="0" w:lastRow="0" w:firstColumn="0" w:lastColumn="0" w:oddVBand="0" w:evenVBand="0" w:oddHBand="0" w:evenHBand="1" w:firstRowFirstColumn="0" w:firstRowLastColumn="0" w:lastRowFirstColumn="0" w:lastRowLastColumn="0"/>
          <w:trHeight w:val="20"/>
        </w:trPr>
        <w:tc>
          <w:tcPr>
            <w:tcW w:w="3964" w:type="dxa"/>
            <w:noWrap/>
            <w:vAlign w:val="center"/>
            <w:hideMark/>
          </w:tcPr>
          <w:p w14:paraId="11DC96F4" w14:textId="77777777" w:rsidR="004F64EF" w:rsidRPr="003003C0" w:rsidRDefault="004F64EF" w:rsidP="00FD6B66">
            <w:pPr>
              <w:jc w:val="left"/>
              <w:rPr>
                <w:rFonts w:cs="Calibri"/>
                <w:color w:val="000000"/>
                <w:sz w:val="14"/>
                <w:szCs w:val="14"/>
              </w:rPr>
            </w:pPr>
            <w:r w:rsidRPr="003003C0">
              <w:rPr>
                <w:rFonts w:cs="Calibri"/>
                <w:color w:val="000000"/>
                <w:sz w:val="14"/>
                <w:szCs w:val="14"/>
              </w:rPr>
              <w:t xml:space="preserve">3 - </w:t>
            </w:r>
            <w:r>
              <w:rPr>
                <w:rFonts w:cs="Calibri"/>
                <w:color w:val="000000"/>
                <w:sz w:val="14"/>
                <w:szCs w:val="14"/>
              </w:rPr>
              <w:t>A</w:t>
            </w:r>
            <w:r w:rsidRPr="006A3873">
              <w:rPr>
                <w:rFonts w:cs="Calibri"/>
                <w:color w:val="000000"/>
                <w:sz w:val="14"/>
                <w:szCs w:val="14"/>
              </w:rPr>
              <w:t>nimal or vegetable fats and oils</w:t>
            </w:r>
          </w:p>
        </w:tc>
        <w:tc>
          <w:tcPr>
            <w:tcW w:w="721" w:type="dxa"/>
            <w:noWrap/>
            <w:vAlign w:val="center"/>
            <w:hideMark/>
          </w:tcPr>
          <w:p w14:paraId="5697C7CF" w14:textId="77777777" w:rsidR="004F64EF" w:rsidRPr="003003C0" w:rsidRDefault="004F64EF" w:rsidP="00FD6B66">
            <w:pPr>
              <w:jc w:val="right"/>
              <w:rPr>
                <w:rFonts w:cs="Calibri"/>
                <w:color w:val="000000"/>
                <w:sz w:val="14"/>
                <w:szCs w:val="14"/>
              </w:rPr>
            </w:pPr>
            <w:r w:rsidRPr="003003C0">
              <w:rPr>
                <w:rFonts w:cs="Calibri"/>
                <w:color w:val="000000"/>
                <w:sz w:val="14"/>
                <w:szCs w:val="14"/>
              </w:rPr>
              <w:t>1</w:t>
            </w:r>
            <w:r>
              <w:rPr>
                <w:rFonts w:cs="Calibri"/>
                <w:color w:val="000000"/>
                <w:sz w:val="14"/>
                <w:szCs w:val="14"/>
              </w:rPr>
              <w:t>.</w:t>
            </w:r>
            <w:r w:rsidRPr="003003C0">
              <w:rPr>
                <w:rFonts w:cs="Calibri"/>
                <w:color w:val="000000"/>
                <w:sz w:val="14"/>
                <w:szCs w:val="14"/>
              </w:rPr>
              <w:t>1</w:t>
            </w:r>
          </w:p>
        </w:tc>
        <w:tc>
          <w:tcPr>
            <w:tcW w:w="722" w:type="dxa"/>
            <w:noWrap/>
            <w:vAlign w:val="center"/>
            <w:hideMark/>
          </w:tcPr>
          <w:p w14:paraId="17D940BF" w14:textId="77777777" w:rsidR="004F64EF" w:rsidRPr="003003C0" w:rsidRDefault="004F64EF" w:rsidP="00FD6B66">
            <w:pPr>
              <w:jc w:val="right"/>
              <w:rPr>
                <w:rFonts w:cs="Calibri"/>
                <w:color w:val="000000"/>
                <w:sz w:val="14"/>
                <w:szCs w:val="14"/>
              </w:rPr>
            </w:pPr>
            <w:r w:rsidRPr="003003C0">
              <w:rPr>
                <w:rFonts w:cs="Calibri"/>
                <w:color w:val="000000"/>
                <w:sz w:val="14"/>
                <w:szCs w:val="14"/>
              </w:rPr>
              <w:t>1</w:t>
            </w:r>
            <w:r>
              <w:rPr>
                <w:rFonts w:cs="Calibri"/>
                <w:color w:val="000000"/>
                <w:sz w:val="14"/>
                <w:szCs w:val="14"/>
              </w:rPr>
              <w:t>.</w:t>
            </w:r>
            <w:r w:rsidRPr="003003C0">
              <w:rPr>
                <w:rFonts w:cs="Calibri"/>
                <w:color w:val="000000"/>
                <w:sz w:val="14"/>
                <w:szCs w:val="14"/>
              </w:rPr>
              <w:t>1</w:t>
            </w:r>
          </w:p>
        </w:tc>
        <w:tc>
          <w:tcPr>
            <w:tcW w:w="722" w:type="dxa"/>
            <w:noWrap/>
            <w:vAlign w:val="center"/>
            <w:hideMark/>
          </w:tcPr>
          <w:p w14:paraId="04958C1F" w14:textId="77777777" w:rsidR="004F64EF" w:rsidRPr="003003C0" w:rsidRDefault="004F64EF" w:rsidP="00FD6B66">
            <w:pPr>
              <w:jc w:val="right"/>
              <w:rPr>
                <w:rFonts w:cs="Calibri"/>
                <w:color w:val="000000"/>
                <w:sz w:val="14"/>
                <w:szCs w:val="14"/>
              </w:rPr>
            </w:pPr>
            <w:r w:rsidRPr="003003C0">
              <w:rPr>
                <w:rFonts w:cs="Calibri"/>
                <w:color w:val="000000"/>
                <w:sz w:val="14"/>
                <w:szCs w:val="14"/>
              </w:rPr>
              <w:t>1</w:t>
            </w:r>
            <w:r>
              <w:rPr>
                <w:rFonts w:cs="Calibri"/>
                <w:color w:val="000000"/>
                <w:sz w:val="14"/>
                <w:szCs w:val="14"/>
              </w:rPr>
              <w:t>.</w:t>
            </w:r>
            <w:r w:rsidRPr="003003C0">
              <w:rPr>
                <w:rFonts w:cs="Calibri"/>
                <w:color w:val="000000"/>
                <w:sz w:val="14"/>
                <w:szCs w:val="14"/>
              </w:rPr>
              <w:t>2</w:t>
            </w:r>
          </w:p>
        </w:tc>
        <w:tc>
          <w:tcPr>
            <w:tcW w:w="721" w:type="dxa"/>
            <w:noWrap/>
            <w:vAlign w:val="center"/>
            <w:hideMark/>
          </w:tcPr>
          <w:p w14:paraId="782D4598" w14:textId="77777777" w:rsidR="004F64EF" w:rsidRPr="003003C0" w:rsidRDefault="004F64EF" w:rsidP="00FD6B66">
            <w:pPr>
              <w:jc w:val="right"/>
              <w:rPr>
                <w:rFonts w:cs="Calibri"/>
                <w:color w:val="000000"/>
                <w:sz w:val="14"/>
                <w:szCs w:val="14"/>
              </w:rPr>
            </w:pPr>
            <w:r w:rsidRPr="003003C0">
              <w:rPr>
                <w:rFonts w:cs="Calibri"/>
                <w:color w:val="000000"/>
                <w:sz w:val="14"/>
                <w:szCs w:val="14"/>
              </w:rPr>
              <w:t>1</w:t>
            </w:r>
            <w:r>
              <w:rPr>
                <w:rFonts w:cs="Calibri"/>
                <w:color w:val="000000"/>
                <w:sz w:val="14"/>
                <w:szCs w:val="14"/>
              </w:rPr>
              <w:t>.</w:t>
            </w:r>
            <w:r w:rsidRPr="003003C0">
              <w:rPr>
                <w:rFonts w:cs="Calibri"/>
                <w:color w:val="000000"/>
                <w:sz w:val="14"/>
                <w:szCs w:val="14"/>
              </w:rPr>
              <w:t>1</w:t>
            </w:r>
          </w:p>
        </w:tc>
        <w:tc>
          <w:tcPr>
            <w:tcW w:w="722" w:type="dxa"/>
            <w:noWrap/>
            <w:vAlign w:val="center"/>
            <w:hideMark/>
          </w:tcPr>
          <w:p w14:paraId="7BD3CB3B" w14:textId="77777777" w:rsidR="004F64EF" w:rsidRPr="003003C0" w:rsidRDefault="004F64EF" w:rsidP="00FD6B66">
            <w:pPr>
              <w:jc w:val="right"/>
              <w:rPr>
                <w:rFonts w:cs="Calibri"/>
                <w:color w:val="000000"/>
                <w:sz w:val="14"/>
                <w:szCs w:val="14"/>
              </w:rPr>
            </w:pPr>
            <w:r w:rsidRPr="003003C0">
              <w:rPr>
                <w:rFonts w:cs="Calibri"/>
                <w:color w:val="000000"/>
                <w:sz w:val="14"/>
                <w:szCs w:val="14"/>
              </w:rPr>
              <w:t>0</w:t>
            </w:r>
            <w:r>
              <w:rPr>
                <w:rFonts w:cs="Calibri"/>
                <w:color w:val="000000"/>
                <w:sz w:val="14"/>
                <w:szCs w:val="14"/>
              </w:rPr>
              <w:t>.</w:t>
            </w:r>
            <w:r w:rsidRPr="003003C0">
              <w:rPr>
                <w:rFonts w:cs="Calibri"/>
                <w:color w:val="000000"/>
                <w:sz w:val="14"/>
                <w:szCs w:val="14"/>
              </w:rPr>
              <w:t>9</w:t>
            </w:r>
          </w:p>
        </w:tc>
        <w:tc>
          <w:tcPr>
            <w:tcW w:w="722" w:type="dxa"/>
            <w:noWrap/>
            <w:vAlign w:val="center"/>
            <w:hideMark/>
          </w:tcPr>
          <w:p w14:paraId="07288FBF" w14:textId="77777777" w:rsidR="004F64EF" w:rsidRPr="003003C0" w:rsidRDefault="004F64EF" w:rsidP="00FD6B66">
            <w:pPr>
              <w:jc w:val="right"/>
              <w:rPr>
                <w:rFonts w:cs="Calibri"/>
                <w:color w:val="000000"/>
                <w:sz w:val="14"/>
                <w:szCs w:val="14"/>
              </w:rPr>
            </w:pPr>
            <w:r w:rsidRPr="003003C0">
              <w:rPr>
                <w:rFonts w:cs="Calibri"/>
                <w:color w:val="000000"/>
                <w:sz w:val="14"/>
                <w:szCs w:val="14"/>
              </w:rPr>
              <w:t>1</w:t>
            </w:r>
            <w:r>
              <w:rPr>
                <w:rFonts w:cs="Calibri"/>
                <w:color w:val="000000"/>
                <w:sz w:val="14"/>
                <w:szCs w:val="14"/>
              </w:rPr>
              <w:t>.</w:t>
            </w:r>
            <w:r w:rsidRPr="003003C0">
              <w:rPr>
                <w:rFonts w:cs="Calibri"/>
                <w:color w:val="000000"/>
                <w:sz w:val="14"/>
                <w:szCs w:val="14"/>
              </w:rPr>
              <w:t>3</w:t>
            </w:r>
          </w:p>
        </w:tc>
        <w:tc>
          <w:tcPr>
            <w:tcW w:w="722" w:type="dxa"/>
            <w:noWrap/>
            <w:vAlign w:val="center"/>
            <w:hideMark/>
          </w:tcPr>
          <w:p w14:paraId="3A1F48DC" w14:textId="77777777" w:rsidR="004F64EF" w:rsidRPr="003003C0" w:rsidRDefault="004F64EF" w:rsidP="00FD6B66">
            <w:pPr>
              <w:jc w:val="right"/>
              <w:rPr>
                <w:rFonts w:cs="Calibri"/>
                <w:color w:val="000000"/>
                <w:sz w:val="14"/>
                <w:szCs w:val="14"/>
              </w:rPr>
            </w:pPr>
            <w:r w:rsidRPr="003003C0">
              <w:rPr>
                <w:rFonts w:cs="Calibri"/>
                <w:color w:val="000000"/>
                <w:sz w:val="14"/>
                <w:szCs w:val="14"/>
              </w:rPr>
              <w:t>1</w:t>
            </w:r>
            <w:r>
              <w:rPr>
                <w:rFonts w:cs="Calibri"/>
                <w:color w:val="000000"/>
                <w:sz w:val="14"/>
                <w:szCs w:val="14"/>
              </w:rPr>
              <w:t>.</w:t>
            </w:r>
            <w:r w:rsidRPr="003003C0">
              <w:rPr>
                <w:rFonts w:cs="Calibri"/>
                <w:color w:val="000000"/>
                <w:sz w:val="14"/>
                <w:szCs w:val="14"/>
              </w:rPr>
              <w:t>5</w:t>
            </w:r>
          </w:p>
        </w:tc>
      </w:tr>
      <w:tr w:rsidR="004F64EF" w:rsidRPr="003003C0" w14:paraId="7905A1B9" w14:textId="77777777" w:rsidTr="00FD6B66">
        <w:trPr>
          <w:trHeight w:val="20"/>
        </w:trPr>
        <w:tc>
          <w:tcPr>
            <w:tcW w:w="3964" w:type="dxa"/>
            <w:noWrap/>
            <w:vAlign w:val="center"/>
            <w:hideMark/>
          </w:tcPr>
          <w:p w14:paraId="3ADA1C05" w14:textId="77777777" w:rsidR="004F64EF" w:rsidRPr="003003C0" w:rsidRDefault="004F64EF" w:rsidP="00FD6B66">
            <w:pPr>
              <w:jc w:val="left"/>
              <w:rPr>
                <w:rFonts w:cs="Calibri"/>
                <w:color w:val="000000"/>
                <w:sz w:val="14"/>
                <w:szCs w:val="14"/>
              </w:rPr>
            </w:pPr>
            <w:r w:rsidRPr="003003C0">
              <w:rPr>
                <w:rFonts w:cs="Calibri"/>
                <w:color w:val="000000"/>
                <w:sz w:val="14"/>
                <w:szCs w:val="14"/>
              </w:rPr>
              <w:t xml:space="preserve">4 - </w:t>
            </w:r>
            <w:r w:rsidRPr="006A3873">
              <w:rPr>
                <w:rFonts w:cs="Calibri"/>
                <w:color w:val="000000"/>
                <w:sz w:val="14"/>
                <w:szCs w:val="14"/>
              </w:rPr>
              <w:t>Prepared foodstuffs; beverages, spirits and vinegar; tobacco and manufactured tobacco substitutes</w:t>
            </w:r>
          </w:p>
        </w:tc>
        <w:tc>
          <w:tcPr>
            <w:tcW w:w="721" w:type="dxa"/>
            <w:noWrap/>
            <w:vAlign w:val="center"/>
            <w:hideMark/>
          </w:tcPr>
          <w:p w14:paraId="5C71C907" w14:textId="77777777" w:rsidR="004F64EF" w:rsidRPr="003003C0" w:rsidRDefault="004F64EF" w:rsidP="00FD6B66">
            <w:pPr>
              <w:jc w:val="right"/>
              <w:rPr>
                <w:rFonts w:cs="Calibri"/>
                <w:color w:val="000000"/>
                <w:sz w:val="14"/>
                <w:szCs w:val="14"/>
              </w:rPr>
            </w:pPr>
            <w:r w:rsidRPr="003003C0">
              <w:rPr>
                <w:rFonts w:cs="Calibri"/>
                <w:color w:val="000000"/>
                <w:sz w:val="14"/>
                <w:szCs w:val="14"/>
              </w:rPr>
              <w:t>7</w:t>
            </w:r>
            <w:r>
              <w:rPr>
                <w:rFonts w:cs="Calibri"/>
                <w:color w:val="000000"/>
                <w:sz w:val="14"/>
                <w:szCs w:val="14"/>
              </w:rPr>
              <w:t>.</w:t>
            </w:r>
            <w:r w:rsidRPr="003003C0">
              <w:rPr>
                <w:rFonts w:cs="Calibri"/>
                <w:color w:val="000000"/>
                <w:sz w:val="14"/>
                <w:szCs w:val="14"/>
              </w:rPr>
              <w:t>6</w:t>
            </w:r>
          </w:p>
        </w:tc>
        <w:tc>
          <w:tcPr>
            <w:tcW w:w="722" w:type="dxa"/>
            <w:noWrap/>
            <w:vAlign w:val="center"/>
            <w:hideMark/>
          </w:tcPr>
          <w:p w14:paraId="1439E9E3" w14:textId="77777777" w:rsidR="004F64EF" w:rsidRPr="003003C0" w:rsidRDefault="004F64EF" w:rsidP="00FD6B66">
            <w:pPr>
              <w:jc w:val="right"/>
              <w:rPr>
                <w:rFonts w:cs="Calibri"/>
                <w:color w:val="000000"/>
                <w:sz w:val="14"/>
                <w:szCs w:val="14"/>
              </w:rPr>
            </w:pPr>
            <w:r w:rsidRPr="003003C0">
              <w:rPr>
                <w:rFonts w:cs="Calibri"/>
                <w:color w:val="000000"/>
                <w:sz w:val="14"/>
                <w:szCs w:val="14"/>
              </w:rPr>
              <w:t>7</w:t>
            </w:r>
            <w:r>
              <w:rPr>
                <w:rFonts w:cs="Calibri"/>
                <w:color w:val="000000"/>
                <w:sz w:val="14"/>
                <w:szCs w:val="14"/>
              </w:rPr>
              <w:t>.</w:t>
            </w:r>
            <w:r w:rsidRPr="003003C0">
              <w:rPr>
                <w:rFonts w:cs="Calibri"/>
                <w:color w:val="000000"/>
                <w:sz w:val="14"/>
                <w:szCs w:val="14"/>
              </w:rPr>
              <w:t>6</w:t>
            </w:r>
          </w:p>
        </w:tc>
        <w:tc>
          <w:tcPr>
            <w:tcW w:w="722" w:type="dxa"/>
            <w:noWrap/>
            <w:vAlign w:val="center"/>
            <w:hideMark/>
          </w:tcPr>
          <w:p w14:paraId="0CCE62DD" w14:textId="77777777" w:rsidR="004F64EF" w:rsidRPr="003003C0" w:rsidRDefault="004F64EF" w:rsidP="00FD6B66">
            <w:pPr>
              <w:jc w:val="right"/>
              <w:rPr>
                <w:rFonts w:cs="Calibri"/>
                <w:color w:val="000000"/>
                <w:sz w:val="14"/>
                <w:szCs w:val="14"/>
              </w:rPr>
            </w:pPr>
            <w:r w:rsidRPr="003003C0">
              <w:rPr>
                <w:rFonts w:cs="Calibri"/>
                <w:color w:val="000000"/>
                <w:sz w:val="14"/>
                <w:szCs w:val="14"/>
              </w:rPr>
              <w:t>7</w:t>
            </w:r>
            <w:r>
              <w:rPr>
                <w:rFonts w:cs="Calibri"/>
                <w:color w:val="000000"/>
                <w:sz w:val="14"/>
                <w:szCs w:val="14"/>
              </w:rPr>
              <w:t>.</w:t>
            </w:r>
            <w:r w:rsidRPr="003003C0">
              <w:rPr>
                <w:rFonts w:cs="Calibri"/>
                <w:color w:val="000000"/>
                <w:sz w:val="14"/>
                <w:szCs w:val="14"/>
              </w:rPr>
              <w:t>3</w:t>
            </w:r>
          </w:p>
        </w:tc>
        <w:tc>
          <w:tcPr>
            <w:tcW w:w="721" w:type="dxa"/>
            <w:noWrap/>
            <w:vAlign w:val="center"/>
            <w:hideMark/>
          </w:tcPr>
          <w:p w14:paraId="64B37101" w14:textId="77777777" w:rsidR="004F64EF" w:rsidRPr="003003C0" w:rsidRDefault="004F64EF" w:rsidP="00FD6B66">
            <w:pPr>
              <w:jc w:val="right"/>
              <w:rPr>
                <w:rFonts w:cs="Calibri"/>
                <w:color w:val="000000"/>
                <w:sz w:val="14"/>
                <w:szCs w:val="14"/>
              </w:rPr>
            </w:pPr>
            <w:r w:rsidRPr="003003C0">
              <w:rPr>
                <w:rFonts w:cs="Calibri"/>
                <w:color w:val="000000"/>
                <w:sz w:val="14"/>
                <w:szCs w:val="14"/>
              </w:rPr>
              <w:t>7</w:t>
            </w:r>
            <w:r>
              <w:rPr>
                <w:rFonts w:cs="Calibri"/>
                <w:color w:val="000000"/>
                <w:sz w:val="14"/>
                <w:szCs w:val="14"/>
              </w:rPr>
              <w:t>.</w:t>
            </w:r>
            <w:r w:rsidRPr="003003C0">
              <w:rPr>
                <w:rFonts w:cs="Calibri"/>
                <w:color w:val="000000"/>
                <w:sz w:val="14"/>
                <w:szCs w:val="14"/>
              </w:rPr>
              <w:t>0</w:t>
            </w:r>
          </w:p>
        </w:tc>
        <w:tc>
          <w:tcPr>
            <w:tcW w:w="722" w:type="dxa"/>
            <w:noWrap/>
            <w:vAlign w:val="center"/>
            <w:hideMark/>
          </w:tcPr>
          <w:p w14:paraId="53032075" w14:textId="77777777" w:rsidR="004F64EF" w:rsidRPr="003003C0" w:rsidRDefault="004F64EF" w:rsidP="00FD6B66">
            <w:pPr>
              <w:jc w:val="right"/>
              <w:rPr>
                <w:rFonts w:cs="Calibri"/>
                <w:color w:val="000000"/>
                <w:sz w:val="14"/>
                <w:szCs w:val="14"/>
              </w:rPr>
            </w:pPr>
            <w:r w:rsidRPr="003003C0">
              <w:rPr>
                <w:rFonts w:cs="Calibri"/>
                <w:color w:val="000000"/>
                <w:sz w:val="14"/>
                <w:szCs w:val="14"/>
              </w:rPr>
              <w:t>7</w:t>
            </w:r>
            <w:r>
              <w:rPr>
                <w:rFonts w:cs="Calibri"/>
                <w:color w:val="000000"/>
                <w:sz w:val="14"/>
                <w:szCs w:val="14"/>
              </w:rPr>
              <w:t>.</w:t>
            </w:r>
            <w:r w:rsidRPr="003003C0">
              <w:rPr>
                <w:rFonts w:cs="Calibri"/>
                <w:color w:val="000000"/>
                <w:sz w:val="14"/>
                <w:szCs w:val="14"/>
              </w:rPr>
              <w:t>1</w:t>
            </w:r>
          </w:p>
        </w:tc>
        <w:tc>
          <w:tcPr>
            <w:tcW w:w="722" w:type="dxa"/>
            <w:noWrap/>
            <w:vAlign w:val="center"/>
            <w:hideMark/>
          </w:tcPr>
          <w:p w14:paraId="3A011454" w14:textId="77777777" w:rsidR="004F64EF" w:rsidRPr="003003C0" w:rsidRDefault="004F64EF" w:rsidP="00FD6B66">
            <w:pPr>
              <w:jc w:val="right"/>
              <w:rPr>
                <w:rFonts w:cs="Calibri"/>
                <w:color w:val="000000"/>
                <w:sz w:val="14"/>
                <w:szCs w:val="14"/>
              </w:rPr>
            </w:pPr>
            <w:r w:rsidRPr="003003C0">
              <w:rPr>
                <w:rFonts w:cs="Calibri"/>
                <w:color w:val="000000"/>
                <w:sz w:val="14"/>
                <w:szCs w:val="14"/>
              </w:rPr>
              <w:t>8</w:t>
            </w:r>
            <w:r>
              <w:rPr>
                <w:rFonts w:cs="Calibri"/>
                <w:color w:val="000000"/>
                <w:sz w:val="14"/>
                <w:szCs w:val="14"/>
              </w:rPr>
              <w:t>.</w:t>
            </w:r>
            <w:r w:rsidRPr="003003C0">
              <w:rPr>
                <w:rFonts w:cs="Calibri"/>
                <w:color w:val="000000"/>
                <w:sz w:val="14"/>
                <w:szCs w:val="14"/>
              </w:rPr>
              <w:t>9</w:t>
            </w:r>
          </w:p>
        </w:tc>
        <w:tc>
          <w:tcPr>
            <w:tcW w:w="722" w:type="dxa"/>
            <w:noWrap/>
            <w:vAlign w:val="center"/>
            <w:hideMark/>
          </w:tcPr>
          <w:p w14:paraId="56759C9A" w14:textId="77777777" w:rsidR="004F64EF" w:rsidRPr="003003C0" w:rsidRDefault="004F64EF" w:rsidP="00FD6B66">
            <w:pPr>
              <w:jc w:val="right"/>
              <w:rPr>
                <w:rFonts w:cs="Calibri"/>
                <w:color w:val="000000"/>
                <w:sz w:val="14"/>
                <w:szCs w:val="14"/>
              </w:rPr>
            </w:pPr>
            <w:r w:rsidRPr="003003C0">
              <w:rPr>
                <w:rFonts w:cs="Calibri"/>
                <w:color w:val="000000"/>
                <w:sz w:val="14"/>
                <w:szCs w:val="14"/>
              </w:rPr>
              <w:t>7</w:t>
            </w:r>
            <w:r>
              <w:rPr>
                <w:rFonts w:cs="Calibri"/>
                <w:color w:val="000000"/>
                <w:sz w:val="14"/>
                <w:szCs w:val="14"/>
              </w:rPr>
              <w:t>.</w:t>
            </w:r>
            <w:r w:rsidRPr="003003C0">
              <w:rPr>
                <w:rFonts w:cs="Calibri"/>
                <w:color w:val="000000"/>
                <w:sz w:val="14"/>
                <w:szCs w:val="14"/>
              </w:rPr>
              <w:t>4</w:t>
            </w:r>
          </w:p>
        </w:tc>
      </w:tr>
      <w:tr w:rsidR="004F64EF" w:rsidRPr="003003C0" w14:paraId="258F6E37" w14:textId="77777777" w:rsidTr="00FD6B66">
        <w:trPr>
          <w:cnfStyle w:val="000000010000" w:firstRow="0" w:lastRow="0" w:firstColumn="0" w:lastColumn="0" w:oddVBand="0" w:evenVBand="0" w:oddHBand="0" w:evenHBand="1" w:firstRowFirstColumn="0" w:firstRowLastColumn="0" w:lastRowFirstColumn="0" w:lastRowLastColumn="0"/>
          <w:trHeight w:val="20"/>
        </w:trPr>
        <w:tc>
          <w:tcPr>
            <w:tcW w:w="3964" w:type="dxa"/>
            <w:noWrap/>
            <w:vAlign w:val="center"/>
            <w:hideMark/>
          </w:tcPr>
          <w:p w14:paraId="681A37FB" w14:textId="77777777" w:rsidR="004F64EF" w:rsidRPr="003003C0" w:rsidRDefault="004F64EF" w:rsidP="00B22563">
            <w:pPr>
              <w:tabs>
                <w:tab w:val="left" w:pos="227"/>
              </w:tabs>
              <w:ind w:left="227" w:hanging="227"/>
              <w:jc w:val="left"/>
              <w:rPr>
                <w:rFonts w:cs="Calibri"/>
                <w:color w:val="000000"/>
                <w:sz w:val="14"/>
                <w:szCs w:val="14"/>
              </w:rPr>
            </w:pPr>
            <w:r w:rsidRPr="003003C0">
              <w:rPr>
                <w:rFonts w:cs="Calibri"/>
                <w:color w:val="000000"/>
                <w:sz w:val="14"/>
                <w:szCs w:val="14"/>
              </w:rPr>
              <w:tab/>
              <w:t xml:space="preserve">24. </w:t>
            </w:r>
            <w:r w:rsidRPr="006A3873">
              <w:rPr>
                <w:rFonts w:cs="Calibri"/>
                <w:color w:val="000000"/>
                <w:sz w:val="14"/>
                <w:szCs w:val="14"/>
              </w:rPr>
              <w:t>Tobacco and manufactured tobacco substitutes</w:t>
            </w:r>
          </w:p>
        </w:tc>
        <w:tc>
          <w:tcPr>
            <w:tcW w:w="721" w:type="dxa"/>
            <w:noWrap/>
            <w:vAlign w:val="center"/>
            <w:hideMark/>
          </w:tcPr>
          <w:p w14:paraId="50E2891A" w14:textId="77777777" w:rsidR="004F64EF" w:rsidRPr="003003C0" w:rsidRDefault="004F64EF" w:rsidP="00FD6B66">
            <w:pPr>
              <w:jc w:val="right"/>
              <w:rPr>
                <w:rFonts w:cs="Calibri"/>
                <w:color w:val="000000"/>
                <w:sz w:val="14"/>
                <w:szCs w:val="14"/>
              </w:rPr>
            </w:pPr>
            <w:r w:rsidRPr="003003C0">
              <w:rPr>
                <w:rFonts w:cs="Calibri"/>
                <w:color w:val="000000"/>
                <w:sz w:val="14"/>
                <w:szCs w:val="14"/>
              </w:rPr>
              <w:t>1</w:t>
            </w:r>
            <w:r>
              <w:rPr>
                <w:rFonts w:cs="Calibri"/>
                <w:color w:val="000000"/>
                <w:sz w:val="14"/>
                <w:szCs w:val="14"/>
              </w:rPr>
              <w:t>.</w:t>
            </w:r>
            <w:r w:rsidRPr="003003C0">
              <w:rPr>
                <w:rFonts w:cs="Calibri"/>
                <w:color w:val="000000"/>
                <w:sz w:val="14"/>
                <w:szCs w:val="14"/>
              </w:rPr>
              <w:t>6</w:t>
            </w:r>
          </w:p>
        </w:tc>
        <w:tc>
          <w:tcPr>
            <w:tcW w:w="722" w:type="dxa"/>
            <w:noWrap/>
            <w:vAlign w:val="center"/>
            <w:hideMark/>
          </w:tcPr>
          <w:p w14:paraId="1DB27A06" w14:textId="77777777" w:rsidR="004F64EF" w:rsidRPr="003003C0" w:rsidRDefault="004F64EF" w:rsidP="00FD6B66">
            <w:pPr>
              <w:jc w:val="right"/>
              <w:rPr>
                <w:rFonts w:cs="Calibri"/>
                <w:color w:val="000000"/>
                <w:sz w:val="14"/>
                <w:szCs w:val="14"/>
              </w:rPr>
            </w:pPr>
            <w:r w:rsidRPr="003003C0">
              <w:rPr>
                <w:rFonts w:cs="Calibri"/>
                <w:color w:val="000000"/>
                <w:sz w:val="14"/>
                <w:szCs w:val="14"/>
              </w:rPr>
              <w:t>1</w:t>
            </w:r>
            <w:r>
              <w:rPr>
                <w:rFonts w:cs="Calibri"/>
                <w:color w:val="000000"/>
                <w:sz w:val="14"/>
                <w:szCs w:val="14"/>
              </w:rPr>
              <w:t>.</w:t>
            </w:r>
            <w:r w:rsidRPr="003003C0">
              <w:rPr>
                <w:rFonts w:cs="Calibri"/>
                <w:color w:val="000000"/>
                <w:sz w:val="14"/>
                <w:szCs w:val="14"/>
              </w:rPr>
              <w:t>6</w:t>
            </w:r>
          </w:p>
        </w:tc>
        <w:tc>
          <w:tcPr>
            <w:tcW w:w="722" w:type="dxa"/>
            <w:noWrap/>
            <w:vAlign w:val="center"/>
            <w:hideMark/>
          </w:tcPr>
          <w:p w14:paraId="62FFE7E8" w14:textId="77777777" w:rsidR="004F64EF" w:rsidRPr="003003C0" w:rsidRDefault="004F64EF" w:rsidP="00FD6B66">
            <w:pPr>
              <w:jc w:val="right"/>
              <w:rPr>
                <w:rFonts w:cs="Calibri"/>
                <w:color w:val="000000"/>
                <w:sz w:val="14"/>
                <w:szCs w:val="14"/>
              </w:rPr>
            </w:pPr>
            <w:r w:rsidRPr="003003C0">
              <w:rPr>
                <w:rFonts w:cs="Calibri"/>
                <w:color w:val="000000"/>
                <w:sz w:val="14"/>
                <w:szCs w:val="14"/>
              </w:rPr>
              <w:t>1</w:t>
            </w:r>
            <w:r>
              <w:rPr>
                <w:rFonts w:cs="Calibri"/>
                <w:color w:val="000000"/>
                <w:sz w:val="14"/>
                <w:szCs w:val="14"/>
              </w:rPr>
              <w:t>.</w:t>
            </w:r>
            <w:r w:rsidRPr="003003C0">
              <w:rPr>
                <w:rFonts w:cs="Calibri"/>
                <w:color w:val="000000"/>
                <w:sz w:val="14"/>
                <w:szCs w:val="14"/>
              </w:rPr>
              <w:t>6</w:t>
            </w:r>
          </w:p>
        </w:tc>
        <w:tc>
          <w:tcPr>
            <w:tcW w:w="721" w:type="dxa"/>
            <w:noWrap/>
            <w:vAlign w:val="center"/>
            <w:hideMark/>
          </w:tcPr>
          <w:p w14:paraId="0E70A42C" w14:textId="77777777" w:rsidR="004F64EF" w:rsidRPr="003003C0" w:rsidRDefault="004F64EF" w:rsidP="00FD6B66">
            <w:pPr>
              <w:jc w:val="right"/>
              <w:rPr>
                <w:rFonts w:cs="Calibri"/>
                <w:color w:val="000000"/>
                <w:sz w:val="14"/>
                <w:szCs w:val="14"/>
              </w:rPr>
            </w:pPr>
            <w:r w:rsidRPr="003003C0">
              <w:rPr>
                <w:rFonts w:cs="Calibri"/>
                <w:color w:val="000000"/>
                <w:sz w:val="14"/>
                <w:szCs w:val="14"/>
              </w:rPr>
              <w:t>1</w:t>
            </w:r>
            <w:r>
              <w:rPr>
                <w:rFonts w:cs="Calibri"/>
                <w:color w:val="000000"/>
                <w:sz w:val="14"/>
                <w:szCs w:val="14"/>
              </w:rPr>
              <w:t>.</w:t>
            </w:r>
            <w:r w:rsidRPr="003003C0">
              <w:rPr>
                <w:rFonts w:cs="Calibri"/>
                <w:color w:val="000000"/>
                <w:sz w:val="14"/>
                <w:szCs w:val="14"/>
              </w:rPr>
              <w:t>6</w:t>
            </w:r>
          </w:p>
        </w:tc>
        <w:tc>
          <w:tcPr>
            <w:tcW w:w="722" w:type="dxa"/>
            <w:noWrap/>
            <w:vAlign w:val="center"/>
            <w:hideMark/>
          </w:tcPr>
          <w:p w14:paraId="1256ED40" w14:textId="77777777" w:rsidR="004F64EF" w:rsidRPr="003003C0" w:rsidRDefault="004F64EF" w:rsidP="00FD6B66">
            <w:pPr>
              <w:jc w:val="right"/>
              <w:rPr>
                <w:rFonts w:cs="Calibri"/>
                <w:color w:val="000000"/>
                <w:sz w:val="14"/>
                <w:szCs w:val="14"/>
              </w:rPr>
            </w:pPr>
            <w:r w:rsidRPr="003003C0">
              <w:rPr>
                <w:rFonts w:cs="Calibri"/>
                <w:color w:val="000000"/>
                <w:sz w:val="14"/>
                <w:szCs w:val="14"/>
              </w:rPr>
              <w:t>1</w:t>
            </w:r>
            <w:r>
              <w:rPr>
                <w:rFonts w:cs="Calibri"/>
                <w:color w:val="000000"/>
                <w:sz w:val="14"/>
                <w:szCs w:val="14"/>
              </w:rPr>
              <w:t>.</w:t>
            </w:r>
            <w:r w:rsidRPr="003003C0">
              <w:rPr>
                <w:rFonts w:cs="Calibri"/>
                <w:color w:val="000000"/>
                <w:sz w:val="14"/>
                <w:szCs w:val="14"/>
              </w:rPr>
              <w:t>9</w:t>
            </w:r>
          </w:p>
        </w:tc>
        <w:tc>
          <w:tcPr>
            <w:tcW w:w="722" w:type="dxa"/>
            <w:noWrap/>
            <w:vAlign w:val="center"/>
            <w:hideMark/>
          </w:tcPr>
          <w:p w14:paraId="2BD86BBF" w14:textId="77777777" w:rsidR="004F64EF" w:rsidRPr="003003C0" w:rsidRDefault="004F64EF" w:rsidP="00FD6B66">
            <w:pPr>
              <w:jc w:val="right"/>
              <w:rPr>
                <w:rFonts w:cs="Calibri"/>
                <w:color w:val="000000"/>
                <w:sz w:val="14"/>
                <w:szCs w:val="14"/>
              </w:rPr>
            </w:pPr>
            <w:r w:rsidRPr="003003C0">
              <w:rPr>
                <w:rFonts w:cs="Calibri"/>
                <w:color w:val="000000"/>
                <w:sz w:val="14"/>
                <w:szCs w:val="14"/>
              </w:rPr>
              <w:t>2</w:t>
            </w:r>
            <w:r>
              <w:rPr>
                <w:rFonts w:cs="Calibri"/>
                <w:color w:val="000000"/>
                <w:sz w:val="14"/>
                <w:szCs w:val="14"/>
              </w:rPr>
              <w:t>.</w:t>
            </w:r>
            <w:r w:rsidRPr="003003C0">
              <w:rPr>
                <w:rFonts w:cs="Calibri"/>
                <w:color w:val="000000"/>
                <w:sz w:val="14"/>
                <w:szCs w:val="14"/>
              </w:rPr>
              <w:t>4</w:t>
            </w:r>
          </w:p>
        </w:tc>
        <w:tc>
          <w:tcPr>
            <w:tcW w:w="722" w:type="dxa"/>
            <w:noWrap/>
            <w:vAlign w:val="center"/>
            <w:hideMark/>
          </w:tcPr>
          <w:p w14:paraId="28AA3A68" w14:textId="77777777" w:rsidR="004F64EF" w:rsidRPr="003003C0" w:rsidRDefault="004F64EF" w:rsidP="00FD6B66">
            <w:pPr>
              <w:jc w:val="right"/>
              <w:rPr>
                <w:rFonts w:cs="Calibri"/>
                <w:color w:val="000000"/>
                <w:sz w:val="14"/>
                <w:szCs w:val="14"/>
              </w:rPr>
            </w:pPr>
            <w:r w:rsidRPr="003003C0">
              <w:rPr>
                <w:rFonts w:cs="Calibri"/>
                <w:color w:val="000000"/>
                <w:sz w:val="14"/>
                <w:szCs w:val="14"/>
              </w:rPr>
              <w:t>1</w:t>
            </w:r>
            <w:r>
              <w:rPr>
                <w:rFonts w:cs="Calibri"/>
                <w:color w:val="000000"/>
                <w:sz w:val="14"/>
                <w:szCs w:val="14"/>
              </w:rPr>
              <w:t>.</w:t>
            </w:r>
            <w:r w:rsidRPr="003003C0">
              <w:rPr>
                <w:rFonts w:cs="Calibri"/>
                <w:color w:val="000000"/>
                <w:sz w:val="14"/>
                <w:szCs w:val="14"/>
              </w:rPr>
              <w:t>8</w:t>
            </w:r>
          </w:p>
        </w:tc>
      </w:tr>
      <w:tr w:rsidR="004F64EF" w:rsidRPr="003003C0" w14:paraId="22DF080E" w14:textId="77777777" w:rsidTr="00FD6B66">
        <w:trPr>
          <w:trHeight w:val="20"/>
        </w:trPr>
        <w:tc>
          <w:tcPr>
            <w:tcW w:w="3964" w:type="dxa"/>
            <w:noWrap/>
            <w:vAlign w:val="center"/>
            <w:hideMark/>
          </w:tcPr>
          <w:p w14:paraId="0A8403EF" w14:textId="77777777" w:rsidR="004F64EF" w:rsidRPr="003003C0" w:rsidRDefault="004F64EF" w:rsidP="00FD6B66">
            <w:pPr>
              <w:tabs>
                <w:tab w:val="left" w:pos="227"/>
              </w:tabs>
              <w:jc w:val="left"/>
              <w:rPr>
                <w:rFonts w:cs="Calibri"/>
                <w:color w:val="000000"/>
                <w:sz w:val="14"/>
                <w:szCs w:val="14"/>
              </w:rPr>
            </w:pPr>
            <w:r w:rsidRPr="003003C0">
              <w:rPr>
                <w:rFonts w:cs="Calibri"/>
                <w:color w:val="000000"/>
                <w:sz w:val="14"/>
                <w:szCs w:val="14"/>
              </w:rPr>
              <w:tab/>
              <w:t xml:space="preserve">22. </w:t>
            </w:r>
            <w:r w:rsidRPr="006A3873">
              <w:rPr>
                <w:rFonts w:cs="Calibri"/>
                <w:color w:val="000000"/>
                <w:sz w:val="14"/>
                <w:szCs w:val="14"/>
              </w:rPr>
              <w:t>Beverages, spirits and vinegar</w:t>
            </w:r>
          </w:p>
        </w:tc>
        <w:tc>
          <w:tcPr>
            <w:tcW w:w="721" w:type="dxa"/>
            <w:noWrap/>
            <w:vAlign w:val="center"/>
            <w:hideMark/>
          </w:tcPr>
          <w:p w14:paraId="05979409" w14:textId="77777777" w:rsidR="004F64EF" w:rsidRPr="003003C0" w:rsidRDefault="004F64EF" w:rsidP="00FD6B66">
            <w:pPr>
              <w:jc w:val="right"/>
              <w:rPr>
                <w:rFonts w:cs="Calibri"/>
                <w:color w:val="000000"/>
                <w:sz w:val="14"/>
                <w:szCs w:val="14"/>
              </w:rPr>
            </w:pPr>
            <w:r w:rsidRPr="003003C0">
              <w:rPr>
                <w:rFonts w:cs="Calibri"/>
                <w:color w:val="000000"/>
                <w:sz w:val="14"/>
                <w:szCs w:val="14"/>
              </w:rPr>
              <w:t>1</w:t>
            </w:r>
            <w:r>
              <w:rPr>
                <w:rFonts w:cs="Calibri"/>
                <w:color w:val="000000"/>
                <w:sz w:val="14"/>
                <w:szCs w:val="14"/>
              </w:rPr>
              <w:t>.</w:t>
            </w:r>
            <w:r w:rsidRPr="003003C0">
              <w:rPr>
                <w:rFonts w:cs="Calibri"/>
                <w:color w:val="000000"/>
                <w:sz w:val="14"/>
                <w:szCs w:val="14"/>
              </w:rPr>
              <w:t>4</w:t>
            </w:r>
          </w:p>
        </w:tc>
        <w:tc>
          <w:tcPr>
            <w:tcW w:w="722" w:type="dxa"/>
            <w:noWrap/>
            <w:vAlign w:val="center"/>
            <w:hideMark/>
          </w:tcPr>
          <w:p w14:paraId="2316D731" w14:textId="77777777" w:rsidR="004F64EF" w:rsidRPr="003003C0" w:rsidRDefault="004F64EF" w:rsidP="00FD6B66">
            <w:pPr>
              <w:jc w:val="right"/>
              <w:rPr>
                <w:rFonts w:cs="Calibri"/>
                <w:color w:val="000000"/>
                <w:sz w:val="14"/>
                <w:szCs w:val="14"/>
              </w:rPr>
            </w:pPr>
            <w:r w:rsidRPr="003003C0">
              <w:rPr>
                <w:rFonts w:cs="Calibri"/>
                <w:color w:val="000000"/>
                <w:sz w:val="14"/>
                <w:szCs w:val="14"/>
              </w:rPr>
              <w:t>1</w:t>
            </w:r>
            <w:r>
              <w:rPr>
                <w:rFonts w:cs="Calibri"/>
                <w:color w:val="000000"/>
                <w:sz w:val="14"/>
                <w:szCs w:val="14"/>
              </w:rPr>
              <w:t>.</w:t>
            </w:r>
            <w:r w:rsidRPr="003003C0">
              <w:rPr>
                <w:rFonts w:cs="Calibri"/>
                <w:color w:val="000000"/>
                <w:sz w:val="14"/>
                <w:szCs w:val="14"/>
              </w:rPr>
              <w:t>2</w:t>
            </w:r>
          </w:p>
        </w:tc>
        <w:tc>
          <w:tcPr>
            <w:tcW w:w="722" w:type="dxa"/>
            <w:noWrap/>
            <w:vAlign w:val="center"/>
            <w:hideMark/>
          </w:tcPr>
          <w:p w14:paraId="3E4A35F0" w14:textId="77777777" w:rsidR="004F64EF" w:rsidRPr="003003C0" w:rsidRDefault="004F64EF" w:rsidP="00FD6B66">
            <w:pPr>
              <w:jc w:val="right"/>
              <w:rPr>
                <w:rFonts w:cs="Calibri"/>
                <w:color w:val="000000"/>
                <w:sz w:val="14"/>
                <w:szCs w:val="14"/>
              </w:rPr>
            </w:pPr>
            <w:r w:rsidRPr="003003C0">
              <w:rPr>
                <w:rFonts w:cs="Calibri"/>
                <w:color w:val="000000"/>
                <w:sz w:val="14"/>
                <w:szCs w:val="14"/>
              </w:rPr>
              <w:t>1</w:t>
            </w:r>
            <w:r>
              <w:rPr>
                <w:rFonts w:cs="Calibri"/>
                <w:color w:val="000000"/>
                <w:sz w:val="14"/>
                <w:szCs w:val="14"/>
              </w:rPr>
              <w:t>.</w:t>
            </w:r>
            <w:r w:rsidRPr="003003C0">
              <w:rPr>
                <w:rFonts w:cs="Calibri"/>
                <w:color w:val="000000"/>
                <w:sz w:val="14"/>
                <w:szCs w:val="14"/>
              </w:rPr>
              <w:t>3</w:t>
            </w:r>
          </w:p>
        </w:tc>
        <w:tc>
          <w:tcPr>
            <w:tcW w:w="721" w:type="dxa"/>
            <w:noWrap/>
            <w:vAlign w:val="center"/>
            <w:hideMark/>
          </w:tcPr>
          <w:p w14:paraId="40040870" w14:textId="77777777" w:rsidR="004F64EF" w:rsidRPr="003003C0" w:rsidRDefault="004F64EF" w:rsidP="00FD6B66">
            <w:pPr>
              <w:jc w:val="right"/>
              <w:rPr>
                <w:rFonts w:cs="Calibri"/>
                <w:color w:val="000000"/>
                <w:sz w:val="14"/>
                <w:szCs w:val="14"/>
              </w:rPr>
            </w:pPr>
            <w:r w:rsidRPr="003003C0">
              <w:rPr>
                <w:rFonts w:cs="Calibri"/>
                <w:color w:val="000000"/>
                <w:sz w:val="14"/>
                <w:szCs w:val="14"/>
              </w:rPr>
              <w:t>1</w:t>
            </w:r>
            <w:r>
              <w:rPr>
                <w:rFonts w:cs="Calibri"/>
                <w:color w:val="000000"/>
                <w:sz w:val="14"/>
                <w:szCs w:val="14"/>
              </w:rPr>
              <w:t>.</w:t>
            </w:r>
            <w:r w:rsidRPr="003003C0">
              <w:rPr>
                <w:rFonts w:cs="Calibri"/>
                <w:color w:val="000000"/>
                <w:sz w:val="14"/>
                <w:szCs w:val="14"/>
              </w:rPr>
              <w:t>2</w:t>
            </w:r>
          </w:p>
        </w:tc>
        <w:tc>
          <w:tcPr>
            <w:tcW w:w="722" w:type="dxa"/>
            <w:noWrap/>
            <w:vAlign w:val="center"/>
            <w:hideMark/>
          </w:tcPr>
          <w:p w14:paraId="75C478C4" w14:textId="77777777" w:rsidR="004F64EF" w:rsidRPr="003003C0" w:rsidRDefault="004F64EF" w:rsidP="00FD6B66">
            <w:pPr>
              <w:jc w:val="right"/>
              <w:rPr>
                <w:rFonts w:cs="Calibri"/>
                <w:color w:val="000000"/>
                <w:sz w:val="14"/>
                <w:szCs w:val="14"/>
              </w:rPr>
            </w:pPr>
            <w:r w:rsidRPr="003003C0">
              <w:rPr>
                <w:rFonts w:cs="Calibri"/>
                <w:color w:val="000000"/>
                <w:sz w:val="14"/>
                <w:szCs w:val="14"/>
              </w:rPr>
              <w:t>1</w:t>
            </w:r>
            <w:r>
              <w:rPr>
                <w:rFonts w:cs="Calibri"/>
                <w:color w:val="000000"/>
                <w:sz w:val="14"/>
                <w:szCs w:val="14"/>
              </w:rPr>
              <w:t>.</w:t>
            </w:r>
            <w:r w:rsidRPr="003003C0">
              <w:rPr>
                <w:rFonts w:cs="Calibri"/>
                <w:color w:val="000000"/>
                <w:sz w:val="14"/>
                <w:szCs w:val="14"/>
              </w:rPr>
              <w:t>3</w:t>
            </w:r>
          </w:p>
        </w:tc>
        <w:tc>
          <w:tcPr>
            <w:tcW w:w="722" w:type="dxa"/>
            <w:noWrap/>
            <w:vAlign w:val="center"/>
            <w:hideMark/>
          </w:tcPr>
          <w:p w14:paraId="0D59ED5E" w14:textId="77777777" w:rsidR="004F64EF" w:rsidRPr="003003C0" w:rsidRDefault="004F64EF" w:rsidP="00FD6B66">
            <w:pPr>
              <w:jc w:val="right"/>
              <w:rPr>
                <w:rFonts w:cs="Calibri"/>
                <w:color w:val="000000"/>
                <w:sz w:val="14"/>
                <w:szCs w:val="14"/>
              </w:rPr>
            </w:pPr>
            <w:r w:rsidRPr="003003C0">
              <w:rPr>
                <w:rFonts w:cs="Calibri"/>
                <w:color w:val="000000"/>
                <w:sz w:val="14"/>
                <w:szCs w:val="14"/>
              </w:rPr>
              <w:t>1</w:t>
            </w:r>
            <w:r>
              <w:rPr>
                <w:rFonts w:cs="Calibri"/>
                <w:color w:val="000000"/>
                <w:sz w:val="14"/>
                <w:szCs w:val="14"/>
              </w:rPr>
              <w:t>.</w:t>
            </w:r>
            <w:r w:rsidRPr="003003C0">
              <w:rPr>
                <w:rFonts w:cs="Calibri"/>
                <w:color w:val="000000"/>
                <w:sz w:val="14"/>
                <w:szCs w:val="14"/>
              </w:rPr>
              <w:t>3</w:t>
            </w:r>
          </w:p>
        </w:tc>
        <w:tc>
          <w:tcPr>
            <w:tcW w:w="722" w:type="dxa"/>
            <w:noWrap/>
            <w:vAlign w:val="center"/>
            <w:hideMark/>
          </w:tcPr>
          <w:p w14:paraId="4DF3F3DB" w14:textId="77777777" w:rsidR="004F64EF" w:rsidRPr="003003C0" w:rsidRDefault="004F64EF" w:rsidP="00FD6B66">
            <w:pPr>
              <w:jc w:val="right"/>
              <w:rPr>
                <w:rFonts w:cs="Calibri"/>
                <w:color w:val="000000"/>
                <w:sz w:val="14"/>
                <w:szCs w:val="14"/>
              </w:rPr>
            </w:pPr>
            <w:r w:rsidRPr="003003C0">
              <w:rPr>
                <w:rFonts w:cs="Calibri"/>
                <w:color w:val="000000"/>
                <w:sz w:val="14"/>
                <w:szCs w:val="14"/>
              </w:rPr>
              <w:t>1</w:t>
            </w:r>
            <w:r>
              <w:rPr>
                <w:rFonts w:cs="Calibri"/>
                <w:color w:val="000000"/>
                <w:sz w:val="14"/>
                <w:szCs w:val="14"/>
              </w:rPr>
              <w:t>.</w:t>
            </w:r>
            <w:r w:rsidRPr="003003C0">
              <w:rPr>
                <w:rFonts w:cs="Calibri"/>
                <w:color w:val="000000"/>
                <w:sz w:val="14"/>
                <w:szCs w:val="14"/>
              </w:rPr>
              <w:t>7</w:t>
            </w:r>
          </w:p>
        </w:tc>
      </w:tr>
      <w:tr w:rsidR="004F64EF" w:rsidRPr="003003C0" w14:paraId="7CEB15DF" w14:textId="77777777" w:rsidTr="00FD6B66">
        <w:trPr>
          <w:cnfStyle w:val="000000010000" w:firstRow="0" w:lastRow="0" w:firstColumn="0" w:lastColumn="0" w:oddVBand="0" w:evenVBand="0" w:oddHBand="0" w:evenHBand="1" w:firstRowFirstColumn="0" w:firstRowLastColumn="0" w:lastRowFirstColumn="0" w:lastRowLastColumn="0"/>
          <w:trHeight w:val="20"/>
        </w:trPr>
        <w:tc>
          <w:tcPr>
            <w:tcW w:w="3964" w:type="dxa"/>
            <w:noWrap/>
            <w:vAlign w:val="center"/>
            <w:hideMark/>
          </w:tcPr>
          <w:p w14:paraId="6144BF5A" w14:textId="77777777" w:rsidR="004F64EF" w:rsidRPr="003003C0" w:rsidRDefault="004F64EF" w:rsidP="00FD6B66">
            <w:pPr>
              <w:tabs>
                <w:tab w:val="left" w:pos="227"/>
              </w:tabs>
              <w:jc w:val="left"/>
              <w:rPr>
                <w:rFonts w:cs="Calibri"/>
                <w:color w:val="000000"/>
                <w:sz w:val="14"/>
                <w:szCs w:val="14"/>
              </w:rPr>
            </w:pPr>
            <w:r w:rsidRPr="003003C0">
              <w:rPr>
                <w:rFonts w:cs="Calibri"/>
                <w:color w:val="000000"/>
                <w:sz w:val="14"/>
                <w:szCs w:val="14"/>
              </w:rPr>
              <w:tab/>
              <w:t xml:space="preserve">19. </w:t>
            </w:r>
            <w:r w:rsidRPr="006A3873">
              <w:rPr>
                <w:rFonts w:cs="Calibri"/>
                <w:color w:val="000000"/>
                <w:sz w:val="14"/>
                <w:szCs w:val="14"/>
              </w:rPr>
              <w:t>Preparations of cereals, flour, starch or milk</w:t>
            </w:r>
          </w:p>
        </w:tc>
        <w:tc>
          <w:tcPr>
            <w:tcW w:w="721" w:type="dxa"/>
            <w:noWrap/>
            <w:vAlign w:val="center"/>
            <w:hideMark/>
          </w:tcPr>
          <w:p w14:paraId="256DB75D" w14:textId="77777777" w:rsidR="004F64EF" w:rsidRPr="003003C0" w:rsidRDefault="004F64EF" w:rsidP="00FD6B66">
            <w:pPr>
              <w:jc w:val="right"/>
              <w:rPr>
                <w:rFonts w:cs="Calibri"/>
                <w:color w:val="000000"/>
                <w:sz w:val="14"/>
                <w:szCs w:val="14"/>
              </w:rPr>
            </w:pPr>
            <w:r w:rsidRPr="003003C0">
              <w:rPr>
                <w:rFonts w:cs="Calibri"/>
                <w:color w:val="000000"/>
                <w:sz w:val="14"/>
                <w:szCs w:val="14"/>
              </w:rPr>
              <w:t>1</w:t>
            </w:r>
            <w:r>
              <w:rPr>
                <w:rFonts w:cs="Calibri"/>
                <w:color w:val="000000"/>
                <w:sz w:val="14"/>
                <w:szCs w:val="14"/>
              </w:rPr>
              <w:t>.</w:t>
            </w:r>
            <w:r w:rsidRPr="003003C0">
              <w:rPr>
                <w:rFonts w:cs="Calibri"/>
                <w:color w:val="000000"/>
                <w:sz w:val="14"/>
                <w:szCs w:val="14"/>
              </w:rPr>
              <w:t>0</w:t>
            </w:r>
          </w:p>
        </w:tc>
        <w:tc>
          <w:tcPr>
            <w:tcW w:w="722" w:type="dxa"/>
            <w:noWrap/>
            <w:vAlign w:val="center"/>
            <w:hideMark/>
          </w:tcPr>
          <w:p w14:paraId="7D203230" w14:textId="77777777" w:rsidR="004F64EF" w:rsidRPr="003003C0" w:rsidRDefault="004F64EF" w:rsidP="00FD6B66">
            <w:pPr>
              <w:jc w:val="right"/>
              <w:rPr>
                <w:rFonts w:cs="Calibri"/>
                <w:color w:val="000000"/>
                <w:sz w:val="14"/>
                <w:szCs w:val="14"/>
              </w:rPr>
            </w:pPr>
            <w:r w:rsidRPr="003003C0">
              <w:rPr>
                <w:rFonts w:cs="Calibri"/>
                <w:color w:val="000000"/>
                <w:sz w:val="14"/>
                <w:szCs w:val="14"/>
              </w:rPr>
              <w:t>1</w:t>
            </w:r>
            <w:r>
              <w:rPr>
                <w:rFonts w:cs="Calibri"/>
                <w:color w:val="000000"/>
                <w:sz w:val="14"/>
                <w:szCs w:val="14"/>
              </w:rPr>
              <w:t>.</w:t>
            </w:r>
            <w:r w:rsidRPr="003003C0">
              <w:rPr>
                <w:rFonts w:cs="Calibri"/>
                <w:color w:val="000000"/>
                <w:sz w:val="14"/>
                <w:szCs w:val="14"/>
              </w:rPr>
              <w:t>0</w:t>
            </w:r>
          </w:p>
        </w:tc>
        <w:tc>
          <w:tcPr>
            <w:tcW w:w="722" w:type="dxa"/>
            <w:noWrap/>
            <w:vAlign w:val="center"/>
            <w:hideMark/>
          </w:tcPr>
          <w:p w14:paraId="57325F9C" w14:textId="77777777" w:rsidR="004F64EF" w:rsidRPr="003003C0" w:rsidRDefault="004F64EF" w:rsidP="00FD6B66">
            <w:pPr>
              <w:jc w:val="right"/>
              <w:rPr>
                <w:rFonts w:cs="Calibri"/>
                <w:color w:val="000000"/>
                <w:sz w:val="14"/>
                <w:szCs w:val="14"/>
              </w:rPr>
            </w:pPr>
            <w:r w:rsidRPr="003003C0">
              <w:rPr>
                <w:rFonts w:cs="Calibri"/>
                <w:color w:val="000000"/>
                <w:sz w:val="14"/>
                <w:szCs w:val="14"/>
              </w:rPr>
              <w:t>1</w:t>
            </w:r>
            <w:r>
              <w:rPr>
                <w:rFonts w:cs="Calibri"/>
                <w:color w:val="000000"/>
                <w:sz w:val="14"/>
                <w:szCs w:val="14"/>
              </w:rPr>
              <w:t>.</w:t>
            </w:r>
            <w:r w:rsidRPr="003003C0">
              <w:rPr>
                <w:rFonts w:cs="Calibri"/>
                <w:color w:val="000000"/>
                <w:sz w:val="14"/>
                <w:szCs w:val="14"/>
              </w:rPr>
              <w:t>0</w:t>
            </w:r>
          </w:p>
        </w:tc>
        <w:tc>
          <w:tcPr>
            <w:tcW w:w="721" w:type="dxa"/>
            <w:noWrap/>
            <w:vAlign w:val="center"/>
            <w:hideMark/>
          </w:tcPr>
          <w:p w14:paraId="428ACD65" w14:textId="77777777" w:rsidR="004F64EF" w:rsidRPr="003003C0" w:rsidRDefault="004F64EF" w:rsidP="00FD6B66">
            <w:pPr>
              <w:jc w:val="right"/>
              <w:rPr>
                <w:rFonts w:cs="Calibri"/>
                <w:color w:val="000000"/>
                <w:sz w:val="14"/>
                <w:szCs w:val="14"/>
              </w:rPr>
            </w:pPr>
            <w:r w:rsidRPr="003003C0">
              <w:rPr>
                <w:rFonts w:cs="Calibri"/>
                <w:color w:val="000000"/>
                <w:sz w:val="14"/>
                <w:szCs w:val="14"/>
              </w:rPr>
              <w:t>1</w:t>
            </w:r>
            <w:r>
              <w:rPr>
                <w:rFonts w:cs="Calibri"/>
                <w:color w:val="000000"/>
                <w:sz w:val="14"/>
                <w:szCs w:val="14"/>
              </w:rPr>
              <w:t>.</w:t>
            </w:r>
            <w:r w:rsidRPr="003003C0">
              <w:rPr>
                <w:rFonts w:cs="Calibri"/>
                <w:color w:val="000000"/>
                <w:sz w:val="14"/>
                <w:szCs w:val="14"/>
              </w:rPr>
              <w:t>0</w:t>
            </w:r>
          </w:p>
        </w:tc>
        <w:tc>
          <w:tcPr>
            <w:tcW w:w="722" w:type="dxa"/>
            <w:noWrap/>
            <w:vAlign w:val="center"/>
            <w:hideMark/>
          </w:tcPr>
          <w:p w14:paraId="61F680D8" w14:textId="77777777" w:rsidR="004F64EF" w:rsidRPr="003003C0" w:rsidRDefault="004F64EF" w:rsidP="00FD6B66">
            <w:pPr>
              <w:jc w:val="right"/>
              <w:rPr>
                <w:rFonts w:cs="Calibri"/>
                <w:color w:val="000000"/>
                <w:sz w:val="14"/>
                <w:szCs w:val="14"/>
              </w:rPr>
            </w:pPr>
            <w:r w:rsidRPr="003003C0">
              <w:rPr>
                <w:rFonts w:cs="Calibri"/>
                <w:color w:val="000000"/>
                <w:sz w:val="14"/>
                <w:szCs w:val="14"/>
              </w:rPr>
              <w:t>1</w:t>
            </w:r>
            <w:r>
              <w:rPr>
                <w:rFonts w:cs="Calibri"/>
                <w:color w:val="000000"/>
                <w:sz w:val="14"/>
                <w:szCs w:val="14"/>
              </w:rPr>
              <w:t>.</w:t>
            </w:r>
            <w:r w:rsidRPr="003003C0">
              <w:rPr>
                <w:rFonts w:cs="Calibri"/>
                <w:color w:val="000000"/>
                <w:sz w:val="14"/>
                <w:szCs w:val="14"/>
              </w:rPr>
              <w:t>0</w:t>
            </w:r>
          </w:p>
        </w:tc>
        <w:tc>
          <w:tcPr>
            <w:tcW w:w="722" w:type="dxa"/>
            <w:noWrap/>
            <w:vAlign w:val="center"/>
            <w:hideMark/>
          </w:tcPr>
          <w:p w14:paraId="48B9C08D" w14:textId="77777777" w:rsidR="004F64EF" w:rsidRPr="003003C0" w:rsidRDefault="004F64EF" w:rsidP="00FD6B66">
            <w:pPr>
              <w:jc w:val="right"/>
              <w:rPr>
                <w:rFonts w:cs="Calibri"/>
                <w:color w:val="000000"/>
                <w:sz w:val="14"/>
                <w:szCs w:val="14"/>
              </w:rPr>
            </w:pPr>
            <w:r w:rsidRPr="003003C0">
              <w:rPr>
                <w:rFonts w:cs="Calibri"/>
                <w:color w:val="000000"/>
                <w:sz w:val="14"/>
                <w:szCs w:val="14"/>
              </w:rPr>
              <w:t>1</w:t>
            </w:r>
            <w:r>
              <w:rPr>
                <w:rFonts w:cs="Calibri"/>
                <w:color w:val="000000"/>
                <w:sz w:val="14"/>
                <w:szCs w:val="14"/>
              </w:rPr>
              <w:t>.</w:t>
            </w:r>
            <w:r w:rsidRPr="003003C0">
              <w:rPr>
                <w:rFonts w:cs="Calibri"/>
                <w:color w:val="000000"/>
                <w:sz w:val="14"/>
                <w:szCs w:val="14"/>
              </w:rPr>
              <w:t>3</w:t>
            </w:r>
          </w:p>
        </w:tc>
        <w:tc>
          <w:tcPr>
            <w:tcW w:w="722" w:type="dxa"/>
            <w:noWrap/>
            <w:vAlign w:val="center"/>
            <w:hideMark/>
          </w:tcPr>
          <w:p w14:paraId="191CB226" w14:textId="77777777" w:rsidR="004F64EF" w:rsidRPr="003003C0" w:rsidRDefault="004F64EF" w:rsidP="00FD6B66">
            <w:pPr>
              <w:jc w:val="right"/>
              <w:rPr>
                <w:rFonts w:cs="Calibri"/>
                <w:color w:val="000000"/>
                <w:sz w:val="14"/>
                <w:szCs w:val="14"/>
              </w:rPr>
            </w:pPr>
            <w:r w:rsidRPr="003003C0">
              <w:rPr>
                <w:rFonts w:cs="Calibri"/>
                <w:color w:val="000000"/>
                <w:sz w:val="14"/>
                <w:szCs w:val="14"/>
              </w:rPr>
              <w:t>1</w:t>
            </w:r>
            <w:r>
              <w:rPr>
                <w:rFonts w:cs="Calibri"/>
                <w:color w:val="000000"/>
                <w:sz w:val="14"/>
                <w:szCs w:val="14"/>
              </w:rPr>
              <w:t>.</w:t>
            </w:r>
            <w:r w:rsidRPr="003003C0">
              <w:rPr>
                <w:rFonts w:cs="Calibri"/>
                <w:color w:val="000000"/>
                <w:sz w:val="14"/>
                <w:szCs w:val="14"/>
              </w:rPr>
              <w:t>0</w:t>
            </w:r>
          </w:p>
        </w:tc>
      </w:tr>
      <w:tr w:rsidR="004F64EF" w:rsidRPr="003003C0" w14:paraId="4DBD2E84" w14:textId="77777777" w:rsidTr="00FD6B66">
        <w:trPr>
          <w:trHeight w:val="20"/>
        </w:trPr>
        <w:tc>
          <w:tcPr>
            <w:tcW w:w="3964" w:type="dxa"/>
            <w:noWrap/>
            <w:vAlign w:val="center"/>
            <w:hideMark/>
          </w:tcPr>
          <w:p w14:paraId="61B30372" w14:textId="77777777" w:rsidR="004F64EF" w:rsidRPr="003003C0" w:rsidRDefault="004F64EF" w:rsidP="00FD6B66">
            <w:pPr>
              <w:tabs>
                <w:tab w:val="left" w:pos="227"/>
              </w:tabs>
              <w:jc w:val="left"/>
              <w:rPr>
                <w:rFonts w:cs="Calibri"/>
                <w:color w:val="000000"/>
                <w:sz w:val="14"/>
                <w:szCs w:val="14"/>
              </w:rPr>
            </w:pPr>
            <w:r w:rsidRPr="003003C0">
              <w:rPr>
                <w:rFonts w:cs="Calibri"/>
                <w:color w:val="000000"/>
                <w:sz w:val="14"/>
                <w:szCs w:val="14"/>
              </w:rPr>
              <w:tab/>
              <w:t xml:space="preserve">21. </w:t>
            </w:r>
            <w:r w:rsidRPr="006A3873">
              <w:rPr>
                <w:rFonts w:cs="Calibri"/>
                <w:color w:val="000000"/>
                <w:sz w:val="14"/>
                <w:szCs w:val="14"/>
              </w:rPr>
              <w:t>Miscellaneous edible preparations</w:t>
            </w:r>
          </w:p>
        </w:tc>
        <w:tc>
          <w:tcPr>
            <w:tcW w:w="721" w:type="dxa"/>
            <w:noWrap/>
            <w:vAlign w:val="center"/>
            <w:hideMark/>
          </w:tcPr>
          <w:p w14:paraId="2B981AEF" w14:textId="77777777" w:rsidR="004F64EF" w:rsidRPr="003003C0" w:rsidRDefault="004F64EF" w:rsidP="00FD6B66">
            <w:pPr>
              <w:jc w:val="right"/>
              <w:rPr>
                <w:rFonts w:cs="Calibri"/>
                <w:color w:val="000000"/>
                <w:sz w:val="14"/>
                <w:szCs w:val="14"/>
              </w:rPr>
            </w:pPr>
            <w:r w:rsidRPr="003003C0">
              <w:rPr>
                <w:rFonts w:cs="Calibri"/>
                <w:color w:val="000000"/>
                <w:sz w:val="14"/>
                <w:szCs w:val="14"/>
              </w:rPr>
              <w:t>1</w:t>
            </w:r>
            <w:r>
              <w:rPr>
                <w:rFonts w:cs="Calibri"/>
                <w:color w:val="000000"/>
                <w:sz w:val="14"/>
                <w:szCs w:val="14"/>
              </w:rPr>
              <w:t>.</w:t>
            </w:r>
            <w:r w:rsidRPr="003003C0">
              <w:rPr>
                <w:rFonts w:cs="Calibri"/>
                <w:color w:val="000000"/>
                <w:sz w:val="14"/>
                <w:szCs w:val="14"/>
              </w:rPr>
              <w:t>0</w:t>
            </w:r>
          </w:p>
        </w:tc>
        <w:tc>
          <w:tcPr>
            <w:tcW w:w="722" w:type="dxa"/>
            <w:noWrap/>
            <w:vAlign w:val="center"/>
            <w:hideMark/>
          </w:tcPr>
          <w:p w14:paraId="054E1998" w14:textId="77777777" w:rsidR="004F64EF" w:rsidRPr="003003C0" w:rsidRDefault="004F64EF" w:rsidP="00FD6B66">
            <w:pPr>
              <w:jc w:val="right"/>
              <w:rPr>
                <w:rFonts w:cs="Calibri"/>
                <w:color w:val="000000"/>
                <w:sz w:val="14"/>
                <w:szCs w:val="14"/>
              </w:rPr>
            </w:pPr>
            <w:r w:rsidRPr="003003C0">
              <w:rPr>
                <w:rFonts w:cs="Calibri"/>
                <w:color w:val="000000"/>
                <w:sz w:val="14"/>
                <w:szCs w:val="14"/>
              </w:rPr>
              <w:t>1</w:t>
            </w:r>
            <w:r>
              <w:rPr>
                <w:rFonts w:cs="Calibri"/>
                <w:color w:val="000000"/>
                <w:sz w:val="14"/>
                <w:szCs w:val="14"/>
              </w:rPr>
              <w:t>.</w:t>
            </w:r>
            <w:r w:rsidRPr="003003C0">
              <w:rPr>
                <w:rFonts w:cs="Calibri"/>
                <w:color w:val="000000"/>
                <w:sz w:val="14"/>
                <w:szCs w:val="14"/>
              </w:rPr>
              <w:t>0</w:t>
            </w:r>
          </w:p>
        </w:tc>
        <w:tc>
          <w:tcPr>
            <w:tcW w:w="722" w:type="dxa"/>
            <w:noWrap/>
            <w:vAlign w:val="center"/>
            <w:hideMark/>
          </w:tcPr>
          <w:p w14:paraId="20389CBC" w14:textId="77777777" w:rsidR="004F64EF" w:rsidRPr="003003C0" w:rsidRDefault="004F64EF" w:rsidP="00FD6B66">
            <w:pPr>
              <w:jc w:val="right"/>
              <w:rPr>
                <w:rFonts w:cs="Calibri"/>
                <w:color w:val="000000"/>
                <w:sz w:val="14"/>
                <w:szCs w:val="14"/>
              </w:rPr>
            </w:pPr>
            <w:r w:rsidRPr="003003C0">
              <w:rPr>
                <w:rFonts w:cs="Calibri"/>
                <w:color w:val="000000"/>
                <w:sz w:val="14"/>
                <w:szCs w:val="14"/>
              </w:rPr>
              <w:t>1</w:t>
            </w:r>
            <w:r>
              <w:rPr>
                <w:rFonts w:cs="Calibri"/>
                <w:color w:val="000000"/>
                <w:sz w:val="14"/>
                <w:szCs w:val="14"/>
              </w:rPr>
              <w:t>.</w:t>
            </w:r>
            <w:r w:rsidRPr="003003C0">
              <w:rPr>
                <w:rFonts w:cs="Calibri"/>
                <w:color w:val="000000"/>
                <w:sz w:val="14"/>
                <w:szCs w:val="14"/>
              </w:rPr>
              <w:t>0</w:t>
            </w:r>
          </w:p>
        </w:tc>
        <w:tc>
          <w:tcPr>
            <w:tcW w:w="721" w:type="dxa"/>
            <w:noWrap/>
            <w:vAlign w:val="center"/>
            <w:hideMark/>
          </w:tcPr>
          <w:p w14:paraId="36E19AD6" w14:textId="77777777" w:rsidR="004F64EF" w:rsidRPr="003003C0" w:rsidRDefault="004F64EF" w:rsidP="00FD6B66">
            <w:pPr>
              <w:jc w:val="right"/>
              <w:rPr>
                <w:rFonts w:cs="Calibri"/>
                <w:color w:val="000000"/>
                <w:sz w:val="14"/>
                <w:szCs w:val="14"/>
              </w:rPr>
            </w:pPr>
            <w:r w:rsidRPr="003003C0">
              <w:rPr>
                <w:rFonts w:cs="Calibri"/>
                <w:color w:val="000000"/>
                <w:sz w:val="14"/>
                <w:szCs w:val="14"/>
              </w:rPr>
              <w:t>1</w:t>
            </w:r>
            <w:r>
              <w:rPr>
                <w:rFonts w:cs="Calibri"/>
                <w:color w:val="000000"/>
                <w:sz w:val="14"/>
                <w:szCs w:val="14"/>
              </w:rPr>
              <w:t>.</w:t>
            </w:r>
            <w:r w:rsidRPr="003003C0">
              <w:rPr>
                <w:rFonts w:cs="Calibri"/>
                <w:color w:val="000000"/>
                <w:sz w:val="14"/>
                <w:szCs w:val="14"/>
              </w:rPr>
              <w:t>0</w:t>
            </w:r>
          </w:p>
        </w:tc>
        <w:tc>
          <w:tcPr>
            <w:tcW w:w="722" w:type="dxa"/>
            <w:noWrap/>
            <w:vAlign w:val="center"/>
            <w:hideMark/>
          </w:tcPr>
          <w:p w14:paraId="07FDC29C" w14:textId="77777777" w:rsidR="004F64EF" w:rsidRPr="003003C0" w:rsidRDefault="004F64EF" w:rsidP="00FD6B66">
            <w:pPr>
              <w:jc w:val="right"/>
              <w:rPr>
                <w:rFonts w:cs="Calibri"/>
                <w:color w:val="000000"/>
                <w:sz w:val="14"/>
                <w:szCs w:val="14"/>
              </w:rPr>
            </w:pPr>
            <w:r w:rsidRPr="003003C0">
              <w:rPr>
                <w:rFonts w:cs="Calibri"/>
                <w:color w:val="000000"/>
                <w:sz w:val="14"/>
                <w:szCs w:val="14"/>
              </w:rPr>
              <w:t>1</w:t>
            </w:r>
            <w:r>
              <w:rPr>
                <w:rFonts w:cs="Calibri"/>
                <w:color w:val="000000"/>
                <w:sz w:val="14"/>
                <w:szCs w:val="14"/>
              </w:rPr>
              <w:t>.</w:t>
            </w:r>
            <w:r w:rsidRPr="003003C0">
              <w:rPr>
                <w:rFonts w:cs="Calibri"/>
                <w:color w:val="000000"/>
                <w:sz w:val="14"/>
                <w:szCs w:val="14"/>
              </w:rPr>
              <w:t>1</w:t>
            </w:r>
          </w:p>
        </w:tc>
        <w:tc>
          <w:tcPr>
            <w:tcW w:w="722" w:type="dxa"/>
            <w:noWrap/>
            <w:vAlign w:val="center"/>
            <w:hideMark/>
          </w:tcPr>
          <w:p w14:paraId="2D1F9D5C" w14:textId="77777777" w:rsidR="004F64EF" w:rsidRPr="003003C0" w:rsidRDefault="004F64EF" w:rsidP="00FD6B66">
            <w:pPr>
              <w:jc w:val="right"/>
              <w:rPr>
                <w:rFonts w:cs="Calibri"/>
                <w:color w:val="000000"/>
                <w:sz w:val="14"/>
                <w:szCs w:val="14"/>
              </w:rPr>
            </w:pPr>
            <w:r w:rsidRPr="003003C0">
              <w:rPr>
                <w:rFonts w:cs="Calibri"/>
                <w:color w:val="000000"/>
                <w:sz w:val="14"/>
                <w:szCs w:val="14"/>
              </w:rPr>
              <w:t>1</w:t>
            </w:r>
            <w:r>
              <w:rPr>
                <w:rFonts w:cs="Calibri"/>
                <w:color w:val="000000"/>
                <w:sz w:val="14"/>
                <w:szCs w:val="14"/>
              </w:rPr>
              <w:t>.</w:t>
            </w:r>
            <w:r w:rsidRPr="003003C0">
              <w:rPr>
                <w:rFonts w:cs="Calibri"/>
                <w:color w:val="000000"/>
                <w:sz w:val="14"/>
                <w:szCs w:val="14"/>
              </w:rPr>
              <w:t>2</w:t>
            </w:r>
          </w:p>
        </w:tc>
        <w:tc>
          <w:tcPr>
            <w:tcW w:w="722" w:type="dxa"/>
            <w:noWrap/>
            <w:vAlign w:val="center"/>
            <w:hideMark/>
          </w:tcPr>
          <w:p w14:paraId="30E49F3A" w14:textId="77777777" w:rsidR="004F64EF" w:rsidRPr="003003C0" w:rsidRDefault="004F64EF" w:rsidP="00FD6B66">
            <w:pPr>
              <w:jc w:val="right"/>
              <w:rPr>
                <w:rFonts w:cs="Calibri"/>
                <w:color w:val="000000"/>
                <w:sz w:val="14"/>
                <w:szCs w:val="14"/>
              </w:rPr>
            </w:pPr>
            <w:r w:rsidRPr="003003C0">
              <w:rPr>
                <w:rFonts w:cs="Calibri"/>
                <w:color w:val="000000"/>
                <w:sz w:val="14"/>
                <w:szCs w:val="14"/>
              </w:rPr>
              <w:t>0</w:t>
            </w:r>
            <w:r>
              <w:rPr>
                <w:rFonts w:cs="Calibri"/>
                <w:color w:val="000000"/>
                <w:sz w:val="14"/>
                <w:szCs w:val="14"/>
              </w:rPr>
              <w:t>.</w:t>
            </w:r>
            <w:r w:rsidRPr="003003C0">
              <w:rPr>
                <w:rFonts w:cs="Calibri"/>
                <w:color w:val="000000"/>
                <w:sz w:val="14"/>
                <w:szCs w:val="14"/>
              </w:rPr>
              <w:t>9</w:t>
            </w:r>
          </w:p>
        </w:tc>
      </w:tr>
      <w:tr w:rsidR="004F64EF" w:rsidRPr="003003C0" w14:paraId="088A8B94" w14:textId="77777777" w:rsidTr="00FD6B66">
        <w:trPr>
          <w:cnfStyle w:val="000000010000" w:firstRow="0" w:lastRow="0" w:firstColumn="0" w:lastColumn="0" w:oddVBand="0" w:evenVBand="0" w:oddHBand="0" w:evenHBand="1" w:firstRowFirstColumn="0" w:firstRowLastColumn="0" w:lastRowFirstColumn="0" w:lastRowLastColumn="0"/>
          <w:trHeight w:val="20"/>
        </w:trPr>
        <w:tc>
          <w:tcPr>
            <w:tcW w:w="3964" w:type="dxa"/>
            <w:noWrap/>
            <w:vAlign w:val="center"/>
            <w:hideMark/>
          </w:tcPr>
          <w:p w14:paraId="6DAE4B80" w14:textId="77777777" w:rsidR="004F64EF" w:rsidRPr="003003C0" w:rsidRDefault="004F64EF" w:rsidP="00B22563">
            <w:pPr>
              <w:tabs>
                <w:tab w:val="left" w:pos="227"/>
              </w:tabs>
              <w:ind w:left="227" w:hanging="227"/>
              <w:jc w:val="left"/>
              <w:rPr>
                <w:rFonts w:cs="Calibri"/>
                <w:color w:val="000000"/>
                <w:sz w:val="14"/>
                <w:szCs w:val="14"/>
              </w:rPr>
            </w:pPr>
            <w:r w:rsidRPr="003003C0">
              <w:rPr>
                <w:rFonts w:cs="Calibri"/>
                <w:color w:val="000000"/>
                <w:sz w:val="14"/>
                <w:szCs w:val="14"/>
              </w:rPr>
              <w:tab/>
              <w:t xml:space="preserve">23. </w:t>
            </w:r>
            <w:r w:rsidRPr="006A3873">
              <w:rPr>
                <w:rFonts w:cs="Calibri"/>
                <w:color w:val="000000"/>
                <w:sz w:val="14"/>
                <w:szCs w:val="14"/>
              </w:rPr>
              <w:t>Residues and waste from the food industries; prepared animal fodder</w:t>
            </w:r>
          </w:p>
        </w:tc>
        <w:tc>
          <w:tcPr>
            <w:tcW w:w="721" w:type="dxa"/>
            <w:noWrap/>
            <w:vAlign w:val="center"/>
            <w:hideMark/>
          </w:tcPr>
          <w:p w14:paraId="52936DA0" w14:textId="77777777" w:rsidR="004F64EF" w:rsidRPr="003003C0" w:rsidRDefault="004F64EF" w:rsidP="00FD6B66">
            <w:pPr>
              <w:jc w:val="right"/>
              <w:rPr>
                <w:rFonts w:cs="Calibri"/>
                <w:color w:val="000000"/>
                <w:sz w:val="14"/>
                <w:szCs w:val="14"/>
              </w:rPr>
            </w:pPr>
            <w:r w:rsidRPr="003003C0">
              <w:rPr>
                <w:rFonts w:cs="Calibri"/>
                <w:color w:val="000000"/>
                <w:sz w:val="14"/>
                <w:szCs w:val="14"/>
              </w:rPr>
              <w:t>0</w:t>
            </w:r>
            <w:r>
              <w:rPr>
                <w:rFonts w:cs="Calibri"/>
                <w:color w:val="000000"/>
                <w:sz w:val="14"/>
                <w:szCs w:val="14"/>
              </w:rPr>
              <w:t>.</w:t>
            </w:r>
            <w:r w:rsidRPr="003003C0">
              <w:rPr>
                <w:rFonts w:cs="Calibri"/>
                <w:color w:val="000000"/>
                <w:sz w:val="14"/>
                <w:szCs w:val="14"/>
              </w:rPr>
              <w:t>8</w:t>
            </w:r>
          </w:p>
        </w:tc>
        <w:tc>
          <w:tcPr>
            <w:tcW w:w="722" w:type="dxa"/>
            <w:noWrap/>
            <w:vAlign w:val="center"/>
            <w:hideMark/>
          </w:tcPr>
          <w:p w14:paraId="7CE18457" w14:textId="77777777" w:rsidR="004F64EF" w:rsidRPr="003003C0" w:rsidRDefault="004F64EF" w:rsidP="00FD6B66">
            <w:pPr>
              <w:jc w:val="right"/>
              <w:rPr>
                <w:rFonts w:cs="Calibri"/>
                <w:color w:val="000000"/>
                <w:sz w:val="14"/>
                <w:szCs w:val="14"/>
              </w:rPr>
            </w:pPr>
            <w:r w:rsidRPr="003003C0">
              <w:rPr>
                <w:rFonts w:cs="Calibri"/>
                <w:color w:val="000000"/>
                <w:sz w:val="14"/>
                <w:szCs w:val="14"/>
              </w:rPr>
              <w:t>0</w:t>
            </w:r>
            <w:r>
              <w:rPr>
                <w:rFonts w:cs="Calibri"/>
                <w:color w:val="000000"/>
                <w:sz w:val="14"/>
                <w:szCs w:val="14"/>
              </w:rPr>
              <w:t>.</w:t>
            </w:r>
            <w:r w:rsidRPr="003003C0">
              <w:rPr>
                <w:rFonts w:cs="Calibri"/>
                <w:color w:val="000000"/>
                <w:sz w:val="14"/>
                <w:szCs w:val="14"/>
              </w:rPr>
              <w:t>8</w:t>
            </w:r>
          </w:p>
        </w:tc>
        <w:tc>
          <w:tcPr>
            <w:tcW w:w="722" w:type="dxa"/>
            <w:noWrap/>
            <w:vAlign w:val="center"/>
            <w:hideMark/>
          </w:tcPr>
          <w:p w14:paraId="729EE90D" w14:textId="77777777" w:rsidR="004F64EF" w:rsidRPr="003003C0" w:rsidRDefault="004F64EF" w:rsidP="00FD6B66">
            <w:pPr>
              <w:jc w:val="right"/>
              <w:rPr>
                <w:rFonts w:cs="Calibri"/>
                <w:color w:val="000000"/>
                <w:sz w:val="14"/>
                <w:szCs w:val="14"/>
              </w:rPr>
            </w:pPr>
            <w:r w:rsidRPr="003003C0">
              <w:rPr>
                <w:rFonts w:cs="Calibri"/>
                <w:color w:val="000000"/>
                <w:sz w:val="14"/>
                <w:szCs w:val="14"/>
              </w:rPr>
              <w:t>0</w:t>
            </w:r>
            <w:r>
              <w:rPr>
                <w:rFonts w:cs="Calibri"/>
                <w:color w:val="000000"/>
                <w:sz w:val="14"/>
                <w:szCs w:val="14"/>
              </w:rPr>
              <w:t>.</w:t>
            </w:r>
            <w:r w:rsidRPr="003003C0">
              <w:rPr>
                <w:rFonts w:cs="Calibri"/>
                <w:color w:val="000000"/>
                <w:sz w:val="14"/>
                <w:szCs w:val="14"/>
              </w:rPr>
              <w:t>7</w:t>
            </w:r>
          </w:p>
        </w:tc>
        <w:tc>
          <w:tcPr>
            <w:tcW w:w="721" w:type="dxa"/>
            <w:noWrap/>
            <w:vAlign w:val="center"/>
            <w:hideMark/>
          </w:tcPr>
          <w:p w14:paraId="555F83D8" w14:textId="77777777" w:rsidR="004F64EF" w:rsidRPr="003003C0" w:rsidRDefault="004F64EF" w:rsidP="00FD6B66">
            <w:pPr>
              <w:jc w:val="right"/>
              <w:rPr>
                <w:rFonts w:cs="Calibri"/>
                <w:color w:val="000000"/>
                <w:sz w:val="14"/>
                <w:szCs w:val="14"/>
              </w:rPr>
            </w:pPr>
            <w:r w:rsidRPr="003003C0">
              <w:rPr>
                <w:rFonts w:cs="Calibri"/>
                <w:color w:val="000000"/>
                <w:sz w:val="14"/>
                <w:szCs w:val="14"/>
              </w:rPr>
              <w:t>0</w:t>
            </w:r>
            <w:r>
              <w:rPr>
                <w:rFonts w:cs="Calibri"/>
                <w:color w:val="000000"/>
                <w:sz w:val="14"/>
                <w:szCs w:val="14"/>
              </w:rPr>
              <w:t>.</w:t>
            </w:r>
            <w:r w:rsidRPr="003003C0">
              <w:rPr>
                <w:rFonts w:cs="Calibri"/>
                <w:color w:val="000000"/>
                <w:sz w:val="14"/>
                <w:szCs w:val="14"/>
              </w:rPr>
              <w:t>7</w:t>
            </w:r>
          </w:p>
        </w:tc>
        <w:tc>
          <w:tcPr>
            <w:tcW w:w="722" w:type="dxa"/>
            <w:noWrap/>
            <w:vAlign w:val="center"/>
            <w:hideMark/>
          </w:tcPr>
          <w:p w14:paraId="4C51D381" w14:textId="77777777" w:rsidR="004F64EF" w:rsidRPr="003003C0" w:rsidRDefault="004F64EF" w:rsidP="00FD6B66">
            <w:pPr>
              <w:jc w:val="right"/>
              <w:rPr>
                <w:rFonts w:cs="Calibri"/>
                <w:color w:val="000000"/>
                <w:sz w:val="14"/>
                <w:szCs w:val="14"/>
              </w:rPr>
            </w:pPr>
            <w:r w:rsidRPr="003003C0">
              <w:rPr>
                <w:rFonts w:cs="Calibri"/>
                <w:color w:val="000000"/>
                <w:sz w:val="14"/>
                <w:szCs w:val="14"/>
              </w:rPr>
              <w:t>0</w:t>
            </w:r>
            <w:r>
              <w:rPr>
                <w:rFonts w:cs="Calibri"/>
                <w:color w:val="000000"/>
                <w:sz w:val="14"/>
                <w:szCs w:val="14"/>
              </w:rPr>
              <w:t>.</w:t>
            </w:r>
            <w:r w:rsidRPr="003003C0">
              <w:rPr>
                <w:rFonts w:cs="Calibri"/>
                <w:color w:val="000000"/>
                <w:sz w:val="14"/>
                <w:szCs w:val="14"/>
              </w:rPr>
              <w:t>3</w:t>
            </w:r>
          </w:p>
        </w:tc>
        <w:tc>
          <w:tcPr>
            <w:tcW w:w="722" w:type="dxa"/>
            <w:noWrap/>
            <w:vAlign w:val="center"/>
            <w:hideMark/>
          </w:tcPr>
          <w:p w14:paraId="7A2BD420" w14:textId="77777777" w:rsidR="004F64EF" w:rsidRPr="003003C0" w:rsidRDefault="004F64EF" w:rsidP="00FD6B66">
            <w:pPr>
              <w:jc w:val="right"/>
              <w:rPr>
                <w:rFonts w:cs="Calibri"/>
                <w:color w:val="000000"/>
                <w:sz w:val="14"/>
                <w:szCs w:val="14"/>
              </w:rPr>
            </w:pPr>
            <w:r w:rsidRPr="003003C0">
              <w:rPr>
                <w:rFonts w:cs="Calibri"/>
                <w:color w:val="000000"/>
                <w:sz w:val="14"/>
                <w:szCs w:val="14"/>
              </w:rPr>
              <w:t>0</w:t>
            </w:r>
            <w:r>
              <w:rPr>
                <w:rFonts w:cs="Calibri"/>
                <w:color w:val="000000"/>
                <w:sz w:val="14"/>
                <w:szCs w:val="14"/>
              </w:rPr>
              <w:t>.</w:t>
            </w:r>
            <w:r w:rsidRPr="003003C0">
              <w:rPr>
                <w:rFonts w:cs="Calibri"/>
                <w:color w:val="000000"/>
                <w:sz w:val="14"/>
                <w:szCs w:val="14"/>
              </w:rPr>
              <w:t>9</w:t>
            </w:r>
          </w:p>
        </w:tc>
        <w:tc>
          <w:tcPr>
            <w:tcW w:w="722" w:type="dxa"/>
            <w:noWrap/>
            <w:vAlign w:val="center"/>
            <w:hideMark/>
          </w:tcPr>
          <w:p w14:paraId="7E75CEC6" w14:textId="77777777" w:rsidR="004F64EF" w:rsidRPr="003003C0" w:rsidRDefault="004F64EF" w:rsidP="00FD6B66">
            <w:pPr>
              <w:jc w:val="right"/>
              <w:rPr>
                <w:rFonts w:cs="Calibri"/>
                <w:color w:val="000000"/>
                <w:sz w:val="14"/>
                <w:szCs w:val="14"/>
              </w:rPr>
            </w:pPr>
            <w:r w:rsidRPr="003003C0">
              <w:rPr>
                <w:rFonts w:cs="Calibri"/>
                <w:color w:val="000000"/>
                <w:sz w:val="14"/>
                <w:szCs w:val="14"/>
              </w:rPr>
              <w:t>0</w:t>
            </w:r>
            <w:r>
              <w:rPr>
                <w:rFonts w:cs="Calibri"/>
                <w:color w:val="000000"/>
                <w:sz w:val="14"/>
                <w:szCs w:val="14"/>
              </w:rPr>
              <w:t>.</w:t>
            </w:r>
            <w:r w:rsidRPr="003003C0">
              <w:rPr>
                <w:rFonts w:cs="Calibri"/>
                <w:color w:val="000000"/>
                <w:sz w:val="14"/>
                <w:szCs w:val="14"/>
              </w:rPr>
              <w:t>6</w:t>
            </w:r>
          </w:p>
        </w:tc>
      </w:tr>
      <w:tr w:rsidR="004F64EF" w:rsidRPr="003003C0" w14:paraId="188598FB" w14:textId="77777777" w:rsidTr="00FD6B66">
        <w:trPr>
          <w:trHeight w:val="20"/>
        </w:trPr>
        <w:tc>
          <w:tcPr>
            <w:tcW w:w="3964" w:type="dxa"/>
            <w:noWrap/>
            <w:vAlign w:val="center"/>
            <w:hideMark/>
          </w:tcPr>
          <w:p w14:paraId="461953CE" w14:textId="77777777" w:rsidR="004F64EF" w:rsidRPr="003003C0" w:rsidRDefault="004F64EF" w:rsidP="00B22563">
            <w:pPr>
              <w:tabs>
                <w:tab w:val="left" w:pos="227"/>
              </w:tabs>
              <w:ind w:left="227" w:hanging="227"/>
              <w:jc w:val="left"/>
              <w:rPr>
                <w:rFonts w:cs="Calibri"/>
                <w:color w:val="000000"/>
                <w:sz w:val="14"/>
                <w:szCs w:val="14"/>
              </w:rPr>
            </w:pPr>
            <w:r w:rsidRPr="003003C0">
              <w:rPr>
                <w:rFonts w:cs="Calibri"/>
                <w:color w:val="000000"/>
                <w:sz w:val="14"/>
                <w:szCs w:val="14"/>
              </w:rPr>
              <w:tab/>
              <w:t xml:space="preserve">20. </w:t>
            </w:r>
            <w:r w:rsidRPr="006A3873">
              <w:rPr>
                <w:rFonts w:cs="Calibri"/>
                <w:color w:val="000000"/>
                <w:sz w:val="14"/>
                <w:szCs w:val="14"/>
              </w:rPr>
              <w:t>Preparations of vegetables, fruit, nuts or other parts of plants</w:t>
            </w:r>
          </w:p>
        </w:tc>
        <w:tc>
          <w:tcPr>
            <w:tcW w:w="721" w:type="dxa"/>
            <w:noWrap/>
            <w:vAlign w:val="center"/>
            <w:hideMark/>
          </w:tcPr>
          <w:p w14:paraId="54B0D1AA" w14:textId="77777777" w:rsidR="004F64EF" w:rsidRPr="003003C0" w:rsidRDefault="004F64EF" w:rsidP="00FD6B66">
            <w:pPr>
              <w:jc w:val="right"/>
              <w:rPr>
                <w:rFonts w:cs="Calibri"/>
                <w:color w:val="000000"/>
                <w:sz w:val="14"/>
                <w:szCs w:val="14"/>
              </w:rPr>
            </w:pPr>
            <w:r w:rsidRPr="003003C0">
              <w:rPr>
                <w:rFonts w:cs="Calibri"/>
                <w:color w:val="000000"/>
                <w:sz w:val="14"/>
                <w:szCs w:val="14"/>
              </w:rPr>
              <w:t>0</w:t>
            </w:r>
            <w:r>
              <w:rPr>
                <w:rFonts w:cs="Calibri"/>
                <w:color w:val="000000"/>
                <w:sz w:val="14"/>
                <w:szCs w:val="14"/>
              </w:rPr>
              <w:t>.</w:t>
            </w:r>
            <w:r w:rsidRPr="003003C0">
              <w:rPr>
                <w:rFonts w:cs="Calibri"/>
                <w:color w:val="000000"/>
                <w:sz w:val="14"/>
                <w:szCs w:val="14"/>
              </w:rPr>
              <w:t>7</w:t>
            </w:r>
          </w:p>
        </w:tc>
        <w:tc>
          <w:tcPr>
            <w:tcW w:w="722" w:type="dxa"/>
            <w:noWrap/>
            <w:vAlign w:val="center"/>
            <w:hideMark/>
          </w:tcPr>
          <w:p w14:paraId="1E6839B5" w14:textId="77777777" w:rsidR="004F64EF" w:rsidRPr="003003C0" w:rsidRDefault="004F64EF" w:rsidP="00FD6B66">
            <w:pPr>
              <w:jc w:val="right"/>
              <w:rPr>
                <w:rFonts w:cs="Calibri"/>
                <w:color w:val="000000"/>
                <w:sz w:val="14"/>
                <w:szCs w:val="14"/>
              </w:rPr>
            </w:pPr>
            <w:r w:rsidRPr="003003C0">
              <w:rPr>
                <w:rFonts w:cs="Calibri"/>
                <w:color w:val="000000"/>
                <w:sz w:val="14"/>
                <w:szCs w:val="14"/>
              </w:rPr>
              <w:t>0</w:t>
            </w:r>
            <w:r>
              <w:rPr>
                <w:rFonts w:cs="Calibri"/>
                <w:color w:val="000000"/>
                <w:sz w:val="14"/>
                <w:szCs w:val="14"/>
              </w:rPr>
              <w:t>.</w:t>
            </w:r>
            <w:r w:rsidRPr="003003C0">
              <w:rPr>
                <w:rFonts w:cs="Calibri"/>
                <w:color w:val="000000"/>
                <w:sz w:val="14"/>
                <w:szCs w:val="14"/>
              </w:rPr>
              <w:t>8</w:t>
            </w:r>
          </w:p>
        </w:tc>
        <w:tc>
          <w:tcPr>
            <w:tcW w:w="722" w:type="dxa"/>
            <w:noWrap/>
            <w:vAlign w:val="center"/>
            <w:hideMark/>
          </w:tcPr>
          <w:p w14:paraId="1F7A8B27" w14:textId="77777777" w:rsidR="004F64EF" w:rsidRPr="003003C0" w:rsidRDefault="004F64EF" w:rsidP="00FD6B66">
            <w:pPr>
              <w:jc w:val="right"/>
              <w:rPr>
                <w:rFonts w:cs="Calibri"/>
                <w:color w:val="000000"/>
                <w:sz w:val="14"/>
                <w:szCs w:val="14"/>
              </w:rPr>
            </w:pPr>
            <w:r w:rsidRPr="003003C0">
              <w:rPr>
                <w:rFonts w:cs="Calibri"/>
                <w:color w:val="000000"/>
                <w:sz w:val="14"/>
                <w:szCs w:val="14"/>
              </w:rPr>
              <w:t>0</w:t>
            </w:r>
            <w:r>
              <w:rPr>
                <w:rFonts w:cs="Calibri"/>
                <w:color w:val="000000"/>
                <w:sz w:val="14"/>
                <w:szCs w:val="14"/>
              </w:rPr>
              <w:t>.</w:t>
            </w:r>
            <w:r w:rsidRPr="003003C0">
              <w:rPr>
                <w:rFonts w:cs="Calibri"/>
                <w:color w:val="000000"/>
                <w:sz w:val="14"/>
                <w:szCs w:val="14"/>
              </w:rPr>
              <w:t>7</w:t>
            </w:r>
          </w:p>
        </w:tc>
        <w:tc>
          <w:tcPr>
            <w:tcW w:w="721" w:type="dxa"/>
            <w:noWrap/>
            <w:vAlign w:val="center"/>
            <w:hideMark/>
          </w:tcPr>
          <w:p w14:paraId="3B392C10" w14:textId="77777777" w:rsidR="004F64EF" w:rsidRPr="003003C0" w:rsidRDefault="004F64EF" w:rsidP="00FD6B66">
            <w:pPr>
              <w:jc w:val="right"/>
              <w:rPr>
                <w:rFonts w:cs="Calibri"/>
                <w:color w:val="000000"/>
                <w:sz w:val="14"/>
                <w:szCs w:val="14"/>
              </w:rPr>
            </w:pPr>
            <w:r w:rsidRPr="003003C0">
              <w:rPr>
                <w:rFonts w:cs="Calibri"/>
                <w:color w:val="000000"/>
                <w:sz w:val="14"/>
                <w:szCs w:val="14"/>
              </w:rPr>
              <w:t>0</w:t>
            </w:r>
            <w:r>
              <w:rPr>
                <w:rFonts w:cs="Calibri"/>
                <w:color w:val="000000"/>
                <w:sz w:val="14"/>
                <w:szCs w:val="14"/>
              </w:rPr>
              <w:t>.</w:t>
            </w:r>
            <w:r w:rsidRPr="003003C0">
              <w:rPr>
                <w:rFonts w:cs="Calibri"/>
                <w:color w:val="000000"/>
                <w:sz w:val="14"/>
                <w:szCs w:val="14"/>
              </w:rPr>
              <w:t>6</w:t>
            </w:r>
          </w:p>
        </w:tc>
        <w:tc>
          <w:tcPr>
            <w:tcW w:w="722" w:type="dxa"/>
            <w:noWrap/>
            <w:vAlign w:val="center"/>
            <w:hideMark/>
          </w:tcPr>
          <w:p w14:paraId="1B5C33F0" w14:textId="77777777" w:rsidR="004F64EF" w:rsidRPr="003003C0" w:rsidRDefault="004F64EF" w:rsidP="00FD6B66">
            <w:pPr>
              <w:jc w:val="right"/>
              <w:rPr>
                <w:rFonts w:cs="Calibri"/>
                <w:color w:val="000000"/>
                <w:sz w:val="14"/>
                <w:szCs w:val="14"/>
              </w:rPr>
            </w:pPr>
            <w:r w:rsidRPr="003003C0">
              <w:rPr>
                <w:rFonts w:cs="Calibri"/>
                <w:color w:val="000000"/>
                <w:sz w:val="14"/>
                <w:szCs w:val="14"/>
              </w:rPr>
              <w:t>0</w:t>
            </w:r>
            <w:r>
              <w:rPr>
                <w:rFonts w:cs="Calibri"/>
                <w:color w:val="000000"/>
                <w:sz w:val="14"/>
                <w:szCs w:val="14"/>
              </w:rPr>
              <w:t>.</w:t>
            </w:r>
            <w:r w:rsidRPr="003003C0">
              <w:rPr>
                <w:rFonts w:cs="Calibri"/>
                <w:color w:val="000000"/>
                <w:sz w:val="14"/>
                <w:szCs w:val="14"/>
              </w:rPr>
              <w:t>7</w:t>
            </w:r>
          </w:p>
        </w:tc>
        <w:tc>
          <w:tcPr>
            <w:tcW w:w="722" w:type="dxa"/>
            <w:noWrap/>
            <w:vAlign w:val="center"/>
            <w:hideMark/>
          </w:tcPr>
          <w:p w14:paraId="3B4134A9" w14:textId="77777777" w:rsidR="004F64EF" w:rsidRPr="003003C0" w:rsidRDefault="004F64EF" w:rsidP="00FD6B66">
            <w:pPr>
              <w:jc w:val="right"/>
              <w:rPr>
                <w:rFonts w:cs="Calibri"/>
                <w:color w:val="000000"/>
                <w:sz w:val="14"/>
                <w:szCs w:val="14"/>
              </w:rPr>
            </w:pPr>
            <w:r w:rsidRPr="003003C0">
              <w:rPr>
                <w:rFonts w:cs="Calibri"/>
                <w:color w:val="000000"/>
                <w:sz w:val="14"/>
                <w:szCs w:val="14"/>
              </w:rPr>
              <w:t>0</w:t>
            </w:r>
            <w:r>
              <w:rPr>
                <w:rFonts w:cs="Calibri"/>
                <w:color w:val="000000"/>
                <w:sz w:val="14"/>
                <w:szCs w:val="14"/>
              </w:rPr>
              <w:t>.</w:t>
            </w:r>
            <w:r w:rsidRPr="003003C0">
              <w:rPr>
                <w:rFonts w:cs="Calibri"/>
                <w:color w:val="000000"/>
                <w:sz w:val="14"/>
                <w:szCs w:val="14"/>
              </w:rPr>
              <w:t>7</w:t>
            </w:r>
          </w:p>
        </w:tc>
        <w:tc>
          <w:tcPr>
            <w:tcW w:w="722" w:type="dxa"/>
            <w:noWrap/>
            <w:vAlign w:val="center"/>
            <w:hideMark/>
          </w:tcPr>
          <w:p w14:paraId="4F8E1342" w14:textId="77777777" w:rsidR="004F64EF" w:rsidRPr="003003C0" w:rsidRDefault="004F64EF" w:rsidP="00FD6B66">
            <w:pPr>
              <w:jc w:val="right"/>
              <w:rPr>
                <w:rFonts w:cs="Calibri"/>
                <w:color w:val="000000"/>
                <w:sz w:val="14"/>
                <w:szCs w:val="14"/>
              </w:rPr>
            </w:pPr>
            <w:r w:rsidRPr="003003C0">
              <w:rPr>
                <w:rFonts w:cs="Calibri"/>
                <w:color w:val="000000"/>
                <w:sz w:val="14"/>
                <w:szCs w:val="14"/>
              </w:rPr>
              <w:t>0</w:t>
            </w:r>
            <w:r>
              <w:rPr>
                <w:rFonts w:cs="Calibri"/>
                <w:color w:val="000000"/>
                <w:sz w:val="14"/>
                <w:szCs w:val="14"/>
              </w:rPr>
              <w:t>.</w:t>
            </w:r>
            <w:r w:rsidRPr="003003C0">
              <w:rPr>
                <w:rFonts w:cs="Calibri"/>
                <w:color w:val="000000"/>
                <w:sz w:val="14"/>
                <w:szCs w:val="14"/>
              </w:rPr>
              <w:t>6</w:t>
            </w:r>
          </w:p>
        </w:tc>
      </w:tr>
      <w:tr w:rsidR="004F64EF" w:rsidRPr="003003C0" w14:paraId="1A4EB39D" w14:textId="77777777" w:rsidTr="00FD6B66">
        <w:trPr>
          <w:cnfStyle w:val="000000010000" w:firstRow="0" w:lastRow="0" w:firstColumn="0" w:lastColumn="0" w:oddVBand="0" w:evenVBand="0" w:oddHBand="0" w:evenHBand="1" w:firstRowFirstColumn="0" w:firstRowLastColumn="0" w:lastRowFirstColumn="0" w:lastRowLastColumn="0"/>
          <w:trHeight w:val="20"/>
        </w:trPr>
        <w:tc>
          <w:tcPr>
            <w:tcW w:w="3964" w:type="dxa"/>
            <w:noWrap/>
            <w:vAlign w:val="center"/>
            <w:hideMark/>
          </w:tcPr>
          <w:p w14:paraId="584A8C08" w14:textId="77777777" w:rsidR="004F64EF" w:rsidRPr="003003C0" w:rsidRDefault="004F64EF" w:rsidP="00FD6B66">
            <w:pPr>
              <w:jc w:val="left"/>
              <w:rPr>
                <w:rFonts w:cs="Calibri"/>
                <w:color w:val="000000"/>
                <w:sz w:val="14"/>
                <w:szCs w:val="14"/>
              </w:rPr>
            </w:pPr>
            <w:r w:rsidRPr="003003C0">
              <w:rPr>
                <w:rFonts w:cs="Calibri"/>
                <w:color w:val="000000"/>
                <w:sz w:val="14"/>
                <w:szCs w:val="14"/>
              </w:rPr>
              <w:t xml:space="preserve">5 </w:t>
            </w:r>
            <w:r>
              <w:rPr>
                <w:rFonts w:cs="Calibri"/>
                <w:color w:val="000000"/>
                <w:sz w:val="14"/>
                <w:szCs w:val="14"/>
              </w:rPr>
              <w:t>–</w:t>
            </w:r>
            <w:r w:rsidRPr="003003C0">
              <w:rPr>
                <w:rFonts w:cs="Calibri"/>
                <w:color w:val="000000"/>
                <w:sz w:val="14"/>
                <w:szCs w:val="14"/>
              </w:rPr>
              <w:t xml:space="preserve"> </w:t>
            </w:r>
            <w:r>
              <w:rPr>
                <w:rFonts w:cs="Calibri"/>
                <w:color w:val="000000"/>
                <w:sz w:val="14"/>
                <w:szCs w:val="14"/>
              </w:rPr>
              <w:t>Mineral products</w:t>
            </w:r>
          </w:p>
        </w:tc>
        <w:tc>
          <w:tcPr>
            <w:tcW w:w="721" w:type="dxa"/>
            <w:noWrap/>
            <w:vAlign w:val="center"/>
            <w:hideMark/>
          </w:tcPr>
          <w:p w14:paraId="3EEAE73F" w14:textId="77777777" w:rsidR="004F64EF" w:rsidRPr="003003C0" w:rsidRDefault="004F64EF" w:rsidP="00FD6B66">
            <w:pPr>
              <w:jc w:val="right"/>
              <w:rPr>
                <w:rFonts w:cs="Calibri"/>
                <w:color w:val="000000"/>
                <w:sz w:val="14"/>
                <w:szCs w:val="14"/>
              </w:rPr>
            </w:pPr>
            <w:r w:rsidRPr="003003C0">
              <w:rPr>
                <w:rFonts w:cs="Calibri"/>
                <w:color w:val="000000"/>
                <w:sz w:val="14"/>
                <w:szCs w:val="14"/>
              </w:rPr>
              <w:t>15</w:t>
            </w:r>
            <w:r>
              <w:rPr>
                <w:rFonts w:cs="Calibri"/>
                <w:color w:val="000000"/>
                <w:sz w:val="14"/>
                <w:szCs w:val="14"/>
              </w:rPr>
              <w:t>.</w:t>
            </w:r>
            <w:r w:rsidRPr="003003C0">
              <w:rPr>
                <w:rFonts w:cs="Calibri"/>
                <w:color w:val="000000"/>
                <w:sz w:val="14"/>
                <w:szCs w:val="14"/>
              </w:rPr>
              <w:t>7</w:t>
            </w:r>
          </w:p>
        </w:tc>
        <w:tc>
          <w:tcPr>
            <w:tcW w:w="722" w:type="dxa"/>
            <w:noWrap/>
            <w:vAlign w:val="center"/>
            <w:hideMark/>
          </w:tcPr>
          <w:p w14:paraId="54B63BA5" w14:textId="77777777" w:rsidR="004F64EF" w:rsidRPr="003003C0" w:rsidRDefault="004F64EF" w:rsidP="00FD6B66">
            <w:pPr>
              <w:jc w:val="right"/>
              <w:rPr>
                <w:rFonts w:cs="Calibri"/>
                <w:color w:val="000000"/>
                <w:sz w:val="14"/>
                <w:szCs w:val="14"/>
              </w:rPr>
            </w:pPr>
            <w:r w:rsidRPr="003003C0">
              <w:rPr>
                <w:rFonts w:cs="Calibri"/>
                <w:color w:val="000000"/>
                <w:sz w:val="14"/>
                <w:szCs w:val="14"/>
              </w:rPr>
              <w:t>13</w:t>
            </w:r>
            <w:r>
              <w:rPr>
                <w:rFonts w:cs="Calibri"/>
                <w:color w:val="000000"/>
                <w:sz w:val="14"/>
                <w:szCs w:val="14"/>
              </w:rPr>
              <w:t>.</w:t>
            </w:r>
            <w:r w:rsidRPr="003003C0">
              <w:rPr>
                <w:rFonts w:cs="Calibri"/>
                <w:color w:val="000000"/>
                <w:sz w:val="14"/>
                <w:szCs w:val="14"/>
              </w:rPr>
              <w:t>9</w:t>
            </w:r>
          </w:p>
        </w:tc>
        <w:tc>
          <w:tcPr>
            <w:tcW w:w="722" w:type="dxa"/>
            <w:noWrap/>
            <w:vAlign w:val="center"/>
            <w:hideMark/>
          </w:tcPr>
          <w:p w14:paraId="6E1B0806" w14:textId="77777777" w:rsidR="004F64EF" w:rsidRPr="003003C0" w:rsidRDefault="004F64EF" w:rsidP="00FD6B66">
            <w:pPr>
              <w:jc w:val="right"/>
              <w:rPr>
                <w:rFonts w:cs="Calibri"/>
                <w:color w:val="000000"/>
                <w:sz w:val="14"/>
                <w:szCs w:val="14"/>
              </w:rPr>
            </w:pPr>
            <w:r w:rsidRPr="003003C0">
              <w:rPr>
                <w:rFonts w:cs="Calibri"/>
                <w:color w:val="000000"/>
                <w:sz w:val="14"/>
                <w:szCs w:val="14"/>
              </w:rPr>
              <w:t>16</w:t>
            </w:r>
            <w:r>
              <w:rPr>
                <w:rFonts w:cs="Calibri"/>
                <w:color w:val="000000"/>
                <w:sz w:val="14"/>
                <w:szCs w:val="14"/>
              </w:rPr>
              <w:t>.</w:t>
            </w:r>
            <w:r w:rsidRPr="003003C0">
              <w:rPr>
                <w:rFonts w:cs="Calibri"/>
                <w:color w:val="000000"/>
                <w:sz w:val="14"/>
                <w:szCs w:val="14"/>
              </w:rPr>
              <w:t>6</w:t>
            </w:r>
          </w:p>
        </w:tc>
        <w:tc>
          <w:tcPr>
            <w:tcW w:w="721" w:type="dxa"/>
            <w:noWrap/>
            <w:vAlign w:val="center"/>
            <w:hideMark/>
          </w:tcPr>
          <w:p w14:paraId="1E0FBB47" w14:textId="77777777" w:rsidR="004F64EF" w:rsidRPr="003003C0" w:rsidRDefault="004F64EF" w:rsidP="00FD6B66">
            <w:pPr>
              <w:jc w:val="right"/>
              <w:rPr>
                <w:rFonts w:cs="Calibri"/>
                <w:color w:val="000000"/>
                <w:sz w:val="14"/>
                <w:szCs w:val="14"/>
              </w:rPr>
            </w:pPr>
            <w:r w:rsidRPr="003003C0">
              <w:rPr>
                <w:rFonts w:cs="Calibri"/>
                <w:color w:val="000000"/>
                <w:sz w:val="14"/>
                <w:szCs w:val="14"/>
              </w:rPr>
              <w:t>19</w:t>
            </w:r>
            <w:r>
              <w:rPr>
                <w:rFonts w:cs="Calibri"/>
                <w:color w:val="000000"/>
                <w:sz w:val="14"/>
                <w:szCs w:val="14"/>
              </w:rPr>
              <w:t>.</w:t>
            </w:r>
            <w:r w:rsidRPr="003003C0">
              <w:rPr>
                <w:rFonts w:cs="Calibri"/>
                <w:color w:val="000000"/>
                <w:sz w:val="14"/>
                <w:szCs w:val="14"/>
              </w:rPr>
              <w:t>2</w:t>
            </w:r>
          </w:p>
        </w:tc>
        <w:tc>
          <w:tcPr>
            <w:tcW w:w="722" w:type="dxa"/>
            <w:noWrap/>
            <w:vAlign w:val="center"/>
            <w:hideMark/>
          </w:tcPr>
          <w:p w14:paraId="5C905840" w14:textId="77777777" w:rsidR="004F64EF" w:rsidRPr="003003C0" w:rsidRDefault="004F64EF" w:rsidP="00FD6B66">
            <w:pPr>
              <w:jc w:val="right"/>
              <w:rPr>
                <w:rFonts w:cs="Calibri"/>
                <w:color w:val="000000"/>
                <w:sz w:val="14"/>
                <w:szCs w:val="14"/>
              </w:rPr>
            </w:pPr>
            <w:r w:rsidRPr="003003C0">
              <w:rPr>
                <w:rFonts w:cs="Calibri"/>
                <w:color w:val="000000"/>
                <w:sz w:val="14"/>
                <w:szCs w:val="14"/>
              </w:rPr>
              <w:t>18</w:t>
            </w:r>
            <w:r>
              <w:rPr>
                <w:rFonts w:cs="Calibri"/>
                <w:color w:val="000000"/>
                <w:sz w:val="14"/>
                <w:szCs w:val="14"/>
              </w:rPr>
              <w:t>.</w:t>
            </w:r>
            <w:r w:rsidRPr="003003C0">
              <w:rPr>
                <w:rFonts w:cs="Calibri"/>
                <w:color w:val="000000"/>
                <w:sz w:val="14"/>
                <w:szCs w:val="14"/>
              </w:rPr>
              <w:t>4</w:t>
            </w:r>
          </w:p>
        </w:tc>
        <w:tc>
          <w:tcPr>
            <w:tcW w:w="722" w:type="dxa"/>
            <w:noWrap/>
            <w:vAlign w:val="center"/>
            <w:hideMark/>
          </w:tcPr>
          <w:p w14:paraId="289677B4" w14:textId="77777777" w:rsidR="004F64EF" w:rsidRPr="003003C0" w:rsidRDefault="004F64EF" w:rsidP="00FD6B66">
            <w:pPr>
              <w:jc w:val="right"/>
              <w:rPr>
                <w:rFonts w:cs="Calibri"/>
                <w:color w:val="000000"/>
                <w:sz w:val="14"/>
                <w:szCs w:val="14"/>
              </w:rPr>
            </w:pPr>
            <w:r w:rsidRPr="003003C0">
              <w:rPr>
                <w:rFonts w:cs="Calibri"/>
                <w:color w:val="000000"/>
                <w:sz w:val="14"/>
                <w:szCs w:val="14"/>
              </w:rPr>
              <w:t>12</w:t>
            </w:r>
            <w:r>
              <w:rPr>
                <w:rFonts w:cs="Calibri"/>
                <w:color w:val="000000"/>
                <w:sz w:val="14"/>
                <w:szCs w:val="14"/>
              </w:rPr>
              <w:t>.</w:t>
            </w:r>
            <w:r w:rsidRPr="003003C0">
              <w:rPr>
                <w:rFonts w:cs="Calibri"/>
                <w:color w:val="000000"/>
                <w:sz w:val="14"/>
                <w:szCs w:val="14"/>
              </w:rPr>
              <w:t>5</w:t>
            </w:r>
          </w:p>
        </w:tc>
        <w:tc>
          <w:tcPr>
            <w:tcW w:w="722" w:type="dxa"/>
            <w:noWrap/>
            <w:vAlign w:val="center"/>
            <w:hideMark/>
          </w:tcPr>
          <w:p w14:paraId="2F7AEFCF" w14:textId="77777777" w:rsidR="004F64EF" w:rsidRPr="003003C0" w:rsidRDefault="004F64EF" w:rsidP="00FD6B66">
            <w:pPr>
              <w:jc w:val="right"/>
              <w:rPr>
                <w:rFonts w:cs="Calibri"/>
                <w:color w:val="000000"/>
                <w:sz w:val="14"/>
                <w:szCs w:val="14"/>
              </w:rPr>
            </w:pPr>
            <w:r w:rsidRPr="003003C0">
              <w:rPr>
                <w:rFonts w:cs="Calibri"/>
                <w:color w:val="000000"/>
                <w:sz w:val="14"/>
                <w:szCs w:val="14"/>
              </w:rPr>
              <w:t>16</w:t>
            </w:r>
            <w:r>
              <w:rPr>
                <w:rFonts w:cs="Calibri"/>
                <w:color w:val="000000"/>
                <w:sz w:val="14"/>
                <w:szCs w:val="14"/>
              </w:rPr>
              <w:t>.</w:t>
            </w:r>
            <w:r w:rsidRPr="003003C0">
              <w:rPr>
                <w:rFonts w:cs="Calibri"/>
                <w:color w:val="000000"/>
                <w:sz w:val="14"/>
                <w:szCs w:val="14"/>
              </w:rPr>
              <w:t>9</w:t>
            </w:r>
          </w:p>
        </w:tc>
      </w:tr>
      <w:tr w:rsidR="004F64EF" w:rsidRPr="003003C0" w14:paraId="1B5EE0B7" w14:textId="77777777" w:rsidTr="00FD6B66">
        <w:trPr>
          <w:trHeight w:val="20"/>
        </w:trPr>
        <w:tc>
          <w:tcPr>
            <w:tcW w:w="3964" w:type="dxa"/>
            <w:noWrap/>
            <w:vAlign w:val="center"/>
            <w:hideMark/>
          </w:tcPr>
          <w:p w14:paraId="584D5896" w14:textId="77777777" w:rsidR="004F64EF" w:rsidRPr="003003C0" w:rsidRDefault="004F64EF" w:rsidP="00B22563">
            <w:pPr>
              <w:tabs>
                <w:tab w:val="left" w:pos="227"/>
              </w:tabs>
              <w:ind w:left="227" w:hanging="227"/>
              <w:jc w:val="left"/>
              <w:rPr>
                <w:rFonts w:cs="Calibri"/>
                <w:color w:val="000000"/>
                <w:sz w:val="14"/>
                <w:szCs w:val="14"/>
              </w:rPr>
            </w:pPr>
            <w:r w:rsidRPr="003003C0">
              <w:rPr>
                <w:rFonts w:cs="Calibri"/>
                <w:color w:val="000000"/>
                <w:sz w:val="14"/>
                <w:szCs w:val="14"/>
              </w:rPr>
              <w:tab/>
              <w:t xml:space="preserve">27. </w:t>
            </w:r>
            <w:r w:rsidRPr="006A3873">
              <w:rPr>
                <w:rFonts w:cs="Calibri"/>
                <w:color w:val="000000"/>
                <w:sz w:val="14"/>
                <w:szCs w:val="14"/>
              </w:rPr>
              <w:t>Mineral fuels; bituminous substances; mineral waxe</w:t>
            </w:r>
            <w:r>
              <w:rPr>
                <w:rFonts w:cs="Calibri"/>
                <w:color w:val="000000"/>
                <w:sz w:val="14"/>
                <w:szCs w:val="14"/>
              </w:rPr>
              <w:t>s</w:t>
            </w:r>
          </w:p>
        </w:tc>
        <w:tc>
          <w:tcPr>
            <w:tcW w:w="721" w:type="dxa"/>
            <w:noWrap/>
            <w:vAlign w:val="center"/>
            <w:hideMark/>
          </w:tcPr>
          <w:p w14:paraId="2A4C686E" w14:textId="77777777" w:rsidR="004F64EF" w:rsidRPr="003003C0" w:rsidRDefault="004F64EF" w:rsidP="00FD6B66">
            <w:pPr>
              <w:jc w:val="right"/>
              <w:rPr>
                <w:rFonts w:cs="Calibri"/>
                <w:color w:val="000000"/>
                <w:sz w:val="14"/>
                <w:szCs w:val="14"/>
              </w:rPr>
            </w:pPr>
            <w:r w:rsidRPr="003003C0">
              <w:rPr>
                <w:rFonts w:cs="Calibri"/>
                <w:color w:val="000000"/>
                <w:sz w:val="14"/>
                <w:szCs w:val="14"/>
              </w:rPr>
              <w:t>15</w:t>
            </w:r>
            <w:r>
              <w:rPr>
                <w:rFonts w:cs="Calibri"/>
                <w:color w:val="000000"/>
                <w:sz w:val="14"/>
                <w:szCs w:val="14"/>
              </w:rPr>
              <w:t>.</w:t>
            </w:r>
            <w:r w:rsidRPr="003003C0">
              <w:rPr>
                <w:rFonts w:cs="Calibri"/>
                <w:color w:val="000000"/>
                <w:sz w:val="14"/>
                <w:szCs w:val="14"/>
              </w:rPr>
              <w:t>4</w:t>
            </w:r>
          </w:p>
        </w:tc>
        <w:tc>
          <w:tcPr>
            <w:tcW w:w="722" w:type="dxa"/>
            <w:noWrap/>
            <w:vAlign w:val="center"/>
            <w:hideMark/>
          </w:tcPr>
          <w:p w14:paraId="504F1A0E" w14:textId="77777777" w:rsidR="004F64EF" w:rsidRPr="003003C0" w:rsidRDefault="004F64EF" w:rsidP="00FD6B66">
            <w:pPr>
              <w:jc w:val="right"/>
              <w:rPr>
                <w:rFonts w:cs="Calibri"/>
                <w:color w:val="000000"/>
                <w:sz w:val="14"/>
                <w:szCs w:val="14"/>
              </w:rPr>
            </w:pPr>
            <w:r w:rsidRPr="003003C0">
              <w:rPr>
                <w:rFonts w:cs="Calibri"/>
                <w:color w:val="000000"/>
                <w:sz w:val="14"/>
                <w:szCs w:val="14"/>
              </w:rPr>
              <w:t>13</w:t>
            </w:r>
            <w:r>
              <w:rPr>
                <w:rFonts w:cs="Calibri"/>
                <w:color w:val="000000"/>
                <w:sz w:val="14"/>
                <w:szCs w:val="14"/>
              </w:rPr>
              <w:t>.</w:t>
            </w:r>
            <w:r w:rsidRPr="003003C0">
              <w:rPr>
                <w:rFonts w:cs="Calibri"/>
                <w:color w:val="000000"/>
                <w:sz w:val="14"/>
                <w:szCs w:val="14"/>
              </w:rPr>
              <w:t>7</w:t>
            </w:r>
          </w:p>
        </w:tc>
        <w:tc>
          <w:tcPr>
            <w:tcW w:w="722" w:type="dxa"/>
            <w:noWrap/>
            <w:vAlign w:val="center"/>
            <w:hideMark/>
          </w:tcPr>
          <w:p w14:paraId="05A7599D" w14:textId="77777777" w:rsidR="004F64EF" w:rsidRPr="003003C0" w:rsidRDefault="004F64EF" w:rsidP="00FD6B66">
            <w:pPr>
              <w:jc w:val="right"/>
              <w:rPr>
                <w:rFonts w:cs="Calibri"/>
                <w:color w:val="000000"/>
                <w:sz w:val="14"/>
                <w:szCs w:val="14"/>
              </w:rPr>
            </w:pPr>
            <w:r w:rsidRPr="003003C0">
              <w:rPr>
                <w:rFonts w:cs="Calibri"/>
                <w:color w:val="000000"/>
                <w:sz w:val="14"/>
                <w:szCs w:val="14"/>
              </w:rPr>
              <w:t>16</w:t>
            </w:r>
            <w:r>
              <w:rPr>
                <w:rFonts w:cs="Calibri"/>
                <w:color w:val="000000"/>
                <w:sz w:val="14"/>
                <w:szCs w:val="14"/>
              </w:rPr>
              <w:t>.</w:t>
            </w:r>
            <w:r w:rsidRPr="003003C0">
              <w:rPr>
                <w:rFonts w:cs="Calibri"/>
                <w:color w:val="000000"/>
                <w:sz w:val="14"/>
                <w:szCs w:val="14"/>
              </w:rPr>
              <w:t>5</w:t>
            </w:r>
          </w:p>
        </w:tc>
        <w:tc>
          <w:tcPr>
            <w:tcW w:w="721" w:type="dxa"/>
            <w:noWrap/>
            <w:vAlign w:val="center"/>
            <w:hideMark/>
          </w:tcPr>
          <w:p w14:paraId="00259D4D" w14:textId="77777777" w:rsidR="004F64EF" w:rsidRPr="003003C0" w:rsidRDefault="004F64EF" w:rsidP="00FD6B66">
            <w:pPr>
              <w:jc w:val="right"/>
              <w:rPr>
                <w:rFonts w:cs="Calibri"/>
                <w:color w:val="000000"/>
                <w:sz w:val="14"/>
                <w:szCs w:val="14"/>
              </w:rPr>
            </w:pPr>
            <w:r w:rsidRPr="003003C0">
              <w:rPr>
                <w:rFonts w:cs="Calibri"/>
                <w:color w:val="000000"/>
                <w:sz w:val="14"/>
                <w:szCs w:val="14"/>
              </w:rPr>
              <w:t>19</w:t>
            </w:r>
            <w:r>
              <w:rPr>
                <w:rFonts w:cs="Calibri"/>
                <w:color w:val="000000"/>
                <w:sz w:val="14"/>
                <w:szCs w:val="14"/>
              </w:rPr>
              <w:t>.</w:t>
            </w:r>
            <w:r w:rsidRPr="003003C0">
              <w:rPr>
                <w:rFonts w:cs="Calibri"/>
                <w:color w:val="000000"/>
                <w:sz w:val="14"/>
                <w:szCs w:val="14"/>
              </w:rPr>
              <w:t>0</w:t>
            </w:r>
          </w:p>
        </w:tc>
        <w:tc>
          <w:tcPr>
            <w:tcW w:w="722" w:type="dxa"/>
            <w:noWrap/>
            <w:vAlign w:val="center"/>
            <w:hideMark/>
          </w:tcPr>
          <w:p w14:paraId="3E104E77" w14:textId="77777777" w:rsidR="004F64EF" w:rsidRPr="003003C0" w:rsidRDefault="004F64EF" w:rsidP="00FD6B66">
            <w:pPr>
              <w:jc w:val="right"/>
              <w:rPr>
                <w:rFonts w:cs="Calibri"/>
                <w:color w:val="000000"/>
                <w:sz w:val="14"/>
                <w:szCs w:val="14"/>
              </w:rPr>
            </w:pPr>
            <w:r w:rsidRPr="003003C0">
              <w:rPr>
                <w:rFonts w:cs="Calibri"/>
                <w:color w:val="000000"/>
                <w:sz w:val="14"/>
                <w:szCs w:val="14"/>
              </w:rPr>
              <w:t>18</w:t>
            </w:r>
            <w:r>
              <w:rPr>
                <w:rFonts w:cs="Calibri"/>
                <w:color w:val="000000"/>
                <w:sz w:val="14"/>
                <w:szCs w:val="14"/>
              </w:rPr>
              <w:t>.</w:t>
            </w:r>
            <w:r w:rsidRPr="003003C0">
              <w:rPr>
                <w:rFonts w:cs="Calibri"/>
                <w:color w:val="000000"/>
                <w:sz w:val="14"/>
                <w:szCs w:val="14"/>
              </w:rPr>
              <w:t>2</w:t>
            </w:r>
          </w:p>
        </w:tc>
        <w:tc>
          <w:tcPr>
            <w:tcW w:w="722" w:type="dxa"/>
            <w:noWrap/>
            <w:vAlign w:val="center"/>
            <w:hideMark/>
          </w:tcPr>
          <w:p w14:paraId="129F0D9E" w14:textId="77777777" w:rsidR="004F64EF" w:rsidRPr="003003C0" w:rsidRDefault="004F64EF" w:rsidP="00FD6B66">
            <w:pPr>
              <w:jc w:val="right"/>
              <w:rPr>
                <w:rFonts w:cs="Calibri"/>
                <w:color w:val="000000"/>
                <w:sz w:val="14"/>
                <w:szCs w:val="14"/>
              </w:rPr>
            </w:pPr>
            <w:r w:rsidRPr="003003C0">
              <w:rPr>
                <w:rFonts w:cs="Calibri"/>
                <w:color w:val="000000"/>
                <w:sz w:val="14"/>
                <w:szCs w:val="14"/>
              </w:rPr>
              <w:t>12</w:t>
            </w:r>
            <w:r>
              <w:rPr>
                <w:rFonts w:cs="Calibri"/>
                <w:color w:val="000000"/>
                <w:sz w:val="14"/>
                <w:szCs w:val="14"/>
              </w:rPr>
              <w:t>.</w:t>
            </w:r>
            <w:r w:rsidRPr="003003C0">
              <w:rPr>
                <w:rFonts w:cs="Calibri"/>
                <w:color w:val="000000"/>
                <w:sz w:val="14"/>
                <w:szCs w:val="14"/>
              </w:rPr>
              <w:t>1</w:t>
            </w:r>
          </w:p>
        </w:tc>
        <w:tc>
          <w:tcPr>
            <w:tcW w:w="722" w:type="dxa"/>
            <w:noWrap/>
            <w:vAlign w:val="center"/>
            <w:hideMark/>
          </w:tcPr>
          <w:p w14:paraId="7ADA14DA" w14:textId="77777777" w:rsidR="004F64EF" w:rsidRPr="003003C0" w:rsidRDefault="004F64EF" w:rsidP="00FD6B66">
            <w:pPr>
              <w:jc w:val="right"/>
              <w:rPr>
                <w:rFonts w:cs="Calibri"/>
                <w:color w:val="000000"/>
                <w:sz w:val="14"/>
                <w:szCs w:val="14"/>
              </w:rPr>
            </w:pPr>
            <w:r w:rsidRPr="003003C0">
              <w:rPr>
                <w:rFonts w:cs="Calibri"/>
                <w:color w:val="000000"/>
                <w:sz w:val="14"/>
                <w:szCs w:val="14"/>
              </w:rPr>
              <w:t>16</w:t>
            </w:r>
            <w:r>
              <w:rPr>
                <w:rFonts w:cs="Calibri"/>
                <w:color w:val="000000"/>
                <w:sz w:val="14"/>
                <w:szCs w:val="14"/>
              </w:rPr>
              <w:t>.</w:t>
            </w:r>
            <w:r w:rsidRPr="003003C0">
              <w:rPr>
                <w:rFonts w:cs="Calibri"/>
                <w:color w:val="000000"/>
                <w:sz w:val="14"/>
                <w:szCs w:val="14"/>
              </w:rPr>
              <w:t>4</w:t>
            </w:r>
          </w:p>
        </w:tc>
      </w:tr>
      <w:tr w:rsidR="004F64EF" w:rsidRPr="003003C0" w14:paraId="1994221A" w14:textId="77777777" w:rsidTr="00FD6B66">
        <w:trPr>
          <w:cnfStyle w:val="000000010000" w:firstRow="0" w:lastRow="0" w:firstColumn="0" w:lastColumn="0" w:oddVBand="0" w:evenVBand="0" w:oddHBand="0" w:evenHBand="1" w:firstRowFirstColumn="0" w:firstRowLastColumn="0" w:lastRowFirstColumn="0" w:lastRowLastColumn="0"/>
          <w:trHeight w:val="20"/>
        </w:trPr>
        <w:tc>
          <w:tcPr>
            <w:tcW w:w="3964" w:type="dxa"/>
            <w:noWrap/>
            <w:vAlign w:val="center"/>
            <w:hideMark/>
          </w:tcPr>
          <w:p w14:paraId="21DF8727" w14:textId="77777777" w:rsidR="004F64EF" w:rsidRPr="003003C0" w:rsidRDefault="004F64EF" w:rsidP="00B22563">
            <w:pPr>
              <w:tabs>
                <w:tab w:val="left" w:pos="227"/>
              </w:tabs>
              <w:ind w:left="227" w:hanging="227"/>
              <w:jc w:val="left"/>
              <w:rPr>
                <w:rFonts w:cs="Calibri"/>
                <w:color w:val="000000"/>
                <w:sz w:val="14"/>
                <w:szCs w:val="14"/>
              </w:rPr>
            </w:pPr>
            <w:r w:rsidRPr="003003C0">
              <w:rPr>
                <w:rFonts w:cs="Calibri"/>
                <w:color w:val="000000"/>
                <w:sz w:val="14"/>
                <w:szCs w:val="14"/>
              </w:rPr>
              <w:tab/>
              <w:t xml:space="preserve">25. </w:t>
            </w:r>
            <w:r w:rsidRPr="006A3873">
              <w:rPr>
                <w:rFonts w:cs="Calibri"/>
                <w:color w:val="000000"/>
                <w:sz w:val="14"/>
                <w:szCs w:val="14"/>
              </w:rPr>
              <w:t>Salt; sulphur; earths and stone; plastering materials, lime and cement</w:t>
            </w:r>
          </w:p>
        </w:tc>
        <w:tc>
          <w:tcPr>
            <w:tcW w:w="721" w:type="dxa"/>
            <w:noWrap/>
            <w:vAlign w:val="center"/>
            <w:hideMark/>
          </w:tcPr>
          <w:p w14:paraId="17509F43" w14:textId="77777777" w:rsidR="004F64EF" w:rsidRPr="003003C0" w:rsidRDefault="004F64EF" w:rsidP="00FD6B66">
            <w:pPr>
              <w:jc w:val="right"/>
              <w:rPr>
                <w:rFonts w:cs="Calibri"/>
                <w:color w:val="000000"/>
                <w:sz w:val="14"/>
                <w:szCs w:val="14"/>
              </w:rPr>
            </w:pPr>
            <w:r w:rsidRPr="003003C0">
              <w:rPr>
                <w:rFonts w:cs="Calibri"/>
                <w:color w:val="000000"/>
                <w:sz w:val="14"/>
                <w:szCs w:val="14"/>
              </w:rPr>
              <w:t>0</w:t>
            </w:r>
            <w:r>
              <w:rPr>
                <w:rFonts w:cs="Calibri"/>
                <w:color w:val="000000"/>
                <w:sz w:val="14"/>
                <w:szCs w:val="14"/>
              </w:rPr>
              <w:t>.</w:t>
            </w:r>
            <w:r w:rsidRPr="003003C0">
              <w:rPr>
                <w:rFonts w:cs="Calibri"/>
                <w:color w:val="000000"/>
                <w:sz w:val="14"/>
                <w:szCs w:val="14"/>
              </w:rPr>
              <w:t>2</w:t>
            </w:r>
          </w:p>
        </w:tc>
        <w:tc>
          <w:tcPr>
            <w:tcW w:w="722" w:type="dxa"/>
            <w:noWrap/>
            <w:vAlign w:val="center"/>
            <w:hideMark/>
          </w:tcPr>
          <w:p w14:paraId="0AFA9ABF" w14:textId="77777777" w:rsidR="004F64EF" w:rsidRPr="003003C0" w:rsidRDefault="004F64EF" w:rsidP="00FD6B66">
            <w:pPr>
              <w:jc w:val="right"/>
              <w:rPr>
                <w:rFonts w:cs="Calibri"/>
                <w:color w:val="000000"/>
                <w:sz w:val="14"/>
                <w:szCs w:val="14"/>
              </w:rPr>
            </w:pPr>
            <w:r w:rsidRPr="003003C0">
              <w:rPr>
                <w:rFonts w:cs="Calibri"/>
                <w:color w:val="000000"/>
                <w:sz w:val="14"/>
                <w:szCs w:val="14"/>
              </w:rPr>
              <w:t>0</w:t>
            </w:r>
            <w:r>
              <w:rPr>
                <w:rFonts w:cs="Calibri"/>
                <w:color w:val="000000"/>
                <w:sz w:val="14"/>
                <w:szCs w:val="14"/>
              </w:rPr>
              <w:t>.</w:t>
            </w:r>
            <w:r w:rsidRPr="003003C0">
              <w:rPr>
                <w:rFonts w:cs="Calibri"/>
                <w:color w:val="000000"/>
                <w:sz w:val="14"/>
                <w:szCs w:val="14"/>
              </w:rPr>
              <w:t>2</w:t>
            </w:r>
          </w:p>
        </w:tc>
        <w:tc>
          <w:tcPr>
            <w:tcW w:w="722" w:type="dxa"/>
            <w:noWrap/>
            <w:vAlign w:val="center"/>
            <w:hideMark/>
          </w:tcPr>
          <w:p w14:paraId="4B0F36DA" w14:textId="77777777" w:rsidR="004F64EF" w:rsidRPr="003003C0" w:rsidRDefault="004F64EF" w:rsidP="00FD6B66">
            <w:pPr>
              <w:jc w:val="right"/>
              <w:rPr>
                <w:rFonts w:cs="Calibri"/>
                <w:color w:val="000000"/>
                <w:sz w:val="14"/>
                <w:szCs w:val="14"/>
              </w:rPr>
            </w:pPr>
            <w:r w:rsidRPr="003003C0">
              <w:rPr>
                <w:rFonts w:cs="Calibri"/>
                <w:color w:val="000000"/>
                <w:sz w:val="14"/>
                <w:szCs w:val="14"/>
              </w:rPr>
              <w:t>0</w:t>
            </w:r>
            <w:r>
              <w:rPr>
                <w:rFonts w:cs="Calibri"/>
                <w:color w:val="000000"/>
                <w:sz w:val="14"/>
                <w:szCs w:val="14"/>
              </w:rPr>
              <w:t>.</w:t>
            </w:r>
            <w:r w:rsidRPr="003003C0">
              <w:rPr>
                <w:rFonts w:cs="Calibri"/>
                <w:color w:val="000000"/>
                <w:sz w:val="14"/>
                <w:szCs w:val="14"/>
              </w:rPr>
              <w:t>2</w:t>
            </w:r>
          </w:p>
        </w:tc>
        <w:tc>
          <w:tcPr>
            <w:tcW w:w="721" w:type="dxa"/>
            <w:noWrap/>
            <w:vAlign w:val="center"/>
            <w:hideMark/>
          </w:tcPr>
          <w:p w14:paraId="21B81C25" w14:textId="77777777" w:rsidR="004F64EF" w:rsidRPr="003003C0" w:rsidRDefault="004F64EF" w:rsidP="00FD6B66">
            <w:pPr>
              <w:jc w:val="right"/>
              <w:rPr>
                <w:rFonts w:cs="Calibri"/>
                <w:color w:val="000000"/>
                <w:sz w:val="14"/>
                <w:szCs w:val="14"/>
              </w:rPr>
            </w:pPr>
            <w:r w:rsidRPr="003003C0">
              <w:rPr>
                <w:rFonts w:cs="Calibri"/>
                <w:color w:val="000000"/>
                <w:sz w:val="14"/>
                <w:szCs w:val="14"/>
              </w:rPr>
              <w:t>0</w:t>
            </w:r>
            <w:r>
              <w:rPr>
                <w:rFonts w:cs="Calibri"/>
                <w:color w:val="000000"/>
                <w:sz w:val="14"/>
                <w:szCs w:val="14"/>
              </w:rPr>
              <w:t>.</w:t>
            </w:r>
            <w:r w:rsidRPr="003003C0">
              <w:rPr>
                <w:rFonts w:cs="Calibri"/>
                <w:color w:val="000000"/>
                <w:sz w:val="14"/>
                <w:szCs w:val="14"/>
              </w:rPr>
              <w:t>1</w:t>
            </w:r>
          </w:p>
        </w:tc>
        <w:tc>
          <w:tcPr>
            <w:tcW w:w="722" w:type="dxa"/>
            <w:noWrap/>
            <w:vAlign w:val="center"/>
            <w:hideMark/>
          </w:tcPr>
          <w:p w14:paraId="2F1C6DD7" w14:textId="77777777" w:rsidR="004F64EF" w:rsidRPr="003003C0" w:rsidRDefault="004F64EF" w:rsidP="00FD6B66">
            <w:pPr>
              <w:jc w:val="right"/>
              <w:rPr>
                <w:rFonts w:cs="Calibri"/>
                <w:color w:val="000000"/>
                <w:sz w:val="14"/>
                <w:szCs w:val="14"/>
              </w:rPr>
            </w:pPr>
            <w:r w:rsidRPr="003003C0">
              <w:rPr>
                <w:rFonts w:cs="Calibri"/>
                <w:color w:val="000000"/>
                <w:sz w:val="14"/>
                <w:szCs w:val="14"/>
              </w:rPr>
              <w:t>0</w:t>
            </w:r>
            <w:r>
              <w:rPr>
                <w:rFonts w:cs="Calibri"/>
                <w:color w:val="000000"/>
                <w:sz w:val="14"/>
                <w:szCs w:val="14"/>
              </w:rPr>
              <w:t>.</w:t>
            </w:r>
            <w:r w:rsidRPr="003003C0">
              <w:rPr>
                <w:rFonts w:cs="Calibri"/>
                <w:color w:val="000000"/>
                <w:sz w:val="14"/>
                <w:szCs w:val="14"/>
              </w:rPr>
              <w:t>2</w:t>
            </w:r>
          </w:p>
        </w:tc>
        <w:tc>
          <w:tcPr>
            <w:tcW w:w="722" w:type="dxa"/>
            <w:noWrap/>
            <w:vAlign w:val="center"/>
            <w:hideMark/>
          </w:tcPr>
          <w:p w14:paraId="70AEA5FF" w14:textId="77777777" w:rsidR="004F64EF" w:rsidRPr="003003C0" w:rsidRDefault="004F64EF" w:rsidP="00FD6B66">
            <w:pPr>
              <w:jc w:val="right"/>
              <w:rPr>
                <w:rFonts w:cs="Calibri"/>
                <w:color w:val="000000"/>
                <w:sz w:val="14"/>
                <w:szCs w:val="14"/>
              </w:rPr>
            </w:pPr>
            <w:r w:rsidRPr="003003C0">
              <w:rPr>
                <w:rFonts w:cs="Calibri"/>
                <w:color w:val="000000"/>
                <w:sz w:val="14"/>
                <w:szCs w:val="14"/>
              </w:rPr>
              <w:t>0</w:t>
            </w:r>
            <w:r>
              <w:rPr>
                <w:rFonts w:cs="Calibri"/>
                <w:color w:val="000000"/>
                <w:sz w:val="14"/>
                <w:szCs w:val="14"/>
              </w:rPr>
              <w:t>.</w:t>
            </w:r>
            <w:r w:rsidRPr="003003C0">
              <w:rPr>
                <w:rFonts w:cs="Calibri"/>
                <w:color w:val="000000"/>
                <w:sz w:val="14"/>
                <w:szCs w:val="14"/>
              </w:rPr>
              <w:t>4</w:t>
            </w:r>
          </w:p>
        </w:tc>
        <w:tc>
          <w:tcPr>
            <w:tcW w:w="722" w:type="dxa"/>
            <w:noWrap/>
            <w:vAlign w:val="center"/>
            <w:hideMark/>
          </w:tcPr>
          <w:p w14:paraId="7723201E" w14:textId="77777777" w:rsidR="004F64EF" w:rsidRPr="003003C0" w:rsidRDefault="004F64EF" w:rsidP="00FD6B66">
            <w:pPr>
              <w:jc w:val="right"/>
              <w:rPr>
                <w:rFonts w:cs="Calibri"/>
                <w:color w:val="000000"/>
                <w:sz w:val="14"/>
                <w:szCs w:val="14"/>
              </w:rPr>
            </w:pPr>
            <w:r w:rsidRPr="003003C0">
              <w:rPr>
                <w:rFonts w:cs="Calibri"/>
                <w:color w:val="000000"/>
                <w:sz w:val="14"/>
                <w:szCs w:val="14"/>
              </w:rPr>
              <w:t>0</w:t>
            </w:r>
            <w:r>
              <w:rPr>
                <w:rFonts w:cs="Calibri"/>
                <w:color w:val="000000"/>
                <w:sz w:val="14"/>
                <w:szCs w:val="14"/>
              </w:rPr>
              <w:t>.</w:t>
            </w:r>
            <w:r w:rsidRPr="003003C0">
              <w:rPr>
                <w:rFonts w:cs="Calibri"/>
                <w:color w:val="000000"/>
                <w:sz w:val="14"/>
                <w:szCs w:val="14"/>
              </w:rPr>
              <w:t>4</w:t>
            </w:r>
          </w:p>
        </w:tc>
      </w:tr>
      <w:tr w:rsidR="004F64EF" w:rsidRPr="003003C0" w14:paraId="443BCD2F" w14:textId="77777777" w:rsidTr="00FD6B66">
        <w:trPr>
          <w:trHeight w:val="20"/>
        </w:trPr>
        <w:tc>
          <w:tcPr>
            <w:tcW w:w="3964" w:type="dxa"/>
            <w:noWrap/>
            <w:vAlign w:val="center"/>
            <w:hideMark/>
          </w:tcPr>
          <w:p w14:paraId="62ECF504" w14:textId="77777777" w:rsidR="004F64EF" w:rsidRPr="003003C0" w:rsidRDefault="004F64EF" w:rsidP="00FD6B66">
            <w:pPr>
              <w:jc w:val="left"/>
              <w:rPr>
                <w:rFonts w:cs="Calibri"/>
                <w:color w:val="000000"/>
                <w:sz w:val="14"/>
                <w:szCs w:val="14"/>
              </w:rPr>
            </w:pPr>
            <w:r w:rsidRPr="003003C0">
              <w:rPr>
                <w:rFonts w:cs="Calibri"/>
                <w:color w:val="000000"/>
                <w:sz w:val="14"/>
                <w:szCs w:val="14"/>
              </w:rPr>
              <w:t xml:space="preserve">6 - </w:t>
            </w:r>
            <w:r w:rsidRPr="003B416B">
              <w:rPr>
                <w:rFonts w:cs="Calibri"/>
                <w:color w:val="000000"/>
                <w:sz w:val="14"/>
                <w:szCs w:val="14"/>
              </w:rPr>
              <w:t>Products of the chemical or allied industries</w:t>
            </w:r>
          </w:p>
        </w:tc>
        <w:tc>
          <w:tcPr>
            <w:tcW w:w="721" w:type="dxa"/>
            <w:noWrap/>
            <w:vAlign w:val="center"/>
            <w:hideMark/>
          </w:tcPr>
          <w:p w14:paraId="378095C9" w14:textId="77777777" w:rsidR="004F64EF" w:rsidRPr="003003C0" w:rsidRDefault="004F64EF" w:rsidP="00FD6B66">
            <w:pPr>
              <w:jc w:val="right"/>
              <w:rPr>
                <w:rFonts w:cs="Calibri"/>
                <w:color w:val="000000"/>
                <w:sz w:val="14"/>
                <w:szCs w:val="14"/>
              </w:rPr>
            </w:pPr>
            <w:r w:rsidRPr="003003C0">
              <w:rPr>
                <w:rFonts w:cs="Calibri"/>
                <w:color w:val="000000"/>
                <w:sz w:val="14"/>
                <w:szCs w:val="14"/>
              </w:rPr>
              <w:t>9</w:t>
            </w:r>
            <w:r>
              <w:rPr>
                <w:rFonts w:cs="Calibri"/>
                <w:color w:val="000000"/>
                <w:sz w:val="14"/>
                <w:szCs w:val="14"/>
              </w:rPr>
              <w:t>.</w:t>
            </w:r>
            <w:r w:rsidRPr="003003C0">
              <w:rPr>
                <w:rFonts w:cs="Calibri"/>
                <w:color w:val="000000"/>
                <w:sz w:val="14"/>
                <w:szCs w:val="14"/>
              </w:rPr>
              <w:t>1</w:t>
            </w:r>
          </w:p>
        </w:tc>
        <w:tc>
          <w:tcPr>
            <w:tcW w:w="722" w:type="dxa"/>
            <w:noWrap/>
            <w:vAlign w:val="center"/>
            <w:hideMark/>
          </w:tcPr>
          <w:p w14:paraId="5AFF191C" w14:textId="77777777" w:rsidR="004F64EF" w:rsidRPr="003003C0" w:rsidRDefault="004F64EF" w:rsidP="00FD6B66">
            <w:pPr>
              <w:jc w:val="right"/>
              <w:rPr>
                <w:rFonts w:cs="Calibri"/>
                <w:color w:val="000000"/>
                <w:sz w:val="14"/>
                <w:szCs w:val="14"/>
              </w:rPr>
            </w:pPr>
            <w:r w:rsidRPr="003003C0">
              <w:rPr>
                <w:rFonts w:cs="Calibri"/>
                <w:color w:val="000000"/>
                <w:sz w:val="14"/>
                <w:szCs w:val="14"/>
              </w:rPr>
              <w:t>9</w:t>
            </w:r>
            <w:r>
              <w:rPr>
                <w:rFonts w:cs="Calibri"/>
                <w:color w:val="000000"/>
                <w:sz w:val="14"/>
                <w:szCs w:val="14"/>
              </w:rPr>
              <w:t>.</w:t>
            </w:r>
            <w:r w:rsidRPr="003003C0">
              <w:rPr>
                <w:rFonts w:cs="Calibri"/>
                <w:color w:val="000000"/>
                <w:sz w:val="14"/>
                <w:szCs w:val="14"/>
              </w:rPr>
              <w:t>0</w:t>
            </w:r>
          </w:p>
        </w:tc>
        <w:tc>
          <w:tcPr>
            <w:tcW w:w="722" w:type="dxa"/>
            <w:noWrap/>
            <w:vAlign w:val="center"/>
            <w:hideMark/>
          </w:tcPr>
          <w:p w14:paraId="07731FE4" w14:textId="77777777" w:rsidR="004F64EF" w:rsidRPr="003003C0" w:rsidRDefault="004F64EF" w:rsidP="00FD6B66">
            <w:pPr>
              <w:jc w:val="right"/>
              <w:rPr>
                <w:rFonts w:cs="Calibri"/>
                <w:color w:val="000000"/>
                <w:sz w:val="14"/>
                <w:szCs w:val="14"/>
              </w:rPr>
            </w:pPr>
            <w:r w:rsidRPr="003003C0">
              <w:rPr>
                <w:rFonts w:cs="Calibri"/>
                <w:color w:val="000000"/>
                <w:sz w:val="14"/>
                <w:szCs w:val="14"/>
              </w:rPr>
              <w:t>9</w:t>
            </w:r>
            <w:r>
              <w:rPr>
                <w:rFonts w:cs="Calibri"/>
                <w:color w:val="000000"/>
                <w:sz w:val="14"/>
                <w:szCs w:val="14"/>
              </w:rPr>
              <w:t>.</w:t>
            </w:r>
            <w:r w:rsidRPr="003003C0">
              <w:rPr>
                <w:rFonts w:cs="Calibri"/>
                <w:color w:val="000000"/>
                <w:sz w:val="14"/>
                <w:szCs w:val="14"/>
              </w:rPr>
              <w:t>1</w:t>
            </w:r>
          </w:p>
        </w:tc>
        <w:tc>
          <w:tcPr>
            <w:tcW w:w="721" w:type="dxa"/>
            <w:noWrap/>
            <w:vAlign w:val="center"/>
            <w:hideMark/>
          </w:tcPr>
          <w:p w14:paraId="669B23B3" w14:textId="77777777" w:rsidR="004F64EF" w:rsidRPr="003003C0" w:rsidRDefault="004F64EF" w:rsidP="00FD6B66">
            <w:pPr>
              <w:jc w:val="right"/>
              <w:rPr>
                <w:rFonts w:cs="Calibri"/>
                <w:color w:val="000000"/>
                <w:sz w:val="14"/>
                <w:szCs w:val="14"/>
              </w:rPr>
            </w:pPr>
            <w:r w:rsidRPr="003003C0">
              <w:rPr>
                <w:rFonts w:cs="Calibri"/>
                <w:color w:val="000000"/>
                <w:sz w:val="14"/>
                <w:szCs w:val="14"/>
              </w:rPr>
              <w:t>8</w:t>
            </w:r>
            <w:r>
              <w:rPr>
                <w:rFonts w:cs="Calibri"/>
                <w:color w:val="000000"/>
                <w:sz w:val="14"/>
                <w:szCs w:val="14"/>
              </w:rPr>
              <w:t>.</w:t>
            </w:r>
            <w:r w:rsidRPr="003003C0">
              <w:rPr>
                <w:rFonts w:cs="Calibri"/>
                <w:color w:val="000000"/>
                <w:sz w:val="14"/>
                <w:szCs w:val="14"/>
              </w:rPr>
              <w:t>5</w:t>
            </w:r>
          </w:p>
        </w:tc>
        <w:tc>
          <w:tcPr>
            <w:tcW w:w="722" w:type="dxa"/>
            <w:noWrap/>
            <w:vAlign w:val="center"/>
            <w:hideMark/>
          </w:tcPr>
          <w:p w14:paraId="68B57ADE" w14:textId="77777777" w:rsidR="004F64EF" w:rsidRPr="003003C0" w:rsidRDefault="004F64EF" w:rsidP="00FD6B66">
            <w:pPr>
              <w:jc w:val="right"/>
              <w:rPr>
                <w:rFonts w:cs="Calibri"/>
                <w:color w:val="000000"/>
                <w:sz w:val="14"/>
                <w:szCs w:val="14"/>
              </w:rPr>
            </w:pPr>
            <w:r w:rsidRPr="003003C0">
              <w:rPr>
                <w:rFonts w:cs="Calibri"/>
                <w:color w:val="000000"/>
                <w:sz w:val="14"/>
                <w:szCs w:val="14"/>
              </w:rPr>
              <w:t>8</w:t>
            </w:r>
            <w:r>
              <w:rPr>
                <w:rFonts w:cs="Calibri"/>
                <w:color w:val="000000"/>
                <w:sz w:val="14"/>
                <w:szCs w:val="14"/>
              </w:rPr>
              <w:t>.</w:t>
            </w:r>
            <w:r w:rsidRPr="003003C0">
              <w:rPr>
                <w:rFonts w:cs="Calibri"/>
                <w:color w:val="000000"/>
                <w:sz w:val="14"/>
                <w:szCs w:val="14"/>
              </w:rPr>
              <w:t>7</w:t>
            </w:r>
          </w:p>
        </w:tc>
        <w:tc>
          <w:tcPr>
            <w:tcW w:w="722" w:type="dxa"/>
            <w:noWrap/>
            <w:vAlign w:val="center"/>
            <w:hideMark/>
          </w:tcPr>
          <w:p w14:paraId="1537859F" w14:textId="77777777" w:rsidR="004F64EF" w:rsidRPr="003003C0" w:rsidRDefault="004F64EF" w:rsidP="00FD6B66">
            <w:pPr>
              <w:jc w:val="right"/>
              <w:rPr>
                <w:rFonts w:cs="Calibri"/>
                <w:color w:val="000000"/>
                <w:sz w:val="14"/>
                <w:szCs w:val="14"/>
              </w:rPr>
            </w:pPr>
            <w:r w:rsidRPr="003003C0">
              <w:rPr>
                <w:rFonts w:cs="Calibri"/>
                <w:color w:val="000000"/>
                <w:sz w:val="14"/>
                <w:szCs w:val="14"/>
              </w:rPr>
              <w:t>10</w:t>
            </w:r>
            <w:r>
              <w:rPr>
                <w:rFonts w:cs="Calibri"/>
                <w:color w:val="000000"/>
                <w:sz w:val="14"/>
                <w:szCs w:val="14"/>
              </w:rPr>
              <w:t>.</w:t>
            </w:r>
            <w:r w:rsidRPr="003003C0">
              <w:rPr>
                <w:rFonts w:cs="Calibri"/>
                <w:color w:val="000000"/>
                <w:sz w:val="14"/>
                <w:szCs w:val="14"/>
              </w:rPr>
              <w:t>1</w:t>
            </w:r>
          </w:p>
        </w:tc>
        <w:tc>
          <w:tcPr>
            <w:tcW w:w="722" w:type="dxa"/>
            <w:noWrap/>
            <w:vAlign w:val="center"/>
            <w:hideMark/>
          </w:tcPr>
          <w:p w14:paraId="0E0DD89E" w14:textId="77777777" w:rsidR="004F64EF" w:rsidRPr="003003C0" w:rsidRDefault="004F64EF" w:rsidP="00FD6B66">
            <w:pPr>
              <w:jc w:val="right"/>
              <w:rPr>
                <w:rFonts w:cs="Calibri"/>
                <w:color w:val="000000"/>
                <w:sz w:val="14"/>
                <w:szCs w:val="14"/>
              </w:rPr>
            </w:pPr>
            <w:r w:rsidRPr="003003C0">
              <w:rPr>
                <w:rFonts w:cs="Calibri"/>
                <w:color w:val="000000"/>
                <w:sz w:val="14"/>
                <w:szCs w:val="14"/>
              </w:rPr>
              <w:t>10</w:t>
            </w:r>
            <w:r>
              <w:rPr>
                <w:rFonts w:cs="Calibri"/>
                <w:color w:val="000000"/>
                <w:sz w:val="14"/>
                <w:szCs w:val="14"/>
              </w:rPr>
              <w:t>.</w:t>
            </w:r>
            <w:r w:rsidRPr="003003C0">
              <w:rPr>
                <w:rFonts w:cs="Calibri"/>
                <w:color w:val="000000"/>
                <w:sz w:val="14"/>
                <w:szCs w:val="14"/>
              </w:rPr>
              <w:t>3</w:t>
            </w:r>
          </w:p>
        </w:tc>
      </w:tr>
      <w:tr w:rsidR="004F64EF" w:rsidRPr="003003C0" w14:paraId="0E64405F" w14:textId="77777777" w:rsidTr="00FD6B66">
        <w:trPr>
          <w:cnfStyle w:val="000000010000" w:firstRow="0" w:lastRow="0" w:firstColumn="0" w:lastColumn="0" w:oddVBand="0" w:evenVBand="0" w:oddHBand="0" w:evenHBand="1" w:firstRowFirstColumn="0" w:firstRowLastColumn="0" w:lastRowFirstColumn="0" w:lastRowLastColumn="0"/>
          <w:trHeight w:val="20"/>
        </w:trPr>
        <w:tc>
          <w:tcPr>
            <w:tcW w:w="3964" w:type="dxa"/>
            <w:noWrap/>
            <w:vAlign w:val="center"/>
            <w:hideMark/>
          </w:tcPr>
          <w:p w14:paraId="453B6F39" w14:textId="77777777" w:rsidR="004F64EF" w:rsidRPr="003003C0" w:rsidRDefault="004F64EF" w:rsidP="00FD6B66">
            <w:pPr>
              <w:tabs>
                <w:tab w:val="left" w:pos="227"/>
              </w:tabs>
              <w:jc w:val="left"/>
              <w:rPr>
                <w:rFonts w:cs="Calibri"/>
                <w:color w:val="000000"/>
                <w:sz w:val="14"/>
                <w:szCs w:val="14"/>
              </w:rPr>
            </w:pPr>
            <w:r w:rsidRPr="003003C0">
              <w:rPr>
                <w:rFonts w:cs="Calibri"/>
                <w:color w:val="000000"/>
                <w:sz w:val="14"/>
                <w:szCs w:val="14"/>
              </w:rPr>
              <w:tab/>
              <w:t xml:space="preserve">30. </w:t>
            </w:r>
            <w:r w:rsidRPr="003B416B">
              <w:rPr>
                <w:rFonts w:cs="Calibri"/>
                <w:color w:val="000000"/>
                <w:sz w:val="14"/>
                <w:szCs w:val="14"/>
              </w:rPr>
              <w:t>Pharmaceutical products</w:t>
            </w:r>
          </w:p>
        </w:tc>
        <w:tc>
          <w:tcPr>
            <w:tcW w:w="721" w:type="dxa"/>
            <w:noWrap/>
            <w:vAlign w:val="center"/>
            <w:hideMark/>
          </w:tcPr>
          <w:p w14:paraId="1426ADCF" w14:textId="77777777" w:rsidR="004F64EF" w:rsidRPr="003003C0" w:rsidRDefault="004F64EF" w:rsidP="00FD6B66">
            <w:pPr>
              <w:jc w:val="right"/>
              <w:rPr>
                <w:rFonts w:cs="Calibri"/>
                <w:color w:val="000000"/>
                <w:sz w:val="14"/>
                <w:szCs w:val="14"/>
              </w:rPr>
            </w:pPr>
            <w:r w:rsidRPr="003003C0">
              <w:rPr>
                <w:rFonts w:cs="Calibri"/>
                <w:color w:val="000000"/>
                <w:sz w:val="14"/>
                <w:szCs w:val="14"/>
              </w:rPr>
              <w:t>3</w:t>
            </w:r>
            <w:r>
              <w:rPr>
                <w:rFonts w:cs="Calibri"/>
                <w:color w:val="000000"/>
                <w:sz w:val="14"/>
                <w:szCs w:val="14"/>
              </w:rPr>
              <w:t>.</w:t>
            </w:r>
            <w:r w:rsidRPr="003003C0">
              <w:rPr>
                <w:rFonts w:cs="Calibri"/>
                <w:color w:val="000000"/>
                <w:sz w:val="14"/>
                <w:szCs w:val="14"/>
              </w:rPr>
              <w:t>2</w:t>
            </w:r>
          </w:p>
        </w:tc>
        <w:tc>
          <w:tcPr>
            <w:tcW w:w="722" w:type="dxa"/>
            <w:noWrap/>
            <w:vAlign w:val="center"/>
            <w:hideMark/>
          </w:tcPr>
          <w:p w14:paraId="2AE69858" w14:textId="77777777" w:rsidR="004F64EF" w:rsidRPr="003003C0" w:rsidRDefault="004F64EF" w:rsidP="00FD6B66">
            <w:pPr>
              <w:jc w:val="right"/>
              <w:rPr>
                <w:rFonts w:cs="Calibri"/>
                <w:color w:val="000000"/>
                <w:sz w:val="14"/>
                <w:szCs w:val="14"/>
              </w:rPr>
            </w:pPr>
            <w:r w:rsidRPr="003003C0">
              <w:rPr>
                <w:rFonts w:cs="Calibri"/>
                <w:color w:val="000000"/>
                <w:sz w:val="14"/>
                <w:szCs w:val="14"/>
              </w:rPr>
              <w:t>3</w:t>
            </w:r>
            <w:r>
              <w:rPr>
                <w:rFonts w:cs="Calibri"/>
                <w:color w:val="000000"/>
                <w:sz w:val="14"/>
                <w:szCs w:val="14"/>
              </w:rPr>
              <w:t>.</w:t>
            </w:r>
            <w:r w:rsidRPr="003003C0">
              <w:rPr>
                <w:rFonts w:cs="Calibri"/>
                <w:color w:val="000000"/>
                <w:sz w:val="14"/>
                <w:szCs w:val="14"/>
              </w:rPr>
              <w:t>4</w:t>
            </w:r>
          </w:p>
        </w:tc>
        <w:tc>
          <w:tcPr>
            <w:tcW w:w="722" w:type="dxa"/>
            <w:noWrap/>
            <w:vAlign w:val="center"/>
            <w:hideMark/>
          </w:tcPr>
          <w:p w14:paraId="6B6F4002" w14:textId="77777777" w:rsidR="004F64EF" w:rsidRPr="003003C0" w:rsidRDefault="004F64EF" w:rsidP="00FD6B66">
            <w:pPr>
              <w:jc w:val="right"/>
              <w:rPr>
                <w:rFonts w:cs="Calibri"/>
                <w:color w:val="000000"/>
                <w:sz w:val="14"/>
                <w:szCs w:val="14"/>
              </w:rPr>
            </w:pPr>
            <w:r w:rsidRPr="003003C0">
              <w:rPr>
                <w:rFonts w:cs="Calibri"/>
                <w:color w:val="000000"/>
                <w:sz w:val="14"/>
                <w:szCs w:val="14"/>
              </w:rPr>
              <w:t>3</w:t>
            </w:r>
            <w:r>
              <w:rPr>
                <w:rFonts w:cs="Calibri"/>
                <w:color w:val="000000"/>
                <w:sz w:val="14"/>
                <w:szCs w:val="14"/>
              </w:rPr>
              <w:t>.</w:t>
            </w:r>
            <w:r w:rsidRPr="003003C0">
              <w:rPr>
                <w:rFonts w:cs="Calibri"/>
                <w:color w:val="000000"/>
                <w:sz w:val="14"/>
                <w:szCs w:val="14"/>
              </w:rPr>
              <w:t>3</w:t>
            </w:r>
          </w:p>
        </w:tc>
        <w:tc>
          <w:tcPr>
            <w:tcW w:w="721" w:type="dxa"/>
            <w:noWrap/>
            <w:vAlign w:val="center"/>
            <w:hideMark/>
          </w:tcPr>
          <w:p w14:paraId="25F776FA" w14:textId="77777777" w:rsidR="004F64EF" w:rsidRPr="003003C0" w:rsidRDefault="004F64EF" w:rsidP="00FD6B66">
            <w:pPr>
              <w:jc w:val="right"/>
              <w:rPr>
                <w:rFonts w:cs="Calibri"/>
                <w:color w:val="000000"/>
                <w:sz w:val="14"/>
                <w:szCs w:val="14"/>
              </w:rPr>
            </w:pPr>
            <w:r w:rsidRPr="003003C0">
              <w:rPr>
                <w:rFonts w:cs="Calibri"/>
                <w:color w:val="000000"/>
                <w:sz w:val="14"/>
                <w:szCs w:val="14"/>
              </w:rPr>
              <w:t>2</w:t>
            </w:r>
            <w:r>
              <w:rPr>
                <w:rFonts w:cs="Calibri"/>
                <w:color w:val="000000"/>
                <w:sz w:val="14"/>
                <w:szCs w:val="14"/>
              </w:rPr>
              <w:t>.</w:t>
            </w:r>
            <w:r w:rsidRPr="003003C0">
              <w:rPr>
                <w:rFonts w:cs="Calibri"/>
                <w:color w:val="000000"/>
                <w:sz w:val="14"/>
                <w:szCs w:val="14"/>
              </w:rPr>
              <w:t>9</w:t>
            </w:r>
          </w:p>
        </w:tc>
        <w:tc>
          <w:tcPr>
            <w:tcW w:w="722" w:type="dxa"/>
            <w:noWrap/>
            <w:vAlign w:val="center"/>
            <w:hideMark/>
          </w:tcPr>
          <w:p w14:paraId="219C1E2D" w14:textId="77777777" w:rsidR="004F64EF" w:rsidRPr="003003C0" w:rsidRDefault="004F64EF" w:rsidP="00FD6B66">
            <w:pPr>
              <w:jc w:val="right"/>
              <w:rPr>
                <w:rFonts w:cs="Calibri"/>
                <w:color w:val="000000"/>
                <w:sz w:val="14"/>
                <w:szCs w:val="14"/>
              </w:rPr>
            </w:pPr>
            <w:r w:rsidRPr="003003C0">
              <w:rPr>
                <w:rFonts w:cs="Calibri"/>
                <w:color w:val="000000"/>
                <w:sz w:val="14"/>
                <w:szCs w:val="14"/>
              </w:rPr>
              <w:t>3</w:t>
            </w:r>
            <w:r>
              <w:rPr>
                <w:rFonts w:cs="Calibri"/>
                <w:color w:val="000000"/>
                <w:sz w:val="14"/>
                <w:szCs w:val="14"/>
              </w:rPr>
              <w:t>.</w:t>
            </w:r>
            <w:r w:rsidRPr="003003C0">
              <w:rPr>
                <w:rFonts w:cs="Calibri"/>
                <w:color w:val="000000"/>
                <w:sz w:val="14"/>
                <w:szCs w:val="14"/>
              </w:rPr>
              <w:t>2</w:t>
            </w:r>
          </w:p>
        </w:tc>
        <w:tc>
          <w:tcPr>
            <w:tcW w:w="722" w:type="dxa"/>
            <w:noWrap/>
            <w:vAlign w:val="center"/>
            <w:hideMark/>
          </w:tcPr>
          <w:p w14:paraId="7D3E7784" w14:textId="77777777" w:rsidR="004F64EF" w:rsidRPr="003003C0" w:rsidRDefault="004F64EF" w:rsidP="00FD6B66">
            <w:pPr>
              <w:jc w:val="right"/>
              <w:rPr>
                <w:rFonts w:cs="Calibri"/>
                <w:color w:val="000000"/>
                <w:sz w:val="14"/>
                <w:szCs w:val="14"/>
              </w:rPr>
            </w:pPr>
            <w:r w:rsidRPr="003003C0">
              <w:rPr>
                <w:rFonts w:cs="Calibri"/>
                <w:color w:val="000000"/>
                <w:sz w:val="14"/>
                <w:szCs w:val="14"/>
              </w:rPr>
              <w:t>3</w:t>
            </w:r>
            <w:r>
              <w:rPr>
                <w:rFonts w:cs="Calibri"/>
                <w:color w:val="000000"/>
                <w:sz w:val="14"/>
                <w:szCs w:val="14"/>
              </w:rPr>
              <w:t>.</w:t>
            </w:r>
            <w:r w:rsidRPr="003003C0">
              <w:rPr>
                <w:rFonts w:cs="Calibri"/>
                <w:color w:val="000000"/>
                <w:sz w:val="14"/>
                <w:szCs w:val="14"/>
              </w:rPr>
              <w:t>9</w:t>
            </w:r>
          </w:p>
        </w:tc>
        <w:tc>
          <w:tcPr>
            <w:tcW w:w="722" w:type="dxa"/>
            <w:noWrap/>
            <w:vAlign w:val="center"/>
            <w:hideMark/>
          </w:tcPr>
          <w:p w14:paraId="607BF49E" w14:textId="77777777" w:rsidR="004F64EF" w:rsidRPr="003003C0" w:rsidRDefault="004F64EF" w:rsidP="00FD6B66">
            <w:pPr>
              <w:jc w:val="right"/>
              <w:rPr>
                <w:rFonts w:cs="Calibri"/>
                <w:color w:val="000000"/>
                <w:sz w:val="14"/>
                <w:szCs w:val="14"/>
              </w:rPr>
            </w:pPr>
            <w:r w:rsidRPr="003003C0">
              <w:rPr>
                <w:rFonts w:cs="Calibri"/>
                <w:color w:val="000000"/>
                <w:sz w:val="14"/>
                <w:szCs w:val="14"/>
              </w:rPr>
              <w:t>5</w:t>
            </w:r>
            <w:r>
              <w:rPr>
                <w:rFonts w:cs="Calibri"/>
                <w:color w:val="000000"/>
                <w:sz w:val="14"/>
                <w:szCs w:val="14"/>
              </w:rPr>
              <w:t>.</w:t>
            </w:r>
            <w:r w:rsidRPr="003003C0">
              <w:rPr>
                <w:rFonts w:cs="Calibri"/>
                <w:color w:val="000000"/>
                <w:sz w:val="14"/>
                <w:szCs w:val="14"/>
              </w:rPr>
              <w:t>0</w:t>
            </w:r>
          </w:p>
        </w:tc>
      </w:tr>
      <w:tr w:rsidR="004F64EF" w:rsidRPr="003003C0" w14:paraId="05CDD68E" w14:textId="77777777" w:rsidTr="00FD6B66">
        <w:trPr>
          <w:trHeight w:val="20"/>
        </w:trPr>
        <w:tc>
          <w:tcPr>
            <w:tcW w:w="3964" w:type="dxa"/>
            <w:noWrap/>
            <w:vAlign w:val="center"/>
            <w:hideMark/>
          </w:tcPr>
          <w:p w14:paraId="3706305D" w14:textId="77777777" w:rsidR="004F64EF" w:rsidRPr="003003C0" w:rsidRDefault="004F64EF" w:rsidP="00B22563">
            <w:pPr>
              <w:tabs>
                <w:tab w:val="left" w:pos="227"/>
              </w:tabs>
              <w:ind w:left="227" w:hanging="227"/>
              <w:jc w:val="left"/>
              <w:rPr>
                <w:rFonts w:cs="Calibri"/>
                <w:color w:val="000000"/>
                <w:sz w:val="14"/>
                <w:szCs w:val="14"/>
              </w:rPr>
            </w:pPr>
            <w:r w:rsidRPr="003003C0">
              <w:rPr>
                <w:rFonts w:cs="Calibri"/>
                <w:color w:val="000000"/>
                <w:sz w:val="14"/>
                <w:szCs w:val="14"/>
              </w:rPr>
              <w:tab/>
              <w:t xml:space="preserve">33. </w:t>
            </w:r>
            <w:r w:rsidRPr="003B416B">
              <w:rPr>
                <w:rFonts w:cs="Calibri"/>
                <w:color w:val="000000"/>
                <w:sz w:val="14"/>
                <w:szCs w:val="14"/>
              </w:rPr>
              <w:t>Essential oils; perfumery or cosmetic preparations</w:t>
            </w:r>
          </w:p>
        </w:tc>
        <w:tc>
          <w:tcPr>
            <w:tcW w:w="721" w:type="dxa"/>
            <w:noWrap/>
            <w:vAlign w:val="center"/>
            <w:hideMark/>
          </w:tcPr>
          <w:p w14:paraId="037A2DF0" w14:textId="77777777" w:rsidR="004F64EF" w:rsidRPr="003003C0" w:rsidRDefault="004F64EF" w:rsidP="00FD6B66">
            <w:pPr>
              <w:jc w:val="right"/>
              <w:rPr>
                <w:rFonts w:cs="Calibri"/>
                <w:color w:val="000000"/>
                <w:sz w:val="14"/>
                <w:szCs w:val="14"/>
              </w:rPr>
            </w:pPr>
            <w:r w:rsidRPr="003003C0">
              <w:rPr>
                <w:rFonts w:cs="Calibri"/>
                <w:color w:val="000000"/>
                <w:sz w:val="14"/>
                <w:szCs w:val="14"/>
              </w:rPr>
              <w:t>1</w:t>
            </w:r>
            <w:r>
              <w:rPr>
                <w:rFonts w:cs="Calibri"/>
                <w:color w:val="000000"/>
                <w:sz w:val="14"/>
                <w:szCs w:val="14"/>
              </w:rPr>
              <w:t>.</w:t>
            </w:r>
            <w:r w:rsidRPr="003003C0">
              <w:rPr>
                <w:rFonts w:cs="Calibri"/>
                <w:color w:val="000000"/>
                <w:sz w:val="14"/>
                <w:szCs w:val="14"/>
              </w:rPr>
              <w:t>3</w:t>
            </w:r>
          </w:p>
        </w:tc>
        <w:tc>
          <w:tcPr>
            <w:tcW w:w="722" w:type="dxa"/>
            <w:noWrap/>
            <w:vAlign w:val="center"/>
            <w:hideMark/>
          </w:tcPr>
          <w:p w14:paraId="014114FA" w14:textId="77777777" w:rsidR="004F64EF" w:rsidRPr="003003C0" w:rsidRDefault="004F64EF" w:rsidP="00FD6B66">
            <w:pPr>
              <w:jc w:val="right"/>
              <w:rPr>
                <w:rFonts w:cs="Calibri"/>
                <w:color w:val="000000"/>
                <w:sz w:val="14"/>
                <w:szCs w:val="14"/>
              </w:rPr>
            </w:pPr>
            <w:r w:rsidRPr="003003C0">
              <w:rPr>
                <w:rFonts w:cs="Calibri"/>
                <w:color w:val="000000"/>
                <w:sz w:val="14"/>
                <w:szCs w:val="14"/>
              </w:rPr>
              <w:t>1</w:t>
            </w:r>
            <w:r>
              <w:rPr>
                <w:rFonts w:cs="Calibri"/>
                <w:color w:val="000000"/>
                <w:sz w:val="14"/>
                <w:szCs w:val="14"/>
              </w:rPr>
              <w:t>.</w:t>
            </w:r>
            <w:r w:rsidRPr="003003C0">
              <w:rPr>
                <w:rFonts w:cs="Calibri"/>
                <w:color w:val="000000"/>
                <w:sz w:val="14"/>
                <w:szCs w:val="14"/>
              </w:rPr>
              <w:t>4</w:t>
            </w:r>
          </w:p>
        </w:tc>
        <w:tc>
          <w:tcPr>
            <w:tcW w:w="722" w:type="dxa"/>
            <w:noWrap/>
            <w:vAlign w:val="center"/>
            <w:hideMark/>
          </w:tcPr>
          <w:p w14:paraId="38CE648E" w14:textId="77777777" w:rsidR="004F64EF" w:rsidRPr="003003C0" w:rsidRDefault="004F64EF" w:rsidP="00FD6B66">
            <w:pPr>
              <w:jc w:val="right"/>
              <w:rPr>
                <w:rFonts w:cs="Calibri"/>
                <w:color w:val="000000"/>
                <w:sz w:val="14"/>
                <w:szCs w:val="14"/>
              </w:rPr>
            </w:pPr>
            <w:r w:rsidRPr="003003C0">
              <w:rPr>
                <w:rFonts w:cs="Calibri"/>
                <w:color w:val="000000"/>
                <w:sz w:val="14"/>
                <w:szCs w:val="14"/>
              </w:rPr>
              <w:t>1</w:t>
            </w:r>
            <w:r>
              <w:rPr>
                <w:rFonts w:cs="Calibri"/>
                <w:color w:val="000000"/>
                <w:sz w:val="14"/>
                <w:szCs w:val="14"/>
              </w:rPr>
              <w:t>.</w:t>
            </w:r>
            <w:r w:rsidRPr="003003C0">
              <w:rPr>
                <w:rFonts w:cs="Calibri"/>
                <w:color w:val="000000"/>
                <w:sz w:val="14"/>
                <w:szCs w:val="14"/>
              </w:rPr>
              <w:t>4</w:t>
            </w:r>
          </w:p>
        </w:tc>
        <w:tc>
          <w:tcPr>
            <w:tcW w:w="721" w:type="dxa"/>
            <w:noWrap/>
            <w:vAlign w:val="center"/>
            <w:hideMark/>
          </w:tcPr>
          <w:p w14:paraId="60F47C18" w14:textId="77777777" w:rsidR="004F64EF" w:rsidRPr="003003C0" w:rsidRDefault="004F64EF" w:rsidP="00FD6B66">
            <w:pPr>
              <w:jc w:val="right"/>
              <w:rPr>
                <w:rFonts w:cs="Calibri"/>
                <w:color w:val="000000"/>
                <w:sz w:val="14"/>
                <w:szCs w:val="14"/>
              </w:rPr>
            </w:pPr>
            <w:r w:rsidRPr="003003C0">
              <w:rPr>
                <w:rFonts w:cs="Calibri"/>
                <w:color w:val="000000"/>
                <w:sz w:val="14"/>
                <w:szCs w:val="14"/>
              </w:rPr>
              <w:t>1</w:t>
            </w:r>
            <w:r>
              <w:rPr>
                <w:rFonts w:cs="Calibri"/>
                <w:color w:val="000000"/>
                <w:sz w:val="14"/>
                <w:szCs w:val="14"/>
              </w:rPr>
              <w:t>.</w:t>
            </w:r>
            <w:r w:rsidRPr="003003C0">
              <w:rPr>
                <w:rFonts w:cs="Calibri"/>
                <w:color w:val="000000"/>
                <w:sz w:val="14"/>
                <w:szCs w:val="14"/>
              </w:rPr>
              <w:t>2</w:t>
            </w:r>
          </w:p>
        </w:tc>
        <w:tc>
          <w:tcPr>
            <w:tcW w:w="722" w:type="dxa"/>
            <w:noWrap/>
            <w:vAlign w:val="center"/>
            <w:hideMark/>
          </w:tcPr>
          <w:p w14:paraId="1E49883A" w14:textId="77777777" w:rsidR="004F64EF" w:rsidRPr="003003C0" w:rsidRDefault="004F64EF" w:rsidP="00FD6B66">
            <w:pPr>
              <w:jc w:val="right"/>
              <w:rPr>
                <w:rFonts w:cs="Calibri"/>
                <w:color w:val="000000"/>
                <w:sz w:val="14"/>
                <w:szCs w:val="14"/>
              </w:rPr>
            </w:pPr>
            <w:r w:rsidRPr="003003C0">
              <w:rPr>
                <w:rFonts w:cs="Calibri"/>
                <w:color w:val="000000"/>
                <w:sz w:val="14"/>
                <w:szCs w:val="14"/>
              </w:rPr>
              <w:t>1</w:t>
            </w:r>
            <w:r>
              <w:rPr>
                <w:rFonts w:cs="Calibri"/>
                <w:color w:val="000000"/>
                <w:sz w:val="14"/>
                <w:szCs w:val="14"/>
              </w:rPr>
              <w:t>.</w:t>
            </w:r>
            <w:r w:rsidRPr="003003C0">
              <w:rPr>
                <w:rFonts w:cs="Calibri"/>
                <w:color w:val="000000"/>
                <w:sz w:val="14"/>
                <w:szCs w:val="14"/>
              </w:rPr>
              <w:t>4</w:t>
            </w:r>
          </w:p>
        </w:tc>
        <w:tc>
          <w:tcPr>
            <w:tcW w:w="722" w:type="dxa"/>
            <w:noWrap/>
            <w:vAlign w:val="center"/>
            <w:hideMark/>
          </w:tcPr>
          <w:p w14:paraId="05FBD4F1" w14:textId="77777777" w:rsidR="004F64EF" w:rsidRPr="003003C0" w:rsidRDefault="004F64EF" w:rsidP="00FD6B66">
            <w:pPr>
              <w:jc w:val="right"/>
              <w:rPr>
                <w:rFonts w:cs="Calibri"/>
                <w:color w:val="000000"/>
                <w:sz w:val="14"/>
                <w:szCs w:val="14"/>
              </w:rPr>
            </w:pPr>
            <w:r w:rsidRPr="003003C0">
              <w:rPr>
                <w:rFonts w:cs="Calibri"/>
                <w:color w:val="000000"/>
                <w:sz w:val="14"/>
                <w:szCs w:val="14"/>
              </w:rPr>
              <w:t>1</w:t>
            </w:r>
            <w:r>
              <w:rPr>
                <w:rFonts w:cs="Calibri"/>
                <w:color w:val="000000"/>
                <w:sz w:val="14"/>
                <w:szCs w:val="14"/>
              </w:rPr>
              <w:t>.</w:t>
            </w:r>
            <w:r w:rsidRPr="003003C0">
              <w:rPr>
                <w:rFonts w:cs="Calibri"/>
                <w:color w:val="000000"/>
                <w:sz w:val="14"/>
                <w:szCs w:val="14"/>
              </w:rPr>
              <w:t>4</w:t>
            </w:r>
          </w:p>
        </w:tc>
        <w:tc>
          <w:tcPr>
            <w:tcW w:w="722" w:type="dxa"/>
            <w:noWrap/>
            <w:vAlign w:val="center"/>
            <w:hideMark/>
          </w:tcPr>
          <w:p w14:paraId="2924DA0C" w14:textId="77777777" w:rsidR="004F64EF" w:rsidRPr="003003C0" w:rsidRDefault="004F64EF" w:rsidP="00FD6B66">
            <w:pPr>
              <w:jc w:val="right"/>
              <w:rPr>
                <w:rFonts w:cs="Calibri"/>
                <w:color w:val="000000"/>
                <w:sz w:val="14"/>
                <w:szCs w:val="14"/>
              </w:rPr>
            </w:pPr>
            <w:r w:rsidRPr="003003C0">
              <w:rPr>
                <w:rFonts w:cs="Calibri"/>
                <w:color w:val="000000"/>
                <w:sz w:val="14"/>
                <w:szCs w:val="14"/>
              </w:rPr>
              <w:t>1</w:t>
            </w:r>
            <w:r>
              <w:rPr>
                <w:rFonts w:cs="Calibri"/>
                <w:color w:val="000000"/>
                <w:sz w:val="14"/>
                <w:szCs w:val="14"/>
              </w:rPr>
              <w:t>.</w:t>
            </w:r>
            <w:r w:rsidRPr="003003C0">
              <w:rPr>
                <w:rFonts w:cs="Calibri"/>
                <w:color w:val="000000"/>
                <w:sz w:val="14"/>
                <w:szCs w:val="14"/>
              </w:rPr>
              <w:t>1</w:t>
            </w:r>
          </w:p>
        </w:tc>
      </w:tr>
      <w:tr w:rsidR="004F64EF" w:rsidRPr="003003C0" w14:paraId="728C9B1E" w14:textId="77777777" w:rsidTr="00FD6B66">
        <w:trPr>
          <w:cnfStyle w:val="000000010000" w:firstRow="0" w:lastRow="0" w:firstColumn="0" w:lastColumn="0" w:oddVBand="0" w:evenVBand="0" w:oddHBand="0" w:evenHBand="1" w:firstRowFirstColumn="0" w:firstRowLastColumn="0" w:lastRowFirstColumn="0" w:lastRowLastColumn="0"/>
          <w:trHeight w:val="20"/>
        </w:trPr>
        <w:tc>
          <w:tcPr>
            <w:tcW w:w="3964" w:type="dxa"/>
            <w:noWrap/>
            <w:vAlign w:val="center"/>
            <w:hideMark/>
          </w:tcPr>
          <w:p w14:paraId="44ACB10B" w14:textId="77777777" w:rsidR="004F64EF" w:rsidRPr="003003C0" w:rsidRDefault="004F64EF" w:rsidP="00FD6B66">
            <w:pPr>
              <w:tabs>
                <w:tab w:val="left" w:pos="227"/>
              </w:tabs>
              <w:jc w:val="left"/>
              <w:rPr>
                <w:rFonts w:cs="Calibri"/>
                <w:color w:val="000000"/>
                <w:sz w:val="14"/>
                <w:szCs w:val="14"/>
              </w:rPr>
            </w:pPr>
            <w:r w:rsidRPr="003003C0">
              <w:rPr>
                <w:rFonts w:cs="Calibri"/>
                <w:color w:val="000000"/>
                <w:sz w:val="14"/>
                <w:szCs w:val="14"/>
              </w:rPr>
              <w:tab/>
              <w:t xml:space="preserve">38. </w:t>
            </w:r>
            <w:r w:rsidRPr="003B416B">
              <w:rPr>
                <w:rFonts w:cs="Calibri"/>
                <w:color w:val="000000"/>
                <w:sz w:val="14"/>
                <w:szCs w:val="14"/>
              </w:rPr>
              <w:t>Miscellaneous chemical products</w:t>
            </w:r>
          </w:p>
        </w:tc>
        <w:tc>
          <w:tcPr>
            <w:tcW w:w="721" w:type="dxa"/>
            <w:noWrap/>
            <w:vAlign w:val="center"/>
            <w:hideMark/>
          </w:tcPr>
          <w:p w14:paraId="3010DA53" w14:textId="77777777" w:rsidR="004F64EF" w:rsidRPr="003003C0" w:rsidRDefault="004F64EF" w:rsidP="00FD6B66">
            <w:pPr>
              <w:jc w:val="right"/>
              <w:rPr>
                <w:rFonts w:cs="Calibri"/>
                <w:color w:val="000000"/>
                <w:sz w:val="14"/>
                <w:szCs w:val="14"/>
              </w:rPr>
            </w:pPr>
            <w:r w:rsidRPr="003003C0">
              <w:rPr>
                <w:rFonts w:cs="Calibri"/>
                <w:color w:val="000000"/>
                <w:sz w:val="14"/>
                <w:szCs w:val="14"/>
              </w:rPr>
              <w:t>1</w:t>
            </w:r>
            <w:r>
              <w:rPr>
                <w:rFonts w:cs="Calibri"/>
                <w:color w:val="000000"/>
                <w:sz w:val="14"/>
                <w:szCs w:val="14"/>
              </w:rPr>
              <w:t>.</w:t>
            </w:r>
            <w:r w:rsidRPr="003003C0">
              <w:rPr>
                <w:rFonts w:cs="Calibri"/>
                <w:color w:val="000000"/>
                <w:sz w:val="14"/>
                <w:szCs w:val="14"/>
              </w:rPr>
              <w:t>0</w:t>
            </w:r>
          </w:p>
        </w:tc>
        <w:tc>
          <w:tcPr>
            <w:tcW w:w="722" w:type="dxa"/>
            <w:noWrap/>
            <w:vAlign w:val="center"/>
            <w:hideMark/>
          </w:tcPr>
          <w:p w14:paraId="11946823" w14:textId="77777777" w:rsidR="004F64EF" w:rsidRPr="003003C0" w:rsidRDefault="004F64EF" w:rsidP="00FD6B66">
            <w:pPr>
              <w:jc w:val="right"/>
              <w:rPr>
                <w:rFonts w:cs="Calibri"/>
                <w:color w:val="000000"/>
                <w:sz w:val="14"/>
                <w:szCs w:val="14"/>
              </w:rPr>
            </w:pPr>
            <w:r w:rsidRPr="003003C0">
              <w:rPr>
                <w:rFonts w:cs="Calibri"/>
                <w:color w:val="000000"/>
                <w:sz w:val="14"/>
                <w:szCs w:val="14"/>
              </w:rPr>
              <w:t>1</w:t>
            </w:r>
            <w:r>
              <w:rPr>
                <w:rFonts w:cs="Calibri"/>
                <w:color w:val="000000"/>
                <w:sz w:val="14"/>
                <w:szCs w:val="14"/>
              </w:rPr>
              <w:t>.</w:t>
            </w:r>
            <w:r w:rsidRPr="003003C0">
              <w:rPr>
                <w:rFonts w:cs="Calibri"/>
                <w:color w:val="000000"/>
                <w:sz w:val="14"/>
                <w:szCs w:val="14"/>
              </w:rPr>
              <w:t>0</w:t>
            </w:r>
          </w:p>
        </w:tc>
        <w:tc>
          <w:tcPr>
            <w:tcW w:w="722" w:type="dxa"/>
            <w:noWrap/>
            <w:vAlign w:val="center"/>
            <w:hideMark/>
          </w:tcPr>
          <w:p w14:paraId="056BD338" w14:textId="77777777" w:rsidR="004F64EF" w:rsidRPr="003003C0" w:rsidRDefault="004F64EF" w:rsidP="00FD6B66">
            <w:pPr>
              <w:jc w:val="right"/>
              <w:rPr>
                <w:rFonts w:cs="Calibri"/>
                <w:color w:val="000000"/>
                <w:sz w:val="14"/>
                <w:szCs w:val="14"/>
              </w:rPr>
            </w:pPr>
            <w:r w:rsidRPr="003003C0">
              <w:rPr>
                <w:rFonts w:cs="Calibri"/>
                <w:color w:val="000000"/>
                <w:sz w:val="14"/>
                <w:szCs w:val="14"/>
              </w:rPr>
              <w:t>1</w:t>
            </w:r>
            <w:r>
              <w:rPr>
                <w:rFonts w:cs="Calibri"/>
                <w:color w:val="000000"/>
                <w:sz w:val="14"/>
                <w:szCs w:val="14"/>
              </w:rPr>
              <w:t>.</w:t>
            </w:r>
            <w:r w:rsidRPr="003003C0">
              <w:rPr>
                <w:rFonts w:cs="Calibri"/>
                <w:color w:val="000000"/>
                <w:sz w:val="14"/>
                <w:szCs w:val="14"/>
              </w:rPr>
              <w:t>0</w:t>
            </w:r>
          </w:p>
        </w:tc>
        <w:tc>
          <w:tcPr>
            <w:tcW w:w="721" w:type="dxa"/>
            <w:noWrap/>
            <w:vAlign w:val="center"/>
            <w:hideMark/>
          </w:tcPr>
          <w:p w14:paraId="1492D048" w14:textId="77777777" w:rsidR="004F64EF" w:rsidRPr="003003C0" w:rsidRDefault="004F64EF" w:rsidP="00FD6B66">
            <w:pPr>
              <w:jc w:val="right"/>
              <w:rPr>
                <w:rFonts w:cs="Calibri"/>
                <w:color w:val="000000"/>
                <w:sz w:val="14"/>
                <w:szCs w:val="14"/>
              </w:rPr>
            </w:pPr>
            <w:r w:rsidRPr="003003C0">
              <w:rPr>
                <w:rFonts w:cs="Calibri"/>
                <w:color w:val="000000"/>
                <w:sz w:val="14"/>
                <w:szCs w:val="14"/>
              </w:rPr>
              <w:t>1</w:t>
            </w:r>
            <w:r>
              <w:rPr>
                <w:rFonts w:cs="Calibri"/>
                <w:color w:val="000000"/>
                <w:sz w:val="14"/>
                <w:szCs w:val="14"/>
              </w:rPr>
              <w:t>.</w:t>
            </w:r>
            <w:r w:rsidRPr="003003C0">
              <w:rPr>
                <w:rFonts w:cs="Calibri"/>
                <w:color w:val="000000"/>
                <w:sz w:val="14"/>
                <w:szCs w:val="14"/>
              </w:rPr>
              <w:t>0</w:t>
            </w:r>
          </w:p>
        </w:tc>
        <w:tc>
          <w:tcPr>
            <w:tcW w:w="722" w:type="dxa"/>
            <w:noWrap/>
            <w:vAlign w:val="center"/>
            <w:hideMark/>
          </w:tcPr>
          <w:p w14:paraId="5F4D11D4" w14:textId="77777777" w:rsidR="004F64EF" w:rsidRPr="003003C0" w:rsidRDefault="004F64EF" w:rsidP="00FD6B66">
            <w:pPr>
              <w:jc w:val="right"/>
              <w:rPr>
                <w:rFonts w:cs="Calibri"/>
                <w:color w:val="000000"/>
                <w:sz w:val="14"/>
                <w:szCs w:val="14"/>
              </w:rPr>
            </w:pPr>
            <w:r w:rsidRPr="003003C0">
              <w:rPr>
                <w:rFonts w:cs="Calibri"/>
                <w:color w:val="000000"/>
                <w:sz w:val="14"/>
                <w:szCs w:val="14"/>
              </w:rPr>
              <w:t>1</w:t>
            </w:r>
            <w:r>
              <w:rPr>
                <w:rFonts w:cs="Calibri"/>
                <w:color w:val="000000"/>
                <w:sz w:val="14"/>
                <w:szCs w:val="14"/>
              </w:rPr>
              <w:t>.</w:t>
            </w:r>
            <w:r w:rsidRPr="003003C0">
              <w:rPr>
                <w:rFonts w:cs="Calibri"/>
                <w:color w:val="000000"/>
                <w:sz w:val="14"/>
                <w:szCs w:val="14"/>
              </w:rPr>
              <w:t>0</w:t>
            </w:r>
          </w:p>
        </w:tc>
        <w:tc>
          <w:tcPr>
            <w:tcW w:w="722" w:type="dxa"/>
            <w:noWrap/>
            <w:vAlign w:val="center"/>
            <w:hideMark/>
          </w:tcPr>
          <w:p w14:paraId="2AB1CA48" w14:textId="77777777" w:rsidR="004F64EF" w:rsidRPr="003003C0" w:rsidRDefault="004F64EF" w:rsidP="00FD6B66">
            <w:pPr>
              <w:jc w:val="right"/>
              <w:rPr>
                <w:rFonts w:cs="Calibri"/>
                <w:color w:val="000000"/>
                <w:sz w:val="14"/>
                <w:szCs w:val="14"/>
              </w:rPr>
            </w:pPr>
            <w:r w:rsidRPr="003003C0">
              <w:rPr>
                <w:rFonts w:cs="Calibri"/>
                <w:color w:val="000000"/>
                <w:sz w:val="14"/>
                <w:szCs w:val="14"/>
              </w:rPr>
              <w:t>1</w:t>
            </w:r>
            <w:r>
              <w:rPr>
                <w:rFonts w:cs="Calibri"/>
                <w:color w:val="000000"/>
                <w:sz w:val="14"/>
                <w:szCs w:val="14"/>
              </w:rPr>
              <w:t>.</w:t>
            </w:r>
            <w:r w:rsidRPr="003003C0">
              <w:rPr>
                <w:rFonts w:cs="Calibri"/>
                <w:color w:val="000000"/>
                <w:sz w:val="14"/>
                <w:szCs w:val="14"/>
              </w:rPr>
              <w:t>4</w:t>
            </w:r>
          </w:p>
        </w:tc>
        <w:tc>
          <w:tcPr>
            <w:tcW w:w="722" w:type="dxa"/>
            <w:noWrap/>
            <w:vAlign w:val="center"/>
            <w:hideMark/>
          </w:tcPr>
          <w:p w14:paraId="01AA04F3" w14:textId="77777777" w:rsidR="004F64EF" w:rsidRPr="003003C0" w:rsidRDefault="004F64EF" w:rsidP="00FD6B66">
            <w:pPr>
              <w:jc w:val="right"/>
              <w:rPr>
                <w:rFonts w:cs="Calibri"/>
                <w:color w:val="000000"/>
                <w:sz w:val="14"/>
                <w:szCs w:val="14"/>
              </w:rPr>
            </w:pPr>
            <w:r w:rsidRPr="003003C0">
              <w:rPr>
                <w:rFonts w:cs="Calibri"/>
                <w:color w:val="000000"/>
                <w:sz w:val="14"/>
                <w:szCs w:val="14"/>
              </w:rPr>
              <w:t>1</w:t>
            </w:r>
            <w:r>
              <w:rPr>
                <w:rFonts w:cs="Calibri"/>
                <w:color w:val="000000"/>
                <w:sz w:val="14"/>
                <w:szCs w:val="14"/>
              </w:rPr>
              <w:t>.</w:t>
            </w:r>
            <w:r w:rsidRPr="003003C0">
              <w:rPr>
                <w:rFonts w:cs="Calibri"/>
                <w:color w:val="000000"/>
                <w:sz w:val="14"/>
                <w:szCs w:val="14"/>
              </w:rPr>
              <w:t>0</w:t>
            </w:r>
          </w:p>
        </w:tc>
      </w:tr>
      <w:tr w:rsidR="004F64EF" w:rsidRPr="003003C0" w14:paraId="1527A26D" w14:textId="77777777" w:rsidTr="00FD6B66">
        <w:trPr>
          <w:trHeight w:val="20"/>
        </w:trPr>
        <w:tc>
          <w:tcPr>
            <w:tcW w:w="3964" w:type="dxa"/>
            <w:noWrap/>
            <w:vAlign w:val="center"/>
            <w:hideMark/>
          </w:tcPr>
          <w:p w14:paraId="1727BAA0" w14:textId="77777777" w:rsidR="004F64EF" w:rsidRPr="003003C0" w:rsidRDefault="004F64EF" w:rsidP="00FD6B66">
            <w:pPr>
              <w:tabs>
                <w:tab w:val="left" w:pos="227"/>
              </w:tabs>
              <w:jc w:val="left"/>
              <w:rPr>
                <w:rFonts w:cs="Calibri"/>
                <w:color w:val="000000"/>
                <w:sz w:val="14"/>
                <w:szCs w:val="14"/>
              </w:rPr>
            </w:pPr>
            <w:r w:rsidRPr="003003C0">
              <w:rPr>
                <w:rFonts w:cs="Calibri"/>
                <w:color w:val="000000"/>
                <w:sz w:val="14"/>
                <w:szCs w:val="14"/>
              </w:rPr>
              <w:tab/>
              <w:t xml:space="preserve">29. </w:t>
            </w:r>
            <w:r w:rsidRPr="003B416B">
              <w:rPr>
                <w:rFonts w:cs="Calibri"/>
                <w:color w:val="000000"/>
                <w:sz w:val="14"/>
                <w:szCs w:val="14"/>
              </w:rPr>
              <w:t>Organic chemicals</w:t>
            </w:r>
          </w:p>
        </w:tc>
        <w:tc>
          <w:tcPr>
            <w:tcW w:w="721" w:type="dxa"/>
            <w:noWrap/>
            <w:vAlign w:val="center"/>
            <w:hideMark/>
          </w:tcPr>
          <w:p w14:paraId="6A2F3A5A" w14:textId="77777777" w:rsidR="004F64EF" w:rsidRPr="003003C0" w:rsidRDefault="004F64EF" w:rsidP="00FD6B66">
            <w:pPr>
              <w:jc w:val="right"/>
              <w:rPr>
                <w:rFonts w:cs="Calibri"/>
                <w:color w:val="000000"/>
                <w:sz w:val="14"/>
                <w:szCs w:val="14"/>
              </w:rPr>
            </w:pPr>
            <w:r w:rsidRPr="003003C0">
              <w:rPr>
                <w:rFonts w:cs="Calibri"/>
                <w:color w:val="000000"/>
                <w:sz w:val="14"/>
                <w:szCs w:val="14"/>
              </w:rPr>
              <w:t>0</w:t>
            </w:r>
            <w:r>
              <w:rPr>
                <w:rFonts w:cs="Calibri"/>
                <w:color w:val="000000"/>
                <w:sz w:val="14"/>
                <w:szCs w:val="14"/>
              </w:rPr>
              <w:t>.</w:t>
            </w:r>
            <w:r w:rsidRPr="003003C0">
              <w:rPr>
                <w:rFonts w:cs="Calibri"/>
                <w:color w:val="000000"/>
                <w:sz w:val="14"/>
                <w:szCs w:val="14"/>
              </w:rPr>
              <w:t>9</w:t>
            </w:r>
          </w:p>
        </w:tc>
        <w:tc>
          <w:tcPr>
            <w:tcW w:w="722" w:type="dxa"/>
            <w:noWrap/>
            <w:vAlign w:val="center"/>
            <w:hideMark/>
          </w:tcPr>
          <w:p w14:paraId="30DE91AC" w14:textId="77777777" w:rsidR="004F64EF" w:rsidRPr="003003C0" w:rsidRDefault="004F64EF" w:rsidP="00FD6B66">
            <w:pPr>
              <w:jc w:val="right"/>
              <w:rPr>
                <w:rFonts w:cs="Calibri"/>
                <w:color w:val="000000"/>
                <w:sz w:val="14"/>
                <w:szCs w:val="14"/>
              </w:rPr>
            </w:pPr>
            <w:r w:rsidRPr="003003C0">
              <w:rPr>
                <w:rFonts w:cs="Calibri"/>
                <w:color w:val="000000"/>
                <w:sz w:val="14"/>
                <w:szCs w:val="14"/>
              </w:rPr>
              <w:t>0</w:t>
            </w:r>
            <w:r>
              <w:rPr>
                <w:rFonts w:cs="Calibri"/>
                <w:color w:val="000000"/>
                <w:sz w:val="14"/>
                <w:szCs w:val="14"/>
              </w:rPr>
              <w:t>.</w:t>
            </w:r>
            <w:r w:rsidRPr="003003C0">
              <w:rPr>
                <w:rFonts w:cs="Calibri"/>
                <w:color w:val="000000"/>
                <w:sz w:val="14"/>
                <w:szCs w:val="14"/>
              </w:rPr>
              <w:t>8</w:t>
            </w:r>
          </w:p>
        </w:tc>
        <w:tc>
          <w:tcPr>
            <w:tcW w:w="722" w:type="dxa"/>
            <w:noWrap/>
            <w:vAlign w:val="center"/>
            <w:hideMark/>
          </w:tcPr>
          <w:p w14:paraId="65873A71" w14:textId="77777777" w:rsidR="004F64EF" w:rsidRPr="003003C0" w:rsidRDefault="004F64EF" w:rsidP="00FD6B66">
            <w:pPr>
              <w:jc w:val="right"/>
              <w:rPr>
                <w:rFonts w:cs="Calibri"/>
                <w:color w:val="000000"/>
                <w:sz w:val="14"/>
                <w:szCs w:val="14"/>
              </w:rPr>
            </w:pPr>
            <w:r w:rsidRPr="003003C0">
              <w:rPr>
                <w:rFonts w:cs="Calibri"/>
                <w:color w:val="000000"/>
                <w:sz w:val="14"/>
                <w:szCs w:val="14"/>
              </w:rPr>
              <w:t>0</w:t>
            </w:r>
            <w:r>
              <w:rPr>
                <w:rFonts w:cs="Calibri"/>
                <w:color w:val="000000"/>
                <w:sz w:val="14"/>
                <w:szCs w:val="14"/>
              </w:rPr>
              <w:t>.</w:t>
            </w:r>
            <w:r w:rsidRPr="003003C0">
              <w:rPr>
                <w:rFonts w:cs="Calibri"/>
                <w:color w:val="000000"/>
                <w:sz w:val="14"/>
                <w:szCs w:val="14"/>
              </w:rPr>
              <w:t>8</w:t>
            </w:r>
          </w:p>
        </w:tc>
        <w:tc>
          <w:tcPr>
            <w:tcW w:w="721" w:type="dxa"/>
            <w:noWrap/>
            <w:vAlign w:val="center"/>
            <w:hideMark/>
          </w:tcPr>
          <w:p w14:paraId="0FD9DB6B" w14:textId="77777777" w:rsidR="004F64EF" w:rsidRPr="003003C0" w:rsidRDefault="004F64EF" w:rsidP="00FD6B66">
            <w:pPr>
              <w:jc w:val="right"/>
              <w:rPr>
                <w:rFonts w:cs="Calibri"/>
                <w:color w:val="000000"/>
                <w:sz w:val="14"/>
                <w:szCs w:val="14"/>
              </w:rPr>
            </w:pPr>
            <w:r w:rsidRPr="003003C0">
              <w:rPr>
                <w:rFonts w:cs="Calibri"/>
                <w:color w:val="000000"/>
                <w:sz w:val="14"/>
                <w:szCs w:val="14"/>
              </w:rPr>
              <w:t>0</w:t>
            </w:r>
            <w:r>
              <w:rPr>
                <w:rFonts w:cs="Calibri"/>
                <w:color w:val="000000"/>
                <w:sz w:val="14"/>
                <w:szCs w:val="14"/>
              </w:rPr>
              <w:t>.</w:t>
            </w:r>
            <w:r w:rsidRPr="003003C0">
              <w:rPr>
                <w:rFonts w:cs="Calibri"/>
                <w:color w:val="000000"/>
                <w:sz w:val="14"/>
                <w:szCs w:val="14"/>
              </w:rPr>
              <w:t>8</w:t>
            </w:r>
          </w:p>
        </w:tc>
        <w:tc>
          <w:tcPr>
            <w:tcW w:w="722" w:type="dxa"/>
            <w:noWrap/>
            <w:vAlign w:val="center"/>
            <w:hideMark/>
          </w:tcPr>
          <w:p w14:paraId="33C34D99" w14:textId="77777777" w:rsidR="004F64EF" w:rsidRPr="003003C0" w:rsidRDefault="004F64EF" w:rsidP="00FD6B66">
            <w:pPr>
              <w:jc w:val="right"/>
              <w:rPr>
                <w:rFonts w:cs="Calibri"/>
                <w:color w:val="000000"/>
                <w:sz w:val="14"/>
                <w:szCs w:val="14"/>
              </w:rPr>
            </w:pPr>
            <w:r w:rsidRPr="003003C0">
              <w:rPr>
                <w:rFonts w:cs="Calibri"/>
                <w:color w:val="000000"/>
                <w:sz w:val="14"/>
                <w:szCs w:val="14"/>
              </w:rPr>
              <w:t>0</w:t>
            </w:r>
            <w:r>
              <w:rPr>
                <w:rFonts w:cs="Calibri"/>
                <w:color w:val="000000"/>
                <w:sz w:val="14"/>
                <w:szCs w:val="14"/>
              </w:rPr>
              <w:t>.</w:t>
            </w:r>
            <w:r w:rsidRPr="003003C0">
              <w:rPr>
                <w:rFonts w:cs="Calibri"/>
                <w:color w:val="000000"/>
                <w:sz w:val="14"/>
                <w:szCs w:val="14"/>
              </w:rPr>
              <w:t>7</w:t>
            </w:r>
          </w:p>
        </w:tc>
        <w:tc>
          <w:tcPr>
            <w:tcW w:w="722" w:type="dxa"/>
            <w:noWrap/>
            <w:vAlign w:val="center"/>
            <w:hideMark/>
          </w:tcPr>
          <w:p w14:paraId="6684A31F" w14:textId="77777777" w:rsidR="004F64EF" w:rsidRPr="003003C0" w:rsidRDefault="004F64EF" w:rsidP="00FD6B66">
            <w:pPr>
              <w:jc w:val="right"/>
              <w:rPr>
                <w:rFonts w:cs="Calibri"/>
                <w:color w:val="000000"/>
                <w:sz w:val="14"/>
                <w:szCs w:val="14"/>
              </w:rPr>
            </w:pPr>
            <w:r w:rsidRPr="003003C0">
              <w:rPr>
                <w:rFonts w:cs="Calibri"/>
                <w:color w:val="000000"/>
                <w:sz w:val="14"/>
                <w:szCs w:val="14"/>
              </w:rPr>
              <w:t>0</w:t>
            </w:r>
            <w:r>
              <w:rPr>
                <w:rFonts w:cs="Calibri"/>
                <w:color w:val="000000"/>
                <w:sz w:val="14"/>
                <w:szCs w:val="14"/>
              </w:rPr>
              <w:t>.</w:t>
            </w:r>
            <w:r w:rsidRPr="003003C0">
              <w:rPr>
                <w:rFonts w:cs="Calibri"/>
                <w:color w:val="000000"/>
                <w:sz w:val="14"/>
                <w:szCs w:val="14"/>
              </w:rPr>
              <w:t>9</w:t>
            </w:r>
          </w:p>
        </w:tc>
        <w:tc>
          <w:tcPr>
            <w:tcW w:w="722" w:type="dxa"/>
            <w:noWrap/>
            <w:vAlign w:val="center"/>
            <w:hideMark/>
          </w:tcPr>
          <w:p w14:paraId="0972D37A" w14:textId="77777777" w:rsidR="004F64EF" w:rsidRPr="003003C0" w:rsidRDefault="004F64EF" w:rsidP="00FD6B66">
            <w:pPr>
              <w:jc w:val="right"/>
              <w:rPr>
                <w:rFonts w:cs="Calibri"/>
                <w:color w:val="000000"/>
                <w:sz w:val="14"/>
                <w:szCs w:val="14"/>
              </w:rPr>
            </w:pPr>
            <w:r w:rsidRPr="003003C0">
              <w:rPr>
                <w:rFonts w:cs="Calibri"/>
                <w:color w:val="000000"/>
                <w:sz w:val="14"/>
                <w:szCs w:val="14"/>
              </w:rPr>
              <w:t>0</w:t>
            </w:r>
            <w:r>
              <w:rPr>
                <w:rFonts w:cs="Calibri"/>
                <w:color w:val="000000"/>
                <w:sz w:val="14"/>
                <w:szCs w:val="14"/>
              </w:rPr>
              <w:t>.</w:t>
            </w:r>
            <w:r w:rsidRPr="003003C0">
              <w:rPr>
                <w:rFonts w:cs="Calibri"/>
                <w:color w:val="000000"/>
                <w:sz w:val="14"/>
                <w:szCs w:val="14"/>
              </w:rPr>
              <w:t>8</w:t>
            </w:r>
          </w:p>
        </w:tc>
      </w:tr>
      <w:tr w:rsidR="004F64EF" w:rsidRPr="003003C0" w14:paraId="240136E4" w14:textId="77777777" w:rsidTr="00FD6B66">
        <w:trPr>
          <w:cnfStyle w:val="000000010000" w:firstRow="0" w:lastRow="0" w:firstColumn="0" w:lastColumn="0" w:oddVBand="0" w:evenVBand="0" w:oddHBand="0" w:evenHBand="1" w:firstRowFirstColumn="0" w:firstRowLastColumn="0" w:lastRowFirstColumn="0" w:lastRowLastColumn="0"/>
          <w:trHeight w:val="20"/>
        </w:trPr>
        <w:tc>
          <w:tcPr>
            <w:tcW w:w="3964" w:type="dxa"/>
            <w:noWrap/>
            <w:vAlign w:val="center"/>
            <w:hideMark/>
          </w:tcPr>
          <w:p w14:paraId="2C8EDE6E" w14:textId="77777777" w:rsidR="004F64EF" w:rsidRPr="003003C0" w:rsidRDefault="004F64EF" w:rsidP="00FD6B66">
            <w:pPr>
              <w:tabs>
                <w:tab w:val="left" w:pos="227"/>
              </w:tabs>
              <w:jc w:val="left"/>
              <w:rPr>
                <w:rFonts w:cs="Calibri"/>
                <w:color w:val="000000"/>
                <w:sz w:val="14"/>
                <w:szCs w:val="14"/>
              </w:rPr>
            </w:pPr>
            <w:r w:rsidRPr="003003C0">
              <w:rPr>
                <w:rFonts w:cs="Calibri"/>
                <w:color w:val="000000"/>
                <w:sz w:val="14"/>
                <w:szCs w:val="14"/>
              </w:rPr>
              <w:tab/>
              <w:t xml:space="preserve">31. </w:t>
            </w:r>
            <w:r w:rsidRPr="003B416B">
              <w:rPr>
                <w:rFonts w:cs="Calibri"/>
                <w:color w:val="000000"/>
                <w:sz w:val="14"/>
                <w:szCs w:val="14"/>
              </w:rPr>
              <w:t>Fertilisers</w:t>
            </w:r>
          </w:p>
        </w:tc>
        <w:tc>
          <w:tcPr>
            <w:tcW w:w="721" w:type="dxa"/>
            <w:noWrap/>
            <w:vAlign w:val="center"/>
            <w:hideMark/>
          </w:tcPr>
          <w:p w14:paraId="7FF7E997" w14:textId="77777777" w:rsidR="004F64EF" w:rsidRPr="003003C0" w:rsidRDefault="004F64EF" w:rsidP="00FD6B66">
            <w:pPr>
              <w:jc w:val="right"/>
              <w:rPr>
                <w:rFonts w:cs="Calibri"/>
                <w:color w:val="000000"/>
                <w:sz w:val="14"/>
                <w:szCs w:val="14"/>
              </w:rPr>
            </w:pPr>
            <w:r w:rsidRPr="003003C0">
              <w:rPr>
                <w:rFonts w:cs="Calibri"/>
                <w:color w:val="000000"/>
                <w:sz w:val="14"/>
                <w:szCs w:val="14"/>
              </w:rPr>
              <w:t>0</w:t>
            </w:r>
            <w:r>
              <w:rPr>
                <w:rFonts w:cs="Calibri"/>
                <w:color w:val="000000"/>
                <w:sz w:val="14"/>
                <w:szCs w:val="14"/>
              </w:rPr>
              <w:t>.</w:t>
            </w:r>
            <w:r w:rsidRPr="003003C0">
              <w:rPr>
                <w:rFonts w:cs="Calibri"/>
                <w:color w:val="000000"/>
                <w:sz w:val="14"/>
                <w:szCs w:val="14"/>
              </w:rPr>
              <w:t>7</w:t>
            </w:r>
          </w:p>
        </w:tc>
        <w:tc>
          <w:tcPr>
            <w:tcW w:w="722" w:type="dxa"/>
            <w:noWrap/>
            <w:vAlign w:val="center"/>
            <w:hideMark/>
          </w:tcPr>
          <w:p w14:paraId="64C93892" w14:textId="77777777" w:rsidR="004F64EF" w:rsidRPr="003003C0" w:rsidRDefault="004F64EF" w:rsidP="00FD6B66">
            <w:pPr>
              <w:jc w:val="right"/>
              <w:rPr>
                <w:rFonts w:cs="Calibri"/>
                <w:color w:val="000000"/>
                <w:sz w:val="14"/>
                <w:szCs w:val="14"/>
              </w:rPr>
            </w:pPr>
            <w:r w:rsidRPr="003003C0">
              <w:rPr>
                <w:rFonts w:cs="Calibri"/>
                <w:color w:val="000000"/>
                <w:sz w:val="14"/>
                <w:szCs w:val="14"/>
              </w:rPr>
              <w:t>0</w:t>
            </w:r>
            <w:r>
              <w:rPr>
                <w:rFonts w:cs="Calibri"/>
                <w:color w:val="000000"/>
                <w:sz w:val="14"/>
                <w:szCs w:val="14"/>
              </w:rPr>
              <w:t>.</w:t>
            </w:r>
            <w:r w:rsidRPr="003003C0">
              <w:rPr>
                <w:rFonts w:cs="Calibri"/>
                <w:color w:val="000000"/>
                <w:sz w:val="14"/>
                <w:szCs w:val="14"/>
              </w:rPr>
              <w:t>6</w:t>
            </w:r>
          </w:p>
        </w:tc>
        <w:tc>
          <w:tcPr>
            <w:tcW w:w="722" w:type="dxa"/>
            <w:noWrap/>
            <w:vAlign w:val="center"/>
            <w:hideMark/>
          </w:tcPr>
          <w:p w14:paraId="168C167A" w14:textId="77777777" w:rsidR="004F64EF" w:rsidRPr="003003C0" w:rsidRDefault="004F64EF" w:rsidP="00FD6B66">
            <w:pPr>
              <w:jc w:val="right"/>
              <w:rPr>
                <w:rFonts w:cs="Calibri"/>
                <w:color w:val="000000"/>
                <w:sz w:val="14"/>
                <w:szCs w:val="14"/>
              </w:rPr>
            </w:pPr>
            <w:r w:rsidRPr="003003C0">
              <w:rPr>
                <w:rFonts w:cs="Calibri"/>
                <w:color w:val="000000"/>
                <w:sz w:val="14"/>
                <w:szCs w:val="14"/>
              </w:rPr>
              <w:t>0</w:t>
            </w:r>
            <w:r>
              <w:rPr>
                <w:rFonts w:cs="Calibri"/>
                <w:color w:val="000000"/>
                <w:sz w:val="14"/>
                <w:szCs w:val="14"/>
              </w:rPr>
              <w:t>.</w:t>
            </w:r>
            <w:r w:rsidRPr="003003C0">
              <w:rPr>
                <w:rFonts w:cs="Calibri"/>
                <w:color w:val="000000"/>
                <w:sz w:val="14"/>
                <w:szCs w:val="14"/>
              </w:rPr>
              <w:t>5</w:t>
            </w:r>
          </w:p>
        </w:tc>
        <w:tc>
          <w:tcPr>
            <w:tcW w:w="721" w:type="dxa"/>
            <w:noWrap/>
            <w:vAlign w:val="center"/>
            <w:hideMark/>
          </w:tcPr>
          <w:p w14:paraId="17470D35" w14:textId="77777777" w:rsidR="004F64EF" w:rsidRPr="003003C0" w:rsidRDefault="004F64EF" w:rsidP="00FD6B66">
            <w:pPr>
              <w:jc w:val="right"/>
              <w:rPr>
                <w:rFonts w:cs="Calibri"/>
                <w:color w:val="000000"/>
                <w:sz w:val="14"/>
                <w:szCs w:val="14"/>
              </w:rPr>
            </w:pPr>
            <w:r w:rsidRPr="003003C0">
              <w:rPr>
                <w:rFonts w:cs="Calibri"/>
                <w:color w:val="000000"/>
                <w:sz w:val="14"/>
                <w:szCs w:val="14"/>
              </w:rPr>
              <w:t>0</w:t>
            </w:r>
            <w:r>
              <w:rPr>
                <w:rFonts w:cs="Calibri"/>
                <w:color w:val="000000"/>
                <w:sz w:val="14"/>
                <w:szCs w:val="14"/>
              </w:rPr>
              <w:t>.</w:t>
            </w:r>
            <w:r w:rsidRPr="003003C0">
              <w:rPr>
                <w:rFonts w:cs="Calibri"/>
                <w:color w:val="000000"/>
                <w:sz w:val="14"/>
                <w:szCs w:val="14"/>
              </w:rPr>
              <w:t>6</w:t>
            </w:r>
          </w:p>
        </w:tc>
        <w:tc>
          <w:tcPr>
            <w:tcW w:w="722" w:type="dxa"/>
            <w:noWrap/>
            <w:vAlign w:val="center"/>
            <w:hideMark/>
          </w:tcPr>
          <w:p w14:paraId="1BD2574A" w14:textId="77777777" w:rsidR="004F64EF" w:rsidRPr="003003C0" w:rsidRDefault="004F64EF" w:rsidP="00FD6B66">
            <w:pPr>
              <w:jc w:val="right"/>
              <w:rPr>
                <w:rFonts w:cs="Calibri"/>
                <w:color w:val="000000"/>
                <w:sz w:val="14"/>
                <w:szCs w:val="14"/>
              </w:rPr>
            </w:pPr>
            <w:r w:rsidRPr="003003C0">
              <w:rPr>
                <w:rFonts w:cs="Calibri"/>
                <w:color w:val="000000"/>
                <w:sz w:val="14"/>
                <w:szCs w:val="14"/>
              </w:rPr>
              <w:t>0</w:t>
            </w:r>
            <w:r>
              <w:rPr>
                <w:rFonts w:cs="Calibri"/>
                <w:color w:val="000000"/>
                <w:sz w:val="14"/>
                <w:szCs w:val="14"/>
              </w:rPr>
              <w:t>.</w:t>
            </w:r>
            <w:r w:rsidRPr="003003C0">
              <w:rPr>
                <w:rFonts w:cs="Calibri"/>
                <w:color w:val="000000"/>
                <w:sz w:val="14"/>
                <w:szCs w:val="14"/>
              </w:rPr>
              <w:t>5</w:t>
            </w:r>
          </w:p>
        </w:tc>
        <w:tc>
          <w:tcPr>
            <w:tcW w:w="722" w:type="dxa"/>
            <w:noWrap/>
            <w:vAlign w:val="center"/>
            <w:hideMark/>
          </w:tcPr>
          <w:p w14:paraId="6F6B6BBA" w14:textId="77777777" w:rsidR="004F64EF" w:rsidRPr="003003C0" w:rsidRDefault="004F64EF" w:rsidP="00FD6B66">
            <w:pPr>
              <w:jc w:val="right"/>
              <w:rPr>
                <w:rFonts w:cs="Calibri"/>
                <w:color w:val="000000"/>
                <w:sz w:val="14"/>
                <w:szCs w:val="14"/>
              </w:rPr>
            </w:pPr>
            <w:r w:rsidRPr="003003C0">
              <w:rPr>
                <w:rFonts w:cs="Calibri"/>
                <w:color w:val="000000"/>
                <w:sz w:val="14"/>
                <w:szCs w:val="14"/>
              </w:rPr>
              <w:t>0</w:t>
            </w:r>
            <w:r>
              <w:rPr>
                <w:rFonts w:cs="Calibri"/>
                <w:color w:val="000000"/>
                <w:sz w:val="14"/>
                <w:szCs w:val="14"/>
              </w:rPr>
              <w:t>.</w:t>
            </w:r>
            <w:r w:rsidRPr="003003C0">
              <w:rPr>
                <w:rFonts w:cs="Calibri"/>
                <w:color w:val="000000"/>
                <w:sz w:val="14"/>
                <w:szCs w:val="14"/>
              </w:rPr>
              <w:t>6</w:t>
            </w:r>
          </w:p>
        </w:tc>
        <w:tc>
          <w:tcPr>
            <w:tcW w:w="722" w:type="dxa"/>
            <w:noWrap/>
            <w:vAlign w:val="center"/>
            <w:hideMark/>
          </w:tcPr>
          <w:p w14:paraId="0710A11B" w14:textId="77777777" w:rsidR="004F64EF" w:rsidRPr="003003C0" w:rsidRDefault="004F64EF" w:rsidP="00FD6B66">
            <w:pPr>
              <w:jc w:val="right"/>
              <w:rPr>
                <w:rFonts w:cs="Calibri"/>
                <w:color w:val="000000"/>
                <w:sz w:val="14"/>
                <w:szCs w:val="14"/>
              </w:rPr>
            </w:pPr>
            <w:r w:rsidRPr="003003C0">
              <w:rPr>
                <w:rFonts w:cs="Calibri"/>
                <w:color w:val="000000"/>
                <w:sz w:val="14"/>
                <w:szCs w:val="14"/>
              </w:rPr>
              <w:t>0</w:t>
            </w:r>
            <w:r>
              <w:rPr>
                <w:rFonts w:cs="Calibri"/>
                <w:color w:val="000000"/>
                <w:sz w:val="14"/>
                <w:szCs w:val="14"/>
              </w:rPr>
              <w:t>.</w:t>
            </w:r>
            <w:r w:rsidRPr="003003C0">
              <w:rPr>
                <w:rFonts w:cs="Calibri"/>
                <w:color w:val="000000"/>
                <w:sz w:val="14"/>
                <w:szCs w:val="14"/>
              </w:rPr>
              <w:t>7</w:t>
            </w:r>
          </w:p>
        </w:tc>
      </w:tr>
      <w:tr w:rsidR="004F64EF" w:rsidRPr="003003C0" w14:paraId="77959A16" w14:textId="77777777" w:rsidTr="00FD6B66">
        <w:trPr>
          <w:trHeight w:val="20"/>
        </w:trPr>
        <w:tc>
          <w:tcPr>
            <w:tcW w:w="3964" w:type="dxa"/>
            <w:noWrap/>
            <w:vAlign w:val="center"/>
            <w:hideMark/>
          </w:tcPr>
          <w:p w14:paraId="5DA39780" w14:textId="77777777" w:rsidR="004F64EF" w:rsidRPr="003003C0" w:rsidRDefault="004F64EF" w:rsidP="00B22563">
            <w:pPr>
              <w:tabs>
                <w:tab w:val="left" w:pos="227"/>
              </w:tabs>
              <w:ind w:left="227" w:hanging="227"/>
              <w:jc w:val="left"/>
              <w:rPr>
                <w:rFonts w:cs="Calibri"/>
                <w:color w:val="000000"/>
                <w:sz w:val="14"/>
                <w:szCs w:val="14"/>
              </w:rPr>
            </w:pPr>
            <w:r w:rsidRPr="003003C0">
              <w:rPr>
                <w:rFonts w:cs="Calibri"/>
                <w:color w:val="000000"/>
                <w:sz w:val="14"/>
                <w:szCs w:val="14"/>
              </w:rPr>
              <w:tab/>
              <w:t xml:space="preserve">32. </w:t>
            </w:r>
            <w:r w:rsidRPr="003B416B">
              <w:rPr>
                <w:rFonts w:cs="Calibri"/>
                <w:color w:val="000000"/>
                <w:sz w:val="14"/>
                <w:szCs w:val="14"/>
              </w:rPr>
              <w:t>Tanning or dyeing extracts; tannins and their derivatives; dyes, pigments and other colouring matter;</w:t>
            </w:r>
            <w:r>
              <w:rPr>
                <w:rFonts w:cs="Calibri"/>
                <w:color w:val="000000"/>
                <w:sz w:val="14"/>
                <w:szCs w:val="14"/>
              </w:rPr>
              <w:t xml:space="preserve"> </w:t>
            </w:r>
            <w:r w:rsidRPr="003B416B">
              <w:rPr>
                <w:rFonts w:cs="Calibri"/>
                <w:color w:val="000000"/>
                <w:sz w:val="14"/>
                <w:szCs w:val="14"/>
              </w:rPr>
              <w:t>paints and varnishes; putty and other mastics; inks</w:t>
            </w:r>
          </w:p>
        </w:tc>
        <w:tc>
          <w:tcPr>
            <w:tcW w:w="721" w:type="dxa"/>
            <w:noWrap/>
            <w:vAlign w:val="center"/>
            <w:hideMark/>
          </w:tcPr>
          <w:p w14:paraId="67F7FF0F" w14:textId="77777777" w:rsidR="004F64EF" w:rsidRPr="003003C0" w:rsidRDefault="004F64EF" w:rsidP="003B416B">
            <w:pPr>
              <w:jc w:val="center"/>
              <w:rPr>
                <w:rFonts w:cs="Calibri"/>
                <w:color w:val="000000"/>
                <w:sz w:val="14"/>
                <w:szCs w:val="14"/>
              </w:rPr>
            </w:pPr>
            <w:r w:rsidRPr="003003C0">
              <w:rPr>
                <w:rFonts w:cs="Calibri"/>
                <w:color w:val="000000"/>
                <w:sz w:val="14"/>
                <w:szCs w:val="14"/>
              </w:rPr>
              <w:t>0</w:t>
            </w:r>
            <w:r>
              <w:rPr>
                <w:rFonts w:cs="Calibri"/>
                <w:color w:val="000000"/>
                <w:sz w:val="14"/>
                <w:szCs w:val="14"/>
              </w:rPr>
              <w:t>.</w:t>
            </w:r>
            <w:r w:rsidRPr="003003C0">
              <w:rPr>
                <w:rFonts w:cs="Calibri"/>
                <w:color w:val="000000"/>
                <w:sz w:val="14"/>
                <w:szCs w:val="14"/>
              </w:rPr>
              <w:t>7</w:t>
            </w:r>
          </w:p>
        </w:tc>
        <w:tc>
          <w:tcPr>
            <w:tcW w:w="722" w:type="dxa"/>
            <w:noWrap/>
            <w:vAlign w:val="center"/>
            <w:hideMark/>
          </w:tcPr>
          <w:p w14:paraId="3000E26E" w14:textId="77777777" w:rsidR="004F64EF" w:rsidRPr="003003C0" w:rsidRDefault="004F64EF" w:rsidP="00FD6B66">
            <w:pPr>
              <w:jc w:val="right"/>
              <w:rPr>
                <w:rFonts w:cs="Calibri"/>
                <w:color w:val="000000"/>
                <w:sz w:val="14"/>
                <w:szCs w:val="14"/>
              </w:rPr>
            </w:pPr>
            <w:r w:rsidRPr="003003C0">
              <w:rPr>
                <w:rFonts w:cs="Calibri"/>
                <w:color w:val="000000"/>
                <w:sz w:val="14"/>
                <w:szCs w:val="14"/>
              </w:rPr>
              <w:t>0</w:t>
            </w:r>
            <w:r>
              <w:rPr>
                <w:rFonts w:cs="Calibri"/>
                <w:color w:val="000000"/>
                <w:sz w:val="14"/>
                <w:szCs w:val="14"/>
              </w:rPr>
              <w:t>.</w:t>
            </w:r>
            <w:r w:rsidRPr="003003C0">
              <w:rPr>
                <w:rFonts w:cs="Calibri"/>
                <w:color w:val="000000"/>
                <w:sz w:val="14"/>
                <w:szCs w:val="14"/>
              </w:rPr>
              <w:t>7</w:t>
            </w:r>
          </w:p>
        </w:tc>
        <w:tc>
          <w:tcPr>
            <w:tcW w:w="722" w:type="dxa"/>
            <w:noWrap/>
            <w:vAlign w:val="center"/>
            <w:hideMark/>
          </w:tcPr>
          <w:p w14:paraId="2CFB52BB" w14:textId="77777777" w:rsidR="004F64EF" w:rsidRPr="003003C0" w:rsidRDefault="004F64EF" w:rsidP="00FD6B66">
            <w:pPr>
              <w:jc w:val="right"/>
              <w:rPr>
                <w:rFonts w:cs="Calibri"/>
                <w:color w:val="000000"/>
                <w:sz w:val="14"/>
                <w:szCs w:val="14"/>
              </w:rPr>
            </w:pPr>
            <w:r w:rsidRPr="003003C0">
              <w:rPr>
                <w:rFonts w:cs="Calibri"/>
                <w:color w:val="000000"/>
                <w:sz w:val="14"/>
                <w:szCs w:val="14"/>
              </w:rPr>
              <w:t>0</w:t>
            </w:r>
            <w:r>
              <w:rPr>
                <w:rFonts w:cs="Calibri"/>
                <w:color w:val="000000"/>
                <w:sz w:val="14"/>
                <w:szCs w:val="14"/>
              </w:rPr>
              <w:t>.</w:t>
            </w:r>
            <w:r w:rsidRPr="003003C0">
              <w:rPr>
                <w:rFonts w:cs="Calibri"/>
                <w:color w:val="000000"/>
                <w:sz w:val="14"/>
                <w:szCs w:val="14"/>
              </w:rPr>
              <w:t>7</w:t>
            </w:r>
          </w:p>
        </w:tc>
        <w:tc>
          <w:tcPr>
            <w:tcW w:w="721" w:type="dxa"/>
            <w:noWrap/>
            <w:vAlign w:val="center"/>
            <w:hideMark/>
          </w:tcPr>
          <w:p w14:paraId="40A18F53" w14:textId="77777777" w:rsidR="004F64EF" w:rsidRPr="003003C0" w:rsidRDefault="004F64EF" w:rsidP="00FD6B66">
            <w:pPr>
              <w:jc w:val="right"/>
              <w:rPr>
                <w:rFonts w:cs="Calibri"/>
                <w:color w:val="000000"/>
                <w:sz w:val="14"/>
                <w:szCs w:val="14"/>
              </w:rPr>
            </w:pPr>
            <w:r w:rsidRPr="003003C0">
              <w:rPr>
                <w:rFonts w:cs="Calibri"/>
                <w:color w:val="000000"/>
                <w:sz w:val="14"/>
                <w:szCs w:val="14"/>
              </w:rPr>
              <w:t>0</w:t>
            </w:r>
            <w:r>
              <w:rPr>
                <w:rFonts w:cs="Calibri"/>
                <w:color w:val="000000"/>
                <w:sz w:val="14"/>
                <w:szCs w:val="14"/>
              </w:rPr>
              <w:t>.</w:t>
            </w:r>
            <w:r w:rsidRPr="003003C0">
              <w:rPr>
                <w:rFonts w:cs="Calibri"/>
                <w:color w:val="000000"/>
                <w:sz w:val="14"/>
                <w:szCs w:val="14"/>
              </w:rPr>
              <w:t>7</w:t>
            </w:r>
          </w:p>
        </w:tc>
        <w:tc>
          <w:tcPr>
            <w:tcW w:w="722" w:type="dxa"/>
            <w:noWrap/>
            <w:vAlign w:val="center"/>
            <w:hideMark/>
          </w:tcPr>
          <w:p w14:paraId="11043042" w14:textId="77777777" w:rsidR="004F64EF" w:rsidRPr="003003C0" w:rsidRDefault="004F64EF" w:rsidP="00FD6B66">
            <w:pPr>
              <w:jc w:val="right"/>
              <w:rPr>
                <w:rFonts w:cs="Calibri"/>
                <w:color w:val="000000"/>
                <w:sz w:val="14"/>
                <w:szCs w:val="14"/>
              </w:rPr>
            </w:pPr>
            <w:r w:rsidRPr="003003C0">
              <w:rPr>
                <w:rFonts w:cs="Calibri"/>
                <w:color w:val="000000"/>
                <w:sz w:val="14"/>
                <w:szCs w:val="14"/>
              </w:rPr>
              <w:t>0</w:t>
            </w:r>
            <w:r>
              <w:rPr>
                <w:rFonts w:cs="Calibri"/>
                <w:color w:val="000000"/>
                <w:sz w:val="14"/>
                <w:szCs w:val="14"/>
              </w:rPr>
              <w:t>.</w:t>
            </w:r>
            <w:r w:rsidRPr="003003C0">
              <w:rPr>
                <w:rFonts w:cs="Calibri"/>
                <w:color w:val="000000"/>
                <w:sz w:val="14"/>
                <w:szCs w:val="14"/>
              </w:rPr>
              <w:t>7</w:t>
            </w:r>
          </w:p>
        </w:tc>
        <w:tc>
          <w:tcPr>
            <w:tcW w:w="722" w:type="dxa"/>
            <w:noWrap/>
            <w:vAlign w:val="center"/>
            <w:hideMark/>
          </w:tcPr>
          <w:p w14:paraId="68BC03EE" w14:textId="77777777" w:rsidR="004F64EF" w:rsidRPr="003003C0" w:rsidRDefault="004F64EF" w:rsidP="00FD6B66">
            <w:pPr>
              <w:jc w:val="right"/>
              <w:rPr>
                <w:rFonts w:cs="Calibri"/>
                <w:color w:val="000000"/>
                <w:sz w:val="14"/>
                <w:szCs w:val="14"/>
              </w:rPr>
            </w:pPr>
            <w:r w:rsidRPr="003003C0">
              <w:rPr>
                <w:rFonts w:cs="Calibri"/>
                <w:color w:val="000000"/>
                <w:sz w:val="14"/>
                <w:szCs w:val="14"/>
              </w:rPr>
              <w:t>0</w:t>
            </w:r>
            <w:r>
              <w:rPr>
                <w:rFonts w:cs="Calibri"/>
                <w:color w:val="000000"/>
                <w:sz w:val="14"/>
                <w:szCs w:val="14"/>
              </w:rPr>
              <w:t>.</w:t>
            </w:r>
            <w:r w:rsidRPr="003003C0">
              <w:rPr>
                <w:rFonts w:cs="Calibri"/>
                <w:color w:val="000000"/>
                <w:sz w:val="14"/>
                <w:szCs w:val="14"/>
              </w:rPr>
              <w:t>7</w:t>
            </w:r>
          </w:p>
        </w:tc>
        <w:tc>
          <w:tcPr>
            <w:tcW w:w="722" w:type="dxa"/>
            <w:noWrap/>
            <w:vAlign w:val="center"/>
            <w:hideMark/>
          </w:tcPr>
          <w:p w14:paraId="0FEFA4E5" w14:textId="77777777" w:rsidR="004F64EF" w:rsidRPr="003003C0" w:rsidRDefault="004F64EF" w:rsidP="00FD6B66">
            <w:pPr>
              <w:jc w:val="right"/>
              <w:rPr>
                <w:rFonts w:cs="Calibri"/>
                <w:color w:val="000000"/>
                <w:sz w:val="14"/>
                <w:szCs w:val="14"/>
              </w:rPr>
            </w:pPr>
            <w:r w:rsidRPr="003003C0">
              <w:rPr>
                <w:rFonts w:cs="Calibri"/>
                <w:color w:val="000000"/>
                <w:sz w:val="14"/>
                <w:szCs w:val="14"/>
              </w:rPr>
              <w:t>0</w:t>
            </w:r>
            <w:r>
              <w:rPr>
                <w:rFonts w:cs="Calibri"/>
                <w:color w:val="000000"/>
                <w:sz w:val="14"/>
                <w:szCs w:val="14"/>
              </w:rPr>
              <w:t>.</w:t>
            </w:r>
            <w:r w:rsidRPr="003003C0">
              <w:rPr>
                <w:rFonts w:cs="Calibri"/>
                <w:color w:val="000000"/>
                <w:sz w:val="14"/>
                <w:szCs w:val="14"/>
              </w:rPr>
              <w:t>6</w:t>
            </w:r>
          </w:p>
        </w:tc>
      </w:tr>
      <w:tr w:rsidR="004F64EF" w:rsidRPr="003003C0" w14:paraId="7D817E4F" w14:textId="77777777" w:rsidTr="00FD6B66">
        <w:trPr>
          <w:cnfStyle w:val="000000010000" w:firstRow="0" w:lastRow="0" w:firstColumn="0" w:lastColumn="0" w:oddVBand="0" w:evenVBand="0" w:oddHBand="0" w:evenHBand="1" w:firstRowFirstColumn="0" w:firstRowLastColumn="0" w:lastRowFirstColumn="0" w:lastRowLastColumn="0"/>
          <w:trHeight w:val="20"/>
        </w:trPr>
        <w:tc>
          <w:tcPr>
            <w:tcW w:w="3964" w:type="dxa"/>
            <w:noWrap/>
            <w:vAlign w:val="center"/>
            <w:hideMark/>
          </w:tcPr>
          <w:p w14:paraId="41454756" w14:textId="77777777" w:rsidR="004F64EF" w:rsidRPr="003003C0" w:rsidRDefault="004F64EF" w:rsidP="00FD6B66">
            <w:pPr>
              <w:jc w:val="left"/>
              <w:rPr>
                <w:rFonts w:cs="Calibri"/>
                <w:color w:val="000000"/>
                <w:sz w:val="14"/>
                <w:szCs w:val="14"/>
              </w:rPr>
            </w:pPr>
            <w:r w:rsidRPr="003003C0">
              <w:rPr>
                <w:rFonts w:cs="Calibri"/>
                <w:color w:val="000000"/>
                <w:sz w:val="14"/>
                <w:szCs w:val="14"/>
              </w:rPr>
              <w:t xml:space="preserve">7 - </w:t>
            </w:r>
            <w:r w:rsidRPr="002C2F4E">
              <w:rPr>
                <w:rFonts w:cs="Calibri"/>
                <w:color w:val="000000"/>
                <w:sz w:val="14"/>
                <w:szCs w:val="14"/>
              </w:rPr>
              <w:t>Plastics and articles thereof</w:t>
            </w:r>
          </w:p>
        </w:tc>
        <w:tc>
          <w:tcPr>
            <w:tcW w:w="721" w:type="dxa"/>
            <w:noWrap/>
            <w:vAlign w:val="center"/>
            <w:hideMark/>
          </w:tcPr>
          <w:p w14:paraId="19CE8623" w14:textId="77777777" w:rsidR="004F64EF" w:rsidRPr="003003C0" w:rsidRDefault="004F64EF" w:rsidP="00FD6B66">
            <w:pPr>
              <w:jc w:val="right"/>
              <w:rPr>
                <w:rFonts w:cs="Calibri"/>
                <w:color w:val="000000"/>
                <w:sz w:val="14"/>
                <w:szCs w:val="14"/>
              </w:rPr>
            </w:pPr>
            <w:r w:rsidRPr="003003C0">
              <w:rPr>
                <w:rFonts w:cs="Calibri"/>
                <w:color w:val="000000"/>
                <w:sz w:val="14"/>
                <w:szCs w:val="14"/>
              </w:rPr>
              <w:t>8</w:t>
            </w:r>
            <w:r>
              <w:rPr>
                <w:rFonts w:cs="Calibri"/>
                <w:color w:val="000000"/>
                <w:sz w:val="14"/>
                <w:szCs w:val="14"/>
              </w:rPr>
              <w:t>.</w:t>
            </w:r>
            <w:r w:rsidRPr="003003C0">
              <w:rPr>
                <w:rFonts w:cs="Calibri"/>
                <w:color w:val="000000"/>
                <w:sz w:val="14"/>
                <w:szCs w:val="14"/>
              </w:rPr>
              <w:t>3</w:t>
            </w:r>
          </w:p>
        </w:tc>
        <w:tc>
          <w:tcPr>
            <w:tcW w:w="722" w:type="dxa"/>
            <w:noWrap/>
            <w:vAlign w:val="center"/>
            <w:hideMark/>
          </w:tcPr>
          <w:p w14:paraId="22FCA2AA" w14:textId="77777777" w:rsidR="004F64EF" w:rsidRPr="003003C0" w:rsidRDefault="004F64EF" w:rsidP="00FD6B66">
            <w:pPr>
              <w:jc w:val="right"/>
              <w:rPr>
                <w:rFonts w:cs="Calibri"/>
                <w:color w:val="000000"/>
                <w:sz w:val="14"/>
                <w:szCs w:val="14"/>
              </w:rPr>
            </w:pPr>
            <w:r w:rsidRPr="003003C0">
              <w:rPr>
                <w:rFonts w:cs="Calibri"/>
                <w:color w:val="000000"/>
                <w:sz w:val="14"/>
                <w:szCs w:val="14"/>
              </w:rPr>
              <w:t>8</w:t>
            </w:r>
            <w:r>
              <w:rPr>
                <w:rFonts w:cs="Calibri"/>
                <w:color w:val="000000"/>
                <w:sz w:val="14"/>
                <w:szCs w:val="14"/>
              </w:rPr>
              <w:t>.</w:t>
            </w:r>
            <w:r w:rsidRPr="003003C0">
              <w:rPr>
                <w:rFonts w:cs="Calibri"/>
                <w:color w:val="000000"/>
                <w:sz w:val="14"/>
                <w:szCs w:val="14"/>
              </w:rPr>
              <w:t>4</w:t>
            </w:r>
          </w:p>
        </w:tc>
        <w:tc>
          <w:tcPr>
            <w:tcW w:w="722" w:type="dxa"/>
            <w:noWrap/>
            <w:vAlign w:val="center"/>
            <w:hideMark/>
          </w:tcPr>
          <w:p w14:paraId="50F92534" w14:textId="77777777" w:rsidR="004F64EF" w:rsidRPr="003003C0" w:rsidRDefault="004F64EF" w:rsidP="00FD6B66">
            <w:pPr>
              <w:jc w:val="right"/>
              <w:rPr>
                <w:rFonts w:cs="Calibri"/>
                <w:color w:val="000000"/>
                <w:sz w:val="14"/>
                <w:szCs w:val="14"/>
              </w:rPr>
            </w:pPr>
            <w:r w:rsidRPr="003003C0">
              <w:rPr>
                <w:rFonts w:cs="Calibri"/>
                <w:color w:val="000000"/>
                <w:sz w:val="14"/>
                <w:szCs w:val="14"/>
              </w:rPr>
              <w:t>8</w:t>
            </w:r>
            <w:r>
              <w:rPr>
                <w:rFonts w:cs="Calibri"/>
                <w:color w:val="000000"/>
                <w:sz w:val="14"/>
                <w:szCs w:val="14"/>
              </w:rPr>
              <w:t>.</w:t>
            </w:r>
            <w:r w:rsidRPr="003003C0">
              <w:rPr>
                <w:rFonts w:cs="Calibri"/>
                <w:color w:val="000000"/>
                <w:sz w:val="14"/>
                <w:szCs w:val="14"/>
              </w:rPr>
              <w:t>4</w:t>
            </w:r>
          </w:p>
        </w:tc>
        <w:tc>
          <w:tcPr>
            <w:tcW w:w="721" w:type="dxa"/>
            <w:noWrap/>
            <w:vAlign w:val="center"/>
            <w:hideMark/>
          </w:tcPr>
          <w:p w14:paraId="011526BE" w14:textId="77777777" w:rsidR="004F64EF" w:rsidRPr="003003C0" w:rsidRDefault="004F64EF" w:rsidP="00FD6B66">
            <w:pPr>
              <w:jc w:val="right"/>
              <w:rPr>
                <w:rFonts w:cs="Calibri"/>
                <w:color w:val="000000"/>
                <w:sz w:val="14"/>
                <w:szCs w:val="14"/>
              </w:rPr>
            </w:pPr>
            <w:r w:rsidRPr="003003C0">
              <w:rPr>
                <w:rFonts w:cs="Calibri"/>
                <w:color w:val="000000"/>
                <w:sz w:val="14"/>
                <w:szCs w:val="14"/>
              </w:rPr>
              <w:t>7</w:t>
            </w:r>
            <w:r>
              <w:rPr>
                <w:rFonts w:cs="Calibri"/>
                <w:color w:val="000000"/>
                <w:sz w:val="14"/>
                <w:szCs w:val="14"/>
              </w:rPr>
              <w:t>.</w:t>
            </w:r>
            <w:r w:rsidRPr="003003C0">
              <w:rPr>
                <w:rFonts w:cs="Calibri"/>
                <w:color w:val="000000"/>
                <w:sz w:val="14"/>
                <w:szCs w:val="14"/>
              </w:rPr>
              <w:t>8</w:t>
            </w:r>
          </w:p>
        </w:tc>
        <w:tc>
          <w:tcPr>
            <w:tcW w:w="722" w:type="dxa"/>
            <w:noWrap/>
            <w:vAlign w:val="center"/>
            <w:hideMark/>
          </w:tcPr>
          <w:p w14:paraId="237BFB40" w14:textId="77777777" w:rsidR="004F64EF" w:rsidRPr="003003C0" w:rsidRDefault="004F64EF" w:rsidP="00FD6B66">
            <w:pPr>
              <w:jc w:val="right"/>
              <w:rPr>
                <w:rFonts w:cs="Calibri"/>
                <w:color w:val="000000"/>
                <w:sz w:val="14"/>
                <w:szCs w:val="14"/>
              </w:rPr>
            </w:pPr>
            <w:r w:rsidRPr="003003C0">
              <w:rPr>
                <w:rFonts w:cs="Calibri"/>
                <w:color w:val="000000"/>
                <w:sz w:val="14"/>
                <w:szCs w:val="14"/>
              </w:rPr>
              <w:t>7</w:t>
            </w:r>
            <w:r>
              <w:rPr>
                <w:rFonts w:cs="Calibri"/>
                <w:color w:val="000000"/>
                <w:sz w:val="14"/>
                <w:szCs w:val="14"/>
              </w:rPr>
              <w:t>.</w:t>
            </w:r>
            <w:r w:rsidRPr="003003C0">
              <w:rPr>
                <w:rFonts w:cs="Calibri"/>
                <w:color w:val="000000"/>
                <w:sz w:val="14"/>
                <w:szCs w:val="14"/>
              </w:rPr>
              <w:t>7</w:t>
            </w:r>
          </w:p>
        </w:tc>
        <w:tc>
          <w:tcPr>
            <w:tcW w:w="722" w:type="dxa"/>
            <w:noWrap/>
            <w:vAlign w:val="center"/>
            <w:hideMark/>
          </w:tcPr>
          <w:p w14:paraId="666290E1" w14:textId="77777777" w:rsidR="004F64EF" w:rsidRPr="003003C0" w:rsidRDefault="004F64EF" w:rsidP="00FD6B66">
            <w:pPr>
              <w:jc w:val="right"/>
              <w:rPr>
                <w:rFonts w:cs="Calibri"/>
                <w:color w:val="000000"/>
                <w:sz w:val="14"/>
                <w:szCs w:val="14"/>
              </w:rPr>
            </w:pPr>
            <w:r w:rsidRPr="003003C0">
              <w:rPr>
                <w:rFonts w:cs="Calibri"/>
                <w:color w:val="000000"/>
                <w:sz w:val="14"/>
                <w:szCs w:val="14"/>
              </w:rPr>
              <w:t>8</w:t>
            </w:r>
            <w:r>
              <w:rPr>
                <w:rFonts w:cs="Calibri"/>
                <w:color w:val="000000"/>
                <w:sz w:val="14"/>
                <w:szCs w:val="14"/>
              </w:rPr>
              <w:t>.</w:t>
            </w:r>
            <w:r w:rsidRPr="003003C0">
              <w:rPr>
                <w:rFonts w:cs="Calibri"/>
                <w:color w:val="000000"/>
                <w:sz w:val="14"/>
                <w:szCs w:val="14"/>
              </w:rPr>
              <w:t>8</w:t>
            </w:r>
          </w:p>
        </w:tc>
        <w:tc>
          <w:tcPr>
            <w:tcW w:w="722" w:type="dxa"/>
            <w:noWrap/>
            <w:vAlign w:val="center"/>
            <w:hideMark/>
          </w:tcPr>
          <w:p w14:paraId="6E5CE9C8" w14:textId="77777777" w:rsidR="004F64EF" w:rsidRPr="003003C0" w:rsidRDefault="004F64EF" w:rsidP="00FD6B66">
            <w:pPr>
              <w:jc w:val="right"/>
              <w:rPr>
                <w:rFonts w:cs="Calibri"/>
                <w:color w:val="000000"/>
                <w:sz w:val="14"/>
                <w:szCs w:val="14"/>
              </w:rPr>
            </w:pPr>
            <w:r w:rsidRPr="003003C0">
              <w:rPr>
                <w:rFonts w:cs="Calibri"/>
                <w:color w:val="000000"/>
                <w:sz w:val="14"/>
                <w:szCs w:val="14"/>
              </w:rPr>
              <w:t>8</w:t>
            </w:r>
            <w:r>
              <w:rPr>
                <w:rFonts w:cs="Calibri"/>
                <w:color w:val="000000"/>
                <w:sz w:val="14"/>
                <w:szCs w:val="14"/>
              </w:rPr>
              <w:t>.</w:t>
            </w:r>
            <w:r w:rsidRPr="003003C0">
              <w:rPr>
                <w:rFonts w:cs="Calibri"/>
                <w:color w:val="000000"/>
                <w:sz w:val="14"/>
                <w:szCs w:val="14"/>
              </w:rPr>
              <w:t>7</w:t>
            </w:r>
          </w:p>
        </w:tc>
      </w:tr>
      <w:tr w:rsidR="004F64EF" w:rsidRPr="003003C0" w14:paraId="13FDFDA0" w14:textId="77777777" w:rsidTr="00FD6B66">
        <w:trPr>
          <w:trHeight w:val="20"/>
        </w:trPr>
        <w:tc>
          <w:tcPr>
            <w:tcW w:w="3964" w:type="dxa"/>
            <w:noWrap/>
            <w:vAlign w:val="center"/>
            <w:hideMark/>
          </w:tcPr>
          <w:p w14:paraId="6BD7A930" w14:textId="77777777" w:rsidR="004F64EF" w:rsidRPr="003003C0" w:rsidRDefault="004F64EF" w:rsidP="00FD6B66">
            <w:pPr>
              <w:tabs>
                <w:tab w:val="left" w:pos="227"/>
              </w:tabs>
              <w:jc w:val="left"/>
              <w:rPr>
                <w:rFonts w:cs="Calibri"/>
                <w:color w:val="000000"/>
                <w:sz w:val="14"/>
                <w:szCs w:val="14"/>
              </w:rPr>
            </w:pPr>
            <w:r w:rsidRPr="003003C0">
              <w:rPr>
                <w:rFonts w:cs="Calibri"/>
                <w:color w:val="000000"/>
                <w:sz w:val="14"/>
                <w:szCs w:val="14"/>
              </w:rPr>
              <w:tab/>
              <w:t xml:space="preserve">39. </w:t>
            </w:r>
            <w:r w:rsidRPr="002C2F4E">
              <w:rPr>
                <w:rFonts w:cs="Calibri"/>
                <w:color w:val="000000"/>
                <w:sz w:val="14"/>
                <w:szCs w:val="14"/>
              </w:rPr>
              <w:t>Plastics and articles thereof</w:t>
            </w:r>
          </w:p>
        </w:tc>
        <w:tc>
          <w:tcPr>
            <w:tcW w:w="721" w:type="dxa"/>
            <w:noWrap/>
            <w:vAlign w:val="center"/>
            <w:hideMark/>
          </w:tcPr>
          <w:p w14:paraId="4B828674" w14:textId="77777777" w:rsidR="004F64EF" w:rsidRPr="003003C0" w:rsidRDefault="004F64EF" w:rsidP="00FD6B66">
            <w:pPr>
              <w:jc w:val="right"/>
              <w:rPr>
                <w:rFonts w:cs="Calibri"/>
                <w:color w:val="000000"/>
                <w:sz w:val="14"/>
                <w:szCs w:val="14"/>
              </w:rPr>
            </w:pPr>
            <w:r w:rsidRPr="003003C0">
              <w:rPr>
                <w:rFonts w:cs="Calibri"/>
                <w:color w:val="000000"/>
                <w:sz w:val="14"/>
                <w:szCs w:val="14"/>
              </w:rPr>
              <w:t>7</w:t>
            </w:r>
            <w:r>
              <w:rPr>
                <w:rFonts w:cs="Calibri"/>
                <w:color w:val="000000"/>
                <w:sz w:val="14"/>
                <w:szCs w:val="14"/>
              </w:rPr>
              <w:t>.</w:t>
            </w:r>
            <w:r w:rsidRPr="003003C0">
              <w:rPr>
                <w:rFonts w:cs="Calibri"/>
                <w:color w:val="000000"/>
                <w:sz w:val="14"/>
                <w:szCs w:val="14"/>
              </w:rPr>
              <w:t>2</w:t>
            </w:r>
          </w:p>
        </w:tc>
        <w:tc>
          <w:tcPr>
            <w:tcW w:w="722" w:type="dxa"/>
            <w:noWrap/>
            <w:vAlign w:val="center"/>
            <w:hideMark/>
          </w:tcPr>
          <w:p w14:paraId="696CFF42" w14:textId="77777777" w:rsidR="004F64EF" w:rsidRPr="003003C0" w:rsidRDefault="004F64EF" w:rsidP="00FD6B66">
            <w:pPr>
              <w:jc w:val="right"/>
              <w:rPr>
                <w:rFonts w:cs="Calibri"/>
                <w:color w:val="000000"/>
                <w:sz w:val="14"/>
                <w:szCs w:val="14"/>
              </w:rPr>
            </w:pPr>
            <w:r w:rsidRPr="003003C0">
              <w:rPr>
                <w:rFonts w:cs="Calibri"/>
                <w:color w:val="000000"/>
                <w:sz w:val="14"/>
                <w:szCs w:val="14"/>
              </w:rPr>
              <w:t>7</w:t>
            </w:r>
            <w:r>
              <w:rPr>
                <w:rFonts w:cs="Calibri"/>
                <w:color w:val="000000"/>
                <w:sz w:val="14"/>
                <w:szCs w:val="14"/>
              </w:rPr>
              <w:t>.</w:t>
            </w:r>
            <w:r w:rsidRPr="003003C0">
              <w:rPr>
                <w:rFonts w:cs="Calibri"/>
                <w:color w:val="000000"/>
                <w:sz w:val="14"/>
                <w:szCs w:val="14"/>
              </w:rPr>
              <w:t>4</w:t>
            </w:r>
          </w:p>
        </w:tc>
        <w:tc>
          <w:tcPr>
            <w:tcW w:w="722" w:type="dxa"/>
            <w:noWrap/>
            <w:vAlign w:val="center"/>
            <w:hideMark/>
          </w:tcPr>
          <w:p w14:paraId="15896F21" w14:textId="77777777" w:rsidR="004F64EF" w:rsidRPr="003003C0" w:rsidRDefault="004F64EF" w:rsidP="00FD6B66">
            <w:pPr>
              <w:jc w:val="right"/>
              <w:rPr>
                <w:rFonts w:cs="Calibri"/>
                <w:color w:val="000000"/>
                <w:sz w:val="14"/>
                <w:szCs w:val="14"/>
              </w:rPr>
            </w:pPr>
            <w:r w:rsidRPr="003003C0">
              <w:rPr>
                <w:rFonts w:cs="Calibri"/>
                <w:color w:val="000000"/>
                <w:sz w:val="14"/>
                <w:szCs w:val="14"/>
              </w:rPr>
              <w:t>7</w:t>
            </w:r>
            <w:r>
              <w:rPr>
                <w:rFonts w:cs="Calibri"/>
                <w:color w:val="000000"/>
                <w:sz w:val="14"/>
                <w:szCs w:val="14"/>
              </w:rPr>
              <w:t>.</w:t>
            </w:r>
            <w:r w:rsidRPr="003003C0">
              <w:rPr>
                <w:rFonts w:cs="Calibri"/>
                <w:color w:val="000000"/>
                <w:sz w:val="14"/>
                <w:szCs w:val="14"/>
              </w:rPr>
              <w:t>4</w:t>
            </w:r>
          </w:p>
        </w:tc>
        <w:tc>
          <w:tcPr>
            <w:tcW w:w="721" w:type="dxa"/>
            <w:noWrap/>
            <w:vAlign w:val="center"/>
            <w:hideMark/>
          </w:tcPr>
          <w:p w14:paraId="54790AE5" w14:textId="77777777" w:rsidR="004F64EF" w:rsidRPr="003003C0" w:rsidRDefault="004F64EF" w:rsidP="00FD6B66">
            <w:pPr>
              <w:jc w:val="right"/>
              <w:rPr>
                <w:rFonts w:cs="Calibri"/>
                <w:color w:val="000000"/>
                <w:sz w:val="14"/>
                <w:szCs w:val="14"/>
              </w:rPr>
            </w:pPr>
            <w:r w:rsidRPr="003003C0">
              <w:rPr>
                <w:rFonts w:cs="Calibri"/>
                <w:color w:val="000000"/>
                <w:sz w:val="14"/>
                <w:szCs w:val="14"/>
              </w:rPr>
              <w:t>6</w:t>
            </w:r>
            <w:r>
              <w:rPr>
                <w:rFonts w:cs="Calibri"/>
                <w:color w:val="000000"/>
                <w:sz w:val="14"/>
                <w:szCs w:val="14"/>
              </w:rPr>
              <w:t>.</w:t>
            </w:r>
            <w:r w:rsidRPr="003003C0">
              <w:rPr>
                <w:rFonts w:cs="Calibri"/>
                <w:color w:val="000000"/>
                <w:sz w:val="14"/>
                <w:szCs w:val="14"/>
              </w:rPr>
              <w:t>9</w:t>
            </w:r>
          </w:p>
        </w:tc>
        <w:tc>
          <w:tcPr>
            <w:tcW w:w="722" w:type="dxa"/>
            <w:noWrap/>
            <w:vAlign w:val="center"/>
            <w:hideMark/>
          </w:tcPr>
          <w:p w14:paraId="42A3DF17" w14:textId="77777777" w:rsidR="004F64EF" w:rsidRPr="003003C0" w:rsidRDefault="004F64EF" w:rsidP="00FD6B66">
            <w:pPr>
              <w:jc w:val="right"/>
              <w:rPr>
                <w:rFonts w:cs="Calibri"/>
                <w:color w:val="000000"/>
                <w:sz w:val="14"/>
                <w:szCs w:val="14"/>
              </w:rPr>
            </w:pPr>
            <w:r w:rsidRPr="003003C0">
              <w:rPr>
                <w:rFonts w:cs="Calibri"/>
                <w:color w:val="000000"/>
                <w:sz w:val="14"/>
                <w:szCs w:val="14"/>
              </w:rPr>
              <w:t>6</w:t>
            </w:r>
            <w:r>
              <w:rPr>
                <w:rFonts w:cs="Calibri"/>
                <w:color w:val="000000"/>
                <w:sz w:val="14"/>
                <w:szCs w:val="14"/>
              </w:rPr>
              <w:t>.</w:t>
            </w:r>
            <w:r w:rsidRPr="003003C0">
              <w:rPr>
                <w:rFonts w:cs="Calibri"/>
                <w:color w:val="000000"/>
                <w:sz w:val="14"/>
                <w:szCs w:val="14"/>
              </w:rPr>
              <w:t>8</w:t>
            </w:r>
          </w:p>
        </w:tc>
        <w:tc>
          <w:tcPr>
            <w:tcW w:w="722" w:type="dxa"/>
            <w:noWrap/>
            <w:vAlign w:val="center"/>
            <w:hideMark/>
          </w:tcPr>
          <w:p w14:paraId="23B23E6A" w14:textId="77777777" w:rsidR="004F64EF" w:rsidRPr="003003C0" w:rsidRDefault="004F64EF" w:rsidP="00FD6B66">
            <w:pPr>
              <w:jc w:val="right"/>
              <w:rPr>
                <w:rFonts w:cs="Calibri"/>
                <w:color w:val="000000"/>
                <w:sz w:val="14"/>
                <w:szCs w:val="14"/>
              </w:rPr>
            </w:pPr>
            <w:r w:rsidRPr="003003C0">
              <w:rPr>
                <w:rFonts w:cs="Calibri"/>
                <w:color w:val="000000"/>
                <w:sz w:val="14"/>
                <w:szCs w:val="14"/>
              </w:rPr>
              <w:t>7</w:t>
            </w:r>
            <w:r>
              <w:rPr>
                <w:rFonts w:cs="Calibri"/>
                <w:color w:val="000000"/>
                <w:sz w:val="14"/>
                <w:szCs w:val="14"/>
              </w:rPr>
              <w:t>.</w:t>
            </w:r>
            <w:r w:rsidRPr="003003C0">
              <w:rPr>
                <w:rFonts w:cs="Calibri"/>
                <w:color w:val="000000"/>
                <w:sz w:val="14"/>
                <w:szCs w:val="14"/>
              </w:rPr>
              <w:t>8</w:t>
            </w:r>
          </w:p>
        </w:tc>
        <w:tc>
          <w:tcPr>
            <w:tcW w:w="722" w:type="dxa"/>
            <w:noWrap/>
            <w:vAlign w:val="center"/>
            <w:hideMark/>
          </w:tcPr>
          <w:p w14:paraId="08111FCF" w14:textId="77777777" w:rsidR="004F64EF" w:rsidRPr="003003C0" w:rsidRDefault="004F64EF" w:rsidP="00FD6B66">
            <w:pPr>
              <w:jc w:val="right"/>
              <w:rPr>
                <w:rFonts w:cs="Calibri"/>
                <w:color w:val="000000"/>
                <w:sz w:val="14"/>
                <w:szCs w:val="14"/>
              </w:rPr>
            </w:pPr>
            <w:r w:rsidRPr="003003C0">
              <w:rPr>
                <w:rFonts w:cs="Calibri"/>
                <w:color w:val="000000"/>
                <w:sz w:val="14"/>
                <w:szCs w:val="14"/>
              </w:rPr>
              <w:t>7</w:t>
            </w:r>
            <w:r>
              <w:rPr>
                <w:rFonts w:cs="Calibri"/>
                <w:color w:val="000000"/>
                <w:sz w:val="14"/>
                <w:szCs w:val="14"/>
              </w:rPr>
              <w:t>.</w:t>
            </w:r>
            <w:r w:rsidRPr="003003C0">
              <w:rPr>
                <w:rFonts w:cs="Calibri"/>
                <w:color w:val="000000"/>
                <w:sz w:val="14"/>
                <w:szCs w:val="14"/>
              </w:rPr>
              <w:t>8</w:t>
            </w:r>
          </w:p>
        </w:tc>
      </w:tr>
      <w:tr w:rsidR="004F64EF" w:rsidRPr="003003C0" w14:paraId="7A12B482" w14:textId="77777777" w:rsidTr="00FD6B66">
        <w:trPr>
          <w:cnfStyle w:val="000000010000" w:firstRow="0" w:lastRow="0" w:firstColumn="0" w:lastColumn="0" w:oddVBand="0" w:evenVBand="0" w:oddHBand="0" w:evenHBand="1" w:firstRowFirstColumn="0" w:firstRowLastColumn="0" w:lastRowFirstColumn="0" w:lastRowLastColumn="0"/>
          <w:trHeight w:val="20"/>
        </w:trPr>
        <w:tc>
          <w:tcPr>
            <w:tcW w:w="3964" w:type="dxa"/>
            <w:noWrap/>
            <w:vAlign w:val="center"/>
            <w:hideMark/>
          </w:tcPr>
          <w:p w14:paraId="11F7AA29" w14:textId="77777777" w:rsidR="004F64EF" w:rsidRPr="003003C0" w:rsidRDefault="004F64EF" w:rsidP="00FD6B66">
            <w:pPr>
              <w:tabs>
                <w:tab w:val="left" w:pos="227"/>
              </w:tabs>
              <w:jc w:val="left"/>
              <w:rPr>
                <w:rFonts w:cs="Calibri"/>
                <w:color w:val="000000"/>
                <w:sz w:val="14"/>
                <w:szCs w:val="14"/>
              </w:rPr>
            </w:pPr>
            <w:r w:rsidRPr="003003C0">
              <w:rPr>
                <w:rFonts w:cs="Calibri"/>
                <w:color w:val="000000"/>
                <w:sz w:val="14"/>
                <w:szCs w:val="14"/>
              </w:rPr>
              <w:tab/>
              <w:t xml:space="preserve">40. </w:t>
            </w:r>
            <w:r w:rsidRPr="002C2F4E">
              <w:rPr>
                <w:rFonts w:cs="Calibri"/>
                <w:color w:val="000000"/>
                <w:sz w:val="14"/>
                <w:szCs w:val="14"/>
              </w:rPr>
              <w:t>Rubber and articles thereof</w:t>
            </w:r>
          </w:p>
        </w:tc>
        <w:tc>
          <w:tcPr>
            <w:tcW w:w="721" w:type="dxa"/>
            <w:noWrap/>
            <w:vAlign w:val="center"/>
            <w:hideMark/>
          </w:tcPr>
          <w:p w14:paraId="6547A1DC" w14:textId="77777777" w:rsidR="004F64EF" w:rsidRPr="003003C0" w:rsidRDefault="004F64EF" w:rsidP="00FD6B66">
            <w:pPr>
              <w:jc w:val="right"/>
              <w:rPr>
                <w:rFonts w:cs="Calibri"/>
                <w:color w:val="000000"/>
                <w:sz w:val="14"/>
                <w:szCs w:val="14"/>
              </w:rPr>
            </w:pPr>
            <w:r w:rsidRPr="003003C0">
              <w:rPr>
                <w:rFonts w:cs="Calibri"/>
                <w:color w:val="000000"/>
                <w:sz w:val="14"/>
                <w:szCs w:val="14"/>
              </w:rPr>
              <w:t>1</w:t>
            </w:r>
            <w:r>
              <w:rPr>
                <w:rFonts w:cs="Calibri"/>
                <w:color w:val="000000"/>
                <w:sz w:val="14"/>
                <w:szCs w:val="14"/>
              </w:rPr>
              <w:t>.</w:t>
            </w:r>
            <w:r w:rsidRPr="003003C0">
              <w:rPr>
                <w:rFonts w:cs="Calibri"/>
                <w:color w:val="000000"/>
                <w:sz w:val="14"/>
                <w:szCs w:val="14"/>
              </w:rPr>
              <w:t>1</w:t>
            </w:r>
          </w:p>
        </w:tc>
        <w:tc>
          <w:tcPr>
            <w:tcW w:w="722" w:type="dxa"/>
            <w:noWrap/>
            <w:vAlign w:val="center"/>
            <w:hideMark/>
          </w:tcPr>
          <w:p w14:paraId="08197341" w14:textId="77777777" w:rsidR="004F64EF" w:rsidRPr="003003C0" w:rsidRDefault="004F64EF" w:rsidP="00FD6B66">
            <w:pPr>
              <w:jc w:val="right"/>
              <w:rPr>
                <w:rFonts w:cs="Calibri"/>
                <w:color w:val="000000"/>
                <w:sz w:val="14"/>
                <w:szCs w:val="14"/>
              </w:rPr>
            </w:pPr>
            <w:r w:rsidRPr="003003C0">
              <w:rPr>
                <w:rFonts w:cs="Calibri"/>
                <w:color w:val="000000"/>
                <w:sz w:val="14"/>
                <w:szCs w:val="14"/>
              </w:rPr>
              <w:t>1</w:t>
            </w:r>
            <w:r>
              <w:rPr>
                <w:rFonts w:cs="Calibri"/>
                <w:color w:val="000000"/>
                <w:sz w:val="14"/>
                <w:szCs w:val="14"/>
              </w:rPr>
              <w:t>.</w:t>
            </w:r>
            <w:r w:rsidRPr="003003C0">
              <w:rPr>
                <w:rFonts w:cs="Calibri"/>
                <w:color w:val="000000"/>
                <w:sz w:val="14"/>
                <w:szCs w:val="14"/>
              </w:rPr>
              <w:t>0</w:t>
            </w:r>
          </w:p>
        </w:tc>
        <w:tc>
          <w:tcPr>
            <w:tcW w:w="722" w:type="dxa"/>
            <w:noWrap/>
            <w:vAlign w:val="center"/>
            <w:hideMark/>
          </w:tcPr>
          <w:p w14:paraId="53674187" w14:textId="77777777" w:rsidR="004F64EF" w:rsidRPr="003003C0" w:rsidRDefault="004F64EF" w:rsidP="00FD6B66">
            <w:pPr>
              <w:jc w:val="right"/>
              <w:rPr>
                <w:rFonts w:cs="Calibri"/>
                <w:color w:val="000000"/>
                <w:sz w:val="14"/>
                <w:szCs w:val="14"/>
              </w:rPr>
            </w:pPr>
            <w:r w:rsidRPr="003003C0">
              <w:rPr>
                <w:rFonts w:cs="Calibri"/>
                <w:color w:val="000000"/>
                <w:sz w:val="14"/>
                <w:szCs w:val="14"/>
              </w:rPr>
              <w:t>1</w:t>
            </w:r>
            <w:r>
              <w:rPr>
                <w:rFonts w:cs="Calibri"/>
                <w:color w:val="000000"/>
                <w:sz w:val="14"/>
                <w:szCs w:val="14"/>
              </w:rPr>
              <w:t>.</w:t>
            </w:r>
            <w:r w:rsidRPr="003003C0">
              <w:rPr>
                <w:rFonts w:cs="Calibri"/>
                <w:color w:val="000000"/>
                <w:sz w:val="14"/>
                <w:szCs w:val="14"/>
              </w:rPr>
              <w:t>0</w:t>
            </w:r>
          </w:p>
        </w:tc>
        <w:tc>
          <w:tcPr>
            <w:tcW w:w="721" w:type="dxa"/>
            <w:noWrap/>
            <w:vAlign w:val="center"/>
            <w:hideMark/>
          </w:tcPr>
          <w:p w14:paraId="3B49CBBC" w14:textId="77777777" w:rsidR="004F64EF" w:rsidRPr="003003C0" w:rsidRDefault="004F64EF" w:rsidP="00FD6B66">
            <w:pPr>
              <w:jc w:val="right"/>
              <w:rPr>
                <w:rFonts w:cs="Calibri"/>
                <w:color w:val="000000"/>
                <w:sz w:val="14"/>
                <w:szCs w:val="14"/>
              </w:rPr>
            </w:pPr>
            <w:r w:rsidRPr="003003C0">
              <w:rPr>
                <w:rFonts w:cs="Calibri"/>
                <w:color w:val="000000"/>
                <w:sz w:val="14"/>
                <w:szCs w:val="14"/>
              </w:rPr>
              <w:t>0</w:t>
            </w:r>
            <w:r>
              <w:rPr>
                <w:rFonts w:cs="Calibri"/>
                <w:color w:val="000000"/>
                <w:sz w:val="14"/>
                <w:szCs w:val="14"/>
              </w:rPr>
              <w:t>.</w:t>
            </w:r>
            <w:r w:rsidRPr="003003C0">
              <w:rPr>
                <w:rFonts w:cs="Calibri"/>
                <w:color w:val="000000"/>
                <w:sz w:val="14"/>
                <w:szCs w:val="14"/>
              </w:rPr>
              <w:t>9</w:t>
            </w:r>
          </w:p>
        </w:tc>
        <w:tc>
          <w:tcPr>
            <w:tcW w:w="722" w:type="dxa"/>
            <w:noWrap/>
            <w:vAlign w:val="center"/>
            <w:hideMark/>
          </w:tcPr>
          <w:p w14:paraId="1919B029" w14:textId="77777777" w:rsidR="004F64EF" w:rsidRPr="003003C0" w:rsidRDefault="004F64EF" w:rsidP="00FD6B66">
            <w:pPr>
              <w:jc w:val="right"/>
              <w:rPr>
                <w:rFonts w:cs="Calibri"/>
                <w:color w:val="000000"/>
                <w:sz w:val="14"/>
                <w:szCs w:val="14"/>
              </w:rPr>
            </w:pPr>
            <w:r w:rsidRPr="003003C0">
              <w:rPr>
                <w:rFonts w:cs="Calibri"/>
                <w:color w:val="000000"/>
                <w:sz w:val="14"/>
                <w:szCs w:val="14"/>
              </w:rPr>
              <w:t>0</w:t>
            </w:r>
            <w:r>
              <w:rPr>
                <w:rFonts w:cs="Calibri"/>
                <w:color w:val="000000"/>
                <w:sz w:val="14"/>
                <w:szCs w:val="14"/>
              </w:rPr>
              <w:t>.</w:t>
            </w:r>
            <w:r w:rsidRPr="003003C0">
              <w:rPr>
                <w:rFonts w:cs="Calibri"/>
                <w:color w:val="000000"/>
                <w:sz w:val="14"/>
                <w:szCs w:val="14"/>
              </w:rPr>
              <w:t>9</w:t>
            </w:r>
          </w:p>
        </w:tc>
        <w:tc>
          <w:tcPr>
            <w:tcW w:w="722" w:type="dxa"/>
            <w:noWrap/>
            <w:vAlign w:val="center"/>
            <w:hideMark/>
          </w:tcPr>
          <w:p w14:paraId="0987C59A" w14:textId="77777777" w:rsidR="004F64EF" w:rsidRPr="003003C0" w:rsidRDefault="004F64EF" w:rsidP="00FD6B66">
            <w:pPr>
              <w:jc w:val="right"/>
              <w:rPr>
                <w:rFonts w:cs="Calibri"/>
                <w:color w:val="000000"/>
                <w:sz w:val="14"/>
                <w:szCs w:val="14"/>
              </w:rPr>
            </w:pPr>
            <w:r w:rsidRPr="003003C0">
              <w:rPr>
                <w:rFonts w:cs="Calibri"/>
                <w:color w:val="000000"/>
                <w:sz w:val="14"/>
                <w:szCs w:val="14"/>
              </w:rPr>
              <w:t>0</w:t>
            </w:r>
            <w:r>
              <w:rPr>
                <w:rFonts w:cs="Calibri"/>
                <w:color w:val="000000"/>
                <w:sz w:val="14"/>
                <w:szCs w:val="14"/>
              </w:rPr>
              <w:t>.</w:t>
            </w:r>
            <w:r w:rsidRPr="003003C0">
              <w:rPr>
                <w:rFonts w:cs="Calibri"/>
                <w:color w:val="000000"/>
                <w:sz w:val="14"/>
                <w:szCs w:val="14"/>
              </w:rPr>
              <w:t>9</w:t>
            </w:r>
          </w:p>
        </w:tc>
        <w:tc>
          <w:tcPr>
            <w:tcW w:w="722" w:type="dxa"/>
            <w:noWrap/>
            <w:vAlign w:val="center"/>
            <w:hideMark/>
          </w:tcPr>
          <w:p w14:paraId="38B45AF8" w14:textId="77777777" w:rsidR="004F64EF" w:rsidRPr="003003C0" w:rsidRDefault="004F64EF" w:rsidP="00FD6B66">
            <w:pPr>
              <w:jc w:val="right"/>
              <w:rPr>
                <w:rFonts w:cs="Calibri"/>
                <w:color w:val="000000"/>
                <w:sz w:val="14"/>
                <w:szCs w:val="14"/>
              </w:rPr>
            </w:pPr>
            <w:r w:rsidRPr="003003C0">
              <w:rPr>
                <w:rFonts w:cs="Calibri"/>
                <w:color w:val="000000"/>
                <w:sz w:val="14"/>
                <w:szCs w:val="14"/>
              </w:rPr>
              <w:t>0</w:t>
            </w:r>
            <w:r>
              <w:rPr>
                <w:rFonts w:cs="Calibri"/>
                <w:color w:val="000000"/>
                <w:sz w:val="14"/>
                <w:szCs w:val="14"/>
              </w:rPr>
              <w:t>.</w:t>
            </w:r>
            <w:r w:rsidRPr="003003C0">
              <w:rPr>
                <w:rFonts w:cs="Calibri"/>
                <w:color w:val="000000"/>
                <w:sz w:val="14"/>
                <w:szCs w:val="14"/>
              </w:rPr>
              <w:t>9</w:t>
            </w:r>
          </w:p>
        </w:tc>
      </w:tr>
      <w:tr w:rsidR="004F64EF" w:rsidRPr="003003C0" w14:paraId="028B9245" w14:textId="77777777" w:rsidTr="00FD6B66">
        <w:trPr>
          <w:trHeight w:val="20"/>
        </w:trPr>
        <w:tc>
          <w:tcPr>
            <w:tcW w:w="3964" w:type="dxa"/>
            <w:noWrap/>
            <w:vAlign w:val="center"/>
            <w:hideMark/>
          </w:tcPr>
          <w:p w14:paraId="3AA3C5F4" w14:textId="77777777" w:rsidR="004F64EF" w:rsidRPr="003003C0" w:rsidRDefault="004F64EF" w:rsidP="00FD6B66">
            <w:pPr>
              <w:jc w:val="left"/>
              <w:rPr>
                <w:rFonts w:cs="Calibri"/>
                <w:color w:val="000000"/>
                <w:sz w:val="14"/>
                <w:szCs w:val="14"/>
              </w:rPr>
            </w:pPr>
            <w:r w:rsidRPr="003003C0">
              <w:rPr>
                <w:rFonts w:cs="Calibri"/>
                <w:color w:val="000000"/>
                <w:sz w:val="14"/>
                <w:szCs w:val="14"/>
              </w:rPr>
              <w:t xml:space="preserve">8 - </w:t>
            </w:r>
            <w:r w:rsidRPr="00254B13">
              <w:rPr>
                <w:rFonts w:cs="Calibri"/>
                <w:color w:val="000000"/>
                <w:sz w:val="14"/>
                <w:szCs w:val="14"/>
              </w:rPr>
              <w:t xml:space="preserve">Raw hides and skins, leather, </w:t>
            </w:r>
            <w:proofErr w:type="spellStart"/>
            <w:r w:rsidRPr="00254B13">
              <w:rPr>
                <w:rFonts w:cs="Calibri"/>
                <w:color w:val="000000"/>
                <w:sz w:val="14"/>
                <w:szCs w:val="14"/>
              </w:rPr>
              <w:t>furskins</w:t>
            </w:r>
            <w:proofErr w:type="spellEnd"/>
            <w:r w:rsidRPr="00254B13">
              <w:rPr>
                <w:rFonts w:cs="Calibri"/>
                <w:color w:val="000000"/>
                <w:sz w:val="14"/>
                <w:szCs w:val="14"/>
              </w:rPr>
              <w:t xml:space="preserve"> and articles thereof; saddlery and harness</w:t>
            </w:r>
          </w:p>
        </w:tc>
        <w:tc>
          <w:tcPr>
            <w:tcW w:w="721" w:type="dxa"/>
            <w:noWrap/>
            <w:vAlign w:val="center"/>
            <w:hideMark/>
          </w:tcPr>
          <w:p w14:paraId="37EDFCAE" w14:textId="77777777" w:rsidR="004F64EF" w:rsidRPr="003003C0" w:rsidRDefault="004F64EF" w:rsidP="00FD6B66">
            <w:pPr>
              <w:jc w:val="right"/>
              <w:rPr>
                <w:rFonts w:cs="Calibri"/>
                <w:color w:val="000000"/>
                <w:sz w:val="14"/>
                <w:szCs w:val="14"/>
              </w:rPr>
            </w:pPr>
            <w:r w:rsidRPr="003003C0">
              <w:rPr>
                <w:rFonts w:cs="Calibri"/>
                <w:color w:val="000000"/>
                <w:sz w:val="14"/>
                <w:szCs w:val="14"/>
              </w:rPr>
              <w:t>0</w:t>
            </w:r>
            <w:r>
              <w:rPr>
                <w:rFonts w:cs="Calibri"/>
                <w:color w:val="000000"/>
                <w:sz w:val="14"/>
                <w:szCs w:val="14"/>
              </w:rPr>
              <w:t>.</w:t>
            </w:r>
            <w:r w:rsidRPr="003003C0">
              <w:rPr>
                <w:rFonts w:cs="Calibri"/>
                <w:color w:val="000000"/>
                <w:sz w:val="14"/>
                <w:szCs w:val="14"/>
              </w:rPr>
              <w:t>9</w:t>
            </w:r>
          </w:p>
        </w:tc>
        <w:tc>
          <w:tcPr>
            <w:tcW w:w="722" w:type="dxa"/>
            <w:noWrap/>
            <w:vAlign w:val="center"/>
            <w:hideMark/>
          </w:tcPr>
          <w:p w14:paraId="40036D49" w14:textId="77777777" w:rsidR="004F64EF" w:rsidRPr="003003C0" w:rsidRDefault="004F64EF" w:rsidP="00FD6B66">
            <w:pPr>
              <w:jc w:val="right"/>
              <w:rPr>
                <w:rFonts w:cs="Calibri"/>
                <w:color w:val="000000"/>
                <w:sz w:val="14"/>
                <w:szCs w:val="14"/>
              </w:rPr>
            </w:pPr>
            <w:r w:rsidRPr="003003C0">
              <w:rPr>
                <w:rFonts w:cs="Calibri"/>
                <w:color w:val="000000"/>
                <w:sz w:val="14"/>
                <w:szCs w:val="14"/>
              </w:rPr>
              <w:t>0</w:t>
            </w:r>
            <w:r>
              <w:rPr>
                <w:rFonts w:cs="Calibri"/>
                <w:color w:val="000000"/>
                <w:sz w:val="14"/>
                <w:szCs w:val="14"/>
              </w:rPr>
              <w:t>.</w:t>
            </w:r>
            <w:r w:rsidRPr="003003C0">
              <w:rPr>
                <w:rFonts w:cs="Calibri"/>
                <w:color w:val="000000"/>
                <w:sz w:val="14"/>
                <w:szCs w:val="14"/>
              </w:rPr>
              <w:t>7</w:t>
            </w:r>
          </w:p>
        </w:tc>
        <w:tc>
          <w:tcPr>
            <w:tcW w:w="722" w:type="dxa"/>
            <w:noWrap/>
            <w:vAlign w:val="center"/>
            <w:hideMark/>
          </w:tcPr>
          <w:p w14:paraId="5E846DB2" w14:textId="77777777" w:rsidR="004F64EF" w:rsidRPr="003003C0" w:rsidRDefault="004F64EF" w:rsidP="00FD6B66">
            <w:pPr>
              <w:jc w:val="right"/>
              <w:rPr>
                <w:rFonts w:cs="Calibri"/>
                <w:color w:val="000000"/>
                <w:sz w:val="14"/>
                <w:szCs w:val="14"/>
              </w:rPr>
            </w:pPr>
            <w:r w:rsidRPr="003003C0">
              <w:rPr>
                <w:rFonts w:cs="Calibri"/>
                <w:color w:val="000000"/>
                <w:sz w:val="14"/>
                <w:szCs w:val="14"/>
              </w:rPr>
              <w:t>0</w:t>
            </w:r>
            <w:r>
              <w:rPr>
                <w:rFonts w:cs="Calibri"/>
                <w:color w:val="000000"/>
                <w:sz w:val="14"/>
                <w:szCs w:val="14"/>
              </w:rPr>
              <w:t>.</w:t>
            </w:r>
            <w:r w:rsidRPr="003003C0">
              <w:rPr>
                <w:rFonts w:cs="Calibri"/>
                <w:color w:val="000000"/>
                <w:sz w:val="14"/>
                <w:szCs w:val="14"/>
              </w:rPr>
              <w:t>7</w:t>
            </w:r>
          </w:p>
        </w:tc>
        <w:tc>
          <w:tcPr>
            <w:tcW w:w="721" w:type="dxa"/>
            <w:noWrap/>
            <w:vAlign w:val="center"/>
            <w:hideMark/>
          </w:tcPr>
          <w:p w14:paraId="19714040" w14:textId="77777777" w:rsidR="004F64EF" w:rsidRPr="003003C0" w:rsidRDefault="004F64EF" w:rsidP="00FD6B66">
            <w:pPr>
              <w:jc w:val="right"/>
              <w:rPr>
                <w:rFonts w:cs="Calibri"/>
                <w:color w:val="000000"/>
                <w:sz w:val="14"/>
                <w:szCs w:val="14"/>
              </w:rPr>
            </w:pPr>
            <w:r w:rsidRPr="003003C0">
              <w:rPr>
                <w:rFonts w:cs="Calibri"/>
                <w:color w:val="000000"/>
                <w:sz w:val="14"/>
                <w:szCs w:val="14"/>
              </w:rPr>
              <w:t>0</w:t>
            </w:r>
            <w:r>
              <w:rPr>
                <w:rFonts w:cs="Calibri"/>
                <w:color w:val="000000"/>
                <w:sz w:val="14"/>
                <w:szCs w:val="14"/>
              </w:rPr>
              <w:t>.</w:t>
            </w:r>
            <w:r w:rsidRPr="003003C0">
              <w:rPr>
                <w:rFonts w:cs="Calibri"/>
                <w:color w:val="000000"/>
                <w:sz w:val="14"/>
                <w:szCs w:val="14"/>
              </w:rPr>
              <w:t>6</w:t>
            </w:r>
          </w:p>
        </w:tc>
        <w:tc>
          <w:tcPr>
            <w:tcW w:w="722" w:type="dxa"/>
            <w:noWrap/>
            <w:vAlign w:val="center"/>
            <w:hideMark/>
          </w:tcPr>
          <w:p w14:paraId="28BA9105" w14:textId="77777777" w:rsidR="004F64EF" w:rsidRPr="003003C0" w:rsidRDefault="004F64EF" w:rsidP="00FD6B66">
            <w:pPr>
              <w:jc w:val="right"/>
              <w:rPr>
                <w:rFonts w:cs="Calibri"/>
                <w:color w:val="000000"/>
                <w:sz w:val="14"/>
                <w:szCs w:val="14"/>
              </w:rPr>
            </w:pPr>
            <w:r w:rsidRPr="003003C0">
              <w:rPr>
                <w:rFonts w:cs="Calibri"/>
                <w:color w:val="000000"/>
                <w:sz w:val="14"/>
                <w:szCs w:val="14"/>
              </w:rPr>
              <w:t>0</w:t>
            </w:r>
            <w:r>
              <w:rPr>
                <w:rFonts w:cs="Calibri"/>
                <w:color w:val="000000"/>
                <w:sz w:val="14"/>
                <w:szCs w:val="14"/>
              </w:rPr>
              <w:t>.</w:t>
            </w:r>
            <w:r w:rsidRPr="003003C0">
              <w:rPr>
                <w:rFonts w:cs="Calibri"/>
                <w:color w:val="000000"/>
                <w:sz w:val="14"/>
                <w:szCs w:val="14"/>
              </w:rPr>
              <w:t>5</w:t>
            </w:r>
          </w:p>
        </w:tc>
        <w:tc>
          <w:tcPr>
            <w:tcW w:w="722" w:type="dxa"/>
            <w:noWrap/>
            <w:vAlign w:val="center"/>
            <w:hideMark/>
          </w:tcPr>
          <w:p w14:paraId="185A4862" w14:textId="77777777" w:rsidR="004F64EF" w:rsidRPr="003003C0" w:rsidRDefault="004F64EF" w:rsidP="00FD6B66">
            <w:pPr>
              <w:jc w:val="right"/>
              <w:rPr>
                <w:rFonts w:cs="Calibri"/>
                <w:color w:val="000000"/>
                <w:sz w:val="14"/>
                <w:szCs w:val="14"/>
              </w:rPr>
            </w:pPr>
            <w:r w:rsidRPr="003003C0">
              <w:rPr>
                <w:rFonts w:cs="Calibri"/>
                <w:color w:val="000000"/>
                <w:sz w:val="14"/>
                <w:szCs w:val="14"/>
              </w:rPr>
              <w:t>0</w:t>
            </w:r>
            <w:r>
              <w:rPr>
                <w:rFonts w:cs="Calibri"/>
                <w:color w:val="000000"/>
                <w:sz w:val="14"/>
                <w:szCs w:val="14"/>
              </w:rPr>
              <w:t>.</w:t>
            </w:r>
            <w:r w:rsidRPr="003003C0">
              <w:rPr>
                <w:rFonts w:cs="Calibri"/>
                <w:color w:val="000000"/>
                <w:sz w:val="14"/>
                <w:szCs w:val="14"/>
              </w:rPr>
              <w:t>3</w:t>
            </w:r>
          </w:p>
        </w:tc>
        <w:tc>
          <w:tcPr>
            <w:tcW w:w="722" w:type="dxa"/>
            <w:noWrap/>
            <w:vAlign w:val="center"/>
            <w:hideMark/>
          </w:tcPr>
          <w:p w14:paraId="5A9789BA" w14:textId="77777777" w:rsidR="004F64EF" w:rsidRPr="003003C0" w:rsidRDefault="004F64EF" w:rsidP="00FD6B66">
            <w:pPr>
              <w:jc w:val="right"/>
              <w:rPr>
                <w:rFonts w:cs="Calibri"/>
                <w:color w:val="000000"/>
                <w:sz w:val="14"/>
                <w:szCs w:val="14"/>
              </w:rPr>
            </w:pPr>
            <w:r w:rsidRPr="003003C0">
              <w:rPr>
                <w:rFonts w:cs="Calibri"/>
                <w:color w:val="000000"/>
                <w:sz w:val="14"/>
                <w:szCs w:val="14"/>
              </w:rPr>
              <w:t>0</w:t>
            </w:r>
            <w:r>
              <w:rPr>
                <w:rFonts w:cs="Calibri"/>
                <w:color w:val="000000"/>
                <w:sz w:val="14"/>
                <w:szCs w:val="14"/>
              </w:rPr>
              <w:t>.</w:t>
            </w:r>
            <w:r w:rsidRPr="003003C0">
              <w:rPr>
                <w:rFonts w:cs="Calibri"/>
                <w:color w:val="000000"/>
                <w:sz w:val="14"/>
                <w:szCs w:val="14"/>
              </w:rPr>
              <w:t>4</w:t>
            </w:r>
          </w:p>
        </w:tc>
      </w:tr>
      <w:tr w:rsidR="004F64EF" w:rsidRPr="003003C0" w14:paraId="043EC91D" w14:textId="77777777" w:rsidTr="00FD6B66">
        <w:trPr>
          <w:cnfStyle w:val="000000010000" w:firstRow="0" w:lastRow="0" w:firstColumn="0" w:lastColumn="0" w:oddVBand="0" w:evenVBand="0" w:oddHBand="0" w:evenHBand="1" w:firstRowFirstColumn="0" w:firstRowLastColumn="0" w:lastRowFirstColumn="0" w:lastRowLastColumn="0"/>
          <w:trHeight w:val="20"/>
        </w:trPr>
        <w:tc>
          <w:tcPr>
            <w:tcW w:w="3964" w:type="dxa"/>
            <w:noWrap/>
            <w:vAlign w:val="center"/>
            <w:hideMark/>
          </w:tcPr>
          <w:p w14:paraId="3F77118C" w14:textId="77777777" w:rsidR="004F64EF" w:rsidRPr="003003C0" w:rsidRDefault="004F64EF" w:rsidP="00BE2A9F">
            <w:pPr>
              <w:jc w:val="left"/>
              <w:rPr>
                <w:rFonts w:cs="Calibri"/>
                <w:color w:val="000000"/>
                <w:sz w:val="14"/>
                <w:szCs w:val="14"/>
              </w:rPr>
            </w:pPr>
            <w:r w:rsidRPr="003003C0">
              <w:rPr>
                <w:rFonts w:cs="Calibri"/>
                <w:color w:val="000000"/>
                <w:sz w:val="14"/>
                <w:szCs w:val="14"/>
              </w:rPr>
              <w:t xml:space="preserve">9 - </w:t>
            </w:r>
            <w:r w:rsidRPr="00254B13">
              <w:rPr>
                <w:rFonts w:cs="Calibri"/>
                <w:color w:val="000000"/>
                <w:sz w:val="14"/>
                <w:szCs w:val="14"/>
              </w:rPr>
              <w:t>Wood and articles of wood; wood charcoal</w:t>
            </w:r>
          </w:p>
        </w:tc>
        <w:tc>
          <w:tcPr>
            <w:tcW w:w="721" w:type="dxa"/>
            <w:noWrap/>
            <w:vAlign w:val="center"/>
            <w:hideMark/>
          </w:tcPr>
          <w:p w14:paraId="55E8EF58" w14:textId="77777777" w:rsidR="004F64EF" w:rsidRPr="003003C0" w:rsidRDefault="004F64EF" w:rsidP="00BE2A9F">
            <w:pPr>
              <w:jc w:val="right"/>
              <w:rPr>
                <w:rFonts w:cs="Calibri"/>
                <w:color w:val="000000"/>
                <w:sz w:val="14"/>
                <w:szCs w:val="14"/>
              </w:rPr>
            </w:pPr>
            <w:r w:rsidRPr="003003C0">
              <w:rPr>
                <w:rFonts w:cs="Calibri"/>
                <w:color w:val="000000"/>
                <w:sz w:val="14"/>
                <w:szCs w:val="14"/>
              </w:rPr>
              <w:t>1</w:t>
            </w:r>
            <w:r>
              <w:rPr>
                <w:rFonts w:cs="Calibri"/>
                <w:color w:val="000000"/>
                <w:sz w:val="14"/>
                <w:szCs w:val="14"/>
              </w:rPr>
              <w:t>.</w:t>
            </w:r>
            <w:r w:rsidRPr="003003C0">
              <w:rPr>
                <w:rFonts w:cs="Calibri"/>
                <w:color w:val="000000"/>
                <w:sz w:val="14"/>
                <w:szCs w:val="14"/>
              </w:rPr>
              <w:t>0</w:t>
            </w:r>
          </w:p>
        </w:tc>
        <w:tc>
          <w:tcPr>
            <w:tcW w:w="722" w:type="dxa"/>
            <w:noWrap/>
            <w:vAlign w:val="center"/>
            <w:hideMark/>
          </w:tcPr>
          <w:p w14:paraId="6432D863" w14:textId="77777777" w:rsidR="004F64EF" w:rsidRPr="003003C0" w:rsidRDefault="004F64EF" w:rsidP="00BE2A9F">
            <w:pPr>
              <w:jc w:val="right"/>
              <w:rPr>
                <w:rFonts w:cs="Calibri"/>
                <w:color w:val="000000"/>
                <w:sz w:val="14"/>
                <w:szCs w:val="14"/>
              </w:rPr>
            </w:pPr>
            <w:r w:rsidRPr="003003C0">
              <w:rPr>
                <w:rFonts w:cs="Calibri"/>
                <w:color w:val="000000"/>
                <w:sz w:val="14"/>
                <w:szCs w:val="14"/>
              </w:rPr>
              <w:t>0</w:t>
            </w:r>
            <w:r>
              <w:rPr>
                <w:rFonts w:cs="Calibri"/>
                <w:color w:val="000000"/>
                <w:sz w:val="14"/>
                <w:szCs w:val="14"/>
              </w:rPr>
              <w:t>.</w:t>
            </w:r>
            <w:r w:rsidRPr="003003C0">
              <w:rPr>
                <w:rFonts w:cs="Calibri"/>
                <w:color w:val="000000"/>
                <w:sz w:val="14"/>
                <w:szCs w:val="14"/>
              </w:rPr>
              <w:t>9</w:t>
            </w:r>
          </w:p>
        </w:tc>
        <w:tc>
          <w:tcPr>
            <w:tcW w:w="722" w:type="dxa"/>
            <w:noWrap/>
            <w:vAlign w:val="center"/>
            <w:hideMark/>
          </w:tcPr>
          <w:p w14:paraId="0DA42A81" w14:textId="77777777" w:rsidR="004F64EF" w:rsidRPr="003003C0" w:rsidRDefault="004F64EF" w:rsidP="00BE2A9F">
            <w:pPr>
              <w:jc w:val="right"/>
              <w:rPr>
                <w:rFonts w:cs="Calibri"/>
                <w:color w:val="000000"/>
                <w:sz w:val="14"/>
                <w:szCs w:val="14"/>
              </w:rPr>
            </w:pPr>
            <w:r w:rsidRPr="003003C0">
              <w:rPr>
                <w:rFonts w:cs="Calibri"/>
                <w:color w:val="000000"/>
                <w:sz w:val="14"/>
                <w:szCs w:val="14"/>
              </w:rPr>
              <w:t>0</w:t>
            </w:r>
            <w:r>
              <w:rPr>
                <w:rFonts w:cs="Calibri"/>
                <w:color w:val="000000"/>
                <w:sz w:val="14"/>
                <w:szCs w:val="14"/>
              </w:rPr>
              <w:t>.</w:t>
            </w:r>
            <w:r w:rsidRPr="003003C0">
              <w:rPr>
                <w:rFonts w:cs="Calibri"/>
                <w:color w:val="000000"/>
                <w:sz w:val="14"/>
                <w:szCs w:val="14"/>
              </w:rPr>
              <w:t>9</w:t>
            </w:r>
          </w:p>
        </w:tc>
        <w:tc>
          <w:tcPr>
            <w:tcW w:w="721" w:type="dxa"/>
            <w:noWrap/>
            <w:vAlign w:val="center"/>
            <w:hideMark/>
          </w:tcPr>
          <w:p w14:paraId="6DFF56D9" w14:textId="77777777" w:rsidR="004F64EF" w:rsidRPr="003003C0" w:rsidRDefault="004F64EF" w:rsidP="00BE2A9F">
            <w:pPr>
              <w:jc w:val="right"/>
              <w:rPr>
                <w:rFonts w:cs="Calibri"/>
                <w:color w:val="000000"/>
                <w:sz w:val="14"/>
                <w:szCs w:val="14"/>
              </w:rPr>
            </w:pPr>
            <w:r w:rsidRPr="003003C0">
              <w:rPr>
                <w:rFonts w:cs="Calibri"/>
                <w:color w:val="000000"/>
                <w:sz w:val="14"/>
                <w:szCs w:val="14"/>
              </w:rPr>
              <w:t>0</w:t>
            </w:r>
            <w:r>
              <w:rPr>
                <w:rFonts w:cs="Calibri"/>
                <w:color w:val="000000"/>
                <w:sz w:val="14"/>
                <w:szCs w:val="14"/>
              </w:rPr>
              <w:t>.</w:t>
            </w:r>
            <w:r w:rsidRPr="003003C0">
              <w:rPr>
                <w:rFonts w:cs="Calibri"/>
                <w:color w:val="000000"/>
                <w:sz w:val="14"/>
                <w:szCs w:val="14"/>
              </w:rPr>
              <w:t>9</w:t>
            </w:r>
          </w:p>
        </w:tc>
        <w:tc>
          <w:tcPr>
            <w:tcW w:w="722" w:type="dxa"/>
            <w:noWrap/>
            <w:vAlign w:val="center"/>
            <w:hideMark/>
          </w:tcPr>
          <w:p w14:paraId="77B3C7AD" w14:textId="77777777" w:rsidR="004F64EF" w:rsidRPr="003003C0" w:rsidRDefault="004F64EF" w:rsidP="00BE2A9F">
            <w:pPr>
              <w:jc w:val="right"/>
              <w:rPr>
                <w:rFonts w:cs="Calibri"/>
                <w:color w:val="000000"/>
                <w:sz w:val="14"/>
                <w:szCs w:val="14"/>
              </w:rPr>
            </w:pPr>
            <w:r w:rsidRPr="003003C0">
              <w:rPr>
                <w:rFonts w:cs="Calibri"/>
                <w:color w:val="000000"/>
                <w:sz w:val="14"/>
                <w:szCs w:val="14"/>
              </w:rPr>
              <w:t>0</w:t>
            </w:r>
            <w:r>
              <w:rPr>
                <w:rFonts w:cs="Calibri"/>
                <w:color w:val="000000"/>
                <w:sz w:val="14"/>
                <w:szCs w:val="14"/>
              </w:rPr>
              <w:t>.</w:t>
            </w:r>
            <w:r w:rsidRPr="003003C0">
              <w:rPr>
                <w:rFonts w:cs="Calibri"/>
                <w:color w:val="000000"/>
                <w:sz w:val="14"/>
                <w:szCs w:val="14"/>
              </w:rPr>
              <w:t>9</w:t>
            </w:r>
          </w:p>
        </w:tc>
        <w:tc>
          <w:tcPr>
            <w:tcW w:w="722" w:type="dxa"/>
            <w:noWrap/>
            <w:vAlign w:val="center"/>
            <w:hideMark/>
          </w:tcPr>
          <w:p w14:paraId="470039FF" w14:textId="77777777" w:rsidR="004F64EF" w:rsidRPr="003003C0" w:rsidRDefault="004F64EF" w:rsidP="00BE2A9F">
            <w:pPr>
              <w:jc w:val="right"/>
              <w:rPr>
                <w:rFonts w:cs="Calibri"/>
                <w:color w:val="000000"/>
                <w:sz w:val="14"/>
                <w:szCs w:val="14"/>
              </w:rPr>
            </w:pPr>
            <w:r w:rsidRPr="003003C0">
              <w:rPr>
                <w:rFonts w:cs="Calibri"/>
                <w:color w:val="000000"/>
                <w:sz w:val="14"/>
                <w:szCs w:val="14"/>
              </w:rPr>
              <w:t>0</w:t>
            </w:r>
            <w:r>
              <w:rPr>
                <w:rFonts w:cs="Calibri"/>
                <w:color w:val="000000"/>
                <w:sz w:val="14"/>
                <w:szCs w:val="14"/>
              </w:rPr>
              <w:t>.</w:t>
            </w:r>
            <w:r w:rsidRPr="003003C0">
              <w:rPr>
                <w:rFonts w:cs="Calibri"/>
                <w:color w:val="000000"/>
                <w:sz w:val="14"/>
                <w:szCs w:val="14"/>
              </w:rPr>
              <w:t>8</w:t>
            </w:r>
          </w:p>
        </w:tc>
        <w:tc>
          <w:tcPr>
            <w:tcW w:w="722" w:type="dxa"/>
            <w:noWrap/>
            <w:vAlign w:val="center"/>
            <w:hideMark/>
          </w:tcPr>
          <w:p w14:paraId="6EBDD91B" w14:textId="77777777" w:rsidR="004F64EF" w:rsidRPr="003003C0" w:rsidRDefault="004F64EF" w:rsidP="00BE2A9F">
            <w:pPr>
              <w:jc w:val="right"/>
              <w:rPr>
                <w:rFonts w:cs="Calibri"/>
                <w:color w:val="000000"/>
                <w:sz w:val="14"/>
                <w:szCs w:val="14"/>
              </w:rPr>
            </w:pPr>
            <w:r w:rsidRPr="003003C0">
              <w:rPr>
                <w:rFonts w:cs="Calibri"/>
                <w:color w:val="000000"/>
                <w:sz w:val="14"/>
                <w:szCs w:val="14"/>
              </w:rPr>
              <w:t>1</w:t>
            </w:r>
            <w:r>
              <w:rPr>
                <w:rFonts w:cs="Calibri"/>
                <w:color w:val="000000"/>
                <w:sz w:val="14"/>
                <w:szCs w:val="14"/>
              </w:rPr>
              <w:t>.</w:t>
            </w:r>
            <w:r w:rsidRPr="003003C0">
              <w:rPr>
                <w:rFonts w:cs="Calibri"/>
                <w:color w:val="000000"/>
                <w:sz w:val="14"/>
                <w:szCs w:val="14"/>
              </w:rPr>
              <w:t>0</w:t>
            </w:r>
          </w:p>
        </w:tc>
      </w:tr>
      <w:tr w:rsidR="004F64EF" w:rsidRPr="003003C0" w14:paraId="7612AFCA" w14:textId="77777777" w:rsidTr="00FD6B66">
        <w:trPr>
          <w:trHeight w:val="20"/>
        </w:trPr>
        <w:tc>
          <w:tcPr>
            <w:tcW w:w="3964" w:type="dxa"/>
            <w:noWrap/>
            <w:vAlign w:val="center"/>
            <w:hideMark/>
          </w:tcPr>
          <w:p w14:paraId="77B60B03" w14:textId="77777777" w:rsidR="004F64EF" w:rsidRPr="003003C0" w:rsidRDefault="004F64EF" w:rsidP="00BE2A9F">
            <w:pPr>
              <w:tabs>
                <w:tab w:val="left" w:pos="227"/>
              </w:tabs>
              <w:jc w:val="left"/>
              <w:rPr>
                <w:rFonts w:cs="Calibri"/>
                <w:color w:val="000000"/>
                <w:sz w:val="14"/>
                <w:szCs w:val="14"/>
              </w:rPr>
            </w:pPr>
            <w:r w:rsidRPr="003003C0">
              <w:rPr>
                <w:rFonts w:cs="Calibri"/>
                <w:color w:val="000000"/>
                <w:sz w:val="14"/>
                <w:szCs w:val="14"/>
              </w:rPr>
              <w:tab/>
              <w:t xml:space="preserve">44. </w:t>
            </w:r>
            <w:r w:rsidRPr="00254B13">
              <w:rPr>
                <w:rFonts w:cs="Calibri"/>
                <w:color w:val="000000"/>
                <w:sz w:val="14"/>
                <w:szCs w:val="14"/>
              </w:rPr>
              <w:t>Wood and articles of wood; wood charcoal</w:t>
            </w:r>
          </w:p>
        </w:tc>
        <w:tc>
          <w:tcPr>
            <w:tcW w:w="721" w:type="dxa"/>
            <w:noWrap/>
            <w:vAlign w:val="center"/>
            <w:hideMark/>
          </w:tcPr>
          <w:p w14:paraId="1DD17C1C" w14:textId="77777777" w:rsidR="004F64EF" w:rsidRPr="003003C0" w:rsidRDefault="004F64EF" w:rsidP="00BE2A9F">
            <w:pPr>
              <w:jc w:val="right"/>
              <w:rPr>
                <w:rFonts w:cs="Calibri"/>
                <w:color w:val="000000"/>
                <w:sz w:val="14"/>
                <w:szCs w:val="14"/>
              </w:rPr>
            </w:pPr>
            <w:r w:rsidRPr="003003C0">
              <w:rPr>
                <w:rFonts w:cs="Calibri"/>
                <w:color w:val="000000"/>
                <w:sz w:val="14"/>
                <w:szCs w:val="14"/>
              </w:rPr>
              <w:t>1</w:t>
            </w:r>
            <w:r>
              <w:rPr>
                <w:rFonts w:cs="Calibri"/>
                <w:color w:val="000000"/>
                <w:sz w:val="14"/>
                <w:szCs w:val="14"/>
              </w:rPr>
              <w:t>.</w:t>
            </w:r>
            <w:r w:rsidRPr="003003C0">
              <w:rPr>
                <w:rFonts w:cs="Calibri"/>
                <w:color w:val="000000"/>
                <w:sz w:val="14"/>
                <w:szCs w:val="14"/>
              </w:rPr>
              <w:t>0</w:t>
            </w:r>
          </w:p>
        </w:tc>
        <w:tc>
          <w:tcPr>
            <w:tcW w:w="722" w:type="dxa"/>
            <w:noWrap/>
            <w:vAlign w:val="center"/>
            <w:hideMark/>
          </w:tcPr>
          <w:p w14:paraId="08930821" w14:textId="77777777" w:rsidR="004F64EF" w:rsidRPr="003003C0" w:rsidRDefault="004F64EF" w:rsidP="00BE2A9F">
            <w:pPr>
              <w:jc w:val="right"/>
              <w:rPr>
                <w:rFonts w:cs="Calibri"/>
                <w:color w:val="000000"/>
                <w:sz w:val="14"/>
                <w:szCs w:val="14"/>
              </w:rPr>
            </w:pPr>
            <w:r w:rsidRPr="003003C0">
              <w:rPr>
                <w:rFonts w:cs="Calibri"/>
                <w:color w:val="000000"/>
                <w:sz w:val="14"/>
                <w:szCs w:val="14"/>
              </w:rPr>
              <w:t>0</w:t>
            </w:r>
            <w:r>
              <w:rPr>
                <w:rFonts w:cs="Calibri"/>
                <w:color w:val="000000"/>
                <w:sz w:val="14"/>
                <w:szCs w:val="14"/>
              </w:rPr>
              <w:t>.</w:t>
            </w:r>
            <w:r w:rsidRPr="003003C0">
              <w:rPr>
                <w:rFonts w:cs="Calibri"/>
                <w:color w:val="000000"/>
                <w:sz w:val="14"/>
                <w:szCs w:val="14"/>
              </w:rPr>
              <w:t>9</w:t>
            </w:r>
          </w:p>
        </w:tc>
        <w:tc>
          <w:tcPr>
            <w:tcW w:w="722" w:type="dxa"/>
            <w:noWrap/>
            <w:vAlign w:val="center"/>
            <w:hideMark/>
          </w:tcPr>
          <w:p w14:paraId="0BAB982F" w14:textId="77777777" w:rsidR="004F64EF" w:rsidRPr="003003C0" w:rsidRDefault="004F64EF" w:rsidP="00BE2A9F">
            <w:pPr>
              <w:jc w:val="right"/>
              <w:rPr>
                <w:rFonts w:cs="Calibri"/>
                <w:color w:val="000000"/>
                <w:sz w:val="14"/>
                <w:szCs w:val="14"/>
              </w:rPr>
            </w:pPr>
            <w:r w:rsidRPr="003003C0">
              <w:rPr>
                <w:rFonts w:cs="Calibri"/>
                <w:color w:val="000000"/>
                <w:sz w:val="14"/>
                <w:szCs w:val="14"/>
              </w:rPr>
              <w:t>0</w:t>
            </w:r>
            <w:r>
              <w:rPr>
                <w:rFonts w:cs="Calibri"/>
                <w:color w:val="000000"/>
                <w:sz w:val="14"/>
                <w:szCs w:val="14"/>
              </w:rPr>
              <w:t>.</w:t>
            </w:r>
            <w:r w:rsidRPr="003003C0">
              <w:rPr>
                <w:rFonts w:cs="Calibri"/>
                <w:color w:val="000000"/>
                <w:sz w:val="14"/>
                <w:szCs w:val="14"/>
              </w:rPr>
              <w:t>9</w:t>
            </w:r>
          </w:p>
        </w:tc>
        <w:tc>
          <w:tcPr>
            <w:tcW w:w="721" w:type="dxa"/>
            <w:noWrap/>
            <w:vAlign w:val="center"/>
            <w:hideMark/>
          </w:tcPr>
          <w:p w14:paraId="50F9ED68" w14:textId="77777777" w:rsidR="004F64EF" w:rsidRPr="003003C0" w:rsidRDefault="004F64EF" w:rsidP="00BE2A9F">
            <w:pPr>
              <w:jc w:val="right"/>
              <w:rPr>
                <w:rFonts w:cs="Calibri"/>
                <w:color w:val="000000"/>
                <w:sz w:val="14"/>
                <w:szCs w:val="14"/>
              </w:rPr>
            </w:pPr>
            <w:r w:rsidRPr="003003C0">
              <w:rPr>
                <w:rFonts w:cs="Calibri"/>
                <w:color w:val="000000"/>
                <w:sz w:val="14"/>
                <w:szCs w:val="14"/>
              </w:rPr>
              <w:t>0</w:t>
            </w:r>
            <w:r>
              <w:rPr>
                <w:rFonts w:cs="Calibri"/>
                <w:color w:val="000000"/>
                <w:sz w:val="14"/>
                <w:szCs w:val="14"/>
              </w:rPr>
              <w:t>.</w:t>
            </w:r>
            <w:r w:rsidRPr="003003C0">
              <w:rPr>
                <w:rFonts w:cs="Calibri"/>
                <w:color w:val="000000"/>
                <w:sz w:val="14"/>
                <w:szCs w:val="14"/>
              </w:rPr>
              <w:t>9</w:t>
            </w:r>
          </w:p>
        </w:tc>
        <w:tc>
          <w:tcPr>
            <w:tcW w:w="722" w:type="dxa"/>
            <w:noWrap/>
            <w:vAlign w:val="center"/>
            <w:hideMark/>
          </w:tcPr>
          <w:p w14:paraId="1F15A0AD" w14:textId="77777777" w:rsidR="004F64EF" w:rsidRPr="003003C0" w:rsidRDefault="004F64EF" w:rsidP="00BE2A9F">
            <w:pPr>
              <w:jc w:val="right"/>
              <w:rPr>
                <w:rFonts w:cs="Calibri"/>
                <w:color w:val="000000"/>
                <w:sz w:val="14"/>
                <w:szCs w:val="14"/>
              </w:rPr>
            </w:pPr>
            <w:r w:rsidRPr="003003C0">
              <w:rPr>
                <w:rFonts w:cs="Calibri"/>
                <w:color w:val="000000"/>
                <w:sz w:val="14"/>
                <w:szCs w:val="14"/>
              </w:rPr>
              <w:t>0</w:t>
            </w:r>
            <w:r>
              <w:rPr>
                <w:rFonts w:cs="Calibri"/>
                <w:color w:val="000000"/>
                <w:sz w:val="14"/>
                <w:szCs w:val="14"/>
              </w:rPr>
              <w:t>.</w:t>
            </w:r>
            <w:r w:rsidRPr="003003C0">
              <w:rPr>
                <w:rFonts w:cs="Calibri"/>
                <w:color w:val="000000"/>
                <w:sz w:val="14"/>
                <w:szCs w:val="14"/>
              </w:rPr>
              <w:t>9</w:t>
            </w:r>
          </w:p>
        </w:tc>
        <w:tc>
          <w:tcPr>
            <w:tcW w:w="722" w:type="dxa"/>
            <w:noWrap/>
            <w:vAlign w:val="center"/>
            <w:hideMark/>
          </w:tcPr>
          <w:p w14:paraId="1BC1C3EC" w14:textId="77777777" w:rsidR="004F64EF" w:rsidRPr="003003C0" w:rsidRDefault="004F64EF" w:rsidP="00BE2A9F">
            <w:pPr>
              <w:jc w:val="right"/>
              <w:rPr>
                <w:rFonts w:cs="Calibri"/>
                <w:color w:val="000000"/>
                <w:sz w:val="14"/>
                <w:szCs w:val="14"/>
              </w:rPr>
            </w:pPr>
            <w:r w:rsidRPr="003003C0">
              <w:rPr>
                <w:rFonts w:cs="Calibri"/>
                <w:color w:val="000000"/>
                <w:sz w:val="14"/>
                <w:szCs w:val="14"/>
              </w:rPr>
              <w:t>0</w:t>
            </w:r>
            <w:r>
              <w:rPr>
                <w:rFonts w:cs="Calibri"/>
                <w:color w:val="000000"/>
                <w:sz w:val="14"/>
                <w:szCs w:val="14"/>
              </w:rPr>
              <w:t>.</w:t>
            </w:r>
            <w:r w:rsidRPr="003003C0">
              <w:rPr>
                <w:rFonts w:cs="Calibri"/>
                <w:color w:val="000000"/>
                <w:sz w:val="14"/>
                <w:szCs w:val="14"/>
              </w:rPr>
              <w:t>8</w:t>
            </w:r>
          </w:p>
        </w:tc>
        <w:tc>
          <w:tcPr>
            <w:tcW w:w="722" w:type="dxa"/>
            <w:noWrap/>
            <w:vAlign w:val="center"/>
            <w:hideMark/>
          </w:tcPr>
          <w:p w14:paraId="7385FB9D" w14:textId="77777777" w:rsidR="004F64EF" w:rsidRPr="003003C0" w:rsidRDefault="004F64EF" w:rsidP="00BE2A9F">
            <w:pPr>
              <w:jc w:val="right"/>
              <w:rPr>
                <w:rFonts w:cs="Calibri"/>
                <w:color w:val="000000"/>
                <w:sz w:val="14"/>
                <w:szCs w:val="14"/>
              </w:rPr>
            </w:pPr>
            <w:r w:rsidRPr="003003C0">
              <w:rPr>
                <w:rFonts w:cs="Calibri"/>
                <w:color w:val="000000"/>
                <w:sz w:val="14"/>
                <w:szCs w:val="14"/>
              </w:rPr>
              <w:t>1</w:t>
            </w:r>
            <w:r>
              <w:rPr>
                <w:rFonts w:cs="Calibri"/>
                <w:color w:val="000000"/>
                <w:sz w:val="14"/>
                <w:szCs w:val="14"/>
              </w:rPr>
              <w:t>.</w:t>
            </w:r>
            <w:r w:rsidRPr="003003C0">
              <w:rPr>
                <w:rFonts w:cs="Calibri"/>
                <w:color w:val="000000"/>
                <w:sz w:val="14"/>
                <w:szCs w:val="14"/>
              </w:rPr>
              <w:t>0</w:t>
            </w:r>
          </w:p>
        </w:tc>
      </w:tr>
      <w:tr w:rsidR="004F64EF" w:rsidRPr="003003C0" w14:paraId="4EB0D430" w14:textId="77777777" w:rsidTr="00FD6B66">
        <w:trPr>
          <w:cnfStyle w:val="000000010000" w:firstRow="0" w:lastRow="0" w:firstColumn="0" w:lastColumn="0" w:oddVBand="0" w:evenVBand="0" w:oddHBand="0" w:evenHBand="1" w:firstRowFirstColumn="0" w:firstRowLastColumn="0" w:lastRowFirstColumn="0" w:lastRowLastColumn="0"/>
          <w:trHeight w:val="20"/>
        </w:trPr>
        <w:tc>
          <w:tcPr>
            <w:tcW w:w="3964" w:type="dxa"/>
            <w:noWrap/>
            <w:vAlign w:val="center"/>
            <w:hideMark/>
          </w:tcPr>
          <w:p w14:paraId="45EEDF07" w14:textId="77777777" w:rsidR="004F64EF" w:rsidRPr="003003C0" w:rsidRDefault="004F64EF" w:rsidP="00FD6B66">
            <w:pPr>
              <w:jc w:val="left"/>
              <w:rPr>
                <w:rFonts w:cs="Calibri"/>
                <w:color w:val="000000"/>
                <w:sz w:val="14"/>
                <w:szCs w:val="14"/>
              </w:rPr>
            </w:pPr>
            <w:r w:rsidRPr="003003C0">
              <w:rPr>
                <w:rFonts w:cs="Calibri"/>
                <w:color w:val="000000"/>
                <w:sz w:val="14"/>
                <w:szCs w:val="14"/>
              </w:rPr>
              <w:t xml:space="preserve">10 - </w:t>
            </w:r>
            <w:r w:rsidRPr="00254B13">
              <w:rPr>
                <w:rFonts w:cs="Calibri"/>
                <w:color w:val="000000"/>
                <w:sz w:val="14"/>
                <w:szCs w:val="14"/>
              </w:rPr>
              <w:t>Pulp of wood or of other fibrous cellulosic material; paper and paperboard and articles thereof</w:t>
            </w:r>
          </w:p>
        </w:tc>
        <w:tc>
          <w:tcPr>
            <w:tcW w:w="721" w:type="dxa"/>
            <w:noWrap/>
            <w:vAlign w:val="center"/>
            <w:hideMark/>
          </w:tcPr>
          <w:p w14:paraId="77EEF91D" w14:textId="77777777" w:rsidR="004F64EF" w:rsidRPr="003003C0" w:rsidRDefault="004F64EF" w:rsidP="00FD6B66">
            <w:pPr>
              <w:jc w:val="right"/>
              <w:rPr>
                <w:rFonts w:cs="Calibri"/>
                <w:color w:val="000000"/>
                <w:sz w:val="14"/>
                <w:szCs w:val="14"/>
              </w:rPr>
            </w:pPr>
            <w:r w:rsidRPr="003003C0">
              <w:rPr>
                <w:rFonts w:cs="Calibri"/>
                <w:color w:val="000000"/>
                <w:sz w:val="14"/>
                <w:szCs w:val="14"/>
              </w:rPr>
              <w:t>3</w:t>
            </w:r>
            <w:r>
              <w:rPr>
                <w:rFonts w:cs="Calibri"/>
                <w:color w:val="000000"/>
                <w:sz w:val="14"/>
                <w:szCs w:val="14"/>
              </w:rPr>
              <w:t>.</w:t>
            </w:r>
            <w:r w:rsidRPr="003003C0">
              <w:rPr>
                <w:rFonts w:cs="Calibri"/>
                <w:color w:val="000000"/>
                <w:sz w:val="14"/>
                <w:szCs w:val="14"/>
              </w:rPr>
              <w:t>1</w:t>
            </w:r>
          </w:p>
        </w:tc>
        <w:tc>
          <w:tcPr>
            <w:tcW w:w="722" w:type="dxa"/>
            <w:noWrap/>
            <w:vAlign w:val="center"/>
            <w:hideMark/>
          </w:tcPr>
          <w:p w14:paraId="25D7CB1E" w14:textId="77777777" w:rsidR="004F64EF" w:rsidRPr="003003C0" w:rsidRDefault="004F64EF" w:rsidP="00FD6B66">
            <w:pPr>
              <w:jc w:val="right"/>
              <w:rPr>
                <w:rFonts w:cs="Calibri"/>
                <w:color w:val="000000"/>
                <w:sz w:val="14"/>
                <w:szCs w:val="14"/>
              </w:rPr>
            </w:pPr>
            <w:r w:rsidRPr="003003C0">
              <w:rPr>
                <w:rFonts w:cs="Calibri"/>
                <w:color w:val="000000"/>
                <w:sz w:val="14"/>
                <w:szCs w:val="14"/>
              </w:rPr>
              <w:t>2</w:t>
            </w:r>
            <w:r>
              <w:rPr>
                <w:rFonts w:cs="Calibri"/>
                <w:color w:val="000000"/>
                <w:sz w:val="14"/>
                <w:szCs w:val="14"/>
              </w:rPr>
              <w:t>.</w:t>
            </w:r>
            <w:r w:rsidRPr="003003C0">
              <w:rPr>
                <w:rFonts w:cs="Calibri"/>
                <w:color w:val="000000"/>
                <w:sz w:val="14"/>
                <w:szCs w:val="14"/>
              </w:rPr>
              <w:t>9</w:t>
            </w:r>
          </w:p>
        </w:tc>
        <w:tc>
          <w:tcPr>
            <w:tcW w:w="722" w:type="dxa"/>
            <w:noWrap/>
            <w:vAlign w:val="center"/>
            <w:hideMark/>
          </w:tcPr>
          <w:p w14:paraId="629801DB" w14:textId="77777777" w:rsidR="004F64EF" w:rsidRPr="003003C0" w:rsidRDefault="004F64EF" w:rsidP="00FD6B66">
            <w:pPr>
              <w:jc w:val="right"/>
              <w:rPr>
                <w:rFonts w:cs="Calibri"/>
                <w:color w:val="000000"/>
                <w:sz w:val="14"/>
                <w:szCs w:val="14"/>
              </w:rPr>
            </w:pPr>
            <w:r w:rsidRPr="003003C0">
              <w:rPr>
                <w:rFonts w:cs="Calibri"/>
                <w:color w:val="000000"/>
                <w:sz w:val="14"/>
                <w:szCs w:val="14"/>
              </w:rPr>
              <w:t>3</w:t>
            </w:r>
            <w:r>
              <w:rPr>
                <w:rFonts w:cs="Calibri"/>
                <w:color w:val="000000"/>
                <w:sz w:val="14"/>
                <w:szCs w:val="14"/>
              </w:rPr>
              <w:t>.</w:t>
            </w:r>
            <w:r w:rsidRPr="003003C0">
              <w:rPr>
                <w:rFonts w:cs="Calibri"/>
                <w:color w:val="000000"/>
                <w:sz w:val="14"/>
                <w:szCs w:val="14"/>
              </w:rPr>
              <w:t>1</w:t>
            </w:r>
          </w:p>
        </w:tc>
        <w:tc>
          <w:tcPr>
            <w:tcW w:w="721" w:type="dxa"/>
            <w:noWrap/>
            <w:vAlign w:val="center"/>
            <w:hideMark/>
          </w:tcPr>
          <w:p w14:paraId="7C8C2517" w14:textId="77777777" w:rsidR="004F64EF" w:rsidRPr="003003C0" w:rsidRDefault="004F64EF" w:rsidP="00FD6B66">
            <w:pPr>
              <w:jc w:val="right"/>
              <w:rPr>
                <w:rFonts w:cs="Calibri"/>
                <w:color w:val="000000"/>
                <w:sz w:val="14"/>
                <w:szCs w:val="14"/>
              </w:rPr>
            </w:pPr>
            <w:r w:rsidRPr="003003C0">
              <w:rPr>
                <w:rFonts w:cs="Calibri"/>
                <w:color w:val="000000"/>
                <w:sz w:val="14"/>
                <w:szCs w:val="14"/>
              </w:rPr>
              <w:t>2</w:t>
            </w:r>
            <w:r>
              <w:rPr>
                <w:rFonts w:cs="Calibri"/>
                <w:color w:val="000000"/>
                <w:sz w:val="14"/>
                <w:szCs w:val="14"/>
              </w:rPr>
              <w:t>.</w:t>
            </w:r>
            <w:r w:rsidRPr="003003C0">
              <w:rPr>
                <w:rFonts w:cs="Calibri"/>
                <w:color w:val="000000"/>
                <w:sz w:val="14"/>
                <w:szCs w:val="14"/>
              </w:rPr>
              <w:t>9</w:t>
            </w:r>
          </w:p>
        </w:tc>
        <w:tc>
          <w:tcPr>
            <w:tcW w:w="722" w:type="dxa"/>
            <w:noWrap/>
            <w:vAlign w:val="center"/>
            <w:hideMark/>
          </w:tcPr>
          <w:p w14:paraId="2777F132" w14:textId="77777777" w:rsidR="004F64EF" w:rsidRPr="003003C0" w:rsidRDefault="004F64EF" w:rsidP="00FD6B66">
            <w:pPr>
              <w:jc w:val="right"/>
              <w:rPr>
                <w:rFonts w:cs="Calibri"/>
                <w:color w:val="000000"/>
                <w:sz w:val="14"/>
                <w:szCs w:val="14"/>
              </w:rPr>
            </w:pPr>
            <w:r w:rsidRPr="003003C0">
              <w:rPr>
                <w:rFonts w:cs="Calibri"/>
                <w:color w:val="000000"/>
                <w:sz w:val="14"/>
                <w:szCs w:val="14"/>
              </w:rPr>
              <w:t>2</w:t>
            </w:r>
            <w:r>
              <w:rPr>
                <w:rFonts w:cs="Calibri"/>
                <w:color w:val="000000"/>
                <w:sz w:val="14"/>
                <w:szCs w:val="14"/>
              </w:rPr>
              <w:t>.</w:t>
            </w:r>
            <w:r w:rsidRPr="003003C0">
              <w:rPr>
                <w:rFonts w:cs="Calibri"/>
                <w:color w:val="000000"/>
                <w:sz w:val="14"/>
                <w:szCs w:val="14"/>
              </w:rPr>
              <w:t>8</w:t>
            </w:r>
          </w:p>
        </w:tc>
        <w:tc>
          <w:tcPr>
            <w:tcW w:w="722" w:type="dxa"/>
            <w:noWrap/>
            <w:vAlign w:val="center"/>
            <w:hideMark/>
          </w:tcPr>
          <w:p w14:paraId="3F6CDF29" w14:textId="77777777" w:rsidR="004F64EF" w:rsidRPr="003003C0" w:rsidRDefault="004F64EF" w:rsidP="00FD6B66">
            <w:pPr>
              <w:jc w:val="right"/>
              <w:rPr>
                <w:rFonts w:cs="Calibri"/>
                <w:color w:val="000000"/>
                <w:sz w:val="14"/>
                <w:szCs w:val="14"/>
              </w:rPr>
            </w:pPr>
            <w:r w:rsidRPr="003003C0">
              <w:rPr>
                <w:rFonts w:cs="Calibri"/>
                <w:color w:val="000000"/>
                <w:sz w:val="14"/>
                <w:szCs w:val="14"/>
              </w:rPr>
              <w:t>3</w:t>
            </w:r>
            <w:r>
              <w:rPr>
                <w:rFonts w:cs="Calibri"/>
                <w:color w:val="000000"/>
                <w:sz w:val="14"/>
                <w:szCs w:val="14"/>
              </w:rPr>
              <w:t>.</w:t>
            </w:r>
            <w:r w:rsidRPr="003003C0">
              <w:rPr>
                <w:rFonts w:cs="Calibri"/>
                <w:color w:val="000000"/>
                <w:sz w:val="14"/>
                <w:szCs w:val="14"/>
              </w:rPr>
              <w:t>0</w:t>
            </w:r>
          </w:p>
        </w:tc>
        <w:tc>
          <w:tcPr>
            <w:tcW w:w="722" w:type="dxa"/>
            <w:noWrap/>
            <w:vAlign w:val="center"/>
            <w:hideMark/>
          </w:tcPr>
          <w:p w14:paraId="4EB9F31F" w14:textId="77777777" w:rsidR="004F64EF" w:rsidRPr="003003C0" w:rsidRDefault="004F64EF" w:rsidP="00FD6B66">
            <w:pPr>
              <w:jc w:val="right"/>
              <w:rPr>
                <w:rFonts w:cs="Calibri"/>
                <w:color w:val="000000"/>
                <w:sz w:val="14"/>
                <w:szCs w:val="14"/>
              </w:rPr>
            </w:pPr>
            <w:r w:rsidRPr="003003C0">
              <w:rPr>
                <w:rFonts w:cs="Calibri"/>
                <w:color w:val="000000"/>
                <w:sz w:val="14"/>
                <w:szCs w:val="14"/>
              </w:rPr>
              <w:t>2</w:t>
            </w:r>
            <w:r>
              <w:rPr>
                <w:rFonts w:cs="Calibri"/>
                <w:color w:val="000000"/>
                <w:sz w:val="14"/>
                <w:szCs w:val="14"/>
              </w:rPr>
              <w:t>.</w:t>
            </w:r>
            <w:r w:rsidRPr="003003C0">
              <w:rPr>
                <w:rFonts w:cs="Calibri"/>
                <w:color w:val="000000"/>
                <w:sz w:val="14"/>
                <w:szCs w:val="14"/>
              </w:rPr>
              <w:t>9</w:t>
            </w:r>
          </w:p>
        </w:tc>
      </w:tr>
      <w:tr w:rsidR="004F64EF" w:rsidRPr="003003C0" w14:paraId="09976B8E" w14:textId="77777777" w:rsidTr="00FD6B66">
        <w:trPr>
          <w:trHeight w:val="20"/>
        </w:trPr>
        <w:tc>
          <w:tcPr>
            <w:tcW w:w="3964" w:type="dxa"/>
            <w:noWrap/>
            <w:vAlign w:val="center"/>
            <w:hideMark/>
          </w:tcPr>
          <w:p w14:paraId="70C90CCD" w14:textId="77777777" w:rsidR="004F64EF" w:rsidRPr="003003C0" w:rsidRDefault="004F64EF" w:rsidP="00B22563">
            <w:pPr>
              <w:tabs>
                <w:tab w:val="left" w:pos="227"/>
              </w:tabs>
              <w:ind w:left="227" w:hanging="227"/>
              <w:jc w:val="left"/>
              <w:rPr>
                <w:rFonts w:cs="Calibri"/>
                <w:color w:val="000000"/>
                <w:sz w:val="14"/>
                <w:szCs w:val="14"/>
              </w:rPr>
            </w:pPr>
            <w:r w:rsidRPr="003003C0">
              <w:rPr>
                <w:rFonts w:cs="Calibri"/>
                <w:color w:val="000000"/>
                <w:sz w:val="14"/>
                <w:szCs w:val="14"/>
              </w:rPr>
              <w:tab/>
              <w:t xml:space="preserve">48. </w:t>
            </w:r>
            <w:r w:rsidRPr="00254B13">
              <w:rPr>
                <w:rFonts w:cs="Calibri"/>
                <w:color w:val="000000"/>
                <w:sz w:val="14"/>
                <w:szCs w:val="14"/>
              </w:rPr>
              <w:t>Paper and paperboard; articles of paper pulp, of paper or of paperboard</w:t>
            </w:r>
          </w:p>
        </w:tc>
        <w:tc>
          <w:tcPr>
            <w:tcW w:w="721" w:type="dxa"/>
            <w:noWrap/>
            <w:vAlign w:val="center"/>
            <w:hideMark/>
          </w:tcPr>
          <w:p w14:paraId="6BFD0CBB" w14:textId="77777777" w:rsidR="004F64EF" w:rsidRPr="003003C0" w:rsidRDefault="004F64EF" w:rsidP="00FD6B66">
            <w:pPr>
              <w:jc w:val="right"/>
              <w:rPr>
                <w:rFonts w:cs="Calibri"/>
                <w:color w:val="000000"/>
                <w:sz w:val="14"/>
                <w:szCs w:val="14"/>
              </w:rPr>
            </w:pPr>
            <w:r w:rsidRPr="003003C0">
              <w:rPr>
                <w:rFonts w:cs="Calibri"/>
                <w:color w:val="000000"/>
                <w:sz w:val="14"/>
                <w:szCs w:val="14"/>
              </w:rPr>
              <w:t>2</w:t>
            </w:r>
            <w:r>
              <w:rPr>
                <w:rFonts w:cs="Calibri"/>
                <w:color w:val="000000"/>
                <w:sz w:val="14"/>
                <w:szCs w:val="14"/>
              </w:rPr>
              <w:t>.</w:t>
            </w:r>
            <w:r w:rsidRPr="003003C0">
              <w:rPr>
                <w:rFonts w:cs="Calibri"/>
                <w:color w:val="000000"/>
                <w:sz w:val="14"/>
                <w:szCs w:val="14"/>
              </w:rPr>
              <w:t>7</w:t>
            </w:r>
          </w:p>
        </w:tc>
        <w:tc>
          <w:tcPr>
            <w:tcW w:w="722" w:type="dxa"/>
            <w:noWrap/>
            <w:vAlign w:val="center"/>
            <w:hideMark/>
          </w:tcPr>
          <w:p w14:paraId="65DE504D" w14:textId="77777777" w:rsidR="004F64EF" w:rsidRPr="003003C0" w:rsidRDefault="004F64EF" w:rsidP="00FD6B66">
            <w:pPr>
              <w:jc w:val="right"/>
              <w:rPr>
                <w:rFonts w:cs="Calibri"/>
                <w:color w:val="000000"/>
                <w:sz w:val="14"/>
                <w:szCs w:val="14"/>
              </w:rPr>
            </w:pPr>
            <w:r w:rsidRPr="003003C0">
              <w:rPr>
                <w:rFonts w:cs="Calibri"/>
                <w:color w:val="000000"/>
                <w:sz w:val="14"/>
                <w:szCs w:val="14"/>
              </w:rPr>
              <w:t>2</w:t>
            </w:r>
            <w:r>
              <w:rPr>
                <w:rFonts w:cs="Calibri"/>
                <w:color w:val="000000"/>
                <w:sz w:val="14"/>
                <w:szCs w:val="14"/>
              </w:rPr>
              <w:t>.</w:t>
            </w:r>
            <w:r w:rsidRPr="003003C0">
              <w:rPr>
                <w:rFonts w:cs="Calibri"/>
                <w:color w:val="000000"/>
                <w:sz w:val="14"/>
                <w:szCs w:val="14"/>
              </w:rPr>
              <w:t>5</w:t>
            </w:r>
          </w:p>
        </w:tc>
        <w:tc>
          <w:tcPr>
            <w:tcW w:w="722" w:type="dxa"/>
            <w:noWrap/>
            <w:vAlign w:val="center"/>
            <w:hideMark/>
          </w:tcPr>
          <w:p w14:paraId="1CBB893E" w14:textId="77777777" w:rsidR="004F64EF" w:rsidRPr="003003C0" w:rsidRDefault="004F64EF" w:rsidP="00FD6B66">
            <w:pPr>
              <w:jc w:val="right"/>
              <w:rPr>
                <w:rFonts w:cs="Calibri"/>
                <w:color w:val="000000"/>
                <w:sz w:val="14"/>
                <w:szCs w:val="14"/>
              </w:rPr>
            </w:pPr>
            <w:r w:rsidRPr="003003C0">
              <w:rPr>
                <w:rFonts w:cs="Calibri"/>
                <w:color w:val="000000"/>
                <w:sz w:val="14"/>
                <w:szCs w:val="14"/>
              </w:rPr>
              <w:t>2</w:t>
            </w:r>
            <w:r>
              <w:rPr>
                <w:rFonts w:cs="Calibri"/>
                <w:color w:val="000000"/>
                <w:sz w:val="14"/>
                <w:szCs w:val="14"/>
              </w:rPr>
              <w:t>.</w:t>
            </w:r>
            <w:r w:rsidRPr="003003C0">
              <w:rPr>
                <w:rFonts w:cs="Calibri"/>
                <w:color w:val="000000"/>
                <w:sz w:val="14"/>
                <w:szCs w:val="14"/>
              </w:rPr>
              <w:t>7</w:t>
            </w:r>
          </w:p>
        </w:tc>
        <w:tc>
          <w:tcPr>
            <w:tcW w:w="721" w:type="dxa"/>
            <w:noWrap/>
            <w:vAlign w:val="center"/>
            <w:hideMark/>
          </w:tcPr>
          <w:p w14:paraId="618CDF3F" w14:textId="77777777" w:rsidR="004F64EF" w:rsidRPr="003003C0" w:rsidRDefault="004F64EF" w:rsidP="00FD6B66">
            <w:pPr>
              <w:jc w:val="right"/>
              <w:rPr>
                <w:rFonts w:cs="Calibri"/>
                <w:color w:val="000000"/>
                <w:sz w:val="14"/>
                <w:szCs w:val="14"/>
              </w:rPr>
            </w:pPr>
            <w:r w:rsidRPr="003003C0">
              <w:rPr>
                <w:rFonts w:cs="Calibri"/>
                <w:color w:val="000000"/>
                <w:sz w:val="14"/>
                <w:szCs w:val="14"/>
              </w:rPr>
              <w:t>2</w:t>
            </w:r>
            <w:r>
              <w:rPr>
                <w:rFonts w:cs="Calibri"/>
                <w:color w:val="000000"/>
                <w:sz w:val="14"/>
                <w:szCs w:val="14"/>
              </w:rPr>
              <w:t>.</w:t>
            </w:r>
            <w:r w:rsidRPr="003003C0">
              <w:rPr>
                <w:rFonts w:cs="Calibri"/>
                <w:color w:val="000000"/>
                <w:sz w:val="14"/>
                <w:szCs w:val="14"/>
              </w:rPr>
              <w:t>5</w:t>
            </w:r>
          </w:p>
        </w:tc>
        <w:tc>
          <w:tcPr>
            <w:tcW w:w="722" w:type="dxa"/>
            <w:noWrap/>
            <w:vAlign w:val="center"/>
            <w:hideMark/>
          </w:tcPr>
          <w:p w14:paraId="745D57EA" w14:textId="77777777" w:rsidR="004F64EF" w:rsidRPr="003003C0" w:rsidRDefault="004F64EF" w:rsidP="00FD6B66">
            <w:pPr>
              <w:jc w:val="right"/>
              <w:rPr>
                <w:rFonts w:cs="Calibri"/>
                <w:color w:val="000000"/>
                <w:sz w:val="14"/>
                <w:szCs w:val="14"/>
              </w:rPr>
            </w:pPr>
            <w:r w:rsidRPr="003003C0">
              <w:rPr>
                <w:rFonts w:cs="Calibri"/>
                <w:color w:val="000000"/>
                <w:sz w:val="14"/>
                <w:szCs w:val="14"/>
              </w:rPr>
              <w:t>2</w:t>
            </w:r>
            <w:r>
              <w:rPr>
                <w:rFonts w:cs="Calibri"/>
                <w:color w:val="000000"/>
                <w:sz w:val="14"/>
                <w:szCs w:val="14"/>
              </w:rPr>
              <w:t>.</w:t>
            </w:r>
            <w:r w:rsidRPr="003003C0">
              <w:rPr>
                <w:rFonts w:cs="Calibri"/>
                <w:color w:val="000000"/>
                <w:sz w:val="14"/>
                <w:szCs w:val="14"/>
              </w:rPr>
              <w:t>5</w:t>
            </w:r>
          </w:p>
        </w:tc>
        <w:tc>
          <w:tcPr>
            <w:tcW w:w="722" w:type="dxa"/>
            <w:noWrap/>
            <w:vAlign w:val="center"/>
            <w:hideMark/>
          </w:tcPr>
          <w:p w14:paraId="3C0298A8" w14:textId="77777777" w:rsidR="004F64EF" w:rsidRPr="003003C0" w:rsidRDefault="004F64EF" w:rsidP="00FD6B66">
            <w:pPr>
              <w:jc w:val="right"/>
              <w:rPr>
                <w:rFonts w:cs="Calibri"/>
                <w:color w:val="000000"/>
                <w:sz w:val="14"/>
                <w:szCs w:val="14"/>
              </w:rPr>
            </w:pPr>
            <w:r w:rsidRPr="003003C0">
              <w:rPr>
                <w:rFonts w:cs="Calibri"/>
                <w:color w:val="000000"/>
                <w:sz w:val="14"/>
                <w:szCs w:val="14"/>
              </w:rPr>
              <w:t>2</w:t>
            </w:r>
            <w:r>
              <w:rPr>
                <w:rFonts w:cs="Calibri"/>
                <w:color w:val="000000"/>
                <w:sz w:val="14"/>
                <w:szCs w:val="14"/>
              </w:rPr>
              <w:t>.</w:t>
            </w:r>
            <w:r w:rsidRPr="003003C0">
              <w:rPr>
                <w:rFonts w:cs="Calibri"/>
                <w:color w:val="000000"/>
                <w:sz w:val="14"/>
                <w:szCs w:val="14"/>
              </w:rPr>
              <w:t>8</w:t>
            </w:r>
          </w:p>
        </w:tc>
        <w:tc>
          <w:tcPr>
            <w:tcW w:w="722" w:type="dxa"/>
            <w:noWrap/>
            <w:vAlign w:val="center"/>
            <w:hideMark/>
          </w:tcPr>
          <w:p w14:paraId="4AA72731" w14:textId="77777777" w:rsidR="004F64EF" w:rsidRPr="003003C0" w:rsidRDefault="004F64EF" w:rsidP="00FD6B66">
            <w:pPr>
              <w:jc w:val="right"/>
              <w:rPr>
                <w:rFonts w:cs="Calibri"/>
                <w:color w:val="000000"/>
                <w:sz w:val="14"/>
                <w:szCs w:val="14"/>
              </w:rPr>
            </w:pPr>
            <w:r w:rsidRPr="003003C0">
              <w:rPr>
                <w:rFonts w:cs="Calibri"/>
                <w:color w:val="000000"/>
                <w:sz w:val="14"/>
                <w:szCs w:val="14"/>
              </w:rPr>
              <w:t>2</w:t>
            </w:r>
            <w:r>
              <w:rPr>
                <w:rFonts w:cs="Calibri"/>
                <w:color w:val="000000"/>
                <w:sz w:val="14"/>
                <w:szCs w:val="14"/>
              </w:rPr>
              <w:t>.</w:t>
            </w:r>
            <w:r w:rsidRPr="003003C0">
              <w:rPr>
                <w:rFonts w:cs="Calibri"/>
                <w:color w:val="000000"/>
                <w:sz w:val="14"/>
                <w:szCs w:val="14"/>
              </w:rPr>
              <w:t>6</w:t>
            </w:r>
          </w:p>
        </w:tc>
      </w:tr>
      <w:tr w:rsidR="004F64EF" w:rsidRPr="003003C0" w14:paraId="15EFE35D" w14:textId="77777777" w:rsidTr="00FD6B66">
        <w:trPr>
          <w:cnfStyle w:val="000000010000" w:firstRow="0" w:lastRow="0" w:firstColumn="0" w:lastColumn="0" w:oddVBand="0" w:evenVBand="0" w:oddHBand="0" w:evenHBand="1" w:firstRowFirstColumn="0" w:firstRowLastColumn="0" w:lastRowFirstColumn="0" w:lastRowLastColumn="0"/>
          <w:trHeight w:val="20"/>
        </w:trPr>
        <w:tc>
          <w:tcPr>
            <w:tcW w:w="3964" w:type="dxa"/>
            <w:noWrap/>
            <w:vAlign w:val="center"/>
            <w:hideMark/>
          </w:tcPr>
          <w:p w14:paraId="1105D784" w14:textId="77777777" w:rsidR="004F64EF" w:rsidRPr="003003C0" w:rsidRDefault="004F64EF" w:rsidP="00B22563">
            <w:pPr>
              <w:tabs>
                <w:tab w:val="left" w:pos="227"/>
              </w:tabs>
              <w:ind w:left="227" w:hanging="227"/>
              <w:jc w:val="left"/>
              <w:rPr>
                <w:rFonts w:cs="Calibri"/>
                <w:color w:val="000000"/>
                <w:sz w:val="14"/>
                <w:szCs w:val="14"/>
              </w:rPr>
            </w:pPr>
            <w:r w:rsidRPr="003003C0">
              <w:rPr>
                <w:rFonts w:cs="Calibri"/>
                <w:color w:val="000000"/>
                <w:sz w:val="14"/>
                <w:szCs w:val="14"/>
              </w:rPr>
              <w:tab/>
              <w:t xml:space="preserve">49. </w:t>
            </w:r>
            <w:r w:rsidRPr="00254B13">
              <w:rPr>
                <w:rFonts w:cs="Calibri"/>
                <w:color w:val="000000"/>
                <w:sz w:val="14"/>
                <w:szCs w:val="14"/>
              </w:rPr>
              <w:t>Printed books, newspapers, pictures</w:t>
            </w:r>
            <w:r w:rsidRPr="003003C0">
              <w:rPr>
                <w:rFonts w:cs="Calibri"/>
                <w:color w:val="000000"/>
                <w:sz w:val="14"/>
                <w:szCs w:val="14"/>
              </w:rPr>
              <w:t xml:space="preserve">; </w:t>
            </w:r>
            <w:r w:rsidRPr="00254B13">
              <w:rPr>
                <w:rFonts w:cs="Calibri"/>
                <w:color w:val="000000"/>
                <w:sz w:val="14"/>
                <w:szCs w:val="14"/>
              </w:rPr>
              <w:t>manuscripts</w:t>
            </w:r>
          </w:p>
        </w:tc>
        <w:tc>
          <w:tcPr>
            <w:tcW w:w="721" w:type="dxa"/>
            <w:noWrap/>
            <w:vAlign w:val="center"/>
            <w:hideMark/>
          </w:tcPr>
          <w:p w14:paraId="2829ADE2" w14:textId="77777777" w:rsidR="004F64EF" w:rsidRPr="003003C0" w:rsidRDefault="004F64EF" w:rsidP="00FD6B66">
            <w:pPr>
              <w:jc w:val="right"/>
              <w:rPr>
                <w:rFonts w:cs="Calibri"/>
                <w:color w:val="000000"/>
                <w:sz w:val="14"/>
                <w:szCs w:val="14"/>
              </w:rPr>
            </w:pPr>
            <w:r w:rsidRPr="003003C0">
              <w:rPr>
                <w:rFonts w:cs="Calibri"/>
                <w:color w:val="000000"/>
                <w:sz w:val="14"/>
                <w:szCs w:val="14"/>
              </w:rPr>
              <w:t>0</w:t>
            </w:r>
            <w:r>
              <w:rPr>
                <w:rFonts w:cs="Calibri"/>
                <w:color w:val="000000"/>
                <w:sz w:val="14"/>
                <w:szCs w:val="14"/>
              </w:rPr>
              <w:t>.</w:t>
            </w:r>
            <w:r w:rsidRPr="003003C0">
              <w:rPr>
                <w:rFonts w:cs="Calibri"/>
                <w:color w:val="000000"/>
                <w:sz w:val="14"/>
                <w:szCs w:val="14"/>
              </w:rPr>
              <w:t>3</w:t>
            </w:r>
          </w:p>
        </w:tc>
        <w:tc>
          <w:tcPr>
            <w:tcW w:w="722" w:type="dxa"/>
            <w:noWrap/>
            <w:vAlign w:val="center"/>
            <w:hideMark/>
          </w:tcPr>
          <w:p w14:paraId="62008327" w14:textId="77777777" w:rsidR="004F64EF" w:rsidRPr="003003C0" w:rsidRDefault="004F64EF" w:rsidP="00FD6B66">
            <w:pPr>
              <w:jc w:val="right"/>
              <w:rPr>
                <w:rFonts w:cs="Calibri"/>
                <w:color w:val="000000"/>
                <w:sz w:val="14"/>
                <w:szCs w:val="14"/>
              </w:rPr>
            </w:pPr>
            <w:r w:rsidRPr="003003C0">
              <w:rPr>
                <w:rFonts w:cs="Calibri"/>
                <w:color w:val="000000"/>
                <w:sz w:val="14"/>
                <w:szCs w:val="14"/>
              </w:rPr>
              <w:t>0</w:t>
            </w:r>
            <w:r>
              <w:rPr>
                <w:rFonts w:cs="Calibri"/>
                <w:color w:val="000000"/>
                <w:sz w:val="14"/>
                <w:szCs w:val="14"/>
              </w:rPr>
              <w:t>.</w:t>
            </w:r>
            <w:r w:rsidRPr="003003C0">
              <w:rPr>
                <w:rFonts w:cs="Calibri"/>
                <w:color w:val="000000"/>
                <w:sz w:val="14"/>
                <w:szCs w:val="14"/>
              </w:rPr>
              <w:t>3</w:t>
            </w:r>
          </w:p>
        </w:tc>
        <w:tc>
          <w:tcPr>
            <w:tcW w:w="722" w:type="dxa"/>
            <w:noWrap/>
            <w:vAlign w:val="center"/>
            <w:hideMark/>
          </w:tcPr>
          <w:p w14:paraId="48B45705" w14:textId="77777777" w:rsidR="004F64EF" w:rsidRPr="003003C0" w:rsidRDefault="004F64EF" w:rsidP="00FD6B66">
            <w:pPr>
              <w:jc w:val="right"/>
              <w:rPr>
                <w:rFonts w:cs="Calibri"/>
                <w:color w:val="000000"/>
                <w:sz w:val="14"/>
                <w:szCs w:val="14"/>
              </w:rPr>
            </w:pPr>
            <w:r w:rsidRPr="003003C0">
              <w:rPr>
                <w:rFonts w:cs="Calibri"/>
                <w:color w:val="000000"/>
                <w:sz w:val="14"/>
                <w:szCs w:val="14"/>
              </w:rPr>
              <w:t>0</w:t>
            </w:r>
            <w:r>
              <w:rPr>
                <w:rFonts w:cs="Calibri"/>
                <w:color w:val="000000"/>
                <w:sz w:val="14"/>
                <w:szCs w:val="14"/>
              </w:rPr>
              <w:t>.</w:t>
            </w:r>
            <w:r w:rsidRPr="003003C0">
              <w:rPr>
                <w:rFonts w:cs="Calibri"/>
                <w:color w:val="000000"/>
                <w:sz w:val="14"/>
                <w:szCs w:val="14"/>
              </w:rPr>
              <w:t>4</w:t>
            </w:r>
          </w:p>
        </w:tc>
        <w:tc>
          <w:tcPr>
            <w:tcW w:w="721" w:type="dxa"/>
            <w:noWrap/>
            <w:vAlign w:val="center"/>
            <w:hideMark/>
          </w:tcPr>
          <w:p w14:paraId="497B2B37" w14:textId="77777777" w:rsidR="004F64EF" w:rsidRPr="003003C0" w:rsidRDefault="004F64EF" w:rsidP="00FD6B66">
            <w:pPr>
              <w:jc w:val="right"/>
              <w:rPr>
                <w:rFonts w:cs="Calibri"/>
                <w:color w:val="000000"/>
                <w:sz w:val="14"/>
                <w:szCs w:val="14"/>
              </w:rPr>
            </w:pPr>
            <w:r w:rsidRPr="003003C0">
              <w:rPr>
                <w:rFonts w:cs="Calibri"/>
                <w:color w:val="000000"/>
                <w:sz w:val="14"/>
                <w:szCs w:val="14"/>
              </w:rPr>
              <w:t>0</w:t>
            </w:r>
            <w:r>
              <w:rPr>
                <w:rFonts w:cs="Calibri"/>
                <w:color w:val="000000"/>
                <w:sz w:val="14"/>
                <w:szCs w:val="14"/>
              </w:rPr>
              <w:t>.</w:t>
            </w:r>
            <w:r w:rsidRPr="003003C0">
              <w:rPr>
                <w:rFonts w:cs="Calibri"/>
                <w:color w:val="000000"/>
                <w:sz w:val="14"/>
                <w:szCs w:val="14"/>
              </w:rPr>
              <w:t>3</w:t>
            </w:r>
          </w:p>
        </w:tc>
        <w:tc>
          <w:tcPr>
            <w:tcW w:w="722" w:type="dxa"/>
            <w:noWrap/>
            <w:vAlign w:val="center"/>
            <w:hideMark/>
          </w:tcPr>
          <w:p w14:paraId="1535B300" w14:textId="77777777" w:rsidR="004F64EF" w:rsidRPr="003003C0" w:rsidRDefault="004F64EF" w:rsidP="00FD6B66">
            <w:pPr>
              <w:jc w:val="right"/>
              <w:rPr>
                <w:rFonts w:cs="Calibri"/>
                <w:color w:val="000000"/>
                <w:sz w:val="14"/>
                <w:szCs w:val="14"/>
              </w:rPr>
            </w:pPr>
            <w:r w:rsidRPr="003003C0">
              <w:rPr>
                <w:rFonts w:cs="Calibri"/>
                <w:color w:val="000000"/>
                <w:sz w:val="14"/>
                <w:szCs w:val="14"/>
              </w:rPr>
              <w:t>0</w:t>
            </w:r>
            <w:r>
              <w:rPr>
                <w:rFonts w:cs="Calibri"/>
                <w:color w:val="000000"/>
                <w:sz w:val="14"/>
                <w:szCs w:val="14"/>
              </w:rPr>
              <w:t>.</w:t>
            </w:r>
            <w:r w:rsidRPr="003003C0">
              <w:rPr>
                <w:rFonts w:cs="Calibri"/>
                <w:color w:val="000000"/>
                <w:sz w:val="14"/>
                <w:szCs w:val="14"/>
              </w:rPr>
              <w:t>2</w:t>
            </w:r>
          </w:p>
        </w:tc>
        <w:tc>
          <w:tcPr>
            <w:tcW w:w="722" w:type="dxa"/>
            <w:noWrap/>
            <w:vAlign w:val="center"/>
            <w:hideMark/>
          </w:tcPr>
          <w:p w14:paraId="4820CE8E" w14:textId="77777777" w:rsidR="004F64EF" w:rsidRPr="003003C0" w:rsidRDefault="004F64EF" w:rsidP="00FD6B66">
            <w:pPr>
              <w:jc w:val="right"/>
              <w:rPr>
                <w:rFonts w:cs="Calibri"/>
                <w:color w:val="000000"/>
                <w:sz w:val="14"/>
                <w:szCs w:val="14"/>
              </w:rPr>
            </w:pPr>
            <w:r w:rsidRPr="003003C0">
              <w:rPr>
                <w:rFonts w:cs="Calibri"/>
                <w:color w:val="000000"/>
                <w:sz w:val="14"/>
                <w:szCs w:val="14"/>
              </w:rPr>
              <w:t>0</w:t>
            </w:r>
            <w:r>
              <w:rPr>
                <w:rFonts w:cs="Calibri"/>
                <w:color w:val="000000"/>
                <w:sz w:val="14"/>
                <w:szCs w:val="14"/>
              </w:rPr>
              <w:t>.</w:t>
            </w:r>
            <w:r w:rsidRPr="003003C0">
              <w:rPr>
                <w:rFonts w:cs="Calibri"/>
                <w:color w:val="000000"/>
                <w:sz w:val="14"/>
                <w:szCs w:val="14"/>
              </w:rPr>
              <w:t>2</w:t>
            </w:r>
          </w:p>
        </w:tc>
        <w:tc>
          <w:tcPr>
            <w:tcW w:w="722" w:type="dxa"/>
            <w:noWrap/>
            <w:vAlign w:val="center"/>
            <w:hideMark/>
          </w:tcPr>
          <w:p w14:paraId="2DA10956" w14:textId="77777777" w:rsidR="004F64EF" w:rsidRPr="003003C0" w:rsidRDefault="004F64EF" w:rsidP="00FD6B66">
            <w:pPr>
              <w:jc w:val="right"/>
              <w:rPr>
                <w:rFonts w:cs="Calibri"/>
                <w:color w:val="000000"/>
                <w:sz w:val="14"/>
                <w:szCs w:val="14"/>
              </w:rPr>
            </w:pPr>
            <w:r w:rsidRPr="003003C0">
              <w:rPr>
                <w:rFonts w:cs="Calibri"/>
                <w:color w:val="000000"/>
                <w:sz w:val="14"/>
                <w:szCs w:val="14"/>
              </w:rPr>
              <w:t>0</w:t>
            </w:r>
            <w:r>
              <w:rPr>
                <w:rFonts w:cs="Calibri"/>
                <w:color w:val="000000"/>
                <w:sz w:val="14"/>
                <w:szCs w:val="14"/>
              </w:rPr>
              <w:t>.</w:t>
            </w:r>
            <w:r w:rsidRPr="003003C0">
              <w:rPr>
                <w:rFonts w:cs="Calibri"/>
                <w:color w:val="000000"/>
                <w:sz w:val="14"/>
                <w:szCs w:val="14"/>
              </w:rPr>
              <w:t>2</w:t>
            </w:r>
          </w:p>
        </w:tc>
      </w:tr>
      <w:tr w:rsidR="004F64EF" w:rsidRPr="003003C0" w14:paraId="4B2D5603" w14:textId="77777777" w:rsidTr="00FD6B66">
        <w:trPr>
          <w:trHeight w:val="20"/>
        </w:trPr>
        <w:tc>
          <w:tcPr>
            <w:tcW w:w="3964" w:type="dxa"/>
            <w:noWrap/>
            <w:vAlign w:val="center"/>
            <w:hideMark/>
          </w:tcPr>
          <w:p w14:paraId="2EF22653" w14:textId="77777777" w:rsidR="004F64EF" w:rsidRPr="003003C0" w:rsidRDefault="004F64EF" w:rsidP="00FD6B66">
            <w:pPr>
              <w:jc w:val="left"/>
              <w:rPr>
                <w:rFonts w:cs="Calibri"/>
                <w:color w:val="000000"/>
                <w:sz w:val="14"/>
                <w:szCs w:val="14"/>
              </w:rPr>
            </w:pPr>
            <w:r w:rsidRPr="003003C0">
              <w:rPr>
                <w:rFonts w:cs="Calibri"/>
                <w:color w:val="000000"/>
                <w:sz w:val="14"/>
                <w:szCs w:val="14"/>
              </w:rPr>
              <w:t xml:space="preserve">11 - </w:t>
            </w:r>
            <w:r>
              <w:rPr>
                <w:rFonts w:cs="Calibri"/>
                <w:color w:val="000000"/>
                <w:sz w:val="14"/>
                <w:szCs w:val="14"/>
              </w:rPr>
              <w:t>T</w:t>
            </w:r>
            <w:r w:rsidRPr="00254B13">
              <w:rPr>
                <w:rFonts w:cs="Calibri"/>
                <w:color w:val="000000"/>
                <w:sz w:val="14"/>
                <w:szCs w:val="14"/>
              </w:rPr>
              <w:t>extiles and textile articles</w:t>
            </w:r>
          </w:p>
        </w:tc>
        <w:tc>
          <w:tcPr>
            <w:tcW w:w="721" w:type="dxa"/>
            <w:noWrap/>
            <w:vAlign w:val="center"/>
            <w:hideMark/>
          </w:tcPr>
          <w:p w14:paraId="1AB51931" w14:textId="77777777" w:rsidR="004F64EF" w:rsidRPr="003003C0" w:rsidRDefault="004F64EF" w:rsidP="00FD6B66">
            <w:pPr>
              <w:jc w:val="right"/>
              <w:rPr>
                <w:rFonts w:cs="Calibri"/>
                <w:color w:val="000000"/>
                <w:sz w:val="14"/>
                <w:szCs w:val="14"/>
              </w:rPr>
            </w:pPr>
            <w:r w:rsidRPr="003003C0">
              <w:rPr>
                <w:rFonts w:cs="Calibri"/>
                <w:color w:val="000000"/>
                <w:sz w:val="14"/>
                <w:szCs w:val="14"/>
              </w:rPr>
              <w:t>7</w:t>
            </w:r>
            <w:r>
              <w:rPr>
                <w:rFonts w:cs="Calibri"/>
                <w:color w:val="000000"/>
                <w:sz w:val="14"/>
                <w:szCs w:val="14"/>
              </w:rPr>
              <w:t>.</w:t>
            </w:r>
            <w:r w:rsidRPr="003003C0">
              <w:rPr>
                <w:rFonts w:cs="Calibri"/>
                <w:color w:val="000000"/>
                <w:sz w:val="14"/>
                <w:szCs w:val="14"/>
              </w:rPr>
              <w:t>4</w:t>
            </w:r>
          </w:p>
        </w:tc>
        <w:tc>
          <w:tcPr>
            <w:tcW w:w="722" w:type="dxa"/>
            <w:noWrap/>
            <w:vAlign w:val="center"/>
            <w:hideMark/>
          </w:tcPr>
          <w:p w14:paraId="30943AE1" w14:textId="77777777" w:rsidR="004F64EF" w:rsidRPr="003003C0" w:rsidRDefault="004F64EF" w:rsidP="00FD6B66">
            <w:pPr>
              <w:jc w:val="right"/>
              <w:rPr>
                <w:rFonts w:cs="Calibri"/>
                <w:color w:val="000000"/>
                <w:sz w:val="14"/>
                <w:szCs w:val="14"/>
              </w:rPr>
            </w:pPr>
            <w:r w:rsidRPr="003003C0">
              <w:rPr>
                <w:rFonts w:cs="Calibri"/>
                <w:color w:val="000000"/>
                <w:sz w:val="14"/>
                <w:szCs w:val="14"/>
              </w:rPr>
              <w:t>6</w:t>
            </w:r>
            <w:r>
              <w:rPr>
                <w:rFonts w:cs="Calibri"/>
                <w:color w:val="000000"/>
                <w:sz w:val="14"/>
                <w:szCs w:val="14"/>
              </w:rPr>
              <w:t>.</w:t>
            </w:r>
            <w:r w:rsidRPr="003003C0">
              <w:rPr>
                <w:rFonts w:cs="Calibri"/>
                <w:color w:val="000000"/>
                <w:sz w:val="14"/>
                <w:szCs w:val="14"/>
              </w:rPr>
              <w:t>2</w:t>
            </w:r>
          </w:p>
        </w:tc>
        <w:tc>
          <w:tcPr>
            <w:tcW w:w="722" w:type="dxa"/>
            <w:noWrap/>
            <w:vAlign w:val="center"/>
            <w:hideMark/>
          </w:tcPr>
          <w:p w14:paraId="41A3878E" w14:textId="77777777" w:rsidR="004F64EF" w:rsidRPr="003003C0" w:rsidRDefault="004F64EF" w:rsidP="00FD6B66">
            <w:pPr>
              <w:jc w:val="right"/>
              <w:rPr>
                <w:rFonts w:cs="Calibri"/>
                <w:color w:val="000000"/>
                <w:sz w:val="14"/>
                <w:szCs w:val="14"/>
              </w:rPr>
            </w:pPr>
            <w:r w:rsidRPr="003003C0">
              <w:rPr>
                <w:rFonts w:cs="Calibri"/>
                <w:color w:val="000000"/>
                <w:sz w:val="14"/>
                <w:szCs w:val="14"/>
              </w:rPr>
              <w:t>6</w:t>
            </w:r>
            <w:r>
              <w:rPr>
                <w:rFonts w:cs="Calibri"/>
                <w:color w:val="000000"/>
                <w:sz w:val="14"/>
                <w:szCs w:val="14"/>
              </w:rPr>
              <w:t>.</w:t>
            </w:r>
            <w:r w:rsidRPr="003003C0">
              <w:rPr>
                <w:rFonts w:cs="Calibri"/>
                <w:color w:val="000000"/>
                <w:sz w:val="14"/>
                <w:szCs w:val="14"/>
              </w:rPr>
              <w:t>2</w:t>
            </w:r>
          </w:p>
        </w:tc>
        <w:tc>
          <w:tcPr>
            <w:tcW w:w="721" w:type="dxa"/>
            <w:noWrap/>
            <w:vAlign w:val="center"/>
            <w:hideMark/>
          </w:tcPr>
          <w:p w14:paraId="399426CE" w14:textId="77777777" w:rsidR="004F64EF" w:rsidRPr="003003C0" w:rsidRDefault="004F64EF" w:rsidP="00FD6B66">
            <w:pPr>
              <w:jc w:val="right"/>
              <w:rPr>
                <w:rFonts w:cs="Calibri"/>
                <w:color w:val="000000"/>
                <w:sz w:val="14"/>
                <w:szCs w:val="14"/>
              </w:rPr>
            </w:pPr>
            <w:r w:rsidRPr="003003C0">
              <w:rPr>
                <w:rFonts w:cs="Calibri"/>
                <w:color w:val="000000"/>
                <w:sz w:val="14"/>
                <w:szCs w:val="14"/>
              </w:rPr>
              <w:t>5</w:t>
            </w:r>
            <w:r>
              <w:rPr>
                <w:rFonts w:cs="Calibri"/>
                <w:color w:val="000000"/>
                <w:sz w:val="14"/>
                <w:szCs w:val="14"/>
              </w:rPr>
              <w:t>.</w:t>
            </w:r>
            <w:r w:rsidRPr="003003C0">
              <w:rPr>
                <w:rFonts w:cs="Calibri"/>
                <w:color w:val="000000"/>
                <w:sz w:val="14"/>
                <w:szCs w:val="14"/>
              </w:rPr>
              <w:t>4</w:t>
            </w:r>
          </w:p>
        </w:tc>
        <w:tc>
          <w:tcPr>
            <w:tcW w:w="722" w:type="dxa"/>
            <w:noWrap/>
            <w:vAlign w:val="center"/>
            <w:hideMark/>
          </w:tcPr>
          <w:p w14:paraId="03A18CF9" w14:textId="77777777" w:rsidR="004F64EF" w:rsidRPr="003003C0" w:rsidRDefault="004F64EF" w:rsidP="00FD6B66">
            <w:pPr>
              <w:jc w:val="right"/>
              <w:rPr>
                <w:rFonts w:cs="Calibri"/>
                <w:color w:val="000000"/>
                <w:sz w:val="14"/>
                <w:szCs w:val="14"/>
              </w:rPr>
            </w:pPr>
            <w:r w:rsidRPr="003003C0">
              <w:rPr>
                <w:rFonts w:cs="Calibri"/>
                <w:color w:val="000000"/>
                <w:sz w:val="14"/>
                <w:szCs w:val="14"/>
              </w:rPr>
              <w:t>5</w:t>
            </w:r>
            <w:r>
              <w:rPr>
                <w:rFonts w:cs="Calibri"/>
                <w:color w:val="000000"/>
                <w:sz w:val="14"/>
                <w:szCs w:val="14"/>
              </w:rPr>
              <w:t>.</w:t>
            </w:r>
            <w:r w:rsidRPr="003003C0">
              <w:rPr>
                <w:rFonts w:cs="Calibri"/>
                <w:color w:val="000000"/>
                <w:sz w:val="14"/>
                <w:szCs w:val="14"/>
              </w:rPr>
              <w:t>1</w:t>
            </w:r>
          </w:p>
        </w:tc>
        <w:tc>
          <w:tcPr>
            <w:tcW w:w="722" w:type="dxa"/>
            <w:noWrap/>
            <w:vAlign w:val="center"/>
            <w:hideMark/>
          </w:tcPr>
          <w:p w14:paraId="67A9E1A7" w14:textId="77777777" w:rsidR="004F64EF" w:rsidRPr="003003C0" w:rsidRDefault="004F64EF" w:rsidP="00FD6B66">
            <w:pPr>
              <w:jc w:val="right"/>
              <w:rPr>
                <w:rFonts w:cs="Calibri"/>
                <w:color w:val="000000"/>
                <w:sz w:val="14"/>
                <w:szCs w:val="14"/>
              </w:rPr>
            </w:pPr>
            <w:r w:rsidRPr="003003C0">
              <w:rPr>
                <w:rFonts w:cs="Calibri"/>
                <w:color w:val="000000"/>
                <w:sz w:val="14"/>
                <w:szCs w:val="14"/>
              </w:rPr>
              <w:t>5</w:t>
            </w:r>
            <w:r>
              <w:rPr>
                <w:rFonts w:cs="Calibri"/>
                <w:color w:val="000000"/>
                <w:sz w:val="14"/>
                <w:szCs w:val="14"/>
              </w:rPr>
              <w:t>.</w:t>
            </w:r>
            <w:r w:rsidRPr="003003C0">
              <w:rPr>
                <w:rFonts w:cs="Calibri"/>
                <w:color w:val="000000"/>
                <w:sz w:val="14"/>
                <w:szCs w:val="14"/>
              </w:rPr>
              <w:t>5</w:t>
            </w:r>
          </w:p>
        </w:tc>
        <w:tc>
          <w:tcPr>
            <w:tcW w:w="722" w:type="dxa"/>
            <w:noWrap/>
            <w:vAlign w:val="center"/>
            <w:hideMark/>
          </w:tcPr>
          <w:p w14:paraId="7B42C285" w14:textId="77777777" w:rsidR="004F64EF" w:rsidRPr="003003C0" w:rsidRDefault="004F64EF" w:rsidP="00FD6B66">
            <w:pPr>
              <w:jc w:val="right"/>
              <w:rPr>
                <w:rFonts w:cs="Calibri"/>
                <w:color w:val="000000"/>
                <w:sz w:val="14"/>
                <w:szCs w:val="14"/>
              </w:rPr>
            </w:pPr>
            <w:r w:rsidRPr="003003C0">
              <w:rPr>
                <w:rFonts w:cs="Calibri"/>
                <w:color w:val="000000"/>
                <w:sz w:val="14"/>
                <w:szCs w:val="14"/>
              </w:rPr>
              <w:t>4</w:t>
            </w:r>
            <w:r>
              <w:rPr>
                <w:rFonts w:cs="Calibri"/>
                <w:color w:val="000000"/>
                <w:sz w:val="14"/>
                <w:szCs w:val="14"/>
              </w:rPr>
              <w:t>.</w:t>
            </w:r>
            <w:r w:rsidRPr="003003C0">
              <w:rPr>
                <w:rFonts w:cs="Calibri"/>
                <w:color w:val="000000"/>
                <w:sz w:val="14"/>
                <w:szCs w:val="14"/>
              </w:rPr>
              <w:t>6</w:t>
            </w:r>
          </w:p>
        </w:tc>
      </w:tr>
      <w:tr w:rsidR="004F64EF" w:rsidRPr="003003C0" w14:paraId="3EC0EC10" w14:textId="77777777" w:rsidTr="00FD6B66">
        <w:trPr>
          <w:cnfStyle w:val="000000010000" w:firstRow="0" w:lastRow="0" w:firstColumn="0" w:lastColumn="0" w:oddVBand="0" w:evenVBand="0" w:oddHBand="0" w:evenHBand="1" w:firstRowFirstColumn="0" w:firstRowLastColumn="0" w:lastRowFirstColumn="0" w:lastRowLastColumn="0"/>
          <w:trHeight w:val="20"/>
        </w:trPr>
        <w:tc>
          <w:tcPr>
            <w:tcW w:w="3964" w:type="dxa"/>
            <w:noWrap/>
            <w:vAlign w:val="center"/>
            <w:hideMark/>
          </w:tcPr>
          <w:p w14:paraId="254987EF" w14:textId="77777777" w:rsidR="004F64EF" w:rsidRPr="003003C0" w:rsidRDefault="004F64EF" w:rsidP="00FD6B66">
            <w:pPr>
              <w:tabs>
                <w:tab w:val="left" w:pos="227"/>
              </w:tabs>
              <w:jc w:val="left"/>
              <w:rPr>
                <w:rFonts w:cs="Calibri"/>
                <w:color w:val="000000"/>
                <w:sz w:val="14"/>
                <w:szCs w:val="14"/>
              </w:rPr>
            </w:pPr>
            <w:r w:rsidRPr="003003C0">
              <w:rPr>
                <w:rFonts w:cs="Calibri"/>
                <w:color w:val="000000"/>
                <w:sz w:val="14"/>
                <w:szCs w:val="14"/>
              </w:rPr>
              <w:tab/>
              <w:t xml:space="preserve">52. </w:t>
            </w:r>
            <w:r>
              <w:rPr>
                <w:rFonts w:cs="Calibri"/>
                <w:color w:val="000000"/>
                <w:sz w:val="14"/>
                <w:szCs w:val="14"/>
              </w:rPr>
              <w:t>Cotton</w:t>
            </w:r>
          </w:p>
        </w:tc>
        <w:tc>
          <w:tcPr>
            <w:tcW w:w="721" w:type="dxa"/>
            <w:noWrap/>
            <w:vAlign w:val="center"/>
            <w:hideMark/>
          </w:tcPr>
          <w:p w14:paraId="10F0A34F" w14:textId="77777777" w:rsidR="004F64EF" w:rsidRPr="003003C0" w:rsidRDefault="004F64EF" w:rsidP="00FD6B66">
            <w:pPr>
              <w:jc w:val="right"/>
              <w:rPr>
                <w:rFonts w:cs="Calibri"/>
                <w:color w:val="000000"/>
                <w:sz w:val="14"/>
                <w:szCs w:val="14"/>
              </w:rPr>
            </w:pPr>
            <w:r w:rsidRPr="003003C0">
              <w:rPr>
                <w:rFonts w:cs="Calibri"/>
                <w:color w:val="000000"/>
                <w:sz w:val="14"/>
                <w:szCs w:val="14"/>
              </w:rPr>
              <w:t>2</w:t>
            </w:r>
            <w:r>
              <w:rPr>
                <w:rFonts w:cs="Calibri"/>
                <w:color w:val="000000"/>
                <w:sz w:val="14"/>
                <w:szCs w:val="14"/>
              </w:rPr>
              <w:t>.</w:t>
            </w:r>
            <w:r w:rsidRPr="003003C0">
              <w:rPr>
                <w:rFonts w:cs="Calibri"/>
                <w:color w:val="000000"/>
                <w:sz w:val="14"/>
                <w:szCs w:val="14"/>
              </w:rPr>
              <w:t>8</w:t>
            </w:r>
          </w:p>
        </w:tc>
        <w:tc>
          <w:tcPr>
            <w:tcW w:w="722" w:type="dxa"/>
            <w:noWrap/>
            <w:vAlign w:val="center"/>
            <w:hideMark/>
          </w:tcPr>
          <w:p w14:paraId="7AB5CC1C" w14:textId="77777777" w:rsidR="004F64EF" w:rsidRPr="003003C0" w:rsidRDefault="004F64EF" w:rsidP="00FD6B66">
            <w:pPr>
              <w:jc w:val="right"/>
              <w:rPr>
                <w:rFonts w:cs="Calibri"/>
                <w:color w:val="000000"/>
                <w:sz w:val="14"/>
                <w:szCs w:val="14"/>
              </w:rPr>
            </w:pPr>
            <w:r w:rsidRPr="003003C0">
              <w:rPr>
                <w:rFonts w:cs="Calibri"/>
                <w:color w:val="000000"/>
                <w:sz w:val="14"/>
                <w:szCs w:val="14"/>
              </w:rPr>
              <w:t>2</w:t>
            </w:r>
            <w:r>
              <w:rPr>
                <w:rFonts w:cs="Calibri"/>
                <w:color w:val="000000"/>
                <w:sz w:val="14"/>
                <w:szCs w:val="14"/>
              </w:rPr>
              <w:t>.</w:t>
            </w:r>
            <w:r w:rsidRPr="003003C0">
              <w:rPr>
                <w:rFonts w:cs="Calibri"/>
                <w:color w:val="000000"/>
                <w:sz w:val="14"/>
                <w:szCs w:val="14"/>
              </w:rPr>
              <w:t>1</w:t>
            </w:r>
          </w:p>
        </w:tc>
        <w:tc>
          <w:tcPr>
            <w:tcW w:w="722" w:type="dxa"/>
            <w:noWrap/>
            <w:vAlign w:val="center"/>
            <w:hideMark/>
          </w:tcPr>
          <w:p w14:paraId="2B645A24" w14:textId="77777777" w:rsidR="004F64EF" w:rsidRPr="003003C0" w:rsidRDefault="004F64EF" w:rsidP="00FD6B66">
            <w:pPr>
              <w:jc w:val="right"/>
              <w:rPr>
                <w:rFonts w:cs="Calibri"/>
                <w:color w:val="000000"/>
                <w:sz w:val="14"/>
                <w:szCs w:val="14"/>
              </w:rPr>
            </w:pPr>
            <w:r w:rsidRPr="003003C0">
              <w:rPr>
                <w:rFonts w:cs="Calibri"/>
                <w:color w:val="000000"/>
                <w:sz w:val="14"/>
                <w:szCs w:val="14"/>
              </w:rPr>
              <w:t>2</w:t>
            </w:r>
            <w:r>
              <w:rPr>
                <w:rFonts w:cs="Calibri"/>
                <w:color w:val="000000"/>
                <w:sz w:val="14"/>
                <w:szCs w:val="14"/>
              </w:rPr>
              <w:t>.</w:t>
            </w:r>
            <w:r w:rsidRPr="003003C0">
              <w:rPr>
                <w:rFonts w:cs="Calibri"/>
                <w:color w:val="000000"/>
                <w:sz w:val="14"/>
                <w:szCs w:val="14"/>
              </w:rPr>
              <w:t>1</w:t>
            </w:r>
          </w:p>
        </w:tc>
        <w:tc>
          <w:tcPr>
            <w:tcW w:w="721" w:type="dxa"/>
            <w:noWrap/>
            <w:vAlign w:val="center"/>
            <w:hideMark/>
          </w:tcPr>
          <w:p w14:paraId="43E2D63E" w14:textId="77777777" w:rsidR="004F64EF" w:rsidRPr="003003C0" w:rsidRDefault="004F64EF" w:rsidP="00FD6B66">
            <w:pPr>
              <w:jc w:val="right"/>
              <w:rPr>
                <w:rFonts w:cs="Calibri"/>
                <w:color w:val="000000"/>
                <w:sz w:val="14"/>
                <w:szCs w:val="14"/>
              </w:rPr>
            </w:pPr>
            <w:r w:rsidRPr="003003C0">
              <w:rPr>
                <w:rFonts w:cs="Calibri"/>
                <w:color w:val="000000"/>
                <w:sz w:val="14"/>
                <w:szCs w:val="14"/>
              </w:rPr>
              <w:t>1</w:t>
            </w:r>
            <w:r>
              <w:rPr>
                <w:rFonts w:cs="Calibri"/>
                <w:color w:val="000000"/>
                <w:sz w:val="14"/>
                <w:szCs w:val="14"/>
              </w:rPr>
              <w:t>.</w:t>
            </w:r>
            <w:r w:rsidRPr="003003C0">
              <w:rPr>
                <w:rFonts w:cs="Calibri"/>
                <w:color w:val="000000"/>
                <w:sz w:val="14"/>
                <w:szCs w:val="14"/>
              </w:rPr>
              <w:t>9</w:t>
            </w:r>
          </w:p>
        </w:tc>
        <w:tc>
          <w:tcPr>
            <w:tcW w:w="722" w:type="dxa"/>
            <w:noWrap/>
            <w:vAlign w:val="center"/>
            <w:hideMark/>
          </w:tcPr>
          <w:p w14:paraId="7041E715" w14:textId="77777777" w:rsidR="004F64EF" w:rsidRPr="003003C0" w:rsidRDefault="004F64EF" w:rsidP="00FD6B66">
            <w:pPr>
              <w:jc w:val="right"/>
              <w:rPr>
                <w:rFonts w:cs="Calibri"/>
                <w:color w:val="000000"/>
                <w:sz w:val="14"/>
                <w:szCs w:val="14"/>
              </w:rPr>
            </w:pPr>
            <w:r w:rsidRPr="003003C0">
              <w:rPr>
                <w:rFonts w:cs="Calibri"/>
                <w:color w:val="000000"/>
                <w:sz w:val="14"/>
                <w:szCs w:val="14"/>
              </w:rPr>
              <w:t>1</w:t>
            </w:r>
            <w:r>
              <w:rPr>
                <w:rFonts w:cs="Calibri"/>
                <w:color w:val="000000"/>
                <w:sz w:val="14"/>
                <w:szCs w:val="14"/>
              </w:rPr>
              <w:t>.</w:t>
            </w:r>
            <w:r w:rsidRPr="003003C0">
              <w:rPr>
                <w:rFonts w:cs="Calibri"/>
                <w:color w:val="000000"/>
                <w:sz w:val="14"/>
                <w:szCs w:val="14"/>
              </w:rPr>
              <w:t>8</w:t>
            </w:r>
          </w:p>
        </w:tc>
        <w:tc>
          <w:tcPr>
            <w:tcW w:w="722" w:type="dxa"/>
            <w:noWrap/>
            <w:vAlign w:val="center"/>
            <w:hideMark/>
          </w:tcPr>
          <w:p w14:paraId="2B4AF350" w14:textId="77777777" w:rsidR="004F64EF" w:rsidRPr="003003C0" w:rsidRDefault="004F64EF" w:rsidP="00FD6B66">
            <w:pPr>
              <w:jc w:val="right"/>
              <w:rPr>
                <w:rFonts w:cs="Calibri"/>
                <w:color w:val="000000"/>
                <w:sz w:val="14"/>
                <w:szCs w:val="14"/>
              </w:rPr>
            </w:pPr>
            <w:r w:rsidRPr="003003C0">
              <w:rPr>
                <w:rFonts w:cs="Calibri"/>
                <w:color w:val="000000"/>
                <w:sz w:val="14"/>
                <w:szCs w:val="14"/>
              </w:rPr>
              <w:t>1</w:t>
            </w:r>
            <w:r>
              <w:rPr>
                <w:rFonts w:cs="Calibri"/>
                <w:color w:val="000000"/>
                <w:sz w:val="14"/>
                <w:szCs w:val="14"/>
              </w:rPr>
              <w:t>.</w:t>
            </w:r>
            <w:r w:rsidRPr="003003C0">
              <w:rPr>
                <w:rFonts w:cs="Calibri"/>
                <w:color w:val="000000"/>
                <w:sz w:val="14"/>
                <w:szCs w:val="14"/>
              </w:rPr>
              <w:t>4</w:t>
            </w:r>
          </w:p>
        </w:tc>
        <w:tc>
          <w:tcPr>
            <w:tcW w:w="722" w:type="dxa"/>
            <w:noWrap/>
            <w:vAlign w:val="center"/>
            <w:hideMark/>
          </w:tcPr>
          <w:p w14:paraId="75650014" w14:textId="77777777" w:rsidR="004F64EF" w:rsidRPr="003003C0" w:rsidRDefault="004F64EF" w:rsidP="00FD6B66">
            <w:pPr>
              <w:jc w:val="right"/>
              <w:rPr>
                <w:rFonts w:cs="Calibri"/>
                <w:color w:val="000000"/>
                <w:sz w:val="14"/>
                <w:szCs w:val="14"/>
              </w:rPr>
            </w:pPr>
            <w:r w:rsidRPr="003003C0">
              <w:rPr>
                <w:rFonts w:cs="Calibri"/>
                <w:color w:val="000000"/>
                <w:sz w:val="14"/>
                <w:szCs w:val="14"/>
              </w:rPr>
              <w:t>1</w:t>
            </w:r>
            <w:r>
              <w:rPr>
                <w:rFonts w:cs="Calibri"/>
                <w:color w:val="000000"/>
                <w:sz w:val="14"/>
                <w:szCs w:val="14"/>
              </w:rPr>
              <w:t>.</w:t>
            </w:r>
            <w:r w:rsidRPr="003003C0">
              <w:rPr>
                <w:rFonts w:cs="Calibri"/>
                <w:color w:val="000000"/>
                <w:sz w:val="14"/>
                <w:szCs w:val="14"/>
              </w:rPr>
              <w:t>6</w:t>
            </w:r>
          </w:p>
        </w:tc>
      </w:tr>
      <w:tr w:rsidR="004F64EF" w:rsidRPr="003003C0" w14:paraId="3738B60C" w14:textId="77777777" w:rsidTr="00FD6B66">
        <w:trPr>
          <w:trHeight w:val="20"/>
        </w:trPr>
        <w:tc>
          <w:tcPr>
            <w:tcW w:w="3964" w:type="dxa"/>
            <w:noWrap/>
            <w:vAlign w:val="center"/>
            <w:hideMark/>
          </w:tcPr>
          <w:p w14:paraId="0A2CF1C4" w14:textId="77777777" w:rsidR="004F64EF" w:rsidRPr="003003C0" w:rsidRDefault="004F64EF" w:rsidP="00FD6B66">
            <w:pPr>
              <w:tabs>
                <w:tab w:val="left" w:pos="227"/>
              </w:tabs>
              <w:jc w:val="left"/>
              <w:rPr>
                <w:rFonts w:cs="Calibri"/>
                <w:color w:val="000000"/>
                <w:sz w:val="14"/>
                <w:szCs w:val="14"/>
              </w:rPr>
            </w:pPr>
            <w:r w:rsidRPr="003003C0">
              <w:rPr>
                <w:rFonts w:cs="Calibri"/>
                <w:color w:val="000000"/>
                <w:sz w:val="14"/>
                <w:szCs w:val="14"/>
              </w:rPr>
              <w:tab/>
              <w:t xml:space="preserve">63. </w:t>
            </w:r>
            <w:r w:rsidRPr="00254B13">
              <w:rPr>
                <w:rFonts w:cs="Calibri"/>
                <w:color w:val="000000"/>
                <w:sz w:val="14"/>
                <w:szCs w:val="14"/>
              </w:rPr>
              <w:t>Other made up textile articles; sets; worn clothing and worn textile articles; rags</w:t>
            </w:r>
          </w:p>
        </w:tc>
        <w:tc>
          <w:tcPr>
            <w:tcW w:w="721" w:type="dxa"/>
            <w:noWrap/>
            <w:vAlign w:val="center"/>
            <w:hideMark/>
          </w:tcPr>
          <w:p w14:paraId="79439868" w14:textId="77777777" w:rsidR="004F64EF" w:rsidRPr="003003C0" w:rsidRDefault="004F64EF" w:rsidP="00FD6B66">
            <w:pPr>
              <w:jc w:val="right"/>
              <w:rPr>
                <w:rFonts w:cs="Calibri"/>
                <w:color w:val="000000"/>
                <w:sz w:val="14"/>
                <w:szCs w:val="14"/>
              </w:rPr>
            </w:pPr>
            <w:r w:rsidRPr="003003C0">
              <w:rPr>
                <w:rFonts w:cs="Calibri"/>
                <w:color w:val="000000"/>
                <w:sz w:val="14"/>
                <w:szCs w:val="14"/>
              </w:rPr>
              <w:t>0</w:t>
            </w:r>
            <w:r>
              <w:rPr>
                <w:rFonts w:cs="Calibri"/>
                <w:color w:val="000000"/>
                <w:sz w:val="14"/>
                <w:szCs w:val="14"/>
              </w:rPr>
              <w:t>.</w:t>
            </w:r>
            <w:r w:rsidRPr="003003C0">
              <w:rPr>
                <w:rFonts w:cs="Calibri"/>
                <w:color w:val="000000"/>
                <w:sz w:val="14"/>
                <w:szCs w:val="14"/>
              </w:rPr>
              <w:t>8</w:t>
            </w:r>
          </w:p>
        </w:tc>
        <w:tc>
          <w:tcPr>
            <w:tcW w:w="722" w:type="dxa"/>
            <w:noWrap/>
            <w:vAlign w:val="center"/>
            <w:hideMark/>
          </w:tcPr>
          <w:p w14:paraId="313AD46E" w14:textId="77777777" w:rsidR="004F64EF" w:rsidRPr="003003C0" w:rsidRDefault="004F64EF" w:rsidP="00FD6B66">
            <w:pPr>
              <w:jc w:val="right"/>
              <w:rPr>
                <w:rFonts w:cs="Calibri"/>
                <w:color w:val="000000"/>
                <w:sz w:val="14"/>
                <w:szCs w:val="14"/>
              </w:rPr>
            </w:pPr>
            <w:r w:rsidRPr="003003C0">
              <w:rPr>
                <w:rFonts w:cs="Calibri"/>
                <w:color w:val="000000"/>
                <w:sz w:val="14"/>
                <w:szCs w:val="14"/>
              </w:rPr>
              <w:t>0</w:t>
            </w:r>
            <w:r>
              <w:rPr>
                <w:rFonts w:cs="Calibri"/>
                <w:color w:val="000000"/>
                <w:sz w:val="14"/>
                <w:szCs w:val="14"/>
              </w:rPr>
              <w:t>.</w:t>
            </w:r>
            <w:r w:rsidRPr="003003C0">
              <w:rPr>
                <w:rFonts w:cs="Calibri"/>
                <w:color w:val="000000"/>
                <w:sz w:val="14"/>
                <w:szCs w:val="14"/>
              </w:rPr>
              <w:t>6</w:t>
            </w:r>
          </w:p>
        </w:tc>
        <w:tc>
          <w:tcPr>
            <w:tcW w:w="722" w:type="dxa"/>
            <w:noWrap/>
            <w:vAlign w:val="center"/>
            <w:hideMark/>
          </w:tcPr>
          <w:p w14:paraId="38F4432C" w14:textId="77777777" w:rsidR="004F64EF" w:rsidRPr="003003C0" w:rsidRDefault="004F64EF" w:rsidP="00FD6B66">
            <w:pPr>
              <w:jc w:val="right"/>
              <w:rPr>
                <w:rFonts w:cs="Calibri"/>
                <w:color w:val="000000"/>
                <w:sz w:val="14"/>
                <w:szCs w:val="14"/>
              </w:rPr>
            </w:pPr>
            <w:r w:rsidRPr="003003C0">
              <w:rPr>
                <w:rFonts w:cs="Calibri"/>
                <w:color w:val="000000"/>
                <w:sz w:val="14"/>
                <w:szCs w:val="14"/>
              </w:rPr>
              <w:t>0</w:t>
            </w:r>
            <w:r>
              <w:rPr>
                <w:rFonts w:cs="Calibri"/>
                <w:color w:val="000000"/>
                <w:sz w:val="14"/>
                <w:szCs w:val="14"/>
              </w:rPr>
              <w:t>.</w:t>
            </w:r>
            <w:r w:rsidRPr="003003C0">
              <w:rPr>
                <w:rFonts w:cs="Calibri"/>
                <w:color w:val="000000"/>
                <w:sz w:val="14"/>
                <w:szCs w:val="14"/>
              </w:rPr>
              <w:t>7</w:t>
            </w:r>
          </w:p>
        </w:tc>
        <w:tc>
          <w:tcPr>
            <w:tcW w:w="721" w:type="dxa"/>
            <w:noWrap/>
            <w:vAlign w:val="center"/>
            <w:hideMark/>
          </w:tcPr>
          <w:p w14:paraId="0DC1C634" w14:textId="77777777" w:rsidR="004F64EF" w:rsidRPr="003003C0" w:rsidRDefault="004F64EF" w:rsidP="00FD6B66">
            <w:pPr>
              <w:jc w:val="right"/>
              <w:rPr>
                <w:rFonts w:cs="Calibri"/>
                <w:color w:val="000000"/>
                <w:sz w:val="14"/>
                <w:szCs w:val="14"/>
              </w:rPr>
            </w:pPr>
            <w:r w:rsidRPr="003003C0">
              <w:rPr>
                <w:rFonts w:cs="Calibri"/>
                <w:color w:val="000000"/>
                <w:sz w:val="14"/>
                <w:szCs w:val="14"/>
              </w:rPr>
              <w:t>0</w:t>
            </w:r>
            <w:r>
              <w:rPr>
                <w:rFonts w:cs="Calibri"/>
                <w:color w:val="000000"/>
                <w:sz w:val="14"/>
                <w:szCs w:val="14"/>
              </w:rPr>
              <w:t>.</w:t>
            </w:r>
            <w:r w:rsidRPr="003003C0">
              <w:rPr>
                <w:rFonts w:cs="Calibri"/>
                <w:color w:val="000000"/>
                <w:sz w:val="14"/>
                <w:szCs w:val="14"/>
              </w:rPr>
              <w:t>5</w:t>
            </w:r>
          </w:p>
        </w:tc>
        <w:tc>
          <w:tcPr>
            <w:tcW w:w="722" w:type="dxa"/>
            <w:noWrap/>
            <w:vAlign w:val="center"/>
            <w:hideMark/>
          </w:tcPr>
          <w:p w14:paraId="5DDD7CD9" w14:textId="77777777" w:rsidR="004F64EF" w:rsidRPr="003003C0" w:rsidRDefault="004F64EF" w:rsidP="00FD6B66">
            <w:pPr>
              <w:jc w:val="right"/>
              <w:rPr>
                <w:rFonts w:cs="Calibri"/>
                <w:color w:val="000000"/>
                <w:sz w:val="14"/>
                <w:szCs w:val="14"/>
              </w:rPr>
            </w:pPr>
            <w:r w:rsidRPr="003003C0">
              <w:rPr>
                <w:rFonts w:cs="Calibri"/>
                <w:color w:val="000000"/>
                <w:sz w:val="14"/>
                <w:szCs w:val="14"/>
              </w:rPr>
              <w:t>0</w:t>
            </w:r>
            <w:r>
              <w:rPr>
                <w:rFonts w:cs="Calibri"/>
                <w:color w:val="000000"/>
                <w:sz w:val="14"/>
                <w:szCs w:val="14"/>
              </w:rPr>
              <w:t>.</w:t>
            </w:r>
            <w:r w:rsidRPr="003003C0">
              <w:rPr>
                <w:rFonts w:cs="Calibri"/>
                <w:color w:val="000000"/>
                <w:sz w:val="14"/>
                <w:szCs w:val="14"/>
              </w:rPr>
              <w:t>6</w:t>
            </w:r>
          </w:p>
        </w:tc>
        <w:tc>
          <w:tcPr>
            <w:tcW w:w="722" w:type="dxa"/>
            <w:noWrap/>
            <w:vAlign w:val="center"/>
            <w:hideMark/>
          </w:tcPr>
          <w:p w14:paraId="150B875F" w14:textId="77777777" w:rsidR="004F64EF" w:rsidRPr="003003C0" w:rsidRDefault="004F64EF" w:rsidP="00FD6B66">
            <w:pPr>
              <w:jc w:val="right"/>
              <w:rPr>
                <w:rFonts w:cs="Calibri"/>
                <w:color w:val="000000"/>
                <w:sz w:val="14"/>
                <w:szCs w:val="14"/>
              </w:rPr>
            </w:pPr>
            <w:r w:rsidRPr="003003C0">
              <w:rPr>
                <w:rFonts w:cs="Calibri"/>
                <w:color w:val="000000"/>
                <w:sz w:val="14"/>
                <w:szCs w:val="14"/>
              </w:rPr>
              <w:t>1</w:t>
            </w:r>
            <w:r>
              <w:rPr>
                <w:rFonts w:cs="Calibri"/>
                <w:color w:val="000000"/>
                <w:sz w:val="14"/>
                <w:szCs w:val="14"/>
              </w:rPr>
              <w:t>.</w:t>
            </w:r>
            <w:r w:rsidRPr="003003C0">
              <w:rPr>
                <w:rFonts w:cs="Calibri"/>
                <w:color w:val="000000"/>
                <w:sz w:val="14"/>
                <w:szCs w:val="14"/>
              </w:rPr>
              <w:t>5</w:t>
            </w:r>
          </w:p>
        </w:tc>
        <w:tc>
          <w:tcPr>
            <w:tcW w:w="722" w:type="dxa"/>
            <w:noWrap/>
            <w:vAlign w:val="center"/>
            <w:hideMark/>
          </w:tcPr>
          <w:p w14:paraId="7655089F" w14:textId="77777777" w:rsidR="004F64EF" w:rsidRPr="003003C0" w:rsidRDefault="004F64EF" w:rsidP="00FD6B66">
            <w:pPr>
              <w:jc w:val="right"/>
              <w:rPr>
                <w:rFonts w:cs="Calibri"/>
                <w:color w:val="000000"/>
                <w:sz w:val="14"/>
                <w:szCs w:val="14"/>
              </w:rPr>
            </w:pPr>
            <w:r w:rsidRPr="003003C0">
              <w:rPr>
                <w:rFonts w:cs="Calibri"/>
                <w:color w:val="000000"/>
                <w:sz w:val="14"/>
                <w:szCs w:val="14"/>
              </w:rPr>
              <w:t>0</w:t>
            </w:r>
            <w:r>
              <w:rPr>
                <w:rFonts w:cs="Calibri"/>
                <w:color w:val="000000"/>
                <w:sz w:val="14"/>
                <w:szCs w:val="14"/>
              </w:rPr>
              <w:t>.</w:t>
            </w:r>
            <w:r w:rsidRPr="003003C0">
              <w:rPr>
                <w:rFonts w:cs="Calibri"/>
                <w:color w:val="000000"/>
                <w:sz w:val="14"/>
                <w:szCs w:val="14"/>
              </w:rPr>
              <w:t>7</w:t>
            </w:r>
          </w:p>
        </w:tc>
      </w:tr>
      <w:tr w:rsidR="004F64EF" w:rsidRPr="003003C0" w14:paraId="4F75AAB9" w14:textId="77777777" w:rsidTr="00FD6B66">
        <w:trPr>
          <w:cnfStyle w:val="000000010000" w:firstRow="0" w:lastRow="0" w:firstColumn="0" w:lastColumn="0" w:oddVBand="0" w:evenVBand="0" w:oddHBand="0" w:evenHBand="1" w:firstRowFirstColumn="0" w:firstRowLastColumn="0" w:lastRowFirstColumn="0" w:lastRowLastColumn="0"/>
          <w:trHeight w:val="20"/>
        </w:trPr>
        <w:tc>
          <w:tcPr>
            <w:tcW w:w="3964" w:type="dxa"/>
            <w:noWrap/>
            <w:vAlign w:val="center"/>
            <w:hideMark/>
          </w:tcPr>
          <w:p w14:paraId="15ACAE9F" w14:textId="77777777" w:rsidR="004F64EF" w:rsidRPr="003003C0" w:rsidRDefault="004F64EF" w:rsidP="00B22563">
            <w:pPr>
              <w:tabs>
                <w:tab w:val="left" w:pos="227"/>
              </w:tabs>
              <w:ind w:left="227" w:hanging="227"/>
              <w:jc w:val="left"/>
              <w:rPr>
                <w:rFonts w:cs="Calibri"/>
                <w:color w:val="000000"/>
                <w:sz w:val="14"/>
                <w:szCs w:val="14"/>
              </w:rPr>
            </w:pPr>
            <w:r w:rsidRPr="003003C0">
              <w:rPr>
                <w:rFonts w:cs="Calibri"/>
                <w:color w:val="000000"/>
                <w:sz w:val="14"/>
                <w:szCs w:val="14"/>
              </w:rPr>
              <w:tab/>
              <w:t xml:space="preserve">62. </w:t>
            </w:r>
            <w:r w:rsidRPr="00254B13">
              <w:rPr>
                <w:rFonts w:cs="Calibri"/>
                <w:color w:val="000000"/>
                <w:sz w:val="14"/>
                <w:szCs w:val="14"/>
              </w:rPr>
              <w:t>Articles of apparel and clothing accessories, not knitted or crocheted</w:t>
            </w:r>
          </w:p>
        </w:tc>
        <w:tc>
          <w:tcPr>
            <w:tcW w:w="721" w:type="dxa"/>
            <w:noWrap/>
            <w:vAlign w:val="center"/>
            <w:hideMark/>
          </w:tcPr>
          <w:p w14:paraId="1CB3CF73" w14:textId="77777777" w:rsidR="004F64EF" w:rsidRPr="003003C0" w:rsidRDefault="004F64EF" w:rsidP="00FD6B66">
            <w:pPr>
              <w:jc w:val="right"/>
              <w:rPr>
                <w:rFonts w:cs="Calibri"/>
                <w:color w:val="000000"/>
                <w:sz w:val="14"/>
                <w:szCs w:val="14"/>
              </w:rPr>
            </w:pPr>
            <w:r w:rsidRPr="003003C0">
              <w:rPr>
                <w:rFonts w:cs="Calibri"/>
                <w:color w:val="000000"/>
                <w:sz w:val="14"/>
                <w:szCs w:val="14"/>
              </w:rPr>
              <w:t>0</w:t>
            </w:r>
            <w:r>
              <w:rPr>
                <w:rFonts w:cs="Calibri"/>
                <w:color w:val="000000"/>
                <w:sz w:val="14"/>
                <w:szCs w:val="14"/>
              </w:rPr>
              <w:t>.</w:t>
            </w:r>
            <w:r w:rsidRPr="003003C0">
              <w:rPr>
                <w:rFonts w:cs="Calibri"/>
                <w:color w:val="000000"/>
                <w:sz w:val="14"/>
                <w:szCs w:val="14"/>
              </w:rPr>
              <w:t>9</w:t>
            </w:r>
          </w:p>
        </w:tc>
        <w:tc>
          <w:tcPr>
            <w:tcW w:w="722" w:type="dxa"/>
            <w:noWrap/>
            <w:vAlign w:val="center"/>
            <w:hideMark/>
          </w:tcPr>
          <w:p w14:paraId="392A1F68" w14:textId="77777777" w:rsidR="004F64EF" w:rsidRPr="003003C0" w:rsidRDefault="004F64EF" w:rsidP="00FD6B66">
            <w:pPr>
              <w:jc w:val="right"/>
              <w:rPr>
                <w:rFonts w:cs="Calibri"/>
                <w:color w:val="000000"/>
                <w:sz w:val="14"/>
                <w:szCs w:val="14"/>
              </w:rPr>
            </w:pPr>
            <w:r w:rsidRPr="003003C0">
              <w:rPr>
                <w:rFonts w:cs="Calibri"/>
                <w:color w:val="000000"/>
                <w:sz w:val="14"/>
                <w:szCs w:val="14"/>
              </w:rPr>
              <w:t>0</w:t>
            </w:r>
            <w:r>
              <w:rPr>
                <w:rFonts w:cs="Calibri"/>
                <w:color w:val="000000"/>
                <w:sz w:val="14"/>
                <w:szCs w:val="14"/>
              </w:rPr>
              <w:t>.</w:t>
            </w:r>
            <w:r w:rsidRPr="003003C0">
              <w:rPr>
                <w:rFonts w:cs="Calibri"/>
                <w:color w:val="000000"/>
                <w:sz w:val="14"/>
                <w:szCs w:val="14"/>
              </w:rPr>
              <w:t>8</w:t>
            </w:r>
          </w:p>
        </w:tc>
        <w:tc>
          <w:tcPr>
            <w:tcW w:w="722" w:type="dxa"/>
            <w:noWrap/>
            <w:vAlign w:val="center"/>
            <w:hideMark/>
          </w:tcPr>
          <w:p w14:paraId="2003AE34" w14:textId="77777777" w:rsidR="004F64EF" w:rsidRPr="003003C0" w:rsidRDefault="004F64EF" w:rsidP="00FD6B66">
            <w:pPr>
              <w:jc w:val="right"/>
              <w:rPr>
                <w:rFonts w:cs="Calibri"/>
                <w:color w:val="000000"/>
                <w:sz w:val="14"/>
                <w:szCs w:val="14"/>
              </w:rPr>
            </w:pPr>
            <w:r w:rsidRPr="003003C0">
              <w:rPr>
                <w:rFonts w:cs="Calibri"/>
                <w:color w:val="000000"/>
                <w:sz w:val="14"/>
                <w:szCs w:val="14"/>
              </w:rPr>
              <w:t>0</w:t>
            </w:r>
            <w:r>
              <w:rPr>
                <w:rFonts w:cs="Calibri"/>
                <w:color w:val="000000"/>
                <w:sz w:val="14"/>
                <w:szCs w:val="14"/>
              </w:rPr>
              <w:t>.</w:t>
            </w:r>
            <w:r w:rsidRPr="003003C0">
              <w:rPr>
                <w:rFonts w:cs="Calibri"/>
                <w:color w:val="000000"/>
                <w:sz w:val="14"/>
                <w:szCs w:val="14"/>
              </w:rPr>
              <w:t>8</w:t>
            </w:r>
          </w:p>
        </w:tc>
        <w:tc>
          <w:tcPr>
            <w:tcW w:w="721" w:type="dxa"/>
            <w:noWrap/>
            <w:vAlign w:val="center"/>
            <w:hideMark/>
          </w:tcPr>
          <w:p w14:paraId="483EB710" w14:textId="77777777" w:rsidR="004F64EF" w:rsidRPr="003003C0" w:rsidRDefault="004F64EF" w:rsidP="00FD6B66">
            <w:pPr>
              <w:jc w:val="right"/>
              <w:rPr>
                <w:rFonts w:cs="Calibri"/>
                <w:color w:val="000000"/>
                <w:sz w:val="14"/>
                <w:szCs w:val="14"/>
              </w:rPr>
            </w:pPr>
            <w:r w:rsidRPr="003003C0">
              <w:rPr>
                <w:rFonts w:cs="Calibri"/>
                <w:color w:val="000000"/>
                <w:sz w:val="14"/>
                <w:szCs w:val="14"/>
              </w:rPr>
              <w:t>0</w:t>
            </w:r>
            <w:r>
              <w:rPr>
                <w:rFonts w:cs="Calibri"/>
                <w:color w:val="000000"/>
                <w:sz w:val="14"/>
                <w:szCs w:val="14"/>
              </w:rPr>
              <w:t>.</w:t>
            </w:r>
            <w:r w:rsidRPr="003003C0">
              <w:rPr>
                <w:rFonts w:cs="Calibri"/>
                <w:color w:val="000000"/>
                <w:sz w:val="14"/>
                <w:szCs w:val="14"/>
              </w:rPr>
              <w:t>6</w:t>
            </w:r>
          </w:p>
        </w:tc>
        <w:tc>
          <w:tcPr>
            <w:tcW w:w="722" w:type="dxa"/>
            <w:noWrap/>
            <w:vAlign w:val="center"/>
            <w:hideMark/>
          </w:tcPr>
          <w:p w14:paraId="2901C72B" w14:textId="77777777" w:rsidR="004F64EF" w:rsidRPr="003003C0" w:rsidRDefault="004F64EF" w:rsidP="00FD6B66">
            <w:pPr>
              <w:jc w:val="right"/>
              <w:rPr>
                <w:rFonts w:cs="Calibri"/>
                <w:color w:val="000000"/>
                <w:sz w:val="14"/>
                <w:szCs w:val="14"/>
              </w:rPr>
            </w:pPr>
            <w:r w:rsidRPr="003003C0">
              <w:rPr>
                <w:rFonts w:cs="Calibri"/>
                <w:color w:val="000000"/>
                <w:sz w:val="14"/>
                <w:szCs w:val="14"/>
              </w:rPr>
              <w:t>0</w:t>
            </w:r>
            <w:r>
              <w:rPr>
                <w:rFonts w:cs="Calibri"/>
                <w:color w:val="000000"/>
                <w:sz w:val="14"/>
                <w:szCs w:val="14"/>
              </w:rPr>
              <w:t>.</w:t>
            </w:r>
            <w:r w:rsidRPr="003003C0">
              <w:rPr>
                <w:rFonts w:cs="Calibri"/>
                <w:color w:val="000000"/>
                <w:sz w:val="14"/>
                <w:szCs w:val="14"/>
              </w:rPr>
              <w:t>5</w:t>
            </w:r>
          </w:p>
        </w:tc>
        <w:tc>
          <w:tcPr>
            <w:tcW w:w="722" w:type="dxa"/>
            <w:noWrap/>
            <w:vAlign w:val="center"/>
            <w:hideMark/>
          </w:tcPr>
          <w:p w14:paraId="444274BE" w14:textId="77777777" w:rsidR="004F64EF" w:rsidRPr="003003C0" w:rsidRDefault="004F64EF" w:rsidP="00FD6B66">
            <w:pPr>
              <w:jc w:val="right"/>
              <w:rPr>
                <w:rFonts w:cs="Calibri"/>
                <w:color w:val="000000"/>
                <w:sz w:val="14"/>
                <w:szCs w:val="14"/>
              </w:rPr>
            </w:pPr>
            <w:r w:rsidRPr="003003C0">
              <w:rPr>
                <w:rFonts w:cs="Calibri"/>
                <w:color w:val="000000"/>
                <w:sz w:val="14"/>
                <w:szCs w:val="14"/>
              </w:rPr>
              <w:t>0</w:t>
            </w:r>
            <w:r>
              <w:rPr>
                <w:rFonts w:cs="Calibri"/>
                <w:color w:val="000000"/>
                <w:sz w:val="14"/>
                <w:szCs w:val="14"/>
              </w:rPr>
              <w:t>.</w:t>
            </w:r>
            <w:r w:rsidRPr="003003C0">
              <w:rPr>
                <w:rFonts w:cs="Calibri"/>
                <w:color w:val="000000"/>
                <w:sz w:val="14"/>
                <w:szCs w:val="14"/>
              </w:rPr>
              <w:t>6</w:t>
            </w:r>
          </w:p>
        </w:tc>
        <w:tc>
          <w:tcPr>
            <w:tcW w:w="722" w:type="dxa"/>
            <w:noWrap/>
            <w:vAlign w:val="center"/>
            <w:hideMark/>
          </w:tcPr>
          <w:p w14:paraId="448578BC" w14:textId="77777777" w:rsidR="004F64EF" w:rsidRPr="003003C0" w:rsidRDefault="004F64EF" w:rsidP="00FD6B66">
            <w:pPr>
              <w:jc w:val="right"/>
              <w:rPr>
                <w:rFonts w:cs="Calibri"/>
                <w:color w:val="000000"/>
                <w:sz w:val="14"/>
                <w:szCs w:val="14"/>
              </w:rPr>
            </w:pPr>
            <w:r w:rsidRPr="003003C0">
              <w:rPr>
                <w:rFonts w:cs="Calibri"/>
                <w:color w:val="000000"/>
                <w:sz w:val="14"/>
                <w:szCs w:val="14"/>
              </w:rPr>
              <w:t>0</w:t>
            </w:r>
            <w:r>
              <w:rPr>
                <w:rFonts w:cs="Calibri"/>
                <w:color w:val="000000"/>
                <w:sz w:val="14"/>
                <w:szCs w:val="14"/>
              </w:rPr>
              <w:t>.</w:t>
            </w:r>
            <w:r w:rsidRPr="003003C0">
              <w:rPr>
                <w:rFonts w:cs="Calibri"/>
                <w:color w:val="000000"/>
                <w:sz w:val="14"/>
                <w:szCs w:val="14"/>
              </w:rPr>
              <w:t>5</w:t>
            </w:r>
          </w:p>
        </w:tc>
      </w:tr>
      <w:tr w:rsidR="004F64EF" w:rsidRPr="003003C0" w14:paraId="048543CB" w14:textId="77777777" w:rsidTr="00FD6B66">
        <w:trPr>
          <w:trHeight w:val="20"/>
        </w:trPr>
        <w:tc>
          <w:tcPr>
            <w:tcW w:w="3964" w:type="dxa"/>
            <w:noWrap/>
            <w:vAlign w:val="center"/>
            <w:hideMark/>
          </w:tcPr>
          <w:p w14:paraId="702360A8" w14:textId="77777777" w:rsidR="004F64EF" w:rsidRPr="003003C0" w:rsidRDefault="004F64EF" w:rsidP="00FD6B66">
            <w:pPr>
              <w:tabs>
                <w:tab w:val="left" w:pos="227"/>
              </w:tabs>
              <w:jc w:val="left"/>
              <w:rPr>
                <w:rFonts w:cs="Calibri"/>
                <w:color w:val="000000"/>
                <w:sz w:val="14"/>
                <w:szCs w:val="14"/>
              </w:rPr>
            </w:pPr>
            <w:r w:rsidRPr="003003C0">
              <w:rPr>
                <w:rFonts w:cs="Calibri"/>
                <w:color w:val="000000"/>
                <w:sz w:val="14"/>
                <w:szCs w:val="14"/>
              </w:rPr>
              <w:tab/>
              <w:t xml:space="preserve">55. </w:t>
            </w:r>
            <w:r w:rsidRPr="00254B13">
              <w:rPr>
                <w:rFonts w:cs="Calibri"/>
                <w:color w:val="000000"/>
                <w:sz w:val="14"/>
                <w:szCs w:val="14"/>
              </w:rPr>
              <w:t>Man-made staple fibres</w:t>
            </w:r>
          </w:p>
        </w:tc>
        <w:tc>
          <w:tcPr>
            <w:tcW w:w="721" w:type="dxa"/>
            <w:noWrap/>
            <w:vAlign w:val="center"/>
            <w:hideMark/>
          </w:tcPr>
          <w:p w14:paraId="18400AFD" w14:textId="77777777" w:rsidR="004F64EF" w:rsidRPr="003003C0" w:rsidRDefault="004F64EF" w:rsidP="00FD6B66">
            <w:pPr>
              <w:jc w:val="right"/>
              <w:rPr>
                <w:rFonts w:cs="Calibri"/>
                <w:color w:val="000000"/>
                <w:sz w:val="14"/>
                <w:szCs w:val="14"/>
              </w:rPr>
            </w:pPr>
            <w:r w:rsidRPr="003003C0">
              <w:rPr>
                <w:rFonts w:cs="Calibri"/>
                <w:color w:val="000000"/>
                <w:sz w:val="14"/>
                <w:szCs w:val="14"/>
              </w:rPr>
              <w:t>1</w:t>
            </w:r>
            <w:r>
              <w:rPr>
                <w:rFonts w:cs="Calibri"/>
                <w:color w:val="000000"/>
                <w:sz w:val="14"/>
                <w:szCs w:val="14"/>
              </w:rPr>
              <w:t>.</w:t>
            </w:r>
            <w:r w:rsidRPr="003003C0">
              <w:rPr>
                <w:rFonts w:cs="Calibri"/>
                <w:color w:val="000000"/>
                <w:sz w:val="14"/>
                <w:szCs w:val="14"/>
              </w:rPr>
              <w:t>0</w:t>
            </w:r>
          </w:p>
        </w:tc>
        <w:tc>
          <w:tcPr>
            <w:tcW w:w="722" w:type="dxa"/>
            <w:noWrap/>
            <w:vAlign w:val="center"/>
            <w:hideMark/>
          </w:tcPr>
          <w:p w14:paraId="6BF24C6C" w14:textId="77777777" w:rsidR="004F64EF" w:rsidRPr="003003C0" w:rsidRDefault="004F64EF" w:rsidP="00FD6B66">
            <w:pPr>
              <w:jc w:val="right"/>
              <w:rPr>
                <w:rFonts w:cs="Calibri"/>
                <w:color w:val="000000"/>
                <w:sz w:val="14"/>
                <w:szCs w:val="14"/>
              </w:rPr>
            </w:pPr>
            <w:r w:rsidRPr="003003C0">
              <w:rPr>
                <w:rFonts w:cs="Calibri"/>
                <w:color w:val="000000"/>
                <w:sz w:val="14"/>
                <w:szCs w:val="14"/>
              </w:rPr>
              <w:t>1</w:t>
            </w:r>
            <w:r>
              <w:rPr>
                <w:rFonts w:cs="Calibri"/>
                <w:color w:val="000000"/>
                <w:sz w:val="14"/>
                <w:szCs w:val="14"/>
              </w:rPr>
              <w:t>.</w:t>
            </w:r>
            <w:r w:rsidRPr="003003C0">
              <w:rPr>
                <w:rFonts w:cs="Calibri"/>
                <w:color w:val="000000"/>
                <w:sz w:val="14"/>
                <w:szCs w:val="14"/>
              </w:rPr>
              <w:t>0</w:t>
            </w:r>
          </w:p>
        </w:tc>
        <w:tc>
          <w:tcPr>
            <w:tcW w:w="722" w:type="dxa"/>
            <w:noWrap/>
            <w:vAlign w:val="center"/>
            <w:hideMark/>
          </w:tcPr>
          <w:p w14:paraId="496AB422" w14:textId="77777777" w:rsidR="004F64EF" w:rsidRPr="003003C0" w:rsidRDefault="004F64EF" w:rsidP="00FD6B66">
            <w:pPr>
              <w:jc w:val="right"/>
              <w:rPr>
                <w:rFonts w:cs="Calibri"/>
                <w:color w:val="000000"/>
                <w:sz w:val="14"/>
                <w:szCs w:val="14"/>
              </w:rPr>
            </w:pPr>
            <w:r w:rsidRPr="003003C0">
              <w:rPr>
                <w:rFonts w:cs="Calibri"/>
                <w:color w:val="000000"/>
                <w:sz w:val="14"/>
                <w:szCs w:val="14"/>
              </w:rPr>
              <w:t>0</w:t>
            </w:r>
            <w:r>
              <w:rPr>
                <w:rFonts w:cs="Calibri"/>
                <w:color w:val="000000"/>
                <w:sz w:val="14"/>
                <w:szCs w:val="14"/>
              </w:rPr>
              <w:t>.</w:t>
            </w:r>
            <w:r w:rsidRPr="003003C0">
              <w:rPr>
                <w:rFonts w:cs="Calibri"/>
                <w:color w:val="000000"/>
                <w:sz w:val="14"/>
                <w:szCs w:val="14"/>
              </w:rPr>
              <w:t>9</w:t>
            </w:r>
          </w:p>
        </w:tc>
        <w:tc>
          <w:tcPr>
            <w:tcW w:w="721" w:type="dxa"/>
            <w:noWrap/>
            <w:vAlign w:val="center"/>
            <w:hideMark/>
          </w:tcPr>
          <w:p w14:paraId="1D8D6195" w14:textId="77777777" w:rsidR="004F64EF" w:rsidRPr="003003C0" w:rsidRDefault="004F64EF" w:rsidP="00FD6B66">
            <w:pPr>
              <w:jc w:val="right"/>
              <w:rPr>
                <w:rFonts w:cs="Calibri"/>
                <w:color w:val="000000"/>
                <w:sz w:val="14"/>
                <w:szCs w:val="14"/>
              </w:rPr>
            </w:pPr>
            <w:r w:rsidRPr="003003C0">
              <w:rPr>
                <w:rFonts w:cs="Calibri"/>
                <w:color w:val="000000"/>
                <w:sz w:val="14"/>
                <w:szCs w:val="14"/>
              </w:rPr>
              <w:t>0</w:t>
            </w:r>
            <w:r>
              <w:rPr>
                <w:rFonts w:cs="Calibri"/>
                <w:color w:val="000000"/>
                <w:sz w:val="14"/>
                <w:szCs w:val="14"/>
              </w:rPr>
              <w:t>.</w:t>
            </w:r>
            <w:r w:rsidRPr="003003C0">
              <w:rPr>
                <w:rFonts w:cs="Calibri"/>
                <w:color w:val="000000"/>
                <w:sz w:val="14"/>
                <w:szCs w:val="14"/>
              </w:rPr>
              <w:t>9</w:t>
            </w:r>
          </w:p>
        </w:tc>
        <w:tc>
          <w:tcPr>
            <w:tcW w:w="722" w:type="dxa"/>
            <w:noWrap/>
            <w:vAlign w:val="center"/>
            <w:hideMark/>
          </w:tcPr>
          <w:p w14:paraId="53E553D0" w14:textId="77777777" w:rsidR="004F64EF" w:rsidRPr="003003C0" w:rsidRDefault="004F64EF" w:rsidP="00FD6B66">
            <w:pPr>
              <w:jc w:val="right"/>
              <w:rPr>
                <w:rFonts w:cs="Calibri"/>
                <w:color w:val="000000"/>
                <w:sz w:val="14"/>
                <w:szCs w:val="14"/>
              </w:rPr>
            </w:pPr>
            <w:r w:rsidRPr="003003C0">
              <w:rPr>
                <w:rFonts w:cs="Calibri"/>
                <w:color w:val="000000"/>
                <w:sz w:val="14"/>
                <w:szCs w:val="14"/>
              </w:rPr>
              <w:t>0</w:t>
            </w:r>
            <w:r>
              <w:rPr>
                <w:rFonts w:cs="Calibri"/>
                <w:color w:val="000000"/>
                <w:sz w:val="14"/>
                <w:szCs w:val="14"/>
              </w:rPr>
              <w:t>.</w:t>
            </w:r>
            <w:r w:rsidRPr="003003C0">
              <w:rPr>
                <w:rFonts w:cs="Calibri"/>
                <w:color w:val="000000"/>
                <w:sz w:val="14"/>
                <w:szCs w:val="14"/>
              </w:rPr>
              <w:t>7</w:t>
            </w:r>
          </w:p>
        </w:tc>
        <w:tc>
          <w:tcPr>
            <w:tcW w:w="722" w:type="dxa"/>
            <w:noWrap/>
            <w:vAlign w:val="center"/>
            <w:hideMark/>
          </w:tcPr>
          <w:p w14:paraId="1FCD45BB" w14:textId="77777777" w:rsidR="004F64EF" w:rsidRPr="003003C0" w:rsidRDefault="004F64EF" w:rsidP="00FD6B66">
            <w:pPr>
              <w:jc w:val="right"/>
              <w:rPr>
                <w:rFonts w:cs="Calibri"/>
                <w:color w:val="000000"/>
                <w:sz w:val="14"/>
                <w:szCs w:val="14"/>
              </w:rPr>
            </w:pPr>
            <w:r w:rsidRPr="003003C0">
              <w:rPr>
                <w:rFonts w:cs="Calibri"/>
                <w:color w:val="000000"/>
                <w:sz w:val="14"/>
                <w:szCs w:val="14"/>
              </w:rPr>
              <w:t>0</w:t>
            </w:r>
            <w:r>
              <w:rPr>
                <w:rFonts w:cs="Calibri"/>
                <w:color w:val="000000"/>
                <w:sz w:val="14"/>
                <w:szCs w:val="14"/>
              </w:rPr>
              <w:t>.</w:t>
            </w:r>
            <w:r w:rsidRPr="003003C0">
              <w:rPr>
                <w:rFonts w:cs="Calibri"/>
                <w:color w:val="000000"/>
                <w:sz w:val="14"/>
                <w:szCs w:val="14"/>
              </w:rPr>
              <w:t>6</w:t>
            </w:r>
          </w:p>
        </w:tc>
        <w:tc>
          <w:tcPr>
            <w:tcW w:w="722" w:type="dxa"/>
            <w:noWrap/>
            <w:vAlign w:val="center"/>
            <w:hideMark/>
          </w:tcPr>
          <w:p w14:paraId="20F8D161" w14:textId="77777777" w:rsidR="004F64EF" w:rsidRPr="003003C0" w:rsidRDefault="004F64EF" w:rsidP="00FD6B66">
            <w:pPr>
              <w:jc w:val="right"/>
              <w:rPr>
                <w:rFonts w:cs="Calibri"/>
                <w:color w:val="000000"/>
                <w:sz w:val="14"/>
                <w:szCs w:val="14"/>
              </w:rPr>
            </w:pPr>
            <w:r w:rsidRPr="003003C0">
              <w:rPr>
                <w:rFonts w:cs="Calibri"/>
                <w:color w:val="000000"/>
                <w:sz w:val="14"/>
                <w:szCs w:val="14"/>
              </w:rPr>
              <w:t>0</w:t>
            </w:r>
            <w:r>
              <w:rPr>
                <w:rFonts w:cs="Calibri"/>
                <w:color w:val="000000"/>
                <w:sz w:val="14"/>
                <w:szCs w:val="14"/>
              </w:rPr>
              <w:t>.</w:t>
            </w:r>
            <w:r w:rsidRPr="003003C0">
              <w:rPr>
                <w:rFonts w:cs="Calibri"/>
                <w:color w:val="000000"/>
                <w:sz w:val="14"/>
                <w:szCs w:val="14"/>
              </w:rPr>
              <w:t>5</w:t>
            </w:r>
          </w:p>
        </w:tc>
      </w:tr>
      <w:tr w:rsidR="004F64EF" w:rsidRPr="003003C0" w14:paraId="05CF507A" w14:textId="77777777" w:rsidTr="00FD6B66">
        <w:trPr>
          <w:cnfStyle w:val="000000010000" w:firstRow="0" w:lastRow="0" w:firstColumn="0" w:lastColumn="0" w:oddVBand="0" w:evenVBand="0" w:oddHBand="0" w:evenHBand="1" w:firstRowFirstColumn="0" w:firstRowLastColumn="0" w:lastRowFirstColumn="0" w:lastRowLastColumn="0"/>
          <w:trHeight w:val="20"/>
        </w:trPr>
        <w:tc>
          <w:tcPr>
            <w:tcW w:w="3964" w:type="dxa"/>
            <w:noWrap/>
            <w:vAlign w:val="center"/>
            <w:hideMark/>
          </w:tcPr>
          <w:p w14:paraId="07867627" w14:textId="77777777" w:rsidR="004F64EF" w:rsidRPr="003003C0" w:rsidRDefault="004F64EF" w:rsidP="00FD6B66">
            <w:pPr>
              <w:jc w:val="left"/>
              <w:rPr>
                <w:rFonts w:cs="Calibri"/>
                <w:color w:val="000000"/>
                <w:sz w:val="14"/>
                <w:szCs w:val="14"/>
              </w:rPr>
            </w:pPr>
            <w:r w:rsidRPr="003003C0">
              <w:rPr>
                <w:rFonts w:cs="Calibri"/>
                <w:color w:val="000000"/>
                <w:sz w:val="14"/>
                <w:szCs w:val="14"/>
              </w:rPr>
              <w:t xml:space="preserve">12 - </w:t>
            </w:r>
            <w:r w:rsidRPr="00254B13">
              <w:rPr>
                <w:rFonts w:cs="Calibri"/>
                <w:color w:val="000000"/>
                <w:sz w:val="14"/>
                <w:szCs w:val="14"/>
              </w:rPr>
              <w:t>Footwear, headgear, umbrellas, sun umbrellas, walking-sticks, seat-sticks, whips, riding-crops and parts thereof; prepared feathers and articles made therewith</w:t>
            </w:r>
          </w:p>
        </w:tc>
        <w:tc>
          <w:tcPr>
            <w:tcW w:w="721" w:type="dxa"/>
            <w:noWrap/>
            <w:vAlign w:val="center"/>
            <w:hideMark/>
          </w:tcPr>
          <w:p w14:paraId="4C6F5A82" w14:textId="77777777" w:rsidR="004F64EF" w:rsidRPr="003003C0" w:rsidRDefault="004F64EF" w:rsidP="00FD6B66">
            <w:pPr>
              <w:jc w:val="right"/>
              <w:rPr>
                <w:rFonts w:cs="Calibri"/>
                <w:color w:val="000000"/>
                <w:sz w:val="14"/>
                <w:szCs w:val="14"/>
              </w:rPr>
            </w:pPr>
            <w:r w:rsidRPr="003003C0">
              <w:rPr>
                <w:rFonts w:cs="Calibri"/>
                <w:color w:val="000000"/>
                <w:sz w:val="14"/>
                <w:szCs w:val="14"/>
              </w:rPr>
              <w:t>1</w:t>
            </w:r>
            <w:r>
              <w:rPr>
                <w:rFonts w:cs="Calibri"/>
                <w:color w:val="000000"/>
                <w:sz w:val="14"/>
                <w:szCs w:val="14"/>
              </w:rPr>
              <w:t>.</w:t>
            </w:r>
            <w:r w:rsidRPr="003003C0">
              <w:rPr>
                <w:rFonts w:cs="Calibri"/>
                <w:color w:val="000000"/>
                <w:sz w:val="14"/>
                <w:szCs w:val="14"/>
              </w:rPr>
              <w:t>1</w:t>
            </w:r>
          </w:p>
        </w:tc>
        <w:tc>
          <w:tcPr>
            <w:tcW w:w="722" w:type="dxa"/>
            <w:noWrap/>
            <w:vAlign w:val="center"/>
            <w:hideMark/>
          </w:tcPr>
          <w:p w14:paraId="66F00ABC" w14:textId="77777777" w:rsidR="004F64EF" w:rsidRPr="003003C0" w:rsidRDefault="004F64EF" w:rsidP="00FD6B66">
            <w:pPr>
              <w:jc w:val="right"/>
              <w:rPr>
                <w:rFonts w:cs="Calibri"/>
                <w:color w:val="000000"/>
                <w:sz w:val="14"/>
                <w:szCs w:val="14"/>
              </w:rPr>
            </w:pPr>
            <w:r w:rsidRPr="003003C0">
              <w:rPr>
                <w:rFonts w:cs="Calibri"/>
                <w:color w:val="000000"/>
                <w:sz w:val="14"/>
                <w:szCs w:val="14"/>
              </w:rPr>
              <w:t>1</w:t>
            </w:r>
            <w:r>
              <w:rPr>
                <w:rFonts w:cs="Calibri"/>
                <w:color w:val="000000"/>
                <w:sz w:val="14"/>
                <w:szCs w:val="14"/>
              </w:rPr>
              <w:t>.</w:t>
            </w:r>
            <w:r w:rsidRPr="003003C0">
              <w:rPr>
                <w:rFonts w:cs="Calibri"/>
                <w:color w:val="000000"/>
                <w:sz w:val="14"/>
                <w:szCs w:val="14"/>
              </w:rPr>
              <w:t>0</w:t>
            </w:r>
          </w:p>
        </w:tc>
        <w:tc>
          <w:tcPr>
            <w:tcW w:w="722" w:type="dxa"/>
            <w:noWrap/>
            <w:vAlign w:val="center"/>
            <w:hideMark/>
          </w:tcPr>
          <w:p w14:paraId="21D8C283" w14:textId="77777777" w:rsidR="004F64EF" w:rsidRPr="003003C0" w:rsidRDefault="004F64EF" w:rsidP="00FD6B66">
            <w:pPr>
              <w:jc w:val="right"/>
              <w:rPr>
                <w:rFonts w:cs="Calibri"/>
                <w:color w:val="000000"/>
                <w:sz w:val="14"/>
                <w:szCs w:val="14"/>
              </w:rPr>
            </w:pPr>
            <w:r w:rsidRPr="003003C0">
              <w:rPr>
                <w:rFonts w:cs="Calibri"/>
                <w:color w:val="000000"/>
                <w:sz w:val="14"/>
                <w:szCs w:val="14"/>
              </w:rPr>
              <w:t>1</w:t>
            </w:r>
            <w:r>
              <w:rPr>
                <w:rFonts w:cs="Calibri"/>
                <w:color w:val="000000"/>
                <w:sz w:val="14"/>
                <w:szCs w:val="14"/>
              </w:rPr>
              <w:t>.</w:t>
            </w:r>
            <w:r w:rsidRPr="003003C0">
              <w:rPr>
                <w:rFonts w:cs="Calibri"/>
                <w:color w:val="000000"/>
                <w:sz w:val="14"/>
                <w:szCs w:val="14"/>
              </w:rPr>
              <w:t>1</w:t>
            </w:r>
          </w:p>
        </w:tc>
        <w:tc>
          <w:tcPr>
            <w:tcW w:w="721" w:type="dxa"/>
            <w:noWrap/>
            <w:vAlign w:val="center"/>
            <w:hideMark/>
          </w:tcPr>
          <w:p w14:paraId="13AAEADE" w14:textId="77777777" w:rsidR="004F64EF" w:rsidRPr="003003C0" w:rsidRDefault="004F64EF" w:rsidP="00FD6B66">
            <w:pPr>
              <w:jc w:val="right"/>
              <w:rPr>
                <w:rFonts w:cs="Calibri"/>
                <w:color w:val="000000"/>
                <w:sz w:val="14"/>
                <w:szCs w:val="14"/>
              </w:rPr>
            </w:pPr>
            <w:r w:rsidRPr="003003C0">
              <w:rPr>
                <w:rFonts w:cs="Calibri"/>
                <w:color w:val="000000"/>
                <w:sz w:val="14"/>
                <w:szCs w:val="14"/>
              </w:rPr>
              <w:t>0</w:t>
            </w:r>
            <w:r>
              <w:rPr>
                <w:rFonts w:cs="Calibri"/>
                <w:color w:val="000000"/>
                <w:sz w:val="14"/>
                <w:szCs w:val="14"/>
              </w:rPr>
              <w:t>.</w:t>
            </w:r>
            <w:r w:rsidRPr="003003C0">
              <w:rPr>
                <w:rFonts w:cs="Calibri"/>
                <w:color w:val="000000"/>
                <w:sz w:val="14"/>
                <w:szCs w:val="14"/>
              </w:rPr>
              <w:t>9</w:t>
            </w:r>
          </w:p>
        </w:tc>
        <w:tc>
          <w:tcPr>
            <w:tcW w:w="722" w:type="dxa"/>
            <w:noWrap/>
            <w:vAlign w:val="center"/>
            <w:hideMark/>
          </w:tcPr>
          <w:p w14:paraId="1F0100DF" w14:textId="77777777" w:rsidR="004F64EF" w:rsidRPr="003003C0" w:rsidRDefault="004F64EF" w:rsidP="00FD6B66">
            <w:pPr>
              <w:jc w:val="right"/>
              <w:rPr>
                <w:rFonts w:cs="Calibri"/>
                <w:color w:val="000000"/>
                <w:sz w:val="14"/>
                <w:szCs w:val="14"/>
              </w:rPr>
            </w:pPr>
            <w:r w:rsidRPr="003003C0">
              <w:rPr>
                <w:rFonts w:cs="Calibri"/>
                <w:color w:val="000000"/>
                <w:sz w:val="14"/>
                <w:szCs w:val="14"/>
              </w:rPr>
              <w:t>0</w:t>
            </w:r>
            <w:r>
              <w:rPr>
                <w:rFonts w:cs="Calibri"/>
                <w:color w:val="000000"/>
                <w:sz w:val="14"/>
                <w:szCs w:val="14"/>
              </w:rPr>
              <w:t>.</w:t>
            </w:r>
            <w:r w:rsidRPr="003003C0">
              <w:rPr>
                <w:rFonts w:cs="Calibri"/>
                <w:color w:val="000000"/>
                <w:sz w:val="14"/>
                <w:szCs w:val="14"/>
              </w:rPr>
              <w:t>8</w:t>
            </w:r>
          </w:p>
        </w:tc>
        <w:tc>
          <w:tcPr>
            <w:tcW w:w="722" w:type="dxa"/>
            <w:noWrap/>
            <w:vAlign w:val="center"/>
            <w:hideMark/>
          </w:tcPr>
          <w:p w14:paraId="048B23A9" w14:textId="77777777" w:rsidR="004F64EF" w:rsidRPr="003003C0" w:rsidRDefault="004F64EF" w:rsidP="00FD6B66">
            <w:pPr>
              <w:jc w:val="right"/>
              <w:rPr>
                <w:rFonts w:cs="Calibri"/>
                <w:color w:val="000000"/>
                <w:sz w:val="14"/>
                <w:szCs w:val="14"/>
              </w:rPr>
            </w:pPr>
            <w:r w:rsidRPr="003003C0">
              <w:rPr>
                <w:rFonts w:cs="Calibri"/>
                <w:color w:val="000000"/>
                <w:sz w:val="14"/>
                <w:szCs w:val="14"/>
              </w:rPr>
              <w:t>0</w:t>
            </w:r>
            <w:r>
              <w:rPr>
                <w:rFonts w:cs="Calibri"/>
                <w:color w:val="000000"/>
                <w:sz w:val="14"/>
                <w:szCs w:val="14"/>
              </w:rPr>
              <w:t>.</w:t>
            </w:r>
            <w:r w:rsidRPr="003003C0">
              <w:rPr>
                <w:rFonts w:cs="Calibri"/>
                <w:color w:val="000000"/>
                <w:sz w:val="14"/>
                <w:szCs w:val="14"/>
              </w:rPr>
              <w:t>7</w:t>
            </w:r>
          </w:p>
        </w:tc>
        <w:tc>
          <w:tcPr>
            <w:tcW w:w="722" w:type="dxa"/>
            <w:noWrap/>
            <w:vAlign w:val="center"/>
            <w:hideMark/>
          </w:tcPr>
          <w:p w14:paraId="68E3CA28" w14:textId="77777777" w:rsidR="004F64EF" w:rsidRPr="003003C0" w:rsidRDefault="004F64EF" w:rsidP="00FD6B66">
            <w:pPr>
              <w:jc w:val="right"/>
              <w:rPr>
                <w:rFonts w:cs="Calibri"/>
                <w:color w:val="000000"/>
                <w:sz w:val="14"/>
                <w:szCs w:val="14"/>
              </w:rPr>
            </w:pPr>
            <w:r w:rsidRPr="003003C0">
              <w:rPr>
                <w:rFonts w:cs="Calibri"/>
                <w:color w:val="000000"/>
                <w:sz w:val="14"/>
                <w:szCs w:val="14"/>
              </w:rPr>
              <w:t>0</w:t>
            </w:r>
            <w:r>
              <w:rPr>
                <w:rFonts w:cs="Calibri"/>
                <w:color w:val="000000"/>
                <w:sz w:val="14"/>
                <w:szCs w:val="14"/>
              </w:rPr>
              <w:t>.</w:t>
            </w:r>
            <w:r w:rsidRPr="003003C0">
              <w:rPr>
                <w:rFonts w:cs="Calibri"/>
                <w:color w:val="000000"/>
                <w:sz w:val="14"/>
                <w:szCs w:val="14"/>
              </w:rPr>
              <w:t>6</w:t>
            </w:r>
          </w:p>
        </w:tc>
      </w:tr>
      <w:tr w:rsidR="004F64EF" w:rsidRPr="003003C0" w14:paraId="5196BD2E" w14:textId="77777777" w:rsidTr="00FD6B66">
        <w:trPr>
          <w:trHeight w:val="20"/>
        </w:trPr>
        <w:tc>
          <w:tcPr>
            <w:tcW w:w="3964" w:type="dxa"/>
            <w:noWrap/>
            <w:vAlign w:val="center"/>
            <w:hideMark/>
          </w:tcPr>
          <w:p w14:paraId="7D4F1A07" w14:textId="77777777" w:rsidR="004F64EF" w:rsidRPr="003003C0" w:rsidRDefault="004F64EF" w:rsidP="00B22563">
            <w:pPr>
              <w:tabs>
                <w:tab w:val="left" w:pos="227"/>
              </w:tabs>
              <w:ind w:left="227" w:hanging="227"/>
              <w:jc w:val="left"/>
              <w:rPr>
                <w:rFonts w:cs="Calibri"/>
                <w:color w:val="000000"/>
                <w:sz w:val="14"/>
                <w:szCs w:val="14"/>
              </w:rPr>
            </w:pPr>
            <w:r w:rsidRPr="003003C0">
              <w:rPr>
                <w:rFonts w:cs="Calibri"/>
                <w:color w:val="000000"/>
                <w:sz w:val="14"/>
                <w:szCs w:val="14"/>
              </w:rPr>
              <w:lastRenderedPageBreak/>
              <w:tab/>
              <w:t xml:space="preserve">64. </w:t>
            </w:r>
            <w:r w:rsidRPr="00254B13">
              <w:rPr>
                <w:rFonts w:cs="Calibri"/>
                <w:color w:val="000000"/>
                <w:sz w:val="14"/>
                <w:szCs w:val="14"/>
              </w:rPr>
              <w:t>Footwear, gaiters and the like; parts of such articles</w:t>
            </w:r>
          </w:p>
        </w:tc>
        <w:tc>
          <w:tcPr>
            <w:tcW w:w="721" w:type="dxa"/>
            <w:noWrap/>
            <w:vAlign w:val="center"/>
            <w:hideMark/>
          </w:tcPr>
          <w:p w14:paraId="5EA68A35" w14:textId="77777777" w:rsidR="004F64EF" w:rsidRPr="003003C0" w:rsidRDefault="004F64EF" w:rsidP="00FD6B66">
            <w:pPr>
              <w:jc w:val="right"/>
              <w:rPr>
                <w:rFonts w:cs="Calibri"/>
                <w:color w:val="000000"/>
                <w:sz w:val="14"/>
                <w:szCs w:val="14"/>
              </w:rPr>
            </w:pPr>
            <w:r w:rsidRPr="003003C0">
              <w:rPr>
                <w:rFonts w:cs="Calibri"/>
                <w:color w:val="000000"/>
                <w:sz w:val="14"/>
                <w:szCs w:val="14"/>
              </w:rPr>
              <w:t>1</w:t>
            </w:r>
            <w:r>
              <w:rPr>
                <w:rFonts w:cs="Calibri"/>
                <w:color w:val="000000"/>
                <w:sz w:val="14"/>
                <w:szCs w:val="14"/>
              </w:rPr>
              <w:t>.</w:t>
            </w:r>
            <w:r w:rsidRPr="003003C0">
              <w:rPr>
                <w:rFonts w:cs="Calibri"/>
                <w:color w:val="000000"/>
                <w:sz w:val="14"/>
                <w:szCs w:val="14"/>
              </w:rPr>
              <w:t>0</w:t>
            </w:r>
          </w:p>
        </w:tc>
        <w:tc>
          <w:tcPr>
            <w:tcW w:w="722" w:type="dxa"/>
            <w:noWrap/>
            <w:vAlign w:val="center"/>
            <w:hideMark/>
          </w:tcPr>
          <w:p w14:paraId="36110346" w14:textId="77777777" w:rsidR="004F64EF" w:rsidRPr="003003C0" w:rsidRDefault="004F64EF" w:rsidP="00FD6B66">
            <w:pPr>
              <w:jc w:val="right"/>
              <w:rPr>
                <w:rFonts w:cs="Calibri"/>
                <w:color w:val="000000"/>
                <w:sz w:val="14"/>
                <w:szCs w:val="14"/>
              </w:rPr>
            </w:pPr>
            <w:r w:rsidRPr="003003C0">
              <w:rPr>
                <w:rFonts w:cs="Calibri"/>
                <w:color w:val="000000"/>
                <w:sz w:val="14"/>
                <w:szCs w:val="14"/>
              </w:rPr>
              <w:t>1</w:t>
            </w:r>
            <w:r>
              <w:rPr>
                <w:rFonts w:cs="Calibri"/>
                <w:color w:val="000000"/>
                <w:sz w:val="14"/>
                <w:szCs w:val="14"/>
              </w:rPr>
              <w:t>.</w:t>
            </w:r>
            <w:r w:rsidRPr="003003C0">
              <w:rPr>
                <w:rFonts w:cs="Calibri"/>
                <w:color w:val="000000"/>
                <w:sz w:val="14"/>
                <w:szCs w:val="14"/>
              </w:rPr>
              <w:t>0</w:t>
            </w:r>
          </w:p>
        </w:tc>
        <w:tc>
          <w:tcPr>
            <w:tcW w:w="722" w:type="dxa"/>
            <w:noWrap/>
            <w:vAlign w:val="center"/>
            <w:hideMark/>
          </w:tcPr>
          <w:p w14:paraId="45B75D1C" w14:textId="77777777" w:rsidR="004F64EF" w:rsidRPr="003003C0" w:rsidRDefault="004F64EF" w:rsidP="00FD6B66">
            <w:pPr>
              <w:jc w:val="right"/>
              <w:rPr>
                <w:rFonts w:cs="Calibri"/>
                <w:color w:val="000000"/>
                <w:sz w:val="14"/>
                <w:szCs w:val="14"/>
              </w:rPr>
            </w:pPr>
            <w:r w:rsidRPr="003003C0">
              <w:rPr>
                <w:rFonts w:cs="Calibri"/>
                <w:color w:val="000000"/>
                <w:sz w:val="14"/>
                <w:szCs w:val="14"/>
              </w:rPr>
              <w:t>1</w:t>
            </w:r>
            <w:r>
              <w:rPr>
                <w:rFonts w:cs="Calibri"/>
                <w:color w:val="000000"/>
                <w:sz w:val="14"/>
                <w:szCs w:val="14"/>
              </w:rPr>
              <w:t>.</w:t>
            </w:r>
            <w:r w:rsidRPr="003003C0">
              <w:rPr>
                <w:rFonts w:cs="Calibri"/>
                <w:color w:val="000000"/>
                <w:sz w:val="14"/>
                <w:szCs w:val="14"/>
              </w:rPr>
              <w:t>0</w:t>
            </w:r>
          </w:p>
        </w:tc>
        <w:tc>
          <w:tcPr>
            <w:tcW w:w="721" w:type="dxa"/>
            <w:noWrap/>
            <w:vAlign w:val="center"/>
            <w:hideMark/>
          </w:tcPr>
          <w:p w14:paraId="267BDC5B" w14:textId="77777777" w:rsidR="004F64EF" w:rsidRPr="003003C0" w:rsidRDefault="004F64EF" w:rsidP="00FD6B66">
            <w:pPr>
              <w:jc w:val="right"/>
              <w:rPr>
                <w:rFonts w:cs="Calibri"/>
                <w:color w:val="000000"/>
                <w:sz w:val="14"/>
                <w:szCs w:val="14"/>
              </w:rPr>
            </w:pPr>
            <w:r w:rsidRPr="003003C0">
              <w:rPr>
                <w:rFonts w:cs="Calibri"/>
                <w:color w:val="000000"/>
                <w:sz w:val="14"/>
                <w:szCs w:val="14"/>
              </w:rPr>
              <w:t>0</w:t>
            </w:r>
            <w:r>
              <w:rPr>
                <w:rFonts w:cs="Calibri"/>
                <w:color w:val="000000"/>
                <w:sz w:val="14"/>
                <w:szCs w:val="14"/>
              </w:rPr>
              <w:t>.</w:t>
            </w:r>
            <w:r w:rsidRPr="003003C0">
              <w:rPr>
                <w:rFonts w:cs="Calibri"/>
                <w:color w:val="000000"/>
                <w:sz w:val="14"/>
                <w:szCs w:val="14"/>
              </w:rPr>
              <w:t>8</w:t>
            </w:r>
          </w:p>
        </w:tc>
        <w:tc>
          <w:tcPr>
            <w:tcW w:w="722" w:type="dxa"/>
            <w:noWrap/>
            <w:vAlign w:val="center"/>
            <w:hideMark/>
          </w:tcPr>
          <w:p w14:paraId="78C15916" w14:textId="77777777" w:rsidR="004F64EF" w:rsidRPr="003003C0" w:rsidRDefault="004F64EF" w:rsidP="00FD6B66">
            <w:pPr>
              <w:jc w:val="right"/>
              <w:rPr>
                <w:rFonts w:cs="Calibri"/>
                <w:color w:val="000000"/>
                <w:sz w:val="14"/>
                <w:szCs w:val="14"/>
              </w:rPr>
            </w:pPr>
            <w:r w:rsidRPr="003003C0">
              <w:rPr>
                <w:rFonts w:cs="Calibri"/>
                <w:color w:val="000000"/>
                <w:sz w:val="14"/>
                <w:szCs w:val="14"/>
              </w:rPr>
              <w:t>0</w:t>
            </w:r>
            <w:r>
              <w:rPr>
                <w:rFonts w:cs="Calibri"/>
                <w:color w:val="000000"/>
                <w:sz w:val="14"/>
                <w:szCs w:val="14"/>
              </w:rPr>
              <w:t>.</w:t>
            </w:r>
            <w:r w:rsidRPr="003003C0">
              <w:rPr>
                <w:rFonts w:cs="Calibri"/>
                <w:color w:val="000000"/>
                <w:sz w:val="14"/>
                <w:szCs w:val="14"/>
              </w:rPr>
              <w:t>7</w:t>
            </w:r>
          </w:p>
        </w:tc>
        <w:tc>
          <w:tcPr>
            <w:tcW w:w="722" w:type="dxa"/>
            <w:noWrap/>
            <w:vAlign w:val="center"/>
            <w:hideMark/>
          </w:tcPr>
          <w:p w14:paraId="2C838C84" w14:textId="77777777" w:rsidR="004F64EF" w:rsidRPr="003003C0" w:rsidRDefault="004F64EF" w:rsidP="00FD6B66">
            <w:pPr>
              <w:jc w:val="right"/>
              <w:rPr>
                <w:rFonts w:cs="Calibri"/>
                <w:color w:val="000000"/>
                <w:sz w:val="14"/>
                <w:szCs w:val="14"/>
              </w:rPr>
            </w:pPr>
            <w:r w:rsidRPr="003003C0">
              <w:rPr>
                <w:rFonts w:cs="Calibri"/>
                <w:color w:val="000000"/>
                <w:sz w:val="14"/>
                <w:szCs w:val="14"/>
              </w:rPr>
              <w:t>0</w:t>
            </w:r>
            <w:r>
              <w:rPr>
                <w:rFonts w:cs="Calibri"/>
                <w:color w:val="000000"/>
                <w:sz w:val="14"/>
                <w:szCs w:val="14"/>
              </w:rPr>
              <w:t>.</w:t>
            </w:r>
            <w:r w:rsidRPr="003003C0">
              <w:rPr>
                <w:rFonts w:cs="Calibri"/>
                <w:color w:val="000000"/>
                <w:sz w:val="14"/>
                <w:szCs w:val="14"/>
              </w:rPr>
              <w:t>6</w:t>
            </w:r>
          </w:p>
        </w:tc>
        <w:tc>
          <w:tcPr>
            <w:tcW w:w="722" w:type="dxa"/>
            <w:noWrap/>
            <w:vAlign w:val="center"/>
            <w:hideMark/>
          </w:tcPr>
          <w:p w14:paraId="4DB2709B" w14:textId="77777777" w:rsidR="004F64EF" w:rsidRPr="003003C0" w:rsidRDefault="004F64EF" w:rsidP="00FD6B66">
            <w:pPr>
              <w:jc w:val="right"/>
              <w:rPr>
                <w:rFonts w:cs="Calibri"/>
                <w:color w:val="000000"/>
                <w:sz w:val="14"/>
                <w:szCs w:val="14"/>
              </w:rPr>
            </w:pPr>
            <w:r w:rsidRPr="003003C0">
              <w:rPr>
                <w:rFonts w:cs="Calibri"/>
                <w:color w:val="000000"/>
                <w:sz w:val="14"/>
                <w:szCs w:val="14"/>
              </w:rPr>
              <w:t>0</w:t>
            </w:r>
            <w:r>
              <w:rPr>
                <w:rFonts w:cs="Calibri"/>
                <w:color w:val="000000"/>
                <w:sz w:val="14"/>
                <w:szCs w:val="14"/>
              </w:rPr>
              <w:t>.</w:t>
            </w:r>
            <w:r w:rsidRPr="003003C0">
              <w:rPr>
                <w:rFonts w:cs="Calibri"/>
                <w:color w:val="000000"/>
                <w:sz w:val="14"/>
                <w:szCs w:val="14"/>
              </w:rPr>
              <w:t>6</w:t>
            </w:r>
          </w:p>
        </w:tc>
      </w:tr>
      <w:tr w:rsidR="004F64EF" w:rsidRPr="003003C0" w14:paraId="0FBD11C2" w14:textId="77777777" w:rsidTr="00FD6B66">
        <w:trPr>
          <w:cnfStyle w:val="000000010000" w:firstRow="0" w:lastRow="0" w:firstColumn="0" w:lastColumn="0" w:oddVBand="0" w:evenVBand="0" w:oddHBand="0" w:evenHBand="1" w:firstRowFirstColumn="0" w:firstRowLastColumn="0" w:lastRowFirstColumn="0" w:lastRowLastColumn="0"/>
          <w:trHeight w:val="20"/>
        </w:trPr>
        <w:tc>
          <w:tcPr>
            <w:tcW w:w="3964" w:type="dxa"/>
            <w:noWrap/>
            <w:vAlign w:val="center"/>
            <w:hideMark/>
          </w:tcPr>
          <w:p w14:paraId="1EE46382" w14:textId="77777777" w:rsidR="004F64EF" w:rsidRPr="003003C0" w:rsidRDefault="004F64EF" w:rsidP="00FD6B66">
            <w:pPr>
              <w:jc w:val="left"/>
              <w:rPr>
                <w:rFonts w:cs="Calibri"/>
                <w:color w:val="000000"/>
                <w:sz w:val="14"/>
                <w:szCs w:val="14"/>
              </w:rPr>
            </w:pPr>
            <w:r w:rsidRPr="003003C0">
              <w:rPr>
                <w:rFonts w:cs="Calibri"/>
                <w:color w:val="000000"/>
                <w:sz w:val="14"/>
                <w:szCs w:val="14"/>
              </w:rPr>
              <w:t xml:space="preserve">13 - </w:t>
            </w:r>
            <w:r w:rsidRPr="00254B13">
              <w:rPr>
                <w:rFonts w:cs="Calibri"/>
                <w:color w:val="000000"/>
                <w:sz w:val="14"/>
                <w:szCs w:val="14"/>
              </w:rPr>
              <w:t>Articles of stone, plaster, cement, asbestos, mica or similar materials; ceramic products; glass and glassware</w:t>
            </w:r>
          </w:p>
        </w:tc>
        <w:tc>
          <w:tcPr>
            <w:tcW w:w="721" w:type="dxa"/>
            <w:noWrap/>
            <w:vAlign w:val="center"/>
            <w:hideMark/>
          </w:tcPr>
          <w:p w14:paraId="3ACA24E1" w14:textId="77777777" w:rsidR="004F64EF" w:rsidRPr="003003C0" w:rsidRDefault="004F64EF" w:rsidP="00FD6B66">
            <w:pPr>
              <w:jc w:val="right"/>
              <w:rPr>
                <w:rFonts w:cs="Calibri"/>
                <w:color w:val="000000"/>
                <w:sz w:val="14"/>
                <w:szCs w:val="14"/>
              </w:rPr>
            </w:pPr>
            <w:r w:rsidRPr="003003C0">
              <w:rPr>
                <w:rFonts w:cs="Calibri"/>
                <w:color w:val="000000"/>
                <w:sz w:val="14"/>
                <w:szCs w:val="14"/>
              </w:rPr>
              <w:t>1</w:t>
            </w:r>
            <w:r>
              <w:rPr>
                <w:rFonts w:cs="Calibri"/>
                <w:color w:val="000000"/>
                <w:sz w:val="14"/>
                <w:szCs w:val="14"/>
              </w:rPr>
              <w:t>.</w:t>
            </w:r>
            <w:r w:rsidRPr="003003C0">
              <w:rPr>
                <w:rFonts w:cs="Calibri"/>
                <w:color w:val="000000"/>
                <w:sz w:val="14"/>
                <w:szCs w:val="14"/>
              </w:rPr>
              <w:t>7</w:t>
            </w:r>
          </w:p>
        </w:tc>
        <w:tc>
          <w:tcPr>
            <w:tcW w:w="722" w:type="dxa"/>
            <w:noWrap/>
            <w:vAlign w:val="center"/>
            <w:hideMark/>
          </w:tcPr>
          <w:p w14:paraId="77F59D7B" w14:textId="77777777" w:rsidR="004F64EF" w:rsidRPr="003003C0" w:rsidRDefault="004F64EF" w:rsidP="00FD6B66">
            <w:pPr>
              <w:jc w:val="right"/>
              <w:rPr>
                <w:rFonts w:cs="Calibri"/>
                <w:color w:val="000000"/>
                <w:sz w:val="14"/>
                <w:szCs w:val="14"/>
              </w:rPr>
            </w:pPr>
            <w:r w:rsidRPr="003003C0">
              <w:rPr>
                <w:rFonts w:cs="Calibri"/>
                <w:color w:val="000000"/>
                <w:sz w:val="14"/>
                <w:szCs w:val="14"/>
              </w:rPr>
              <w:t>1</w:t>
            </w:r>
            <w:r>
              <w:rPr>
                <w:rFonts w:cs="Calibri"/>
                <w:color w:val="000000"/>
                <w:sz w:val="14"/>
                <w:szCs w:val="14"/>
              </w:rPr>
              <w:t>.</w:t>
            </w:r>
            <w:r w:rsidRPr="003003C0">
              <w:rPr>
                <w:rFonts w:cs="Calibri"/>
                <w:color w:val="000000"/>
                <w:sz w:val="14"/>
                <w:szCs w:val="14"/>
              </w:rPr>
              <w:t>7</w:t>
            </w:r>
          </w:p>
        </w:tc>
        <w:tc>
          <w:tcPr>
            <w:tcW w:w="722" w:type="dxa"/>
            <w:noWrap/>
            <w:vAlign w:val="center"/>
            <w:hideMark/>
          </w:tcPr>
          <w:p w14:paraId="24A77E68" w14:textId="77777777" w:rsidR="004F64EF" w:rsidRPr="003003C0" w:rsidRDefault="004F64EF" w:rsidP="00FD6B66">
            <w:pPr>
              <w:jc w:val="right"/>
              <w:rPr>
                <w:rFonts w:cs="Calibri"/>
                <w:color w:val="000000"/>
                <w:sz w:val="14"/>
                <w:szCs w:val="14"/>
              </w:rPr>
            </w:pPr>
            <w:r w:rsidRPr="003003C0">
              <w:rPr>
                <w:rFonts w:cs="Calibri"/>
                <w:color w:val="000000"/>
                <w:sz w:val="14"/>
                <w:szCs w:val="14"/>
              </w:rPr>
              <w:t>1</w:t>
            </w:r>
            <w:r>
              <w:rPr>
                <w:rFonts w:cs="Calibri"/>
                <w:color w:val="000000"/>
                <w:sz w:val="14"/>
                <w:szCs w:val="14"/>
              </w:rPr>
              <w:t>.</w:t>
            </w:r>
            <w:r w:rsidRPr="003003C0">
              <w:rPr>
                <w:rFonts w:cs="Calibri"/>
                <w:color w:val="000000"/>
                <w:sz w:val="14"/>
                <w:szCs w:val="14"/>
              </w:rPr>
              <w:t>7</w:t>
            </w:r>
          </w:p>
        </w:tc>
        <w:tc>
          <w:tcPr>
            <w:tcW w:w="721" w:type="dxa"/>
            <w:noWrap/>
            <w:vAlign w:val="center"/>
            <w:hideMark/>
          </w:tcPr>
          <w:p w14:paraId="48A92609" w14:textId="77777777" w:rsidR="004F64EF" w:rsidRPr="003003C0" w:rsidRDefault="004F64EF" w:rsidP="00FD6B66">
            <w:pPr>
              <w:jc w:val="right"/>
              <w:rPr>
                <w:rFonts w:cs="Calibri"/>
                <w:color w:val="000000"/>
                <w:sz w:val="14"/>
                <w:szCs w:val="14"/>
              </w:rPr>
            </w:pPr>
            <w:r w:rsidRPr="003003C0">
              <w:rPr>
                <w:rFonts w:cs="Calibri"/>
                <w:color w:val="000000"/>
                <w:sz w:val="14"/>
                <w:szCs w:val="14"/>
              </w:rPr>
              <w:t>1</w:t>
            </w:r>
            <w:r>
              <w:rPr>
                <w:rFonts w:cs="Calibri"/>
                <w:color w:val="000000"/>
                <w:sz w:val="14"/>
                <w:szCs w:val="14"/>
              </w:rPr>
              <w:t>.</w:t>
            </w:r>
            <w:r w:rsidRPr="003003C0">
              <w:rPr>
                <w:rFonts w:cs="Calibri"/>
                <w:color w:val="000000"/>
                <w:sz w:val="14"/>
                <w:szCs w:val="14"/>
              </w:rPr>
              <w:t>7</w:t>
            </w:r>
          </w:p>
        </w:tc>
        <w:tc>
          <w:tcPr>
            <w:tcW w:w="722" w:type="dxa"/>
            <w:noWrap/>
            <w:vAlign w:val="center"/>
            <w:hideMark/>
          </w:tcPr>
          <w:p w14:paraId="1C250156" w14:textId="77777777" w:rsidR="004F64EF" w:rsidRPr="003003C0" w:rsidRDefault="004F64EF" w:rsidP="00FD6B66">
            <w:pPr>
              <w:jc w:val="right"/>
              <w:rPr>
                <w:rFonts w:cs="Calibri"/>
                <w:color w:val="000000"/>
                <w:sz w:val="14"/>
                <w:szCs w:val="14"/>
              </w:rPr>
            </w:pPr>
            <w:r w:rsidRPr="003003C0">
              <w:rPr>
                <w:rFonts w:cs="Calibri"/>
                <w:color w:val="000000"/>
                <w:sz w:val="14"/>
                <w:szCs w:val="14"/>
              </w:rPr>
              <w:t>1</w:t>
            </w:r>
            <w:r>
              <w:rPr>
                <w:rFonts w:cs="Calibri"/>
                <w:color w:val="000000"/>
                <w:sz w:val="14"/>
                <w:szCs w:val="14"/>
              </w:rPr>
              <w:t>.</w:t>
            </w:r>
            <w:r w:rsidRPr="003003C0">
              <w:rPr>
                <w:rFonts w:cs="Calibri"/>
                <w:color w:val="000000"/>
                <w:sz w:val="14"/>
                <w:szCs w:val="14"/>
              </w:rPr>
              <w:t>8</w:t>
            </w:r>
          </w:p>
        </w:tc>
        <w:tc>
          <w:tcPr>
            <w:tcW w:w="722" w:type="dxa"/>
            <w:noWrap/>
            <w:vAlign w:val="center"/>
            <w:hideMark/>
          </w:tcPr>
          <w:p w14:paraId="52B10074" w14:textId="77777777" w:rsidR="004F64EF" w:rsidRPr="003003C0" w:rsidRDefault="004F64EF" w:rsidP="00FD6B66">
            <w:pPr>
              <w:jc w:val="right"/>
              <w:rPr>
                <w:rFonts w:cs="Calibri"/>
                <w:color w:val="000000"/>
                <w:sz w:val="14"/>
                <w:szCs w:val="14"/>
              </w:rPr>
            </w:pPr>
            <w:r w:rsidRPr="003003C0">
              <w:rPr>
                <w:rFonts w:cs="Calibri"/>
                <w:color w:val="000000"/>
                <w:sz w:val="14"/>
                <w:szCs w:val="14"/>
              </w:rPr>
              <w:t>1</w:t>
            </w:r>
            <w:r>
              <w:rPr>
                <w:rFonts w:cs="Calibri"/>
                <w:color w:val="000000"/>
                <w:sz w:val="14"/>
                <w:szCs w:val="14"/>
              </w:rPr>
              <w:t>.</w:t>
            </w:r>
            <w:r w:rsidRPr="003003C0">
              <w:rPr>
                <w:rFonts w:cs="Calibri"/>
                <w:color w:val="000000"/>
                <w:sz w:val="14"/>
                <w:szCs w:val="14"/>
              </w:rPr>
              <w:t>8</w:t>
            </w:r>
          </w:p>
        </w:tc>
        <w:tc>
          <w:tcPr>
            <w:tcW w:w="722" w:type="dxa"/>
            <w:noWrap/>
            <w:vAlign w:val="center"/>
            <w:hideMark/>
          </w:tcPr>
          <w:p w14:paraId="6B6B5587" w14:textId="77777777" w:rsidR="004F64EF" w:rsidRPr="003003C0" w:rsidRDefault="004F64EF" w:rsidP="00FD6B66">
            <w:pPr>
              <w:jc w:val="right"/>
              <w:rPr>
                <w:rFonts w:cs="Calibri"/>
                <w:color w:val="000000"/>
                <w:sz w:val="14"/>
                <w:szCs w:val="14"/>
              </w:rPr>
            </w:pPr>
            <w:r w:rsidRPr="003003C0">
              <w:rPr>
                <w:rFonts w:cs="Calibri"/>
                <w:color w:val="000000"/>
                <w:sz w:val="14"/>
                <w:szCs w:val="14"/>
              </w:rPr>
              <w:t>1</w:t>
            </w:r>
            <w:r>
              <w:rPr>
                <w:rFonts w:cs="Calibri"/>
                <w:color w:val="000000"/>
                <w:sz w:val="14"/>
                <w:szCs w:val="14"/>
              </w:rPr>
              <w:t>.</w:t>
            </w:r>
            <w:r w:rsidRPr="003003C0">
              <w:rPr>
                <w:rFonts w:cs="Calibri"/>
                <w:color w:val="000000"/>
                <w:sz w:val="14"/>
                <w:szCs w:val="14"/>
              </w:rPr>
              <w:t>7</w:t>
            </w:r>
          </w:p>
        </w:tc>
      </w:tr>
      <w:tr w:rsidR="004F64EF" w:rsidRPr="003003C0" w14:paraId="3C100101" w14:textId="77777777" w:rsidTr="00FD6B66">
        <w:trPr>
          <w:trHeight w:val="20"/>
        </w:trPr>
        <w:tc>
          <w:tcPr>
            <w:tcW w:w="3964" w:type="dxa"/>
            <w:noWrap/>
            <w:vAlign w:val="center"/>
            <w:hideMark/>
          </w:tcPr>
          <w:p w14:paraId="635F00BD" w14:textId="77777777" w:rsidR="004F64EF" w:rsidRPr="003003C0" w:rsidRDefault="004F64EF" w:rsidP="00FD6B66">
            <w:pPr>
              <w:tabs>
                <w:tab w:val="left" w:pos="227"/>
              </w:tabs>
              <w:jc w:val="left"/>
              <w:rPr>
                <w:rFonts w:cs="Calibri"/>
                <w:color w:val="000000"/>
                <w:sz w:val="14"/>
                <w:szCs w:val="14"/>
              </w:rPr>
            </w:pPr>
            <w:r w:rsidRPr="003003C0">
              <w:rPr>
                <w:rFonts w:cs="Calibri"/>
                <w:color w:val="000000"/>
                <w:sz w:val="14"/>
                <w:szCs w:val="14"/>
              </w:rPr>
              <w:tab/>
              <w:t xml:space="preserve">69. </w:t>
            </w:r>
            <w:r w:rsidRPr="00801AD0">
              <w:rPr>
                <w:rFonts w:cs="Calibri"/>
                <w:color w:val="000000"/>
                <w:sz w:val="14"/>
                <w:szCs w:val="14"/>
              </w:rPr>
              <w:t>Ceramic products</w:t>
            </w:r>
          </w:p>
        </w:tc>
        <w:tc>
          <w:tcPr>
            <w:tcW w:w="721" w:type="dxa"/>
            <w:noWrap/>
            <w:vAlign w:val="center"/>
            <w:hideMark/>
          </w:tcPr>
          <w:p w14:paraId="4EAC3484" w14:textId="77777777" w:rsidR="004F64EF" w:rsidRPr="003003C0" w:rsidRDefault="004F64EF" w:rsidP="00FD6B66">
            <w:pPr>
              <w:jc w:val="right"/>
              <w:rPr>
                <w:rFonts w:cs="Calibri"/>
                <w:color w:val="000000"/>
                <w:sz w:val="14"/>
                <w:szCs w:val="14"/>
              </w:rPr>
            </w:pPr>
            <w:r w:rsidRPr="003003C0">
              <w:rPr>
                <w:rFonts w:cs="Calibri"/>
                <w:color w:val="000000"/>
                <w:sz w:val="14"/>
                <w:szCs w:val="14"/>
              </w:rPr>
              <w:t>0</w:t>
            </w:r>
            <w:r>
              <w:rPr>
                <w:rFonts w:cs="Calibri"/>
                <w:color w:val="000000"/>
                <w:sz w:val="14"/>
                <w:szCs w:val="14"/>
              </w:rPr>
              <w:t>.</w:t>
            </w:r>
            <w:r w:rsidRPr="003003C0">
              <w:rPr>
                <w:rFonts w:cs="Calibri"/>
                <w:color w:val="000000"/>
                <w:sz w:val="14"/>
                <w:szCs w:val="14"/>
              </w:rPr>
              <w:t>7</w:t>
            </w:r>
          </w:p>
        </w:tc>
        <w:tc>
          <w:tcPr>
            <w:tcW w:w="722" w:type="dxa"/>
            <w:noWrap/>
            <w:vAlign w:val="center"/>
            <w:hideMark/>
          </w:tcPr>
          <w:p w14:paraId="3F678E56" w14:textId="77777777" w:rsidR="004F64EF" w:rsidRPr="003003C0" w:rsidRDefault="004F64EF" w:rsidP="00FD6B66">
            <w:pPr>
              <w:jc w:val="right"/>
              <w:rPr>
                <w:rFonts w:cs="Calibri"/>
                <w:color w:val="000000"/>
                <w:sz w:val="14"/>
                <w:szCs w:val="14"/>
              </w:rPr>
            </w:pPr>
            <w:r w:rsidRPr="003003C0">
              <w:rPr>
                <w:rFonts w:cs="Calibri"/>
                <w:color w:val="000000"/>
                <w:sz w:val="14"/>
                <w:szCs w:val="14"/>
              </w:rPr>
              <w:t>0</w:t>
            </w:r>
            <w:r>
              <w:rPr>
                <w:rFonts w:cs="Calibri"/>
                <w:color w:val="000000"/>
                <w:sz w:val="14"/>
                <w:szCs w:val="14"/>
              </w:rPr>
              <w:t>.</w:t>
            </w:r>
            <w:r w:rsidRPr="003003C0">
              <w:rPr>
                <w:rFonts w:cs="Calibri"/>
                <w:color w:val="000000"/>
                <w:sz w:val="14"/>
                <w:szCs w:val="14"/>
              </w:rPr>
              <w:t>6</w:t>
            </w:r>
          </w:p>
        </w:tc>
        <w:tc>
          <w:tcPr>
            <w:tcW w:w="722" w:type="dxa"/>
            <w:noWrap/>
            <w:vAlign w:val="center"/>
            <w:hideMark/>
          </w:tcPr>
          <w:p w14:paraId="02CC3FAE" w14:textId="77777777" w:rsidR="004F64EF" w:rsidRPr="003003C0" w:rsidRDefault="004F64EF" w:rsidP="00FD6B66">
            <w:pPr>
              <w:jc w:val="right"/>
              <w:rPr>
                <w:rFonts w:cs="Calibri"/>
                <w:color w:val="000000"/>
                <w:sz w:val="14"/>
                <w:szCs w:val="14"/>
              </w:rPr>
            </w:pPr>
            <w:r w:rsidRPr="003003C0">
              <w:rPr>
                <w:rFonts w:cs="Calibri"/>
                <w:color w:val="000000"/>
                <w:sz w:val="14"/>
                <w:szCs w:val="14"/>
              </w:rPr>
              <w:t>0</w:t>
            </w:r>
            <w:r>
              <w:rPr>
                <w:rFonts w:cs="Calibri"/>
                <w:color w:val="000000"/>
                <w:sz w:val="14"/>
                <w:szCs w:val="14"/>
              </w:rPr>
              <w:t>.</w:t>
            </w:r>
            <w:r w:rsidRPr="003003C0">
              <w:rPr>
                <w:rFonts w:cs="Calibri"/>
                <w:color w:val="000000"/>
                <w:sz w:val="14"/>
                <w:szCs w:val="14"/>
              </w:rPr>
              <w:t>6</w:t>
            </w:r>
          </w:p>
        </w:tc>
        <w:tc>
          <w:tcPr>
            <w:tcW w:w="721" w:type="dxa"/>
            <w:noWrap/>
            <w:vAlign w:val="center"/>
            <w:hideMark/>
          </w:tcPr>
          <w:p w14:paraId="70B39FCB" w14:textId="77777777" w:rsidR="004F64EF" w:rsidRPr="003003C0" w:rsidRDefault="004F64EF" w:rsidP="00FD6B66">
            <w:pPr>
              <w:jc w:val="right"/>
              <w:rPr>
                <w:rFonts w:cs="Calibri"/>
                <w:color w:val="000000"/>
                <w:sz w:val="14"/>
                <w:szCs w:val="14"/>
              </w:rPr>
            </w:pPr>
            <w:r w:rsidRPr="003003C0">
              <w:rPr>
                <w:rFonts w:cs="Calibri"/>
                <w:color w:val="000000"/>
                <w:sz w:val="14"/>
                <w:szCs w:val="14"/>
              </w:rPr>
              <w:t>0</w:t>
            </w:r>
            <w:r>
              <w:rPr>
                <w:rFonts w:cs="Calibri"/>
                <w:color w:val="000000"/>
                <w:sz w:val="14"/>
                <w:szCs w:val="14"/>
              </w:rPr>
              <w:t>.</w:t>
            </w:r>
            <w:r w:rsidRPr="003003C0">
              <w:rPr>
                <w:rFonts w:cs="Calibri"/>
                <w:color w:val="000000"/>
                <w:sz w:val="14"/>
                <w:szCs w:val="14"/>
              </w:rPr>
              <w:t>7</w:t>
            </w:r>
          </w:p>
        </w:tc>
        <w:tc>
          <w:tcPr>
            <w:tcW w:w="722" w:type="dxa"/>
            <w:noWrap/>
            <w:vAlign w:val="center"/>
            <w:hideMark/>
          </w:tcPr>
          <w:p w14:paraId="360627AF" w14:textId="77777777" w:rsidR="004F64EF" w:rsidRPr="003003C0" w:rsidRDefault="004F64EF" w:rsidP="00FD6B66">
            <w:pPr>
              <w:jc w:val="right"/>
              <w:rPr>
                <w:rFonts w:cs="Calibri"/>
                <w:color w:val="000000"/>
                <w:sz w:val="14"/>
                <w:szCs w:val="14"/>
              </w:rPr>
            </w:pPr>
            <w:r w:rsidRPr="003003C0">
              <w:rPr>
                <w:rFonts w:cs="Calibri"/>
                <w:color w:val="000000"/>
                <w:sz w:val="14"/>
                <w:szCs w:val="14"/>
              </w:rPr>
              <w:t>0</w:t>
            </w:r>
            <w:r>
              <w:rPr>
                <w:rFonts w:cs="Calibri"/>
                <w:color w:val="000000"/>
                <w:sz w:val="14"/>
                <w:szCs w:val="14"/>
              </w:rPr>
              <w:t>.</w:t>
            </w:r>
            <w:r w:rsidRPr="003003C0">
              <w:rPr>
                <w:rFonts w:cs="Calibri"/>
                <w:color w:val="000000"/>
                <w:sz w:val="14"/>
                <w:szCs w:val="14"/>
              </w:rPr>
              <w:t>7</w:t>
            </w:r>
          </w:p>
        </w:tc>
        <w:tc>
          <w:tcPr>
            <w:tcW w:w="722" w:type="dxa"/>
            <w:noWrap/>
            <w:vAlign w:val="center"/>
            <w:hideMark/>
          </w:tcPr>
          <w:p w14:paraId="252D3593" w14:textId="77777777" w:rsidR="004F64EF" w:rsidRPr="003003C0" w:rsidRDefault="004F64EF" w:rsidP="00FD6B66">
            <w:pPr>
              <w:jc w:val="right"/>
              <w:rPr>
                <w:rFonts w:cs="Calibri"/>
                <w:color w:val="000000"/>
                <w:sz w:val="14"/>
                <w:szCs w:val="14"/>
              </w:rPr>
            </w:pPr>
            <w:r w:rsidRPr="003003C0">
              <w:rPr>
                <w:rFonts w:cs="Calibri"/>
                <w:color w:val="000000"/>
                <w:sz w:val="14"/>
                <w:szCs w:val="14"/>
              </w:rPr>
              <w:t>0</w:t>
            </w:r>
            <w:r>
              <w:rPr>
                <w:rFonts w:cs="Calibri"/>
                <w:color w:val="000000"/>
                <w:sz w:val="14"/>
                <w:szCs w:val="14"/>
              </w:rPr>
              <w:t>.</w:t>
            </w:r>
            <w:r w:rsidRPr="003003C0">
              <w:rPr>
                <w:rFonts w:cs="Calibri"/>
                <w:color w:val="000000"/>
                <w:sz w:val="14"/>
                <w:szCs w:val="14"/>
              </w:rPr>
              <w:t>7</w:t>
            </w:r>
          </w:p>
        </w:tc>
        <w:tc>
          <w:tcPr>
            <w:tcW w:w="722" w:type="dxa"/>
            <w:noWrap/>
            <w:vAlign w:val="center"/>
            <w:hideMark/>
          </w:tcPr>
          <w:p w14:paraId="526D0970" w14:textId="77777777" w:rsidR="004F64EF" w:rsidRPr="003003C0" w:rsidRDefault="004F64EF" w:rsidP="00FD6B66">
            <w:pPr>
              <w:jc w:val="right"/>
              <w:rPr>
                <w:rFonts w:cs="Calibri"/>
                <w:color w:val="000000"/>
                <w:sz w:val="14"/>
                <w:szCs w:val="14"/>
              </w:rPr>
            </w:pPr>
            <w:r w:rsidRPr="003003C0">
              <w:rPr>
                <w:rFonts w:cs="Calibri"/>
                <w:color w:val="000000"/>
                <w:sz w:val="14"/>
                <w:szCs w:val="14"/>
              </w:rPr>
              <w:t>0</w:t>
            </w:r>
            <w:r>
              <w:rPr>
                <w:rFonts w:cs="Calibri"/>
                <w:color w:val="000000"/>
                <w:sz w:val="14"/>
                <w:szCs w:val="14"/>
              </w:rPr>
              <w:t>.</w:t>
            </w:r>
            <w:r w:rsidRPr="003003C0">
              <w:rPr>
                <w:rFonts w:cs="Calibri"/>
                <w:color w:val="000000"/>
                <w:sz w:val="14"/>
                <w:szCs w:val="14"/>
              </w:rPr>
              <w:t>8</w:t>
            </w:r>
          </w:p>
        </w:tc>
      </w:tr>
      <w:tr w:rsidR="004F64EF" w:rsidRPr="003003C0" w14:paraId="1D80C663" w14:textId="77777777" w:rsidTr="00FD6B66">
        <w:trPr>
          <w:cnfStyle w:val="000000010000" w:firstRow="0" w:lastRow="0" w:firstColumn="0" w:lastColumn="0" w:oddVBand="0" w:evenVBand="0" w:oddHBand="0" w:evenHBand="1" w:firstRowFirstColumn="0" w:firstRowLastColumn="0" w:lastRowFirstColumn="0" w:lastRowLastColumn="0"/>
          <w:trHeight w:val="20"/>
        </w:trPr>
        <w:tc>
          <w:tcPr>
            <w:tcW w:w="3964" w:type="dxa"/>
            <w:noWrap/>
            <w:vAlign w:val="center"/>
            <w:hideMark/>
          </w:tcPr>
          <w:p w14:paraId="4D034BBE" w14:textId="77777777" w:rsidR="004F64EF" w:rsidRPr="003003C0" w:rsidRDefault="004F64EF" w:rsidP="00FD6B66">
            <w:pPr>
              <w:tabs>
                <w:tab w:val="left" w:pos="227"/>
              </w:tabs>
              <w:jc w:val="left"/>
              <w:rPr>
                <w:rFonts w:cs="Calibri"/>
                <w:color w:val="000000"/>
                <w:sz w:val="14"/>
                <w:szCs w:val="14"/>
              </w:rPr>
            </w:pPr>
            <w:r w:rsidRPr="003003C0">
              <w:rPr>
                <w:rFonts w:cs="Calibri"/>
                <w:color w:val="000000"/>
                <w:sz w:val="14"/>
                <w:szCs w:val="14"/>
              </w:rPr>
              <w:tab/>
              <w:t xml:space="preserve">70. </w:t>
            </w:r>
            <w:r w:rsidRPr="00801AD0">
              <w:rPr>
                <w:rFonts w:cs="Calibri"/>
                <w:color w:val="000000"/>
                <w:sz w:val="14"/>
                <w:szCs w:val="14"/>
              </w:rPr>
              <w:t>Glass and glassware</w:t>
            </w:r>
          </w:p>
        </w:tc>
        <w:tc>
          <w:tcPr>
            <w:tcW w:w="721" w:type="dxa"/>
            <w:noWrap/>
            <w:vAlign w:val="center"/>
            <w:hideMark/>
          </w:tcPr>
          <w:p w14:paraId="127DA3B3" w14:textId="77777777" w:rsidR="004F64EF" w:rsidRPr="003003C0" w:rsidRDefault="004F64EF" w:rsidP="00FD6B66">
            <w:pPr>
              <w:jc w:val="right"/>
              <w:rPr>
                <w:rFonts w:cs="Calibri"/>
                <w:color w:val="000000"/>
                <w:sz w:val="14"/>
                <w:szCs w:val="14"/>
              </w:rPr>
            </w:pPr>
            <w:r w:rsidRPr="003003C0">
              <w:rPr>
                <w:rFonts w:cs="Calibri"/>
                <w:color w:val="000000"/>
                <w:sz w:val="14"/>
                <w:szCs w:val="14"/>
              </w:rPr>
              <w:t>0</w:t>
            </w:r>
            <w:r>
              <w:rPr>
                <w:rFonts w:cs="Calibri"/>
                <w:color w:val="000000"/>
                <w:sz w:val="14"/>
                <w:szCs w:val="14"/>
              </w:rPr>
              <w:t>.</w:t>
            </w:r>
            <w:r w:rsidRPr="003003C0">
              <w:rPr>
                <w:rFonts w:cs="Calibri"/>
                <w:color w:val="000000"/>
                <w:sz w:val="14"/>
                <w:szCs w:val="14"/>
              </w:rPr>
              <w:t>8</w:t>
            </w:r>
          </w:p>
        </w:tc>
        <w:tc>
          <w:tcPr>
            <w:tcW w:w="722" w:type="dxa"/>
            <w:noWrap/>
            <w:vAlign w:val="center"/>
            <w:hideMark/>
          </w:tcPr>
          <w:p w14:paraId="78FDBE2D" w14:textId="77777777" w:rsidR="004F64EF" w:rsidRPr="003003C0" w:rsidRDefault="004F64EF" w:rsidP="00FD6B66">
            <w:pPr>
              <w:jc w:val="right"/>
              <w:rPr>
                <w:rFonts w:cs="Calibri"/>
                <w:color w:val="000000"/>
                <w:sz w:val="14"/>
                <w:szCs w:val="14"/>
              </w:rPr>
            </w:pPr>
            <w:r w:rsidRPr="003003C0">
              <w:rPr>
                <w:rFonts w:cs="Calibri"/>
                <w:color w:val="000000"/>
                <w:sz w:val="14"/>
                <w:szCs w:val="14"/>
              </w:rPr>
              <w:t>0</w:t>
            </w:r>
            <w:r>
              <w:rPr>
                <w:rFonts w:cs="Calibri"/>
                <w:color w:val="000000"/>
                <w:sz w:val="14"/>
                <w:szCs w:val="14"/>
              </w:rPr>
              <w:t>.</w:t>
            </w:r>
            <w:r w:rsidRPr="003003C0">
              <w:rPr>
                <w:rFonts w:cs="Calibri"/>
                <w:color w:val="000000"/>
                <w:sz w:val="14"/>
                <w:szCs w:val="14"/>
              </w:rPr>
              <w:t>8</w:t>
            </w:r>
          </w:p>
        </w:tc>
        <w:tc>
          <w:tcPr>
            <w:tcW w:w="722" w:type="dxa"/>
            <w:noWrap/>
            <w:vAlign w:val="center"/>
            <w:hideMark/>
          </w:tcPr>
          <w:p w14:paraId="3975AE5F" w14:textId="77777777" w:rsidR="004F64EF" w:rsidRPr="003003C0" w:rsidRDefault="004F64EF" w:rsidP="00FD6B66">
            <w:pPr>
              <w:jc w:val="right"/>
              <w:rPr>
                <w:rFonts w:cs="Calibri"/>
                <w:color w:val="000000"/>
                <w:sz w:val="14"/>
                <w:szCs w:val="14"/>
              </w:rPr>
            </w:pPr>
            <w:r w:rsidRPr="003003C0">
              <w:rPr>
                <w:rFonts w:cs="Calibri"/>
                <w:color w:val="000000"/>
                <w:sz w:val="14"/>
                <w:szCs w:val="14"/>
              </w:rPr>
              <w:t>0</w:t>
            </w:r>
            <w:r>
              <w:rPr>
                <w:rFonts w:cs="Calibri"/>
                <w:color w:val="000000"/>
                <w:sz w:val="14"/>
                <w:szCs w:val="14"/>
              </w:rPr>
              <w:t>.</w:t>
            </w:r>
            <w:r w:rsidRPr="003003C0">
              <w:rPr>
                <w:rFonts w:cs="Calibri"/>
                <w:color w:val="000000"/>
                <w:sz w:val="14"/>
                <w:szCs w:val="14"/>
              </w:rPr>
              <w:t>7</w:t>
            </w:r>
          </w:p>
        </w:tc>
        <w:tc>
          <w:tcPr>
            <w:tcW w:w="721" w:type="dxa"/>
            <w:noWrap/>
            <w:vAlign w:val="center"/>
            <w:hideMark/>
          </w:tcPr>
          <w:p w14:paraId="72AF4D3F" w14:textId="77777777" w:rsidR="004F64EF" w:rsidRPr="003003C0" w:rsidRDefault="004F64EF" w:rsidP="00FD6B66">
            <w:pPr>
              <w:jc w:val="right"/>
              <w:rPr>
                <w:rFonts w:cs="Calibri"/>
                <w:color w:val="000000"/>
                <w:sz w:val="14"/>
                <w:szCs w:val="14"/>
              </w:rPr>
            </w:pPr>
            <w:r w:rsidRPr="003003C0">
              <w:rPr>
                <w:rFonts w:cs="Calibri"/>
                <w:color w:val="000000"/>
                <w:sz w:val="14"/>
                <w:szCs w:val="14"/>
              </w:rPr>
              <w:t>0</w:t>
            </w:r>
            <w:r>
              <w:rPr>
                <w:rFonts w:cs="Calibri"/>
                <w:color w:val="000000"/>
                <w:sz w:val="14"/>
                <w:szCs w:val="14"/>
              </w:rPr>
              <w:t>.</w:t>
            </w:r>
            <w:r w:rsidRPr="003003C0">
              <w:rPr>
                <w:rFonts w:cs="Calibri"/>
                <w:color w:val="000000"/>
                <w:sz w:val="14"/>
                <w:szCs w:val="14"/>
              </w:rPr>
              <w:t>7</w:t>
            </w:r>
          </w:p>
        </w:tc>
        <w:tc>
          <w:tcPr>
            <w:tcW w:w="722" w:type="dxa"/>
            <w:noWrap/>
            <w:vAlign w:val="center"/>
            <w:hideMark/>
          </w:tcPr>
          <w:p w14:paraId="4A3368D1" w14:textId="77777777" w:rsidR="004F64EF" w:rsidRPr="003003C0" w:rsidRDefault="004F64EF" w:rsidP="00FD6B66">
            <w:pPr>
              <w:jc w:val="right"/>
              <w:rPr>
                <w:rFonts w:cs="Calibri"/>
                <w:color w:val="000000"/>
                <w:sz w:val="14"/>
                <w:szCs w:val="14"/>
              </w:rPr>
            </w:pPr>
            <w:r w:rsidRPr="003003C0">
              <w:rPr>
                <w:rFonts w:cs="Calibri"/>
                <w:color w:val="000000"/>
                <w:sz w:val="14"/>
                <w:szCs w:val="14"/>
              </w:rPr>
              <w:t>0</w:t>
            </w:r>
            <w:r>
              <w:rPr>
                <w:rFonts w:cs="Calibri"/>
                <w:color w:val="000000"/>
                <w:sz w:val="14"/>
                <w:szCs w:val="14"/>
              </w:rPr>
              <w:t>.</w:t>
            </w:r>
            <w:r w:rsidRPr="003003C0">
              <w:rPr>
                <w:rFonts w:cs="Calibri"/>
                <w:color w:val="000000"/>
                <w:sz w:val="14"/>
                <w:szCs w:val="14"/>
              </w:rPr>
              <w:t>8</w:t>
            </w:r>
          </w:p>
        </w:tc>
        <w:tc>
          <w:tcPr>
            <w:tcW w:w="722" w:type="dxa"/>
            <w:noWrap/>
            <w:vAlign w:val="center"/>
            <w:hideMark/>
          </w:tcPr>
          <w:p w14:paraId="3148E860" w14:textId="77777777" w:rsidR="004F64EF" w:rsidRPr="003003C0" w:rsidRDefault="004F64EF" w:rsidP="00FD6B66">
            <w:pPr>
              <w:jc w:val="right"/>
              <w:rPr>
                <w:rFonts w:cs="Calibri"/>
                <w:color w:val="000000"/>
                <w:sz w:val="14"/>
                <w:szCs w:val="14"/>
              </w:rPr>
            </w:pPr>
            <w:r w:rsidRPr="003003C0">
              <w:rPr>
                <w:rFonts w:cs="Calibri"/>
                <w:color w:val="000000"/>
                <w:sz w:val="14"/>
                <w:szCs w:val="14"/>
              </w:rPr>
              <w:t>0</w:t>
            </w:r>
            <w:r>
              <w:rPr>
                <w:rFonts w:cs="Calibri"/>
                <w:color w:val="000000"/>
                <w:sz w:val="14"/>
                <w:szCs w:val="14"/>
              </w:rPr>
              <w:t>.</w:t>
            </w:r>
            <w:r w:rsidRPr="003003C0">
              <w:rPr>
                <w:rFonts w:cs="Calibri"/>
                <w:color w:val="000000"/>
                <w:sz w:val="14"/>
                <w:szCs w:val="14"/>
              </w:rPr>
              <w:t>8</w:t>
            </w:r>
          </w:p>
        </w:tc>
        <w:tc>
          <w:tcPr>
            <w:tcW w:w="722" w:type="dxa"/>
            <w:noWrap/>
            <w:vAlign w:val="center"/>
            <w:hideMark/>
          </w:tcPr>
          <w:p w14:paraId="55078B88" w14:textId="77777777" w:rsidR="004F64EF" w:rsidRPr="003003C0" w:rsidRDefault="004F64EF" w:rsidP="00FD6B66">
            <w:pPr>
              <w:jc w:val="right"/>
              <w:rPr>
                <w:rFonts w:cs="Calibri"/>
                <w:color w:val="000000"/>
                <w:sz w:val="14"/>
                <w:szCs w:val="14"/>
              </w:rPr>
            </w:pPr>
            <w:r w:rsidRPr="003003C0">
              <w:rPr>
                <w:rFonts w:cs="Calibri"/>
                <w:color w:val="000000"/>
                <w:sz w:val="14"/>
                <w:szCs w:val="14"/>
              </w:rPr>
              <w:t>0</w:t>
            </w:r>
            <w:r>
              <w:rPr>
                <w:rFonts w:cs="Calibri"/>
                <w:color w:val="000000"/>
                <w:sz w:val="14"/>
                <w:szCs w:val="14"/>
              </w:rPr>
              <w:t>.</w:t>
            </w:r>
            <w:r w:rsidRPr="003003C0">
              <w:rPr>
                <w:rFonts w:cs="Calibri"/>
                <w:color w:val="000000"/>
                <w:sz w:val="14"/>
                <w:szCs w:val="14"/>
              </w:rPr>
              <w:t>7</w:t>
            </w:r>
          </w:p>
        </w:tc>
      </w:tr>
      <w:tr w:rsidR="004F64EF" w:rsidRPr="003003C0" w14:paraId="2A662D43" w14:textId="77777777" w:rsidTr="00FD6B66">
        <w:trPr>
          <w:trHeight w:val="20"/>
        </w:trPr>
        <w:tc>
          <w:tcPr>
            <w:tcW w:w="3964" w:type="dxa"/>
            <w:noWrap/>
            <w:vAlign w:val="center"/>
            <w:hideMark/>
          </w:tcPr>
          <w:p w14:paraId="70477F9B" w14:textId="77777777" w:rsidR="004F64EF" w:rsidRPr="003003C0" w:rsidRDefault="004F64EF" w:rsidP="00801AD0">
            <w:pPr>
              <w:jc w:val="left"/>
              <w:rPr>
                <w:rFonts w:cs="Calibri"/>
                <w:color w:val="000000"/>
                <w:sz w:val="14"/>
                <w:szCs w:val="14"/>
              </w:rPr>
            </w:pPr>
            <w:r w:rsidRPr="003003C0">
              <w:rPr>
                <w:rFonts w:cs="Calibri"/>
                <w:color w:val="000000"/>
                <w:sz w:val="14"/>
                <w:szCs w:val="14"/>
              </w:rPr>
              <w:t xml:space="preserve">14 - </w:t>
            </w:r>
            <w:r>
              <w:rPr>
                <w:rFonts w:cs="Calibri"/>
                <w:color w:val="000000"/>
                <w:sz w:val="14"/>
                <w:szCs w:val="14"/>
              </w:rPr>
              <w:t>N</w:t>
            </w:r>
            <w:r w:rsidRPr="00801AD0">
              <w:rPr>
                <w:rFonts w:cs="Calibri"/>
                <w:color w:val="000000"/>
                <w:sz w:val="14"/>
                <w:szCs w:val="14"/>
              </w:rPr>
              <w:t>atural or cultured pearls, precious or semi</w:t>
            </w:r>
            <w:r>
              <w:rPr>
                <w:rFonts w:cs="Calibri"/>
                <w:color w:val="000000"/>
                <w:sz w:val="14"/>
                <w:szCs w:val="14"/>
              </w:rPr>
              <w:noBreakHyphen/>
            </w:r>
            <w:r w:rsidRPr="00801AD0">
              <w:rPr>
                <w:rFonts w:cs="Calibri"/>
                <w:color w:val="000000"/>
                <w:sz w:val="14"/>
                <w:szCs w:val="14"/>
              </w:rPr>
              <w:t>precious</w:t>
            </w:r>
            <w:r>
              <w:rPr>
                <w:rFonts w:cs="Calibri"/>
                <w:color w:val="000000"/>
                <w:sz w:val="14"/>
                <w:szCs w:val="14"/>
              </w:rPr>
              <w:t xml:space="preserve"> </w:t>
            </w:r>
            <w:r w:rsidRPr="00801AD0">
              <w:rPr>
                <w:rFonts w:cs="Calibri"/>
                <w:color w:val="000000"/>
                <w:sz w:val="14"/>
                <w:szCs w:val="14"/>
              </w:rPr>
              <w:t>stones, precious metals</w:t>
            </w:r>
          </w:p>
        </w:tc>
        <w:tc>
          <w:tcPr>
            <w:tcW w:w="721" w:type="dxa"/>
            <w:noWrap/>
            <w:vAlign w:val="center"/>
            <w:hideMark/>
          </w:tcPr>
          <w:p w14:paraId="01F74DA1" w14:textId="77777777" w:rsidR="004F64EF" w:rsidRPr="003003C0" w:rsidRDefault="004F64EF" w:rsidP="00FD6B66">
            <w:pPr>
              <w:jc w:val="right"/>
              <w:rPr>
                <w:rFonts w:cs="Calibri"/>
                <w:color w:val="000000"/>
                <w:sz w:val="14"/>
                <w:szCs w:val="14"/>
              </w:rPr>
            </w:pPr>
            <w:r w:rsidRPr="003003C0">
              <w:rPr>
                <w:rFonts w:cs="Calibri"/>
                <w:color w:val="000000"/>
                <w:sz w:val="14"/>
                <w:szCs w:val="14"/>
              </w:rPr>
              <w:t>2</w:t>
            </w:r>
            <w:r>
              <w:rPr>
                <w:rFonts w:cs="Calibri"/>
                <w:color w:val="000000"/>
                <w:sz w:val="14"/>
                <w:szCs w:val="14"/>
              </w:rPr>
              <w:t>.</w:t>
            </w:r>
            <w:r w:rsidRPr="003003C0">
              <w:rPr>
                <w:rFonts w:cs="Calibri"/>
                <w:color w:val="000000"/>
                <w:sz w:val="14"/>
                <w:szCs w:val="14"/>
              </w:rPr>
              <w:t>1</w:t>
            </w:r>
          </w:p>
        </w:tc>
        <w:tc>
          <w:tcPr>
            <w:tcW w:w="722" w:type="dxa"/>
            <w:noWrap/>
            <w:vAlign w:val="center"/>
            <w:hideMark/>
          </w:tcPr>
          <w:p w14:paraId="0769D7C2" w14:textId="77777777" w:rsidR="004F64EF" w:rsidRPr="003003C0" w:rsidRDefault="004F64EF" w:rsidP="00FD6B66">
            <w:pPr>
              <w:jc w:val="right"/>
              <w:rPr>
                <w:rFonts w:cs="Calibri"/>
                <w:color w:val="000000"/>
                <w:sz w:val="14"/>
                <w:szCs w:val="14"/>
              </w:rPr>
            </w:pPr>
            <w:r w:rsidRPr="003003C0">
              <w:rPr>
                <w:rFonts w:cs="Calibri"/>
                <w:color w:val="000000"/>
                <w:sz w:val="14"/>
                <w:szCs w:val="14"/>
              </w:rPr>
              <w:t>2</w:t>
            </w:r>
            <w:r>
              <w:rPr>
                <w:rFonts w:cs="Calibri"/>
                <w:color w:val="000000"/>
                <w:sz w:val="14"/>
                <w:szCs w:val="14"/>
              </w:rPr>
              <w:t>.</w:t>
            </w:r>
            <w:r w:rsidRPr="003003C0">
              <w:rPr>
                <w:rFonts w:cs="Calibri"/>
                <w:color w:val="000000"/>
                <w:sz w:val="14"/>
                <w:szCs w:val="14"/>
              </w:rPr>
              <w:t>4</w:t>
            </w:r>
          </w:p>
        </w:tc>
        <w:tc>
          <w:tcPr>
            <w:tcW w:w="722" w:type="dxa"/>
            <w:noWrap/>
            <w:vAlign w:val="center"/>
            <w:hideMark/>
          </w:tcPr>
          <w:p w14:paraId="0286DEC9" w14:textId="77777777" w:rsidR="004F64EF" w:rsidRPr="003003C0" w:rsidRDefault="004F64EF" w:rsidP="00FD6B66">
            <w:pPr>
              <w:jc w:val="right"/>
              <w:rPr>
                <w:rFonts w:cs="Calibri"/>
                <w:color w:val="000000"/>
                <w:sz w:val="14"/>
                <w:szCs w:val="14"/>
              </w:rPr>
            </w:pPr>
            <w:r w:rsidRPr="003003C0">
              <w:rPr>
                <w:rFonts w:cs="Calibri"/>
                <w:color w:val="000000"/>
                <w:sz w:val="14"/>
                <w:szCs w:val="14"/>
              </w:rPr>
              <w:t>2</w:t>
            </w:r>
            <w:r>
              <w:rPr>
                <w:rFonts w:cs="Calibri"/>
                <w:color w:val="000000"/>
                <w:sz w:val="14"/>
                <w:szCs w:val="14"/>
              </w:rPr>
              <w:t>.</w:t>
            </w:r>
            <w:r w:rsidRPr="003003C0">
              <w:rPr>
                <w:rFonts w:cs="Calibri"/>
                <w:color w:val="000000"/>
                <w:sz w:val="14"/>
                <w:szCs w:val="14"/>
              </w:rPr>
              <w:t>8</w:t>
            </w:r>
          </w:p>
        </w:tc>
        <w:tc>
          <w:tcPr>
            <w:tcW w:w="721" w:type="dxa"/>
            <w:noWrap/>
            <w:vAlign w:val="center"/>
            <w:hideMark/>
          </w:tcPr>
          <w:p w14:paraId="0B1D7D0F" w14:textId="77777777" w:rsidR="004F64EF" w:rsidRPr="003003C0" w:rsidRDefault="004F64EF" w:rsidP="00FD6B66">
            <w:pPr>
              <w:jc w:val="right"/>
              <w:rPr>
                <w:rFonts w:cs="Calibri"/>
                <w:color w:val="000000"/>
                <w:sz w:val="14"/>
                <w:szCs w:val="14"/>
              </w:rPr>
            </w:pPr>
            <w:r w:rsidRPr="003003C0">
              <w:rPr>
                <w:rFonts w:cs="Calibri"/>
                <w:color w:val="000000"/>
                <w:sz w:val="14"/>
                <w:szCs w:val="14"/>
              </w:rPr>
              <w:t>2</w:t>
            </w:r>
            <w:r>
              <w:rPr>
                <w:rFonts w:cs="Calibri"/>
                <w:color w:val="000000"/>
                <w:sz w:val="14"/>
                <w:szCs w:val="14"/>
              </w:rPr>
              <w:t>.</w:t>
            </w:r>
            <w:r w:rsidRPr="003003C0">
              <w:rPr>
                <w:rFonts w:cs="Calibri"/>
                <w:color w:val="000000"/>
                <w:sz w:val="14"/>
                <w:szCs w:val="14"/>
              </w:rPr>
              <w:t>6</w:t>
            </w:r>
          </w:p>
        </w:tc>
        <w:tc>
          <w:tcPr>
            <w:tcW w:w="722" w:type="dxa"/>
            <w:noWrap/>
            <w:vAlign w:val="center"/>
            <w:hideMark/>
          </w:tcPr>
          <w:p w14:paraId="05536DF1" w14:textId="77777777" w:rsidR="004F64EF" w:rsidRPr="003003C0" w:rsidRDefault="004F64EF" w:rsidP="00FD6B66">
            <w:pPr>
              <w:jc w:val="right"/>
              <w:rPr>
                <w:rFonts w:cs="Calibri"/>
                <w:color w:val="000000"/>
                <w:sz w:val="14"/>
                <w:szCs w:val="14"/>
              </w:rPr>
            </w:pPr>
            <w:r w:rsidRPr="003003C0">
              <w:rPr>
                <w:rFonts w:cs="Calibri"/>
                <w:color w:val="000000"/>
                <w:sz w:val="14"/>
                <w:szCs w:val="14"/>
              </w:rPr>
              <w:t>2</w:t>
            </w:r>
            <w:r>
              <w:rPr>
                <w:rFonts w:cs="Calibri"/>
                <w:color w:val="000000"/>
                <w:sz w:val="14"/>
                <w:szCs w:val="14"/>
              </w:rPr>
              <w:t>.</w:t>
            </w:r>
            <w:r w:rsidRPr="003003C0">
              <w:rPr>
                <w:rFonts w:cs="Calibri"/>
                <w:color w:val="000000"/>
                <w:sz w:val="14"/>
                <w:szCs w:val="14"/>
              </w:rPr>
              <w:t>9</w:t>
            </w:r>
          </w:p>
        </w:tc>
        <w:tc>
          <w:tcPr>
            <w:tcW w:w="722" w:type="dxa"/>
            <w:noWrap/>
            <w:vAlign w:val="center"/>
            <w:hideMark/>
          </w:tcPr>
          <w:p w14:paraId="6CAD70AD" w14:textId="77777777" w:rsidR="004F64EF" w:rsidRPr="003003C0" w:rsidRDefault="004F64EF" w:rsidP="00FD6B66">
            <w:pPr>
              <w:jc w:val="right"/>
              <w:rPr>
                <w:rFonts w:cs="Calibri"/>
                <w:color w:val="000000"/>
                <w:sz w:val="14"/>
                <w:szCs w:val="14"/>
              </w:rPr>
            </w:pPr>
            <w:r w:rsidRPr="003003C0">
              <w:rPr>
                <w:rFonts w:cs="Calibri"/>
                <w:color w:val="000000"/>
                <w:sz w:val="14"/>
                <w:szCs w:val="14"/>
              </w:rPr>
              <w:t>2</w:t>
            </w:r>
            <w:r>
              <w:rPr>
                <w:rFonts w:cs="Calibri"/>
                <w:color w:val="000000"/>
                <w:sz w:val="14"/>
                <w:szCs w:val="14"/>
              </w:rPr>
              <w:t>.</w:t>
            </w:r>
            <w:r w:rsidRPr="003003C0">
              <w:rPr>
                <w:rFonts w:cs="Calibri"/>
                <w:color w:val="000000"/>
                <w:sz w:val="14"/>
                <w:szCs w:val="14"/>
              </w:rPr>
              <w:t>8</w:t>
            </w:r>
          </w:p>
        </w:tc>
        <w:tc>
          <w:tcPr>
            <w:tcW w:w="722" w:type="dxa"/>
            <w:noWrap/>
            <w:vAlign w:val="center"/>
            <w:hideMark/>
          </w:tcPr>
          <w:p w14:paraId="54C87CBC" w14:textId="77777777" w:rsidR="004F64EF" w:rsidRPr="003003C0" w:rsidRDefault="004F64EF" w:rsidP="00FD6B66">
            <w:pPr>
              <w:jc w:val="right"/>
              <w:rPr>
                <w:rFonts w:cs="Calibri"/>
                <w:color w:val="000000"/>
                <w:sz w:val="14"/>
                <w:szCs w:val="14"/>
              </w:rPr>
            </w:pPr>
            <w:r w:rsidRPr="003003C0">
              <w:rPr>
                <w:rFonts w:cs="Calibri"/>
                <w:color w:val="000000"/>
                <w:sz w:val="14"/>
                <w:szCs w:val="14"/>
              </w:rPr>
              <w:t>3</w:t>
            </w:r>
            <w:r>
              <w:rPr>
                <w:rFonts w:cs="Calibri"/>
                <w:color w:val="000000"/>
                <w:sz w:val="14"/>
                <w:szCs w:val="14"/>
              </w:rPr>
              <w:t>.</w:t>
            </w:r>
            <w:r w:rsidRPr="003003C0">
              <w:rPr>
                <w:rFonts w:cs="Calibri"/>
                <w:color w:val="000000"/>
                <w:sz w:val="14"/>
                <w:szCs w:val="14"/>
              </w:rPr>
              <w:t>4</w:t>
            </w:r>
          </w:p>
        </w:tc>
      </w:tr>
      <w:tr w:rsidR="004F64EF" w:rsidRPr="003003C0" w14:paraId="5E4A1BDD" w14:textId="77777777" w:rsidTr="00FD6B66">
        <w:trPr>
          <w:cnfStyle w:val="000000010000" w:firstRow="0" w:lastRow="0" w:firstColumn="0" w:lastColumn="0" w:oddVBand="0" w:evenVBand="0" w:oddHBand="0" w:evenHBand="1" w:firstRowFirstColumn="0" w:firstRowLastColumn="0" w:lastRowFirstColumn="0" w:lastRowLastColumn="0"/>
          <w:trHeight w:val="20"/>
        </w:trPr>
        <w:tc>
          <w:tcPr>
            <w:tcW w:w="3964" w:type="dxa"/>
            <w:noWrap/>
            <w:vAlign w:val="center"/>
            <w:hideMark/>
          </w:tcPr>
          <w:p w14:paraId="2CE32B92" w14:textId="77777777" w:rsidR="004F64EF" w:rsidRPr="003003C0" w:rsidRDefault="004F64EF" w:rsidP="00FD6B66">
            <w:pPr>
              <w:jc w:val="left"/>
              <w:rPr>
                <w:rFonts w:cs="Calibri"/>
                <w:color w:val="000000"/>
                <w:sz w:val="14"/>
                <w:szCs w:val="14"/>
              </w:rPr>
            </w:pPr>
            <w:r w:rsidRPr="003003C0">
              <w:rPr>
                <w:rFonts w:cs="Calibri"/>
                <w:color w:val="000000"/>
                <w:sz w:val="14"/>
                <w:szCs w:val="14"/>
              </w:rPr>
              <w:t xml:space="preserve">15 - </w:t>
            </w:r>
            <w:r>
              <w:rPr>
                <w:rFonts w:cs="Calibri"/>
                <w:color w:val="000000"/>
                <w:sz w:val="14"/>
                <w:szCs w:val="14"/>
              </w:rPr>
              <w:t>B</w:t>
            </w:r>
            <w:r w:rsidRPr="00801AD0">
              <w:rPr>
                <w:rFonts w:cs="Calibri"/>
                <w:color w:val="000000"/>
                <w:sz w:val="14"/>
                <w:szCs w:val="14"/>
              </w:rPr>
              <w:t>ase metals and articles of base metal</w:t>
            </w:r>
          </w:p>
        </w:tc>
        <w:tc>
          <w:tcPr>
            <w:tcW w:w="721" w:type="dxa"/>
            <w:noWrap/>
            <w:vAlign w:val="center"/>
            <w:hideMark/>
          </w:tcPr>
          <w:p w14:paraId="220B5DC7" w14:textId="77777777" w:rsidR="004F64EF" w:rsidRPr="003003C0" w:rsidRDefault="004F64EF" w:rsidP="00FD6B66">
            <w:pPr>
              <w:jc w:val="right"/>
              <w:rPr>
                <w:rFonts w:cs="Calibri"/>
                <w:color w:val="000000"/>
                <w:sz w:val="14"/>
                <w:szCs w:val="14"/>
              </w:rPr>
            </w:pPr>
            <w:r w:rsidRPr="003003C0">
              <w:rPr>
                <w:rFonts w:cs="Calibri"/>
                <w:color w:val="000000"/>
                <w:sz w:val="14"/>
                <w:szCs w:val="14"/>
              </w:rPr>
              <w:t>7</w:t>
            </w:r>
            <w:r>
              <w:rPr>
                <w:rFonts w:cs="Calibri"/>
                <w:color w:val="000000"/>
                <w:sz w:val="14"/>
                <w:szCs w:val="14"/>
              </w:rPr>
              <w:t>.</w:t>
            </w:r>
            <w:r w:rsidRPr="003003C0">
              <w:rPr>
                <w:rFonts w:cs="Calibri"/>
                <w:color w:val="000000"/>
                <w:sz w:val="14"/>
                <w:szCs w:val="14"/>
              </w:rPr>
              <w:t>0</w:t>
            </w:r>
          </w:p>
        </w:tc>
        <w:tc>
          <w:tcPr>
            <w:tcW w:w="722" w:type="dxa"/>
            <w:noWrap/>
            <w:vAlign w:val="center"/>
            <w:hideMark/>
          </w:tcPr>
          <w:p w14:paraId="291957B0" w14:textId="77777777" w:rsidR="004F64EF" w:rsidRPr="003003C0" w:rsidRDefault="004F64EF" w:rsidP="00FD6B66">
            <w:pPr>
              <w:jc w:val="right"/>
              <w:rPr>
                <w:rFonts w:cs="Calibri"/>
                <w:color w:val="000000"/>
                <w:sz w:val="14"/>
                <w:szCs w:val="14"/>
              </w:rPr>
            </w:pPr>
            <w:r w:rsidRPr="003003C0">
              <w:rPr>
                <w:rFonts w:cs="Calibri"/>
                <w:color w:val="000000"/>
                <w:sz w:val="14"/>
                <w:szCs w:val="14"/>
              </w:rPr>
              <w:t>6</w:t>
            </w:r>
            <w:r>
              <w:rPr>
                <w:rFonts w:cs="Calibri"/>
                <w:color w:val="000000"/>
                <w:sz w:val="14"/>
                <w:szCs w:val="14"/>
              </w:rPr>
              <w:t>.</w:t>
            </w:r>
            <w:r w:rsidRPr="003003C0">
              <w:rPr>
                <w:rFonts w:cs="Calibri"/>
                <w:color w:val="000000"/>
                <w:sz w:val="14"/>
                <w:szCs w:val="14"/>
              </w:rPr>
              <w:t>4</w:t>
            </w:r>
          </w:p>
        </w:tc>
        <w:tc>
          <w:tcPr>
            <w:tcW w:w="722" w:type="dxa"/>
            <w:noWrap/>
            <w:vAlign w:val="center"/>
            <w:hideMark/>
          </w:tcPr>
          <w:p w14:paraId="4C45BDD9" w14:textId="77777777" w:rsidR="004F64EF" w:rsidRPr="003003C0" w:rsidRDefault="004F64EF" w:rsidP="00FD6B66">
            <w:pPr>
              <w:jc w:val="right"/>
              <w:rPr>
                <w:rFonts w:cs="Calibri"/>
                <w:color w:val="000000"/>
                <w:sz w:val="14"/>
                <w:szCs w:val="14"/>
              </w:rPr>
            </w:pPr>
            <w:r w:rsidRPr="003003C0">
              <w:rPr>
                <w:rFonts w:cs="Calibri"/>
                <w:color w:val="000000"/>
                <w:sz w:val="14"/>
                <w:szCs w:val="14"/>
              </w:rPr>
              <w:t>6</w:t>
            </w:r>
            <w:r>
              <w:rPr>
                <w:rFonts w:cs="Calibri"/>
                <w:color w:val="000000"/>
                <w:sz w:val="14"/>
                <w:szCs w:val="14"/>
              </w:rPr>
              <w:t>.</w:t>
            </w:r>
            <w:r w:rsidRPr="003003C0">
              <w:rPr>
                <w:rFonts w:cs="Calibri"/>
                <w:color w:val="000000"/>
                <w:sz w:val="14"/>
                <w:szCs w:val="14"/>
              </w:rPr>
              <w:t>3</w:t>
            </w:r>
          </w:p>
        </w:tc>
        <w:tc>
          <w:tcPr>
            <w:tcW w:w="721" w:type="dxa"/>
            <w:noWrap/>
            <w:vAlign w:val="center"/>
            <w:hideMark/>
          </w:tcPr>
          <w:p w14:paraId="2A910F8A" w14:textId="77777777" w:rsidR="004F64EF" w:rsidRPr="003003C0" w:rsidRDefault="004F64EF" w:rsidP="00FD6B66">
            <w:pPr>
              <w:jc w:val="right"/>
              <w:rPr>
                <w:rFonts w:cs="Calibri"/>
                <w:color w:val="000000"/>
                <w:sz w:val="14"/>
                <w:szCs w:val="14"/>
              </w:rPr>
            </w:pPr>
            <w:r w:rsidRPr="003003C0">
              <w:rPr>
                <w:rFonts w:cs="Calibri"/>
                <w:color w:val="000000"/>
                <w:sz w:val="14"/>
                <w:szCs w:val="14"/>
              </w:rPr>
              <w:t>7</w:t>
            </w:r>
            <w:r>
              <w:rPr>
                <w:rFonts w:cs="Calibri"/>
                <w:color w:val="000000"/>
                <w:sz w:val="14"/>
                <w:szCs w:val="14"/>
              </w:rPr>
              <w:t>.</w:t>
            </w:r>
            <w:r w:rsidRPr="003003C0">
              <w:rPr>
                <w:rFonts w:cs="Calibri"/>
                <w:color w:val="000000"/>
                <w:sz w:val="14"/>
                <w:szCs w:val="14"/>
              </w:rPr>
              <w:t>0</w:t>
            </w:r>
          </w:p>
        </w:tc>
        <w:tc>
          <w:tcPr>
            <w:tcW w:w="722" w:type="dxa"/>
            <w:noWrap/>
            <w:vAlign w:val="center"/>
            <w:hideMark/>
          </w:tcPr>
          <w:p w14:paraId="1A0DF594" w14:textId="77777777" w:rsidR="004F64EF" w:rsidRPr="003003C0" w:rsidRDefault="004F64EF" w:rsidP="00FD6B66">
            <w:pPr>
              <w:jc w:val="right"/>
              <w:rPr>
                <w:rFonts w:cs="Calibri"/>
                <w:color w:val="000000"/>
                <w:sz w:val="14"/>
                <w:szCs w:val="14"/>
              </w:rPr>
            </w:pPr>
            <w:r w:rsidRPr="003003C0">
              <w:rPr>
                <w:rFonts w:cs="Calibri"/>
                <w:color w:val="000000"/>
                <w:sz w:val="14"/>
                <w:szCs w:val="14"/>
              </w:rPr>
              <w:t>6</w:t>
            </w:r>
            <w:r>
              <w:rPr>
                <w:rFonts w:cs="Calibri"/>
                <w:color w:val="000000"/>
                <w:sz w:val="14"/>
                <w:szCs w:val="14"/>
              </w:rPr>
              <w:t>.</w:t>
            </w:r>
            <w:r w:rsidRPr="003003C0">
              <w:rPr>
                <w:rFonts w:cs="Calibri"/>
                <w:color w:val="000000"/>
                <w:sz w:val="14"/>
                <w:szCs w:val="14"/>
              </w:rPr>
              <w:t>9</w:t>
            </w:r>
          </w:p>
        </w:tc>
        <w:tc>
          <w:tcPr>
            <w:tcW w:w="722" w:type="dxa"/>
            <w:noWrap/>
            <w:vAlign w:val="center"/>
            <w:hideMark/>
          </w:tcPr>
          <w:p w14:paraId="2492FD71" w14:textId="77777777" w:rsidR="004F64EF" w:rsidRPr="003003C0" w:rsidRDefault="004F64EF" w:rsidP="00FD6B66">
            <w:pPr>
              <w:jc w:val="right"/>
              <w:rPr>
                <w:rFonts w:cs="Calibri"/>
                <w:color w:val="000000"/>
                <w:sz w:val="14"/>
                <w:szCs w:val="14"/>
              </w:rPr>
            </w:pPr>
            <w:r w:rsidRPr="003003C0">
              <w:rPr>
                <w:rFonts w:cs="Calibri"/>
                <w:color w:val="000000"/>
                <w:sz w:val="14"/>
                <w:szCs w:val="14"/>
              </w:rPr>
              <w:t>6</w:t>
            </w:r>
            <w:r>
              <w:rPr>
                <w:rFonts w:cs="Calibri"/>
                <w:color w:val="000000"/>
                <w:sz w:val="14"/>
                <w:szCs w:val="14"/>
              </w:rPr>
              <w:t>.</w:t>
            </w:r>
            <w:r w:rsidRPr="003003C0">
              <w:rPr>
                <w:rFonts w:cs="Calibri"/>
                <w:color w:val="000000"/>
                <w:sz w:val="14"/>
                <w:szCs w:val="14"/>
              </w:rPr>
              <w:t>9</w:t>
            </w:r>
          </w:p>
        </w:tc>
        <w:tc>
          <w:tcPr>
            <w:tcW w:w="722" w:type="dxa"/>
            <w:noWrap/>
            <w:vAlign w:val="center"/>
            <w:hideMark/>
          </w:tcPr>
          <w:p w14:paraId="3611A740" w14:textId="77777777" w:rsidR="004F64EF" w:rsidRPr="003003C0" w:rsidRDefault="004F64EF" w:rsidP="00FD6B66">
            <w:pPr>
              <w:jc w:val="right"/>
              <w:rPr>
                <w:rFonts w:cs="Calibri"/>
                <w:color w:val="000000"/>
                <w:sz w:val="14"/>
                <w:szCs w:val="14"/>
              </w:rPr>
            </w:pPr>
            <w:r w:rsidRPr="003003C0">
              <w:rPr>
                <w:rFonts w:cs="Calibri"/>
                <w:color w:val="000000"/>
                <w:sz w:val="14"/>
                <w:szCs w:val="14"/>
              </w:rPr>
              <w:t>8</w:t>
            </w:r>
            <w:r>
              <w:rPr>
                <w:rFonts w:cs="Calibri"/>
                <w:color w:val="000000"/>
                <w:sz w:val="14"/>
                <w:szCs w:val="14"/>
              </w:rPr>
              <w:t>.</w:t>
            </w:r>
            <w:r w:rsidRPr="003003C0">
              <w:rPr>
                <w:rFonts w:cs="Calibri"/>
                <w:color w:val="000000"/>
                <w:sz w:val="14"/>
                <w:szCs w:val="14"/>
              </w:rPr>
              <w:t>3</w:t>
            </w:r>
          </w:p>
        </w:tc>
      </w:tr>
      <w:tr w:rsidR="004F64EF" w:rsidRPr="003003C0" w14:paraId="32A54E7B" w14:textId="77777777" w:rsidTr="00FD6B66">
        <w:trPr>
          <w:trHeight w:val="20"/>
        </w:trPr>
        <w:tc>
          <w:tcPr>
            <w:tcW w:w="3964" w:type="dxa"/>
            <w:noWrap/>
            <w:vAlign w:val="center"/>
            <w:hideMark/>
          </w:tcPr>
          <w:p w14:paraId="5C1BD06A" w14:textId="77777777" w:rsidR="004F64EF" w:rsidRPr="003003C0" w:rsidRDefault="004F64EF" w:rsidP="00FD6B66">
            <w:pPr>
              <w:tabs>
                <w:tab w:val="left" w:pos="227"/>
              </w:tabs>
              <w:jc w:val="left"/>
              <w:rPr>
                <w:rFonts w:cs="Calibri"/>
                <w:color w:val="000000"/>
                <w:sz w:val="14"/>
                <w:szCs w:val="14"/>
              </w:rPr>
            </w:pPr>
            <w:r w:rsidRPr="003003C0">
              <w:rPr>
                <w:rFonts w:cs="Calibri"/>
                <w:color w:val="000000"/>
                <w:sz w:val="14"/>
                <w:szCs w:val="14"/>
              </w:rPr>
              <w:tab/>
              <w:t xml:space="preserve">72. </w:t>
            </w:r>
            <w:r w:rsidRPr="00736C66">
              <w:rPr>
                <w:rFonts w:cs="Calibri"/>
                <w:color w:val="000000"/>
                <w:sz w:val="14"/>
                <w:szCs w:val="14"/>
              </w:rPr>
              <w:t>Iron and steel</w:t>
            </w:r>
          </w:p>
        </w:tc>
        <w:tc>
          <w:tcPr>
            <w:tcW w:w="721" w:type="dxa"/>
            <w:noWrap/>
            <w:vAlign w:val="center"/>
            <w:hideMark/>
          </w:tcPr>
          <w:p w14:paraId="32175843" w14:textId="77777777" w:rsidR="004F64EF" w:rsidRPr="003003C0" w:rsidRDefault="004F64EF" w:rsidP="00FD6B66">
            <w:pPr>
              <w:jc w:val="right"/>
              <w:rPr>
                <w:rFonts w:cs="Calibri"/>
                <w:color w:val="000000"/>
                <w:sz w:val="14"/>
                <w:szCs w:val="14"/>
              </w:rPr>
            </w:pPr>
            <w:r w:rsidRPr="003003C0">
              <w:rPr>
                <w:rFonts w:cs="Calibri"/>
                <w:color w:val="000000"/>
                <w:sz w:val="14"/>
                <w:szCs w:val="14"/>
              </w:rPr>
              <w:t>3</w:t>
            </w:r>
            <w:r>
              <w:rPr>
                <w:rFonts w:cs="Calibri"/>
                <w:color w:val="000000"/>
                <w:sz w:val="14"/>
                <w:szCs w:val="14"/>
              </w:rPr>
              <w:t>.</w:t>
            </w:r>
            <w:r w:rsidRPr="003003C0">
              <w:rPr>
                <w:rFonts w:cs="Calibri"/>
                <w:color w:val="000000"/>
                <w:sz w:val="14"/>
                <w:szCs w:val="14"/>
              </w:rPr>
              <w:t>0</w:t>
            </w:r>
          </w:p>
        </w:tc>
        <w:tc>
          <w:tcPr>
            <w:tcW w:w="722" w:type="dxa"/>
            <w:noWrap/>
            <w:vAlign w:val="center"/>
            <w:hideMark/>
          </w:tcPr>
          <w:p w14:paraId="44A1CF71" w14:textId="77777777" w:rsidR="004F64EF" w:rsidRPr="003003C0" w:rsidRDefault="004F64EF" w:rsidP="00FD6B66">
            <w:pPr>
              <w:jc w:val="right"/>
              <w:rPr>
                <w:rFonts w:cs="Calibri"/>
                <w:color w:val="000000"/>
                <w:sz w:val="14"/>
                <w:szCs w:val="14"/>
              </w:rPr>
            </w:pPr>
            <w:r w:rsidRPr="003003C0">
              <w:rPr>
                <w:rFonts w:cs="Calibri"/>
                <w:color w:val="000000"/>
                <w:sz w:val="14"/>
                <w:szCs w:val="14"/>
              </w:rPr>
              <w:t>2</w:t>
            </w:r>
            <w:r>
              <w:rPr>
                <w:rFonts w:cs="Calibri"/>
                <w:color w:val="000000"/>
                <w:sz w:val="14"/>
                <w:szCs w:val="14"/>
              </w:rPr>
              <w:t>.</w:t>
            </w:r>
            <w:r w:rsidRPr="003003C0">
              <w:rPr>
                <w:rFonts w:cs="Calibri"/>
                <w:color w:val="000000"/>
                <w:sz w:val="14"/>
                <w:szCs w:val="14"/>
              </w:rPr>
              <w:t>1</w:t>
            </w:r>
          </w:p>
        </w:tc>
        <w:tc>
          <w:tcPr>
            <w:tcW w:w="722" w:type="dxa"/>
            <w:noWrap/>
            <w:vAlign w:val="center"/>
            <w:hideMark/>
          </w:tcPr>
          <w:p w14:paraId="0E9FF85F" w14:textId="77777777" w:rsidR="004F64EF" w:rsidRPr="003003C0" w:rsidRDefault="004F64EF" w:rsidP="00FD6B66">
            <w:pPr>
              <w:jc w:val="right"/>
              <w:rPr>
                <w:rFonts w:cs="Calibri"/>
                <w:color w:val="000000"/>
                <w:sz w:val="14"/>
                <w:szCs w:val="14"/>
              </w:rPr>
            </w:pPr>
            <w:r w:rsidRPr="003003C0">
              <w:rPr>
                <w:rFonts w:cs="Calibri"/>
                <w:color w:val="000000"/>
                <w:sz w:val="14"/>
                <w:szCs w:val="14"/>
              </w:rPr>
              <w:t>2</w:t>
            </w:r>
            <w:r>
              <w:rPr>
                <w:rFonts w:cs="Calibri"/>
                <w:color w:val="000000"/>
                <w:sz w:val="14"/>
                <w:szCs w:val="14"/>
              </w:rPr>
              <w:t>.</w:t>
            </w:r>
            <w:r w:rsidRPr="003003C0">
              <w:rPr>
                <w:rFonts w:cs="Calibri"/>
                <w:color w:val="000000"/>
                <w:sz w:val="14"/>
                <w:szCs w:val="14"/>
              </w:rPr>
              <w:t>5</w:t>
            </w:r>
          </w:p>
        </w:tc>
        <w:tc>
          <w:tcPr>
            <w:tcW w:w="721" w:type="dxa"/>
            <w:noWrap/>
            <w:vAlign w:val="center"/>
            <w:hideMark/>
          </w:tcPr>
          <w:p w14:paraId="2A081194" w14:textId="77777777" w:rsidR="004F64EF" w:rsidRPr="003003C0" w:rsidRDefault="004F64EF" w:rsidP="00FD6B66">
            <w:pPr>
              <w:jc w:val="right"/>
              <w:rPr>
                <w:rFonts w:cs="Calibri"/>
                <w:color w:val="000000"/>
                <w:sz w:val="14"/>
                <w:szCs w:val="14"/>
              </w:rPr>
            </w:pPr>
            <w:r w:rsidRPr="003003C0">
              <w:rPr>
                <w:rFonts w:cs="Calibri"/>
                <w:color w:val="000000"/>
                <w:sz w:val="14"/>
                <w:szCs w:val="14"/>
              </w:rPr>
              <w:t>3</w:t>
            </w:r>
            <w:r>
              <w:rPr>
                <w:rFonts w:cs="Calibri"/>
                <w:color w:val="000000"/>
                <w:sz w:val="14"/>
                <w:szCs w:val="14"/>
              </w:rPr>
              <w:t>.</w:t>
            </w:r>
            <w:r w:rsidRPr="003003C0">
              <w:rPr>
                <w:rFonts w:cs="Calibri"/>
                <w:color w:val="000000"/>
                <w:sz w:val="14"/>
                <w:szCs w:val="14"/>
              </w:rPr>
              <w:t>2</w:t>
            </w:r>
          </w:p>
        </w:tc>
        <w:tc>
          <w:tcPr>
            <w:tcW w:w="722" w:type="dxa"/>
            <w:noWrap/>
            <w:vAlign w:val="center"/>
            <w:hideMark/>
          </w:tcPr>
          <w:p w14:paraId="12973608" w14:textId="77777777" w:rsidR="004F64EF" w:rsidRPr="003003C0" w:rsidRDefault="004F64EF" w:rsidP="00FD6B66">
            <w:pPr>
              <w:jc w:val="right"/>
              <w:rPr>
                <w:rFonts w:cs="Calibri"/>
                <w:color w:val="000000"/>
                <w:sz w:val="14"/>
                <w:szCs w:val="14"/>
              </w:rPr>
            </w:pPr>
            <w:r w:rsidRPr="003003C0">
              <w:rPr>
                <w:rFonts w:cs="Calibri"/>
                <w:color w:val="000000"/>
                <w:sz w:val="14"/>
                <w:szCs w:val="14"/>
              </w:rPr>
              <w:t>2</w:t>
            </w:r>
            <w:r>
              <w:rPr>
                <w:rFonts w:cs="Calibri"/>
                <w:color w:val="000000"/>
                <w:sz w:val="14"/>
                <w:szCs w:val="14"/>
              </w:rPr>
              <w:t>.</w:t>
            </w:r>
            <w:r w:rsidRPr="003003C0">
              <w:rPr>
                <w:rFonts w:cs="Calibri"/>
                <w:color w:val="000000"/>
                <w:sz w:val="14"/>
                <w:szCs w:val="14"/>
              </w:rPr>
              <w:t>8</w:t>
            </w:r>
          </w:p>
        </w:tc>
        <w:tc>
          <w:tcPr>
            <w:tcW w:w="722" w:type="dxa"/>
            <w:noWrap/>
            <w:vAlign w:val="center"/>
            <w:hideMark/>
          </w:tcPr>
          <w:p w14:paraId="4E008D86" w14:textId="77777777" w:rsidR="004F64EF" w:rsidRPr="003003C0" w:rsidRDefault="004F64EF" w:rsidP="00FD6B66">
            <w:pPr>
              <w:jc w:val="right"/>
              <w:rPr>
                <w:rFonts w:cs="Calibri"/>
                <w:color w:val="000000"/>
                <w:sz w:val="14"/>
                <w:szCs w:val="14"/>
              </w:rPr>
            </w:pPr>
            <w:r w:rsidRPr="003003C0">
              <w:rPr>
                <w:rFonts w:cs="Calibri"/>
                <w:color w:val="000000"/>
                <w:sz w:val="14"/>
                <w:szCs w:val="14"/>
              </w:rPr>
              <w:t>2</w:t>
            </w:r>
            <w:r>
              <w:rPr>
                <w:rFonts w:cs="Calibri"/>
                <w:color w:val="000000"/>
                <w:sz w:val="14"/>
                <w:szCs w:val="14"/>
              </w:rPr>
              <w:t>.</w:t>
            </w:r>
            <w:r w:rsidRPr="003003C0">
              <w:rPr>
                <w:rFonts w:cs="Calibri"/>
                <w:color w:val="000000"/>
                <w:sz w:val="14"/>
                <w:szCs w:val="14"/>
              </w:rPr>
              <w:t>7</w:t>
            </w:r>
          </w:p>
        </w:tc>
        <w:tc>
          <w:tcPr>
            <w:tcW w:w="722" w:type="dxa"/>
            <w:noWrap/>
            <w:vAlign w:val="center"/>
            <w:hideMark/>
          </w:tcPr>
          <w:p w14:paraId="06422580" w14:textId="77777777" w:rsidR="004F64EF" w:rsidRPr="003003C0" w:rsidRDefault="004F64EF" w:rsidP="00FD6B66">
            <w:pPr>
              <w:jc w:val="right"/>
              <w:rPr>
                <w:rFonts w:cs="Calibri"/>
                <w:color w:val="000000"/>
                <w:sz w:val="14"/>
                <w:szCs w:val="14"/>
              </w:rPr>
            </w:pPr>
            <w:r w:rsidRPr="003003C0">
              <w:rPr>
                <w:rFonts w:cs="Calibri"/>
                <w:color w:val="000000"/>
                <w:sz w:val="14"/>
                <w:szCs w:val="14"/>
              </w:rPr>
              <w:t>3</w:t>
            </w:r>
            <w:r>
              <w:rPr>
                <w:rFonts w:cs="Calibri"/>
                <w:color w:val="000000"/>
                <w:sz w:val="14"/>
                <w:szCs w:val="14"/>
              </w:rPr>
              <w:t>.</w:t>
            </w:r>
            <w:r w:rsidRPr="003003C0">
              <w:rPr>
                <w:rFonts w:cs="Calibri"/>
                <w:color w:val="000000"/>
                <w:sz w:val="14"/>
                <w:szCs w:val="14"/>
              </w:rPr>
              <w:t>9</w:t>
            </w:r>
          </w:p>
        </w:tc>
      </w:tr>
      <w:tr w:rsidR="004F64EF" w:rsidRPr="003003C0" w14:paraId="20D65C4C" w14:textId="77777777" w:rsidTr="00FD6B66">
        <w:trPr>
          <w:cnfStyle w:val="000000010000" w:firstRow="0" w:lastRow="0" w:firstColumn="0" w:lastColumn="0" w:oddVBand="0" w:evenVBand="0" w:oddHBand="0" w:evenHBand="1" w:firstRowFirstColumn="0" w:firstRowLastColumn="0" w:lastRowFirstColumn="0" w:lastRowLastColumn="0"/>
          <w:trHeight w:val="20"/>
        </w:trPr>
        <w:tc>
          <w:tcPr>
            <w:tcW w:w="3964" w:type="dxa"/>
            <w:noWrap/>
            <w:vAlign w:val="center"/>
            <w:hideMark/>
          </w:tcPr>
          <w:p w14:paraId="0AC09A41" w14:textId="77777777" w:rsidR="004F64EF" w:rsidRPr="003003C0" w:rsidRDefault="004F64EF" w:rsidP="00FD6B66">
            <w:pPr>
              <w:tabs>
                <w:tab w:val="left" w:pos="227"/>
              </w:tabs>
              <w:jc w:val="left"/>
              <w:rPr>
                <w:rFonts w:cs="Calibri"/>
                <w:color w:val="000000"/>
                <w:sz w:val="14"/>
                <w:szCs w:val="14"/>
              </w:rPr>
            </w:pPr>
            <w:r w:rsidRPr="003003C0">
              <w:rPr>
                <w:rFonts w:cs="Calibri"/>
                <w:color w:val="000000"/>
                <w:sz w:val="14"/>
                <w:szCs w:val="14"/>
              </w:rPr>
              <w:tab/>
              <w:t xml:space="preserve">73. </w:t>
            </w:r>
            <w:r w:rsidRPr="00736C66">
              <w:rPr>
                <w:rFonts w:cs="Calibri"/>
                <w:color w:val="000000"/>
                <w:sz w:val="14"/>
                <w:szCs w:val="14"/>
              </w:rPr>
              <w:t>Articles of iron or steel</w:t>
            </w:r>
          </w:p>
        </w:tc>
        <w:tc>
          <w:tcPr>
            <w:tcW w:w="721" w:type="dxa"/>
            <w:noWrap/>
            <w:vAlign w:val="center"/>
            <w:hideMark/>
          </w:tcPr>
          <w:p w14:paraId="19EA73BA" w14:textId="77777777" w:rsidR="004F64EF" w:rsidRPr="003003C0" w:rsidRDefault="004F64EF" w:rsidP="00FD6B66">
            <w:pPr>
              <w:jc w:val="right"/>
              <w:rPr>
                <w:rFonts w:cs="Calibri"/>
                <w:color w:val="000000"/>
                <w:sz w:val="14"/>
                <w:szCs w:val="14"/>
              </w:rPr>
            </w:pPr>
            <w:r w:rsidRPr="003003C0">
              <w:rPr>
                <w:rFonts w:cs="Calibri"/>
                <w:color w:val="000000"/>
                <w:sz w:val="14"/>
                <w:szCs w:val="14"/>
              </w:rPr>
              <w:t>2</w:t>
            </w:r>
            <w:r>
              <w:rPr>
                <w:rFonts w:cs="Calibri"/>
                <w:color w:val="000000"/>
                <w:sz w:val="14"/>
                <w:szCs w:val="14"/>
              </w:rPr>
              <w:t>.</w:t>
            </w:r>
            <w:r w:rsidRPr="003003C0">
              <w:rPr>
                <w:rFonts w:cs="Calibri"/>
                <w:color w:val="000000"/>
                <w:sz w:val="14"/>
                <w:szCs w:val="14"/>
              </w:rPr>
              <w:t>2</w:t>
            </w:r>
          </w:p>
        </w:tc>
        <w:tc>
          <w:tcPr>
            <w:tcW w:w="722" w:type="dxa"/>
            <w:noWrap/>
            <w:vAlign w:val="center"/>
            <w:hideMark/>
          </w:tcPr>
          <w:p w14:paraId="52665E51" w14:textId="77777777" w:rsidR="004F64EF" w:rsidRPr="003003C0" w:rsidRDefault="004F64EF" w:rsidP="00FD6B66">
            <w:pPr>
              <w:jc w:val="right"/>
              <w:rPr>
                <w:rFonts w:cs="Calibri"/>
                <w:color w:val="000000"/>
                <w:sz w:val="14"/>
                <w:szCs w:val="14"/>
              </w:rPr>
            </w:pPr>
            <w:r w:rsidRPr="003003C0">
              <w:rPr>
                <w:rFonts w:cs="Calibri"/>
                <w:color w:val="000000"/>
                <w:sz w:val="14"/>
                <w:szCs w:val="14"/>
              </w:rPr>
              <w:t>2</w:t>
            </w:r>
            <w:r>
              <w:rPr>
                <w:rFonts w:cs="Calibri"/>
                <w:color w:val="000000"/>
                <w:sz w:val="14"/>
                <w:szCs w:val="14"/>
              </w:rPr>
              <w:t>.</w:t>
            </w:r>
            <w:r w:rsidRPr="003003C0">
              <w:rPr>
                <w:rFonts w:cs="Calibri"/>
                <w:color w:val="000000"/>
                <w:sz w:val="14"/>
                <w:szCs w:val="14"/>
              </w:rPr>
              <w:t>6</w:t>
            </w:r>
          </w:p>
        </w:tc>
        <w:tc>
          <w:tcPr>
            <w:tcW w:w="722" w:type="dxa"/>
            <w:noWrap/>
            <w:vAlign w:val="center"/>
            <w:hideMark/>
          </w:tcPr>
          <w:p w14:paraId="3C3D28A9" w14:textId="77777777" w:rsidR="004F64EF" w:rsidRPr="003003C0" w:rsidRDefault="004F64EF" w:rsidP="00FD6B66">
            <w:pPr>
              <w:jc w:val="right"/>
              <w:rPr>
                <w:rFonts w:cs="Calibri"/>
                <w:color w:val="000000"/>
                <w:sz w:val="14"/>
                <w:szCs w:val="14"/>
              </w:rPr>
            </w:pPr>
            <w:r w:rsidRPr="003003C0">
              <w:rPr>
                <w:rFonts w:cs="Calibri"/>
                <w:color w:val="000000"/>
                <w:sz w:val="14"/>
                <w:szCs w:val="14"/>
              </w:rPr>
              <w:t>2</w:t>
            </w:r>
            <w:r>
              <w:rPr>
                <w:rFonts w:cs="Calibri"/>
                <w:color w:val="000000"/>
                <w:sz w:val="14"/>
                <w:szCs w:val="14"/>
              </w:rPr>
              <w:t>.</w:t>
            </w:r>
            <w:r w:rsidRPr="003003C0">
              <w:rPr>
                <w:rFonts w:cs="Calibri"/>
                <w:color w:val="000000"/>
                <w:sz w:val="14"/>
                <w:szCs w:val="14"/>
              </w:rPr>
              <w:t>0</w:t>
            </w:r>
          </w:p>
        </w:tc>
        <w:tc>
          <w:tcPr>
            <w:tcW w:w="721" w:type="dxa"/>
            <w:noWrap/>
            <w:vAlign w:val="center"/>
            <w:hideMark/>
          </w:tcPr>
          <w:p w14:paraId="114DB011" w14:textId="77777777" w:rsidR="004F64EF" w:rsidRPr="003003C0" w:rsidRDefault="004F64EF" w:rsidP="00FD6B66">
            <w:pPr>
              <w:jc w:val="right"/>
              <w:rPr>
                <w:rFonts w:cs="Calibri"/>
                <w:color w:val="000000"/>
                <w:sz w:val="14"/>
                <w:szCs w:val="14"/>
              </w:rPr>
            </w:pPr>
            <w:r w:rsidRPr="003003C0">
              <w:rPr>
                <w:rFonts w:cs="Calibri"/>
                <w:color w:val="000000"/>
                <w:sz w:val="14"/>
                <w:szCs w:val="14"/>
              </w:rPr>
              <w:t>2</w:t>
            </w:r>
            <w:r>
              <w:rPr>
                <w:rFonts w:cs="Calibri"/>
                <w:color w:val="000000"/>
                <w:sz w:val="14"/>
                <w:szCs w:val="14"/>
              </w:rPr>
              <w:t>.</w:t>
            </w:r>
            <w:r w:rsidRPr="003003C0">
              <w:rPr>
                <w:rFonts w:cs="Calibri"/>
                <w:color w:val="000000"/>
                <w:sz w:val="14"/>
                <w:szCs w:val="14"/>
              </w:rPr>
              <w:t>0</w:t>
            </w:r>
          </w:p>
        </w:tc>
        <w:tc>
          <w:tcPr>
            <w:tcW w:w="722" w:type="dxa"/>
            <w:noWrap/>
            <w:vAlign w:val="center"/>
            <w:hideMark/>
          </w:tcPr>
          <w:p w14:paraId="6C683964" w14:textId="77777777" w:rsidR="004F64EF" w:rsidRPr="003003C0" w:rsidRDefault="004F64EF" w:rsidP="00FD6B66">
            <w:pPr>
              <w:jc w:val="right"/>
              <w:rPr>
                <w:rFonts w:cs="Calibri"/>
                <w:color w:val="000000"/>
                <w:sz w:val="14"/>
                <w:szCs w:val="14"/>
              </w:rPr>
            </w:pPr>
            <w:r w:rsidRPr="003003C0">
              <w:rPr>
                <w:rFonts w:cs="Calibri"/>
                <w:color w:val="000000"/>
                <w:sz w:val="14"/>
                <w:szCs w:val="14"/>
              </w:rPr>
              <w:t>2</w:t>
            </w:r>
            <w:r>
              <w:rPr>
                <w:rFonts w:cs="Calibri"/>
                <w:color w:val="000000"/>
                <w:sz w:val="14"/>
                <w:szCs w:val="14"/>
              </w:rPr>
              <w:t>.</w:t>
            </w:r>
            <w:r w:rsidRPr="003003C0">
              <w:rPr>
                <w:rFonts w:cs="Calibri"/>
                <w:color w:val="000000"/>
                <w:sz w:val="14"/>
                <w:szCs w:val="14"/>
              </w:rPr>
              <w:t>2</w:t>
            </w:r>
          </w:p>
        </w:tc>
        <w:tc>
          <w:tcPr>
            <w:tcW w:w="722" w:type="dxa"/>
            <w:noWrap/>
            <w:vAlign w:val="center"/>
            <w:hideMark/>
          </w:tcPr>
          <w:p w14:paraId="756E9A86" w14:textId="77777777" w:rsidR="004F64EF" w:rsidRPr="003003C0" w:rsidRDefault="004F64EF" w:rsidP="00FD6B66">
            <w:pPr>
              <w:jc w:val="right"/>
              <w:rPr>
                <w:rFonts w:cs="Calibri"/>
                <w:color w:val="000000"/>
                <w:sz w:val="14"/>
                <w:szCs w:val="14"/>
              </w:rPr>
            </w:pPr>
            <w:r w:rsidRPr="003003C0">
              <w:rPr>
                <w:rFonts w:cs="Calibri"/>
                <w:color w:val="000000"/>
                <w:sz w:val="14"/>
                <w:szCs w:val="14"/>
              </w:rPr>
              <w:t>2</w:t>
            </w:r>
            <w:r>
              <w:rPr>
                <w:rFonts w:cs="Calibri"/>
                <w:color w:val="000000"/>
                <w:sz w:val="14"/>
                <w:szCs w:val="14"/>
              </w:rPr>
              <w:t>.</w:t>
            </w:r>
            <w:r w:rsidRPr="003003C0">
              <w:rPr>
                <w:rFonts w:cs="Calibri"/>
                <w:color w:val="000000"/>
                <w:sz w:val="14"/>
                <w:szCs w:val="14"/>
              </w:rPr>
              <w:t>2</w:t>
            </w:r>
          </w:p>
        </w:tc>
        <w:tc>
          <w:tcPr>
            <w:tcW w:w="722" w:type="dxa"/>
            <w:noWrap/>
            <w:vAlign w:val="center"/>
            <w:hideMark/>
          </w:tcPr>
          <w:p w14:paraId="2F2B07C8" w14:textId="77777777" w:rsidR="004F64EF" w:rsidRPr="003003C0" w:rsidRDefault="004F64EF" w:rsidP="00FD6B66">
            <w:pPr>
              <w:jc w:val="right"/>
              <w:rPr>
                <w:rFonts w:cs="Calibri"/>
                <w:color w:val="000000"/>
                <w:sz w:val="14"/>
                <w:szCs w:val="14"/>
              </w:rPr>
            </w:pPr>
            <w:r w:rsidRPr="003003C0">
              <w:rPr>
                <w:rFonts w:cs="Calibri"/>
                <w:color w:val="000000"/>
                <w:sz w:val="14"/>
                <w:szCs w:val="14"/>
              </w:rPr>
              <w:t>2</w:t>
            </w:r>
            <w:r>
              <w:rPr>
                <w:rFonts w:cs="Calibri"/>
                <w:color w:val="000000"/>
                <w:sz w:val="14"/>
                <w:szCs w:val="14"/>
              </w:rPr>
              <w:t>.</w:t>
            </w:r>
            <w:r w:rsidRPr="003003C0">
              <w:rPr>
                <w:rFonts w:cs="Calibri"/>
                <w:color w:val="000000"/>
                <w:sz w:val="14"/>
                <w:szCs w:val="14"/>
              </w:rPr>
              <w:t>3</w:t>
            </w:r>
          </w:p>
        </w:tc>
      </w:tr>
      <w:tr w:rsidR="004F64EF" w:rsidRPr="003003C0" w14:paraId="198C05F9" w14:textId="77777777" w:rsidTr="00FD6B66">
        <w:trPr>
          <w:trHeight w:val="20"/>
        </w:trPr>
        <w:tc>
          <w:tcPr>
            <w:tcW w:w="3964" w:type="dxa"/>
            <w:noWrap/>
            <w:vAlign w:val="center"/>
            <w:hideMark/>
          </w:tcPr>
          <w:p w14:paraId="5A9FA4E0" w14:textId="77777777" w:rsidR="004F64EF" w:rsidRPr="003003C0" w:rsidRDefault="004F64EF" w:rsidP="00FD6B66">
            <w:pPr>
              <w:tabs>
                <w:tab w:val="left" w:pos="227"/>
              </w:tabs>
              <w:jc w:val="left"/>
              <w:rPr>
                <w:rFonts w:cs="Calibri"/>
                <w:color w:val="000000"/>
                <w:sz w:val="14"/>
                <w:szCs w:val="14"/>
              </w:rPr>
            </w:pPr>
            <w:r w:rsidRPr="003003C0">
              <w:rPr>
                <w:rFonts w:cs="Calibri"/>
                <w:color w:val="000000"/>
                <w:sz w:val="14"/>
                <w:szCs w:val="14"/>
              </w:rPr>
              <w:tab/>
              <w:t xml:space="preserve">76. </w:t>
            </w:r>
            <w:r w:rsidRPr="00736C66">
              <w:rPr>
                <w:rFonts w:cs="Calibri"/>
                <w:color w:val="000000"/>
                <w:sz w:val="14"/>
                <w:szCs w:val="14"/>
              </w:rPr>
              <w:t>Aluminium and articles thereof</w:t>
            </w:r>
          </w:p>
        </w:tc>
        <w:tc>
          <w:tcPr>
            <w:tcW w:w="721" w:type="dxa"/>
            <w:noWrap/>
            <w:vAlign w:val="center"/>
            <w:hideMark/>
          </w:tcPr>
          <w:p w14:paraId="39851A57" w14:textId="77777777" w:rsidR="004F64EF" w:rsidRPr="003003C0" w:rsidRDefault="004F64EF" w:rsidP="00FD6B66">
            <w:pPr>
              <w:jc w:val="right"/>
              <w:rPr>
                <w:rFonts w:cs="Calibri"/>
                <w:color w:val="000000"/>
                <w:sz w:val="14"/>
                <w:szCs w:val="14"/>
              </w:rPr>
            </w:pPr>
            <w:r w:rsidRPr="003003C0">
              <w:rPr>
                <w:rFonts w:cs="Calibri"/>
                <w:color w:val="000000"/>
                <w:sz w:val="14"/>
                <w:szCs w:val="14"/>
              </w:rPr>
              <w:t>0</w:t>
            </w:r>
            <w:r>
              <w:rPr>
                <w:rFonts w:cs="Calibri"/>
                <w:color w:val="000000"/>
                <w:sz w:val="14"/>
                <w:szCs w:val="14"/>
              </w:rPr>
              <w:t>.</w:t>
            </w:r>
            <w:r w:rsidRPr="003003C0">
              <w:rPr>
                <w:rFonts w:cs="Calibri"/>
                <w:color w:val="000000"/>
                <w:sz w:val="14"/>
                <w:szCs w:val="14"/>
              </w:rPr>
              <w:t>7</w:t>
            </w:r>
          </w:p>
        </w:tc>
        <w:tc>
          <w:tcPr>
            <w:tcW w:w="722" w:type="dxa"/>
            <w:noWrap/>
            <w:vAlign w:val="center"/>
            <w:hideMark/>
          </w:tcPr>
          <w:p w14:paraId="425043D6" w14:textId="77777777" w:rsidR="004F64EF" w:rsidRPr="003003C0" w:rsidRDefault="004F64EF" w:rsidP="00FD6B66">
            <w:pPr>
              <w:jc w:val="right"/>
              <w:rPr>
                <w:rFonts w:cs="Calibri"/>
                <w:color w:val="000000"/>
                <w:sz w:val="14"/>
                <w:szCs w:val="14"/>
              </w:rPr>
            </w:pPr>
            <w:r w:rsidRPr="003003C0">
              <w:rPr>
                <w:rFonts w:cs="Calibri"/>
                <w:color w:val="000000"/>
                <w:sz w:val="14"/>
                <w:szCs w:val="14"/>
              </w:rPr>
              <w:t>0</w:t>
            </w:r>
            <w:r>
              <w:rPr>
                <w:rFonts w:cs="Calibri"/>
                <w:color w:val="000000"/>
                <w:sz w:val="14"/>
                <w:szCs w:val="14"/>
              </w:rPr>
              <w:t>.</w:t>
            </w:r>
            <w:r w:rsidRPr="003003C0">
              <w:rPr>
                <w:rFonts w:cs="Calibri"/>
                <w:color w:val="000000"/>
                <w:sz w:val="14"/>
                <w:szCs w:val="14"/>
              </w:rPr>
              <w:t>7</w:t>
            </w:r>
          </w:p>
        </w:tc>
        <w:tc>
          <w:tcPr>
            <w:tcW w:w="722" w:type="dxa"/>
            <w:noWrap/>
            <w:vAlign w:val="center"/>
            <w:hideMark/>
          </w:tcPr>
          <w:p w14:paraId="1C47467B" w14:textId="77777777" w:rsidR="004F64EF" w:rsidRPr="003003C0" w:rsidRDefault="004F64EF" w:rsidP="00FD6B66">
            <w:pPr>
              <w:jc w:val="right"/>
              <w:rPr>
                <w:rFonts w:cs="Calibri"/>
                <w:color w:val="000000"/>
                <w:sz w:val="14"/>
                <w:szCs w:val="14"/>
              </w:rPr>
            </w:pPr>
            <w:r w:rsidRPr="003003C0">
              <w:rPr>
                <w:rFonts w:cs="Calibri"/>
                <w:color w:val="000000"/>
                <w:sz w:val="14"/>
                <w:szCs w:val="14"/>
              </w:rPr>
              <w:t>0</w:t>
            </w:r>
            <w:r>
              <w:rPr>
                <w:rFonts w:cs="Calibri"/>
                <w:color w:val="000000"/>
                <w:sz w:val="14"/>
                <w:szCs w:val="14"/>
              </w:rPr>
              <w:t>.</w:t>
            </w:r>
            <w:r w:rsidRPr="003003C0">
              <w:rPr>
                <w:rFonts w:cs="Calibri"/>
                <w:color w:val="000000"/>
                <w:sz w:val="14"/>
                <w:szCs w:val="14"/>
              </w:rPr>
              <w:t>7</w:t>
            </w:r>
          </w:p>
        </w:tc>
        <w:tc>
          <w:tcPr>
            <w:tcW w:w="721" w:type="dxa"/>
            <w:noWrap/>
            <w:vAlign w:val="center"/>
            <w:hideMark/>
          </w:tcPr>
          <w:p w14:paraId="75679913" w14:textId="77777777" w:rsidR="004F64EF" w:rsidRPr="003003C0" w:rsidRDefault="004F64EF" w:rsidP="00FD6B66">
            <w:pPr>
              <w:jc w:val="right"/>
              <w:rPr>
                <w:rFonts w:cs="Calibri"/>
                <w:color w:val="000000"/>
                <w:sz w:val="14"/>
                <w:szCs w:val="14"/>
              </w:rPr>
            </w:pPr>
            <w:r w:rsidRPr="003003C0">
              <w:rPr>
                <w:rFonts w:cs="Calibri"/>
                <w:color w:val="000000"/>
                <w:sz w:val="14"/>
                <w:szCs w:val="14"/>
              </w:rPr>
              <w:t>0</w:t>
            </w:r>
            <w:r>
              <w:rPr>
                <w:rFonts w:cs="Calibri"/>
                <w:color w:val="000000"/>
                <w:sz w:val="14"/>
                <w:szCs w:val="14"/>
              </w:rPr>
              <w:t>.</w:t>
            </w:r>
            <w:r w:rsidRPr="003003C0">
              <w:rPr>
                <w:rFonts w:cs="Calibri"/>
                <w:color w:val="000000"/>
                <w:sz w:val="14"/>
                <w:szCs w:val="14"/>
              </w:rPr>
              <w:t>8</w:t>
            </w:r>
          </w:p>
        </w:tc>
        <w:tc>
          <w:tcPr>
            <w:tcW w:w="722" w:type="dxa"/>
            <w:noWrap/>
            <w:vAlign w:val="center"/>
            <w:hideMark/>
          </w:tcPr>
          <w:p w14:paraId="2268572E" w14:textId="77777777" w:rsidR="004F64EF" w:rsidRPr="003003C0" w:rsidRDefault="004F64EF" w:rsidP="00FD6B66">
            <w:pPr>
              <w:jc w:val="right"/>
              <w:rPr>
                <w:rFonts w:cs="Calibri"/>
                <w:color w:val="000000"/>
                <w:sz w:val="14"/>
                <w:szCs w:val="14"/>
              </w:rPr>
            </w:pPr>
            <w:r w:rsidRPr="003003C0">
              <w:rPr>
                <w:rFonts w:cs="Calibri"/>
                <w:color w:val="000000"/>
                <w:sz w:val="14"/>
                <w:szCs w:val="14"/>
              </w:rPr>
              <w:t>0</w:t>
            </w:r>
            <w:r>
              <w:rPr>
                <w:rFonts w:cs="Calibri"/>
                <w:color w:val="000000"/>
                <w:sz w:val="14"/>
                <w:szCs w:val="14"/>
              </w:rPr>
              <w:t>.</w:t>
            </w:r>
            <w:r w:rsidRPr="003003C0">
              <w:rPr>
                <w:rFonts w:cs="Calibri"/>
                <w:color w:val="000000"/>
                <w:sz w:val="14"/>
                <w:szCs w:val="14"/>
              </w:rPr>
              <w:t>8</w:t>
            </w:r>
          </w:p>
        </w:tc>
        <w:tc>
          <w:tcPr>
            <w:tcW w:w="722" w:type="dxa"/>
            <w:noWrap/>
            <w:vAlign w:val="center"/>
            <w:hideMark/>
          </w:tcPr>
          <w:p w14:paraId="17E53B22" w14:textId="77777777" w:rsidR="004F64EF" w:rsidRPr="003003C0" w:rsidRDefault="004F64EF" w:rsidP="00FD6B66">
            <w:pPr>
              <w:jc w:val="right"/>
              <w:rPr>
                <w:rFonts w:cs="Calibri"/>
                <w:color w:val="000000"/>
                <w:sz w:val="14"/>
                <w:szCs w:val="14"/>
              </w:rPr>
            </w:pPr>
            <w:r w:rsidRPr="003003C0">
              <w:rPr>
                <w:rFonts w:cs="Calibri"/>
                <w:color w:val="000000"/>
                <w:sz w:val="14"/>
                <w:szCs w:val="14"/>
              </w:rPr>
              <w:t>0</w:t>
            </w:r>
            <w:r>
              <w:rPr>
                <w:rFonts w:cs="Calibri"/>
                <w:color w:val="000000"/>
                <w:sz w:val="14"/>
                <w:szCs w:val="14"/>
              </w:rPr>
              <w:t>.</w:t>
            </w:r>
            <w:r w:rsidRPr="003003C0">
              <w:rPr>
                <w:rFonts w:cs="Calibri"/>
                <w:color w:val="000000"/>
                <w:sz w:val="14"/>
                <w:szCs w:val="14"/>
              </w:rPr>
              <w:t>9</w:t>
            </w:r>
          </w:p>
        </w:tc>
        <w:tc>
          <w:tcPr>
            <w:tcW w:w="722" w:type="dxa"/>
            <w:noWrap/>
            <w:vAlign w:val="center"/>
            <w:hideMark/>
          </w:tcPr>
          <w:p w14:paraId="501A3C66" w14:textId="77777777" w:rsidR="004F64EF" w:rsidRPr="003003C0" w:rsidRDefault="004F64EF" w:rsidP="00FD6B66">
            <w:pPr>
              <w:jc w:val="right"/>
              <w:rPr>
                <w:rFonts w:cs="Calibri"/>
                <w:color w:val="000000"/>
                <w:sz w:val="14"/>
                <w:szCs w:val="14"/>
              </w:rPr>
            </w:pPr>
            <w:r w:rsidRPr="003003C0">
              <w:rPr>
                <w:rFonts w:cs="Calibri"/>
                <w:color w:val="000000"/>
                <w:sz w:val="14"/>
                <w:szCs w:val="14"/>
              </w:rPr>
              <w:t>1</w:t>
            </w:r>
            <w:r>
              <w:rPr>
                <w:rFonts w:cs="Calibri"/>
                <w:color w:val="000000"/>
                <w:sz w:val="14"/>
                <w:szCs w:val="14"/>
              </w:rPr>
              <w:t>.</w:t>
            </w:r>
            <w:r w:rsidRPr="003003C0">
              <w:rPr>
                <w:rFonts w:cs="Calibri"/>
                <w:color w:val="000000"/>
                <w:sz w:val="14"/>
                <w:szCs w:val="14"/>
              </w:rPr>
              <w:t>0</w:t>
            </w:r>
          </w:p>
        </w:tc>
      </w:tr>
      <w:tr w:rsidR="004F64EF" w:rsidRPr="003003C0" w14:paraId="4E52F4EB" w14:textId="77777777" w:rsidTr="00FD6B66">
        <w:trPr>
          <w:cnfStyle w:val="000000010000" w:firstRow="0" w:lastRow="0" w:firstColumn="0" w:lastColumn="0" w:oddVBand="0" w:evenVBand="0" w:oddHBand="0" w:evenHBand="1" w:firstRowFirstColumn="0" w:firstRowLastColumn="0" w:lastRowFirstColumn="0" w:lastRowLastColumn="0"/>
          <w:trHeight w:val="20"/>
        </w:trPr>
        <w:tc>
          <w:tcPr>
            <w:tcW w:w="3964" w:type="dxa"/>
            <w:noWrap/>
            <w:vAlign w:val="center"/>
            <w:hideMark/>
          </w:tcPr>
          <w:p w14:paraId="2BCDF108" w14:textId="77777777" w:rsidR="004F64EF" w:rsidRPr="003003C0" w:rsidRDefault="004F64EF" w:rsidP="00FD6B66">
            <w:pPr>
              <w:tabs>
                <w:tab w:val="left" w:pos="227"/>
              </w:tabs>
              <w:jc w:val="left"/>
              <w:rPr>
                <w:rFonts w:cs="Calibri"/>
                <w:color w:val="000000"/>
                <w:sz w:val="14"/>
                <w:szCs w:val="14"/>
              </w:rPr>
            </w:pPr>
            <w:r w:rsidRPr="003003C0">
              <w:rPr>
                <w:rFonts w:cs="Calibri"/>
                <w:color w:val="000000"/>
                <w:sz w:val="14"/>
                <w:szCs w:val="14"/>
              </w:rPr>
              <w:tab/>
              <w:t xml:space="preserve">83. </w:t>
            </w:r>
            <w:r w:rsidRPr="00736C66">
              <w:rPr>
                <w:rFonts w:cs="Calibri"/>
                <w:color w:val="000000"/>
                <w:sz w:val="14"/>
                <w:szCs w:val="14"/>
              </w:rPr>
              <w:t>Miscellaneous articles of base metal</w:t>
            </w:r>
          </w:p>
        </w:tc>
        <w:tc>
          <w:tcPr>
            <w:tcW w:w="721" w:type="dxa"/>
            <w:noWrap/>
            <w:vAlign w:val="center"/>
            <w:hideMark/>
          </w:tcPr>
          <w:p w14:paraId="16A49600" w14:textId="77777777" w:rsidR="004F64EF" w:rsidRPr="003003C0" w:rsidRDefault="004F64EF" w:rsidP="00FD6B66">
            <w:pPr>
              <w:jc w:val="right"/>
              <w:rPr>
                <w:rFonts w:cs="Calibri"/>
                <w:color w:val="000000"/>
                <w:sz w:val="14"/>
                <w:szCs w:val="14"/>
              </w:rPr>
            </w:pPr>
            <w:r w:rsidRPr="003003C0">
              <w:rPr>
                <w:rFonts w:cs="Calibri"/>
                <w:color w:val="000000"/>
                <w:sz w:val="14"/>
                <w:szCs w:val="14"/>
              </w:rPr>
              <w:t>0</w:t>
            </w:r>
            <w:r>
              <w:rPr>
                <w:rFonts w:cs="Calibri"/>
                <w:color w:val="000000"/>
                <w:sz w:val="14"/>
                <w:szCs w:val="14"/>
              </w:rPr>
              <w:t>.</w:t>
            </w:r>
            <w:r w:rsidRPr="003003C0">
              <w:rPr>
                <w:rFonts w:cs="Calibri"/>
                <w:color w:val="000000"/>
                <w:sz w:val="14"/>
                <w:szCs w:val="14"/>
              </w:rPr>
              <w:t>5</w:t>
            </w:r>
          </w:p>
        </w:tc>
        <w:tc>
          <w:tcPr>
            <w:tcW w:w="722" w:type="dxa"/>
            <w:noWrap/>
            <w:vAlign w:val="center"/>
            <w:hideMark/>
          </w:tcPr>
          <w:p w14:paraId="431B4C86" w14:textId="77777777" w:rsidR="004F64EF" w:rsidRPr="003003C0" w:rsidRDefault="004F64EF" w:rsidP="00FD6B66">
            <w:pPr>
              <w:jc w:val="right"/>
              <w:rPr>
                <w:rFonts w:cs="Calibri"/>
                <w:color w:val="000000"/>
                <w:sz w:val="14"/>
                <w:szCs w:val="14"/>
              </w:rPr>
            </w:pPr>
            <w:r w:rsidRPr="003003C0">
              <w:rPr>
                <w:rFonts w:cs="Calibri"/>
                <w:color w:val="000000"/>
                <w:sz w:val="14"/>
                <w:szCs w:val="14"/>
              </w:rPr>
              <w:t>0</w:t>
            </w:r>
            <w:r>
              <w:rPr>
                <w:rFonts w:cs="Calibri"/>
                <w:color w:val="000000"/>
                <w:sz w:val="14"/>
                <w:szCs w:val="14"/>
              </w:rPr>
              <w:t>.</w:t>
            </w:r>
            <w:r w:rsidRPr="003003C0">
              <w:rPr>
                <w:rFonts w:cs="Calibri"/>
                <w:color w:val="000000"/>
                <w:sz w:val="14"/>
                <w:szCs w:val="14"/>
              </w:rPr>
              <w:t>5</w:t>
            </w:r>
          </w:p>
        </w:tc>
        <w:tc>
          <w:tcPr>
            <w:tcW w:w="722" w:type="dxa"/>
            <w:noWrap/>
            <w:vAlign w:val="center"/>
            <w:hideMark/>
          </w:tcPr>
          <w:p w14:paraId="0953984F" w14:textId="77777777" w:rsidR="004F64EF" w:rsidRPr="003003C0" w:rsidRDefault="004F64EF" w:rsidP="00FD6B66">
            <w:pPr>
              <w:jc w:val="right"/>
              <w:rPr>
                <w:rFonts w:cs="Calibri"/>
                <w:color w:val="000000"/>
                <w:sz w:val="14"/>
                <w:szCs w:val="14"/>
              </w:rPr>
            </w:pPr>
            <w:r w:rsidRPr="003003C0">
              <w:rPr>
                <w:rFonts w:cs="Calibri"/>
                <w:color w:val="000000"/>
                <w:sz w:val="14"/>
                <w:szCs w:val="14"/>
              </w:rPr>
              <w:t>0</w:t>
            </w:r>
            <w:r>
              <w:rPr>
                <w:rFonts w:cs="Calibri"/>
                <w:color w:val="000000"/>
                <w:sz w:val="14"/>
                <w:szCs w:val="14"/>
              </w:rPr>
              <w:t>.</w:t>
            </w:r>
            <w:r w:rsidRPr="003003C0">
              <w:rPr>
                <w:rFonts w:cs="Calibri"/>
                <w:color w:val="000000"/>
                <w:sz w:val="14"/>
                <w:szCs w:val="14"/>
              </w:rPr>
              <w:t>5</w:t>
            </w:r>
          </w:p>
        </w:tc>
        <w:tc>
          <w:tcPr>
            <w:tcW w:w="721" w:type="dxa"/>
            <w:noWrap/>
            <w:vAlign w:val="center"/>
            <w:hideMark/>
          </w:tcPr>
          <w:p w14:paraId="6706CA31" w14:textId="77777777" w:rsidR="004F64EF" w:rsidRPr="003003C0" w:rsidRDefault="004F64EF" w:rsidP="00FD6B66">
            <w:pPr>
              <w:jc w:val="right"/>
              <w:rPr>
                <w:rFonts w:cs="Calibri"/>
                <w:color w:val="000000"/>
                <w:sz w:val="14"/>
                <w:szCs w:val="14"/>
              </w:rPr>
            </w:pPr>
            <w:r w:rsidRPr="003003C0">
              <w:rPr>
                <w:rFonts w:cs="Calibri"/>
                <w:color w:val="000000"/>
                <w:sz w:val="14"/>
                <w:szCs w:val="14"/>
              </w:rPr>
              <w:t>0</w:t>
            </w:r>
            <w:r>
              <w:rPr>
                <w:rFonts w:cs="Calibri"/>
                <w:color w:val="000000"/>
                <w:sz w:val="14"/>
                <w:szCs w:val="14"/>
              </w:rPr>
              <w:t>.</w:t>
            </w:r>
            <w:r w:rsidRPr="003003C0">
              <w:rPr>
                <w:rFonts w:cs="Calibri"/>
                <w:color w:val="000000"/>
                <w:sz w:val="14"/>
                <w:szCs w:val="14"/>
              </w:rPr>
              <w:t>5</w:t>
            </w:r>
          </w:p>
        </w:tc>
        <w:tc>
          <w:tcPr>
            <w:tcW w:w="722" w:type="dxa"/>
            <w:noWrap/>
            <w:vAlign w:val="center"/>
            <w:hideMark/>
          </w:tcPr>
          <w:p w14:paraId="0A879C2F" w14:textId="77777777" w:rsidR="004F64EF" w:rsidRPr="003003C0" w:rsidRDefault="004F64EF" w:rsidP="00FD6B66">
            <w:pPr>
              <w:jc w:val="right"/>
              <w:rPr>
                <w:rFonts w:cs="Calibri"/>
                <w:color w:val="000000"/>
                <w:sz w:val="14"/>
                <w:szCs w:val="14"/>
              </w:rPr>
            </w:pPr>
            <w:r w:rsidRPr="003003C0">
              <w:rPr>
                <w:rFonts w:cs="Calibri"/>
                <w:color w:val="000000"/>
                <w:sz w:val="14"/>
                <w:szCs w:val="14"/>
              </w:rPr>
              <w:t>0</w:t>
            </w:r>
            <w:r>
              <w:rPr>
                <w:rFonts w:cs="Calibri"/>
                <w:color w:val="000000"/>
                <w:sz w:val="14"/>
                <w:szCs w:val="14"/>
              </w:rPr>
              <w:t>.</w:t>
            </w:r>
            <w:r w:rsidRPr="003003C0">
              <w:rPr>
                <w:rFonts w:cs="Calibri"/>
                <w:color w:val="000000"/>
                <w:sz w:val="14"/>
                <w:szCs w:val="14"/>
              </w:rPr>
              <w:t>5</w:t>
            </w:r>
          </w:p>
        </w:tc>
        <w:tc>
          <w:tcPr>
            <w:tcW w:w="722" w:type="dxa"/>
            <w:noWrap/>
            <w:vAlign w:val="center"/>
            <w:hideMark/>
          </w:tcPr>
          <w:p w14:paraId="0F7F7D83" w14:textId="77777777" w:rsidR="004F64EF" w:rsidRPr="003003C0" w:rsidRDefault="004F64EF" w:rsidP="00FD6B66">
            <w:pPr>
              <w:jc w:val="right"/>
              <w:rPr>
                <w:rFonts w:cs="Calibri"/>
                <w:color w:val="000000"/>
                <w:sz w:val="14"/>
                <w:szCs w:val="14"/>
              </w:rPr>
            </w:pPr>
            <w:r w:rsidRPr="003003C0">
              <w:rPr>
                <w:rFonts w:cs="Calibri"/>
                <w:color w:val="000000"/>
                <w:sz w:val="14"/>
                <w:szCs w:val="14"/>
              </w:rPr>
              <w:t>0</w:t>
            </w:r>
            <w:r>
              <w:rPr>
                <w:rFonts w:cs="Calibri"/>
                <w:color w:val="000000"/>
                <w:sz w:val="14"/>
                <w:szCs w:val="14"/>
              </w:rPr>
              <w:t>.</w:t>
            </w:r>
            <w:r w:rsidRPr="003003C0">
              <w:rPr>
                <w:rFonts w:cs="Calibri"/>
                <w:color w:val="000000"/>
                <w:sz w:val="14"/>
                <w:szCs w:val="14"/>
              </w:rPr>
              <w:t>5</w:t>
            </w:r>
          </w:p>
        </w:tc>
        <w:tc>
          <w:tcPr>
            <w:tcW w:w="722" w:type="dxa"/>
            <w:noWrap/>
            <w:vAlign w:val="center"/>
            <w:hideMark/>
          </w:tcPr>
          <w:p w14:paraId="28FEB42D" w14:textId="77777777" w:rsidR="004F64EF" w:rsidRPr="003003C0" w:rsidRDefault="004F64EF" w:rsidP="00FD6B66">
            <w:pPr>
              <w:jc w:val="right"/>
              <w:rPr>
                <w:rFonts w:cs="Calibri"/>
                <w:color w:val="000000"/>
                <w:sz w:val="14"/>
                <w:szCs w:val="14"/>
              </w:rPr>
            </w:pPr>
            <w:r w:rsidRPr="003003C0">
              <w:rPr>
                <w:rFonts w:cs="Calibri"/>
                <w:color w:val="000000"/>
                <w:sz w:val="14"/>
                <w:szCs w:val="14"/>
              </w:rPr>
              <w:t>0</w:t>
            </w:r>
            <w:r>
              <w:rPr>
                <w:rFonts w:cs="Calibri"/>
                <w:color w:val="000000"/>
                <w:sz w:val="14"/>
                <w:szCs w:val="14"/>
              </w:rPr>
              <w:t>.</w:t>
            </w:r>
            <w:r w:rsidRPr="003003C0">
              <w:rPr>
                <w:rFonts w:cs="Calibri"/>
                <w:color w:val="000000"/>
                <w:sz w:val="14"/>
                <w:szCs w:val="14"/>
              </w:rPr>
              <w:t>5</w:t>
            </w:r>
          </w:p>
        </w:tc>
      </w:tr>
      <w:tr w:rsidR="004F64EF" w:rsidRPr="003003C0" w14:paraId="46277E00" w14:textId="77777777" w:rsidTr="00FD6B66">
        <w:trPr>
          <w:trHeight w:val="20"/>
        </w:trPr>
        <w:tc>
          <w:tcPr>
            <w:tcW w:w="3964" w:type="dxa"/>
            <w:noWrap/>
            <w:vAlign w:val="center"/>
            <w:hideMark/>
          </w:tcPr>
          <w:p w14:paraId="5F8ABBA7" w14:textId="77777777" w:rsidR="004F64EF" w:rsidRPr="003003C0" w:rsidRDefault="004F64EF" w:rsidP="00F0233E">
            <w:pPr>
              <w:jc w:val="left"/>
              <w:rPr>
                <w:rFonts w:cs="Calibri"/>
                <w:color w:val="000000"/>
                <w:sz w:val="14"/>
                <w:szCs w:val="14"/>
              </w:rPr>
            </w:pPr>
            <w:r w:rsidRPr="003003C0">
              <w:rPr>
                <w:rFonts w:cs="Calibri"/>
                <w:color w:val="000000"/>
                <w:sz w:val="14"/>
                <w:szCs w:val="14"/>
              </w:rPr>
              <w:t xml:space="preserve">16 - </w:t>
            </w:r>
            <w:r>
              <w:rPr>
                <w:rFonts w:cs="Calibri"/>
                <w:color w:val="000000"/>
                <w:sz w:val="14"/>
                <w:szCs w:val="14"/>
              </w:rPr>
              <w:t>M</w:t>
            </w:r>
            <w:r w:rsidRPr="00736C66">
              <w:rPr>
                <w:rFonts w:cs="Calibri"/>
                <w:color w:val="000000"/>
                <w:sz w:val="14"/>
                <w:szCs w:val="14"/>
              </w:rPr>
              <w:t>achinery and mechanical appliances;</w:t>
            </w:r>
            <w:r>
              <w:rPr>
                <w:rFonts w:cs="Calibri"/>
                <w:color w:val="000000"/>
                <w:sz w:val="14"/>
                <w:szCs w:val="14"/>
              </w:rPr>
              <w:t xml:space="preserve"> </w:t>
            </w:r>
            <w:r w:rsidRPr="00736C66">
              <w:rPr>
                <w:rFonts w:cs="Calibri"/>
                <w:color w:val="000000"/>
                <w:sz w:val="14"/>
                <w:szCs w:val="14"/>
              </w:rPr>
              <w:t>electrical equipment; parts thereof</w:t>
            </w:r>
          </w:p>
        </w:tc>
        <w:tc>
          <w:tcPr>
            <w:tcW w:w="721" w:type="dxa"/>
            <w:noWrap/>
            <w:vAlign w:val="center"/>
            <w:hideMark/>
          </w:tcPr>
          <w:p w14:paraId="684DDF2A" w14:textId="77777777" w:rsidR="004F64EF" w:rsidRPr="003003C0" w:rsidRDefault="004F64EF" w:rsidP="00FD6B66">
            <w:pPr>
              <w:jc w:val="right"/>
              <w:rPr>
                <w:rFonts w:cs="Calibri"/>
                <w:color w:val="000000"/>
                <w:sz w:val="14"/>
                <w:szCs w:val="14"/>
              </w:rPr>
            </w:pPr>
            <w:r w:rsidRPr="003003C0">
              <w:rPr>
                <w:rFonts w:cs="Calibri"/>
                <w:color w:val="000000"/>
                <w:sz w:val="14"/>
                <w:szCs w:val="14"/>
              </w:rPr>
              <w:t>16</w:t>
            </w:r>
            <w:r>
              <w:rPr>
                <w:rFonts w:cs="Calibri"/>
                <w:color w:val="000000"/>
                <w:sz w:val="14"/>
                <w:szCs w:val="14"/>
              </w:rPr>
              <w:t>.</w:t>
            </w:r>
            <w:r w:rsidRPr="003003C0">
              <w:rPr>
                <w:rFonts w:cs="Calibri"/>
                <w:color w:val="000000"/>
                <w:sz w:val="14"/>
                <w:szCs w:val="14"/>
              </w:rPr>
              <w:t>1</w:t>
            </w:r>
          </w:p>
        </w:tc>
        <w:tc>
          <w:tcPr>
            <w:tcW w:w="722" w:type="dxa"/>
            <w:noWrap/>
            <w:vAlign w:val="center"/>
            <w:hideMark/>
          </w:tcPr>
          <w:p w14:paraId="0E7744DF" w14:textId="77777777" w:rsidR="004F64EF" w:rsidRPr="003003C0" w:rsidRDefault="004F64EF" w:rsidP="00FD6B66">
            <w:pPr>
              <w:jc w:val="right"/>
              <w:rPr>
                <w:rFonts w:cs="Calibri"/>
                <w:color w:val="000000"/>
                <w:sz w:val="14"/>
                <w:szCs w:val="14"/>
              </w:rPr>
            </w:pPr>
            <w:r w:rsidRPr="003003C0">
              <w:rPr>
                <w:rFonts w:cs="Calibri"/>
                <w:color w:val="000000"/>
                <w:sz w:val="14"/>
                <w:szCs w:val="14"/>
              </w:rPr>
              <w:t>18</w:t>
            </w:r>
            <w:r>
              <w:rPr>
                <w:rFonts w:cs="Calibri"/>
                <w:color w:val="000000"/>
                <w:sz w:val="14"/>
                <w:szCs w:val="14"/>
              </w:rPr>
              <w:t>.</w:t>
            </w:r>
            <w:r w:rsidRPr="003003C0">
              <w:rPr>
                <w:rFonts w:cs="Calibri"/>
                <w:color w:val="000000"/>
                <w:sz w:val="14"/>
                <w:szCs w:val="14"/>
              </w:rPr>
              <w:t>5</w:t>
            </w:r>
          </w:p>
        </w:tc>
        <w:tc>
          <w:tcPr>
            <w:tcW w:w="722" w:type="dxa"/>
            <w:noWrap/>
            <w:vAlign w:val="center"/>
            <w:hideMark/>
          </w:tcPr>
          <w:p w14:paraId="1099E719" w14:textId="77777777" w:rsidR="004F64EF" w:rsidRPr="003003C0" w:rsidRDefault="004F64EF" w:rsidP="00FD6B66">
            <w:pPr>
              <w:jc w:val="right"/>
              <w:rPr>
                <w:rFonts w:cs="Calibri"/>
                <w:color w:val="000000"/>
                <w:sz w:val="14"/>
                <w:szCs w:val="14"/>
              </w:rPr>
            </w:pPr>
            <w:r w:rsidRPr="003003C0">
              <w:rPr>
                <w:rFonts w:cs="Calibri"/>
                <w:color w:val="000000"/>
                <w:sz w:val="14"/>
                <w:szCs w:val="14"/>
              </w:rPr>
              <w:t>16</w:t>
            </w:r>
            <w:r>
              <w:rPr>
                <w:rFonts w:cs="Calibri"/>
                <w:color w:val="000000"/>
                <w:sz w:val="14"/>
                <w:szCs w:val="14"/>
              </w:rPr>
              <w:t>.</w:t>
            </w:r>
            <w:r w:rsidRPr="003003C0">
              <w:rPr>
                <w:rFonts w:cs="Calibri"/>
                <w:color w:val="000000"/>
                <w:sz w:val="14"/>
                <w:szCs w:val="14"/>
              </w:rPr>
              <w:t>4</w:t>
            </w:r>
          </w:p>
        </w:tc>
        <w:tc>
          <w:tcPr>
            <w:tcW w:w="721" w:type="dxa"/>
            <w:noWrap/>
            <w:vAlign w:val="center"/>
            <w:hideMark/>
          </w:tcPr>
          <w:p w14:paraId="7B435384" w14:textId="77777777" w:rsidR="004F64EF" w:rsidRPr="003003C0" w:rsidRDefault="004F64EF" w:rsidP="00FD6B66">
            <w:pPr>
              <w:jc w:val="right"/>
              <w:rPr>
                <w:rFonts w:cs="Calibri"/>
                <w:color w:val="000000"/>
                <w:sz w:val="14"/>
                <w:szCs w:val="14"/>
              </w:rPr>
            </w:pPr>
            <w:r w:rsidRPr="003003C0">
              <w:rPr>
                <w:rFonts w:cs="Calibri"/>
                <w:color w:val="000000"/>
                <w:sz w:val="14"/>
                <w:szCs w:val="14"/>
              </w:rPr>
              <w:t>16</w:t>
            </w:r>
            <w:r>
              <w:rPr>
                <w:rFonts w:cs="Calibri"/>
                <w:color w:val="000000"/>
                <w:sz w:val="14"/>
                <w:szCs w:val="14"/>
              </w:rPr>
              <w:t>.</w:t>
            </w:r>
            <w:r w:rsidRPr="003003C0">
              <w:rPr>
                <w:rFonts w:cs="Calibri"/>
                <w:color w:val="000000"/>
                <w:sz w:val="14"/>
                <w:szCs w:val="14"/>
              </w:rPr>
              <w:t>7</w:t>
            </w:r>
          </w:p>
        </w:tc>
        <w:tc>
          <w:tcPr>
            <w:tcW w:w="722" w:type="dxa"/>
            <w:noWrap/>
            <w:vAlign w:val="center"/>
            <w:hideMark/>
          </w:tcPr>
          <w:p w14:paraId="60E7D9F3" w14:textId="77777777" w:rsidR="004F64EF" w:rsidRPr="003003C0" w:rsidRDefault="004F64EF" w:rsidP="00FD6B66">
            <w:pPr>
              <w:jc w:val="right"/>
              <w:rPr>
                <w:rFonts w:cs="Calibri"/>
                <w:color w:val="000000"/>
                <w:sz w:val="14"/>
                <w:szCs w:val="14"/>
              </w:rPr>
            </w:pPr>
            <w:r w:rsidRPr="003003C0">
              <w:rPr>
                <w:rFonts w:cs="Calibri"/>
                <w:color w:val="000000"/>
                <w:sz w:val="14"/>
                <w:szCs w:val="14"/>
              </w:rPr>
              <w:t>16</w:t>
            </w:r>
            <w:r>
              <w:rPr>
                <w:rFonts w:cs="Calibri"/>
                <w:color w:val="000000"/>
                <w:sz w:val="14"/>
                <w:szCs w:val="14"/>
              </w:rPr>
              <w:t>.</w:t>
            </w:r>
            <w:r w:rsidRPr="003003C0">
              <w:rPr>
                <w:rFonts w:cs="Calibri"/>
                <w:color w:val="000000"/>
                <w:sz w:val="14"/>
                <w:szCs w:val="14"/>
              </w:rPr>
              <w:t>5</w:t>
            </w:r>
          </w:p>
        </w:tc>
        <w:tc>
          <w:tcPr>
            <w:tcW w:w="722" w:type="dxa"/>
            <w:noWrap/>
            <w:vAlign w:val="center"/>
            <w:hideMark/>
          </w:tcPr>
          <w:p w14:paraId="39A127CE" w14:textId="77777777" w:rsidR="004F64EF" w:rsidRPr="003003C0" w:rsidRDefault="004F64EF" w:rsidP="00FD6B66">
            <w:pPr>
              <w:jc w:val="right"/>
              <w:rPr>
                <w:rFonts w:cs="Calibri"/>
                <w:color w:val="000000"/>
                <w:sz w:val="14"/>
                <w:szCs w:val="14"/>
              </w:rPr>
            </w:pPr>
            <w:r w:rsidRPr="003003C0">
              <w:rPr>
                <w:rFonts w:cs="Calibri"/>
                <w:color w:val="000000"/>
                <w:sz w:val="14"/>
                <w:szCs w:val="14"/>
              </w:rPr>
              <w:t>17</w:t>
            </w:r>
            <w:r>
              <w:rPr>
                <w:rFonts w:cs="Calibri"/>
                <w:color w:val="000000"/>
                <w:sz w:val="14"/>
                <w:szCs w:val="14"/>
              </w:rPr>
              <w:t>.</w:t>
            </w:r>
            <w:r w:rsidRPr="003003C0">
              <w:rPr>
                <w:rFonts w:cs="Calibri"/>
                <w:color w:val="000000"/>
                <w:sz w:val="14"/>
                <w:szCs w:val="14"/>
              </w:rPr>
              <w:t>5</w:t>
            </w:r>
          </w:p>
        </w:tc>
        <w:tc>
          <w:tcPr>
            <w:tcW w:w="722" w:type="dxa"/>
            <w:noWrap/>
            <w:vAlign w:val="center"/>
            <w:hideMark/>
          </w:tcPr>
          <w:p w14:paraId="7680CC38" w14:textId="77777777" w:rsidR="004F64EF" w:rsidRPr="003003C0" w:rsidRDefault="004F64EF" w:rsidP="00FD6B66">
            <w:pPr>
              <w:jc w:val="right"/>
              <w:rPr>
                <w:rFonts w:cs="Calibri"/>
                <w:color w:val="000000"/>
                <w:sz w:val="14"/>
                <w:szCs w:val="14"/>
              </w:rPr>
            </w:pPr>
            <w:r w:rsidRPr="003003C0">
              <w:rPr>
                <w:rFonts w:cs="Calibri"/>
                <w:color w:val="000000"/>
                <w:sz w:val="14"/>
                <w:szCs w:val="14"/>
              </w:rPr>
              <w:t>14</w:t>
            </w:r>
            <w:r>
              <w:rPr>
                <w:rFonts w:cs="Calibri"/>
                <w:color w:val="000000"/>
                <w:sz w:val="14"/>
                <w:szCs w:val="14"/>
              </w:rPr>
              <w:t>.</w:t>
            </w:r>
            <w:r w:rsidRPr="003003C0">
              <w:rPr>
                <w:rFonts w:cs="Calibri"/>
                <w:color w:val="000000"/>
                <w:sz w:val="14"/>
                <w:szCs w:val="14"/>
              </w:rPr>
              <w:t>5</w:t>
            </w:r>
          </w:p>
        </w:tc>
      </w:tr>
      <w:tr w:rsidR="004F64EF" w:rsidRPr="003003C0" w14:paraId="53EAF6AB" w14:textId="77777777" w:rsidTr="00FD6B66">
        <w:trPr>
          <w:cnfStyle w:val="000000010000" w:firstRow="0" w:lastRow="0" w:firstColumn="0" w:lastColumn="0" w:oddVBand="0" w:evenVBand="0" w:oddHBand="0" w:evenHBand="1" w:firstRowFirstColumn="0" w:firstRowLastColumn="0" w:lastRowFirstColumn="0" w:lastRowLastColumn="0"/>
          <w:trHeight w:val="20"/>
        </w:trPr>
        <w:tc>
          <w:tcPr>
            <w:tcW w:w="3964" w:type="dxa"/>
            <w:noWrap/>
            <w:vAlign w:val="center"/>
            <w:hideMark/>
          </w:tcPr>
          <w:p w14:paraId="74199100" w14:textId="77777777" w:rsidR="004F64EF" w:rsidRPr="003003C0" w:rsidRDefault="004F64EF" w:rsidP="00B22563">
            <w:pPr>
              <w:tabs>
                <w:tab w:val="left" w:pos="227"/>
              </w:tabs>
              <w:ind w:left="227" w:hanging="227"/>
              <w:jc w:val="left"/>
              <w:rPr>
                <w:rFonts w:cs="Calibri"/>
                <w:color w:val="000000"/>
                <w:sz w:val="14"/>
                <w:szCs w:val="14"/>
              </w:rPr>
            </w:pPr>
            <w:r w:rsidRPr="003003C0">
              <w:rPr>
                <w:rFonts w:cs="Calibri"/>
                <w:color w:val="000000"/>
                <w:sz w:val="14"/>
                <w:szCs w:val="14"/>
              </w:rPr>
              <w:tab/>
              <w:t xml:space="preserve">84. </w:t>
            </w:r>
            <w:r w:rsidRPr="00736C66">
              <w:rPr>
                <w:rFonts w:cs="Calibri"/>
                <w:color w:val="000000"/>
                <w:sz w:val="14"/>
                <w:szCs w:val="14"/>
              </w:rPr>
              <w:t>Nuclear reactors, boilers, machinery and mechanical appliances</w:t>
            </w:r>
          </w:p>
        </w:tc>
        <w:tc>
          <w:tcPr>
            <w:tcW w:w="721" w:type="dxa"/>
            <w:noWrap/>
            <w:vAlign w:val="center"/>
            <w:hideMark/>
          </w:tcPr>
          <w:p w14:paraId="13DCA663" w14:textId="77777777" w:rsidR="004F64EF" w:rsidRPr="003003C0" w:rsidRDefault="004F64EF" w:rsidP="00FD6B66">
            <w:pPr>
              <w:jc w:val="right"/>
              <w:rPr>
                <w:rFonts w:cs="Calibri"/>
                <w:color w:val="000000"/>
                <w:sz w:val="14"/>
                <w:szCs w:val="14"/>
              </w:rPr>
            </w:pPr>
            <w:r w:rsidRPr="003003C0">
              <w:rPr>
                <w:rFonts w:cs="Calibri"/>
                <w:color w:val="000000"/>
                <w:sz w:val="14"/>
                <w:szCs w:val="14"/>
              </w:rPr>
              <w:t>8</w:t>
            </w:r>
            <w:r>
              <w:rPr>
                <w:rFonts w:cs="Calibri"/>
                <w:color w:val="000000"/>
                <w:sz w:val="14"/>
                <w:szCs w:val="14"/>
              </w:rPr>
              <w:t>.</w:t>
            </w:r>
            <w:r w:rsidRPr="003003C0">
              <w:rPr>
                <w:rFonts w:cs="Calibri"/>
                <w:color w:val="000000"/>
                <w:sz w:val="14"/>
                <w:szCs w:val="14"/>
              </w:rPr>
              <w:t>1</w:t>
            </w:r>
          </w:p>
        </w:tc>
        <w:tc>
          <w:tcPr>
            <w:tcW w:w="722" w:type="dxa"/>
            <w:noWrap/>
            <w:vAlign w:val="center"/>
            <w:hideMark/>
          </w:tcPr>
          <w:p w14:paraId="12E7E156" w14:textId="77777777" w:rsidR="004F64EF" w:rsidRPr="003003C0" w:rsidRDefault="004F64EF" w:rsidP="00FD6B66">
            <w:pPr>
              <w:jc w:val="right"/>
              <w:rPr>
                <w:rFonts w:cs="Calibri"/>
                <w:color w:val="000000"/>
                <w:sz w:val="14"/>
                <w:szCs w:val="14"/>
              </w:rPr>
            </w:pPr>
            <w:r w:rsidRPr="003003C0">
              <w:rPr>
                <w:rFonts w:cs="Calibri"/>
                <w:color w:val="000000"/>
                <w:sz w:val="14"/>
                <w:szCs w:val="14"/>
              </w:rPr>
              <w:t>10</w:t>
            </w:r>
            <w:r>
              <w:rPr>
                <w:rFonts w:cs="Calibri"/>
                <w:color w:val="000000"/>
                <w:sz w:val="14"/>
                <w:szCs w:val="14"/>
              </w:rPr>
              <w:t>.</w:t>
            </w:r>
            <w:r w:rsidRPr="003003C0">
              <w:rPr>
                <w:rFonts w:cs="Calibri"/>
                <w:color w:val="000000"/>
                <w:sz w:val="14"/>
                <w:szCs w:val="14"/>
              </w:rPr>
              <w:t>1</w:t>
            </w:r>
          </w:p>
        </w:tc>
        <w:tc>
          <w:tcPr>
            <w:tcW w:w="722" w:type="dxa"/>
            <w:noWrap/>
            <w:vAlign w:val="center"/>
            <w:hideMark/>
          </w:tcPr>
          <w:p w14:paraId="64BC4AA6" w14:textId="77777777" w:rsidR="004F64EF" w:rsidRPr="003003C0" w:rsidRDefault="004F64EF" w:rsidP="00FD6B66">
            <w:pPr>
              <w:jc w:val="right"/>
              <w:rPr>
                <w:rFonts w:cs="Calibri"/>
                <w:color w:val="000000"/>
                <w:sz w:val="14"/>
                <w:szCs w:val="14"/>
              </w:rPr>
            </w:pPr>
            <w:r w:rsidRPr="003003C0">
              <w:rPr>
                <w:rFonts w:cs="Calibri"/>
                <w:color w:val="000000"/>
                <w:sz w:val="14"/>
                <w:szCs w:val="14"/>
              </w:rPr>
              <w:t>7</w:t>
            </w:r>
            <w:r>
              <w:rPr>
                <w:rFonts w:cs="Calibri"/>
                <w:color w:val="000000"/>
                <w:sz w:val="14"/>
                <w:szCs w:val="14"/>
              </w:rPr>
              <w:t>.</w:t>
            </w:r>
            <w:r w:rsidRPr="003003C0">
              <w:rPr>
                <w:rFonts w:cs="Calibri"/>
                <w:color w:val="000000"/>
                <w:sz w:val="14"/>
                <w:szCs w:val="14"/>
              </w:rPr>
              <w:t>8</w:t>
            </w:r>
          </w:p>
        </w:tc>
        <w:tc>
          <w:tcPr>
            <w:tcW w:w="721" w:type="dxa"/>
            <w:noWrap/>
            <w:vAlign w:val="center"/>
            <w:hideMark/>
          </w:tcPr>
          <w:p w14:paraId="2688BB2A" w14:textId="77777777" w:rsidR="004F64EF" w:rsidRPr="003003C0" w:rsidRDefault="004F64EF" w:rsidP="00FD6B66">
            <w:pPr>
              <w:jc w:val="right"/>
              <w:rPr>
                <w:rFonts w:cs="Calibri"/>
                <w:color w:val="000000"/>
                <w:sz w:val="14"/>
                <w:szCs w:val="14"/>
              </w:rPr>
            </w:pPr>
            <w:r w:rsidRPr="003003C0">
              <w:rPr>
                <w:rFonts w:cs="Calibri"/>
                <w:color w:val="000000"/>
                <w:sz w:val="14"/>
                <w:szCs w:val="14"/>
              </w:rPr>
              <w:t>8</w:t>
            </w:r>
            <w:r>
              <w:rPr>
                <w:rFonts w:cs="Calibri"/>
                <w:color w:val="000000"/>
                <w:sz w:val="14"/>
                <w:szCs w:val="14"/>
              </w:rPr>
              <w:t>.</w:t>
            </w:r>
            <w:r w:rsidRPr="003003C0">
              <w:rPr>
                <w:rFonts w:cs="Calibri"/>
                <w:color w:val="000000"/>
                <w:sz w:val="14"/>
                <w:szCs w:val="14"/>
              </w:rPr>
              <w:t>2</w:t>
            </w:r>
          </w:p>
        </w:tc>
        <w:tc>
          <w:tcPr>
            <w:tcW w:w="722" w:type="dxa"/>
            <w:noWrap/>
            <w:vAlign w:val="center"/>
            <w:hideMark/>
          </w:tcPr>
          <w:p w14:paraId="66811392" w14:textId="77777777" w:rsidR="004F64EF" w:rsidRPr="003003C0" w:rsidRDefault="004F64EF" w:rsidP="00FD6B66">
            <w:pPr>
              <w:jc w:val="right"/>
              <w:rPr>
                <w:rFonts w:cs="Calibri"/>
                <w:color w:val="000000"/>
                <w:sz w:val="14"/>
                <w:szCs w:val="14"/>
              </w:rPr>
            </w:pPr>
            <w:r w:rsidRPr="003003C0">
              <w:rPr>
                <w:rFonts w:cs="Calibri"/>
                <w:color w:val="000000"/>
                <w:sz w:val="14"/>
                <w:szCs w:val="14"/>
              </w:rPr>
              <w:t>8</w:t>
            </w:r>
            <w:r>
              <w:rPr>
                <w:rFonts w:cs="Calibri"/>
                <w:color w:val="000000"/>
                <w:sz w:val="14"/>
                <w:szCs w:val="14"/>
              </w:rPr>
              <w:t>.</w:t>
            </w:r>
            <w:r w:rsidRPr="003003C0">
              <w:rPr>
                <w:rFonts w:cs="Calibri"/>
                <w:color w:val="000000"/>
                <w:sz w:val="14"/>
                <w:szCs w:val="14"/>
              </w:rPr>
              <w:t>2</w:t>
            </w:r>
          </w:p>
        </w:tc>
        <w:tc>
          <w:tcPr>
            <w:tcW w:w="722" w:type="dxa"/>
            <w:noWrap/>
            <w:vAlign w:val="center"/>
            <w:hideMark/>
          </w:tcPr>
          <w:p w14:paraId="00D8B5AA" w14:textId="77777777" w:rsidR="004F64EF" w:rsidRPr="003003C0" w:rsidRDefault="004F64EF" w:rsidP="00FD6B66">
            <w:pPr>
              <w:jc w:val="right"/>
              <w:rPr>
                <w:rFonts w:cs="Calibri"/>
                <w:color w:val="000000"/>
                <w:sz w:val="14"/>
                <w:szCs w:val="14"/>
              </w:rPr>
            </w:pPr>
            <w:r w:rsidRPr="003003C0">
              <w:rPr>
                <w:rFonts w:cs="Calibri"/>
                <w:color w:val="000000"/>
                <w:sz w:val="14"/>
                <w:szCs w:val="14"/>
              </w:rPr>
              <w:t>9</w:t>
            </w:r>
            <w:r>
              <w:rPr>
                <w:rFonts w:cs="Calibri"/>
                <w:color w:val="000000"/>
                <w:sz w:val="14"/>
                <w:szCs w:val="14"/>
              </w:rPr>
              <w:t>.</w:t>
            </w:r>
            <w:r w:rsidRPr="003003C0">
              <w:rPr>
                <w:rFonts w:cs="Calibri"/>
                <w:color w:val="000000"/>
                <w:sz w:val="14"/>
                <w:szCs w:val="14"/>
              </w:rPr>
              <w:t>2</w:t>
            </w:r>
          </w:p>
        </w:tc>
        <w:tc>
          <w:tcPr>
            <w:tcW w:w="722" w:type="dxa"/>
            <w:noWrap/>
            <w:vAlign w:val="center"/>
            <w:hideMark/>
          </w:tcPr>
          <w:p w14:paraId="14BDE445" w14:textId="77777777" w:rsidR="004F64EF" w:rsidRPr="003003C0" w:rsidRDefault="004F64EF" w:rsidP="00FD6B66">
            <w:pPr>
              <w:jc w:val="right"/>
              <w:rPr>
                <w:rFonts w:cs="Calibri"/>
                <w:color w:val="000000"/>
                <w:sz w:val="14"/>
                <w:szCs w:val="14"/>
              </w:rPr>
            </w:pPr>
            <w:r w:rsidRPr="003003C0">
              <w:rPr>
                <w:rFonts w:cs="Calibri"/>
                <w:color w:val="000000"/>
                <w:sz w:val="14"/>
                <w:szCs w:val="14"/>
              </w:rPr>
              <w:t>7</w:t>
            </w:r>
            <w:r>
              <w:rPr>
                <w:rFonts w:cs="Calibri"/>
                <w:color w:val="000000"/>
                <w:sz w:val="14"/>
                <w:szCs w:val="14"/>
              </w:rPr>
              <w:t>.</w:t>
            </w:r>
            <w:r w:rsidRPr="003003C0">
              <w:rPr>
                <w:rFonts w:cs="Calibri"/>
                <w:color w:val="000000"/>
                <w:sz w:val="14"/>
                <w:szCs w:val="14"/>
              </w:rPr>
              <w:t>9</w:t>
            </w:r>
          </w:p>
        </w:tc>
      </w:tr>
      <w:tr w:rsidR="004F64EF" w:rsidRPr="003003C0" w14:paraId="4DF52B71" w14:textId="77777777" w:rsidTr="00FD6B66">
        <w:trPr>
          <w:trHeight w:val="20"/>
        </w:trPr>
        <w:tc>
          <w:tcPr>
            <w:tcW w:w="3964" w:type="dxa"/>
            <w:noWrap/>
            <w:vAlign w:val="center"/>
            <w:hideMark/>
          </w:tcPr>
          <w:p w14:paraId="7805EE06" w14:textId="77777777" w:rsidR="004F64EF" w:rsidRPr="003003C0" w:rsidRDefault="004F64EF" w:rsidP="00B22563">
            <w:pPr>
              <w:tabs>
                <w:tab w:val="left" w:pos="227"/>
              </w:tabs>
              <w:ind w:left="227" w:hanging="227"/>
              <w:jc w:val="left"/>
              <w:rPr>
                <w:rFonts w:cs="Calibri"/>
                <w:color w:val="000000"/>
                <w:sz w:val="14"/>
                <w:szCs w:val="14"/>
              </w:rPr>
            </w:pPr>
            <w:r w:rsidRPr="003003C0">
              <w:rPr>
                <w:rFonts w:cs="Calibri"/>
                <w:color w:val="000000"/>
                <w:sz w:val="14"/>
                <w:szCs w:val="14"/>
              </w:rPr>
              <w:tab/>
              <w:t xml:space="preserve">85. </w:t>
            </w:r>
            <w:r w:rsidRPr="00736C66">
              <w:rPr>
                <w:rFonts w:cs="Calibri"/>
                <w:color w:val="000000"/>
                <w:sz w:val="14"/>
                <w:szCs w:val="14"/>
              </w:rPr>
              <w:t>Electrical machinery and equipment; sound and image recorders and reproducers</w:t>
            </w:r>
          </w:p>
        </w:tc>
        <w:tc>
          <w:tcPr>
            <w:tcW w:w="721" w:type="dxa"/>
            <w:noWrap/>
            <w:vAlign w:val="center"/>
            <w:hideMark/>
          </w:tcPr>
          <w:p w14:paraId="168953EB" w14:textId="77777777" w:rsidR="004F64EF" w:rsidRPr="003003C0" w:rsidRDefault="004F64EF" w:rsidP="00FD6B66">
            <w:pPr>
              <w:jc w:val="right"/>
              <w:rPr>
                <w:rFonts w:cs="Calibri"/>
                <w:color w:val="000000"/>
                <w:sz w:val="14"/>
                <w:szCs w:val="14"/>
              </w:rPr>
            </w:pPr>
            <w:r w:rsidRPr="003003C0">
              <w:rPr>
                <w:rFonts w:cs="Calibri"/>
                <w:color w:val="000000"/>
                <w:sz w:val="14"/>
                <w:szCs w:val="14"/>
              </w:rPr>
              <w:t>8</w:t>
            </w:r>
            <w:r>
              <w:rPr>
                <w:rFonts w:cs="Calibri"/>
                <w:color w:val="000000"/>
                <w:sz w:val="14"/>
                <w:szCs w:val="14"/>
              </w:rPr>
              <w:t>.</w:t>
            </w:r>
            <w:r w:rsidRPr="003003C0">
              <w:rPr>
                <w:rFonts w:cs="Calibri"/>
                <w:color w:val="000000"/>
                <w:sz w:val="14"/>
                <w:szCs w:val="14"/>
              </w:rPr>
              <w:t>0</w:t>
            </w:r>
          </w:p>
        </w:tc>
        <w:tc>
          <w:tcPr>
            <w:tcW w:w="722" w:type="dxa"/>
            <w:noWrap/>
            <w:vAlign w:val="center"/>
            <w:hideMark/>
          </w:tcPr>
          <w:p w14:paraId="2D651C0A" w14:textId="77777777" w:rsidR="004F64EF" w:rsidRPr="003003C0" w:rsidRDefault="004F64EF" w:rsidP="00FD6B66">
            <w:pPr>
              <w:jc w:val="right"/>
              <w:rPr>
                <w:rFonts w:cs="Calibri"/>
                <w:color w:val="000000"/>
                <w:sz w:val="14"/>
                <w:szCs w:val="14"/>
              </w:rPr>
            </w:pPr>
            <w:r w:rsidRPr="003003C0">
              <w:rPr>
                <w:rFonts w:cs="Calibri"/>
                <w:color w:val="000000"/>
                <w:sz w:val="14"/>
                <w:szCs w:val="14"/>
              </w:rPr>
              <w:t>8</w:t>
            </w:r>
            <w:r>
              <w:rPr>
                <w:rFonts w:cs="Calibri"/>
                <w:color w:val="000000"/>
                <w:sz w:val="14"/>
                <w:szCs w:val="14"/>
              </w:rPr>
              <w:t>.</w:t>
            </w:r>
            <w:r w:rsidRPr="003003C0">
              <w:rPr>
                <w:rFonts w:cs="Calibri"/>
                <w:color w:val="000000"/>
                <w:sz w:val="14"/>
                <w:szCs w:val="14"/>
              </w:rPr>
              <w:t>4</w:t>
            </w:r>
          </w:p>
        </w:tc>
        <w:tc>
          <w:tcPr>
            <w:tcW w:w="722" w:type="dxa"/>
            <w:noWrap/>
            <w:vAlign w:val="center"/>
            <w:hideMark/>
          </w:tcPr>
          <w:p w14:paraId="1AF171EB" w14:textId="77777777" w:rsidR="004F64EF" w:rsidRPr="003003C0" w:rsidRDefault="004F64EF" w:rsidP="00FD6B66">
            <w:pPr>
              <w:jc w:val="right"/>
              <w:rPr>
                <w:rFonts w:cs="Calibri"/>
                <w:color w:val="000000"/>
                <w:sz w:val="14"/>
                <w:szCs w:val="14"/>
              </w:rPr>
            </w:pPr>
            <w:r w:rsidRPr="003003C0">
              <w:rPr>
                <w:rFonts w:cs="Calibri"/>
                <w:color w:val="000000"/>
                <w:sz w:val="14"/>
                <w:szCs w:val="14"/>
              </w:rPr>
              <w:t>8</w:t>
            </w:r>
            <w:r>
              <w:rPr>
                <w:rFonts w:cs="Calibri"/>
                <w:color w:val="000000"/>
                <w:sz w:val="14"/>
                <w:szCs w:val="14"/>
              </w:rPr>
              <w:t>.</w:t>
            </w:r>
            <w:r w:rsidRPr="003003C0">
              <w:rPr>
                <w:rFonts w:cs="Calibri"/>
                <w:color w:val="000000"/>
                <w:sz w:val="14"/>
                <w:szCs w:val="14"/>
              </w:rPr>
              <w:t>6</w:t>
            </w:r>
          </w:p>
        </w:tc>
        <w:tc>
          <w:tcPr>
            <w:tcW w:w="721" w:type="dxa"/>
            <w:noWrap/>
            <w:vAlign w:val="center"/>
            <w:hideMark/>
          </w:tcPr>
          <w:p w14:paraId="3BAC0662" w14:textId="77777777" w:rsidR="004F64EF" w:rsidRPr="003003C0" w:rsidRDefault="004F64EF" w:rsidP="00FD6B66">
            <w:pPr>
              <w:jc w:val="right"/>
              <w:rPr>
                <w:rFonts w:cs="Calibri"/>
                <w:color w:val="000000"/>
                <w:sz w:val="14"/>
                <w:szCs w:val="14"/>
              </w:rPr>
            </w:pPr>
            <w:r w:rsidRPr="003003C0">
              <w:rPr>
                <w:rFonts w:cs="Calibri"/>
                <w:color w:val="000000"/>
                <w:sz w:val="14"/>
                <w:szCs w:val="14"/>
              </w:rPr>
              <w:t>8</w:t>
            </w:r>
            <w:r>
              <w:rPr>
                <w:rFonts w:cs="Calibri"/>
                <w:color w:val="000000"/>
                <w:sz w:val="14"/>
                <w:szCs w:val="14"/>
              </w:rPr>
              <w:t>.</w:t>
            </w:r>
            <w:r w:rsidRPr="003003C0">
              <w:rPr>
                <w:rFonts w:cs="Calibri"/>
                <w:color w:val="000000"/>
                <w:sz w:val="14"/>
                <w:szCs w:val="14"/>
              </w:rPr>
              <w:t>5</w:t>
            </w:r>
          </w:p>
        </w:tc>
        <w:tc>
          <w:tcPr>
            <w:tcW w:w="722" w:type="dxa"/>
            <w:noWrap/>
            <w:vAlign w:val="center"/>
            <w:hideMark/>
          </w:tcPr>
          <w:p w14:paraId="517DB86A" w14:textId="77777777" w:rsidR="004F64EF" w:rsidRPr="003003C0" w:rsidRDefault="004F64EF" w:rsidP="00FD6B66">
            <w:pPr>
              <w:jc w:val="right"/>
              <w:rPr>
                <w:rFonts w:cs="Calibri"/>
                <w:color w:val="000000"/>
                <w:sz w:val="14"/>
                <w:szCs w:val="14"/>
              </w:rPr>
            </w:pPr>
            <w:r w:rsidRPr="003003C0">
              <w:rPr>
                <w:rFonts w:cs="Calibri"/>
                <w:color w:val="000000"/>
                <w:sz w:val="14"/>
                <w:szCs w:val="14"/>
              </w:rPr>
              <w:t>8</w:t>
            </w:r>
            <w:r>
              <w:rPr>
                <w:rFonts w:cs="Calibri"/>
                <w:color w:val="000000"/>
                <w:sz w:val="14"/>
                <w:szCs w:val="14"/>
              </w:rPr>
              <w:t>.</w:t>
            </w:r>
            <w:r w:rsidRPr="003003C0">
              <w:rPr>
                <w:rFonts w:cs="Calibri"/>
                <w:color w:val="000000"/>
                <w:sz w:val="14"/>
                <w:szCs w:val="14"/>
              </w:rPr>
              <w:t>4</w:t>
            </w:r>
          </w:p>
        </w:tc>
        <w:tc>
          <w:tcPr>
            <w:tcW w:w="722" w:type="dxa"/>
            <w:noWrap/>
            <w:vAlign w:val="center"/>
            <w:hideMark/>
          </w:tcPr>
          <w:p w14:paraId="5F189A0A" w14:textId="77777777" w:rsidR="004F64EF" w:rsidRPr="003003C0" w:rsidRDefault="004F64EF" w:rsidP="00FD6B66">
            <w:pPr>
              <w:jc w:val="right"/>
              <w:rPr>
                <w:rFonts w:cs="Calibri"/>
                <w:color w:val="000000"/>
                <w:sz w:val="14"/>
                <w:szCs w:val="14"/>
              </w:rPr>
            </w:pPr>
            <w:r w:rsidRPr="003003C0">
              <w:rPr>
                <w:rFonts w:cs="Calibri"/>
                <w:color w:val="000000"/>
                <w:sz w:val="14"/>
                <w:szCs w:val="14"/>
              </w:rPr>
              <w:t>8</w:t>
            </w:r>
            <w:r>
              <w:rPr>
                <w:rFonts w:cs="Calibri"/>
                <w:color w:val="000000"/>
                <w:sz w:val="14"/>
                <w:szCs w:val="14"/>
              </w:rPr>
              <w:t>.</w:t>
            </w:r>
            <w:r w:rsidRPr="003003C0">
              <w:rPr>
                <w:rFonts w:cs="Calibri"/>
                <w:color w:val="000000"/>
                <w:sz w:val="14"/>
                <w:szCs w:val="14"/>
              </w:rPr>
              <w:t>3</w:t>
            </w:r>
          </w:p>
        </w:tc>
        <w:tc>
          <w:tcPr>
            <w:tcW w:w="722" w:type="dxa"/>
            <w:noWrap/>
            <w:vAlign w:val="center"/>
            <w:hideMark/>
          </w:tcPr>
          <w:p w14:paraId="4DDA622D" w14:textId="77777777" w:rsidR="004F64EF" w:rsidRPr="003003C0" w:rsidRDefault="004F64EF" w:rsidP="00FD6B66">
            <w:pPr>
              <w:jc w:val="right"/>
              <w:rPr>
                <w:rFonts w:cs="Calibri"/>
                <w:color w:val="000000"/>
                <w:sz w:val="14"/>
                <w:szCs w:val="14"/>
              </w:rPr>
            </w:pPr>
            <w:r w:rsidRPr="003003C0">
              <w:rPr>
                <w:rFonts w:cs="Calibri"/>
                <w:color w:val="000000"/>
                <w:sz w:val="14"/>
                <w:szCs w:val="14"/>
              </w:rPr>
              <w:t>6</w:t>
            </w:r>
            <w:r>
              <w:rPr>
                <w:rFonts w:cs="Calibri"/>
                <w:color w:val="000000"/>
                <w:sz w:val="14"/>
                <w:szCs w:val="14"/>
              </w:rPr>
              <w:t>.</w:t>
            </w:r>
            <w:r w:rsidRPr="003003C0">
              <w:rPr>
                <w:rFonts w:cs="Calibri"/>
                <w:color w:val="000000"/>
                <w:sz w:val="14"/>
                <w:szCs w:val="14"/>
              </w:rPr>
              <w:t>7</w:t>
            </w:r>
          </w:p>
        </w:tc>
      </w:tr>
      <w:tr w:rsidR="004F64EF" w:rsidRPr="003003C0" w14:paraId="23B4DD38" w14:textId="77777777" w:rsidTr="00FD6B66">
        <w:trPr>
          <w:cnfStyle w:val="000000010000" w:firstRow="0" w:lastRow="0" w:firstColumn="0" w:lastColumn="0" w:oddVBand="0" w:evenVBand="0" w:oddHBand="0" w:evenHBand="1" w:firstRowFirstColumn="0" w:firstRowLastColumn="0" w:lastRowFirstColumn="0" w:lastRowLastColumn="0"/>
          <w:trHeight w:val="20"/>
        </w:trPr>
        <w:tc>
          <w:tcPr>
            <w:tcW w:w="3964" w:type="dxa"/>
            <w:noWrap/>
            <w:vAlign w:val="center"/>
            <w:hideMark/>
          </w:tcPr>
          <w:p w14:paraId="519078BF" w14:textId="77777777" w:rsidR="004F64EF" w:rsidRPr="003003C0" w:rsidRDefault="004F64EF" w:rsidP="00F0233E">
            <w:pPr>
              <w:jc w:val="left"/>
              <w:rPr>
                <w:rFonts w:cs="Calibri"/>
                <w:color w:val="000000"/>
                <w:sz w:val="14"/>
                <w:szCs w:val="14"/>
              </w:rPr>
            </w:pPr>
            <w:r w:rsidRPr="003003C0">
              <w:rPr>
                <w:rFonts w:cs="Calibri"/>
                <w:color w:val="000000"/>
                <w:sz w:val="14"/>
                <w:szCs w:val="14"/>
              </w:rPr>
              <w:t xml:space="preserve">17 - </w:t>
            </w:r>
            <w:r>
              <w:rPr>
                <w:rFonts w:cs="Calibri"/>
                <w:color w:val="000000"/>
                <w:sz w:val="14"/>
                <w:szCs w:val="14"/>
              </w:rPr>
              <w:t>V</w:t>
            </w:r>
            <w:r w:rsidRPr="00736C66">
              <w:rPr>
                <w:rFonts w:cs="Calibri"/>
                <w:color w:val="000000"/>
                <w:sz w:val="14"/>
                <w:szCs w:val="14"/>
              </w:rPr>
              <w:t>ehicles, aircraft, vessels and associated</w:t>
            </w:r>
            <w:r>
              <w:rPr>
                <w:rFonts w:cs="Calibri"/>
                <w:color w:val="000000"/>
                <w:sz w:val="14"/>
                <w:szCs w:val="14"/>
              </w:rPr>
              <w:t xml:space="preserve"> </w:t>
            </w:r>
            <w:r w:rsidRPr="00736C66">
              <w:rPr>
                <w:rFonts w:cs="Calibri"/>
                <w:color w:val="000000"/>
                <w:sz w:val="14"/>
                <w:szCs w:val="14"/>
              </w:rPr>
              <w:t>transport equipment</w:t>
            </w:r>
          </w:p>
        </w:tc>
        <w:tc>
          <w:tcPr>
            <w:tcW w:w="721" w:type="dxa"/>
            <w:noWrap/>
            <w:vAlign w:val="center"/>
            <w:hideMark/>
          </w:tcPr>
          <w:p w14:paraId="2E752A67" w14:textId="77777777" w:rsidR="004F64EF" w:rsidRPr="003003C0" w:rsidRDefault="004F64EF" w:rsidP="00FD6B66">
            <w:pPr>
              <w:jc w:val="right"/>
              <w:rPr>
                <w:rFonts w:cs="Calibri"/>
                <w:color w:val="000000"/>
                <w:sz w:val="14"/>
                <w:szCs w:val="14"/>
              </w:rPr>
            </w:pPr>
            <w:r w:rsidRPr="003003C0">
              <w:rPr>
                <w:rFonts w:cs="Calibri"/>
                <w:color w:val="000000"/>
                <w:sz w:val="14"/>
                <w:szCs w:val="14"/>
              </w:rPr>
              <w:t>7</w:t>
            </w:r>
            <w:r>
              <w:rPr>
                <w:rFonts w:cs="Calibri"/>
                <w:color w:val="000000"/>
                <w:sz w:val="14"/>
                <w:szCs w:val="14"/>
              </w:rPr>
              <w:t>.</w:t>
            </w:r>
            <w:r w:rsidRPr="003003C0">
              <w:rPr>
                <w:rFonts w:cs="Calibri"/>
                <w:color w:val="000000"/>
                <w:sz w:val="14"/>
                <w:szCs w:val="14"/>
              </w:rPr>
              <w:t>0</w:t>
            </w:r>
          </w:p>
        </w:tc>
        <w:tc>
          <w:tcPr>
            <w:tcW w:w="722" w:type="dxa"/>
            <w:noWrap/>
            <w:vAlign w:val="center"/>
            <w:hideMark/>
          </w:tcPr>
          <w:p w14:paraId="5FE88449" w14:textId="77777777" w:rsidR="004F64EF" w:rsidRPr="003003C0" w:rsidRDefault="004F64EF" w:rsidP="00FD6B66">
            <w:pPr>
              <w:jc w:val="right"/>
              <w:rPr>
                <w:rFonts w:cs="Calibri"/>
                <w:color w:val="000000"/>
                <w:sz w:val="14"/>
                <w:szCs w:val="14"/>
              </w:rPr>
            </w:pPr>
            <w:r w:rsidRPr="003003C0">
              <w:rPr>
                <w:rFonts w:cs="Calibri"/>
                <w:color w:val="000000"/>
                <w:sz w:val="14"/>
                <w:szCs w:val="14"/>
              </w:rPr>
              <w:t>8</w:t>
            </w:r>
            <w:r>
              <w:rPr>
                <w:rFonts w:cs="Calibri"/>
                <w:color w:val="000000"/>
                <w:sz w:val="14"/>
                <w:szCs w:val="14"/>
              </w:rPr>
              <w:t>.</w:t>
            </w:r>
            <w:r w:rsidRPr="003003C0">
              <w:rPr>
                <w:rFonts w:cs="Calibri"/>
                <w:color w:val="000000"/>
                <w:sz w:val="14"/>
                <w:szCs w:val="14"/>
              </w:rPr>
              <w:t>2</w:t>
            </w:r>
          </w:p>
        </w:tc>
        <w:tc>
          <w:tcPr>
            <w:tcW w:w="722" w:type="dxa"/>
            <w:noWrap/>
            <w:vAlign w:val="center"/>
            <w:hideMark/>
          </w:tcPr>
          <w:p w14:paraId="7627E0AC" w14:textId="77777777" w:rsidR="004F64EF" w:rsidRPr="003003C0" w:rsidRDefault="004F64EF" w:rsidP="00FD6B66">
            <w:pPr>
              <w:jc w:val="right"/>
              <w:rPr>
                <w:rFonts w:cs="Calibri"/>
                <w:color w:val="000000"/>
                <w:sz w:val="14"/>
                <w:szCs w:val="14"/>
              </w:rPr>
            </w:pPr>
            <w:r w:rsidRPr="003003C0">
              <w:rPr>
                <w:rFonts w:cs="Calibri"/>
                <w:color w:val="000000"/>
                <w:sz w:val="14"/>
                <w:szCs w:val="14"/>
              </w:rPr>
              <w:t>7</w:t>
            </w:r>
            <w:r>
              <w:rPr>
                <w:rFonts w:cs="Calibri"/>
                <w:color w:val="000000"/>
                <w:sz w:val="14"/>
                <w:szCs w:val="14"/>
              </w:rPr>
              <w:t>.</w:t>
            </w:r>
            <w:r w:rsidRPr="003003C0">
              <w:rPr>
                <w:rFonts w:cs="Calibri"/>
                <w:color w:val="000000"/>
                <w:sz w:val="14"/>
                <w:szCs w:val="14"/>
              </w:rPr>
              <w:t>2</w:t>
            </w:r>
          </w:p>
        </w:tc>
        <w:tc>
          <w:tcPr>
            <w:tcW w:w="721" w:type="dxa"/>
            <w:noWrap/>
            <w:vAlign w:val="center"/>
            <w:hideMark/>
          </w:tcPr>
          <w:p w14:paraId="72E325DC" w14:textId="77777777" w:rsidR="004F64EF" w:rsidRPr="003003C0" w:rsidRDefault="004F64EF" w:rsidP="00FD6B66">
            <w:pPr>
              <w:jc w:val="right"/>
              <w:rPr>
                <w:rFonts w:cs="Calibri"/>
                <w:color w:val="000000"/>
                <w:sz w:val="14"/>
                <w:szCs w:val="14"/>
              </w:rPr>
            </w:pPr>
            <w:r w:rsidRPr="003003C0">
              <w:rPr>
                <w:rFonts w:cs="Calibri"/>
                <w:color w:val="000000"/>
                <w:sz w:val="14"/>
                <w:szCs w:val="14"/>
              </w:rPr>
              <w:t>7</w:t>
            </w:r>
            <w:r>
              <w:rPr>
                <w:rFonts w:cs="Calibri"/>
                <w:color w:val="000000"/>
                <w:sz w:val="14"/>
                <w:szCs w:val="14"/>
              </w:rPr>
              <w:t>.</w:t>
            </w:r>
            <w:r w:rsidRPr="003003C0">
              <w:rPr>
                <w:rFonts w:cs="Calibri"/>
                <w:color w:val="000000"/>
                <w:sz w:val="14"/>
                <w:szCs w:val="14"/>
              </w:rPr>
              <w:t>0</w:t>
            </w:r>
          </w:p>
        </w:tc>
        <w:tc>
          <w:tcPr>
            <w:tcW w:w="722" w:type="dxa"/>
            <w:noWrap/>
            <w:vAlign w:val="center"/>
            <w:hideMark/>
          </w:tcPr>
          <w:p w14:paraId="0F306109" w14:textId="77777777" w:rsidR="004F64EF" w:rsidRPr="003003C0" w:rsidRDefault="004F64EF" w:rsidP="00FD6B66">
            <w:pPr>
              <w:jc w:val="right"/>
              <w:rPr>
                <w:rFonts w:cs="Calibri"/>
                <w:color w:val="000000"/>
                <w:sz w:val="14"/>
                <w:szCs w:val="14"/>
              </w:rPr>
            </w:pPr>
            <w:r w:rsidRPr="003003C0">
              <w:rPr>
                <w:rFonts w:cs="Calibri"/>
                <w:color w:val="000000"/>
                <w:sz w:val="14"/>
                <w:szCs w:val="14"/>
              </w:rPr>
              <w:t>7</w:t>
            </w:r>
            <w:r>
              <w:rPr>
                <w:rFonts w:cs="Calibri"/>
                <w:color w:val="000000"/>
                <w:sz w:val="14"/>
                <w:szCs w:val="14"/>
              </w:rPr>
              <w:t>.</w:t>
            </w:r>
            <w:r w:rsidRPr="003003C0">
              <w:rPr>
                <w:rFonts w:cs="Calibri"/>
                <w:color w:val="000000"/>
                <w:sz w:val="14"/>
                <w:szCs w:val="14"/>
              </w:rPr>
              <w:t>6</w:t>
            </w:r>
          </w:p>
        </w:tc>
        <w:tc>
          <w:tcPr>
            <w:tcW w:w="722" w:type="dxa"/>
            <w:noWrap/>
            <w:vAlign w:val="center"/>
            <w:hideMark/>
          </w:tcPr>
          <w:p w14:paraId="4E075057" w14:textId="77777777" w:rsidR="004F64EF" w:rsidRPr="003003C0" w:rsidRDefault="004F64EF" w:rsidP="00FD6B66">
            <w:pPr>
              <w:jc w:val="right"/>
              <w:rPr>
                <w:rFonts w:cs="Calibri"/>
                <w:color w:val="000000"/>
                <w:sz w:val="14"/>
                <w:szCs w:val="14"/>
              </w:rPr>
            </w:pPr>
            <w:r w:rsidRPr="003003C0">
              <w:rPr>
                <w:rFonts w:cs="Calibri"/>
                <w:color w:val="000000"/>
                <w:sz w:val="14"/>
                <w:szCs w:val="14"/>
              </w:rPr>
              <w:t>7</w:t>
            </w:r>
            <w:r>
              <w:rPr>
                <w:rFonts w:cs="Calibri"/>
                <w:color w:val="000000"/>
                <w:sz w:val="14"/>
                <w:szCs w:val="14"/>
              </w:rPr>
              <w:t>.</w:t>
            </w:r>
            <w:r w:rsidRPr="003003C0">
              <w:rPr>
                <w:rFonts w:cs="Calibri"/>
                <w:color w:val="000000"/>
                <w:sz w:val="14"/>
                <w:szCs w:val="14"/>
              </w:rPr>
              <w:t>1</w:t>
            </w:r>
          </w:p>
        </w:tc>
        <w:tc>
          <w:tcPr>
            <w:tcW w:w="722" w:type="dxa"/>
            <w:noWrap/>
            <w:vAlign w:val="center"/>
            <w:hideMark/>
          </w:tcPr>
          <w:p w14:paraId="09A1EAAE" w14:textId="77777777" w:rsidR="004F64EF" w:rsidRPr="003003C0" w:rsidRDefault="004F64EF" w:rsidP="00FD6B66">
            <w:pPr>
              <w:jc w:val="right"/>
              <w:rPr>
                <w:rFonts w:cs="Calibri"/>
                <w:color w:val="000000"/>
                <w:sz w:val="14"/>
                <w:szCs w:val="14"/>
              </w:rPr>
            </w:pPr>
            <w:r w:rsidRPr="003003C0">
              <w:rPr>
                <w:rFonts w:cs="Calibri"/>
                <w:color w:val="000000"/>
                <w:sz w:val="14"/>
                <w:szCs w:val="14"/>
              </w:rPr>
              <w:t>7</w:t>
            </w:r>
            <w:r>
              <w:rPr>
                <w:rFonts w:cs="Calibri"/>
                <w:color w:val="000000"/>
                <w:sz w:val="14"/>
                <w:szCs w:val="14"/>
              </w:rPr>
              <w:t>.</w:t>
            </w:r>
            <w:r w:rsidRPr="003003C0">
              <w:rPr>
                <w:rFonts w:cs="Calibri"/>
                <w:color w:val="000000"/>
                <w:sz w:val="14"/>
                <w:szCs w:val="14"/>
              </w:rPr>
              <w:t>1</w:t>
            </w:r>
          </w:p>
        </w:tc>
      </w:tr>
      <w:tr w:rsidR="004F64EF" w:rsidRPr="003003C0" w14:paraId="31B41BC5" w14:textId="77777777" w:rsidTr="00FD6B66">
        <w:trPr>
          <w:trHeight w:val="20"/>
        </w:trPr>
        <w:tc>
          <w:tcPr>
            <w:tcW w:w="3964" w:type="dxa"/>
            <w:noWrap/>
            <w:vAlign w:val="center"/>
            <w:hideMark/>
          </w:tcPr>
          <w:p w14:paraId="6C97762C" w14:textId="77777777" w:rsidR="004F64EF" w:rsidRPr="003003C0" w:rsidRDefault="004F64EF" w:rsidP="00B22563">
            <w:pPr>
              <w:tabs>
                <w:tab w:val="left" w:pos="227"/>
              </w:tabs>
              <w:ind w:left="227" w:hanging="227"/>
              <w:jc w:val="left"/>
              <w:rPr>
                <w:rFonts w:cs="Calibri"/>
                <w:color w:val="000000"/>
                <w:sz w:val="14"/>
                <w:szCs w:val="14"/>
              </w:rPr>
            </w:pPr>
            <w:r w:rsidRPr="003003C0">
              <w:rPr>
                <w:rFonts w:cs="Calibri"/>
                <w:color w:val="000000"/>
                <w:sz w:val="14"/>
                <w:szCs w:val="14"/>
              </w:rPr>
              <w:tab/>
              <w:t xml:space="preserve">87. </w:t>
            </w:r>
            <w:r w:rsidRPr="00736C66">
              <w:rPr>
                <w:rFonts w:cs="Calibri"/>
                <w:color w:val="000000"/>
                <w:sz w:val="14"/>
                <w:szCs w:val="14"/>
              </w:rPr>
              <w:t>Vehicles other than railway or tramway rolling-stock, and parts and accessories thereof</w:t>
            </w:r>
          </w:p>
        </w:tc>
        <w:tc>
          <w:tcPr>
            <w:tcW w:w="721" w:type="dxa"/>
            <w:noWrap/>
            <w:vAlign w:val="center"/>
            <w:hideMark/>
          </w:tcPr>
          <w:p w14:paraId="099D651B" w14:textId="77777777" w:rsidR="004F64EF" w:rsidRPr="003003C0" w:rsidRDefault="004F64EF" w:rsidP="00FD6B66">
            <w:pPr>
              <w:jc w:val="right"/>
              <w:rPr>
                <w:rFonts w:cs="Calibri"/>
                <w:color w:val="000000"/>
                <w:sz w:val="14"/>
                <w:szCs w:val="14"/>
              </w:rPr>
            </w:pPr>
            <w:r w:rsidRPr="003003C0">
              <w:rPr>
                <w:rFonts w:cs="Calibri"/>
                <w:color w:val="000000"/>
                <w:sz w:val="14"/>
                <w:szCs w:val="14"/>
              </w:rPr>
              <w:t>6</w:t>
            </w:r>
            <w:r>
              <w:rPr>
                <w:rFonts w:cs="Calibri"/>
                <w:color w:val="000000"/>
                <w:sz w:val="14"/>
                <w:szCs w:val="14"/>
              </w:rPr>
              <w:t>.</w:t>
            </w:r>
            <w:r w:rsidRPr="003003C0">
              <w:rPr>
                <w:rFonts w:cs="Calibri"/>
                <w:color w:val="000000"/>
                <w:sz w:val="14"/>
                <w:szCs w:val="14"/>
              </w:rPr>
              <w:t>9</w:t>
            </w:r>
          </w:p>
        </w:tc>
        <w:tc>
          <w:tcPr>
            <w:tcW w:w="722" w:type="dxa"/>
            <w:noWrap/>
            <w:vAlign w:val="center"/>
            <w:hideMark/>
          </w:tcPr>
          <w:p w14:paraId="763C7EAB" w14:textId="77777777" w:rsidR="004F64EF" w:rsidRPr="003003C0" w:rsidRDefault="004F64EF" w:rsidP="00FD6B66">
            <w:pPr>
              <w:jc w:val="right"/>
              <w:rPr>
                <w:rFonts w:cs="Calibri"/>
                <w:color w:val="000000"/>
                <w:sz w:val="14"/>
                <w:szCs w:val="14"/>
              </w:rPr>
            </w:pPr>
            <w:r w:rsidRPr="003003C0">
              <w:rPr>
                <w:rFonts w:cs="Calibri"/>
                <w:color w:val="000000"/>
                <w:sz w:val="14"/>
                <w:szCs w:val="14"/>
              </w:rPr>
              <w:t>7</w:t>
            </w:r>
            <w:r>
              <w:rPr>
                <w:rFonts w:cs="Calibri"/>
                <w:color w:val="000000"/>
                <w:sz w:val="14"/>
                <w:szCs w:val="14"/>
              </w:rPr>
              <w:t>.</w:t>
            </w:r>
            <w:r w:rsidRPr="003003C0">
              <w:rPr>
                <w:rFonts w:cs="Calibri"/>
                <w:color w:val="000000"/>
                <w:sz w:val="14"/>
                <w:szCs w:val="14"/>
              </w:rPr>
              <w:t>9</w:t>
            </w:r>
          </w:p>
        </w:tc>
        <w:tc>
          <w:tcPr>
            <w:tcW w:w="722" w:type="dxa"/>
            <w:noWrap/>
            <w:vAlign w:val="center"/>
            <w:hideMark/>
          </w:tcPr>
          <w:p w14:paraId="09D4595D" w14:textId="77777777" w:rsidR="004F64EF" w:rsidRPr="003003C0" w:rsidRDefault="004F64EF" w:rsidP="00FD6B66">
            <w:pPr>
              <w:jc w:val="right"/>
              <w:rPr>
                <w:rFonts w:cs="Calibri"/>
                <w:color w:val="000000"/>
                <w:sz w:val="14"/>
                <w:szCs w:val="14"/>
              </w:rPr>
            </w:pPr>
            <w:r w:rsidRPr="003003C0">
              <w:rPr>
                <w:rFonts w:cs="Calibri"/>
                <w:color w:val="000000"/>
                <w:sz w:val="14"/>
                <w:szCs w:val="14"/>
              </w:rPr>
              <w:t>7</w:t>
            </w:r>
            <w:r>
              <w:rPr>
                <w:rFonts w:cs="Calibri"/>
                <w:color w:val="000000"/>
                <w:sz w:val="14"/>
                <w:szCs w:val="14"/>
              </w:rPr>
              <w:t>.</w:t>
            </w:r>
            <w:r w:rsidRPr="003003C0">
              <w:rPr>
                <w:rFonts w:cs="Calibri"/>
                <w:color w:val="000000"/>
                <w:sz w:val="14"/>
                <w:szCs w:val="14"/>
              </w:rPr>
              <w:t>2</w:t>
            </w:r>
          </w:p>
        </w:tc>
        <w:tc>
          <w:tcPr>
            <w:tcW w:w="721" w:type="dxa"/>
            <w:noWrap/>
            <w:vAlign w:val="center"/>
            <w:hideMark/>
          </w:tcPr>
          <w:p w14:paraId="32750659" w14:textId="77777777" w:rsidR="004F64EF" w:rsidRPr="003003C0" w:rsidRDefault="004F64EF" w:rsidP="00FD6B66">
            <w:pPr>
              <w:jc w:val="right"/>
              <w:rPr>
                <w:rFonts w:cs="Calibri"/>
                <w:color w:val="000000"/>
                <w:sz w:val="14"/>
                <w:szCs w:val="14"/>
              </w:rPr>
            </w:pPr>
            <w:r w:rsidRPr="003003C0">
              <w:rPr>
                <w:rFonts w:cs="Calibri"/>
                <w:color w:val="000000"/>
                <w:sz w:val="14"/>
                <w:szCs w:val="14"/>
              </w:rPr>
              <w:t>6</w:t>
            </w:r>
            <w:r>
              <w:rPr>
                <w:rFonts w:cs="Calibri"/>
                <w:color w:val="000000"/>
                <w:sz w:val="14"/>
                <w:szCs w:val="14"/>
              </w:rPr>
              <w:t>.</w:t>
            </w:r>
            <w:r w:rsidRPr="003003C0">
              <w:rPr>
                <w:rFonts w:cs="Calibri"/>
                <w:color w:val="000000"/>
                <w:sz w:val="14"/>
                <w:szCs w:val="14"/>
              </w:rPr>
              <w:t>8</w:t>
            </w:r>
          </w:p>
        </w:tc>
        <w:tc>
          <w:tcPr>
            <w:tcW w:w="722" w:type="dxa"/>
            <w:noWrap/>
            <w:vAlign w:val="center"/>
            <w:hideMark/>
          </w:tcPr>
          <w:p w14:paraId="4E815BB3" w14:textId="77777777" w:rsidR="004F64EF" w:rsidRPr="003003C0" w:rsidRDefault="004F64EF" w:rsidP="00FD6B66">
            <w:pPr>
              <w:jc w:val="right"/>
              <w:rPr>
                <w:rFonts w:cs="Calibri"/>
                <w:color w:val="000000"/>
                <w:sz w:val="14"/>
                <w:szCs w:val="14"/>
              </w:rPr>
            </w:pPr>
            <w:r w:rsidRPr="003003C0">
              <w:rPr>
                <w:rFonts w:cs="Calibri"/>
                <w:color w:val="000000"/>
                <w:sz w:val="14"/>
                <w:szCs w:val="14"/>
              </w:rPr>
              <w:t>7</w:t>
            </w:r>
            <w:r>
              <w:rPr>
                <w:rFonts w:cs="Calibri"/>
                <w:color w:val="000000"/>
                <w:sz w:val="14"/>
                <w:szCs w:val="14"/>
              </w:rPr>
              <w:t>.</w:t>
            </w:r>
            <w:r w:rsidRPr="003003C0">
              <w:rPr>
                <w:rFonts w:cs="Calibri"/>
                <w:color w:val="000000"/>
                <w:sz w:val="14"/>
                <w:szCs w:val="14"/>
              </w:rPr>
              <w:t>5</w:t>
            </w:r>
          </w:p>
        </w:tc>
        <w:tc>
          <w:tcPr>
            <w:tcW w:w="722" w:type="dxa"/>
            <w:noWrap/>
            <w:vAlign w:val="center"/>
            <w:hideMark/>
          </w:tcPr>
          <w:p w14:paraId="53A7B3EC" w14:textId="77777777" w:rsidR="004F64EF" w:rsidRPr="003003C0" w:rsidRDefault="004F64EF" w:rsidP="00FD6B66">
            <w:pPr>
              <w:jc w:val="right"/>
              <w:rPr>
                <w:rFonts w:cs="Calibri"/>
                <w:color w:val="000000"/>
                <w:sz w:val="14"/>
                <w:szCs w:val="14"/>
              </w:rPr>
            </w:pPr>
            <w:r w:rsidRPr="003003C0">
              <w:rPr>
                <w:rFonts w:cs="Calibri"/>
                <w:color w:val="000000"/>
                <w:sz w:val="14"/>
                <w:szCs w:val="14"/>
              </w:rPr>
              <w:t>6</w:t>
            </w:r>
            <w:r>
              <w:rPr>
                <w:rFonts w:cs="Calibri"/>
                <w:color w:val="000000"/>
                <w:sz w:val="14"/>
                <w:szCs w:val="14"/>
              </w:rPr>
              <w:t>.</w:t>
            </w:r>
            <w:r w:rsidRPr="003003C0">
              <w:rPr>
                <w:rFonts w:cs="Calibri"/>
                <w:color w:val="000000"/>
                <w:sz w:val="14"/>
                <w:szCs w:val="14"/>
              </w:rPr>
              <w:t>8</w:t>
            </w:r>
          </w:p>
        </w:tc>
        <w:tc>
          <w:tcPr>
            <w:tcW w:w="722" w:type="dxa"/>
            <w:noWrap/>
            <w:vAlign w:val="center"/>
            <w:hideMark/>
          </w:tcPr>
          <w:p w14:paraId="63AE5307" w14:textId="77777777" w:rsidR="004F64EF" w:rsidRPr="003003C0" w:rsidRDefault="004F64EF" w:rsidP="00FD6B66">
            <w:pPr>
              <w:jc w:val="right"/>
              <w:rPr>
                <w:rFonts w:cs="Calibri"/>
                <w:color w:val="000000"/>
                <w:sz w:val="14"/>
                <w:szCs w:val="14"/>
              </w:rPr>
            </w:pPr>
            <w:r w:rsidRPr="003003C0">
              <w:rPr>
                <w:rFonts w:cs="Calibri"/>
                <w:color w:val="000000"/>
                <w:sz w:val="14"/>
                <w:szCs w:val="14"/>
              </w:rPr>
              <w:t>7</w:t>
            </w:r>
            <w:r>
              <w:rPr>
                <w:rFonts w:cs="Calibri"/>
                <w:color w:val="000000"/>
                <w:sz w:val="14"/>
                <w:szCs w:val="14"/>
              </w:rPr>
              <w:t>.</w:t>
            </w:r>
            <w:r w:rsidRPr="003003C0">
              <w:rPr>
                <w:rFonts w:cs="Calibri"/>
                <w:color w:val="000000"/>
                <w:sz w:val="14"/>
                <w:szCs w:val="14"/>
              </w:rPr>
              <w:t>1</w:t>
            </w:r>
          </w:p>
        </w:tc>
      </w:tr>
      <w:tr w:rsidR="004F64EF" w:rsidRPr="003003C0" w14:paraId="2E8A68CF" w14:textId="77777777" w:rsidTr="00FD6B66">
        <w:trPr>
          <w:cnfStyle w:val="000000010000" w:firstRow="0" w:lastRow="0" w:firstColumn="0" w:lastColumn="0" w:oddVBand="0" w:evenVBand="0" w:oddHBand="0" w:evenHBand="1" w:firstRowFirstColumn="0" w:firstRowLastColumn="0" w:lastRowFirstColumn="0" w:lastRowLastColumn="0"/>
          <w:trHeight w:val="20"/>
        </w:trPr>
        <w:tc>
          <w:tcPr>
            <w:tcW w:w="3964" w:type="dxa"/>
            <w:noWrap/>
            <w:vAlign w:val="center"/>
            <w:hideMark/>
          </w:tcPr>
          <w:p w14:paraId="659A2171" w14:textId="77777777" w:rsidR="004F64EF" w:rsidRPr="003003C0" w:rsidRDefault="004F64EF" w:rsidP="00FD6B66">
            <w:pPr>
              <w:jc w:val="left"/>
              <w:rPr>
                <w:rFonts w:cs="Calibri"/>
                <w:color w:val="000000"/>
                <w:sz w:val="14"/>
                <w:szCs w:val="14"/>
              </w:rPr>
            </w:pPr>
            <w:r w:rsidRPr="003003C0">
              <w:rPr>
                <w:rFonts w:cs="Calibri"/>
                <w:color w:val="000000"/>
                <w:sz w:val="14"/>
                <w:szCs w:val="14"/>
              </w:rPr>
              <w:t xml:space="preserve">18 - </w:t>
            </w:r>
            <w:r w:rsidRPr="00736C66">
              <w:rPr>
                <w:rFonts w:cs="Calibri"/>
                <w:color w:val="000000"/>
                <w:sz w:val="14"/>
                <w:szCs w:val="14"/>
              </w:rPr>
              <w:t>Optical, photographic, cinematographic, measuring, checking or precision instruments and apparatus</w:t>
            </w:r>
          </w:p>
        </w:tc>
        <w:tc>
          <w:tcPr>
            <w:tcW w:w="721" w:type="dxa"/>
            <w:noWrap/>
            <w:vAlign w:val="center"/>
            <w:hideMark/>
          </w:tcPr>
          <w:p w14:paraId="6501D3D3" w14:textId="77777777" w:rsidR="004F64EF" w:rsidRPr="003003C0" w:rsidRDefault="004F64EF" w:rsidP="00FD6B66">
            <w:pPr>
              <w:jc w:val="right"/>
              <w:rPr>
                <w:rFonts w:cs="Calibri"/>
                <w:color w:val="000000"/>
                <w:sz w:val="14"/>
                <w:szCs w:val="14"/>
              </w:rPr>
            </w:pPr>
            <w:r w:rsidRPr="003003C0">
              <w:rPr>
                <w:rFonts w:cs="Calibri"/>
                <w:color w:val="000000"/>
                <w:sz w:val="14"/>
                <w:szCs w:val="14"/>
              </w:rPr>
              <w:t>1</w:t>
            </w:r>
            <w:r>
              <w:rPr>
                <w:rFonts w:cs="Calibri"/>
                <w:color w:val="000000"/>
                <w:sz w:val="14"/>
                <w:szCs w:val="14"/>
              </w:rPr>
              <w:t>.</w:t>
            </w:r>
            <w:r w:rsidRPr="003003C0">
              <w:rPr>
                <w:rFonts w:cs="Calibri"/>
                <w:color w:val="000000"/>
                <w:sz w:val="14"/>
                <w:szCs w:val="14"/>
              </w:rPr>
              <w:t>8</w:t>
            </w:r>
          </w:p>
        </w:tc>
        <w:tc>
          <w:tcPr>
            <w:tcW w:w="722" w:type="dxa"/>
            <w:noWrap/>
            <w:vAlign w:val="center"/>
            <w:hideMark/>
          </w:tcPr>
          <w:p w14:paraId="12283573" w14:textId="77777777" w:rsidR="004F64EF" w:rsidRPr="003003C0" w:rsidRDefault="004F64EF" w:rsidP="00FD6B66">
            <w:pPr>
              <w:jc w:val="right"/>
              <w:rPr>
                <w:rFonts w:cs="Calibri"/>
                <w:color w:val="000000"/>
                <w:sz w:val="14"/>
                <w:szCs w:val="14"/>
              </w:rPr>
            </w:pPr>
            <w:r w:rsidRPr="003003C0">
              <w:rPr>
                <w:rFonts w:cs="Calibri"/>
                <w:color w:val="000000"/>
                <w:sz w:val="14"/>
                <w:szCs w:val="14"/>
              </w:rPr>
              <w:t>1</w:t>
            </w:r>
            <w:r>
              <w:rPr>
                <w:rFonts w:cs="Calibri"/>
                <w:color w:val="000000"/>
                <w:sz w:val="14"/>
                <w:szCs w:val="14"/>
              </w:rPr>
              <w:t>.</w:t>
            </w:r>
            <w:r w:rsidRPr="003003C0">
              <w:rPr>
                <w:rFonts w:cs="Calibri"/>
                <w:color w:val="000000"/>
                <w:sz w:val="14"/>
                <w:szCs w:val="14"/>
              </w:rPr>
              <w:t>9</w:t>
            </w:r>
          </w:p>
        </w:tc>
        <w:tc>
          <w:tcPr>
            <w:tcW w:w="722" w:type="dxa"/>
            <w:noWrap/>
            <w:vAlign w:val="center"/>
            <w:hideMark/>
          </w:tcPr>
          <w:p w14:paraId="2B97308E" w14:textId="77777777" w:rsidR="004F64EF" w:rsidRPr="003003C0" w:rsidRDefault="004F64EF" w:rsidP="00FD6B66">
            <w:pPr>
              <w:jc w:val="right"/>
              <w:rPr>
                <w:rFonts w:cs="Calibri"/>
                <w:color w:val="000000"/>
                <w:sz w:val="14"/>
                <w:szCs w:val="14"/>
              </w:rPr>
            </w:pPr>
            <w:r w:rsidRPr="003003C0">
              <w:rPr>
                <w:rFonts w:cs="Calibri"/>
                <w:color w:val="000000"/>
                <w:sz w:val="14"/>
                <w:szCs w:val="14"/>
              </w:rPr>
              <w:t>1</w:t>
            </w:r>
            <w:r>
              <w:rPr>
                <w:rFonts w:cs="Calibri"/>
                <w:color w:val="000000"/>
                <w:sz w:val="14"/>
                <w:szCs w:val="14"/>
              </w:rPr>
              <w:t>.</w:t>
            </w:r>
            <w:r w:rsidRPr="003003C0">
              <w:rPr>
                <w:rFonts w:cs="Calibri"/>
                <w:color w:val="000000"/>
                <w:sz w:val="14"/>
                <w:szCs w:val="14"/>
              </w:rPr>
              <w:t>7</w:t>
            </w:r>
          </w:p>
        </w:tc>
        <w:tc>
          <w:tcPr>
            <w:tcW w:w="721" w:type="dxa"/>
            <w:noWrap/>
            <w:vAlign w:val="center"/>
            <w:hideMark/>
          </w:tcPr>
          <w:p w14:paraId="622E7EC4" w14:textId="77777777" w:rsidR="004F64EF" w:rsidRPr="003003C0" w:rsidRDefault="004F64EF" w:rsidP="00FD6B66">
            <w:pPr>
              <w:jc w:val="right"/>
              <w:rPr>
                <w:rFonts w:cs="Calibri"/>
                <w:color w:val="000000"/>
                <w:sz w:val="14"/>
                <w:szCs w:val="14"/>
              </w:rPr>
            </w:pPr>
            <w:r w:rsidRPr="003003C0">
              <w:rPr>
                <w:rFonts w:cs="Calibri"/>
                <w:color w:val="000000"/>
                <w:sz w:val="14"/>
                <w:szCs w:val="14"/>
              </w:rPr>
              <w:t>1</w:t>
            </w:r>
            <w:r>
              <w:rPr>
                <w:rFonts w:cs="Calibri"/>
                <w:color w:val="000000"/>
                <w:sz w:val="14"/>
                <w:szCs w:val="14"/>
              </w:rPr>
              <w:t>.</w:t>
            </w:r>
            <w:r w:rsidRPr="003003C0">
              <w:rPr>
                <w:rFonts w:cs="Calibri"/>
                <w:color w:val="000000"/>
                <w:sz w:val="14"/>
                <w:szCs w:val="14"/>
              </w:rPr>
              <w:t>6</w:t>
            </w:r>
          </w:p>
        </w:tc>
        <w:tc>
          <w:tcPr>
            <w:tcW w:w="722" w:type="dxa"/>
            <w:noWrap/>
            <w:vAlign w:val="center"/>
            <w:hideMark/>
          </w:tcPr>
          <w:p w14:paraId="2CC21479" w14:textId="77777777" w:rsidR="004F64EF" w:rsidRPr="003003C0" w:rsidRDefault="004F64EF" w:rsidP="00FD6B66">
            <w:pPr>
              <w:jc w:val="right"/>
              <w:rPr>
                <w:rFonts w:cs="Calibri"/>
                <w:color w:val="000000"/>
                <w:sz w:val="14"/>
                <w:szCs w:val="14"/>
              </w:rPr>
            </w:pPr>
            <w:r w:rsidRPr="003003C0">
              <w:rPr>
                <w:rFonts w:cs="Calibri"/>
                <w:color w:val="000000"/>
                <w:sz w:val="14"/>
                <w:szCs w:val="14"/>
              </w:rPr>
              <w:t>1</w:t>
            </w:r>
            <w:r>
              <w:rPr>
                <w:rFonts w:cs="Calibri"/>
                <w:color w:val="000000"/>
                <w:sz w:val="14"/>
                <w:szCs w:val="14"/>
              </w:rPr>
              <w:t>.</w:t>
            </w:r>
            <w:r w:rsidRPr="003003C0">
              <w:rPr>
                <w:rFonts w:cs="Calibri"/>
                <w:color w:val="000000"/>
                <w:sz w:val="14"/>
                <w:szCs w:val="14"/>
              </w:rPr>
              <w:t>9</w:t>
            </w:r>
          </w:p>
        </w:tc>
        <w:tc>
          <w:tcPr>
            <w:tcW w:w="722" w:type="dxa"/>
            <w:noWrap/>
            <w:vAlign w:val="center"/>
            <w:hideMark/>
          </w:tcPr>
          <w:p w14:paraId="2C9835AF" w14:textId="77777777" w:rsidR="004F64EF" w:rsidRPr="003003C0" w:rsidRDefault="004F64EF" w:rsidP="00FD6B66">
            <w:pPr>
              <w:jc w:val="right"/>
              <w:rPr>
                <w:rFonts w:cs="Calibri"/>
                <w:color w:val="000000"/>
                <w:sz w:val="14"/>
                <w:szCs w:val="14"/>
              </w:rPr>
            </w:pPr>
            <w:r w:rsidRPr="003003C0">
              <w:rPr>
                <w:rFonts w:cs="Calibri"/>
                <w:color w:val="000000"/>
                <w:sz w:val="14"/>
                <w:szCs w:val="14"/>
              </w:rPr>
              <w:t>1</w:t>
            </w:r>
            <w:r>
              <w:rPr>
                <w:rFonts w:cs="Calibri"/>
                <w:color w:val="000000"/>
                <w:sz w:val="14"/>
                <w:szCs w:val="14"/>
              </w:rPr>
              <w:t>.</w:t>
            </w:r>
            <w:r w:rsidRPr="003003C0">
              <w:rPr>
                <w:rFonts w:cs="Calibri"/>
                <w:color w:val="000000"/>
                <w:sz w:val="14"/>
                <w:szCs w:val="14"/>
              </w:rPr>
              <w:t>7</w:t>
            </w:r>
          </w:p>
        </w:tc>
        <w:tc>
          <w:tcPr>
            <w:tcW w:w="722" w:type="dxa"/>
            <w:noWrap/>
            <w:vAlign w:val="center"/>
            <w:hideMark/>
          </w:tcPr>
          <w:p w14:paraId="6650383D" w14:textId="77777777" w:rsidR="004F64EF" w:rsidRPr="003003C0" w:rsidRDefault="004F64EF" w:rsidP="00FD6B66">
            <w:pPr>
              <w:jc w:val="right"/>
              <w:rPr>
                <w:rFonts w:cs="Calibri"/>
                <w:color w:val="000000"/>
                <w:sz w:val="14"/>
                <w:szCs w:val="14"/>
              </w:rPr>
            </w:pPr>
            <w:r w:rsidRPr="003003C0">
              <w:rPr>
                <w:rFonts w:cs="Calibri"/>
                <w:color w:val="000000"/>
                <w:sz w:val="14"/>
                <w:szCs w:val="14"/>
              </w:rPr>
              <w:t>1</w:t>
            </w:r>
            <w:r>
              <w:rPr>
                <w:rFonts w:cs="Calibri"/>
                <w:color w:val="000000"/>
                <w:sz w:val="14"/>
                <w:szCs w:val="14"/>
              </w:rPr>
              <w:t>.</w:t>
            </w:r>
            <w:r w:rsidRPr="003003C0">
              <w:rPr>
                <w:rFonts w:cs="Calibri"/>
                <w:color w:val="000000"/>
                <w:sz w:val="14"/>
                <w:szCs w:val="14"/>
              </w:rPr>
              <w:t>2</w:t>
            </w:r>
          </w:p>
        </w:tc>
      </w:tr>
      <w:tr w:rsidR="004F64EF" w:rsidRPr="003003C0" w14:paraId="4F0D3065" w14:textId="77777777" w:rsidTr="00FD6B66">
        <w:trPr>
          <w:trHeight w:val="20"/>
        </w:trPr>
        <w:tc>
          <w:tcPr>
            <w:tcW w:w="3964" w:type="dxa"/>
            <w:noWrap/>
            <w:vAlign w:val="center"/>
            <w:hideMark/>
          </w:tcPr>
          <w:p w14:paraId="0EE38F37" w14:textId="77777777" w:rsidR="004F64EF" w:rsidRPr="003003C0" w:rsidRDefault="004F64EF" w:rsidP="00B22563">
            <w:pPr>
              <w:tabs>
                <w:tab w:val="left" w:pos="227"/>
              </w:tabs>
              <w:ind w:left="227" w:hanging="227"/>
              <w:jc w:val="left"/>
              <w:rPr>
                <w:rFonts w:cs="Calibri"/>
                <w:color w:val="000000"/>
                <w:sz w:val="14"/>
                <w:szCs w:val="14"/>
              </w:rPr>
            </w:pPr>
            <w:r w:rsidRPr="003003C0">
              <w:rPr>
                <w:rFonts w:cs="Calibri"/>
                <w:color w:val="000000"/>
                <w:sz w:val="14"/>
                <w:szCs w:val="14"/>
              </w:rPr>
              <w:tab/>
              <w:t xml:space="preserve">90. </w:t>
            </w:r>
            <w:r w:rsidRPr="00736C66">
              <w:rPr>
                <w:rFonts w:cs="Calibri"/>
                <w:color w:val="000000"/>
                <w:sz w:val="14"/>
                <w:szCs w:val="14"/>
              </w:rPr>
              <w:t>Optical, photographic</w:t>
            </w:r>
            <w:r>
              <w:rPr>
                <w:rFonts w:cs="Calibri"/>
                <w:color w:val="000000"/>
                <w:sz w:val="14"/>
                <w:szCs w:val="14"/>
              </w:rPr>
              <w:t xml:space="preserve"> or </w:t>
            </w:r>
            <w:r w:rsidRPr="00736C66">
              <w:rPr>
                <w:rFonts w:cs="Calibri"/>
                <w:color w:val="000000"/>
                <w:sz w:val="14"/>
                <w:szCs w:val="14"/>
              </w:rPr>
              <w:t>precision, medical or surgical</w:t>
            </w:r>
            <w:r>
              <w:rPr>
                <w:rFonts w:cs="Calibri"/>
                <w:color w:val="000000"/>
                <w:sz w:val="14"/>
                <w:szCs w:val="14"/>
              </w:rPr>
              <w:t xml:space="preserve"> </w:t>
            </w:r>
            <w:r w:rsidRPr="00736C66">
              <w:rPr>
                <w:rFonts w:cs="Calibri"/>
                <w:color w:val="000000"/>
                <w:sz w:val="14"/>
                <w:szCs w:val="14"/>
              </w:rPr>
              <w:t>instruments and apparatus</w:t>
            </w:r>
          </w:p>
        </w:tc>
        <w:tc>
          <w:tcPr>
            <w:tcW w:w="721" w:type="dxa"/>
            <w:noWrap/>
            <w:vAlign w:val="center"/>
            <w:hideMark/>
          </w:tcPr>
          <w:p w14:paraId="4AF9E56E" w14:textId="77777777" w:rsidR="004F64EF" w:rsidRPr="003003C0" w:rsidRDefault="004F64EF" w:rsidP="00FD6B66">
            <w:pPr>
              <w:jc w:val="right"/>
              <w:rPr>
                <w:rFonts w:cs="Calibri"/>
                <w:color w:val="000000"/>
                <w:sz w:val="14"/>
                <w:szCs w:val="14"/>
              </w:rPr>
            </w:pPr>
            <w:r w:rsidRPr="003003C0">
              <w:rPr>
                <w:rFonts w:cs="Calibri"/>
                <w:color w:val="000000"/>
                <w:sz w:val="14"/>
                <w:szCs w:val="14"/>
              </w:rPr>
              <w:t>1</w:t>
            </w:r>
            <w:r>
              <w:rPr>
                <w:rFonts w:cs="Calibri"/>
                <w:color w:val="000000"/>
                <w:sz w:val="14"/>
                <w:szCs w:val="14"/>
              </w:rPr>
              <w:t>.</w:t>
            </w:r>
            <w:r w:rsidRPr="003003C0">
              <w:rPr>
                <w:rFonts w:cs="Calibri"/>
                <w:color w:val="000000"/>
                <w:sz w:val="14"/>
                <w:szCs w:val="14"/>
              </w:rPr>
              <w:t>7</w:t>
            </w:r>
          </w:p>
        </w:tc>
        <w:tc>
          <w:tcPr>
            <w:tcW w:w="722" w:type="dxa"/>
            <w:noWrap/>
            <w:vAlign w:val="center"/>
            <w:hideMark/>
          </w:tcPr>
          <w:p w14:paraId="6FE38C7E" w14:textId="77777777" w:rsidR="004F64EF" w:rsidRPr="003003C0" w:rsidRDefault="004F64EF" w:rsidP="00FD6B66">
            <w:pPr>
              <w:jc w:val="right"/>
              <w:rPr>
                <w:rFonts w:cs="Calibri"/>
                <w:color w:val="000000"/>
                <w:sz w:val="14"/>
                <w:szCs w:val="14"/>
              </w:rPr>
            </w:pPr>
            <w:r w:rsidRPr="003003C0">
              <w:rPr>
                <w:rFonts w:cs="Calibri"/>
                <w:color w:val="000000"/>
                <w:sz w:val="14"/>
                <w:szCs w:val="14"/>
              </w:rPr>
              <w:t>1</w:t>
            </w:r>
            <w:r>
              <w:rPr>
                <w:rFonts w:cs="Calibri"/>
                <w:color w:val="000000"/>
                <w:sz w:val="14"/>
                <w:szCs w:val="14"/>
              </w:rPr>
              <w:t>.</w:t>
            </w:r>
            <w:r w:rsidRPr="003003C0">
              <w:rPr>
                <w:rFonts w:cs="Calibri"/>
                <w:color w:val="000000"/>
                <w:sz w:val="14"/>
                <w:szCs w:val="14"/>
              </w:rPr>
              <w:t>8</w:t>
            </w:r>
          </w:p>
        </w:tc>
        <w:tc>
          <w:tcPr>
            <w:tcW w:w="722" w:type="dxa"/>
            <w:noWrap/>
            <w:vAlign w:val="center"/>
            <w:hideMark/>
          </w:tcPr>
          <w:p w14:paraId="0791AE52" w14:textId="77777777" w:rsidR="004F64EF" w:rsidRPr="003003C0" w:rsidRDefault="004F64EF" w:rsidP="00FD6B66">
            <w:pPr>
              <w:jc w:val="right"/>
              <w:rPr>
                <w:rFonts w:cs="Calibri"/>
                <w:color w:val="000000"/>
                <w:sz w:val="14"/>
                <w:szCs w:val="14"/>
              </w:rPr>
            </w:pPr>
            <w:r w:rsidRPr="003003C0">
              <w:rPr>
                <w:rFonts w:cs="Calibri"/>
                <w:color w:val="000000"/>
                <w:sz w:val="14"/>
                <w:szCs w:val="14"/>
              </w:rPr>
              <w:t>1</w:t>
            </w:r>
            <w:r>
              <w:rPr>
                <w:rFonts w:cs="Calibri"/>
                <w:color w:val="000000"/>
                <w:sz w:val="14"/>
                <w:szCs w:val="14"/>
              </w:rPr>
              <w:t>.</w:t>
            </w:r>
            <w:r w:rsidRPr="003003C0">
              <w:rPr>
                <w:rFonts w:cs="Calibri"/>
                <w:color w:val="000000"/>
                <w:sz w:val="14"/>
                <w:szCs w:val="14"/>
              </w:rPr>
              <w:t>6</w:t>
            </w:r>
          </w:p>
        </w:tc>
        <w:tc>
          <w:tcPr>
            <w:tcW w:w="721" w:type="dxa"/>
            <w:noWrap/>
            <w:vAlign w:val="center"/>
            <w:hideMark/>
          </w:tcPr>
          <w:p w14:paraId="7AD92CAB" w14:textId="77777777" w:rsidR="004F64EF" w:rsidRPr="003003C0" w:rsidRDefault="004F64EF" w:rsidP="00FD6B66">
            <w:pPr>
              <w:jc w:val="right"/>
              <w:rPr>
                <w:rFonts w:cs="Calibri"/>
                <w:color w:val="000000"/>
                <w:sz w:val="14"/>
                <w:szCs w:val="14"/>
              </w:rPr>
            </w:pPr>
            <w:r w:rsidRPr="003003C0">
              <w:rPr>
                <w:rFonts w:cs="Calibri"/>
                <w:color w:val="000000"/>
                <w:sz w:val="14"/>
                <w:szCs w:val="14"/>
              </w:rPr>
              <w:t>1</w:t>
            </w:r>
            <w:r>
              <w:rPr>
                <w:rFonts w:cs="Calibri"/>
                <w:color w:val="000000"/>
                <w:sz w:val="14"/>
                <w:szCs w:val="14"/>
              </w:rPr>
              <w:t>.</w:t>
            </w:r>
            <w:r w:rsidRPr="003003C0">
              <w:rPr>
                <w:rFonts w:cs="Calibri"/>
                <w:color w:val="000000"/>
                <w:sz w:val="14"/>
                <w:szCs w:val="14"/>
              </w:rPr>
              <w:t>6</w:t>
            </w:r>
          </w:p>
        </w:tc>
        <w:tc>
          <w:tcPr>
            <w:tcW w:w="722" w:type="dxa"/>
            <w:noWrap/>
            <w:vAlign w:val="center"/>
            <w:hideMark/>
          </w:tcPr>
          <w:p w14:paraId="789394C1" w14:textId="77777777" w:rsidR="004F64EF" w:rsidRPr="003003C0" w:rsidRDefault="004F64EF" w:rsidP="00FD6B66">
            <w:pPr>
              <w:jc w:val="right"/>
              <w:rPr>
                <w:rFonts w:cs="Calibri"/>
                <w:color w:val="000000"/>
                <w:sz w:val="14"/>
                <w:szCs w:val="14"/>
              </w:rPr>
            </w:pPr>
            <w:r w:rsidRPr="003003C0">
              <w:rPr>
                <w:rFonts w:cs="Calibri"/>
                <w:color w:val="000000"/>
                <w:sz w:val="14"/>
                <w:szCs w:val="14"/>
              </w:rPr>
              <w:t>1</w:t>
            </w:r>
            <w:r>
              <w:rPr>
                <w:rFonts w:cs="Calibri"/>
                <w:color w:val="000000"/>
                <w:sz w:val="14"/>
                <w:szCs w:val="14"/>
              </w:rPr>
              <w:t>.</w:t>
            </w:r>
            <w:r w:rsidRPr="003003C0">
              <w:rPr>
                <w:rFonts w:cs="Calibri"/>
                <w:color w:val="000000"/>
                <w:sz w:val="14"/>
                <w:szCs w:val="14"/>
              </w:rPr>
              <w:t>8</w:t>
            </w:r>
          </w:p>
        </w:tc>
        <w:tc>
          <w:tcPr>
            <w:tcW w:w="722" w:type="dxa"/>
            <w:noWrap/>
            <w:vAlign w:val="center"/>
            <w:hideMark/>
          </w:tcPr>
          <w:p w14:paraId="50BE9B09" w14:textId="77777777" w:rsidR="004F64EF" w:rsidRPr="003003C0" w:rsidRDefault="004F64EF" w:rsidP="00FD6B66">
            <w:pPr>
              <w:jc w:val="right"/>
              <w:rPr>
                <w:rFonts w:cs="Calibri"/>
                <w:color w:val="000000"/>
                <w:sz w:val="14"/>
                <w:szCs w:val="14"/>
              </w:rPr>
            </w:pPr>
            <w:r w:rsidRPr="003003C0">
              <w:rPr>
                <w:rFonts w:cs="Calibri"/>
                <w:color w:val="000000"/>
                <w:sz w:val="14"/>
                <w:szCs w:val="14"/>
              </w:rPr>
              <w:t>1</w:t>
            </w:r>
            <w:r>
              <w:rPr>
                <w:rFonts w:cs="Calibri"/>
                <w:color w:val="000000"/>
                <w:sz w:val="14"/>
                <w:szCs w:val="14"/>
              </w:rPr>
              <w:t>.</w:t>
            </w:r>
            <w:r w:rsidRPr="003003C0">
              <w:rPr>
                <w:rFonts w:cs="Calibri"/>
                <w:color w:val="000000"/>
                <w:sz w:val="14"/>
                <w:szCs w:val="14"/>
              </w:rPr>
              <w:t>7</w:t>
            </w:r>
          </w:p>
        </w:tc>
        <w:tc>
          <w:tcPr>
            <w:tcW w:w="722" w:type="dxa"/>
            <w:noWrap/>
            <w:vAlign w:val="center"/>
            <w:hideMark/>
          </w:tcPr>
          <w:p w14:paraId="3B4E89E7" w14:textId="77777777" w:rsidR="004F64EF" w:rsidRPr="003003C0" w:rsidRDefault="004F64EF" w:rsidP="00FD6B66">
            <w:pPr>
              <w:jc w:val="right"/>
              <w:rPr>
                <w:rFonts w:cs="Calibri"/>
                <w:color w:val="000000"/>
                <w:sz w:val="14"/>
                <w:szCs w:val="14"/>
              </w:rPr>
            </w:pPr>
            <w:r w:rsidRPr="003003C0">
              <w:rPr>
                <w:rFonts w:cs="Calibri"/>
                <w:color w:val="000000"/>
                <w:sz w:val="14"/>
                <w:szCs w:val="14"/>
              </w:rPr>
              <w:t>1</w:t>
            </w:r>
            <w:r>
              <w:rPr>
                <w:rFonts w:cs="Calibri"/>
                <w:color w:val="000000"/>
                <w:sz w:val="14"/>
                <w:szCs w:val="14"/>
              </w:rPr>
              <w:t>.</w:t>
            </w:r>
            <w:r w:rsidRPr="003003C0">
              <w:rPr>
                <w:rFonts w:cs="Calibri"/>
                <w:color w:val="000000"/>
                <w:sz w:val="14"/>
                <w:szCs w:val="14"/>
              </w:rPr>
              <w:t>1</w:t>
            </w:r>
          </w:p>
        </w:tc>
      </w:tr>
      <w:tr w:rsidR="004F64EF" w:rsidRPr="003003C0" w14:paraId="66D644E7" w14:textId="77777777" w:rsidTr="00FD6B66">
        <w:trPr>
          <w:cnfStyle w:val="000000010000" w:firstRow="0" w:lastRow="0" w:firstColumn="0" w:lastColumn="0" w:oddVBand="0" w:evenVBand="0" w:oddHBand="0" w:evenHBand="1" w:firstRowFirstColumn="0" w:firstRowLastColumn="0" w:lastRowFirstColumn="0" w:lastRowLastColumn="0"/>
          <w:trHeight w:val="20"/>
        </w:trPr>
        <w:tc>
          <w:tcPr>
            <w:tcW w:w="3964" w:type="dxa"/>
            <w:noWrap/>
            <w:vAlign w:val="center"/>
            <w:hideMark/>
          </w:tcPr>
          <w:p w14:paraId="4806657D" w14:textId="77777777" w:rsidR="004F64EF" w:rsidRPr="003003C0" w:rsidRDefault="004F64EF" w:rsidP="00FD6B66">
            <w:pPr>
              <w:jc w:val="left"/>
              <w:rPr>
                <w:rFonts w:cs="Calibri"/>
                <w:color w:val="000000"/>
                <w:sz w:val="14"/>
                <w:szCs w:val="14"/>
              </w:rPr>
            </w:pPr>
            <w:r w:rsidRPr="003003C0">
              <w:rPr>
                <w:rFonts w:cs="Calibri"/>
                <w:color w:val="000000"/>
                <w:sz w:val="14"/>
                <w:szCs w:val="14"/>
              </w:rPr>
              <w:t xml:space="preserve">19 - </w:t>
            </w:r>
            <w:r>
              <w:rPr>
                <w:rFonts w:cs="Calibri"/>
                <w:color w:val="000000"/>
                <w:sz w:val="14"/>
                <w:szCs w:val="14"/>
              </w:rPr>
              <w:t>A</w:t>
            </w:r>
            <w:r w:rsidRPr="00736C66">
              <w:rPr>
                <w:rFonts w:cs="Calibri"/>
                <w:color w:val="000000"/>
                <w:sz w:val="14"/>
                <w:szCs w:val="14"/>
              </w:rPr>
              <w:t>rms and ammunition; parts and accessories thereof</w:t>
            </w:r>
          </w:p>
        </w:tc>
        <w:tc>
          <w:tcPr>
            <w:tcW w:w="721" w:type="dxa"/>
            <w:noWrap/>
            <w:vAlign w:val="center"/>
            <w:hideMark/>
          </w:tcPr>
          <w:p w14:paraId="38703B3C" w14:textId="77777777" w:rsidR="004F64EF" w:rsidRPr="003003C0" w:rsidRDefault="004F64EF" w:rsidP="00FD6B66">
            <w:pPr>
              <w:jc w:val="right"/>
              <w:rPr>
                <w:rFonts w:cs="Calibri"/>
                <w:color w:val="000000"/>
                <w:sz w:val="14"/>
                <w:szCs w:val="14"/>
              </w:rPr>
            </w:pPr>
            <w:r w:rsidRPr="003003C0">
              <w:rPr>
                <w:rFonts w:cs="Calibri"/>
                <w:color w:val="000000"/>
                <w:sz w:val="14"/>
                <w:szCs w:val="14"/>
              </w:rPr>
              <w:t>0</w:t>
            </w:r>
            <w:r>
              <w:rPr>
                <w:rFonts w:cs="Calibri"/>
                <w:color w:val="000000"/>
                <w:sz w:val="14"/>
                <w:szCs w:val="14"/>
              </w:rPr>
              <w:t>.</w:t>
            </w:r>
            <w:r w:rsidRPr="003003C0">
              <w:rPr>
                <w:rFonts w:cs="Calibri"/>
                <w:color w:val="000000"/>
                <w:sz w:val="14"/>
                <w:szCs w:val="14"/>
              </w:rPr>
              <w:t>0</w:t>
            </w:r>
          </w:p>
        </w:tc>
        <w:tc>
          <w:tcPr>
            <w:tcW w:w="722" w:type="dxa"/>
            <w:noWrap/>
            <w:vAlign w:val="center"/>
            <w:hideMark/>
          </w:tcPr>
          <w:p w14:paraId="449D49EF" w14:textId="77777777" w:rsidR="004F64EF" w:rsidRPr="003003C0" w:rsidRDefault="004F64EF" w:rsidP="00FD6B66">
            <w:pPr>
              <w:jc w:val="right"/>
              <w:rPr>
                <w:rFonts w:cs="Calibri"/>
                <w:color w:val="000000"/>
                <w:sz w:val="14"/>
                <w:szCs w:val="14"/>
              </w:rPr>
            </w:pPr>
            <w:r w:rsidRPr="003003C0">
              <w:rPr>
                <w:rFonts w:cs="Calibri"/>
                <w:color w:val="000000"/>
                <w:sz w:val="14"/>
                <w:szCs w:val="14"/>
              </w:rPr>
              <w:t>0</w:t>
            </w:r>
            <w:r>
              <w:rPr>
                <w:rFonts w:cs="Calibri"/>
                <w:color w:val="000000"/>
                <w:sz w:val="14"/>
                <w:szCs w:val="14"/>
              </w:rPr>
              <w:t>.</w:t>
            </w:r>
            <w:r w:rsidRPr="003003C0">
              <w:rPr>
                <w:rFonts w:cs="Calibri"/>
                <w:color w:val="000000"/>
                <w:sz w:val="14"/>
                <w:szCs w:val="14"/>
              </w:rPr>
              <w:t>0</w:t>
            </w:r>
          </w:p>
        </w:tc>
        <w:tc>
          <w:tcPr>
            <w:tcW w:w="722" w:type="dxa"/>
            <w:noWrap/>
            <w:vAlign w:val="center"/>
            <w:hideMark/>
          </w:tcPr>
          <w:p w14:paraId="612A2732" w14:textId="77777777" w:rsidR="004F64EF" w:rsidRPr="003003C0" w:rsidRDefault="004F64EF" w:rsidP="00FD6B66">
            <w:pPr>
              <w:jc w:val="right"/>
              <w:rPr>
                <w:rFonts w:cs="Calibri"/>
                <w:color w:val="000000"/>
                <w:sz w:val="14"/>
                <w:szCs w:val="14"/>
              </w:rPr>
            </w:pPr>
            <w:r w:rsidRPr="003003C0">
              <w:rPr>
                <w:rFonts w:cs="Calibri"/>
                <w:color w:val="000000"/>
                <w:sz w:val="14"/>
                <w:szCs w:val="14"/>
              </w:rPr>
              <w:t>0</w:t>
            </w:r>
            <w:r>
              <w:rPr>
                <w:rFonts w:cs="Calibri"/>
                <w:color w:val="000000"/>
                <w:sz w:val="14"/>
                <w:szCs w:val="14"/>
              </w:rPr>
              <w:t>.</w:t>
            </w:r>
            <w:r w:rsidRPr="003003C0">
              <w:rPr>
                <w:rFonts w:cs="Calibri"/>
                <w:color w:val="000000"/>
                <w:sz w:val="14"/>
                <w:szCs w:val="14"/>
              </w:rPr>
              <w:t>0</w:t>
            </w:r>
          </w:p>
        </w:tc>
        <w:tc>
          <w:tcPr>
            <w:tcW w:w="721" w:type="dxa"/>
            <w:noWrap/>
            <w:vAlign w:val="center"/>
            <w:hideMark/>
          </w:tcPr>
          <w:p w14:paraId="292E8D0C" w14:textId="77777777" w:rsidR="004F64EF" w:rsidRPr="003003C0" w:rsidRDefault="004F64EF" w:rsidP="00FD6B66">
            <w:pPr>
              <w:jc w:val="right"/>
              <w:rPr>
                <w:rFonts w:cs="Calibri"/>
                <w:color w:val="000000"/>
                <w:sz w:val="14"/>
                <w:szCs w:val="14"/>
              </w:rPr>
            </w:pPr>
            <w:r w:rsidRPr="003003C0">
              <w:rPr>
                <w:rFonts w:cs="Calibri"/>
                <w:color w:val="000000"/>
                <w:sz w:val="14"/>
                <w:szCs w:val="14"/>
              </w:rPr>
              <w:t>0</w:t>
            </w:r>
            <w:r>
              <w:rPr>
                <w:rFonts w:cs="Calibri"/>
                <w:color w:val="000000"/>
                <w:sz w:val="14"/>
                <w:szCs w:val="14"/>
              </w:rPr>
              <w:t>.</w:t>
            </w:r>
            <w:r w:rsidRPr="003003C0">
              <w:rPr>
                <w:rFonts w:cs="Calibri"/>
                <w:color w:val="000000"/>
                <w:sz w:val="14"/>
                <w:szCs w:val="14"/>
              </w:rPr>
              <w:t>0</w:t>
            </w:r>
          </w:p>
        </w:tc>
        <w:tc>
          <w:tcPr>
            <w:tcW w:w="722" w:type="dxa"/>
            <w:noWrap/>
            <w:vAlign w:val="center"/>
            <w:hideMark/>
          </w:tcPr>
          <w:p w14:paraId="79E5BDB4" w14:textId="77777777" w:rsidR="004F64EF" w:rsidRPr="003003C0" w:rsidRDefault="004F64EF" w:rsidP="00FD6B66">
            <w:pPr>
              <w:jc w:val="right"/>
              <w:rPr>
                <w:rFonts w:cs="Calibri"/>
                <w:color w:val="000000"/>
                <w:sz w:val="14"/>
                <w:szCs w:val="14"/>
              </w:rPr>
            </w:pPr>
            <w:r w:rsidRPr="003003C0">
              <w:rPr>
                <w:rFonts w:cs="Calibri"/>
                <w:color w:val="000000"/>
                <w:sz w:val="14"/>
                <w:szCs w:val="14"/>
              </w:rPr>
              <w:t>0</w:t>
            </w:r>
            <w:r>
              <w:rPr>
                <w:rFonts w:cs="Calibri"/>
                <w:color w:val="000000"/>
                <w:sz w:val="14"/>
                <w:szCs w:val="14"/>
              </w:rPr>
              <w:t>.</w:t>
            </w:r>
            <w:r w:rsidRPr="003003C0">
              <w:rPr>
                <w:rFonts w:cs="Calibri"/>
                <w:color w:val="000000"/>
                <w:sz w:val="14"/>
                <w:szCs w:val="14"/>
              </w:rPr>
              <w:t>0</w:t>
            </w:r>
          </w:p>
        </w:tc>
        <w:tc>
          <w:tcPr>
            <w:tcW w:w="722" w:type="dxa"/>
            <w:noWrap/>
            <w:vAlign w:val="center"/>
            <w:hideMark/>
          </w:tcPr>
          <w:p w14:paraId="7DAB9301" w14:textId="77777777" w:rsidR="004F64EF" w:rsidRPr="003003C0" w:rsidRDefault="004F64EF" w:rsidP="00FD6B66">
            <w:pPr>
              <w:jc w:val="right"/>
              <w:rPr>
                <w:rFonts w:cs="Calibri"/>
                <w:color w:val="000000"/>
                <w:sz w:val="14"/>
                <w:szCs w:val="14"/>
              </w:rPr>
            </w:pPr>
            <w:r w:rsidRPr="003003C0">
              <w:rPr>
                <w:rFonts w:cs="Calibri"/>
                <w:color w:val="000000"/>
                <w:sz w:val="14"/>
                <w:szCs w:val="14"/>
              </w:rPr>
              <w:t>0</w:t>
            </w:r>
            <w:r>
              <w:rPr>
                <w:rFonts w:cs="Calibri"/>
                <w:color w:val="000000"/>
                <w:sz w:val="14"/>
                <w:szCs w:val="14"/>
              </w:rPr>
              <w:t>.</w:t>
            </w:r>
            <w:r w:rsidRPr="003003C0">
              <w:rPr>
                <w:rFonts w:cs="Calibri"/>
                <w:color w:val="000000"/>
                <w:sz w:val="14"/>
                <w:szCs w:val="14"/>
              </w:rPr>
              <w:t>0</w:t>
            </w:r>
          </w:p>
        </w:tc>
        <w:tc>
          <w:tcPr>
            <w:tcW w:w="722" w:type="dxa"/>
            <w:noWrap/>
            <w:vAlign w:val="center"/>
            <w:hideMark/>
          </w:tcPr>
          <w:p w14:paraId="3A338DDE" w14:textId="77777777" w:rsidR="004F64EF" w:rsidRPr="003003C0" w:rsidRDefault="004F64EF" w:rsidP="00FD6B66">
            <w:pPr>
              <w:jc w:val="right"/>
              <w:rPr>
                <w:rFonts w:cs="Calibri"/>
                <w:color w:val="000000"/>
                <w:sz w:val="14"/>
                <w:szCs w:val="14"/>
              </w:rPr>
            </w:pPr>
            <w:r w:rsidRPr="003003C0">
              <w:rPr>
                <w:rFonts w:cs="Calibri"/>
                <w:color w:val="000000"/>
                <w:sz w:val="14"/>
                <w:szCs w:val="14"/>
              </w:rPr>
              <w:t>0</w:t>
            </w:r>
            <w:r>
              <w:rPr>
                <w:rFonts w:cs="Calibri"/>
                <w:color w:val="000000"/>
                <w:sz w:val="14"/>
                <w:szCs w:val="14"/>
              </w:rPr>
              <w:t>.</w:t>
            </w:r>
            <w:r w:rsidRPr="003003C0">
              <w:rPr>
                <w:rFonts w:cs="Calibri"/>
                <w:color w:val="000000"/>
                <w:sz w:val="14"/>
                <w:szCs w:val="14"/>
              </w:rPr>
              <w:t>0</w:t>
            </w:r>
          </w:p>
        </w:tc>
      </w:tr>
      <w:tr w:rsidR="004F64EF" w:rsidRPr="003003C0" w14:paraId="20EA2EE3" w14:textId="77777777" w:rsidTr="00FD6B66">
        <w:trPr>
          <w:trHeight w:val="20"/>
        </w:trPr>
        <w:tc>
          <w:tcPr>
            <w:tcW w:w="3964" w:type="dxa"/>
            <w:noWrap/>
            <w:vAlign w:val="center"/>
            <w:hideMark/>
          </w:tcPr>
          <w:p w14:paraId="451E4828" w14:textId="77777777" w:rsidR="004F64EF" w:rsidRPr="003003C0" w:rsidRDefault="004F64EF" w:rsidP="00FD6B66">
            <w:pPr>
              <w:jc w:val="left"/>
              <w:rPr>
                <w:rFonts w:cs="Calibri"/>
                <w:color w:val="000000"/>
                <w:sz w:val="14"/>
                <w:szCs w:val="14"/>
              </w:rPr>
            </w:pPr>
            <w:r w:rsidRPr="003003C0">
              <w:rPr>
                <w:rFonts w:cs="Calibri"/>
                <w:color w:val="000000"/>
                <w:sz w:val="14"/>
                <w:szCs w:val="14"/>
              </w:rPr>
              <w:t xml:space="preserve">20 - </w:t>
            </w:r>
            <w:r>
              <w:rPr>
                <w:rFonts w:cs="Calibri"/>
                <w:color w:val="000000"/>
                <w:sz w:val="14"/>
                <w:szCs w:val="14"/>
              </w:rPr>
              <w:t>M</w:t>
            </w:r>
            <w:r w:rsidRPr="00736C66">
              <w:rPr>
                <w:rFonts w:cs="Calibri"/>
                <w:color w:val="000000"/>
                <w:sz w:val="14"/>
                <w:szCs w:val="14"/>
              </w:rPr>
              <w:t>iscellaneous manufactured articles</w:t>
            </w:r>
          </w:p>
        </w:tc>
        <w:tc>
          <w:tcPr>
            <w:tcW w:w="721" w:type="dxa"/>
            <w:noWrap/>
            <w:vAlign w:val="center"/>
            <w:hideMark/>
          </w:tcPr>
          <w:p w14:paraId="35C2F223" w14:textId="77777777" w:rsidR="004F64EF" w:rsidRPr="003003C0" w:rsidRDefault="004F64EF" w:rsidP="00FD6B66">
            <w:pPr>
              <w:jc w:val="right"/>
              <w:rPr>
                <w:rFonts w:cs="Calibri"/>
                <w:color w:val="000000"/>
                <w:sz w:val="14"/>
                <w:szCs w:val="14"/>
              </w:rPr>
            </w:pPr>
            <w:r w:rsidRPr="003003C0">
              <w:rPr>
                <w:rFonts w:cs="Calibri"/>
                <w:color w:val="000000"/>
                <w:sz w:val="14"/>
                <w:szCs w:val="14"/>
              </w:rPr>
              <w:t>2</w:t>
            </w:r>
            <w:r>
              <w:rPr>
                <w:rFonts w:cs="Calibri"/>
                <w:color w:val="000000"/>
                <w:sz w:val="14"/>
                <w:szCs w:val="14"/>
              </w:rPr>
              <w:t>.</w:t>
            </w:r>
            <w:r w:rsidRPr="003003C0">
              <w:rPr>
                <w:rFonts w:cs="Calibri"/>
                <w:color w:val="000000"/>
                <w:sz w:val="14"/>
                <w:szCs w:val="14"/>
              </w:rPr>
              <w:t>2</w:t>
            </w:r>
          </w:p>
        </w:tc>
        <w:tc>
          <w:tcPr>
            <w:tcW w:w="722" w:type="dxa"/>
            <w:noWrap/>
            <w:vAlign w:val="center"/>
            <w:hideMark/>
          </w:tcPr>
          <w:p w14:paraId="12CFE6C2" w14:textId="77777777" w:rsidR="004F64EF" w:rsidRPr="003003C0" w:rsidRDefault="004F64EF" w:rsidP="00FD6B66">
            <w:pPr>
              <w:jc w:val="right"/>
              <w:rPr>
                <w:rFonts w:cs="Calibri"/>
                <w:color w:val="000000"/>
                <w:sz w:val="14"/>
                <w:szCs w:val="14"/>
              </w:rPr>
            </w:pPr>
            <w:r w:rsidRPr="003003C0">
              <w:rPr>
                <w:rFonts w:cs="Calibri"/>
                <w:color w:val="000000"/>
                <w:sz w:val="14"/>
                <w:szCs w:val="14"/>
              </w:rPr>
              <w:t>2</w:t>
            </w:r>
            <w:r>
              <w:rPr>
                <w:rFonts w:cs="Calibri"/>
                <w:color w:val="000000"/>
                <w:sz w:val="14"/>
                <w:szCs w:val="14"/>
              </w:rPr>
              <w:t>.</w:t>
            </w:r>
            <w:r w:rsidRPr="003003C0">
              <w:rPr>
                <w:rFonts w:cs="Calibri"/>
                <w:color w:val="000000"/>
                <w:sz w:val="14"/>
                <w:szCs w:val="14"/>
              </w:rPr>
              <w:t>4</w:t>
            </w:r>
          </w:p>
        </w:tc>
        <w:tc>
          <w:tcPr>
            <w:tcW w:w="722" w:type="dxa"/>
            <w:noWrap/>
            <w:vAlign w:val="center"/>
            <w:hideMark/>
          </w:tcPr>
          <w:p w14:paraId="4CD4633D" w14:textId="77777777" w:rsidR="004F64EF" w:rsidRPr="003003C0" w:rsidRDefault="004F64EF" w:rsidP="00FD6B66">
            <w:pPr>
              <w:jc w:val="right"/>
              <w:rPr>
                <w:rFonts w:cs="Calibri"/>
                <w:color w:val="000000"/>
                <w:sz w:val="14"/>
                <w:szCs w:val="14"/>
              </w:rPr>
            </w:pPr>
            <w:r w:rsidRPr="003003C0">
              <w:rPr>
                <w:rFonts w:cs="Calibri"/>
                <w:color w:val="000000"/>
                <w:sz w:val="14"/>
                <w:szCs w:val="14"/>
              </w:rPr>
              <w:t>2</w:t>
            </w:r>
            <w:r>
              <w:rPr>
                <w:rFonts w:cs="Calibri"/>
                <w:color w:val="000000"/>
                <w:sz w:val="14"/>
                <w:szCs w:val="14"/>
              </w:rPr>
              <w:t>.</w:t>
            </w:r>
            <w:r w:rsidRPr="003003C0">
              <w:rPr>
                <w:rFonts w:cs="Calibri"/>
                <w:color w:val="000000"/>
                <w:sz w:val="14"/>
                <w:szCs w:val="14"/>
              </w:rPr>
              <w:t>2</w:t>
            </w:r>
          </w:p>
        </w:tc>
        <w:tc>
          <w:tcPr>
            <w:tcW w:w="721" w:type="dxa"/>
            <w:noWrap/>
            <w:vAlign w:val="center"/>
            <w:hideMark/>
          </w:tcPr>
          <w:p w14:paraId="0AEFEEEF" w14:textId="77777777" w:rsidR="004F64EF" w:rsidRPr="003003C0" w:rsidRDefault="004F64EF" w:rsidP="00FD6B66">
            <w:pPr>
              <w:jc w:val="right"/>
              <w:rPr>
                <w:rFonts w:cs="Calibri"/>
                <w:color w:val="000000"/>
                <w:sz w:val="14"/>
                <w:szCs w:val="14"/>
              </w:rPr>
            </w:pPr>
            <w:r w:rsidRPr="003003C0">
              <w:rPr>
                <w:rFonts w:cs="Calibri"/>
                <w:color w:val="000000"/>
                <w:sz w:val="14"/>
                <w:szCs w:val="14"/>
              </w:rPr>
              <w:t>2</w:t>
            </w:r>
            <w:r>
              <w:rPr>
                <w:rFonts w:cs="Calibri"/>
                <w:color w:val="000000"/>
                <w:sz w:val="14"/>
                <w:szCs w:val="14"/>
              </w:rPr>
              <w:t>.</w:t>
            </w:r>
            <w:r w:rsidRPr="003003C0">
              <w:rPr>
                <w:rFonts w:cs="Calibri"/>
                <w:color w:val="000000"/>
                <w:sz w:val="14"/>
                <w:szCs w:val="14"/>
              </w:rPr>
              <w:t>1</w:t>
            </w:r>
          </w:p>
        </w:tc>
        <w:tc>
          <w:tcPr>
            <w:tcW w:w="722" w:type="dxa"/>
            <w:noWrap/>
            <w:vAlign w:val="center"/>
            <w:hideMark/>
          </w:tcPr>
          <w:p w14:paraId="31ADFD26" w14:textId="77777777" w:rsidR="004F64EF" w:rsidRPr="003003C0" w:rsidRDefault="004F64EF" w:rsidP="00FD6B66">
            <w:pPr>
              <w:jc w:val="right"/>
              <w:rPr>
                <w:rFonts w:cs="Calibri"/>
                <w:color w:val="000000"/>
                <w:sz w:val="14"/>
                <w:szCs w:val="14"/>
              </w:rPr>
            </w:pPr>
            <w:r w:rsidRPr="003003C0">
              <w:rPr>
                <w:rFonts w:cs="Calibri"/>
                <w:color w:val="000000"/>
                <w:sz w:val="14"/>
                <w:szCs w:val="14"/>
              </w:rPr>
              <w:t>2</w:t>
            </w:r>
            <w:r>
              <w:rPr>
                <w:rFonts w:cs="Calibri"/>
                <w:color w:val="000000"/>
                <w:sz w:val="14"/>
                <w:szCs w:val="14"/>
              </w:rPr>
              <w:t>.</w:t>
            </w:r>
            <w:r w:rsidRPr="003003C0">
              <w:rPr>
                <w:rFonts w:cs="Calibri"/>
                <w:color w:val="000000"/>
                <w:sz w:val="14"/>
                <w:szCs w:val="14"/>
              </w:rPr>
              <w:t>3</w:t>
            </w:r>
          </w:p>
        </w:tc>
        <w:tc>
          <w:tcPr>
            <w:tcW w:w="722" w:type="dxa"/>
            <w:noWrap/>
            <w:vAlign w:val="center"/>
            <w:hideMark/>
          </w:tcPr>
          <w:p w14:paraId="7AD568BA" w14:textId="77777777" w:rsidR="004F64EF" w:rsidRPr="003003C0" w:rsidRDefault="004F64EF" w:rsidP="00FD6B66">
            <w:pPr>
              <w:jc w:val="right"/>
              <w:rPr>
                <w:rFonts w:cs="Calibri"/>
                <w:color w:val="000000"/>
                <w:sz w:val="14"/>
                <w:szCs w:val="14"/>
              </w:rPr>
            </w:pPr>
            <w:r w:rsidRPr="003003C0">
              <w:rPr>
                <w:rFonts w:cs="Calibri"/>
                <w:color w:val="000000"/>
                <w:sz w:val="14"/>
                <w:szCs w:val="14"/>
              </w:rPr>
              <w:t>1</w:t>
            </w:r>
            <w:r>
              <w:rPr>
                <w:rFonts w:cs="Calibri"/>
                <w:color w:val="000000"/>
                <w:sz w:val="14"/>
                <w:szCs w:val="14"/>
              </w:rPr>
              <w:t>.</w:t>
            </w:r>
            <w:r w:rsidRPr="003003C0">
              <w:rPr>
                <w:rFonts w:cs="Calibri"/>
                <w:color w:val="000000"/>
                <w:sz w:val="14"/>
                <w:szCs w:val="14"/>
              </w:rPr>
              <w:t>9</w:t>
            </w:r>
          </w:p>
        </w:tc>
        <w:tc>
          <w:tcPr>
            <w:tcW w:w="722" w:type="dxa"/>
            <w:noWrap/>
            <w:vAlign w:val="center"/>
            <w:hideMark/>
          </w:tcPr>
          <w:p w14:paraId="681FA42D" w14:textId="77777777" w:rsidR="004F64EF" w:rsidRPr="003003C0" w:rsidRDefault="004F64EF" w:rsidP="00FD6B66">
            <w:pPr>
              <w:jc w:val="right"/>
              <w:rPr>
                <w:rFonts w:cs="Calibri"/>
                <w:color w:val="000000"/>
                <w:sz w:val="14"/>
                <w:szCs w:val="14"/>
              </w:rPr>
            </w:pPr>
            <w:r w:rsidRPr="003003C0">
              <w:rPr>
                <w:rFonts w:cs="Calibri"/>
                <w:color w:val="000000"/>
                <w:sz w:val="14"/>
                <w:szCs w:val="14"/>
              </w:rPr>
              <w:t>1</w:t>
            </w:r>
            <w:r>
              <w:rPr>
                <w:rFonts w:cs="Calibri"/>
                <w:color w:val="000000"/>
                <w:sz w:val="14"/>
                <w:szCs w:val="14"/>
              </w:rPr>
              <w:t>.</w:t>
            </w:r>
            <w:r w:rsidRPr="003003C0">
              <w:rPr>
                <w:rFonts w:cs="Calibri"/>
                <w:color w:val="000000"/>
                <w:sz w:val="14"/>
                <w:szCs w:val="14"/>
              </w:rPr>
              <w:t>6</w:t>
            </w:r>
          </w:p>
        </w:tc>
      </w:tr>
      <w:tr w:rsidR="004F64EF" w:rsidRPr="003003C0" w14:paraId="0FAB293B" w14:textId="77777777" w:rsidTr="00FD6B66">
        <w:trPr>
          <w:cnfStyle w:val="000000010000" w:firstRow="0" w:lastRow="0" w:firstColumn="0" w:lastColumn="0" w:oddVBand="0" w:evenVBand="0" w:oddHBand="0" w:evenHBand="1" w:firstRowFirstColumn="0" w:firstRowLastColumn="0" w:lastRowFirstColumn="0" w:lastRowLastColumn="0"/>
          <w:trHeight w:val="20"/>
        </w:trPr>
        <w:tc>
          <w:tcPr>
            <w:tcW w:w="3964" w:type="dxa"/>
            <w:noWrap/>
            <w:vAlign w:val="center"/>
            <w:hideMark/>
          </w:tcPr>
          <w:p w14:paraId="53157A74" w14:textId="77777777" w:rsidR="004F64EF" w:rsidRPr="003003C0" w:rsidRDefault="004F64EF" w:rsidP="00B22563">
            <w:pPr>
              <w:tabs>
                <w:tab w:val="left" w:pos="227"/>
              </w:tabs>
              <w:ind w:left="227" w:hanging="227"/>
              <w:jc w:val="left"/>
              <w:rPr>
                <w:rFonts w:cs="Calibri"/>
                <w:color w:val="000000"/>
                <w:sz w:val="14"/>
                <w:szCs w:val="14"/>
              </w:rPr>
            </w:pPr>
            <w:r w:rsidRPr="003003C0">
              <w:rPr>
                <w:rFonts w:cs="Calibri"/>
                <w:color w:val="000000"/>
                <w:sz w:val="14"/>
                <w:szCs w:val="14"/>
              </w:rPr>
              <w:tab/>
              <w:t xml:space="preserve">94. </w:t>
            </w:r>
            <w:r w:rsidRPr="00BB6143">
              <w:rPr>
                <w:rFonts w:cs="Calibri"/>
                <w:color w:val="000000"/>
                <w:sz w:val="14"/>
                <w:szCs w:val="14"/>
              </w:rPr>
              <w:t>Furniture; bedding, mattresses, mattress supports, cushions and similar stuffed furnishings</w:t>
            </w:r>
          </w:p>
        </w:tc>
        <w:tc>
          <w:tcPr>
            <w:tcW w:w="721" w:type="dxa"/>
            <w:noWrap/>
            <w:vAlign w:val="center"/>
            <w:hideMark/>
          </w:tcPr>
          <w:p w14:paraId="7A07929F" w14:textId="77777777" w:rsidR="004F64EF" w:rsidRPr="003003C0" w:rsidRDefault="004F64EF" w:rsidP="00FD6B66">
            <w:pPr>
              <w:jc w:val="right"/>
              <w:rPr>
                <w:rFonts w:cs="Calibri"/>
                <w:color w:val="000000"/>
                <w:sz w:val="14"/>
                <w:szCs w:val="14"/>
              </w:rPr>
            </w:pPr>
            <w:r w:rsidRPr="003003C0">
              <w:rPr>
                <w:rFonts w:cs="Calibri"/>
                <w:color w:val="000000"/>
                <w:sz w:val="14"/>
                <w:szCs w:val="14"/>
              </w:rPr>
              <w:t>1</w:t>
            </w:r>
            <w:r>
              <w:rPr>
                <w:rFonts w:cs="Calibri"/>
                <w:color w:val="000000"/>
                <w:sz w:val="14"/>
                <w:szCs w:val="14"/>
              </w:rPr>
              <w:t>.</w:t>
            </w:r>
            <w:r w:rsidRPr="003003C0">
              <w:rPr>
                <w:rFonts w:cs="Calibri"/>
                <w:color w:val="000000"/>
                <w:sz w:val="14"/>
                <w:szCs w:val="14"/>
              </w:rPr>
              <w:t>1</w:t>
            </w:r>
          </w:p>
        </w:tc>
        <w:tc>
          <w:tcPr>
            <w:tcW w:w="722" w:type="dxa"/>
            <w:noWrap/>
            <w:vAlign w:val="center"/>
            <w:hideMark/>
          </w:tcPr>
          <w:p w14:paraId="0F90DFD7" w14:textId="77777777" w:rsidR="004F64EF" w:rsidRPr="003003C0" w:rsidRDefault="004F64EF" w:rsidP="00FD6B66">
            <w:pPr>
              <w:jc w:val="right"/>
              <w:rPr>
                <w:rFonts w:cs="Calibri"/>
                <w:color w:val="000000"/>
                <w:sz w:val="14"/>
                <w:szCs w:val="14"/>
              </w:rPr>
            </w:pPr>
            <w:r w:rsidRPr="003003C0">
              <w:rPr>
                <w:rFonts w:cs="Calibri"/>
                <w:color w:val="000000"/>
                <w:sz w:val="14"/>
                <w:szCs w:val="14"/>
              </w:rPr>
              <w:t>1</w:t>
            </w:r>
            <w:r>
              <w:rPr>
                <w:rFonts w:cs="Calibri"/>
                <w:color w:val="000000"/>
                <w:sz w:val="14"/>
                <w:szCs w:val="14"/>
              </w:rPr>
              <w:t>.</w:t>
            </w:r>
            <w:r w:rsidRPr="003003C0">
              <w:rPr>
                <w:rFonts w:cs="Calibri"/>
                <w:color w:val="000000"/>
                <w:sz w:val="14"/>
                <w:szCs w:val="14"/>
              </w:rPr>
              <w:t>3</w:t>
            </w:r>
          </w:p>
        </w:tc>
        <w:tc>
          <w:tcPr>
            <w:tcW w:w="722" w:type="dxa"/>
            <w:noWrap/>
            <w:vAlign w:val="center"/>
            <w:hideMark/>
          </w:tcPr>
          <w:p w14:paraId="43E7FB2B" w14:textId="77777777" w:rsidR="004F64EF" w:rsidRPr="003003C0" w:rsidRDefault="004F64EF" w:rsidP="00FD6B66">
            <w:pPr>
              <w:jc w:val="right"/>
              <w:rPr>
                <w:rFonts w:cs="Calibri"/>
                <w:color w:val="000000"/>
                <w:sz w:val="14"/>
                <w:szCs w:val="14"/>
              </w:rPr>
            </w:pPr>
            <w:r w:rsidRPr="003003C0">
              <w:rPr>
                <w:rFonts w:cs="Calibri"/>
                <w:color w:val="000000"/>
                <w:sz w:val="14"/>
                <w:szCs w:val="14"/>
              </w:rPr>
              <w:t>1</w:t>
            </w:r>
            <w:r>
              <w:rPr>
                <w:rFonts w:cs="Calibri"/>
                <w:color w:val="000000"/>
                <w:sz w:val="14"/>
                <w:szCs w:val="14"/>
              </w:rPr>
              <w:t>.</w:t>
            </w:r>
            <w:r w:rsidRPr="003003C0">
              <w:rPr>
                <w:rFonts w:cs="Calibri"/>
                <w:color w:val="000000"/>
                <w:sz w:val="14"/>
                <w:szCs w:val="14"/>
              </w:rPr>
              <w:t>1</w:t>
            </w:r>
          </w:p>
        </w:tc>
        <w:tc>
          <w:tcPr>
            <w:tcW w:w="721" w:type="dxa"/>
            <w:noWrap/>
            <w:vAlign w:val="center"/>
            <w:hideMark/>
          </w:tcPr>
          <w:p w14:paraId="359B8613" w14:textId="77777777" w:rsidR="004F64EF" w:rsidRPr="003003C0" w:rsidRDefault="004F64EF" w:rsidP="00FD6B66">
            <w:pPr>
              <w:jc w:val="right"/>
              <w:rPr>
                <w:rFonts w:cs="Calibri"/>
                <w:color w:val="000000"/>
                <w:sz w:val="14"/>
                <w:szCs w:val="14"/>
              </w:rPr>
            </w:pPr>
            <w:r w:rsidRPr="003003C0">
              <w:rPr>
                <w:rFonts w:cs="Calibri"/>
                <w:color w:val="000000"/>
                <w:sz w:val="14"/>
                <w:szCs w:val="14"/>
              </w:rPr>
              <w:t>1</w:t>
            </w:r>
            <w:r>
              <w:rPr>
                <w:rFonts w:cs="Calibri"/>
                <w:color w:val="000000"/>
                <w:sz w:val="14"/>
                <w:szCs w:val="14"/>
              </w:rPr>
              <w:t>.</w:t>
            </w:r>
            <w:r w:rsidRPr="003003C0">
              <w:rPr>
                <w:rFonts w:cs="Calibri"/>
                <w:color w:val="000000"/>
                <w:sz w:val="14"/>
                <w:szCs w:val="14"/>
              </w:rPr>
              <w:t>1</w:t>
            </w:r>
          </w:p>
        </w:tc>
        <w:tc>
          <w:tcPr>
            <w:tcW w:w="722" w:type="dxa"/>
            <w:noWrap/>
            <w:vAlign w:val="center"/>
            <w:hideMark/>
          </w:tcPr>
          <w:p w14:paraId="2A735E7F" w14:textId="77777777" w:rsidR="004F64EF" w:rsidRPr="003003C0" w:rsidRDefault="004F64EF" w:rsidP="00FD6B66">
            <w:pPr>
              <w:jc w:val="right"/>
              <w:rPr>
                <w:rFonts w:cs="Calibri"/>
                <w:color w:val="000000"/>
                <w:sz w:val="14"/>
                <w:szCs w:val="14"/>
              </w:rPr>
            </w:pPr>
            <w:r w:rsidRPr="003003C0">
              <w:rPr>
                <w:rFonts w:cs="Calibri"/>
                <w:color w:val="000000"/>
                <w:sz w:val="14"/>
                <w:szCs w:val="14"/>
              </w:rPr>
              <w:t>1</w:t>
            </w:r>
            <w:r>
              <w:rPr>
                <w:rFonts w:cs="Calibri"/>
                <w:color w:val="000000"/>
                <w:sz w:val="14"/>
                <w:szCs w:val="14"/>
              </w:rPr>
              <w:t>.</w:t>
            </w:r>
            <w:r w:rsidRPr="003003C0">
              <w:rPr>
                <w:rFonts w:cs="Calibri"/>
                <w:color w:val="000000"/>
                <w:sz w:val="14"/>
                <w:szCs w:val="14"/>
              </w:rPr>
              <w:t>2</w:t>
            </w:r>
          </w:p>
        </w:tc>
        <w:tc>
          <w:tcPr>
            <w:tcW w:w="722" w:type="dxa"/>
            <w:noWrap/>
            <w:vAlign w:val="center"/>
            <w:hideMark/>
          </w:tcPr>
          <w:p w14:paraId="26FCEE94" w14:textId="77777777" w:rsidR="004F64EF" w:rsidRPr="003003C0" w:rsidRDefault="004F64EF" w:rsidP="00FD6B66">
            <w:pPr>
              <w:jc w:val="right"/>
              <w:rPr>
                <w:rFonts w:cs="Calibri"/>
                <w:color w:val="000000"/>
                <w:sz w:val="14"/>
                <w:szCs w:val="14"/>
              </w:rPr>
            </w:pPr>
            <w:r w:rsidRPr="003003C0">
              <w:rPr>
                <w:rFonts w:cs="Calibri"/>
                <w:color w:val="000000"/>
                <w:sz w:val="14"/>
                <w:szCs w:val="14"/>
              </w:rPr>
              <w:t>0</w:t>
            </w:r>
            <w:r>
              <w:rPr>
                <w:rFonts w:cs="Calibri"/>
                <w:color w:val="000000"/>
                <w:sz w:val="14"/>
                <w:szCs w:val="14"/>
              </w:rPr>
              <w:t>.</w:t>
            </w:r>
            <w:r w:rsidRPr="003003C0">
              <w:rPr>
                <w:rFonts w:cs="Calibri"/>
                <w:color w:val="000000"/>
                <w:sz w:val="14"/>
                <w:szCs w:val="14"/>
              </w:rPr>
              <w:t>9</w:t>
            </w:r>
          </w:p>
        </w:tc>
        <w:tc>
          <w:tcPr>
            <w:tcW w:w="722" w:type="dxa"/>
            <w:noWrap/>
            <w:vAlign w:val="center"/>
            <w:hideMark/>
          </w:tcPr>
          <w:p w14:paraId="50595F55" w14:textId="77777777" w:rsidR="004F64EF" w:rsidRPr="003003C0" w:rsidRDefault="004F64EF" w:rsidP="00FD6B66">
            <w:pPr>
              <w:jc w:val="right"/>
              <w:rPr>
                <w:rFonts w:cs="Calibri"/>
                <w:color w:val="000000"/>
                <w:sz w:val="14"/>
                <w:szCs w:val="14"/>
              </w:rPr>
            </w:pPr>
            <w:r w:rsidRPr="003003C0">
              <w:rPr>
                <w:rFonts w:cs="Calibri"/>
                <w:color w:val="000000"/>
                <w:sz w:val="14"/>
                <w:szCs w:val="14"/>
              </w:rPr>
              <w:t>0</w:t>
            </w:r>
            <w:r>
              <w:rPr>
                <w:rFonts w:cs="Calibri"/>
                <w:color w:val="000000"/>
                <w:sz w:val="14"/>
                <w:szCs w:val="14"/>
              </w:rPr>
              <w:t>.</w:t>
            </w:r>
            <w:r w:rsidRPr="003003C0">
              <w:rPr>
                <w:rFonts w:cs="Calibri"/>
                <w:color w:val="000000"/>
                <w:sz w:val="14"/>
                <w:szCs w:val="14"/>
              </w:rPr>
              <w:t>8</w:t>
            </w:r>
          </w:p>
        </w:tc>
      </w:tr>
      <w:tr w:rsidR="004F64EF" w:rsidRPr="003003C0" w14:paraId="4ADDCA35" w14:textId="77777777" w:rsidTr="00FD6B66">
        <w:trPr>
          <w:trHeight w:val="20"/>
        </w:trPr>
        <w:tc>
          <w:tcPr>
            <w:tcW w:w="3964" w:type="dxa"/>
            <w:noWrap/>
            <w:vAlign w:val="center"/>
            <w:hideMark/>
          </w:tcPr>
          <w:p w14:paraId="34597EBF" w14:textId="77777777" w:rsidR="004F64EF" w:rsidRPr="003003C0" w:rsidRDefault="004F64EF" w:rsidP="00FD6B66">
            <w:pPr>
              <w:tabs>
                <w:tab w:val="left" w:pos="227"/>
              </w:tabs>
              <w:jc w:val="left"/>
              <w:rPr>
                <w:rFonts w:cs="Calibri"/>
                <w:color w:val="000000"/>
                <w:sz w:val="14"/>
                <w:szCs w:val="14"/>
              </w:rPr>
            </w:pPr>
            <w:r w:rsidRPr="003003C0">
              <w:rPr>
                <w:rFonts w:cs="Calibri"/>
                <w:color w:val="000000"/>
                <w:sz w:val="14"/>
                <w:szCs w:val="14"/>
              </w:rPr>
              <w:tab/>
              <w:t xml:space="preserve">96. </w:t>
            </w:r>
            <w:r w:rsidRPr="00BB6143">
              <w:rPr>
                <w:rFonts w:cs="Calibri"/>
                <w:color w:val="000000"/>
                <w:sz w:val="14"/>
                <w:szCs w:val="14"/>
              </w:rPr>
              <w:t>Miscellaneous manufactured articles</w:t>
            </w:r>
          </w:p>
        </w:tc>
        <w:tc>
          <w:tcPr>
            <w:tcW w:w="721" w:type="dxa"/>
            <w:noWrap/>
            <w:vAlign w:val="center"/>
            <w:hideMark/>
          </w:tcPr>
          <w:p w14:paraId="686035B5" w14:textId="77777777" w:rsidR="004F64EF" w:rsidRPr="003003C0" w:rsidRDefault="004F64EF" w:rsidP="00FD6B66">
            <w:pPr>
              <w:jc w:val="right"/>
              <w:rPr>
                <w:rFonts w:cs="Calibri"/>
                <w:color w:val="000000"/>
                <w:sz w:val="14"/>
                <w:szCs w:val="14"/>
              </w:rPr>
            </w:pPr>
            <w:r w:rsidRPr="003003C0">
              <w:rPr>
                <w:rFonts w:cs="Calibri"/>
                <w:color w:val="000000"/>
                <w:sz w:val="14"/>
                <w:szCs w:val="14"/>
              </w:rPr>
              <w:t>0</w:t>
            </w:r>
            <w:r>
              <w:rPr>
                <w:rFonts w:cs="Calibri"/>
                <w:color w:val="000000"/>
                <w:sz w:val="14"/>
                <w:szCs w:val="14"/>
              </w:rPr>
              <w:t>.</w:t>
            </w:r>
            <w:r w:rsidRPr="003003C0">
              <w:rPr>
                <w:rFonts w:cs="Calibri"/>
                <w:color w:val="000000"/>
                <w:sz w:val="14"/>
                <w:szCs w:val="14"/>
              </w:rPr>
              <w:t>8</w:t>
            </w:r>
          </w:p>
        </w:tc>
        <w:tc>
          <w:tcPr>
            <w:tcW w:w="722" w:type="dxa"/>
            <w:noWrap/>
            <w:vAlign w:val="center"/>
            <w:hideMark/>
          </w:tcPr>
          <w:p w14:paraId="4DF9562A" w14:textId="77777777" w:rsidR="004F64EF" w:rsidRPr="003003C0" w:rsidRDefault="004F64EF" w:rsidP="00FD6B66">
            <w:pPr>
              <w:jc w:val="right"/>
              <w:rPr>
                <w:rFonts w:cs="Calibri"/>
                <w:color w:val="000000"/>
                <w:sz w:val="14"/>
                <w:szCs w:val="14"/>
              </w:rPr>
            </w:pPr>
            <w:r w:rsidRPr="003003C0">
              <w:rPr>
                <w:rFonts w:cs="Calibri"/>
                <w:color w:val="000000"/>
                <w:sz w:val="14"/>
                <w:szCs w:val="14"/>
              </w:rPr>
              <w:t>0</w:t>
            </w:r>
            <w:r>
              <w:rPr>
                <w:rFonts w:cs="Calibri"/>
                <w:color w:val="000000"/>
                <w:sz w:val="14"/>
                <w:szCs w:val="14"/>
              </w:rPr>
              <w:t>.</w:t>
            </w:r>
            <w:r w:rsidRPr="003003C0">
              <w:rPr>
                <w:rFonts w:cs="Calibri"/>
                <w:color w:val="000000"/>
                <w:sz w:val="14"/>
                <w:szCs w:val="14"/>
              </w:rPr>
              <w:t>7</w:t>
            </w:r>
          </w:p>
        </w:tc>
        <w:tc>
          <w:tcPr>
            <w:tcW w:w="722" w:type="dxa"/>
            <w:noWrap/>
            <w:vAlign w:val="center"/>
            <w:hideMark/>
          </w:tcPr>
          <w:p w14:paraId="716B7B4C" w14:textId="77777777" w:rsidR="004F64EF" w:rsidRPr="003003C0" w:rsidRDefault="004F64EF" w:rsidP="00FD6B66">
            <w:pPr>
              <w:jc w:val="right"/>
              <w:rPr>
                <w:rFonts w:cs="Calibri"/>
                <w:color w:val="000000"/>
                <w:sz w:val="14"/>
                <w:szCs w:val="14"/>
              </w:rPr>
            </w:pPr>
            <w:r w:rsidRPr="003003C0">
              <w:rPr>
                <w:rFonts w:cs="Calibri"/>
                <w:color w:val="000000"/>
                <w:sz w:val="14"/>
                <w:szCs w:val="14"/>
              </w:rPr>
              <w:t>0</w:t>
            </w:r>
            <w:r>
              <w:rPr>
                <w:rFonts w:cs="Calibri"/>
                <w:color w:val="000000"/>
                <w:sz w:val="14"/>
                <w:szCs w:val="14"/>
              </w:rPr>
              <w:t>.</w:t>
            </w:r>
            <w:r w:rsidRPr="003003C0">
              <w:rPr>
                <w:rFonts w:cs="Calibri"/>
                <w:color w:val="000000"/>
                <w:sz w:val="14"/>
                <w:szCs w:val="14"/>
              </w:rPr>
              <w:t>7</w:t>
            </w:r>
          </w:p>
        </w:tc>
        <w:tc>
          <w:tcPr>
            <w:tcW w:w="721" w:type="dxa"/>
            <w:noWrap/>
            <w:vAlign w:val="center"/>
            <w:hideMark/>
          </w:tcPr>
          <w:p w14:paraId="4365FDFB" w14:textId="77777777" w:rsidR="004F64EF" w:rsidRPr="003003C0" w:rsidRDefault="004F64EF" w:rsidP="00FD6B66">
            <w:pPr>
              <w:jc w:val="right"/>
              <w:rPr>
                <w:rFonts w:cs="Calibri"/>
                <w:color w:val="000000"/>
                <w:sz w:val="14"/>
                <w:szCs w:val="14"/>
              </w:rPr>
            </w:pPr>
            <w:r w:rsidRPr="003003C0">
              <w:rPr>
                <w:rFonts w:cs="Calibri"/>
                <w:color w:val="000000"/>
                <w:sz w:val="14"/>
                <w:szCs w:val="14"/>
              </w:rPr>
              <w:t>0</w:t>
            </w:r>
            <w:r>
              <w:rPr>
                <w:rFonts w:cs="Calibri"/>
                <w:color w:val="000000"/>
                <w:sz w:val="14"/>
                <w:szCs w:val="14"/>
              </w:rPr>
              <w:t>.</w:t>
            </w:r>
            <w:r w:rsidRPr="003003C0">
              <w:rPr>
                <w:rFonts w:cs="Calibri"/>
                <w:color w:val="000000"/>
                <w:sz w:val="14"/>
                <w:szCs w:val="14"/>
              </w:rPr>
              <w:t>6</w:t>
            </w:r>
          </w:p>
        </w:tc>
        <w:tc>
          <w:tcPr>
            <w:tcW w:w="722" w:type="dxa"/>
            <w:noWrap/>
            <w:vAlign w:val="center"/>
            <w:hideMark/>
          </w:tcPr>
          <w:p w14:paraId="3ACD6B43" w14:textId="77777777" w:rsidR="004F64EF" w:rsidRPr="003003C0" w:rsidRDefault="004F64EF" w:rsidP="00FD6B66">
            <w:pPr>
              <w:jc w:val="right"/>
              <w:rPr>
                <w:rFonts w:cs="Calibri"/>
                <w:color w:val="000000"/>
                <w:sz w:val="14"/>
                <w:szCs w:val="14"/>
              </w:rPr>
            </w:pPr>
            <w:r w:rsidRPr="003003C0">
              <w:rPr>
                <w:rFonts w:cs="Calibri"/>
                <w:color w:val="000000"/>
                <w:sz w:val="14"/>
                <w:szCs w:val="14"/>
              </w:rPr>
              <w:t>0</w:t>
            </w:r>
            <w:r>
              <w:rPr>
                <w:rFonts w:cs="Calibri"/>
                <w:color w:val="000000"/>
                <w:sz w:val="14"/>
                <w:szCs w:val="14"/>
              </w:rPr>
              <w:t>.</w:t>
            </w:r>
            <w:r w:rsidRPr="003003C0">
              <w:rPr>
                <w:rFonts w:cs="Calibri"/>
                <w:color w:val="000000"/>
                <w:sz w:val="14"/>
                <w:szCs w:val="14"/>
              </w:rPr>
              <w:t>7</w:t>
            </w:r>
          </w:p>
        </w:tc>
        <w:tc>
          <w:tcPr>
            <w:tcW w:w="722" w:type="dxa"/>
            <w:noWrap/>
            <w:vAlign w:val="center"/>
            <w:hideMark/>
          </w:tcPr>
          <w:p w14:paraId="7598C473" w14:textId="77777777" w:rsidR="004F64EF" w:rsidRPr="003003C0" w:rsidRDefault="004F64EF" w:rsidP="00FD6B66">
            <w:pPr>
              <w:jc w:val="right"/>
              <w:rPr>
                <w:rFonts w:cs="Calibri"/>
                <w:color w:val="000000"/>
                <w:sz w:val="14"/>
                <w:szCs w:val="14"/>
              </w:rPr>
            </w:pPr>
            <w:r w:rsidRPr="003003C0">
              <w:rPr>
                <w:rFonts w:cs="Calibri"/>
                <w:color w:val="000000"/>
                <w:sz w:val="14"/>
                <w:szCs w:val="14"/>
              </w:rPr>
              <w:t>0</w:t>
            </w:r>
            <w:r>
              <w:rPr>
                <w:rFonts w:cs="Calibri"/>
                <w:color w:val="000000"/>
                <w:sz w:val="14"/>
                <w:szCs w:val="14"/>
              </w:rPr>
              <w:t>.</w:t>
            </w:r>
            <w:r w:rsidRPr="003003C0">
              <w:rPr>
                <w:rFonts w:cs="Calibri"/>
                <w:color w:val="000000"/>
                <w:sz w:val="14"/>
                <w:szCs w:val="14"/>
              </w:rPr>
              <w:t>7</w:t>
            </w:r>
          </w:p>
        </w:tc>
        <w:tc>
          <w:tcPr>
            <w:tcW w:w="722" w:type="dxa"/>
            <w:noWrap/>
            <w:vAlign w:val="center"/>
            <w:hideMark/>
          </w:tcPr>
          <w:p w14:paraId="00B56B30" w14:textId="77777777" w:rsidR="004F64EF" w:rsidRPr="003003C0" w:rsidRDefault="004F64EF" w:rsidP="00FD6B66">
            <w:pPr>
              <w:jc w:val="right"/>
              <w:rPr>
                <w:rFonts w:cs="Calibri"/>
                <w:color w:val="000000"/>
                <w:sz w:val="14"/>
                <w:szCs w:val="14"/>
              </w:rPr>
            </w:pPr>
            <w:r w:rsidRPr="003003C0">
              <w:rPr>
                <w:rFonts w:cs="Calibri"/>
                <w:color w:val="000000"/>
                <w:sz w:val="14"/>
                <w:szCs w:val="14"/>
              </w:rPr>
              <w:t>0</w:t>
            </w:r>
            <w:r>
              <w:rPr>
                <w:rFonts w:cs="Calibri"/>
                <w:color w:val="000000"/>
                <w:sz w:val="14"/>
                <w:szCs w:val="14"/>
              </w:rPr>
              <w:t>.</w:t>
            </w:r>
            <w:r w:rsidRPr="003003C0">
              <w:rPr>
                <w:rFonts w:cs="Calibri"/>
                <w:color w:val="000000"/>
                <w:sz w:val="14"/>
                <w:szCs w:val="14"/>
              </w:rPr>
              <w:t>6</w:t>
            </w:r>
          </w:p>
        </w:tc>
      </w:tr>
      <w:tr w:rsidR="004F64EF" w:rsidRPr="003003C0" w14:paraId="0111AF4F" w14:textId="77777777" w:rsidTr="00FD6B66">
        <w:trPr>
          <w:cnfStyle w:val="000000010000" w:firstRow="0" w:lastRow="0" w:firstColumn="0" w:lastColumn="0" w:oddVBand="0" w:evenVBand="0" w:oddHBand="0" w:evenHBand="1" w:firstRowFirstColumn="0" w:firstRowLastColumn="0" w:lastRowFirstColumn="0" w:lastRowLastColumn="0"/>
          <w:trHeight w:val="20"/>
        </w:trPr>
        <w:tc>
          <w:tcPr>
            <w:tcW w:w="3964" w:type="dxa"/>
            <w:noWrap/>
            <w:vAlign w:val="center"/>
            <w:hideMark/>
          </w:tcPr>
          <w:p w14:paraId="39A32ED1" w14:textId="77777777" w:rsidR="004F64EF" w:rsidRPr="003003C0" w:rsidRDefault="004F64EF" w:rsidP="00FD6B66">
            <w:pPr>
              <w:jc w:val="left"/>
              <w:rPr>
                <w:rFonts w:cs="Calibri"/>
                <w:color w:val="000000"/>
                <w:sz w:val="14"/>
                <w:szCs w:val="14"/>
              </w:rPr>
            </w:pPr>
            <w:r w:rsidRPr="003003C0">
              <w:rPr>
                <w:rFonts w:cs="Calibri"/>
                <w:color w:val="000000"/>
                <w:sz w:val="14"/>
                <w:szCs w:val="14"/>
              </w:rPr>
              <w:t xml:space="preserve">21 - </w:t>
            </w:r>
            <w:r>
              <w:rPr>
                <w:rFonts w:cs="Calibri"/>
                <w:color w:val="000000"/>
                <w:sz w:val="14"/>
                <w:szCs w:val="14"/>
              </w:rPr>
              <w:t>W</w:t>
            </w:r>
            <w:r w:rsidRPr="00BB6143">
              <w:rPr>
                <w:rFonts w:cs="Calibri"/>
                <w:color w:val="000000"/>
                <w:sz w:val="14"/>
                <w:szCs w:val="14"/>
              </w:rPr>
              <w:t>orks of art, collectors' pieces and antiques</w:t>
            </w:r>
          </w:p>
        </w:tc>
        <w:tc>
          <w:tcPr>
            <w:tcW w:w="721" w:type="dxa"/>
            <w:noWrap/>
            <w:vAlign w:val="center"/>
            <w:hideMark/>
          </w:tcPr>
          <w:p w14:paraId="4447EBE1" w14:textId="77777777" w:rsidR="004F64EF" w:rsidRPr="003003C0" w:rsidRDefault="004F64EF" w:rsidP="00FD6B66">
            <w:pPr>
              <w:jc w:val="right"/>
              <w:rPr>
                <w:rFonts w:cs="Calibri"/>
                <w:color w:val="000000"/>
                <w:sz w:val="14"/>
                <w:szCs w:val="14"/>
              </w:rPr>
            </w:pPr>
            <w:r w:rsidRPr="003003C0">
              <w:rPr>
                <w:rFonts w:cs="Calibri"/>
                <w:color w:val="000000"/>
                <w:sz w:val="14"/>
                <w:szCs w:val="14"/>
              </w:rPr>
              <w:t>0</w:t>
            </w:r>
            <w:r>
              <w:rPr>
                <w:rFonts w:cs="Calibri"/>
                <w:color w:val="000000"/>
                <w:sz w:val="14"/>
                <w:szCs w:val="14"/>
              </w:rPr>
              <w:t>.</w:t>
            </w:r>
            <w:r w:rsidRPr="003003C0">
              <w:rPr>
                <w:rFonts w:cs="Calibri"/>
                <w:color w:val="000000"/>
                <w:sz w:val="14"/>
                <w:szCs w:val="14"/>
              </w:rPr>
              <w:t>0</w:t>
            </w:r>
          </w:p>
        </w:tc>
        <w:tc>
          <w:tcPr>
            <w:tcW w:w="722" w:type="dxa"/>
            <w:noWrap/>
            <w:vAlign w:val="center"/>
            <w:hideMark/>
          </w:tcPr>
          <w:p w14:paraId="1630FC6B" w14:textId="77777777" w:rsidR="004F64EF" w:rsidRPr="003003C0" w:rsidRDefault="004F64EF" w:rsidP="00FD6B66">
            <w:pPr>
              <w:jc w:val="right"/>
              <w:rPr>
                <w:rFonts w:cs="Calibri"/>
                <w:color w:val="000000"/>
                <w:sz w:val="14"/>
                <w:szCs w:val="14"/>
              </w:rPr>
            </w:pPr>
            <w:r w:rsidRPr="003003C0">
              <w:rPr>
                <w:rFonts w:cs="Calibri"/>
                <w:color w:val="000000"/>
                <w:sz w:val="14"/>
                <w:szCs w:val="14"/>
              </w:rPr>
              <w:t>0</w:t>
            </w:r>
            <w:r>
              <w:rPr>
                <w:rFonts w:cs="Calibri"/>
                <w:color w:val="000000"/>
                <w:sz w:val="14"/>
                <w:szCs w:val="14"/>
              </w:rPr>
              <w:t>.</w:t>
            </w:r>
            <w:r w:rsidRPr="003003C0">
              <w:rPr>
                <w:rFonts w:cs="Calibri"/>
                <w:color w:val="000000"/>
                <w:sz w:val="14"/>
                <w:szCs w:val="14"/>
              </w:rPr>
              <w:t>0</w:t>
            </w:r>
          </w:p>
        </w:tc>
        <w:tc>
          <w:tcPr>
            <w:tcW w:w="722" w:type="dxa"/>
            <w:noWrap/>
            <w:vAlign w:val="center"/>
            <w:hideMark/>
          </w:tcPr>
          <w:p w14:paraId="70505B00" w14:textId="77777777" w:rsidR="004F64EF" w:rsidRPr="003003C0" w:rsidRDefault="004F64EF" w:rsidP="00FD6B66">
            <w:pPr>
              <w:jc w:val="right"/>
              <w:rPr>
                <w:rFonts w:cs="Calibri"/>
                <w:color w:val="000000"/>
                <w:sz w:val="14"/>
                <w:szCs w:val="14"/>
              </w:rPr>
            </w:pPr>
            <w:r w:rsidRPr="003003C0">
              <w:rPr>
                <w:rFonts w:cs="Calibri"/>
                <w:color w:val="000000"/>
                <w:sz w:val="14"/>
                <w:szCs w:val="14"/>
              </w:rPr>
              <w:t>0</w:t>
            </w:r>
            <w:r>
              <w:rPr>
                <w:rFonts w:cs="Calibri"/>
                <w:color w:val="000000"/>
                <w:sz w:val="14"/>
                <w:szCs w:val="14"/>
              </w:rPr>
              <w:t>.</w:t>
            </w:r>
            <w:r w:rsidRPr="003003C0">
              <w:rPr>
                <w:rFonts w:cs="Calibri"/>
                <w:color w:val="000000"/>
                <w:sz w:val="14"/>
                <w:szCs w:val="14"/>
              </w:rPr>
              <w:t>0</w:t>
            </w:r>
          </w:p>
        </w:tc>
        <w:tc>
          <w:tcPr>
            <w:tcW w:w="721" w:type="dxa"/>
            <w:noWrap/>
            <w:vAlign w:val="center"/>
            <w:hideMark/>
          </w:tcPr>
          <w:p w14:paraId="55C00FCD" w14:textId="77777777" w:rsidR="004F64EF" w:rsidRPr="003003C0" w:rsidRDefault="004F64EF" w:rsidP="00FD6B66">
            <w:pPr>
              <w:jc w:val="right"/>
              <w:rPr>
                <w:rFonts w:cs="Calibri"/>
                <w:color w:val="000000"/>
                <w:sz w:val="14"/>
                <w:szCs w:val="14"/>
              </w:rPr>
            </w:pPr>
            <w:r w:rsidRPr="003003C0">
              <w:rPr>
                <w:rFonts w:cs="Calibri"/>
                <w:color w:val="000000"/>
                <w:sz w:val="14"/>
                <w:szCs w:val="14"/>
              </w:rPr>
              <w:t>0</w:t>
            </w:r>
            <w:r>
              <w:rPr>
                <w:rFonts w:cs="Calibri"/>
                <w:color w:val="000000"/>
                <w:sz w:val="14"/>
                <w:szCs w:val="14"/>
              </w:rPr>
              <w:t>.</w:t>
            </w:r>
            <w:r w:rsidRPr="003003C0">
              <w:rPr>
                <w:rFonts w:cs="Calibri"/>
                <w:color w:val="000000"/>
                <w:sz w:val="14"/>
                <w:szCs w:val="14"/>
              </w:rPr>
              <w:t>0</w:t>
            </w:r>
          </w:p>
        </w:tc>
        <w:tc>
          <w:tcPr>
            <w:tcW w:w="722" w:type="dxa"/>
            <w:noWrap/>
            <w:vAlign w:val="center"/>
            <w:hideMark/>
          </w:tcPr>
          <w:p w14:paraId="442B0E9A" w14:textId="77777777" w:rsidR="004F64EF" w:rsidRPr="003003C0" w:rsidRDefault="004F64EF" w:rsidP="00FD6B66">
            <w:pPr>
              <w:jc w:val="right"/>
              <w:rPr>
                <w:rFonts w:cs="Calibri"/>
                <w:color w:val="000000"/>
                <w:sz w:val="14"/>
                <w:szCs w:val="14"/>
              </w:rPr>
            </w:pPr>
            <w:r w:rsidRPr="003003C0">
              <w:rPr>
                <w:rFonts w:cs="Calibri"/>
                <w:color w:val="000000"/>
                <w:sz w:val="14"/>
                <w:szCs w:val="14"/>
              </w:rPr>
              <w:t>0</w:t>
            </w:r>
            <w:r>
              <w:rPr>
                <w:rFonts w:cs="Calibri"/>
                <w:color w:val="000000"/>
                <w:sz w:val="14"/>
                <w:szCs w:val="14"/>
              </w:rPr>
              <w:t>.</w:t>
            </w:r>
            <w:r w:rsidRPr="003003C0">
              <w:rPr>
                <w:rFonts w:cs="Calibri"/>
                <w:color w:val="000000"/>
                <w:sz w:val="14"/>
                <w:szCs w:val="14"/>
              </w:rPr>
              <w:t>0</w:t>
            </w:r>
          </w:p>
        </w:tc>
        <w:tc>
          <w:tcPr>
            <w:tcW w:w="722" w:type="dxa"/>
            <w:noWrap/>
            <w:vAlign w:val="center"/>
            <w:hideMark/>
          </w:tcPr>
          <w:p w14:paraId="42DC0FB3" w14:textId="77777777" w:rsidR="004F64EF" w:rsidRPr="003003C0" w:rsidRDefault="004F64EF" w:rsidP="00FD6B66">
            <w:pPr>
              <w:jc w:val="right"/>
              <w:rPr>
                <w:rFonts w:cs="Calibri"/>
                <w:color w:val="000000"/>
                <w:sz w:val="14"/>
                <w:szCs w:val="14"/>
              </w:rPr>
            </w:pPr>
            <w:r w:rsidRPr="003003C0">
              <w:rPr>
                <w:rFonts w:cs="Calibri"/>
                <w:color w:val="000000"/>
                <w:sz w:val="14"/>
                <w:szCs w:val="14"/>
              </w:rPr>
              <w:t>0</w:t>
            </w:r>
            <w:r>
              <w:rPr>
                <w:rFonts w:cs="Calibri"/>
                <w:color w:val="000000"/>
                <w:sz w:val="14"/>
                <w:szCs w:val="14"/>
              </w:rPr>
              <w:t>.</w:t>
            </w:r>
            <w:r w:rsidRPr="003003C0">
              <w:rPr>
                <w:rFonts w:cs="Calibri"/>
                <w:color w:val="000000"/>
                <w:sz w:val="14"/>
                <w:szCs w:val="14"/>
              </w:rPr>
              <w:t>0</w:t>
            </w:r>
          </w:p>
        </w:tc>
        <w:tc>
          <w:tcPr>
            <w:tcW w:w="722" w:type="dxa"/>
            <w:noWrap/>
            <w:vAlign w:val="center"/>
            <w:hideMark/>
          </w:tcPr>
          <w:p w14:paraId="0F531322" w14:textId="77777777" w:rsidR="004F64EF" w:rsidRPr="003003C0" w:rsidRDefault="004F64EF" w:rsidP="00FD6B66">
            <w:pPr>
              <w:jc w:val="right"/>
              <w:rPr>
                <w:rFonts w:cs="Calibri"/>
                <w:color w:val="000000"/>
                <w:sz w:val="14"/>
                <w:szCs w:val="14"/>
              </w:rPr>
            </w:pPr>
            <w:r w:rsidRPr="003003C0">
              <w:rPr>
                <w:rFonts w:cs="Calibri"/>
                <w:color w:val="000000"/>
                <w:sz w:val="14"/>
                <w:szCs w:val="14"/>
              </w:rPr>
              <w:t>0</w:t>
            </w:r>
            <w:r>
              <w:rPr>
                <w:rFonts w:cs="Calibri"/>
                <w:color w:val="000000"/>
                <w:sz w:val="14"/>
                <w:szCs w:val="14"/>
              </w:rPr>
              <w:t>.</w:t>
            </w:r>
            <w:r w:rsidRPr="003003C0">
              <w:rPr>
                <w:rFonts w:cs="Calibri"/>
                <w:color w:val="000000"/>
                <w:sz w:val="14"/>
                <w:szCs w:val="14"/>
              </w:rPr>
              <w:t>0</w:t>
            </w:r>
          </w:p>
        </w:tc>
      </w:tr>
    </w:tbl>
    <w:p w14:paraId="1E7F26C5" w14:textId="77777777" w:rsidR="004F64EF" w:rsidRPr="003003C0" w:rsidRDefault="004F64EF" w:rsidP="00B91D96">
      <w:pPr>
        <w:pStyle w:val="NoteText"/>
        <w:spacing w:before="120" w:after="240"/>
      </w:pPr>
      <w:r w:rsidRPr="00BB6143">
        <w:t>Source:</w:t>
      </w:r>
      <w:r w:rsidRPr="00BB6143">
        <w:tab/>
        <w:t>WTO Secretariat calculations based on data from COMEX</w:t>
      </w:r>
      <w:r w:rsidRPr="003003C0">
        <w:t>.</w:t>
      </w:r>
    </w:p>
    <w:p w14:paraId="0EFF0878" w14:textId="77777777" w:rsidR="004F64EF" w:rsidRPr="003003C0" w:rsidRDefault="004F64EF" w:rsidP="00B91D96">
      <w:pPr>
        <w:pStyle w:val="NoteText"/>
      </w:pPr>
    </w:p>
    <w:p w14:paraId="68F4ABB6" w14:textId="77777777" w:rsidR="004F64EF" w:rsidRPr="003003C0" w:rsidRDefault="004F64EF" w:rsidP="00B91D96">
      <w:r w:rsidRPr="003003C0">
        <w:br w:type="page"/>
      </w:r>
    </w:p>
    <w:p w14:paraId="0D6C4B96" w14:textId="77777777" w:rsidR="004F64EF" w:rsidRPr="003003C0" w:rsidRDefault="004F64EF" w:rsidP="00B91D96">
      <w:pPr>
        <w:pStyle w:val="Caption"/>
      </w:pPr>
      <w:bookmarkStart w:id="425" w:name="_Toc114735864"/>
      <w:bookmarkStart w:id="426" w:name="_Toc117004282"/>
      <w:r>
        <w:lastRenderedPageBreak/>
        <w:t>Table</w:t>
      </w:r>
      <w:r w:rsidRPr="003003C0">
        <w:t xml:space="preserve"> A1.</w:t>
      </w:r>
      <w:r w:rsidR="00BD37F2">
        <w:fldChar w:fldCharType="begin"/>
      </w:r>
      <w:r w:rsidR="00BD37F2">
        <w:instrText xml:space="preserve"> SEQ Table_A1. \* ARABIC </w:instrText>
      </w:r>
      <w:r w:rsidR="00BD37F2">
        <w:fldChar w:fldCharType="separate"/>
      </w:r>
      <w:r w:rsidRPr="003003C0">
        <w:rPr>
          <w:noProof/>
        </w:rPr>
        <w:t>4</w:t>
      </w:r>
      <w:r w:rsidR="00BD37F2">
        <w:rPr>
          <w:noProof/>
        </w:rPr>
        <w:fldChar w:fldCharType="end"/>
      </w:r>
      <w:r w:rsidRPr="003003C0">
        <w:t xml:space="preserve"> </w:t>
      </w:r>
      <w:r>
        <w:t xml:space="preserve">Imports of consumer goods and reimports </w:t>
      </w:r>
      <w:r w:rsidRPr="003003C0">
        <w:t>(</w:t>
      </w:r>
      <w:r>
        <w:t>f.o.b.</w:t>
      </w:r>
      <w:r w:rsidRPr="003003C0">
        <w:t xml:space="preserve">) </w:t>
      </w:r>
      <w:r w:rsidRPr="00834BB8">
        <w:t>by HS section and main HS</w:t>
      </w:r>
      <w:r>
        <w:t> </w:t>
      </w:r>
      <w:r w:rsidRPr="00834BB8">
        <w:t>chapter</w:t>
      </w:r>
      <w:r w:rsidRPr="003003C0">
        <w:t>, 2015-21</w:t>
      </w:r>
      <w:bookmarkEnd w:id="425"/>
      <w:bookmarkEnd w:id="426"/>
    </w:p>
    <w:p w14:paraId="0E9C68DA" w14:textId="77777777" w:rsidR="004F64EF" w:rsidRPr="003003C0" w:rsidRDefault="004F64EF" w:rsidP="00B91D96">
      <w:pPr>
        <w:pStyle w:val="NoteText"/>
      </w:pPr>
      <w:r w:rsidRPr="003003C0">
        <w:t xml:space="preserve">(USD </w:t>
      </w:r>
      <w:r>
        <w:t>million and</w:t>
      </w:r>
      <w:r w:rsidRPr="003003C0">
        <w:t xml:space="preserve"> %)</w:t>
      </w:r>
    </w:p>
    <w:tbl>
      <w:tblPr>
        <w:tblStyle w:val="WTOTable1"/>
        <w:tblW w:w="0" w:type="auto"/>
        <w:tblLayout w:type="fixed"/>
        <w:tblLook w:val="04A0" w:firstRow="1" w:lastRow="0" w:firstColumn="1" w:lastColumn="0" w:noHBand="0" w:noVBand="1"/>
      </w:tblPr>
      <w:tblGrid>
        <w:gridCol w:w="3964"/>
        <w:gridCol w:w="721"/>
        <w:gridCol w:w="722"/>
        <w:gridCol w:w="722"/>
        <w:gridCol w:w="721"/>
        <w:gridCol w:w="722"/>
        <w:gridCol w:w="722"/>
        <w:gridCol w:w="722"/>
      </w:tblGrid>
      <w:tr w:rsidR="004F64EF" w:rsidRPr="003003C0" w14:paraId="20F3EB91" w14:textId="77777777" w:rsidTr="00FD6B66">
        <w:trPr>
          <w:cnfStyle w:val="100000000000" w:firstRow="1" w:lastRow="0" w:firstColumn="0" w:lastColumn="0" w:oddVBand="0" w:evenVBand="0" w:oddHBand="0" w:evenHBand="0" w:firstRowFirstColumn="0" w:firstRowLastColumn="0" w:lastRowFirstColumn="0" w:lastRowLastColumn="0"/>
          <w:trHeight w:val="20"/>
          <w:tblHeader/>
        </w:trPr>
        <w:tc>
          <w:tcPr>
            <w:tcW w:w="3964" w:type="dxa"/>
            <w:noWrap/>
            <w:vAlign w:val="center"/>
            <w:hideMark/>
          </w:tcPr>
          <w:p w14:paraId="216F1EE1" w14:textId="77777777" w:rsidR="004F64EF" w:rsidRPr="003003C0" w:rsidRDefault="004F64EF" w:rsidP="00FD6B66">
            <w:pPr>
              <w:jc w:val="left"/>
              <w:rPr>
                <w:rFonts w:eastAsia="Times New Roman" w:cs="Calibri"/>
                <w:color w:val="FFFFFF" w:themeColor="background1"/>
                <w:sz w:val="14"/>
                <w:szCs w:val="14"/>
                <w:lang w:eastAsia="en-GB"/>
              </w:rPr>
            </w:pPr>
            <w:r w:rsidRPr="003003C0">
              <w:rPr>
                <w:rFonts w:cs="Calibri"/>
                <w:color w:val="FFFFFF" w:themeColor="background1"/>
                <w:sz w:val="14"/>
                <w:szCs w:val="14"/>
              </w:rPr>
              <w:t>Descrip</w:t>
            </w:r>
            <w:r>
              <w:rPr>
                <w:rFonts w:cs="Calibri"/>
                <w:color w:val="FFFFFF" w:themeColor="background1"/>
                <w:sz w:val="14"/>
                <w:szCs w:val="14"/>
              </w:rPr>
              <w:t>tion</w:t>
            </w:r>
          </w:p>
        </w:tc>
        <w:tc>
          <w:tcPr>
            <w:tcW w:w="721" w:type="dxa"/>
            <w:noWrap/>
            <w:vAlign w:val="center"/>
            <w:hideMark/>
          </w:tcPr>
          <w:p w14:paraId="3F00739B" w14:textId="77777777" w:rsidR="004F64EF" w:rsidRPr="003003C0" w:rsidRDefault="004F64EF" w:rsidP="00FD6B66">
            <w:pPr>
              <w:ind w:right="57"/>
              <w:jc w:val="right"/>
              <w:rPr>
                <w:rFonts w:cs="Calibri"/>
                <w:color w:val="FFFFFF" w:themeColor="background1"/>
                <w:sz w:val="14"/>
                <w:szCs w:val="14"/>
              </w:rPr>
            </w:pPr>
            <w:r w:rsidRPr="003003C0">
              <w:rPr>
                <w:rFonts w:cs="Calibri"/>
                <w:color w:val="FFFFFF" w:themeColor="background1"/>
                <w:sz w:val="14"/>
                <w:szCs w:val="14"/>
              </w:rPr>
              <w:t>2015</w:t>
            </w:r>
          </w:p>
        </w:tc>
        <w:tc>
          <w:tcPr>
            <w:tcW w:w="722" w:type="dxa"/>
            <w:noWrap/>
            <w:vAlign w:val="center"/>
            <w:hideMark/>
          </w:tcPr>
          <w:p w14:paraId="0F5FE14C" w14:textId="77777777" w:rsidR="004F64EF" w:rsidRPr="003003C0" w:rsidRDefault="004F64EF" w:rsidP="00FD6B66">
            <w:pPr>
              <w:ind w:right="57"/>
              <w:jc w:val="right"/>
              <w:rPr>
                <w:rFonts w:cs="Calibri"/>
                <w:color w:val="FFFFFF" w:themeColor="background1"/>
                <w:sz w:val="14"/>
                <w:szCs w:val="14"/>
              </w:rPr>
            </w:pPr>
            <w:r w:rsidRPr="003003C0">
              <w:rPr>
                <w:rFonts w:cs="Calibri"/>
                <w:color w:val="FFFFFF" w:themeColor="background1"/>
                <w:sz w:val="14"/>
                <w:szCs w:val="14"/>
              </w:rPr>
              <w:t>2016</w:t>
            </w:r>
          </w:p>
        </w:tc>
        <w:tc>
          <w:tcPr>
            <w:tcW w:w="722" w:type="dxa"/>
            <w:noWrap/>
            <w:vAlign w:val="center"/>
            <w:hideMark/>
          </w:tcPr>
          <w:p w14:paraId="6C52C7DF" w14:textId="77777777" w:rsidR="004F64EF" w:rsidRPr="003003C0" w:rsidRDefault="004F64EF" w:rsidP="00FD6B66">
            <w:pPr>
              <w:ind w:right="57"/>
              <w:jc w:val="right"/>
              <w:rPr>
                <w:rFonts w:cs="Calibri"/>
                <w:color w:val="FFFFFF" w:themeColor="background1"/>
                <w:sz w:val="14"/>
                <w:szCs w:val="14"/>
              </w:rPr>
            </w:pPr>
            <w:r w:rsidRPr="003003C0">
              <w:rPr>
                <w:rFonts w:cs="Calibri"/>
                <w:color w:val="FFFFFF" w:themeColor="background1"/>
                <w:sz w:val="14"/>
                <w:szCs w:val="14"/>
              </w:rPr>
              <w:t>2017</w:t>
            </w:r>
          </w:p>
        </w:tc>
        <w:tc>
          <w:tcPr>
            <w:tcW w:w="721" w:type="dxa"/>
            <w:noWrap/>
            <w:vAlign w:val="center"/>
            <w:hideMark/>
          </w:tcPr>
          <w:p w14:paraId="3ECA96BF" w14:textId="77777777" w:rsidR="004F64EF" w:rsidRPr="003003C0" w:rsidRDefault="004F64EF" w:rsidP="00FD6B66">
            <w:pPr>
              <w:ind w:right="57"/>
              <w:jc w:val="right"/>
              <w:rPr>
                <w:rFonts w:cs="Calibri"/>
                <w:color w:val="FFFFFF" w:themeColor="background1"/>
                <w:sz w:val="14"/>
                <w:szCs w:val="14"/>
              </w:rPr>
            </w:pPr>
            <w:r w:rsidRPr="003003C0">
              <w:rPr>
                <w:rFonts w:cs="Calibri"/>
                <w:color w:val="FFFFFF" w:themeColor="background1"/>
                <w:sz w:val="14"/>
                <w:szCs w:val="14"/>
              </w:rPr>
              <w:t>2018</w:t>
            </w:r>
          </w:p>
        </w:tc>
        <w:tc>
          <w:tcPr>
            <w:tcW w:w="722" w:type="dxa"/>
            <w:noWrap/>
            <w:vAlign w:val="center"/>
            <w:hideMark/>
          </w:tcPr>
          <w:p w14:paraId="7D05E40A" w14:textId="77777777" w:rsidR="004F64EF" w:rsidRPr="003003C0" w:rsidRDefault="004F64EF" w:rsidP="00FD6B66">
            <w:pPr>
              <w:ind w:right="57"/>
              <w:jc w:val="right"/>
              <w:rPr>
                <w:rFonts w:cs="Calibri"/>
                <w:color w:val="FFFFFF" w:themeColor="background1"/>
                <w:sz w:val="14"/>
                <w:szCs w:val="14"/>
              </w:rPr>
            </w:pPr>
            <w:r w:rsidRPr="003003C0">
              <w:rPr>
                <w:rFonts w:cs="Calibri"/>
                <w:color w:val="FFFFFF" w:themeColor="background1"/>
                <w:sz w:val="14"/>
                <w:szCs w:val="14"/>
              </w:rPr>
              <w:t>2019</w:t>
            </w:r>
          </w:p>
        </w:tc>
        <w:tc>
          <w:tcPr>
            <w:tcW w:w="722" w:type="dxa"/>
            <w:noWrap/>
            <w:vAlign w:val="center"/>
            <w:hideMark/>
          </w:tcPr>
          <w:p w14:paraId="660A5ED9" w14:textId="77777777" w:rsidR="004F64EF" w:rsidRPr="003003C0" w:rsidRDefault="004F64EF" w:rsidP="00FD6B66">
            <w:pPr>
              <w:ind w:right="57"/>
              <w:jc w:val="right"/>
              <w:rPr>
                <w:rFonts w:cs="Calibri"/>
                <w:color w:val="FFFFFF" w:themeColor="background1"/>
                <w:sz w:val="14"/>
                <w:szCs w:val="14"/>
              </w:rPr>
            </w:pPr>
            <w:r w:rsidRPr="003003C0">
              <w:rPr>
                <w:rFonts w:cs="Calibri"/>
                <w:color w:val="FFFFFF" w:themeColor="background1"/>
                <w:sz w:val="14"/>
                <w:szCs w:val="14"/>
              </w:rPr>
              <w:t>2020</w:t>
            </w:r>
          </w:p>
        </w:tc>
        <w:tc>
          <w:tcPr>
            <w:tcW w:w="722" w:type="dxa"/>
            <w:noWrap/>
            <w:vAlign w:val="center"/>
            <w:hideMark/>
          </w:tcPr>
          <w:p w14:paraId="36E5978E" w14:textId="77777777" w:rsidR="004F64EF" w:rsidRPr="003003C0" w:rsidRDefault="004F64EF" w:rsidP="00FD6B66">
            <w:pPr>
              <w:ind w:right="57"/>
              <w:jc w:val="right"/>
              <w:rPr>
                <w:rFonts w:cs="Calibri"/>
                <w:color w:val="FFFFFF" w:themeColor="background1"/>
                <w:sz w:val="14"/>
                <w:szCs w:val="14"/>
              </w:rPr>
            </w:pPr>
            <w:r w:rsidRPr="003003C0">
              <w:rPr>
                <w:rFonts w:cs="Calibri"/>
                <w:color w:val="FFFFFF" w:themeColor="background1"/>
                <w:sz w:val="14"/>
                <w:szCs w:val="14"/>
              </w:rPr>
              <w:t>2021</w:t>
            </w:r>
          </w:p>
        </w:tc>
      </w:tr>
      <w:tr w:rsidR="004F64EF" w:rsidRPr="003003C0" w14:paraId="0E6476CE" w14:textId="77777777" w:rsidTr="00FD6B66">
        <w:trPr>
          <w:trHeight w:val="20"/>
        </w:trPr>
        <w:tc>
          <w:tcPr>
            <w:tcW w:w="3964" w:type="dxa"/>
            <w:noWrap/>
            <w:vAlign w:val="center"/>
            <w:hideMark/>
          </w:tcPr>
          <w:p w14:paraId="48A0F05E" w14:textId="77777777" w:rsidR="004F64EF" w:rsidRPr="003003C0" w:rsidRDefault="004F64EF" w:rsidP="00FD6B66">
            <w:pPr>
              <w:jc w:val="left"/>
              <w:rPr>
                <w:rFonts w:cs="Calibri"/>
                <w:color w:val="000000"/>
                <w:sz w:val="14"/>
                <w:szCs w:val="14"/>
              </w:rPr>
            </w:pPr>
            <w:r>
              <w:rPr>
                <w:rFonts w:cs="Calibri"/>
                <w:color w:val="000000"/>
                <w:sz w:val="14"/>
                <w:szCs w:val="14"/>
              </w:rPr>
              <w:t>Total imports</w:t>
            </w:r>
            <w:r w:rsidRPr="003003C0">
              <w:rPr>
                <w:rFonts w:cs="Calibri"/>
                <w:color w:val="000000"/>
                <w:sz w:val="14"/>
                <w:szCs w:val="14"/>
              </w:rPr>
              <w:t xml:space="preserve"> (</w:t>
            </w:r>
            <w:r>
              <w:rPr>
                <w:rFonts w:cs="Calibri"/>
                <w:color w:val="000000"/>
                <w:sz w:val="14"/>
                <w:szCs w:val="14"/>
              </w:rPr>
              <w:t>f.o.b.</w:t>
            </w:r>
            <w:r w:rsidRPr="003003C0">
              <w:rPr>
                <w:rFonts w:cs="Calibri"/>
                <w:color w:val="000000"/>
                <w:sz w:val="14"/>
                <w:szCs w:val="14"/>
              </w:rPr>
              <w:t>, USD</w:t>
            </w:r>
            <w:r>
              <w:rPr>
                <w:rFonts w:cs="Calibri"/>
                <w:color w:val="000000"/>
                <w:sz w:val="14"/>
                <w:szCs w:val="14"/>
              </w:rPr>
              <w:t xml:space="preserve"> million</w:t>
            </w:r>
            <w:r w:rsidRPr="003003C0">
              <w:rPr>
                <w:rFonts w:cs="Calibri"/>
                <w:color w:val="000000"/>
                <w:sz w:val="14"/>
                <w:szCs w:val="14"/>
              </w:rPr>
              <w:t>)</w:t>
            </w:r>
          </w:p>
        </w:tc>
        <w:tc>
          <w:tcPr>
            <w:tcW w:w="721" w:type="dxa"/>
            <w:noWrap/>
            <w:vAlign w:val="center"/>
            <w:hideMark/>
          </w:tcPr>
          <w:p w14:paraId="6132260E" w14:textId="77777777" w:rsidR="004F64EF" w:rsidRPr="003003C0" w:rsidRDefault="004F64EF" w:rsidP="00FD6B66">
            <w:pPr>
              <w:ind w:left="-57"/>
              <w:jc w:val="right"/>
              <w:rPr>
                <w:rFonts w:cs="Calibri"/>
                <w:color w:val="000000"/>
                <w:sz w:val="14"/>
                <w:szCs w:val="14"/>
              </w:rPr>
            </w:pPr>
            <w:r w:rsidRPr="003003C0">
              <w:rPr>
                <w:rFonts w:cs="Calibri"/>
                <w:color w:val="000000"/>
                <w:sz w:val="14"/>
                <w:szCs w:val="14"/>
              </w:rPr>
              <w:t>17</w:t>
            </w:r>
            <w:r>
              <w:rPr>
                <w:rFonts w:cs="Calibri"/>
                <w:color w:val="000000"/>
                <w:sz w:val="14"/>
                <w:szCs w:val="14"/>
              </w:rPr>
              <w:t>,</w:t>
            </w:r>
            <w:r w:rsidRPr="003003C0">
              <w:rPr>
                <w:rFonts w:cs="Calibri"/>
                <w:color w:val="000000"/>
                <w:sz w:val="14"/>
                <w:szCs w:val="14"/>
              </w:rPr>
              <w:t>102</w:t>
            </w:r>
          </w:p>
        </w:tc>
        <w:tc>
          <w:tcPr>
            <w:tcW w:w="722" w:type="dxa"/>
            <w:noWrap/>
            <w:vAlign w:val="center"/>
            <w:hideMark/>
          </w:tcPr>
          <w:p w14:paraId="5BEAD41B" w14:textId="77777777" w:rsidR="004F64EF" w:rsidRPr="003003C0" w:rsidRDefault="004F64EF" w:rsidP="00FD6B66">
            <w:pPr>
              <w:ind w:left="-57"/>
              <w:jc w:val="right"/>
              <w:rPr>
                <w:rFonts w:cs="Calibri"/>
                <w:color w:val="000000"/>
                <w:sz w:val="14"/>
                <w:szCs w:val="14"/>
              </w:rPr>
            </w:pPr>
            <w:r w:rsidRPr="003003C0">
              <w:rPr>
                <w:rFonts w:cs="Calibri"/>
                <w:color w:val="000000"/>
                <w:sz w:val="14"/>
                <w:szCs w:val="14"/>
              </w:rPr>
              <w:t>17</w:t>
            </w:r>
            <w:r>
              <w:rPr>
                <w:rFonts w:cs="Calibri"/>
                <w:color w:val="000000"/>
                <w:sz w:val="14"/>
                <w:szCs w:val="14"/>
              </w:rPr>
              <w:t>,</w:t>
            </w:r>
            <w:r w:rsidRPr="003003C0">
              <w:rPr>
                <w:rFonts w:cs="Calibri"/>
                <w:color w:val="000000"/>
                <w:sz w:val="14"/>
                <w:szCs w:val="14"/>
              </w:rPr>
              <w:t>816</w:t>
            </w:r>
          </w:p>
        </w:tc>
        <w:tc>
          <w:tcPr>
            <w:tcW w:w="722" w:type="dxa"/>
            <w:noWrap/>
            <w:vAlign w:val="center"/>
            <w:hideMark/>
          </w:tcPr>
          <w:p w14:paraId="5AD7F4A9" w14:textId="77777777" w:rsidR="004F64EF" w:rsidRPr="003003C0" w:rsidRDefault="004F64EF" w:rsidP="00FD6B66">
            <w:pPr>
              <w:ind w:left="-57"/>
              <w:jc w:val="right"/>
              <w:rPr>
                <w:rFonts w:cs="Calibri"/>
                <w:color w:val="000000"/>
                <w:sz w:val="14"/>
                <w:szCs w:val="14"/>
              </w:rPr>
            </w:pPr>
            <w:r w:rsidRPr="003003C0">
              <w:rPr>
                <w:rFonts w:cs="Calibri"/>
                <w:color w:val="000000"/>
                <w:sz w:val="14"/>
                <w:szCs w:val="14"/>
              </w:rPr>
              <w:t>18</w:t>
            </w:r>
            <w:r>
              <w:rPr>
                <w:rFonts w:cs="Calibri"/>
                <w:color w:val="000000"/>
                <w:sz w:val="14"/>
                <w:szCs w:val="14"/>
              </w:rPr>
              <w:t>,</w:t>
            </w:r>
            <w:r w:rsidRPr="003003C0">
              <w:rPr>
                <w:rFonts w:cs="Calibri"/>
                <w:color w:val="000000"/>
                <w:sz w:val="14"/>
                <w:szCs w:val="14"/>
              </w:rPr>
              <w:t>120</w:t>
            </w:r>
          </w:p>
        </w:tc>
        <w:tc>
          <w:tcPr>
            <w:tcW w:w="721" w:type="dxa"/>
            <w:noWrap/>
            <w:vAlign w:val="center"/>
            <w:hideMark/>
          </w:tcPr>
          <w:p w14:paraId="29D1E3F8" w14:textId="77777777" w:rsidR="004F64EF" w:rsidRPr="003003C0" w:rsidRDefault="004F64EF" w:rsidP="00FD6B66">
            <w:pPr>
              <w:ind w:left="-57"/>
              <w:jc w:val="right"/>
              <w:rPr>
                <w:rFonts w:cs="Calibri"/>
                <w:color w:val="000000"/>
                <w:sz w:val="14"/>
                <w:szCs w:val="14"/>
              </w:rPr>
            </w:pPr>
            <w:r w:rsidRPr="003003C0">
              <w:rPr>
                <w:rFonts w:cs="Calibri"/>
                <w:color w:val="000000"/>
                <w:sz w:val="14"/>
                <w:szCs w:val="14"/>
              </w:rPr>
              <w:t>20</w:t>
            </w:r>
            <w:r>
              <w:rPr>
                <w:rFonts w:cs="Calibri"/>
                <w:color w:val="000000"/>
                <w:sz w:val="14"/>
                <w:szCs w:val="14"/>
              </w:rPr>
              <w:t>,</w:t>
            </w:r>
            <w:r w:rsidRPr="003003C0">
              <w:rPr>
                <w:rFonts w:cs="Calibri"/>
                <w:color w:val="000000"/>
                <w:sz w:val="14"/>
                <w:szCs w:val="14"/>
              </w:rPr>
              <w:t>356</w:t>
            </w:r>
          </w:p>
        </w:tc>
        <w:tc>
          <w:tcPr>
            <w:tcW w:w="722" w:type="dxa"/>
            <w:noWrap/>
            <w:vAlign w:val="center"/>
            <w:hideMark/>
          </w:tcPr>
          <w:p w14:paraId="74235C22" w14:textId="77777777" w:rsidR="004F64EF" w:rsidRPr="003003C0" w:rsidRDefault="004F64EF" w:rsidP="00FD6B66">
            <w:pPr>
              <w:ind w:left="-57"/>
              <w:jc w:val="right"/>
              <w:rPr>
                <w:rFonts w:cs="Calibri"/>
                <w:color w:val="000000"/>
                <w:sz w:val="14"/>
                <w:szCs w:val="14"/>
              </w:rPr>
            </w:pPr>
            <w:r w:rsidRPr="003003C0">
              <w:rPr>
                <w:rFonts w:cs="Calibri"/>
                <w:color w:val="000000"/>
                <w:sz w:val="14"/>
                <w:szCs w:val="14"/>
              </w:rPr>
              <w:t>20</w:t>
            </w:r>
            <w:r>
              <w:rPr>
                <w:rFonts w:cs="Calibri"/>
                <w:color w:val="000000"/>
                <w:sz w:val="14"/>
                <w:szCs w:val="14"/>
              </w:rPr>
              <w:t>,</w:t>
            </w:r>
            <w:r w:rsidRPr="003003C0">
              <w:rPr>
                <w:rFonts w:cs="Calibri"/>
                <w:color w:val="000000"/>
                <w:sz w:val="14"/>
                <w:szCs w:val="14"/>
              </w:rPr>
              <w:t>415</w:t>
            </w:r>
          </w:p>
        </w:tc>
        <w:tc>
          <w:tcPr>
            <w:tcW w:w="722" w:type="dxa"/>
            <w:noWrap/>
            <w:vAlign w:val="center"/>
            <w:hideMark/>
          </w:tcPr>
          <w:p w14:paraId="0B9289A7" w14:textId="77777777" w:rsidR="004F64EF" w:rsidRPr="003003C0" w:rsidRDefault="004F64EF" w:rsidP="00FD6B66">
            <w:pPr>
              <w:ind w:left="-57"/>
              <w:jc w:val="right"/>
              <w:rPr>
                <w:rFonts w:cs="Calibri"/>
                <w:color w:val="000000"/>
                <w:sz w:val="14"/>
                <w:szCs w:val="14"/>
              </w:rPr>
            </w:pPr>
            <w:r w:rsidRPr="003003C0">
              <w:rPr>
                <w:rFonts w:cs="Calibri"/>
                <w:color w:val="000000"/>
                <w:sz w:val="14"/>
                <w:szCs w:val="14"/>
              </w:rPr>
              <w:t>17</w:t>
            </w:r>
            <w:r>
              <w:rPr>
                <w:rFonts w:cs="Calibri"/>
                <w:color w:val="000000"/>
                <w:sz w:val="14"/>
                <w:szCs w:val="14"/>
              </w:rPr>
              <w:t>,</w:t>
            </w:r>
            <w:r w:rsidRPr="003003C0">
              <w:rPr>
                <w:rFonts w:cs="Calibri"/>
                <w:color w:val="000000"/>
                <w:sz w:val="14"/>
                <w:szCs w:val="14"/>
              </w:rPr>
              <w:t>118</w:t>
            </w:r>
          </w:p>
        </w:tc>
        <w:tc>
          <w:tcPr>
            <w:tcW w:w="722" w:type="dxa"/>
            <w:noWrap/>
            <w:vAlign w:val="center"/>
            <w:hideMark/>
          </w:tcPr>
          <w:p w14:paraId="0FB7848B" w14:textId="77777777" w:rsidR="004F64EF" w:rsidRPr="003003C0" w:rsidRDefault="004F64EF" w:rsidP="00FD6B66">
            <w:pPr>
              <w:ind w:left="-57"/>
              <w:jc w:val="right"/>
              <w:rPr>
                <w:rFonts w:cs="Calibri"/>
                <w:color w:val="000000"/>
                <w:sz w:val="14"/>
                <w:szCs w:val="14"/>
              </w:rPr>
            </w:pPr>
            <w:r w:rsidRPr="003003C0">
              <w:rPr>
                <w:rFonts w:cs="Calibri"/>
                <w:color w:val="000000"/>
                <w:sz w:val="14"/>
                <w:szCs w:val="14"/>
              </w:rPr>
              <w:t>24</w:t>
            </w:r>
            <w:r>
              <w:rPr>
                <w:rFonts w:cs="Calibri"/>
                <w:color w:val="000000"/>
                <w:sz w:val="14"/>
                <w:szCs w:val="14"/>
              </w:rPr>
              <w:t>,</w:t>
            </w:r>
            <w:r w:rsidRPr="003003C0">
              <w:rPr>
                <w:rFonts w:cs="Calibri"/>
                <w:color w:val="000000"/>
                <w:sz w:val="14"/>
                <w:szCs w:val="14"/>
              </w:rPr>
              <w:t>487</w:t>
            </w:r>
          </w:p>
        </w:tc>
      </w:tr>
      <w:tr w:rsidR="004F64EF" w:rsidRPr="003003C0" w14:paraId="2AAC4541" w14:textId="77777777" w:rsidTr="00FD6B66">
        <w:trPr>
          <w:cnfStyle w:val="000000010000" w:firstRow="0" w:lastRow="0" w:firstColumn="0" w:lastColumn="0" w:oddVBand="0" w:evenVBand="0" w:oddHBand="0" w:evenHBand="1" w:firstRowFirstColumn="0" w:firstRowLastColumn="0" w:lastRowFirstColumn="0" w:lastRowLastColumn="0"/>
          <w:trHeight w:val="20"/>
        </w:trPr>
        <w:tc>
          <w:tcPr>
            <w:tcW w:w="3964" w:type="dxa"/>
            <w:noWrap/>
            <w:vAlign w:val="center"/>
            <w:hideMark/>
          </w:tcPr>
          <w:p w14:paraId="3F2E7A0D" w14:textId="6D4E940C" w:rsidR="004F64EF" w:rsidRPr="00BD438C" w:rsidRDefault="00C14E6A" w:rsidP="00FD6B66">
            <w:pPr>
              <w:jc w:val="left"/>
              <w:rPr>
                <w:rFonts w:cs="Calibri"/>
                <w:color w:val="000000"/>
                <w:sz w:val="14"/>
                <w:szCs w:val="14"/>
              </w:rPr>
            </w:pPr>
            <w:r w:rsidRPr="00BD438C">
              <w:rPr>
                <w:rFonts w:cs="Calibri"/>
                <w:color w:val="000000"/>
                <w:sz w:val="14"/>
                <w:szCs w:val="14"/>
              </w:rPr>
              <w:t>C</w:t>
            </w:r>
            <w:r w:rsidR="004F64EF" w:rsidRPr="00BD438C">
              <w:rPr>
                <w:rFonts w:cs="Calibri"/>
                <w:color w:val="000000"/>
                <w:sz w:val="14"/>
                <w:szCs w:val="14"/>
              </w:rPr>
              <w:t>onsumer goods, other (% of total imports)</w:t>
            </w:r>
          </w:p>
        </w:tc>
        <w:tc>
          <w:tcPr>
            <w:tcW w:w="721" w:type="dxa"/>
            <w:noWrap/>
            <w:vAlign w:val="center"/>
            <w:hideMark/>
          </w:tcPr>
          <w:p w14:paraId="750D2DEB" w14:textId="77777777" w:rsidR="004F64EF" w:rsidRPr="00993038" w:rsidRDefault="004F64EF" w:rsidP="00FD6B66">
            <w:pPr>
              <w:jc w:val="right"/>
              <w:rPr>
                <w:rFonts w:cs="Calibri"/>
                <w:color w:val="000000"/>
                <w:sz w:val="14"/>
                <w:szCs w:val="14"/>
              </w:rPr>
            </w:pPr>
            <w:r w:rsidRPr="00993038">
              <w:rPr>
                <w:rFonts w:cs="Calibri"/>
                <w:color w:val="000000"/>
                <w:sz w:val="14"/>
                <w:szCs w:val="14"/>
              </w:rPr>
              <w:t>78.5</w:t>
            </w:r>
          </w:p>
        </w:tc>
        <w:tc>
          <w:tcPr>
            <w:tcW w:w="722" w:type="dxa"/>
            <w:noWrap/>
            <w:vAlign w:val="center"/>
            <w:hideMark/>
          </w:tcPr>
          <w:p w14:paraId="15A7917A" w14:textId="77777777" w:rsidR="004F64EF" w:rsidRPr="00993038" w:rsidRDefault="004F64EF" w:rsidP="00FD6B66">
            <w:pPr>
              <w:jc w:val="right"/>
              <w:rPr>
                <w:rFonts w:cs="Calibri"/>
                <w:color w:val="000000"/>
                <w:sz w:val="14"/>
                <w:szCs w:val="14"/>
              </w:rPr>
            </w:pPr>
            <w:r w:rsidRPr="00993038">
              <w:rPr>
                <w:rFonts w:cs="Calibri"/>
                <w:color w:val="000000"/>
                <w:sz w:val="14"/>
                <w:szCs w:val="14"/>
              </w:rPr>
              <w:t>79.0</w:t>
            </w:r>
          </w:p>
        </w:tc>
        <w:tc>
          <w:tcPr>
            <w:tcW w:w="722" w:type="dxa"/>
            <w:noWrap/>
            <w:vAlign w:val="center"/>
            <w:hideMark/>
          </w:tcPr>
          <w:p w14:paraId="5884A799" w14:textId="77777777" w:rsidR="004F64EF" w:rsidRPr="00993038" w:rsidRDefault="004F64EF" w:rsidP="00FD6B66">
            <w:pPr>
              <w:jc w:val="right"/>
              <w:rPr>
                <w:rFonts w:cs="Calibri"/>
                <w:color w:val="000000"/>
                <w:sz w:val="14"/>
                <w:szCs w:val="14"/>
              </w:rPr>
            </w:pPr>
            <w:r w:rsidRPr="00993038">
              <w:rPr>
                <w:rFonts w:cs="Calibri"/>
                <w:color w:val="000000"/>
                <w:sz w:val="14"/>
                <w:szCs w:val="14"/>
              </w:rPr>
              <w:t>78.2</w:t>
            </w:r>
          </w:p>
        </w:tc>
        <w:tc>
          <w:tcPr>
            <w:tcW w:w="721" w:type="dxa"/>
            <w:noWrap/>
            <w:vAlign w:val="center"/>
            <w:hideMark/>
          </w:tcPr>
          <w:p w14:paraId="741E6DD9" w14:textId="77777777" w:rsidR="004F64EF" w:rsidRPr="00993038" w:rsidRDefault="004F64EF" w:rsidP="00FD6B66">
            <w:pPr>
              <w:jc w:val="right"/>
              <w:rPr>
                <w:rFonts w:cs="Calibri"/>
                <w:color w:val="000000"/>
                <w:sz w:val="14"/>
                <w:szCs w:val="14"/>
              </w:rPr>
            </w:pPr>
            <w:r w:rsidRPr="00993038">
              <w:rPr>
                <w:rFonts w:cs="Calibri"/>
                <w:color w:val="000000"/>
                <w:sz w:val="14"/>
                <w:szCs w:val="14"/>
              </w:rPr>
              <w:t>80.3</w:t>
            </w:r>
          </w:p>
        </w:tc>
        <w:tc>
          <w:tcPr>
            <w:tcW w:w="722" w:type="dxa"/>
            <w:noWrap/>
            <w:vAlign w:val="center"/>
            <w:hideMark/>
          </w:tcPr>
          <w:p w14:paraId="4E6912CB" w14:textId="77777777" w:rsidR="004F64EF" w:rsidRPr="00993038" w:rsidRDefault="004F64EF" w:rsidP="00FD6B66">
            <w:pPr>
              <w:jc w:val="right"/>
              <w:rPr>
                <w:rFonts w:cs="Calibri"/>
                <w:color w:val="000000"/>
                <w:sz w:val="14"/>
                <w:szCs w:val="14"/>
              </w:rPr>
            </w:pPr>
            <w:r w:rsidRPr="00993038">
              <w:rPr>
                <w:rFonts w:cs="Calibri"/>
                <w:color w:val="000000"/>
                <w:sz w:val="14"/>
                <w:szCs w:val="14"/>
              </w:rPr>
              <w:t>79.8</w:t>
            </w:r>
          </w:p>
        </w:tc>
        <w:tc>
          <w:tcPr>
            <w:tcW w:w="722" w:type="dxa"/>
            <w:noWrap/>
            <w:vAlign w:val="center"/>
            <w:hideMark/>
          </w:tcPr>
          <w:p w14:paraId="3002E46B" w14:textId="77777777" w:rsidR="004F64EF" w:rsidRPr="00993038" w:rsidRDefault="004F64EF" w:rsidP="00FD6B66">
            <w:pPr>
              <w:jc w:val="right"/>
              <w:rPr>
                <w:rFonts w:cs="Calibri"/>
                <w:color w:val="000000"/>
                <w:sz w:val="14"/>
                <w:szCs w:val="14"/>
              </w:rPr>
            </w:pPr>
            <w:r w:rsidRPr="00993038">
              <w:rPr>
                <w:rFonts w:cs="Calibri"/>
                <w:color w:val="000000"/>
                <w:sz w:val="14"/>
                <w:szCs w:val="14"/>
              </w:rPr>
              <w:t>78.2</w:t>
            </w:r>
          </w:p>
        </w:tc>
        <w:tc>
          <w:tcPr>
            <w:tcW w:w="722" w:type="dxa"/>
            <w:noWrap/>
            <w:vAlign w:val="center"/>
            <w:hideMark/>
          </w:tcPr>
          <w:p w14:paraId="7A019B35" w14:textId="77777777" w:rsidR="004F64EF" w:rsidRPr="00993038" w:rsidRDefault="004F64EF" w:rsidP="00FD6B66">
            <w:pPr>
              <w:jc w:val="right"/>
              <w:rPr>
                <w:rFonts w:cs="Calibri"/>
                <w:color w:val="000000"/>
                <w:sz w:val="14"/>
                <w:szCs w:val="14"/>
              </w:rPr>
            </w:pPr>
            <w:r w:rsidRPr="00993038">
              <w:rPr>
                <w:rFonts w:cs="Calibri"/>
                <w:color w:val="000000"/>
                <w:sz w:val="14"/>
                <w:szCs w:val="14"/>
              </w:rPr>
              <w:t>80.3</w:t>
            </w:r>
          </w:p>
        </w:tc>
      </w:tr>
      <w:tr w:rsidR="004F64EF" w:rsidRPr="003003C0" w14:paraId="4F71E51A" w14:textId="77777777" w:rsidTr="00FD6B66">
        <w:trPr>
          <w:trHeight w:val="20"/>
        </w:trPr>
        <w:tc>
          <w:tcPr>
            <w:tcW w:w="3964" w:type="dxa"/>
            <w:noWrap/>
            <w:vAlign w:val="center"/>
            <w:hideMark/>
          </w:tcPr>
          <w:p w14:paraId="2DE991FA" w14:textId="77777777" w:rsidR="004F64EF" w:rsidRPr="003003C0" w:rsidRDefault="004F64EF" w:rsidP="00FD6B66">
            <w:pPr>
              <w:tabs>
                <w:tab w:val="left" w:pos="227"/>
              </w:tabs>
              <w:jc w:val="left"/>
              <w:rPr>
                <w:rFonts w:cs="Calibri"/>
                <w:color w:val="000000"/>
                <w:sz w:val="14"/>
                <w:szCs w:val="14"/>
              </w:rPr>
            </w:pPr>
            <w:r w:rsidRPr="003003C0">
              <w:rPr>
                <w:rFonts w:cs="Calibri"/>
                <w:color w:val="000000"/>
                <w:sz w:val="14"/>
                <w:szCs w:val="14"/>
              </w:rPr>
              <w:tab/>
            </w:r>
            <w:r>
              <w:rPr>
                <w:rFonts w:cs="Calibri"/>
                <w:color w:val="000000"/>
                <w:sz w:val="14"/>
                <w:szCs w:val="14"/>
              </w:rPr>
              <w:t>free zones</w:t>
            </w:r>
            <w:r w:rsidRPr="003003C0">
              <w:rPr>
                <w:rFonts w:cs="Calibri"/>
                <w:color w:val="000000"/>
                <w:sz w:val="14"/>
                <w:szCs w:val="14"/>
              </w:rPr>
              <w:t xml:space="preserve"> (% </w:t>
            </w:r>
            <w:r>
              <w:rPr>
                <w:rFonts w:cs="Calibri"/>
                <w:color w:val="000000"/>
                <w:sz w:val="14"/>
                <w:szCs w:val="14"/>
              </w:rPr>
              <w:t>of total imports</w:t>
            </w:r>
            <w:r w:rsidRPr="003003C0">
              <w:rPr>
                <w:rFonts w:cs="Calibri"/>
                <w:color w:val="000000"/>
                <w:sz w:val="14"/>
                <w:szCs w:val="14"/>
              </w:rPr>
              <w:t>)</w:t>
            </w:r>
          </w:p>
        </w:tc>
        <w:tc>
          <w:tcPr>
            <w:tcW w:w="721" w:type="dxa"/>
            <w:noWrap/>
            <w:vAlign w:val="center"/>
            <w:hideMark/>
          </w:tcPr>
          <w:p w14:paraId="7491E29B" w14:textId="77777777" w:rsidR="004F64EF" w:rsidRPr="003003C0" w:rsidRDefault="004F64EF" w:rsidP="00FD6B66">
            <w:pPr>
              <w:jc w:val="right"/>
              <w:rPr>
                <w:rFonts w:cs="Calibri"/>
                <w:color w:val="000000"/>
                <w:sz w:val="14"/>
                <w:szCs w:val="14"/>
              </w:rPr>
            </w:pPr>
            <w:r w:rsidRPr="003003C0">
              <w:rPr>
                <w:rFonts w:cs="Calibri"/>
                <w:color w:val="000000"/>
                <w:sz w:val="14"/>
                <w:szCs w:val="14"/>
              </w:rPr>
              <w:t>21</w:t>
            </w:r>
            <w:r>
              <w:rPr>
                <w:rFonts w:cs="Calibri"/>
                <w:color w:val="000000"/>
                <w:sz w:val="14"/>
                <w:szCs w:val="14"/>
              </w:rPr>
              <w:t>.</w:t>
            </w:r>
            <w:r w:rsidRPr="003003C0">
              <w:rPr>
                <w:rFonts w:cs="Calibri"/>
                <w:color w:val="000000"/>
                <w:sz w:val="14"/>
                <w:szCs w:val="14"/>
              </w:rPr>
              <w:t>5</w:t>
            </w:r>
          </w:p>
        </w:tc>
        <w:tc>
          <w:tcPr>
            <w:tcW w:w="722" w:type="dxa"/>
            <w:noWrap/>
            <w:vAlign w:val="center"/>
            <w:hideMark/>
          </w:tcPr>
          <w:p w14:paraId="1BAF5CC1" w14:textId="77777777" w:rsidR="004F64EF" w:rsidRPr="003003C0" w:rsidRDefault="004F64EF" w:rsidP="00FD6B66">
            <w:pPr>
              <w:jc w:val="right"/>
              <w:rPr>
                <w:rFonts w:cs="Calibri"/>
                <w:color w:val="000000"/>
                <w:sz w:val="14"/>
                <w:szCs w:val="14"/>
              </w:rPr>
            </w:pPr>
            <w:r w:rsidRPr="003003C0">
              <w:rPr>
                <w:rFonts w:cs="Calibri"/>
                <w:color w:val="000000"/>
                <w:sz w:val="14"/>
                <w:szCs w:val="14"/>
              </w:rPr>
              <w:t>21</w:t>
            </w:r>
            <w:r>
              <w:rPr>
                <w:rFonts w:cs="Calibri"/>
                <w:color w:val="000000"/>
                <w:sz w:val="14"/>
                <w:szCs w:val="14"/>
              </w:rPr>
              <w:t>.</w:t>
            </w:r>
            <w:r w:rsidRPr="003003C0">
              <w:rPr>
                <w:rFonts w:cs="Calibri"/>
                <w:color w:val="000000"/>
                <w:sz w:val="14"/>
                <w:szCs w:val="14"/>
              </w:rPr>
              <w:t>0</w:t>
            </w:r>
          </w:p>
        </w:tc>
        <w:tc>
          <w:tcPr>
            <w:tcW w:w="722" w:type="dxa"/>
            <w:noWrap/>
            <w:vAlign w:val="center"/>
            <w:hideMark/>
          </w:tcPr>
          <w:p w14:paraId="3186291D" w14:textId="77777777" w:rsidR="004F64EF" w:rsidRPr="003003C0" w:rsidRDefault="004F64EF" w:rsidP="00FD6B66">
            <w:pPr>
              <w:jc w:val="right"/>
              <w:rPr>
                <w:rFonts w:cs="Calibri"/>
                <w:color w:val="000000"/>
                <w:sz w:val="14"/>
                <w:szCs w:val="14"/>
              </w:rPr>
            </w:pPr>
            <w:r w:rsidRPr="003003C0">
              <w:rPr>
                <w:rFonts w:cs="Calibri"/>
                <w:color w:val="000000"/>
                <w:sz w:val="14"/>
                <w:szCs w:val="14"/>
              </w:rPr>
              <w:t>21</w:t>
            </w:r>
            <w:r>
              <w:rPr>
                <w:rFonts w:cs="Calibri"/>
                <w:color w:val="000000"/>
                <w:sz w:val="14"/>
                <w:szCs w:val="14"/>
              </w:rPr>
              <w:t>.</w:t>
            </w:r>
            <w:r w:rsidRPr="003003C0">
              <w:rPr>
                <w:rFonts w:cs="Calibri"/>
                <w:color w:val="000000"/>
                <w:sz w:val="14"/>
                <w:szCs w:val="14"/>
              </w:rPr>
              <w:t>8</w:t>
            </w:r>
          </w:p>
        </w:tc>
        <w:tc>
          <w:tcPr>
            <w:tcW w:w="721" w:type="dxa"/>
            <w:noWrap/>
            <w:vAlign w:val="center"/>
            <w:hideMark/>
          </w:tcPr>
          <w:p w14:paraId="02E3FE94" w14:textId="77777777" w:rsidR="004F64EF" w:rsidRPr="003003C0" w:rsidRDefault="004F64EF" w:rsidP="00FD6B66">
            <w:pPr>
              <w:jc w:val="right"/>
              <w:rPr>
                <w:rFonts w:cs="Calibri"/>
                <w:color w:val="000000"/>
                <w:sz w:val="14"/>
                <w:szCs w:val="14"/>
              </w:rPr>
            </w:pPr>
            <w:r w:rsidRPr="003003C0">
              <w:rPr>
                <w:rFonts w:cs="Calibri"/>
                <w:color w:val="000000"/>
                <w:sz w:val="14"/>
                <w:szCs w:val="14"/>
              </w:rPr>
              <w:t>19</w:t>
            </w:r>
            <w:r>
              <w:rPr>
                <w:rFonts w:cs="Calibri"/>
                <w:color w:val="000000"/>
                <w:sz w:val="14"/>
                <w:szCs w:val="14"/>
              </w:rPr>
              <w:t>.</w:t>
            </w:r>
            <w:r w:rsidRPr="003003C0">
              <w:rPr>
                <w:rFonts w:cs="Calibri"/>
                <w:color w:val="000000"/>
                <w:sz w:val="14"/>
                <w:szCs w:val="14"/>
              </w:rPr>
              <w:t>7</w:t>
            </w:r>
          </w:p>
        </w:tc>
        <w:tc>
          <w:tcPr>
            <w:tcW w:w="722" w:type="dxa"/>
            <w:noWrap/>
            <w:vAlign w:val="center"/>
            <w:hideMark/>
          </w:tcPr>
          <w:p w14:paraId="7FAA1A5A" w14:textId="77777777" w:rsidR="004F64EF" w:rsidRPr="003003C0" w:rsidRDefault="004F64EF" w:rsidP="00FD6B66">
            <w:pPr>
              <w:jc w:val="right"/>
              <w:rPr>
                <w:rFonts w:cs="Calibri"/>
                <w:color w:val="000000"/>
                <w:sz w:val="14"/>
                <w:szCs w:val="14"/>
              </w:rPr>
            </w:pPr>
            <w:r w:rsidRPr="003003C0">
              <w:rPr>
                <w:rFonts w:cs="Calibri"/>
                <w:color w:val="000000"/>
                <w:sz w:val="14"/>
                <w:szCs w:val="14"/>
              </w:rPr>
              <w:t>20</w:t>
            </w:r>
            <w:r>
              <w:rPr>
                <w:rFonts w:cs="Calibri"/>
                <w:color w:val="000000"/>
                <w:sz w:val="14"/>
                <w:szCs w:val="14"/>
              </w:rPr>
              <w:t>.</w:t>
            </w:r>
            <w:r w:rsidRPr="003003C0">
              <w:rPr>
                <w:rFonts w:cs="Calibri"/>
                <w:color w:val="000000"/>
                <w:sz w:val="14"/>
                <w:szCs w:val="14"/>
              </w:rPr>
              <w:t>2</w:t>
            </w:r>
          </w:p>
        </w:tc>
        <w:tc>
          <w:tcPr>
            <w:tcW w:w="722" w:type="dxa"/>
            <w:noWrap/>
            <w:vAlign w:val="center"/>
            <w:hideMark/>
          </w:tcPr>
          <w:p w14:paraId="3BC1DD71" w14:textId="77777777" w:rsidR="004F64EF" w:rsidRPr="003003C0" w:rsidRDefault="004F64EF" w:rsidP="00FD6B66">
            <w:pPr>
              <w:jc w:val="right"/>
              <w:rPr>
                <w:rFonts w:cs="Calibri"/>
                <w:color w:val="000000"/>
                <w:sz w:val="14"/>
                <w:szCs w:val="14"/>
              </w:rPr>
            </w:pPr>
            <w:r w:rsidRPr="003003C0">
              <w:rPr>
                <w:rFonts w:cs="Calibri"/>
                <w:color w:val="000000"/>
                <w:sz w:val="14"/>
                <w:szCs w:val="14"/>
              </w:rPr>
              <w:t>21</w:t>
            </w:r>
            <w:r>
              <w:rPr>
                <w:rFonts w:cs="Calibri"/>
                <w:color w:val="000000"/>
                <w:sz w:val="14"/>
                <w:szCs w:val="14"/>
              </w:rPr>
              <w:t>.</w:t>
            </w:r>
            <w:r w:rsidRPr="003003C0">
              <w:rPr>
                <w:rFonts w:cs="Calibri"/>
                <w:color w:val="000000"/>
                <w:sz w:val="14"/>
                <w:szCs w:val="14"/>
              </w:rPr>
              <w:t>8</w:t>
            </w:r>
          </w:p>
        </w:tc>
        <w:tc>
          <w:tcPr>
            <w:tcW w:w="722" w:type="dxa"/>
            <w:noWrap/>
            <w:vAlign w:val="center"/>
            <w:hideMark/>
          </w:tcPr>
          <w:p w14:paraId="17591471" w14:textId="77777777" w:rsidR="004F64EF" w:rsidRPr="003003C0" w:rsidRDefault="004F64EF" w:rsidP="00FD6B66">
            <w:pPr>
              <w:jc w:val="right"/>
              <w:rPr>
                <w:rFonts w:cs="Calibri"/>
                <w:color w:val="000000"/>
                <w:sz w:val="14"/>
                <w:szCs w:val="14"/>
              </w:rPr>
            </w:pPr>
            <w:r w:rsidRPr="003003C0">
              <w:rPr>
                <w:rFonts w:cs="Calibri"/>
                <w:color w:val="000000"/>
                <w:sz w:val="14"/>
                <w:szCs w:val="14"/>
              </w:rPr>
              <w:t>19</w:t>
            </w:r>
            <w:r>
              <w:rPr>
                <w:rFonts w:cs="Calibri"/>
                <w:color w:val="000000"/>
                <w:sz w:val="14"/>
                <w:szCs w:val="14"/>
              </w:rPr>
              <w:t>.</w:t>
            </w:r>
            <w:r w:rsidRPr="003003C0">
              <w:rPr>
                <w:rFonts w:cs="Calibri"/>
                <w:color w:val="000000"/>
                <w:sz w:val="14"/>
                <w:szCs w:val="14"/>
              </w:rPr>
              <w:t>7</w:t>
            </w:r>
          </w:p>
        </w:tc>
      </w:tr>
      <w:tr w:rsidR="004F64EF" w:rsidRPr="003003C0" w14:paraId="761B4062" w14:textId="77777777" w:rsidTr="00FD6B66">
        <w:trPr>
          <w:cnfStyle w:val="000000010000" w:firstRow="0" w:lastRow="0" w:firstColumn="0" w:lastColumn="0" w:oddVBand="0" w:evenVBand="0" w:oddHBand="0" w:evenHBand="1" w:firstRowFirstColumn="0" w:firstRowLastColumn="0" w:lastRowFirstColumn="0" w:lastRowLastColumn="0"/>
          <w:trHeight w:val="20"/>
        </w:trPr>
        <w:tc>
          <w:tcPr>
            <w:tcW w:w="3964" w:type="dxa"/>
            <w:noWrap/>
            <w:vAlign w:val="center"/>
            <w:hideMark/>
          </w:tcPr>
          <w:p w14:paraId="5F6EFD2C" w14:textId="77777777" w:rsidR="004F64EF" w:rsidRPr="003003C0" w:rsidRDefault="004F64EF" w:rsidP="00FD6B66">
            <w:pPr>
              <w:tabs>
                <w:tab w:val="left" w:pos="227"/>
              </w:tabs>
              <w:jc w:val="left"/>
              <w:rPr>
                <w:sz w:val="14"/>
                <w:szCs w:val="14"/>
              </w:rPr>
            </w:pPr>
          </w:p>
        </w:tc>
        <w:tc>
          <w:tcPr>
            <w:tcW w:w="5052" w:type="dxa"/>
            <w:gridSpan w:val="7"/>
            <w:noWrap/>
            <w:vAlign w:val="center"/>
            <w:hideMark/>
          </w:tcPr>
          <w:p w14:paraId="3FF35BF3" w14:textId="77777777" w:rsidR="004F64EF" w:rsidRPr="003003C0" w:rsidRDefault="004F64EF" w:rsidP="00FD6B66">
            <w:pPr>
              <w:jc w:val="center"/>
              <w:rPr>
                <w:rFonts w:cs="Calibri"/>
                <w:b/>
                <w:bCs/>
                <w:color w:val="000000"/>
                <w:sz w:val="14"/>
                <w:szCs w:val="14"/>
              </w:rPr>
            </w:pPr>
            <w:r w:rsidRPr="003003C0">
              <w:rPr>
                <w:rFonts w:cs="Calibri"/>
                <w:b/>
                <w:bCs/>
                <w:color w:val="000000"/>
                <w:sz w:val="14"/>
                <w:szCs w:val="14"/>
              </w:rPr>
              <w:t>(USD</w:t>
            </w:r>
            <w:r>
              <w:rPr>
                <w:rFonts w:cs="Calibri"/>
                <w:b/>
                <w:bCs/>
                <w:color w:val="000000"/>
                <w:sz w:val="14"/>
                <w:szCs w:val="14"/>
              </w:rPr>
              <w:t xml:space="preserve"> million</w:t>
            </w:r>
            <w:r w:rsidRPr="003003C0">
              <w:rPr>
                <w:rFonts w:cs="Calibri"/>
                <w:b/>
                <w:bCs/>
                <w:color w:val="000000"/>
                <w:sz w:val="14"/>
                <w:szCs w:val="14"/>
              </w:rPr>
              <w:t>)</w:t>
            </w:r>
          </w:p>
        </w:tc>
      </w:tr>
      <w:tr w:rsidR="004F64EF" w:rsidRPr="003003C0" w14:paraId="24F40B79" w14:textId="77777777" w:rsidTr="00FD6B66">
        <w:trPr>
          <w:trHeight w:val="20"/>
        </w:trPr>
        <w:tc>
          <w:tcPr>
            <w:tcW w:w="3964" w:type="dxa"/>
            <w:noWrap/>
            <w:vAlign w:val="center"/>
            <w:hideMark/>
          </w:tcPr>
          <w:p w14:paraId="0E81D7E8" w14:textId="77777777" w:rsidR="004F64EF" w:rsidRPr="003003C0" w:rsidRDefault="004F64EF" w:rsidP="00FD6B66">
            <w:pPr>
              <w:tabs>
                <w:tab w:val="left" w:pos="227"/>
              </w:tabs>
              <w:jc w:val="left"/>
              <w:rPr>
                <w:rFonts w:cs="Calibri"/>
                <w:color w:val="000000"/>
                <w:sz w:val="14"/>
                <w:szCs w:val="14"/>
              </w:rPr>
            </w:pPr>
            <w:r w:rsidRPr="003003C0">
              <w:rPr>
                <w:rFonts w:cs="Calibri"/>
                <w:color w:val="000000"/>
                <w:sz w:val="14"/>
                <w:szCs w:val="14"/>
              </w:rPr>
              <w:tab/>
              <w:t>Import</w:t>
            </w:r>
            <w:r>
              <w:rPr>
                <w:rFonts w:cs="Calibri"/>
                <w:color w:val="000000"/>
                <w:sz w:val="14"/>
                <w:szCs w:val="14"/>
              </w:rPr>
              <w:t>s of consumer goods and reimports</w:t>
            </w:r>
          </w:p>
        </w:tc>
        <w:tc>
          <w:tcPr>
            <w:tcW w:w="721" w:type="dxa"/>
            <w:noWrap/>
            <w:vAlign w:val="center"/>
            <w:hideMark/>
          </w:tcPr>
          <w:p w14:paraId="26448CC4" w14:textId="77777777" w:rsidR="004F64EF" w:rsidRPr="003003C0" w:rsidRDefault="004F64EF" w:rsidP="00FD6B66">
            <w:pPr>
              <w:ind w:left="-57"/>
              <w:jc w:val="right"/>
              <w:rPr>
                <w:rFonts w:cs="Calibri"/>
                <w:color w:val="000000"/>
                <w:sz w:val="14"/>
                <w:szCs w:val="14"/>
              </w:rPr>
            </w:pPr>
            <w:r w:rsidRPr="003003C0">
              <w:rPr>
                <w:rFonts w:cs="Calibri"/>
                <w:color w:val="000000"/>
                <w:sz w:val="14"/>
                <w:szCs w:val="14"/>
              </w:rPr>
              <w:t>13</w:t>
            </w:r>
            <w:r>
              <w:rPr>
                <w:rFonts w:cs="Calibri"/>
                <w:color w:val="000000"/>
                <w:sz w:val="14"/>
                <w:szCs w:val="14"/>
              </w:rPr>
              <w:t>,</w:t>
            </w:r>
            <w:r w:rsidRPr="003003C0">
              <w:rPr>
                <w:rFonts w:cs="Calibri"/>
                <w:color w:val="000000"/>
                <w:sz w:val="14"/>
                <w:szCs w:val="14"/>
              </w:rPr>
              <w:t>431</w:t>
            </w:r>
          </w:p>
        </w:tc>
        <w:tc>
          <w:tcPr>
            <w:tcW w:w="722" w:type="dxa"/>
            <w:noWrap/>
            <w:vAlign w:val="center"/>
            <w:hideMark/>
          </w:tcPr>
          <w:p w14:paraId="2ED8F87F" w14:textId="77777777" w:rsidR="004F64EF" w:rsidRPr="003003C0" w:rsidRDefault="004F64EF" w:rsidP="00FD6B66">
            <w:pPr>
              <w:ind w:left="-57"/>
              <w:jc w:val="right"/>
              <w:rPr>
                <w:rFonts w:cs="Calibri"/>
                <w:color w:val="000000"/>
                <w:sz w:val="14"/>
                <w:szCs w:val="14"/>
              </w:rPr>
            </w:pPr>
            <w:r w:rsidRPr="003003C0">
              <w:rPr>
                <w:rFonts w:cs="Calibri"/>
                <w:color w:val="000000"/>
                <w:sz w:val="14"/>
                <w:szCs w:val="14"/>
              </w:rPr>
              <w:t>14</w:t>
            </w:r>
            <w:r>
              <w:rPr>
                <w:rFonts w:cs="Calibri"/>
                <w:color w:val="000000"/>
                <w:sz w:val="14"/>
                <w:szCs w:val="14"/>
              </w:rPr>
              <w:t>,</w:t>
            </w:r>
            <w:r w:rsidRPr="003003C0">
              <w:rPr>
                <w:rFonts w:cs="Calibri"/>
                <w:color w:val="000000"/>
                <w:sz w:val="14"/>
                <w:szCs w:val="14"/>
              </w:rPr>
              <w:t>079</w:t>
            </w:r>
          </w:p>
        </w:tc>
        <w:tc>
          <w:tcPr>
            <w:tcW w:w="722" w:type="dxa"/>
            <w:noWrap/>
            <w:vAlign w:val="center"/>
            <w:hideMark/>
          </w:tcPr>
          <w:p w14:paraId="54C1E9F1" w14:textId="77777777" w:rsidR="004F64EF" w:rsidRPr="003003C0" w:rsidRDefault="004F64EF" w:rsidP="00FD6B66">
            <w:pPr>
              <w:ind w:left="-57"/>
              <w:jc w:val="right"/>
              <w:rPr>
                <w:rFonts w:cs="Calibri"/>
                <w:color w:val="000000"/>
                <w:sz w:val="14"/>
                <w:szCs w:val="14"/>
              </w:rPr>
            </w:pPr>
            <w:r w:rsidRPr="003003C0">
              <w:rPr>
                <w:rFonts w:cs="Calibri"/>
                <w:color w:val="000000"/>
                <w:sz w:val="14"/>
                <w:szCs w:val="14"/>
              </w:rPr>
              <w:t>14</w:t>
            </w:r>
            <w:r>
              <w:rPr>
                <w:rFonts w:cs="Calibri"/>
                <w:color w:val="000000"/>
                <w:sz w:val="14"/>
                <w:szCs w:val="14"/>
              </w:rPr>
              <w:t>,</w:t>
            </w:r>
            <w:r w:rsidRPr="003003C0">
              <w:rPr>
                <w:rFonts w:cs="Calibri"/>
                <w:color w:val="000000"/>
                <w:sz w:val="14"/>
                <w:szCs w:val="14"/>
              </w:rPr>
              <w:t>178</w:t>
            </w:r>
          </w:p>
        </w:tc>
        <w:tc>
          <w:tcPr>
            <w:tcW w:w="721" w:type="dxa"/>
            <w:noWrap/>
            <w:vAlign w:val="center"/>
            <w:hideMark/>
          </w:tcPr>
          <w:p w14:paraId="2E38992B" w14:textId="77777777" w:rsidR="004F64EF" w:rsidRPr="003003C0" w:rsidRDefault="004F64EF" w:rsidP="00FD6B66">
            <w:pPr>
              <w:ind w:left="-57"/>
              <w:jc w:val="right"/>
              <w:rPr>
                <w:rFonts w:cs="Calibri"/>
                <w:color w:val="000000"/>
                <w:sz w:val="14"/>
                <w:szCs w:val="14"/>
              </w:rPr>
            </w:pPr>
            <w:r w:rsidRPr="003003C0">
              <w:rPr>
                <w:rFonts w:cs="Calibri"/>
                <w:color w:val="000000"/>
                <w:sz w:val="14"/>
                <w:szCs w:val="14"/>
              </w:rPr>
              <w:t>16</w:t>
            </w:r>
            <w:r>
              <w:rPr>
                <w:rFonts w:cs="Calibri"/>
                <w:color w:val="000000"/>
                <w:sz w:val="14"/>
                <w:szCs w:val="14"/>
              </w:rPr>
              <w:t>,</w:t>
            </w:r>
            <w:r w:rsidRPr="003003C0">
              <w:rPr>
                <w:rFonts w:cs="Calibri"/>
                <w:color w:val="000000"/>
                <w:sz w:val="14"/>
                <w:szCs w:val="14"/>
              </w:rPr>
              <w:t>340</w:t>
            </w:r>
          </w:p>
        </w:tc>
        <w:tc>
          <w:tcPr>
            <w:tcW w:w="722" w:type="dxa"/>
            <w:noWrap/>
            <w:vAlign w:val="center"/>
            <w:hideMark/>
          </w:tcPr>
          <w:p w14:paraId="4C58DF90" w14:textId="77777777" w:rsidR="004F64EF" w:rsidRPr="003003C0" w:rsidRDefault="004F64EF" w:rsidP="00FD6B66">
            <w:pPr>
              <w:ind w:left="-57"/>
              <w:jc w:val="right"/>
              <w:rPr>
                <w:rFonts w:cs="Calibri"/>
                <w:color w:val="000000"/>
                <w:sz w:val="14"/>
                <w:szCs w:val="14"/>
              </w:rPr>
            </w:pPr>
            <w:r w:rsidRPr="003003C0">
              <w:rPr>
                <w:rFonts w:cs="Calibri"/>
                <w:color w:val="000000"/>
                <w:sz w:val="14"/>
                <w:szCs w:val="14"/>
              </w:rPr>
              <w:t>16</w:t>
            </w:r>
            <w:r>
              <w:rPr>
                <w:rFonts w:cs="Calibri"/>
                <w:color w:val="000000"/>
                <w:sz w:val="14"/>
                <w:szCs w:val="14"/>
              </w:rPr>
              <w:t>,</w:t>
            </w:r>
            <w:r w:rsidRPr="003003C0">
              <w:rPr>
                <w:rFonts w:cs="Calibri"/>
                <w:color w:val="000000"/>
                <w:sz w:val="14"/>
                <w:szCs w:val="14"/>
              </w:rPr>
              <w:t>293</w:t>
            </w:r>
          </w:p>
        </w:tc>
        <w:tc>
          <w:tcPr>
            <w:tcW w:w="722" w:type="dxa"/>
            <w:noWrap/>
            <w:vAlign w:val="center"/>
            <w:hideMark/>
          </w:tcPr>
          <w:p w14:paraId="08856218" w14:textId="77777777" w:rsidR="004F64EF" w:rsidRPr="003003C0" w:rsidRDefault="004F64EF" w:rsidP="00FD6B66">
            <w:pPr>
              <w:ind w:left="-57"/>
              <w:jc w:val="right"/>
              <w:rPr>
                <w:rFonts w:cs="Calibri"/>
                <w:color w:val="000000"/>
                <w:sz w:val="14"/>
                <w:szCs w:val="14"/>
              </w:rPr>
            </w:pPr>
            <w:r w:rsidRPr="003003C0">
              <w:rPr>
                <w:rFonts w:cs="Calibri"/>
                <w:color w:val="000000"/>
                <w:sz w:val="14"/>
                <w:szCs w:val="14"/>
              </w:rPr>
              <w:t>13</w:t>
            </w:r>
            <w:r>
              <w:rPr>
                <w:rFonts w:cs="Calibri"/>
                <w:color w:val="000000"/>
                <w:sz w:val="14"/>
                <w:szCs w:val="14"/>
              </w:rPr>
              <w:t>,</w:t>
            </w:r>
            <w:r w:rsidRPr="003003C0">
              <w:rPr>
                <w:rFonts w:cs="Calibri"/>
                <w:color w:val="000000"/>
                <w:sz w:val="14"/>
                <w:szCs w:val="14"/>
              </w:rPr>
              <w:t>381</w:t>
            </w:r>
          </w:p>
        </w:tc>
        <w:tc>
          <w:tcPr>
            <w:tcW w:w="722" w:type="dxa"/>
            <w:noWrap/>
            <w:vAlign w:val="center"/>
            <w:hideMark/>
          </w:tcPr>
          <w:p w14:paraId="0010F0D7" w14:textId="77777777" w:rsidR="004F64EF" w:rsidRPr="003003C0" w:rsidRDefault="004F64EF" w:rsidP="00FD6B66">
            <w:pPr>
              <w:ind w:left="-57"/>
              <w:jc w:val="right"/>
              <w:rPr>
                <w:rFonts w:cs="Calibri"/>
                <w:color w:val="000000"/>
                <w:sz w:val="14"/>
                <w:szCs w:val="14"/>
              </w:rPr>
            </w:pPr>
            <w:r w:rsidRPr="003003C0">
              <w:rPr>
                <w:rFonts w:cs="Calibri"/>
                <w:color w:val="000000"/>
                <w:sz w:val="14"/>
                <w:szCs w:val="14"/>
              </w:rPr>
              <w:t>19</w:t>
            </w:r>
            <w:r>
              <w:rPr>
                <w:rFonts w:cs="Calibri"/>
                <w:color w:val="000000"/>
                <w:sz w:val="14"/>
                <w:szCs w:val="14"/>
              </w:rPr>
              <w:t>,</w:t>
            </w:r>
            <w:r w:rsidRPr="003003C0">
              <w:rPr>
                <w:rFonts w:cs="Calibri"/>
                <w:color w:val="000000"/>
                <w:sz w:val="14"/>
                <w:szCs w:val="14"/>
              </w:rPr>
              <w:t>661</w:t>
            </w:r>
          </w:p>
        </w:tc>
      </w:tr>
      <w:tr w:rsidR="004F64EF" w:rsidRPr="003003C0" w14:paraId="3940FA61" w14:textId="77777777" w:rsidTr="00FD6B66">
        <w:trPr>
          <w:cnfStyle w:val="000000010000" w:firstRow="0" w:lastRow="0" w:firstColumn="0" w:lastColumn="0" w:oddVBand="0" w:evenVBand="0" w:oddHBand="0" w:evenHBand="1" w:firstRowFirstColumn="0" w:firstRowLastColumn="0" w:lastRowFirstColumn="0" w:lastRowLastColumn="0"/>
          <w:trHeight w:val="20"/>
        </w:trPr>
        <w:tc>
          <w:tcPr>
            <w:tcW w:w="3964" w:type="dxa"/>
            <w:noWrap/>
            <w:vAlign w:val="center"/>
            <w:hideMark/>
          </w:tcPr>
          <w:p w14:paraId="4168F09C" w14:textId="77777777" w:rsidR="004F64EF" w:rsidRPr="003003C0" w:rsidRDefault="004F64EF" w:rsidP="00FD6B66">
            <w:pPr>
              <w:jc w:val="left"/>
              <w:rPr>
                <w:sz w:val="14"/>
                <w:szCs w:val="14"/>
              </w:rPr>
            </w:pPr>
          </w:p>
        </w:tc>
        <w:tc>
          <w:tcPr>
            <w:tcW w:w="5052" w:type="dxa"/>
            <w:gridSpan w:val="7"/>
            <w:noWrap/>
            <w:vAlign w:val="center"/>
            <w:hideMark/>
          </w:tcPr>
          <w:p w14:paraId="71E35501" w14:textId="77777777" w:rsidR="004F64EF" w:rsidRPr="003003C0" w:rsidRDefault="004F64EF" w:rsidP="00FD6B66">
            <w:pPr>
              <w:jc w:val="center"/>
              <w:rPr>
                <w:rFonts w:cs="Calibri"/>
                <w:b/>
                <w:bCs/>
                <w:color w:val="000000"/>
                <w:sz w:val="14"/>
                <w:szCs w:val="14"/>
              </w:rPr>
            </w:pPr>
            <w:r w:rsidRPr="003003C0">
              <w:rPr>
                <w:rFonts w:cs="Calibri"/>
                <w:b/>
                <w:bCs/>
                <w:color w:val="000000"/>
                <w:sz w:val="14"/>
                <w:szCs w:val="14"/>
              </w:rPr>
              <w:t xml:space="preserve">(% </w:t>
            </w:r>
            <w:r>
              <w:rPr>
                <w:rFonts w:cs="Calibri"/>
                <w:b/>
                <w:bCs/>
                <w:color w:val="000000"/>
                <w:sz w:val="14"/>
                <w:szCs w:val="14"/>
              </w:rPr>
              <w:t xml:space="preserve">of </w:t>
            </w:r>
            <w:r w:rsidRPr="00665AFF">
              <w:rPr>
                <w:rFonts w:cs="Calibri"/>
                <w:b/>
                <w:bCs/>
                <w:color w:val="000000"/>
                <w:sz w:val="14"/>
                <w:szCs w:val="14"/>
              </w:rPr>
              <w:t>national</w:t>
            </w:r>
            <w:r>
              <w:rPr>
                <w:rFonts w:cs="Calibri"/>
                <w:b/>
                <w:bCs/>
                <w:color w:val="000000"/>
                <w:sz w:val="14"/>
                <w:szCs w:val="14"/>
              </w:rPr>
              <w:t xml:space="preserve"> imports and reimports</w:t>
            </w:r>
            <w:r w:rsidRPr="003003C0">
              <w:rPr>
                <w:rFonts w:cs="Calibri"/>
                <w:b/>
                <w:bCs/>
                <w:color w:val="000000"/>
                <w:sz w:val="14"/>
                <w:szCs w:val="14"/>
              </w:rPr>
              <w:t>)</w:t>
            </w:r>
          </w:p>
        </w:tc>
      </w:tr>
      <w:tr w:rsidR="004F64EF" w:rsidRPr="003003C0" w14:paraId="489F8B07" w14:textId="77777777" w:rsidTr="00FD6B66">
        <w:trPr>
          <w:trHeight w:val="20"/>
        </w:trPr>
        <w:tc>
          <w:tcPr>
            <w:tcW w:w="3964" w:type="dxa"/>
            <w:noWrap/>
            <w:vAlign w:val="center"/>
            <w:hideMark/>
          </w:tcPr>
          <w:p w14:paraId="0CD22E30" w14:textId="77777777" w:rsidR="004F64EF" w:rsidRPr="003003C0" w:rsidRDefault="004F64EF" w:rsidP="00FD6B66">
            <w:pPr>
              <w:jc w:val="left"/>
              <w:rPr>
                <w:rFonts w:cs="Calibri"/>
                <w:color w:val="000000"/>
                <w:sz w:val="14"/>
                <w:szCs w:val="14"/>
              </w:rPr>
            </w:pPr>
            <w:r w:rsidRPr="003003C0">
              <w:rPr>
                <w:rFonts w:cs="Calibri"/>
                <w:color w:val="000000"/>
                <w:sz w:val="14"/>
                <w:szCs w:val="14"/>
              </w:rPr>
              <w:t xml:space="preserve">1 - </w:t>
            </w:r>
            <w:r>
              <w:rPr>
                <w:rFonts w:cs="Calibri"/>
                <w:color w:val="000000"/>
                <w:sz w:val="14"/>
                <w:szCs w:val="14"/>
              </w:rPr>
              <w:t>L</w:t>
            </w:r>
            <w:r w:rsidRPr="00834BB8">
              <w:rPr>
                <w:rFonts w:cs="Calibri"/>
                <w:color w:val="000000"/>
                <w:sz w:val="14"/>
                <w:szCs w:val="14"/>
              </w:rPr>
              <w:t>ive animals; animal products</w:t>
            </w:r>
          </w:p>
        </w:tc>
        <w:tc>
          <w:tcPr>
            <w:tcW w:w="721" w:type="dxa"/>
            <w:noWrap/>
            <w:vAlign w:val="center"/>
            <w:hideMark/>
          </w:tcPr>
          <w:p w14:paraId="76429DD5" w14:textId="77777777" w:rsidR="004F64EF" w:rsidRPr="003003C0" w:rsidRDefault="004F64EF" w:rsidP="00FD6B66">
            <w:pPr>
              <w:jc w:val="right"/>
              <w:rPr>
                <w:rFonts w:cs="Calibri"/>
                <w:color w:val="000000"/>
                <w:sz w:val="14"/>
                <w:szCs w:val="14"/>
              </w:rPr>
            </w:pPr>
            <w:r w:rsidRPr="003003C0">
              <w:rPr>
                <w:rFonts w:cs="Calibri"/>
                <w:color w:val="000000"/>
                <w:sz w:val="14"/>
                <w:szCs w:val="14"/>
              </w:rPr>
              <w:t>3</w:t>
            </w:r>
            <w:r>
              <w:rPr>
                <w:rFonts w:cs="Calibri"/>
                <w:color w:val="000000"/>
                <w:sz w:val="14"/>
                <w:szCs w:val="14"/>
              </w:rPr>
              <w:t>.</w:t>
            </w:r>
            <w:r w:rsidRPr="003003C0">
              <w:rPr>
                <w:rFonts w:cs="Calibri"/>
                <w:color w:val="000000"/>
                <w:sz w:val="14"/>
                <w:szCs w:val="14"/>
              </w:rPr>
              <w:t>3</w:t>
            </w:r>
          </w:p>
        </w:tc>
        <w:tc>
          <w:tcPr>
            <w:tcW w:w="722" w:type="dxa"/>
            <w:noWrap/>
            <w:vAlign w:val="center"/>
            <w:hideMark/>
          </w:tcPr>
          <w:p w14:paraId="74ADEFA2" w14:textId="77777777" w:rsidR="004F64EF" w:rsidRPr="003003C0" w:rsidRDefault="004F64EF" w:rsidP="00FD6B66">
            <w:pPr>
              <w:jc w:val="right"/>
              <w:rPr>
                <w:rFonts w:cs="Calibri"/>
                <w:color w:val="000000"/>
                <w:sz w:val="14"/>
                <w:szCs w:val="14"/>
              </w:rPr>
            </w:pPr>
            <w:r w:rsidRPr="003003C0">
              <w:rPr>
                <w:rFonts w:cs="Calibri"/>
                <w:color w:val="000000"/>
                <w:sz w:val="14"/>
                <w:szCs w:val="14"/>
              </w:rPr>
              <w:t>3</w:t>
            </w:r>
            <w:r>
              <w:rPr>
                <w:rFonts w:cs="Calibri"/>
                <w:color w:val="000000"/>
                <w:sz w:val="14"/>
                <w:szCs w:val="14"/>
              </w:rPr>
              <w:t>.</w:t>
            </w:r>
            <w:r w:rsidRPr="003003C0">
              <w:rPr>
                <w:rFonts w:cs="Calibri"/>
                <w:color w:val="000000"/>
                <w:sz w:val="14"/>
                <w:szCs w:val="14"/>
              </w:rPr>
              <w:t>4</w:t>
            </w:r>
          </w:p>
        </w:tc>
        <w:tc>
          <w:tcPr>
            <w:tcW w:w="722" w:type="dxa"/>
            <w:noWrap/>
            <w:vAlign w:val="center"/>
            <w:hideMark/>
          </w:tcPr>
          <w:p w14:paraId="4FCF1269" w14:textId="77777777" w:rsidR="004F64EF" w:rsidRPr="003003C0" w:rsidRDefault="004F64EF" w:rsidP="00FD6B66">
            <w:pPr>
              <w:jc w:val="right"/>
              <w:rPr>
                <w:rFonts w:cs="Calibri"/>
                <w:color w:val="000000"/>
                <w:sz w:val="14"/>
                <w:szCs w:val="14"/>
              </w:rPr>
            </w:pPr>
            <w:r w:rsidRPr="003003C0">
              <w:rPr>
                <w:rFonts w:cs="Calibri"/>
                <w:color w:val="000000"/>
                <w:sz w:val="14"/>
                <w:szCs w:val="14"/>
              </w:rPr>
              <w:t>3</w:t>
            </w:r>
            <w:r>
              <w:rPr>
                <w:rFonts w:cs="Calibri"/>
                <w:color w:val="000000"/>
                <w:sz w:val="14"/>
                <w:szCs w:val="14"/>
              </w:rPr>
              <w:t>.</w:t>
            </w:r>
            <w:r w:rsidRPr="003003C0">
              <w:rPr>
                <w:rFonts w:cs="Calibri"/>
                <w:color w:val="000000"/>
                <w:sz w:val="14"/>
                <w:szCs w:val="14"/>
              </w:rPr>
              <w:t>5</w:t>
            </w:r>
          </w:p>
        </w:tc>
        <w:tc>
          <w:tcPr>
            <w:tcW w:w="721" w:type="dxa"/>
            <w:noWrap/>
            <w:vAlign w:val="center"/>
            <w:hideMark/>
          </w:tcPr>
          <w:p w14:paraId="56022A06" w14:textId="77777777" w:rsidR="004F64EF" w:rsidRPr="003003C0" w:rsidRDefault="004F64EF" w:rsidP="00FD6B66">
            <w:pPr>
              <w:jc w:val="right"/>
              <w:rPr>
                <w:rFonts w:cs="Calibri"/>
                <w:color w:val="000000"/>
                <w:sz w:val="14"/>
                <w:szCs w:val="14"/>
              </w:rPr>
            </w:pPr>
            <w:r w:rsidRPr="003003C0">
              <w:rPr>
                <w:rFonts w:cs="Calibri"/>
                <w:color w:val="000000"/>
                <w:sz w:val="14"/>
                <w:szCs w:val="14"/>
              </w:rPr>
              <w:t>3</w:t>
            </w:r>
            <w:r>
              <w:rPr>
                <w:rFonts w:cs="Calibri"/>
                <w:color w:val="000000"/>
                <w:sz w:val="14"/>
                <w:szCs w:val="14"/>
              </w:rPr>
              <w:t>.</w:t>
            </w:r>
            <w:r w:rsidRPr="003003C0">
              <w:rPr>
                <w:rFonts w:cs="Calibri"/>
                <w:color w:val="000000"/>
                <w:sz w:val="14"/>
                <w:szCs w:val="14"/>
              </w:rPr>
              <w:t>6</w:t>
            </w:r>
          </w:p>
        </w:tc>
        <w:tc>
          <w:tcPr>
            <w:tcW w:w="722" w:type="dxa"/>
            <w:noWrap/>
            <w:vAlign w:val="center"/>
            <w:hideMark/>
          </w:tcPr>
          <w:p w14:paraId="2C1306E4" w14:textId="77777777" w:rsidR="004F64EF" w:rsidRPr="003003C0" w:rsidRDefault="004F64EF" w:rsidP="00FD6B66">
            <w:pPr>
              <w:jc w:val="right"/>
              <w:rPr>
                <w:rFonts w:cs="Calibri"/>
                <w:color w:val="000000"/>
                <w:sz w:val="14"/>
                <w:szCs w:val="14"/>
              </w:rPr>
            </w:pPr>
            <w:r w:rsidRPr="003003C0">
              <w:rPr>
                <w:rFonts w:cs="Calibri"/>
                <w:color w:val="000000"/>
                <w:sz w:val="14"/>
                <w:szCs w:val="14"/>
              </w:rPr>
              <w:t>3</w:t>
            </w:r>
            <w:r>
              <w:rPr>
                <w:rFonts w:cs="Calibri"/>
                <w:color w:val="000000"/>
                <w:sz w:val="14"/>
                <w:szCs w:val="14"/>
              </w:rPr>
              <w:t>.</w:t>
            </w:r>
            <w:r w:rsidRPr="003003C0">
              <w:rPr>
                <w:rFonts w:cs="Calibri"/>
                <w:color w:val="000000"/>
                <w:sz w:val="14"/>
                <w:szCs w:val="14"/>
              </w:rPr>
              <w:t>6</w:t>
            </w:r>
          </w:p>
        </w:tc>
        <w:tc>
          <w:tcPr>
            <w:tcW w:w="722" w:type="dxa"/>
            <w:noWrap/>
            <w:vAlign w:val="center"/>
            <w:hideMark/>
          </w:tcPr>
          <w:p w14:paraId="70FC2314" w14:textId="77777777" w:rsidR="004F64EF" w:rsidRPr="003003C0" w:rsidRDefault="004F64EF" w:rsidP="00FD6B66">
            <w:pPr>
              <w:jc w:val="right"/>
              <w:rPr>
                <w:rFonts w:cs="Calibri"/>
                <w:color w:val="000000"/>
                <w:sz w:val="14"/>
                <w:szCs w:val="14"/>
              </w:rPr>
            </w:pPr>
            <w:r w:rsidRPr="003003C0">
              <w:rPr>
                <w:rFonts w:cs="Calibri"/>
                <w:color w:val="000000"/>
                <w:sz w:val="14"/>
                <w:szCs w:val="14"/>
              </w:rPr>
              <w:t>4</w:t>
            </w:r>
            <w:r>
              <w:rPr>
                <w:rFonts w:cs="Calibri"/>
                <w:color w:val="000000"/>
                <w:sz w:val="14"/>
                <w:szCs w:val="14"/>
              </w:rPr>
              <w:t>.</w:t>
            </w:r>
            <w:r w:rsidRPr="003003C0">
              <w:rPr>
                <w:rFonts w:cs="Calibri"/>
                <w:color w:val="000000"/>
                <w:sz w:val="14"/>
                <w:szCs w:val="14"/>
              </w:rPr>
              <w:t>4</w:t>
            </w:r>
          </w:p>
        </w:tc>
        <w:tc>
          <w:tcPr>
            <w:tcW w:w="722" w:type="dxa"/>
            <w:noWrap/>
            <w:vAlign w:val="center"/>
            <w:hideMark/>
          </w:tcPr>
          <w:p w14:paraId="13DAB6B2" w14:textId="77777777" w:rsidR="004F64EF" w:rsidRPr="003003C0" w:rsidRDefault="004F64EF" w:rsidP="00FD6B66">
            <w:pPr>
              <w:jc w:val="right"/>
              <w:rPr>
                <w:rFonts w:cs="Calibri"/>
                <w:color w:val="000000"/>
                <w:sz w:val="14"/>
                <w:szCs w:val="14"/>
              </w:rPr>
            </w:pPr>
            <w:r w:rsidRPr="003003C0">
              <w:rPr>
                <w:rFonts w:cs="Calibri"/>
                <w:color w:val="000000"/>
                <w:sz w:val="14"/>
                <w:szCs w:val="14"/>
              </w:rPr>
              <w:t>4</w:t>
            </w:r>
            <w:r>
              <w:rPr>
                <w:rFonts w:cs="Calibri"/>
                <w:color w:val="000000"/>
                <w:sz w:val="14"/>
                <w:szCs w:val="14"/>
              </w:rPr>
              <w:t>.</w:t>
            </w:r>
            <w:r w:rsidRPr="003003C0">
              <w:rPr>
                <w:rFonts w:cs="Calibri"/>
                <w:color w:val="000000"/>
                <w:sz w:val="14"/>
                <w:szCs w:val="14"/>
              </w:rPr>
              <w:t>1</w:t>
            </w:r>
          </w:p>
        </w:tc>
      </w:tr>
      <w:tr w:rsidR="004F64EF" w:rsidRPr="003003C0" w14:paraId="791DAE05" w14:textId="77777777" w:rsidTr="00FD6B66">
        <w:trPr>
          <w:cnfStyle w:val="000000010000" w:firstRow="0" w:lastRow="0" w:firstColumn="0" w:lastColumn="0" w:oddVBand="0" w:evenVBand="0" w:oddHBand="0" w:evenHBand="1" w:firstRowFirstColumn="0" w:firstRowLastColumn="0" w:lastRowFirstColumn="0" w:lastRowLastColumn="0"/>
          <w:trHeight w:val="20"/>
        </w:trPr>
        <w:tc>
          <w:tcPr>
            <w:tcW w:w="3964" w:type="dxa"/>
            <w:noWrap/>
            <w:vAlign w:val="center"/>
            <w:hideMark/>
          </w:tcPr>
          <w:p w14:paraId="2BA56682" w14:textId="77777777" w:rsidR="004F64EF" w:rsidRPr="003003C0" w:rsidRDefault="004F64EF" w:rsidP="00FD6B66">
            <w:pPr>
              <w:tabs>
                <w:tab w:val="left" w:pos="227"/>
              </w:tabs>
              <w:jc w:val="left"/>
              <w:rPr>
                <w:rFonts w:cs="Calibri"/>
                <w:color w:val="000000"/>
                <w:sz w:val="14"/>
                <w:szCs w:val="14"/>
              </w:rPr>
            </w:pPr>
            <w:r w:rsidRPr="003003C0">
              <w:rPr>
                <w:rFonts w:cs="Calibri"/>
                <w:color w:val="000000"/>
                <w:sz w:val="14"/>
                <w:szCs w:val="14"/>
              </w:rPr>
              <w:tab/>
              <w:t xml:space="preserve">02. </w:t>
            </w:r>
            <w:r w:rsidRPr="00834BB8">
              <w:rPr>
                <w:rFonts w:cs="Calibri"/>
                <w:color w:val="000000"/>
                <w:sz w:val="14"/>
                <w:szCs w:val="14"/>
              </w:rPr>
              <w:t>Meat and edible meat offal</w:t>
            </w:r>
          </w:p>
        </w:tc>
        <w:tc>
          <w:tcPr>
            <w:tcW w:w="721" w:type="dxa"/>
            <w:noWrap/>
            <w:vAlign w:val="center"/>
            <w:hideMark/>
          </w:tcPr>
          <w:p w14:paraId="035A5056" w14:textId="77777777" w:rsidR="004F64EF" w:rsidRPr="003003C0" w:rsidRDefault="004F64EF" w:rsidP="00FD6B66">
            <w:pPr>
              <w:jc w:val="right"/>
              <w:rPr>
                <w:rFonts w:cs="Calibri"/>
                <w:color w:val="000000"/>
                <w:sz w:val="14"/>
                <w:szCs w:val="14"/>
              </w:rPr>
            </w:pPr>
            <w:r w:rsidRPr="003003C0">
              <w:rPr>
                <w:rFonts w:cs="Calibri"/>
                <w:color w:val="000000"/>
                <w:sz w:val="14"/>
                <w:szCs w:val="14"/>
              </w:rPr>
              <w:t>1</w:t>
            </w:r>
            <w:r>
              <w:rPr>
                <w:rFonts w:cs="Calibri"/>
                <w:color w:val="000000"/>
                <w:sz w:val="14"/>
                <w:szCs w:val="14"/>
              </w:rPr>
              <w:t>.</w:t>
            </w:r>
            <w:r w:rsidRPr="003003C0">
              <w:rPr>
                <w:rFonts w:cs="Calibri"/>
                <w:color w:val="000000"/>
                <w:sz w:val="14"/>
                <w:szCs w:val="14"/>
              </w:rPr>
              <w:t>2</w:t>
            </w:r>
          </w:p>
        </w:tc>
        <w:tc>
          <w:tcPr>
            <w:tcW w:w="722" w:type="dxa"/>
            <w:noWrap/>
            <w:vAlign w:val="center"/>
            <w:hideMark/>
          </w:tcPr>
          <w:p w14:paraId="3AC8B52E" w14:textId="77777777" w:rsidR="004F64EF" w:rsidRPr="003003C0" w:rsidRDefault="004F64EF" w:rsidP="00FD6B66">
            <w:pPr>
              <w:jc w:val="right"/>
              <w:rPr>
                <w:rFonts w:cs="Calibri"/>
                <w:color w:val="000000"/>
                <w:sz w:val="14"/>
                <w:szCs w:val="14"/>
              </w:rPr>
            </w:pPr>
            <w:r w:rsidRPr="003003C0">
              <w:rPr>
                <w:rFonts w:cs="Calibri"/>
                <w:color w:val="000000"/>
                <w:sz w:val="14"/>
                <w:szCs w:val="14"/>
              </w:rPr>
              <w:t>1</w:t>
            </w:r>
            <w:r>
              <w:rPr>
                <w:rFonts w:cs="Calibri"/>
                <w:color w:val="000000"/>
                <w:sz w:val="14"/>
                <w:szCs w:val="14"/>
              </w:rPr>
              <w:t>.</w:t>
            </w:r>
            <w:r w:rsidRPr="003003C0">
              <w:rPr>
                <w:rFonts w:cs="Calibri"/>
                <w:color w:val="000000"/>
                <w:sz w:val="14"/>
                <w:szCs w:val="14"/>
              </w:rPr>
              <w:t>2</w:t>
            </w:r>
          </w:p>
        </w:tc>
        <w:tc>
          <w:tcPr>
            <w:tcW w:w="722" w:type="dxa"/>
            <w:noWrap/>
            <w:vAlign w:val="center"/>
            <w:hideMark/>
          </w:tcPr>
          <w:p w14:paraId="40DB798E" w14:textId="77777777" w:rsidR="004F64EF" w:rsidRPr="003003C0" w:rsidRDefault="004F64EF" w:rsidP="00FD6B66">
            <w:pPr>
              <w:jc w:val="right"/>
              <w:rPr>
                <w:rFonts w:cs="Calibri"/>
                <w:color w:val="000000"/>
                <w:sz w:val="14"/>
                <w:szCs w:val="14"/>
              </w:rPr>
            </w:pPr>
            <w:r w:rsidRPr="003003C0">
              <w:rPr>
                <w:rFonts w:cs="Calibri"/>
                <w:color w:val="000000"/>
                <w:sz w:val="14"/>
                <w:szCs w:val="14"/>
              </w:rPr>
              <w:t>1</w:t>
            </w:r>
            <w:r>
              <w:rPr>
                <w:rFonts w:cs="Calibri"/>
                <w:color w:val="000000"/>
                <w:sz w:val="14"/>
                <w:szCs w:val="14"/>
              </w:rPr>
              <w:t>.</w:t>
            </w:r>
            <w:r w:rsidRPr="003003C0">
              <w:rPr>
                <w:rFonts w:cs="Calibri"/>
                <w:color w:val="000000"/>
                <w:sz w:val="14"/>
                <w:szCs w:val="14"/>
              </w:rPr>
              <w:t>2</w:t>
            </w:r>
          </w:p>
        </w:tc>
        <w:tc>
          <w:tcPr>
            <w:tcW w:w="721" w:type="dxa"/>
            <w:noWrap/>
            <w:vAlign w:val="center"/>
            <w:hideMark/>
          </w:tcPr>
          <w:p w14:paraId="3ED3203E" w14:textId="77777777" w:rsidR="004F64EF" w:rsidRPr="003003C0" w:rsidRDefault="004F64EF" w:rsidP="00FD6B66">
            <w:pPr>
              <w:jc w:val="right"/>
              <w:rPr>
                <w:rFonts w:cs="Calibri"/>
                <w:color w:val="000000"/>
                <w:sz w:val="14"/>
                <w:szCs w:val="14"/>
              </w:rPr>
            </w:pPr>
            <w:r w:rsidRPr="003003C0">
              <w:rPr>
                <w:rFonts w:cs="Calibri"/>
                <w:color w:val="000000"/>
                <w:sz w:val="14"/>
                <w:szCs w:val="14"/>
              </w:rPr>
              <w:t>1</w:t>
            </w:r>
            <w:r>
              <w:rPr>
                <w:rFonts w:cs="Calibri"/>
                <w:color w:val="000000"/>
                <w:sz w:val="14"/>
                <w:szCs w:val="14"/>
              </w:rPr>
              <w:t>.</w:t>
            </w:r>
            <w:r w:rsidRPr="003003C0">
              <w:rPr>
                <w:rFonts w:cs="Calibri"/>
                <w:color w:val="000000"/>
                <w:sz w:val="14"/>
                <w:szCs w:val="14"/>
              </w:rPr>
              <w:t>3</w:t>
            </w:r>
          </w:p>
        </w:tc>
        <w:tc>
          <w:tcPr>
            <w:tcW w:w="722" w:type="dxa"/>
            <w:noWrap/>
            <w:vAlign w:val="center"/>
            <w:hideMark/>
          </w:tcPr>
          <w:p w14:paraId="4488B454" w14:textId="77777777" w:rsidR="004F64EF" w:rsidRPr="003003C0" w:rsidRDefault="004F64EF" w:rsidP="00FD6B66">
            <w:pPr>
              <w:jc w:val="right"/>
              <w:rPr>
                <w:rFonts w:cs="Calibri"/>
                <w:color w:val="000000"/>
                <w:sz w:val="14"/>
                <w:szCs w:val="14"/>
              </w:rPr>
            </w:pPr>
            <w:r w:rsidRPr="003003C0">
              <w:rPr>
                <w:rFonts w:cs="Calibri"/>
                <w:color w:val="000000"/>
                <w:sz w:val="14"/>
                <w:szCs w:val="14"/>
              </w:rPr>
              <w:t>1</w:t>
            </w:r>
            <w:r>
              <w:rPr>
                <w:rFonts w:cs="Calibri"/>
                <w:color w:val="000000"/>
                <w:sz w:val="14"/>
                <w:szCs w:val="14"/>
              </w:rPr>
              <w:t>.</w:t>
            </w:r>
            <w:r w:rsidRPr="003003C0">
              <w:rPr>
                <w:rFonts w:cs="Calibri"/>
                <w:color w:val="000000"/>
                <w:sz w:val="14"/>
                <w:szCs w:val="14"/>
              </w:rPr>
              <w:t>3</w:t>
            </w:r>
          </w:p>
        </w:tc>
        <w:tc>
          <w:tcPr>
            <w:tcW w:w="722" w:type="dxa"/>
            <w:noWrap/>
            <w:vAlign w:val="center"/>
            <w:hideMark/>
          </w:tcPr>
          <w:p w14:paraId="4B7AD122" w14:textId="77777777" w:rsidR="004F64EF" w:rsidRPr="003003C0" w:rsidRDefault="004F64EF" w:rsidP="00FD6B66">
            <w:pPr>
              <w:jc w:val="right"/>
              <w:rPr>
                <w:rFonts w:cs="Calibri"/>
                <w:color w:val="000000"/>
                <w:sz w:val="14"/>
                <w:szCs w:val="14"/>
              </w:rPr>
            </w:pPr>
            <w:r w:rsidRPr="003003C0">
              <w:rPr>
                <w:rFonts w:cs="Calibri"/>
                <w:color w:val="000000"/>
                <w:sz w:val="14"/>
                <w:szCs w:val="14"/>
              </w:rPr>
              <w:t>1</w:t>
            </w:r>
            <w:r>
              <w:rPr>
                <w:rFonts w:cs="Calibri"/>
                <w:color w:val="000000"/>
                <w:sz w:val="14"/>
                <w:szCs w:val="14"/>
              </w:rPr>
              <w:t>.</w:t>
            </w:r>
            <w:r w:rsidRPr="003003C0">
              <w:rPr>
                <w:rFonts w:cs="Calibri"/>
                <w:color w:val="000000"/>
                <w:sz w:val="14"/>
                <w:szCs w:val="14"/>
              </w:rPr>
              <w:t>4</w:t>
            </w:r>
          </w:p>
        </w:tc>
        <w:tc>
          <w:tcPr>
            <w:tcW w:w="722" w:type="dxa"/>
            <w:noWrap/>
            <w:vAlign w:val="center"/>
            <w:hideMark/>
          </w:tcPr>
          <w:p w14:paraId="41B5DE4B" w14:textId="77777777" w:rsidR="004F64EF" w:rsidRPr="003003C0" w:rsidRDefault="004F64EF" w:rsidP="00FD6B66">
            <w:pPr>
              <w:jc w:val="right"/>
              <w:rPr>
                <w:rFonts w:cs="Calibri"/>
                <w:color w:val="000000"/>
                <w:sz w:val="14"/>
                <w:szCs w:val="14"/>
              </w:rPr>
            </w:pPr>
            <w:r w:rsidRPr="003003C0">
              <w:rPr>
                <w:rFonts w:cs="Calibri"/>
                <w:color w:val="000000"/>
                <w:sz w:val="14"/>
                <w:szCs w:val="14"/>
              </w:rPr>
              <w:t>1</w:t>
            </w:r>
            <w:r>
              <w:rPr>
                <w:rFonts w:cs="Calibri"/>
                <w:color w:val="000000"/>
                <w:sz w:val="14"/>
                <w:szCs w:val="14"/>
              </w:rPr>
              <w:t>.</w:t>
            </w:r>
            <w:r w:rsidRPr="003003C0">
              <w:rPr>
                <w:rFonts w:cs="Calibri"/>
                <w:color w:val="000000"/>
                <w:sz w:val="14"/>
                <w:szCs w:val="14"/>
              </w:rPr>
              <w:t>7</w:t>
            </w:r>
          </w:p>
        </w:tc>
      </w:tr>
      <w:tr w:rsidR="004F64EF" w:rsidRPr="003003C0" w14:paraId="49C56643" w14:textId="77777777" w:rsidTr="00FD6B66">
        <w:trPr>
          <w:trHeight w:val="20"/>
        </w:trPr>
        <w:tc>
          <w:tcPr>
            <w:tcW w:w="3964" w:type="dxa"/>
            <w:noWrap/>
            <w:vAlign w:val="center"/>
            <w:hideMark/>
          </w:tcPr>
          <w:p w14:paraId="02AA00AA" w14:textId="77777777" w:rsidR="004F64EF" w:rsidRPr="003003C0" w:rsidRDefault="004F64EF" w:rsidP="00A839D1">
            <w:pPr>
              <w:tabs>
                <w:tab w:val="left" w:pos="227"/>
              </w:tabs>
              <w:ind w:left="227" w:hanging="227"/>
              <w:jc w:val="left"/>
              <w:rPr>
                <w:rFonts w:cs="Calibri"/>
                <w:color w:val="000000"/>
                <w:sz w:val="14"/>
                <w:szCs w:val="14"/>
              </w:rPr>
            </w:pPr>
            <w:r w:rsidRPr="003003C0">
              <w:rPr>
                <w:rFonts w:cs="Calibri"/>
                <w:color w:val="000000"/>
                <w:sz w:val="14"/>
                <w:szCs w:val="14"/>
              </w:rPr>
              <w:tab/>
              <w:t xml:space="preserve">04. </w:t>
            </w:r>
            <w:r w:rsidRPr="00834BB8">
              <w:rPr>
                <w:rFonts w:cs="Calibri"/>
                <w:color w:val="000000"/>
                <w:sz w:val="14"/>
                <w:szCs w:val="14"/>
              </w:rPr>
              <w:t>Dairy produce; birds' eggs; natural honey; edible products of animal origin</w:t>
            </w:r>
          </w:p>
        </w:tc>
        <w:tc>
          <w:tcPr>
            <w:tcW w:w="721" w:type="dxa"/>
            <w:noWrap/>
            <w:vAlign w:val="center"/>
            <w:hideMark/>
          </w:tcPr>
          <w:p w14:paraId="4EE81D33" w14:textId="77777777" w:rsidR="004F64EF" w:rsidRPr="003003C0" w:rsidRDefault="004F64EF" w:rsidP="00FD6B66">
            <w:pPr>
              <w:jc w:val="right"/>
              <w:rPr>
                <w:rFonts w:cs="Calibri"/>
                <w:color w:val="000000"/>
                <w:sz w:val="14"/>
                <w:szCs w:val="14"/>
              </w:rPr>
            </w:pPr>
            <w:r w:rsidRPr="003003C0">
              <w:rPr>
                <w:rFonts w:cs="Calibri"/>
                <w:color w:val="000000"/>
                <w:sz w:val="14"/>
                <w:szCs w:val="14"/>
              </w:rPr>
              <w:t>1</w:t>
            </w:r>
            <w:r>
              <w:rPr>
                <w:rFonts w:cs="Calibri"/>
                <w:color w:val="000000"/>
                <w:sz w:val="14"/>
                <w:szCs w:val="14"/>
              </w:rPr>
              <w:t>.</w:t>
            </w:r>
            <w:r w:rsidRPr="003003C0">
              <w:rPr>
                <w:rFonts w:cs="Calibri"/>
                <w:color w:val="000000"/>
                <w:sz w:val="14"/>
                <w:szCs w:val="14"/>
              </w:rPr>
              <w:t>3</w:t>
            </w:r>
          </w:p>
        </w:tc>
        <w:tc>
          <w:tcPr>
            <w:tcW w:w="722" w:type="dxa"/>
            <w:noWrap/>
            <w:vAlign w:val="center"/>
            <w:hideMark/>
          </w:tcPr>
          <w:p w14:paraId="39B50426" w14:textId="77777777" w:rsidR="004F64EF" w:rsidRPr="003003C0" w:rsidRDefault="004F64EF" w:rsidP="00FD6B66">
            <w:pPr>
              <w:jc w:val="right"/>
              <w:rPr>
                <w:rFonts w:cs="Calibri"/>
                <w:color w:val="000000"/>
                <w:sz w:val="14"/>
                <w:szCs w:val="14"/>
              </w:rPr>
            </w:pPr>
            <w:r w:rsidRPr="003003C0">
              <w:rPr>
                <w:rFonts w:cs="Calibri"/>
                <w:color w:val="000000"/>
                <w:sz w:val="14"/>
                <w:szCs w:val="14"/>
              </w:rPr>
              <w:t>1</w:t>
            </w:r>
            <w:r>
              <w:rPr>
                <w:rFonts w:cs="Calibri"/>
                <w:color w:val="000000"/>
                <w:sz w:val="14"/>
                <w:szCs w:val="14"/>
              </w:rPr>
              <w:t>.</w:t>
            </w:r>
            <w:r w:rsidRPr="003003C0">
              <w:rPr>
                <w:rFonts w:cs="Calibri"/>
                <w:color w:val="000000"/>
                <w:sz w:val="14"/>
                <w:szCs w:val="14"/>
              </w:rPr>
              <w:t>3</w:t>
            </w:r>
          </w:p>
        </w:tc>
        <w:tc>
          <w:tcPr>
            <w:tcW w:w="722" w:type="dxa"/>
            <w:noWrap/>
            <w:vAlign w:val="center"/>
            <w:hideMark/>
          </w:tcPr>
          <w:p w14:paraId="706CEF62" w14:textId="77777777" w:rsidR="004F64EF" w:rsidRPr="003003C0" w:rsidRDefault="004F64EF" w:rsidP="00FD6B66">
            <w:pPr>
              <w:jc w:val="right"/>
              <w:rPr>
                <w:rFonts w:cs="Calibri"/>
                <w:color w:val="000000"/>
                <w:sz w:val="14"/>
                <w:szCs w:val="14"/>
              </w:rPr>
            </w:pPr>
            <w:r w:rsidRPr="003003C0">
              <w:rPr>
                <w:rFonts w:cs="Calibri"/>
                <w:color w:val="000000"/>
                <w:sz w:val="14"/>
                <w:szCs w:val="14"/>
              </w:rPr>
              <w:t>1</w:t>
            </w:r>
            <w:r>
              <w:rPr>
                <w:rFonts w:cs="Calibri"/>
                <w:color w:val="000000"/>
                <w:sz w:val="14"/>
                <w:szCs w:val="14"/>
              </w:rPr>
              <w:t>.</w:t>
            </w:r>
            <w:r w:rsidRPr="003003C0">
              <w:rPr>
                <w:rFonts w:cs="Calibri"/>
                <w:color w:val="000000"/>
                <w:sz w:val="14"/>
                <w:szCs w:val="14"/>
              </w:rPr>
              <w:t>4</w:t>
            </w:r>
          </w:p>
        </w:tc>
        <w:tc>
          <w:tcPr>
            <w:tcW w:w="721" w:type="dxa"/>
            <w:noWrap/>
            <w:vAlign w:val="center"/>
            <w:hideMark/>
          </w:tcPr>
          <w:p w14:paraId="1E286AAE" w14:textId="77777777" w:rsidR="004F64EF" w:rsidRPr="003003C0" w:rsidRDefault="004F64EF" w:rsidP="00FD6B66">
            <w:pPr>
              <w:jc w:val="right"/>
              <w:rPr>
                <w:rFonts w:cs="Calibri"/>
                <w:color w:val="000000"/>
                <w:sz w:val="14"/>
                <w:szCs w:val="14"/>
              </w:rPr>
            </w:pPr>
            <w:r w:rsidRPr="003003C0">
              <w:rPr>
                <w:rFonts w:cs="Calibri"/>
                <w:color w:val="000000"/>
                <w:sz w:val="14"/>
                <w:szCs w:val="14"/>
              </w:rPr>
              <w:t>1</w:t>
            </w:r>
            <w:r>
              <w:rPr>
                <w:rFonts w:cs="Calibri"/>
                <w:color w:val="000000"/>
                <w:sz w:val="14"/>
                <w:szCs w:val="14"/>
              </w:rPr>
              <w:t>.</w:t>
            </w:r>
            <w:r w:rsidRPr="003003C0">
              <w:rPr>
                <w:rFonts w:cs="Calibri"/>
                <w:color w:val="000000"/>
                <w:sz w:val="14"/>
                <w:szCs w:val="14"/>
              </w:rPr>
              <w:t>4</w:t>
            </w:r>
          </w:p>
        </w:tc>
        <w:tc>
          <w:tcPr>
            <w:tcW w:w="722" w:type="dxa"/>
            <w:noWrap/>
            <w:vAlign w:val="center"/>
            <w:hideMark/>
          </w:tcPr>
          <w:p w14:paraId="0F91543B" w14:textId="77777777" w:rsidR="004F64EF" w:rsidRPr="003003C0" w:rsidRDefault="004F64EF" w:rsidP="00FD6B66">
            <w:pPr>
              <w:jc w:val="right"/>
              <w:rPr>
                <w:rFonts w:cs="Calibri"/>
                <w:color w:val="000000"/>
                <w:sz w:val="14"/>
                <w:szCs w:val="14"/>
              </w:rPr>
            </w:pPr>
            <w:r w:rsidRPr="003003C0">
              <w:rPr>
                <w:rFonts w:cs="Calibri"/>
                <w:color w:val="000000"/>
                <w:sz w:val="14"/>
                <w:szCs w:val="14"/>
              </w:rPr>
              <w:t>1</w:t>
            </w:r>
            <w:r>
              <w:rPr>
                <w:rFonts w:cs="Calibri"/>
                <w:color w:val="000000"/>
                <w:sz w:val="14"/>
                <w:szCs w:val="14"/>
              </w:rPr>
              <w:t>.</w:t>
            </w:r>
            <w:r w:rsidRPr="003003C0">
              <w:rPr>
                <w:rFonts w:cs="Calibri"/>
                <w:color w:val="000000"/>
                <w:sz w:val="14"/>
                <w:szCs w:val="14"/>
              </w:rPr>
              <w:t>4</w:t>
            </w:r>
          </w:p>
        </w:tc>
        <w:tc>
          <w:tcPr>
            <w:tcW w:w="722" w:type="dxa"/>
            <w:noWrap/>
            <w:vAlign w:val="center"/>
            <w:hideMark/>
          </w:tcPr>
          <w:p w14:paraId="555905B1" w14:textId="77777777" w:rsidR="004F64EF" w:rsidRPr="003003C0" w:rsidRDefault="004F64EF" w:rsidP="00FD6B66">
            <w:pPr>
              <w:jc w:val="right"/>
              <w:rPr>
                <w:rFonts w:cs="Calibri"/>
                <w:color w:val="000000"/>
                <w:sz w:val="14"/>
                <w:szCs w:val="14"/>
              </w:rPr>
            </w:pPr>
            <w:r w:rsidRPr="003003C0">
              <w:rPr>
                <w:rFonts w:cs="Calibri"/>
                <w:color w:val="000000"/>
                <w:sz w:val="14"/>
                <w:szCs w:val="14"/>
              </w:rPr>
              <w:t>2</w:t>
            </w:r>
            <w:r>
              <w:rPr>
                <w:rFonts w:cs="Calibri"/>
                <w:color w:val="000000"/>
                <w:sz w:val="14"/>
                <w:szCs w:val="14"/>
              </w:rPr>
              <w:t>.</w:t>
            </w:r>
            <w:r w:rsidRPr="003003C0">
              <w:rPr>
                <w:rFonts w:cs="Calibri"/>
                <w:color w:val="000000"/>
                <w:sz w:val="14"/>
                <w:szCs w:val="14"/>
              </w:rPr>
              <w:t>0</w:t>
            </w:r>
          </w:p>
        </w:tc>
        <w:tc>
          <w:tcPr>
            <w:tcW w:w="722" w:type="dxa"/>
            <w:noWrap/>
            <w:vAlign w:val="center"/>
            <w:hideMark/>
          </w:tcPr>
          <w:p w14:paraId="533C4239" w14:textId="77777777" w:rsidR="004F64EF" w:rsidRPr="003003C0" w:rsidRDefault="004F64EF" w:rsidP="00FD6B66">
            <w:pPr>
              <w:jc w:val="right"/>
              <w:rPr>
                <w:rFonts w:cs="Calibri"/>
                <w:color w:val="000000"/>
                <w:sz w:val="14"/>
                <w:szCs w:val="14"/>
              </w:rPr>
            </w:pPr>
            <w:r w:rsidRPr="003003C0">
              <w:rPr>
                <w:rFonts w:cs="Calibri"/>
                <w:color w:val="000000"/>
                <w:sz w:val="14"/>
                <w:szCs w:val="14"/>
              </w:rPr>
              <w:t>1</w:t>
            </w:r>
            <w:r>
              <w:rPr>
                <w:rFonts w:cs="Calibri"/>
                <w:color w:val="000000"/>
                <w:sz w:val="14"/>
                <w:szCs w:val="14"/>
              </w:rPr>
              <w:t>.</w:t>
            </w:r>
            <w:r w:rsidRPr="003003C0">
              <w:rPr>
                <w:rFonts w:cs="Calibri"/>
                <w:color w:val="000000"/>
                <w:sz w:val="14"/>
                <w:szCs w:val="14"/>
              </w:rPr>
              <w:t>5</w:t>
            </w:r>
          </w:p>
        </w:tc>
      </w:tr>
      <w:tr w:rsidR="004F64EF" w:rsidRPr="003003C0" w14:paraId="7616C3DF" w14:textId="77777777" w:rsidTr="00FD6B66">
        <w:trPr>
          <w:cnfStyle w:val="000000010000" w:firstRow="0" w:lastRow="0" w:firstColumn="0" w:lastColumn="0" w:oddVBand="0" w:evenVBand="0" w:oddHBand="0" w:evenHBand="1" w:firstRowFirstColumn="0" w:firstRowLastColumn="0" w:lastRowFirstColumn="0" w:lastRowLastColumn="0"/>
          <w:trHeight w:val="20"/>
        </w:trPr>
        <w:tc>
          <w:tcPr>
            <w:tcW w:w="3964" w:type="dxa"/>
            <w:noWrap/>
            <w:vAlign w:val="center"/>
            <w:hideMark/>
          </w:tcPr>
          <w:p w14:paraId="34F10536" w14:textId="77777777" w:rsidR="004F64EF" w:rsidRPr="003003C0" w:rsidRDefault="004F64EF" w:rsidP="00A839D1">
            <w:pPr>
              <w:tabs>
                <w:tab w:val="left" w:pos="227"/>
              </w:tabs>
              <w:ind w:left="227" w:hanging="227"/>
              <w:jc w:val="left"/>
              <w:rPr>
                <w:rFonts w:cs="Calibri"/>
                <w:color w:val="000000"/>
                <w:sz w:val="14"/>
                <w:szCs w:val="14"/>
              </w:rPr>
            </w:pPr>
            <w:r w:rsidRPr="003003C0">
              <w:rPr>
                <w:rFonts w:cs="Calibri"/>
                <w:color w:val="000000"/>
                <w:sz w:val="14"/>
                <w:szCs w:val="14"/>
              </w:rPr>
              <w:tab/>
              <w:t xml:space="preserve">03. </w:t>
            </w:r>
            <w:r w:rsidRPr="00834BB8">
              <w:rPr>
                <w:rFonts w:cs="Calibri"/>
                <w:color w:val="000000"/>
                <w:sz w:val="14"/>
                <w:szCs w:val="14"/>
              </w:rPr>
              <w:t>Fish and crustaceans, molluscs and other aquatic invertebrates</w:t>
            </w:r>
          </w:p>
        </w:tc>
        <w:tc>
          <w:tcPr>
            <w:tcW w:w="721" w:type="dxa"/>
            <w:noWrap/>
            <w:vAlign w:val="center"/>
            <w:hideMark/>
          </w:tcPr>
          <w:p w14:paraId="1D61BF89" w14:textId="77777777" w:rsidR="004F64EF" w:rsidRPr="003003C0" w:rsidRDefault="004F64EF" w:rsidP="00FD6B66">
            <w:pPr>
              <w:jc w:val="right"/>
              <w:rPr>
                <w:rFonts w:cs="Calibri"/>
                <w:color w:val="000000"/>
                <w:sz w:val="14"/>
                <w:szCs w:val="14"/>
              </w:rPr>
            </w:pPr>
            <w:r w:rsidRPr="003003C0">
              <w:rPr>
                <w:rFonts w:cs="Calibri"/>
                <w:color w:val="000000"/>
                <w:sz w:val="14"/>
                <w:szCs w:val="14"/>
              </w:rPr>
              <w:t>0</w:t>
            </w:r>
            <w:r>
              <w:rPr>
                <w:rFonts w:cs="Calibri"/>
                <w:color w:val="000000"/>
                <w:sz w:val="14"/>
                <w:szCs w:val="14"/>
              </w:rPr>
              <w:t>.</w:t>
            </w:r>
            <w:r w:rsidRPr="003003C0">
              <w:rPr>
                <w:rFonts w:cs="Calibri"/>
                <w:color w:val="000000"/>
                <w:sz w:val="14"/>
                <w:szCs w:val="14"/>
              </w:rPr>
              <w:t>8</w:t>
            </w:r>
          </w:p>
        </w:tc>
        <w:tc>
          <w:tcPr>
            <w:tcW w:w="722" w:type="dxa"/>
            <w:noWrap/>
            <w:vAlign w:val="center"/>
            <w:hideMark/>
          </w:tcPr>
          <w:p w14:paraId="49FDB938" w14:textId="77777777" w:rsidR="004F64EF" w:rsidRPr="003003C0" w:rsidRDefault="004F64EF" w:rsidP="00FD6B66">
            <w:pPr>
              <w:jc w:val="right"/>
              <w:rPr>
                <w:rFonts w:cs="Calibri"/>
                <w:color w:val="000000"/>
                <w:sz w:val="14"/>
                <w:szCs w:val="14"/>
              </w:rPr>
            </w:pPr>
            <w:r w:rsidRPr="003003C0">
              <w:rPr>
                <w:rFonts w:cs="Calibri"/>
                <w:color w:val="000000"/>
                <w:sz w:val="14"/>
                <w:szCs w:val="14"/>
              </w:rPr>
              <w:t>0</w:t>
            </w:r>
            <w:r>
              <w:rPr>
                <w:rFonts w:cs="Calibri"/>
                <w:color w:val="000000"/>
                <w:sz w:val="14"/>
                <w:szCs w:val="14"/>
              </w:rPr>
              <w:t>.</w:t>
            </w:r>
            <w:r w:rsidRPr="003003C0">
              <w:rPr>
                <w:rFonts w:cs="Calibri"/>
                <w:color w:val="000000"/>
                <w:sz w:val="14"/>
                <w:szCs w:val="14"/>
              </w:rPr>
              <w:t>8</w:t>
            </w:r>
          </w:p>
        </w:tc>
        <w:tc>
          <w:tcPr>
            <w:tcW w:w="722" w:type="dxa"/>
            <w:noWrap/>
            <w:vAlign w:val="center"/>
            <w:hideMark/>
          </w:tcPr>
          <w:p w14:paraId="25B77A01" w14:textId="77777777" w:rsidR="004F64EF" w:rsidRPr="003003C0" w:rsidRDefault="004F64EF" w:rsidP="00FD6B66">
            <w:pPr>
              <w:jc w:val="right"/>
              <w:rPr>
                <w:rFonts w:cs="Calibri"/>
                <w:color w:val="000000"/>
                <w:sz w:val="14"/>
                <w:szCs w:val="14"/>
              </w:rPr>
            </w:pPr>
            <w:r w:rsidRPr="003003C0">
              <w:rPr>
                <w:rFonts w:cs="Calibri"/>
                <w:color w:val="000000"/>
                <w:sz w:val="14"/>
                <w:szCs w:val="14"/>
              </w:rPr>
              <w:t>0</w:t>
            </w:r>
            <w:r>
              <w:rPr>
                <w:rFonts w:cs="Calibri"/>
                <w:color w:val="000000"/>
                <w:sz w:val="14"/>
                <w:szCs w:val="14"/>
              </w:rPr>
              <w:t>.</w:t>
            </w:r>
            <w:r w:rsidRPr="003003C0">
              <w:rPr>
                <w:rFonts w:cs="Calibri"/>
                <w:color w:val="000000"/>
                <w:sz w:val="14"/>
                <w:szCs w:val="14"/>
              </w:rPr>
              <w:t>9</w:t>
            </w:r>
          </w:p>
        </w:tc>
        <w:tc>
          <w:tcPr>
            <w:tcW w:w="721" w:type="dxa"/>
            <w:noWrap/>
            <w:vAlign w:val="center"/>
            <w:hideMark/>
          </w:tcPr>
          <w:p w14:paraId="0AD037FB" w14:textId="77777777" w:rsidR="004F64EF" w:rsidRPr="003003C0" w:rsidRDefault="004F64EF" w:rsidP="00FD6B66">
            <w:pPr>
              <w:jc w:val="right"/>
              <w:rPr>
                <w:rFonts w:cs="Calibri"/>
                <w:color w:val="000000"/>
                <w:sz w:val="14"/>
                <w:szCs w:val="14"/>
              </w:rPr>
            </w:pPr>
            <w:r w:rsidRPr="003003C0">
              <w:rPr>
                <w:rFonts w:cs="Calibri"/>
                <w:color w:val="000000"/>
                <w:sz w:val="14"/>
                <w:szCs w:val="14"/>
              </w:rPr>
              <w:t>0</w:t>
            </w:r>
            <w:r>
              <w:rPr>
                <w:rFonts w:cs="Calibri"/>
                <w:color w:val="000000"/>
                <w:sz w:val="14"/>
                <w:szCs w:val="14"/>
              </w:rPr>
              <w:t>.</w:t>
            </w:r>
            <w:r w:rsidRPr="003003C0">
              <w:rPr>
                <w:rFonts w:cs="Calibri"/>
                <w:color w:val="000000"/>
                <w:sz w:val="14"/>
                <w:szCs w:val="14"/>
              </w:rPr>
              <w:t>9</w:t>
            </w:r>
          </w:p>
        </w:tc>
        <w:tc>
          <w:tcPr>
            <w:tcW w:w="722" w:type="dxa"/>
            <w:noWrap/>
            <w:vAlign w:val="center"/>
            <w:hideMark/>
          </w:tcPr>
          <w:p w14:paraId="710053D3" w14:textId="77777777" w:rsidR="004F64EF" w:rsidRPr="003003C0" w:rsidRDefault="004F64EF" w:rsidP="00FD6B66">
            <w:pPr>
              <w:jc w:val="right"/>
              <w:rPr>
                <w:rFonts w:cs="Calibri"/>
                <w:color w:val="000000"/>
                <w:sz w:val="14"/>
                <w:szCs w:val="14"/>
              </w:rPr>
            </w:pPr>
            <w:r w:rsidRPr="003003C0">
              <w:rPr>
                <w:rFonts w:cs="Calibri"/>
                <w:color w:val="000000"/>
                <w:sz w:val="14"/>
                <w:szCs w:val="14"/>
              </w:rPr>
              <w:t>0</w:t>
            </w:r>
            <w:r>
              <w:rPr>
                <w:rFonts w:cs="Calibri"/>
                <w:color w:val="000000"/>
                <w:sz w:val="14"/>
                <w:szCs w:val="14"/>
              </w:rPr>
              <w:t>.</w:t>
            </w:r>
            <w:r w:rsidRPr="003003C0">
              <w:rPr>
                <w:rFonts w:cs="Calibri"/>
                <w:color w:val="000000"/>
                <w:sz w:val="14"/>
                <w:szCs w:val="14"/>
              </w:rPr>
              <w:t>9</w:t>
            </w:r>
          </w:p>
        </w:tc>
        <w:tc>
          <w:tcPr>
            <w:tcW w:w="722" w:type="dxa"/>
            <w:noWrap/>
            <w:vAlign w:val="center"/>
            <w:hideMark/>
          </w:tcPr>
          <w:p w14:paraId="349CB5F9" w14:textId="77777777" w:rsidR="004F64EF" w:rsidRPr="003003C0" w:rsidRDefault="004F64EF" w:rsidP="00FD6B66">
            <w:pPr>
              <w:jc w:val="right"/>
              <w:rPr>
                <w:rFonts w:cs="Calibri"/>
                <w:color w:val="000000"/>
                <w:sz w:val="14"/>
                <w:szCs w:val="14"/>
              </w:rPr>
            </w:pPr>
            <w:r w:rsidRPr="003003C0">
              <w:rPr>
                <w:rFonts w:cs="Calibri"/>
                <w:color w:val="000000"/>
                <w:sz w:val="14"/>
                <w:szCs w:val="14"/>
              </w:rPr>
              <w:t>1</w:t>
            </w:r>
            <w:r>
              <w:rPr>
                <w:rFonts w:cs="Calibri"/>
                <w:color w:val="000000"/>
                <w:sz w:val="14"/>
                <w:szCs w:val="14"/>
              </w:rPr>
              <w:t>.</w:t>
            </w:r>
            <w:r w:rsidRPr="003003C0">
              <w:rPr>
                <w:rFonts w:cs="Calibri"/>
                <w:color w:val="000000"/>
                <w:sz w:val="14"/>
                <w:szCs w:val="14"/>
              </w:rPr>
              <w:t>0</w:t>
            </w:r>
          </w:p>
        </w:tc>
        <w:tc>
          <w:tcPr>
            <w:tcW w:w="722" w:type="dxa"/>
            <w:noWrap/>
            <w:vAlign w:val="center"/>
            <w:hideMark/>
          </w:tcPr>
          <w:p w14:paraId="7AFDCFB8" w14:textId="77777777" w:rsidR="004F64EF" w:rsidRPr="003003C0" w:rsidRDefault="004F64EF" w:rsidP="00FD6B66">
            <w:pPr>
              <w:jc w:val="right"/>
              <w:rPr>
                <w:rFonts w:cs="Calibri"/>
                <w:color w:val="000000"/>
                <w:sz w:val="14"/>
                <w:szCs w:val="14"/>
              </w:rPr>
            </w:pPr>
            <w:r w:rsidRPr="003003C0">
              <w:rPr>
                <w:rFonts w:cs="Calibri"/>
                <w:color w:val="000000"/>
                <w:sz w:val="14"/>
                <w:szCs w:val="14"/>
              </w:rPr>
              <w:t>0</w:t>
            </w:r>
            <w:r>
              <w:rPr>
                <w:rFonts w:cs="Calibri"/>
                <w:color w:val="000000"/>
                <w:sz w:val="14"/>
                <w:szCs w:val="14"/>
              </w:rPr>
              <w:t>.</w:t>
            </w:r>
            <w:r w:rsidRPr="003003C0">
              <w:rPr>
                <w:rFonts w:cs="Calibri"/>
                <w:color w:val="000000"/>
                <w:sz w:val="14"/>
                <w:szCs w:val="14"/>
              </w:rPr>
              <w:t>8</w:t>
            </w:r>
          </w:p>
        </w:tc>
      </w:tr>
      <w:tr w:rsidR="004F64EF" w:rsidRPr="003003C0" w14:paraId="6E81E128" w14:textId="77777777" w:rsidTr="00FD6B66">
        <w:trPr>
          <w:trHeight w:val="20"/>
        </w:trPr>
        <w:tc>
          <w:tcPr>
            <w:tcW w:w="3964" w:type="dxa"/>
            <w:noWrap/>
            <w:vAlign w:val="center"/>
            <w:hideMark/>
          </w:tcPr>
          <w:p w14:paraId="62652FEE" w14:textId="77777777" w:rsidR="004F64EF" w:rsidRPr="003003C0" w:rsidRDefault="004F64EF" w:rsidP="00FD6B66">
            <w:pPr>
              <w:jc w:val="left"/>
              <w:rPr>
                <w:rFonts w:cs="Calibri"/>
                <w:color w:val="000000"/>
                <w:sz w:val="14"/>
                <w:szCs w:val="14"/>
              </w:rPr>
            </w:pPr>
            <w:r w:rsidRPr="003003C0">
              <w:rPr>
                <w:rFonts w:cs="Calibri"/>
                <w:color w:val="000000"/>
                <w:sz w:val="14"/>
                <w:szCs w:val="14"/>
              </w:rPr>
              <w:t xml:space="preserve">2 </w:t>
            </w:r>
            <w:r>
              <w:rPr>
                <w:rFonts w:cs="Calibri"/>
                <w:color w:val="000000"/>
                <w:sz w:val="14"/>
                <w:szCs w:val="14"/>
              </w:rPr>
              <w:t>–</w:t>
            </w:r>
            <w:r w:rsidRPr="003003C0">
              <w:rPr>
                <w:rFonts w:cs="Calibri"/>
                <w:color w:val="000000"/>
                <w:sz w:val="14"/>
                <w:szCs w:val="14"/>
              </w:rPr>
              <w:t xml:space="preserve"> </w:t>
            </w:r>
            <w:r>
              <w:rPr>
                <w:rFonts w:cs="Calibri"/>
                <w:color w:val="000000"/>
                <w:sz w:val="14"/>
                <w:szCs w:val="14"/>
              </w:rPr>
              <w:t>Vegetable products</w:t>
            </w:r>
          </w:p>
        </w:tc>
        <w:tc>
          <w:tcPr>
            <w:tcW w:w="721" w:type="dxa"/>
            <w:noWrap/>
            <w:vAlign w:val="center"/>
            <w:hideMark/>
          </w:tcPr>
          <w:p w14:paraId="5EECA948" w14:textId="77777777" w:rsidR="004F64EF" w:rsidRPr="003003C0" w:rsidRDefault="004F64EF" w:rsidP="00FD6B66">
            <w:pPr>
              <w:jc w:val="right"/>
              <w:rPr>
                <w:rFonts w:cs="Calibri"/>
                <w:color w:val="000000"/>
                <w:sz w:val="14"/>
                <w:szCs w:val="14"/>
              </w:rPr>
            </w:pPr>
            <w:r w:rsidRPr="003003C0">
              <w:rPr>
                <w:rFonts w:cs="Calibri"/>
                <w:color w:val="000000"/>
                <w:sz w:val="14"/>
                <w:szCs w:val="14"/>
              </w:rPr>
              <w:t>5</w:t>
            </w:r>
            <w:r>
              <w:rPr>
                <w:rFonts w:cs="Calibri"/>
                <w:color w:val="000000"/>
                <w:sz w:val="14"/>
                <w:szCs w:val="14"/>
              </w:rPr>
              <w:t>.</w:t>
            </w:r>
            <w:r w:rsidRPr="003003C0">
              <w:rPr>
                <w:rFonts w:cs="Calibri"/>
                <w:color w:val="000000"/>
                <w:sz w:val="14"/>
                <w:szCs w:val="14"/>
              </w:rPr>
              <w:t>2</w:t>
            </w:r>
          </w:p>
        </w:tc>
        <w:tc>
          <w:tcPr>
            <w:tcW w:w="722" w:type="dxa"/>
            <w:noWrap/>
            <w:vAlign w:val="center"/>
            <w:hideMark/>
          </w:tcPr>
          <w:p w14:paraId="3827179B" w14:textId="77777777" w:rsidR="004F64EF" w:rsidRPr="003003C0" w:rsidRDefault="004F64EF" w:rsidP="00FD6B66">
            <w:pPr>
              <w:jc w:val="right"/>
              <w:rPr>
                <w:rFonts w:cs="Calibri"/>
                <w:color w:val="000000"/>
                <w:sz w:val="14"/>
                <w:szCs w:val="14"/>
              </w:rPr>
            </w:pPr>
            <w:r w:rsidRPr="003003C0">
              <w:rPr>
                <w:rFonts w:cs="Calibri"/>
                <w:color w:val="000000"/>
                <w:sz w:val="14"/>
                <w:szCs w:val="14"/>
              </w:rPr>
              <w:t>4</w:t>
            </w:r>
            <w:r>
              <w:rPr>
                <w:rFonts w:cs="Calibri"/>
                <w:color w:val="000000"/>
                <w:sz w:val="14"/>
                <w:szCs w:val="14"/>
              </w:rPr>
              <w:t>.</w:t>
            </w:r>
            <w:r w:rsidRPr="003003C0">
              <w:rPr>
                <w:rFonts w:cs="Calibri"/>
                <w:color w:val="000000"/>
                <w:sz w:val="14"/>
                <w:szCs w:val="14"/>
              </w:rPr>
              <w:t>9</w:t>
            </w:r>
          </w:p>
        </w:tc>
        <w:tc>
          <w:tcPr>
            <w:tcW w:w="722" w:type="dxa"/>
            <w:noWrap/>
            <w:vAlign w:val="center"/>
            <w:hideMark/>
          </w:tcPr>
          <w:p w14:paraId="4EC17717" w14:textId="77777777" w:rsidR="004F64EF" w:rsidRPr="003003C0" w:rsidRDefault="004F64EF" w:rsidP="00FD6B66">
            <w:pPr>
              <w:jc w:val="right"/>
              <w:rPr>
                <w:rFonts w:cs="Calibri"/>
                <w:color w:val="000000"/>
                <w:sz w:val="14"/>
                <w:szCs w:val="14"/>
              </w:rPr>
            </w:pPr>
            <w:r w:rsidRPr="003003C0">
              <w:rPr>
                <w:rFonts w:cs="Calibri"/>
                <w:color w:val="000000"/>
                <w:sz w:val="14"/>
                <w:szCs w:val="14"/>
              </w:rPr>
              <w:t>5</w:t>
            </w:r>
            <w:r>
              <w:rPr>
                <w:rFonts w:cs="Calibri"/>
                <w:color w:val="000000"/>
                <w:sz w:val="14"/>
                <w:szCs w:val="14"/>
              </w:rPr>
              <w:t>.</w:t>
            </w:r>
            <w:r w:rsidRPr="003003C0">
              <w:rPr>
                <w:rFonts w:cs="Calibri"/>
                <w:color w:val="000000"/>
                <w:sz w:val="14"/>
                <w:szCs w:val="14"/>
              </w:rPr>
              <w:t>1</w:t>
            </w:r>
          </w:p>
        </w:tc>
        <w:tc>
          <w:tcPr>
            <w:tcW w:w="721" w:type="dxa"/>
            <w:noWrap/>
            <w:vAlign w:val="center"/>
            <w:hideMark/>
          </w:tcPr>
          <w:p w14:paraId="6F0288C4" w14:textId="77777777" w:rsidR="004F64EF" w:rsidRPr="003003C0" w:rsidRDefault="004F64EF" w:rsidP="00FD6B66">
            <w:pPr>
              <w:jc w:val="right"/>
              <w:rPr>
                <w:rFonts w:cs="Calibri"/>
                <w:color w:val="000000"/>
                <w:sz w:val="14"/>
                <w:szCs w:val="14"/>
              </w:rPr>
            </w:pPr>
            <w:r w:rsidRPr="003003C0">
              <w:rPr>
                <w:rFonts w:cs="Calibri"/>
                <w:color w:val="000000"/>
                <w:sz w:val="14"/>
                <w:szCs w:val="14"/>
              </w:rPr>
              <w:t>4</w:t>
            </w:r>
            <w:r>
              <w:rPr>
                <w:rFonts w:cs="Calibri"/>
                <w:color w:val="000000"/>
                <w:sz w:val="14"/>
                <w:szCs w:val="14"/>
              </w:rPr>
              <w:t>.</w:t>
            </w:r>
            <w:r w:rsidRPr="003003C0">
              <w:rPr>
                <w:rFonts w:cs="Calibri"/>
                <w:color w:val="000000"/>
                <w:sz w:val="14"/>
                <w:szCs w:val="14"/>
              </w:rPr>
              <w:t>7</w:t>
            </w:r>
          </w:p>
        </w:tc>
        <w:tc>
          <w:tcPr>
            <w:tcW w:w="722" w:type="dxa"/>
            <w:noWrap/>
            <w:vAlign w:val="center"/>
            <w:hideMark/>
          </w:tcPr>
          <w:p w14:paraId="4F45B81F" w14:textId="77777777" w:rsidR="004F64EF" w:rsidRPr="003003C0" w:rsidRDefault="004F64EF" w:rsidP="00FD6B66">
            <w:pPr>
              <w:jc w:val="right"/>
              <w:rPr>
                <w:rFonts w:cs="Calibri"/>
                <w:color w:val="000000"/>
                <w:sz w:val="14"/>
                <w:szCs w:val="14"/>
              </w:rPr>
            </w:pPr>
            <w:r w:rsidRPr="003003C0">
              <w:rPr>
                <w:rFonts w:cs="Calibri"/>
                <w:color w:val="000000"/>
                <w:sz w:val="14"/>
                <w:szCs w:val="14"/>
              </w:rPr>
              <w:t>5</w:t>
            </w:r>
            <w:r>
              <w:rPr>
                <w:rFonts w:cs="Calibri"/>
                <w:color w:val="000000"/>
                <w:sz w:val="14"/>
                <w:szCs w:val="14"/>
              </w:rPr>
              <w:t>.</w:t>
            </w:r>
            <w:r w:rsidRPr="003003C0">
              <w:rPr>
                <w:rFonts w:cs="Calibri"/>
                <w:color w:val="000000"/>
                <w:sz w:val="14"/>
                <w:szCs w:val="14"/>
              </w:rPr>
              <w:t>1</w:t>
            </w:r>
          </w:p>
        </w:tc>
        <w:tc>
          <w:tcPr>
            <w:tcW w:w="722" w:type="dxa"/>
            <w:noWrap/>
            <w:vAlign w:val="center"/>
            <w:hideMark/>
          </w:tcPr>
          <w:p w14:paraId="40B54CE9" w14:textId="77777777" w:rsidR="004F64EF" w:rsidRPr="003003C0" w:rsidRDefault="004F64EF" w:rsidP="00FD6B66">
            <w:pPr>
              <w:jc w:val="right"/>
              <w:rPr>
                <w:rFonts w:cs="Calibri"/>
                <w:color w:val="000000"/>
                <w:sz w:val="14"/>
                <w:szCs w:val="14"/>
              </w:rPr>
            </w:pPr>
            <w:r w:rsidRPr="003003C0">
              <w:rPr>
                <w:rFonts w:cs="Calibri"/>
                <w:color w:val="000000"/>
                <w:sz w:val="14"/>
                <w:szCs w:val="14"/>
              </w:rPr>
              <w:t>5</w:t>
            </w:r>
            <w:r>
              <w:rPr>
                <w:rFonts w:cs="Calibri"/>
                <w:color w:val="000000"/>
                <w:sz w:val="14"/>
                <w:szCs w:val="14"/>
              </w:rPr>
              <w:t>.</w:t>
            </w:r>
            <w:r w:rsidRPr="003003C0">
              <w:rPr>
                <w:rFonts w:cs="Calibri"/>
                <w:color w:val="000000"/>
                <w:sz w:val="14"/>
                <w:szCs w:val="14"/>
              </w:rPr>
              <w:t>9</w:t>
            </w:r>
          </w:p>
        </w:tc>
        <w:tc>
          <w:tcPr>
            <w:tcW w:w="722" w:type="dxa"/>
            <w:noWrap/>
            <w:vAlign w:val="center"/>
            <w:hideMark/>
          </w:tcPr>
          <w:p w14:paraId="065463B6" w14:textId="77777777" w:rsidR="004F64EF" w:rsidRPr="003003C0" w:rsidRDefault="004F64EF" w:rsidP="00FD6B66">
            <w:pPr>
              <w:jc w:val="right"/>
              <w:rPr>
                <w:rFonts w:cs="Calibri"/>
                <w:color w:val="000000"/>
                <w:sz w:val="14"/>
                <w:szCs w:val="14"/>
              </w:rPr>
            </w:pPr>
            <w:r w:rsidRPr="003003C0">
              <w:rPr>
                <w:rFonts w:cs="Calibri"/>
                <w:color w:val="000000"/>
                <w:sz w:val="14"/>
                <w:szCs w:val="14"/>
              </w:rPr>
              <w:t>5</w:t>
            </w:r>
            <w:r>
              <w:rPr>
                <w:rFonts w:cs="Calibri"/>
                <w:color w:val="000000"/>
                <w:sz w:val="14"/>
                <w:szCs w:val="14"/>
              </w:rPr>
              <w:t>.</w:t>
            </w:r>
            <w:r w:rsidRPr="003003C0">
              <w:rPr>
                <w:rFonts w:cs="Calibri"/>
                <w:color w:val="000000"/>
                <w:sz w:val="14"/>
                <w:szCs w:val="14"/>
              </w:rPr>
              <w:t>5</w:t>
            </w:r>
          </w:p>
        </w:tc>
      </w:tr>
      <w:tr w:rsidR="004F64EF" w:rsidRPr="003003C0" w14:paraId="7E5AEED9" w14:textId="77777777" w:rsidTr="00FD6B66">
        <w:trPr>
          <w:cnfStyle w:val="000000010000" w:firstRow="0" w:lastRow="0" w:firstColumn="0" w:lastColumn="0" w:oddVBand="0" w:evenVBand="0" w:oddHBand="0" w:evenHBand="1" w:firstRowFirstColumn="0" w:firstRowLastColumn="0" w:lastRowFirstColumn="0" w:lastRowLastColumn="0"/>
          <w:trHeight w:val="20"/>
        </w:trPr>
        <w:tc>
          <w:tcPr>
            <w:tcW w:w="3964" w:type="dxa"/>
            <w:noWrap/>
            <w:vAlign w:val="center"/>
            <w:hideMark/>
          </w:tcPr>
          <w:p w14:paraId="07A7A389" w14:textId="77777777" w:rsidR="004F64EF" w:rsidRPr="003003C0" w:rsidRDefault="004F64EF" w:rsidP="00FD6B66">
            <w:pPr>
              <w:tabs>
                <w:tab w:val="left" w:pos="227"/>
              </w:tabs>
              <w:jc w:val="left"/>
              <w:rPr>
                <w:rFonts w:cs="Calibri"/>
                <w:color w:val="000000"/>
                <w:sz w:val="14"/>
                <w:szCs w:val="14"/>
              </w:rPr>
            </w:pPr>
            <w:r w:rsidRPr="003003C0">
              <w:rPr>
                <w:rFonts w:cs="Calibri"/>
                <w:color w:val="000000"/>
                <w:sz w:val="14"/>
                <w:szCs w:val="14"/>
              </w:rPr>
              <w:tab/>
              <w:t>10. Cereals</w:t>
            </w:r>
          </w:p>
        </w:tc>
        <w:tc>
          <w:tcPr>
            <w:tcW w:w="721" w:type="dxa"/>
            <w:noWrap/>
            <w:vAlign w:val="center"/>
            <w:hideMark/>
          </w:tcPr>
          <w:p w14:paraId="453976BE" w14:textId="77777777" w:rsidR="004F64EF" w:rsidRPr="003003C0" w:rsidRDefault="004F64EF" w:rsidP="00FD6B66">
            <w:pPr>
              <w:jc w:val="right"/>
              <w:rPr>
                <w:rFonts w:cs="Calibri"/>
                <w:color w:val="000000"/>
                <w:sz w:val="14"/>
                <w:szCs w:val="14"/>
              </w:rPr>
            </w:pPr>
            <w:r w:rsidRPr="003003C0">
              <w:rPr>
                <w:rFonts w:cs="Calibri"/>
                <w:color w:val="000000"/>
                <w:sz w:val="14"/>
                <w:szCs w:val="14"/>
              </w:rPr>
              <w:t>2</w:t>
            </w:r>
            <w:r>
              <w:rPr>
                <w:rFonts w:cs="Calibri"/>
                <w:color w:val="000000"/>
                <w:sz w:val="14"/>
                <w:szCs w:val="14"/>
              </w:rPr>
              <w:t>.</w:t>
            </w:r>
            <w:r w:rsidRPr="003003C0">
              <w:rPr>
                <w:rFonts w:cs="Calibri"/>
                <w:color w:val="000000"/>
                <w:sz w:val="14"/>
                <w:szCs w:val="14"/>
              </w:rPr>
              <w:t>6</w:t>
            </w:r>
          </w:p>
        </w:tc>
        <w:tc>
          <w:tcPr>
            <w:tcW w:w="722" w:type="dxa"/>
            <w:noWrap/>
            <w:vAlign w:val="center"/>
            <w:hideMark/>
          </w:tcPr>
          <w:p w14:paraId="488D24CC" w14:textId="77777777" w:rsidR="004F64EF" w:rsidRPr="003003C0" w:rsidRDefault="004F64EF" w:rsidP="00FD6B66">
            <w:pPr>
              <w:jc w:val="right"/>
              <w:rPr>
                <w:rFonts w:cs="Calibri"/>
                <w:color w:val="000000"/>
                <w:sz w:val="14"/>
                <w:szCs w:val="14"/>
              </w:rPr>
            </w:pPr>
            <w:r w:rsidRPr="003003C0">
              <w:rPr>
                <w:rFonts w:cs="Calibri"/>
                <w:color w:val="000000"/>
                <w:sz w:val="14"/>
                <w:szCs w:val="14"/>
              </w:rPr>
              <w:t>2</w:t>
            </w:r>
            <w:r>
              <w:rPr>
                <w:rFonts w:cs="Calibri"/>
                <w:color w:val="000000"/>
                <w:sz w:val="14"/>
                <w:szCs w:val="14"/>
              </w:rPr>
              <w:t>.</w:t>
            </w:r>
            <w:r w:rsidRPr="003003C0">
              <w:rPr>
                <w:rFonts w:cs="Calibri"/>
                <w:color w:val="000000"/>
                <w:sz w:val="14"/>
                <w:szCs w:val="14"/>
              </w:rPr>
              <w:t>4</w:t>
            </w:r>
          </w:p>
        </w:tc>
        <w:tc>
          <w:tcPr>
            <w:tcW w:w="722" w:type="dxa"/>
            <w:noWrap/>
            <w:vAlign w:val="center"/>
            <w:hideMark/>
          </w:tcPr>
          <w:p w14:paraId="69C994C7" w14:textId="77777777" w:rsidR="004F64EF" w:rsidRPr="003003C0" w:rsidRDefault="004F64EF" w:rsidP="00FD6B66">
            <w:pPr>
              <w:jc w:val="right"/>
              <w:rPr>
                <w:rFonts w:cs="Calibri"/>
                <w:color w:val="000000"/>
                <w:sz w:val="14"/>
                <w:szCs w:val="14"/>
              </w:rPr>
            </w:pPr>
            <w:r w:rsidRPr="003003C0">
              <w:rPr>
                <w:rFonts w:cs="Calibri"/>
                <w:color w:val="000000"/>
                <w:sz w:val="14"/>
                <w:szCs w:val="14"/>
              </w:rPr>
              <w:t>2</w:t>
            </w:r>
            <w:r>
              <w:rPr>
                <w:rFonts w:cs="Calibri"/>
                <w:color w:val="000000"/>
                <w:sz w:val="14"/>
                <w:szCs w:val="14"/>
              </w:rPr>
              <w:t>.</w:t>
            </w:r>
            <w:r w:rsidRPr="003003C0">
              <w:rPr>
                <w:rFonts w:cs="Calibri"/>
                <w:color w:val="000000"/>
                <w:sz w:val="14"/>
                <w:szCs w:val="14"/>
              </w:rPr>
              <w:t>6</w:t>
            </w:r>
          </w:p>
        </w:tc>
        <w:tc>
          <w:tcPr>
            <w:tcW w:w="721" w:type="dxa"/>
            <w:noWrap/>
            <w:vAlign w:val="center"/>
            <w:hideMark/>
          </w:tcPr>
          <w:p w14:paraId="755D7AFE" w14:textId="77777777" w:rsidR="004F64EF" w:rsidRPr="003003C0" w:rsidRDefault="004F64EF" w:rsidP="00FD6B66">
            <w:pPr>
              <w:jc w:val="right"/>
              <w:rPr>
                <w:rFonts w:cs="Calibri"/>
                <w:color w:val="000000"/>
                <w:sz w:val="14"/>
                <w:szCs w:val="14"/>
              </w:rPr>
            </w:pPr>
            <w:r w:rsidRPr="003003C0">
              <w:rPr>
                <w:rFonts w:cs="Calibri"/>
                <w:color w:val="000000"/>
                <w:sz w:val="14"/>
                <w:szCs w:val="14"/>
              </w:rPr>
              <w:t>2</w:t>
            </w:r>
            <w:r>
              <w:rPr>
                <w:rFonts w:cs="Calibri"/>
                <w:color w:val="000000"/>
                <w:sz w:val="14"/>
                <w:szCs w:val="14"/>
              </w:rPr>
              <w:t>.</w:t>
            </w:r>
            <w:r w:rsidRPr="003003C0">
              <w:rPr>
                <w:rFonts w:cs="Calibri"/>
                <w:color w:val="000000"/>
                <w:sz w:val="14"/>
                <w:szCs w:val="14"/>
              </w:rPr>
              <w:t>4</w:t>
            </w:r>
          </w:p>
        </w:tc>
        <w:tc>
          <w:tcPr>
            <w:tcW w:w="722" w:type="dxa"/>
            <w:noWrap/>
            <w:vAlign w:val="center"/>
            <w:hideMark/>
          </w:tcPr>
          <w:p w14:paraId="1E446746" w14:textId="77777777" w:rsidR="004F64EF" w:rsidRPr="003003C0" w:rsidRDefault="004F64EF" w:rsidP="00FD6B66">
            <w:pPr>
              <w:jc w:val="right"/>
              <w:rPr>
                <w:rFonts w:cs="Calibri"/>
                <w:color w:val="000000"/>
                <w:sz w:val="14"/>
                <w:szCs w:val="14"/>
              </w:rPr>
            </w:pPr>
            <w:r w:rsidRPr="003003C0">
              <w:rPr>
                <w:rFonts w:cs="Calibri"/>
                <w:color w:val="000000"/>
                <w:sz w:val="14"/>
                <w:szCs w:val="14"/>
              </w:rPr>
              <w:t>2</w:t>
            </w:r>
            <w:r>
              <w:rPr>
                <w:rFonts w:cs="Calibri"/>
                <w:color w:val="000000"/>
                <w:sz w:val="14"/>
                <w:szCs w:val="14"/>
              </w:rPr>
              <w:t>.</w:t>
            </w:r>
            <w:r w:rsidRPr="003003C0">
              <w:rPr>
                <w:rFonts w:cs="Calibri"/>
                <w:color w:val="000000"/>
                <w:sz w:val="14"/>
                <w:szCs w:val="14"/>
              </w:rPr>
              <w:t>5</w:t>
            </w:r>
          </w:p>
        </w:tc>
        <w:tc>
          <w:tcPr>
            <w:tcW w:w="722" w:type="dxa"/>
            <w:noWrap/>
            <w:vAlign w:val="center"/>
            <w:hideMark/>
          </w:tcPr>
          <w:p w14:paraId="413AABCA" w14:textId="77777777" w:rsidR="004F64EF" w:rsidRPr="003003C0" w:rsidRDefault="004F64EF" w:rsidP="00FD6B66">
            <w:pPr>
              <w:jc w:val="right"/>
              <w:rPr>
                <w:rFonts w:cs="Calibri"/>
                <w:color w:val="000000"/>
                <w:sz w:val="14"/>
                <w:szCs w:val="14"/>
              </w:rPr>
            </w:pPr>
            <w:r w:rsidRPr="003003C0">
              <w:rPr>
                <w:rFonts w:cs="Calibri"/>
                <w:color w:val="000000"/>
                <w:sz w:val="14"/>
                <w:szCs w:val="14"/>
              </w:rPr>
              <w:t>2</w:t>
            </w:r>
            <w:r>
              <w:rPr>
                <w:rFonts w:cs="Calibri"/>
                <w:color w:val="000000"/>
                <w:sz w:val="14"/>
                <w:szCs w:val="14"/>
              </w:rPr>
              <w:t>.</w:t>
            </w:r>
            <w:r w:rsidRPr="003003C0">
              <w:rPr>
                <w:rFonts w:cs="Calibri"/>
                <w:color w:val="000000"/>
                <w:sz w:val="14"/>
                <w:szCs w:val="14"/>
              </w:rPr>
              <w:t>8</w:t>
            </w:r>
          </w:p>
        </w:tc>
        <w:tc>
          <w:tcPr>
            <w:tcW w:w="722" w:type="dxa"/>
            <w:noWrap/>
            <w:vAlign w:val="center"/>
            <w:hideMark/>
          </w:tcPr>
          <w:p w14:paraId="02DD498A" w14:textId="77777777" w:rsidR="004F64EF" w:rsidRPr="003003C0" w:rsidRDefault="004F64EF" w:rsidP="00FD6B66">
            <w:pPr>
              <w:jc w:val="right"/>
              <w:rPr>
                <w:rFonts w:cs="Calibri"/>
                <w:color w:val="000000"/>
                <w:sz w:val="14"/>
                <w:szCs w:val="14"/>
              </w:rPr>
            </w:pPr>
            <w:r w:rsidRPr="003003C0">
              <w:rPr>
                <w:rFonts w:cs="Calibri"/>
                <w:color w:val="000000"/>
                <w:sz w:val="14"/>
                <w:szCs w:val="14"/>
              </w:rPr>
              <w:t>3</w:t>
            </w:r>
            <w:r>
              <w:rPr>
                <w:rFonts w:cs="Calibri"/>
                <w:color w:val="000000"/>
                <w:sz w:val="14"/>
                <w:szCs w:val="14"/>
              </w:rPr>
              <w:t>.</w:t>
            </w:r>
            <w:r w:rsidRPr="003003C0">
              <w:rPr>
                <w:rFonts w:cs="Calibri"/>
                <w:color w:val="000000"/>
                <w:sz w:val="14"/>
                <w:szCs w:val="14"/>
              </w:rPr>
              <w:t>0</w:t>
            </w:r>
          </w:p>
        </w:tc>
      </w:tr>
      <w:tr w:rsidR="004F64EF" w:rsidRPr="003003C0" w14:paraId="13C20589" w14:textId="77777777" w:rsidTr="00FD6B66">
        <w:trPr>
          <w:trHeight w:val="20"/>
        </w:trPr>
        <w:tc>
          <w:tcPr>
            <w:tcW w:w="3964" w:type="dxa"/>
            <w:noWrap/>
            <w:vAlign w:val="center"/>
            <w:hideMark/>
          </w:tcPr>
          <w:p w14:paraId="0189F220" w14:textId="77777777" w:rsidR="004F64EF" w:rsidRPr="003003C0" w:rsidRDefault="004F64EF" w:rsidP="00A839D1">
            <w:pPr>
              <w:tabs>
                <w:tab w:val="left" w:pos="227"/>
              </w:tabs>
              <w:ind w:left="227" w:hanging="227"/>
              <w:jc w:val="left"/>
              <w:rPr>
                <w:rFonts w:cs="Calibri"/>
                <w:color w:val="000000"/>
                <w:sz w:val="14"/>
                <w:szCs w:val="14"/>
              </w:rPr>
            </w:pPr>
            <w:r w:rsidRPr="003003C0">
              <w:rPr>
                <w:rFonts w:cs="Calibri"/>
                <w:color w:val="000000"/>
                <w:sz w:val="14"/>
                <w:szCs w:val="14"/>
              </w:rPr>
              <w:tab/>
              <w:t xml:space="preserve">12. </w:t>
            </w:r>
            <w:r w:rsidRPr="00834BB8">
              <w:rPr>
                <w:rFonts w:cs="Calibri"/>
                <w:color w:val="000000"/>
                <w:sz w:val="14"/>
                <w:szCs w:val="14"/>
              </w:rPr>
              <w:t>Oil seeds and oleaginous fruits; miscellaneous grains, seeds and fruit; industrial or medicinal plants</w:t>
            </w:r>
            <w:r>
              <w:rPr>
                <w:rFonts w:cs="Calibri"/>
                <w:color w:val="000000"/>
                <w:sz w:val="14"/>
                <w:szCs w:val="14"/>
              </w:rPr>
              <w:t xml:space="preserve">; </w:t>
            </w:r>
            <w:r w:rsidRPr="00834BB8">
              <w:rPr>
                <w:rFonts w:cs="Calibri"/>
                <w:color w:val="000000"/>
                <w:sz w:val="14"/>
                <w:szCs w:val="14"/>
              </w:rPr>
              <w:t>straw and fodder</w:t>
            </w:r>
          </w:p>
        </w:tc>
        <w:tc>
          <w:tcPr>
            <w:tcW w:w="721" w:type="dxa"/>
            <w:noWrap/>
            <w:vAlign w:val="center"/>
            <w:hideMark/>
          </w:tcPr>
          <w:p w14:paraId="241A6069" w14:textId="77777777" w:rsidR="004F64EF" w:rsidRPr="003003C0" w:rsidRDefault="004F64EF" w:rsidP="00FD6B66">
            <w:pPr>
              <w:jc w:val="right"/>
              <w:rPr>
                <w:rFonts w:cs="Calibri"/>
                <w:color w:val="000000"/>
                <w:sz w:val="14"/>
                <w:szCs w:val="14"/>
              </w:rPr>
            </w:pPr>
            <w:r w:rsidRPr="003003C0">
              <w:rPr>
                <w:rFonts w:cs="Calibri"/>
                <w:color w:val="000000"/>
                <w:sz w:val="14"/>
                <w:szCs w:val="14"/>
              </w:rPr>
              <w:t>0</w:t>
            </w:r>
            <w:r>
              <w:rPr>
                <w:rFonts w:cs="Calibri"/>
                <w:color w:val="000000"/>
                <w:sz w:val="14"/>
                <w:szCs w:val="14"/>
              </w:rPr>
              <w:t>.</w:t>
            </w:r>
            <w:r w:rsidRPr="003003C0">
              <w:rPr>
                <w:rFonts w:cs="Calibri"/>
                <w:color w:val="000000"/>
                <w:sz w:val="14"/>
                <w:szCs w:val="14"/>
              </w:rPr>
              <w:t>7</w:t>
            </w:r>
          </w:p>
        </w:tc>
        <w:tc>
          <w:tcPr>
            <w:tcW w:w="722" w:type="dxa"/>
            <w:noWrap/>
            <w:vAlign w:val="center"/>
            <w:hideMark/>
          </w:tcPr>
          <w:p w14:paraId="22F16B1F" w14:textId="77777777" w:rsidR="004F64EF" w:rsidRPr="003003C0" w:rsidRDefault="004F64EF" w:rsidP="00FD6B66">
            <w:pPr>
              <w:jc w:val="right"/>
              <w:rPr>
                <w:rFonts w:cs="Calibri"/>
                <w:color w:val="000000"/>
                <w:sz w:val="14"/>
                <w:szCs w:val="14"/>
              </w:rPr>
            </w:pPr>
            <w:r w:rsidRPr="003003C0">
              <w:rPr>
                <w:rFonts w:cs="Calibri"/>
                <w:color w:val="000000"/>
                <w:sz w:val="14"/>
                <w:szCs w:val="14"/>
              </w:rPr>
              <w:t>0</w:t>
            </w:r>
            <w:r>
              <w:rPr>
                <w:rFonts w:cs="Calibri"/>
                <w:color w:val="000000"/>
                <w:sz w:val="14"/>
                <w:szCs w:val="14"/>
              </w:rPr>
              <w:t>.</w:t>
            </w:r>
            <w:r w:rsidRPr="003003C0">
              <w:rPr>
                <w:rFonts w:cs="Calibri"/>
                <w:color w:val="000000"/>
                <w:sz w:val="14"/>
                <w:szCs w:val="14"/>
              </w:rPr>
              <w:t>7</w:t>
            </w:r>
          </w:p>
        </w:tc>
        <w:tc>
          <w:tcPr>
            <w:tcW w:w="722" w:type="dxa"/>
            <w:noWrap/>
            <w:vAlign w:val="center"/>
            <w:hideMark/>
          </w:tcPr>
          <w:p w14:paraId="22A75479" w14:textId="77777777" w:rsidR="004F64EF" w:rsidRPr="003003C0" w:rsidRDefault="004F64EF" w:rsidP="00FD6B66">
            <w:pPr>
              <w:jc w:val="right"/>
              <w:rPr>
                <w:rFonts w:cs="Calibri"/>
                <w:color w:val="000000"/>
                <w:sz w:val="14"/>
                <w:szCs w:val="14"/>
              </w:rPr>
            </w:pPr>
            <w:r w:rsidRPr="003003C0">
              <w:rPr>
                <w:rFonts w:cs="Calibri"/>
                <w:color w:val="000000"/>
                <w:sz w:val="14"/>
                <w:szCs w:val="14"/>
              </w:rPr>
              <w:t>0</w:t>
            </w:r>
            <w:r>
              <w:rPr>
                <w:rFonts w:cs="Calibri"/>
                <w:color w:val="000000"/>
                <w:sz w:val="14"/>
                <w:szCs w:val="14"/>
              </w:rPr>
              <w:t>.</w:t>
            </w:r>
            <w:r w:rsidRPr="003003C0">
              <w:rPr>
                <w:rFonts w:cs="Calibri"/>
                <w:color w:val="000000"/>
                <w:sz w:val="14"/>
                <w:szCs w:val="14"/>
              </w:rPr>
              <w:t>8</w:t>
            </w:r>
          </w:p>
        </w:tc>
        <w:tc>
          <w:tcPr>
            <w:tcW w:w="721" w:type="dxa"/>
            <w:noWrap/>
            <w:vAlign w:val="center"/>
            <w:hideMark/>
          </w:tcPr>
          <w:p w14:paraId="08607DBD" w14:textId="77777777" w:rsidR="004F64EF" w:rsidRPr="003003C0" w:rsidRDefault="004F64EF" w:rsidP="00FD6B66">
            <w:pPr>
              <w:jc w:val="right"/>
              <w:rPr>
                <w:rFonts w:cs="Calibri"/>
                <w:color w:val="000000"/>
                <w:sz w:val="14"/>
                <w:szCs w:val="14"/>
              </w:rPr>
            </w:pPr>
            <w:r w:rsidRPr="003003C0">
              <w:rPr>
                <w:rFonts w:cs="Calibri"/>
                <w:color w:val="000000"/>
                <w:sz w:val="14"/>
                <w:szCs w:val="14"/>
              </w:rPr>
              <w:t>0</w:t>
            </w:r>
            <w:r>
              <w:rPr>
                <w:rFonts w:cs="Calibri"/>
                <w:color w:val="000000"/>
                <w:sz w:val="14"/>
                <w:szCs w:val="14"/>
              </w:rPr>
              <w:t>.</w:t>
            </w:r>
            <w:r w:rsidRPr="003003C0">
              <w:rPr>
                <w:rFonts w:cs="Calibri"/>
                <w:color w:val="000000"/>
                <w:sz w:val="14"/>
                <w:szCs w:val="14"/>
              </w:rPr>
              <w:t>8</w:t>
            </w:r>
          </w:p>
        </w:tc>
        <w:tc>
          <w:tcPr>
            <w:tcW w:w="722" w:type="dxa"/>
            <w:noWrap/>
            <w:vAlign w:val="center"/>
            <w:hideMark/>
          </w:tcPr>
          <w:p w14:paraId="78C47A56" w14:textId="77777777" w:rsidR="004F64EF" w:rsidRPr="003003C0" w:rsidRDefault="004F64EF" w:rsidP="00FD6B66">
            <w:pPr>
              <w:jc w:val="right"/>
              <w:rPr>
                <w:rFonts w:cs="Calibri"/>
                <w:color w:val="000000"/>
                <w:sz w:val="14"/>
                <w:szCs w:val="14"/>
              </w:rPr>
            </w:pPr>
            <w:r w:rsidRPr="003003C0">
              <w:rPr>
                <w:rFonts w:cs="Calibri"/>
                <w:color w:val="000000"/>
                <w:sz w:val="14"/>
                <w:szCs w:val="14"/>
              </w:rPr>
              <w:t>1</w:t>
            </w:r>
            <w:r>
              <w:rPr>
                <w:rFonts w:cs="Calibri"/>
                <w:color w:val="000000"/>
                <w:sz w:val="14"/>
                <w:szCs w:val="14"/>
              </w:rPr>
              <w:t>.</w:t>
            </w:r>
            <w:r w:rsidRPr="003003C0">
              <w:rPr>
                <w:rFonts w:cs="Calibri"/>
                <w:color w:val="000000"/>
                <w:sz w:val="14"/>
                <w:szCs w:val="14"/>
              </w:rPr>
              <w:t>2</w:t>
            </w:r>
          </w:p>
        </w:tc>
        <w:tc>
          <w:tcPr>
            <w:tcW w:w="722" w:type="dxa"/>
            <w:noWrap/>
            <w:vAlign w:val="center"/>
            <w:hideMark/>
          </w:tcPr>
          <w:p w14:paraId="2496200E" w14:textId="77777777" w:rsidR="004F64EF" w:rsidRPr="003003C0" w:rsidRDefault="004F64EF" w:rsidP="00FD6B66">
            <w:pPr>
              <w:jc w:val="right"/>
              <w:rPr>
                <w:rFonts w:cs="Calibri"/>
                <w:color w:val="000000"/>
                <w:sz w:val="14"/>
                <w:szCs w:val="14"/>
              </w:rPr>
            </w:pPr>
            <w:r w:rsidRPr="003003C0">
              <w:rPr>
                <w:rFonts w:cs="Calibri"/>
                <w:color w:val="000000"/>
                <w:sz w:val="14"/>
                <w:szCs w:val="14"/>
              </w:rPr>
              <w:t>0</w:t>
            </w:r>
            <w:r>
              <w:rPr>
                <w:rFonts w:cs="Calibri"/>
                <w:color w:val="000000"/>
                <w:sz w:val="14"/>
                <w:szCs w:val="14"/>
              </w:rPr>
              <w:t>.</w:t>
            </w:r>
            <w:r w:rsidRPr="003003C0">
              <w:rPr>
                <w:rFonts w:cs="Calibri"/>
                <w:color w:val="000000"/>
                <w:sz w:val="14"/>
                <w:szCs w:val="14"/>
              </w:rPr>
              <w:t>9</w:t>
            </w:r>
          </w:p>
        </w:tc>
        <w:tc>
          <w:tcPr>
            <w:tcW w:w="722" w:type="dxa"/>
            <w:noWrap/>
            <w:vAlign w:val="center"/>
            <w:hideMark/>
          </w:tcPr>
          <w:p w14:paraId="2E587D0C" w14:textId="77777777" w:rsidR="004F64EF" w:rsidRPr="003003C0" w:rsidRDefault="004F64EF" w:rsidP="00FD6B66">
            <w:pPr>
              <w:jc w:val="right"/>
              <w:rPr>
                <w:rFonts w:cs="Calibri"/>
                <w:color w:val="000000"/>
                <w:sz w:val="14"/>
                <w:szCs w:val="14"/>
              </w:rPr>
            </w:pPr>
            <w:r w:rsidRPr="003003C0">
              <w:rPr>
                <w:rFonts w:cs="Calibri"/>
                <w:color w:val="000000"/>
                <w:sz w:val="14"/>
                <w:szCs w:val="14"/>
              </w:rPr>
              <w:t>0</w:t>
            </w:r>
            <w:r>
              <w:rPr>
                <w:rFonts w:cs="Calibri"/>
                <w:color w:val="000000"/>
                <w:sz w:val="14"/>
                <w:szCs w:val="14"/>
              </w:rPr>
              <w:t>.</w:t>
            </w:r>
            <w:r w:rsidRPr="003003C0">
              <w:rPr>
                <w:rFonts w:cs="Calibri"/>
                <w:color w:val="000000"/>
                <w:sz w:val="14"/>
                <w:szCs w:val="14"/>
              </w:rPr>
              <w:t>9</w:t>
            </w:r>
          </w:p>
        </w:tc>
      </w:tr>
      <w:tr w:rsidR="004F64EF" w:rsidRPr="003003C0" w14:paraId="6394FF40" w14:textId="77777777" w:rsidTr="00FD6B66">
        <w:trPr>
          <w:cnfStyle w:val="000000010000" w:firstRow="0" w:lastRow="0" w:firstColumn="0" w:lastColumn="0" w:oddVBand="0" w:evenVBand="0" w:oddHBand="0" w:evenHBand="1" w:firstRowFirstColumn="0" w:firstRowLastColumn="0" w:lastRowFirstColumn="0" w:lastRowLastColumn="0"/>
          <w:trHeight w:val="20"/>
        </w:trPr>
        <w:tc>
          <w:tcPr>
            <w:tcW w:w="3964" w:type="dxa"/>
            <w:noWrap/>
            <w:vAlign w:val="center"/>
            <w:hideMark/>
          </w:tcPr>
          <w:p w14:paraId="155B19E3" w14:textId="77777777" w:rsidR="004F64EF" w:rsidRPr="003003C0" w:rsidRDefault="004F64EF" w:rsidP="00F0233E">
            <w:pPr>
              <w:tabs>
                <w:tab w:val="left" w:pos="227"/>
              </w:tabs>
              <w:ind w:left="227" w:hanging="227"/>
              <w:jc w:val="left"/>
              <w:rPr>
                <w:rFonts w:cs="Calibri"/>
                <w:color w:val="000000"/>
                <w:sz w:val="14"/>
                <w:szCs w:val="14"/>
              </w:rPr>
            </w:pPr>
            <w:r w:rsidRPr="003003C0">
              <w:rPr>
                <w:rFonts w:cs="Calibri"/>
                <w:color w:val="000000"/>
                <w:sz w:val="14"/>
                <w:szCs w:val="14"/>
              </w:rPr>
              <w:tab/>
              <w:t xml:space="preserve">08. </w:t>
            </w:r>
            <w:r w:rsidRPr="00834BB8">
              <w:rPr>
                <w:rFonts w:cs="Calibri"/>
                <w:color w:val="000000"/>
                <w:sz w:val="14"/>
                <w:szCs w:val="14"/>
              </w:rPr>
              <w:t>Edible fruit and nuts; peel of citrus fruit or melons</w:t>
            </w:r>
          </w:p>
        </w:tc>
        <w:tc>
          <w:tcPr>
            <w:tcW w:w="721" w:type="dxa"/>
            <w:noWrap/>
            <w:vAlign w:val="center"/>
            <w:hideMark/>
          </w:tcPr>
          <w:p w14:paraId="62FCC705" w14:textId="77777777" w:rsidR="004F64EF" w:rsidRPr="003003C0" w:rsidRDefault="004F64EF" w:rsidP="00FD6B66">
            <w:pPr>
              <w:jc w:val="right"/>
              <w:rPr>
                <w:rFonts w:cs="Calibri"/>
                <w:color w:val="000000"/>
                <w:sz w:val="14"/>
                <w:szCs w:val="14"/>
              </w:rPr>
            </w:pPr>
            <w:r w:rsidRPr="003003C0">
              <w:rPr>
                <w:rFonts w:cs="Calibri"/>
                <w:color w:val="000000"/>
                <w:sz w:val="14"/>
                <w:szCs w:val="14"/>
              </w:rPr>
              <w:t>0</w:t>
            </w:r>
            <w:r>
              <w:rPr>
                <w:rFonts w:cs="Calibri"/>
                <w:color w:val="000000"/>
                <w:sz w:val="14"/>
                <w:szCs w:val="14"/>
              </w:rPr>
              <w:t>.</w:t>
            </w:r>
            <w:r w:rsidRPr="003003C0">
              <w:rPr>
                <w:rFonts w:cs="Calibri"/>
                <w:color w:val="000000"/>
                <w:sz w:val="14"/>
                <w:szCs w:val="14"/>
              </w:rPr>
              <w:t>4</w:t>
            </w:r>
          </w:p>
        </w:tc>
        <w:tc>
          <w:tcPr>
            <w:tcW w:w="722" w:type="dxa"/>
            <w:noWrap/>
            <w:vAlign w:val="center"/>
            <w:hideMark/>
          </w:tcPr>
          <w:p w14:paraId="166BF571" w14:textId="77777777" w:rsidR="004F64EF" w:rsidRPr="003003C0" w:rsidRDefault="004F64EF" w:rsidP="00FD6B66">
            <w:pPr>
              <w:jc w:val="right"/>
              <w:rPr>
                <w:rFonts w:cs="Calibri"/>
                <w:color w:val="000000"/>
                <w:sz w:val="14"/>
                <w:szCs w:val="14"/>
              </w:rPr>
            </w:pPr>
            <w:r w:rsidRPr="003003C0">
              <w:rPr>
                <w:rFonts w:cs="Calibri"/>
                <w:color w:val="000000"/>
                <w:sz w:val="14"/>
                <w:szCs w:val="14"/>
              </w:rPr>
              <w:t>0</w:t>
            </w:r>
            <w:r>
              <w:rPr>
                <w:rFonts w:cs="Calibri"/>
                <w:color w:val="000000"/>
                <w:sz w:val="14"/>
                <w:szCs w:val="14"/>
              </w:rPr>
              <w:t>.</w:t>
            </w:r>
            <w:r w:rsidRPr="003003C0">
              <w:rPr>
                <w:rFonts w:cs="Calibri"/>
                <w:color w:val="000000"/>
                <w:sz w:val="14"/>
                <w:szCs w:val="14"/>
              </w:rPr>
              <w:t>4</w:t>
            </w:r>
          </w:p>
        </w:tc>
        <w:tc>
          <w:tcPr>
            <w:tcW w:w="722" w:type="dxa"/>
            <w:noWrap/>
            <w:vAlign w:val="center"/>
            <w:hideMark/>
          </w:tcPr>
          <w:p w14:paraId="46B3B5BC" w14:textId="77777777" w:rsidR="004F64EF" w:rsidRPr="003003C0" w:rsidRDefault="004F64EF" w:rsidP="00FD6B66">
            <w:pPr>
              <w:jc w:val="right"/>
              <w:rPr>
                <w:rFonts w:cs="Calibri"/>
                <w:color w:val="000000"/>
                <w:sz w:val="14"/>
                <w:szCs w:val="14"/>
              </w:rPr>
            </w:pPr>
            <w:r w:rsidRPr="003003C0">
              <w:rPr>
                <w:rFonts w:cs="Calibri"/>
                <w:color w:val="000000"/>
                <w:sz w:val="14"/>
                <w:szCs w:val="14"/>
              </w:rPr>
              <w:t>0</w:t>
            </w:r>
            <w:r>
              <w:rPr>
                <w:rFonts w:cs="Calibri"/>
                <w:color w:val="000000"/>
                <w:sz w:val="14"/>
                <w:szCs w:val="14"/>
              </w:rPr>
              <w:t>.</w:t>
            </w:r>
            <w:r w:rsidRPr="003003C0">
              <w:rPr>
                <w:rFonts w:cs="Calibri"/>
                <w:color w:val="000000"/>
                <w:sz w:val="14"/>
                <w:szCs w:val="14"/>
              </w:rPr>
              <w:t>5</w:t>
            </w:r>
          </w:p>
        </w:tc>
        <w:tc>
          <w:tcPr>
            <w:tcW w:w="721" w:type="dxa"/>
            <w:noWrap/>
            <w:vAlign w:val="center"/>
            <w:hideMark/>
          </w:tcPr>
          <w:p w14:paraId="774FC449" w14:textId="77777777" w:rsidR="004F64EF" w:rsidRPr="003003C0" w:rsidRDefault="004F64EF" w:rsidP="00FD6B66">
            <w:pPr>
              <w:jc w:val="right"/>
              <w:rPr>
                <w:rFonts w:cs="Calibri"/>
                <w:color w:val="000000"/>
                <w:sz w:val="14"/>
                <w:szCs w:val="14"/>
              </w:rPr>
            </w:pPr>
            <w:r w:rsidRPr="003003C0">
              <w:rPr>
                <w:rFonts w:cs="Calibri"/>
                <w:color w:val="000000"/>
                <w:sz w:val="14"/>
                <w:szCs w:val="14"/>
              </w:rPr>
              <w:t>0</w:t>
            </w:r>
            <w:r>
              <w:rPr>
                <w:rFonts w:cs="Calibri"/>
                <w:color w:val="000000"/>
                <w:sz w:val="14"/>
                <w:szCs w:val="14"/>
              </w:rPr>
              <w:t>.</w:t>
            </w:r>
            <w:r w:rsidRPr="003003C0">
              <w:rPr>
                <w:rFonts w:cs="Calibri"/>
                <w:color w:val="000000"/>
                <w:sz w:val="14"/>
                <w:szCs w:val="14"/>
              </w:rPr>
              <w:t>4</w:t>
            </w:r>
          </w:p>
        </w:tc>
        <w:tc>
          <w:tcPr>
            <w:tcW w:w="722" w:type="dxa"/>
            <w:noWrap/>
            <w:vAlign w:val="center"/>
            <w:hideMark/>
          </w:tcPr>
          <w:p w14:paraId="4A2A204D" w14:textId="77777777" w:rsidR="004F64EF" w:rsidRPr="003003C0" w:rsidRDefault="004F64EF" w:rsidP="00FD6B66">
            <w:pPr>
              <w:jc w:val="right"/>
              <w:rPr>
                <w:rFonts w:cs="Calibri"/>
                <w:color w:val="000000"/>
                <w:sz w:val="14"/>
                <w:szCs w:val="14"/>
              </w:rPr>
            </w:pPr>
            <w:r w:rsidRPr="003003C0">
              <w:rPr>
                <w:rFonts w:cs="Calibri"/>
                <w:color w:val="000000"/>
                <w:sz w:val="14"/>
                <w:szCs w:val="14"/>
              </w:rPr>
              <w:t>0</w:t>
            </w:r>
            <w:r>
              <w:rPr>
                <w:rFonts w:cs="Calibri"/>
                <w:color w:val="000000"/>
                <w:sz w:val="14"/>
                <w:szCs w:val="14"/>
              </w:rPr>
              <w:t>.</w:t>
            </w:r>
            <w:r w:rsidRPr="003003C0">
              <w:rPr>
                <w:rFonts w:cs="Calibri"/>
                <w:color w:val="000000"/>
                <w:sz w:val="14"/>
                <w:szCs w:val="14"/>
              </w:rPr>
              <w:t>4</w:t>
            </w:r>
          </w:p>
        </w:tc>
        <w:tc>
          <w:tcPr>
            <w:tcW w:w="722" w:type="dxa"/>
            <w:noWrap/>
            <w:vAlign w:val="center"/>
            <w:hideMark/>
          </w:tcPr>
          <w:p w14:paraId="4D260682" w14:textId="77777777" w:rsidR="004F64EF" w:rsidRPr="003003C0" w:rsidRDefault="004F64EF" w:rsidP="00FD6B66">
            <w:pPr>
              <w:jc w:val="right"/>
              <w:rPr>
                <w:rFonts w:cs="Calibri"/>
                <w:color w:val="000000"/>
                <w:sz w:val="14"/>
                <w:szCs w:val="14"/>
              </w:rPr>
            </w:pPr>
            <w:r w:rsidRPr="003003C0">
              <w:rPr>
                <w:rFonts w:cs="Calibri"/>
                <w:color w:val="000000"/>
                <w:sz w:val="14"/>
                <w:szCs w:val="14"/>
              </w:rPr>
              <w:t>0</w:t>
            </w:r>
            <w:r>
              <w:rPr>
                <w:rFonts w:cs="Calibri"/>
                <w:color w:val="000000"/>
                <w:sz w:val="14"/>
                <w:szCs w:val="14"/>
              </w:rPr>
              <w:t>.</w:t>
            </w:r>
            <w:r w:rsidRPr="003003C0">
              <w:rPr>
                <w:rFonts w:cs="Calibri"/>
                <w:color w:val="000000"/>
                <w:sz w:val="14"/>
                <w:szCs w:val="14"/>
              </w:rPr>
              <w:t>6</w:t>
            </w:r>
          </w:p>
        </w:tc>
        <w:tc>
          <w:tcPr>
            <w:tcW w:w="722" w:type="dxa"/>
            <w:noWrap/>
            <w:vAlign w:val="center"/>
            <w:hideMark/>
          </w:tcPr>
          <w:p w14:paraId="46D48F94" w14:textId="77777777" w:rsidR="004F64EF" w:rsidRPr="003003C0" w:rsidRDefault="004F64EF" w:rsidP="00FD6B66">
            <w:pPr>
              <w:jc w:val="right"/>
              <w:rPr>
                <w:rFonts w:cs="Calibri"/>
                <w:color w:val="000000"/>
                <w:sz w:val="14"/>
                <w:szCs w:val="14"/>
              </w:rPr>
            </w:pPr>
            <w:r w:rsidRPr="003003C0">
              <w:rPr>
                <w:rFonts w:cs="Calibri"/>
                <w:color w:val="000000"/>
                <w:sz w:val="14"/>
                <w:szCs w:val="14"/>
              </w:rPr>
              <w:t>0</w:t>
            </w:r>
            <w:r>
              <w:rPr>
                <w:rFonts w:cs="Calibri"/>
                <w:color w:val="000000"/>
                <w:sz w:val="14"/>
                <w:szCs w:val="14"/>
              </w:rPr>
              <w:t>.</w:t>
            </w:r>
            <w:r w:rsidRPr="003003C0">
              <w:rPr>
                <w:rFonts w:cs="Calibri"/>
                <w:color w:val="000000"/>
                <w:sz w:val="14"/>
                <w:szCs w:val="14"/>
              </w:rPr>
              <w:t>5</w:t>
            </w:r>
          </w:p>
        </w:tc>
      </w:tr>
      <w:tr w:rsidR="004F64EF" w:rsidRPr="003003C0" w14:paraId="2DD2FF94" w14:textId="77777777" w:rsidTr="00FD6B66">
        <w:trPr>
          <w:trHeight w:val="20"/>
        </w:trPr>
        <w:tc>
          <w:tcPr>
            <w:tcW w:w="3964" w:type="dxa"/>
            <w:noWrap/>
            <w:vAlign w:val="center"/>
            <w:hideMark/>
          </w:tcPr>
          <w:p w14:paraId="661115F6" w14:textId="77777777" w:rsidR="004F64EF" w:rsidRPr="003003C0" w:rsidRDefault="004F64EF" w:rsidP="00A839D1">
            <w:pPr>
              <w:tabs>
                <w:tab w:val="left" w:pos="227"/>
              </w:tabs>
              <w:ind w:left="227" w:hanging="227"/>
              <w:jc w:val="left"/>
              <w:rPr>
                <w:rFonts w:cs="Calibri"/>
                <w:color w:val="000000"/>
                <w:sz w:val="14"/>
                <w:szCs w:val="14"/>
              </w:rPr>
            </w:pPr>
            <w:r w:rsidRPr="003003C0">
              <w:rPr>
                <w:rFonts w:cs="Calibri"/>
                <w:color w:val="000000"/>
                <w:sz w:val="14"/>
                <w:szCs w:val="14"/>
              </w:rPr>
              <w:tab/>
              <w:t xml:space="preserve">07. </w:t>
            </w:r>
            <w:r w:rsidRPr="00834BB8">
              <w:rPr>
                <w:rFonts w:cs="Calibri"/>
                <w:color w:val="000000"/>
                <w:sz w:val="14"/>
                <w:szCs w:val="14"/>
              </w:rPr>
              <w:t>Edible vegetables and certain roots and tubers</w:t>
            </w:r>
          </w:p>
        </w:tc>
        <w:tc>
          <w:tcPr>
            <w:tcW w:w="721" w:type="dxa"/>
            <w:noWrap/>
            <w:vAlign w:val="center"/>
            <w:hideMark/>
          </w:tcPr>
          <w:p w14:paraId="388464CC" w14:textId="77777777" w:rsidR="004F64EF" w:rsidRPr="003003C0" w:rsidRDefault="004F64EF" w:rsidP="00FD6B66">
            <w:pPr>
              <w:jc w:val="right"/>
              <w:rPr>
                <w:rFonts w:cs="Calibri"/>
                <w:color w:val="000000"/>
                <w:sz w:val="14"/>
                <w:szCs w:val="14"/>
              </w:rPr>
            </w:pPr>
            <w:r w:rsidRPr="003003C0">
              <w:rPr>
                <w:rFonts w:cs="Calibri"/>
                <w:color w:val="000000"/>
                <w:sz w:val="14"/>
                <w:szCs w:val="14"/>
              </w:rPr>
              <w:t>0</w:t>
            </w:r>
            <w:r>
              <w:rPr>
                <w:rFonts w:cs="Calibri"/>
                <w:color w:val="000000"/>
                <w:sz w:val="14"/>
                <w:szCs w:val="14"/>
              </w:rPr>
              <w:t>.</w:t>
            </w:r>
            <w:r w:rsidRPr="003003C0">
              <w:rPr>
                <w:rFonts w:cs="Calibri"/>
                <w:color w:val="000000"/>
                <w:sz w:val="14"/>
                <w:szCs w:val="14"/>
              </w:rPr>
              <w:t>5</w:t>
            </w:r>
          </w:p>
        </w:tc>
        <w:tc>
          <w:tcPr>
            <w:tcW w:w="722" w:type="dxa"/>
            <w:noWrap/>
            <w:vAlign w:val="center"/>
            <w:hideMark/>
          </w:tcPr>
          <w:p w14:paraId="4A1BA533" w14:textId="77777777" w:rsidR="004F64EF" w:rsidRPr="003003C0" w:rsidRDefault="004F64EF" w:rsidP="00FD6B66">
            <w:pPr>
              <w:jc w:val="right"/>
              <w:rPr>
                <w:rFonts w:cs="Calibri"/>
                <w:color w:val="000000"/>
                <w:sz w:val="14"/>
                <w:szCs w:val="14"/>
              </w:rPr>
            </w:pPr>
            <w:r w:rsidRPr="003003C0">
              <w:rPr>
                <w:rFonts w:cs="Calibri"/>
                <w:color w:val="000000"/>
                <w:sz w:val="14"/>
                <w:szCs w:val="14"/>
              </w:rPr>
              <w:t>0</w:t>
            </w:r>
            <w:r>
              <w:rPr>
                <w:rFonts w:cs="Calibri"/>
                <w:color w:val="000000"/>
                <w:sz w:val="14"/>
                <w:szCs w:val="14"/>
              </w:rPr>
              <w:t>.</w:t>
            </w:r>
            <w:r w:rsidRPr="003003C0">
              <w:rPr>
                <w:rFonts w:cs="Calibri"/>
                <w:color w:val="000000"/>
                <w:sz w:val="14"/>
                <w:szCs w:val="14"/>
              </w:rPr>
              <w:t>6</w:t>
            </w:r>
          </w:p>
        </w:tc>
        <w:tc>
          <w:tcPr>
            <w:tcW w:w="722" w:type="dxa"/>
            <w:noWrap/>
            <w:vAlign w:val="center"/>
            <w:hideMark/>
          </w:tcPr>
          <w:p w14:paraId="219D6D1F" w14:textId="77777777" w:rsidR="004F64EF" w:rsidRPr="003003C0" w:rsidRDefault="004F64EF" w:rsidP="00FD6B66">
            <w:pPr>
              <w:jc w:val="right"/>
              <w:rPr>
                <w:rFonts w:cs="Calibri"/>
                <w:color w:val="000000"/>
                <w:sz w:val="14"/>
                <w:szCs w:val="14"/>
              </w:rPr>
            </w:pPr>
            <w:r w:rsidRPr="003003C0">
              <w:rPr>
                <w:rFonts w:cs="Calibri"/>
                <w:color w:val="000000"/>
                <w:sz w:val="14"/>
                <w:szCs w:val="14"/>
              </w:rPr>
              <w:t>0</w:t>
            </w:r>
            <w:r>
              <w:rPr>
                <w:rFonts w:cs="Calibri"/>
                <w:color w:val="000000"/>
                <w:sz w:val="14"/>
                <w:szCs w:val="14"/>
              </w:rPr>
              <w:t>.</w:t>
            </w:r>
            <w:r w:rsidRPr="003003C0">
              <w:rPr>
                <w:rFonts w:cs="Calibri"/>
                <w:color w:val="000000"/>
                <w:sz w:val="14"/>
                <w:szCs w:val="14"/>
              </w:rPr>
              <w:t>5</w:t>
            </w:r>
          </w:p>
        </w:tc>
        <w:tc>
          <w:tcPr>
            <w:tcW w:w="721" w:type="dxa"/>
            <w:noWrap/>
            <w:vAlign w:val="center"/>
            <w:hideMark/>
          </w:tcPr>
          <w:p w14:paraId="2F6FFEB4" w14:textId="77777777" w:rsidR="004F64EF" w:rsidRPr="003003C0" w:rsidRDefault="004F64EF" w:rsidP="00FD6B66">
            <w:pPr>
              <w:jc w:val="right"/>
              <w:rPr>
                <w:rFonts w:cs="Calibri"/>
                <w:color w:val="000000"/>
                <w:sz w:val="14"/>
                <w:szCs w:val="14"/>
              </w:rPr>
            </w:pPr>
            <w:r w:rsidRPr="003003C0">
              <w:rPr>
                <w:rFonts w:cs="Calibri"/>
                <w:color w:val="000000"/>
                <w:sz w:val="14"/>
                <w:szCs w:val="14"/>
              </w:rPr>
              <w:t>0</w:t>
            </w:r>
            <w:r>
              <w:rPr>
                <w:rFonts w:cs="Calibri"/>
                <w:color w:val="000000"/>
                <w:sz w:val="14"/>
                <w:szCs w:val="14"/>
              </w:rPr>
              <w:t>.</w:t>
            </w:r>
            <w:r w:rsidRPr="003003C0">
              <w:rPr>
                <w:rFonts w:cs="Calibri"/>
                <w:color w:val="000000"/>
                <w:sz w:val="14"/>
                <w:szCs w:val="14"/>
              </w:rPr>
              <w:t>4</w:t>
            </w:r>
          </w:p>
        </w:tc>
        <w:tc>
          <w:tcPr>
            <w:tcW w:w="722" w:type="dxa"/>
            <w:noWrap/>
            <w:vAlign w:val="center"/>
            <w:hideMark/>
          </w:tcPr>
          <w:p w14:paraId="768AFAF5" w14:textId="77777777" w:rsidR="004F64EF" w:rsidRPr="003003C0" w:rsidRDefault="004F64EF" w:rsidP="00FD6B66">
            <w:pPr>
              <w:jc w:val="right"/>
              <w:rPr>
                <w:rFonts w:cs="Calibri"/>
                <w:color w:val="000000"/>
                <w:sz w:val="14"/>
                <w:szCs w:val="14"/>
              </w:rPr>
            </w:pPr>
            <w:r w:rsidRPr="003003C0">
              <w:rPr>
                <w:rFonts w:cs="Calibri"/>
                <w:color w:val="000000"/>
                <w:sz w:val="14"/>
                <w:szCs w:val="14"/>
              </w:rPr>
              <w:t>0</w:t>
            </w:r>
            <w:r>
              <w:rPr>
                <w:rFonts w:cs="Calibri"/>
                <w:color w:val="000000"/>
                <w:sz w:val="14"/>
                <w:szCs w:val="14"/>
              </w:rPr>
              <w:t>.</w:t>
            </w:r>
            <w:r w:rsidRPr="003003C0">
              <w:rPr>
                <w:rFonts w:cs="Calibri"/>
                <w:color w:val="000000"/>
                <w:sz w:val="14"/>
                <w:szCs w:val="14"/>
              </w:rPr>
              <w:t>4</w:t>
            </w:r>
          </w:p>
        </w:tc>
        <w:tc>
          <w:tcPr>
            <w:tcW w:w="722" w:type="dxa"/>
            <w:noWrap/>
            <w:vAlign w:val="center"/>
            <w:hideMark/>
          </w:tcPr>
          <w:p w14:paraId="4CCA725A" w14:textId="77777777" w:rsidR="004F64EF" w:rsidRPr="003003C0" w:rsidRDefault="004F64EF" w:rsidP="00FD6B66">
            <w:pPr>
              <w:jc w:val="right"/>
              <w:rPr>
                <w:rFonts w:cs="Calibri"/>
                <w:color w:val="000000"/>
                <w:sz w:val="14"/>
                <w:szCs w:val="14"/>
              </w:rPr>
            </w:pPr>
            <w:r w:rsidRPr="003003C0">
              <w:rPr>
                <w:rFonts w:cs="Calibri"/>
                <w:color w:val="000000"/>
                <w:sz w:val="14"/>
                <w:szCs w:val="14"/>
              </w:rPr>
              <w:t>0</w:t>
            </w:r>
            <w:r>
              <w:rPr>
                <w:rFonts w:cs="Calibri"/>
                <w:color w:val="000000"/>
                <w:sz w:val="14"/>
                <w:szCs w:val="14"/>
              </w:rPr>
              <w:t>.</w:t>
            </w:r>
            <w:r w:rsidRPr="003003C0">
              <w:rPr>
                <w:rFonts w:cs="Calibri"/>
                <w:color w:val="000000"/>
                <w:sz w:val="14"/>
                <w:szCs w:val="14"/>
              </w:rPr>
              <w:t>9</w:t>
            </w:r>
          </w:p>
        </w:tc>
        <w:tc>
          <w:tcPr>
            <w:tcW w:w="722" w:type="dxa"/>
            <w:noWrap/>
            <w:vAlign w:val="center"/>
            <w:hideMark/>
          </w:tcPr>
          <w:p w14:paraId="0D91CF86" w14:textId="77777777" w:rsidR="004F64EF" w:rsidRPr="003003C0" w:rsidRDefault="004F64EF" w:rsidP="00FD6B66">
            <w:pPr>
              <w:jc w:val="right"/>
              <w:rPr>
                <w:rFonts w:cs="Calibri"/>
                <w:color w:val="000000"/>
                <w:sz w:val="14"/>
                <w:szCs w:val="14"/>
              </w:rPr>
            </w:pPr>
            <w:r w:rsidRPr="003003C0">
              <w:rPr>
                <w:rFonts w:cs="Calibri"/>
                <w:color w:val="000000"/>
                <w:sz w:val="14"/>
                <w:szCs w:val="14"/>
              </w:rPr>
              <w:t>0</w:t>
            </w:r>
            <w:r>
              <w:rPr>
                <w:rFonts w:cs="Calibri"/>
                <w:color w:val="000000"/>
                <w:sz w:val="14"/>
                <w:szCs w:val="14"/>
              </w:rPr>
              <w:t>.</w:t>
            </w:r>
            <w:r w:rsidRPr="003003C0">
              <w:rPr>
                <w:rFonts w:cs="Calibri"/>
                <w:color w:val="000000"/>
                <w:sz w:val="14"/>
                <w:szCs w:val="14"/>
              </w:rPr>
              <w:t>5</w:t>
            </w:r>
          </w:p>
        </w:tc>
      </w:tr>
      <w:tr w:rsidR="004F64EF" w:rsidRPr="003003C0" w14:paraId="27A2D742" w14:textId="77777777" w:rsidTr="00FD6B66">
        <w:trPr>
          <w:cnfStyle w:val="000000010000" w:firstRow="0" w:lastRow="0" w:firstColumn="0" w:lastColumn="0" w:oddVBand="0" w:evenVBand="0" w:oddHBand="0" w:evenHBand="1" w:firstRowFirstColumn="0" w:firstRowLastColumn="0" w:lastRowFirstColumn="0" w:lastRowLastColumn="0"/>
          <w:trHeight w:val="20"/>
        </w:trPr>
        <w:tc>
          <w:tcPr>
            <w:tcW w:w="3964" w:type="dxa"/>
            <w:noWrap/>
            <w:vAlign w:val="center"/>
            <w:hideMark/>
          </w:tcPr>
          <w:p w14:paraId="12A39793" w14:textId="77777777" w:rsidR="004F64EF" w:rsidRPr="003003C0" w:rsidRDefault="004F64EF" w:rsidP="00FD6B66">
            <w:pPr>
              <w:tabs>
                <w:tab w:val="left" w:pos="227"/>
              </w:tabs>
              <w:jc w:val="left"/>
              <w:rPr>
                <w:rFonts w:cs="Calibri"/>
                <w:color w:val="000000"/>
                <w:sz w:val="14"/>
                <w:szCs w:val="14"/>
              </w:rPr>
            </w:pPr>
            <w:r w:rsidRPr="003003C0">
              <w:rPr>
                <w:rFonts w:cs="Calibri"/>
                <w:color w:val="000000"/>
                <w:sz w:val="14"/>
                <w:szCs w:val="14"/>
              </w:rPr>
              <w:tab/>
              <w:t xml:space="preserve">09. </w:t>
            </w:r>
            <w:r w:rsidRPr="00834BB8">
              <w:rPr>
                <w:rFonts w:cs="Calibri"/>
                <w:color w:val="000000"/>
                <w:sz w:val="14"/>
                <w:szCs w:val="14"/>
              </w:rPr>
              <w:t xml:space="preserve">Coffee, tea, </w:t>
            </w:r>
            <w:proofErr w:type="spellStart"/>
            <w:r w:rsidRPr="00834BB8">
              <w:rPr>
                <w:rFonts w:cs="Calibri"/>
                <w:color w:val="000000"/>
                <w:sz w:val="14"/>
                <w:szCs w:val="14"/>
              </w:rPr>
              <w:t>maté</w:t>
            </w:r>
            <w:proofErr w:type="spellEnd"/>
            <w:r w:rsidRPr="00834BB8">
              <w:rPr>
                <w:rFonts w:cs="Calibri"/>
                <w:color w:val="000000"/>
                <w:sz w:val="14"/>
                <w:szCs w:val="14"/>
              </w:rPr>
              <w:t xml:space="preserve"> and spices</w:t>
            </w:r>
          </w:p>
        </w:tc>
        <w:tc>
          <w:tcPr>
            <w:tcW w:w="721" w:type="dxa"/>
            <w:noWrap/>
            <w:vAlign w:val="center"/>
            <w:hideMark/>
          </w:tcPr>
          <w:p w14:paraId="28FAAED5" w14:textId="77777777" w:rsidR="004F64EF" w:rsidRPr="003003C0" w:rsidRDefault="004F64EF" w:rsidP="00FD6B66">
            <w:pPr>
              <w:jc w:val="right"/>
              <w:rPr>
                <w:rFonts w:cs="Calibri"/>
                <w:color w:val="000000"/>
                <w:sz w:val="14"/>
                <w:szCs w:val="14"/>
              </w:rPr>
            </w:pPr>
            <w:r w:rsidRPr="003003C0">
              <w:rPr>
                <w:rFonts w:cs="Calibri"/>
                <w:color w:val="000000"/>
                <w:sz w:val="14"/>
                <w:szCs w:val="14"/>
              </w:rPr>
              <w:t>0</w:t>
            </w:r>
            <w:r>
              <w:rPr>
                <w:rFonts w:cs="Calibri"/>
                <w:color w:val="000000"/>
                <w:sz w:val="14"/>
                <w:szCs w:val="14"/>
              </w:rPr>
              <w:t>.</w:t>
            </w:r>
            <w:r w:rsidRPr="003003C0">
              <w:rPr>
                <w:rFonts w:cs="Calibri"/>
                <w:color w:val="000000"/>
                <w:sz w:val="14"/>
                <w:szCs w:val="14"/>
              </w:rPr>
              <w:t>6</w:t>
            </w:r>
          </w:p>
        </w:tc>
        <w:tc>
          <w:tcPr>
            <w:tcW w:w="722" w:type="dxa"/>
            <w:noWrap/>
            <w:vAlign w:val="center"/>
            <w:hideMark/>
          </w:tcPr>
          <w:p w14:paraId="3411DF58" w14:textId="77777777" w:rsidR="004F64EF" w:rsidRPr="003003C0" w:rsidRDefault="004F64EF" w:rsidP="00FD6B66">
            <w:pPr>
              <w:jc w:val="right"/>
              <w:rPr>
                <w:rFonts w:cs="Calibri"/>
                <w:color w:val="000000"/>
                <w:sz w:val="14"/>
                <w:szCs w:val="14"/>
              </w:rPr>
            </w:pPr>
            <w:r w:rsidRPr="003003C0">
              <w:rPr>
                <w:rFonts w:cs="Calibri"/>
                <w:color w:val="000000"/>
                <w:sz w:val="14"/>
                <w:szCs w:val="14"/>
              </w:rPr>
              <w:t>0</w:t>
            </w:r>
            <w:r>
              <w:rPr>
                <w:rFonts w:cs="Calibri"/>
                <w:color w:val="000000"/>
                <w:sz w:val="14"/>
                <w:szCs w:val="14"/>
              </w:rPr>
              <w:t>.</w:t>
            </w:r>
            <w:r w:rsidRPr="003003C0">
              <w:rPr>
                <w:rFonts w:cs="Calibri"/>
                <w:color w:val="000000"/>
                <w:sz w:val="14"/>
                <w:szCs w:val="14"/>
              </w:rPr>
              <w:t>4</w:t>
            </w:r>
          </w:p>
        </w:tc>
        <w:tc>
          <w:tcPr>
            <w:tcW w:w="722" w:type="dxa"/>
            <w:noWrap/>
            <w:vAlign w:val="center"/>
            <w:hideMark/>
          </w:tcPr>
          <w:p w14:paraId="2CB21520" w14:textId="77777777" w:rsidR="004F64EF" w:rsidRPr="003003C0" w:rsidRDefault="004F64EF" w:rsidP="00FD6B66">
            <w:pPr>
              <w:jc w:val="right"/>
              <w:rPr>
                <w:rFonts w:cs="Calibri"/>
                <w:color w:val="000000"/>
                <w:sz w:val="14"/>
                <w:szCs w:val="14"/>
              </w:rPr>
            </w:pPr>
            <w:r w:rsidRPr="003003C0">
              <w:rPr>
                <w:rFonts w:cs="Calibri"/>
                <w:color w:val="000000"/>
                <w:sz w:val="14"/>
                <w:szCs w:val="14"/>
              </w:rPr>
              <w:t>0</w:t>
            </w:r>
            <w:r>
              <w:rPr>
                <w:rFonts w:cs="Calibri"/>
                <w:color w:val="000000"/>
                <w:sz w:val="14"/>
                <w:szCs w:val="14"/>
              </w:rPr>
              <w:t>.</w:t>
            </w:r>
            <w:r w:rsidRPr="003003C0">
              <w:rPr>
                <w:rFonts w:cs="Calibri"/>
                <w:color w:val="000000"/>
                <w:sz w:val="14"/>
                <w:szCs w:val="14"/>
              </w:rPr>
              <w:t>4</w:t>
            </w:r>
          </w:p>
        </w:tc>
        <w:tc>
          <w:tcPr>
            <w:tcW w:w="721" w:type="dxa"/>
            <w:noWrap/>
            <w:vAlign w:val="center"/>
            <w:hideMark/>
          </w:tcPr>
          <w:p w14:paraId="46E14484" w14:textId="77777777" w:rsidR="004F64EF" w:rsidRPr="003003C0" w:rsidRDefault="004F64EF" w:rsidP="00FD6B66">
            <w:pPr>
              <w:jc w:val="right"/>
              <w:rPr>
                <w:rFonts w:cs="Calibri"/>
                <w:color w:val="000000"/>
                <w:sz w:val="14"/>
                <w:szCs w:val="14"/>
              </w:rPr>
            </w:pPr>
            <w:r w:rsidRPr="003003C0">
              <w:rPr>
                <w:rFonts w:cs="Calibri"/>
                <w:color w:val="000000"/>
                <w:sz w:val="14"/>
                <w:szCs w:val="14"/>
              </w:rPr>
              <w:t>0</w:t>
            </w:r>
            <w:r>
              <w:rPr>
                <w:rFonts w:cs="Calibri"/>
                <w:color w:val="000000"/>
                <w:sz w:val="14"/>
                <w:szCs w:val="14"/>
              </w:rPr>
              <w:t>.</w:t>
            </w:r>
            <w:r w:rsidRPr="003003C0">
              <w:rPr>
                <w:rFonts w:cs="Calibri"/>
                <w:color w:val="000000"/>
                <w:sz w:val="14"/>
                <w:szCs w:val="14"/>
              </w:rPr>
              <w:t>3</w:t>
            </w:r>
          </w:p>
        </w:tc>
        <w:tc>
          <w:tcPr>
            <w:tcW w:w="722" w:type="dxa"/>
            <w:noWrap/>
            <w:vAlign w:val="center"/>
            <w:hideMark/>
          </w:tcPr>
          <w:p w14:paraId="4B0E5844" w14:textId="77777777" w:rsidR="004F64EF" w:rsidRPr="003003C0" w:rsidRDefault="004F64EF" w:rsidP="00FD6B66">
            <w:pPr>
              <w:jc w:val="right"/>
              <w:rPr>
                <w:rFonts w:cs="Calibri"/>
                <w:color w:val="000000"/>
                <w:sz w:val="14"/>
                <w:szCs w:val="14"/>
              </w:rPr>
            </w:pPr>
            <w:r w:rsidRPr="003003C0">
              <w:rPr>
                <w:rFonts w:cs="Calibri"/>
                <w:color w:val="000000"/>
                <w:sz w:val="14"/>
                <w:szCs w:val="14"/>
              </w:rPr>
              <w:t>0</w:t>
            </w:r>
            <w:r>
              <w:rPr>
                <w:rFonts w:cs="Calibri"/>
                <w:color w:val="000000"/>
                <w:sz w:val="14"/>
                <w:szCs w:val="14"/>
              </w:rPr>
              <w:t>.</w:t>
            </w:r>
            <w:r w:rsidRPr="003003C0">
              <w:rPr>
                <w:rFonts w:cs="Calibri"/>
                <w:color w:val="000000"/>
                <w:sz w:val="14"/>
                <w:szCs w:val="14"/>
              </w:rPr>
              <w:t>3</w:t>
            </w:r>
          </w:p>
        </w:tc>
        <w:tc>
          <w:tcPr>
            <w:tcW w:w="722" w:type="dxa"/>
            <w:noWrap/>
            <w:vAlign w:val="center"/>
            <w:hideMark/>
          </w:tcPr>
          <w:p w14:paraId="005CFA28" w14:textId="77777777" w:rsidR="004F64EF" w:rsidRPr="003003C0" w:rsidRDefault="004F64EF" w:rsidP="00FD6B66">
            <w:pPr>
              <w:jc w:val="right"/>
              <w:rPr>
                <w:rFonts w:cs="Calibri"/>
                <w:color w:val="000000"/>
                <w:sz w:val="14"/>
                <w:szCs w:val="14"/>
              </w:rPr>
            </w:pPr>
            <w:r w:rsidRPr="003003C0">
              <w:rPr>
                <w:rFonts w:cs="Calibri"/>
                <w:color w:val="000000"/>
                <w:sz w:val="14"/>
                <w:szCs w:val="14"/>
              </w:rPr>
              <w:t>0</w:t>
            </w:r>
            <w:r>
              <w:rPr>
                <w:rFonts w:cs="Calibri"/>
                <w:color w:val="000000"/>
                <w:sz w:val="14"/>
                <w:szCs w:val="14"/>
              </w:rPr>
              <w:t>.</w:t>
            </w:r>
            <w:r w:rsidRPr="003003C0">
              <w:rPr>
                <w:rFonts w:cs="Calibri"/>
                <w:color w:val="000000"/>
                <w:sz w:val="14"/>
                <w:szCs w:val="14"/>
              </w:rPr>
              <w:t>4</w:t>
            </w:r>
          </w:p>
        </w:tc>
        <w:tc>
          <w:tcPr>
            <w:tcW w:w="722" w:type="dxa"/>
            <w:noWrap/>
            <w:vAlign w:val="center"/>
            <w:hideMark/>
          </w:tcPr>
          <w:p w14:paraId="09F56EA8" w14:textId="77777777" w:rsidR="004F64EF" w:rsidRPr="003003C0" w:rsidRDefault="004F64EF" w:rsidP="00FD6B66">
            <w:pPr>
              <w:jc w:val="right"/>
              <w:rPr>
                <w:rFonts w:cs="Calibri"/>
                <w:color w:val="000000"/>
                <w:sz w:val="14"/>
                <w:szCs w:val="14"/>
              </w:rPr>
            </w:pPr>
            <w:r w:rsidRPr="003003C0">
              <w:rPr>
                <w:rFonts w:cs="Calibri"/>
                <w:color w:val="000000"/>
                <w:sz w:val="14"/>
                <w:szCs w:val="14"/>
              </w:rPr>
              <w:t>0</w:t>
            </w:r>
            <w:r>
              <w:rPr>
                <w:rFonts w:cs="Calibri"/>
                <w:color w:val="000000"/>
                <w:sz w:val="14"/>
                <w:szCs w:val="14"/>
              </w:rPr>
              <w:t>.</w:t>
            </w:r>
            <w:r w:rsidRPr="003003C0">
              <w:rPr>
                <w:rFonts w:cs="Calibri"/>
                <w:color w:val="000000"/>
                <w:sz w:val="14"/>
                <w:szCs w:val="14"/>
              </w:rPr>
              <w:t>3</w:t>
            </w:r>
          </w:p>
        </w:tc>
      </w:tr>
      <w:tr w:rsidR="004F64EF" w:rsidRPr="003003C0" w14:paraId="7FEF081A" w14:textId="77777777" w:rsidTr="00FD6B66">
        <w:trPr>
          <w:trHeight w:val="20"/>
        </w:trPr>
        <w:tc>
          <w:tcPr>
            <w:tcW w:w="3964" w:type="dxa"/>
            <w:noWrap/>
            <w:vAlign w:val="center"/>
            <w:hideMark/>
          </w:tcPr>
          <w:p w14:paraId="2D28D7FC" w14:textId="77777777" w:rsidR="004F64EF" w:rsidRPr="003003C0" w:rsidRDefault="004F64EF" w:rsidP="00FD6B66">
            <w:pPr>
              <w:jc w:val="left"/>
              <w:rPr>
                <w:rFonts w:cs="Calibri"/>
                <w:color w:val="000000"/>
                <w:sz w:val="14"/>
                <w:szCs w:val="14"/>
              </w:rPr>
            </w:pPr>
            <w:r w:rsidRPr="003003C0">
              <w:rPr>
                <w:rFonts w:cs="Calibri"/>
                <w:color w:val="000000"/>
                <w:sz w:val="14"/>
                <w:szCs w:val="14"/>
              </w:rPr>
              <w:t xml:space="preserve">3 - </w:t>
            </w:r>
            <w:r>
              <w:rPr>
                <w:rFonts w:cs="Calibri"/>
                <w:color w:val="000000"/>
                <w:sz w:val="14"/>
                <w:szCs w:val="14"/>
              </w:rPr>
              <w:t>A</w:t>
            </w:r>
            <w:r w:rsidRPr="00834BB8">
              <w:rPr>
                <w:rFonts w:cs="Calibri"/>
                <w:color w:val="000000"/>
                <w:sz w:val="14"/>
                <w:szCs w:val="14"/>
              </w:rPr>
              <w:t>nimal or vegetable fats and oils</w:t>
            </w:r>
          </w:p>
        </w:tc>
        <w:tc>
          <w:tcPr>
            <w:tcW w:w="721" w:type="dxa"/>
            <w:noWrap/>
            <w:vAlign w:val="center"/>
            <w:hideMark/>
          </w:tcPr>
          <w:p w14:paraId="12F2A10C" w14:textId="77777777" w:rsidR="004F64EF" w:rsidRPr="003003C0" w:rsidRDefault="004F64EF" w:rsidP="00FD6B66">
            <w:pPr>
              <w:jc w:val="right"/>
              <w:rPr>
                <w:rFonts w:cs="Calibri"/>
                <w:color w:val="000000"/>
                <w:sz w:val="14"/>
                <w:szCs w:val="14"/>
              </w:rPr>
            </w:pPr>
            <w:r w:rsidRPr="003003C0">
              <w:rPr>
                <w:rFonts w:cs="Calibri"/>
                <w:color w:val="000000"/>
                <w:sz w:val="14"/>
                <w:szCs w:val="14"/>
              </w:rPr>
              <w:t>1</w:t>
            </w:r>
            <w:r>
              <w:rPr>
                <w:rFonts w:cs="Calibri"/>
                <w:color w:val="000000"/>
                <w:sz w:val="14"/>
                <w:szCs w:val="14"/>
              </w:rPr>
              <w:t>.</w:t>
            </w:r>
            <w:r w:rsidRPr="003003C0">
              <w:rPr>
                <w:rFonts w:cs="Calibri"/>
                <w:color w:val="000000"/>
                <w:sz w:val="14"/>
                <w:szCs w:val="14"/>
              </w:rPr>
              <w:t>4</w:t>
            </w:r>
          </w:p>
        </w:tc>
        <w:tc>
          <w:tcPr>
            <w:tcW w:w="722" w:type="dxa"/>
            <w:noWrap/>
            <w:vAlign w:val="center"/>
            <w:hideMark/>
          </w:tcPr>
          <w:p w14:paraId="011917ED" w14:textId="77777777" w:rsidR="004F64EF" w:rsidRPr="003003C0" w:rsidRDefault="004F64EF" w:rsidP="00FD6B66">
            <w:pPr>
              <w:jc w:val="right"/>
              <w:rPr>
                <w:rFonts w:cs="Calibri"/>
                <w:color w:val="000000"/>
                <w:sz w:val="14"/>
                <w:szCs w:val="14"/>
              </w:rPr>
            </w:pPr>
            <w:r w:rsidRPr="003003C0">
              <w:rPr>
                <w:rFonts w:cs="Calibri"/>
                <w:color w:val="000000"/>
                <w:sz w:val="14"/>
                <w:szCs w:val="14"/>
              </w:rPr>
              <w:t>1</w:t>
            </w:r>
            <w:r>
              <w:rPr>
                <w:rFonts w:cs="Calibri"/>
                <w:color w:val="000000"/>
                <w:sz w:val="14"/>
                <w:szCs w:val="14"/>
              </w:rPr>
              <w:t>.</w:t>
            </w:r>
            <w:r w:rsidRPr="003003C0">
              <w:rPr>
                <w:rFonts w:cs="Calibri"/>
                <w:color w:val="000000"/>
                <w:sz w:val="14"/>
                <w:szCs w:val="14"/>
              </w:rPr>
              <w:t>4</w:t>
            </w:r>
          </w:p>
        </w:tc>
        <w:tc>
          <w:tcPr>
            <w:tcW w:w="722" w:type="dxa"/>
            <w:noWrap/>
            <w:vAlign w:val="center"/>
            <w:hideMark/>
          </w:tcPr>
          <w:p w14:paraId="3AB790AA" w14:textId="77777777" w:rsidR="004F64EF" w:rsidRPr="003003C0" w:rsidRDefault="004F64EF" w:rsidP="00FD6B66">
            <w:pPr>
              <w:jc w:val="right"/>
              <w:rPr>
                <w:rFonts w:cs="Calibri"/>
                <w:color w:val="000000"/>
                <w:sz w:val="14"/>
                <w:szCs w:val="14"/>
              </w:rPr>
            </w:pPr>
            <w:r w:rsidRPr="003003C0">
              <w:rPr>
                <w:rFonts w:cs="Calibri"/>
                <w:color w:val="000000"/>
                <w:sz w:val="14"/>
                <w:szCs w:val="14"/>
              </w:rPr>
              <w:t>1</w:t>
            </w:r>
            <w:r>
              <w:rPr>
                <w:rFonts w:cs="Calibri"/>
                <w:color w:val="000000"/>
                <w:sz w:val="14"/>
                <w:szCs w:val="14"/>
              </w:rPr>
              <w:t>.</w:t>
            </w:r>
            <w:r w:rsidRPr="003003C0">
              <w:rPr>
                <w:rFonts w:cs="Calibri"/>
                <w:color w:val="000000"/>
                <w:sz w:val="14"/>
                <w:szCs w:val="14"/>
              </w:rPr>
              <w:t>6</w:t>
            </w:r>
          </w:p>
        </w:tc>
        <w:tc>
          <w:tcPr>
            <w:tcW w:w="721" w:type="dxa"/>
            <w:noWrap/>
            <w:vAlign w:val="center"/>
            <w:hideMark/>
          </w:tcPr>
          <w:p w14:paraId="2F359660" w14:textId="77777777" w:rsidR="004F64EF" w:rsidRPr="003003C0" w:rsidRDefault="004F64EF" w:rsidP="00FD6B66">
            <w:pPr>
              <w:jc w:val="right"/>
              <w:rPr>
                <w:rFonts w:cs="Calibri"/>
                <w:color w:val="000000"/>
                <w:sz w:val="14"/>
                <w:szCs w:val="14"/>
              </w:rPr>
            </w:pPr>
            <w:r w:rsidRPr="003003C0">
              <w:rPr>
                <w:rFonts w:cs="Calibri"/>
                <w:color w:val="000000"/>
                <w:sz w:val="14"/>
                <w:szCs w:val="14"/>
              </w:rPr>
              <w:t>1</w:t>
            </w:r>
            <w:r>
              <w:rPr>
                <w:rFonts w:cs="Calibri"/>
                <w:color w:val="000000"/>
                <w:sz w:val="14"/>
                <w:szCs w:val="14"/>
              </w:rPr>
              <w:t>.</w:t>
            </w:r>
            <w:r w:rsidRPr="003003C0">
              <w:rPr>
                <w:rFonts w:cs="Calibri"/>
                <w:color w:val="000000"/>
                <w:sz w:val="14"/>
                <w:szCs w:val="14"/>
              </w:rPr>
              <w:t>3</w:t>
            </w:r>
          </w:p>
        </w:tc>
        <w:tc>
          <w:tcPr>
            <w:tcW w:w="722" w:type="dxa"/>
            <w:noWrap/>
            <w:vAlign w:val="center"/>
            <w:hideMark/>
          </w:tcPr>
          <w:p w14:paraId="35D6A895" w14:textId="77777777" w:rsidR="004F64EF" w:rsidRPr="003003C0" w:rsidRDefault="004F64EF" w:rsidP="00FD6B66">
            <w:pPr>
              <w:jc w:val="right"/>
              <w:rPr>
                <w:rFonts w:cs="Calibri"/>
                <w:color w:val="000000"/>
                <w:sz w:val="14"/>
                <w:szCs w:val="14"/>
              </w:rPr>
            </w:pPr>
            <w:r w:rsidRPr="003003C0">
              <w:rPr>
                <w:rFonts w:cs="Calibri"/>
                <w:color w:val="000000"/>
                <w:sz w:val="14"/>
                <w:szCs w:val="14"/>
              </w:rPr>
              <w:t>1</w:t>
            </w:r>
            <w:r>
              <w:rPr>
                <w:rFonts w:cs="Calibri"/>
                <w:color w:val="000000"/>
                <w:sz w:val="14"/>
                <w:szCs w:val="14"/>
              </w:rPr>
              <w:t>.</w:t>
            </w:r>
            <w:r w:rsidRPr="003003C0">
              <w:rPr>
                <w:rFonts w:cs="Calibri"/>
                <w:color w:val="000000"/>
                <w:sz w:val="14"/>
                <w:szCs w:val="14"/>
              </w:rPr>
              <w:t>2</w:t>
            </w:r>
          </w:p>
        </w:tc>
        <w:tc>
          <w:tcPr>
            <w:tcW w:w="722" w:type="dxa"/>
            <w:noWrap/>
            <w:vAlign w:val="center"/>
            <w:hideMark/>
          </w:tcPr>
          <w:p w14:paraId="070E2F74" w14:textId="77777777" w:rsidR="004F64EF" w:rsidRPr="003003C0" w:rsidRDefault="004F64EF" w:rsidP="00FD6B66">
            <w:pPr>
              <w:jc w:val="right"/>
              <w:rPr>
                <w:rFonts w:cs="Calibri"/>
                <w:color w:val="000000"/>
                <w:sz w:val="14"/>
                <w:szCs w:val="14"/>
              </w:rPr>
            </w:pPr>
            <w:r w:rsidRPr="003003C0">
              <w:rPr>
                <w:rFonts w:cs="Calibri"/>
                <w:color w:val="000000"/>
                <w:sz w:val="14"/>
                <w:szCs w:val="14"/>
              </w:rPr>
              <w:t>1</w:t>
            </w:r>
            <w:r>
              <w:rPr>
                <w:rFonts w:cs="Calibri"/>
                <w:color w:val="000000"/>
                <w:sz w:val="14"/>
                <w:szCs w:val="14"/>
              </w:rPr>
              <w:t>.</w:t>
            </w:r>
            <w:r w:rsidRPr="003003C0">
              <w:rPr>
                <w:rFonts w:cs="Calibri"/>
                <w:color w:val="000000"/>
                <w:sz w:val="14"/>
                <w:szCs w:val="14"/>
              </w:rPr>
              <w:t>7</w:t>
            </w:r>
          </w:p>
        </w:tc>
        <w:tc>
          <w:tcPr>
            <w:tcW w:w="722" w:type="dxa"/>
            <w:noWrap/>
            <w:vAlign w:val="center"/>
            <w:hideMark/>
          </w:tcPr>
          <w:p w14:paraId="463F2804" w14:textId="77777777" w:rsidR="004F64EF" w:rsidRPr="003003C0" w:rsidRDefault="004F64EF" w:rsidP="00FD6B66">
            <w:pPr>
              <w:jc w:val="right"/>
              <w:rPr>
                <w:rFonts w:cs="Calibri"/>
                <w:color w:val="000000"/>
                <w:sz w:val="14"/>
                <w:szCs w:val="14"/>
              </w:rPr>
            </w:pPr>
            <w:r w:rsidRPr="003003C0">
              <w:rPr>
                <w:rFonts w:cs="Calibri"/>
                <w:color w:val="000000"/>
                <w:sz w:val="14"/>
                <w:szCs w:val="14"/>
              </w:rPr>
              <w:t>1</w:t>
            </w:r>
            <w:r>
              <w:rPr>
                <w:rFonts w:cs="Calibri"/>
                <w:color w:val="000000"/>
                <w:sz w:val="14"/>
                <w:szCs w:val="14"/>
              </w:rPr>
              <w:t>.</w:t>
            </w:r>
            <w:r w:rsidRPr="003003C0">
              <w:rPr>
                <w:rFonts w:cs="Calibri"/>
                <w:color w:val="000000"/>
                <w:sz w:val="14"/>
                <w:szCs w:val="14"/>
              </w:rPr>
              <w:t>8</w:t>
            </w:r>
          </w:p>
        </w:tc>
      </w:tr>
      <w:tr w:rsidR="004F64EF" w:rsidRPr="003003C0" w14:paraId="415DD284" w14:textId="77777777" w:rsidTr="00FD6B66">
        <w:trPr>
          <w:cnfStyle w:val="000000010000" w:firstRow="0" w:lastRow="0" w:firstColumn="0" w:lastColumn="0" w:oddVBand="0" w:evenVBand="0" w:oddHBand="0" w:evenHBand="1" w:firstRowFirstColumn="0" w:firstRowLastColumn="0" w:lastRowFirstColumn="0" w:lastRowLastColumn="0"/>
          <w:trHeight w:val="20"/>
        </w:trPr>
        <w:tc>
          <w:tcPr>
            <w:tcW w:w="3964" w:type="dxa"/>
            <w:noWrap/>
            <w:vAlign w:val="center"/>
            <w:hideMark/>
          </w:tcPr>
          <w:p w14:paraId="1016C7CE" w14:textId="77777777" w:rsidR="004F64EF" w:rsidRPr="003003C0" w:rsidRDefault="004F64EF" w:rsidP="00C53E90">
            <w:pPr>
              <w:jc w:val="left"/>
              <w:rPr>
                <w:rFonts w:cs="Calibri"/>
                <w:color w:val="000000"/>
                <w:sz w:val="14"/>
                <w:szCs w:val="14"/>
              </w:rPr>
            </w:pPr>
            <w:r w:rsidRPr="003003C0">
              <w:rPr>
                <w:rFonts w:cs="Calibri"/>
                <w:color w:val="000000"/>
                <w:sz w:val="14"/>
                <w:szCs w:val="14"/>
              </w:rPr>
              <w:t xml:space="preserve">4 - </w:t>
            </w:r>
            <w:r>
              <w:rPr>
                <w:rFonts w:cs="Calibri"/>
                <w:color w:val="000000"/>
                <w:sz w:val="14"/>
                <w:szCs w:val="14"/>
              </w:rPr>
              <w:t>P</w:t>
            </w:r>
            <w:r w:rsidRPr="00C53E90">
              <w:rPr>
                <w:rFonts w:cs="Calibri"/>
                <w:color w:val="000000"/>
                <w:sz w:val="14"/>
                <w:szCs w:val="14"/>
              </w:rPr>
              <w:t>repared foodstuffs;</w:t>
            </w:r>
            <w:r>
              <w:rPr>
                <w:rFonts w:cs="Calibri"/>
                <w:color w:val="000000"/>
                <w:sz w:val="14"/>
                <w:szCs w:val="14"/>
              </w:rPr>
              <w:t xml:space="preserve"> </w:t>
            </w:r>
            <w:r w:rsidRPr="00C53E90">
              <w:rPr>
                <w:rFonts w:cs="Calibri"/>
                <w:color w:val="000000"/>
                <w:sz w:val="14"/>
                <w:szCs w:val="14"/>
              </w:rPr>
              <w:t>beverages, spirits and vinegar; tobacco</w:t>
            </w:r>
            <w:r>
              <w:rPr>
                <w:rFonts w:cs="Calibri"/>
                <w:color w:val="000000"/>
                <w:sz w:val="14"/>
                <w:szCs w:val="14"/>
              </w:rPr>
              <w:t xml:space="preserve"> </w:t>
            </w:r>
            <w:r w:rsidRPr="00C53E90">
              <w:rPr>
                <w:rFonts w:cs="Calibri"/>
                <w:color w:val="000000"/>
                <w:sz w:val="14"/>
                <w:szCs w:val="14"/>
              </w:rPr>
              <w:t>and manufactured tobacco substitutes</w:t>
            </w:r>
          </w:p>
        </w:tc>
        <w:tc>
          <w:tcPr>
            <w:tcW w:w="721" w:type="dxa"/>
            <w:noWrap/>
            <w:vAlign w:val="center"/>
            <w:hideMark/>
          </w:tcPr>
          <w:p w14:paraId="54FBF523" w14:textId="77777777" w:rsidR="004F64EF" w:rsidRPr="003003C0" w:rsidRDefault="004F64EF" w:rsidP="00FD6B66">
            <w:pPr>
              <w:jc w:val="right"/>
              <w:rPr>
                <w:rFonts w:cs="Calibri"/>
                <w:color w:val="000000"/>
                <w:sz w:val="14"/>
                <w:szCs w:val="14"/>
              </w:rPr>
            </w:pPr>
            <w:r w:rsidRPr="003003C0">
              <w:rPr>
                <w:rFonts w:cs="Calibri"/>
                <w:color w:val="000000"/>
                <w:sz w:val="14"/>
                <w:szCs w:val="14"/>
              </w:rPr>
              <w:t>7</w:t>
            </w:r>
            <w:r>
              <w:rPr>
                <w:rFonts w:cs="Calibri"/>
                <w:color w:val="000000"/>
                <w:sz w:val="14"/>
                <w:szCs w:val="14"/>
              </w:rPr>
              <w:t>.</w:t>
            </w:r>
            <w:r w:rsidRPr="003003C0">
              <w:rPr>
                <w:rFonts w:cs="Calibri"/>
                <w:color w:val="000000"/>
                <w:sz w:val="14"/>
                <w:szCs w:val="14"/>
              </w:rPr>
              <w:t>3</w:t>
            </w:r>
          </w:p>
        </w:tc>
        <w:tc>
          <w:tcPr>
            <w:tcW w:w="722" w:type="dxa"/>
            <w:noWrap/>
            <w:vAlign w:val="center"/>
            <w:hideMark/>
          </w:tcPr>
          <w:p w14:paraId="60F82E9B" w14:textId="77777777" w:rsidR="004F64EF" w:rsidRPr="003003C0" w:rsidRDefault="004F64EF" w:rsidP="00FD6B66">
            <w:pPr>
              <w:jc w:val="right"/>
              <w:rPr>
                <w:rFonts w:cs="Calibri"/>
                <w:color w:val="000000"/>
                <w:sz w:val="14"/>
                <w:szCs w:val="14"/>
              </w:rPr>
            </w:pPr>
            <w:r w:rsidRPr="003003C0">
              <w:rPr>
                <w:rFonts w:cs="Calibri"/>
                <w:color w:val="000000"/>
                <w:sz w:val="14"/>
                <w:szCs w:val="14"/>
              </w:rPr>
              <w:t>7</w:t>
            </w:r>
            <w:r>
              <w:rPr>
                <w:rFonts w:cs="Calibri"/>
                <w:color w:val="000000"/>
                <w:sz w:val="14"/>
                <w:szCs w:val="14"/>
              </w:rPr>
              <w:t>.</w:t>
            </w:r>
            <w:r w:rsidRPr="003003C0">
              <w:rPr>
                <w:rFonts w:cs="Calibri"/>
                <w:color w:val="000000"/>
                <w:sz w:val="14"/>
                <w:szCs w:val="14"/>
              </w:rPr>
              <w:t>3</w:t>
            </w:r>
          </w:p>
        </w:tc>
        <w:tc>
          <w:tcPr>
            <w:tcW w:w="722" w:type="dxa"/>
            <w:noWrap/>
            <w:vAlign w:val="center"/>
            <w:hideMark/>
          </w:tcPr>
          <w:p w14:paraId="2C20E9EB" w14:textId="77777777" w:rsidR="004F64EF" w:rsidRPr="003003C0" w:rsidRDefault="004F64EF" w:rsidP="00FD6B66">
            <w:pPr>
              <w:jc w:val="right"/>
              <w:rPr>
                <w:rFonts w:cs="Calibri"/>
                <w:color w:val="000000"/>
                <w:sz w:val="14"/>
                <w:szCs w:val="14"/>
              </w:rPr>
            </w:pPr>
            <w:r w:rsidRPr="003003C0">
              <w:rPr>
                <w:rFonts w:cs="Calibri"/>
                <w:color w:val="000000"/>
                <w:sz w:val="14"/>
                <w:szCs w:val="14"/>
              </w:rPr>
              <w:t>7</w:t>
            </w:r>
            <w:r>
              <w:rPr>
                <w:rFonts w:cs="Calibri"/>
                <w:color w:val="000000"/>
                <w:sz w:val="14"/>
                <w:szCs w:val="14"/>
              </w:rPr>
              <w:t>.</w:t>
            </w:r>
            <w:r w:rsidRPr="003003C0">
              <w:rPr>
                <w:rFonts w:cs="Calibri"/>
                <w:color w:val="000000"/>
                <w:sz w:val="14"/>
                <w:szCs w:val="14"/>
              </w:rPr>
              <w:t>0</w:t>
            </w:r>
          </w:p>
        </w:tc>
        <w:tc>
          <w:tcPr>
            <w:tcW w:w="721" w:type="dxa"/>
            <w:noWrap/>
            <w:vAlign w:val="center"/>
            <w:hideMark/>
          </w:tcPr>
          <w:p w14:paraId="05BAAEA5" w14:textId="77777777" w:rsidR="004F64EF" w:rsidRPr="003003C0" w:rsidRDefault="004F64EF" w:rsidP="00FD6B66">
            <w:pPr>
              <w:jc w:val="right"/>
              <w:rPr>
                <w:rFonts w:cs="Calibri"/>
                <w:color w:val="000000"/>
                <w:sz w:val="14"/>
                <w:szCs w:val="14"/>
              </w:rPr>
            </w:pPr>
            <w:r w:rsidRPr="003003C0">
              <w:rPr>
                <w:rFonts w:cs="Calibri"/>
                <w:color w:val="000000"/>
                <w:sz w:val="14"/>
                <w:szCs w:val="14"/>
              </w:rPr>
              <w:t>6</w:t>
            </w:r>
            <w:r>
              <w:rPr>
                <w:rFonts w:cs="Calibri"/>
                <w:color w:val="000000"/>
                <w:sz w:val="14"/>
                <w:szCs w:val="14"/>
              </w:rPr>
              <w:t>.</w:t>
            </w:r>
            <w:r w:rsidRPr="003003C0">
              <w:rPr>
                <w:rFonts w:cs="Calibri"/>
                <w:color w:val="000000"/>
                <w:sz w:val="14"/>
                <w:szCs w:val="14"/>
              </w:rPr>
              <w:t>4</w:t>
            </w:r>
          </w:p>
        </w:tc>
        <w:tc>
          <w:tcPr>
            <w:tcW w:w="722" w:type="dxa"/>
            <w:noWrap/>
            <w:vAlign w:val="center"/>
            <w:hideMark/>
          </w:tcPr>
          <w:p w14:paraId="65CAB459" w14:textId="77777777" w:rsidR="004F64EF" w:rsidRPr="003003C0" w:rsidRDefault="004F64EF" w:rsidP="00FD6B66">
            <w:pPr>
              <w:jc w:val="right"/>
              <w:rPr>
                <w:rFonts w:cs="Calibri"/>
                <w:color w:val="000000"/>
                <w:sz w:val="14"/>
                <w:szCs w:val="14"/>
              </w:rPr>
            </w:pPr>
            <w:r w:rsidRPr="003003C0">
              <w:rPr>
                <w:rFonts w:cs="Calibri"/>
                <w:color w:val="000000"/>
                <w:sz w:val="14"/>
                <w:szCs w:val="14"/>
              </w:rPr>
              <w:t>6</w:t>
            </w:r>
            <w:r>
              <w:rPr>
                <w:rFonts w:cs="Calibri"/>
                <w:color w:val="000000"/>
                <w:sz w:val="14"/>
                <w:szCs w:val="14"/>
              </w:rPr>
              <w:t>.</w:t>
            </w:r>
            <w:r w:rsidRPr="003003C0">
              <w:rPr>
                <w:rFonts w:cs="Calibri"/>
                <w:color w:val="000000"/>
                <w:sz w:val="14"/>
                <w:szCs w:val="14"/>
              </w:rPr>
              <w:t>2</w:t>
            </w:r>
          </w:p>
        </w:tc>
        <w:tc>
          <w:tcPr>
            <w:tcW w:w="722" w:type="dxa"/>
            <w:noWrap/>
            <w:vAlign w:val="center"/>
            <w:hideMark/>
          </w:tcPr>
          <w:p w14:paraId="2C75B451" w14:textId="77777777" w:rsidR="004F64EF" w:rsidRPr="003003C0" w:rsidRDefault="004F64EF" w:rsidP="00FD6B66">
            <w:pPr>
              <w:jc w:val="right"/>
              <w:rPr>
                <w:rFonts w:cs="Calibri"/>
                <w:color w:val="000000"/>
                <w:sz w:val="14"/>
                <w:szCs w:val="14"/>
              </w:rPr>
            </w:pPr>
            <w:r w:rsidRPr="003003C0">
              <w:rPr>
                <w:rFonts w:cs="Calibri"/>
                <w:color w:val="000000"/>
                <w:sz w:val="14"/>
                <w:szCs w:val="14"/>
              </w:rPr>
              <w:t>8</w:t>
            </w:r>
            <w:r>
              <w:rPr>
                <w:rFonts w:cs="Calibri"/>
                <w:color w:val="000000"/>
                <w:sz w:val="14"/>
                <w:szCs w:val="14"/>
              </w:rPr>
              <w:t>.</w:t>
            </w:r>
            <w:r w:rsidRPr="003003C0">
              <w:rPr>
                <w:rFonts w:cs="Calibri"/>
                <w:color w:val="000000"/>
                <w:sz w:val="14"/>
                <w:szCs w:val="14"/>
              </w:rPr>
              <w:t>0</w:t>
            </w:r>
          </w:p>
        </w:tc>
        <w:tc>
          <w:tcPr>
            <w:tcW w:w="722" w:type="dxa"/>
            <w:noWrap/>
            <w:vAlign w:val="center"/>
            <w:hideMark/>
          </w:tcPr>
          <w:p w14:paraId="3A93562D" w14:textId="77777777" w:rsidR="004F64EF" w:rsidRPr="003003C0" w:rsidRDefault="004F64EF" w:rsidP="00FD6B66">
            <w:pPr>
              <w:jc w:val="right"/>
              <w:rPr>
                <w:rFonts w:cs="Calibri"/>
                <w:color w:val="000000"/>
                <w:sz w:val="14"/>
                <w:szCs w:val="14"/>
              </w:rPr>
            </w:pPr>
            <w:r w:rsidRPr="003003C0">
              <w:rPr>
                <w:rFonts w:cs="Calibri"/>
                <w:color w:val="000000"/>
                <w:sz w:val="14"/>
                <w:szCs w:val="14"/>
              </w:rPr>
              <w:t>6</w:t>
            </w:r>
            <w:r>
              <w:rPr>
                <w:rFonts w:cs="Calibri"/>
                <w:color w:val="000000"/>
                <w:sz w:val="14"/>
                <w:szCs w:val="14"/>
              </w:rPr>
              <w:t>.</w:t>
            </w:r>
            <w:r w:rsidRPr="003003C0">
              <w:rPr>
                <w:rFonts w:cs="Calibri"/>
                <w:color w:val="000000"/>
                <w:sz w:val="14"/>
                <w:szCs w:val="14"/>
              </w:rPr>
              <w:t>7</w:t>
            </w:r>
          </w:p>
        </w:tc>
      </w:tr>
      <w:tr w:rsidR="004F64EF" w:rsidRPr="003003C0" w14:paraId="7B1A46D1" w14:textId="77777777" w:rsidTr="00FD6B66">
        <w:trPr>
          <w:trHeight w:val="20"/>
        </w:trPr>
        <w:tc>
          <w:tcPr>
            <w:tcW w:w="3964" w:type="dxa"/>
            <w:noWrap/>
            <w:vAlign w:val="center"/>
            <w:hideMark/>
          </w:tcPr>
          <w:p w14:paraId="4761E772" w14:textId="77777777" w:rsidR="004F64EF" w:rsidRPr="003003C0" w:rsidRDefault="004F64EF" w:rsidP="00FD6B66">
            <w:pPr>
              <w:tabs>
                <w:tab w:val="left" w:pos="227"/>
              </w:tabs>
              <w:jc w:val="left"/>
              <w:rPr>
                <w:rFonts w:cs="Calibri"/>
                <w:color w:val="000000"/>
                <w:sz w:val="14"/>
                <w:szCs w:val="14"/>
              </w:rPr>
            </w:pPr>
            <w:r w:rsidRPr="003003C0">
              <w:rPr>
                <w:rFonts w:cs="Calibri"/>
                <w:color w:val="000000"/>
                <w:sz w:val="14"/>
                <w:szCs w:val="14"/>
              </w:rPr>
              <w:tab/>
              <w:t xml:space="preserve">22. </w:t>
            </w:r>
            <w:r w:rsidRPr="00C53E90">
              <w:rPr>
                <w:rFonts w:cs="Calibri"/>
                <w:color w:val="000000"/>
                <w:sz w:val="14"/>
                <w:szCs w:val="14"/>
              </w:rPr>
              <w:t>Beverages, spirits and vinegar</w:t>
            </w:r>
          </w:p>
        </w:tc>
        <w:tc>
          <w:tcPr>
            <w:tcW w:w="721" w:type="dxa"/>
            <w:noWrap/>
            <w:vAlign w:val="center"/>
            <w:hideMark/>
          </w:tcPr>
          <w:p w14:paraId="11F8E3EC" w14:textId="77777777" w:rsidR="004F64EF" w:rsidRPr="003003C0" w:rsidRDefault="004F64EF" w:rsidP="00FD6B66">
            <w:pPr>
              <w:jc w:val="right"/>
              <w:rPr>
                <w:rFonts w:cs="Calibri"/>
                <w:color w:val="000000"/>
                <w:sz w:val="14"/>
                <w:szCs w:val="14"/>
              </w:rPr>
            </w:pPr>
            <w:r w:rsidRPr="003003C0">
              <w:rPr>
                <w:rFonts w:cs="Calibri"/>
                <w:color w:val="000000"/>
                <w:sz w:val="14"/>
                <w:szCs w:val="14"/>
              </w:rPr>
              <w:t>1</w:t>
            </w:r>
            <w:r>
              <w:rPr>
                <w:rFonts w:cs="Calibri"/>
                <w:color w:val="000000"/>
                <w:sz w:val="14"/>
                <w:szCs w:val="14"/>
              </w:rPr>
              <w:t>.</w:t>
            </w:r>
            <w:r w:rsidRPr="003003C0">
              <w:rPr>
                <w:rFonts w:cs="Calibri"/>
                <w:color w:val="000000"/>
                <w:sz w:val="14"/>
                <w:szCs w:val="14"/>
              </w:rPr>
              <w:t>5</w:t>
            </w:r>
          </w:p>
        </w:tc>
        <w:tc>
          <w:tcPr>
            <w:tcW w:w="722" w:type="dxa"/>
            <w:noWrap/>
            <w:vAlign w:val="center"/>
            <w:hideMark/>
          </w:tcPr>
          <w:p w14:paraId="144C909B" w14:textId="77777777" w:rsidR="004F64EF" w:rsidRPr="003003C0" w:rsidRDefault="004F64EF" w:rsidP="00FD6B66">
            <w:pPr>
              <w:jc w:val="right"/>
              <w:rPr>
                <w:rFonts w:cs="Calibri"/>
                <w:color w:val="000000"/>
                <w:sz w:val="14"/>
                <w:szCs w:val="14"/>
              </w:rPr>
            </w:pPr>
            <w:r w:rsidRPr="003003C0">
              <w:rPr>
                <w:rFonts w:cs="Calibri"/>
                <w:color w:val="000000"/>
                <w:sz w:val="14"/>
                <w:szCs w:val="14"/>
              </w:rPr>
              <w:t>1</w:t>
            </w:r>
            <w:r>
              <w:rPr>
                <w:rFonts w:cs="Calibri"/>
                <w:color w:val="000000"/>
                <w:sz w:val="14"/>
                <w:szCs w:val="14"/>
              </w:rPr>
              <w:t>.</w:t>
            </w:r>
            <w:r w:rsidRPr="003003C0">
              <w:rPr>
                <w:rFonts w:cs="Calibri"/>
                <w:color w:val="000000"/>
                <w:sz w:val="14"/>
                <w:szCs w:val="14"/>
              </w:rPr>
              <w:t>3</w:t>
            </w:r>
          </w:p>
        </w:tc>
        <w:tc>
          <w:tcPr>
            <w:tcW w:w="722" w:type="dxa"/>
            <w:noWrap/>
            <w:vAlign w:val="center"/>
            <w:hideMark/>
          </w:tcPr>
          <w:p w14:paraId="585442CE" w14:textId="77777777" w:rsidR="004F64EF" w:rsidRPr="003003C0" w:rsidRDefault="004F64EF" w:rsidP="00FD6B66">
            <w:pPr>
              <w:jc w:val="right"/>
              <w:rPr>
                <w:rFonts w:cs="Calibri"/>
                <w:color w:val="000000"/>
                <w:sz w:val="14"/>
                <w:szCs w:val="14"/>
              </w:rPr>
            </w:pPr>
            <w:r w:rsidRPr="003003C0">
              <w:rPr>
                <w:rFonts w:cs="Calibri"/>
                <w:color w:val="000000"/>
                <w:sz w:val="14"/>
                <w:szCs w:val="14"/>
              </w:rPr>
              <w:t>1</w:t>
            </w:r>
            <w:r>
              <w:rPr>
                <w:rFonts w:cs="Calibri"/>
                <w:color w:val="000000"/>
                <w:sz w:val="14"/>
                <w:szCs w:val="14"/>
              </w:rPr>
              <w:t>.</w:t>
            </w:r>
            <w:r w:rsidRPr="003003C0">
              <w:rPr>
                <w:rFonts w:cs="Calibri"/>
                <w:color w:val="000000"/>
                <w:sz w:val="14"/>
                <w:szCs w:val="14"/>
              </w:rPr>
              <w:t>5</w:t>
            </w:r>
          </w:p>
        </w:tc>
        <w:tc>
          <w:tcPr>
            <w:tcW w:w="721" w:type="dxa"/>
            <w:noWrap/>
            <w:vAlign w:val="center"/>
            <w:hideMark/>
          </w:tcPr>
          <w:p w14:paraId="3393B107" w14:textId="77777777" w:rsidR="004F64EF" w:rsidRPr="003003C0" w:rsidRDefault="004F64EF" w:rsidP="00FD6B66">
            <w:pPr>
              <w:jc w:val="right"/>
              <w:rPr>
                <w:rFonts w:cs="Calibri"/>
                <w:color w:val="000000"/>
                <w:sz w:val="14"/>
                <w:szCs w:val="14"/>
              </w:rPr>
            </w:pPr>
            <w:r w:rsidRPr="003003C0">
              <w:rPr>
                <w:rFonts w:cs="Calibri"/>
                <w:color w:val="000000"/>
                <w:sz w:val="14"/>
                <w:szCs w:val="14"/>
              </w:rPr>
              <w:t>1</w:t>
            </w:r>
            <w:r>
              <w:rPr>
                <w:rFonts w:cs="Calibri"/>
                <w:color w:val="000000"/>
                <w:sz w:val="14"/>
                <w:szCs w:val="14"/>
              </w:rPr>
              <w:t>.</w:t>
            </w:r>
            <w:r w:rsidRPr="003003C0">
              <w:rPr>
                <w:rFonts w:cs="Calibri"/>
                <w:color w:val="000000"/>
                <w:sz w:val="14"/>
                <w:szCs w:val="14"/>
              </w:rPr>
              <w:t>3</w:t>
            </w:r>
          </w:p>
        </w:tc>
        <w:tc>
          <w:tcPr>
            <w:tcW w:w="722" w:type="dxa"/>
            <w:noWrap/>
            <w:vAlign w:val="center"/>
            <w:hideMark/>
          </w:tcPr>
          <w:p w14:paraId="43FB2B5D" w14:textId="77777777" w:rsidR="004F64EF" w:rsidRPr="003003C0" w:rsidRDefault="004F64EF" w:rsidP="00FD6B66">
            <w:pPr>
              <w:jc w:val="right"/>
              <w:rPr>
                <w:rFonts w:cs="Calibri"/>
                <w:color w:val="000000"/>
                <w:sz w:val="14"/>
                <w:szCs w:val="14"/>
              </w:rPr>
            </w:pPr>
            <w:r w:rsidRPr="003003C0">
              <w:rPr>
                <w:rFonts w:cs="Calibri"/>
                <w:color w:val="000000"/>
                <w:sz w:val="14"/>
                <w:szCs w:val="14"/>
              </w:rPr>
              <w:t>1</w:t>
            </w:r>
            <w:r>
              <w:rPr>
                <w:rFonts w:cs="Calibri"/>
                <w:color w:val="000000"/>
                <w:sz w:val="14"/>
                <w:szCs w:val="14"/>
              </w:rPr>
              <w:t>.</w:t>
            </w:r>
            <w:r w:rsidRPr="003003C0">
              <w:rPr>
                <w:rFonts w:cs="Calibri"/>
                <w:color w:val="000000"/>
                <w:sz w:val="14"/>
                <w:szCs w:val="14"/>
              </w:rPr>
              <w:t>4</w:t>
            </w:r>
          </w:p>
        </w:tc>
        <w:tc>
          <w:tcPr>
            <w:tcW w:w="722" w:type="dxa"/>
            <w:noWrap/>
            <w:vAlign w:val="center"/>
            <w:hideMark/>
          </w:tcPr>
          <w:p w14:paraId="15BB761D" w14:textId="77777777" w:rsidR="004F64EF" w:rsidRPr="003003C0" w:rsidRDefault="004F64EF" w:rsidP="00FD6B66">
            <w:pPr>
              <w:jc w:val="right"/>
              <w:rPr>
                <w:rFonts w:cs="Calibri"/>
                <w:color w:val="000000"/>
                <w:sz w:val="14"/>
                <w:szCs w:val="14"/>
              </w:rPr>
            </w:pPr>
            <w:r w:rsidRPr="003003C0">
              <w:rPr>
                <w:rFonts w:cs="Calibri"/>
                <w:color w:val="000000"/>
                <w:sz w:val="14"/>
                <w:szCs w:val="14"/>
              </w:rPr>
              <w:t>1</w:t>
            </w:r>
            <w:r>
              <w:rPr>
                <w:rFonts w:cs="Calibri"/>
                <w:color w:val="000000"/>
                <w:sz w:val="14"/>
                <w:szCs w:val="14"/>
              </w:rPr>
              <w:t>.</w:t>
            </w:r>
            <w:r w:rsidRPr="003003C0">
              <w:rPr>
                <w:rFonts w:cs="Calibri"/>
                <w:color w:val="000000"/>
                <w:sz w:val="14"/>
                <w:szCs w:val="14"/>
              </w:rPr>
              <w:t>5</w:t>
            </w:r>
          </w:p>
        </w:tc>
        <w:tc>
          <w:tcPr>
            <w:tcW w:w="722" w:type="dxa"/>
            <w:noWrap/>
            <w:vAlign w:val="center"/>
            <w:hideMark/>
          </w:tcPr>
          <w:p w14:paraId="53AEFC84" w14:textId="77777777" w:rsidR="004F64EF" w:rsidRPr="003003C0" w:rsidRDefault="004F64EF" w:rsidP="00FD6B66">
            <w:pPr>
              <w:jc w:val="right"/>
              <w:rPr>
                <w:rFonts w:cs="Calibri"/>
                <w:color w:val="000000"/>
                <w:sz w:val="14"/>
                <w:szCs w:val="14"/>
              </w:rPr>
            </w:pPr>
            <w:r w:rsidRPr="003003C0">
              <w:rPr>
                <w:rFonts w:cs="Calibri"/>
                <w:color w:val="000000"/>
                <w:sz w:val="14"/>
                <w:szCs w:val="14"/>
              </w:rPr>
              <w:t>1</w:t>
            </w:r>
            <w:r>
              <w:rPr>
                <w:rFonts w:cs="Calibri"/>
                <w:color w:val="000000"/>
                <w:sz w:val="14"/>
                <w:szCs w:val="14"/>
              </w:rPr>
              <w:t>.</w:t>
            </w:r>
            <w:r w:rsidRPr="003003C0">
              <w:rPr>
                <w:rFonts w:cs="Calibri"/>
                <w:color w:val="000000"/>
                <w:sz w:val="14"/>
                <w:szCs w:val="14"/>
              </w:rPr>
              <w:t>7</w:t>
            </w:r>
          </w:p>
        </w:tc>
      </w:tr>
      <w:tr w:rsidR="004F64EF" w:rsidRPr="003003C0" w14:paraId="20D4FF96" w14:textId="77777777" w:rsidTr="00FD6B66">
        <w:trPr>
          <w:cnfStyle w:val="000000010000" w:firstRow="0" w:lastRow="0" w:firstColumn="0" w:lastColumn="0" w:oddVBand="0" w:evenVBand="0" w:oddHBand="0" w:evenHBand="1" w:firstRowFirstColumn="0" w:firstRowLastColumn="0" w:lastRowFirstColumn="0" w:lastRowLastColumn="0"/>
          <w:trHeight w:val="20"/>
        </w:trPr>
        <w:tc>
          <w:tcPr>
            <w:tcW w:w="3964" w:type="dxa"/>
            <w:noWrap/>
            <w:vAlign w:val="center"/>
            <w:hideMark/>
          </w:tcPr>
          <w:p w14:paraId="3A1BAB39" w14:textId="77777777" w:rsidR="004F64EF" w:rsidRPr="003003C0" w:rsidRDefault="004F64EF" w:rsidP="00FD6B66">
            <w:pPr>
              <w:tabs>
                <w:tab w:val="left" w:pos="227"/>
              </w:tabs>
              <w:jc w:val="left"/>
              <w:rPr>
                <w:rFonts w:cs="Calibri"/>
                <w:color w:val="000000"/>
                <w:sz w:val="14"/>
                <w:szCs w:val="14"/>
              </w:rPr>
            </w:pPr>
            <w:r w:rsidRPr="003003C0">
              <w:rPr>
                <w:rFonts w:cs="Calibri"/>
                <w:color w:val="000000"/>
                <w:sz w:val="14"/>
                <w:szCs w:val="14"/>
              </w:rPr>
              <w:tab/>
              <w:t xml:space="preserve">19. </w:t>
            </w:r>
            <w:r w:rsidRPr="00C53E90">
              <w:rPr>
                <w:rFonts w:cs="Calibri"/>
                <w:color w:val="000000"/>
                <w:sz w:val="14"/>
                <w:szCs w:val="14"/>
              </w:rPr>
              <w:t>Preparations of cereals, flour, starch or milk</w:t>
            </w:r>
          </w:p>
        </w:tc>
        <w:tc>
          <w:tcPr>
            <w:tcW w:w="721" w:type="dxa"/>
            <w:noWrap/>
            <w:vAlign w:val="center"/>
            <w:hideMark/>
          </w:tcPr>
          <w:p w14:paraId="528487BE" w14:textId="77777777" w:rsidR="004F64EF" w:rsidRPr="003003C0" w:rsidRDefault="004F64EF" w:rsidP="00FD6B66">
            <w:pPr>
              <w:jc w:val="right"/>
              <w:rPr>
                <w:rFonts w:cs="Calibri"/>
                <w:color w:val="000000"/>
                <w:sz w:val="14"/>
                <w:szCs w:val="14"/>
              </w:rPr>
            </w:pPr>
            <w:r w:rsidRPr="003003C0">
              <w:rPr>
                <w:rFonts w:cs="Calibri"/>
                <w:color w:val="000000"/>
                <w:sz w:val="14"/>
                <w:szCs w:val="14"/>
              </w:rPr>
              <w:t>1</w:t>
            </w:r>
            <w:r>
              <w:rPr>
                <w:rFonts w:cs="Calibri"/>
                <w:color w:val="000000"/>
                <w:sz w:val="14"/>
                <w:szCs w:val="14"/>
              </w:rPr>
              <w:t>.</w:t>
            </w:r>
            <w:r w:rsidRPr="003003C0">
              <w:rPr>
                <w:rFonts w:cs="Calibri"/>
                <w:color w:val="000000"/>
                <w:sz w:val="14"/>
                <w:szCs w:val="14"/>
              </w:rPr>
              <w:t>3</w:t>
            </w:r>
          </w:p>
        </w:tc>
        <w:tc>
          <w:tcPr>
            <w:tcW w:w="722" w:type="dxa"/>
            <w:noWrap/>
            <w:vAlign w:val="center"/>
            <w:hideMark/>
          </w:tcPr>
          <w:p w14:paraId="41585C4A" w14:textId="77777777" w:rsidR="004F64EF" w:rsidRPr="003003C0" w:rsidRDefault="004F64EF" w:rsidP="00FD6B66">
            <w:pPr>
              <w:jc w:val="right"/>
              <w:rPr>
                <w:rFonts w:cs="Calibri"/>
                <w:color w:val="000000"/>
                <w:sz w:val="14"/>
                <w:szCs w:val="14"/>
              </w:rPr>
            </w:pPr>
            <w:r w:rsidRPr="003003C0">
              <w:rPr>
                <w:rFonts w:cs="Calibri"/>
                <w:color w:val="000000"/>
                <w:sz w:val="14"/>
                <w:szCs w:val="14"/>
              </w:rPr>
              <w:t>1</w:t>
            </w:r>
            <w:r>
              <w:rPr>
                <w:rFonts w:cs="Calibri"/>
                <w:color w:val="000000"/>
                <w:sz w:val="14"/>
                <w:szCs w:val="14"/>
              </w:rPr>
              <w:t>.</w:t>
            </w:r>
            <w:r w:rsidRPr="003003C0">
              <w:rPr>
                <w:rFonts w:cs="Calibri"/>
                <w:color w:val="000000"/>
                <w:sz w:val="14"/>
                <w:szCs w:val="14"/>
              </w:rPr>
              <w:t>3</w:t>
            </w:r>
          </w:p>
        </w:tc>
        <w:tc>
          <w:tcPr>
            <w:tcW w:w="722" w:type="dxa"/>
            <w:noWrap/>
            <w:vAlign w:val="center"/>
            <w:hideMark/>
          </w:tcPr>
          <w:p w14:paraId="75D95BAB" w14:textId="77777777" w:rsidR="004F64EF" w:rsidRPr="003003C0" w:rsidRDefault="004F64EF" w:rsidP="00FD6B66">
            <w:pPr>
              <w:jc w:val="right"/>
              <w:rPr>
                <w:rFonts w:cs="Calibri"/>
                <w:color w:val="000000"/>
                <w:sz w:val="14"/>
                <w:szCs w:val="14"/>
              </w:rPr>
            </w:pPr>
            <w:r w:rsidRPr="003003C0">
              <w:rPr>
                <w:rFonts w:cs="Calibri"/>
                <w:color w:val="000000"/>
                <w:sz w:val="14"/>
                <w:szCs w:val="14"/>
              </w:rPr>
              <w:t>1</w:t>
            </w:r>
            <w:r>
              <w:rPr>
                <w:rFonts w:cs="Calibri"/>
                <w:color w:val="000000"/>
                <w:sz w:val="14"/>
                <w:szCs w:val="14"/>
              </w:rPr>
              <w:t>.</w:t>
            </w:r>
            <w:r w:rsidRPr="003003C0">
              <w:rPr>
                <w:rFonts w:cs="Calibri"/>
                <w:color w:val="000000"/>
                <w:sz w:val="14"/>
                <w:szCs w:val="14"/>
              </w:rPr>
              <w:t>3</w:t>
            </w:r>
          </w:p>
        </w:tc>
        <w:tc>
          <w:tcPr>
            <w:tcW w:w="721" w:type="dxa"/>
            <w:noWrap/>
            <w:vAlign w:val="center"/>
            <w:hideMark/>
          </w:tcPr>
          <w:p w14:paraId="2E9EB8B1" w14:textId="77777777" w:rsidR="004F64EF" w:rsidRPr="003003C0" w:rsidRDefault="004F64EF" w:rsidP="00FD6B66">
            <w:pPr>
              <w:jc w:val="right"/>
              <w:rPr>
                <w:rFonts w:cs="Calibri"/>
                <w:color w:val="000000"/>
                <w:sz w:val="14"/>
                <w:szCs w:val="14"/>
              </w:rPr>
            </w:pPr>
            <w:r w:rsidRPr="003003C0">
              <w:rPr>
                <w:rFonts w:cs="Calibri"/>
                <w:color w:val="000000"/>
                <w:sz w:val="14"/>
                <w:szCs w:val="14"/>
              </w:rPr>
              <w:t>1</w:t>
            </w:r>
            <w:r>
              <w:rPr>
                <w:rFonts w:cs="Calibri"/>
                <w:color w:val="000000"/>
                <w:sz w:val="14"/>
                <w:szCs w:val="14"/>
              </w:rPr>
              <w:t>.</w:t>
            </w:r>
            <w:r w:rsidRPr="003003C0">
              <w:rPr>
                <w:rFonts w:cs="Calibri"/>
                <w:color w:val="000000"/>
                <w:sz w:val="14"/>
                <w:szCs w:val="14"/>
              </w:rPr>
              <w:t>2</w:t>
            </w:r>
          </w:p>
        </w:tc>
        <w:tc>
          <w:tcPr>
            <w:tcW w:w="722" w:type="dxa"/>
            <w:noWrap/>
            <w:vAlign w:val="center"/>
            <w:hideMark/>
          </w:tcPr>
          <w:p w14:paraId="1A2024A9" w14:textId="77777777" w:rsidR="004F64EF" w:rsidRPr="003003C0" w:rsidRDefault="004F64EF" w:rsidP="00FD6B66">
            <w:pPr>
              <w:jc w:val="right"/>
              <w:rPr>
                <w:rFonts w:cs="Calibri"/>
                <w:color w:val="000000"/>
                <w:sz w:val="14"/>
                <w:szCs w:val="14"/>
              </w:rPr>
            </w:pPr>
            <w:r w:rsidRPr="003003C0">
              <w:rPr>
                <w:rFonts w:cs="Calibri"/>
                <w:color w:val="000000"/>
                <w:sz w:val="14"/>
                <w:szCs w:val="14"/>
              </w:rPr>
              <w:t>1</w:t>
            </w:r>
            <w:r>
              <w:rPr>
                <w:rFonts w:cs="Calibri"/>
                <w:color w:val="000000"/>
                <w:sz w:val="14"/>
                <w:szCs w:val="14"/>
              </w:rPr>
              <w:t>.</w:t>
            </w:r>
            <w:r w:rsidRPr="003003C0">
              <w:rPr>
                <w:rFonts w:cs="Calibri"/>
                <w:color w:val="000000"/>
                <w:sz w:val="14"/>
                <w:szCs w:val="14"/>
              </w:rPr>
              <w:t>3</w:t>
            </w:r>
          </w:p>
        </w:tc>
        <w:tc>
          <w:tcPr>
            <w:tcW w:w="722" w:type="dxa"/>
            <w:noWrap/>
            <w:vAlign w:val="center"/>
            <w:hideMark/>
          </w:tcPr>
          <w:p w14:paraId="5E2B3060" w14:textId="77777777" w:rsidR="004F64EF" w:rsidRPr="003003C0" w:rsidRDefault="004F64EF" w:rsidP="00FD6B66">
            <w:pPr>
              <w:jc w:val="right"/>
              <w:rPr>
                <w:rFonts w:cs="Calibri"/>
                <w:color w:val="000000"/>
                <w:sz w:val="14"/>
                <w:szCs w:val="14"/>
              </w:rPr>
            </w:pPr>
            <w:r w:rsidRPr="003003C0">
              <w:rPr>
                <w:rFonts w:cs="Calibri"/>
                <w:color w:val="000000"/>
                <w:sz w:val="14"/>
                <w:szCs w:val="14"/>
              </w:rPr>
              <w:t>1</w:t>
            </w:r>
            <w:r>
              <w:rPr>
                <w:rFonts w:cs="Calibri"/>
                <w:color w:val="000000"/>
                <w:sz w:val="14"/>
                <w:szCs w:val="14"/>
              </w:rPr>
              <w:t>.</w:t>
            </w:r>
            <w:r w:rsidRPr="003003C0">
              <w:rPr>
                <w:rFonts w:cs="Calibri"/>
                <w:color w:val="000000"/>
                <w:sz w:val="14"/>
                <w:szCs w:val="14"/>
              </w:rPr>
              <w:t>7</w:t>
            </w:r>
          </w:p>
        </w:tc>
        <w:tc>
          <w:tcPr>
            <w:tcW w:w="722" w:type="dxa"/>
            <w:noWrap/>
            <w:vAlign w:val="center"/>
            <w:hideMark/>
          </w:tcPr>
          <w:p w14:paraId="39EBA991" w14:textId="77777777" w:rsidR="004F64EF" w:rsidRPr="003003C0" w:rsidRDefault="004F64EF" w:rsidP="00FD6B66">
            <w:pPr>
              <w:jc w:val="right"/>
              <w:rPr>
                <w:rFonts w:cs="Calibri"/>
                <w:color w:val="000000"/>
                <w:sz w:val="14"/>
                <w:szCs w:val="14"/>
              </w:rPr>
            </w:pPr>
            <w:r w:rsidRPr="003003C0">
              <w:rPr>
                <w:rFonts w:cs="Calibri"/>
                <w:color w:val="000000"/>
                <w:sz w:val="14"/>
                <w:szCs w:val="14"/>
              </w:rPr>
              <w:t>1</w:t>
            </w:r>
            <w:r>
              <w:rPr>
                <w:rFonts w:cs="Calibri"/>
                <w:color w:val="000000"/>
                <w:sz w:val="14"/>
                <w:szCs w:val="14"/>
              </w:rPr>
              <w:t>.</w:t>
            </w:r>
            <w:r w:rsidRPr="003003C0">
              <w:rPr>
                <w:rFonts w:cs="Calibri"/>
                <w:color w:val="000000"/>
                <w:sz w:val="14"/>
                <w:szCs w:val="14"/>
              </w:rPr>
              <w:t>2</w:t>
            </w:r>
          </w:p>
        </w:tc>
      </w:tr>
      <w:tr w:rsidR="004F64EF" w:rsidRPr="003003C0" w14:paraId="0AE07F9F" w14:textId="77777777" w:rsidTr="00FD6B66">
        <w:trPr>
          <w:trHeight w:val="20"/>
        </w:trPr>
        <w:tc>
          <w:tcPr>
            <w:tcW w:w="3964" w:type="dxa"/>
            <w:noWrap/>
            <w:vAlign w:val="center"/>
            <w:hideMark/>
          </w:tcPr>
          <w:p w14:paraId="265DE427" w14:textId="77777777" w:rsidR="004F64EF" w:rsidRPr="003003C0" w:rsidRDefault="004F64EF" w:rsidP="00FD6B66">
            <w:pPr>
              <w:tabs>
                <w:tab w:val="left" w:pos="227"/>
              </w:tabs>
              <w:jc w:val="left"/>
              <w:rPr>
                <w:rFonts w:cs="Calibri"/>
                <w:color w:val="000000"/>
                <w:sz w:val="14"/>
                <w:szCs w:val="14"/>
              </w:rPr>
            </w:pPr>
            <w:r w:rsidRPr="003003C0">
              <w:rPr>
                <w:rFonts w:cs="Calibri"/>
                <w:color w:val="000000"/>
                <w:sz w:val="14"/>
                <w:szCs w:val="14"/>
              </w:rPr>
              <w:tab/>
              <w:t xml:space="preserve">21. </w:t>
            </w:r>
            <w:r w:rsidRPr="00C53E90">
              <w:rPr>
                <w:rFonts w:cs="Calibri"/>
                <w:color w:val="000000"/>
                <w:sz w:val="14"/>
                <w:szCs w:val="14"/>
              </w:rPr>
              <w:t>Miscellaneous edible preparations</w:t>
            </w:r>
          </w:p>
        </w:tc>
        <w:tc>
          <w:tcPr>
            <w:tcW w:w="721" w:type="dxa"/>
            <w:noWrap/>
            <w:vAlign w:val="center"/>
            <w:hideMark/>
          </w:tcPr>
          <w:p w14:paraId="7B066AA8" w14:textId="77777777" w:rsidR="004F64EF" w:rsidRPr="003003C0" w:rsidRDefault="004F64EF" w:rsidP="00FD6B66">
            <w:pPr>
              <w:jc w:val="right"/>
              <w:rPr>
                <w:rFonts w:cs="Calibri"/>
                <w:color w:val="000000"/>
                <w:sz w:val="14"/>
                <w:szCs w:val="14"/>
              </w:rPr>
            </w:pPr>
            <w:r w:rsidRPr="003003C0">
              <w:rPr>
                <w:rFonts w:cs="Calibri"/>
                <w:color w:val="000000"/>
                <w:sz w:val="14"/>
                <w:szCs w:val="14"/>
              </w:rPr>
              <w:t>1</w:t>
            </w:r>
            <w:r>
              <w:rPr>
                <w:rFonts w:cs="Calibri"/>
                <w:color w:val="000000"/>
                <w:sz w:val="14"/>
                <w:szCs w:val="14"/>
              </w:rPr>
              <w:t>.</w:t>
            </w:r>
            <w:r w:rsidRPr="003003C0">
              <w:rPr>
                <w:rFonts w:cs="Calibri"/>
                <w:color w:val="000000"/>
                <w:sz w:val="14"/>
                <w:szCs w:val="14"/>
              </w:rPr>
              <w:t>2</w:t>
            </w:r>
          </w:p>
        </w:tc>
        <w:tc>
          <w:tcPr>
            <w:tcW w:w="722" w:type="dxa"/>
            <w:noWrap/>
            <w:vAlign w:val="center"/>
            <w:hideMark/>
          </w:tcPr>
          <w:p w14:paraId="40369B9A" w14:textId="77777777" w:rsidR="004F64EF" w:rsidRPr="003003C0" w:rsidRDefault="004F64EF" w:rsidP="00FD6B66">
            <w:pPr>
              <w:jc w:val="right"/>
              <w:rPr>
                <w:rFonts w:cs="Calibri"/>
                <w:color w:val="000000"/>
                <w:sz w:val="14"/>
                <w:szCs w:val="14"/>
              </w:rPr>
            </w:pPr>
            <w:r w:rsidRPr="003003C0">
              <w:rPr>
                <w:rFonts w:cs="Calibri"/>
                <w:color w:val="000000"/>
                <w:sz w:val="14"/>
                <w:szCs w:val="14"/>
              </w:rPr>
              <w:t>1</w:t>
            </w:r>
            <w:r>
              <w:rPr>
                <w:rFonts w:cs="Calibri"/>
                <w:color w:val="000000"/>
                <w:sz w:val="14"/>
                <w:szCs w:val="14"/>
              </w:rPr>
              <w:t>.</w:t>
            </w:r>
            <w:r w:rsidRPr="003003C0">
              <w:rPr>
                <w:rFonts w:cs="Calibri"/>
                <w:color w:val="000000"/>
                <w:sz w:val="14"/>
                <w:szCs w:val="14"/>
              </w:rPr>
              <w:t>2</w:t>
            </w:r>
          </w:p>
        </w:tc>
        <w:tc>
          <w:tcPr>
            <w:tcW w:w="722" w:type="dxa"/>
            <w:noWrap/>
            <w:vAlign w:val="center"/>
            <w:hideMark/>
          </w:tcPr>
          <w:p w14:paraId="09FC446E" w14:textId="77777777" w:rsidR="004F64EF" w:rsidRPr="003003C0" w:rsidRDefault="004F64EF" w:rsidP="00FD6B66">
            <w:pPr>
              <w:jc w:val="right"/>
              <w:rPr>
                <w:rFonts w:cs="Calibri"/>
                <w:color w:val="000000"/>
                <w:sz w:val="14"/>
                <w:szCs w:val="14"/>
              </w:rPr>
            </w:pPr>
            <w:r w:rsidRPr="003003C0">
              <w:rPr>
                <w:rFonts w:cs="Calibri"/>
                <w:color w:val="000000"/>
                <w:sz w:val="14"/>
                <w:szCs w:val="14"/>
              </w:rPr>
              <w:t>1</w:t>
            </w:r>
            <w:r>
              <w:rPr>
                <w:rFonts w:cs="Calibri"/>
                <w:color w:val="000000"/>
                <w:sz w:val="14"/>
                <w:szCs w:val="14"/>
              </w:rPr>
              <w:t>.</w:t>
            </w:r>
            <w:r w:rsidRPr="003003C0">
              <w:rPr>
                <w:rFonts w:cs="Calibri"/>
                <w:color w:val="000000"/>
                <w:sz w:val="14"/>
                <w:szCs w:val="14"/>
              </w:rPr>
              <w:t>3</w:t>
            </w:r>
          </w:p>
        </w:tc>
        <w:tc>
          <w:tcPr>
            <w:tcW w:w="721" w:type="dxa"/>
            <w:noWrap/>
            <w:vAlign w:val="center"/>
            <w:hideMark/>
          </w:tcPr>
          <w:p w14:paraId="2DD9EF80" w14:textId="77777777" w:rsidR="004F64EF" w:rsidRPr="003003C0" w:rsidRDefault="004F64EF" w:rsidP="00FD6B66">
            <w:pPr>
              <w:jc w:val="right"/>
              <w:rPr>
                <w:rFonts w:cs="Calibri"/>
                <w:color w:val="000000"/>
                <w:sz w:val="14"/>
                <w:szCs w:val="14"/>
              </w:rPr>
            </w:pPr>
            <w:r w:rsidRPr="003003C0">
              <w:rPr>
                <w:rFonts w:cs="Calibri"/>
                <w:color w:val="000000"/>
                <w:sz w:val="14"/>
                <w:szCs w:val="14"/>
              </w:rPr>
              <w:t>1</w:t>
            </w:r>
            <w:r>
              <w:rPr>
                <w:rFonts w:cs="Calibri"/>
                <w:color w:val="000000"/>
                <w:sz w:val="14"/>
                <w:szCs w:val="14"/>
              </w:rPr>
              <w:t>.</w:t>
            </w:r>
            <w:r w:rsidRPr="003003C0">
              <w:rPr>
                <w:rFonts w:cs="Calibri"/>
                <w:color w:val="000000"/>
                <w:sz w:val="14"/>
                <w:szCs w:val="14"/>
              </w:rPr>
              <w:t>2</w:t>
            </w:r>
          </w:p>
        </w:tc>
        <w:tc>
          <w:tcPr>
            <w:tcW w:w="722" w:type="dxa"/>
            <w:noWrap/>
            <w:vAlign w:val="center"/>
            <w:hideMark/>
          </w:tcPr>
          <w:p w14:paraId="1CC5DC8A" w14:textId="77777777" w:rsidR="004F64EF" w:rsidRPr="003003C0" w:rsidRDefault="004F64EF" w:rsidP="00FD6B66">
            <w:pPr>
              <w:jc w:val="right"/>
              <w:rPr>
                <w:rFonts w:cs="Calibri"/>
                <w:color w:val="000000"/>
                <w:sz w:val="14"/>
                <w:szCs w:val="14"/>
              </w:rPr>
            </w:pPr>
            <w:r w:rsidRPr="003003C0">
              <w:rPr>
                <w:rFonts w:cs="Calibri"/>
                <w:color w:val="000000"/>
                <w:sz w:val="14"/>
                <w:szCs w:val="14"/>
              </w:rPr>
              <w:t>1</w:t>
            </w:r>
            <w:r>
              <w:rPr>
                <w:rFonts w:cs="Calibri"/>
                <w:color w:val="000000"/>
                <w:sz w:val="14"/>
                <w:szCs w:val="14"/>
              </w:rPr>
              <w:t>.</w:t>
            </w:r>
            <w:r w:rsidRPr="003003C0">
              <w:rPr>
                <w:rFonts w:cs="Calibri"/>
                <w:color w:val="000000"/>
                <w:sz w:val="14"/>
                <w:szCs w:val="14"/>
              </w:rPr>
              <w:t>3</w:t>
            </w:r>
          </w:p>
        </w:tc>
        <w:tc>
          <w:tcPr>
            <w:tcW w:w="722" w:type="dxa"/>
            <w:noWrap/>
            <w:vAlign w:val="center"/>
            <w:hideMark/>
          </w:tcPr>
          <w:p w14:paraId="6DAA6835" w14:textId="77777777" w:rsidR="004F64EF" w:rsidRPr="003003C0" w:rsidRDefault="004F64EF" w:rsidP="00FD6B66">
            <w:pPr>
              <w:jc w:val="right"/>
              <w:rPr>
                <w:rFonts w:cs="Calibri"/>
                <w:color w:val="000000"/>
                <w:sz w:val="14"/>
                <w:szCs w:val="14"/>
              </w:rPr>
            </w:pPr>
            <w:r w:rsidRPr="003003C0">
              <w:rPr>
                <w:rFonts w:cs="Calibri"/>
                <w:color w:val="000000"/>
                <w:sz w:val="14"/>
                <w:szCs w:val="14"/>
              </w:rPr>
              <w:t>1</w:t>
            </w:r>
            <w:r>
              <w:rPr>
                <w:rFonts w:cs="Calibri"/>
                <w:color w:val="000000"/>
                <w:sz w:val="14"/>
                <w:szCs w:val="14"/>
              </w:rPr>
              <w:t>.</w:t>
            </w:r>
            <w:r w:rsidRPr="003003C0">
              <w:rPr>
                <w:rFonts w:cs="Calibri"/>
                <w:color w:val="000000"/>
                <w:sz w:val="14"/>
                <w:szCs w:val="14"/>
              </w:rPr>
              <w:t>5</w:t>
            </w:r>
          </w:p>
        </w:tc>
        <w:tc>
          <w:tcPr>
            <w:tcW w:w="722" w:type="dxa"/>
            <w:noWrap/>
            <w:vAlign w:val="center"/>
            <w:hideMark/>
          </w:tcPr>
          <w:p w14:paraId="3D6C9D6F" w14:textId="77777777" w:rsidR="004F64EF" w:rsidRPr="003003C0" w:rsidRDefault="004F64EF" w:rsidP="00FD6B66">
            <w:pPr>
              <w:jc w:val="right"/>
              <w:rPr>
                <w:rFonts w:cs="Calibri"/>
                <w:color w:val="000000"/>
                <w:sz w:val="14"/>
                <w:szCs w:val="14"/>
              </w:rPr>
            </w:pPr>
            <w:r w:rsidRPr="003003C0">
              <w:rPr>
                <w:rFonts w:cs="Calibri"/>
                <w:color w:val="000000"/>
                <w:sz w:val="14"/>
                <w:szCs w:val="14"/>
              </w:rPr>
              <w:t>1</w:t>
            </w:r>
            <w:r>
              <w:rPr>
                <w:rFonts w:cs="Calibri"/>
                <w:color w:val="000000"/>
                <w:sz w:val="14"/>
                <w:szCs w:val="14"/>
              </w:rPr>
              <w:t>.</w:t>
            </w:r>
            <w:r w:rsidRPr="003003C0">
              <w:rPr>
                <w:rFonts w:cs="Calibri"/>
                <w:color w:val="000000"/>
                <w:sz w:val="14"/>
                <w:szCs w:val="14"/>
              </w:rPr>
              <w:t>2</w:t>
            </w:r>
          </w:p>
        </w:tc>
      </w:tr>
      <w:tr w:rsidR="004F64EF" w:rsidRPr="003003C0" w14:paraId="7261B4D0" w14:textId="77777777" w:rsidTr="00FD6B66">
        <w:trPr>
          <w:cnfStyle w:val="000000010000" w:firstRow="0" w:lastRow="0" w:firstColumn="0" w:lastColumn="0" w:oddVBand="0" w:evenVBand="0" w:oddHBand="0" w:evenHBand="1" w:firstRowFirstColumn="0" w:firstRowLastColumn="0" w:lastRowFirstColumn="0" w:lastRowLastColumn="0"/>
          <w:trHeight w:val="20"/>
        </w:trPr>
        <w:tc>
          <w:tcPr>
            <w:tcW w:w="3964" w:type="dxa"/>
            <w:noWrap/>
            <w:vAlign w:val="center"/>
            <w:hideMark/>
          </w:tcPr>
          <w:p w14:paraId="618CB77F" w14:textId="77777777" w:rsidR="004F64EF" w:rsidRPr="003003C0" w:rsidRDefault="004F64EF" w:rsidP="00FD6B66">
            <w:pPr>
              <w:jc w:val="left"/>
              <w:rPr>
                <w:rFonts w:cs="Calibri"/>
                <w:color w:val="000000"/>
                <w:sz w:val="14"/>
                <w:szCs w:val="14"/>
              </w:rPr>
            </w:pPr>
            <w:r w:rsidRPr="003003C0">
              <w:rPr>
                <w:rFonts w:cs="Calibri"/>
                <w:color w:val="000000"/>
                <w:sz w:val="14"/>
                <w:szCs w:val="14"/>
              </w:rPr>
              <w:t xml:space="preserve">5 </w:t>
            </w:r>
            <w:r>
              <w:rPr>
                <w:rFonts w:cs="Calibri"/>
                <w:color w:val="000000"/>
                <w:sz w:val="14"/>
                <w:szCs w:val="14"/>
              </w:rPr>
              <w:t>–</w:t>
            </w:r>
            <w:r w:rsidRPr="003003C0">
              <w:rPr>
                <w:rFonts w:cs="Calibri"/>
                <w:color w:val="000000"/>
                <w:sz w:val="14"/>
                <w:szCs w:val="14"/>
              </w:rPr>
              <w:t xml:space="preserve"> </w:t>
            </w:r>
            <w:r>
              <w:rPr>
                <w:rFonts w:cs="Calibri"/>
                <w:color w:val="000000"/>
                <w:sz w:val="14"/>
                <w:szCs w:val="14"/>
              </w:rPr>
              <w:t>Mineral products</w:t>
            </w:r>
          </w:p>
        </w:tc>
        <w:tc>
          <w:tcPr>
            <w:tcW w:w="721" w:type="dxa"/>
            <w:noWrap/>
            <w:vAlign w:val="center"/>
            <w:hideMark/>
          </w:tcPr>
          <w:p w14:paraId="6E6880F0" w14:textId="77777777" w:rsidR="004F64EF" w:rsidRPr="003003C0" w:rsidRDefault="004F64EF" w:rsidP="00FD6B66">
            <w:pPr>
              <w:jc w:val="right"/>
              <w:rPr>
                <w:rFonts w:cs="Calibri"/>
                <w:color w:val="000000"/>
                <w:sz w:val="14"/>
                <w:szCs w:val="14"/>
              </w:rPr>
            </w:pPr>
            <w:r w:rsidRPr="003003C0">
              <w:rPr>
                <w:rFonts w:cs="Calibri"/>
                <w:color w:val="000000"/>
                <w:sz w:val="14"/>
                <w:szCs w:val="14"/>
              </w:rPr>
              <w:t>19</w:t>
            </w:r>
            <w:r>
              <w:rPr>
                <w:rFonts w:cs="Calibri"/>
                <w:color w:val="000000"/>
                <w:sz w:val="14"/>
                <w:szCs w:val="14"/>
              </w:rPr>
              <w:t>.</w:t>
            </w:r>
            <w:r w:rsidRPr="003003C0">
              <w:rPr>
                <w:rFonts w:cs="Calibri"/>
                <w:color w:val="000000"/>
                <w:sz w:val="14"/>
                <w:szCs w:val="14"/>
              </w:rPr>
              <w:t>9</w:t>
            </w:r>
          </w:p>
        </w:tc>
        <w:tc>
          <w:tcPr>
            <w:tcW w:w="722" w:type="dxa"/>
            <w:noWrap/>
            <w:vAlign w:val="center"/>
            <w:hideMark/>
          </w:tcPr>
          <w:p w14:paraId="3A27766B" w14:textId="77777777" w:rsidR="004F64EF" w:rsidRPr="003003C0" w:rsidRDefault="004F64EF" w:rsidP="00FD6B66">
            <w:pPr>
              <w:jc w:val="right"/>
              <w:rPr>
                <w:rFonts w:cs="Calibri"/>
                <w:color w:val="000000"/>
                <w:sz w:val="14"/>
                <w:szCs w:val="14"/>
              </w:rPr>
            </w:pPr>
            <w:r w:rsidRPr="003003C0">
              <w:rPr>
                <w:rFonts w:cs="Calibri"/>
                <w:color w:val="000000"/>
                <w:sz w:val="14"/>
                <w:szCs w:val="14"/>
              </w:rPr>
              <w:t>17</w:t>
            </w:r>
            <w:r>
              <w:rPr>
                <w:rFonts w:cs="Calibri"/>
                <w:color w:val="000000"/>
                <w:sz w:val="14"/>
                <w:szCs w:val="14"/>
              </w:rPr>
              <w:t>.</w:t>
            </w:r>
            <w:r w:rsidRPr="003003C0">
              <w:rPr>
                <w:rFonts w:cs="Calibri"/>
                <w:color w:val="000000"/>
                <w:sz w:val="14"/>
                <w:szCs w:val="14"/>
              </w:rPr>
              <w:t>5</w:t>
            </w:r>
          </w:p>
        </w:tc>
        <w:tc>
          <w:tcPr>
            <w:tcW w:w="722" w:type="dxa"/>
            <w:noWrap/>
            <w:vAlign w:val="center"/>
            <w:hideMark/>
          </w:tcPr>
          <w:p w14:paraId="16F6AAD5" w14:textId="77777777" w:rsidR="004F64EF" w:rsidRPr="003003C0" w:rsidRDefault="004F64EF" w:rsidP="00FD6B66">
            <w:pPr>
              <w:jc w:val="right"/>
              <w:rPr>
                <w:rFonts w:cs="Calibri"/>
                <w:color w:val="000000"/>
                <w:sz w:val="14"/>
                <w:szCs w:val="14"/>
              </w:rPr>
            </w:pPr>
            <w:r w:rsidRPr="003003C0">
              <w:rPr>
                <w:rFonts w:cs="Calibri"/>
                <w:color w:val="000000"/>
                <w:sz w:val="14"/>
                <w:szCs w:val="14"/>
              </w:rPr>
              <w:t>21</w:t>
            </w:r>
            <w:r>
              <w:rPr>
                <w:rFonts w:cs="Calibri"/>
                <w:color w:val="000000"/>
                <w:sz w:val="14"/>
                <w:szCs w:val="14"/>
              </w:rPr>
              <w:t>.</w:t>
            </w:r>
            <w:r w:rsidRPr="003003C0">
              <w:rPr>
                <w:rFonts w:cs="Calibri"/>
                <w:color w:val="000000"/>
                <w:sz w:val="14"/>
                <w:szCs w:val="14"/>
              </w:rPr>
              <w:t>1</w:t>
            </w:r>
          </w:p>
        </w:tc>
        <w:tc>
          <w:tcPr>
            <w:tcW w:w="721" w:type="dxa"/>
            <w:noWrap/>
            <w:vAlign w:val="center"/>
            <w:hideMark/>
          </w:tcPr>
          <w:p w14:paraId="10047D8E" w14:textId="77777777" w:rsidR="004F64EF" w:rsidRPr="003003C0" w:rsidRDefault="004F64EF" w:rsidP="00FD6B66">
            <w:pPr>
              <w:jc w:val="right"/>
              <w:rPr>
                <w:rFonts w:cs="Calibri"/>
                <w:color w:val="000000"/>
                <w:sz w:val="14"/>
                <w:szCs w:val="14"/>
              </w:rPr>
            </w:pPr>
            <w:r w:rsidRPr="003003C0">
              <w:rPr>
                <w:rFonts w:cs="Calibri"/>
                <w:color w:val="000000"/>
                <w:sz w:val="14"/>
                <w:szCs w:val="14"/>
              </w:rPr>
              <w:t>23</w:t>
            </w:r>
            <w:r>
              <w:rPr>
                <w:rFonts w:cs="Calibri"/>
                <w:color w:val="000000"/>
                <w:sz w:val="14"/>
                <w:szCs w:val="14"/>
              </w:rPr>
              <w:t>.</w:t>
            </w:r>
            <w:r w:rsidRPr="003003C0">
              <w:rPr>
                <w:rFonts w:cs="Calibri"/>
                <w:color w:val="000000"/>
                <w:sz w:val="14"/>
                <w:szCs w:val="14"/>
              </w:rPr>
              <w:t>8</w:t>
            </w:r>
          </w:p>
        </w:tc>
        <w:tc>
          <w:tcPr>
            <w:tcW w:w="722" w:type="dxa"/>
            <w:noWrap/>
            <w:vAlign w:val="center"/>
            <w:hideMark/>
          </w:tcPr>
          <w:p w14:paraId="175171B4" w14:textId="77777777" w:rsidR="004F64EF" w:rsidRPr="003003C0" w:rsidRDefault="004F64EF" w:rsidP="00FD6B66">
            <w:pPr>
              <w:jc w:val="right"/>
              <w:rPr>
                <w:rFonts w:cs="Calibri"/>
                <w:color w:val="000000"/>
                <w:sz w:val="14"/>
                <w:szCs w:val="14"/>
              </w:rPr>
            </w:pPr>
            <w:r w:rsidRPr="003003C0">
              <w:rPr>
                <w:rFonts w:cs="Calibri"/>
                <w:color w:val="000000"/>
                <w:sz w:val="14"/>
                <w:szCs w:val="14"/>
              </w:rPr>
              <w:t>23</w:t>
            </w:r>
            <w:r>
              <w:rPr>
                <w:rFonts w:cs="Calibri"/>
                <w:color w:val="000000"/>
                <w:sz w:val="14"/>
                <w:szCs w:val="14"/>
              </w:rPr>
              <w:t>.</w:t>
            </w:r>
            <w:r w:rsidRPr="003003C0">
              <w:rPr>
                <w:rFonts w:cs="Calibri"/>
                <w:color w:val="000000"/>
                <w:sz w:val="14"/>
                <w:szCs w:val="14"/>
              </w:rPr>
              <w:t>0</w:t>
            </w:r>
          </w:p>
        </w:tc>
        <w:tc>
          <w:tcPr>
            <w:tcW w:w="722" w:type="dxa"/>
            <w:noWrap/>
            <w:vAlign w:val="center"/>
            <w:hideMark/>
          </w:tcPr>
          <w:p w14:paraId="2A83B3F3" w14:textId="77777777" w:rsidR="004F64EF" w:rsidRPr="003003C0" w:rsidRDefault="004F64EF" w:rsidP="00FD6B66">
            <w:pPr>
              <w:jc w:val="right"/>
              <w:rPr>
                <w:rFonts w:cs="Calibri"/>
                <w:color w:val="000000"/>
                <w:sz w:val="14"/>
                <w:szCs w:val="14"/>
              </w:rPr>
            </w:pPr>
            <w:r w:rsidRPr="003003C0">
              <w:rPr>
                <w:rFonts w:cs="Calibri"/>
                <w:color w:val="000000"/>
                <w:sz w:val="14"/>
                <w:szCs w:val="14"/>
              </w:rPr>
              <w:t>15</w:t>
            </w:r>
            <w:r>
              <w:rPr>
                <w:rFonts w:cs="Calibri"/>
                <w:color w:val="000000"/>
                <w:sz w:val="14"/>
                <w:szCs w:val="14"/>
              </w:rPr>
              <w:t>.</w:t>
            </w:r>
            <w:r w:rsidRPr="003003C0">
              <w:rPr>
                <w:rFonts w:cs="Calibri"/>
                <w:color w:val="000000"/>
                <w:sz w:val="14"/>
                <w:szCs w:val="14"/>
              </w:rPr>
              <w:t>9</w:t>
            </w:r>
          </w:p>
        </w:tc>
        <w:tc>
          <w:tcPr>
            <w:tcW w:w="722" w:type="dxa"/>
            <w:noWrap/>
            <w:vAlign w:val="center"/>
            <w:hideMark/>
          </w:tcPr>
          <w:p w14:paraId="199B358A" w14:textId="77777777" w:rsidR="004F64EF" w:rsidRPr="003003C0" w:rsidRDefault="004F64EF" w:rsidP="00FD6B66">
            <w:pPr>
              <w:jc w:val="right"/>
              <w:rPr>
                <w:rFonts w:cs="Calibri"/>
                <w:color w:val="000000"/>
                <w:sz w:val="14"/>
                <w:szCs w:val="14"/>
              </w:rPr>
            </w:pPr>
            <w:r w:rsidRPr="003003C0">
              <w:rPr>
                <w:rFonts w:cs="Calibri"/>
                <w:color w:val="000000"/>
                <w:sz w:val="14"/>
                <w:szCs w:val="14"/>
              </w:rPr>
              <w:t>20</w:t>
            </w:r>
            <w:r>
              <w:rPr>
                <w:rFonts w:cs="Calibri"/>
                <w:color w:val="000000"/>
                <w:sz w:val="14"/>
                <w:szCs w:val="14"/>
              </w:rPr>
              <w:t>.</w:t>
            </w:r>
            <w:r w:rsidRPr="003003C0">
              <w:rPr>
                <w:rFonts w:cs="Calibri"/>
                <w:color w:val="000000"/>
                <w:sz w:val="14"/>
                <w:szCs w:val="14"/>
              </w:rPr>
              <w:t>9</w:t>
            </w:r>
          </w:p>
        </w:tc>
      </w:tr>
      <w:tr w:rsidR="004F64EF" w:rsidRPr="003003C0" w14:paraId="02BE1F4D" w14:textId="77777777" w:rsidTr="00FD6B66">
        <w:trPr>
          <w:trHeight w:val="20"/>
        </w:trPr>
        <w:tc>
          <w:tcPr>
            <w:tcW w:w="3964" w:type="dxa"/>
            <w:noWrap/>
            <w:vAlign w:val="center"/>
            <w:hideMark/>
          </w:tcPr>
          <w:p w14:paraId="29628CEB" w14:textId="77777777" w:rsidR="004F64EF" w:rsidRPr="003003C0" w:rsidRDefault="004F64EF" w:rsidP="00A839D1">
            <w:pPr>
              <w:tabs>
                <w:tab w:val="left" w:pos="227"/>
              </w:tabs>
              <w:ind w:left="227" w:hanging="227"/>
              <w:jc w:val="left"/>
              <w:rPr>
                <w:rFonts w:cs="Calibri"/>
                <w:color w:val="000000"/>
                <w:sz w:val="14"/>
                <w:szCs w:val="14"/>
              </w:rPr>
            </w:pPr>
            <w:r w:rsidRPr="003003C0">
              <w:rPr>
                <w:rFonts w:cs="Calibri"/>
                <w:color w:val="000000"/>
                <w:sz w:val="14"/>
                <w:szCs w:val="14"/>
              </w:rPr>
              <w:tab/>
              <w:t xml:space="preserve">27. </w:t>
            </w:r>
            <w:r w:rsidRPr="00C53E90">
              <w:rPr>
                <w:rFonts w:cs="Calibri"/>
                <w:color w:val="000000"/>
                <w:sz w:val="14"/>
                <w:szCs w:val="14"/>
              </w:rPr>
              <w:t>Mineral fuels; bituminous substances; mineral waxes</w:t>
            </w:r>
          </w:p>
        </w:tc>
        <w:tc>
          <w:tcPr>
            <w:tcW w:w="721" w:type="dxa"/>
            <w:noWrap/>
            <w:vAlign w:val="center"/>
            <w:hideMark/>
          </w:tcPr>
          <w:p w14:paraId="44C4E8DD" w14:textId="77777777" w:rsidR="004F64EF" w:rsidRPr="003003C0" w:rsidRDefault="004F64EF" w:rsidP="00FD6B66">
            <w:pPr>
              <w:jc w:val="right"/>
              <w:rPr>
                <w:rFonts w:cs="Calibri"/>
                <w:color w:val="000000"/>
                <w:sz w:val="14"/>
                <w:szCs w:val="14"/>
              </w:rPr>
            </w:pPr>
            <w:r w:rsidRPr="003003C0">
              <w:rPr>
                <w:rFonts w:cs="Calibri"/>
                <w:color w:val="000000"/>
                <w:sz w:val="14"/>
                <w:szCs w:val="14"/>
              </w:rPr>
              <w:t>19</w:t>
            </w:r>
            <w:r>
              <w:rPr>
                <w:rFonts w:cs="Calibri"/>
                <w:color w:val="000000"/>
                <w:sz w:val="14"/>
                <w:szCs w:val="14"/>
              </w:rPr>
              <w:t>.</w:t>
            </w:r>
            <w:r w:rsidRPr="003003C0">
              <w:rPr>
                <w:rFonts w:cs="Calibri"/>
                <w:color w:val="000000"/>
                <w:sz w:val="14"/>
                <w:szCs w:val="14"/>
              </w:rPr>
              <w:t>6</w:t>
            </w:r>
          </w:p>
        </w:tc>
        <w:tc>
          <w:tcPr>
            <w:tcW w:w="722" w:type="dxa"/>
            <w:noWrap/>
            <w:vAlign w:val="center"/>
            <w:hideMark/>
          </w:tcPr>
          <w:p w14:paraId="512649CA" w14:textId="77777777" w:rsidR="004F64EF" w:rsidRPr="003003C0" w:rsidRDefault="004F64EF" w:rsidP="00FD6B66">
            <w:pPr>
              <w:jc w:val="right"/>
              <w:rPr>
                <w:rFonts w:cs="Calibri"/>
                <w:color w:val="000000"/>
                <w:sz w:val="14"/>
                <w:szCs w:val="14"/>
              </w:rPr>
            </w:pPr>
            <w:r w:rsidRPr="003003C0">
              <w:rPr>
                <w:rFonts w:cs="Calibri"/>
                <w:color w:val="000000"/>
                <w:sz w:val="14"/>
                <w:szCs w:val="14"/>
              </w:rPr>
              <w:t>17</w:t>
            </w:r>
            <w:r>
              <w:rPr>
                <w:rFonts w:cs="Calibri"/>
                <w:color w:val="000000"/>
                <w:sz w:val="14"/>
                <w:szCs w:val="14"/>
              </w:rPr>
              <w:t>.</w:t>
            </w:r>
            <w:r w:rsidRPr="003003C0">
              <w:rPr>
                <w:rFonts w:cs="Calibri"/>
                <w:color w:val="000000"/>
                <w:sz w:val="14"/>
                <w:szCs w:val="14"/>
              </w:rPr>
              <w:t>3</w:t>
            </w:r>
          </w:p>
        </w:tc>
        <w:tc>
          <w:tcPr>
            <w:tcW w:w="722" w:type="dxa"/>
            <w:noWrap/>
            <w:vAlign w:val="center"/>
            <w:hideMark/>
          </w:tcPr>
          <w:p w14:paraId="44E9AC9D" w14:textId="77777777" w:rsidR="004F64EF" w:rsidRPr="003003C0" w:rsidRDefault="004F64EF" w:rsidP="00FD6B66">
            <w:pPr>
              <w:jc w:val="right"/>
              <w:rPr>
                <w:rFonts w:cs="Calibri"/>
                <w:color w:val="000000"/>
                <w:sz w:val="14"/>
                <w:szCs w:val="14"/>
              </w:rPr>
            </w:pPr>
            <w:r w:rsidRPr="003003C0">
              <w:rPr>
                <w:rFonts w:cs="Calibri"/>
                <w:color w:val="000000"/>
                <w:sz w:val="14"/>
                <w:szCs w:val="14"/>
              </w:rPr>
              <w:t>20</w:t>
            </w:r>
            <w:r>
              <w:rPr>
                <w:rFonts w:cs="Calibri"/>
                <w:color w:val="000000"/>
                <w:sz w:val="14"/>
                <w:szCs w:val="14"/>
              </w:rPr>
              <w:t>.</w:t>
            </w:r>
            <w:r w:rsidRPr="003003C0">
              <w:rPr>
                <w:rFonts w:cs="Calibri"/>
                <w:color w:val="000000"/>
                <w:sz w:val="14"/>
                <w:szCs w:val="14"/>
              </w:rPr>
              <w:t>9</w:t>
            </w:r>
          </w:p>
        </w:tc>
        <w:tc>
          <w:tcPr>
            <w:tcW w:w="721" w:type="dxa"/>
            <w:noWrap/>
            <w:vAlign w:val="center"/>
            <w:hideMark/>
          </w:tcPr>
          <w:p w14:paraId="538FE1E5" w14:textId="77777777" w:rsidR="004F64EF" w:rsidRPr="003003C0" w:rsidRDefault="004F64EF" w:rsidP="00FD6B66">
            <w:pPr>
              <w:jc w:val="right"/>
              <w:rPr>
                <w:rFonts w:cs="Calibri"/>
                <w:color w:val="000000"/>
                <w:sz w:val="14"/>
                <w:szCs w:val="14"/>
              </w:rPr>
            </w:pPr>
            <w:r w:rsidRPr="003003C0">
              <w:rPr>
                <w:rFonts w:cs="Calibri"/>
                <w:color w:val="000000"/>
                <w:sz w:val="14"/>
                <w:szCs w:val="14"/>
              </w:rPr>
              <w:t>23</w:t>
            </w:r>
            <w:r>
              <w:rPr>
                <w:rFonts w:cs="Calibri"/>
                <w:color w:val="000000"/>
                <w:sz w:val="14"/>
                <w:szCs w:val="14"/>
              </w:rPr>
              <w:t>.</w:t>
            </w:r>
            <w:r w:rsidRPr="003003C0">
              <w:rPr>
                <w:rFonts w:cs="Calibri"/>
                <w:color w:val="000000"/>
                <w:sz w:val="14"/>
                <w:szCs w:val="14"/>
              </w:rPr>
              <w:t>6</w:t>
            </w:r>
          </w:p>
        </w:tc>
        <w:tc>
          <w:tcPr>
            <w:tcW w:w="722" w:type="dxa"/>
            <w:noWrap/>
            <w:vAlign w:val="center"/>
            <w:hideMark/>
          </w:tcPr>
          <w:p w14:paraId="51D9E662" w14:textId="77777777" w:rsidR="004F64EF" w:rsidRPr="003003C0" w:rsidRDefault="004F64EF" w:rsidP="00FD6B66">
            <w:pPr>
              <w:jc w:val="right"/>
              <w:rPr>
                <w:rFonts w:cs="Calibri"/>
                <w:color w:val="000000"/>
                <w:sz w:val="14"/>
                <w:szCs w:val="14"/>
              </w:rPr>
            </w:pPr>
            <w:r w:rsidRPr="003003C0">
              <w:rPr>
                <w:rFonts w:cs="Calibri"/>
                <w:color w:val="000000"/>
                <w:sz w:val="14"/>
                <w:szCs w:val="14"/>
              </w:rPr>
              <w:t>22</w:t>
            </w:r>
            <w:r>
              <w:rPr>
                <w:rFonts w:cs="Calibri"/>
                <w:color w:val="000000"/>
                <w:sz w:val="14"/>
                <w:szCs w:val="14"/>
              </w:rPr>
              <w:t>.</w:t>
            </w:r>
            <w:r w:rsidRPr="003003C0">
              <w:rPr>
                <w:rFonts w:cs="Calibri"/>
                <w:color w:val="000000"/>
                <w:sz w:val="14"/>
                <w:szCs w:val="14"/>
              </w:rPr>
              <w:t>7</w:t>
            </w:r>
          </w:p>
        </w:tc>
        <w:tc>
          <w:tcPr>
            <w:tcW w:w="722" w:type="dxa"/>
            <w:noWrap/>
            <w:vAlign w:val="center"/>
            <w:hideMark/>
          </w:tcPr>
          <w:p w14:paraId="2F680F6D" w14:textId="77777777" w:rsidR="004F64EF" w:rsidRPr="003003C0" w:rsidRDefault="004F64EF" w:rsidP="00FD6B66">
            <w:pPr>
              <w:jc w:val="right"/>
              <w:rPr>
                <w:rFonts w:cs="Calibri"/>
                <w:color w:val="000000"/>
                <w:sz w:val="14"/>
                <w:szCs w:val="14"/>
              </w:rPr>
            </w:pPr>
            <w:r w:rsidRPr="003003C0">
              <w:rPr>
                <w:rFonts w:cs="Calibri"/>
                <w:color w:val="000000"/>
                <w:sz w:val="14"/>
                <w:szCs w:val="14"/>
              </w:rPr>
              <w:t>15</w:t>
            </w:r>
            <w:r>
              <w:rPr>
                <w:rFonts w:cs="Calibri"/>
                <w:color w:val="000000"/>
                <w:sz w:val="14"/>
                <w:szCs w:val="14"/>
              </w:rPr>
              <w:t>.</w:t>
            </w:r>
            <w:r w:rsidRPr="003003C0">
              <w:rPr>
                <w:rFonts w:cs="Calibri"/>
                <w:color w:val="000000"/>
                <w:sz w:val="14"/>
                <w:szCs w:val="14"/>
              </w:rPr>
              <w:t>4</w:t>
            </w:r>
          </w:p>
        </w:tc>
        <w:tc>
          <w:tcPr>
            <w:tcW w:w="722" w:type="dxa"/>
            <w:noWrap/>
            <w:vAlign w:val="center"/>
            <w:hideMark/>
          </w:tcPr>
          <w:p w14:paraId="4624898F" w14:textId="77777777" w:rsidR="004F64EF" w:rsidRPr="003003C0" w:rsidRDefault="004F64EF" w:rsidP="00FD6B66">
            <w:pPr>
              <w:jc w:val="right"/>
              <w:rPr>
                <w:rFonts w:cs="Calibri"/>
                <w:color w:val="000000"/>
                <w:sz w:val="14"/>
                <w:szCs w:val="14"/>
              </w:rPr>
            </w:pPr>
            <w:r w:rsidRPr="003003C0">
              <w:rPr>
                <w:rFonts w:cs="Calibri"/>
                <w:color w:val="000000"/>
                <w:sz w:val="14"/>
                <w:szCs w:val="14"/>
              </w:rPr>
              <w:t>20</w:t>
            </w:r>
            <w:r>
              <w:rPr>
                <w:rFonts w:cs="Calibri"/>
                <w:color w:val="000000"/>
                <w:sz w:val="14"/>
                <w:szCs w:val="14"/>
              </w:rPr>
              <w:t>.</w:t>
            </w:r>
            <w:r w:rsidRPr="003003C0">
              <w:rPr>
                <w:rFonts w:cs="Calibri"/>
                <w:color w:val="000000"/>
                <w:sz w:val="14"/>
                <w:szCs w:val="14"/>
              </w:rPr>
              <w:t>4</w:t>
            </w:r>
          </w:p>
        </w:tc>
      </w:tr>
      <w:tr w:rsidR="004F64EF" w:rsidRPr="003003C0" w14:paraId="2DA53C28" w14:textId="77777777" w:rsidTr="00FD6B66">
        <w:trPr>
          <w:cnfStyle w:val="000000010000" w:firstRow="0" w:lastRow="0" w:firstColumn="0" w:lastColumn="0" w:oddVBand="0" w:evenVBand="0" w:oddHBand="0" w:evenHBand="1" w:firstRowFirstColumn="0" w:firstRowLastColumn="0" w:lastRowFirstColumn="0" w:lastRowLastColumn="0"/>
          <w:trHeight w:val="20"/>
        </w:trPr>
        <w:tc>
          <w:tcPr>
            <w:tcW w:w="3964" w:type="dxa"/>
            <w:noWrap/>
            <w:vAlign w:val="center"/>
            <w:hideMark/>
          </w:tcPr>
          <w:p w14:paraId="52C3731C" w14:textId="77777777" w:rsidR="004F64EF" w:rsidRPr="003003C0" w:rsidRDefault="004F64EF" w:rsidP="00FD6B66">
            <w:pPr>
              <w:jc w:val="left"/>
              <w:rPr>
                <w:rFonts w:cs="Calibri"/>
                <w:color w:val="000000"/>
                <w:sz w:val="14"/>
                <w:szCs w:val="14"/>
              </w:rPr>
            </w:pPr>
            <w:r w:rsidRPr="003003C0">
              <w:rPr>
                <w:rFonts w:cs="Calibri"/>
                <w:color w:val="000000"/>
                <w:sz w:val="14"/>
                <w:szCs w:val="14"/>
              </w:rPr>
              <w:t xml:space="preserve">6 - </w:t>
            </w:r>
            <w:r>
              <w:rPr>
                <w:rFonts w:cs="Calibri"/>
                <w:color w:val="000000"/>
                <w:sz w:val="14"/>
                <w:szCs w:val="14"/>
              </w:rPr>
              <w:t>P</w:t>
            </w:r>
            <w:r w:rsidRPr="00C716AB">
              <w:rPr>
                <w:rFonts w:cs="Calibri"/>
                <w:color w:val="000000"/>
                <w:sz w:val="14"/>
                <w:szCs w:val="14"/>
              </w:rPr>
              <w:t>roducts of the chemical or allied industries</w:t>
            </w:r>
          </w:p>
        </w:tc>
        <w:tc>
          <w:tcPr>
            <w:tcW w:w="721" w:type="dxa"/>
            <w:noWrap/>
            <w:vAlign w:val="center"/>
            <w:hideMark/>
          </w:tcPr>
          <w:p w14:paraId="2F23E479" w14:textId="77777777" w:rsidR="004F64EF" w:rsidRPr="003003C0" w:rsidRDefault="004F64EF" w:rsidP="00FD6B66">
            <w:pPr>
              <w:jc w:val="right"/>
              <w:rPr>
                <w:rFonts w:cs="Calibri"/>
                <w:color w:val="000000"/>
                <w:sz w:val="14"/>
                <w:szCs w:val="14"/>
              </w:rPr>
            </w:pPr>
            <w:r w:rsidRPr="003003C0">
              <w:rPr>
                <w:rFonts w:cs="Calibri"/>
                <w:color w:val="000000"/>
                <w:sz w:val="14"/>
                <w:szCs w:val="14"/>
              </w:rPr>
              <w:t>10</w:t>
            </w:r>
            <w:r>
              <w:rPr>
                <w:rFonts w:cs="Calibri"/>
                <w:color w:val="000000"/>
                <w:sz w:val="14"/>
                <w:szCs w:val="14"/>
              </w:rPr>
              <w:t>.</w:t>
            </w:r>
            <w:r w:rsidRPr="003003C0">
              <w:rPr>
                <w:rFonts w:cs="Calibri"/>
                <w:color w:val="000000"/>
                <w:sz w:val="14"/>
                <w:szCs w:val="14"/>
              </w:rPr>
              <w:t>2</w:t>
            </w:r>
          </w:p>
        </w:tc>
        <w:tc>
          <w:tcPr>
            <w:tcW w:w="722" w:type="dxa"/>
            <w:noWrap/>
            <w:vAlign w:val="center"/>
            <w:hideMark/>
          </w:tcPr>
          <w:p w14:paraId="0F00C4A3" w14:textId="77777777" w:rsidR="004F64EF" w:rsidRPr="003003C0" w:rsidRDefault="004F64EF" w:rsidP="00FD6B66">
            <w:pPr>
              <w:jc w:val="right"/>
              <w:rPr>
                <w:rFonts w:cs="Calibri"/>
                <w:color w:val="000000"/>
                <w:sz w:val="14"/>
                <w:szCs w:val="14"/>
              </w:rPr>
            </w:pPr>
            <w:r w:rsidRPr="003003C0">
              <w:rPr>
                <w:rFonts w:cs="Calibri"/>
                <w:color w:val="000000"/>
                <w:sz w:val="14"/>
                <w:szCs w:val="14"/>
              </w:rPr>
              <w:t>9</w:t>
            </w:r>
            <w:r>
              <w:rPr>
                <w:rFonts w:cs="Calibri"/>
                <w:color w:val="000000"/>
                <w:sz w:val="14"/>
                <w:szCs w:val="14"/>
              </w:rPr>
              <w:t>.</w:t>
            </w:r>
            <w:r w:rsidRPr="003003C0">
              <w:rPr>
                <w:rFonts w:cs="Calibri"/>
                <w:color w:val="000000"/>
                <w:sz w:val="14"/>
                <w:szCs w:val="14"/>
              </w:rPr>
              <w:t>9</w:t>
            </w:r>
          </w:p>
        </w:tc>
        <w:tc>
          <w:tcPr>
            <w:tcW w:w="722" w:type="dxa"/>
            <w:noWrap/>
            <w:vAlign w:val="center"/>
            <w:hideMark/>
          </w:tcPr>
          <w:p w14:paraId="2B844A0D" w14:textId="77777777" w:rsidR="004F64EF" w:rsidRPr="003003C0" w:rsidRDefault="004F64EF" w:rsidP="00FD6B66">
            <w:pPr>
              <w:jc w:val="right"/>
              <w:rPr>
                <w:rFonts w:cs="Calibri"/>
                <w:color w:val="000000"/>
                <w:sz w:val="14"/>
                <w:szCs w:val="14"/>
              </w:rPr>
            </w:pPr>
            <w:r w:rsidRPr="003003C0">
              <w:rPr>
                <w:rFonts w:cs="Calibri"/>
                <w:color w:val="000000"/>
                <w:sz w:val="14"/>
                <w:szCs w:val="14"/>
              </w:rPr>
              <w:t>10</w:t>
            </w:r>
            <w:r>
              <w:rPr>
                <w:rFonts w:cs="Calibri"/>
                <w:color w:val="000000"/>
                <w:sz w:val="14"/>
                <w:szCs w:val="14"/>
              </w:rPr>
              <w:t>.</w:t>
            </w:r>
            <w:r w:rsidRPr="003003C0">
              <w:rPr>
                <w:rFonts w:cs="Calibri"/>
                <w:color w:val="000000"/>
                <w:sz w:val="14"/>
                <w:szCs w:val="14"/>
              </w:rPr>
              <w:t>0</w:t>
            </w:r>
          </w:p>
        </w:tc>
        <w:tc>
          <w:tcPr>
            <w:tcW w:w="721" w:type="dxa"/>
            <w:noWrap/>
            <w:vAlign w:val="center"/>
            <w:hideMark/>
          </w:tcPr>
          <w:p w14:paraId="0D19AE57" w14:textId="77777777" w:rsidR="004F64EF" w:rsidRPr="003003C0" w:rsidRDefault="004F64EF" w:rsidP="00FD6B66">
            <w:pPr>
              <w:jc w:val="right"/>
              <w:rPr>
                <w:rFonts w:cs="Calibri"/>
                <w:color w:val="000000"/>
                <w:sz w:val="14"/>
                <w:szCs w:val="14"/>
              </w:rPr>
            </w:pPr>
            <w:r w:rsidRPr="003003C0">
              <w:rPr>
                <w:rFonts w:cs="Calibri"/>
                <w:color w:val="000000"/>
                <w:sz w:val="14"/>
                <w:szCs w:val="14"/>
              </w:rPr>
              <w:t>9</w:t>
            </w:r>
            <w:r>
              <w:rPr>
                <w:rFonts w:cs="Calibri"/>
                <w:color w:val="000000"/>
                <w:sz w:val="14"/>
                <w:szCs w:val="14"/>
              </w:rPr>
              <w:t>.</w:t>
            </w:r>
            <w:r w:rsidRPr="003003C0">
              <w:rPr>
                <w:rFonts w:cs="Calibri"/>
                <w:color w:val="000000"/>
                <w:sz w:val="14"/>
                <w:szCs w:val="14"/>
              </w:rPr>
              <w:t>2</w:t>
            </w:r>
          </w:p>
        </w:tc>
        <w:tc>
          <w:tcPr>
            <w:tcW w:w="722" w:type="dxa"/>
            <w:noWrap/>
            <w:vAlign w:val="center"/>
            <w:hideMark/>
          </w:tcPr>
          <w:p w14:paraId="2D41FC60" w14:textId="77777777" w:rsidR="004F64EF" w:rsidRPr="003003C0" w:rsidRDefault="004F64EF" w:rsidP="00FD6B66">
            <w:pPr>
              <w:jc w:val="right"/>
              <w:rPr>
                <w:rFonts w:cs="Calibri"/>
                <w:color w:val="000000"/>
                <w:sz w:val="14"/>
                <w:szCs w:val="14"/>
              </w:rPr>
            </w:pPr>
            <w:r w:rsidRPr="003003C0">
              <w:rPr>
                <w:rFonts w:cs="Calibri"/>
                <w:color w:val="000000"/>
                <w:sz w:val="14"/>
                <w:szCs w:val="14"/>
              </w:rPr>
              <w:t>9</w:t>
            </w:r>
            <w:r>
              <w:rPr>
                <w:rFonts w:cs="Calibri"/>
                <w:color w:val="000000"/>
                <w:sz w:val="14"/>
                <w:szCs w:val="14"/>
              </w:rPr>
              <w:t>.</w:t>
            </w:r>
            <w:r w:rsidRPr="003003C0">
              <w:rPr>
                <w:rFonts w:cs="Calibri"/>
                <w:color w:val="000000"/>
                <w:sz w:val="14"/>
                <w:szCs w:val="14"/>
              </w:rPr>
              <w:t>4</w:t>
            </w:r>
          </w:p>
        </w:tc>
        <w:tc>
          <w:tcPr>
            <w:tcW w:w="722" w:type="dxa"/>
            <w:noWrap/>
            <w:vAlign w:val="center"/>
            <w:hideMark/>
          </w:tcPr>
          <w:p w14:paraId="577BAE43" w14:textId="77777777" w:rsidR="004F64EF" w:rsidRPr="003003C0" w:rsidRDefault="004F64EF" w:rsidP="00FD6B66">
            <w:pPr>
              <w:jc w:val="right"/>
              <w:rPr>
                <w:rFonts w:cs="Calibri"/>
                <w:color w:val="000000"/>
                <w:sz w:val="14"/>
                <w:szCs w:val="14"/>
              </w:rPr>
            </w:pPr>
            <w:r w:rsidRPr="003003C0">
              <w:rPr>
                <w:rFonts w:cs="Calibri"/>
                <w:color w:val="000000"/>
                <w:sz w:val="14"/>
                <w:szCs w:val="14"/>
              </w:rPr>
              <w:t>11</w:t>
            </w:r>
            <w:r>
              <w:rPr>
                <w:rFonts w:cs="Calibri"/>
                <w:color w:val="000000"/>
                <w:sz w:val="14"/>
                <w:szCs w:val="14"/>
              </w:rPr>
              <w:t>.</w:t>
            </w:r>
            <w:r w:rsidRPr="003003C0">
              <w:rPr>
                <w:rFonts w:cs="Calibri"/>
                <w:color w:val="000000"/>
                <w:sz w:val="14"/>
                <w:szCs w:val="14"/>
              </w:rPr>
              <w:t>7</w:t>
            </w:r>
          </w:p>
        </w:tc>
        <w:tc>
          <w:tcPr>
            <w:tcW w:w="722" w:type="dxa"/>
            <w:noWrap/>
            <w:vAlign w:val="center"/>
            <w:hideMark/>
          </w:tcPr>
          <w:p w14:paraId="3ED933CE" w14:textId="77777777" w:rsidR="004F64EF" w:rsidRPr="003003C0" w:rsidRDefault="004F64EF" w:rsidP="00FD6B66">
            <w:pPr>
              <w:jc w:val="right"/>
              <w:rPr>
                <w:rFonts w:cs="Calibri"/>
                <w:color w:val="000000"/>
                <w:sz w:val="14"/>
                <w:szCs w:val="14"/>
              </w:rPr>
            </w:pPr>
            <w:r w:rsidRPr="003003C0">
              <w:rPr>
                <w:rFonts w:cs="Calibri"/>
                <w:color w:val="000000"/>
                <w:sz w:val="14"/>
                <w:szCs w:val="14"/>
              </w:rPr>
              <w:t>11</w:t>
            </w:r>
            <w:r>
              <w:rPr>
                <w:rFonts w:cs="Calibri"/>
                <w:color w:val="000000"/>
                <w:sz w:val="14"/>
                <w:szCs w:val="14"/>
              </w:rPr>
              <w:t>.</w:t>
            </w:r>
            <w:r w:rsidRPr="003003C0">
              <w:rPr>
                <w:rFonts w:cs="Calibri"/>
                <w:color w:val="000000"/>
                <w:sz w:val="14"/>
                <w:szCs w:val="14"/>
              </w:rPr>
              <w:t>8</w:t>
            </w:r>
          </w:p>
        </w:tc>
      </w:tr>
      <w:tr w:rsidR="004F64EF" w:rsidRPr="003003C0" w14:paraId="037199CF" w14:textId="77777777" w:rsidTr="00FD6B66">
        <w:trPr>
          <w:trHeight w:val="20"/>
        </w:trPr>
        <w:tc>
          <w:tcPr>
            <w:tcW w:w="3964" w:type="dxa"/>
            <w:noWrap/>
            <w:vAlign w:val="center"/>
            <w:hideMark/>
          </w:tcPr>
          <w:p w14:paraId="37018799" w14:textId="77777777" w:rsidR="004F64EF" w:rsidRPr="003003C0" w:rsidRDefault="004F64EF" w:rsidP="00FD6B66">
            <w:pPr>
              <w:tabs>
                <w:tab w:val="left" w:pos="227"/>
              </w:tabs>
              <w:jc w:val="left"/>
              <w:rPr>
                <w:rFonts w:cs="Calibri"/>
                <w:color w:val="000000"/>
                <w:sz w:val="14"/>
                <w:szCs w:val="14"/>
              </w:rPr>
            </w:pPr>
            <w:r w:rsidRPr="003003C0">
              <w:rPr>
                <w:rFonts w:cs="Calibri"/>
                <w:color w:val="000000"/>
                <w:sz w:val="14"/>
                <w:szCs w:val="14"/>
              </w:rPr>
              <w:tab/>
              <w:t xml:space="preserve">30. </w:t>
            </w:r>
            <w:r w:rsidRPr="00BD582B">
              <w:rPr>
                <w:rFonts w:cs="Calibri"/>
                <w:color w:val="000000"/>
                <w:sz w:val="14"/>
                <w:szCs w:val="14"/>
              </w:rPr>
              <w:t>Pharmaceutical products</w:t>
            </w:r>
          </w:p>
        </w:tc>
        <w:tc>
          <w:tcPr>
            <w:tcW w:w="721" w:type="dxa"/>
            <w:noWrap/>
            <w:vAlign w:val="center"/>
            <w:hideMark/>
          </w:tcPr>
          <w:p w14:paraId="50BBD3D8" w14:textId="77777777" w:rsidR="004F64EF" w:rsidRPr="003003C0" w:rsidRDefault="004F64EF" w:rsidP="00FD6B66">
            <w:pPr>
              <w:jc w:val="right"/>
              <w:rPr>
                <w:rFonts w:cs="Calibri"/>
                <w:color w:val="000000"/>
                <w:sz w:val="14"/>
                <w:szCs w:val="14"/>
              </w:rPr>
            </w:pPr>
            <w:r w:rsidRPr="003003C0">
              <w:rPr>
                <w:rFonts w:cs="Calibri"/>
                <w:color w:val="000000"/>
                <w:sz w:val="14"/>
                <w:szCs w:val="14"/>
              </w:rPr>
              <w:t>4</w:t>
            </w:r>
            <w:r>
              <w:rPr>
                <w:rFonts w:cs="Calibri"/>
                <w:color w:val="000000"/>
                <w:sz w:val="14"/>
                <w:szCs w:val="14"/>
              </w:rPr>
              <w:t>.</w:t>
            </w:r>
            <w:r w:rsidRPr="003003C0">
              <w:rPr>
                <w:rFonts w:cs="Calibri"/>
                <w:color w:val="000000"/>
                <w:sz w:val="14"/>
                <w:szCs w:val="14"/>
              </w:rPr>
              <w:t>0</w:t>
            </w:r>
          </w:p>
        </w:tc>
        <w:tc>
          <w:tcPr>
            <w:tcW w:w="722" w:type="dxa"/>
            <w:noWrap/>
            <w:vAlign w:val="center"/>
            <w:hideMark/>
          </w:tcPr>
          <w:p w14:paraId="50BAE873" w14:textId="77777777" w:rsidR="004F64EF" w:rsidRPr="003003C0" w:rsidRDefault="004F64EF" w:rsidP="00FD6B66">
            <w:pPr>
              <w:jc w:val="right"/>
              <w:rPr>
                <w:rFonts w:cs="Calibri"/>
                <w:color w:val="000000"/>
                <w:sz w:val="14"/>
                <w:szCs w:val="14"/>
              </w:rPr>
            </w:pPr>
            <w:r w:rsidRPr="003003C0">
              <w:rPr>
                <w:rFonts w:cs="Calibri"/>
                <w:color w:val="000000"/>
                <w:sz w:val="14"/>
                <w:szCs w:val="14"/>
              </w:rPr>
              <w:t>4</w:t>
            </w:r>
            <w:r>
              <w:rPr>
                <w:rFonts w:cs="Calibri"/>
                <w:color w:val="000000"/>
                <w:sz w:val="14"/>
                <w:szCs w:val="14"/>
              </w:rPr>
              <w:t>.</w:t>
            </w:r>
            <w:r w:rsidRPr="003003C0">
              <w:rPr>
                <w:rFonts w:cs="Calibri"/>
                <w:color w:val="000000"/>
                <w:sz w:val="14"/>
                <w:szCs w:val="14"/>
              </w:rPr>
              <w:t>2</w:t>
            </w:r>
          </w:p>
        </w:tc>
        <w:tc>
          <w:tcPr>
            <w:tcW w:w="722" w:type="dxa"/>
            <w:noWrap/>
            <w:vAlign w:val="center"/>
            <w:hideMark/>
          </w:tcPr>
          <w:p w14:paraId="2D745B98" w14:textId="77777777" w:rsidR="004F64EF" w:rsidRPr="003003C0" w:rsidRDefault="004F64EF" w:rsidP="00FD6B66">
            <w:pPr>
              <w:jc w:val="right"/>
              <w:rPr>
                <w:rFonts w:cs="Calibri"/>
                <w:color w:val="000000"/>
                <w:sz w:val="14"/>
                <w:szCs w:val="14"/>
              </w:rPr>
            </w:pPr>
            <w:r w:rsidRPr="003003C0">
              <w:rPr>
                <w:rFonts w:cs="Calibri"/>
                <w:color w:val="000000"/>
                <w:sz w:val="14"/>
                <w:szCs w:val="14"/>
              </w:rPr>
              <w:t>4</w:t>
            </w:r>
            <w:r>
              <w:rPr>
                <w:rFonts w:cs="Calibri"/>
                <w:color w:val="000000"/>
                <w:sz w:val="14"/>
                <w:szCs w:val="14"/>
              </w:rPr>
              <w:t>.</w:t>
            </w:r>
            <w:r w:rsidRPr="003003C0">
              <w:rPr>
                <w:rFonts w:cs="Calibri"/>
                <w:color w:val="000000"/>
                <w:sz w:val="14"/>
                <w:szCs w:val="14"/>
              </w:rPr>
              <w:t>1</w:t>
            </w:r>
          </w:p>
        </w:tc>
        <w:tc>
          <w:tcPr>
            <w:tcW w:w="721" w:type="dxa"/>
            <w:noWrap/>
            <w:vAlign w:val="center"/>
            <w:hideMark/>
          </w:tcPr>
          <w:p w14:paraId="63EAAB8F" w14:textId="77777777" w:rsidR="004F64EF" w:rsidRPr="003003C0" w:rsidRDefault="004F64EF" w:rsidP="00FD6B66">
            <w:pPr>
              <w:jc w:val="right"/>
              <w:rPr>
                <w:rFonts w:cs="Calibri"/>
                <w:color w:val="000000"/>
                <w:sz w:val="14"/>
                <w:szCs w:val="14"/>
              </w:rPr>
            </w:pPr>
            <w:r w:rsidRPr="003003C0">
              <w:rPr>
                <w:rFonts w:cs="Calibri"/>
                <w:color w:val="000000"/>
                <w:sz w:val="14"/>
                <w:szCs w:val="14"/>
              </w:rPr>
              <w:t>3</w:t>
            </w:r>
            <w:r>
              <w:rPr>
                <w:rFonts w:cs="Calibri"/>
                <w:color w:val="000000"/>
                <w:sz w:val="14"/>
                <w:szCs w:val="14"/>
              </w:rPr>
              <w:t>.</w:t>
            </w:r>
            <w:r w:rsidRPr="003003C0">
              <w:rPr>
                <w:rFonts w:cs="Calibri"/>
                <w:color w:val="000000"/>
                <w:sz w:val="14"/>
                <w:szCs w:val="14"/>
              </w:rPr>
              <w:t>5</w:t>
            </w:r>
          </w:p>
        </w:tc>
        <w:tc>
          <w:tcPr>
            <w:tcW w:w="722" w:type="dxa"/>
            <w:noWrap/>
            <w:vAlign w:val="center"/>
            <w:hideMark/>
          </w:tcPr>
          <w:p w14:paraId="3CC488E2" w14:textId="77777777" w:rsidR="004F64EF" w:rsidRPr="003003C0" w:rsidRDefault="004F64EF" w:rsidP="00FD6B66">
            <w:pPr>
              <w:jc w:val="right"/>
              <w:rPr>
                <w:rFonts w:cs="Calibri"/>
                <w:color w:val="000000"/>
                <w:sz w:val="14"/>
                <w:szCs w:val="14"/>
              </w:rPr>
            </w:pPr>
            <w:r w:rsidRPr="003003C0">
              <w:rPr>
                <w:rFonts w:cs="Calibri"/>
                <w:color w:val="000000"/>
                <w:sz w:val="14"/>
                <w:szCs w:val="14"/>
              </w:rPr>
              <w:t>3</w:t>
            </w:r>
            <w:r>
              <w:rPr>
                <w:rFonts w:cs="Calibri"/>
                <w:color w:val="000000"/>
                <w:sz w:val="14"/>
                <w:szCs w:val="14"/>
              </w:rPr>
              <w:t>.</w:t>
            </w:r>
            <w:r w:rsidRPr="003003C0">
              <w:rPr>
                <w:rFonts w:cs="Calibri"/>
                <w:color w:val="000000"/>
                <w:sz w:val="14"/>
                <w:szCs w:val="14"/>
              </w:rPr>
              <w:t>9</w:t>
            </w:r>
          </w:p>
        </w:tc>
        <w:tc>
          <w:tcPr>
            <w:tcW w:w="722" w:type="dxa"/>
            <w:noWrap/>
            <w:vAlign w:val="center"/>
            <w:hideMark/>
          </w:tcPr>
          <w:p w14:paraId="5AC40A36" w14:textId="77777777" w:rsidR="004F64EF" w:rsidRPr="003003C0" w:rsidRDefault="004F64EF" w:rsidP="00FD6B66">
            <w:pPr>
              <w:jc w:val="right"/>
              <w:rPr>
                <w:rFonts w:cs="Calibri"/>
                <w:color w:val="000000"/>
                <w:sz w:val="14"/>
                <w:szCs w:val="14"/>
              </w:rPr>
            </w:pPr>
            <w:r w:rsidRPr="003003C0">
              <w:rPr>
                <w:rFonts w:cs="Calibri"/>
                <w:color w:val="000000"/>
                <w:sz w:val="14"/>
                <w:szCs w:val="14"/>
              </w:rPr>
              <w:t>4</w:t>
            </w:r>
            <w:r>
              <w:rPr>
                <w:rFonts w:cs="Calibri"/>
                <w:color w:val="000000"/>
                <w:sz w:val="14"/>
                <w:szCs w:val="14"/>
              </w:rPr>
              <w:t>.</w:t>
            </w:r>
            <w:r w:rsidRPr="003003C0">
              <w:rPr>
                <w:rFonts w:cs="Calibri"/>
                <w:color w:val="000000"/>
                <w:sz w:val="14"/>
                <w:szCs w:val="14"/>
              </w:rPr>
              <w:t>8</w:t>
            </w:r>
          </w:p>
        </w:tc>
        <w:tc>
          <w:tcPr>
            <w:tcW w:w="722" w:type="dxa"/>
            <w:noWrap/>
            <w:vAlign w:val="center"/>
            <w:hideMark/>
          </w:tcPr>
          <w:p w14:paraId="2DC897BB" w14:textId="77777777" w:rsidR="004F64EF" w:rsidRPr="003003C0" w:rsidRDefault="004F64EF" w:rsidP="00FD6B66">
            <w:pPr>
              <w:jc w:val="right"/>
              <w:rPr>
                <w:rFonts w:cs="Calibri"/>
                <w:color w:val="000000"/>
                <w:sz w:val="14"/>
                <w:szCs w:val="14"/>
              </w:rPr>
            </w:pPr>
            <w:r w:rsidRPr="003003C0">
              <w:rPr>
                <w:rFonts w:cs="Calibri"/>
                <w:color w:val="000000"/>
                <w:sz w:val="14"/>
                <w:szCs w:val="14"/>
              </w:rPr>
              <w:t>6</w:t>
            </w:r>
            <w:r>
              <w:rPr>
                <w:rFonts w:cs="Calibri"/>
                <w:color w:val="000000"/>
                <w:sz w:val="14"/>
                <w:szCs w:val="14"/>
              </w:rPr>
              <w:t>.</w:t>
            </w:r>
            <w:r w:rsidRPr="003003C0">
              <w:rPr>
                <w:rFonts w:cs="Calibri"/>
                <w:color w:val="000000"/>
                <w:sz w:val="14"/>
                <w:szCs w:val="14"/>
              </w:rPr>
              <w:t>1</w:t>
            </w:r>
          </w:p>
        </w:tc>
      </w:tr>
      <w:tr w:rsidR="004F64EF" w:rsidRPr="003003C0" w14:paraId="72C6A62C" w14:textId="77777777" w:rsidTr="00FD6B66">
        <w:trPr>
          <w:cnfStyle w:val="000000010000" w:firstRow="0" w:lastRow="0" w:firstColumn="0" w:lastColumn="0" w:oddVBand="0" w:evenVBand="0" w:oddHBand="0" w:evenHBand="1" w:firstRowFirstColumn="0" w:firstRowLastColumn="0" w:lastRowFirstColumn="0" w:lastRowLastColumn="0"/>
          <w:trHeight w:val="20"/>
        </w:trPr>
        <w:tc>
          <w:tcPr>
            <w:tcW w:w="3964" w:type="dxa"/>
            <w:noWrap/>
            <w:vAlign w:val="center"/>
            <w:hideMark/>
          </w:tcPr>
          <w:p w14:paraId="38264881" w14:textId="77777777" w:rsidR="004F64EF" w:rsidRPr="003003C0" w:rsidRDefault="004F64EF" w:rsidP="00FD6B66">
            <w:pPr>
              <w:tabs>
                <w:tab w:val="left" w:pos="227"/>
              </w:tabs>
              <w:jc w:val="left"/>
              <w:rPr>
                <w:rFonts w:cs="Calibri"/>
                <w:color w:val="000000"/>
                <w:sz w:val="14"/>
                <w:szCs w:val="14"/>
              </w:rPr>
            </w:pPr>
            <w:r w:rsidRPr="003003C0">
              <w:rPr>
                <w:rFonts w:cs="Calibri"/>
                <w:color w:val="000000"/>
                <w:sz w:val="14"/>
                <w:szCs w:val="14"/>
              </w:rPr>
              <w:tab/>
              <w:t xml:space="preserve">38. </w:t>
            </w:r>
            <w:r w:rsidRPr="00BD582B">
              <w:rPr>
                <w:rFonts w:cs="Calibri"/>
                <w:color w:val="000000"/>
                <w:sz w:val="14"/>
                <w:szCs w:val="14"/>
              </w:rPr>
              <w:t>Miscellaneous chemical products</w:t>
            </w:r>
          </w:p>
        </w:tc>
        <w:tc>
          <w:tcPr>
            <w:tcW w:w="721" w:type="dxa"/>
            <w:noWrap/>
            <w:vAlign w:val="center"/>
            <w:hideMark/>
          </w:tcPr>
          <w:p w14:paraId="2FB86072" w14:textId="77777777" w:rsidR="004F64EF" w:rsidRPr="003003C0" w:rsidRDefault="004F64EF" w:rsidP="00FD6B66">
            <w:pPr>
              <w:jc w:val="right"/>
              <w:rPr>
                <w:rFonts w:cs="Calibri"/>
                <w:color w:val="000000"/>
                <w:sz w:val="14"/>
                <w:szCs w:val="14"/>
              </w:rPr>
            </w:pPr>
            <w:r w:rsidRPr="003003C0">
              <w:rPr>
                <w:rFonts w:cs="Calibri"/>
                <w:color w:val="000000"/>
                <w:sz w:val="14"/>
                <w:szCs w:val="14"/>
              </w:rPr>
              <w:t>1</w:t>
            </w:r>
            <w:r>
              <w:rPr>
                <w:rFonts w:cs="Calibri"/>
                <w:color w:val="000000"/>
                <w:sz w:val="14"/>
                <w:szCs w:val="14"/>
              </w:rPr>
              <w:t>.</w:t>
            </w:r>
            <w:r w:rsidRPr="003003C0">
              <w:rPr>
                <w:rFonts w:cs="Calibri"/>
                <w:color w:val="000000"/>
                <w:sz w:val="14"/>
                <w:szCs w:val="14"/>
              </w:rPr>
              <w:t>1</w:t>
            </w:r>
          </w:p>
        </w:tc>
        <w:tc>
          <w:tcPr>
            <w:tcW w:w="722" w:type="dxa"/>
            <w:noWrap/>
            <w:vAlign w:val="center"/>
            <w:hideMark/>
          </w:tcPr>
          <w:p w14:paraId="4F58B840" w14:textId="77777777" w:rsidR="004F64EF" w:rsidRPr="003003C0" w:rsidRDefault="004F64EF" w:rsidP="00FD6B66">
            <w:pPr>
              <w:jc w:val="right"/>
              <w:rPr>
                <w:rFonts w:cs="Calibri"/>
                <w:color w:val="000000"/>
                <w:sz w:val="14"/>
                <w:szCs w:val="14"/>
              </w:rPr>
            </w:pPr>
            <w:r w:rsidRPr="003003C0">
              <w:rPr>
                <w:rFonts w:cs="Calibri"/>
                <w:color w:val="000000"/>
                <w:sz w:val="14"/>
                <w:szCs w:val="14"/>
              </w:rPr>
              <w:t>1</w:t>
            </w:r>
            <w:r>
              <w:rPr>
                <w:rFonts w:cs="Calibri"/>
                <w:color w:val="000000"/>
                <w:sz w:val="14"/>
                <w:szCs w:val="14"/>
              </w:rPr>
              <w:t>.</w:t>
            </w:r>
            <w:r w:rsidRPr="003003C0">
              <w:rPr>
                <w:rFonts w:cs="Calibri"/>
                <w:color w:val="000000"/>
                <w:sz w:val="14"/>
                <w:szCs w:val="14"/>
              </w:rPr>
              <w:t>1</w:t>
            </w:r>
          </w:p>
        </w:tc>
        <w:tc>
          <w:tcPr>
            <w:tcW w:w="722" w:type="dxa"/>
            <w:noWrap/>
            <w:vAlign w:val="center"/>
            <w:hideMark/>
          </w:tcPr>
          <w:p w14:paraId="19A149FE" w14:textId="77777777" w:rsidR="004F64EF" w:rsidRPr="003003C0" w:rsidRDefault="004F64EF" w:rsidP="00FD6B66">
            <w:pPr>
              <w:jc w:val="right"/>
              <w:rPr>
                <w:rFonts w:cs="Calibri"/>
                <w:color w:val="000000"/>
                <w:sz w:val="14"/>
                <w:szCs w:val="14"/>
              </w:rPr>
            </w:pPr>
            <w:r w:rsidRPr="003003C0">
              <w:rPr>
                <w:rFonts w:cs="Calibri"/>
                <w:color w:val="000000"/>
                <w:sz w:val="14"/>
                <w:szCs w:val="14"/>
              </w:rPr>
              <w:t>1</w:t>
            </w:r>
            <w:r>
              <w:rPr>
                <w:rFonts w:cs="Calibri"/>
                <w:color w:val="000000"/>
                <w:sz w:val="14"/>
                <w:szCs w:val="14"/>
              </w:rPr>
              <w:t>.</w:t>
            </w:r>
            <w:r w:rsidRPr="003003C0">
              <w:rPr>
                <w:rFonts w:cs="Calibri"/>
                <w:color w:val="000000"/>
                <w:sz w:val="14"/>
                <w:szCs w:val="14"/>
              </w:rPr>
              <w:t>2</w:t>
            </w:r>
          </w:p>
        </w:tc>
        <w:tc>
          <w:tcPr>
            <w:tcW w:w="721" w:type="dxa"/>
            <w:noWrap/>
            <w:vAlign w:val="center"/>
            <w:hideMark/>
          </w:tcPr>
          <w:p w14:paraId="5BA04779" w14:textId="77777777" w:rsidR="004F64EF" w:rsidRPr="003003C0" w:rsidRDefault="004F64EF" w:rsidP="00FD6B66">
            <w:pPr>
              <w:jc w:val="right"/>
              <w:rPr>
                <w:rFonts w:cs="Calibri"/>
                <w:color w:val="000000"/>
                <w:sz w:val="14"/>
                <w:szCs w:val="14"/>
              </w:rPr>
            </w:pPr>
            <w:r w:rsidRPr="003003C0">
              <w:rPr>
                <w:rFonts w:cs="Calibri"/>
                <w:color w:val="000000"/>
                <w:sz w:val="14"/>
                <w:szCs w:val="14"/>
              </w:rPr>
              <w:t>1</w:t>
            </w:r>
            <w:r>
              <w:rPr>
                <w:rFonts w:cs="Calibri"/>
                <w:color w:val="000000"/>
                <w:sz w:val="14"/>
                <w:szCs w:val="14"/>
              </w:rPr>
              <w:t>.</w:t>
            </w:r>
            <w:r w:rsidRPr="003003C0">
              <w:rPr>
                <w:rFonts w:cs="Calibri"/>
                <w:color w:val="000000"/>
                <w:sz w:val="14"/>
                <w:szCs w:val="14"/>
              </w:rPr>
              <w:t>1</w:t>
            </w:r>
          </w:p>
        </w:tc>
        <w:tc>
          <w:tcPr>
            <w:tcW w:w="722" w:type="dxa"/>
            <w:noWrap/>
            <w:vAlign w:val="center"/>
            <w:hideMark/>
          </w:tcPr>
          <w:p w14:paraId="2EE2E19F" w14:textId="77777777" w:rsidR="004F64EF" w:rsidRPr="003003C0" w:rsidRDefault="004F64EF" w:rsidP="00FD6B66">
            <w:pPr>
              <w:jc w:val="right"/>
              <w:rPr>
                <w:rFonts w:cs="Calibri"/>
                <w:color w:val="000000"/>
                <w:sz w:val="14"/>
                <w:szCs w:val="14"/>
              </w:rPr>
            </w:pPr>
            <w:r w:rsidRPr="003003C0">
              <w:rPr>
                <w:rFonts w:cs="Calibri"/>
                <w:color w:val="000000"/>
                <w:sz w:val="14"/>
                <w:szCs w:val="14"/>
              </w:rPr>
              <w:t>1</w:t>
            </w:r>
            <w:r>
              <w:rPr>
                <w:rFonts w:cs="Calibri"/>
                <w:color w:val="000000"/>
                <w:sz w:val="14"/>
                <w:szCs w:val="14"/>
              </w:rPr>
              <w:t>.</w:t>
            </w:r>
            <w:r w:rsidRPr="003003C0">
              <w:rPr>
                <w:rFonts w:cs="Calibri"/>
                <w:color w:val="000000"/>
                <w:sz w:val="14"/>
                <w:szCs w:val="14"/>
              </w:rPr>
              <w:t>1</w:t>
            </w:r>
          </w:p>
        </w:tc>
        <w:tc>
          <w:tcPr>
            <w:tcW w:w="722" w:type="dxa"/>
            <w:noWrap/>
            <w:vAlign w:val="center"/>
            <w:hideMark/>
          </w:tcPr>
          <w:p w14:paraId="50F6637B" w14:textId="77777777" w:rsidR="004F64EF" w:rsidRPr="003003C0" w:rsidRDefault="004F64EF" w:rsidP="00FD6B66">
            <w:pPr>
              <w:jc w:val="right"/>
              <w:rPr>
                <w:rFonts w:cs="Calibri"/>
                <w:color w:val="000000"/>
                <w:sz w:val="14"/>
                <w:szCs w:val="14"/>
              </w:rPr>
            </w:pPr>
            <w:r w:rsidRPr="003003C0">
              <w:rPr>
                <w:rFonts w:cs="Calibri"/>
                <w:color w:val="000000"/>
                <w:sz w:val="14"/>
                <w:szCs w:val="14"/>
              </w:rPr>
              <w:t>1</w:t>
            </w:r>
            <w:r>
              <w:rPr>
                <w:rFonts w:cs="Calibri"/>
                <w:color w:val="000000"/>
                <w:sz w:val="14"/>
                <w:szCs w:val="14"/>
              </w:rPr>
              <w:t>.</w:t>
            </w:r>
            <w:r w:rsidRPr="003003C0">
              <w:rPr>
                <w:rFonts w:cs="Calibri"/>
                <w:color w:val="000000"/>
                <w:sz w:val="14"/>
                <w:szCs w:val="14"/>
              </w:rPr>
              <w:t>6</w:t>
            </w:r>
          </w:p>
        </w:tc>
        <w:tc>
          <w:tcPr>
            <w:tcW w:w="722" w:type="dxa"/>
            <w:noWrap/>
            <w:vAlign w:val="center"/>
            <w:hideMark/>
          </w:tcPr>
          <w:p w14:paraId="175353E8" w14:textId="77777777" w:rsidR="004F64EF" w:rsidRPr="003003C0" w:rsidRDefault="004F64EF" w:rsidP="00FD6B66">
            <w:pPr>
              <w:jc w:val="right"/>
              <w:rPr>
                <w:rFonts w:cs="Calibri"/>
                <w:color w:val="000000"/>
                <w:sz w:val="14"/>
                <w:szCs w:val="14"/>
              </w:rPr>
            </w:pPr>
            <w:r w:rsidRPr="003003C0">
              <w:rPr>
                <w:rFonts w:cs="Calibri"/>
                <w:color w:val="000000"/>
                <w:sz w:val="14"/>
                <w:szCs w:val="14"/>
              </w:rPr>
              <w:t>1</w:t>
            </w:r>
            <w:r>
              <w:rPr>
                <w:rFonts w:cs="Calibri"/>
                <w:color w:val="000000"/>
                <w:sz w:val="14"/>
                <w:szCs w:val="14"/>
              </w:rPr>
              <w:t>.</w:t>
            </w:r>
            <w:r w:rsidRPr="003003C0">
              <w:rPr>
                <w:rFonts w:cs="Calibri"/>
                <w:color w:val="000000"/>
                <w:sz w:val="14"/>
                <w:szCs w:val="14"/>
              </w:rPr>
              <w:t>2</w:t>
            </w:r>
          </w:p>
        </w:tc>
      </w:tr>
      <w:tr w:rsidR="004F64EF" w:rsidRPr="003003C0" w14:paraId="6CE680A1" w14:textId="77777777" w:rsidTr="00FD6B66">
        <w:trPr>
          <w:trHeight w:val="20"/>
        </w:trPr>
        <w:tc>
          <w:tcPr>
            <w:tcW w:w="3964" w:type="dxa"/>
            <w:noWrap/>
            <w:vAlign w:val="center"/>
            <w:hideMark/>
          </w:tcPr>
          <w:p w14:paraId="49E1DD58" w14:textId="77777777" w:rsidR="004F64EF" w:rsidRPr="003003C0" w:rsidRDefault="004F64EF" w:rsidP="00A839D1">
            <w:pPr>
              <w:tabs>
                <w:tab w:val="left" w:pos="227"/>
              </w:tabs>
              <w:ind w:left="227" w:hanging="227"/>
              <w:jc w:val="left"/>
              <w:rPr>
                <w:rFonts w:cs="Calibri"/>
                <w:color w:val="000000"/>
                <w:sz w:val="14"/>
                <w:szCs w:val="14"/>
              </w:rPr>
            </w:pPr>
            <w:r w:rsidRPr="003003C0">
              <w:rPr>
                <w:rFonts w:cs="Calibri"/>
                <w:color w:val="000000"/>
                <w:sz w:val="14"/>
                <w:szCs w:val="14"/>
              </w:rPr>
              <w:tab/>
              <w:t xml:space="preserve">33. </w:t>
            </w:r>
            <w:r w:rsidRPr="00BD582B">
              <w:rPr>
                <w:rFonts w:cs="Calibri"/>
                <w:color w:val="000000"/>
                <w:sz w:val="14"/>
                <w:szCs w:val="14"/>
              </w:rPr>
              <w:t>Essential oils; perfumery or cosmetic preparations</w:t>
            </w:r>
          </w:p>
        </w:tc>
        <w:tc>
          <w:tcPr>
            <w:tcW w:w="721" w:type="dxa"/>
            <w:noWrap/>
            <w:vAlign w:val="center"/>
            <w:hideMark/>
          </w:tcPr>
          <w:p w14:paraId="78F56071" w14:textId="77777777" w:rsidR="004F64EF" w:rsidRPr="003003C0" w:rsidRDefault="004F64EF" w:rsidP="00FD6B66">
            <w:pPr>
              <w:jc w:val="right"/>
              <w:rPr>
                <w:rFonts w:cs="Calibri"/>
                <w:color w:val="000000"/>
                <w:sz w:val="14"/>
                <w:szCs w:val="14"/>
              </w:rPr>
            </w:pPr>
            <w:r w:rsidRPr="003003C0">
              <w:rPr>
                <w:rFonts w:cs="Calibri"/>
                <w:color w:val="000000"/>
                <w:sz w:val="14"/>
                <w:szCs w:val="14"/>
              </w:rPr>
              <w:t>1</w:t>
            </w:r>
            <w:r>
              <w:rPr>
                <w:rFonts w:cs="Calibri"/>
                <w:color w:val="000000"/>
                <w:sz w:val="14"/>
                <w:szCs w:val="14"/>
              </w:rPr>
              <w:t>.</w:t>
            </w:r>
            <w:r w:rsidRPr="003003C0">
              <w:rPr>
                <w:rFonts w:cs="Calibri"/>
                <w:color w:val="000000"/>
                <w:sz w:val="14"/>
                <w:szCs w:val="14"/>
              </w:rPr>
              <w:t>2</w:t>
            </w:r>
          </w:p>
        </w:tc>
        <w:tc>
          <w:tcPr>
            <w:tcW w:w="722" w:type="dxa"/>
            <w:noWrap/>
            <w:vAlign w:val="center"/>
            <w:hideMark/>
          </w:tcPr>
          <w:p w14:paraId="7881C955" w14:textId="77777777" w:rsidR="004F64EF" w:rsidRPr="003003C0" w:rsidRDefault="004F64EF" w:rsidP="00FD6B66">
            <w:pPr>
              <w:jc w:val="right"/>
              <w:rPr>
                <w:rFonts w:cs="Calibri"/>
                <w:color w:val="000000"/>
                <w:sz w:val="14"/>
                <w:szCs w:val="14"/>
              </w:rPr>
            </w:pPr>
            <w:r w:rsidRPr="003003C0">
              <w:rPr>
                <w:rFonts w:cs="Calibri"/>
                <w:color w:val="000000"/>
                <w:sz w:val="14"/>
                <w:szCs w:val="14"/>
              </w:rPr>
              <w:t>1</w:t>
            </w:r>
            <w:r>
              <w:rPr>
                <w:rFonts w:cs="Calibri"/>
                <w:color w:val="000000"/>
                <w:sz w:val="14"/>
                <w:szCs w:val="14"/>
              </w:rPr>
              <w:t>.</w:t>
            </w:r>
            <w:r w:rsidRPr="003003C0">
              <w:rPr>
                <w:rFonts w:cs="Calibri"/>
                <w:color w:val="000000"/>
                <w:sz w:val="14"/>
                <w:szCs w:val="14"/>
              </w:rPr>
              <w:t>2</w:t>
            </w:r>
          </w:p>
        </w:tc>
        <w:tc>
          <w:tcPr>
            <w:tcW w:w="722" w:type="dxa"/>
            <w:noWrap/>
            <w:vAlign w:val="center"/>
            <w:hideMark/>
          </w:tcPr>
          <w:p w14:paraId="2615AC81" w14:textId="77777777" w:rsidR="004F64EF" w:rsidRPr="003003C0" w:rsidRDefault="004F64EF" w:rsidP="00FD6B66">
            <w:pPr>
              <w:jc w:val="right"/>
              <w:rPr>
                <w:rFonts w:cs="Calibri"/>
                <w:color w:val="000000"/>
                <w:sz w:val="14"/>
                <w:szCs w:val="14"/>
              </w:rPr>
            </w:pPr>
            <w:r w:rsidRPr="003003C0">
              <w:rPr>
                <w:rFonts w:cs="Calibri"/>
                <w:color w:val="000000"/>
                <w:sz w:val="14"/>
                <w:szCs w:val="14"/>
              </w:rPr>
              <w:t>1</w:t>
            </w:r>
            <w:r>
              <w:rPr>
                <w:rFonts w:cs="Calibri"/>
                <w:color w:val="000000"/>
                <w:sz w:val="14"/>
                <w:szCs w:val="14"/>
              </w:rPr>
              <w:t>.</w:t>
            </w:r>
            <w:r w:rsidRPr="003003C0">
              <w:rPr>
                <w:rFonts w:cs="Calibri"/>
                <w:color w:val="000000"/>
                <w:sz w:val="14"/>
                <w:szCs w:val="14"/>
              </w:rPr>
              <w:t>2</w:t>
            </w:r>
          </w:p>
        </w:tc>
        <w:tc>
          <w:tcPr>
            <w:tcW w:w="721" w:type="dxa"/>
            <w:noWrap/>
            <w:vAlign w:val="center"/>
            <w:hideMark/>
          </w:tcPr>
          <w:p w14:paraId="288796A0" w14:textId="77777777" w:rsidR="004F64EF" w:rsidRPr="003003C0" w:rsidRDefault="004F64EF" w:rsidP="00FD6B66">
            <w:pPr>
              <w:jc w:val="right"/>
              <w:rPr>
                <w:rFonts w:cs="Calibri"/>
                <w:color w:val="000000"/>
                <w:sz w:val="14"/>
                <w:szCs w:val="14"/>
              </w:rPr>
            </w:pPr>
            <w:r w:rsidRPr="003003C0">
              <w:rPr>
                <w:rFonts w:cs="Calibri"/>
                <w:color w:val="000000"/>
                <w:sz w:val="14"/>
                <w:szCs w:val="14"/>
              </w:rPr>
              <w:t>1</w:t>
            </w:r>
            <w:r>
              <w:rPr>
                <w:rFonts w:cs="Calibri"/>
                <w:color w:val="000000"/>
                <w:sz w:val="14"/>
                <w:szCs w:val="14"/>
              </w:rPr>
              <w:t>.</w:t>
            </w:r>
            <w:r w:rsidRPr="003003C0">
              <w:rPr>
                <w:rFonts w:cs="Calibri"/>
                <w:color w:val="000000"/>
                <w:sz w:val="14"/>
                <w:szCs w:val="14"/>
              </w:rPr>
              <w:t>0</w:t>
            </w:r>
          </w:p>
        </w:tc>
        <w:tc>
          <w:tcPr>
            <w:tcW w:w="722" w:type="dxa"/>
            <w:noWrap/>
            <w:vAlign w:val="center"/>
            <w:hideMark/>
          </w:tcPr>
          <w:p w14:paraId="74AA2FB8" w14:textId="77777777" w:rsidR="004F64EF" w:rsidRPr="003003C0" w:rsidRDefault="004F64EF" w:rsidP="00FD6B66">
            <w:pPr>
              <w:jc w:val="right"/>
              <w:rPr>
                <w:rFonts w:cs="Calibri"/>
                <w:color w:val="000000"/>
                <w:sz w:val="14"/>
                <w:szCs w:val="14"/>
              </w:rPr>
            </w:pPr>
            <w:r w:rsidRPr="003003C0">
              <w:rPr>
                <w:rFonts w:cs="Calibri"/>
                <w:color w:val="000000"/>
                <w:sz w:val="14"/>
                <w:szCs w:val="14"/>
              </w:rPr>
              <w:t>1</w:t>
            </w:r>
            <w:r>
              <w:rPr>
                <w:rFonts w:cs="Calibri"/>
                <w:color w:val="000000"/>
                <w:sz w:val="14"/>
                <w:szCs w:val="14"/>
              </w:rPr>
              <w:t>.</w:t>
            </w:r>
            <w:r w:rsidRPr="003003C0">
              <w:rPr>
                <w:rFonts w:cs="Calibri"/>
                <w:color w:val="000000"/>
                <w:sz w:val="14"/>
                <w:szCs w:val="14"/>
              </w:rPr>
              <w:t>1</w:t>
            </w:r>
          </w:p>
        </w:tc>
        <w:tc>
          <w:tcPr>
            <w:tcW w:w="722" w:type="dxa"/>
            <w:noWrap/>
            <w:vAlign w:val="center"/>
            <w:hideMark/>
          </w:tcPr>
          <w:p w14:paraId="3FF59D81" w14:textId="77777777" w:rsidR="004F64EF" w:rsidRPr="003003C0" w:rsidRDefault="004F64EF" w:rsidP="00FD6B66">
            <w:pPr>
              <w:jc w:val="right"/>
              <w:rPr>
                <w:rFonts w:cs="Calibri"/>
                <w:color w:val="000000"/>
                <w:sz w:val="14"/>
                <w:szCs w:val="14"/>
              </w:rPr>
            </w:pPr>
            <w:r w:rsidRPr="003003C0">
              <w:rPr>
                <w:rFonts w:cs="Calibri"/>
                <w:color w:val="000000"/>
                <w:sz w:val="14"/>
                <w:szCs w:val="14"/>
              </w:rPr>
              <w:t>1</w:t>
            </w:r>
            <w:r>
              <w:rPr>
                <w:rFonts w:cs="Calibri"/>
                <w:color w:val="000000"/>
                <w:sz w:val="14"/>
                <w:szCs w:val="14"/>
              </w:rPr>
              <w:t>.</w:t>
            </w:r>
            <w:r w:rsidRPr="003003C0">
              <w:rPr>
                <w:rFonts w:cs="Calibri"/>
                <w:color w:val="000000"/>
                <w:sz w:val="14"/>
                <w:szCs w:val="14"/>
              </w:rPr>
              <w:t>4</w:t>
            </w:r>
          </w:p>
        </w:tc>
        <w:tc>
          <w:tcPr>
            <w:tcW w:w="722" w:type="dxa"/>
            <w:noWrap/>
            <w:vAlign w:val="center"/>
            <w:hideMark/>
          </w:tcPr>
          <w:p w14:paraId="4CA83AD9" w14:textId="77777777" w:rsidR="004F64EF" w:rsidRPr="003003C0" w:rsidRDefault="004F64EF" w:rsidP="00FD6B66">
            <w:pPr>
              <w:jc w:val="right"/>
              <w:rPr>
                <w:rFonts w:cs="Calibri"/>
                <w:color w:val="000000"/>
                <w:sz w:val="14"/>
                <w:szCs w:val="14"/>
              </w:rPr>
            </w:pPr>
            <w:r w:rsidRPr="003003C0">
              <w:rPr>
                <w:rFonts w:cs="Calibri"/>
                <w:color w:val="000000"/>
                <w:sz w:val="14"/>
                <w:szCs w:val="14"/>
              </w:rPr>
              <w:t>1</w:t>
            </w:r>
            <w:r>
              <w:rPr>
                <w:rFonts w:cs="Calibri"/>
                <w:color w:val="000000"/>
                <w:sz w:val="14"/>
                <w:szCs w:val="14"/>
              </w:rPr>
              <w:t>.</w:t>
            </w:r>
            <w:r w:rsidRPr="003003C0">
              <w:rPr>
                <w:rFonts w:cs="Calibri"/>
                <w:color w:val="000000"/>
                <w:sz w:val="14"/>
                <w:szCs w:val="14"/>
              </w:rPr>
              <w:t>1</w:t>
            </w:r>
          </w:p>
        </w:tc>
      </w:tr>
      <w:tr w:rsidR="004F64EF" w:rsidRPr="003003C0" w14:paraId="72DE46D8" w14:textId="77777777" w:rsidTr="00FD6B66">
        <w:trPr>
          <w:cnfStyle w:val="000000010000" w:firstRow="0" w:lastRow="0" w:firstColumn="0" w:lastColumn="0" w:oddVBand="0" w:evenVBand="0" w:oddHBand="0" w:evenHBand="1" w:firstRowFirstColumn="0" w:firstRowLastColumn="0" w:lastRowFirstColumn="0" w:lastRowLastColumn="0"/>
          <w:trHeight w:val="20"/>
        </w:trPr>
        <w:tc>
          <w:tcPr>
            <w:tcW w:w="3964" w:type="dxa"/>
            <w:noWrap/>
            <w:vAlign w:val="center"/>
            <w:hideMark/>
          </w:tcPr>
          <w:p w14:paraId="61E18C9C" w14:textId="77777777" w:rsidR="004F64EF" w:rsidRPr="003003C0" w:rsidRDefault="004F64EF" w:rsidP="00FD6B66">
            <w:pPr>
              <w:jc w:val="left"/>
              <w:rPr>
                <w:rFonts w:cs="Calibri"/>
                <w:color w:val="000000"/>
                <w:sz w:val="14"/>
                <w:szCs w:val="14"/>
              </w:rPr>
            </w:pPr>
            <w:r w:rsidRPr="003003C0">
              <w:rPr>
                <w:rFonts w:cs="Calibri"/>
                <w:color w:val="000000"/>
                <w:sz w:val="14"/>
                <w:szCs w:val="14"/>
              </w:rPr>
              <w:t xml:space="preserve">7 - </w:t>
            </w:r>
            <w:r w:rsidRPr="00BD582B">
              <w:rPr>
                <w:rFonts w:cs="Calibri"/>
                <w:color w:val="000000"/>
                <w:sz w:val="14"/>
                <w:szCs w:val="14"/>
              </w:rPr>
              <w:t>Plastics and articles thereof</w:t>
            </w:r>
          </w:p>
        </w:tc>
        <w:tc>
          <w:tcPr>
            <w:tcW w:w="721" w:type="dxa"/>
            <w:noWrap/>
            <w:vAlign w:val="center"/>
            <w:hideMark/>
          </w:tcPr>
          <w:p w14:paraId="24DC1AB5" w14:textId="77777777" w:rsidR="004F64EF" w:rsidRPr="003003C0" w:rsidRDefault="004F64EF" w:rsidP="00FD6B66">
            <w:pPr>
              <w:jc w:val="right"/>
              <w:rPr>
                <w:rFonts w:cs="Calibri"/>
                <w:color w:val="000000"/>
                <w:sz w:val="14"/>
                <w:szCs w:val="14"/>
              </w:rPr>
            </w:pPr>
            <w:r w:rsidRPr="003003C0">
              <w:rPr>
                <w:rFonts w:cs="Calibri"/>
                <w:color w:val="000000"/>
                <w:sz w:val="14"/>
                <w:szCs w:val="14"/>
              </w:rPr>
              <w:t>5</w:t>
            </w:r>
            <w:r>
              <w:rPr>
                <w:rFonts w:cs="Calibri"/>
                <w:color w:val="000000"/>
                <w:sz w:val="14"/>
                <w:szCs w:val="14"/>
              </w:rPr>
              <w:t>.</w:t>
            </w:r>
            <w:r w:rsidRPr="003003C0">
              <w:rPr>
                <w:rFonts w:cs="Calibri"/>
                <w:color w:val="000000"/>
                <w:sz w:val="14"/>
                <w:szCs w:val="14"/>
              </w:rPr>
              <w:t>8</w:t>
            </w:r>
          </w:p>
        </w:tc>
        <w:tc>
          <w:tcPr>
            <w:tcW w:w="722" w:type="dxa"/>
            <w:noWrap/>
            <w:vAlign w:val="center"/>
            <w:hideMark/>
          </w:tcPr>
          <w:p w14:paraId="2AF96A05" w14:textId="77777777" w:rsidR="004F64EF" w:rsidRPr="003003C0" w:rsidRDefault="004F64EF" w:rsidP="00FD6B66">
            <w:pPr>
              <w:jc w:val="right"/>
              <w:rPr>
                <w:rFonts w:cs="Calibri"/>
                <w:color w:val="000000"/>
                <w:sz w:val="14"/>
                <w:szCs w:val="14"/>
              </w:rPr>
            </w:pPr>
            <w:r w:rsidRPr="003003C0">
              <w:rPr>
                <w:rFonts w:cs="Calibri"/>
                <w:color w:val="000000"/>
                <w:sz w:val="14"/>
                <w:szCs w:val="14"/>
              </w:rPr>
              <w:t>5</w:t>
            </w:r>
            <w:r>
              <w:rPr>
                <w:rFonts w:cs="Calibri"/>
                <w:color w:val="000000"/>
                <w:sz w:val="14"/>
                <w:szCs w:val="14"/>
              </w:rPr>
              <w:t>.</w:t>
            </w:r>
            <w:r w:rsidRPr="003003C0">
              <w:rPr>
                <w:rFonts w:cs="Calibri"/>
                <w:color w:val="000000"/>
                <w:sz w:val="14"/>
                <w:szCs w:val="14"/>
              </w:rPr>
              <w:t>6</w:t>
            </w:r>
          </w:p>
        </w:tc>
        <w:tc>
          <w:tcPr>
            <w:tcW w:w="722" w:type="dxa"/>
            <w:noWrap/>
            <w:vAlign w:val="center"/>
            <w:hideMark/>
          </w:tcPr>
          <w:p w14:paraId="3D651A9B" w14:textId="77777777" w:rsidR="004F64EF" w:rsidRPr="003003C0" w:rsidRDefault="004F64EF" w:rsidP="00FD6B66">
            <w:pPr>
              <w:jc w:val="right"/>
              <w:rPr>
                <w:rFonts w:cs="Calibri"/>
                <w:color w:val="000000"/>
                <w:sz w:val="14"/>
                <w:szCs w:val="14"/>
              </w:rPr>
            </w:pPr>
            <w:r w:rsidRPr="003003C0">
              <w:rPr>
                <w:rFonts w:cs="Calibri"/>
                <w:color w:val="000000"/>
                <w:sz w:val="14"/>
                <w:szCs w:val="14"/>
              </w:rPr>
              <w:t>5</w:t>
            </w:r>
            <w:r>
              <w:rPr>
                <w:rFonts w:cs="Calibri"/>
                <w:color w:val="000000"/>
                <w:sz w:val="14"/>
                <w:szCs w:val="14"/>
              </w:rPr>
              <w:t>.</w:t>
            </w:r>
            <w:r w:rsidRPr="003003C0">
              <w:rPr>
                <w:rFonts w:cs="Calibri"/>
                <w:color w:val="000000"/>
                <w:sz w:val="14"/>
                <w:szCs w:val="14"/>
              </w:rPr>
              <w:t>6</w:t>
            </w:r>
          </w:p>
        </w:tc>
        <w:tc>
          <w:tcPr>
            <w:tcW w:w="721" w:type="dxa"/>
            <w:noWrap/>
            <w:vAlign w:val="center"/>
            <w:hideMark/>
          </w:tcPr>
          <w:p w14:paraId="6ABA8F83" w14:textId="77777777" w:rsidR="004F64EF" w:rsidRPr="003003C0" w:rsidRDefault="004F64EF" w:rsidP="00FD6B66">
            <w:pPr>
              <w:jc w:val="right"/>
              <w:rPr>
                <w:rFonts w:cs="Calibri"/>
                <w:color w:val="000000"/>
                <w:sz w:val="14"/>
                <w:szCs w:val="14"/>
              </w:rPr>
            </w:pPr>
            <w:r w:rsidRPr="003003C0">
              <w:rPr>
                <w:rFonts w:cs="Calibri"/>
                <w:color w:val="000000"/>
                <w:sz w:val="14"/>
                <w:szCs w:val="14"/>
              </w:rPr>
              <w:t>5</w:t>
            </w:r>
            <w:r>
              <w:rPr>
                <w:rFonts w:cs="Calibri"/>
                <w:color w:val="000000"/>
                <w:sz w:val="14"/>
                <w:szCs w:val="14"/>
              </w:rPr>
              <w:t>.</w:t>
            </w:r>
            <w:r w:rsidRPr="003003C0">
              <w:rPr>
                <w:rFonts w:cs="Calibri"/>
                <w:color w:val="000000"/>
                <w:sz w:val="14"/>
                <w:szCs w:val="14"/>
              </w:rPr>
              <w:t>6</w:t>
            </w:r>
          </w:p>
        </w:tc>
        <w:tc>
          <w:tcPr>
            <w:tcW w:w="722" w:type="dxa"/>
            <w:noWrap/>
            <w:vAlign w:val="center"/>
            <w:hideMark/>
          </w:tcPr>
          <w:p w14:paraId="12208150" w14:textId="77777777" w:rsidR="004F64EF" w:rsidRPr="003003C0" w:rsidRDefault="004F64EF" w:rsidP="00FD6B66">
            <w:pPr>
              <w:jc w:val="right"/>
              <w:rPr>
                <w:rFonts w:cs="Calibri"/>
                <w:color w:val="000000"/>
                <w:sz w:val="14"/>
                <w:szCs w:val="14"/>
              </w:rPr>
            </w:pPr>
            <w:r w:rsidRPr="003003C0">
              <w:rPr>
                <w:rFonts w:cs="Calibri"/>
                <w:color w:val="000000"/>
                <w:sz w:val="14"/>
                <w:szCs w:val="14"/>
              </w:rPr>
              <w:t>5</w:t>
            </w:r>
            <w:r>
              <w:rPr>
                <w:rFonts w:cs="Calibri"/>
                <w:color w:val="000000"/>
                <w:sz w:val="14"/>
                <w:szCs w:val="14"/>
              </w:rPr>
              <w:t>.</w:t>
            </w:r>
            <w:r w:rsidRPr="003003C0">
              <w:rPr>
                <w:rFonts w:cs="Calibri"/>
                <w:color w:val="000000"/>
                <w:sz w:val="14"/>
                <w:szCs w:val="14"/>
              </w:rPr>
              <w:t>3</w:t>
            </w:r>
          </w:p>
        </w:tc>
        <w:tc>
          <w:tcPr>
            <w:tcW w:w="722" w:type="dxa"/>
            <w:noWrap/>
            <w:vAlign w:val="center"/>
            <w:hideMark/>
          </w:tcPr>
          <w:p w14:paraId="040DA30C" w14:textId="77777777" w:rsidR="004F64EF" w:rsidRPr="003003C0" w:rsidRDefault="004F64EF" w:rsidP="00FD6B66">
            <w:pPr>
              <w:jc w:val="right"/>
              <w:rPr>
                <w:rFonts w:cs="Calibri"/>
                <w:color w:val="000000"/>
                <w:sz w:val="14"/>
                <w:szCs w:val="14"/>
              </w:rPr>
            </w:pPr>
            <w:r w:rsidRPr="003003C0">
              <w:rPr>
                <w:rFonts w:cs="Calibri"/>
                <w:color w:val="000000"/>
                <w:sz w:val="14"/>
                <w:szCs w:val="14"/>
              </w:rPr>
              <w:t>5</w:t>
            </w:r>
            <w:r>
              <w:rPr>
                <w:rFonts w:cs="Calibri"/>
                <w:color w:val="000000"/>
                <w:sz w:val="14"/>
                <w:szCs w:val="14"/>
              </w:rPr>
              <w:t>.</w:t>
            </w:r>
            <w:r w:rsidRPr="003003C0">
              <w:rPr>
                <w:rFonts w:cs="Calibri"/>
                <w:color w:val="000000"/>
                <w:sz w:val="14"/>
                <w:szCs w:val="14"/>
              </w:rPr>
              <w:t>7</w:t>
            </w:r>
          </w:p>
        </w:tc>
        <w:tc>
          <w:tcPr>
            <w:tcW w:w="722" w:type="dxa"/>
            <w:noWrap/>
            <w:vAlign w:val="center"/>
            <w:hideMark/>
          </w:tcPr>
          <w:p w14:paraId="1A34B3B1" w14:textId="77777777" w:rsidR="004F64EF" w:rsidRPr="003003C0" w:rsidRDefault="004F64EF" w:rsidP="00FD6B66">
            <w:pPr>
              <w:jc w:val="right"/>
              <w:rPr>
                <w:rFonts w:cs="Calibri"/>
                <w:color w:val="000000"/>
                <w:sz w:val="14"/>
                <w:szCs w:val="14"/>
              </w:rPr>
            </w:pPr>
            <w:r w:rsidRPr="003003C0">
              <w:rPr>
                <w:rFonts w:cs="Calibri"/>
                <w:color w:val="000000"/>
                <w:sz w:val="14"/>
                <w:szCs w:val="14"/>
              </w:rPr>
              <w:t>6</w:t>
            </w:r>
            <w:r>
              <w:rPr>
                <w:rFonts w:cs="Calibri"/>
                <w:color w:val="000000"/>
                <w:sz w:val="14"/>
                <w:szCs w:val="14"/>
              </w:rPr>
              <w:t>.</w:t>
            </w:r>
            <w:r w:rsidRPr="003003C0">
              <w:rPr>
                <w:rFonts w:cs="Calibri"/>
                <w:color w:val="000000"/>
                <w:sz w:val="14"/>
                <w:szCs w:val="14"/>
              </w:rPr>
              <w:t>0</w:t>
            </w:r>
          </w:p>
        </w:tc>
      </w:tr>
      <w:tr w:rsidR="004F64EF" w:rsidRPr="003003C0" w14:paraId="156FA4DA" w14:textId="77777777" w:rsidTr="00FD6B66">
        <w:trPr>
          <w:trHeight w:val="20"/>
        </w:trPr>
        <w:tc>
          <w:tcPr>
            <w:tcW w:w="3964" w:type="dxa"/>
            <w:noWrap/>
            <w:vAlign w:val="center"/>
            <w:hideMark/>
          </w:tcPr>
          <w:p w14:paraId="5450B97D" w14:textId="77777777" w:rsidR="004F64EF" w:rsidRPr="003003C0" w:rsidRDefault="004F64EF" w:rsidP="00FD6B66">
            <w:pPr>
              <w:tabs>
                <w:tab w:val="left" w:pos="227"/>
              </w:tabs>
              <w:jc w:val="left"/>
              <w:rPr>
                <w:rFonts w:cs="Calibri"/>
                <w:color w:val="000000"/>
                <w:sz w:val="14"/>
                <w:szCs w:val="14"/>
              </w:rPr>
            </w:pPr>
            <w:r w:rsidRPr="003003C0">
              <w:rPr>
                <w:rFonts w:cs="Calibri"/>
                <w:color w:val="000000"/>
                <w:sz w:val="14"/>
                <w:szCs w:val="14"/>
              </w:rPr>
              <w:tab/>
              <w:t xml:space="preserve">39. </w:t>
            </w:r>
            <w:r w:rsidRPr="00BD582B">
              <w:rPr>
                <w:rFonts w:cs="Calibri"/>
                <w:color w:val="000000"/>
                <w:sz w:val="14"/>
                <w:szCs w:val="14"/>
              </w:rPr>
              <w:t>Plastics and articles thereof</w:t>
            </w:r>
          </w:p>
        </w:tc>
        <w:tc>
          <w:tcPr>
            <w:tcW w:w="721" w:type="dxa"/>
            <w:noWrap/>
            <w:vAlign w:val="center"/>
            <w:hideMark/>
          </w:tcPr>
          <w:p w14:paraId="37E8D557" w14:textId="77777777" w:rsidR="004F64EF" w:rsidRPr="003003C0" w:rsidRDefault="004F64EF" w:rsidP="00FD6B66">
            <w:pPr>
              <w:jc w:val="right"/>
              <w:rPr>
                <w:rFonts w:cs="Calibri"/>
                <w:color w:val="000000"/>
                <w:sz w:val="14"/>
                <w:szCs w:val="14"/>
              </w:rPr>
            </w:pPr>
            <w:r w:rsidRPr="003003C0">
              <w:rPr>
                <w:rFonts w:cs="Calibri"/>
                <w:color w:val="000000"/>
                <w:sz w:val="14"/>
                <w:szCs w:val="14"/>
              </w:rPr>
              <w:t>4</w:t>
            </w:r>
            <w:r>
              <w:rPr>
                <w:rFonts w:cs="Calibri"/>
                <w:color w:val="000000"/>
                <w:sz w:val="14"/>
                <w:szCs w:val="14"/>
              </w:rPr>
              <w:t>.</w:t>
            </w:r>
            <w:r w:rsidRPr="003003C0">
              <w:rPr>
                <w:rFonts w:cs="Calibri"/>
                <w:color w:val="000000"/>
                <w:sz w:val="14"/>
                <w:szCs w:val="14"/>
              </w:rPr>
              <w:t>6</w:t>
            </w:r>
          </w:p>
        </w:tc>
        <w:tc>
          <w:tcPr>
            <w:tcW w:w="722" w:type="dxa"/>
            <w:noWrap/>
            <w:vAlign w:val="center"/>
            <w:hideMark/>
          </w:tcPr>
          <w:p w14:paraId="7A4D37C7" w14:textId="77777777" w:rsidR="004F64EF" w:rsidRPr="003003C0" w:rsidRDefault="004F64EF" w:rsidP="00FD6B66">
            <w:pPr>
              <w:jc w:val="right"/>
              <w:rPr>
                <w:rFonts w:cs="Calibri"/>
                <w:color w:val="000000"/>
                <w:sz w:val="14"/>
                <w:szCs w:val="14"/>
              </w:rPr>
            </w:pPr>
            <w:r w:rsidRPr="003003C0">
              <w:rPr>
                <w:rFonts w:cs="Calibri"/>
                <w:color w:val="000000"/>
                <w:sz w:val="14"/>
                <w:szCs w:val="14"/>
              </w:rPr>
              <w:t>4</w:t>
            </w:r>
            <w:r>
              <w:rPr>
                <w:rFonts w:cs="Calibri"/>
                <w:color w:val="000000"/>
                <w:sz w:val="14"/>
                <w:szCs w:val="14"/>
              </w:rPr>
              <w:t>.</w:t>
            </w:r>
            <w:r w:rsidRPr="003003C0">
              <w:rPr>
                <w:rFonts w:cs="Calibri"/>
                <w:color w:val="000000"/>
                <w:sz w:val="14"/>
                <w:szCs w:val="14"/>
              </w:rPr>
              <w:t>4</w:t>
            </w:r>
          </w:p>
        </w:tc>
        <w:tc>
          <w:tcPr>
            <w:tcW w:w="722" w:type="dxa"/>
            <w:noWrap/>
            <w:vAlign w:val="center"/>
            <w:hideMark/>
          </w:tcPr>
          <w:p w14:paraId="7F61D0F0" w14:textId="77777777" w:rsidR="004F64EF" w:rsidRPr="003003C0" w:rsidRDefault="004F64EF" w:rsidP="00FD6B66">
            <w:pPr>
              <w:jc w:val="right"/>
              <w:rPr>
                <w:rFonts w:cs="Calibri"/>
                <w:color w:val="000000"/>
                <w:sz w:val="14"/>
                <w:szCs w:val="14"/>
              </w:rPr>
            </w:pPr>
            <w:r w:rsidRPr="003003C0">
              <w:rPr>
                <w:rFonts w:cs="Calibri"/>
                <w:color w:val="000000"/>
                <w:sz w:val="14"/>
                <w:szCs w:val="14"/>
              </w:rPr>
              <w:t>4</w:t>
            </w:r>
            <w:r>
              <w:rPr>
                <w:rFonts w:cs="Calibri"/>
                <w:color w:val="000000"/>
                <w:sz w:val="14"/>
                <w:szCs w:val="14"/>
              </w:rPr>
              <w:t>.</w:t>
            </w:r>
            <w:r w:rsidRPr="003003C0">
              <w:rPr>
                <w:rFonts w:cs="Calibri"/>
                <w:color w:val="000000"/>
                <w:sz w:val="14"/>
                <w:szCs w:val="14"/>
              </w:rPr>
              <w:t>4</w:t>
            </w:r>
          </w:p>
        </w:tc>
        <w:tc>
          <w:tcPr>
            <w:tcW w:w="721" w:type="dxa"/>
            <w:noWrap/>
            <w:vAlign w:val="center"/>
            <w:hideMark/>
          </w:tcPr>
          <w:p w14:paraId="66998CEF" w14:textId="77777777" w:rsidR="004F64EF" w:rsidRPr="003003C0" w:rsidRDefault="004F64EF" w:rsidP="00FD6B66">
            <w:pPr>
              <w:jc w:val="right"/>
              <w:rPr>
                <w:rFonts w:cs="Calibri"/>
                <w:color w:val="000000"/>
                <w:sz w:val="14"/>
                <w:szCs w:val="14"/>
              </w:rPr>
            </w:pPr>
            <w:r w:rsidRPr="003003C0">
              <w:rPr>
                <w:rFonts w:cs="Calibri"/>
                <w:color w:val="000000"/>
                <w:sz w:val="14"/>
                <w:szCs w:val="14"/>
              </w:rPr>
              <w:t>4</w:t>
            </w:r>
            <w:r>
              <w:rPr>
                <w:rFonts w:cs="Calibri"/>
                <w:color w:val="000000"/>
                <w:sz w:val="14"/>
                <w:szCs w:val="14"/>
              </w:rPr>
              <w:t>.</w:t>
            </w:r>
            <w:r w:rsidRPr="003003C0">
              <w:rPr>
                <w:rFonts w:cs="Calibri"/>
                <w:color w:val="000000"/>
                <w:sz w:val="14"/>
                <w:szCs w:val="14"/>
              </w:rPr>
              <w:t>5</w:t>
            </w:r>
          </w:p>
        </w:tc>
        <w:tc>
          <w:tcPr>
            <w:tcW w:w="722" w:type="dxa"/>
            <w:noWrap/>
            <w:vAlign w:val="center"/>
            <w:hideMark/>
          </w:tcPr>
          <w:p w14:paraId="2BC08F82" w14:textId="77777777" w:rsidR="004F64EF" w:rsidRPr="003003C0" w:rsidRDefault="004F64EF" w:rsidP="00FD6B66">
            <w:pPr>
              <w:jc w:val="right"/>
              <w:rPr>
                <w:rFonts w:cs="Calibri"/>
                <w:color w:val="000000"/>
                <w:sz w:val="14"/>
                <w:szCs w:val="14"/>
              </w:rPr>
            </w:pPr>
            <w:r w:rsidRPr="003003C0">
              <w:rPr>
                <w:rFonts w:cs="Calibri"/>
                <w:color w:val="000000"/>
                <w:sz w:val="14"/>
                <w:szCs w:val="14"/>
              </w:rPr>
              <w:t>4</w:t>
            </w:r>
            <w:r>
              <w:rPr>
                <w:rFonts w:cs="Calibri"/>
                <w:color w:val="000000"/>
                <w:sz w:val="14"/>
                <w:szCs w:val="14"/>
              </w:rPr>
              <w:t>.</w:t>
            </w:r>
            <w:r w:rsidRPr="003003C0">
              <w:rPr>
                <w:rFonts w:cs="Calibri"/>
                <w:color w:val="000000"/>
                <w:sz w:val="14"/>
                <w:szCs w:val="14"/>
              </w:rPr>
              <w:t>3</w:t>
            </w:r>
          </w:p>
        </w:tc>
        <w:tc>
          <w:tcPr>
            <w:tcW w:w="722" w:type="dxa"/>
            <w:noWrap/>
            <w:vAlign w:val="center"/>
            <w:hideMark/>
          </w:tcPr>
          <w:p w14:paraId="154E2A2C" w14:textId="77777777" w:rsidR="004F64EF" w:rsidRPr="003003C0" w:rsidRDefault="004F64EF" w:rsidP="00FD6B66">
            <w:pPr>
              <w:jc w:val="right"/>
              <w:rPr>
                <w:rFonts w:cs="Calibri"/>
                <w:color w:val="000000"/>
                <w:sz w:val="14"/>
                <w:szCs w:val="14"/>
              </w:rPr>
            </w:pPr>
            <w:r w:rsidRPr="003003C0">
              <w:rPr>
                <w:rFonts w:cs="Calibri"/>
                <w:color w:val="000000"/>
                <w:sz w:val="14"/>
                <w:szCs w:val="14"/>
              </w:rPr>
              <w:t>4</w:t>
            </w:r>
            <w:r>
              <w:rPr>
                <w:rFonts w:cs="Calibri"/>
                <w:color w:val="000000"/>
                <w:sz w:val="14"/>
                <w:szCs w:val="14"/>
              </w:rPr>
              <w:t>.</w:t>
            </w:r>
            <w:r w:rsidRPr="003003C0">
              <w:rPr>
                <w:rFonts w:cs="Calibri"/>
                <w:color w:val="000000"/>
                <w:sz w:val="14"/>
                <w:szCs w:val="14"/>
              </w:rPr>
              <w:t>6</w:t>
            </w:r>
          </w:p>
        </w:tc>
        <w:tc>
          <w:tcPr>
            <w:tcW w:w="722" w:type="dxa"/>
            <w:noWrap/>
            <w:vAlign w:val="center"/>
            <w:hideMark/>
          </w:tcPr>
          <w:p w14:paraId="72B49972" w14:textId="77777777" w:rsidR="004F64EF" w:rsidRPr="003003C0" w:rsidRDefault="004F64EF" w:rsidP="00FD6B66">
            <w:pPr>
              <w:jc w:val="right"/>
              <w:rPr>
                <w:rFonts w:cs="Calibri"/>
                <w:color w:val="000000"/>
                <w:sz w:val="14"/>
                <w:szCs w:val="14"/>
              </w:rPr>
            </w:pPr>
            <w:r w:rsidRPr="003003C0">
              <w:rPr>
                <w:rFonts w:cs="Calibri"/>
                <w:color w:val="000000"/>
                <w:sz w:val="14"/>
                <w:szCs w:val="14"/>
              </w:rPr>
              <w:t>4</w:t>
            </w:r>
            <w:r>
              <w:rPr>
                <w:rFonts w:cs="Calibri"/>
                <w:color w:val="000000"/>
                <w:sz w:val="14"/>
                <w:szCs w:val="14"/>
              </w:rPr>
              <w:t>.</w:t>
            </w:r>
            <w:r w:rsidRPr="003003C0">
              <w:rPr>
                <w:rFonts w:cs="Calibri"/>
                <w:color w:val="000000"/>
                <w:sz w:val="14"/>
                <w:szCs w:val="14"/>
              </w:rPr>
              <w:t>9</w:t>
            </w:r>
          </w:p>
        </w:tc>
      </w:tr>
      <w:tr w:rsidR="004F64EF" w:rsidRPr="003003C0" w14:paraId="4A033F1F" w14:textId="77777777" w:rsidTr="00FD6B66">
        <w:trPr>
          <w:cnfStyle w:val="000000010000" w:firstRow="0" w:lastRow="0" w:firstColumn="0" w:lastColumn="0" w:oddVBand="0" w:evenVBand="0" w:oddHBand="0" w:evenHBand="1" w:firstRowFirstColumn="0" w:firstRowLastColumn="0" w:lastRowFirstColumn="0" w:lastRowLastColumn="0"/>
          <w:trHeight w:val="20"/>
        </w:trPr>
        <w:tc>
          <w:tcPr>
            <w:tcW w:w="3964" w:type="dxa"/>
            <w:noWrap/>
            <w:vAlign w:val="center"/>
            <w:hideMark/>
          </w:tcPr>
          <w:p w14:paraId="7713EB2D" w14:textId="77777777" w:rsidR="004F64EF" w:rsidRPr="003003C0" w:rsidRDefault="004F64EF" w:rsidP="00FD6B66">
            <w:pPr>
              <w:tabs>
                <w:tab w:val="left" w:pos="227"/>
              </w:tabs>
              <w:jc w:val="left"/>
              <w:rPr>
                <w:rFonts w:cs="Calibri"/>
                <w:color w:val="000000"/>
                <w:sz w:val="14"/>
                <w:szCs w:val="14"/>
              </w:rPr>
            </w:pPr>
            <w:r w:rsidRPr="003003C0">
              <w:rPr>
                <w:rFonts w:cs="Calibri"/>
                <w:color w:val="000000"/>
                <w:sz w:val="14"/>
                <w:szCs w:val="14"/>
              </w:rPr>
              <w:tab/>
              <w:t xml:space="preserve">40. </w:t>
            </w:r>
            <w:r w:rsidRPr="00BD582B">
              <w:rPr>
                <w:rFonts w:cs="Calibri"/>
                <w:color w:val="000000"/>
                <w:sz w:val="14"/>
                <w:szCs w:val="14"/>
              </w:rPr>
              <w:t>Rubber and articles thereof</w:t>
            </w:r>
          </w:p>
        </w:tc>
        <w:tc>
          <w:tcPr>
            <w:tcW w:w="721" w:type="dxa"/>
            <w:noWrap/>
            <w:vAlign w:val="center"/>
            <w:hideMark/>
          </w:tcPr>
          <w:p w14:paraId="52320F17" w14:textId="77777777" w:rsidR="004F64EF" w:rsidRPr="003003C0" w:rsidRDefault="004F64EF" w:rsidP="00FD6B66">
            <w:pPr>
              <w:jc w:val="right"/>
              <w:rPr>
                <w:rFonts w:cs="Calibri"/>
                <w:color w:val="000000"/>
                <w:sz w:val="14"/>
                <w:szCs w:val="14"/>
              </w:rPr>
            </w:pPr>
            <w:r w:rsidRPr="003003C0">
              <w:rPr>
                <w:rFonts w:cs="Calibri"/>
                <w:color w:val="000000"/>
                <w:sz w:val="14"/>
                <w:szCs w:val="14"/>
              </w:rPr>
              <w:t>1</w:t>
            </w:r>
            <w:r>
              <w:rPr>
                <w:rFonts w:cs="Calibri"/>
                <w:color w:val="000000"/>
                <w:sz w:val="14"/>
                <w:szCs w:val="14"/>
              </w:rPr>
              <w:t>.</w:t>
            </w:r>
            <w:r w:rsidRPr="003003C0">
              <w:rPr>
                <w:rFonts w:cs="Calibri"/>
                <w:color w:val="000000"/>
                <w:sz w:val="14"/>
                <w:szCs w:val="14"/>
              </w:rPr>
              <w:t>2</w:t>
            </w:r>
          </w:p>
        </w:tc>
        <w:tc>
          <w:tcPr>
            <w:tcW w:w="722" w:type="dxa"/>
            <w:noWrap/>
            <w:vAlign w:val="center"/>
            <w:hideMark/>
          </w:tcPr>
          <w:p w14:paraId="6579B501" w14:textId="77777777" w:rsidR="004F64EF" w:rsidRPr="003003C0" w:rsidRDefault="004F64EF" w:rsidP="00FD6B66">
            <w:pPr>
              <w:jc w:val="right"/>
              <w:rPr>
                <w:rFonts w:cs="Calibri"/>
                <w:color w:val="000000"/>
                <w:sz w:val="14"/>
                <w:szCs w:val="14"/>
              </w:rPr>
            </w:pPr>
            <w:r w:rsidRPr="003003C0">
              <w:rPr>
                <w:rFonts w:cs="Calibri"/>
                <w:color w:val="000000"/>
                <w:sz w:val="14"/>
                <w:szCs w:val="14"/>
              </w:rPr>
              <w:t>1</w:t>
            </w:r>
            <w:r>
              <w:rPr>
                <w:rFonts w:cs="Calibri"/>
                <w:color w:val="000000"/>
                <w:sz w:val="14"/>
                <w:szCs w:val="14"/>
              </w:rPr>
              <w:t>.</w:t>
            </w:r>
            <w:r w:rsidRPr="003003C0">
              <w:rPr>
                <w:rFonts w:cs="Calibri"/>
                <w:color w:val="000000"/>
                <w:sz w:val="14"/>
                <w:szCs w:val="14"/>
              </w:rPr>
              <w:t>2</w:t>
            </w:r>
          </w:p>
        </w:tc>
        <w:tc>
          <w:tcPr>
            <w:tcW w:w="722" w:type="dxa"/>
            <w:noWrap/>
            <w:vAlign w:val="center"/>
            <w:hideMark/>
          </w:tcPr>
          <w:p w14:paraId="0921C46E" w14:textId="77777777" w:rsidR="004F64EF" w:rsidRPr="003003C0" w:rsidRDefault="004F64EF" w:rsidP="00FD6B66">
            <w:pPr>
              <w:jc w:val="right"/>
              <w:rPr>
                <w:rFonts w:cs="Calibri"/>
                <w:color w:val="000000"/>
                <w:sz w:val="14"/>
                <w:szCs w:val="14"/>
              </w:rPr>
            </w:pPr>
            <w:r w:rsidRPr="003003C0">
              <w:rPr>
                <w:rFonts w:cs="Calibri"/>
                <w:color w:val="000000"/>
                <w:sz w:val="14"/>
                <w:szCs w:val="14"/>
              </w:rPr>
              <w:t>1</w:t>
            </w:r>
            <w:r>
              <w:rPr>
                <w:rFonts w:cs="Calibri"/>
                <w:color w:val="000000"/>
                <w:sz w:val="14"/>
                <w:szCs w:val="14"/>
              </w:rPr>
              <w:t>.</w:t>
            </w:r>
            <w:r w:rsidRPr="003003C0">
              <w:rPr>
                <w:rFonts w:cs="Calibri"/>
                <w:color w:val="000000"/>
                <w:sz w:val="14"/>
                <w:szCs w:val="14"/>
              </w:rPr>
              <w:t>1</w:t>
            </w:r>
          </w:p>
        </w:tc>
        <w:tc>
          <w:tcPr>
            <w:tcW w:w="721" w:type="dxa"/>
            <w:noWrap/>
            <w:vAlign w:val="center"/>
            <w:hideMark/>
          </w:tcPr>
          <w:p w14:paraId="6F795400" w14:textId="77777777" w:rsidR="004F64EF" w:rsidRPr="003003C0" w:rsidRDefault="004F64EF" w:rsidP="00FD6B66">
            <w:pPr>
              <w:jc w:val="right"/>
              <w:rPr>
                <w:rFonts w:cs="Calibri"/>
                <w:color w:val="000000"/>
                <w:sz w:val="14"/>
                <w:szCs w:val="14"/>
              </w:rPr>
            </w:pPr>
            <w:r w:rsidRPr="003003C0">
              <w:rPr>
                <w:rFonts w:cs="Calibri"/>
                <w:color w:val="000000"/>
                <w:sz w:val="14"/>
                <w:szCs w:val="14"/>
              </w:rPr>
              <w:t>1</w:t>
            </w:r>
            <w:r>
              <w:rPr>
                <w:rFonts w:cs="Calibri"/>
                <w:color w:val="000000"/>
                <w:sz w:val="14"/>
                <w:szCs w:val="14"/>
              </w:rPr>
              <w:t>.</w:t>
            </w:r>
            <w:r w:rsidRPr="003003C0">
              <w:rPr>
                <w:rFonts w:cs="Calibri"/>
                <w:color w:val="000000"/>
                <w:sz w:val="14"/>
                <w:szCs w:val="14"/>
              </w:rPr>
              <w:t>0</w:t>
            </w:r>
          </w:p>
        </w:tc>
        <w:tc>
          <w:tcPr>
            <w:tcW w:w="722" w:type="dxa"/>
            <w:noWrap/>
            <w:vAlign w:val="center"/>
            <w:hideMark/>
          </w:tcPr>
          <w:p w14:paraId="1C986C01" w14:textId="77777777" w:rsidR="004F64EF" w:rsidRPr="003003C0" w:rsidRDefault="004F64EF" w:rsidP="00FD6B66">
            <w:pPr>
              <w:jc w:val="right"/>
              <w:rPr>
                <w:rFonts w:cs="Calibri"/>
                <w:color w:val="000000"/>
                <w:sz w:val="14"/>
                <w:szCs w:val="14"/>
              </w:rPr>
            </w:pPr>
            <w:r w:rsidRPr="003003C0">
              <w:rPr>
                <w:rFonts w:cs="Calibri"/>
                <w:color w:val="000000"/>
                <w:sz w:val="14"/>
                <w:szCs w:val="14"/>
              </w:rPr>
              <w:t>1</w:t>
            </w:r>
            <w:r>
              <w:rPr>
                <w:rFonts w:cs="Calibri"/>
                <w:color w:val="000000"/>
                <w:sz w:val="14"/>
                <w:szCs w:val="14"/>
              </w:rPr>
              <w:t>.</w:t>
            </w:r>
            <w:r w:rsidRPr="003003C0">
              <w:rPr>
                <w:rFonts w:cs="Calibri"/>
                <w:color w:val="000000"/>
                <w:sz w:val="14"/>
                <w:szCs w:val="14"/>
              </w:rPr>
              <w:t>1</w:t>
            </w:r>
          </w:p>
        </w:tc>
        <w:tc>
          <w:tcPr>
            <w:tcW w:w="722" w:type="dxa"/>
            <w:noWrap/>
            <w:vAlign w:val="center"/>
            <w:hideMark/>
          </w:tcPr>
          <w:p w14:paraId="1E741A56" w14:textId="77777777" w:rsidR="004F64EF" w:rsidRPr="003003C0" w:rsidRDefault="004F64EF" w:rsidP="00FD6B66">
            <w:pPr>
              <w:jc w:val="right"/>
              <w:rPr>
                <w:rFonts w:cs="Calibri"/>
                <w:color w:val="000000"/>
                <w:sz w:val="14"/>
                <w:szCs w:val="14"/>
              </w:rPr>
            </w:pPr>
            <w:r w:rsidRPr="003003C0">
              <w:rPr>
                <w:rFonts w:cs="Calibri"/>
                <w:color w:val="000000"/>
                <w:sz w:val="14"/>
                <w:szCs w:val="14"/>
              </w:rPr>
              <w:t>1</w:t>
            </w:r>
            <w:r>
              <w:rPr>
                <w:rFonts w:cs="Calibri"/>
                <w:color w:val="000000"/>
                <w:sz w:val="14"/>
                <w:szCs w:val="14"/>
              </w:rPr>
              <w:t>.</w:t>
            </w:r>
            <w:r w:rsidRPr="003003C0">
              <w:rPr>
                <w:rFonts w:cs="Calibri"/>
                <w:color w:val="000000"/>
                <w:sz w:val="14"/>
                <w:szCs w:val="14"/>
              </w:rPr>
              <w:t>1</w:t>
            </w:r>
          </w:p>
        </w:tc>
        <w:tc>
          <w:tcPr>
            <w:tcW w:w="722" w:type="dxa"/>
            <w:noWrap/>
            <w:vAlign w:val="center"/>
            <w:hideMark/>
          </w:tcPr>
          <w:p w14:paraId="67232304" w14:textId="77777777" w:rsidR="004F64EF" w:rsidRPr="003003C0" w:rsidRDefault="004F64EF" w:rsidP="00FD6B66">
            <w:pPr>
              <w:jc w:val="right"/>
              <w:rPr>
                <w:rFonts w:cs="Calibri"/>
                <w:color w:val="000000"/>
                <w:sz w:val="14"/>
                <w:szCs w:val="14"/>
              </w:rPr>
            </w:pPr>
            <w:r w:rsidRPr="003003C0">
              <w:rPr>
                <w:rFonts w:cs="Calibri"/>
                <w:color w:val="000000"/>
                <w:sz w:val="14"/>
                <w:szCs w:val="14"/>
              </w:rPr>
              <w:t>1</w:t>
            </w:r>
            <w:r>
              <w:rPr>
                <w:rFonts w:cs="Calibri"/>
                <w:color w:val="000000"/>
                <w:sz w:val="14"/>
                <w:szCs w:val="14"/>
              </w:rPr>
              <w:t>.</w:t>
            </w:r>
            <w:r w:rsidRPr="003003C0">
              <w:rPr>
                <w:rFonts w:cs="Calibri"/>
                <w:color w:val="000000"/>
                <w:sz w:val="14"/>
                <w:szCs w:val="14"/>
              </w:rPr>
              <w:t>1</w:t>
            </w:r>
          </w:p>
        </w:tc>
      </w:tr>
      <w:tr w:rsidR="004F64EF" w:rsidRPr="003003C0" w14:paraId="5E509FD1" w14:textId="77777777" w:rsidTr="00FD6B66">
        <w:trPr>
          <w:trHeight w:val="20"/>
        </w:trPr>
        <w:tc>
          <w:tcPr>
            <w:tcW w:w="3964" w:type="dxa"/>
            <w:noWrap/>
            <w:vAlign w:val="center"/>
            <w:hideMark/>
          </w:tcPr>
          <w:p w14:paraId="79996CF6" w14:textId="77777777" w:rsidR="004F64EF" w:rsidRPr="003003C0" w:rsidRDefault="004F64EF" w:rsidP="00BD582B">
            <w:pPr>
              <w:jc w:val="left"/>
              <w:rPr>
                <w:rFonts w:cs="Calibri"/>
                <w:color w:val="000000"/>
                <w:sz w:val="14"/>
                <w:szCs w:val="14"/>
              </w:rPr>
            </w:pPr>
            <w:r w:rsidRPr="003003C0">
              <w:rPr>
                <w:rFonts w:cs="Calibri"/>
                <w:color w:val="000000"/>
                <w:sz w:val="14"/>
                <w:szCs w:val="14"/>
              </w:rPr>
              <w:t xml:space="preserve">8 - </w:t>
            </w:r>
            <w:r>
              <w:rPr>
                <w:rFonts w:cs="Calibri"/>
                <w:color w:val="000000"/>
                <w:sz w:val="14"/>
                <w:szCs w:val="14"/>
              </w:rPr>
              <w:t>R</w:t>
            </w:r>
            <w:r w:rsidRPr="00BD582B">
              <w:rPr>
                <w:rFonts w:cs="Calibri"/>
                <w:color w:val="000000"/>
                <w:sz w:val="14"/>
                <w:szCs w:val="14"/>
              </w:rPr>
              <w:t xml:space="preserve">aw hides and skins, leather, </w:t>
            </w:r>
            <w:proofErr w:type="spellStart"/>
            <w:r w:rsidRPr="00BD582B">
              <w:rPr>
                <w:rFonts w:cs="Calibri"/>
                <w:color w:val="000000"/>
                <w:sz w:val="14"/>
                <w:szCs w:val="14"/>
              </w:rPr>
              <w:t>furskins</w:t>
            </w:r>
            <w:proofErr w:type="spellEnd"/>
            <w:r w:rsidRPr="00BD582B">
              <w:rPr>
                <w:rFonts w:cs="Calibri"/>
                <w:color w:val="000000"/>
                <w:sz w:val="14"/>
                <w:szCs w:val="14"/>
              </w:rPr>
              <w:t xml:space="preserve"> and articles</w:t>
            </w:r>
            <w:r>
              <w:rPr>
                <w:rFonts w:cs="Calibri"/>
                <w:color w:val="000000"/>
                <w:sz w:val="14"/>
                <w:szCs w:val="14"/>
              </w:rPr>
              <w:t xml:space="preserve"> </w:t>
            </w:r>
            <w:r w:rsidRPr="00BD582B">
              <w:rPr>
                <w:rFonts w:cs="Calibri"/>
                <w:color w:val="000000"/>
                <w:sz w:val="14"/>
                <w:szCs w:val="14"/>
              </w:rPr>
              <w:t>thereof; saddlery and harness</w:t>
            </w:r>
          </w:p>
        </w:tc>
        <w:tc>
          <w:tcPr>
            <w:tcW w:w="721" w:type="dxa"/>
            <w:noWrap/>
            <w:vAlign w:val="center"/>
            <w:hideMark/>
          </w:tcPr>
          <w:p w14:paraId="0DF61E5E" w14:textId="77777777" w:rsidR="004F64EF" w:rsidRPr="003003C0" w:rsidRDefault="004F64EF" w:rsidP="00FD6B66">
            <w:pPr>
              <w:jc w:val="right"/>
              <w:rPr>
                <w:rFonts w:cs="Calibri"/>
                <w:color w:val="000000"/>
                <w:sz w:val="14"/>
                <w:szCs w:val="14"/>
              </w:rPr>
            </w:pPr>
            <w:r w:rsidRPr="003003C0">
              <w:rPr>
                <w:rFonts w:cs="Calibri"/>
                <w:color w:val="000000"/>
                <w:sz w:val="14"/>
                <w:szCs w:val="14"/>
              </w:rPr>
              <w:t>0</w:t>
            </w:r>
            <w:r>
              <w:rPr>
                <w:rFonts w:cs="Calibri"/>
                <w:color w:val="000000"/>
                <w:sz w:val="14"/>
                <w:szCs w:val="14"/>
              </w:rPr>
              <w:t>.</w:t>
            </w:r>
            <w:r w:rsidRPr="003003C0">
              <w:rPr>
                <w:rFonts w:cs="Calibri"/>
                <w:color w:val="000000"/>
                <w:sz w:val="14"/>
                <w:szCs w:val="14"/>
              </w:rPr>
              <w:t>3</w:t>
            </w:r>
          </w:p>
        </w:tc>
        <w:tc>
          <w:tcPr>
            <w:tcW w:w="722" w:type="dxa"/>
            <w:noWrap/>
            <w:vAlign w:val="center"/>
            <w:hideMark/>
          </w:tcPr>
          <w:p w14:paraId="35F7BF83" w14:textId="77777777" w:rsidR="004F64EF" w:rsidRPr="003003C0" w:rsidRDefault="004F64EF" w:rsidP="00FD6B66">
            <w:pPr>
              <w:jc w:val="right"/>
              <w:rPr>
                <w:rFonts w:cs="Calibri"/>
                <w:color w:val="000000"/>
                <w:sz w:val="14"/>
                <w:szCs w:val="14"/>
              </w:rPr>
            </w:pPr>
            <w:r w:rsidRPr="003003C0">
              <w:rPr>
                <w:rFonts w:cs="Calibri"/>
                <w:color w:val="000000"/>
                <w:sz w:val="14"/>
                <w:szCs w:val="14"/>
              </w:rPr>
              <w:t>0</w:t>
            </w:r>
            <w:r>
              <w:rPr>
                <w:rFonts w:cs="Calibri"/>
                <w:color w:val="000000"/>
                <w:sz w:val="14"/>
                <w:szCs w:val="14"/>
              </w:rPr>
              <w:t>.</w:t>
            </w:r>
            <w:r w:rsidRPr="003003C0">
              <w:rPr>
                <w:rFonts w:cs="Calibri"/>
                <w:color w:val="000000"/>
                <w:sz w:val="14"/>
                <w:szCs w:val="14"/>
              </w:rPr>
              <w:t>2</w:t>
            </w:r>
          </w:p>
        </w:tc>
        <w:tc>
          <w:tcPr>
            <w:tcW w:w="722" w:type="dxa"/>
            <w:noWrap/>
            <w:vAlign w:val="center"/>
            <w:hideMark/>
          </w:tcPr>
          <w:p w14:paraId="7C7AC360" w14:textId="77777777" w:rsidR="004F64EF" w:rsidRPr="003003C0" w:rsidRDefault="004F64EF" w:rsidP="00FD6B66">
            <w:pPr>
              <w:jc w:val="right"/>
              <w:rPr>
                <w:rFonts w:cs="Calibri"/>
                <w:color w:val="000000"/>
                <w:sz w:val="14"/>
                <w:szCs w:val="14"/>
              </w:rPr>
            </w:pPr>
            <w:r w:rsidRPr="003003C0">
              <w:rPr>
                <w:rFonts w:cs="Calibri"/>
                <w:color w:val="000000"/>
                <w:sz w:val="14"/>
                <w:szCs w:val="14"/>
              </w:rPr>
              <w:t>0</w:t>
            </w:r>
            <w:r>
              <w:rPr>
                <w:rFonts w:cs="Calibri"/>
                <w:color w:val="000000"/>
                <w:sz w:val="14"/>
                <w:szCs w:val="14"/>
              </w:rPr>
              <w:t>.</w:t>
            </w:r>
            <w:r w:rsidRPr="003003C0">
              <w:rPr>
                <w:rFonts w:cs="Calibri"/>
                <w:color w:val="000000"/>
                <w:sz w:val="14"/>
                <w:szCs w:val="14"/>
              </w:rPr>
              <w:t>3</w:t>
            </w:r>
          </w:p>
        </w:tc>
        <w:tc>
          <w:tcPr>
            <w:tcW w:w="721" w:type="dxa"/>
            <w:noWrap/>
            <w:vAlign w:val="center"/>
            <w:hideMark/>
          </w:tcPr>
          <w:p w14:paraId="0CA64253" w14:textId="77777777" w:rsidR="004F64EF" w:rsidRPr="003003C0" w:rsidRDefault="004F64EF" w:rsidP="00FD6B66">
            <w:pPr>
              <w:jc w:val="right"/>
              <w:rPr>
                <w:rFonts w:cs="Calibri"/>
                <w:color w:val="000000"/>
                <w:sz w:val="14"/>
                <w:szCs w:val="14"/>
              </w:rPr>
            </w:pPr>
            <w:r w:rsidRPr="003003C0">
              <w:rPr>
                <w:rFonts w:cs="Calibri"/>
                <w:color w:val="000000"/>
                <w:sz w:val="14"/>
                <w:szCs w:val="14"/>
              </w:rPr>
              <w:t>0</w:t>
            </w:r>
            <w:r>
              <w:rPr>
                <w:rFonts w:cs="Calibri"/>
                <w:color w:val="000000"/>
                <w:sz w:val="14"/>
                <w:szCs w:val="14"/>
              </w:rPr>
              <w:t>.</w:t>
            </w:r>
            <w:r w:rsidRPr="003003C0">
              <w:rPr>
                <w:rFonts w:cs="Calibri"/>
                <w:color w:val="000000"/>
                <w:sz w:val="14"/>
                <w:szCs w:val="14"/>
              </w:rPr>
              <w:t>3</w:t>
            </w:r>
          </w:p>
        </w:tc>
        <w:tc>
          <w:tcPr>
            <w:tcW w:w="722" w:type="dxa"/>
            <w:noWrap/>
            <w:vAlign w:val="center"/>
            <w:hideMark/>
          </w:tcPr>
          <w:p w14:paraId="614B14C9" w14:textId="77777777" w:rsidR="004F64EF" w:rsidRPr="003003C0" w:rsidRDefault="004F64EF" w:rsidP="00FD6B66">
            <w:pPr>
              <w:jc w:val="right"/>
              <w:rPr>
                <w:rFonts w:cs="Calibri"/>
                <w:color w:val="000000"/>
                <w:sz w:val="14"/>
                <w:szCs w:val="14"/>
              </w:rPr>
            </w:pPr>
            <w:r w:rsidRPr="003003C0">
              <w:rPr>
                <w:rFonts w:cs="Calibri"/>
                <w:color w:val="000000"/>
                <w:sz w:val="14"/>
                <w:szCs w:val="14"/>
              </w:rPr>
              <w:t>0</w:t>
            </w:r>
            <w:r>
              <w:rPr>
                <w:rFonts w:cs="Calibri"/>
                <w:color w:val="000000"/>
                <w:sz w:val="14"/>
                <w:szCs w:val="14"/>
              </w:rPr>
              <w:t>.</w:t>
            </w:r>
            <w:r w:rsidRPr="003003C0">
              <w:rPr>
                <w:rFonts w:cs="Calibri"/>
                <w:color w:val="000000"/>
                <w:sz w:val="14"/>
                <w:szCs w:val="14"/>
              </w:rPr>
              <w:t>2</w:t>
            </w:r>
          </w:p>
        </w:tc>
        <w:tc>
          <w:tcPr>
            <w:tcW w:w="722" w:type="dxa"/>
            <w:noWrap/>
            <w:vAlign w:val="center"/>
            <w:hideMark/>
          </w:tcPr>
          <w:p w14:paraId="18694A6C" w14:textId="77777777" w:rsidR="004F64EF" w:rsidRPr="003003C0" w:rsidRDefault="004F64EF" w:rsidP="00FD6B66">
            <w:pPr>
              <w:jc w:val="right"/>
              <w:rPr>
                <w:rFonts w:cs="Calibri"/>
                <w:color w:val="000000"/>
                <w:sz w:val="14"/>
                <w:szCs w:val="14"/>
              </w:rPr>
            </w:pPr>
            <w:r w:rsidRPr="003003C0">
              <w:rPr>
                <w:rFonts w:cs="Calibri"/>
                <w:color w:val="000000"/>
                <w:sz w:val="14"/>
                <w:szCs w:val="14"/>
              </w:rPr>
              <w:t>0</w:t>
            </w:r>
            <w:r>
              <w:rPr>
                <w:rFonts w:cs="Calibri"/>
                <w:color w:val="000000"/>
                <w:sz w:val="14"/>
                <w:szCs w:val="14"/>
              </w:rPr>
              <w:t>.</w:t>
            </w:r>
            <w:r w:rsidRPr="003003C0">
              <w:rPr>
                <w:rFonts w:cs="Calibri"/>
                <w:color w:val="000000"/>
                <w:sz w:val="14"/>
                <w:szCs w:val="14"/>
              </w:rPr>
              <w:t>2</w:t>
            </w:r>
          </w:p>
        </w:tc>
        <w:tc>
          <w:tcPr>
            <w:tcW w:w="722" w:type="dxa"/>
            <w:noWrap/>
            <w:vAlign w:val="center"/>
            <w:hideMark/>
          </w:tcPr>
          <w:p w14:paraId="1A58DE30" w14:textId="77777777" w:rsidR="004F64EF" w:rsidRPr="003003C0" w:rsidRDefault="004F64EF" w:rsidP="00FD6B66">
            <w:pPr>
              <w:jc w:val="right"/>
              <w:rPr>
                <w:rFonts w:cs="Calibri"/>
                <w:color w:val="000000"/>
                <w:sz w:val="14"/>
                <w:szCs w:val="14"/>
              </w:rPr>
            </w:pPr>
            <w:r w:rsidRPr="003003C0">
              <w:rPr>
                <w:rFonts w:cs="Calibri"/>
                <w:color w:val="000000"/>
                <w:sz w:val="14"/>
                <w:szCs w:val="14"/>
              </w:rPr>
              <w:t>0</w:t>
            </w:r>
            <w:r>
              <w:rPr>
                <w:rFonts w:cs="Calibri"/>
                <w:color w:val="000000"/>
                <w:sz w:val="14"/>
                <w:szCs w:val="14"/>
              </w:rPr>
              <w:t>.</w:t>
            </w:r>
            <w:r w:rsidRPr="003003C0">
              <w:rPr>
                <w:rFonts w:cs="Calibri"/>
                <w:color w:val="000000"/>
                <w:sz w:val="14"/>
                <w:szCs w:val="14"/>
              </w:rPr>
              <w:t>2</w:t>
            </w:r>
          </w:p>
        </w:tc>
      </w:tr>
      <w:tr w:rsidR="004F64EF" w:rsidRPr="003003C0" w14:paraId="6406F192" w14:textId="77777777" w:rsidTr="00FD6B66">
        <w:trPr>
          <w:cnfStyle w:val="000000010000" w:firstRow="0" w:lastRow="0" w:firstColumn="0" w:lastColumn="0" w:oddVBand="0" w:evenVBand="0" w:oddHBand="0" w:evenHBand="1" w:firstRowFirstColumn="0" w:firstRowLastColumn="0" w:lastRowFirstColumn="0" w:lastRowLastColumn="0"/>
          <w:trHeight w:val="20"/>
        </w:trPr>
        <w:tc>
          <w:tcPr>
            <w:tcW w:w="3964" w:type="dxa"/>
            <w:noWrap/>
            <w:vAlign w:val="center"/>
            <w:hideMark/>
          </w:tcPr>
          <w:p w14:paraId="56100099" w14:textId="77777777" w:rsidR="004F64EF" w:rsidRPr="003003C0" w:rsidRDefault="004F64EF" w:rsidP="00FD6B66">
            <w:pPr>
              <w:jc w:val="left"/>
              <w:rPr>
                <w:rFonts w:cs="Calibri"/>
                <w:color w:val="000000"/>
                <w:sz w:val="14"/>
                <w:szCs w:val="14"/>
              </w:rPr>
            </w:pPr>
            <w:r w:rsidRPr="003003C0">
              <w:rPr>
                <w:rFonts w:cs="Calibri"/>
                <w:color w:val="000000"/>
                <w:sz w:val="14"/>
                <w:szCs w:val="14"/>
              </w:rPr>
              <w:t xml:space="preserve">9 - </w:t>
            </w:r>
            <w:r w:rsidRPr="00BD582B">
              <w:rPr>
                <w:rFonts w:cs="Calibri"/>
                <w:color w:val="000000"/>
                <w:sz w:val="14"/>
                <w:szCs w:val="14"/>
              </w:rPr>
              <w:t>Wood and articles of wood; wood charcoal</w:t>
            </w:r>
          </w:p>
        </w:tc>
        <w:tc>
          <w:tcPr>
            <w:tcW w:w="721" w:type="dxa"/>
            <w:noWrap/>
            <w:vAlign w:val="center"/>
            <w:hideMark/>
          </w:tcPr>
          <w:p w14:paraId="3EF3C819" w14:textId="77777777" w:rsidR="004F64EF" w:rsidRPr="003003C0" w:rsidRDefault="004F64EF" w:rsidP="00FD6B66">
            <w:pPr>
              <w:jc w:val="right"/>
              <w:rPr>
                <w:rFonts w:cs="Calibri"/>
                <w:color w:val="000000"/>
                <w:sz w:val="14"/>
                <w:szCs w:val="14"/>
              </w:rPr>
            </w:pPr>
            <w:r w:rsidRPr="003003C0">
              <w:rPr>
                <w:rFonts w:cs="Calibri"/>
                <w:color w:val="000000"/>
                <w:sz w:val="14"/>
                <w:szCs w:val="14"/>
              </w:rPr>
              <w:t>1</w:t>
            </w:r>
            <w:r>
              <w:rPr>
                <w:rFonts w:cs="Calibri"/>
                <w:color w:val="000000"/>
                <w:sz w:val="14"/>
                <w:szCs w:val="14"/>
              </w:rPr>
              <w:t>.</w:t>
            </w:r>
            <w:r w:rsidRPr="003003C0">
              <w:rPr>
                <w:rFonts w:cs="Calibri"/>
                <w:color w:val="000000"/>
                <w:sz w:val="14"/>
                <w:szCs w:val="14"/>
              </w:rPr>
              <w:t>1</w:t>
            </w:r>
          </w:p>
        </w:tc>
        <w:tc>
          <w:tcPr>
            <w:tcW w:w="722" w:type="dxa"/>
            <w:noWrap/>
            <w:vAlign w:val="center"/>
            <w:hideMark/>
          </w:tcPr>
          <w:p w14:paraId="29502ABE" w14:textId="77777777" w:rsidR="004F64EF" w:rsidRPr="003003C0" w:rsidRDefault="004F64EF" w:rsidP="00FD6B66">
            <w:pPr>
              <w:jc w:val="right"/>
              <w:rPr>
                <w:rFonts w:cs="Calibri"/>
                <w:color w:val="000000"/>
                <w:sz w:val="14"/>
                <w:szCs w:val="14"/>
              </w:rPr>
            </w:pPr>
            <w:r w:rsidRPr="003003C0">
              <w:rPr>
                <w:rFonts w:cs="Calibri"/>
                <w:color w:val="000000"/>
                <w:sz w:val="14"/>
                <w:szCs w:val="14"/>
              </w:rPr>
              <w:t>1</w:t>
            </w:r>
            <w:r>
              <w:rPr>
                <w:rFonts w:cs="Calibri"/>
                <w:color w:val="000000"/>
                <w:sz w:val="14"/>
                <w:szCs w:val="14"/>
              </w:rPr>
              <w:t>.</w:t>
            </w:r>
            <w:r w:rsidRPr="003003C0">
              <w:rPr>
                <w:rFonts w:cs="Calibri"/>
                <w:color w:val="000000"/>
                <w:sz w:val="14"/>
                <w:szCs w:val="14"/>
              </w:rPr>
              <w:t>0</w:t>
            </w:r>
          </w:p>
        </w:tc>
        <w:tc>
          <w:tcPr>
            <w:tcW w:w="722" w:type="dxa"/>
            <w:noWrap/>
            <w:vAlign w:val="center"/>
            <w:hideMark/>
          </w:tcPr>
          <w:p w14:paraId="038495B1" w14:textId="77777777" w:rsidR="004F64EF" w:rsidRPr="003003C0" w:rsidRDefault="004F64EF" w:rsidP="00FD6B66">
            <w:pPr>
              <w:jc w:val="right"/>
              <w:rPr>
                <w:rFonts w:cs="Calibri"/>
                <w:color w:val="000000"/>
                <w:sz w:val="14"/>
                <w:szCs w:val="14"/>
              </w:rPr>
            </w:pPr>
            <w:r w:rsidRPr="003003C0">
              <w:rPr>
                <w:rFonts w:cs="Calibri"/>
                <w:color w:val="000000"/>
                <w:sz w:val="14"/>
                <w:szCs w:val="14"/>
              </w:rPr>
              <w:t>1</w:t>
            </w:r>
            <w:r>
              <w:rPr>
                <w:rFonts w:cs="Calibri"/>
                <w:color w:val="000000"/>
                <w:sz w:val="14"/>
                <w:szCs w:val="14"/>
              </w:rPr>
              <w:t>.</w:t>
            </w:r>
            <w:r w:rsidRPr="003003C0">
              <w:rPr>
                <w:rFonts w:cs="Calibri"/>
                <w:color w:val="000000"/>
                <w:sz w:val="14"/>
                <w:szCs w:val="14"/>
              </w:rPr>
              <w:t>1</w:t>
            </w:r>
          </w:p>
        </w:tc>
        <w:tc>
          <w:tcPr>
            <w:tcW w:w="721" w:type="dxa"/>
            <w:noWrap/>
            <w:vAlign w:val="center"/>
            <w:hideMark/>
          </w:tcPr>
          <w:p w14:paraId="106F528A" w14:textId="77777777" w:rsidR="004F64EF" w:rsidRPr="003003C0" w:rsidRDefault="004F64EF" w:rsidP="00FD6B66">
            <w:pPr>
              <w:jc w:val="right"/>
              <w:rPr>
                <w:rFonts w:cs="Calibri"/>
                <w:color w:val="000000"/>
                <w:sz w:val="14"/>
                <w:szCs w:val="14"/>
              </w:rPr>
            </w:pPr>
            <w:r w:rsidRPr="003003C0">
              <w:rPr>
                <w:rFonts w:cs="Calibri"/>
                <w:color w:val="000000"/>
                <w:sz w:val="14"/>
                <w:szCs w:val="14"/>
              </w:rPr>
              <w:t>1</w:t>
            </w:r>
            <w:r>
              <w:rPr>
                <w:rFonts w:cs="Calibri"/>
                <w:color w:val="000000"/>
                <w:sz w:val="14"/>
                <w:szCs w:val="14"/>
              </w:rPr>
              <w:t>.</w:t>
            </w:r>
            <w:r w:rsidRPr="003003C0">
              <w:rPr>
                <w:rFonts w:cs="Calibri"/>
                <w:color w:val="000000"/>
                <w:sz w:val="14"/>
                <w:szCs w:val="14"/>
              </w:rPr>
              <w:t>1</w:t>
            </w:r>
          </w:p>
        </w:tc>
        <w:tc>
          <w:tcPr>
            <w:tcW w:w="722" w:type="dxa"/>
            <w:noWrap/>
            <w:vAlign w:val="center"/>
            <w:hideMark/>
          </w:tcPr>
          <w:p w14:paraId="19BE2431" w14:textId="77777777" w:rsidR="004F64EF" w:rsidRPr="003003C0" w:rsidRDefault="004F64EF" w:rsidP="00FD6B66">
            <w:pPr>
              <w:jc w:val="right"/>
              <w:rPr>
                <w:rFonts w:cs="Calibri"/>
                <w:color w:val="000000"/>
                <w:sz w:val="14"/>
                <w:szCs w:val="14"/>
              </w:rPr>
            </w:pPr>
            <w:r w:rsidRPr="003003C0">
              <w:rPr>
                <w:rFonts w:cs="Calibri"/>
                <w:color w:val="000000"/>
                <w:sz w:val="14"/>
                <w:szCs w:val="14"/>
              </w:rPr>
              <w:t>1</w:t>
            </w:r>
            <w:r>
              <w:rPr>
                <w:rFonts w:cs="Calibri"/>
                <w:color w:val="000000"/>
                <w:sz w:val="14"/>
                <w:szCs w:val="14"/>
              </w:rPr>
              <w:t>.</w:t>
            </w:r>
            <w:r w:rsidRPr="003003C0">
              <w:rPr>
                <w:rFonts w:cs="Calibri"/>
                <w:color w:val="000000"/>
                <w:sz w:val="14"/>
                <w:szCs w:val="14"/>
              </w:rPr>
              <w:t>1</w:t>
            </w:r>
          </w:p>
        </w:tc>
        <w:tc>
          <w:tcPr>
            <w:tcW w:w="722" w:type="dxa"/>
            <w:noWrap/>
            <w:vAlign w:val="center"/>
            <w:hideMark/>
          </w:tcPr>
          <w:p w14:paraId="2E7F3E26" w14:textId="77777777" w:rsidR="004F64EF" w:rsidRPr="003003C0" w:rsidRDefault="004F64EF" w:rsidP="00FD6B66">
            <w:pPr>
              <w:jc w:val="right"/>
              <w:rPr>
                <w:rFonts w:cs="Calibri"/>
                <w:color w:val="000000"/>
                <w:sz w:val="14"/>
                <w:szCs w:val="14"/>
              </w:rPr>
            </w:pPr>
            <w:r w:rsidRPr="003003C0">
              <w:rPr>
                <w:rFonts w:cs="Calibri"/>
                <w:color w:val="000000"/>
                <w:sz w:val="14"/>
                <w:szCs w:val="14"/>
              </w:rPr>
              <w:t>1</w:t>
            </w:r>
            <w:r>
              <w:rPr>
                <w:rFonts w:cs="Calibri"/>
                <w:color w:val="000000"/>
                <w:sz w:val="14"/>
                <w:szCs w:val="14"/>
              </w:rPr>
              <w:t>.</w:t>
            </w:r>
            <w:r w:rsidRPr="003003C0">
              <w:rPr>
                <w:rFonts w:cs="Calibri"/>
                <w:color w:val="000000"/>
                <w:sz w:val="14"/>
                <w:szCs w:val="14"/>
              </w:rPr>
              <w:t>0</w:t>
            </w:r>
          </w:p>
        </w:tc>
        <w:tc>
          <w:tcPr>
            <w:tcW w:w="722" w:type="dxa"/>
            <w:noWrap/>
            <w:vAlign w:val="center"/>
            <w:hideMark/>
          </w:tcPr>
          <w:p w14:paraId="6280032E" w14:textId="77777777" w:rsidR="004F64EF" w:rsidRPr="003003C0" w:rsidRDefault="004F64EF" w:rsidP="00FD6B66">
            <w:pPr>
              <w:jc w:val="right"/>
              <w:rPr>
                <w:rFonts w:cs="Calibri"/>
                <w:color w:val="000000"/>
                <w:sz w:val="14"/>
                <w:szCs w:val="14"/>
              </w:rPr>
            </w:pPr>
            <w:r w:rsidRPr="003003C0">
              <w:rPr>
                <w:rFonts w:cs="Calibri"/>
                <w:color w:val="000000"/>
                <w:sz w:val="14"/>
                <w:szCs w:val="14"/>
              </w:rPr>
              <w:t>1</w:t>
            </w:r>
            <w:r>
              <w:rPr>
                <w:rFonts w:cs="Calibri"/>
                <w:color w:val="000000"/>
                <w:sz w:val="14"/>
                <w:szCs w:val="14"/>
              </w:rPr>
              <w:t>.</w:t>
            </w:r>
            <w:r w:rsidRPr="003003C0">
              <w:rPr>
                <w:rFonts w:cs="Calibri"/>
                <w:color w:val="000000"/>
                <w:sz w:val="14"/>
                <w:szCs w:val="14"/>
              </w:rPr>
              <w:t>2</w:t>
            </w:r>
          </w:p>
        </w:tc>
      </w:tr>
      <w:tr w:rsidR="004F64EF" w:rsidRPr="003003C0" w14:paraId="2E40CC7C" w14:textId="77777777" w:rsidTr="00FD6B66">
        <w:trPr>
          <w:trHeight w:val="20"/>
        </w:trPr>
        <w:tc>
          <w:tcPr>
            <w:tcW w:w="3964" w:type="dxa"/>
            <w:noWrap/>
            <w:vAlign w:val="center"/>
            <w:hideMark/>
          </w:tcPr>
          <w:p w14:paraId="796E6386" w14:textId="77777777" w:rsidR="004F64EF" w:rsidRPr="003003C0" w:rsidRDefault="004F64EF" w:rsidP="00FD6B66">
            <w:pPr>
              <w:jc w:val="left"/>
              <w:rPr>
                <w:rFonts w:cs="Calibri"/>
                <w:color w:val="000000"/>
                <w:sz w:val="14"/>
                <w:szCs w:val="14"/>
              </w:rPr>
            </w:pPr>
            <w:r w:rsidRPr="003003C0">
              <w:rPr>
                <w:rFonts w:cs="Calibri"/>
                <w:color w:val="000000"/>
                <w:sz w:val="14"/>
                <w:szCs w:val="14"/>
              </w:rPr>
              <w:t xml:space="preserve">10 - </w:t>
            </w:r>
            <w:r w:rsidRPr="00BD582B">
              <w:rPr>
                <w:rFonts w:cs="Calibri"/>
                <w:color w:val="000000"/>
                <w:sz w:val="14"/>
                <w:szCs w:val="14"/>
              </w:rPr>
              <w:t>Pulp of wood or of other fibrous cellulosic material; paper and paperboard and articles thereof</w:t>
            </w:r>
          </w:p>
        </w:tc>
        <w:tc>
          <w:tcPr>
            <w:tcW w:w="721" w:type="dxa"/>
            <w:noWrap/>
            <w:vAlign w:val="center"/>
            <w:hideMark/>
          </w:tcPr>
          <w:p w14:paraId="1AED04B1" w14:textId="77777777" w:rsidR="004F64EF" w:rsidRPr="003003C0" w:rsidRDefault="004F64EF" w:rsidP="00FD6B66">
            <w:pPr>
              <w:jc w:val="right"/>
              <w:rPr>
                <w:rFonts w:cs="Calibri"/>
                <w:color w:val="000000"/>
                <w:sz w:val="14"/>
                <w:szCs w:val="14"/>
              </w:rPr>
            </w:pPr>
            <w:r w:rsidRPr="003003C0">
              <w:rPr>
                <w:rFonts w:cs="Calibri"/>
                <w:color w:val="000000"/>
                <w:sz w:val="14"/>
                <w:szCs w:val="14"/>
              </w:rPr>
              <w:t>2</w:t>
            </w:r>
            <w:r>
              <w:rPr>
                <w:rFonts w:cs="Calibri"/>
                <w:color w:val="000000"/>
                <w:sz w:val="14"/>
                <w:szCs w:val="14"/>
              </w:rPr>
              <w:t>.</w:t>
            </w:r>
            <w:r w:rsidRPr="003003C0">
              <w:rPr>
                <w:rFonts w:cs="Calibri"/>
                <w:color w:val="000000"/>
                <w:sz w:val="14"/>
                <w:szCs w:val="14"/>
              </w:rPr>
              <w:t>7</w:t>
            </w:r>
          </w:p>
        </w:tc>
        <w:tc>
          <w:tcPr>
            <w:tcW w:w="722" w:type="dxa"/>
            <w:noWrap/>
            <w:vAlign w:val="center"/>
            <w:hideMark/>
          </w:tcPr>
          <w:p w14:paraId="11D9BB44" w14:textId="77777777" w:rsidR="004F64EF" w:rsidRPr="003003C0" w:rsidRDefault="004F64EF" w:rsidP="00FD6B66">
            <w:pPr>
              <w:jc w:val="right"/>
              <w:rPr>
                <w:rFonts w:cs="Calibri"/>
                <w:color w:val="000000"/>
                <w:sz w:val="14"/>
                <w:szCs w:val="14"/>
              </w:rPr>
            </w:pPr>
            <w:r w:rsidRPr="003003C0">
              <w:rPr>
                <w:rFonts w:cs="Calibri"/>
                <w:color w:val="000000"/>
                <w:sz w:val="14"/>
                <w:szCs w:val="14"/>
              </w:rPr>
              <w:t>2</w:t>
            </w:r>
            <w:r>
              <w:rPr>
                <w:rFonts w:cs="Calibri"/>
                <w:color w:val="000000"/>
                <w:sz w:val="14"/>
                <w:szCs w:val="14"/>
              </w:rPr>
              <w:t>.</w:t>
            </w:r>
            <w:r w:rsidRPr="003003C0">
              <w:rPr>
                <w:rFonts w:cs="Calibri"/>
                <w:color w:val="000000"/>
                <w:sz w:val="14"/>
                <w:szCs w:val="14"/>
              </w:rPr>
              <w:t>5</w:t>
            </w:r>
          </w:p>
        </w:tc>
        <w:tc>
          <w:tcPr>
            <w:tcW w:w="722" w:type="dxa"/>
            <w:noWrap/>
            <w:vAlign w:val="center"/>
            <w:hideMark/>
          </w:tcPr>
          <w:p w14:paraId="68F1E5AF" w14:textId="77777777" w:rsidR="004F64EF" w:rsidRPr="003003C0" w:rsidRDefault="004F64EF" w:rsidP="00FD6B66">
            <w:pPr>
              <w:jc w:val="right"/>
              <w:rPr>
                <w:rFonts w:cs="Calibri"/>
                <w:color w:val="000000"/>
                <w:sz w:val="14"/>
                <w:szCs w:val="14"/>
              </w:rPr>
            </w:pPr>
            <w:r w:rsidRPr="003003C0">
              <w:rPr>
                <w:rFonts w:cs="Calibri"/>
                <w:color w:val="000000"/>
                <w:sz w:val="14"/>
                <w:szCs w:val="14"/>
              </w:rPr>
              <w:t>2</w:t>
            </w:r>
            <w:r>
              <w:rPr>
                <w:rFonts w:cs="Calibri"/>
                <w:color w:val="000000"/>
                <w:sz w:val="14"/>
                <w:szCs w:val="14"/>
              </w:rPr>
              <w:t>.</w:t>
            </w:r>
            <w:r w:rsidRPr="003003C0">
              <w:rPr>
                <w:rFonts w:cs="Calibri"/>
                <w:color w:val="000000"/>
                <w:sz w:val="14"/>
                <w:szCs w:val="14"/>
              </w:rPr>
              <w:t>8</w:t>
            </w:r>
          </w:p>
        </w:tc>
        <w:tc>
          <w:tcPr>
            <w:tcW w:w="721" w:type="dxa"/>
            <w:noWrap/>
            <w:vAlign w:val="center"/>
            <w:hideMark/>
          </w:tcPr>
          <w:p w14:paraId="23055D71" w14:textId="77777777" w:rsidR="004F64EF" w:rsidRPr="003003C0" w:rsidRDefault="004F64EF" w:rsidP="00FD6B66">
            <w:pPr>
              <w:jc w:val="right"/>
              <w:rPr>
                <w:rFonts w:cs="Calibri"/>
                <w:color w:val="000000"/>
                <w:sz w:val="14"/>
                <w:szCs w:val="14"/>
              </w:rPr>
            </w:pPr>
            <w:r w:rsidRPr="003003C0">
              <w:rPr>
                <w:rFonts w:cs="Calibri"/>
                <w:color w:val="000000"/>
                <w:sz w:val="14"/>
                <w:szCs w:val="14"/>
              </w:rPr>
              <w:t>2</w:t>
            </w:r>
            <w:r>
              <w:rPr>
                <w:rFonts w:cs="Calibri"/>
                <w:color w:val="000000"/>
                <w:sz w:val="14"/>
                <w:szCs w:val="14"/>
              </w:rPr>
              <w:t>.</w:t>
            </w:r>
            <w:r w:rsidRPr="003003C0">
              <w:rPr>
                <w:rFonts w:cs="Calibri"/>
                <w:color w:val="000000"/>
                <w:sz w:val="14"/>
                <w:szCs w:val="14"/>
              </w:rPr>
              <w:t>5</w:t>
            </w:r>
          </w:p>
        </w:tc>
        <w:tc>
          <w:tcPr>
            <w:tcW w:w="722" w:type="dxa"/>
            <w:noWrap/>
            <w:vAlign w:val="center"/>
            <w:hideMark/>
          </w:tcPr>
          <w:p w14:paraId="1FDE7CFD" w14:textId="77777777" w:rsidR="004F64EF" w:rsidRPr="003003C0" w:rsidRDefault="004F64EF" w:rsidP="00FD6B66">
            <w:pPr>
              <w:jc w:val="right"/>
              <w:rPr>
                <w:rFonts w:cs="Calibri"/>
                <w:color w:val="000000"/>
                <w:sz w:val="14"/>
                <w:szCs w:val="14"/>
              </w:rPr>
            </w:pPr>
            <w:r w:rsidRPr="003003C0">
              <w:rPr>
                <w:rFonts w:cs="Calibri"/>
                <w:color w:val="000000"/>
                <w:sz w:val="14"/>
                <w:szCs w:val="14"/>
              </w:rPr>
              <w:t>2</w:t>
            </w:r>
            <w:r>
              <w:rPr>
                <w:rFonts w:cs="Calibri"/>
                <w:color w:val="000000"/>
                <w:sz w:val="14"/>
                <w:szCs w:val="14"/>
              </w:rPr>
              <w:t>.</w:t>
            </w:r>
            <w:r w:rsidRPr="003003C0">
              <w:rPr>
                <w:rFonts w:cs="Calibri"/>
                <w:color w:val="000000"/>
                <w:sz w:val="14"/>
                <w:szCs w:val="14"/>
              </w:rPr>
              <w:t>3</w:t>
            </w:r>
          </w:p>
        </w:tc>
        <w:tc>
          <w:tcPr>
            <w:tcW w:w="722" w:type="dxa"/>
            <w:noWrap/>
            <w:vAlign w:val="center"/>
            <w:hideMark/>
          </w:tcPr>
          <w:p w14:paraId="356DAD95" w14:textId="77777777" w:rsidR="004F64EF" w:rsidRPr="003003C0" w:rsidRDefault="004F64EF" w:rsidP="00FD6B66">
            <w:pPr>
              <w:jc w:val="right"/>
              <w:rPr>
                <w:rFonts w:cs="Calibri"/>
                <w:color w:val="000000"/>
                <w:sz w:val="14"/>
                <w:szCs w:val="14"/>
              </w:rPr>
            </w:pPr>
            <w:r w:rsidRPr="003003C0">
              <w:rPr>
                <w:rFonts w:cs="Calibri"/>
                <w:color w:val="000000"/>
                <w:sz w:val="14"/>
                <w:szCs w:val="14"/>
              </w:rPr>
              <w:t>2</w:t>
            </w:r>
            <w:r>
              <w:rPr>
                <w:rFonts w:cs="Calibri"/>
                <w:color w:val="000000"/>
                <w:sz w:val="14"/>
                <w:szCs w:val="14"/>
              </w:rPr>
              <w:t>.</w:t>
            </w:r>
            <w:r w:rsidRPr="003003C0">
              <w:rPr>
                <w:rFonts w:cs="Calibri"/>
                <w:color w:val="000000"/>
                <w:sz w:val="14"/>
                <w:szCs w:val="14"/>
              </w:rPr>
              <w:t>4</w:t>
            </w:r>
          </w:p>
        </w:tc>
        <w:tc>
          <w:tcPr>
            <w:tcW w:w="722" w:type="dxa"/>
            <w:noWrap/>
            <w:vAlign w:val="center"/>
            <w:hideMark/>
          </w:tcPr>
          <w:p w14:paraId="4BA90565" w14:textId="77777777" w:rsidR="004F64EF" w:rsidRPr="003003C0" w:rsidRDefault="004F64EF" w:rsidP="00FD6B66">
            <w:pPr>
              <w:jc w:val="right"/>
              <w:rPr>
                <w:rFonts w:cs="Calibri"/>
                <w:color w:val="000000"/>
                <w:sz w:val="14"/>
                <w:szCs w:val="14"/>
              </w:rPr>
            </w:pPr>
            <w:r w:rsidRPr="003003C0">
              <w:rPr>
                <w:rFonts w:cs="Calibri"/>
                <w:color w:val="000000"/>
                <w:sz w:val="14"/>
                <w:szCs w:val="14"/>
              </w:rPr>
              <w:t>2</w:t>
            </w:r>
            <w:r>
              <w:rPr>
                <w:rFonts w:cs="Calibri"/>
                <w:color w:val="000000"/>
                <w:sz w:val="14"/>
                <w:szCs w:val="14"/>
              </w:rPr>
              <w:t>.</w:t>
            </w:r>
            <w:r w:rsidRPr="003003C0">
              <w:rPr>
                <w:rFonts w:cs="Calibri"/>
                <w:color w:val="000000"/>
                <w:sz w:val="14"/>
                <w:szCs w:val="14"/>
              </w:rPr>
              <w:t>2</w:t>
            </w:r>
          </w:p>
        </w:tc>
      </w:tr>
      <w:tr w:rsidR="004F64EF" w:rsidRPr="003003C0" w14:paraId="220B9E9C" w14:textId="77777777" w:rsidTr="00FD6B66">
        <w:trPr>
          <w:cnfStyle w:val="000000010000" w:firstRow="0" w:lastRow="0" w:firstColumn="0" w:lastColumn="0" w:oddVBand="0" w:evenVBand="0" w:oddHBand="0" w:evenHBand="1" w:firstRowFirstColumn="0" w:firstRowLastColumn="0" w:lastRowFirstColumn="0" w:lastRowLastColumn="0"/>
          <w:trHeight w:val="20"/>
        </w:trPr>
        <w:tc>
          <w:tcPr>
            <w:tcW w:w="3964" w:type="dxa"/>
            <w:noWrap/>
            <w:vAlign w:val="center"/>
            <w:hideMark/>
          </w:tcPr>
          <w:p w14:paraId="06F16DE4" w14:textId="77777777" w:rsidR="004F64EF" w:rsidRPr="003003C0" w:rsidRDefault="004F64EF" w:rsidP="00A839D1">
            <w:pPr>
              <w:tabs>
                <w:tab w:val="left" w:pos="227"/>
              </w:tabs>
              <w:ind w:left="227" w:hanging="227"/>
              <w:jc w:val="left"/>
              <w:rPr>
                <w:rFonts w:cs="Calibri"/>
                <w:color w:val="000000"/>
                <w:sz w:val="14"/>
                <w:szCs w:val="14"/>
              </w:rPr>
            </w:pPr>
            <w:r w:rsidRPr="003003C0">
              <w:rPr>
                <w:rFonts w:cs="Calibri"/>
                <w:color w:val="000000"/>
                <w:sz w:val="14"/>
                <w:szCs w:val="14"/>
              </w:rPr>
              <w:tab/>
              <w:t xml:space="preserve">48. </w:t>
            </w:r>
            <w:r w:rsidRPr="00BD582B">
              <w:rPr>
                <w:rFonts w:cs="Calibri"/>
                <w:color w:val="000000"/>
                <w:sz w:val="14"/>
                <w:szCs w:val="14"/>
              </w:rPr>
              <w:t>Paper and paperboard; articles of paper pulp, of paper or of paperboard</w:t>
            </w:r>
          </w:p>
        </w:tc>
        <w:tc>
          <w:tcPr>
            <w:tcW w:w="721" w:type="dxa"/>
            <w:noWrap/>
            <w:vAlign w:val="center"/>
            <w:hideMark/>
          </w:tcPr>
          <w:p w14:paraId="77118A2F" w14:textId="77777777" w:rsidR="004F64EF" w:rsidRPr="003003C0" w:rsidRDefault="004F64EF" w:rsidP="00FD6B66">
            <w:pPr>
              <w:jc w:val="right"/>
              <w:rPr>
                <w:rFonts w:cs="Calibri"/>
                <w:color w:val="000000"/>
                <w:sz w:val="14"/>
                <w:szCs w:val="14"/>
              </w:rPr>
            </w:pPr>
            <w:r w:rsidRPr="003003C0">
              <w:rPr>
                <w:rFonts w:cs="Calibri"/>
                <w:color w:val="000000"/>
                <w:sz w:val="14"/>
                <w:szCs w:val="14"/>
              </w:rPr>
              <w:t>2</w:t>
            </w:r>
            <w:r>
              <w:rPr>
                <w:rFonts w:cs="Calibri"/>
                <w:color w:val="000000"/>
                <w:sz w:val="14"/>
                <w:szCs w:val="14"/>
              </w:rPr>
              <w:t>.</w:t>
            </w:r>
            <w:r w:rsidRPr="003003C0">
              <w:rPr>
                <w:rFonts w:cs="Calibri"/>
                <w:color w:val="000000"/>
                <w:sz w:val="14"/>
                <w:szCs w:val="14"/>
              </w:rPr>
              <w:t>3</w:t>
            </w:r>
          </w:p>
        </w:tc>
        <w:tc>
          <w:tcPr>
            <w:tcW w:w="722" w:type="dxa"/>
            <w:noWrap/>
            <w:vAlign w:val="center"/>
            <w:hideMark/>
          </w:tcPr>
          <w:p w14:paraId="76EF1C6A" w14:textId="77777777" w:rsidR="004F64EF" w:rsidRPr="003003C0" w:rsidRDefault="004F64EF" w:rsidP="00FD6B66">
            <w:pPr>
              <w:jc w:val="right"/>
              <w:rPr>
                <w:rFonts w:cs="Calibri"/>
                <w:color w:val="000000"/>
                <w:sz w:val="14"/>
                <w:szCs w:val="14"/>
              </w:rPr>
            </w:pPr>
            <w:r w:rsidRPr="003003C0">
              <w:rPr>
                <w:rFonts w:cs="Calibri"/>
                <w:color w:val="000000"/>
                <w:sz w:val="14"/>
                <w:szCs w:val="14"/>
              </w:rPr>
              <w:t>2</w:t>
            </w:r>
            <w:r>
              <w:rPr>
                <w:rFonts w:cs="Calibri"/>
                <w:color w:val="000000"/>
                <w:sz w:val="14"/>
                <w:szCs w:val="14"/>
              </w:rPr>
              <w:t>.</w:t>
            </w:r>
            <w:r w:rsidRPr="003003C0">
              <w:rPr>
                <w:rFonts w:cs="Calibri"/>
                <w:color w:val="000000"/>
                <w:sz w:val="14"/>
                <w:szCs w:val="14"/>
              </w:rPr>
              <w:t>1</w:t>
            </w:r>
          </w:p>
        </w:tc>
        <w:tc>
          <w:tcPr>
            <w:tcW w:w="722" w:type="dxa"/>
            <w:noWrap/>
            <w:vAlign w:val="center"/>
            <w:hideMark/>
          </w:tcPr>
          <w:p w14:paraId="4E220BB6" w14:textId="77777777" w:rsidR="004F64EF" w:rsidRPr="003003C0" w:rsidRDefault="004F64EF" w:rsidP="00FD6B66">
            <w:pPr>
              <w:jc w:val="right"/>
              <w:rPr>
                <w:rFonts w:cs="Calibri"/>
                <w:color w:val="000000"/>
                <w:sz w:val="14"/>
                <w:szCs w:val="14"/>
              </w:rPr>
            </w:pPr>
            <w:r w:rsidRPr="003003C0">
              <w:rPr>
                <w:rFonts w:cs="Calibri"/>
                <w:color w:val="000000"/>
                <w:sz w:val="14"/>
                <w:szCs w:val="14"/>
              </w:rPr>
              <w:t>2</w:t>
            </w:r>
            <w:r>
              <w:rPr>
                <w:rFonts w:cs="Calibri"/>
                <w:color w:val="000000"/>
                <w:sz w:val="14"/>
                <w:szCs w:val="14"/>
              </w:rPr>
              <w:t>.</w:t>
            </w:r>
            <w:r w:rsidRPr="003003C0">
              <w:rPr>
                <w:rFonts w:cs="Calibri"/>
                <w:color w:val="000000"/>
                <w:sz w:val="14"/>
                <w:szCs w:val="14"/>
              </w:rPr>
              <w:t>3</w:t>
            </w:r>
          </w:p>
        </w:tc>
        <w:tc>
          <w:tcPr>
            <w:tcW w:w="721" w:type="dxa"/>
            <w:noWrap/>
            <w:vAlign w:val="center"/>
            <w:hideMark/>
          </w:tcPr>
          <w:p w14:paraId="0B28330A" w14:textId="77777777" w:rsidR="004F64EF" w:rsidRPr="003003C0" w:rsidRDefault="004F64EF" w:rsidP="00FD6B66">
            <w:pPr>
              <w:jc w:val="right"/>
              <w:rPr>
                <w:rFonts w:cs="Calibri"/>
                <w:color w:val="000000"/>
                <w:sz w:val="14"/>
                <w:szCs w:val="14"/>
              </w:rPr>
            </w:pPr>
            <w:r w:rsidRPr="003003C0">
              <w:rPr>
                <w:rFonts w:cs="Calibri"/>
                <w:color w:val="000000"/>
                <w:sz w:val="14"/>
                <w:szCs w:val="14"/>
              </w:rPr>
              <w:t>2</w:t>
            </w:r>
            <w:r>
              <w:rPr>
                <w:rFonts w:cs="Calibri"/>
                <w:color w:val="000000"/>
                <w:sz w:val="14"/>
                <w:szCs w:val="14"/>
              </w:rPr>
              <w:t>.</w:t>
            </w:r>
            <w:r w:rsidRPr="003003C0">
              <w:rPr>
                <w:rFonts w:cs="Calibri"/>
                <w:color w:val="000000"/>
                <w:sz w:val="14"/>
                <w:szCs w:val="14"/>
              </w:rPr>
              <w:t>0</w:t>
            </w:r>
          </w:p>
        </w:tc>
        <w:tc>
          <w:tcPr>
            <w:tcW w:w="722" w:type="dxa"/>
            <w:noWrap/>
            <w:vAlign w:val="center"/>
            <w:hideMark/>
          </w:tcPr>
          <w:p w14:paraId="203ACC05" w14:textId="77777777" w:rsidR="004F64EF" w:rsidRPr="003003C0" w:rsidRDefault="004F64EF" w:rsidP="00FD6B66">
            <w:pPr>
              <w:jc w:val="right"/>
              <w:rPr>
                <w:rFonts w:cs="Calibri"/>
                <w:color w:val="000000"/>
                <w:sz w:val="14"/>
                <w:szCs w:val="14"/>
              </w:rPr>
            </w:pPr>
            <w:r w:rsidRPr="003003C0">
              <w:rPr>
                <w:rFonts w:cs="Calibri"/>
                <w:color w:val="000000"/>
                <w:sz w:val="14"/>
                <w:szCs w:val="14"/>
              </w:rPr>
              <w:t>2</w:t>
            </w:r>
            <w:r>
              <w:rPr>
                <w:rFonts w:cs="Calibri"/>
                <w:color w:val="000000"/>
                <w:sz w:val="14"/>
                <w:szCs w:val="14"/>
              </w:rPr>
              <w:t>.</w:t>
            </w:r>
            <w:r w:rsidRPr="003003C0">
              <w:rPr>
                <w:rFonts w:cs="Calibri"/>
                <w:color w:val="000000"/>
                <w:sz w:val="14"/>
                <w:szCs w:val="14"/>
              </w:rPr>
              <w:t>0</w:t>
            </w:r>
          </w:p>
        </w:tc>
        <w:tc>
          <w:tcPr>
            <w:tcW w:w="722" w:type="dxa"/>
            <w:noWrap/>
            <w:vAlign w:val="center"/>
            <w:hideMark/>
          </w:tcPr>
          <w:p w14:paraId="0AB196F0" w14:textId="77777777" w:rsidR="004F64EF" w:rsidRPr="003003C0" w:rsidRDefault="004F64EF" w:rsidP="00FD6B66">
            <w:pPr>
              <w:jc w:val="right"/>
              <w:rPr>
                <w:rFonts w:cs="Calibri"/>
                <w:color w:val="000000"/>
                <w:sz w:val="14"/>
                <w:szCs w:val="14"/>
              </w:rPr>
            </w:pPr>
            <w:r w:rsidRPr="003003C0">
              <w:rPr>
                <w:rFonts w:cs="Calibri"/>
                <w:color w:val="000000"/>
                <w:sz w:val="14"/>
                <w:szCs w:val="14"/>
              </w:rPr>
              <w:t>2</w:t>
            </w:r>
            <w:r>
              <w:rPr>
                <w:rFonts w:cs="Calibri"/>
                <w:color w:val="000000"/>
                <w:sz w:val="14"/>
                <w:szCs w:val="14"/>
              </w:rPr>
              <w:t>.</w:t>
            </w:r>
            <w:r w:rsidRPr="003003C0">
              <w:rPr>
                <w:rFonts w:cs="Calibri"/>
                <w:color w:val="000000"/>
                <w:sz w:val="14"/>
                <w:szCs w:val="14"/>
              </w:rPr>
              <w:t>1</w:t>
            </w:r>
          </w:p>
        </w:tc>
        <w:tc>
          <w:tcPr>
            <w:tcW w:w="722" w:type="dxa"/>
            <w:noWrap/>
            <w:vAlign w:val="center"/>
            <w:hideMark/>
          </w:tcPr>
          <w:p w14:paraId="59F834BA" w14:textId="77777777" w:rsidR="004F64EF" w:rsidRPr="003003C0" w:rsidRDefault="004F64EF" w:rsidP="00FD6B66">
            <w:pPr>
              <w:jc w:val="right"/>
              <w:rPr>
                <w:rFonts w:cs="Calibri"/>
                <w:color w:val="000000"/>
                <w:sz w:val="14"/>
                <w:szCs w:val="14"/>
              </w:rPr>
            </w:pPr>
            <w:r w:rsidRPr="003003C0">
              <w:rPr>
                <w:rFonts w:cs="Calibri"/>
                <w:color w:val="000000"/>
                <w:sz w:val="14"/>
                <w:szCs w:val="14"/>
              </w:rPr>
              <w:t>2</w:t>
            </w:r>
            <w:r>
              <w:rPr>
                <w:rFonts w:cs="Calibri"/>
                <w:color w:val="000000"/>
                <w:sz w:val="14"/>
                <w:szCs w:val="14"/>
              </w:rPr>
              <w:t>.</w:t>
            </w:r>
            <w:r w:rsidRPr="003003C0">
              <w:rPr>
                <w:rFonts w:cs="Calibri"/>
                <w:color w:val="000000"/>
                <w:sz w:val="14"/>
                <w:szCs w:val="14"/>
              </w:rPr>
              <w:t>0</w:t>
            </w:r>
          </w:p>
        </w:tc>
      </w:tr>
      <w:tr w:rsidR="004F64EF" w:rsidRPr="003003C0" w14:paraId="2AE127EC" w14:textId="77777777" w:rsidTr="00FD6B66">
        <w:trPr>
          <w:trHeight w:val="20"/>
        </w:trPr>
        <w:tc>
          <w:tcPr>
            <w:tcW w:w="3964" w:type="dxa"/>
            <w:noWrap/>
            <w:vAlign w:val="center"/>
            <w:hideMark/>
          </w:tcPr>
          <w:p w14:paraId="32D094C0" w14:textId="77777777" w:rsidR="004F64EF" w:rsidRPr="003003C0" w:rsidRDefault="004F64EF" w:rsidP="00A839D1">
            <w:pPr>
              <w:tabs>
                <w:tab w:val="left" w:pos="227"/>
              </w:tabs>
              <w:ind w:left="227" w:hanging="227"/>
              <w:jc w:val="left"/>
              <w:rPr>
                <w:rFonts w:cs="Calibri"/>
                <w:color w:val="000000"/>
                <w:sz w:val="14"/>
                <w:szCs w:val="14"/>
              </w:rPr>
            </w:pPr>
            <w:r w:rsidRPr="003003C0">
              <w:rPr>
                <w:rFonts w:cs="Calibri"/>
                <w:color w:val="000000"/>
                <w:sz w:val="14"/>
                <w:szCs w:val="14"/>
              </w:rPr>
              <w:tab/>
              <w:t xml:space="preserve">49. </w:t>
            </w:r>
            <w:r w:rsidRPr="00BD582B">
              <w:rPr>
                <w:rFonts w:cs="Calibri"/>
                <w:color w:val="000000"/>
                <w:sz w:val="14"/>
                <w:szCs w:val="14"/>
              </w:rPr>
              <w:t>Printed books, newspapers, pictures; manuscripts</w:t>
            </w:r>
          </w:p>
        </w:tc>
        <w:tc>
          <w:tcPr>
            <w:tcW w:w="721" w:type="dxa"/>
            <w:noWrap/>
            <w:vAlign w:val="center"/>
            <w:hideMark/>
          </w:tcPr>
          <w:p w14:paraId="06E74792" w14:textId="77777777" w:rsidR="004F64EF" w:rsidRPr="003003C0" w:rsidRDefault="004F64EF" w:rsidP="00FD6B66">
            <w:pPr>
              <w:jc w:val="right"/>
              <w:rPr>
                <w:rFonts w:cs="Calibri"/>
                <w:color w:val="000000"/>
                <w:sz w:val="14"/>
                <w:szCs w:val="14"/>
              </w:rPr>
            </w:pPr>
            <w:r w:rsidRPr="003003C0">
              <w:rPr>
                <w:rFonts w:cs="Calibri"/>
                <w:color w:val="000000"/>
                <w:sz w:val="14"/>
                <w:szCs w:val="14"/>
              </w:rPr>
              <w:t>0</w:t>
            </w:r>
            <w:r>
              <w:rPr>
                <w:rFonts w:cs="Calibri"/>
                <w:color w:val="000000"/>
                <w:sz w:val="14"/>
                <w:szCs w:val="14"/>
              </w:rPr>
              <w:t>.</w:t>
            </w:r>
            <w:r w:rsidRPr="003003C0">
              <w:rPr>
                <w:rFonts w:cs="Calibri"/>
                <w:color w:val="000000"/>
                <w:sz w:val="14"/>
                <w:szCs w:val="14"/>
              </w:rPr>
              <w:t>3</w:t>
            </w:r>
          </w:p>
        </w:tc>
        <w:tc>
          <w:tcPr>
            <w:tcW w:w="722" w:type="dxa"/>
            <w:noWrap/>
            <w:vAlign w:val="center"/>
            <w:hideMark/>
          </w:tcPr>
          <w:p w14:paraId="71B159E4" w14:textId="77777777" w:rsidR="004F64EF" w:rsidRPr="003003C0" w:rsidRDefault="004F64EF" w:rsidP="00FD6B66">
            <w:pPr>
              <w:jc w:val="right"/>
              <w:rPr>
                <w:rFonts w:cs="Calibri"/>
                <w:color w:val="000000"/>
                <w:sz w:val="14"/>
                <w:szCs w:val="14"/>
              </w:rPr>
            </w:pPr>
            <w:r w:rsidRPr="003003C0">
              <w:rPr>
                <w:rFonts w:cs="Calibri"/>
                <w:color w:val="000000"/>
                <w:sz w:val="14"/>
                <w:szCs w:val="14"/>
              </w:rPr>
              <w:t>0</w:t>
            </w:r>
            <w:r>
              <w:rPr>
                <w:rFonts w:cs="Calibri"/>
                <w:color w:val="000000"/>
                <w:sz w:val="14"/>
                <w:szCs w:val="14"/>
              </w:rPr>
              <w:t>.</w:t>
            </w:r>
            <w:r w:rsidRPr="003003C0">
              <w:rPr>
                <w:rFonts w:cs="Calibri"/>
                <w:color w:val="000000"/>
                <w:sz w:val="14"/>
                <w:szCs w:val="14"/>
              </w:rPr>
              <w:t>3</w:t>
            </w:r>
          </w:p>
        </w:tc>
        <w:tc>
          <w:tcPr>
            <w:tcW w:w="722" w:type="dxa"/>
            <w:noWrap/>
            <w:vAlign w:val="center"/>
            <w:hideMark/>
          </w:tcPr>
          <w:p w14:paraId="3BD28653" w14:textId="77777777" w:rsidR="004F64EF" w:rsidRPr="003003C0" w:rsidRDefault="004F64EF" w:rsidP="00FD6B66">
            <w:pPr>
              <w:jc w:val="right"/>
              <w:rPr>
                <w:rFonts w:cs="Calibri"/>
                <w:color w:val="000000"/>
                <w:sz w:val="14"/>
                <w:szCs w:val="14"/>
              </w:rPr>
            </w:pPr>
            <w:r w:rsidRPr="003003C0">
              <w:rPr>
                <w:rFonts w:cs="Calibri"/>
                <w:color w:val="000000"/>
                <w:sz w:val="14"/>
                <w:szCs w:val="14"/>
              </w:rPr>
              <w:t>0</w:t>
            </w:r>
            <w:r>
              <w:rPr>
                <w:rFonts w:cs="Calibri"/>
                <w:color w:val="000000"/>
                <w:sz w:val="14"/>
                <w:szCs w:val="14"/>
              </w:rPr>
              <w:t>.</w:t>
            </w:r>
            <w:r w:rsidRPr="003003C0">
              <w:rPr>
                <w:rFonts w:cs="Calibri"/>
                <w:color w:val="000000"/>
                <w:sz w:val="14"/>
                <w:szCs w:val="14"/>
              </w:rPr>
              <w:t>4</w:t>
            </w:r>
          </w:p>
        </w:tc>
        <w:tc>
          <w:tcPr>
            <w:tcW w:w="721" w:type="dxa"/>
            <w:noWrap/>
            <w:vAlign w:val="center"/>
            <w:hideMark/>
          </w:tcPr>
          <w:p w14:paraId="1677F9CB" w14:textId="77777777" w:rsidR="004F64EF" w:rsidRPr="003003C0" w:rsidRDefault="004F64EF" w:rsidP="00FD6B66">
            <w:pPr>
              <w:jc w:val="right"/>
              <w:rPr>
                <w:rFonts w:cs="Calibri"/>
                <w:color w:val="000000"/>
                <w:sz w:val="14"/>
                <w:szCs w:val="14"/>
              </w:rPr>
            </w:pPr>
            <w:r w:rsidRPr="003003C0">
              <w:rPr>
                <w:rFonts w:cs="Calibri"/>
                <w:color w:val="000000"/>
                <w:sz w:val="14"/>
                <w:szCs w:val="14"/>
              </w:rPr>
              <w:t>0</w:t>
            </w:r>
            <w:r>
              <w:rPr>
                <w:rFonts w:cs="Calibri"/>
                <w:color w:val="000000"/>
                <w:sz w:val="14"/>
                <w:szCs w:val="14"/>
              </w:rPr>
              <w:t>.</w:t>
            </w:r>
            <w:r w:rsidRPr="003003C0">
              <w:rPr>
                <w:rFonts w:cs="Calibri"/>
                <w:color w:val="000000"/>
                <w:sz w:val="14"/>
                <w:szCs w:val="14"/>
              </w:rPr>
              <w:t>4</w:t>
            </w:r>
          </w:p>
        </w:tc>
        <w:tc>
          <w:tcPr>
            <w:tcW w:w="722" w:type="dxa"/>
            <w:noWrap/>
            <w:vAlign w:val="center"/>
            <w:hideMark/>
          </w:tcPr>
          <w:p w14:paraId="13B699D8" w14:textId="77777777" w:rsidR="004F64EF" w:rsidRPr="003003C0" w:rsidRDefault="004F64EF" w:rsidP="00FD6B66">
            <w:pPr>
              <w:jc w:val="right"/>
              <w:rPr>
                <w:rFonts w:cs="Calibri"/>
                <w:color w:val="000000"/>
                <w:sz w:val="14"/>
                <w:szCs w:val="14"/>
              </w:rPr>
            </w:pPr>
            <w:r w:rsidRPr="003003C0">
              <w:rPr>
                <w:rFonts w:cs="Calibri"/>
                <w:color w:val="000000"/>
                <w:sz w:val="14"/>
                <w:szCs w:val="14"/>
              </w:rPr>
              <w:t>0</w:t>
            </w:r>
            <w:r>
              <w:rPr>
                <w:rFonts w:cs="Calibri"/>
                <w:color w:val="000000"/>
                <w:sz w:val="14"/>
                <w:szCs w:val="14"/>
              </w:rPr>
              <w:t>.</w:t>
            </w:r>
            <w:r w:rsidRPr="003003C0">
              <w:rPr>
                <w:rFonts w:cs="Calibri"/>
                <w:color w:val="000000"/>
                <w:sz w:val="14"/>
                <w:szCs w:val="14"/>
              </w:rPr>
              <w:t>3</w:t>
            </w:r>
          </w:p>
        </w:tc>
        <w:tc>
          <w:tcPr>
            <w:tcW w:w="722" w:type="dxa"/>
            <w:noWrap/>
            <w:vAlign w:val="center"/>
            <w:hideMark/>
          </w:tcPr>
          <w:p w14:paraId="5F38B6AE" w14:textId="77777777" w:rsidR="004F64EF" w:rsidRPr="003003C0" w:rsidRDefault="004F64EF" w:rsidP="00FD6B66">
            <w:pPr>
              <w:jc w:val="right"/>
              <w:rPr>
                <w:rFonts w:cs="Calibri"/>
                <w:color w:val="000000"/>
                <w:sz w:val="14"/>
                <w:szCs w:val="14"/>
              </w:rPr>
            </w:pPr>
            <w:r w:rsidRPr="003003C0">
              <w:rPr>
                <w:rFonts w:cs="Calibri"/>
                <w:color w:val="000000"/>
                <w:sz w:val="14"/>
                <w:szCs w:val="14"/>
              </w:rPr>
              <w:t>0</w:t>
            </w:r>
            <w:r>
              <w:rPr>
                <w:rFonts w:cs="Calibri"/>
                <w:color w:val="000000"/>
                <w:sz w:val="14"/>
                <w:szCs w:val="14"/>
              </w:rPr>
              <w:t>.</w:t>
            </w:r>
            <w:r w:rsidRPr="003003C0">
              <w:rPr>
                <w:rFonts w:cs="Calibri"/>
                <w:color w:val="000000"/>
                <w:sz w:val="14"/>
                <w:szCs w:val="14"/>
              </w:rPr>
              <w:t>3</w:t>
            </w:r>
          </w:p>
        </w:tc>
        <w:tc>
          <w:tcPr>
            <w:tcW w:w="722" w:type="dxa"/>
            <w:noWrap/>
            <w:vAlign w:val="center"/>
            <w:hideMark/>
          </w:tcPr>
          <w:p w14:paraId="1DC5086E" w14:textId="77777777" w:rsidR="004F64EF" w:rsidRPr="003003C0" w:rsidRDefault="004F64EF" w:rsidP="00FD6B66">
            <w:pPr>
              <w:jc w:val="right"/>
              <w:rPr>
                <w:rFonts w:cs="Calibri"/>
                <w:color w:val="000000"/>
                <w:sz w:val="14"/>
                <w:szCs w:val="14"/>
              </w:rPr>
            </w:pPr>
            <w:r w:rsidRPr="003003C0">
              <w:rPr>
                <w:rFonts w:cs="Calibri"/>
                <w:color w:val="000000"/>
                <w:sz w:val="14"/>
                <w:szCs w:val="14"/>
              </w:rPr>
              <w:t>0</w:t>
            </w:r>
            <w:r>
              <w:rPr>
                <w:rFonts w:cs="Calibri"/>
                <w:color w:val="000000"/>
                <w:sz w:val="14"/>
                <w:szCs w:val="14"/>
              </w:rPr>
              <w:t>.</w:t>
            </w:r>
            <w:r w:rsidRPr="003003C0">
              <w:rPr>
                <w:rFonts w:cs="Calibri"/>
                <w:color w:val="000000"/>
                <w:sz w:val="14"/>
                <w:szCs w:val="14"/>
              </w:rPr>
              <w:t>2</w:t>
            </w:r>
          </w:p>
        </w:tc>
      </w:tr>
      <w:tr w:rsidR="004F64EF" w:rsidRPr="003003C0" w14:paraId="7DD58A0C" w14:textId="77777777" w:rsidTr="00FD6B66">
        <w:trPr>
          <w:cnfStyle w:val="000000010000" w:firstRow="0" w:lastRow="0" w:firstColumn="0" w:lastColumn="0" w:oddVBand="0" w:evenVBand="0" w:oddHBand="0" w:evenHBand="1" w:firstRowFirstColumn="0" w:firstRowLastColumn="0" w:lastRowFirstColumn="0" w:lastRowLastColumn="0"/>
          <w:trHeight w:val="20"/>
        </w:trPr>
        <w:tc>
          <w:tcPr>
            <w:tcW w:w="3964" w:type="dxa"/>
            <w:noWrap/>
            <w:vAlign w:val="center"/>
            <w:hideMark/>
          </w:tcPr>
          <w:p w14:paraId="1AC558E9" w14:textId="77777777" w:rsidR="004F64EF" w:rsidRPr="003003C0" w:rsidRDefault="004F64EF" w:rsidP="00FD6B66">
            <w:pPr>
              <w:keepNext/>
              <w:keepLines/>
              <w:jc w:val="left"/>
              <w:rPr>
                <w:rFonts w:cs="Calibri"/>
                <w:color w:val="000000"/>
                <w:sz w:val="14"/>
                <w:szCs w:val="14"/>
              </w:rPr>
            </w:pPr>
            <w:r w:rsidRPr="003003C0">
              <w:rPr>
                <w:rFonts w:cs="Calibri"/>
                <w:color w:val="000000"/>
                <w:sz w:val="14"/>
                <w:szCs w:val="14"/>
              </w:rPr>
              <w:t xml:space="preserve">11 </w:t>
            </w:r>
            <w:r>
              <w:rPr>
                <w:rFonts w:cs="Calibri"/>
                <w:color w:val="000000"/>
                <w:sz w:val="14"/>
                <w:szCs w:val="14"/>
              </w:rPr>
              <w:t>–</w:t>
            </w:r>
            <w:r w:rsidRPr="003003C0">
              <w:rPr>
                <w:rFonts w:cs="Calibri"/>
                <w:color w:val="000000"/>
                <w:sz w:val="14"/>
                <w:szCs w:val="14"/>
              </w:rPr>
              <w:t xml:space="preserve"> </w:t>
            </w:r>
            <w:r>
              <w:rPr>
                <w:rFonts w:cs="Calibri"/>
                <w:color w:val="000000"/>
                <w:sz w:val="14"/>
                <w:szCs w:val="14"/>
              </w:rPr>
              <w:t>Textiles and textile articles</w:t>
            </w:r>
          </w:p>
        </w:tc>
        <w:tc>
          <w:tcPr>
            <w:tcW w:w="721" w:type="dxa"/>
            <w:noWrap/>
            <w:vAlign w:val="center"/>
            <w:hideMark/>
          </w:tcPr>
          <w:p w14:paraId="1FF0A3C2" w14:textId="77777777" w:rsidR="004F64EF" w:rsidRPr="003003C0" w:rsidRDefault="004F64EF" w:rsidP="00FD6B66">
            <w:pPr>
              <w:jc w:val="right"/>
              <w:rPr>
                <w:rFonts w:cs="Calibri"/>
                <w:color w:val="000000"/>
                <w:sz w:val="14"/>
                <w:szCs w:val="14"/>
              </w:rPr>
            </w:pPr>
            <w:r w:rsidRPr="003003C0">
              <w:rPr>
                <w:rFonts w:cs="Calibri"/>
                <w:color w:val="000000"/>
                <w:sz w:val="14"/>
                <w:szCs w:val="14"/>
              </w:rPr>
              <w:t>2</w:t>
            </w:r>
            <w:r>
              <w:rPr>
                <w:rFonts w:cs="Calibri"/>
                <w:color w:val="000000"/>
                <w:sz w:val="14"/>
                <w:szCs w:val="14"/>
              </w:rPr>
              <w:t>.</w:t>
            </w:r>
            <w:r w:rsidRPr="003003C0">
              <w:rPr>
                <w:rFonts w:cs="Calibri"/>
                <w:color w:val="000000"/>
                <w:sz w:val="14"/>
                <w:szCs w:val="14"/>
              </w:rPr>
              <w:t>5</w:t>
            </w:r>
          </w:p>
        </w:tc>
        <w:tc>
          <w:tcPr>
            <w:tcW w:w="722" w:type="dxa"/>
            <w:noWrap/>
            <w:vAlign w:val="center"/>
            <w:hideMark/>
          </w:tcPr>
          <w:p w14:paraId="6DC71D65" w14:textId="77777777" w:rsidR="004F64EF" w:rsidRPr="003003C0" w:rsidRDefault="004F64EF" w:rsidP="00FD6B66">
            <w:pPr>
              <w:jc w:val="right"/>
              <w:rPr>
                <w:rFonts w:cs="Calibri"/>
                <w:color w:val="000000"/>
                <w:sz w:val="14"/>
                <w:szCs w:val="14"/>
              </w:rPr>
            </w:pPr>
            <w:r w:rsidRPr="003003C0">
              <w:rPr>
                <w:rFonts w:cs="Calibri"/>
                <w:color w:val="000000"/>
                <w:sz w:val="14"/>
                <w:szCs w:val="14"/>
              </w:rPr>
              <w:t>2</w:t>
            </w:r>
            <w:r>
              <w:rPr>
                <w:rFonts w:cs="Calibri"/>
                <w:color w:val="000000"/>
                <w:sz w:val="14"/>
                <w:szCs w:val="14"/>
              </w:rPr>
              <w:t>.</w:t>
            </w:r>
            <w:r w:rsidRPr="003003C0">
              <w:rPr>
                <w:rFonts w:cs="Calibri"/>
                <w:color w:val="000000"/>
                <w:sz w:val="14"/>
                <w:szCs w:val="14"/>
              </w:rPr>
              <w:t>5</w:t>
            </w:r>
          </w:p>
        </w:tc>
        <w:tc>
          <w:tcPr>
            <w:tcW w:w="722" w:type="dxa"/>
            <w:noWrap/>
            <w:vAlign w:val="center"/>
            <w:hideMark/>
          </w:tcPr>
          <w:p w14:paraId="0ABF9651" w14:textId="77777777" w:rsidR="004F64EF" w:rsidRPr="003003C0" w:rsidRDefault="004F64EF" w:rsidP="00FD6B66">
            <w:pPr>
              <w:jc w:val="right"/>
              <w:rPr>
                <w:rFonts w:cs="Calibri"/>
                <w:color w:val="000000"/>
                <w:sz w:val="14"/>
                <w:szCs w:val="14"/>
              </w:rPr>
            </w:pPr>
            <w:r w:rsidRPr="003003C0">
              <w:rPr>
                <w:rFonts w:cs="Calibri"/>
                <w:color w:val="000000"/>
                <w:sz w:val="14"/>
                <w:szCs w:val="14"/>
              </w:rPr>
              <w:t>2</w:t>
            </w:r>
            <w:r>
              <w:rPr>
                <w:rFonts w:cs="Calibri"/>
                <w:color w:val="000000"/>
                <w:sz w:val="14"/>
                <w:szCs w:val="14"/>
              </w:rPr>
              <w:t>.</w:t>
            </w:r>
            <w:r w:rsidRPr="003003C0">
              <w:rPr>
                <w:rFonts w:cs="Calibri"/>
                <w:color w:val="000000"/>
                <w:sz w:val="14"/>
                <w:szCs w:val="14"/>
              </w:rPr>
              <w:t>7</w:t>
            </w:r>
          </w:p>
        </w:tc>
        <w:tc>
          <w:tcPr>
            <w:tcW w:w="721" w:type="dxa"/>
            <w:noWrap/>
            <w:vAlign w:val="center"/>
            <w:hideMark/>
          </w:tcPr>
          <w:p w14:paraId="72F6672E" w14:textId="77777777" w:rsidR="004F64EF" w:rsidRPr="003003C0" w:rsidRDefault="004F64EF" w:rsidP="00FD6B66">
            <w:pPr>
              <w:jc w:val="right"/>
              <w:rPr>
                <w:rFonts w:cs="Calibri"/>
                <w:color w:val="000000"/>
                <w:sz w:val="14"/>
                <w:szCs w:val="14"/>
              </w:rPr>
            </w:pPr>
            <w:r w:rsidRPr="003003C0">
              <w:rPr>
                <w:rFonts w:cs="Calibri"/>
                <w:color w:val="000000"/>
                <w:sz w:val="14"/>
                <w:szCs w:val="14"/>
              </w:rPr>
              <w:t>2</w:t>
            </w:r>
            <w:r>
              <w:rPr>
                <w:rFonts w:cs="Calibri"/>
                <w:color w:val="000000"/>
                <w:sz w:val="14"/>
                <w:szCs w:val="14"/>
              </w:rPr>
              <w:t>.</w:t>
            </w:r>
            <w:r w:rsidRPr="003003C0">
              <w:rPr>
                <w:rFonts w:cs="Calibri"/>
                <w:color w:val="000000"/>
                <w:sz w:val="14"/>
                <w:szCs w:val="14"/>
              </w:rPr>
              <w:t>3</w:t>
            </w:r>
          </w:p>
        </w:tc>
        <w:tc>
          <w:tcPr>
            <w:tcW w:w="722" w:type="dxa"/>
            <w:noWrap/>
            <w:vAlign w:val="center"/>
            <w:hideMark/>
          </w:tcPr>
          <w:p w14:paraId="71E15408" w14:textId="77777777" w:rsidR="004F64EF" w:rsidRPr="003003C0" w:rsidRDefault="004F64EF" w:rsidP="00FD6B66">
            <w:pPr>
              <w:jc w:val="right"/>
              <w:rPr>
                <w:rFonts w:cs="Calibri"/>
                <w:color w:val="000000"/>
                <w:sz w:val="14"/>
                <w:szCs w:val="14"/>
              </w:rPr>
            </w:pPr>
            <w:r w:rsidRPr="003003C0">
              <w:rPr>
                <w:rFonts w:cs="Calibri"/>
                <w:color w:val="000000"/>
                <w:sz w:val="14"/>
                <w:szCs w:val="14"/>
              </w:rPr>
              <w:t>2</w:t>
            </w:r>
            <w:r>
              <w:rPr>
                <w:rFonts w:cs="Calibri"/>
                <w:color w:val="000000"/>
                <w:sz w:val="14"/>
                <w:szCs w:val="14"/>
              </w:rPr>
              <w:t>.</w:t>
            </w:r>
            <w:r w:rsidRPr="003003C0">
              <w:rPr>
                <w:rFonts w:cs="Calibri"/>
                <w:color w:val="000000"/>
                <w:sz w:val="14"/>
                <w:szCs w:val="14"/>
              </w:rPr>
              <w:t>3</w:t>
            </w:r>
          </w:p>
        </w:tc>
        <w:tc>
          <w:tcPr>
            <w:tcW w:w="722" w:type="dxa"/>
            <w:noWrap/>
            <w:vAlign w:val="center"/>
            <w:hideMark/>
          </w:tcPr>
          <w:p w14:paraId="6C61AEB7" w14:textId="77777777" w:rsidR="004F64EF" w:rsidRPr="003003C0" w:rsidRDefault="004F64EF" w:rsidP="00FD6B66">
            <w:pPr>
              <w:jc w:val="right"/>
              <w:rPr>
                <w:rFonts w:cs="Calibri"/>
                <w:color w:val="000000"/>
                <w:sz w:val="14"/>
                <w:szCs w:val="14"/>
              </w:rPr>
            </w:pPr>
            <w:r w:rsidRPr="003003C0">
              <w:rPr>
                <w:rFonts w:cs="Calibri"/>
                <w:color w:val="000000"/>
                <w:sz w:val="14"/>
                <w:szCs w:val="14"/>
              </w:rPr>
              <w:t>3</w:t>
            </w:r>
            <w:r>
              <w:rPr>
                <w:rFonts w:cs="Calibri"/>
                <w:color w:val="000000"/>
                <w:sz w:val="14"/>
                <w:szCs w:val="14"/>
              </w:rPr>
              <w:t>.</w:t>
            </w:r>
            <w:r w:rsidRPr="003003C0">
              <w:rPr>
                <w:rFonts w:cs="Calibri"/>
                <w:color w:val="000000"/>
                <w:sz w:val="14"/>
                <w:szCs w:val="14"/>
              </w:rPr>
              <w:t>4</w:t>
            </w:r>
          </w:p>
        </w:tc>
        <w:tc>
          <w:tcPr>
            <w:tcW w:w="722" w:type="dxa"/>
            <w:noWrap/>
            <w:vAlign w:val="center"/>
            <w:hideMark/>
          </w:tcPr>
          <w:p w14:paraId="7A788D66" w14:textId="77777777" w:rsidR="004F64EF" w:rsidRPr="003003C0" w:rsidRDefault="004F64EF" w:rsidP="00FD6B66">
            <w:pPr>
              <w:jc w:val="right"/>
              <w:rPr>
                <w:rFonts w:cs="Calibri"/>
                <w:color w:val="000000"/>
                <w:sz w:val="14"/>
                <w:szCs w:val="14"/>
              </w:rPr>
            </w:pPr>
            <w:r w:rsidRPr="003003C0">
              <w:rPr>
                <w:rFonts w:cs="Calibri"/>
                <w:color w:val="000000"/>
                <w:sz w:val="14"/>
                <w:szCs w:val="14"/>
              </w:rPr>
              <w:t>2</w:t>
            </w:r>
            <w:r>
              <w:rPr>
                <w:rFonts w:cs="Calibri"/>
                <w:color w:val="000000"/>
                <w:sz w:val="14"/>
                <w:szCs w:val="14"/>
              </w:rPr>
              <w:t>.</w:t>
            </w:r>
            <w:r w:rsidRPr="003003C0">
              <w:rPr>
                <w:rFonts w:cs="Calibri"/>
                <w:color w:val="000000"/>
                <w:sz w:val="14"/>
                <w:szCs w:val="14"/>
              </w:rPr>
              <w:t>3</w:t>
            </w:r>
          </w:p>
        </w:tc>
      </w:tr>
      <w:tr w:rsidR="004F64EF" w:rsidRPr="003003C0" w14:paraId="55C3DA0F" w14:textId="77777777" w:rsidTr="00FD6B66">
        <w:trPr>
          <w:trHeight w:val="20"/>
        </w:trPr>
        <w:tc>
          <w:tcPr>
            <w:tcW w:w="3964" w:type="dxa"/>
            <w:noWrap/>
            <w:vAlign w:val="center"/>
            <w:hideMark/>
          </w:tcPr>
          <w:p w14:paraId="041DE247" w14:textId="77777777" w:rsidR="004F64EF" w:rsidRPr="003003C0" w:rsidRDefault="004F64EF" w:rsidP="00A839D1">
            <w:pPr>
              <w:tabs>
                <w:tab w:val="left" w:pos="227"/>
              </w:tabs>
              <w:ind w:left="227" w:hanging="227"/>
              <w:jc w:val="left"/>
              <w:rPr>
                <w:rFonts w:cs="Calibri"/>
                <w:color w:val="000000"/>
                <w:sz w:val="14"/>
                <w:szCs w:val="14"/>
              </w:rPr>
            </w:pPr>
            <w:r w:rsidRPr="003003C0">
              <w:rPr>
                <w:rFonts w:cs="Calibri"/>
                <w:color w:val="000000"/>
                <w:sz w:val="14"/>
                <w:szCs w:val="14"/>
              </w:rPr>
              <w:tab/>
              <w:t xml:space="preserve">63. </w:t>
            </w:r>
            <w:r w:rsidRPr="000045F5">
              <w:rPr>
                <w:rFonts w:cs="Calibri"/>
                <w:color w:val="000000"/>
                <w:sz w:val="14"/>
                <w:szCs w:val="14"/>
              </w:rPr>
              <w:t>Other made up textile articles; sets; worn clothing and worn textile articles; rags</w:t>
            </w:r>
          </w:p>
        </w:tc>
        <w:tc>
          <w:tcPr>
            <w:tcW w:w="721" w:type="dxa"/>
            <w:noWrap/>
            <w:vAlign w:val="center"/>
            <w:hideMark/>
          </w:tcPr>
          <w:p w14:paraId="097E7146" w14:textId="77777777" w:rsidR="004F64EF" w:rsidRPr="003003C0" w:rsidRDefault="004F64EF" w:rsidP="00FD6B66">
            <w:pPr>
              <w:jc w:val="right"/>
              <w:rPr>
                <w:rFonts w:cs="Calibri"/>
                <w:color w:val="000000"/>
                <w:sz w:val="14"/>
                <w:szCs w:val="14"/>
              </w:rPr>
            </w:pPr>
            <w:r w:rsidRPr="003003C0">
              <w:rPr>
                <w:rFonts w:cs="Calibri"/>
                <w:color w:val="000000"/>
                <w:sz w:val="14"/>
                <w:szCs w:val="14"/>
              </w:rPr>
              <w:t>0</w:t>
            </w:r>
            <w:r>
              <w:rPr>
                <w:rFonts w:cs="Calibri"/>
                <w:color w:val="000000"/>
                <w:sz w:val="14"/>
                <w:szCs w:val="14"/>
              </w:rPr>
              <w:t>.</w:t>
            </w:r>
            <w:r w:rsidRPr="003003C0">
              <w:rPr>
                <w:rFonts w:cs="Calibri"/>
                <w:color w:val="000000"/>
                <w:sz w:val="14"/>
                <w:szCs w:val="14"/>
              </w:rPr>
              <w:t>5</w:t>
            </w:r>
          </w:p>
        </w:tc>
        <w:tc>
          <w:tcPr>
            <w:tcW w:w="722" w:type="dxa"/>
            <w:noWrap/>
            <w:vAlign w:val="center"/>
            <w:hideMark/>
          </w:tcPr>
          <w:p w14:paraId="52CC35BD" w14:textId="77777777" w:rsidR="004F64EF" w:rsidRPr="003003C0" w:rsidRDefault="004F64EF" w:rsidP="00FD6B66">
            <w:pPr>
              <w:jc w:val="right"/>
              <w:rPr>
                <w:rFonts w:cs="Calibri"/>
                <w:color w:val="000000"/>
                <w:sz w:val="14"/>
                <w:szCs w:val="14"/>
              </w:rPr>
            </w:pPr>
            <w:r w:rsidRPr="003003C0">
              <w:rPr>
                <w:rFonts w:cs="Calibri"/>
                <w:color w:val="000000"/>
                <w:sz w:val="14"/>
                <w:szCs w:val="14"/>
              </w:rPr>
              <w:t>0</w:t>
            </w:r>
            <w:r>
              <w:rPr>
                <w:rFonts w:cs="Calibri"/>
                <w:color w:val="000000"/>
                <w:sz w:val="14"/>
                <w:szCs w:val="14"/>
              </w:rPr>
              <w:t>.</w:t>
            </w:r>
            <w:r w:rsidRPr="003003C0">
              <w:rPr>
                <w:rFonts w:cs="Calibri"/>
                <w:color w:val="000000"/>
                <w:sz w:val="14"/>
                <w:szCs w:val="14"/>
              </w:rPr>
              <w:t>5</w:t>
            </w:r>
          </w:p>
        </w:tc>
        <w:tc>
          <w:tcPr>
            <w:tcW w:w="722" w:type="dxa"/>
            <w:noWrap/>
            <w:vAlign w:val="center"/>
            <w:hideMark/>
          </w:tcPr>
          <w:p w14:paraId="7F366D0C" w14:textId="77777777" w:rsidR="004F64EF" w:rsidRPr="003003C0" w:rsidRDefault="004F64EF" w:rsidP="00FD6B66">
            <w:pPr>
              <w:jc w:val="right"/>
              <w:rPr>
                <w:rFonts w:cs="Calibri"/>
                <w:color w:val="000000"/>
                <w:sz w:val="14"/>
                <w:szCs w:val="14"/>
              </w:rPr>
            </w:pPr>
            <w:r w:rsidRPr="003003C0">
              <w:rPr>
                <w:rFonts w:cs="Calibri"/>
                <w:color w:val="000000"/>
                <w:sz w:val="14"/>
                <w:szCs w:val="14"/>
              </w:rPr>
              <w:t>0</w:t>
            </w:r>
            <w:r>
              <w:rPr>
                <w:rFonts w:cs="Calibri"/>
                <w:color w:val="000000"/>
                <w:sz w:val="14"/>
                <w:szCs w:val="14"/>
              </w:rPr>
              <w:t>.</w:t>
            </w:r>
            <w:r w:rsidRPr="003003C0">
              <w:rPr>
                <w:rFonts w:cs="Calibri"/>
                <w:color w:val="000000"/>
                <w:sz w:val="14"/>
                <w:szCs w:val="14"/>
              </w:rPr>
              <w:t>6</w:t>
            </w:r>
          </w:p>
        </w:tc>
        <w:tc>
          <w:tcPr>
            <w:tcW w:w="721" w:type="dxa"/>
            <w:noWrap/>
            <w:vAlign w:val="center"/>
            <w:hideMark/>
          </w:tcPr>
          <w:p w14:paraId="660259F2" w14:textId="77777777" w:rsidR="004F64EF" w:rsidRPr="003003C0" w:rsidRDefault="004F64EF" w:rsidP="00FD6B66">
            <w:pPr>
              <w:jc w:val="right"/>
              <w:rPr>
                <w:rFonts w:cs="Calibri"/>
                <w:color w:val="000000"/>
                <w:sz w:val="14"/>
                <w:szCs w:val="14"/>
              </w:rPr>
            </w:pPr>
            <w:r w:rsidRPr="003003C0">
              <w:rPr>
                <w:rFonts w:cs="Calibri"/>
                <w:color w:val="000000"/>
                <w:sz w:val="14"/>
                <w:szCs w:val="14"/>
              </w:rPr>
              <w:t>0</w:t>
            </w:r>
            <w:r>
              <w:rPr>
                <w:rFonts w:cs="Calibri"/>
                <w:color w:val="000000"/>
                <w:sz w:val="14"/>
                <w:szCs w:val="14"/>
              </w:rPr>
              <w:t>.</w:t>
            </w:r>
            <w:r w:rsidRPr="003003C0">
              <w:rPr>
                <w:rFonts w:cs="Calibri"/>
                <w:color w:val="000000"/>
                <w:sz w:val="14"/>
                <w:szCs w:val="14"/>
              </w:rPr>
              <w:t>4</w:t>
            </w:r>
          </w:p>
        </w:tc>
        <w:tc>
          <w:tcPr>
            <w:tcW w:w="722" w:type="dxa"/>
            <w:noWrap/>
            <w:vAlign w:val="center"/>
            <w:hideMark/>
          </w:tcPr>
          <w:p w14:paraId="03418B09" w14:textId="77777777" w:rsidR="004F64EF" w:rsidRPr="003003C0" w:rsidRDefault="004F64EF" w:rsidP="00FD6B66">
            <w:pPr>
              <w:jc w:val="right"/>
              <w:rPr>
                <w:rFonts w:cs="Calibri"/>
                <w:color w:val="000000"/>
                <w:sz w:val="14"/>
                <w:szCs w:val="14"/>
              </w:rPr>
            </w:pPr>
            <w:r w:rsidRPr="003003C0">
              <w:rPr>
                <w:rFonts w:cs="Calibri"/>
                <w:color w:val="000000"/>
                <w:sz w:val="14"/>
                <w:szCs w:val="14"/>
              </w:rPr>
              <w:t>0</w:t>
            </w:r>
            <w:r>
              <w:rPr>
                <w:rFonts w:cs="Calibri"/>
                <w:color w:val="000000"/>
                <w:sz w:val="14"/>
                <w:szCs w:val="14"/>
              </w:rPr>
              <w:t>.</w:t>
            </w:r>
            <w:r w:rsidRPr="003003C0">
              <w:rPr>
                <w:rFonts w:cs="Calibri"/>
                <w:color w:val="000000"/>
                <w:sz w:val="14"/>
                <w:szCs w:val="14"/>
              </w:rPr>
              <w:t>4</w:t>
            </w:r>
          </w:p>
        </w:tc>
        <w:tc>
          <w:tcPr>
            <w:tcW w:w="722" w:type="dxa"/>
            <w:noWrap/>
            <w:vAlign w:val="center"/>
            <w:hideMark/>
          </w:tcPr>
          <w:p w14:paraId="047F7DE3" w14:textId="77777777" w:rsidR="004F64EF" w:rsidRPr="003003C0" w:rsidRDefault="004F64EF" w:rsidP="00FD6B66">
            <w:pPr>
              <w:jc w:val="right"/>
              <w:rPr>
                <w:rFonts w:cs="Calibri"/>
                <w:color w:val="000000"/>
                <w:sz w:val="14"/>
                <w:szCs w:val="14"/>
              </w:rPr>
            </w:pPr>
            <w:r w:rsidRPr="003003C0">
              <w:rPr>
                <w:rFonts w:cs="Calibri"/>
                <w:color w:val="000000"/>
                <w:sz w:val="14"/>
                <w:szCs w:val="14"/>
              </w:rPr>
              <w:t>1</w:t>
            </w:r>
            <w:r>
              <w:rPr>
                <w:rFonts w:cs="Calibri"/>
                <w:color w:val="000000"/>
                <w:sz w:val="14"/>
                <w:szCs w:val="14"/>
              </w:rPr>
              <w:t>.</w:t>
            </w:r>
            <w:r w:rsidRPr="003003C0">
              <w:rPr>
                <w:rFonts w:cs="Calibri"/>
                <w:color w:val="000000"/>
                <w:sz w:val="14"/>
                <w:szCs w:val="14"/>
              </w:rPr>
              <w:t>6</w:t>
            </w:r>
          </w:p>
        </w:tc>
        <w:tc>
          <w:tcPr>
            <w:tcW w:w="722" w:type="dxa"/>
            <w:noWrap/>
            <w:vAlign w:val="center"/>
            <w:hideMark/>
          </w:tcPr>
          <w:p w14:paraId="2A0D27FD" w14:textId="77777777" w:rsidR="004F64EF" w:rsidRPr="003003C0" w:rsidRDefault="004F64EF" w:rsidP="00FD6B66">
            <w:pPr>
              <w:jc w:val="right"/>
              <w:rPr>
                <w:rFonts w:cs="Calibri"/>
                <w:color w:val="000000"/>
                <w:sz w:val="14"/>
                <w:szCs w:val="14"/>
              </w:rPr>
            </w:pPr>
            <w:r w:rsidRPr="003003C0">
              <w:rPr>
                <w:rFonts w:cs="Calibri"/>
                <w:color w:val="000000"/>
                <w:sz w:val="14"/>
                <w:szCs w:val="14"/>
              </w:rPr>
              <w:t>0</w:t>
            </w:r>
            <w:r>
              <w:rPr>
                <w:rFonts w:cs="Calibri"/>
                <w:color w:val="000000"/>
                <w:sz w:val="14"/>
                <w:szCs w:val="14"/>
              </w:rPr>
              <w:t>.</w:t>
            </w:r>
            <w:r w:rsidRPr="003003C0">
              <w:rPr>
                <w:rFonts w:cs="Calibri"/>
                <w:color w:val="000000"/>
                <w:sz w:val="14"/>
                <w:szCs w:val="14"/>
              </w:rPr>
              <w:t>6</w:t>
            </w:r>
          </w:p>
        </w:tc>
      </w:tr>
      <w:tr w:rsidR="004F64EF" w:rsidRPr="003003C0" w14:paraId="61EE4EB5" w14:textId="77777777" w:rsidTr="00FD6B66">
        <w:trPr>
          <w:cnfStyle w:val="000000010000" w:firstRow="0" w:lastRow="0" w:firstColumn="0" w:lastColumn="0" w:oddVBand="0" w:evenVBand="0" w:oddHBand="0" w:evenHBand="1" w:firstRowFirstColumn="0" w:firstRowLastColumn="0" w:lastRowFirstColumn="0" w:lastRowLastColumn="0"/>
          <w:trHeight w:val="20"/>
        </w:trPr>
        <w:tc>
          <w:tcPr>
            <w:tcW w:w="3964" w:type="dxa"/>
            <w:noWrap/>
            <w:vAlign w:val="center"/>
            <w:hideMark/>
          </w:tcPr>
          <w:p w14:paraId="55915524" w14:textId="77777777" w:rsidR="004F64EF" w:rsidRPr="003003C0" w:rsidRDefault="004F64EF" w:rsidP="00A839D1">
            <w:pPr>
              <w:tabs>
                <w:tab w:val="left" w:pos="227"/>
              </w:tabs>
              <w:ind w:left="227" w:hanging="227"/>
              <w:jc w:val="left"/>
              <w:rPr>
                <w:rFonts w:cs="Calibri"/>
                <w:color w:val="000000"/>
                <w:sz w:val="14"/>
                <w:szCs w:val="14"/>
              </w:rPr>
            </w:pPr>
            <w:r w:rsidRPr="003003C0">
              <w:rPr>
                <w:rFonts w:cs="Calibri"/>
                <w:color w:val="000000"/>
                <w:sz w:val="14"/>
                <w:szCs w:val="14"/>
              </w:rPr>
              <w:tab/>
              <w:t xml:space="preserve">62. </w:t>
            </w:r>
            <w:r w:rsidRPr="000045F5">
              <w:rPr>
                <w:rFonts w:cs="Calibri"/>
                <w:color w:val="000000"/>
                <w:sz w:val="14"/>
                <w:szCs w:val="14"/>
              </w:rPr>
              <w:t>Articles of apparel and clothing accessories, not knitted or crocheted</w:t>
            </w:r>
          </w:p>
        </w:tc>
        <w:tc>
          <w:tcPr>
            <w:tcW w:w="721" w:type="dxa"/>
            <w:noWrap/>
            <w:vAlign w:val="center"/>
            <w:hideMark/>
          </w:tcPr>
          <w:p w14:paraId="437C2696" w14:textId="77777777" w:rsidR="004F64EF" w:rsidRPr="003003C0" w:rsidRDefault="004F64EF" w:rsidP="00FD6B66">
            <w:pPr>
              <w:jc w:val="right"/>
              <w:rPr>
                <w:rFonts w:cs="Calibri"/>
                <w:color w:val="000000"/>
                <w:sz w:val="14"/>
                <w:szCs w:val="14"/>
              </w:rPr>
            </w:pPr>
            <w:r w:rsidRPr="003003C0">
              <w:rPr>
                <w:rFonts w:cs="Calibri"/>
                <w:color w:val="000000"/>
                <w:sz w:val="14"/>
                <w:szCs w:val="14"/>
              </w:rPr>
              <w:t>0</w:t>
            </w:r>
            <w:r>
              <w:rPr>
                <w:rFonts w:cs="Calibri"/>
                <w:color w:val="000000"/>
                <w:sz w:val="14"/>
                <w:szCs w:val="14"/>
              </w:rPr>
              <w:t>.</w:t>
            </w:r>
            <w:r w:rsidRPr="003003C0">
              <w:rPr>
                <w:rFonts w:cs="Calibri"/>
                <w:color w:val="000000"/>
                <w:sz w:val="14"/>
                <w:szCs w:val="14"/>
              </w:rPr>
              <w:t>7</w:t>
            </w:r>
          </w:p>
        </w:tc>
        <w:tc>
          <w:tcPr>
            <w:tcW w:w="722" w:type="dxa"/>
            <w:noWrap/>
            <w:vAlign w:val="center"/>
            <w:hideMark/>
          </w:tcPr>
          <w:p w14:paraId="0CE12089" w14:textId="77777777" w:rsidR="004F64EF" w:rsidRPr="003003C0" w:rsidRDefault="004F64EF" w:rsidP="00FD6B66">
            <w:pPr>
              <w:jc w:val="right"/>
              <w:rPr>
                <w:rFonts w:cs="Calibri"/>
                <w:color w:val="000000"/>
                <w:sz w:val="14"/>
                <w:szCs w:val="14"/>
              </w:rPr>
            </w:pPr>
            <w:r w:rsidRPr="003003C0">
              <w:rPr>
                <w:rFonts w:cs="Calibri"/>
                <w:color w:val="000000"/>
                <w:sz w:val="14"/>
                <w:szCs w:val="14"/>
              </w:rPr>
              <w:t>0</w:t>
            </w:r>
            <w:r>
              <w:rPr>
                <w:rFonts w:cs="Calibri"/>
                <w:color w:val="000000"/>
                <w:sz w:val="14"/>
                <w:szCs w:val="14"/>
              </w:rPr>
              <w:t>.</w:t>
            </w:r>
            <w:r w:rsidRPr="003003C0">
              <w:rPr>
                <w:rFonts w:cs="Calibri"/>
                <w:color w:val="000000"/>
                <w:sz w:val="14"/>
                <w:szCs w:val="14"/>
              </w:rPr>
              <w:t>7</w:t>
            </w:r>
          </w:p>
        </w:tc>
        <w:tc>
          <w:tcPr>
            <w:tcW w:w="722" w:type="dxa"/>
            <w:noWrap/>
            <w:vAlign w:val="center"/>
            <w:hideMark/>
          </w:tcPr>
          <w:p w14:paraId="33A9EBA8" w14:textId="77777777" w:rsidR="004F64EF" w:rsidRPr="003003C0" w:rsidRDefault="004F64EF" w:rsidP="00FD6B66">
            <w:pPr>
              <w:jc w:val="right"/>
              <w:rPr>
                <w:rFonts w:cs="Calibri"/>
                <w:color w:val="000000"/>
                <w:sz w:val="14"/>
                <w:szCs w:val="14"/>
              </w:rPr>
            </w:pPr>
            <w:r w:rsidRPr="003003C0">
              <w:rPr>
                <w:rFonts w:cs="Calibri"/>
                <w:color w:val="000000"/>
                <w:sz w:val="14"/>
                <w:szCs w:val="14"/>
              </w:rPr>
              <w:t>0</w:t>
            </w:r>
            <w:r>
              <w:rPr>
                <w:rFonts w:cs="Calibri"/>
                <w:color w:val="000000"/>
                <w:sz w:val="14"/>
                <w:szCs w:val="14"/>
              </w:rPr>
              <w:t>.</w:t>
            </w:r>
            <w:r w:rsidRPr="003003C0">
              <w:rPr>
                <w:rFonts w:cs="Calibri"/>
                <w:color w:val="000000"/>
                <w:sz w:val="14"/>
                <w:szCs w:val="14"/>
              </w:rPr>
              <w:t>7</w:t>
            </w:r>
          </w:p>
        </w:tc>
        <w:tc>
          <w:tcPr>
            <w:tcW w:w="721" w:type="dxa"/>
            <w:noWrap/>
            <w:vAlign w:val="center"/>
            <w:hideMark/>
          </w:tcPr>
          <w:p w14:paraId="18C2553D" w14:textId="77777777" w:rsidR="004F64EF" w:rsidRPr="003003C0" w:rsidRDefault="004F64EF" w:rsidP="00FD6B66">
            <w:pPr>
              <w:jc w:val="right"/>
              <w:rPr>
                <w:rFonts w:cs="Calibri"/>
                <w:color w:val="000000"/>
                <w:sz w:val="14"/>
                <w:szCs w:val="14"/>
              </w:rPr>
            </w:pPr>
            <w:r w:rsidRPr="003003C0">
              <w:rPr>
                <w:rFonts w:cs="Calibri"/>
                <w:color w:val="000000"/>
                <w:sz w:val="14"/>
                <w:szCs w:val="14"/>
              </w:rPr>
              <w:t>0</w:t>
            </w:r>
            <w:r>
              <w:rPr>
                <w:rFonts w:cs="Calibri"/>
                <w:color w:val="000000"/>
                <w:sz w:val="14"/>
                <w:szCs w:val="14"/>
              </w:rPr>
              <w:t>.</w:t>
            </w:r>
            <w:r w:rsidRPr="003003C0">
              <w:rPr>
                <w:rFonts w:cs="Calibri"/>
                <w:color w:val="000000"/>
                <w:sz w:val="14"/>
                <w:szCs w:val="14"/>
              </w:rPr>
              <w:t>6</w:t>
            </w:r>
          </w:p>
        </w:tc>
        <w:tc>
          <w:tcPr>
            <w:tcW w:w="722" w:type="dxa"/>
            <w:noWrap/>
            <w:vAlign w:val="center"/>
            <w:hideMark/>
          </w:tcPr>
          <w:p w14:paraId="724CCA64" w14:textId="77777777" w:rsidR="004F64EF" w:rsidRPr="003003C0" w:rsidRDefault="004F64EF" w:rsidP="00FD6B66">
            <w:pPr>
              <w:jc w:val="right"/>
              <w:rPr>
                <w:rFonts w:cs="Calibri"/>
                <w:color w:val="000000"/>
                <w:sz w:val="14"/>
                <w:szCs w:val="14"/>
              </w:rPr>
            </w:pPr>
            <w:r w:rsidRPr="003003C0">
              <w:rPr>
                <w:rFonts w:cs="Calibri"/>
                <w:color w:val="000000"/>
                <w:sz w:val="14"/>
                <w:szCs w:val="14"/>
              </w:rPr>
              <w:t>0</w:t>
            </w:r>
            <w:r>
              <w:rPr>
                <w:rFonts w:cs="Calibri"/>
                <w:color w:val="000000"/>
                <w:sz w:val="14"/>
                <w:szCs w:val="14"/>
              </w:rPr>
              <w:t>.</w:t>
            </w:r>
            <w:r w:rsidRPr="003003C0">
              <w:rPr>
                <w:rFonts w:cs="Calibri"/>
                <w:color w:val="000000"/>
                <w:sz w:val="14"/>
                <w:szCs w:val="14"/>
              </w:rPr>
              <w:t>6</w:t>
            </w:r>
          </w:p>
        </w:tc>
        <w:tc>
          <w:tcPr>
            <w:tcW w:w="722" w:type="dxa"/>
            <w:noWrap/>
            <w:vAlign w:val="center"/>
            <w:hideMark/>
          </w:tcPr>
          <w:p w14:paraId="06FD583E" w14:textId="77777777" w:rsidR="004F64EF" w:rsidRPr="003003C0" w:rsidRDefault="004F64EF" w:rsidP="00FD6B66">
            <w:pPr>
              <w:jc w:val="right"/>
              <w:rPr>
                <w:rFonts w:cs="Calibri"/>
                <w:color w:val="000000"/>
                <w:sz w:val="14"/>
                <w:szCs w:val="14"/>
              </w:rPr>
            </w:pPr>
            <w:r w:rsidRPr="003003C0">
              <w:rPr>
                <w:rFonts w:cs="Calibri"/>
                <w:color w:val="000000"/>
                <w:sz w:val="14"/>
                <w:szCs w:val="14"/>
              </w:rPr>
              <w:t>0</w:t>
            </w:r>
            <w:r>
              <w:rPr>
                <w:rFonts w:cs="Calibri"/>
                <w:color w:val="000000"/>
                <w:sz w:val="14"/>
                <w:szCs w:val="14"/>
              </w:rPr>
              <w:t>.</w:t>
            </w:r>
            <w:r w:rsidRPr="003003C0">
              <w:rPr>
                <w:rFonts w:cs="Calibri"/>
                <w:color w:val="000000"/>
                <w:sz w:val="14"/>
                <w:szCs w:val="14"/>
              </w:rPr>
              <w:t>6</w:t>
            </w:r>
          </w:p>
        </w:tc>
        <w:tc>
          <w:tcPr>
            <w:tcW w:w="722" w:type="dxa"/>
            <w:noWrap/>
            <w:vAlign w:val="center"/>
            <w:hideMark/>
          </w:tcPr>
          <w:p w14:paraId="402EE404" w14:textId="77777777" w:rsidR="004F64EF" w:rsidRPr="003003C0" w:rsidRDefault="004F64EF" w:rsidP="00FD6B66">
            <w:pPr>
              <w:jc w:val="right"/>
              <w:rPr>
                <w:rFonts w:cs="Calibri"/>
                <w:color w:val="000000"/>
                <w:sz w:val="14"/>
                <w:szCs w:val="14"/>
              </w:rPr>
            </w:pPr>
            <w:r w:rsidRPr="003003C0">
              <w:rPr>
                <w:rFonts w:cs="Calibri"/>
                <w:color w:val="000000"/>
                <w:sz w:val="14"/>
                <w:szCs w:val="14"/>
              </w:rPr>
              <w:t>0</w:t>
            </w:r>
            <w:r>
              <w:rPr>
                <w:rFonts w:cs="Calibri"/>
                <w:color w:val="000000"/>
                <w:sz w:val="14"/>
                <w:szCs w:val="14"/>
              </w:rPr>
              <w:t>.</w:t>
            </w:r>
            <w:r w:rsidRPr="003003C0">
              <w:rPr>
                <w:rFonts w:cs="Calibri"/>
                <w:color w:val="000000"/>
                <w:sz w:val="14"/>
                <w:szCs w:val="14"/>
              </w:rPr>
              <w:t>6</w:t>
            </w:r>
          </w:p>
        </w:tc>
      </w:tr>
      <w:tr w:rsidR="004F64EF" w:rsidRPr="003003C0" w14:paraId="65BE51EF" w14:textId="77777777" w:rsidTr="00FD6B66">
        <w:trPr>
          <w:trHeight w:val="20"/>
        </w:trPr>
        <w:tc>
          <w:tcPr>
            <w:tcW w:w="3964" w:type="dxa"/>
            <w:noWrap/>
            <w:vAlign w:val="center"/>
            <w:hideMark/>
          </w:tcPr>
          <w:p w14:paraId="0E4E6D1E" w14:textId="77777777" w:rsidR="004F64EF" w:rsidRPr="003003C0" w:rsidRDefault="004F64EF" w:rsidP="00A839D1">
            <w:pPr>
              <w:tabs>
                <w:tab w:val="left" w:pos="227"/>
              </w:tabs>
              <w:ind w:left="227" w:hanging="227"/>
              <w:jc w:val="left"/>
              <w:rPr>
                <w:rFonts w:cs="Calibri"/>
                <w:color w:val="000000"/>
                <w:sz w:val="14"/>
                <w:szCs w:val="14"/>
              </w:rPr>
            </w:pPr>
            <w:r w:rsidRPr="003003C0">
              <w:rPr>
                <w:rFonts w:cs="Calibri"/>
                <w:color w:val="000000"/>
                <w:sz w:val="14"/>
                <w:szCs w:val="14"/>
              </w:rPr>
              <w:tab/>
              <w:t xml:space="preserve">61. </w:t>
            </w:r>
            <w:r w:rsidRPr="000045F5">
              <w:rPr>
                <w:rFonts w:cs="Calibri"/>
                <w:color w:val="000000"/>
                <w:sz w:val="14"/>
                <w:szCs w:val="14"/>
              </w:rPr>
              <w:t>Articles of apparel and clothing accessories, knitted or crocheted</w:t>
            </w:r>
          </w:p>
        </w:tc>
        <w:tc>
          <w:tcPr>
            <w:tcW w:w="721" w:type="dxa"/>
            <w:noWrap/>
            <w:vAlign w:val="center"/>
            <w:hideMark/>
          </w:tcPr>
          <w:p w14:paraId="71BCD8EF" w14:textId="77777777" w:rsidR="004F64EF" w:rsidRPr="003003C0" w:rsidRDefault="004F64EF" w:rsidP="00FD6B66">
            <w:pPr>
              <w:jc w:val="right"/>
              <w:rPr>
                <w:rFonts w:cs="Calibri"/>
                <w:color w:val="000000"/>
                <w:sz w:val="14"/>
                <w:szCs w:val="14"/>
              </w:rPr>
            </w:pPr>
            <w:r w:rsidRPr="003003C0">
              <w:rPr>
                <w:rFonts w:cs="Calibri"/>
                <w:color w:val="000000"/>
                <w:sz w:val="14"/>
                <w:szCs w:val="14"/>
              </w:rPr>
              <w:t>0</w:t>
            </w:r>
            <w:r>
              <w:rPr>
                <w:rFonts w:cs="Calibri"/>
                <w:color w:val="000000"/>
                <w:sz w:val="14"/>
                <w:szCs w:val="14"/>
              </w:rPr>
              <w:t>.</w:t>
            </w:r>
            <w:r w:rsidRPr="003003C0">
              <w:rPr>
                <w:rFonts w:cs="Calibri"/>
                <w:color w:val="000000"/>
                <w:sz w:val="14"/>
                <w:szCs w:val="14"/>
              </w:rPr>
              <w:t>6</w:t>
            </w:r>
          </w:p>
        </w:tc>
        <w:tc>
          <w:tcPr>
            <w:tcW w:w="722" w:type="dxa"/>
            <w:noWrap/>
            <w:vAlign w:val="center"/>
            <w:hideMark/>
          </w:tcPr>
          <w:p w14:paraId="74DB3C23" w14:textId="77777777" w:rsidR="004F64EF" w:rsidRPr="003003C0" w:rsidRDefault="004F64EF" w:rsidP="00FD6B66">
            <w:pPr>
              <w:jc w:val="right"/>
              <w:rPr>
                <w:rFonts w:cs="Calibri"/>
                <w:color w:val="000000"/>
                <w:sz w:val="14"/>
                <w:szCs w:val="14"/>
              </w:rPr>
            </w:pPr>
            <w:r w:rsidRPr="003003C0">
              <w:rPr>
                <w:rFonts w:cs="Calibri"/>
                <w:color w:val="000000"/>
                <w:sz w:val="14"/>
                <w:szCs w:val="14"/>
              </w:rPr>
              <w:t>0</w:t>
            </w:r>
            <w:r>
              <w:rPr>
                <w:rFonts w:cs="Calibri"/>
                <w:color w:val="000000"/>
                <w:sz w:val="14"/>
                <w:szCs w:val="14"/>
              </w:rPr>
              <w:t>.</w:t>
            </w:r>
            <w:r w:rsidRPr="003003C0">
              <w:rPr>
                <w:rFonts w:cs="Calibri"/>
                <w:color w:val="000000"/>
                <w:sz w:val="14"/>
                <w:szCs w:val="14"/>
              </w:rPr>
              <w:t>5</w:t>
            </w:r>
          </w:p>
        </w:tc>
        <w:tc>
          <w:tcPr>
            <w:tcW w:w="722" w:type="dxa"/>
            <w:noWrap/>
            <w:vAlign w:val="center"/>
            <w:hideMark/>
          </w:tcPr>
          <w:p w14:paraId="199EF989" w14:textId="77777777" w:rsidR="004F64EF" w:rsidRPr="003003C0" w:rsidRDefault="004F64EF" w:rsidP="00FD6B66">
            <w:pPr>
              <w:jc w:val="right"/>
              <w:rPr>
                <w:rFonts w:cs="Calibri"/>
                <w:color w:val="000000"/>
                <w:sz w:val="14"/>
                <w:szCs w:val="14"/>
              </w:rPr>
            </w:pPr>
            <w:r w:rsidRPr="003003C0">
              <w:rPr>
                <w:rFonts w:cs="Calibri"/>
                <w:color w:val="000000"/>
                <w:sz w:val="14"/>
                <w:szCs w:val="14"/>
              </w:rPr>
              <w:t>0</w:t>
            </w:r>
            <w:r>
              <w:rPr>
                <w:rFonts w:cs="Calibri"/>
                <w:color w:val="000000"/>
                <w:sz w:val="14"/>
                <w:szCs w:val="14"/>
              </w:rPr>
              <w:t>.</w:t>
            </w:r>
            <w:r w:rsidRPr="003003C0">
              <w:rPr>
                <w:rFonts w:cs="Calibri"/>
                <w:color w:val="000000"/>
                <w:sz w:val="14"/>
                <w:szCs w:val="14"/>
              </w:rPr>
              <w:t>7</w:t>
            </w:r>
          </w:p>
        </w:tc>
        <w:tc>
          <w:tcPr>
            <w:tcW w:w="721" w:type="dxa"/>
            <w:noWrap/>
            <w:vAlign w:val="center"/>
            <w:hideMark/>
          </w:tcPr>
          <w:p w14:paraId="02D7C920" w14:textId="77777777" w:rsidR="004F64EF" w:rsidRPr="003003C0" w:rsidRDefault="004F64EF" w:rsidP="00FD6B66">
            <w:pPr>
              <w:jc w:val="right"/>
              <w:rPr>
                <w:rFonts w:cs="Calibri"/>
                <w:color w:val="000000"/>
                <w:sz w:val="14"/>
                <w:szCs w:val="14"/>
              </w:rPr>
            </w:pPr>
            <w:r w:rsidRPr="003003C0">
              <w:rPr>
                <w:rFonts w:cs="Calibri"/>
                <w:color w:val="000000"/>
                <w:sz w:val="14"/>
                <w:szCs w:val="14"/>
              </w:rPr>
              <w:t>0</w:t>
            </w:r>
            <w:r>
              <w:rPr>
                <w:rFonts w:cs="Calibri"/>
                <w:color w:val="000000"/>
                <w:sz w:val="14"/>
                <w:szCs w:val="14"/>
              </w:rPr>
              <w:t>.</w:t>
            </w:r>
            <w:r w:rsidRPr="003003C0">
              <w:rPr>
                <w:rFonts w:cs="Calibri"/>
                <w:color w:val="000000"/>
                <w:sz w:val="14"/>
                <w:szCs w:val="14"/>
              </w:rPr>
              <w:t>6</w:t>
            </w:r>
          </w:p>
        </w:tc>
        <w:tc>
          <w:tcPr>
            <w:tcW w:w="722" w:type="dxa"/>
            <w:noWrap/>
            <w:vAlign w:val="center"/>
            <w:hideMark/>
          </w:tcPr>
          <w:p w14:paraId="2B4B87A0" w14:textId="77777777" w:rsidR="004F64EF" w:rsidRPr="003003C0" w:rsidRDefault="004F64EF" w:rsidP="00FD6B66">
            <w:pPr>
              <w:jc w:val="right"/>
              <w:rPr>
                <w:rFonts w:cs="Calibri"/>
                <w:color w:val="000000"/>
                <w:sz w:val="14"/>
                <w:szCs w:val="14"/>
              </w:rPr>
            </w:pPr>
            <w:r w:rsidRPr="003003C0">
              <w:rPr>
                <w:rFonts w:cs="Calibri"/>
                <w:color w:val="000000"/>
                <w:sz w:val="14"/>
                <w:szCs w:val="14"/>
              </w:rPr>
              <w:t>0</w:t>
            </w:r>
            <w:r>
              <w:rPr>
                <w:rFonts w:cs="Calibri"/>
                <w:color w:val="000000"/>
                <w:sz w:val="14"/>
                <w:szCs w:val="14"/>
              </w:rPr>
              <w:t>.</w:t>
            </w:r>
            <w:r w:rsidRPr="003003C0">
              <w:rPr>
                <w:rFonts w:cs="Calibri"/>
                <w:color w:val="000000"/>
                <w:sz w:val="14"/>
                <w:szCs w:val="14"/>
              </w:rPr>
              <w:t>5</w:t>
            </w:r>
          </w:p>
        </w:tc>
        <w:tc>
          <w:tcPr>
            <w:tcW w:w="722" w:type="dxa"/>
            <w:noWrap/>
            <w:vAlign w:val="center"/>
            <w:hideMark/>
          </w:tcPr>
          <w:p w14:paraId="0B9EC50B" w14:textId="77777777" w:rsidR="004F64EF" w:rsidRPr="003003C0" w:rsidRDefault="004F64EF" w:rsidP="00FD6B66">
            <w:pPr>
              <w:jc w:val="right"/>
              <w:rPr>
                <w:rFonts w:cs="Calibri"/>
                <w:color w:val="000000"/>
                <w:sz w:val="14"/>
                <w:szCs w:val="14"/>
              </w:rPr>
            </w:pPr>
            <w:r w:rsidRPr="003003C0">
              <w:rPr>
                <w:rFonts w:cs="Calibri"/>
                <w:color w:val="000000"/>
                <w:sz w:val="14"/>
                <w:szCs w:val="14"/>
              </w:rPr>
              <w:t>0</w:t>
            </w:r>
            <w:r>
              <w:rPr>
                <w:rFonts w:cs="Calibri"/>
                <w:color w:val="000000"/>
                <w:sz w:val="14"/>
                <w:szCs w:val="14"/>
              </w:rPr>
              <w:t>.</w:t>
            </w:r>
            <w:r w:rsidRPr="003003C0">
              <w:rPr>
                <w:rFonts w:cs="Calibri"/>
                <w:color w:val="000000"/>
                <w:sz w:val="14"/>
                <w:szCs w:val="14"/>
              </w:rPr>
              <w:t>5</w:t>
            </w:r>
          </w:p>
        </w:tc>
        <w:tc>
          <w:tcPr>
            <w:tcW w:w="722" w:type="dxa"/>
            <w:noWrap/>
            <w:vAlign w:val="center"/>
            <w:hideMark/>
          </w:tcPr>
          <w:p w14:paraId="64F9FF26" w14:textId="77777777" w:rsidR="004F64EF" w:rsidRPr="003003C0" w:rsidRDefault="004F64EF" w:rsidP="00FD6B66">
            <w:pPr>
              <w:jc w:val="right"/>
              <w:rPr>
                <w:rFonts w:cs="Calibri"/>
                <w:color w:val="000000"/>
                <w:sz w:val="14"/>
                <w:szCs w:val="14"/>
              </w:rPr>
            </w:pPr>
            <w:r w:rsidRPr="003003C0">
              <w:rPr>
                <w:rFonts w:cs="Calibri"/>
                <w:color w:val="000000"/>
                <w:sz w:val="14"/>
                <w:szCs w:val="14"/>
              </w:rPr>
              <w:t>0</w:t>
            </w:r>
            <w:r>
              <w:rPr>
                <w:rFonts w:cs="Calibri"/>
                <w:color w:val="000000"/>
                <w:sz w:val="14"/>
                <w:szCs w:val="14"/>
              </w:rPr>
              <w:t>.</w:t>
            </w:r>
            <w:r w:rsidRPr="003003C0">
              <w:rPr>
                <w:rFonts w:cs="Calibri"/>
                <w:color w:val="000000"/>
                <w:sz w:val="14"/>
                <w:szCs w:val="14"/>
              </w:rPr>
              <w:t>5</w:t>
            </w:r>
          </w:p>
        </w:tc>
      </w:tr>
      <w:tr w:rsidR="004F64EF" w:rsidRPr="003003C0" w14:paraId="7AE94728" w14:textId="77777777" w:rsidTr="00FD6B66">
        <w:trPr>
          <w:cnfStyle w:val="000000010000" w:firstRow="0" w:lastRow="0" w:firstColumn="0" w:lastColumn="0" w:oddVBand="0" w:evenVBand="0" w:oddHBand="0" w:evenHBand="1" w:firstRowFirstColumn="0" w:firstRowLastColumn="0" w:lastRowFirstColumn="0" w:lastRowLastColumn="0"/>
          <w:trHeight w:val="20"/>
        </w:trPr>
        <w:tc>
          <w:tcPr>
            <w:tcW w:w="3964" w:type="dxa"/>
            <w:noWrap/>
            <w:vAlign w:val="center"/>
            <w:hideMark/>
          </w:tcPr>
          <w:p w14:paraId="515A24B3" w14:textId="77777777" w:rsidR="004F64EF" w:rsidRPr="003003C0" w:rsidRDefault="004F64EF" w:rsidP="00FD6B66">
            <w:pPr>
              <w:jc w:val="left"/>
              <w:rPr>
                <w:rFonts w:cs="Calibri"/>
                <w:color w:val="000000"/>
                <w:sz w:val="14"/>
                <w:szCs w:val="14"/>
              </w:rPr>
            </w:pPr>
            <w:r w:rsidRPr="003003C0">
              <w:rPr>
                <w:rFonts w:cs="Calibri"/>
                <w:color w:val="000000"/>
                <w:sz w:val="14"/>
                <w:szCs w:val="14"/>
              </w:rPr>
              <w:t xml:space="preserve">12 - </w:t>
            </w:r>
            <w:r w:rsidRPr="000045F5">
              <w:rPr>
                <w:rFonts w:cs="Calibri"/>
                <w:color w:val="000000"/>
                <w:sz w:val="14"/>
                <w:szCs w:val="14"/>
              </w:rPr>
              <w:t>Footwear, headgear, umbrellas, sun umbrellas, walking-sticks, seat-sticks, whips, riding-crops and parts thereof; prepared feathers and articles made therewith</w:t>
            </w:r>
          </w:p>
        </w:tc>
        <w:tc>
          <w:tcPr>
            <w:tcW w:w="721" w:type="dxa"/>
            <w:noWrap/>
            <w:vAlign w:val="center"/>
            <w:hideMark/>
          </w:tcPr>
          <w:p w14:paraId="0A3ECFEE" w14:textId="77777777" w:rsidR="004F64EF" w:rsidRPr="003003C0" w:rsidRDefault="004F64EF" w:rsidP="00FD6B66">
            <w:pPr>
              <w:jc w:val="right"/>
              <w:rPr>
                <w:rFonts w:cs="Calibri"/>
                <w:color w:val="000000"/>
                <w:sz w:val="14"/>
                <w:szCs w:val="14"/>
              </w:rPr>
            </w:pPr>
            <w:r w:rsidRPr="003003C0">
              <w:rPr>
                <w:rFonts w:cs="Calibri"/>
                <w:color w:val="000000"/>
                <w:sz w:val="14"/>
                <w:szCs w:val="14"/>
              </w:rPr>
              <w:t>0</w:t>
            </w:r>
            <w:r>
              <w:rPr>
                <w:rFonts w:cs="Calibri"/>
                <w:color w:val="000000"/>
                <w:sz w:val="14"/>
                <w:szCs w:val="14"/>
              </w:rPr>
              <w:t>.</w:t>
            </w:r>
            <w:r w:rsidRPr="003003C0">
              <w:rPr>
                <w:rFonts w:cs="Calibri"/>
                <w:color w:val="000000"/>
                <w:sz w:val="14"/>
                <w:szCs w:val="14"/>
              </w:rPr>
              <w:t>9</w:t>
            </w:r>
          </w:p>
        </w:tc>
        <w:tc>
          <w:tcPr>
            <w:tcW w:w="722" w:type="dxa"/>
            <w:noWrap/>
            <w:vAlign w:val="center"/>
            <w:hideMark/>
          </w:tcPr>
          <w:p w14:paraId="26BB9C54" w14:textId="77777777" w:rsidR="004F64EF" w:rsidRPr="003003C0" w:rsidRDefault="004F64EF" w:rsidP="00FD6B66">
            <w:pPr>
              <w:jc w:val="right"/>
              <w:rPr>
                <w:rFonts w:cs="Calibri"/>
                <w:color w:val="000000"/>
                <w:sz w:val="14"/>
                <w:szCs w:val="14"/>
              </w:rPr>
            </w:pPr>
            <w:r w:rsidRPr="003003C0">
              <w:rPr>
                <w:rFonts w:cs="Calibri"/>
                <w:color w:val="000000"/>
                <w:sz w:val="14"/>
                <w:szCs w:val="14"/>
              </w:rPr>
              <w:t>0</w:t>
            </w:r>
            <w:r>
              <w:rPr>
                <w:rFonts w:cs="Calibri"/>
                <w:color w:val="000000"/>
                <w:sz w:val="14"/>
                <w:szCs w:val="14"/>
              </w:rPr>
              <w:t>.</w:t>
            </w:r>
            <w:r w:rsidRPr="003003C0">
              <w:rPr>
                <w:rFonts w:cs="Calibri"/>
                <w:color w:val="000000"/>
                <w:sz w:val="14"/>
                <w:szCs w:val="14"/>
              </w:rPr>
              <w:t>9</w:t>
            </w:r>
          </w:p>
        </w:tc>
        <w:tc>
          <w:tcPr>
            <w:tcW w:w="722" w:type="dxa"/>
            <w:noWrap/>
            <w:vAlign w:val="center"/>
            <w:hideMark/>
          </w:tcPr>
          <w:p w14:paraId="06690535" w14:textId="77777777" w:rsidR="004F64EF" w:rsidRPr="003003C0" w:rsidRDefault="004F64EF" w:rsidP="00FD6B66">
            <w:pPr>
              <w:jc w:val="right"/>
              <w:rPr>
                <w:rFonts w:cs="Calibri"/>
                <w:color w:val="000000"/>
                <w:sz w:val="14"/>
                <w:szCs w:val="14"/>
              </w:rPr>
            </w:pPr>
            <w:r w:rsidRPr="003003C0">
              <w:rPr>
                <w:rFonts w:cs="Calibri"/>
                <w:color w:val="000000"/>
                <w:sz w:val="14"/>
                <w:szCs w:val="14"/>
              </w:rPr>
              <w:t>1</w:t>
            </w:r>
            <w:r>
              <w:rPr>
                <w:rFonts w:cs="Calibri"/>
                <w:color w:val="000000"/>
                <w:sz w:val="14"/>
                <w:szCs w:val="14"/>
              </w:rPr>
              <w:t>.</w:t>
            </w:r>
            <w:r w:rsidRPr="003003C0">
              <w:rPr>
                <w:rFonts w:cs="Calibri"/>
                <w:color w:val="000000"/>
                <w:sz w:val="14"/>
                <w:szCs w:val="14"/>
              </w:rPr>
              <w:t>0</w:t>
            </w:r>
          </w:p>
        </w:tc>
        <w:tc>
          <w:tcPr>
            <w:tcW w:w="721" w:type="dxa"/>
            <w:noWrap/>
            <w:vAlign w:val="center"/>
            <w:hideMark/>
          </w:tcPr>
          <w:p w14:paraId="05F968B2" w14:textId="77777777" w:rsidR="004F64EF" w:rsidRPr="003003C0" w:rsidRDefault="004F64EF" w:rsidP="00FD6B66">
            <w:pPr>
              <w:jc w:val="right"/>
              <w:rPr>
                <w:rFonts w:cs="Calibri"/>
                <w:color w:val="000000"/>
                <w:sz w:val="14"/>
                <w:szCs w:val="14"/>
              </w:rPr>
            </w:pPr>
            <w:r w:rsidRPr="003003C0">
              <w:rPr>
                <w:rFonts w:cs="Calibri"/>
                <w:color w:val="000000"/>
                <w:sz w:val="14"/>
                <w:szCs w:val="14"/>
              </w:rPr>
              <w:t>0</w:t>
            </w:r>
            <w:r>
              <w:rPr>
                <w:rFonts w:cs="Calibri"/>
                <w:color w:val="000000"/>
                <w:sz w:val="14"/>
                <w:szCs w:val="14"/>
              </w:rPr>
              <w:t>.</w:t>
            </w:r>
            <w:r w:rsidRPr="003003C0">
              <w:rPr>
                <w:rFonts w:cs="Calibri"/>
                <w:color w:val="000000"/>
                <w:sz w:val="14"/>
                <w:szCs w:val="14"/>
              </w:rPr>
              <w:t>9</w:t>
            </w:r>
          </w:p>
        </w:tc>
        <w:tc>
          <w:tcPr>
            <w:tcW w:w="722" w:type="dxa"/>
            <w:noWrap/>
            <w:vAlign w:val="center"/>
            <w:hideMark/>
          </w:tcPr>
          <w:p w14:paraId="4C322F1C" w14:textId="77777777" w:rsidR="004F64EF" w:rsidRPr="003003C0" w:rsidRDefault="004F64EF" w:rsidP="00FD6B66">
            <w:pPr>
              <w:jc w:val="right"/>
              <w:rPr>
                <w:rFonts w:cs="Calibri"/>
                <w:color w:val="000000"/>
                <w:sz w:val="14"/>
                <w:szCs w:val="14"/>
              </w:rPr>
            </w:pPr>
            <w:r w:rsidRPr="003003C0">
              <w:rPr>
                <w:rFonts w:cs="Calibri"/>
                <w:color w:val="000000"/>
                <w:sz w:val="14"/>
                <w:szCs w:val="14"/>
              </w:rPr>
              <w:t>0</w:t>
            </w:r>
            <w:r>
              <w:rPr>
                <w:rFonts w:cs="Calibri"/>
                <w:color w:val="000000"/>
                <w:sz w:val="14"/>
                <w:szCs w:val="14"/>
              </w:rPr>
              <w:t>.</w:t>
            </w:r>
            <w:r w:rsidRPr="003003C0">
              <w:rPr>
                <w:rFonts w:cs="Calibri"/>
                <w:color w:val="000000"/>
                <w:sz w:val="14"/>
                <w:szCs w:val="14"/>
              </w:rPr>
              <w:t>8</w:t>
            </w:r>
          </w:p>
        </w:tc>
        <w:tc>
          <w:tcPr>
            <w:tcW w:w="722" w:type="dxa"/>
            <w:noWrap/>
            <w:vAlign w:val="center"/>
            <w:hideMark/>
          </w:tcPr>
          <w:p w14:paraId="3C4612B9" w14:textId="77777777" w:rsidR="004F64EF" w:rsidRPr="003003C0" w:rsidRDefault="004F64EF" w:rsidP="00FD6B66">
            <w:pPr>
              <w:jc w:val="right"/>
              <w:rPr>
                <w:rFonts w:cs="Calibri"/>
                <w:color w:val="000000"/>
                <w:sz w:val="14"/>
                <w:szCs w:val="14"/>
              </w:rPr>
            </w:pPr>
            <w:r w:rsidRPr="003003C0">
              <w:rPr>
                <w:rFonts w:cs="Calibri"/>
                <w:color w:val="000000"/>
                <w:sz w:val="14"/>
                <w:szCs w:val="14"/>
              </w:rPr>
              <w:t>0</w:t>
            </w:r>
            <w:r>
              <w:rPr>
                <w:rFonts w:cs="Calibri"/>
                <w:color w:val="000000"/>
                <w:sz w:val="14"/>
                <w:szCs w:val="14"/>
              </w:rPr>
              <w:t>.</w:t>
            </w:r>
            <w:r w:rsidRPr="003003C0">
              <w:rPr>
                <w:rFonts w:cs="Calibri"/>
                <w:color w:val="000000"/>
                <w:sz w:val="14"/>
                <w:szCs w:val="14"/>
              </w:rPr>
              <w:t>7</w:t>
            </w:r>
          </w:p>
        </w:tc>
        <w:tc>
          <w:tcPr>
            <w:tcW w:w="722" w:type="dxa"/>
            <w:noWrap/>
            <w:vAlign w:val="center"/>
            <w:hideMark/>
          </w:tcPr>
          <w:p w14:paraId="67491CF8" w14:textId="77777777" w:rsidR="004F64EF" w:rsidRPr="003003C0" w:rsidRDefault="004F64EF" w:rsidP="00FD6B66">
            <w:pPr>
              <w:jc w:val="right"/>
              <w:rPr>
                <w:rFonts w:cs="Calibri"/>
                <w:color w:val="000000"/>
                <w:sz w:val="14"/>
                <w:szCs w:val="14"/>
              </w:rPr>
            </w:pPr>
            <w:r w:rsidRPr="003003C0">
              <w:rPr>
                <w:rFonts w:cs="Calibri"/>
                <w:color w:val="000000"/>
                <w:sz w:val="14"/>
                <w:szCs w:val="14"/>
              </w:rPr>
              <w:t>0</w:t>
            </w:r>
            <w:r>
              <w:rPr>
                <w:rFonts w:cs="Calibri"/>
                <w:color w:val="000000"/>
                <w:sz w:val="14"/>
                <w:szCs w:val="14"/>
              </w:rPr>
              <w:t>.</w:t>
            </w:r>
            <w:r w:rsidRPr="003003C0">
              <w:rPr>
                <w:rFonts w:cs="Calibri"/>
                <w:color w:val="000000"/>
                <w:sz w:val="14"/>
                <w:szCs w:val="14"/>
              </w:rPr>
              <w:t>6</w:t>
            </w:r>
          </w:p>
        </w:tc>
      </w:tr>
      <w:tr w:rsidR="004F64EF" w:rsidRPr="003003C0" w14:paraId="5CEBC590" w14:textId="77777777" w:rsidTr="00FD6B66">
        <w:trPr>
          <w:trHeight w:val="20"/>
        </w:trPr>
        <w:tc>
          <w:tcPr>
            <w:tcW w:w="3964" w:type="dxa"/>
            <w:noWrap/>
            <w:vAlign w:val="center"/>
            <w:hideMark/>
          </w:tcPr>
          <w:p w14:paraId="625BCD67" w14:textId="77777777" w:rsidR="004F64EF" w:rsidRPr="003003C0" w:rsidRDefault="004F64EF" w:rsidP="00FD6B66">
            <w:pPr>
              <w:jc w:val="left"/>
              <w:rPr>
                <w:rFonts w:cs="Calibri"/>
                <w:color w:val="000000"/>
                <w:sz w:val="14"/>
                <w:szCs w:val="14"/>
              </w:rPr>
            </w:pPr>
            <w:r w:rsidRPr="003003C0">
              <w:rPr>
                <w:rFonts w:cs="Calibri"/>
                <w:color w:val="000000"/>
                <w:sz w:val="14"/>
                <w:szCs w:val="14"/>
              </w:rPr>
              <w:t xml:space="preserve">13 - </w:t>
            </w:r>
            <w:r w:rsidRPr="00CA792A">
              <w:rPr>
                <w:rFonts w:cs="Calibri"/>
                <w:color w:val="000000"/>
                <w:sz w:val="14"/>
                <w:szCs w:val="14"/>
              </w:rPr>
              <w:t>Articles of stone, plaster, cement, asbestos, mica or similar materials; ceramic products; glass and glassware</w:t>
            </w:r>
          </w:p>
        </w:tc>
        <w:tc>
          <w:tcPr>
            <w:tcW w:w="721" w:type="dxa"/>
            <w:noWrap/>
            <w:vAlign w:val="center"/>
            <w:hideMark/>
          </w:tcPr>
          <w:p w14:paraId="76E3DCA1" w14:textId="77777777" w:rsidR="004F64EF" w:rsidRPr="003003C0" w:rsidRDefault="004F64EF" w:rsidP="00FD6B66">
            <w:pPr>
              <w:jc w:val="right"/>
              <w:rPr>
                <w:rFonts w:cs="Calibri"/>
                <w:color w:val="000000"/>
                <w:sz w:val="14"/>
                <w:szCs w:val="14"/>
              </w:rPr>
            </w:pPr>
            <w:r w:rsidRPr="003003C0">
              <w:rPr>
                <w:rFonts w:cs="Calibri"/>
                <w:color w:val="000000"/>
                <w:sz w:val="14"/>
                <w:szCs w:val="14"/>
              </w:rPr>
              <w:t>2</w:t>
            </w:r>
            <w:r>
              <w:rPr>
                <w:rFonts w:cs="Calibri"/>
                <w:color w:val="000000"/>
                <w:sz w:val="14"/>
                <w:szCs w:val="14"/>
              </w:rPr>
              <w:t>.</w:t>
            </w:r>
            <w:r w:rsidRPr="003003C0">
              <w:rPr>
                <w:rFonts w:cs="Calibri"/>
                <w:color w:val="000000"/>
                <w:sz w:val="14"/>
                <w:szCs w:val="14"/>
              </w:rPr>
              <w:t>1</w:t>
            </w:r>
          </w:p>
        </w:tc>
        <w:tc>
          <w:tcPr>
            <w:tcW w:w="722" w:type="dxa"/>
            <w:noWrap/>
            <w:vAlign w:val="center"/>
            <w:hideMark/>
          </w:tcPr>
          <w:p w14:paraId="1E940221" w14:textId="77777777" w:rsidR="004F64EF" w:rsidRPr="003003C0" w:rsidRDefault="004F64EF" w:rsidP="00FD6B66">
            <w:pPr>
              <w:jc w:val="right"/>
              <w:rPr>
                <w:rFonts w:cs="Calibri"/>
                <w:color w:val="000000"/>
                <w:sz w:val="14"/>
                <w:szCs w:val="14"/>
              </w:rPr>
            </w:pPr>
            <w:r w:rsidRPr="003003C0">
              <w:rPr>
                <w:rFonts w:cs="Calibri"/>
                <w:color w:val="000000"/>
                <w:sz w:val="14"/>
                <w:szCs w:val="14"/>
              </w:rPr>
              <w:t>2</w:t>
            </w:r>
            <w:r>
              <w:rPr>
                <w:rFonts w:cs="Calibri"/>
                <w:color w:val="000000"/>
                <w:sz w:val="14"/>
                <w:szCs w:val="14"/>
              </w:rPr>
              <w:t>.</w:t>
            </w:r>
            <w:r w:rsidRPr="003003C0">
              <w:rPr>
                <w:rFonts w:cs="Calibri"/>
                <w:color w:val="000000"/>
                <w:sz w:val="14"/>
                <w:szCs w:val="14"/>
              </w:rPr>
              <w:t>1</w:t>
            </w:r>
          </w:p>
        </w:tc>
        <w:tc>
          <w:tcPr>
            <w:tcW w:w="722" w:type="dxa"/>
            <w:noWrap/>
            <w:vAlign w:val="center"/>
            <w:hideMark/>
          </w:tcPr>
          <w:p w14:paraId="2F22665C" w14:textId="77777777" w:rsidR="004F64EF" w:rsidRPr="003003C0" w:rsidRDefault="004F64EF" w:rsidP="00FD6B66">
            <w:pPr>
              <w:jc w:val="right"/>
              <w:rPr>
                <w:rFonts w:cs="Calibri"/>
                <w:color w:val="000000"/>
                <w:sz w:val="14"/>
                <w:szCs w:val="14"/>
              </w:rPr>
            </w:pPr>
            <w:r w:rsidRPr="003003C0">
              <w:rPr>
                <w:rFonts w:cs="Calibri"/>
                <w:color w:val="000000"/>
                <w:sz w:val="14"/>
                <w:szCs w:val="14"/>
              </w:rPr>
              <w:t>2</w:t>
            </w:r>
            <w:r>
              <w:rPr>
                <w:rFonts w:cs="Calibri"/>
                <w:color w:val="000000"/>
                <w:sz w:val="14"/>
                <w:szCs w:val="14"/>
              </w:rPr>
              <w:t>.</w:t>
            </w:r>
            <w:r w:rsidRPr="003003C0">
              <w:rPr>
                <w:rFonts w:cs="Calibri"/>
                <w:color w:val="000000"/>
                <w:sz w:val="14"/>
                <w:szCs w:val="14"/>
              </w:rPr>
              <w:t>1</w:t>
            </w:r>
          </w:p>
        </w:tc>
        <w:tc>
          <w:tcPr>
            <w:tcW w:w="721" w:type="dxa"/>
            <w:noWrap/>
            <w:vAlign w:val="center"/>
            <w:hideMark/>
          </w:tcPr>
          <w:p w14:paraId="55BD9E01" w14:textId="77777777" w:rsidR="004F64EF" w:rsidRPr="003003C0" w:rsidRDefault="004F64EF" w:rsidP="00FD6B66">
            <w:pPr>
              <w:jc w:val="right"/>
              <w:rPr>
                <w:rFonts w:cs="Calibri"/>
                <w:color w:val="000000"/>
                <w:sz w:val="14"/>
                <w:szCs w:val="14"/>
              </w:rPr>
            </w:pPr>
            <w:r w:rsidRPr="003003C0">
              <w:rPr>
                <w:rFonts w:cs="Calibri"/>
                <w:color w:val="000000"/>
                <w:sz w:val="14"/>
                <w:szCs w:val="14"/>
              </w:rPr>
              <w:t>2</w:t>
            </w:r>
            <w:r>
              <w:rPr>
                <w:rFonts w:cs="Calibri"/>
                <w:color w:val="000000"/>
                <w:sz w:val="14"/>
                <w:szCs w:val="14"/>
              </w:rPr>
              <w:t>.</w:t>
            </w:r>
            <w:r w:rsidRPr="003003C0">
              <w:rPr>
                <w:rFonts w:cs="Calibri"/>
                <w:color w:val="000000"/>
                <w:sz w:val="14"/>
                <w:szCs w:val="14"/>
              </w:rPr>
              <w:t>0</w:t>
            </w:r>
          </w:p>
        </w:tc>
        <w:tc>
          <w:tcPr>
            <w:tcW w:w="722" w:type="dxa"/>
            <w:noWrap/>
            <w:vAlign w:val="center"/>
            <w:hideMark/>
          </w:tcPr>
          <w:p w14:paraId="66636A3F" w14:textId="77777777" w:rsidR="004F64EF" w:rsidRPr="003003C0" w:rsidRDefault="004F64EF" w:rsidP="00FD6B66">
            <w:pPr>
              <w:jc w:val="right"/>
              <w:rPr>
                <w:rFonts w:cs="Calibri"/>
                <w:color w:val="000000"/>
                <w:sz w:val="14"/>
                <w:szCs w:val="14"/>
              </w:rPr>
            </w:pPr>
            <w:r w:rsidRPr="003003C0">
              <w:rPr>
                <w:rFonts w:cs="Calibri"/>
                <w:color w:val="000000"/>
                <w:sz w:val="14"/>
                <w:szCs w:val="14"/>
              </w:rPr>
              <w:t>2</w:t>
            </w:r>
            <w:r>
              <w:rPr>
                <w:rFonts w:cs="Calibri"/>
                <w:color w:val="000000"/>
                <w:sz w:val="14"/>
                <w:szCs w:val="14"/>
              </w:rPr>
              <w:t>.</w:t>
            </w:r>
            <w:r w:rsidRPr="003003C0">
              <w:rPr>
                <w:rFonts w:cs="Calibri"/>
                <w:color w:val="000000"/>
                <w:sz w:val="14"/>
                <w:szCs w:val="14"/>
              </w:rPr>
              <w:t>2</w:t>
            </w:r>
          </w:p>
        </w:tc>
        <w:tc>
          <w:tcPr>
            <w:tcW w:w="722" w:type="dxa"/>
            <w:noWrap/>
            <w:vAlign w:val="center"/>
            <w:hideMark/>
          </w:tcPr>
          <w:p w14:paraId="0EEFE395" w14:textId="77777777" w:rsidR="004F64EF" w:rsidRPr="003003C0" w:rsidRDefault="004F64EF" w:rsidP="00FD6B66">
            <w:pPr>
              <w:jc w:val="right"/>
              <w:rPr>
                <w:rFonts w:cs="Calibri"/>
                <w:color w:val="000000"/>
                <w:sz w:val="14"/>
                <w:szCs w:val="14"/>
              </w:rPr>
            </w:pPr>
            <w:r w:rsidRPr="003003C0">
              <w:rPr>
                <w:rFonts w:cs="Calibri"/>
                <w:color w:val="000000"/>
                <w:sz w:val="14"/>
                <w:szCs w:val="14"/>
              </w:rPr>
              <w:t>2</w:t>
            </w:r>
            <w:r>
              <w:rPr>
                <w:rFonts w:cs="Calibri"/>
                <w:color w:val="000000"/>
                <w:sz w:val="14"/>
                <w:szCs w:val="14"/>
              </w:rPr>
              <w:t>.</w:t>
            </w:r>
            <w:r w:rsidRPr="003003C0">
              <w:rPr>
                <w:rFonts w:cs="Calibri"/>
                <w:color w:val="000000"/>
                <w:sz w:val="14"/>
                <w:szCs w:val="14"/>
              </w:rPr>
              <w:t>2</w:t>
            </w:r>
          </w:p>
        </w:tc>
        <w:tc>
          <w:tcPr>
            <w:tcW w:w="722" w:type="dxa"/>
            <w:noWrap/>
            <w:vAlign w:val="center"/>
            <w:hideMark/>
          </w:tcPr>
          <w:p w14:paraId="23FA85CD" w14:textId="77777777" w:rsidR="004F64EF" w:rsidRPr="003003C0" w:rsidRDefault="004F64EF" w:rsidP="00FD6B66">
            <w:pPr>
              <w:jc w:val="right"/>
              <w:rPr>
                <w:rFonts w:cs="Calibri"/>
                <w:color w:val="000000"/>
                <w:sz w:val="14"/>
                <w:szCs w:val="14"/>
              </w:rPr>
            </w:pPr>
            <w:r w:rsidRPr="003003C0">
              <w:rPr>
                <w:rFonts w:cs="Calibri"/>
                <w:color w:val="000000"/>
                <w:sz w:val="14"/>
                <w:szCs w:val="14"/>
              </w:rPr>
              <w:t>2</w:t>
            </w:r>
            <w:r>
              <w:rPr>
                <w:rFonts w:cs="Calibri"/>
                <w:color w:val="000000"/>
                <w:sz w:val="14"/>
                <w:szCs w:val="14"/>
              </w:rPr>
              <w:t>.</w:t>
            </w:r>
            <w:r w:rsidRPr="003003C0">
              <w:rPr>
                <w:rFonts w:cs="Calibri"/>
                <w:color w:val="000000"/>
                <w:sz w:val="14"/>
                <w:szCs w:val="14"/>
              </w:rPr>
              <w:t>1</w:t>
            </w:r>
          </w:p>
        </w:tc>
      </w:tr>
      <w:tr w:rsidR="004F64EF" w:rsidRPr="003003C0" w14:paraId="1E1968BE" w14:textId="77777777" w:rsidTr="00FD6B66">
        <w:trPr>
          <w:cnfStyle w:val="000000010000" w:firstRow="0" w:lastRow="0" w:firstColumn="0" w:lastColumn="0" w:oddVBand="0" w:evenVBand="0" w:oddHBand="0" w:evenHBand="1" w:firstRowFirstColumn="0" w:firstRowLastColumn="0" w:lastRowFirstColumn="0" w:lastRowLastColumn="0"/>
          <w:trHeight w:val="20"/>
        </w:trPr>
        <w:tc>
          <w:tcPr>
            <w:tcW w:w="3964" w:type="dxa"/>
            <w:noWrap/>
            <w:vAlign w:val="center"/>
            <w:hideMark/>
          </w:tcPr>
          <w:p w14:paraId="5C071913" w14:textId="77777777" w:rsidR="004F64EF" w:rsidRPr="003003C0" w:rsidRDefault="004F64EF" w:rsidP="00FD6B66">
            <w:pPr>
              <w:tabs>
                <w:tab w:val="left" w:pos="227"/>
              </w:tabs>
              <w:jc w:val="left"/>
              <w:rPr>
                <w:rFonts w:cs="Calibri"/>
                <w:color w:val="000000"/>
                <w:sz w:val="14"/>
                <w:szCs w:val="14"/>
              </w:rPr>
            </w:pPr>
            <w:r w:rsidRPr="003003C0">
              <w:rPr>
                <w:rFonts w:cs="Calibri"/>
                <w:color w:val="000000"/>
                <w:sz w:val="14"/>
                <w:szCs w:val="14"/>
              </w:rPr>
              <w:tab/>
              <w:t xml:space="preserve">69. </w:t>
            </w:r>
            <w:r w:rsidRPr="00CA792A">
              <w:rPr>
                <w:rFonts w:cs="Calibri"/>
                <w:color w:val="000000"/>
                <w:sz w:val="14"/>
                <w:szCs w:val="14"/>
              </w:rPr>
              <w:t>Ceramic products</w:t>
            </w:r>
          </w:p>
        </w:tc>
        <w:tc>
          <w:tcPr>
            <w:tcW w:w="721" w:type="dxa"/>
            <w:noWrap/>
            <w:vAlign w:val="center"/>
            <w:hideMark/>
          </w:tcPr>
          <w:p w14:paraId="1759E019" w14:textId="77777777" w:rsidR="004F64EF" w:rsidRPr="003003C0" w:rsidRDefault="004F64EF" w:rsidP="00FD6B66">
            <w:pPr>
              <w:jc w:val="right"/>
              <w:rPr>
                <w:rFonts w:cs="Calibri"/>
                <w:color w:val="000000"/>
                <w:sz w:val="14"/>
                <w:szCs w:val="14"/>
              </w:rPr>
            </w:pPr>
            <w:r w:rsidRPr="003003C0">
              <w:rPr>
                <w:rFonts w:cs="Calibri"/>
                <w:color w:val="000000"/>
                <w:sz w:val="14"/>
                <w:szCs w:val="14"/>
              </w:rPr>
              <w:t>0</w:t>
            </w:r>
            <w:r>
              <w:rPr>
                <w:rFonts w:cs="Calibri"/>
                <w:color w:val="000000"/>
                <w:sz w:val="14"/>
                <w:szCs w:val="14"/>
              </w:rPr>
              <w:t>.</w:t>
            </w:r>
            <w:r w:rsidRPr="003003C0">
              <w:rPr>
                <w:rFonts w:cs="Calibri"/>
                <w:color w:val="000000"/>
                <w:sz w:val="14"/>
                <w:szCs w:val="14"/>
              </w:rPr>
              <w:t>8</w:t>
            </w:r>
          </w:p>
        </w:tc>
        <w:tc>
          <w:tcPr>
            <w:tcW w:w="722" w:type="dxa"/>
            <w:noWrap/>
            <w:vAlign w:val="center"/>
            <w:hideMark/>
          </w:tcPr>
          <w:p w14:paraId="6DF6CBA9" w14:textId="77777777" w:rsidR="004F64EF" w:rsidRPr="003003C0" w:rsidRDefault="004F64EF" w:rsidP="00FD6B66">
            <w:pPr>
              <w:jc w:val="right"/>
              <w:rPr>
                <w:rFonts w:cs="Calibri"/>
                <w:color w:val="000000"/>
                <w:sz w:val="14"/>
                <w:szCs w:val="14"/>
              </w:rPr>
            </w:pPr>
            <w:r w:rsidRPr="003003C0">
              <w:rPr>
                <w:rFonts w:cs="Calibri"/>
                <w:color w:val="000000"/>
                <w:sz w:val="14"/>
                <w:szCs w:val="14"/>
              </w:rPr>
              <w:t>0</w:t>
            </w:r>
            <w:r>
              <w:rPr>
                <w:rFonts w:cs="Calibri"/>
                <w:color w:val="000000"/>
                <w:sz w:val="14"/>
                <w:szCs w:val="14"/>
              </w:rPr>
              <w:t>.</w:t>
            </w:r>
            <w:r w:rsidRPr="003003C0">
              <w:rPr>
                <w:rFonts w:cs="Calibri"/>
                <w:color w:val="000000"/>
                <w:sz w:val="14"/>
                <w:szCs w:val="14"/>
              </w:rPr>
              <w:t>8</w:t>
            </w:r>
          </w:p>
        </w:tc>
        <w:tc>
          <w:tcPr>
            <w:tcW w:w="722" w:type="dxa"/>
            <w:noWrap/>
            <w:vAlign w:val="center"/>
            <w:hideMark/>
          </w:tcPr>
          <w:p w14:paraId="2FF01585" w14:textId="77777777" w:rsidR="004F64EF" w:rsidRPr="003003C0" w:rsidRDefault="004F64EF" w:rsidP="00FD6B66">
            <w:pPr>
              <w:jc w:val="right"/>
              <w:rPr>
                <w:rFonts w:cs="Calibri"/>
                <w:color w:val="000000"/>
                <w:sz w:val="14"/>
                <w:szCs w:val="14"/>
              </w:rPr>
            </w:pPr>
            <w:r w:rsidRPr="003003C0">
              <w:rPr>
                <w:rFonts w:cs="Calibri"/>
                <w:color w:val="000000"/>
                <w:sz w:val="14"/>
                <w:szCs w:val="14"/>
              </w:rPr>
              <w:t>0</w:t>
            </w:r>
            <w:r>
              <w:rPr>
                <w:rFonts w:cs="Calibri"/>
                <w:color w:val="000000"/>
                <w:sz w:val="14"/>
                <w:szCs w:val="14"/>
              </w:rPr>
              <w:t>.</w:t>
            </w:r>
            <w:r w:rsidRPr="003003C0">
              <w:rPr>
                <w:rFonts w:cs="Calibri"/>
                <w:color w:val="000000"/>
                <w:sz w:val="14"/>
                <w:szCs w:val="14"/>
              </w:rPr>
              <w:t>8</w:t>
            </w:r>
          </w:p>
        </w:tc>
        <w:tc>
          <w:tcPr>
            <w:tcW w:w="721" w:type="dxa"/>
            <w:noWrap/>
            <w:vAlign w:val="center"/>
            <w:hideMark/>
          </w:tcPr>
          <w:p w14:paraId="2876645D" w14:textId="77777777" w:rsidR="004F64EF" w:rsidRPr="003003C0" w:rsidRDefault="004F64EF" w:rsidP="00FD6B66">
            <w:pPr>
              <w:jc w:val="right"/>
              <w:rPr>
                <w:rFonts w:cs="Calibri"/>
                <w:color w:val="000000"/>
                <w:sz w:val="14"/>
                <w:szCs w:val="14"/>
              </w:rPr>
            </w:pPr>
            <w:r w:rsidRPr="003003C0">
              <w:rPr>
                <w:rFonts w:cs="Calibri"/>
                <w:color w:val="000000"/>
                <w:sz w:val="14"/>
                <w:szCs w:val="14"/>
              </w:rPr>
              <w:t>0</w:t>
            </w:r>
            <w:r>
              <w:rPr>
                <w:rFonts w:cs="Calibri"/>
                <w:color w:val="000000"/>
                <w:sz w:val="14"/>
                <w:szCs w:val="14"/>
              </w:rPr>
              <w:t>.</w:t>
            </w:r>
            <w:r w:rsidRPr="003003C0">
              <w:rPr>
                <w:rFonts w:cs="Calibri"/>
                <w:color w:val="000000"/>
                <w:sz w:val="14"/>
                <w:szCs w:val="14"/>
              </w:rPr>
              <w:t>8</w:t>
            </w:r>
          </w:p>
        </w:tc>
        <w:tc>
          <w:tcPr>
            <w:tcW w:w="722" w:type="dxa"/>
            <w:noWrap/>
            <w:vAlign w:val="center"/>
            <w:hideMark/>
          </w:tcPr>
          <w:p w14:paraId="60F4FD7A" w14:textId="77777777" w:rsidR="004F64EF" w:rsidRPr="003003C0" w:rsidRDefault="004F64EF" w:rsidP="00FD6B66">
            <w:pPr>
              <w:jc w:val="right"/>
              <w:rPr>
                <w:rFonts w:cs="Calibri"/>
                <w:color w:val="000000"/>
                <w:sz w:val="14"/>
                <w:szCs w:val="14"/>
              </w:rPr>
            </w:pPr>
            <w:r w:rsidRPr="003003C0">
              <w:rPr>
                <w:rFonts w:cs="Calibri"/>
                <w:color w:val="000000"/>
                <w:sz w:val="14"/>
                <w:szCs w:val="14"/>
              </w:rPr>
              <w:t>0</w:t>
            </w:r>
            <w:r>
              <w:rPr>
                <w:rFonts w:cs="Calibri"/>
                <w:color w:val="000000"/>
                <w:sz w:val="14"/>
                <w:szCs w:val="14"/>
              </w:rPr>
              <w:t>.</w:t>
            </w:r>
            <w:r w:rsidRPr="003003C0">
              <w:rPr>
                <w:rFonts w:cs="Calibri"/>
                <w:color w:val="000000"/>
                <w:sz w:val="14"/>
                <w:szCs w:val="14"/>
              </w:rPr>
              <w:t>9</w:t>
            </w:r>
          </w:p>
        </w:tc>
        <w:tc>
          <w:tcPr>
            <w:tcW w:w="722" w:type="dxa"/>
            <w:noWrap/>
            <w:vAlign w:val="center"/>
            <w:hideMark/>
          </w:tcPr>
          <w:p w14:paraId="31AD2C47" w14:textId="77777777" w:rsidR="004F64EF" w:rsidRPr="003003C0" w:rsidRDefault="004F64EF" w:rsidP="00FD6B66">
            <w:pPr>
              <w:jc w:val="right"/>
              <w:rPr>
                <w:rFonts w:cs="Calibri"/>
                <w:color w:val="000000"/>
                <w:sz w:val="14"/>
                <w:szCs w:val="14"/>
              </w:rPr>
            </w:pPr>
            <w:r w:rsidRPr="003003C0">
              <w:rPr>
                <w:rFonts w:cs="Calibri"/>
                <w:color w:val="000000"/>
                <w:sz w:val="14"/>
                <w:szCs w:val="14"/>
              </w:rPr>
              <w:t>0</w:t>
            </w:r>
            <w:r>
              <w:rPr>
                <w:rFonts w:cs="Calibri"/>
                <w:color w:val="000000"/>
                <w:sz w:val="14"/>
                <w:szCs w:val="14"/>
              </w:rPr>
              <w:t>.</w:t>
            </w:r>
            <w:r w:rsidRPr="003003C0">
              <w:rPr>
                <w:rFonts w:cs="Calibri"/>
                <w:color w:val="000000"/>
                <w:sz w:val="14"/>
                <w:szCs w:val="14"/>
              </w:rPr>
              <w:t>9</w:t>
            </w:r>
          </w:p>
        </w:tc>
        <w:tc>
          <w:tcPr>
            <w:tcW w:w="722" w:type="dxa"/>
            <w:noWrap/>
            <w:vAlign w:val="center"/>
            <w:hideMark/>
          </w:tcPr>
          <w:p w14:paraId="5B887C67" w14:textId="77777777" w:rsidR="004F64EF" w:rsidRPr="003003C0" w:rsidRDefault="004F64EF" w:rsidP="00FD6B66">
            <w:pPr>
              <w:jc w:val="right"/>
              <w:rPr>
                <w:rFonts w:cs="Calibri"/>
                <w:color w:val="000000"/>
                <w:sz w:val="14"/>
                <w:szCs w:val="14"/>
              </w:rPr>
            </w:pPr>
            <w:r w:rsidRPr="003003C0">
              <w:rPr>
                <w:rFonts w:cs="Calibri"/>
                <w:color w:val="000000"/>
                <w:sz w:val="14"/>
                <w:szCs w:val="14"/>
              </w:rPr>
              <w:t>1</w:t>
            </w:r>
            <w:r>
              <w:rPr>
                <w:rFonts w:cs="Calibri"/>
                <w:color w:val="000000"/>
                <w:sz w:val="14"/>
                <w:szCs w:val="14"/>
              </w:rPr>
              <w:t>.</w:t>
            </w:r>
            <w:r w:rsidRPr="003003C0">
              <w:rPr>
                <w:rFonts w:cs="Calibri"/>
                <w:color w:val="000000"/>
                <w:sz w:val="14"/>
                <w:szCs w:val="14"/>
              </w:rPr>
              <w:t>0</w:t>
            </w:r>
          </w:p>
        </w:tc>
      </w:tr>
      <w:tr w:rsidR="004F64EF" w:rsidRPr="003003C0" w14:paraId="2A4EA8E2" w14:textId="77777777" w:rsidTr="00FD6B66">
        <w:trPr>
          <w:trHeight w:val="20"/>
        </w:trPr>
        <w:tc>
          <w:tcPr>
            <w:tcW w:w="3964" w:type="dxa"/>
            <w:noWrap/>
            <w:vAlign w:val="center"/>
            <w:hideMark/>
          </w:tcPr>
          <w:p w14:paraId="4FD3F506" w14:textId="77777777" w:rsidR="004F64EF" w:rsidRPr="003003C0" w:rsidRDefault="004F64EF" w:rsidP="00CA792A">
            <w:pPr>
              <w:jc w:val="left"/>
              <w:rPr>
                <w:rFonts w:cs="Calibri"/>
                <w:color w:val="000000"/>
                <w:sz w:val="14"/>
                <w:szCs w:val="14"/>
              </w:rPr>
            </w:pPr>
            <w:r w:rsidRPr="003003C0">
              <w:rPr>
                <w:rFonts w:cs="Calibri"/>
                <w:color w:val="000000"/>
                <w:sz w:val="14"/>
                <w:szCs w:val="14"/>
              </w:rPr>
              <w:t xml:space="preserve">14 - </w:t>
            </w:r>
            <w:r>
              <w:rPr>
                <w:rFonts w:cs="Calibri"/>
                <w:color w:val="000000"/>
                <w:sz w:val="14"/>
                <w:szCs w:val="14"/>
              </w:rPr>
              <w:t>N</w:t>
            </w:r>
            <w:r w:rsidRPr="00CA792A">
              <w:rPr>
                <w:rFonts w:cs="Calibri"/>
                <w:color w:val="000000"/>
                <w:sz w:val="14"/>
                <w:szCs w:val="14"/>
              </w:rPr>
              <w:t>atural or cultured pearls, precious or semi</w:t>
            </w:r>
            <w:r>
              <w:rPr>
                <w:rFonts w:cs="Calibri"/>
                <w:color w:val="000000"/>
                <w:sz w:val="14"/>
                <w:szCs w:val="14"/>
              </w:rPr>
              <w:noBreakHyphen/>
            </w:r>
            <w:r w:rsidRPr="00CA792A">
              <w:rPr>
                <w:rFonts w:cs="Calibri"/>
                <w:color w:val="000000"/>
                <w:sz w:val="14"/>
                <w:szCs w:val="14"/>
              </w:rPr>
              <w:t>precious</w:t>
            </w:r>
            <w:r>
              <w:rPr>
                <w:rFonts w:cs="Calibri"/>
                <w:color w:val="000000"/>
                <w:sz w:val="14"/>
                <w:szCs w:val="14"/>
              </w:rPr>
              <w:t xml:space="preserve"> </w:t>
            </w:r>
            <w:r w:rsidRPr="00CA792A">
              <w:rPr>
                <w:rFonts w:cs="Calibri"/>
                <w:color w:val="000000"/>
                <w:sz w:val="14"/>
                <w:szCs w:val="14"/>
              </w:rPr>
              <w:t>stones, precious metals</w:t>
            </w:r>
          </w:p>
        </w:tc>
        <w:tc>
          <w:tcPr>
            <w:tcW w:w="721" w:type="dxa"/>
            <w:noWrap/>
            <w:vAlign w:val="center"/>
            <w:hideMark/>
          </w:tcPr>
          <w:p w14:paraId="116BC345" w14:textId="77777777" w:rsidR="004F64EF" w:rsidRPr="003003C0" w:rsidRDefault="004F64EF" w:rsidP="00FD6B66">
            <w:pPr>
              <w:jc w:val="right"/>
              <w:rPr>
                <w:rFonts w:cs="Calibri"/>
                <w:color w:val="000000"/>
                <w:sz w:val="14"/>
                <w:szCs w:val="14"/>
              </w:rPr>
            </w:pPr>
            <w:r w:rsidRPr="003003C0">
              <w:rPr>
                <w:rFonts w:cs="Calibri"/>
                <w:color w:val="000000"/>
                <w:sz w:val="14"/>
                <w:szCs w:val="14"/>
              </w:rPr>
              <w:t>0</w:t>
            </w:r>
            <w:r>
              <w:rPr>
                <w:rFonts w:cs="Calibri"/>
                <w:color w:val="000000"/>
                <w:sz w:val="14"/>
                <w:szCs w:val="14"/>
              </w:rPr>
              <w:t>.</w:t>
            </w:r>
            <w:r w:rsidRPr="003003C0">
              <w:rPr>
                <w:rFonts w:cs="Calibri"/>
                <w:color w:val="000000"/>
                <w:sz w:val="14"/>
                <w:szCs w:val="14"/>
              </w:rPr>
              <w:t>0</w:t>
            </w:r>
          </w:p>
        </w:tc>
        <w:tc>
          <w:tcPr>
            <w:tcW w:w="722" w:type="dxa"/>
            <w:noWrap/>
            <w:vAlign w:val="center"/>
            <w:hideMark/>
          </w:tcPr>
          <w:p w14:paraId="6E2EEA9B" w14:textId="77777777" w:rsidR="004F64EF" w:rsidRPr="003003C0" w:rsidRDefault="004F64EF" w:rsidP="00FD6B66">
            <w:pPr>
              <w:jc w:val="right"/>
              <w:rPr>
                <w:rFonts w:cs="Calibri"/>
                <w:color w:val="000000"/>
                <w:sz w:val="14"/>
                <w:szCs w:val="14"/>
              </w:rPr>
            </w:pPr>
            <w:r w:rsidRPr="003003C0">
              <w:rPr>
                <w:rFonts w:cs="Calibri"/>
                <w:color w:val="000000"/>
                <w:sz w:val="14"/>
                <w:szCs w:val="14"/>
              </w:rPr>
              <w:t>0</w:t>
            </w:r>
            <w:r>
              <w:rPr>
                <w:rFonts w:cs="Calibri"/>
                <w:color w:val="000000"/>
                <w:sz w:val="14"/>
                <w:szCs w:val="14"/>
              </w:rPr>
              <w:t>.</w:t>
            </w:r>
            <w:r w:rsidRPr="003003C0">
              <w:rPr>
                <w:rFonts w:cs="Calibri"/>
                <w:color w:val="000000"/>
                <w:sz w:val="14"/>
                <w:szCs w:val="14"/>
              </w:rPr>
              <w:t>1</w:t>
            </w:r>
          </w:p>
        </w:tc>
        <w:tc>
          <w:tcPr>
            <w:tcW w:w="722" w:type="dxa"/>
            <w:noWrap/>
            <w:vAlign w:val="center"/>
            <w:hideMark/>
          </w:tcPr>
          <w:p w14:paraId="18EB3386" w14:textId="77777777" w:rsidR="004F64EF" w:rsidRPr="003003C0" w:rsidRDefault="004F64EF" w:rsidP="00FD6B66">
            <w:pPr>
              <w:jc w:val="right"/>
              <w:rPr>
                <w:rFonts w:cs="Calibri"/>
                <w:color w:val="000000"/>
                <w:sz w:val="14"/>
                <w:szCs w:val="14"/>
              </w:rPr>
            </w:pPr>
            <w:r w:rsidRPr="003003C0">
              <w:rPr>
                <w:rFonts w:cs="Calibri"/>
                <w:color w:val="000000"/>
                <w:sz w:val="14"/>
                <w:szCs w:val="14"/>
              </w:rPr>
              <w:t>0</w:t>
            </w:r>
            <w:r>
              <w:rPr>
                <w:rFonts w:cs="Calibri"/>
                <w:color w:val="000000"/>
                <w:sz w:val="14"/>
                <w:szCs w:val="14"/>
              </w:rPr>
              <w:t>.</w:t>
            </w:r>
            <w:r w:rsidRPr="003003C0">
              <w:rPr>
                <w:rFonts w:cs="Calibri"/>
                <w:color w:val="000000"/>
                <w:sz w:val="14"/>
                <w:szCs w:val="14"/>
              </w:rPr>
              <w:t>1</w:t>
            </w:r>
          </w:p>
        </w:tc>
        <w:tc>
          <w:tcPr>
            <w:tcW w:w="721" w:type="dxa"/>
            <w:noWrap/>
            <w:vAlign w:val="center"/>
            <w:hideMark/>
          </w:tcPr>
          <w:p w14:paraId="12244EDC" w14:textId="77777777" w:rsidR="004F64EF" w:rsidRPr="003003C0" w:rsidRDefault="004F64EF" w:rsidP="00FD6B66">
            <w:pPr>
              <w:jc w:val="right"/>
              <w:rPr>
                <w:rFonts w:cs="Calibri"/>
                <w:color w:val="000000"/>
                <w:sz w:val="14"/>
                <w:szCs w:val="14"/>
              </w:rPr>
            </w:pPr>
            <w:r w:rsidRPr="003003C0">
              <w:rPr>
                <w:rFonts w:cs="Calibri"/>
                <w:color w:val="000000"/>
                <w:sz w:val="14"/>
                <w:szCs w:val="14"/>
              </w:rPr>
              <w:t>0</w:t>
            </w:r>
            <w:r>
              <w:rPr>
                <w:rFonts w:cs="Calibri"/>
                <w:color w:val="000000"/>
                <w:sz w:val="14"/>
                <w:szCs w:val="14"/>
              </w:rPr>
              <w:t>.</w:t>
            </w:r>
            <w:r w:rsidRPr="003003C0">
              <w:rPr>
                <w:rFonts w:cs="Calibri"/>
                <w:color w:val="000000"/>
                <w:sz w:val="14"/>
                <w:szCs w:val="14"/>
              </w:rPr>
              <w:t>1</w:t>
            </w:r>
          </w:p>
        </w:tc>
        <w:tc>
          <w:tcPr>
            <w:tcW w:w="722" w:type="dxa"/>
            <w:noWrap/>
            <w:vAlign w:val="center"/>
            <w:hideMark/>
          </w:tcPr>
          <w:p w14:paraId="15F203B9" w14:textId="77777777" w:rsidR="004F64EF" w:rsidRPr="003003C0" w:rsidRDefault="004F64EF" w:rsidP="00FD6B66">
            <w:pPr>
              <w:jc w:val="right"/>
              <w:rPr>
                <w:rFonts w:cs="Calibri"/>
                <w:color w:val="000000"/>
                <w:sz w:val="14"/>
                <w:szCs w:val="14"/>
              </w:rPr>
            </w:pPr>
            <w:r w:rsidRPr="003003C0">
              <w:rPr>
                <w:rFonts w:cs="Calibri"/>
                <w:color w:val="000000"/>
                <w:sz w:val="14"/>
                <w:szCs w:val="14"/>
              </w:rPr>
              <w:t>0</w:t>
            </w:r>
            <w:r>
              <w:rPr>
                <w:rFonts w:cs="Calibri"/>
                <w:color w:val="000000"/>
                <w:sz w:val="14"/>
                <w:szCs w:val="14"/>
              </w:rPr>
              <w:t>.</w:t>
            </w:r>
            <w:r w:rsidRPr="003003C0">
              <w:rPr>
                <w:rFonts w:cs="Calibri"/>
                <w:color w:val="000000"/>
                <w:sz w:val="14"/>
                <w:szCs w:val="14"/>
              </w:rPr>
              <w:t>1</w:t>
            </w:r>
          </w:p>
        </w:tc>
        <w:tc>
          <w:tcPr>
            <w:tcW w:w="722" w:type="dxa"/>
            <w:noWrap/>
            <w:vAlign w:val="center"/>
            <w:hideMark/>
          </w:tcPr>
          <w:p w14:paraId="008593B9" w14:textId="77777777" w:rsidR="004F64EF" w:rsidRPr="003003C0" w:rsidRDefault="004F64EF" w:rsidP="00FD6B66">
            <w:pPr>
              <w:jc w:val="right"/>
              <w:rPr>
                <w:rFonts w:cs="Calibri"/>
                <w:color w:val="000000"/>
                <w:sz w:val="14"/>
                <w:szCs w:val="14"/>
              </w:rPr>
            </w:pPr>
            <w:r w:rsidRPr="003003C0">
              <w:rPr>
                <w:rFonts w:cs="Calibri"/>
                <w:color w:val="000000"/>
                <w:sz w:val="14"/>
                <w:szCs w:val="14"/>
              </w:rPr>
              <w:t>0</w:t>
            </w:r>
            <w:r>
              <w:rPr>
                <w:rFonts w:cs="Calibri"/>
                <w:color w:val="000000"/>
                <w:sz w:val="14"/>
                <w:szCs w:val="14"/>
              </w:rPr>
              <w:t>.</w:t>
            </w:r>
            <w:r w:rsidRPr="003003C0">
              <w:rPr>
                <w:rFonts w:cs="Calibri"/>
                <w:color w:val="000000"/>
                <w:sz w:val="14"/>
                <w:szCs w:val="14"/>
              </w:rPr>
              <w:t>1</w:t>
            </w:r>
          </w:p>
        </w:tc>
        <w:tc>
          <w:tcPr>
            <w:tcW w:w="722" w:type="dxa"/>
            <w:noWrap/>
            <w:vAlign w:val="center"/>
            <w:hideMark/>
          </w:tcPr>
          <w:p w14:paraId="1F80C693" w14:textId="77777777" w:rsidR="004F64EF" w:rsidRPr="003003C0" w:rsidRDefault="004F64EF" w:rsidP="00FD6B66">
            <w:pPr>
              <w:jc w:val="right"/>
              <w:rPr>
                <w:rFonts w:cs="Calibri"/>
                <w:color w:val="000000"/>
                <w:sz w:val="14"/>
                <w:szCs w:val="14"/>
              </w:rPr>
            </w:pPr>
            <w:r w:rsidRPr="003003C0">
              <w:rPr>
                <w:rFonts w:cs="Calibri"/>
                <w:color w:val="000000"/>
                <w:sz w:val="14"/>
                <w:szCs w:val="14"/>
              </w:rPr>
              <w:t>0</w:t>
            </w:r>
            <w:r>
              <w:rPr>
                <w:rFonts w:cs="Calibri"/>
                <w:color w:val="000000"/>
                <w:sz w:val="14"/>
                <w:szCs w:val="14"/>
              </w:rPr>
              <w:t>.</w:t>
            </w:r>
            <w:r w:rsidRPr="003003C0">
              <w:rPr>
                <w:rFonts w:cs="Calibri"/>
                <w:color w:val="000000"/>
                <w:sz w:val="14"/>
                <w:szCs w:val="14"/>
              </w:rPr>
              <w:t>1</w:t>
            </w:r>
          </w:p>
        </w:tc>
      </w:tr>
      <w:tr w:rsidR="004F64EF" w:rsidRPr="003003C0" w14:paraId="33DC6F8F" w14:textId="77777777" w:rsidTr="00FD6B66">
        <w:trPr>
          <w:cnfStyle w:val="000000010000" w:firstRow="0" w:lastRow="0" w:firstColumn="0" w:lastColumn="0" w:oddVBand="0" w:evenVBand="0" w:oddHBand="0" w:evenHBand="1" w:firstRowFirstColumn="0" w:firstRowLastColumn="0" w:lastRowFirstColumn="0" w:lastRowLastColumn="0"/>
          <w:trHeight w:val="20"/>
        </w:trPr>
        <w:tc>
          <w:tcPr>
            <w:tcW w:w="3964" w:type="dxa"/>
            <w:noWrap/>
            <w:vAlign w:val="center"/>
            <w:hideMark/>
          </w:tcPr>
          <w:p w14:paraId="26B19CEA" w14:textId="77777777" w:rsidR="004F64EF" w:rsidRPr="003003C0" w:rsidRDefault="004F64EF" w:rsidP="00FD6B66">
            <w:pPr>
              <w:jc w:val="left"/>
              <w:rPr>
                <w:rFonts w:cs="Calibri"/>
                <w:color w:val="000000"/>
                <w:sz w:val="14"/>
                <w:szCs w:val="14"/>
              </w:rPr>
            </w:pPr>
            <w:r w:rsidRPr="003003C0">
              <w:rPr>
                <w:rFonts w:cs="Calibri"/>
                <w:color w:val="000000"/>
                <w:sz w:val="14"/>
                <w:szCs w:val="14"/>
              </w:rPr>
              <w:t xml:space="preserve">15 - </w:t>
            </w:r>
            <w:r>
              <w:rPr>
                <w:rFonts w:cs="Calibri"/>
                <w:color w:val="000000"/>
                <w:sz w:val="14"/>
                <w:szCs w:val="14"/>
              </w:rPr>
              <w:t>B</w:t>
            </w:r>
            <w:r w:rsidRPr="00561D8C">
              <w:rPr>
                <w:rFonts w:cs="Calibri"/>
                <w:color w:val="000000"/>
                <w:sz w:val="14"/>
                <w:szCs w:val="14"/>
              </w:rPr>
              <w:t>ase metals and articles of base metal</w:t>
            </w:r>
          </w:p>
        </w:tc>
        <w:tc>
          <w:tcPr>
            <w:tcW w:w="721" w:type="dxa"/>
            <w:noWrap/>
            <w:vAlign w:val="center"/>
            <w:hideMark/>
          </w:tcPr>
          <w:p w14:paraId="06DD7EB0" w14:textId="77777777" w:rsidR="004F64EF" w:rsidRPr="003003C0" w:rsidRDefault="004F64EF" w:rsidP="00FD6B66">
            <w:pPr>
              <w:jc w:val="right"/>
              <w:rPr>
                <w:rFonts w:cs="Calibri"/>
                <w:color w:val="000000"/>
                <w:sz w:val="14"/>
                <w:szCs w:val="14"/>
              </w:rPr>
            </w:pPr>
            <w:r w:rsidRPr="003003C0">
              <w:rPr>
                <w:rFonts w:cs="Calibri"/>
                <w:color w:val="000000"/>
                <w:sz w:val="14"/>
                <w:szCs w:val="14"/>
              </w:rPr>
              <w:t>7</w:t>
            </w:r>
            <w:r>
              <w:rPr>
                <w:rFonts w:cs="Calibri"/>
                <w:color w:val="000000"/>
                <w:sz w:val="14"/>
                <w:szCs w:val="14"/>
              </w:rPr>
              <w:t>.</w:t>
            </w:r>
            <w:r w:rsidRPr="003003C0">
              <w:rPr>
                <w:rFonts w:cs="Calibri"/>
                <w:color w:val="000000"/>
                <w:sz w:val="14"/>
                <w:szCs w:val="14"/>
              </w:rPr>
              <w:t>9</w:t>
            </w:r>
          </w:p>
        </w:tc>
        <w:tc>
          <w:tcPr>
            <w:tcW w:w="722" w:type="dxa"/>
            <w:noWrap/>
            <w:vAlign w:val="center"/>
            <w:hideMark/>
          </w:tcPr>
          <w:p w14:paraId="7A51CE35" w14:textId="77777777" w:rsidR="004F64EF" w:rsidRPr="003003C0" w:rsidRDefault="004F64EF" w:rsidP="00FD6B66">
            <w:pPr>
              <w:jc w:val="right"/>
              <w:rPr>
                <w:rFonts w:cs="Calibri"/>
                <w:color w:val="000000"/>
                <w:sz w:val="14"/>
                <w:szCs w:val="14"/>
              </w:rPr>
            </w:pPr>
            <w:r w:rsidRPr="003003C0">
              <w:rPr>
                <w:rFonts w:cs="Calibri"/>
                <w:color w:val="000000"/>
                <w:sz w:val="14"/>
                <w:szCs w:val="14"/>
              </w:rPr>
              <w:t>7</w:t>
            </w:r>
            <w:r>
              <w:rPr>
                <w:rFonts w:cs="Calibri"/>
                <w:color w:val="000000"/>
                <w:sz w:val="14"/>
                <w:szCs w:val="14"/>
              </w:rPr>
              <w:t>.</w:t>
            </w:r>
            <w:r w:rsidRPr="003003C0">
              <w:rPr>
                <w:rFonts w:cs="Calibri"/>
                <w:color w:val="000000"/>
                <w:sz w:val="14"/>
                <w:szCs w:val="14"/>
              </w:rPr>
              <w:t>0</w:t>
            </w:r>
          </w:p>
        </w:tc>
        <w:tc>
          <w:tcPr>
            <w:tcW w:w="722" w:type="dxa"/>
            <w:noWrap/>
            <w:vAlign w:val="center"/>
            <w:hideMark/>
          </w:tcPr>
          <w:p w14:paraId="2F60CC84" w14:textId="77777777" w:rsidR="004F64EF" w:rsidRPr="003003C0" w:rsidRDefault="004F64EF" w:rsidP="00FD6B66">
            <w:pPr>
              <w:jc w:val="right"/>
              <w:rPr>
                <w:rFonts w:cs="Calibri"/>
                <w:color w:val="000000"/>
                <w:sz w:val="14"/>
                <w:szCs w:val="14"/>
              </w:rPr>
            </w:pPr>
            <w:r w:rsidRPr="003003C0">
              <w:rPr>
                <w:rFonts w:cs="Calibri"/>
                <w:color w:val="000000"/>
                <w:sz w:val="14"/>
                <w:szCs w:val="14"/>
              </w:rPr>
              <w:t>6</w:t>
            </w:r>
            <w:r>
              <w:rPr>
                <w:rFonts w:cs="Calibri"/>
                <w:color w:val="000000"/>
                <w:sz w:val="14"/>
                <w:szCs w:val="14"/>
              </w:rPr>
              <w:t>.</w:t>
            </w:r>
            <w:r w:rsidRPr="003003C0">
              <w:rPr>
                <w:rFonts w:cs="Calibri"/>
                <w:color w:val="000000"/>
                <w:sz w:val="14"/>
                <w:szCs w:val="14"/>
              </w:rPr>
              <w:t>8</w:t>
            </w:r>
          </w:p>
        </w:tc>
        <w:tc>
          <w:tcPr>
            <w:tcW w:w="721" w:type="dxa"/>
            <w:noWrap/>
            <w:vAlign w:val="center"/>
            <w:hideMark/>
          </w:tcPr>
          <w:p w14:paraId="2F92AC8F" w14:textId="77777777" w:rsidR="004F64EF" w:rsidRPr="003003C0" w:rsidRDefault="004F64EF" w:rsidP="00FD6B66">
            <w:pPr>
              <w:jc w:val="right"/>
              <w:rPr>
                <w:rFonts w:cs="Calibri"/>
                <w:color w:val="000000"/>
                <w:sz w:val="14"/>
                <w:szCs w:val="14"/>
              </w:rPr>
            </w:pPr>
            <w:r w:rsidRPr="003003C0">
              <w:rPr>
                <w:rFonts w:cs="Calibri"/>
                <w:color w:val="000000"/>
                <w:sz w:val="14"/>
                <w:szCs w:val="14"/>
              </w:rPr>
              <w:t>7</w:t>
            </w:r>
            <w:r>
              <w:rPr>
                <w:rFonts w:cs="Calibri"/>
                <w:color w:val="000000"/>
                <w:sz w:val="14"/>
                <w:szCs w:val="14"/>
              </w:rPr>
              <w:t>.</w:t>
            </w:r>
            <w:r w:rsidRPr="003003C0">
              <w:rPr>
                <w:rFonts w:cs="Calibri"/>
                <w:color w:val="000000"/>
                <w:sz w:val="14"/>
                <w:szCs w:val="14"/>
              </w:rPr>
              <w:t>6</w:t>
            </w:r>
          </w:p>
        </w:tc>
        <w:tc>
          <w:tcPr>
            <w:tcW w:w="722" w:type="dxa"/>
            <w:noWrap/>
            <w:vAlign w:val="center"/>
            <w:hideMark/>
          </w:tcPr>
          <w:p w14:paraId="28F2C42A" w14:textId="77777777" w:rsidR="004F64EF" w:rsidRPr="003003C0" w:rsidRDefault="004F64EF" w:rsidP="00FD6B66">
            <w:pPr>
              <w:jc w:val="right"/>
              <w:rPr>
                <w:rFonts w:cs="Calibri"/>
                <w:color w:val="000000"/>
                <w:sz w:val="14"/>
                <w:szCs w:val="14"/>
              </w:rPr>
            </w:pPr>
            <w:r w:rsidRPr="003003C0">
              <w:rPr>
                <w:rFonts w:cs="Calibri"/>
                <w:color w:val="000000"/>
                <w:sz w:val="14"/>
                <w:szCs w:val="14"/>
              </w:rPr>
              <w:t>7</w:t>
            </w:r>
            <w:r>
              <w:rPr>
                <w:rFonts w:cs="Calibri"/>
                <w:color w:val="000000"/>
                <w:sz w:val="14"/>
                <w:szCs w:val="14"/>
              </w:rPr>
              <w:t>.</w:t>
            </w:r>
            <w:r w:rsidRPr="003003C0">
              <w:rPr>
                <w:rFonts w:cs="Calibri"/>
                <w:color w:val="000000"/>
                <w:sz w:val="14"/>
                <w:szCs w:val="14"/>
              </w:rPr>
              <w:t>3</w:t>
            </w:r>
          </w:p>
        </w:tc>
        <w:tc>
          <w:tcPr>
            <w:tcW w:w="722" w:type="dxa"/>
            <w:noWrap/>
            <w:vAlign w:val="center"/>
            <w:hideMark/>
          </w:tcPr>
          <w:p w14:paraId="045C4D69" w14:textId="77777777" w:rsidR="004F64EF" w:rsidRPr="003003C0" w:rsidRDefault="004F64EF" w:rsidP="00FD6B66">
            <w:pPr>
              <w:jc w:val="right"/>
              <w:rPr>
                <w:rFonts w:cs="Calibri"/>
                <w:color w:val="000000"/>
                <w:sz w:val="14"/>
                <w:szCs w:val="14"/>
              </w:rPr>
            </w:pPr>
            <w:r w:rsidRPr="003003C0">
              <w:rPr>
                <w:rFonts w:cs="Calibri"/>
                <w:color w:val="000000"/>
                <w:sz w:val="14"/>
                <w:szCs w:val="14"/>
              </w:rPr>
              <w:t>7</w:t>
            </w:r>
            <w:r>
              <w:rPr>
                <w:rFonts w:cs="Calibri"/>
                <w:color w:val="000000"/>
                <w:sz w:val="14"/>
                <w:szCs w:val="14"/>
              </w:rPr>
              <w:t>.</w:t>
            </w:r>
            <w:r w:rsidRPr="003003C0">
              <w:rPr>
                <w:rFonts w:cs="Calibri"/>
                <w:color w:val="000000"/>
                <w:sz w:val="14"/>
                <w:szCs w:val="14"/>
              </w:rPr>
              <w:t>3</w:t>
            </w:r>
          </w:p>
        </w:tc>
        <w:tc>
          <w:tcPr>
            <w:tcW w:w="722" w:type="dxa"/>
            <w:noWrap/>
            <w:vAlign w:val="center"/>
            <w:hideMark/>
          </w:tcPr>
          <w:p w14:paraId="641279ED" w14:textId="77777777" w:rsidR="004F64EF" w:rsidRPr="003003C0" w:rsidRDefault="004F64EF" w:rsidP="00FD6B66">
            <w:pPr>
              <w:jc w:val="right"/>
              <w:rPr>
                <w:rFonts w:cs="Calibri"/>
                <w:color w:val="000000"/>
                <w:sz w:val="14"/>
                <w:szCs w:val="14"/>
              </w:rPr>
            </w:pPr>
            <w:r w:rsidRPr="003003C0">
              <w:rPr>
                <w:rFonts w:cs="Calibri"/>
                <w:color w:val="000000"/>
                <w:sz w:val="14"/>
                <w:szCs w:val="14"/>
              </w:rPr>
              <w:t>8</w:t>
            </w:r>
            <w:r>
              <w:rPr>
                <w:rFonts w:cs="Calibri"/>
                <w:color w:val="000000"/>
                <w:sz w:val="14"/>
                <w:szCs w:val="14"/>
              </w:rPr>
              <w:t>.</w:t>
            </w:r>
            <w:r w:rsidRPr="003003C0">
              <w:rPr>
                <w:rFonts w:cs="Calibri"/>
                <w:color w:val="000000"/>
                <w:sz w:val="14"/>
                <w:szCs w:val="14"/>
              </w:rPr>
              <w:t>6</w:t>
            </w:r>
          </w:p>
        </w:tc>
      </w:tr>
      <w:tr w:rsidR="004F64EF" w:rsidRPr="003003C0" w14:paraId="7CC09FB7" w14:textId="77777777" w:rsidTr="00FD6B66">
        <w:trPr>
          <w:trHeight w:val="20"/>
        </w:trPr>
        <w:tc>
          <w:tcPr>
            <w:tcW w:w="3964" w:type="dxa"/>
            <w:noWrap/>
            <w:vAlign w:val="center"/>
            <w:hideMark/>
          </w:tcPr>
          <w:p w14:paraId="2AB0A175" w14:textId="77777777" w:rsidR="004F64EF" w:rsidRPr="003003C0" w:rsidRDefault="004F64EF" w:rsidP="00FD6B66">
            <w:pPr>
              <w:tabs>
                <w:tab w:val="left" w:pos="227"/>
              </w:tabs>
              <w:jc w:val="left"/>
              <w:rPr>
                <w:rFonts w:cs="Calibri"/>
                <w:color w:val="000000"/>
                <w:sz w:val="14"/>
                <w:szCs w:val="14"/>
              </w:rPr>
            </w:pPr>
            <w:r w:rsidRPr="003003C0">
              <w:rPr>
                <w:rFonts w:cs="Calibri"/>
                <w:color w:val="000000"/>
                <w:sz w:val="14"/>
                <w:szCs w:val="14"/>
              </w:rPr>
              <w:tab/>
              <w:t xml:space="preserve">72. </w:t>
            </w:r>
            <w:r w:rsidRPr="00561D8C">
              <w:rPr>
                <w:rFonts w:cs="Calibri"/>
                <w:color w:val="000000"/>
                <w:sz w:val="14"/>
                <w:szCs w:val="14"/>
              </w:rPr>
              <w:t>Iron and steel</w:t>
            </w:r>
          </w:p>
        </w:tc>
        <w:tc>
          <w:tcPr>
            <w:tcW w:w="721" w:type="dxa"/>
            <w:noWrap/>
            <w:vAlign w:val="center"/>
            <w:hideMark/>
          </w:tcPr>
          <w:p w14:paraId="552EDD8B" w14:textId="77777777" w:rsidR="004F64EF" w:rsidRPr="003003C0" w:rsidRDefault="004F64EF" w:rsidP="00FD6B66">
            <w:pPr>
              <w:jc w:val="right"/>
              <w:rPr>
                <w:rFonts w:cs="Calibri"/>
                <w:color w:val="000000"/>
                <w:sz w:val="14"/>
                <w:szCs w:val="14"/>
              </w:rPr>
            </w:pPr>
            <w:r w:rsidRPr="003003C0">
              <w:rPr>
                <w:rFonts w:cs="Calibri"/>
                <w:color w:val="000000"/>
                <w:sz w:val="14"/>
                <w:szCs w:val="14"/>
              </w:rPr>
              <w:t>3</w:t>
            </w:r>
            <w:r>
              <w:rPr>
                <w:rFonts w:cs="Calibri"/>
                <w:color w:val="000000"/>
                <w:sz w:val="14"/>
                <w:szCs w:val="14"/>
              </w:rPr>
              <w:t>.</w:t>
            </w:r>
            <w:r w:rsidRPr="003003C0">
              <w:rPr>
                <w:rFonts w:cs="Calibri"/>
                <w:color w:val="000000"/>
                <w:sz w:val="14"/>
                <w:szCs w:val="14"/>
              </w:rPr>
              <w:t>7</w:t>
            </w:r>
          </w:p>
        </w:tc>
        <w:tc>
          <w:tcPr>
            <w:tcW w:w="722" w:type="dxa"/>
            <w:noWrap/>
            <w:vAlign w:val="center"/>
            <w:hideMark/>
          </w:tcPr>
          <w:p w14:paraId="01F607C0" w14:textId="77777777" w:rsidR="004F64EF" w:rsidRPr="003003C0" w:rsidRDefault="004F64EF" w:rsidP="00FD6B66">
            <w:pPr>
              <w:jc w:val="right"/>
              <w:rPr>
                <w:rFonts w:cs="Calibri"/>
                <w:color w:val="000000"/>
                <w:sz w:val="14"/>
                <w:szCs w:val="14"/>
              </w:rPr>
            </w:pPr>
            <w:r w:rsidRPr="003003C0">
              <w:rPr>
                <w:rFonts w:cs="Calibri"/>
                <w:color w:val="000000"/>
                <w:sz w:val="14"/>
                <w:szCs w:val="14"/>
              </w:rPr>
              <w:t>2</w:t>
            </w:r>
            <w:r>
              <w:rPr>
                <w:rFonts w:cs="Calibri"/>
                <w:color w:val="000000"/>
                <w:sz w:val="14"/>
                <w:szCs w:val="14"/>
              </w:rPr>
              <w:t>.</w:t>
            </w:r>
            <w:r w:rsidRPr="003003C0">
              <w:rPr>
                <w:rFonts w:cs="Calibri"/>
                <w:color w:val="000000"/>
                <w:sz w:val="14"/>
                <w:szCs w:val="14"/>
              </w:rPr>
              <w:t>5</w:t>
            </w:r>
          </w:p>
        </w:tc>
        <w:tc>
          <w:tcPr>
            <w:tcW w:w="722" w:type="dxa"/>
            <w:noWrap/>
            <w:vAlign w:val="center"/>
            <w:hideMark/>
          </w:tcPr>
          <w:p w14:paraId="5693F397" w14:textId="77777777" w:rsidR="004F64EF" w:rsidRPr="003003C0" w:rsidRDefault="004F64EF" w:rsidP="00FD6B66">
            <w:pPr>
              <w:jc w:val="right"/>
              <w:rPr>
                <w:rFonts w:cs="Calibri"/>
                <w:color w:val="000000"/>
                <w:sz w:val="14"/>
                <w:szCs w:val="14"/>
              </w:rPr>
            </w:pPr>
            <w:r w:rsidRPr="003003C0">
              <w:rPr>
                <w:rFonts w:cs="Calibri"/>
                <w:color w:val="000000"/>
                <w:sz w:val="14"/>
                <w:szCs w:val="14"/>
              </w:rPr>
              <w:t>3</w:t>
            </w:r>
            <w:r>
              <w:rPr>
                <w:rFonts w:cs="Calibri"/>
                <w:color w:val="000000"/>
                <w:sz w:val="14"/>
                <w:szCs w:val="14"/>
              </w:rPr>
              <w:t>.</w:t>
            </w:r>
            <w:r w:rsidRPr="003003C0">
              <w:rPr>
                <w:rFonts w:cs="Calibri"/>
                <w:color w:val="000000"/>
                <w:sz w:val="14"/>
                <w:szCs w:val="14"/>
              </w:rPr>
              <w:t>1</w:t>
            </w:r>
          </w:p>
        </w:tc>
        <w:tc>
          <w:tcPr>
            <w:tcW w:w="721" w:type="dxa"/>
            <w:noWrap/>
            <w:vAlign w:val="center"/>
            <w:hideMark/>
          </w:tcPr>
          <w:p w14:paraId="04F4D375" w14:textId="77777777" w:rsidR="004F64EF" w:rsidRPr="003003C0" w:rsidRDefault="004F64EF" w:rsidP="00FD6B66">
            <w:pPr>
              <w:jc w:val="right"/>
              <w:rPr>
                <w:rFonts w:cs="Calibri"/>
                <w:color w:val="000000"/>
                <w:sz w:val="14"/>
                <w:szCs w:val="14"/>
              </w:rPr>
            </w:pPr>
            <w:r w:rsidRPr="003003C0">
              <w:rPr>
                <w:rFonts w:cs="Calibri"/>
                <w:color w:val="000000"/>
                <w:sz w:val="14"/>
                <w:szCs w:val="14"/>
              </w:rPr>
              <w:t>3</w:t>
            </w:r>
            <w:r>
              <w:rPr>
                <w:rFonts w:cs="Calibri"/>
                <w:color w:val="000000"/>
                <w:sz w:val="14"/>
                <w:szCs w:val="14"/>
              </w:rPr>
              <w:t>.</w:t>
            </w:r>
            <w:r w:rsidRPr="003003C0">
              <w:rPr>
                <w:rFonts w:cs="Calibri"/>
                <w:color w:val="000000"/>
                <w:sz w:val="14"/>
                <w:szCs w:val="14"/>
              </w:rPr>
              <w:t>9</w:t>
            </w:r>
          </w:p>
        </w:tc>
        <w:tc>
          <w:tcPr>
            <w:tcW w:w="722" w:type="dxa"/>
            <w:noWrap/>
            <w:vAlign w:val="center"/>
            <w:hideMark/>
          </w:tcPr>
          <w:p w14:paraId="3F60F3B0" w14:textId="77777777" w:rsidR="004F64EF" w:rsidRPr="003003C0" w:rsidRDefault="004F64EF" w:rsidP="00FD6B66">
            <w:pPr>
              <w:jc w:val="right"/>
              <w:rPr>
                <w:rFonts w:cs="Calibri"/>
                <w:color w:val="000000"/>
                <w:sz w:val="14"/>
                <w:szCs w:val="14"/>
              </w:rPr>
            </w:pPr>
            <w:r w:rsidRPr="003003C0">
              <w:rPr>
                <w:rFonts w:cs="Calibri"/>
                <w:color w:val="000000"/>
                <w:sz w:val="14"/>
                <w:szCs w:val="14"/>
              </w:rPr>
              <w:t>3</w:t>
            </w:r>
            <w:r>
              <w:rPr>
                <w:rFonts w:cs="Calibri"/>
                <w:color w:val="000000"/>
                <w:sz w:val="14"/>
                <w:szCs w:val="14"/>
              </w:rPr>
              <w:t>.</w:t>
            </w:r>
            <w:r w:rsidRPr="003003C0">
              <w:rPr>
                <w:rFonts w:cs="Calibri"/>
                <w:color w:val="000000"/>
                <w:sz w:val="14"/>
                <w:szCs w:val="14"/>
              </w:rPr>
              <w:t>4</w:t>
            </w:r>
          </w:p>
        </w:tc>
        <w:tc>
          <w:tcPr>
            <w:tcW w:w="722" w:type="dxa"/>
            <w:noWrap/>
            <w:vAlign w:val="center"/>
            <w:hideMark/>
          </w:tcPr>
          <w:p w14:paraId="05718C05" w14:textId="77777777" w:rsidR="004F64EF" w:rsidRPr="003003C0" w:rsidRDefault="004F64EF" w:rsidP="00FD6B66">
            <w:pPr>
              <w:jc w:val="right"/>
              <w:rPr>
                <w:rFonts w:cs="Calibri"/>
                <w:color w:val="000000"/>
                <w:sz w:val="14"/>
                <w:szCs w:val="14"/>
              </w:rPr>
            </w:pPr>
            <w:r w:rsidRPr="003003C0">
              <w:rPr>
                <w:rFonts w:cs="Calibri"/>
                <w:color w:val="000000"/>
                <w:sz w:val="14"/>
                <w:szCs w:val="14"/>
              </w:rPr>
              <w:t>3</w:t>
            </w:r>
            <w:r>
              <w:rPr>
                <w:rFonts w:cs="Calibri"/>
                <w:color w:val="000000"/>
                <w:sz w:val="14"/>
                <w:szCs w:val="14"/>
              </w:rPr>
              <w:t>.</w:t>
            </w:r>
            <w:r w:rsidRPr="003003C0">
              <w:rPr>
                <w:rFonts w:cs="Calibri"/>
                <w:color w:val="000000"/>
                <w:sz w:val="14"/>
                <w:szCs w:val="14"/>
              </w:rPr>
              <w:t>4</w:t>
            </w:r>
          </w:p>
        </w:tc>
        <w:tc>
          <w:tcPr>
            <w:tcW w:w="722" w:type="dxa"/>
            <w:noWrap/>
            <w:vAlign w:val="center"/>
            <w:hideMark/>
          </w:tcPr>
          <w:p w14:paraId="70155090" w14:textId="77777777" w:rsidR="004F64EF" w:rsidRPr="003003C0" w:rsidRDefault="004F64EF" w:rsidP="00FD6B66">
            <w:pPr>
              <w:jc w:val="right"/>
              <w:rPr>
                <w:rFonts w:cs="Calibri"/>
                <w:color w:val="000000"/>
                <w:sz w:val="14"/>
                <w:szCs w:val="14"/>
              </w:rPr>
            </w:pPr>
            <w:r w:rsidRPr="003003C0">
              <w:rPr>
                <w:rFonts w:cs="Calibri"/>
                <w:color w:val="000000"/>
                <w:sz w:val="14"/>
                <w:szCs w:val="14"/>
              </w:rPr>
              <w:t>4</w:t>
            </w:r>
            <w:r>
              <w:rPr>
                <w:rFonts w:cs="Calibri"/>
                <w:color w:val="000000"/>
                <w:sz w:val="14"/>
                <w:szCs w:val="14"/>
              </w:rPr>
              <w:t>.</w:t>
            </w:r>
            <w:r w:rsidRPr="003003C0">
              <w:rPr>
                <w:rFonts w:cs="Calibri"/>
                <w:color w:val="000000"/>
                <w:sz w:val="14"/>
                <w:szCs w:val="14"/>
              </w:rPr>
              <w:t>8</w:t>
            </w:r>
          </w:p>
        </w:tc>
      </w:tr>
      <w:tr w:rsidR="004F64EF" w:rsidRPr="003003C0" w14:paraId="3F027D80" w14:textId="77777777" w:rsidTr="00FD6B66">
        <w:trPr>
          <w:cnfStyle w:val="000000010000" w:firstRow="0" w:lastRow="0" w:firstColumn="0" w:lastColumn="0" w:oddVBand="0" w:evenVBand="0" w:oddHBand="0" w:evenHBand="1" w:firstRowFirstColumn="0" w:firstRowLastColumn="0" w:lastRowFirstColumn="0" w:lastRowLastColumn="0"/>
          <w:trHeight w:val="20"/>
        </w:trPr>
        <w:tc>
          <w:tcPr>
            <w:tcW w:w="3964" w:type="dxa"/>
            <w:noWrap/>
            <w:vAlign w:val="center"/>
            <w:hideMark/>
          </w:tcPr>
          <w:p w14:paraId="04BC35FB" w14:textId="77777777" w:rsidR="004F64EF" w:rsidRPr="003003C0" w:rsidRDefault="004F64EF" w:rsidP="00FD6B66">
            <w:pPr>
              <w:tabs>
                <w:tab w:val="left" w:pos="227"/>
              </w:tabs>
              <w:jc w:val="left"/>
              <w:rPr>
                <w:rFonts w:cs="Calibri"/>
                <w:color w:val="000000"/>
                <w:sz w:val="14"/>
                <w:szCs w:val="14"/>
              </w:rPr>
            </w:pPr>
            <w:r w:rsidRPr="003003C0">
              <w:rPr>
                <w:rFonts w:cs="Calibri"/>
                <w:color w:val="000000"/>
                <w:sz w:val="14"/>
                <w:szCs w:val="14"/>
              </w:rPr>
              <w:tab/>
              <w:t xml:space="preserve">73. </w:t>
            </w:r>
            <w:r w:rsidRPr="00561D8C">
              <w:rPr>
                <w:rFonts w:cs="Calibri"/>
                <w:color w:val="000000"/>
                <w:sz w:val="14"/>
                <w:szCs w:val="14"/>
              </w:rPr>
              <w:t>Articles of iron or steel</w:t>
            </w:r>
          </w:p>
        </w:tc>
        <w:tc>
          <w:tcPr>
            <w:tcW w:w="721" w:type="dxa"/>
            <w:noWrap/>
            <w:vAlign w:val="center"/>
            <w:hideMark/>
          </w:tcPr>
          <w:p w14:paraId="436F9375" w14:textId="77777777" w:rsidR="004F64EF" w:rsidRPr="003003C0" w:rsidRDefault="004F64EF" w:rsidP="00FD6B66">
            <w:pPr>
              <w:jc w:val="right"/>
              <w:rPr>
                <w:rFonts w:cs="Calibri"/>
                <w:color w:val="000000"/>
                <w:sz w:val="14"/>
                <w:szCs w:val="14"/>
              </w:rPr>
            </w:pPr>
            <w:r w:rsidRPr="003003C0">
              <w:rPr>
                <w:rFonts w:cs="Calibri"/>
                <w:color w:val="000000"/>
                <w:sz w:val="14"/>
                <w:szCs w:val="14"/>
              </w:rPr>
              <w:t>2</w:t>
            </w:r>
            <w:r>
              <w:rPr>
                <w:rFonts w:cs="Calibri"/>
                <w:color w:val="000000"/>
                <w:sz w:val="14"/>
                <w:szCs w:val="14"/>
              </w:rPr>
              <w:t>.</w:t>
            </w:r>
            <w:r w:rsidRPr="003003C0">
              <w:rPr>
                <w:rFonts w:cs="Calibri"/>
                <w:color w:val="000000"/>
                <w:sz w:val="14"/>
                <w:szCs w:val="14"/>
              </w:rPr>
              <w:t>5</w:t>
            </w:r>
          </w:p>
        </w:tc>
        <w:tc>
          <w:tcPr>
            <w:tcW w:w="722" w:type="dxa"/>
            <w:noWrap/>
            <w:vAlign w:val="center"/>
            <w:hideMark/>
          </w:tcPr>
          <w:p w14:paraId="2A78CEF7" w14:textId="77777777" w:rsidR="004F64EF" w:rsidRPr="003003C0" w:rsidRDefault="004F64EF" w:rsidP="00FD6B66">
            <w:pPr>
              <w:jc w:val="right"/>
              <w:rPr>
                <w:rFonts w:cs="Calibri"/>
                <w:color w:val="000000"/>
                <w:sz w:val="14"/>
                <w:szCs w:val="14"/>
              </w:rPr>
            </w:pPr>
            <w:r w:rsidRPr="003003C0">
              <w:rPr>
                <w:rFonts w:cs="Calibri"/>
                <w:color w:val="000000"/>
                <w:sz w:val="14"/>
                <w:szCs w:val="14"/>
              </w:rPr>
              <w:t>2</w:t>
            </w:r>
            <w:r>
              <w:rPr>
                <w:rFonts w:cs="Calibri"/>
                <w:color w:val="000000"/>
                <w:sz w:val="14"/>
                <w:szCs w:val="14"/>
              </w:rPr>
              <w:t>.</w:t>
            </w:r>
            <w:r w:rsidRPr="003003C0">
              <w:rPr>
                <w:rFonts w:cs="Calibri"/>
                <w:color w:val="000000"/>
                <w:sz w:val="14"/>
                <w:szCs w:val="14"/>
              </w:rPr>
              <w:t>8</w:t>
            </w:r>
          </w:p>
        </w:tc>
        <w:tc>
          <w:tcPr>
            <w:tcW w:w="722" w:type="dxa"/>
            <w:noWrap/>
            <w:vAlign w:val="center"/>
            <w:hideMark/>
          </w:tcPr>
          <w:p w14:paraId="77A89CF0" w14:textId="77777777" w:rsidR="004F64EF" w:rsidRPr="003003C0" w:rsidRDefault="004F64EF" w:rsidP="00FD6B66">
            <w:pPr>
              <w:jc w:val="right"/>
              <w:rPr>
                <w:rFonts w:cs="Calibri"/>
                <w:color w:val="000000"/>
                <w:sz w:val="14"/>
                <w:szCs w:val="14"/>
              </w:rPr>
            </w:pPr>
            <w:r w:rsidRPr="003003C0">
              <w:rPr>
                <w:rFonts w:cs="Calibri"/>
                <w:color w:val="000000"/>
                <w:sz w:val="14"/>
                <w:szCs w:val="14"/>
              </w:rPr>
              <w:t>2</w:t>
            </w:r>
            <w:r>
              <w:rPr>
                <w:rFonts w:cs="Calibri"/>
                <w:color w:val="000000"/>
                <w:sz w:val="14"/>
                <w:szCs w:val="14"/>
              </w:rPr>
              <w:t>.</w:t>
            </w:r>
            <w:r w:rsidRPr="003003C0">
              <w:rPr>
                <w:rFonts w:cs="Calibri"/>
                <w:color w:val="000000"/>
                <w:sz w:val="14"/>
                <w:szCs w:val="14"/>
              </w:rPr>
              <w:t>0</w:t>
            </w:r>
          </w:p>
        </w:tc>
        <w:tc>
          <w:tcPr>
            <w:tcW w:w="721" w:type="dxa"/>
            <w:noWrap/>
            <w:vAlign w:val="center"/>
            <w:hideMark/>
          </w:tcPr>
          <w:p w14:paraId="1A99A0C5" w14:textId="77777777" w:rsidR="004F64EF" w:rsidRPr="003003C0" w:rsidRDefault="004F64EF" w:rsidP="00FD6B66">
            <w:pPr>
              <w:jc w:val="right"/>
              <w:rPr>
                <w:rFonts w:cs="Calibri"/>
                <w:color w:val="000000"/>
                <w:sz w:val="14"/>
                <w:szCs w:val="14"/>
              </w:rPr>
            </w:pPr>
            <w:r w:rsidRPr="003003C0">
              <w:rPr>
                <w:rFonts w:cs="Calibri"/>
                <w:color w:val="000000"/>
                <w:sz w:val="14"/>
                <w:szCs w:val="14"/>
              </w:rPr>
              <w:t>2</w:t>
            </w:r>
            <w:r>
              <w:rPr>
                <w:rFonts w:cs="Calibri"/>
                <w:color w:val="000000"/>
                <w:sz w:val="14"/>
                <w:szCs w:val="14"/>
              </w:rPr>
              <w:t>.</w:t>
            </w:r>
            <w:r w:rsidRPr="003003C0">
              <w:rPr>
                <w:rFonts w:cs="Calibri"/>
                <w:color w:val="000000"/>
                <w:sz w:val="14"/>
                <w:szCs w:val="14"/>
              </w:rPr>
              <w:t>0</w:t>
            </w:r>
          </w:p>
        </w:tc>
        <w:tc>
          <w:tcPr>
            <w:tcW w:w="722" w:type="dxa"/>
            <w:noWrap/>
            <w:vAlign w:val="center"/>
            <w:hideMark/>
          </w:tcPr>
          <w:p w14:paraId="12B96988" w14:textId="77777777" w:rsidR="004F64EF" w:rsidRPr="003003C0" w:rsidRDefault="004F64EF" w:rsidP="00FD6B66">
            <w:pPr>
              <w:jc w:val="right"/>
              <w:rPr>
                <w:rFonts w:cs="Calibri"/>
                <w:color w:val="000000"/>
                <w:sz w:val="14"/>
                <w:szCs w:val="14"/>
              </w:rPr>
            </w:pPr>
            <w:r w:rsidRPr="003003C0">
              <w:rPr>
                <w:rFonts w:cs="Calibri"/>
                <w:color w:val="000000"/>
                <w:sz w:val="14"/>
                <w:szCs w:val="14"/>
              </w:rPr>
              <w:t>2</w:t>
            </w:r>
            <w:r>
              <w:rPr>
                <w:rFonts w:cs="Calibri"/>
                <w:color w:val="000000"/>
                <w:sz w:val="14"/>
                <w:szCs w:val="14"/>
              </w:rPr>
              <w:t>.</w:t>
            </w:r>
            <w:r w:rsidRPr="003003C0">
              <w:rPr>
                <w:rFonts w:cs="Calibri"/>
                <w:color w:val="000000"/>
                <w:sz w:val="14"/>
                <w:szCs w:val="14"/>
              </w:rPr>
              <w:t>1</w:t>
            </w:r>
          </w:p>
        </w:tc>
        <w:tc>
          <w:tcPr>
            <w:tcW w:w="722" w:type="dxa"/>
            <w:noWrap/>
            <w:vAlign w:val="center"/>
            <w:hideMark/>
          </w:tcPr>
          <w:p w14:paraId="6E123037" w14:textId="77777777" w:rsidR="004F64EF" w:rsidRPr="003003C0" w:rsidRDefault="004F64EF" w:rsidP="00FD6B66">
            <w:pPr>
              <w:jc w:val="right"/>
              <w:rPr>
                <w:rFonts w:cs="Calibri"/>
                <w:color w:val="000000"/>
                <w:sz w:val="14"/>
                <w:szCs w:val="14"/>
              </w:rPr>
            </w:pPr>
            <w:r w:rsidRPr="003003C0">
              <w:rPr>
                <w:rFonts w:cs="Calibri"/>
                <w:color w:val="000000"/>
                <w:sz w:val="14"/>
                <w:szCs w:val="14"/>
              </w:rPr>
              <w:t>2</w:t>
            </w:r>
            <w:r>
              <w:rPr>
                <w:rFonts w:cs="Calibri"/>
                <w:color w:val="000000"/>
                <w:sz w:val="14"/>
                <w:szCs w:val="14"/>
              </w:rPr>
              <w:t>.</w:t>
            </w:r>
            <w:r w:rsidRPr="003003C0">
              <w:rPr>
                <w:rFonts w:cs="Calibri"/>
                <w:color w:val="000000"/>
                <w:sz w:val="14"/>
                <w:szCs w:val="14"/>
              </w:rPr>
              <w:t>0</w:t>
            </w:r>
          </w:p>
        </w:tc>
        <w:tc>
          <w:tcPr>
            <w:tcW w:w="722" w:type="dxa"/>
            <w:noWrap/>
            <w:vAlign w:val="center"/>
            <w:hideMark/>
          </w:tcPr>
          <w:p w14:paraId="4AD09575" w14:textId="77777777" w:rsidR="004F64EF" w:rsidRPr="003003C0" w:rsidRDefault="004F64EF" w:rsidP="00FD6B66">
            <w:pPr>
              <w:jc w:val="right"/>
              <w:rPr>
                <w:rFonts w:cs="Calibri"/>
                <w:color w:val="000000"/>
                <w:sz w:val="14"/>
                <w:szCs w:val="14"/>
              </w:rPr>
            </w:pPr>
            <w:r w:rsidRPr="003003C0">
              <w:rPr>
                <w:rFonts w:cs="Calibri"/>
                <w:color w:val="000000"/>
                <w:sz w:val="14"/>
                <w:szCs w:val="14"/>
              </w:rPr>
              <w:t>2</w:t>
            </w:r>
            <w:r>
              <w:rPr>
                <w:rFonts w:cs="Calibri"/>
                <w:color w:val="000000"/>
                <w:sz w:val="14"/>
                <w:szCs w:val="14"/>
              </w:rPr>
              <w:t>.</w:t>
            </w:r>
            <w:r w:rsidRPr="003003C0">
              <w:rPr>
                <w:rFonts w:cs="Calibri"/>
                <w:color w:val="000000"/>
                <w:sz w:val="14"/>
                <w:szCs w:val="14"/>
              </w:rPr>
              <w:t>1</w:t>
            </w:r>
          </w:p>
        </w:tc>
      </w:tr>
      <w:tr w:rsidR="004F64EF" w:rsidRPr="003003C0" w14:paraId="42246990" w14:textId="77777777" w:rsidTr="00FD6B66">
        <w:trPr>
          <w:trHeight w:val="20"/>
        </w:trPr>
        <w:tc>
          <w:tcPr>
            <w:tcW w:w="3964" w:type="dxa"/>
            <w:noWrap/>
            <w:vAlign w:val="center"/>
            <w:hideMark/>
          </w:tcPr>
          <w:p w14:paraId="5D9562BA" w14:textId="77777777" w:rsidR="004F64EF" w:rsidRPr="003003C0" w:rsidRDefault="004F64EF" w:rsidP="00FD6B66">
            <w:pPr>
              <w:tabs>
                <w:tab w:val="left" w:pos="227"/>
              </w:tabs>
              <w:jc w:val="left"/>
              <w:rPr>
                <w:rFonts w:cs="Calibri"/>
                <w:color w:val="000000"/>
                <w:sz w:val="14"/>
                <w:szCs w:val="14"/>
              </w:rPr>
            </w:pPr>
            <w:r w:rsidRPr="003003C0">
              <w:rPr>
                <w:rFonts w:cs="Calibri"/>
                <w:color w:val="000000"/>
                <w:sz w:val="14"/>
                <w:szCs w:val="14"/>
              </w:rPr>
              <w:tab/>
              <w:t xml:space="preserve">76. </w:t>
            </w:r>
            <w:r w:rsidRPr="00561D8C">
              <w:rPr>
                <w:rFonts w:cs="Calibri"/>
                <w:color w:val="000000"/>
                <w:sz w:val="14"/>
                <w:szCs w:val="14"/>
              </w:rPr>
              <w:t>Aluminium and articles thereof</w:t>
            </w:r>
          </w:p>
        </w:tc>
        <w:tc>
          <w:tcPr>
            <w:tcW w:w="721" w:type="dxa"/>
            <w:noWrap/>
            <w:vAlign w:val="center"/>
            <w:hideMark/>
          </w:tcPr>
          <w:p w14:paraId="46F9617F" w14:textId="77777777" w:rsidR="004F64EF" w:rsidRPr="003003C0" w:rsidRDefault="004F64EF" w:rsidP="00FD6B66">
            <w:pPr>
              <w:jc w:val="right"/>
              <w:rPr>
                <w:rFonts w:cs="Calibri"/>
                <w:color w:val="000000"/>
                <w:sz w:val="14"/>
                <w:szCs w:val="14"/>
              </w:rPr>
            </w:pPr>
            <w:r w:rsidRPr="003003C0">
              <w:rPr>
                <w:rFonts w:cs="Calibri"/>
                <w:color w:val="000000"/>
                <w:sz w:val="14"/>
                <w:szCs w:val="14"/>
              </w:rPr>
              <w:t>0</w:t>
            </w:r>
            <w:r>
              <w:rPr>
                <w:rFonts w:cs="Calibri"/>
                <w:color w:val="000000"/>
                <w:sz w:val="14"/>
                <w:szCs w:val="14"/>
              </w:rPr>
              <w:t>.</w:t>
            </w:r>
            <w:r w:rsidRPr="003003C0">
              <w:rPr>
                <w:rFonts w:cs="Calibri"/>
                <w:color w:val="000000"/>
                <w:sz w:val="14"/>
                <w:szCs w:val="14"/>
              </w:rPr>
              <w:t>7</w:t>
            </w:r>
          </w:p>
        </w:tc>
        <w:tc>
          <w:tcPr>
            <w:tcW w:w="722" w:type="dxa"/>
            <w:noWrap/>
            <w:vAlign w:val="center"/>
            <w:hideMark/>
          </w:tcPr>
          <w:p w14:paraId="681E1C80" w14:textId="77777777" w:rsidR="004F64EF" w:rsidRPr="003003C0" w:rsidRDefault="004F64EF" w:rsidP="00FD6B66">
            <w:pPr>
              <w:jc w:val="right"/>
              <w:rPr>
                <w:rFonts w:cs="Calibri"/>
                <w:color w:val="000000"/>
                <w:sz w:val="14"/>
                <w:szCs w:val="14"/>
              </w:rPr>
            </w:pPr>
            <w:r w:rsidRPr="003003C0">
              <w:rPr>
                <w:rFonts w:cs="Calibri"/>
                <w:color w:val="000000"/>
                <w:sz w:val="14"/>
                <w:szCs w:val="14"/>
              </w:rPr>
              <w:t>0</w:t>
            </w:r>
            <w:r>
              <w:rPr>
                <w:rFonts w:cs="Calibri"/>
                <w:color w:val="000000"/>
                <w:sz w:val="14"/>
                <w:szCs w:val="14"/>
              </w:rPr>
              <w:t>.</w:t>
            </w:r>
            <w:r w:rsidRPr="003003C0">
              <w:rPr>
                <w:rFonts w:cs="Calibri"/>
                <w:color w:val="000000"/>
                <w:sz w:val="14"/>
                <w:szCs w:val="14"/>
              </w:rPr>
              <w:t>7</w:t>
            </w:r>
          </w:p>
        </w:tc>
        <w:tc>
          <w:tcPr>
            <w:tcW w:w="722" w:type="dxa"/>
            <w:noWrap/>
            <w:vAlign w:val="center"/>
            <w:hideMark/>
          </w:tcPr>
          <w:p w14:paraId="663852C2" w14:textId="77777777" w:rsidR="004F64EF" w:rsidRPr="003003C0" w:rsidRDefault="004F64EF" w:rsidP="00FD6B66">
            <w:pPr>
              <w:jc w:val="right"/>
              <w:rPr>
                <w:rFonts w:cs="Calibri"/>
                <w:color w:val="000000"/>
                <w:sz w:val="14"/>
                <w:szCs w:val="14"/>
              </w:rPr>
            </w:pPr>
            <w:r w:rsidRPr="003003C0">
              <w:rPr>
                <w:rFonts w:cs="Calibri"/>
                <w:color w:val="000000"/>
                <w:sz w:val="14"/>
                <w:szCs w:val="14"/>
              </w:rPr>
              <w:t>0</w:t>
            </w:r>
            <w:r>
              <w:rPr>
                <w:rFonts w:cs="Calibri"/>
                <w:color w:val="000000"/>
                <w:sz w:val="14"/>
                <w:szCs w:val="14"/>
              </w:rPr>
              <w:t>.</w:t>
            </w:r>
            <w:r w:rsidRPr="003003C0">
              <w:rPr>
                <w:rFonts w:cs="Calibri"/>
                <w:color w:val="000000"/>
                <w:sz w:val="14"/>
                <w:szCs w:val="14"/>
              </w:rPr>
              <w:t>7</w:t>
            </w:r>
          </w:p>
        </w:tc>
        <w:tc>
          <w:tcPr>
            <w:tcW w:w="721" w:type="dxa"/>
            <w:noWrap/>
            <w:vAlign w:val="center"/>
            <w:hideMark/>
          </w:tcPr>
          <w:p w14:paraId="19CBCAC6" w14:textId="77777777" w:rsidR="004F64EF" w:rsidRPr="003003C0" w:rsidRDefault="004F64EF" w:rsidP="00FD6B66">
            <w:pPr>
              <w:jc w:val="right"/>
              <w:rPr>
                <w:rFonts w:cs="Calibri"/>
                <w:color w:val="000000"/>
                <w:sz w:val="14"/>
                <w:szCs w:val="14"/>
              </w:rPr>
            </w:pPr>
            <w:r w:rsidRPr="003003C0">
              <w:rPr>
                <w:rFonts w:cs="Calibri"/>
                <w:color w:val="000000"/>
                <w:sz w:val="14"/>
                <w:szCs w:val="14"/>
              </w:rPr>
              <w:t>0</w:t>
            </w:r>
            <w:r>
              <w:rPr>
                <w:rFonts w:cs="Calibri"/>
                <w:color w:val="000000"/>
                <w:sz w:val="14"/>
                <w:szCs w:val="14"/>
              </w:rPr>
              <w:t>.</w:t>
            </w:r>
            <w:r w:rsidRPr="003003C0">
              <w:rPr>
                <w:rFonts w:cs="Calibri"/>
                <w:color w:val="000000"/>
                <w:sz w:val="14"/>
                <w:szCs w:val="14"/>
              </w:rPr>
              <w:t>7</w:t>
            </w:r>
          </w:p>
        </w:tc>
        <w:tc>
          <w:tcPr>
            <w:tcW w:w="722" w:type="dxa"/>
            <w:noWrap/>
            <w:vAlign w:val="center"/>
            <w:hideMark/>
          </w:tcPr>
          <w:p w14:paraId="3A2ECFCB" w14:textId="77777777" w:rsidR="004F64EF" w:rsidRPr="003003C0" w:rsidRDefault="004F64EF" w:rsidP="00FD6B66">
            <w:pPr>
              <w:jc w:val="right"/>
              <w:rPr>
                <w:rFonts w:cs="Calibri"/>
                <w:color w:val="000000"/>
                <w:sz w:val="14"/>
                <w:szCs w:val="14"/>
              </w:rPr>
            </w:pPr>
            <w:r w:rsidRPr="003003C0">
              <w:rPr>
                <w:rFonts w:cs="Calibri"/>
                <w:color w:val="000000"/>
                <w:sz w:val="14"/>
                <w:szCs w:val="14"/>
              </w:rPr>
              <w:t>0</w:t>
            </w:r>
            <w:r>
              <w:rPr>
                <w:rFonts w:cs="Calibri"/>
                <w:color w:val="000000"/>
                <w:sz w:val="14"/>
                <w:szCs w:val="14"/>
              </w:rPr>
              <w:t>.</w:t>
            </w:r>
            <w:r w:rsidRPr="003003C0">
              <w:rPr>
                <w:rFonts w:cs="Calibri"/>
                <w:color w:val="000000"/>
                <w:sz w:val="14"/>
                <w:szCs w:val="14"/>
              </w:rPr>
              <w:t>7</w:t>
            </w:r>
          </w:p>
        </w:tc>
        <w:tc>
          <w:tcPr>
            <w:tcW w:w="722" w:type="dxa"/>
            <w:noWrap/>
            <w:vAlign w:val="center"/>
            <w:hideMark/>
          </w:tcPr>
          <w:p w14:paraId="30E66BA0" w14:textId="77777777" w:rsidR="004F64EF" w:rsidRPr="003003C0" w:rsidRDefault="004F64EF" w:rsidP="00FD6B66">
            <w:pPr>
              <w:jc w:val="right"/>
              <w:rPr>
                <w:rFonts w:cs="Calibri"/>
                <w:color w:val="000000"/>
                <w:sz w:val="14"/>
                <w:szCs w:val="14"/>
              </w:rPr>
            </w:pPr>
            <w:r w:rsidRPr="003003C0">
              <w:rPr>
                <w:rFonts w:cs="Calibri"/>
                <w:color w:val="000000"/>
                <w:sz w:val="14"/>
                <w:szCs w:val="14"/>
              </w:rPr>
              <w:t>0</w:t>
            </w:r>
            <w:r>
              <w:rPr>
                <w:rFonts w:cs="Calibri"/>
                <w:color w:val="000000"/>
                <w:sz w:val="14"/>
                <w:szCs w:val="14"/>
              </w:rPr>
              <w:t>.</w:t>
            </w:r>
            <w:r w:rsidRPr="003003C0">
              <w:rPr>
                <w:rFonts w:cs="Calibri"/>
                <w:color w:val="000000"/>
                <w:sz w:val="14"/>
                <w:szCs w:val="14"/>
              </w:rPr>
              <w:t>9</w:t>
            </w:r>
          </w:p>
        </w:tc>
        <w:tc>
          <w:tcPr>
            <w:tcW w:w="722" w:type="dxa"/>
            <w:noWrap/>
            <w:vAlign w:val="center"/>
            <w:hideMark/>
          </w:tcPr>
          <w:p w14:paraId="12BB9A8A" w14:textId="77777777" w:rsidR="004F64EF" w:rsidRPr="003003C0" w:rsidRDefault="004F64EF" w:rsidP="00FD6B66">
            <w:pPr>
              <w:jc w:val="right"/>
              <w:rPr>
                <w:rFonts w:cs="Calibri"/>
                <w:color w:val="000000"/>
                <w:sz w:val="14"/>
                <w:szCs w:val="14"/>
              </w:rPr>
            </w:pPr>
            <w:r w:rsidRPr="003003C0">
              <w:rPr>
                <w:rFonts w:cs="Calibri"/>
                <w:color w:val="000000"/>
                <w:sz w:val="14"/>
                <w:szCs w:val="14"/>
              </w:rPr>
              <w:t>0</w:t>
            </w:r>
            <w:r>
              <w:rPr>
                <w:rFonts w:cs="Calibri"/>
                <w:color w:val="000000"/>
                <w:sz w:val="14"/>
                <w:szCs w:val="14"/>
              </w:rPr>
              <w:t>.</w:t>
            </w:r>
            <w:r w:rsidRPr="003003C0">
              <w:rPr>
                <w:rFonts w:cs="Calibri"/>
                <w:color w:val="000000"/>
                <w:sz w:val="14"/>
                <w:szCs w:val="14"/>
              </w:rPr>
              <w:t>8</w:t>
            </w:r>
          </w:p>
        </w:tc>
      </w:tr>
      <w:tr w:rsidR="004F64EF" w:rsidRPr="003003C0" w14:paraId="722DCEE6" w14:textId="77777777" w:rsidTr="00FD6B66">
        <w:trPr>
          <w:cnfStyle w:val="000000010000" w:firstRow="0" w:lastRow="0" w:firstColumn="0" w:lastColumn="0" w:oddVBand="0" w:evenVBand="0" w:oddHBand="0" w:evenHBand="1" w:firstRowFirstColumn="0" w:firstRowLastColumn="0" w:lastRowFirstColumn="0" w:lastRowLastColumn="0"/>
          <w:trHeight w:val="20"/>
        </w:trPr>
        <w:tc>
          <w:tcPr>
            <w:tcW w:w="3964" w:type="dxa"/>
            <w:noWrap/>
            <w:vAlign w:val="center"/>
            <w:hideMark/>
          </w:tcPr>
          <w:p w14:paraId="09F29374" w14:textId="77777777" w:rsidR="004F64EF" w:rsidRPr="00561D8C" w:rsidRDefault="004F64EF" w:rsidP="00561D8C">
            <w:pPr>
              <w:jc w:val="left"/>
              <w:rPr>
                <w:rFonts w:cs="Calibri"/>
                <w:color w:val="000000"/>
                <w:sz w:val="14"/>
                <w:szCs w:val="14"/>
              </w:rPr>
            </w:pPr>
            <w:r w:rsidRPr="003003C0">
              <w:rPr>
                <w:rFonts w:cs="Calibri"/>
                <w:color w:val="000000"/>
                <w:sz w:val="14"/>
                <w:szCs w:val="14"/>
              </w:rPr>
              <w:t xml:space="preserve">16 - </w:t>
            </w:r>
            <w:r w:rsidRPr="00561D8C">
              <w:rPr>
                <w:rFonts w:cs="Calibri"/>
                <w:color w:val="000000"/>
                <w:sz w:val="14"/>
                <w:szCs w:val="14"/>
              </w:rPr>
              <w:t>Machinery and mechanical appliances;</w:t>
            </w:r>
          </w:p>
          <w:p w14:paraId="3A0F9053" w14:textId="77777777" w:rsidR="004F64EF" w:rsidRPr="003003C0" w:rsidRDefault="004F64EF" w:rsidP="00561D8C">
            <w:pPr>
              <w:jc w:val="left"/>
              <w:rPr>
                <w:rFonts w:cs="Calibri"/>
                <w:color w:val="000000"/>
                <w:sz w:val="14"/>
                <w:szCs w:val="14"/>
              </w:rPr>
            </w:pPr>
            <w:r w:rsidRPr="00561D8C">
              <w:rPr>
                <w:rFonts w:cs="Calibri"/>
                <w:color w:val="000000"/>
                <w:sz w:val="14"/>
                <w:szCs w:val="14"/>
              </w:rPr>
              <w:t>electrical equipment; parts thereof</w:t>
            </w:r>
          </w:p>
        </w:tc>
        <w:tc>
          <w:tcPr>
            <w:tcW w:w="721" w:type="dxa"/>
            <w:noWrap/>
            <w:vAlign w:val="center"/>
            <w:hideMark/>
          </w:tcPr>
          <w:p w14:paraId="02208910" w14:textId="77777777" w:rsidR="004F64EF" w:rsidRPr="003003C0" w:rsidRDefault="004F64EF" w:rsidP="00FD6B66">
            <w:pPr>
              <w:jc w:val="right"/>
              <w:rPr>
                <w:rFonts w:cs="Calibri"/>
                <w:color w:val="000000"/>
                <w:sz w:val="14"/>
                <w:szCs w:val="14"/>
              </w:rPr>
            </w:pPr>
            <w:r w:rsidRPr="003003C0">
              <w:rPr>
                <w:rFonts w:cs="Calibri"/>
                <w:color w:val="000000"/>
                <w:sz w:val="14"/>
                <w:szCs w:val="14"/>
              </w:rPr>
              <w:t>16</w:t>
            </w:r>
            <w:r>
              <w:rPr>
                <w:rFonts w:cs="Calibri"/>
                <w:color w:val="000000"/>
                <w:sz w:val="14"/>
                <w:szCs w:val="14"/>
              </w:rPr>
              <w:t>.</w:t>
            </w:r>
            <w:r w:rsidRPr="003003C0">
              <w:rPr>
                <w:rFonts w:cs="Calibri"/>
                <w:color w:val="000000"/>
                <w:sz w:val="14"/>
                <w:szCs w:val="14"/>
              </w:rPr>
              <w:t>3</w:t>
            </w:r>
          </w:p>
        </w:tc>
        <w:tc>
          <w:tcPr>
            <w:tcW w:w="722" w:type="dxa"/>
            <w:noWrap/>
            <w:vAlign w:val="center"/>
            <w:hideMark/>
          </w:tcPr>
          <w:p w14:paraId="3536D42D" w14:textId="77777777" w:rsidR="004F64EF" w:rsidRPr="003003C0" w:rsidRDefault="004F64EF" w:rsidP="00FD6B66">
            <w:pPr>
              <w:jc w:val="right"/>
              <w:rPr>
                <w:rFonts w:cs="Calibri"/>
                <w:color w:val="000000"/>
                <w:sz w:val="14"/>
                <w:szCs w:val="14"/>
              </w:rPr>
            </w:pPr>
            <w:r w:rsidRPr="003003C0">
              <w:rPr>
                <w:rFonts w:cs="Calibri"/>
                <w:color w:val="000000"/>
                <w:sz w:val="14"/>
                <w:szCs w:val="14"/>
              </w:rPr>
              <w:t>18</w:t>
            </w:r>
            <w:r>
              <w:rPr>
                <w:rFonts w:cs="Calibri"/>
                <w:color w:val="000000"/>
                <w:sz w:val="14"/>
                <w:szCs w:val="14"/>
              </w:rPr>
              <w:t>.</w:t>
            </w:r>
            <w:r w:rsidRPr="003003C0">
              <w:rPr>
                <w:rFonts w:cs="Calibri"/>
                <w:color w:val="000000"/>
                <w:sz w:val="14"/>
                <w:szCs w:val="14"/>
              </w:rPr>
              <w:t>9</w:t>
            </w:r>
          </w:p>
        </w:tc>
        <w:tc>
          <w:tcPr>
            <w:tcW w:w="722" w:type="dxa"/>
            <w:noWrap/>
            <w:vAlign w:val="center"/>
            <w:hideMark/>
          </w:tcPr>
          <w:p w14:paraId="13768005" w14:textId="77777777" w:rsidR="004F64EF" w:rsidRPr="003003C0" w:rsidRDefault="004F64EF" w:rsidP="00FD6B66">
            <w:pPr>
              <w:jc w:val="right"/>
              <w:rPr>
                <w:rFonts w:cs="Calibri"/>
                <w:color w:val="000000"/>
                <w:sz w:val="14"/>
                <w:szCs w:val="14"/>
              </w:rPr>
            </w:pPr>
            <w:r w:rsidRPr="003003C0">
              <w:rPr>
                <w:rFonts w:cs="Calibri"/>
                <w:color w:val="000000"/>
                <w:sz w:val="14"/>
                <w:szCs w:val="14"/>
              </w:rPr>
              <w:t>15</w:t>
            </w:r>
            <w:r>
              <w:rPr>
                <w:rFonts w:cs="Calibri"/>
                <w:color w:val="000000"/>
                <w:sz w:val="14"/>
                <w:szCs w:val="14"/>
              </w:rPr>
              <w:t>.</w:t>
            </w:r>
            <w:r w:rsidRPr="003003C0">
              <w:rPr>
                <w:rFonts w:cs="Calibri"/>
                <w:color w:val="000000"/>
                <w:sz w:val="14"/>
                <w:szCs w:val="14"/>
              </w:rPr>
              <w:t>7</w:t>
            </w:r>
          </w:p>
        </w:tc>
        <w:tc>
          <w:tcPr>
            <w:tcW w:w="721" w:type="dxa"/>
            <w:noWrap/>
            <w:vAlign w:val="center"/>
            <w:hideMark/>
          </w:tcPr>
          <w:p w14:paraId="4419F6BD" w14:textId="77777777" w:rsidR="004F64EF" w:rsidRPr="003003C0" w:rsidRDefault="004F64EF" w:rsidP="00FD6B66">
            <w:pPr>
              <w:jc w:val="right"/>
              <w:rPr>
                <w:rFonts w:cs="Calibri"/>
                <w:color w:val="000000"/>
                <w:sz w:val="14"/>
                <w:szCs w:val="14"/>
              </w:rPr>
            </w:pPr>
            <w:r w:rsidRPr="003003C0">
              <w:rPr>
                <w:rFonts w:cs="Calibri"/>
                <w:color w:val="000000"/>
                <w:sz w:val="14"/>
                <w:szCs w:val="14"/>
              </w:rPr>
              <w:t>16</w:t>
            </w:r>
            <w:r>
              <w:rPr>
                <w:rFonts w:cs="Calibri"/>
                <w:color w:val="000000"/>
                <w:sz w:val="14"/>
                <w:szCs w:val="14"/>
              </w:rPr>
              <w:t>.</w:t>
            </w:r>
            <w:r w:rsidRPr="003003C0">
              <w:rPr>
                <w:rFonts w:cs="Calibri"/>
                <w:color w:val="000000"/>
                <w:sz w:val="14"/>
                <w:szCs w:val="14"/>
              </w:rPr>
              <w:t>0</w:t>
            </w:r>
          </w:p>
        </w:tc>
        <w:tc>
          <w:tcPr>
            <w:tcW w:w="722" w:type="dxa"/>
            <w:noWrap/>
            <w:vAlign w:val="center"/>
            <w:hideMark/>
          </w:tcPr>
          <w:p w14:paraId="331B8FF8" w14:textId="77777777" w:rsidR="004F64EF" w:rsidRPr="003003C0" w:rsidRDefault="004F64EF" w:rsidP="00FD6B66">
            <w:pPr>
              <w:jc w:val="right"/>
              <w:rPr>
                <w:rFonts w:cs="Calibri"/>
                <w:color w:val="000000"/>
                <w:sz w:val="14"/>
                <w:szCs w:val="14"/>
              </w:rPr>
            </w:pPr>
            <w:r w:rsidRPr="003003C0">
              <w:rPr>
                <w:rFonts w:cs="Calibri"/>
                <w:color w:val="000000"/>
                <w:sz w:val="14"/>
                <w:szCs w:val="14"/>
              </w:rPr>
              <w:t>15</w:t>
            </w:r>
            <w:r>
              <w:rPr>
                <w:rFonts w:cs="Calibri"/>
                <w:color w:val="000000"/>
                <w:sz w:val="14"/>
                <w:szCs w:val="14"/>
              </w:rPr>
              <w:t>.</w:t>
            </w:r>
            <w:r w:rsidRPr="003003C0">
              <w:rPr>
                <w:rFonts w:cs="Calibri"/>
                <w:color w:val="000000"/>
                <w:sz w:val="14"/>
                <w:szCs w:val="14"/>
              </w:rPr>
              <w:t>9</w:t>
            </w:r>
          </w:p>
        </w:tc>
        <w:tc>
          <w:tcPr>
            <w:tcW w:w="722" w:type="dxa"/>
            <w:noWrap/>
            <w:vAlign w:val="center"/>
            <w:hideMark/>
          </w:tcPr>
          <w:p w14:paraId="436EF8BB" w14:textId="77777777" w:rsidR="004F64EF" w:rsidRPr="003003C0" w:rsidRDefault="004F64EF" w:rsidP="00FD6B66">
            <w:pPr>
              <w:jc w:val="right"/>
              <w:rPr>
                <w:rFonts w:cs="Calibri"/>
                <w:color w:val="000000"/>
                <w:sz w:val="14"/>
                <w:szCs w:val="14"/>
              </w:rPr>
            </w:pPr>
            <w:r w:rsidRPr="003003C0">
              <w:rPr>
                <w:rFonts w:cs="Calibri"/>
                <w:color w:val="000000"/>
                <w:sz w:val="14"/>
                <w:szCs w:val="14"/>
              </w:rPr>
              <w:t>16</w:t>
            </w:r>
            <w:r>
              <w:rPr>
                <w:rFonts w:cs="Calibri"/>
                <w:color w:val="000000"/>
                <w:sz w:val="14"/>
                <w:szCs w:val="14"/>
              </w:rPr>
              <w:t>.</w:t>
            </w:r>
            <w:r w:rsidRPr="003003C0">
              <w:rPr>
                <w:rFonts w:cs="Calibri"/>
                <w:color w:val="000000"/>
                <w:sz w:val="14"/>
                <w:szCs w:val="14"/>
              </w:rPr>
              <w:t>5</w:t>
            </w:r>
          </w:p>
        </w:tc>
        <w:tc>
          <w:tcPr>
            <w:tcW w:w="722" w:type="dxa"/>
            <w:noWrap/>
            <w:vAlign w:val="center"/>
            <w:hideMark/>
          </w:tcPr>
          <w:p w14:paraId="1348FD65" w14:textId="77777777" w:rsidR="004F64EF" w:rsidRPr="003003C0" w:rsidRDefault="004F64EF" w:rsidP="00FD6B66">
            <w:pPr>
              <w:jc w:val="right"/>
              <w:rPr>
                <w:rFonts w:cs="Calibri"/>
                <w:color w:val="000000"/>
                <w:sz w:val="14"/>
                <w:szCs w:val="14"/>
              </w:rPr>
            </w:pPr>
            <w:r w:rsidRPr="003003C0">
              <w:rPr>
                <w:rFonts w:cs="Calibri"/>
                <w:color w:val="000000"/>
                <w:sz w:val="14"/>
                <w:szCs w:val="14"/>
              </w:rPr>
              <w:t>14</w:t>
            </w:r>
            <w:r>
              <w:rPr>
                <w:rFonts w:cs="Calibri"/>
                <w:color w:val="000000"/>
                <w:sz w:val="14"/>
                <w:szCs w:val="14"/>
              </w:rPr>
              <w:t>.</w:t>
            </w:r>
            <w:r w:rsidRPr="003003C0">
              <w:rPr>
                <w:rFonts w:cs="Calibri"/>
                <w:color w:val="000000"/>
                <w:sz w:val="14"/>
                <w:szCs w:val="14"/>
              </w:rPr>
              <w:t>1</w:t>
            </w:r>
          </w:p>
        </w:tc>
      </w:tr>
      <w:tr w:rsidR="004F64EF" w:rsidRPr="003003C0" w14:paraId="2C5CF082" w14:textId="77777777" w:rsidTr="00FD6B66">
        <w:trPr>
          <w:trHeight w:val="20"/>
        </w:trPr>
        <w:tc>
          <w:tcPr>
            <w:tcW w:w="3964" w:type="dxa"/>
            <w:noWrap/>
            <w:vAlign w:val="center"/>
            <w:hideMark/>
          </w:tcPr>
          <w:p w14:paraId="62674B22" w14:textId="77777777" w:rsidR="004F64EF" w:rsidRPr="003003C0" w:rsidRDefault="004F64EF" w:rsidP="00A839D1">
            <w:pPr>
              <w:tabs>
                <w:tab w:val="left" w:pos="227"/>
              </w:tabs>
              <w:ind w:left="227" w:hanging="227"/>
              <w:jc w:val="left"/>
              <w:rPr>
                <w:rFonts w:cs="Calibri"/>
                <w:color w:val="000000"/>
                <w:sz w:val="14"/>
                <w:szCs w:val="14"/>
              </w:rPr>
            </w:pPr>
            <w:r w:rsidRPr="003003C0">
              <w:rPr>
                <w:rFonts w:cs="Calibri"/>
                <w:color w:val="000000"/>
                <w:sz w:val="14"/>
                <w:szCs w:val="14"/>
              </w:rPr>
              <w:tab/>
              <w:t xml:space="preserve">84. </w:t>
            </w:r>
            <w:r w:rsidRPr="00561D8C">
              <w:rPr>
                <w:rFonts w:cs="Calibri"/>
                <w:color w:val="000000"/>
                <w:sz w:val="14"/>
                <w:szCs w:val="14"/>
              </w:rPr>
              <w:t>Nuclear reactors, boilers, machinery and mechanical appliances</w:t>
            </w:r>
          </w:p>
        </w:tc>
        <w:tc>
          <w:tcPr>
            <w:tcW w:w="721" w:type="dxa"/>
            <w:noWrap/>
            <w:vAlign w:val="center"/>
            <w:hideMark/>
          </w:tcPr>
          <w:p w14:paraId="2FBA41AD" w14:textId="77777777" w:rsidR="004F64EF" w:rsidRPr="003003C0" w:rsidRDefault="004F64EF" w:rsidP="00FD6B66">
            <w:pPr>
              <w:jc w:val="right"/>
              <w:rPr>
                <w:rFonts w:cs="Calibri"/>
                <w:color w:val="000000"/>
                <w:sz w:val="14"/>
                <w:szCs w:val="14"/>
              </w:rPr>
            </w:pPr>
            <w:r w:rsidRPr="003003C0">
              <w:rPr>
                <w:rFonts w:cs="Calibri"/>
                <w:color w:val="000000"/>
                <w:sz w:val="14"/>
                <w:szCs w:val="14"/>
              </w:rPr>
              <w:t>8</w:t>
            </w:r>
            <w:r>
              <w:rPr>
                <w:rFonts w:cs="Calibri"/>
                <w:color w:val="000000"/>
                <w:sz w:val="14"/>
                <w:szCs w:val="14"/>
              </w:rPr>
              <w:t>.</w:t>
            </w:r>
            <w:r w:rsidRPr="003003C0">
              <w:rPr>
                <w:rFonts w:cs="Calibri"/>
                <w:color w:val="000000"/>
                <w:sz w:val="14"/>
                <w:szCs w:val="14"/>
              </w:rPr>
              <w:t>9</w:t>
            </w:r>
          </w:p>
        </w:tc>
        <w:tc>
          <w:tcPr>
            <w:tcW w:w="722" w:type="dxa"/>
            <w:noWrap/>
            <w:vAlign w:val="center"/>
            <w:hideMark/>
          </w:tcPr>
          <w:p w14:paraId="17765A06" w14:textId="77777777" w:rsidR="004F64EF" w:rsidRPr="003003C0" w:rsidRDefault="004F64EF" w:rsidP="00FD6B66">
            <w:pPr>
              <w:jc w:val="right"/>
              <w:rPr>
                <w:rFonts w:cs="Calibri"/>
                <w:color w:val="000000"/>
                <w:sz w:val="14"/>
                <w:szCs w:val="14"/>
              </w:rPr>
            </w:pPr>
            <w:r w:rsidRPr="003003C0">
              <w:rPr>
                <w:rFonts w:cs="Calibri"/>
                <w:color w:val="000000"/>
                <w:sz w:val="14"/>
                <w:szCs w:val="14"/>
              </w:rPr>
              <w:t>11</w:t>
            </w:r>
            <w:r>
              <w:rPr>
                <w:rFonts w:cs="Calibri"/>
                <w:color w:val="000000"/>
                <w:sz w:val="14"/>
                <w:szCs w:val="14"/>
              </w:rPr>
              <w:t>.</w:t>
            </w:r>
            <w:r w:rsidRPr="003003C0">
              <w:rPr>
                <w:rFonts w:cs="Calibri"/>
                <w:color w:val="000000"/>
                <w:sz w:val="14"/>
                <w:szCs w:val="14"/>
              </w:rPr>
              <w:t>4</w:t>
            </w:r>
          </w:p>
        </w:tc>
        <w:tc>
          <w:tcPr>
            <w:tcW w:w="722" w:type="dxa"/>
            <w:noWrap/>
            <w:vAlign w:val="center"/>
            <w:hideMark/>
          </w:tcPr>
          <w:p w14:paraId="3268594B" w14:textId="77777777" w:rsidR="004F64EF" w:rsidRPr="003003C0" w:rsidRDefault="004F64EF" w:rsidP="00FD6B66">
            <w:pPr>
              <w:jc w:val="right"/>
              <w:rPr>
                <w:rFonts w:cs="Calibri"/>
                <w:color w:val="000000"/>
                <w:sz w:val="14"/>
                <w:szCs w:val="14"/>
              </w:rPr>
            </w:pPr>
            <w:r w:rsidRPr="003003C0">
              <w:rPr>
                <w:rFonts w:cs="Calibri"/>
                <w:color w:val="000000"/>
                <w:sz w:val="14"/>
                <w:szCs w:val="14"/>
              </w:rPr>
              <w:t>8</w:t>
            </w:r>
            <w:r>
              <w:rPr>
                <w:rFonts w:cs="Calibri"/>
                <w:color w:val="000000"/>
                <w:sz w:val="14"/>
                <w:szCs w:val="14"/>
              </w:rPr>
              <w:t>.</w:t>
            </w:r>
            <w:r w:rsidRPr="003003C0">
              <w:rPr>
                <w:rFonts w:cs="Calibri"/>
                <w:color w:val="000000"/>
                <w:sz w:val="14"/>
                <w:szCs w:val="14"/>
              </w:rPr>
              <w:t>3</w:t>
            </w:r>
          </w:p>
        </w:tc>
        <w:tc>
          <w:tcPr>
            <w:tcW w:w="721" w:type="dxa"/>
            <w:noWrap/>
            <w:vAlign w:val="center"/>
            <w:hideMark/>
          </w:tcPr>
          <w:p w14:paraId="6836662A" w14:textId="77777777" w:rsidR="004F64EF" w:rsidRPr="003003C0" w:rsidRDefault="004F64EF" w:rsidP="00FD6B66">
            <w:pPr>
              <w:jc w:val="right"/>
              <w:rPr>
                <w:rFonts w:cs="Calibri"/>
                <w:color w:val="000000"/>
                <w:sz w:val="14"/>
                <w:szCs w:val="14"/>
              </w:rPr>
            </w:pPr>
            <w:r w:rsidRPr="003003C0">
              <w:rPr>
                <w:rFonts w:cs="Calibri"/>
                <w:color w:val="000000"/>
                <w:sz w:val="14"/>
                <w:szCs w:val="14"/>
              </w:rPr>
              <w:t>8</w:t>
            </w:r>
            <w:r>
              <w:rPr>
                <w:rFonts w:cs="Calibri"/>
                <w:color w:val="000000"/>
                <w:sz w:val="14"/>
                <w:szCs w:val="14"/>
              </w:rPr>
              <w:t>.</w:t>
            </w:r>
            <w:r w:rsidRPr="003003C0">
              <w:rPr>
                <w:rFonts w:cs="Calibri"/>
                <w:color w:val="000000"/>
                <w:sz w:val="14"/>
                <w:szCs w:val="14"/>
              </w:rPr>
              <w:t>8</w:t>
            </w:r>
          </w:p>
        </w:tc>
        <w:tc>
          <w:tcPr>
            <w:tcW w:w="722" w:type="dxa"/>
            <w:noWrap/>
            <w:vAlign w:val="center"/>
            <w:hideMark/>
          </w:tcPr>
          <w:p w14:paraId="09FA43E2" w14:textId="77777777" w:rsidR="004F64EF" w:rsidRPr="003003C0" w:rsidRDefault="004F64EF" w:rsidP="00FD6B66">
            <w:pPr>
              <w:jc w:val="right"/>
              <w:rPr>
                <w:rFonts w:cs="Calibri"/>
                <w:color w:val="000000"/>
                <w:sz w:val="14"/>
                <w:szCs w:val="14"/>
              </w:rPr>
            </w:pPr>
            <w:r w:rsidRPr="003003C0">
              <w:rPr>
                <w:rFonts w:cs="Calibri"/>
                <w:color w:val="000000"/>
                <w:sz w:val="14"/>
                <w:szCs w:val="14"/>
              </w:rPr>
              <w:t>8</w:t>
            </w:r>
            <w:r>
              <w:rPr>
                <w:rFonts w:cs="Calibri"/>
                <w:color w:val="000000"/>
                <w:sz w:val="14"/>
                <w:szCs w:val="14"/>
              </w:rPr>
              <w:t>.</w:t>
            </w:r>
            <w:r w:rsidRPr="003003C0">
              <w:rPr>
                <w:rFonts w:cs="Calibri"/>
                <w:color w:val="000000"/>
                <w:sz w:val="14"/>
                <w:szCs w:val="14"/>
              </w:rPr>
              <w:t>6</w:t>
            </w:r>
          </w:p>
        </w:tc>
        <w:tc>
          <w:tcPr>
            <w:tcW w:w="722" w:type="dxa"/>
            <w:noWrap/>
            <w:vAlign w:val="center"/>
            <w:hideMark/>
          </w:tcPr>
          <w:p w14:paraId="610AFAC8" w14:textId="77777777" w:rsidR="004F64EF" w:rsidRPr="003003C0" w:rsidRDefault="004F64EF" w:rsidP="00FD6B66">
            <w:pPr>
              <w:jc w:val="right"/>
              <w:rPr>
                <w:rFonts w:cs="Calibri"/>
                <w:color w:val="000000"/>
                <w:sz w:val="14"/>
                <w:szCs w:val="14"/>
              </w:rPr>
            </w:pPr>
            <w:r w:rsidRPr="003003C0">
              <w:rPr>
                <w:rFonts w:cs="Calibri"/>
                <w:color w:val="000000"/>
                <w:sz w:val="14"/>
                <w:szCs w:val="14"/>
              </w:rPr>
              <w:t>9</w:t>
            </w:r>
            <w:r>
              <w:rPr>
                <w:rFonts w:cs="Calibri"/>
                <w:color w:val="000000"/>
                <w:sz w:val="14"/>
                <w:szCs w:val="14"/>
              </w:rPr>
              <w:t>.</w:t>
            </w:r>
            <w:r w:rsidRPr="003003C0">
              <w:rPr>
                <w:rFonts w:cs="Calibri"/>
                <w:color w:val="000000"/>
                <w:sz w:val="14"/>
                <w:szCs w:val="14"/>
              </w:rPr>
              <w:t>6</w:t>
            </w:r>
          </w:p>
        </w:tc>
        <w:tc>
          <w:tcPr>
            <w:tcW w:w="722" w:type="dxa"/>
            <w:noWrap/>
            <w:vAlign w:val="center"/>
            <w:hideMark/>
          </w:tcPr>
          <w:p w14:paraId="7D43C802" w14:textId="77777777" w:rsidR="004F64EF" w:rsidRPr="003003C0" w:rsidRDefault="004F64EF" w:rsidP="00FD6B66">
            <w:pPr>
              <w:jc w:val="right"/>
              <w:rPr>
                <w:rFonts w:cs="Calibri"/>
                <w:color w:val="000000"/>
                <w:sz w:val="14"/>
                <w:szCs w:val="14"/>
              </w:rPr>
            </w:pPr>
            <w:r w:rsidRPr="003003C0">
              <w:rPr>
                <w:rFonts w:cs="Calibri"/>
                <w:color w:val="000000"/>
                <w:sz w:val="14"/>
                <w:szCs w:val="14"/>
              </w:rPr>
              <w:t>8</w:t>
            </w:r>
            <w:r>
              <w:rPr>
                <w:rFonts w:cs="Calibri"/>
                <w:color w:val="000000"/>
                <w:sz w:val="14"/>
                <w:szCs w:val="14"/>
              </w:rPr>
              <w:t>.</w:t>
            </w:r>
            <w:r w:rsidRPr="003003C0">
              <w:rPr>
                <w:rFonts w:cs="Calibri"/>
                <w:color w:val="000000"/>
                <w:sz w:val="14"/>
                <w:szCs w:val="14"/>
              </w:rPr>
              <w:t>3</w:t>
            </w:r>
          </w:p>
        </w:tc>
      </w:tr>
      <w:tr w:rsidR="004F64EF" w:rsidRPr="003003C0" w14:paraId="588DF0C4" w14:textId="77777777" w:rsidTr="00FD6B66">
        <w:trPr>
          <w:cnfStyle w:val="000000010000" w:firstRow="0" w:lastRow="0" w:firstColumn="0" w:lastColumn="0" w:oddVBand="0" w:evenVBand="0" w:oddHBand="0" w:evenHBand="1" w:firstRowFirstColumn="0" w:firstRowLastColumn="0" w:lastRowFirstColumn="0" w:lastRowLastColumn="0"/>
          <w:trHeight w:val="20"/>
        </w:trPr>
        <w:tc>
          <w:tcPr>
            <w:tcW w:w="3964" w:type="dxa"/>
            <w:noWrap/>
            <w:vAlign w:val="center"/>
            <w:hideMark/>
          </w:tcPr>
          <w:p w14:paraId="048387C4" w14:textId="77777777" w:rsidR="004F64EF" w:rsidRPr="003003C0" w:rsidRDefault="004F64EF" w:rsidP="00A839D1">
            <w:pPr>
              <w:tabs>
                <w:tab w:val="left" w:pos="227"/>
              </w:tabs>
              <w:ind w:left="227" w:hanging="227"/>
              <w:jc w:val="left"/>
              <w:rPr>
                <w:rFonts w:cs="Calibri"/>
                <w:color w:val="000000"/>
                <w:sz w:val="14"/>
                <w:szCs w:val="14"/>
              </w:rPr>
            </w:pPr>
            <w:r w:rsidRPr="003003C0">
              <w:rPr>
                <w:rFonts w:cs="Calibri"/>
                <w:color w:val="000000"/>
                <w:sz w:val="14"/>
                <w:szCs w:val="14"/>
              </w:rPr>
              <w:lastRenderedPageBreak/>
              <w:tab/>
              <w:t xml:space="preserve">85. </w:t>
            </w:r>
            <w:r w:rsidRPr="00D320CA">
              <w:rPr>
                <w:rFonts w:cs="Calibri"/>
                <w:color w:val="000000"/>
                <w:sz w:val="14"/>
                <w:szCs w:val="14"/>
              </w:rPr>
              <w:t>Electrical machinery and equipment; sound and image recorders and reproducers</w:t>
            </w:r>
          </w:p>
        </w:tc>
        <w:tc>
          <w:tcPr>
            <w:tcW w:w="721" w:type="dxa"/>
            <w:noWrap/>
            <w:vAlign w:val="center"/>
            <w:hideMark/>
          </w:tcPr>
          <w:p w14:paraId="44FC2A31" w14:textId="77777777" w:rsidR="004F64EF" w:rsidRPr="003003C0" w:rsidRDefault="004F64EF" w:rsidP="00FD6B66">
            <w:pPr>
              <w:jc w:val="right"/>
              <w:rPr>
                <w:rFonts w:cs="Calibri"/>
                <w:color w:val="000000"/>
                <w:sz w:val="14"/>
                <w:szCs w:val="14"/>
              </w:rPr>
            </w:pPr>
            <w:r w:rsidRPr="003003C0">
              <w:rPr>
                <w:rFonts w:cs="Calibri"/>
                <w:color w:val="000000"/>
                <w:sz w:val="14"/>
                <w:szCs w:val="14"/>
              </w:rPr>
              <w:t>7</w:t>
            </w:r>
            <w:r>
              <w:rPr>
                <w:rFonts w:cs="Calibri"/>
                <w:color w:val="000000"/>
                <w:sz w:val="14"/>
                <w:szCs w:val="14"/>
              </w:rPr>
              <w:t>.</w:t>
            </w:r>
            <w:r w:rsidRPr="003003C0">
              <w:rPr>
                <w:rFonts w:cs="Calibri"/>
                <w:color w:val="000000"/>
                <w:sz w:val="14"/>
                <w:szCs w:val="14"/>
              </w:rPr>
              <w:t>4</w:t>
            </w:r>
          </w:p>
        </w:tc>
        <w:tc>
          <w:tcPr>
            <w:tcW w:w="722" w:type="dxa"/>
            <w:noWrap/>
            <w:vAlign w:val="center"/>
            <w:hideMark/>
          </w:tcPr>
          <w:p w14:paraId="18EB784A" w14:textId="77777777" w:rsidR="004F64EF" w:rsidRPr="003003C0" w:rsidRDefault="004F64EF" w:rsidP="00FD6B66">
            <w:pPr>
              <w:jc w:val="right"/>
              <w:rPr>
                <w:rFonts w:cs="Calibri"/>
                <w:color w:val="000000"/>
                <w:sz w:val="14"/>
                <w:szCs w:val="14"/>
              </w:rPr>
            </w:pPr>
            <w:r w:rsidRPr="003003C0">
              <w:rPr>
                <w:rFonts w:cs="Calibri"/>
                <w:color w:val="000000"/>
                <w:sz w:val="14"/>
                <w:szCs w:val="14"/>
              </w:rPr>
              <w:t>7</w:t>
            </w:r>
            <w:r>
              <w:rPr>
                <w:rFonts w:cs="Calibri"/>
                <w:color w:val="000000"/>
                <w:sz w:val="14"/>
                <w:szCs w:val="14"/>
              </w:rPr>
              <w:t>.</w:t>
            </w:r>
            <w:r w:rsidRPr="003003C0">
              <w:rPr>
                <w:rFonts w:cs="Calibri"/>
                <w:color w:val="000000"/>
                <w:sz w:val="14"/>
                <w:szCs w:val="14"/>
              </w:rPr>
              <w:t>5</w:t>
            </w:r>
          </w:p>
        </w:tc>
        <w:tc>
          <w:tcPr>
            <w:tcW w:w="722" w:type="dxa"/>
            <w:noWrap/>
            <w:vAlign w:val="center"/>
            <w:hideMark/>
          </w:tcPr>
          <w:p w14:paraId="1C72643C" w14:textId="77777777" w:rsidR="004F64EF" w:rsidRPr="003003C0" w:rsidRDefault="004F64EF" w:rsidP="00FD6B66">
            <w:pPr>
              <w:jc w:val="right"/>
              <w:rPr>
                <w:rFonts w:cs="Calibri"/>
                <w:color w:val="000000"/>
                <w:sz w:val="14"/>
                <w:szCs w:val="14"/>
              </w:rPr>
            </w:pPr>
            <w:r w:rsidRPr="003003C0">
              <w:rPr>
                <w:rFonts w:cs="Calibri"/>
                <w:color w:val="000000"/>
                <w:sz w:val="14"/>
                <w:szCs w:val="14"/>
              </w:rPr>
              <w:t>7</w:t>
            </w:r>
            <w:r>
              <w:rPr>
                <w:rFonts w:cs="Calibri"/>
                <w:color w:val="000000"/>
                <w:sz w:val="14"/>
                <w:szCs w:val="14"/>
              </w:rPr>
              <w:t>.</w:t>
            </w:r>
            <w:r w:rsidRPr="003003C0">
              <w:rPr>
                <w:rFonts w:cs="Calibri"/>
                <w:color w:val="000000"/>
                <w:sz w:val="14"/>
                <w:szCs w:val="14"/>
              </w:rPr>
              <w:t>4</w:t>
            </w:r>
          </w:p>
        </w:tc>
        <w:tc>
          <w:tcPr>
            <w:tcW w:w="721" w:type="dxa"/>
            <w:noWrap/>
            <w:vAlign w:val="center"/>
            <w:hideMark/>
          </w:tcPr>
          <w:p w14:paraId="6B7C11DC" w14:textId="77777777" w:rsidR="004F64EF" w:rsidRPr="003003C0" w:rsidRDefault="004F64EF" w:rsidP="00FD6B66">
            <w:pPr>
              <w:jc w:val="right"/>
              <w:rPr>
                <w:rFonts w:cs="Calibri"/>
                <w:color w:val="000000"/>
                <w:sz w:val="14"/>
                <w:szCs w:val="14"/>
              </w:rPr>
            </w:pPr>
            <w:r w:rsidRPr="003003C0">
              <w:rPr>
                <w:rFonts w:cs="Calibri"/>
                <w:color w:val="000000"/>
                <w:sz w:val="14"/>
                <w:szCs w:val="14"/>
              </w:rPr>
              <w:t>7</w:t>
            </w:r>
            <w:r>
              <w:rPr>
                <w:rFonts w:cs="Calibri"/>
                <w:color w:val="000000"/>
                <w:sz w:val="14"/>
                <w:szCs w:val="14"/>
              </w:rPr>
              <w:t>.</w:t>
            </w:r>
            <w:r w:rsidRPr="003003C0">
              <w:rPr>
                <w:rFonts w:cs="Calibri"/>
                <w:color w:val="000000"/>
                <w:sz w:val="14"/>
                <w:szCs w:val="14"/>
              </w:rPr>
              <w:t>3</w:t>
            </w:r>
          </w:p>
        </w:tc>
        <w:tc>
          <w:tcPr>
            <w:tcW w:w="722" w:type="dxa"/>
            <w:noWrap/>
            <w:vAlign w:val="center"/>
            <w:hideMark/>
          </w:tcPr>
          <w:p w14:paraId="11C60A61" w14:textId="77777777" w:rsidR="004F64EF" w:rsidRPr="003003C0" w:rsidRDefault="004F64EF" w:rsidP="00FD6B66">
            <w:pPr>
              <w:jc w:val="right"/>
              <w:rPr>
                <w:rFonts w:cs="Calibri"/>
                <w:color w:val="000000"/>
                <w:sz w:val="14"/>
                <w:szCs w:val="14"/>
              </w:rPr>
            </w:pPr>
            <w:r w:rsidRPr="003003C0">
              <w:rPr>
                <w:rFonts w:cs="Calibri"/>
                <w:color w:val="000000"/>
                <w:sz w:val="14"/>
                <w:szCs w:val="14"/>
              </w:rPr>
              <w:t>7</w:t>
            </w:r>
            <w:r>
              <w:rPr>
                <w:rFonts w:cs="Calibri"/>
                <w:color w:val="000000"/>
                <w:sz w:val="14"/>
                <w:szCs w:val="14"/>
              </w:rPr>
              <w:t>.</w:t>
            </w:r>
            <w:r w:rsidRPr="003003C0">
              <w:rPr>
                <w:rFonts w:cs="Calibri"/>
                <w:color w:val="000000"/>
                <w:sz w:val="14"/>
                <w:szCs w:val="14"/>
              </w:rPr>
              <w:t>4</w:t>
            </w:r>
          </w:p>
        </w:tc>
        <w:tc>
          <w:tcPr>
            <w:tcW w:w="722" w:type="dxa"/>
            <w:noWrap/>
            <w:vAlign w:val="center"/>
            <w:hideMark/>
          </w:tcPr>
          <w:p w14:paraId="7588DC9D" w14:textId="77777777" w:rsidR="004F64EF" w:rsidRPr="003003C0" w:rsidRDefault="004F64EF" w:rsidP="00FD6B66">
            <w:pPr>
              <w:jc w:val="right"/>
              <w:rPr>
                <w:rFonts w:cs="Calibri"/>
                <w:color w:val="000000"/>
                <w:sz w:val="14"/>
                <w:szCs w:val="14"/>
              </w:rPr>
            </w:pPr>
            <w:r w:rsidRPr="003003C0">
              <w:rPr>
                <w:rFonts w:cs="Calibri"/>
                <w:color w:val="000000"/>
                <w:sz w:val="14"/>
                <w:szCs w:val="14"/>
              </w:rPr>
              <w:t>6</w:t>
            </w:r>
            <w:r>
              <w:rPr>
                <w:rFonts w:cs="Calibri"/>
                <w:color w:val="000000"/>
                <w:sz w:val="14"/>
                <w:szCs w:val="14"/>
              </w:rPr>
              <w:t>.</w:t>
            </w:r>
            <w:r w:rsidRPr="003003C0">
              <w:rPr>
                <w:rFonts w:cs="Calibri"/>
                <w:color w:val="000000"/>
                <w:sz w:val="14"/>
                <w:szCs w:val="14"/>
              </w:rPr>
              <w:t>9</w:t>
            </w:r>
          </w:p>
        </w:tc>
        <w:tc>
          <w:tcPr>
            <w:tcW w:w="722" w:type="dxa"/>
            <w:noWrap/>
            <w:vAlign w:val="center"/>
            <w:hideMark/>
          </w:tcPr>
          <w:p w14:paraId="1E8467C7" w14:textId="77777777" w:rsidR="004F64EF" w:rsidRPr="003003C0" w:rsidRDefault="004F64EF" w:rsidP="00FD6B66">
            <w:pPr>
              <w:jc w:val="right"/>
              <w:rPr>
                <w:rFonts w:cs="Calibri"/>
                <w:color w:val="000000"/>
                <w:sz w:val="14"/>
                <w:szCs w:val="14"/>
              </w:rPr>
            </w:pPr>
            <w:r w:rsidRPr="003003C0">
              <w:rPr>
                <w:rFonts w:cs="Calibri"/>
                <w:color w:val="000000"/>
                <w:sz w:val="14"/>
                <w:szCs w:val="14"/>
              </w:rPr>
              <w:t>5</w:t>
            </w:r>
            <w:r>
              <w:rPr>
                <w:rFonts w:cs="Calibri"/>
                <w:color w:val="000000"/>
                <w:sz w:val="14"/>
                <w:szCs w:val="14"/>
              </w:rPr>
              <w:t>.</w:t>
            </w:r>
            <w:r w:rsidRPr="003003C0">
              <w:rPr>
                <w:rFonts w:cs="Calibri"/>
                <w:color w:val="000000"/>
                <w:sz w:val="14"/>
                <w:szCs w:val="14"/>
              </w:rPr>
              <w:t>8</w:t>
            </w:r>
          </w:p>
        </w:tc>
      </w:tr>
      <w:tr w:rsidR="004F64EF" w:rsidRPr="003003C0" w14:paraId="02317D47" w14:textId="77777777" w:rsidTr="00FD6B66">
        <w:trPr>
          <w:trHeight w:val="20"/>
        </w:trPr>
        <w:tc>
          <w:tcPr>
            <w:tcW w:w="3964" w:type="dxa"/>
            <w:noWrap/>
            <w:vAlign w:val="center"/>
            <w:hideMark/>
          </w:tcPr>
          <w:p w14:paraId="585A873D" w14:textId="77777777" w:rsidR="004F64EF" w:rsidRPr="003003C0" w:rsidRDefault="004F64EF" w:rsidP="00F0233E">
            <w:pPr>
              <w:jc w:val="left"/>
              <w:rPr>
                <w:rFonts w:cs="Calibri"/>
                <w:color w:val="000000"/>
                <w:sz w:val="14"/>
                <w:szCs w:val="14"/>
              </w:rPr>
            </w:pPr>
            <w:r w:rsidRPr="003003C0">
              <w:rPr>
                <w:rFonts w:cs="Calibri"/>
                <w:color w:val="000000"/>
                <w:sz w:val="14"/>
                <w:szCs w:val="14"/>
              </w:rPr>
              <w:t xml:space="preserve">17 - </w:t>
            </w:r>
            <w:r w:rsidRPr="00D320CA">
              <w:rPr>
                <w:rFonts w:cs="Calibri"/>
                <w:color w:val="000000"/>
                <w:sz w:val="14"/>
                <w:szCs w:val="14"/>
              </w:rPr>
              <w:t>Vehicles, aircraft, vessels and associated</w:t>
            </w:r>
            <w:r>
              <w:rPr>
                <w:rFonts w:cs="Calibri"/>
                <w:color w:val="000000"/>
                <w:sz w:val="14"/>
                <w:szCs w:val="14"/>
              </w:rPr>
              <w:t xml:space="preserve"> </w:t>
            </w:r>
            <w:r w:rsidRPr="00D320CA">
              <w:rPr>
                <w:rFonts w:cs="Calibri"/>
                <w:color w:val="000000"/>
                <w:sz w:val="14"/>
                <w:szCs w:val="14"/>
              </w:rPr>
              <w:t>transport equipment</w:t>
            </w:r>
          </w:p>
        </w:tc>
        <w:tc>
          <w:tcPr>
            <w:tcW w:w="721" w:type="dxa"/>
            <w:noWrap/>
            <w:vAlign w:val="center"/>
            <w:hideMark/>
          </w:tcPr>
          <w:p w14:paraId="2403088D" w14:textId="77777777" w:rsidR="004F64EF" w:rsidRPr="003003C0" w:rsidRDefault="004F64EF" w:rsidP="00FD6B66">
            <w:pPr>
              <w:jc w:val="right"/>
              <w:rPr>
                <w:rFonts w:cs="Calibri"/>
                <w:color w:val="000000"/>
                <w:sz w:val="14"/>
                <w:szCs w:val="14"/>
              </w:rPr>
            </w:pPr>
            <w:r w:rsidRPr="003003C0">
              <w:rPr>
                <w:rFonts w:cs="Calibri"/>
                <w:color w:val="000000"/>
                <w:sz w:val="14"/>
                <w:szCs w:val="14"/>
              </w:rPr>
              <w:t>8</w:t>
            </w:r>
            <w:r>
              <w:rPr>
                <w:rFonts w:cs="Calibri"/>
                <w:color w:val="000000"/>
                <w:sz w:val="14"/>
                <w:szCs w:val="14"/>
              </w:rPr>
              <w:t>.</w:t>
            </w:r>
            <w:r w:rsidRPr="003003C0">
              <w:rPr>
                <w:rFonts w:cs="Calibri"/>
                <w:color w:val="000000"/>
                <w:sz w:val="14"/>
                <w:szCs w:val="14"/>
              </w:rPr>
              <w:t>9</w:t>
            </w:r>
          </w:p>
        </w:tc>
        <w:tc>
          <w:tcPr>
            <w:tcW w:w="722" w:type="dxa"/>
            <w:noWrap/>
            <w:vAlign w:val="center"/>
            <w:hideMark/>
          </w:tcPr>
          <w:p w14:paraId="236BD773" w14:textId="77777777" w:rsidR="004F64EF" w:rsidRPr="003003C0" w:rsidRDefault="004F64EF" w:rsidP="00FD6B66">
            <w:pPr>
              <w:jc w:val="right"/>
              <w:rPr>
                <w:rFonts w:cs="Calibri"/>
                <w:color w:val="000000"/>
                <w:sz w:val="14"/>
                <w:szCs w:val="14"/>
              </w:rPr>
            </w:pPr>
            <w:r w:rsidRPr="003003C0">
              <w:rPr>
                <w:rFonts w:cs="Calibri"/>
                <w:color w:val="000000"/>
                <w:sz w:val="14"/>
                <w:szCs w:val="14"/>
              </w:rPr>
              <w:t>10</w:t>
            </w:r>
            <w:r>
              <w:rPr>
                <w:rFonts w:cs="Calibri"/>
                <w:color w:val="000000"/>
                <w:sz w:val="14"/>
                <w:szCs w:val="14"/>
              </w:rPr>
              <w:t>.</w:t>
            </w:r>
            <w:r w:rsidRPr="003003C0">
              <w:rPr>
                <w:rFonts w:cs="Calibri"/>
                <w:color w:val="000000"/>
                <w:sz w:val="14"/>
                <w:szCs w:val="14"/>
              </w:rPr>
              <w:t>2</w:t>
            </w:r>
          </w:p>
        </w:tc>
        <w:tc>
          <w:tcPr>
            <w:tcW w:w="722" w:type="dxa"/>
            <w:noWrap/>
            <w:vAlign w:val="center"/>
            <w:hideMark/>
          </w:tcPr>
          <w:p w14:paraId="7B352287" w14:textId="77777777" w:rsidR="004F64EF" w:rsidRPr="003003C0" w:rsidRDefault="004F64EF" w:rsidP="00FD6B66">
            <w:pPr>
              <w:jc w:val="right"/>
              <w:rPr>
                <w:rFonts w:cs="Calibri"/>
                <w:color w:val="000000"/>
                <w:sz w:val="14"/>
                <w:szCs w:val="14"/>
              </w:rPr>
            </w:pPr>
            <w:r w:rsidRPr="003003C0">
              <w:rPr>
                <w:rFonts w:cs="Calibri"/>
                <w:color w:val="000000"/>
                <w:sz w:val="14"/>
                <w:szCs w:val="14"/>
              </w:rPr>
              <w:t>9</w:t>
            </w:r>
            <w:r>
              <w:rPr>
                <w:rFonts w:cs="Calibri"/>
                <w:color w:val="000000"/>
                <w:sz w:val="14"/>
                <w:szCs w:val="14"/>
              </w:rPr>
              <w:t>.</w:t>
            </w:r>
            <w:r w:rsidRPr="003003C0">
              <w:rPr>
                <w:rFonts w:cs="Calibri"/>
                <w:color w:val="000000"/>
                <w:sz w:val="14"/>
                <w:szCs w:val="14"/>
              </w:rPr>
              <w:t>2</w:t>
            </w:r>
          </w:p>
        </w:tc>
        <w:tc>
          <w:tcPr>
            <w:tcW w:w="721" w:type="dxa"/>
            <w:noWrap/>
            <w:vAlign w:val="center"/>
            <w:hideMark/>
          </w:tcPr>
          <w:p w14:paraId="407A8762" w14:textId="77777777" w:rsidR="004F64EF" w:rsidRPr="003003C0" w:rsidRDefault="004F64EF" w:rsidP="00FD6B66">
            <w:pPr>
              <w:jc w:val="right"/>
              <w:rPr>
                <w:rFonts w:cs="Calibri"/>
                <w:color w:val="000000"/>
                <w:sz w:val="14"/>
                <w:szCs w:val="14"/>
              </w:rPr>
            </w:pPr>
            <w:r w:rsidRPr="003003C0">
              <w:rPr>
                <w:rFonts w:cs="Calibri"/>
                <w:color w:val="000000"/>
                <w:sz w:val="14"/>
                <w:szCs w:val="14"/>
              </w:rPr>
              <w:t>8</w:t>
            </w:r>
            <w:r>
              <w:rPr>
                <w:rFonts w:cs="Calibri"/>
                <w:color w:val="000000"/>
                <w:sz w:val="14"/>
                <w:szCs w:val="14"/>
              </w:rPr>
              <w:t>.</w:t>
            </w:r>
            <w:r w:rsidRPr="003003C0">
              <w:rPr>
                <w:rFonts w:cs="Calibri"/>
                <w:color w:val="000000"/>
                <w:sz w:val="14"/>
                <w:szCs w:val="14"/>
              </w:rPr>
              <w:t>8</w:t>
            </w:r>
          </w:p>
        </w:tc>
        <w:tc>
          <w:tcPr>
            <w:tcW w:w="722" w:type="dxa"/>
            <w:noWrap/>
            <w:vAlign w:val="center"/>
            <w:hideMark/>
          </w:tcPr>
          <w:p w14:paraId="37A89BA2" w14:textId="77777777" w:rsidR="004F64EF" w:rsidRPr="003003C0" w:rsidRDefault="004F64EF" w:rsidP="00FD6B66">
            <w:pPr>
              <w:jc w:val="right"/>
              <w:rPr>
                <w:rFonts w:cs="Calibri"/>
                <w:color w:val="000000"/>
                <w:sz w:val="14"/>
                <w:szCs w:val="14"/>
              </w:rPr>
            </w:pPr>
            <w:r w:rsidRPr="003003C0">
              <w:rPr>
                <w:rFonts w:cs="Calibri"/>
                <w:color w:val="000000"/>
                <w:sz w:val="14"/>
                <w:szCs w:val="14"/>
              </w:rPr>
              <w:t>9</w:t>
            </w:r>
            <w:r>
              <w:rPr>
                <w:rFonts w:cs="Calibri"/>
                <w:color w:val="000000"/>
                <w:sz w:val="14"/>
                <w:szCs w:val="14"/>
              </w:rPr>
              <w:t>.</w:t>
            </w:r>
            <w:r w:rsidRPr="003003C0">
              <w:rPr>
                <w:rFonts w:cs="Calibri"/>
                <w:color w:val="000000"/>
                <w:sz w:val="14"/>
                <w:szCs w:val="14"/>
              </w:rPr>
              <w:t>4</w:t>
            </w:r>
          </w:p>
        </w:tc>
        <w:tc>
          <w:tcPr>
            <w:tcW w:w="722" w:type="dxa"/>
            <w:noWrap/>
            <w:vAlign w:val="center"/>
            <w:hideMark/>
          </w:tcPr>
          <w:p w14:paraId="5A67784E" w14:textId="77777777" w:rsidR="004F64EF" w:rsidRPr="003003C0" w:rsidRDefault="004F64EF" w:rsidP="00FD6B66">
            <w:pPr>
              <w:jc w:val="right"/>
              <w:rPr>
                <w:rFonts w:cs="Calibri"/>
                <w:color w:val="000000"/>
                <w:sz w:val="14"/>
                <w:szCs w:val="14"/>
              </w:rPr>
            </w:pPr>
            <w:r w:rsidRPr="003003C0">
              <w:rPr>
                <w:rFonts w:cs="Calibri"/>
                <w:color w:val="000000"/>
                <w:sz w:val="14"/>
                <w:szCs w:val="14"/>
              </w:rPr>
              <w:t>9</w:t>
            </w:r>
            <w:r>
              <w:rPr>
                <w:rFonts w:cs="Calibri"/>
                <w:color w:val="000000"/>
                <w:sz w:val="14"/>
                <w:szCs w:val="14"/>
              </w:rPr>
              <w:t>.</w:t>
            </w:r>
            <w:r w:rsidRPr="003003C0">
              <w:rPr>
                <w:rFonts w:cs="Calibri"/>
                <w:color w:val="000000"/>
                <w:sz w:val="14"/>
                <w:szCs w:val="14"/>
              </w:rPr>
              <w:t>0</w:t>
            </w:r>
          </w:p>
        </w:tc>
        <w:tc>
          <w:tcPr>
            <w:tcW w:w="722" w:type="dxa"/>
            <w:noWrap/>
            <w:vAlign w:val="center"/>
            <w:hideMark/>
          </w:tcPr>
          <w:p w14:paraId="4E7F3C19" w14:textId="77777777" w:rsidR="004F64EF" w:rsidRPr="003003C0" w:rsidRDefault="004F64EF" w:rsidP="00FD6B66">
            <w:pPr>
              <w:jc w:val="right"/>
              <w:rPr>
                <w:rFonts w:cs="Calibri"/>
                <w:color w:val="000000"/>
                <w:sz w:val="14"/>
                <w:szCs w:val="14"/>
              </w:rPr>
            </w:pPr>
            <w:r w:rsidRPr="003003C0">
              <w:rPr>
                <w:rFonts w:cs="Calibri"/>
                <w:color w:val="000000"/>
                <w:sz w:val="14"/>
                <w:szCs w:val="14"/>
              </w:rPr>
              <w:t>8</w:t>
            </w:r>
            <w:r>
              <w:rPr>
                <w:rFonts w:cs="Calibri"/>
                <w:color w:val="000000"/>
                <w:sz w:val="14"/>
                <w:szCs w:val="14"/>
              </w:rPr>
              <w:t>.</w:t>
            </w:r>
            <w:r w:rsidRPr="003003C0">
              <w:rPr>
                <w:rFonts w:cs="Calibri"/>
                <w:color w:val="000000"/>
                <w:sz w:val="14"/>
                <w:szCs w:val="14"/>
              </w:rPr>
              <w:t>9</w:t>
            </w:r>
          </w:p>
        </w:tc>
      </w:tr>
      <w:tr w:rsidR="004F64EF" w:rsidRPr="003003C0" w14:paraId="4DD2623E" w14:textId="77777777" w:rsidTr="00FD6B66">
        <w:trPr>
          <w:cnfStyle w:val="000000010000" w:firstRow="0" w:lastRow="0" w:firstColumn="0" w:lastColumn="0" w:oddVBand="0" w:evenVBand="0" w:oddHBand="0" w:evenHBand="1" w:firstRowFirstColumn="0" w:firstRowLastColumn="0" w:lastRowFirstColumn="0" w:lastRowLastColumn="0"/>
          <w:trHeight w:val="20"/>
        </w:trPr>
        <w:tc>
          <w:tcPr>
            <w:tcW w:w="3964" w:type="dxa"/>
            <w:noWrap/>
            <w:vAlign w:val="center"/>
            <w:hideMark/>
          </w:tcPr>
          <w:p w14:paraId="3F9FB960" w14:textId="77777777" w:rsidR="004F64EF" w:rsidRPr="003003C0" w:rsidRDefault="004F64EF" w:rsidP="00A839D1">
            <w:pPr>
              <w:tabs>
                <w:tab w:val="left" w:pos="227"/>
              </w:tabs>
              <w:ind w:left="227" w:hanging="227"/>
              <w:jc w:val="left"/>
              <w:rPr>
                <w:rFonts w:cs="Calibri"/>
                <w:color w:val="000000"/>
                <w:sz w:val="14"/>
                <w:szCs w:val="14"/>
              </w:rPr>
            </w:pPr>
            <w:r w:rsidRPr="003003C0">
              <w:rPr>
                <w:rFonts w:cs="Calibri"/>
                <w:color w:val="000000"/>
                <w:sz w:val="14"/>
                <w:szCs w:val="14"/>
              </w:rPr>
              <w:tab/>
              <w:t xml:space="preserve">87. </w:t>
            </w:r>
            <w:r w:rsidRPr="00D320CA">
              <w:rPr>
                <w:rFonts w:cs="Calibri"/>
                <w:color w:val="000000"/>
                <w:sz w:val="14"/>
                <w:szCs w:val="14"/>
              </w:rPr>
              <w:t>Vehicles other than railway or tramway rolling-stock</w:t>
            </w:r>
          </w:p>
        </w:tc>
        <w:tc>
          <w:tcPr>
            <w:tcW w:w="721" w:type="dxa"/>
            <w:noWrap/>
            <w:vAlign w:val="center"/>
            <w:hideMark/>
          </w:tcPr>
          <w:p w14:paraId="6D9774A3" w14:textId="77777777" w:rsidR="004F64EF" w:rsidRPr="003003C0" w:rsidRDefault="004F64EF" w:rsidP="00FD6B66">
            <w:pPr>
              <w:jc w:val="right"/>
              <w:rPr>
                <w:rFonts w:cs="Calibri"/>
                <w:color w:val="000000"/>
                <w:sz w:val="14"/>
                <w:szCs w:val="14"/>
              </w:rPr>
            </w:pPr>
            <w:r w:rsidRPr="003003C0">
              <w:rPr>
                <w:rFonts w:cs="Calibri"/>
                <w:color w:val="000000"/>
                <w:sz w:val="14"/>
                <w:szCs w:val="14"/>
              </w:rPr>
              <w:t>8</w:t>
            </w:r>
            <w:r>
              <w:rPr>
                <w:rFonts w:cs="Calibri"/>
                <w:color w:val="000000"/>
                <w:sz w:val="14"/>
                <w:szCs w:val="14"/>
              </w:rPr>
              <w:t>.</w:t>
            </w:r>
            <w:r w:rsidRPr="003003C0">
              <w:rPr>
                <w:rFonts w:cs="Calibri"/>
                <w:color w:val="000000"/>
                <w:sz w:val="14"/>
                <w:szCs w:val="14"/>
              </w:rPr>
              <w:t>7</w:t>
            </w:r>
          </w:p>
        </w:tc>
        <w:tc>
          <w:tcPr>
            <w:tcW w:w="722" w:type="dxa"/>
            <w:noWrap/>
            <w:vAlign w:val="center"/>
            <w:hideMark/>
          </w:tcPr>
          <w:p w14:paraId="66627D1C" w14:textId="77777777" w:rsidR="004F64EF" w:rsidRPr="003003C0" w:rsidRDefault="004F64EF" w:rsidP="00FD6B66">
            <w:pPr>
              <w:jc w:val="right"/>
              <w:rPr>
                <w:rFonts w:cs="Calibri"/>
                <w:color w:val="000000"/>
                <w:sz w:val="14"/>
                <w:szCs w:val="14"/>
              </w:rPr>
            </w:pPr>
            <w:r w:rsidRPr="003003C0">
              <w:rPr>
                <w:rFonts w:cs="Calibri"/>
                <w:color w:val="000000"/>
                <w:sz w:val="14"/>
                <w:szCs w:val="14"/>
              </w:rPr>
              <w:t>10</w:t>
            </w:r>
            <w:r>
              <w:rPr>
                <w:rFonts w:cs="Calibri"/>
                <w:color w:val="000000"/>
                <w:sz w:val="14"/>
                <w:szCs w:val="14"/>
              </w:rPr>
              <w:t>.</w:t>
            </w:r>
            <w:r w:rsidRPr="003003C0">
              <w:rPr>
                <w:rFonts w:cs="Calibri"/>
                <w:color w:val="000000"/>
                <w:sz w:val="14"/>
                <w:szCs w:val="14"/>
              </w:rPr>
              <w:t>0</w:t>
            </w:r>
          </w:p>
        </w:tc>
        <w:tc>
          <w:tcPr>
            <w:tcW w:w="722" w:type="dxa"/>
            <w:noWrap/>
            <w:vAlign w:val="center"/>
            <w:hideMark/>
          </w:tcPr>
          <w:p w14:paraId="6B668A97" w14:textId="77777777" w:rsidR="004F64EF" w:rsidRPr="003003C0" w:rsidRDefault="004F64EF" w:rsidP="00FD6B66">
            <w:pPr>
              <w:jc w:val="right"/>
              <w:rPr>
                <w:rFonts w:cs="Calibri"/>
                <w:color w:val="000000"/>
                <w:sz w:val="14"/>
                <w:szCs w:val="14"/>
              </w:rPr>
            </w:pPr>
            <w:r w:rsidRPr="003003C0">
              <w:rPr>
                <w:rFonts w:cs="Calibri"/>
                <w:color w:val="000000"/>
                <w:sz w:val="14"/>
                <w:szCs w:val="14"/>
              </w:rPr>
              <w:t>9</w:t>
            </w:r>
            <w:r>
              <w:rPr>
                <w:rFonts w:cs="Calibri"/>
                <w:color w:val="000000"/>
                <w:sz w:val="14"/>
                <w:szCs w:val="14"/>
              </w:rPr>
              <w:t>.</w:t>
            </w:r>
            <w:r w:rsidRPr="003003C0">
              <w:rPr>
                <w:rFonts w:cs="Calibri"/>
                <w:color w:val="000000"/>
                <w:sz w:val="14"/>
                <w:szCs w:val="14"/>
              </w:rPr>
              <w:t>1</w:t>
            </w:r>
          </w:p>
        </w:tc>
        <w:tc>
          <w:tcPr>
            <w:tcW w:w="721" w:type="dxa"/>
            <w:noWrap/>
            <w:vAlign w:val="center"/>
            <w:hideMark/>
          </w:tcPr>
          <w:p w14:paraId="57DFA084" w14:textId="77777777" w:rsidR="004F64EF" w:rsidRPr="003003C0" w:rsidRDefault="004F64EF" w:rsidP="00FD6B66">
            <w:pPr>
              <w:jc w:val="right"/>
              <w:rPr>
                <w:rFonts w:cs="Calibri"/>
                <w:color w:val="000000"/>
                <w:sz w:val="14"/>
                <w:szCs w:val="14"/>
              </w:rPr>
            </w:pPr>
            <w:r w:rsidRPr="003003C0">
              <w:rPr>
                <w:rFonts w:cs="Calibri"/>
                <w:color w:val="000000"/>
                <w:sz w:val="14"/>
                <w:szCs w:val="14"/>
              </w:rPr>
              <w:t>8</w:t>
            </w:r>
            <w:r>
              <w:rPr>
                <w:rFonts w:cs="Calibri"/>
                <w:color w:val="000000"/>
                <w:sz w:val="14"/>
                <w:szCs w:val="14"/>
              </w:rPr>
              <w:t>.</w:t>
            </w:r>
            <w:r w:rsidRPr="003003C0">
              <w:rPr>
                <w:rFonts w:cs="Calibri"/>
                <w:color w:val="000000"/>
                <w:sz w:val="14"/>
                <w:szCs w:val="14"/>
              </w:rPr>
              <w:t>4</w:t>
            </w:r>
          </w:p>
        </w:tc>
        <w:tc>
          <w:tcPr>
            <w:tcW w:w="722" w:type="dxa"/>
            <w:noWrap/>
            <w:vAlign w:val="center"/>
            <w:hideMark/>
          </w:tcPr>
          <w:p w14:paraId="391DC3E4" w14:textId="77777777" w:rsidR="004F64EF" w:rsidRPr="003003C0" w:rsidRDefault="004F64EF" w:rsidP="00FD6B66">
            <w:pPr>
              <w:jc w:val="right"/>
              <w:rPr>
                <w:rFonts w:cs="Calibri"/>
                <w:color w:val="000000"/>
                <w:sz w:val="14"/>
                <w:szCs w:val="14"/>
              </w:rPr>
            </w:pPr>
            <w:r w:rsidRPr="003003C0">
              <w:rPr>
                <w:rFonts w:cs="Calibri"/>
                <w:color w:val="000000"/>
                <w:sz w:val="14"/>
                <w:szCs w:val="14"/>
              </w:rPr>
              <w:t>9</w:t>
            </w:r>
            <w:r>
              <w:rPr>
                <w:rFonts w:cs="Calibri"/>
                <w:color w:val="000000"/>
                <w:sz w:val="14"/>
                <w:szCs w:val="14"/>
              </w:rPr>
              <w:t>.</w:t>
            </w:r>
            <w:r w:rsidRPr="003003C0">
              <w:rPr>
                <w:rFonts w:cs="Calibri"/>
                <w:color w:val="000000"/>
                <w:sz w:val="14"/>
                <w:szCs w:val="14"/>
              </w:rPr>
              <w:t>4</w:t>
            </w:r>
          </w:p>
        </w:tc>
        <w:tc>
          <w:tcPr>
            <w:tcW w:w="722" w:type="dxa"/>
            <w:noWrap/>
            <w:vAlign w:val="center"/>
            <w:hideMark/>
          </w:tcPr>
          <w:p w14:paraId="45F0D6CC" w14:textId="77777777" w:rsidR="004F64EF" w:rsidRPr="003003C0" w:rsidRDefault="004F64EF" w:rsidP="00FD6B66">
            <w:pPr>
              <w:jc w:val="right"/>
              <w:rPr>
                <w:rFonts w:cs="Calibri"/>
                <w:color w:val="000000"/>
                <w:sz w:val="14"/>
                <w:szCs w:val="14"/>
              </w:rPr>
            </w:pPr>
            <w:r w:rsidRPr="003003C0">
              <w:rPr>
                <w:rFonts w:cs="Calibri"/>
                <w:color w:val="000000"/>
                <w:sz w:val="14"/>
                <w:szCs w:val="14"/>
              </w:rPr>
              <w:t>8</w:t>
            </w:r>
            <w:r>
              <w:rPr>
                <w:rFonts w:cs="Calibri"/>
                <w:color w:val="000000"/>
                <w:sz w:val="14"/>
                <w:szCs w:val="14"/>
              </w:rPr>
              <w:t>.</w:t>
            </w:r>
            <w:r w:rsidRPr="003003C0">
              <w:rPr>
                <w:rFonts w:cs="Calibri"/>
                <w:color w:val="000000"/>
                <w:sz w:val="14"/>
                <w:szCs w:val="14"/>
              </w:rPr>
              <w:t>7</w:t>
            </w:r>
          </w:p>
        </w:tc>
        <w:tc>
          <w:tcPr>
            <w:tcW w:w="722" w:type="dxa"/>
            <w:noWrap/>
            <w:vAlign w:val="center"/>
            <w:hideMark/>
          </w:tcPr>
          <w:p w14:paraId="436D2933" w14:textId="77777777" w:rsidR="004F64EF" w:rsidRPr="003003C0" w:rsidRDefault="004F64EF" w:rsidP="00FD6B66">
            <w:pPr>
              <w:jc w:val="right"/>
              <w:rPr>
                <w:rFonts w:cs="Calibri"/>
                <w:color w:val="000000"/>
                <w:sz w:val="14"/>
                <w:szCs w:val="14"/>
              </w:rPr>
            </w:pPr>
            <w:r w:rsidRPr="003003C0">
              <w:rPr>
                <w:rFonts w:cs="Calibri"/>
                <w:color w:val="000000"/>
                <w:sz w:val="14"/>
                <w:szCs w:val="14"/>
              </w:rPr>
              <w:t>8</w:t>
            </w:r>
            <w:r>
              <w:rPr>
                <w:rFonts w:cs="Calibri"/>
                <w:color w:val="000000"/>
                <w:sz w:val="14"/>
                <w:szCs w:val="14"/>
              </w:rPr>
              <w:t>.</w:t>
            </w:r>
            <w:r w:rsidRPr="003003C0">
              <w:rPr>
                <w:rFonts w:cs="Calibri"/>
                <w:color w:val="000000"/>
                <w:sz w:val="14"/>
                <w:szCs w:val="14"/>
              </w:rPr>
              <w:t>8</w:t>
            </w:r>
          </w:p>
        </w:tc>
      </w:tr>
      <w:tr w:rsidR="004F64EF" w:rsidRPr="003003C0" w14:paraId="3881AE72" w14:textId="77777777" w:rsidTr="00FD6B66">
        <w:trPr>
          <w:trHeight w:val="20"/>
        </w:trPr>
        <w:tc>
          <w:tcPr>
            <w:tcW w:w="3964" w:type="dxa"/>
            <w:noWrap/>
            <w:vAlign w:val="center"/>
            <w:hideMark/>
          </w:tcPr>
          <w:p w14:paraId="1B0FC0C3" w14:textId="77777777" w:rsidR="004F64EF" w:rsidRPr="003003C0" w:rsidRDefault="004F64EF" w:rsidP="00FD6B66">
            <w:pPr>
              <w:jc w:val="left"/>
              <w:rPr>
                <w:rFonts w:cs="Calibri"/>
                <w:color w:val="000000"/>
                <w:sz w:val="14"/>
                <w:szCs w:val="14"/>
              </w:rPr>
            </w:pPr>
            <w:r w:rsidRPr="003003C0">
              <w:rPr>
                <w:rFonts w:cs="Calibri"/>
                <w:color w:val="000000"/>
                <w:sz w:val="14"/>
                <w:szCs w:val="14"/>
              </w:rPr>
              <w:t xml:space="preserve">18 - </w:t>
            </w:r>
            <w:r w:rsidRPr="007008F3">
              <w:rPr>
                <w:rFonts w:cs="Calibri"/>
                <w:color w:val="000000"/>
                <w:sz w:val="14"/>
                <w:szCs w:val="14"/>
              </w:rPr>
              <w:t>Optical, photographic, cinematographic, measuring, checking or precision instruments and apparatus</w:t>
            </w:r>
          </w:p>
        </w:tc>
        <w:tc>
          <w:tcPr>
            <w:tcW w:w="721" w:type="dxa"/>
            <w:noWrap/>
            <w:vAlign w:val="center"/>
            <w:hideMark/>
          </w:tcPr>
          <w:p w14:paraId="4662C352" w14:textId="77777777" w:rsidR="004F64EF" w:rsidRPr="003003C0" w:rsidRDefault="004F64EF" w:rsidP="00FD6B66">
            <w:pPr>
              <w:jc w:val="right"/>
              <w:rPr>
                <w:rFonts w:cs="Calibri"/>
                <w:color w:val="000000"/>
                <w:sz w:val="14"/>
                <w:szCs w:val="14"/>
              </w:rPr>
            </w:pPr>
            <w:r w:rsidRPr="003003C0">
              <w:rPr>
                <w:rFonts w:cs="Calibri"/>
                <w:color w:val="000000"/>
                <w:sz w:val="14"/>
                <w:szCs w:val="14"/>
              </w:rPr>
              <w:t>1</w:t>
            </w:r>
            <w:r>
              <w:rPr>
                <w:rFonts w:cs="Calibri"/>
                <w:color w:val="000000"/>
                <w:sz w:val="14"/>
                <w:szCs w:val="14"/>
              </w:rPr>
              <w:t>.</w:t>
            </w:r>
            <w:r w:rsidRPr="003003C0">
              <w:rPr>
                <w:rFonts w:cs="Calibri"/>
                <w:color w:val="000000"/>
                <w:sz w:val="14"/>
                <w:szCs w:val="14"/>
              </w:rPr>
              <w:t>6</w:t>
            </w:r>
          </w:p>
        </w:tc>
        <w:tc>
          <w:tcPr>
            <w:tcW w:w="722" w:type="dxa"/>
            <w:noWrap/>
            <w:vAlign w:val="center"/>
            <w:hideMark/>
          </w:tcPr>
          <w:p w14:paraId="55EBE965" w14:textId="77777777" w:rsidR="004F64EF" w:rsidRPr="003003C0" w:rsidRDefault="004F64EF" w:rsidP="00FD6B66">
            <w:pPr>
              <w:jc w:val="right"/>
              <w:rPr>
                <w:rFonts w:cs="Calibri"/>
                <w:color w:val="000000"/>
                <w:sz w:val="14"/>
                <w:szCs w:val="14"/>
              </w:rPr>
            </w:pPr>
            <w:r w:rsidRPr="003003C0">
              <w:rPr>
                <w:rFonts w:cs="Calibri"/>
                <w:color w:val="000000"/>
                <w:sz w:val="14"/>
                <w:szCs w:val="14"/>
              </w:rPr>
              <w:t>1</w:t>
            </w:r>
            <w:r>
              <w:rPr>
                <w:rFonts w:cs="Calibri"/>
                <w:color w:val="000000"/>
                <w:sz w:val="14"/>
                <w:szCs w:val="14"/>
              </w:rPr>
              <w:t>.</w:t>
            </w:r>
            <w:r w:rsidRPr="003003C0">
              <w:rPr>
                <w:rFonts w:cs="Calibri"/>
                <w:color w:val="000000"/>
                <w:sz w:val="14"/>
                <w:szCs w:val="14"/>
              </w:rPr>
              <w:t>7</w:t>
            </w:r>
          </w:p>
        </w:tc>
        <w:tc>
          <w:tcPr>
            <w:tcW w:w="722" w:type="dxa"/>
            <w:noWrap/>
            <w:vAlign w:val="center"/>
            <w:hideMark/>
          </w:tcPr>
          <w:p w14:paraId="5665A1E7" w14:textId="77777777" w:rsidR="004F64EF" w:rsidRPr="003003C0" w:rsidRDefault="004F64EF" w:rsidP="00FD6B66">
            <w:pPr>
              <w:jc w:val="right"/>
              <w:rPr>
                <w:rFonts w:cs="Calibri"/>
                <w:color w:val="000000"/>
                <w:sz w:val="14"/>
                <w:szCs w:val="14"/>
              </w:rPr>
            </w:pPr>
            <w:r w:rsidRPr="003003C0">
              <w:rPr>
                <w:rFonts w:cs="Calibri"/>
                <w:color w:val="000000"/>
                <w:sz w:val="14"/>
                <w:szCs w:val="14"/>
              </w:rPr>
              <w:t>1</w:t>
            </w:r>
            <w:r>
              <w:rPr>
                <w:rFonts w:cs="Calibri"/>
                <w:color w:val="000000"/>
                <w:sz w:val="14"/>
                <w:szCs w:val="14"/>
              </w:rPr>
              <w:t>.</w:t>
            </w:r>
            <w:r w:rsidRPr="003003C0">
              <w:rPr>
                <w:rFonts w:cs="Calibri"/>
                <w:color w:val="000000"/>
                <w:sz w:val="14"/>
                <w:szCs w:val="14"/>
              </w:rPr>
              <w:t>6</w:t>
            </w:r>
          </w:p>
        </w:tc>
        <w:tc>
          <w:tcPr>
            <w:tcW w:w="721" w:type="dxa"/>
            <w:noWrap/>
            <w:vAlign w:val="center"/>
            <w:hideMark/>
          </w:tcPr>
          <w:p w14:paraId="14010F6F" w14:textId="77777777" w:rsidR="004F64EF" w:rsidRPr="003003C0" w:rsidRDefault="004F64EF" w:rsidP="00FD6B66">
            <w:pPr>
              <w:jc w:val="right"/>
              <w:rPr>
                <w:rFonts w:cs="Calibri"/>
                <w:color w:val="000000"/>
                <w:sz w:val="14"/>
                <w:szCs w:val="14"/>
              </w:rPr>
            </w:pPr>
            <w:r w:rsidRPr="003003C0">
              <w:rPr>
                <w:rFonts w:cs="Calibri"/>
                <w:color w:val="000000"/>
                <w:sz w:val="14"/>
                <w:szCs w:val="14"/>
              </w:rPr>
              <w:t>1</w:t>
            </w:r>
            <w:r>
              <w:rPr>
                <w:rFonts w:cs="Calibri"/>
                <w:color w:val="000000"/>
                <w:sz w:val="14"/>
                <w:szCs w:val="14"/>
              </w:rPr>
              <w:t>.</w:t>
            </w:r>
            <w:r w:rsidRPr="003003C0">
              <w:rPr>
                <w:rFonts w:cs="Calibri"/>
                <w:color w:val="000000"/>
                <w:sz w:val="14"/>
                <w:szCs w:val="14"/>
              </w:rPr>
              <w:t>5</w:t>
            </w:r>
          </w:p>
        </w:tc>
        <w:tc>
          <w:tcPr>
            <w:tcW w:w="722" w:type="dxa"/>
            <w:noWrap/>
            <w:vAlign w:val="center"/>
            <w:hideMark/>
          </w:tcPr>
          <w:p w14:paraId="07B9DA1D" w14:textId="77777777" w:rsidR="004F64EF" w:rsidRPr="003003C0" w:rsidRDefault="004F64EF" w:rsidP="00FD6B66">
            <w:pPr>
              <w:jc w:val="right"/>
              <w:rPr>
                <w:rFonts w:cs="Calibri"/>
                <w:color w:val="000000"/>
                <w:sz w:val="14"/>
                <w:szCs w:val="14"/>
              </w:rPr>
            </w:pPr>
            <w:r w:rsidRPr="003003C0">
              <w:rPr>
                <w:rFonts w:cs="Calibri"/>
                <w:color w:val="000000"/>
                <w:sz w:val="14"/>
                <w:szCs w:val="14"/>
              </w:rPr>
              <w:t>1</w:t>
            </w:r>
            <w:r>
              <w:rPr>
                <w:rFonts w:cs="Calibri"/>
                <w:color w:val="000000"/>
                <w:sz w:val="14"/>
                <w:szCs w:val="14"/>
              </w:rPr>
              <w:t>.</w:t>
            </w:r>
            <w:r w:rsidRPr="003003C0">
              <w:rPr>
                <w:rFonts w:cs="Calibri"/>
                <w:color w:val="000000"/>
                <w:sz w:val="14"/>
                <w:szCs w:val="14"/>
              </w:rPr>
              <w:t>7</w:t>
            </w:r>
          </w:p>
        </w:tc>
        <w:tc>
          <w:tcPr>
            <w:tcW w:w="722" w:type="dxa"/>
            <w:noWrap/>
            <w:vAlign w:val="center"/>
            <w:hideMark/>
          </w:tcPr>
          <w:p w14:paraId="7FF13444" w14:textId="77777777" w:rsidR="004F64EF" w:rsidRPr="003003C0" w:rsidRDefault="004F64EF" w:rsidP="00FD6B66">
            <w:pPr>
              <w:jc w:val="right"/>
              <w:rPr>
                <w:rFonts w:cs="Calibri"/>
                <w:color w:val="000000"/>
                <w:sz w:val="14"/>
                <w:szCs w:val="14"/>
              </w:rPr>
            </w:pPr>
            <w:r w:rsidRPr="003003C0">
              <w:rPr>
                <w:rFonts w:cs="Calibri"/>
                <w:color w:val="000000"/>
                <w:sz w:val="14"/>
                <w:szCs w:val="14"/>
              </w:rPr>
              <w:t>1</w:t>
            </w:r>
            <w:r>
              <w:rPr>
                <w:rFonts w:cs="Calibri"/>
                <w:color w:val="000000"/>
                <w:sz w:val="14"/>
                <w:szCs w:val="14"/>
              </w:rPr>
              <w:t>.</w:t>
            </w:r>
            <w:r w:rsidRPr="003003C0">
              <w:rPr>
                <w:rFonts w:cs="Calibri"/>
                <w:color w:val="000000"/>
                <w:sz w:val="14"/>
                <w:szCs w:val="14"/>
              </w:rPr>
              <w:t>6</w:t>
            </w:r>
          </w:p>
        </w:tc>
        <w:tc>
          <w:tcPr>
            <w:tcW w:w="722" w:type="dxa"/>
            <w:noWrap/>
            <w:vAlign w:val="center"/>
            <w:hideMark/>
          </w:tcPr>
          <w:p w14:paraId="636F1B92" w14:textId="77777777" w:rsidR="004F64EF" w:rsidRPr="003003C0" w:rsidRDefault="004F64EF" w:rsidP="00FD6B66">
            <w:pPr>
              <w:jc w:val="right"/>
              <w:rPr>
                <w:rFonts w:cs="Calibri"/>
                <w:color w:val="000000"/>
                <w:sz w:val="14"/>
                <w:szCs w:val="14"/>
              </w:rPr>
            </w:pPr>
            <w:r w:rsidRPr="003003C0">
              <w:rPr>
                <w:rFonts w:cs="Calibri"/>
                <w:color w:val="000000"/>
                <w:sz w:val="14"/>
                <w:szCs w:val="14"/>
              </w:rPr>
              <w:t>1</w:t>
            </w:r>
            <w:r>
              <w:rPr>
                <w:rFonts w:cs="Calibri"/>
                <w:color w:val="000000"/>
                <w:sz w:val="14"/>
                <w:szCs w:val="14"/>
              </w:rPr>
              <w:t>.</w:t>
            </w:r>
            <w:r w:rsidRPr="003003C0">
              <w:rPr>
                <w:rFonts w:cs="Calibri"/>
                <w:color w:val="000000"/>
                <w:sz w:val="14"/>
                <w:szCs w:val="14"/>
              </w:rPr>
              <w:t>2</w:t>
            </w:r>
          </w:p>
        </w:tc>
      </w:tr>
      <w:tr w:rsidR="004F64EF" w:rsidRPr="003003C0" w14:paraId="78A50789" w14:textId="77777777" w:rsidTr="00FD6B66">
        <w:trPr>
          <w:cnfStyle w:val="000000010000" w:firstRow="0" w:lastRow="0" w:firstColumn="0" w:lastColumn="0" w:oddVBand="0" w:evenVBand="0" w:oddHBand="0" w:evenHBand="1" w:firstRowFirstColumn="0" w:firstRowLastColumn="0" w:lastRowFirstColumn="0" w:lastRowLastColumn="0"/>
          <w:trHeight w:val="20"/>
        </w:trPr>
        <w:tc>
          <w:tcPr>
            <w:tcW w:w="3964" w:type="dxa"/>
            <w:noWrap/>
            <w:vAlign w:val="center"/>
            <w:hideMark/>
          </w:tcPr>
          <w:p w14:paraId="620E0F4C" w14:textId="77777777" w:rsidR="004F64EF" w:rsidRPr="003003C0" w:rsidRDefault="004F64EF" w:rsidP="00A839D1">
            <w:pPr>
              <w:tabs>
                <w:tab w:val="left" w:pos="227"/>
              </w:tabs>
              <w:ind w:left="227" w:hanging="227"/>
              <w:jc w:val="left"/>
              <w:rPr>
                <w:rFonts w:cs="Calibri"/>
                <w:color w:val="000000"/>
                <w:sz w:val="14"/>
                <w:szCs w:val="14"/>
              </w:rPr>
            </w:pPr>
            <w:r w:rsidRPr="003003C0">
              <w:rPr>
                <w:rFonts w:cs="Calibri"/>
                <w:color w:val="000000"/>
                <w:sz w:val="14"/>
                <w:szCs w:val="14"/>
              </w:rPr>
              <w:tab/>
              <w:t xml:space="preserve">90. </w:t>
            </w:r>
            <w:r w:rsidRPr="007008F3">
              <w:rPr>
                <w:rFonts w:cs="Calibri"/>
                <w:color w:val="000000"/>
                <w:sz w:val="14"/>
                <w:szCs w:val="14"/>
              </w:rPr>
              <w:t>Optical, photographic or precision, medical or surgical instruments and apparatus</w:t>
            </w:r>
          </w:p>
        </w:tc>
        <w:tc>
          <w:tcPr>
            <w:tcW w:w="721" w:type="dxa"/>
            <w:noWrap/>
            <w:vAlign w:val="center"/>
            <w:hideMark/>
          </w:tcPr>
          <w:p w14:paraId="506DC62D" w14:textId="77777777" w:rsidR="004F64EF" w:rsidRPr="003003C0" w:rsidRDefault="004F64EF" w:rsidP="00FD6B66">
            <w:pPr>
              <w:jc w:val="right"/>
              <w:rPr>
                <w:rFonts w:cs="Calibri"/>
                <w:color w:val="000000"/>
                <w:sz w:val="14"/>
                <w:szCs w:val="14"/>
              </w:rPr>
            </w:pPr>
            <w:r w:rsidRPr="003003C0">
              <w:rPr>
                <w:rFonts w:cs="Calibri"/>
                <w:color w:val="000000"/>
                <w:sz w:val="14"/>
                <w:szCs w:val="14"/>
              </w:rPr>
              <w:t>1</w:t>
            </w:r>
            <w:r>
              <w:rPr>
                <w:rFonts w:cs="Calibri"/>
                <w:color w:val="000000"/>
                <w:sz w:val="14"/>
                <w:szCs w:val="14"/>
              </w:rPr>
              <w:t>.</w:t>
            </w:r>
            <w:r w:rsidRPr="003003C0">
              <w:rPr>
                <w:rFonts w:cs="Calibri"/>
                <w:color w:val="000000"/>
                <w:sz w:val="14"/>
                <w:szCs w:val="14"/>
              </w:rPr>
              <w:t>5</w:t>
            </w:r>
          </w:p>
        </w:tc>
        <w:tc>
          <w:tcPr>
            <w:tcW w:w="722" w:type="dxa"/>
            <w:noWrap/>
            <w:vAlign w:val="center"/>
            <w:hideMark/>
          </w:tcPr>
          <w:p w14:paraId="1E5897F2" w14:textId="77777777" w:rsidR="004F64EF" w:rsidRPr="003003C0" w:rsidRDefault="004F64EF" w:rsidP="00FD6B66">
            <w:pPr>
              <w:jc w:val="right"/>
              <w:rPr>
                <w:rFonts w:cs="Calibri"/>
                <w:color w:val="000000"/>
                <w:sz w:val="14"/>
                <w:szCs w:val="14"/>
              </w:rPr>
            </w:pPr>
            <w:r w:rsidRPr="003003C0">
              <w:rPr>
                <w:rFonts w:cs="Calibri"/>
                <w:color w:val="000000"/>
                <w:sz w:val="14"/>
                <w:szCs w:val="14"/>
              </w:rPr>
              <w:t>1</w:t>
            </w:r>
            <w:r>
              <w:rPr>
                <w:rFonts w:cs="Calibri"/>
                <w:color w:val="000000"/>
                <w:sz w:val="14"/>
                <w:szCs w:val="14"/>
              </w:rPr>
              <w:t>.</w:t>
            </w:r>
            <w:r w:rsidRPr="003003C0">
              <w:rPr>
                <w:rFonts w:cs="Calibri"/>
                <w:color w:val="000000"/>
                <w:sz w:val="14"/>
                <w:szCs w:val="14"/>
              </w:rPr>
              <w:t>7</w:t>
            </w:r>
          </w:p>
        </w:tc>
        <w:tc>
          <w:tcPr>
            <w:tcW w:w="722" w:type="dxa"/>
            <w:noWrap/>
            <w:vAlign w:val="center"/>
            <w:hideMark/>
          </w:tcPr>
          <w:p w14:paraId="47C9F275" w14:textId="77777777" w:rsidR="004F64EF" w:rsidRPr="003003C0" w:rsidRDefault="004F64EF" w:rsidP="00FD6B66">
            <w:pPr>
              <w:jc w:val="right"/>
              <w:rPr>
                <w:rFonts w:cs="Calibri"/>
                <w:color w:val="000000"/>
                <w:sz w:val="14"/>
                <w:szCs w:val="14"/>
              </w:rPr>
            </w:pPr>
            <w:r w:rsidRPr="003003C0">
              <w:rPr>
                <w:rFonts w:cs="Calibri"/>
                <w:color w:val="000000"/>
                <w:sz w:val="14"/>
                <w:szCs w:val="14"/>
              </w:rPr>
              <w:t>1</w:t>
            </w:r>
            <w:r>
              <w:rPr>
                <w:rFonts w:cs="Calibri"/>
                <w:color w:val="000000"/>
                <w:sz w:val="14"/>
                <w:szCs w:val="14"/>
              </w:rPr>
              <w:t>.</w:t>
            </w:r>
            <w:r w:rsidRPr="003003C0">
              <w:rPr>
                <w:rFonts w:cs="Calibri"/>
                <w:color w:val="000000"/>
                <w:sz w:val="14"/>
                <w:szCs w:val="14"/>
              </w:rPr>
              <w:t>6</w:t>
            </w:r>
          </w:p>
        </w:tc>
        <w:tc>
          <w:tcPr>
            <w:tcW w:w="721" w:type="dxa"/>
            <w:noWrap/>
            <w:vAlign w:val="center"/>
            <w:hideMark/>
          </w:tcPr>
          <w:p w14:paraId="296760A6" w14:textId="77777777" w:rsidR="004F64EF" w:rsidRPr="003003C0" w:rsidRDefault="004F64EF" w:rsidP="00FD6B66">
            <w:pPr>
              <w:jc w:val="right"/>
              <w:rPr>
                <w:rFonts w:cs="Calibri"/>
                <w:color w:val="000000"/>
                <w:sz w:val="14"/>
                <w:szCs w:val="14"/>
              </w:rPr>
            </w:pPr>
            <w:r w:rsidRPr="003003C0">
              <w:rPr>
                <w:rFonts w:cs="Calibri"/>
                <w:color w:val="000000"/>
                <w:sz w:val="14"/>
                <w:szCs w:val="14"/>
              </w:rPr>
              <w:t>1</w:t>
            </w:r>
            <w:r>
              <w:rPr>
                <w:rFonts w:cs="Calibri"/>
                <w:color w:val="000000"/>
                <w:sz w:val="14"/>
                <w:szCs w:val="14"/>
              </w:rPr>
              <w:t>.</w:t>
            </w:r>
            <w:r w:rsidRPr="003003C0">
              <w:rPr>
                <w:rFonts w:cs="Calibri"/>
                <w:color w:val="000000"/>
                <w:sz w:val="14"/>
                <w:szCs w:val="14"/>
              </w:rPr>
              <w:t>4</w:t>
            </w:r>
          </w:p>
        </w:tc>
        <w:tc>
          <w:tcPr>
            <w:tcW w:w="722" w:type="dxa"/>
            <w:noWrap/>
            <w:vAlign w:val="center"/>
            <w:hideMark/>
          </w:tcPr>
          <w:p w14:paraId="7DF39A97" w14:textId="77777777" w:rsidR="004F64EF" w:rsidRPr="003003C0" w:rsidRDefault="004F64EF" w:rsidP="00FD6B66">
            <w:pPr>
              <w:jc w:val="right"/>
              <w:rPr>
                <w:rFonts w:cs="Calibri"/>
                <w:color w:val="000000"/>
                <w:sz w:val="14"/>
                <w:szCs w:val="14"/>
              </w:rPr>
            </w:pPr>
            <w:r w:rsidRPr="003003C0">
              <w:rPr>
                <w:rFonts w:cs="Calibri"/>
                <w:color w:val="000000"/>
                <w:sz w:val="14"/>
                <w:szCs w:val="14"/>
              </w:rPr>
              <w:t>1</w:t>
            </w:r>
            <w:r>
              <w:rPr>
                <w:rFonts w:cs="Calibri"/>
                <w:color w:val="000000"/>
                <w:sz w:val="14"/>
                <w:szCs w:val="14"/>
              </w:rPr>
              <w:t>.</w:t>
            </w:r>
            <w:r w:rsidRPr="003003C0">
              <w:rPr>
                <w:rFonts w:cs="Calibri"/>
                <w:color w:val="000000"/>
                <w:sz w:val="14"/>
                <w:szCs w:val="14"/>
              </w:rPr>
              <w:t>7</w:t>
            </w:r>
          </w:p>
        </w:tc>
        <w:tc>
          <w:tcPr>
            <w:tcW w:w="722" w:type="dxa"/>
            <w:noWrap/>
            <w:vAlign w:val="center"/>
            <w:hideMark/>
          </w:tcPr>
          <w:p w14:paraId="057E8E57" w14:textId="77777777" w:rsidR="004F64EF" w:rsidRPr="003003C0" w:rsidRDefault="004F64EF" w:rsidP="00FD6B66">
            <w:pPr>
              <w:jc w:val="right"/>
              <w:rPr>
                <w:rFonts w:cs="Calibri"/>
                <w:color w:val="000000"/>
                <w:sz w:val="14"/>
                <w:szCs w:val="14"/>
              </w:rPr>
            </w:pPr>
            <w:r w:rsidRPr="003003C0">
              <w:rPr>
                <w:rFonts w:cs="Calibri"/>
                <w:color w:val="000000"/>
                <w:sz w:val="14"/>
                <w:szCs w:val="14"/>
              </w:rPr>
              <w:t>1</w:t>
            </w:r>
            <w:r>
              <w:rPr>
                <w:rFonts w:cs="Calibri"/>
                <w:color w:val="000000"/>
                <w:sz w:val="14"/>
                <w:szCs w:val="14"/>
              </w:rPr>
              <w:t>.</w:t>
            </w:r>
            <w:r w:rsidRPr="003003C0">
              <w:rPr>
                <w:rFonts w:cs="Calibri"/>
                <w:color w:val="000000"/>
                <w:sz w:val="14"/>
                <w:szCs w:val="14"/>
              </w:rPr>
              <w:t>6</w:t>
            </w:r>
          </w:p>
        </w:tc>
        <w:tc>
          <w:tcPr>
            <w:tcW w:w="722" w:type="dxa"/>
            <w:noWrap/>
            <w:vAlign w:val="center"/>
            <w:hideMark/>
          </w:tcPr>
          <w:p w14:paraId="63276044" w14:textId="77777777" w:rsidR="004F64EF" w:rsidRPr="003003C0" w:rsidRDefault="004F64EF" w:rsidP="00FD6B66">
            <w:pPr>
              <w:jc w:val="right"/>
              <w:rPr>
                <w:rFonts w:cs="Calibri"/>
                <w:color w:val="000000"/>
                <w:sz w:val="14"/>
                <w:szCs w:val="14"/>
              </w:rPr>
            </w:pPr>
            <w:r w:rsidRPr="003003C0">
              <w:rPr>
                <w:rFonts w:cs="Calibri"/>
                <w:color w:val="000000"/>
                <w:sz w:val="14"/>
                <w:szCs w:val="14"/>
              </w:rPr>
              <w:t>1</w:t>
            </w:r>
            <w:r>
              <w:rPr>
                <w:rFonts w:cs="Calibri"/>
                <w:color w:val="000000"/>
                <w:sz w:val="14"/>
                <w:szCs w:val="14"/>
              </w:rPr>
              <w:t>.</w:t>
            </w:r>
            <w:r w:rsidRPr="003003C0">
              <w:rPr>
                <w:rFonts w:cs="Calibri"/>
                <w:color w:val="000000"/>
                <w:sz w:val="14"/>
                <w:szCs w:val="14"/>
              </w:rPr>
              <w:t>2</w:t>
            </w:r>
          </w:p>
        </w:tc>
      </w:tr>
      <w:tr w:rsidR="004F64EF" w:rsidRPr="003003C0" w14:paraId="6C8AEB9B" w14:textId="77777777" w:rsidTr="00FD6B66">
        <w:trPr>
          <w:trHeight w:val="20"/>
        </w:trPr>
        <w:tc>
          <w:tcPr>
            <w:tcW w:w="3964" w:type="dxa"/>
            <w:noWrap/>
            <w:vAlign w:val="center"/>
            <w:hideMark/>
          </w:tcPr>
          <w:p w14:paraId="6E1F161E" w14:textId="77777777" w:rsidR="004F64EF" w:rsidRPr="003003C0" w:rsidRDefault="004F64EF" w:rsidP="00FD6B66">
            <w:pPr>
              <w:jc w:val="left"/>
              <w:rPr>
                <w:rFonts w:cs="Calibri"/>
                <w:color w:val="000000"/>
                <w:sz w:val="14"/>
                <w:szCs w:val="14"/>
              </w:rPr>
            </w:pPr>
            <w:r w:rsidRPr="003003C0">
              <w:rPr>
                <w:rFonts w:cs="Calibri"/>
                <w:color w:val="000000"/>
                <w:sz w:val="14"/>
                <w:szCs w:val="14"/>
              </w:rPr>
              <w:t xml:space="preserve">19 - </w:t>
            </w:r>
            <w:r>
              <w:rPr>
                <w:rFonts w:cs="Calibri"/>
                <w:color w:val="000000"/>
                <w:sz w:val="14"/>
                <w:szCs w:val="14"/>
              </w:rPr>
              <w:t>A</w:t>
            </w:r>
            <w:r w:rsidRPr="007008F3">
              <w:rPr>
                <w:rFonts w:cs="Calibri"/>
                <w:color w:val="000000"/>
                <w:sz w:val="14"/>
                <w:szCs w:val="14"/>
              </w:rPr>
              <w:t>rms and ammunition; parts and accessories thereof</w:t>
            </w:r>
          </w:p>
        </w:tc>
        <w:tc>
          <w:tcPr>
            <w:tcW w:w="721" w:type="dxa"/>
            <w:noWrap/>
            <w:vAlign w:val="center"/>
            <w:hideMark/>
          </w:tcPr>
          <w:p w14:paraId="39A066C6" w14:textId="77777777" w:rsidR="004F64EF" w:rsidRPr="003003C0" w:rsidRDefault="004F64EF" w:rsidP="00FD6B66">
            <w:pPr>
              <w:jc w:val="right"/>
              <w:rPr>
                <w:rFonts w:cs="Calibri"/>
                <w:color w:val="000000"/>
                <w:sz w:val="14"/>
                <w:szCs w:val="14"/>
              </w:rPr>
            </w:pPr>
            <w:r w:rsidRPr="003003C0">
              <w:rPr>
                <w:rFonts w:cs="Calibri"/>
                <w:color w:val="000000"/>
                <w:sz w:val="14"/>
                <w:szCs w:val="14"/>
              </w:rPr>
              <w:t>0</w:t>
            </w:r>
            <w:r>
              <w:rPr>
                <w:rFonts w:cs="Calibri"/>
                <w:color w:val="000000"/>
                <w:sz w:val="14"/>
                <w:szCs w:val="14"/>
              </w:rPr>
              <w:t>.</w:t>
            </w:r>
            <w:r w:rsidRPr="003003C0">
              <w:rPr>
                <w:rFonts w:cs="Calibri"/>
                <w:color w:val="000000"/>
                <w:sz w:val="14"/>
                <w:szCs w:val="14"/>
              </w:rPr>
              <w:t>0</w:t>
            </w:r>
          </w:p>
        </w:tc>
        <w:tc>
          <w:tcPr>
            <w:tcW w:w="722" w:type="dxa"/>
            <w:noWrap/>
            <w:vAlign w:val="center"/>
            <w:hideMark/>
          </w:tcPr>
          <w:p w14:paraId="599386BB" w14:textId="77777777" w:rsidR="004F64EF" w:rsidRPr="003003C0" w:rsidRDefault="004F64EF" w:rsidP="00FD6B66">
            <w:pPr>
              <w:jc w:val="right"/>
              <w:rPr>
                <w:rFonts w:cs="Calibri"/>
                <w:color w:val="000000"/>
                <w:sz w:val="14"/>
                <w:szCs w:val="14"/>
              </w:rPr>
            </w:pPr>
            <w:r w:rsidRPr="003003C0">
              <w:rPr>
                <w:rFonts w:cs="Calibri"/>
                <w:color w:val="000000"/>
                <w:sz w:val="14"/>
                <w:szCs w:val="14"/>
              </w:rPr>
              <w:t>0</w:t>
            </w:r>
            <w:r>
              <w:rPr>
                <w:rFonts w:cs="Calibri"/>
                <w:color w:val="000000"/>
                <w:sz w:val="14"/>
                <w:szCs w:val="14"/>
              </w:rPr>
              <w:t>.</w:t>
            </w:r>
            <w:r w:rsidRPr="003003C0">
              <w:rPr>
                <w:rFonts w:cs="Calibri"/>
                <w:color w:val="000000"/>
                <w:sz w:val="14"/>
                <w:szCs w:val="14"/>
              </w:rPr>
              <w:t>0</w:t>
            </w:r>
          </w:p>
        </w:tc>
        <w:tc>
          <w:tcPr>
            <w:tcW w:w="722" w:type="dxa"/>
            <w:noWrap/>
            <w:vAlign w:val="center"/>
            <w:hideMark/>
          </w:tcPr>
          <w:p w14:paraId="0BA494BF" w14:textId="77777777" w:rsidR="004F64EF" w:rsidRPr="003003C0" w:rsidRDefault="004F64EF" w:rsidP="00FD6B66">
            <w:pPr>
              <w:jc w:val="right"/>
              <w:rPr>
                <w:rFonts w:cs="Calibri"/>
                <w:color w:val="000000"/>
                <w:sz w:val="14"/>
                <w:szCs w:val="14"/>
              </w:rPr>
            </w:pPr>
            <w:r w:rsidRPr="003003C0">
              <w:rPr>
                <w:rFonts w:cs="Calibri"/>
                <w:color w:val="000000"/>
                <w:sz w:val="14"/>
                <w:szCs w:val="14"/>
              </w:rPr>
              <w:t>0</w:t>
            </w:r>
            <w:r>
              <w:rPr>
                <w:rFonts w:cs="Calibri"/>
                <w:color w:val="000000"/>
                <w:sz w:val="14"/>
                <w:szCs w:val="14"/>
              </w:rPr>
              <w:t>.</w:t>
            </w:r>
            <w:r w:rsidRPr="003003C0">
              <w:rPr>
                <w:rFonts w:cs="Calibri"/>
                <w:color w:val="000000"/>
                <w:sz w:val="14"/>
                <w:szCs w:val="14"/>
              </w:rPr>
              <w:t>0</w:t>
            </w:r>
          </w:p>
        </w:tc>
        <w:tc>
          <w:tcPr>
            <w:tcW w:w="721" w:type="dxa"/>
            <w:noWrap/>
            <w:vAlign w:val="center"/>
            <w:hideMark/>
          </w:tcPr>
          <w:p w14:paraId="43EB0A93" w14:textId="77777777" w:rsidR="004F64EF" w:rsidRPr="003003C0" w:rsidRDefault="004F64EF" w:rsidP="00FD6B66">
            <w:pPr>
              <w:jc w:val="right"/>
              <w:rPr>
                <w:rFonts w:cs="Calibri"/>
                <w:color w:val="000000"/>
                <w:sz w:val="14"/>
                <w:szCs w:val="14"/>
              </w:rPr>
            </w:pPr>
            <w:r w:rsidRPr="003003C0">
              <w:rPr>
                <w:rFonts w:cs="Calibri"/>
                <w:color w:val="000000"/>
                <w:sz w:val="14"/>
                <w:szCs w:val="14"/>
              </w:rPr>
              <w:t>0</w:t>
            </w:r>
            <w:r>
              <w:rPr>
                <w:rFonts w:cs="Calibri"/>
                <w:color w:val="000000"/>
                <w:sz w:val="14"/>
                <w:szCs w:val="14"/>
              </w:rPr>
              <w:t>.</w:t>
            </w:r>
            <w:r w:rsidRPr="003003C0">
              <w:rPr>
                <w:rFonts w:cs="Calibri"/>
                <w:color w:val="000000"/>
                <w:sz w:val="14"/>
                <w:szCs w:val="14"/>
              </w:rPr>
              <w:t>0</w:t>
            </w:r>
          </w:p>
        </w:tc>
        <w:tc>
          <w:tcPr>
            <w:tcW w:w="722" w:type="dxa"/>
            <w:noWrap/>
            <w:vAlign w:val="center"/>
            <w:hideMark/>
          </w:tcPr>
          <w:p w14:paraId="2B01832B" w14:textId="77777777" w:rsidR="004F64EF" w:rsidRPr="003003C0" w:rsidRDefault="004F64EF" w:rsidP="00FD6B66">
            <w:pPr>
              <w:jc w:val="right"/>
              <w:rPr>
                <w:rFonts w:cs="Calibri"/>
                <w:color w:val="000000"/>
                <w:sz w:val="14"/>
                <w:szCs w:val="14"/>
              </w:rPr>
            </w:pPr>
            <w:r w:rsidRPr="003003C0">
              <w:rPr>
                <w:rFonts w:cs="Calibri"/>
                <w:color w:val="000000"/>
                <w:sz w:val="14"/>
                <w:szCs w:val="14"/>
              </w:rPr>
              <w:t>0</w:t>
            </w:r>
            <w:r>
              <w:rPr>
                <w:rFonts w:cs="Calibri"/>
                <w:color w:val="000000"/>
                <w:sz w:val="14"/>
                <w:szCs w:val="14"/>
              </w:rPr>
              <w:t>.</w:t>
            </w:r>
            <w:r w:rsidRPr="003003C0">
              <w:rPr>
                <w:rFonts w:cs="Calibri"/>
                <w:color w:val="000000"/>
                <w:sz w:val="14"/>
                <w:szCs w:val="14"/>
              </w:rPr>
              <w:t>0</w:t>
            </w:r>
          </w:p>
        </w:tc>
        <w:tc>
          <w:tcPr>
            <w:tcW w:w="722" w:type="dxa"/>
            <w:noWrap/>
            <w:vAlign w:val="center"/>
            <w:hideMark/>
          </w:tcPr>
          <w:p w14:paraId="7411D352" w14:textId="77777777" w:rsidR="004F64EF" w:rsidRPr="003003C0" w:rsidRDefault="004F64EF" w:rsidP="00FD6B66">
            <w:pPr>
              <w:jc w:val="right"/>
              <w:rPr>
                <w:rFonts w:cs="Calibri"/>
                <w:color w:val="000000"/>
                <w:sz w:val="14"/>
                <w:szCs w:val="14"/>
              </w:rPr>
            </w:pPr>
            <w:r w:rsidRPr="003003C0">
              <w:rPr>
                <w:rFonts w:cs="Calibri"/>
                <w:color w:val="000000"/>
                <w:sz w:val="14"/>
                <w:szCs w:val="14"/>
              </w:rPr>
              <w:t>0</w:t>
            </w:r>
            <w:r>
              <w:rPr>
                <w:rFonts w:cs="Calibri"/>
                <w:color w:val="000000"/>
                <w:sz w:val="14"/>
                <w:szCs w:val="14"/>
              </w:rPr>
              <w:t>.</w:t>
            </w:r>
            <w:r w:rsidRPr="003003C0">
              <w:rPr>
                <w:rFonts w:cs="Calibri"/>
                <w:color w:val="000000"/>
                <w:sz w:val="14"/>
                <w:szCs w:val="14"/>
              </w:rPr>
              <w:t>0</w:t>
            </w:r>
          </w:p>
        </w:tc>
        <w:tc>
          <w:tcPr>
            <w:tcW w:w="722" w:type="dxa"/>
            <w:noWrap/>
            <w:vAlign w:val="center"/>
            <w:hideMark/>
          </w:tcPr>
          <w:p w14:paraId="6AE4F4A9" w14:textId="77777777" w:rsidR="004F64EF" w:rsidRPr="003003C0" w:rsidRDefault="004F64EF" w:rsidP="00FD6B66">
            <w:pPr>
              <w:jc w:val="right"/>
              <w:rPr>
                <w:rFonts w:cs="Calibri"/>
                <w:color w:val="000000"/>
                <w:sz w:val="14"/>
                <w:szCs w:val="14"/>
              </w:rPr>
            </w:pPr>
            <w:r w:rsidRPr="003003C0">
              <w:rPr>
                <w:rFonts w:cs="Calibri"/>
                <w:color w:val="000000"/>
                <w:sz w:val="14"/>
                <w:szCs w:val="14"/>
              </w:rPr>
              <w:t>0</w:t>
            </w:r>
            <w:r>
              <w:rPr>
                <w:rFonts w:cs="Calibri"/>
                <w:color w:val="000000"/>
                <w:sz w:val="14"/>
                <w:szCs w:val="14"/>
              </w:rPr>
              <w:t>.</w:t>
            </w:r>
            <w:r w:rsidRPr="003003C0">
              <w:rPr>
                <w:rFonts w:cs="Calibri"/>
                <w:color w:val="000000"/>
                <w:sz w:val="14"/>
                <w:szCs w:val="14"/>
              </w:rPr>
              <w:t>0</w:t>
            </w:r>
          </w:p>
        </w:tc>
      </w:tr>
      <w:tr w:rsidR="004F64EF" w:rsidRPr="003003C0" w14:paraId="23285EDA" w14:textId="77777777" w:rsidTr="00FD6B66">
        <w:trPr>
          <w:cnfStyle w:val="000000010000" w:firstRow="0" w:lastRow="0" w:firstColumn="0" w:lastColumn="0" w:oddVBand="0" w:evenVBand="0" w:oddHBand="0" w:evenHBand="1" w:firstRowFirstColumn="0" w:firstRowLastColumn="0" w:lastRowFirstColumn="0" w:lastRowLastColumn="0"/>
          <w:trHeight w:val="20"/>
        </w:trPr>
        <w:tc>
          <w:tcPr>
            <w:tcW w:w="3964" w:type="dxa"/>
            <w:noWrap/>
            <w:vAlign w:val="center"/>
            <w:hideMark/>
          </w:tcPr>
          <w:p w14:paraId="287D8F06" w14:textId="77777777" w:rsidR="004F64EF" w:rsidRPr="003003C0" w:rsidRDefault="004F64EF" w:rsidP="00FD6B66">
            <w:pPr>
              <w:jc w:val="left"/>
              <w:rPr>
                <w:rFonts w:cs="Calibri"/>
                <w:color w:val="000000"/>
                <w:sz w:val="14"/>
                <w:szCs w:val="14"/>
              </w:rPr>
            </w:pPr>
            <w:r w:rsidRPr="003003C0">
              <w:rPr>
                <w:rFonts w:cs="Calibri"/>
                <w:color w:val="000000"/>
                <w:sz w:val="14"/>
                <w:szCs w:val="14"/>
              </w:rPr>
              <w:t xml:space="preserve">20 - </w:t>
            </w:r>
            <w:r>
              <w:rPr>
                <w:rFonts w:cs="Calibri"/>
                <w:color w:val="000000"/>
                <w:sz w:val="14"/>
                <w:szCs w:val="14"/>
              </w:rPr>
              <w:t>M</w:t>
            </w:r>
            <w:r w:rsidRPr="007008F3">
              <w:rPr>
                <w:rFonts w:cs="Calibri"/>
                <w:color w:val="000000"/>
                <w:sz w:val="14"/>
                <w:szCs w:val="14"/>
              </w:rPr>
              <w:t>iscellaneous manufactured articles</w:t>
            </w:r>
          </w:p>
        </w:tc>
        <w:tc>
          <w:tcPr>
            <w:tcW w:w="721" w:type="dxa"/>
            <w:noWrap/>
            <w:vAlign w:val="center"/>
            <w:hideMark/>
          </w:tcPr>
          <w:p w14:paraId="73E49A70" w14:textId="77777777" w:rsidR="004F64EF" w:rsidRPr="003003C0" w:rsidRDefault="004F64EF" w:rsidP="00FD6B66">
            <w:pPr>
              <w:jc w:val="right"/>
              <w:rPr>
                <w:rFonts w:cs="Calibri"/>
                <w:color w:val="000000"/>
                <w:sz w:val="14"/>
                <w:szCs w:val="14"/>
              </w:rPr>
            </w:pPr>
            <w:r w:rsidRPr="003003C0">
              <w:rPr>
                <w:rFonts w:cs="Calibri"/>
                <w:color w:val="000000"/>
                <w:sz w:val="14"/>
                <w:szCs w:val="14"/>
              </w:rPr>
              <w:t>2</w:t>
            </w:r>
            <w:r>
              <w:rPr>
                <w:rFonts w:cs="Calibri"/>
                <w:color w:val="000000"/>
                <w:sz w:val="14"/>
                <w:szCs w:val="14"/>
              </w:rPr>
              <w:t>.</w:t>
            </w:r>
            <w:r w:rsidRPr="003003C0">
              <w:rPr>
                <w:rFonts w:cs="Calibri"/>
                <w:color w:val="000000"/>
                <w:sz w:val="14"/>
                <w:szCs w:val="14"/>
              </w:rPr>
              <w:t>5</w:t>
            </w:r>
          </w:p>
        </w:tc>
        <w:tc>
          <w:tcPr>
            <w:tcW w:w="722" w:type="dxa"/>
            <w:noWrap/>
            <w:vAlign w:val="center"/>
            <w:hideMark/>
          </w:tcPr>
          <w:p w14:paraId="2405C2E9" w14:textId="77777777" w:rsidR="004F64EF" w:rsidRPr="003003C0" w:rsidRDefault="004F64EF" w:rsidP="00FD6B66">
            <w:pPr>
              <w:jc w:val="right"/>
              <w:rPr>
                <w:rFonts w:cs="Calibri"/>
                <w:color w:val="000000"/>
                <w:sz w:val="14"/>
                <w:szCs w:val="14"/>
              </w:rPr>
            </w:pPr>
            <w:r w:rsidRPr="003003C0">
              <w:rPr>
                <w:rFonts w:cs="Calibri"/>
                <w:color w:val="000000"/>
                <w:sz w:val="14"/>
                <w:szCs w:val="14"/>
              </w:rPr>
              <w:t>2</w:t>
            </w:r>
            <w:r>
              <w:rPr>
                <w:rFonts w:cs="Calibri"/>
                <w:color w:val="000000"/>
                <w:sz w:val="14"/>
                <w:szCs w:val="14"/>
              </w:rPr>
              <w:t>.</w:t>
            </w:r>
            <w:r w:rsidRPr="003003C0">
              <w:rPr>
                <w:rFonts w:cs="Calibri"/>
                <w:color w:val="000000"/>
                <w:sz w:val="14"/>
                <w:szCs w:val="14"/>
              </w:rPr>
              <w:t>7</w:t>
            </w:r>
          </w:p>
        </w:tc>
        <w:tc>
          <w:tcPr>
            <w:tcW w:w="722" w:type="dxa"/>
            <w:noWrap/>
            <w:vAlign w:val="center"/>
            <w:hideMark/>
          </w:tcPr>
          <w:p w14:paraId="0C1320D1" w14:textId="77777777" w:rsidR="004F64EF" w:rsidRPr="003003C0" w:rsidRDefault="004F64EF" w:rsidP="00FD6B66">
            <w:pPr>
              <w:jc w:val="right"/>
              <w:rPr>
                <w:rFonts w:cs="Calibri"/>
                <w:color w:val="000000"/>
                <w:sz w:val="14"/>
                <w:szCs w:val="14"/>
              </w:rPr>
            </w:pPr>
            <w:r w:rsidRPr="003003C0">
              <w:rPr>
                <w:rFonts w:cs="Calibri"/>
                <w:color w:val="000000"/>
                <w:sz w:val="14"/>
                <w:szCs w:val="14"/>
              </w:rPr>
              <w:t>2</w:t>
            </w:r>
            <w:r>
              <w:rPr>
                <w:rFonts w:cs="Calibri"/>
                <w:color w:val="000000"/>
                <w:sz w:val="14"/>
                <w:szCs w:val="14"/>
              </w:rPr>
              <w:t>.</w:t>
            </w:r>
            <w:r w:rsidRPr="003003C0">
              <w:rPr>
                <w:rFonts w:cs="Calibri"/>
                <w:color w:val="000000"/>
                <w:sz w:val="14"/>
                <w:szCs w:val="14"/>
              </w:rPr>
              <w:t>6</w:t>
            </w:r>
          </w:p>
        </w:tc>
        <w:tc>
          <w:tcPr>
            <w:tcW w:w="721" w:type="dxa"/>
            <w:noWrap/>
            <w:vAlign w:val="center"/>
            <w:hideMark/>
          </w:tcPr>
          <w:p w14:paraId="54DE9FEE" w14:textId="77777777" w:rsidR="004F64EF" w:rsidRPr="003003C0" w:rsidRDefault="004F64EF" w:rsidP="00FD6B66">
            <w:pPr>
              <w:jc w:val="right"/>
              <w:rPr>
                <w:rFonts w:cs="Calibri"/>
                <w:color w:val="000000"/>
                <w:sz w:val="14"/>
                <w:szCs w:val="14"/>
              </w:rPr>
            </w:pPr>
            <w:r w:rsidRPr="003003C0">
              <w:rPr>
                <w:rFonts w:cs="Calibri"/>
                <w:color w:val="000000"/>
                <w:sz w:val="14"/>
                <w:szCs w:val="14"/>
              </w:rPr>
              <w:t>2</w:t>
            </w:r>
            <w:r>
              <w:rPr>
                <w:rFonts w:cs="Calibri"/>
                <w:color w:val="000000"/>
                <w:sz w:val="14"/>
                <w:szCs w:val="14"/>
              </w:rPr>
              <w:t>.</w:t>
            </w:r>
            <w:r w:rsidRPr="003003C0">
              <w:rPr>
                <w:rFonts w:cs="Calibri"/>
                <w:color w:val="000000"/>
                <w:sz w:val="14"/>
                <w:szCs w:val="14"/>
              </w:rPr>
              <w:t>4</w:t>
            </w:r>
          </w:p>
        </w:tc>
        <w:tc>
          <w:tcPr>
            <w:tcW w:w="722" w:type="dxa"/>
            <w:noWrap/>
            <w:vAlign w:val="center"/>
            <w:hideMark/>
          </w:tcPr>
          <w:p w14:paraId="7BAA5B87" w14:textId="77777777" w:rsidR="004F64EF" w:rsidRPr="003003C0" w:rsidRDefault="004F64EF" w:rsidP="00FD6B66">
            <w:pPr>
              <w:jc w:val="right"/>
              <w:rPr>
                <w:rFonts w:cs="Calibri"/>
                <w:color w:val="000000"/>
                <w:sz w:val="14"/>
                <w:szCs w:val="14"/>
              </w:rPr>
            </w:pPr>
            <w:r w:rsidRPr="003003C0">
              <w:rPr>
                <w:rFonts w:cs="Calibri"/>
                <w:color w:val="000000"/>
                <w:sz w:val="14"/>
                <w:szCs w:val="14"/>
              </w:rPr>
              <w:t>2</w:t>
            </w:r>
            <w:r>
              <w:rPr>
                <w:rFonts w:cs="Calibri"/>
                <w:color w:val="000000"/>
                <w:sz w:val="14"/>
                <w:szCs w:val="14"/>
              </w:rPr>
              <w:t>.</w:t>
            </w:r>
            <w:r w:rsidRPr="003003C0">
              <w:rPr>
                <w:rFonts w:cs="Calibri"/>
                <w:color w:val="000000"/>
                <w:sz w:val="14"/>
                <w:szCs w:val="14"/>
              </w:rPr>
              <w:t>7</w:t>
            </w:r>
          </w:p>
        </w:tc>
        <w:tc>
          <w:tcPr>
            <w:tcW w:w="722" w:type="dxa"/>
            <w:noWrap/>
            <w:vAlign w:val="center"/>
            <w:hideMark/>
          </w:tcPr>
          <w:p w14:paraId="518643BA" w14:textId="77777777" w:rsidR="004F64EF" w:rsidRPr="003003C0" w:rsidRDefault="004F64EF" w:rsidP="00FD6B66">
            <w:pPr>
              <w:jc w:val="right"/>
              <w:rPr>
                <w:rFonts w:cs="Calibri"/>
                <w:color w:val="000000"/>
                <w:sz w:val="14"/>
                <w:szCs w:val="14"/>
              </w:rPr>
            </w:pPr>
            <w:r w:rsidRPr="003003C0">
              <w:rPr>
                <w:rFonts w:cs="Calibri"/>
                <w:color w:val="000000"/>
                <w:sz w:val="14"/>
                <w:szCs w:val="14"/>
              </w:rPr>
              <w:t>2</w:t>
            </w:r>
            <w:r>
              <w:rPr>
                <w:rFonts w:cs="Calibri"/>
                <w:color w:val="000000"/>
                <w:sz w:val="14"/>
                <w:szCs w:val="14"/>
              </w:rPr>
              <w:t>.</w:t>
            </w:r>
            <w:r w:rsidRPr="003003C0">
              <w:rPr>
                <w:rFonts w:cs="Calibri"/>
                <w:color w:val="000000"/>
                <w:sz w:val="14"/>
                <w:szCs w:val="14"/>
              </w:rPr>
              <w:t>2</w:t>
            </w:r>
          </w:p>
        </w:tc>
        <w:tc>
          <w:tcPr>
            <w:tcW w:w="722" w:type="dxa"/>
            <w:noWrap/>
            <w:vAlign w:val="center"/>
            <w:hideMark/>
          </w:tcPr>
          <w:p w14:paraId="26E10FD0" w14:textId="77777777" w:rsidR="004F64EF" w:rsidRPr="003003C0" w:rsidRDefault="004F64EF" w:rsidP="00FD6B66">
            <w:pPr>
              <w:jc w:val="right"/>
              <w:rPr>
                <w:rFonts w:cs="Calibri"/>
                <w:color w:val="000000"/>
                <w:sz w:val="14"/>
                <w:szCs w:val="14"/>
              </w:rPr>
            </w:pPr>
            <w:r w:rsidRPr="003003C0">
              <w:rPr>
                <w:rFonts w:cs="Calibri"/>
                <w:color w:val="000000"/>
                <w:sz w:val="14"/>
                <w:szCs w:val="14"/>
              </w:rPr>
              <w:t>1</w:t>
            </w:r>
            <w:r>
              <w:rPr>
                <w:rFonts w:cs="Calibri"/>
                <w:color w:val="000000"/>
                <w:sz w:val="14"/>
                <w:szCs w:val="14"/>
              </w:rPr>
              <w:t>.</w:t>
            </w:r>
            <w:r w:rsidRPr="003003C0">
              <w:rPr>
                <w:rFonts w:cs="Calibri"/>
                <w:color w:val="000000"/>
                <w:sz w:val="14"/>
                <w:szCs w:val="14"/>
              </w:rPr>
              <w:t>8</w:t>
            </w:r>
          </w:p>
        </w:tc>
      </w:tr>
      <w:tr w:rsidR="004F64EF" w:rsidRPr="003003C0" w14:paraId="0543E902" w14:textId="77777777" w:rsidTr="00FD6B66">
        <w:trPr>
          <w:trHeight w:val="20"/>
        </w:trPr>
        <w:tc>
          <w:tcPr>
            <w:tcW w:w="3964" w:type="dxa"/>
            <w:noWrap/>
            <w:vAlign w:val="center"/>
            <w:hideMark/>
          </w:tcPr>
          <w:p w14:paraId="5ECBA530" w14:textId="77777777" w:rsidR="004F64EF" w:rsidRPr="003003C0" w:rsidRDefault="004F64EF" w:rsidP="00A839D1">
            <w:pPr>
              <w:tabs>
                <w:tab w:val="left" w:pos="227"/>
              </w:tabs>
              <w:ind w:left="227" w:hanging="227"/>
              <w:jc w:val="left"/>
              <w:rPr>
                <w:rFonts w:cs="Calibri"/>
                <w:color w:val="000000"/>
                <w:sz w:val="14"/>
                <w:szCs w:val="14"/>
              </w:rPr>
            </w:pPr>
            <w:r w:rsidRPr="003003C0">
              <w:rPr>
                <w:rFonts w:cs="Calibri"/>
                <w:color w:val="000000"/>
                <w:sz w:val="14"/>
                <w:szCs w:val="14"/>
              </w:rPr>
              <w:tab/>
              <w:t xml:space="preserve">94. </w:t>
            </w:r>
            <w:r w:rsidRPr="007008F3">
              <w:rPr>
                <w:rFonts w:cs="Calibri"/>
                <w:color w:val="000000"/>
                <w:sz w:val="14"/>
                <w:szCs w:val="14"/>
              </w:rPr>
              <w:t>Furniture; bedding, mattresses, mattress supports, cushions and similar stuffed furnishings</w:t>
            </w:r>
          </w:p>
        </w:tc>
        <w:tc>
          <w:tcPr>
            <w:tcW w:w="721" w:type="dxa"/>
            <w:noWrap/>
            <w:vAlign w:val="center"/>
            <w:hideMark/>
          </w:tcPr>
          <w:p w14:paraId="458D1407" w14:textId="77777777" w:rsidR="004F64EF" w:rsidRPr="003003C0" w:rsidRDefault="004F64EF" w:rsidP="00FD6B66">
            <w:pPr>
              <w:jc w:val="right"/>
              <w:rPr>
                <w:rFonts w:cs="Calibri"/>
                <w:color w:val="000000"/>
                <w:sz w:val="14"/>
                <w:szCs w:val="14"/>
              </w:rPr>
            </w:pPr>
            <w:r w:rsidRPr="003003C0">
              <w:rPr>
                <w:rFonts w:cs="Calibri"/>
                <w:color w:val="000000"/>
                <w:sz w:val="14"/>
                <w:szCs w:val="14"/>
              </w:rPr>
              <w:t>1</w:t>
            </w:r>
            <w:r>
              <w:rPr>
                <w:rFonts w:cs="Calibri"/>
                <w:color w:val="000000"/>
                <w:sz w:val="14"/>
                <w:szCs w:val="14"/>
              </w:rPr>
              <w:t>.</w:t>
            </w:r>
            <w:r w:rsidRPr="003003C0">
              <w:rPr>
                <w:rFonts w:cs="Calibri"/>
                <w:color w:val="000000"/>
                <w:sz w:val="14"/>
                <w:szCs w:val="14"/>
              </w:rPr>
              <w:t>3</w:t>
            </w:r>
          </w:p>
        </w:tc>
        <w:tc>
          <w:tcPr>
            <w:tcW w:w="722" w:type="dxa"/>
            <w:noWrap/>
            <w:vAlign w:val="center"/>
            <w:hideMark/>
          </w:tcPr>
          <w:p w14:paraId="50463878" w14:textId="77777777" w:rsidR="004F64EF" w:rsidRPr="003003C0" w:rsidRDefault="004F64EF" w:rsidP="00FD6B66">
            <w:pPr>
              <w:jc w:val="right"/>
              <w:rPr>
                <w:rFonts w:cs="Calibri"/>
                <w:color w:val="000000"/>
                <w:sz w:val="14"/>
                <w:szCs w:val="14"/>
              </w:rPr>
            </w:pPr>
            <w:r w:rsidRPr="003003C0">
              <w:rPr>
                <w:rFonts w:cs="Calibri"/>
                <w:color w:val="000000"/>
                <w:sz w:val="14"/>
                <w:szCs w:val="14"/>
              </w:rPr>
              <w:t>1</w:t>
            </w:r>
            <w:r>
              <w:rPr>
                <w:rFonts w:cs="Calibri"/>
                <w:color w:val="000000"/>
                <w:sz w:val="14"/>
                <w:szCs w:val="14"/>
              </w:rPr>
              <w:t>.</w:t>
            </w:r>
            <w:r w:rsidRPr="003003C0">
              <w:rPr>
                <w:rFonts w:cs="Calibri"/>
                <w:color w:val="000000"/>
                <w:sz w:val="14"/>
                <w:szCs w:val="14"/>
              </w:rPr>
              <w:t>5</w:t>
            </w:r>
          </w:p>
        </w:tc>
        <w:tc>
          <w:tcPr>
            <w:tcW w:w="722" w:type="dxa"/>
            <w:noWrap/>
            <w:vAlign w:val="center"/>
            <w:hideMark/>
          </w:tcPr>
          <w:p w14:paraId="30F12AF6" w14:textId="77777777" w:rsidR="004F64EF" w:rsidRPr="003003C0" w:rsidRDefault="004F64EF" w:rsidP="00FD6B66">
            <w:pPr>
              <w:jc w:val="right"/>
              <w:rPr>
                <w:rFonts w:cs="Calibri"/>
                <w:color w:val="000000"/>
                <w:sz w:val="14"/>
                <w:szCs w:val="14"/>
              </w:rPr>
            </w:pPr>
            <w:r w:rsidRPr="003003C0">
              <w:rPr>
                <w:rFonts w:cs="Calibri"/>
                <w:color w:val="000000"/>
                <w:sz w:val="14"/>
                <w:szCs w:val="14"/>
              </w:rPr>
              <w:t>1</w:t>
            </w:r>
            <w:r>
              <w:rPr>
                <w:rFonts w:cs="Calibri"/>
                <w:color w:val="000000"/>
                <w:sz w:val="14"/>
                <w:szCs w:val="14"/>
              </w:rPr>
              <w:t>.</w:t>
            </w:r>
            <w:r w:rsidRPr="003003C0">
              <w:rPr>
                <w:rFonts w:cs="Calibri"/>
                <w:color w:val="000000"/>
                <w:sz w:val="14"/>
                <w:szCs w:val="14"/>
              </w:rPr>
              <w:t>4</w:t>
            </w:r>
          </w:p>
        </w:tc>
        <w:tc>
          <w:tcPr>
            <w:tcW w:w="721" w:type="dxa"/>
            <w:noWrap/>
            <w:vAlign w:val="center"/>
            <w:hideMark/>
          </w:tcPr>
          <w:p w14:paraId="2F09F144" w14:textId="77777777" w:rsidR="004F64EF" w:rsidRPr="003003C0" w:rsidRDefault="004F64EF" w:rsidP="00FD6B66">
            <w:pPr>
              <w:jc w:val="right"/>
              <w:rPr>
                <w:rFonts w:cs="Calibri"/>
                <w:color w:val="000000"/>
                <w:sz w:val="14"/>
                <w:szCs w:val="14"/>
              </w:rPr>
            </w:pPr>
            <w:r w:rsidRPr="003003C0">
              <w:rPr>
                <w:rFonts w:cs="Calibri"/>
                <w:color w:val="000000"/>
                <w:sz w:val="14"/>
                <w:szCs w:val="14"/>
              </w:rPr>
              <w:t>1</w:t>
            </w:r>
            <w:r>
              <w:rPr>
                <w:rFonts w:cs="Calibri"/>
                <w:color w:val="000000"/>
                <w:sz w:val="14"/>
                <w:szCs w:val="14"/>
              </w:rPr>
              <w:t>.</w:t>
            </w:r>
            <w:r w:rsidRPr="003003C0">
              <w:rPr>
                <w:rFonts w:cs="Calibri"/>
                <w:color w:val="000000"/>
                <w:sz w:val="14"/>
                <w:szCs w:val="14"/>
              </w:rPr>
              <w:t>3</w:t>
            </w:r>
          </w:p>
        </w:tc>
        <w:tc>
          <w:tcPr>
            <w:tcW w:w="722" w:type="dxa"/>
            <w:noWrap/>
            <w:vAlign w:val="center"/>
            <w:hideMark/>
          </w:tcPr>
          <w:p w14:paraId="2B7985A3" w14:textId="77777777" w:rsidR="004F64EF" w:rsidRPr="003003C0" w:rsidRDefault="004F64EF" w:rsidP="00FD6B66">
            <w:pPr>
              <w:jc w:val="right"/>
              <w:rPr>
                <w:rFonts w:cs="Calibri"/>
                <w:color w:val="000000"/>
                <w:sz w:val="14"/>
                <w:szCs w:val="14"/>
              </w:rPr>
            </w:pPr>
            <w:r w:rsidRPr="003003C0">
              <w:rPr>
                <w:rFonts w:cs="Calibri"/>
                <w:color w:val="000000"/>
                <w:sz w:val="14"/>
                <w:szCs w:val="14"/>
              </w:rPr>
              <w:t>1</w:t>
            </w:r>
            <w:r>
              <w:rPr>
                <w:rFonts w:cs="Calibri"/>
                <w:color w:val="000000"/>
                <w:sz w:val="14"/>
                <w:szCs w:val="14"/>
              </w:rPr>
              <w:t>.</w:t>
            </w:r>
            <w:r w:rsidRPr="003003C0">
              <w:rPr>
                <w:rFonts w:cs="Calibri"/>
                <w:color w:val="000000"/>
                <w:sz w:val="14"/>
                <w:szCs w:val="14"/>
              </w:rPr>
              <w:t>5</w:t>
            </w:r>
          </w:p>
        </w:tc>
        <w:tc>
          <w:tcPr>
            <w:tcW w:w="722" w:type="dxa"/>
            <w:noWrap/>
            <w:vAlign w:val="center"/>
            <w:hideMark/>
          </w:tcPr>
          <w:p w14:paraId="70088013" w14:textId="77777777" w:rsidR="004F64EF" w:rsidRPr="003003C0" w:rsidRDefault="004F64EF" w:rsidP="00FD6B66">
            <w:pPr>
              <w:jc w:val="right"/>
              <w:rPr>
                <w:rFonts w:cs="Calibri"/>
                <w:color w:val="000000"/>
                <w:sz w:val="14"/>
                <w:szCs w:val="14"/>
              </w:rPr>
            </w:pPr>
            <w:r w:rsidRPr="003003C0">
              <w:rPr>
                <w:rFonts w:cs="Calibri"/>
                <w:color w:val="000000"/>
                <w:sz w:val="14"/>
                <w:szCs w:val="14"/>
              </w:rPr>
              <w:t>1</w:t>
            </w:r>
            <w:r>
              <w:rPr>
                <w:rFonts w:cs="Calibri"/>
                <w:color w:val="000000"/>
                <w:sz w:val="14"/>
                <w:szCs w:val="14"/>
              </w:rPr>
              <w:t>.</w:t>
            </w:r>
            <w:r w:rsidRPr="003003C0">
              <w:rPr>
                <w:rFonts w:cs="Calibri"/>
                <w:color w:val="000000"/>
                <w:sz w:val="14"/>
                <w:szCs w:val="14"/>
              </w:rPr>
              <w:t>1</w:t>
            </w:r>
          </w:p>
        </w:tc>
        <w:tc>
          <w:tcPr>
            <w:tcW w:w="722" w:type="dxa"/>
            <w:noWrap/>
            <w:vAlign w:val="center"/>
            <w:hideMark/>
          </w:tcPr>
          <w:p w14:paraId="11264C25" w14:textId="77777777" w:rsidR="004F64EF" w:rsidRPr="003003C0" w:rsidRDefault="004F64EF" w:rsidP="00FD6B66">
            <w:pPr>
              <w:jc w:val="right"/>
              <w:rPr>
                <w:rFonts w:cs="Calibri"/>
                <w:color w:val="000000"/>
                <w:sz w:val="14"/>
                <w:szCs w:val="14"/>
              </w:rPr>
            </w:pPr>
            <w:r w:rsidRPr="003003C0">
              <w:rPr>
                <w:rFonts w:cs="Calibri"/>
                <w:color w:val="000000"/>
                <w:sz w:val="14"/>
                <w:szCs w:val="14"/>
              </w:rPr>
              <w:t>1</w:t>
            </w:r>
            <w:r>
              <w:rPr>
                <w:rFonts w:cs="Calibri"/>
                <w:color w:val="000000"/>
                <w:sz w:val="14"/>
                <w:szCs w:val="14"/>
              </w:rPr>
              <w:t>.</w:t>
            </w:r>
            <w:r w:rsidRPr="003003C0">
              <w:rPr>
                <w:rFonts w:cs="Calibri"/>
                <w:color w:val="000000"/>
                <w:sz w:val="14"/>
                <w:szCs w:val="14"/>
              </w:rPr>
              <w:t>0</w:t>
            </w:r>
          </w:p>
        </w:tc>
      </w:tr>
      <w:tr w:rsidR="004F64EF" w:rsidRPr="003003C0" w14:paraId="51978B47" w14:textId="77777777" w:rsidTr="00FD6B66">
        <w:trPr>
          <w:cnfStyle w:val="000000010000" w:firstRow="0" w:lastRow="0" w:firstColumn="0" w:lastColumn="0" w:oddVBand="0" w:evenVBand="0" w:oddHBand="0" w:evenHBand="1" w:firstRowFirstColumn="0" w:firstRowLastColumn="0" w:lastRowFirstColumn="0" w:lastRowLastColumn="0"/>
          <w:trHeight w:val="20"/>
        </w:trPr>
        <w:tc>
          <w:tcPr>
            <w:tcW w:w="3964" w:type="dxa"/>
            <w:noWrap/>
            <w:vAlign w:val="center"/>
            <w:hideMark/>
          </w:tcPr>
          <w:p w14:paraId="194EA2BB" w14:textId="77777777" w:rsidR="004F64EF" w:rsidRPr="003003C0" w:rsidRDefault="004F64EF" w:rsidP="00FD6B66">
            <w:pPr>
              <w:jc w:val="left"/>
              <w:rPr>
                <w:rFonts w:cs="Calibri"/>
                <w:color w:val="000000"/>
                <w:sz w:val="14"/>
                <w:szCs w:val="14"/>
              </w:rPr>
            </w:pPr>
            <w:r w:rsidRPr="003003C0">
              <w:rPr>
                <w:rFonts w:cs="Calibri"/>
                <w:color w:val="000000"/>
                <w:sz w:val="14"/>
                <w:szCs w:val="14"/>
              </w:rPr>
              <w:t xml:space="preserve">21 - </w:t>
            </w:r>
            <w:r>
              <w:rPr>
                <w:rFonts w:cs="Calibri"/>
                <w:color w:val="000000"/>
                <w:sz w:val="14"/>
                <w:szCs w:val="14"/>
              </w:rPr>
              <w:t>W</w:t>
            </w:r>
            <w:r w:rsidRPr="007008F3">
              <w:rPr>
                <w:rFonts w:cs="Calibri"/>
                <w:color w:val="000000"/>
                <w:sz w:val="14"/>
                <w:szCs w:val="14"/>
              </w:rPr>
              <w:t>orks of art, collectors' pieces and antiques</w:t>
            </w:r>
          </w:p>
        </w:tc>
        <w:tc>
          <w:tcPr>
            <w:tcW w:w="721" w:type="dxa"/>
            <w:noWrap/>
            <w:vAlign w:val="center"/>
            <w:hideMark/>
          </w:tcPr>
          <w:p w14:paraId="78C5B1D4" w14:textId="77777777" w:rsidR="004F64EF" w:rsidRPr="003003C0" w:rsidRDefault="004F64EF" w:rsidP="00FD6B66">
            <w:pPr>
              <w:jc w:val="right"/>
              <w:rPr>
                <w:rFonts w:cs="Calibri"/>
                <w:color w:val="000000"/>
                <w:sz w:val="14"/>
                <w:szCs w:val="14"/>
              </w:rPr>
            </w:pPr>
            <w:r w:rsidRPr="003003C0">
              <w:rPr>
                <w:rFonts w:cs="Calibri"/>
                <w:color w:val="000000"/>
                <w:sz w:val="14"/>
                <w:szCs w:val="14"/>
              </w:rPr>
              <w:t>0</w:t>
            </w:r>
            <w:r>
              <w:rPr>
                <w:rFonts w:cs="Calibri"/>
                <w:color w:val="000000"/>
                <w:sz w:val="14"/>
                <w:szCs w:val="14"/>
              </w:rPr>
              <w:t>.</w:t>
            </w:r>
            <w:r w:rsidRPr="003003C0">
              <w:rPr>
                <w:rFonts w:cs="Calibri"/>
                <w:color w:val="000000"/>
                <w:sz w:val="14"/>
                <w:szCs w:val="14"/>
              </w:rPr>
              <w:t>0</w:t>
            </w:r>
          </w:p>
        </w:tc>
        <w:tc>
          <w:tcPr>
            <w:tcW w:w="722" w:type="dxa"/>
            <w:noWrap/>
            <w:vAlign w:val="center"/>
            <w:hideMark/>
          </w:tcPr>
          <w:p w14:paraId="5344004F" w14:textId="77777777" w:rsidR="004F64EF" w:rsidRPr="003003C0" w:rsidRDefault="004F64EF" w:rsidP="00FD6B66">
            <w:pPr>
              <w:jc w:val="right"/>
              <w:rPr>
                <w:rFonts w:cs="Calibri"/>
                <w:color w:val="000000"/>
                <w:sz w:val="14"/>
                <w:szCs w:val="14"/>
              </w:rPr>
            </w:pPr>
            <w:r w:rsidRPr="003003C0">
              <w:rPr>
                <w:rFonts w:cs="Calibri"/>
                <w:color w:val="000000"/>
                <w:sz w:val="14"/>
                <w:szCs w:val="14"/>
              </w:rPr>
              <w:t>0</w:t>
            </w:r>
            <w:r>
              <w:rPr>
                <w:rFonts w:cs="Calibri"/>
                <w:color w:val="000000"/>
                <w:sz w:val="14"/>
                <w:szCs w:val="14"/>
              </w:rPr>
              <w:t>.</w:t>
            </w:r>
            <w:r w:rsidRPr="003003C0">
              <w:rPr>
                <w:rFonts w:cs="Calibri"/>
                <w:color w:val="000000"/>
                <w:sz w:val="14"/>
                <w:szCs w:val="14"/>
              </w:rPr>
              <w:t>0</w:t>
            </w:r>
          </w:p>
        </w:tc>
        <w:tc>
          <w:tcPr>
            <w:tcW w:w="722" w:type="dxa"/>
            <w:noWrap/>
            <w:vAlign w:val="center"/>
            <w:hideMark/>
          </w:tcPr>
          <w:p w14:paraId="72CCBEEC" w14:textId="77777777" w:rsidR="004F64EF" w:rsidRPr="003003C0" w:rsidRDefault="004F64EF" w:rsidP="00FD6B66">
            <w:pPr>
              <w:jc w:val="right"/>
              <w:rPr>
                <w:rFonts w:cs="Calibri"/>
                <w:color w:val="000000"/>
                <w:sz w:val="14"/>
                <w:szCs w:val="14"/>
              </w:rPr>
            </w:pPr>
            <w:r w:rsidRPr="003003C0">
              <w:rPr>
                <w:rFonts w:cs="Calibri"/>
                <w:color w:val="000000"/>
                <w:sz w:val="14"/>
                <w:szCs w:val="14"/>
              </w:rPr>
              <w:t>0</w:t>
            </w:r>
            <w:r>
              <w:rPr>
                <w:rFonts w:cs="Calibri"/>
                <w:color w:val="000000"/>
                <w:sz w:val="14"/>
                <w:szCs w:val="14"/>
              </w:rPr>
              <w:t>.</w:t>
            </w:r>
            <w:r w:rsidRPr="003003C0">
              <w:rPr>
                <w:rFonts w:cs="Calibri"/>
                <w:color w:val="000000"/>
                <w:sz w:val="14"/>
                <w:szCs w:val="14"/>
              </w:rPr>
              <w:t>0</w:t>
            </w:r>
          </w:p>
        </w:tc>
        <w:tc>
          <w:tcPr>
            <w:tcW w:w="721" w:type="dxa"/>
            <w:noWrap/>
            <w:vAlign w:val="center"/>
            <w:hideMark/>
          </w:tcPr>
          <w:p w14:paraId="33C556FA" w14:textId="77777777" w:rsidR="004F64EF" w:rsidRPr="003003C0" w:rsidRDefault="004F64EF" w:rsidP="00FD6B66">
            <w:pPr>
              <w:jc w:val="right"/>
              <w:rPr>
                <w:rFonts w:cs="Calibri"/>
                <w:color w:val="000000"/>
                <w:sz w:val="14"/>
                <w:szCs w:val="14"/>
              </w:rPr>
            </w:pPr>
            <w:r w:rsidRPr="003003C0">
              <w:rPr>
                <w:rFonts w:cs="Calibri"/>
                <w:color w:val="000000"/>
                <w:sz w:val="14"/>
                <w:szCs w:val="14"/>
              </w:rPr>
              <w:t>0</w:t>
            </w:r>
            <w:r>
              <w:rPr>
                <w:rFonts w:cs="Calibri"/>
                <w:color w:val="000000"/>
                <w:sz w:val="14"/>
                <w:szCs w:val="14"/>
              </w:rPr>
              <w:t>.</w:t>
            </w:r>
            <w:r w:rsidRPr="003003C0">
              <w:rPr>
                <w:rFonts w:cs="Calibri"/>
                <w:color w:val="000000"/>
                <w:sz w:val="14"/>
                <w:szCs w:val="14"/>
              </w:rPr>
              <w:t>0</w:t>
            </w:r>
          </w:p>
        </w:tc>
        <w:tc>
          <w:tcPr>
            <w:tcW w:w="722" w:type="dxa"/>
            <w:noWrap/>
            <w:vAlign w:val="center"/>
            <w:hideMark/>
          </w:tcPr>
          <w:p w14:paraId="34A67662" w14:textId="77777777" w:rsidR="004F64EF" w:rsidRPr="003003C0" w:rsidRDefault="004F64EF" w:rsidP="00FD6B66">
            <w:pPr>
              <w:jc w:val="right"/>
              <w:rPr>
                <w:rFonts w:cs="Calibri"/>
                <w:color w:val="000000"/>
                <w:sz w:val="14"/>
                <w:szCs w:val="14"/>
              </w:rPr>
            </w:pPr>
            <w:r w:rsidRPr="003003C0">
              <w:rPr>
                <w:rFonts w:cs="Calibri"/>
                <w:color w:val="000000"/>
                <w:sz w:val="14"/>
                <w:szCs w:val="14"/>
              </w:rPr>
              <w:t>0</w:t>
            </w:r>
            <w:r>
              <w:rPr>
                <w:rFonts w:cs="Calibri"/>
                <w:color w:val="000000"/>
                <w:sz w:val="14"/>
                <w:szCs w:val="14"/>
              </w:rPr>
              <w:t>.</w:t>
            </w:r>
            <w:r w:rsidRPr="003003C0">
              <w:rPr>
                <w:rFonts w:cs="Calibri"/>
                <w:color w:val="000000"/>
                <w:sz w:val="14"/>
                <w:szCs w:val="14"/>
              </w:rPr>
              <w:t>0</w:t>
            </w:r>
          </w:p>
        </w:tc>
        <w:tc>
          <w:tcPr>
            <w:tcW w:w="722" w:type="dxa"/>
            <w:noWrap/>
            <w:vAlign w:val="center"/>
            <w:hideMark/>
          </w:tcPr>
          <w:p w14:paraId="711864F7" w14:textId="77777777" w:rsidR="004F64EF" w:rsidRPr="003003C0" w:rsidRDefault="004F64EF" w:rsidP="00FD6B66">
            <w:pPr>
              <w:jc w:val="right"/>
              <w:rPr>
                <w:rFonts w:cs="Calibri"/>
                <w:color w:val="000000"/>
                <w:sz w:val="14"/>
                <w:szCs w:val="14"/>
              </w:rPr>
            </w:pPr>
            <w:r w:rsidRPr="003003C0">
              <w:rPr>
                <w:rFonts w:cs="Calibri"/>
                <w:color w:val="000000"/>
                <w:sz w:val="14"/>
                <w:szCs w:val="14"/>
              </w:rPr>
              <w:t>0</w:t>
            </w:r>
            <w:r>
              <w:rPr>
                <w:rFonts w:cs="Calibri"/>
                <w:color w:val="000000"/>
                <w:sz w:val="14"/>
                <w:szCs w:val="14"/>
              </w:rPr>
              <w:t>.</w:t>
            </w:r>
            <w:r w:rsidRPr="003003C0">
              <w:rPr>
                <w:rFonts w:cs="Calibri"/>
                <w:color w:val="000000"/>
                <w:sz w:val="14"/>
                <w:szCs w:val="14"/>
              </w:rPr>
              <w:t>0</w:t>
            </w:r>
          </w:p>
        </w:tc>
        <w:tc>
          <w:tcPr>
            <w:tcW w:w="722" w:type="dxa"/>
            <w:noWrap/>
            <w:vAlign w:val="center"/>
            <w:hideMark/>
          </w:tcPr>
          <w:p w14:paraId="4FE64FFD" w14:textId="77777777" w:rsidR="004F64EF" w:rsidRPr="003003C0" w:rsidRDefault="004F64EF" w:rsidP="00FD6B66">
            <w:pPr>
              <w:jc w:val="right"/>
              <w:rPr>
                <w:rFonts w:cs="Calibri"/>
                <w:color w:val="000000"/>
                <w:sz w:val="14"/>
                <w:szCs w:val="14"/>
              </w:rPr>
            </w:pPr>
            <w:r w:rsidRPr="003003C0">
              <w:rPr>
                <w:rFonts w:cs="Calibri"/>
                <w:color w:val="000000"/>
                <w:sz w:val="14"/>
                <w:szCs w:val="14"/>
              </w:rPr>
              <w:t>0</w:t>
            </w:r>
            <w:r>
              <w:rPr>
                <w:rFonts w:cs="Calibri"/>
                <w:color w:val="000000"/>
                <w:sz w:val="14"/>
                <w:szCs w:val="14"/>
              </w:rPr>
              <w:t>.</w:t>
            </w:r>
            <w:r w:rsidRPr="003003C0">
              <w:rPr>
                <w:rFonts w:cs="Calibri"/>
                <w:color w:val="000000"/>
                <w:sz w:val="14"/>
                <w:szCs w:val="14"/>
              </w:rPr>
              <w:t>0</w:t>
            </w:r>
          </w:p>
        </w:tc>
      </w:tr>
    </w:tbl>
    <w:p w14:paraId="3DC711FD" w14:textId="77777777" w:rsidR="004F64EF" w:rsidRPr="003003C0" w:rsidRDefault="004F64EF" w:rsidP="00B91D96">
      <w:pPr>
        <w:pStyle w:val="NoteText"/>
        <w:spacing w:before="120" w:after="240"/>
      </w:pPr>
      <w:r w:rsidRPr="007008F3">
        <w:t>Source:</w:t>
      </w:r>
      <w:r w:rsidRPr="007008F3">
        <w:tab/>
        <w:t>WTO Secretariat calculations based on data from COMEX</w:t>
      </w:r>
      <w:r w:rsidRPr="003003C0">
        <w:t>.</w:t>
      </w:r>
    </w:p>
    <w:p w14:paraId="1909DFAB" w14:textId="77777777" w:rsidR="004F64EF" w:rsidRPr="003003C0" w:rsidRDefault="004F64EF" w:rsidP="00B91D96">
      <w:r w:rsidRPr="003003C0">
        <w:br w:type="page"/>
      </w:r>
    </w:p>
    <w:p w14:paraId="2AD664E9" w14:textId="77777777" w:rsidR="004F64EF" w:rsidRPr="003003C0" w:rsidRDefault="004F64EF" w:rsidP="00B91D96">
      <w:pPr>
        <w:pStyle w:val="Caption"/>
      </w:pPr>
      <w:bookmarkStart w:id="427" w:name="_Toc114735865"/>
      <w:bookmarkStart w:id="428" w:name="_Toc117004283"/>
      <w:r>
        <w:lastRenderedPageBreak/>
        <w:t>Table</w:t>
      </w:r>
      <w:r w:rsidRPr="003003C0">
        <w:t xml:space="preserve"> A1.</w:t>
      </w:r>
      <w:r w:rsidR="00BD37F2">
        <w:fldChar w:fldCharType="begin"/>
      </w:r>
      <w:r w:rsidR="00BD37F2">
        <w:instrText xml:space="preserve"> SEQ Table_A1. \* ARABIC </w:instrText>
      </w:r>
      <w:r w:rsidR="00BD37F2">
        <w:fldChar w:fldCharType="separate"/>
      </w:r>
      <w:r w:rsidRPr="003003C0">
        <w:rPr>
          <w:noProof/>
        </w:rPr>
        <w:t>5</w:t>
      </w:r>
      <w:r w:rsidR="00BD37F2">
        <w:rPr>
          <w:noProof/>
        </w:rPr>
        <w:fldChar w:fldCharType="end"/>
      </w:r>
      <w:r w:rsidRPr="003003C0">
        <w:t xml:space="preserve"> </w:t>
      </w:r>
      <w:r>
        <w:t>Free zone i</w:t>
      </w:r>
      <w:r w:rsidRPr="003003C0">
        <w:t>mport</w:t>
      </w:r>
      <w:r>
        <w:t>s</w:t>
      </w:r>
      <w:r w:rsidRPr="003003C0">
        <w:t xml:space="preserve"> (</w:t>
      </w:r>
      <w:r>
        <w:t>f.o.b.</w:t>
      </w:r>
      <w:r w:rsidRPr="003003C0">
        <w:t xml:space="preserve">) </w:t>
      </w:r>
      <w:r w:rsidRPr="004966A7">
        <w:t>by HS section and main HS chapter</w:t>
      </w:r>
      <w:r w:rsidRPr="003003C0">
        <w:t>, 2015-21</w:t>
      </w:r>
      <w:bookmarkEnd w:id="427"/>
      <w:bookmarkEnd w:id="428"/>
    </w:p>
    <w:p w14:paraId="7DEA048D" w14:textId="77777777" w:rsidR="004F64EF" w:rsidRPr="003003C0" w:rsidRDefault="004F64EF" w:rsidP="00B91D96">
      <w:pPr>
        <w:pStyle w:val="NoteText"/>
      </w:pPr>
      <w:r w:rsidRPr="003003C0">
        <w:t>(</w:t>
      </w:r>
      <w:r>
        <w:t>USD m</w:t>
      </w:r>
      <w:r w:rsidRPr="003003C0">
        <w:t>ill</w:t>
      </w:r>
      <w:r>
        <w:t>i</w:t>
      </w:r>
      <w:r w:rsidRPr="003003C0">
        <w:t>on</w:t>
      </w:r>
      <w:r>
        <w:t xml:space="preserve"> and </w:t>
      </w:r>
      <w:r w:rsidRPr="003003C0">
        <w:t>%)</w:t>
      </w:r>
    </w:p>
    <w:tbl>
      <w:tblPr>
        <w:tblStyle w:val="WTOTable1"/>
        <w:tblW w:w="9028" w:type="dxa"/>
        <w:tblLayout w:type="fixed"/>
        <w:tblLook w:val="04A0" w:firstRow="1" w:lastRow="0" w:firstColumn="1" w:lastColumn="0" w:noHBand="0" w:noVBand="1"/>
      </w:tblPr>
      <w:tblGrid>
        <w:gridCol w:w="4478"/>
        <w:gridCol w:w="650"/>
        <w:gridCol w:w="650"/>
        <w:gridCol w:w="650"/>
        <w:gridCol w:w="650"/>
        <w:gridCol w:w="650"/>
        <w:gridCol w:w="650"/>
        <w:gridCol w:w="650"/>
      </w:tblGrid>
      <w:tr w:rsidR="004F64EF" w:rsidRPr="00A839D1" w14:paraId="6BE772C3" w14:textId="77777777" w:rsidTr="00FD6B66">
        <w:trPr>
          <w:cnfStyle w:val="100000000000" w:firstRow="1" w:lastRow="0" w:firstColumn="0" w:lastColumn="0" w:oddVBand="0" w:evenVBand="0" w:oddHBand="0" w:evenHBand="0" w:firstRowFirstColumn="0" w:firstRowLastColumn="0" w:lastRowFirstColumn="0" w:lastRowLastColumn="0"/>
          <w:trHeight w:val="20"/>
          <w:tblHeader/>
        </w:trPr>
        <w:tc>
          <w:tcPr>
            <w:tcW w:w="4478" w:type="dxa"/>
            <w:noWrap/>
            <w:vAlign w:val="center"/>
            <w:hideMark/>
          </w:tcPr>
          <w:p w14:paraId="15BD811F" w14:textId="77777777" w:rsidR="004F64EF" w:rsidRPr="00A839D1" w:rsidRDefault="004F64EF" w:rsidP="00FD6B66">
            <w:pPr>
              <w:jc w:val="left"/>
              <w:rPr>
                <w:rFonts w:eastAsia="Times New Roman" w:cs="Calibri"/>
                <w:color w:val="FFFFFF" w:themeColor="background1"/>
                <w:sz w:val="14"/>
                <w:szCs w:val="14"/>
                <w:lang w:eastAsia="en-GB"/>
              </w:rPr>
            </w:pPr>
            <w:r w:rsidRPr="00A839D1">
              <w:rPr>
                <w:rFonts w:cs="Calibri"/>
                <w:color w:val="FFFFFF" w:themeColor="background1"/>
                <w:sz w:val="14"/>
                <w:szCs w:val="14"/>
              </w:rPr>
              <w:t>Description</w:t>
            </w:r>
          </w:p>
        </w:tc>
        <w:tc>
          <w:tcPr>
            <w:tcW w:w="650" w:type="dxa"/>
            <w:noWrap/>
            <w:vAlign w:val="center"/>
            <w:hideMark/>
          </w:tcPr>
          <w:p w14:paraId="220F4B52" w14:textId="77777777" w:rsidR="004F64EF" w:rsidRPr="00A839D1" w:rsidRDefault="004F64EF" w:rsidP="00FD6B66">
            <w:pPr>
              <w:jc w:val="right"/>
              <w:rPr>
                <w:rFonts w:cs="Calibri"/>
                <w:color w:val="FFFFFF" w:themeColor="background1"/>
                <w:sz w:val="14"/>
                <w:szCs w:val="14"/>
              </w:rPr>
            </w:pPr>
            <w:r w:rsidRPr="00A839D1">
              <w:rPr>
                <w:rFonts w:cs="Calibri"/>
                <w:color w:val="FFFFFF" w:themeColor="background1"/>
                <w:sz w:val="14"/>
                <w:szCs w:val="14"/>
              </w:rPr>
              <w:t>2015</w:t>
            </w:r>
          </w:p>
        </w:tc>
        <w:tc>
          <w:tcPr>
            <w:tcW w:w="650" w:type="dxa"/>
            <w:noWrap/>
            <w:vAlign w:val="center"/>
            <w:hideMark/>
          </w:tcPr>
          <w:p w14:paraId="3FC94016" w14:textId="77777777" w:rsidR="004F64EF" w:rsidRPr="00A839D1" w:rsidRDefault="004F64EF" w:rsidP="00FD6B66">
            <w:pPr>
              <w:jc w:val="right"/>
              <w:rPr>
                <w:rFonts w:cs="Calibri"/>
                <w:color w:val="FFFFFF" w:themeColor="background1"/>
                <w:sz w:val="14"/>
                <w:szCs w:val="14"/>
              </w:rPr>
            </w:pPr>
            <w:r w:rsidRPr="00A839D1">
              <w:rPr>
                <w:rFonts w:cs="Calibri"/>
                <w:color w:val="FFFFFF" w:themeColor="background1"/>
                <w:sz w:val="14"/>
                <w:szCs w:val="14"/>
              </w:rPr>
              <w:t>2016</w:t>
            </w:r>
          </w:p>
        </w:tc>
        <w:tc>
          <w:tcPr>
            <w:tcW w:w="650" w:type="dxa"/>
            <w:noWrap/>
            <w:vAlign w:val="center"/>
            <w:hideMark/>
          </w:tcPr>
          <w:p w14:paraId="26AC67C8" w14:textId="77777777" w:rsidR="004F64EF" w:rsidRPr="00A839D1" w:rsidRDefault="004F64EF" w:rsidP="00FD6B66">
            <w:pPr>
              <w:jc w:val="right"/>
              <w:rPr>
                <w:rFonts w:cs="Calibri"/>
                <w:color w:val="FFFFFF" w:themeColor="background1"/>
                <w:sz w:val="14"/>
                <w:szCs w:val="14"/>
              </w:rPr>
            </w:pPr>
            <w:r w:rsidRPr="00A839D1">
              <w:rPr>
                <w:rFonts w:cs="Calibri"/>
                <w:color w:val="FFFFFF" w:themeColor="background1"/>
                <w:sz w:val="14"/>
                <w:szCs w:val="14"/>
              </w:rPr>
              <w:t>2017</w:t>
            </w:r>
          </w:p>
        </w:tc>
        <w:tc>
          <w:tcPr>
            <w:tcW w:w="650" w:type="dxa"/>
            <w:noWrap/>
            <w:vAlign w:val="center"/>
            <w:hideMark/>
          </w:tcPr>
          <w:p w14:paraId="3F162AB0" w14:textId="77777777" w:rsidR="004F64EF" w:rsidRPr="00A839D1" w:rsidRDefault="004F64EF" w:rsidP="00FD6B66">
            <w:pPr>
              <w:jc w:val="right"/>
              <w:rPr>
                <w:rFonts w:cs="Calibri"/>
                <w:color w:val="FFFFFF" w:themeColor="background1"/>
                <w:sz w:val="14"/>
                <w:szCs w:val="14"/>
              </w:rPr>
            </w:pPr>
            <w:r w:rsidRPr="00A839D1">
              <w:rPr>
                <w:rFonts w:cs="Calibri"/>
                <w:color w:val="FFFFFF" w:themeColor="background1"/>
                <w:sz w:val="14"/>
                <w:szCs w:val="14"/>
              </w:rPr>
              <w:t>2018</w:t>
            </w:r>
          </w:p>
        </w:tc>
        <w:tc>
          <w:tcPr>
            <w:tcW w:w="650" w:type="dxa"/>
            <w:noWrap/>
            <w:vAlign w:val="center"/>
            <w:hideMark/>
          </w:tcPr>
          <w:p w14:paraId="50708345" w14:textId="77777777" w:rsidR="004F64EF" w:rsidRPr="00A839D1" w:rsidRDefault="004F64EF" w:rsidP="00FD6B66">
            <w:pPr>
              <w:jc w:val="right"/>
              <w:rPr>
                <w:rFonts w:cs="Calibri"/>
                <w:color w:val="FFFFFF" w:themeColor="background1"/>
                <w:sz w:val="14"/>
                <w:szCs w:val="14"/>
              </w:rPr>
            </w:pPr>
            <w:r w:rsidRPr="00A839D1">
              <w:rPr>
                <w:rFonts w:cs="Calibri"/>
                <w:color w:val="FFFFFF" w:themeColor="background1"/>
                <w:sz w:val="14"/>
                <w:szCs w:val="14"/>
              </w:rPr>
              <w:t>2019</w:t>
            </w:r>
          </w:p>
        </w:tc>
        <w:tc>
          <w:tcPr>
            <w:tcW w:w="650" w:type="dxa"/>
            <w:noWrap/>
            <w:vAlign w:val="center"/>
            <w:hideMark/>
          </w:tcPr>
          <w:p w14:paraId="0768C609" w14:textId="77777777" w:rsidR="004F64EF" w:rsidRPr="00A839D1" w:rsidRDefault="004F64EF" w:rsidP="00FD6B66">
            <w:pPr>
              <w:jc w:val="right"/>
              <w:rPr>
                <w:rFonts w:cs="Calibri"/>
                <w:color w:val="FFFFFF" w:themeColor="background1"/>
                <w:sz w:val="14"/>
                <w:szCs w:val="14"/>
              </w:rPr>
            </w:pPr>
            <w:r w:rsidRPr="00A839D1">
              <w:rPr>
                <w:rFonts w:cs="Calibri"/>
                <w:color w:val="FFFFFF" w:themeColor="background1"/>
                <w:sz w:val="14"/>
                <w:szCs w:val="14"/>
              </w:rPr>
              <w:t>2020</w:t>
            </w:r>
          </w:p>
        </w:tc>
        <w:tc>
          <w:tcPr>
            <w:tcW w:w="650" w:type="dxa"/>
            <w:noWrap/>
            <w:vAlign w:val="center"/>
            <w:hideMark/>
          </w:tcPr>
          <w:p w14:paraId="5982042F" w14:textId="77777777" w:rsidR="004F64EF" w:rsidRPr="00A839D1" w:rsidRDefault="004F64EF" w:rsidP="00FD6B66">
            <w:pPr>
              <w:jc w:val="right"/>
              <w:rPr>
                <w:rFonts w:cs="Calibri"/>
                <w:color w:val="FFFFFF" w:themeColor="background1"/>
                <w:sz w:val="14"/>
                <w:szCs w:val="14"/>
              </w:rPr>
            </w:pPr>
            <w:r w:rsidRPr="00A839D1">
              <w:rPr>
                <w:rFonts w:cs="Calibri"/>
                <w:color w:val="FFFFFF" w:themeColor="background1"/>
                <w:sz w:val="14"/>
                <w:szCs w:val="14"/>
              </w:rPr>
              <w:t>2021</w:t>
            </w:r>
          </w:p>
        </w:tc>
      </w:tr>
      <w:tr w:rsidR="004F64EF" w:rsidRPr="003003C0" w14:paraId="74B3EBF2" w14:textId="77777777" w:rsidTr="00FD6B66">
        <w:trPr>
          <w:trHeight w:val="20"/>
        </w:trPr>
        <w:tc>
          <w:tcPr>
            <w:tcW w:w="4478" w:type="dxa"/>
            <w:noWrap/>
            <w:vAlign w:val="center"/>
            <w:hideMark/>
          </w:tcPr>
          <w:p w14:paraId="292A8E10" w14:textId="77777777" w:rsidR="004F64EF" w:rsidRPr="003003C0" w:rsidRDefault="004F64EF" w:rsidP="00FD6B66">
            <w:pPr>
              <w:jc w:val="left"/>
              <w:rPr>
                <w:rFonts w:cs="Calibri"/>
                <w:bCs/>
                <w:color w:val="000000"/>
                <w:sz w:val="14"/>
                <w:szCs w:val="14"/>
              </w:rPr>
            </w:pPr>
            <w:r>
              <w:rPr>
                <w:rFonts w:cs="Calibri"/>
                <w:bCs/>
                <w:color w:val="000000"/>
                <w:sz w:val="14"/>
                <w:szCs w:val="14"/>
              </w:rPr>
              <w:t>Free zone imports</w:t>
            </w:r>
            <w:r w:rsidRPr="003003C0">
              <w:rPr>
                <w:rFonts w:cs="Calibri"/>
                <w:bCs/>
                <w:color w:val="000000"/>
                <w:sz w:val="14"/>
                <w:szCs w:val="14"/>
              </w:rPr>
              <w:t xml:space="preserve"> (</w:t>
            </w:r>
            <w:r>
              <w:rPr>
                <w:rFonts w:cs="Calibri"/>
                <w:bCs/>
                <w:color w:val="000000"/>
                <w:sz w:val="14"/>
                <w:szCs w:val="14"/>
              </w:rPr>
              <w:t>f.o.b.</w:t>
            </w:r>
            <w:r w:rsidRPr="003003C0">
              <w:rPr>
                <w:rFonts w:cs="Calibri"/>
                <w:bCs/>
                <w:color w:val="000000"/>
                <w:sz w:val="14"/>
                <w:szCs w:val="14"/>
              </w:rPr>
              <w:t xml:space="preserve">, </w:t>
            </w:r>
            <w:r>
              <w:rPr>
                <w:rFonts w:cs="Calibri"/>
                <w:bCs/>
                <w:color w:val="000000"/>
                <w:sz w:val="14"/>
                <w:szCs w:val="14"/>
              </w:rPr>
              <w:t>USD million</w:t>
            </w:r>
            <w:r w:rsidRPr="003003C0">
              <w:rPr>
                <w:rFonts w:cs="Calibri"/>
                <w:bCs/>
                <w:color w:val="000000"/>
                <w:sz w:val="14"/>
                <w:szCs w:val="14"/>
              </w:rPr>
              <w:t>)</w:t>
            </w:r>
          </w:p>
        </w:tc>
        <w:tc>
          <w:tcPr>
            <w:tcW w:w="650" w:type="dxa"/>
            <w:noWrap/>
            <w:vAlign w:val="center"/>
            <w:hideMark/>
          </w:tcPr>
          <w:p w14:paraId="6098D2F4" w14:textId="77777777" w:rsidR="004F64EF" w:rsidRPr="003003C0" w:rsidRDefault="004F64EF" w:rsidP="00FD6B66">
            <w:pPr>
              <w:ind w:left="-57"/>
              <w:jc w:val="right"/>
              <w:rPr>
                <w:rFonts w:cs="Calibri"/>
                <w:bCs/>
                <w:sz w:val="14"/>
                <w:szCs w:val="14"/>
              </w:rPr>
            </w:pPr>
            <w:r w:rsidRPr="003003C0">
              <w:rPr>
                <w:rFonts w:cs="Arial"/>
                <w:bCs/>
                <w:color w:val="000000"/>
                <w:sz w:val="14"/>
                <w:szCs w:val="14"/>
              </w:rPr>
              <w:t>3</w:t>
            </w:r>
            <w:r>
              <w:rPr>
                <w:rFonts w:cs="Arial"/>
                <w:bCs/>
                <w:color w:val="000000"/>
                <w:sz w:val="14"/>
                <w:szCs w:val="14"/>
              </w:rPr>
              <w:t>,</w:t>
            </w:r>
            <w:r w:rsidRPr="003003C0">
              <w:rPr>
                <w:rFonts w:cs="Arial"/>
                <w:bCs/>
                <w:color w:val="000000"/>
                <w:sz w:val="14"/>
                <w:szCs w:val="14"/>
              </w:rPr>
              <w:t>670</w:t>
            </w:r>
          </w:p>
        </w:tc>
        <w:tc>
          <w:tcPr>
            <w:tcW w:w="650" w:type="dxa"/>
            <w:noWrap/>
            <w:vAlign w:val="center"/>
            <w:hideMark/>
          </w:tcPr>
          <w:p w14:paraId="61E1BDFE" w14:textId="77777777" w:rsidR="004F64EF" w:rsidRPr="003003C0" w:rsidRDefault="004F64EF" w:rsidP="00FD6B66">
            <w:pPr>
              <w:ind w:left="-57"/>
              <w:jc w:val="right"/>
              <w:rPr>
                <w:rFonts w:cs="Calibri"/>
                <w:bCs/>
                <w:sz w:val="14"/>
                <w:szCs w:val="14"/>
              </w:rPr>
            </w:pPr>
            <w:r w:rsidRPr="003003C0">
              <w:rPr>
                <w:rFonts w:cs="Arial"/>
                <w:bCs/>
                <w:color w:val="000000"/>
                <w:sz w:val="14"/>
                <w:szCs w:val="14"/>
              </w:rPr>
              <w:t>3</w:t>
            </w:r>
            <w:r>
              <w:rPr>
                <w:rFonts w:cs="Arial"/>
                <w:bCs/>
                <w:color w:val="000000"/>
                <w:sz w:val="14"/>
                <w:szCs w:val="14"/>
              </w:rPr>
              <w:t>,</w:t>
            </w:r>
            <w:r w:rsidRPr="003003C0">
              <w:rPr>
                <w:rFonts w:cs="Arial"/>
                <w:bCs/>
                <w:color w:val="000000"/>
                <w:sz w:val="14"/>
                <w:szCs w:val="14"/>
              </w:rPr>
              <w:t>736</w:t>
            </w:r>
          </w:p>
        </w:tc>
        <w:tc>
          <w:tcPr>
            <w:tcW w:w="650" w:type="dxa"/>
            <w:noWrap/>
            <w:vAlign w:val="center"/>
            <w:hideMark/>
          </w:tcPr>
          <w:p w14:paraId="2C42B3EF" w14:textId="77777777" w:rsidR="004F64EF" w:rsidRPr="003003C0" w:rsidRDefault="004F64EF" w:rsidP="00FD6B66">
            <w:pPr>
              <w:ind w:left="-57"/>
              <w:jc w:val="right"/>
              <w:rPr>
                <w:rFonts w:cs="Calibri"/>
                <w:bCs/>
                <w:sz w:val="14"/>
                <w:szCs w:val="14"/>
              </w:rPr>
            </w:pPr>
            <w:r w:rsidRPr="003003C0">
              <w:rPr>
                <w:rFonts w:cs="Arial"/>
                <w:bCs/>
                <w:color w:val="000000"/>
                <w:sz w:val="14"/>
                <w:szCs w:val="14"/>
              </w:rPr>
              <w:t>3</w:t>
            </w:r>
            <w:r>
              <w:rPr>
                <w:rFonts w:cs="Arial"/>
                <w:bCs/>
                <w:color w:val="000000"/>
                <w:sz w:val="14"/>
                <w:szCs w:val="14"/>
              </w:rPr>
              <w:t>,</w:t>
            </w:r>
            <w:r w:rsidRPr="003003C0">
              <w:rPr>
                <w:rFonts w:cs="Arial"/>
                <w:bCs/>
                <w:color w:val="000000"/>
                <w:sz w:val="14"/>
                <w:szCs w:val="14"/>
              </w:rPr>
              <w:t>941</w:t>
            </w:r>
          </w:p>
        </w:tc>
        <w:tc>
          <w:tcPr>
            <w:tcW w:w="650" w:type="dxa"/>
            <w:noWrap/>
            <w:vAlign w:val="center"/>
            <w:hideMark/>
          </w:tcPr>
          <w:p w14:paraId="15FD9891" w14:textId="77777777" w:rsidR="004F64EF" w:rsidRPr="003003C0" w:rsidRDefault="004F64EF" w:rsidP="00FD6B66">
            <w:pPr>
              <w:ind w:left="-57"/>
              <w:jc w:val="right"/>
              <w:rPr>
                <w:rFonts w:cs="Calibri"/>
                <w:bCs/>
                <w:sz w:val="14"/>
                <w:szCs w:val="14"/>
              </w:rPr>
            </w:pPr>
            <w:r w:rsidRPr="003003C0">
              <w:rPr>
                <w:rFonts w:cs="Arial"/>
                <w:bCs/>
                <w:color w:val="000000"/>
                <w:sz w:val="14"/>
                <w:szCs w:val="14"/>
              </w:rPr>
              <w:t>4</w:t>
            </w:r>
            <w:r>
              <w:rPr>
                <w:rFonts w:cs="Arial"/>
                <w:bCs/>
                <w:color w:val="000000"/>
                <w:sz w:val="14"/>
                <w:szCs w:val="14"/>
              </w:rPr>
              <w:t>,</w:t>
            </w:r>
            <w:r w:rsidRPr="003003C0">
              <w:rPr>
                <w:rFonts w:cs="Arial"/>
                <w:bCs/>
                <w:color w:val="000000"/>
                <w:sz w:val="14"/>
                <w:szCs w:val="14"/>
              </w:rPr>
              <w:t>016</w:t>
            </w:r>
          </w:p>
        </w:tc>
        <w:tc>
          <w:tcPr>
            <w:tcW w:w="650" w:type="dxa"/>
            <w:noWrap/>
            <w:vAlign w:val="center"/>
            <w:hideMark/>
          </w:tcPr>
          <w:p w14:paraId="3CD2A3C1" w14:textId="77777777" w:rsidR="004F64EF" w:rsidRPr="003003C0" w:rsidRDefault="004F64EF" w:rsidP="00FD6B66">
            <w:pPr>
              <w:ind w:left="-57"/>
              <w:jc w:val="right"/>
              <w:rPr>
                <w:rFonts w:cs="Calibri"/>
                <w:bCs/>
                <w:sz w:val="14"/>
                <w:szCs w:val="14"/>
              </w:rPr>
            </w:pPr>
            <w:r w:rsidRPr="003003C0">
              <w:rPr>
                <w:rFonts w:cs="Arial"/>
                <w:bCs/>
                <w:color w:val="000000"/>
                <w:sz w:val="14"/>
                <w:szCs w:val="14"/>
              </w:rPr>
              <w:t>4</w:t>
            </w:r>
            <w:r>
              <w:rPr>
                <w:rFonts w:cs="Arial"/>
                <w:bCs/>
                <w:color w:val="000000"/>
                <w:sz w:val="14"/>
                <w:szCs w:val="14"/>
              </w:rPr>
              <w:t>,</w:t>
            </w:r>
            <w:r w:rsidRPr="003003C0">
              <w:rPr>
                <w:rFonts w:cs="Arial"/>
                <w:bCs/>
                <w:color w:val="000000"/>
                <w:sz w:val="14"/>
                <w:szCs w:val="14"/>
              </w:rPr>
              <w:t>122</w:t>
            </w:r>
          </w:p>
        </w:tc>
        <w:tc>
          <w:tcPr>
            <w:tcW w:w="650" w:type="dxa"/>
            <w:noWrap/>
            <w:vAlign w:val="center"/>
            <w:hideMark/>
          </w:tcPr>
          <w:p w14:paraId="77E0FBFA" w14:textId="77777777" w:rsidR="004F64EF" w:rsidRPr="003003C0" w:rsidRDefault="004F64EF" w:rsidP="00FD6B66">
            <w:pPr>
              <w:ind w:left="-57"/>
              <w:jc w:val="right"/>
              <w:rPr>
                <w:rFonts w:cs="Calibri"/>
                <w:bCs/>
                <w:sz w:val="14"/>
                <w:szCs w:val="14"/>
              </w:rPr>
            </w:pPr>
            <w:r w:rsidRPr="003003C0">
              <w:rPr>
                <w:rFonts w:cs="Arial"/>
                <w:bCs/>
                <w:color w:val="000000"/>
                <w:sz w:val="14"/>
                <w:szCs w:val="14"/>
              </w:rPr>
              <w:t>3</w:t>
            </w:r>
            <w:r>
              <w:rPr>
                <w:rFonts w:cs="Arial"/>
                <w:bCs/>
                <w:color w:val="000000"/>
                <w:sz w:val="14"/>
                <w:szCs w:val="14"/>
              </w:rPr>
              <w:t>,</w:t>
            </w:r>
            <w:r w:rsidRPr="003003C0">
              <w:rPr>
                <w:rFonts w:cs="Arial"/>
                <w:bCs/>
                <w:color w:val="000000"/>
                <w:sz w:val="14"/>
                <w:szCs w:val="14"/>
              </w:rPr>
              <w:t>737</w:t>
            </w:r>
          </w:p>
        </w:tc>
        <w:tc>
          <w:tcPr>
            <w:tcW w:w="650" w:type="dxa"/>
            <w:noWrap/>
            <w:vAlign w:val="center"/>
            <w:hideMark/>
          </w:tcPr>
          <w:p w14:paraId="0D2F8FFF" w14:textId="77777777" w:rsidR="004F64EF" w:rsidRPr="003003C0" w:rsidRDefault="004F64EF" w:rsidP="00FD6B66">
            <w:pPr>
              <w:ind w:left="-57"/>
              <w:jc w:val="right"/>
              <w:rPr>
                <w:rFonts w:cs="Calibri"/>
                <w:bCs/>
                <w:sz w:val="14"/>
                <w:szCs w:val="14"/>
              </w:rPr>
            </w:pPr>
            <w:r w:rsidRPr="003003C0">
              <w:rPr>
                <w:rFonts w:cs="Arial"/>
                <w:bCs/>
                <w:color w:val="000000"/>
                <w:sz w:val="14"/>
                <w:szCs w:val="14"/>
              </w:rPr>
              <w:t>4</w:t>
            </w:r>
            <w:r>
              <w:rPr>
                <w:rFonts w:cs="Arial"/>
                <w:bCs/>
                <w:color w:val="000000"/>
                <w:sz w:val="14"/>
                <w:szCs w:val="14"/>
              </w:rPr>
              <w:t>,</w:t>
            </w:r>
            <w:r w:rsidRPr="003003C0">
              <w:rPr>
                <w:rFonts w:cs="Arial"/>
                <w:bCs/>
                <w:color w:val="000000"/>
                <w:sz w:val="14"/>
                <w:szCs w:val="14"/>
              </w:rPr>
              <w:t>826</w:t>
            </w:r>
          </w:p>
        </w:tc>
      </w:tr>
      <w:tr w:rsidR="004F64EF" w:rsidRPr="003003C0" w14:paraId="4A5C3D50" w14:textId="77777777" w:rsidTr="00FD6B66">
        <w:trPr>
          <w:cnfStyle w:val="000000010000" w:firstRow="0" w:lastRow="0" w:firstColumn="0" w:lastColumn="0" w:oddVBand="0" w:evenVBand="0" w:oddHBand="0" w:evenHBand="1" w:firstRowFirstColumn="0" w:firstRowLastColumn="0" w:lastRowFirstColumn="0" w:lastRowLastColumn="0"/>
          <w:trHeight w:val="20"/>
        </w:trPr>
        <w:tc>
          <w:tcPr>
            <w:tcW w:w="4478" w:type="dxa"/>
            <w:noWrap/>
            <w:vAlign w:val="center"/>
            <w:hideMark/>
          </w:tcPr>
          <w:p w14:paraId="356F999A" w14:textId="77777777" w:rsidR="004F64EF" w:rsidRPr="003003C0" w:rsidRDefault="004F64EF" w:rsidP="00FD6B66">
            <w:pPr>
              <w:jc w:val="left"/>
              <w:rPr>
                <w:bCs/>
                <w:sz w:val="14"/>
                <w:szCs w:val="14"/>
              </w:rPr>
            </w:pPr>
          </w:p>
        </w:tc>
        <w:tc>
          <w:tcPr>
            <w:tcW w:w="4550" w:type="dxa"/>
            <w:gridSpan w:val="7"/>
            <w:noWrap/>
            <w:vAlign w:val="center"/>
            <w:hideMark/>
          </w:tcPr>
          <w:p w14:paraId="156477FF" w14:textId="77777777" w:rsidR="004F64EF" w:rsidRPr="003003C0" w:rsidRDefault="004F64EF" w:rsidP="00FD6B66">
            <w:pPr>
              <w:jc w:val="center"/>
              <w:rPr>
                <w:rFonts w:cs="Calibri"/>
                <w:bCs/>
                <w:color w:val="000000"/>
                <w:sz w:val="14"/>
                <w:szCs w:val="14"/>
              </w:rPr>
            </w:pPr>
            <w:r w:rsidRPr="003003C0">
              <w:rPr>
                <w:rFonts w:cs="Calibri"/>
                <w:bCs/>
                <w:color w:val="000000"/>
                <w:sz w:val="14"/>
                <w:szCs w:val="14"/>
              </w:rPr>
              <w:t xml:space="preserve">(% </w:t>
            </w:r>
            <w:r>
              <w:rPr>
                <w:rFonts w:cs="Calibri"/>
                <w:bCs/>
                <w:color w:val="000000"/>
                <w:sz w:val="14"/>
                <w:szCs w:val="14"/>
              </w:rPr>
              <w:t>of free zone imports</w:t>
            </w:r>
            <w:r w:rsidRPr="003003C0">
              <w:rPr>
                <w:rFonts w:cs="Calibri"/>
                <w:bCs/>
                <w:color w:val="000000"/>
                <w:sz w:val="14"/>
                <w:szCs w:val="14"/>
              </w:rPr>
              <w:t>)</w:t>
            </w:r>
          </w:p>
        </w:tc>
      </w:tr>
      <w:tr w:rsidR="004F64EF" w:rsidRPr="003003C0" w14:paraId="547A8943" w14:textId="77777777" w:rsidTr="00FD6B66">
        <w:trPr>
          <w:trHeight w:val="20"/>
        </w:trPr>
        <w:tc>
          <w:tcPr>
            <w:tcW w:w="4478" w:type="dxa"/>
            <w:noWrap/>
            <w:vAlign w:val="center"/>
            <w:hideMark/>
          </w:tcPr>
          <w:p w14:paraId="4FA9116F" w14:textId="77777777" w:rsidR="004F64EF" w:rsidRPr="003003C0" w:rsidRDefault="004F64EF" w:rsidP="00FD6B66">
            <w:pPr>
              <w:jc w:val="left"/>
              <w:rPr>
                <w:rFonts w:cs="Calibri"/>
                <w:bCs/>
                <w:color w:val="000000"/>
                <w:sz w:val="14"/>
                <w:szCs w:val="14"/>
              </w:rPr>
            </w:pPr>
            <w:r w:rsidRPr="003003C0">
              <w:rPr>
                <w:rFonts w:cs="Calibri"/>
                <w:bCs/>
                <w:color w:val="000000"/>
                <w:sz w:val="14"/>
                <w:szCs w:val="14"/>
              </w:rPr>
              <w:t xml:space="preserve">1 - </w:t>
            </w:r>
            <w:r w:rsidRPr="004966A7">
              <w:rPr>
                <w:rFonts w:cs="Calibri"/>
                <w:bCs/>
                <w:color w:val="000000"/>
                <w:sz w:val="14"/>
                <w:szCs w:val="14"/>
              </w:rPr>
              <w:t>Live animals; animal products</w:t>
            </w:r>
          </w:p>
        </w:tc>
        <w:tc>
          <w:tcPr>
            <w:tcW w:w="650" w:type="dxa"/>
            <w:noWrap/>
            <w:vAlign w:val="center"/>
            <w:hideMark/>
          </w:tcPr>
          <w:p w14:paraId="240EB454" w14:textId="77777777" w:rsidR="004F64EF" w:rsidRPr="003003C0" w:rsidRDefault="004F64EF" w:rsidP="00FD6B66">
            <w:pPr>
              <w:jc w:val="right"/>
              <w:rPr>
                <w:rFonts w:cs="Calibri"/>
                <w:bCs/>
                <w:color w:val="000000"/>
                <w:sz w:val="14"/>
                <w:szCs w:val="14"/>
              </w:rPr>
            </w:pPr>
            <w:r w:rsidRPr="003003C0">
              <w:rPr>
                <w:rFonts w:cs="Calibri"/>
                <w:bCs/>
                <w:color w:val="000000"/>
                <w:sz w:val="14"/>
                <w:szCs w:val="14"/>
              </w:rPr>
              <w:t>0</w:t>
            </w:r>
            <w:r>
              <w:rPr>
                <w:rFonts w:cs="Calibri"/>
                <w:bCs/>
                <w:color w:val="000000"/>
                <w:sz w:val="14"/>
                <w:szCs w:val="14"/>
              </w:rPr>
              <w:t>.</w:t>
            </w:r>
            <w:r w:rsidRPr="003003C0">
              <w:rPr>
                <w:rFonts w:cs="Calibri"/>
                <w:bCs/>
                <w:color w:val="000000"/>
                <w:sz w:val="14"/>
                <w:szCs w:val="14"/>
              </w:rPr>
              <w:t>1</w:t>
            </w:r>
          </w:p>
        </w:tc>
        <w:tc>
          <w:tcPr>
            <w:tcW w:w="650" w:type="dxa"/>
            <w:noWrap/>
            <w:vAlign w:val="center"/>
            <w:hideMark/>
          </w:tcPr>
          <w:p w14:paraId="6328CEA9" w14:textId="77777777" w:rsidR="004F64EF" w:rsidRPr="003003C0" w:rsidRDefault="004F64EF" w:rsidP="00FD6B66">
            <w:pPr>
              <w:jc w:val="right"/>
              <w:rPr>
                <w:rFonts w:cs="Calibri"/>
                <w:bCs/>
                <w:color w:val="000000"/>
                <w:sz w:val="14"/>
                <w:szCs w:val="14"/>
              </w:rPr>
            </w:pPr>
            <w:r w:rsidRPr="003003C0">
              <w:rPr>
                <w:rFonts w:cs="Calibri"/>
                <w:bCs/>
                <w:color w:val="000000"/>
                <w:sz w:val="14"/>
                <w:szCs w:val="14"/>
              </w:rPr>
              <w:t>0</w:t>
            </w:r>
            <w:r>
              <w:rPr>
                <w:rFonts w:cs="Calibri"/>
                <w:bCs/>
                <w:color w:val="000000"/>
                <w:sz w:val="14"/>
                <w:szCs w:val="14"/>
              </w:rPr>
              <w:t>.</w:t>
            </w:r>
            <w:r w:rsidRPr="003003C0">
              <w:rPr>
                <w:rFonts w:cs="Calibri"/>
                <w:bCs/>
                <w:color w:val="000000"/>
                <w:sz w:val="14"/>
                <w:szCs w:val="14"/>
              </w:rPr>
              <w:t>1</w:t>
            </w:r>
          </w:p>
        </w:tc>
        <w:tc>
          <w:tcPr>
            <w:tcW w:w="650" w:type="dxa"/>
            <w:noWrap/>
            <w:vAlign w:val="center"/>
            <w:hideMark/>
          </w:tcPr>
          <w:p w14:paraId="2F8D028F" w14:textId="77777777" w:rsidR="004F64EF" w:rsidRPr="003003C0" w:rsidRDefault="004F64EF" w:rsidP="00FD6B66">
            <w:pPr>
              <w:jc w:val="right"/>
              <w:rPr>
                <w:rFonts w:cs="Calibri"/>
                <w:bCs/>
                <w:color w:val="000000"/>
                <w:sz w:val="14"/>
                <w:szCs w:val="14"/>
              </w:rPr>
            </w:pPr>
            <w:r w:rsidRPr="003003C0">
              <w:rPr>
                <w:rFonts w:cs="Calibri"/>
                <w:bCs/>
                <w:color w:val="000000"/>
                <w:sz w:val="14"/>
                <w:szCs w:val="14"/>
              </w:rPr>
              <w:t>0</w:t>
            </w:r>
            <w:r>
              <w:rPr>
                <w:rFonts w:cs="Calibri"/>
                <w:bCs/>
                <w:color w:val="000000"/>
                <w:sz w:val="14"/>
                <w:szCs w:val="14"/>
              </w:rPr>
              <w:t>.</w:t>
            </w:r>
            <w:r w:rsidRPr="003003C0">
              <w:rPr>
                <w:rFonts w:cs="Calibri"/>
                <w:bCs/>
                <w:color w:val="000000"/>
                <w:sz w:val="14"/>
                <w:szCs w:val="14"/>
              </w:rPr>
              <w:t>1</w:t>
            </w:r>
          </w:p>
        </w:tc>
        <w:tc>
          <w:tcPr>
            <w:tcW w:w="650" w:type="dxa"/>
            <w:noWrap/>
            <w:vAlign w:val="center"/>
            <w:hideMark/>
          </w:tcPr>
          <w:p w14:paraId="4FA807A2" w14:textId="77777777" w:rsidR="004F64EF" w:rsidRPr="003003C0" w:rsidRDefault="004F64EF" w:rsidP="00FD6B66">
            <w:pPr>
              <w:jc w:val="right"/>
              <w:rPr>
                <w:rFonts w:cs="Calibri"/>
                <w:bCs/>
                <w:color w:val="000000"/>
                <w:sz w:val="14"/>
                <w:szCs w:val="14"/>
              </w:rPr>
            </w:pPr>
            <w:r w:rsidRPr="003003C0">
              <w:rPr>
                <w:rFonts w:cs="Calibri"/>
                <w:bCs/>
                <w:color w:val="000000"/>
                <w:sz w:val="14"/>
                <w:szCs w:val="14"/>
              </w:rPr>
              <w:t>0</w:t>
            </w:r>
            <w:r>
              <w:rPr>
                <w:rFonts w:cs="Calibri"/>
                <w:bCs/>
                <w:color w:val="000000"/>
                <w:sz w:val="14"/>
                <w:szCs w:val="14"/>
              </w:rPr>
              <w:t>.</w:t>
            </w:r>
            <w:r w:rsidRPr="003003C0">
              <w:rPr>
                <w:rFonts w:cs="Calibri"/>
                <w:bCs/>
                <w:color w:val="000000"/>
                <w:sz w:val="14"/>
                <w:szCs w:val="14"/>
              </w:rPr>
              <w:t>1</w:t>
            </w:r>
          </w:p>
        </w:tc>
        <w:tc>
          <w:tcPr>
            <w:tcW w:w="650" w:type="dxa"/>
            <w:noWrap/>
            <w:vAlign w:val="center"/>
            <w:hideMark/>
          </w:tcPr>
          <w:p w14:paraId="7C39A9F7" w14:textId="77777777" w:rsidR="004F64EF" w:rsidRPr="003003C0" w:rsidRDefault="004F64EF" w:rsidP="00FD6B66">
            <w:pPr>
              <w:jc w:val="right"/>
              <w:rPr>
                <w:rFonts w:cs="Calibri"/>
                <w:bCs/>
                <w:color w:val="000000"/>
                <w:sz w:val="14"/>
                <w:szCs w:val="14"/>
              </w:rPr>
            </w:pPr>
            <w:r w:rsidRPr="003003C0">
              <w:rPr>
                <w:rFonts w:cs="Calibri"/>
                <w:bCs/>
                <w:color w:val="000000"/>
                <w:sz w:val="14"/>
                <w:szCs w:val="14"/>
              </w:rPr>
              <w:t>0</w:t>
            </w:r>
            <w:r>
              <w:rPr>
                <w:rFonts w:cs="Calibri"/>
                <w:bCs/>
                <w:color w:val="000000"/>
                <w:sz w:val="14"/>
                <w:szCs w:val="14"/>
              </w:rPr>
              <w:t>.</w:t>
            </w:r>
            <w:r w:rsidRPr="003003C0">
              <w:rPr>
                <w:rFonts w:cs="Calibri"/>
                <w:bCs/>
                <w:color w:val="000000"/>
                <w:sz w:val="14"/>
                <w:szCs w:val="14"/>
              </w:rPr>
              <w:t>1</w:t>
            </w:r>
          </w:p>
        </w:tc>
        <w:tc>
          <w:tcPr>
            <w:tcW w:w="650" w:type="dxa"/>
            <w:noWrap/>
            <w:vAlign w:val="center"/>
            <w:hideMark/>
          </w:tcPr>
          <w:p w14:paraId="4B3A59F2" w14:textId="77777777" w:rsidR="004F64EF" w:rsidRPr="003003C0" w:rsidRDefault="004F64EF" w:rsidP="00FD6B66">
            <w:pPr>
              <w:jc w:val="right"/>
              <w:rPr>
                <w:rFonts w:cs="Calibri"/>
                <w:bCs/>
                <w:color w:val="000000"/>
                <w:sz w:val="14"/>
                <w:szCs w:val="14"/>
              </w:rPr>
            </w:pPr>
            <w:r w:rsidRPr="003003C0">
              <w:rPr>
                <w:rFonts w:cs="Calibri"/>
                <w:bCs/>
                <w:color w:val="000000"/>
                <w:sz w:val="14"/>
                <w:szCs w:val="14"/>
              </w:rPr>
              <w:t>0</w:t>
            </w:r>
            <w:r>
              <w:rPr>
                <w:rFonts w:cs="Calibri"/>
                <w:bCs/>
                <w:color w:val="000000"/>
                <w:sz w:val="14"/>
                <w:szCs w:val="14"/>
              </w:rPr>
              <w:t>.</w:t>
            </w:r>
            <w:r w:rsidRPr="003003C0">
              <w:rPr>
                <w:rFonts w:cs="Calibri"/>
                <w:bCs/>
                <w:color w:val="000000"/>
                <w:sz w:val="14"/>
                <w:szCs w:val="14"/>
              </w:rPr>
              <w:t>0</w:t>
            </w:r>
          </w:p>
        </w:tc>
        <w:tc>
          <w:tcPr>
            <w:tcW w:w="650" w:type="dxa"/>
            <w:noWrap/>
            <w:vAlign w:val="center"/>
            <w:hideMark/>
          </w:tcPr>
          <w:p w14:paraId="18998470" w14:textId="77777777" w:rsidR="004F64EF" w:rsidRPr="003003C0" w:rsidRDefault="004F64EF" w:rsidP="00FD6B66">
            <w:pPr>
              <w:jc w:val="right"/>
              <w:rPr>
                <w:rFonts w:cs="Calibri"/>
                <w:bCs/>
                <w:color w:val="000000"/>
                <w:sz w:val="14"/>
                <w:szCs w:val="14"/>
              </w:rPr>
            </w:pPr>
            <w:r w:rsidRPr="003003C0">
              <w:rPr>
                <w:rFonts w:cs="Calibri"/>
                <w:bCs/>
                <w:color w:val="000000"/>
                <w:sz w:val="14"/>
                <w:szCs w:val="14"/>
              </w:rPr>
              <w:t>0</w:t>
            </w:r>
            <w:r>
              <w:rPr>
                <w:rFonts w:cs="Calibri"/>
                <w:bCs/>
                <w:color w:val="000000"/>
                <w:sz w:val="14"/>
                <w:szCs w:val="14"/>
              </w:rPr>
              <w:t>.</w:t>
            </w:r>
            <w:r w:rsidRPr="003003C0">
              <w:rPr>
                <w:rFonts w:cs="Calibri"/>
                <w:bCs/>
                <w:color w:val="000000"/>
                <w:sz w:val="14"/>
                <w:szCs w:val="14"/>
              </w:rPr>
              <w:t>0</w:t>
            </w:r>
          </w:p>
        </w:tc>
      </w:tr>
      <w:tr w:rsidR="004F64EF" w:rsidRPr="003003C0" w14:paraId="586E9C72" w14:textId="77777777" w:rsidTr="00FD6B66">
        <w:trPr>
          <w:cnfStyle w:val="000000010000" w:firstRow="0" w:lastRow="0" w:firstColumn="0" w:lastColumn="0" w:oddVBand="0" w:evenVBand="0" w:oddHBand="0" w:evenHBand="1" w:firstRowFirstColumn="0" w:firstRowLastColumn="0" w:lastRowFirstColumn="0" w:lastRowLastColumn="0"/>
          <w:trHeight w:val="20"/>
        </w:trPr>
        <w:tc>
          <w:tcPr>
            <w:tcW w:w="4478" w:type="dxa"/>
            <w:noWrap/>
            <w:vAlign w:val="center"/>
            <w:hideMark/>
          </w:tcPr>
          <w:p w14:paraId="7BF0C19A" w14:textId="77777777" w:rsidR="004F64EF" w:rsidRPr="003003C0" w:rsidRDefault="004F64EF" w:rsidP="00FD6B66">
            <w:pPr>
              <w:jc w:val="left"/>
              <w:rPr>
                <w:rFonts w:cs="Calibri"/>
                <w:bCs/>
                <w:color w:val="000000"/>
                <w:sz w:val="14"/>
                <w:szCs w:val="14"/>
              </w:rPr>
            </w:pPr>
            <w:r w:rsidRPr="003003C0">
              <w:rPr>
                <w:rFonts w:cs="Calibri"/>
                <w:bCs/>
                <w:color w:val="000000"/>
                <w:sz w:val="14"/>
                <w:szCs w:val="14"/>
              </w:rPr>
              <w:t xml:space="preserve">2 - </w:t>
            </w:r>
            <w:r w:rsidRPr="004966A7">
              <w:rPr>
                <w:rFonts w:cs="Calibri"/>
                <w:bCs/>
                <w:color w:val="000000"/>
                <w:sz w:val="14"/>
                <w:szCs w:val="14"/>
              </w:rPr>
              <w:t>Vegetable products</w:t>
            </w:r>
          </w:p>
        </w:tc>
        <w:tc>
          <w:tcPr>
            <w:tcW w:w="650" w:type="dxa"/>
            <w:noWrap/>
            <w:vAlign w:val="center"/>
            <w:hideMark/>
          </w:tcPr>
          <w:p w14:paraId="5E403139" w14:textId="77777777" w:rsidR="004F64EF" w:rsidRPr="003003C0" w:rsidRDefault="004F64EF" w:rsidP="00FD6B66">
            <w:pPr>
              <w:jc w:val="right"/>
              <w:rPr>
                <w:rFonts w:cs="Calibri"/>
                <w:bCs/>
                <w:color w:val="000000"/>
                <w:sz w:val="14"/>
                <w:szCs w:val="14"/>
              </w:rPr>
            </w:pPr>
            <w:r w:rsidRPr="003003C0">
              <w:rPr>
                <w:rFonts w:cs="Calibri"/>
                <w:bCs/>
                <w:color w:val="000000"/>
                <w:sz w:val="14"/>
                <w:szCs w:val="14"/>
              </w:rPr>
              <w:t>0</w:t>
            </w:r>
            <w:r>
              <w:rPr>
                <w:rFonts w:cs="Calibri"/>
                <w:bCs/>
                <w:color w:val="000000"/>
                <w:sz w:val="14"/>
                <w:szCs w:val="14"/>
              </w:rPr>
              <w:t>.</w:t>
            </w:r>
            <w:r w:rsidRPr="003003C0">
              <w:rPr>
                <w:rFonts w:cs="Calibri"/>
                <w:bCs/>
                <w:color w:val="000000"/>
                <w:sz w:val="14"/>
                <w:szCs w:val="14"/>
              </w:rPr>
              <w:t>3</w:t>
            </w:r>
          </w:p>
        </w:tc>
        <w:tc>
          <w:tcPr>
            <w:tcW w:w="650" w:type="dxa"/>
            <w:noWrap/>
            <w:vAlign w:val="center"/>
            <w:hideMark/>
          </w:tcPr>
          <w:p w14:paraId="5FAD3058" w14:textId="77777777" w:rsidR="004F64EF" w:rsidRPr="003003C0" w:rsidRDefault="004F64EF" w:rsidP="00FD6B66">
            <w:pPr>
              <w:jc w:val="right"/>
              <w:rPr>
                <w:rFonts w:cs="Calibri"/>
                <w:bCs/>
                <w:color w:val="000000"/>
                <w:sz w:val="14"/>
                <w:szCs w:val="14"/>
              </w:rPr>
            </w:pPr>
            <w:r w:rsidRPr="003003C0">
              <w:rPr>
                <w:rFonts w:cs="Calibri"/>
                <w:bCs/>
                <w:color w:val="000000"/>
                <w:sz w:val="14"/>
                <w:szCs w:val="14"/>
              </w:rPr>
              <w:t>0</w:t>
            </w:r>
            <w:r>
              <w:rPr>
                <w:rFonts w:cs="Calibri"/>
                <w:bCs/>
                <w:color w:val="000000"/>
                <w:sz w:val="14"/>
                <w:szCs w:val="14"/>
              </w:rPr>
              <w:t>.</w:t>
            </w:r>
            <w:r w:rsidRPr="003003C0">
              <w:rPr>
                <w:rFonts w:cs="Calibri"/>
                <w:bCs/>
                <w:color w:val="000000"/>
                <w:sz w:val="14"/>
                <w:szCs w:val="14"/>
              </w:rPr>
              <w:t>4</w:t>
            </w:r>
          </w:p>
        </w:tc>
        <w:tc>
          <w:tcPr>
            <w:tcW w:w="650" w:type="dxa"/>
            <w:noWrap/>
            <w:vAlign w:val="center"/>
            <w:hideMark/>
          </w:tcPr>
          <w:p w14:paraId="12249B9B" w14:textId="77777777" w:rsidR="004F64EF" w:rsidRPr="003003C0" w:rsidRDefault="004F64EF" w:rsidP="00FD6B66">
            <w:pPr>
              <w:jc w:val="right"/>
              <w:rPr>
                <w:rFonts w:cs="Calibri"/>
                <w:bCs/>
                <w:color w:val="000000"/>
                <w:sz w:val="14"/>
                <w:szCs w:val="14"/>
              </w:rPr>
            </w:pPr>
            <w:r w:rsidRPr="003003C0">
              <w:rPr>
                <w:rFonts w:cs="Calibri"/>
                <w:bCs/>
                <w:color w:val="000000"/>
                <w:sz w:val="14"/>
                <w:szCs w:val="14"/>
              </w:rPr>
              <w:t>1</w:t>
            </w:r>
            <w:r>
              <w:rPr>
                <w:rFonts w:cs="Calibri"/>
                <w:bCs/>
                <w:color w:val="000000"/>
                <w:sz w:val="14"/>
                <w:szCs w:val="14"/>
              </w:rPr>
              <w:t>.</w:t>
            </w:r>
            <w:r w:rsidRPr="003003C0">
              <w:rPr>
                <w:rFonts w:cs="Calibri"/>
                <w:bCs/>
                <w:color w:val="000000"/>
                <w:sz w:val="14"/>
                <w:szCs w:val="14"/>
              </w:rPr>
              <w:t>6</w:t>
            </w:r>
          </w:p>
        </w:tc>
        <w:tc>
          <w:tcPr>
            <w:tcW w:w="650" w:type="dxa"/>
            <w:noWrap/>
            <w:vAlign w:val="center"/>
            <w:hideMark/>
          </w:tcPr>
          <w:p w14:paraId="2172318C" w14:textId="77777777" w:rsidR="004F64EF" w:rsidRPr="003003C0" w:rsidRDefault="004F64EF" w:rsidP="00FD6B66">
            <w:pPr>
              <w:jc w:val="right"/>
              <w:rPr>
                <w:rFonts w:cs="Calibri"/>
                <w:bCs/>
                <w:color w:val="000000"/>
                <w:sz w:val="14"/>
                <w:szCs w:val="14"/>
              </w:rPr>
            </w:pPr>
            <w:r w:rsidRPr="003003C0">
              <w:rPr>
                <w:rFonts w:cs="Calibri"/>
                <w:bCs/>
                <w:color w:val="000000"/>
                <w:sz w:val="14"/>
                <w:szCs w:val="14"/>
              </w:rPr>
              <w:t>0</w:t>
            </w:r>
            <w:r>
              <w:rPr>
                <w:rFonts w:cs="Calibri"/>
                <w:bCs/>
                <w:color w:val="000000"/>
                <w:sz w:val="14"/>
                <w:szCs w:val="14"/>
              </w:rPr>
              <w:t>.</w:t>
            </w:r>
            <w:r w:rsidRPr="003003C0">
              <w:rPr>
                <w:rFonts w:cs="Calibri"/>
                <w:bCs/>
                <w:color w:val="000000"/>
                <w:sz w:val="14"/>
                <w:szCs w:val="14"/>
              </w:rPr>
              <w:t>8</w:t>
            </w:r>
          </w:p>
        </w:tc>
        <w:tc>
          <w:tcPr>
            <w:tcW w:w="650" w:type="dxa"/>
            <w:noWrap/>
            <w:vAlign w:val="center"/>
            <w:hideMark/>
          </w:tcPr>
          <w:p w14:paraId="34E39017" w14:textId="77777777" w:rsidR="004F64EF" w:rsidRPr="003003C0" w:rsidRDefault="004F64EF" w:rsidP="00FD6B66">
            <w:pPr>
              <w:jc w:val="right"/>
              <w:rPr>
                <w:rFonts w:cs="Calibri"/>
                <w:bCs/>
                <w:color w:val="000000"/>
                <w:sz w:val="14"/>
                <w:szCs w:val="14"/>
              </w:rPr>
            </w:pPr>
            <w:r w:rsidRPr="003003C0">
              <w:rPr>
                <w:rFonts w:cs="Calibri"/>
                <w:bCs/>
                <w:color w:val="000000"/>
                <w:sz w:val="14"/>
                <w:szCs w:val="14"/>
              </w:rPr>
              <w:t>0</w:t>
            </w:r>
            <w:r>
              <w:rPr>
                <w:rFonts w:cs="Calibri"/>
                <w:bCs/>
                <w:color w:val="000000"/>
                <w:sz w:val="14"/>
                <w:szCs w:val="14"/>
              </w:rPr>
              <w:t>.</w:t>
            </w:r>
            <w:r w:rsidRPr="003003C0">
              <w:rPr>
                <w:rFonts w:cs="Calibri"/>
                <w:bCs/>
                <w:color w:val="000000"/>
                <w:sz w:val="14"/>
                <w:szCs w:val="14"/>
              </w:rPr>
              <w:t>6</w:t>
            </w:r>
          </w:p>
        </w:tc>
        <w:tc>
          <w:tcPr>
            <w:tcW w:w="650" w:type="dxa"/>
            <w:noWrap/>
            <w:vAlign w:val="center"/>
            <w:hideMark/>
          </w:tcPr>
          <w:p w14:paraId="191BA018" w14:textId="77777777" w:rsidR="004F64EF" w:rsidRPr="003003C0" w:rsidRDefault="004F64EF" w:rsidP="00FD6B66">
            <w:pPr>
              <w:jc w:val="right"/>
              <w:rPr>
                <w:rFonts w:cs="Calibri"/>
                <w:bCs/>
                <w:color w:val="000000"/>
                <w:sz w:val="14"/>
                <w:szCs w:val="14"/>
              </w:rPr>
            </w:pPr>
            <w:r w:rsidRPr="003003C0">
              <w:rPr>
                <w:rFonts w:cs="Calibri"/>
                <w:bCs/>
                <w:color w:val="000000"/>
                <w:sz w:val="14"/>
                <w:szCs w:val="14"/>
              </w:rPr>
              <w:t>0</w:t>
            </w:r>
            <w:r>
              <w:rPr>
                <w:rFonts w:cs="Calibri"/>
                <w:bCs/>
                <w:color w:val="000000"/>
                <w:sz w:val="14"/>
                <w:szCs w:val="14"/>
              </w:rPr>
              <w:t>.</w:t>
            </w:r>
            <w:r w:rsidRPr="003003C0">
              <w:rPr>
                <w:rFonts w:cs="Calibri"/>
                <w:bCs/>
                <w:color w:val="000000"/>
                <w:sz w:val="14"/>
                <w:szCs w:val="14"/>
              </w:rPr>
              <w:t>7</w:t>
            </w:r>
          </w:p>
        </w:tc>
        <w:tc>
          <w:tcPr>
            <w:tcW w:w="650" w:type="dxa"/>
            <w:noWrap/>
            <w:vAlign w:val="center"/>
            <w:hideMark/>
          </w:tcPr>
          <w:p w14:paraId="53D9751C" w14:textId="77777777" w:rsidR="004F64EF" w:rsidRPr="003003C0" w:rsidRDefault="004F64EF" w:rsidP="00FD6B66">
            <w:pPr>
              <w:jc w:val="right"/>
              <w:rPr>
                <w:rFonts w:cs="Calibri"/>
                <w:bCs/>
                <w:color w:val="000000"/>
                <w:sz w:val="14"/>
                <w:szCs w:val="14"/>
              </w:rPr>
            </w:pPr>
            <w:r w:rsidRPr="003003C0">
              <w:rPr>
                <w:rFonts w:cs="Calibri"/>
                <w:bCs/>
                <w:color w:val="000000"/>
                <w:sz w:val="14"/>
                <w:szCs w:val="14"/>
              </w:rPr>
              <w:t>0</w:t>
            </w:r>
            <w:r>
              <w:rPr>
                <w:rFonts w:cs="Calibri"/>
                <w:bCs/>
                <w:color w:val="000000"/>
                <w:sz w:val="14"/>
                <w:szCs w:val="14"/>
              </w:rPr>
              <w:t>.</w:t>
            </w:r>
            <w:r w:rsidRPr="003003C0">
              <w:rPr>
                <w:rFonts w:cs="Calibri"/>
                <w:bCs/>
                <w:color w:val="000000"/>
                <w:sz w:val="14"/>
                <w:szCs w:val="14"/>
              </w:rPr>
              <w:t>5</w:t>
            </w:r>
          </w:p>
        </w:tc>
      </w:tr>
      <w:tr w:rsidR="004F64EF" w:rsidRPr="003003C0" w14:paraId="5DB35871" w14:textId="77777777" w:rsidTr="00FD6B66">
        <w:trPr>
          <w:trHeight w:val="20"/>
        </w:trPr>
        <w:tc>
          <w:tcPr>
            <w:tcW w:w="4478" w:type="dxa"/>
            <w:noWrap/>
            <w:vAlign w:val="center"/>
            <w:hideMark/>
          </w:tcPr>
          <w:p w14:paraId="2674A31F" w14:textId="77777777" w:rsidR="004F64EF" w:rsidRPr="003003C0" w:rsidRDefault="004F64EF" w:rsidP="00A839D1">
            <w:pPr>
              <w:tabs>
                <w:tab w:val="left" w:pos="227"/>
              </w:tabs>
              <w:ind w:left="227" w:hanging="227"/>
              <w:jc w:val="left"/>
              <w:rPr>
                <w:rFonts w:cs="Calibri"/>
                <w:bCs/>
                <w:color w:val="000000"/>
                <w:sz w:val="14"/>
                <w:szCs w:val="14"/>
              </w:rPr>
            </w:pPr>
            <w:r w:rsidRPr="003003C0">
              <w:rPr>
                <w:rFonts w:cs="Calibri"/>
                <w:bCs/>
                <w:color w:val="000000"/>
                <w:sz w:val="14"/>
                <w:szCs w:val="14"/>
              </w:rPr>
              <w:tab/>
              <w:t xml:space="preserve">13. </w:t>
            </w:r>
            <w:r w:rsidRPr="00E140DA">
              <w:rPr>
                <w:rFonts w:cs="Calibri"/>
                <w:bCs/>
                <w:color w:val="000000"/>
                <w:sz w:val="14"/>
                <w:szCs w:val="14"/>
              </w:rPr>
              <w:t>Lac; gums, resins and other vegetable saps and extracts</w:t>
            </w:r>
          </w:p>
        </w:tc>
        <w:tc>
          <w:tcPr>
            <w:tcW w:w="650" w:type="dxa"/>
            <w:noWrap/>
            <w:vAlign w:val="center"/>
            <w:hideMark/>
          </w:tcPr>
          <w:p w14:paraId="63A2B0B4" w14:textId="77777777" w:rsidR="004F64EF" w:rsidRPr="003003C0" w:rsidRDefault="004F64EF" w:rsidP="00FD6B66">
            <w:pPr>
              <w:jc w:val="right"/>
              <w:rPr>
                <w:rFonts w:cs="Calibri"/>
                <w:bCs/>
                <w:color w:val="000000"/>
                <w:sz w:val="14"/>
                <w:szCs w:val="14"/>
              </w:rPr>
            </w:pPr>
            <w:r w:rsidRPr="003003C0">
              <w:rPr>
                <w:rFonts w:cs="Calibri"/>
                <w:bCs/>
                <w:color w:val="000000"/>
                <w:sz w:val="14"/>
                <w:szCs w:val="14"/>
              </w:rPr>
              <w:t>0</w:t>
            </w:r>
            <w:r>
              <w:rPr>
                <w:rFonts w:cs="Calibri"/>
                <w:bCs/>
                <w:color w:val="000000"/>
                <w:sz w:val="14"/>
                <w:szCs w:val="14"/>
              </w:rPr>
              <w:t>.</w:t>
            </w:r>
            <w:r w:rsidRPr="003003C0">
              <w:rPr>
                <w:rFonts w:cs="Calibri"/>
                <w:bCs/>
                <w:color w:val="000000"/>
                <w:sz w:val="14"/>
                <w:szCs w:val="14"/>
              </w:rPr>
              <w:t>2</w:t>
            </w:r>
          </w:p>
        </w:tc>
        <w:tc>
          <w:tcPr>
            <w:tcW w:w="650" w:type="dxa"/>
            <w:noWrap/>
            <w:vAlign w:val="center"/>
            <w:hideMark/>
          </w:tcPr>
          <w:p w14:paraId="7361DE6D" w14:textId="77777777" w:rsidR="004F64EF" w:rsidRPr="003003C0" w:rsidRDefault="004F64EF" w:rsidP="00FD6B66">
            <w:pPr>
              <w:jc w:val="right"/>
              <w:rPr>
                <w:rFonts w:cs="Calibri"/>
                <w:bCs/>
                <w:color w:val="000000"/>
                <w:sz w:val="14"/>
                <w:szCs w:val="14"/>
              </w:rPr>
            </w:pPr>
            <w:r w:rsidRPr="003003C0">
              <w:rPr>
                <w:rFonts w:cs="Calibri"/>
                <w:bCs/>
                <w:color w:val="000000"/>
                <w:sz w:val="14"/>
                <w:szCs w:val="14"/>
              </w:rPr>
              <w:t>0</w:t>
            </w:r>
            <w:r>
              <w:rPr>
                <w:rFonts w:cs="Calibri"/>
                <w:bCs/>
                <w:color w:val="000000"/>
                <w:sz w:val="14"/>
                <w:szCs w:val="14"/>
              </w:rPr>
              <w:t>.</w:t>
            </w:r>
            <w:r w:rsidRPr="003003C0">
              <w:rPr>
                <w:rFonts w:cs="Calibri"/>
                <w:bCs/>
                <w:color w:val="000000"/>
                <w:sz w:val="14"/>
                <w:szCs w:val="14"/>
              </w:rPr>
              <w:t>2</w:t>
            </w:r>
          </w:p>
        </w:tc>
        <w:tc>
          <w:tcPr>
            <w:tcW w:w="650" w:type="dxa"/>
            <w:noWrap/>
            <w:vAlign w:val="center"/>
            <w:hideMark/>
          </w:tcPr>
          <w:p w14:paraId="0C9EF12A" w14:textId="77777777" w:rsidR="004F64EF" w:rsidRPr="003003C0" w:rsidRDefault="004F64EF" w:rsidP="00FD6B66">
            <w:pPr>
              <w:jc w:val="right"/>
              <w:rPr>
                <w:rFonts w:cs="Calibri"/>
                <w:bCs/>
                <w:color w:val="000000"/>
                <w:sz w:val="14"/>
                <w:szCs w:val="14"/>
              </w:rPr>
            </w:pPr>
            <w:r w:rsidRPr="003003C0">
              <w:rPr>
                <w:rFonts w:cs="Calibri"/>
                <w:bCs/>
                <w:color w:val="000000"/>
                <w:sz w:val="14"/>
                <w:szCs w:val="14"/>
              </w:rPr>
              <w:t>1</w:t>
            </w:r>
            <w:r>
              <w:rPr>
                <w:rFonts w:cs="Calibri"/>
                <w:bCs/>
                <w:color w:val="000000"/>
                <w:sz w:val="14"/>
                <w:szCs w:val="14"/>
              </w:rPr>
              <w:t>.</w:t>
            </w:r>
            <w:r w:rsidRPr="003003C0">
              <w:rPr>
                <w:rFonts w:cs="Calibri"/>
                <w:bCs/>
                <w:color w:val="000000"/>
                <w:sz w:val="14"/>
                <w:szCs w:val="14"/>
              </w:rPr>
              <w:t>5</w:t>
            </w:r>
          </w:p>
        </w:tc>
        <w:tc>
          <w:tcPr>
            <w:tcW w:w="650" w:type="dxa"/>
            <w:noWrap/>
            <w:vAlign w:val="center"/>
            <w:hideMark/>
          </w:tcPr>
          <w:p w14:paraId="48968B95" w14:textId="77777777" w:rsidR="004F64EF" w:rsidRPr="003003C0" w:rsidRDefault="004F64EF" w:rsidP="00FD6B66">
            <w:pPr>
              <w:jc w:val="right"/>
              <w:rPr>
                <w:rFonts w:cs="Calibri"/>
                <w:bCs/>
                <w:color w:val="000000"/>
                <w:sz w:val="14"/>
                <w:szCs w:val="14"/>
              </w:rPr>
            </w:pPr>
            <w:r w:rsidRPr="003003C0">
              <w:rPr>
                <w:rFonts w:cs="Calibri"/>
                <w:bCs/>
                <w:color w:val="000000"/>
                <w:sz w:val="14"/>
                <w:szCs w:val="14"/>
              </w:rPr>
              <w:t>0</w:t>
            </w:r>
            <w:r>
              <w:rPr>
                <w:rFonts w:cs="Calibri"/>
                <w:bCs/>
                <w:color w:val="000000"/>
                <w:sz w:val="14"/>
                <w:szCs w:val="14"/>
              </w:rPr>
              <w:t>.</w:t>
            </w:r>
            <w:r w:rsidRPr="003003C0">
              <w:rPr>
                <w:rFonts w:cs="Calibri"/>
                <w:bCs/>
                <w:color w:val="000000"/>
                <w:sz w:val="14"/>
                <w:szCs w:val="14"/>
              </w:rPr>
              <w:t>7</w:t>
            </w:r>
          </w:p>
        </w:tc>
        <w:tc>
          <w:tcPr>
            <w:tcW w:w="650" w:type="dxa"/>
            <w:noWrap/>
            <w:vAlign w:val="center"/>
            <w:hideMark/>
          </w:tcPr>
          <w:p w14:paraId="5275BD3A" w14:textId="77777777" w:rsidR="004F64EF" w:rsidRPr="003003C0" w:rsidRDefault="004F64EF" w:rsidP="00FD6B66">
            <w:pPr>
              <w:jc w:val="right"/>
              <w:rPr>
                <w:rFonts w:cs="Calibri"/>
                <w:bCs/>
                <w:color w:val="000000"/>
                <w:sz w:val="14"/>
                <w:szCs w:val="14"/>
              </w:rPr>
            </w:pPr>
            <w:r w:rsidRPr="003003C0">
              <w:rPr>
                <w:rFonts w:cs="Calibri"/>
                <w:bCs/>
                <w:color w:val="000000"/>
                <w:sz w:val="14"/>
                <w:szCs w:val="14"/>
              </w:rPr>
              <w:t>0</w:t>
            </w:r>
            <w:r>
              <w:rPr>
                <w:rFonts w:cs="Calibri"/>
                <w:bCs/>
                <w:color w:val="000000"/>
                <w:sz w:val="14"/>
                <w:szCs w:val="14"/>
              </w:rPr>
              <w:t>.</w:t>
            </w:r>
            <w:r w:rsidRPr="003003C0">
              <w:rPr>
                <w:rFonts w:cs="Calibri"/>
                <w:bCs/>
                <w:color w:val="000000"/>
                <w:sz w:val="14"/>
                <w:szCs w:val="14"/>
              </w:rPr>
              <w:t>5</w:t>
            </w:r>
          </w:p>
        </w:tc>
        <w:tc>
          <w:tcPr>
            <w:tcW w:w="650" w:type="dxa"/>
            <w:noWrap/>
            <w:vAlign w:val="center"/>
            <w:hideMark/>
          </w:tcPr>
          <w:p w14:paraId="09E93BB5" w14:textId="77777777" w:rsidR="004F64EF" w:rsidRPr="003003C0" w:rsidRDefault="004F64EF" w:rsidP="00FD6B66">
            <w:pPr>
              <w:jc w:val="right"/>
              <w:rPr>
                <w:rFonts w:cs="Calibri"/>
                <w:bCs/>
                <w:color w:val="000000"/>
                <w:sz w:val="14"/>
                <w:szCs w:val="14"/>
              </w:rPr>
            </w:pPr>
            <w:r w:rsidRPr="003003C0">
              <w:rPr>
                <w:rFonts w:cs="Calibri"/>
                <w:bCs/>
                <w:color w:val="000000"/>
                <w:sz w:val="14"/>
                <w:szCs w:val="14"/>
              </w:rPr>
              <w:t>0</w:t>
            </w:r>
            <w:r>
              <w:rPr>
                <w:rFonts w:cs="Calibri"/>
                <w:bCs/>
                <w:color w:val="000000"/>
                <w:sz w:val="14"/>
                <w:szCs w:val="14"/>
              </w:rPr>
              <w:t>.</w:t>
            </w:r>
            <w:r w:rsidRPr="003003C0">
              <w:rPr>
                <w:rFonts w:cs="Calibri"/>
                <w:bCs/>
                <w:color w:val="000000"/>
                <w:sz w:val="14"/>
                <w:szCs w:val="14"/>
              </w:rPr>
              <w:t>6</w:t>
            </w:r>
          </w:p>
        </w:tc>
        <w:tc>
          <w:tcPr>
            <w:tcW w:w="650" w:type="dxa"/>
            <w:noWrap/>
            <w:vAlign w:val="center"/>
            <w:hideMark/>
          </w:tcPr>
          <w:p w14:paraId="53A435DE" w14:textId="77777777" w:rsidR="004F64EF" w:rsidRPr="003003C0" w:rsidRDefault="004F64EF" w:rsidP="00FD6B66">
            <w:pPr>
              <w:jc w:val="right"/>
              <w:rPr>
                <w:rFonts w:cs="Calibri"/>
                <w:bCs/>
                <w:color w:val="000000"/>
                <w:sz w:val="14"/>
                <w:szCs w:val="14"/>
              </w:rPr>
            </w:pPr>
            <w:r w:rsidRPr="003003C0">
              <w:rPr>
                <w:rFonts w:cs="Calibri"/>
                <w:bCs/>
                <w:color w:val="000000"/>
                <w:sz w:val="14"/>
                <w:szCs w:val="14"/>
              </w:rPr>
              <w:t>0</w:t>
            </w:r>
            <w:r>
              <w:rPr>
                <w:rFonts w:cs="Calibri"/>
                <w:bCs/>
                <w:color w:val="000000"/>
                <w:sz w:val="14"/>
                <w:szCs w:val="14"/>
              </w:rPr>
              <w:t>.</w:t>
            </w:r>
            <w:r w:rsidRPr="003003C0">
              <w:rPr>
                <w:rFonts w:cs="Calibri"/>
                <w:bCs/>
                <w:color w:val="000000"/>
                <w:sz w:val="14"/>
                <w:szCs w:val="14"/>
              </w:rPr>
              <w:t>4</w:t>
            </w:r>
          </w:p>
        </w:tc>
      </w:tr>
      <w:tr w:rsidR="004F64EF" w:rsidRPr="003003C0" w14:paraId="51D01806" w14:textId="77777777" w:rsidTr="00FD6B66">
        <w:trPr>
          <w:cnfStyle w:val="000000010000" w:firstRow="0" w:lastRow="0" w:firstColumn="0" w:lastColumn="0" w:oddVBand="0" w:evenVBand="0" w:oddHBand="0" w:evenHBand="1" w:firstRowFirstColumn="0" w:firstRowLastColumn="0" w:lastRowFirstColumn="0" w:lastRowLastColumn="0"/>
          <w:trHeight w:val="20"/>
        </w:trPr>
        <w:tc>
          <w:tcPr>
            <w:tcW w:w="4478" w:type="dxa"/>
            <w:noWrap/>
            <w:vAlign w:val="center"/>
            <w:hideMark/>
          </w:tcPr>
          <w:p w14:paraId="4454DC3D" w14:textId="77777777" w:rsidR="004F64EF" w:rsidRPr="003003C0" w:rsidRDefault="004F64EF" w:rsidP="00FD6B66">
            <w:pPr>
              <w:tabs>
                <w:tab w:val="left" w:pos="227"/>
              </w:tabs>
              <w:jc w:val="left"/>
              <w:rPr>
                <w:rFonts w:cs="Calibri"/>
                <w:bCs/>
                <w:color w:val="000000"/>
                <w:sz w:val="14"/>
                <w:szCs w:val="14"/>
              </w:rPr>
            </w:pPr>
            <w:r w:rsidRPr="003003C0">
              <w:rPr>
                <w:rFonts w:cs="Calibri"/>
                <w:bCs/>
                <w:color w:val="000000"/>
                <w:sz w:val="14"/>
                <w:szCs w:val="14"/>
              </w:rPr>
              <w:tab/>
              <w:t xml:space="preserve">08. </w:t>
            </w:r>
            <w:r w:rsidRPr="00E140DA">
              <w:rPr>
                <w:rFonts w:cs="Calibri"/>
                <w:bCs/>
                <w:color w:val="000000"/>
                <w:sz w:val="14"/>
                <w:szCs w:val="14"/>
              </w:rPr>
              <w:t>Edible fruit and nuts; peel of citrus fruit or melons</w:t>
            </w:r>
          </w:p>
        </w:tc>
        <w:tc>
          <w:tcPr>
            <w:tcW w:w="650" w:type="dxa"/>
            <w:noWrap/>
            <w:vAlign w:val="center"/>
            <w:hideMark/>
          </w:tcPr>
          <w:p w14:paraId="0691ED4D" w14:textId="77777777" w:rsidR="004F64EF" w:rsidRPr="003003C0" w:rsidRDefault="004F64EF" w:rsidP="00FD6B66">
            <w:pPr>
              <w:jc w:val="right"/>
              <w:rPr>
                <w:rFonts w:cs="Calibri"/>
                <w:bCs/>
                <w:color w:val="000000"/>
                <w:sz w:val="14"/>
                <w:szCs w:val="14"/>
              </w:rPr>
            </w:pPr>
            <w:r w:rsidRPr="003003C0">
              <w:rPr>
                <w:rFonts w:cs="Calibri"/>
                <w:bCs/>
                <w:color w:val="000000"/>
                <w:sz w:val="14"/>
                <w:szCs w:val="14"/>
              </w:rPr>
              <w:t>0</w:t>
            </w:r>
            <w:r>
              <w:rPr>
                <w:rFonts w:cs="Calibri"/>
                <w:bCs/>
                <w:color w:val="000000"/>
                <w:sz w:val="14"/>
                <w:szCs w:val="14"/>
              </w:rPr>
              <w:t>.</w:t>
            </w:r>
            <w:r w:rsidRPr="003003C0">
              <w:rPr>
                <w:rFonts w:cs="Calibri"/>
                <w:bCs/>
                <w:color w:val="000000"/>
                <w:sz w:val="14"/>
                <w:szCs w:val="14"/>
              </w:rPr>
              <w:t>0</w:t>
            </w:r>
          </w:p>
        </w:tc>
        <w:tc>
          <w:tcPr>
            <w:tcW w:w="650" w:type="dxa"/>
            <w:noWrap/>
            <w:vAlign w:val="center"/>
            <w:hideMark/>
          </w:tcPr>
          <w:p w14:paraId="27494DFC" w14:textId="77777777" w:rsidR="004F64EF" w:rsidRPr="003003C0" w:rsidRDefault="004F64EF" w:rsidP="00FD6B66">
            <w:pPr>
              <w:jc w:val="right"/>
              <w:rPr>
                <w:rFonts w:cs="Calibri"/>
                <w:bCs/>
                <w:color w:val="000000"/>
                <w:sz w:val="14"/>
                <w:szCs w:val="14"/>
              </w:rPr>
            </w:pPr>
            <w:r w:rsidRPr="003003C0">
              <w:rPr>
                <w:rFonts w:cs="Calibri"/>
                <w:bCs/>
                <w:color w:val="000000"/>
                <w:sz w:val="14"/>
                <w:szCs w:val="14"/>
              </w:rPr>
              <w:t>0</w:t>
            </w:r>
            <w:r>
              <w:rPr>
                <w:rFonts w:cs="Calibri"/>
                <w:bCs/>
                <w:color w:val="000000"/>
                <w:sz w:val="14"/>
                <w:szCs w:val="14"/>
              </w:rPr>
              <w:t>.</w:t>
            </w:r>
            <w:r w:rsidRPr="003003C0">
              <w:rPr>
                <w:rFonts w:cs="Calibri"/>
                <w:bCs/>
                <w:color w:val="000000"/>
                <w:sz w:val="14"/>
                <w:szCs w:val="14"/>
              </w:rPr>
              <w:t>1</w:t>
            </w:r>
          </w:p>
        </w:tc>
        <w:tc>
          <w:tcPr>
            <w:tcW w:w="650" w:type="dxa"/>
            <w:noWrap/>
            <w:vAlign w:val="center"/>
            <w:hideMark/>
          </w:tcPr>
          <w:p w14:paraId="42417A10" w14:textId="77777777" w:rsidR="004F64EF" w:rsidRPr="003003C0" w:rsidRDefault="004F64EF" w:rsidP="00FD6B66">
            <w:pPr>
              <w:jc w:val="right"/>
              <w:rPr>
                <w:rFonts w:cs="Calibri"/>
                <w:bCs/>
                <w:color w:val="000000"/>
                <w:sz w:val="14"/>
                <w:szCs w:val="14"/>
              </w:rPr>
            </w:pPr>
            <w:r w:rsidRPr="003003C0">
              <w:rPr>
                <w:rFonts w:cs="Calibri"/>
                <w:bCs/>
                <w:color w:val="000000"/>
                <w:sz w:val="14"/>
                <w:szCs w:val="14"/>
              </w:rPr>
              <w:t>0</w:t>
            </w:r>
            <w:r>
              <w:rPr>
                <w:rFonts w:cs="Calibri"/>
                <w:bCs/>
                <w:color w:val="000000"/>
                <w:sz w:val="14"/>
                <w:szCs w:val="14"/>
              </w:rPr>
              <w:t>.</w:t>
            </w:r>
            <w:r w:rsidRPr="003003C0">
              <w:rPr>
                <w:rFonts w:cs="Calibri"/>
                <w:bCs/>
                <w:color w:val="000000"/>
                <w:sz w:val="14"/>
                <w:szCs w:val="14"/>
              </w:rPr>
              <w:t>1</w:t>
            </w:r>
          </w:p>
        </w:tc>
        <w:tc>
          <w:tcPr>
            <w:tcW w:w="650" w:type="dxa"/>
            <w:noWrap/>
            <w:vAlign w:val="center"/>
            <w:hideMark/>
          </w:tcPr>
          <w:p w14:paraId="64F49685" w14:textId="77777777" w:rsidR="004F64EF" w:rsidRPr="003003C0" w:rsidRDefault="004F64EF" w:rsidP="00FD6B66">
            <w:pPr>
              <w:jc w:val="right"/>
              <w:rPr>
                <w:rFonts w:cs="Calibri"/>
                <w:bCs/>
                <w:color w:val="000000"/>
                <w:sz w:val="14"/>
                <w:szCs w:val="14"/>
              </w:rPr>
            </w:pPr>
            <w:r w:rsidRPr="003003C0">
              <w:rPr>
                <w:rFonts w:cs="Calibri"/>
                <w:bCs/>
                <w:color w:val="000000"/>
                <w:sz w:val="14"/>
                <w:szCs w:val="14"/>
              </w:rPr>
              <w:t>0</w:t>
            </w:r>
            <w:r>
              <w:rPr>
                <w:rFonts w:cs="Calibri"/>
                <w:bCs/>
                <w:color w:val="000000"/>
                <w:sz w:val="14"/>
                <w:szCs w:val="14"/>
              </w:rPr>
              <w:t>.</w:t>
            </w:r>
            <w:r w:rsidRPr="003003C0">
              <w:rPr>
                <w:rFonts w:cs="Calibri"/>
                <w:bCs/>
                <w:color w:val="000000"/>
                <w:sz w:val="14"/>
                <w:szCs w:val="14"/>
              </w:rPr>
              <w:t>0</w:t>
            </w:r>
          </w:p>
        </w:tc>
        <w:tc>
          <w:tcPr>
            <w:tcW w:w="650" w:type="dxa"/>
            <w:noWrap/>
            <w:vAlign w:val="center"/>
            <w:hideMark/>
          </w:tcPr>
          <w:p w14:paraId="163F5CF0" w14:textId="77777777" w:rsidR="004F64EF" w:rsidRPr="003003C0" w:rsidRDefault="004F64EF" w:rsidP="00FD6B66">
            <w:pPr>
              <w:jc w:val="right"/>
              <w:rPr>
                <w:rFonts w:cs="Calibri"/>
                <w:bCs/>
                <w:color w:val="000000"/>
                <w:sz w:val="14"/>
                <w:szCs w:val="14"/>
              </w:rPr>
            </w:pPr>
            <w:r w:rsidRPr="003003C0">
              <w:rPr>
                <w:rFonts w:cs="Calibri"/>
                <w:bCs/>
                <w:color w:val="000000"/>
                <w:sz w:val="14"/>
                <w:szCs w:val="14"/>
              </w:rPr>
              <w:t>0</w:t>
            </w:r>
            <w:r>
              <w:rPr>
                <w:rFonts w:cs="Calibri"/>
                <w:bCs/>
                <w:color w:val="000000"/>
                <w:sz w:val="14"/>
                <w:szCs w:val="14"/>
              </w:rPr>
              <w:t>.</w:t>
            </w:r>
            <w:r w:rsidRPr="003003C0">
              <w:rPr>
                <w:rFonts w:cs="Calibri"/>
                <w:bCs/>
                <w:color w:val="000000"/>
                <w:sz w:val="14"/>
                <w:szCs w:val="14"/>
              </w:rPr>
              <w:t>0</w:t>
            </w:r>
          </w:p>
        </w:tc>
        <w:tc>
          <w:tcPr>
            <w:tcW w:w="650" w:type="dxa"/>
            <w:noWrap/>
            <w:vAlign w:val="center"/>
            <w:hideMark/>
          </w:tcPr>
          <w:p w14:paraId="17DD16E4" w14:textId="77777777" w:rsidR="004F64EF" w:rsidRPr="003003C0" w:rsidRDefault="004F64EF" w:rsidP="00FD6B66">
            <w:pPr>
              <w:jc w:val="right"/>
              <w:rPr>
                <w:rFonts w:cs="Calibri"/>
                <w:bCs/>
                <w:color w:val="000000"/>
                <w:sz w:val="14"/>
                <w:szCs w:val="14"/>
              </w:rPr>
            </w:pPr>
            <w:r w:rsidRPr="003003C0">
              <w:rPr>
                <w:rFonts w:cs="Calibri"/>
                <w:bCs/>
                <w:color w:val="000000"/>
                <w:sz w:val="14"/>
                <w:szCs w:val="14"/>
              </w:rPr>
              <w:t>0</w:t>
            </w:r>
            <w:r>
              <w:rPr>
                <w:rFonts w:cs="Calibri"/>
                <w:bCs/>
                <w:color w:val="000000"/>
                <w:sz w:val="14"/>
                <w:szCs w:val="14"/>
              </w:rPr>
              <w:t>.</w:t>
            </w:r>
            <w:r w:rsidRPr="003003C0">
              <w:rPr>
                <w:rFonts w:cs="Calibri"/>
                <w:bCs/>
                <w:color w:val="000000"/>
                <w:sz w:val="14"/>
                <w:szCs w:val="14"/>
              </w:rPr>
              <w:t>0</w:t>
            </w:r>
          </w:p>
        </w:tc>
        <w:tc>
          <w:tcPr>
            <w:tcW w:w="650" w:type="dxa"/>
            <w:noWrap/>
            <w:vAlign w:val="center"/>
            <w:hideMark/>
          </w:tcPr>
          <w:p w14:paraId="17C3E90B" w14:textId="77777777" w:rsidR="004F64EF" w:rsidRPr="003003C0" w:rsidRDefault="004F64EF" w:rsidP="00FD6B66">
            <w:pPr>
              <w:jc w:val="right"/>
              <w:rPr>
                <w:rFonts w:cs="Calibri"/>
                <w:bCs/>
                <w:color w:val="000000"/>
                <w:sz w:val="14"/>
                <w:szCs w:val="14"/>
              </w:rPr>
            </w:pPr>
            <w:r w:rsidRPr="003003C0">
              <w:rPr>
                <w:rFonts w:cs="Calibri"/>
                <w:bCs/>
                <w:color w:val="000000"/>
                <w:sz w:val="14"/>
                <w:szCs w:val="14"/>
              </w:rPr>
              <w:t>0</w:t>
            </w:r>
            <w:r>
              <w:rPr>
                <w:rFonts w:cs="Calibri"/>
                <w:bCs/>
                <w:color w:val="000000"/>
                <w:sz w:val="14"/>
                <w:szCs w:val="14"/>
              </w:rPr>
              <w:t>.</w:t>
            </w:r>
            <w:r w:rsidRPr="003003C0">
              <w:rPr>
                <w:rFonts w:cs="Calibri"/>
                <w:bCs/>
                <w:color w:val="000000"/>
                <w:sz w:val="14"/>
                <w:szCs w:val="14"/>
              </w:rPr>
              <w:t>1</w:t>
            </w:r>
          </w:p>
        </w:tc>
      </w:tr>
      <w:tr w:rsidR="004F64EF" w:rsidRPr="003003C0" w14:paraId="7B0C9FA7" w14:textId="77777777" w:rsidTr="00FD6B66">
        <w:trPr>
          <w:trHeight w:val="20"/>
        </w:trPr>
        <w:tc>
          <w:tcPr>
            <w:tcW w:w="4478" w:type="dxa"/>
            <w:noWrap/>
            <w:vAlign w:val="center"/>
            <w:hideMark/>
          </w:tcPr>
          <w:p w14:paraId="37366D88" w14:textId="77777777" w:rsidR="004F64EF" w:rsidRPr="003003C0" w:rsidRDefault="004F64EF" w:rsidP="00FD6B66">
            <w:pPr>
              <w:tabs>
                <w:tab w:val="left" w:pos="227"/>
              </w:tabs>
              <w:jc w:val="left"/>
              <w:rPr>
                <w:rFonts w:cs="Calibri"/>
                <w:bCs/>
                <w:color w:val="000000"/>
                <w:sz w:val="14"/>
                <w:szCs w:val="14"/>
              </w:rPr>
            </w:pPr>
            <w:r w:rsidRPr="003003C0">
              <w:rPr>
                <w:rFonts w:cs="Calibri"/>
                <w:bCs/>
                <w:color w:val="000000"/>
                <w:sz w:val="14"/>
                <w:szCs w:val="14"/>
              </w:rPr>
              <w:tab/>
              <w:t xml:space="preserve">07. </w:t>
            </w:r>
            <w:r w:rsidRPr="00E140DA">
              <w:rPr>
                <w:rFonts w:cs="Calibri"/>
                <w:bCs/>
                <w:color w:val="000000"/>
                <w:sz w:val="14"/>
                <w:szCs w:val="14"/>
              </w:rPr>
              <w:t>Edible vegetables and certain roots and tubers</w:t>
            </w:r>
          </w:p>
        </w:tc>
        <w:tc>
          <w:tcPr>
            <w:tcW w:w="650" w:type="dxa"/>
            <w:noWrap/>
            <w:vAlign w:val="center"/>
            <w:hideMark/>
          </w:tcPr>
          <w:p w14:paraId="3E14BB98" w14:textId="77777777" w:rsidR="004F64EF" w:rsidRPr="003003C0" w:rsidRDefault="004F64EF" w:rsidP="00FD6B66">
            <w:pPr>
              <w:jc w:val="right"/>
              <w:rPr>
                <w:rFonts w:cs="Calibri"/>
                <w:bCs/>
                <w:color w:val="000000"/>
                <w:sz w:val="14"/>
                <w:szCs w:val="14"/>
              </w:rPr>
            </w:pPr>
            <w:r w:rsidRPr="003003C0">
              <w:rPr>
                <w:rFonts w:cs="Calibri"/>
                <w:bCs/>
                <w:color w:val="000000"/>
                <w:sz w:val="14"/>
                <w:szCs w:val="14"/>
              </w:rPr>
              <w:t>0</w:t>
            </w:r>
            <w:r>
              <w:rPr>
                <w:rFonts w:cs="Calibri"/>
                <w:bCs/>
                <w:color w:val="000000"/>
                <w:sz w:val="14"/>
                <w:szCs w:val="14"/>
              </w:rPr>
              <w:t>.</w:t>
            </w:r>
            <w:r w:rsidRPr="003003C0">
              <w:rPr>
                <w:rFonts w:cs="Calibri"/>
                <w:bCs/>
                <w:color w:val="000000"/>
                <w:sz w:val="14"/>
                <w:szCs w:val="14"/>
              </w:rPr>
              <w:t>1</w:t>
            </w:r>
          </w:p>
        </w:tc>
        <w:tc>
          <w:tcPr>
            <w:tcW w:w="650" w:type="dxa"/>
            <w:noWrap/>
            <w:vAlign w:val="center"/>
            <w:hideMark/>
          </w:tcPr>
          <w:p w14:paraId="3C6D911B" w14:textId="77777777" w:rsidR="004F64EF" w:rsidRPr="003003C0" w:rsidRDefault="004F64EF" w:rsidP="00FD6B66">
            <w:pPr>
              <w:jc w:val="right"/>
              <w:rPr>
                <w:rFonts w:cs="Calibri"/>
                <w:bCs/>
                <w:color w:val="000000"/>
                <w:sz w:val="14"/>
                <w:szCs w:val="14"/>
              </w:rPr>
            </w:pPr>
            <w:r w:rsidRPr="003003C0">
              <w:rPr>
                <w:rFonts w:cs="Calibri"/>
                <w:bCs/>
                <w:color w:val="000000"/>
                <w:sz w:val="14"/>
                <w:szCs w:val="14"/>
              </w:rPr>
              <w:t>0</w:t>
            </w:r>
            <w:r>
              <w:rPr>
                <w:rFonts w:cs="Calibri"/>
                <w:bCs/>
                <w:color w:val="000000"/>
                <w:sz w:val="14"/>
                <w:szCs w:val="14"/>
              </w:rPr>
              <w:t>.</w:t>
            </w:r>
            <w:r w:rsidRPr="003003C0">
              <w:rPr>
                <w:rFonts w:cs="Calibri"/>
                <w:bCs/>
                <w:color w:val="000000"/>
                <w:sz w:val="14"/>
                <w:szCs w:val="14"/>
              </w:rPr>
              <w:t>1</w:t>
            </w:r>
          </w:p>
        </w:tc>
        <w:tc>
          <w:tcPr>
            <w:tcW w:w="650" w:type="dxa"/>
            <w:noWrap/>
            <w:vAlign w:val="center"/>
            <w:hideMark/>
          </w:tcPr>
          <w:p w14:paraId="52649F4F" w14:textId="77777777" w:rsidR="004F64EF" w:rsidRPr="003003C0" w:rsidRDefault="004F64EF" w:rsidP="00FD6B66">
            <w:pPr>
              <w:jc w:val="right"/>
              <w:rPr>
                <w:rFonts w:cs="Calibri"/>
                <w:bCs/>
                <w:color w:val="000000"/>
                <w:sz w:val="14"/>
                <w:szCs w:val="14"/>
              </w:rPr>
            </w:pPr>
            <w:r w:rsidRPr="003003C0">
              <w:rPr>
                <w:rFonts w:cs="Calibri"/>
                <w:bCs/>
                <w:color w:val="000000"/>
                <w:sz w:val="14"/>
                <w:szCs w:val="14"/>
              </w:rPr>
              <w:t>0</w:t>
            </w:r>
            <w:r>
              <w:rPr>
                <w:rFonts w:cs="Calibri"/>
                <w:bCs/>
                <w:color w:val="000000"/>
                <w:sz w:val="14"/>
                <w:szCs w:val="14"/>
              </w:rPr>
              <w:t>.</w:t>
            </w:r>
            <w:r w:rsidRPr="003003C0">
              <w:rPr>
                <w:rFonts w:cs="Calibri"/>
                <w:bCs/>
                <w:color w:val="000000"/>
                <w:sz w:val="14"/>
                <w:szCs w:val="14"/>
              </w:rPr>
              <w:t>1</w:t>
            </w:r>
          </w:p>
        </w:tc>
        <w:tc>
          <w:tcPr>
            <w:tcW w:w="650" w:type="dxa"/>
            <w:noWrap/>
            <w:vAlign w:val="center"/>
            <w:hideMark/>
          </w:tcPr>
          <w:p w14:paraId="7940861E" w14:textId="77777777" w:rsidR="004F64EF" w:rsidRPr="003003C0" w:rsidRDefault="004F64EF" w:rsidP="00FD6B66">
            <w:pPr>
              <w:jc w:val="right"/>
              <w:rPr>
                <w:rFonts w:cs="Calibri"/>
                <w:bCs/>
                <w:color w:val="000000"/>
                <w:sz w:val="14"/>
                <w:szCs w:val="14"/>
              </w:rPr>
            </w:pPr>
            <w:r w:rsidRPr="003003C0">
              <w:rPr>
                <w:rFonts w:cs="Calibri"/>
                <w:bCs/>
                <w:color w:val="000000"/>
                <w:sz w:val="14"/>
                <w:szCs w:val="14"/>
              </w:rPr>
              <w:t>0</w:t>
            </w:r>
            <w:r>
              <w:rPr>
                <w:rFonts w:cs="Calibri"/>
                <w:bCs/>
                <w:color w:val="000000"/>
                <w:sz w:val="14"/>
                <w:szCs w:val="14"/>
              </w:rPr>
              <w:t>.</w:t>
            </w:r>
            <w:r w:rsidRPr="003003C0">
              <w:rPr>
                <w:rFonts w:cs="Calibri"/>
                <w:bCs/>
                <w:color w:val="000000"/>
                <w:sz w:val="14"/>
                <w:szCs w:val="14"/>
              </w:rPr>
              <w:t>1</w:t>
            </w:r>
          </w:p>
        </w:tc>
        <w:tc>
          <w:tcPr>
            <w:tcW w:w="650" w:type="dxa"/>
            <w:noWrap/>
            <w:vAlign w:val="center"/>
            <w:hideMark/>
          </w:tcPr>
          <w:p w14:paraId="3B6626BC" w14:textId="77777777" w:rsidR="004F64EF" w:rsidRPr="003003C0" w:rsidRDefault="004F64EF" w:rsidP="00FD6B66">
            <w:pPr>
              <w:jc w:val="right"/>
              <w:rPr>
                <w:rFonts w:cs="Calibri"/>
                <w:bCs/>
                <w:color w:val="000000"/>
                <w:sz w:val="14"/>
                <w:szCs w:val="14"/>
              </w:rPr>
            </w:pPr>
            <w:r w:rsidRPr="003003C0">
              <w:rPr>
                <w:rFonts w:cs="Calibri"/>
                <w:bCs/>
                <w:color w:val="000000"/>
                <w:sz w:val="14"/>
                <w:szCs w:val="14"/>
              </w:rPr>
              <w:t>0</w:t>
            </w:r>
            <w:r>
              <w:rPr>
                <w:rFonts w:cs="Calibri"/>
                <w:bCs/>
                <w:color w:val="000000"/>
                <w:sz w:val="14"/>
                <w:szCs w:val="14"/>
              </w:rPr>
              <w:t>.</w:t>
            </w:r>
            <w:r w:rsidRPr="003003C0">
              <w:rPr>
                <w:rFonts w:cs="Calibri"/>
                <w:bCs/>
                <w:color w:val="000000"/>
                <w:sz w:val="14"/>
                <w:szCs w:val="14"/>
              </w:rPr>
              <w:t>1</w:t>
            </w:r>
          </w:p>
        </w:tc>
        <w:tc>
          <w:tcPr>
            <w:tcW w:w="650" w:type="dxa"/>
            <w:noWrap/>
            <w:vAlign w:val="center"/>
            <w:hideMark/>
          </w:tcPr>
          <w:p w14:paraId="58E8BB42" w14:textId="77777777" w:rsidR="004F64EF" w:rsidRPr="003003C0" w:rsidRDefault="004F64EF" w:rsidP="00FD6B66">
            <w:pPr>
              <w:jc w:val="right"/>
              <w:rPr>
                <w:rFonts w:cs="Calibri"/>
                <w:bCs/>
                <w:color w:val="000000"/>
                <w:sz w:val="14"/>
                <w:szCs w:val="14"/>
              </w:rPr>
            </w:pPr>
            <w:r w:rsidRPr="003003C0">
              <w:rPr>
                <w:rFonts w:cs="Calibri"/>
                <w:bCs/>
                <w:color w:val="000000"/>
                <w:sz w:val="14"/>
                <w:szCs w:val="14"/>
              </w:rPr>
              <w:t>0</w:t>
            </w:r>
            <w:r>
              <w:rPr>
                <w:rFonts w:cs="Calibri"/>
                <w:bCs/>
                <w:color w:val="000000"/>
                <w:sz w:val="14"/>
                <w:szCs w:val="14"/>
              </w:rPr>
              <w:t>.</w:t>
            </w:r>
            <w:r w:rsidRPr="003003C0">
              <w:rPr>
                <w:rFonts w:cs="Calibri"/>
                <w:bCs/>
                <w:color w:val="000000"/>
                <w:sz w:val="14"/>
                <w:szCs w:val="14"/>
              </w:rPr>
              <w:t>1</w:t>
            </w:r>
          </w:p>
        </w:tc>
        <w:tc>
          <w:tcPr>
            <w:tcW w:w="650" w:type="dxa"/>
            <w:noWrap/>
            <w:vAlign w:val="center"/>
            <w:hideMark/>
          </w:tcPr>
          <w:p w14:paraId="7364BF52" w14:textId="77777777" w:rsidR="004F64EF" w:rsidRPr="003003C0" w:rsidRDefault="004F64EF" w:rsidP="00FD6B66">
            <w:pPr>
              <w:jc w:val="right"/>
              <w:rPr>
                <w:rFonts w:cs="Calibri"/>
                <w:bCs/>
                <w:color w:val="000000"/>
                <w:sz w:val="14"/>
                <w:szCs w:val="14"/>
              </w:rPr>
            </w:pPr>
            <w:r w:rsidRPr="003003C0">
              <w:rPr>
                <w:rFonts w:cs="Calibri"/>
                <w:bCs/>
                <w:color w:val="000000"/>
                <w:sz w:val="14"/>
                <w:szCs w:val="14"/>
              </w:rPr>
              <w:t>0</w:t>
            </w:r>
            <w:r>
              <w:rPr>
                <w:rFonts w:cs="Calibri"/>
                <w:bCs/>
                <w:color w:val="000000"/>
                <w:sz w:val="14"/>
                <w:szCs w:val="14"/>
              </w:rPr>
              <w:t>.</w:t>
            </w:r>
            <w:r w:rsidRPr="003003C0">
              <w:rPr>
                <w:rFonts w:cs="Calibri"/>
                <w:bCs/>
                <w:color w:val="000000"/>
                <w:sz w:val="14"/>
                <w:szCs w:val="14"/>
              </w:rPr>
              <w:t>0</w:t>
            </w:r>
          </w:p>
        </w:tc>
      </w:tr>
      <w:tr w:rsidR="004F64EF" w:rsidRPr="003003C0" w14:paraId="00A662F3" w14:textId="77777777" w:rsidTr="00FD6B66">
        <w:trPr>
          <w:cnfStyle w:val="000000010000" w:firstRow="0" w:lastRow="0" w:firstColumn="0" w:lastColumn="0" w:oddVBand="0" w:evenVBand="0" w:oddHBand="0" w:evenHBand="1" w:firstRowFirstColumn="0" w:firstRowLastColumn="0" w:lastRowFirstColumn="0" w:lastRowLastColumn="0"/>
          <w:trHeight w:val="20"/>
        </w:trPr>
        <w:tc>
          <w:tcPr>
            <w:tcW w:w="4478" w:type="dxa"/>
            <w:noWrap/>
            <w:vAlign w:val="center"/>
            <w:hideMark/>
          </w:tcPr>
          <w:p w14:paraId="2E55B50B" w14:textId="77777777" w:rsidR="004F64EF" w:rsidRPr="003003C0" w:rsidRDefault="004F64EF" w:rsidP="00FD6B66">
            <w:pPr>
              <w:jc w:val="left"/>
              <w:rPr>
                <w:rFonts w:cs="Calibri"/>
                <w:bCs/>
                <w:color w:val="000000"/>
                <w:sz w:val="14"/>
                <w:szCs w:val="14"/>
              </w:rPr>
            </w:pPr>
            <w:r w:rsidRPr="003003C0">
              <w:rPr>
                <w:rFonts w:cs="Calibri"/>
                <w:bCs/>
                <w:color w:val="000000"/>
                <w:sz w:val="14"/>
                <w:szCs w:val="14"/>
              </w:rPr>
              <w:t xml:space="preserve">3 - </w:t>
            </w:r>
            <w:r w:rsidRPr="004966A7">
              <w:rPr>
                <w:rFonts w:cs="Calibri"/>
                <w:bCs/>
                <w:color w:val="000000"/>
                <w:sz w:val="14"/>
                <w:szCs w:val="14"/>
              </w:rPr>
              <w:t>Animal or vegetable fats and oils</w:t>
            </w:r>
          </w:p>
        </w:tc>
        <w:tc>
          <w:tcPr>
            <w:tcW w:w="650" w:type="dxa"/>
            <w:noWrap/>
            <w:vAlign w:val="center"/>
            <w:hideMark/>
          </w:tcPr>
          <w:p w14:paraId="290F25B6" w14:textId="77777777" w:rsidR="004F64EF" w:rsidRPr="003003C0" w:rsidRDefault="004F64EF" w:rsidP="00FD6B66">
            <w:pPr>
              <w:jc w:val="right"/>
              <w:rPr>
                <w:rFonts w:cs="Calibri"/>
                <w:bCs/>
                <w:color w:val="000000"/>
                <w:sz w:val="14"/>
                <w:szCs w:val="14"/>
              </w:rPr>
            </w:pPr>
            <w:r w:rsidRPr="003003C0">
              <w:rPr>
                <w:rFonts w:cs="Calibri"/>
                <w:bCs/>
                <w:color w:val="000000"/>
                <w:sz w:val="14"/>
                <w:szCs w:val="14"/>
              </w:rPr>
              <w:t>0</w:t>
            </w:r>
            <w:r>
              <w:rPr>
                <w:rFonts w:cs="Calibri"/>
                <w:bCs/>
                <w:color w:val="000000"/>
                <w:sz w:val="14"/>
                <w:szCs w:val="14"/>
              </w:rPr>
              <w:t>.</w:t>
            </w:r>
            <w:r w:rsidRPr="003003C0">
              <w:rPr>
                <w:rFonts w:cs="Calibri"/>
                <w:bCs/>
                <w:color w:val="000000"/>
                <w:sz w:val="14"/>
                <w:szCs w:val="14"/>
              </w:rPr>
              <w:t>0</w:t>
            </w:r>
          </w:p>
        </w:tc>
        <w:tc>
          <w:tcPr>
            <w:tcW w:w="650" w:type="dxa"/>
            <w:noWrap/>
            <w:vAlign w:val="center"/>
            <w:hideMark/>
          </w:tcPr>
          <w:p w14:paraId="4526923B" w14:textId="77777777" w:rsidR="004F64EF" w:rsidRPr="003003C0" w:rsidRDefault="004F64EF" w:rsidP="00FD6B66">
            <w:pPr>
              <w:jc w:val="right"/>
              <w:rPr>
                <w:rFonts w:cs="Calibri"/>
                <w:bCs/>
                <w:color w:val="000000"/>
                <w:sz w:val="14"/>
                <w:szCs w:val="14"/>
              </w:rPr>
            </w:pPr>
            <w:r w:rsidRPr="003003C0">
              <w:rPr>
                <w:rFonts w:cs="Calibri"/>
                <w:bCs/>
                <w:color w:val="000000"/>
                <w:sz w:val="14"/>
                <w:szCs w:val="14"/>
              </w:rPr>
              <w:t>0</w:t>
            </w:r>
            <w:r>
              <w:rPr>
                <w:rFonts w:cs="Calibri"/>
                <w:bCs/>
                <w:color w:val="000000"/>
                <w:sz w:val="14"/>
                <w:szCs w:val="14"/>
              </w:rPr>
              <w:t>.</w:t>
            </w:r>
            <w:r w:rsidRPr="003003C0">
              <w:rPr>
                <w:rFonts w:cs="Calibri"/>
                <w:bCs/>
                <w:color w:val="000000"/>
                <w:sz w:val="14"/>
                <w:szCs w:val="14"/>
              </w:rPr>
              <w:t>0</w:t>
            </w:r>
          </w:p>
        </w:tc>
        <w:tc>
          <w:tcPr>
            <w:tcW w:w="650" w:type="dxa"/>
            <w:noWrap/>
            <w:vAlign w:val="center"/>
            <w:hideMark/>
          </w:tcPr>
          <w:p w14:paraId="73C4B679" w14:textId="77777777" w:rsidR="004F64EF" w:rsidRPr="003003C0" w:rsidRDefault="004F64EF" w:rsidP="00FD6B66">
            <w:pPr>
              <w:jc w:val="right"/>
              <w:rPr>
                <w:rFonts w:cs="Calibri"/>
                <w:bCs/>
                <w:color w:val="000000"/>
                <w:sz w:val="14"/>
                <w:szCs w:val="14"/>
              </w:rPr>
            </w:pPr>
            <w:r w:rsidRPr="003003C0">
              <w:rPr>
                <w:rFonts w:cs="Calibri"/>
                <w:bCs/>
                <w:color w:val="000000"/>
                <w:sz w:val="14"/>
                <w:szCs w:val="14"/>
              </w:rPr>
              <w:t>0</w:t>
            </w:r>
            <w:r>
              <w:rPr>
                <w:rFonts w:cs="Calibri"/>
                <w:bCs/>
                <w:color w:val="000000"/>
                <w:sz w:val="14"/>
                <w:szCs w:val="14"/>
              </w:rPr>
              <w:t>.</w:t>
            </w:r>
            <w:r w:rsidRPr="003003C0">
              <w:rPr>
                <w:rFonts w:cs="Calibri"/>
                <w:bCs/>
                <w:color w:val="000000"/>
                <w:sz w:val="14"/>
                <w:szCs w:val="14"/>
              </w:rPr>
              <w:t>0</w:t>
            </w:r>
          </w:p>
        </w:tc>
        <w:tc>
          <w:tcPr>
            <w:tcW w:w="650" w:type="dxa"/>
            <w:noWrap/>
            <w:vAlign w:val="center"/>
            <w:hideMark/>
          </w:tcPr>
          <w:p w14:paraId="5C994661" w14:textId="77777777" w:rsidR="004F64EF" w:rsidRPr="003003C0" w:rsidRDefault="004F64EF" w:rsidP="00FD6B66">
            <w:pPr>
              <w:jc w:val="right"/>
              <w:rPr>
                <w:rFonts w:cs="Calibri"/>
                <w:bCs/>
                <w:color w:val="000000"/>
                <w:sz w:val="14"/>
                <w:szCs w:val="14"/>
              </w:rPr>
            </w:pPr>
            <w:r w:rsidRPr="003003C0">
              <w:rPr>
                <w:rFonts w:cs="Calibri"/>
                <w:bCs/>
                <w:color w:val="000000"/>
                <w:sz w:val="14"/>
                <w:szCs w:val="14"/>
              </w:rPr>
              <w:t>0</w:t>
            </w:r>
            <w:r>
              <w:rPr>
                <w:rFonts w:cs="Calibri"/>
                <w:bCs/>
                <w:color w:val="000000"/>
                <w:sz w:val="14"/>
                <w:szCs w:val="14"/>
              </w:rPr>
              <w:t>.</w:t>
            </w:r>
            <w:r w:rsidRPr="003003C0">
              <w:rPr>
                <w:rFonts w:cs="Calibri"/>
                <w:bCs/>
                <w:color w:val="000000"/>
                <w:sz w:val="14"/>
                <w:szCs w:val="14"/>
              </w:rPr>
              <w:t>0</w:t>
            </w:r>
          </w:p>
        </w:tc>
        <w:tc>
          <w:tcPr>
            <w:tcW w:w="650" w:type="dxa"/>
            <w:noWrap/>
            <w:vAlign w:val="center"/>
            <w:hideMark/>
          </w:tcPr>
          <w:p w14:paraId="7F2DCBFB" w14:textId="77777777" w:rsidR="004F64EF" w:rsidRPr="003003C0" w:rsidRDefault="004F64EF" w:rsidP="00FD6B66">
            <w:pPr>
              <w:jc w:val="right"/>
              <w:rPr>
                <w:rFonts w:cs="Calibri"/>
                <w:bCs/>
                <w:color w:val="000000"/>
                <w:sz w:val="14"/>
                <w:szCs w:val="14"/>
              </w:rPr>
            </w:pPr>
            <w:r w:rsidRPr="003003C0">
              <w:rPr>
                <w:rFonts w:cs="Calibri"/>
                <w:bCs/>
                <w:color w:val="000000"/>
                <w:sz w:val="14"/>
                <w:szCs w:val="14"/>
              </w:rPr>
              <w:t>0</w:t>
            </w:r>
            <w:r>
              <w:rPr>
                <w:rFonts w:cs="Calibri"/>
                <w:bCs/>
                <w:color w:val="000000"/>
                <w:sz w:val="14"/>
                <w:szCs w:val="14"/>
              </w:rPr>
              <w:t>.</w:t>
            </w:r>
            <w:r w:rsidRPr="003003C0">
              <w:rPr>
                <w:rFonts w:cs="Calibri"/>
                <w:bCs/>
                <w:color w:val="000000"/>
                <w:sz w:val="14"/>
                <w:szCs w:val="14"/>
              </w:rPr>
              <w:t>0</w:t>
            </w:r>
          </w:p>
        </w:tc>
        <w:tc>
          <w:tcPr>
            <w:tcW w:w="650" w:type="dxa"/>
            <w:noWrap/>
            <w:vAlign w:val="center"/>
            <w:hideMark/>
          </w:tcPr>
          <w:p w14:paraId="1AF746BC" w14:textId="77777777" w:rsidR="004F64EF" w:rsidRPr="003003C0" w:rsidRDefault="004F64EF" w:rsidP="00FD6B66">
            <w:pPr>
              <w:jc w:val="right"/>
              <w:rPr>
                <w:rFonts w:cs="Calibri"/>
                <w:bCs/>
                <w:color w:val="000000"/>
                <w:sz w:val="14"/>
                <w:szCs w:val="14"/>
              </w:rPr>
            </w:pPr>
            <w:r w:rsidRPr="003003C0">
              <w:rPr>
                <w:rFonts w:cs="Calibri"/>
                <w:bCs/>
                <w:color w:val="000000"/>
                <w:sz w:val="14"/>
                <w:szCs w:val="14"/>
              </w:rPr>
              <w:t>0</w:t>
            </w:r>
            <w:r>
              <w:rPr>
                <w:rFonts w:cs="Calibri"/>
                <w:bCs/>
                <w:color w:val="000000"/>
                <w:sz w:val="14"/>
                <w:szCs w:val="14"/>
              </w:rPr>
              <w:t>.</w:t>
            </w:r>
            <w:r w:rsidRPr="003003C0">
              <w:rPr>
                <w:rFonts w:cs="Calibri"/>
                <w:bCs/>
                <w:color w:val="000000"/>
                <w:sz w:val="14"/>
                <w:szCs w:val="14"/>
              </w:rPr>
              <w:t>1</w:t>
            </w:r>
          </w:p>
        </w:tc>
        <w:tc>
          <w:tcPr>
            <w:tcW w:w="650" w:type="dxa"/>
            <w:noWrap/>
            <w:vAlign w:val="center"/>
            <w:hideMark/>
          </w:tcPr>
          <w:p w14:paraId="1B61592A" w14:textId="77777777" w:rsidR="004F64EF" w:rsidRPr="003003C0" w:rsidRDefault="004F64EF" w:rsidP="00FD6B66">
            <w:pPr>
              <w:jc w:val="right"/>
              <w:rPr>
                <w:rFonts w:cs="Calibri"/>
                <w:bCs/>
                <w:color w:val="000000"/>
                <w:sz w:val="14"/>
                <w:szCs w:val="14"/>
              </w:rPr>
            </w:pPr>
            <w:r w:rsidRPr="003003C0">
              <w:rPr>
                <w:rFonts w:cs="Calibri"/>
                <w:bCs/>
                <w:color w:val="000000"/>
                <w:sz w:val="14"/>
                <w:szCs w:val="14"/>
              </w:rPr>
              <w:t>0</w:t>
            </w:r>
            <w:r>
              <w:rPr>
                <w:rFonts w:cs="Calibri"/>
                <w:bCs/>
                <w:color w:val="000000"/>
                <w:sz w:val="14"/>
                <w:szCs w:val="14"/>
              </w:rPr>
              <w:t>.</w:t>
            </w:r>
            <w:r w:rsidRPr="003003C0">
              <w:rPr>
                <w:rFonts w:cs="Calibri"/>
                <w:bCs/>
                <w:color w:val="000000"/>
                <w:sz w:val="14"/>
                <w:szCs w:val="14"/>
              </w:rPr>
              <w:t>1</w:t>
            </w:r>
          </w:p>
        </w:tc>
      </w:tr>
      <w:tr w:rsidR="004F64EF" w:rsidRPr="003003C0" w14:paraId="6390554B" w14:textId="77777777" w:rsidTr="00FD6B66">
        <w:trPr>
          <w:trHeight w:val="20"/>
        </w:trPr>
        <w:tc>
          <w:tcPr>
            <w:tcW w:w="4478" w:type="dxa"/>
            <w:noWrap/>
            <w:vAlign w:val="center"/>
            <w:hideMark/>
          </w:tcPr>
          <w:p w14:paraId="0A2EAAB8" w14:textId="77777777" w:rsidR="004F64EF" w:rsidRPr="003003C0" w:rsidRDefault="004F64EF" w:rsidP="004966A7">
            <w:pPr>
              <w:jc w:val="left"/>
              <w:rPr>
                <w:rFonts w:cs="Calibri"/>
                <w:bCs/>
                <w:color w:val="000000"/>
                <w:sz w:val="14"/>
                <w:szCs w:val="14"/>
              </w:rPr>
            </w:pPr>
            <w:r w:rsidRPr="003003C0">
              <w:rPr>
                <w:rFonts w:cs="Calibri"/>
                <w:bCs/>
                <w:color w:val="000000"/>
                <w:sz w:val="14"/>
                <w:szCs w:val="14"/>
              </w:rPr>
              <w:t xml:space="preserve">4 - </w:t>
            </w:r>
            <w:r w:rsidRPr="004966A7">
              <w:rPr>
                <w:rFonts w:cs="Calibri"/>
                <w:bCs/>
                <w:color w:val="000000"/>
                <w:sz w:val="14"/>
                <w:szCs w:val="14"/>
              </w:rPr>
              <w:t>Prepared foodstuffs;</w:t>
            </w:r>
            <w:r>
              <w:rPr>
                <w:rFonts w:cs="Calibri"/>
                <w:bCs/>
                <w:color w:val="000000"/>
                <w:sz w:val="14"/>
                <w:szCs w:val="14"/>
              </w:rPr>
              <w:t xml:space="preserve"> </w:t>
            </w:r>
            <w:r w:rsidRPr="004966A7">
              <w:rPr>
                <w:rFonts w:cs="Calibri"/>
                <w:bCs/>
                <w:color w:val="000000"/>
                <w:sz w:val="14"/>
                <w:szCs w:val="14"/>
              </w:rPr>
              <w:t>beverages, spirits and vinegar; tobacco</w:t>
            </w:r>
            <w:r>
              <w:rPr>
                <w:rFonts w:cs="Calibri"/>
                <w:bCs/>
                <w:color w:val="000000"/>
                <w:sz w:val="14"/>
                <w:szCs w:val="14"/>
              </w:rPr>
              <w:t xml:space="preserve"> </w:t>
            </w:r>
            <w:r w:rsidRPr="004966A7">
              <w:rPr>
                <w:rFonts w:cs="Calibri"/>
                <w:bCs/>
                <w:color w:val="000000"/>
                <w:sz w:val="14"/>
                <w:szCs w:val="14"/>
              </w:rPr>
              <w:t>and manufactured tobacco substitutes</w:t>
            </w:r>
          </w:p>
        </w:tc>
        <w:tc>
          <w:tcPr>
            <w:tcW w:w="650" w:type="dxa"/>
            <w:noWrap/>
            <w:vAlign w:val="center"/>
            <w:hideMark/>
          </w:tcPr>
          <w:p w14:paraId="3B580F4A" w14:textId="77777777" w:rsidR="004F64EF" w:rsidRPr="003003C0" w:rsidRDefault="004F64EF" w:rsidP="00FD6B66">
            <w:pPr>
              <w:jc w:val="right"/>
              <w:rPr>
                <w:rFonts w:cs="Calibri"/>
                <w:bCs/>
                <w:color w:val="000000"/>
                <w:sz w:val="14"/>
                <w:szCs w:val="14"/>
              </w:rPr>
            </w:pPr>
            <w:r w:rsidRPr="003003C0">
              <w:rPr>
                <w:rFonts w:cs="Calibri"/>
                <w:bCs/>
                <w:color w:val="000000"/>
                <w:sz w:val="14"/>
                <w:szCs w:val="14"/>
              </w:rPr>
              <w:t>8</w:t>
            </w:r>
            <w:r>
              <w:rPr>
                <w:rFonts w:cs="Calibri"/>
                <w:bCs/>
                <w:color w:val="000000"/>
                <w:sz w:val="14"/>
                <w:szCs w:val="14"/>
              </w:rPr>
              <w:t>.</w:t>
            </w:r>
            <w:r w:rsidRPr="003003C0">
              <w:rPr>
                <w:rFonts w:cs="Calibri"/>
                <w:bCs/>
                <w:color w:val="000000"/>
                <w:sz w:val="14"/>
                <w:szCs w:val="14"/>
              </w:rPr>
              <w:t>5</w:t>
            </w:r>
          </w:p>
        </w:tc>
        <w:tc>
          <w:tcPr>
            <w:tcW w:w="650" w:type="dxa"/>
            <w:noWrap/>
            <w:vAlign w:val="center"/>
            <w:hideMark/>
          </w:tcPr>
          <w:p w14:paraId="3C4F62F0" w14:textId="77777777" w:rsidR="004F64EF" w:rsidRPr="003003C0" w:rsidRDefault="004F64EF" w:rsidP="00FD6B66">
            <w:pPr>
              <w:jc w:val="right"/>
              <w:rPr>
                <w:rFonts w:cs="Calibri"/>
                <w:bCs/>
                <w:color w:val="000000"/>
                <w:sz w:val="14"/>
                <w:szCs w:val="14"/>
              </w:rPr>
            </w:pPr>
            <w:r w:rsidRPr="003003C0">
              <w:rPr>
                <w:rFonts w:cs="Calibri"/>
                <w:bCs/>
                <w:color w:val="000000"/>
                <w:sz w:val="14"/>
                <w:szCs w:val="14"/>
              </w:rPr>
              <w:t>8</w:t>
            </w:r>
            <w:r>
              <w:rPr>
                <w:rFonts w:cs="Calibri"/>
                <w:bCs/>
                <w:color w:val="000000"/>
                <w:sz w:val="14"/>
                <w:szCs w:val="14"/>
              </w:rPr>
              <w:t>.</w:t>
            </w:r>
            <w:r w:rsidRPr="003003C0">
              <w:rPr>
                <w:rFonts w:cs="Calibri"/>
                <w:bCs/>
                <w:color w:val="000000"/>
                <w:sz w:val="14"/>
                <w:szCs w:val="14"/>
              </w:rPr>
              <w:t>7</w:t>
            </w:r>
          </w:p>
        </w:tc>
        <w:tc>
          <w:tcPr>
            <w:tcW w:w="650" w:type="dxa"/>
            <w:noWrap/>
            <w:vAlign w:val="center"/>
            <w:hideMark/>
          </w:tcPr>
          <w:p w14:paraId="4C935346" w14:textId="77777777" w:rsidR="004F64EF" w:rsidRPr="003003C0" w:rsidRDefault="004F64EF" w:rsidP="00FD6B66">
            <w:pPr>
              <w:jc w:val="right"/>
              <w:rPr>
                <w:rFonts w:cs="Calibri"/>
                <w:bCs/>
                <w:color w:val="000000"/>
                <w:sz w:val="14"/>
                <w:szCs w:val="14"/>
              </w:rPr>
            </w:pPr>
            <w:r w:rsidRPr="003003C0">
              <w:rPr>
                <w:rFonts w:cs="Calibri"/>
                <w:bCs/>
                <w:color w:val="000000"/>
                <w:sz w:val="14"/>
                <w:szCs w:val="14"/>
              </w:rPr>
              <w:t>8</w:t>
            </w:r>
            <w:r>
              <w:rPr>
                <w:rFonts w:cs="Calibri"/>
                <w:bCs/>
                <w:color w:val="000000"/>
                <w:sz w:val="14"/>
                <w:szCs w:val="14"/>
              </w:rPr>
              <w:t>.</w:t>
            </w:r>
            <w:r w:rsidRPr="003003C0">
              <w:rPr>
                <w:rFonts w:cs="Calibri"/>
                <w:bCs/>
                <w:color w:val="000000"/>
                <w:sz w:val="14"/>
                <w:szCs w:val="14"/>
              </w:rPr>
              <w:t>3</w:t>
            </w:r>
          </w:p>
        </w:tc>
        <w:tc>
          <w:tcPr>
            <w:tcW w:w="650" w:type="dxa"/>
            <w:noWrap/>
            <w:vAlign w:val="center"/>
            <w:hideMark/>
          </w:tcPr>
          <w:p w14:paraId="4AEE8636" w14:textId="77777777" w:rsidR="004F64EF" w:rsidRPr="003003C0" w:rsidRDefault="004F64EF" w:rsidP="00FD6B66">
            <w:pPr>
              <w:jc w:val="right"/>
              <w:rPr>
                <w:rFonts w:cs="Calibri"/>
                <w:bCs/>
                <w:color w:val="000000"/>
                <w:sz w:val="14"/>
                <w:szCs w:val="14"/>
              </w:rPr>
            </w:pPr>
            <w:r w:rsidRPr="003003C0">
              <w:rPr>
                <w:rFonts w:cs="Calibri"/>
                <w:bCs/>
                <w:color w:val="000000"/>
                <w:sz w:val="14"/>
                <w:szCs w:val="14"/>
              </w:rPr>
              <w:t>9</w:t>
            </w:r>
            <w:r>
              <w:rPr>
                <w:rFonts w:cs="Calibri"/>
                <w:bCs/>
                <w:color w:val="000000"/>
                <w:sz w:val="14"/>
                <w:szCs w:val="14"/>
              </w:rPr>
              <w:t>.</w:t>
            </w:r>
            <w:r w:rsidRPr="003003C0">
              <w:rPr>
                <w:rFonts w:cs="Calibri"/>
                <w:bCs/>
                <w:color w:val="000000"/>
                <w:sz w:val="14"/>
                <w:szCs w:val="14"/>
              </w:rPr>
              <w:t>4</w:t>
            </w:r>
          </w:p>
        </w:tc>
        <w:tc>
          <w:tcPr>
            <w:tcW w:w="650" w:type="dxa"/>
            <w:noWrap/>
            <w:vAlign w:val="center"/>
            <w:hideMark/>
          </w:tcPr>
          <w:p w14:paraId="3B9FA108" w14:textId="77777777" w:rsidR="004F64EF" w:rsidRPr="003003C0" w:rsidRDefault="004F64EF" w:rsidP="00FD6B66">
            <w:pPr>
              <w:jc w:val="right"/>
              <w:rPr>
                <w:rFonts w:cs="Calibri"/>
                <w:bCs/>
                <w:color w:val="000000"/>
                <w:sz w:val="14"/>
                <w:szCs w:val="14"/>
              </w:rPr>
            </w:pPr>
            <w:r w:rsidRPr="003003C0">
              <w:rPr>
                <w:rFonts w:cs="Calibri"/>
                <w:bCs/>
                <w:color w:val="000000"/>
                <w:sz w:val="14"/>
                <w:szCs w:val="14"/>
              </w:rPr>
              <w:t>10</w:t>
            </w:r>
            <w:r>
              <w:rPr>
                <w:rFonts w:cs="Calibri"/>
                <w:bCs/>
                <w:color w:val="000000"/>
                <w:sz w:val="14"/>
                <w:szCs w:val="14"/>
              </w:rPr>
              <w:t>.</w:t>
            </w:r>
            <w:r w:rsidRPr="003003C0">
              <w:rPr>
                <w:rFonts w:cs="Calibri"/>
                <w:bCs/>
                <w:color w:val="000000"/>
                <w:sz w:val="14"/>
                <w:szCs w:val="14"/>
              </w:rPr>
              <w:t>6</w:t>
            </w:r>
          </w:p>
        </w:tc>
        <w:tc>
          <w:tcPr>
            <w:tcW w:w="650" w:type="dxa"/>
            <w:noWrap/>
            <w:vAlign w:val="center"/>
            <w:hideMark/>
          </w:tcPr>
          <w:p w14:paraId="75F17A75" w14:textId="77777777" w:rsidR="004F64EF" w:rsidRPr="003003C0" w:rsidRDefault="004F64EF" w:rsidP="00FD6B66">
            <w:pPr>
              <w:jc w:val="right"/>
              <w:rPr>
                <w:rFonts w:cs="Calibri"/>
                <w:bCs/>
                <w:color w:val="000000"/>
                <w:sz w:val="14"/>
                <w:szCs w:val="14"/>
              </w:rPr>
            </w:pPr>
            <w:r w:rsidRPr="003003C0">
              <w:rPr>
                <w:rFonts w:cs="Calibri"/>
                <w:bCs/>
                <w:color w:val="000000"/>
                <w:sz w:val="14"/>
                <w:szCs w:val="14"/>
              </w:rPr>
              <w:t>11</w:t>
            </w:r>
            <w:r>
              <w:rPr>
                <w:rFonts w:cs="Calibri"/>
                <w:bCs/>
                <w:color w:val="000000"/>
                <w:sz w:val="14"/>
                <w:szCs w:val="14"/>
              </w:rPr>
              <w:t>.</w:t>
            </w:r>
            <w:r w:rsidRPr="003003C0">
              <w:rPr>
                <w:rFonts w:cs="Calibri"/>
                <w:bCs/>
                <w:color w:val="000000"/>
                <w:sz w:val="14"/>
                <w:szCs w:val="14"/>
              </w:rPr>
              <w:t>9</w:t>
            </w:r>
          </w:p>
        </w:tc>
        <w:tc>
          <w:tcPr>
            <w:tcW w:w="650" w:type="dxa"/>
            <w:noWrap/>
            <w:vAlign w:val="center"/>
            <w:hideMark/>
          </w:tcPr>
          <w:p w14:paraId="4BF3D071" w14:textId="77777777" w:rsidR="004F64EF" w:rsidRPr="003003C0" w:rsidRDefault="004F64EF" w:rsidP="00FD6B66">
            <w:pPr>
              <w:jc w:val="right"/>
              <w:rPr>
                <w:rFonts w:cs="Calibri"/>
                <w:bCs/>
                <w:color w:val="000000"/>
                <w:sz w:val="14"/>
                <w:szCs w:val="14"/>
              </w:rPr>
            </w:pPr>
            <w:r w:rsidRPr="003003C0">
              <w:rPr>
                <w:rFonts w:cs="Calibri"/>
                <w:bCs/>
                <w:color w:val="000000"/>
                <w:sz w:val="14"/>
                <w:szCs w:val="14"/>
              </w:rPr>
              <w:t>10</w:t>
            </w:r>
            <w:r>
              <w:rPr>
                <w:rFonts w:cs="Calibri"/>
                <w:bCs/>
                <w:color w:val="000000"/>
                <w:sz w:val="14"/>
                <w:szCs w:val="14"/>
              </w:rPr>
              <w:t>.</w:t>
            </w:r>
            <w:r w:rsidRPr="003003C0">
              <w:rPr>
                <w:rFonts w:cs="Calibri"/>
                <w:bCs/>
                <w:color w:val="000000"/>
                <w:sz w:val="14"/>
                <w:szCs w:val="14"/>
              </w:rPr>
              <w:t>4</w:t>
            </w:r>
          </w:p>
        </w:tc>
      </w:tr>
      <w:tr w:rsidR="004F64EF" w:rsidRPr="003003C0" w14:paraId="07F6C543" w14:textId="77777777" w:rsidTr="00FD6B66">
        <w:trPr>
          <w:cnfStyle w:val="000000010000" w:firstRow="0" w:lastRow="0" w:firstColumn="0" w:lastColumn="0" w:oddVBand="0" w:evenVBand="0" w:oddHBand="0" w:evenHBand="1" w:firstRowFirstColumn="0" w:firstRowLastColumn="0" w:lastRowFirstColumn="0" w:lastRowLastColumn="0"/>
          <w:trHeight w:val="20"/>
        </w:trPr>
        <w:tc>
          <w:tcPr>
            <w:tcW w:w="4478" w:type="dxa"/>
            <w:noWrap/>
            <w:vAlign w:val="center"/>
            <w:hideMark/>
          </w:tcPr>
          <w:p w14:paraId="3324FAB5" w14:textId="77777777" w:rsidR="004F64EF" w:rsidRPr="003003C0" w:rsidRDefault="004F64EF" w:rsidP="00FD6B66">
            <w:pPr>
              <w:tabs>
                <w:tab w:val="left" w:pos="227"/>
              </w:tabs>
              <w:jc w:val="left"/>
              <w:rPr>
                <w:rFonts w:cs="Calibri"/>
                <w:bCs/>
                <w:color w:val="000000"/>
                <w:sz w:val="14"/>
                <w:szCs w:val="14"/>
              </w:rPr>
            </w:pPr>
            <w:r w:rsidRPr="003003C0">
              <w:rPr>
                <w:rFonts w:cs="Calibri"/>
                <w:bCs/>
                <w:color w:val="000000"/>
                <w:sz w:val="14"/>
                <w:szCs w:val="14"/>
              </w:rPr>
              <w:tab/>
              <w:t xml:space="preserve">24. </w:t>
            </w:r>
            <w:r w:rsidRPr="00077504">
              <w:rPr>
                <w:rFonts w:cs="Calibri"/>
                <w:bCs/>
                <w:color w:val="000000"/>
                <w:sz w:val="14"/>
                <w:szCs w:val="14"/>
              </w:rPr>
              <w:t>Tobacco and manufactured tobacco substitutes</w:t>
            </w:r>
          </w:p>
        </w:tc>
        <w:tc>
          <w:tcPr>
            <w:tcW w:w="650" w:type="dxa"/>
            <w:noWrap/>
            <w:vAlign w:val="center"/>
            <w:hideMark/>
          </w:tcPr>
          <w:p w14:paraId="2CB2D124" w14:textId="77777777" w:rsidR="004F64EF" w:rsidRPr="003003C0" w:rsidRDefault="004F64EF" w:rsidP="00FD6B66">
            <w:pPr>
              <w:jc w:val="right"/>
              <w:rPr>
                <w:rFonts w:cs="Calibri"/>
                <w:bCs/>
                <w:color w:val="000000"/>
                <w:sz w:val="14"/>
                <w:szCs w:val="14"/>
              </w:rPr>
            </w:pPr>
            <w:r w:rsidRPr="003003C0">
              <w:rPr>
                <w:rFonts w:cs="Calibri"/>
                <w:bCs/>
                <w:color w:val="000000"/>
                <w:sz w:val="14"/>
                <w:szCs w:val="14"/>
              </w:rPr>
              <w:t>7</w:t>
            </w:r>
            <w:r>
              <w:rPr>
                <w:rFonts w:cs="Calibri"/>
                <w:bCs/>
                <w:color w:val="000000"/>
                <w:sz w:val="14"/>
                <w:szCs w:val="14"/>
              </w:rPr>
              <w:t>.</w:t>
            </w:r>
            <w:r w:rsidRPr="003003C0">
              <w:rPr>
                <w:rFonts w:cs="Calibri"/>
                <w:bCs/>
                <w:color w:val="000000"/>
                <w:sz w:val="14"/>
                <w:szCs w:val="14"/>
              </w:rPr>
              <w:t>3</w:t>
            </w:r>
          </w:p>
        </w:tc>
        <w:tc>
          <w:tcPr>
            <w:tcW w:w="650" w:type="dxa"/>
            <w:noWrap/>
            <w:vAlign w:val="center"/>
            <w:hideMark/>
          </w:tcPr>
          <w:p w14:paraId="630E0E52" w14:textId="77777777" w:rsidR="004F64EF" w:rsidRPr="003003C0" w:rsidRDefault="004F64EF" w:rsidP="00FD6B66">
            <w:pPr>
              <w:jc w:val="right"/>
              <w:rPr>
                <w:rFonts w:cs="Calibri"/>
                <w:bCs/>
                <w:color w:val="000000"/>
                <w:sz w:val="14"/>
                <w:szCs w:val="14"/>
              </w:rPr>
            </w:pPr>
            <w:r w:rsidRPr="003003C0">
              <w:rPr>
                <w:rFonts w:cs="Calibri"/>
                <w:bCs/>
                <w:color w:val="000000"/>
                <w:sz w:val="14"/>
                <w:szCs w:val="14"/>
              </w:rPr>
              <w:t>7</w:t>
            </w:r>
            <w:r>
              <w:rPr>
                <w:rFonts w:cs="Calibri"/>
                <w:bCs/>
                <w:color w:val="000000"/>
                <w:sz w:val="14"/>
                <w:szCs w:val="14"/>
              </w:rPr>
              <w:t>.</w:t>
            </w:r>
            <w:r w:rsidRPr="003003C0">
              <w:rPr>
                <w:rFonts w:cs="Calibri"/>
                <w:bCs/>
                <w:color w:val="000000"/>
                <w:sz w:val="14"/>
                <w:szCs w:val="14"/>
              </w:rPr>
              <w:t>2</w:t>
            </w:r>
          </w:p>
        </w:tc>
        <w:tc>
          <w:tcPr>
            <w:tcW w:w="650" w:type="dxa"/>
            <w:noWrap/>
            <w:vAlign w:val="center"/>
            <w:hideMark/>
          </w:tcPr>
          <w:p w14:paraId="2D483B21" w14:textId="77777777" w:rsidR="004F64EF" w:rsidRPr="003003C0" w:rsidRDefault="004F64EF" w:rsidP="00FD6B66">
            <w:pPr>
              <w:jc w:val="right"/>
              <w:rPr>
                <w:rFonts w:cs="Calibri"/>
                <w:bCs/>
                <w:color w:val="000000"/>
                <w:sz w:val="14"/>
                <w:szCs w:val="14"/>
              </w:rPr>
            </w:pPr>
            <w:r w:rsidRPr="003003C0">
              <w:rPr>
                <w:rFonts w:cs="Calibri"/>
                <w:bCs/>
                <w:color w:val="000000"/>
                <w:sz w:val="14"/>
                <w:szCs w:val="14"/>
              </w:rPr>
              <w:t>6</w:t>
            </w:r>
            <w:r>
              <w:rPr>
                <w:rFonts w:cs="Calibri"/>
                <w:bCs/>
                <w:color w:val="000000"/>
                <w:sz w:val="14"/>
                <w:szCs w:val="14"/>
              </w:rPr>
              <w:t>.</w:t>
            </w:r>
            <w:r w:rsidRPr="003003C0">
              <w:rPr>
                <w:rFonts w:cs="Calibri"/>
                <w:bCs/>
                <w:color w:val="000000"/>
                <w:sz w:val="14"/>
                <w:szCs w:val="14"/>
              </w:rPr>
              <w:t>9</w:t>
            </w:r>
          </w:p>
        </w:tc>
        <w:tc>
          <w:tcPr>
            <w:tcW w:w="650" w:type="dxa"/>
            <w:noWrap/>
            <w:vAlign w:val="center"/>
            <w:hideMark/>
          </w:tcPr>
          <w:p w14:paraId="47112493" w14:textId="77777777" w:rsidR="004F64EF" w:rsidRPr="003003C0" w:rsidRDefault="004F64EF" w:rsidP="00FD6B66">
            <w:pPr>
              <w:jc w:val="right"/>
              <w:rPr>
                <w:rFonts w:cs="Calibri"/>
                <w:bCs/>
                <w:color w:val="000000"/>
                <w:sz w:val="14"/>
                <w:szCs w:val="14"/>
              </w:rPr>
            </w:pPr>
            <w:r w:rsidRPr="003003C0">
              <w:rPr>
                <w:rFonts w:cs="Calibri"/>
                <w:bCs/>
                <w:color w:val="000000"/>
                <w:sz w:val="14"/>
                <w:szCs w:val="14"/>
              </w:rPr>
              <w:t>8</w:t>
            </w:r>
            <w:r>
              <w:rPr>
                <w:rFonts w:cs="Calibri"/>
                <w:bCs/>
                <w:color w:val="000000"/>
                <w:sz w:val="14"/>
                <w:szCs w:val="14"/>
              </w:rPr>
              <w:t>.</w:t>
            </w:r>
            <w:r w:rsidRPr="003003C0">
              <w:rPr>
                <w:rFonts w:cs="Calibri"/>
                <w:bCs/>
                <w:color w:val="000000"/>
                <w:sz w:val="14"/>
                <w:szCs w:val="14"/>
              </w:rPr>
              <w:t>0</w:t>
            </w:r>
          </w:p>
        </w:tc>
        <w:tc>
          <w:tcPr>
            <w:tcW w:w="650" w:type="dxa"/>
            <w:noWrap/>
            <w:vAlign w:val="center"/>
            <w:hideMark/>
          </w:tcPr>
          <w:p w14:paraId="77B4EF18" w14:textId="77777777" w:rsidR="004F64EF" w:rsidRPr="003003C0" w:rsidRDefault="004F64EF" w:rsidP="00FD6B66">
            <w:pPr>
              <w:jc w:val="right"/>
              <w:rPr>
                <w:rFonts w:cs="Calibri"/>
                <w:bCs/>
                <w:color w:val="000000"/>
                <w:sz w:val="14"/>
                <w:szCs w:val="14"/>
              </w:rPr>
            </w:pPr>
            <w:r w:rsidRPr="003003C0">
              <w:rPr>
                <w:rFonts w:cs="Calibri"/>
                <w:bCs/>
                <w:color w:val="000000"/>
                <w:sz w:val="14"/>
                <w:szCs w:val="14"/>
              </w:rPr>
              <w:t>9</w:t>
            </w:r>
            <w:r>
              <w:rPr>
                <w:rFonts w:cs="Calibri"/>
                <w:bCs/>
                <w:color w:val="000000"/>
                <w:sz w:val="14"/>
                <w:szCs w:val="14"/>
              </w:rPr>
              <w:t>.</w:t>
            </w:r>
            <w:r w:rsidRPr="003003C0">
              <w:rPr>
                <w:rFonts w:cs="Calibri"/>
                <w:bCs/>
                <w:color w:val="000000"/>
                <w:sz w:val="14"/>
                <w:szCs w:val="14"/>
              </w:rPr>
              <w:t>1</w:t>
            </w:r>
          </w:p>
        </w:tc>
        <w:tc>
          <w:tcPr>
            <w:tcW w:w="650" w:type="dxa"/>
            <w:noWrap/>
            <w:vAlign w:val="center"/>
            <w:hideMark/>
          </w:tcPr>
          <w:p w14:paraId="734567CC" w14:textId="77777777" w:rsidR="004F64EF" w:rsidRPr="003003C0" w:rsidRDefault="004F64EF" w:rsidP="00FD6B66">
            <w:pPr>
              <w:jc w:val="right"/>
              <w:rPr>
                <w:rFonts w:cs="Calibri"/>
                <w:bCs/>
                <w:color w:val="000000"/>
                <w:sz w:val="14"/>
                <w:szCs w:val="14"/>
              </w:rPr>
            </w:pPr>
            <w:r w:rsidRPr="003003C0">
              <w:rPr>
                <w:rFonts w:cs="Calibri"/>
                <w:bCs/>
                <w:color w:val="000000"/>
                <w:sz w:val="14"/>
                <w:szCs w:val="14"/>
              </w:rPr>
              <w:t>10</w:t>
            </w:r>
            <w:r>
              <w:rPr>
                <w:rFonts w:cs="Calibri"/>
                <w:bCs/>
                <w:color w:val="000000"/>
                <w:sz w:val="14"/>
                <w:szCs w:val="14"/>
              </w:rPr>
              <w:t>.</w:t>
            </w:r>
            <w:r w:rsidRPr="003003C0">
              <w:rPr>
                <w:rFonts w:cs="Calibri"/>
                <w:bCs/>
                <w:color w:val="000000"/>
                <w:sz w:val="14"/>
                <w:szCs w:val="14"/>
              </w:rPr>
              <w:t>8</w:t>
            </w:r>
          </w:p>
        </w:tc>
        <w:tc>
          <w:tcPr>
            <w:tcW w:w="650" w:type="dxa"/>
            <w:noWrap/>
            <w:vAlign w:val="center"/>
            <w:hideMark/>
          </w:tcPr>
          <w:p w14:paraId="48ABF585" w14:textId="77777777" w:rsidR="004F64EF" w:rsidRPr="003003C0" w:rsidRDefault="004F64EF" w:rsidP="00FD6B66">
            <w:pPr>
              <w:jc w:val="right"/>
              <w:rPr>
                <w:rFonts w:cs="Calibri"/>
                <w:bCs/>
                <w:color w:val="000000"/>
                <w:sz w:val="14"/>
                <w:szCs w:val="14"/>
              </w:rPr>
            </w:pPr>
            <w:r w:rsidRPr="003003C0">
              <w:rPr>
                <w:rFonts w:cs="Calibri"/>
                <w:bCs/>
                <w:color w:val="000000"/>
                <w:sz w:val="14"/>
                <w:szCs w:val="14"/>
              </w:rPr>
              <w:t>8</w:t>
            </w:r>
            <w:r>
              <w:rPr>
                <w:rFonts w:cs="Calibri"/>
                <w:bCs/>
                <w:color w:val="000000"/>
                <w:sz w:val="14"/>
                <w:szCs w:val="14"/>
              </w:rPr>
              <w:t>.</w:t>
            </w:r>
            <w:r w:rsidRPr="003003C0">
              <w:rPr>
                <w:rFonts w:cs="Calibri"/>
                <w:bCs/>
                <w:color w:val="000000"/>
                <w:sz w:val="14"/>
                <w:szCs w:val="14"/>
              </w:rPr>
              <w:t>8</w:t>
            </w:r>
          </w:p>
        </w:tc>
      </w:tr>
      <w:tr w:rsidR="004F64EF" w:rsidRPr="003003C0" w14:paraId="3B20C47D" w14:textId="77777777" w:rsidTr="00FD6B66">
        <w:trPr>
          <w:trHeight w:val="20"/>
        </w:trPr>
        <w:tc>
          <w:tcPr>
            <w:tcW w:w="4478" w:type="dxa"/>
            <w:noWrap/>
            <w:vAlign w:val="center"/>
            <w:hideMark/>
          </w:tcPr>
          <w:p w14:paraId="20FA5BEE" w14:textId="77777777" w:rsidR="004F64EF" w:rsidRPr="003003C0" w:rsidRDefault="004F64EF" w:rsidP="00FD6B66">
            <w:pPr>
              <w:tabs>
                <w:tab w:val="left" w:pos="227"/>
              </w:tabs>
              <w:jc w:val="left"/>
              <w:rPr>
                <w:rFonts w:cs="Calibri"/>
                <w:bCs/>
                <w:color w:val="000000"/>
                <w:sz w:val="14"/>
                <w:szCs w:val="14"/>
              </w:rPr>
            </w:pPr>
            <w:r w:rsidRPr="003003C0">
              <w:rPr>
                <w:rFonts w:cs="Calibri"/>
                <w:bCs/>
                <w:color w:val="000000"/>
                <w:sz w:val="14"/>
                <w:szCs w:val="14"/>
              </w:rPr>
              <w:tab/>
              <w:t xml:space="preserve">22. </w:t>
            </w:r>
            <w:r w:rsidRPr="00077504">
              <w:rPr>
                <w:rFonts w:cs="Calibri"/>
                <w:bCs/>
                <w:color w:val="000000"/>
                <w:sz w:val="14"/>
                <w:szCs w:val="14"/>
              </w:rPr>
              <w:t>Beverages, spirits and vinegar</w:t>
            </w:r>
          </w:p>
        </w:tc>
        <w:tc>
          <w:tcPr>
            <w:tcW w:w="650" w:type="dxa"/>
            <w:noWrap/>
            <w:vAlign w:val="center"/>
            <w:hideMark/>
          </w:tcPr>
          <w:p w14:paraId="3FA582F7" w14:textId="77777777" w:rsidR="004F64EF" w:rsidRPr="003003C0" w:rsidRDefault="004F64EF" w:rsidP="00FD6B66">
            <w:pPr>
              <w:jc w:val="right"/>
              <w:rPr>
                <w:rFonts w:cs="Calibri"/>
                <w:bCs/>
                <w:color w:val="000000"/>
                <w:sz w:val="14"/>
                <w:szCs w:val="14"/>
              </w:rPr>
            </w:pPr>
            <w:r w:rsidRPr="003003C0">
              <w:rPr>
                <w:rFonts w:cs="Calibri"/>
                <w:bCs/>
                <w:color w:val="000000"/>
                <w:sz w:val="14"/>
                <w:szCs w:val="14"/>
              </w:rPr>
              <w:t>0</w:t>
            </w:r>
            <w:r>
              <w:rPr>
                <w:rFonts w:cs="Calibri"/>
                <w:bCs/>
                <w:color w:val="000000"/>
                <w:sz w:val="14"/>
                <w:szCs w:val="14"/>
              </w:rPr>
              <w:t>.</w:t>
            </w:r>
            <w:r w:rsidRPr="003003C0">
              <w:rPr>
                <w:rFonts w:cs="Calibri"/>
                <w:bCs/>
                <w:color w:val="000000"/>
                <w:sz w:val="14"/>
                <w:szCs w:val="14"/>
              </w:rPr>
              <w:t>7</w:t>
            </w:r>
          </w:p>
        </w:tc>
        <w:tc>
          <w:tcPr>
            <w:tcW w:w="650" w:type="dxa"/>
            <w:noWrap/>
            <w:vAlign w:val="center"/>
            <w:hideMark/>
          </w:tcPr>
          <w:p w14:paraId="4B9E1ED6" w14:textId="77777777" w:rsidR="004F64EF" w:rsidRPr="003003C0" w:rsidRDefault="004F64EF" w:rsidP="00FD6B66">
            <w:pPr>
              <w:jc w:val="right"/>
              <w:rPr>
                <w:rFonts w:cs="Calibri"/>
                <w:bCs/>
                <w:color w:val="000000"/>
                <w:sz w:val="14"/>
                <w:szCs w:val="14"/>
              </w:rPr>
            </w:pPr>
            <w:r w:rsidRPr="003003C0">
              <w:rPr>
                <w:rFonts w:cs="Calibri"/>
                <w:bCs/>
                <w:color w:val="000000"/>
                <w:sz w:val="14"/>
                <w:szCs w:val="14"/>
              </w:rPr>
              <w:t>1</w:t>
            </w:r>
            <w:r>
              <w:rPr>
                <w:rFonts w:cs="Calibri"/>
                <w:bCs/>
                <w:color w:val="000000"/>
                <w:sz w:val="14"/>
                <w:szCs w:val="14"/>
              </w:rPr>
              <w:t>.</w:t>
            </w:r>
            <w:r w:rsidRPr="003003C0">
              <w:rPr>
                <w:rFonts w:cs="Calibri"/>
                <w:bCs/>
                <w:color w:val="000000"/>
                <w:sz w:val="14"/>
                <w:szCs w:val="14"/>
              </w:rPr>
              <w:t>0</w:t>
            </w:r>
          </w:p>
        </w:tc>
        <w:tc>
          <w:tcPr>
            <w:tcW w:w="650" w:type="dxa"/>
            <w:noWrap/>
            <w:vAlign w:val="center"/>
            <w:hideMark/>
          </w:tcPr>
          <w:p w14:paraId="0C11E12B" w14:textId="77777777" w:rsidR="004F64EF" w:rsidRPr="003003C0" w:rsidRDefault="004F64EF" w:rsidP="00FD6B66">
            <w:pPr>
              <w:jc w:val="right"/>
              <w:rPr>
                <w:rFonts w:cs="Calibri"/>
                <w:bCs/>
                <w:color w:val="000000"/>
                <w:sz w:val="14"/>
                <w:szCs w:val="14"/>
              </w:rPr>
            </w:pPr>
            <w:r w:rsidRPr="003003C0">
              <w:rPr>
                <w:rFonts w:cs="Calibri"/>
                <w:bCs/>
                <w:color w:val="000000"/>
                <w:sz w:val="14"/>
                <w:szCs w:val="14"/>
              </w:rPr>
              <w:t>1</w:t>
            </w:r>
            <w:r>
              <w:rPr>
                <w:rFonts w:cs="Calibri"/>
                <w:bCs/>
                <w:color w:val="000000"/>
                <w:sz w:val="14"/>
                <w:szCs w:val="14"/>
              </w:rPr>
              <w:t>.</w:t>
            </w:r>
            <w:r w:rsidRPr="003003C0">
              <w:rPr>
                <w:rFonts w:cs="Calibri"/>
                <w:bCs/>
                <w:color w:val="000000"/>
                <w:sz w:val="14"/>
                <w:szCs w:val="14"/>
              </w:rPr>
              <w:t>0</w:t>
            </w:r>
          </w:p>
        </w:tc>
        <w:tc>
          <w:tcPr>
            <w:tcW w:w="650" w:type="dxa"/>
            <w:noWrap/>
            <w:vAlign w:val="center"/>
            <w:hideMark/>
          </w:tcPr>
          <w:p w14:paraId="24F7F7E7" w14:textId="77777777" w:rsidR="004F64EF" w:rsidRPr="003003C0" w:rsidRDefault="004F64EF" w:rsidP="00FD6B66">
            <w:pPr>
              <w:jc w:val="right"/>
              <w:rPr>
                <w:rFonts w:cs="Calibri"/>
                <w:bCs/>
                <w:color w:val="000000"/>
                <w:sz w:val="14"/>
                <w:szCs w:val="14"/>
              </w:rPr>
            </w:pPr>
            <w:r w:rsidRPr="003003C0">
              <w:rPr>
                <w:rFonts w:cs="Calibri"/>
                <w:bCs/>
                <w:color w:val="000000"/>
                <w:sz w:val="14"/>
                <w:szCs w:val="14"/>
              </w:rPr>
              <w:t>1</w:t>
            </w:r>
            <w:r>
              <w:rPr>
                <w:rFonts w:cs="Calibri"/>
                <w:bCs/>
                <w:color w:val="000000"/>
                <w:sz w:val="14"/>
                <w:szCs w:val="14"/>
              </w:rPr>
              <w:t>.</w:t>
            </w:r>
            <w:r w:rsidRPr="003003C0">
              <w:rPr>
                <w:rFonts w:cs="Calibri"/>
                <w:bCs/>
                <w:color w:val="000000"/>
                <w:sz w:val="14"/>
                <w:szCs w:val="14"/>
              </w:rPr>
              <w:t>0</w:t>
            </w:r>
          </w:p>
        </w:tc>
        <w:tc>
          <w:tcPr>
            <w:tcW w:w="650" w:type="dxa"/>
            <w:noWrap/>
            <w:vAlign w:val="center"/>
            <w:hideMark/>
          </w:tcPr>
          <w:p w14:paraId="57EE251E" w14:textId="77777777" w:rsidR="004F64EF" w:rsidRPr="003003C0" w:rsidRDefault="004F64EF" w:rsidP="00FD6B66">
            <w:pPr>
              <w:jc w:val="right"/>
              <w:rPr>
                <w:rFonts w:cs="Calibri"/>
                <w:bCs/>
                <w:color w:val="000000"/>
                <w:sz w:val="14"/>
                <w:szCs w:val="14"/>
              </w:rPr>
            </w:pPr>
            <w:r w:rsidRPr="003003C0">
              <w:rPr>
                <w:rFonts w:cs="Calibri"/>
                <w:bCs/>
                <w:color w:val="000000"/>
                <w:sz w:val="14"/>
                <w:szCs w:val="14"/>
              </w:rPr>
              <w:t>1</w:t>
            </w:r>
            <w:r>
              <w:rPr>
                <w:rFonts w:cs="Calibri"/>
                <w:bCs/>
                <w:color w:val="000000"/>
                <w:sz w:val="14"/>
                <w:szCs w:val="14"/>
              </w:rPr>
              <w:t>.</w:t>
            </w:r>
            <w:r w:rsidRPr="003003C0">
              <w:rPr>
                <w:rFonts w:cs="Calibri"/>
                <w:bCs/>
                <w:color w:val="000000"/>
                <w:sz w:val="14"/>
                <w:szCs w:val="14"/>
              </w:rPr>
              <w:t>0</w:t>
            </w:r>
          </w:p>
        </w:tc>
        <w:tc>
          <w:tcPr>
            <w:tcW w:w="650" w:type="dxa"/>
            <w:noWrap/>
            <w:vAlign w:val="center"/>
            <w:hideMark/>
          </w:tcPr>
          <w:p w14:paraId="6612E5AF" w14:textId="77777777" w:rsidR="004F64EF" w:rsidRPr="003003C0" w:rsidRDefault="004F64EF" w:rsidP="00FD6B66">
            <w:pPr>
              <w:jc w:val="right"/>
              <w:rPr>
                <w:rFonts w:cs="Calibri"/>
                <w:bCs/>
                <w:color w:val="000000"/>
                <w:sz w:val="14"/>
                <w:szCs w:val="14"/>
              </w:rPr>
            </w:pPr>
            <w:r w:rsidRPr="003003C0">
              <w:rPr>
                <w:rFonts w:cs="Calibri"/>
                <w:bCs/>
                <w:color w:val="000000"/>
                <w:sz w:val="14"/>
                <w:szCs w:val="14"/>
              </w:rPr>
              <w:t>0</w:t>
            </w:r>
            <w:r>
              <w:rPr>
                <w:rFonts w:cs="Calibri"/>
                <w:bCs/>
                <w:color w:val="000000"/>
                <w:sz w:val="14"/>
                <w:szCs w:val="14"/>
              </w:rPr>
              <w:t>.</w:t>
            </w:r>
            <w:r w:rsidRPr="003003C0">
              <w:rPr>
                <w:rFonts w:cs="Calibri"/>
                <w:bCs/>
                <w:color w:val="000000"/>
                <w:sz w:val="14"/>
                <w:szCs w:val="14"/>
              </w:rPr>
              <w:t>8</w:t>
            </w:r>
          </w:p>
        </w:tc>
        <w:tc>
          <w:tcPr>
            <w:tcW w:w="650" w:type="dxa"/>
            <w:noWrap/>
            <w:vAlign w:val="center"/>
            <w:hideMark/>
          </w:tcPr>
          <w:p w14:paraId="7E025917" w14:textId="77777777" w:rsidR="004F64EF" w:rsidRPr="003003C0" w:rsidRDefault="004F64EF" w:rsidP="00FD6B66">
            <w:pPr>
              <w:jc w:val="right"/>
              <w:rPr>
                <w:rFonts w:cs="Calibri"/>
                <w:bCs/>
                <w:color w:val="000000"/>
                <w:sz w:val="14"/>
                <w:szCs w:val="14"/>
              </w:rPr>
            </w:pPr>
            <w:r w:rsidRPr="003003C0">
              <w:rPr>
                <w:rFonts w:cs="Calibri"/>
                <w:bCs/>
                <w:color w:val="000000"/>
                <w:sz w:val="14"/>
                <w:szCs w:val="14"/>
              </w:rPr>
              <w:t>1</w:t>
            </w:r>
            <w:r>
              <w:rPr>
                <w:rFonts w:cs="Calibri"/>
                <w:bCs/>
                <w:color w:val="000000"/>
                <w:sz w:val="14"/>
                <w:szCs w:val="14"/>
              </w:rPr>
              <w:t>.</w:t>
            </w:r>
            <w:r w:rsidRPr="003003C0">
              <w:rPr>
                <w:rFonts w:cs="Calibri"/>
                <w:bCs/>
                <w:color w:val="000000"/>
                <w:sz w:val="14"/>
                <w:szCs w:val="14"/>
              </w:rPr>
              <w:t>4</w:t>
            </w:r>
          </w:p>
        </w:tc>
      </w:tr>
      <w:tr w:rsidR="004F64EF" w:rsidRPr="003003C0" w14:paraId="385DE6B6" w14:textId="77777777" w:rsidTr="00FD6B66">
        <w:trPr>
          <w:cnfStyle w:val="000000010000" w:firstRow="0" w:lastRow="0" w:firstColumn="0" w:lastColumn="0" w:oddVBand="0" w:evenVBand="0" w:oddHBand="0" w:evenHBand="1" w:firstRowFirstColumn="0" w:firstRowLastColumn="0" w:lastRowFirstColumn="0" w:lastRowLastColumn="0"/>
          <w:trHeight w:val="20"/>
        </w:trPr>
        <w:tc>
          <w:tcPr>
            <w:tcW w:w="4478" w:type="dxa"/>
            <w:noWrap/>
            <w:vAlign w:val="center"/>
            <w:hideMark/>
          </w:tcPr>
          <w:p w14:paraId="731EB012" w14:textId="77777777" w:rsidR="004F64EF" w:rsidRPr="003003C0" w:rsidRDefault="004F64EF" w:rsidP="00FD6B66">
            <w:pPr>
              <w:tabs>
                <w:tab w:val="left" w:pos="227"/>
              </w:tabs>
              <w:jc w:val="left"/>
              <w:rPr>
                <w:rFonts w:cs="Calibri"/>
                <w:bCs/>
                <w:color w:val="000000"/>
                <w:sz w:val="14"/>
                <w:szCs w:val="14"/>
              </w:rPr>
            </w:pPr>
            <w:r w:rsidRPr="003003C0">
              <w:rPr>
                <w:rFonts w:cs="Calibri"/>
                <w:bCs/>
                <w:color w:val="000000"/>
                <w:sz w:val="14"/>
                <w:szCs w:val="14"/>
              </w:rPr>
              <w:tab/>
              <w:t xml:space="preserve">17. </w:t>
            </w:r>
            <w:r w:rsidRPr="00077504">
              <w:rPr>
                <w:rFonts w:cs="Calibri"/>
                <w:bCs/>
                <w:color w:val="000000"/>
                <w:sz w:val="14"/>
                <w:szCs w:val="14"/>
              </w:rPr>
              <w:t>Sugars and sugar confectionery</w:t>
            </w:r>
          </w:p>
        </w:tc>
        <w:tc>
          <w:tcPr>
            <w:tcW w:w="650" w:type="dxa"/>
            <w:noWrap/>
            <w:vAlign w:val="center"/>
            <w:hideMark/>
          </w:tcPr>
          <w:p w14:paraId="7B55995F" w14:textId="77777777" w:rsidR="004F64EF" w:rsidRPr="003003C0" w:rsidRDefault="004F64EF" w:rsidP="00FD6B66">
            <w:pPr>
              <w:jc w:val="right"/>
              <w:rPr>
                <w:rFonts w:cs="Calibri"/>
                <w:bCs/>
                <w:color w:val="000000"/>
                <w:sz w:val="14"/>
                <w:szCs w:val="14"/>
              </w:rPr>
            </w:pPr>
            <w:r w:rsidRPr="003003C0">
              <w:rPr>
                <w:rFonts w:cs="Calibri"/>
                <w:bCs/>
                <w:color w:val="000000"/>
                <w:sz w:val="14"/>
                <w:szCs w:val="14"/>
              </w:rPr>
              <w:t>0</w:t>
            </w:r>
            <w:r>
              <w:rPr>
                <w:rFonts w:cs="Calibri"/>
                <w:bCs/>
                <w:color w:val="000000"/>
                <w:sz w:val="14"/>
                <w:szCs w:val="14"/>
              </w:rPr>
              <w:t>.</w:t>
            </w:r>
            <w:r w:rsidRPr="003003C0">
              <w:rPr>
                <w:rFonts w:cs="Calibri"/>
                <w:bCs/>
                <w:color w:val="000000"/>
                <w:sz w:val="14"/>
                <w:szCs w:val="14"/>
              </w:rPr>
              <w:t>1</w:t>
            </w:r>
          </w:p>
        </w:tc>
        <w:tc>
          <w:tcPr>
            <w:tcW w:w="650" w:type="dxa"/>
            <w:noWrap/>
            <w:vAlign w:val="center"/>
            <w:hideMark/>
          </w:tcPr>
          <w:p w14:paraId="1DE9D503" w14:textId="77777777" w:rsidR="004F64EF" w:rsidRPr="003003C0" w:rsidRDefault="004F64EF" w:rsidP="00FD6B66">
            <w:pPr>
              <w:jc w:val="right"/>
              <w:rPr>
                <w:rFonts w:cs="Calibri"/>
                <w:bCs/>
                <w:color w:val="000000"/>
                <w:sz w:val="14"/>
                <w:szCs w:val="14"/>
              </w:rPr>
            </w:pPr>
            <w:r w:rsidRPr="003003C0">
              <w:rPr>
                <w:rFonts w:cs="Calibri"/>
                <w:bCs/>
                <w:color w:val="000000"/>
                <w:sz w:val="14"/>
                <w:szCs w:val="14"/>
              </w:rPr>
              <w:t>0</w:t>
            </w:r>
            <w:r>
              <w:rPr>
                <w:rFonts w:cs="Calibri"/>
                <w:bCs/>
                <w:color w:val="000000"/>
                <w:sz w:val="14"/>
                <w:szCs w:val="14"/>
              </w:rPr>
              <w:t>.</w:t>
            </w:r>
            <w:r w:rsidRPr="003003C0">
              <w:rPr>
                <w:rFonts w:cs="Calibri"/>
                <w:bCs/>
                <w:color w:val="000000"/>
                <w:sz w:val="14"/>
                <w:szCs w:val="14"/>
              </w:rPr>
              <w:t>1</w:t>
            </w:r>
          </w:p>
        </w:tc>
        <w:tc>
          <w:tcPr>
            <w:tcW w:w="650" w:type="dxa"/>
            <w:noWrap/>
            <w:vAlign w:val="center"/>
            <w:hideMark/>
          </w:tcPr>
          <w:p w14:paraId="2E9DA58A" w14:textId="77777777" w:rsidR="004F64EF" w:rsidRPr="003003C0" w:rsidRDefault="004F64EF" w:rsidP="00FD6B66">
            <w:pPr>
              <w:jc w:val="right"/>
              <w:rPr>
                <w:rFonts w:cs="Calibri"/>
                <w:bCs/>
                <w:color w:val="000000"/>
                <w:sz w:val="14"/>
                <w:szCs w:val="14"/>
              </w:rPr>
            </w:pPr>
            <w:r w:rsidRPr="003003C0">
              <w:rPr>
                <w:rFonts w:cs="Calibri"/>
                <w:bCs/>
                <w:color w:val="000000"/>
                <w:sz w:val="14"/>
                <w:szCs w:val="14"/>
              </w:rPr>
              <w:t>0</w:t>
            </w:r>
            <w:r>
              <w:rPr>
                <w:rFonts w:cs="Calibri"/>
                <w:bCs/>
                <w:color w:val="000000"/>
                <w:sz w:val="14"/>
                <w:szCs w:val="14"/>
              </w:rPr>
              <w:t>.</w:t>
            </w:r>
            <w:r w:rsidRPr="003003C0">
              <w:rPr>
                <w:rFonts w:cs="Calibri"/>
                <w:bCs/>
                <w:color w:val="000000"/>
                <w:sz w:val="14"/>
                <w:szCs w:val="14"/>
              </w:rPr>
              <w:t>1</w:t>
            </w:r>
          </w:p>
        </w:tc>
        <w:tc>
          <w:tcPr>
            <w:tcW w:w="650" w:type="dxa"/>
            <w:noWrap/>
            <w:vAlign w:val="center"/>
            <w:hideMark/>
          </w:tcPr>
          <w:p w14:paraId="70E4639D" w14:textId="77777777" w:rsidR="004F64EF" w:rsidRPr="003003C0" w:rsidRDefault="004F64EF" w:rsidP="00FD6B66">
            <w:pPr>
              <w:jc w:val="right"/>
              <w:rPr>
                <w:rFonts w:cs="Calibri"/>
                <w:bCs/>
                <w:color w:val="000000"/>
                <w:sz w:val="14"/>
                <w:szCs w:val="14"/>
              </w:rPr>
            </w:pPr>
            <w:r w:rsidRPr="003003C0">
              <w:rPr>
                <w:rFonts w:cs="Calibri"/>
                <w:bCs/>
                <w:color w:val="000000"/>
                <w:sz w:val="14"/>
                <w:szCs w:val="14"/>
              </w:rPr>
              <w:t>0</w:t>
            </w:r>
            <w:r>
              <w:rPr>
                <w:rFonts w:cs="Calibri"/>
                <w:bCs/>
                <w:color w:val="000000"/>
                <w:sz w:val="14"/>
                <w:szCs w:val="14"/>
              </w:rPr>
              <w:t>.</w:t>
            </w:r>
            <w:r w:rsidRPr="003003C0">
              <w:rPr>
                <w:rFonts w:cs="Calibri"/>
                <w:bCs/>
                <w:color w:val="000000"/>
                <w:sz w:val="14"/>
                <w:szCs w:val="14"/>
              </w:rPr>
              <w:t>1</w:t>
            </w:r>
          </w:p>
        </w:tc>
        <w:tc>
          <w:tcPr>
            <w:tcW w:w="650" w:type="dxa"/>
            <w:noWrap/>
            <w:vAlign w:val="center"/>
            <w:hideMark/>
          </w:tcPr>
          <w:p w14:paraId="04CE7EFE" w14:textId="77777777" w:rsidR="004F64EF" w:rsidRPr="003003C0" w:rsidRDefault="004F64EF" w:rsidP="00FD6B66">
            <w:pPr>
              <w:jc w:val="right"/>
              <w:rPr>
                <w:rFonts w:cs="Calibri"/>
                <w:bCs/>
                <w:color w:val="000000"/>
                <w:sz w:val="14"/>
                <w:szCs w:val="14"/>
              </w:rPr>
            </w:pPr>
            <w:r w:rsidRPr="003003C0">
              <w:rPr>
                <w:rFonts w:cs="Calibri"/>
                <w:bCs/>
                <w:color w:val="000000"/>
                <w:sz w:val="14"/>
                <w:szCs w:val="14"/>
              </w:rPr>
              <w:t>0</w:t>
            </w:r>
            <w:r>
              <w:rPr>
                <w:rFonts w:cs="Calibri"/>
                <w:bCs/>
                <w:color w:val="000000"/>
                <w:sz w:val="14"/>
                <w:szCs w:val="14"/>
              </w:rPr>
              <w:t>.</w:t>
            </w:r>
            <w:r w:rsidRPr="003003C0">
              <w:rPr>
                <w:rFonts w:cs="Calibri"/>
                <w:bCs/>
                <w:color w:val="000000"/>
                <w:sz w:val="14"/>
                <w:szCs w:val="14"/>
              </w:rPr>
              <w:t>2</w:t>
            </w:r>
          </w:p>
        </w:tc>
        <w:tc>
          <w:tcPr>
            <w:tcW w:w="650" w:type="dxa"/>
            <w:noWrap/>
            <w:vAlign w:val="center"/>
            <w:hideMark/>
          </w:tcPr>
          <w:p w14:paraId="00EA7A9E" w14:textId="77777777" w:rsidR="004F64EF" w:rsidRPr="003003C0" w:rsidRDefault="004F64EF" w:rsidP="00FD6B66">
            <w:pPr>
              <w:jc w:val="right"/>
              <w:rPr>
                <w:rFonts w:cs="Calibri"/>
                <w:bCs/>
                <w:color w:val="000000"/>
                <w:sz w:val="14"/>
                <w:szCs w:val="14"/>
              </w:rPr>
            </w:pPr>
            <w:r w:rsidRPr="003003C0">
              <w:rPr>
                <w:rFonts w:cs="Calibri"/>
                <w:bCs/>
                <w:color w:val="000000"/>
                <w:sz w:val="14"/>
                <w:szCs w:val="14"/>
              </w:rPr>
              <w:t>0</w:t>
            </w:r>
            <w:r>
              <w:rPr>
                <w:rFonts w:cs="Calibri"/>
                <w:bCs/>
                <w:color w:val="000000"/>
                <w:sz w:val="14"/>
                <w:szCs w:val="14"/>
              </w:rPr>
              <w:t>.</w:t>
            </w:r>
            <w:r w:rsidRPr="003003C0">
              <w:rPr>
                <w:rFonts w:cs="Calibri"/>
                <w:bCs/>
                <w:color w:val="000000"/>
                <w:sz w:val="14"/>
                <w:szCs w:val="14"/>
              </w:rPr>
              <w:t>1</w:t>
            </w:r>
          </w:p>
        </w:tc>
        <w:tc>
          <w:tcPr>
            <w:tcW w:w="650" w:type="dxa"/>
            <w:noWrap/>
            <w:vAlign w:val="center"/>
            <w:hideMark/>
          </w:tcPr>
          <w:p w14:paraId="3E6EB68C" w14:textId="77777777" w:rsidR="004F64EF" w:rsidRPr="003003C0" w:rsidRDefault="004F64EF" w:rsidP="00FD6B66">
            <w:pPr>
              <w:jc w:val="right"/>
              <w:rPr>
                <w:rFonts w:cs="Calibri"/>
                <w:bCs/>
                <w:color w:val="000000"/>
                <w:sz w:val="14"/>
                <w:szCs w:val="14"/>
              </w:rPr>
            </w:pPr>
            <w:r w:rsidRPr="003003C0">
              <w:rPr>
                <w:rFonts w:cs="Calibri"/>
                <w:bCs/>
                <w:color w:val="000000"/>
                <w:sz w:val="14"/>
                <w:szCs w:val="14"/>
              </w:rPr>
              <w:t>0</w:t>
            </w:r>
            <w:r>
              <w:rPr>
                <w:rFonts w:cs="Calibri"/>
                <w:bCs/>
                <w:color w:val="000000"/>
                <w:sz w:val="14"/>
                <w:szCs w:val="14"/>
              </w:rPr>
              <w:t>.</w:t>
            </w:r>
            <w:r w:rsidRPr="003003C0">
              <w:rPr>
                <w:rFonts w:cs="Calibri"/>
                <w:bCs/>
                <w:color w:val="000000"/>
                <w:sz w:val="14"/>
                <w:szCs w:val="14"/>
              </w:rPr>
              <w:t>1</w:t>
            </w:r>
          </w:p>
        </w:tc>
      </w:tr>
      <w:tr w:rsidR="004F64EF" w:rsidRPr="003003C0" w14:paraId="712EA914" w14:textId="77777777" w:rsidTr="00FD6B66">
        <w:trPr>
          <w:trHeight w:val="20"/>
        </w:trPr>
        <w:tc>
          <w:tcPr>
            <w:tcW w:w="4478" w:type="dxa"/>
            <w:noWrap/>
            <w:vAlign w:val="center"/>
            <w:hideMark/>
          </w:tcPr>
          <w:p w14:paraId="0568AEDC" w14:textId="77777777" w:rsidR="004F64EF" w:rsidRPr="003003C0" w:rsidRDefault="004F64EF" w:rsidP="00A839D1">
            <w:pPr>
              <w:tabs>
                <w:tab w:val="left" w:pos="227"/>
              </w:tabs>
              <w:ind w:left="227" w:hanging="227"/>
              <w:jc w:val="left"/>
              <w:rPr>
                <w:rFonts w:cs="Calibri"/>
                <w:bCs/>
                <w:color w:val="000000"/>
                <w:sz w:val="14"/>
                <w:szCs w:val="14"/>
              </w:rPr>
            </w:pPr>
            <w:r w:rsidRPr="003003C0">
              <w:rPr>
                <w:rFonts w:cs="Calibri"/>
                <w:bCs/>
                <w:color w:val="000000"/>
                <w:sz w:val="14"/>
                <w:szCs w:val="14"/>
              </w:rPr>
              <w:tab/>
            </w:r>
            <w:r w:rsidRPr="00A839D1">
              <w:rPr>
                <w:rFonts w:cs="Calibri"/>
                <w:color w:val="000000"/>
                <w:sz w:val="14"/>
                <w:szCs w:val="14"/>
              </w:rPr>
              <w:t>20</w:t>
            </w:r>
            <w:r w:rsidRPr="003003C0">
              <w:rPr>
                <w:rFonts w:cs="Calibri"/>
                <w:bCs/>
                <w:color w:val="000000"/>
                <w:sz w:val="14"/>
                <w:szCs w:val="14"/>
              </w:rPr>
              <w:t xml:space="preserve">. </w:t>
            </w:r>
            <w:r w:rsidRPr="00077504">
              <w:rPr>
                <w:rFonts w:cs="Calibri"/>
                <w:bCs/>
                <w:color w:val="000000"/>
                <w:sz w:val="14"/>
                <w:szCs w:val="14"/>
              </w:rPr>
              <w:t>Preparations of vegetables, fruit, nuts or other parts of plants</w:t>
            </w:r>
          </w:p>
        </w:tc>
        <w:tc>
          <w:tcPr>
            <w:tcW w:w="650" w:type="dxa"/>
            <w:noWrap/>
            <w:vAlign w:val="center"/>
            <w:hideMark/>
          </w:tcPr>
          <w:p w14:paraId="1C08E020" w14:textId="77777777" w:rsidR="004F64EF" w:rsidRPr="003003C0" w:rsidRDefault="004F64EF" w:rsidP="00FD6B66">
            <w:pPr>
              <w:jc w:val="right"/>
              <w:rPr>
                <w:rFonts w:cs="Calibri"/>
                <w:bCs/>
                <w:color w:val="000000"/>
                <w:sz w:val="14"/>
                <w:szCs w:val="14"/>
              </w:rPr>
            </w:pPr>
            <w:r w:rsidRPr="003003C0">
              <w:rPr>
                <w:rFonts w:cs="Calibri"/>
                <w:bCs/>
                <w:color w:val="000000"/>
                <w:sz w:val="14"/>
                <w:szCs w:val="14"/>
              </w:rPr>
              <w:t>0</w:t>
            </w:r>
            <w:r>
              <w:rPr>
                <w:rFonts w:cs="Calibri"/>
                <w:bCs/>
                <w:color w:val="000000"/>
                <w:sz w:val="14"/>
                <w:szCs w:val="14"/>
              </w:rPr>
              <w:t>.</w:t>
            </w:r>
            <w:r w:rsidRPr="003003C0">
              <w:rPr>
                <w:rFonts w:cs="Calibri"/>
                <w:bCs/>
                <w:color w:val="000000"/>
                <w:sz w:val="14"/>
                <w:szCs w:val="14"/>
              </w:rPr>
              <w:t>1</w:t>
            </w:r>
          </w:p>
        </w:tc>
        <w:tc>
          <w:tcPr>
            <w:tcW w:w="650" w:type="dxa"/>
            <w:noWrap/>
            <w:vAlign w:val="center"/>
            <w:hideMark/>
          </w:tcPr>
          <w:p w14:paraId="1B8AF9ED" w14:textId="77777777" w:rsidR="004F64EF" w:rsidRPr="003003C0" w:rsidRDefault="004F64EF" w:rsidP="00FD6B66">
            <w:pPr>
              <w:jc w:val="right"/>
              <w:rPr>
                <w:rFonts w:cs="Calibri"/>
                <w:bCs/>
                <w:color w:val="000000"/>
                <w:sz w:val="14"/>
                <w:szCs w:val="14"/>
              </w:rPr>
            </w:pPr>
            <w:r w:rsidRPr="003003C0">
              <w:rPr>
                <w:rFonts w:cs="Calibri"/>
                <w:bCs/>
                <w:color w:val="000000"/>
                <w:sz w:val="14"/>
                <w:szCs w:val="14"/>
              </w:rPr>
              <w:t>0</w:t>
            </w:r>
            <w:r>
              <w:rPr>
                <w:rFonts w:cs="Calibri"/>
                <w:bCs/>
                <w:color w:val="000000"/>
                <w:sz w:val="14"/>
                <w:szCs w:val="14"/>
              </w:rPr>
              <w:t>.</w:t>
            </w:r>
            <w:r w:rsidRPr="003003C0">
              <w:rPr>
                <w:rFonts w:cs="Calibri"/>
                <w:bCs/>
                <w:color w:val="000000"/>
                <w:sz w:val="14"/>
                <w:szCs w:val="14"/>
              </w:rPr>
              <w:t>1</w:t>
            </w:r>
          </w:p>
        </w:tc>
        <w:tc>
          <w:tcPr>
            <w:tcW w:w="650" w:type="dxa"/>
            <w:noWrap/>
            <w:vAlign w:val="center"/>
            <w:hideMark/>
          </w:tcPr>
          <w:p w14:paraId="3DA2CBD2" w14:textId="77777777" w:rsidR="004F64EF" w:rsidRPr="003003C0" w:rsidRDefault="004F64EF" w:rsidP="00FD6B66">
            <w:pPr>
              <w:jc w:val="right"/>
              <w:rPr>
                <w:rFonts w:cs="Calibri"/>
                <w:bCs/>
                <w:color w:val="000000"/>
                <w:sz w:val="14"/>
                <w:szCs w:val="14"/>
              </w:rPr>
            </w:pPr>
            <w:r w:rsidRPr="003003C0">
              <w:rPr>
                <w:rFonts w:cs="Calibri"/>
                <w:bCs/>
                <w:color w:val="000000"/>
                <w:sz w:val="14"/>
                <w:szCs w:val="14"/>
              </w:rPr>
              <w:t>0</w:t>
            </w:r>
            <w:r>
              <w:rPr>
                <w:rFonts w:cs="Calibri"/>
                <w:bCs/>
                <w:color w:val="000000"/>
                <w:sz w:val="14"/>
                <w:szCs w:val="14"/>
              </w:rPr>
              <w:t>.</w:t>
            </w:r>
            <w:r w:rsidRPr="003003C0">
              <w:rPr>
                <w:rFonts w:cs="Calibri"/>
                <w:bCs/>
                <w:color w:val="000000"/>
                <w:sz w:val="14"/>
                <w:szCs w:val="14"/>
              </w:rPr>
              <w:t>1</w:t>
            </w:r>
          </w:p>
        </w:tc>
        <w:tc>
          <w:tcPr>
            <w:tcW w:w="650" w:type="dxa"/>
            <w:noWrap/>
            <w:vAlign w:val="center"/>
            <w:hideMark/>
          </w:tcPr>
          <w:p w14:paraId="2971FF26" w14:textId="77777777" w:rsidR="004F64EF" w:rsidRPr="003003C0" w:rsidRDefault="004F64EF" w:rsidP="00FD6B66">
            <w:pPr>
              <w:jc w:val="right"/>
              <w:rPr>
                <w:rFonts w:cs="Calibri"/>
                <w:bCs/>
                <w:color w:val="000000"/>
                <w:sz w:val="14"/>
                <w:szCs w:val="14"/>
              </w:rPr>
            </w:pPr>
            <w:r w:rsidRPr="003003C0">
              <w:rPr>
                <w:rFonts w:cs="Calibri"/>
                <w:bCs/>
                <w:color w:val="000000"/>
                <w:sz w:val="14"/>
                <w:szCs w:val="14"/>
              </w:rPr>
              <w:t>0</w:t>
            </w:r>
            <w:r>
              <w:rPr>
                <w:rFonts w:cs="Calibri"/>
                <w:bCs/>
                <w:color w:val="000000"/>
                <w:sz w:val="14"/>
                <w:szCs w:val="14"/>
              </w:rPr>
              <w:t>.</w:t>
            </w:r>
            <w:r w:rsidRPr="003003C0">
              <w:rPr>
                <w:rFonts w:cs="Calibri"/>
                <w:bCs/>
                <w:color w:val="000000"/>
                <w:sz w:val="14"/>
                <w:szCs w:val="14"/>
              </w:rPr>
              <w:t>0</w:t>
            </w:r>
          </w:p>
        </w:tc>
        <w:tc>
          <w:tcPr>
            <w:tcW w:w="650" w:type="dxa"/>
            <w:noWrap/>
            <w:vAlign w:val="center"/>
            <w:hideMark/>
          </w:tcPr>
          <w:p w14:paraId="15560FB4" w14:textId="77777777" w:rsidR="004F64EF" w:rsidRPr="003003C0" w:rsidRDefault="004F64EF" w:rsidP="00FD6B66">
            <w:pPr>
              <w:jc w:val="right"/>
              <w:rPr>
                <w:rFonts w:cs="Calibri"/>
                <w:bCs/>
                <w:color w:val="000000"/>
                <w:sz w:val="14"/>
                <w:szCs w:val="14"/>
              </w:rPr>
            </w:pPr>
            <w:r w:rsidRPr="003003C0">
              <w:rPr>
                <w:rFonts w:cs="Calibri"/>
                <w:bCs/>
                <w:color w:val="000000"/>
                <w:sz w:val="14"/>
                <w:szCs w:val="14"/>
              </w:rPr>
              <w:t>0</w:t>
            </w:r>
            <w:r>
              <w:rPr>
                <w:rFonts w:cs="Calibri"/>
                <w:bCs/>
                <w:color w:val="000000"/>
                <w:sz w:val="14"/>
                <w:szCs w:val="14"/>
              </w:rPr>
              <w:t>.</w:t>
            </w:r>
            <w:r w:rsidRPr="003003C0">
              <w:rPr>
                <w:rFonts w:cs="Calibri"/>
                <w:bCs/>
                <w:color w:val="000000"/>
                <w:sz w:val="14"/>
                <w:szCs w:val="14"/>
              </w:rPr>
              <w:t>0</w:t>
            </w:r>
          </w:p>
        </w:tc>
        <w:tc>
          <w:tcPr>
            <w:tcW w:w="650" w:type="dxa"/>
            <w:noWrap/>
            <w:vAlign w:val="center"/>
            <w:hideMark/>
          </w:tcPr>
          <w:p w14:paraId="21A51707" w14:textId="77777777" w:rsidR="004F64EF" w:rsidRPr="003003C0" w:rsidRDefault="004F64EF" w:rsidP="00FD6B66">
            <w:pPr>
              <w:jc w:val="right"/>
              <w:rPr>
                <w:rFonts w:cs="Calibri"/>
                <w:bCs/>
                <w:color w:val="000000"/>
                <w:sz w:val="14"/>
                <w:szCs w:val="14"/>
              </w:rPr>
            </w:pPr>
            <w:r w:rsidRPr="003003C0">
              <w:rPr>
                <w:rFonts w:cs="Calibri"/>
                <w:bCs/>
                <w:color w:val="000000"/>
                <w:sz w:val="14"/>
                <w:szCs w:val="14"/>
              </w:rPr>
              <w:t>0</w:t>
            </w:r>
            <w:r>
              <w:rPr>
                <w:rFonts w:cs="Calibri"/>
                <w:bCs/>
                <w:color w:val="000000"/>
                <w:sz w:val="14"/>
                <w:szCs w:val="14"/>
              </w:rPr>
              <w:t>.</w:t>
            </w:r>
            <w:r w:rsidRPr="003003C0">
              <w:rPr>
                <w:rFonts w:cs="Calibri"/>
                <w:bCs/>
                <w:color w:val="000000"/>
                <w:sz w:val="14"/>
                <w:szCs w:val="14"/>
              </w:rPr>
              <w:t>0</w:t>
            </w:r>
          </w:p>
        </w:tc>
        <w:tc>
          <w:tcPr>
            <w:tcW w:w="650" w:type="dxa"/>
            <w:noWrap/>
            <w:vAlign w:val="center"/>
            <w:hideMark/>
          </w:tcPr>
          <w:p w14:paraId="55712894" w14:textId="77777777" w:rsidR="004F64EF" w:rsidRPr="003003C0" w:rsidRDefault="004F64EF" w:rsidP="00FD6B66">
            <w:pPr>
              <w:jc w:val="right"/>
              <w:rPr>
                <w:rFonts w:cs="Calibri"/>
                <w:bCs/>
                <w:color w:val="000000"/>
                <w:sz w:val="14"/>
                <w:szCs w:val="14"/>
              </w:rPr>
            </w:pPr>
            <w:r w:rsidRPr="003003C0">
              <w:rPr>
                <w:rFonts w:cs="Calibri"/>
                <w:bCs/>
                <w:color w:val="000000"/>
                <w:sz w:val="14"/>
                <w:szCs w:val="14"/>
              </w:rPr>
              <w:t>0</w:t>
            </w:r>
            <w:r>
              <w:rPr>
                <w:rFonts w:cs="Calibri"/>
                <w:bCs/>
                <w:color w:val="000000"/>
                <w:sz w:val="14"/>
                <w:szCs w:val="14"/>
              </w:rPr>
              <w:t>.</w:t>
            </w:r>
            <w:r w:rsidRPr="003003C0">
              <w:rPr>
                <w:rFonts w:cs="Calibri"/>
                <w:bCs/>
                <w:color w:val="000000"/>
                <w:sz w:val="14"/>
                <w:szCs w:val="14"/>
              </w:rPr>
              <w:t>0</w:t>
            </w:r>
          </w:p>
        </w:tc>
      </w:tr>
      <w:tr w:rsidR="004F64EF" w:rsidRPr="003003C0" w14:paraId="36B33E37" w14:textId="77777777" w:rsidTr="00FD6B66">
        <w:trPr>
          <w:cnfStyle w:val="000000010000" w:firstRow="0" w:lastRow="0" w:firstColumn="0" w:lastColumn="0" w:oddVBand="0" w:evenVBand="0" w:oddHBand="0" w:evenHBand="1" w:firstRowFirstColumn="0" w:firstRowLastColumn="0" w:lastRowFirstColumn="0" w:lastRowLastColumn="0"/>
          <w:trHeight w:val="20"/>
        </w:trPr>
        <w:tc>
          <w:tcPr>
            <w:tcW w:w="4478" w:type="dxa"/>
            <w:noWrap/>
            <w:vAlign w:val="center"/>
            <w:hideMark/>
          </w:tcPr>
          <w:p w14:paraId="26195303" w14:textId="77777777" w:rsidR="004F64EF" w:rsidRPr="003003C0" w:rsidRDefault="004F64EF" w:rsidP="00FD6B66">
            <w:pPr>
              <w:tabs>
                <w:tab w:val="left" w:pos="227"/>
              </w:tabs>
              <w:jc w:val="left"/>
              <w:rPr>
                <w:rFonts w:cs="Calibri"/>
                <w:bCs/>
                <w:color w:val="000000"/>
                <w:sz w:val="14"/>
                <w:szCs w:val="14"/>
              </w:rPr>
            </w:pPr>
            <w:r w:rsidRPr="003003C0">
              <w:rPr>
                <w:rFonts w:cs="Calibri"/>
                <w:bCs/>
                <w:color w:val="000000"/>
                <w:sz w:val="14"/>
                <w:szCs w:val="14"/>
              </w:rPr>
              <w:tab/>
              <w:t xml:space="preserve">18. </w:t>
            </w:r>
            <w:r w:rsidRPr="00077504">
              <w:rPr>
                <w:rFonts w:cs="Calibri"/>
                <w:bCs/>
                <w:color w:val="000000"/>
                <w:sz w:val="14"/>
                <w:szCs w:val="14"/>
              </w:rPr>
              <w:t>Cocoa and cocoa preparations</w:t>
            </w:r>
          </w:p>
        </w:tc>
        <w:tc>
          <w:tcPr>
            <w:tcW w:w="650" w:type="dxa"/>
            <w:noWrap/>
            <w:vAlign w:val="center"/>
            <w:hideMark/>
          </w:tcPr>
          <w:p w14:paraId="34925F8D" w14:textId="77777777" w:rsidR="004F64EF" w:rsidRPr="003003C0" w:rsidRDefault="004F64EF" w:rsidP="00FD6B66">
            <w:pPr>
              <w:jc w:val="right"/>
              <w:rPr>
                <w:rFonts w:cs="Calibri"/>
                <w:bCs/>
                <w:color w:val="000000"/>
                <w:sz w:val="14"/>
                <w:szCs w:val="14"/>
              </w:rPr>
            </w:pPr>
            <w:r w:rsidRPr="003003C0">
              <w:rPr>
                <w:rFonts w:cs="Calibri"/>
                <w:bCs/>
                <w:color w:val="000000"/>
                <w:sz w:val="14"/>
                <w:szCs w:val="14"/>
              </w:rPr>
              <w:t>0</w:t>
            </w:r>
            <w:r>
              <w:rPr>
                <w:rFonts w:cs="Calibri"/>
                <w:bCs/>
                <w:color w:val="000000"/>
                <w:sz w:val="14"/>
                <w:szCs w:val="14"/>
              </w:rPr>
              <w:t>.</w:t>
            </w:r>
            <w:r w:rsidRPr="003003C0">
              <w:rPr>
                <w:rFonts w:cs="Calibri"/>
                <w:bCs/>
                <w:color w:val="000000"/>
                <w:sz w:val="14"/>
                <w:szCs w:val="14"/>
              </w:rPr>
              <w:t>1</w:t>
            </w:r>
          </w:p>
        </w:tc>
        <w:tc>
          <w:tcPr>
            <w:tcW w:w="650" w:type="dxa"/>
            <w:noWrap/>
            <w:vAlign w:val="center"/>
            <w:hideMark/>
          </w:tcPr>
          <w:p w14:paraId="6E68664F" w14:textId="77777777" w:rsidR="004F64EF" w:rsidRPr="003003C0" w:rsidRDefault="004F64EF" w:rsidP="00FD6B66">
            <w:pPr>
              <w:jc w:val="right"/>
              <w:rPr>
                <w:rFonts w:cs="Calibri"/>
                <w:bCs/>
                <w:color w:val="000000"/>
                <w:sz w:val="14"/>
                <w:szCs w:val="14"/>
              </w:rPr>
            </w:pPr>
            <w:r w:rsidRPr="003003C0">
              <w:rPr>
                <w:rFonts w:cs="Calibri"/>
                <w:bCs/>
                <w:color w:val="000000"/>
                <w:sz w:val="14"/>
                <w:szCs w:val="14"/>
              </w:rPr>
              <w:t>0</w:t>
            </w:r>
            <w:r>
              <w:rPr>
                <w:rFonts w:cs="Calibri"/>
                <w:bCs/>
                <w:color w:val="000000"/>
                <w:sz w:val="14"/>
                <w:szCs w:val="14"/>
              </w:rPr>
              <w:t>.</w:t>
            </w:r>
            <w:r w:rsidRPr="003003C0">
              <w:rPr>
                <w:rFonts w:cs="Calibri"/>
                <w:bCs/>
                <w:color w:val="000000"/>
                <w:sz w:val="14"/>
                <w:szCs w:val="14"/>
              </w:rPr>
              <w:t>1</w:t>
            </w:r>
          </w:p>
        </w:tc>
        <w:tc>
          <w:tcPr>
            <w:tcW w:w="650" w:type="dxa"/>
            <w:noWrap/>
            <w:vAlign w:val="center"/>
            <w:hideMark/>
          </w:tcPr>
          <w:p w14:paraId="3629C67B" w14:textId="77777777" w:rsidR="004F64EF" w:rsidRPr="003003C0" w:rsidRDefault="004F64EF" w:rsidP="00FD6B66">
            <w:pPr>
              <w:jc w:val="right"/>
              <w:rPr>
                <w:rFonts w:cs="Calibri"/>
                <w:bCs/>
                <w:color w:val="000000"/>
                <w:sz w:val="14"/>
                <w:szCs w:val="14"/>
              </w:rPr>
            </w:pPr>
            <w:r w:rsidRPr="003003C0">
              <w:rPr>
                <w:rFonts w:cs="Calibri"/>
                <w:bCs/>
                <w:color w:val="000000"/>
                <w:sz w:val="14"/>
                <w:szCs w:val="14"/>
              </w:rPr>
              <w:t>0</w:t>
            </w:r>
            <w:r>
              <w:rPr>
                <w:rFonts w:cs="Calibri"/>
                <w:bCs/>
                <w:color w:val="000000"/>
                <w:sz w:val="14"/>
                <w:szCs w:val="14"/>
              </w:rPr>
              <w:t>.</w:t>
            </w:r>
            <w:r w:rsidRPr="003003C0">
              <w:rPr>
                <w:rFonts w:cs="Calibri"/>
                <w:bCs/>
                <w:color w:val="000000"/>
                <w:sz w:val="14"/>
                <w:szCs w:val="14"/>
              </w:rPr>
              <w:t>1</w:t>
            </w:r>
          </w:p>
        </w:tc>
        <w:tc>
          <w:tcPr>
            <w:tcW w:w="650" w:type="dxa"/>
            <w:noWrap/>
            <w:vAlign w:val="center"/>
            <w:hideMark/>
          </w:tcPr>
          <w:p w14:paraId="7BB0382B" w14:textId="77777777" w:rsidR="004F64EF" w:rsidRPr="003003C0" w:rsidRDefault="004F64EF" w:rsidP="00FD6B66">
            <w:pPr>
              <w:jc w:val="right"/>
              <w:rPr>
                <w:rFonts w:cs="Calibri"/>
                <w:bCs/>
                <w:color w:val="000000"/>
                <w:sz w:val="14"/>
                <w:szCs w:val="14"/>
              </w:rPr>
            </w:pPr>
            <w:r w:rsidRPr="003003C0">
              <w:rPr>
                <w:rFonts w:cs="Calibri"/>
                <w:bCs/>
                <w:color w:val="000000"/>
                <w:sz w:val="14"/>
                <w:szCs w:val="14"/>
              </w:rPr>
              <w:t>0</w:t>
            </w:r>
            <w:r>
              <w:rPr>
                <w:rFonts w:cs="Calibri"/>
                <w:bCs/>
                <w:color w:val="000000"/>
                <w:sz w:val="14"/>
                <w:szCs w:val="14"/>
              </w:rPr>
              <w:t>.</w:t>
            </w:r>
            <w:r w:rsidRPr="003003C0">
              <w:rPr>
                <w:rFonts w:cs="Calibri"/>
                <w:bCs/>
                <w:color w:val="000000"/>
                <w:sz w:val="14"/>
                <w:szCs w:val="14"/>
              </w:rPr>
              <w:t>1</w:t>
            </w:r>
          </w:p>
        </w:tc>
        <w:tc>
          <w:tcPr>
            <w:tcW w:w="650" w:type="dxa"/>
            <w:noWrap/>
            <w:vAlign w:val="center"/>
            <w:hideMark/>
          </w:tcPr>
          <w:p w14:paraId="3267C182" w14:textId="77777777" w:rsidR="004F64EF" w:rsidRPr="003003C0" w:rsidRDefault="004F64EF" w:rsidP="00FD6B66">
            <w:pPr>
              <w:jc w:val="right"/>
              <w:rPr>
                <w:rFonts w:cs="Calibri"/>
                <w:bCs/>
                <w:color w:val="000000"/>
                <w:sz w:val="14"/>
                <w:szCs w:val="14"/>
              </w:rPr>
            </w:pPr>
            <w:r w:rsidRPr="003003C0">
              <w:rPr>
                <w:rFonts w:cs="Calibri"/>
                <w:bCs/>
                <w:color w:val="000000"/>
                <w:sz w:val="14"/>
                <w:szCs w:val="14"/>
              </w:rPr>
              <w:t>0</w:t>
            </w:r>
            <w:r>
              <w:rPr>
                <w:rFonts w:cs="Calibri"/>
                <w:bCs/>
                <w:color w:val="000000"/>
                <w:sz w:val="14"/>
                <w:szCs w:val="14"/>
              </w:rPr>
              <w:t>.</w:t>
            </w:r>
            <w:r w:rsidRPr="003003C0">
              <w:rPr>
                <w:rFonts w:cs="Calibri"/>
                <w:bCs/>
                <w:color w:val="000000"/>
                <w:sz w:val="14"/>
                <w:szCs w:val="14"/>
              </w:rPr>
              <w:t>1</w:t>
            </w:r>
          </w:p>
        </w:tc>
        <w:tc>
          <w:tcPr>
            <w:tcW w:w="650" w:type="dxa"/>
            <w:noWrap/>
            <w:vAlign w:val="center"/>
            <w:hideMark/>
          </w:tcPr>
          <w:p w14:paraId="517763AE" w14:textId="77777777" w:rsidR="004F64EF" w:rsidRPr="003003C0" w:rsidRDefault="004F64EF" w:rsidP="00FD6B66">
            <w:pPr>
              <w:jc w:val="right"/>
              <w:rPr>
                <w:rFonts w:cs="Calibri"/>
                <w:bCs/>
                <w:color w:val="000000"/>
                <w:sz w:val="14"/>
                <w:szCs w:val="14"/>
              </w:rPr>
            </w:pPr>
            <w:r w:rsidRPr="003003C0">
              <w:rPr>
                <w:rFonts w:cs="Calibri"/>
                <w:bCs/>
                <w:color w:val="000000"/>
                <w:sz w:val="14"/>
                <w:szCs w:val="14"/>
              </w:rPr>
              <w:t>0</w:t>
            </w:r>
            <w:r>
              <w:rPr>
                <w:rFonts w:cs="Calibri"/>
                <w:bCs/>
                <w:color w:val="000000"/>
                <w:sz w:val="14"/>
                <w:szCs w:val="14"/>
              </w:rPr>
              <w:t>.</w:t>
            </w:r>
            <w:r w:rsidRPr="003003C0">
              <w:rPr>
                <w:rFonts w:cs="Calibri"/>
                <w:bCs/>
                <w:color w:val="000000"/>
                <w:sz w:val="14"/>
                <w:szCs w:val="14"/>
              </w:rPr>
              <w:t>0</w:t>
            </w:r>
          </w:p>
        </w:tc>
        <w:tc>
          <w:tcPr>
            <w:tcW w:w="650" w:type="dxa"/>
            <w:noWrap/>
            <w:vAlign w:val="center"/>
            <w:hideMark/>
          </w:tcPr>
          <w:p w14:paraId="6C37E0AD" w14:textId="77777777" w:rsidR="004F64EF" w:rsidRPr="003003C0" w:rsidRDefault="004F64EF" w:rsidP="00FD6B66">
            <w:pPr>
              <w:jc w:val="right"/>
              <w:rPr>
                <w:rFonts w:cs="Calibri"/>
                <w:bCs/>
                <w:color w:val="000000"/>
                <w:sz w:val="14"/>
                <w:szCs w:val="14"/>
              </w:rPr>
            </w:pPr>
            <w:r w:rsidRPr="003003C0">
              <w:rPr>
                <w:rFonts w:cs="Calibri"/>
                <w:bCs/>
                <w:color w:val="000000"/>
                <w:sz w:val="14"/>
                <w:szCs w:val="14"/>
              </w:rPr>
              <w:t>0</w:t>
            </w:r>
            <w:r>
              <w:rPr>
                <w:rFonts w:cs="Calibri"/>
                <w:bCs/>
                <w:color w:val="000000"/>
                <w:sz w:val="14"/>
                <w:szCs w:val="14"/>
              </w:rPr>
              <w:t>.</w:t>
            </w:r>
            <w:r w:rsidRPr="003003C0">
              <w:rPr>
                <w:rFonts w:cs="Calibri"/>
                <w:bCs/>
                <w:color w:val="000000"/>
                <w:sz w:val="14"/>
                <w:szCs w:val="14"/>
              </w:rPr>
              <w:t>0</w:t>
            </w:r>
          </w:p>
        </w:tc>
      </w:tr>
      <w:tr w:rsidR="004F64EF" w:rsidRPr="003003C0" w14:paraId="41581A6E" w14:textId="77777777" w:rsidTr="00FD6B66">
        <w:trPr>
          <w:trHeight w:val="20"/>
        </w:trPr>
        <w:tc>
          <w:tcPr>
            <w:tcW w:w="4478" w:type="dxa"/>
            <w:noWrap/>
            <w:vAlign w:val="center"/>
            <w:hideMark/>
          </w:tcPr>
          <w:p w14:paraId="15669714" w14:textId="77777777" w:rsidR="004F64EF" w:rsidRPr="003003C0" w:rsidRDefault="004F64EF" w:rsidP="00FD6B66">
            <w:pPr>
              <w:tabs>
                <w:tab w:val="left" w:pos="227"/>
              </w:tabs>
              <w:jc w:val="left"/>
              <w:rPr>
                <w:rFonts w:cs="Calibri"/>
                <w:bCs/>
                <w:color w:val="000000"/>
                <w:sz w:val="14"/>
                <w:szCs w:val="14"/>
              </w:rPr>
            </w:pPr>
            <w:r w:rsidRPr="003003C0">
              <w:rPr>
                <w:rFonts w:cs="Calibri"/>
                <w:bCs/>
                <w:color w:val="000000"/>
                <w:sz w:val="14"/>
                <w:szCs w:val="14"/>
              </w:rPr>
              <w:tab/>
              <w:t xml:space="preserve">21. </w:t>
            </w:r>
            <w:r w:rsidRPr="00077504">
              <w:rPr>
                <w:rFonts w:cs="Calibri"/>
                <w:bCs/>
                <w:color w:val="000000"/>
                <w:sz w:val="14"/>
                <w:szCs w:val="14"/>
              </w:rPr>
              <w:t>Miscellaneous edible preparations</w:t>
            </w:r>
          </w:p>
        </w:tc>
        <w:tc>
          <w:tcPr>
            <w:tcW w:w="650" w:type="dxa"/>
            <w:noWrap/>
            <w:vAlign w:val="center"/>
            <w:hideMark/>
          </w:tcPr>
          <w:p w14:paraId="1BBE9E9A" w14:textId="77777777" w:rsidR="004F64EF" w:rsidRPr="003003C0" w:rsidRDefault="004F64EF" w:rsidP="00FD6B66">
            <w:pPr>
              <w:jc w:val="right"/>
              <w:rPr>
                <w:rFonts w:cs="Calibri"/>
                <w:bCs/>
                <w:color w:val="000000"/>
                <w:sz w:val="14"/>
                <w:szCs w:val="14"/>
              </w:rPr>
            </w:pPr>
            <w:r w:rsidRPr="003003C0">
              <w:rPr>
                <w:rFonts w:cs="Calibri"/>
                <w:bCs/>
                <w:color w:val="000000"/>
                <w:sz w:val="14"/>
                <w:szCs w:val="14"/>
              </w:rPr>
              <w:t>0</w:t>
            </w:r>
            <w:r>
              <w:rPr>
                <w:rFonts w:cs="Calibri"/>
                <w:bCs/>
                <w:color w:val="000000"/>
                <w:sz w:val="14"/>
                <w:szCs w:val="14"/>
              </w:rPr>
              <w:t>.</w:t>
            </w:r>
            <w:r w:rsidRPr="003003C0">
              <w:rPr>
                <w:rFonts w:cs="Calibri"/>
                <w:bCs/>
                <w:color w:val="000000"/>
                <w:sz w:val="14"/>
                <w:szCs w:val="14"/>
              </w:rPr>
              <w:t>2</w:t>
            </w:r>
          </w:p>
        </w:tc>
        <w:tc>
          <w:tcPr>
            <w:tcW w:w="650" w:type="dxa"/>
            <w:noWrap/>
            <w:vAlign w:val="center"/>
            <w:hideMark/>
          </w:tcPr>
          <w:p w14:paraId="7AD74698" w14:textId="77777777" w:rsidR="004F64EF" w:rsidRPr="003003C0" w:rsidRDefault="004F64EF" w:rsidP="00FD6B66">
            <w:pPr>
              <w:jc w:val="right"/>
              <w:rPr>
                <w:rFonts w:cs="Calibri"/>
                <w:bCs/>
                <w:color w:val="000000"/>
                <w:sz w:val="14"/>
                <w:szCs w:val="14"/>
              </w:rPr>
            </w:pPr>
            <w:r w:rsidRPr="003003C0">
              <w:rPr>
                <w:rFonts w:cs="Calibri"/>
                <w:bCs/>
                <w:color w:val="000000"/>
                <w:sz w:val="14"/>
                <w:szCs w:val="14"/>
              </w:rPr>
              <w:t>0</w:t>
            </w:r>
            <w:r>
              <w:rPr>
                <w:rFonts w:cs="Calibri"/>
                <w:bCs/>
                <w:color w:val="000000"/>
                <w:sz w:val="14"/>
                <w:szCs w:val="14"/>
              </w:rPr>
              <w:t>.</w:t>
            </w:r>
            <w:r w:rsidRPr="003003C0">
              <w:rPr>
                <w:rFonts w:cs="Calibri"/>
                <w:bCs/>
                <w:color w:val="000000"/>
                <w:sz w:val="14"/>
                <w:szCs w:val="14"/>
              </w:rPr>
              <w:t>2</w:t>
            </w:r>
          </w:p>
        </w:tc>
        <w:tc>
          <w:tcPr>
            <w:tcW w:w="650" w:type="dxa"/>
            <w:noWrap/>
            <w:vAlign w:val="center"/>
            <w:hideMark/>
          </w:tcPr>
          <w:p w14:paraId="2FBC2E74" w14:textId="77777777" w:rsidR="004F64EF" w:rsidRPr="003003C0" w:rsidRDefault="004F64EF" w:rsidP="00FD6B66">
            <w:pPr>
              <w:jc w:val="right"/>
              <w:rPr>
                <w:rFonts w:cs="Calibri"/>
                <w:bCs/>
                <w:color w:val="000000"/>
                <w:sz w:val="14"/>
                <w:szCs w:val="14"/>
              </w:rPr>
            </w:pPr>
            <w:r w:rsidRPr="003003C0">
              <w:rPr>
                <w:rFonts w:cs="Calibri"/>
                <w:bCs/>
                <w:color w:val="000000"/>
                <w:sz w:val="14"/>
                <w:szCs w:val="14"/>
              </w:rPr>
              <w:t>0</w:t>
            </w:r>
            <w:r>
              <w:rPr>
                <w:rFonts w:cs="Calibri"/>
                <w:bCs/>
                <w:color w:val="000000"/>
                <w:sz w:val="14"/>
                <w:szCs w:val="14"/>
              </w:rPr>
              <w:t>.</w:t>
            </w:r>
            <w:r w:rsidRPr="003003C0">
              <w:rPr>
                <w:rFonts w:cs="Calibri"/>
                <w:bCs/>
                <w:color w:val="000000"/>
                <w:sz w:val="14"/>
                <w:szCs w:val="14"/>
              </w:rPr>
              <w:t>1</w:t>
            </w:r>
          </w:p>
        </w:tc>
        <w:tc>
          <w:tcPr>
            <w:tcW w:w="650" w:type="dxa"/>
            <w:noWrap/>
            <w:vAlign w:val="center"/>
            <w:hideMark/>
          </w:tcPr>
          <w:p w14:paraId="614EEE15" w14:textId="77777777" w:rsidR="004F64EF" w:rsidRPr="003003C0" w:rsidRDefault="004F64EF" w:rsidP="00FD6B66">
            <w:pPr>
              <w:jc w:val="right"/>
              <w:rPr>
                <w:rFonts w:cs="Calibri"/>
                <w:bCs/>
                <w:color w:val="000000"/>
                <w:sz w:val="14"/>
                <w:szCs w:val="14"/>
              </w:rPr>
            </w:pPr>
            <w:r w:rsidRPr="003003C0">
              <w:rPr>
                <w:rFonts w:cs="Calibri"/>
                <w:bCs/>
                <w:color w:val="000000"/>
                <w:sz w:val="14"/>
                <w:szCs w:val="14"/>
              </w:rPr>
              <w:t>0</w:t>
            </w:r>
            <w:r>
              <w:rPr>
                <w:rFonts w:cs="Calibri"/>
                <w:bCs/>
                <w:color w:val="000000"/>
                <w:sz w:val="14"/>
                <w:szCs w:val="14"/>
              </w:rPr>
              <w:t>.</w:t>
            </w:r>
            <w:r w:rsidRPr="003003C0">
              <w:rPr>
                <w:rFonts w:cs="Calibri"/>
                <w:bCs/>
                <w:color w:val="000000"/>
                <w:sz w:val="14"/>
                <w:szCs w:val="14"/>
              </w:rPr>
              <w:t>1</w:t>
            </w:r>
          </w:p>
        </w:tc>
        <w:tc>
          <w:tcPr>
            <w:tcW w:w="650" w:type="dxa"/>
            <w:noWrap/>
            <w:vAlign w:val="center"/>
            <w:hideMark/>
          </w:tcPr>
          <w:p w14:paraId="2C108295" w14:textId="77777777" w:rsidR="004F64EF" w:rsidRPr="003003C0" w:rsidRDefault="004F64EF" w:rsidP="00FD6B66">
            <w:pPr>
              <w:jc w:val="right"/>
              <w:rPr>
                <w:rFonts w:cs="Calibri"/>
                <w:bCs/>
                <w:color w:val="000000"/>
                <w:sz w:val="14"/>
                <w:szCs w:val="14"/>
              </w:rPr>
            </w:pPr>
            <w:r w:rsidRPr="003003C0">
              <w:rPr>
                <w:rFonts w:cs="Calibri"/>
                <w:bCs/>
                <w:color w:val="000000"/>
                <w:sz w:val="14"/>
                <w:szCs w:val="14"/>
              </w:rPr>
              <w:t>0</w:t>
            </w:r>
            <w:r>
              <w:rPr>
                <w:rFonts w:cs="Calibri"/>
                <w:bCs/>
                <w:color w:val="000000"/>
                <w:sz w:val="14"/>
                <w:szCs w:val="14"/>
              </w:rPr>
              <w:t>.</w:t>
            </w:r>
            <w:r w:rsidRPr="003003C0">
              <w:rPr>
                <w:rFonts w:cs="Calibri"/>
                <w:bCs/>
                <w:color w:val="000000"/>
                <w:sz w:val="14"/>
                <w:szCs w:val="14"/>
              </w:rPr>
              <w:t>1</w:t>
            </w:r>
          </w:p>
        </w:tc>
        <w:tc>
          <w:tcPr>
            <w:tcW w:w="650" w:type="dxa"/>
            <w:noWrap/>
            <w:vAlign w:val="center"/>
            <w:hideMark/>
          </w:tcPr>
          <w:p w14:paraId="106E57A3" w14:textId="77777777" w:rsidR="004F64EF" w:rsidRPr="003003C0" w:rsidRDefault="004F64EF" w:rsidP="00FD6B66">
            <w:pPr>
              <w:jc w:val="right"/>
              <w:rPr>
                <w:rFonts w:cs="Calibri"/>
                <w:bCs/>
                <w:color w:val="000000"/>
                <w:sz w:val="14"/>
                <w:szCs w:val="14"/>
              </w:rPr>
            </w:pPr>
            <w:r w:rsidRPr="003003C0">
              <w:rPr>
                <w:rFonts w:cs="Calibri"/>
                <w:bCs/>
                <w:color w:val="000000"/>
                <w:sz w:val="14"/>
                <w:szCs w:val="14"/>
              </w:rPr>
              <w:t>0</w:t>
            </w:r>
            <w:r>
              <w:rPr>
                <w:rFonts w:cs="Calibri"/>
                <w:bCs/>
                <w:color w:val="000000"/>
                <w:sz w:val="14"/>
                <w:szCs w:val="14"/>
              </w:rPr>
              <w:t>.</w:t>
            </w:r>
            <w:r w:rsidRPr="003003C0">
              <w:rPr>
                <w:rFonts w:cs="Calibri"/>
                <w:bCs/>
                <w:color w:val="000000"/>
                <w:sz w:val="14"/>
                <w:szCs w:val="14"/>
              </w:rPr>
              <w:t>1</w:t>
            </w:r>
          </w:p>
        </w:tc>
        <w:tc>
          <w:tcPr>
            <w:tcW w:w="650" w:type="dxa"/>
            <w:noWrap/>
            <w:vAlign w:val="center"/>
            <w:hideMark/>
          </w:tcPr>
          <w:p w14:paraId="7424C2F5" w14:textId="77777777" w:rsidR="004F64EF" w:rsidRPr="003003C0" w:rsidRDefault="004F64EF" w:rsidP="00FD6B66">
            <w:pPr>
              <w:jc w:val="right"/>
              <w:rPr>
                <w:rFonts w:cs="Calibri"/>
                <w:bCs/>
                <w:color w:val="000000"/>
                <w:sz w:val="14"/>
                <w:szCs w:val="14"/>
              </w:rPr>
            </w:pPr>
            <w:r w:rsidRPr="003003C0">
              <w:rPr>
                <w:rFonts w:cs="Calibri"/>
                <w:bCs/>
                <w:color w:val="000000"/>
                <w:sz w:val="14"/>
                <w:szCs w:val="14"/>
              </w:rPr>
              <w:t>0</w:t>
            </w:r>
            <w:r>
              <w:rPr>
                <w:rFonts w:cs="Calibri"/>
                <w:bCs/>
                <w:color w:val="000000"/>
                <w:sz w:val="14"/>
                <w:szCs w:val="14"/>
              </w:rPr>
              <w:t>.</w:t>
            </w:r>
            <w:r w:rsidRPr="003003C0">
              <w:rPr>
                <w:rFonts w:cs="Calibri"/>
                <w:bCs/>
                <w:color w:val="000000"/>
                <w:sz w:val="14"/>
                <w:szCs w:val="14"/>
              </w:rPr>
              <w:t>0</w:t>
            </w:r>
          </w:p>
        </w:tc>
      </w:tr>
      <w:tr w:rsidR="004F64EF" w:rsidRPr="003003C0" w14:paraId="3EF06923" w14:textId="77777777" w:rsidTr="00FD6B66">
        <w:trPr>
          <w:cnfStyle w:val="000000010000" w:firstRow="0" w:lastRow="0" w:firstColumn="0" w:lastColumn="0" w:oddVBand="0" w:evenVBand="0" w:oddHBand="0" w:evenHBand="1" w:firstRowFirstColumn="0" w:firstRowLastColumn="0" w:lastRowFirstColumn="0" w:lastRowLastColumn="0"/>
          <w:trHeight w:val="20"/>
        </w:trPr>
        <w:tc>
          <w:tcPr>
            <w:tcW w:w="4478" w:type="dxa"/>
            <w:noWrap/>
            <w:vAlign w:val="center"/>
            <w:hideMark/>
          </w:tcPr>
          <w:p w14:paraId="6BFAB750" w14:textId="77777777" w:rsidR="004F64EF" w:rsidRPr="003003C0" w:rsidRDefault="004F64EF" w:rsidP="00FD6B66">
            <w:pPr>
              <w:jc w:val="left"/>
              <w:rPr>
                <w:rFonts w:cs="Calibri"/>
                <w:bCs/>
                <w:color w:val="000000"/>
                <w:sz w:val="14"/>
                <w:szCs w:val="14"/>
              </w:rPr>
            </w:pPr>
            <w:r w:rsidRPr="003003C0">
              <w:rPr>
                <w:rFonts w:cs="Calibri"/>
                <w:bCs/>
                <w:color w:val="000000"/>
                <w:sz w:val="14"/>
                <w:szCs w:val="14"/>
              </w:rPr>
              <w:t xml:space="preserve">5 - </w:t>
            </w:r>
            <w:r w:rsidRPr="00D60595">
              <w:rPr>
                <w:rFonts w:cs="Calibri"/>
                <w:bCs/>
                <w:color w:val="000000"/>
                <w:sz w:val="14"/>
                <w:szCs w:val="14"/>
              </w:rPr>
              <w:t>Mineral products</w:t>
            </w:r>
          </w:p>
        </w:tc>
        <w:tc>
          <w:tcPr>
            <w:tcW w:w="650" w:type="dxa"/>
            <w:noWrap/>
            <w:vAlign w:val="center"/>
            <w:hideMark/>
          </w:tcPr>
          <w:p w14:paraId="0C57719A" w14:textId="77777777" w:rsidR="004F64EF" w:rsidRPr="003003C0" w:rsidRDefault="004F64EF" w:rsidP="00FD6B66">
            <w:pPr>
              <w:jc w:val="right"/>
              <w:rPr>
                <w:rFonts w:cs="Calibri"/>
                <w:bCs/>
                <w:color w:val="000000"/>
                <w:sz w:val="14"/>
                <w:szCs w:val="14"/>
              </w:rPr>
            </w:pPr>
            <w:r w:rsidRPr="003003C0">
              <w:rPr>
                <w:rFonts w:cs="Calibri"/>
                <w:bCs/>
                <w:color w:val="000000"/>
                <w:sz w:val="14"/>
                <w:szCs w:val="14"/>
              </w:rPr>
              <w:t>0</w:t>
            </w:r>
            <w:r>
              <w:rPr>
                <w:rFonts w:cs="Calibri"/>
                <w:bCs/>
                <w:color w:val="000000"/>
                <w:sz w:val="14"/>
                <w:szCs w:val="14"/>
              </w:rPr>
              <w:t>.</w:t>
            </w:r>
            <w:r w:rsidRPr="003003C0">
              <w:rPr>
                <w:rFonts w:cs="Calibri"/>
                <w:bCs/>
                <w:color w:val="000000"/>
                <w:sz w:val="14"/>
                <w:szCs w:val="14"/>
              </w:rPr>
              <w:t>5</w:t>
            </w:r>
          </w:p>
        </w:tc>
        <w:tc>
          <w:tcPr>
            <w:tcW w:w="650" w:type="dxa"/>
            <w:noWrap/>
            <w:vAlign w:val="center"/>
            <w:hideMark/>
          </w:tcPr>
          <w:p w14:paraId="11ADC60A" w14:textId="77777777" w:rsidR="004F64EF" w:rsidRPr="003003C0" w:rsidRDefault="004F64EF" w:rsidP="00FD6B66">
            <w:pPr>
              <w:jc w:val="right"/>
              <w:rPr>
                <w:rFonts w:cs="Calibri"/>
                <w:bCs/>
                <w:color w:val="000000"/>
                <w:sz w:val="14"/>
                <w:szCs w:val="14"/>
              </w:rPr>
            </w:pPr>
            <w:r w:rsidRPr="003003C0">
              <w:rPr>
                <w:rFonts w:cs="Calibri"/>
                <w:bCs/>
                <w:color w:val="000000"/>
                <w:sz w:val="14"/>
                <w:szCs w:val="14"/>
              </w:rPr>
              <w:t>0</w:t>
            </w:r>
            <w:r>
              <w:rPr>
                <w:rFonts w:cs="Calibri"/>
                <w:bCs/>
                <w:color w:val="000000"/>
                <w:sz w:val="14"/>
                <w:szCs w:val="14"/>
              </w:rPr>
              <w:t>.</w:t>
            </w:r>
            <w:r w:rsidRPr="003003C0">
              <w:rPr>
                <w:rFonts w:cs="Calibri"/>
                <w:bCs/>
                <w:color w:val="000000"/>
                <w:sz w:val="14"/>
                <w:szCs w:val="14"/>
              </w:rPr>
              <w:t>4</w:t>
            </w:r>
          </w:p>
        </w:tc>
        <w:tc>
          <w:tcPr>
            <w:tcW w:w="650" w:type="dxa"/>
            <w:noWrap/>
            <w:vAlign w:val="center"/>
            <w:hideMark/>
          </w:tcPr>
          <w:p w14:paraId="52931DBC" w14:textId="77777777" w:rsidR="004F64EF" w:rsidRPr="003003C0" w:rsidRDefault="004F64EF" w:rsidP="00FD6B66">
            <w:pPr>
              <w:jc w:val="right"/>
              <w:rPr>
                <w:rFonts w:cs="Calibri"/>
                <w:bCs/>
                <w:color w:val="000000"/>
                <w:sz w:val="14"/>
                <w:szCs w:val="14"/>
              </w:rPr>
            </w:pPr>
            <w:r w:rsidRPr="003003C0">
              <w:rPr>
                <w:rFonts w:cs="Calibri"/>
                <w:bCs/>
                <w:color w:val="000000"/>
                <w:sz w:val="14"/>
                <w:szCs w:val="14"/>
              </w:rPr>
              <w:t>0</w:t>
            </w:r>
            <w:r>
              <w:rPr>
                <w:rFonts w:cs="Calibri"/>
                <w:bCs/>
                <w:color w:val="000000"/>
                <w:sz w:val="14"/>
                <w:szCs w:val="14"/>
              </w:rPr>
              <w:t>.</w:t>
            </w:r>
            <w:r w:rsidRPr="003003C0">
              <w:rPr>
                <w:rFonts w:cs="Calibri"/>
                <w:bCs/>
                <w:color w:val="000000"/>
                <w:sz w:val="14"/>
                <w:szCs w:val="14"/>
              </w:rPr>
              <w:t>4</w:t>
            </w:r>
          </w:p>
        </w:tc>
        <w:tc>
          <w:tcPr>
            <w:tcW w:w="650" w:type="dxa"/>
            <w:noWrap/>
            <w:vAlign w:val="center"/>
            <w:hideMark/>
          </w:tcPr>
          <w:p w14:paraId="70E8A6A9" w14:textId="77777777" w:rsidR="004F64EF" w:rsidRPr="003003C0" w:rsidRDefault="004F64EF" w:rsidP="00FD6B66">
            <w:pPr>
              <w:jc w:val="right"/>
              <w:rPr>
                <w:rFonts w:cs="Calibri"/>
                <w:bCs/>
                <w:color w:val="000000"/>
                <w:sz w:val="14"/>
                <w:szCs w:val="14"/>
              </w:rPr>
            </w:pPr>
            <w:r w:rsidRPr="003003C0">
              <w:rPr>
                <w:rFonts w:cs="Calibri"/>
                <w:bCs/>
                <w:color w:val="000000"/>
                <w:sz w:val="14"/>
                <w:szCs w:val="14"/>
              </w:rPr>
              <w:t>0</w:t>
            </w:r>
            <w:r>
              <w:rPr>
                <w:rFonts w:cs="Calibri"/>
                <w:bCs/>
                <w:color w:val="000000"/>
                <w:sz w:val="14"/>
                <w:szCs w:val="14"/>
              </w:rPr>
              <w:t>.</w:t>
            </w:r>
            <w:r w:rsidRPr="003003C0">
              <w:rPr>
                <w:rFonts w:cs="Calibri"/>
                <w:bCs/>
                <w:color w:val="000000"/>
                <w:sz w:val="14"/>
                <w:szCs w:val="14"/>
              </w:rPr>
              <w:t>4</w:t>
            </w:r>
          </w:p>
        </w:tc>
        <w:tc>
          <w:tcPr>
            <w:tcW w:w="650" w:type="dxa"/>
            <w:noWrap/>
            <w:vAlign w:val="center"/>
            <w:hideMark/>
          </w:tcPr>
          <w:p w14:paraId="284E9AC8" w14:textId="77777777" w:rsidR="004F64EF" w:rsidRPr="003003C0" w:rsidRDefault="004F64EF" w:rsidP="00FD6B66">
            <w:pPr>
              <w:jc w:val="right"/>
              <w:rPr>
                <w:rFonts w:cs="Calibri"/>
                <w:bCs/>
                <w:color w:val="000000"/>
                <w:sz w:val="14"/>
                <w:szCs w:val="14"/>
              </w:rPr>
            </w:pPr>
            <w:r w:rsidRPr="003003C0">
              <w:rPr>
                <w:rFonts w:cs="Calibri"/>
                <w:bCs/>
                <w:color w:val="000000"/>
                <w:sz w:val="14"/>
                <w:szCs w:val="14"/>
              </w:rPr>
              <w:t>0</w:t>
            </w:r>
            <w:r>
              <w:rPr>
                <w:rFonts w:cs="Calibri"/>
                <w:bCs/>
                <w:color w:val="000000"/>
                <w:sz w:val="14"/>
                <w:szCs w:val="14"/>
              </w:rPr>
              <w:t>.</w:t>
            </w:r>
            <w:r w:rsidRPr="003003C0">
              <w:rPr>
                <w:rFonts w:cs="Calibri"/>
                <w:bCs/>
                <w:color w:val="000000"/>
                <w:sz w:val="14"/>
                <w:szCs w:val="14"/>
              </w:rPr>
              <w:t>4</w:t>
            </w:r>
          </w:p>
        </w:tc>
        <w:tc>
          <w:tcPr>
            <w:tcW w:w="650" w:type="dxa"/>
            <w:noWrap/>
            <w:vAlign w:val="center"/>
            <w:hideMark/>
          </w:tcPr>
          <w:p w14:paraId="6A94A805" w14:textId="77777777" w:rsidR="004F64EF" w:rsidRPr="003003C0" w:rsidRDefault="004F64EF" w:rsidP="00FD6B66">
            <w:pPr>
              <w:jc w:val="right"/>
              <w:rPr>
                <w:rFonts w:cs="Calibri"/>
                <w:bCs/>
                <w:color w:val="000000"/>
                <w:sz w:val="14"/>
                <w:szCs w:val="14"/>
              </w:rPr>
            </w:pPr>
            <w:r w:rsidRPr="003003C0">
              <w:rPr>
                <w:rFonts w:cs="Calibri"/>
                <w:bCs/>
                <w:color w:val="000000"/>
                <w:sz w:val="14"/>
                <w:szCs w:val="14"/>
              </w:rPr>
              <w:t>0</w:t>
            </w:r>
            <w:r>
              <w:rPr>
                <w:rFonts w:cs="Calibri"/>
                <w:bCs/>
                <w:color w:val="000000"/>
                <w:sz w:val="14"/>
                <w:szCs w:val="14"/>
              </w:rPr>
              <w:t>.</w:t>
            </w:r>
            <w:r w:rsidRPr="003003C0">
              <w:rPr>
                <w:rFonts w:cs="Calibri"/>
                <w:bCs/>
                <w:color w:val="000000"/>
                <w:sz w:val="14"/>
                <w:szCs w:val="14"/>
              </w:rPr>
              <w:t>3</w:t>
            </w:r>
          </w:p>
        </w:tc>
        <w:tc>
          <w:tcPr>
            <w:tcW w:w="650" w:type="dxa"/>
            <w:noWrap/>
            <w:vAlign w:val="center"/>
            <w:hideMark/>
          </w:tcPr>
          <w:p w14:paraId="63FEBEF3" w14:textId="77777777" w:rsidR="004F64EF" w:rsidRPr="003003C0" w:rsidRDefault="004F64EF" w:rsidP="00FD6B66">
            <w:pPr>
              <w:jc w:val="right"/>
              <w:rPr>
                <w:rFonts w:cs="Calibri"/>
                <w:bCs/>
                <w:color w:val="000000"/>
                <w:sz w:val="14"/>
                <w:szCs w:val="14"/>
              </w:rPr>
            </w:pPr>
            <w:r w:rsidRPr="003003C0">
              <w:rPr>
                <w:rFonts w:cs="Calibri"/>
                <w:bCs/>
                <w:color w:val="000000"/>
                <w:sz w:val="14"/>
                <w:szCs w:val="14"/>
              </w:rPr>
              <w:t>0</w:t>
            </w:r>
            <w:r>
              <w:rPr>
                <w:rFonts w:cs="Calibri"/>
                <w:bCs/>
                <w:color w:val="000000"/>
                <w:sz w:val="14"/>
                <w:szCs w:val="14"/>
              </w:rPr>
              <w:t>.</w:t>
            </w:r>
            <w:r w:rsidRPr="003003C0">
              <w:rPr>
                <w:rFonts w:cs="Calibri"/>
                <w:bCs/>
                <w:color w:val="000000"/>
                <w:sz w:val="14"/>
                <w:szCs w:val="14"/>
              </w:rPr>
              <w:t>4</w:t>
            </w:r>
          </w:p>
        </w:tc>
      </w:tr>
      <w:tr w:rsidR="004F64EF" w:rsidRPr="003003C0" w14:paraId="06B31927" w14:textId="77777777" w:rsidTr="00FD6B66">
        <w:trPr>
          <w:trHeight w:val="20"/>
        </w:trPr>
        <w:tc>
          <w:tcPr>
            <w:tcW w:w="4478" w:type="dxa"/>
            <w:noWrap/>
            <w:vAlign w:val="center"/>
            <w:hideMark/>
          </w:tcPr>
          <w:p w14:paraId="27FE3D08" w14:textId="77777777" w:rsidR="004F64EF" w:rsidRPr="003003C0" w:rsidRDefault="004F64EF" w:rsidP="00FD6B66">
            <w:pPr>
              <w:tabs>
                <w:tab w:val="left" w:pos="227"/>
              </w:tabs>
              <w:jc w:val="left"/>
              <w:rPr>
                <w:rFonts w:cs="Calibri"/>
                <w:bCs/>
                <w:color w:val="000000"/>
                <w:sz w:val="14"/>
                <w:szCs w:val="14"/>
              </w:rPr>
            </w:pPr>
            <w:r w:rsidRPr="003003C0">
              <w:rPr>
                <w:rFonts w:cs="Calibri"/>
                <w:bCs/>
                <w:color w:val="000000"/>
                <w:sz w:val="14"/>
                <w:szCs w:val="14"/>
              </w:rPr>
              <w:tab/>
              <w:t xml:space="preserve">27. </w:t>
            </w:r>
            <w:r w:rsidRPr="00077504">
              <w:rPr>
                <w:rFonts w:cs="Calibri"/>
                <w:bCs/>
                <w:color w:val="000000"/>
                <w:sz w:val="14"/>
                <w:szCs w:val="14"/>
              </w:rPr>
              <w:t>Mineral fuels; bituminous substances; mineral waxes</w:t>
            </w:r>
          </w:p>
        </w:tc>
        <w:tc>
          <w:tcPr>
            <w:tcW w:w="650" w:type="dxa"/>
            <w:noWrap/>
            <w:vAlign w:val="center"/>
            <w:hideMark/>
          </w:tcPr>
          <w:p w14:paraId="5F782329" w14:textId="77777777" w:rsidR="004F64EF" w:rsidRPr="003003C0" w:rsidRDefault="004F64EF" w:rsidP="00FD6B66">
            <w:pPr>
              <w:jc w:val="right"/>
              <w:rPr>
                <w:rFonts w:cs="Calibri"/>
                <w:bCs/>
                <w:color w:val="000000"/>
                <w:sz w:val="14"/>
                <w:szCs w:val="14"/>
              </w:rPr>
            </w:pPr>
            <w:r w:rsidRPr="003003C0">
              <w:rPr>
                <w:rFonts w:cs="Calibri"/>
                <w:bCs/>
                <w:color w:val="000000"/>
                <w:sz w:val="14"/>
                <w:szCs w:val="14"/>
              </w:rPr>
              <w:t>0</w:t>
            </w:r>
            <w:r>
              <w:rPr>
                <w:rFonts w:cs="Calibri"/>
                <w:bCs/>
                <w:color w:val="000000"/>
                <w:sz w:val="14"/>
                <w:szCs w:val="14"/>
              </w:rPr>
              <w:t>.</w:t>
            </w:r>
            <w:r w:rsidRPr="003003C0">
              <w:rPr>
                <w:rFonts w:cs="Calibri"/>
                <w:bCs/>
                <w:color w:val="000000"/>
                <w:sz w:val="14"/>
                <w:szCs w:val="14"/>
              </w:rPr>
              <w:t>4</w:t>
            </w:r>
          </w:p>
        </w:tc>
        <w:tc>
          <w:tcPr>
            <w:tcW w:w="650" w:type="dxa"/>
            <w:noWrap/>
            <w:vAlign w:val="center"/>
            <w:hideMark/>
          </w:tcPr>
          <w:p w14:paraId="1EE9D222" w14:textId="77777777" w:rsidR="004F64EF" w:rsidRPr="003003C0" w:rsidRDefault="004F64EF" w:rsidP="00FD6B66">
            <w:pPr>
              <w:jc w:val="right"/>
              <w:rPr>
                <w:rFonts w:cs="Calibri"/>
                <w:bCs/>
                <w:color w:val="000000"/>
                <w:sz w:val="14"/>
                <w:szCs w:val="14"/>
              </w:rPr>
            </w:pPr>
            <w:r w:rsidRPr="003003C0">
              <w:rPr>
                <w:rFonts w:cs="Calibri"/>
                <w:bCs/>
                <w:color w:val="000000"/>
                <w:sz w:val="14"/>
                <w:szCs w:val="14"/>
              </w:rPr>
              <w:t>0</w:t>
            </w:r>
            <w:r>
              <w:rPr>
                <w:rFonts w:cs="Calibri"/>
                <w:bCs/>
                <w:color w:val="000000"/>
                <w:sz w:val="14"/>
                <w:szCs w:val="14"/>
              </w:rPr>
              <w:t>.</w:t>
            </w:r>
            <w:r w:rsidRPr="003003C0">
              <w:rPr>
                <w:rFonts w:cs="Calibri"/>
                <w:bCs/>
                <w:color w:val="000000"/>
                <w:sz w:val="14"/>
                <w:szCs w:val="14"/>
              </w:rPr>
              <w:t>3</w:t>
            </w:r>
          </w:p>
        </w:tc>
        <w:tc>
          <w:tcPr>
            <w:tcW w:w="650" w:type="dxa"/>
            <w:noWrap/>
            <w:vAlign w:val="center"/>
            <w:hideMark/>
          </w:tcPr>
          <w:p w14:paraId="0B2F2DF5" w14:textId="77777777" w:rsidR="004F64EF" w:rsidRPr="003003C0" w:rsidRDefault="004F64EF" w:rsidP="00FD6B66">
            <w:pPr>
              <w:jc w:val="right"/>
              <w:rPr>
                <w:rFonts w:cs="Calibri"/>
                <w:bCs/>
                <w:color w:val="000000"/>
                <w:sz w:val="14"/>
                <w:szCs w:val="14"/>
              </w:rPr>
            </w:pPr>
            <w:r w:rsidRPr="003003C0">
              <w:rPr>
                <w:rFonts w:cs="Calibri"/>
                <w:bCs/>
                <w:color w:val="000000"/>
                <w:sz w:val="14"/>
                <w:szCs w:val="14"/>
              </w:rPr>
              <w:t>0</w:t>
            </w:r>
            <w:r>
              <w:rPr>
                <w:rFonts w:cs="Calibri"/>
                <w:bCs/>
                <w:color w:val="000000"/>
                <w:sz w:val="14"/>
                <w:szCs w:val="14"/>
              </w:rPr>
              <w:t>.</w:t>
            </w:r>
            <w:r w:rsidRPr="003003C0">
              <w:rPr>
                <w:rFonts w:cs="Calibri"/>
                <w:bCs/>
                <w:color w:val="000000"/>
                <w:sz w:val="14"/>
                <w:szCs w:val="14"/>
              </w:rPr>
              <w:t>3</w:t>
            </w:r>
          </w:p>
        </w:tc>
        <w:tc>
          <w:tcPr>
            <w:tcW w:w="650" w:type="dxa"/>
            <w:noWrap/>
            <w:vAlign w:val="center"/>
            <w:hideMark/>
          </w:tcPr>
          <w:p w14:paraId="2C02CE0C" w14:textId="77777777" w:rsidR="004F64EF" w:rsidRPr="003003C0" w:rsidRDefault="004F64EF" w:rsidP="00FD6B66">
            <w:pPr>
              <w:jc w:val="right"/>
              <w:rPr>
                <w:rFonts w:cs="Calibri"/>
                <w:bCs/>
                <w:color w:val="000000"/>
                <w:sz w:val="14"/>
                <w:szCs w:val="14"/>
              </w:rPr>
            </w:pPr>
            <w:r w:rsidRPr="003003C0">
              <w:rPr>
                <w:rFonts w:cs="Calibri"/>
                <w:bCs/>
                <w:color w:val="000000"/>
                <w:sz w:val="14"/>
                <w:szCs w:val="14"/>
              </w:rPr>
              <w:t>0</w:t>
            </w:r>
            <w:r>
              <w:rPr>
                <w:rFonts w:cs="Calibri"/>
                <w:bCs/>
                <w:color w:val="000000"/>
                <w:sz w:val="14"/>
                <w:szCs w:val="14"/>
              </w:rPr>
              <w:t>.</w:t>
            </w:r>
            <w:r w:rsidRPr="003003C0">
              <w:rPr>
                <w:rFonts w:cs="Calibri"/>
                <w:bCs/>
                <w:color w:val="000000"/>
                <w:sz w:val="14"/>
                <w:szCs w:val="14"/>
              </w:rPr>
              <w:t>4</w:t>
            </w:r>
          </w:p>
        </w:tc>
        <w:tc>
          <w:tcPr>
            <w:tcW w:w="650" w:type="dxa"/>
            <w:noWrap/>
            <w:vAlign w:val="center"/>
            <w:hideMark/>
          </w:tcPr>
          <w:p w14:paraId="02A76520" w14:textId="77777777" w:rsidR="004F64EF" w:rsidRPr="003003C0" w:rsidRDefault="004F64EF" w:rsidP="00FD6B66">
            <w:pPr>
              <w:jc w:val="right"/>
              <w:rPr>
                <w:rFonts w:cs="Calibri"/>
                <w:bCs/>
                <w:color w:val="000000"/>
                <w:sz w:val="14"/>
                <w:szCs w:val="14"/>
              </w:rPr>
            </w:pPr>
            <w:r w:rsidRPr="003003C0">
              <w:rPr>
                <w:rFonts w:cs="Calibri"/>
                <w:bCs/>
                <w:color w:val="000000"/>
                <w:sz w:val="14"/>
                <w:szCs w:val="14"/>
              </w:rPr>
              <w:t>0</w:t>
            </w:r>
            <w:r>
              <w:rPr>
                <w:rFonts w:cs="Calibri"/>
                <w:bCs/>
                <w:color w:val="000000"/>
                <w:sz w:val="14"/>
                <w:szCs w:val="14"/>
              </w:rPr>
              <w:t>.</w:t>
            </w:r>
            <w:r w:rsidRPr="003003C0">
              <w:rPr>
                <w:rFonts w:cs="Calibri"/>
                <w:bCs/>
                <w:color w:val="000000"/>
                <w:sz w:val="14"/>
                <w:szCs w:val="14"/>
              </w:rPr>
              <w:t>4</w:t>
            </w:r>
          </w:p>
        </w:tc>
        <w:tc>
          <w:tcPr>
            <w:tcW w:w="650" w:type="dxa"/>
            <w:noWrap/>
            <w:vAlign w:val="center"/>
            <w:hideMark/>
          </w:tcPr>
          <w:p w14:paraId="6ADF2A07" w14:textId="77777777" w:rsidR="004F64EF" w:rsidRPr="003003C0" w:rsidRDefault="004F64EF" w:rsidP="00FD6B66">
            <w:pPr>
              <w:jc w:val="right"/>
              <w:rPr>
                <w:rFonts w:cs="Calibri"/>
                <w:bCs/>
                <w:color w:val="000000"/>
                <w:sz w:val="14"/>
                <w:szCs w:val="14"/>
              </w:rPr>
            </w:pPr>
            <w:r w:rsidRPr="003003C0">
              <w:rPr>
                <w:rFonts w:cs="Calibri"/>
                <w:bCs/>
                <w:color w:val="000000"/>
                <w:sz w:val="14"/>
                <w:szCs w:val="14"/>
              </w:rPr>
              <w:t>0</w:t>
            </w:r>
            <w:r>
              <w:rPr>
                <w:rFonts w:cs="Calibri"/>
                <w:bCs/>
                <w:color w:val="000000"/>
                <w:sz w:val="14"/>
                <w:szCs w:val="14"/>
              </w:rPr>
              <w:t>.</w:t>
            </w:r>
            <w:r w:rsidRPr="003003C0">
              <w:rPr>
                <w:rFonts w:cs="Calibri"/>
                <w:bCs/>
                <w:color w:val="000000"/>
                <w:sz w:val="14"/>
                <w:szCs w:val="14"/>
              </w:rPr>
              <w:t>3</w:t>
            </w:r>
          </w:p>
        </w:tc>
        <w:tc>
          <w:tcPr>
            <w:tcW w:w="650" w:type="dxa"/>
            <w:noWrap/>
            <w:vAlign w:val="center"/>
            <w:hideMark/>
          </w:tcPr>
          <w:p w14:paraId="0E5C5199" w14:textId="77777777" w:rsidR="004F64EF" w:rsidRPr="003003C0" w:rsidRDefault="004F64EF" w:rsidP="00FD6B66">
            <w:pPr>
              <w:jc w:val="right"/>
              <w:rPr>
                <w:rFonts w:cs="Calibri"/>
                <w:bCs/>
                <w:color w:val="000000"/>
                <w:sz w:val="14"/>
                <w:szCs w:val="14"/>
              </w:rPr>
            </w:pPr>
            <w:r w:rsidRPr="003003C0">
              <w:rPr>
                <w:rFonts w:cs="Calibri"/>
                <w:bCs/>
                <w:color w:val="000000"/>
                <w:sz w:val="14"/>
                <w:szCs w:val="14"/>
              </w:rPr>
              <w:t>0</w:t>
            </w:r>
            <w:r>
              <w:rPr>
                <w:rFonts w:cs="Calibri"/>
                <w:bCs/>
                <w:color w:val="000000"/>
                <w:sz w:val="14"/>
                <w:szCs w:val="14"/>
              </w:rPr>
              <w:t>.</w:t>
            </w:r>
            <w:r w:rsidRPr="003003C0">
              <w:rPr>
                <w:rFonts w:cs="Calibri"/>
                <w:bCs/>
                <w:color w:val="000000"/>
                <w:sz w:val="14"/>
                <w:szCs w:val="14"/>
              </w:rPr>
              <w:t>4</w:t>
            </w:r>
          </w:p>
        </w:tc>
      </w:tr>
      <w:tr w:rsidR="004F64EF" w:rsidRPr="003003C0" w14:paraId="7BDC506F" w14:textId="77777777" w:rsidTr="00FD6B66">
        <w:trPr>
          <w:cnfStyle w:val="000000010000" w:firstRow="0" w:lastRow="0" w:firstColumn="0" w:lastColumn="0" w:oddVBand="0" w:evenVBand="0" w:oddHBand="0" w:evenHBand="1" w:firstRowFirstColumn="0" w:firstRowLastColumn="0" w:lastRowFirstColumn="0" w:lastRowLastColumn="0"/>
          <w:trHeight w:val="20"/>
        </w:trPr>
        <w:tc>
          <w:tcPr>
            <w:tcW w:w="4478" w:type="dxa"/>
            <w:noWrap/>
            <w:vAlign w:val="center"/>
            <w:hideMark/>
          </w:tcPr>
          <w:p w14:paraId="1FD893FC" w14:textId="77777777" w:rsidR="004F64EF" w:rsidRPr="003003C0" w:rsidRDefault="004F64EF" w:rsidP="00FD6B66">
            <w:pPr>
              <w:jc w:val="left"/>
              <w:rPr>
                <w:rFonts w:cs="Calibri"/>
                <w:bCs/>
                <w:color w:val="000000"/>
                <w:sz w:val="14"/>
                <w:szCs w:val="14"/>
              </w:rPr>
            </w:pPr>
            <w:r w:rsidRPr="003003C0">
              <w:rPr>
                <w:rFonts w:cs="Calibri"/>
                <w:bCs/>
                <w:color w:val="000000"/>
                <w:sz w:val="14"/>
                <w:szCs w:val="14"/>
              </w:rPr>
              <w:t xml:space="preserve">6 - </w:t>
            </w:r>
            <w:r w:rsidRPr="00D60595">
              <w:rPr>
                <w:rFonts w:cs="Calibri"/>
                <w:bCs/>
                <w:color w:val="000000"/>
                <w:sz w:val="14"/>
                <w:szCs w:val="14"/>
              </w:rPr>
              <w:t>Products of the chemical or allied industries</w:t>
            </w:r>
          </w:p>
        </w:tc>
        <w:tc>
          <w:tcPr>
            <w:tcW w:w="650" w:type="dxa"/>
            <w:noWrap/>
            <w:vAlign w:val="center"/>
            <w:hideMark/>
          </w:tcPr>
          <w:p w14:paraId="52B1E178" w14:textId="77777777" w:rsidR="004F64EF" w:rsidRPr="003003C0" w:rsidRDefault="004F64EF" w:rsidP="00FD6B66">
            <w:pPr>
              <w:jc w:val="right"/>
              <w:rPr>
                <w:rFonts w:cs="Calibri"/>
                <w:bCs/>
                <w:color w:val="000000"/>
                <w:sz w:val="14"/>
                <w:szCs w:val="14"/>
              </w:rPr>
            </w:pPr>
            <w:r w:rsidRPr="003003C0">
              <w:rPr>
                <w:rFonts w:cs="Calibri"/>
                <w:bCs/>
                <w:color w:val="000000"/>
                <w:sz w:val="14"/>
                <w:szCs w:val="14"/>
              </w:rPr>
              <w:t>5</w:t>
            </w:r>
            <w:r>
              <w:rPr>
                <w:rFonts w:cs="Calibri"/>
                <w:bCs/>
                <w:color w:val="000000"/>
                <w:sz w:val="14"/>
                <w:szCs w:val="14"/>
              </w:rPr>
              <w:t>.</w:t>
            </w:r>
            <w:r w:rsidRPr="003003C0">
              <w:rPr>
                <w:rFonts w:cs="Calibri"/>
                <w:bCs/>
                <w:color w:val="000000"/>
                <w:sz w:val="14"/>
                <w:szCs w:val="14"/>
              </w:rPr>
              <w:t>0</w:t>
            </w:r>
          </w:p>
        </w:tc>
        <w:tc>
          <w:tcPr>
            <w:tcW w:w="650" w:type="dxa"/>
            <w:noWrap/>
            <w:vAlign w:val="center"/>
            <w:hideMark/>
          </w:tcPr>
          <w:p w14:paraId="0D2397E8" w14:textId="77777777" w:rsidR="004F64EF" w:rsidRPr="003003C0" w:rsidRDefault="004F64EF" w:rsidP="00FD6B66">
            <w:pPr>
              <w:jc w:val="right"/>
              <w:rPr>
                <w:rFonts w:cs="Calibri"/>
                <w:bCs/>
                <w:color w:val="000000"/>
                <w:sz w:val="14"/>
                <w:szCs w:val="14"/>
              </w:rPr>
            </w:pPr>
            <w:r w:rsidRPr="003003C0">
              <w:rPr>
                <w:rFonts w:cs="Calibri"/>
                <w:bCs/>
                <w:color w:val="000000"/>
                <w:sz w:val="14"/>
                <w:szCs w:val="14"/>
              </w:rPr>
              <w:t>5</w:t>
            </w:r>
            <w:r>
              <w:rPr>
                <w:rFonts w:cs="Calibri"/>
                <w:bCs/>
                <w:color w:val="000000"/>
                <w:sz w:val="14"/>
                <w:szCs w:val="14"/>
              </w:rPr>
              <w:t>.</w:t>
            </w:r>
            <w:r w:rsidRPr="003003C0">
              <w:rPr>
                <w:rFonts w:cs="Calibri"/>
                <w:bCs/>
                <w:color w:val="000000"/>
                <w:sz w:val="14"/>
                <w:szCs w:val="14"/>
              </w:rPr>
              <w:t>5</w:t>
            </w:r>
          </w:p>
        </w:tc>
        <w:tc>
          <w:tcPr>
            <w:tcW w:w="650" w:type="dxa"/>
            <w:noWrap/>
            <w:vAlign w:val="center"/>
            <w:hideMark/>
          </w:tcPr>
          <w:p w14:paraId="2987548F" w14:textId="77777777" w:rsidR="004F64EF" w:rsidRPr="003003C0" w:rsidRDefault="004F64EF" w:rsidP="00FD6B66">
            <w:pPr>
              <w:jc w:val="right"/>
              <w:rPr>
                <w:rFonts w:cs="Calibri"/>
                <w:bCs/>
                <w:color w:val="000000"/>
                <w:sz w:val="14"/>
                <w:szCs w:val="14"/>
              </w:rPr>
            </w:pPr>
            <w:r w:rsidRPr="003003C0">
              <w:rPr>
                <w:rFonts w:cs="Calibri"/>
                <w:bCs/>
                <w:color w:val="000000"/>
                <w:sz w:val="14"/>
                <w:szCs w:val="14"/>
              </w:rPr>
              <w:t>5</w:t>
            </w:r>
            <w:r>
              <w:rPr>
                <w:rFonts w:cs="Calibri"/>
                <w:bCs/>
                <w:color w:val="000000"/>
                <w:sz w:val="14"/>
                <w:szCs w:val="14"/>
              </w:rPr>
              <w:t>.</w:t>
            </w:r>
            <w:r w:rsidRPr="003003C0">
              <w:rPr>
                <w:rFonts w:cs="Calibri"/>
                <w:bCs/>
                <w:color w:val="000000"/>
                <w:sz w:val="14"/>
                <w:szCs w:val="14"/>
              </w:rPr>
              <w:t>6</w:t>
            </w:r>
          </w:p>
        </w:tc>
        <w:tc>
          <w:tcPr>
            <w:tcW w:w="650" w:type="dxa"/>
            <w:noWrap/>
            <w:vAlign w:val="center"/>
            <w:hideMark/>
          </w:tcPr>
          <w:p w14:paraId="47C3AB0B" w14:textId="77777777" w:rsidR="004F64EF" w:rsidRPr="003003C0" w:rsidRDefault="004F64EF" w:rsidP="00FD6B66">
            <w:pPr>
              <w:jc w:val="right"/>
              <w:rPr>
                <w:rFonts w:cs="Calibri"/>
                <w:bCs/>
                <w:color w:val="000000"/>
                <w:sz w:val="14"/>
                <w:szCs w:val="14"/>
              </w:rPr>
            </w:pPr>
            <w:r w:rsidRPr="003003C0">
              <w:rPr>
                <w:rFonts w:cs="Calibri"/>
                <w:bCs/>
                <w:color w:val="000000"/>
                <w:sz w:val="14"/>
                <w:szCs w:val="14"/>
              </w:rPr>
              <w:t>5</w:t>
            </w:r>
            <w:r>
              <w:rPr>
                <w:rFonts w:cs="Calibri"/>
                <w:bCs/>
                <w:color w:val="000000"/>
                <w:sz w:val="14"/>
                <w:szCs w:val="14"/>
              </w:rPr>
              <w:t>.</w:t>
            </w:r>
            <w:r w:rsidRPr="003003C0">
              <w:rPr>
                <w:rFonts w:cs="Calibri"/>
                <w:bCs/>
                <w:color w:val="000000"/>
                <w:sz w:val="14"/>
                <w:szCs w:val="14"/>
              </w:rPr>
              <w:t>5</w:t>
            </w:r>
          </w:p>
        </w:tc>
        <w:tc>
          <w:tcPr>
            <w:tcW w:w="650" w:type="dxa"/>
            <w:noWrap/>
            <w:vAlign w:val="center"/>
            <w:hideMark/>
          </w:tcPr>
          <w:p w14:paraId="3885AE92" w14:textId="77777777" w:rsidR="004F64EF" w:rsidRPr="003003C0" w:rsidRDefault="004F64EF" w:rsidP="00FD6B66">
            <w:pPr>
              <w:jc w:val="right"/>
              <w:rPr>
                <w:rFonts w:cs="Calibri"/>
                <w:bCs/>
                <w:color w:val="000000"/>
                <w:sz w:val="14"/>
                <w:szCs w:val="14"/>
              </w:rPr>
            </w:pPr>
            <w:r w:rsidRPr="003003C0">
              <w:rPr>
                <w:rFonts w:cs="Calibri"/>
                <w:bCs/>
                <w:color w:val="000000"/>
                <w:sz w:val="14"/>
                <w:szCs w:val="14"/>
              </w:rPr>
              <w:t>5</w:t>
            </w:r>
            <w:r>
              <w:rPr>
                <w:rFonts w:cs="Calibri"/>
                <w:bCs/>
                <w:color w:val="000000"/>
                <w:sz w:val="14"/>
                <w:szCs w:val="14"/>
              </w:rPr>
              <w:t>.</w:t>
            </w:r>
            <w:r w:rsidRPr="003003C0">
              <w:rPr>
                <w:rFonts w:cs="Calibri"/>
                <w:bCs/>
                <w:color w:val="000000"/>
                <w:sz w:val="14"/>
                <w:szCs w:val="14"/>
              </w:rPr>
              <w:t>9</w:t>
            </w:r>
          </w:p>
        </w:tc>
        <w:tc>
          <w:tcPr>
            <w:tcW w:w="650" w:type="dxa"/>
            <w:noWrap/>
            <w:vAlign w:val="center"/>
            <w:hideMark/>
          </w:tcPr>
          <w:p w14:paraId="7B86EE41" w14:textId="77777777" w:rsidR="004F64EF" w:rsidRPr="003003C0" w:rsidRDefault="004F64EF" w:rsidP="00FD6B66">
            <w:pPr>
              <w:jc w:val="right"/>
              <w:rPr>
                <w:rFonts w:cs="Calibri"/>
                <w:bCs/>
                <w:color w:val="000000"/>
                <w:sz w:val="14"/>
                <w:szCs w:val="14"/>
              </w:rPr>
            </w:pPr>
            <w:r w:rsidRPr="003003C0">
              <w:rPr>
                <w:rFonts w:cs="Calibri"/>
                <w:bCs/>
                <w:color w:val="000000"/>
                <w:sz w:val="14"/>
                <w:szCs w:val="14"/>
              </w:rPr>
              <w:t>4</w:t>
            </w:r>
            <w:r>
              <w:rPr>
                <w:rFonts w:cs="Calibri"/>
                <w:bCs/>
                <w:color w:val="000000"/>
                <w:sz w:val="14"/>
                <w:szCs w:val="14"/>
              </w:rPr>
              <w:t>.</w:t>
            </w:r>
            <w:r w:rsidRPr="003003C0">
              <w:rPr>
                <w:rFonts w:cs="Calibri"/>
                <w:bCs/>
                <w:color w:val="000000"/>
                <w:sz w:val="14"/>
                <w:szCs w:val="14"/>
              </w:rPr>
              <w:t>5</w:t>
            </w:r>
          </w:p>
        </w:tc>
        <w:tc>
          <w:tcPr>
            <w:tcW w:w="650" w:type="dxa"/>
            <w:noWrap/>
            <w:vAlign w:val="center"/>
            <w:hideMark/>
          </w:tcPr>
          <w:p w14:paraId="026F1DF1" w14:textId="77777777" w:rsidR="004F64EF" w:rsidRPr="003003C0" w:rsidRDefault="004F64EF" w:rsidP="00FD6B66">
            <w:pPr>
              <w:jc w:val="right"/>
              <w:rPr>
                <w:rFonts w:cs="Calibri"/>
                <w:bCs/>
                <w:color w:val="000000"/>
                <w:sz w:val="14"/>
                <w:szCs w:val="14"/>
              </w:rPr>
            </w:pPr>
            <w:r w:rsidRPr="003003C0">
              <w:rPr>
                <w:rFonts w:cs="Calibri"/>
                <w:bCs/>
                <w:color w:val="000000"/>
                <w:sz w:val="14"/>
                <w:szCs w:val="14"/>
              </w:rPr>
              <w:t>4</w:t>
            </w:r>
            <w:r>
              <w:rPr>
                <w:rFonts w:cs="Calibri"/>
                <w:bCs/>
                <w:color w:val="000000"/>
                <w:sz w:val="14"/>
                <w:szCs w:val="14"/>
              </w:rPr>
              <w:t>.</w:t>
            </w:r>
            <w:r w:rsidRPr="003003C0">
              <w:rPr>
                <w:rFonts w:cs="Calibri"/>
                <w:bCs/>
                <w:color w:val="000000"/>
                <w:sz w:val="14"/>
                <w:szCs w:val="14"/>
              </w:rPr>
              <w:t>4</w:t>
            </w:r>
          </w:p>
        </w:tc>
      </w:tr>
      <w:tr w:rsidR="004F64EF" w:rsidRPr="003003C0" w14:paraId="51AD418E" w14:textId="77777777" w:rsidTr="00FD6B66">
        <w:trPr>
          <w:trHeight w:val="20"/>
        </w:trPr>
        <w:tc>
          <w:tcPr>
            <w:tcW w:w="4478" w:type="dxa"/>
            <w:noWrap/>
            <w:vAlign w:val="center"/>
            <w:hideMark/>
          </w:tcPr>
          <w:p w14:paraId="4E06A0C5" w14:textId="77777777" w:rsidR="004F64EF" w:rsidRPr="003003C0" w:rsidRDefault="004F64EF" w:rsidP="00FD6B66">
            <w:pPr>
              <w:tabs>
                <w:tab w:val="left" w:pos="227"/>
              </w:tabs>
              <w:jc w:val="left"/>
              <w:rPr>
                <w:rFonts w:cs="Calibri"/>
                <w:bCs/>
                <w:color w:val="000000"/>
                <w:sz w:val="14"/>
                <w:szCs w:val="14"/>
              </w:rPr>
            </w:pPr>
            <w:r w:rsidRPr="003003C0">
              <w:rPr>
                <w:rFonts w:cs="Calibri"/>
                <w:bCs/>
                <w:color w:val="000000"/>
                <w:sz w:val="14"/>
                <w:szCs w:val="14"/>
              </w:rPr>
              <w:tab/>
              <w:t xml:space="preserve">33. </w:t>
            </w:r>
            <w:r w:rsidRPr="00077504">
              <w:rPr>
                <w:rFonts w:cs="Calibri"/>
                <w:bCs/>
                <w:color w:val="000000"/>
                <w:sz w:val="14"/>
                <w:szCs w:val="14"/>
              </w:rPr>
              <w:t>Essential oils; perfumery or cosmetic preparations</w:t>
            </w:r>
          </w:p>
        </w:tc>
        <w:tc>
          <w:tcPr>
            <w:tcW w:w="650" w:type="dxa"/>
            <w:noWrap/>
            <w:vAlign w:val="center"/>
            <w:hideMark/>
          </w:tcPr>
          <w:p w14:paraId="6F528C71" w14:textId="77777777" w:rsidR="004F64EF" w:rsidRPr="003003C0" w:rsidRDefault="004F64EF" w:rsidP="00FD6B66">
            <w:pPr>
              <w:jc w:val="right"/>
              <w:rPr>
                <w:rFonts w:cs="Calibri"/>
                <w:bCs/>
                <w:color w:val="000000"/>
                <w:sz w:val="14"/>
                <w:szCs w:val="14"/>
              </w:rPr>
            </w:pPr>
            <w:r w:rsidRPr="003003C0">
              <w:rPr>
                <w:rFonts w:cs="Calibri"/>
                <w:bCs/>
                <w:color w:val="000000"/>
                <w:sz w:val="14"/>
                <w:szCs w:val="14"/>
              </w:rPr>
              <w:t>1</w:t>
            </w:r>
            <w:r>
              <w:rPr>
                <w:rFonts w:cs="Calibri"/>
                <w:bCs/>
                <w:color w:val="000000"/>
                <w:sz w:val="14"/>
                <w:szCs w:val="14"/>
              </w:rPr>
              <w:t>.</w:t>
            </w:r>
            <w:r w:rsidRPr="003003C0">
              <w:rPr>
                <w:rFonts w:cs="Calibri"/>
                <w:bCs/>
                <w:color w:val="000000"/>
                <w:sz w:val="14"/>
                <w:szCs w:val="14"/>
              </w:rPr>
              <w:t>5</w:t>
            </w:r>
          </w:p>
        </w:tc>
        <w:tc>
          <w:tcPr>
            <w:tcW w:w="650" w:type="dxa"/>
            <w:noWrap/>
            <w:vAlign w:val="center"/>
            <w:hideMark/>
          </w:tcPr>
          <w:p w14:paraId="4CE2B3F3" w14:textId="77777777" w:rsidR="004F64EF" w:rsidRPr="003003C0" w:rsidRDefault="004F64EF" w:rsidP="00FD6B66">
            <w:pPr>
              <w:jc w:val="right"/>
              <w:rPr>
                <w:rFonts w:cs="Calibri"/>
                <w:bCs/>
                <w:color w:val="000000"/>
                <w:sz w:val="14"/>
                <w:szCs w:val="14"/>
              </w:rPr>
            </w:pPr>
            <w:r w:rsidRPr="003003C0">
              <w:rPr>
                <w:rFonts w:cs="Calibri"/>
                <w:bCs/>
                <w:color w:val="000000"/>
                <w:sz w:val="14"/>
                <w:szCs w:val="14"/>
              </w:rPr>
              <w:t>1</w:t>
            </w:r>
            <w:r>
              <w:rPr>
                <w:rFonts w:cs="Calibri"/>
                <w:bCs/>
                <w:color w:val="000000"/>
                <w:sz w:val="14"/>
                <w:szCs w:val="14"/>
              </w:rPr>
              <w:t>.</w:t>
            </w:r>
            <w:r w:rsidRPr="003003C0">
              <w:rPr>
                <w:rFonts w:cs="Calibri"/>
                <w:bCs/>
                <w:color w:val="000000"/>
                <w:sz w:val="14"/>
                <w:szCs w:val="14"/>
              </w:rPr>
              <w:t>9</w:t>
            </w:r>
          </w:p>
        </w:tc>
        <w:tc>
          <w:tcPr>
            <w:tcW w:w="650" w:type="dxa"/>
            <w:noWrap/>
            <w:vAlign w:val="center"/>
            <w:hideMark/>
          </w:tcPr>
          <w:p w14:paraId="301E5682" w14:textId="77777777" w:rsidR="004F64EF" w:rsidRPr="003003C0" w:rsidRDefault="004F64EF" w:rsidP="00FD6B66">
            <w:pPr>
              <w:jc w:val="right"/>
              <w:rPr>
                <w:rFonts w:cs="Calibri"/>
                <w:bCs/>
                <w:color w:val="000000"/>
                <w:sz w:val="14"/>
                <w:szCs w:val="14"/>
              </w:rPr>
            </w:pPr>
            <w:r w:rsidRPr="003003C0">
              <w:rPr>
                <w:rFonts w:cs="Calibri"/>
                <w:bCs/>
                <w:color w:val="000000"/>
                <w:sz w:val="14"/>
                <w:szCs w:val="14"/>
              </w:rPr>
              <w:t>2</w:t>
            </w:r>
            <w:r>
              <w:rPr>
                <w:rFonts w:cs="Calibri"/>
                <w:bCs/>
                <w:color w:val="000000"/>
                <w:sz w:val="14"/>
                <w:szCs w:val="14"/>
              </w:rPr>
              <w:t>.</w:t>
            </w:r>
            <w:r w:rsidRPr="003003C0">
              <w:rPr>
                <w:rFonts w:cs="Calibri"/>
                <w:bCs/>
                <w:color w:val="000000"/>
                <w:sz w:val="14"/>
                <w:szCs w:val="14"/>
              </w:rPr>
              <w:t>0</w:t>
            </w:r>
          </w:p>
        </w:tc>
        <w:tc>
          <w:tcPr>
            <w:tcW w:w="650" w:type="dxa"/>
            <w:noWrap/>
            <w:vAlign w:val="center"/>
            <w:hideMark/>
          </w:tcPr>
          <w:p w14:paraId="16E97BEA" w14:textId="77777777" w:rsidR="004F64EF" w:rsidRPr="003003C0" w:rsidRDefault="004F64EF" w:rsidP="00FD6B66">
            <w:pPr>
              <w:jc w:val="right"/>
              <w:rPr>
                <w:rFonts w:cs="Calibri"/>
                <w:bCs/>
                <w:color w:val="000000"/>
                <w:sz w:val="14"/>
                <w:szCs w:val="14"/>
              </w:rPr>
            </w:pPr>
            <w:r w:rsidRPr="003003C0">
              <w:rPr>
                <w:rFonts w:cs="Calibri"/>
                <w:bCs/>
                <w:color w:val="000000"/>
                <w:sz w:val="14"/>
                <w:szCs w:val="14"/>
              </w:rPr>
              <w:t>1</w:t>
            </w:r>
            <w:r>
              <w:rPr>
                <w:rFonts w:cs="Calibri"/>
                <w:bCs/>
                <w:color w:val="000000"/>
                <w:sz w:val="14"/>
                <w:szCs w:val="14"/>
              </w:rPr>
              <w:t>.</w:t>
            </w:r>
            <w:r w:rsidRPr="003003C0">
              <w:rPr>
                <w:rFonts w:cs="Calibri"/>
                <w:bCs/>
                <w:color w:val="000000"/>
                <w:sz w:val="14"/>
                <w:szCs w:val="14"/>
              </w:rPr>
              <w:t>9</w:t>
            </w:r>
          </w:p>
        </w:tc>
        <w:tc>
          <w:tcPr>
            <w:tcW w:w="650" w:type="dxa"/>
            <w:noWrap/>
            <w:vAlign w:val="center"/>
            <w:hideMark/>
          </w:tcPr>
          <w:p w14:paraId="16438CD0" w14:textId="77777777" w:rsidR="004F64EF" w:rsidRPr="003003C0" w:rsidRDefault="004F64EF" w:rsidP="00FD6B66">
            <w:pPr>
              <w:jc w:val="right"/>
              <w:rPr>
                <w:rFonts w:cs="Calibri"/>
                <w:bCs/>
                <w:color w:val="000000"/>
                <w:sz w:val="14"/>
                <w:szCs w:val="14"/>
              </w:rPr>
            </w:pPr>
            <w:r w:rsidRPr="003003C0">
              <w:rPr>
                <w:rFonts w:cs="Calibri"/>
                <w:bCs/>
                <w:color w:val="000000"/>
                <w:sz w:val="14"/>
                <w:szCs w:val="14"/>
              </w:rPr>
              <w:t>2</w:t>
            </w:r>
            <w:r>
              <w:rPr>
                <w:rFonts w:cs="Calibri"/>
                <w:bCs/>
                <w:color w:val="000000"/>
                <w:sz w:val="14"/>
                <w:szCs w:val="14"/>
              </w:rPr>
              <w:t>.</w:t>
            </w:r>
            <w:r w:rsidRPr="003003C0">
              <w:rPr>
                <w:rFonts w:cs="Calibri"/>
                <w:bCs/>
                <w:color w:val="000000"/>
                <w:sz w:val="14"/>
                <w:szCs w:val="14"/>
              </w:rPr>
              <w:t>7</w:t>
            </w:r>
          </w:p>
        </w:tc>
        <w:tc>
          <w:tcPr>
            <w:tcW w:w="650" w:type="dxa"/>
            <w:noWrap/>
            <w:vAlign w:val="center"/>
            <w:hideMark/>
          </w:tcPr>
          <w:p w14:paraId="387DC202" w14:textId="77777777" w:rsidR="004F64EF" w:rsidRPr="003003C0" w:rsidRDefault="004F64EF" w:rsidP="00FD6B66">
            <w:pPr>
              <w:jc w:val="right"/>
              <w:rPr>
                <w:rFonts w:cs="Calibri"/>
                <w:bCs/>
                <w:color w:val="000000"/>
                <w:sz w:val="14"/>
                <w:szCs w:val="14"/>
              </w:rPr>
            </w:pPr>
            <w:r w:rsidRPr="003003C0">
              <w:rPr>
                <w:rFonts w:cs="Calibri"/>
                <w:bCs/>
                <w:color w:val="000000"/>
                <w:sz w:val="14"/>
                <w:szCs w:val="14"/>
              </w:rPr>
              <w:t>1</w:t>
            </w:r>
            <w:r>
              <w:rPr>
                <w:rFonts w:cs="Calibri"/>
                <w:bCs/>
                <w:color w:val="000000"/>
                <w:sz w:val="14"/>
                <w:szCs w:val="14"/>
              </w:rPr>
              <w:t>.</w:t>
            </w:r>
            <w:r w:rsidRPr="003003C0">
              <w:rPr>
                <w:rFonts w:cs="Calibri"/>
                <w:bCs/>
                <w:color w:val="000000"/>
                <w:sz w:val="14"/>
                <w:szCs w:val="14"/>
              </w:rPr>
              <w:t>4</w:t>
            </w:r>
          </w:p>
        </w:tc>
        <w:tc>
          <w:tcPr>
            <w:tcW w:w="650" w:type="dxa"/>
            <w:noWrap/>
            <w:vAlign w:val="center"/>
            <w:hideMark/>
          </w:tcPr>
          <w:p w14:paraId="4B889447" w14:textId="77777777" w:rsidR="004F64EF" w:rsidRPr="003003C0" w:rsidRDefault="004F64EF" w:rsidP="00FD6B66">
            <w:pPr>
              <w:jc w:val="right"/>
              <w:rPr>
                <w:rFonts w:cs="Calibri"/>
                <w:bCs/>
                <w:color w:val="000000"/>
                <w:sz w:val="14"/>
                <w:szCs w:val="14"/>
              </w:rPr>
            </w:pPr>
            <w:r w:rsidRPr="003003C0">
              <w:rPr>
                <w:rFonts w:cs="Calibri"/>
                <w:bCs/>
                <w:color w:val="000000"/>
                <w:sz w:val="14"/>
                <w:szCs w:val="14"/>
              </w:rPr>
              <w:t>1</w:t>
            </w:r>
            <w:r>
              <w:rPr>
                <w:rFonts w:cs="Calibri"/>
                <w:bCs/>
                <w:color w:val="000000"/>
                <w:sz w:val="14"/>
                <w:szCs w:val="14"/>
              </w:rPr>
              <w:t>.</w:t>
            </w:r>
            <w:r w:rsidRPr="003003C0">
              <w:rPr>
                <w:rFonts w:cs="Calibri"/>
                <w:bCs/>
                <w:color w:val="000000"/>
                <w:sz w:val="14"/>
                <w:szCs w:val="14"/>
              </w:rPr>
              <w:t>3</w:t>
            </w:r>
          </w:p>
        </w:tc>
      </w:tr>
      <w:tr w:rsidR="004F64EF" w:rsidRPr="003003C0" w14:paraId="758B7309" w14:textId="77777777" w:rsidTr="00FD6B66">
        <w:trPr>
          <w:cnfStyle w:val="000000010000" w:firstRow="0" w:lastRow="0" w:firstColumn="0" w:lastColumn="0" w:oddVBand="0" w:evenVBand="0" w:oddHBand="0" w:evenHBand="1" w:firstRowFirstColumn="0" w:firstRowLastColumn="0" w:lastRowFirstColumn="0" w:lastRowLastColumn="0"/>
          <w:trHeight w:val="20"/>
        </w:trPr>
        <w:tc>
          <w:tcPr>
            <w:tcW w:w="4478" w:type="dxa"/>
            <w:noWrap/>
            <w:vAlign w:val="center"/>
            <w:hideMark/>
          </w:tcPr>
          <w:p w14:paraId="7EB8D5A6" w14:textId="77777777" w:rsidR="004F64EF" w:rsidRPr="003003C0" w:rsidRDefault="004F64EF" w:rsidP="00A839D1">
            <w:pPr>
              <w:tabs>
                <w:tab w:val="left" w:pos="227"/>
              </w:tabs>
              <w:ind w:left="227" w:hanging="227"/>
              <w:jc w:val="left"/>
              <w:rPr>
                <w:rFonts w:cs="Calibri"/>
                <w:bCs/>
                <w:color w:val="000000"/>
                <w:sz w:val="14"/>
                <w:szCs w:val="14"/>
              </w:rPr>
            </w:pPr>
            <w:r w:rsidRPr="003003C0">
              <w:rPr>
                <w:rFonts w:cs="Calibri"/>
                <w:bCs/>
                <w:color w:val="000000"/>
                <w:sz w:val="14"/>
                <w:szCs w:val="14"/>
              </w:rPr>
              <w:tab/>
              <w:t xml:space="preserve">32. </w:t>
            </w:r>
            <w:r w:rsidRPr="00077504">
              <w:rPr>
                <w:rFonts w:cs="Calibri"/>
                <w:bCs/>
                <w:color w:val="000000"/>
                <w:sz w:val="14"/>
                <w:szCs w:val="14"/>
              </w:rPr>
              <w:t>Tanning or dyeing extracts; dyes, pigments;</w:t>
            </w:r>
            <w:r>
              <w:rPr>
                <w:rFonts w:cs="Calibri"/>
                <w:bCs/>
                <w:color w:val="000000"/>
                <w:sz w:val="14"/>
                <w:szCs w:val="14"/>
              </w:rPr>
              <w:t xml:space="preserve"> </w:t>
            </w:r>
            <w:r w:rsidRPr="00077504">
              <w:rPr>
                <w:rFonts w:cs="Calibri"/>
                <w:bCs/>
                <w:color w:val="000000"/>
                <w:sz w:val="14"/>
                <w:szCs w:val="14"/>
              </w:rPr>
              <w:t>paints and varnishes</w:t>
            </w:r>
          </w:p>
        </w:tc>
        <w:tc>
          <w:tcPr>
            <w:tcW w:w="650" w:type="dxa"/>
            <w:noWrap/>
            <w:vAlign w:val="center"/>
            <w:hideMark/>
          </w:tcPr>
          <w:p w14:paraId="13E9452E" w14:textId="77777777" w:rsidR="004F64EF" w:rsidRPr="003003C0" w:rsidRDefault="004F64EF" w:rsidP="00FD6B66">
            <w:pPr>
              <w:jc w:val="right"/>
              <w:rPr>
                <w:rFonts w:cs="Calibri"/>
                <w:bCs/>
                <w:color w:val="000000"/>
                <w:sz w:val="14"/>
                <w:szCs w:val="14"/>
              </w:rPr>
            </w:pPr>
            <w:r w:rsidRPr="003003C0">
              <w:rPr>
                <w:rFonts w:cs="Calibri"/>
                <w:bCs/>
                <w:color w:val="000000"/>
                <w:sz w:val="14"/>
                <w:szCs w:val="14"/>
              </w:rPr>
              <w:t>0</w:t>
            </w:r>
            <w:r>
              <w:rPr>
                <w:rFonts w:cs="Calibri"/>
                <w:bCs/>
                <w:color w:val="000000"/>
                <w:sz w:val="14"/>
                <w:szCs w:val="14"/>
              </w:rPr>
              <w:t>.</w:t>
            </w:r>
            <w:r w:rsidRPr="003003C0">
              <w:rPr>
                <w:rFonts w:cs="Calibri"/>
                <w:bCs/>
                <w:color w:val="000000"/>
                <w:sz w:val="14"/>
                <w:szCs w:val="14"/>
              </w:rPr>
              <w:t>8</w:t>
            </w:r>
          </w:p>
        </w:tc>
        <w:tc>
          <w:tcPr>
            <w:tcW w:w="650" w:type="dxa"/>
            <w:noWrap/>
            <w:vAlign w:val="center"/>
            <w:hideMark/>
          </w:tcPr>
          <w:p w14:paraId="770FC38F" w14:textId="77777777" w:rsidR="004F64EF" w:rsidRPr="003003C0" w:rsidRDefault="004F64EF" w:rsidP="00FD6B66">
            <w:pPr>
              <w:jc w:val="right"/>
              <w:rPr>
                <w:rFonts w:cs="Calibri"/>
                <w:bCs/>
                <w:color w:val="000000"/>
                <w:sz w:val="14"/>
                <w:szCs w:val="14"/>
              </w:rPr>
            </w:pPr>
            <w:r w:rsidRPr="003003C0">
              <w:rPr>
                <w:rFonts w:cs="Calibri"/>
                <w:bCs/>
                <w:color w:val="000000"/>
                <w:sz w:val="14"/>
                <w:szCs w:val="14"/>
              </w:rPr>
              <w:t>0</w:t>
            </w:r>
            <w:r>
              <w:rPr>
                <w:rFonts w:cs="Calibri"/>
                <w:bCs/>
                <w:color w:val="000000"/>
                <w:sz w:val="14"/>
                <w:szCs w:val="14"/>
              </w:rPr>
              <w:t>.</w:t>
            </w:r>
            <w:r w:rsidRPr="003003C0">
              <w:rPr>
                <w:rFonts w:cs="Calibri"/>
                <w:bCs/>
                <w:color w:val="000000"/>
                <w:sz w:val="14"/>
                <w:szCs w:val="14"/>
              </w:rPr>
              <w:t>8</w:t>
            </w:r>
          </w:p>
        </w:tc>
        <w:tc>
          <w:tcPr>
            <w:tcW w:w="650" w:type="dxa"/>
            <w:noWrap/>
            <w:vAlign w:val="center"/>
            <w:hideMark/>
          </w:tcPr>
          <w:p w14:paraId="32CE3A96" w14:textId="77777777" w:rsidR="004F64EF" w:rsidRPr="003003C0" w:rsidRDefault="004F64EF" w:rsidP="00FD6B66">
            <w:pPr>
              <w:jc w:val="right"/>
              <w:rPr>
                <w:rFonts w:cs="Calibri"/>
                <w:bCs/>
                <w:color w:val="000000"/>
                <w:sz w:val="14"/>
                <w:szCs w:val="14"/>
              </w:rPr>
            </w:pPr>
            <w:r w:rsidRPr="003003C0">
              <w:rPr>
                <w:rFonts w:cs="Calibri"/>
                <w:bCs/>
                <w:color w:val="000000"/>
                <w:sz w:val="14"/>
                <w:szCs w:val="14"/>
              </w:rPr>
              <w:t>0</w:t>
            </w:r>
            <w:r>
              <w:rPr>
                <w:rFonts w:cs="Calibri"/>
                <w:bCs/>
                <w:color w:val="000000"/>
                <w:sz w:val="14"/>
                <w:szCs w:val="14"/>
              </w:rPr>
              <w:t>.</w:t>
            </w:r>
            <w:r w:rsidRPr="003003C0">
              <w:rPr>
                <w:rFonts w:cs="Calibri"/>
                <w:bCs/>
                <w:color w:val="000000"/>
                <w:sz w:val="14"/>
                <w:szCs w:val="14"/>
              </w:rPr>
              <w:t>8</w:t>
            </w:r>
          </w:p>
        </w:tc>
        <w:tc>
          <w:tcPr>
            <w:tcW w:w="650" w:type="dxa"/>
            <w:noWrap/>
            <w:vAlign w:val="center"/>
            <w:hideMark/>
          </w:tcPr>
          <w:p w14:paraId="2CAA6D3A" w14:textId="77777777" w:rsidR="004F64EF" w:rsidRPr="003003C0" w:rsidRDefault="004F64EF" w:rsidP="00FD6B66">
            <w:pPr>
              <w:jc w:val="right"/>
              <w:rPr>
                <w:rFonts w:cs="Calibri"/>
                <w:bCs/>
                <w:color w:val="000000"/>
                <w:sz w:val="14"/>
                <w:szCs w:val="14"/>
              </w:rPr>
            </w:pPr>
            <w:r w:rsidRPr="003003C0">
              <w:rPr>
                <w:rFonts w:cs="Calibri"/>
                <w:bCs/>
                <w:color w:val="000000"/>
                <w:sz w:val="14"/>
                <w:szCs w:val="14"/>
              </w:rPr>
              <w:t>0</w:t>
            </w:r>
            <w:r>
              <w:rPr>
                <w:rFonts w:cs="Calibri"/>
                <w:bCs/>
                <w:color w:val="000000"/>
                <w:sz w:val="14"/>
                <w:szCs w:val="14"/>
              </w:rPr>
              <w:t>.</w:t>
            </w:r>
            <w:r w:rsidRPr="003003C0">
              <w:rPr>
                <w:rFonts w:cs="Calibri"/>
                <w:bCs/>
                <w:color w:val="000000"/>
                <w:sz w:val="14"/>
                <w:szCs w:val="14"/>
              </w:rPr>
              <w:t>9</w:t>
            </w:r>
          </w:p>
        </w:tc>
        <w:tc>
          <w:tcPr>
            <w:tcW w:w="650" w:type="dxa"/>
            <w:noWrap/>
            <w:vAlign w:val="center"/>
            <w:hideMark/>
          </w:tcPr>
          <w:p w14:paraId="212D10A8" w14:textId="77777777" w:rsidR="004F64EF" w:rsidRPr="003003C0" w:rsidRDefault="004F64EF" w:rsidP="00FD6B66">
            <w:pPr>
              <w:jc w:val="right"/>
              <w:rPr>
                <w:rFonts w:cs="Calibri"/>
                <w:bCs/>
                <w:color w:val="000000"/>
                <w:sz w:val="14"/>
                <w:szCs w:val="14"/>
              </w:rPr>
            </w:pPr>
            <w:r w:rsidRPr="003003C0">
              <w:rPr>
                <w:rFonts w:cs="Calibri"/>
                <w:bCs/>
                <w:color w:val="000000"/>
                <w:sz w:val="14"/>
                <w:szCs w:val="14"/>
              </w:rPr>
              <w:t>0</w:t>
            </w:r>
            <w:r>
              <w:rPr>
                <w:rFonts w:cs="Calibri"/>
                <w:bCs/>
                <w:color w:val="000000"/>
                <w:sz w:val="14"/>
                <w:szCs w:val="14"/>
              </w:rPr>
              <w:t>.</w:t>
            </w:r>
            <w:r w:rsidRPr="003003C0">
              <w:rPr>
                <w:rFonts w:cs="Calibri"/>
                <w:bCs/>
                <w:color w:val="000000"/>
                <w:sz w:val="14"/>
                <w:szCs w:val="14"/>
              </w:rPr>
              <w:t>9</w:t>
            </w:r>
          </w:p>
        </w:tc>
        <w:tc>
          <w:tcPr>
            <w:tcW w:w="650" w:type="dxa"/>
            <w:noWrap/>
            <w:vAlign w:val="center"/>
            <w:hideMark/>
          </w:tcPr>
          <w:p w14:paraId="58E4B48D" w14:textId="77777777" w:rsidR="004F64EF" w:rsidRPr="003003C0" w:rsidRDefault="004F64EF" w:rsidP="00FD6B66">
            <w:pPr>
              <w:jc w:val="right"/>
              <w:rPr>
                <w:rFonts w:cs="Calibri"/>
                <w:bCs/>
                <w:color w:val="000000"/>
                <w:sz w:val="14"/>
                <w:szCs w:val="14"/>
              </w:rPr>
            </w:pPr>
            <w:r w:rsidRPr="003003C0">
              <w:rPr>
                <w:rFonts w:cs="Calibri"/>
                <w:bCs/>
                <w:color w:val="000000"/>
                <w:sz w:val="14"/>
                <w:szCs w:val="14"/>
              </w:rPr>
              <w:t>0</w:t>
            </w:r>
            <w:r>
              <w:rPr>
                <w:rFonts w:cs="Calibri"/>
                <w:bCs/>
                <w:color w:val="000000"/>
                <w:sz w:val="14"/>
                <w:szCs w:val="14"/>
              </w:rPr>
              <w:t>.</w:t>
            </w:r>
            <w:r w:rsidRPr="003003C0">
              <w:rPr>
                <w:rFonts w:cs="Calibri"/>
                <w:bCs/>
                <w:color w:val="000000"/>
                <w:sz w:val="14"/>
                <w:szCs w:val="14"/>
              </w:rPr>
              <w:t>8</w:t>
            </w:r>
          </w:p>
        </w:tc>
        <w:tc>
          <w:tcPr>
            <w:tcW w:w="650" w:type="dxa"/>
            <w:noWrap/>
            <w:vAlign w:val="center"/>
            <w:hideMark/>
          </w:tcPr>
          <w:p w14:paraId="58EF75EA" w14:textId="77777777" w:rsidR="004F64EF" w:rsidRPr="003003C0" w:rsidRDefault="004F64EF" w:rsidP="00FD6B66">
            <w:pPr>
              <w:jc w:val="right"/>
              <w:rPr>
                <w:rFonts w:cs="Calibri"/>
                <w:bCs/>
                <w:color w:val="000000"/>
                <w:sz w:val="14"/>
                <w:szCs w:val="14"/>
              </w:rPr>
            </w:pPr>
            <w:r w:rsidRPr="003003C0">
              <w:rPr>
                <w:rFonts w:cs="Calibri"/>
                <w:bCs/>
                <w:color w:val="000000"/>
                <w:sz w:val="14"/>
                <w:szCs w:val="14"/>
              </w:rPr>
              <w:t>0</w:t>
            </w:r>
            <w:r>
              <w:rPr>
                <w:rFonts w:cs="Calibri"/>
                <w:bCs/>
                <w:color w:val="000000"/>
                <w:sz w:val="14"/>
                <w:szCs w:val="14"/>
              </w:rPr>
              <w:t>.</w:t>
            </w:r>
            <w:r w:rsidRPr="003003C0">
              <w:rPr>
                <w:rFonts w:cs="Calibri"/>
                <w:bCs/>
                <w:color w:val="000000"/>
                <w:sz w:val="14"/>
                <w:szCs w:val="14"/>
              </w:rPr>
              <w:t>8</w:t>
            </w:r>
          </w:p>
        </w:tc>
      </w:tr>
      <w:tr w:rsidR="004F64EF" w:rsidRPr="003003C0" w14:paraId="0C7C1966" w14:textId="77777777" w:rsidTr="00FD6B66">
        <w:trPr>
          <w:trHeight w:val="20"/>
        </w:trPr>
        <w:tc>
          <w:tcPr>
            <w:tcW w:w="4478" w:type="dxa"/>
            <w:noWrap/>
            <w:vAlign w:val="center"/>
            <w:hideMark/>
          </w:tcPr>
          <w:p w14:paraId="01C92918" w14:textId="77777777" w:rsidR="004F64EF" w:rsidRPr="003003C0" w:rsidRDefault="004F64EF" w:rsidP="00FD6B66">
            <w:pPr>
              <w:tabs>
                <w:tab w:val="left" w:pos="227"/>
              </w:tabs>
              <w:jc w:val="left"/>
              <w:rPr>
                <w:rFonts w:cs="Calibri"/>
                <w:bCs/>
                <w:color w:val="000000"/>
                <w:sz w:val="14"/>
                <w:szCs w:val="14"/>
              </w:rPr>
            </w:pPr>
            <w:r w:rsidRPr="003003C0">
              <w:rPr>
                <w:rFonts w:cs="Calibri"/>
                <w:bCs/>
                <w:color w:val="000000"/>
                <w:sz w:val="14"/>
                <w:szCs w:val="14"/>
              </w:rPr>
              <w:tab/>
              <w:t xml:space="preserve">30. </w:t>
            </w:r>
            <w:r w:rsidRPr="00077504">
              <w:rPr>
                <w:rFonts w:cs="Calibri"/>
                <w:bCs/>
                <w:color w:val="000000"/>
                <w:sz w:val="14"/>
                <w:szCs w:val="14"/>
              </w:rPr>
              <w:t>Pharmaceutical products</w:t>
            </w:r>
          </w:p>
        </w:tc>
        <w:tc>
          <w:tcPr>
            <w:tcW w:w="650" w:type="dxa"/>
            <w:noWrap/>
            <w:vAlign w:val="center"/>
            <w:hideMark/>
          </w:tcPr>
          <w:p w14:paraId="1D3A24E9" w14:textId="77777777" w:rsidR="004F64EF" w:rsidRPr="003003C0" w:rsidRDefault="004F64EF" w:rsidP="00FD6B66">
            <w:pPr>
              <w:jc w:val="right"/>
              <w:rPr>
                <w:rFonts w:cs="Calibri"/>
                <w:bCs/>
                <w:color w:val="000000"/>
                <w:sz w:val="14"/>
                <w:szCs w:val="14"/>
              </w:rPr>
            </w:pPr>
            <w:r w:rsidRPr="003003C0">
              <w:rPr>
                <w:rFonts w:cs="Calibri"/>
                <w:bCs/>
                <w:color w:val="000000"/>
                <w:sz w:val="14"/>
                <w:szCs w:val="14"/>
              </w:rPr>
              <w:t>0</w:t>
            </w:r>
            <w:r>
              <w:rPr>
                <w:rFonts w:cs="Calibri"/>
                <w:bCs/>
                <w:color w:val="000000"/>
                <w:sz w:val="14"/>
                <w:szCs w:val="14"/>
              </w:rPr>
              <w:t>.</w:t>
            </w:r>
            <w:r w:rsidRPr="003003C0">
              <w:rPr>
                <w:rFonts w:cs="Calibri"/>
                <w:bCs/>
                <w:color w:val="000000"/>
                <w:sz w:val="14"/>
                <w:szCs w:val="14"/>
              </w:rPr>
              <w:t>5</w:t>
            </w:r>
          </w:p>
        </w:tc>
        <w:tc>
          <w:tcPr>
            <w:tcW w:w="650" w:type="dxa"/>
            <w:noWrap/>
            <w:vAlign w:val="center"/>
            <w:hideMark/>
          </w:tcPr>
          <w:p w14:paraId="5AA6B20C" w14:textId="77777777" w:rsidR="004F64EF" w:rsidRPr="003003C0" w:rsidRDefault="004F64EF" w:rsidP="00FD6B66">
            <w:pPr>
              <w:jc w:val="right"/>
              <w:rPr>
                <w:rFonts w:cs="Calibri"/>
                <w:bCs/>
                <w:color w:val="000000"/>
                <w:sz w:val="14"/>
                <w:szCs w:val="14"/>
              </w:rPr>
            </w:pPr>
            <w:r w:rsidRPr="003003C0">
              <w:rPr>
                <w:rFonts w:cs="Calibri"/>
                <w:bCs/>
                <w:color w:val="000000"/>
                <w:sz w:val="14"/>
                <w:szCs w:val="14"/>
              </w:rPr>
              <w:t>0</w:t>
            </w:r>
            <w:r>
              <w:rPr>
                <w:rFonts w:cs="Calibri"/>
                <w:bCs/>
                <w:color w:val="000000"/>
                <w:sz w:val="14"/>
                <w:szCs w:val="14"/>
              </w:rPr>
              <w:t>.</w:t>
            </w:r>
            <w:r w:rsidRPr="003003C0">
              <w:rPr>
                <w:rFonts w:cs="Calibri"/>
                <w:bCs/>
                <w:color w:val="000000"/>
                <w:sz w:val="14"/>
                <w:szCs w:val="14"/>
              </w:rPr>
              <w:t>5</w:t>
            </w:r>
          </w:p>
        </w:tc>
        <w:tc>
          <w:tcPr>
            <w:tcW w:w="650" w:type="dxa"/>
            <w:noWrap/>
            <w:vAlign w:val="center"/>
            <w:hideMark/>
          </w:tcPr>
          <w:p w14:paraId="48095811" w14:textId="77777777" w:rsidR="004F64EF" w:rsidRPr="003003C0" w:rsidRDefault="004F64EF" w:rsidP="00FD6B66">
            <w:pPr>
              <w:jc w:val="right"/>
              <w:rPr>
                <w:rFonts w:cs="Calibri"/>
                <w:bCs/>
                <w:color w:val="000000"/>
                <w:sz w:val="14"/>
                <w:szCs w:val="14"/>
              </w:rPr>
            </w:pPr>
            <w:r w:rsidRPr="003003C0">
              <w:rPr>
                <w:rFonts w:cs="Calibri"/>
                <w:bCs/>
                <w:color w:val="000000"/>
                <w:sz w:val="14"/>
                <w:szCs w:val="14"/>
              </w:rPr>
              <w:t>0</w:t>
            </w:r>
            <w:r>
              <w:rPr>
                <w:rFonts w:cs="Calibri"/>
                <w:bCs/>
                <w:color w:val="000000"/>
                <w:sz w:val="14"/>
                <w:szCs w:val="14"/>
              </w:rPr>
              <w:t>.</w:t>
            </w:r>
            <w:r w:rsidRPr="003003C0">
              <w:rPr>
                <w:rFonts w:cs="Calibri"/>
                <w:bCs/>
                <w:color w:val="000000"/>
                <w:sz w:val="14"/>
                <w:szCs w:val="14"/>
              </w:rPr>
              <w:t>4</w:t>
            </w:r>
          </w:p>
        </w:tc>
        <w:tc>
          <w:tcPr>
            <w:tcW w:w="650" w:type="dxa"/>
            <w:noWrap/>
            <w:vAlign w:val="center"/>
            <w:hideMark/>
          </w:tcPr>
          <w:p w14:paraId="2984589F" w14:textId="77777777" w:rsidR="004F64EF" w:rsidRPr="003003C0" w:rsidRDefault="004F64EF" w:rsidP="00FD6B66">
            <w:pPr>
              <w:jc w:val="right"/>
              <w:rPr>
                <w:rFonts w:cs="Calibri"/>
                <w:bCs/>
                <w:color w:val="000000"/>
                <w:sz w:val="14"/>
                <w:szCs w:val="14"/>
              </w:rPr>
            </w:pPr>
            <w:r w:rsidRPr="003003C0">
              <w:rPr>
                <w:rFonts w:cs="Calibri"/>
                <w:bCs/>
                <w:color w:val="000000"/>
                <w:sz w:val="14"/>
                <w:szCs w:val="14"/>
              </w:rPr>
              <w:t>0</w:t>
            </w:r>
            <w:r>
              <w:rPr>
                <w:rFonts w:cs="Calibri"/>
                <w:bCs/>
                <w:color w:val="000000"/>
                <w:sz w:val="14"/>
                <w:szCs w:val="14"/>
              </w:rPr>
              <w:t>.</w:t>
            </w:r>
            <w:r w:rsidRPr="003003C0">
              <w:rPr>
                <w:rFonts w:cs="Calibri"/>
                <w:bCs/>
                <w:color w:val="000000"/>
                <w:sz w:val="14"/>
                <w:szCs w:val="14"/>
              </w:rPr>
              <w:t>5</w:t>
            </w:r>
          </w:p>
        </w:tc>
        <w:tc>
          <w:tcPr>
            <w:tcW w:w="650" w:type="dxa"/>
            <w:noWrap/>
            <w:vAlign w:val="center"/>
            <w:hideMark/>
          </w:tcPr>
          <w:p w14:paraId="55489A6F" w14:textId="77777777" w:rsidR="004F64EF" w:rsidRPr="003003C0" w:rsidRDefault="004F64EF" w:rsidP="00FD6B66">
            <w:pPr>
              <w:jc w:val="right"/>
              <w:rPr>
                <w:rFonts w:cs="Calibri"/>
                <w:bCs/>
                <w:color w:val="000000"/>
                <w:sz w:val="14"/>
                <w:szCs w:val="14"/>
              </w:rPr>
            </w:pPr>
            <w:r w:rsidRPr="003003C0">
              <w:rPr>
                <w:rFonts w:cs="Calibri"/>
                <w:bCs/>
                <w:color w:val="000000"/>
                <w:sz w:val="14"/>
                <w:szCs w:val="14"/>
              </w:rPr>
              <w:t>0</w:t>
            </w:r>
            <w:r>
              <w:rPr>
                <w:rFonts w:cs="Calibri"/>
                <w:bCs/>
                <w:color w:val="000000"/>
                <w:sz w:val="14"/>
                <w:szCs w:val="14"/>
              </w:rPr>
              <w:t>.</w:t>
            </w:r>
            <w:r w:rsidRPr="003003C0">
              <w:rPr>
                <w:rFonts w:cs="Calibri"/>
                <w:bCs/>
                <w:color w:val="000000"/>
                <w:sz w:val="14"/>
                <w:szCs w:val="14"/>
              </w:rPr>
              <w:t>5</w:t>
            </w:r>
          </w:p>
        </w:tc>
        <w:tc>
          <w:tcPr>
            <w:tcW w:w="650" w:type="dxa"/>
            <w:noWrap/>
            <w:vAlign w:val="center"/>
            <w:hideMark/>
          </w:tcPr>
          <w:p w14:paraId="5D5989E3" w14:textId="77777777" w:rsidR="004F64EF" w:rsidRPr="003003C0" w:rsidRDefault="004F64EF" w:rsidP="00FD6B66">
            <w:pPr>
              <w:jc w:val="right"/>
              <w:rPr>
                <w:rFonts w:cs="Calibri"/>
                <w:bCs/>
                <w:color w:val="000000"/>
                <w:sz w:val="14"/>
                <w:szCs w:val="14"/>
              </w:rPr>
            </w:pPr>
            <w:r w:rsidRPr="003003C0">
              <w:rPr>
                <w:rFonts w:cs="Calibri"/>
                <w:bCs/>
                <w:color w:val="000000"/>
                <w:sz w:val="14"/>
                <w:szCs w:val="14"/>
              </w:rPr>
              <w:t>0</w:t>
            </w:r>
            <w:r>
              <w:rPr>
                <w:rFonts w:cs="Calibri"/>
                <w:bCs/>
                <w:color w:val="000000"/>
                <w:sz w:val="14"/>
                <w:szCs w:val="14"/>
              </w:rPr>
              <w:t>.</w:t>
            </w:r>
            <w:r w:rsidRPr="003003C0">
              <w:rPr>
                <w:rFonts w:cs="Calibri"/>
                <w:bCs/>
                <w:color w:val="000000"/>
                <w:sz w:val="14"/>
                <w:szCs w:val="14"/>
              </w:rPr>
              <w:t>7</w:t>
            </w:r>
          </w:p>
        </w:tc>
        <w:tc>
          <w:tcPr>
            <w:tcW w:w="650" w:type="dxa"/>
            <w:noWrap/>
            <w:vAlign w:val="center"/>
            <w:hideMark/>
          </w:tcPr>
          <w:p w14:paraId="4F0BA314" w14:textId="77777777" w:rsidR="004F64EF" w:rsidRPr="003003C0" w:rsidRDefault="004F64EF" w:rsidP="00FD6B66">
            <w:pPr>
              <w:jc w:val="right"/>
              <w:rPr>
                <w:rFonts w:cs="Calibri"/>
                <w:bCs/>
                <w:color w:val="000000"/>
                <w:sz w:val="14"/>
                <w:szCs w:val="14"/>
              </w:rPr>
            </w:pPr>
            <w:r w:rsidRPr="003003C0">
              <w:rPr>
                <w:rFonts w:cs="Calibri"/>
                <w:bCs/>
                <w:color w:val="000000"/>
                <w:sz w:val="14"/>
                <w:szCs w:val="14"/>
              </w:rPr>
              <w:t>0</w:t>
            </w:r>
            <w:r>
              <w:rPr>
                <w:rFonts w:cs="Calibri"/>
                <w:bCs/>
                <w:color w:val="000000"/>
                <w:sz w:val="14"/>
                <w:szCs w:val="14"/>
              </w:rPr>
              <w:t>.</w:t>
            </w:r>
            <w:r w:rsidRPr="003003C0">
              <w:rPr>
                <w:rFonts w:cs="Calibri"/>
                <w:bCs/>
                <w:color w:val="000000"/>
                <w:sz w:val="14"/>
                <w:szCs w:val="14"/>
              </w:rPr>
              <w:t>6</w:t>
            </w:r>
          </w:p>
        </w:tc>
      </w:tr>
      <w:tr w:rsidR="004F64EF" w:rsidRPr="003003C0" w14:paraId="172244D0" w14:textId="77777777" w:rsidTr="00FD6B66">
        <w:trPr>
          <w:cnfStyle w:val="000000010000" w:firstRow="0" w:lastRow="0" w:firstColumn="0" w:lastColumn="0" w:oddVBand="0" w:evenVBand="0" w:oddHBand="0" w:evenHBand="1" w:firstRowFirstColumn="0" w:firstRowLastColumn="0" w:lastRowFirstColumn="0" w:lastRowLastColumn="0"/>
          <w:trHeight w:val="20"/>
        </w:trPr>
        <w:tc>
          <w:tcPr>
            <w:tcW w:w="4478" w:type="dxa"/>
            <w:noWrap/>
            <w:vAlign w:val="center"/>
            <w:hideMark/>
          </w:tcPr>
          <w:p w14:paraId="0FE71D73" w14:textId="77777777" w:rsidR="004F64EF" w:rsidRPr="003003C0" w:rsidRDefault="004F64EF" w:rsidP="00FD6B66">
            <w:pPr>
              <w:tabs>
                <w:tab w:val="left" w:pos="227"/>
              </w:tabs>
              <w:jc w:val="left"/>
              <w:rPr>
                <w:rFonts w:cs="Calibri"/>
                <w:bCs/>
                <w:color w:val="000000"/>
                <w:sz w:val="14"/>
                <w:szCs w:val="14"/>
              </w:rPr>
            </w:pPr>
            <w:r w:rsidRPr="003003C0">
              <w:rPr>
                <w:rFonts w:cs="Calibri"/>
                <w:bCs/>
                <w:color w:val="000000"/>
                <w:sz w:val="14"/>
                <w:szCs w:val="14"/>
              </w:rPr>
              <w:tab/>
              <w:t xml:space="preserve">38. </w:t>
            </w:r>
            <w:r w:rsidRPr="00077504">
              <w:rPr>
                <w:rFonts w:cs="Calibri"/>
                <w:bCs/>
                <w:color w:val="000000"/>
                <w:sz w:val="14"/>
                <w:szCs w:val="14"/>
              </w:rPr>
              <w:t>Miscellaneous chemical products</w:t>
            </w:r>
          </w:p>
        </w:tc>
        <w:tc>
          <w:tcPr>
            <w:tcW w:w="650" w:type="dxa"/>
            <w:noWrap/>
            <w:vAlign w:val="center"/>
            <w:hideMark/>
          </w:tcPr>
          <w:p w14:paraId="30616B84" w14:textId="77777777" w:rsidR="004F64EF" w:rsidRPr="003003C0" w:rsidRDefault="004F64EF" w:rsidP="00FD6B66">
            <w:pPr>
              <w:jc w:val="right"/>
              <w:rPr>
                <w:rFonts w:cs="Calibri"/>
                <w:bCs/>
                <w:color w:val="000000"/>
                <w:sz w:val="14"/>
                <w:szCs w:val="14"/>
              </w:rPr>
            </w:pPr>
            <w:r w:rsidRPr="003003C0">
              <w:rPr>
                <w:rFonts w:cs="Calibri"/>
                <w:bCs/>
                <w:color w:val="000000"/>
                <w:sz w:val="14"/>
                <w:szCs w:val="14"/>
              </w:rPr>
              <w:t>0</w:t>
            </w:r>
            <w:r>
              <w:rPr>
                <w:rFonts w:cs="Calibri"/>
                <w:bCs/>
                <w:color w:val="000000"/>
                <w:sz w:val="14"/>
                <w:szCs w:val="14"/>
              </w:rPr>
              <w:t>.</w:t>
            </w:r>
            <w:r w:rsidRPr="003003C0">
              <w:rPr>
                <w:rFonts w:cs="Calibri"/>
                <w:bCs/>
                <w:color w:val="000000"/>
                <w:sz w:val="14"/>
                <w:szCs w:val="14"/>
              </w:rPr>
              <w:t>4</w:t>
            </w:r>
          </w:p>
        </w:tc>
        <w:tc>
          <w:tcPr>
            <w:tcW w:w="650" w:type="dxa"/>
            <w:noWrap/>
            <w:vAlign w:val="center"/>
            <w:hideMark/>
          </w:tcPr>
          <w:p w14:paraId="24667D46" w14:textId="77777777" w:rsidR="004F64EF" w:rsidRPr="003003C0" w:rsidRDefault="004F64EF" w:rsidP="00FD6B66">
            <w:pPr>
              <w:jc w:val="right"/>
              <w:rPr>
                <w:rFonts w:cs="Calibri"/>
                <w:bCs/>
                <w:color w:val="000000"/>
                <w:sz w:val="14"/>
                <w:szCs w:val="14"/>
              </w:rPr>
            </w:pPr>
            <w:r w:rsidRPr="003003C0">
              <w:rPr>
                <w:rFonts w:cs="Calibri"/>
                <w:bCs/>
                <w:color w:val="000000"/>
                <w:sz w:val="14"/>
                <w:szCs w:val="14"/>
              </w:rPr>
              <w:t>0</w:t>
            </w:r>
            <w:r>
              <w:rPr>
                <w:rFonts w:cs="Calibri"/>
                <w:bCs/>
                <w:color w:val="000000"/>
                <w:sz w:val="14"/>
                <w:szCs w:val="14"/>
              </w:rPr>
              <w:t>.</w:t>
            </w:r>
            <w:r w:rsidRPr="003003C0">
              <w:rPr>
                <w:rFonts w:cs="Calibri"/>
                <w:bCs/>
                <w:color w:val="000000"/>
                <w:sz w:val="14"/>
                <w:szCs w:val="14"/>
              </w:rPr>
              <w:t>5</w:t>
            </w:r>
          </w:p>
        </w:tc>
        <w:tc>
          <w:tcPr>
            <w:tcW w:w="650" w:type="dxa"/>
            <w:noWrap/>
            <w:vAlign w:val="center"/>
            <w:hideMark/>
          </w:tcPr>
          <w:p w14:paraId="0AE0A380" w14:textId="77777777" w:rsidR="004F64EF" w:rsidRPr="003003C0" w:rsidRDefault="004F64EF" w:rsidP="00FD6B66">
            <w:pPr>
              <w:jc w:val="right"/>
              <w:rPr>
                <w:rFonts w:cs="Calibri"/>
                <w:bCs/>
                <w:color w:val="000000"/>
                <w:sz w:val="14"/>
                <w:szCs w:val="14"/>
              </w:rPr>
            </w:pPr>
            <w:r w:rsidRPr="003003C0">
              <w:rPr>
                <w:rFonts w:cs="Calibri"/>
                <w:bCs/>
                <w:color w:val="000000"/>
                <w:sz w:val="14"/>
                <w:szCs w:val="14"/>
              </w:rPr>
              <w:t>0</w:t>
            </w:r>
            <w:r>
              <w:rPr>
                <w:rFonts w:cs="Calibri"/>
                <w:bCs/>
                <w:color w:val="000000"/>
                <w:sz w:val="14"/>
                <w:szCs w:val="14"/>
              </w:rPr>
              <w:t>.</w:t>
            </w:r>
            <w:r w:rsidRPr="003003C0">
              <w:rPr>
                <w:rFonts w:cs="Calibri"/>
                <w:bCs/>
                <w:color w:val="000000"/>
                <w:sz w:val="14"/>
                <w:szCs w:val="14"/>
              </w:rPr>
              <w:t>5</w:t>
            </w:r>
          </w:p>
        </w:tc>
        <w:tc>
          <w:tcPr>
            <w:tcW w:w="650" w:type="dxa"/>
            <w:noWrap/>
            <w:vAlign w:val="center"/>
            <w:hideMark/>
          </w:tcPr>
          <w:p w14:paraId="66ED1A66" w14:textId="77777777" w:rsidR="004F64EF" w:rsidRPr="003003C0" w:rsidRDefault="004F64EF" w:rsidP="00FD6B66">
            <w:pPr>
              <w:jc w:val="right"/>
              <w:rPr>
                <w:rFonts w:cs="Calibri"/>
                <w:bCs/>
                <w:color w:val="000000"/>
                <w:sz w:val="14"/>
                <w:szCs w:val="14"/>
              </w:rPr>
            </w:pPr>
            <w:r w:rsidRPr="003003C0">
              <w:rPr>
                <w:rFonts w:cs="Calibri"/>
                <w:bCs/>
                <w:color w:val="000000"/>
                <w:sz w:val="14"/>
                <w:szCs w:val="14"/>
              </w:rPr>
              <w:t>0</w:t>
            </w:r>
            <w:r>
              <w:rPr>
                <w:rFonts w:cs="Calibri"/>
                <w:bCs/>
                <w:color w:val="000000"/>
                <w:sz w:val="14"/>
                <w:szCs w:val="14"/>
              </w:rPr>
              <w:t>.</w:t>
            </w:r>
            <w:r w:rsidRPr="003003C0">
              <w:rPr>
                <w:rFonts w:cs="Calibri"/>
                <w:bCs/>
                <w:color w:val="000000"/>
                <w:sz w:val="14"/>
                <w:szCs w:val="14"/>
              </w:rPr>
              <w:t>5</w:t>
            </w:r>
          </w:p>
        </w:tc>
        <w:tc>
          <w:tcPr>
            <w:tcW w:w="650" w:type="dxa"/>
            <w:noWrap/>
            <w:vAlign w:val="center"/>
            <w:hideMark/>
          </w:tcPr>
          <w:p w14:paraId="311A9E09" w14:textId="77777777" w:rsidR="004F64EF" w:rsidRPr="003003C0" w:rsidRDefault="004F64EF" w:rsidP="00FD6B66">
            <w:pPr>
              <w:jc w:val="right"/>
              <w:rPr>
                <w:rFonts w:cs="Calibri"/>
                <w:bCs/>
                <w:color w:val="000000"/>
                <w:sz w:val="14"/>
                <w:szCs w:val="14"/>
              </w:rPr>
            </w:pPr>
            <w:r w:rsidRPr="003003C0">
              <w:rPr>
                <w:rFonts w:cs="Calibri"/>
                <w:bCs/>
                <w:color w:val="000000"/>
                <w:sz w:val="14"/>
                <w:szCs w:val="14"/>
              </w:rPr>
              <w:t>0</w:t>
            </w:r>
            <w:r>
              <w:rPr>
                <w:rFonts w:cs="Calibri"/>
                <w:bCs/>
                <w:color w:val="000000"/>
                <w:sz w:val="14"/>
                <w:szCs w:val="14"/>
              </w:rPr>
              <w:t>.</w:t>
            </w:r>
            <w:r w:rsidRPr="003003C0">
              <w:rPr>
                <w:rFonts w:cs="Calibri"/>
                <w:bCs/>
                <w:color w:val="000000"/>
                <w:sz w:val="14"/>
                <w:szCs w:val="14"/>
              </w:rPr>
              <w:t>4</w:t>
            </w:r>
          </w:p>
        </w:tc>
        <w:tc>
          <w:tcPr>
            <w:tcW w:w="650" w:type="dxa"/>
            <w:noWrap/>
            <w:vAlign w:val="center"/>
            <w:hideMark/>
          </w:tcPr>
          <w:p w14:paraId="652D9715" w14:textId="77777777" w:rsidR="004F64EF" w:rsidRPr="003003C0" w:rsidRDefault="004F64EF" w:rsidP="00FD6B66">
            <w:pPr>
              <w:jc w:val="right"/>
              <w:rPr>
                <w:rFonts w:cs="Calibri"/>
                <w:bCs/>
                <w:color w:val="000000"/>
                <w:sz w:val="14"/>
                <w:szCs w:val="14"/>
              </w:rPr>
            </w:pPr>
            <w:r w:rsidRPr="003003C0">
              <w:rPr>
                <w:rFonts w:cs="Calibri"/>
                <w:bCs/>
                <w:color w:val="000000"/>
                <w:sz w:val="14"/>
                <w:szCs w:val="14"/>
              </w:rPr>
              <w:t>0</w:t>
            </w:r>
            <w:r>
              <w:rPr>
                <w:rFonts w:cs="Calibri"/>
                <w:bCs/>
                <w:color w:val="000000"/>
                <w:sz w:val="14"/>
                <w:szCs w:val="14"/>
              </w:rPr>
              <w:t>.</w:t>
            </w:r>
            <w:r w:rsidRPr="003003C0">
              <w:rPr>
                <w:rFonts w:cs="Calibri"/>
                <w:bCs/>
                <w:color w:val="000000"/>
                <w:sz w:val="14"/>
                <w:szCs w:val="14"/>
              </w:rPr>
              <w:t>5</w:t>
            </w:r>
          </w:p>
        </w:tc>
        <w:tc>
          <w:tcPr>
            <w:tcW w:w="650" w:type="dxa"/>
            <w:noWrap/>
            <w:vAlign w:val="center"/>
            <w:hideMark/>
          </w:tcPr>
          <w:p w14:paraId="2109FC56" w14:textId="77777777" w:rsidR="004F64EF" w:rsidRPr="003003C0" w:rsidRDefault="004F64EF" w:rsidP="00FD6B66">
            <w:pPr>
              <w:jc w:val="right"/>
              <w:rPr>
                <w:rFonts w:cs="Calibri"/>
                <w:bCs/>
                <w:color w:val="000000"/>
                <w:sz w:val="14"/>
                <w:szCs w:val="14"/>
              </w:rPr>
            </w:pPr>
            <w:r w:rsidRPr="003003C0">
              <w:rPr>
                <w:rFonts w:cs="Calibri"/>
                <w:bCs/>
                <w:color w:val="000000"/>
                <w:sz w:val="14"/>
                <w:szCs w:val="14"/>
              </w:rPr>
              <w:t>0</w:t>
            </w:r>
            <w:r>
              <w:rPr>
                <w:rFonts w:cs="Calibri"/>
                <w:bCs/>
                <w:color w:val="000000"/>
                <w:sz w:val="14"/>
                <w:szCs w:val="14"/>
              </w:rPr>
              <w:t>.</w:t>
            </w:r>
            <w:r w:rsidRPr="003003C0">
              <w:rPr>
                <w:rFonts w:cs="Calibri"/>
                <w:bCs/>
                <w:color w:val="000000"/>
                <w:sz w:val="14"/>
                <w:szCs w:val="14"/>
              </w:rPr>
              <w:t>5</w:t>
            </w:r>
          </w:p>
        </w:tc>
      </w:tr>
      <w:tr w:rsidR="004F64EF" w:rsidRPr="003003C0" w14:paraId="7D434508" w14:textId="77777777" w:rsidTr="00FD6B66">
        <w:trPr>
          <w:trHeight w:val="20"/>
        </w:trPr>
        <w:tc>
          <w:tcPr>
            <w:tcW w:w="4478" w:type="dxa"/>
            <w:noWrap/>
            <w:vAlign w:val="center"/>
            <w:hideMark/>
          </w:tcPr>
          <w:p w14:paraId="18B6A3AD" w14:textId="77777777" w:rsidR="004F64EF" w:rsidRPr="003003C0" w:rsidRDefault="004F64EF" w:rsidP="00FD6B66">
            <w:pPr>
              <w:tabs>
                <w:tab w:val="left" w:pos="227"/>
              </w:tabs>
              <w:jc w:val="left"/>
              <w:rPr>
                <w:rFonts w:cs="Calibri"/>
                <w:bCs/>
                <w:color w:val="000000"/>
                <w:sz w:val="14"/>
                <w:szCs w:val="14"/>
              </w:rPr>
            </w:pPr>
            <w:r w:rsidRPr="003003C0">
              <w:rPr>
                <w:rFonts w:cs="Calibri"/>
                <w:bCs/>
                <w:color w:val="000000"/>
                <w:sz w:val="14"/>
                <w:szCs w:val="14"/>
              </w:rPr>
              <w:tab/>
              <w:t xml:space="preserve">29. </w:t>
            </w:r>
            <w:r w:rsidRPr="00077504">
              <w:rPr>
                <w:rFonts w:cs="Calibri"/>
                <w:bCs/>
                <w:color w:val="000000"/>
                <w:sz w:val="14"/>
                <w:szCs w:val="14"/>
              </w:rPr>
              <w:t>Organic chemicals</w:t>
            </w:r>
          </w:p>
        </w:tc>
        <w:tc>
          <w:tcPr>
            <w:tcW w:w="650" w:type="dxa"/>
            <w:noWrap/>
            <w:vAlign w:val="center"/>
            <w:hideMark/>
          </w:tcPr>
          <w:p w14:paraId="31B1DB98" w14:textId="77777777" w:rsidR="004F64EF" w:rsidRPr="003003C0" w:rsidRDefault="004F64EF" w:rsidP="00FD6B66">
            <w:pPr>
              <w:jc w:val="right"/>
              <w:rPr>
                <w:rFonts w:cs="Calibri"/>
                <w:bCs/>
                <w:color w:val="000000"/>
                <w:sz w:val="14"/>
                <w:szCs w:val="14"/>
              </w:rPr>
            </w:pPr>
            <w:r w:rsidRPr="003003C0">
              <w:rPr>
                <w:rFonts w:cs="Calibri"/>
                <w:bCs/>
                <w:color w:val="000000"/>
                <w:sz w:val="14"/>
                <w:szCs w:val="14"/>
              </w:rPr>
              <w:t>0</w:t>
            </w:r>
            <w:r>
              <w:rPr>
                <w:rFonts w:cs="Calibri"/>
                <w:bCs/>
                <w:color w:val="000000"/>
                <w:sz w:val="14"/>
                <w:szCs w:val="14"/>
              </w:rPr>
              <w:t>.</w:t>
            </w:r>
            <w:r w:rsidRPr="003003C0">
              <w:rPr>
                <w:rFonts w:cs="Calibri"/>
                <w:bCs/>
                <w:color w:val="000000"/>
                <w:sz w:val="14"/>
                <w:szCs w:val="14"/>
              </w:rPr>
              <w:t>8</w:t>
            </w:r>
          </w:p>
        </w:tc>
        <w:tc>
          <w:tcPr>
            <w:tcW w:w="650" w:type="dxa"/>
            <w:noWrap/>
            <w:vAlign w:val="center"/>
            <w:hideMark/>
          </w:tcPr>
          <w:p w14:paraId="0F423575" w14:textId="77777777" w:rsidR="004F64EF" w:rsidRPr="003003C0" w:rsidRDefault="004F64EF" w:rsidP="00FD6B66">
            <w:pPr>
              <w:jc w:val="right"/>
              <w:rPr>
                <w:rFonts w:cs="Calibri"/>
                <w:bCs/>
                <w:color w:val="000000"/>
                <w:sz w:val="14"/>
                <w:szCs w:val="14"/>
              </w:rPr>
            </w:pPr>
            <w:r w:rsidRPr="003003C0">
              <w:rPr>
                <w:rFonts w:cs="Calibri"/>
                <w:bCs/>
                <w:color w:val="000000"/>
                <w:sz w:val="14"/>
                <w:szCs w:val="14"/>
              </w:rPr>
              <w:t>0</w:t>
            </w:r>
            <w:r>
              <w:rPr>
                <w:rFonts w:cs="Calibri"/>
                <w:bCs/>
                <w:color w:val="000000"/>
                <w:sz w:val="14"/>
                <w:szCs w:val="14"/>
              </w:rPr>
              <w:t>.</w:t>
            </w:r>
            <w:r w:rsidRPr="003003C0">
              <w:rPr>
                <w:rFonts w:cs="Calibri"/>
                <w:bCs/>
                <w:color w:val="000000"/>
                <w:sz w:val="14"/>
                <w:szCs w:val="14"/>
              </w:rPr>
              <w:t>7</w:t>
            </w:r>
          </w:p>
        </w:tc>
        <w:tc>
          <w:tcPr>
            <w:tcW w:w="650" w:type="dxa"/>
            <w:noWrap/>
            <w:vAlign w:val="center"/>
            <w:hideMark/>
          </w:tcPr>
          <w:p w14:paraId="7A0977CE" w14:textId="77777777" w:rsidR="004F64EF" w:rsidRPr="003003C0" w:rsidRDefault="004F64EF" w:rsidP="00FD6B66">
            <w:pPr>
              <w:jc w:val="right"/>
              <w:rPr>
                <w:rFonts w:cs="Calibri"/>
                <w:bCs/>
                <w:color w:val="000000"/>
                <w:sz w:val="14"/>
                <w:szCs w:val="14"/>
              </w:rPr>
            </w:pPr>
            <w:r w:rsidRPr="003003C0">
              <w:rPr>
                <w:rFonts w:cs="Calibri"/>
                <w:bCs/>
                <w:color w:val="000000"/>
                <w:sz w:val="14"/>
                <w:szCs w:val="14"/>
              </w:rPr>
              <w:t>0</w:t>
            </w:r>
            <w:r>
              <w:rPr>
                <w:rFonts w:cs="Calibri"/>
                <w:bCs/>
                <w:color w:val="000000"/>
                <w:sz w:val="14"/>
                <w:szCs w:val="14"/>
              </w:rPr>
              <w:t>.</w:t>
            </w:r>
            <w:r w:rsidRPr="003003C0">
              <w:rPr>
                <w:rFonts w:cs="Calibri"/>
                <w:bCs/>
                <w:color w:val="000000"/>
                <w:sz w:val="14"/>
                <w:szCs w:val="14"/>
              </w:rPr>
              <w:t>6</w:t>
            </w:r>
          </w:p>
        </w:tc>
        <w:tc>
          <w:tcPr>
            <w:tcW w:w="650" w:type="dxa"/>
            <w:noWrap/>
            <w:vAlign w:val="center"/>
            <w:hideMark/>
          </w:tcPr>
          <w:p w14:paraId="584623C7" w14:textId="77777777" w:rsidR="004F64EF" w:rsidRPr="003003C0" w:rsidRDefault="004F64EF" w:rsidP="00FD6B66">
            <w:pPr>
              <w:jc w:val="right"/>
              <w:rPr>
                <w:rFonts w:cs="Calibri"/>
                <w:bCs/>
                <w:color w:val="000000"/>
                <w:sz w:val="14"/>
                <w:szCs w:val="14"/>
              </w:rPr>
            </w:pPr>
            <w:r w:rsidRPr="003003C0">
              <w:rPr>
                <w:rFonts w:cs="Calibri"/>
                <w:bCs/>
                <w:color w:val="000000"/>
                <w:sz w:val="14"/>
                <w:szCs w:val="14"/>
              </w:rPr>
              <w:t>0</w:t>
            </w:r>
            <w:r>
              <w:rPr>
                <w:rFonts w:cs="Calibri"/>
                <w:bCs/>
                <w:color w:val="000000"/>
                <w:sz w:val="14"/>
                <w:szCs w:val="14"/>
              </w:rPr>
              <w:t>.</w:t>
            </w:r>
            <w:r w:rsidRPr="003003C0">
              <w:rPr>
                <w:rFonts w:cs="Calibri"/>
                <w:bCs/>
                <w:color w:val="000000"/>
                <w:sz w:val="14"/>
                <w:szCs w:val="14"/>
              </w:rPr>
              <w:t>6</w:t>
            </w:r>
          </w:p>
        </w:tc>
        <w:tc>
          <w:tcPr>
            <w:tcW w:w="650" w:type="dxa"/>
            <w:noWrap/>
            <w:vAlign w:val="center"/>
            <w:hideMark/>
          </w:tcPr>
          <w:p w14:paraId="15D77292" w14:textId="77777777" w:rsidR="004F64EF" w:rsidRPr="003003C0" w:rsidRDefault="004F64EF" w:rsidP="00FD6B66">
            <w:pPr>
              <w:jc w:val="right"/>
              <w:rPr>
                <w:rFonts w:cs="Calibri"/>
                <w:bCs/>
                <w:color w:val="000000"/>
                <w:sz w:val="14"/>
                <w:szCs w:val="14"/>
              </w:rPr>
            </w:pPr>
            <w:r w:rsidRPr="003003C0">
              <w:rPr>
                <w:rFonts w:cs="Calibri"/>
                <w:bCs/>
                <w:color w:val="000000"/>
                <w:sz w:val="14"/>
                <w:szCs w:val="14"/>
              </w:rPr>
              <w:t>0</w:t>
            </w:r>
            <w:r>
              <w:rPr>
                <w:rFonts w:cs="Calibri"/>
                <w:bCs/>
                <w:color w:val="000000"/>
                <w:sz w:val="14"/>
                <w:szCs w:val="14"/>
              </w:rPr>
              <w:t>.</w:t>
            </w:r>
            <w:r w:rsidRPr="003003C0">
              <w:rPr>
                <w:rFonts w:cs="Calibri"/>
                <w:bCs/>
                <w:color w:val="000000"/>
                <w:sz w:val="14"/>
                <w:szCs w:val="14"/>
              </w:rPr>
              <w:t>4</w:t>
            </w:r>
          </w:p>
        </w:tc>
        <w:tc>
          <w:tcPr>
            <w:tcW w:w="650" w:type="dxa"/>
            <w:noWrap/>
            <w:vAlign w:val="center"/>
            <w:hideMark/>
          </w:tcPr>
          <w:p w14:paraId="05530663" w14:textId="77777777" w:rsidR="004F64EF" w:rsidRPr="003003C0" w:rsidRDefault="004F64EF" w:rsidP="00FD6B66">
            <w:pPr>
              <w:jc w:val="right"/>
              <w:rPr>
                <w:rFonts w:cs="Calibri"/>
                <w:bCs/>
                <w:color w:val="000000"/>
                <w:sz w:val="14"/>
                <w:szCs w:val="14"/>
              </w:rPr>
            </w:pPr>
            <w:r w:rsidRPr="003003C0">
              <w:rPr>
                <w:rFonts w:cs="Calibri"/>
                <w:bCs/>
                <w:color w:val="000000"/>
                <w:sz w:val="14"/>
                <w:szCs w:val="14"/>
              </w:rPr>
              <w:t>0</w:t>
            </w:r>
            <w:r>
              <w:rPr>
                <w:rFonts w:cs="Calibri"/>
                <w:bCs/>
                <w:color w:val="000000"/>
                <w:sz w:val="14"/>
                <w:szCs w:val="14"/>
              </w:rPr>
              <w:t>.</w:t>
            </w:r>
            <w:r w:rsidRPr="003003C0">
              <w:rPr>
                <w:rFonts w:cs="Calibri"/>
                <w:bCs/>
                <w:color w:val="000000"/>
                <w:sz w:val="14"/>
                <w:szCs w:val="14"/>
              </w:rPr>
              <w:t>4</w:t>
            </w:r>
          </w:p>
        </w:tc>
        <w:tc>
          <w:tcPr>
            <w:tcW w:w="650" w:type="dxa"/>
            <w:noWrap/>
            <w:vAlign w:val="center"/>
            <w:hideMark/>
          </w:tcPr>
          <w:p w14:paraId="5D28B20B" w14:textId="77777777" w:rsidR="004F64EF" w:rsidRPr="003003C0" w:rsidRDefault="004F64EF" w:rsidP="00FD6B66">
            <w:pPr>
              <w:jc w:val="right"/>
              <w:rPr>
                <w:rFonts w:cs="Calibri"/>
                <w:bCs/>
                <w:color w:val="000000"/>
                <w:sz w:val="14"/>
                <w:szCs w:val="14"/>
              </w:rPr>
            </w:pPr>
            <w:r w:rsidRPr="003003C0">
              <w:rPr>
                <w:rFonts w:cs="Calibri"/>
                <w:bCs/>
                <w:color w:val="000000"/>
                <w:sz w:val="14"/>
                <w:szCs w:val="14"/>
              </w:rPr>
              <w:t>0</w:t>
            </w:r>
            <w:r>
              <w:rPr>
                <w:rFonts w:cs="Calibri"/>
                <w:bCs/>
                <w:color w:val="000000"/>
                <w:sz w:val="14"/>
                <w:szCs w:val="14"/>
              </w:rPr>
              <w:t>.</w:t>
            </w:r>
            <w:r w:rsidRPr="003003C0">
              <w:rPr>
                <w:rFonts w:cs="Calibri"/>
                <w:bCs/>
                <w:color w:val="000000"/>
                <w:sz w:val="14"/>
                <w:szCs w:val="14"/>
              </w:rPr>
              <w:t>5</w:t>
            </w:r>
          </w:p>
        </w:tc>
      </w:tr>
      <w:tr w:rsidR="004F64EF" w:rsidRPr="003003C0" w14:paraId="391A973D" w14:textId="77777777" w:rsidTr="00FD6B66">
        <w:trPr>
          <w:cnfStyle w:val="000000010000" w:firstRow="0" w:lastRow="0" w:firstColumn="0" w:lastColumn="0" w:oddVBand="0" w:evenVBand="0" w:oddHBand="0" w:evenHBand="1" w:firstRowFirstColumn="0" w:firstRowLastColumn="0" w:lastRowFirstColumn="0" w:lastRowLastColumn="0"/>
          <w:trHeight w:val="20"/>
        </w:trPr>
        <w:tc>
          <w:tcPr>
            <w:tcW w:w="4478" w:type="dxa"/>
            <w:noWrap/>
            <w:vAlign w:val="center"/>
            <w:hideMark/>
          </w:tcPr>
          <w:p w14:paraId="18BC3979" w14:textId="77777777" w:rsidR="004F64EF" w:rsidRPr="003003C0" w:rsidRDefault="004F64EF" w:rsidP="00FD6B66">
            <w:pPr>
              <w:jc w:val="left"/>
              <w:rPr>
                <w:rFonts w:cs="Calibri"/>
                <w:bCs/>
                <w:color w:val="000000"/>
                <w:sz w:val="14"/>
                <w:szCs w:val="14"/>
              </w:rPr>
            </w:pPr>
            <w:r w:rsidRPr="003003C0">
              <w:rPr>
                <w:rFonts w:cs="Calibri"/>
                <w:bCs/>
                <w:color w:val="000000"/>
                <w:sz w:val="14"/>
                <w:szCs w:val="14"/>
              </w:rPr>
              <w:t xml:space="preserve">7 - </w:t>
            </w:r>
            <w:r w:rsidRPr="00D60595">
              <w:rPr>
                <w:rFonts w:cs="Calibri"/>
                <w:bCs/>
                <w:color w:val="000000"/>
                <w:sz w:val="14"/>
                <w:szCs w:val="14"/>
              </w:rPr>
              <w:t>Plastics and articles thereof</w:t>
            </w:r>
          </w:p>
        </w:tc>
        <w:tc>
          <w:tcPr>
            <w:tcW w:w="650" w:type="dxa"/>
            <w:noWrap/>
            <w:vAlign w:val="center"/>
            <w:hideMark/>
          </w:tcPr>
          <w:p w14:paraId="07F58A49" w14:textId="77777777" w:rsidR="004F64EF" w:rsidRPr="003003C0" w:rsidRDefault="004F64EF" w:rsidP="00FD6B66">
            <w:pPr>
              <w:jc w:val="right"/>
              <w:rPr>
                <w:rFonts w:cs="Calibri"/>
                <w:bCs/>
                <w:color w:val="000000"/>
                <w:sz w:val="14"/>
                <w:szCs w:val="14"/>
              </w:rPr>
            </w:pPr>
            <w:r w:rsidRPr="003003C0">
              <w:rPr>
                <w:rFonts w:cs="Calibri"/>
                <w:bCs/>
                <w:color w:val="000000"/>
                <w:sz w:val="14"/>
                <w:szCs w:val="14"/>
              </w:rPr>
              <w:t>17</w:t>
            </w:r>
            <w:r>
              <w:rPr>
                <w:rFonts w:cs="Calibri"/>
                <w:bCs/>
                <w:color w:val="000000"/>
                <w:sz w:val="14"/>
                <w:szCs w:val="14"/>
              </w:rPr>
              <w:t>.</w:t>
            </w:r>
            <w:r w:rsidRPr="003003C0">
              <w:rPr>
                <w:rFonts w:cs="Calibri"/>
                <w:bCs/>
                <w:color w:val="000000"/>
                <w:sz w:val="14"/>
                <w:szCs w:val="14"/>
              </w:rPr>
              <w:t>4</w:t>
            </w:r>
          </w:p>
        </w:tc>
        <w:tc>
          <w:tcPr>
            <w:tcW w:w="650" w:type="dxa"/>
            <w:noWrap/>
            <w:vAlign w:val="center"/>
            <w:hideMark/>
          </w:tcPr>
          <w:p w14:paraId="71C6D641" w14:textId="77777777" w:rsidR="004F64EF" w:rsidRPr="003003C0" w:rsidRDefault="004F64EF" w:rsidP="00FD6B66">
            <w:pPr>
              <w:jc w:val="right"/>
              <w:rPr>
                <w:rFonts w:cs="Calibri"/>
                <w:bCs/>
                <w:color w:val="000000"/>
                <w:sz w:val="14"/>
                <w:szCs w:val="14"/>
              </w:rPr>
            </w:pPr>
            <w:r w:rsidRPr="003003C0">
              <w:rPr>
                <w:rFonts w:cs="Calibri"/>
                <w:bCs/>
                <w:color w:val="000000"/>
                <w:sz w:val="14"/>
                <w:szCs w:val="14"/>
              </w:rPr>
              <w:t>19</w:t>
            </w:r>
            <w:r>
              <w:rPr>
                <w:rFonts w:cs="Calibri"/>
                <w:bCs/>
                <w:color w:val="000000"/>
                <w:sz w:val="14"/>
                <w:szCs w:val="14"/>
              </w:rPr>
              <w:t>.</w:t>
            </w:r>
            <w:r w:rsidRPr="003003C0">
              <w:rPr>
                <w:rFonts w:cs="Calibri"/>
                <w:bCs/>
                <w:color w:val="000000"/>
                <w:sz w:val="14"/>
                <w:szCs w:val="14"/>
              </w:rPr>
              <w:t>0</w:t>
            </w:r>
          </w:p>
        </w:tc>
        <w:tc>
          <w:tcPr>
            <w:tcW w:w="650" w:type="dxa"/>
            <w:noWrap/>
            <w:vAlign w:val="center"/>
            <w:hideMark/>
          </w:tcPr>
          <w:p w14:paraId="74165D3E" w14:textId="77777777" w:rsidR="004F64EF" w:rsidRPr="003003C0" w:rsidRDefault="004F64EF" w:rsidP="00FD6B66">
            <w:pPr>
              <w:jc w:val="right"/>
              <w:rPr>
                <w:rFonts w:cs="Calibri"/>
                <w:bCs/>
                <w:color w:val="000000"/>
                <w:sz w:val="14"/>
                <w:szCs w:val="14"/>
              </w:rPr>
            </w:pPr>
            <w:r w:rsidRPr="003003C0">
              <w:rPr>
                <w:rFonts w:cs="Calibri"/>
                <w:bCs/>
                <w:color w:val="000000"/>
                <w:sz w:val="14"/>
                <w:szCs w:val="14"/>
              </w:rPr>
              <w:t>18</w:t>
            </w:r>
            <w:r>
              <w:rPr>
                <w:rFonts w:cs="Calibri"/>
                <w:bCs/>
                <w:color w:val="000000"/>
                <w:sz w:val="14"/>
                <w:szCs w:val="14"/>
              </w:rPr>
              <w:t>.</w:t>
            </w:r>
            <w:r w:rsidRPr="003003C0">
              <w:rPr>
                <w:rFonts w:cs="Calibri"/>
                <w:bCs/>
                <w:color w:val="000000"/>
                <w:sz w:val="14"/>
                <w:szCs w:val="14"/>
              </w:rPr>
              <w:t>5</w:t>
            </w:r>
          </w:p>
        </w:tc>
        <w:tc>
          <w:tcPr>
            <w:tcW w:w="650" w:type="dxa"/>
            <w:noWrap/>
            <w:vAlign w:val="center"/>
            <w:hideMark/>
          </w:tcPr>
          <w:p w14:paraId="19040771" w14:textId="77777777" w:rsidR="004F64EF" w:rsidRPr="003003C0" w:rsidRDefault="004F64EF" w:rsidP="00FD6B66">
            <w:pPr>
              <w:jc w:val="right"/>
              <w:rPr>
                <w:rFonts w:cs="Calibri"/>
                <w:bCs/>
                <w:color w:val="000000"/>
                <w:sz w:val="14"/>
                <w:szCs w:val="14"/>
              </w:rPr>
            </w:pPr>
            <w:r w:rsidRPr="003003C0">
              <w:rPr>
                <w:rFonts w:cs="Calibri"/>
                <w:bCs/>
                <w:color w:val="000000"/>
                <w:sz w:val="14"/>
                <w:szCs w:val="14"/>
              </w:rPr>
              <w:t>17</w:t>
            </w:r>
            <w:r>
              <w:rPr>
                <w:rFonts w:cs="Calibri"/>
                <w:bCs/>
                <w:color w:val="000000"/>
                <w:sz w:val="14"/>
                <w:szCs w:val="14"/>
              </w:rPr>
              <w:t>.</w:t>
            </w:r>
            <w:r w:rsidRPr="003003C0">
              <w:rPr>
                <w:rFonts w:cs="Calibri"/>
                <w:bCs/>
                <w:color w:val="000000"/>
                <w:sz w:val="14"/>
                <w:szCs w:val="14"/>
              </w:rPr>
              <w:t>1</w:t>
            </w:r>
          </w:p>
        </w:tc>
        <w:tc>
          <w:tcPr>
            <w:tcW w:w="650" w:type="dxa"/>
            <w:noWrap/>
            <w:vAlign w:val="center"/>
            <w:hideMark/>
          </w:tcPr>
          <w:p w14:paraId="4A9E2D87" w14:textId="77777777" w:rsidR="004F64EF" w:rsidRPr="003003C0" w:rsidRDefault="004F64EF" w:rsidP="00FD6B66">
            <w:pPr>
              <w:jc w:val="right"/>
              <w:rPr>
                <w:rFonts w:cs="Calibri"/>
                <w:bCs/>
                <w:color w:val="000000"/>
                <w:sz w:val="14"/>
                <w:szCs w:val="14"/>
              </w:rPr>
            </w:pPr>
            <w:r w:rsidRPr="003003C0">
              <w:rPr>
                <w:rFonts w:cs="Calibri"/>
                <w:bCs/>
                <w:color w:val="000000"/>
                <w:sz w:val="14"/>
                <w:szCs w:val="14"/>
              </w:rPr>
              <w:t>17</w:t>
            </w:r>
            <w:r>
              <w:rPr>
                <w:rFonts w:cs="Calibri"/>
                <w:bCs/>
                <w:color w:val="000000"/>
                <w:sz w:val="14"/>
                <w:szCs w:val="14"/>
              </w:rPr>
              <w:t>.</w:t>
            </w:r>
            <w:r w:rsidRPr="003003C0">
              <w:rPr>
                <w:rFonts w:cs="Calibri"/>
                <w:bCs/>
                <w:color w:val="000000"/>
                <w:sz w:val="14"/>
                <w:szCs w:val="14"/>
              </w:rPr>
              <w:t>3</w:t>
            </w:r>
          </w:p>
        </w:tc>
        <w:tc>
          <w:tcPr>
            <w:tcW w:w="650" w:type="dxa"/>
            <w:noWrap/>
            <w:vAlign w:val="center"/>
            <w:hideMark/>
          </w:tcPr>
          <w:p w14:paraId="314565B7" w14:textId="77777777" w:rsidR="004F64EF" w:rsidRPr="003003C0" w:rsidRDefault="004F64EF" w:rsidP="00FD6B66">
            <w:pPr>
              <w:jc w:val="right"/>
              <w:rPr>
                <w:rFonts w:cs="Calibri"/>
                <w:bCs/>
                <w:color w:val="000000"/>
                <w:sz w:val="14"/>
                <w:szCs w:val="14"/>
              </w:rPr>
            </w:pPr>
            <w:r w:rsidRPr="003003C0">
              <w:rPr>
                <w:rFonts w:cs="Calibri"/>
                <w:bCs/>
                <w:color w:val="000000"/>
                <w:sz w:val="14"/>
                <w:szCs w:val="14"/>
              </w:rPr>
              <w:t>19</w:t>
            </w:r>
            <w:r>
              <w:rPr>
                <w:rFonts w:cs="Calibri"/>
                <w:bCs/>
                <w:color w:val="000000"/>
                <w:sz w:val="14"/>
                <w:szCs w:val="14"/>
              </w:rPr>
              <w:t>.</w:t>
            </w:r>
            <w:r w:rsidRPr="003003C0">
              <w:rPr>
                <w:rFonts w:cs="Calibri"/>
                <w:bCs/>
                <w:color w:val="000000"/>
                <w:sz w:val="14"/>
                <w:szCs w:val="14"/>
              </w:rPr>
              <w:t>8</w:t>
            </w:r>
          </w:p>
        </w:tc>
        <w:tc>
          <w:tcPr>
            <w:tcW w:w="650" w:type="dxa"/>
            <w:noWrap/>
            <w:vAlign w:val="center"/>
            <w:hideMark/>
          </w:tcPr>
          <w:p w14:paraId="4E5BF6DF" w14:textId="77777777" w:rsidR="004F64EF" w:rsidRPr="003003C0" w:rsidRDefault="004F64EF" w:rsidP="00FD6B66">
            <w:pPr>
              <w:jc w:val="right"/>
              <w:rPr>
                <w:rFonts w:cs="Calibri"/>
                <w:bCs/>
                <w:color w:val="000000"/>
                <w:sz w:val="14"/>
                <w:szCs w:val="14"/>
              </w:rPr>
            </w:pPr>
            <w:r w:rsidRPr="003003C0">
              <w:rPr>
                <w:rFonts w:cs="Calibri"/>
                <w:bCs/>
                <w:color w:val="000000"/>
                <w:sz w:val="14"/>
                <w:szCs w:val="14"/>
              </w:rPr>
              <w:t>19</w:t>
            </w:r>
            <w:r>
              <w:rPr>
                <w:rFonts w:cs="Calibri"/>
                <w:bCs/>
                <w:color w:val="000000"/>
                <w:sz w:val="14"/>
                <w:szCs w:val="14"/>
              </w:rPr>
              <w:t>.</w:t>
            </w:r>
            <w:r w:rsidRPr="003003C0">
              <w:rPr>
                <w:rFonts w:cs="Calibri"/>
                <w:bCs/>
                <w:color w:val="000000"/>
                <w:sz w:val="14"/>
                <w:szCs w:val="14"/>
              </w:rPr>
              <w:t>7</w:t>
            </w:r>
          </w:p>
        </w:tc>
      </w:tr>
      <w:tr w:rsidR="004F64EF" w:rsidRPr="003003C0" w14:paraId="34274F37" w14:textId="77777777" w:rsidTr="00FD6B66">
        <w:trPr>
          <w:trHeight w:val="20"/>
        </w:trPr>
        <w:tc>
          <w:tcPr>
            <w:tcW w:w="4478" w:type="dxa"/>
            <w:noWrap/>
            <w:vAlign w:val="center"/>
            <w:hideMark/>
          </w:tcPr>
          <w:p w14:paraId="4C28CAEA" w14:textId="77777777" w:rsidR="004F64EF" w:rsidRPr="003003C0" w:rsidRDefault="004F64EF" w:rsidP="00FD6B66">
            <w:pPr>
              <w:tabs>
                <w:tab w:val="left" w:pos="227"/>
              </w:tabs>
              <w:jc w:val="left"/>
              <w:rPr>
                <w:rFonts w:cs="Calibri"/>
                <w:bCs/>
                <w:color w:val="000000"/>
                <w:sz w:val="14"/>
                <w:szCs w:val="14"/>
              </w:rPr>
            </w:pPr>
            <w:r w:rsidRPr="003003C0">
              <w:rPr>
                <w:rFonts w:cs="Calibri"/>
                <w:bCs/>
                <w:color w:val="000000"/>
                <w:sz w:val="14"/>
                <w:szCs w:val="14"/>
              </w:rPr>
              <w:tab/>
              <w:t xml:space="preserve">39. </w:t>
            </w:r>
            <w:r w:rsidRPr="00077504">
              <w:rPr>
                <w:rFonts w:cs="Calibri"/>
                <w:bCs/>
                <w:color w:val="000000"/>
                <w:sz w:val="14"/>
                <w:szCs w:val="14"/>
              </w:rPr>
              <w:t>Plastics and articles thereof</w:t>
            </w:r>
          </w:p>
        </w:tc>
        <w:tc>
          <w:tcPr>
            <w:tcW w:w="650" w:type="dxa"/>
            <w:noWrap/>
            <w:vAlign w:val="center"/>
            <w:hideMark/>
          </w:tcPr>
          <w:p w14:paraId="53FD3EFC" w14:textId="77777777" w:rsidR="004F64EF" w:rsidRPr="003003C0" w:rsidRDefault="004F64EF" w:rsidP="00FD6B66">
            <w:pPr>
              <w:jc w:val="right"/>
              <w:rPr>
                <w:rFonts w:cs="Calibri"/>
                <w:bCs/>
                <w:color w:val="000000"/>
                <w:sz w:val="14"/>
                <w:szCs w:val="14"/>
              </w:rPr>
            </w:pPr>
            <w:r w:rsidRPr="003003C0">
              <w:rPr>
                <w:rFonts w:cs="Calibri"/>
                <w:bCs/>
                <w:color w:val="000000"/>
                <w:sz w:val="14"/>
                <w:szCs w:val="14"/>
              </w:rPr>
              <w:t>16</w:t>
            </w:r>
            <w:r>
              <w:rPr>
                <w:rFonts w:cs="Calibri"/>
                <w:bCs/>
                <w:color w:val="000000"/>
                <w:sz w:val="14"/>
                <w:szCs w:val="14"/>
              </w:rPr>
              <w:t>.</w:t>
            </w:r>
            <w:r w:rsidRPr="003003C0">
              <w:rPr>
                <w:rFonts w:cs="Calibri"/>
                <w:bCs/>
                <w:color w:val="000000"/>
                <w:sz w:val="14"/>
                <w:szCs w:val="14"/>
              </w:rPr>
              <w:t>8</w:t>
            </w:r>
          </w:p>
        </w:tc>
        <w:tc>
          <w:tcPr>
            <w:tcW w:w="650" w:type="dxa"/>
            <w:noWrap/>
            <w:vAlign w:val="center"/>
            <w:hideMark/>
          </w:tcPr>
          <w:p w14:paraId="35662A6E" w14:textId="77777777" w:rsidR="004F64EF" w:rsidRPr="003003C0" w:rsidRDefault="004F64EF" w:rsidP="00FD6B66">
            <w:pPr>
              <w:jc w:val="right"/>
              <w:rPr>
                <w:rFonts w:cs="Calibri"/>
                <w:bCs/>
                <w:color w:val="000000"/>
                <w:sz w:val="14"/>
                <w:szCs w:val="14"/>
              </w:rPr>
            </w:pPr>
            <w:r w:rsidRPr="003003C0">
              <w:rPr>
                <w:rFonts w:cs="Calibri"/>
                <w:bCs/>
                <w:color w:val="000000"/>
                <w:sz w:val="14"/>
                <w:szCs w:val="14"/>
              </w:rPr>
              <w:t>18</w:t>
            </w:r>
            <w:r>
              <w:rPr>
                <w:rFonts w:cs="Calibri"/>
                <w:bCs/>
                <w:color w:val="000000"/>
                <w:sz w:val="14"/>
                <w:szCs w:val="14"/>
              </w:rPr>
              <w:t>.</w:t>
            </w:r>
            <w:r w:rsidRPr="003003C0">
              <w:rPr>
                <w:rFonts w:cs="Calibri"/>
                <w:bCs/>
                <w:color w:val="000000"/>
                <w:sz w:val="14"/>
                <w:szCs w:val="14"/>
              </w:rPr>
              <w:t>6</w:t>
            </w:r>
          </w:p>
        </w:tc>
        <w:tc>
          <w:tcPr>
            <w:tcW w:w="650" w:type="dxa"/>
            <w:noWrap/>
            <w:vAlign w:val="center"/>
            <w:hideMark/>
          </w:tcPr>
          <w:p w14:paraId="2B76927B" w14:textId="77777777" w:rsidR="004F64EF" w:rsidRPr="003003C0" w:rsidRDefault="004F64EF" w:rsidP="00FD6B66">
            <w:pPr>
              <w:jc w:val="right"/>
              <w:rPr>
                <w:rFonts w:cs="Calibri"/>
                <w:bCs/>
                <w:color w:val="000000"/>
                <w:sz w:val="14"/>
                <w:szCs w:val="14"/>
              </w:rPr>
            </w:pPr>
            <w:r w:rsidRPr="003003C0">
              <w:rPr>
                <w:rFonts w:cs="Calibri"/>
                <w:bCs/>
                <w:color w:val="000000"/>
                <w:sz w:val="14"/>
                <w:szCs w:val="14"/>
              </w:rPr>
              <w:t>18</w:t>
            </w:r>
            <w:r>
              <w:rPr>
                <w:rFonts w:cs="Calibri"/>
                <w:bCs/>
                <w:color w:val="000000"/>
                <w:sz w:val="14"/>
                <w:szCs w:val="14"/>
              </w:rPr>
              <w:t>.</w:t>
            </w:r>
            <w:r w:rsidRPr="003003C0">
              <w:rPr>
                <w:rFonts w:cs="Calibri"/>
                <w:bCs/>
                <w:color w:val="000000"/>
                <w:sz w:val="14"/>
                <w:szCs w:val="14"/>
              </w:rPr>
              <w:t>1</w:t>
            </w:r>
          </w:p>
        </w:tc>
        <w:tc>
          <w:tcPr>
            <w:tcW w:w="650" w:type="dxa"/>
            <w:noWrap/>
            <w:vAlign w:val="center"/>
            <w:hideMark/>
          </w:tcPr>
          <w:p w14:paraId="7EDE4E53" w14:textId="77777777" w:rsidR="004F64EF" w:rsidRPr="003003C0" w:rsidRDefault="004F64EF" w:rsidP="00FD6B66">
            <w:pPr>
              <w:jc w:val="right"/>
              <w:rPr>
                <w:rFonts w:cs="Calibri"/>
                <w:bCs/>
                <w:color w:val="000000"/>
                <w:sz w:val="14"/>
                <w:szCs w:val="14"/>
              </w:rPr>
            </w:pPr>
            <w:r w:rsidRPr="003003C0">
              <w:rPr>
                <w:rFonts w:cs="Calibri"/>
                <w:bCs/>
                <w:color w:val="000000"/>
                <w:sz w:val="14"/>
                <w:szCs w:val="14"/>
              </w:rPr>
              <w:t>16</w:t>
            </w:r>
            <w:r>
              <w:rPr>
                <w:rFonts w:cs="Calibri"/>
                <w:bCs/>
                <w:color w:val="000000"/>
                <w:sz w:val="14"/>
                <w:szCs w:val="14"/>
              </w:rPr>
              <w:t>.</w:t>
            </w:r>
            <w:r w:rsidRPr="003003C0">
              <w:rPr>
                <w:rFonts w:cs="Calibri"/>
                <w:bCs/>
                <w:color w:val="000000"/>
                <w:sz w:val="14"/>
                <w:szCs w:val="14"/>
              </w:rPr>
              <w:t>7</w:t>
            </w:r>
          </w:p>
        </w:tc>
        <w:tc>
          <w:tcPr>
            <w:tcW w:w="650" w:type="dxa"/>
            <w:noWrap/>
            <w:vAlign w:val="center"/>
            <w:hideMark/>
          </w:tcPr>
          <w:p w14:paraId="316FB798" w14:textId="77777777" w:rsidR="004F64EF" w:rsidRPr="003003C0" w:rsidRDefault="004F64EF" w:rsidP="00FD6B66">
            <w:pPr>
              <w:jc w:val="right"/>
              <w:rPr>
                <w:rFonts w:cs="Calibri"/>
                <w:bCs/>
                <w:color w:val="000000"/>
                <w:sz w:val="14"/>
                <w:szCs w:val="14"/>
              </w:rPr>
            </w:pPr>
            <w:r w:rsidRPr="003003C0">
              <w:rPr>
                <w:rFonts w:cs="Calibri"/>
                <w:bCs/>
                <w:color w:val="000000"/>
                <w:sz w:val="14"/>
                <w:szCs w:val="14"/>
              </w:rPr>
              <w:t>17</w:t>
            </w:r>
            <w:r>
              <w:rPr>
                <w:rFonts w:cs="Calibri"/>
                <w:bCs/>
                <w:color w:val="000000"/>
                <w:sz w:val="14"/>
                <w:szCs w:val="14"/>
              </w:rPr>
              <w:t>.</w:t>
            </w:r>
            <w:r w:rsidRPr="003003C0">
              <w:rPr>
                <w:rFonts w:cs="Calibri"/>
                <w:bCs/>
                <w:color w:val="000000"/>
                <w:sz w:val="14"/>
                <w:szCs w:val="14"/>
              </w:rPr>
              <w:t>0</w:t>
            </w:r>
          </w:p>
        </w:tc>
        <w:tc>
          <w:tcPr>
            <w:tcW w:w="650" w:type="dxa"/>
            <w:noWrap/>
            <w:vAlign w:val="center"/>
            <w:hideMark/>
          </w:tcPr>
          <w:p w14:paraId="25E31C5C" w14:textId="77777777" w:rsidR="004F64EF" w:rsidRPr="003003C0" w:rsidRDefault="004F64EF" w:rsidP="00FD6B66">
            <w:pPr>
              <w:jc w:val="right"/>
              <w:rPr>
                <w:rFonts w:cs="Calibri"/>
                <w:bCs/>
                <w:color w:val="000000"/>
                <w:sz w:val="14"/>
                <w:szCs w:val="14"/>
              </w:rPr>
            </w:pPr>
            <w:r w:rsidRPr="003003C0">
              <w:rPr>
                <w:rFonts w:cs="Calibri"/>
                <w:bCs/>
                <w:color w:val="000000"/>
                <w:sz w:val="14"/>
                <w:szCs w:val="14"/>
              </w:rPr>
              <w:t>19</w:t>
            </w:r>
            <w:r>
              <w:rPr>
                <w:rFonts w:cs="Calibri"/>
                <w:bCs/>
                <w:color w:val="000000"/>
                <w:sz w:val="14"/>
                <w:szCs w:val="14"/>
              </w:rPr>
              <w:t>.</w:t>
            </w:r>
            <w:r w:rsidRPr="003003C0">
              <w:rPr>
                <w:rFonts w:cs="Calibri"/>
                <w:bCs/>
                <w:color w:val="000000"/>
                <w:sz w:val="14"/>
                <w:szCs w:val="14"/>
              </w:rPr>
              <w:t>5</w:t>
            </w:r>
          </w:p>
        </w:tc>
        <w:tc>
          <w:tcPr>
            <w:tcW w:w="650" w:type="dxa"/>
            <w:noWrap/>
            <w:vAlign w:val="center"/>
            <w:hideMark/>
          </w:tcPr>
          <w:p w14:paraId="14C3BC9B" w14:textId="77777777" w:rsidR="004F64EF" w:rsidRPr="003003C0" w:rsidRDefault="004F64EF" w:rsidP="00FD6B66">
            <w:pPr>
              <w:jc w:val="right"/>
              <w:rPr>
                <w:rFonts w:cs="Calibri"/>
                <w:bCs/>
                <w:color w:val="000000"/>
                <w:sz w:val="14"/>
                <w:szCs w:val="14"/>
              </w:rPr>
            </w:pPr>
            <w:r w:rsidRPr="003003C0">
              <w:rPr>
                <w:rFonts w:cs="Calibri"/>
                <w:bCs/>
                <w:color w:val="000000"/>
                <w:sz w:val="14"/>
                <w:szCs w:val="14"/>
              </w:rPr>
              <w:t>19</w:t>
            </w:r>
            <w:r>
              <w:rPr>
                <w:rFonts w:cs="Calibri"/>
                <w:bCs/>
                <w:color w:val="000000"/>
                <w:sz w:val="14"/>
                <w:szCs w:val="14"/>
              </w:rPr>
              <w:t>.</w:t>
            </w:r>
            <w:r w:rsidRPr="003003C0">
              <w:rPr>
                <w:rFonts w:cs="Calibri"/>
                <w:bCs/>
                <w:color w:val="000000"/>
                <w:sz w:val="14"/>
                <w:szCs w:val="14"/>
              </w:rPr>
              <w:t>4</w:t>
            </w:r>
          </w:p>
        </w:tc>
      </w:tr>
      <w:tr w:rsidR="004F64EF" w:rsidRPr="003003C0" w14:paraId="2352D99A" w14:textId="77777777" w:rsidTr="00FD6B66">
        <w:trPr>
          <w:cnfStyle w:val="000000010000" w:firstRow="0" w:lastRow="0" w:firstColumn="0" w:lastColumn="0" w:oddVBand="0" w:evenVBand="0" w:oddHBand="0" w:evenHBand="1" w:firstRowFirstColumn="0" w:firstRowLastColumn="0" w:lastRowFirstColumn="0" w:lastRowLastColumn="0"/>
          <w:trHeight w:val="20"/>
        </w:trPr>
        <w:tc>
          <w:tcPr>
            <w:tcW w:w="4478" w:type="dxa"/>
            <w:noWrap/>
            <w:vAlign w:val="center"/>
            <w:hideMark/>
          </w:tcPr>
          <w:p w14:paraId="6316C0B4" w14:textId="77777777" w:rsidR="004F64EF" w:rsidRPr="003003C0" w:rsidRDefault="004F64EF" w:rsidP="00FD6B66">
            <w:pPr>
              <w:tabs>
                <w:tab w:val="left" w:pos="227"/>
              </w:tabs>
              <w:jc w:val="left"/>
              <w:rPr>
                <w:rFonts w:cs="Calibri"/>
                <w:bCs/>
                <w:color w:val="000000"/>
                <w:sz w:val="14"/>
                <w:szCs w:val="14"/>
              </w:rPr>
            </w:pPr>
            <w:r w:rsidRPr="003003C0">
              <w:rPr>
                <w:rFonts w:cs="Calibri"/>
                <w:bCs/>
                <w:color w:val="000000"/>
                <w:sz w:val="14"/>
                <w:szCs w:val="14"/>
              </w:rPr>
              <w:tab/>
              <w:t xml:space="preserve">40. </w:t>
            </w:r>
            <w:r w:rsidRPr="00077504">
              <w:rPr>
                <w:rFonts w:cs="Calibri"/>
                <w:bCs/>
                <w:color w:val="000000"/>
                <w:sz w:val="14"/>
                <w:szCs w:val="14"/>
              </w:rPr>
              <w:t>Rubber and articles thereof</w:t>
            </w:r>
          </w:p>
        </w:tc>
        <w:tc>
          <w:tcPr>
            <w:tcW w:w="650" w:type="dxa"/>
            <w:noWrap/>
            <w:vAlign w:val="center"/>
            <w:hideMark/>
          </w:tcPr>
          <w:p w14:paraId="7AEB9D6B" w14:textId="77777777" w:rsidR="004F64EF" w:rsidRPr="003003C0" w:rsidRDefault="004F64EF" w:rsidP="00FD6B66">
            <w:pPr>
              <w:jc w:val="right"/>
              <w:rPr>
                <w:rFonts w:cs="Calibri"/>
                <w:bCs/>
                <w:color w:val="000000"/>
                <w:sz w:val="14"/>
                <w:szCs w:val="14"/>
              </w:rPr>
            </w:pPr>
            <w:r w:rsidRPr="003003C0">
              <w:rPr>
                <w:rFonts w:cs="Calibri"/>
                <w:bCs/>
                <w:color w:val="000000"/>
                <w:sz w:val="14"/>
                <w:szCs w:val="14"/>
              </w:rPr>
              <w:t>0</w:t>
            </w:r>
            <w:r>
              <w:rPr>
                <w:rFonts w:cs="Calibri"/>
                <w:bCs/>
                <w:color w:val="000000"/>
                <w:sz w:val="14"/>
                <w:szCs w:val="14"/>
              </w:rPr>
              <w:t>.</w:t>
            </w:r>
            <w:r w:rsidRPr="003003C0">
              <w:rPr>
                <w:rFonts w:cs="Calibri"/>
                <w:bCs/>
                <w:color w:val="000000"/>
                <w:sz w:val="14"/>
                <w:szCs w:val="14"/>
              </w:rPr>
              <w:t>6</w:t>
            </w:r>
          </w:p>
        </w:tc>
        <w:tc>
          <w:tcPr>
            <w:tcW w:w="650" w:type="dxa"/>
            <w:noWrap/>
            <w:vAlign w:val="center"/>
            <w:hideMark/>
          </w:tcPr>
          <w:p w14:paraId="3C02FE85" w14:textId="77777777" w:rsidR="004F64EF" w:rsidRPr="003003C0" w:rsidRDefault="004F64EF" w:rsidP="00FD6B66">
            <w:pPr>
              <w:jc w:val="right"/>
              <w:rPr>
                <w:rFonts w:cs="Calibri"/>
                <w:bCs/>
                <w:color w:val="000000"/>
                <w:sz w:val="14"/>
                <w:szCs w:val="14"/>
              </w:rPr>
            </w:pPr>
            <w:r w:rsidRPr="003003C0">
              <w:rPr>
                <w:rFonts w:cs="Calibri"/>
                <w:bCs/>
                <w:color w:val="000000"/>
                <w:sz w:val="14"/>
                <w:szCs w:val="14"/>
              </w:rPr>
              <w:t>0</w:t>
            </w:r>
            <w:r>
              <w:rPr>
                <w:rFonts w:cs="Calibri"/>
                <w:bCs/>
                <w:color w:val="000000"/>
                <w:sz w:val="14"/>
                <w:szCs w:val="14"/>
              </w:rPr>
              <w:t>.</w:t>
            </w:r>
            <w:r w:rsidRPr="003003C0">
              <w:rPr>
                <w:rFonts w:cs="Calibri"/>
                <w:bCs/>
                <w:color w:val="000000"/>
                <w:sz w:val="14"/>
                <w:szCs w:val="14"/>
              </w:rPr>
              <w:t>4</w:t>
            </w:r>
          </w:p>
        </w:tc>
        <w:tc>
          <w:tcPr>
            <w:tcW w:w="650" w:type="dxa"/>
            <w:noWrap/>
            <w:vAlign w:val="center"/>
            <w:hideMark/>
          </w:tcPr>
          <w:p w14:paraId="59EAF67A" w14:textId="77777777" w:rsidR="004F64EF" w:rsidRPr="003003C0" w:rsidRDefault="004F64EF" w:rsidP="00FD6B66">
            <w:pPr>
              <w:jc w:val="right"/>
              <w:rPr>
                <w:rFonts w:cs="Calibri"/>
                <w:bCs/>
                <w:color w:val="000000"/>
                <w:sz w:val="14"/>
                <w:szCs w:val="14"/>
              </w:rPr>
            </w:pPr>
            <w:r w:rsidRPr="003003C0">
              <w:rPr>
                <w:rFonts w:cs="Calibri"/>
                <w:bCs/>
                <w:color w:val="000000"/>
                <w:sz w:val="14"/>
                <w:szCs w:val="14"/>
              </w:rPr>
              <w:t>0</w:t>
            </w:r>
            <w:r>
              <w:rPr>
                <w:rFonts w:cs="Calibri"/>
                <w:bCs/>
                <w:color w:val="000000"/>
                <w:sz w:val="14"/>
                <w:szCs w:val="14"/>
              </w:rPr>
              <w:t>.</w:t>
            </w:r>
            <w:r w:rsidRPr="003003C0">
              <w:rPr>
                <w:rFonts w:cs="Calibri"/>
                <w:bCs/>
                <w:color w:val="000000"/>
                <w:sz w:val="14"/>
                <w:szCs w:val="14"/>
              </w:rPr>
              <w:t>4</w:t>
            </w:r>
          </w:p>
        </w:tc>
        <w:tc>
          <w:tcPr>
            <w:tcW w:w="650" w:type="dxa"/>
            <w:noWrap/>
            <w:vAlign w:val="center"/>
            <w:hideMark/>
          </w:tcPr>
          <w:p w14:paraId="25FE8F12" w14:textId="77777777" w:rsidR="004F64EF" w:rsidRPr="003003C0" w:rsidRDefault="004F64EF" w:rsidP="00FD6B66">
            <w:pPr>
              <w:jc w:val="right"/>
              <w:rPr>
                <w:rFonts w:cs="Calibri"/>
                <w:bCs/>
                <w:color w:val="000000"/>
                <w:sz w:val="14"/>
                <w:szCs w:val="14"/>
              </w:rPr>
            </w:pPr>
            <w:r w:rsidRPr="003003C0">
              <w:rPr>
                <w:rFonts w:cs="Calibri"/>
                <w:bCs/>
                <w:color w:val="000000"/>
                <w:sz w:val="14"/>
                <w:szCs w:val="14"/>
              </w:rPr>
              <w:t>0</w:t>
            </w:r>
            <w:r>
              <w:rPr>
                <w:rFonts w:cs="Calibri"/>
                <w:bCs/>
                <w:color w:val="000000"/>
                <w:sz w:val="14"/>
                <w:szCs w:val="14"/>
              </w:rPr>
              <w:t>.</w:t>
            </w:r>
            <w:r w:rsidRPr="003003C0">
              <w:rPr>
                <w:rFonts w:cs="Calibri"/>
                <w:bCs/>
                <w:color w:val="000000"/>
                <w:sz w:val="14"/>
                <w:szCs w:val="14"/>
              </w:rPr>
              <w:t>4</w:t>
            </w:r>
          </w:p>
        </w:tc>
        <w:tc>
          <w:tcPr>
            <w:tcW w:w="650" w:type="dxa"/>
            <w:noWrap/>
            <w:vAlign w:val="center"/>
            <w:hideMark/>
          </w:tcPr>
          <w:p w14:paraId="31C37CD5" w14:textId="77777777" w:rsidR="004F64EF" w:rsidRPr="003003C0" w:rsidRDefault="004F64EF" w:rsidP="00FD6B66">
            <w:pPr>
              <w:jc w:val="right"/>
              <w:rPr>
                <w:rFonts w:cs="Calibri"/>
                <w:bCs/>
                <w:color w:val="000000"/>
                <w:sz w:val="14"/>
                <w:szCs w:val="14"/>
              </w:rPr>
            </w:pPr>
            <w:r w:rsidRPr="003003C0">
              <w:rPr>
                <w:rFonts w:cs="Calibri"/>
                <w:bCs/>
                <w:color w:val="000000"/>
                <w:sz w:val="14"/>
                <w:szCs w:val="14"/>
              </w:rPr>
              <w:t>0</w:t>
            </w:r>
            <w:r>
              <w:rPr>
                <w:rFonts w:cs="Calibri"/>
                <w:bCs/>
                <w:color w:val="000000"/>
                <w:sz w:val="14"/>
                <w:szCs w:val="14"/>
              </w:rPr>
              <w:t>.</w:t>
            </w:r>
            <w:r w:rsidRPr="003003C0">
              <w:rPr>
                <w:rFonts w:cs="Calibri"/>
                <w:bCs/>
                <w:color w:val="000000"/>
                <w:sz w:val="14"/>
                <w:szCs w:val="14"/>
              </w:rPr>
              <w:t>3</w:t>
            </w:r>
          </w:p>
        </w:tc>
        <w:tc>
          <w:tcPr>
            <w:tcW w:w="650" w:type="dxa"/>
            <w:noWrap/>
            <w:vAlign w:val="center"/>
            <w:hideMark/>
          </w:tcPr>
          <w:p w14:paraId="3398C24F" w14:textId="77777777" w:rsidR="004F64EF" w:rsidRPr="003003C0" w:rsidRDefault="004F64EF" w:rsidP="00FD6B66">
            <w:pPr>
              <w:jc w:val="right"/>
              <w:rPr>
                <w:rFonts w:cs="Calibri"/>
                <w:bCs/>
                <w:color w:val="000000"/>
                <w:sz w:val="14"/>
                <w:szCs w:val="14"/>
              </w:rPr>
            </w:pPr>
            <w:r w:rsidRPr="003003C0">
              <w:rPr>
                <w:rFonts w:cs="Calibri"/>
                <w:bCs/>
                <w:color w:val="000000"/>
                <w:sz w:val="14"/>
                <w:szCs w:val="14"/>
              </w:rPr>
              <w:t>0</w:t>
            </w:r>
            <w:r>
              <w:rPr>
                <w:rFonts w:cs="Calibri"/>
                <w:bCs/>
                <w:color w:val="000000"/>
                <w:sz w:val="14"/>
                <w:szCs w:val="14"/>
              </w:rPr>
              <w:t>.</w:t>
            </w:r>
            <w:r w:rsidRPr="003003C0">
              <w:rPr>
                <w:rFonts w:cs="Calibri"/>
                <w:bCs/>
                <w:color w:val="000000"/>
                <w:sz w:val="14"/>
                <w:szCs w:val="14"/>
              </w:rPr>
              <w:t>3</w:t>
            </w:r>
          </w:p>
        </w:tc>
        <w:tc>
          <w:tcPr>
            <w:tcW w:w="650" w:type="dxa"/>
            <w:noWrap/>
            <w:vAlign w:val="center"/>
            <w:hideMark/>
          </w:tcPr>
          <w:p w14:paraId="06631CC1" w14:textId="77777777" w:rsidR="004F64EF" w:rsidRPr="003003C0" w:rsidRDefault="004F64EF" w:rsidP="00FD6B66">
            <w:pPr>
              <w:jc w:val="right"/>
              <w:rPr>
                <w:rFonts w:cs="Calibri"/>
                <w:bCs/>
                <w:color w:val="000000"/>
                <w:sz w:val="14"/>
                <w:szCs w:val="14"/>
              </w:rPr>
            </w:pPr>
            <w:r w:rsidRPr="003003C0">
              <w:rPr>
                <w:rFonts w:cs="Calibri"/>
                <w:bCs/>
                <w:color w:val="000000"/>
                <w:sz w:val="14"/>
                <w:szCs w:val="14"/>
              </w:rPr>
              <w:t>0</w:t>
            </w:r>
            <w:r>
              <w:rPr>
                <w:rFonts w:cs="Calibri"/>
                <w:bCs/>
                <w:color w:val="000000"/>
                <w:sz w:val="14"/>
                <w:szCs w:val="14"/>
              </w:rPr>
              <w:t>.</w:t>
            </w:r>
            <w:r w:rsidRPr="003003C0">
              <w:rPr>
                <w:rFonts w:cs="Calibri"/>
                <w:bCs/>
                <w:color w:val="000000"/>
                <w:sz w:val="14"/>
                <w:szCs w:val="14"/>
              </w:rPr>
              <w:t>3</w:t>
            </w:r>
          </w:p>
        </w:tc>
      </w:tr>
      <w:tr w:rsidR="004F64EF" w:rsidRPr="003003C0" w14:paraId="2381AAAF" w14:textId="77777777" w:rsidTr="00FD6B66">
        <w:trPr>
          <w:trHeight w:val="20"/>
        </w:trPr>
        <w:tc>
          <w:tcPr>
            <w:tcW w:w="4478" w:type="dxa"/>
            <w:noWrap/>
            <w:vAlign w:val="center"/>
            <w:hideMark/>
          </w:tcPr>
          <w:p w14:paraId="3C72B958" w14:textId="77777777" w:rsidR="004F64EF" w:rsidRPr="003003C0" w:rsidRDefault="004F64EF" w:rsidP="00FD6B66">
            <w:pPr>
              <w:jc w:val="left"/>
              <w:rPr>
                <w:rFonts w:cs="Calibri"/>
                <w:bCs/>
                <w:color w:val="000000"/>
                <w:sz w:val="14"/>
                <w:szCs w:val="14"/>
              </w:rPr>
            </w:pPr>
            <w:r w:rsidRPr="003003C0">
              <w:rPr>
                <w:rFonts w:cs="Calibri"/>
                <w:bCs/>
                <w:color w:val="000000"/>
                <w:sz w:val="14"/>
                <w:szCs w:val="14"/>
              </w:rPr>
              <w:t xml:space="preserve">8 - </w:t>
            </w:r>
            <w:r w:rsidRPr="00D60595">
              <w:rPr>
                <w:rFonts w:cs="Calibri"/>
                <w:bCs/>
                <w:color w:val="000000"/>
                <w:sz w:val="14"/>
                <w:szCs w:val="14"/>
              </w:rPr>
              <w:t xml:space="preserve">Raw hides and skins, leather, </w:t>
            </w:r>
            <w:proofErr w:type="spellStart"/>
            <w:r w:rsidRPr="00D60595">
              <w:rPr>
                <w:rFonts w:cs="Calibri"/>
                <w:bCs/>
                <w:color w:val="000000"/>
                <w:sz w:val="14"/>
                <w:szCs w:val="14"/>
              </w:rPr>
              <w:t>furskins</w:t>
            </w:r>
            <w:proofErr w:type="spellEnd"/>
            <w:r w:rsidRPr="00D60595">
              <w:rPr>
                <w:rFonts w:cs="Calibri"/>
                <w:bCs/>
                <w:color w:val="000000"/>
                <w:sz w:val="14"/>
                <w:szCs w:val="14"/>
              </w:rPr>
              <w:t xml:space="preserve"> and articles thereof; saddlery and harness</w:t>
            </w:r>
          </w:p>
        </w:tc>
        <w:tc>
          <w:tcPr>
            <w:tcW w:w="650" w:type="dxa"/>
            <w:noWrap/>
            <w:vAlign w:val="center"/>
            <w:hideMark/>
          </w:tcPr>
          <w:p w14:paraId="183D3AFD" w14:textId="77777777" w:rsidR="004F64EF" w:rsidRPr="003003C0" w:rsidRDefault="004F64EF" w:rsidP="00FD6B66">
            <w:pPr>
              <w:jc w:val="right"/>
              <w:rPr>
                <w:rFonts w:cs="Calibri"/>
                <w:bCs/>
                <w:color w:val="000000"/>
                <w:sz w:val="14"/>
                <w:szCs w:val="14"/>
              </w:rPr>
            </w:pPr>
            <w:r w:rsidRPr="003003C0">
              <w:rPr>
                <w:rFonts w:cs="Calibri"/>
                <w:bCs/>
                <w:color w:val="000000"/>
                <w:sz w:val="14"/>
                <w:szCs w:val="14"/>
              </w:rPr>
              <w:t>3</w:t>
            </w:r>
            <w:r>
              <w:rPr>
                <w:rFonts w:cs="Calibri"/>
                <w:bCs/>
                <w:color w:val="000000"/>
                <w:sz w:val="14"/>
                <w:szCs w:val="14"/>
              </w:rPr>
              <w:t>.</w:t>
            </w:r>
            <w:r w:rsidRPr="003003C0">
              <w:rPr>
                <w:rFonts w:cs="Calibri"/>
                <w:bCs/>
                <w:color w:val="000000"/>
                <w:sz w:val="14"/>
                <w:szCs w:val="14"/>
              </w:rPr>
              <w:t>3</w:t>
            </w:r>
          </w:p>
        </w:tc>
        <w:tc>
          <w:tcPr>
            <w:tcW w:w="650" w:type="dxa"/>
            <w:noWrap/>
            <w:vAlign w:val="center"/>
            <w:hideMark/>
          </w:tcPr>
          <w:p w14:paraId="000CC379" w14:textId="77777777" w:rsidR="004F64EF" w:rsidRPr="003003C0" w:rsidRDefault="004F64EF" w:rsidP="00FD6B66">
            <w:pPr>
              <w:jc w:val="right"/>
              <w:rPr>
                <w:rFonts w:cs="Calibri"/>
                <w:bCs/>
                <w:color w:val="000000"/>
                <w:sz w:val="14"/>
                <w:szCs w:val="14"/>
              </w:rPr>
            </w:pPr>
            <w:r w:rsidRPr="003003C0">
              <w:rPr>
                <w:rFonts w:cs="Calibri"/>
                <w:bCs/>
                <w:color w:val="000000"/>
                <w:sz w:val="14"/>
                <w:szCs w:val="14"/>
              </w:rPr>
              <w:t>2</w:t>
            </w:r>
            <w:r>
              <w:rPr>
                <w:rFonts w:cs="Calibri"/>
                <w:bCs/>
                <w:color w:val="000000"/>
                <w:sz w:val="14"/>
                <w:szCs w:val="14"/>
              </w:rPr>
              <w:t>.</w:t>
            </w:r>
            <w:r w:rsidRPr="003003C0">
              <w:rPr>
                <w:rFonts w:cs="Calibri"/>
                <w:bCs/>
                <w:color w:val="000000"/>
                <w:sz w:val="14"/>
                <w:szCs w:val="14"/>
              </w:rPr>
              <w:t>6</w:t>
            </w:r>
          </w:p>
        </w:tc>
        <w:tc>
          <w:tcPr>
            <w:tcW w:w="650" w:type="dxa"/>
            <w:noWrap/>
            <w:vAlign w:val="center"/>
            <w:hideMark/>
          </w:tcPr>
          <w:p w14:paraId="04B397FB" w14:textId="77777777" w:rsidR="004F64EF" w:rsidRPr="003003C0" w:rsidRDefault="004F64EF" w:rsidP="00FD6B66">
            <w:pPr>
              <w:jc w:val="right"/>
              <w:rPr>
                <w:rFonts w:cs="Calibri"/>
                <w:bCs/>
                <w:color w:val="000000"/>
                <w:sz w:val="14"/>
                <w:szCs w:val="14"/>
              </w:rPr>
            </w:pPr>
            <w:r w:rsidRPr="003003C0">
              <w:rPr>
                <w:rFonts w:cs="Calibri"/>
                <w:bCs/>
                <w:color w:val="000000"/>
                <w:sz w:val="14"/>
                <w:szCs w:val="14"/>
              </w:rPr>
              <w:t>2</w:t>
            </w:r>
            <w:r>
              <w:rPr>
                <w:rFonts w:cs="Calibri"/>
                <w:bCs/>
                <w:color w:val="000000"/>
                <w:sz w:val="14"/>
                <w:szCs w:val="14"/>
              </w:rPr>
              <w:t>.</w:t>
            </w:r>
            <w:r w:rsidRPr="003003C0">
              <w:rPr>
                <w:rFonts w:cs="Calibri"/>
                <w:bCs/>
                <w:color w:val="000000"/>
                <w:sz w:val="14"/>
                <w:szCs w:val="14"/>
              </w:rPr>
              <w:t>1</w:t>
            </w:r>
          </w:p>
        </w:tc>
        <w:tc>
          <w:tcPr>
            <w:tcW w:w="650" w:type="dxa"/>
            <w:noWrap/>
            <w:vAlign w:val="center"/>
            <w:hideMark/>
          </w:tcPr>
          <w:p w14:paraId="78DA334D" w14:textId="77777777" w:rsidR="004F64EF" w:rsidRPr="003003C0" w:rsidRDefault="004F64EF" w:rsidP="00FD6B66">
            <w:pPr>
              <w:jc w:val="right"/>
              <w:rPr>
                <w:rFonts w:cs="Calibri"/>
                <w:bCs/>
                <w:color w:val="000000"/>
                <w:sz w:val="14"/>
                <w:szCs w:val="14"/>
              </w:rPr>
            </w:pPr>
            <w:r w:rsidRPr="003003C0">
              <w:rPr>
                <w:rFonts w:cs="Calibri"/>
                <w:bCs/>
                <w:color w:val="000000"/>
                <w:sz w:val="14"/>
                <w:szCs w:val="14"/>
              </w:rPr>
              <w:t>2</w:t>
            </w:r>
            <w:r>
              <w:rPr>
                <w:rFonts w:cs="Calibri"/>
                <w:bCs/>
                <w:color w:val="000000"/>
                <w:sz w:val="14"/>
                <w:szCs w:val="14"/>
              </w:rPr>
              <w:t>.</w:t>
            </w:r>
            <w:r w:rsidRPr="003003C0">
              <w:rPr>
                <w:rFonts w:cs="Calibri"/>
                <w:bCs/>
                <w:color w:val="000000"/>
                <w:sz w:val="14"/>
                <w:szCs w:val="14"/>
              </w:rPr>
              <w:t>0</w:t>
            </w:r>
          </w:p>
        </w:tc>
        <w:tc>
          <w:tcPr>
            <w:tcW w:w="650" w:type="dxa"/>
            <w:noWrap/>
            <w:vAlign w:val="center"/>
            <w:hideMark/>
          </w:tcPr>
          <w:p w14:paraId="65EF0487" w14:textId="77777777" w:rsidR="004F64EF" w:rsidRPr="003003C0" w:rsidRDefault="004F64EF" w:rsidP="00FD6B66">
            <w:pPr>
              <w:jc w:val="right"/>
              <w:rPr>
                <w:rFonts w:cs="Calibri"/>
                <w:bCs/>
                <w:color w:val="000000"/>
                <w:sz w:val="14"/>
                <w:szCs w:val="14"/>
              </w:rPr>
            </w:pPr>
            <w:r w:rsidRPr="003003C0">
              <w:rPr>
                <w:rFonts w:cs="Calibri"/>
                <w:bCs/>
                <w:color w:val="000000"/>
                <w:sz w:val="14"/>
                <w:szCs w:val="14"/>
              </w:rPr>
              <w:t>1</w:t>
            </w:r>
            <w:r>
              <w:rPr>
                <w:rFonts w:cs="Calibri"/>
                <w:bCs/>
                <w:color w:val="000000"/>
                <w:sz w:val="14"/>
                <w:szCs w:val="14"/>
              </w:rPr>
              <w:t>.</w:t>
            </w:r>
            <w:r w:rsidRPr="003003C0">
              <w:rPr>
                <w:rFonts w:cs="Calibri"/>
                <w:bCs/>
                <w:color w:val="000000"/>
                <w:sz w:val="14"/>
                <w:szCs w:val="14"/>
              </w:rPr>
              <w:t>5</w:t>
            </w:r>
          </w:p>
        </w:tc>
        <w:tc>
          <w:tcPr>
            <w:tcW w:w="650" w:type="dxa"/>
            <w:noWrap/>
            <w:vAlign w:val="center"/>
            <w:hideMark/>
          </w:tcPr>
          <w:p w14:paraId="1D8DAAE7" w14:textId="77777777" w:rsidR="004F64EF" w:rsidRPr="003003C0" w:rsidRDefault="004F64EF" w:rsidP="00FD6B66">
            <w:pPr>
              <w:jc w:val="right"/>
              <w:rPr>
                <w:rFonts w:cs="Calibri"/>
                <w:bCs/>
                <w:color w:val="000000"/>
                <w:sz w:val="14"/>
                <w:szCs w:val="14"/>
              </w:rPr>
            </w:pPr>
            <w:r w:rsidRPr="003003C0">
              <w:rPr>
                <w:rFonts w:cs="Calibri"/>
                <w:bCs/>
                <w:color w:val="000000"/>
                <w:sz w:val="14"/>
                <w:szCs w:val="14"/>
              </w:rPr>
              <w:t>0</w:t>
            </w:r>
            <w:r>
              <w:rPr>
                <w:rFonts w:cs="Calibri"/>
                <w:bCs/>
                <w:color w:val="000000"/>
                <w:sz w:val="14"/>
                <w:szCs w:val="14"/>
              </w:rPr>
              <w:t>.</w:t>
            </w:r>
            <w:r w:rsidRPr="003003C0">
              <w:rPr>
                <w:rFonts w:cs="Calibri"/>
                <w:bCs/>
                <w:color w:val="000000"/>
                <w:sz w:val="14"/>
                <w:szCs w:val="14"/>
              </w:rPr>
              <w:t>9</w:t>
            </w:r>
          </w:p>
        </w:tc>
        <w:tc>
          <w:tcPr>
            <w:tcW w:w="650" w:type="dxa"/>
            <w:noWrap/>
            <w:vAlign w:val="center"/>
            <w:hideMark/>
          </w:tcPr>
          <w:p w14:paraId="5EE21D0F" w14:textId="77777777" w:rsidR="004F64EF" w:rsidRPr="003003C0" w:rsidRDefault="004F64EF" w:rsidP="00FD6B66">
            <w:pPr>
              <w:jc w:val="right"/>
              <w:rPr>
                <w:rFonts w:cs="Calibri"/>
                <w:bCs/>
                <w:color w:val="000000"/>
                <w:sz w:val="14"/>
                <w:szCs w:val="14"/>
              </w:rPr>
            </w:pPr>
            <w:r w:rsidRPr="003003C0">
              <w:rPr>
                <w:rFonts w:cs="Calibri"/>
                <w:bCs/>
                <w:color w:val="000000"/>
                <w:sz w:val="14"/>
                <w:szCs w:val="14"/>
              </w:rPr>
              <w:t>1</w:t>
            </w:r>
            <w:r>
              <w:rPr>
                <w:rFonts w:cs="Calibri"/>
                <w:bCs/>
                <w:color w:val="000000"/>
                <w:sz w:val="14"/>
                <w:szCs w:val="14"/>
              </w:rPr>
              <w:t>.</w:t>
            </w:r>
            <w:r w:rsidRPr="003003C0">
              <w:rPr>
                <w:rFonts w:cs="Calibri"/>
                <w:bCs/>
                <w:color w:val="000000"/>
                <w:sz w:val="14"/>
                <w:szCs w:val="14"/>
              </w:rPr>
              <w:t>2</w:t>
            </w:r>
          </w:p>
        </w:tc>
      </w:tr>
      <w:tr w:rsidR="004F64EF" w:rsidRPr="003003C0" w14:paraId="5E3ECF6C" w14:textId="77777777" w:rsidTr="00FD6B66">
        <w:trPr>
          <w:cnfStyle w:val="000000010000" w:firstRow="0" w:lastRow="0" w:firstColumn="0" w:lastColumn="0" w:oddVBand="0" w:evenVBand="0" w:oddHBand="0" w:evenHBand="1" w:firstRowFirstColumn="0" w:firstRowLastColumn="0" w:lastRowFirstColumn="0" w:lastRowLastColumn="0"/>
          <w:trHeight w:val="20"/>
        </w:trPr>
        <w:tc>
          <w:tcPr>
            <w:tcW w:w="4478" w:type="dxa"/>
            <w:noWrap/>
            <w:vAlign w:val="center"/>
            <w:hideMark/>
          </w:tcPr>
          <w:p w14:paraId="407DB412" w14:textId="77777777" w:rsidR="004F64EF" w:rsidRPr="003003C0" w:rsidRDefault="004F64EF" w:rsidP="00A839D1">
            <w:pPr>
              <w:tabs>
                <w:tab w:val="left" w:pos="227"/>
              </w:tabs>
              <w:ind w:left="227" w:hanging="227"/>
              <w:jc w:val="left"/>
              <w:rPr>
                <w:rFonts w:cs="Calibri"/>
                <w:bCs/>
                <w:color w:val="000000"/>
                <w:sz w:val="14"/>
                <w:szCs w:val="14"/>
              </w:rPr>
            </w:pPr>
            <w:r w:rsidRPr="003003C0">
              <w:rPr>
                <w:rFonts w:cs="Calibri"/>
                <w:bCs/>
                <w:color w:val="000000"/>
                <w:sz w:val="14"/>
                <w:szCs w:val="14"/>
              </w:rPr>
              <w:tab/>
              <w:t xml:space="preserve">41. </w:t>
            </w:r>
            <w:r w:rsidRPr="00077504">
              <w:rPr>
                <w:rFonts w:cs="Calibri"/>
                <w:bCs/>
                <w:color w:val="000000"/>
                <w:sz w:val="14"/>
                <w:szCs w:val="14"/>
              </w:rPr>
              <w:t xml:space="preserve">Raw hides and skins (other than </w:t>
            </w:r>
            <w:proofErr w:type="spellStart"/>
            <w:r w:rsidRPr="00077504">
              <w:rPr>
                <w:rFonts w:cs="Calibri"/>
                <w:bCs/>
                <w:color w:val="000000"/>
                <w:sz w:val="14"/>
                <w:szCs w:val="14"/>
              </w:rPr>
              <w:t>furskins</w:t>
            </w:r>
            <w:proofErr w:type="spellEnd"/>
            <w:r w:rsidRPr="00077504">
              <w:rPr>
                <w:rFonts w:cs="Calibri"/>
                <w:bCs/>
                <w:color w:val="000000"/>
                <w:sz w:val="14"/>
                <w:szCs w:val="14"/>
              </w:rPr>
              <w:t>) and leather</w:t>
            </w:r>
          </w:p>
        </w:tc>
        <w:tc>
          <w:tcPr>
            <w:tcW w:w="650" w:type="dxa"/>
            <w:noWrap/>
            <w:vAlign w:val="center"/>
            <w:hideMark/>
          </w:tcPr>
          <w:p w14:paraId="3171EEBB" w14:textId="77777777" w:rsidR="004F64EF" w:rsidRPr="003003C0" w:rsidRDefault="004F64EF" w:rsidP="00FD6B66">
            <w:pPr>
              <w:jc w:val="right"/>
              <w:rPr>
                <w:rFonts w:cs="Calibri"/>
                <w:bCs/>
                <w:color w:val="000000"/>
                <w:sz w:val="14"/>
                <w:szCs w:val="14"/>
              </w:rPr>
            </w:pPr>
            <w:r w:rsidRPr="003003C0">
              <w:rPr>
                <w:rFonts w:cs="Calibri"/>
                <w:bCs/>
                <w:color w:val="000000"/>
                <w:sz w:val="14"/>
                <w:szCs w:val="14"/>
              </w:rPr>
              <w:t>2</w:t>
            </w:r>
            <w:r>
              <w:rPr>
                <w:rFonts w:cs="Calibri"/>
                <w:bCs/>
                <w:color w:val="000000"/>
                <w:sz w:val="14"/>
                <w:szCs w:val="14"/>
              </w:rPr>
              <w:t>.</w:t>
            </w:r>
            <w:r w:rsidRPr="003003C0">
              <w:rPr>
                <w:rFonts w:cs="Calibri"/>
                <w:bCs/>
                <w:color w:val="000000"/>
                <w:sz w:val="14"/>
                <w:szCs w:val="14"/>
              </w:rPr>
              <w:t>9</w:t>
            </w:r>
          </w:p>
        </w:tc>
        <w:tc>
          <w:tcPr>
            <w:tcW w:w="650" w:type="dxa"/>
            <w:noWrap/>
            <w:vAlign w:val="center"/>
            <w:hideMark/>
          </w:tcPr>
          <w:p w14:paraId="7AE04DC1" w14:textId="77777777" w:rsidR="004F64EF" w:rsidRPr="003003C0" w:rsidRDefault="004F64EF" w:rsidP="00FD6B66">
            <w:pPr>
              <w:jc w:val="right"/>
              <w:rPr>
                <w:rFonts w:cs="Calibri"/>
                <w:bCs/>
                <w:color w:val="000000"/>
                <w:sz w:val="14"/>
                <w:szCs w:val="14"/>
              </w:rPr>
            </w:pPr>
            <w:r w:rsidRPr="003003C0">
              <w:rPr>
                <w:rFonts w:cs="Calibri"/>
                <w:bCs/>
                <w:color w:val="000000"/>
                <w:sz w:val="14"/>
                <w:szCs w:val="14"/>
              </w:rPr>
              <w:t>2</w:t>
            </w:r>
            <w:r>
              <w:rPr>
                <w:rFonts w:cs="Calibri"/>
                <w:bCs/>
                <w:color w:val="000000"/>
                <w:sz w:val="14"/>
                <w:szCs w:val="14"/>
              </w:rPr>
              <w:t>.</w:t>
            </w:r>
            <w:r w:rsidRPr="003003C0">
              <w:rPr>
                <w:rFonts w:cs="Calibri"/>
                <w:bCs/>
                <w:color w:val="000000"/>
                <w:sz w:val="14"/>
                <w:szCs w:val="14"/>
              </w:rPr>
              <w:t>2</w:t>
            </w:r>
          </w:p>
        </w:tc>
        <w:tc>
          <w:tcPr>
            <w:tcW w:w="650" w:type="dxa"/>
            <w:noWrap/>
            <w:vAlign w:val="center"/>
            <w:hideMark/>
          </w:tcPr>
          <w:p w14:paraId="0A13CC71" w14:textId="77777777" w:rsidR="004F64EF" w:rsidRPr="003003C0" w:rsidRDefault="004F64EF" w:rsidP="00FD6B66">
            <w:pPr>
              <w:jc w:val="right"/>
              <w:rPr>
                <w:rFonts w:cs="Calibri"/>
                <w:bCs/>
                <w:color w:val="000000"/>
                <w:sz w:val="14"/>
                <w:szCs w:val="14"/>
              </w:rPr>
            </w:pPr>
            <w:r w:rsidRPr="003003C0">
              <w:rPr>
                <w:rFonts w:cs="Calibri"/>
                <w:bCs/>
                <w:color w:val="000000"/>
                <w:sz w:val="14"/>
                <w:szCs w:val="14"/>
              </w:rPr>
              <w:t>1</w:t>
            </w:r>
            <w:r>
              <w:rPr>
                <w:rFonts w:cs="Calibri"/>
                <w:bCs/>
                <w:color w:val="000000"/>
                <w:sz w:val="14"/>
                <w:szCs w:val="14"/>
              </w:rPr>
              <w:t>.</w:t>
            </w:r>
            <w:r w:rsidRPr="003003C0">
              <w:rPr>
                <w:rFonts w:cs="Calibri"/>
                <w:bCs/>
                <w:color w:val="000000"/>
                <w:sz w:val="14"/>
                <w:szCs w:val="14"/>
              </w:rPr>
              <w:t>7</w:t>
            </w:r>
          </w:p>
        </w:tc>
        <w:tc>
          <w:tcPr>
            <w:tcW w:w="650" w:type="dxa"/>
            <w:noWrap/>
            <w:vAlign w:val="center"/>
            <w:hideMark/>
          </w:tcPr>
          <w:p w14:paraId="3496D11C" w14:textId="77777777" w:rsidR="004F64EF" w:rsidRPr="003003C0" w:rsidRDefault="004F64EF" w:rsidP="00FD6B66">
            <w:pPr>
              <w:jc w:val="right"/>
              <w:rPr>
                <w:rFonts w:cs="Calibri"/>
                <w:bCs/>
                <w:color w:val="000000"/>
                <w:sz w:val="14"/>
                <w:szCs w:val="14"/>
              </w:rPr>
            </w:pPr>
            <w:r w:rsidRPr="003003C0">
              <w:rPr>
                <w:rFonts w:cs="Calibri"/>
                <w:bCs/>
                <w:color w:val="000000"/>
                <w:sz w:val="14"/>
                <w:szCs w:val="14"/>
              </w:rPr>
              <w:t>1</w:t>
            </w:r>
            <w:r>
              <w:rPr>
                <w:rFonts w:cs="Calibri"/>
                <w:bCs/>
                <w:color w:val="000000"/>
                <w:sz w:val="14"/>
                <w:szCs w:val="14"/>
              </w:rPr>
              <w:t>.</w:t>
            </w:r>
            <w:r w:rsidRPr="003003C0">
              <w:rPr>
                <w:rFonts w:cs="Calibri"/>
                <w:bCs/>
                <w:color w:val="000000"/>
                <w:sz w:val="14"/>
                <w:szCs w:val="14"/>
              </w:rPr>
              <w:t>7</w:t>
            </w:r>
          </w:p>
        </w:tc>
        <w:tc>
          <w:tcPr>
            <w:tcW w:w="650" w:type="dxa"/>
            <w:noWrap/>
            <w:vAlign w:val="center"/>
            <w:hideMark/>
          </w:tcPr>
          <w:p w14:paraId="18E0F2A5" w14:textId="77777777" w:rsidR="004F64EF" w:rsidRPr="003003C0" w:rsidRDefault="004F64EF" w:rsidP="00FD6B66">
            <w:pPr>
              <w:jc w:val="right"/>
              <w:rPr>
                <w:rFonts w:cs="Calibri"/>
                <w:bCs/>
                <w:color w:val="000000"/>
                <w:sz w:val="14"/>
                <w:szCs w:val="14"/>
              </w:rPr>
            </w:pPr>
            <w:r w:rsidRPr="003003C0">
              <w:rPr>
                <w:rFonts w:cs="Calibri"/>
                <w:bCs/>
                <w:color w:val="000000"/>
                <w:sz w:val="14"/>
                <w:szCs w:val="14"/>
              </w:rPr>
              <w:t>1</w:t>
            </w:r>
            <w:r>
              <w:rPr>
                <w:rFonts w:cs="Calibri"/>
                <w:bCs/>
                <w:color w:val="000000"/>
                <w:sz w:val="14"/>
                <w:szCs w:val="14"/>
              </w:rPr>
              <w:t>.</w:t>
            </w:r>
            <w:r w:rsidRPr="003003C0">
              <w:rPr>
                <w:rFonts w:cs="Calibri"/>
                <w:bCs/>
                <w:color w:val="000000"/>
                <w:sz w:val="14"/>
                <w:szCs w:val="14"/>
              </w:rPr>
              <w:t>2</w:t>
            </w:r>
          </w:p>
        </w:tc>
        <w:tc>
          <w:tcPr>
            <w:tcW w:w="650" w:type="dxa"/>
            <w:noWrap/>
            <w:vAlign w:val="center"/>
            <w:hideMark/>
          </w:tcPr>
          <w:p w14:paraId="08C964C2" w14:textId="77777777" w:rsidR="004F64EF" w:rsidRPr="003003C0" w:rsidRDefault="004F64EF" w:rsidP="00FD6B66">
            <w:pPr>
              <w:jc w:val="right"/>
              <w:rPr>
                <w:rFonts w:cs="Calibri"/>
                <w:bCs/>
                <w:color w:val="000000"/>
                <w:sz w:val="14"/>
                <w:szCs w:val="14"/>
              </w:rPr>
            </w:pPr>
            <w:r w:rsidRPr="003003C0">
              <w:rPr>
                <w:rFonts w:cs="Calibri"/>
                <w:bCs/>
                <w:color w:val="000000"/>
                <w:sz w:val="14"/>
                <w:szCs w:val="14"/>
              </w:rPr>
              <w:t>0</w:t>
            </w:r>
            <w:r>
              <w:rPr>
                <w:rFonts w:cs="Calibri"/>
                <w:bCs/>
                <w:color w:val="000000"/>
                <w:sz w:val="14"/>
                <w:szCs w:val="14"/>
              </w:rPr>
              <w:t>.</w:t>
            </w:r>
            <w:r w:rsidRPr="003003C0">
              <w:rPr>
                <w:rFonts w:cs="Calibri"/>
                <w:bCs/>
                <w:color w:val="000000"/>
                <w:sz w:val="14"/>
                <w:szCs w:val="14"/>
              </w:rPr>
              <w:t>8</w:t>
            </w:r>
          </w:p>
        </w:tc>
        <w:tc>
          <w:tcPr>
            <w:tcW w:w="650" w:type="dxa"/>
            <w:noWrap/>
            <w:vAlign w:val="center"/>
            <w:hideMark/>
          </w:tcPr>
          <w:p w14:paraId="312B1E86" w14:textId="77777777" w:rsidR="004F64EF" w:rsidRPr="003003C0" w:rsidRDefault="004F64EF" w:rsidP="00FD6B66">
            <w:pPr>
              <w:jc w:val="right"/>
              <w:rPr>
                <w:rFonts w:cs="Calibri"/>
                <w:bCs/>
                <w:color w:val="000000"/>
                <w:sz w:val="14"/>
                <w:szCs w:val="14"/>
              </w:rPr>
            </w:pPr>
            <w:r w:rsidRPr="003003C0">
              <w:rPr>
                <w:rFonts w:cs="Calibri"/>
                <w:bCs/>
                <w:color w:val="000000"/>
                <w:sz w:val="14"/>
                <w:szCs w:val="14"/>
              </w:rPr>
              <w:t>1</w:t>
            </w:r>
            <w:r>
              <w:rPr>
                <w:rFonts w:cs="Calibri"/>
                <w:bCs/>
                <w:color w:val="000000"/>
                <w:sz w:val="14"/>
                <w:szCs w:val="14"/>
              </w:rPr>
              <w:t>.</w:t>
            </w:r>
            <w:r w:rsidRPr="003003C0">
              <w:rPr>
                <w:rFonts w:cs="Calibri"/>
                <w:bCs/>
                <w:color w:val="000000"/>
                <w:sz w:val="14"/>
                <w:szCs w:val="14"/>
              </w:rPr>
              <w:t>0</w:t>
            </w:r>
          </w:p>
        </w:tc>
      </w:tr>
      <w:tr w:rsidR="004F64EF" w:rsidRPr="003003C0" w14:paraId="1D0FC14B" w14:textId="77777777" w:rsidTr="00FD6B66">
        <w:trPr>
          <w:trHeight w:val="20"/>
        </w:trPr>
        <w:tc>
          <w:tcPr>
            <w:tcW w:w="4478" w:type="dxa"/>
            <w:noWrap/>
            <w:vAlign w:val="center"/>
            <w:hideMark/>
          </w:tcPr>
          <w:p w14:paraId="2AA84CC9" w14:textId="77777777" w:rsidR="004F64EF" w:rsidRPr="003003C0" w:rsidRDefault="004F64EF" w:rsidP="00FD6B66">
            <w:pPr>
              <w:jc w:val="left"/>
              <w:rPr>
                <w:rFonts w:cs="Calibri"/>
                <w:bCs/>
                <w:color w:val="000000"/>
                <w:sz w:val="14"/>
                <w:szCs w:val="14"/>
              </w:rPr>
            </w:pPr>
            <w:r w:rsidRPr="003003C0">
              <w:rPr>
                <w:rFonts w:cs="Calibri"/>
                <w:bCs/>
                <w:color w:val="000000"/>
                <w:sz w:val="14"/>
                <w:szCs w:val="14"/>
              </w:rPr>
              <w:t xml:space="preserve">9 - </w:t>
            </w:r>
            <w:r w:rsidRPr="00D60595">
              <w:rPr>
                <w:rFonts w:cs="Calibri"/>
                <w:bCs/>
                <w:color w:val="000000"/>
                <w:sz w:val="14"/>
                <w:szCs w:val="14"/>
              </w:rPr>
              <w:t>Wood and articles of wood; wood charcoal</w:t>
            </w:r>
          </w:p>
        </w:tc>
        <w:tc>
          <w:tcPr>
            <w:tcW w:w="650" w:type="dxa"/>
            <w:noWrap/>
            <w:vAlign w:val="center"/>
            <w:hideMark/>
          </w:tcPr>
          <w:p w14:paraId="159679BD" w14:textId="77777777" w:rsidR="004F64EF" w:rsidRPr="003003C0" w:rsidRDefault="004F64EF" w:rsidP="00FD6B66">
            <w:pPr>
              <w:jc w:val="right"/>
              <w:rPr>
                <w:rFonts w:cs="Calibri"/>
                <w:bCs/>
                <w:color w:val="000000"/>
                <w:sz w:val="14"/>
                <w:szCs w:val="14"/>
              </w:rPr>
            </w:pPr>
            <w:r w:rsidRPr="003003C0">
              <w:rPr>
                <w:rFonts w:cs="Calibri"/>
                <w:bCs/>
                <w:color w:val="000000"/>
                <w:sz w:val="14"/>
                <w:szCs w:val="14"/>
              </w:rPr>
              <w:t>0</w:t>
            </w:r>
            <w:r>
              <w:rPr>
                <w:rFonts w:cs="Calibri"/>
                <w:bCs/>
                <w:color w:val="000000"/>
                <w:sz w:val="14"/>
                <w:szCs w:val="14"/>
              </w:rPr>
              <w:t>.</w:t>
            </w:r>
            <w:r w:rsidRPr="003003C0">
              <w:rPr>
                <w:rFonts w:cs="Calibri"/>
                <w:bCs/>
                <w:color w:val="000000"/>
                <w:sz w:val="14"/>
                <w:szCs w:val="14"/>
              </w:rPr>
              <w:t>5</w:t>
            </w:r>
          </w:p>
        </w:tc>
        <w:tc>
          <w:tcPr>
            <w:tcW w:w="650" w:type="dxa"/>
            <w:noWrap/>
            <w:vAlign w:val="center"/>
            <w:hideMark/>
          </w:tcPr>
          <w:p w14:paraId="48C8FC69" w14:textId="77777777" w:rsidR="004F64EF" w:rsidRPr="003003C0" w:rsidRDefault="004F64EF" w:rsidP="00FD6B66">
            <w:pPr>
              <w:jc w:val="right"/>
              <w:rPr>
                <w:rFonts w:cs="Calibri"/>
                <w:bCs/>
                <w:color w:val="000000"/>
                <w:sz w:val="14"/>
                <w:szCs w:val="14"/>
              </w:rPr>
            </w:pPr>
            <w:r w:rsidRPr="003003C0">
              <w:rPr>
                <w:rFonts w:cs="Calibri"/>
                <w:bCs/>
                <w:color w:val="000000"/>
                <w:sz w:val="14"/>
                <w:szCs w:val="14"/>
              </w:rPr>
              <w:t>0</w:t>
            </w:r>
            <w:r>
              <w:rPr>
                <w:rFonts w:cs="Calibri"/>
                <w:bCs/>
                <w:color w:val="000000"/>
                <w:sz w:val="14"/>
                <w:szCs w:val="14"/>
              </w:rPr>
              <w:t>.</w:t>
            </w:r>
            <w:r w:rsidRPr="003003C0">
              <w:rPr>
                <w:rFonts w:cs="Calibri"/>
                <w:bCs/>
                <w:color w:val="000000"/>
                <w:sz w:val="14"/>
                <w:szCs w:val="14"/>
              </w:rPr>
              <w:t>6</w:t>
            </w:r>
          </w:p>
        </w:tc>
        <w:tc>
          <w:tcPr>
            <w:tcW w:w="650" w:type="dxa"/>
            <w:noWrap/>
            <w:vAlign w:val="center"/>
            <w:hideMark/>
          </w:tcPr>
          <w:p w14:paraId="61881D30" w14:textId="77777777" w:rsidR="004F64EF" w:rsidRPr="003003C0" w:rsidRDefault="004F64EF" w:rsidP="00FD6B66">
            <w:pPr>
              <w:jc w:val="right"/>
              <w:rPr>
                <w:rFonts w:cs="Calibri"/>
                <w:bCs/>
                <w:color w:val="000000"/>
                <w:sz w:val="14"/>
                <w:szCs w:val="14"/>
              </w:rPr>
            </w:pPr>
            <w:r w:rsidRPr="003003C0">
              <w:rPr>
                <w:rFonts w:cs="Calibri"/>
                <w:bCs/>
                <w:color w:val="000000"/>
                <w:sz w:val="14"/>
                <w:szCs w:val="14"/>
              </w:rPr>
              <w:t>0</w:t>
            </w:r>
            <w:r>
              <w:rPr>
                <w:rFonts w:cs="Calibri"/>
                <w:bCs/>
                <w:color w:val="000000"/>
                <w:sz w:val="14"/>
                <w:szCs w:val="14"/>
              </w:rPr>
              <w:t>.</w:t>
            </w:r>
            <w:r w:rsidRPr="003003C0">
              <w:rPr>
                <w:rFonts w:cs="Calibri"/>
                <w:bCs/>
                <w:color w:val="000000"/>
                <w:sz w:val="14"/>
                <w:szCs w:val="14"/>
              </w:rPr>
              <w:t>3</w:t>
            </w:r>
          </w:p>
        </w:tc>
        <w:tc>
          <w:tcPr>
            <w:tcW w:w="650" w:type="dxa"/>
            <w:noWrap/>
            <w:vAlign w:val="center"/>
            <w:hideMark/>
          </w:tcPr>
          <w:p w14:paraId="3DD49A7F" w14:textId="77777777" w:rsidR="004F64EF" w:rsidRPr="003003C0" w:rsidRDefault="004F64EF" w:rsidP="00FD6B66">
            <w:pPr>
              <w:jc w:val="right"/>
              <w:rPr>
                <w:rFonts w:cs="Calibri"/>
                <w:bCs/>
                <w:color w:val="000000"/>
                <w:sz w:val="14"/>
                <w:szCs w:val="14"/>
              </w:rPr>
            </w:pPr>
            <w:r w:rsidRPr="003003C0">
              <w:rPr>
                <w:rFonts w:cs="Calibri"/>
                <w:bCs/>
                <w:color w:val="000000"/>
                <w:sz w:val="14"/>
                <w:szCs w:val="14"/>
              </w:rPr>
              <w:t>0</w:t>
            </w:r>
            <w:r>
              <w:rPr>
                <w:rFonts w:cs="Calibri"/>
                <w:bCs/>
                <w:color w:val="000000"/>
                <w:sz w:val="14"/>
                <w:szCs w:val="14"/>
              </w:rPr>
              <w:t>.</w:t>
            </w:r>
            <w:r w:rsidRPr="003003C0">
              <w:rPr>
                <w:rFonts w:cs="Calibri"/>
                <w:bCs/>
                <w:color w:val="000000"/>
                <w:sz w:val="14"/>
                <w:szCs w:val="14"/>
              </w:rPr>
              <w:t>3</w:t>
            </w:r>
          </w:p>
        </w:tc>
        <w:tc>
          <w:tcPr>
            <w:tcW w:w="650" w:type="dxa"/>
            <w:noWrap/>
            <w:vAlign w:val="center"/>
            <w:hideMark/>
          </w:tcPr>
          <w:p w14:paraId="2037CEBC" w14:textId="77777777" w:rsidR="004F64EF" w:rsidRPr="003003C0" w:rsidRDefault="004F64EF" w:rsidP="00FD6B66">
            <w:pPr>
              <w:jc w:val="right"/>
              <w:rPr>
                <w:rFonts w:cs="Calibri"/>
                <w:bCs/>
                <w:color w:val="000000"/>
                <w:sz w:val="14"/>
                <w:szCs w:val="14"/>
              </w:rPr>
            </w:pPr>
            <w:r w:rsidRPr="003003C0">
              <w:rPr>
                <w:rFonts w:cs="Calibri"/>
                <w:bCs/>
                <w:color w:val="000000"/>
                <w:sz w:val="14"/>
                <w:szCs w:val="14"/>
              </w:rPr>
              <w:t>0</w:t>
            </w:r>
            <w:r>
              <w:rPr>
                <w:rFonts w:cs="Calibri"/>
                <w:bCs/>
                <w:color w:val="000000"/>
                <w:sz w:val="14"/>
                <w:szCs w:val="14"/>
              </w:rPr>
              <w:t>.</w:t>
            </w:r>
            <w:r w:rsidRPr="003003C0">
              <w:rPr>
                <w:rFonts w:cs="Calibri"/>
                <w:bCs/>
                <w:color w:val="000000"/>
                <w:sz w:val="14"/>
                <w:szCs w:val="14"/>
              </w:rPr>
              <w:t>2</w:t>
            </w:r>
          </w:p>
        </w:tc>
        <w:tc>
          <w:tcPr>
            <w:tcW w:w="650" w:type="dxa"/>
            <w:noWrap/>
            <w:vAlign w:val="center"/>
            <w:hideMark/>
          </w:tcPr>
          <w:p w14:paraId="1802B88C" w14:textId="77777777" w:rsidR="004F64EF" w:rsidRPr="003003C0" w:rsidRDefault="004F64EF" w:rsidP="00FD6B66">
            <w:pPr>
              <w:jc w:val="right"/>
              <w:rPr>
                <w:rFonts w:cs="Calibri"/>
                <w:bCs/>
                <w:color w:val="000000"/>
                <w:sz w:val="14"/>
                <w:szCs w:val="14"/>
              </w:rPr>
            </w:pPr>
            <w:r w:rsidRPr="003003C0">
              <w:rPr>
                <w:rFonts w:cs="Calibri"/>
                <w:bCs/>
                <w:color w:val="000000"/>
                <w:sz w:val="14"/>
                <w:szCs w:val="14"/>
              </w:rPr>
              <w:t>0</w:t>
            </w:r>
            <w:r>
              <w:rPr>
                <w:rFonts w:cs="Calibri"/>
                <w:bCs/>
                <w:color w:val="000000"/>
                <w:sz w:val="14"/>
                <w:szCs w:val="14"/>
              </w:rPr>
              <w:t>.</w:t>
            </w:r>
            <w:r w:rsidRPr="003003C0">
              <w:rPr>
                <w:rFonts w:cs="Calibri"/>
                <w:bCs/>
                <w:color w:val="000000"/>
                <w:sz w:val="14"/>
                <w:szCs w:val="14"/>
              </w:rPr>
              <w:t>2</w:t>
            </w:r>
          </w:p>
        </w:tc>
        <w:tc>
          <w:tcPr>
            <w:tcW w:w="650" w:type="dxa"/>
            <w:noWrap/>
            <w:vAlign w:val="center"/>
            <w:hideMark/>
          </w:tcPr>
          <w:p w14:paraId="3B6E99D1" w14:textId="77777777" w:rsidR="004F64EF" w:rsidRPr="003003C0" w:rsidRDefault="004F64EF" w:rsidP="00FD6B66">
            <w:pPr>
              <w:jc w:val="right"/>
              <w:rPr>
                <w:rFonts w:cs="Calibri"/>
                <w:bCs/>
                <w:color w:val="000000"/>
                <w:sz w:val="14"/>
                <w:szCs w:val="14"/>
              </w:rPr>
            </w:pPr>
            <w:r w:rsidRPr="003003C0">
              <w:rPr>
                <w:rFonts w:cs="Calibri"/>
                <w:bCs/>
                <w:color w:val="000000"/>
                <w:sz w:val="14"/>
                <w:szCs w:val="14"/>
              </w:rPr>
              <w:t>0</w:t>
            </w:r>
            <w:r>
              <w:rPr>
                <w:rFonts w:cs="Calibri"/>
                <w:bCs/>
                <w:color w:val="000000"/>
                <w:sz w:val="14"/>
                <w:szCs w:val="14"/>
              </w:rPr>
              <w:t>.</w:t>
            </w:r>
            <w:r w:rsidRPr="003003C0">
              <w:rPr>
                <w:rFonts w:cs="Calibri"/>
                <w:bCs/>
                <w:color w:val="000000"/>
                <w:sz w:val="14"/>
                <w:szCs w:val="14"/>
              </w:rPr>
              <w:t>2</w:t>
            </w:r>
          </w:p>
        </w:tc>
      </w:tr>
      <w:tr w:rsidR="004F64EF" w:rsidRPr="003003C0" w14:paraId="099CEE49" w14:textId="77777777" w:rsidTr="00FD6B66">
        <w:trPr>
          <w:cnfStyle w:val="000000010000" w:firstRow="0" w:lastRow="0" w:firstColumn="0" w:lastColumn="0" w:oddVBand="0" w:evenVBand="0" w:oddHBand="0" w:evenHBand="1" w:firstRowFirstColumn="0" w:firstRowLastColumn="0" w:lastRowFirstColumn="0" w:lastRowLastColumn="0"/>
          <w:trHeight w:val="20"/>
        </w:trPr>
        <w:tc>
          <w:tcPr>
            <w:tcW w:w="4478" w:type="dxa"/>
            <w:noWrap/>
            <w:vAlign w:val="center"/>
            <w:hideMark/>
          </w:tcPr>
          <w:p w14:paraId="00770FF9" w14:textId="77777777" w:rsidR="004F64EF" w:rsidRPr="003003C0" w:rsidRDefault="004F64EF" w:rsidP="00FD6B66">
            <w:pPr>
              <w:tabs>
                <w:tab w:val="left" w:pos="227"/>
              </w:tabs>
              <w:jc w:val="left"/>
              <w:rPr>
                <w:rFonts w:cs="Calibri"/>
                <w:bCs/>
                <w:color w:val="000000"/>
                <w:sz w:val="14"/>
                <w:szCs w:val="14"/>
              </w:rPr>
            </w:pPr>
            <w:r w:rsidRPr="003003C0">
              <w:rPr>
                <w:rFonts w:cs="Calibri"/>
                <w:bCs/>
                <w:color w:val="000000"/>
                <w:sz w:val="14"/>
                <w:szCs w:val="14"/>
              </w:rPr>
              <w:tab/>
              <w:t xml:space="preserve">44. </w:t>
            </w:r>
            <w:r w:rsidRPr="00077504">
              <w:rPr>
                <w:rFonts w:cs="Calibri"/>
                <w:bCs/>
                <w:color w:val="000000"/>
                <w:sz w:val="14"/>
                <w:szCs w:val="14"/>
              </w:rPr>
              <w:t>Wood and articles of wood; wood charcoal</w:t>
            </w:r>
          </w:p>
        </w:tc>
        <w:tc>
          <w:tcPr>
            <w:tcW w:w="650" w:type="dxa"/>
            <w:noWrap/>
            <w:vAlign w:val="center"/>
            <w:hideMark/>
          </w:tcPr>
          <w:p w14:paraId="72AC7FFF" w14:textId="77777777" w:rsidR="004F64EF" w:rsidRPr="003003C0" w:rsidRDefault="004F64EF" w:rsidP="00FD6B66">
            <w:pPr>
              <w:jc w:val="right"/>
              <w:rPr>
                <w:rFonts w:cs="Calibri"/>
                <w:bCs/>
                <w:color w:val="000000"/>
                <w:sz w:val="14"/>
                <w:szCs w:val="14"/>
              </w:rPr>
            </w:pPr>
            <w:r w:rsidRPr="003003C0">
              <w:rPr>
                <w:rFonts w:cs="Calibri"/>
                <w:bCs/>
                <w:color w:val="000000"/>
                <w:sz w:val="14"/>
                <w:szCs w:val="14"/>
              </w:rPr>
              <w:t>0</w:t>
            </w:r>
            <w:r>
              <w:rPr>
                <w:rFonts w:cs="Calibri"/>
                <w:bCs/>
                <w:color w:val="000000"/>
                <w:sz w:val="14"/>
                <w:szCs w:val="14"/>
              </w:rPr>
              <w:t>.</w:t>
            </w:r>
            <w:r w:rsidRPr="003003C0">
              <w:rPr>
                <w:rFonts w:cs="Calibri"/>
                <w:bCs/>
                <w:color w:val="000000"/>
                <w:sz w:val="14"/>
                <w:szCs w:val="14"/>
              </w:rPr>
              <w:t>5</w:t>
            </w:r>
          </w:p>
        </w:tc>
        <w:tc>
          <w:tcPr>
            <w:tcW w:w="650" w:type="dxa"/>
            <w:noWrap/>
            <w:vAlign w:val="center"/>
            <w:hideMark/>
          </w:tcPr>
          <w:p w14:paraId="5EB750D9" w14:textId="77777777" w:rsidR="004F64EF" w:rsidRPr="003003C0" w:rsidRDefault="004F64EF" w:rsidP="00FD6B66">
            <w:pPr>
              <w:jc w:val="right"/>
              <w:rPr>
                <w:rFonts w:cs="Calibri"/>
                <w:bCs/>
                <w:color w:val="000000"/>
                <w:sz w:val="14"/>
                <w:szCs w:val="14"/>
              </w:rPr>
            </w:pPr>
            <w:r w:rsidRPr="003003C0">
              <w:rPr>
                <w:rFonts w:cs="Calibri"/>
                <w:bCs/>
                <w:color w:val="000000"/>
                <w:sz w:val="14"/>
                <w:szCs w:val="14"/>
              </w:rPr>
              <w:t>0</w:t>
            </w:r>
            <w:r>
              <w:rPr>
                <w:rFonts w:cs="Calibri"/>
                <w:bCs/>
                <w:color w:val="000000"/>
                <w:sz w:val="14"/>
                <w:szCs w:val="14"/>
              </w:rPr>
              <w:t>.</w:t>
            </w:r>
            <w:r w:rsidRPr="003003C0">
              <w:rPr>
                <w:rFonts w:cs="Calibri"/>
                <w:bCs/>
                <w:color w:val="000000"/>
                <w:sz w:val="14"/>
                <w:szCs w:val="14"/>
              </w:rPr>
              <w:t>6</w:t>
            </w:r>
          </w:p>
        </w:tc>
        <w:tc>
          <w:tcPr>
            <w:tcW w:w="650" w:type="dxa"/>
            <w:noWrap/>
            <w:vAlign w:val="center"/>
            <w:hideMark/>
          </w:tcPr>
          <w:p w14:paraId="39A579E9" w14:textId="77777777" w:rsidR="004F64EF" w:rsidRPr="003003C0" w:rsidRDefault="004F64EF" w:rsidP="00FD6B66">
            <w:pPr>
              <w:jc w:val="right"/>
              <w:rPr>
                <w:rFonts w:cs="Calibri"/>
                <w:bCs/>
                <w:color w:val="000000"/>
                <w:sz w:val="14"/>
                <w:szCs w:val="14"/>
              </w:rPr>
            </w:pPr>
            <w:r w:rsidRPr="003003C0">
              <w:rPr>
                <w:rFonts w:cs="Calibri"/>
                <w:bCs/>
                <w:color w:val="000000"/>
                <w:sz w:val="14"/>
                <w:szCs w:val="14"/>
              </w:rPr>
              <w:t>0</w:t>
            </w:r>
            <w:r>
              <w:rPr>
                <w:rFonts w:cs="Calibri"/>
                <w:bCs/>
                <w:color w:val="000000"/>
                <w:sz w:val="14"/>
                <w:szCs w:val="14"/>
              </w:rPr>
              <w:t>.</w:t>
            </w:r>
            <w:r w:rsidRPr="003003C0">
              <w:rPr>
                <w:rFonts w:cs="Calibri"/>
                <w:bCs/>
                <w:color w:val="000000"/>
                <w:sz w:val="14"/>
                <w:szCs w:val="14"/>
              </w:rPr>
              <w:t>2</w:t>
            </w:r>
          </w:p>
        </w:tc>
        <w:tc>
          <w:tcPr>
            <w:tcW w:w="650" w:type="dxa"/>
            <w:noWrap/>
            <w:vAlign w:val="center"/>
            <w:hideMark/>
          </w:tcPr>
          <w:p w14:paraId="1C42BAC3" w14:textId="77777777" w:rsidR="004F64EF" w:rsidRPr="003003C0" w:rsidRDefault="004F64EF" w:rsidP="00FD6B66">
            <w:pPr>
              <w:jc w:val="right"/>
              <w:rPr>
                <w:rFonts w:cs="Calibri"/>
                <w:bCs/>
                <w:color w:val="000000"/>
                <w:sz w:val="14"/>
                <w:szCs w:val="14"/>
              </w:rPr>
            </w:pPr>
            <w:r w:rsidRPr="003003C0">
              <w:rPr>
                <w:rFonts w:cs="Calibri"/>
                <w:bCs/>
                <w:color w:val="000000"/>
                <w:sz w:val="14"/>
                <w:szCs w:val="14"/>
              </w:rPr>
              <w:t>0</w:t>
            </w:r>
            <w:r>
              <w:rPr>
                <w:rFonts w:cs="Calibri"/>
                <w:bCs/>
                <w:color w:val="000000"/>
                <w:sz w:val="14"/>
                <w:szCs w:val="14"/>
              </w:rPr>
              <w:t>.</w:t>
            </w:r>
            <w:r w:rsidRPr="003003C0">
              <w:rPr>
                <w:rFonts w:cs="Calibri"/>
                <w:bCs/>
                <w:color w:val="000000"/>
                <w:sz w:val="14"/>
                <w:szCs w:val="14"/>
              </w:rPr>
              <w:t>3</w:t>
            </w:r>
          </w:p>
        </w:tc>
        <w:tc>
          <w:tcPr>
            <w:tcW w:w="650" w:type="dxa"/>
            <w:noWrap/>
            <w:vAlign w:val="center"/>
            <w:hideMark/>
          </w:tcPr>
          <w:p w14:paraId="47037985" w14:textId="77777777" w:rsidR="004F64EF" w:rsidRPr="003003C0" w:rsidRDefault="004F64EF" w:rsidP="00FD6B66">
            <w:pPr>
              <w:jc w:val="right"/>
              <w:rPr>
                <w:rFonts w:cs="Calibri"/>
                <w:bCs/>
                <w:color w:val="000000"/>
                <w:sz w:val="14"/>
                <w:szCs w:val="14"/>
              </w:rPr>
            </w:pPr>
            <w:r w:rsidRPr="003003C0">
              <w:rPr>
                <w:rFonts w:cs="Calibri"/>
                <w:bCs/>
                <w:color w:val="000000"/>
                <w:sz w:val="14"/>
                <w:szCs w:val="14"/>
              </w:rPr>
              <w:t>0</w:t>
            </w:r>
            <w:r>
              <w:rPr>
                <w:rFonts w:cs="Calibri"/>
                <w:bCs/>
                <w:color w:val="000000"/>
                <w:sz w:val="14"/>
                <w:szCs w:val="14"/>
              </w:rPr>
              <w:t>.</w:t>
            </w:r>
            <w:r w:rsidRPr="003003C0">
              <w:rPr>
                <w:rFonts w:cs="Calibri"/>
                <w:bCs/>
                <w:color w:val="000000"/>
                <w:sz w:val="14"/>
                <w:szCs w:val="14"/>
              </w:rPr>
              <w:t>2</w:t>
            </w:r>
          </w:p>
        </w:tc>
        <w:tc>
          <w:tcPr>
            <w:tcW w:w="650" w:type="dxa"/>
            <w:noWrap/>
            <w:vAlign w:val="center"/>
            <w:hideMark/>
          </w:tcPr>
          <w:p w14:paraId="6B59C35F" w14:textId="77777777" w:rsidR="004F64EF" w:rsidRPr="003003C0" w:rsidRDefault="004F64EF" w:rsidP="00FD6B66">
            <w:pPr>
              <w:jc w:val="right"/>
              <w:rPr>
                <w:rFonts w:cs="Calibri"/>
                <w:bCs/>
                <w:color w:val="000000"/>
                <w:sz w:val="14"/>
                <w:szCs w:val="14"/>
              </w:rPr>
            </w:pPr>
            <w:r w:rsidRPr="003003C0">
              <w:rPr>
                <w:rFonts w:cs="Calibri"/>
                <w:bCs/>
                <w:color w:val="000000"/>
                <w:sz w:val="14"/>
                <w:szCs w:val="14"/>
              </w:rPr>
              <w:t>0</w:t>
            </w:r>
            <w:r>
              <w:rPr>
                <w:rFonts w:cs="Calibri"/>
                <w:bCs/>
                <w:color w:val="000000"/>
                <w:sz w:val="14"/>
                <w:szCs w:val="14"/>
              </w:rPr>
              <w:t>.</w:t>
            </w:r>
            <w:r w:rsidRPr="003003C0">
              <w:rPr>
                <w:rFonts w:cs="Calibri"/>
                <w:bCs/>
                <w:color w:val="000000"/>
                <w:sz w:val="14"/>
                <w:szCs w:val="14"/>
              </w:rPr>
              <w:t>2</w:t>
            </w:r>
          </w:p>
        </w:tc>
        <w:tc>
          <w:tcPr>
            <w:tcW w:w="650" w:type="dxa"/>
            <w:noWrap/>
            <w:vAlign w:val="center"/>
            <w:hideMark/>
          </w:tcPr>
          <w:p w14:paraId="6DA90E77" w14:textId="77777777" w:rsidR="004F64EF" w:rsidRPr="003003C0" w:rsidRDefault="004F64EF" w:rsidP="00FD6B66">
            <w:pPr>
              <w:jc w:val="right"/>
              <w:rPr>
                <w:rFonts w:cs="Calibri"/>
                <w:bCs/>
                <w:color w:val="000000"/>
                <w:sz w:val="14"/>
                <w:szCs w:val="14"/>
              </w:rPr>
            </w:pPr>
            <w:r w:rsidRPr="003003C0">
              <w:rPr>
                <w:rFonts w:cs="Calibri"/>
                <w:bCs/>
                <w:color w:val="000000"/>
                <w:sz w:val="14"/>
                <w:szCs w:val="14"/>
              </w:rPr>
              <w:t>0</w:t>
            </w:r>
            <w:r>
              <w:rPr>
                <w:rFonts w:cs="Calibri"/>
                <w:bCs/>
                <w:color w:val="000000"/>
                <w:sz w:val="14"/>
                <w:szCs w:val="14"/>
              </w:rPr>
              <w:t>.</w:t>
            </w:r>
            <w:r w:rsidRPr="003003C0">
              <w:rPr>
                <w:rFonts w:cs="Calibri"/>
                <w:bCs/>
                <w:color w:val="000000"/>
                <w:sz w:val="14"/>
                <w:szCs w:val="14"/>
              </w:rPr>
              <w:t>2</w:t>
            </w:r>
          </w:p>
        </w:tc>
      </w:tr>
      <w:tr w:rsidR="004F64EF" w:rsidRPr="003003C0" w14:paraId="15361E8A" w14:textId="77777777" w:rsidTr="00FD6B66">
        <w:trPr>
          <w:trHeight w:val="20"/>
        </w:trPr>
        <w:tc>
          <w:tcPr>
            <w:tcW w:w="4478" w:type="dxa"/>
            <w:noWrap/>
            <w:vAlign w:val="center"/>
            <w:hideMark/>
          </w:tcPr>
          <w:p w14:paraId="646E0E28" w14:textId="77777777" w:rsidR="004F64EF" w:rsidRPr="003003C0" w:rsidRDefault="004F64EF" w:rsidP="00FD6B66">
            <w:pPr>
              <w:jc w:val="left"/>
              <w:rPr>
                <w:rFonts w:cs="Calibri"/>
                <w:bCs/>
                <w:color w:val="000000"/>
                <w:sz w:val="14"/>
                <w:szCs w:val="14"/>
              </w:rPr>
            </w:pPr>
            <w:r w:rsidRPr="003003C0">
              <w:rPr>
                <w:rFonts w:cs="Calibri"/>
                <w:bCs/>
                <w:color w:val="000000"/>
                <w:sz w:val="14"/>
                <w:szCs w:val="14"/>
              </w:rPr>
              <w:t xml:space="preserve">10 - </w:t>
            </w:r>
            <w:r w:rsidRPr="00D60595">
              <w:rPr>
                <w:rFonts w:cs="Calibri"/>
                <w:bCs/>
                <w:color w:val="000000"/>
                <w:sz w:val="14"/>
                <w:szCs w:val="14"/>
              </w:rPr>
              <w:t>Pulp of wood or of other fibrous cellulosic material; paper and paperboard and articles thereof</w:t>
            </w:r>
          </w:p>
        </w:tc>
        <w:tc>
          <w:tcPr>
            <w:tcW w:w="650" w:type="dxa"/>
            <w:noWrap/>
            <w:vAlign w:val="center"/>
            <w:hideMark/>
          </w:tcPr>
          <w:p w14:paraId="6D21F1BD" w14:textId="77777777" w:rsidR="004F64EF" w:rsidRPr="003003C0" w:rsidRDefault="004F64EF" w:rsidP="00FD6B66">
            <w:pPr>
              <w:jc w:val="right"/>
              <w:rPr>
                <w:rFonts w:cs="Calibri"/>
                <w:bCs/>
                <w:color w:val="000000"/>
                <w:sz w:val="14"/>
                <w:szCs w:val="14"/>
              </w:rPr>
            </w:pPr>
            <w:r w:rsidRPr="003003C0">
              <w:rPr>
                <w:rFonts w:cs="Calibri"/>
                <w:bCs/>
                <w:color w:val="000000"/>
                <w:sz w:val="14"/>
                <w:szCs w:val="14"/>
              </w:rPr>
              <w:t>4</w:t>
            </w:r>
            <w:r>
              <w:rPr>
                <w:rFonts w:cs="Calibri"/>
                <w:bCs/>
                <w:color w:val="000000"/>
                <w:sz w:val="14"/>
                <w:szCs w:val="14"/>
              </w:rPr>
              <w:t>.</w:t>
            </w:r>
            <w:r w:rsidRPr="003003C0">
              <w:rPr>
                <w:rFonts w:cs="Calibri"/>
                <w:bCs/>
                <w:color w:val="000000"/>
                <w:sz w:val="14"/>
                <w:szCs w:val="14"/>
              </w:rPr>
              <w:t>4</w:t>
            </w:r>
          </w:p>
        </w:tc>
        <w:tc>
          <w:tcPr>
            <w:tcW w:w="650" w:type="dxa"/>
            <w:noWrap/>
            <w:vAlign w:val="center"/>
            <w:hideMark/>
          </w:tcPr>
          <w:p w14:paraId="4A43DE5D" w14:textId="77777777" w:rsidR="004F64EF" w:rsidRPr="003003C0" w:rsidRDefault="004F64EF" w:rsidP="00FD6B66">
            <w:pPr>
              <w:jc w:val="right"/>
              <w:rPr>
                <w:rFonts w:cs="Calibri"/>
                <w:bCs/>
                <w:color w:val="000000"/>
                <w:sz w:val="14"/>
                <w:szCs w:val="14"/>
              </w:rPr>
            </w:pPr>
            <w:r w:rsidRPr="003003C0">
              <w:rPr>
                <w:rFonts w:cs="Calibri"/>
                <w:bCs/>
                <w:color w:val="000000"/>
                <w:sz w:val="14"/>
                <w:szCs w:val="14"/>
              </w:rPr>
              <w:t>4</w:t>
            </w:r>
            <w:r>
              <w:rPr>
                <w:rFonts w:cs="Calibri"/>
                <w:bCs/>
                <w:color w:val="000000"/>
                <w:sz w:val="14"/>
                <w:szCs w:val="14"/>
              </w:rPr>
              <w:t>.</w:t>
            </w:r>
            <w:r w:rsidRPr="003003C0">
              <w:rPr>
                <w:rFonts w:cs="Calibri"/>
                <w:bCs/>
                <w:color w:val="000000"/>
                <w:sz w:val="14"/>
                <w:szCs w:val="14"/>
              </w:rPr>
              <w:t>2</w:t>
            </w:r>
          </w:p>
        </w:tc>
        <w:tc>
          <w:tcPr>
            <w:tcW w:w="650" w:type="dxa"/>
            <w:noWrap/>
            <w:vAlign w:val="center"/>
            <w:hideMark/>
          </w:tcPr>
          <w:p w14:paraId="28B6759F" w14:textId="77777777" w:rsidR="004F64EF" w:rsidRPr="003003C0" w:rsidRDefault="004F64EF" w:rsidP="00FD6B66">
            <w:pPr>
              <w:jc w:val="right"/>
              <w:rPr>
                <w:rFonts w:cs="Calibri"/>
                <w:bCs/>
                <w:color w:val="000000"/>
                <w:sz w:val="14"/>
                <w:szCs w:val="14"/>
              </w:rPr>
            </w:pPr>
            <w:r w:rsidRPr="003003C0">
              <w:rPr>
                <w:rFonts w:cs="Calibri"/>
                <w:bCs/>
                <w:color w:val="000000"/>
                <w:sz w:val="14"/>
                <w:szCs w:val="14"/>
              </w:rPr>
              <w:t>4</w:t>
            </w:r>
            <w:r>
              <w:rPr>
                <w:rFonts w:cs="Calibri"/>
                <w:bCs/>
                <w:color w:val="000000"/>
                <w:sz w:val="14"/>
                <w:szCs w:val="14"/>
              </w:rPr>
              <w:t>.</w:t>
            </w:r>
            <w:r w:rsidRPr="003003C0">
              <w:rPr>
                <w:rFonts w:cs="Calibri"/>
                <w:bCs/>
                <w:color w:val="000000"/>
                <w:sz w:val="14"/>
                <w:szCs w:val="14"/>
              </w:rPr>
              <w:t>5</w:t>
            </w:r>
          </w:p>
        </w:tc>
        <w:tc>
          <w:tcPr>
            <w:tcW w:w="650" w:type="dxa"/>
            <w:noWrap/>
            <w:vAlign w:val="center"/>
            <w:hideMark/>
          </w:tcPr>
          <w:p w14:paraId="7ACB1473" w14:textId="77777777" w:rsidR="004F64EF" w:rsidRPr="003003C0" w:rsidRDefault="004F64EF" w:rsidP="00FD6B66">
            <w:pPr>
              <w:jc w:val="right"/>
              <w:rPr>
                <w:rFonts w:cs="Calibri"/>
                <w:bCs/>
                <w:color w:val="000000"/>
                <w:sz w:val="14"/>
                <w:szCs w:val="14"/>
              </w:rPr>
            </w:pPr>
            <w:r w:rsidRPr="003003C0">
              <w:rPr>
                <w:rFonts w:cs="Calibri"/>
                <w:bCs/>
                <w:color w:val="000000"/>
                <w:sz w:val="14"/>
                <w:szCs w:val="14"/>
              </w:rPr>
              <w:t>4</w:t>
            </w:r>
            <w:r>
              <w:rPr>
                <w:rFonts w:cs="Calibri"/>
                <w:bCs/>
                <w:color w:val="000000"/>
                <w:sz w:val="14"/>
                <w:szCs w:val="14"/>
              </w:rPr>
              <w:t>.</w:t>
            </w:r>
            <w:r w:rsidRPr="003003C0">
              <w:rPr>
                <w:rFonts w:cs="Calibri"/>
                <w:bCs/>
                <w:color w:val="000000"/>
                <w:sz w:val="14"/>
                <w:szCs w:val="14"/>
              </w:rPr>
              <w:t>6</w:t>
            </w:r>
          </w:p>
        </w:tc>
        <w:tc>
          <w:tcPr>
            <w:tcW w:w="650" w:type="dxa"/>
            <w:noWrap/>
            <w:vAlign w:val="center"/>
            <w:hideMark/>
          </w:tcPr>
          <w:p w14:paraId="5BDC68C0" w14:textId="77777777" w:rsidR="004F64EF" w:rsidRPr="003003C0" w:rsidRDefault="004F64EF" w:rsidP="00FD6B66">
            <w:pPr>
              <w:jc w:val="right"/>
              <w:rPr>
                <w:rFonts w:cs="Calibri"/>
                <w:bCs/>
                <w:color w:val="000000"/>
                <w:sz w:val="14"/>
                <w:szCs w:val="14"/>
              </w:rPr>
            </w:pPr>
            <w:r w:rsidRPr="003003C0">
              <w:rPr>
                <w:rFonts w:cs="Calibri"/>
                <w:bCs/>
                <w:color w:val="000000"/>
                <w:sz w:val="14"/>
                <w:szCs w:val="14"/>
              </w:rPr>
              <w:t>4</w:t>
            </w:r>
            <w:r>
              <w:rPr>
                <w:rFonts w:cs="Calibri"/>
                <w:bCs/>
                <w:color w:val="000000"/>
                <w:sz w:val="14"/>
                <w:szCs w:val="14"/>
              </w:rPr>
              <w:t>.</w:t>
            </w:r>
            <w:r w:rsidRPr="003003C0">
              <w:rPr>
                <w:rFonts w:cs="Calibri"/>
                <w:bCs/>
                <w:color w:val="000000"/>
                <w:sz w:val="14"/>
                <w:szCs w:val="14"/>
              </w:rPr>
              <w:t>4</w:t>
            </w:r>
          </w:p>
        </w:tc>
        <w:tc>
          <w:tcPr>
            <w:tcW w:w="650" w:type="dxa"/>
            <w:noWrap/>
            <w:vAlign w:val="center"/>
            <w:hideMark/>
          </w:tcPr>
          <w:p w14:paraId="31AB7A06" w14:textId="77777777" w:rsidR="004F64EF" w:rsidRPr="003003C0" w:rsidRDefault="004F64EF" w:rsidP="00FD6B66">
            <w:pPr>
              <w:jc w:val="right"/>
              <w:rPr>
                <w:rFonts w:cs="Calibri"/>
                <w:bCs/>
                <w:color w:val="000000"/>
                <w:sz w:val="14"/>
                <w:szCs w:val="14"/>
              </w:rPr>
            </w:pPr>
            <w:r w:rsidRPr="003003C0">
              <w:rPr>
                <w:rFonts w:cs="Calibri"/>
                <w:bCs/>
                <w:color w:val="000000"/>
                <w:sz w:val="14"/>
                <w:szCs w:val="14"/>
              </w:rPr>
              <w:t>5</w:t>
            </w:r>
            <w:r>
              <w:rPr>
                <w:rFonts w:cs="Calibri"/>
                <w:bCs/>
                <w:color w:val="000000"/>
                <w:sz w:val="14"/>
                <w:szCs w:val="14"/>
              </w:rPr>
              <w:t>.</w:t>
            </w:r>
            <w:r w:rsidRPr="003003C0">
              <w:rPr>
                <w:rFonts w:cs="Calibri"/>
                <w:bCs/>
                <w:color w:val="000000"/>
                <w:sz w:val="14"/>
                <w:szCs w:val="14"/>
              </w:rPr>
              <w:t>2</w:t>
            </w:r>
          </w:p>
        </w:tc>
        <w:tc>
          <w:tcPr>
            <w:tcW w:w="650" w:type="dxa"/>
            <w:noWrap/>
            <w:vAlign w:val="center"/>
            <w:hideMark/>
          </w:tcPr>
          <w:p w14:paraId="1A74FDB7" w14:textId="77777777" w:rsidR="004F64EF" w:rsidRPr="003003C0" w:rsidRDefault="004F64EF" w:rsidP="00FD6B66">
            <w:pPr>
              <w:jc w:val="right"/>
              <w:rPr>
                <w:rFonts w:cs="Calibri"/>
                <w:bCs/>
                <w:color w:val="000000"/>
                <w:sz w:val="14"/>
                <w:szCs w:val="14"/>
              </w:rPr>
            </w:pPr>
            <w:r w:rsidRPr="003003C0">
              <w:rPr>
                <w:rFonts w:cs="Calibri"/>
                <w:bCs/>
                <w:color w:val="000000"/>
                <w:sz w:val="14"/>
                <w:szCs w:val="14"/>
              </w:rPr>
              <w:t>5</w:t>
            </w:r>
            <w:r>
              <w:rPr>
                <w:rFonts w:cs="Calibri"/>
                <w:bCs/>
                <w:color w:val="000000"/>
                <w:sz w:val="14"/>
                <w:szCs w:val="14"/>
              </w:rPr>
              <w:t>.</w:t>
            </w:r>
            <w:r w:rsidRPr="003003C0">
              <w:rPr>
                <w:rFonts w:cs="Calibri"/>
                <w:bCs/>
                <w:color w:val="000000"/>
                <w:sz w:val="14"/>
                <w:szCs w:val="14"/>
              </w:rPr>
              <w:t>6</w:t>
            </w:r>
          </w:p>
        </w:tc>
      </w:tr>
      <w:tr w:rsidR="004F64EF" w:rsidRPr="003003C0" w14:paraId="0BA5AD0E" w14:textId="77777777" w:rsidTr="00FD6B66">
        <w:trPr>
          <w:cnfStyle w:val="000000010000" w:firstRow="0" w:lastRow="0" w:firstColumn="0" w:lastColumn="0" w:oddVBand="0" w:evenVBand="0" w:oddHBand="0" w:evenHBand="1" w:firstRowFirstColumn="0" w:firstRowLastColumn="0" w:lastRowFirstColumn="0" w:lastRowLastColumn="0"/>
          <w:trHeight w:val="20"/>
        </w:trPr>
        <w:tc>
          <w:tcPr>
            <w:tcW w:w="4478" w:type="dxa"/>
            <w:noWrap/>
            <w:vAlign w:val="center"/>
            <w:hideMark/>
          </w:tcPr>
          <w:p w14:paraId="583E4B6E" w14:textId="77777777" w:rsidR="004F64EF" w:rsidRPr="003003C0" w:rsidRDefault="004F64EF" w:rsidP="00A839D1">
            <w:pPr>
              <w:tabs>
                <w:tab w:val="left" w:pos="227"/>
              </w:tabs>
              <w:ind w:left="227" w:hanging="227"/>
              <w:jc w:val="left"/>
              <w:rPr>
                <w:rFonts w:cs="Calibri"/>
                <w:bCs/>
                <w:color w:val="000000"/>
                <w:sz w:val="14"/>
                <w:szCs w:val="14"/>
              </w:rPr>
            </w:pPr>
            <w:r w:rsidRPr="003003C0">
              <w:rPr>
                <w:rFonts w:cs="Calibri"/>
                <w:bCs/>
                <w:color w:val="000000"/>
                <w:sz w:val="14"/>
                <w:szCs w:val="14"/>
              </w:rPr>
              <w:tab/>
              <w:t xml:space="preserve">48. </w:t>
            </w:r>
            <w:r w:rsidRPr="00077504">
              <w:rPr>
                <w:rFonts w:cs="Calibri"/>
                <w:bCs/>
                <w:color w:val="000000"/>
                <w:sz w:val="14"/>
                <w:szCs w:val="14"/>
              </w:rPr>
              <w:t>Paper and paperboard; articles of paper pulp, of paper or of paperboard</w:t>
            </w:r>
          </w:p>
        </w:tc>
        <w:tc>
          <w:tcPr>
            <w:tcW w:w="650" w:type="dxa"/>
            <w:noWrap/>
            <w:vAlign w:val="center"/>
            <w:hideMark/>
          </w:tcPr>
          <w:p w14:paraId="68E096BF" w14:textId="77777777" w:rsidR="004F64EF" w:rsidRPr="003003C0" w:rsidRDefault="004F64EF" w:rsidP="00FD6B66">
            <w:pPr>
              <w:jc w:val="right"/>
              <w:rPr>
                <w:rFonts w:cs="Calibri"/>
                <w:bCs/>
                <w:color w:val="000000"/>
                <w:sz w:val="14"/>
                <w:szCs w:val="14"/>
              </w:rPr>
            </w:pPr>
            <w:r w:rsidRPr="003003C0">
              <w:rPr>
                <w:rFonts w:cs="Calibri"/>
                <w:bCs/>
                <w:color w:val="000000"/>
                <w:sz w:val="14"/>
                <w:szCs w:val="14"/>
              </w:rPr>
              <w:t>4</w:t>
            </w:r>
            <w:r>
              <w:rPr>
                <w:rFonts w:cs="Calibri"/>
                <w:bCs/>
                <w:color w:val="000000"/>
                <w:sz w:val="14"/>
                <w:szCs w:val="14"/>
              </w:rPr>
              <w:t>.</w:t>
            </w:r>
            <w:r w:rsidRPr="003003C0">
              <w:rPr>
                <w:rFonts w:cs="Calibri"/>
                <w:bCs/>
                <w:color w:val="000000"/>
                <w:sz w:val="14"/>
                <w:szCs w:val="14"/>
              </w:rPr>
              <w:t>2</w:t>
            </w:r>
          </w:p>
        </w:tc>
        <w:tc>
          <w:tcPr>
            <w:tcW w:w="650" w:type="dxa"/>
            <w:noWrap/>
            <w:vAlign w:val="center"/>
            <w:hideMark/>
          </w:tcPr>
          <w:p w14:paraId="0B040AC9" w14:textId="77777777" w:rsidR="004F64EF" w:rsidRPr="003003C0" w:rsidRDefault="004F64EF" w:rsidP="00FD6B66">
            <w:pPr>
              <w:jc w:val="right"/>
              <w:rPr>
                <w:rFonts w:cs="Calibri"/>
                <w:bCs/>
                <w:color w:val="000000"/>
                <w:sz w:val="14"/>
                <w:szCs w:val="14"/>
              </w:rPr>
            </w:pPr>
            <w:r w:rsidRPr="003003C0">
              <w:rPr>
                <w:rFonts w:cs="Calibri"/>
                <w:bCs/>
                <w:color w:val="000000"/>
                <w:sz w:val="14"/>
                <w:szCs w:val="14"/>
              </w:rPr>
              <w:t>4</w:t>
            </w:r>
            <w:r>
              <w:rPr>
                <w:rFonts w:cs="Calibri"/>
                <w:bCs/>
                <w:color w:val="000000"/>
                <w:sz w:val="14"/>
                <w:szCs w:val="14"/>
              </w:rPr>
              <w:t>.</w:t>
            </w:r>
            <w:r w:rsidRPr="003003C0">
              <w:rPr>
                <w:rFonts w:cs="Calibri"/>
                <w:bCs/>
                <w:color w:val="000000"/>
                <w:sz w:val="14"/>
                <w:szCs w:val="14"/>
              </w:rPr>
              <w:t>0</w:t>
            </w:r>
          </w:p>
        </w:tc>
        <w:tc>
          <w:tcPr>
            <w:tcW w:w="650" w:type="dxa"/>
            <w:noWrap/>
            <w:vAlign w:val="center"/>
            <w:hideMark/>
          </w:tcPr>
          <w:p w14:paraId="351E7BFD" w14:textId="77777777" w:rsidR="004F64EF" w:rsidRPr="003003C0" w:rsidRDefault="004F64EF" w:rsidP="00FD6B66">
            <w:pPr>
              <w:jc w:val="right"/>
              <w:rPr>
                <w:rFonts w:cs="Calibri"/>
                <w:bCs/>
                <w:color w:val="000000"/>
                <w:sz w:val="14"/>
                <w:szCs w:val="14"/>
              </w:rPr>
            </w:pPr>
            <w:r w:rsidRPr="003003C0">
              <w:rPr>
                <w:rFonts w:cs="Calibri"/>
                <w:bCs/>
                <w:color w:val="000000"/>
                <w:sz w:val="14"/>
                <w:szCs w:val="14"/>
              </w:rPr>
              <w:t>4</w:t>
            </w:r>
            <w:r>
              <w:rPr>
                <w:rFonts w:cs="Calibri"/>
                <w:bCs/>
                <w:color w:val="000000"/>
                <w:sz w:val="14"/>
                <w:szCs w:val="14"/>
              </w:rPr>
              <w:t>.</w:t>
            </w:r>
            <w:r w:rsidRPr="003003C0">
              <w:rPr>
                <w:rFonts w:cs="Calibri"/>
                <w:bCs/>
                <w:color w:val="000000"/>
                <w:sz w:val="14"/>
                <w:szCs w:val="14"/>
              </w:rPr>
              <w:t>3</w:t>
            </w:r>
          </w:p>
        </w:tc>
        <w:tc>
          <w:tcPr>
            <w:tcW w:w="650" w:type="dxa"/>
            <w:noWrap/>
            <w:vAlign w:val="center"/>
            <w:hideMark/>
          </w:tcPr>
          <w:p w14:paraId="6D8770E0" w14:textId="77777777" w:rsidR="004F64EF" w:rsidRPr="003003C0" w:rsidRDefault="004F64EF" w:rsidP="00FD6B66">
            <w:pPr>
              <w:jc w:val="right"/>
              <w:rPr>
                <w:rFonts w:cs="Calibri"/>
                <w:bCs/>
                <w:color w:val="000000"/>
                <w:sz w:val="14"/>
                <w:szCs w:val="14"/>
              </w:rPr>
            </w:pPr>
            <w:r w:rsidRPr="003003C0">
              <w:rPr>
                <w:rFonts w:cs="Calibri"/>
                <w:bCs/>
                <w:color w:val="000000"/>
                <w:sz w:val="14"/>
                <w:szCs w:val="14"/>
              </w:rPr>
              <w:t>4</w:t>
            </w:r>
            <w:r>
              <w:rPr>
                <w:rFonts w:cs="Calibri"/>
                <w:bCs/>
                <w:color w:val="000000"/>
                <w:sz w:val="14"/>
                <w:szCs w:val="14"/>
              </w:rPr>
              <w:t>.</w:t>
            </w:r>
            <w:r w:rsidRPr="003003C0">
              <w:rPr>
                <w:rFonts w:cs="Calibri"/>
                <w:bCs/>
                <w:color w:val="000000"/>
                <w:sz w:val="14"/>
                <w:szCs w:val="14"/>
              </w:rPr>
              <w:t>4</w:t>
            </w:r>
          </w:p>
        </w:tc>
        <w:tc>
          <w:tcPr>
            <w:tcW w:w="650" w:type="dxa"/>
            <w:noWrap/>
            <w:vAlign w:val="center"/>
            <w:hideMark/>
          </w:tcPr>
          <w:p w14:paraId="000224A9" w14:textId="77777777" w:rsidR="004F64EF" w:rsidRPr="003003C0" w:rsidRDefault="004F64EF" w:rsidP="00FD6B66">
            <w:pPr>
              <w:jc w:val="right"/>
              <w:rPr>
                <w:rFonts w:cs="Calibri"/>
                <w:bCs/>
                <w:color w:val="000000"/>
                <w:sz w:val="14"/>
                <w:szCs w:val="14"/>
              </w:rPr>
            </w:pPr>
            <w:r w:rsidRPr="003003C0">
              <w:rPr>
                <w:rFonts w:cs="Calibri"/>
                <w:bCs/>
                <w:color w:val="000000"/>
                <w:sz w:val="14"/>
                <w:szCs w:val="14"/>
              </w:rPr>
              <w:t>4</w:t>
            </w:r>
            <w:r>
              <w:rPr>
                <w:rFonts w:cs="Calibri"/>
                <w:bCs/>
                <w:color w:val="000000"/>
                <w:sz w:val="14"/>
                <w:szCs w:val="14"/>
              </w:rPr>
              <w:t>.</w:t>
            </w:r>
            <w:r w:rsidRPr="003003C0">
              <w:rPr>
                <w:rFonts w:cs="Calibri"/>
                <w:bCs/>
                <w:color w:val="000000"/>
                <w:sz w:val="14"/>
                <w:szCs w:val="14"/>
              </w:rPr>
              <w:t>3</w:t>
            </w:r>
          </w:p>
        </w:tc>
        <w:tc>
          <w:tcPr>
            <w:tcW w:w="650" w:type="dxa"/>
            <w:noWrap/>
            <w:vAlign w:val="center"/>
            <w:hideMark/>
          </w:tcPr>
          <w:p w14:paraId="6D450E6E" w14:textId="77777777" w:rsidR="004F64EF" w:rsidRPr="003003C0" w:rsidRDefault="004F64EF" w:rsidP="00FD6B66">
            <w:pPr>
              <w:jc w:val="right"/>
              <w:rPr>
                <w:rFonts w:cs="Calibri"/>
                <w:bCs/>
                <w:color w:val="000000"/>
                <w:sz w:val="14"/>
                <w:szCs w:val="14"/>
              </w:rPr>
            </w:pPr>
            <w:r w:rsidRPr="003003C0">
              <w:rPr>
                <w:rFonts w:cs="Calibri"/>
                <w:bCs/>
                <w:color w:val="000000"/>
                <w:sz w:val="14"/>
                <w:szCs w:val="14"/>
              </w:rPr>
              <w:t>5</w:t>
            </w:r>
            <w:r>
              <w:rPr>
                <w:rFonts w:cs="Calibri"/>
                <w:bCs/>
                <w:color w:val="000000"/>
                <w:sz w:val="14"/>
                <w:szCs w:val="14"/>
              </w:rPr>
              <w:t>.</w:t>
            </w:r>
            <w:r w:rsidRPr="003003C0">
              <w:rPr>
                <w:rFonts w:cs="Calibri"/>
                <w:bCs/>
                <w:color w:val="000000"/>
                <w:sz w:val="14"/>
                <w:szCs w:val="14"/>
              </w:rPr>
              <w:t>0</w:t>
            </w:r>
          </w:p>
        </w:tc>
        <w:tc>
          <w:tcPr>
            <w:tcW w:w="650" w:type="dxa"/>
            <w:noWrap/>
            <w:vAlign w:val="center"/>
            <w:hideMark/>
          </w:tcPr>
          <w:p w14:paraId="0D478428" w14:textId="77777777" w:rsidR="004F64EF" w:rsidRPr="003003C0" w:rsidRDefault="004F64EF" w:rsidP="00FD6B66">
            <w:pPr>
              <w:jc w:val="right"/>
              <w:rPr>
                <w:rFonts w:cs="Calibri"/>
                <w:bCs/>
                <w:color w:val="000000"/>
                <w:sz w:val="14"/>
                <w:szCs w:val="14"/>
              </w:rPr>
            </w:pPr>
            <w:r w:rsidRPr="003003C0">
              <w:rPr>
                <w:rFonts w:cs="Calibri"/>
                <w:bCs/>
                <w:color w:val="000000"/>
                <w:sz w:val="14"/>
                <w:szCs w:val="14"/>
              </w:rPr>
              <w:t>5</w:t>
            </w:r>
            <w:r>
              <w:rPr>
                <w:rFonts w:cs="Calibri"/>
                <w:bCs/>
                <w:color w:val="000000"/>
                <w:sz w:val="14"/>
                <w:szCs w:val="14"/>
              </w:rPr>
              <w:t>.</w:t>
            </w:r>
            <w:r w:rsidRPr="003003C0">
              <w:rPr>
                <w:rFonts w:cs="Calibri"/>
                <w:bCs/>
                <w:color w:val="000000"/>
                <w:sz w:val="14"/>
                <w:szCs w:val="14"/>
              </w:rPr>
              <w:t>4</w:t>
            </w:r>
          </w:p>
        </w:tc>
      </w:tr>
      <w:tr w:rsidR="004F64EF" w:rsidRPr="003003C0" w14:paraId="73F4485D" w14:textId="77777777" w:rsidTr="00FD6B66">
        <w:trPr>
          <w:trHeight w:val="20"/>
        </w:trPr>
        <w:tc>
          <w:tcPr>
            <w:tcW w:w="4478" w:type="dxa"/>
            <w:noWrap/>
            <w:vAlign w:val="center"/>
            <w:hideMark/>
          </w:tcPr>
          <w:p w14:paraId="6DECA03D" w14:textId="77777777" w:rsidR="004F64EF" w:rsidRPr="003003C0" w:rsidRDefault="004F64EF" w:rsidP="00FD6B66">
            <w:pPr>
              <w:tabs>
                <w:tab w:val="left" w:pos="227"/>
              </w:tabs>
              <w:jc w:val="left"/>
              <w:rPr>
                <w:rFonts w:cs="Calibri"/>
                <w:bCs/>
                <w:color w:val="000000"/>
                <w:sz w:val="14"/>
                <w:szCs w:val="14"/>
              </w:rPr>
            </w:pPr>
            <w:r w:rsidRPr="003003C0">
              <w:rPr>
                <w:rFonts w:cs="Calibri"/>
                <w:bCs/>
                <w:color w:val="000000"/>
                <w:sz w:val="14"/>
                <w:szCs w:val="14"/>
              </w:rPr>
              <w:tab/>
              <w:t xml:space="preserve">49. </w:t>
            </w:r>
            <w:r w:rsidRPr="00077504">
              <w:rPr>
                <w:rFonts w:cs="Calibri"/>
                <w:bCs/>
                <w:color w:val="000000"/>
                <w:sz w:val="14"/>
                <w:szCs w:val="14"/>
              </w:rPr>
              <w:t>Printed books, newspapers, pictures; manuscripts</w:t>
            </w:r>
          </w:p>
        </w:tc>
        <w:tc>
          <w:tcPr>
            <w:tcW w:w="650" w:type="dxa"/>
            <w:noWrap/>
            <w:vAlign w:val="center"/>
            <w:hideMark/>
          </w:tcPr>
          <w:p w14:paraId="29CC402B" w14:textId="77777777" w:rsidR="004F64EF" w:rsidRPr="003003C0" w:rsidRDefault="004F64EF" w:rsidP="00FD6B66">
            <w:pPr>
              <w:jc w:val="right"/>
              <w:rPr>
                <w:rFonts w:cs="Calibri"/>
                <w:bCs/>
                <w:color w:val="000000"/>
                <w:sz w:val="14"/>
                <w:szCs w:val="14"/>
              </w:rPr>
            </w:pPr>
            <w:r w:rsidRPr="003003C0">
              <w:rPr>
                <w:rFonts w:cs="Calibri"/>
                <w:bCs/>
                <w:color w:val="000000"/>
                <w:sz w:val="14"/>
                <w:szCs w:val="14"/>
              </w:rPr>
              <w:t>0</w:t>
            </w:r>
            <w:r>
              <w:rPr>
                <w:rFonts w:cs="Calibri"/>
                <w:bCs/>
                <w:color w:val="000000"/>
                <w:sz w:val="14"/>
                <w:szCs w:val="14"/>
              </w:rPr>
              <w:t>.</w:t>
            </w:r>
            <w:r w:rsidRPr="003003C0">
              <w:rPr>
                <w:rFonts w:cs="Calibri"/>
                <w:bCs/>
                <w:color w:val="000000"/>
                <w:sz w:val="14"/>
                <w:szCs w:val="14"/>
              </w:rPr>
              <w:t>2</w:t>
            </w:r>
          </w:p>
        </w:tc>
        <w:tc>
          <w:tcPr>
            <w:tcW w:w="650" w:type="dxa"/>
            <w:noWrap/>
            <w:vAlign w:val="center"/>
            <w:hideMark/>
          </w:tcPr>
          <w:p w14:paraId="1BC67CC7" w14:textId="77777777" w:rsidR="004F64EF" w:rsidRPr="003003C0" w:rsidRDefault="004F64EF" w:rsidP="00FD6B66">
            <w:pPr>
              <w:jc w:val="right"/>
              <w:rPr>
                <w:rFonts w:cs="Calibri"/>
                <w:bCs/>
                <w:color w:val="000000"/>
                <w:sz w:val="14"/>
                <w:szCs w:val="14"/>
              </w:rPr>
            </w:pPr>
            <w:r w:rsidRPr="003003C0">
              <w:rPr>
                <w:rFonts w:cs="Calibri"/>
                <w:bCs/>
                <w:color w:val="000000"/>
                <w:sz w:val="14"/>
                <w:szCs w:val="14"/>
              </w:rPr>
              <w:t>0</w:t>
            </w:r>
            <w:r>
              <w:rPr>
                <w:rFonts w:cs="Calibri"/>
                <w:bCs/>
                <w:color w:val="000000"/>
                <w:sz w:val="14"/>
                <w:szCs w:val="14"/>
              </w:rPr>
              <w:t>.</w:t>
            </w:r>
            <w:r w:rsidRPr="003003C0">
              <w:rPr>
                <w:rFonts w:cs="Calibri"/>
                <w:bCs/>
                <w:color w:val="000000"/>
                <w:sz w:val="14"/>
                <w:szCs w:val="14"/>
              </w:rPr>
              <w:t>2</w:t>
            </w:r>
          </w:p>
        </w:tc>
        <w:tc>
          <w:tcPr>
            <w:tcW w:w="650" w:type="dxa"/>
            <w:noWrap/>
            <w:vAlign w:val="center"/>
            <w:hideMark/>
          </w:tcPr>
          <w:p w14:paraId="28AD98E3" w14:textId="77777777" w:rsidR="004F64EF" w:rsidRPr="003003C0" w:rsidRDefault="004F64EF" w:rsidP="00FD6B66">
            <w:pPr>
              <w:jc w:val="right"/>
              <w:rPr>
                <w:rFonts w:cs="Calibri"/>
                <w:bCs/>
                <w:color w:val="000000"/>
                <w:sz w:val="14"/>
                <w:szCs w:val="14"/>
              </w:rPr>
            </w:pPr>
            <w:r w:rsidRPr="003003C0">
              <w:rPr>
                <w:rFonts w:cs="Calibri"/>
                <w:bCs/>
                <w:color w:val="000000"/>
                <w:sz w:val="14"/>
                <w:szCs w:val="14"/>
              </w:rPr>
              <w:t>0</w:t>
            </w:r>
            <w:r>
              <w:rPr>
                <w:rFonts w:cs="Calibri"/>
                <w:bCs/>
                <w:color w:val="000000"/>
                <w:sz w:val="14"/>
                <w:szCs w:val="14"/>
              </w:rPr>
              <w:t>.</w:t>
            </w:r>
            <w:r w:rsidRPr="003003C0">
              <w:rPr>
                <w:rFonts w:cs="Calibri"/>
                <w:bCs/>
                <w:color w:val="000000"/>
                <w:sz w:val="14"/>
                <w:szCs w:val="14"/>
              </w:rPr>
              <w:t>1</w:t>
            </w:r>
          </w:p>
        </w:tc>
        <w:tc>
          <w:tcPr>
            <w:tcW w:w="650" w:type="dxa"/>
            <w:noWrap/>
            <w:vAlign w:val="center"/>
            <w:hideMark/>
          </w:tcPr>
          <w:p w14:paraId="26CF17F4" w14:textId="77777777" w:rsidR="004F64EF" w:rsidRPr="003003C0" w:rsidRDefault="004F64EF" w:rsidP="00FD6B66">
            <w:pPr>
              <w:jc w:val="right"/>
              <w:rPr>
                <w:rFonts w:cs="Calibri"/>
                <w:bCs/>
                <w:color w:val="000000"/>
                <w:sz w:val="14"/>
                <w:szCs w:val="14"/>
              </w:rPr>
            </w:pPr>
            <w:r w:rsidRPr="003003C0">
              <w:rPr>
                <w:rFonts w:cs="Calibri"/>
                <w:bCs/>
                <w:color w:val="000000"/>
                <w:sz w:val="14"/>
                <w:szCs w:val="14"/>
              </w:rPr>
              <w:t>0</w:t>
            </w:r>
            <w:r>
              <w:rPr>
                <w:rFonts w:cs="Calibri"/>
                <w:bCs/>
                <w:color w:val="000000"/>
                <w:sz w:val="14"/>
                <w:szCs w:val="14"/>
              </w:rPr>
              <w:t>.</w:t>
            </w:r>
            <w:r w:rsidRPr="003003C0">
              <w:rPr>
                <w:rFonts w:cs="Calibri"/>
                <w:bCs/>
                <w:color w:val="000000"/>
                <w:sz w:val="14"/>
                <w:szCs w:val="14"/>
              </w:rPr>
              <w:t>2</w:t>
            </w:r>
          </w:p>
        </w:tc>
        <w:tc>
          <w:tcPr>
            <w:tcW w:w="650" w:type="dxa"/>
            <w:noWrap/>
            <w:vAlign w:val="center"/>
            <w:hideMark/>
          </w:tcPr>
          <w:p w14:paraId="71D6BD29" w14:textId="77777777" w:rsidR="004F64EF" w:rsidRPr="003003C0" w:rsidRDefault="004F64EF" w:rsidP="00FD6B66">
            <w:pPr>
              <w:jc w:val="right"/>
              <w:rPr>
                <w:rFonts w:cs="Calibri"/>
                <w:bCs/>
                <w:color w:val="000000"/>
                <w:sz w:val="14"/>
                <w:szCs w:val="14"/>
              </w:rPr>
            </w:pPr>
            <w:r w:rsidRPr="003003C0">
              <w:rPr>
                <w:rFonts w:cs="Calibri"/>
                <w:bCs/>
                <w:color w:val="000000"/>
                <w:sz w:val="14"/>
                <w:szCs w:val="14"/>
              </w:rPr>
              <w:t>0</w:t>
            </w:r>
            <w:r>
              <w:rPr>
                <w:rFonts w:cs="Calibri"/>
                <w:bCs/>
                <w:color w:val="000000"/>
                <w:sz w:val="14"/>
                <w:szCs w:val="14"/>
              </w:rPr>
              <w:t>.</w:t>
            </w:r>
            <w:r w:rsidRPr="003003C0">
              <w:rPr>
                <w:rFonts w:cs="Calibri"/>
                <w:bCs/>
                <w:color w:val="000000"/>
                <w:sz w:val="14"/>
                <w:szCs w:val="14"/>
              </w:rPr>
              <w:t>1</w:t>
            </w:r>
          </w:p>
        </w:tc>
        <w:tc>
          <w:tcPr>
            <w:tcW w:w="650" w:type="dxa"/>
            <w:noWrap/>
            <w:vAlign w:val="center"/>
            <w:hideMark/>
          </w:tcPr>
          <w:p w14:paraId="5623BFB6" w14:textId="77777777" w:rsidR="004F64EF" w:rsidRPr="003003C0" w:rsidRDefault="004F64EF" w:rsidP="00FD6B66">
            <w:pPr>
              <w:jc w:val="right"/>
              <w:rPr>
                <w:rFonts w:cs="Calibri"/>
                <w:bCs/>
                <w:color w:val="000000"/>
                <w:sz w:val="14"/>
                <w:szCs w:val="14"/>
              </w:rPr>
            </w:pPr>
            <w:r w:rsidRPr="003003C0">
              <w:rPr>
                <w:rFonts w:cs="Calibri"/>
                <w:bCs/>
                <w:color w:val="000000"/>
                <w:sz w:val="14"/>
                <w:szCs w:val="14"/>
              </w:rPr>
              <w:t>0</w:t>
            </w:r>
            <w:r>
              <w:rPr>
                <w:rFonts w:cs="Calibri"/>
                <w:bCs/>
                <w:color w:val="000000"/>
                <w:sz w:val="14"/>
                <w:szCs w:val="14"/>
              </w:rPr>
              <w:t>.</w:t>
            </w:r>
            <w:r w:rsidRPr="003003C0">
              <w:rPr>
                <w:rFonts w:cs="Calibri"/>
                <w:bCs/>
                <w:color w:val="000000"/>
                <w:sz w:val="14"/>
                <w:szCs w:val="14"/>
              </w:rPr>
              <w:t>2</w:t>
            </w:r>
          </w:p>
        </w:tc>
        <w:tc>
          <w:tcPr>
            <w:tcW w:w="650" w:type="dxa"/>
            <w:noWrap/>
            <w:vAlign w:val="center"/>
            <w:hideMark/>
          </w:tcPr>
          <w:p w14:paraId="347E7FA9" w14:textId="77777777" w:rsidR="004F64EF" w:rsidRPr="003003C0" w:rsidRDefault="004F64EF" w:rsidP="00FD6B66">
            <w:pPr>
              <w:jc w:val="right"/>
              <w:rPr>
                <w:rFonts w:cs="Calibri"/>
                <w:bCs/>
                <w:color w:val="000000"/>
                <w:sz w:val="14"/>
                <w:szCs w:val="14"/>
              </w:rPr>
            </w:pPr>
            <w:r w:rsidRPr="003003C0">
              <w:rPr>
                <w:rFonts w:cs="Calibri"/>
                <w:bCs/>
                <w:color w:val="000000"/>
                <w:sz w:val="14"/>
                <w:szCs w:val="14"/>
              </w:rPr>
              <w:t>0</w:t>
            </w:r>
            <w:r>
              <w:rPr>
                <w:rFonts w:cs="Calibri"/>
                <w:bCs/>
                <w:color w:val="000000"/>
                <w:sz w:val="14"/>
                <w:szCs w:val="14"/>
              </w:rPr>
              <w:t>.</w:t>
            </w:r>
            <w:r w:rsidRPr="003003C0">
              <w:rPr>
                <w:rFonts w:cs="Calibri"/>
                <w:bCs/>
                <w:color w:val="000000"/>
                <w:sz w:val="14"/>
                <w:szCs w:val="14"/>
              </w:rPr>
              <w:t>2</w:t>
            </w:r>
          </w:p>
        </w:tc>
      </w:tr>
      <w:tr w:rsidR="004F64EF" w:rsidRPr="003003C0" w14:paraId="689EB122" w14:textId="77777777" w:rsidTr="00FD6B66">
        <w:trPr>
          <w:cnfStyle w:val="000000010000" w:firstRow="0" w:lastRow="0" w:firstColumn="0" w:lastColumn="0" w:oddVBand="0" w:evenVBand="0" w:oddHBand="0" w:evenHBand="1" w:firstRowFirstColumn="0" w:firstRowLastColumn="0" w:lastRowFirstColumn="0" w:lastRowLastColumn="0"/>
          <w:trHeight w:val="20"/>
        </w:trPr>
        <w:tc>
          <w:tcPr>
            <w:tcW w:w="4478" w:type="dxa"/>
            <w:noWrap/>
            <w:vAlign w:val="center"/>
            <w:hideMark/>
          </w:tcPr>
          <w:p w14:paraId="7D890D0B" w14:textId="77777777" w:rsidR="004F64EF" w:rsidRPr="003003C0" w:rsidRDefault="004F64EF" w:rsidP="00FD6B66">
            <w:pPr>
              <w:jc w:val="left"/>
              <w:rPr>
                <w:rFonts w:cs="Calibri"/>
                <w:bCs/>
                <w:color w:val="000000"/>
                <w:sz w:val="14"/>
                <w:szCs w:val="14"/>
              </w:rPr>
            </w:pPr>
            <w:r w:rsidRPr="003003C0">
              <w:rPr>
                <w:rFonts w:cs="Calibri"/>
                <w:bCs/>
                <w:color w:val="000000"/>
                <w:sz w:val="14"/>
                <w:szCs w:val="14"/>
              </w:rPr>
              <w:t xml:space="preserve">11 - </w:t>
            </w:r>
            <w:r w:rsidRPr="00D60595">
              <w:rPr>
                <w:rFonts w:cs="Calibri"/>
                <w:bCs/>
                <w:color w:val="000000"/>
                <w:sz w:val="14"/>
                <w:szCs w:val="14"/>
              </w:rPr>
              <w:t>Textiles and textile articles</w:t>
            </w:r>
          </w:p>
        </w:tc>
        <w:tc>
          <w:tcPr>
            <w:tcW w:w="650" w:type="dxa"/>
            <w:noWrap/>
            <w:vAlign w:val="center"/>
            <w:hideMark/>
          </w:tcPr>
          <w:p w14:paraId="0DC6698B" w14:textId="77777777" w:rsidR="004F64EF" w:rsidRPr="003003C0" w:rsidRDefault="004F64EF" w:rsidP="00FD6B66">
            <w:pPr>
              <w:jc w:val="right"/>
              <w:rPr>
                <w:rFonts w:cs="Calibri"/>
                <w:bCs/>
                <w:color w:val="000000"/>
                <w:sz w:val="14"/>
                <w:szCs w:val="14"/>
              </w:rPr>
            </w:pPr>
            <w:r w:rsidRPr="003003C0">
              <w:rPr>
                <w:rFonts w:cs="Calibri"/>
                <w:bCs/>
                <w:color w:val="000000"/>
                <w:sz w:val="14"/>
                <w:szCs w:val="14"/>
              </w:rPr>
              <w:t>25</w:t>
            </w:r>
            <w:r>
              <w:rPr>
                <w:rFonts w:cs="Calibri"/>
                <w:bCs/>
                <w:color w:val="000000"/>
                <w:sz w:val="14"/>
                <w:szCs w:val="14"/>
              </w:rPr>
              <w:t>.</w:t>
            </w:r>
            <w:r w:rsidRPr="003003C0">
              <w:rPr>
                <w:rFonts w:cs="Calibri"/>
                <w:bCs/>
                <w:color w:val="000000"/>
                <w:sz w:val="14"/>
                <w:szCs w:val="14"/>
              </w:rPr>
              <w:t>1</w:t>
            </w:r>
          </w:p>
        </w:tc>
        <w:tc>
          <w:tcPr>
            <w:tcW w:w="650" w:type="dxa"/>
            <w:noWrap/>
            <w:vAlign w:val="center"/>
            <w:hideMark/>
          </w:tcPr>
          <w:p w14:paraId="0FCBA76E" w14:textId="77777777" w:rsidR="004F64EF" w:rsidRPr="003003C0" w:rsidRDefault="004F64EF" w:rsidP="00FD6B66">
            <w:pPr>
              <w:jc w:val="right"/>
              <w:rPr>
                <w:rFonts w:cs="Calibri"/>
                <w:bCs/>
                <w:color w:val="000000"/>
                <w:sz w:val="14"/>
                <w:szCs w:val="14"/>
              </w:rPr>
            </w:pPr>
            <w:r w:rsidRPr="003003C0">
              <w:rPr>
                <w:rFonts w:cs="Calibri"/>
                <w:bCs/>
                <w:color w:val="000000"/>
                <w:sz w:val="14"/>
                <w:szCs w:val="14"/>
              </w:rPr>
              <w:t>20</w:t>
            </w:r>
            <w:r>
              <w:rPr>
                <w:rFonts w:cs="Calibri"/>
                <w:bCs/>
                <w:color w:val="000000"/>
                <w:sz w:val="14"/>
                <w:szCs w:val="14"/>
              </w:rPr>
              <w:t>.</w:t>
            </w:r>
            <w:r w:rsidRPr="003003C0">
              <w:rPr>
                <w:rFonts w:cs="Calibri"/>
                <w:bCs/>
                <w:color w:val="000000"/>
                <w:sz w:val="14"/>
                <w:szCs w:val="14"/>
              </w:rPr>
              <w:t>2</w:t>
            </w:r>
          </w:p>
        </w:tc>
        <w:tc>
          <w:tcPr>
            <w:tcW w:w="650" w:type="dxa"/>
            <w:noWrap/>
            <w:vAlign w:val="center"/>
            <w:hideMark/>
          </w:tcPr>
          <w:p w14:paraId="12E2E7B4" w14:textId="77777777" w:rsidR="004F64EF" w:rsidRPr="003003C0" w:rsidRDefault="004F64EF" w:rsidP="00FD6B66">
            <w:pPr>
              <w:jc w:val="right"/>
              <w:rPr>
                <w:rFonts w:cs="Calibri"/>
                <w:bCs/>
                <w:color w:val="000000"/>
                <w:sz w:val="14"/>
                <w:szCs w:val="14"/>
              </w:rPr>
            </w:pPr>
            <w:r w:rsidRPr="003003C0">
              <w:rPr>
                <w:rFonts w:cs="Calibri"/>
                <w:bCs/>
                <w:color w:val="000000"/>
                <w:sz w:val="14"/>
                <w:szCs w:val="14"/>
              </w:rPr>
              <w:t>18</w:t>
            </w:r>
            <w:r>
              <w:rPr>
                <w:rFonts w:cs="Calibri"/>
                <w:bCs/>
                <w:color w:val="000000"/>
                <w:sz w:val="14"/>
                <w:szCs w:val="14"/>
              </w:rPr>
              <w:t>.</w:t>
            </w:r>
            <w:r w:rsidRPr="003003C0">
              <w:rPr>
                <w:rFonts w:cs="Calibri"/>
                <w:bCs/>
                <w:color w:val="000000"/>
                <w:sz w:val="14"/>
                <w:szCs w:val="14"/>
              </w:rPr>
              <w:t>8</w:t>
            </w:r>
          </w:p>
        </w:tc>
        <w:tc>
          <w:tcPr>
            <w:tcW w:w="650" w:type="dxa"/>
            <w:noWrap/>
            <w:vAlign w:val="center"/>
            <w:hideMark/>
          </w:tcPr>
          <w:p w14:paraId="25DF9578" w14:textId="77777777" w:rsidR="004F64EF" w:rsidRPr="003003C0" w:rsidRDefault="004F64EF" w:rsidP="00FD6B66">
            <w:pPr>
              <w:jc w:val="right"/>
              <w:rPr>
                <w:rFonts w:cs="Calibri"/>
                <w:bCs/>
                <w:color w:val="000000"/>
                <w:sz w:val="14"/>
                <w:szCs w:val="14"/>
              </w:rPr>
            </w:pPr>
            <w:r w:rsidRPr="003003C0">
              <w:rPr>
                <w:rFonts w:cs="Calibri"/>
                <w:bCs/>
                <w:color w:val="000000"/>
                <w:sz w:val="14"/>
                <w:szCs w:val="14"/>
              </w:rPr>
              <w:t>18</w:t>
            </w:r>
            <w:r>
              <w:rPr>
                <w:rFonts w:cs="Calibri"/>
                <w:bCs/>
                <w:color w:val="000000"/>
                <w:sz w:val="14"/>
                <w:szCs w:val="14"/>
              </w:rPr>
              <w:t>.</w:t>
            </w:r>
            <w:r w:rsidRPr="003003C0">
              <w:rPr>
                <w:rFonts w:cs="Calibri"/>
                <w:bCs/>
                <w:color w:val="000000"/>
                <w:sz w:val="14"/>
                <w:szCs w:val="14"/>
              </w:rPr>
              <w:t>3</w:t>
            </w:r>
          </w:p>
        </w:tc>
        <w:tc>
          <w:tcPr>
            <w:tcW w:w="650" w:type="dxa"/>
            <w:noWrap/>
            <w:vAlign w:val="center"/>
            <w:hideMark/>
          </w:tcPr>
          <w:p w14:paraId="0D75F576" w14:textId="77777777" w:rsidR="004F64EF" w:rsidRPr="003003C0" w:rsidRDefault="004F64EF" w:rsidP="00FD6B66">
            <w:pPr>
              <w:jc w:val="right"/>
              <w:rPr>
                <w:rFonts w:cs="Calibri"/>
                <w:bCs/>
                <w:color w:val="000000"/>
                <w:sz w:val="14"/>
                <w:szCs w:val="14"/>
              </w:rPr>
            </w:pPr>
            <w:r w:rsidRPr="003003C0">
              <w:rPr>
                <w:rFonts w:cs="Calibri"/>
                <w:bCs/>
                <w:color w:val="000000"/>
                <w:sz w:val="14"/>
                <w:szCs w:val="14"/>
              </w:rPr>
              <w:t>16</w:t>
            </w:r>
            <w:r>
              <w:rPr>
                <w:rFonts w:cs="Calibri"/>
                <w:bCs/>
                <w:color w:val="000000"/>
                <w:sz w:val="14"/>
                <w:szCs w:val="14"/>
              </w:rPr>
              <w:t>.</w:t>
            </w:r>
            <w:r w:rsidRPr="003003C0">
              <w:rPr>
                <w:rFonts w:cs="Calibri"/>
                <w:bCs/>
                <w:color w:val="000000"/>
                <w:sz w:val="14"/>
                <w:szCs w:val="14"/>
              </w:rPr>
              <w:t>2</w:t>
            </w:r>
          </w:p>
        </w:tc>
        <w:tc>
          <w:tcPr>
            <w:tcW w:w="650" w:type="dxa"/>
            <w:noWrap/>
            <w:vAlign w:val="center"/>
            <w:hideMark/>
          </w:tcPr>
          <w:p w14:paraId="015673AE" w14:textId="77777777" w:rsidR="004F64EF" w:rsidRPr="003003C0" w:rsidRDefault="004F64EF" w:rsidP="00FD6B66">
            <w:pPr>
              <w:jc w:val="right"/>
              <w:rPr>
                <w:rFonts w:cs="Calibri"/>
                <w:bCs/>
                <w:color w:val="000000"/>
                <w:sz w:val="14"/>
                <w:szCs w:val="14"/>
              </w:rPr>
            </w:pPr>
            <w:r w:rsidRPr="003003C0">
              <w:rPr>
                <w:rFonts w:cs="Calibri"/>
                <w:bCs/>
                <w:color w:val="000000"/>
                <w:sz w:val="14"/>
                <w:szCs w:val="14"/>
              </w:rPr>
              <w:t>12</w:t>
            </w:r>
            <w:r>
              <w:rPr>
                <w:rFonts w:cs="Calibri"/>
                <w:bCs/>
                <w:color w:val="000000"/>
                <w:sz w:val="14"/>
                <w:szCs w:val="14"/>
              </w:rPr>
              <w:t>.</w:t>
            </w:r>
            <w:r w:rsidRPr="003003C0">
              <w:rPr>
                <w:rFonts w:cs="Calibri"/>
                <w:bCs/>
                <w:color w:val="000000"/>
                <w:sz w:val="14"/>
                <w:szCs w:val="14"/>
              </w:rPr>
              <w:t>9</w:t>
            </w:r>
          </w:p>
        </w:tc>
        <w:tc>
          <w:tcPr>
            <w:tcW w:w="650" w:type="dxa"/>
            <w:noWrap/>
            <w:vAlign w:val="center"/>
            <w:hideMark/>
          </w:tcPr>
          <w:p w14:paraId="6CA09C72" w14:textId="77777777" w:rsidR="004F64EF" w:rsidRPr="003003C0" w:rsidRDefault="004F64EF" w:rsidP="00FD6B66">
            <w:pPr>
              <w:jc w:val="right"/>
              <w:rPr>
                <w:rFonts w:cs="Calibri"/>
                <w:bCs/>
                <w:color w:val="000000"/>
                <w:sz w:val="14"/>
                <w:szCs w:val="14"/>
              </w:rPr>
            </w:pPr>
            <w:r w:rsidRPr="003003C0">
              <w:rPr>
                <w:rFonts w:cs="Calibri"/>
                <w:bCs/>
                <w:color w:val="000000"/>
                <w:sz w:val="14"/>
                <w:szCs w:val="14"/>
              </w:rPr>
              <w:t>14</w:t>
            </w:r>
            <w:r>
              <w:rPr>
                <w:rFonts w:cs="Calibri"/>
                <w:bCs/>
                <w:color w:val="000000"/>
                <w:sz w:val="14"/>
                <w:szCs w:val="14"/>
              </w:rPr>
              <w:t>.</w:t>
            </w:r>
            <w:r w:rsidRPr="003003C0">
              <w:rPr>
                <w:rFonts w:cs="Calibri"/>
                <w:bCs/>
                <w:color w:val="000000"/>
                <w:sz w:val="14"/>
                <w:szCs w:val="14"/>
              </w:rPr>
              <w:t>2</w:t>
            </w:r>
          </w:p>
        </w:tc>
      </w:tr>
      <w:tr w:rsidR="004F64EF" w:rsidRPr="003003C0" w14:paraId="74A45BCD" w14:textId="77777777" w:rsidTr="00FD6B66">
        <w:trPr>
          <w:trHeight w:val="20"/>
        </w:trPr>
        <w:tc>
          <w:tcPr>
            <w:tcW w:w="4478" w:type="dxa"/>
            <w:noWrap/>
            <w:vAlign w:val="center"/>
            <w:hideMark/>
          </w:tcPr>
          <w:p w14:paraId="2AFE4423" w14:textId="77777777" w:rsidR="004F64EF" w:rsidRPr="003003C0" w:rsidRDefault="004F64EF" w:rsidP="00FD6B66">
            <w:pPr>
              <w:tabs>
                <w:tab w:val="left" w:pos="227"/>
              </w:tabs>
              <w:jc w:val="left"/>
              <w:rPr>
                <w:rFonts w:cs="Calibri"/>
                <w:bCs/>
                <w:color w:val="000000"/>
                <w:sz w:val="14"/>
                <w:szCs w:val="14"/>
              </w:rPr>
            </w:pPr>
            <w:r w:rsidRPr="003003C0">
              <w:rPr>
                <w:rFonts w:cs="Calibri"/>
                <w:bCs/>
                <w:color w:val="000000"/>
                <w:sz w:val="14"/>
                <w:szCs w:val="14"/>
              </w:rPr>
              <w:tab/>
              <w:t xml:space="preserve">52. </w:t>
            </w:r>
            <w:r>
              <w:rPr>
                <w:rFonts w:cs="Calibri"/>
                <w:bCs/>
                <w:color w:val="000000"/>
                <w:sz w:val="14"/>
                <w:szCs w:val="14"/>
              </w:rPr>
              <w:t>Cotton</w:t>
            </w:r>
          </w:p>
        </w:tc>
        <w:tc>
          <w:tcPr>
            <w:tcW w:w="650" w:type="dxa"/>
            <w:noWrap/>
            <w:vAlign w:val="center"/>
            <w:hideMark/>
          </w:tcPr>
          <w:p w14:paraId="7788C3EF" w14:textId="77777777" w:rsidR="004F64EF" w:rsidRPr="003003C0" w:rsidRDefault="004F64EF" w:rsidP="00FD6B66">
            <w:pPr>
              <w:jc w:val="right"/>
              <w:rPr>
                <w:rFonts w:cs="Calibri"/>
                <w:bCs/>
                <w:color w:val="000000"/>
                <w:sz w:val="14"/>
                <w:szCs w:val="14"/>
              </w:rPr>
            </w:pPr>
            <w:r w:rsidRPr="003003C0">
              <w:rPr>
                <w:rFonts w:cs="Calibri"/>
                <w:bCs/>
                <w:color w:val="000000"/>
                <w:sz w:val="14"/>
                <w:szCs w:val="14"/>
              </w:rPr>
              <w:t>12</w:t>
            </w:r>
            <w:r>
              <w:rPr>
                <w:rFonts w:cs="Calibri"/>
                <w:bCs/>
                <w:color w:val="000000"/>
                <w:sz w:val="14"/>
                <w:szCs w:val="14"/>
              </w:rPr>
              <w:t>.</w:t>
            </w:r>
            <w:r w:rsidRPr="003003C0">
              <w:rPr>
                <w:rFonts w:cs="Calibri"/>
                <w:bCs/>
                <w:color w:val="000000"/>
                <w:sz w:val="14"/>
                <w:szCs w:val="14"/>
              </w:rPr>
              <w:t>4</w:t>
            </w:r>
          </w:p>
        </w:tc>
        <w:tc>
          <w:tcPr>
            <w:tcW w:w="650" w:type="dxa"/>
            <w:noWrap/>
            <w:vAlign w:val="center"/>
            <w:hideMark/>
          </w:tcPr>
          <w:p w14:paraId="54D1A421" w14:textId="77777777" w:rsidR="004F64EF" w:rsidRPr="003003C0" w:rsidRDefault="004F64EF" w:rsidP="00FD6B66">
            <w:pPr>
              <w:jc w:val="right"/>
              <w:rPr>
                <w:rFonts w:cs="Calibri"/>
                <w:bCs/>
                <w:color w:val="000000"/>
                <w:sz w:val="14"/>
                <w:szCs w:val="14"/>
              </w:rPr>
            </w:pPr>
            <w:r w:rsidRPr="003003C0">
              <w:rPr>
                <w:rFonts w:cs="Calibri"/>
                <w:bCs/>
                <w:color w:val="000000"/>
                <w:sz w:val="14"/>
                <w:szCs w:val="14"/>
              </w:rPr>
              <w:t>9</w:t>
            </w:r>
            <w:r>
              <w:rPr>
                <w:rFonts w:cs="Calibri"/>
                <w:bCs/>
                <w:color w:val="000000"/>
                <w:sz w:val="14"/>
                <w:szCs w:val="14"/>
              </w:rPr>
              <w:t>.</w:t>
            </w:r>
            <w:r w:rsidRPr="003003C0">
              <w:rPr>
                <w:rFonts w:cs="Calibri"/>
                <w:bCs/>
                <w:color w:val="000000"/>
                <w:sz w:val="14"/>
                <w:szCs w:val="14"/>
              </w:rPr>
              <w:t>4</w:t>
            </w:r>
          </w:p>
        </w:tc>
        <w:tc>
          <w:tcPr>
            <w:tcW w:w="650" w:type="dxa"/>
            <w:noWrap/>
            <w:vAlign w:val="center"/>
            <w:hideMark/>
          </w:tcPr>
          <w:p w14:paraId="09926D05" w14:textId="77777777" w:rsidR="004F64EF" w:rsidRPr="003003C0" w:rsidRDefault="004F64EF" w:rsidP="00FD6B66">
            <w:pPr>
              <w:jc w:val="right"/>
              <w:rPr>
                <w:rFonts w:cs="Calibri"/>
                <w:bCs/>
                <w:color w:val="000000"/>
                <w:sz w:val="14"/>
                <w:szCs w:val="14"/>
              </w:rPr>
            </w:pPr>
            <w:r w:rsidRPr="003003C0">
              <w:rPr>
                <w:rFonts w:cs="Calibri"/>
                <w:bCs/>
                <w:color w:val="000000"/>
                <w:sz w:val="14"/>
                <w:szCs w:val="14"/>
              </w:rPr>
              <w:t>9</w:t>
            </w:r>
            <w:r>
              <w:rPr>
                <w:rFonts w:cs="Calibri"/>
                <w:bCs/>
                <w:color w:val="000000"/>
                <w:sz w:val="14"/>
                <w:szCs w:val="14"/>
              </w:rPr>
              <w:t>.</w:t>
            </w:r>
            <w:r w:rsidRPr="003003C0">
              <w:rPr>
                <w:rFonts w:cs="Calibri"/>
                <w:bCs/>
                <w:color w:val="000000"/>
                <w:sz w:val="14"/>
                <w:szCs w:val="14"/>
              </w:rPr>
              <w:t>0</w:t>
            </w:r>
          </w:p>
        </w:tc>
        <w:tc>
          <w:tcPr>
            <w:tcW w:w="650" w:type="dxa"/>
            <w:noWrap/>
            <w:vAlign w:val="center"/>
            <w:hideMark/>
          </w:tcPr>
          <w:p w14:paraId="516D02ED" w14:textId="77777777" w:rsidR="004F64EF" w:rsidRPr="003003C0" w:rsidRDefault="004F64EF" w:rsidP="00FD6B66">
            <w:pPr>
              <w:jc w:val="right"/>
              <w:rPr>
                <w:rFonts w:cs="Calibri"/>
                <w:bCs/>
                <w:color w:val="000000"/>
                <w:sz w:val="14"/>
                <w:szCs w:val="14"/>
              </w:rPr>
            </w:pPr>
            <w:r w:rsidRPr="003003C0">
              <w:rPr>
                <w:rFonts w:cs="Calibri"/>
                <w:bCs/>
                <w:color w:val="000000"/>
                <w:sz w:val="14"/>
                <w:szCs w:val="14"/>
              </w:rPr>
              <w:t>9</w:t>
            </w:r>
            <w:r>
              <w:rPr>
                <w:rFonts w:cs="Calibri"/>
                <w:bCs/>
                <w:color w:val="000000"/>
                <w:sz w:val="14"/>
                <w:szCs w:val="14"/>
              </w:rPr>
              <w:t>.</w:t>
            </w:r>
            <w:r w:rsidRPr="003003C0">
              <w:rPr>
                <w:rFonts w:cs="Calibri"/>
                <w:bCs/>
                <w:color w:val="000000"/>
                <w:sz w:val="14"/>
                <w:szCs w:val="14"/>
              </w:rPr>
              <w:t>1</w:t>
            </w:r>
          </w:p>
        </w:tc>
        <w:tc>
          <w:tcPr>
            <w:tcW w:w="650" w:type="dxa"/>
            <w:noWrap/>
            <w:vAlign w:val="center"/>
            <w:hideMark/>
          </w:tcPr>
          <w:p w14:paraId="5E161B15" w14:textId="77777777" w:rsidR="004F64EF" w:rsidRPr="003003C0" w:rsidRDefault="004F64EF" w:rsidP="00FD6B66">
            <w:pPr>
              <w:jc w:val="right"/>
              <w:rPr>
                <w:rFonts w:cs="Calibri"/>
                <w:bCs/>
                <w:color w:val="000000"/>
                <w:sz w:val="14"/>
                <w:szCs w:val="14"/>
              </w:rPr>
            </w:pPr>
            <w:r w:rsidRPr="003003C0">
              <w:rPr>
                <w:rFonts w:cs="Calibri"/>
                <w:bCs/>
                <w:color w:val="000000"/>
                <w:sz w:val="14"/>
                <w:szCs w:val="14"/>
              </w:rPr>
              <w:t>8</w:t>
            </w:r>
            <w:r>
              <w:rPr>
                <w:rFonts w:cs="Calibri"/>
                <w:bCs/>
                <w:color w:val="000000"/>
                <w:sz w:val="14"/>
                <w:szCs w:val="14"/>
              </w:rPr>
              <w:t>.</w:t>
            </w:r>
            <w:r w:rsidRPr="003003C0">
              <w:rPr>
                <w:rFonts w:cs="Calibri"/>
                <w:bCs/>
                <w:color w:val="000000"/>
                <w:sz w:val="14"/>
                <w:szCs w:val="14"/>
              </w:rPr>
              <w:t>2</w:t>
            </w:r>
          </w:p>
        </w:tc>
        <w:tc>
          <w:tcPr>
            <w:tcW w:w="650" w:type="dxa"/>
            <w:noWrap/>
            <w:vAlign w:val="center"/>
            <w:hideMark/>
          </w:tcPr>
          <w:p w14:paraId="1119DE6E" w14:textId="77777777" w:rsidR="004F64EF" w:rsidRPr="003003C0" w:rsidRDefault="004F64EF" w:rsidP="00FD6B66">
            <w:pPr>
              <w:jc w:val="right"/>
              <w:rPr>
                <w:rFonts w:cs="Calibri"/>
                <w:bCs/>
                <w:color w:val="000000"/>
                <w:sz w:val="14"/>
                <w:szCs w:val="14"/>
              </w:rPr>
            </w:pPr>
            <w:r w:rsidRPr="003003C0">
              <w:rPr>
                <w:rFonts w:cs="Calibri"/>
                <w:bCs/>
                <w:color w:val="000000"/>
                <w:sz w:val="14"/>
                <w:szCs w:val="14"/>
              </w:rPr>
              <w:t>6</w:t>
            </w:r>
            <w:r>
              <w:rPr>
                <w:rFonts w:cs="Calibri"/>
                <w:bCs/>
                <w:color w:val="000000"/>
                <w:sz w:val="14"/>
                <w:szCs w:val="14"/>
              </w:rPr>
              <w:t>.</w:t>
            </w:r>
            <w:r w:rsidRPr="003003C0">
              <w:rPr>
                <w:rFonts w:cs="Calibri"/>
                <w:bCs/>
                <w:color w:val="000000"/>
                <w:sz w:val="14"/>
                <w:szCs w:val="14"/>
              </w:rPr>
              <w:t>1</w:t>
            </w:r>
          </w:p>
        </w:tc>
        <w:tc>
          <w:tcPr>
            <w:tcW w:w="650" w:type="dxa"/>
            <w:noWrap/>
            <w:vAlign w:val="center"/>
            <w:hideMark/>
          </w:tcPr>
          <w:p w14:paraId="2876E7B9" w14:textId="77777777" w:rsidR="004F64EF" w:rsidRPr="003003C0" w:rsidRDefault="004F64EF" w:rsidP="00FD6B66">
            <w:pPr>
              <w:jc w:val="right"/>
              <w:rPr>
                <w:rFonts w:cs="Calibri"/>
                <w:bCs/>
                <w:color w:val="000000"/>
                <w:sz w:val="14"/>
                <w:szCs w:val="14"/>
              </w:rPr>
            </w:pPr>
            <w:r w:rsidRPr="003003C0">
              <w:rPr>
                <w:rFonts w:cs="Calibri"/>
                <w:bCs/>
                <w:color w:val="000000"/>
                <w:sz w:val="14"/>
                <w:szCs w:val="14"/>
              </w:rPr>
              <w:t>7</w:t>
            </w:r>
            <w:r>
              <w:rPr>
                <w:rFonts w:cs="Calibri"/>
                <w:bCs/>
                <w:color w:val="000000"/>
                <w:sz w:val="14"/>
                <w:szCs w:val="14"/>
              </w:rPr>
              <w:t>.</w:t>
            </w:r>
            <w:r w:rsidRPr="003003C0">
              <w:rPr>
                <w:rFonts w:cs="Calibri"/>
                <w:bCs/>
                <w:color w:val="000000"/>
                <w:sz w:val="14"/>
                <w:szCs w:val="14"/>
              </w:rPr>
              <w:t>9</w:t>
            </w:r>
          </w:p>
        </w:tc>
      </w:tr>
      <w:tr w:rsidR="004F64EF" w:rsidRPr="003003C0" w14:paraId="347AA832" w14:textId="77777777" w:rsidTr="00FD6B66">
        <w:trPr>
          <w:cnfStyle w:val="000000010000" w:firstRow="0" w:lastRow="0" w:firstColumn="0" w:lastColumn="0" w:oddVBand="0" w:evenVBand="0" w:oddHBand="0" w:evenHBand="1" w:firstRowFirstColumn="0" w:firstRowLastColumn="0" w:lastRowFirstColumn="0" w:lastRowLastColumn="0"/>
          <w:trHeight w:val="20"/>
        </w:trPr>
        <w:tc>
          <w:tcPr>
            <w:tcW w:w="4478" w:type="dxa"/>
            <w:noWrap/>
            <w:vAlign w:val="center"/>
            <w:hideMark/>
          </w:tcPr>
          <w:p w14:paraId="6062BF22" w14:textId="77777777" w:rsidR="004F64EF" w:rsidRPr="003003C0" w:rsidRDefault="004F64EF" w:rsidP="00FD6B66">
            <w:pPr>
              <w:tabs>
                <w:tab w:val="left" w:pos="227"/>
              </w:tabs>
              <w:jc w:val="left"/>
              <w:rPr>
                <w:rFonts w:cs="Calibri"/>
                <w:bCs/>
                <w:color w:val="000000"/>
                <w:sz w:val="14"/>
                <w:szCs w:val="14"/>
              </w:rPr>
            </w:pPr>
            <w:r w:rsidRPr="003003C0">
              <w:rPr>
                <w:rFonts w:cs="Calibri"/>
                <w:bCs/>
                <w:color w:val="000000"/>
                <w:sz w:val="14"/>
                <w:szCs w:val="14"/>
              </w:rPr>
              <w:tab/>
              <w:t xml:space="preserve">55. </w:t>
            </w:r>
            <w:r w:rsidRPr="009803BD">
              <w:rPr>
                <w:rFonts w:cs="Calibri"/>
                <w:bCs/>
                <w:color w:val="000000"/>
                <w:sz w:val="14"/>
                <w:szCs w:val="14"/>
              </w:rPr>
              <w:t>Man-made staple fibres</w:t>
            </w:r>
          </w:p>
        </w:tc>
        <w:tc>
          <w:tcPr>
            <w:tcW w:w="650" w:type="dxa"/>
            <w:noWrap/>
            <w:vAlign w:val="center"/>
            <w:hideMark/>
          </w:tcPr>
          <w:p w14:paraId="474B5856" w14:textId="77777777" w:rsidR="004F64EF" w:rsidRPr="003003C0" w:rsidRDefault="004F64EF" w:rsidP="00FD6B66">
            <w:pPr>
              <w:jc w:val="right"/>
              <w:rPr>
                <w:rFonts w:cs="Calibri"/>
                <w:bCs/>
                <w:color w:val="000000"/>
                <w:sz w:val="14"/>
                <w:szCs w:val="14"/>
              </w:rPr>
            </w:pPr>
            <w:r w:rsidRPr="003003C0">
              <w:rPr>
                <w:rFonts w:cs="Calibri"/>
                <w:bCs/>
                <w:color w:val="000000"/>
                <w:sz w:val="14"/>
                <w:szCs w:val="14"/>
              </w:rPr>
              <w:t>3</w:t>
            </w:r>
            <w:r>
              <w:rPr>
                <w:rFonts w:cs="Calibri"/>
                <w:bCs/>
                <w:color w:val="000000"/>
                <w:sz w:val="14"/>
                <w:szCs w:val="14"/>
              </w:rPr>
              <w:t>.</w:t>
            </w:r>
            <w:r w:rsidRPr="003003C0">
              <w:rPr>
                <w:rFonts w:cs="Calibri"/>
                <w:bCs/>
                <w:color w:val="000000"/>
                <w:sz w:val="14"/>
                <w:szCs w:val="14"/>
              </w:rPr>
              <w:t>7</w:t>
            </w:r>
          </w:p>
        </w:tc>
        <w:tc>
          <w:tcPr>
            <w:tcW w:w="650" w:type="dxa"/>
            <w:noWrap/>
            <w:vAlign w:val="center"/>
            <w:hideMark/>
          </w:tcPr>
          <w:p w14:paraId="3088C50B" w14:textId="77777777" w:rsidR="004F64EF" w:rsidRPr="003003C0" w:rsidRDefault="004F64EF" w:rsidP="00FD6B66">
            <w:pPr>
              <w:jc w:val="right"/>
              <w:rPr>
                <w:rFonts w:cs="Calibri"/>
                <w:bCs/>
                <w:color w:val="000000"/>
                <w:sz w:val="14"/>
                <w:szCs w:val="14"/>
              </w:rPr>
            </w:pPr>
            <w:r w:rsidRPr="003003C0">
              <w:rPr>
                <w:rFonts w:cs="Calibri"/>
                <w:bCs/>
                <w:color w:val="000000"/>
                <w:sz w:val="14"/>
                <w:szCs w:val="14"/>
              </w:rPr>
              <w:t>4</w:t>
            </w:r>
            <w:r>
              <w:rPr>
                <w:rFonts w:cs="Calibri"/>
                <w:bCs/>
                <w:color w:val="000000"/>
                <w:sz w:val="14"/>
                <w:szCs w:val="14"/>
              </w:rPr>
              <w:t>.</w:t>
            </w:r>
            <w:r w:rsidRPr="003003C0">
              <w:rPr>
                <w:rFonts w:cs="Calibri"/>
                <w:bCs/>
                <w:color w:val="000000"/>
                <w:sz w:val="14"/>
                <w:szCs w:val="14"/>
              </w:rPr>
              <w:t>0</w:t>
            </w:r>
          </w:p>
        </w:tc>
        <w:tc>
          <w:tcPr>
            <w:tcW w:w="650" w:type="dxa"/>
            <w:noWrap/>
            <w:vAlign w:val="center"/>
            <w:hideMark/>
          </w:tcPr>
          <w:p w14:paraId="09FBFCC2" w14:textId="77777777" w:rsidR="004F64EF" w:rsidRPr="003003C0" w:rsidRDefault="004F64EF" w:rsidP="00FD6B66">
            <w:pPr>
              <w:jc w:val="right"/>
              <w:rPr>
                <w:rFonts w:cs="Calibri"/>
                <w:bCs/>
                <w:color w:val="000000"/>
                <w:sz w:val="14"/>
                <w:szCs w:val="14"/>
              </w:rPr>
            </w:pPr>
            <w:r w:rsidRPr="003003C0">
              <w:rPr>
                <w:rFonts w:cs="Calibri"/>
                <w:bCs/>
                <w:color w:val="000000"/>
                <w:sz w:val="14"/>
                <w:szCs w:val="14"/>
              </w:rPr>
              <w:t>3</w:t>
            </w:r>
            <w:r>
              <w:rPr>
                <w:rFonts w:cs="Calibri"/>
                <w:bCs/>
                <w:color w:val="000000"/>
                <w:sz w:val="14"/>
                <w:szCs w:val="14"/>
              </w:rPr>
              <w:t>.</w:t>
            </w:r>
            <w:r w:rsidRPr="003003C0">
              <w:rPr>
                <w:rFonts w:cs="Calibri"/>
                <w:bCs/>
                <w:color w:val="000000"/>
                <w:sz w:val="14"/>
                <w:szCs w:val="14"/>
              </w:rPr>
              <w:t>7</w:t>
            </w:r>
          </w:p>
        </w:tc>
        <w:tc>
          <w:tcPr>
            <w:tcW w:w="650" w:type="dxa"/>
            <w:noWrap/>
            <w:vAlign w:val="center"/>
            <w:hideMark/>
          </w:tcPr>
          <w:p w14:paraId="231C5613" w14:textId="77777777" w:rsidR="004F64EF" w:rsidRPr="003003C0" w:rsidRDefault="004F64EF" w:rsidP="00FD6B66">
            <w:pPr>
              <w:jc w:val="right"/>
              <w:rPr>
                <w:rFonts w:cs="Calibri"/>
                <w:bCs/>
                <w:color w:val="000000"/>
                <w:sz w:val="14"/>
                <w:szCs w:val="14"/>
              </w:rPr>
            </w:pPr>
            <w:r w:rsidRPr="003003C0">
              <w:rPr>
                <w:rFonts w:cs="Calibri"/>
                <w:bCs/>
                <w:color w:val="000000"/>
                <w:sz w:val="14"/>
                <w:szCs w:val="14"/>
              </w:rPr>
              <w:t>3</w:t>
            </w:r>
            <w:r>
              <w:rPr>
                <w:rFonts w:cs="Calibri"/>
                <w:bCs/>
                <w:color w:val="000000"/>
                <w:sz w:val="14"/>
                <w:szCs w:val="14"/>
              </w:rPr>
              <w:t>.</w:t>
            </w:r>
            <w:r w:rsidRPr="003003C0">
              <w:rPr>
                <w:rFonts w:cs="Calibri"/>
                <w:bCs/>
                <w:color w:val="000000"/>
                <w:sz w:val="14"/>
                <w:szCs w:val="14"/>
              </w:rPr>
              <w:t>8</w:t>
            </w:r>
          </w:p>
        </w:tc>
        <w:tc>
          <w:tcPr>
            <w:tcW w:w="650" w:type="dxa"/>
            <w:noWrap/>
            <w:vAlign w:val="center"/>
            <w:hideMark/>
          </w:tcPr>
          <w:p w14:paraId="111EE834" w14:textId="77777777" w:rsidR="004F64EF" w:rsidRPr="003003C0" w:rsidRDefault="004F64EF" w:rsidP="00FD6B66">
            <w:pPr>
              <w:jc w:val="right"/>
              <w:rPr>
                <w:rFonts w:cs="Calibri"/>
                <w:bCs/>
                <w:color w:val="000000"/>
                <w:sz w:val="14"/>
                <w:szCs w:val="14"/>
              </w:rPr>
            </w:pPr>
            <w:r w:rsidRPr="003003C0">
              <w:rPr>
                <w:rFonts w:cs="Calibri"/>
                <w:bCs/>
                <w:color w:val="000000"/>
                <w:sz w:val="14"/>
                <w:szCs w:val="14"/>
              </w:rPr>
              <w:t>2</w:t>
            </w:r>
            <w:r>
              <w:rPr>
                <w:rFonts w:cs="Calibri"/>
                <w:bCs/>
                <w:color w:val="000000"/>
                <w:sz w:val="14"/>
                <w:szCs w:val="14"/>
              </w:rPr>
              <w:t>.</w:t>
            </w:r>
            <w:r w:rsidRPr="003003C0">
              <w:rPr>
                <w:rFonts w:cs="Calibri"/>
                <w:bCs/>
                <w:color w:val="000000"/>
                <w:sz w:val="14"/>
                <w:szCs w:val="14"/>
              </w:rPr>
              <w:t>7</w:t>
            </w:r>
          </w:p>
        </w:tc>
        <w:tc>
          <w:tcPr>
            <w:tcW w:w="650" w:type="dxa"/>
            <w:noWrap/>
            <w:vAlign w:val="center"/>
            <w:hideMark/>
          </w:tcPr>
          <w:p w14:paraId="69BEC970" w14:textId="77777777" w:rsidR="004F64EF" w:rsidRPr="003003C0" w:rsidRDefault="004F64EF" w:rsidP="00FD6B66">
            <w:pPr>
              <w:jc w:val="right"/>
              <w:rPr>
                <w:rFonts w:cs="Calibri"/>
                <w:bCs/>
                <w:color w:val="000000"/>
                <w:sz w:val="14"/>
                <w:szCs w:val="14"/>
              </w:rPr>
            </w:pPr>
            <w:r w:rsidRPr="003003C0">
              <w:rPr>
                <w:rFonts w:cs="Calibri"/>
                <w:bCs/>
                <w:color w:val="000000"/>
                <w:sz w:val="14"/>
                <w:szCs w:val="14"/>
              </w:rPr>
              <w:t>1</w:t>
            </w:r>
            <w:r>
              <w:rPr>
                <w:rFonts w:cs="Calibri"/>
                <w:bCs/>
                <w:color w:val="000000"/>
                <w:sz w:val="14"/>
                <w:szCs w:val="14"/>
              </w:rPr>
              <w:t>.</w:t>
            </w:r>
            <w:r w:rsidRPr="003003C0">
              <w:rPr>
                <w:rFonts w:cs="Calibri"/>
                <w:bCs/>
                <w:color w:val="000000"/>
                <w:sz w:val="14"/>
                <w:szCs w:val="14"/>
              </w:rPr>
              <w:t>9</w:t>
            </w:r>
          </w:p>
        </w:tc>
        <w:tc>
          <w:tcPr>
            <w:tcW w:w="650" w:type="dxa"/>
            <w:noWrap/>
            <w:vAlign w:val="center"/>
            <w:hideMark/>
          </w:tcPr>
          <w:p w14:paraId="5742B084" w14:textId="77777777" w:rsidR="004F64EF" w:rsidRPr="003003C0" w:rsidRDefault="004F64EF" w:rsidP="00FD6B66">
            <w:pPr>
              <w:jc w:val="right"/>
              <w:rPr>
                <w:rFonts w:cs="Calibri"/>
                <w:bCs/>
                <w:color w:val="000000"/>
                <w:sz w:val="14"/>
                <w:szCs w:val="14"/>
              </w:rPr>
            </w:pPr>
            <w:r w:rsidRPr="003003C0">
              <w:rPr>
                <w:rFonts w:cs="Calibri"/>
                <w:bCs/>
                <w:color w:val="000000"/>
                <w:sz w:val="14"/>
                <w:szCs w:val="14"/>
              </w:rPr>
              <w:t>1</w:t>
            </w:r>
            <w:r>
              <w:rPr>
                <w:rFonts w:cs="Calibri"/>
                <w:bCs/>
                <w:color w:val="000000"/>
                <w:sz w:val="14"/>
                <w:szCs w:val="14"/>
              </w:rPr>
              <w:t>.</w:t>
            </w:r>
            <w:r w:rsidRPr="003003C0">
              <w:rPr>
                <w:rFonts w:cs="Calibri"/>
                <w:bCs/>
                <w:color w:val="000000"/>
                <w:sz w:val="14"/>
                <w:szCs w:val="14"/>
              </w:rPr>
              <w:t>6</w:t>
            </w:r>
          </w:p>
        </w:tc>
      </w:tr>
      <w:tr w:rsidR="004F64EF" w:rsidRPr="003003C0" w14:paraId="4538DEF2" w14:textId="77777777" w:rsidTr="00FD6B66">
        <w:trPr>
          <w:trHeight w:val="20"/>
        </w:trPr>
        <w:tc>
          <w:tcPr>
            <w:tcW w:w="4478" w:type="dxa"/>
            <w:noWrap/>
            <w:vAlign w:val="center"/>
            <w:hideMark/>
          </w:tcPr>
          <w:p w14:paraId="609363BF" w14:textId="77777777" w:rsidR="004F64EF" w:rsidRPr="003003C0" w:rsidRDefault="004F64EF" w:rsidP="00A839D1">
            <w:pPr>
              <w:tabs>
                <w:tab w:val="left" w:pos="227"/>
              </w:tabs>
              <w:ind w:left="227" w:hanging="227"/>
              <w:jc w:val="left"/>
              <w:rPr>
                <w:rFonts w:cs="Calibri"/>
                <w:bCs/>
                <w:color w:val="000000"/>
                <w:sz w:val="14"/>
                <w:szCs w:val="14"/>
              </w:rPr>
            </w:pPr>
            <w:r w:rsidRPr="003003C0">
              <w:rPr>
                <w:rFonts w:cs="Calibri"/>
                <w:bCs/>
                <w:color w:val="000000"/>
                <w:sz w:val="14"/>
                <w:szCs w:val="14"/>
              </w:rPr>
              <w:tab/>
              <w:t xml:space="preserve">63. </w:t>
            </w:r>
            <w:r w:rsidRPr="009803BD">
              <w:rPr>
                <w:rFonts w:cs="Calibri"/>
                <w:bCs/>
                <w:color w:val="000000"/>
                <w:sz w:val="14"/>
                <w:szCs w:val="14"/>
              </w:rPr>
              <w:t>Other made up textile articles; sets; worn clothing and worn textile articles; rags</w:t>
            </w:r>
          </w:p>
        </w:tc>
        <w:tc>
          <w:tcPr>
            <w:tcW w:w="650" w:type="dxa"/>
            <w:noWrap/>
            <w:vAlign w:val="center"/>
            <w:hideMark/>
          </w:tcPr>
          <w:p w14:paraId="11669192" w14:textId="77777777" w:rsidR="004F64EF" w:rsidRPr="003003C0" w:rsidRDefault="004F64EF" w:rsidP="00FD6B66">
            <w:pPr>
              <w:jc w:val="right"/>
              <w:rPr>
                <w:rFonts w:cs="Calibri"/>
                <w:bCs/>
                <w:color w:val="000000"/>
                <w:sz w:val="14"/>
                <w:szCs w:val="14"/>
              </w:rPr>
            </w:pPr>
            <w:r w:rsidRPr="003003C0">
              <w:rPr>
                <w:rFonts w:cs="Calibri"/>
                <w:bCs/>
                <w:color w:val="000000"/>
                <w:sz w:val="14"/>
                <w:szCs w:val="14"/>
              </w:rPr>
              <w:t>1</w:t>
            </w:r>
            <w:r>
              <w:rPr>
                <w:rFonts w:cs="Calibri"/>
                <w:bCs/>
                <w:color w:val="000000"/>
                <w:sz w:val="14"/>
                <w:szCs w:val="14"/>
              </w:rPr>
              <w:t>.</w:t>
            </w:r>
            <w:r w:rsidRPr="003003C0">
              <w:rPr>
                <w:rFonts w:cs="Calibri"/>
                <w:bCs/>
                <w:color w:val="000000"/>
                <w:sz w:val="14"/>
                <w:szCs w:val="14"/>
              </w:rPr>
              <w:t>9</w:t>
            </w:r>
          </w:p>
        </w:tc>
        <w:tc>
          <w:tcPr>
            <w:tcW w:w="650" w:type="dxa"/>
            <w:noWrap/>
            <w:vAlign w:val="center"/>
            <w:hideMark/>
          </w:tcPr>
          <w:p w14:paraId="26EB5932" w14:textId="77777777" w:rsidR="004F64EF" w:rsidRPr="003003C0" w:rsidRDefault="004F64EF" w:rsidP="00FD6B66">
            <w:pPr>
              <w:jc w:val="right"/>
              <w:rPr>
                <w:rFonts w:cs="Calibri"/>
                <w:bCs/>
                <w:color w:val="000000"/>
                <w:sz w:val="14"/>
                <w:szCs w:val="14"/>
              </w:rPr>
            </w:pPr>
            <w:r w:rsidRPr="003003C0">
              <w:rPr>
                <w:rFonts w:cs="Calibri"/>
                <w:bCs/>
                <w:color w:val="000000"/>
                <w:sz w:val="14"/>
                <w:szCs w:val="14"/>
              </w:rPr>
              <w:t>1</w:t>
            </w:r>
            <w:r>
              <w:rPr>
                <w:rFonts w:cs="Calibri"/>
                <w:bCs/>
                <w:color w:val="000000"/>
                <w:sz w:val="14"/>
                <w:szCs w:val="14"/>
              </w:rPr>
              <w:t>.</w:t>
            </w:r>
            <w:r w:rsidRPr="003003C0">
              <w:rPr>
                <w:rFonts w:cs="Calibri"/>
                <w:bCs/>
                <w:color w:val="000000"/>
                <w:sz w:val="14"/>
                <w:szCs w:val="14"/>
              </w:rPr>
              <w:t>2</w:t>
            </w:r>
          </w:p>
        </w:tc>
        <w:tc>
          <w:tcPr>
            <w:tcW w:w="650" w:type="dxa"/>
            <w:noWrap/>
            <w:vAlign w:val="center"/>
            <w:hideMark/>
          </w:tcPr>
          <w:p w14:paraId="2DC98DC2" w14:textId="77777777" w:rsidR="004F64EF" w:rsidRPr="003003C0" w:rsidRDefault="004F64EF" w:rsidP="00FD6B66">
            <w:pPr>
              <w:jc w:val="right"/>
              <w:rPr>
                <w:rFonts w:cs="Calibri"/>
                <w:bCs/>
                <w:color w:val="000000"/>
                <w:sz w:val="14"/>
                <w:szCs w:val="14"/>
              </w:rPr>
            </w:pPr>
            <w:r w:rsidRPr="003003C0">
              <w:rPr>
                <w:rFonts w:cs="Calibri"/>
                <w:bCs/>
                <w:color w:val="000000"/>
                <w:sz w:val="14"/>
                <w:szCs w:val="14"/>
              </w:rPr>
              <w:t>1</w:t>
            </w:r>
            <w:r>
              <w:rPr>
                <w:rFonts w:cs="Calibri"/>
                <w:bCs/>
                <w:color w:val="000000"/>
                <w:sz w:val="14"/>
                <w:szCs w:val="14"/>
              </w:rPr>
              <w:t>.</w:t>
            </w:r>
            <w:r w:rsidRPr="003003C0">
              <w:rPr>
                <w:rFonts w:cs="Calibri"/>
                <w:bCs/>
                <w:color w:val="000000"/>
                <w:sz w:val="14"/>
                <w:szCs w:val="14"/>
              </w:rPr>
              <w:t>1</w:t>
            </w:r>
          </w:p>
        </w:tc>
        <w:tc>
          <w:tcPr>
            <w:tcW w:w="650" w:type="dxa"/>
            <w:noWrap/>
            <w:vAlign w:val="center"/>
            <w:hideMark/>
          </w:tcPr>
          <w:p w14:paraId="285026F7" w14:textId="77777777" w:rsidR="004F64EF" w:rsidRPr="003003C0" w:rsidRDefault="004F64EF" w:rsidP="00FD6B66">
            <w:pPr>
              <w:jc w:val="right"/>
              <w:rPr>
                <w:rFonts w:cs="Calibri"/>
                <w:bCs/>
                <w:color w:val="000000"/>
                <w:sz w:val="14"/>
                <w:szCs w:val="14"/>
              </w:rPr>
            </w:pPr>
            <w:r w:rsidRPr="003003C0">
              <w:rPr>
                <w:rFonts w:cs="Calibri"/>
                <w:bCs/>
                <w:color w:val="000000"/>
                <w:sz w:val="14"/>
                <w:szCs w:val="14"/>
              </w:rPr>
              <w:t>1</w:t>
            </w:r>
            <w:r>
              <w:rPr>
                <w:rFonts w:cs="Calibri"/>
                <w:bCs/>
                <w:color w:val="000000"/>
                <w:sz w:val="14"/>
                <w:szCs w:val="14"/>
              </w:rPr>
              <w:t>.</w:t>
            </w:r>
            <w:r w:rsidRPr="003003C0">
              <w:rPr>
                <w:rFonts w:cs="Calibri"/>
                <w:bCs/>
                <w:color w:val="000000"/>
                <w:sz w:val="14"/>
                <w:szCs w:val="14"/>
              </w:rPr>
              <w:t>0</w:t>
            </w:r>
          </w:p>
        </w:tc>
        <w:tc>
          <w:tcPr>
            <w:tcW w:w="650" w:type="dxa"/>
            <w:noWrap/>
            <w:vAlign w:val="center"/>
            <w:hideMark/>
          </w:tcPr>
          <w:p w14:paraId="25F3A341" w14:textId="77777777" w:rsidR="004F64EF" w:rsidRPr="003003C0" w:rsidRDefault="004F64EF" w:rsidP="00FD6B66">
            <w:pPr>
              <w:jc w:val="right"/>
              <w:rPr>
                <w:rFonts w:cs="Calibri"/>
                <w:bCs/>
                <w:color w:val="000000"/>
                <w:sz w:val="14"/>
                <w:szCs w:val="14"/>
              </w:rPr>
            </w:pPr>
            <w:r w:rsidRPr="003003C0">
              <w:rPr>
                <w:rFonts w:cs="Calibri"/>
                <w:bCs/>
                <w:color w:val="000000"/>
                <w:sz w:val="14"/>
                <w:szCs w:val="14"/>
              </w:rPr>
              <w:t>1</w:t>
            </w:r>
            <w:r>
              <w:rPr>
                <w:rFonts w:cs="Calibri"/>
                <w:bCs/>
                <w:color w:val="000000"/>
                <w:sz w:val="14"/>
                <w:szCs w:val="14"/>
              </w:rPr>
              <w:t>.</w:t>
            </w:r>
            <w:r w:rsidRPr="003003C0">
              <w:rPr>
                <w:rFonts w:cs="Calibri"/>
                <w:bCs/>
                <w:color w:val="000000"/>
                <w:sz w:val="14"/>
                <w:szCs w:val="14"/>
              </w:rPr>
              <w:t>1</w:t>
            </w:r>
          </w:p>
        </w:tc>
        <w:tc>
          <w:tcPr>
            <w:tcW w:w="650" w:type="dxa"/>
            <w:noWrap/>
            <w:vAlign w:val="center"/>
            <w:hideMark/>
          </w:tcPr>
          <w:p w14:paraId="0ECAC012" w14:textId="77777777" w:rsidR="004F64EF" w:rsidRPr="003003C0" w:rsidRDefault="004F64EF" w:rsidP="00FD6B66">
            <w:pPr>
              <w:jc w:val="right"/>
              <w:rPr>
                <w:rFonts w:cs="Calibri"/>
                <w:bCs/>
                <w:color w:val="000000"/>
                <w:sz w:val="14"/>
                <w:szCs w:val="14"/>
              </w:rPr>
            </w:pPr>
            <w:r w:rsidRPr="003003C0">
              <w:rPr>
                <w:rFonts w:cs="Calibri"/>
                <w:bCs/>
                <w:color w:val="000000"/>
                <w:sz w:val="14"/>
                <w:szCs w:val="14"/>
              </w:rPr>
              <w:t>1</w:t>
            </w:r>
            <w:r>
              <w:rPr>
                <w:rFonts w:cs="Calibri"/>
                <w:bCs/>
                <w:color w:val="000000"/>
                <w:sz w:val="14"/>
                <w:szCs w:val="14"/>
              </w:rPr>
              <w:t>.</w:t>
            </w:r>
            <w:r w:rsidRPr="003003C0">
              <w:rPr>
                <w:rFonts w:cs="Calibri"/>
                <w:bCs/>
                <w:color w:val="000000"/>
                <w:sz w:val="14"/>
                <w:szCs w:val="14"/>
              </w:rPr>
              <w:t>3</w:t>
            </w:r>
          </w:p>
        </w:tc>
        <w:tc>
          <w:tcPr>
            <w:tcW w:w="650" w:type="dxa"/>
            <w:noWrap/>
            <w:vAlign w:val="center"/>
            <w:hideMark/>
          </w:tcPr>
          <w:p w14:paraId="133722A5" w14:textId="77777777" w:rsidR="004F64EF" w:rsidRPr="003003C0" w:rsidRDefault="004F64EF" w:rsidP="00FD6B66">
            <w:pPr>
              <w:jc w:val="right"/>
              <w:rPr>
                <w:rFonts w:cs="Calibri"/>
                <w:bCs/>
                <w:color w:val="000000"/>
                <w:sz w:val="14"/>
                <w:szCs w:val="14"/>
              </w:rPr>
            </w:pPr>
            <w:r w:rsidRPr="003003C0">
              <w:rPr>
                <w:rFonts w:cs="Calibri"/>
                <w:bCs/>
                <w:color w:val="000000"/>
                <w:sz w:val="14"/>
                <w:szCs w:val="14"/>
              </w:rPr>
              <w:t>1</w:t>
            </w:r>
            <w:r>
              <w:rPr>
                <w:rFonts w:cs="Calibri"/>
                <w:bCs/>
                <w:color w:val="000000"/>
                <w:sz w:val="14"/>
                <w:szCs w:val="14"/>
              </w:rPr>
              <w:t>.</w:t>
            </w:r>
            <w:r w:rsidRPr="003003C0">
              <w:rPr>
                <w:rFonts w:cs="Calibri"/>
                <w:bCs/>
                <w:color w:val="000000"/>
                <w:sz w:val="14"/>
                <w:szCs w:val="14"/>
              </w:rPr>
              <w:t>1</w:t>
            </w:r>
          </w:p>
        </w:tc>
      </w:tr>
      <w:tr w:rsidR="004F64EF" w:rsidRPr="003003C0" w14:paraId="2851E092" w14:textId="77777777" w:rsidTr="00FD6B66">
        <w:trPr>
          <w:cnfStyle w:val="000000010000" w:firstRow="0" w:lastRow="0" w:firstColumn="0" w:lastColumn="0" w:oddVBand="0" w:evenVBand="0" w:oddHBand="0" w:evenHBand="1" w:firstRowFirstColumn="0" w:firstRowLastColumn="0" w:lastRowFirstColumn="0" w:lastRowLastColumn="0"/>
          <w:trHeight w:val="20"/>
        </w:trPr>
        <w:tc>
          <w:tcPr>
            <w:tcW w:w="4478" w:type="dxa"/>
            <w:noWrap/>
            <w:vAlign w:val="center"/>
            <w:hideMark/>
          </w:tcPr>
          <w:p w14:paraId="31CDBCF0" w14:textId="77777777" w:rsidR="004F64EF" w:rsidRPr="003003C0" w:rsidRDefault="004F64EF" w:rsidP="00FD6B66">
            <w:pPr>
              <w:tabs>
                <w:tab w:val="left" w:pos="227"/>
              </w:tabs>
              <w:jc w:val="left"/>
              <w:rPr>
                <w:rFonts w:cs="Calibri"/>
                <w:bCs/>
                <w:color w:val="000000"/>
                <w:sz w:val="14"/>
                <w:szCs w:val="14"/>
              </w:rPr>
            </w:pPr>
            <w:r w:rsidRPr="003003C0">
              <w:rPr>
                <w:rFonts w:cs="Calibri"/>
                <w:bCs/>
                <w:color w:val="000000"/>
                <w:sz w:val="14"/>
                <w:szCs w:val="14"/>
              </w:rPr>
              <w:tab/>
              <w:t xml:space="preserve">54. </w:t>
            </w:r>
            <w:r w:rsidRPr="009803BD">
              <w:rPr>
                <w:rFonts w:cs="Calibri"/>
                <w:bCs/>
                <w:color w:val="000000"/>
                <w:sz w:val="14"/>
                <w:szCs w:val="14"/>
              </w:rPr>
              <w:t>Man-made filaments</w:t>
            </w:r>
          </w:p>
        </w:tc>
        <w:tc>
          <w:tcPr>
            <w:tcW w:w="650" w:type="dxa"/>
            <w:noWrap/>
            <w:vAlign w:val="center"/>
            <w:hideMark/>
          </w:tcPr>
          <w:p w14:paraId="3CD6008E" w14:textId="77777777" w:rsidR="004F64EF" w:rsidRPr="003003C0" w:rsidRDefault="004F64EF" w:rsidP="00FD6B66">
            <w:pPr>
              <w:jc w:val="right"/>
              <w:rPr>
                <w:rFonts w:cs="Calibri"/>
                <w:bCs/>
                <w:color w:val="000000"/>
                <w:sz w:val="14"/>
                <w:szCs w:val="14"/>
              </w:rPr>
            </w:pPr>
            <w:r w:rsidRPr="003003C0">
              <w:rPr>
                <w:rFonts w:cs="Calibri"/>
                <w:bCs/>
                <w:color w:val="000000"/>
                <w:sz w:val="14"/>
                <w:szCs w:val="14"/>
              </w:rPr>
              <w:t>0</w:t>
            </w:r>
            <w:r>
              <w:rPr>
                <w:rFonts w:cs="Calibri"/>
                <w:bCs/>
                <w:color w:val="000000"/>
                <w:sz w:val="14"/>
                <w:szCs w:val="14"/>
              </w:rPr>
              <w:t>.</w:t>
            </w:r>
            <w:r w:rsidRPr="003003C0">
              <w:rPr>
                <w:rFonts w:cs="Calibri"/>
                <w:bCs/>
                <w:color w:val="000000"/>
                <w:sz w:val="14"/>
                <w:szCs w:val="14"/>
              </w:rPr>
              <w:t>9</w:t>
            </w:r>
          </w:p>
        </w:tc>
        <w:tc>
          <w:tcPr>
            <w:tcW w:w="650" w:type="dxa"/>
            <w:noWrap/>
            <w:vAlign w:val="center"/>
            <w:hideMark/>
          </w:tcPr>
          <w:p w14:paraId="78E0185B" w14:textId="77777777" w:rsidR="004F64EF" w:rsidRPr="003003C0" w:rsidRDefault="004F64EF" w:rsidP="00FD6B66">
            <w:pPr>
              <w:jc w:val="right"/>
              <w:rPr>
                <w:rFonts w:cs="Calibri"/>
                <w:bCs/>
                <w:color w:val="000000"/>
                <w:sz w:val="14"/>
                <w:szCs w:val="14"/>
              </w:rPr>
            </w:pPr>
            <w:r w:rsidRPr="003003C0">
              <w:rPr>
                <w:rFonts w:cs="Calibri"/>
                <w:bCs/>
                <w:color w:val="000000"/>
                <w:sz w:val="14"/>
                <w:szCs w:val="14"/>
              </w:rPr>
              <w:t>0</w:t>
            </w:r>
            <w:r>
              <w:rPr>
                <w:rFonts w:cs="Calibri"/>
                <w:bCs/>
                <w:color w:val="000000"/>
                <w:sz w:val="14"/>
                <w:szCs w:val="14"/>
              </w:rPr>
              <w:t>.</w:t>
            </w:r>
            <w:r w:rsidRPr="003003C0">
              <w:rPr>
                <w:rFonts w:cs="Calibri"/>
                <w:bCs/>
                <w:color w:val="000000"/>
                <w:sz w:val="14"/>
                <w:szCs w:val="14"/>
              </w:rPr>
              <w:t>9</w:t>
            </w:r>
          </w:p>
        </w:tc>
        <w:tc>
          <w:tcPr>
            <w:tcW w:w="650" w:type="dxa"/>
            <w:noWrap/>
            <w:vAlign w:val="center"/>
            <w:hideMark/>
          </w:tcPr>
          <w:p w14:paraId="481353EB" w14:textId="77777777" w:rsidR="004F64EF" w:rsidRPr="003003C0" w:rsidRDefault="004F64EF" w:rsidP="00FD6B66">
            <w:pPr>
              <w:jc w:val="right"/>
              <w:rPr>
                <w:rFonts w:cs="Calibri"/>
                <w:bCs/>
                <w:color w:val="000000"/>
                <w:sz w:val="14"/>
                <w:szCs w:val="14"/>
              </w:rPr>
            </w:pPr>
            <w:r w:rsidRPr="003003C0">
              <w:rPr>
                <w:rFonts w:cs="Calibri"/>
                <w:bCs/>
                <w:color w:val="000000"/>
                <w:sz w:val="14"/>
                <w:szCs w:val="14"/>
              </w:rPr>
              <w:t>1</w:t>
            </w:r>
            <w:r>
              <w:rPr>
                <w:rFonts w:cs="Calibri"/>
                <w:bCs/>
                <w:color w:val="000000"/>
                <w:sz w:val="14"/>
                <w:szCs w:val="14"/>
              </w:rPr>
              <w:t>.</w:t>
            </w:r>
            <w:r w:rsidRPr="003003C0">
              <w:rPr>
                <w:rFonts w:cs="Calibri"/>
                <w:bCs/>
                <w:color w:val="000000"/>
                <w:sz w:val="14"/>
                <w:szCs w:val="14"/>
              </w:rPr>
              <w:t>0</w:t>
            </w:r>
          </w:p>
        </w:tc>
        <w:tc>
          <w:tcPr>
            <w:tcW w:w="650" w:type="dxa"/>
            <w:noWrap/>
            <w:vAlign w:val="center"/>
            <w:hideMark/>
          </w:tcPr>
          <w:p w14:paraId="288737C3" w14:textId="77777777" w:rsidR="004F64EF" w:rsidRPr="003003C0" w:rsidRDefault="004F64EF" w:rsidP="00FD6B66">
            <w:pPr>
              <w:jc w:val="right"/>
              <w:rPr>
                <w:rFonts w:cs="Calibri"/>
                <w:bCs/>
                <w:color w:val="000000"/>
                <w:sz w:val="14"/>
                <w:szCs w:val="14"/>
              </w:rPr>
            </w:pPr>
            <w:r w:rsidRPr="003003C0">
              <w:rPr>
                <w:rFonts w:cs="Calibri"/>
                <w:bCs/>
                <w:color w:val="000000"/>
                <w:sz w:val="14"/>
                <w:szCs w:val="14"/>
              </w:rPr>
              <w:t>1</w:t>
            </w:r>
            <w:r>
              <w:rPr>
                <w:rFonts w:cs="Calibri"/>
                <w:bCs/>
                <w:color w:val="000000"/>
                <w:sz w:val="14"/>
                <w:szCs w:val="14"/>
              </w:rPr>
              <w:t>.</w:t>
            </w:r>
            <w:r w:rsidRPr="003003C0">
              <w:rPr>
                <w:rFonts w:cs="Calibri"/>
                <w:bCs/>
                <w:color w:val="000000"/>
                <w:sz w:val="14"/>
                <w:szCs w:val="14"/>
              </w:rPr>
              <w:t>0</w:t>
            </w:r>
          </w:p>
        </w:tc>
        <w:tc>
          <w:tcPr>
            <w:tcW w:w="650" w:type="dxa"/>
            <w:noWrap/>
            <w:vAlign w:val="center"/>
            <w:hideMark/>
          </w:tcPr>
          <w:p w14:paraId="66730210" w14:textId="77777777" w:rsidR="004F64EF" w:rsidRPr="003003C0" w:rsidRDefault="004F64EF" w:rsidP="00FD6B66">
            <w:pPr>
              <w:jc w:val="right"/>
              <w:rPr>
                <w:rFonts w:cs="Calibri"/>
                <w:bCs/>
                <w:color w:val="000000"/>
                <w:sz w:val="14"/>
                <w:szCs w:val="14"/>
              </w:rPr>
            </w:pPr>
            <w:r w:rsidRPr="003003C0">
              <w:rPr>
                <w:rFonts w:cs="Calibri"/>
                <w:bCs/>
                <w:color w:val="000000"/>
                <w:sz w:val="14"/>
                <w:szCs w:val="14"/>
              </w:rPr>
              <w:t>1</w:t>
            </w:r>
            <w:r>
              <w:rPr>
                <w:rFonts w:cs="Calibri"/>
                <w:bCs/>
                <w:color w:val="000000"/>
                <w:sz w:val="14"/>
                <w:szCs w:val="14"/>
              </w:rPr>
              <w:t>.</w:t>
            </w:r>
            <w:r w:rsidRPr="003003C0">
              <w:rPr>
                <w:rFonts w:cs="Calibri"/>
                <w:bCs/>
                <w:color w:val="000000"/>
                <w:sz w:val="14"/>
                <w:szCs w:val="14"/>
              </w:rPr>
              <w:t>3</w:t>
            </w:r>
          </w:p>
        </w:tc>
        <w:tc>
          <w:tcPr>
            <w:tcW w:w="650" w:type="dxa"/>
            <w:noWrap/>
            <w:vAlign w:val="center"/>
            <w:hideMark/>
          </w:tcPr>
          <w:p w14:paraId="652311ED" w14:textId="77777777" w:rsidR="004F64EF" w:rsidRPr="003003C0" w:rsidRDefault="004F64EF" w:rsidP="00FD6B66">
            <w:pPr>
              <w:jc w:val="right"/>
              <w:rPr>
                <w:rFonts w:cs="Calibri"/>
                <w:bCs/>
                <w:color w:val="000000"/>
                <w:sz w:val="14"/>
                <w:szCs w:val="14"/>
              </w:rPr>
            </w:pPr>
            <w:r w:rsidRPr="003003C0">
              <w:rPr>
                <w:rFonts w:cs="Calibri"/>
                <w:bCs/>
                <w:color w:val="000000"/>
                <w:sz w:val="14"/>
                <w:szCs w:val="14"/>
              </w:rPr>
              <w:t>1</w:t>
            </w:r>
            <w:r>
              <w:rPr>
                <w:rFonts w:cs="Calibri"/>
                <w:bCs/>
                <w:color w:val="000000"/>
                <w:sz w:val="14"/>
                <w:szCs w:val="14"/>
              </w:rPr>
              <w:t>.</w:t>
            </w:r>
            <w:r w:rsidRPr="003003C0">
              <w:rPr>
                <w:rFonts w:cs="Calibri"/>
                <w:bCs/>
                <w:color w:val="000000"/>
                <w:sz w:val="14"/>
                <w:szCs w:val="14"/>
              </w:rPr>
              <w:t>1</w:t>
            </w:r>
          </w:p>
        </w:tc>
        <w:tc>
          <w:tcPr>
            <w:tcW w:w="650" w:type="dxa"/>
            <w:noWrap/>
            <w:vAlign w:val="center"/>
            <w:hideMark/>
          </w:tcPr>
          <w:p w14:paraId="0D73A371" w14:textId="77777777" w:rsidR="004F64EF" w:rsidRPr="003003C0" w:rsidRDefault="004F64EF" w:rsidP="00FD6B66">
            <w:pPr>
              <w:jc w:val="right"/>
              <w:rPr>
                <w:rFonts w:cs="Calibri"/>
                <w:bCs/>
                <w:color w:val="000000"/>
                <w:sz w:val="14"/>
                <w:szCs w:val="14"/>
              </w:rPr>
            </w:pPr>
            <w:r w:rsidRPr="003003C0">
              <w:rPr>
                <w:rFonts w:cs="Calibri"/>
                <w:bCs/>
                <w:color w:val="000000"/>
                <w:sz w:val="14"/>
                <w:szCs w:val="14"/>
              </w:rPr>
              <w:t>0</w:t>
            </w:r>
            <w:r>
              <w:rPr>
                <w:rFonts w:cs="Calibri"/>
                <w:bCs/>
                <w:color w:val="000000"/>
                <w:sz w:val="14"/>
                <w:szCs w:val="14"/>
              </w:rPr>
              <w:t>.</w:t>
            </w:r>
            <w:r w:rsidRPr="003003C0">
              <w:rPr>
                <w:rFonts w:cs="Calibri"/>
                <w:bCs/>
                <w:color w:val="000000"/>
                <w:sz w:val="14"/>
                <w:szCs w:val="14"/>
              </w:rPr>
              <w:t>8</w:t>
            </w:r>
          </w:p>
        </w:tc>
      </w:tr>
      <w:tr w:rsidR="004F64EF" w:rsidRPr="003003C0" w14:paraId="32724095" w14:textId="77777777" w:rsidTr="00FD6B66">
        <w:trPr>
          <w:trHeight w:val="20"/>
        </w:trPr>
        <w:tc>
          <w:tcPr>
            <w:tcW w:w="4478" w:type="dxa"/>
            <w:noWrap/>
            <w:vAlign w:val="center"/>
            <w:hideMark/>
          </w:tcPr>
          <w:p w14:paraId="6821158E" w14:textId="77777777" w:rsidR="004F64EF" w:rsidRPr="003003C0" w:rsidRDefault="004F64EF" w:rsidP="00A839D1">
            <w:pPr>
              <w:tabs>
                <w:tab w:val="left" w:pos="227"/>
              </w:tabs>
              <w:ind w:left="227" w:hanging="227"/>
              <w:jc w:val="left"/>
              <w:rPr>
                <w:rFonts w:cs="Calibri"/>
                <w:bCs/>
                <w:color w:val="000000"/>
                <w:sz w:val="14"/>
                <w:szCs w:val="14"/>
              </w:rPr>
            </w:pPr>
            <w:r w:rsidRPr="003003C0">
              <w:rPr>
                <w:rFonts w:cs="Calibri"/>
                <w:bCs/>
                <w:color w:val="000000"/>
                <w:sz w:val="14"/>
                <w:szCs w:val="14"/>
              </w:rPr>
              <w:tab/>
              <w:t xml:space="preserve">56. </w:t>
            </w:r>
            <w:r w:rsidRPr="009803BD">
              <w:rPr>
                <w:rFonts w:cs="Calibri"/>
                <w:bCs/>
                <w:color w:val="000000"/>
                <w:sz w:val="14"/>
                <w:szCs w:val="14"/>
              </w:rPr>
              <w:t>Wadding, felt and nonwovens; special yarns; twine, cordage, ropes and cables and articles thereof</w:t>
            </w:r>
          </w:p>
        </w:tc>
        <w:tc>
          <w:tcPr>
            <w:tcW w:w="650" w:type="dxa"/>
            <w:noWrap/>
            <w:vAlign w:val="center"/>
            <w:hideMark/>
          </w:tcPr>
          <w:p w14:paraId="5844E497" w14:textId="77777777" w:rsidR="004F64EF" w:rsidRPr="003003C0" w:rsidRDefault="004F64EF" w:rsidP="00FD6B66">
            <w:pPr>
              <w:jc w:val="right"/>
              <w:rPr>
                <w:rFonts w:cs="Calibri"/>
                <w:bCs/>
                <w:color w:val="000000"/>
                <w:sz w:val="14"/>
                <w:szCs w:val="14"/>
              </w:rPr>
            </w:pPr>
            <w:r w:rsidRPr="003003C0">
              <w:rPr>
                <w:rFonts w:cs="Calibri"/>
                <w:bCs/>
                <w:color w:val="000000"/>
                <w:sz w:val="14"/>
                <w:szCs w:val="14"/>
              </w:rPr>
              <w:t>0</w:t>
            </w:r>
            <w:r>
              <w:rPr>
                <w:rFonts w:cs="Calibri"/>
                <w:bCs/>
                <w:color w:val="000000"/>
                <w:sz w:val="14"/>
                <w:szCs w:val="14"/>
              </w:rPr>
              <w:t>.</w:t>
            </w:r>
            <w:r w:rsidRPr="003003C0">
              <w:rPr>
                <w:rFonts w:cs="Calibri"/>
                <w:bCs/>
                <w:color w:val="000000"/>
                <w:sz w:val="14"/>
                <w:szCs w:val="14"/>
              </w:rPr>
              <w:t>6</w:t>
            </w:r>
          </w:p>
        </w:tc>
        <w:tc>
          <w:tcPr>
            <w:tcW w:w="650" w:type="dxa"/>
            <w:noWrap/>
            <w:vAlign w:val="center"/>
            <w:hideMark/>
          </w:tcPr>
          <w:p w14:paraId="6602664B" w14:textId="77777777" w:rsidR="004F64EF" w:rsidRPr="003003C0" w:rsidRDefault="004F64EF" w:rsidP="00FD6B66">
            <w:pPr>
              <w:jc w:val="right"/>
              <w:rPr>
                <w:rFonts w:cs="Calibri"/>
                <w:bCs/>
                <w:color w:val="000000"/>
                <w:sz w:val="14"/>
                <w:szCs w:val="14"/>
              </w:rPr>
            </w:pPr>
            <w:r w:rsidRPr="003003C0">
              <w:rPr>
                <w:rFonts w:cs="Calibri"/>
                <w:bCs/>
                <w:color w:val="000000"/>
                <w:sz w:val="14"/>
                <w:szCs w:val="14"/>
              </w:rPr>
              <w:t>0</w:t>
            </w:r>
            <w:r>
              <w:rPr>
                <w:rFonts w:cs="Calibri"/>
                <w:bCs/>
                <w:color w:val="000000"/>
                <w:sz w:val="14"/>
                <w:szCs w:val="14"/>
              </w:rPr>
              <w:t>.</w:t>
            </w:r>
            <w:r w:rsidRPr="003003C0">
              <w:rPr>
                <w:rFonts w:cs="Calibri"/>
                <w:bCs/>
                <w:color w:val="000000"/>
                <w:sz w:val="14"/>
                <w:szCs w:val="14"/>
              </w:rPr>
              <w:t>5</w:t>
            </w:r>
          </w:p>
        </w:tc>
        <w:tc>
          <w:tcPr>
            <w:tcW w:w="650" w:type="dxa"/>
            <w:noWrap/>
            <w:vAlign w:val="center"/>
            <w:hideMark/>
          </w:tcPr>
          <w:p w14:paraId="051B4B9A" w14:textId="77777777" w:rsidR="004F64EF" w:rsidRPr="003003C0" w:rsidRDefault="004F64EF" w:rsidP="00FD6B66">
            <w:pPr>
              <w:jc w:val="right"/>
              <w:rPr>
                <w:rFonts w:cs="Calibri"/>
                <w:bCs/>
                <w:color w:val="000000"/>
                <w:sz w:val="14"/>
                <w:szCs w:val="14"/>
              </w:rPr>
            </w:pPr>
            <w:r w:rsidRPr="003003C0">
              <w:rPr>
                <w:rFonts w:cs="Calibri"/>
                <w:bCs/>
                <w:color w:val="000000"/>
                <w:sz w:val="14"/>
                <w:szCs w:val="14"/>
              </w:rPr>
              <w:t>0</w:t>
            </w:r>
            <w:r>
              <w:rPr>
                <w:rFonts w:cs="Calibri"/>
                <w:bCs/>
                <w:color w:val="000000"/>
                <w:sz w:val="14"/>
                <w:szCs w:val="14"/>
              </w:rPr>
              <w:t>.</w:t>
            </w:r>
            <w:r w:rsidRPr="003003C0">
              <w:rPr>
                <w:rFonts w:cs="Calibri"/>
                <w:bCs/>
                <w:color w:val="000000"/>
                <w:sz w:val="14"/>
                <w:szCs w:val="14"/>
              </w:rPr>
              <w:t>5</w:t>
            </w:r>
          </w:p>
        </w:tc>
        <w:tc>
          <w:tcPr>
            <w:tcW w:w="650" w:type="dxa"/>
            <w:noWrap/>
            <w:vAlign w:val="center"/>
            <w:hideMark/>
          </w:tcPr>
          <w:p w14:paraId="03300C32" w14:textId="77777777" w:rsidR="004F64EF" w:rsidRPr="003003C0" w:rsidRDefault="004F64EF" w:rsidP="00FD6B66">
            <w:pPr>
              <w:jc w:val="right"/>
              <w:rPr>
                <w:rFonts w:cs="Calibri"/>
                <w:bCs/>
                <w:color w:val="000000"/>
                <w:sz w:val="14"/>
                <w:szCs w:val="14"/>
              </w:rPr>
            </w:pPr>
            <w:r w:rsidRPr="003003C0">
              <w:rPr>
                <w:rFonts w:cs="Calibri"/>
                <w:bCs/>
                <w:color w:val="000000"/>
                <w:sz w:val="14"/>
                <w:szCs w:val="14"/>
              </w:rPr>
              <w:t>0</w:t>
            </w:r>
            <w:r>
              <w:rPr>
                <w:rFonts w:cs="Calibri"/>
                <w:bCs/>
                <w:color w:val="000000"/>
                <w:sz w:val="14"/>
                <w:szCs w:val="14"/>
              </w:rPr>
              <w:t>.</w:t>
            </w:r>
            <w:r w:rsidRPr="003003C0">
              <w:rPr>
                <w:rFonts w:cs="Calibri"/>
                <w:bCs/>
                <w:color w:val="000000"/>
                <w:sz w:val="14"/>
                <w:szCs w:val="14"/>
              </w:rPr>
              <w:t>6</w:t>
            </w:r>
          </w:p>
        </w:tc>
        <w:tc>
          <w:tcPr>
            <w:tcW w:w="650" w:type="dxa"/>
            <w:noWrap/>
            <w:vAlign w:val="center"/>
            <w:hideMark/>
          </w:tcPr>
          <w:p w14:paraId="655084F2" w14:textId="77777777" w:rsidR="004F64EF" w:rsidRPr="003003C0" w:rsidRDefault="004F64EF" w:rsidP="00FD6B66">
            <w:pPr>
              <w:jc w:val="right"/>
              <w:rPr>
                <w:rFonts w:cs="Calibri"/>
                <w:bCs/>
                <w:color w:val="000000"/>
                <w:sz w:val="14"/>
                <w:szCs w:val="14"/>
              </w:rPr>
            </w:pPr>
            <w:r w:rsidRPr="003003C0">
              <w:rPr>
                <w:rFonts w:cs="Calibri"/>
                <w:bCs/>
                <w:color w:val="000000"/>
                <w:sz w:val="14"/>
                <w:szCs w:val="14"/>
              </w:rPr>
              <w:t>0</w:t>
            </w:r>
            <w:r>
              <w:rPr>
                <w:rFonts w:cs="Calibri"/>
                <w:bCs/>
                <w:color w:val="000000"/>
                <w:sz w:val="14"/>
                <w:szCs w:val="14"/>
              </w:rPr>
              <w:t>.</w:t>
            </w:r>
            <w:r w:rsidRPr="003003C0">
              <w:rPr>
                <w:rFonts w:cs="Calibri"/>
                <w:bCs/>
                <w:color w:val="000000"/>
                <w:sz w:val="14"/>
                <w:szCs w:val="14"/>
              </w:rPr>
              <w:t>5</w:t>
            </w:r>
          </w:p>
        </w:tc>
        <w:tc>
          <w:tcPr>
            <w:tcW w:w="650" w:type="dxa"/>
            <w:noWrap/>
            <w:vAlign w:val="center"/>
            <w:hideMark/>
          </w:tcPr>
          <w:p w14:paraId="5D092D41" w14:textId="77777777" w:rsidR="004F64EF" w:rsidRPr="003003C0" w:rsidRDefault="004F64EF" w:rsidP="00FD6B66">
            <w:pPr>
              <w:jc w:val="right"/>
              <w:rPr>
                <w:rFonts w:cs="Calibri"/>
                <w:bCs/>
                <w:color w:val="000000"/>
                <w:sz w:val="14"/>
                <w:szCs w:val="14"/>
              </w:rPr>
            </w:pPr>
            <w:r w:rsidRPr="003003C0">
              <w:rPr>
                <w:rFonts w:cs="Calibri"/>
                <w:bCs/>
                <w:color w:val="000000"/>
                <w:sz w:val="14"/>
                <w:szCs w:val="14"/>
              </w:rPr>
              <w:t>0</w:t>
            </w:r>
            <w:r>
              <w:rPr>
                <w:rFonts w:cs="Calibri"/>
                <w:bCs/>
                <w:color w:val="000000"/>
                <w:sz w:val="14"/>
                <w:szCs w:val="14"/>
              </w:rPr>
              <w:t>.</w:t>
            </w:r>
            <w:r w:rsidRPr="003003C0">
              <w:rPr>
                <w:rFonts w:cs="Calibri"/>
                <w:bCs/>
                <w:color w:val="000000"/>
                <w:sz w:val="14"/>
                <w:szCs w:val="14"/>
              </w:rPr>
              <w:t>6</w:t>
            </w:r>
          </w:p>
        </w:tc>
        <w:tc>
          <w:tcPr>
            <w:tcW w:w="650" w:type="dxa"/>
            <w:noWrap/>
            <w:vAlign w:val="center"/>
            <w:hideMark/>
          </w:tcPr>
          <w:p w14:paraId="4419F253" w14:textId="77777777" w:rsidR="004F64EF" w:rsidRPr="003003C0" w:rsidRDefault="004F64EF" w:rsidP="00FD6B66">
            <w:pPr>
              <w:jc w:val="right"/>
              <w:rPr>
                <w:rFonts w:cs="Calibri"/>
                <w:bCs/>
                <w:color w:val="000000"/>
                <w:sz w:val="14"/>
                <w:szCs w:val="14"/>
              </w:rPr>
            </w:pPr>
            <w:r w:rsidRPr="003003C0">
              <w:rPr>
                <w:rFonts w:cs="Calibri"/>
                <w:bCs/>
                <w:color w:val="000000"/>
                <w:sz w:val="14"/>
                <w:szCs w:val="14"/>
              </w:rPr>
              <w:t>0</w:t>
            </w:r>
            <w:r>
              <w:rPr>
                <w:rFonts w:cs="Calibri"/>
                <w:bCs/>
                <w:color w:val="000000"/>
                <w:sz w:val="14"/>
                <w:szCs w:val="14"/>
              </w:rPr>
              <w:t>.</w:t>
            </w:r>
            <w:r w:rsidRPr="003003C0">
              <w:rPr>
                <w:rFonts w:cs="Calibri"/>
                <w:bCs/>
                <w:color w:val="000000"/>
                <w:sz w:val="14"/>
                <w:szCs w:val="14"/>
              </w:rPr>
              <w:t>7</w:t>
            </w:r>
          </w:p>
        </w:tc>
      </w:tr>
      <w:tr w:rsidR="004F64EF" w:rsidRPr="003003C0" w14:paraId="7955DF23" w14:textId="77777777" w:rsidTr="00FD6B66">
        <w:trPr>
          <w:cnfStyle w:val="000000010000" w:firstRow="0" w:lastRow="0" w:firstColumn="0" w:lastColumn="0" w:oddVBand="0" w:evenVBand="0" w:oddHBand="0" w:evenHBand="1" w:firstRowFirstColumn="0" w:firstRowLastColumn="0" w:lastRowFirstColumn="0" w:lastRowLastColumn="0"/>
          <w:trHeight w:val="20"/>
        </w:trPr>
        <w:tc>
          <w:tcPr>
            <w:tcW w:w="4478" w:type="dxa"/>
            <w:noWrap/>
            <w:vAlign w:val="center"/>
            <w:hideMark/>
          </w:tcPr>
          <w:p w14:paraId="64245337" w14:textId="77777777" w:rsidR="004F64EF" w:rsidRPr="003003C0" w:rsidRDefault="004F64EF" w:rsidP="00A839D1">
            <w:pPr>
              <w:tabs>
                <w:tab w:val="left" w:pos="227"/>
              </w:tabs>
              <w:ind w:left="227" w:hanging="227"/>
              <w:jc w:val="left"/>
              <w:rPr>
                <w:rFonts w:cs="Calibri"/>
                <w:bCs/>
                <w:color w:val="000000"/>
                <w:sz w:val="14"/>
                <w:szCs w:val="14"/>
              </w:rPr>
            </w:pPr>
            <w:r w:rsidRPr="003003C0">
              <w:rPr>
                <w:rFonts w:cs="Calibri"/>
                <w:bCs/>
                <w:color w:val="000000"/>
                <w:sz w:val="14"/>
                <w:szCs w:val="14"/>
              </w:rPr>
              <w:tab/>
              <w:t xml:space="preserve">58. </w:t>
            </w:r>
            <w:r w:rsidRPr="009803BD">
              <w:rPr>
                <w:rFonts w:cs="Calibri"/>
                <w:bCs/>
                <w:color w:val="000000"/>
                <w:sz w:val="14"/>
                <w:szCs w:val="14"/>
              </w:rPr>
              <w:t>Special woven fabrics; tufted textile fabrics; lace; tapestries</w:t>
            </w:r>
          </w:p>
        </w:tc>
        <w:tc>
          <w:tcPr>
            <w:tcW w:w="650" w:type="dxa"/>
            <w:noWrap/>
            <w:vAlign w:val="center"/>
            <w:hideMark/>
          </w:tcPr>
          <w:p w14:paraId="609962EF" w14:textId="77777777" w:rsidR="004F64EF" w:rsidRPr="003003C0" w:rsidRDefault="004F64EF" w:rsidP="00FD6B66">
            <w:pPr>
              <w:jc w:val="right"/>
              <w:rPr>
                <w:rFonts w:cs="Calibri"/>
                <w:bCs/>
                <w:color w:val="000000"/>
                <w:sz w:val="14"/>
                <w:szCs w:val="14"/>
              </w:rPr>
            </w:pPr>
            <w:r w:rsidRPr="003003C0">
              <w:rPr>
                <w:rFonts w:cs="Calibri"/>
                <w:bCs/>
                <w:color w:val="000000"/>
                <w:sz w:val="14"/>
                <w:szCs w:val="14"/>
              </w:rPr>
              <w:t>1</w:t>
            </w:r>
            <w:r>
              <w:rPr>
                <w:rFonts w:cs="Calibri"/>
                <w:bCs/>
                <w:color w:val="000000"/>
                <w:sz w:val="14"/>
                <w:szCs w:val="14"/>
              </w:rPr>
              <w:t>.</w:t>
            </w:r>
            <w:r w:rsidRPr="003003C0">
              <w:rPr>
                <w:rFonts w:cs="Calibri"/>
                <w:bCs/>
                <w:color w:val="000000"/>
                <w:sz w:val="14"/>
                <w:szCs w:val="14"/>
              </w:rPr>
              <w:t>1</w:t>
            </w:r>
          </w:p>
        </w:tc>
        <w:tc>
          <w:tcPr>
            <w:tcW w:w="650" w:type="dxa"/>
            <w:noWrap/>
            <w:vAlign w:val="center"/>
            <w:hideMark/>
          </w:tcPr>
          <w:p w14:paraId="7775519F" w14:textId="77777777" w:rsidR="004F64EF" w:rsidRPr="003003C0" w:rsidRDefault="004F64EF" w:rsidP="00FD6B66">
            <w:pPr>
              <w:jc w:val="right"/>
              <w:rPr>
                <w:rFonts w:cs="Calibri"/>
                <w:bCs/>
                <w:color w:val="000000"/>
                <w:sz w:val="14"/>
                <w:szCs w:val="14"/>
              </w:rPr>
            </w:pPr>
            <w:r w:rsidRPr="003003C0">
              <w:rPr>
                <w:rFonts w:cs="Calibri"/>
                <w:bCs/>
                <w:color w:val="000000"/>
                <w:sz w:val="14"/>
                <w:szCs w:val="14"/>
              </w:rPr>
              <w:t>0</w:t>
            </w:r>
            <w:r>
              <w:rPr>
                <w:rFonts w:cs="Calibri"/>
                <w:bCs/>
                <w:color w:val="000000"/>
                <w:sz w:val="14"/>
                <w:szCs w:val="14"/>
              </w:rPr>
              <w:t>.</w:t>
            </w:r>
            <w:r w:rsidRPr="003003C0">
              <w:rPr>
                <w:rFonts w:cs="Calibri"/>
                <w:bCs/>
                <w:color w:val="000000"/>
                <w:sz w:val="14"/>
                <w:szCs w:val="14"/>
              </w:rPr>
              <w:t>9</w:t>
            </w:r>
          </w:p>
        </w:tc>
        <w:tc>
          <w:tcPr>
            <w:tcW w:w="650" w:type="dxa"/>
            <w:noWrap/>
            <w:vAlign w:val="center"/>
            <w:hideMark/>
          </w:tcPr>
          <w:p w14:paraId="6AC9490E" w14:textId="77777777" w:rsidR="004F64EF" w:rsidRPr="003003C0" w:rsidRDefault="004F64EF" w:rsidP="00FD6B66">
            <w:pPr>
              <w:jc w:val="right"/>
              <w:rPr>
                <w:rFonts w:cs="Calibri"/>
                <w:bCs/>
                <w:color w:val="000000"/>
                <w:sz w:val="14"/>
                <w:szCs w:val="14"/>
              </w:rPr>
            </w:pPr>
            <w:r w:rsidRPr="003003C0">
              <w:rPr>
                <w:rFonts w:cs="Calibri"/>
                <w:bCs/>
                <w:color w:val="000000"/>
                <w:sz w:val="14"/>
                <w:szCs w:val="14"/>
              </w:rPr>
              <w:t>0</w:t>
            </w:r>
            <w:r>
              <w:rPr>
                <w:rFonts w:cs="Calibri"/>
                <w:bCs/>
                <w:color w:val="000000"/>
                <w:sz w:val="14"/>
                <w:szCs w:val="14"/>
              </w:rPr>
              <w:t>.</w:t>
            </w:r>
            <w:r w:rsidRPr="003003C0">
              <w:rPr>
                <w:rFonts w:cs="Calibri"/>
                <w:bCs/>
                <w:color w:val="000000"/>
                <w:sz w:val="14"/>
                <w:szCs w:val="14"/>
              </w:rPr>
              <w:t>8</w:t>
            </w:r>
          </w:p>
        </w:tc>
        <w:tc>
          <w:tcPr>
            <w:tcW w:w="650" w:type="dxa"/>
            <w:noWrap/>
            <w:vAlign w:val="center"/>
            <w:hideMark/>
          </w:tcPr>
          <w:p w14:paraId="47048783" w14:textId="77777777" w:rsidR="004F64EF" w:rsidRPr="003003C0" w:rsidRDefault="004F64EF" w:rsidP="00FD6B66">
            <w:pPr>
              <w:jc w:val="right"/>
              <w:rPr>
                <w:rFonts w:cs="Calibri"/>
                <w:bCs/>
                <w:color w:val="000000"/>
                <w:sz w:val="14"/>
                <w:szCs w:val="14"/>
              </w:rPr>
            </w:pPr>
            <w:r w:rsidRPr="003003C0">
              <w:rPr>
                <w:rFonts w:cs="Calibri"/>
                <w:bCs/>
                <w:color w:val="000000"/>
                <w:sz w:val="14"/>
                <w:szCs w:val="14"/>
              </w:rPr>
              <w:t>0</w:t>
            </w:r>
            <w:r>
              <w:rPr>
                <w:rFonts w:cs="Calibri"/>
                <w:bCs/>
                <w:color w:val="000000"/>
                <w:sz w:val="14"/>
                <w:szCs w:val="14"/>
              </w:rPr>
              <w:t>.</w:t>
            </w:r>
            <w:r w:rsidRPr="003003C0">
              <w:rPr>
                <w:rFonts w:cs="Calibri"/>
                <w:bCs/>
                <w:color w:val="000000"/>
                <w:sz w:val="14"/>
                <w:szCs w:val="14"/>
              </w:rPr>
              <w:t>8</w:t>
            </w:r>
          </w:p>
        </w:tc>
        <w:tc>
          <w:tcPr>
            <w:tcW w:w="650" w:type="dxa"/>
            <w:noWrap/>
            <w:vAlign w:val="center"/>
            <w:hideMark/>
          </w:tcPr>
          <w:p w14:paraId="13CF75F3" w14:textId="77777777" w:rsidR="004F64EF" w:rsidRPr="003003C0" w:rsidRDefault="004F64EF" w:rsidP="00FD6B66">
            <w:pPr>
              <w:jc w:val="right"/>
              <w:rPr>
                <w:rFonts w:cs="Calibri"/>
                <w:bCs/>
                <w:color w:val="000000"/>
                <w:sz w:val="14"/>
                <w:szCs w:val="14"/>
              </w:rPr>
            </w:pPr>
            <w:r w:rsidRPr="003003C0">
              <w:rPr>
                <w:rFonts w:cs="Calibri"/>
                <w:bCs/>
                <w:color w:val="000000"/>
                <w:sz w:val="14"/>
                <w:szCs w:val="14"/>
              </w:rPr>
              <w:t>0</w:t>
            </w:r>
            <w:r>
              <w:rPr>
                <w:rFonts w:cs="Calibri"/>
                <w:bCs/>
                <w:color w:val="000000"/>
                <w:sz w:val="14"/>
                <w:szCs w:val="14"/>
              </w:rPr>
              <w:t>.</w:t>
            </w:r>
            <w:r w:rsidRPr="003003C0">
              <w:rPr>
                <w:rFonts w:cs="Calibri"/>
                <w:bCs/>
                <w:color w:val="000000"/>
                <w:sz w:val="14"/>
                <w:szCs w:val="14"/>
              </w:rPr>
              <w:t>8</w:t>
            </w:r>
          </w:p>
        </w:tc>
        <w:tc>
          <w:tcPr>
            <w:tcW w:w="650" w:type="dxa"/>
            <w:noWrap/>
            <w:vAlign w:val="center"/>
            <w:hideMark/>
          </w:tcPr>
          <w:p w14:paraId="18EC9816" w14:textId="77777777" w:rsidR="004F64EF" w:rsidRPr="003003C0" w:rsidRDefault="004F64EF" w:rsidP="00FD6B66">
            <w:pPr>
              <w:jc w:val="right"/>
              <w:rPr>
                <w:rFonts w:cs="Calibri"/>
                <w:bCs/>
                <w:color w:val="000000"/>
                <w:sz w:val="14"/>
                <w:szCs w:val="14"/>
              </w:rPr>
            </w:pPr>
            <w:r w:rsidRPr="003003C0">
              <w:rPr>
                <w:rFonts w:cs="Calibri"/>
                <w:bCs/>
                <w:color w:val="000000"/>
                <w:sz w:val="14"/>
                <w:szCs w:val="14"/>
              </w:rPr>
              <w:t>0</w:t>
            </w:r>
            <w:r>
              <w:rPr>
                <w:rFonts w:cs="Calibri"/>
                <w:bCs/>
                <w:color w:val="000000"/>
                <w:sz w:val="14"/>
                <w:szCs w:val="14"/>
              </w:rPr>
              <w:t>.</w:t>
            </w:r>
            <w:r w:rsidRPr="003003C0">
              <w:rPr>
                <w:rFonts w:cs="Calibri"/>
                <w:bCs/>
                <w:color w:val="000000"/>
                <w:sz w:val="14"/>
                <w:szCs w:val="14"/>
              </w:rPr>
              <w:t>5</w:t>
            </w:r>
          </w:p>
        </w:tc>
        <w:tc>
          <w:tcPr>
            <w:tcW w:w="650" w:type="dxa"/>
            <w:noWrap/>
            <w:vAlign w:val="center"/>
            <w:hideMark/>
          </w:tcPr>
          <w:p w14:paraId="47934F4C" w14:textId="77777777" w:rsidR="004F64EF" w:rsidRPr="003003C0" w:rsidRDefault="004F64EF" w:rsidP="00FD6B66">
            <w:pPr>
              <w:jc w:val="right"/>
              <w:rPr>
                <w:rFonts w:cs="Calibri"/>
                <w:bCs/>
                <w:color w:val="000000"/>
                <w:sz w:val="14"/>
                <w:szCs w:val="14"/>
              </w:rPr>
            </w:pPr>
            <w:r w:rsidRPr="003003C0">
              <w:rPr>
                <w:rFonts w:cs="Calibri"/>
                <w:bCs/>
                <w:color w:val="000000"/>
                <w:sz w:val="14"/>
                <w:szCs w:val="14"/>
              </w:rPr>
              <w:t>0</w:t>
            </w:r>
            <w:r>
              <w:rPr>
                <w:rFonts w:cs="Calibri"/>
                <w:bCs/>
                <w:color w:val="000000"/>
                <w:sz w:val="14"/>
                <w:szCs w:val="14"/>
              </w:rPr>
              <w:t>.</w:t>
            </w:r>
            <w:r w:rsidRPr="003003C0">
              <w:rPr>
                <w:rFonts w:cs="Calibri"/>
                <w:bCs/>
                <w:color w:val="000000"/>
                <w:sz w:val="14"/>
                <w:szCs w:val="14"/>
              </w:rPr>
              <w:t>7</w:t>
            </w:r>
          </w:p>
        </w:tc>
      </w:tr>
      <w:tr w:rsidR="004F64EF" w:rsidRPr="003003C0" w14:paraId="321A9ED3" w14:textId="77777777" w:rsidTr="00FD6B66">
        <w:trPr>
          <w:trHeight w:val="20"/>
        </w:trPr>
        <w:tc>
          <w:tcPr>
            <w:tcW w:w="4478" w:type="dxa"/>
            <w:noWrap/>
            <w:vAlign w:val="center"/>
            <w:hideMark/>
          </w:tcPr>
          <w:p w14:paraId="6E5E3B52" w14:textId="77777777" w:rsidR="004F64EF" w:rsidRPr="003003C0" w:rsidRDefault="004F64EF" w:rsidP="00FD6B66">
            <w:pPr>
              <w:tabs>
                <w:tab w:val="left" w:pos="227"/>
              </w:tabs>
              <w:jc w:val="left"/>
              <w:rPr>
                <w:rFonts w:cs="Calibri"/>
                <w:bCs/>
                <w:color w:val="000000"/>
                <w:sz w:val="14"/>
                <w:szCs w:val="14"/>
              </w:rPr>
            </w:pPr>
            <w:r w:rsidRPr="003003C0">
              <w:rPr>
                <w:rFonts w:cs="Calibri"/>
                <w:bCs/>
                <w:color w:val="000000"/>
                <w:sz w:val="14"/>
                <w:szCs w:val="14"/>
              </w:rPr>
              <w:tab/>
              <w:t xml:space="preserve">60. </w:t>
            </w:r>
            <w:r w:rsidRPr="009803BD">
              <w:rPr>
                <w:rFonts w:cs="Calibri"/>
                <w:bCs/>
                <w:color w:val="000000"/>
                <w:sz w:val="14"/>
                <w:szCs w:val="14"/>
              </w:rPr>
              <w:t>Knitted or crocheted fabrics</w:t>
            </w:r>
          </w:p>
        </w:tc>
        <w:tc>
          <w:tcPr>
            <w:tcW w:w="650" w:type="dxa"/>
            <w:noWrap/>
            <w:vAlign w:val="center"/>
            <w:hideMark/>
          </w:tcPr>
          <w:p w14:paraId="3016B180" w14:textId="77777777" w:rsidR="004F64EF" w:rsidRPr="003003C0" w:rsidRDefault="004F64EF" w:rsidP="00FD6B66">
            <w:pPr>
              <w:jc w:val="right"/>
              <w:rPr>
                <w:rFonts w:cs="Calibri"/>
                <w:bCs/>
                <w:color w:val="000000"/>
                <w:sz w:val="14"/>
                <w:szCs w:val="14"/>
              </w:rPr>
            </w:pPr>
            <w:r w:rsidRPr="003003C0">
              <w:rPr>
                <w:rFonts w:cs="Calibri"/>
                <w:bCs/>
                <w:color w:val="000000"/>
                <w:sz w:val="14"/>
                <w:szCs w:val="14"/>
              </w:rPr>
              <w:t>1</w:t>
            </w:r>
            <w:r>
              <w:rPr>
                <w:rFonts w:cs="Calibri"/>
                <w:bCs/>
                <w:color w:val="000000"/>
                <w:sz w:val="14"/>
                <w:szCs w:val="14"/>
              </w:rPr>
              <w:t>.</w:t>
            </w:r>
            <w:r w:rsidRPr="003003C0">
              <w:rPr>
                <w:rFonts w:cs="Calibri"/>
                <w:bCs/>
                <w:color w:val="000000"/>
                <w:sz w:val="14"/>
                <w:szCs w:val="14"/>
              </w:rPr>
              <w:t>2</w:t>
            </w:r>
          </w:p>
        </w:tc>
        <w:tc>
          <w:tcPr>
            <w:tcW w:w="650" w:type="dxa"/>
            <w:noWrap/>
            <w:vAlign w:val="center"/>
            <w:hideMark/>
          </w:tcPr>
          <w:p w14:paraId="71A446F3" w14:textId="77777777" w:rsidR="004F64EF" w:rsidRPr="003003C0" w:rsidRDefault="004F64EF" w:rsidP="00FD6B66">
            <w:pPr>
              <w:jc w:val="right"/>
              <w:rPr>
                <w:rFonts w:cs="Calibri"/>
                <w:bCs/>
                <w:color w:val="000000"/>
                <w:sz w:val="14"/>
                <w:szCs w:val="14"/>
              </w:rPr>
            </w:pPr>
            <w:r w:rsidRPr="003003C0">
              <w:rPr>
                <w:rFonts w:cs="Calibri"/>
                <w:bCs/>
                <w:color w:val="000000"/>
                <w:sz w:val="14"/>
                <w:szCs w:val="14"/>
              </w:rPr>
              <w:t>0</w:t>
            </w:r>
            <w:r>
              <w:rPr>
                <w:rFonts w:cs="Calibri"/>
                <w:bCs/>
                <w:color w:val="000000"/>
                <w:sz w:val="14"/>
                <w:szCs w:val="14"/>
              </w:rPr>
              <w:t>.</w:t>
            </w:r>
            <w:r w:rsidRPr="003003C0">
              <w:rPr>
                <w:rFonts w:cs="Calibri"/>
                <w:bCs/>
                <w:color w:val="000000"/>
                <w:sz w:val="14"/>
                <w:szCs w:val="14"/>
              </w:rPr>
              <w:t>9</w:t>
            </w:r>
          </w:p>
        </w:tc>
        <w:tc>
          <w:tcPr>
            <w:tcW w:w="650" w:type="dxa"/>
            <w:noWrap/>
            <w:vAlign w:val="center"/>
            <w:hideMark/>
          </w:tcPr>
          <w:p w14:paraId="4642D51C" w14:textId="77777777" w:rsidR="004F64EF" w:rsidRPr="003003C0" w:rsidRDefault="004F64EF" w:rsidP="00FD6B66">
            <w:pPr>
              <w:jc w:val="right"/>
              <w:rPr>
                <w:rFonts w:cs="Calibri"/>
                <w:bCs/>
                <w:color w:val="000000"/>
                <w:sz w:val="14"/>
                <w:szCs w:val="14"/>
              </w:rPr>
            </w:pPr>
            <w:r w:rsidRPr="003003C0">
              <w:rPr>
                <w:rFonts w:cs="Calibri"/>
                <w:bCs/>
                <w:color w:val="000000"/>
                <w:sz w:val="14"/>
                <w:szCs w:val="14"/>
              </w:rPr>
              <w:t>0</w:t>
            </w:r>
            <w:r>
              <w:rPr>
                <w:rFonts w:cs="Calibri"/>
                <w:bCs/>
                <w:color w:val="000000"/>
                <w:sz w:val="14"/>
                <w:szCs w:val="14"/>
              </w:rPr>
              <w:t>.</w:t>
            </w:r>
            <w:r w:rsidRPr="003003C0">
              <w:rPr>
                <w:rFonts w:cs="Calibri"/>
                <w:bCs/>
                <w:color w:val="000000"/>
                <w:sz w:val="14"/>
                <w:szCs w:val="14"/>
              </w:rPr>
              <w:t>9</w:t>
            </w:r>
          </w:p>
        </w:tc>
        <w:tc>
          <w:tcPr>
            <w:tcW w:w="650" w:type="dxa"/>
            <w:noWrap/>
            <w:vAlign w:val="center"/>
            <w:hideMark/>
          </w:tcPr>
          <w:p w14:paraId="0CF65E54" w14:textId="77777777" w:rsidR="004F64EF" w:rsidRPr="003003C0" w:rsidRDefault="004F64EF" w:rsidP="00FD6B66">
            <w:pPr>
              <w:jc w:val="right"/>
              <w:rPr>
                <w:rFonts w:cs="Calibri"/>
                <w:bCs/>
                <w:color w:val="000000"/>
                <w:sz w:val="14"/>
                <w:szCs w:val="14"/>
              </w:rPr>
            </w:pPr>
            <w:r w:rsidRPr="003003C0">
              <w:rPr>
                <w:rFonts w:cs="Calibri"/>
                <w:bCs/>
                <w:color w:val="000000"/>
                <w:sz w:val="14"/>
                <w:szCs w:val="14"/>
              </w:rPr>
              <w:t>0</w:t>
            </w:r>
            <w:r>
              <w:rPr>
                <w:rFonts w:cs="Calibri"/>
                <w:bCs/>
                <w:color w:val="000000"/>
                <w:sz w:val="14"/>
                <w:szCs w:val="14"/>
              </w:rPr>
              <w:t>.</w:t>
            </w:r>
            <w:r w:rsidRPr="003003C0">
              <w:rPr>
                <w:rFonts w:cs="Calibri"/>
                <w:bCs/>
                <w:color w:val="000000"/>
                <w:sz w:val="14"/>
                <w:szCs w:val="14"/>
              </w:rPr>
              <w:t>6</w:t>
            </w:r>
          </w:p>
        </w:tc>
        <w:tc>
          <w:tcPr>
            <w:tcW w:w="650" w:type="dxa"/>
            <w:noWrap/>
            <w:vAlign w:val="center"/>
            <w:hideMark/>
          </w:tcPr>
          <w:p w14:paraId="628D771C" w14:textId="77777777" w:rsidR="004F64EF" w:rsidRPr="003003C0" w:rsidRDefault="004F64EF" w:rsidP="00FD6B66">
            <w:pPr>
              <w:jc w:val="right"/>
              <w:rPr>
                <w:rFonts w:cs="Calibri"/>
                <w:bCs/>
                <w:color w:val="000000"/>
                <w:sz w:val="14"/>
                <w:szCs w:val="14"/>
              </w:rPr>
            </w:pPr>
            <w:r w:rsidRPr="003003C0">
              <w:rPr>
                <w:rFonts w:cs="Calibri"/>
                <w:bCs/>
                <w:color w:val="000000"/>
                <w:sz w:val="14"/>
                <w:szCs w:val="14"/>
              </w:rPr>
              <w:t>0</w:t>
            </w:r>
            <w:r>
              <w:rPr>
                <w:rFonts w:cs="Calibri"/>
                <w:bCs/>
                <w:color w:val="000000"/>
                <w:sz w:val="14"/>
                <w:szCs w:val="14"/>
              </w:rPr>
              <w:t>.</w:t>
            </w:r>
            <w:r w:rsidRPr="003003C0">
              <w:rPr>
                <w:rFonts w:cs="Calibri"/>
                <w:bCs/>
                <w:color w:val="000000"/>
                <w:sz w:val="14"/>
                <w:szCs w:val="14"/>
              </w:rPr>
              <w:t>6</w:t>
            </w:r>
          </w:p>
        </w:tc>
        <w:tc>
          <w:tcPr>
            <w:tcW w:w="650" w:type="dxa"/>
            <w:noWrap/>
            <w:vAlign w:val="center"/>
            <w:hideMark/>
          </w:tcPr>
          <w:p w14:paraId="681F48A8" w14:textId="77777777" w:rsidR="004F64EF" w:rsidRPr="003003C0" w:rsidRDefault="004F64EF" w:rsidP="00FD6B66">
            <w:pPr>
              <w:jc w:val="right"/>
              <w:rPr>
                <w:rFonts w:cs="Calibri"/>
                <w:bCs/>
                <w:color w:val="000000"/>
                <w:sz w:val="14"/>
                <w:szCs w:val="14"/>
              </w:rPr>
            </w:pPr>
            <w:r w:rsidRPr="003003C0">
              <w:rPr>
                <w:rFonts w:cs="Calibri"/>
                <w:bCs/>
                <w:color w:val="000000"/>
                <w:sz w:val="14"/>
                <w:szCs w:val="14"/>
              </w:rPr>
              <w:t>0</w:t>
            </w:r>
            <w:r>
              <w:rPr>
                <w:rFonts w:cs="Calibri"/>
                <w:bCs/>
                <w:color w:val="000000"/>
                <w:sz w:val="14"/>
                <w:szCs w:val="14"/>
              </w:rPr>
              <w:t>.</w:t>
            </w:r>
            <w:r w:rsidRPr="003003C0">
              <w:rPr>
                <w:rFonts w:cs="Calibri"/>
                <w:bCs/>
                <w:color w:val="000000"/>
                <w:sz w:val="14"/>
                <w:szCs w:val="14"/>
              </w:rPr>
              <w:t>5</w:t>
            </w:r>
          </w:p>
        </w:tc>
        <w:tc>
          <w:tcPr>
            <w:tcW w:w="650" w:type="dxa"/>
            <w:noWrap/>
            <w:vAlign w:val="center"/>
            <w:hideMark/>
          </w:tcPr>
          <w:p w14:paraId="13334CEB" w14:textId="77777777" w:rsidR="004F64EF" w:rsidRPr="003003C0" w:rsidRDefault="004F64EF" w:rsidP="00FD6B66">
            <w:pPr>
              <w:jc w:val="right"/>
              <w:rPr>
                <w:rFonts w:cs="Calibri"/>
                <w:bCs/>
                <w:color w:val="000000"/>
                <w:sz w:val="14"/>
                <w:szCs w:val="14"/>
              </w:rPr>
            </w:pPr>
            <w:r w:rsidRPr="003003C0">
              <w:rPr>
                <w:rFonts w:cs="Calibri"/>
                <w:bCs/>
                <w:color w:val="000000"/>
                <w:sz w:val="14"/>
                <w:szCs w:val="14"/>
              </w:rPr>
              <w:t>0</w:t>
            </w:r>
            <w:r>
              <w:rPr>
                <w:rFonts w:cs="Calibri"/>
                <w:bCs/>
                <w:color w:val="000000"/>
                <w:sz w:val="14"/>
                <w:szCs w:val="14"/>
              </w:rPr>
              <w:t>.</w:t>
            </w:r>
            <w:r w:rsidRPr="003003C0">
              <w:rPr>
                <w:rFonts w:cs="Calibri"/>
                <w:bCs/>
                <w:color w:val="000000"/>
                <w:sz w:val="14"/>
                <w:szCs w:val="14"/>
              </w:rPr>
              <w:t>5</w:t>
            </w:r>
          </w:p>
        </w:tc>
      </w:tr>
      <w:tr w:rsidR="004F64EF" w:rsidRPr="003003C0" w14:paraId="5A2627C9" w14:textId="77777777" w:rsidTr="00FD6B66">
        <w:trPr>
          <w:cnfStyle w:val="000000010000" w:firstRow="0" w:lastRow="0" w:firstColumn="0" w:lastColumn="0" w:oddVBand="0" w:evenVBand="0" w:oddHBand="0" w:evenHBand="1" w:firstRowFirstColumn="0" w:firstRowLastColumn="0" w:lastRowFirstColumn="0" w:lastRowLastColumn="0"/>
          <w:trHeight w:val="20"/>
        </w:trPr>
        <w:tc>
          <w:tcPr>
            <w:tcW w:w="4478" w:type="dxa"/>
            <w:noWrap/>
            <w:vAlign w:val="center"/>
            <w:hideMark/>
          </w:tcPr>
          <w:p w14:paraId="424BDB1F" w14:textId="77777777" w:rsidR="004F64EF" w:rsidRPr="003003C0" w:rsidRDefault="004F64EF" w:rsidP="00FD6B66">
            <w:pPr>
              <w:jc w:val="left"/>
              <w:rPr>
                <w:rFonts w:cs="Calibri"/>
                <w:bCs/>
                <w:color w:val="000000"/>
                <w:sz w:val="14"/>
                <w:szCs w:val="14"/>
              </w:rPr>
            </w:pPr>
            <w:r w:rsidRPr="003003C0">
              <w:rPr>
                <w:rFonts w:cs="Calibri"/>
                <w:bCs/>
                <w:color w:val="000000"/>
                <w:sz w:val="14"/>
                <w:szCs w:val="14"/>
              </w:rPr>
              <w:t xml:space="preserve">12 - </w:t>
            </w:r>
            <w:r w:rsidRPr="00610F55">
              <w:rPr>
                <w:rFonts w:cs="Calibri"/>
                <w:bCs/>
                <w:color w:val="000000"/>
                <w:sz w:val="14"/>
                <w:szCs w:val="14"/>
              </w:rPr>
              <w:t>Footwear, headgear, umbrellas, sun umbrellas, walking-sticks, seat-sticks, whips, riding-crops and parts thereof; prepared feathers and articles made therewith</w:t>
            </w:r>
          </w:p>
        </w:tc>
        <w:tc>
          <w:tcPr>
            <w:tcW w:w="650" w:type="dxa"/>
            <w:noWrap/>
            <w:vAlign w:val="center"/>
            <w:hideMark/>
          </w:tcPr>
          <w:p w14:paraId="7321FF43" w14:textId="77777777" w:rsidR="004F64EF" w:rsidRPr="003003C0" w:rsidRDefault="004F64EF" w:rsidP="00FD6B66">
            <w:pPr>
              <w:jc w:val="right"/>
              <w:rPr>
                <w:rFonts w:cs="Calibri"/>
                <w:bCs/>
                <w:color w:val="000000"/>
                <w:sz w:val="14"/>
                <w:szCs w:val="14"/>
              </w:rPr>
            </w:pPr>
            <w:r w:rsidRPr="003003C0">
              <w:rPr>
                <w:rFonts w:cs="Calibri"/>
                <w:bCs/>
                <w:color w:val="000000"/>
                <w:sz w:val="14"/>
                <w:szCs w:val="14"/>
              </w:rPr>
              <w:t>1</w:t>
            </w:r>
            <w:r>
              <w:rPr>
                <w:rFonts w:cs="Calibri"/>
                <w:bCs/>
                <w:color w:val="000000"/>
                <w:sz w:val="14"/>
                <w:szCs w:val="14"/>
              </w:rPr>
              <w:t>.</w:t>
            </w:r>
            <w:r w:rsidRPr="003003C0">
              <w:rPr>
                <w:rFonts w:cs="Calibri"/>
                <w:bCs/>
                <w:color w:val="000000"/>
                <w:sz w:val="14"/>
                <w:szCs w:val="14"/>
              </w:rPr>
              <w:t>7</w:t>
            </w:r>
          </w:p>
        </w:tc>
        <w:tc>
          <w:tcPr>
            <w:tcW w:w="650" w:type="dxa"/>
            <w:noWrap/>
            <w:vAlign w:val="center"/>
            <w:hideMark/>
          </w:tcPr>
          <w:p w14:paraId="7A4AA6B8" w14:textId="77777777" w:rsidR="004F64EF" w:rsidRPr="003003C0" w:rsidRDefault="004F64EF" w:rsidP="00FD6B66">
            <w:pPr>
              <w:jc w:val="right"/>
              <w:rPr>
                <w:rFonts w:cs="Calibri"/>
                <w:bCs/>
                <w:color w:val="000000"/>
                <w:sz w:val="14"/>
                <w:szCs w:val="14"/>
              </w:rPr>
            </w:pPr>
            <w:r w:rsidRPr="003003C0">
              <w:rPr>
                <w:rFonts w:cs="Calibri"/>
                <w:bCs/>
                <w:color w:val="000000"/>
                <w:sz w:val="14"/>
                <w:szCs w:val="14"/>
              </w:rPr>
              <w:t>1</w:t>
            </w:r>
            <w:r>
              <w:rPr>
                <w:rFonts w:cs="Calibri"/>
                <w:bCs/>
                <w:color w:val="000000"/>
                <w:sz w:val="14"/>
                <w:szCs w:val="14"/>
              </w:rPr>
              <w:t>.</w:t>
            </w:r>
            <w:r w:rsidRPr="003003C0">
              <w:rPr>
                <w:rFonts w:cs="Calibri"/>
                <w:bCs/>
                <w:color w:val="000000"/>
                <w:sz w:val="14"/>
                <w:szCs w:val="14"/>
              </w:rPr>
              <w:t>5</w:t>
            </w:r>
          </w:p>
        </w:tc>
        <w:tc>
          <w:tcPr>
            <w:tcW w:w="650" w:type="dxa"/>
            <w:noWrap/>
            <w:vAlign w:val="center"/>
            <w:hideMark/>
          </w:tcPr>
          <w:p w14:paraId="1CEAEAF0" w14:textId="77777777" w:rsidR="004F64EF" w:rsidRPr="003003C0" w:rsidRDefault="004F64EF" w:rsidP="00FD6B66">
            <w:pPr>
              <w:jc w:val="right"/>
              <w:rPr>
                <w:rFonts w:cs="Calibri"/>
                <w:bCs/>
                <w:color w:val="000000"/>
                <w:sz w:val="14"/>
                <w:szCs w:val="14"/>
              </w:rPr>
            </w:pPr>
            <w:r w:rsidRPr="003003C0">
              <w:rPr>
                <w:rFonts w:cs="Calibri"/>
                <w:bCs/>
                <w:color w:val="000000"/>
                <w:sz w:val="14"/>
                <w:szCs w:val="14"/>
              </w:rPr>
              <w:t>1</w:t>
            </w:r>
            <w:r>
              <w:rPr>
                <w:rFonts w:cs="Calibri"/>
                <w:bCs/>
                <w:color w:val="000000"/>
                <w:sz w:val="14"/>
                <w:szCs w:val="14"/>
              </w:rPr>
              <w:t>.</w:t>
            </w:r>
            <w:r w:rsidRPr="003003C0">
              <w:rPr>
                <w:rFonts w:cs="Calibri"/>
                <w:bCs/>
                <w:color w:val="000000"/>
                <w:sz w:val="14"/>
                <w:szCs w:val="14"/>
              </w:rPr>
              <w:t>3</w:t>
            </w:r>
          </w:p>
        </w:tc>
        <w:tc>
          <w:tcPr>
            <w:tcW w:w="650" w:type="dxa"/>
            <w:noWrap/>
            <w:vAlign w:val="center"/>
            <w:hideMark/>
          </w:tcPr>
          <w:p w14:paraId="7B43CA08" w14:textId="77777777" w:rsidR="004F64EF" w:rsidRPr="003003C0" w:rsidRDefault="004F64EF" w:rsidP="00FD6B66">
            <w:pPr>
              <w:jc w:val="right"/>
              <w:rPr>
                <w:rFonts w:cs="Calibri"/>
                <w:bCs/>
                <w:color w:val="000000"/>
                <w:sz w:val="14"/>
                <w:szCs w:val="14"/>
              </w:rPr>
            </w:pPr>
            <w:r w:rsidRPr="003003C0">
              <w:rPr>
                <w:rFonts w:cs="Calibri"/>
                <w:bCs/>
                <w:color w:val="000000"/>
                <w:sz w:val="14"/>
                <w:szCs w:val="14"/>
              </w:rPr>
              <w:t>1</w:t>
            </w:r>
            <w:r>
              <w:rPr>
                <w:rFonts w:cs="Calibri"/>
                <w:bCs/>
                <w:color w:val="000000"/>
                <w:sz w:val="14"/>
                <w:szCs w:val="14"/>
              </w:rPr>
              <w:t>.</w:t>
            </w:r>
            <w:r w:rsidRPr="003003C0">
              <w:rPr>
                <w:rFonts w:cs="Calibri"/>
                <w:bCs/>
                <w:color w:val="000000"/>
                <w:sz w:val="14"/>
                <w:szCs w:val="14"/>
              </w:rPr>
              <w:t>1</w:t>
            </w:r>
          </w:p>
        </w:tc>
        <w:tc>
          <w:tcPr>
            <w:tcW w:w="650" w:type="dxa"/>
            <w:noWrap/>
            <w:vAlign w:val="center"/>
            <w:hideMark/>
          </w:tcPr>
          <w:p w14:paraId="72AA94BB" w14:textId="77777777" w:rsidR="004F64EF" w:rsidRPr="003003C0" w:rsidRDefault="004F64EF" w:rsidP="00FD6B66">
            <w:pPr>
              <w:jc w:val="right"/>
              <w:rPr>
                <w:rFonts w:cs="Calibri"/>
                <w:bCs/>
                <w:color w:val="000000"/>
                <w:sz w:val="14"/>
                <w:szCs w:val="14"/>
              </w:rPr>
            </w:pPr>
            <w:r w:rsidRPr="003003C0">
              <w:rPr>
                <w:rFonts w:cs="Calibri"/>
                <w:bCs/>
                <w:color w:val="000000"/>
                <w:sz w:val="14"/>
                <w:szCs w:val="14"/>
              </w:rPr>
              <w:t>1</w:t>
            </w:r>
            <w:r>
              <w:rPr>
                <w:rFonts w:cs="Calibri"/>
                <w:bCs/>
                <w:color w:val="000000"/>
                <w:sz w:val="14"/>
                <w:szCs w:val="14"/>
              </w:rPr>
              <w:t>.</w:t>
            </w:r>
            <w:r w:rsidRPr="003003C0">
              <w:rPr>
                <w:rFonts w:cs="Calibri"/>
                <w:bCs/>
                <w:color w:val="000000"/>
                <w:sz w:val="14"/>
                <w:szCs w:val="14"/>
              </w:rPr>
              <w:t>0</w:t>
            </w:r>
          </w:p>
        </w:tc>
        <w:tc>
          <w:tcPr>
            <w:tcW w:w="650" w:type="dxa"/>
            <w:noWrap/>
            <w:vAlign w:val="center"/>
            <w:hideMark/>
          </w:tcPr>
          <w:p w14:paraId="1518C5A5" w14:textId="77777777" w:rsidR="004F64EF" w:rsidRPr="003003C0" w:rsidRDefault="004F64EF" w:rsidP="00FD6B66">
            <w:pPr>
              <w:jc w:val="right"/>
              <w:rPr>
                <w:rFonts w:cs="Calibri"/>
                <w:bCs/>
                <w:color w:val="000000"/>
                <w:sz w:val="14"/>
                <w:szCs w:val="14"/>
              </w:rPr>
            </w:pPr>
            <w:r w:rsidRPr="003003C0">
              <w:rPr>
                <w:rFonts w:cs="Calibri"/>
                <w:bCs/>
                <w:color w:val="000000"/>
                <w:sz w:val="14"/>
                <w:szCs w:val="14"/>
              </w:rPr>
              <w:t>0</w:t>
            </w:r>
            <w:r>
              <w:rPr>
                <w:rFonts w:cs="Calibri"/>
                <w:bCs/>
                <w:color w:val="000000"/>
                <w:sz w:val="14"/>
                <w:szCs w:val="14"/>
              </w:rPr>
              <w:t>.</w:t>
            </w:r>
            <w:r w:rsidRPr="003003C0">
              <w:rPr>
                <w:rFonts w:cs="Calibri"/>
                <w:bCs/>
                <w:color w:val="000000"/>
                <w:sz w:val="14"/>
                <w:szCs w:val="14"/>
              </w:rPr>
              <w:t>8</w:t>
            </w:r>
          </w:p>
        </w:tc>
        <w:tc>
          <w:tcPr>
            <w:tcW w:w="650" w:type="dxa"/>
            <w:noWrap/>
            <w:vAlign w:val="center"/>
            <w:hideMark/>
          </w:tcPr>
          <w:p w14:paraId="7262FA38" w14:textId="77777777" w:rsidR="004F64EF" w:rsidRPr="003003C0" w:rsidRDefault="004F64EF" w:rsidP="00FD6B66">
            <w:pPr>
              <w:jc w:val="right"/>
              <w:rPr>
                <w:rFonts w:cs="Calibri"/>
                <w:bCs/>
                <w:color w:val="000000"/>
                <w:sz w:val="14"/>
                <w:szCs w:val="14"/>
              </w:rPr>
            </w:pPr>
            <w:r w:rsidRPr="003003C0">
              <w:rPr>
                <w:rFonts w:cs="Calibri"/>
                <w:bCs/>
                <w:color w:val="000000"/>
                <w:sz w:val="14"/>
                <w:szCs w:val="14"/>
              </w:rPr>
              <w:t>0</w:t>
            </w:r>
            <w:r>
              <w:rPr>
                <w:rFonts w:cs="Calibri"/>
                <w:bCs/>
                <w:color w:val="000000"/>
                <w:sz w:val="14"/>
                <w:szCs w:val="14"/>
              </w:rPr>
              <w:t>.</w:t>
            </w:r>
            <w:r w:rsidRPr="003003C0">
              <w:rPr>
                <w:rFonts w:cs="Calibri"/>
                <w:bCs/>
                <w:color w:val="000000"/>
                <w:sz w:val="14"/>
                <w:szCs w:val="14"/>
              </w:rPr>
              <w:t>8</w:t>
            </w:r>
          </w:p>
        </w:tc>
      </w:tr>
      <w:tr w:rsidR="004F64EF" w:rsidRPr="003003C0" w14:paraId="68C388F9" w14:textId="77777777" w:rsidTr="00FD6B66">
        <w:trPr>
          <w:trHeight w:val="20"/>
        </w:trPr>
        <w:tc>
          <w:tcPr>
            <w:tcW w:w="4478" w:type="dxa"/>
            <w:noWrap/>
            <w:vAlign w:val="center"/>
            <w:hideMark/>
          </w:tcPr>
          <w:p w14:paraId="04D1242A" w14:textId="77777777" w:rsidR="004F64EF" w:rsidRPr="003003C0" w:rsidRDefault="004F64EF" w:rsidP="00FD6B66">
            <w:pPr>
              <w:tabs>
                <w:tab w:val="left" w:pos="227"/>
              </w:tabs>
              <w:jc w:val="left"/>
              <w:rPr>
                <w:rFonts w:cs="Calibri"/>
                <w:bCs/>
                <w:color w:val="000000"/>
                <w:sz w:val="14"/>
                <w:szCs w:val="14"/>
              </w:rPr>
            </w:pPr>
            <w:r w:rsidRPr="003003C0">
              <w:rPr>
                <w:rFonts w:cs="Calibri"/>
                <w:bCs/>
                <w:color w:val="000000"/>
                <w:sz w:val="14"/>
                <w:szCs w:val="14"/>
              </w:rPr>
              <w:tab/>
              <w:t xml:space="preserve">64. </w:t>
            </w:r>
            <w:r w:rsidRPr="009803BD">
              <w:rPr>
                <w:rFonts w:cs="Calibri"/>
                <w:bCs/>
                <w:color w:val="000000"/>
                <w:sz w:val="14"/>
                <w:szCs w:val="14"/>
              </w:rPr>
              <w:t>Footwear, gaiters and the like; parts of such articles</w:t>
            </w:r>
          </w:p>
        </w:tc>
        <w:tc>
          <w:tcPr>
            <w:tcW w:w="650" w:type="dxa"/>
            <w:noWrap/>
            <w:vAlign w:val="center"/>
            <w:hideMark/>
          </w:tcPr>
          <w:p w14:paraId="66650013" w14:textId="77777777" w:rsidR="004F64EF" w:rsidRPr="003003C0" w:rsidRDefault="004F64EF" w:rsidP="00FD6B66">
            <w:pPr>
              <w:jc w:val="right"/>
              <w:rPr>
                <w:rFonts w:cs="Calibri"/>
                <w:bCs/>
                <w:color w:val="000000"/>
                <w:sz w:val="14"/>
                <w:szCs w:val="14"/>
              </w:rPr>
            </w:pPr>
            <w:r w:rsidRPr="003003C0">
              <w:rPr>
                <w:rFonts w:cs="Calibri"/>
                <w:bCs/>
                <w:color w:val="000000"/>
                <w:sz w:val="14"/>
                <w:szCs w:val="14"/>
              </w:rPr>
              <w:t>1</w:t>
            </w:r>
            <w:r>
              <w:rPr>
                <w:rFonts w:cs="Calibri"/>
                <w:bCs/>
                <w:color w:val="000000"/>
                <w:sz w:val="14"/>
                <w:szCs w:val="14"/>
              </w:rPr>
              <w:t>.</w:t>
            </w:r>
            <w:r w:rsidRPr="003003C0">
              <w:rPr>
                <w:rFonts w:cs="Calibri"/>
                <w:bCs/>
                <w:color w:val="000000"/>
                <w:sz w:val="14"/>
                <w:szCs w:val="14"/>
              </w:rPr>
              <w:t>7</w:t>
            </w:r>
          </w:p>
        </w:tc>
        <w:tc>
          <w:tcPr>
            <w:tcW w:w="650" w:type="dxa"/>
            <w:noWrap/>
            <w:vAlign w:val="center"/>
            <w:hideMark/>
          </w:tcPr>
          <w:p w14:paraId="4BC0C82C" w14:textId="77777777" w:rsidR="004F64EF" w:rsidRPr="003003C0" w:rsidRDefault="004F64EF" w:rsidP="00FD6B66">
            <w:pPr>
              <w:jc w:val="right"/>
              <w:rPr>
                <w:rFonts w:cs="Calibri"/>
                <w:bCs/>
                <w:color w:val="000000"/>
                <w:sz w:val="14"/>
                <w:szCs w:val="14"/>
              </w:rPr>
            </w:pPr>
            <w:r w:rsidRPr="003003C0">
              <w:rPr>
                <w:rFonts w:cs="Calibri"/>
                <w:bCs/>
                <w:color w:val="000000"/>
                <w:sz w:val="14"/>
                <w:szCs w:val="14"/>
              </w:rPr>
              <w:t>1</w:t>
            </w:r>
            <w:r>
              <w:rPr>
                <w:rFonts w:cs="Calibri"/>
                <w:bCs/>
                <w:color w:val="000000"/>
                <w:sz w:val="14"/>
                <w:szCs w:val="14"/>
              </w:rPr>
              <w:t>.</w:t>
            </w:r>
            <w:r w:rsidRPr="003003C0">
              <w:rPr>
                <w:rFonts w:cs="Calibri"/>
                <w:bCs/>
                <w:color w:val="000000"/>
                <w:sz w:val="14"/>
                <w:szCs w:val="14"/>
              </w:rPr>
              <w:t>5</w:t>
            </w:r>
          </w:p>
        </w:tc>
        <w:tc>
          <w:tcPr>
            <w:tcW w:w="650" w:type="dxa"/>
            <w:noWrap/>
            <w:vAlign w:val="center"/>
            <w:hideMark/>
          </w:tcPr>
          <w:p w14:paraId="3DCC0FB5" w14:textId="77777777" w:rsidR="004F64EF" w:rsidRPr="003003C0" w:rsidRDefault="004F64EF" w:rsidP="00FD6B66">
            <w:pPr>
              <w:jc w:val="right"/>
              <w:rPr>
                <w:rFonts w:cs="Calibri"/>
                <w:bCs/>
                <w:color w:val="000000"/>
                <w:sz w:val="14"/>
                <w:szCs w:val="14"/>
              </w:rPr>
            </w:pPr>
            <w:r w:rsidRPr="003003C0">
              <w:rPr>
                <w:rFonts w:cs="Calibri"/>
                <w:bCs/>
                <w:color w:val="000000"/>
                <w:sz w:val="14"/>
                <w:szCs w:val="14"/>
              </w:rPr>
              <w:t>1</w:t>
            </w:r>
            <w:r>
              <w:rPr>
                <w:rFonts w:cs="Calibri"/>
                <w:bCs/>
                <w:color w:val="000000"/>
                <w:sz w:val="14"/>
                <w:szCs w:val="14"/>
              </w:rPr>
              <w:t>.</w:t>
            </w:r>
            <w:r w:rsidRPr="003003C0">
              <w:rPr>
                <w:rFonts w:cs="Calibri"/>
                <w:bCs/>
                <w:color w:val="000000"/>
                <w:sz w:val="14"/>
                <w:szCs w:val="14"/>
              </w:rPr>
              <w:t>3</w:t>
            </w:r>
          </w:p>
        </w:tc>
        <w:tc>
          <w:tcPr>
            <w:tcW w:w="650" w:type="dxa"/>
            <w:noWrap/>
            <w:vAlign w:val="center"/>
            <w:hideMark/>
          </w:tcPr>
          <w:p w14:paraId="588376C8" w14:textId="77777777" w:rsidR="004F64EF" w:rsidRPr="003003C0" w:rsidRDefault="004F64EF" w:rsidP="00FD6B66">
            <w:pPr>
              <w:jc w:val="right"/>
              <w:rPr>
                <w:rFonts w:cs="Calibri"/>
                <w:bCs/>
                <w:color w:val="000000"/>
                <w:sz w:val="14"/>
                <w:szCs w:val="14"/>
              </w:rPr>
            </w:pPr>
            <w:r w:rsidRPr="003003C0">
              <w:rPr>
                <w:rFonts w:cs="Calibri"/>
                <w:bCs/>
                <w:color w:val="000000"/>
                <w:sz w:val="14"/>
                <w:szCs w:val="14"/>
              </w:rPr>
              <w:t>1</w:t>
            </w:r>
            <w:r>
              <w:rPr>
                <w:rFonts w:cs="Calibri"/>
                <w:bCs/>
                <w:color w:val="000000"/>
                <w:sz w:val="14"/>
                <w:szCs w:val="14"/>
              </w:rPr>
              <w:t>.</w:t>
            </w:r>
            <w:r w:rsidRPr="003003C0">
              <w:rPr>
                <w:rFonts w:cs="Calibri"/>
                <w:bCs/>
                <w:color w:val="000000"/>
                <w:sz w:val="14"/>
                <w:szCs w:val="14"/>
              </w:rPr>
              <w:t>1</w:t>
            </w:r>
          </w:p>
        </w:tc>
        <w:tc>
          <w:tcPr>
            <w:tcW w:w="650" w:type="dxa"/>
            <w:noWrap/>
            <w:vAlign w:val="center"/>
            <w:hideMark/>
          </w:tcPr>
          <w:p w14:paraId="4670C34D" w14:textId="77777777" w:rsidR="004F64EF" w:rsidRPr="003003C0" w:rsidRDefault="004F64EF" w:rsidP="00FD6B66">
            <w:pPr>
              <w:jc w:val="right"/>
              <w:rPr>
                <w:rFonts w:cs="Calibri"/>
                <w:bCs/>
                <w:color w:val="000000"/>
                <w:sz w:val="14"/>
                <w:szCs w:val="14"/>
              </w:rPr>
            </w:pPr>
            <w:r w:rsidRPr="003003C0">
              <w:rPr>
                <w:rFonts w:cs="Calibri"/>
                <w:bCs/>
                <w:color w:val="000000"/>
                <w:sz w:val="14"/>
                <w:szCs w:val="14"/>
              </w:rPr>
              <w:t>1</w:t>
            </w:r>
            <w:r>
              <w:rPr>
                <w:rFonts w:cs="Calibri"/>
                <w:bCs/>
                <w:color w:val="000000"/>
                <w:sz w:val="14"/>
                <w:szCs w:val="14"/>
              </w:rPr>
              <w:t>.</w:t>
            </w:r>
            <w:r w:rsidRPr="003003C0">
              <w:rPr>
                <w:rFonts w:cs="Calibri"/>
                <w:bCs/>
                <w:color w:val="000000"/>
                <w:sz w:val="14"/>
                <w:szCs w:val="14"/>
              </w:rPr>
              <w:t>0</w:t>
            </w:r>
          </w:p>
        </w:tc>
        <w:tc>
          <w:tcPr>
            <w:tcW w:w="650" w:type="dxa"/>
            <w:noWrap/>
            <w:vAlign w:val="center"/>
            <w:hideMark/>
          </w:tcPr>
          <w:p w14:paraId="6F014958" w14:textId="77777777" w:rsidR="004F64EF" w:rsidRPr="003003C0" w:rsidRDefault="004F64EF" w:rsidP="00FD6B66">
            <w:pPr>
              <w:jc w:val="right"/>
              <w:rPr>
                <w:rFonts w:cs="Calibri"/>
                <w:bCs/>
                <w:color w:val="000000"/>
                <w:sz w:val="14"/>
                <w:szCs w:val="14"/>
              </w:rPr>
            </w:pPr>
            <w:r w:rsidRPr="003003C0">
              <w:rPr>
                <w:rFonts w:cs="Calibri"/>
                <w:bCs/>
                <w:color w:val="000000"/>
                <w:sz w:val="14"/>
                <w:szCs w:val="14"/>
              </w:rPr>
              <w:t>0</w:t>
            </w:r>
            <w:r>
              <w:rPr>
                <w:rFonts w:cs="Calibri"/>
                <w:bCs/>
                <w:color w:val="000000"/>
                <w:sz w:val="14"/>
                <w:szCs w:val="14"/>
              </w:rPr>
              <w:t>.</w:t>
            </w:r>
            <w:r w:rsidRPr="003003C0">
              <w:rPr>
                <w:rFonts w:cs="Calibri"/>
                <w:bCs/>
                <w:color w:val="000000"/>
                <w:sz w:val="14"/>
                <w:szCs w:val="14"/>
              </w:rPr>
              <w:t>7</w:t>
            </w:r>
          </w:p>
        </w:tc>
        <w:tc>
          <w:tcPr>
            <w:tcW w:w="650" w:type="dxa"/>
            <w:noWrap/>
            <w:vAlign w:val="center"/>
            <w:hideMark/>
          </w:tcPr>
          <w:p w14:paraId="1F67B626" w14:textId="77777777" w:rsidR="004F64EF" w:rsidRPr="003003C0" w:rsidRDefault="004F64EF" w:rsidP="00FD6B66">
            <w:pPr>
              <w:jc w:val="right"/>
              <w:rPr>
                <w:rFonts w:cs="Calibri"/>
                <w:bCs/>
                <w:color w:val="000000"/>
                <w:sz w:val="14"/>
                <w:szCs w:val="14"/>
              </w:rPr>
            </w:pPr>
            <w:r w:rsidRPr="003003C0">
              <w:rPr>
                <w:rFonts w:cs="Calibri"/>
                <w:bCs/>
                <w:color w:val="000000"/>
                <w:sz w:val="14"/>
                <w:szCs w:val="14"/>
              </w:rPr>
              <w:t>0</w:t>
            </w:r>
            <w:r>
              <w:rPr>
                <w:rFonts w:cs="Calibri"/>
                <w:bCs/>
                <w:color w:val="000000"/>
                <w:sz w:val="14"/>
                <w:szCs w:val="14"/>
              </w:rPr>
              <w:t>.</w:t>
            </w:r>
            <w:r w:rsidRPr="003003C0">
              <w:rPr>
                <w:rFonts w:cs="Calibri"/>
                <w:bCs/>
                <w:color w:val="000000"/>
                <w:sz w:val="14"/>
                <w:szCs w:val="14"/>
              </w:rPr>
              <w:t>8</w:t>
            </w:r>
          </w:p>
        </w:tc>
      </w:tr>
      <w:tr w:rsidR="004F64EF" w:rsidRPr="003003C0" w14:paraId="21274CDB" w14:textId="77777777" w:rsidTr="00FD6B66">
        <w:trPr>
          <w:cnfStyle w:val="000000010000" w:firstRow="0" w:lastRow="0" w:firstColumn="0" w:lastColumn="0" w:oddVBand="0" w:evenVBand="0" w:oddHBand="0" w:evenHBand="1" w:firstRowFirstColumn="0" w:firstRowLastColumn="0" w:lastRowFirstColumn="0" w:lastRowLastColumn="0"/>
          <w:trHeight w:val="20"/>
        </w:trPr>
        <w:tc>
          <w:tcPr>
            <w:tcW w:w="4478" w:type="dxa"/>
            <w:noWrap/>
            <w:vAlign w:val="center"/>
            <w:hideMark/>
          </w:tcPr>
          <w:p w14:paraId="306AA900" w14:textId="77777777" w:rsidR="004F64EF" w:rsidRPr="003003C0" w:rsidRDefault="004F64EF" w:rsidP="00FD6B66">
            <w:pPr>
              <w:jc w:val="left"/>
              <w:rPr>
                <w:rFonts w:cs="Calibri"/>
                <w:bCs/>
                <w:color w:val="000000"/>
                <w:sz w:val="14"/>
                <w:szCs w:val="14"/>
              </w:rPr>
            </w:pPr>
            <w:r w:rsidRPr="003003C0">
              <w:rPr>
                <w:rFonts w:cs="Calibri"/>
                <w:bCs/>
                <w:color w:val="000000"/>
                <w:sz w:val="14"/>
                <w:szCs w:val="14"/>
              </w:rPr>
              <w:t xml:space="preserve">13 - </w:t>
            </w:r>
            <w:r w:rsidRPr="005D46CC">
              <w:rPr>
                <w:rFonts w:cs="Calibri"/>
                <w:bCs/>
                <w:color w:val="000000"/>
                <w:sz w:val="14"/>
                <w:szCs w:val="14"/>
              </w:rPr>
              <w:t>Articles of stone, plaster, cement, asbestos, mica or similar materials; ceramic products; glass and glassware</w:t>
            </w:r>
          </w:p>
        </w:tc>
        <w:tc>
          <w:tcPr>
            <w:tcW w:w="650" w:type="dxa"/>
            <w:noWrap/>
            <w:vAlign w:val="center"/>
            <w:hideMark/>
          </w:tcPr>
          <w:p w14:paraId="06E23819" w14:textId="77777777" w:rsidR="004F64EF" w:rsidRPr="003003C0" w:rsidRDefault="004F64EF" w:rsidP="00FD6B66">
            <w:pPr>
              <w:jc w:val="right"/>
              <w:rPr>
                <w:rFonts w:cs="Calibri"/>
                <w:bCs/>
                <w:color w:val="000000"/>
                <w:sz w:val="14"/>
                <w:szCs w:val="14"/>
              </w:rPr>
            </w:pPr>
            <w:r w:rsidRPr="003003C0">
              <w:rPr>
                <w:rFonts w:cs="Calibri"/>
                <w:bCs/>
                <w:color w:val="000000"/>
                <w:sz w:val="14"/>
                <w:szCs w:val="14"/>
              </w:rPr>
              <w:t>0</w:t>
            </w:r>
            <w:r>
              <w:rPr>
                <w:rFonts w:cs="Calibri"/>
                <w:bCs/>
                <w:color w:val="000000"/>
                <w:sz w:val="14"/>
                <w:szCs w:val="14"/>
              </w:rPr>
              <w:t>.</w:t>
            </w:r>
            <w:r w:rsidRPr="003003C0">
              <w:rPr>
                <w:rFonts w:cs="Calibri"/>
                <w:bCs/>
                <w:color w:val="000000"/>
                <w:sz w:val="14"/>
                <w:szCs w:val="14"/>
              </w:rPr>
              <w:t>3</w:t>
            </w:r>
          </w:p>
        </w:tc>
        <w:tc>
          <w:tcPr>
            <w:tcW w:w="650" w:type="dxa"/>
            <w:noWrap/>
            <w:vAlign w:val="center"/>
            <w:hideMark/>
          </w:tcPr>
          <w:p w14:paraId="2F8EDB6B" w14:textId="77777777" w:rsidR="004F64EF" w:rsidRPr="003003C0" w:rsidRDefault="004F64EF" w:rsidP="00FD6B66">
            <w:pPr>
              <w:jc w:val="right"/>
              <w:rPr>
                <w:rFonts w:cs="Calibri"/>
                <w:bCs/>
                <w:color w:val="000000"/>
                <w:sz w:val="14"/>
                <w:szCs w:val="14"/>
              </w:rPr>
            </w:pPr>
            <w:r w:rsidRPr="003003C0">
              <w:rPr>
                <w:rFonts w:cs="Calibri"/>
                <w:bCs/>
                <w:color w:val="000000"/>
                <w:sz w:val="14"/>
                <w:szCs w:val="14"/>
              </w:rPr>
              <w:t>0</w:t>
            </w:r>
            <w:r>
              <w:rPr>
                <w:rFonts w:cs="Calibri"/>
                <w:bCs/>
                <w:color w:val="000000"/>
                <w:sz w:val="14"/>
                <w:szCs w:val="14"/>
              </w:rPr>
              <w:t>.</w:t>
            </w:r>
            <w:r w:rsidRPr="003003C0">
              <w:rPr>
                <w:rFonts w:cs="Calibri"/>
                <w:bCs/>
                <w:color w:val="000000"/>
                <w:sz w:val="14"/>
                <w:szCs w:val="14"/>
              </w:rPr>
              <w:t>2</w:t>
            </w:r>
          </w:p>
        </w:tc>
        <w:tc>
          <w:tcPr>
            <w:tcW w:w="650" w:type="dxa"/>
            <w:noWrap/>
            <w:vAlign w:val="center"/>
            <w:hideMark/>
          </w:tcPr>
          <w:p w14:paraId="16846487" w14:textId="77777777" w:rsidR="004F64EF" w:rsidRPr="003003C0" w:rsidRDefault="004F64EF" w:rsidP="00FD6B66">
            <w:pPr>
              <w:jc w:val="right"/>
              <w:rPr>
                <w:rFonts w:cs="Calibri"/>
                <w:bCs/>
                <w:color w:val="000000"/>
                <w:sz w:val="14"/>
                <w:szCs w:val="14"/>
              </w:rPr>
            </w:pPr>
            <w:r w:rsidRPr="003003C0">
              <w:rPr>
                <w:rFonts w:cs="Calibri"/>
                <w:bCs/>
                <w:color w:val="000000"/>
                <w:sz w:val="14"/>
                <w:szCs w:val="14"/>
              </w:rPr>
              <w:t>0</w:t>
            </w:r>
            <w:r>
              <w:rPr>
                <w:rFonts w:cs="Calibri"/>
                <w:bCs/>
                <w:color w:val="000000"/>
                <w:sz w:val="14"/>
                <w:szCs w:val="14"/>
              </w:rPr>
              <w:t>.</w:t>
            </w:r>
            <w:r w:rsidRPr="003003C0">
              <w:rPr>
                <w:rFonts w:cs="Calibri"/>
                <w:bCs/>
                <w:color w:val="000000"/>
                <w:sz w:val="14"/>
                <w:szCs w:val="14"/>
              </w:rPr>
              <w:t>3</w:t>
            </w:r>
          </w:p>
        </w:tc>
        <w:tc>
          <w:tcPr>
            <w:tcW w:w="650" w:type="dxa"/>
            <w:noWrap/>
            <w:vAlign w:val="center"/>
            <w:hideMark/>
          </w:tcPr>
          <w:p w14:paraId="70113B8C" w14:textId="77777777" w:rsidR="004F64EF" w:rsidRPr="003003C0" w:rsidRDefault="004F64EF" w:rsidP="00FD6B66">
            <w:pPr>
              <w:jc w:val="right"/>
              <w:rPr>
                <w:rFonts w:cs="Calibri"/>
                <w:bCs/>
                <w:color w:val="000000"/>
                <w:sz w:val="14"/>
                <w:szCs w:val="14"/>
              </w:rPr>
            </w:pPr>
            <w:r w:rsidRPr="003003C0">
              <w:rPr>
                <w:rFonts w:cs="Calibri"/>
                <w:bCs/>
                <w:color w:val="000000"/>
                <w:sz w:val="14"/>
                <w:szCs w:val="14"/>
              </w:rPr>
              <w:t>0</w:t>
            </w:r>
            <w:r>
              <w:rPr>
                <w:rFonts w:cs="Calibri"/>
                <w:bCs/>
                <w:color w:val="000000"/>
                <w:sz w:val="14"/>
                <w:szCs w:val="14"/>
              </w:rPr>
              <w:t>.</w:t>
            </w:r>
            <w:r w:rsidRPr="003003C0">
              <w:rPr>
                <w:rFonts w:cs="Calibri"/>
                <w:bCs/>
                <w:color w:val="000000"/>
                <w:sz w:val="14"/>
                <w:szCs w:val="14"/>
              </w:rPr>
              <w:t>3</w:t>
            </w:r>
          </w:p>
        </w:tc>
        <w:tc>
          <w:tcPr>
            <w:tcW w:w="650" w:type="dxa"/>
            <w:noWrap/>
            <w:vAlign w:val="center"/>
            <w:hideMark/>
          </w:tcPr>
          <w:p w14:paraId="60266604" w14:textId="77777777" w:rsidR="004F64EF" w:rsidRPr="003003C0" w:rsidRDefault="004F64EF" w:rsidP="00FD6B66">
            <w:pPr>
              <w:jc w:val="right"/>
              <w:rPr>
                <w:rFonts w:cs="Calibri"/>
                <w:bCs/>
                <w:color w:val="000000"/>
                <w:sz w:val="14"/>
                <w:szCs w:val="14"/>
              </w:rPr>
            </w:pPr>
            <w:r w:rsidRPr="003003C0">
              <w:rPr>
                <w:rFonts w:cs="Calibri"/>
                <w:bCs/>
                <w:color w:val="000000"/>
                <w:sz w:val="14"/>
                <w:szCs w:val="14"/>
              </w:rPr>
              <w:t>0</w:t>
            </w:r>
            <w:r>
              <w:rPr>
                <w:rFonts w:cs="Calibri"/>
                <w:bCs/>
                <w:color w:val="000000"/>
                <w:sz w:val="14"/>
                <w:szCs w:val="14"/>
              </w:rPr>
              <w:t>.</w:t>
            </w:r>
            <w:r w:rsidRPr="003003C0">
              <w:rPr>
                <w:rFonts w:cs="Calibri"/>
                <w:bCs/>
                <w:color w:val="000000"/>
                <w:sz w:val="14"/>
                <w:szCs w:val="14"/>
              </w:rPr>
              <w:t>3</w:t>
            </w:r>
          </w:p>
        </w:tc>
        <w:tc>
          <w:tcPr>
            <w:tcW w:w="650" w:type="dxa"/>
            <w:noWrap/>
            <w:vAlign w:val="center"/>
            <w:hideMark/>
          </w:tcPr>
          <w:p w14:paraId="3C24808B" w14:textId="77777777" w:rsidR="004F64EF" w:rsidRPr="003003C0" w:rsidRDefault="004F64EF" w:rsidP="00FD6B66">
            <w:pPr>
              <w:jc w:val="right"/>
              <w:rPr>
                <w:rFonts w:cs="Calibri"/>
                <w:bCs/>
                <w:color w:val="000000"/>
                <w:sz w:val="14"/>
                <w:szCs w:val="14"/>
              </w:rPr>
            </w:pPr>
            <w:r w:rsidRPr="003003C0">
              <w:rPr>
                <w:rFonts w:cs="Calibri"/>
                <w:bCs/>
                <w:color w:val="000000"/>
                <w:sz w:val="14"/>
                <w:szCs w:val="14"/>
              </w:rPr>
              <w:t>0</w:t>
            </w:r>
            <w:r>
              <w:rPr>
                <w:rFonts w:cs="Calibri"/>
                <w:bCs/>
                <w:color w:val="000000"/>
                <w:sz w:val="14"/>
                <w:szCs w:val="14"/>
              </w:rPr>
              <w:t>.</w:t>
            </w:r>
            <w:r w:rsidRPr="003003C0">
              <w:rPr>
                <w:rFonts w:cs="Calibri"/>
                <w:bCs/>
                <w:color w:val="000000"/>
                <w:sz w:val="14"/>
                <w:szCs w:val="14"/>
              </w:rPr>
              <w:t>4</w:t>
            </w:r>
          </w:p>
        </w:tc>
        <w:tc>
          <w:tcPr>
            <w:tcW w:w="650" w:type="dxa"/>
            <w:noWrap/>
            <w:vAlign w:val="center"/>
            <w:hideMark/>
          </w:tcPr>
          <w:p w14:paraId="5F642D36" w14:textId="77777777" w:rsidR="004F64EF" w:rsidRPr="003003C0" w:rsidRDefault="004F64EF" w:rsidP="00FD6B66">
            <w:pPr>
              <w:jc w:val="right"/>
              <w:rPr>
                <w:rFonts w:cs="Calibri"/>
                <w:bCs/>
                <w:color w:val="000000"/>
                <w:sz w:val="14"/>
                <w:szCs w:val="14"/>
              </w:rPr>
            </w:pPr>
            <w:r w:rsidRPr="003003C0">
              <w:rPr>
                <w:rFonts w:cs="Calibri"/>
                <w:bCs/>
                <w:color w:val="000000"/>
                <w:sz w:val="14"/>
                <w:szCs w:val="14"/>
              </w:rPr>
              <w:t>0</w:t>
            </w:r>
            <w:r>
              <w:rPr>
                <w:rFonts w:cs="Calibri"/>
                <w:bCs/>
                <w:color w:val="000000"/>
                <w:sz w:val="14"/>
                <w:szCs w:val="14"/>
              </w:rPr>
              <w:t>.</w:t>
            </w:r>
            <w:r w:rsidRPr="003003C0">
              <w:rPr>
                <w:rFonts w:cs="Calibri"/>
                <w:bCs/>
                <w:color w:val="000000"/>
                <w:sz w:val="14"/>
                <w:szCs w:val="14"/>
              </w:rPr>
              <w:t>4</w:t>
            </w:r>
          </w:p>
        </w:tc>
      </w:tr>
      <w:tr w:rsidR="004F64EF" w:rsidRPr="003003C0" w14:paraId="0FDF9173" w14:textId="77777777" w:rsidTr="00FD6B66">
        <w:trPr>
          <w:trHeight w:val="20"/>
        </w:trPr>
        <w:tc>
          <w:tcPr>
            <w:tcW w:w="4478" w:type="dxa"/>
            <w:noWrap/>
            <w:vAlign w:val="center"/>
            <w:hideMark/>
          </w:tcPr>
          <w:p w14:paraId="7BBC3809" w14:textId="77777777" w:rsidR="004F64EF" w:rsidRPr="003003C0" w:rsidRDefault="004F64EF" w:rsidP="00FD6B66">
            <w:pPr>
              <w:tabs>
                <w:tab w:val="left" w:pos="227"/>
              </w:tabs>
              <w:jc w:val="left"/>
              <w:rPr>
                <w:rFonts w:cs="Calibri"/>
                <w:bCs/>
                <w:color w:val="000000"/>
                <w:sz w:val="14"/>
                <w:szCs w:val="14"/>
              </w:rPr>
            </w:pPr>
            <w:r w:rsidRPr="003003C0">
              <w:rPr>
                <w:rFonts w:cs="Calibri"/>
                <w:bCs/>
                <w:color w:val="000000"/>
                <w:sz w:val="14"/>
                <w:szCs w:val="14"/>
              </w:rPr>
              <w:tab/>
              <w:t xml:space="preserve">70. </w:t>
            </w:r>
            <w:r w:rsidRPr="009803BD">
              <w:rPr>
                <w:rFonts w:cs="Calibri"/>
                <w:bCs/>
                <w:color w:val="000000"/>
                <w:sz w:val="14"/>
                <w:szCs w:val="14"/>
              </w:rPr>
              <w:t>Glass and glassware</w:t>
            </w:r>
          </w:p>
        </w:tc>
        <w:tc>
          <w:tcPr>
            <w:tcW w:w="650" w:type="dxa"/>
            <w:noWrap/>
            <w:vAlign w:val="center"/>
            <w:hideMark/>
          </w:tcPr>
          <w:p w14:paraId="7EBEA03C" w14:textId="77777777" w:rsidR="004F64EF" w:rsidRPr="003003C0" w:rsidRDefault="004F64EF" w:rsidP="00FD6B66">
            <w:pPr>
              <w:jc w:val="right"/>
              <w:rPr>
                <w:rFonts w:cs="Calibri"/>
                <w:bCs/>
                <w:color w:val="000000"/>
                <w:sz w:val="14"/>
                <w:szCs w:val="14"/>
              </w:rPr>
            </w:pPr>
            <w:r w:rsidRPr="003003C0">
              <w:rPr>
                <w:rFonts w:cs="Calibri"/>
                <w:bCs/>
                <w:color w:val="000000"/>
                <w:sz w:val="14"/>
                <w:szCs w:val="14"/>
              </w:rPr>
              <w:t>0</w:t>
            </w:r>
            <w:r>
              <w:rPr>
                <w:rFonts w:cs="Calibri"/>
                <w:bCs/>
                <w:color w:val="000000"/>
                <w:sz w:val="14"/>
                <w:szCs w:val="14"/>
              </w:rPr>
              <w:t>.</w:t>
            </w:r>
            <w:r w:rsidRPr="003003C0">
              <w:rPr>
                <w:rFonts w:cs="Calibri"/>
                <w:bCs/>
                <w:color w:val="000000"/>
                <w:sz w:val="14"/>
                <w:szCs w:val="14"/>
              </w:rPr>
              <w:t>2</w:t>
            </w:r>
          </w:p>
        </w:tc>
        <w:tc>
          <w:tcPr>
            <w:tcW w:w="650" w:type="dxa"/>
            <w:noWrap/>
            <w:vAlign w:val="center"/>
            <w:hideMark/>
          </w:tcPr>
          <w:p w14:paraId="72161E72" w14:textId="77777777" w:rsidR="004F64EF" w:rsidRPr="003003C0" w:rsidRDefault="004F64EF" w:rsidP="00FD6B66">
            <w:pPr>
              <w:jc w:val="right"/>
              <w:rPr>
                <w:rFonts w:cs="Calibri"/>
                <w:bCs/>
                <w:color w:val="000000"/>
                <w:sz w:val="14"/>
                <w:szCs w:val="14"/>
              </w:rPr>
            </w:pPr>
            <w:r w:rsidRPr="003003C0">
              <w:rPr>
                <w:rFonts w:cs="Calibri"/>
                <w:bCs/>
                <w:color w:val="000000"/>
                <w:sz w:val="14"/>
                <w:szCs w:val="14"/>
              </w:rPr>
              <w:t>0</w:t>
            </w:r>
            <w:r>
              <w:rPr>
                <w:rFonts w:cs="Calibri"/>
                <w:bCs/>
                <w:color w:val="000000"/>
                <w:sz w:val="14"/>
                <w:szCs w:val="14"/>
              </w:rPr>
              <w:t>.</w:t>
            </w:r>
            <w:r w:rsidRPr="003003C0">
              <w:rPr>
                <w:rFonts w:cs="Calibri"/>
                <w:bCs/>
                <w:color w:val="000000"/>
                <w:sz w:val="14"/>
                <w:szCs w:val="14"/>
              </w:rPr>
              <w:t>2</w:t>
            </w:r>
          </w:p>
        </w:tc>
        <w:tc>
          <w:tcPr>
            <w:tcW w:w="650" w:type="dxa"/>
            <w:noWrap/>
            <w:vAlign w:val="center"/>
            <w:hideMark/>
          </w:tcPr>
          <w:p w14:paraId="559AF6F8" w14:textId="77777777" w:rsidR="004F64EF" w:rsidRPr="003003C0" w:rsidRDefault="004F64EF" w:rsidP="00FD6B66">
            <w:pPr>
              <w:jc w:val="right"/>
              <w:rPr>
                <w:rFonts w:cs="Calibri"/>
                <w:bCs/>
                <w:color w:val="000000"/>
                <w:sz w:val="14"/>
                <w:szCs w:val="14"/>
              </w:rPr>
            </w:pPr>
            <w:r w:rsidRPr="003003C0">
              <w:rPr>
                <w:rFonts w:cs="Calibri"/>
                <w:bCs/>
                <w:color w:val="000000"/>
                <w:sz w:val="14"/>
                <w:szCs w:val="14"/>
              </w:rPr>
              <w:t>0</w:t>
            </w:r>
            <w:r>
              <w:rPr>
                <w:rFonts w:cs="Calibri"/>
                <w:bCs/>
                <w:color w:val="000000"/>
                <w:sz w:val="14"/>
                <w:szCs w:val="14"/>
              </w:rPr>
              <w:t>.</w:t>
            </w:r>
            <w:r w:rsidRPr="003003C0">
              <w:rPr>
                <w:rFonts w:cs="Calibri"/>
                <w:bCs/>
                <w:color w:val="000000"/>
                <w:sz w:val="14"/>
                <w:szCs w:val="14"/>
              </w:rPr>
              <w:t>2</w:t>
            </w:r>
          </w:p>
        </w:tc>
        <w:tc>
          <w:tcPr>
            <w:tcW w:w="650" w:type="dxa"/>
            <w:noWrap/>
            <w:vAlign w:val="center"/>
            <w:hideMark/>
          </w:tcPr>
          <w:p w14:paraId="3501762A" w14:textId="77777777" w:rsidR="004F64EF" w:rsidRPr="003003C0" w:rsidRDefault="004F64EF" w:rsidP="00FD6B66">
            <w:pPr>
              <w:jc w:val="right"/>
              <w:rPr>
                <w:rFonts w:cs="Calibri"/>
                <w:bCs/>
                <w:color w:val="000000"/>
                <w:sz w:val="14"/>
                <w:szCs w:val="14"/>
              </w:rPr>
            </w:pPr>
            <w:r w:rsidRPr="003003C0">
              <w:rPr>
                <w:rFonts w:cs="Calibri"/>
                <w:bCs/>
                <w:color w:val="000000"/>
                <w:sz w:val="14"/>
                <w:szCs w:val="14"/>
              </w:rPr>
              <w:t>0</w:t>
            </w:r>
            <w:r>
              <w:rPr>
                <w:rFonts w:cs="Calibri"/>
                <w:bCs/>
                <w:color w:val="000000"/>
                <w:sz w:val="14"/>
                <w:szCs w:val="14"/>
              </w:rPr>
              <w:t>.</w:t>
            </w:r>
            <w:r w:rsidRPr="003003C0">
              <w:rPr>
                <w:rFonts w:cs="Calibri"/>
                <w:bCs/>
                <w:color w:val="000000"/>
                <w:sz w:val="14"/>
                <w:szCs w:val="14"/>
              </w:rPr>
              <w:t>2</w:t>
            </w:r>
          </w:p>
        </w:tc>
        <w:tc>
          <w:tcPr>
            <w:tcW w:w="650" w:type="dxa"/>
            <w:noWrap/>
            <w:vAlign w:val="center"/>
            <w:hideMark/>
          </w:tcPr>
          <w:p w14:paraId="141EFC95" w14:textId="77777777" w:rsidR="004F64EF" w:rsidRPr="003003C0" w:rsidRDefault="004F64EF" w:rsidP="00FD6B66">
            <w:pPr>
              <w:jc w:val="right"/>
              <w:rPr>
                <w:rFonts w:cs="Calibri"/>
                <w:bCs/>
                <w:color w:val="000000"/>
                <w:sz w:val="14"/>
                <w:szCs w:val="14"/>
              </w:rPr>
            </w:pPr>
            <w:r w:rsidRPr="003003C0">
              <w:rPr>
                <w:rFonts w:cs="Calibri"/>
                <w:bCs/>
                <w:color w:val="000000"/>
                <w:sz w:val="14"/>
                <w:szCs w:val="14"/>
              </w:rPr>
              <w:t>0</w:t>
            </w:r>
            <w:r>
              <w:rPr>
                <w:rFonts w:cs="Calibri"/>
                <w:bCs/>
                <w:color w:val="000000"/>
                <w:sz w:val="14"/>
                <w:szCs w:val="14"/>
              </w:rPr>
              <w:t>.</w:t>
            </w:r>
            <w:r w:rsidRPr="003003C0">
              <w:rPr>
                <w:rFonts w:cs="Calibri"/>
                <w:bCs/>
                <w:color w:val="000000"/>
                <w:sz w:val="14"/>
                <w:szCs w:val="14"/>
              </w:rPr>
              <w:t>2</w:t>
            </w:r>
          </w:p>
        </w:tc>
        <w:tc>
          <w:tcPr>
            <w:tcW w:w="650" w:type="dxa"/>
            <w:noWrap/>
            <w:vAlign w:val="center"/>
            <w:hideMark/>
          </w:tcPr>
          <w:p w14:paraId="03CC9302" w14:textId="77777777" w:rsidR="004F64EF" w:rsidRPr="003003C0" w:rsidRDefault="004F64EF" w:rsidP="00FD6B66">
            <w:pPr>
              <w:jc w:val="right"/>
              <w:rPr>
                <w:rFonts w:cs="Calibri"/>
                <w:bCs/>
                <w:color w:val="000000"/>
                <w:sz w:val="14"/>
                <w:szCs w:val="14"/>
              </w:rPr>
            </w:pPr>
            <w:r w:rsidRPr="003003C0">
              <w:rPr>
                <w:rFonts w:cs="Calibri"/>
                <w:bCs/>
                <w:color w:val="000000"/>
                <w:sz w:val="14"/>
                <w:szCs w:val="14"/>
              </w:rPr>
              <w:t>0</w:t>
            </w:r>
            <w:r>
              <w:rPr>
                <w:rFonts w:cs="Calibri"/>
                <w:bCs/>
                <w:color w:val="000000"/>
                <w:sz w:val="14"/>
                <w:szCs w:val="14"/>
              </w:rPr>
              <w:t>.</w:t>
            </w:r>
            <w:r w:rsidRPr="003003C0">
              <w:rPr>
                <w:rFonts w:cs="Calibri"/>
                <w:bCs/>
                <w:color w:val="000000"/>
                <w:sz w:val="14"/>
                <w:szCs w:val="14"/>
              </w:rPr>
              <w:t>3</w:t>
            </w:r>
          </w:p>
        </w:tc>
        <w:tc>
          <w:tcPr>
            <w:tcW w:w="650" w:type="dxa"/>
            <w:noWrap/>
            <w:vAlign w:val="center"/>
            <w:hideMark/>
          </w:tcPr>
          <w:p w14:paraId="5A307404" w14:textId="77777777" w:rsidR="004F64EF" w:rsidRPr="003003C0" w:rsidRDefault="004F64EF" w:rsidP="00FD6B66">
            <w:pPr>
              <w:jc w:val="right"/>
              <w:rPr>
                <w:rFonts w:cs="Calibri"/>
                <w:bCs/>
                <w:color w:val="000000"/>
                <w:sz w:val="14"/>
                <w:szCs w:val="14"/>
              </w:rPr>
            </w:pPr>
            <w:r w:rsidRPr="003003C0">
              <w:rPr>
                <w:rFonts w:cs="Calibri"/>
                <w:bCs/>
                <w:color w:val="000000"/>
                <w:sz w:val="14"/>
                <w:szCs w:val="14"/>
              </w:rPr>
              <w:t>0</w:t>
            </w:r>
            <w:r>
              <w:rPr>
                <w:rFonts w:cs="Calibri"/>
                <w:bCs/>
                <w:color w:val="000000"/>
                <w:sz w:val="14"/>
                <w:szCs w:val="14"/>
              </w:rPr>
              <w:t>.</w:t>
            </w:r>
            <w:r w:rsidRPr="003003C0">
              <w:rPr>
                <w:rFonts w:cs="Calibri"/>
                <w:bCs/>
                <w:color w:val="000000"/>
                <w:sz w:val="14"/>
                <w:szCs w:val="14"/>
              </w:rPr>
              <w:t>4</w:t>
            </w:r>
          </w:p>
        </w:tc>
      </w:tr>
      <w:tr w:rsidR="004F64EF" w:rsidRPr="003003C0" w14:paraId="6EA06F4A" w14:textId="77777777" w:rsidTr="00FD6B66">
        <w:trPr>
          <w:cnfStyle w:val="000000010000" w:firstRow="0" w:lastRow="0" w:firstColumn="0" w:lastColumn="0" w:oddVBand="0" w:evenVBand="0" w:oddHBand="0" w:evenHBand="1" w:firstRowFirstColumn="0" w:firstRowLastColumn="0" w:lastRowFirstColumn="0" w:lastRowLastColumn="0"/>
          <w:trHeight w:val="20"/>
        </w:trPr>
        <w:tc>
          <w:tcPr>
            <w:tcW w:w="4478" w:type="dxa"/>
            <w:noWrap/>
            <w:vAlign w:val="center"/>
            <w:hideMark/>
          </w:tcPr>
          <w:p w14:paraId="0EDBB402" w14:textId="77777777" w:rsidR="004F64EF" w:rsidRPr="003003C0" w:rsidRDefault="004F64EF" w:rsidP="00FD6B66">
            <w:pPr>
              <w:jc w:val="left"/>
              <w:rPr>
                <w:rFonts w:cs="Calibri"/>
                <w:bCs/>
                <w:color w:val="000000"/>
                <w:sz w:val="14"/>
                <w:szCs w:val="14"/>
              </w:rPr>
            </w:pPr>
            <w:r w:rsidRPr="003003C0">
              <w:rPr>
                <w:rFonts w:cs="Calibri"/>
                <w:bCs/>
                <w:color w:val="000000"/>
                <w:sz w:val="14"/>
                <w:szCs w:val="14"/>
              </w:rPr>
              <w:t xml:space="preserve">14 - </w:t>
            </w:r>
            <w:r w:rsidRPr="005D46CC">
              <w:rPr>
                <w:rFonts w:cs="Calibri"/>
                <w:bCs/>
                <w:color w:val="000000"/>
                <w:sz w:val="14"/>
                <w:szCs w:val="14"/>
              </w:rPr>
              <w:t>Natural or cultured pearls, precious or semi-precious stones, precious metals</w:t>
            </w:r>
          </w:p>
        </w:tc>
        <w:tc>
          <w:tcPr>
            <w:tcW w:w="650" w:type="dxa"/>
            <w:noWrap/>
            <w:vAlign w:val="center"/>
            <w:hideMark/>
          </w:tcPr>
          <w:p w14:paraId="1D95724B" w14:textId="77777777" w:rsidR="004F64EF" w:rsidRPr="003003C0" w:rsidRDefault="004F64EF" w:rsidP="00FD6B66">
            <w:pPr>
              <w:jc w:val="right"/>
              <w:rPr>
                <w:rFonts w:cs="Calibri"/>
                <w:bCs/>
                <w:color w:val="000000"/>
                <w:sz w:val="14"/>
                <w:szCs w:val="14"/>
              </w:rPr>
            </w:pPr>
            <w:r w:rsidRPr="003003C0">
              <w:rPr>
                <w:rFonts w:cs="Calibri"/>
                <w:bCs/>
                <w:color w:val="000000"/>
                <w:sz w:val="14"/>
                <w:szCs w:val="14"/>
              </w:rPr>
              <w:t>9</w:t>
            </w:r>
            <w:r>
              <w:rPr>
                <w:rFonts w:cs="Calibri"/>
                <w:bCs/>
                <w:color w:val="000000"/>
                <w:sz w:val="14"/>
                <w:szCs w:val="14"/>
              </w:rPr>
              <w:t>.</w:t>
            </w:r>
            <w:r w:rsidRPr="003003C0">
              <w:rPr>
                <w:rFonts w:cs="Calibri"/>
                <w:bCs/>
                <w:color w:val="000000"/>
                <w:sz w:val="14"/>
                <w:szCs w:val="14"/>
              </w:rPr>
              <w:t>6</w:t>
            </w:r>
          </w:p>
        </w:tc>
        <w:tc>
          <w:tcPr>
            <w:tcW w:w="650" w:type="dxa"/>
            <w:noWrap/>
            <w:vAlign w:val="center"/>
            <w:hideMark/>
          </w:tcPr>
          <w:p w14:paraId="094E5841" w14:textId="77777777" w:rsidR="004F64EF" w:rsidRPr="003003C0" w:rsidRDefault="004F64EF" w:rsidP="00FD6B66">
            <w:pPr>
              <w:jc w:val="right"/>
              <w:rPr>
                <w:rFonts w:cs="Calibri"/>
                <w:bCs/>
                <w:color w:val="000000"/>
                <w:sz w:val="14"/>
                <w:szCs w:val="14"/>
              </w:rPr>
            </w:pPr>
            <w:r w:rsidRPr="003003C0">
              <w:rPr>
                <w:rFonts w:cs="Calibri"/>
                <w:bCs/>
                <w:color w:val="000000"/>
                <w:sz w:val="14"/>
                <w:szCs w:val="14"/>
              </w:rPr>
              <w:t>11</w:t>
            </w:r>
            <w:r>
              <w:rPr>
                <w:rFonts w:cs="Calibri"/>
                <w:bCs/>
                <w:color w:val="000000"/>
                <w:sz w:val="14"/>
                <w:szCs w:val="14"/>
              </w:rPr>
              <w:t>.</w:t>
            </w:r>
            <w:r w:rsidRPr="003003C0">
              <w:rPr>
                <w:rFonts w:cs="Calibri"/>
                <w:bCs/>
                <w:color w:val="000000"/>
                <w:sz w:val="14"/>
                <w:szCs w:val="14"/>
              </w:rPr>
              <w:t>2</w:t>
            </w:r>
          </w:p>
        </w:tc>
        <w:tc>
          <w:tcPr>
            <w:tcW w:w="650" w:type="dxa"/>
            <w:noWrap/>
            <w:vAlign w:val="center"/>
            <w:hideMark/>
          </w:tcPr>
          <w:p w14:paraId="1D9C6126" w14:textId="77777777" w:rsidR="004F64EF" w:rsidRPr="003003C0" w:rsidRDefault="004F64EF" w:rsidP="00FD6B66">
            <w:pPr>
              <w:jc w:val="right"/>
              <w:rPr>
                <w:rFonts w:cs="Calibri"/>
                <w:bCs/>
                <w:color w:val="000000"/>
                <w:sz w:val="14"/>
                <w:szCs w:val="14"/>
              </w:rPr>
            </w:pPr>
            <w:r w:rsidRPr="003003C0">
              <w:rPr>
                <w:rFonts w:cs="Calibri"/>
                <w:bCs/>
                <w:color w:val="000000"/>
                <w:sz w:val="14"/>
                <w:szCs w:val="14"/>
              </w:rPr>
              <w:t>12</w:t>
            </w:r>
            <w:r>
              <w:rPr>
                <w:rFonts w:cs="Calibri"/>
                <w:bCs/>
                <w:color w:val="000000"/>
                <w:sz w:val="14"/>
                <w:szCs w:val="14"/>
              </w:rPr>
              <w:t>.</w:t>
            </w:r>
            <w:r w:rsidRPr="003003C0">
              <w:rPr>
                <w:rFonts w:cs="Calibri"/>
                <w:bCs/>
                <w:color w:val="000000"/>
                <w:sz w:val="14"/>
                <w:szCs w:val="14"/>
              </w:rPr>
              <w:t>4</w:t>
            </w:r>
          </w:p>
        </w:tc>
        <w:tc>
          <w:tcPr>
            <w:tcW w:w="650" w:type="dxa"/>
            <w:noWrap/>
            <w:vAlign w:val="center"/>
            <w:hideMark/>
          </w:tcPr>
          <w:p w14:paraId="1347B6BD" w14:textId="77777777" w:rsidR="004F64EF" w:rsidRPr="003003C0" w:rsidRDefault="004F64EF" w:rsidP="00FD6B66">
            <w:pPr>
              <w:jc w:val="right"/>
              <w:rPr>
                <w:rFonts w:cs="Calibri"/>
                <w:bCs/>
                <w:color w:val="000000"/>
                <w:sz w:val="14"/>
                <w:szCs w:val="14"/>
              </w:rPr>
            </w:pPr>
            <w:r w:rsidRPr="003003C0">
              <w:rPr>
                <w:rFonts w:cs="Calibri"/>
                <w:bCs/>
                <w:color w:val="000000"/>
                <w:sz w:val="14"/>
                <w:szCs w:val="14"/>
              </w:rPr>
              <w:t>12</w:t>
            </w:r>
            <w:r>
              <w:rPr>
                <w:rFonts w:cs="Calibri"/>
                <w:bCs/>
                <w:color w:val="000000"/>
                <w:sz w:val="14"/>
                <w:szCs w:val="14"/>
              </w:rPr>
              <w:t>.</w:t>
            </w:r>
            <w:r w:rsidRPr="003003C0">
              <w:rPr>
                <w:rFonts w:cs="Calibri"/>
                <w:bCs/>
                <w:color w:val="000000"/>
                <w:sz w:val="14"/>
                <w:szCs w:val="14"/>
              </w:rPr>
              <w:t>7</w:t>
            </w:r>
          </w:p>
        </w:tc>
        <w:tc>
          <w:tcPr>
            <w:tcW w:w="650" w:type="dxa"/>
            <w:noWrap/>
            <w:vAlign w:val="center"/>
            <w:hideMark/>
          </w:tcPr>
          <w:p w14:paraId="413A3286" w14:textId="77777777" w:rsidR="004F64EF" w:rsidRPr="003003C0" w:rsidRDefault="004F64EF" w:rsidP="00FD6B66">
            <w:pPr>
              <w:jc w:val="right"/>
              <w:rPr>
                <w:rFonts w:cs="Calibri"/>
                <w:bCs/>
                <w:color w:val="000000"/>
                <w:sz w:val="14"/>
                <w:szCs w:val="14"/>
              </w:rPr>
            </w:pPr>
            <w:r w:rsidRPr="003003C0">
              <w:rPr>
                <w:rFonts w:cs="Calibri"/>
                <w:bCs/>
                <w:color w:val="000000"/>
                <w:sz w:val="14"/>
                <w:szCs w:val="14"/>
              </w:rPr>
              <w:t>13</w:t>
            </w:r>
            <w:r>
              <w:rPr>
                <w:rFonts w:cs="Calibri"/>
                <w:bCs/>
                <w:color w:val="000000"/>
                <w:sz w:val="14"/>
                <w:szCs w:val="14"/>
              </w:rPr>
              <w:t>.</w:t>
            </w:r>
            <w:r w:rsidRPr="003003C0">
              <w:rPr>
                <w:rFonts w:cs="Calibri"/>
                <w:bCs/>
                <w:color w:val="000000"/>
                <w:sz w:val="14"/>
                <w:szCs w:val="14"/>
              </w:rPr>
              <w:t>8</w:t>
            </w:r>
          </w:p>
        </w:tc>
        <w:tc>
          <w:tcPr>
            <w:tcW w:w="650" w:type="dxa"/>
            <w:noWrap/>
            <w:vAlign w:val="center"/>
            <w:hideMark/>
          </w:tcPr>
          <w:p w14:paraId="70B10B8E" w14:textId="77777777" w:rsidR="004F64EF" w:rsidRPr="003003C0" w:rsidRDefault="004F64EF" w:rsidP="00FD6B66">
            <w:pPr>
              <w:jc w:val="right"/>
              <w:rPr>
                <w:rFonts w:cs="Calibri"/>
                <w:bCs/>
                <w:color w:val="000000"/>
                <w:sz w:val="14"/>
                <w:szCs w:val="14"/>
              </w:rPr>
            </w:pPr>
            <w:r w:rsidRPr="003003C0">
              <w:rPr>
                <w:rFonts w:cs="Calibri"/>
                <w:bCs/>
                <w:color w:val="000000"/>
                <w:sz w:val="14"/>
                <w:szCs w:val="14"/>
              </w:rPr>
              <w:t>12</w:t>
            </w:r>
            <w:r>
              <w:rPr>
                <w:rFonts w:cs="Calibri"/>
                <w:bCs/>
                <w:color w:val="000000"/>
                <w:sz w:val="14"/>
                <w:szCs w:val="14"/>
              </w:rPr>
              <w:t>.</w:t>
            </w:r>
            <w:r w:rsidRPr="003003C0">
              <w:rPr>
                <w:rFonts w:cs="Calibri"/>
                <w:bCs/>
                <w:color w:val="000000"/>
                <w:sz w:val="14"/>
                <w:szCs w:val="14"/>
              </w:rPr>
              <w:t>7</w:t>
            </w:r>
          </w:p>
        </w:tc>
        <w:tc>
          <w:tcPr>
            <w:tcW w:w="650" w:type="dxa"/>
            <w:noWrap/>
            <w:vAlign w:val="center"/>
            <w:hideMark/>
          </w:tcPr>
          <w:p w14:paraId="53152E5C" w14:textId="77777777" w:rsidR="004F64EF" w:rsidRPr="003003C0" w:rsidRDefault="004F64EF" w:rsidP="00FD6B66">
            <w:pPr>
              <w:jc w:val="right"/>
              <w:rPr>
                <w:rFonts w:cs="Calibri"/>
                <w:bCs/>
                <w:color w:val="000000"/>
                <w:sz w:val="14"/>
                <w:szCs w:val="14"/>
              </w:rPr>
            </w:pPr>
            <w:r w:rsidRPr="003003C0">
              <w:rPr>
                <w:rFonts w:cs="Calibri"/>
                <w:bCs/>
                <w:color w:val="000000"/>
                <w:sz w:val="14"/>
                <w:szCs w:val="14"/>
              </w:rPr>
              <w:t>16</w:t>
            </w:r>
            <w:r>
              <w:rPr>
                <w:rFonts w:cs="Calibri"/>
                <w:bCs/>
                <w:color w:val="000000"/>
                <w:sz w:val="14"/>
                <w:szCs w:val="14"/>
              </w:rPr>
              <w:t>.</w:t>
            </w:r>
            <w:r w:rsidRPr="003003C0">
              <w:rPr>
                <w:rFonts w:cs="Calibri"/>
                <w:bCs/>
                <w:color w:val="000000"/>
                <w:sz w:val="14"/>
                <w:szCs w:val="14"/>
              </w:rPr>
              <w:t>8</w:t>
            </w:r>
          </w:p>
        </w:tc>
      </w:tr>
      <w:tr w:rsidR="004F64EF" w:rsidRPr="003003C0" w14:paraId="48F7863C" w14:textId="77777777" w:rsidTr="00FD6B66">
        <w:trPr>
          <w:trHeight w:val="20"/>
        </w:trPr>
        <w:tc>
          <w:tcPr>
            <w:tcW w:w="4478" w:type="dxa"/>
            <w:noWrap/>
            <w:vAlign w:val="center"/>
            <w:hideMark/>
          </w:tcPr>
          <w:p w14:paraId="1BDA4AFE" w14:textId="77777777" w:rsidR="004F64EF" w:rsidRPr="003003C0" w:rsidRDefault="004F64EF" w:rsidP="00A839D1">
            <w:pPr>
              <w:tabs>
                <w:tab w:val="left" w:pos="227"/>
              </w:tabs>
              <w:ind w:left="227" w:hanging="227"/>
              <w:jc w:val="left"/>
              <w:rPr>
                <w:rFonts w:cs="Calibri"/>
                <w:bCs/>
                <w:color w:val="000000"/>
                <w:sz w:val="14"/>
                <w:szCs w:val="14"/>
              </w:rPr>
            </w:pPr>
            <w:r w:rsidRPr="003003C0">
              <w:rPr>
                <w:rFonts w:cs="Calibri"/>
                <w:bCs/>
                <w:color w:val="000000"/>
                <w:sz w:val="14"/>
                <w:szCs w:val="14"/>
              </w:rPr>
              <w:tab/>
              <w:t xml:space="preserve">71. </w:t>
            </w:r>
            <w:r w:rsidRPr="009803BD">
              <w:rPr>
                <w:rFonts w:cs="Calibri"/>
                <w:bCs/>
                <w:color w:val="000000"/>
                <w:sz w:val="14"/>
                <w:szCs w:val="14"/>
              </w:rPr>
              <w:t>Natural or cultured pearls, precious or semi-precious stones, precious metals, metals clad with</w:t>
            </w:r>
            <w:r>
              <w:rPr>
                <w:rFonts w:cs="Calibri"/>
                <w:bCs/>
                <w:color w:val="000000"/>
                <w:sz w:val="14"/>
                <w:szCs w:val="14"/>
              </w:rPr>
              <w:t xml:space="preserve"> </w:t>
            </w:r>
            <w:r w:rsidRPr="009803BD">
              <w:rPr>
                <w:rFonts w:cs="Calibri"/>
                <w:bCs/>
                <w:color w:val="000000"/>
                <w:sz w:val="14"/>
                <w:szCs w:val="14"/>
              </w:rPr>
              <w:t>precious metal and articles thereof; imitation jewellery; coin</w:t>
            </w:r>
          </w:p>
        </w:tc>
        <w:tc>
          <w:tcPr>
            <w:tcW w:w="650" w:type="dxa"/>
            <w:noWrap/>
            <w:vAlign w:val="center"/>
            <w:hideMark/>
          </w:tcPr>
          <w:p w14:paraId="207BB556" w14:textId="77777777" w:rsidR="004F64EF" w:rsidRPr="003003C0" w:rsidRDefault="004F64EF" w:rsidP="00FD6B66">
            <w:pPr>
              <w:jc w:val="right"/>
              <w:rPr>
                <w:rFonts w:cs="Calibri"/>
                <w:bCs/>
                <w:color w:val="000000"/>
                <w:sz w:val="14"/>
                <w:szCs w:val="14"/>
              </w:rPr>
            </w:pPr>
            <w:r w:rsidRPr="003003C0">
              <w:rPr>
                <w:rFonts w:cs="Calibri"/>
                <w:bCs/>
                <w:color w:val="000000"/>
                <w:sz w:val="14"/>
                <w:szCs w:val="14"/>
              </w:rPr>
              <w:t>9</w:t>
            </w:r>
            <w:r>
              <w:rPr>
                <w:rFonts w:cs="Calibri"/>
                <w:bCs/>
                <w:color w:val="000000"/>
                <w:sz w:val="14"/>
                <w:szCs w:val="14"/>
              </w:rPr>
              <w:t>.</w:t>
            </w:r>
            <w:r w:rsidRPr="003003C0">
              <w:rPr>
                <w:rFonts w:cs="Calibri"/>
                <w:bCs/>
                <w:color w:val="000000"/>
                <w:sz w:val="14"/>
                <w:szCs w:val="14"/>
              </w:rPr>
              <w:t>6</w:t>
            </w:r>
          </w:p>
        </w:tc>
        <w:tc>
          <w:tcPr>
            <w:tcW w:w="650" w:type="dxa"/>
            <w:noWrap/>
            <w:vAlign w:val="center"/>
            <w:hideMark/>
          </w:tcPr>
          <w:p w14:paraId="44E86D86" w14:textId="77777777" w:rsidR="004F64EF" w:rsidRPr="003003C0" w:rsidRDefault="004F64EF" w:rsidP="00FD6B66">
            <w:pPr>
              <w:jc w:val="right"/>
              <w:rPr>
                <w:rFonts w:cs="Calibri"/>
                <w:bCs/>
                <w:color w:val="000000"/>
                <w:sz w:val="14"/>
                <w:szCs w:val="14"/>
              </w:rPr>
            </w:pPr>
            <w:r w:rsidRPr="003003C0">
              <w:rPr>
                <w:rFonts w:cs="Calibri"/>
                <w:bCs/>
                <w:color w:val="000000"/>
                <w:sz w:val="14"/>
                <w:szCs w:val="14"/>
              </w:rPr>
              <w:t>11</w:t>
            </w:r>
            <w:r>
              <w:rPr>
                <w:rFonts w:cs="Calibri"/>
                <w:bCs/>
                <w:color w:val="000000"/>
                <w:sz w:val="14"/>
                <w:szCs w:val="14"/>
              </w:rPr>
              <w:t>.</w:t>
            </w:r>
            <w:r w:rsidRPr="003003C0">
              <w:rPr>
                <w:rFonts w:cs="Calibri"/>
                <w:bCs/>
                <w:color w:val="000000"/>
                <w:sz w:val="14"/>
                <w:szCs w:val="14"/>
              </w:rPr>
              <w:t>2</w:t>
            </w:r>
          </w:p>
        </w:tc>
        <w:tc>
          <w:tcPr>
            <w:tcW w:w="650" w:type="dxa"/>
            <w:noWrap/>
            <w:vAlign w:val="center"/>
            <w:hideMark/>
          </w:tcPr>
          <w:p w14:paraId="23BE79E2" w14:textId="77777777" w:rsidR="004F64EF" w:rsidRPr="003003C0" w:rsidRDefault="004F64EF" w:rsidP="00FD6B66">
            <w:pPr>
              <w:jc w:val="right"/>
              <w:rPr>
                <w:rFonts w:cs="Calibri"/>
                <w:bCs/>
                <w:color w:val="000000"/>
                <w:sz w:val="14"/>
                <w:szCs w:val="14"/>
              </w:rPr>
            </w:pPr>
            <w:r w:rsidRPr="003003C0">
              <w:rPr>
                <w:rFonts w:cs="Calibri"/>
                <w:bCs/>
                <w:color w:val="000000"/>
                <w:sz w:val="14"/>
                <w:szCs w:val="14"/>
              </w:rPr>
              <w:t>12</w:t>
            </w:r>
            <w:r>
              <w:rPr>
                <w:rFonts w:cs="Calibri"/>
                <w:bCs/>
                <w:color w:val="000000"/>
                <w:sz w:val="14"/>
                <w:szCs w:val="14"/>
              </w:rPr>
              <w:t>.</w:t>
            </w:r>
            <w:r w:rsidRPr="003003C0">
              <w:rPr>
                <w:rFonts w:cs="Calibri"/>
                <w:bCs/>
                <w:color w:val="000000"/>
                <w:sz w:val="14"/>
                <w:szCs w:val="14"/>
              </w:rPr>
              <w:t>4</w:t>
            </w:r>
          </w:p>
        </w:tc>
        <w:tc>
          <w:tcPr>
            <w:tcW w:w="650" w:type="dxa"/>
            <w:noWrap/>
            <w:vAlign w:val="center"/>
            <w:hideMark/>
          </w:tcPr>
          <w:p w14:paraId="5D56A286" w14:textId="77777777" w:rsidR="004F64EF" w:rsidRPr="003003C0" w:rsidRDefault="004F64EF" w:rsidP="00FD6B66">
            <w:pPr>
              <w:jc w:val="right"/>
              <w:rPr>
                <w:rFonts w:cs="Calibri"/>
                <w:bCs/>
                <w:color w:val="000000"/>
                <w:sz w:val="14"/>
                <w:szCs w:val="14"/>
              </w:rPr>
            </w:pPr>
            <w:r w:rsidRPr="003003C0">
              <w:rPr>
                <w:rFonts w:cs="Calibri"/>
                <w:bCs/>
                <w:color w:val="000000"/>
                <w:sz w:val="14"/>
                <w:szCs w:val="14"/>
              </w:rPr>
              <w:t>12</w:t>
            </w:r>
            <w:r>
              <w:rPr>
                <w:rFonts w:cs="Calibri"/>
                <w:bCs/>
                <w:color w:val="000000"/>
                <w:sz w:val="14"/>
                <w:szCs w:val="14"/>
              </w:rPr>
              <w:t>.</w:t>
            </w:r>
            <w:r w:rsidRPr="003003C0">
              <w:rPr>
                <w:rFonts w:cs="Calibri"/>
                <w:bCs/>
                <w:color w:val="000000"/>
                <w:sz w:val="14"/>
                <w:szCs w:val="14"/>
              </w:rPr>
              <w:t>7</w:t>
            </w:r>
          </w:p>
        </w:tc>
        <w:tc>
          <w:tcPr>
            <w:tcW w:w="650" w:type="dxa"/>
            <w:noWrap/>
            <w:vAlign w:val="center"/>
            <w:hideMark/>
          </w:tcPr>
          <w:p w14:paraId="5FA5DD33" w14:textId="77777777" w:rsidR="004F64EF" w:rsidRPr="003003C0" w:rsidRDefault="004F64EF" w:rsidP="00FD6B66">
            <w:pPr>
              <w:jc w:val="right"/>
              <w:rPr>
                <w:rFonts w:cs="Calibri"/>
                <w:bCs/>
                <w:color w:val="000000"/>
                <w:sz w:val="14"/>
                <w:szCs w:val="14"/>
              </w:rPr>
            </w:pPr>
            <w:r w:rsidRPr="003003C0">
              <w:rPr>
                <w:rFonts w:cs="Calibri"/>
                <w:bCs/>
                <w:color w:val="000000"/>
                <w:sz w:val="14"/>
                <w:szCs w:val="14"/>
              </w:rPr>
              <w:t>13</w:t>
            </w:r>
            <w:r>
              <w:rPr>
                <w:rFonts w:cs="Calibri"/>
                <w:bCs/>
                <w:color w:val="000000"/>
                <w:sz w:val="14"/>
                <w:szCs w:val="14"/>
              </w:rPr>
              <w:t>.</w:t>
            </w:r>
            <w:r w:rsidRPr="003003C0">
              <w:rPr>
                <w:rFonts w:cs="Calibri"/>
                <w:bCs/>
                <w:color w:val="000000"/>
                <w:sz w:val="14"/>
                <w:szCs w:val="14"/>
              </w:rPr>
              <w:t>8</w:t>
            </w:r>
          </w:p>
        </w:tc>
        <w:tc>
          <w:tcPr>
            <w:tcW w:w="650" w:type="dxa"/>
            <w:noWrap/>
            <w:vAlign w:val="center"/>
            <w:hideMark/>
          </w:tcPr>
          <w:p w14:paraId="7923C44B" w14:textId="77777777" w:rsidR="004F64EF" w:rsidRPr="003003C0" w:rsidRDefault="004F64EF" w:rsidP="00FD6B66">
            <w:pPr>
              <w:jc w:val="right"/>
              <w:rPr>
                <w:rFonts w:cs="Calibri"/>
                <w:bCs/>
                <w:color w:val="000000"/>
                <w:sz w:val="14"/>
                <w:szCs w:val="14"/>
              </w:rPr>
            </w:pPr>
            <w:r w:rsidRPr="003003C0">
              <w:rPr>
                <w:rFonts w:cs="Calibri"/>
                <w:bCs/>
                <w:color w:val="000000"/>
                <w:sz w:val="14"/>
                <w:szCs w:val="14"/>
              </w:rPr>
              <w:t>12</w:t>
            </w:r>
            <w:r>
              <w:rPr>
                <w:rFonts w:cs="Calibri"/>
                <w:bCs/>
                <w:color w:val="000000"/>
                <w:sz w:val="14"/>
                <w:szCs w:val="14"/>
              </w:rPr>
              <w:t>.</w:t>
            </w:r>
            <w:r w:rsidRPr="003003C0">
              <w:rPr>
                <w:rFonts w:cs="Calibri"/>
                <w:bCs/>
                <w:color w:val="000000"/>
                <w:sz w:val="14"/>
                <w:szCs w:val="14"/>
              </w:rPr>
              <w:t>7</w:t>
            </w:r>
          </w:p>
        </w:tc>
        <w:tc>
          <w:tcPr>
            <w:tcW w:w="650" w:type="dxa"/>
            <w:noWrap/>
            <w:vAlign w:val="center"/>
            <w:hideMark/>
          </w:tcPr>
          <w:p w14:paraId="6C2E581F" w14:textId="77777777" w:rsidR="004F64EF" w:rsidRPr="003003C0" w:rsidRDefault="004F64EF" w:rsidP="00FD6B66">
            <w:pPr>
              <w:jc w:val="right"/>
              <w:rPr>
                <w:rFonts w:cs="Calibri"/>
                <w:bCs/>
                <w:color w:val="000000"/>
                <w:sz w:val="14"/>
                <w:szCs w:val="14"/>
              </w:rPr>
            </w:pPr>
            <w:r w:rsidRPr="003003C0">
              <w:rPr>
                <w:rFonts w:cs="Calibri"/>
                <w:bCs/>
                <w:color w:val="000000"/>
                <w:sz w:val="14"/>
                <w:szCs w:val="14"/>
              </w:rPr>
              <w:t>16</w:t>
            </w:r>
            <w:r>
              <w:rPr>
                <w:rFonts w:cs="Calibri"/>
                <w:bCs/>
                <w:color w:val="000000"/>
                <w:sz w:val="14"/>
                <w:szCs w:val="14"/>
              </w:rPr>
              <w:t>.</w:t>
            </w:r>
            <w:r w:rsidRPr="003003C0">
              <w:rPr>
                <w:rFonts w:cs="Calibri"/>
                <w:bCs/>
                <w:color w:val="000000"/>
                <w:sz w:val="14"/>
                <w:szCs w:val="14"/>
              </w:rPr>
              <w:t>8</w:t>
            </w:r>
          </w:p>
        </w:tc>
      </w:tr>
      <w:tr w:rsidR="004F64EF" w:rsidRPr="003003C0" w14:paraId="51995873" w14:textId="77777777" w:rsidTr="00FD6B66">
        <w:trPr>
          <w:cnfStyle w:val="000000010000" w:firstRow="0" w:lastRow="0" w:firstColumn="0" w:lastColumn="0" w:oddVBand="0" w:evenVBand="0" w:oddHBand="0" w:evenHBand="1" w:firstRowFirstColumn="0" w:firstRowLastColumn="0" w:lastRowFirstColumn="0" w:lastRowLastColumn="0"/>
          <w:trHeight w:val="20"/>
        </w:trPr>
        <w:tc>
          <w:tcPr>
            <w:tcW w:w="4478" w:type="dxa"/>
            <w:noWrap/>
            <w:vAlign w:val="center"/>
            <w:hideMark/>
          </w:tcPr>
          <w:p w14:paraId="5AE59811" w14:textId="77777777" w:rsidR="004F64EF" w:rsidRPr="003003C0" w:rsidRDefault="004F64EF" w:rsidP="00FD6B66">
            <w:pPr>
              <w:jc w:val="left"/>
              <w:rPr>
                <w:rFonts w:cs="Calibri"/>
                <w:bCs/>
                <w:color w:val="000000"/>
                <w:sz w:val="14"/>
                <w:szCs w:val="14"/>
              </w:rPr>
            </w:pPr>
            <w:r w:rsidRPr="003003C0">
              <w:rPr>
                <w:rFonts w:cs="Calibri"/>
                <w:bCs/>
                <w:color w:val="000000"/>
                <w:sz w:val="14"/>
                <w:szCs w:val="14"/>
              </w:rPr>
              <w:t xml:space="preserve">15 - </w:t>
            </w:r>
            <w:r w:rsidRPr="005D46CC">
              <w:rPr>
                <w:rFonts w:cs="Calibri"/>
                <w:bCs/>
                <w:color w:val="000000"/>
                <w:sz w:val="14"/>
                <w:szCs w:val="14"/>
              </w:rPr>
              <w:t>Base metals and articles of base metal</w:t>
            </w:r>
          </w:p>
        </w:tc>
        <w:tc>
          <w:tcPr>
            <w:tcW w:w="650" w:type="dxa"/>
            <w:noWrap/>
            <w:vAlign w:val="center"/>
            <w:hideMark/>
          </w:tcPr>
          <w:p w14:paraId="3507B013" w14:textId="77777777" w:rsidR="004F64EF" w:rsidRPr="003003C0" w:rsidRDefault="004F64EF" w:rsidP="00FD6B66">
            <w:pPr>
              <w:jc w:val="right"/>
              <w:rPr>
                <w:rFonts w:cs="Calibri"/>
                <w:bCs/>
                <w:color w:val="000000"/>
                <w:sz w:val="14"/>
                <w:szCs w:val="14"/>
              </w:rPr>
            </w:pPr>
            <w:r w:rsidRPr="003003C0">
              <w:rPr>
                <w:rFonts w:cs="Calibri"/>
                <w:bCs/>
                <w:color w:val="000000"/>
                <w:sz w:val="14"/>
                <w:szCs w:val="14"/>
              </w:rPr>
              <w:t>4</w:t>
            </w:r>
            <w:r>
              <w:rPr>
                <w:rFonts w:cs="Calibri"/>
                <w:bCs/>
                <w:color w:val="000000"/>
                <w:sz w:val="14"/>
                <w:szCs w:val="14"/>
              </w:rPr>
              <w:t>.</w:t>
            </w:r>
            <w:r w:rsidRPr="003003C0">
              <w:rPr>
                <w:rFonts w:cs="Calibri"/>
                <w:bCs/>
                <w:color w:val="000000"/>
                <w:sz w:val="14"/>
                <w:szCs w:val="14"/>
              </w:rPr>
              <w:t>0</w:t>
            </w:r>
          </w:p>
        </w:tc>
        <w:tc>
          <w:tcPr>
            <w:tcW w:w="650" w:type="dxa"/>
            <w:noWrap/>
            <w:vAlign w:val="center"/>
            <w:hideMark/>
          </w:tcPr>
          <w:p w14:paraId="02FA91F6" w14:textId="77777777" w:rsidR="004F64EF" w:rsidRPr="003003C0" w:rsidRDefault="004F64EF" w:rsidP="00FD6B66">
            <w:pPr>
              <w:jc w:val="right"/>
              <w:rPr>
                <w:rFonts w:cs="Calibri"/>
                <w:bCs/>
                <w:color w:val="000000"/>
                <w:sz w:val="14"/>
                <w:szCs w:val="14"/>
              </w:rPr>
            </w:pPr>
            <w:r w:rsidRPr="003003C0">
              <w:rPr>
                <w:rFonts w:cs="Calibri"/>
                <w:bCs/>
                <w:color w:val="000000"/>
                <w:sz w:val="14"/>
                <w:szCs w:val="14"/>
              </w:rPr>
              <w:t>4</w:t>
            </w:r>
            <w:r>
              <w:rPr>
                <w:rFonts w:cs="Calibri"/>
                <w:bCs/>
                <w:color w:val="000000"/>
                <w:sz w:val="14"/>
                <w:szCs w:val="14"/>
              </w:rPr>
              <w:t>.</w:t>
            </w:r>
            <w:r w:rsidRPr="003003C0">
              <w:rPr>
                <w:rFonts w:cs="Calibri"/>
                <w:bCs/>
                <w:color w:val="000000"/>
                <w:sz w:val="14"/>
                <w:szCs w:val="14"/>
              </w:rPr>
              <w:t>4</w:t>
            </w:r>
          </w:p>
        </w:tc>
        <w:tc>
          <w:tcPr>
            <w:tcW w:w="650" w:type="dxa"/>
            <w:noWrap/>
            <w:vAlign w:val="center"/>
            <w:hideMark/>
          </w:tcPr>
          <w:p w14:paraId="61BE41AA" w14:textId="77777777" w:rsidR="004F64EF" w:rsidRPr="003003C0" w:rsidRDefault="004F64EF" w:rsidP="00FD6B66">
            <w:pPr>
              <w:jc w:val="right"/>
              <w:rPr>
                <w:rFonts w:cs="Calibri"/>
                <w:bCs/>
                <w:color w:val="000000"/>
                <w:sz w:val="14"/>
                <w:szCs w:val="14"/>
              </w:rPr>
            </w:pPr>
            <w:r w:rsidRPr="003003C0">
              <w:rPr>
                <w:rFonts w:cs="Calibri"/>
                <w:bCs/>
                <w:color w:val="000000"/>
                <w:sz w:val="14"/>
                <w:szCs w:val="14"/>
              </w:rPr>
              <w:t>4</w:t>
            </w:r>
            <w:r>
              <w:rPr>
                <w:rFonts w:cs="Calibri"/>
                <w:bCs/>
                <w:color w:val="000000"/>
                <w:sz w:val="14"/>
                <w:szCs w:val="14"/>
              </w:rPr>
              <w:t>.</w:t>
            </w:r>
            <w:r w:rsidRPr="003003C0">
              <w:rPr>
                <w:rFonts w:cs="Calibri"/>
                <w:bCs/>
                <w:color w:val="000000"/>
                <w:sz w:val="14"/>
                <w:szCs w:val="14"/>
              </w:rPr>
              <w:t>3</w:t>
            </w:r>
          </w:p>
        </w:tc>
        <w:tc>
          <w:tcPr>
            <w:tcW w:w="650" w:type="dxa"/>
            <w:noWrap/>
            <w:vAlign w:val="center"/>
            <w:hideMark/>
          </w:tcPr>
          <w:p w14:paraId="5AE9F28C" w14:textId="77777777" w:rsidR="004F64EF" w:rsidRPr="003003C0" w:rsidRDefault="004F64EF" w:rsidP="00FD6B66">
            <w:pPr>
              <w:jc w:val="right"/>
              <w:rPr>
                <w:rFonts w:cs="Calibri"/>
                <w:bCs/>
                <w:color w:val="000000"/>
                <w:sz w:val="14"/>
                <w:szCs w:val="14"/>
              </w:rPr>
            </w:pPr>
            <w:r w:rsidRPr="003003C0">
              <w:rPr>
                <w:rFonts w:cs="Calibri"/>
                <w:bCs/>
                <w:color w:val="000000"/>
                <w:sz w:val="14"/>
                <w:szCs w:val="14"/>
              </w:rPr>
              <w:t>4</w:t>
            </w:r>
            <w:r>
              <w:rPr>
                <w:rFonts w:cs="Calibri"/>
                <w:bCs/>
                <w:color w:val="000000"/>
                <w:sz w:val="14"/>
                <w:szCs w:val="14"/>
              </w:rPr>
              <w:t>.</w:t>
            </w:r>
            <w:r w:rsidRPr="003003C0">
              <w:rPr>
                <w:rFonts w:cs="Calibri"/>
                <w:bCs/>
                <w:color w:val="000000"/>
                <w:sz w:val="14"/>
                <w:szCs w:val="14"/>
              </w:rPr>
              <w:t>8</w:t>
            </w:r>
          </w:p>
        </w:tc>
        <w:tc>
          <w:tcPr>
            <w:tcW w:w="650" w:type="dxa"/>
            <w:noWrap/>
            <w:vAlign w:val="center"/>
            <w:hideMark/>
          </w:tcPr>
          <w:p w14:paraId="5C0AC2E5" w14:textId="77777777" w:rsidR="004F64EF" w:rsidRPr="003003C0" w:rsidRDefault="004F64EF" w:rsidP="00FD6B66">
            <w:pPr>
              <w:jc w:val="right"/>
              <w:rPr>
                <w:rFonts w:cs="Calibri"/>
                <w:bCs/>
                <w:color w:val="000000"/>
                <w:sz w:val="14"/>
                <w:szCs w:val="14"/>
              </w:rPr>
            </w:pPr>
            <w:r w:rsidRPr="003003C0">
              <w:rPr>
                <w:rFonts w:cs="Calibri"/>
                <w:bCs/>
                <w:color w:val="000000"/>
                <w:sz w:val="14"/>
                <w:szCs w:val="14"/>
              </w:rPr>
              <w:t>5</w:t>
            </w:r>
            <w:r>
              <w:rPr>
                <w:rFonts w:cs="Calibri"/>
                <w:bCs/>
                <w:color w:val="000000"/>
                <w:sz w:val="14"/>
                <w:szCs w:val="14"/>
              </w:rPr>
              <w:t>.</w:t>
            </w:r>
            <w:r w:rsidRPr="003003C0">
              <w:rPr>
                <w:rFonts w:cs="Calibri"/>
                <w:bCs/>
                <w:color w:val="000000"/>
                <w:sz w:val="14"/>
                <w:szCs w:val="14"/>
              </w:rPr>
              <w:t>1</w:t>
            </w:r>
          </w:p>
        </w:tc>
        <w:tc>
          <w:tcPr>
            <w:tcW w:w="650" w:type="dxa"/>
            <w:noWrap/>
            <w:vAlign w:val="center"/>
            <w:hideMark/>
          </w:tcPr>
          <w:p w14:paraId="23E3A375" w14:textId="77777777" w:rsidR="004F64EF" w:rsidRPr="003003C0" w:rsidRDefault="004F64EF" w:rsidP="00FD6B66">
            <w:pPr>
              <w:jc w:val="right"/>
              <w:rPr>
                <w:rFonts w:cs="Calibri"/>
                <w:bCs/>
                <w:color w:val="000000"/>
                <w:sz w:val="14"/>
                <w:szCs w:val="14"/>
              </w:rPr>
            </w:pPr>
            <w:r w:rsidRPr="003003C0">
              <w:rPr>
                <w:rFonts w:cs="Calibri"/>
                <w:bCs/>
                <w:color w:val="000000"/>
                <w:sz w:val="14"/>
                <w:szCs w:val="14"/>
              </w:rPr>
              <w:t>5</w:t>
            </w:r>
            <w:r>
              <w:rPr>
                <w:rFonts w:cs="Calibri"/>
                <w:bCs/>
                <w:color w:val="000000"/>
                <w:sz w:val="14"/>
                <w:szCs w:val="14"/>
              </w:rPr>
              <w:t>.</w:t>
            </w:r>
            <w:r w:rsidRPr="003003C0">
              <w:rPr>
                <w:rFonts w:cs="Calibri"/>
                <w:bCs/>
                <w:color w:val="000000"/>
                <w:sz w:val="14"/>
                <w:szCs w:val="14"/>
              </w:rPr>
              <w:t>6</w:t>
            </w:r>
          </w:p>
        </w:tc>
        <w:tc>
          <w:tcPr>
            <w:tcW w:w="650" w:type="dxa"/>
            <w:noWrap/>
            <w:vAlign w:val="center"/>
            <w:hideMark/>
          </w:tcPr>
          <w:p w14:paraId="6F02984B" w14:textId="77777777" w:rsidR="004F64EF" w:rsidRPr="003003C0" w:rsidRDefault="004F64EF" w:rsidP="00FD6B66">
            <w:pPr>
              <w:jc w:val="right"/>
              <w:rPr>
                <w:rFonts w:cs="Calibri"/>
                <w:bCs/>
                <w:color w:val="000000"/>
                <w:sz w:val="14"/>
                <w:szCs w:val="14"/>
              </w:rPr>
            </w:pPr>
            <w:r w:rsidRPr="003003C0">
              <w:rPr>
                <w:rFonts w:cs="Calibri"/>
                <w:bCs/>
                <w:color w:val="000000"/>
                <w:sz w:val="14"/>
                <w:szCs w:val="14"/>
              </w:rPr>
              <w:t>6</w:t>
            </w:r>
            <w:r>
              <w:rPr>
                <w:rFonts w:cs="Calibri"/>
                <w:bCs/>
                <w:color w:val="000000"/>
                <w:sz w:val="14"/>
                <w:szCs w:val="14"/>
              </w:rPr>
              <w:t>.</w:t>
            </w:r>
            <w:r w:rsidRPr="003003C0">
              <w:rPr>
                <w:rFonts w:cs="Calibri"/>
                <w:bCs/>
                <w:color w:val="000000"/>
                <w:sz w:val="14"/>
                <w:szCs w:val="14"/>
              </w:rPr>
              <w:t>8</w:t>
            </w:r>
          </w:p>
        </w:tc>
      </w:tr>
      <w:tr w:rsidR="004F64EF" w:rsidRPr="003003C0" w14:paraId="7E56161E" w14:textId="77777777" w:rsidTr="00FD6B66">
        <w:trPr>
          <w:trHeight w:val="20"/>
        </w:trPr>
        <w:tc>
          <w:tcPr>
            <w:tcW w:w="4478" w:type="dxa"/>
            <w:noWrap/>
            <w:vAlign w:val="center"/>
            <w:hideMark/>
          </w:tcPr>
          <w:p w14:paraId="02E32081" w14:textId="77777777" w:rsidR="004F64EF" w:rsidRPr="003003C0" w:rsidRDefault="004F64EF" w:rsidP="00FD6B66">
            <w:pPr>
              <w:tabs>
                <w:tab w:val="left" w:pos="227"/>
              </w:tabs>
              <w:jc w:val="left"/>
              <w:rPr>
                <w:rFonts w:cs="Calibri"/>
                <w:bCs/>
                <w:color w:val="000000"/>
                <w:sz w:val="14"/>
                <w:szCs w:val="14"/>
              </w:rPr>
            </w:pPr>
            <w:r w:rsidRPr="003003C0">
              <w:rPr>
                <w:rFonts w:cs="Calibri"/>
                <w:bCs/>
                <w:color w:val="000000"/>
                <w:sz w:val="14"/>
                <w:szCs w:val="14"/>
              </w:rPr>
              <w:tab/>
              <w:t xml:space="preserve">73. </w:t>
            </w:r>
            <w:r w:rsidRPr="009803BD">
              <w:rPr>
                <w:rFonts w:cs="Calibri"/>
                <w:bCs/>
                <w:color w:val="000000"/>
                <w:sz w:val="14"/>
                <w:szCs w:val="14"/>
              </w:rPr>
              <w:t>Articles of iron or steel</w:t>
            </w:r>
          </w:p>
        </w:tc>
        <w:tc>
          <w:tcPr>
            <w:tcW w:w="650" w:type="dxa"/>
            <w:noWrap/>
            <w:vAlign w:val="center"/>
            <w:hideMark/>
          </w:tcPr>
          <w:p w14:paraId="5E62977B" w14:textId="77777777" w:rsidR="004F64EF" w:rsidRPr="003003C0" w:rsidRDefault="004F64EF" w:rsidP="00FD6B66">
            <w:pPr>
              <w:jc w:val="right"/>
              <w:rPr>
                <w:rFonts w:cs="Calibri"/>
                <w:bCs/>
                <w:color w:val="000000"/>
                <w:sz w:val="14"/>
                <w:szCs w:val="14"/>
              </w:rPr>
            </w:pPr>
            <w:r w:rsidRPr="003003C0">
              <w:rPr>
                <w:rFonts w:cs="Calibri"/>
                <w:bCs/>
                <w:color w:val="000000"/>
                <w:sz w:val="14"/>
                <w:szCs w:val="14"/>
              </w:rPr>
              <w:t>1</w:t>
            </w:r>
            <w:r>
              <w:rPr>
                <w:rFonts w:cs="Calibri"/>
                <w:bCs/>
                <w:color w:val="000000"/>
                <w:sz w:val="14"/>
                <w:szCs w:val="14"/>
              </w:rPr>
              <w:t>.</w:t>
            </w:r>
            <w:r w:rsidRPr="003003C0">
              <w:rPr>
                <w:rFonts w:cs="Calibri"/>
                <w:bCs/>
                <w:color w:val="000000"/>
                <w:sz w:val="14"/>
                <w:szCs w:val="14"/>
              </w:rPr>
              <w:t>4</w:t>
            </w:r>
          </w:p>
        </w:tc>
        <w:tc>
          <w:tcPr>
            <w:tcW w:w="650" w:type="dxa"/>
            <w:noWrap/>
            <w:vAlign w:val="center"/>
            <w:hideMark/>
          </w:tcPr>
          <w:p w14:paraId="075A2062" w14:textId="77777777" w:rsidR="004F64EF" w:rsidRPr="003003C0" w:rsidRDefault="004F64EF" w:rsidP="00FD6B66">
            <w:pPr>
              <w:jc w:val="right"/>
              <w:rPr>
                <w:rFonts w:cs="Calibri"/>
                <w:bCs/>
                <w:color w:val="000000"/>
                <w:sz w:val="14"/>
                <w:szCs w:val="14"/>
              </w:rPr>
            </w:pPr>
            <w:r w:rsidRPr="003003C0">
              <w:rPr>
                <w:rFonts w:cs="Calibri"/>
                <w:bCs/>
                <w:color w:val="000000"/>
                <w:sz w:val="14"/>
                <w:szCs w:val="14"/>
              </w:rPr>
              <w:t>1</w:t>
            </w:r>
            <w:r>
              <w:rPr>
                <w:rFonts w:cs="Calibri"/>
                <w:bCs/>
                <w:color w:val="000000"/>
                <w:sz w:val="14"/>
                <w:szCs w:val="14"/>
              </w:rPr>
              <w:t>.</w:t>
            </w:r>
            <w:r w:rsidRPr="003003C0">
              <w:rPr>
                <w:rFonts w:cs="Calibri"/>
                <w:bCs/>
                <w:color w:val="000000"/>
                <w:sz w:val="14"/>
                <w:szCs w:val="14"/>
              </w:rPr>
              <w:t>9</w:t>
            </w:r>
          </w:p>
        </w:tc>
        <w:tc>
          <w:tcPr>
            <w:tcW w:w="650" w:type="dxa"/>
            <w:noWrap/>
            <w:vAlign w:val="center"/>
            <w:hideMark/>
          </w:tcPr>
          <w:p w14:paraId="2798F9CA" w14:textId="77777777" w:rsidR="004F64EF" w:rsidRPr="003003C0" w:rsidRDefault="004F64EF" w:rsidP="00FD6B66">
            <w:pPr>
              <w:jc w:val="right"/>
              <w:rPr>
                <w:rFonts w:cs="Calibri"/>
                <w:bCs/>
                <w:color w:val="000000"/>
                <w:sz w:val="14"/>
                <w:szCs w:val="14"/>
              </w:rPr>
            </w:pPr>
            <w:r w:rsidRPr="003003C0">
              <w:rPr>
                <w:rFonts w:cs="Calibri"/>
                <w:bCs/>
                <w:color w:val="000000"/>
                <w:sz w:val="14"/>
                <w:szCs w:val="14"/>
              </w:rPr>
              <w:t>2</w:t>
            </w:r>
            <w:r>
              <w:rPr>
                <w:rFonts w:cs="Calibri"/>
                <w:bCs/>
                <w:color w:val="000000"/>
                <w:sz w:val="14"/>
                <w:szCs w:val="14"/>
              </w:rPr>
              <w:t>.</w:t>
            </w:r>
            <w:r w:rsidRPr="003003C0">
              <w:rPr>
                <w:rFonts w:cs="Calibri"/>
                <w:bCs/>
                <w:color w:val="000000"/>
                <w:sz w:val="14"/>
                <w:szCs w:val="14"/>
              </w:rPr>
              <w:t>0</w:t>
            </w:r>
          </w:p>
        </w:tc>
        <w:tc>
          <w:tcPr>
            <w:tcW w:w="650" w:type="dxa"/>
            <w:noWrap/>
            <w:vAlign w:val="center"/>
            <w:hideMark/>
          </w:tcPr>
          <w:p w14:paraId="32B377FA" w14:textId="77777777" w:rsidR="004F64EF" w:rsidRPr="003003C0" w:rsidRDefault="004F64EF" w:rsidP="00FD6B66">
            <w:pPr>
              <w:jc w:val="right"/>
              <w:rPr>
                <w:rFonts w:cs="Calibri"/>
                <w:bCs/>
                <w:color w:val="000000"/>
                <w:sz w:val="14"/>
                <w:szCs w:val="14"/>
              </w:rPr>
            </w:pPr>
            <w:r w:rsidRPr="003003C0">
              <w:rPr>
                <w:rFonts w:cs="Calibri"/>
                <w:bCs/>
                <w:color w:val="000000"/>
                <w:sz w:val="14"/>
                <w:szCs w:val="14"/>
              </w:rPr>
              <w:t>2</w:t>
            </w:r>
            <w:r>
              <w:rPr>
                <w:rFonts w:cs="Calibri"/>
                <w:bCs/>
                <w:color w:val="000000"/>
                <w:sz w:val="14"/>
                <w:szCs w:val="14"/>
              </w:rPr>
              <w:t>.</w:t>
            </w:r>
            <w:r w:rsidRPr="003003C0">
              <w:rPr>
                <w:rFonts w:cs="Calibri"/>
                <w:bCs/>
                <w:color w:val="000000"/>
                <w:sz w:val="14"/>
                <w:szCs w:val="14"/>
              </w:rPr>
              <w:t>1</w:t>
            </w:r>
          </w:p>
        </w:tc>
        <w:tc>
          <w:tcPr>
            <w:tcW w:w="650" w:type="dxa"/>
            <w:noWrap/>
            <w:vAlign w:val="center"/>
            <w:hideMark/>
          </w:tcPr>
          <w:p w14:paraId="2A0E7123" w14:textId="77777777" w:rsidR="004F64EF" w:rsidRPr="003003C0" w:rsidRDefault="004F64EF" w:rsidP="00FD6B66">
            <w:pPr>
              <w:jc w:val="right"/>
              <w:rPr>
                <w:rFonts w:cs="Calibri"/>
                <w:bCs/>
                <w:color w:val="000000"/>
                <w:sz w:val="14"/>
                <w:szCs w:val="14"/>
              </w:rPr>
            </w:pPr>
            <w:r w:rsidRPr="003003C0">
              <w:rPr>
                <w:rFonts w:cs="Calibri"/>
                <w:bCs/>
                <w:color w:val="000000"/>
                <w:sz w:val="14"/>
                <w:szCs w:val="14"/>
              </w:rPr>
              <w:t>2</w:t>
            </w:r>
            <w:r>
              <w:rPr>
                <w:rFonts w:cs="Calibri"/>
                <w:bCs/>
                <w:color w:val="000000"/>
                <w:sz w:val="14"/>
                <w:szCs w:val="14"/>
              </w:rPr>
              <w:t>.</w:t>
            </w:r>
            <w:r w:rsidRPr="003003C0">
              <w:rPr>
                <w:rFonts w:cs="Calibri"/>
                <w:bCs/>
                <w:color w:val="000000"/>
                <w:sz w:val="14"/>
                <w:szCs w:val="14"/>
              </w:rPr>
              <w:t>5</w:t>
            </w:r>
          </w:p>
        </w:tc>
        <w:tc>
          <w:tcPr>
            <w:tcW w:w="650" w:type="dxa"/>
            <w:noWrap/>
            <w:vAlign w:val="center"/>
            <w:hideMark/>
          </w:tcPr>
          <w:p w14:paraId="071711DA" w14:textId="77777777" w:rsidR="004F64EF" w:rsidRPr="003003C0" w:rsidRDefault="004F64EF" w:rsidP="00FD6B66">
            <w:pPr>
              <w:jc w:val="right"/>
              <w:rPr>
                <w:rFonts w:cs="Calibri"/>
                <w:bCs/>
                <w:color w:val="000000"/>
                <w:sz w:val="14"/>
                <w:szCs w:val="14"/>
              </w:rPr>
            </w:pPr>
            <w:r w:rsidRPr="003003C0">
              <w:rPr>
                <w:rFonts w:cs="Calibri"/>
                <w:bCs/>
                <w:color w:val="000000"/>
                <w:sz w:val="14"/>
                <w:szCs w:val="14"/>
              </w:rPr>
              <w:t>3</w:t>
            </w:r>
            <w:r>
              <w:rPr>
                <w:rFonts w:cs="Calibri"/>
                <w:bCs/>
                <w:color w:val="000000"/>
                <w:sz w:val="14"/>
                <w:szCs w:val="14"/>
              </w:rPr>
              <w:t>.</w:t>
            </w:r>
            <w:r w:rsidRPr="003003C0">
              <w:rPr>
                <w:rFonts w:cs="Calibri"/>
                <w:bCs/>
                <w:color w:val="000000"/>
                <w:sz w:val="14"/>
                <w:szCs w:val="14"/>
              </w:rPr>
              <w:t>0</w:t>
            </w:r>
          </w:p>
        </w:tc>
        <w:tc>
          <w:tcPr>
            <w:tcW w:w="650" w:type="dxa"/>
            <w:noWrap/>
            <w:vAlign w:val="center"/>
            <w:hideMark/>
          </w:tcPr>
          <w:p w14:paraId="1B148C46" w14:textId="77777777" w:rsidR="004F64EF" w:rsidRPr="003003C0" w:rsidRDefault="004F64EF" w:rsidP="00FD6B66">
            <w:pPr>
              <w:jc w:val="right"/>
              <w:rPr>
                <w:rFonts w:cs="Calibri"/>
                <w:bCs/>
                <w:color w:val="000000"/>
                <w:sz w:val="14"/>
                <w:szCs w:val="14"/>
              </w:rPr>
            </w:pPr>
            <w:r w:rsidRPr="003003C0">
              <w:rPr>
                <w:rFonts w:cs="Calibri"/>
                <w:bCs/>
                <w:color w:val="000000"/>
                <w:sz w:val="14"/>
                <w:szCs w:val="14"/>
              </w:rPr>
              <w:t>3</w:t>
            </w:r>
            <w:r>
              <w:rPr>
                <w:rFonts w:cs="Calibri"/>
                <w:bCs/>
                <w:color w:val="000000"/>
                <w:sz w:val="14"/>
                <w:szCs w:val="14"/>
              </w:rPr>
              <w:t>.</w:t>
            </w:r>
            <w:r w:rsidRPr="003003C0">
              <w:rPr>
                <w:rFonts w:cs="Calibri"/>
                <w:bCs/>
                <w:color w:val="000000"/>
                <w:sz w:val="14"/>
                <w:szCs w:val="14"/>
              </w:rPr>
              <w:t>2</w:t>
            </w:r>
          </w:p>
        </w:tc>
      </w:tr>
      <w:tr w:rsidR="004F64EF" w:rsidRPr="003003C0" w14:paraId="4DB5B73F" w14:textId="77777777" w:rsidTr="00FD6B66">
        <w:trPr>
          <w:cnfStyle w:val="000000010000" w:firstRow="0" w:lastRow="0" w:firstColumn="0" w:lastColumn="0" w:oddVBand="0" w:evenVBand="0" w:oddHBand="0" w:evenHBand="1" w:firstRowFirstColumn="0" w:firstRowLastColumn="0" w:lastRowFirstColumn="0" w:lastRowLastColumn="0"/>
          <w:trHeight w:val="20"/>
        </w:trPr>
        <w:tc>
          <w:tcPr>
            <w:tcW w:w="4478" w:type="dxa"/>
            <w:noWrap/>
            <w:vAlign w:val="center"/>
            <w:hideMark/>
          </w:tcPr>
          <w:p w14:paraId="479B820C" w14:textId="77777777" w:rsidR="004F64EF" w:rsidRPr="003003C0" w:rsidRDefault="004F64EF" w:rsidP="00FD6B66">
            <w:pPr>
              <w:tabs>
                <w:tab w:val="left" w:pos="227"/>
              </w:tabs>
              <w:jc w:val="left"/>
              <w:rPr>
                <w:rFonts w:cs="Calibri"/>
                <w:bCs/>
                <w:color w:val="000000"/>
                <w:sz w:val="14"/>
                <w:szCs w:val="14"/>
              </w:rPr>
            </w:pPr>
            <w:r w:rsidRPr="003003C0">
              <w:rPr>
                <w:rFonts w:cs="Calibri"/>
                <w:bCs/>
                <w:color w:val="000000"/>
                <w:sz w:val="14"/>
                <w:szCs w:val="14"/>
              </w:rPr>
              <w:tab/>
              <w:t xml:space="preserve">76. </w:t>
            </w:r>
            <w:r w:rsidRPr="009803BD">
              <w:rPr>
                <w:rFonts w:cs="Calibri"/>
                <w:bCs/>
                <w:color w:val="000000"/>
                <w:sz w:val="14"/>
                <w:szCs w:val="14"/>
              </w:rPr>
              <w:t>Aluminium and articles thereof</w:t>
            </w:r>
          </w:p>
        </w:tc>
        <w:tc>
          <w:tcPr>
            <w:tcW w:w="650" w:type="dxa"/>
            <w:noWrap/>
            <w:vAlign w:val="center"/>
            <w:hideMark/>
          </w:tcPr>
          <w:p w14:paraId="33D8D7A8" w14:textId="77777777" w:rsidR="004F64EF" w:rsidRPr="003003C0" w:rsidRDefault="004F64EF" w:rsidP="00FD6B66">
            <w:pPr>
              <w:jc w:val="right"/>
              <w:rPr>
                <w:rFonts w:cs="Calibri"/>
                <w:bCs/>
                <w:color w:val="000000"/>
                <w:sz w:val="14"/>
                <w:szCs w:val="14"/>
              </w:rPr>
            </w:pPr>
            <w:r w:rsidRPr="003003C0">
              <w:rPr>
                <w:rFonts w:cs="Calibri"/>
                <w:bCs/>
                <w:color w:val="000000"/>
                <w:sz w:val="14"/>
                <w:szCs w:val="14"/>
              </w:rPr>
              <w:t>0</w:t>
            </w:r>
            <w:r>
              <w:rPr>
                <w:rFonts w:cs="Calibri"/>
                <w:bCs/>
                <w:color w:val="000000"/>
                <w:sz w:val="14"/>
                <w:szCs w:val="14"/>
              </w:rPr>
              <w:t>.</w:t>
            </w:r>
            <w:r w:rsidRPr="003003C0">
              <w:rPr>
                <w:rFonts w:cs="Calibri"/>
                <w:bCs/>
                <w:color w:val="000000"/>
                <w:sz w:val="14"/>
                <w:szCs w:val="14"/>
              </w:rPr>
              <w:t>8</w:t>
            </w:r>
          </w:p>
        </w:tc>
        <w:tc>
          <w:tcPr>
            <w:tcW w:w="650" w:type="dxa"/>
            <w:noWrap/>
            <w:vAlign w:val="center"/>
            <w:hideMark/>
          </w:tcPr>
          <w:p w14:paraId="20D624F2" w14:textId="77777777" w:rsidR="004F64EF" w:rsidRPr="003003C0" w:rsidRDefault="004F64EF" w:rsidP="00FD6B66">
            <w:pPr>
              <w:jc w:val="right"/>
              <w:rPr>
                <w:rFonts w:cs="Calibri"/>
                <w:bCs/>
                <w:color w:val="000000"/>
                <w:sz w:val="14"/>
                <w:szCs w:val="14"/>
              </w:rPr>
            </w:pPr>
            <w:r w:rsidRPr="003003C0">
              <w:rPr>
                <w:rFonts w:cs="Calibri"/>
                <w:bCs/>
                <w:color w:val="000000"/>
                <w:sz w:val="14"/>
                <w:szCs w:val="14"/>
              </w:rPr>
              <w:t>0</w:t>
            </w:r>
            <w:r>
              <w:rPr>
                <w:rFonts w:cs="Calibri"/>
                <w:bCs/>
                <w:color w:val="000000"/>
                <w:sz w:val="14"/>
                <w:szCs w:val="14"/>
              </w:rPr>
              <w:t>.</w:t>
            </w:r>
            <w:r w:rsidRPr="003003C0">
              <w:rPr>
                <w:rFonts w:cs="Calibri"/>
                <w:bCs/>
                <w:color w:val="000000"/>
                <w:sz w:val="14"/>
                <w:szCs w:val="14"/>
              </w:rPr>
              <w:t>9</w:t>
            </w:r>
          </w:p>
        </w:tc>
        <w:tc>
          <w:tcPr>
            <w:tcW w:w="650" w:type="dxa"/>
            <w:noWrap/>
            <w:vAlign w:val="center"/>
            <w:hideMark/>
          </w:tcPr>
          <w:p w14:paraId="52541461" w14:textId="77777777" w:rsidR="004F64EF" w:rsidRPr="003003C0" w:rsidRDefault="004F64EF" w:rsidP="00FD6B66">
            <w:pPr>
              <w:jc w:val="right"/>
              <w:rPr>
                <w:rFonts w:cs="Calibri"/>
                <w:bCs/>
                <w:color w:val="000000"/>
                <w:sz w:val="14"/>
                <w:szCs w:val="14"/>
              </w:rPr>
            </w:pPr>
            <w:r w:rsidRPr="003003C0">
              <w:rPr>
                <w:rFonts w:cs="Calibri"/>
                <w:bCs/>
                <w:color w:val="000000"/>
                <w:sz w:val="14"/>
                <w:szCs w:val="14"/>
              </w:rPr>
              <w:t>0</w:t>
            </w:r>
            <w:r>
              <w:rPr>
                <w:rFonts w:cs="Calibri"/>
                <w:bCs/>
                <w:color w:val="000000"/>
                <w:sz w:val="14"/>
                <w:szCs w:val="14"/>
              </w:rPr>
              <w:t>.</w:t>
            </w:r>
            <w:r w:rsidRPr="003003C0">
              <w:rPr>
                <w:rFonts w:cs="Calibri"/>
                <w:bCs/>
                <w:color w:val="000000"/>
                <w:sz w:val="14"/>
                <w:szCs w:val="14"/>
              </w:rPr>
              <w:t>6</w:t>
            </w:r>
          </w:p>
        </w:tc>
        <w:tc>
          <w:tcPr>
            <w:tcW w:w="650" w:type="dxa"/>
            <w:noWrap/>
            <w:vAlign w:val="center"/>
            <w:hideMark/>
          </w:tcPr>
          <w:p w14:paraId="7E9EBD7A" w14:textId="77777777" w:rsidR="004F64EF" w:rsidRPr="003003C0" w:rsidRDefault="004F64EF" w:rsidP="00FD6B66">
            <w:pPr>
              <w:jc w:val="right"/>
              <w:rPr>
                <w:rFonts w:cs="Calibri"/>
                <w:bCs/>
                <w:color w:val="000000"/>
                <w:sz w:val="14"/>
                <w:szCs w:val="14"/>
              </w:rPr>
            </w:pPr>
            <w:r w:rsidRPr="003003C0">
              <w:rPr>
                <w:rFonts w:cs="Calibri"/>
                <w:bCs/>
                <w:color w:val="000000"/>
                <w:sz w:val="14"/>
                <w:szCs w:val="14"/>
              </w:rPr>
              <w:t>1</w:t>
            </w:r>
            <w:r>
              <w:rPr>
                <w:rFonts w:cs="Calibri"/>
                <w:bCs/>
                <w:color w:val="000000"/>
                <w:sz w:val="14"/>
                <w:szCs w:val="14"/>
              </w:rPr>
              <w:t>.</w:t>
            </w:r>
            <w:r w:rsidRPr="003003C0">
              <w:rPr>
                <w:rFonts w:cs="Calibri"/>
                <w:bCs/>
                <w:color w:val="000000"/>
                <w:sz w:val="14"/>
                <w:szCs w:val="14"/>
              </w:rPr>
              <w:t>0</w:t>
            </w:r>
          </w:p>
        </w:tc>
        <w:tc>
          <w:tcPr>
            <w:tcW w:w="650" w:type="dxa"/>
            <w:noWrap/>
            <w:vAlign w:val="center"/>
            <w:hideMark/>
          </w:tcPr>
          <w:p w14:paraId="2AD7F545" w14:textId="77777777" w:rsidR="004F64EF" w:rsidRPr="003003C0" w:rsidRDefault="004F64EF" w:rsidP="00FD6B66">
            <w:pPr>
              <w:jc w:val="right"/>
              <w:rPr>
                <w:rFonts w:cs="Calibri"/>
                <w:bCs/>
                <w:color w:val="000000"/>
                <w:sz w:val="14"/>
                <w:szCs w:val="14"/>
              </w:rPr>
            </w:pPr>
            <w:r w:rsidRPr="003003C0">
              <w:rPr>
                <w:rFonts w:cs="Calibri"/>
                <w:bCs/>
                <w:color w:val="000000"/>
                <w:sz w:val="14"/>
                <w:szCs w:val="14"/>
              </w:rPr>
              <w:t>0</w:t>
            </w:r>
            <w:r>
              <w:rPr>
                <w:rFonts w:cs="Calibri"/>
                <w:bCs/>
                <w:color w:val="000000"/>
                <w:sz w:val="14"/>
                <w:szCs w:val="14"/>
              </w:rPr>
              <w:t>.</w:t>
            </w:r>
            <w:r w:rsidRPr="003003C0">
              <w:rPr>
                <w:rFonts w:cs="Calibri"/>
                <w:bCs/>
                <w:color w:val="000000"/>
                <w:sz w:val="14"/>
                <w:szCs w:val="14"/>
              </w:rPr>
              <w:t>9</w:t>
            </w:r>
          </w:p>
        </w:tc>
        <w:tc>
          <w:tcPr>
            <w:tcW w:w="650" w:type="dxa"/>
            <w:noWrap/>
            <w:vAlign w:val="center"/>
            <w:hideMark/>
          </w:tcPr>
          <w:p w14:paraId="39E92CF6" w14:textId="77777777" w:rsidR="004F64EF" w:rsidRPr="003003C0" w:rsidRDefault="004F64EF" w:rsidP="00FD6B66">
            <w:pPr>
              <w:jc w:val="right"/>
              <w:rPr>
                <w:rFonts w:cs="Calibri"/>
                <w:bCs/>
                <w:color w:val="000000"/>
                <w:sz w:val="14"/>
                <w:szCs w:val="14"/>
              </w:rPr>
            </w:pPr>
            <w:r w:rsidRPr="003003C0">
              <w:rPr>
                <w:rFonts w:cs="Calibri"/>
                <w:bCs/>
                <w:color w:val="000000"/>
                <w:sz w:val="14"/>
                <w:szCs w:val="14"/>
              </w:rPr>
              <w:t>1</w:t>
            </w:r>
            <w:r>
              <w:rPr>
                <w:rFonts w:cs="Calibri"/>
                <w:bCs/>
                <w:color w:val="000000"/>
                <w:sz w:val="14"/>
                <w:szCs w:val="14"/>
              </w:rPr>
              <w:t>.</w:t>
            </w:r>
            <w:r w:rsidRPr="003003C0">
              <w:rPr>
                <w:rFonts w:cs="Calibri"/>
                <w:bCs/>
                <w:color w:val="000000"/>
                <w:sz w:val="14"/>
                <w:szCs w:val="14"/>
              </w:rPr>
              <w:t>2</w:t>
            </w:r>
          </w:p>
        </w:tc>
        <w:tc>
          <w:tcPr>
            <w:tcW w:w="650" w:type="dxa"/>
            <w:noWrap/>
            <w:vAlign w:val="center"/>
            <w:hideMark/>
          </w:tcPr>
          <w:p w14:paraId="416EAB7D" w14:textId="77777777" w:rsidR="004F64EF" w:rsidRPr="003003C0" w:rsidRDefault="004F64EF" w:rsidP="00FD6B66">
            <w:pPr>
              <w:jc w:val="right"/>
              <w:rPr>
                <w:rFonts w:cs="Calibri"/>
                <w:bCs/>
                <w:color w:val="000000"/>
                <w:sz w:val="14"/>
                <w:szCs w:val="14"/>
              </w:rPr>
            </w:pPr>
            <w:r w:rsidRPr="003003C0">
              <w:rPr>
                <w:rFonts w:cs="Calibri"/>
                <w:bCs/>
                <w:color w:val="000000"/>
                <w:sz w:val="14"/>
                <w:szCs w:val="14"/>
              </w:rPr>
              <w:t>1</w:t>
            </w:r>
            <w:r>
              <w:rPr>
                <w:rFonts w:cs="Calibri"/>
                <w:bCs/>
                <w:color w:val="000000"/>
                <w:sz w:val="14"/>
                <w:szCs w:val="14"/>
              </w:rPr>
              <w:t>.</w:t>
            </w:r>
            <w:r w:rsidRPr="003003C0">
              <w:rPr>
                <w:rFonts w:cs="Calibri"/>
                <w:bCs/>
                <w:color w:val="000000"/>
                <w:sz w:val="14"/>
                <w:szCs w:val="14"/>
              </w:rPr>
              <w:t>8</w:t>
            </w:r>
          </w:p>
        </w:tc>
      </w:tr>
      <w:tr w:rsidR="004F64EF" w:rsidRPr="003003C0" w14:paraId="4BF54AF1" w14:textId="77777777" w:rsidTr="00FD6B66">
        <w:trPr>
          <w:trHeight w:val="20"/>
        </w:trPr>
        <w:tc>
          <w:tcPr>
            <w:tcW w:w="4478" w:type="dxa"/>
            <w:noWrap/>
            <w:vAlign w:val="center"/>
            <w:hideMark/>
          </w:tcPr>
          <w:p w14:paraId="4F43C7C0" w14:textId="77777777" w:rsidR="004F64EF" w:rsidRPr="003003C0" w:rsidRDefault="004F64EF" w:rsidP="00FD6B66">
            <w:pPr>
              <w:tabs>
                <w:tab w:val="left" w:pos="227"/>
              </w:tabs>
              <w:jc w:val="left"/>
              <w:rPr>
                <w:rFonts w:cs="Calibri"/>
                <w:bCs/>
                <w:color w:val="000000"/>
                <w:sz w:val="14"/>
                <w:szCs w:val="14"/>
              </w:rPr>
            </w:pPr>
            <w:r w:rsidRPr="003003C0">
              <w:rPr>
                <w:rFonts w:cs="Calibri"/>
                <w:bCs/>
                <w:color w:val="000000"/>
                <w:sz w:val="14"/>
                <w:szCs w:val="14"/>
              </w:rPr>
              <w:tab/>
              <w:t xml:space="preserve">83. </w:t>
            </w:r>
            <w:r w:rsidRPr="009803BD">
              <w:rPr>
                <w:rFonts w:cs="Calibri"/>
                <w:bCs/>
                <w:color w:val="000000"/>
                <w:sz w:val="14"/>
                <w:szCs w:val="14"/>
              </w:rPr>
              <w:t>Miscellaneous articles of base metal</w:t>
            </w:r>
          </w:p>
        </w:tc>
        <w:tc>
          <w:tcPr>
            <w:tcW w:w="650" w:type="dxa"/>
            <w:noWrap/>
            <w:vAlign w:val="center"/>
            <w:hideMark/>
          </w:tcPr>
          <w:p w14:paraId="7652DEBF" w14:textId="77777777" w:rsidR="004F64EF" w:rsidRPr="003003C0" w:rsidRDefault="004F64EF" w:rsidP="00FD6B66">
            <w:pPr>
              <w:jc w:val="right"/>
              <w:rPr>
                <w:rFonts w:cs="Calibri"/>
                <w:bCs/>
                <w:color w:val="000000"/>
                <w:sz w:val="14"/>
                <w:szCs w:val="14"/>
              </w:rPr>
            </w:pPr>
            <w:r w:rsidRPr="003003C0">
              <w:rPr>
                <w:rFonts w:cs="Calibri"/>
                <w:bCs/>
                <w:color w:val="000000"/>
                <w:sz w:val="14"/>
                <w:szCs w:val="14"/>
              </w:rPr>
              <w:t>0</w:t>
            </w:r>
            <w:r>
              <w:rPr>
                <w:rFonts w:cs="Calibri"/>
                <w:bCs/>
                <w:color w:val="000000"/>
                <w:sz w:val="14"/>
                <w:szCs w:val="14"/>
              </w:rPr>
              <w:t>.</w:t>
            </w:r>
            <w:r w:rsidRPr="003003C0">
              <w:rPr>
                <w:rFonts w:cs="Calibri"/>
                <w:bCs/>
                <w:color w:val="000000"/>
                <w:sz w:val="14"/>
                <w:szCs w:val="14"/>
              </w:rPr>
              <w:t>8</w:t>
            </w:r>
          </w:p>
        </w:tc>
        <w:tc>
          <w:tcPr>
            <w:tcW w:w="650" w:type="dxa"/>
            <w:noWrap/>
            <w:vAlign w:val="center"/>
            <w:hideMark/>
          </w:tcPr>
          <w:p w14:paraId="643848F5" w14:textId="77777777" w:rsidR="004F64EF" w:rsidRPr="003003C0" w:rsidRDefault="004F64EF" w:rsidP="00FD6B66">
            <w:pPr>
              <w:jc w:val="right"/>
              <w:rPr>
                <w:rFonts w:cs="Calibri"/>
                <w:bCs/>
                <w:color w:val="000000"/>
                <w:sz w:val="14"/>
                <w:szCs w:val="14"/>
              </w:rPr>
            </w:pPr>
            <w:r w:rsidRPr="003003C0">
              <w:rPr>
                <w:rFonts w:cs="Calibri"/>
                <w:bCs/>
                <w:color w:val="000000"/>
                <w:sz w:val="14"/>
                <w:szCs w:val="14"/>
              </w:rPr>
              <w:t>0</w:t>
            </w:r>
            <w:r>
              <w:rPr>
                <w:rFonts w:cs="Calibri"/>
                <w:bCs/>
                <w:color w:val="000000"/>
                <w:sz w:val="14"/>
                <w:szCs w:val="14"/>
              </w:rPr>
              <w:t>.</w:t>
            </w:r>
            <w:r w:rsidRPr="003003C0">
              <w:rPr>
                <w:rFonts w:cs="Calibri"/>
                <w:bCs/>
                <w:color w:val="000000"/>
                <w:sz w:val="14"/>
                <w:szCs w:val="14"/>
              </w:rPr>
              <w:t>8</w:t>
            </w:r>
          </w:p>
        </w:tc>
        <w:tc>
          <w:tcPr>
            <w:tcW w:w="650" w:type="dxa"/>
            <w:noWrap/>
            <w:vAlign w:val="center"/>
            <w:hideMark/>
          </w:tcPr>
          <w:p w14:paraId="5E53DDB5" w14:textId="77777777" w:rsidR="004F64EF" w:rsidRPr="003003C0" w:rsidRDefault="004F64EF" w:rsidP="00FD6B66">
            <w:pPr>
              <w:jc w:val="right"/>
              <w:rPr>
                <w:rFonts w:cs="Calibri"/>
                <w:bCs/>
                <w:color w:val="000000"/>
                <w:sz w:val="14"/>
                <w:szCs w:val="14"/>
              </w:rPr>
            </w:pPr>
            <w:r w:rsidRPr="003003C0">
              <w:rPr>
                <w:rFonts w:cs="Calibri"/>
                <w:bCs/>
                <w:color w:val="000000"/>
                <w:sz w:val="14"/>
                <w:szCs w:val="14"/>
              </w:rPr>
              <w:t>0</w:t>
            </w:r>
            <w:r>
              <w:rPr>
                <w:rFonts w:cs="Calibri"/>
                <w:bCs/>
                <w:color w:val="000000"/>
                <w:sz w:val="14"/>
                <w:szCs w:val="14"/>
              </w:rPr>
              <w:t>.</w:t>
            </w:r>
            <w:r w:rsidRPr="003003C0">
              <w:rPr>
                <w:rFonts w:cs="Calibri"/>
                <w:bCs/>
                <w:color w:val="000000"/>
                <w:sz w:val="14"/>
                <w:szCs w:val="14"/>
              </w:rPr>
              <w:t>8</w:t>
            </w:r>
          </w:p>
        </w:tc>
        <w:tc>
          <w:tcPr>
            <w:tcW w:w="650" w:type="dxa"/>
            <w:noWrap/>
            <w:vAlign w:val="center"/>
            <w:hideMark/>
          </w:tcPr>
          <w:p w14:paraId="526D4883" w14:textId="77777777" w:rsidR="004F64EF" w:rsidRPr="003003C0" w:rsidRDefault="004F64EF" w:rsidP="00FD6B66">
            <w:pPr>
              <w:jc w:val="right"/>
              <w:rPr>
                <w:rFonts w:cs="Calibri"/>
                <w:bCs/>
                <w:color w:val="000000"/>
                <w:sz w:val="14"/>
                <w:szCs w:val="14"/>
              </w:rPr>
            </w:pPr>
            <w:r w:rsidRPr="003003C0">
              <w:rPr>
                <w:rFonts w:cs="Calibri"/>
                <w:bCs/>
                <w:color w:val="000000"/>
                <w:sz w:val="14"/>
                <w:szCs w:val="14"/>
              </w:rPr>
              <w:t>0</w:t>
            </w:r>
            <w:r>
              <w:rPr>
                <w:rFonts w:cs="Calibri"/>
                <w:bCs/>
                <w:color w:val="000000"/>
                <w:sz w:val="14"/>
                <w:szCs w:val="14"/>
              </w:rPr>
              <w:t>.</w:t>
            </w:r>
            <w:r w:rsidRPr="003003C0">
              <w:rPr>
                <w:rFonts w:cs="Calibri"/>
                <w:bCs/>
                <w:color w:val="000000"/>
                <w:sz w:val="14"/>
                <w:szCs w:val="14"/>
              </w:rPr>
              <w:t>8</w:t>
            </w:r>
          </w:p>
        </w:tc>
        <w:tc>
          <w:tcPr>
            <w:tcW w:w="650" w:type="dxa"/>
            <w:noWrap/>
            <w:vAlign w:val="center"/>
            <w:hideMark/>
          </w:tcPr>
          <w:p w14:paraId="4583A8AD" w14:textId="77777777" w:rsidR="004F64EF" w:rsidRPr="003003C0" w:rsidRDefault="004F64EF" w:rsidP="00FD6B66">
            <w:pPr>
              <w:jc w:val="right"/>
              <w:rPr>
                <w:rFonts w:cs="Calibri"/>
                <w:bCs/>
                <w:color w:val="000000"/>
                <w:sz w:val="14"/>
                <w:szCs w:val="14"/>
              </w:rPr>
            </w:pPr>
            <w:r w:rsidRPr="003003C0">
              <w:rPr>
                <w:rFonts w:cs="Calibri"/>
                <w:bCs/>
                <w:color w:val="000000"/>
                <w:sz w:val="14"/>
                <w:szCs w:val="14"/>
              </w:rPr>
              <w:t>0</w:t>
            </w:r>
            <w:r>
              <w:rPr>
                <w:rFonts w:cs="Calibri"/>
                <w:bCs/>
                <w:color w:val="000000"/>
                <w:sz w:val="14"/>
                <w:szCs w:val="14"/>
              </w:rPr>
              <w:t>.</w:t>
            </w:r>
            <w:r w:rsidRPr="003003C0">
              <w:rPr>
                <w:rFonts w:cs="Calibri"/>
                <w:bCs/>
                <w:color w:val="000000"/>
                <w:sz w:val="14"/>
                <w:szCs w:val="14"/>
              </w:rPr>
              <w:t>8</w:t>
            </w:r>
          </w:p>
        </w:tc>
        <w:tc>
          <w:tcPr>
            <w:tcW w:w="650" w:type="dxa"/>
            <w:noWrap/>
            <w:vAlign w:val="center"/>
            <w:hideMark/>
          </w:tcPr>
          <w:p w14:paraId="66EABB94" w14:textId="77777777" w:rsidR="004F64EF" w:rsidRPr="003003C0" w:rsidRDefault="004F64EF" w:rsidP="00FD6B66">
            <w:pPr>
              <w:jc w:val="right"/>
              <w:rPr>
                <w:rFonts w:cs="Calibri"/>
                <w:bCs/>
                <w:color w:val="000000"/>
                <w:sz w:val="14"/>
                <w:szCs w:val="14"/>
              </w:rPr>
            </w:pPr>
            <w:r w:rsidRPr="003003C0">
              <w:rPr>
                <w:rFonts w:cs="Calibri"/>
                <w:bCs/>
                <w:color w:val="000000"/>
                <w:sz w:val="14"/>
                <w:szCs w:val="14"/>
              </w:rPr>
              <w:t>0</w:t>
            </w:r>
            <w:r>
              <w:rPr>
                <w:rFonts w:cs="Calibri"/>
                <w:bCs/>
                <w:color w:val="000000"/>
                <w:sz w:val="14"/>
                <w:szCs w:val="14"/>
              </w:rPr>
              <w:t>.</w:t>
            </w:r>
            <w:r w:rsidRPr="003003C0">
              <w:rPr>
                <w:rFonts w:cs="Calibri"/>
                <w:bCs/>
                <w:color w:val="000000"/>
                <w:sz w:val="14"/>
                <w:szCs w:val="14"/>
              </w:rPr>
              <w:t>7</w:t>
            </w:r>
          </w:p>
        </w:tc>
        <w:tc>
          <w:tcPr>
            <w:tcW w:w="650" w:type="dxa"/>
            <w:noWrap/>
            <w:vAlign w:val="center"/>
            <w:hideMark/>
          </w:tcPr>
          <w:p w14:paraId="562B0896" w14:textId="77777777" w:rsidR="004F64EF" w:rsidRPr="003003C0" w:rsidRDefault="004F64EF" w:rsidP="00FD6B66">
            <w:pPr>
              <w:jc w:val="right"/>
              <w:rPr>
                <w:rFonts w:cs="Calibri"/>
                <w:bCs/>
                <w:color w:val="000000"/>
                <w:sz w:val="14"/>
                <w:szCs w:val="14"/>
              </w:rPr>
            </w:pPr>
            <w:r w:rsidRPr="003003C0">
              <w:rPr>
                <w:rFonts w:cs="Calibri"/>
                <w:bCs/>
                <w:color w:val="000000"/>
                <w:sz w:val="14"/>
                <w:szCs w:val="14"/>
              </w:rPr>
              <w:t>0</w:t>
            </w:r>
            <w:r>
              <w:rPr>
                <w:rFonts w:cs="Calibri"/>
                <w:bCs/>
                <w:color w:val="000000"/>
                <w:sz w:val="14"/>
                <w:szCs w:val="14"/>
              </w:rPr>
              <w:t>.</w:t>
            </w:r>
            <w:r w:rsidRPr="003003C0">
              <w:rPr>
                <w:rFonts w:cs="Calibri"/>
                <w:bCs/>
                <w:color w:val="000000"/>
                <w:sz w:val="14"/>
                <w:szCs w:val="14"/>
              </w:rPr>
              <w:t>7</w:t>
            </w:r>
          </w:p>
        </w:tc>
      </w:tr>
      <w:tr w:rsidR="004F64EF" w:rsidRPr="003003C0" w14:paraId="758302E2" w14:textId="77777777" w:rsidTr="00FD6B66">
        <w:trPr>
          <w:cnfStyle w:val="000000010000" w:firstRow="0" w:lastRow="0" w:firstColumn="0" w:lastColumn="0" w:oddVBand="0" w:evenVBand="0" w:oddHBand="0" w:evenHBand="1" w:firstRowFirstColumn="0" w:firstRowLastColumn="0" w:lastRowFirstColumn="0" w:lastRowLastColumn="0"/>
          <w:trHeight w:val="20"/>
        </w:trPr>
        <w:tc>
          <w:tcPr>
            <w:tcW w:w="4478" w:type="dxa"/>
            <w:noWrap/>
            <w:vAlign w:val="center"/>
            <w:hideMark/>
          </w:tcPr>
          <w:p w14:paraId="1C48E156" w14:textId="77777777" w:rsidR="004F64EF" w:rsidRPr="003003C0" w:rsidRDefault="004F64EF" w:rsidP="00FD6B66">
            <w:pPr>
              <w:tabs>
                <w:tab w:val="left" w:pos="227"/>
              </w:tabs>
              <w:jc w:val="left"/>
              <w:rPr>
                <w:rFonts w:cs="Calibri"/>
                <w:bCs/>
                <w:color w:val="000000"/>
                <w:sz w:val="14"/>
                <w:szCs w:val="14"/>
              </w:rPr>
            </w:pPr>
            <w:r w:rsidRPr="003003C0">
              <w:rPr>
                <w:rFonts w:cs="Calibri"/>
                <w:bCs/>
                <w:color w:val="000000"/>
                <w:sz w:val="14"/>
                <w:szCs w:val="14"/>
              </w:rPr>
              <w:tab/>
              <w:t xml:space="preserve">72. </w:t>
            </w:r>
            <w:r w:rsidRPr="009803BD">
              <w:rPr>
                <w:rFonts w:cs="Calibri"/>
                <w:bCs/>
                <w:color w:val="000000"/>
                <w:sz w:val="14"/>
                <w:szCs w:val="14"/>
              </w:rPr>
              <w:t>Iron and steel</w:t>
            </w:r>
          </w:p>
        </w:tc>
        <w:tc>
          <w:tcPr>
            <w:tcW w:w="650" w:type="dxa"/>
            <w:noWrap/>
            <w:vAlign w:val="center"/>
            <w:hideMark/>
          </w:tcPr>
          <w:p w14:paraId="32F9554B" w14:textId="77777777" w:rsidR="004F64EF" w:rsidRPr="003003C0" w:rsidRDefault="004F64EF" w:rsidP="00FD6B66">
            <w:pPr>
              <w:jc w:val="right"/>
              <w:rPr>
                <w:rFonts w:cs="Calibri"/>
                <w:bCs/>
                <w:color w:val="000000"/>
                <w:sz w:val="14"/>
                <w:szCs w:val="14"/>
              </w:rPr>
            </w:pPr>
            <w:r w:rsidRPr="003003C0">
              <w:rPr>
                <w:rFonts w:cs="Calibri"/>
                <w:bCs/>
                <w:color w:val="000000"/>
                <w:sz w:val="14"/>
                <w:szCs w:val="14"/>
              </w:rPr>
              <w:t>0</w:t>
            </w:r>
            <w:r>
              <w:rPr>
                <w:rFonts w:cs="Calibri"/>
                <w:bCs/>
                <w:color w:val="000000"/>
                <w:sz w:val="14"/>
                <w:szCs w:val="14"/>
              </w:rPr>
              <w:t>.</w:t>
            </w:r>
            <w:r w:rsidRPr="003003C0">
              <w:rPr>
                <w:rFonts w:cs="Calibri"/>
                <w:bCs/>
                <w:color w:val="000000"/>
                <w:sz w:val="14"/>
                <w:szCs w:val="14"/>
              </w:rPr>
              <w:t>5</w:t>
            </w:r>
          </w:p>
        </w:tc>
        <w:tc>
          <w:tcPr>
            <w:tcW w:w="650" w:type="dxa"/>
            <w:noWrap/>
            <w:vAlign w:val="center"/>
            <w:hideMark/>
          </w:tcPr>
          <w:p w14:paraId="2249E8CD" w14:textId="77777777" w:rsidR="004F64EF" w:rsidRPr="003003C0" w:rsidRDefault="004F64EF" w:rsidP="00FD6B66">
            <w:pPr>
              <w:jc w:val="right"/>
              <w:rPr>
                <w:rFonts w:cs="Calibri"/>
                <w:bCs/>
                <w:color w:val="000000"/>
                <w:sz w:val="14"/>
                <w:szCs w:val="14"/>
              </w:rPr>
            </w:pPr>
            <w:r w:rsidRPr="003003C0">
              <w:rPr>
                <w:rFonts w:cs="Calibri"/>
                <w:bCs/>
                <w:color w:val="000000"/>
                <w:sz w:val="14"/>
                <w:szCs w:val="14"/>
              </w:rPr>
              <w:t>0</w:t>
            </w:r>
            <w:r>
              <w:rPr>
                <w:rFonts w:cs="Calibri"/>
                <w:bCs/>
                <w:color w:val="000000"/>
                <w:sz w:val="14"/>
                <w:szCs w:val="14"/>
              </w:rPr>
              <w:t>.</w:t>
            </w:r>
            <w:r w:rsidRPr="003003C0">
              <w:rPr>
                <w:rFonts w:cs="Calibri"/>
                <w:bCs/>
                <w:color w:val="000000"/>
                <w:sz w:val="14"/>
                <w:szCs w:val="14"/>
              </w:rPr>
              <w:t>4</w:t>
            </w:r>
          </w:p>
        </w:tc>
        <w:tc>
          <w:tcPr>
            <w:tcW w:w="650" w:type="dxa"/>
            <w:noWrap/>
            <w:vAlign w:val="center"/>
            <w:hideMark/>
          </w:tcPr>
          <w:p w14:paraId="0874D00D" w14:textId="77777777" w:rsidR="004F64EF" w:rsidRPr="003003C0" w:rsidRDefault="004F64EF" w:rsidP="00FD6B66">
            <w:pPr>
              <w:jc w:val="right"/>
              <w:rPr>
                <w:rFonts w:cs="Calibri"/>
                <w:bCs/>
                <w:color w:val="000000"/>
                <w:sz w:val="14"/>
                <w:szCs w:val="14"/>
              </w:rPr>
            </w:pPr>
            <w:r w:rsidRPr="003003C0">
              <w:rPr>
                <w:rFonts w:cs="Calibri"/>
                <w:bCs/>
                <w:color w:val="000000"/>
                <w:sz w:val="14"/>
                <w:szCs w:val="14"/>
              </w:rPr>
              <w:t>0</w:t>
            </w:r>
            <w:r>
              <w:rPr>
                <w:rFonts w:cs="Calibri"/>
                <w:bCs/>
                <w:color w:val="000000"/>
                <w:sz w:val="14"/>
                <w:szCs w:val="14"/>
              </w:rPr>
              <w:t>.</w:t>
            </w:r>
            <w:r w:rsidRPr="003003C0">
              <w:rPr>
                <w:rFonts w:cs="Calibri"/>
                <w:bCs/>
                <w:color w:val="000000"/>
                <w:sz w:val="14"/>
                <w:szCs w:val="14"/>
              </w:rPr>
              <w:t>5</w:t>
            </w:r>
          </w:p>
        </w:tc>
        <w:tc>
          <w:tcPr>
            <w:tcW w:w="650" w:type="dxa"/>
            <w:noWrap/>
            <w:vAlign w:val="center"/>
            <w:hideMark/>
          </w:tcPr>
          <w:p w14:paraId="045E3275" w14:textId="77777777" w:rsidR="004F64EF" w:rsidRPr="003003C0" w:rsidRDefault="004F64EF" w:rsidP="00FD6B66">
            <w:pPr>
              <w:jc w:val="right"/>
              <w:rPr>
                <w:rFonts w:cs="Calibri"/>
                <w:bCs/>
                <w:color w:val="000000"/>
                <w:sz w:val="14"/>
                <w:szCs w:val="14"/>
              </w:rPr>
            </w:pPr>
            <w:r w:rsidRPr="003003C0">
              <w:rPr>
                <w:rFonts w:cs="Calibri"/>
                <w:bCs/>
                <w:color w:val="000000"/>
                <w:sz w:val="14"/>
                <w:szCs w:val="14"/>
              </w:rPr>
              <w:t>0</w:t>
            </w:r>
            <w:r>
              <w:rPr>
                <w:rFonts w:cs="Calibri"/>
                <w:bCs/>
                <w:color w:val="000000"/>
                <w:sz w:val="14"/>
                <w:szCs w:val="14"/>
              </w:rPr>
              <w:t>.</w:t>
            </w:r>
            <w:r w:rsidRPr="003003C0">
              <w:rPr>
                <w:rFonts w:cs="Calibri"/>
                <w:bCs/>
                <w:color w:val="000000"/>
                <w:sz w:val="14"/>
                <w:szCs w:val="14"/>
              </w:rPr>
              <w:t>5</w:t>
            </w:r>
          </w:p>
        </w:tc>
        <w:tc>
          <w:tcPr>
            <w:tcW w:w="650" w:type="dxa"/>
            <w:noWrap/>
            <w:vAlign w:val="center"/>
            <w:hideMark/>
          </w:tcPr>
          <w:p w14:paraId="2CC25AAB" w14:textId="77777777" w:rsidR="004F64EF" w:rsidRPr="003003C0" w:rsidRDefault="004F64EF" w:rsidP="00FD6B66">
            <w:pPr>
              <w:jc w:val="right"/>
              <w:rPr>
                <w:rFonts w:cs="Calibri"/>
                <w:bCs/>
                <w:color w:val="000000"/>
                <w:sz w:val="14"/>
                <w:szCs w:val="14"/>
              </w:rPr>
            </w:pPr>
            <w:r w:rsidRPr="003003C0">
              <w:rPr>
                <w:rFonts w:cs="Calibri"/>
                <w:bCs/>
                <w:color w:val="000000"/>
                <w:sz w:val="14"/>
                <w:szCs w:val="14"/>
              </w:rPr>
              <w:t>0</w:t>
            </w:r>
            <w:r>
              <w:rPr>
                <w:rFonts w:cs="Calibri"/>
                <w:bCs/>
                <w:color w:val="000000"/>
                <w:sz w:val="14"/>
                <w:szCs w:val="14"/>
              </w:rPr>
              <w:t>.</w:t>
            </w:r>
            <w:r w:rsidRPr="003003C0">
              <w:rPr>
                <w:rFonts w:cs="Calibri"/>
                <w:bCs/>
                <w:color w:val="000000"/>
                <w:sz w:val="14"/>
                <w:szCs w:val="14"/>
              </w:rPr>
              <w:t>5</w:t>
            </w:r>
          </w:p>
        </w:tc>
        <w:tc>
          <w:tcPr>
            <w:tcW w:w="650" w:type="dxa"/>
            <w:noWrap/>
            <w:vAlign w:val="center"/>
            <w:hideMark/>
          </w:tcPr>
          <w:p w14:paraId="371D1362" w14:textId="77777777" w:rsidR="004F64EF" w:rsidRPr="003003C0" w:rsidRDefault="004F64EF" w:rsidP="00FD6B66">
            <w:pPr>
              <w:jc w:val="right"/>
              <w:rPr>
                <w:rFonts w:cs="Calibri"/>
                <w:bCs/>
                <w:color w:val="000000"/>
                <w:sz w:val="14"/>
                <w:szCs w:val="14"/>
              </w:rPr>
            </w:pPr>
            <w:r w:rsidRPr="003003C0">
              <w:rPr>
                <w:rFonts w:cs="Calibri"/>
                <w:bCs/>
                <w:color w:val="000000"/>
                <w:sz w:val="14"/>
                <w:szCs w:val="14"/>
              </w:rPr>
              <w:t>0</w:t>
            </w:r>
            <w:r>
              <w:rPr>
                <w:rFonts w:cs="Calibri"/>
                <w:bCs/>
                <w:color w:val="000000"/>
                <w:sz w:val="14"/>
                <w:szCs w:val="14"/>
              </w:rPr>
              <w:t>.</w:t>
            </w:r>
            <w:r w:rsidRPr="003003C0">
              <w:rPr>
                <w:rFonts w:cs="Calibri"/>
                <w:bCs/>
                <w:color w:val="000000"/>
                <w:sz w:val="14"/>
                <w:szCs w:val="14"/>
              </w:rPr>
              <w:t>3</w:t>
            </w:r>
          </w:p>
        </w:tc>
        <w:tc>
          <w:tcPr>
            <w:tcW w:w="650" w:type="dxa"/>
            <w:noWrap/>
            <w:vAlign w:val="center"/>
            <w:hideMark/>
          </w:tcPr>
          <w:p w14:paraId="717D7875" w14:textId="77777777" w:rsidR="004F64EF" w:rsidRPr="003003C0" w:rsidRDefault="004F64EF" w:rsidP="00FD6B66">
            <w:pPr>
              <w:jc w:val="right"/>
              <w:rPr>
                <w:rFonts w:cs="Calibri"/>
                <w:bCs/>
                <w:color w:val="000000"/>
                <w:sz w:val="14"/>
                <w:szCs w:val="14"/>
              </w:rPr>
            </w:pPr>
            <w:r w:rsidRPr="003003C0">
              <w:rPr>
                <w:rFonts w:cs="Calibri"/>
                <w:bCs/>
                <w:color w:val="000000"/>
                <w:sz w:val="14"/>
                <w:szCs w:val="14"/>
              </w:rPr>
              <w:t>0</w:t>
            </w:r>
            <w:r>
              <w:rPr>
                <w:rFonts w:cs="Calibri"/>
                <w:bCs/>
                <w:color w:val="000000"/>
                <w:sz w:val="14"/>
                <w:szCs w:val="14"/>
              </w:rPr>
              <w:t>.</w:t>
            </w:r>
            <w:r w:rsidRPr="003003C0">
              <w:rPr>
                <w:rFonts w:cs="Calibri"/>
                <w:bCs/>
                <w:color w:val="000000"/>
                <w:sz w:val="14"/>
                <w:szCs w:val="14"/>
              </w:rPr>
              <w:t>5</w:t>
            </w:r>
          </w:p>
        </w:tc>
      </w:tr>
      <w:tr w:rsidR="004F64EF" w:rsidRPr="003003C0" w14:paraId="2053D5E8" w14:textId="77777777" w:rsidTr="00FD6B66">
        <w:trPr>
          <w:trHeight w:val="20"/>
        </w:trPr>
        <w:tc>
          <w:tcPr>
            <w:tcW w:w="4478" w:type="dxa"/>
            <w:noWrap/>
            <w:vAlign w:val="center"/>
            <w:hideMark/>
          </w:tcPr>
          <w:p w14:paraId="3E1284F9" w14:textId="77777777" w:rsidR="004F64EF" w:rsidRPr="005D46CC" w:rsidRDefault="004F64EF" w:rsidP="005D46CC">
            <w:pPr>
              <w:jc w:val="left"/>
              <w:rPr>
                <w:rFonts w:cs="Calibri"/>
                <w:bCs/>
                <w:color w:val="000000"/>
                <w:sz w:val="14"/>
                <w:szCs w:val="14"/>
              </w:rPr>
            </w:pPr>
            <w:r w:rsidRPr="003003C0">
              <w:rPr>
                <w:rFonts w:cs="Calibri"/>
                <w:bCs/>
                <w:color w:val="000000"/>
                <w:sz w:val="14"/>
                <w:szCs w:val="14"/>
              </w:rPr>
              <w:t xml:space="preserve">16 - </w:t>
            </w:r>
            <w:r w:rsidRPr="005D46CC">
              <w:rPr>
                <w:rFonts w:cs="Calibri"/>
                <w:bCs/>
                <w:color w:val="000000"/>
                <w:sz w:val="14"/>
                <w:szCs w:val="14"/>
              </w:rPr>
              <w:t>Machinery and mechanical appliances;</w:t>
            </w:r>
          </w:p>
          <w:p w14:paraId="67841B72" w14:textId="77777777" w:rsidR="004F64EF" w:rsidRPr="003003C0" w:rsidRDefault="004F64EF" w:rsidP="005D46CC">
            <w:pPr>
              <w:jc w:val="left"/>
              <w:rPr>
                <w:rFonts w:cs="Calibri"/>
                <w:bCs/>
                <w:color w:val="000000"/>
                <w:sz w:val="14"/>
                <w:szCs w:val="14"/>
              </w:rPr>
            </w:pPr>
            <w:r w:rsidRPr="005D46CC">
              <w:rPr>
                <w:rFonts w:cs="Calibri"/>
                <w:bCs/>
                <w:color w:val="000000"/>
                <w:sz w:val="14"/>
                <w:szCs w:val="14"/>
              </w:rPr>
              <w:t>electrical equipment; parts thereof</w:t>
            </w:r>
          </w:p>
        </w:tc>
        <w:tc>
          <w:tcPr>
            <w:tcW w:w="650" w:type="dxa"/>
            <w:noWrap/>
            <w:vAlign w:val="center"/>
            <w:hideMark/>
          </w:tcPr>
          <w:p w14:paraId="521DE032" w14:textId="77777777" w:rsidR="004F64EF" w:rsidRPr="003003C0" w:rsidRDefault="004F64EF" w:rsidP="00FD6B66">
            <w:pPr>
              <w:jc w:val="right"/>
              <w:rPr>
                <w:rFonts w:cs="Calibri"/>
                <w:bCs/>
                <w:color w:val="000000"/>
                <w:sz w:val="14"/>
                <w:szCs w:val="14"/>
              </w:rPr>
            </w:pPr>
            <w:r w:rsidRPr="003003C0">
              <w:rPr>
                <w:rFonts w:cs="Calibri"/>
                <w:bCs/>
                <w:color w:val="000000"/>
                <w:sz w:val="14"/>
                <w:szCs w:val="14"/>
              </w:rPr>
              <w:t>15</w:t>
            </w:r>
            <w:r>
              <w:rPr>
                <w:rFonts w:cs="Calibri"/>
                <w:bCs/>
                <w:color w:val="000000"/>
                <w:sz w:val="14"/>
                <w:szCs w:val="14"/>
              </w:rPr>
              <w:t>.</w:t>
            </w:r>
            <w:r w:rsidRPr="003003C0">
              <w:rPr>
                <w:rFonts w:cs="Calibri"/>
                <w:bCs/>
                <w:color w:val="000000"/>
                <w:sz w:val="14"/>
                <w:szCs w:val="14"/>
              </w:rPr>
              <w:t>2</w:t>
            </w:r>
          </w:p>
        </w:tc>
        <w:tc>
          <w:tcPr>
            <w:tcW w:w="650" w:type="dxa"/>
            <w:noWrap/>
            <w:vAlign w:val="center"/>
            <w:hideMark/>
          </w:tcPr>
          <w:p w14:paraId="5F2EBAB3" w14:textId="77777777" w:rsidR="004F64EF" w:rsidRPr="003003C0" w:rsidRDefault="004F64EF" w:rsidP="00FD6B66">
            <w:pPr>
              <w:jc w:val="right"/>
              <w:rPr>
                <w:rFonts w:cs="Calibri"/>
                <w:bCs/>
                <w:color w:val="000000"/>
                <w:sz w:val="14"/>
                <w:szCs w:val="14"/>
              </w:rPr>
            </w:pPr>
            <w:r w:rsidRPr="003003C0">
              <w:rPr>
                <w:rFonts w:cs="Calibri"/>
                <w:bCs/>
                <w:color w:val="000000"/>
                <w:sz w:val="14"/>
                <w:szCs w:val="14"/>
              </w:rPr>
              <w:t>17</w:t>
            </w:r>
            <w:r>
              <w:rPr>
                <w:rFonts w:cs="Calibri"/>
                <w:bCs/>
                <w:color w:val="000000"/>
                <w:sz w:val="14"/>
                <w:szCs w:val="14"/>
              </w:rPr>
              <w:t>.</w:t>
            </w:r>
            <w:r w:rsidRPr="003003C0">
              <w:rPr>
                <w:rFonts w:cs="Calibri"/>
                <w:bCs/>
                <w:color w:val="000000"/>
                <w:sz w:val="14"/>
                <w:szCs w:val="14"/>
              </w:rPr>
              <w:t>0</w:t>
            </w:r>
          </w:p>
        </w:tc>
        <w:tc>
          <w:tcPr>
            <w:tcW w:w="650" w:type="dxa"/>
            <w:noWrap/>
            <w:vAlign w:val="center"/>
            <w:hideMark/>
          </w:tcPr>
          <w:p w14:paraId="1EBD4B62" w14:textId="77777777" w:rsidR="004F64EF" w:rsidRPr="003003C0" w:rsidRDefault="004F64EF" w:rsidP="00FD6B66">
            <w:pPr>
              <w:jc w:val="right"/>
              <w:rPr>
                <w:rFonts w:cs="Calibri"/>
                <w:bCs/>
                <w:color w:val="000000"/>
                <w:sz w:val="14"/>
                <w:szCs w:val="14"/>
              </w:rPr>
            </w:pPr>
            <w:r w:rsidRPr="003003C0">
              <w:rPr>
                <w:rFonts w:cs="Calibri"/>
                <w:bCs/>
                <w:color w:val="000000"/>
                <w:sz w:val="14"/>
                <w:szCs w:val="14"/>
              </w:rPr>
              <w:t>18</w:t>
            </w:r>
            <w:r>
              <w:rPr>
                <w:rFonts w:cs="Calibri"/>
                <w:bCs/>
                <w:color w:val="000000"/>
                <w:sz w:val="14"/>
                <w:szCs w:val="14"/>
              </w:rPr>
              <w:t>.</w:t>
            </w:r>
            <w:r w:rsidRPr="003003C0">
              <w:rPr>
                <w:rFonts w:cs="Calibri"/>
                <w:bCs/>
                <w:color w:val="000000"/>
                <w:sz w:val="14"/>
                <w:szCs w:val="14"/>
              </w:rPr>
              <w:t>7</w:t>
            </w:r>
          </w:p>
        </w:tc>
        <w:tc>
          <w:tcPr>
            <w:tcW w:w="650" w:type="dxa"/>
            <w:noWrap/>
            <w:vAlign w:val="center"/>
            <w:hideMark/>
          </w:tcPr>
          <w:p w14:paraId="5F01A6B9" w14:textId="77777777" w:rsidR="004F64EF" w:rsidRPr="003003C0" w:rsidRDefault="004F64EF" w:rsidP="00FD6B66">
            <w:pPr>
              <w:jc w:val="right"/>
              <w:rPr>
                <w:rFonts w:cs="Calibri"/>
                <w:bCs/>
                <w:color w:val="000000"/>
                <w:sz w:val="14"/>
                <w:szCs w:val="14"/>
              </w:rPr>
            </w:pPr>
            <w:r w:rsidRPr="003003C0">
              <w:rPr>
                <w:rFonts w:cs="Calibri"/>
                <w:bCs/>
                <w:color w:val="000000"/>
                <w:sz w:val="14"/>
                <w:szCs w:val="14"/>
              </w:rPr>
              <w:t>19</w:t>
            </w:r>
            <w:r>
              <w:rPr>
                <w:rFonts w:cs="Calibri"/>
                <w:bCs/>
                <w:color w:val="000000"/>
                <w:sz w:val="14"/>
                <w:szCs w:val="14"/>
              </w:rPr>
              <w:t>.</w:t>
            </w:r>
            <w:r w:rsidRPr="003003C0">
              <w:rPr>
                <w:rFonts w:cs="Calibri"/>
                <w:bCs/>
                <w:color w:val="000000"/>
                <w:sz w:val="14"/>
                <w:szCs w:val="14"/>
              </w:rPr>
              <w:t>3</w:t>
            </w:r>
          </w:p>
        </w:tc>
        <w:tc>
          <w:tcPr>
            <w:tcW w:w="650" w:type="dxa"/>
            <w:noWrap/>
            <w:vAlign w:val="center"/>
            <w:hideMark/>
          </w:tcPr>
          <w:p w14:paraId="5D65E2EB" w14:textId="77777777" w:rsidR="004F64EF" w:rsidRPr="003003C0" w:rsidRDefault="004F64EF" w:rsidP="00FD6B66">
            <w:pPr>
              <w:jc w:val="right"/>
              <w:rPr>
                <w:rFonts w:cs="Calibri"/>
                <w:bCs/>
                <w:color w:val="000000"/>
                <w:sz w:val="14"/>
                <w:szCs w:val="14"/>
              </w:rPr>
            </w:pPr>
            <w:r w:rsidRPr="003003C0">
              <w:rPr>
                <w:rFonts w:cs="Calibri"/>
                <w:bCs/>
                <w:color w:val="000000"/>
                <w:sz w:val="14"/>
                <w:szCs w:val="14"/>
              </w:rPr>
              <w:t>18</w:t>
            </w:r>
            <w:r>
              <w:rPr>
                <w:rFonts w:cs="Calibri"/>
                <w:bCs/>
                <w:color w:val="000000"/>
                <w:sz w:val="14"/>
                <w:szCs w:val="14"/>
              </w:rPr>
              <w:t>.</w:t>
            </w:r>
            <w:r w:rsidRPr="003003C0">
              <w:rPr>
                <w:rFonts w:cs="Calibri"/>
                <w:bCs/>
                <w:color w:val="000000"/>
                <w:sz w:val="14"/>
                <w:szCs w:val="14"/>
              </w:rPr>
              <w:t>9</w:t>
            </w:r>
          </w:p>
        </w:tc>
        <w:tc>
          <w:tcPr>
            <w:tcW w:w="650" w:type="dxa"/>
            <w:noWrap/>
            <w:vAlign w:val="center"/>
            <w:hideMark/>
          </w:tcPr>
          <w:p w14:paraId="28BF37CD" w14:textId="77777777" w:rsidR="004F64EF" w:rsidRPr="003003C0" w:rsidRDefault="004F64EF" w:rsidP="00FD6B66">
            <w:pPr>
              <w:jc w:val="right"/>
              <w:rPr>
                <w:rFonts w:cs="Calibri"/>
                <w:bCs/>
                <w:color w:val="000000"/>
                <w:sz w:val="14"/>
                <w:szCs w:val="14"/>
              </w:rPr>
            </w:pPr>
            <w:r w:rsidRPr="003003C0">
              <w:rPr>
                <w:rFonts w:cs="Calibri"/>
                <w:bCs/>
                <w:color w:val="000000"/>
                <w:sz w:val="14"/>
                <w:szCs w:val="14"/>
              </w:rPr>
              <w:t>21</w:t>
            </w:r>
            <w:r>
              <w:rPr>
                <w:rFonts w:cs="Calibri"/>
                <w:bCs/>
                <w:color w:val="000000"/>
                <w:sz w:val="14"/>
                <w:szCs w:val="14"/>
              </w:rPr>
              <w:t>.</w:t>
            </w:r>
            <w:r w:rsidRPr="003003C0">
              <w:rPr>
                <w:rFonts w:cs="Calibri"/>
                <w:bCs/>
                <w:color w:val="000000"/>
                <w:sz w:val="14"/>
                <w:szCs w:val="14"/>
              </w:rPr>
              <w:t>0</w:t>
            </w:r>
          </w:p>
        </w:tc>
        <w:tc>
          <w:tcPr>
            <w:tcW w:w="650" w:type="dxa"/>
            <w:noWrap/>
            <w:vAlign w:val="center"/>
            <w:hideMark/>
          </w:tcPr>
          <w:p w14:paraId="4ACC7290" w14:textId="77777777" w:rsidR="004F64EF" w:rsidRPr="003003C0" w:rsidRDefault="004F64EF" w:rsidP="00FD6B66">
            <w:pPr>
              <w:jc w:val="right"/>
              <w:rPr>
                <w:rFonts w:cs="Calibri"/>
                <w:bCs/>
                <w:color w:val="000000"/>
                <w:sz w:val="14"/>
                <w:szCs w:val="14"/>
              </w:rPr>
            </w:pPr>
            <w:r w:rsidRPr="003003C0">
              <w:rPr>
                <w:rFonts w:cs="Calibri"/>
                <w:bCs/>
                <w:color w:val="000000"/>
                <w:sz w:val="14"/>
                <w:szCs w:val="14"/>
              </w:rPr>
              <w:t>16</w:t>
            </w:r>
            <w:r>
              <w:rPr>
                <w:rFonts w:cs="Calibri"/>
                <w:bCs/>
                <w:color w:val="000000"/>
                <w:sz w:val="14"/>
                <w:szCs w:val="14"/>
              </w:rPr>
              <w:t>.</w:t>
            </w:r>
            <w:r w:rsidRPr="003003C0">
              <w:rPr>
                <w:rFonts w:cs="Calibri"/>
                <w:bCs/>
                <w:color w:val="000000"/>
                <w:sz w:val="14"/>
                <w:szCs w:val="14"/>
              </w:rPr>
              <w:t>5</w:t>
            </w:r>
          </w:p>
        </w:tc>
      </w:tr>
      <w:tr w:rsidR="004F64EF" w:rsidRPr="003003C0" w14:paraId="21911175" w14:textId="77777777" w:rsidTr="00FD6B66">
        <w:trPr>
          <w:cnfStyle w:val="000000010000" w:firstRow="0" w:lastRow="0" w:firstColumn="0" w:lastColumn="0" w:oddVBand="0" w:evenVBand="0" w:oddHBand="0" w:evenHBand="1" w:firstRowFirstColumn="0" w:firstRowLastColumn="0" w:lastRowFirstColumn="0" w:lastRowLastColumn="0"/>
          <w:trHeight w:val="20"/>
        </w:trPr>
        <w:tc>
          <w:tcPr>
            <w:tcW w:w="4478" w:type="dxa"/>
            <w:noWrap/>
            <w:vAlign w:val="center"/>
            <w:hideMark/>
          </w:tcPr>
          <w:p w14:paraId="4B41E5B8" w14:textId="77777777" w:rsidR="004F64EF" w:rsidRPr="003003C0" w:rsidRDefault="004F64EF" w:rsidP="00A839D1">
            <w:pPr>
              <w:tabs>
                <w:tab w:val="left" w:pos="227"/>
              </w:tabs>
              <w:ind w:left="227" w:hanging="227"/>
              <w:jc w:val="left"/>
              <w:rPr>
                <w:rFonts w:cs="Calibri"/>
                <w:bCs/>
                <w:color w:val="000000"/>
                <w:sz w:val="14"/>
                <w:szCs w:val="14"/>
              </w:rPr>
            </w:pPr>
            <w:r w:rsidRPr="003003C0">
              <w:rPr>
                <w:rFonts w:cs="Calibri"/>
                <w:bCs/>
                <w:color w:val="000000"/>
                <w:sz w:val="14"/>
                <w:szCs w:val="14"/>
              </w:rPr>
              <w:tab/>
              <w:t xml:space="preserve">85. </w:t>
            </w:r>
            <w:r w:rsidRPr="009803BD">
              <w:rPr>
                <w:rFonts w:cs="Calibri"/>
                <w:bCs/>
                <w:color w:val="000000"/>
                <w:sz w:val="14"/>
                <w:szCs w:val="14"/>
              </w:rPr>
              <w:t>Electrical machinery and equipment; sound and image recorders and reproducers</w:t>
            </w:r>
          </w:p>
        </w:tc>
        <w:tc>
          <w:tcPr>
            <w:tcW w:w="650" w:type="dxa"/>
            <w:noWrap/>
            <w:vAlign w:val="center"/>
            <w:hideMark/>
          </w:tcPr>
          <w:p w14:paraId="3A16A5C7" w14:textId="77777777" w:rsidR="004F64EF" w:rsidRPr="003003C0" w:rsidRDefault="004F64EF" w:rsidP="00FD6B66">
            <w:pPr>
              <w:jc w:val="right"/>
              <w:rPr>
                <w:rFonts w:cs="Calibri"/>
                <w:bCs/>
                <w:color w:val="000000"/>
                <w:sz w:val="14"/>
                <w:szCs w:val="14"/>
              </w:rPr>
            </w:pPr>
            <w:r w:rsidRPr="003003C0">
              <w:rPr>
                <w:rFonts w:cs="Calibri"/>
                <w:bCs/>
                <w:color w:val="000000"/>
                <w:sz w:val="14"/>
                <w:szCs w:val="14"/>
              </w:rPr>
              <w:t>10</w:t>
            </w:r>
            <w:r>
              <w:rPr>
                <w:rFonts w:cs="Calibri"/>
                <w:bCs/>
                <w:color w:val="000000"/>
                <w:sz w:val="14"/>
                <w:szCs w:val="14"/>
              </w:rPr>
              <w:t>.</w:t>
            </w:r>
            <w:r w:rsidRPr="003003C0">
              <w:rPr>
                <w:rFonts w:cs="Calibri"/>
                <w:bCs/>
                <w:color w:val="000000"/>
                <w:sz w:val="14"/>
                <w:szCs w:val="14"/>
              </w:rPr>
              <w:t>0</w:t>
            </w:r>
          </w:p>
        </w:tc>
        <w:tc>
          <w:tcPr>
            <w:tcW w:w="650" w:type="dxa"/>
            <w:noWrap/>
            <w:vAlign w:val="center"/>
            <w:hideMark/>
          </w:tcPr>
          <w:p w14:paraId="11E28648" w14:textId="77777777" w:rsidR="004F64EF" w:rsidRPr="003003C0" w:rsidRDefault="004F64EF" w:rsidP="00FD6B66">
            <w:pPr>
              <w:jc w:val="right"/>
              <w:rPr>
                <w:rFonts w:cs="Calibri"/>
                <w:bCs/>
                <w:color w:val="000000"/>
                <w:sz w:val="14"/>
                <w:szCs w:val="14"/>
              </w:rPr>
            </w:pPr>
            <w:r w:rsidRPr="003003C0">
              <w:rPr>
                <w:rFonts w:cs="Calibri"/>
                <w:bCs/>
                <w:color w:val="000000"/>
                <w:sz w:val="14"/>
                <w:szCs w:val="14"/>
              </w:rPr>
              <w:t>11</w:t>
            </w:r>
            <w:r>
              <w:rPr>
                <w:rFonts w:cs="Calibri"/>
                <w:bCs/>
                <w:color w:val="000000"/>
                <w:sz w:val="14"/>
                <w:szCs w:val="14"/>
              </w:rPr>
              <w:t>.</w:t>
            </w:r>
            <w:r w:rsidRPr="003003C0">
              <w:rPr>
                <w:rFonts w:cs="Calibri"/>
                <w:bCs/>
                <w:color w:val="000000"/>
                <w:sz w:val="14"/>
                <w:szCs w:val="14"/>
              </w:rPr>
              <w:t>9</w:t>
            </w:r>
          </w:p>
        </w:tc>
        <w:tc>
          <w:tcPr>
            <w:tcW w:w="650" w:type="dxa"/>
            <w:noWrap/>
            <w:vAlign w:val="center"/>
            <w:hideMark/>
          </w:tcPr>
          <w:p w14:paraId="3A463A78" w14:textId="77777777" w:rsidR="004F64EF" w:rsidRPr="003003C0" w:rsidRDefault="004F64EF" w:rsidP="00FD6B66">
            <w:pPr>
              <w:jc w:val="right"/>
              <w:rPr>
                <w:rFonts w:cs="Calibri"/>
                <w:bCs/>
                <w:color w:val="000000"/>
                <w:sz w:val="14"/>
                <w:szCs w:val="14"/>
              </w:rPr>
            </w:pPr>
            <w:r w:rsidRPr="003003C0">
              <w:rPr>
                <w:rFonts w:cs="Calibri"/>
                <w:bCs/>
                <w:color w:val="000000"/>
                <w:sz w:val="14"/>
                <w:szCs w:val="14"/>
              </w:rPr>
              <w:t>12</w:t>
            </w:r>
            <w:r>
              <w:rPr>
                <w:rFonts w:cs="Calibri"/>
                <w:bCs/>
                <w:color w:val="000000"/>
                <w:sz w:val="14"/>
                <w:szCs w:val="14"/>
              </w:rPr>
              <w:t>.</w:t>
            </w:r>
            <w:r w:rsidRPr="003003C0">
              <w:rPr>
                <w:rFonts w:cs="Calibri"/>
                <w:bCs/>
                <w:color w:val="000000"/>
                <w:sz w:val="14"/>
                <w:szCs w:val="14"/>
              </w:rPr>
              <w:t>9</w:t>
            </w:r>
          </w:p>
        </w:tc>
        <w:tc>
          <w:tcPr>
            <w:tcW w:w="650" w:type="dxa"/>
            <w:noWrap/>
            <w:vAlign w:val="center"/>
            <w:hideMark/>
          </w:tcPr>
          <w:p w14:paraId="333DDDEB" w14:textId="77777777" w:rsidR="004F64EF" w:rsidRPr="003003C0" w:rsidRDefault="004F64EF" w:rsidP="00FD6B66">
            <w:pPr>
              <w:jc w:val="right"/>
              <w:rPr>
                <w:rFonts w:cs="Calibri"/>
                <w:bCs/>
                <w:color w:val="000000"/>
                <w:sz w:val="14"/>
                <w:szCs w:val="14"/>
              </w:rPr>
            </w:pPr>
            <w:r w:rsidRPr="003003C0">
              <w:rPr>
                <w:rFonts w:cs="Calibri"/>
                <w:bCs/>
                <w:color w:val="000000"/>
                <w:sz w:val="14"/>
                <w:szCs w:val="14"/>
              </w:rPr>
              <w:t>13</w:t>
            </w:r>
            <w:r>
              <w:rPr>
                <w:rFonts w:cs="Calibri"/>
                <w:bCs/>
                <w:color w:val="000000"/>
                <w:sz w:val="14"/>
                <w:szCs w:val="14"/>
              </w:rPr>
              <w:t>.</w:t>
            </w:r>
            <w:r w:rsidRPr="003003C0">
              <w:rPr>
                <w:rFonts w:cs="Calibri"/>
                <w:bCs/>
                <w:color w:val="000000"/>
                <w:sz w:val="14"/>
                <w:szCs w:val="14"/>
              </w:rPr>
              <w:t>4</w:t>
            </w:r>
          </w:p>
        </w:tc>
        <w:tc>
          <w:tcPr>
            <w:tcW w:w="650" w:type="dxa"/>
            <w:noWrap/>
            <w:vAlign w:val="center"/>
            <w:hideMark/>
          </w:tcPr>
          <w:p w14:paraId="67774F6B" w14:textId="77777777" w:rsidR="004F64EF" w:rsidRPr="003003C0" w:rsidRDefault="004F64EF" w:rsidP="00FD6B66">
            <w:pPr>
              <w:jc w:val="right"/>
              <w:rPr>
                <w:rFonts w:cs="Calibri"/>
                <w:bCs/>
                <w:color w:val="000000"/>
                <w:sz w:val="14"/>
                <w:szCs w:val="14"/>
              </w:rPr>
            </w:pPr>
            <w:r w:rsidRPr="003003C0">
              <w:rPr>
                <w:rFonts w:cs="Calibri"/>
                <w:bCs/>
                <w:color w:val="000000"/>
                <w:sz w:val="14"/>
                <w:szCs w:val="14"/>
              </w:rPr>
              <w:t>12</w:t>
            </w:r>
            <w:r>
              <w:rPr>
                <w:rFonts w:cs="Calibri"/>
                <w:bCs/>
                <w:color w:val="000000"/>
                <w:sz w:val="14"/>
                <w:szCs w:val="14"/>
              </w:rPr>
              <w:t>.</w:t>
            </w:r>
            <w:r w:rsidRPr="003003C0">
              <w:rPr>
                <w:rFonts w:cs="Calibri"/>
                <w:bCs/>
                <w:color w:val="000000"/>
                <w:sz w:val="14"/>
                <w:szCs w:val="14"/>
              </w:rPr>
              <w:t>2</w:t>
            </w:r>
          </w:p>
        </w:tc>
        <w:tc>
          <w:tcPr>
            <w:tcW w:w="650" w:type="dxa"/>
            <w:noWrap/>
            <w:vAlign w:val="center"/>
            <w:hideMark/>
          </w:tcPr>
          <w:p w14:paraId="672EADE9" w14:textId="77777777" w:rsidR="004F64EF" w:rsidRPr="003003C0" w:rsidRDefault="004F64EF" w:rsidP="00FD6B66">
            <w:pPr>
              <w:jc w:val="right"/>
              <w:rPr>
                <w:rFonts w:cs="Calibri"/>
                <w:bCs/>
                <w:color w:val="000000"/>
                <w:sz w:val="14"/>
                <w:szCs w:val="14"/>
              </w:rPr>
            </w:pPr>
            <w:r w:rsidRPr="003003C0">
              <w:rPr>
                <w:rFonts w:cs="Calibri"/>
                <w:bCs/>
                <w:color w:val="000000"/>
                <w:sz w:val="14"/>
                <w:szCs w:val="14"/>
              </w:rPr>
              <w:t>13</w:t>
            </w:r>
            <w:r>
              <w:rPr>
                <w:rFonts w:cs="Calibri"/>
                <w:bCs/>
                <w:color w:val="000000"/>
                <w:sz w:val="14"/>
                <w:szCs w:val="14"/>
              </w:rPr>
              <w:t>.</w:t>
            </w:r>
            <w:r w:rsidRPr="003003C0">
              <w:rPr>
                <w:rFonts w:cs="Calibri"/>
                <w:bCs/>
                <w:color w:val="000000"/>
                <w:sz w:val="14"/>
                <w:szCs w:val="14"/>
              </w:rPr>
              <w:t>0</w:t>
            </w:r>
          </w:p>
        </w:tc>
        <w:tc>
          <w:tcPr>
            <w:tcW w:w="650" w:type="dxa"/>
            <w:noWrap/>
            <w:vAlign w:val="center"/>
            <w:hideMark/>
          </w:tcPr>
          <w:p w14:paraId="04D2AF05" w14:textId="77777777" w:rsidR="004F64EF" w:rsidRPr="003003C0" w:rsidRDefault="004F64EF" w:rsidP="00FD6B66">
            <w:pPr>
              <w:jc w:val="right"/>
              <w:rPr>
                <w:rFonts w:cs="Calibri"/>
                <w:bCs/>
                <w:color w:val="000000"/>
                <w:sz w:val="14"/>
                <w:szCs w:val="14"/>
              </w:rPr>
            </w:pPr>
            <w:r w:rsidRPr="003003C0">
              <w:rPr>
                <w:rFonts w:cs="Calibri"/>
                <w:bCs/>
                <w:color w:val="000000"/>
                <w:sz w:val="14"/>
                <w:szCs w:val="14"/>
              </w:rPr>
              <w:t>10</w:t>
            </w:r>
            <w:r>
              <w:rPr>
                <w:rFonts w:cs="Calibri"/>
                <w:bCs/>
                <w:color w:val="000000"/>
                <w:sz w:val="14"/>
                <w:szCs w:val="14"/>
              </w:rPr>
              <w:t>.</w:t>
            </w:r>
            <w:r w:rsidRPr="003003C0">
              <w:rPr>
                <w:rFonts w:cs="Calibri"/>
                <w:bCs/>
                <w:color w:val="000000"/>
                <w:sz w:val="14"/>
                <w:szCs w:val="14"/>
              </w:rPr>
              <w:t>5</w:t>
            </w:r>
          </w:p>
        </w:tc>
      </w:tr>
      <w:tr w:rsidR="004F64EF" w:rsidRPr="003003C0" w14:paraId="3D14D201" w14:textId="77777777" w:rsidTr="00FD6B66">
        <w:trPr>
          <w:trHeight w:val="20"/>
        </w:trPr>
        <w:tc>
          <w:tcPr>
            <w:tcW w:w="4478" w:type="dxa"/>
            <w:noWrap/>
            <w:vAlign w:val="center"/>
            <w:hideMark/>
          </w:tcPr>
          <w:p w14:paraId="555789A6" w14:textId="77777777" w:rsidR="004F64EF" w:rsidRPr="003003C0" w:rsidRDefault="004F64EF" w:rsidP="00F0233E">
            <w:pPr>
              <w:jc w:val="left"/>
              <w:rPr>
                <w:rFonts w:cs="Calibri"/>
                <w:bCs/>
                <w:color w:val="000000"/>
                <w:sz w:val="14"/>
                <w:szCs w:val="14"/>
              </w:rPr>
            </w:pPr>
            <w:r w:rsidRPr="003003C0">
              <w:rPr>
                <w:rFonts w:cs="Calibri"/>
                <w:bCs/>
                <w:color w:val="000000"/>
                <w:sz w:val="14"/>
                <w:szCs w:val="14"/>
              </w:rPr>
              <w:t xml:space="preserve">17 - </w:t>
            </w:r>
            <w:r w:rsidRPr="005D46CC">
              <w:rPr>
                <w:rFonts w:cs="Calibri"/>
                <w:bCs/>
                <w:color w:val="000000"/>
                <w:sz w:val="14"/>
                <w:szCs w:val="14"/>
              </w:rPr>
              <w:t>Vehicles, aircraft, vessels and associated</w:t>
            </w:r>
            <w:r>
              <w:rPr>
                <w:rFonts w:cs="Calibri"/>
                <w:bCs/>
                <w:color w:val="000000"/>
                <w:sz w:val="14"/>
                <w:szCs w:val="14"/>
              </w:rPr>
              <w:t xml:space="preserve"> </w:t>
            </w:r>
            <w:r w:rsidRPr="005D46CC">
              <w:rPr>
                <w:rFonts w:cs="Calibri"/>
                <w:bCs/>
                <w:color w:val="000000"/>
                <w:sz w:val="14"/>
                <w:szCs w:val="14"/>
              </w:rPr>
              <w:t>transport equipment</w:t>
            </w:r>
          </w:p>
        </w:tc>
        <w:tc>
          <w:tcPr>
            <w:tcW w:w="650" w:type="dxa"/>
            <w:noWrap/>
            <w:vAlign w:val="center"/>
            <w:hideMark/>
          </w:tcPr>
          <w:p w14:paraId="1A487E79" w14:textId="77777777" w:rsidR="004F64EF" w:rsidRPr="003003C0" w:rsidRDefault="004F64EF" w:rsidP="00FD6B66">
            <w:pPr>
              <w:jc w:val="right"/>
              <w:rPr>
                <w:rFonts w:cs="Calibri"/>
                <w:bCs/>
                <w:color w:val="000000"/>
                <w:sz w:val="14"/>
                <w:szCs w:val="14"/>
              </w:rPr>
            </w:pPr>
            <w:r w:rsidRPr="003003C0">
              <w:rPr>
                <w:rFonts w:cs="Calibri"/>
                <w:bCs/>
                <w:color w:val="000000"/>
                <w:sz w:val="14"/>
                <w:szCs w:val="14"/>
              </w:rPr>
              <w:t>0</w:t>
            </w:r>
            <w:r>
              <w:rPr>
                <w:rFonts w:cs="Calibri"/>
                <w:bCs/>
                <w:color w:val="000000"/>
                <w:sz w:val="14"/>
                <w:szCs w:val="14"/>
              </w:rPr>
              <w:t>.</w:t>
            </w:r>
            <w:r w:rsidRPr="003003C0">
              <w:rPr>
                <w:rFonts w:cs="Calibri"/>
                <w:bCs/>
                <w:color w:val="000000"/>
                <w:sz w:val="14"/>
                <w:szCs w:val="14"/>
              </w:rPr>
              <w:t>4</w:t>
            </w:r>
          </w:p>
        </w:tc>
        <w:tc>
          <w:tcPr>
            <w:tcW w:w="650" w:type="dxa"/>
            <w:noWrap/>
            <w:vAlign w:val="center"/>
            <w:hideMark/>
          </w:tcPr>
          <w:p w14:paraId="6A28A146" w14:textId="77777777" w:rsidR="004F64EF" w:rsidRPr="003003C0" w:rsidRDefault="004F64EF" w:rsidP="00FD6B66">
            <w:pPr>
              <w:jc w:val="right"/>
              <w:rPr>
                <w:rFonts w:cs="Calibri"/>
                <w:bCs/>
                <w:color w:val="000000"/>
                <w:sz w:val="14"/>
                <w:szCs w:val="14"/>
              </w:rPr>
            </w:pPr>
            <w:r w:rsidRPr="003003C0">
              <w:rPr>
                <w:rFonts w:cs="Calibri"/>
                <w:bCs/>
                <w:color w:val="000000"/>
                <w:sz w:val="14"/>
                <w:szCs w:val="14"/>
              </w:rPr>
              <w:t>0</w:t>
            </w:r>
            <w:r>
              <w:rPr>
                <w:rFonts w:cs="Calibri"/>
                <w:bCs/>
                <w:color w:val="000000"/>
                <w:sz w:val="14"/>
                <w:szCs w:val="14"/>
              </w:rPr>
              <w:t>.</w:t>
            </w:r>
            <w:r w:rsidRPr="003003C0">
              <w:rPr>
                <w:rFonts w:cs="Calibri"/>
                <w:bCs/>
                <w:color w:val="000000"/>
                <w:sz w:val="14"/>
                <w:szCs w:val="14"/>
              </w:rPr>
              <w:t>5</w:t>
            </w:r>
          </w:p>
        </w:tc>
        <w:tc>
          <w:tcPr>
            <w:tcW w:w="650" w:type="dxa"/>
            <w:noWrap/>
            <w:vAlign w:val="center"/>
            <w:hideMark/>
          </w:tcPr>
          <w:p w14:paraId="33BFF8E9" w14:textId="77777777" w:rsidR="004F64EF" w:rsidRPr="003003C0" w:rsidRDefault="004F64EF" w:rsidP="00FD6B66">
            <w:pPr>
              <w:jc w:val="right"/>
              <w:rPr>
                <w:rFonts w:cs="Calibri"/>
                <w:bCs/>
                <w:color w:val="000000"/>
                <w:sz w:val="14"/>
                <w:szCs w:val="14"/>
              </w:rPr>
            </w:pPr>
            <w:r w:rsidRPr="003003C0">
              <w:rPr>
                <w:rFonts w:cs="Calibri"/>
                <w:bCs/>
                <w:color w:val="000000"/>
                <w:sz w:val="14"/>
                <w:szCs w:val="14"/>
              </w:rPr>
              <w:t>0</w:t>
            </w:r>
            <w:r>
              <w:rPr>
                <w:rFonts w:cs="Calibri"/>
                <w:bCs/>
                <w:color w:val="000000"/>
                <w:sz w:val="14"/>
                <w:szCs w:val="14"/>
              </w:rPr>
              <w:t>.</w:t>
            </w:r>
            <w:r w:rsidRPr="003003C0">
              <w:rPr>
                <w:rFonts w:cs="Calibri"/>
                <w:bCs/>
                <w:color w:val="000000"/>
                <w:sz w:val="14"/>
                <w:szCs w:val="14"/>
              </w:rPr>
              <w:t>1</w:t>
            </w:r>
          </w:p>
        </w:tc>
        <w:tc>
          <w:tcPr>
            <w:tcW w:w="650" w:type="dxa"/>
            <w:noWrap/>
            <w:vAlign w:val="center"/>
            <w:hideMark/>
          </w:tcPr>
          <w:p w14:paraId="66BCCD7F" w14:textId="77777777" w:rsidR="004F64EF" w:rsidRPr="003003C0" w:rsidRDefault="004F64EF" w:rsidP="00FD6B66">
            <w:pPr>
              <w:jc w:val="right"/>
              <w:rPr>
                <w:rFonts w:cs="Calibri"/>
                <w:bCs/>
                <w:color w:val="000000"/>
                <w:sz w:val="14"/>
                <w:szCs w:val="14"/>
              </w:rPr>
            </w:pPr>
            <w:r w:rsidRPr="003003C0">
              <w:rPr>
                <w:rFonts w:cs="Calibri"/>
                <w:bCs/>
                <w:color w:val="000000"/>
                <w:sz w:val="14"/>
                <w:szCs w:val="14"/>
              </w:rPr>
              <w:t>0</w:t>
            </w:r>
            <w:r>
              <w:rPr>
                <w:rFonts w:cs="Calibri"/>
                <w:bCs/>
                <w:color w:val="000000"/>
                <w:sz w:val="14"/>
                <w:szCs w:val="14"/>
              </w:rPr>
              <w:t>.</w:t>
            </w:r>
            <w:r w:rsidRPr="003003C0">
              <w:rPr>
                <w:rFonts w:cs="Calibri"/>
                <w:bCs/>
                <w:color w:val="000000"/>
                <w:sz w:val="14"/>
                <w:szCs w:val="14"/>
              </w:rPr>
              <w:t>1</w:t>
            </w:r>
          </w:p>
        </w:tc>
        <w:tc>
          <w:tcPr>
            <w:tcW w:w="650" w:type="dxa"/>
            <w:noWrap/>
            <w:vAlign w:val="center"/>
            <w:hideMark/>
          </w:tcPr>
          <w:p w14:paraId="74246C95" w14:textId="77777777" w:rsidR="004F64EF" w:rsidRPr="003003C0" w:rsidRDefault="004F64EF" w:rsidP="00FD6B66">
            <w:pPr>
              <w:jc w:val="right"/>
              <w:rPr>
                <w:rFonts w:cs="Calibri"/>
                <w:bCs/>
                <w:color w:val="000000"/>
                <w:sz w:val="14"/>
                <w:szCs w:val="14"/>
              </w:rPr>
            </w:pPr>
            <w:r w:rsidRPr="003003C0">
              <w:rPr>
                <w:rFonts w:cs="Calibri"/>
                <w:bCs/>
                <w:color w:val="000000"/>
                <w:sz w:val="14"/>
                <w:szCs w:val="14"/>
              </w:rPr>
              <w:t>0</w:t>
            </w:r>
            <w:r>
              <w:rPr>
                <w:rFonts w:cs="Calibri"/>
                <w:bCs/>
                <w:color w:val="000000"/>
                <w:sz w:val="14"/>
                <w:szCs w:val="14"/>
              </w:rPr>
              <w:t>.</w:t>
            </w:r>
            <w:r w:rsidRPr="003003C0">
              <w:rPr>
                <w:rFonts w:cs="Calibri"/>
                <w:bCs/>
                <w:color w:val="000000"/>
                <w:sz w:val="14"/>
                <w:szCs w:val="14"/>
              </w:rPr>
              <w:t>2</w:t>
            </w:r>
          </w:p>
        </w:tc>
        <w:tc>
          <w:tcPr>
            <w:tcW w:w="650" w:type="dxa"/>
            <w:noWrap/>
            <w:vAlign w:val="center"/>
            <w:hideMark/>
          </w:tcPr>
          <w:p w14:paraId="34667C1A" w14:textId="77777777" w:rsidR="004F64EF" w:rsidRPr="003003C0" w:rsidRDefault="004F64EF" w:rsidP="00FD6B66">
            <w:pPr>
              <w:jc w:val="right"/>
              <w:rPr>
                <w:rFonts w:cs="Calibri"/>
                <w:bCs/>
                <w:color w:val="000000"/>
                <w:sz w:val="14"/>
                <w:szCs w:val="14"/>
              </w:rPr>
            </w:pPr>
            <w:r w:rsidRPr="003003C0">
              <w:rPr>
                <w:rFonts w:cs="Calibri"/>
                <w:bCs/>
                <w:color w:val="000000"/>
                <w:sz w:val="14"/>
                <w:szCs w:val="14"/>
              </w:rPr>
              <w:t>0</w:t>
            </w:r>
            <w:r>
              <w:rPr>
                <w:rFonts w:cs="Calibri"/>
                <w:bCs/>
                <w:color w:val="000000"/>
                <w:sz w:val="14"/>
                <w:szCs w:val="14"/>
              </w:rPr>
              <w:t>.</w:t>
            </w:r>
            <w:r w:rsidRPr="003003C0">
              <w:rPr>
                <w:rFonts w:cs="Calibri"/>
                <w:bCs/>
                <w:color w:val="000000"/>
                <w:sz w:val="14"/>
                <w:szCs w:val="14"/>
              </w:rPr>
              <w:t>2</w:t>
            </w:r>
          </w:p>
        </w:tc>
        <w:tc>
          <w:tcPr>
            <w:tcW w:w="650" w:type="dxa"/>
            <w:noWrap/>
            <w:vAlign w:val="center"/>
            <w:hideMark/>
          </w:tcPr>
          <w:p w14:paraId="5AB3C18B" w14:textId="77777777" w:rsidR="004F64EF" w:rsidRPr="003003C0" w:rsidRDefault="004F64EF" w:rsidP="00FD6B66">
            <w:pPr>
              <w:jc w:val="right"/>
              <w:rPr>
                <w:rFonts w:cs="Calibri"/>
                <w:bCs/>
                <w:color w:val="000000"/>
                <w:sz w:val="14"/>
                <w:szCs w:val="14"/>
              </w:rPr>
            </w:pPr>
            <w:r w:rsidRPr="003003C0">
              <w:rPr>
                <w:rFonts w:cs="Calibri"/>
                <w:bCs/>
                <w:color w:val="000000"/>
                <w:sz w:val="14"/>
                <w:szCs w:val="14"/>
              </w:rPr>
              <w:t>0</w:t>
            </w:r>
            <w:r>
              <w:rPr>
                <w:rFonts w:cs="Calibri"/>
                <w:bCs/>
                <w:color w:val="000000"/>
                <w:sz w:val="14"/>
                <w:szCs w:val="14"/>
              </w:rPr>
              <w:t>.</w:t>
            </w:r>
            <w:r w:rsidRPr="003003C0">
              <w:rPr>
                <w:rFonts w:cs="Calibri"/>
                <w:bCs/>
                <w:color w:val="000000"/>
                <w:sz w:val="14"/>
                <w:szCs w:val="14"/>
              </w:rPr>
              <w:t>1</w:t>
            </w:r>
          </w:p>
        </w:tc>
      </w:tr>
      <w:tr w:rsidR="004F64EF" w:rsidRPr="003003C0" w14:paraId="349FA3DA" w14:textId="77777777" w:rsidTr="00FD6B66">
        <w:trPr>
          <w:cnfStyle w:val="000000010000" w:firstRow="0" w:lastRow="0" w:firstColumn="0" w:lastColumn="0" w:oddVBand="0" w:evenVBand="0" w:oddHBand="0" w:evenHBand="1" w:firstRowFirstColumn="0" w:firstRowLastColumn="0" w:lastRowFirstColumn="0" w:lastRowLastColumn="0"/>
          <w:trHeight w:val="20"/>
        </w:trPr>
        <w:tc>
          <w:tcPr>
            <w:tcW w:w="4478" w:type="dxa"/>
            <w:noWrap/>
            <w:vAlign w:val="center"/>
            <w:hideMark/>
          </w:tcPr>
          <w:p w14:paraId="62C94867" w14:textId="77777777" w:rsidR="004F64EF" w:rsidRPr="003003C0" w:rsidRDefault="004F64EF" w:rsidP="00FD6B66">
            <w:pPr>
              <w:jc w:val="left"/>
              <w:rPr>
                <w:rFonts w:cs="Calibri"/>
                <w:bCs/>
                <w:color w:val="000000"/>
                <w:sz w:val="14"/>
                <w:szCs w:val="14"/>
              </w:rPr>
            </w:pPr>
            <w:r w:rsidRPr="003003C0">
              <w:rPr>
                <w:rFonts w:cs="Calibri"/>
                <w:bCs/>
                <w:color w:val="000000"/>
                <w:sz w:val="14"/>
                <w:szCs w:val="14"/>
              </w:rPr>
              <w:lastRenderedPageBreak/>
              <w:t xml:space="preserve">18 - </w:t>
            </w:r>
            <w:r w:rsidRPr="005D46CC">
              <w:rPr>
                <w:rFonts w:cs="Calibri"/>
                <w:bCs/>
                <w:color w:val="000000"/>
                <w:sz w:val="14"/>
                <w:szCs w:val="14"/>
              </w:rPr>
              <w:t>Optical, photographic, cinematographic, measuring, checking or precision instruments and apparatus</w:t>
            </w:r>
          </w:p>
        </w:tc>
        <w:tc>
          <w:tcPr>
            <w:tcW w:w="650" w:type="dxa"/>
            <w:noWrap/>
            <w:vAlign w:val="center"/>
            <w:hideMark/>
          </w:tcPr>
          <w:p w14:paraId="5EEB81AA" w14:textId="77777777" w:rsidR="004F64EF" w:rsidRPr="003003C0" w:rsidRDefault="004F64EF" w:rsidP="00FD6B66">
            <w:pPr>
              <w:jc w:val="right"/>
              <w:rPr>
                <w:rFonts w:cs="Calibri"/>
                <w:bCs/>
                <w:color w:val="000000"/>
                <w:sz w:val="14"/>
                <w:szCs w:val="14"/>
              </w:rPr>
            </w:pPr>
            <w:r w:rsidRPr="003003C0">
              <w:rPr>
                <w:rFonts w:cs="Calibri"/>
                <w:bCs/>
                <w:color w:val="000000"/>
                <w:sz w:val="14"/>
                <w:szCs w:val="14"/>
              </w:rPr>
              <w:t>2</w:t>
            </w:r>
            <w:r>
              <w:rPr>
                <w:rFonts w:cs="Calibri"/>
                <w:bCs/>
                <w:color w:val="000000"/>
                <w:sz w:val="14"/>
                <w:szCs w:val="14"/>
              </w:rPr>
              <w:t>.</w:t>
            </w:r>
            <w:r w:rsidRPr="003003C0">
              <w:rPr>
                <w:rFonts w:cs="Calibri"/>
                <w:bCs/>
                <w:color w:val="000000"/>
                <w:sz w:val="14"/>
                <w:szCs w:val="14"/>
              </w:rPr>
              <w:t>6</w:t>
            </w:r>
          </w:p>
        </w:tc>
        <w:tc>
          <w:tcPr>
            <w:tcW w:w="650" w:type="dxa"/>
            <w:noWrap/>
            <w:vAlign w:val="center"/>
            <w:hideMark/>
          </w:tcPr>
          <w:p w14:paraId="0BDA4654" w14:textId="77777777" w:rsidR="004F64EF" w:rsidRPr="003003C0" w:rsidRDefault="004F64EF" w:rsidP="00FD6B66">
            <w:pPr>
              <w:jc w:val="right"/>
              <w:rPr>
                <w:rFonts w:cs="Calibri"/>
                <w:bCs/>
                <w:color w:val="000000"/>
                <w:sz w:val="14"/>
                <w:szCs w:val="14"/>
              </w:rPr>
            </w:pPr>
            <w:r w:rsidRPr="003003C0">
              <w:rPr>
                <w:rFonts w:cs="Calibri"/>
                <w:bCs/>
                <w:color w:val="000000"/>
                <w:sz w:val="14"/>
                <w:szCs w:val="14"/>
              </w:rPr>
              <w:t>2</w:t>
            </w:r>
            <w:r>
              <w:rPr>
                <w:rFonts w:cs="Calibri"/>
                <w:bCs/>
                <w:color w:val="000000"/>
                <w:sz w:val="14"/>
                <w:szCs w:val="14"/>
              </w:rPr>
              <w:t>.</w:t>
            </w:r>
            <w:r w:rsidRPr="003003C0">
              <w:rPr>
                <w:rFonts w:cs="Calibri"/>
                <w:bCs/>
                <w:color w:val="000000"/>
                <w:sz w:val="14"/>
                <w:szCs w:val="14"/>
              </w:rPr>
              <w:t>5</w:t>
            </w:r>
          </w:p>
        </w:tc>
        <w:tc>
          <w:tcPr>
            <w:tcW w:w="650" w:type="dxa"/>
            <w:noWrap/>
            <w:vAlign w:val="center"/>
            <w:hideMark/>
          </w:tcPr>
          <w:p w14:paraId="4FC8C9C0" w14:textId="77777777" w:rsidR="004F64EF" w:rsidRPr="003003C0" w:rsidRDefault="004F64EF" w:rsidP="00FD6B66">
            <w:pPr>
              <w:jc w:val="right"/>
              <w:rPr>
                <w:rFonts w:cs="Calibri"/>
                <w:bCs/>
                <w:color w:val="000000"/>
                <w:sz w:val="14"/>
                <w:szCs w:val="14"/>
              </w:rPr>
            </w:pPr>
            <w:r w:rsidRPr="003003C0">
              <w:rPr>
                <w:rFonts w:cs="Calibri"/>
                <w:bCs/>
                <w:color w:val="000000"/>
                <w:sz w:val="14"/>
                <w:szCs w:val="14"/>
              </w:rPr>
              <w:t>1</w:t>
            </w:r>
            <w:r>
              <w:rPr>
                <w:rFonts w:cs="Calibri"/>
                <w:bCs/>
                <w:color w:val="000000"/>
                <w:sz w:val="14"/>
                <w:szCs w:val="14"/>
              </w:rPr>
              <w:t>.</w:t>
            </w:r>
            <w:r w:rsidRPr="003003C0">
              <w:rPr>
                <w:rFonts w:cs="Calibri"/>
                <w:bCs/>
                <w:color w:val="000000"/>
                <w:sz w:val="14"/>
                <w:szCs w:val="14"/>
              </w:rPr>
              <w:t>9</w:t>
            </w:r>
          </w:p>
        </w:tc>
        <w:tc>
          <w:tcPr>
            <w:tcW w:w="650" w:type="dxa"/>
            <w:noWrap/>
            <w:vAlign w:val="center"/>
            <w:hideMark/>
          </w:tcPr>
          <w:p w14:paraId="64F09E4B" w14:textId="77777777" w:rsidR="004F64EF" w:rsidRPr="003003C0" w:rsidRDefault="004F64EF" w:rsidP="00FD6B66">
            <w:pPr>
              <w:jc w:val="right"/>
              <w:rPr>
                <w:rFonts w:cs="Calibri"/>
                <w:bCs/>
                <w:color w:val="000000"/>
                <w:sz w:val="14"/>
                <w:szCs w:val="14"/>
              </w:rPr>
            </w:pPr>
            <w:r w:rsidRPr="003003C0">
              <w:rPr>
                <w:rFonts w:cs="Calibri"/>
                <w:bCs/>
                <w:color w:val="000000"/>
                <w:sz w:val="14"/>
                <w:szCs w:val="14"/>
              </w:rPr>
              <w:t>2</w:t>
            </w:r>
            <w:r>
              <w:rPr>
                <w:rFonts w:cs="Calibri"/>
                <w:bCs/>
                <w:color w:val="000000"/>
                <w:sz w:val="14"/>
                <w:szCs w:val="14"/>
              </w:rPr>
              <w:t>.</w:t>
            </w:r>
            <w:r w:rsidRPr="003003C0">
              <w:rPr>
                <w:rFonts w:cs="Calibri"/>
                <w:bCs/>
                <w:color w:val="000000"/>
                <w:sz w:val="14"/>
                <w:szCs w:val="14"/>
              </w:rPr>
              <w:t>3</w:t>
            </w:r>
          </w:p>
        </w:tc>
        <w:tc>
          <w:tcPr>
            <w:tcW w:w="650" w:type="dxa"/>
            <w:noWrap/>
            <w:vAlign w:val="center"/>
            <w:hideMark/>
          </w:tcPr>
          <w:p w14:paraId="7DF59163" w14:textId="77777777" w:rsidR="004F64EF" w:rsidRPr="003003C0" w:rsidRDefault="004F64EF" w:rsidP="00FD6B66">
            <w:pPr>
              <w:jc w:val="right"/>
              <w:rPr>
                <w:rFonts w:cs="Calibri"/>
                <w:bCs/>
                <w:color w:val="000000"/>
                <w:sz w:val="14"/>
                <w:szCs w:val="14"/>
              </w:rPr>
            </w:pPr>
            <w:r w:rsidRPr="003003C0">
              <w:rPr>
                <w:rFonts w:cs="Calibri"/>
                <w:bCs/>
                <w:color w:val="000000"/>
                <w:sz w:val="14"/>
                <w:szCs w:val="14"/>
              </w:rPr>
              <w:t>2</w:t>
            </w:r>
            <w:r>
              <w:rPr>
                <w:rFonts w:cs="Calibri"/>
                <w:bCs/>
                <w:color w:val="000000"/>
                <w:sz w:val="14"/>
                <w:szCs w:val="14"/>
              </w:rPr>
              <w:t>.</w:t>
            </w:r>
            <w:r w:rsidRPr="003003C0">
              <w:rPr>
                <w:rFonts w:cs="Calibri"/>
                <w:bCs/>
                <w:color w:val="000000"/>
                <w:sz w:val="14"/>
                <w:szCs w:val="14"/>
              </w:rPr>
              <w:t>5</w:t>
            </w:r>
          </w:p>
        </w:tc>
        <w:tc>
          <w:tcPr>
            <w:tcW w:w="650" w:type="dxa"/>
            <w:noWrap/>
            <w:vAlign w:val="center"/>
            <w:hideMark/>
          </w:tcPr>
          <w:p w14:paraId="50D7839E" w14:textId="77777777" w:rsidR="004F64EF" w:rsidRPr="003003C0" w:rsidRDefault="004F64EF" w:rsidP="00FD6B66">
            <w:pPr>
              <w:jc w:val="right"/>
              <w:rPr>
                <w:rFonts w:cs="Calibri"/>
                <w:bCs/>
                <w:color w:val="000000"/>
                <w:sz w:val="14"/>
                <w:szCs w:val="14"/>
              </w:rPr>
            </w:pPr>
            <w:r w:rsidRPr="003003C0">
              <w:rPr>
                <w:rFonts w:cs="Calibri"/>
                <w:bCs/>
                <w:color w:val="000000"/>
                <w:sz w:val="14"/>
                <w:szCs w:val="14"/>
              </w:rPr>
              <w:t>2</w:t>
            </w:r>
            <w:r>
              <w:rPr>
                <w:rFonts w:cs="Calibri"/>
                <w:bCs/>
                <w:color w:val="000000"/>
                <w:sz w:val="14"/>
                <w:szCs w:val="14"/>
              </w:rPr>
              <w:t>.</w:t>
            </w:r>
            <w:r w:rsidRPr="003003C0">
              <w:rPr>
                <w:rFonts w:cs="Calibri"/>
                <w:bCs/>
                <w:color w:val="000000"/>
                <w:sz w:val="14"/>
                <w:szCs w:val="14"/>
              </w:rPr>
              <w:t>1</w:t>
            </w:r>
          </w:p>
        </w:tc>
        <w:tc>
          <w:tcPr>
            <w:tcW w:w="650" w:type="dxa"/>
            <w:noWrap/>
            <w:vAlign w:val="center"/>
            <w:hideMark/>
          </w:tcPr>
          <w:p w14:paraId="76E11997" w14:textId="77777777" w:rsidR="004F64EF" w:rsidRPr="003003C0" w:rsidRDefault="004F64EF" w:rsidP="00FD6B66">
            <w:pPr>
              <w:jc w:val="right"/>
              <w:rPr>
                <w:rFonts w:cs="Calibri"/>
                <w:bCs/>
                <w:color w:val="000000"/>
                <w:sz w:val="14"/>
                <w:szCs w:val="14"/>
              </w:rPr>
            </w:pPr>
            <w:r w:rsidRPr="003003C0">
              <w:rPr>
                <w:rFonts w:cs="Calibri"/>
                <w:bCs/>
                <w:color w:val="000000"/>
                <w:sz w:val="14"/>
                <w:szCs w:val="14"/>
              </w:rPr>
              <w:t>1</w:t>
            </w:r>
            <w:r>
              <w:rPr>
                <w:rFonts w:cs="Calibri"/>
                <w:bCs/>
                <w:color w:val="000000"/>
                <w:sz w:val="14"/>
                <w:szCs w:val="14"/>
              </w:rPr>
              <w:t>.</w:t>
            </w:r>
            <w:r w:rsidRPr="003003C0">
              <w:rPr>
                <w:rFonts w:cs="Calibri"/>
                <w:bCs/>
                <w:color w:val="000000"/>
                <w:sz w:val="14"/>
                <w:szCs w:val="14"/>
              </w:rPr>
              <w:t>2</w:t>
            </w:r>
          </w:p>
        </w:tc>
      </w:tr>
      <w:tr w:rsidR="004F64EF" w:rsidRPr="003003C0" w14:paraId="559E8AC9" w14:textId="77777777" w:rsidTr="00FD6B66">
        <w:trPr>
          <w:trHeight w:val="20"/>
        </w:trPr>
        <w:tc>
          <w:tcPr>
            <w:tcW w:w="4478" w:type="dxa"/>
            <w:noWrap/>
            <w:vAlign w:val="center"/>
            <w:hideMark/>
          </w:tcPr>
          <w:p w14:paraId="6B5DAE8C" w14:textId="77777777" w:rsidR="004F64EF" w:rsidRPr="003003C0" w:rsidRDefault="004F64EF" w:rsidP="00A839D1">
            <w:pPr>
              <w:tabs>
                <w:tab w:val="left" w:pos="227"/>
              </w:tabs>
              <w:ind w:left="227" w:hanging="227"/>
              <w:jc w:val="left"/>
              <w:rPr>
                <w:rFonts w:cs="Calibri"/>
                <w:bCs/>
                <w:color w:val="000000"/>
                <w:sz w:val="14"/>
                <w:szCs w:val="14"/>
              </w:rPr>
            </w:pPr>
            <w:r w:rsidRPr="003003C0">
              <w:rPr>
                <w:rFonts w:cs="Calibri"/>
                <w:bCs/>
                <w:color w:val="000000"/>
                <w:sz w:val="14"/>
                <w:szCs w:val="14"/>
              </w:rPr>
              <w:tab/>
              <w:t xml:space="preserve">90. </w:t>
            </w:r>
            <w:r w:rsidRPr="00466B54">
              <w:rPr>
                <w:rFonts w:cs="Calibri"/>
                <w:bCs/>
                <w:color w:val="000000"/>
                <w:sz w:val="14"/>
                <w:szCs w:val="14"/>
              </w:rPr>
              <w:t>Optical, photographic or precision, medical or surgical instruments and apparatus</w:t>
            </w:r>
          </w:p>
        </w:tc>
        <w:tc>
          <w:tcPr>
            <w:tcW w:w="650" w:type="dxa"/>
            <w:noWrap/>
            <w:vAlign w:val="center"/>
            <w:hideMark/>
          </w:tcPr>
          <w:p w14:paraId="03FE0E39" w14:textId="77777777" w:rsidR="004F64EF" w:rsidRPr="003003C0" w:rsidRDefault="004F64EF" w:rsidP="00FD6B66">
            <w:pPr>
              <w:jc w:val="right"/>
              <w:rPr>
                <w:rFonts w:cs="Calibri"/>
                <w:bCs/>
                <w:color w:val="000000"/>
                <w:sz w:val="14"/>
                <w:szCs w:val="14"/>
              </w:rPr>
            </w:pPr>
            <w:r w:rsidRPr="003003C0">
              <w:rPr>
                <w:rFonts w:cs="Calibri"/>
                <w:bCs/>
                <w:color w:val="000000"/>
                <w:sz w:val="14"/>
                <w:szCs w:val="14"/>
              </w:rPr>
              <w:t>2</w:t>
            </w:r>
            <w:r>
              <w:rPr>
                <w:rFonts w:cs="Calibri"/>
                <w:bCs/>
                <w:color w:val="000000"/>
                <w:sz w:val="14"/>
                <w:szCs w:val="14"/>
              </w:rPr>
              <w:t>.</w:t>
            </w:r>
            <w:r w:rsidRPr="003003C0">
              <w:rPr>
                <w:rFonts w:cs="Calibri"/>
                <w:bCs/>
                <w:color w:val="000000"/>
                <w:sz w:val="14"/>
                <w:szCs w:val="14"/>
              </w:rPr>
              <w:t>5</w:t>
            </w:r>
          </w:p>
        </w:tc>
        <w:tc>
          <w:tcPr>
            <w:tcW w:w="650" w:type="dxa"/>
            <w:noWrap/>
            <w:vAlign w:val="center"/>
            <w:hideMark/>
          </w:tcPr>
          <w:p w14:paraId="447460C5" w14:textId="77777777" w:rsidR="004F64EF" w:rsidRPr="003003C0" w:rsidRDefault="004F64EF" w:rsidP="00FD6B66">
            <w:pPr>
              <w:jc w:val="right"/>
              <w:rPr>
                <w:rFonts w:cs="Calibri"/>
                <w:bCs/>
                <w:color w:val="000000"/>
                <w:sz w:val="14"/>
                <w:szCs w:val="14"/>
              </w:rPr>
            </w:pPr>
            <w:r w:rsidRPr="003003C0">
              <w:rPr>
                <w:rFonts w:cs="Calibri"/>
                <w:bCs/>
                <w:color w:val="000000"/>
                <w:sz w:val="14"/>
                <w:szCs w:val="14"/>
              </w:rPr>
              <w:t>2</w:t>
            </w:r>
            <w:r>
              <w:rPr>
                <w:rFonts w:cs="Calibri"/>
                <w:bCs/>
                <w:color w:val="000000"/>
                <w:sz w:val="14"/>
                <w:szCs w:val="14"/>
              </w:rPr>
              <w:t>.</w:t>
            </w:r>
            <w:r w:rsidRPr="003003C0">
              <w:rPr>
                <w:rFonts w:cs="Calibri"/>
                <w:bCs/>
                <w:color w:val="000000"/>
                <w:sz w:val="14"/>
                <w:szCs w:val="14"/>
              </w:rPr>
              <w:t>4</w:t>
            </w:r>
          </w:p>
        </w:tc>
        <w:tc>
          <w:tcPr>
            <w:tcW w:w="650" w:type="dxa"/>
            <w:noWrap/>
            <w:vAlign w:val="center"/>
            <w:hideMark/>
          </w:tcPr>
          <w:p w14:paraId="3FB14B05" w14:textId="77777777" w:rsidR="004F64EF" w:rsidRPr="003003C0" w:rsidRDefault="004F64EF" w:rsidP="00FD6B66">
            <w:pPr>
              <w:jc w:val="right"/>
              <w:rPr>
                <w:rFonts w:cs="Calibri"/>
                <w:bCs/>
                <w:color w:val="000000"/>
                <w:sz w:val="14"/>
                <w:szCs w:val="14"/>
              </w:rPr>
            </w:pPr>
            <w:r w:rsidRPr="003003C0">
              <w:rPr>
                <w:rFonts w:cs="Calibri"/>
                <w:bCs/>
                <w:color w:val="000000"/>
                <w:sz w:val="14"/>
                <w:szCs w:val="14"/>
              </w:rPr>
              <w:t>1</w:t>
            </w:r>
            <w:r>
              <w:rPr>
                <w:rFonts w:cs="Calibri"/>
                <w:bCs/>
                <w:color w:val="000000"/>
                <w:sz w:val="14"/>
                <w:szCs w:val="14"/>
              </w:rPr>
              <w:t>.</w:t>
            </w:r>
            <w:r w:rsidRPr="003003C0">
              <w:rPr>
                <w:rFonts w:cs="Calibri"/>
                <w:bCs/>
                <w:color w:val="000000"/>
                <w:sz w:val="14"/>
                <w:szCs w:val="14"/>
              </w:rPr>
              <w:t>8</w:t>
            </w:r>
          </w:p>
        </w:tc>
        <w:tc>
          <w:tcPr>
            <w:tcW w:w="650" w:type="dxa"/>
            <w:noWrap/>
            <w:vAlign w:val="center"/>
            <w:hideMark/>
          </w:tcPr>
          <w:p w14:paraId="0F97D669" w14:textId="77777777" w:rsidR="004F64EF" w:rsidRPr="003003C0" w:rsidRDefault="004F64EF" w:rsidP="00FD6B66">
            <w:pPr>
              <w:jc w:val="right"/>
              <w:rPr>
                <w:rFonts w:cs="Calibri"/>
                <w:bCs/>
                <w:color w:val="000000"/>
                <w:sz w:val="14"/>
                <w:szCs w:val="14"/>
              </w:rPr>
            </w:pPr>
            <w:r w:rsidRPr="003003C0">
              <w:rPr>
                <w:rFonts w:cs="Calibri"/>
                <w:bCs/>
                <w:color w:val="000000"/>
                <w:sz w:val="14"/>
                <w:szCs w:val="14"/>
              </w:rPr>
              <w:t>2</w:t>
            </w:r>
            <w:r>
              <w:rPr>
                <w:rFonts w:cs="Calibri"/>
                <w:bCs/>
                <w:color w:val="000000"/>
                <w:sz w:val="14"/>
                <w:szCs w:val="14"/>
              </w:rPr>
              <w:t>.</w:t>
            </w:r>
            <w:r w:rsidRPr="003003C0">
              <w:rPr>
                <w:rFonts w:cs="Calibri"/>
                <w:bCs/>
                <w:color w:val="000000"/>
                <w:sz w:val="14"/>
                <w:szCs w:val="14"/>
              </w:rPr>
              <w:t>2</w:t>
            </w:r>
          </w:p>
        </w:tc>
        <w:tc>
          <w:tcPr>
            <w:tcW w:w="650" w:type="dxa"/>
            <w:noWrap/>
            <w:vAlign w:val="center"/>
            <w:hideMark/>
          </w:tcPr>
          <w:p w14:paraId="4F093A95" w14:textId="77777777" w:rsidR="004F64EF" w:rsidRPr="003003C0" w:rsidRDefault="004F64EF" w:rsidP="00FD6B66">
            <w:pPr>
              <w:jc w:val="right"/>
              <w:rPr>
                <w:rFonts w:cs="Calibri"/>
                <w:bCs/>
                <w:color w:val="000000"/>
                <w:sz w:val="14"/>
                <w:szCs w:val="14"/>
              </w:rPr>
            </w:pPr>
            <w:r w:rsidRPr="003003C0">
              <w:rPr>
                <w:rFonts w:cs="Calibri"/>
                <w:bCs/>
                <w:color w:val="000000"/>
                <w:sz w:val="14"/>
                <w:szCs w:val="14"/>
              </w:rPr>
              <w:t>2</w:t>
            </w:r>
            <w:r>
              <w:rPr>
                <w:rFonts w:cs="Calibri"/>
                <w:bCs/>
                <w:color w:val="000000"/>
                <w:sz w:val="14"/>
                <w:szCs w:val="14"/>
              </w:rPr>
              <w:t>.</w:t>
            </w:r>
            <w:r w:rsidRPr="003003C0">
              <w:rPr>
                <w:rFonts w:cs="Calibri"/>
                <w:bCs/>
                <w:color w:val="000000"/>
                <w:sz w:val="14"/>
                <w:szCs w:val="14"/>
              </w:rPr>
              <w:t>4</w:t>
            </w:r>
          </w:p>
        </w:tc>
        <w:tc>
          <w:tcPr>
            <w:tcW w:w="650" w:type="dxa"/>
            <w:noWrap/>
            <w:vAlign w:val="center"/>
            <w:hideMark/>
          </w:tcPr>
          <w:p w14:paraId="30194810" w14:textId="77777777" w:rsidR="004F64EF" w:rsidRPr="003003C0" w:rsidRDefault="004F64EF" w:rsidP="00FD6B66">
            <w:pPr>
              <w:jc w:val="right"/>
              <w:rPr>
                <w:rFonts w:cs="Calibri"/>
                <w:bCs/>
                <w:color w:val="000000"/>
                <w:sz w:val="14"/>
                <w:szCs w:val="14"/>
              </w:rPr>
            </w:pPr>
            <w:r w:rsidRPr="003003C0">
              <w:rPr>
                <w:rFonts w:cs="Calibri"/>
                <w:bCs/>
                <w:color w:val="000000"/>
                <w:sz w:val="14"/>
                <w:szCs w:val="14"/>
              </w:rPr>
              <w:t>2</w:t>
            </w:r>
            <w:r>
              <w:rPr>
                <w:rFonts w:cs="Calibri"/>
                <w:bCs/>
                <w:color w:val="000000"/>
                <w:sz w:val="14"/>
                <w:szCs w:val="14"/>
              </w:rPr>
              <w:t>.</w:t>
            </w:r>
            <w:r w:rsidRPr="003003C0">
              <w:rPr>
                <w:rFonts w:cs="Calibri"/>
                <w:bCs/>
                <w:color w:val="000000"/>
                <w:sz w:val="14"/>
                <w:szCs w:val="14"/>
              </w:rPr>
              <w:t>0</w:t>
            </w:r>
          </w:p>
        </w:tc>
        <w:tc>
          <w:tcPr>
            <w:tcW w:w="650" w:type="dxa"/>
            <w:noWrap/>
            <w:vAlign w:val="center"/>
            <w:hideMark/>
          </w:tcPr>
          <w:p w14:paraId="54EE50CC" w14:textId="77777777" w:rsidR="004F64EF" w:rsidRPr="003003C0" w:rsidRDefault="004F64EF" w:rsidP="00FD6B66">
            <w:pPr>
              <w:jc w:val="right"/>
              <w:rPr>
                <w:rFonts w:cs="Calibri"/>
                <w:bCs/>
                <w:color w:val="000000"/>
                <w:sz w:val="14"/>
                <w:szCs w:val="14"/>
              </w:rPr>
            </w:pPr>
            <w:r w:rsidRPr="003003C0">
              <w:rPr>
                <w:rFonts w:cs="Calibri"/>
                <w:bCs/>
                <w:color w:val="000000"/>
                <w:sz w:val="14"/>
                <w:szCs w:val="14"/>
              </w:rPr>
              <w:t>1</w:t>
            </w:r>
            <w:r>
              <w:rPr>
                <w:rFonts w:cs="Calibri"/>
                <w:bCs/>
                <w:color w:val="000000"/>
                <w:sz w:val="14"/>
                <w:szCs w:val="14"/>
              </w:rPr>
              <w:t>.</w:t>
            </w:r>
            <w:r w:rsidRPr="003003C0">
              <w:rPr>
                <w:rFonts w:cs="Calibri"/>
                <w:bCs/>
                <w:color w:val="000000"/>
                <w:sz w:val="14"/>
                <w:szCs w:val="14"/>
              </w:rPr>
              <w:t>1</w:t>
            </w:r>
          </w:p>
        </w:tc>
      </w:tr>
      <w:tr w:rsidR="004F64EF" w:rsidRPr="003003C0" w14:paraId="3D6B1FD4" w14:textId="77777777" w:rsidTr="00FD6B66">
        <w:trPr>
          <w:cnfStyle w:val="000000010000" w:firstRow="0" w:lastRow="0" w:firstColumn="0" w:lastColumn="0" w:oddVBand="0" w:evenVBand="0" w:oddHBand="0" w:evenHBand="1" w:firstRowFirstColumn="0" w:firstRowLastColumn="0" w:lastRowFirstColumn="0" w:lastRowLastColumn="0"/>
          <w:trHeight w:val="20"/>
        </w:trPr>
        <w:tc>
          <w:tcPr>
            <w:tcW w:w="4478" w:type="dxa"/>
            <w:noWrap/>
            <w:vAlign w:val="center"/>
            <w:hideMark/>
          </w:tcPr>
          <w:p w14:paraId="3E3F1158" w14:textId="77777777" w:rsidR="004F64EF" w:rsidRPr="003003C0" w:rsidRDefault="004F64EF" w:rsidP="00FD6B66">
            <w:pPr>
              <w:jc w:val="left"/>
              <w:rPr>
                <w:rFonts w:cs="Calibri"/>
                <w:bCs/>
                <w:color w:val="000000"/>
                <w:sz w:val="14"/>
                <w:szCs w:val="14"/>
              </w:rPr>
            </w:pPr>
            <w:r w:rsidRPr="003003C0">
              <w:rPr>
                <w:rFonts w:cs="Calibri"/>
                <w:bCs/>
                <w:color w:val="000000"/>
                <w:sz w:val="14"/>
                <w:szCs w:val="14"/>
              </w:rPr>
              <w:t xml:space="preserve">19 - </w:t>
            </w:r>
            <w:r w:rsidRPr="005D46CC">
              <w:rPr>
                <w:rFonts w:cs="Calibri"/>
                <w:bCs/>
                <w:color w:val="000000"/>
                <w:sz w:val="14"/>
                <w:szCs w:val="14"/>
              </w:rPr>
              <w:t>Arms and ammunition; parts and accessories thereo</w:t>
            </w:r>
            <w:r>
              <w:rPr>
                <w:rFonts w:cs="Calibri"/>
                <w:bCs/>
                <w:color w:val="000000"/>
                <w:sz w:val="14"/>
                <w:szCs w:val="14"/>
              </w:rPr>
              <w:t>f</w:t>
            </w:r>
          </w:p>
        </w:tc>
        <w:tc>
          <w:tcPr>
            <w:tcW w:w="650" w:type="dxa"/>
            <w:noWrap/>
            <w:vAlign w:val="center"/>
            <w:hideMark/>
          </w:tcPr>
          <w:p w14:paraId="14892C05" w14:textId="77777777" w:rsidR="004F64EF" w:rsidRPr="003003C0" w:rsidRDefault="004F64EF" w:rsidP="00FD6B66">
            <w:pPr>
              <w:jc w:val="right"/>
              <w:rPr>
                <w:rFonts w:cs="Calibri"/>
                <w:bCs/>
                <w:color w:val="000000"/>
                <w:sz w:val="14"/>
                <w:szCs w:val="14"/>
              </w:rPr>
            </w:pPr>
            <w:r w:rsidRPr="003003C0">
              <w:rPr>
                <w:rFonts w:cs="Calibri"/>
                <w:bCs/>
                <w:color w:val="000000"/>
                <w:sz w:val="14"/>
                <w:szCs w:val="14"/>
              </w:rPr>
              <w:t>0</w:t>
            </w:r>
            <w:r>
              <w:rPr>
                <w:rFonts w:cs="Calibri"/>
                <w:bCs/>
                <w:color w:val="000000"/>
                <w:sz w:val="14"/>
                <w:szCs w:val="14"/>
              </w:rPr>
              <w:t>.</w:t>
            </w:r>
            <w:r w:rsidRPr="003003C0">
              <w:rPr>
                <w:rFonts w:cs="Calibri"/>
                <w:bCs/>
                <w:color w:val="000000"/>
                <w:sz w:val="14"/>
                <w:szCs w:val="14"/>
              </w:rPr>
              <w:t>0</w:t>
            </w:r>
          </w:p>
        </w:tc>
        <w:tc>
          <w:tcPr>
            <w:tcW w:w="650" w:type="dxa"/>
            <w:noWrap/>
            <w:vAlign w:val="center"/>
            <w:hideMark/>
          </w:tcPr>
          <w:p w14:paraId="6D6A877E" w14:textId="77777777" w:rsidR="004F64EF" w:rsidRPr="003003C0" w:rsidRDefault="004F64EF" w:rsidP="00FD6B66">
            <w:pPr>
              <w:jc w:val="right"/>
              <w:rPr>
                <w:rFonts w:cs="Calibri"/>
                <w:bCs/>
                <w:color w:val="000000"/>
                <w:sz w:val="14"/>
                <w:szCs w:val="14"/>
              </w:rPr>
            </w:pPr>
            <w:r w:rsidRPr="003003C0">
              <w:rPr>
                <w:rFonts w:cs="Calibri"/>
                <w:bCs/>
                <w:color w:val="000000"/>
                <w:sz w:val="14"/>
                <w:szCs w:val="14"/>
              </w:rPr>
              <w:t>0</w:t>
            </w:r>
            <w:r>
              <w:rPr>
                <w:rFonts w:cs="Calibri"/>
                <w:bCs/>
                <w:color w:val="000000"/>
                <w:sz w:val="14"/>
                <w:szCs w:val="14"/>
              </w:rPr>
              <w:t>.</w:t>
            </w:r>
            <w:r w:rsidRPr="003003C0">
              <w:rPr>
                <w:rFonts w:cs="Calibri"/>
                <w:bCs/>
                <w:color w:val="000000"/>
                <w:sz w:val="14"/>
                <w:szCs w:val="14"/>
              </w:rPr>
              <w:t>0</w:t>
            </w:r>
          </w:p>
        </w:tc>
        <w:tc>
          <w:tcPr>
            <w:tcW w:w="650" w:type="dxa"/>
            <w:noWrap/>
            <w:vAlign w:val="center"/>
            <w:hideMark/>
          </w:tcPr>
          <w:p w14:paraId="2ADCD826" w14:textId="77777777" w:rsidR="004F64EF" w:rsidRPr="003003C0" w:rsidRDefault="004F64EF" w:rsidP="00FD6B66">
            <w:pPr>
              <w:jc w:val="right"/>
              <w:rPr>
                <w:rFonts w:cs="Calibri"/>
                <w:bCs/>
                <w:color w:val="000000"/>
                <w:sz w:val="14"/>
                <w:szCs w:val="14"/>
              </w:rPr>
            </w:pPr>
            <w:r w:rsidRPr="003003C0">
              <w:rPr>
                <w:rFonts w:cs="Calibri"/>
                <w:bCs/>
                <w:color w:val="000000"/>
                <w:sz w:val="14"/>
                <w:szCs w:val="14"/>
              </w:rPr>
              <w:t>0</w:t>
            </w:r>
            <w:r>
              <w:rPr>
                <w:rFonts w:cs="Calibri"/>
                <w:bCs/>
                <w:color w:val="000000"/>
                <w:sz w:val="14"/>
                <w:szCs w:val="14"/>
              </w:rPr>
              <w:t>.</w:t>
            </w:r>
            <w:r w:rsidRPr="003003C0">
              <w:rPr>
                <w:rFonts w:cs="Calibri"/>
                <w:bCs/>
                <w:color w:val="000000"/>
                <w:sz w:val="14"/>
                <w:szCs w:val="14"/>
              </w:rPr>
              <w:t>0</w:t>
            </w:r>
          </w:p>
        </w:tc>
        <w:tc>
          <w:tcPr>
            <w:tcW w:w="650" w:type="dxa"/>
            <w:noWrap/>
            <w:vAlign w:val="center"/>
            <w:hideMark/>
          </w:tcPr>
          <w:p w14:paraId="755CE884" w14:textId="77777777" w:rsidR="004F64EF" w:rsidRPr="003003C0" w:rsidRDefault="004F64EF" w:rsidP="00FD6B66">
            <w:pPr>
              <w:jc w:val="right"/>
              <w:rPr>
                <w:rFonts w:cs="Calibri"/>
                <w:bCs/>
                <w:color w:val="000000"/>
                <w:sz w:val="14"/>
                <w:szCs w:val="14"/>
              </w:rPr>
            </w:pPr>
            <w:r w:rsidRPr="003003C0">
              <w:rPr>
                <w:rFonts w:cs="Calibri"/>
                <w:bCs/>
                <w:color w:val="000000"/>
                <w:sz w:val="14"/>
                <w:szCs w:val="14"/>
              </w:rPr>
              <w:t>0</w:t>
            </w:r>
            <w:r>
              <w:rPr>
                <w:rFonts w:cs="Calibri"/>
                <w:bCs/>
                <w:color w:val="000000"/>
                <w:sz w:val="14"/>
                <w:szCs w:val="14"/>
              </w:rPr>
              <w:t>.</w:t>
            </w:r>
            <w:r w:rsidRPr="003003C0">
              <w:rPr>
                <w:rFonts w:cs="Calibri"/>
                <w:bCs/>
                <w:color w:val="000000"/>
                <w:sz w:val="14"/>
                <w:szCs w:val="14"/>
              </w:rPr>
              <w:t>0</w:t>
            </w:r>
          </w:p>
        </w:tc>
        <w:tc>
          <w:tcPr>
            <w:tcW w:w="650" w:type="dxa"/>
            <w:noWrap/>
            <w:vAlign w:val="center"/>
            <w:hideMark/>
          </w:tcPr>
          <w:p w14:paraId="0851116F" w14:textId="77777777" w:rsidR="004F64EF" w:rsidRPr="003003C0" w:rsidRDefault="004F64EF" w:rsidP="00FD6B66">
            <w:pPr>
              <w:jc w:val="right"/>
              <w:rPr>
                <w:rFonts w:cs="Calibri"/>
                <w:bCs/>
                <w:color w:val="000000"/>
                <w:sz w:val="14"/>
                <w:szCs w:val="14"/>
              </w:rPr>
            </w:pPr>
            <w:r w:rsidRPr="003003C0">
              <w:rPr>
                <w:rFonts w:cs="Calibri"/>
                <w:bCs/>
                <w:color w:val="000000"/>
                <w:sz w:val="14"/>
                <w:szCs w:val="14"/>
              </w:rPr>
              <w:t>0</w:t>
            </w:r>
            <w:r>
              <w:rPr>
                <w:rFonts w:cs="Calibri"/>
                <w:bCs/>
                <w:color w:val="000000"/>
                <w:sz w:val="14"/>
                <w:szCs w:val="14"/>
              </w:rPr>
              <w:t>.</w:t>
            </w:r>
            <w:r w:rsidRPr="003003C0">
              <w:rPr>
                <w:rFonts w:cs="Calibri"/>
                <w:bCs/>
                <w:color w:val="000000"/>
                <w:sz w:val="14"/>
                <w:szCs w:val="14"/>
              </w:rPr>
              <w:t>0</w:t>
            </w:r>
          </w:p>
        </w:tc>
        <w:tc>
          <w:tcPr>
            <w:tcW w:w="650" w:type="dxa"/>
            <w:noWrap/>
            <w:vAlign w:val="center"/>
            <w:hideMark/>
          </w:tcPr>
          <w:p w14:paraId="29167E02" w14:textId="77777777" w:rsidR="004F64EF" w:rsidRPr="003003C0" w:rsidRDefault="004F64EF" w:rsidP="00FD6B66">
            <w:pPr>
              <w:jc w:val="right"/>
              <w:rPr>
                <w:rFonts w:cs="Calibri"/>
                <w:bCs/>
                <w:color w:val="000000"/>
                <w:sz w:val="14"/>
                <w:szCs w:val="14"/>
              </w:rPr>
            </w:pPr>
            <w:r w:rsidRPr="003003C0">
              <w:rPr>
                <w:rFonts w:cs="Calibri"/>
                <w:bCs/>
                <w:color w:val="000000"/>
                <w:sz w:val="14"/>
                <w:szCs w:val="14"/>
              </w:rPr>
              <w:t>0</w:t>
            </w:r>
            <w:r>
              <w:rPr>
                <w:rFonts w:cs="Calibri"/>
                <w:bCs/>
                <w:color w:val="000000"/>
                <w:sz w:val="14"/>
                <w:szCs w:val="14"/>
              </w:rPr>
              <w:t>.</w:t>
            </w:r>
            <w:r w:rsidRPr="003003C0">
              <w:rPr>
                <w:rFonts w:cs="Calibri"/>
                <w:bCs/>
                <w:color w:val="000000"/>
                <w:sz w:val="14"/>
                <w:szCs w:val="14"/>
              </w:rPr>
              <w:t>0</w:t>
            </w:r>
          </w:p>
        </w:tc>
        <w:tc>
          <w:tcPr>
            <w:tcW w:w="650" w:type="dxa"/>
            <w:noWrap/>
            <w:vAlign w:val="center"/>
            <w:hideMark/>
          </w:tcPr>
          <w:p w14:paraId="5EECCC6B" w14:textId="77777777" w:rsidR="004F64EF" w:rsidRPr="003003C0" w:rsidRDefault="004F64EF" w:rsidP="00FD6B66">
            <w:pPr>
              <w:jc w:val="right"/>
              <w:rPr>
                <w:rFonts w:cs="Calibri"/>
                <w:bCs/>
                <w:color w:val="000000"/>
                <w:sz w:val="14"/>
                <w:szCs w:val="14"/>
              </w:rPr>
            </w:pPr>
            <w:r w:rsidRPr="003003C0">
              <w:rPr>
                <w:rFonts w:cs="Calibri"/>
                <w:bCs/>
                <w:color w:val="000000"/>
                <w:sz w:val="14"/>
                <w:szCs w:val="14"/>
              </w:rPr>
              <w:t>0</w:t>
            </w:r>
            <w:r>
              <w:rPr>
                <w:rFonts w:cs="Calibri"/>
                <w:bCs/>
                <w:color w:val="000000"/>
                <w:sz w:val="14"/>
                <w:szCs w:val="14"/>
              </w:rPr>
              <w:t>.</w:t>
            </w:r>
            <w:r w:rsidRPr="003003C0">
              <w:rPr>
                <w:rFonts w:cs="Calibri"/>
                <w:bCs/>
                <w:color w:val="000000"/>
                <w:sz w:val="14"/>
                <w:szCs w:val="14"/>
              </w:rPr>
              <w:t>0</w:t>
            </w:r>
          </w:p>
        </w:tc>
      </w:tr>
      <w:tr w:rsidR="004F64EF" w:rsidRPr="003003C0" w14:paraId="1C6F8D6C" w14:textId="77777777" w:rsidTr="00FD6B66">
        <w:trPr>
          <w:trHeight w:val="20"/>
        </w:trPr>
        <w:tc>
          <w:tcPr>
            <w:tcW w:w="4478" w:type="dxa"/>
            <w:noWrap/>
            <w:vAlign w:val="center"/>
            <w:hideMark/>
          </w:tcPr>
          <w:p w14:paraId="51B0E4A0" w14:textId="77777777" w:rsidR="004F64EF" w:rsidRPr="003003C0" w:rsidRDefault="004F64EF" w:rsidP="00FD6B66">
            <w:pPr>
              <w:jc w:val="left"/>
              <w:rPr>
                <w:rFonts w:cs="Calibri"/>
                <w:bCs/>
                <w:color w:val="000000"/>
                <w:sz w:val="14"/>
                <w:szCs w:val="14"/>
              </w:rPr>
            </w:pPr>
            <w:r w:rsidRPr="003003C0">
              <w:rPr>
                <w:rFonts w:cs="Calibri"/>
                <w:bCs/>
                <w:color w:val="000000"/>
                <w:sz w:val="14"/>
                <w:szCs w:val="14"/>
              </w:rPr>
              <w:t xml:space="preserve">20 - </w:t>
            </w:r>
            <w:r w:rsidRPr="00660DD5">
              <w:rPr>
                <w:rFonts w:cs="Calibri"/>
                <w:bCs/>
                <w:color w:val="000000"/>
                <w:sz w:val="14"/>
                <w:szCs w:val="14"/>
              </w:rPr>
              <w:t>Miscellaneous manufactured articles</w:t>
            </w:r>
          </w:p>
        </w:tc>
        <w:tc>
          <w:tcPr>
            <w:tcW w:w="650" w:type="dxa"/>
            <w:noWrap/>
            <w:vAlign w:val="center"/>
            <w:hideMark/>
          </w:tcPr>
          <w:p w14:paraId="0A3FBB73" w14:textId="77777777" w:rsidR="004F64EF" w:rsidRPr="003003C0" w:rsidRDefault="004F64EF" w:rsidP="00FD6B66">
            <w:pPr>
              <w:jc w:val="right"/>
              <w:rPr>
                <w:rFonts w:cs="Calibri"/>
                <w:bCs/>
                <w:color w:val="000000"/>
                <w:sz w:val="14"/>
                <w:szCs w:val="14"/>
              </w:rPr>
            </w:pPr>
            <w:r w:rsidRPr="003003C0">
              <w:rPr>
                <w:rFonts w:cs="Calibri"/>
                <w:bCs/>
                <w:color w:val="000000"/>
                <w:sz w:val="14"/>
                <w:szCs w:val="14"/>
              </w:rPr>
              <w:t>1</w:t>
            </w:r>
            <w:r>
              <w:rPr>
                <w:rFonts w:cs="Calibri"/>
                <w:bCs/>
                <w:color w:val="000000"/>
                <w:sz w:val="14"/>
                <w:szCs w:val="14"/>
              </w:rPr>
              <w:t>.</w:t>
            </w:r>
            <w:r w:rsidRPr="003003C0">
              <w:rPr>
                <w:rFonts w:cs="Calibri"/>
                <w:bCs/>
                <w:color w:val="000000"/>
                <w:sz w:val="14"/>
                <w:szCs w:val="14"/>
              </w:rPr>
              <w:t>0</w:t>
            </w:r>
          </w:p>
        </w:tc>
        <w:tc>
          <w:tcPr>
            <w:tcW w:w="650" w:type="dxa"/>
            <w:noWrap/>
            <w:vAlign w:val="center"/>
            <w:hideMark/>
          </w:tcPr>
          <w:p w14:paraId="4A06DEC7" w14:textId="77777777" w:rsidR="004F64EF" w:rsidRPr="003003C0" w:rsidRDefault="004F64EF" w:rsidP="00FD6B66">
            <w:pPr>
              <w:jc w:val="right"/>
              <w:rPr>
                <w:rFonts w:cs="Calibri"/>
                <w:bCs/>
                <w:color w:val="000000"/>
                <w:sz w:val="14"/>
                <w:szCs w:val="14"/>
              </w:rPr>
            </w:pPr>
            <w:r w:rsidRPr="003003C0">
              <w:rPr>
                <w:rFonts w:cs="Calibri"/>
                <w:bCs/>
                <w:color w:val="000000"/>
                <w:sz w:val="14"/>
                <w:szCs w:val="14"/>
              </w:rPr>
              <w:t>1</w:t>
            </w:r>
            <w:r>
              <w:rPr>
                <w:rFonts w:cs="Calibri"/>
                <w:bCs/>
                <w:color w:val="000000"/>
                <w:sz w:val="14"/>
                <w:szCs w:val="14"/>
              </w:rPr>
              <w:t>.</w:t>
            </w:r>
            <w:r w:rsidRPr="003003C0">
              <w:rPr>
                <w:rFonts w:cs="Calibri"/>
                <w:bCs/>
                <w:color w:val="000000"/>
                <w:sz w:val="14"/>
                <w:szCs w:val="14"/>
              </w:rPr>
              <w:t>0</w:t>
            </w:r>
          </w:p>
        </w:tc>
        <w:tc>
          <w:tcPr>
            <w:tcW w:w="650" w:type="dxa"/>
            <w:noWrap/>
            <w:vAlign w:val="center"/>
            <w:hideMark/>
          </w:tcPr>
          <w:p w14:paraId="049D5462" w14:textId="77777777" w:rsidR="004F64EF" w:rsidRPr="003003C0" w:rsidRDefault="004F64EF" w:rsidP="00FD6B66">
            <w:pPr>
              <w:jc w:val="right"/>
              <w:rPr>
                <w:rFonts w:cs="Calibri"/>
                <w:bCs/>
                <w:color w:val="000000"/>
                <w:sz w:val="14"/>
                <w:szCs w:val="14"/>
              </w:rPr>
            </w:pPr>
            <w:r w:rsidRPr="003003C0">
              <w:rPr>
                <w:rFonts w:cs="Calibri"/>
                <w:bCs/>
                <w:color w:val="000000"/>
                <w:sz w:val="14"/>
                <w:szCs w:val="14"/>
              </w:rPr>
              <w:t>0</w:t>
            </w:r>
            <w:r>
              <w:rPr>
                <w:rFonts w:cs="Calibri"/>
                <w:bCs/>
                <w:color w:val="000000"/>
                <w:sz w:val="14"/>
                <w:szCs w:val="14"/>
              </w:rPr>
              <w:t>.</w:t>
            </w:r>
            <w:r w:rsidRPr="003003C0">
              <w:rPr>
                <w:rFonts w:cs="Calibri"/>
                <w:bCs/>
                <w:color w:val="000000"/>
                <w:sz w:val="14"/>
                <w:szCs w:val="14"/>
              </w:rPr>
              <w:t>8</w:t>
            </w:r>
          </w:p>
        </w:tc>
        <w:tc>
          <w:tcPr>
            <w:tcW w:w="650" w:type="dxa"/>
            <w:noWrap/>
            <w:vAlign w:val="center"/>
            <w:hideMark/>
          </w:tcPr>
          <w:p w14:paraId="22BAF025" w14:textId="77777777" w:rsidR="004F64EF" w:rsidRPr="003003C0" w:rsidRDefault="004F64EF" w:rsidP="00FD6B66">
            <w:pPr>
              <w:jc w:val="right"/>
              <w:rPr>
                <w:rFonts w:cs="Calibri"/>
                <w:bCs/>
                <w:color w:val="000000"/>
                <w:sz w:val="14"/>
                <w:szCs w:val="14"/>
              </w:rPr>
            </w:pPr>
            <w:r w:rsidRPr="003003C0">
              <w:rPr>
                <w:rFonts w:cs="Calibri"/>
                <w:bCs/>
                <w:color w:val="000000"/>
                <w:sz w:val="14"/>
                <w:szCs w:val="14"/>
              </w:rPr>
              <w:t>0</w:t>
            </w:r>
            <w:r>
              <w:rPr>
                <w:rFonts w:cs="Calibri"/>
                <w:bCs/>
                <w:color w:val="000000"/>
                <w:sz w:val="14"/>
                <w:szCs w:val="14"/>
              </w:rPr>
              <w:t>.</w:t>
            </w:r>
            <w:r w:rsidRPr="003003C0">
              <w:rPr>
                <w:rFonts w:cs="Calibri"/>
                <w:bCs/>
                <w:color w:val="000000"/>
                <w:sz w:val="14"/>
                <w:szCs w:val="14"/>
              </w:rPr>
              <w:t>9</w:t>
            </w:r>
          </w:p>
        </w:tc>
        <w:tc>
          <w:tcPr>
            <w:tcW w:w="650" w:type="dxa"/>
            <w:noWrap/>
            <w:vAlign w:val="center"/>
            <w:hideMark/>
          </w:tcPr>
          <w:p w14:paraId="789B8C49" w14:textId="77777777" w:rsidR="004F64EF" w:rsidRPr="003003C0" w:rsidRDefault="004F64EF" w:rsidP="00FD6B66">
            <w:pPr>
              <w:jc w:val="right"/>
              <w:rPr>
                <w:rFonts w:cs="Calibri"/>
                <w:bCs/>
                <w:color w:val="000000"/>
                <w:sz w:val="14"/>
                <w:szCs w:val="14"/>
              </w:rPr>
            </w:pPr>
            <w:r w:rsidRPr="003003C0">
              <w:rPr>
                <w:rFonts w:cs="Calibri"/>
                <w:bCs/>
                <w:color w:val="000000"/>
                <w:sz w:val="14"/>
                <w:szCs w:val="14"/>
              </w:rPr>
              <w:t>0</w:t>
            </w:r>
            <w:r>
              <w:rPr>
                <w:rFonts w:cs="Calibri"/>
                <w:bCs/>
                <w:color w:val="000000"/>
                <w:sz w:val="14"/>
                <w:szCs w:val="14"/>
              </w:rPr>
              <w:t>.</w:t>
            </w:r>
            <w:r w:rsidRPr="003003C0">
              <w:rPr>
                <w:rFonts w:cs="Calibri"/>
                <w:bCs/>
                <w:color w:val="000000"/>
                <w:sz w:val="14"/>
                <w:szCs w:val="14"/>
              </w:rPr>
              <w:t>8</w:t>
            </w:r>
          </w:p>
        </w:tc>
        <w:tc>
          <w:tcPr>
            <w:tcW w:w="650" w:type="dxa"/>
            <w:noWrap/>
            <w:vAlign w:val="center"/>
            <w:hideMark/>
          </w:tcPr>
          <w:p w14:paraId="0261CC5A" w14:textId="77777777" w:rsidR="004F64EF" w:rsidRPr="003003C0" w:rsidRDefault="004F64EF" w:rsidP="00FD6B66">
            <w:pPr>
              <w:jc w:val="right"/>
              <w:rPr>
                <w:rFonts w:cs="Calibri"/>
                <w:bCs/>
                <w:color w:val="000000"/>
                <w:sz w:val="14"/>
                <w:szCs w:val="14"/>
              </w:rPr>
            </w:pPr>
            <w:r w:rsidRPr="003003C0">
              <w:rPr>
                <w:rFonts w:cs="Calibri"/>
                <w:bCs/>
                <w:color w:val="000000"/>
                <w:sz w:val="14"/>
                <w:szCs w:val="14"/>
              </w:rPr>
              <w:t>0</w:t>
            </w:r>
            <w:r>
              <w:rPr>
                <w:rFonts w:cs="Calibri"/>
                <w:bCs/>
                <w:color w:val="000000"/>
                <w:sz w:val="14"/>
                <w:szCs w:val="14"/>
              </w:rPr>
              <w:t>.</w:t>
            </w:r>
            <w:r w:rsidRPr="003003C0">
              <w:rPr>
                <w:rFonts w:cs="Calibri"/>
                <w:bCs/>
                <w:color w:val="000000"/>
                <w:sz w:val="14"/>
                <w:szCs w:val="14"/>
              </w:rPr>
              <w:t>7</w:t>
            </w:r>
          </w:p>
        </w:tc>
        <w:tc>
          <w:tcPr>
            <w:tcW w:w="650" w:type="dxa"/>
            <w:noWrap/>
            <w:vAlign w:val="center"/>
            <w:hideMark/>
          </w:tcPr>
          <w:p w14:paraId="7CE947AC" w14:textId="77777777" w:rsidR="004F64EF" w:rsidRPr="003003C0" w:rsidRDefault="004F64EF" w:rsidP="00FD6B66">
            <w:pPr>
              <w:jc w:val="right"/>
              <w:rPr>
                <w:rFonts w:cs="Calibri"/>
                <w:bCs/>
                <w:color w:val="000000"/>
                <w:sz w:val="14"/>
                <w:szCs w:val="14"/>
              </w:rPr>
            </w:pPr>
            <w:r w:rsidRPr="003003C0">
              <w:rPr>
                <w:rFonts w:cs="Calibri"/>
                <w:bCs/>
                <w:color w:val="000000"/>
                <w:sz w:val="14"/>
                <w:szCs w:val="14"/>
              </w:rPr>
              <w:t>0</w:t>
            </w:r>
            <w:r>
              <w:rPr>
                <w:rFonts w:cs="Calibri"/>
                <w:bCs/>
                <w:color w:val="000000"/>
                <w:sz w:val="14"/>
                <w:szCs w:val="14"/>
              </w:rPr>
              <w:t>.</w:t>
            </w:r>
            <w:r w:rsidRPr="003003C0">
              <w:rPr>
                <w:rFonts w:cs="Calibri"/>
                <w:bCs/>
                <w:color w:val="000000"/>
                <w:sz w:val="14"/>
                <w:szCs w:val="14"/>
              </w:rPr>
              <w:t>8</w:t>
            </w:r>
          </w:p>
        </w:tc>
      </w:tr>
      <w:tr w:rsidR="004F64EF" w:rsidRPr="003003C0" w14:paraId="597CEA3F" w14:textId="77777777" w:rsidTr="00FD6B66">
        <w:trPr>
          <w:cnfStyle w:val="000000010000" w:firstRow="0" w:lastRow="0" w:firstColumn="0" w:lastColumn="0" w:oddVBand="0" w:evenVBand="0" w:oddHBand="0" w:evenHBand="1" w:firstRowFirstColumn="0" w:firstRowLastColumn="0" w:lastRowFirstColumn="0" w:lastRowLastColumn="0"/>
          <w:trHeight w:val="20"/>
        </w:trPr>
        <w:tc>
          <w:tcPr>
            <w:tcW w:w="4478" w:type="dxa"/>
            <w:noWrap/>
            <w:vAlign w:val="center"/>
            <w:hideMark/>
          </w:tcPr>
          <w:p w14:paraId="7E911D0E" w14:textId="77777777" w:rsidR="004F64EF" w:rsidRPr="003003C0" w:rsidRDefault="004F64EF" w:rsidP="00FD6B66">
            <w:pPr>
              <w:jc w:val="left"/>
              <w:rPr>
                <w:rFonts w:cs="Calibri"/>
                <w:bCs/>
                <w:color w:val="000000"/>
                <w:sz w:val="14"/>
                <w:szCs w:val="14"/>
              </w:rPr>
            </w:pPr>
            <w:r w:rsidRPr="003003C0">
              <w:rPr>
                <w:rFonts w:cs="Calibri"/>
                <w:bCs/>
                <w:color w:val="000000"/>
                <w:sz w:val="14"/>
                <w:szCs w:val="14"/>
              </w:rPr>
              <w:t xml:space="preserve">21 - </w:t>
            </w:r>
            <w:r w:rsidRPr="00660DD5">
              <w:rPr>
                <w:rFonts w:cs="Calibri"/>
                <w:bCs/>
                <w:color w:val="000000"/>
                <w:sz w:val="14"/>
                <w:szCs w:val="14"/>
              </w:rPr>
              <w:t>Works of art, collectors' pieces and antiques</w:t>
            </w:r>
          </w:p>
        </w:tc>
        <w:tc>
          <w:tcPr>
            <w:tcW w:w="650" w:type="dxa"/>
            <w:noWrap/>
            <w:vAlign w:val="center"/>
            <w:hideMark/>
          </w:tcPr>
          <w:p w14:paraId="2014A477" w14:textId="77777777" w:rsidR="004F64EF" w:rsidRPr="003003C0" w:rsidRDefault="004F64EF" w:rsidP="00FD6B66">
            <w:pPr>
              <w:jc w:val="right"/>
              <w:rPr>
                <w:rFonts w:cs="Calibri"/>
                <w:bCs/>
                <w:color w:val="000000"/>
                <w:sz w:val="14"/>
                <w:szCs w:val="14"/>
              </w:rPr>
            </w:pPr>
            <w:r w:rsidRPr="003003C0">
              <w:rPr>
                <w:rFonts w:cs="Calibri"/>
                <w:bCs/>
                <w:color w:val="000000"/>
                <w:sz w:val="14"/>
                <w:szCs w:val="14"/>
              </w:rPr>
              <w:t>0</w:t>
            </w:r>
            <w:r>
              <w:rPr>
                <w:rFonts w:cs="Calibri"/>
                <w:bCs/>
                <w:color w:val="000000"/>
                <w:sz w:val="14"/>
                <w:szCs w:val="14"/>
              </w:rPr>
              <w:t>.</w:t>
            </w:r>
            <w:r w:rsidRPr="003003C0">
              <w:rPr>
                <w:rFonts w:cs="Calibri"/>
                <w:bCs/>
                <w:color w:val="000000"/>
                <w:sz w:val="14"/>
                <w:szCs w:val="14"/>
              </w:rPr>
              <w:t>0</w:t>
            </w:r>
          </w:p>
        </w:tc>
        <w:tc>
          <w:tcPr>
            <w:tcW w:w="650" w:type="dxa"/>
            <w:noWrap/>
            <w:vAlign w:val="center"/>
            <w:hideMark/>
          </w:tcPr>
          <w:p w14:paraId="52F61ECE" w14:textId="77777777" w:rsidR="004F64EF" w:rsidRPr="003003C0" w:rsidRDefault="004F64EF" w:rsidP="00FD6B66">
            <w:pPr>
              <w:jc w:val="right"/>
              <w:rPr>
                <w:rFonts w:cs="Calibri"/>
                <w:bCs/>
                <w:color w:val="000000"/>
                <w:sz w:val="14"/>
                <w:szCs w:val="14"/>
              </w:rPr>
            </w:pPr>
            <w:r w:rsidRPr="003003C0">
              <w:rPr>
                <w:rFonts w:cs="Calibri"/>
                <w:bCs/>
                <w:color w:val="000000"/>
                <w:sz w:val="14"/>
                <w:szCs w:val="14"/>
              </w:rPr>
              <w:t>0</w:t>
            </w:r>
            <w:r>
              <w:rPr>
                <w:rFonts w:cs="Calibri"/>
                <w:bCs/>
                <w:color w:val="000000"/>
                <w:sz w:val="14"/>
                <w:szCs w:val="14"/>
              </w:rPr>
              <w:t>.</w:t>
            </w:r>
            <w:r w:rsidRPr="003003C0">
              <w:rPr>
                <w:rFonts w:cs="Calibri"/>
                <w:bCs/>
                <w:color w:val="000000"/>
                <w:sz w:val="14"/>
                <w:szCs w:val="14"/>
              </w:rPr>
              <w:t>0</w:t>
            </w:r>
          </w:p>
        </w:tc>
        <w:tc>
          <w:tcPr>
            <w:tcW w:w="650" w:type="dxa"/>
            <w:noWrap/>
            <w:vAlign w:val="center"/>
            <w:hideMark/>
          </w:tcPr>
          <w:p w14:paraId="470899CE" w14:textId="77777777" w:rsidR="004F64EF" w:rsidRPr="003003C0" w:rsidRDefault="004F64EF" w:rsidP="00FD6B66">
            <w:pPr>
              <w:jc w:val="right"/>
              <w:rPr>
                <w:rFonts w:cs="Calibri"/>
                <w:bCs/>
                <w:color w:val="000000"/>
                <w:sz w:val="14"/>
                <w:szCs w:val="14"/>
              </w:rPr>
            </w:pPr>
            <w:r w:rsidRPr="003003C0">
              <w:rPr>
                <w:rFonts w:cs="Calibri"/>
                <w:bCs/>
                <w:color w:val="000000"/>
                <w:sz w:val="14"/>
                <w:szCs w:val="14"/>
              </w:rPr>
              <w:t>0</w:t>
            </w:r>
            <w:r>
              <w:rPr>
                <w:rFonts w:cs="Calibri"/>
                <w:bCs/>
                <w:color w:val="000000"/>
                <w:sz w:val="14"/>
                <w:szCs w:val="14"/>
              </w:rPr>
              <w:t>.</w:t>
            </w:r>
            <w:r w:rsidRPr="003003C0">
              <w:rPr>
                <w:rFonts w:cs="Calibri"/>
                <w:bCs/>
                <w:color w:val="000000"/>
                <w:sz w:val="14"/>
                <w:szCs w:val="14"/>
              </w:rPr>
              <w:t>0</w:t>
            </w:r>
          </w:p>
        </w:tc>
        <w:tc>
          <w:tcPr>
            <w:tcW w:w="650" w:type="dxa"/>
            <w:noWrap/>
            <w:vAlign w:val="center"/>
            <w:hideMark/>
          </w:tcPr>
          <w:p w14:paraId="30014CED" w14:textId="77777777" w:rsidR="004F64EF" w:rsidRPr="003003C0" w:rsidRDefault="004F64EF" w:rsidP="00FD6B66">
            <w:pPr>
              <w:jc w:val="right"/>
              <w:rPr>
                <w:rFonts w:cs="Calibri"/>
                <w:bCs/>
                <w:color w:val="000000"/>
                <w:sz w:val="14"/>
                <w:szCs w:val="14"/>
              </w:rPr>
            </w:pPr>
            <w:r w:rsidRPr="003003C0">
              <w:rPr>
                <w:rFonts w:cs="Calibri"/>
                <w:bCs/>
                <w:color w:val="000000"/>
                <w:sz w:val="14"/>
                <w:szCs w:val="14"/>
              </w:rPr>
              <w:t>0</w:t>
            </w:r>
            <w:r>
              <w:rPr>
                <w:rFonts w:cs="Calibri"/>
                <w:bCs/>
                <w:color w:val="000000"/>
                <w:sz w:val="14"/>
                <w:szCs w:val="14"/>
              </w:rPr>
              <w:t>.</w:t>
            </w:r>
            <w:r w:rsidRPr="003003C0">
              <w:rPr>
                <w:rFonts w:cs="Calibri"/>
                <w:bCs/>
                <w:color w:val="000000"/>
                <w:sz w:val="14"/>
                <w:szCs w:val="14"/>
              </w:rPr>
              <w:t>0</w:t>
            </w:r>
          </w:p>
        </w:tc>
        <w:tc>
          <w:tcPr>
            <w:tcW w:w="650" w:type="dxa"/>
            <w:noWrap/>
            <w:vAlign w:val="center"/>
            <w:hideMark/>
          </w:tcPr>
          <w:p w14:paraId="3CF0F8D0" w14:textId="77777777" w:rsidR="004F64EF" w:rsidRPr="003003C0" w:rsidRDefault="004F64EF" w:rsidP="00FD6B66">
            <w:pPr>
              <w:jc w:val="right"/>
              <w:rPr>
                <w:rFonts w:cs="Calibri"/>
                <w:bCs/>
                <w:color w:val="000000"/>
                <w:sz w:val="14"/>
                <w:szCs w:val="14"/>
              </w:rPr>
            </w:pPr>
            <w:r w:rsidRPr="003003C0">
              <w:rPr>
                <w:rFonts w:cs="Calibri"/>
                <w:bCs/>
                <w:color w:val="000000"/>
                <w:sz w:val="14"/>
                <w:szCs w:val="14"/>
              </w:rPr>
              <w:t>0</w:t>
            </w:r>
            <w:r>
              <w:rPr>
                <w:rFonts w:cs="Calibri"/>
                <w:bCs/>
                <w:color w:val="000000"/>
                <w:sz w:val="14"/>
                <w:szCs w:val="14"/>
              </w:rPr>
              <w:t>.</w:t>
            </w:r>
            <w:r w:rsidRPr="003003C0">
              <w:rPr>
                <w:rFonts w:cs="Calibri"/>
                <w:bCs/>
                <w:color w:val="000000"/>
                <w:sz w:val="14"/>
                <w:szCs w:val="14"/>
              </w:rPr>
              <w:t>0</w:t>
            </w:r>
          </w:p>
        </w:tc>
        <w:tc>
          <w:tcPr>
            <w:tcW w:w="650" w:type="dxa"/>
            <w:noWrap/>
            <w:vAlign w:val="center"/>
            <w:hideMark/>
          </w:tcPr>
          <w:p w14:paraId="03861FCE" w14:textId="77777777" w:rsidR="004F64EF" w:rsidRPr="003003C0" w:rsidRDefault="004F64EF" w:rsidP="00FD6B66">
            <w:pPr>
              <w:jc w:val="right"/>
              <w:rPr>
                <w:rFonts w:cs="Calibri"/>
                <w:bCs/>
                <w:color w:val="000000"/>
                <w:sz w:val="14"/>
                <w:szCs w:val="14"/>
              </w:rPr>
            </w:pPr>
            <w:r w:rsidRPr="003003C0">
              <w:rPr>
                <w:rFonts w:cs="Calibri"/>
                <w:bCs/>
                <w:color w:val="000000"/>
                <w:sz w:val="14"/>
                <w:szCs w:val="14"/>
              </w:rPr>
              <w:t>0</w:t>
            </w:r>
            <w:r>
              <w:rPr>
                <w:rFonts w:cs="Calibri"/>
                <w:bCs/>
                <w:color w:val="000000"/>
                <w:sz w:val="14"/>
                <w:szCs w:val="14"/>
              </w:rPr>
              <w:t>.</w:t>
            </w:r>
            <w:r w:rsidRPr="003003C0">
              <w:rPr>
                <w:rFonts w:cs="Calibri"/>
                <w:bCs/>
                <w:color w:val="000000"/>
                <w:sz w:val="14"/>
                <w:szCs w:val="14"/>
              </w:rPr>
              <w:t>0</w:t>
            </w:r>
          </w:p>
        </w:tc>
        <w:tc>
          <w:tcPr>
            <w:tcW w:w="650" w:type="dxa"/>
            <w:noWrap/>
            <w:vAlign w:val="center"/>
            <w:hideMark/>
          </w:tcPr>
          <w:p w14:paraId="4B7EC5F3" w14:textId="77777777" w:rsidR="004F64EF" w:rsidRPr="003003C0" w:rsidRDefault="004F64EF" w:rsidP="00FD6B66">
            <w:pPr>
              <w:jc w:val="right"/>
              <w:rPr>
                <w:rFonts w:cs="Calibri"/>
                <w:bCs/>
                <w:color w:val="000000"/>
                <w:sz w:val="14"/>
                <w:szCs w:val="14"/>
              </w:rPr>
            </w:pPr>
            <w:r w:rsidRPr="003003C0">
              <w:rPr>
                <w:rFonts w:cs="Calibri"/>
                <w:bCs/>
                <w:color w:val="000000"/>
                <w:sz w:val="14"/>
                <w:szCs w:val="14"/>
              </w:rPr>
              <w:t>0</w:t>
            </w:r>
            <w:r>
              <w:rPr>
                <w:rFonts w:cs="Calibri"/>
                <w:bCs/>
                <w:color w:val="000000"/>
                <w:sz w:val="14"/>
                <w:szCs w:val="14"/>
              </w:rPr>
              <w:t>.</w:t>
            </w:r>
            <w:r w:rsidRPr="003003C0">
              <w:rPr>
                <w:rFonts w:cs="Calibri"/>
                <w:bCs/>
                <w:color w:val="000000"/>
                <w:sz w:val="14"/>
                <w:szCs w:val="14"/>
              </w:rPr>
              <w:t>0</w:t>
            </w:r>
          </w:p>
        </w:tc>
      </w:tr>
    </w:tbl>
    <w:p w14:paraId="28334D1A" w14:textId="77777777" w:rsidR="004F64EF" w:rsidRPr="003003C0" w:rsidRDefault="004F64EF" w:rsidP="00B91D96">
      <w:pPr>
        <w:pStyle w:val="NoteText"/>
        <w:spacing w:before="120" w:after="240"/>
        <w:rPr>
          <w:bCs/>
        </w:rPr>
      </w:pPr>
      <w:r w:rsidRPr="000746C8">
        <w:rPr>
          <w:bCs/>
        </w:rPr>
        <w:t>Source:</w:t>
      </w:r>
      <w:r w:rsidRPr="000746C8">
        <w:rPr>
          <w:bCs/>
        </w:rPr>
        <w:tab/>
        <w:t>WTO Secretariat calculations based on data from COMEX</w:t>
      </w:r>
      <w:r w:rsidRPr="003003C0">
        <w:rPr>
          <w:bCs/>
        </w:rPr>
        <w:t>.</w:t>
      </w:r>
    </w:p>
    <w:p w14:paraId="5321AC98" w14:textId="77777777" w:rsidR="004F64EF" w:rsidRPr="003003C0" w:rsidRDefault="004F64EF" w:rsidP="00B91D96">
      <w:pPr>
        <w:pStyle w:val="NoteText"/>
      </w:pPr>
    </w:p>
    <w:p w14:paraId="4DE72E5E" w14:textId="77777777" w:rsidR="004F64EF" w:rsidRPr="003003C0" w:rsidRDefault="004F64EF" w:rsidP="00B91D96">
      <w:r w:rsidRPr="003003C0">
        <w:br w:type="page"/>
      </w:r>
    </w:p>
    <w:p w14:paraId="38EA9C3F" w14:textId="77777777" w:rsidR="004F64EF" w:rsidRPr="003003C0" w:rsidRDefault="004F64EF" w:rsidP="00B91D96">
      <w:pPr>
        <w:pStyle w:val="Caption"/>
      </w:pPr>
      <w:bookmarkStart w:id="429" w:name="_Toc114735866"/>
      <w:bookmarkStart w:id="430" w:name="_Toc117004284"/>
      <w:r>
        <w:lastRenderedPageBreak/>
        <w:t>Table</w:t>
      </w:r>
      <w:r w:rsidRPr="003003C0">
        <w:t xml:space="preserve"> A1.</w:t>
      </w:r>
      <w:r w:rsidR="00BD37F2">
        <w:fldChar w:fldCharType="begin"/>
      </w:r>
      <w:r w:rsidR="00BD37F2">
        <w:instrText xml:space="preserve"> SEQ Table_A1. \* ARABIC </w:instrText>
      </w:r>
      <w:r w:rsidR="00BD37F2">
        <w:fldChar w:fldCharType="separate"/>
      </w:r>
      <w:r w:rsidRPr="003003C0">
        <w:rPr>
          <w:noProof/>
        </w:rPr>
        <w:t>6</w:t>
      </w:r>
      <w:r w:rsidR="00BD37F2">
        <w:rPr>
          <w:noProof/>
        </w:rPr>
        <w:fldChar w:fldCharType="end"/>
      </w:r>
      <w:r w:rsidRPr="003003C0">
        <w:t xml:space="preserve"> Expor</w:t>
      </w:r>
      <w:r>
        <w:t>ts of consumer goods and re-exports by trading partner</w:t>
      </w:r>
      <w:r w:rsidRPr="003003C0">
        <w:t>, 2015-21</w:t>
      </w:r>
      <w:bookmarkEnd w:id="429"/>
      <w:bookmarkEnd w:id="430"/>
    </w:p>
    <w:p w14:paraId="1B78FD66" w14:textId="77777777" w:rsidR="004F64EF" w:rsidRPr="003003C0" w:rsidRDefault="004F64EF" w:rsidP="00B91D96">
      <w:pPr>
        <w:pStyle w:val="NoteText"/>
      </w:pPr>
      <w:r w:rsidRPr="003003C0">
        <w:t xml:space="preserve">(USD </w:t>
      </w:r>
      <w:r>
        <w:t>million and</w:t>
      </w:r>
      <w:r w:rsidRPr="003003C0">
        <w:t xml:space="preserve"> %)</w:t>
      </w:r>
    </w:p>
    <w:tbl>
      <w:tblPr>
        <w:tblStyle w:val="WTOTable1"/>
        <w:tblW w:w="5000" w:type="pct"/>
        <w:tblLook w:val="04A0" w:firstRow="1" w:lastRow="0" w:firstColumn="1" w:lastColumn="0" w:noHBand="0" w:noVBand="1"/>
      </w:tblPr>
      <w:tblGrid>
        <w:gridCol w:w="3663"/>
        <w:gridCol w:w="764"/>
        <w:gridCol w:w="764"/>
        <w:gridCol w:w="765"/>
        <w:gridCol w:w="765"/>
        <w:gridCol w:w="765"/>
        <w:gridCol w:w="765"/>
        <w:gridCol w:w="765"/>
      </w:tblGrid>
      <w:tr w:rsidR="004F64EF" w:rsidRPr="003003C0" w14:paraId="719553CE" w14:textId="77777777" w:rsidTr="00BE2A9F">
        <w:trPr>
          <w:cnfStyle w:val="100000000000" w:firstRow="1" w:lastRow="0" w:firstColumn="0" w:lastColumn="0" w:oddVBand="0" w:evenVBand="0" w:oddHBand="0" w:evenHBand="0" w:firstRowFirstColumn="0" w:firstRowLastColumn="0" w:lastRowFirstColumn="0" w:lastRowLastColumn="0"/>
          <w:trHeight w:val="240"/>
          <w:tblHeader/>
        </w:trPr>
        <w:tc>
          <w:tcPr>
            <w:tcW w:w="2032" w:type="pct"/>
            <w:noWrap/>
            <w:vAlign w:val="center"/>
            <w:hideMark/>
          </w:tcPr>
          <w:p w14:paraId="0B9DE3BC" w14:textId="77777777" w:rsidR="004F64EF" w:rsidRPr="003003C0" w:rsidRDefault="004F64EF" w:rsidP="00FD6B66">
            <w:pPr>
              <w:jc w:val="left"/>
              <w:rPr>
                <w:rFonts w:eastAsia="Times New Roman" w:cs="Arial"/>
                <w:color w:val="FFFFFF" w:themeColor="background1"/>
                <w:sz w:val="14"/>
                <w:szCs w:val="14"/>
                <w:lang w:eastAsia="en-GB"/>
              </w:rPr>
            </w:pPr>
            <w:r w:rsidRPr="003003C0">
              <w:rPr>
                <w:rFonts w:cs="Arial"/>
                <w:color w:val="FFFFFF" w:themeColor="background1"/>
                <w:sz w:val="14"/>
                <w:szCs w:val="14"/>
              </w:rPr>
              <w:t>Descrip</w:t>
            </w:r>
            <w:r>
              <w:rPr>
                <w:rFonts w:cs="Arial"/>
                <w:color w:val="FFFFFF" w:themeColor="background1"/>
                <w:sz w:val="14"/>
                <w:szCs w:val="14"/>
              </w:rPr>
              <w:t>tion</w:t>
            </w:r>
          </w:p>
        </w:tc>
        <w:tc>
          <w:tcPr>
            <w:tcW w:w="424" w:type="pct"/>
            <w:noWrap/>
            <w:vAlign w:val="center"/>
            <w:hideMark/>
          </w:tcPr>
          <w:p w14:paraId="4336672F" w14:textId="77777777" w:rsidR="004F64EF" w:rsidRPr="003003C0" w:rsidRDefault="004F64EF" w:rsidP="00FD6B66">
            <w:pPr>
              <w:ind w:right="57"/>
              <w:jc w:val="right"/>
              <w:rPr>
                <w:rFonts w:cs="Arial"/>
                <w:color w:val="FFFFFF" w:themeColor="background1"/>
                <w:sz w:val="14"/>
                <w:szCs w:val="14"/>
              </w:rPr>
            </w:pPr>
            <w:r w:rsidRPr="003003C0">
              <w:rPr>
                <w:rFonts w:cs="Arial"/>
                <w:color w:val="FFFFFF" w:themeColor="background1"/>
                <w:sz w:val="14"/>
                <w:szCs w:val="14"/>
              </w:rPr>
              <w:t>2015</w:t>
            </w:r>
          </w:p>
        </w:tc>
        <w:tc>
          <w:tcPr>
            <w:tcW w:w="424" w:type="pct"/>
            <w:noWrap/>
            <w:vAlign w:val="center"/>
            <w:hideMark/>
          </w:tcPr>
          <w:p w14:paraId="19213F48" w14:textId="77777777" w:rsidR="004F64EF" w:rsidRPr="003003C0" w:rsidRDefault="004F64EF" w:rsidP="00FD6B66">
            <w:pPr>
              <w:ind w:right="57"/>
              <w:jc w:val="right"/>
              <w:rPr>
                <w:rFonts w:cs="Arial"/>
                <w:color w:val="FFFFFF" w:themeColor="background1"/>
                <w:sz w:val="14"/>
                <w:szCs w:val="14"/>
              </w:rPr>
            </w:pPr>
            <w:r w:rsidRPr="003003C0">
              <w:rPr>
                <w:rFonts w:cs="Arial"/>
                <w:color w:val="FFFFFF" w:themeColor="background1"/>
                <w:sz w:val="14"/>
                <w:szCs w:val="14"/>
              </w:rPr>
              <w:t>2016</w:t>
            </w:r>
          </w:p>
        </w:tc>
        <w:tc>
          <w:tcPr>
            <w:tcW w:w="424" w:type="pct"/>
            <w:noWrap/>
            <w:vAlign w:val="center"/>
            <w:hideMark/>
          </w:tcPr>
          <w:p w14:paraId="2B857264" w14:textId="77777777" w:rsidR="004F64EF" w:rsidRPr="003003C0" w:rsidRDefault="004F64EF" w:rsidP="00FD6B66">
            <w:pPr>
              <w:ind w:right="57"/>
              <w:jc w:val="right"/>
              <w:rPr>
                <w:rFonts w:cs="Arial"/>
                <w:color w:val="FFFFFF" w:themeColor="background1"/>
                <w:sz w:val="14"/>
                <w:szCs w:val="14"/>
              </w:rPr>
            </w:pPr>
            <w:r w:rsidRPr="003003C0">
              <w:rPr>
                <w:rFonts w:cs="Arial"/>
                <w:color w:val="FFFFFF" w:themeColor="background1"/>
                <w:sz w:val="14"/>
                <w:szCs w:val="14"/>
              </w:rPr>
              <w:t>2017</w:t>
            </w:r>
          </w:p>
        </w:tc>
        <w:tc>
          <w:tcPr>
            <w:tcW w:w="424" w:type="pct"/>
            <w:noWrap/>
            <w:vAlign w:val="center"/>
            <w:hideMark/>
          </w:tcPr>
          <w:p w14:paraId="398239E0" w14:textId="77777777" w:rsidR="004F64EF" w:rsidRPr="003003C0" w:rsidRDefault="004F64EF" w:rsidP="00FD6B66">
            <w:pPr>
              <w:ind w:right="57"/>
              <w:jc w:val="right"/>
              <w:rPr>
                <w:rFonts w:cs="Arial"/>
                <w:color w:val="FFFFFF" w:themeColor="background1"/>
                <w:sz w:val="14"/>
                <w:szCs w:val="14"/>
              </w:rPr>
            </w:pPr>
            <w:r w:rsidRPr="003003C0">
              <w:rPr>
                <w:rFonts w:cs="Arial"/>
                <w:color w:val="FFFFFF" w:themeColor="background1"/>
                <w:sz w:val="14"/>
                <w:szCs w:val="14"/>
              </w:rPr>
              <w:t>2018</w:t>
            </w:r>
          </w:p>
        </w:tc>
        <w:tc>
          <w:tcPr>
            <w:tcW w:w="424" w:type="pct"/>
            <w:noWrap/>
            <w:vAlign w:val="center"/>
            <w:hideMark/>
          </w:tcPr>
          <w:p w14:paraId="53F30E28" w14:textId="77777777" w:rsidR="004F64EF" w:rsidRPr="003003C0" w:rsidRDefault="004F64EF" w:rsidP="00FD6B66">
            <w:pPr>
              <w:ind w:right="57"/>
              <w:jc w:val="right"/>
              <w:rPr>
                <w:rFonts w:cs="Arial"/>
                <w:color w:val="FFFFFF" w:themeColor="background1"/>
                <w:sz w:val="14"/>
                <w:szCs w:val="14"/>
              </w:rPr>
            </w:pPr>
            <w:r w:rsidRPr="003003C0">
              <w:rPr>
                <w:rFonts w:cs="Arial"/>
                <w:color w:val="FFFFFF" w:themeColor="background1"/>
                <w:sz w:val="14"/>
                <w:szCs w:val="14"/>
              </w:rPr>
              <w:t>2019</w:t>
            </w:r>
          </w:p>
        </w:tc>
        <w:tc>
          <w:tcPr>
            <w:tcW w:w="424" w:type="pct"/>
            <w:noWrap/>
            <w:vAlign w:val="center"/>
            <w:hideMark/>
          </w:tcPr>
          <w:p w14:paraId="2E72EED2" w14:textId="77777777" w:rsidR="004F64EF" w:rsidRPr="003003C0" w:rsidRDefault="004F64EF" w:rsidP="00FD6B66">
            <w:pPr>
              <w:ind w:right="57"/>
              <w:jc w:val="right"/>
              <w:rPr>
                <w:rFonts w:cs="Arial"/>
                <w:color w:val="FFFFFF" w:themeColor="background1"/>
                <w:sz w:val="14"/>
                <w:szCs w:val="14"/>
              </w:rPr>
            </w:pPr>
            <w:r w:rsidRPr="003003C0">
              <w:rPr>
                <w:rFonts w:cs="Arial"/>
                <w:color w:val="FFFFFF" w:themeColor="background1"/>
                <w:sz w:val="14"/>
                <w:szCs w:val="14"/>
              </w:rPr>
              <w:t>2020</w:t>
            </w:r>
          </w:p>
        </w:tc>
        <w:tc>
          <w:tcPr>
            <w:tcW w:w="424" w:type="pct"/>
            <w:noWrap/>
            <w:vAlign w:val="center"/>
            <w:hideMark/>
          </w:tcPr>
          <w:p w14:paraId="0A40C369" w14:textId="77777777" w:rsidR="004F64EF" w:rsidRPr="003003C0" w:rsidRDefault="004F64EF" w:rsidP="00FD6B66">
            <w:pPr>
              <w:ind w:right="57"/>
              <w:jc w:val="right"/>
              <w:rPr>
                <w:rFonts w:cs="Arial"/>
                <w:color w:val="FFFFFF" w:themeColor="background1"/>
                <w:sz w:val="14"/>
                <w:szCs w:val="14"/>
              </w:rPr>
            </w:pPr>
            <w:r w:rsidRPr="003003C0">
              <w:rPr>
                <w:rFonts w:cs="Arial"/>
                <w:color w:val="FFFFFF" w:themeColor="background1"/>
                <w:sz w:val="14"/>
                <w:szCs w:val="14"/>
              </w:rPr>
              <w:t>2021</w:t>
            </w:r>
          </w:p>
        </w:tc>
      </w:tr>
      <w:tr w:rsidR="004F64EF" w:rsidRPr="003003C0" w14:paraId="1ACDB823" w14:textId="77777777" w:rsidTr="00BE2A9F">
        <w:trPr>
          <w:trHeight w:val="20"/>
        </w:trPr>
        <w:tc>
          <w:tcPr>
            <w:tcW w:w="2032" w:type="pct"/>
            <w:noWrap/>
            <w:vAlign w:val="center"/>
            <w:hideMark/>
          </w:tcPr>
          <w:p w14:paraId="08BCFCAD" w14:textId="77777777" w:rsidR="004F64EF" w:rsidRPr="003003C0" w:rsidRDefault="004F64EF" w:rsidP="00FD6B66">
            <w:pPr>
              <w:jc w:val="left"/>
              <w:rPr>
                <w:rFonts w:cs="Arial"/>
                <w:b/>
                <w:bCs/>
                <w:color w:val="000000"/>
                <w:sz w:val="14"/>
                <w:szCs w:val="14"/>
              </w:rPr>
            </w:pPr>
          </w:p>
        </w:tc>
        <w:tc>
          <w:tcPr>
            <w:tcW w:w="2968" w:type="pct"/>
            <w:gridSpan w:val="7"/>
            <w:noWrap/>
            <w:vAlign w:val="center"/>
            <w:hideMark/>
          </w:tcPr>
          <w:p w14:paraId="55362F9F" w14:textId="77777777" w:rsidR="004F64EF" w:rsidRPr="003003C0" w:rsidRDefault="004F64EF" w:rsidP="00FD6B66">
            <w:pPr>
              <w:jc w:val="center"/>
              <w:rPr>
                <w:rFonts w:cs="Arial"/>
                <w:b/>
                <w:bCs/>
                <w:color w:val="000000"/>
                <w:sz w:val="14"/>
                <w:szCs w:val="14"/>
              </w:rPr>
            </w:pPr>
            <w:r w:rsidRPr="003003C0">
              <w:rPr>
                <w:rFonts w:cs="Arial"/>
                <w:b/>
                <w:bCs/>
                <w:color w:val="000000"/>
                <w:sz w:val="14"/>
                <w:szCs w:val="14"/>
              </w:rPr>
              <w:t>(USD</w:t>
            </w:r>
            <w:r>
              <w:rPr>
                <w:rFonts w:cs="Arial"/>
                <w:b/>
                <w:bCs/>
                <w:color w:val="000000"/>
                <w:sz w:val="14"/>
                <w:szCs w:val="14"/>
              </w:rPr>
              <w:t xml:space="preserve"> million</w:t>
            </w:r>
            <w:r w:rsidRPr="003003C0">
              <w:rPr>
                <w:rFonts w:cs="Arial"/>
                <w:b/>
                <w:bCs/>
                <w:color w:val="000000"/>
                <w:sz w:val="14"/>
                <w:szCs w:val="14"/>
              </w:rPr>
              <w:t>)</w:t>
            </w:r>
          </w:p>
        </w:tc>
      </w:tr>
      <w:tr w:rsidR="004F64EF" w:rsidRPr="003003C0" w14:paraId="1F098E27" w14:textId="77777777" w:rsidTr="00BE2A9F">
        <w:trPr>
          <w:cnfStyle w:val="000000010000" w:firstRow="0" w:lastRow="0" w:firstColumn="0" w:lastColumn="0" w:oddVBand="0" w:evenVBand="0" w:oddHBand="0" w:evenHBand="1" w:firstRowFirstColumn="0" w:firstRowLastColumn="0" w:lastRowFirstColumn="0" w:lastRowLastColumn="0"/>
          <w:trHeight w:val="20"/>
        </w:trPr>
        <w:tc>
          <w:tcPr>
            <w:tcW w:w="2032" w:type="pct"/>
            <w:noWrap/>
            <w:vAlign w:val="center"/>
            <w:hideMark/>
          </w:tcPr>
          <w:p w14:paraId="611DD43B" w14:textId="77777777" w:rsidR="004F64EF" w:rsidRPr="003003C0" w:rsidRDefault="004F64EF" w:rsidP="00FD6B66">
            <w:pPr>
              <w:jc w:val="left"/>
              <w:rPr>
                <w:rFonts w:cs="Arial"/>
                <w:color w:val="000000"/>
                <w:sz w:val="14"/>
                <w:szCs w:val="14"/>
              </w:rPr>
            </w:pPr>
            <w:r>
              <w:rPr>
                <w:rFonts w:cs="Arial"/>
                <w:color w:val="000000"/>
                <w:sz w:val="14"/>
                <w:szCs w:val="14"/>
              </w:rPr>
              <w:t>Exports of consumer goods and re-exports</w:t>
            </w:r>
          </w:p>
        </w:tc>
        <w:tc>
          <w:tcPr>
            <w:tcW w:w="424" w:type="pct"/>
            <w:noWrap/>
            <w:vAlign w:val="center"/>
            <w:hideMark/>
          </w:tcPr>
          <w:p w14:paraId="5063BA24" w14:textId="77777777" w:rsidR="004F64EF" w:rsidRPr="003003C0" w:rsidRDefault="004F64EF" w:rsidP="00FD6B66">
            <w:pPr>
              <w:jc w:val="right"/>
              <w:rPr>
                <w:rFonts w:cs="Arial"/>
                <w:color w:val="000000"/>
                <w:sz w:val="14"/>
                <w:szCs w:val="14"/>
              </w:rPr>
            </w:pPr>
            <w:r w:rsidRPr="003003C0">
              <w:rPr>
                <w:rFonts w:cs="Arial"/>
                <w:color w:val="000000"/>
                <w:sz w:val="14"/>
                <w:szCs w:val="14"/>
              </w:rPr>
              <w:t>3</w:t>
            </w:r>
            <w:r>
              <w:rPr>
                <w:rFonts w:cs="Arial"/>
                <w:color w:val="000000"/>
                <w:sz w:val="14"/>
                <w:szCs w:val="14"/>
              </w:rPr>
              <w:t>,</w:t>
            </w:r>
            <w:r w:rsidRPr="003003C0">
              <w:rPr>
                <w:rFonts w:cs="Arial"/>
                <w:color w:val="000000"/>
                <w:sz w:val="14"/>
                <w:szCs w:val="14"/>
              </w:rPr>
              <w:t>995</w:t>
            </w:r>
          </w:p>
        </w:tc>
        <w:tc>
          <w:tcPr>
            <w:tcW w:w="424" w:type="pct"/>
            <w:noWrap/>
            <w:vAlign w:val="center"/>
            <w:hideMark/>
          </w:tcPr>
          <w:p w14:paraId="1CE8E7B3" w14:textId="77777777" w:rsidR="004F64EF" w:rsidRPr="003003C0" w:rsidRDefault="004F64EF" w:rsidP="00FD6B66">
            <w:pPr>
              <w:jc w:val="right"/>
              <w:rPr>
                <w:rFonts w:cs="Arial"/>
                <w:color w:val="000000"/>
                <w:sz w:val="14"/>
                <w:szCs w:val="14"/>
              </w:rPr>
            </w:pPr>
            <w:r w:rsidRPr="003003C0">
              <w:rPr>
                <w:rFonts w:cs="Arial"/>
                <w:color w:val="000000"/>
                <w:sz w:val="14"/>
                <w:szCs w:val="14"/>
              </w:rPr>
              <w:t>4</w:t>
            </w:r>
            <w:r>
              <w:rPr>
                <w:rFonts w:cs="Arial"/>
                <w:color w:val="000000"/>
                <w:sz w:val="14"/>
                <w:szCs w:val="14"/>
              </w:rPr>
              <w:t>,</w:t>
            </w:r>
            <w:r w:rsidRPr="003003C0">
              <w:rPr>
                <w:rFonts w:cs="Arial"/>
                <w:color w:val="000000"/>
                <w:sz w:val="14"/>
                <w:szCs w:val="14"/>
              </w:rPr>
              <w:t>399</w:t>
            </w:r>
          </w:p>
        </w:tc>
        <w:tc>
          <w:tcPr>
            <w:tcW w:w="424" w:type="pct"/>
            <w:noWrap/>
            <w:vAlign w:val="center"/>
            <w:hideMark/>
          </w:tcPr>
          <w:p w14:paraId="2E0D71BB" w14:textId="77777777" w:rsidR="004F64EF" w:rsidRPr="003003C0" w:rsidRDefault="004F64EF" w:rsidP="00FD6B66">
            <w:pPr>
              <w:jc w:val="right"/>
              <w:rPr>
                <w:rFonts w:cs="Arial"/>
                <w:color w:val="000000"/>
                <w:sz w:val="14"/>
                <w:szCs w:val="14"/>
              </w:rPr>
            </w:pPr>
            <w:r w:rsidRPr="003003C0">
              <w:rPr>
                <w:rFonts w:cs="Arial"/>
                <w:color w:val="000000"/>
                <w:sz w:val="14"/>
                <w:szCs w:val="14"/>
              </w:rPr>
              <w:t>4</w:t>
            </w:r>
            <w:r>
              <w:rPr>
                <w:rFonts w:cs="Arial"/>
                <w:color w:val="000000"/>
                <w:sz w:val="14"/>
                <w:szCs w:val="14"/>
              </w:rPr>
              <w:t>,</w:t>
            </w:r>
            <w:r w:rsidRPr="003003C0">
              <w:rPr>
                <w:rFonts w:cs="Arial"/>
                <w:color w:val="000000"/>
                <w:sz w:val="14"/>
                <w:szCs w:val="14"/>
              </w:rPr>
              <w:t>442</w:t>
            </w:r>
          </w:p>
        </w:tc>
        <w:tc>
          <w:tcPr>
            <w:tcW w:w="424" w:type="pct"/>
            <w:noWrap/>
            <w:vAlign w:val="center"/>
            <w:hideMark/>
          </w:tcPr>
          <w:p w14:paraId="54D0D325" w14:textId="77777777" w:rsidR="004F64EF" w:rsidRPr="003003C0" w:rsidRDefault="004F64EF" w:rsidP="00FD6B66">
            <w:pPr>
              <w:jc w:val="right"/>
              <w:rPr>
                <w:rFonts w:cs="Arial"/>
                <w:color w:val="000000"/>
                <w:sz w:val="14"/>
                <w:szCs w:val="14"/>
              </w:rPr>
            </w:pPr>
            <w:r w:rsidRPr="003003C0">
              <w:rPr>
                <w:rFonts w:cs="Arial"/>
                <w:color w:val="000000"/>
                <w:sz w:val="14"/>
                <w:szCs w:val="14"/>
              </w:rPr>
              <w:t>4</w:t>
            </w:r>
            <w:r>
              <w:rPr>
                <w:rFonts w:cs="Arial"/>
                <w:color w:val="000000"/>
                <w:sz w:val="14"/>
                <w:szCs w:val="14"/>
              </w:rPr>
              <w:t>,</w:t>
            </w:r>
            <w:r w:rsidRPr="003003C0">
              <w:rPr>
                <w:rFonts w:cs="Arial"/>
                <w:color w:val="000000"/>
                <w:sz w:val="14"/>
                <w:szCs w:val="14"/>
              </w:rPr>
              <w:t>610</w:t>
            </w:r>
          </w:p>
        </w:tc>
        <w:tc>
          <w:tcPr>
            <w:tcW w:w="424" w:type="pct"/>
            <w:noWrap/>
            <w:vAlign w:val="center"/>
            <w:hideMark/>
          </w:tcPr>
          <w:p w14:paraId="6A4125D4" w14:textId="77777777" w:rsidR="004F64EF" w:rsidRPr="003003C0" w:rsidRDefault="004F64EF" w:rsidP="00FD6B66">
            <w:pPr>
              <w:jc w:val="right"/>
              <w:rPr>
                <w:rFonts w:cs="Arial"/>
                <w:color w:val="000000"/>
                <w:sz w:val="14"/>
                <w:szCs w:val="14"/>
              </w:rPr>
            </w:pPr>
            <w:r w:rsidRPr="003003C0">
              <w:rPr>
                <w:rFonts w:cs="Arial"/>
                <w:color w:val="000000"/>
                <w:sz w:val="14"/>
                <w:szCs w:val="14"/>
              </w:rPr>
              <w:t>4</w:t>
            </w:r>
            <w:r>
              <w:rPr>
                <w:rFonts w:cs="Arial"/>
                <w:color w:val="000000"/>
                <w:sz w:val="14"/>
                <w:szCs w:val="14"/>
              </w:rPr>
              <w:t>,</w:t>
            </w:r>
            <w:r w:rsidRPr="003003C0">
              <w:rPr>
                <w:rFonts w:cs="Arial"/>
                <w:color w:val="000000"/>
                <w:sz w:val="14"/>
                <w:szCs w:val="14"/>
              </w:rPr>
              <w:t>935</w:t>
            </w:r>
          </w:p>
        </w:tc>
        <w:tc>
          <w:tcPr>
            <w:tcW w:w="424" w:type="pct"/>
            <w:noWrap/>
            <w:vAlign w:val="center"/>
            <w:hideMark/>
          </w:tcPr>
          <w:p w14:paraId="60552BBA" w14:textId="77777777" w:rsidR="004F64EF" w:rsidRPr="003003C0" w:rsidRDefault="004F64EF" w:rsidP="00FD6B66">
            <w:pPr>
              <w:jc w:val="right"/>
              <w:rPr>
                <w:rFonts w:cs="Arial"/>
                <w:color w:val="000000"/>
                <w:sz w:val="14"/>
                <w:szCs w:val="14"/>
              </w:rPr>
            </w:pPr>
            <w:r w:rsidRPr="003003C0">
              <w:rPr>
                <w:rFonts w:cs="Arial"/>
                <w:color w:val="000000"/>
                <w:sz w:val="14"/>
                <w:szCs w:val="14"/>
              </w:rPr>
              <w:t>4</w:t>
            </w:r>
            <w:r>
              <w:rPr>
                <w:rFonts w:cs="Arial"/>
                <w:color w:val="000000"/>
                <w:sz w:val="14"/>
                <w:szCs w:val="14"/>
              </w:rPr>
              <w:t>,</w:t>
            </w:r>
            <w:r w:rsidRPr="003003C0">
              <w:rPr>
                <w:rFonts w:cs="Arial"/>
                <w:color w:val="000000"/>
                <w:sz w:val="14"/>
                <w:szCs w:val="14"/>
              </w:rPr>
              <w:t>025</w:t>
            </w:r>
          </w:p>
        </w:tc>
        <w:tc>
          <w:tcPr>
            <w:tcW w:w="424" w:type="pct"/>
            <w:noWrap/>
            <w:vAlign w:val="center"/>
            <w:hideMark/>
          </w:tcPr>
          <w:p w14:paraId="3E7B661F" w14:textId="77777777" w:rsidR="004F64EF" w:rsidRPr="003003C0" w:rsidRDefault="004F64EF" w:rsidP="00FD6B66">
            <w:pPr>
              <w:jc w:val="right"/>
              <w:rPr>
                <w:rFonts w:cs="Arial"/>
                <w:color w:val="000000"/>
                <w:sz w:val="14"/>
                <w:szCs w:val="14"/>
              </w:rPr>
            </w:pPr>
            <w:r w:rsidRPr="003003C0">
              <w:rPr>
                <w:rFonts w:cs="Arial"/>
                <w:color w:val="000000"/>
                <w:sz w:val="14"/>
                <w:szCs w:val="14"/>
              </w:rPr>
              <w:t>4</w:t>
            </w:r>
            <w:r>
              <w:rPr>
                <w:rFonts w:cs="Arial"/>
                <w:color w:val="000000"/>
                <w:sz w:val="14"/>
                <w:szCs w:val="14"/>
              </w:rPr>
              <w:t>,</w:t>
            </w:r>
            <w:r w:rsidRPr="003003C0">
              <w:rPr>
                <w:rFonts w:cs="Arial"/>
                <w:color w:val="000000"/>
                <w:sz w:val="14"/>
                <w:szCs w:val="14"/>
              </w:rPr>
              <w:t>688</w:t>
            </w:r>
          </w:p>
        </w:tc>
      </w:tr>
      <w:tr w:rsidR="004F64EF" w:rsidRPr="003003C0" w14:paraId="1A33AFF3" w14:textId="77777777" w:rsidTr="00BE2A9F">
        <w:trPr>
          <w:trHeight w:val="20"/>
        </w:trPr>
        <w:tc>
          <w:tcPr>
            <w:tcW w:w="2032" w:type="pct"/>
            <w:noWrap/>
            <w:vAlign w:val="center"/>
            <w:hideMark/>
          </w:tcPr>
          <w:p w14:paraId="4C9F2E4E" w14:textId="77777777" w:rsidR="004F64EF" w:rsidRPr="003003C0" w:rsidRDefault="004F64EF" w:rsidP="00FD6B66">
            <w:pPr>
              <w:jc w:val="left"/>
              <w:rPr>
                <w:rFonts w:cs="Arial"/>
                <w:color w:val="000000"/>
                <w:sz w:val="14"/>
                <w:szCs w:val="14"/>
              </w:rPr>
            </w:pPr>
          </w:p>
        </w:tc>
        <w:tc>
          <w:tcPr>
            <w:tcW w:w="2968" w:type="pct"/>
            <w:gridSpan w:val="7"/>
            <w:noWrap/>
            <w:vAlign w:val="center"/>
            <w:hideMark/>
          </w:tcPr>
          <w:p w14:paraId="11C052C3" w14:textId="77777777" w:rsidR="004F64EF" w:rsidRPr="003003C0" w:rsidRDefault="004F64EF" w:rsidP="00FD6B66">
            <w:pPr>
              <w:jc w:val="center"/>
              <w:rPr>
                <w:rFonts w:cs="Arial"/>
                <w:b/>
                <w:bCs/>
                <w:color w:val="000000"/>
                <w:sz w:val="14"/>
                <w:szCs w:val="14"/>
              </w:rPr>
            </w:pPr>
            <w:r w:rsidRPr="003003C0">
              <w:rPr>
                <w:rFonts w:cs="Arial"/>
                <w:b/>
                <w:bCs/>
                <w:color w:val="000000"/>
                <w:sz w:val="14"/>
                <w:szCs w:val="14"/>
              </w:rPr>
              <w:t xml:space="preserve">(% </w:t>
            </w:r>
            <w:r>
              <w:rPr>
                <w:rFonts w:cs="Arial"/>
                <w:b/>
                <w:bCs/>
                <w:color w:val="000000"/>
                <w:sz w:val="14"/>
                <w:szCs w:val="14"/>
              </w:rPr>
              <w:t>of exports of consumer goods and re-exports</w:t>
            </w:r>
            <w:r w:rsidRPr="003003C0">
              <w:rPr>
                <w:rFonts w:cs="Arial"/>
                <w:b/>
                <w:bCs/>
                <w:color w:val="000000"/>
                <w:sz w:val="14"/>
                <w:szCs w:val="14"/>
              </w:rPr>
              <w:t>)</w:t>
            </w:r>
          </w:p>
        </w:tc>
      </w:tr>
      <w:tr w:rsidR="004F64EF" w:rsidRPr="003003C0" w14:paraId="60DE8DD1" w14:textId="77777777" w:rsidTr="00BE2A9F">
        <w:trPr>
          <w:cnfStyle w:val="000000010000" w:firstRow="0" w:lastRow="0" w:firstColumn="0" w:lastColumn="0" w:oddVBand="0" w:evenVBand="0" w:oddHBand="0" w:evenHBand="1" w:firstRowFirstColumn="0" w:firstRowLastColumn="0" w:lastRowFirstColumn="0" w:lastRowLastColumn="0"/>
          <w:trHeight w:val="20"/>
        </w:trPr>
        <w:tc>
          <w:tcPr>
            <w:tcW w:w="2032" w:type="pct"/>
            <w:noWrap/>
            <w:vAlign w:val="center"/>
            <w:hideMark/>
          </w:tcPr>
          <w:p w14:paraId="4BF1BE17" w14:textId="77777777" w:rsidR="004F64EF" w:rsidRPr="003003C0" w:rsidRDefault="004F64EF" w:rsidP="00FD6B66">
            <w:pPr>
              <w:jc w:val="left"/>
              <w:rPr>
                <w:rFonts w:cs="Arial"/>
                <w:color w:val="000000"/>
                <w:sz w:val="14"/>
                <w:szCs w:val="14"/>
              </w:rPr>
            </w:pPr>
            <w:r w:rsidRPr="003003C0">
              <w:rPr>
                <w:rFonts w:cs="Arial"/>
                <w:color w:val="000000"/>
                <w:sz w:val="14"/>
                <w:szCs w:val="14"/>
              </w:rPr>
              <w:t>Am</w:t>
            </w:r>
            <w:r>
              <w:rPr>
                <w:rFonts w:cs="Arial"/>
                <w:color w:val="000000"/>
                <w:sz w:val="14"/>
                <w:szCs w:val="14"/>
              </w:rPr>
              <w:t>e</w:t>
            </w:r>
            <w:r w:rsidRPr="003003C0">
              <w:rPr>
                <w:rFonts w:cs="Arial"/>
                <w:color w:val="000000"/>
                <w:sz w:val="14"/>
                <w:szCs w:val="14"/>
              </w:rPr>
              <w:t>rica</w:t>
            </w:r>
          </w:p>
        </w:tc>
        <w:tc>
          <w:tcPr>
            <w:tcW w:w="424" w:type="pct"/>
            <w:noWrap/>
            <w:vAlign w:val="center"/>
            <w:hideMark/>
          </w:tcPr>
          <w:p w14:paraId="141656C5" w14:textId="77777777" w:rsidR="004F64EF" w:rsidRPr="003003C0" w:rsidRDefault="004F64EF" w:rsidP="00FD6B66">
            <w:pPr>
              <w:jc w:val="right"/>
              <w:rPr>
                <w:rFonts w:cs="Arial"/>
                <w:color w:val="000000"/>
                <w:sz w:val="14"/>
                <w:szCs w:val="14"/>
              </w:rPr>
            </w:pPr>
            <w:r w:rsidRPr="003003C0">
              <w:rPr>
                <w:rFonts w:cs="Arial"/>
                <w:color w:val="000000"/>
                <w:sz w:val="14"/>
                <w:szCs w:val="14"/>
              </w:rPr>
              <w:t>61</w:t>
            </w:r>
            <w:r>
              <w:rPr>
                <w:rFonts w:cs="Arial"/>
                <w:color w:val="000000"/>
                <w:sz w:val="14"/>
                <w:szCs w:val="14"/>
              </w:rPr>
              <w:t>.</w:t>
            </w:r>
            <w:r w:rsidRPr="003003C0">
              <w:rPr>
                <w:rFonts w:cs="Arial"/>
                <w:color w:val="000000"/>
                <w:sz w:val="14"/>
                <w:szCs w:val="14"/>
              </w:rPr>
              <w:t>8</w:t>
            </w:r>
          </w:p>
        </w:tc>
        <w:tc>
          <w:tcPr>
            <w:tcW w:w="424" w:type="pct"/>
            <w:noWrap/>
            <w:vAlign w:val="center"/>
            <w:hideMark/>
          </w:tcPr>
          <w:p w14:paraId="380B71F3" w14:textId="77777777" w:rsidR="004F64EF" w:rsidRPr="003003C0" w:rsidRDefault="004F64EF" w:rsidP="00FD6B66">
            <w:pPr>
              <w:jc w:val="right"/>
              <w:rPr>
                <w:rFonts w:cs="Arial"/>
                <w:color w:val="000000"/>
                <w:sz w:val="14"/>
                <w:szCs w:val="14"/>
              </w:rPr>
            </w:pPr>
            <w:r w:rsidRPr="003003C0">
              <w:rPr>
                <w:rFonts w:cs="Arial"/>
                <w:color w:val="000000"/>
                <w:sz w:val="14"/>
                <w:szCs w:val="14"/>
              </w:rPr>
              <w:t>55</w:t>
            </w:r>
            <w:r>
              <w:rPr>
                <w:rFonts w:cs="Arial"/>
                <w:color w:val="000000"/>
                <w:sz w:val="14"/>
                <w:szCs w:val="14"/>
              </w:rPr>
              <w:t>.</w:t>
            </w:r>
            <w:r w:rsidRPr="003003C0">
              <w:rPr>
                <w:rFonts w:cs="Arial"/>
                <w:color w:val="000000"/>
                <w:sz w:val="14"/>
                <w:szCs w:val="14"/>
              </w:rPr>
              <w:t>4</w:t>
            </w:r>
          </w:p>
        </w:tc>
        <w:tc>
          <w:tcPr>
            <w:tcW w:w="424" w:type="pct"/>
            <w:noWrap/>
            <w:vAlign w:val="center"/>
            <w:hideMark/>
          </w:tcPr>
          <w:p w14:paraId="2A1F3B77" w14:textId="77777777" w:rsidR="004F64EF" w:rsidRPr="003003C0" w:rsidRDefault="004F64EF" w:rsidP="00FD6B66">
            <w:pPr>
              <w:jc w:val="right"/>
              <w:rPr>
                <w:rFonts w:cs="Arial"/>
                <w:color w:val="000000"/>
                <w:sz w:val="14"/>
                <w:szCs w:val="14"/>
              </w:rPr>
            </w:pPr>
            <w:r w:rsidRPr="003003C0">
              <w:rPr>
                <w:rFonts w:cs="Arial"/>
                <w:color w:val="000000"/>
                <w:sz w:val="14"/>
                <w:szCs w:val="14"/>
              </w:rPr>
              <w:t>58</w:t>
            </w:r>
            <w:r>
              <w:rPr>
                <w:rFonts w:cs="Arial"/>
                <w:color w:val="000000"/>
                <w:sz w:val="14"/>
                <w:szCs w:val="14"/>
              </w:rPr>
              <w:t>.</w:t>
            </w:r>
            <w:r w:rsidRPr="003003C0">
              <w:rPr>
                <w:rFonts w:cs="Arial"/>
                <w:color w:val="000000"/>
                <w:sz w:val="14"/>
                <w:szCs w:val="14"/>
              </w:rPr>
              <w:t>8</w:t>
            </w:r>
          </w:p>
        </w:tc>
        <w:tc>
          <w:tcPr>
            <w:tcW w:w="424" w:type="pct"/>
            <w:noWrap/>
            <w:vAlign w:val="center"/>
            <w:hideMark/>
          </w:tcPr>
          <w:p w14:paraId="0B3902F3" w14:textId="77777777" w:rsidR="004F64EF" w:rsidRPr="003003C0" w:rsidRDefault="004F64EF" w:rsidP="00FD6B66">
            <w:pPr>
              <w:jc w:val="right"/>
              <w:rPr>
                <w:rFonts w:cs="Arial"/>
                <w:color w:val="000000"/>
                <w:sz w:val="14"/>
                <w:szCs w:val="14"/>
              </w:rPr>
            </w:pPr>
            <w:r w:rsidRPr="003003C0">
              <w:rPr>
                <w:rFonts w:cs="Arial"/>
                <w:color w:val="000000"/>
                <w:sz w:val="14"/>
                <w:szCs w:val="14"/>
              </w:rPr>
              <w:t>56</w:t>
            </w:r>
            <w:r>
              <w:rPr>
                <w:rFonts w:cs="Arial"/>
                <w:color w:val="000000"/>
                <w:sz w:val="14"/>
                <w:szCs w:val="14"/>
              </w:rPr>
              <w:t>.</w:t>
            </w:r>
            <w:r w:rsidRPr="003003C0">
              <w:rPr>
                <w:rFonts w:cs="Arial"/>
                <w:color w:val="000000"/>
                <w:sz w:val="14"/>
                <w:szCs w:val="14"/>
              </w:rPr>
              <w:t>0</w:t>
            </w:r>
          </w:p>
        </w:tc>
        <w:tc>
          <w:tcPr>
            <w:tcW w:w="424" w:type="pct"/>
            <w:noWrap/>
            <w:vAlign w:val="center"/>
            <w:hideMark/>
          </w:tcPr>
          <w:p w14:paraId="2532D907" w14:textId="77777777" w:rsidR="004F64EF" w:rsidRPr="003003C0" w:rsidRDefault="004F64EF" w:rsidP="00FD6B66">
            <w:pPr>
              <w:jc w:val="right"/>
              <w:rPr>
                <w:rFonts w:cs="Arial"/>
                <w:color w:val="000000"/>
                <w:sz w:val="14"/>
                <w:szCs w:val="14"/>
              </w:rPr>
            </w:pPr>
            <w:r w:rsidRPr="003003C0">
              <w:rPr>
                <w:rFonts w:cs="Arial"/>
                <w:color w:val="000000"/>
                <w:sz w:val="14"/>
                <w:szCs w:val="14"/>
              </w:rPr>
              <w:t>48</w:t>
            </w:r>
            <w:r>
              <w:rPr>
                <w:rFonts w:cs="Arial"/>
                <w:color w:val="000000"/>
                <w:sz w:val="14"/>
                <w:szCs w:val="14"/>
              </w:rPr>
              <w:t>.</w:t>
            </w:r>
            <w:r w:rsidRPr="003003C0">
              <w:rPr>
                <w:rFonts w:cs="Arial"/>
                <w:color w:val="000000"/>
                <w:sz w:val="14"/>
                <w:szCs w:val="14"/>
              </w:rPr>
              <w:t>9</w:t>
            </w:r>
          </w:p>
        </w:tc>
        <w:tc>
          <w:tcPr>
            <w:tcW w:w="424" w:type="pct"/>
            <w:noWrap/>
            <w:vAlign w:val="center"/>
            <w:hideMark/>
          </w:tcPr>
          <w:p w14:paraId="2ABCB697" w14:textId="77777777" w:rsidR="004F64EF" w:rsidRPr="003003C0" w:rsidRDefault="004F64EF" w:rsidP="00FD6B66">
            <w:pPr>
              <w:jc w:val="right"/>
              <w:rPr>
                <w:rFonts w:cs="Arial"/>
                <w:color w:val="000000"/>
                <w:sz w:val="14"/>
                <w:szCs w:val="14"/>
              </w:rPr>
            </w:pPr>
            <w:r w:rsidRPr="003003C0">
              <w:rPr>
                <w:rFonts w:cs="Arial"/>
                <w:color w:val="000000"/>
                <w:sz w:val="14"/>
                <w:szCs w:val="14"/>
              </w:rPr>
              <w:t>48</w:t>
            </w:r>
            <w:r>
              <w:rPr>
                <w:rFonts w:cs="Arial"/>
                <w:color w:val="000000"/>
                <w:sz w:val="14"/>
                <w:szCs w:val="14"/>
              </w:rPr>
              <w:t>.</w:t>
            </w:r>
            <w:r w:rsidRPr="003003C0">
              <w:rPr>
                <w:rFonts w:cs="Arial"/>
                <w:color w:val="000000"/>
                <w:sz w:val="14"/>
                <w:szCs w:val="14"/>
              </w:rPr>
              <w:t>2</w:t>
            </w:r>
          </w:p>
        </w:tc>
        <w:tc>
          <w:tcPr>
            <w:tcW w:w="424" w:type="pct"/>
            <w:noWrap/>
            <w:vAlign w:val="center"/>
            <w:hideMark/>
          </w:tcPr>
          <w:p w14:paraId="24B5788D" w14:textId="77777777" w:rsidR="004F64EF" w:rsidRPr="003003C0" w:rsidRDefault="004F64EF" w:rsidP="00FD6B66">
            <w:pPr>
              <w:jc w:val="right"/>
              <w:rPr>
                <w:rFonts w:cs="Arial"/>
                <w:color w:val="000000"/>
                <w:sz w:val="14"/>
                <w:szCs w:val="14"/>
              </w:rPr>
            </w:pPr>
            <w:r w:rsidRPr="003003C0">
              <w:rPr>
                <w:rFonts w:cs="Arial"/>
                <w:color w:val="000000"/>
                <w:sz w:val="14"/>
                <w:szCs w:val="14"/>
              </w:rPr>
              <w:t>44</w:t>
            </w:r>
            <w:r>
              <w:rPr>
                <w:rFonts w:cs="Arial"/>
                <w:color w:val="000000"/>
                <w:sz w:val="14"/>
                <w:szCs w:val="14"/>
              </w:rPr>
              <w:t>.</w:t>
            </w:r>
            <w:r w:rsidRPr="003003C0">
              <w:rPr>
                <w:rFonts w:cs="Arial"/>
                <w:color w:val="000000"/>
                <w:sz w:val="14"/>
                <w:szCs w:val="14"/>
              </w:rPr>
              <w:t>1</w:t>
            </w:r>
          </w:p>
        </w:tc>
      </w:tr>
      <w:tr w:rsidR="004F64EF" w:rsidRPr="003003C0" w14:paraId="01B979F4" w14:textId="77777777" w:rsidTr="00BE2A9F">
        <w:trPr>
          <w:trHeight w:val="20"/>
        </w:trPr>
        <w:tc>
          <w:tcPr>
            <w:tcW w:w="2032" w:type="pct"/>
            <w:noWrap/>
            <w:vAlign w:val="center"/>
            <w:hideMark/>
          </w:tcPr>
          <w:p w14:paraId="54F36789" w14:textId="77777777" w:rsidR="004F64EF" w:rsidRPr="003003C0" w:rsidRDefault="004F64EF" w:rsidP="00FD6B66">
            <w:pPr>
              <w:tabs>
                <w:tab w:val="left" w:pos="113"/>
              </w:tabs>
              <w:jc w:val="left"/>
              <w:rPr>
                <w:rFonts w:cs="Arial"/>
                <w:color w:val="000000"/>
                <w:sz w:val="14"/>
                <w:szCs w:val="14"/>
              </w:rPr>
            </w:pPr>
            <w:r w:rsidRPr="003003C0">
              <w:rPr>
                <w:rFonts w:cs="Arial"/>
                <w:color w:val="000000"/>
                <w:sz w:val="14"/>
                <w:szCs w:val="14"/>
              </w:rPr>
              <w:tab/>
            </w:r>
            <w:r>
              <w:rPr>
                <w:rFonts w:cs="Arial"/>
                <w:color w:val="000000"/>
                <w:sz w:val="14"/>
                <w:szCs w:val="14"/>
              </w:rPr>
              <w:t>United States</w:t>
            </w:r>
          </w:p>
        </w:tc>
        <w:tc>
          <w:tcPr>
            <w:tcW w:w="424" w:type="pct"/>
            <w:noWrap/>
            <w:vAlign w:val="center"/>
            <w:hideMark/>
          </w:tcPr>
          <w:p w14:paraId="18D7E018" w14:textId="77777777" w:rsidR="004F64EF" w:rsidRPr="003003C0" w:rsidRDefault="004F64EF" w:rsidP="00FD6B66">
            <w:pPr>
              <w:jc w:val="right"/>
              <w:rPr>
                <w:rFonts w:cs="Arial"/>
                <w:color w:val="000000"/>
                <w:sz w:val="14"/>
                <w:szCs w:val="14"/>
              </w:rPr>
            </w:pPr>
            <w:r w:rsidRPr="003003C0">
              <w:rPr>
                <w:rFonts w:cs="Arial"/>
                <w:color w:val="000000"/>
                <w:sz w:val="14"/>
                <w:szCs w:val="14"/>
              </w:rPr>
              <w:t>15</w:t>
            </w:r>
            <w:r>
              <w:rPr>
                <w:rFonts w:cs="Arial"/>
                <w:color w:val="000000"/>
                <w:sz w:val="14"/>
                <w:szCs w:val="14"/>
              </w:rPr>
              <w:t>.</w:t>
            </w:r>
            <w:r w:rsidRPr="003003C0">
              <w:rPr>
                <w:rFonts w:cs="Arial"/>
                <w:color w:val="000000"/>
                <w:sz w:val="14"/>
                <w:szCs w:val="14"/>
              </w:rPr>
              <w:t>6</w:t>
            </w:r>
          </w:p>
        </w:tc>
        <w:tc>
          <w:tcPr>
            <w:tcW w:w="424" w:type="pct"/>
            <w:noWrap/>
            <w:vAlign w:val="center"/>
            <w:hideMark/>
          </w:tcPr>
          <w:p w14:paraId="2CBCACB8" w14:textId="77777777" w:rsidR="004F64EF" w:rsidRPr="003003C0" w:rsidRDefault="004F64EF" w:rsidP="00FD6B66">
            <w:pPr>
              <w:jc w:val="right"/>
              <w:rPr>
                <w:rFonts w:cs="Arial"/>
                <w:color w:val="000000"/>
                <w:sz w:val="14"/>
                <w:szCs w:val="14"/>
              </w:rPr>
            </w:pPr>
            <w:r w:rsidRPr="003003C0">
              <w:rPr>
                <w:rFonts w:cs="Arial"/>
                <w:color w:val="000000"/>
                <w:sz w:val="14"/>
                <w:szCs w:val="14"/>
              </w:rPr>
              <w:t>12</w:t>
            </w:r>
            <w:r>
              <w:rPr>
                <w:rFonts w:cs="Arial"/>
                <w:color w:val="000000"/>
                <w:sz w:val="14"/>
                <w:szCs w:val="14"/>
              </w:rPr>
              <w:t>.</w:t>
            </w:r>
            <w:r w:rsidRPr="003003C0">
              <w:rPr>
                <w:rFonts w:cs="Arial"/>
                <w:color w:val="000000"/>
                <w:sz w:val="14"/>
                <w:szCs w:val="14"/>
              </w:rPr>
              <w:t>7</w:t>
            </w:r>
          </w:p>
        </w:tc>
        <w:tc>
          <w:tcPr>
            <w:tcW w:w="424" w:type="pct"/>
            <w:noWrap/>
            <w:vAlign w:val="center"/>
            <w:hideMark/>
          </w:tcPr>
          <w:p w14:paraId="5D3AEAEE" w14:textId="77777777" w:rsidR="004F64EF" w:rsidRPr="003003C0" w:rsidRDefault="004F64EF" w:rsidP="00FD6B66">
            <w:pPr>
              <w:jc w:val="right"/>
              <w:rPr>
                <w:rFonts w:cs="Arial"/>
                <w:color w:val="000000"/>
                <w:sz w:val="14"/>
                <w:szCs w:val="14"/>
              </w:rPr>
            </w:pPr>
            <w:r w:rsidRPr="003003C0">
              <w:rPr>
                <w:rFonts w:cs="Arial"/>
                <w:color w:val="000000"/>
                <w:sz w:val="14"/>
                <w:szCs w:val="14"/>
              </w:rPr>
              <w:t>14</w:t>
            </w:r>
            <w:r>
              <w:rPr>
                <w:rFonts w:cs="Arial"/>
                <w:color w:val="000000"/>
                <w:sz w:val="14"/>
                <w:szCs w:val="14"/>
              </w:rPr>
              <w:t>.</w:t>
            </w:r>
            <w:r w:rsidRPr="003003C0">
              <w:rPr>
                <w:rFonts w:cs="Arial"/>
                <w:color w:val="000000"/>
                <w:sz w:val="14"/>
                <w:szCs w:val="14"/>
              </w:rPr>
              <w:t>9</w:t>
            </w:r>
          </w:p>
        </w:tc>
        <w:tc>
          <w:tcPr>
            <w:tcW w:w="424" w:type="pct"/>
            <w:noWrap/>
            <w:vAlign w:val="center"/>
            <w:hideMark/>
          </w:tcPr>
          <w:p w14:paraId="38538F5E" w14:textId="77777777" w:rsidR="004F64EF" w:rsidRPr="003003C0" w:rsidRDefault="004F64EF" w:rsidP="00FD6B66">
            <w:pPr>
              <w:jc w:val="right"/>
              <w:rPr>
                <w:rFonts w:cs="Arial"/>
                <w:color w:val="000000"/>
                <w:sz w:val="14"/>
                <w:szCs w:val="14"/>
              </w:rPr>
            </w:pPr>
            <w:r w:rsidRPr="003003C0">
              <w:rPr>
                <w:rFonts w:cs="Arial"/>
                <w:color w:val="000000"/>
                <w:sz w:val="14"/>
                <w:szCs w:val="14"/>
              </w:rPr>
              <w:t>16</w:t>
            </w:r>
            <w:r>
              <w:rPr>
                <w:rFonts w:cs="Arial"/>
                <w:color w:val="000000"/>
                <w:sz w:val="14"/>
                <w:szCs w:val="14"/>
              </w:rPr>
              <w:t>.</w:t>
            </w:r>
            <w:r w:rsidRPr="003003C0">
              <w:rPr>
                <w:rFonts w:cs="Arial"/>
                <w:color w:val="000000"/>
                <w:sz w:val="14"/>
                <w:szCs w:val="14"/>
              </w:rPr>
              <w:t>1</w:t>
            </w:r>
          </w:p>
        </w:tc>
        <w:tc>
          <w:tcPr>
            <w:tcW w:w="424" w:type="pct"/>
            <w:noWrap/>
            <w:vAlign w:val="center"/>
            <w:hideMark/>
          </w:tcPr>
          <w:p w14:paraId="78AFD9FE" w14:textId="77777777" w:rsidR="004F64EF" w:rsidRPr="003003C0" w:rsidRDefault="004F64EF" w:rsidP="00FD6B66">
            <w:pPr>
              <w:jc w:val="right"/>
              <w:rPr>
                <w:rFonts w:cs="Arial"/>
                <w:color w:val="000000"/>
                <w:sz w:val="14"/>
                <w:szCs w:val="14"/>
              </w:rPr>
            </w:pPr>
            <w:r w:rsidRPr="003003C0">
              <w:rPr>
                <w:rFonts w:cs="Arial"/>
                <w:color w:val="000000"/>
                <w:sz w:val="14"/>
                <w:szCs w:val="14"/>
              </w:rPr>
              <w:t>17</w:t>
            </w:r>
            <w:r>
              <w:rPr>
                <w:rFonts w:cs="Arial"/>
                <w:color w:val="000000"/>
                <w:sz w:val="14"/>
                <w:szCs w:val="14"/>
              </w:rPr>
              <w:t>.</w:t>
            </w:r>
            <w:r w:rsidRPr="003003C0">
              <w:rPr>
                <w:rFonts w:cs="Arial"/>
                <w:color w:val="000000"/>
                <w:sz w:val="14"/>
                <w:szCs w:val="14"/>
              </w:rPr>
              <w:t>6</w:t>
            </w:r>
          </w:p>
        </w:tc>
        <w:tc>
          <w:tcPr>
            <w:tcW w:w="424" w:type="pct"/>
            <w:noWrap/>
            <w:vAlign w:val="center"/>
            <w:hideMark/>
          </w:tcPr>
          <w:p w14:paraId="0D4AE51B" w14:textId="77777777" w:rsidR="004F64EF" w:rsidRPr="003003C0" w:rsidRDefault="004F64EF" w:rsidP="00FD6B66">
            <w:pPr>
              <w:jc w:val="right"/>
              <w:rPr>
                <w:rFonts w:cs="Arial"/>
                <w:color w:val="000000"/>
                <w:sz w:val="14"/>
                <w:szCs w:val="14"/>
              </w:rPr>
            </w:pPr>
            <w:r w:rsidRPr="003003C0">
              <w:rPr>
                <w:rFonts w:cs="Arial"/>
                <w:color w:val="000000"/>
                <w:sz w:val="14"/>
                <w:szCs w:val="14"/>
              </w:rPr>
              <w:t>19</w:t>
            </w:r>
            <w:r>
              <w:rPr>
                <w:rFonts w:cs="Arial"/>
                <w:color w:val="000000"/>
                <w:sz w:val="14"/>
                <w:szCs w:val="14"/>
              </w:rPr>
              <w:t>.</w:t>
            </w:r>
            <w:r w:rsidRPr="003003C0">
              <w:rPr>
                <w:rFonts w:cs="Arial"/>
                <w:color w:val="000000"/>
                <w:sz w:val="14"/>
                <w:szCs w:val="14"/>
              </w:rPr>
              <w:t>1</w:t>
            </w:r>
          </w:p>
        </w:tc>
        <w:tc>
          <w:tcPr>
            <w:tcW w:w="424" w:type="pct"/>
            <w:noWrap/>
            <w:vAlign w:val="center"/>
            <w:hideMark/>
          </w:tcPr>
          <w:p w14:paraId="0D43EBCB" w14:textId="77777777" w:rsidR="004F64EF" w:rsidRPr="003003C0" w:rsidRDefault="004F64EF" w:rsidP="00FD6B66">
            <w:pPr>
              <w:jc w:val="right"/>
              <w:rPr>
                <w:rFonts w:cs="Arial"/>
                <w:color w:val="000000"/>
                <w:sz w:val="14"/>
                <w:szCs w:val="14"/>
              </w:rPr>
            </w:pPr>
            <w:r w:rsidRPr="003003C0">
              <w:rPr>
                <w:rFonts w:cs="Arial"/>
                <w:color w:val="000000"/>
                <w:sz w:val="14"/>
                <w:szCs w:val="14"/>
              </w:rPr>
              <w:t>20</w:t>
            </w:r>
            <w:r>
              <w:rPr>
                <w:rFonts w:cs="Arial"/>
                <w:color w:val="000000"/>
                <w:sz w:val="14"/>
                <w:szCs w:val="14"/>
              </w:rPr>
              <w:t>.</w:t>
            </w:r>
            <w:r w:rsidRPr="003003C0">
              <w:rPr>
                <w:rFonts w:cs="Arial"/>
                <w:color w:val="000000"/>
                <w:sz w:val="14"/>
                <w:szCs w:val="14"/>
              </w:rPr>
              <w:t>5</w:t>
            </w:r>
          </w:p>
        </w:tc>
      </w:tr>
      <w:tr w:rsidR="004F64EF" w:rsidRPr="003003C0" w14:paraId="0EC7B6D5" w14:textId="77777777" w:rsidTr="00BE2A9F">
        <w:trPr>
          <w:cnfStyle w:val="000000010000" w:firstRow="0" w:lastRow="0" w:firstColumn="0" w:lastColumn="0" w:oddVBand="0" w:evenVBand="0" w:oddHBand="0" w:evenHBand="1" w:firstRowFirstColumn="0" w:firstRowLastColumn="0" w:lastRowFirstColumn="0" w:lastRowLastColumn="0"/>
          <w:trHeight w:val="20"/>
        </w:trPr>
        <w:tc>
          <w:tcPr>
            <w:tcW w:w="2032" w:type="pct"/>
            <w:noWrap/>
            <w:vAlign w:val="center"/>
            <w:hideMark/>
          </w:tcPr>
          <w:p w14:paraId="438849C0" w14:textId="77777777" w:rsidR="004F64EF" w:rsidRPr="003003C0" w:rsidRDefault="004F64EF" w:rsidP="00FD6B66">
            <w:pPr>
              <w:tabs>
                <w:tab w:val="left" w:pos="113"/>
              </w:tabs>
              <w:jc w:val="left"/>
              <w:rPr>
                <w:rFonts w:cs="Arial"/>
                <w:color w:val="000000"/>
                <w:sz w:val="14"/>
                <w:szCs w:val="14"/>
              </w:rPr>
            </w:pPr>
            <w:r w:rsidRPr="003003C0">
              <w:rPr>
                <w:rFonts w:cs="Arial"/>
                <w:color w:val="000000"/>
                <w:sz w:val="14"/>
                <w:szCs w:val="14"/>
              </w:rPr>
              <w:tab/>
            </w:r>
            <w:r>
              <w:rPr>
                <w:rFonts w:cs="Arial"/>
                <w:color w:val="000000"/>
                <w:sz w:val="14"/>
                <w:szCs w:val="14"/>
              </w:rPr>
              <w:t>Other</w:t>
            </w:r>
            <w:r w:rsidRPr="003003C0">
              <w:rPr>
                <w:rFonts w:cs="Arial"/>
                <w:color w:val="000000"/>
                <w:sz w:val="14"/>
                <w:szCs w:val="14"/>
              </w:rPr>
              <w:t xml:space="preserve"> Am</w:t>
            </w:r>
            <w:r>
              <w:rPr>
                <w:rFonts w:cs="Arial"/>
                <w:color w:val="000000"/>
                <w:sz w:val="14"/>
                <w:szCs w:val="14"/>
              </w:rPr>
              <w:t>e</w:t>
            </w:r>
            <w:r w:rsidRPr="003003C0">
              <w:rPr>
                <w:rFonts w:cs="Arial"/>
                <w:color w:val="000000"/>
                <w:sz w:val="14"/>
                <w:szCs w:val="14"/>
              </w:rPr>
              <w:t>rica</w:t>
            </w:r>
          </w:p>
        </w:tc>
        <w:tc>
          <w:tcPr>
            <w:tcW w:w="424" w:type="pct"/>
            <w:noWrap/>
            <w:vAlign w:val="center"/>
            <w:hideMark/>
          </w:tcPr>
          <w:p w14:paraId="5E8228DC" w14:textId="77777777" w:rsidR="004F64EF" w:rsidRPr="003003C0" w:rsidRDefault="004F64EF" w:rsidP="00FD6B66">
            <w:pPr>
              <w:jc w:val="right"/>
              <w:rPr>
                <w:rFonts w:cs="Arial"/>
                <w:color w:val="000000"/>
                <w:sz w:val="14"/>
                <w:szCs w:val="14"/>
              </w:rPr>
            </w:pPr>
            <w:r w:rsidRPr="003003C0">
              <w:rPr>
                <w:rFonts w:cs="Arial"/>
                <w:color w:val="000000"/>
                <w:sz w:val="14"/>
                <w:szCs w:val="14"/>
              </w:rPr>
              <w:t>46</w:t>
            </w:r>
            <w:r>
              <w:rPr>
                <w:rFonts w:cs="Arial"/>
                <w:color w:val="000000"/>
                <w:sz w:val="14"/>
                <w:szCs w:val="14"/>
              </w:rPr>
              <w:t>.</w:t>
            </w:r>
            <w:r w:rsidRPr="003003C0">
              <w:rPr>
                <w:rFonts w:cs="Arial"/>
                <w:color w:val="000000"/>
                <w:sz w:val="14"/>
                <w:szCs w:val="14"/>
              </w:rPr>
              <w:t>1</w:t>
            </w:r>
          </w:p>
        </w:tc>
        <w:tc>
          <w:tcPr>
            <w:tcW w:w="424" w:type="pct"/>
            <w:noWrap/>
            <w:vAlign w:val="center"/>
            <w:hideMark/>
          </w:tcPr>
          <w:p w14:paraId="42667629" w14:textId="77777777" w:rsidR="004F64EF" w:rsidRPr="003003C0" w:rsidRDefault="004F64EF" w:rsidP="00FD6B66">
            <w:pPr>
              <w:jc w:val="right"/>
              <w:rPr>
                <w:rFonts w:cs="Arial"/>
                <w:color w:val="000000"/>
                <w:sz w:val="14"/>
                <w:szCs w:val="14"/>
              </w:rPr>
            </w:pPr>
            <w:r w:rsidRPr="003003C0">
              <w:rPr>
                <w:rFonts w:cs="Arial"/>
                <w:color w:val="000000"/>
                <w:sz w:val="14"/>
                <w:szCs w:val="14"/>
              </w:rPr>
              <w:t>42</w:t>
            </w:r>
            <w:r>
              <w:rPr>
                <w:rFonts w:cs="Arial"/>
                <w:color w:val="000000"/>
                <w:sz w:val="14"/>
                <w:szCs w:val="14"/>
              </w:rPr>
              <w:t>.</w:t>
            </w:r>
            <w:r w:rsidRPr="003003C0">
              <w:rPr>
                <w:rFonts w:cs="Arial"/>
                <w:color w:val="000000"/>
                <w:sz w:val="14"/>
                <w:szCs w:val="14"/>
              </w:rPr>
              <w:t>6</w:t>
            </w:r>
          </w:p>
        </w:tc>
        <w:tc>
          <w:tcPr>
            <w:tcW w:w="424" w:type="pct"/>
            <w:noWrap/>
            <w:vAlign w:val="center"/>
            <w:hideMark/>
          </w:tcPr>
          <w:p w14:paraId="6FCFCE7F" w14:textId="77777777" w:rsidR="004F64EF" w:rsidRPr="003003C0" w:rsidRDefault="004F64EF" w:rsidP="00FD6B66">
            <w:pPr>
              <w:jc w:val="right"/>
              <w:rPr>
                <w:rFonts w:cs="Arial"/>
                <w:color w:val="000000"/>
                <w:sz w:val="14"/>
                <w:szCs w:val="14"/>
              </w:rPr>
            </w:pPr>
            <w:r w:rsidRPr="003003C0">
              <w:rPr>
                <w:rFonts w:cs="Arial"/>
                <w:color w:val="000000"/>
                <w:sz w:val="14"/>
                <w:szCs w:val="14"/>
              </w:rPr>
              <w:t>44</w:t>
            </w:r>
            <w:r>
              <w:rPr>
                <w:rFonts w:cs="Arial"/>
                <w:color w:val="000000"/>
                <w:sz w:val="14"/>
                <w:szCs w:val="14"/>
              </w:rPr>
              <w:t>.</w:t>
            </w:r>
            <w:r w:rsidRPr="003003C0">
              <w:rPr>
                <w:rFonts w:cs="Arial"/>
                <w:color w:val="000000"/>
                <w:sz w:val="14"/>
                <w:szCs w:val="14"/>
              </w:rPr>
              <w:t>0</w:t>
            </w:r>
          </w:p>
        </w:tc>
        <w:tc>
          <w:tcPr>
            <w:tcW w:w="424" w:type="pct"/>
            <w:noWrap/>
            <w:vAlign w:val="center"/>
            <w:hideMark/>
          </w:tcPr>
          <w:p w14:paraId="1231C28B" w14:textId="77777777" w:rsidR="004F64EF" w:rsidRPr="003003C0" w:rsidRDefault="004F64EF" w:rsidP="00FD6B66">
            <w:pPr>
              <w:jc w:val="right"/>
              <w:rPr>
                <w:rFonts w:cs="Arial"/>
                <w:color w:val="000000"/>
                <w:sz w:val="14"/>
                <w:szCs w:val="14"/>
              </w:rPr>
            </w:pPr>
            <w:r w:rsidRPr="003003C0">
              <w:rPr>
                <w:rFonts w:cs="Arial"/>
                <w:color w:val="000000"/>
                <w:sz w:val="14"/>
                <w:szCs w:val="14"/>
              </w:rPr>
              <w:t>39</w:t>
            </w:r>
            <w:r>
              <w:rPr>
                <w:rFonts w:cs="Arial"/>
                <w:color w:val="000000"/>
                <w:sz w:val="14"/>
                <w:szCs w:val="14"/>
              </w:rPr>
              <w:t>.</w:t>
            </w:r>
            <w:r w:rsidRPr="003003C0">
              <w:rPr>
                <w:rFonts w:cs="Arial"/>
                <w:color w:val="000000"/>
                <w:sz w:val="14"/>
                <w:szCs w:val="14"/>
              </w:rPr>
              <w:t>9</w:t>
            </w:r>
          </w:p>
        </w:tc>
        <w:tc>
          <w:tcPr>
            <w:tcW w:w="424" w:type="pct"/>
            <w:noWrap/>
            <w:vAlign w:val="center"/>
            <w:hideMark/>
          </w:tcPr>
          <w:p w14:paraId="1A011143" w14:textId="77777777" w:rsidR="004F64EF" w:rsidRPr="003003C0" w:rsidRDefault="004F64EF" w:rsidP="00FD6B66">
            <w:pPr>
              <w:jc w:val="right"/>
              <w:rPr>
                <w:rFonts w:cs="Arial"/>
                <w:color w:val="000000"/>
                <w:sz w:val="14"/>
                <w:szCs w:val="14"/>
              </w:rPr>
            </w:pPr>
            <w:r w:rsidRPr="003003C0">
              <w:rPr>
                <w:rFonts w:cs="Arial"/>
                <w:color w:val="000000"/>
                <w:sz w:val="14"/>
                <w:szCs w:val="14"/>
              </w:rPr>
              <w:t>31</w:t>
            </w:r>
            <w:r>
              <w:rPr>
                <w:rFonts w:cs="Arial"/>
                <w:color w:val="000000"/>
                <w:sz w:val="14"/>
                <w:szCs w:val="14"/>
              </w:rPr>
              <w:t>.</w:t>
            </w:r>
            <w:r w:rsidRPr="003003C0">
              <w:rPr>
                <w:rFonts w:cs="Arial"/>
                <w:color w:val="000000"/>
                <w:sz w:val="14"/>
                <w:szCs w:val="14"/>
              </w:rPr>
              <w:t>3</w:t>
            </w:r>
          </w:p>
        </w:tc>
        <w:tc>
          <w:tcPr>
            <w:tcW w:w="424" w:type="pct"/>
            <w:noWrap/>
            <w:vAlign w:val="center"/>
            <w:hideMark/>
          </w:tcPr>
          <w:p w14:paraId="35FFE4BF" w14:textId="77777777" w:rsidR="004F64EF" w:rsidRPr="003003C0" w:rsidRDefault="004F64EF" w:rsidP="00FD6B66">
            <w:pPr>
              <w:jc w:val="right"/>
              <w:rPr>
                <w:rFonts w:cs="Arial"/>
                <w:color w:val="000000"/>
                <w:sz w:val="14"/>
                <w:szCs w:val="14"/>
              </w:rPr>
            </w:pPr>
            <w:r w:rsidRPr="003003C0">
              <w:rPr>
                <w:rFonts w:cs="Arial"/>
                <w:color w:val="000000"/>
                <w:sz w:val="14"/>
                <w:szCs w:val="14"/>
              </w:rPr>
              <w:t>29</w:t>
            </w:r>
            <w:r>
              <w:rPr>
                <w:rFonts w:cs="Arial"/>
                <w:color w:val="000000"/>
                <w:sz w:val="14"/>
                <w:szCs w:val="14"/>
              </w:rPr>
              <w:t>.</w:t>
            </w:r>
            <w:r w:rsidRPr="003003C0">
              <w:rPr>
                <w:rFonts w:cs="Arial"/>
                <w:color w:val="000000"/>
                <w:sz w:val="14"/>
                <w:szCs w:val="14"/>
              </w:rPr>
              <w:t>1</w:t>
            </w:r>
          </w:p>
        </w:tc>
        <w:tc>
          <w:tcPr>
            <w:tcW w:w="424" w:type="pct"/>
            <w:noWrap/>
            <w:vAlign w:val="center"/>
            <w:hideMark/>
          </w:tcPr>
          <w:p w14:paraId="34F75013" w14:textId="77777777" w:rsidR="004F64EF" w:rsidRPr="003003C0" w:rsidRDefault="004F64EF" w:rsidP="00FD6B66">
            <w:pPr>
              <w:jc w:val="right"/>
              <w:rPr>
                <w:rFonts w:cs="Arial"/>
                <w:color w:val="000000"/>
                <w:sz w:val="14"/>
                <w:szCs w:val="14"/>
              </w:rPr>
            </w:pPr>
            <w:r w:rsidRPr="003003C0">
              <w:rPr>
                <w:rFonts w:cs="Arial"/>
                <w:color w:val="000000"/>
                <w:sz w:val="14"/>
                <w:szCs w:val="14"/>
              </w:rPr>
              <w:t>23</w:t>
            </w:r>
            <w:r>
              <w:rPr>
                <w:rFonts w:cs="Arial"/>
                <w:color w:val="000000"/>
                <w:sz w:val="14"/>
                <w:szCs w:val="14"/>
              </w:rPr>
              <w:t>.</w:t>
            </w:r>
            <w:r w:rsidRPr="003003C0">
              <w:rPr>
                <w:rFonts w:cs="Arial"/>
                <w:color w:val="000000"/>
                <w:sz w:val="14"/>
                <w:szCs w:val="14"/>
              </w:rPr>
              <w:t>6</w:t>
            </w:r>
          </w:p>
        </w:tc>
      </w:tr>
      <w:tr w:rsidR="004F64EF" w:rsidRPr="003003C0" w14:paraId="3EDB3E82" w14:textId="77777777" w:rsidTr="00BE2A9F">
        <w:trPr>
          <w:trHeight w:val="20"/>
        </w:trPr>
        <w:tc>
          <w:tcPr>
            <w:tcW w:w="2032" w:type="pct"/>
            <w:noWrap/>
            <w:vAlign w:val="center"/>
            <w:hideMark/>
          </w:tcPr>
          <w:p w14:paraId="1EBDB943" w14:textId="77777777" w:rsidR="004F64EF" w:rsidRPr="003003C0" w:rsidRDefault="004F64EF" w:rsidP="00FD6B66">
            <w:pPr>
              <w:tabs>
                <w:tab w:val="left" w:pos="510"/>
              </w:tabs>
              <w:jc w:val="left"/>
              <w:rPr>
                <w:rFonts w:cs="Arial"/>
                <w:color w:val="000000"/>
                <w:sz w:val="14"/>
                <w:szCs w:val="14"/>
              </w:rPr>
            </w:pPr>
            <w:r w:rsidRPr="003003C0">
              <w:rPr>
                <w:rFonts w:cs="Arial"/>
                <w:color w:val="000000"/>
                <w:sz w:val="14"/>
                <w:szCs w:val="14"/>
              </w:rPr>
              <w:tab/>
              <w:t>Hait</w:t>
            </w:r>
            <w:r>
              <w:rPr>
                <w:rFonts w:cs="Arial"/>
                <w:color w:val="000000"/>
                <w:sz w:val="14"/>
                <w:szCs w:val="14"/>
              </w:rPr>
              <w:t>i</w:t>
            </w:r>
          </w:p>
        </w:tc>
        <w:tc>
          <w:tcPr>
            <w:tcW w:w="424" w:type="pct"/>
            <w:noWrap/>
            <w:vAlign w:val="center"/>
            <w:hideMark/>
          </w:tcPr>
          <w:p w14:paraId="6F78F56F" w14:textId="77777777" w:rsidR="004F64EF" w:rsidRPr="003003C0" w:rsidRDefault="004F64EF" w:rsidP="00FD6B66">
            <w:pPr>
              <w:jc w:val="right"/>
              <w:rPr>
                <w:rFonts w:cs="Arial"/>
                <w:color w:val="000000"/>
                <w:sz w:val="14"/>
                <w:szCs w:val="14"/>
              </w:rPr>
            </w:pPr>
            <w:r w:rsidRPr="003003C0">
              <w:rPr>
                <w:rFonts w:cs="Arial"/>
                <w:color w:val="000000"/>
                <w:sz w:val="14"/>
                <w:szCs w:val="14"/>
              </w:rPr>
              <w:t>20</w:t>
            </w:r>
            <w:r>
              <w:rPr>
                <w:rFonts w:cs="Arial"/>
                <w:color w:val="000000"/>
                <w:sz w:val="14"/>
                <w:szCs w:val="14"/>
              </w:rPr>
              <w:t>.</w:t>
            </w:r>
            <w:r w:rsidRPr="003003C0">
              <w:rPr>
                <w:rFonts w:cs="Arial"/>
                <w:color w:val="000000"/>
                <w:sz w:val="14"/>
                <w:szCs w:val="14"/>
              </w:rPr>
              <w:t>9</w:t>
            </w:r>
          </w:p>
        </w:tc>
        <w:tc>
          <w:tcPr>
            <w:tcW w:w="424" w:type="pct"/>
            <w:noWrap/>
            <w:vAlign w:val="center"/>
            <w:hideMark/>
          </w:tcPr>
          <w:p w14:paraId="0E6CA913" w14:textId="77777777" w:rsidR="004F64EF" w:rsidRPr="003003C0" w:rsidRDefault="004F64EF" w:rsidP="00FD6B66">
            <w:pPr>
              <w:jc w:val="right"/>
              <w:rPr>
                <w:rFonts w:cs="Arial"/>
                <w:color w:val="000000"/>
                <w:sz w:val="14"/>
                <w:szCs w:val="14"/>
              </w:rPr>
            </w:pPr>
            <w:r w:rsidRPr="003003C0">
              <w:rPr>
                <w:rFonts w:cs="Arial"/>
                <w:color w:val="000000"/>
                <w:sz w:val="14"/>
                <w:szCs w:val="14"/>
              </w:rPr>
              <w:t>18</w:t>
            </w:r>
            <w:r>
              <w:rPr>
                <w:rFonts w:cs="Arial"/>
                <w:color w:val="000000"/>
                <w:sz w:val="14"/>
                <w:szCs w:val="14"/>
              </w:rPr>
              <w:t>.</w:t>
            </w:r>
            <w:r w:rsidRPr="003003C0">
              <w:rPr>
                <w:rFonts w:cs="Arial"/>
                <w:color w:val="000000"/>
                <w:sz w:val="14"/>
                <w:szCs w:val="14"/>
              </w:rPr>
              <w:t>7</w:t>
            </w:r>
          </w:p>
        </w:tc>
        <w:tc>
          <w:tcPr>
            <w:tcW w:w="424" w:type="pct"/>
            <w:noWrap/>
            <w:vAlign w:val="center"/>
            <w:hideMark/>
          </w:tcPr>
          <w:p w14:paraId="799EFA37" w14:textId="77777777" w:rsidR="004F64EF" w:rsidRPr="003003C0" w:rsidRDefault="004F64EF" w:rsidP="00FD6B66">
            <w:pPr>
              <w:jc w:val="right"/>
              <w:rPr>
                <w:rFonts w:cs="Arial"/>
                <w:color w:val="000000"/>
                <w:sz w:val="14"/>
                <w:szCs w:val="14"/>
              </w:rPr>
            </w:pPr>
            <w:r w:rsidRPr="003003C0">
              <w:rPr>
                <w:rFonts w:cs="Arial"/>
                <w:color w:val="000000"/>
                <w:sz w:val="14"/>
                <w:szCs w:val="14"/>
              </w:rPr>
              <w:t>19</w:t>
            </w:r>
            <w:r>
              <w:rPr>
                <w:rFonts w:cs="Arial"/>
                <w:color w:val="000000"/>
                <w:sz w:val="14"/>
                <w:szCs w:val="14"/>
              </w:rPr>
              <w:t>.</w:t>
            </w:r>
            <w:r w:rsidRPr="003003C0">
              <w:rPr>
                <w:rFonts w:cs="Arial"/>
                <w:color w:val="000000"/>
                <w:sz w:val="14"/>
                <w:szCs w:val="14"/>
              </w:rPr>
              <w:t>6</w:t>
            </w:r>
          </w:p>
        </w:tc>
        <w:tc>
          <w:tcPr>
            <w:tcW w:w="424" w:type="pct"/>
            <w:noWrap/>
            <w:vAlign w:val="center"/>
            <w:hideMark/>
          </w:tcPr>
          <w:p w14:paraId="62F218A6" w14:textId="77777777" w:rsidR="004F64EF" w:rsidRPr="003003C0" w:rsidRDefault="004F64EF" w:rsidP="00FD6B66">
            <w:pPr>
              <w:jc w:val="right"/>
              <w:rPr>
                <w:rFonts w:cs="Arial"/>
                <w:color w:val="000000"/>
                <w:sz w:val="14"/>
                <w:szCs w:val="14"/>
              </w:rPr>
            </w:pPr>
            <w:r w:rsidRPr="003003C0">
              <w:rPr>
                <w:rFonts w:cs="Arial"/>
                <w:color w:val="000000"/>
                <w:sz w:val="14"/>
                <w:szCs w:val="14"/>
              </w:rPr>
              <w:t>19</w:t>
            </w:r>
            <w:r>
              <w:rPr>
                <w:rFonts w:cs="Arial"/>
                <w:color w:val="000000"/>
                <w:sz w:val="14"/>
                <w:szCs w:val="14"/>
              </w:rPr>
              <w:t>.</w:t>
            </w:r>
            <w:r w:rsidRPr="003003C0">
              <w:rPr>
                <w:rFonts w:cs="Arial"/>
                <w:color w:val="000000"/>
                <w:sz w:val="14"/>
                <w:szCs w:val="14"/>
              </w:rPr>
              <w:t>4</w:t>
            </w:r>
          </w:p>
        </w:tc>
        <w:tc>
          <w:tcPr>
            <w:tcW w:w="424" w:type="pct"/>
            <w:noWrap/>
            <w:vAlign w:val="center"/>
            <w:hideMark/>
          </w:tcPr>
          <w:p w14:paraId="7CA87E21" w14:textId="77777777" w:rsidR="004F64EF" w:rsidRPr="003003C0" w:rsidRDefault="004F64EF" w:rsidP="00FD6B66">
            <w:pPr>
              <w:jc w:val="right"/>
              <w:rPr>
                <w:rFonts w:cs="Arial"/>
                <w:color w:val="000000"/>
                <w:sz w:val="14"/>
                <w:szCs w:val="14"/>
              </w:rPr>
            </w:pPr>
            <w:r w:rsidRPr="003003C0">
              <w:rPr>
                <w:rFonts w:cs="Arial"/>
                <w:color w:val="000000"/>
                <w:sz w:val="14"/>
                <w:szCs w:val="14"/>
              </w:rPr>
              <w:t>17</w:t>
            </w:r>
            <w:r>
              <w:rPr>
                <w:rFonts w:cs="Arial"/>
                <w:color w:val="000000"/>
                <w:sz w:val="14"/>
                <w:szCs w:val="14"/>
              </w:rPr>
              <w:t>.</w:t>
            </w:r>
            <w:r w:rsidRPr="003003C0">
              <w:rPr>
                <w:rFonts w:cs="Arial"/>
                <w:color w:val="000000"/>
                <w:sz w:val="14"/>
                <w:szCs w:val="14"/>
              </w:rPr>
              <w:t>6</w:t>
            </w:r>
          </w:p>
        </w:tc>
        <w:tc>
          <w:tcPr>
            <w:tcW w:w="424" w:type="pct"/>
            <w:noWrap/>
            <w:vAlign w:val="center"/>
            <w:hideMark/>
          </w:tcPr>
          <w:p w14:paraId="66FBB26B" w14:textId="77777777" w:rsidR="004F64EF" w:rsidRPr="003003C0" w:rsidRDefault="004F64EF" w:rsidP="00FD6B66">
            <w:pPr>
              <w:jc w:val="right"/>
              <w:rPr>
                <w:rFonts w:cs="Arial"/>
                <w:color w:val="000000"/>
                <w:sz w:val="14"/>
                <w:szCs w:val="14"/>
              </w:rPr>
            </w:pPr>
            <w:r w:rsidRPr="003003C0">
              <w:rPr>
                <w:rFonts w:cs="Arial"/>
                <w:color w:val="000000"/>
                <w:sz w:val="14"/>
                <w:szCs w:val="14"/>
              </w:rPr>
              <w:t>11</w:t>
            </w:r>
            <w:r>
              <w:rPr>
                <w:rFonts w:cs="Arial"/>
                <w:color w:val="000000"/>
                <w:sz w:val="14"/>
                <w:szCs w:val="14"/>
              </w:rPr>
              <w:t>.</w:t>
            </w:r>
            <w:r w:rsidRPr="003003C0">
              <w:rPr>
                <w:rFonts w:cs="Arial"/>
                <w:color w:val="000000"/>
                <w:sz w:val="14"/>
                <w:szCs w:val="14"/>
              </w:rPr>
              <w:t>8</w:t>
            </w:r>
          </w:p>
        </w:tc>
        <w:tc>
          <w:tcPr>
            <w:tcW w:w="424" w:type="pct"/>
            <w:noWrap/>
            <w:vAlign w:val="center"/>
            <w:hideMark/>
          </w:tcPr>
          <w:p w14:paraId="60F8AB94" w14:textId="77777777" w:rsidR="004F64EF" w:rsidRPr="003003C0" w:rsidRDefault="004F64EF" w:rsidP="00FD6B66">
            <w:pPr>
              <w:jc w:val="right"/>
              <w:rPr>
                <w:rFonts w:cs="Arial"/>
                <w:color w:val="000000"/>
                <w:sz w:val="14"/>
                <w:szCs w:val="14"/>
              </w:rPr>
            </w:pPr>
            <w:r w:rsidRPr="003003C0">
              <w:rPr>
                <w:rFonts w:cs="Arial"/>
                <w:color w:val="000000"/>
                <w:sz w:val="14"/>
                <w:szCs w:val="14"/>
              </w:rPr>
              <w:t>12</w:t>
            </w:r>
            <w:r>
              <w:rPr>
                <w:rFonts w:cs="Arial"/>
                <w:color w:val="000000"/>
                <w:sz w:val="14"/>
                <w:szCs w:val="14"/>
              </w:rPr>
              <w:t>.</w:t>
            </w:r>
            <w:r w:rsidRPr="003003C0">
              <w:rPr>
                <w:rFonts w:cs="Arial"/>
                <w:color w:val="000000"/>
                <w:sz w:val="14"/>
                <w:szCs w:val="14"/>
              </w:rPr>
              <w:t>4</w:t>
            </w:r>
          </w:p>
        </w:tc>
      </w:tr>
      <w:tr w:rsidR="004F64EF" w:rsidRPr="003003C0" w14:paraId="5A1AB0C1" w14:textId="77777777" w:rsidTr="00BE2A9F">
        <w:trPr>
          <w:cnfStyle w:val="000000010000" w:firstRow="0" w:lastRow="0" w:firstColumn="0" w:lastColumn="0" w:oddVBand="0" w:evenVBand="0" w:oddHBand="0" w:evenHBand="1" w:firstRowFirstColumn="0" w:firstRowLastColumn="0" w:lastRowFirstColumn="0" w:lastRowLastColumn="0"/>
          <w:trHeight w:val="20"/>
        </w:trPr>
        <w:tc>
          <w:tcPr>
            <w:tcW w:w="2032" w:type="pct"/>
            <w:noWrap/>
            <w:vAlign w:val="center"/>
            <w:hideMark/>
          </w:tcPr>
          <w:p w14:paraId="7BF9D0B9" w14:textId="77777777" w:rsidR="004F64EF" w:rsidRPr="003003C0" w:rsidRDefault="004F64EF" w:rsidP="00FD6B66">
            <w:pPr>
              <w:tabs>
                <w:tab w:val="left" w:pos="510"/>
              </w:tabs>
              <w:jc w:val="left"/>
              <w:rPr>
                <w:rFonts w:cs="Arial"/>
                <w:color w:val="000000"/>
                <w:sz w:val="14"/>
                <w:szCs w:val="14"/>
              </w:rPr>
            </w:pPr>
            <w:r w:rsidRPr="003003C0">
              <w:rPr>
                <w:rFonts w:cs="Arial"/>
                <w:color w:val="000000"/>
                <w:sz w:val="14"/>
                <w:szCs w:val="14"/>
              </w:rPr>
              <w:tab/>
              <w:t>Jamaica</w:t>
            </w:r>
          </w:p>
        </w:tc>
        <w:tc>
          <w:tcPr>
            <w:tcW w:w="424" w:type="pct"/>
            <w:noWrap/>
            <w:vAlign w:val="center"/>
            <w:hideMark/>
          </w:tcPr>
          <w:p w14:paraId="39C93EB2" w14:textId="77777777" w:rsidR="004F64EF" w:rsidRPr="003003C0" w:rsidRDefault="004F64EF" w:rsidP="00FD6B66">
            <w:pPr>
              <w:jc w:val="right"/>
              <w:rPr>
                <w:rFonts w:cs="Arial"/>
                <w:color w:val="000000"/>
                <w:sz w:val="14"/>
                <w:szCs w:val="14"/>
              </w:rPr>
            </w:pPr>
            <w:r w:rsidRPr="003003C0">
              <w:rPr>
                <w:rFonts w:cs="Arial"/>
                <w:color w:val="000000"/>
                <w:sz w:val="14"/>
                <w:szCs w:val="14"/>
              </w:rPr>
              <w:t>1</w:t>
            </w:r>
            <w:r>
              <w:rPr>
                <w:rFonts w:cs="Arial"/>
                <w:color w:val="000000"/>
                <w:sz w:val="14"/>
                <w:szCs w:val="14"/>
              </w:rPr>
              <w:t>.</w:t>
            </w:r>
            <w:r w:rsidRPr="003003C0">
              <w:rPr>
                <w:rFonts w:cs="Arial"/>
                <w:color w:val="000000"/>
                <w:sz w:val="14"/>
                <w:szCs w:val="14"/>
              </w:rPr>
              <w:t>2</w:t>
            </w:r>
          </w:p>
        </w:tc>
        <w:tc>
          <w:tcPr>
            <w:tcW w:w="424" w:type="pct"/>
            <w:noWrap/>
            <w:vAlign w:val="center"/>
            <w:hideMark/>
          </w:tcPr>
          <w:p w14:paraId="7877054F" w14:textId="77777777" w:rsidR="004F64EF" w:rsidRPr="003003C0" w:rsidRDefault="004F64EF" w:rsidP="00FD6B66">
            <w:pPr>
              <w:jc w:val="right"/>
              <w:rPr>
                <w:rFonts w:cs="Arial"/>
                <w:color w:val="000000"/>
                <w:sz w:val="14"/>
                <w:szCs w:val="14"/>
              </w:rPr>
            </w:pPr>
            <w:r w:rsidRPr="003003C0">
              <w:rPr>
                <w:rFonts w:cs="Arial"/>
                <w:color w:val="000000"/>
                <w:sz w:val="14"/>
                <w:szCs w:val="14"/>
              </w:rPr>
              <w:t>1</w:t>
            </w:r>
            <w:r>
              <w:rPr>
                <w:rFonts w:cs="Arial"/>
                <w:color w:val="000000"/>
                <w:sz w:val="14"/>
                <w:szCs w:val="14"/>
              </w:rPr>
              <w:t>.</w:t>
            </w:r>
            <w:r w:rsidRPr="003003C0">
              <w:rPr>
                <w:rFonts w:cs="Arial"/>
                <w:color w:val="000000"/>
                <w:sz w:val="14"/>
                <w:szCs w:val="14"/>
              </w:rPr>
              <w:t>2</w:t>
            </w:r>
          </w:p>
        </w:tc>
        <w:tc>
          <w:tcPr>
            <w:tcW w:w="424" w:type="pct"/>
            <w:noWrap/>
            <w:vAlign w:val="center"/>
            <w:hideMark/>
          </w:tcPr>
          <w:p w14:paraId="09138EF4" w14:textId="77777777" w:rsidR="004F64EF" w:rsidRPr="003003C0" w:rsidRDefault="004F64EF" w:rsidP="00FD6B66">
            <w:pPr>
              <w:jc w:val="right"/>
              <w:rPr>
                <w:rFonts w:cs="Arial"/>
                <w:color w:val="000000"/>
                <w:sz w:val="14"/>
                <w:szCs w:val="14"/>
              </w:rPr>
            </w:pPr>
            <w:r w:rsidRPr="003003C0">
              <w:rPr>
                <w:rFonts w:cs="Arial"/>
                <w:color w:val="000000"/>
                <w:sz w:val="14"/>
                <w:szCs w:val="14"/>
              </w:rPr>
              <w:t>1</w:t>
            </w:r>
            <w:r>
              <w:rPr>
                <w:rFonts w:cs="Arial"/>
                <w:color w:val="000000"/>
                <w:sz w:val="14"/>
                <w:szCs w:val="14"/>
              </w:rPr>
              <w:t>.</w:t>
            </w:r>
            <w:r w:rsidRPr="003003C0">
              <w:rPr>
                <w:rFonts w:cs="Arial"/>
                <w:color w:val="000000"/>
                <w:sz w:val="14"/>
                <w:szCs w:val="14"/>
              </w:rPr>
              <w:t>2</w:t>
            </w:r>
          </w:p>
        </w:tc>
        <w:tc>
          <w:tcPr>
            <w:tcW w:w="424" w:type="pct"/>
            <w:noWrap/>
            <w:vAlign w:val="center"/>
            <w:hideMark/>
          </w:tcPr>
          <w:p w14:paraId="4E5FE5CE" w14:textId="77777777" w:rsidR="004F64EF" w:rsidRPr="003003C0" w:rsidRDefault="004F64EF" w:rsidP="00FD6B66">
            <w:pPr>
              <w:jc w:val="right"/>
              <w:rPr>
                <w:rFonts w:cs="Arial"/>
                <w:color w:val="000000"/>
                <w:sz w:val="14"/>
                <w:szCs w:val="14"/>
              </w:rPr>
            </w:pPr>
            <w:r w:rsidRPr="003003C0">
              <w:rPr>
                <w:rFonts w:cs="Arial"/>
                <w:color w:val="000000"/>
                <w:sz w:val="14"/>
                <w:szCs w:val="14"/>
              </w:rPr>
              <w:t>1</w:t>
            </w:r>
            <w:r>
              <w:rPr>
                <w:rFonts w:cs="Arial"/>
                <w:color w:val="000000"/>
                <w:sz w:val="14"/>
                <w:szCs w:val="14"/>
              </w:rPr>
              <w:t>.</w:t>
            </w:r>
            <w:r w:rsidRPr="003003C0">
              <w:rPr>
                <w:rFonts w:cs="Arial"/>
                <w:color w:val="000000"/>
                <w:sz w:val="14"/>
                <w:szCs w:val="14"/>
              </w:rPr>
              <w:t>3</w:t>
            </w:r>
          </w:p>
        </w:tc>
        <w:tc>
          <w:tcPr>
            <w:tcW w:w="424" w:type="pct"/>
            <w:noWrap/>
            <w:vAlign w:val="center"/>
            <w:hideMark/>
          </w:tcPr>
          <w:p w14:paraId="4FFFEE65" w14:textId="77777777" w:rsidR="004F64EF" w:rsidRPr="003003C0" w:rsidRDefault="004F64EF" w:rsidP="00FD6B66">
            <w:pPr>
              <w:jc w:val="right"/>
              <w:rPr>
                <w:rFonts w:cs="Arial"/>
                <w:color w:val="000000"/>
                <w:sz w:val="14"/>
                <w:szCs w:val="14"/>
              </w:rPr>
            </w:pPr>
            <w:r w:rsidRPr="003003C0">
              <w:rPr>
                <w:rFonts w:cs="Arial"/>
                <w:color w:val="000000"/>
                <w:sz w:val="14"/>
                <w:szCs w:val="14"/>
              </w:rPr>
              <w:t>1</w:t>
            </w:r>
            <w:r>
              <w:rPr>
                <w:rFonts w:cs="Arial"/>
                <w:color w:val="000000"/>
                <w:sz w:val="14"/>
                <w:szCs w:val="14"/>
              </w:rPr>
              <w:t>.</w:t>
            </w:r>
            <w:r w:rsidRPr="003003C0">
              <w:rPr>
                <w:rFonts w:cs="Arial"/>
                <w:color w:val="000000"/>
                <w:sz w:val="14"/>
                <w:szCs w:val="14"/>
              </w:rPr>
              <w:t>3</w:t>
            </w:r>
          </w:p>
        </w:tc>
        <w:tc>
          <w:tcPr>
            <w:tcW w:w="424" w:type="pct"/>
            <w:noWrap/>
            <w:vAlign w:val="center"/>
            <w:hideMark/>
          </w:tcPr>
          <w:p w14:paraId="28697B60" w14:textId="77777777" w:rsidR="004F64EF" w:rsidRPr="003003C0" w:rsidRDefault="004F64EF" w:rsidP="00FD6B66">
            <w:pPr>
              <w:jc w:val="right"/>
              <w:rPr>
                <w:rFonts w:cs="Arial"/>
                <w:color w:val="000000"/>
                <w:sz w:val="14"/>
                <w:szCs w:val="14"/>
              </w:rPr>
            </w:pPr>
            <w:r w:rsidRPr="003003C0">
              <w:rPr>
                <w:rFonts w:cs="Arial"/>
                <w:color w:val="000000"/>
                <w:sz w:val="14"/>
                <w:szCs w:val="14"/>
              </w:rPr>
              <w:t>1</w:t>
            </w:r>
            <w:r>
              <w:rPr>
                <w:rFonts w:cs="Arial"/>
                <w:color w:val="000000"/>
                <w:sz w:val="14"/>
                <w:szCs w:val="14"/>
              </w:rPr>
              <w:t>.</w:t>
            </w:r>
            <w:r w:rsidRPr="003003C0">
              <w:rPr>
                <w:rFonts w:cs="Arial"/>
                <w:color w:val="000000"/>
                <w:sz w:val="14"/>
                <w:szCs w:val="14"/>
              </w:rPr>
              <w:t>6</w:t>
            </w:r>
          </w:p>
        </w:tc>
        <w:tc>
          <w:tcPr>
            <w:tcW w:w="424" w:type="pct"/>
            <w:noWrap/>
            <w:vAlign w:val="center"/>
            <w:hideMark/>
          </w:tcPr>
          <w:p w14:paraId="71AECDD1" w14:textId="77777777" w:rsidR="004F64EF" w:rsidRPr="003003C0" w:rsidRDefault="004F64EF" w:rsidP="00FD6B66">
            <w:pPr>
              <w:jc w:val="right"/>
              <w:rPr>
                <w:rFonts w:cs="Arial"/>
                <w:color w:val="000000"/>
                <w:sz w:val="14"/>
                <w:szCs w:val="14"/>
              </w:rPr>
            </w:pPr>
            <w:r w:rsidRPr="003003C0">
              <w:rPr>
                <w:rFonts w:cs="Arial"/>
                <w:color w:val="000000"/>
                <w:sz w:val="14"/>
                <w:szCs w:val="14"/>
              </w:rPr>
              <w:t>2</w:t>
            </w:r>
            <w:r>
              <w:rPr>
                <w:rFonts w:cs="Arial"/>
                <w:color w:val="000000"/>
                <w:sz w:val="14"/>
                <w:szCs w:val="14"/>
              </w:rPr>
              <w:t>.</w:t>
            </w:r>
            <w:r w:rsidRPr="003003C0">
              <w:rPr>
                <w:rFonts w:cs="Arial"/>
                <w:color w:val="000000"/>
                <w:sz w:val="14"/>
                <w:szCs w:val="14"/>
              </w:rPr>
              <w:t>3</w:t>
            </w:r>
          </w:p>
        </w:tc>
      </w:tr>
      <w:tr w:rsidR="004F64EF" w:rsidRPr="003003C0" w14:paraId="14841D27" w14:textId="77777777" w:rsidTr="00BE2A9F">
        <w:trPr>
          <w:trHeight w:val="20"/>
        </w:trPr>
        <w:tc>
          <w:tcPr>
            <w:tcW w:w="2032" w:type="pct"/>
            <w:noWrap/>
            <w:vAlign w:val="center"/>
            <w:hideMark/>
          </w:tcPr>
          <w:p w14:paraId="4CFBB042" w14:textId="77777777" w:rsidR="004F64EF" w:rsidRPr="003003C0" w:rsidRDefault="004F64EF" w:rsidP="00FD6B66">
            <w:pPr>
              <w:tabs>
                <w:tab w:val="left" w:pos="510"/>
              </w:tabs>
              <w:jc w:val="left"/>
              <w:rPr>
                <w:rFonts w:cs="Arial"/>
                <w:color w:val="000000"/>
                <w:sz w:val="14"/>
                <w:szCs w:val="14"/>
              </w:rPr>
            </w:pPr>
            <w:r w:rsidRPr="003003C0">
              <w:rPr>
                <w:rFonts w:cs="Arial"/>
                <w:color w:val="000000"/>
                <w:sz w:val="14"/>
                <w:szCs w:val="14"/>
              </w:rPr>
              <w:tab/>
              <w:t>Panam</w:t>
            </w:r>
            <w:r>
              <w:rPr>
                <w:rFonts w:cs="Arial"/>
                <w:color w:val="000000"/>
                <w:sz w:val="14"/>
                <w:szCs w:val="14"/>
              </w:rPr>
              <w:t>a</w:t>
            </w:r>
          </w:p>
        </w:tc>
        <w:tc>
          <w:tcPr>
            <w:tcW w:w="424" w:type="pct"/>
            <w:noWrap/>
            <w:vAlign w:val="center"/>
            <w:hideMark/>
          </w:tcPr>
          <w:p w14:paraId="6EA5AD24"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5</w:t>
            </w:r>
          </w:p>
        </w:tc>
        <w:tc>
          <w:tcPr>
            <w:tcW w:w="424" w:type="pct"/>
            <w:noWrap/>
            <w:vAlign w:val="center"/>
            <w:hideMark/>
          </w:tcPr>
          <w:p w14:paraId="64F01DC2"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5</w:t>
            </w:r>
          </w:p>
        </w:tc>
        <w:tc>
          <w:tcPr>
            <w:tcW w:w="424" w:type="pct"/>
            <w:noWrap/>
            <w:vAlign w:val="center"/>
            <w:hideMark/>
          </w:tcPr>
          <w:p w14:paraId="6AB29A07"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4</w:t>
            </w:r>
          </w:p>
        </w:tc>
        <w:tc>
          <w:tcPr>
            <w:tcW w:w="424" w:type="pct"/>
            <w:noWrap/>
            <w:vAlign w:val="center"/>
            <w:hideMark/>
          </w:tcPr>
          <w:p w14:paraId="60CBF6BA"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3</w:t>
            </w:r>
          </w:p>
        </w:tc>
        <w:tc>
          <w:tcPr>
            <w:tcW w:w="424" w:type="pct"/>
            <w:noWrap/>
            <w:vAlign w:val="center"/>
            <w:hideMark/>
          </w:tcPr>
          <w:p w14:paraId="0BC524E6"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4</w:t>
            </w:r>
          </w:p>
        </w:tc>
        <w:tc>
          <w:tcPr>
            <w:tcW w:w="424" w:type="pct"/>
            <w:noWrap/>
            <w:vAlign w:val="center"/>
            <w:hideMark/>
          </w:tcPr>
          <w:p w14:paraId="2525518A"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5</w:t>
            </w:r>
          </w:p>
        </w:tc>
        <w:tc>
          <w:tcPr>
            <w:tcW w:w="424" w:type="pct"/>
            <w:noWrap/>
            <w:vAlign w:val="center"/>
            <w:hideMark/>
          </w:tcPr>
          <w:p w14:paraId="23B5E7A3" w14:textId="77777777" w:rsidR="004F64EF" w:rsidRPr="003003C0" w:rsidRDefault="004F64EF" w:rsidP="00FD6B66">
            <w:pPr>
              <w:jc w:val="right"/>
              <w:rPr>
                <w:rFonts w:cs="Arial"/>
                <w:color w:val="000000"/>
                <w:sz w:val="14"/>
                <w:szCs w:val="14"/>
              </w:rPr>
            </w:pPr>
            <w:r w:rsidRPr="003003C0">
              <w:rPr>
                <w:rFonts w:cs="Arial"/>
                <w:color w:val="000000"/>
                <w:sz w:val="14"/>
                <w:szCs w:val="14"/>
              </w:rPr>
              <w:t>1</w:t>
            </w:r>
            <w:r>
              <w:rPr>
                <w:rFonts w:cs="Arial"/>
                <w:color w:val="000000"/>
                <w:sz w:val="14"/>
                <w:szCs w:val="14"/>
              </w:rPr>
              <w:t>.</w:t>
            </w:r>
            <w:r w:rsidRPr="003003C0">
              <w:rPr>
                <w:rFonts w:cs="Arial"/>
                <w:color w:val="000000"/>
                <w:sz w:val="14"/>
                <w:szCs w:val="14"/>
              </w:rPr>
              <w:t>6</w:t>
            </w:r>
          </w:p>
        </w:tc>
      </w:tr>
      <w:tr w:rsidR="004F64EF" w:rsidRPr="003003C0" w14:paraId="33577FC8" w14:textId="77777777" w:rsidTr="00BE2A9F">
        <w:trPr>
          <w:cnfStyle w:val="000000010000" w:firstRow="0" w:lastRow="0" w:firstColumn="0" w:lastColumn="0" w:oddVBand="0" w:evenVBand="0" w:oddHBand="0" w:evenHBand="1" w:firstRowFirstColumn="0" w:firstRowLastColumn="0" w:lastRowFirstColumn="0" w:lastRowLastColumn="0"/>
          <w:trHeight w:val="20"/>
        </w:trPr>
        <w:tc>
          <w:tcPr>
            <w:tcW w:w="2032" w:type="pct"/>
            <w:noWrap/>
            <w:vAlign w:val="center"/>
            <w:hideMark/>
          </w:tcPr>
          <w:p w14:paraId="2B5F18D7" w14:textId="77777777" w:rsidR="004F64EF" w:rsidRPr="003003C0" w:rsidRDefault="004F64EF" w:rsidP="00FD6B66">
            <w:pPr>
              <w:tabs>
                <w:tab w:val="left" w:pos="510"/>
              </w:tabs>
              <w:jc w:val="left"/>
              <w:rPr>
                <w:rFonts w:cs="Arial"/>
                <w:color w:val="000000"/>
                <w:sz w:val="14"/>
                <w:szCs w:val="14"/>
              </w:rPr>
            </w:pPr>
            <w:r w:rsidRPr="003003C0">
              <w:rPr>
                <w:rFonts w:cs="Arial"/>
                <w:color w:val="000000"/>
                <w:sz w:val="14"/>
                <w:szCs w:val="14"/>
              </w:rPr>
              <w:tab/>
              <w:t xml:space="preserve">Trinidad </w:t>
            </w:r>
            <w:r>
              <w:rPr>
                <w:rFonts w:cs="Arial"/>
                <w:color w:val="000000"/>
                <w:sz w:val="14"/>
                <w:szCs w:val="14"/>
              </w:rPr>
              <w:t>and</w:t>
            </w:r>
            <w:r w:rsidRPr="003003C0">
              <w:rPr>
                <w:rFonts w:cs="Arial"/>
                <w:color w:val="000000"/>
                <w:sz w:val="14"/>
                <w:szCs w:val="14"/>
              </w:rPr>
              <w:t xml:space="preserve"> T</w:t>
            </w:r>
            <w:r>
              <w:rPr>
                <w:rFonts w:cs="Arial"/>
                <w:color w:val="000000"/>
                <w:sz w:val="14"/>
                <w:szCs w:val="14"/>
              </w:rPr>
              <w:t>o</w:t>
            </w:r>
            <w:r w:rsidRPr="003003C0">
              <w:rPr>
                <w:rFonts w:cs="Arial"/>
                <w:color w:val="000000"/>
                <w:sz w:val="14"/>
                <w:szCs w:val="14"/>
              </w:rPr>
              <w:t xml:space="preserve">bago </w:t>
            </w:r>
          </w:p>
        </w:tc>
        <w:tc>
          <w:tcPr>
            <w:tcW w:w="424" w:type="pct"/>
            <w:noWrap/>
            <w:vAlign w:val="center"/>
            <w:hideMark/>
          </w:tcPr>
          <w:p w14:paraId="7A48C85E"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6</w:t>
            </w:r>
          </w:p>
        </w:tc>
        <w:tc>
          <w:tcPr>
            <w:tcW w:w="424" w:type="pct"/>
            <w:noWrap/>
            <w:vAlign w:val="center"/>
            <w:hideMark/>
          </w:tcPr>
          <w:p w14:paraId="553BBD4D"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5</w:t>
            </w:r>
          </w:p>
        </w:tc>
        <w:tc>
          <w:tcPr>
            <w:tcW w:w="424" w:type="pct"/>
            <w:noWrap/>
            <w:vAlign w:val="center"/>
            <w:hideMark/>
          </w:tcPr>
          <w:p w14:paraId="6FDA1640"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5</w:t>
            </w:r>
          </w:p>
        </w:tc>
        <w:tc>
          <w:tcPr>
            <w:tcW w:w="424" w:type="pct"/>
            <w:noWrap/>
            <w:vAlign w:val="center"/>
            <w:hideMark/>
          </w:tcPr>
          <w:p w14:paraId="1C9488F1"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6</w:t>
            </w:r>
          </w:p>
        </w:tc>
        <w:tc>
          <w:tcPr>
            <w:tcW w:w="424" w:type="pct"/>
            <w:noWrap/>
            <w:vAlign w:val="center"/>
            <w:hideMark/>
          </w:tcPr>
          <w:p w14:paraId="09564A6A"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5</w:t>
            </w:r>
          </w:p>
        </w:tc>
        <w:tc>
          <w:tcPr>
            <w:tcW w:w="424" w:type="pct"/>
            <w:noWrap/>
            <w:vAlign w:val="center"/>
            <w:hideMark/>
          </w:tcPr>
          <w:p w14:paraId="4E717536"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7</w:t>
            </w:r>
          </w:p>
        </w:tc>
        <w:tc>
          <w:tcPr>
            <w:tcW w:w="424" w:type="pct"/>
            <w:noWrap/>
            <w:vAlign w:val="center"/>
            <w:hideMark/>
          </w:tcPr>
          <w:p w14:paraId="71AA7500"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7</w:t>
            </w:r>
          </w:p>
        </w:tc>
      </w:tr>
      <w:tr w:rsidR="004F64EF" w:rsidRPr="003003C0" w14:paraId="5BE16103" w14:textId="77777777" w:rsidTr="00BE2A9F">
        <w:trPr>
          <w:trHeight w:val="20"/>
        </w:trPr>
        <w:tc>
          <w:tcPr>
            <w:tcW w:w="2032" w:type="pct"/>
            <w:noWrap/>
            <w:vAlign w:val="center"/>
            <w:hideMark/>
          </w:tcPr>
          <w:p w14:paraId="3ECDDC05" w14:textId="77777777" w:rsidR="004F64EF" w:rsidRPr="003003C0" w:rsidRDefault="004F64EF" w:rsidP="00FD6B66">
            <w:pPr>
              <w:tabs>
                <w:tab w:val="left" w:pos="510"/>
              </w:tabs>
              <w:jc w:val="left"/>
              <w:rPr>
                <w:rFonts w:cs="Arial"/>
                <w:color w:val="000000"/>
                <w:sz w:val="14"/>
                <w:szCs w:val="14"/>
              </w:rPr>
            </w:pPr>
            <w:r w:rsidRPr="003003C0">
              <w:rPr>
                <w:rFonts w:cs="Arial"/>
                <w:color w:val="000000"/>
                <w:sz w:val="14"/>
                <w:szCs w:val="14"/>
              </w:rPr>
              <w:tab/>
              <w:t>Costa Rica</w:t>
            </w:r>
          </w:p>
        </w:tc>
        <w:tc>
          <w:tcPr>
            <w:tcW w:w="424" w:type="pct"/>
            <w:noWrap/>
            <w:vAlign w:val="center"/>
            <w:hideMark/>
          </w:tcPr>
          <w:p w14:paraId="7A7E86C7"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3</w:t>
            </w:r>
          </w:p>
        </w:tc>
        <w:tc>
          <w:tcPr>
            <w:tcW w:w="424" w:type="pct"/>
            <w:noWrap/>
            <w:vAlign w:val="center"/>
            <w:hideMark/>
          </w:tcPr>
          <w:p w14:paraId="63056DC3"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3</w:t>
            </w:r>
          </w:p>
        </w:tc>
        <w:tc>
          <w:tcPr>
            <w:tcW w:w="424" w:type="pct"/>
            <w:noWrap/>
            <w:vAlign w:val="center"/>
            <w:hideMark/>
          </w:tcPr>
          <w:p w14:paraId="6250BA37"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4</w:t>
            </w:r>
          </w:p>
        </w:tc>
        <w:tc>
          <w:tcPr>
            <w:tcW w:w="424" w:type="pct"/>
            <w:noWrap/>
            <w:vAlign w:val="center"/>
            <w:hideMark/>
          </w:tcPr>
          <w:p w14:paraId="4E04AACB"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4</w:t>
            </w:r>
          </w:p>
        </w:tc>
        <w:tc>
          <w:tcPr>
            <w:tcW w:w="424" w:type="pct"/>
            <w:noWrap/>
            <w:vAlign w:val="center"/>
            <w:hideMark/>
          </w:tcPr>
          <w:p w14:paraId="24190D48"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3</w:t>
            </w:r>
          </w:p>
        </w:tc>
        <w:tc>
          <w:tcPr>
            <w:tcW w:w="424" w:type="pct"/>
            <w:noWrap/>
            <w:vAlign w:val="center"/>
            <w:hideMark/>
          </w:tcPr>
          <w:p w14:paraId="701F4D55"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4</w:t>
            </w:r>
          </w:p>
        </w:tc>
        <w:tc>
          <w:tcPr>
            <w:tcW w:w="424" w:type="pct"/>
            <w:noWrap/>
            <w:vAlign w:val="center"/>
            <w:hideMark/>
          </w:tcPr>
          <w:p w14:paraId="7BE6AF56"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6</w:t>
            </w:r>
          </w:p>
        </w:tc>
      </w:tr>
      <w:tr w:rsidR="004F64EF" w:rsidRPr="003003C0" w14:paraId="4E01DEDA" w14:textId="77777777" w:rsidTr="00BE2A9F">
        <w:trPr>
          <w:cnfStyle w:val="000000010000" w:firstRow="0" w:lastRow="0" w:firstColumn="0" w:lastColumn="0" w:oddVBand="0" w:evenVBand="0" w:oddHBand="0" w:evenHBand="1" w:firstRowFirstColumn="0" w:firstRowLastColumn="0" w:lastRowFirstColumn="0" w:lastRowLastColumn="0"/>
          <w:trHeight w:val="20"/>
        </w:trPr>
        <w:tc>
          <w:tcPr>
            <w:tcW w:w="2032" w:type="pct"/>
            <w:noWrap/>
            <w:vAlign w:val="center"/>
            <w:hideMark/>
          </w:tcPr>
          <w:p w14:paraId="7053AA25" w14:textId="77777777" w:rsidR="004F64EF" w:rsidRPr="003003C0" w:rsidRDefault="004F64EF" w:rsidP="00FD6B66">
            <w:pPr>
              <w:tabs>
                <w:tab w:val="left" w:pos="510"/>
              </w:tabs>
              <w:jc w:val="left"/>
              <w:rPr>
                <w:rFonts w:cs="Arial"/>
                <w:color w:val="000000"/>
                <w:sz w:val="14"/>
                <w:szCs w:val="14"/>
              </w:rPr>
            </w:pPr>
            <w:r w:rsidRPr="003003C0">
              <w:rPr>
                <w:rFonts w:cs="Arial"/>
                <w:color w:val="000000"/>
                <w:sz w:val="14"/>
                <w:szCs w:val="14"/>
              </w:rPr>
              <w:tab/>
              <w:t>Guyana</w:t>
            </w:r>
          </w:p>
        </w:tc>
        <w:tc>
          <w:tcPr>
            <w:tcW w:w="424" w:type="pct"/>
            <w:noWrap/>
            <w:vAlign w:val="center"/>
            <w:hideMark/>
          </w:tcPr>
          <w:p w14:paraId="54B34986"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3</w:t>
            </w:r>
          </w:p>
        </w:tc>
        <w:tc>
          <w:tcPr>
            <w:tcW w:w="424" w:type="pct"/>
            <w:noWrap/>
            <w:vAlign w:val="center"/>
            <w:hideMark/>
          </w:tcPr>
          <w:p w14:paraId="7D186BB9"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2</w:t>
            </w:r>
          </w:p>
        </w:tc>
        <w:tc>
          <w:tcPr>
            <w:tcW w:w="424" w:type="pct"/>
            <w:noWrap/>
            <w:vAlign w:val="center"/>
            <w:hideMark/>
          </w:tcPr>
          <w:p w14:paraId="2CE99471"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3</w:t>
            </w:r>
          </w:p>
        </w:tc>
        <w:tc>
          <w:tcPr>
            <w:tcW w:w="424" w:type="pct"/>
            <w:noWrap/>
            <w:vAlign w:val="center"/>
            <w:hideMark/>
          </w:tcPr>
          <w:p w14:paraId="17F06CD3"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3</w:t>
            </w:r>
          </w:p>
        </w:tc>
        <w:tc>
          <w:tcPr>
            <w:tcW w:w="424" w:type="pct"/>
            <w:noWrap/>
            <w:vAlign w:val="center"/>
            <w:hideMark/>
          </w:tcPr>
          <w:p w14:paraId="7D8B8FD9"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3</w:t>
            </w:r>
          </w:p>
        </w:tc>
        <w:tc>
          <w:tcPr>
            <w:tcW w:w="424" w:type="pct"/>
            <w:noWrap/>
            <w:vAlign w:val="center"/>
            <w:hideMark/>
          </w:tcPr>
          <w:p w14:paraId="6E1A76AF"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3</w:t>
            </w:r>
          </w:p>
        </w:tc>
        <w:tc>
          <w:tcPr>
            <w:tcW w:w="424" w:type="pct"/>
            <w:noWrap/>
            <w:vAlign w:val="center"/>
            <w:hideMark/>
          </w:tcPr>
          <w:p w14:paraId="08480559"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5</w:t>
            </w:r>
          </w:p>
        </w:tc>
      </w:tr>
      <w:tr w:rsidR="004F64EF" w:rsidRPr="003003C0" w14:paraId="57E24FA2" w14:textId="77777777" w:rsidTr="00BE2A9F">
        <w:trPr>
          <w:trHeight w:val="20"/>
        </w:trPr>
        <w:tc>
          <w:tcPr>
            <w:tcW w:w="2032" w:type="pct"/>
            <w:noWrap/>
            <w:vAlign w:val="center"/>
            <w:hideMark/>
          </w:tcPr>
          <w:p w14:paraId="38CF41E3" w14:textId="77777777" w:rsidR="004F64EF" w:rsidRPr="003003C0" w:rsidRDefault="004F64EF" w:rsidP="00FD6B66">
            <w:pPr>
              <w:tabs>
                <w:tab w:val="left" w:pos="510"/>
              </w:tabs>
              <w:jc w:val="left"/>
              <w:rPr>
                <w:rFonts w:cs="Arial"/>
                <w:color w:val="000000"/>
                <w:sz w:val="14"/>
                <w:szCs w:val="14"/>
              </w:rPr>
            </w:pPr>
            <w:r w:rsidRPr="003003C0">
              <w:rPr>
                <w:rFonts w:cs="Arial"/>
                <w:color w:val="000000"/>
                <w:sz w:val="14"/>
                <w:szCs w:val="14"/>
              </w:rPr>
              <w:tab/>
              <w:t xml:space="preserve">Venezuela, </w:t>
            </w:r>
            <w:r>
              <w:rPr>
                <w:rFonts w:cs="Arial"/>
                <w:color w:val="000000"/>
                <w:sz w:val="14"/>
                <w:szCs w:val="14"/>
              </w:rPr>
              <w:t>Bolivarian Republic of</w:t>
            </w:r>
          </w:p>
        </w:tc>
        <w:tc>
          <w:tcPr>
            <w:tcW w:w="424" w:type="pct"/>
            <w:noWrap/>
            <w:vAlign w:val="center"/>
            <w:hideMark/>
          </w:tcPr>
          <w:p w14:paraId="021F8280" w14:textId="77777777" w:rsidR="004F64EF" w:rsidRPr="003003C0" w:rsidRDefault="004F64EF" w:rsidP="00FD6B66">
            <w:pPr>
              <w:jc w:val="right"/>
              <w:rPr>
                <w:rFonts w:cs="Arial"/>
                <w:color w:val="000000"/>
                <w:sz w:val="14"/>
                <w:szCs w:val="14"/>
              </w:rPr>
            </w:pPr>
            <w:r w:rsidRPr="003003C0">
              <w:rPr>
                <w:rFonts w:cs="Arial"/>
                <w:color w:val="000000"/>
                <w:sz w:val="14"/>
                <w:szCs w:val="14"/>
              </w:rPr>
              <w:t>1</w:t>
            </w:r>
            <w:r>
              <w:rPr>
                <w:rFonts w:cs="Arial"/>
                <w:color w:val="000000"/>
                <w:sz w:val="14"/>
                <w:szCs w:val="14"/>
              </w:rPr>
              <w:t>.</w:t>
            </w:r>
            <w:r w:rsidRPr="003003C0">
              <w:rPr>
                <w:rFonts w:cs="Arial"/>
                <w:color w:val="000000"/>
                <w:sz w:val="14"/>
                <w:szCs w:val="14"/>
              </w:rPr>
              <w:t>1</w:t>
            </w:r>
          </w:p>
        </w:tc>
        <w:tc>
          <w:tcPr>
            <w:tcW w:w="424" w:type="pct"/>
            <w:noWrap/>
            <w:vAlign w:val="center"/>
            <w:hideMark/>
          </w:tcPr>
          <w:p w14:paraId="0DDE2499"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1</w:t>
            </w:r>
          </w:p>
        </w:tc>
        <w:tc>
          <w:tcPr>
            <w:tcW w:w="424" w:type="pct"/>
            <w:noWrap/>
            <w:vAlign w:val="center"/>
            <w:hideMark/>
          </w:tcPr>
          <w:p w14:paraId="1E2EA8A0"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5</w:t>
            </w:r>
          </w:p>
        </w:tc>
        <w:tc>
          <w:tcPr>
            <w:tcW w:w="424" w:type="pct"/>
            <w:noWrap/>
            <w:vAlign w:val="center"/>
            <w:hideMark/>
          </w:tcPr>
          <w:p w14:paraId="7F07BE97"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5</w:t>
            </w:r>
          </w:p>
        </w:tc>
        <w:tc>
          <w:tcPr>
            <w:tcW w:w="424" w:type="pct"/>
            <w:noWrap/>
            <w:vAlign w:val="center"/>
            <w:hideMark/>
          </w:tcPr>
          <w:p w14:paraId="67279719"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2</w:t>
            </w:r>
          </w:p>
        </w:tc>
        <w:tc>
          <w:tcPr>
            <w:tcW w:w="424" w:type="pct"/>
            <w:noWrap/>
            <w:vAlign w:val="center"/>
            <w:hideMark/>
          </w:tcPr>
          <w:p w14:paraId="74DC77D0"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5</w:t>
            </w:r>
          </w:p>
        </w:tc>
        <w:tc>
          <w:tcPr>
            <w:tcW w:w="424" w:type="pct"/>
            <w:noWrap/>
            <w:vAlign w:val="center"/>
            <w:hideMark/>
          </w:tcPr>
          <w:p w14:paraId="48ED6FAE"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5</w:t>
            </w:r>
          </w:p>
        </w:tc>
      </w:tr>
      <w:tr w:rsidR="004F64EF" w:rsidRPr="003003C0" w14:paraId="3F8475FC" w14:textId="77777777" w:rsidTr="00BE2A9F">
        <w:trPr>
          <w:cnfStyle w:val="000000010000" w:firstRow="0" w:lastRow="0" w:firstColumn="0" w:lastColumn="0" w:oddVBand="0" w:evenVBand="0" w:oddHBand="0" w:evenHBand="1" w:firstRowFirstColumn="0" w:firstRowLastColumn="0" w:lastRowFirstColumn="0" w:lastRowLastColumn="0"/>
          <w:trHeight w:val="20"/>
        </w:trPr>
        <w:tc>
          <w:tcPr>
            <w:tcW w:w="2032" w:type="pct"/>
            <w:noWrap/>
            <w:vAlign w:val="center"/>
            <w:hideMark/>
          </w:tcPr>
          <w:p w14:paraId="2015E97F" w14:textId="77777777" w:rsidR="004F64EF" w:rsidRPr="003003C0" w:rsidRDefault="004F64EF" w:rsidP="00FD6B66">
            <w:pPr>
              <w:tabs>
                <w:tab w:val="left" w:pos="510"/>
              </w:tabs>
              <w:jc w:val="left"/>
              <w:rPr>
                <w:rFonts w:cs="Arial"/>
                <w:color w:val="000000"/>
                <w:sz w:val="14"/>
                <w:szCs w:val="14"/>
              </w:rPr>
            </w:pPr>
            <w:r w:rsidRPr="003003C0">
              <w:rPr>
                <w:rFonts w:cs="Arial"/>
                <w:color w:val="000000"/>
                <w:sz w:val="14"/>
                <w:szCs w:val="14"/>
              </w:rPr>
              <w:tab/>
              <w:t>Cura</w:t>
            </w:r>
            <w:r>
              <w:rPr>
                <w:rFonts w:cs="Arial"/>
                <w:color w:val="000000"/>
                <w:sz w:val="14"/>
                <w:szCs w:val="14"/>
              </w:rPr>
              <w:t>çao</w:t>
            </w:r>
          </w:p>
        </w:tc>
        <w:tc>
          <w:tcPr>
            <w:tcW w:w="424" w:type="pct"/>
            <w:noWrap/>
            <w:vAlign w:val="center"/>
            <w:hideMark/>
          </w:tcPr>
          <w:p w14:paraId="03AB7958"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2</w:t>
            </w:r>
          </w:p>
        </w:tc>
        <w:tc>
          <w:tcPr>
            <w:tcW w:w="424" w:type="pct"/>
            <w:noWrap/>
            <w:vAlign w:val="center"/>
            <w:hideMark/>
          </w:tcPr>
          <w:p w14:paraId="645ACE07"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2</w:t>
            </w:r>
          </w:p>
        </w:tc>
        <w:tc>
          <w:tcPr>
            <w:tcW w:w="424" w:type="pct"/>
            <w:noWrap/>
            <w:vAlign w:val="center"/>
            <w:hideMark/>
          </w:tcPr>
          <w:p w14:paraId="0A9ED111"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2</w:t>
            </w:r>
          </w:p>
        </w:tc>
        <w:tc>
          <w:tcPr>
            <w:tcW w:w="424" w:type="pct"/>
            <w:noWrap/>
            <w:vAlign w:val="center"/>
            <w:hideMark/>
          </w:tcPr>
          <w:p w14:paraId="09C72995"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2</w:t>
            </w:r>
          </w:p>
        </w:tc>
        <w:tc>
          <w:tcPr>
            <w:tcW w:w="424" w:type="pct"/>
            <w:noWrap/>
            <w:vAlign w:val="center"/>
            <w:hideMark/>
          </w:tcPr>
          <w:p w14:paraId="3892F9A5"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2</w:t>
            </w:r>
          </w:p>
        </w:tc>
        <w:tc>
          <w:tcPr>
            <w:tcW w:w="424" w:type="pct"/>
            <w:noWrap/>
            <w:vAlign w:val="center"/>
            <w:hideMark/>
          </w:tcPr>
          <w:p w14:paraId="797FF179"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2</w:t>
            </w:r>
          </w:p>
        </w:tc>
        <w:tc>
          <w:tcPr>
            <w:tcW w:w="424" w:type="pct"/>
            <w:noWrap/>
            <w:vAlign w:val="center"/>
            <w:hideMark/>
          </w:tcPr>
          <w:p w14:paraId="3C5FBA8D"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4</w:t>
            </w:r>
          </w:p>
        </w:tc>
      </w:tr>
      <w:tr w:rsidR="004F64EF" w:rsidRPr="003003C0" w14:paraId="14EBFC56" w14:textId="77777777" w:rsidTr="00BE2A9F">
        <w:trPr>
          <w:trHeight w:val="20"/>
        </w:trPr>
        <w:tc>
          <w:tcPr>
            <w:tcW w:w="2032" w:type="pct"/>
            <w:noWrap/>
            <w:vAlign w:val="center"/>
            <w:hideMark/>
          </w:tcPr>
          <w:p w14:paraId="57AF1851" w14:textId="77777777" w:rsidR="004F64EF" w:rsidRPr="003003C0" w:rsidRDefault="004F64EF" w:rsidP="00FD6B66">
            <w:pPr>
              <w:tabs>
                <w:tab w:val="left" w:pos="510"/>
              </w:tabs>
              <w:jc w:val="left"/>
              <w:rPr>
                <w:rFonts w:cs="Arial"/>
                <w:color w:val="000000"/>
                <w:sz w:val="14"/>
                <w:szCs w:val="14"/>
              </w:rPr>
            </w:pPr>
            <w:r w:rsidRPr="003003C0">
              <w:rPr>
                <w:rFonts w:cs="Arial"/>
                <w:color w:val="000000"/>
                <w:sz w:val="14"/>
                <w:szCs w:val="14"/>
              </w:rPr>
              <w:tab/>
              <w:t>Barbados</w:t>
            </w:r>
          </w:p>
        </w:tc>
        <w:tc>
          <w:tcPr>
            <w:tcW w:w="424" w:type="pct"/>
            <w:noWrap/>
            <w:vAlign w:val="center"/>
            <w:hideMark/>
          </w:tcPr>
          <w:p w14:paraId="7344B81C"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2</w:t>
            </w:r>
          </w:p>
        </w:tc>
        <w:tc>
          <w:tcPr>
            <w:tcW w:w="424" w:type="pct"/>
            <w:noWrap/>
            <w:vAlign w:val="center"/>
            <w:hideMark/>
          </w:tcPr>
          <w:p w14:paraId="2E57FE76"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2</w:t>
            </w:r>
          </w:p>
        </w:tc>
        <w:tc>
          <w:tcPr>
            <w:tcW w:w="424" w:type="pct"/>
            <w:noWrap/>
            <w:vAlign w:val="center"/>
            <w:hideMark/>
          </w:tcPr>
          <w:p w14:paraId="00C9CB1D"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2</w:t>
            </w:r>
          </w:p>
        </w:tc>
        <w:tc>
          <w:tcPr>
            <w:tcW w:w="424" w:type="pct"/>
            <w:noWrap/>
            <w:vAlign w:val="center"/>
            <w:hideMark/>
          </w:tcPr>
          <w:p w14:paraId="5881CDA2"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2</w:t>
            </w:r>
          </w:p>
        </w:tc>
        <w:tc>
          <w:tcPr>
            <w:tcW w:w="424" w:type="pct"/>
            <w:noWrap/>
            <w:vAlign w:val="center"/>
            <w:hideMark/>
          </w:tcPr>
          <w:p w14:paraId="06BA9F3E"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2</w:t>
            </w:r>
          </w:p>
        </w:tc>
        <w:tc>
          <w:tcPr>
            <w:tcW w:w="424" w:type="pct"/>
            <w:noWrap/>
            <w:vAlign w:val="center"/>
            <w:hideMark/>
          </w:tcPr>
          <w:p w14:paraId="407BAEDE"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2</w:t>
            </w:r>
          </w:p>
        </w:tc>
        <w:tc>
          <w:tcPr>
            <w:tcW w:w="424" w:type="pct"/>
            <w:noWrap/>
            <w:vAlign w:val="center"/>
            <w:hideMark/>
          </w:tcPr>
          <w:p w14:paraId="63F04DF8"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3</w:t>
            </w:r>
          </w:p>
        </w:tc>
      </w:tr>
      <w:tr w:rsidR="004F64EF" w:rsidRPr="003003C0" w14:paraId="33CBB9B8" w14:textId="77777777" w:rsidTr="00BE2A9F">
        <w:trPr>
          <w:cnfStyle w:val="000000010000" w:firstRow="0" w:lastRow="0" w:firstColumn="0" w:lastColumn="0" w:oddVBand="0" w:evenVBand="0" w:oddHBand="0" w:evenHBand="1" w:firstRowFirstColumn="0" w:firstRowLastColumn="0" w:lastRowFirstColumn="0" w:lastRowLastColumn="0"/>
          <w:trHeight w:val="20"/>
        </w:trPr>
        <w:tc>
          <w:tcPr>
            <w:tcW w:w="2032" w:type="pct"/>
            <w:noWrap/>
            <w:vAlign w:val="center"/>
            <w:hideMark/>
          </w:tcPr>
          <w:p w14:paraId="3C3C2F88" w14:textId="77777777" w:rsidR="004F64EF" w:rsidRPr="003003C0" w:rsidRDefault="004F64EF" w:rsidP="00FD6B66">
            <w:pPr>
              <w:tabs>
                <w:tab w:val="left" w:pos="510"/>
              </w:tabs>
              <w:jc w:val="left"/>
              <w:rPr>
                <w:rFonts w:cs="Arial"/>
                <w:color w:val="000000"/>
                <w:sz w:val="14"/>
                <w:szCs w:val="14"/>
              </w:rPr>
            </w:pPr>
            <w:r w:rsidRPr="003003C0">
              <w:rPr>
                <w:rFonts w:cs="Arial"/>
                <w:color w:val="000000"/>
                <w:sz w:val="14"/>
                <w:szCs w:val="14"/>
              </w:rPr>
              <w:tab/>
              <w:t>Cuba</w:t>
            </w:r>
          </w:p>
        </w:tc>
        <w:tc>
          <w:tcPr>
            <w:tcW w:w="424" w:type="pct"/>
            <w:noWrap/>
            <w:vAlign w:val="center"/>
            <w:hideMark/>
          </w:tcPr>
          <w:p w14:paraId="6BF84866" w14:textId="77777777" w:rsidR="004F64EF" w:rsidRPr="003003C0" w:rsidRDefault="004F64EF" w:rsidP="00FD6B66">
            <w:pPr>
              <w:jc w:val="right"/>
              <w:rPr>
                <w:rFonts w:cs="Arial"/>
                <w:color w:val="000000"/>
                <w:sz w:val="14"/>
                <w:szCs w:val="14"/>
              </w:rPr>
            </w:pPr>
            <w:r w:rsidRPr="003003C0">
              <w:rPr>
                <w:rFonts w:cs="Arial"/>
                <w:color w:val="000000"/>
                <w:sz w:val="14"/>
                <w:szCs w:val="14"/>
              </w:rPr>
              <w:t>1</w:t>
            </w:r>
            <w:r>
              <w:rPr>
                <w:rFonts w:cs="Arial"/>
                <w:color w:val="000000"/>
                <w:sz w:val="14"/>
                <w:szCs w:val="14"/>
              </w:rPr>
              <w:t>.</w:t>
            </w:r>
            <w:r w:rsidRPr="003003C0">
              <w:rPr>
                <w:rFonts w:cs="Arial"/>
                <w:color w:val="000000"/>
                <w:sz w:val="14"/>
                <w:szCs w:val="14"/>
              </w:rPr>
              <w:t>2</w:t>
            </w:r>
          </w:p>
        </w:tc>
        <w:tc>
          <w:tcPr>
            <w:tcW w:w="424" w:type="pct"/>
            <w:noWrap/>
            <w:vAlign w:val="center"/>
            <w:hideMark/>
          </w:tcPr>
          <w:p w14:paraId="2EFE62A6" w14:textId="77777777" w:rsidR="004F64EF" w:rsidRPr="003003C0" w:rsidRDefault="004F64EF" w:rsidP="00FD6B66">
            <w:pPr>
              <w:jc w:val="right"/>
              <w:rPr>
                <w:rFonts w:cs="Arial"/>
                <w:color w:val="000000"/>
                <w:sz w:val="14"/>
                <w:szCs w:val="14"/>
              </w:rPr>
            </w:pPr>
            <w:r w:rsidRPr="003003C0">
              <w:rPr>
                <w:rFonts w:cs="Arial"/>
                <w:color w:val="000000"/>
                <w:sz w:val="14"/>
                <w:szCs w:val="14"/>
              </w:rPr>
              <w:t>1</w:t>
            </w:r>
            <w:r>
              <w:rPr>
                <w:rFonts w:cs="Arial"/>
                <w:color w:val="000000"/>
                <w:sz w:val="14"/>
                <w:szCs w:val="14"/>
              </w:rPr>
              <w:t>.</w:t>
            </w:r>
            <w:r w:rsidRPr="003003C0">
              <w:rPr>
                <w:rFonts w:cs="Arial"/>
                <w:color w:val="000000"/>
                <w:sz w:val="14"/>
                <w:szCs w:val="14"/>
              </w:rPr>
              <w:t>6</w:t>
            </w:r>
          </w:p>
        </w:tc>
        <w:tc>
          <w:tcPr>
            <w:tcW w:w="424" w:type="pct"/>
            <w:noWrap/>
            <w:vAlign w:val="center"/>
            <w:hideMark/>
          </w:tcPr>
          <w:p w14:paraId="701B3BDD" w14:textId="77777777" w:rsidR="004F64EF" w:rsidRPr="003003C0" w:rsidRDefault="004F64EF" w:rsidP="00FD6B66">
            <w:pPr>
              <w:jc w:val="right"/>
              <w:rPr>
                <w:rFonts w:cs="Arial"/>
                <w:color w:val="000000"/>
                <w:sz w:val="14"/>
                <w:szCs w:val="14"/>
              </w:rPr>
            </w:pPr>
            <w:r w:rsidRPr="003003C0">
              <w:rPr>
                <w:rFonts w:cs="Arial"/>
                <w:color w:val="000000"/>
                <w:sz w:val="14"/>
                <w:szCs w:val="14"/>
              </w:rPr>
              <w:t>1</w:t>
            </w:r>
            <w:r>
              <w:rPr>
                <w:rFonts w:cs="Arial"/>
                <w:color w:val="000000"/>
                <w:sz w:val="14"/>
                <w:szCs w:val="14"/>
              </w:rPr>
              <w:t>.</w:t>
            </w:r>
            <w:r w:rsidRPr="003003C0">
              <w:rPr>
                <w:rFonts w:cs="Arial"/>
                <w:color w:val="000000"/>
                <w:sz w:val="14"/>
                <w:szCs w:val="14"/>
              </w:rPr>
              <w:t>0</w:t>
            </w:r>
          </w:p>
        </w:tc>
        <w:tc>
          <w:tcPr>
            <w:tcW w:w="424" w:type="pct"/>
            <w:noWrap/>
            <w:vAlign w:val="center"/>
            <w:hideMark/>
          </w:tcPr>
          <w:p w14:paraId="5FD48B03"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8</w:t>
            </w:r>
          </w:p>
        </w:tc>
        <w:tc>
          <w:tcPr>
            <w:tcW w:w="424" w:type="pct"/>
            <w:noWrap/>
            <w:vAlign w:val="center"/>
            <w:hideMark/>
          </w:tcPr>
          <w:p w14:paraId="77E5EA7F"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9</w:t>
            </w:r>
          </w:p>
        </w:tc>
        <w:tc>
          <w:tcPr>
            <w:tcW w:w="424" w:type="pct"/>
            <w:noWrap/>
            <w:vAlign w:val="center"/>
            <w:hideMark/>
          </w:tcPr>
          <w:p w14:paraId="4A62065E"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5</w:t>
            </w:r>
          </w:p>
        </w:tc>
        <w:tc>
          <w:tcPr>
            <w:tcW w:w="424" w:type="pct"/>
            <w:noWrap/>
            <w:vAlign w:val="center"/>
            <w:hideMark/>
          </w:tcPr>
          <w:p w14:paraId="2D9B2448"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3</w:t>
            </w:r>
          </w:p>
        </w:tc>
      </w:tr>
      <w:tr w:rsidR="004F64EF" w:rsidRPr="003003C0" w14:paraId="54CAF31F" w14:textId="77777777" w:rsidTr="00BE2A9F">
        <w:trPr>
          <w:trHeight w:val="20"/>
        </w:trPr>
        <w:tc>
          <w:tcPr>
            <w:tcW w:w="2032" w:type="pct"/>
            <w:noWrap/>
            <w:vAlign w:val="center"/>
            <w:hideMark/>
          </w:tcPr>
          <w:p w14:paraId="29A0A056" w14:textId="77777777" w:rsidR="004F64EF" w:rsidRPr="003003C0" w:rsidRDefault="004F64EF" w:rsidP="00FD6B66">
            <w:pPr>
              <w:tabs>
                <w:tab w:val="left" w:pos="510"/>
              </w:tabs>
              <w:jc w:val="left"/>
              <w:rPr>
                <w:rFonts w:cs="Arial"/>
                <w:color w:val="000000"/>
                <w:sz w:val="14"/>
                <w:szCs w:val="14"/>
              </w:rPr>
            </w:pPr>
            <w:r w:rsidRPr="003003C0">
              <w:rPr>
                <w:rFonts w:cs="Arial"/>
                <w:color w:val="000000"/>
                <w:sz w:val="14"/>
                <w:szCs w:val="14"/>
              </w:rPr>
              <w:tab/>
            </w:r>
            <w:r>
              <w:rPr>
                <w:rFonts w:cs="Arial"/>
                <w:color w:val="000000"/>
                <w:sz w:val="14"/>
                <w:szCs w:val="14"/>
              </w:rPr>
              <w:t>Saint Martin</w:t>
            </w:r>
          </w:p>
        </w:tc>
        <w:tc>
          <w:tcPr>
            <w:tcW w:w="424" w:type="pct"/>
            <w:noWrap/>
            <w:vAlign w:val="center"/>
            <w:hideMark/>
          </w:tcPr>
          <w:p w14:paraId="1233CA94"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2</w:t>
            </w:r>
          </w:p>
        </w:tc>
        <w:tc>
          <w:tcPr>
            <w:tcW w:w="424" w:type="pct"/>
            <w:noWrap/>
            <w:vAlign w:val="center"/>
            <w:hideMark/>
          </w:tcPr>
          <w:p w14:paraId="67EF403E"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2</w:t>
            </w:r>
          </w:p>
        </w:tc>
        <w:tc>
          <w:tcPr>
            <w:tcW w:w="424" w:type="pct"/>
            <w:noWrap/>
            <w:vAlign w:val="center"/>
            <w:hideMark/>
          </w:tcPr>
          <w:p w14:paraId="6080785E"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2</w:t>
            </w:r>
          </w:p>
        </w:tc>
        <w:tc>
          <w:tcPr>
            <w:tcW w:w="424" w:type="pct"/>
            <w:noWrap/>
            <w:vAlign w:val="center"/>
            <w:hideMark/>
          </w:tcPr>
          <w:p w14:paraId="3B9692ED"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2</w:t>
            </w:r>
          </w:p>
        </w:tc>
        <w:tc>
          <w:tcPr>
            <w:tcW w:w="424" w:type="pct"/>
            <w:noWrap/>
            <w:vAlign w:val="center"/>
            <w:hideMark/>
          </w:tcPr>
          <w:p w14:paraId="1A8F73B4"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3</w:t>
            </w:r>
          </w:p>
        </w:tc>
        <w:tc>
          <w:tcPr>
            <w:tcW w:w="424" w:type="pct"/>
            <w:noWrap/>
            <w:vAlign w:val="center"/>
            <w:hideMark/>
          </w:tcPr>
          <w:p w14:paraId="0C567F8F"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3</w:t>
            </w:r>
          </w:p>
        </w:tc>
        <w:tc>
          <w:tcPr>
            <w:tcW w:w="424" w:type="pct"/>
            <w:noWrap/>
            <w:vAlign w:val="center"/>
            <w:hideMark/>
          </w:tcPr>
          <w:p w14:paraId="6D684925"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3</w:t>
            </w:r>
          </w:p>
        </w:tc>
      </w:tr>
      <w:tr w:rsidR="004F64EF" w:rsidRPr="003003C0" w14:paraId="0C572E57" w14:textId="77777777" w:rsidTr="00BE2A9F">
        <w:trPr>
          <w:cnfStyle w:val="000000010000" w:firstRow="0" w:lastRow="0" w:firstColumn="0" w:lastColumn="0" w:oddVBand="0" w:evenVBand="0" w:oddHBand="0" w:evenHBand="1" w:firstRowFirstColumn="0" w:firstRowLastColumn="0" w:lastRowFirstColumn="0" w:lastRowLastColumn="0"/>
          <w:trHeight w:val="20"/>
        </w:trPr>
        <w:tc>
          <w:tcPr>
            <w:tcW w:w="2032" w:type="pct"/>
            <w:noWrap/>
            <w:vAlign w:val="center"/>
            <w:hideMark/>
          </w:tcPr>
          <w:p w14:paraId="08DDCEA5" w14:textId="77777777" w:rsidR="004F64EF" w:rsidRPr="003003C0" w:rsidRDefault="004F64EF" w:rsidP="00FD6B66">
            <w:pPr>
              <w:tabs>
                <w:tab w:val="left" w:pos="510"/>
              </w:tabs>
              <w:jc w:val="left"/>
              <w:rPr>
                <w:rFonts w:cs="Arial"/>
                <w:color w:val="000000"/>
                <w:sz w:val="14"/>
                <w:szCs w:val="14"/>
              </w:rPr>
            </w:pPr>
            <w:r w:rsidRPr="003003C0">
              <w:rPr>
                <w:rFonts w:cs="Arial"/>
                <w:color w:val="000000"/>
                <w:sz w:val="14"/>
                <w:szCs w:val="14"/>
              </w:rPr>
              <w:tab/>
              <w:t>Ecuador</w:t>
            </w:r>
          </w:p>
        </w:tc>
        <w:tc>
          <w:tcPr>
            <w:tcW w:w="424" w:type="pct"/>
            <w:noWrap/>
            <w:vAlign w:val="center"/>
            <w:hideMark/>
          </w:tcPr>
          <w:p w14:paraId="404D5660"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1</w:t>
            </w:r>
          </w:p>
        </w:tc>
        <w:tc>
          <w:tcPr>
            <w:tcW w:w="424" w:type="pct"/>
            <w:noWrap/>
            <w:vAlign w:val="center"/>
            <w:hideMark/>
          </w:tcPr>
          <w:p w14:paraId="71F770D2"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1</w:t>
            </w:r>
          </w:p>
        </w:tc>
        <w:tc>
          <w:tcPr>
            <w:tcW w:w="424" w:type="pct"/>
            <w:noWrap/>
            <w:vAlign w:val="center"/>
            <w:hideMark/>
          </w:tcPr>
          <w:p w14:paraId="3CB02139"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1</w:t>
            </w:r>
          </w:p>
        </w:tc>
        <w:tc>
          <w:tcPr>
            <w:tcW w:w="424" w:type="pct"/>
            <w:noWrap/>
            <w:vAlign w:val="center"/>
            <w:hideMark/>
          </w:tcPr>
          <w:p w14:paraId="4BF76824"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1</w:t>
            </w:r>
          </w:p>
        </w:tc>
        <w:tc>
          <w:tcPr>
            <w:tcW w:w="424" w:type="pct"/>
            <w:noWrap/>
            <w:vAlign w:val="center"/>
            <w:hideMark/>
          </w:tcPr>
          <w:p w14:paraId="6D62FE26"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1</w:t>
            </w:r>
          </w:p>
        </w:tc>
        <w:tc>
          <w:tcPr>
            <w:tcW w:w="424" w:type="pct"/>
            <w:noWrap/>
            <w:vAlign w:val="center"/>
            <w:hideMark/>
          </w:tcPr>
          <w:p w14:paraId="09BCE62D"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1</w:t>
            </w:r>
          </w:p>
        </w:tc>
        <w:tc>
          <w:tcPr>
            <w:tcW w:w="424" w:type="pct"/>
            <w:noWrap/>
            <w:vAlign w:val="center"/>
            <w:hideMark/>
          </w:tcPr>
          <w:p w14:paraId="2ED71541"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3</w:t>
            </w:r>
          </w:p>
        </w:tc>
      </w:tr>
      <w:tr w:rsidR="004F64EF" w:rsidRPr="003003C0" w14:paraId="1EDFAB3C" w14:textId="77777777" w:rsidTr="00BE2A9F">
        <w:trPr>
          <w:trHeight w:val="20"/>
        </w:trPr>
        <w:tc>
          <w:tcPr>
            <w:tcW w:w="2032" w:type="pct"/>
            <w:noWrap/>
            <w:vAlign w:val="center"/>
            <w:hideMark/>
          </w:tcPr>
          <w:p w14:paraId="07997D46" w14:textId="77777777" w:rsidR="004F64EF" w:rsidRPr="003003C0" w:rsidRDefault="004F64EF" w:rsidP="00FD6B66">
            <w:pPr>
              <w:tabs>
                <w:tab w:val="left" w:pos="510"/>
              </w:tabs>
              <w:jc w:val="left"/>
              <w:rPr>
                <w:rFonts w:cs="Arial"/>
                <w:color w:val="000000"/>
                <w:sz w:val="14"/>
                <w:szCs w:val="14"/>
              </w:rPr>
            </w:pPr>
            <w:r w:rsidRPr="003003C0">
              <w:rPr>
                <w:rFonts w:cs="Arial"/>
                <w:color w:val="000000"/>
                <w:sz w:val="14"/>
                <w:szCs w:val="14"/>
              </w:rPr>
              <w:tab/>
              <w:t>Guatemala</w:t>
            </w:r>
          </w:p>
        </w:tc>
        <w:tc>
          <w:tcPr>
            <w:tcW w:w="424" w:type="pct"/>
            <w:noWrap/>
            <w:vAlign w:val="center"/>
            <w:hideMark/>
          </w:tcPr>
          <w:p w14:paraId="2667ACB7"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2</w:t>
            </w:r>
          </w:p>
        </w:tc>
        <w:tc>
          <w:tcPr>
            <w:tcW w:w="424" w:type="pct"/>
            <w:noWrap/>
            <w:vAlign w:val="center"/>
            <w:hideMark/>
          </w:tcPr>
          <w:p w14:paraId="7259AA7D"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2</w:t>
            </w:r>
          </w:p>
        </w:tc>
        <w:tc>
          <w:tcPr>
            <w:tcW w:w="424" w:type="pct"/>
            <w:noWrap/>
            <w:vAlign w:val="center"/>
            <w:hideMark/>
          </w:tcPr>
          <w:p w14:paraId="74EE7E95"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2</w:t>
            </w:r>
          </w:p>
        </w:tc>
        <w:tc>
          <w:tcPr>
            <w:tcW w:w="424" w:type="pct"/>
            <w:noWrap/>
            <w:vAlign w:val="center"/>
            <w:hideMark/>
          </w:tcPr>
          <w:p w14:paraId="7C7B2006"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2</w:t>
            </w:r>
          </w:p>
        </w:tc>
        <w:tc>
          <w:tcPr>
            <w:tcW w:w="424" w:type="pct"/>
            <w:noWrap/>
            <w:vAlign w:val="center"/>
            <w:hideMark/>
          </w:tcPr>
          <w:p w14:paraId="1A8876CD"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2</w:t>
            </w:r>
          </w:p>
        </w:tc>
        <w:tc>
          <w:tcPr>
            <w:tcW w:w="424" w:type="pct"/>
            <w:noWrap/>
            <w:vAlign w:val="center"/>
            <w:hideMark/>
          </w:tcPr>
          <w:p w14:paraId="00424A41"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2</w:t>
            </w:r>
          </w:p>
        </w:tc>
        <w:tc>
          <w:tcPr>
            <w:tcW w:w="424" w:type="pct"/>
            <w:noWrap/>
            <w:vAlign w:val="center"/>
            <w:hideMark/>
          </w:tcPr>
          <w:p w14:paraId="0A27406F"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3</w:t>
            </w:r>
          </w:p>
        </w:tc>
      </w:tr>
      <w:tr w:rsidR="004F64EF" w:rsidRPr="003003C0" w14:paraId="5E027BEA" w14:textId="77777777" w:rsidTr="00BE2A9F">
        <w:trPr>
          <w:cnfStyle w:val="000000010000" w:firstRow="0" w:lastRow="0" w:firstColumn="0" w:lastColumn="0" w:oddVBand="0" w:evenVBand="0" w:oddHBand="0" w:evenHBand="1" w:firstRowFirstColumn="0" w:firstRowLastColumn="0" w:lastRowFirstColumn="0" w:lastRowLastColumn="0"/>
          <w:trHeight w:val="20"/>
        </w:trPr>
        <w:tc>
          <w:tcPr>
            <w:tcW w:w="2032" w:type="pct"/>
            <w:noWrap/>
            <w:vAlign w:val="center"/>
            <w:hideMark/>
          </w:tcPr>
          <w:p w14:paraId="05B8D48A" w14:textId="77777777" w:rsidR="004F64EF" w:rsidRPr="003003C0" w:rsidRDefault="004F64EF" w:rsidP="00FD6B66">
            <w:pPr>
              <w:tabs>
                <w:tab w:val="left" w:pos="510"/>
              </w:tabs>
              <w:jc w:val="left"/>
              <w:rPr>
                <w:rFonts w:cs="Arial"/>
                <w:color w:val="000000"/>
                <w:sz w:val="14"/>
                <w:szCs w:val="14"/>
              </w:rPr>
            </w:pPr>
            <w:r w:rsidRPr="003003C0">
              <w:rPr>
                <w:rFonts w:cs="Arial"/>
                <w:color w:val="000000"/>
                <w:sz w:val="14"/>
                <w:szCs w:val="14"/>
              </w:rPr>
              <w:tab/>
            </w:r>
            <w:r w:rsidRPr="00107226">
              <w:rPr>
                <w:rFonts w:cs="Arial"/>
                <w:color w:val="000000"/>
                <w:sz w:val="14"/>
                <w:szCs w:val="14"/>
              </w:rPr>
              <w:t>Turks and Caicos Islands</w:t>
            </w:r>
          </w:p>
        </w:tc>
        <w:tc>
          <w:tcPr>
            <w:tcW w:w="424" w:type="pct"/>
            <w:noWrap/>
            <w:vAlign w:val="center"/>
            <w:hideMark/>
          </w:tcPr>
          <w:p w14:paraId="1EBE5BC2"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1</w:t>
            </w:r>
          </w:p>
        </w:tc>
        <w:tc>
          <w:tcPr>
            <w:tcW w:w="424" w:type="pct"/>
            <w:noWrap/>
            <w:vAlign w:val="center"/>
            <w:hideMark/>
          </w:tcPr>
          <w:p w14:paraId="07D2E45B"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1</w:t>
            </w:r>
          </w:p>
        </w:tc>
        <w:tc>
          <w:tcPr>
            <w:tcW w:w="424" w:type="pct"/>
            <w:noWrap/>
            <w:vAlign w:val="center"/>
            <w:hideMark/>
          </w:tcPr>
          <w:p w14:paraId="408F1BBC"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1</w:t>
            </w:r>
          </w:p>
        </w:tc>
        <w:tc>
          <w:tcPr>
            <w:tcW w:w="424" w:type="pct"/>
            <w:noWrap/>
            <w:vAlign w:val="center"/>
            <w:hideMark/>
          </w:tcPr>
          <w:p w14:paraId="4D27E4FC"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2</w:t>
            </w:r>
          </w:p>
        </w:tc>
        <w:tc>
          <w:tcPr>
            <w:tcW w:w="424" w:type="pct"/>
            <w:noWrap/>
            <w:vAlign w:val="center"/>
            <w:hideMark/>
          </w:tcPr>
          <w:p w14:paraId="0E886613"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2</w:t>
            </w:r>
          </w:p>
        </w:tc>
        <w:tc>
          <w:tcPr>
            <w:tcW w:w="424" w:type="pct"/>
            <w:noWrap/>
            <w:vAlign w:val="center"/>
            <w:hideMark/>
          </w:tcPr>
          <w:p w14:paraId="21C0A82B"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2</w:t>
            </w:r>
          </w:p>
        </w:tc>
        <w:tc>
          <w:tcPr>
            <w:tcW w:w="424" w:type="pct"/>
            <w:noWrap/>
            <w:vAlign w:val="center"/>
            <w:hideMark/>
          </w:tcPr>
          <w:p w14:paraId="7700351C"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3</w:t>
            </w:r>
          </w:p>
        </w:tc>
      </w:tr>
      <w:tr w:rsidR="004F64EF" w:rsidRPr="003003C0" w14:paraId="7A7BEEBF" w14:textId="77777777" w:rsidTr="00BE2A9F">
        <w:trPr>
          <w:trHeight w:val="20"/>
        </w:trPr>
        <w:tc>
          <w:tcPr>
            <w:tcW w:w="2032" w:type="pct"/>
            <w:noWrap/>
            <w:vAlign w:val="center"/>
            <w:hideMark/>
          </w:tcPr>
          <w:p w14:paraId="2058ACE2" w14:textId="77777777" w:rsidR="004F64EF" w:rsidRPr="003003C0" w:rsidRDefault="004F64EF" w:rsidP="00FD6B66">
            <w:pPr>
              <w:tabs>
                <w:tab w:val="left" w:pos="510"/>
              </w:tabs>
              <w:jc w:val="left"/>
              <w:rPr>
                <w:rFonts w:cs="Arial"/>
                <w:color w:val="000000"/>
                <w:sz w:val="14"/>
                <w:szCs w:val="14"/>
              </w:rPr>
            </w:pPr>
            <w:r w:rsidRPr="003003C0">
              <w:rPr>
                <w:rFonts w:cs="Arial"/>
                <w:color w:val="000000"/>
                <w:sz w:val="14"/>
                <w:szCs w:val="14"/>
              </w:rPr>
              <w:tab/>
              <w:t>Canad</w:t>
            </w:r>
            <w:r>
              <w:rPr>
                <w:rFonts w:cs="Arial"/>
                <w:color w:val="000000"/>
                <w:sz w:val="14"/>
                <w:szCs w:val="14"/>
              </w:rPr>
              <w:t>a</w:t>
            </w:r>
          </w:p>
        </w:tc>
        <w:tc>
          <w:tcPr>
            <w:tcW w:w="424" w:type="pct"/>
            <w:noWrap/>
            <w:vAlign w:val="center"/>
            <w:hideMark/>
          </w:tcPr>
          <w:p w14:paraId="04ED0AA9" w14:textId="77777777" w:rsidR="004F64EF" w:rsidRPr="003003C0" w:rsidRDefault="004F64EF" w:rsidP="00FD6B66">
            <w:pPr>
              <w:jc w:val="right"/>
              <w:rPr>
                <w:rFonts w:cs="Arial"/>
                <w:color w:val="000000"/>
                <w:sz w:val="14"/>
                <w:szCs w:val="14"/>
              </w:rPr>
            </w:pPr>
            <w:r w:rsidRPr="003003C0">
              <w:rPr>
                <w:rFonts w:cs="Arial"/>
                <w:color w:val="000000"/>
                <w:sz w:val="14"/>
                <w:szCs w:val="14"/>
              </w:rPr>
              <w:t>16</w:t>
            </w:r>
            <w:r>
              <w:rPr>
                <w:rFonts w:cs="Arial"/>
                <w:color w:val="000000"/>
                <w:sz w:val="14"/>
                <w:szCs w:val="14"/>
              </w:rPr>
              <w:t>.</w:t>
            </w:r>
            <w:r w:rsidRPr="003003C0">
              <w:rPr>
                <w:rFonts w:cs="Arial"/>
                <w:color w:val="000000"/>
                <w:sz w:val="14"/>
                <w:szCs w:val="14"/>
              </w:rPr>
              <w:t>4</w:t>
            </w:r>
          </w:p>
        </w:tc>
        <w:tc>
          <w:tcPr>
            <w:tcW w:w="424" w:type="pct"/>
            <w:noWrap/>
            <w:vAlign w:val="center"/>
            <w:hideMark/>
          </w:tcPr>
          <w:p w14:paraId="14BE9D7C" w14:textId="77777777" w:rsidR="004F64EF" w:rsidRPr="003003C0" w:rsidRDefault="004F64EF" w:rsidP="00FD6B66">
            <w:pPr>
              <w:jc w:val="right"/>
              <w:rPr>
                <w:rFonts w:cs="Arial"/>
                <w:color w:val="000000"/>
                <w:sz w:val="14"/>
                <w:szCs w:val="14"/>
              </w:rPr>
            </w:pPr>
            <w:r w:rsidRPr="003003C0">
              <w:rPr>
                <w:rFonts w:cs="Arial"/>
                <w:color w:val="000000"/>
                <w:sz w:val="14"/>
                <w:szCs w:val="14"/>
              </w:rPr>
              <w:t>16</w:t>
            </w:r>
            <w:r>
              <w:rPr>
                <w:rFonts w:cs="Arial"/>
                <w:color w:val="000000"/>
                <w:sz w:val="14"/>
                <w:szCs w:val="14"/>
              </w:rPr>
              <w:t>.</w:t>
            </w:r>
            <w:r w:rsidRPr="003003C0">
              <w:rPr>
                <w:rFonts w:cs="Arial"/>
                <w:color w:val="000000"/>
                <w:sz w:val="14"/>
                <w:szCs w:val="14"/>
              </w:rPr>
              <w:t>7</w:t>
            </w:r>
          </w:p>
        </w:tc>
        <w:tc>
          <w:tcPr>
            <w:tcW w:w="424" w:type="pct"/>
            <w:noWrap/>
            <w:vAlign w:val="center"/>
            <w:hideMark/>
          </w:tcPr>
          <w:p w14:paraId="6FAC5857" w14:textId="77777777" w:rsidR="004F64EF" w:rsidRPr="003003C0" w:rsidRDefault="004F64EF" w:rsidP="00FD6B66">
            <w:pPr>
              <w:jc w:val="right"/>
              <w:rPr>
                <w:rFonts w:cs="Arial"/>
                <w:color w:val="000000"/>
                <w:sz w:val="14"/>
                <w:szCs w:val="14"/>
              </w:rPr>
            </w:pPr>
            <w:r w:rsidRPr="003003C0">
              <w:rPr>
                <w:rFonts w:cs="Arial"/>
                <w:color w:val="000000"/>
                <w:sz w:val="14"/>
                <w:szCs w:val="14"/>
              </w:rPr>
              <w:t>16</w:t>
            </w:r>
            <w:r>
              <w:rPr>
                <w:rFonts w:cs="Arial"/>
                <w:color w:val="000000"/>
                <w:sz w:val="14"/>
                <w:szCs w:val="14"/>
              </w:rPr>
              <w:t>.</w:t>
            </w:r>
            <w:r w:rsidRPr="003003C0">
              <w:rPr>
                <w:rFonts w:cs="Arial"/>
                <w:color w:val="000000"/>
                <w:sz w:val="14"/>
                <w:szCs w:val="14"/>
              </w:rPr>
              <w:t>9</w:t>
            </w:r>
          </w:p>
        </w:tc>
        <w:tc>
          <w:tcPr>
            <w:tcW w:w="424" w:type="pct"/>
            <w:noWrap/>
            <w:vAlign w:val="center"/>
            <w:hideMark/>
          </w:tcPr>
          <w:p w14:paraId="41C5E795" w14:textId="77777777" w:rsidR="004F64EF" w:rsidRPr="003003C0" w:rsidRDefault="004F64EF" w:rsidP="00FD6B66">
            <w:pPr>
              <w:jc w:val="right"/>
              <w:rPr>
                <w:rFonts w:cs="Arial"/>
                <w:color w:val="000000"/>
                <w:sz w:val="14"/>
                <w:szCs w:val="14"/>
              </w:rPr>
            </w:pPr>
            <w:r w:rsidRPr="003003C0">
              <w:rPr>
                <w:rFonts w:cs="Arial"/>
                <w:color w:val="000000"/>
                <w:sz w:val="14"/>
                <w:szCs w:val="14"/>
              </w:rPr>
              <w:t>13</w:t>
            </w:r>
            <w:r>
              <w:rPr>
                <w:rFonts w:cs="Arial"/>
                <w:color w:val="000000"/>
                <w:sz w:val="14"/>
                <w:szCs w:val="14"/>
              </w:rPr>
              <w:t>.</w:t>
            </w:r>
            <w:r w:rsidRPr="003003C0">
              <w:rPr>
                <w:rFonts w:cs="Arial"/>
                <w:color w:val="000000"/>
                <w:sz w:val="14"/>
                <w:szCs w:val="14"/>
              </w:rPr>
              <w:t>0</w:t>
            </w:r>
          </w:p>
        </w:tc>
        <w:tc>
          <w:tcPr>
            <w:tcW w:w="424" w:type="pct"/>
            <w:noWrap/>
            <w:vAlign w:val="center"/>
            <w:hideMark/>
          </w:tcPr>
          <w:p w14:paraId="60522135" w14:textId="77777777" w:rsidR="004F64EF" w:rsidRPr="003003C0" w:rsidRDefault="004F64EF" w:rsidP="00FD6B66">
            <w:pPr>
              <w:jc w:val="right"/>
              <w:rPr>
                <w:rFonts w:cs="Arial"/>
                <w:color w:val="000000"/>
                <w:sz w:val="14"/>
                <w:szCs w:val="14"/>
              </w:rPr>
            </w:pPr>
            <w:r w:rsidRPr="003003C0">
              <w:rPr>
                <w:rFonts w:cs="Arial"/>
                <w:color w:val="000000"/>
                <w:sz w:val="14"/>
                <w:szCs w:val="14"/>
              </w:rPr>
              <w:t>6</w:t>
            </w:r>
            <w:r>
              <w:rPr>
                <w:rFonts w:cs="Arial"/>
                <w:color w:val="000000"/>
                <w:sz w:val="14"/>
                <w:szCs w:val="14"/>
              </w:rPr>
              <w:t>.</w:t>
            </w:r>
            <w:r w:rsidRPr="003003C0">
              <w:rPr>
                <w:rFonts w:cs="Arial"/>
                <w:color w:val="000000"/>
                <w:sz w:val="14"/>
                <w:szCs w:val="14"/>
              </w:rPr>
              <w:t>4</w:t>
            </w:r>
          </w:p>
        </w:tc>
        <w:tc>
          <w:tcPr>
            <w:tcW w:w="424" w:type="pct"/>
            <w:noWrap/>
            <w:vAlign w:val="center"/>
            <w:hideMark/>
          </w:tcPr>
          <w:p w14:paraId="49D0E58A" w14:textId="77777777" w:rsidR="004F64EF" w:rsidRPr="003003C0" w:rsidRDefault="004F64EF" w:rsidP="00FD6B66">
            <w:pPr>
              <w:jc w:val="right"/>
              <w:rPr>
                <w:rFonts w:cs="Arial"/>
                <w:color w:val="000000"/>
                <w:sz w:val="14"/>
                <w:szCs w:val="14"/>
              </w:rPr>
            </w:pPr>
            <w:r w:rsidRPr="003003C0">
              <w:rPr>
                <w:rFonts w:cs="Arial"/>
                <w:color w:val="000000"/>
                <w:sz w:val="14"/>
                <w:szCs w:val="14"/>
              </w:rPr>
              <w:t>9</w:t>
            </w:r>
            <w:r>
              <w:rPr>
                <w:rFonts w:cs="Arial"/>
                <w:color w:val="000000"/>
                <w:sz w:val="14"/>
                <w:szCs w:val="14"/>
              </w:rPr>
              <w:t>.</w:t>
            </w:r>
            <w:r w:rsidRPr="003003C0">
              <w:rPr>
                <w:rFonts w:cs="Arial"/>
                <w:color w:val="000000"/>
                <w:sz w:val="14"/>
                <w:szCs w:val="14"/>
              </w:rPr>
              <w:t>1</w:t>
            </w:r>
          </w:p>
        </w:tc>
        <w:tc>
          <w:tcPr>
            <w:tcW w:w="424" w:type="pct"/>
            <w:noWrap/>
            <w:vAlign w:val="center"/>
            <w:hideMark/>
          </w:tcPr>
          <w:p w14:paraId="6E02BF90"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2</w:t>
            </w:r>
          </w:p>
        </w:tc>
      </w:tr>
      <w:tr w:rsidR="004F64EF" w:rsidRPr="003003C0" w14:paraId="4647EF25" w14:textId="77777777" w:rsidTr="00BE2A9F">
        <w:trPr>
          <w:cnfStyle w:val="000000010000" w:firstRow="0" w:lastRow="0" w:firstColumn="0" w:lastColumn="0" w:oddVBand="0" w:evenVBand="0" w:oddHBand="0" w:evenHBand="1" w:firstRowFirstColumn="0" w:firstRowLastColumn="0" w:lastRowFirstColumn="0" w:lastRowLastColumn="0"/>
          <w:trHeight w:val="20"/>
        </w:trPr>
        <w:tc>
          <w:tcPr>
            <w:tcW w:w="2032" w:type="pct"/>
            <w:noWrap/>
            <w:vAlign w:val="center"/>
            <w:hideMark/>
          </w:tcPr>
          <w:p w14:paraId="7F8303E7" w14:textId="77777777" w:rsidR="004F64EF" w:rsidRPr="003003C0" w:rsidRDefault="004F64EF" w:rsidP="00FD6B66">
            <w:pPr>
              <w:jc w:val="left"/>
              <w:rPr>
                <w:rFonts w:cs="Arial"/>
                <w:color w:val="000000"/>
                <w:sz w:val="14"/>
                <w:szCs w:val="14"/>
              </w:rPr>
            </w:pPr>
            <w:r w:rsidRPr="003003C0">
              <w:rPr>
                <w:rFonts w:cs="Arial"/>
                <w:color w:val="000000"/>
                <w:sz w:val="14"/>
                <w:szCs w:val="14"/>
              </w:rPr>
              <w:t>Europ</w:t>
            </w:r>
            <w:r>
              <w:rPr>
                <w:rFonts w:cs="Arial"/>
                <w:color w:val="000000"/>
                <w:sz w:val="14"/>
                <w:szCs w:val="14"/>
              </w:rPr>
              <w:t>e</w:t>
            </w:r>
          </w:p>
        </w:tc>
        <w:tc>
          <w:tcPr>
            <w:tcW w:w="424" w:type="pct"/>
            <w:noWrap/>
            <w:vAlign w:val="center"/>
            <w:hideMark/>
          </w:tcPr>
          <w:p w14:paraId="6039B21F" w14:textId="77777777" w:rsidR="004F64EF" w:rsidRPr="003003C0" w:rsidRDefault="004F64EF" w:rsidP="00FD6B66">
            <w:pPr>
              <w:jc w:val="right"/>
              <w:rPr>
                <w:rFonts w:cs="Arial"/>
                <w:color w:val="000000"/>
                <w:sz w:val="14"/>
                <w:szCs w:val="14"/>
              </w:rPr>
            </w:pPr>
            <w:r w:rsidRPr="003003C0">
              <w:rPr>
                <w:rFonts w:cs="Arial"/>
                <w:color w:val="000000"/>
                <w:sz w:val="14"/>
                <w:szCs w:val="14"/>
              </w:rPr>
              <w:t>11</w:t>
            </w:r>
            <w:r>
              <w:rPr>
                <w:rFonts w:cs="Arial"/>
                <w:color w:val="000000"/>
                <w:sz w:val="14"/>
                <w:szCs w:val="14"/>
              </w:rPr>
              <w:t>.</w:t>
            </w:r>
            <w:r w:rsidRPr="003003C0">
              <w:rPr>
                <w:rFonts w:cs="Arial"/>
                <w:color w:val="000000"/>
                <w:sz w:val="14"/>
                <w:szCs w:val="14"/>
              </w:rPr>
              <w:t>8</w:t>
            </w:r>
          </w:p>
        </w:tc>
        <w:tc>
          <w:tcPr>
            <w:tcW w:w="424" w:type="pct"/>
            <w:noWrap/>
            <w:vAlign w:val="center"/>
            <w:hideMark/>
          </w:tcPr>
          <w:p w14:paraId="20733D2F" w14:textId="77777777" w:rsidR="004F64EF" w:rsidRPr="003003C0" w:rsidRDefault="004F64EF" w:rsidP="00FD6B66">
            <w:pPr>
              <w:jc w:val="right"/>
              <w:rPr>
                <w:rFonts w:cs="Arial"/>
                <w:color w:val="000000"/>
                <w:sz w:val="14"/>
                <w:szCs w:val="14"/>
              </w:rPr>
            </w:pPr>
            <w:r w:rsidRPr="003003C0">
              <w:rPr>
                <w:rFonts w:cs="Arial"/>
                <w:color w:val="000000"/>
                <w:sz w:val="14"/>
                <w:szCs w:val="14"/>
              </w:rPr>
              <w:t>20</w:t>
            </w:r>
            <w:r>
              <w:rPr>
                <w:rFonts w:cs="Arial"/>
                <w:color w:val="000000"/>
                <w:sz w:val="14"/>
                <w:szCs w:val="14"/>
              </w:rPr>
              <w:t>.</w:t>
            </w:r>
            <w:r w:rsidRPr="003003C0">
              <w:rPr>
                <w:rFonts w:cs="Arial"/>
                <w:color w:val="000000"/>
                <w:sz w:val="14"/>
                <w:szCs w:val="14"/>
              </w:rPr>
              <w:t>2</w:t>
            </w:r>
          </w:p>
        </w:tc>
        <w:tc>
          <w:tcPr>
            <w:tcW w:w="424" w:type="pct"/>
            <w:noWrap/>
            <w:vAlign w:val="center"/>
            <w:hideMark/>
          </w:tcPr>
          <w:p w14:paraId="7FFEF974" w14:textId="77777777" w:rsidR="004F64EF" w:rsidRPr="003003C0" w:rsidRDefault="004F64EF" w:rsidP="00FD6B66">
            <w:pPr>
              <w:jc w:val="right"/>
              <w:rPr>
                <w:rFonts w:cs="Arial"/>
                <w:color w:val="000000"/>
                <w:sz w:val="14"/>
                <w:szCs w:val="14"/>
              </w:rPr>
            </w:pPr>
            <w:r w:rsidRPr="003003C0">
              <w:rPr>
                <w:rFonts w:cs="Arial"/>
                <w:color w:val="000000"/>
                <w:sz w:val="14"/>
                <w:szCs w:val="14"/>
              </w:rPr>
              <w:t>14</w:t>
            </w:r>
            <w:r>
              <w:rPr>
                <w:rFonts w:cs="Arial"/>
                <w:color w:val="000000"/>
                <w:sz w:val="14"/>
                <w:szCs w:val="14"/>
              </w:rPr>
              <w:t>.</w:t>
            </w:r>
            <w:r w:rsidRPr="003003C0">
              <w:rPr>
                <w:rFonts w:cs="Arial"/>
                <w:color w:val="000000"/>
                <w:sz w:val="14"/>
                <w:szCs w:val="14"/>
              </w:rPr>
              <w:t>9</w:t>
            </w:r>
          </w:p>
        </w:tc>
        <w:tc>
          <w:tcPr>
            <w:tcW w:w="424" w:type="pct"/>
            <w:noWrap/>
            <w:vAlign w:val="center"/>
            <w:hideMark/>
          </w:tcPr>
          <w:p w14:paraId="73B4DEFC" w14:textId="77777777" w:rsidR="004F64EF" w:rsidRPr="003003C0" w:rsidRDefault="004F64EF" w:rsidP="00FD6B66">
            <w:pPr>
              <w:jc w:val="right"/>
              <w:rPr>
                <w:rFonts w:cs="Arial"/>
                <w:color w:val="000000"/>
                <w:sz w:val="14"/>
                <w:szCs w:val="14"/>
              </w:rPr>
            </w:pPr>
            <w:r w:rsidRPr="003003C0">
              <w:rPr>
                <w:rFonts w:cs="Arial"/>
                <w:color w:val="000000"/>
                <w:sz w:val="14"/>
                <w:szCs w:val="14"/>
              </w:rPr>
              <w:t>13</w:t>
            </w:r>
            <w:r>
              <w:rPr>
                <w:rFonts w:cs="Arial"/>
                <w:color w:val="000000"/>
                <w:sz w:val="14"/>
                <w:szCs w:val="14"/>
              </w:rPr>
              <w:t>.</w:t>
            </w:r>
            <w:r w:rsidRPr="003003C0">
              <w:rPr>
                <w:rFonts w:cs="Arial"/>
                <w:color w:val="000000"/>
                <w:sz w:val="14"/>
                <w:szCs w:val="14"/>
              </w:rPr>
              <w:t>7</w:t>
            </w:r>
          </w:p>
        </w:tc>
        <w:tc>
          <w:tcPr>
            <w:tcW w:w="424" w:type="pct"/>
            <w:noWrap/>
            <w:vAlign w:val="center"/>
            <w:hideMark/>
          </w:tcPr>
          <w:p w14:paraId="7CDB4F85" w14:textId="77777777" w:rsidR="004F64EF" w:rsidRPr="003003C0" w:rsidRDefault="004F64EF" w:rsidP="00FD6B66">
            <w:pPr>
              <w:jc w:val="right"/>
              <w:rPr>
                <w:rFonts w:cs="Arial"/>
                <w:color w:val="000000"/>
                <w:sz w:val="14"/>
                <w:szCs w:val="14"/>
              </w:rPr>
            </w:pPr>
            <w:r w:rsidRPr="003003C0">
              <w:rPr>
                <w:rFonts w:cs="Arial"/>
                <w:color w:val="000000"/>
                <w:sz w:val="14"/>
                <w:szCs w:val="14"/>
              </w:rPr>
              <w:t>26</w:t>
            </w:r>
            <w:r>
              <w:rPr>
                <w:rFonts w:cs="Arial"/>
                <w:color w:val="000000"/>
                <w:sz w:val="14"/>
                <w:szCs w:val="14"/>
              </w:rPr>
              <w:t>.</w:t>
            </w:r>
            <w:r w:rsidRPr="003003C0">
              <w:rPr>
                <w:rFonts w:cs="Arial"/>
                <w:color w:val="000000"/>
                <w:sz w:val="14"/>
                <w:szCs w:val="14"/>
              </w:rPr>
              <w:t>6</w:t>
            </w:r>
          </w:p>
        </w:tc>
        <w:tc>
          <w:tcPr>
            <w:tcW w:w="424" w:type="pct"/>
            <w:noWrap/>
            <w:vAlign w:val="center"/>
            <w:hideMark/>
          </w:tcPr>
          <w:p w14:paraId="0486A9C4" w14:textId="77777777" w:rsidR="004F64EF" w:rsidRPr="003003C0" w:rsidRDefault="004F64EF" w:rsidP="00FD6B66">
            <w:pPr>
              <w:jc w:val="right"/>
              <w:rPr>
                <w:rFonts w:cs="Arial"/>
                <w:color w:val="000000"/>
                <w:sz w:val="14"/>
                <w:szCs w:val="14"/>
              </w:rPr>
            </w:pPr>
            <w:r w:rsidRPr="003003C0">
              <w:rPr>
                <w:rFonts w:cs="Arial"/>
                <w:color w:val="000000"/>
                <w:sz w:val="14"/>
                <w:szCs w:val="14"/>
              </w:rPr>
              <w:t>40</w:t>
            </w:r>
            <w:r>
              <w:rPr>
                <w:rFonts w:cs="Arial"/>
                <w:color w:val="000000"/>
                <w:sz w:val="14"/>
                <w:szCs w:val="14"/>
              </w:rPr>
              <w:t>.</w:t>
            </w:r>
            <w:r w:rsidRPr="003003C0">
              <w:rPr>
                <w:rFonts w:cs="Arial"/>
                <w:color w:val="000000"/>
                <w:sz w:val="14"/>
                <w:szCs w:val="14"/>
              </w:rPr>
              <w:t>6</w:t>
            </w:r>
          </w:p>
        </w:tc>
        <w:tc>
          <w:tcPr>
            <w:tcW w:w="424" w:type="pct"/>
            <w:noWrap/>
            <w:vAlign w:val="center"/>
            <w:hideMark/>
          </w:tcPr>
          <w:p w14:paraId="3D2B6ED6" w14:textId="77777777" w:rsidR="004F64EF" w:rsidRPr="003003C0" w:rsidRDefault="004F64EF" w:rsidP="00FD6B66">
            <w:pPr>
              <w:jc w:val="right"/>
              <w:rPr>
                <w:rFonts w:cs="Arial"/>
                <w:color w:val="000000"/>
                <w:sz w:val="14"/>
                <w:szCs w:val="14"/>
              </w:rPr>
            </w:pPr>
            <w:r w:rsidRPr="003003C0">
              <w:rPr>
                <w:rFonts w:cs="Arial"/>
                <w:color w:val="000000"/>
                <w:sz w:val="14"/>
                <w:szCs w:val="14"/>
              </w:rPr>
              <w:t>33</w:t>
            </w:r>
            <w:r>
              <w:rPr>
                <w:rFonts w:cs="Arial"/>
                <w:color w:val="000000"/>
                <w:sz w:val="14"/>
                <w:szCs w:val="14"/>
              </w:rPr>
              <w:t>.</w:t>
            </w:r>
            <w:r w:rsidRPr="003003C0">
              <w:rPr>
                <w:rFonts w:cs="Arial"/>
                <w:color w:val="000000"/>
                <w:sz w:val="14"/>
                <w:szCs w:val="14"/>
              </w:rPr>
              <w:t>4</w:t>
            </w:r>
          </w:p>
        </w:tc>
      </w:tr>
      <w:tr w:rsidR="004F64EF" w:rsidRPr="003003C0" w14:paraId="15B6847B" w14:textId="77777777" w:rsidTr="00BE2A9F">
        <w:trPr>
          <w:trHeight w:val="20"/>
        </w:trPr>
        <w:tc>
          <w:tcPr>
            <w:tcW w:w="2032" w:type="pct"/>
            <w:noWrap/>
            <w:vAlign w:val="center"/>
            <w:hideMark/>
          </w:tcPr>
          <w:p w14:paraId="50AE2B64" w14:textId="77777777" w:rsidR="004F64EF" w:rsidRPr="003003C0" w:rsidRDefault="004F64EF" w:rsidP="00FD6B66">
            <w:pPr>
              <w:tabs>
                <w:tab w:val="left" w:pos="113"/>
              </w:tabs>
              <w:jc w:val="left"/>
              <w:rPr>
                <w:rFonts w:cs="Arial"/>
                <w:color w:val="000000"/>
                <w:sz w:val="14"/>
                <w:szCs w:val="14"/>
              </w:rPr>
            </w:pPr>
            <w:r w:rsidRPr="003003C0">
              <w:rPr>
                <w:rFonts w:cs="Arial"/>
                <w:color w:val="000000"/>
                <w:sz w:val="14"/>
                <w:szCs w:val="14"/>
              </w:rPr>
              <w:tab/>
            </w:r>
            <w:r>
              <w:rPr>
                <w:rFonts w:cs="Arial"/>
                <w:color w:val="000000"/>
                <w:sz w:val="14"/>
                <w:szCs w:val="14"/>
              </w:rPr>
              <w:t>EU</w:t>
            </w:r>
            <w:r w:rsidRPr="003003C0">
              <w:rPr>
                <w:rFonts w:cs="Arial"/>
                <w:color w:val="000000"/>
                <w:sz w:val="14"/>
                <w:szCs w:val="14"/>
              </w:rPr>
              <w:t>-27</w:t>
            </w:r>
          </w:p>
        </w:tc>
        <w:tc>
          <w:tcPr>
            <w:tcW w:w="424" w:type="pct"/>
            <w:noWrap/>
            <w:vAlign w:val="center"/>
            <w:hideMark/>
          </w:tcPr>
          <w:p w14:paraId="44C38A12" w14:textId="77777777" w:rsidR="004F64EF" w:rsidRPr="003003C0" w:rsidRDefault="004F64EF" w:rsidP="00FD6B66">
            <w:pPr>
              <w:jc w:val="right"/>
              <w:rPr>
                <w:rFonts w:cs="Arial"/>
                <w:color w:val="000000"/>
                <w:sz w:val="14"/>
                <w:szCs w:val="14"/>
              </w:rPr>
            </w:pPr>
            <w:r w:rsidRPr="003003C0">
              <w:rPr>
                <w:rFonts w:cs="Arial"/>
                <w:color w:val="000000"/>
                <w:sz w:val="14"/>
                <w:szCs w:val="14"/>
              </w:rPr>
              <w:t>6</w:t>
            </w:r>
            <w:r>
              <w:rPr>
                <w:rFonts w:cs="Arial"/>
                <w:color w:val="000000"/>
                <w:sz w:val="14"/>
                <w:szCs w:val="14"/>
              </w:rPr>
              <w:t>.</w:t>
            </w:r>
            <w:r w:rsidRPr="003003C0">
              <w:rPr>
                <w:rFonts w:cs="Arial"/>
                <w:color w:val="000000"/>
                <w:sz w:val="14"/>
                <w:szCs w:val="14"/>
              </w:rPr>
              <w:t>4</w:t>
            </w:r>
          </w:p>
        </w:tc>
        <w:tc>
          <w:tcPr>
            <w:tcW w:w="424" w:type="pct"/>
            <w:noWrap/>
            <w:vAlign w:val="center"/>
            <w:hideMark/>
          </w:tcPr>
          <w:p w14:paraId="1C94C037" w14:textId="77777777" w:rsidR="004F64EF" w:rsidRPr="003003C0" w:rsidRDefault="004F64EF" w:rsidP="00FD6B66">
            <w:pPr>
              <w:jc w:val="right"/>
              <w:rPr>
                <w:rFonts w:cs="Arial"/>
                <w:color w:val="000000"/>
                <w:sz w:val="14"/>
                <w:szCs w:val="14"/>
              </w:rPr>
            </w:pPr>
            <w:r w:rsidRPr="003003C0">
              <w:rPr>
                <w:rFonts w:cs="Arial"/>
                <w:color w:val="000000"/>
                <w:sz w:val="14"/>
                <w:szCs w:val="14"/>
              </w:rPr>
              <w:t>8</w:t>
            </w:r>
            <w:r>
              <w:rPr>
                <w:rFonts w:cs="Arial"/>
                <w:color w:val="000000"/>
                <w:sz w:val="14"/>
                <w:szCs w:val="14"/>
              </w:rPr>
              <w:t>.</w:t>
            </w:r>
            <w:r w:rsidRPr="003003C0">
              <w:rPr>
                <w:rFonts w:cs="Arial"/>
                <w:color w:val="000000"/>
                <w:sz w:val="14"/>
                <w:szCs w:val="14"/>
              </w:rPr>
              <w:t>0</w:t>
            </w:r>
          </w:p>
        </w:tc>
        <w:tc>
          <w:tcPr>
            <w:tcW w:w="424" w:type="pct"/>
            <w:noWrap/>
            <w:vAlign w:val="center"/>
            <w:hideMark/>
          </w:tcPr>
          <w:p w14:paraId="119EB222" w14:textId="77777777" w:rsidR="004F64EF" w:rsidRPr="003003C0" w:rsidRDefault="004F64EF" w:rsidP="00FD6B66">
            <w:pPr>
              <w:jc w:val="right"/>
              <w:rPr>
                <w:rFonts w:cs="Arial"/>
                <w:color w:val="000000"/>
                <w:sz w:val="14"/>
                <w:szCs w:val="14"/>
              </w:rPr>
            </w:pPr>
            <w:r w:rsidRPr="003003C0">
              <w:rPr>
                <w:rFonts w:cs="Arial"/>
                <w:color w:val="000000"/>
                <w:sz w:val="14"/>
                <w:szCs w:val="14"/>
              </w:rPr>
              <w:t>6</w:t>
            </w:r>
            <w:r>
              <w:rPr>
                <w:rFonts w:cs="Arial"/>
                <w:color w:val="000000"/>
                <w:sz w:val="14"/>
                <w:szCs w:val="14"/>
              </w:rPr>
              <w:t>.</w:t>
            </w:r>
            <w:r w:rsidRPr="003003C0">
              <w:rPr>
                <w:rFonts w:cs="Arial"/>
                <w:color w:val="000000"/>
                <w:sz w:val="14"/>
                <w:szCs w:val="14"/>
              </w:rPr>
              <w:t>9</w:t>
            </w:r>
          </w:p>
        </w:tc>
        <w:tc>
          <w:tcPr>
            <w:tcW w:w="424" w:type="pct"/>
            <w:noWrap/>
            <w:vAlign w:val="center"/>
            <w:hideMark/>
          </w:tcPr>
          <w:p w14:paraId="10248604" w14:textId="77777777" w:rsidR="004F64EF" w:rsidRPr="003003C0" w:rsidRDefault="004F64EF" w:rsidP="00FD6B66">
            <w:pPr>
              <w:jc w:val="right"/>
              <w:rPr>
                <w:rFonts w:cs="Arial"/>
                <w:color w:val="000000"/>
                <w:sz w:val="14"/>
                <w:szCs w:val="14"/>
              </w:rPr>
            </w:pPr>
            <w:r w:rsidRPr="003003C0">
              <w:rPr>
                <w:rFonts w:cs="Arial"/>
                <w:color w:val="000000"/>
                <w:sz w:val="14"/>
                <w:szCs w:val="14"/>
              </w:rPr>
              <w:t>8</w:t>
            </w:r>
            <w:r>
              <w:rPr>
                <w:rFonts w:cs="Arial"/>
                <w:color w:val="000000"/>
                <w:sz w:val="14"/>
                <w:szCs w:val="14"/>
              </w:rPr>
              <w:t>.</w:t>
            </w:r>
            <w:r w:rsidRPr="003003C0">
              <w:rPr>
                <w:rFonts w:cs="Arial"/>
                <w:color w:val="000000"/>
                <w:sz w:val="14"/>
                <w:szCs w:val="14"/>
              </w:rPr>
              <w:t>3</w:t>
            </w:r>
          </w:p>
        </w:tc>
        <w:tc>
          <w:tcPr>
            <w:tcW w:w="424" w:type="pct"/>
            <w:noWrap/>
            <w:vAlign w:val="center"/>
            <w:hideMark/>
          </w:tcPr>
          <w:p w14:paraId="6435FBC0" w14:textId="77777777" w:rsidR="004F64EF" w:rsidRPr="003003C0" w:rsidRDefault="004F64EF" w:rsidP="00FD6B66">
            <w:pPr>
              <w:jc w:val="right"/>
              <w:rPr>
                <w:rFonts w:cs="Arial"/>
                <w:color w:val="000000"/>
                <w:sz w:val="14"/>
                <w:szCs w:val="14"/>
              </w:rPr>
            </w:pPr>
            <w:r w:rsidRPr="003003C0">
              <w:rPr>
                <w:rFonts w:cs="Arial"/>
                <w:color w:val="000000"/>
                <w:sz w:val="14"/>
                <w:szCs w:val="14"/>
              </w:rPr>
              <w:t>8</w:t>
            </w:r>
            <w:r>
              <w:rPr>
                <w:rFonts w:cs="Arial"/>
                <w:color w:val="000000"/>
                <w:sz w:val="14"/>
                <w:szCs w:val="14"/>
              </w:rPr>
              <w:t>.</w:t>
            </w:r>
            <w:r w:rsidRPr="003003C0">
              <w:rPr>
                <w:rFonts w:cs="Arial"/>
                <w:color w:val="000000"/>
                <w:sz w:val="14"/>
                <w:szCs w:val="14"/>
              </w:rPr>
              <w:t>8</w:t>
            </w:r>
          </w:p>
        </w:tc>
        <w:tc>
          <w:tcPr>
            <w:tcW w:w="424" w:type="pct"/>
            <w:noWrap/>
            <w:vAlign w:val="center"/>
            <w:hideMark/>
          </w:tcPr>
          <w:p w14:paraId="0607ECB7" w14:textId="77777777" w:rsidR="004F64EF" w:rsidRPr="003003C0" w:rsidRDefault="004F64EF" w:rsidP="00FD6B66">
            <w:pPr>
              <w:jc w:val="right"/>
              <w:rPr>
                <w:rFonts w:cs="Arial"/>
                <w:color w:val="000000"/>
                <w:sz w:val="14"/>
                <w:szCs w:val="14"/>
              </w:rPr>
            </w:pPr>
            <w:r w:rsidRPr="003003C0">
              <w:rPr>
                <w:rFonts w:cs="Arial"/>
                <w:color w:val="000000"/>
                <w:sz w:val="14"/>
                <w:szCs w:val="14"/>
              </w:rPr>
              <w:t>9</w:t>
            </w:r>
            <w:r>
              <w:rPr>
                <w:rFonts w:cs="Arial"/>
                <w:color w:val="000000"/>
                <w:sz w:val="14"/>
                <w:szCs w:val="14"/>
              </w:rPr>
              <w:t>.</w:t>
            </w:r>
            <w:r w:rsidRPr="003003C0">
              <w:rPr>
                <w:rFonts w:cs="Arial"/>
                <w:color w:val="000000"/>
                <w:sz w:val="14"/>
                <w:szCs w:val="14"/>
              </w:rPr>
              <w:t>8</w:t>
            </w:r>
          </w:p>
        </w:tc>
        <w:tc>
          <w:tcPr>
            <w:tcW w:w="424" w:type="pct"/>
            <w:noWrap/>
            <w:vAlign w:val="center"/>
            <w:hideMark/>
          </w:tcPr>
          <w:p w14:paraId="7910D489" w14:textId="77777777" w:rsidR="004F64EF" w:rsidRPr="003003C0" w:rsidRDefault="004F64EF" w:rsidP="00FD6B66">
            <w:pPr>
              <w:jc w:val="right"/>
              <w:rPr>
                <w:rFonts w:cs="Arial"/>
                <w:color w:val="000000"/>
                <w:sz w:val="14"/>
                <w:szCs w:val="14"/>
              </w:rPr>
            </w:pPr>
            <w:r w:rsidRPr="003003C0">
              <w:rPr>
                <w:rFonts w:cs="Arial"/>
                <w:color w:val="000000"/>
                <w:sz w:val="14"/>
                <w:szCs w:val="14"/>
              </w:rPr>
              <w:t>11</w:t>
            </w:r>
            <w:r>
              <w:rPr>
                <w:rFonts w:cs="Arial"/>
                <w:color w:val="000000"/>
                <w:sz w:val="14"/>
                <w:szCs w:val="14"/>
              </w:rPr>
              <w:t>.</w:t>
            </w:r>
            <w:r w:rsidRPr="003003C0">
              <w:rPr>
                <w:rFonts w:cs="Arial"/>
                <w:color w:val="000000"/>
                <w:sz w:val="14"/>
                <w:szCs w:val="14"/>
              </w:rPr>
              <w:t>6</w:t>
            </w:r>
          </w:p>
        </w:tc>
      </w:tr>
      <w:tr w:rsidR="004F64EF" w:rsidRPr="003003C0" w14:paraId="31536B76" w14:textId="77777777" w:rsidTr="00BE2A9F">
        <w:trPr>
          <w:cnfStyle w:val="000000010000" w:firstRow="0" w:lastRow="0" w:firstColumn="0" w:lastColumn="0" w:oddVBand="0" w:evenVBand="0" w:oddHBand="0" w:evenHBand="1" w:firstRowFirstColumn="0" w:firstRowLastColumn="0" w:lastRowFirstColumn="0" w:lastRowLastColumn="0"/>
          <w:trHeight w:val="20"/>
        </w:trPr>
        <w:tc>
          <w:tcPr>
            <w:tcW w:w="2032" w:type="pct"/>
            <w:noWrap/>
            <w:vAlign w:val="center"/>
            <w:hideMark/>
          </w:tcPr>
          <w:p w14:paraId="16052E24" w14:textId="77777777" w:rsidR="004F64EF" w:rsidRPr="003003C0" w:rsidRDefault="004F64EF" w:rsidP="00FD6B66">
            <w:pPr>
              <w:tabs>
                <w:tab w:val="left" w:pos="510"/>
              </w:tabs>
              <w:jc w:val="left"/>
              <w:rPr>
                <w:rFonts w:cs="Arial"/>
                <w:color w:val="000000"/>
                <w:sz w:val="14"/>
                <w:szCs w:val="14"/>
              </w:rPr>
            </w:pPr>
            <w:r w:rsidRPr="003003C0">
              <w:rPr>
                <w:rFonts w:cs="Arial"/>
                <w:color w:val="000000"/>
                <w:sz w:val="14"/>
                <w:szCs w:val="14"/>
              </w:rPr>
              <w:tab/>
            </w:r>
            <w:r>
              <w:rPr>
                <w:rFonts w:cs="Arial"/>
                <w:color w:val="000000"/>
                <w:sz w:val="14"/>
                <w:szCs w:val="14"/>
              </w:rPr>
              <w:t>Netherlands</w:t>
            </w:r>
          </w:p>
        </w:tc>
        <w:tc>
          <w:tcPr>
            <w:tcW w:w="424" w:type="pct"/>
            <w:noWrap/>
            <w:vAlign w:val="center"/>
            <w:hideMark/>
          </w:tcPr>
          <w:p w14:paraId="5FC7CB2E"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9</w:t>
            </w:r>
          </w:p>
        </w:tc>
        <w:tc>
          <w:tcPr>
            <w:tcW w:w="424" w:type="pct"/>
            <w:noWrap/>
            <w:vAlign w:val="center"/>
            <w:hideMark/>
          </w:tcPr>
          <w:p w14:paraId="0ECA9515" w14:textId="77777777" w:rsidR="004F64EF" w:rsidRPr="003003C0" w:rsidRDefault="004F64EF" w:rsidP="00FD6B66">
            <w:pPr>
              <w:jc w:val="right"/>
              <w:rPr>
                <w:rFonts w:cs="Arial"/>
                <w:color w:val="000000"/>
                <w:sz w:val="14"/>
                <w:szCs w:val="14"/>
              </w:rPr>
            </w:pPr>
            <w:r w:rsidRPr="003003C0">
              <w:rPr>
                <w:rFonts w:cs="Arial"/>
                <w:color w:val="000000"/>
                <w:sz w:val="14"/>
                <w:szCs w:val="14"/>
              </w:rPr>
              <w:t>1</w:t>
            </w:r>
            <w:r>
              <w:rPr>
                <w:rFonts w:cs="Arial"/>
                <w:color w:val="000000"/>
                <w:sz w:val="14"/>
                <w:szCs w:val="14"/>
              </w:rPr>
              <w:t>.</w:t>
            </w:r>
            <w:r w:rsidRPr="003003C0">
              <w:rPr>
                <w:rFonts w:cs="Arial"/>
                <w:color w:val="000000"/>
                <w:sz w:val="14"/>
                <w:szCs w:val="14"/>
              </w:rPr>
              <w:t>1</w:t>
            </w:r>
          </w:p>
        </w:tc>
        <w:tc>
          <w:tcPr>
            <w:tcW w:w="424" w:type="pct"/>
            <w:noWrap/>
            <w:vAlign w:val="center"/>
            <w:hideMark/>
          </w:tcPr>
          <w:p w14:paraId="0CC5F34A" w14:textId="77777777" w:rsidR="004F64EF" w:rsidRPr="003003C0" w:rsidRDefault="004F64EF" w:rsidP="00FD6B66">
            <w:pPr>
              <w:jc w:val="right"/>
              <w:rPr>
                <w:rFonts w:cs="Arial"/>
                <w:color w:val="000000"/>
                <w:sz w:val="14"/>
                <w:szCs w:val="14"/>
              </w:rPr>
            </w:pPr>
            <w:r w:rsidRPr="003003C0">
              <w:rPr>
                <w:rFonts w:cs="Arial"/>
                <w:color w:val="000000"/>
                <w:sz w:val="14"/>
                <w:szCs w:val="14"/>
              </w:rPr>
              <w:t>1</w:t>
            </w:r>
            <w:r>
              <w:rPr>
                <w:rFonts w:cs="Arial"/>
                <w:color w:val="000000"/>
                <w:sz w:val="14"/>
                <w:szCs w:val="14"/>
              </w:rPr>
              <w:t>.</w:t>
            </w:r>
            <w:r w:rsidRPr="003003C0">
              <w:rPr>
                <w:rFonts w:cs="Arial"/>
                <w:color w:val="000000"/>
                <w:sz w:val="14"/>
                <w:szCs w:val="14"/>
              </w:rPr>
              <w:t>2</w:t>
            </w:r>
          </w:p>
        </w:tc>
        <w:tc>
          <w:tcPr>
            <w:tcW w:w="424" w:type="pct"/>
            <w:noWrap/>
            <w:vAlign w:val="center"/>
            <w:hideMark/>
          </w:tcPr>
          <w:p w14:paraId="21131B40" w14:textId="77777777" w:rsidR="004F64EF" w:rsidRPr="003003C0" w:rsidRDefault="004F64EF" w:rsidP="00FD6B66">
            <w:pPr>
              <w:jc w:val="right"/>
              <w:rPr>
                <w:rFonts w:cs="Arial"/>
                <w:color w:val="000000"/>
                <w:sz w:val="14"/>
                <w:szCs w:val="14"/>
              </w:rPr>
            </w:pPr>
            <w:r w:rsidRPr="003003C0">
              <w:rPr>
                <w:rFonts w:cs="Arial"/>
                <w:color w:val="000000"/>
                <w:sz w:val="14"/>
                <w:szCs w:val="14"/>
              </w:rPr>
              <w:t>3</w:t>
            </w:r>
            <w:r>
              <w:rPr>
                <w:rFonts w:cs="Arial"/>
                <w:color w:val="000000"/>
                <w:sz w:val="14"/>
                <w:szCs w:val="14"/>
              </w:rPr>
              <w:t>.</w:t>
            </w:r>
            <w:r w:rsidRPr="003003C0">
              <w:rPr>
                <w:rFonts w:cs="Arial"/>
                <w:color w:val="000000"/>
                <w:sz w:val="14"/>
                <w:szCs w:val="14"/>
              </w:rPr>
              <w:t>0</w:t>
            </w:r>
          </w:p>
        </w:tc>
        <w:tc>
          <w:tcPr>
            <w:tcW w:w="424" w:type="pct"/>
            <w:noWrap/>
            <w:vAlign w:val="center"/>
            <w:hideMark/>
          </w:tcPr>
          <w:p w14:paraId="75093705" w14:textId="77777777" w:rsidR="004F64EF" w:rsidRPr="003003C0" w:rsidRDefault="004F64EF" w:rsidP="00FD6B66">
            <w:pPr>
              <w:jc w:val="right"/>
              <w:rPr>
                <w:rFonts w:cs="Arial"/>
                <w:color w:val="000000"/>
                <w:sz w:val="14"/>
                <w:szCs w:val="14"/>
              </w:rPr>
            </w:pPr>
            <w:r w:rsidRPr="003003C0">
              <w:rPr>
                <w:rFonts w:cs="Arial"/>
                <w:color w:val="000000"/>
                <w:sz w:val="14"/>
                <w:szCs w:val="14"/>
              </w:rPr>
              <w:t>3</w:t>
            </w:r>
            <w:r>
              <w:rPr>
                <w:rFonts w:cs="Arial"/>
                <w:color w:val="000000"/>
                <w:sz w:val="14"/>
                <w:szCs w:val="14"/>
              </w:rPr>
              <w:t>.</w:t>
            </w:r>
            <w:r w:rsidRPr="003003C0">
              <w:rPr>
                <w:rFonts w:cs="Arial"/>
                <w:color w:val="000000"/>
                <w:sz w:val="14"/>
                <w:szCs w:val="14"/>
              </w:rPr>
              <w:t>3</w:t>
            </w:r>
          </w:p>
        </w:tc>
        <w:tc>
          <w:tcPr>
            <w:tcW w:w="424" w:type="pct"/>
            <w:noWrap/>
            <w:vAlign w:val="center"/>
            <w:hideMark/>
          </w:tcPr>
          <w:p w14:paraId="7D90B3AC" w14:textId="77777777" w:rsidR="004F64EF" w:rsidRPr="003003C0" w:rsidRDefault="004F64EF" w:rsidP="00FD6B66">
            <w:pPr>
              <w:jc w:val="right"/>
              <w:rPr>
                <w:rFonts w:cs="Arial"/>
                <w:color w:val="000000"/>
                <w:sz w:val="14"/>
                <w:szCs w:val="14"/>
              </w:rPr>
            </w:pPr>
            <w:r w:rsidRPr="003003C0">
              <w:rPr>
                <w:rFonts w:cs="Arial"/>
                <w:color w:val="000000"/>
                <w:sz w:val="14"/>
                <w:szCs w:val="14"/>
              </w:rPr>
              <w:t>5</w:t>
            </w:r>
            <w:r>
              <w:rPr>
                <w:rFonts w:cs="Arial"/>
                <w:color w:val="000000"/>
                <w:sz w:val="14"/>
                <w:szCs w:val="14"/>
              </w:rPr>
              <w:t>.</w:t>
            </w:r>
            <w:r w:rsidRPr="003003C0">
              <w:rPr>
                <w:rFonts w:cs="Arial"/>
                <w:color w:val="000000"/>
                <w:sz w:val="14"/>
                <w:szCs w:val="14"/>
              </w:rPr>
              <w:t>0</w:t>
            </w:r>
          </w:p>
        </w:tc>
        <w:tc>
          <w:tcPr>
            <w:tcW w:w="424" w:type="pct"/>
            <w:noWrap/>
            <w:vAlign w:val="center"/>
            <w:hideMark/>
          </w:tcPr>
          <w:p w14:paraId="3349CD3D" w14:textId="77777777" w:rsidR="004F64EF" w:rsidRPr="003003C0" w:rsidRDefault="004F64EF" w:rsidP="00FD6B66">
            <w:pPr>
              <w:jc w:val="right"/>
              <w:rPr>
                <w:rFonts w:cs="Arial"/>
                <w:color w:val="000000"/>
                <w:sz w:val="14"/>
                <w:szCs w:val="14"/>
              </w:rPr>
            </w:pPr>
            <w:r w:rsidRPr="003003C0">
              <w:rPr>
                <w:rFonts w:cs="Arial"/>
                <w:color w:val="000000"/>
                <w:sz w:val="14"/>
                <w:szCs w:val="14"/>
              </w:rPr>
              <w:t>4</w:t>
            </w:r>
            <w:r>
              <w:rPr>
                <w:rFonts w:cs="Arial"/>
                <w:color w:val="000000"/>
                <w:sz w:val="14"/>
                <w:szCs w:val="14"/>
              </w:rPr>
              <w:t>.</w:t>
            </w:r>
            <w:r w:rsidRPr="003003C0">
              <w:rPr>
                <w:rFonts w:cs="Arial"/>
                <w:color w:val="000000"/>
                <w:sz w:val="14"/>
                <w:szCs w:val="14"/>
              </w:rPr>
              <w:t>8</w:t>
            </w:r>
          </w:p>
        </w:tc>
      </w:tr>
      <w:tr w:rsidR="004F64EF" w:rsidRPr="003003C0" w14:paraId="1D4E6E77" w14:textId="77777777" w:rsidTr="00BE2A9F">
        <w:trPr>
          <w:trHeight w:val="20"/>
        </w:trPr>
        <w:tc>
          <w:tcPr>
            <w:tcW w:w="2032" w:type="pct"/>
            <w:noWrap/>
            <w:vAlign w:val="center"/>
            <w:hideMark/>
          </w:tcPr>
          <w:p w14:paraId="684E6096" w14:textId="77777777" w:rsidR="004F64EF" w:rsidRPr="003003C0" w:rsidRDefault="004F64EF" w:rsidP="00FD6B66">
            <w:pPr>
              <w:tabs>
                <w:tab w:val="left" w:pos="510"/>
              </w:tabs>
              <w:jc w:val="left"/>
              <w:rPr>
                <w:rFonts w:cs="Arial"/>
                <w:color w:val="000000"/>
                <w:sz w:val="14"/>
                <w:szCs w:val="14"/>
              </w:rPr>
            </w:pPr>
            <w:r w:rsidRPr="003003C0">
              <w:rPr>
                <w:rFonts w:cs="Arial"/>
                <w:color w:val="000000"/>
                <w:sz w:val="14"/>
                <w:szCs w:val="14"/>
              </w:rPr>
              <w:tab/>
              <w:t>Finland</w:t>
            </w:r>
          </w:p>
        </w:tc>
        <w:tc>
          <w:tcPr>
            <w:tcW w:w="424" w:type="pct"/>
            <w:noWrap/>
            <w:vAlign w:val="center"/>
            <w:hideMark/>
          </w:tcPr>
          <w:p w14:paraId="21DC48B7"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0</w:t>
            </w:r>
          </w:p>
        </w:tc>
        <w:tc>
          <w:tcPr>
            <w:tcW w:w="424" w:type="pct"/>
            <w:noWrap/>
            <w:vAlign w:val="center"/>
            <w:hideMark/>
          </w:tcPr>
          <w:p w14:paraId="1ADE4F60"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0</w:t>
            </w:r>
          </w:p>
        </w:tc>
        <w:tc>
          <w:tcPr>
            <w:tcW w:w="424" w:type="pct"/>
            <w:noWrap/>
            <w:vAlign w:val="center"/>
            <w:hideMark/>
          </w:tcPr>
          <w:p w14:paraId="5D97E6DF"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1</w:t>
            </w:r>
          </w:p>
        </w:tc>
        <w:tc>
          <w:tcPr>
            <w:tcW w:w="424" w:type="pct"/>
            <w:noWrap/>
            <w:vAlign w:val="center"/>
            <w:hideMark/>
          </w:tcPr>
          <w:p w14:paraId="2780E06A"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1</w:t>
            </w:r>
          </w:p>
        </w:tc>
        <w:tc>
          <w:tcPr>
            <w:tcW w:w="424" w:type="pct"/>
            <w:noWrap/>
            <w:vAlign w:val="center"/>
            <w:hideMark/>
          </w:tcPr>
          <w:p w14:paraId="162E0F76"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9</w:t>
            </w:r>
          </w:p>
        </w:tc>
        <w:tc>
          <w:tcPr>
            <w:tcW w:w="424" w:type="pct"/>
            <w:noWrap/>
            <w:vAlign w:val="center"/>
            <w:hideMark/>
          </w:tcPr>
          <w:p w14:paraId="0013EA41"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3</w:t>
            </w:r>
          </w:p>
        </w:tc>
        <w:tc>
          <w:tcPr>
            <w:tcW w:w="424" w:type="pct"/>
            <w:noWrap/>
            <w:vAlign w:val="center"/>
            <w:hideMark/>
          </w:tcPr>
          <w:p w14:paraId="170E5E90" w14:textId="77777777" w:rsidR="004F64EF" w:rsidRPr="003003C0" w:rsidRDefault="004F64EF" w:rsidP="00FD6B66">
            <w:pPr>
              <w:jc w:val="right"/>
              <w:rPr>
                <w:rFonts w:cs="Arial"/>
                <w:color w:val="000000"/>
                <w:sz w:val="14"/>
                <w:szCs w:val="14"/>
              </w:rPr>
            </w:pPr>
            <w:r w:rsidRPr="003003C0">
              <w:rPr>
                <w:rFonts w:cs="Arial"/>
                <w:color w:val="000000"/>
                <w:sz w:val="14"/>
                <w:szCs w:val="14"/>
              </w:rPr>
              <w:t>1</w:t>
            </w:r>
            <w:r>
              <w:rPr>
                <w:rFonts w:cs="Arial"/>
                <w:color w:val="000000"/>
                <w:sz w:val="14"/>
                <w:szCs w:val="14"/>
              </w:rPr>
              <w:t>.</w:t>
            </w:r>
            <w:r w:rsidRPr="003003C0">
              <w:rPr>
                <w:rFonts w:cs="Arial"/>
                <w:color w:val="000000"/>
                <w:sz w:val="14"/>
                <w:szCs w:val="14"/>
              </w:rPr>
              <w:t>2</w:t>
            </w:r>
          </w:p>
        </w:tc>
      </w:tr>
      <w:tr w:rsidR="004F64EF" w:rsidRPr="003003C0" w14:paraId="10AD43D4" w14:textId="77777777" w:rsidTr="00BE2A9F">
        <w:trPr>
          <w:cnfStyle w:val="000000010000" w:firstRow="0" w:lastRow="0" w:firstColumn="0" w:lastColumn="0" w:oddVBand="0" w:evenVBand="0" w:oddHBand="0" w:evenHBand="1" w:firstRowFirstColumn="0" w:firstRowLastColumn="0" w:lastRowFirstColumn="0" w:lastRowLastColumn="0"/>
          <w:trHeight w:val="20"/>
        </w:trPr>
        <w:tc>
          <w:tcPr>
            <w:tcW w:w="2032" w:type="pct"/>
            <w:noWrap/>
            <w:vAlign w:val="center"/>
            <w:hideMark/>
          </w:tcPr>
          <w:p w14:paraId="64F09C8B" w14:textId="77777777" w:rsidR="004F64EF" w:rsidRPr="003003C0" w:rsidRDefault="004F64EF" w:rsidP="00FD6B66">
            <w:pPr>
              <w:tabs>
                <w:tab w:val="left" w:pos="510"/>
              </w:tabs>
              <w:jc w:val="left"/>
              <w:rPr>
                <w:rFonts w:cs="Arial"/>
                <w:color w:val="000000"/>
                <w:sz w:val="14"/>
                <w:szCs w:val="14"/>
              </w:rPr>
            </w:pPr>
            <w:r w:rsidRPr="003003C0">
              <w:rPr>
                <w:rFonts w:cs="Arial"/>
                <w:color w:val="000000"/>
                <w:sz w:val="14"/>
                <w:szCs w:val="14"/>
              </w:rPr>
              <w:tab/>
              <w:t>B</w:t>
            </w:r>
            <w:r>
              <w:rPr>
                <w:rFonts w:cs="Arial"/>
                <w:color w:val="000000"/>
                <w:sz w:val="14"/>
                <w:szCs w:val="14"/>
              </w:rPr>
              <w:t>elgium</w:t>
            </w:r>
          </w:p>
        </w:tc>
        <w:tc>
          <w:tcPr>
            <w:tcW w:w="424" w:type="pct"/>
            <w:noWrap/>
            <w:vAlign w:val="center"/>
            <w:hideMark/>
          </w:tcPr>
          <w:p w14:paraId="7DB27BE6" w14:textId="77777777" w:rsidR="004F64EF" w:rsidRPr="003003C0" w:rsidRDefault="004F64EF" w:rsidP="00FD6B66">
            <w:pPr>
              <w:jc w:val="right"/>
              <w:rPr>
                <w:rFonts w:cs="Arial"/>
                <w:color w:val="000000"/>
                <w:sz w:val="14"/>
                <w:szCs w:val="14"/>
              </w:rPr>
            </w:pPr>
            <w:r w:rsidRPr="003003C0">
              <w:rPr>
                <w:rFonts w:cs="Arial"/>
                <w:color w:val="000000"/>
                <w:sz w:val="14"/>
                <w:szCs w:val="14"/>
              </w:rPr>
              <w:t>1</w:t>
            </w:r>
            <w:r>
              <w:rPr>
                <w:rFonts w:cs="Arial"/>
                <w:color w:val="000000"/>
                <w:sz w:val="14"/>
                <w:szCs w:val="14"/>
              </w:rPr>
              <w:t>.</w:t>
            </w:r>
            <w:r w:rsidRPr="003003C0">
              <w:rPr>
                <w:rFonts w:cs="Arial"/>
                <w:color w:val="000000"/>
                <w:sz w:val="14"/>
                <w:szCs w:val="14"/>
              </w:rPr>
              <w:t>0</w:t>
            </w:r>
          </w:p>
        </w:tc>
        <w:tc>
          <w:tcPr>
            <w:tcW w:w="424" w:type="pct"/>
            <w:noWrap/>
            <w:vAlign w:val="center"/>
            <w:hideMark/>
          </w:tcPr>
          <w:p w14:paraId="43482CFA" w14:textId="77777777" w:rsidR="004F64EF" w:rsidRPr="003003C0" w:rsidRDefault="004F64EF" w:rsidP="00FD6B66">
            <w:pPr>
              <w:jc w:val="right"/>
              <w:rPr>
                <w:rFonts w:cs="Arial"/>
                <w:color w:val="000000"/>
                <w:sz w:val="14"/>
                <w:szCs w:val="14"/>
              </w:rPr>
            </w:pPr>
            <w:r w:rsidRPr="003003C0">
              <w:rPr>
                <w:rFonts w:cs="Arial"/>
                <w:color w:val="000000"/>
                <w:sz w:val="14"/>
                <w:szCs w:val="14"/>
              </w:rPr>
              <w:t>1</w:t>
            </w:r>
            <w:r>
              <w:rPr>
                <w:rFonts w:cs="Arial"/>
                <w:color w:val="000000"/>
                <w:sz w:val="14"/>
                <w:szCs w:val="14"/>
              </w:rPr>
              <w:t>.</w:t>
            </w:r>
            <w:r w:rsidRPr="003003C0">
              <w:rPr>
                <w:rFonts w:cs="Arial"/>
                <w:color w:val="000000"/>
                <w:sz w:val="14"/>
                <w:szCs w:val="14"/>
              </w:rPr>
              <w:t>2</w:t>
            </w:r>
          </w:p>
        </w:tc>
        <w:tc>
          <w:tcPr>
            <w:tcW w:w="424" w:type="pct"/>
            <w:noWrap/>
            <w:vAlign w:val="center"/>
            <w:hideMark/>
          </w:tcPr>
          <w:p w14:paraId="42F24790" w14:textId="77777777" w:rsidR="004F64EF" w:rsidRPr="003003C0" w:rsidRDefault="004F64EF" w:rsidP="00FD6B66">
            <w:pPr>
              <w:jc w:val="right"/>
              <w:rPr>
                <w:rFonts w:cs="Arial"/>
                <w:color w:val="000000"/>
                <w:sz w:val="14"/>
                <w:szCs w:val="14"/>
              </w:rPr>
            </w:pPr>
            <w:r w:rsidRPr="003003C0">
              <w:rPr>
                <w:rFonts w:cs="Arial"/>
                <w:color w:val="000000"/>
                <w:sz w:val="14"/>
                <w:szCs w:val="14"/>
              </w:rPr>
              <w:t>1</w:t>
            </w:r>
            <w:r>
              <w:rPr>
                <w:rFonts w:cs="Arial"/>
                <w:color w:val="000000"/>
                <w:sz w:val="14"/>
                <w:szCs w:val="14"/>
              </w:rPr>
              <w:t>.</w:t>
            </w:r>
            <w:r w:rsidRPr="003003C0">
              <w:rPr>
                <w:rFonts w:cs="Arial"/>
                <w:color w:val="000000"/>
                <w:sz w:val="14"/>
                <w:szCs w:val="14"/>
              </w:rPr>
              <w:t>3</w:t>
            </w:r>
          </w:p>
        </w:tc>
        <w:tc>
          <w:tcPr>
            <w:tcW w:w="424" w:type="pct"/>
            <w:noWrap/>
            <w:vAlign w:val="center"/>
            <w:hideMark/>
          </w:tcPr>
          <w:p w14:paraId="63B049DC"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5</w:t>
            </w:r>
          </w:p>
        </w:tc>
        <w:tc>
          <w:tcPr>
            <w:tcW w:w="424" w:type="pct"/>
            <w:noWrap/>
            <w:vAlign w:val="center"/>
            <w:hideMark/>
          </w:tcPr>
          <w:p w14:paraId="7D0E61FF"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6</w:t>
            </w:r>
          </w:p>
        </w:tc>
        <w:tc>
          <w:tcPr>
            <w:tcW w:w="424" w:type="pct"/>
            <w:noWrap/>
            <w:vAlign w:val="center"/>
            <w:hideMark/>
          </w:tcPr>
          <w:p w14:paraId="2BD2751D"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7</w:t>
            </w:r>
          </w:p>
        </w:tc>
        <w:tc>
          <w:tcPr>
            <w:tcW w:w="424" w:type="pct"/>
            <w:noWrap/>
            <w:vAlign w:val="center"/>
            <w:hideMark/>
          </w:tcPr>
          <w:p w14:paraId="43E3AE94" w14:textId="77777777" w:rsidR="004F64EF" w:rsidRPr="003003C0" w:rsidRDefault="004F64EF" w:rsidP="00FD6B66">
            <w:pPr>
              <w:jc w:val="right"/>
              <w:rPr>
                <w:rFonts w:cs="Arial"/>
                <w:color w:val="000000"/>
                <w:sz w:val="14"/>
                <w:szCs w:val="14"/>
              </w:rPr>
            </w:pPr>
            <w:r w:rsidRPr="003003C0">
              <w:rPr>
                <w:rFonts w:cs="Arial"/>
                <w:color w:val="000000"/>
                <w:sz w:val="14"/>
                <w:szCs w:val="14"/>
              </w:rPr>
              <w:t>1</w:t>
            </w:r>
            <w:r>
              <w:rPr>
                <w:rFonts w:cs="Arial"/>
                <w:color w:val="000000"/>
                <w:sz w:val="14"/>
                <w:szCs w:val="14"/>
              </w:rPr>
              <w:t>.</w:t>
            </w:r>
            <w:r w:rsidRPr="003003C0">
              <w:rPr>
                <w:rFonts w:cs="Arial"/>
                <w:color w:val="000000"/>
                <w:sz w:val="14"/>
                <w:szCs w:val="14"/>
              </w:rPr>
              <w:t>2</w:t>
            </w:r>
          </w:p>
        </w:tc>
      </w:tr>
      <w:tr w:rsidR="004F64EF" w:rsidRPr="003003C0" w14:paraId="2C789CB1" w14:textId="77777777" w:rsidTr="00BE2A9F">
        <w:trPr>
          <w:trHeight w:val="20"/>
        </w:trPr>
        <w:tc>
          <w:tcPr>
            <w:tcW w:w="2032" w:type="pct"/>
            <w:noWrap/>
            <w:vAlign w:val="center"/>
            <w:hideMark/>
          </w:tcPr>
          <w:p w14:paraId="620FCA3F" w14:textId="77777777" w:rsidR="004F64EF" w:rsidRPr="003003C0" w:rsidRDefault="004F64EF" w:rsidP="00FD6B66">
            <w:pPr>
              <w:tabs>
                <w:tab w:val="left" w:pos="510"/>
              </w:tabs>
              <w:jc w:val="left"/>
              <w:rPr>
                <w:rFonts w:cs="Arial"/>
                <w:color w:val="000000"/>
                <w:sz w:val="14"/>
                <w:szCs w:val="14"/>
              </w:rPr>
            </w:pPr>
            <w:r w:rsidRPr="003003C0">
              <w:rPr>
                <w:rFonts w:cs="Arial"/>
                <w:color w:val="000000"/>
                <w:sz w:val="14"/>
                <w:szCs w:val="14"/>
              </w:rPr>
              <w:tab/>
              <w:t>Ital</w:t>
            </w:r>
            <w:r>
              <w:rPr>
                <w:rFonts w:cs="Arial"/>
                <w:color w:val="000000"/>
                <w:sz w:val="14"/>
                <w:szCs w:val="14"/>
              </w:rPr>
              <w:t>y</w:t>
            </w:r>
          </w:p>
        </w:tc>
        <w:tc>
          <w:tcPr>
            <w:tcW w:w="424" w:type="pct"/>
            <w:noWrap/>
            <w:vAlign w:val="center"/>
            <w:hideMark/>
          </w:tcPr>
          <w:p w14:paraId="12CEAF80"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4</w:t>
            </w:r>
          </w:p>
        </w:tc>
        <w:tc>
          <w:tcPr>
            <w:tcW w:w="424" w:type="pct"/>
            <w:noWrap/>
            <w:vAlign w:val="center"/>
            <w:hideMark/>
          </w:tcPr>
          <w:p w14:paraId="1E2F8876"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5</w:t>
            </w:r>
          </w:p>
        </w:tc>
        <w:tc>
          <w:tcPr>
            <w:tcW w:w="424" w:type="pct"/>
            <w:noWrap/>
            <w:vAlign w:val="center"/>
            <w:hideMark/>
          </w:tcPr>
          <w:p w14:paraId="2092CADF"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5</w:t>
            </w:r>
          </w:p>
        </w:tc>
        <w:tc>
          <w:tcPr>
            <w:tcW w:w="424" w:type="pct"/>
            <w:noWrap/>
            <w:vAlign w:val="center"/>
            <w:hideMark/>
          </w:tcPr>
          <w:p w14:paraId="3A7D82BC"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8</w:t>
            </w:r>
          </w:p>
        </w:tc>
        <w:tc>
          <w:tcPr>
            <w:tcW w:w="424" w:type="pct"/>
            <w:noWrap/>
            <w:vAlign w:val="center"/>
            <w:hideMark/>
          </w:tcPr>
          <w:p w14:paraId="7C0D4933"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7</w:t>
            </w:r>
          </w:p>
        </w:tc>
        <w:tc>
          <w:tcPr>
            <w:tcW w:w="424" w:type="pct"/>
            <w:noWrap/>
            <w:vAlign w:val="center"/>
            <w:hideMark/>
          </w:tcPr>
          <w:p w14:paraId="24BE20BE"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5</w:t>
            </w:r>
          </w:p>
        </w:tc>
        <w:tc>
          <w:tcPr>
            <w:tcW w:w="424" w:type="pct"/>
            <w:noWrap/>
            <w:vAlign w:val="center"/>
            <w:hideMark/>
          </w:tcPr>
          <w:p w14:paraId="2CFACC33" w14:textId="77777777" w:rsidR="004F64EF" w:rsidRPr="003003C0" w:rsidRDefault="004F64EF" w:rsidP="00FD6B66">
            <w:pPr>
              <w:jc w:val="right"/>
              <w:rPr>
                <w:rFonts w:cs="Arial"/>
                <w:color w:val="000000"/>
                <w:sz w:val="14"/>
                <w:szCs w:val="14"/>
              </w:rPr>
            </w:pPr>
            <w:r w:rsidRPr="003003C0">
              <w:rPr>
                <w:rFonts w:cs="Arial"/>
                <w:color w:val="000000"/>
                <w:sz w:val="14"/>
                <w:szCs w:val="14"/>
              </w:rPr>
              <w:t>1</w:t>
            </w:r>
            <w:r>
              <w:rPr>
                <w:rFonts w:cs="Arial"/>
                <w:color w:val="000000"/>
                <w:sz w:val="14"/>
                <w:szCs w:val="14"/>
              </w:rPr>
              <w:t>.</w:t>
            </w:r>
            <w:r w:rsidRPr="003003C0">
              <w:rPr>
                <w:rFonts w:cs="Arial"/>
                <w:color w:val="000000"/>
                <w:sz w:val="14"/>
                <w:szCs w:val="14"/>
              </w:rPr>
              <w:t>1</w:t>
            </w:r>
          </w:p>
        </w:tc>
      </w:tr>
      <w:tr w:rsidR="004F64EF" w:rsidRPr="003003C0" w14:paraId="3C12F60D" w14:textId="77777777" w:rsidTr="00BE2A9F">
        <w:trPr>
          <w:cnfStyle w:val="000000010000" w:firstRow="0" w:lastRow="0" w:firstColumn="0" w:lastColumn="0" w:oddVBand="0" w:evenVBand="0" w:oddHBand="0" w:evenHBand="1" w:firstRowFirstColumn="0" w:firstRowLastColumn="0" w:lastRowFirstColumn="0" w:lastRowLastColumn="0"/>
          <w:trHeight w:val="20"/>
        </w:trPr>
        <w:tc>
          <w:tcPr>
            <w:tcW w:w="2032" w:type="pct"/>
            <w:noWrap/>
            <w:vAlign w:val="center"/>
            <w:hideMark/>
          </w:tcPr>
          <w:p w14:paraId="2A1FF5D0" w14:textId="77777777" w:rsidR="004F64EF" w:rsidRPr="003003C0" w:rsidRDefault="004F64EF" w:rsidP="00FD6B66">
            <w:pPr>
              <w:tabs>
                <w:tab w:val="left" w:pos="510"/>
              </w:tabs>
              <w:jc w:val="left"/>
              <w:rPr>
                <w:rFonts w:cs="Arial"/>
                <w:color w:val="000000"/>
                <w:sz w:val="14"/>
                <w:szCs w:val="14"/>
              </w:rPr>
            </w:pPr>
            <w:r w:rsidRPr="003003C0">
              <w:rPr>
                <w:rFonts w:cs="Arial"/>
                <w:color w:val="000000"/>
                <w:sz w:val="14"/>
                <w:szCs w:val="14"/>
              </w:rPr>
              <w:tab/>
              <w:t>S</w:t>
            </w:r>
            <w:r>
              <w:rPr>
                <w:rFonts w:cs="Arial"/>
                <w:color w:val="000000"/>
                <w:sz w:val="14"/>
                <w:szCs w:val="14"/>
              </w:rPr>
              <w:t>weden</w:t>
            </w:r>
          </w:p>
        </w:tc>
        <w:tc>
          <w:tcPr>
            <w:tcW w:w="424" w:type="pct"/>
            <w:noWrap/>
            <w:vAlign w:val="center"/>
            <w:hideMark/>
          </w:tcPr>
          <w:p w14:paraId="2725F94A"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9</w:t>
            </w:r>
          </w:p>
        </w:tc>
        <w:tc>
          <w:tcPr>
            <w:tcW w:w="424" w:type="pct"/>
            <w:noWrap/>
            <w:vAlign w:val="center"/>
            <w:hideMark/>
          </w:tcPr>
          <w:p w14:paraId="76D965B8" w14:textId="77777777" w:rsidR="004F64EF" w:rsidRPr="003003C0" w:rsidRDefault="004F64EF" w:rsidP="00FD6B66">
            <w:pPr>
              <w:jc w:val="right"/>
              <w:rPr>
                <w:rFonts w:cs="Arial"/>
                <w:color w:val="000000"/>
                <w:sz w:val="14"/>
                <w:szCs w:val="14"/>
              </w:rPr>
            </w:pPr>
            <w:r w:rsidRPr="003003C0">
              <w:rPr>
                <w:rFonts w:cs="Arial"/>
                <w:color w:val="000000"/>
                <w:sz w:val="14"/>
                <w:szCs w:val="14"/>
              </w:rPr>
              <w:t>1</w:t>
            </w:r>
            <w:r>
              <w:rPr>
                <w:rFonts w:cs="Arial"/>
                <w:color w:val="000000"/>
                <w:sz w:val="14"/>
                <w:szCs w:val="14"/>
              </w:rPr>
              <w:t>.</w:t>
            </w:r>
            <w:r w:rsidRPr="003003C0">
              <w:rPr>
                <w:rFonts w:cs="Arial"/>
                <w:color w:val="000000"/>
                <w:sz w:val="14"/>
                <w:szCs w:val="14"/>
              </w:rPr>
              <w:t>6</w:t>
            </w:r>
          </w:p>
        </w:tc>
        <w:tc>
          <w:tcPr>
            <w:tcW w:w="424" w:type="pct"/>
            <w:noWrap/>
            <w:vAlign w:val="center"/>
            <w:hideMark/>
          </w:tcPr>
          <w:p w14:paraId="0D203BE2" w14:textId="77777777" w:rsidR="004F64EF" w:rsidRPr="003003C0" w:rsidRDefault="004F64EF" w:rsidP="00FD6B66">
            <w:pPr>
              <w:jc w:val="right"/>
              <w:rPr>
                <w:rFonts w:cs="Arial"/>
                <w:color w:val="000000"/>
                <w:sz w:val="14"/>
                <w:szCs w:val="14"/>
              </w:rPr>
            </w:pPr>
            <w:r w:rsidRPr="003003C0">
              <w:rPr>
                <w:rFonts w:cs="Arial"/>
                <w:color w:val="000000"/>
                <w:sz w:val="14"/>
                <w:szCs w:val="14"/>
              </w:rPr>
              <w:t>1</w:t>
            </w:r>
            <w:r>
              <w:rPr>
                <w:rFonts w:cs="Arial"/>
                <w:color w:val="000000"/>
                <w:sz w:val="14"/>
                <w:szCs w:val="14"/>
              </w:rPr>
              <w:t>.</w:t>
            </w:r>
            <w:r w:rsidRPr="003003C0">
              <w:rPr>
                <w:rFonts w:cs="Arial"/>
                <w:color w:val="000000"/>
                <w:sz w:val="14"/>
                <w:szCs w:val="14"/>
              </w:rPr>
              <w:t>0</w:t>
            </w:r>
          </w:p>
        </w:tc>
        <w:tc>
          <w:tcPr>
            <w:tcW w:w="424" w:type="pct"/>
            <w:noWrap/>
            <w:vAlign w:val="center"/>
            <w:hideMark/>
          </w:tcPr>
          <w:p w14:paraId="28A60048"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4</w:t>
            </w:r>
          </w:p>
        </w:tc>
        <w:tc>
          <w:tcPr>
            <w:tcW w:w="424" w:type="pct"/>
            <w:noWrap/>
            <w:vAlign w:val="center"/>
            <w:hideMark/>
          </w:tcPr>
          <w:p w14:paraId="03657FF5"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9</w:t>
            </w:r>
          </w:p>
        </w:tc>
        <w:tc>
          <w:tcPr>
            <w:tcW w:w="424" w:type="pct"/>
            <w:noWrap/>
            <w:vAlign w:val="center"/>
            <w:hideMark/>
          </w:tcPr>
          <w:p w14:paraId="67EA9D83" w14:textId="77777777" w:rsidR="004F64EF" w:rsidRPr="003003C0" w:rsidRDefault="004F64EF" w:rsidP="00FD6B66">
            <w:pPr>
              <w:jc w:val="right"/>
              <w:rPr>
                <w:rFonts w:cs="Arial"/>
                <w:color w:val="000000"/>
                <w:sz w:val="14"/>
                <w:szCs w:val="14"/>
              </w:rPr>
            </w:pPr>
            <w:r w:rsidRPr="003003C0">
              <w:rPr>
                <w:rFonts w:cs="Arial"/>
                <w:color w:val="000000"/>
                <w:sz w:val="14"/>
                <w:szCs w:val="14"/>
              </w:rPr>
              <w:t>1</w:t>
            </w:r>
            <w:r>
              <w:rPr>
                <w:rFonts w:cs="Arial"/>
                <w:color w:val="000000"/>
                <w:sz w:val="14"/>
                <w:szCs w:val="14"/>
              </w:rPr>
              <w:t>.</w:t>
            </w:r>
            <w:r w:rsidRPr="003003C0">
              <w:rPr>
                <w:rFonts w:cs="Arial"/>
                <w:color w:val="000000"/>
                <w:sz w:val="14"/>
                <w:szCs w:val="14"/>
              </w:rPr>
              <w:t>1</w:t>
            </w:r>
          </w:p>
        </w:tc>
        <w:tc>
          <w:tcPr>
            <w:tcW w:w="424" w:type="pct"/>
            <w:noWrap/>
            <w:vAlign w:val="center"/>
            <w:hideMark/>
          </w:tcPr>
          <w:p w14:paraId="2EA99DAE" w14:textId="77777777" w:rsidR="004F64EF" w:rsidRPr="003003C0" w:rsidRDefault="004F64EF" w:rsidP="00FD6B66">
            <w:pPr>
              <w:jc w:val="right"/>
              <w:rPr>
                <w:rFonts w:cs="Arial"/>
                <w:color w:val="000000"/>
                <w:sz w:val="14"/>
                <w:szCs w:val="14"/>
              </w:rPr>
            </w:pPr>
            <w:r w:rsidRPr="003003C0">
              <w:rPr>
                <w:rFonts w:cs="Arial"/>
                <w:color w:val="000000"/>
                <w:sz w:val="14"/>
                <w:szCs w:val="14"/>
              </w:rPr>
              <w:t>1</w:t>
            </w:r>
            <w:r>
              <w:rPr>
                <w:rFonts w:cs="Arial"/>
                <w:color w:val="000000"/>
                <w:sz w:val="14"/>
                <w:szCs w:val="14"/>
              </w:rPr>
              <w:t>.</w:t>
            </w:r>
            <w:r w:rsidRPr="003003C0">
              <w:rPr>
                <w:rFonts w:cs="Arial"/>
                <w:color w:val="000000"/>
                <w:sz w:val="14"/>
                <w:szCs w:val="14"/>
              </w:rPr>
              <w:t>0</w:t>
            </w:r>
          </w:p>
        </w:tc>
      </w:tr>
      <w:tr w:rsidR="004F64EF" w:rsidRPr="003003C0" w14:paraId="350D9AEA" w14:textId="77777777" w:rsidTr="00BE2A9F">
        <w:trPr>
          <w:trHeight w:val="20"/>
        </w:trPr>
        <w:tc>
          <w:tcPr>
            <w:tcW w:w="2032" w:type="pct"/>
            <w:noWrap/>
            <w:vAlign w:val="center"/>
            <w:hideMark/>
          </w:tcPr>
          <w:p w14:paraId="3E762265" w14:textId="77777777" w:rsidR="004F64EF" w:rsidRPr="003003C0" w:rsidRDefault="004F64EF" w:rsidP="00FD6B66">
            <w:pPr>
              <w:tabs>
                <w:tab w:val="left" w:pos="113"/>
              </w:tabs>
              <w:jc w:val="left"/>
              <w:rPr>
                <w:rFonts w:cs="Arial"/>
                <w:color w:val="000000"/>
                <w:sz w:val="14"/>
                <w:szCs w:val="14"/>
              </w:rPr>
            </w:pPr>
            <w:r w:rsidRPr="003003C0">
              <w:rPr>
                <w:rFonts w:cs="Arial"/>
                <w:color w:val="000000"/>
                <w:sz w:val="14"/>
                <w:szCs w:val="14"/>
              </w:rPr>
              <w:tab/>
            </w:r>
            <w:r>
              <w:rPr>
                <w:rFonts w:cs="Arial"/>
                <w:color w:val="000000"/>
                <w:sz w:val="14"/>
                <w:szCs w:val="14"/>
              </w:rPr>
              <w:t>EFTA</w:t>
            </w:r>
          </w:p>
        </w:tc>
        <w:tc>
          <w:tcPr>
            <w:tcW w:w="424" w:type="pct"/>
            <w:noWrap/>
            <w:vAlign w:val="center"/>
            <w:hideMark/>
          </w:tcPr>
          <w:p w14:paraId="55125614" w14:textId="77777777" w:rsidR="004F64EF" w:rsidRPr="003003C0" w:rsidRDefault="004F64EF" w:rsidP="00FD6B66">
            <w:pPr>
              <w:jc w:val="right"/>
              <w:rPr>
                <w:rFonts w:cs="Arial"/>
                <w:color w:val="000000"/>
                <w:sz w:val="14"/>
                <w:szCs w:val="14"/>
              </w:rPr>
            </w:pPr>
            <w:r w:rsidRPr="003003C0">
              <w:rPr>
                <w:rFonts w:cs="Arial"/>
                <w:color w:val="000000"/>
                <w:sz w:val="14"/>
                <w:szCs w:val="14"/>
              </w:rPr>
              <w:t>1</w:t>
            </w:r>
            <w:r>
              <w:rPr>
                <w:rFonts w:cs="Arial"/>
                <w:color w:val="000000"/>
                <w:sz w:val="14"/>
                <w:szCs w:val="14"/>
              </w:rPr>
              <w:t>.</w:t>
            </w:r>
            <w:r w:rsidRPr="003003C0">
              <w:rPr>
                <w:rFonts w:cs="Arial"/>
                <w:color w:val="000000"/>
                <w:sz w:val="14"/>
                <w:szCs w:val="14"/>
              </w:rPr>
              <w:t>6</w:t>
            </w:r>
          </w:p>
        </w:tc>
        <w:tc>
          <w:tcPr>
            <w:tcW w:w="424" w:type="pct"/>
            <w:noWrap/>
            <w:vAlign w:val="center"/>
            <w:hideMark/>
          </w:tcPr>
          <w:p w14:paraId="3B7D31DB" w14:textId="77777777" w:rsidR="004F64EF" w:rsidRPr="003003C0" w:rsidRDefault="004F64EF" w:rsidP="00FD6B66">
            <w:pPr>
              <w:jc w:val="right"/>
              <w:rPr>
                <w:rFonts w:cs="Arial"/>
                <w:color w:val="000000"/>
                <w:sz w:val="14"/>
                <w:szCs w:val="14"/>
              </w:rPr>
            </w:pPr>
            <w:r w:rsidRPr="003003C0">
              <w:rPr>
                <w:rFonts w:cs="Arial"/>
                <w:color w:val="000000"/>
                <w:sz w:val="14"/>
                <w:szCs w:val="14"/>
              </w:rPr>
              <w:t>7</w:t>
            </w:r>
            <w:r>
              <w:rPr>
                <w:rFonts w:cs="Arial"/>
                <w:color w:val="000000"/>
                <w:sz w:val="14"/>
                <w:szCs w:val="14"/>
              </w:rPr>
              <w:t>.</w:t>
            </w:r>
            <w:r w:rsidRPr="003003C0">
              <w:rPr>
                <w:rFonts w:cs="Arial"/>
                <w:color w:val="000000"/>
                <w:sz w:val="14"/>
                <w:szCs w:val="14"/>
              </w:rPr>
              <w:t>7</w:t>
            </w:r>
          </w:p>
        </w:tc>
        <w:tc>
          <w:tcPr>
            <w:tcW w:w="424" w:type="pct"/>
            <w:noWrap/>
            <w:vAlign w:val="center"/>
            <w:hideMark/>
          </w:tcPr>
          <w:p w14:paraId="4CEE6A50" w14:textId="77777777" w:rsidR="004F64EF" w:rsidRPr="003003C0" w:rsidRDefault="004F64EF" w:rsidP="00FD6B66">
            <w:pPr>
              <w:jc w:val="right"/>
              <w:rPr>
                <w:rFonts w:cs="Arial"/>
                <w:color w:val="000000"/>
                <w:sz w:val="14"/>
                <w:szCs w:val="14"/>
              </w:rPr>
            </w:pPr>
            <w:r w:rsidRPr="003003C0">
              <w:rPr>
                <w:rFonts w:cs="Arial"/>
                <w:color w:val="000000"/>
                <w:sz w:val="14"/>
                <w:szCs w:val="14"/>
              </w:rPr>
              <w:t>5</w:t>
            </w:r>
            <w:r>
              <w:rPr>
                <w:rFonts w:cs="Arial"/>
                <w:color w:val="000000"/>
                <w:sz w:val="14"/>
                <w:szCs w:val="14"/>
              </w:rPr>
              <w:t>.</w:t>
            </w:r>
            <w:r w:rsidRPr="003003C0">
              <w:rPr>
                <w:rFonts w:cs="Arial"/>
                <w:color w:val="000000"/>
                <w:sz w:val="14"/>
                <w:szCs w:val="14"/>
              </w:rPr>
              <w:t>3</w:t>
            </w:r>
          </w:p>
        </w:tc>
        <w:tc>
          <w:tcPr>
            <w:tcW w:w="424" w:type="pct"/>
            <w:noWrap/>
            <w:vAlign w:val="center"/>
            <w:hideMark/>
          </w:tcPr>
          <w:p w14:paraId="71714B09" w14:textId="77777777" w:rsidR="004F64EF" w:rsidRPr="003003C0" w:rsidRDefault="004F64EF" w:rsidP="00FD6B66">
            <w:pPr>
              <w:jc w:val="right"/>
              <w:rPr>
                <w:rFonts w:cs="Arial"/>
                <w:color w:val="000000"/>
                <w:sz w:val="14"/>
                <w:szCs w:val="14"/>
              </w:rPr>
            </w:pPr>
            <w:r w:rsidRPr="003003C0">
              <w:rPr>
                <w:rFonts w:cs="Arial"/>
                <w:color w:val="000000"/>
                <w:sz w:val="14"/>
                <w:szCs w:val="14"/>
              </w:rPr>
              <w:t>3</w:t>
            </w:r>
            <w:r>
              <w:rPr>
                <w:rFonts w:cs="Arial"/>
                <w:color w:val="000000"/>
                <w:sz w:val="14"/>
                <w:szCs w:val="14"/>
              </w:rPr>
              <w:t>.</w:t>
            </w:r>
            <w:r w:rsidRPr="003003C0">
              <w:rPr>
                <w:rFonts w:cs="Arial"/>
                <w:color w:val="000000"/>
                <w:sz w:val="14"/>
                <w:szCs w:val="14"/>
              </w:rPr>
              <w:t>1</w:t>
            </w:r>
          </w:p>
        </w:tc>
        <w:tc>
          <w:tcPr>
            <w:tcW w:w="424" w:type="pct"/>
            <w:noWrap/>
            <w:vAlign w:val="center"/>
            <w:hideMark/>
          </w:tcPr>
          <w:p w14:paraId="22589F84" w14:textId="77777777" w:rsidR="004F64EF" w:rsidRPr="003003C0" w:rsidRDefault="004F64EF" w:rsidP="00FD6B66">
            <w:pPr>
              <w:jc w:val="right"/>
              <w:rPr>
                <w:rFonts w:cs="Arial"/>
                <w:color w:val="000000"/>
                <w:sz w:val="14"/>
                <w:szCs w:val="14"/>
              </w:rPr>
            </w:pPr>
            <w:r w:rsidRPr="003003C0">
              <w:rPr>
                <w:rFonts w:cs="Arial"/>
                <w:color w:val="000000"/>
                <w:sz w:val="14"/>
                <w:szCs w:val="14"/>
              </w:rPr>
              <w:t>15</w:t>
            </w:r>
            <w:r>
              <w:rPr>
                <w:rFonts w:cs="Arial"/>
                <w:color w:val="000000"/>
                <w:sz w:val="14"/>
                <w:szCs w:val="14"/>
              </w:rPr>
              <w:t>.</w:t>
            </w:r>
            <w:r w:rsidRPr="003003C0">
              <w:rPr>
                <w:rFonts w:cs="Arial"/>
                <w:color w:val="000000"/>
                <w:sz w:val="14"/>
                <w:szCs w:val="14"/>
              </w:rPr>
              <w:t>7</w:t>
            </w:r>
          </w:p>
        </w:tc>
        <w:tc>
          <w:tcPr>
            <w:tcW w:w="424" w:type="pct"/>
            <w:noWrap/>
            <w:vAlign w:val="center"/>
            <w:hideMark/>
          </w:tcPr>
          <w:p w14:paraId="3CEC5F8C" w14:textId="77777777" w:rsidR="004F64EF" w:rsidRPr="003003C0" w:rsidRDefault="004F64EF" w:rsidP="00FD6B66">
            <w:pPr>
              <w:jc w:val="right"/>
              <w:rPr>
                <w:rFonts w:cs="Arial"/>
                <w:color w:val="000000"/>
                <w:sz w:val="14"/>
                <w:szCs w:val="14"/>
              </w:rPr>
            </w:pPr>
            <w:r w:rsidRPr="003003C0">
              <w:rPr>
                <w:rFonts w:cs="Arial"/>
                <w:color w:val="000000"/>
                <w:sz w:val="14"/>
                <w:szCs w:val="14"/>
              </w:rPr>
              <w:t>28</w:t>
            </w:r>
            <w:r>
              <w:rPr>
                <w:rFonts w:cs="Arial"/>
                <w:color w:val="000000"/>
                <w:sz w:val="14"/>
                <w:szCs w:val="14"/>
              </w:rPr>
              <w:t>.</w:t>
            </w:r>
            <w:r w:rsidRPr="003003C0">
              <w:rPr>
                <w:rFonts w:cs="Arial"/>
                <w:color w:val="000000"/>
                <w:sz w:val="14"/>
                <w:szCs w:val="14"/>
              </w:rPr>
              <w:t>7</w:t>
            </w:r>
          </w:p>
        </w:tc>
        <w:tc>
          <w:tcPr>
            <w:tcW w:w="424" w:type="pct"/>
            <w:noWrap/>
            <w:vAlign w:val="center"/>
            <w:hideMark/>
          </w:tcPr>
          <w:p w14:paraId="531A5A78" w14:textId="77777777" w:rsidR="004F64EF" w:rsidRPr="003003C0" w:rsidRDefault="004F64EF" w:rsidP="00FD6B66">
            <w:pPr>
              <w:jc w:val="right"/>
              <w:rPr>
                <w:rFonts w:cs="Arial"/>
                <w:color w:val="000000"/>
                <w:sz w:val="14"/>
                <w:szCs w:val="14"/>
              </w:rPr>
            </w:pPr>
            <w:r w:rsidRPr="003003C0">
              <w:rPr>
                <w:rFonts w:cs="Arial"/>
                <w:color w:val="000000"/>
                <w:sz w:val="14"/>
                <w:szCs w:val="14"/>
              </w:rPr>
              <w:t>20</w:t>
            </w:r>
            <w:r>
              <w:rPr>
                <w:rFonts w:cs="Arial"/>
                <w:color w:val="000000"/>
                <w:sz w:val="14"/>
                <w:szCs w:val="14"/>
              </w:rPr>
              <w:t>.</w:t>
            </w:r>
            <w:r w:rsidRPr="003003C0">
              <w:rPr>
                <w:rFonts w:cs="Arial"/>
                <w:color w:val="000000"/>
                <w:sz w:val="14"/>
                <w:szCs w:val="14"/>
              </w:rPr>
              <w:t>3</w:t>
            </w:r>
          </w:p>
        </w:tc>
      </w:tr>
      <w:tr w:rsidR="004F64EF" w:rsidRPr="003003C0" w14:paraId="2564097C" w14:textId="77777777" w:rsidTr="00BE2A9F">
        <w:trPr>
          <w:cnfStyle w:val="000000010000" w:firstRow="0" w:lastRow="0" w:firstColumn="0" w:lastColumn="0" w:oddVBand="0" w:evenVBand="0" w:oddHBand="0" w:evenHBand="1" w:firstRowFirstColumn="0" w:firstRowLastColumn="0" w:lastRowFirstColumn="0" w:lastRowLastColumn="0"/>
          <w:trHeight w:val="20"/>
        </w:trPr>
        <w:tc>
          <w:tcPr>
            <w:tcW w:w="2032" w:type="pct"/>
            <w:noWrap/>
            <w:vAlign w:val="center"/>
            <w:hideMark/>
          </w:tcPr>
          <w:p w14:paraId="65FCDD5F" w14:textId="77777777" w:rsidR="004F64EF" w:rsidRPr="003003C0" w:rsidRDefault="004F64EF" w:rsidP="00FD6B66">
            <w:pPr>
              <w:tabs>
                <w:tab w:val="left" w:pos="510"/>
              </w:tabs>
              <w:jc w:val="left"/>
              <w:rPr>
                <w:rFonts w:cs="Arial"/>
                <w:color w:val="000000"/>
                <w:sz w:val="14"/>
                <w:szCs w:val="14"/>
              </w:rPr>
            </w:pPr>
            <w:r w:rsidRPr="003003C0">
              <w:rPr>
                <w:rFonts w:cs="Arial"/>
                <w:color w:val="000000"/>
                <w:sz w:val="14"/>
                <w:szCs w:val="14"/>
              </w:rPr>
              <w:tab/>
              <w:t>S</w:t>
            </w:r>
            <w:r>
              <w:rPr>
                <w:rFonts w:cs="Arial"/>
                <w:color w:val="000000"/>
                <w:sz w:val="14"/>
                <w:szCs w:val="14"/>
              </w:rPr>
              <w:t>witzerland</w:t>
            </w:r>
          </w:p>
        </w:tc>
        <w:tc>
          <w:tcPr>
            <w:tcW w:w="424" w:type="pct"/>
            <w:noWrap/>
            <w:vAlign w:val="center"/>
            <w:hideMark/>
          </w:tcPr>
          <w:p w14:paraId="30C5619A" w14:textId="77777777" w:rsidR="004F64EF" w:rsidRPr="003003C0" w:rsidRDefault="004F64EF" w:rsidP="00FD6B66">
            <w:pPr>
              <w:jc w:val="right"/>
              <w:rPr>
                <w:rFonts w:cs="Arial"/>
                <w:color w:val="000000"/>
                <w:sz w:val="14"/>
                <w:szCs w:val="14"/>
              </w:rPr>
            </w:pPr>
            <w:r w:rsidRPr="003003C0">
              <w:rPr>
                <w:rFonts w:cs="Arial"/>
                <w:color w:val="000000"/>
                <w:sz w:val="14"/>
                <w:szCs w:val="14"/>
              </w:rPr>
              <w:t>1</w:t>
            </w:r>
            <w:r>
              <w:rPr>
                <w:rFonts w:cs="Arial"/>
                <w:color w:val="000000"/>
                <w:sz w:val="14"/>
                <w:szCs w:val="14"/>
              </w:rPr>
              <w:t>.</w:t>
            </w:r>
            <w:r w:rsidRPr="003003C0">
              <w:rPr>
                <w:rFonts w:cs="Arial"/>
                <w:color w:val="000000"/>
                <w:sz w:val="14"/>
                <w:szCs w:val="14"/>
              </w:rPr>
              <w:t>4</w:t>
            </w:r>
          </w:p>
        </w:tc>
        <w:tc>
          <w:tcPr>
            <w:tcW w:w="424" w:type="pct"/>
            <w:noWrap/>
            <w:vAlign w:val="center"/>
            <w:hideMark/>
          </w:tcPr>
          <w:p w14:paraId="1F3E0D7D" w14:textId="77777777" w:rsidR="004F64EF" w:rsidRPr="003003C0" w:rsidRDefault="004F64EF" w:rsidP="00FD6B66">
            <w:pPr>
              <w:jc w:val="right"/>
              <w:rPr>
                <w:rFonts w:cs="Arial"/>
                <w:color w:val="000000"/>
                <w:sz w:val="14"/>
                <w:szCs w:val="14"/>
              </w:rPr>
            </w:pPr>
            <w:r w:rsidRPr="003003C0">
              <w:rPr>
                <w:rFonts w:cs="Arial"/>
                <w:color w:val="000000"/>
                <w:sz w:val="14"/>
                <w:szCs w:val="14"/>
              </w:rPr>
              <w:t>7</w:t>
            </w:r>
            <w:r>
              <w:rPr>
                <w:rFonts w:cs="Arial"/>
                <w:color w:val="000000"/>
                <w:sz w:val="14"/>
                <w:szCs w:val="14"/>
              </w:rPr>
              <w:t>.</w:t>
            </w:r>
            <w:r w:rsidRPr="003003C0">
              <w:rPr>
                <w:rFonts w:cs="Arial"/>
                <w:color w:val="000000"/>
                <w:sz w:val="14"/>
                <w:szCs w:val="14"/>
              </w:rPr>
              <w:t>6</w:t>
            </w:r>
          </w:p>
        </w:tc>
        <w:tc>
          <w:tcPr>
            <w:tcW w:w="424" w:type="pct"/>
            <w:noWrap/>
            <w:vAlign w:val="center"/>
            <w:hideMark/>
          </w:tcPr>
          <w:p w14:paraId="2A984542" w14:textId="77777777" w:rsidR="004F64EF" w:rsidRPr="003003C0" w:rsidRDefault="004F64EF" w:rsidP="00FD6B66">
            <w:pPr>
              <w:jc w:val="right"/>
              <w:rPr>
                <w:rFonts w:cs="Arial"/>
                <w:color w:val="000000"/>
                <w:sz w:val="14"/>
                <w:szCs w:val="14"/>
              </w:rPr>
            </w:pPr>
            <w:r w:rsidRPr="003003C0">
              <w:rPr>
                <w:rFonts w:cs="Arial"/>
                <w:color w:val="000000"/>
                <w:sz w:val="14"/>
                <w:szCs w:val="14"/>
              </w:rPr>
              <w:t>5</w:t>
            </w:r>
            <w:r>
              <w:rPr>
                <w:rFonts w:cs="Arial"/>
                <w:color w:val="000000"/>
                <w:sz w:val="14"/>
                <w:szCs w:val="14"/>
              </w:rPr>
              <w:t>.</w:t>
            </w:r>
            <w:r w:rsidRPr="003003C0">
              <w:rPr>
                <w:rFonts w:cs="Arial"/>
                <w:color w:val="000000"/>
                <w:sz w:val="14"/>
                <w:szCs w:val="14"/>
              </w:rPr>
              <w:t>3</w:t>
            </w:r>
          </w:p>
        </w:tc>
        <w:tc>
          <w:tcPr>
            <w:tcW w:w="424" w:type="pct"/>
            <w:noWrap/>
            <w:vAlign w:val="center"/>
            <w:hideMark/>
          </w:tcPr>
          <w:p w14:paraId="2EA5CE71" w14:textId="77777777" w:rsidR="004F64EF" w:rsidRPr="003003C0" w:rsidRDefault="004F64EF" w:rsidP="00FD6B66">
            <w:pPr>
              <w:jc w:val="right"/>
              <w:rPr>
                <w:rFonts w:cs="Arial"/>
                <w:color w:val="000000"/>
                <w:sz w:val="14"/>
                <w:szCs w:val="14"/>
              </w:rPr>
            </w:pPr>
            <w:r w:rsidRPr="003003C0">
              <w:rPr>
                <w:rFonts w:cs="Arial"/>
                <w:color w:val="000000"/>
                <w:sz w:val="14"/>
                <w:szCs w:val="14"/>
              </w:rPr>
              <w:t>3</w:t>
            </w:r>
            <w:r>
              <w:rPr>
                <w:rFonts w:cs="Arial"/>
                <w:color w:val="000000"/>
                <w:sz w:val="14"/>
                <w:szCs w:val="14"/>
              </w:rPr>
              <w:t>.</w:t>
            </w:r>
            <w:r w:rsidRPr="003003C0">
              <w:rPr>
                <w:rFonts w:cs="Arial"/>
                <w:color w:val="000000"/>
                <w:sz w:val="14"/>
                <w:szCs w:val="14"/>
              </w:rPr>
              <w:t>0</w:t>
            </w:r>
          </w:p>
        </w:tc>
        <w:tc>
          <w:tcPr>
            <w:tcW w:w="424" w:type="pct"/>
            <w:noWrap/>
            <w:vAlign w:val="center"/>
            <w:hideMark/>
          </w:tcPr>
          <w:p w14:paraId="29ED9A3F" w14:textId="77777777" w:rsidR="004F64EF" w:rsidRPr="003003C0" w:rsidRDefault="004F64EF" w:rsidP="00FD6B66">
            <w:pPr>
              <w:jc w:val="right"/>
              <w:rPr>
                <w:rFonts w:cs="Arial"/>
                <w:color w:val="000000"/>
                <w:sz w:val="14"/>
                <w:szCs w:val="14"/>
              </w:rPr>
            </w:pPr>
            <w:r w:rsidRPr="003003C0">
              <w:rPr>
                <w:rFonts w:cs="Arial"/>
                <w:color w:val="000000"/>
                <w:sz w:val="14"/>
                <w:szCs w:val="14"/>
              </w:rPr>
              <w:t>15</w:t>
            </w:r>
            <w:r>
              <w:rPr>
                <w:rFonts w:cs="Arial"/>
                <w:color w:val="000000"/>
                <w:sz w:val="14"/>
                <w:szCs w:val="14"/>
              </w:rPr>
              <w:t>.</w:t>
            </w:r>
            <w:r w:rsidRPr="003003C0">
              <w:rPr>
                <w:rFonts w:cs="Arial"/>
                <w:color w:val="000000"/>
                <w:sz w:val="14"/>
                <w:szCs w:val="14"/>
              </w:rPr>
              <w:t>6</w:t>
            </w:r>
          </w:p>
        </w:tc>
        <w:tc>
          <w:tcPr>
            <w:tcW w:w="424" w:type="pct"/>
            <w:noWrap/>
            <w:vAlign w:val="center"/>
            <w:hideMark/>
          </w:tcPr>
          <w:p w14:paraId="1B432A85" w14:textId="77777777" w:rsidR="004F64EF" w:rsidRPr="003003C0" w:rsidRDefault="004F64EF" w:rsidP="00FD6B66">
            <w:pPr>
              <w:jc w:val="right"/>
              <w:rPr>
                <w:rFonts w:cs="Arial"/>
                <w:color w:val="000000"/>
                <w:sz w:val="14"/>
                <w:szCs w:val="14"/>
              </w:rPr>
            </w:pPr>
            <w:r w:rsidRPr="003003C0">
              <w:rPr>
                <w:rFonts w:cs="Arial"/>
                <w:color w:val="000000"/>
                <w:sz w:val="14"/>
                <w:szCs w:val="14"/>
              </w:rPr>
              <w:t>28</w:t>
            </w:r>
            <w:r>
              <w:rPr>
                <w:rFonts w:cs="Arial"/>
                <w:color w:val="000000"/>
                <w:sz w:val="14"/>
                <w:szCs w:val="14"/>
              </w:rPr>
              <w:t>.</w:t>
            </w:r>
            <w:r w:rsidRPr="003003C0">
              <w:rPr>
                <w:rFonts w:cs="Arial"/>
                <w:color w:val="000000"/>
                <w:sz w:val="14"/>
                <w:szCs w:val="14"/>
              </w:rPr>
              <w:t>7</w:t>
            </w:r>
          </w:p>
        </w:tc>
        <w:tc>
          <w:tcPr>
            <w:tcW w:w="424" w:type="pct"/>
            <w:noWrap/>
            <w:vAlign w:val="center"/>
            <w:hideMark/>
          </w:tcPr>
          <w:p w14:paraId="7AC2FCAA" w14:textId="77777777" w:rsidR="004F64EF" w:rsidRPr="003003C0" w:rsidRDefault="004F64EF" w:rsidP="00FD6B66">
            <w:pPr>
              <w:jc w:val="right"/>
              <w:rPr>
                <w:rFonts w:cs="Arial"/>
                <w:color w:val="000000"/>
                <w:sz w:val="14"/>
                <w:szCs w:val="14"/>
              </w:rPr>
            </w:pPr>
            <w:r w:rsidRPr="003003C0">
              <w:rPr>
                <w:rFonts w:cs="Arial"/>
                <w:color w:val="000000"/>
                <w:sz w:val="14"/>
                <w:szCs w:val="14"/>
              </w:rPr>
              <w:t>20</w:t>
            </w:r>
            <w:r>
              <w:rPr>
                <w:rFonts w:cs="Arial"/>
                <w:color w:val="000000"/>
                <w:sz w:val="14"/>
                <w:szCs w:val="14"/>
              </w:rPr>
              <w:t>.</w:t>
            </w:r>
            <w:r w:rsidRPr="003003C0">
              <w:rPr>
                <w:rFonts w:cs="Arial"/>
                <w:color w:val="000000"/>
                <w:sz w:val="14"/>
                <w:szCs w:val="14"/>
              </w:rPr>
              <w:t>3</w:t>
            </w:r>
          </w:p>
        </w:tc>
      </w:tr>
      <w:tr w:rsidR="004F64EF" w:rsidRPr="003003C0" w14:paraId="1CF1F3F0" w14:textId="77777777" w:rsidTr="00BE2A9F">
        <w:trPr>
          <w:trHeight w:val="20"/>
        </w:trPr>
        <w:tc>
          <w:tcPr>
            <w:tcW w:w="2032" w:type="pct"/>
            <w:noWrap/>
            <w:vAlign w:val="center"/>
            <w:hideMark/>
          </w:tcPr>
          <w:p w14:paraId="09CC9A1D" w14:textId="77777777" w:rsidR="004F64EF" w:rsidRPr="003003C0" w:rsidRDefault="004F64EF" w:rsidP="00FD6B66">
            <w:pPr>
              <w:tabs>
                <w:tab w:val="left" w:pos="113"/>
              </w:tabs>
              <w:jc w:val="left"/>
              <w:rPr>
                <w:rFonts w:cs="Arial"/>
                <w:color w:val="000000"/>
                <w:sz w:val="14"/>
                <w:szCs w:val="14"/>
              </w:rPr>
            </w:pPr>
            <w:r w:rsidRPr="003003C0">
              <w:rPr>
                <w:rFonts w:cs="Arial"/>
                <w:color w:val="000000"/>
                <w:sz w:val="14"/>
                <w:szCs w:val="14"/>
              </w:rPr>
              <w:tab/>
            </w:r>
            <w:r>
              <w:rPr>
                <w:rFonts w:cs="Arial"/>
                <w:color w:val="000000"/>
                <w:sz w:val="14"/>
                <w:szCs w:val="14"/>
              </w:rPr>
              <w:t>Other Europe</w:t>
            </w:r>
          </w:p>
        </w:tc>
        <w:tc>
          <w:tcPr>
            <w:tcW w:w="424" w:type="pct"/>
            <w:noWrap/>
            <w:vAlign w:val="center"/>
            <w:hideMark/>
          </w:tcPr>
          <w:p w14:paraId="094109A1" w14:textId="77777777" w:rsidR="004F64EF" w:rsidRPr="003003C0" w:rsidRDefault="004F64EF" w:rsidP="00FD6B66">
            <w:pPr>
              <w:jc w:val="right"/>
              <w:rPr>
                <w:rFonts w:cs="Arial"/>
                <w:color w:val="000000"/>
                <w:sz w:val="14"/>
                <w:szCs w:val="14"/>
              </w:rPr>
            </w:pPr>
            <w:r w:rsidRPr="003003C0">
              <w:rPr>
                <w:rFonts w:cs="Arial"/>
                <w:color w:val="000000"/>
                <w:sz w:val="14"/>
                <w:szCs w:val="14"/>
              </w:rPr>
              <w:t>3</w:t>
            </w:r>
            <w:r>
              <w:rPr>
                <w:rFonts w:cs="Arial"/>
                <w:color w:val="000000"/>
                <w:sz w:val="14"/>
                <w:szCs w:val="14"/>
              </w:rPr>
              <w:t>.</w:t>
            </w:r>
            <w:r w:rsidRPr="003003C0">
              <w:rPr>
                <w:rFonts w:cs="Arial"/>
                <w:color w:val="000000"/>
                <w:sz w:val="14"/>
                <w:szCs w:val="14"/>
              </w:rPr>
              <w:t>9</w:t>
            </w:r>
          </w:p>
        </w:tc>
        <w:tc>
          <w:tcPr>
            <w:tcW w:w="424" w:type="pct"/>
            <w:noWrap/>
            <w:vAlign w:val="center"/>
            <w:hideMark/>
          </w:tcPr>
          <w:p w14:paraId="1F1B16B8" w14:textId="77777777" w:rsidR="004F64EF" w:rsidRPr="003003C0" w:rsidRDefault="004F64EF" w:rsidP="00FD6B66">
            <w:pPr>
              <w:jc w:val="right"/>
              <w:rPr>
                <w:rFonts w:cs="Arial"/>
                <w:color w:val="000000"/>
                <w:sz w:val="14"/>
                <w:szCs w:val="14"/>
              </w:rPr>
            </w:pPr>
            <w:r w:rsidRPr="003003C0">
              <w:rPr>
                <w:rFonts w:cs="Arial"/>
                <w:color w:val="000000"/>
                <w:sz w:val="14"/>
                <w:szCs w:val="14"/>
              </w:rPr>
              <w:t>4</w:t>
            </w:r>
            <w:r>
              <w:rPr>
                <w:rFonts w:cs="Arial"/>
                <w:color w:val="000000"/>
                <w:sz w:val="14"/>
                <w:szCs w:val="14"/>
              </w:rPr>
              <w:t>.</w:t>
            </w:r>
            <w:r w:rsidRPr="003003C0">
              <w:rPr>
                <w:rFonts w:cs="Arial"/>
                <w:color w:val="000000"/>
                <w:sz w:val="14"/>
                <w:szCs w:val="14"/>
              </w:rPr>
              <w:t>5</w:t>
            </w:r>
          </w:p>
        </w:tc>
        <w:tc>
          <w:tcPr>
            <w:tcW w:w="424" w:type="pct"/>
            <w:noWrap/>
            <w:vAlign w:val="center"/>
            <w:hideMark/>
          </w:tcPr>
          <w:p w14:paraId="6D435148" w14:textId="77777777" w:rsidR="004F64EF" w:rsidRPr="003003C0" w:rsidRDefault="004F64EF" w:rsidP="00FD6B66">
            <w:pPr>
              <w:jc w:val="right"/>
              <w:rPr>
                <w:rFonts w:cs="Arial"/>
                <w:color w:val="000000"/>
                <w:sz w:val="14"/>
                <w:szCs w:val="14"/>
              </w:rPr>
            </w:pPr>
            <w:r w:rsidRPr="003003C0">
              <w:rPr>
                <w:rFonts w:cs="Arial"/>
                <w:color w:val="000000"/>
                <w:sz w:val="14"/>
                <w:szCs w:val="14"/>
              </w:rPr>
              <w:t>2</w:t>
            </w:r>
            <w:r>
              <w:rPr>
                <w:rFonts w:cs="Arial"/>
                <w:color w:val="000000"/>
                <w:sz w:val="14"/>
                <w:szCs w:val="14"/>
              </w:rPr>
              <w:t>.</w:t>
            </w:r>
            <w:r w:rsidRPr="003003C0">
              <w:rPr>
                <w:rFonts w:cs="Arial"/>
                <w:color w:val="000000"/>
                <w:sz w:val="14"/>
                <w:szCs w:val="14"/>
              </w:rPr>
              <w:t>7</w:t>
            </w:r>
          </w:p>
        </w:tc>
        <w:tc>
          <w:tcPr>
            <w:tcW w:w="424" w:type="pct"/>
            <w:noWrap/>
            <w:vAlign w:val="center"/>
            <w:hideMark/>
          </w:tcPr>
          <w:p w14:paraId="4A921916" w14:textId="77777777" w:rsidR="004F64EF" w:rsidRPr="003003C0" w:rsidRDefault="004F64EF" w:rsidP="00FD6B66">
            <w:pPr>
              <w:jc w:val="right"/>
              <w:rPr>
                <w:rFonts w:cs="Arial"/>
                <w:color w:val="000000"/>
                <w:sz w:val="14"/>
                <w:szCs w:val="14"/>
              </w:rPr>
            </w:pPr>
            <w:r w:rsidRPr="003003C0">
              <w:rPr>
                <w:rFonts w:cs="Arial"/>
                <w:color w:val="000000"/>
                <w:sz w:val="14"/>
                <w:szCs w:val="14"/>
              </w:rPr>
              <w:t>2</w:t>
            </w:r>
            <w:r>
              <w:rPr>
                <w:rFonts w:cs="Arial"/>
                <w:color w:val="000000"/>
                <w:sz w:val="14"/>
                <w:szCs w:val="14"/>
              </w:rPr>
              <w:t>.</w:t>
            </w:r>
            <w:r w:rsidRPr="003003C0">
              <w:rPr>
                <w:rFonts w:cs="Arial"/>
                <w:color w:val="000000"/>
                <w:sz w:val="14"/>
                <w:szCs w:val="14"/>
              </w:rPr>
              <w:t>4</w:t>
            </w:r>
          </w:p>
        </w:tc>
        <w:tc>
          <w:tcPr>
            <w:tcW w:w="424" w:type="pct"/>
            <w:noWrap/>
            <w:vAlign w:val="center"/>
            <w:hideMark/>
          </w:tcPr>
          <w:p w14:paraId="61D94A6A" w14:textId="77777777" w:rsidR="004F64EF" w:rsidRPr="003003C0" w:rsidRDefault="004F64EF" w:rsidP="00FD6B66">
            <w:pPr>
              <w:jc w:val="right"/>
              <w:rPr>
                <w:rFonts w:cs="Arial"/>
                <w:color w:val="000000"/>
                <w:sz w:val="14"/>
                <w:szCs w:val="14"/>
              </w:rPr>
            </w:pPr>
            <w:r w:rsidRPr="003003C0">
              <w:rPr>
                <w:rFonts w:cs="Arial"/>
                <w:color w:val="000000"/>
                <w:sz w:val="14"/>
                <w:szCs w:val="14"/>
              </w:rPr>
              <w:t>2</w:t>
            </w:r>
            <w:r>
              <w:rPr>
                <w:rFonts w:cs="Arial"/>
                <w:color w:val="000000"/>
                <w:sz w:val="14"/>
                <w:szCs w:val="14"/>
              </w:rPr>
              <w:t>.</w:t>
            </w:r>
            <w:r w:rsidRPr="003003C0">
              <w:rPr>
                <w:rFonts w:cs="Arial"/>
                <w:color w:val="000000"/>
                <w:sz w:val="14"/>
                <w:szCs w:val="14"/>
              </w:rPr>
              <w:t>2</w:t>
            </w:r>
          </w:p>
        </w:tc>
        <w:tc>
          <w:tcPr>
            <w:tcW w:w="424" w:type="pct"/>
            <w:noWrap/>
            <w:vAlign w:val="center"/>
            <w:hideMark/>
          </w:tcPr>
          <w:p w14:paraId="6808B426" w14:textId="77777777" w:rsidR="004F64EF" w:rsidRPr="003003C0" w:rsidRDefault="004F64EF" w:rsidP="00FD6B66">
            <w:pPr>
              <w:jc w:val="right"/>
              <w:rPr>
                <w:rFonts w:cs="Arial"/>
                <w:color w:val="000000"/>
                <w:sz w:val="14"/>
                <w:szCs w:val="14"/>
              </w:rPr>
            </w:pPr>
            <w:r w:rsidRPr="003003C0">
              <w:rPr>
                <w:rFonts w:cs="Arial"/>
                <w:color w:val="000000"/>
                <w:sz w:val="14"/>
                <w:szCs w:val="14"/>
              </w:rPr>
              <w:t>2</w:t>
            </w:r>
            <w:r>
              <w:rPr>
                <w:rFonts w:cs="Arial"/>
                <w:color w:val="000000"/>
                <w:sz w:val="14"/>
                <w:szCs w:val="14"/>
              </w:rPr>
              <w:t>.</w:t>
            </w:r>
            <w:r w:rsidRPr="003003C0">
              <w:rPr>
                <w:rFonts w:cs="Arial"/>
                <w:color w:val="000000"/>
                <w:sz w:val="14"/>
                <w:szCs w:val="14"/>
              </w:rPr>
              <w:t>1</w:t>
            </w:r>
          </w:p>
        </w:tc>
        <w:tc>
          <w:tcPr>
            <w:tcW w:w="424" w:type="pct"/>
            <w:noWrap/>
            <w:vAlign w:val="center"/>
            <w:hideMark/>
          </w:tcPr>
          <w:p w14:paraId="30F4085F" w14:textId="77777777" w:rsidR="004F64EF" w:rsidRPr="003003C0" w:rsidRDefault="004F64EF" w:rsidP="00FD6B66">
            <w:pPr>
              <w:jc w:val="right"/>
              <w:rPr>
                <w:rFonts w:cs="Arial"/>
                <w:color w:val="000000"/>
                <w:sz w:val="14"/>
                <w:szCs w:val="14"/>
              </w:rPr>
            </w:pPr>
            <w:r w:rsidRPr="003003C0">
              <w:rPr>
                <w:rFonts w:cs="Arial"/>
                <w:color w:val="000000"/>
                <w:sz w:val="14"/>
                <w:szCs w:val="14"/>
              </w:rPr>
              <w:t>1</w:t>
            </w:r>
            <w:r>
              <w:rPr>
                <w:rFonts w:cs="Arial"/>
                <w:color w:val="000000"/>
                <w:sz w:val="14"/>
                <w:szCs w:val="14"/>
              </w:rPr>
              <w:t>.</w:t>
            </w:r>
            <w:r w:rsidRPr="003003C0">
              <w:rPr>
                <w:rFonts w:cs="Arial"/>
                <w:color w:val="000000"/>
                <w:sz w:val="14"/>
                <w:szCs w:val="14"/>
              </w:rPr>
              <w:t>5</w:t>
            </w:r>
          </w:p>
        </w:tc>
      </w:tr>
      <w:tr w:rsidR="004F64EF" w:rsidRPr="003003C0" w14:paraId="459F40BE" w14:textId="77777777" w:rsidTr="00BE2A9F">
        <w:trPr>
          <w:cnfStyle w:val="000000010000" w:firstRow="0" w:lastRow="0" w:firstColumn="0" w:lastColumn="0" w:oddVBand="0" w:evenVBand="0" w:oddHBand="0" w:evenHBand="1" w:firstRowFirstColumn="0" w:firstRowLastColumn="0" w:lastRowFirstColumn="0" w:lastRowLastColumn="0"/>
          <w:trHeight w:val="20"/>
        </w:trPr>
        <w:tc>
          <w:tcPr>
            <w:tcW w:w="2032" w:type="pct"/>
            <w:noWrap/>
            <w:vAlign w:val="center"/>
            <w:hideMark/>
          </w:tcPr>
          <w:p w14:paraId="09280659" w14:textId="77777777" w:rsidR="004F64EF" w:rsidRPr="003003C0" w:rsidRDefault="004F64EF" w:rsidP="00FD6B66">
            <w:pPr>
              <w:tabs>
                <w:tab w:val="left" w:pos="510"/>
              </w:tabs>
              <w:jc w:val="left"/>
              <w:rPr>
                <w:rFonts w:cs="Arial"/>
                <w:color w:val="000000"/>
                <w:sz w:val="14"/>
                <w:szCs w:val="14"/>
              </w:rPr>
            </w:pPr>
            <w:r w:rsidRPr="003003C0">
              <w:rPr>
                <w:rFonts w:cs="Arial"/>
                <w:color w:val="000000"/>
                <w:sz w:val="14"/>
                <w:szCs w:val="14"/>
              </w:rPr>
              <w:tab/>
            </w:r>
            <w:r>
              <w:rPr>
                <w:rFonts w:cs="Arial"/>
                <w:color w:val="000000"/>
                <w:sz w:val="14"/>
                <w:szCs w:val="14"/>
              </w:rPr>
              <w:t>United Kingdom</w:t>
            </w:r>
          </w:p>
        </w:tc>
        <w:tc>
          <w:tcPr>
            <w:tcW w:w="424" w:type="pct"/>
            <w:noWrap/>
            <w:vAlign w:val="center"/>
            <w:hideMark/>
          </w:tcPr>
          <w:p w14:paraId="5F8834BC" w14:textId="77777777" w:rsidR="004F64EF" w:rsidRPr="003003C0" w:rsidRDefault="004F64EF" w:rsidP="00FD6B66">
            <w:pPr>
              <w:jc w:val="right"/>
              <w:rPr>
                <w:rFonts w:cs="Arial"/>
                <w:color w:val="000000"/>
                <w:sz w:val="14"/>
                <w:szCs w:val="14"/>
              </w:rPr>
            </w:pPr>
            <w:r w:rsidRPr="003003C0">
              <w:rPr>
                <w:rFonts w:cs="Arial"/>
                <w:color w:val="000000"/>
                <w:sz w:val="14"/>
                <w:szCs w:val="14"/>
              </w:rPr>
              <w:t>3</w:t>
            </w:r>
            <w:r>
              <w:rPr>
                <w:rFonts w:cs="Arial"/>
                <w:color w:val="000000"/>
                <w:sz w:val="14"/>
                <w:szCs w:val="14"/>
              </w:rPr>
              <w:t>.</w:t>
            </w:r>
            <w:r w:rsidRPr="003003C0">
              <w:rPr>
                <w:rFonts w:cs="Arial"/>
                <w:color w:val="000000"/>
                <w:sz w:val="14"/>
                <w:szCs w:val="14"/>
              </w:rPr>
              <w:t>8</w:t>
            </w:r>
          </w:p>
        </w:tc>
        <w:tc>
          <w:tcPr>
            <w:tcW w:w="424" w:type="pct"/>
            <w:noWrap/>
            <w:vAlign w:val="center"/>
            <w:hideMark/>
          </w:tcPr>
          <w:p w14:paraId="075BF72D" w14:textId="77777777" w:rsidR="004F64EF" w:rsidRPr="003003C0" w:rsidRDefault="004F64EF" w:rsidP="00FD6B66">
            <w:pPr>
              <w:jc w:val="right"/>
              <w:rPr>
                <w:rFonts w:cs="Arial"/>
                <w:color w:val="000000"/>
                <w:sz w:val="14"/>
                <w:szCs w:val="14"/>
              </w:rPr>
            </w:pPr>
            <w:r w:rsidRPr="003003C0">
              <w:rPr>
                <w:rFonts w:cs="Arial"/>
                <w:color w:val="000000"/>
                <w:sz w:val="14"/>
                <w:szCs w:val="14"/>
              </w:rPr>
              <w:t>4</w:t>
            </w:r>
            <w:r>
              <w:rPr>
                <w:rFonts w:cs="Arial"/>
                <w:color w:val="000000"/>
                <w:sz w:val="14"/>
                <w:szCs w:val="14"/>
              </w:rPr>
              <w:t>.</w:t>
            </w:r>
            <w:r w:rsidRPr="003003C0">
              <w:rPr>
                <w:rFonts w:cs="Arial"/>
                <w:color w:val="000000"/>
                <w:sz w:val="14"/>
                <w:szCs w:val="14"/>
              </w:rPr>
              <w:t>5</w:t>
            </w:r>
          </w:p>
        </w:tc>
        <w:tc>
          <w:tcPr>
            <w:tcW w:w="424" w:type="pct"/>
            <w:noWrap/>
            <w:vAlign w:val="center"/>
            <w:hideMark/>
          </w:tcPr>
          <w:p w14:paraId="6E263BE2" w14:textId="77777777" w:rsidR="004F64EF" w:rsidRPr="003003C0" w:rsidRDefault="004F64EF" w:rsidP="00FD6B66">
            <w:pPr>
              <w:jc w:val="right"/>
              <w:rPr>
                <w:rFonts w:cs="Arial"/>
                <w:color w:val="000000"/>
                <w:sz w:val="14"/>
                <w:szCs w:val="14"/>
              </w:rPr>
            </w:pPr>
            <w:r w:rsidRPr="003003C0">
              <w:rPr>
                <w:rFonts w:cs="Arial"/>
                <w:color w:val="000000"/>
                <w:sz w:val="14"/>
                <w:szCs w:val="14"/>
              </w:rPr>
              <w:t>2</w:t>
            </w:r>
            <w:r>
              <w:rPr>
                <w:rFonts w:cs="Arial"/>
                <w:color w:val="000000"/>
                <w:sz w:val="14"/>
                <w:szCs w:val="14"/>
              </w:rPr>
              <w:t>.</w:t>
            </w:r>
            <w:r w:rsidRPr="003003C0">
              <w:rPr>
                <w:rFonts w:cs="Arial"/>
                <w:color w:val="000000"/>
                <w:sz w:val="14"/>
                <w:szCs w:val="14"/>
              </w:rPr>
              <w:t>6</w:t>
            </w:r>
          </w:p>
        </w:tc>
        <w:tc>
          <w:tcPr>
            <w:tcW w:w="424" w:type="pct"/>
            <w:noWrap/>
            <w:vAlign w:val="center"/>
            <w:hideMark/>
          </w:tcPr>
          <w:p w14:paraId="4BD43254" w14:textId="77777777" w:rsidR="004F64EF" w:rsidRPr="003003C0" w:rsidRDefault="004F64EF" w:rsidP="00FD6B66">
            <w:pPr>
              <w:jc w:val="right"/>
              <w:rPr>
                <w:rFonts w:cs="Arial"/>
                <w:color w:val="000000"/>
                <w:sz w:val="14"/>
                <w:szCs w:val="14"/>
              </w:rPr>
            </w:pPr>
            <w:r w:rsidRPr="003003C0">
              <w:rPr>
                <w:rFonts w:cs="Arial"/>
                <w:color w:val="000000"/>
                <w:sz w:val="14"/>
                <w:szCs w:val="14"/>
              </w:rPr>
              <w:t>2</w:t>
            </w:r>
            <w:r>
              <w:rPr>
                <w:rFonts w:cs="Arial"/>
                <w:color w:val="000000"/>
                <w:sz w:val="14"/>
                <w:szCs w:val="14"/>
              </w:rPr>
              <w:t>.</w:t>
            </w:r>
            <w:r w:rsidRPr="003003C0">
              <w:rPr>
                <w:rFonts w:cs="Arial"/>
                <w:color w:val="000000"/>
                <w:sz w:val="14"/>
                <w:szCs w:val="14"/>
              </w:rPr>
              <w:t>3</w:t>
            </w:r>
          </w:p>
        </w:tc>
        <w:tc>
          <w:tcPr>
            <w:tcW w:w="424" w:type="pct"/>
            <w:noWrap/>
            <w:vAlign w:val="center"/>
            <w:hideMark/>
          </w:tcPr>
          <w:p w14:paraId="269BA9A4" w14:textId="77777777" w:rsidR="004F64EF" w:rsidRPr="003003C0" w:rsidRDefault="004F64EF" w:rsidP="00FD6B66">
            <w:pPr>
              <w:jc w:val="right"/>
              <w:rPr>
                <w:rFonts w:cs="Arial"/>
                <w:color w:val="000000"/>
                <w:sz w:val="14"/>
                <w:szCs w:val="14"/>
              </w:rPr>
            </w:pPr>
            <w:r w:rsidRPr="003003C0">
              <w:rPr>
                <w:rFonts w:cs="Arial"/>
                <w:color w:val="000000"/>
                <w:sz w:val="14"/>
                <w:szCs w:val="14"/>
              </w:rPr>
              <w:t>2</w:t>
            </w:r>
            <w:r>
              <w:rPr>
                <w:rFonts w:cs="Arial"/>
                <w:color w:val="000000"/>
                <w:sz w:val="14"/>
                <w:szCs w:val="14"/>
              </w:rPr>
              <w:t>.</w:t>
            </w:r>
            <w:r w:rsidRPr="003003C0">
              <w:rPr>
                <w:rFonts w:cs="Arial"/>
                <w:color w:val="000000"/>
                <w:sz w:val="14"/>
                <w:szCs w:val="14"/>
              </w:rPr>
              <w:t>2</w:t>
            </w:r>
          </w:p>
        </w:tc>
        <w:tc>
          <w:tcPr>
            <w:tcW w:w="424" w:type="pct"/>
            <w:noWrap/>
            <w:vAlign w:val="center"/>
            <w:hideMark/>
          </w:tcPr>
          <w:p w14:paraId="3CC7CC59" w14:textId="77777777" w:rsidR="004F64EF" w:rsidRPr="003003C0" w:rsidRDefault="004F64EF" w:rsidP="00FD6B66">
            <w:pPr>
              <w:jc w:val="right"/>
              <w:rPr>
                <w:rFonts w:cs="Arial"/>
                <w:color w:val="000000"/>
                <w:sz w:val="14"/>
                <w:szCs w:val="14"/>
              </w:rPr>
            </w:pPr>
            <w:r w:rsidRPr="003003C0">
              <w:rPr>
                <w:rFonts w:cs="Arial"/>
                <w:color w:val="000000"/>
                <w:sz w:val="14"/>
                <w:szCs w:val="14"/>
              </w:rPr>
              <w:t>2</w:t>
            </w:r>
            <w:r>
              <w:rPr>
                <w:rFonts w:cs="Arial"/>
                <w:color w:val="000000"/>
                <w:sz w:val="14"/>
                <w:szCs w:val="14"/>
              </w:rPr>
              <w:t>.</w:t>
            </w:r>
            <w:r w:rsidRPr="003003C0">
              <w:rPr>
                <w:rFonts w:cs="Arial"/>
                <w:color w:val="000000"/>
                <w:sz w:val="14"/>
                <w:szCs w:val="14"/>
              </w:rPr>
              <w:t>1</w:t>
            </w:r>
          </w:p>
        </w:tc>
        <w:tc>
          <w:tcPr>
            <w:tcW w:w="424" w:type="pct"/>
            <w:noWrap/>
            <w:vAlign w:val="center"/>
            <w:hideMark/>
          </w:tcPr>
          <w:p w14:paraId="57F74F04" w14:textId="77777777" w:rsidR="004F64EF" w:rsidRPr="003003C0" w:rsidRDefault="004F64EF" w:rsidP="00FD6B66">
            <w:pPr>
              <w:jc w:val="right"/>
              <w:rPr>
                <w:rFonts w:cs="Arial"/>
                <w:color w:val="000000"/>
                <w:sz w:val="14"/>
                <w:szCs w:val="14"/>
              </w:rPr>
            </w:pPr>
            <w:r w:rsidRPr="003003C0">
              <w:rPr>
                <w:rFonts w:cs="Arial"/>
                <w:color w:val="000000"/>
                <w:sz w:val="14"/>
                <w:szCs w:val="14"/>
              </w:rPr>
              <w:t>1</w:t>
            </w:r>
            <w:r>
              <w:rPr>
                <w:rFonts w:cs="Arial"/>
                <w:color w:val="000000"/>
                <w:sz w:val="14"/>
                <w:szCs w:val="14"/>
              </w:rPr>
              <w:t>.</w:t>
            </w:r>
            <w:r w:rsidRPr="003003C0">
              <w:rPr>
                <w:rFonts w:cs="Arial"/>
                <w:color w:val="000000"/>
                <w:sz w:val="14"/>
                <w:szCs w:val="14"/>
              </w:rPr>
              <w:t>3</w:t>
            </w:r>
          </w:p>
        </w:tc>
      </w:tr>
      <w:tr w:rsidR="004F64EF" w:rsidRPr="003003C0" w14:paraId="2E1E831E" w14:textId="77777777" w:rsidTr="00BE2A9F">
        <w:trPr>
          <w:trHeight w:val="20"/>
        </w:trPr>
        <w:tc>
          <w:tcPr>
            <w:tcW w:w="2032" w:type="pct"/>
            <w:noWrap/>
            <w:vAlign w:val="center"/>
            <w:hideMark/>
          </w:tcPr>
          <w:p w14:paraId="09838F45" w14:textId="77777777" w:rsidR="004F64EF" w:rsidRPr="003003C0" w:rsidRDefault="004F64EF" w:rsidP="00FD6B66">
            <w:pPr>
              <w:jc w:val="left"/>
              <w:rPr>
                <w:rFonts w:cs="Arial"/>
                <w:color w:val="000000"/>
                <w:sz w:val="14"/>
                <w:szCs w:val="14"/>
              </w:rPr>
            </w:pPr>
            <w:r w:rsidRPr="00BD4F5A">
              <w:rPr>
                <w:rFonts w:cs="Arial"/>
                <w:color w:val="000000"/>
                <w:sz w:val="14"/>
                <w:szCs w:val="14"/>
              </w:rPr>
              <w:t xml:space="preserve">Commonwealth of Independent States </w:t>
            </w:r>
            <w:r w:rsidRPr="003003C0">
              <w:rPr>
                <w:rFonts w:cs="Arial"/>
                <w:color w:val="000000"/>
                <w:sz w:val="14"/>
                <w:szCs w:val="14"/>
              </w:rPr>
              <w:t>(C</w:t>
            </w:r>
            <w:r>
              <w:rPr>
                <w:rFonts w:cs="Arial"/>
                <w:color w:val="000000"/>
                <w:sz w:val="14"/>
                <w:szCs w:val="14"/>
              </w:rPr>
              <w:t>IS</w:t>
            </w:r>
            <w:r w:rsidRPr="003003C0">
              <w:rPr>
                <w:rFonts w:cs="Arial"/>
                <w:color w:val="000000"/>
                <w:sz w:val="14"/>
                <w:szCs w:val="14"/>
              </w:rPr>
              <w:t>)</w:t>
            </w:r>
            <w:r w:rsidRPr="003003C0">
              <w:rPr>
                <w:rFonts w:cs="Arial"/>
                <w:color w:val="000000"/>
                <w:sz w:val="14"/>
                <w:szCs w:val="14"/>
                <w:vertAlign w:val="superscript"/>
              </w:rPr>
              <w:t>a</w:t>
            </w:r>
          </w:p>
        </w:tc>
        <w:tc>
          <w:tcPr>
            <w:tcW w:w="424" w:type="pct"/>
            <w:noWrap/>
            <w:vAlign w:val="center"/>
            <w:hideMark/>
          </w:tcPr>
          <w:p w14:paraId="171C002B"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0</w:t>
            </w:r>
          </w:p>
        </w:tc>
        <w:tc>
          <w:tcPr>
            <w:tcW w:w="424" w:type="pct"/>
            <w:noWrap/>
            <w:vAlign w:val="center"/>
            <w:hideMark/>
          </w:tcPr>
          <w:p w14:paraId="283F2AA5"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1</w:t>
            </w:r>
          </w:p>
        </w:tc>
        <w:tc>
          <w:tcPr>
            <w:tcW w:w="424" w:type="pct"/>
            <w:noWrap/>
            <w:vAlign w:val="center"/>
            <w:hideMark/>
          </w:tcPr>
          <w:p w14:paraId="1A53B830"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1</w:t>
            </w:r>
          </w:p>
        </w:tc>
        <w:tc>
          <w:tcPr>
            <w:tcW w:w="424" w:type="pct"/>
            <w:noWrap/>
            <w:vAlign w:val="center"/>
            <w:hideMark/>
          </w:tcPr>
          <w:p w14:paraId="18CDBE6A"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1</w:t>
            </w:r>
          </w:p>
        </w:tc>
        <w:tc>
          <w:tcPr>
            <w:tcW w:w="424" w:type="pct"/>
            <w:noWrap/>
            <w:vAlign w:val="center"/>
            <w:hideMark/>
          </w:tcPr>
          <w:p w14:paraId="280EAC18"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2</w:t>
            </w:r>
          </w:p>
        </w:tc>
        <w:tc>
          <w:tcPr>
            <w:tcW w:w="424" w:type="pct"/>
            <w:noWrap/>
            <w:vAlign w:val="center"/>
            <w:hideMark/>
          </w:tcPr>
          <w:p w14:paraId="55ECE86A"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2</w:t>
            </w:r>
          </w:p>
        </w:tc>
        <w:tc>
          <w:tcPr>
            <w:tcW w:w="424" w:type="pct"/>
            <w:noWrap/>
            <w:vAlign w:val="center"/>
            <w:hideMark/>
          </w:tcPr>
          <w:p w14:paraId="7C9D0039"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1</w:t>
            </w:r>
          </w:p>
        </w:tc>
      </w:tr>
      <w:tr w:rsidR="004F64EF" w:rsidRPr="003003C0" w14:paraId="2CBD97B5" w14:textId="77777777" w:rsidTr="00BE2A9F">
        <w:trPr>
          <w:cnfStyle w:val="000000010000" w:firstRow="0" w:lastRow="0" w:firstColumn="0" w:lastColumn="0" w:oddVBand="0" w:evenVBand="0" w:oddHBand="0" w:evenHBand="1" w:firstRowFirstColumn="0" w:firstRowLastColumn="0" w:lastRowFirstColumn="0" w:lastRowLastColumn="0"/>
          <w:trHeight w:val="20"/>
        </w:trPr>
        <w:tc>
          <w:tcPr>
            <w:tcW w:w="2032" w:type="pct"/>
            <w:noWrap/>
            <w:vAlign w:val="center"/>
            <w:hideMark/>
          </w:tcPr>
          <w:p w14:paraId="6398EBD7" w14:textId="77777777" w:rsidR="004F64EF" w:rsidRPr="003003C0" w:rsidRDefault="004F64EF" w:rsidP="00FD6B66">
            <w:pPr>
              <w:tabs>
                <w:tab w:val="left" w:pos="510"/>
              </w:tabs>
              <w:jc w:val="left"/>
              <w:rPr>
                <w:rFonts w:cs="Arial"/>
                <w:color w:val="000000"/>
                <w:sz w:val="14"/>
                <w:szCs w:val="14"/>
              </w:rPr>
            </w:pPr>
            <w:r w:rsidRPr="003003C0">
              <w:rPr>
                <w:rFonts w:cs="Arial"/>
                <w:color w:val="000000"/>
                <w:sz w:val="14"/>
                <w:szCs w:val="14"/>
              </w:rPr>
              <w:tab/>
            </w:r>
            <w:r>
              <w:rPr>
                <w:rFonts w:cs="Arial"/>
                <w:color w:val="000000"/>
                <w:sz w:val="14"/>
                <w:szCs w:val="14"/>
              </w:rPr>
              <w:t>Russian Federation</w:t>
            </w:r>
          </w:p>
        </w:tc>
        <w:tc>
          <w:tcPr>
            <w:tcW w:w="424" w:type="pct"/>
            <w:noWrap/>
            <w:vAlign w:val="center"/>
            <w:hideMark/>
          </w:tcPr>
          <w:p w14:paraId="7C9C7E0E"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0</w:t>
            </w:r>
          </w:p>
        </w:tc>
        <w:tc>
          <w:tcPr>
            <w:tcW w:w="424" w:type="pct"/>
            <w:noWrap/>
            <w:vAlign w:val="center"/>
            <w:hideMark/>
          </w:tcPr>
          <w:p w14:paraId="1A9CCEF5"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1</w:t>
            </w:r>
          </w:p>
        </w:tc>
        <w:tc>
          <w:tcPr>
            <w:tcW w:w="424" w:type="pct"/>
            <w:noWrap/>
            <w:vAlign w:val="center"/>
            <w:hideMark/>
          </w:tcPr>
          <w:p w14:paraId="0CBC47D3"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1</w:t>
            </w:r>
          </w:p>
        </w:tc>
        <w:tc>
          <w:tcPr>
            <w:tcW w:w="424" w:type="pct"/>
            <w:noWrap/>
            <w:vAlign w:val="center"/>
            <w:hideMark/>
          </w:tcPr>
          <w:p w14:paraId="2E1C33AF"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1</w:t>
            </w:r>
          </w:p>
        </w:tc>
        <w:tc>
          <w:tcPr>
            <w:tcW w:w="424" w:type="pct"/>
            <w:noWrap/>
            <w:vAlign w:val="center"/>
            <w:hideMark/>
          </w:tcPr>
          <w:p w14:paraId="0AF785BD"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2</w:t>
            </w:r>
          </w:p>
        </w:tc>
        <w:tc>
          <w:tcPr>
            <w:tcW w:w="424" w:type="pct"/>
            <w:noWrap/>
            <w:vAlign w:val="center"/>
            <w:hideMark/>
          </w:tcPr>
          <w:p w14:paraId="54D249DF"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2</w:t>
            </w:r>
          </w:p>
        </w:tc>
        <w:tc>
          <w:tcPr>
            <w:tcW w:w="424" w:type="pct"/>
            <w:noWrap/>
            <w:vAlign w:val="center"/>
            <w:hideMark/>
          </w:tcPr>
          <w:p w14:paraId="2268E248"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1</w:t>
            </w:r>
          </w:p>
        </w:tc>
      </w:tr>
      <w:tr w:rsidR="004F64EF" w:rsidRPr="003003C0" w14:paraId="7A5DEA42" w14:textId="77777777" w:rsidTr="00BE2A9F">
        <w:trPr>
          <w:trHeight w:val="20"/>
        </w:trPr>
        <w:tc>
          <w:tcPr>
            <w:tcW w:w="2032" w:type="pct"/>
            <w:noWrap/>
            <w:vAlign w:val="center"/>
            <w:hideMark/>
          </w:tcPr>
          <w:p w14:paraId="0071D366" w14:textId="77777777" w:rsidR="004F64EF" w:rsidRPr="003003C0" w:rsidRDefault="004F64EF" w:rsidP="00FD6B66">
            <w:pPr>
              <w:jc w:val="left"/>
              <w:rPr>
                <w:rFonts w:cs="Arial"/>
                <w:color w:val="000000"/>
                <w:sz w:val="14"/>
                <w:szCs w:val="14"/>
              </w:rPr>
            </w:pPr>
            <w:r>
              <w:rPr>
                <w:rFonts w:cs="Arial"/>
                <w:color w:val="000000"/>
                <w:sz w:val="14"/>
                <w:szCs w:val="14"/>
              </w:rPr>
              <w:t>A</w:t>
            </w:r>
            <w:r w:rsidRPr="003003C0">
              <w:rPr>
                <w:rFonts w:cs="Arial"/>
                <w:color w:val="000000"/>
                <w:sz w:val="14"/>
                <w:szCs w:val="14"/>
              </w:rPr>
              <w:t>frica</w:t>
            </w:r>
          </w:p>
        </w:tc>
        <w:tc>
          <w:tcPr>
            <w:tcW w:w="424" w:type="pct"/>
            <w:noWrap/>
            <w:vAlign w:val="center"/>
            <w:hideMark/>
          </w:tcPr>
          <w:p w14:paraId="29C79EF6"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1</w:t>
            </w:r>
          </w:p>
        </w:tc>
        <w:tc>
          <w:tcPr>
            <w:tcW w:w="424" w:type="pct"/>
            <w:noWrap/>
            <w:vAlign w:val="center"/>
            <w:hideMark/>
          </w:tcPr>
          <w:p w14:paraId="6A2A11F7"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4</w:t>
            </w:r>
          </w:p>
        </w:tc>
        <w:tc>
          <w:tcPr>
            <w:tcW w:w="424" w:type="pct"/>
            <w:noWrap/>
            <w:vAlign w:val="center"/>
            <w:hideMark/>
          </w:tcPr>
          <w:p w14:paraId="6B002AD3"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4</w:t>
            </w:r>
          </w:p>
        </w:tc>
        <w:tc>
          <w:tcPr>
            <w:tcW w:w="424" w:type="pct"/>
            <w:noWrap/>
            <w:vAlign w:val="center"/>
            <w:hideMark/>
          </w:tcPr>
          <w:p w14:paraId="0077CD01"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6</w:t>
            </w:r>
          </w:p>
        </w:tc>
        <w:tc>
          <w:tcPr>
            <w:tcW w:w="424" w:type="pct"/>
            <w:noWrap/>
            <w:vAlign w:val="center"/>
            <w:hideMark/>
          </w:tcPr>
          <w:p w14:paraId="0F0045A8"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1</w:t>
            </w:r>
          </w:p>
        </w:tc>
        <w:tc>
          <w:tcPr>
            <w:tcW w:w="424" w:type="pct"/>
            <w:noWrap/>
            <w:vAlign w:val="center"/>
            <w:hideMark/>
          </w:tcPr>
          <w:p w14:paraId="187CEA8B"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0</w:t>
            </w:r>
          </w:p>
        </w:tc>
        <w:tc>
          <w:tcPr>
            <w:tcW w:w="424" w:type="pct"/>
            <w:noWrap/>
            <w:vAlign w:val="center"/>
            <w:hideMark/>
          </w:tcPr>
          <w:p w14:paraId="0B3E916E"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2</w:t>
            </w:r>
          </w:p>
        </w:tc>
      </w:tr>
      <w:tr w:rsidR="004F64EF" w:rsidRPr="003003C0" w14:paraId="2C86E8D2" w14:textId="77777777" w:rsidTr="00BE2A9F">
        <w:trPr>
          <w:cnfStyle w:val="000000010000" w:firstRow="0" w:lastRow="0" w:firstColumn="0" w:lastColumn="0" w:oddVBand="0" w:evenVBand="0" w:oddHBand="0" w:evenHBand="1" w:firstRowFirstColumn="0" w:firstRowLastColumn="0" w:lastRowFirstColumn="0" w:lastRowLastColumn="0"/>
          <w:trHeight w:val="20"/>
        </w:trPr>
        <w:tc>
          <w:tcPr>
            <w:tcW w:w="2032" w:type="pct"/>
            <w:noWrap/>
            <w:vAlign w:val="center"/>
            <w:hideMark/>
          </w:tcPr>
          <w:p w14:paraId="7FF0DE7F" w14:textId="77777777" w:rsidR="004F64EF" w:rsidRPr="003003C0" w:rsidRDefault="004F64EF" w:rsidP="00FD6B66">
            <w:pPr>
              <w:tabs>
                <w:tab w:val="left" w:pos="510"/>
              </w:tabs>
              <w:jc w:val="left"/>
              <w:rPr>
                <w:rFonts w:cs="Arial"/>
                <w:color w:val="000000"/>
                <w:sz w:val="14"/>
                <w:szCs w:val="14"/>
              </w:rPr>
            </w:pPr>
            <w:r w:rsidRPr="003003C0">
              <w:rPr>
                <w:rFonts w:cs="Arial"/>
                <w:color w:val="000000"/>
                <w:sz w:val="14"/>
                <w:szCs w:val="14"/>
              </w:rPr>
              <w:tab/>
              <w:t>Senegal</w:t>
            </w:r>
          </w:p>
        </w:tc>
        <w:tc>
          <w:tcPr>
            <w:tcW w:w="424" w:type="pct"/>
            <w:noWrap/>
            <w:vAlign w:val="center"/>
            <w:hideMark/>
          </w:tcPr>
          <w:p w14:paraId="5694A1C0"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0</w:t>
            </w:r>
          </w:p>
        </w:tc>
        <w:tc>
          <w:tcPr>
            <w:tcW w:w="424" w:type="pct"/>
            <w:noWrap/>
            <w:vAlign w:val="center"/>
            <w:hideMark/>
          </w:tcPr>
          <w:p w14:paraId="1F0E2715"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0</w:t>
            </w:r>
          </w:p>
        </w:tc>
        <w:tc>
          <w:tcPr>
            <w:tcW w:w="424" w:type="pct"/>
            <w:noWrap/>
            <w:vAlign w:val="center"/>
            <w:hideMark/>
          </w:tcPr>
          <w:p w14:paraId="7CFE0C6B"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0</w:t>
            </w:r>
          </w:p>
        </w:tc>
        <w:tc>
          <w:tcPr>
            <w:tcW w:w="424" w:type="pct"/>
            <w:noWrap/>
            <w:vAlign w:val="center"/>
            <w:hideMark/>
          </w:tcPr>
          <w:p w14:paraId="392F6320"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0</w:t>
            </w:r>
          </w:p>
        </w:tc>
        <w:tc>
          <w:tcPr>
            <w:tcW w:w="424" w:type="pct"/>
            <w:noWrap/>
            <w:vAlign w:val="center"/>
            <w:hideMark/>
          </w:tcPr>
          <w:p w14:paraId="69FA9F02"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0</w:t>
            </w:r>
          </w:p>
        </w:tc>
        <w:tc>
          <w:tcPr>
            <w:tcW w:w="424" w:type="pct"/>
            <w:noWrap/>
            <w:vAlign w:val="center"/>
            <w:hideMark/>
          </w:tcPr>
          <w:p w14:paraId="4EB30E81"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0</w:t>
            </w:r>
          </w:p>
        </w:tc>
        <w:tc>
          <w:tcPr>
            <w:tcW w:w="424" w:type="pct"/>
            <w:noWrap/>
            <w:vAlign w:val="center"/>
            <w:hideMark/>
          </w:tcPr>
          <w:p w14:paraId="46405197"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1</w:t>
            </w:r>
          </w:p>
        </w:tc>
      </w:tr>
      <w:tr w:rsidR="004F64EF" w:rsidRPr="003003C0" w14:paraId="7B9621B8" w14:textId="77777777" w:rsidTr="00BE2A9F">
        <w:trPr>
          <w:trHeight w:val="20"/>
        </w:trPr>
        <w:tc>
          <w:tcPr>
            <w:tcW w:w="2032" w:type="pct"/>
            <w:noWrap/>
            <w:vAlign w:val="center"/>
            <w:hideMark/>
          </w:tcPr>
          <w:p w14:paraId="4E9E8765" w14:textId="77777777" w:rsidR="004F64EF" w:rsidRPr="003003C0" w:rsidRDefault="004F64EF" w:rsidP="00FD6B66">
            <w:pPr>
              <w:tabs>
                <w:tab w:val="left" w:pos="510"/>
              </w:tabs>
              <w:jc w:val="left"/>
              <w:rPr>
                <w:rFonts w:cs="Arial"/>
                <w:color w:val="000000"/>
                <w:sz w:val="14"/>
                <w:szCs w:val="14"/>
              </w:rPr>
            </w:pPr>
            <w:r w:rsidRPr="003003C0">
              <w:rPr>
                <w:rFonts w:cs="Arial"/>
                <w:color w:val="000000"/>
                <w:sz w:val="14"/>
                <w:szCs w:val="14"/>
              </w:rPr>
              <w:tab/>
              <w:t>Cabo Verde</w:t>
            </w:r>
          </w:p>
        </w:tc>
        <w:tc>
          <w:tcPr>
            <w:tcW w:w="424" w:type="pct"/>
            <w:noWrap/>
            <w:vAlign w:val="center"/>
            <w:hideMark/>
          </w:tcPr>
          <w:p w14:paraId="32BD15FE"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0</w:t>
            </w:r>
          </w:p>
        </w:tc>
        <w:tc>
          <w:tcPr>
            <w:tcW w:w="424" w:type="pct"/>
            <w:noWrap/>
            <w:vAlign w:val="center"/>
            <w:hideMark/>
          </w:tcPr>
          <w:p w14:paraId="1B01851F"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0</w:t>
            </w:r>
          </w:p>
        </w:tc>
        <w:tc>
          <w:tcPr>
            <w:tcW w:w="424" w:type="pct"/>
            <w:noWrap/>
            <w:vAlign w:val="center"/>
            <w:hideMark/>
          </w:tcPr>
          <w:p w14:paraId="245CB38E"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0</w:t>
            </w:r>
          </w:p>
        </w:tc>
        <w:tc>
          <w:tcPr>
            <w:tcW w:w="424" w:type="pct"/>
            <w:noWrap/>
            <w:vAlign w:val="center"/>
            <w:hideMark/>
          </w:tcPr>
          <w:p w14:paraId="13611865"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0</w:t>
            </w:r>
          </w:p>
        </w:tc>
        <w:tc>
          <w:tcPr>
            <w:tcW w:w="424" w:type="pct"/>
            <w:noWrap/>
            <w:vAlign w:val="center"/>
            <w:hideMark/>
          </w:tcPr>
          <w:p w14:paraId="0EF18AF3"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0</w:t>
            </w:r>
          </w:p>
        </w:tc>
        <w:tc>
          <w:tcPr>
            <w:tcW w:w="424" w:type="pct"/>
            <w:noWrap/>
            <w:vAlign w:val="center"/>
            <w:hideMark/>
          </w:tcPr>
          <w:p w14:paraId="636C3EDA"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0</w:t>
            </w:r>
          </w:p>
        </w:tc>
        <w:tc>
          <w:tcPr>
            <w:tcW w:w="424" w:type="pct"/>
            <w:noWrap/>
            <w:vAlign w:val="center"/>
            <w:hideMark/>
          </w:tcPr>
          <w:p w14:paraId="4AB42256"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1</w:t>
            </w:r>
          </w:p>
        </w:tc>
      </w:tr>
      <w:tr w:rsidR="004F64EF" w:rsidRPr="003003C0" w14:paraId="1A13A3A9" w14:textId="77777777" w:rsidTr="00BE2A9F">
        <w:trPr>
          <w:cnfStyle w:val="000000010000" w:firstRow="0" w:lastRow="0" w:firstColumn="0" w:lastColumn="0" w:oddVBand="0" w:evenVBand="0" w:oddHBand="0" w:evenHBand="1" w:firstRowFirstColumn="0" w:firstRowLastColumn="0" w:lastRowFirstColumn="0" w:lastRowLastColumn="0"/>
          <w:trHeight w:val="20"/>
        </w:trPr>
        <w:tc>
          <w:tcPr>
            <w:tcW w:w="2032" w:type="pct"/>
            <w:noWrap/>
            <w:vAlign w:val="center"/>
            <w:hideMark/>
          </w:tcPr>
          <w:p w14:paraId="49987FF0" w14:textId="77777777" w:rsidR="004F64EF" w:rsidRPr="003003C0" w:rsidRDefault="004F64EF" w:rsidP="00FD6B66">
            <w:pPr>
              <w:jc w:val="left"/>
              <w:rPr>
                <w:rFonts w:cs="Arial"/>
                <w:color w:val="000000"/>
                <w:sz w:val="14"/>
                <w:szCs w:val="14"/>
              </w:rPr>
            </w:pPr>
            <w:r>
              <w:rPr>
                <w:rFonts w:cs="Arial"/>
                <w:color w:val="000000"/>
                <w:sz w:val="14"/>
                <w:szCs w:val="14"/>
              </w:rPr>
              <w:t>Middle East</w:t>
            </w:r>
          </w:p>
        </w:tc>
        <w:tc>
          <w:tcPr>
            <w:tcW w:w="424" w:type="pct"/>
            <w:noWrap/>
            <w:vAlign w:val="center"/>
            <w:hideMark/>
          </w:tcPr>
          <w:p w14:paraId="7A70E9D5"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1</w:t>
            </w:r>
          </w:p>
        </w:tc>
        <w:tc>
          <w:tcPr>
            <w:tcW w:w="424" w:type="pct"/>
            <w:noWrap/>
            <w:vAlign w:val="center"/>
            <w:hideMark/>
          </w:tcPr>
          <w:p w14:paraId="58C793CD"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1</w:t>
            </w:r>
          </w:p>
        </w:tc>
        <w:tc>
          <w:tcPr>
            <w:tcW w:w="424" w:type="pct"/>
            <w:noWrap/>
            <w:vAlign w:val="center"/>
            <w:hideMark/>
          </w:tcPr>
          <w:p w14:paraId="7B7E1063"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1</w:t>
            </w:r>
          </w:p>
        </w:tc>
        <w:tc>
          <w:tcPr>
            <w:tcW w:w="424" w:type="pct"/>
            <w:noWrap/>
            <w:vAlign w:val="center"/>
            <w:hideMark/>
          </w:tcPr>
          <w:p w14:paraId="2E479BE7"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1</w:t>
            </w:r>
          </w:p>
        </w:tc>
        <w:tc>
          <w:tcPr>
            <w:tcW w:w="424" w:type="pct"/>
            <w:noWrap/>
            <w:vAlign w:val="center"/>
            <w:hideMark/>
          </w:tcPr>
          <w:p w14:paraId="0C34C32A"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1</w:t>
            </w:r>
          </w:p>
        </w:tc>
        <w:tc>
          <w:tcPr>
            <w:tcW w:w="424" w:type="pct"/>
            <w:noWrap/>
            <w:vAlign w:val="center"/>
            <w:hideMark/>
          </w:tcPr>
          <w:p w14:paraId="5F2FD85B"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1</w:t>
            </w:r>
          </w:p>
        </w:tc>
        <w:tc>
          <w:tcPr>
            <w:tcW w:w="424" w:type="pct"/>
            <w:noWrap/>
            <w:vAlign w:val="center"/>
            <w:hideMark/>
          </w:tcPr>
          <w:p w14:paraId="498BFA71"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1</w:t>
            </w:r>
          </w:p>
        </w:tc>
      </w:tr>
      <w:tr w:rsidR="004F64EF" w:rsidRPr="003003C0" w14:paraId="7E1249EF" w14:textId="77777777" w:rsidTr="00BE2A9F">
        <w:trPr>
          <w:trHeight w:val="20"/>
        </w:trPr>
        <w:tc>
          <w:tcPr>
            <w:tcW w:w="2032" w:type="pct"/>
            <w:noWrap/>
            <w:vAlign w:val="center"/>
            <w:hideMark/>
          </w:tcPr>
          <w:p w14:paraId="7E7A3F5E" w14:textId="77777777" w:rsidR="004F64EF" w:rsidRPr="003003C0" w:rsidRDefault="004F64EF" w:rsidP="00FD6B66">
            <w:pPr>
              <w:jc w:val="left"/>
              <w:rPr>
                <w:rFonts w:cs="Arial"/>
                <w:color w:val="000000"/>
                <w:sz w:val="14"/>
                <w:szCs w:val="14"/>
              </w:rPr>
            </w:pPr>
            <w:r w:rsidRPr="003003C0">
              <w:rPr>
                <w:rFonts w:cs="Arial"/>
                <w:color w:val="000000"/>
                <w:sz w:val="14"/>
                <w:szCs w:val="14"/>
              </w:rPr>
              <w:t>Asia</w:t>
            </w:r>
          </w:p>
        </w:tc>
        <w:tc>
          <w:tcPr>
            <w:tcW w:w="424" w:type="pct"/>
            <w:noWrap/>
            <w:vAlign w:val="center"/>
            <w:hideMark/>
          </w:tcPr>
          <w:p w14:paraId="32DDE319" w14:textId="77777777" w:rsidR="004F64EF" w:rsidRPr="003003C0" w:rsidRDefault="004F64EF" w:rsidP="00FD6B66">
            <w:pPr>
              <w:jc w:val="right"/>
              <w:rPr>
                <w:rFonts w:cs="Arial"/>
                <w:color w:val="000000"/>
                <w:sz w:val="14"/>
                <w:szCs w:val="14"/>
              </w:rPr>
            </w:pPr>
            <w:r w:rsidRPr="003003C0">
              <w:rPr>
                <w:rFonts w:cs="Arial"/>
                <w:color w:val="000000"/>
                <w:sz w:val="14"/>
                <w:szCs w:val="14"/>
              </w:rPr>
              <w:t>16</w:t>
            </w:r>
            <w:r>
              <w:rPr>
                <w:rFonts w:cs="Arial"/>
                <w:color w:val="000000"/>
                <w:sz w:val="14"/>
                <w:szCs w:val="14"/>
              </w:rPr>
              <w:t>.</w:t>
            </w:r>
            <w:r w:rsidRPr="003003C0">
              <w:rPr>
                <w:rFonts w:cs="Arial"/>
                <w:color w:val="000000"/>
                <w:sz w:val="14"/>
                <w:szCs w:val="14"/>
              </w:rPr>
              <w:t>2</w:t>
            </w:r>
          </w:p>
        </w:tc>
        <w:tc>
          <w:tcPr>
            <w:tcW w:w="424" w:type="pct"/>
            <w:noWrap/>
            <w:vAlign w:val="center"/>
            <w:hideMark/>
          </w:tcPr>
          <w:p w14:paraId="055E09EE" w14:textId="77777777" w:rsidR="004F64EF" w:rsidRPr="003003C0" w:rsidRDefault="004F64EF" w:rsidP="00FD6B66">
            <w:pPr>
              <w:jc w:val="right"/>
              <w:rPr>
                <w:rFonts w:cs="Arial"/>
                <w:color w:val="000000"/>
                <w:sz w:val="14"/>
                <w:szCs w:val="14"/>
              </w:rPr>
            </w:pPr>
            <w:r w:rsidRPr="003003C0">
              <w:rPr>
                <w:rFonts w:cs="Arial"/>
                <w:color w:val="000000"/>
                <w:sz w:val="14"/>
                <w:szCs w:val="14"/>
              </w:rPr>
              <w:t>15</w:t>
            </w:r>
            <w:r>
              <w:rPr>
                <w:rFonts w:cs="Arial"/>
                <w:color w:val="000000"/>
                <w:sz w:val="14"/>
                <w:szCs w:val="14"/>
              </w:rPr>
              <w:t>.</w:t>
            </w:r>
            <w:r w:rsidRPr="003003C0">
              <w:rPr>
                <w:rFonts w:cs="Arial"/>
                <w:color w:val="000000"/>
                <w:sz w:val="14"/>
                <w:szCs w:val="14"/>
              </w:rPr>
              <w:t>7</w:t>
            </w:r>
          </w:p>
        </w:tc>
        <w:tc>
          <w:tcPr>
            <w:tcW w:w="424" w:type="pct"/>
            <w:noWrap/>
            <w:vAlign w:val="center"/>
            <w:hideMark/>
          </w:tcPr>
          <w:p w14:paraId="03AFACC2" w14:textId="77777777" w:rsidR="004F64EF" w:rsidRPr="003003C0" w:rsidRDefault="004F64EF" w:rsidP="00FD6B66">
            <w:pPr>
              <w:jc w:val="right"/>
              <w:rPr>
                <w:rFonts w:cs="Arial"/>
                <w:color w:val="000000"/>
                <w:sz w:val="14"/>
                <w:szCs w:val="14"/>
              </w:rPr>
            </w:pPr>
            <w:r w:rsidRPr="003003C0">
              <w:rPr>
                <w:rFonts w:cs="Arial"/>
                <w:color w:val="000000"/>
                <w:sz w:val="14"/>
                <w:szCs w:val="14"/>
              </w:rPr>
              <w:t>15</w:t>
            </w:r>
            <w:r>
              <w:rPr>
                <w:rFonts w:cs="Arial"/>
                <w:color w:val="000000"/>
                <w:sz w:val="14"/>
                <w:szCs w:val="14"/>
              </w:rPr>
              <w:t>.</w:t>
            </w:r>
            <w:r w:rsidRPr="003003C0">
              <w:rPr>
                <w:rFonts w:cs="Arial"/>
                <w:color w:val="000000"/>
                <w:sz w:val="14"/>
                <w:szCs w:val="14"/>
              </w:rPr>
              <w:t>4</w:t>
            </w:r>
          </w:p>
        </w:tc>
        <w:tc>
          <w:tcPr>
            <w:tcW w:w="424" w:type="pct"/>
            <w:noWrap/>
            <w:vAlign w:val="center"/>
            <w:hideMark/>
          </w:tcPr>
          <w:p w14:paraId="058331EC" w14:textId="77777777" w:rsidR="004F64EF" w:rsidRPr="003003C0" w:rsidRDefault="004F64EF" w:rsidP="00FD6B66">
            <w:pPr>
              <w:jc w:val="right"/>
              <w:rPr>
                <w:rFonts w:cs="Arial"/>
                <w:color w:val="000000"/>
                <w:sz w:val="14"/>
                <w:szCs w:val="14"/>
              </w:rPr>
            </w:pPr>
            <w:r w:rsidRPr="003003C0">
              <w:rPr>
                <w:rFonts w:cs="Arial"/>
                <w:color w:val="000000"/>
                <w:sz w:val="14"/>
                <w:szCs w:val="14"/>
              </w:rPr>
              <w:t>18</w:t>
            </w:r>
            <w:r>
              <w:rPr>
                <w:rFonts w:cs="Arial"/>
                <w:color w:val="000000"/>
                <w:sz w:val="14"/>
                <w:szCs w:val="14"/>
              </w:rPr>
              <w:t>.</w:t>
            </w:r>
            <w:r w:rsidRPr="003003C0">
              <w:rPr>
                <w:rFonts w:cs="Arial"/>
                <w:color w:val="000000"/>
                <w:sz w:val="14"/>
                <w:szCs w:val="14"/>
              </w:rPr>
              <w:t>1</w:t>
            </w:r>
          </w:p>
        </w:tc>
        <w:tc>
          <w:tcPr>
            <w:tcW w:w="424" w:type="pct"/>
            <w:noWrap/>
            <w:vAlign w:val="center"/>
            <w:hideMark/>
          </w:tcPr>
          <w:p w14:paraId="151EDAFE" w14:textId="77777777" w:rsidR="004F64EF" w:rsidRPr="003003C0" w:rsidRDefault="004F64EF" w:rsidP="00FD6B66">
            <w:pPr>
              <w:jc w:val="right"/>
              <w:rPr>
                <w:rFonts w:cs="Arial"/>
                <w:color w:val="000000"/>
                <w:sz w:val="14"/>
                <w:szCs w:val="14"/>
              </w:rPr>
            </w:pPr>
            <w:r w:rsidRPr="003003C0">
              <w:rPr>
                <w:rFonts w:cs="Arial"/>
                <w:color w:val="000000"/>
                <w:sz w:val="14"/>
                <w:szCs w:val="14"/>
              </w:rPr>
              <w:t>14</w:t>
            </w:r>
            <w:r>
              <w:rPr>
                <w:rFonts w:cs="Arial"/>
                <w:color w:val="000000"/>
                <w:sz w:val="14"/>
                <w:szCs w:val="14"/>
              </w:rPr>
              <w:t>.</w:t>
            </w:r>
            <w:r w:rsidRPr="003003C0">
              <w:rPr>
                <w:rFonts w:cs="Arial"/>
                <w:color w:val="000000"/>
                <w:sz w:val="14"/>
                <w:szCs w:val="14"/>
              </w:rPr>
              <w:t>6</w:t>
            </w:r>
          </w:p>
        </w:tc>
        <w:tc>
          <w:tcPr>
            <w:tcW w:w="424" w:type="pct"/>
            <w:noWrap/>
            <w:vAlign w:val="center"/>
            <w:hideMark/>
          </w:tcPr>
          <w:p w14:paraId="5BC3F4D9" w14:textId="77777777" w:rsidR="004F64EF" w:rsidRPr="003003C0" w:rsidRDefault="004F64EF" w:rsidP="00FD6B66">
            <w:pPr>
              <w:jc w:val="right"/>
              <w:rPr>
                <w:rFonts w:cs="Arial"/>
                <w:color w:val="000000"/>
                <w:sz w:val="14"/>
                <w:szCs w:val="14"/>
              </w:rPr>
            </w:pPr>
            <w:r w:rsidRPr="003003C0">
              <w:rPr>
                <w:rFonts w:cs="Arial"/>
                <w:color w:val="000000"/>
                <w:sz w:val="14"/>
                <w:szCs w:val="14"/>
              </w:rPr>
              <w:t>10</w:t>
            </w:r>
            <w:r>
              <w:rPr>
                <w:rFonts w:cs="Arial"/>
                <w:color w:val="000000"/>
                <w:sz w:val="14"/>
                <w:szCs w:val="14"/>
              </w:rPr>
              <w:t>.</w:t>
            </w:r>
            <w:r w:rsidRPr="003003C0">
              <w:rPr>
                <w:rFonts w:cs="Arial"/>
                <w:color w:val="000000"/>
                <w:sz w:val="14"/>
                <w:szCs w:val="14"/>
              </w:rPr>
              <w:t>9</w:t>
            </w:r>
          </w:p>
        </w:tc>
        <w:tc>
          <w:tcPr>
            <w:tcW w:w="424" w:type="pct"/>
            <w:noWrap/>
            <w:vAlign w:val="center"/>
            <w:hideMark/>
          </w:tcPr>
          <w:p w14:paraId="079519FA" w14:textId="77777777" w:rsidR="004F64EF" w:rsidRPr="003003C0" w:rsidRDefault="004F64EF" w:rsidP="00FD6B66">
            <w:pPr>
              <w:jc w:val="right"/>
              <w:rPr>
                <w:rFonts w:cs="Arial"/>
                <w:color w:val="000000"/>
                <w:sz w:val="14"/>
                <w:szCs w:val="14"/>
              </w:rPr>
            </w:pPr>
            <w:r w:rsidRPr="003003C0">
              <w:rPr>
                <w:rFonts w:cs="Arial"/>
                <w:color w:val="000000"/>
                <w:sz w:val="14"/>
                <w:szCs w:val="14"/>
              </w:rPr>
              <w:t>22</w:t>
            </w:r>
            <w:r>
              <w:rPr>
                <w:rFonts w:cs="Arial"/>
                <w:color w:val="000000"/>
                <w:sz w:val="14"/>
                <w:szCs w:val="14"/>
              </w:rPr>
              <w:t>.</w:t>
            </w:r>
            <w:r w:rsidRPr="003003C0">
              <w:rPr>
                <w:rFonts w:cs="Arial"/>
                <w:color w:val="000000"/>
                <w:sz w:val="14"/>
                <w:szCs w:val="14"/>
              </w:rPr>
              <w:t>0</w:t>
            </w:r>
          </w:p>
        </w:tc>
      </w:tr>
      <w:tr w:rsidR="004F64EF" w:rsidRPr="003003C0" w14:paraId="02123230" w14:textId="77777777" w:rsidTr="00BE2A9F">
        <w:trPr>
          <w:cnfStyle w:val="000000010000" w:firstRow="0" w:lastRow="0" w:firstColumn="0" w:lastColumn="0" w:oddVBand="0" w:evenVBand="0" w:oddHBand="0" w:evenHBand="1" w:firstRowFirstColumn="0" w:firstRowLastColumn="0" w:lastRowFirstColumn="0" w:lastRowLastColumn="0"/>
          <w:trHeight w:val="20"/>
        </w:trPr>
        <w:tc>
          <w:tcPr>
            <w:tcW w:w="2032" w:type="pct"/>
            <w:noWrap/>
            <w:vAlign w:val="center"/>
            <w:hideMark/>
          </w:tcPr>
          <w:p w14:paraId="1EAB45EB" w14:textId="77777777" w:rsidR="004F64EF" w:rsidRPr="003003C0" w:rsidRDefault="004F64EF" w:rsidP="00FD6B66">
            <w:pPr>
              <w:tabs>
                <w:tab w:val="left" w:pos="113"/>
              </w:tabs>
              <w:jc w:val="left"/>
              <w:rPr>
                <w:rFonts w:cs="Arial"/>
                <w:color w:val="000000"/>
                <w:sz w:val="14"/>
                <w:szCs w:val="14"/>
              </w:rPr>
            </w:pPr>
            <w:r w:rsidRPr="003003C0">
              <w:rPr>
                <w:rFonts w:cs="Arial"/>
                <w:color w:val="000000"/>
                <w:sz w:val="14"/>
                <w:szCs w:val="14"/>
              </w:rPr>
              <w:tab/>
              <w:t>China</w:t>
            </w:r>
          </w:p>
        </w:tc>
        <w:tc>
          <w:tcPr>
            <w:tcW w:w="424" w:type="pct"/>
            <w:noWrap/>
            <w:vAlign w:val="center"/>
            <w:hideMark/>
          </w:tcPr>
          <w:p w14:paraId="2BA61805" w14:textId="77777777" w:rsidR="004F64EF" w:rsidRPr="003003C0" w:rsidRDefault="004F64EF" w:rsidP="00FD6B66">
            <w:pPr>
              <w:jc w:val="right"/>
              <w:rPr>
                <w:rFonts w:cs="Arial"/>
                <w:color w:val="000000"/>
                <w:sz w:val="14"/>
                <w:szCs w:val="14"/>
              </w:rPr>
            </w:pPr>
            <w:r w:rsidRPr="003003C0">
              <w:rPr>
                <w:rFonts w:cs="Arial"/>
                <w:color w:val="000000"/>
                <w:sz w:val="14"/>
                <w:szCs w:val="14"/>
              </w:rPr>
              <w:t>2</w:t>
            </w:r>
            <w:r>
              <w:rPr>
                <w:rFonts w:cs="Arial"/>
                <w:color w:val="000000"/>
                <w:sz w:val="14"/>
                <w:szCs w:val="14"/>
              </w:rPr>
              <w:t>.</w:t>
            </w:r>
            <w:r w:rsidRPr="003003C0">
              <w:rPr>
                <w:rFonts w:cs="Arial"/>
                <w:color w:val="000000"/>
                <w:sz w:val="14"/>
                <w:szCs w:val="14"/>
              </w:rPr>
              <w:t>1</w:t>
            </w:r>
          </w:p>
        </w:tc>
        <w:tc>
          <w:tcPr>
            <w:tcW w:w="424" w:type="pct"/>
            <w:noWrap/>
            <w:vAlign w:val="center"/>
            <w:hideMark/>
          </w:tcPr>
          <w:p w14:paraId="1DF454E1" w14:textId="77777777" w:rsidR="004F64EF" w:rsidRPr="003003C0" w:rsidRDefault="004F64EF" w:rsidP="00FD6B66">
            <w:pPr>
              <w:jc w:val="right"/>
              <w:rPr>
                <w:rFonts w:cs="Arial"/>
                <w:color w:val="000000"/>
                <w:sz w:val="14"/>
                <w:szCs w:val="14"/>
              </w:rPr>
            </w:pPr>
            <w:r w:rsidRPr="003003C0">
              <w:rPr>
                <w:rFonts w:cs="Arial"/>
                <w:color w:val="000000"/>
                <w:sz w:val="14"/>
                <w:szCs w:val="14"/>
              </w:rPr>
              <w:t>2</w:t>
            </w:r>
            <w:r>
              <w:rPr>
                <w:rFonts w:cs="Arial"/>
                <w:color w:val="000000"/>
                <w:sz w:val="14"/>
                <w:szCs w:val="14"/>
              </w:rPr>
              <w:t>.</w:t>
            </w:r>
            <w:r w:rsidRPr="003003C0">
              <w:rPr>
                <w:rFonts w:cs="Arial"/>
                <w:color w:val="000000"/>
                <w:sz w:val="14"/>
                <w:szCs w:val="14"/>
              </w:rPr>
              <w:t>1</w:t>
            </w:r>
          </w:p>
        </w:tc>
        <w:tc>
          <w:tcPr>
            <w:tcW w:w="424" w:type="pct"/>
            <w:noWrap/>
            <w:vAlign w:val="center"/>
            <w:hideMark/>
          </w:tcPr>
          <w:p w14:paraId="41690624" w14:textId="77777777" w:rsidR="004F64EF" w:rsidRPr="003003C0" w:rsidRDefault="004F64EF" w:rsidP="00FD6B66">
            <w:pPr>
              <w:jc w:val="right"/>
              <w:rPr>
                <w:rFonts w:cs="Arial"/>
                <w:color w:val="000000"/>
                <w:sz w:val="14"/>
                <w:szCs w:val="14"/>
              </w:rPr>
            </w:pPr>
            <w:r w:rsidRPr="003003C0">
              <w:rPr>
                <w:rFonts w:cs="Arial"/>
                <w:color w:val="000000"/>
                <w:sz w:val="14"/>
                <w:szCs w:val="14"/>
              </w:rPr>
              <w:t>1</w:t>
            </w:r>
            <w:r>
              <w:rPr>
                <w:rFonts w:cs="Arial"/>
                <w:color w:val="000000"/>
                <w:sz w:val="14"/>
                <w:szCs w:val="14"/>
              </w:rPr>
              <w:t>.</w:t>
            </w:r>
            <w:r w:rsidRPr="003003C0">
              <w:rPr>
                <w:rFonts w:cs="Arial"/>
                <w:color w:val="000000"/>
                <w:sz w:val="14"/>
                <w:szCs w:val="14"/>
              </w:rPr>
              <w:t>8</w:t>
            </w:r>
          </w:p>
        </w:tc>
        <w:tc>
          <w:tcPr>
            <w:tcW w:w="424" w:type="pct"/>
            <w:noWrap/>
            <w:vAlign w:val="center"/>
            <w:hideMark/>
          </w:tcPr>
          <w:p w14:paraId="751D7B13" w14:textId="77777777" w:rsidR="004F64EF" w:rsidRPr="003003C0" w:rsidRDefault="004F64EF" w:rsidP="00FD6B66">
            <w:pPr>
              <w:jc w:val="right"/>
              <w:rPr>
                <w:rFonts w:cs="Arial"/>
                <w:color w:val="000000"/>
                <w:sz w:val="14"/>
                <w:szCs w:val="14"/>
              </w:rPr>
            </w:pPr>
            <w:r w:rsidRPr="003003C0">
              <w:rPr>
                <w:rFonts w:cs="Arial"/>
                <w:color w:val="000000"/>
                <w:sz w:val="14"/>
                <w:szCs w:val="14"/>
              </w:rPr>
              <w:t>2</w:t>
            </w:r>
            <w:r>
              <w:rPr>
                <w:rFonts w:cs="Arial"/>
                <w:color w:val="000000"/>
                <w:sz w:val="14"/>
                <w:szCs w:val="14"/>
              </w:rPr>
              <w:t>.</w:t>
            </w:r>
            <w:r w:rsidRPr="003003C0">
              <w:rPr>
                <w:rFonts w:cs="Arial"/>
                <w:color w:val="000000"/>
                <w:sz w:val="14"/>
                <w:szCs w:val="14"/>
              </w:rPr>
              <w:t>4</w:t>
            </w:r>
          </w:p>
        </w:tc>
        <w:tc>
          <w:tcPr>
            <w:tcW w:w="424" w:type="pct"/>
            <w:noWrap/>
            <w:vAlign w:val="center"/>
            <w:hideMark/>
          </w:tcPr>
          <w:p w14:paraId="07078C9B" w14:textId="77777777" w:rsidR="004F64EF" w:rsidRPr="003003C0" w:rsidRDefault="004F64EF" w:rsidP="00FD6B66">
            <w:pPr>
              <w:jc w:val="right"/>
              <w:rPr>
                <w:rFonts w:cs="Arial"/>
                <w:color w:val="000000"/>
                <w:sz w:val="14"/>
                <w:szCs w:val="14"/>
              </w:rPr>
            </w:pPr>
            <w:r w:rsidRPr="003003C0">
              <w:rPr>
                <w:rFonts w:cs="Arial"/>
                <w:color w:val="000000"/>
                <w:sz w:val="14"/>
                <w:szCs w:val="14"/>
              </w:rPr>
              <w:t>5</w:t>
            </w:r>
            <w:r>
              <w:rPr>
                <w:rFonts w:cs="Arial"/>
                <w:color w:val="000000"/>
                <w:sz w:val="14"/>
                <w:szCs w:val="14"/>
              </w:rPr>
              <w:t>.</w:t>
            </w:r>
            <w:r w:rsidRPr="003003C0">
              <w:rPr>
                <w:rFonts w:cs="Arial"/>
                <w:color w:val="000000"/>
                <w:sz w:val="14"/>
                <w:szCs w:val="14"/>
              </w:rPr>
              <w:t>6</w:t>
            </w:r>
          </w:p>
        </w:tc>
        <w:tc>
          <w:tcPr>
            <w:tcW w:w="424" w:type="pct"/>
            <w:noWrap/>
            <w:vAlign w:val="center"/>
            <w:hideMark/>
          </w:tcPr>
          <w:p w14:paraId="47A9BDCC" w14:textId="77777777" w:rsidR="004F64EF" w:rsidRPr="003003C0" w:rsidRDefault="004F64EF" w:rsidP="00FD6B66">
            <w:pPr>
              <w:jc w:val="right"/>
              <w:rPr>
                <w:rFonts w:cs="Arial"/>
                <w:color w:val="000000"/>
                <w:sz w:val="14"/>
                <w:szCs w:val="14"/>
              </w:rPr>
            </w:pPr>
            <w:r w:rsidRPr="003003C0">
              <w:rPr>
                <w:rFonts w:cs="Arial"/>
                <w:color w:val="000000"/>
                <w:sz w:val="14"/>
                <w:szCs w:val="14"/>
              </w:rPr>
              <w:t>4</w:t>
            </w:r>
            <w:r>
              <w:rPr>
                <w:rFonts w:cs="Arial"/>
                <w:color w:val="000000"/>
                <w:sz w:val="14"/>
                <w:szCs w:val="14"/>
              </w:rPr>
              <w:t>.</w:t>
            </w:r>
            <w:r w:rsidRPr="003003C0">
              <w:rPr>
                <w:rFonts w:cs="Arial"/>
                <w:color w:val="000000"/>
                <w:sz w:val="14"/>
                <w:szCs w:val="14"/>
              </w:rPr>
              <w:t>3</w:t>
            </w:r>
          </w:p>
        </w:tc>
        <w:tc>
          <w:tcPr>
            <w:tcW w:w="424" w:type="pct"/>
            <w:noWrap/>
            <w:vAlign w:val="center"/>
            <w:hideMark/>
          </w:tcPr>
          <w:p w14:paraId="55E30A62" w14:textId="77777777" w:rsidR="004F64EF" w:rsidRPr="003003C0" w:rsidRDefault="004F64EF" w:rsidP="00FD6B66">
            <w:pPr>
              <w:jc w:val="right"/>
              <w:rPr>
                <w:rFonts w:cs="Arial"/>
                <w:color w:val="000000"/>
                <w:sz w:val="14"/>
                <w:szCs w:val="14"/>
              </w:rPr>
            </w:pPr>
            <w:r w:rsidRPr="003003C0">
              <w:rPr>
                <w:rFonts w:cs="Arial"/>
                <w:color w:val="000000"/>
                <w:sz w:val="14"/>
                <w:szCs w:val="14"/>
              </w:rPr>
              <w:t>5</w:t>
            </w:r>
            <w:r>
              <w:rPr>
                <w:rFonts w:cs="Arial"/>
                <w:color w:val="000000"/>
                <w:sz w:val="14"/>
                <w:szCs w:val="14"/>
              </w:rPr>
              <w:t>.</w:t>
            </w:r>
            <w:r w:rsidRPr="003003C0">
              <w:rPr>
                <w:rFonts w:cs="Arial"/>
                <w:color w:val="000000"/>
                <w:sz w:val="14"/>
                <w:szCs w:val="14"/>
              </w:rPr>
              <w:t>3</w:t>
            </w:r>
          </w:p>
        </w:tc>
      </w:tr>
      <w:tr w:rsidR="004F64EF" w:rsidRPr="003003C0" w14:paraId="4B8ED4ED" w14:textId="77777777" w:rsidTr="00BE2A9F">
        <w:trPr>
          <w:trHeight w:val="20"/>
        </w:trPr>
        <w:tc>
          <w:tcPr>
            <w:tcW w:w="2032" w:type="pct"/>
            <w:noWrap/>
            <w:vAlign w:val="center"/>
            <w:hideMark/>
          </w:tcPr>
          <w:p w14:paraId="0F1C1416" w14:textId="77777777" w:rsidR="004F64EF" w:rsidRPr="003003C0" w:rsidRDefault="004F64EF" w:rsidP="00FD6B66">
            <w:pPr>
              <w:tabs>
                <w:tab w:val="left" w:pos="113"/>
              </w:tabs>
              <w:jc w:val="left"/>
              <w:rPr>
                <w:rFonts w:cs="Arial"/>
                <w:color w:val="000000"/>
                <w:sz w:val="14"/>
                <w:szCs w:val="14"/>
              </w:rPr>
            </w:pPr>
            <w:r w:rsidRPr="003003C0">
              <w:rPr>
                <w:rFonts w:cs="Arial"/>
                <w:color w:val="000000"/>
                <w:sz w:val="14"/>
                <w:szCs w:val="14"/>
              </w:rPr>
              <w:tab/>
              <w:t>Jap</w:t>
            </w:r>
            <w:r>
              <w:rPr>
                <w:rFonts w:cs="Arial"/>
                <w:color w:val="000000"/>
                <w:sz w:val="14"/>
                <w:szCs w:val="14"/>
              </w:rPr>
              <w:t>a</w:t>
            </w:r>
            <w:r w:rsidRPr="003003C0">
              <w:rPr>
                <w:rFonts w:cs="Arial"/>
                <w:color w:val="000000"/>
                <w:sz w:val="14"/>
                <w:szCs w:val="14"/>
              </w:rPr>
              <w:t>n</w:t>
            </w:r>
          </w:p>
        </w:tc>
        <w:tc>
          <w:tcPr>
            <w:tcW w:w="424" w:type="pct"/>
            <w:noWrap/>
            <w:vAlign w:val="center"/>
            <w:hideMark/>
          </w:tcPr>
          <w:p w14:paraId="433B4FC2"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1</w:t>
            </w:r>
          </w:p>
        </w:tc>
        <w:tc>
          <w:tcPr>
            <w:tcW w:w="424" w:type="pct"/>
            <w:noWrap/>
            <w:vAlign w:val="center"/>
            <w:hideMark/>
          </w:tcPr>
          <w:p w14:paraId="556FA60F"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0</w:t>
            </w:r>
          </w:p>
        </w:tc>
        <w:tc>
          <w:tcPr>
            <w:tcW w:w="424" w:type="pct"/>
            <w:noWrap/>
            <w:vAlign w:val="center"/>
            <w:hideMark/>
          </w:tcPr>
          <w:p w14:paraId="37426C76"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1</w:t>
            </w:r>
          </w:p>
        </w:tc>
        <w:tc>
          <w:tcPr>
            <w:tcW w:w="424" w:type="pct"/>
            <w:noWrap/>
            <w:vAlign w:val="center"/>
            <w:hideMark/>
          </w:tcPr>
          <w:p w14:paraId="0A47AAA3"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0</w:t>
            </w:r>
          </w:p>
        </w:tc>
        <w:tc>
          <w:tcPr>
            <w:tcW w:w="424" w:type="pct"/>
            <w:noWrap/>
            <w:vAlign w:val="center"/>
            <w:hideMark/>
          </w:tcPr>
          <w:p w14:paraId="7A69D26E"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0</w:t>
            </w:r>
          </w:p>
        </w:tc>
        <w:tc>
          <w:tcPr>
            <w:tcW w:w="424" w:type="pct"/>
            <w:noWrap/>
            <w:vAlign w:val="center"/>
            <w:hideMark/>
          </w:tcPr>
          <w:p w14:paraId="48BAAE09"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0</w:t>
            </w:r>
          </w:p>
        </w:tc>
        <w:tc>
          <w:tcPr>
            <w:tcW w:w="424" w:type="pct"/>
            <w:noWrap/>
            <w:vAlign w:val="center"/>
            <w:hideMark/>
          </w:tcPr>
          <w:p w14:paraId="3CB374A6"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1</w:t>
            </w:r>
          </w:p>
        </w:tc>
      </w:tr>
      <w:tr w:rsidR="004F64EF" w:rsidRPr="003003C0" w14:paraId="13CED679" w14:textId="77777777" w:rsidTr="00BE2A9F">
        <w:trPr>
          <w:cnfStyle w:val="000000010000" w:firstRow="0" w:lastRow="0" w:firstColumn="0" w:lastColumn="0" w:oddVBand="0" w:evenVBand="0" w:oddHBand="0" w:evenHBand="1" w:firstRowFirstColumn="0" w:firstRowLastColumn="0" w:lastRowFirstColumn="0" w:lastRowLastColumn="0"/>
          <w:trHeight w:val="20"/>
        </w:trPr>
        <w:tc>
          <w:tcPr>
            <w:tcW w:w="2032" w:type="pct"/>
            <w:noWrap/>
            <w:vAlign w:val="center"/>
            <w:hideMark/>
          </w:tcPr>
          <w:p w14:paraId="418B7305" w14:textId="77777777" w:rsidR="004F64EF" w:rsidRPr="003003C0" w:rsidRDefault="004F64EF" w:rsidP="00FD6B66">
            <w:pPr>
              <w:tabs>
                <w:tab w:val="left" w:pos="113"/>
              </w:tabs>
              <w:jc w:val="left"/>
              <w:rPr>
                <w:rFonts w:cs="Arial"/>
                <w:color w:val="000000"/>
                <w:sz w:val="14"/>
                <w:szCs w:val="14"/>
              </w:rPr>
            </w:pPr>
            <w:r w:rsidRPr="003003C0">
              <w:rPr>
                <w:rFonts w:cs="Arial"/>
                <w:color w:val="000000"/>
                <w:sz w:val="14"/>
                <w:szCs w:val="14"/>
              </w:rPr>
              <w:tab/>
            </w:r>
            <w:r>
              <w:rPr>
                <w:rFonts w:cs="Arial"/>
                <w:color w:val="000000"/>
                <w:sz w:val="14"/>
                <w:szCs w:val="14"/>
              </w:rPr>
              <w:t>Other</w:t>
            </w:r>
            <w:r w:rsidRPr="003003C0">
              <w:rPr>
                <w:rFonts w:cs="Arial"/>
                <w:color w:val="000000"/>
                <w:sz w:val="14"/>
                <w:szCs w:val="14"/>
              </w:rPr>
              <w:t xml:space="preserve"> Asia</w:t>
            </w:r>
          </w:p>
        </w:tc>
        <w:tc>
          <w:tcPr>
            <w:tcW w:w="424" w:type="pct"/>
            <w:noWrap/>
            <w:vAlign w:val="center"/>
            <w:hideMark/>
          </w:tcPr>
          <w:p w14:paraId="1DC86860" w14:textId="77777777" w:rsidR="004F64EF" w:rsidRPr="003003C0" w:rsidRDefault="004F64EF" w:rsidP="00FD6B66">
            <w:pPr>
              <w:jc w:val="right"/>
              <w:rPr>
                <w:rFonts w:cs="Arial"/>
                <w:color w:val="000000"/>
                <w:sz w:val="14"/>
                <w:szCs w:val="14"/>
              </w:rPr>
            </w:pPr>
            <w:r w:rsidRPr="003003C0">
              <w:rPr>
                <w:rFonts w:cs="Arial"/>
                <w:color w:val="000000"/>
                <w:sz w:val="14"/>
                <w:szCs w:val="14"/>
              </w:rPr>
              <w:t>14</w:t>
            </w:r>
            <w:r>
              <w:rPr>
                <w:rFonts w:cs="Arial"/>
                <w:color w:val="000000"/>
                <w:sz w:val="14"/>
                <w:szCs w:val="14"/>
              </w:rPr>
              <w:t>.</w:t>
            </w:r>
            <w:r w:rsidRPr="003003C0">
              <w:rPr>
                <w:rFonts w:cs="Arial"/>
                <w:color w:val="000000"/>
                <w:sz w:val="14"/>
                <w:szCs w:val="14"/>
              </w:rPr>
              <w:t>1</w:t>
            </w:r>
          </w:p>
        </w:tc>
        <w:tc>
          <w:tcPr>
            <w:tcW w:w="424" w:type="pct"/>
            <w:noWrap/>
            <w:vAlign w:val="center"/>
            <w:hideMark/>
          </w:tcPr>
          <w:p w14:paraId="2C58F162" w14:textId="77777777" w:rsidR="004F64EF" w:rsidRPr="003003C0" w:rsidRDefault="004F64EF" w:rsidP="00FD6B66">
            <w:pPr>
              <w:jc w:val="right"/>
              <w:rPr>
                <w:rFonts w:cs="Arial"/>
                <w:color w:val="000000"/>
                <w:sz w:val="14"/>
                <w:szCs w:val="14"/>
              </w:rPr>
            </w:pPr>
            <w:r w:rsidRPr="003003C0">
              <w:rPr>
                <w:rFonts w:cs="Arial"/>
                <w:color w:val="000000"/>
                <w:sz w:val="14"/>
                <w:szCs w:val="14"/>
              </w:rPr>
              <w:t>13</w:t>
            </w:r>
            <w:r>
              <w:rPr>
                <w:rFonts w:cs="Arial"/>
                <w:color w:val="000000"/>
                <w:sz w:val="14"/>
                <w:szCs w:val="14"/>
              </w:rPr>
              <w:t>.</w:t>
            </w:r>
            <w:r w:rsidRPr="003003C0">
              <w:rPr>
                <w:rFonts w:cs="Arial"/>
                <w:color w:val="000000"/>
                <w:sz w:val="14"/>
                <w:szCs w:val="14"/>
              </w:rPr>
              <w:t>6</w:t>
            </w:r>
          </w:p>
        </w:tc>
        <w:tc>
          <w:tcPr>
            <w:tcW w:w="424" w:type="pct"/>
            <w:noWrap/>
            <w:vAlign w:val="center"/>
            <w:hideMark/>
          </w:tcPr>
          <w:p w14:paraId="6B311384" w14:textId="77777777" w:rsidR="004F64EF" w:rsidRPr="003003C0" w:rsidRDefault="004F64EF" w:rsidP="00FD6B66">
            <w:pPr>
              <w:jc w:val="right"/>
              <w:rPr>
                <w:rFonts w:cs="Arial"/>
                <w:color w:val="000000"/>
                <w:sz w:val="14"/>
                <w:szCs w:val="14"/>
              </w:rPr>
            </w:pPr>
            <w:r w:rsidRPr="003003C0">
              <w:rPr>
                <w:rFonts w:cs="Arial"/>
                <w:color w:val="000000"/>
                <w:sz w:val="14"/>
                <w:szCs w:val="14"/>
              </w:rPr>
              <w:t>13</w:t>
            </w:r>
            <w:r>
              <w:rPr>
                <w:rFonts w:cs="Arial"/>
                <w:color w:val="000000"/>
                <w:sz w:val="14"/>
                <w:szCs w:val="14"/>
              </w:rPr>
              <w:t>.</w:t>
            </w:r>
            <w:r w:rsidRPr="003003C0">
              <w:rPr>
                <w:rFonts w:cs="Arial"/>
                <w:color w:val="000000"/>
                <w:sz w:val="14"/>
                <w:szCs w:val="14"/>
              </w:rPr>
              <w:t>5</w:t>
            </w:r>
          </w:p>
        </w:tc>
        <w:tc>
          <w:tcPr>
            <w:tcW w:w="424" w:type="pct"/>
            <w:noWrap/>
            <w:vAlign w:val="center"/>
            <w:hideMark/>
          </w:tcPr>
          <w:p w14:paraId="54C6A3C4" w14:textId="77777777" w:rsidR="004F64EF" w:rsidRPr="003003C0" w:rsidRDefault="004F64EF" w:rsidP="00FD6B66">
            <w:pPr>
              <w:jc w:val="right"/>
              <w:rPr>
                <w:rFonts w:cs="Arial"/>
                <w:color w:val="000000"/>
                <w:sz w:val="14"/>
                <w:szCs w:val="14"/>
              </w:rPr>
            </w:pPr>
            <w:r w:rsidRPr="003003C0">
              <w:rPr>
                <w:rFonts w:cs="Arial"/>
                <w:color w:val="000000"/>
                <w:sz w:val="14"/>
                <w:szCs w:val="14"/>
              </w:rPr>
              <w:t>15</w:t>
            </w:r>
            <w:r>
              <w:rPr>
                <w:rFonts w:cs="Arial"/>
                <w:color w:val="000000"/>
                <w:sz w:val="14"/>
                <w:szCs w:val="14"/>
              </w:rPr>
              <w:t>.</w:t>
            </w:r>
            <w:r w:rsidRPr="003003C0">
              <w:rPr>
                <w:rFonts w:cs="Arial"/>
                <w:color w:val="000000"/>
                <w:sz w:val="14"/>
                <w:szCs w:val="14"/>
              </w:rPr>
              <w:t>7</w:t>
            </w:r>
          </w:p>
        </w:tc>
        <w:tc>
          <w:tcPr>
            <w:tcW w:w="424" w:type="pct"/>
            <w:noWrap/>
            <w:vAlign w:val="center"/>
            <w:hideMark/>
          </w:tcPr>
          <w:p w14:paraId="638576EF" w14:textId="77777777" w:rsidR="004F64EF" w:rsidRPr="003003C0" w:rsidRDefault="004F64EF" w:rsidP="00FD6B66">
            <w:pPr>
              <w:jc w:val="right"/>
              <w:rPr>
                <w:rFonts w:cs="Arial"/>
                <w:color w:val="000000"/>
                <w:sz w:val="14"/>
                <w:szCs w:val="14"/>
              </w:rPr>
            </w:pPr>
            <w:r w:rsidRPr="003003C0">
              <w:rPr>
                <w:rFonts w:cs="Arial"/>
                <w:color w:val="000000"/>
                <w:sz w:val="14"/>
                <w:szCs w:val="14"/>
              </w:rPr>
              <w:t>8</w:t>
            </w:r>
            <w:r>
              <w:rPr>
                <w:rFonts w:cs="Arial"/>
                <w:color w:val="000000"/>
                <w:sz w:val="14"/>
                <w:szCs w:val="14"/>
              </w:rPr>
              <w:t>.</w:t>
            </w:r>
            <w:r w:rsidRPr="003003C0">
              <w:rPr>
                <w:rFonts w:cs="Arial"/>
                <w:color w:val="000000"/>
                <w:sz w:val="14"/>
                <w:szCs w:val="14"/>
              </w:rPr>
              <w:t>9</w:t>
            </w:r>
          </w:p>
        </w:tc>
        <w:tc>
          <w:tcPr>
            <w:tcW w:w="424" w:type="pct"/>
            <w:noWrap/>
            <w:vAlign w:val="center"/>
            <w:hideMark/>
          </w:tcPr>
          <w:p w14:paraId="12309BC6" w14:textId="77777777" w:rsidR="004F64EF" w:rsidRPr="003003C0" w:rsidRDefault="004F64EF" w:rsidP="00FD6B66">
            <w:pPr>
              <w:jc w:val="right"/>
              <w:rPr>
                <w:rFonts w:cs="Arial"/>
                <w:color w:val="000000"/>
                <w:sz w:val="14"/>
                <w:szCs w:val="14"/>
              </w:rPr>
            </w:pPr>
            <w:r w:rsidRPr="003003C0">
              <w:rPr>
                <w:rFonts w:cs="Arial"/>
                <w:color w:val="000000"/>
                <w:sz w:val="14"/>
                <w:szCs w:val="14"/>
              </w:rPr>
              <w:t>6</w:t>
            </w:r>
            <w:r>
              <w:rPr>
                <w:rFonts w:cs="Arial"/>
                <w:color w:val="000000"/>
                <w:sz w:val="14"/>
                <w:szCs w:val="14"/>
              </w:rPr>
              <w:t>.</w:t>
            </w:r>
            <w:r w:rsidRPr="003003C0">
              <w:rPr>
                <w:rFonts w:cs="Arial"/>
                <w:color w:val="000000"/>
                <w:sz w:val="14"/>
                <w:szCs w:val="14"/>
              </w:rPr>
              <w:t>6</w:t>
            </w:r>
          </w:p>
        </w:tc>
        <w:tc>
          <w:tcPr>
            <w:tcW w:w="424" w:type="pct"/>
            <w:noWrap/>
            <w:vAlign w:val="center"/>
            <w:hideMark/>
          </w:tcPr>
          <w:p w14:paraId="6DD4B273" w14:textId="77777777" w:rsidR="004F64EF" w:rsidRPr="003003C0" w:rsidRDefault="004F64EF" w:rsidP="00FD6B66">
            <w:pPr>
              <w:jc w:val="right"/>
              <w:rPr>
                <w:rFonts w:cs="Arial"/>
                <w:color w:val="000000"/>
                <w:sz w:val="14"/>
                <w:szCs w:val="14"/>
              </w:rPr>
            </w:pPr>
            <w:r w:rsidRPr="003003C0">
              <w:rPr>
                <w:rFonts w:cs="Arial"/>
                <w:color w:val="000000"/>
                <w:sz w:val="14"/>
                <w:szCs w:val="14"/>
              </w:rPr>
              <w:t>16</w:t>
            </w:r>
            <w:r>
              <w:rPr>
                <w:rFonts w:cs="Arial"/>
                <w:color w:val="000000"/>
                <w:sz w:val="14"/>
                <w:szCs w:val="14"/>
              </w:rPr>
              <w:t>.</w:t>
            </w:r>
            <w:r w:rsidRPr="003003C0">
              <w:rPr>
                <w:rFonts w:cs="Arial"/>
                <w:color w:val="000000"/>
                <w:sz w:val="14"/>
                <w:szCs w:val="14"/>
              </w:rPr>
              <w:t>6</w:t>
            </w:r>
          </w:p>
        </w:tc>
      </w:tr>
      <w:tr w:rsidR="004F64EF" w:rsidRPr="003003C0" w14:paraId="51893478" w14:textId="77777777" w:rsidTr="00BE2A9F">
        <w:trPr>
          <w:trHeight w:val="20"/>
        </w:trPr>
        <w:tc>
          <w:tcPr>
            <w:tcW w:w="2032" w:type="pct"/>
            <w:noWrap/>
            <w:vAlign w:val="center"/>
            <w:hideMark/>
          </w:tcPr>
          <w:p w14:paraId="01069AA1" w14:textId="77777777" w:rsidR="004F64EF" w:rsidRPr="003003C0" w:rsidRDefault="004F64EF" w:rsidP="00FD6B66">
            <w:pPr>
              <w:tabs>
                <w:tab w:val="left" w:pos="510"/>
              </w:tabs>
              <w:jc w:val="left"/>
              <w:rPr>
                <w:rFonts w:cs="Arial"/>
                <w:color w:val="000000"/>
                <w:sz w:val="14"/>
                <w:szCs w:val="14"/>
              </w:rPr>
            </w:pPr>
            <w:r w:rsidRPr="003003C0">
              <w:rPr>
                <w:rFonts w:cs="Arial"/>
                <w:color w:val="000000"/>
                <w:sz w:val="14"/>
                <w:szCs w:val="14"/>
              </w:rPr>
              <w:tab/>
              <w:t>India</w:t>
            </w:r>
          </w:p>
        </w:tc>
        <w:tc>
          <w:tcPr>
            <w:tcW w:w="424" w:type="pct"/>
            <w:noWrap/>
            <w:vAlign w:val="center"/>
            <w:hideMark/>
          </w:tcPr>
          <w:p w14:paraId="7566CE94" w14:textId="77777777" w:rsidR="004F64EF" w:rsidRPr="003003C0" w:rsidRDefault="004F64EF" w:rsidP="00FD6B66">
            <w:pPr>
              <w:jc w:val="right"/>
              <w:rPr>
                <w:rFonts w:cs="Arial"/>
                <w:color w:val="000000"/>
                <w:sz w:val="14"/>
                <w:szCs w:val="14"/>
              </w:rPr>
            </w:pPr>
            <w:r w:rsidRPr="003003C0">
              <w:rPr>
                <w:rFonts w:cs="Arial"/>
                <w:color w:val="000000"/>
                <w:sz w:val="14"/>
                <w:szCs w:val="14"/>
              </w:rPr>
              <w:t>13</w:t>
            </w:r>
            <w:r>
              <w:rPr>
                <w:rFonts w:cs="Arial"/>
                <w:color w:val="000000"/>
                <w:sz w:val="14"/>
                <w:szCs w:val="14"/>
              </w:rPr>
              <w:t>.</w:t>
            </w:r>
            <w:r w:rsidRPr="003003C0">
              <w:rPr>
                <w:rFonts w:cs="Arial"/>
                <w:color w:val="000000"/>
                <w:sz w:val="14"/>
                <w:szCs w:val="14"/>
              </w:rPr>
              <w:t>8</w:t>
            </w:r>
          </w:p>
        </w:tc>
        <w:tc>
          <w:tcPr>
            <w:tcW w:w="424" w:type="pct"/>
            <w:noWrap/>
            <w:vAlign w:val="center"/>
            <w:hideMark/>
          </w:tcPr>
          <w:p w14:paraId="040FF789" w14:textId="77777777" w:rsidR="004F64EF" w:rsidRPr="003003C0" w:rsidRDefault="004F64EF" w:rsidP="00FD6B66">
            <w:pPr>
              <w:jc w:val="right"/>
              <w:rPr>
                <w:rFonts w:cs="Arial"/>
                <w:color w:val="000000"/>
                <w:sz w:val="14"/>
                <w:szCs w:val="14"/>
              </w:rPr>
            </w:pPr>
            <w:r w:rsidRPr="003003C0">
              <w:rPr>
                <w:rFonts w:cs="Arial"/>
                <w:color w:val="000000"/>
                <w:sz w:val="14"/>
                <w:szCs w:val="14"/>
              </w:rPr>
              <w:t>13</w:t>
            </w:r>
            <w:r>
              <w:rPr>
                <w:rFonts w:cs="Arial"/>
                <w:color w:val="000000"/>
                <w:sz w:val="14"/>
                <w:szCs w:val="14"/>
              </w:rPr>
              <w:t>.</w:t>
            </w:r>
            <w:r w:rsidRPr="003003C0">
              <w:rPr>
                <w:rFonts w:cs="Arial"/>
                <w:color w:val="000000"/>
                <w:sz w:val="14"/>
                <w:szCs w:val="14"/>
              </w:rPr>
              <w:t>2</w:t>
            </w:r>
          </w:p>
        </w:tc>
        <w:tc>
          <w:tcPr>
            <w:tcW w:w="424" w:type="pct"/>
            <w:noWrap/>
            <w:vAlign w:val="center"/>
            <w:hideMark/>
          </w:tcPr>
          <w:p w14:paraId="7397F3D8" w14:textId="77777777" w:rsidR="004F64EF" w:rsidRPr="003003C0" w:rsidRDefault="004F64EF" w:rsidP="00FD6B66">
            <w:pPr>
              <w:jc w:val="right"/>
              <w:rPr>
                <w:rFonts w:cs="Arial"/>
                <w:color w:val="000000"/>
                <w:sz w:val="14"/>
                <w:szCs w:val="14"/>
              </w:rPr>
            </w:pPr>
            <w:r w:rsidRPr="003003C0">
              <w:rPr>
                <w:rFonts w:cs="Arial"/>
                <w:color w:val="000000"/>
                <w:sz w:val="14"/>
                <w:szCs w:val="14"/>
              </w:rPr>
              <w:t>12</w:t>
            </w:r>
            <w:r>
              <w:rPr>
                <w:rFonts w:cs="Arial"/>
                <w:color w:val="000000"/>
                <w:sz w:val="14"/>
                <w:szCs w:val="14"/>
              </w:rPr>
              <w:t>.</w:t>
            </w:r>
            <w:r w:rsidRPr="003003C0">
              <w:rPr>
                <w:rFonts w:cs="Arial"/>
                <w:color w:val="000000"/>
                <w:sz w:val="14"/>
                <w:szCs w:val="14"/>
              </w:rPr>
              <w:t>8</w:t>
            </w:r>
          </w:p>
        </w:tc>
        <w:tc>
          <w:tcPr>
            <w:tcW w:w="424" w:type="pct"/>
            <w:noWrap/>
            <w:vAlign w:val="center"/>
            <w:hideMark/>
          </w:tcPr>
          <w:p w14:paraId="2772A4B3" w14:textId="77777777" w:rsidR="004F64EF" w:rsidRPr="003003C0" w:rsidRDefault="004F64EF" w:rsidP="00FD6B66">
            <w:pPr>
              <w:jc w:val="right"/>
              <w:rPr>
                <w:rFonts w:cs="Arial"/>
                <w:color w:val="000000"/>
                <w:sz w:val="14"/>
                <w:szCs w:val="14"/>
              </w:rPr>
            </w:pPr>
            <w:r w:rsidRPr="003003C0">
              <w:rPr>
                <w:rFonts w:cs="Arial"/>
                <w:color w:val="000000"/>
                <w:sz w:val="14"/>
                <w:szCs w:val="14"/>
              </w:rPr>
              <w:t>14</w:t>
            </w:r>
            <w:r>
              <w:rPr>
                <w:rFonts w:cs="Arial"/>
                <w:color w:val="000000"/>
                <w:sz w:val="14"/>
                <w:szCs w:val="14"/>
              </w:rPr>
              <w:t>.</w:t>
            </w:r>
            <w:r w:rsidRPr="003003C0">
              <w:rPr>
                <w:rFonts w:cs="Arial"/>
                <w:color w:val="000000"/>
                <w:sz w:val="14"/>
                <w:szCs w:val="14"/>
              </w:rPr>
              <w:t>8</w:t>
            </w:r>
          </w:p>
        </w:tc>
        <w:tc>
          <w:tcPr>
            <w:tcW w:w="424" w:type="pct"/>
            <w:noWrap/>
            <w:vAlign w:val="center"/>
            <w:hideMark/>
          </w:tcPr>
          <w:p w14:paraId="74252AFC" w14:textId="77777777" w:rsidR="004F64EF" w:rsidRPr="003003C0" w:rsidRDefault="004F64EF" w:rsidP="00FD6B66">
            <w:pPr>
              <w:jc w:val="right"/>
              <w:rPr>
                <w:rFonts w:cs="Arial"/>
                <w:color w:val="000000"/>
                <w:sz w:val="14"/>
                <w:szCs w:val="14"/>
              </w:rPr>
            </w:pPr>
            <w:r w:rsidRPr="003003C0">
              <w:rPr>
                <w:rFonts w:cs="Arial"/>
                <w:color w:val="000000"/>
                <w:sz w:val="14"/>
                <w:szCs w:val="14"/>
              </w:rPr>
              <w:t>8</w:t>
            </w:r>
            <w:r>
              <w:rPr>
                <w:rFonts w:cs="Arial"/>
                <w:color w:val="000000"/>
                <w:sz w:val="14"/>
                <w:szCs w:val="14"/>
              </w:rPr>
              <w:t>.</w:t>
            </w:r>
            <w:r w:rsidRPr="003003C0">
              <w:rPr>
                <w:rFonts w:cs="Arial"/>
                <w:color w:val="000000"/>
                <w:sz w:val="14"/>
                <w:szCs w:val="14"/>
              </w:rPr>
              <w:t>4</w:t>
            </w:r>
          </w:p>
        </w:tc>
        <w:tc>
          <w:tcPr>
            <w:tcW w:w="424" w:type="pct"/>
            <w:noWrap/>
            <w:vAlign w:val="center"/>
            <w:hideMark/>
          </w:tcPr>
          <w:p w14:paraId="50EEFC15" w14:textId="77777777" w:rsidR="004F64EF" w:rsidRPr="003003C0" w:rsidRDefault="004F64EF" w:rsidP="00FD6B66">
            <w:pPr>
              <w:jc w:val="right"/>
              <w:rPr>
                <w:rFonts w:cs="Arial"/>
                <w:color w:val="000000"/>
                <w:sz w:val="14"/>
                <w:szCs w:val="14"/>
              </w:rPr>
            </w:pPr>
            <w:r w:rsidRPr="003003C0">
              <w:rPr>
                <w:rFonts w:cs="Arial"/>
                <w:color w:val="000000"/>
                <w:sz w:val="14"/>
                <w:szCs w:val="14"/>
              </w:rPr>
              <w:t>4</w:t>
            </w:r>
            <w:r>
              <w:rPr>
                <w:rFonts w:cs="Arial"/>
                <w:color w:val="000000"/>
                <w:sz w:val="14"/>
                <w:szCs w:val="14"/>
              </w:rPr>
              <w:t>.</w:t>
            </w:r>
            <w:r w:rsidRPr="003003C0">
              <w:rPr>
                <w:rFonts w:cs="Arial"/>
                <w:color w:val="000000"/>
                <w:sz w:val="14"/>
                <w:szCs w:val="14"/>
              </w:rPr>
              <w:t>7</w:t>
            </w:r>
          </w:p>
        </w:tc>
        <w:tc>
          <w:tcPr>
            <w:tcW w:w="424" w:type="pct"/>
            <w:noWrap/>
            <w:vAlign w:val="center"/>
            <w:hideMark/>
          </w:tcPr>
          <w:p w14:paraId="7B499940" w14:textId="77777777" w:rsidR="004F64EF" w:rsidRPr="003003C0" w:rsidRDefault="004F64EF" w:rsidP="00FD6B66">
            <w:pPr>
              <w:jc w:val="right"/>
              <w:rPr>
                <w:rFonts w:cs="Arial"/>
                <w:color w:val="000000"/>
                <w:sz w:val="14"/>
                <w:szCs w:val="14"/>
              </w:rPr>
            </w:pPr>
            <w:r w:rsidRPr="003003C0">
              <w:rPr>
                <w:rFonts w:cs="Arial"/>
                <w:color w:val="000000"/>
                <w:sz w:val="14"/>
                <w:szCs w:val="14"/>
              </w:rPr>
              <w:t>15</w:t>
            </w:r>
            <w:r>
              <w:rPr>
                <w:rFonts w:cs="Arial"/>
                <w:color w:val="000000"/>
                <w:sz w:val="14"/>
                <w:szCs w:val="14"/>
              </w:rPr>
              <w:t>.</w:t>
            </w:r>
            <w:r w:rsidRPr="003003C0">
              <w:rPr>
                <w:rFonts w:cs="Arial"/>
                <w:color w:val="000000"/>
                <w:sz w:val="14"/>
                <w:szCs w:val="14"/>
              </w:rPr>
              <w:t>7</w:t>
            </w:r>
          </w:p>
        </w:tc>
      </w:tr>
      <w:tr w:rsidR="004F64EF" w:rsidRPr="003003C0" w14:paraId="32122BC9" w14:textId="77777777" w:rsidTr="00BE2A9F">
        <w:trPr>
          <w:cnfStyle w:val="000000010000" w:firstRow="0" w:lastRow="0" w:firstColumn="0" w:lastColumn="0" w:oddVBand="0" w:evenVBand="0" w:oddHBand="0" w:evenHBand="1" w:firstRowFirstColumn="0" w:firstRowLastColumn="0" w:lastRowFirstColumn="0" w:lastRowLastColumn="0"/>
          <w:trHeight w:val="20"/>
        </w:trPr>
        <w:tc>
          <w:tcPr>
            <w:tcW w:w="2032" w:type="pct"/>
            <w:noWrap/>
            <w:vAlign w:val="center"/>
            <w:hideMark/>
          </w:tcPr>
          <w:p w14:paraId="17AEC221" w14:textId="77777777" w:rsidR="004F64EF" w:rsidRPr="003003C0" w:rsidRDefault="004F64EF" w:rsidP="00FD6B66">
            <w:pPr>
              <w:tabs>
                <w:tab w:val="left" w:pos="510"/>
              </w:tabs>
              <w:jc w:val="left"/>
              <w:rPr>
                <w:rFonts w:cs="Arial"/>
                <w:color w:val="000000"/>
                <w:sz w:val="14"/>
                <w:szCs w:val="14"/>
              </w:rPr>
            </w:pPr>
            <w:r w:rsidRPr="003003C0">
              <w:rPr>
                <w:rFonts w:cs="Arial"/>
                <w:color w:val="000000"/>
                <w:sz w:val="14"/>
                <w:szCs w:val="14"/>
              </w:rPr>
              <w:tab/>
              <w:t>Mala</w:t>
            </w:r>
            <w:r>
              <w:rPr>
                <w:rFonts w:cs="Arial"/>
                <w:color w:val="000000"/>
                <w:sz w:val="14"/>
                <w:szCs w:val="14"/>
              </w:rPr>
              <w:t>y</w:t>
            </w:r>
            <w:r w:rsidRPr="003003C0">
              <w:rPr>
                <w:rFonts w:cs="Arial"/>
                <w:color w:val="000000"/>
                <w:sz w:val="14"/>
                <w:szCs w:val="14"/>
              </w:rPr>
              <w:t>sia</w:t>
            </w:r>
          </w:p>
        </w:tc>
        <w:tc>
          <w:tcPr>
            <w:tcW w:w="424" w:type="pct"/>
            <w:noWrap/>
            <w:vAlign w:val="center"/>
            <w:hideMark/>
          </w:tcPr>
          <w:p w14:paraId="265A19FF"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0</w:t>
            </w:r>
          </w:p>
        </w:tc>
        <w:tc>
          <w:tcPr>
            <w:tcW w:w="424" w:type="pct"/>
            <w:noWrap/>
            <w:vAlign w:val="center"/>
            <w:hideMark/>
          </w:tcPr>
          <w:p w14:paraId="69A41357"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1</w:t>
            </w:r>
          </w:p>
        </w:tc>
        <w:tc>
          <w:tcPr>
            <w:tcW w:w="424" w:type="pct"/>
            <w:noWrap/>
            <w:vAlign w:val="center"/>
            <w:hideMark/>
          </w:tcPr>
          <w:p w14:paraId="5686EA4A"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0</w:t>
            </w:r>
          </w:p>
        </w:tc>
        <w:tc>
          <w:tcPr>
            <w:tcW w:w="424" w:type="pct"/>
            <w:noWrap/>
            <w:vAlign w:val="center"/>
            <w:hideMark/>
          </w:tcPr>
          <w:p w14:paraId="10D6F220"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0</w:t>
            </w:r>
          </w:p>
        </w:tc>
        <w:tc>
          <w:tcPr>
            <w:tcW w:w="424" w:type="pct"/>
            <w:noWrap/>
            <w:vAlign w:val="center"/>
            <w:hideMark/>
          </w:tcPr>
          <w:p w14:paraId="211375EA"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1</w:t>
            </w:r>
          </w:p>
        </w:tc>
        <w:tc>
          <w:tcPr>
            <w:tcW w:w="424" w:type="pct"/>
            <w:noWrap/>
            <w:vAlign w:val="center"/>
            <w:hideMark/>
          </w:tcPr>
          <w:p w14:paraId="029F6602"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2</w:t>
            </w:r>
          </w:p>
        </w:tc>
        <w:tc>
          <w:tcPr>
            <w:tcW w:w="424" w:type="pct"/>
            <w:noWrap/>
            <w:vAlign w:val="center"/>
            <w:hideMark/>
          </w:tcPr>
          <w:p w14:paraId="3818FF98"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3</w:t>
            </w:r>
          </w:p>
        </w:tc>
      </w:tr>
      <w:tr w:rsidR="004F64EF" w:rsidRPr="003003C0" w14:paraId="2AD1F0A4" w14:textId="77777777" w:rsidTr="00BE2A9F">
        <w:trPr>
          <w:trHeight w:val="20"/>
        </w:trPr>
        <w:tc>
          <w:tcPr>
            <w:tcW w:w="2032" w:type="pct"/>
            <w:noWrap/>
            <w:vAlign w:val="center"/>
            <w:hideMark/>
          </w:tcPr>
          <w:p w14:paraId="7E268606" w14:textId="77777777" w:rsidR="004F64EF" w:rsidRPr="003003C0" w:rsidRDefault="004F64EF" w:rsidP="00FD6B66">
            <w:pPr>
              <w:tabs>
                <w:tab w:val="left" w:pos="510"/>
              </w:tabs>
              <w:jc w:val="left"/>
              <w:rPr>
                <w:rFonts w:cs="Arial"/>
                <w:color w:val="000000"/>
                <w:sz w:val="14"/>
                <w:szCs w:val="14"/>
              </w:rPr>
            </w:pPr>
            <w:r w:rsidRPr="003003C0">
              <w:rPr>
                <w:rFonts w:cs="Arial"/>
                <w:color w:val="000000"/>
                <w:sz w:val="14"/>
                <w:szCs w:val="14"/>
              </w:rPr>
              <w:tab/>
              <w:t>T</w:t>
            </w:r>
            <w:r>
              <w:rPr>
                <w:rFonts w:cs="Arial"/>
                <w:color w:val="000000"/>
                <w:sz w:val="14"/>
                <w:szCs w:val="14"/>
              </w:rPr>
              <w:t>h</w:t>
            </w:r>
            <w:r w:rsidRPr="003003C0">
              <w:rPr>
                <w:rFonts w:cs="Arial"/>
                <w:color w:val="000000"/>
                <w:sz w:val="14"/>
                <w:szCs w:val="14"/>
              </w:rPr>
              <w:t>ailand</w:t>
            </w:r>
          </w:p>
        </w:tc>
        <w:tc>
          <w:tcPr>
            <w:tcW w:w="424" w:type="pct"/>
            <w:noWrap/>
            <w:vAlign w:val="center"/>
            <w:hideMark/>
          </w:tcPr>
          <w:p w14:paraId="26F08360"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0</w:t>
            </w:r>
          </w:p>
        </w:tc>
        <w:tc>
          <w:tcPr>
            <w:tcW w:w="424" w:type="pct"/>
            <w:noWrap/>
            <w:vAlign w:val="center"/>
            <w:hideMark/>
          </w:tcPr>
          <w:p w14:paraId="73ECC2A1"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0</w:t>
            </w:r>
          </w:p>
        </w:tc>
        <w:tc>
          <w:tcPr>
            <w:tcW w:w="424" w:type="pct"/>
            <w:noWrap/>
            <w:vAlign w:val="center"/>
            <w:hideMark/>
          </w:tcPr>
          <w:p w14:paraId="5CF382A3"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1</w:t>
            </w:r>
          </w:p>
        </w:tc>
        <w:tc>
          <w:tcPr>
            <w:tcW w:w="424" w:type="pct"/>
            <w:noWrap/>
            <w:vAlign w:val="center"/>
            <w:hideMark/>
          </w:tcPr>
          <w:p w14:paraId="04E793A4"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1</w:t>
            </w:r>
          </w:p>
        </w:tc>
        <w:tc>
          <w:tcPr>
            <w:tcW w:w="424" w:type="pct"/>
            <w:noWrap/>
            <w:vAlign w:val="center"/>
            <w:hideMark/>
          </w:tcPr>
          <w:p w14:paraId="4317A7AF"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1</w:t>
            </w:r>
          </w:p>
        </w:tc>
        <w:tc>
          <w:tcPr>
            <w:tcW w:w="424" w:type="pct"/>
            <w:noWrap/>
            <w:vAlign w:val="center"/>
            <w:hideMark/>
          </w:tcPr>
          <w:p w14:paraId="7D88CBBF"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1</w:t>
            </w:r>
          </w:p>
        </w:tc>
        <w:tc>
          <w:tcPr>
            <w:tcW w:w="424" w:type="pct"/>
            <w:noWrap/>
            <w:vAlign w:val="center"/>
            <w:hideMark/>
          </w:tcPr>
          <w:p w14:paraId="03FD632A"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2</w:t>
            </w:r>
          </w:p>
        </w:tc>
      </w:tr>
      <w:tr w:rsidR="004F64EF" w:rsidRPr="003003C0" w14:paraId="30AD9D94" w14:textId="77777777" w:rsidTr="00BE2A9F">
        <w:trPr>
          <w:cnfStyle w:val="000000010000" w:firstRow="0" w:lastRow="0" w:firstColumn="0" w:lastColumn="0" w:oddVBand="0" w:evenVBand="0" w:oddHBand="0" w:evenHBand="1" w:firstRowFirstColumn="0" w:firstRowLastColumn="0" w:lastRowFirstColumn="0" w:lastRowLastColumn="0"/>
          <w:trHeight w:val="20"/>
        </w:trPr>
        <w:tc>
          <w:tcPr>
            <w:tcW w:w="2032" w:type="pct"/>
            <w:noWrap/>
            <w:vAlign w:val="center"/>
            <w:hideMark/>
          </w:tcPr>
          <w:p w14:paraId="530987C3" w14:textId="77777777" w:rsidR="004F64EF" w:rsidRPr="003003C0" w:rsidRDefault="004F64EF" w:rsidP="00FD6B66">
            <w:pPr>
              <w:tabs>
                <w:tab w:val="left" w:pos="510"/>
              </w:tabs>
              <w:jc w:val="left"/>
              <w:rPr>
                <w:rFonts w:cs="Arial"/>
                <w:color w:val="000000"/>
                <w:sz w:val="14"/>
                <w:szCs w:val="14"/>
              </w:rPr>
            </w:pPr>
            <w:r w:rsidRPr="003003C0">
              <w:rPr>
                <w:rFonts w:cs="Arial"/>
                <w:color w:val="000000"/>
                <w:sz w:val="14"/>
                <w:szCs w:val="14"/>
              </w:rPr>
              <w:tab/>
            </w:r>
            <w:r>
              <w:rPr>
                <w:rFonts w:cs="Arial"/>
                <w:color w:val="000000"/>
                <w:sz w:val="14"/>
                <w:szCs w:val="14"/>
              </w:rPr>
              <w:t>K</w:t>
            </w:r>
            <w:r w:rsidRPr="003003C0">
              <w:rPr>
                <w:rFonts w:cs="Arial"/>
                <w:color w:val="000000"/>
                <w:sz w:val="14"/>
                <w:szCs w:val="14"/>
              </w:rPr>
              <w:t>orea, Rep</w:t>
            </w:r>
            <w:r>
              <w:rPr>
                <w:rFonts w:cs="Arial"/>
                <w:color w:val="000000"/>
                <w:sz w:val="14"/>
                <w:szCs w:val="14"/>
              </w:rPr>
              <w:t>u</w:t>
            </w:r>
            <w:r w:rsidRPr="003003C0">
              <w:rPr>
                <w:rFonts w:cs="Arial"/>
                <w:color w:val="000000"/>
                <w:sz w:val="14"/>
                <w:szCs w:val="14"/>
              </w:rPr>
              <w:t>blic</w:t>
            </w:r>
            <w:r>
              <w:rPr>
                <w:rFonts w:cs="Arial"/>
                <w:color w:val="000000"/>
                <w:sz w:val="14"/>
                <w:szCs w:val="14"/>
              </w:rPr>
              <w:t xml:space="preserve"> of</w:t>
            </w:r>
          </w:p>
        </w:tc>
        <w:tc>
          <w:tcPr>
            <w:tcW w:w="424" w:type="pct"/>
            <w:noWrap/>
            <w:vAlign w:val="center"/>
            <w:hideMark/>
          </w:tcPr>
          <w:p w14:paraId="2FAA28EB"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1</w:t>
            </w:r>
          </w:p>
        </w:tc>
        <w:tc>
          <w:tcPr>
            <w:tcW w:w="424" w:type="pct"/>
            <w:noWrap/>
            <w:vAlign w:val="center"/>
            <w:hideMark/>
          </w:tcPr>
          <w:p w14:paraId="2DF09A7C"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2</w:t>
            </w:r>
          </w:p>
        </w:tc>
        <w:tc>
          <w:tcPr>
            <w:tcW w:w="424" w:type="pct"/>
            <w:noWrap/>
            <w:vAlign w:val="center"/>
            <w:hideMark/>
          </w:tcPr>
          <w:p w14:paraId="02635C18"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4</w:t>
            </w:r>
          </w:p>
        </w:tc>
        <w:tc>
          <w:tcPr>
            <w:tcW w:w="424" w:type="pct"/>
            <w:noWrap/>
            <w:vAlign w:val="center"/>
            <w:hideMark/>
          </w:tcPr>
          <w:p w14:paraId="38D0BE6A"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4</w:t>
            </w:r>
          </w:p>
        </w:tc>
        <w:tc>
          <w:tcPr>
            <w:tcW w:w="424" w:type="pct"/>
            <w:noWrap/>
            <w:vAlign w:val="center"/>
            <w:hideMark/>
          </w:tcPr>
          <w:p w14:paraId="3B25BD1B"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1</w:t>
            </w:r>
          </w:p>
        </w:tc>
        <w:tc>
          <w:tcPr>
            <w:tcW w:w="424" w:type="pct"/>
            <w:noWrap/>
            <w:vAlign w:val="center"/>
            <w:hideMark/>
          </w:tcPr>
          <w:p w14:paraId="31D48210" w14:textId="77777777" w:rsidR="004F64EF" w:rsidRPr="003003C0" w:rsidRDefault="004F64EF" w:rsidP="00FD6B66">
            <w:pPr>
              <w:jc w:val="right"/>
              <w:rPr>
                <w:rFonts w:cs="Arial"/>
                <w:color w:val="000000"/>
                <w:sz w:val="14"/>
                <w:szCs w:val="14"/>
              </w:rPr>
            </w:pPr>
            <w:r w:rsidRPr="003003C0">
              <w:rPr>
                <w:rFonts w:cs="Arial"/>
                <w:color w:val="000000"/>
                <w:sz w:val="14"/>
                <w:szCs w:val="14"/>
              </w:rPr>
              <w:t>1</w:t>
            </w:r>
            <w:r>
              <w:rPr>
                <w:rFonts w:cs="Arial"/>
                <w:color w:val="000000"/>
                <w:sz w:val="14"/>
                <w:szCs w:val="14"/>
              </w:rPr>
              <w:t>.</w:t>
            </w:r>
            <w:r w:rsidRPr="003003C0">
              <w:rPr>
                <w:rFonts w:cs="Arial"/>
                <w:color w:val="000000"/>
                <w:sz w:val="14"/>
                <w:szCs w:val="14"/>
              </w:rPr>
              <w:t>3</w:t>
            </w:r>
          </w:p>
        </w:tc>
        <w:tc>
          <w:tcPr>
            <w:tcW w:w="424" w:type="pct"/>
            <w:noWrap/>
            <w:vAlign w:val="center"/>
            <w:hideMark/>
          </w:tcPr>
          <w:p w14:paraId="408E5DB4"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2</w:t>
            </w:r>
          </w:p>
        </w:tc>
      </w:tr>
      <w:tr w:rsidR="004F64EF" w:rsidRPr="003003C0" w14:paraId="12E4060B" w14:textId="77777777" w:rsidTr="00BE2A9F">
        <w:trPr>
          <w:trHeight w:val="20"/>
        </w:trPr>
        <w:tc>
          <w:tcPr>
            <w:tcW w:w="2032" w:type="pct"/>
            <w:noWrap/>
            <w:vAlign w:val="center"/>
            <w:hideMark/>
          </w:tcPr>
          <w:p w14:paraId="0F8312C8" w14:textId="77777777" w:rsidR="004F64EF" w:rsidRPr="003003C0" w:rsidRDefault="004F64EF" w:rsidP="00FD6B66">
            <w:pPr>
              <w:tabs>
                <w:tab w:val="left" w:pos="510"/>
              </w:tabs>
              <w:jc w:val="left"/>
              <w:rPr>
                <w:rFonts w:cs="Arial"/>
                <w:color w:val="000000"/>
                <w:sz w:val="14"/>
                <w:szCs w:val="14"/>
              </w:rPr>
            </w:pPr>
            <w:r w:rsidRPr="003003C0">
              <w:rPr>
                <w:rFonts w:cs="Arial"/>
                <w:color w:val="000000"/>
                <w:sz w:val="14"/>
                <w:szCs w:val="14"/>
              </w:rPr>
              <w:tab/>
              <w:t>Viet Nam</w:t>
            </w:r>
          </w:p>
        </w:tc>
        <w:tc>
          <w:tcPr>
            <w:tcW w:w="424" w:type="pct"/>
            <w:noWrap/>
            <w:vAlign w:val="center"/>
            <w:hideMark/>
          </w:tcPr>
          <w:p w14:paraId="3274383B"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0</w:t>
            </w:r>
          </w:p>
        </w:tc>
        <w:tc>
          <w:tcPr>
            <w:tcW w:w="424" w:type="pct"/>
            <w:noWrap/>
            <w:vAlign w:val="center"/>
            <w:hideMark/>
          </w:tcPr>
          <w:p w14:paraId="2F9E0467"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0</w:t>
            </w:r>
          </w:p>
        </w:tc>
        <w:tc>
          <w:tcPr>
            <w:tcW w:w="424" w:type="pct"/>
            <w:noWrap/>
            <w:vAlign w:val="center"/>
            <w:hideMark/>
          </w:tcPr>
          <w:p w14:paraId="5C1BBC82"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1</w:t>
            </w:r>
          </w:p>
        </w:tc>
        <w:tc>
          <w:tcPr>
            <w:tcW w:w="424" w:type="pct"/>
            <w:noWrap/>
            <w:vAlign w:val="center"/>
            <w:hideMark/>
          </w:tcPr>
          <w:p w14:paraId="2F1B9FF1"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1</w:t>
            </w:r>
          </w:p>
        </w:tc>
        <w:tc>
          <w:tcPr>
            <w:tcW w:w="424" w:type="pct"/>
            <w:noWrap/>
            <w:vAlign w:val="center"/>
            <w:hideMark/>
          </w:tcPr>
          <w:p w14:paraId="51D3BCC9"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1</w:t>
            </w:r>
          </w:p>
        </w:tc>
        <w:tc>
          <w:tcPr>
            <w:tcW w:w="424" w:type="pct"/>
            <w:noWrap/>
            <w:vAlign w:val="center"/>
            <w:hideMark/>
          </w:tcPr>
          <w:p w14:paraId="42FE5BDD"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1</w:t>
            </w:r>
          </w:p>
        </w:tc>
        <w:tc>
          <w:tcPr>
            <w:tcW w:w="424" w:type="pct"/>
            <w:noWrap/>
            <w:vAlign w:val="center"/>
            <w:hideMark/>
          </w:tcPr>
          <w:p w14:paraId="3316F5E4"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1</w:t>
            </w:r>
          </w:p>
        </w:tc>
      </w:tr>
      <w:tr w:rsidR="004F64EF" w:rsidRPr="003003C0" w14:paraId="014959CC" w14:textId="77777777" w:rsidTr="00BE2A9F">
        <w:trPr>
          <w:cnfStyle w:val="000000010000" w:firstRow="0" w:lastRow="0" w:firstColumn="0" w:lastColumn="0" w:oddVBand="0" w:evenVBand="0" w:oddHBand="0" w:evenHBand="1" w:firstRowFirstColumn="0" w:firstRowLastColumn="0" w:lastRowFirstColumn="0" w:lastRowLastColumn="0"/>
          <w:trHeight w:val="20"/>
        </w:trPr>
        <w:tc>
          <w:tcPr>
            <w:tcW w:w="2032" w:type="pct"/>
            <w:noWrap/>
            <w:vAlign w:val="center"/>
            <w:hideMark/>
          </w:tcPr>
          <w:p w14:paraId="50C8A225" w14:textId="77777777" w:rsidR="004F64EF" w:rsidRPr="003003C0" w:rsidRDefault="004F64EF" w:rsidP="00FD6B66">
            <w:pPr>
              <w:keepNext/>
              <w:keepLines/>
              <w:jc w:val="left"/>
              <w:rPr>
                <w:rFonts w:cs="Arial"/>
                <w:color w:val="000000"/>
                <w:sz w:val="14"/>
                <w:szCs w:val="14"/>
              </w:rPr>
            </w:pPr>
            <w:r w:rsidRPr="003003C0">
              <w:rPr>
                <w:rFonts w:cs="Arial"/>
                <w:color w:val="000000"/>
                <w:sz w:val="14"/>
                <w:szCs w:val="14"/>
              </w:rPr>
              <w:t>Ot</w:t>
            </w:r>
            <w:r>
              <w:rPr>
                <w:rFonts w:cs="Arial"/>
                <w:color w:val="000000"/>
                <w:sz w:val="14"/>
                <w:szCs w:val="14"/>
              </w:rPr>
              <w:t>her</w:t>
            </w:r>
          </w:p>
        </w:tc>
        <w:tc>
          <w:tcPr>
            <w:tcW w:w="424" w:type="pct"/>
            <w:noWrap/>
            <w:vAlign w:val="center"/>
            <w:hideMark/>
          </w:tcPr>
          <w:p w14:paraId="3C015097" w14:textId="77777777" w:rsidR="004F64EF" w:rsidRPr="003003C0" w:rsidRDefault="004F64EF" w:rsidP="00FD6B66">
            <w:pPr>
              <w:keepNext/>
              <w:keepLines/>
              <w:jc w:val="right"/>
              <w:rPr>
                <w:rFonts w:cs="Arial"/>
                <w:color w:val="000000"/>
                <w:sz w:val="14"/>
                <w:szCs w:val="14"/>
              </w:rPr>
            </w:pPr>
            <w:r w:rsidRPr="003003C0">
              <w:rPr>
                <w:rFonts w:cs="Arial"/>
                <w:color w:val="000000"/>
                <w:sz w:val="14"/>
                <w:szCs w:val="14"/>
              </w:rPr>
              <w:t>10</w:t>
            </w:r>
            <w:r>
              <w:rPr>
                <w:rFonts w:cs="Arial"/>
                <w:color w:val="000000"/>
                <w:sz w:val="14"/>
                <w:szCs w:val="14"/>
              </w:rPr>
              <w:t>.</w:t>
            </w:r>
            <w:r w:rsidRPr="003003C0">
              <w:rPr>
                <w:rFonts w:cs="Arial"/>
                <w:color w:val="000000"/>
                <w:sz w:val="14"/>
                <w:szCs w:val="14"/>
              </w:rPr>
              <w:t>0</w:t>
            </w:r>
          </w:p>
        </w:tc>
        <w:tc>
          <w:tcPr>
            <w:tcW w:w="424" w:type="pct"/>
            <w:noWrap/>
            <w:vAlign w:val="center"/>
            <w:hideMark/>
          </w:tcPr>
          <w:p w14:paraId="197D80F5" w14:textId="77777777" w:rsidR="004F64EF" w:rsidRPr="003003C0" w:rsidRDefault="004F64EF" w:rsidP="00FD6B66">
            <w:pPr>
              <w:keepNext/>
              <w:keepLines/>
              <w:jc w:val="right"/>
              <w:rPr>
                <w:rFonts w:cs="Arial"/>
                <w:color w:val="000000"/>
                <w:sz w:val="14"/>
                <w:szCs w:val="14"/>
              </w:rPr>
            </w:pPr>
            <w:r w:rsidRPr="003003C0">
              <w:rPr>
                <w:rFonts w:cs="Arial"/>
                <w:color w:val="000000"/>
                <w:sz w:val="14"/>
                <w:szCs w:val="14"/>
              </w:rPr>
              <w:t>8</w:t>
            </w:r>
            <w:r>
              <w:rPr>
                <w:rFonts w:cs="Arial"/>
                <w:color w:val="000000"/>
                <w:sz w:val="14"/>
                <w:szCs w:val="14"/>
              </w:rPr>
              <w:t>.</w:t>
            </w:r>
            <w:r w:rsidRPr="003003C0">
              <w:rPr>
                <w:rFonts w:cs="Arial"/>
                <w:color w:val="000000"/>
                <w:sz w:val="14"/>
                <w:szCs w:val="14"/>
              </w:rPr>
              <w:t>2</w:t>
            </w:r>
          </w:p>
        </w:tc>
        <w:tc>
          <w:tcPr>
            <w:tcW w:w="424" w:type="pct"/>
            <w:noWrap/>
            <w:vAlign w:val="center"/>
            <w:hideMark/>
          </w:tcPr>
          <w:p w14:paraId="7EC8F125" w14:textId="77777777" w:rsidR="004F64EF" w:rsidRPr="003003C0" w:rsidRDefault="004F64EF" w:rsidP="00FD6B66">
            <w:pPr>
              <w:keepNext/>
              <w:keepLines/>
              <w:jc w:val="right"/>
              <w:rPr>
                <w:rFonts w:cs="Arial"/>
                <w:color w:val="000000"/>
                <w:sz w:val="14"/>
                <w:szCs w:val="14"/>
              </w:rPr>
            </w:pPr>
            <w:r w:rsidRPr="003003C0">
              <w:rPr>
                <w:rFonts w:cs="Arial"/>
                <w:color w:val="000000"/>
                <w:sz w:val="14"/>
                <w:szCs w:val="14"/>
              </w:rPr>
              <w:t>10</w:t>
            </w:r>
            <w:r>
              <w:rPr>
                <w:rFonts w:cs="Arial"/>
                <w:color w:val="000000"/>
                <w:sz w:val="14"/>
                <w:szCs w:val="14"/>
              </w:rPr>
              <w:t>.</w:t>
            </w:r>
            <w:r w:rsidRPr="003003C0">
              <w:rPr>
                <w:rFonts w:cs="Arial"/>
                <w:color w:val="000000"/>
                <w:sz w:val="14"/>
                <w:szCs w:val="14"/>
              </w:rPr>
              <w:t>4</w:t>
            </w:r>
          </w:p>
        </w:tc>
        <w:tc>
          <w:tcPr>
            <w:tcW w:w="424" w:type="pct"/>
            <w:noWrap/>
            <w:vAlign w:val="center"/>
            <w:hideMark/>
          </w:tcPr>
          <w:p w14:paraId="7DD816D8" w14:textId="77777777" w:rsidR="004F64EF" w:rsidRPr="003003C0" w:rsidRDefault="004F64EF" w:rsidP="00FD6B66">
            <w:pPr>
              <w:keepNext/>
              <w:keepLines/>
              <w:jc w:val="right"/>
              <w:rPr>
                <w:rFonts w:cs="Arial"/>
                <w:color w:val="000000"/>
                <w:sz w:val="14"/>
                <w:szCs w:val="14"/>
              </w:rPr>
            </w:pPr>
            <w:r w:rsidRPr="003003C0">
              <w:rPr>
                <w:rFonts w:cs="Arial"/>
                <w:color w:val="000000"/>
                <w:sz w:val="14"/>
                <w:szCs w:val="14"/>
              </w:rPr>
              <w:t>11</w:t>
            </w:r>
            <w:r>
              <w:rPr>
                <w:rFonts w:cs="Arial"/>
                <w:color w:val="000000"/>
                <w:sz w:val="14"/>
                <w:szCs w:val="14"/>
              </w:rPr>
              <w:t>.</w:t>
            </w:r>
            <w:r w:rsidRPr="003003C0">
              <w:rPr>
                <w:rFonts w:cs="Arial"/>
                <w:color w:val="000000"/>
                <w:sz w:val="14"/>
                <w:szCs w:val="14"/>
              </w:rPr>
              <w:t>4</w:t>
            </w:r>
          </w:p>
        </w:tc>
        <w:tc>
          <w:tcPr>
            <w:tcW w:w="424" w:type="pct"/>
            <w:noWrap/>
            <w:vAlign w:val="center"/>
            <w:hideMark/>
          </w:tcPr>
          <w:p w14:paraId="65F146CA" w14:textId="77777777" w:rsidR="004F64EF" w:rsidRPr="003003C0" w:rsidRDefault="004F64EF" w:rsidP="00FD6B66">
            <w:pPr>
              <w:keepNext/>
              <w:keepLines/>
              <w:jc w:val="right"/>
              <w:rPr>
                <w:rFonts w:cs="Arial"/>
                <w:color w:val="000000"/>
                <w:sz w:val="14"/>
                <w:szCs w:val="14"/>
              </w:rPr>
            </w:pPr>
            <w:r w:rsidRPr="003003C0">
              <w:rPr>
                <w:rFonts w:cs="Arial"/>
                <w:color w:val="000000"/>
                <w:sz w:val="14"/>
                <w:szCs w:val="14"/>
              </w:rPr>
              <w:t>9</w:t>
            </w:r>
            <w:r>
              <w:rPr>
                <w:rFonts w:cs="Arial"/>
                <w:color w:val="000000"/>
                <w:sz w:val="14"/>
                <w:szCs w:val="14"/>
              </w:rPr>
              <w:t>.</w:t>
            </w:r>
            <w:r w:rsidRPr="003003C0">
              <w:rPr>
                <w:rFonts w:cs="Arial"/>
                <w:color w:val="000000"/>
                <w:sz w:val="14"/>
                <w:szCs w:val="14"/>
              </w:rPr>
              <w:t>6</w:t>
            </w:r>
          </w:p>
        </w:tc>
        <w:tc>
          <w:tcPr>
            <w:tcW w:w="424" w:type="pct"/>
            <w:noWrap/>
            <w:vAlign w:val="center"/>
            <w:hideMark/>
          </w:tcPr>
          <w:p w14:paraId="7435A9FE" w14:textId="77777777" w:rsidR="004F64EF" w:rsidRPr="003003C0" w:rsidRDefault="004F64EF" w:rsidP="00FD6B66">
            <w:pPr>
              <w:keepNext/>
              <w:keepLines/>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0</w:t>
            </w:r>
          </w:p>
        </w:tc>
        <w:tc>
          <w:tcPr>
            <w:tcW w:w="424" w:type="pct"/>
            <w:noWrap/>
            <w:vAlign w:val="center"/>
            <w:hideMark/>
          </w:tcPr>
          <w:p w14:paraId="49C763B8" w14:textId="77777777" w:rsidR="004F64EF" w:rsidRPr="003003C0" w:rsidRDefault="004F64EF" w:rsidP="00FD6B66">
            <w:pPr>
              <w:keepNext/>
              <w:keepLines/>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0</w:t>
            </w:r>
          </w:p>
        </w:tc>
      </w:tr>
      <w:tr w:rsidR="004F64EF" w:rsidRPr="003003C0" w14:paraId="754E6AB5" w14:textId="77777777" w:rsidTr="00BE2A9F">
        <w:trPr>
          <w:trHeight w:val="20"/>
        </w:trPr>
        <w:tc>
          <w:tcPr>
            <w:tcW w:w="5000" w:type="pct"/>
            <w:gridSpan w:val="8"/>
            <w:noWrap/>
            <w:vAlign w:val="center"/>
            <w:hideMark/>
          </w:tcPr>
          <w:p w14:paraId="76069350" w14:textId="77777777" w:rsidR="004F64EF" w:rsidRPr="003003C0" w:rsidRDefault="004F64EF" w:rsidP="00FD6B66">
            <w:pPr>
              <w:keepNext/>
              <w:keepLines/>
              <w:jc w:val="left"/>
              <w:rPr>
                <w:sz w:val="14"/>
                <w:szCs w:val="14"/>
              </w:rPr>
            </w:pPr>
            <w:r w:rsidRPr="003003C0">
              <w:rPr>
                <w:rFonts w:cs="Arial"/>
                <w:i/>
                <w:iCs/>
                <w:color w:val="000000"/>
                <w:sz w:val="14"/>
                <w:szCs w:val="14"/>
              </w:rPr>
              <w:t>Memor</w:t>
            </w:r>
            <w:r>
              <w:rPr>
                <w:rFonts w:cs="Arial"/>
                <w:i/>
                <w:iCs/>
                <w:color w:val="000000"/>
                <w:sz w:val="14"/>
                <w:szCs w:val="14"/>
              </w:rPr>
              <w:t>a</w:t>
            </w:r>
            <w:r w:rsidRPr="003003C0">
              <w:rPr>
                <w:rFonts w:cs="Arial"/>
                <w:i/>
                <w:iCs/>
                <w:color w:val="000000"/>
                <w:sz w:val="14"/>
                <w:szCs w:val="14"/>
              </w:rPr>
              <w:t>ndum:</w:t>
            </w:r>
          </w:p>
        </w:tc>
      </w:tr>
      <w:tr w:rsidR="004F64EF" w:rsidRPr="003003C0" w14:paraId="6E93826F" w14:textId="77777777" w:rsidTr="00BE2A9F">
        <w:trPr>
          <w:cnfStyle w:val="000000010000" w:firstRow="0" w:lastRow="0" w:firstColumn="0" w:lastColumn="0" w:oddVBand="0" w:evenVBand="0" w:oddHBand="0" w:evenHBand="1" w:firstRowFirstColumn="0" w:firstRowLastColumn="0" w:lastRowFirstColumn="0" w:lastRowLastColumn="0"/>
          <w:trHeight w:val="20"/>
        </w:trPr>
        <w:tc>
          <w:tcPr>
            <w:tcW w:w="2032" w:type="pct"/>
            <w:noWrap/>
            <w:vAlign w:val="center"/>
            <w:hideMark/>
          </w:tcPr>
          <w:p w14:paraId="5C6096DE" w14:textId="77777777" w:rsidR="004F64EF" w:rsidRPr="003003C0" w:rsidRDefault="004F64EF" w:rsidP="00FD6B66">
            <w:pPr>
              <w:keepNext/>
              <w:keepLines/>
              <w:jc w:val="left"/>
              <w:rPr>
                <w:rFonts w:cs="Arial"/>
                <w:color w:val="000000"/>
                <w:sz w:val="14"/>
                <w:szCs w:val="14"/>
              </w:rPr>
            </w:pPr>
            <w:r>
              <w:rPr>
                <w:rFonts w:cs="Arial"/>
                <w:color w:val="000000"/>
                <w:sz w:val="14"/>
                <w:szCs w:val="14"/>
              </w:rPr>
              <w:t>EU</w:t>
            </w:r>
            <w:r w:rsidRPr="003003C0">
              <w:rPr>
                <w:rFonts w:cs="Arial"/>
                <w:color w:val="000000"/>
                <w:sz w:val="14"/>
                <w:szCs w:val="14"/>
              </w:rPr>
              <w:t>-28</w:t>
            </w:r>
          </w:p>
        </w:tc>
        <w:tc>
          <w:tcPr>
            <w:tcW w:w="424" w:type="pct"/>
            <w:noWrap/>
            <w:vAlign w:val="center"/>
            <w:hideMark/>
          </w:tcPr>
          <w:p w14:paraId="008898E5" w14:textId="77777777" w:rsidR="004F64EF" w:rsidRPr="003003C0" w:rsidRDefault="004F64EF" w:rsidP="00FD6B66">
            <w:pPr>
              <w:keepNext/>
              <w:keepLines/>
              <w:jc w:val="right"/>
              <w:rPr>
                <w:rFonts w:cs="Arial"/>
                <w:color w:val="000000"/>
                <w:sz w:val="14"/>
                <w:szCs w:val="14"/>
              </w:rPr>
            </w:pPr>
            <w:r w:rsidRPr="003003C0">
              <w:rPr>
                <w:rFonts w:cs="Arial"/>
                <w:color w:val="000000"/>
                <w:sz w:val="14"/>
                <w:szCs w:val="14"/>
              </w:rPr>
              <w:t>10</w:t>
            </w:r>
            <w:r>
              <w:rPr>
                <w:rFonts w:cs="Arial"/>
                <w:color w:val="000000"/>
                <w:sz w:val="14"/>
                <w:szCs w:val="14"/>
              </w:rPr>
              <w:t>.</w:t>
            </w:r>
            <w:r w:rsidRPr="003003C0">
              <w:rPr>
                <w:rFonts w:cs="Arial"/>
                <w:color w:val="000000"/>
                <w:sz w:val="14"/>
                <w:szCs w:val="14"/>
              </w:rPr>
              <w:t>2</w:t>
            </w:r>
          </w:p>
        </w:tc>
        <w:tc>
          <w:tcPr>
            <w:tcW w:w="424" w:type="pct"/>
            <w:noWrap/>
            <w:vAlign w:val="center"/>
            <w:hideMark/>
          </w:tcPr>
          <w:p w14:paraId="135E3F4B" w14:textId="77777777" w:rsidR="004F64EF" w:rsidRPr="003003C0" w:rsidRDefault="004F64EF" w:rsidP="00FD6B66">
            <w:pPr>
              <w:keepNext/>
              <w:keepLines/>
              <w:jc w:val="right"/>
              <w:rPr>
                <w:rFonts w:cs="Arial"/>
                <w:color w:val="000000"/>
                <w:sz w:val="14"/>
                <w:szCs w:val="14"/>
              </w:rPr>
            </w:pPr>
            <w:r w:rsidRPr="003003C0">
              <w:rPr>
                <w:rFonts w:cs="Arial"/>
                <w:color w:val="000000"/>
                <w:sz w:val="14"/>
                <w:szCs w:val="14"/>
              </w:rPr>
              <w:t>12</w:t>
            </w:r>
            <w:r>
              <w:rPr>
                <w:rFonts w:cs="Arial"/>
                <w:color w:val="000000"/>
                <w:sz w:val="14"/>
                <w:szCs w:val="14"/>
              </w:rPr>
              <w:t>.</w:t>
            </w:r>
            <w:r w:rsidRPr="003003C0">
              <w:rPr>
                <w:rFonts w:cs="Arial"/>
                <w:color w:val="000000"/>
                <w:sz w:val="14"/>
                <w:szCs w:val="14"/>
              </w:rPr>
              <w:t>5</w:t>
            </w:r>
          </w:p>
        </w:tc>
        <w:tc>
          <w:tcPr>
            <w:tcW w:w="424" w:type="pct"/>
            <w:noWrap/>
            <w:vAlign w:val="center"/>
            <w:hideMark/>
          </w:tcPr>
          <w:p w14:paraId="21AED945" w14:textId="77777777" w:rsidR="004F64EF" w:rsidRPr="003003C0" w:rsidRDefault="004F64EF" w:rsidP="00FD6B66">
            <w:pPr>
              <w:keepNext/>
              <w:keepLines/>
              <w:jc w:val="right"/>
              <w:rPr>
                <w:rFonts w:cs="Arial"/>
                <w:color w:val="000000"/>
                <w:sz w:val="14"/>
                <w:szCs w:val="14"/>
              </w:rPr>
            </w:pPr>
            <w:r w:rsidRPr="003003C0">
              <w:rPr>
                <w:rFonts w:cs="Arial"/>
                <w:color w:val="000000"/>
                <w:sz w:val="14"/>
                <w:szCs w:val="14"/>
              </w:rPr>
              <w:t>9</w:t>
            </w:r>
            <w:r>
              <w:rPr>
                <w:rFonts w:cs="Arial"/>
                <w:color w:val="000000"/>
                <w:sz w:val="14"/>
                <w:szCs w:val="14"/>
              </w:rPr>
              <w:t>.</w:t>
            </w:r>
            <w:r w:rsidRPr="003003C0">
              <w:rPr>
                <w:rFonts w:cs="Arial"/>
                <w:color w:val="000000"/>
                <w:sz w:val="14"/>
                <w:szCs w:val="14"/>
              </w:rPr>
              <w:t>5</w:t>
            </w:r>
          </w:p>
        </w:tc>
        <w:tc>
          <w:tcPr>
            <w:tcW w:w="424" w:type="pct"/>
            <w:noWrap/>
            <w:vAlign w:val="center"/>
            <w:hideMark/>
          </w:tcPr>
          <w:p w14:paraId="4BD1F3CF" w14:textId="77777777" w:rsidR="004F64EF" w:rsidRPr="003003C0" w:rsidRDefault="004F64EF" w:rsidP="00FD6B66">
            <w:pPr>
              <w:keepNext/>
              <w:keepLines/>
              <w:jc w:val="right"/>
              <w:rPr>
                <w:rFonts w:cs="Arial"/>
                <w:color w:val="000000"/>
                <w:sz w:val="14"/>
                <w:szCs w:val="14"/>
              </w:rPr>
            </w:pPr>
            <w:r w:rsidRPr="003003C0">
              <w:rPr>
                <w:rFonts w:cs="Arial"/>
                <w:color w:val="000000"/>
                <w:sz w:val="14"/>
                <w:szCs w:val="14"/>
              </w:rPr>
              <w:t>10</w:t>
            </w:r>
            <w:r>
              <w:rPr>
                <w:rFonts w:cs="Arial"/>
                <w:color w:val="000000"/>
                <w:sz w:val="14"/>
                <w:szCs w:val="14"/>
              </w:rPr>
              <w:t>.</w:t>
            </w:r>
            <w:r w:rsidRPr="003003C0">
              <w:rPr>
                <w:rFonts w:cs="Arial"/>
                <w:color w:val="000000"/>
                <w:sz w:val="14"/>
                <w:szCs w:val="14"/>
              </w:rPr>
              <w:t>6</w:t>
            </w:r>
          </w:p>
        </w:tc>
        <w:tc>
          <w:tcPr>
            <w:tcW w:w="424" w:type="pct"/>
            <w:noWrap/>
            <w:vAlign w:val="center"/>
            <w:hideMark/>
          </w:tcPr>
          <w:p w14:paraId="5083362F" w14:textId="77777777" w:rsidR="004F64EF" w:rsidRPr="003003C0" w:rsidRDefault="004F64EF" w:rsidP="00FD6B66">
            <w:pPr>
              <w:keepNext/>
              <w:keepLines/>
              <w:jc w:val="right"/>
              <w:rPr>
                <w:rFonts w:cs="Arial"/>
                <w:color w:val="000000"/>
                <w:sz w:val="14"/>
                <w:szCs w:val="14"/>
              </w:rPr>
            </w:pPr>
            <w:r w:rsidRPr="003003C0">
              <w:rPr>
                <w:rFonts w:cs="Arial"/>
                <w:color w:val="000000"/>
                <w:sz w:val="14"/>
                <w:szCs w:val="14"/>
              </w:rPr>
              <w:t>10</w:t>
            </w:r>
            <w:r>
              <w:rPr>
                <w:rFonts w:cs="Arial"/>
                <w:color w:val="000000"/>
                <w:sz w:val="14"/>
                <w:szCs w:val="14"/>
              </w:rPr>
              <w:t>.</w:t>
            </w:r>
            <w:r w:rsidRPr="003003C0">
              <w:rPr>
                <w:rFonts w:cs="Arial"/>
                <w:color w:val="000000"/>
                <w:sz w:val="14"/>
                <w:szCs w:val="14"/>
              </w:rPr>
              <w:t>9</w:t>
            </w:r>
          </w:p>
        </w:tc>
        <w:tc>
          <w:tcPr>
            <w:tcW w:w="424" w:type="pct"/>
            <w:noWrap/>
            <w:vAlign w:val="center"/>
            <w:hideMark/>
          </w:tcPr>
          <w:p w14:paraId="54C29379" w14:textId="77777777" w:rsidR="004F64EF" w:rsidRPr="003003C0" w:rsidRDefault="004F64EF" w:rsidP="00FD6B66">
            <w:pPr>
              <w:keepNext/>
              <w:keepLines/>
              <w:jc w:val="right"/>
              <w:rPr>
                <w:rFonts w:cs="Arial"/>
                <w:color w:val="000000"/>
                <w:sz w:val="14"/>
                <w:szCs w:val="14"/>
              </w:rPr>
            </w:pPr>
            <w:r w:rsidRPr="003003C0">
              <w:rPr>
                <w:rFonts w:cs="Arial"/>
                <w:color w:val="000000"/>
                <w:sz w:val="14"/>
                <w:szCs w:val="14"/>
              </w:rPr>
              <w:t>11</w:t>
            </w:r>
            <w:r>
              <w:rPr>
                <w:rFonts w:cs="Arial"/>
                <w:color w:val="000000"/>
                <w:sz w:val="14"/>
                <w:szCs w:val="14"/>
              </w:rPr>
              <w:t>.</w:t>
            </w:r>
            <w:r w:rsidRPr="003003C0">
              <w:rPr>
                <w:rFonts w:cs="Arial"/>
                <w:color w:val="000000"/>
                <w:sz w:val="14"/>
                <w:szCs w:val="14"/>
              </w:rPr>
              <w:t>9</w:t>
            </w:r>
          </w:p>
        </w:tc>
        <w:tc>
          <w:tcPr>
            <w:tcW w:w="424" w:type="pct"/>
            <w:noWrap/>
            <w:vAlign w:val="center"/>
            <w:hideMark/>
          </w:tcPr>
          <w:p w14:paraId="47A06019" w14:textId="77777777" w:rsidR="004F64EF" w:rsidRPr="003003C0" w:rsidRDefault="004F64EF" w:rsidP="00FD6B66">
            <w:pPr>
              <w:keepNext/>
              <w:keepLines/>
              <w:jc w:val="right"/>
              <w:rPr>
                <w:rFonts w:cs="Arial"/>
                <w:color w:val="000000"/>
                <w:sz w:val="14"/>
                <w:szCs w:val="14"/>
              </w:rPr>
            </w:pPr>
            <w:r w:rsidRPr="003003C0">
              <w:rPr>
                <w:rFonts w:cs="Arial"/>
                <w:color w:val="000000"/>
                <w:sz w:val="14"/>
                <w:szCs w:val="14"/>
              </w:rPr>
              <w:t>12</w:t>
            </w:r>
            <w:r>
              <w:rPr>
                <w:rFonts w:cs="Arial"/>
                <w:color w:val="000000"/>
                <w:sz w:val="14"/>
                <w:szCs w:val="14"/>
              </w:rPr>
              <w:t>.</w:t>
            </w:r>
            <w:r w:rsidRPr="003003C0">
              <w:rPr>
                <w:rFonts w:cs="Arial"/>
                <w:color w:val="000000"/>
                <w:sz w:val="14"/>
                <w:szCs w:val="14"/>
              </w:rPr>
              <w:t>9</w:t>
            </w:r>
          </w:p>
        </w:tc>
      </w:tr>
    </w:tbl>
    <w:p w14:paraId="2BFFD6FC" w14:textId="77777777" w:rsidR="004F64EF" w:rsidRPr="003003C0" w:rsidRDefault="004F64EF" w:rsidP="00B91D96">
      <w:pPr>
        <w:pStyle w:val="NoteText"/>
        <w:keepNext/>
        <w:keepLines/>
        <w:spacing w:before="120" w:after="120"/>
      </w:pPr>
      <w:r w:rsidRPr="003003C0">
        <w:t>a</w:t>
      </w:r>
      <w:r w:rsidRPr="003003C0">
        <w:tab/>
      </w:r>
      <w:bookmarkStart w:id="431" w:name="_Hlk115950674"/>
      <w:r w:rsidRPr="00E66293">
        <w:t>Commonwealth of Independent States</w:t>
      </w:r>
      <w:r w:rsidRPr="003003C0">
        <w:t xml:space="preserve">, </w:t>
      </w:r>
      <w:r w:rsidRPr="00E66293">
        <w:t>including certain associate and former member States</w:t>
      </w:r>
      <w:bookmarkEnd w:id="431"/>
      <w:r w:rsidRPr="003003C0">
        <w:t>.</w:t>
      </w:r>
    </w:p>
    <w:p w14:paraId="10E7425D" w14:textId="77777777" w:rsidR="004F64EF" w:rsidRPr="003003C0" w:rsidRDefault="004F64EF" w:rsidP="00B91D96">
      <w:pPr>
        <w:pStyle w:val="NoteText"/>
        <w:keepNext/>
        <w:keepLines/>
        <w:spacing w:after="240"/>
      </w:pPr>
      <w:r w:rsidRPr="00D02356">
        <w:rPr>
          <w:bCs/>
        </w:rPr>
        <w:t>Source:</w:t>
      </w:r>
      <w:r w:rsidRPr="00D02356">
        <w:rPr>
          <w:bCs/>
        </w:rPr>
        <w:tab/>
        <w:t>WTO Secretariat calculations based on data from COMEX</w:t>
      </w:r>
      <w:r w:rsidRPr="003003C0">
        <w:t>.</w:t>
      </w:r>
    </w:p>
    <w:p w14:paraId="12E9A1D6" w14:textId="77777777" w:rsidR="004F64EF" w:rsidRPr="003003C0" w:rsidRDefault="004F64EF" w:rsidP="00B91D96">
      <w:r w:rsidRPr="003003C0">
        <w:br w:type="page"/>
      </w:r>
    </w:p>
    <w:p w14:paraId="27F23D20" w14:textId="77777777" w:rsidR="004F64EF" w:rsidRPr="003003C0" w:rsidRDefault="004F64EF" w:rsidP="00B91D96">
      <w:pPr>
        <w:pStyle w:val="Caption"/>
      </w:pPr>
      <w:bookmarkStart w:id="432" w:name="_Toc114735867"/>
      <w:bookmarkStart w:id="433" w:name="_Toc117004285"/>
      <w:r>
        <w:lastRenderedPageBreak/>
        <w:t>Table</w:t>
      </w:r>
      <w:r w:rsidRPr="003003C0">
        <w:t xml:space="preserve"> A1.</w:t>
      </w:r>
      <w:r w:rsidR="00BD37F2">
        <w:fldChar w:fldCharType="begin"/>
      </w:r>
      <w:r w:rsidR="00BD37F2">
        <w:instrText xml:space="preserve"> SEQ Table_A1. \* ARABIC </w:instrText>
      </w:r>
      <w:r w:rsidR="00BD37F2">
        <w:fldChar w:fldCharType="separate"/>
      </w:r>
      <w:r w:rsidRPr="003003C0">
        <w:rPr>
          <w:noProof/>
        </w:rPr>
        <w:t>7</w:t>
      </w:r>
      <w:r w:rsidR="00BD37F2">
        <w:rPr>
          <w:noProof/>
        </w:rPr>
        <w:fldChar w:fldCharType="end"/>
      </w:r>
      <w:r w:rsidRPr="003003C0">
        <w:t xml:space="preserve"> </w:t>
      </w:r>
      <w:r>
        <w:t>Merchandise exports from free zones by trading partner</w:t>
      </w:r>
      <w:r w:rsidRPr="003003C0">
        <w:t>, 2015-21</w:t>
      </w:r>
      <w:bookmarkEnd w:id="432"/>
      <w:bookmarkEnd w:id="433"/>
    </w:p>
    <w:p w14:paraId="131FB8D0" w14:textId="77777777" w:rsidR="004F64EF" w:rsidRPr="003003C0" w:rsidRDefault="004F64EF" w:rsidP="00B91D96">
      <w:pPr>
        <w:pStyle w:val="NoteText"/>
      </w:pPr>
      <w:r w:rsidRPr="003003C0">
        <w:t xml:space="preserve">(USD </w:t>
      </w:r>
      <w:r>
        <w:t>million and</w:t>
      </w:r>
      <w:r w:rsidRPr="003003C0">
        <w:t xml:space="preserve"> %)</w:t>
      </w:r>
    </w:p>
    <w:tbl>
      <w:tblPr>
        <w:tblStyle w:val="WTOTable1"/>
        <w:tblW w:w="5000" w:type="pct"/>
        <w:tblLook w:val="04A0" w:firstRow="1" w:lastRow="0" w:firstColumn="1" w:lastColumn="0" w:noHBand="0" w:noVBand="1"/>
      </w:tblPr>
      <w:tblGrid>
        <w:gridCol w:w="3852"/>
        <w:gridCol w:w="737"/>
        <w:gridCol w:w="737"/>
        <w:gridCol w:w="738"/>
        <w:gridCol w:w="738"/>
        <w:gridCol w:w="738"/>
        <w:gridCol w:w="738"/>
        <w:gridCol w:w="738"/>
      </w:tblGrid>
      <w:tr w:rsidR="004F64EF" w:rsidRPr="003003C0" w14:paraId="2377F764" w14:textId="77777777" w:rsidTr="00BE2A9F">
        <w:trPr>
          <w:cnfStyle w:val="100000000000" w:firstRow="1" w:lastRow="0" w:firstColumn="0" w:lastColumn="0" w:oddVBand="0" w:evenVBand="0" w:oddHBand="0" w:evenHBand="0" w:firstRowFirstColumn="0" w:firstRowLastColumn="0" w:lastRowFirstColumn="0" w:lastRowLastColumn="0"/>
          <w:trHeight w:val="20"/>
          <w:tblHeader/>
        </w:trPr>
        <w:tc>
          <w:tcPr>
            <w:tcW w:w="2137" w:type="pct"/>
            <w:noWrap/>
            <w:vAlign w:val="center"/>
            <w:hideMark/>
          </w:tcPr>
          <w:p w14:paraId="4301C247" w14:textId="77777777" w:rsidR="004F64EF" w:rsidRPr="003003C0" w:rsidRDefault="004F64EF" w:rsidP="00FD6B66">
            <w:pPr>
              <w:jc w:val="left"/>
              <w:rPr>
                <w:rFonts w:eastAsia="Times New Roman" w:cs="Arial"/>
                <w:color w:val="FFFFFF" w:themeColor="background1"/>
                <w:sz w:val="14"/>
                <w:szCs w:val="14"/>
                <w:lang w:eastAsia="en-GB"/>
              </w:rPr>
            </w:pPr>
            <w:r w:rsidRPr="003003C0">
              <w:rPr>
                <w:rFonts w:cs="Arial"/>
                <w:color w:val="FFFFFF" w:themeColor="background1"/>
                <w:sz w:val="14"/>
                <w:szCs w:val="14"/>
              </w:rPr>
              <w:t>Descrip</w:t>
            </w:r>
            <w:r>
              <w:rPr>
                <w:rFonts w:cs="Arial"/>
                <w:color w:val="FFFFFF" w:themeColor="background1"/>
                <w:sz w:val="14"/>
                <w:szCs w:val="14"/>
              </w:rPr>
              <w:t>tion</w:t>
            </w:r>
          </w:p>
        </w:tc>
        <w:tc>
          <w:tcPr>
            <w:tcW w:w="409" w:type="pct"/>
            <w:noWrap/>
            <w:vAlign w:val="center"/>
            <w:hideMark/>
          </w:tcPr>
          <w:p w14:paraId="3586F8E8" w14:textId="77777777" w:rsidR="004F64EF" w:rsidRPr="003003C0" w:rsidRDefault="004F64EF" w:rsidP="00FD6B66">
            <w:pPr>
              <w:jc w:val="right"/>
              <w:rPr>
                <w:rFonts w:cs="Arial"/>
                <w:color w:val="FFFFFF" w:themeColor="background1"/>
                <w:sz w:val="14"/>
                <w:szCs w:val="14"/>
              </w:rPr>
            </w:pPr>
            <w:r w:rsidRPr="003003C0">
              <w:rPr>
                <w:rFonts w:cs="Arial"/>
                <w:color w:val="FFFFFF" w:themeColor="background1"/>
                <w:sz w:val="14"/>
                <w:szCs w:val="14"/>
              </w:rPr>
              <w:t>2015</w:t>
            </w:r>
          </w:p>
        </w:tc>
        <w:tc>
          <w:tcPr>
            <w:tcW w:w="409" w:type="pct"/>
            <w:noWrap/>
            <w:vAlign w:val="center"/>
            <w:hideMark/>
          </w:tcPr>
          <w:p w14:paraId="1607B154" w14:textId="77777777" w:rsidR="004F64EF" w:rsidRPr="003003C0" w:rsidRDefault="004F64EF" w:rsidP="00FD6B66">
            <w:pPr>
              <w:jc w:val="right"/>
              <w:rPr>
                <w:rFonts w:cs="Arial"/>
                <w:color w:val="FFFFFF" w:themeColor="background1"/>
                <w:sz w:val="14"/>
                <w:szCs w:val="14"/>
              </w:rPr>
            </w:pPr>
            <w:r w:rsidRPr="003003C0">
              <w:rPr>
                <w:rFonts w:cs="Arial"/>
                <w:color w:val="FFFFFF" w:themeColor="background1"/>
                <w:sz w:val="14"/>
                <w:szCs w:val="14"/>
              </w:rPr>
              <w:t>2016</w:t>
            </w:r>
          </w:p>
        </w:tc>
        <w:tc>
          <w:tcPr>
            <w:tcW w:w="409" w:type="pct"/>
            <w:noWrap/>
            <w:vAlign w:val="center"/>
            <w:hideMark/>
          </w:tcPr>
          <w:p w14:paraId="402A9D36" w14:textId="77777777" w:rsidR="004F64EF" w:rsidRPr="003003C0" w:rsidRDefault="004F64EF" w:rsidP="00FD6B66">
            <w:pPr>
              <w:jc w:val="right"/>
              <w:rPr>
                <w:rFonts w:cs="Arial"/>
                <w:color w:val="FFFFFF" w:themeColor="background1"/>
                <w:sz w:val="14"/>
                <w:szCs w:val="14"/>
              </w:rPr>
            </w:pPr>
            <w:r w:rsidRPr="003003C0">
              <w:rPr>
                <w:rFonts w:cs="Arial"/>
                <w:color w:val="FFFFFF" w:themeColor="background1"/>
                <w:sz w:val="14"/>
                <w:szCs w:val="14"/>
              </w:rPr>
              <w:t>2017</w:t>
            </w:r>
          </w:p>
        </w:tc>
        <w:tc>
          <w:tcPr>
            <w:tcW w:w="409" w:type="pct"/>
            <w:noWrap/>
            <w:vAlign w:val="center"/>
            <w:hideMark/>
          </w:tcPr>
          <w:p w14:paraId="3DDDF536" w14:textId="77777777" w:rsidR="004F64EF" w:rsidRPr="003003C0" w:rsidRDefault="004F64EF" w:rsidP="00FD6B66">
            <w:pPr>
              <w:jc w:val="right"/>
              <w:rPr>
                <w:rFonts w:cs="Arial"/>
                <w:color w:val="FFFFFF" w:themeColor="background1"/>
                <w:sz w:val="14"/>
                <w:szCs w:val="14"/>
              </w:rPr>
            </w:pPr>
            <w:r w:rsidRPr="003003C0">
              <w:rPr>
                <w:rFonts w:cs="Arial"/>
                <w:color w:val="FFFFFF" w:themeColor="background1"/>
                <w:sz w:val="14"/>
                <w:szCs w:val="14"/>
              </w:rPr>
              <w:t>2018</w:t>
            </w:r>
          </w:p>
        </w:tc>
        <w:tc>
          <w:tcPr>
            <w:tcW w:w="409" w:type="pct"/>
            <w:noWrap/>
            <w:vAlign w:val="center"/>
            <w:hideMark/>
          </w:tcPr>
          <w:p w14:paraId="0714F53B" w14:textId="77777777" w:rsidR="004F64EF" w:rsidRPr="003003C0" w:rsidRDefault="004F64EF" w:rsidP="00FD6B66">
            <w:pPr>
              <w:jc w:val="right"/>
              <w:rPr>
                <w:rFonts w:cs="Arial"/>
                <w:color w:val="FFFFFF" w:themeColor="background1"/>
                <w:sz w:val="14"/>
                <w:szCs w:val="14"/>
              </w:rPr>
            </w:pPr>
            <w:r w:rsidRPr="003003C0">
              <w:rPr>
                <w:rFonts w:cs="Arial"/>
                <w:color w:val="FFFFFF" w:themeColor="background1"/>
                <w:sz w:val="14"/>
                <w:szCs w:val="14"/>
              </w:rPr>
              <w:t>2019</w:t>
            </w:r>
          </w:p>
        </w:tc>
        <w:tc>
          <w:tcPr>
            <w:tcW w:w="409" w:type="pct"/>
            <w:noWrap/>
            <w:vAlign w:val="center"/>
            <w:hideMark/>
          </w:tcPr>
          <w:p w14:paraId="4A109F64" w14:textId="77777777" w:rsidR="004F64EF" w:rsidRPr="003003C0" w:rsidRDefault="004F64EF" w:rsidP="00FD6B66">
            <w:pPr>
              <w:jc w:val="right"/>
              <w:rPr>
                <w:rFonts w:cs="Arial"/>
                <w:color w:val="FFFFFF" w:themeColor="background1"/>
                <w:sz w:val="14"/>
                <w:szCs w:val="14"/>
              </w:rPr>
            </w:pPr>
            <w:r w:rsidRPr="003003C0">
              <w:rPr>
                <w:rFonts w:cs="Arial"/>
                <w:color w:val="FFFFFF" w:themeColor="background1"/>
                <w:sz w:val="14"/>
                <w:szCs w:val="14"/>
              </w:rPr>
              <w:t>2020</w:t>
            </w:r>
          </w:p>
        </w:tc>
        <w:tc>
          <w:tcPr>
            <w:tcW w:w="409" w:type="pct"/>
            <w:noWrap/>
            <w:vAlign w:val="center"/>
            <w:hideMark/>
          </w:tcPr>
          <w:p w14:paraId="7ABF99B0" w14:textId="77777777" w:rsidR="004F64EF" w:rsidRPr="003003C0" w:rsidRDefault="004F64EF" w:rsidP="00FD6B66">
            <w:pPr>
              <w:jc w:val="right"/>
              <w:rPr>
                <w:rFonts w:cs="Arial"/>
                <w:color w:val="FFFFFF" w:themeColor="background1"/>
                <w:sz w:val="14"/>
                <w:szCs w:val="14"/>
              </w:rPr>
            </w:pPr>
            <w:r w:rsidRPr="003003C0">
              <w:rPr>
                <w:rFonts w:cs="Arial"/>
                <w:color w:val="FFFFFF" w:themeColor="background1"/>
                <w:sz w:val="14"/>
                <w:szCs w:val="14"/>
              </w:rPr>
              <w:t>2021</w:t>
            </w:r>
          </w:p>
        </w:tc>
      </w:tr>
      <w:tr w:rsidR="004F64EF" w:rsidRPr="003003C0" w14:paraId="4CECF547" w14:textId="77777777" w:rsidTr="00BE2A9F">
        <w:trPr>
          <w:trHeight w:val="20"/>
        </w:trPr>
        <w:tc>
          <w:tcPr>
            <w:tcW w:w="2137" w:type="pct"/>
            <w:noWrap/>
            <w:vAlign w:val="center"/>
            <w:hideMark/>
          </w:tcPr>
          <w:p w14:paraId="4C5A73F2" w14:textId="77777777" w:rsidR="004F64EF" w:rsidRPr="003003C0" w:rsidRDefault="004F64EF" w:rsidP="00FD6B66">
            <w:pPr>
              <w:jc w:val="left"/>
              <w:rPr>
                <w:rFonts w:cs="Arial"/>
                <w:b/>
                <w:bCs/>
                <w:color w:val="000000"/>
                <w:sz w:val="14"/>
                <w:szCs w:val="14"/>
              </w:rPr>
            </w:pPr>
          </w:p>
        </w:tc>
        <w:tc>
          <w:tcPr>
            <w:tcW w:w="2863" w:type="pct"/>
            <w:gridSpan w:val="7"/>
            <w:noWrap/>
            <w:vAlign w:val="center"/>
            <w:hideMark/>
          </w:tcPr>
          <w:p w14:paraId="451EE2BB" w14:textId="77777777" w:rsidR="004F64EF" w:rsidRPr="003003C0" w:rsidRDefault="004F64EF" w:rsidP="00FD6B66">
            <w:pPr>
              <w:jc w:val="center"/>
              <w:rPr>
                <w:rFonts w:cs="Arial"/>
                <w:b/>
                <w:bCs/>
                <w:color w:val="000000"/>
                <w:sz w:val="14"/>
                <w:szCs w:val="14"/>
              </w:rPr>
            </w:pPr>
            <w:r w:rsidRPr="003003C0">
              <w:rPr>
                <w:rFonts w:cs="Arial"/>
                <w:b/>
                <w:bCs/>
                <w:color w:val="000000"/>
                <w:sz w:val="14"/>
                <w:szCs w:val="14"/>
              </w:rPr>
              <w:t>(USD</w:t>
            </w:r>
            <w:r>
              <w:rPr>
                <w:rFonts w:cs="Arial"/>
                <w:b/>
                <w:bCs/>
                <w:color w:val="000000"/>
                <w:sz w:val="14"/>
                <w:szCs w:val="14"/>
              </w:rPr>
              <w:t xml:space="preserve"> million</w:t>
            </w:r>
            <w:r w:rsidRPr="003003C0">
              <w:rPr>
                <w:rFonts w:cs="Arial"/>
                <w:b/>
                <w:bCs/>
                <w:color w:val="000000"/>
                <w:sz w:val="14"/>
                <w:szCs w:val="14"/>
              </w:rPr>
              <w:t>)</w:t>
            </w:r>
          </w:p>
        </w:tc>
      </w:tr>
      <w:tr w:rsidR="004F64EF" w:rsidRPr="003003C0" w14:paraId="309FEDD5" w14:textId="77777777" w:rsidTr="00BE2A9F">
        <w:trPr>
          <w:cnfStyle w:val="000000010000" w:firstRow="0" w:lastRow="0" w:firstColumn="0" w:lastColumn="0" w:oddVBand="0" w:evenVBand="0" w:oddHBand="0" w:evenHBand="1" w:firstRowFirstColumn="0" w:firstRowLastColumn="0" w:lastRowFirstColumn="0" w:lastRowLastColumn="0"/>
          <w:trHeight w:val="20"/>
        </w:trPr>
        <w:tc>
          <w:tcPr>
            <w:tcW w:w="2137" w:type="pct"/>
            <w:noWrap/>
            <w:vAlign w:val="center"/>
            <w:hideMark/>
          </w:tcPr>
          <w:p w14:paraId="398A7A5D" w14:textId="77777777" w:rsidR="004F64EF" w:rsidRPr="003003C0" w:rsidRDefault="004F64EF" w:rsidP="00FD6B66">
            <w:pPr>
              <w:jc w:val="left"/>
              <w:rPr>
                <w:rFonts w:cs="Arial"/>
                <w:color w:val="000000"/>
                <w:sz w:val="14"/>
                <w:szCs w:val="14"/>
              </w:rPr>
            </w:pPr>
            <w:r>
              <w:rPr>
                <w:rFonts w:cs="Arial"/>
                <w:color w:val="000000"/>
                <w:sz w:val="14"/>
                <w:szCs w:val="14"/>
              </w:rPr>
              <w:t>Free zone exports</w:t>
            </w:r>
          </w:p>
        </w:tc>
        <w:tc>
          <w:tcPr>
            <w:tcW w:w="409" w:type="pct"/>
            <w:noWrap/>
            <w:vAlign w:val="center"/>
            <w:hideMark/>
          </w:tcPr>
          <w:p w14:paraId="108505E6" w14:textId="77777777" w:rsidR="004F64EF" w:rsidRPr="003003C0" w:rsidRDefault="004F64EF" w:rsidP="00FD6B66">
            <w:pPr>
              <w:jc w:val="right"/>
              <w:rPr>
                <w:rFonts w:cs="Arial"/>
                <w:sz w:val="14"/>
                <w:szCs w:val="14"/>
              </w:rPr>
            </w:pPr>
            <w:r w:rsidRPr="003003C0">
              <w:rPr>
                <w:rFonts w:cs="Calibri"/>
                <w:sz w:val="14"/>
                <w:szCs w:val="14"/>
              </w:rPr>
              <w:t>5</w:t>
            </w:r>
            <w:r>
              <w:rPr>
                <w:rFonts w:cs="Calibri"/>
                <w:sz w:val="14"/>
                <w:szCs w:val="14"/>
              </w:rPr>
              <w:t>,</w:t>
            </w:r>
            <w:r w:rsidRPr="003003C0">
              <w:rPr>
                <w:rFonts w:cs="Calibri"/>
                <w:sz w:val="14"/>
                <w:szCs w:val="14"/>
              </w:rPr>
              <w:t>394</w:t>
            </w:r>
          </w:p>
        </w:tc>
        <w:tc>
          <w:tcPr>
            <w:tcW w:w="409" w:type="pct"/>
            <w:noWrap/>
            <w:vAlign w:val="center"/>
            <w:hideMark/>
          </w:tcPr>
          <w:p w14:paraId="5A40004D" w14:textId="77777777" w:rsidR="004F64EF" w:rsidRPr="003003C0" w:rsidRDefault="004F64EF" w:rsidP="00FD6B66">
            <w:pPr>
              <w:jc w:val="right"/>
              <w:rPr>
                <w:rFonts w:cs="Arial"/>
                <w:sz w:val="14"/>
                <w:szCs w:val="14"/>
              </w:rPr>
            </w:pPr>
            <w:r w:rsidRPr="003003C0">
              <w:rPr>
                <w:rFonts w:cs="Calibri"/>
                <w:sz w:val="14"/>
                <w:szCs w:val="14"/>
              </w:rPr>
              <w:t>5</w:t>
            </w:r>
            <w:r>
              <w:rPr>
                <w:rFonts w:cs="Calibri"/>
                <w:sz w:val="14"/>
                <w:szCs w:val="14"/>
              </w:rPr>
              <w:t>,</w:t>
            </w:r>
            <w:r w:rsidRPr="003003C0">
              <w:rPr>
                <w:rFonts w:cs="Calibri"/>
                <w:sz w:val="14"/>
                <w:szCs w:val="14"/>
              </w:rPr>
              <w:t>386</w:t>
            </w:r>
          </w:p>
        </w:tc>
        <w:tc>
          <w:tcPr>
            <w:tcW w:w="409" w:type="pct"/>
            <w:noWrap/>
            <w:vAlign w:val="center"/>
            <w:hideMark/>
          </w:tcPr>
          <w:p w14:paraId="64586934" w14:textId="77777777" w:rsidR="004F64EF" w:rsidRPr="003003C0" w:rsidRDefault="004F64EF" w:rsidP="00FD6B66">
            <w:pPr>
              <w:jc w:val="right"/>
              <w:rPr>
                <w:rFonts w:cs="Arial"/>
                <w:sz w:val="14"/>
                <w:szCs w:val="14"/>
              </w:rPr>
            </w:pPr>
            <w:r w:rsidRPr="003003C0">
              <w:rPr>
                <w:rFonts w:cs="Calibri"/>
                <w:sz w:val="14"/>
                <w:szCs w:val="14"/>
              </w:rPr>
              <w:t>5</w:t>
            </w:r>
            <w:r>
              <w:rPr>
                <w:rFonts w:cs="Calibri"/>
                <w:sz w:val="14"/>
                <w:szCs w:val="14"/>
              </w:rPr>
              <w:t>,</w:t>
            </w:r>
            <w:r w:rsidRPr="003003C0">
              <w:rPr>
                <w:rFonts w:cs="Calibri"/>
                <w:sz w:val="14"/>
                <w:szCs w:val="14"/>
              </w:rPr>
              <w:t>709</w:t>
            </w:r>
          </w:p>
        </w:tc>
        <w:tc>
          <w:tcPr>
            <w:tcW w:w="409" w:type="pct"/>
            <w:noWrap/>
            <w:vAlign w:val="center"/>
            <w:hideMark/>
          </w:tcPr>
          <w:p w14:paraId="2EC8EAED" w14:textId="77777777" w:rsidR="004F64EF" w:rsidRPr="003003C0" w:rsidRDefault="004F64EF" w:rsidP="00FD6B66">
            <w:pPr>
              <w:jc w:val="right"/>
              <w:rPr>
                <w:rFonts w:cs="Arial"/>
                <w:sz w:val="14"/>
                <w:szCs w:val="14"/>
              </w:rPr>
            </w:pPr>
            <w:r w:rsidRPr="003003C0">
              <w:rPr>
                <w:rFonts w:cs="Calibri"/>
                <w:sz w:val="14"/>
                <w:szCs w:val="14"/>
              </w:rPr>
              <w:t>6</w:t>
            </w:r>
            <w:r>
              <w:rPr>
                <w:rFonts w:cs="Calibri"/>
                <w:sz w:val="14"/>
                <w:szCs w:val="14"/>
              </w:rPr>
              <w:t>,</w:t>
            </w:r>
            <w:r w:rsidRPr="003003C0">
              <w:rPr>
                <w:rFonts w:cs="Calibri"/>
                <w:sz w:val="14"/>
                <w:szCs w:val="14"/>
              </w:rPr>
              <w:t>035</w:t>
            </w:r>
          </w:p>
        </w:tc>
        <w:tc>
          <w:tcPr>
            <w:tcW w:w="409" w:type="pct"/>
            <w:noWrap/>
            <w:vAlign w:val="center"/>
            <w:hideMark/>
          </w:tcPr>
          <w:p w14:paraId="6CE94350" w14:textId="77777777" w:rsidR="004F64EF" w:rsidRPr="003003C0" w:rsidRDefault="004F64EF" w:rsidP="00FD6B66">
            <w:pPr>
              <w:jc w:val="right"/>
              <w:rPr>
                <w:rFonts w:cs="Arial"/>
                <w:sz w:val="14"/>
                <w:szCs w:val="14"/>
              </w:rPr>
            </w:pPr>
            <w:r w:rsidRPr="003003C0">
              <w:rPr>
                <w:rFonts w:cs="Calibri"/>
                <w:sz w:val="14"/>
                <w:szCs w:val="14"/>
              </w:rPr>
              <w:t>6</w:t>
            </w:r>
            <w:r>
              <w:rPr>
                <w:rFonts w:cs="Calibri"/>
                <w:sz w:val="14"/>
                <w:szCs w:val="14"/>
              </w:rPr>
              <w:t>,</w:t>
            </w:r>
            <w:r w:rsidRPr="003003C0">
              <w:rPr>
                <w:rFonts w:cs="Calibri"/>
                <w:sz w:val="14"/>
                <w:szCs w:val="14"/>
              </w:rPr>
              <w:t>249</w:t>
            </w:r>
          </w:p>
        </w:tc>
        <w:tc>
          <w:tcPr>
            <w:tcW w:w="409" w:type="pct"/>
            <w:noWrap/>
            <w:vAlign w:val="center"/>
            <w:hideMark/>
          </w:tcPr>
          <w:p w14:paraId="4BC83D43" w14:textId="77777777" w:rsidR="004F64EF" w:rsidRPr="003003C0" w:rsidRDefault="004F64EF" w:rsidP="00FD6B66">
            <w:pPr>
              <w:jc w:val="right"/>
              <w:rPr>
                <w:rFonts w:cs="Arial"/>
                <w:sz w:val="14"/>
                <w:szCs w:val="14"/>
              </w:rPr>
            </w:pPr>
            <w:r w:rsidRPr="003003C0">
              <w:rPr>
                <w:rFonts w:cs="Calibri"/>
                <w:sz w:val="14"/>
                <w:szCs w:val="14"/>
              </w:rPr>
              <w:t>5</w:t>
            </w:r>
            <w:r>
              <w:rPr>
                <w:rFonts w:cs="Calibri"/>
                <w:sz w:val="14"/>
                <w:szCs w:val="14"/>
              </w:rPr>
              <w:t>,</w:t>
            </w:r>
            <w:r w:rsidRPr="003003C0">
              <w:rPr>
                <w:rFonts w:cs="Calibri"/>
                <w:sz w:val="14"/>
                <w:szCs w:val="14"/>
              </w:rPr>
              <w:t>828</w:t>
            </w:r>
          </w:p>
        </w:tc>
        <w:tc>
          <w:tcPr>
            <w:tcW w:w="409" w:type="pct"/>
            <w:noWrap/>
            <w:vAlign w:val="center"/>
            <w:hideMark/>
          </w:tcPr>
          <w:p w14:paraId="5BE30E14" w14:textId="77777777" w:rsidR="004F64EF" w:rsidRPr="003003C0" w:rsidRDefault="004F64EF" w:rsidP="00FD6B66">
            <w:pPr>
              <w:jc w:val="right"/>
              <w:rPr>
                <w:rFonts w:cs="Arial"/>
                <w:sz w:val="14"/>
                <w:szCs w:val="14"/>
              </w:rPr>
            </w:pPr>
            <w:r w:rsidRPr="003003C0">
              <w:rPr>
                <w:rFonts w:cs="Calibri"/>
                <w:sz w:val="14"/>
                <w:szCs w:val="14"/>
              </w:rPr>
              <w:t>7</w:t>
            </w:r>
            <w:r>
              <w:rPr>
                <w:rFonts w:cs="Calibri"/>
                <w:sz w:val="14"/>
                <w:szCs w:val="14"/>
              </w:rPr>
              <w:t>,</w:t>
            </w:r>
            <w:r w:rsidRPr="003003C0">
              <w:rPr>
                <w:rFonts w:cs="Calibri"/>
                <w:sz w:val="14"/>
                <w:szCs w:val="14"/>
              </w:rPr>
              <w:t>143</w:t>
            </w:r>
          </w:p>
        </w:tc>
      </w:tr>
      <w:tr w:rsidR="004F64EF" w:rsidRPr="003003C0" w14:paraId="5B49ABAE" w14:textId="77777777" w:rsidTr="00BE2A9F">
        <w:trPr>
          <w:trHeight w:val="20"/>
        </w:trPr>
        <w:tc>
          <w:tcPr>
            <w:tcW w:w="2137" w:type="pct"/>
            <w:noWrap/>
            <w:vAlign w:val="center"/>
            <w:hideMark/>
          </w:tcPr>
          <w:p w14:paraId="0273D2AF" w14:textId="77777777" w:rsidR="004F64EF" w:rsidRPr="003003C0" w:rsidRDefault="004F64EF" w:rsidP="00FD6B66">
            <w:pPr>
              <w:jc w:val="left"/>
              <w:rPr>
                <w:rFonts w:cs="Arial"/>
                <w:color w:val="000000"/>
                <w:sz w:val="14"/>
                <w:szCs w:val="14"/>
              </w:rPr>
            </w:pPr>
          </w:p>
        </w:tc>
        <w:tc>
          <w:tcPr>
            <w:tcW w:w="2863" w:type="pct"/>
            <w:gridSpan w:val="7"/>
            <w:noWrap/>
            <w:vAlign w:val="center"/>
            <w:hideMark/>
          </w:tcPr>
          <w:p w14:paraId="30662FEF" w14:textId="77777777" w:rsidR="004F64EF" w:rsidRPr="003003C0" w:rsidRDefault="004F64EF" w:rsidP="00FD6B66">
            <w:pPr>
              <w:jc w:val="center"/>
              <w:rPr>
                <w:rFonts w:cs="Arial"/>
                <w:b/>
                <w:bCs/>
                <w:color w:val="000000"/>
                <w:sz w:val="14"/>
                <w:szCs w:val="14"/>
              </w:rPr>
            </w:pPr>
            <w:r w:rsidRPr="003003C0">
              <w:rPr>
                <w:rFonts w:cs="Arial"/>
                <w:b/>
                <w:bCs/>
                <w:color w:val="000000"/>
                <w:sz w:val="14"/>
                <w:szCs w:val="14"/>
              </w:rPr>
              <w:t xml:space="preserve">(% </w:t>
            </w:r>
            <w:r>
              <w:rPr>
                <w:rFonts w:cs="Arial"/>
                <w:b/>
                <w:bCs/>
                <w:color w:val="000000"/>
                <w:sz w:val="14"/>
                <w:szCs w:val="14"/>
              </w:rPr>
              <w:t>of free zone exports</w:t>
            </w:r>
            <w:r w:rsidRPr="003003C0">
              <w:rPr>
                <w:rFonts w:cs="Arial"/>
                <w:b/>
                <w:bCs/>
                <w:color w:val="000000"/>
                <w:sz w:val="14"/>
                <w:szCs w:val="14"/>
              </w:rPr>
              <w:t>)</w:t>
            </w:r>
          </w:p>
        </w:tc>
      </w:tr>
      <w:tr w:rsidR="004F64EF" w:rsidRPr="003003C0" w14:paraId="62E5A263" w14:textId="77777777" w:rsidTr="00BE2A9F">
        <w:trPr>
          <w:cnfStyle w:val="000000010000" w:firstRow="0" w:lastRow="0" w:firstColumn="0" w:lastColumn="0" w:oddVBand="0" w:evenVBand="0" w:oddHBand="0" w:evenHBand="1" w:firstRowFirstColumn="0" w:firstRowLastColumn="0" w:lastRowFirstColumn="0" w:lastRowLastColumn="0"/>
          <w:trHeight w:val="20"/>
        </w:trPr>
        <w:tc>
          <w:tcPr>
            <w:tcW w:w="2137" w:type="pct"/>
            <w:noWrap/>
            <w:vAlign w:val="center"/>
            <w:hideMark/>
          </w:tcPr>
          <w:p w14:paraId="344C2A79" w14:textId="77777777" w:rsidR="004F64EF" w:rsidRPr="003003C0" w:rsidRDefault="004F64EF" w:rsidP="00FD6B66">
            <w:pPr>
              <w:jc w:val="left"/>
              <w:rPr>
                <w:rFonts w:cs="Arial"/>
                <w:color w:val="000000"/>
                <w:sz w:val="14"/>
                <w:szCs w:val="14"/>
              </w:rPr>
            </w:pPr>
            <w:r w:rsidRPr="003003C0">
              <w:rPr>
                <w:rFonts w:cs="Arial"/>
                <w:color w:val="000000"/>
                <w:sz w:val="14"/>
                <w:szCs w:val="14"/>
              </w:rPr>
              <w:t>Am</w:t>
            </w:r>
            <w:r>
              <w:rPr>
                <w:rFonts w:cs="Arial"/>
                <w:color w:val="000000"/>
                <w:sz w:val="14"/>
                <w:szCs w:val="14"/>
              </w:rPr>
              <w:t>e</w:t>
            </w:r>
            <w:r w:rsidRPr="003003C0">
              <w:rPr>
                <w:rFonts w:cs="Arial"/>
                <w:color w:val="000000"/>
                <w:sz w:val="14"/>
                <w:szCs w:val="14"/>
              </w:rPr>
              <w:t>rica</w:t>
            </w:r>
          </w:p>
        </w:tc>
        <w:tc>
          <w:tcPr>
            <w:tcW w:w="409" w:type="pct"/>
            <w:noWrap/>
            <w:vAlign w:val="center"/>
            <w:hideMark/>
          </w:tcPr>
          <w:p w14:paraId="69062BE3" w14:textId="77777777" w:rsidR="004F64EF" w:rsidRPr="003003C0" w:rsidRDefault="004F64EF" w:rsidP="00FD6B66">
            <w:pPr>
              <w:jc w:val="right"/>
              <w:rPr>
                <w:rFonts w:cs="Arial"/>
                <w:color w:val="000000"/>
                <w:sz w:val="14"/>
                <w:szCs w:val="14"/>
              </w:rPr>
            </w:pPr>
            <w:r w:rsidRPr="003003C0">
              <w:rPr>
                <w:rFonts w:cs="Arial"/>
                <w:color w:val="000000"/>
                <w:sz w:val="14"/>
                <w:szCs w:val="14"/>
              </w:rPr>
              <w:t>89</w:t>
            </w:r>
            <w:r>
              <w:rPr>
                <w:rFonts w:cs="Arial"/>
                <w:color w:val="000000"/>
                <w:sz w:val="14"/>
                <w:szCs w:val="14"/>
              </w:rPr>
              <w:t>.</w:t>
            </w:r>
            <w:r w:rsidRPr="003003C0">
              <w:rPr>
                <w:rFonts w:cs="Arial"/>
                <w:color w:val="000000"/>
                <w:sz w:val="14"/>
                <w:szCs w:val="14"/>
              </w:rPr>
              <w:t>2</w:t>
            </w:r>
          </w:p>
        </w:tc>
        <w:tc>
          <w:tcPr>
            <w:tcW w:w="409" w:type="pct"/>
            <w:noWrap/>
            <w:vAlign w:val="center"/>
            <w:hideMark/>
          </w:tcPr>
          <w:p w14:paraId="2CCE8BB1" w14:textId="77777777" w:rsidR="004F64EF" w:rsidRPr="003003C0" w:rsidRDefault="004F64EF" w:rsidP="00FD6B66">
            <w:pPr>
              <w:jc w:val="right"/>
              <w:rPr>
                <w:rFonts w:cs="Arial"/>
                <w:color w:val="000000"/>
                <w:sz w:val="14"/>
                <w:szCs w:val="14"/>
              </w:rPr>
            </w:pPr>
            <w:r w:rsidRPr="003003C0">
              <w:rPr>
                <w:rFonts w:cs="Arial"/>
                <w:color w:val="000000"/>
                <w:sz w:val="14"/>
                <w:szCs w:val="14"/>
              </w:rPr>
              <w:t>88</w:t>
            </w:r>
            <w:r>
              <w:rPr>
                <w:rFonts w:cs="Arial"/>
                <w:color w:val="000000"/>
                <w:sz w:val="14"/>
                <w:szCs w:val="14"/>
              </w:rPr>
              <w:t>.</w:t>
            </w:r>
            <w:r w:rsidRPr="003003C0">
              <w:rPr>
                <w:rFonts w:cs="Arial"/>
                <w:color w:val="000000"/>
                <w:sz w:val="14"/>
                <w:szCs w:val="14"/>
              </w:rPr>
              <w:t>4</w:t>
            </w:r>
          </w:p>
        </w:tc>
        <w:tc>
          <w:tcPr>
            <w:tcW w:w="409" w:type="pct"/>
            <w:noWrap/>
            <w:vAlign w:val="center"/>
            <w:hideMark/>
          </w:tcPr>
          <w:p w14:paraId="0AD1D22E" w14:textId="77777777" w:rsidR="004F64EF" w:rsidRPr="003003C0" w:rsidRDefault="004F64EF" w:rsidP="00FD6B66">
            <w:pPr>
              <w:jc w:val="right"/>
              <w:rPr>
                <w:rFonts w:cs="Arial"/>
                <w:color w:val="000000"/>
                <w:sz w:val="14"/>
                <w:szCs w:val="14"/>
              </w:rPr>
            </w:pPr>
            <w:r w:rsidRPr="003003C0">
              <w:rPr>
                <w:rFonts w:cs="Arial"/>
                <w:color w:val="000000"/>
                <w:sz w:val="14"/>
                <w:szCs w:val="14"/>
              </w:rPr>
              <w:t>88</w:t>
            </w:r>
            <w:r>
              <w:rPr>
                <w:rFonts w:cs="Arial"/>
                <w:color w:val="000000"/>
                <w:sz w:val="14"/>
                <w:szCs w:val="14"/>
              </w:rPr>
              <w:t>.</w:t>
            </w:r>
            <w:r w:rsidRPr="003003C0">
              <w:rPr>
                <w:rFonts w:cs="Arial"/>
                <w:color w:val="000000"/>
                <w:sz w:val="14"/>
                <w:szCs w:val="14"/>
              </w:rPr>
              <w:t>3</w:t>
            </w:r>
          </w:p>
        </w:tc>
        <w:tc>
          <w:tcPr>
            <w:tcW w:w="409" w:type="pct"/>
            <w:noWrap/>
            <w:vAlign w:val="center"/>
            <w:hideMark/>
          </w:tcPr>
          <w:p w14:paraId="2E78F020" w14:textId="77777777" w:rsidR="004F64EF" w:rsidRPr="003003C0" w:rsidRDefault="004F64EF" w:rsidP="00FD6B66">
            <w:pPr>
              <w:jc w:val="right"/>
              <w:rPr>
                <w:rFonts w:cs="Arial"/>
                <w:color w:val="000000"/>
                <w:sz w:val="14"/>
                <w:szCs w:val="14"/>
              </w:rPr>
            </w:pPr>
            <w:r w:rsidRPr="003003C0">
              <w:rPr>
                <w:rFonts w:cs="Arial"/>
                <w:color w:val="000000"/>
                <w:sz w:val="14"/>
                <w:szCs w:val="14"/>
              </w:rPr>
              <w:t>89</w:t>
            </w:r>
            <w:r>
              <w:rPr>
                <w:rFonts w:cs="Arial"/>
                <w:color w:val="000000"/>
                <w:sz w:val="14"/>
                <w:szCs w:val="14"/>
              </w:rPr>
              <w:t>.</w:t>
            </w:r>
            <w:r w:rsidRPr="003003C0">
              <w:rPr>
                <w:rFonts w:cs="Arial"/>
                <w:color w:val="000000"/>
                <w:sz w:val="14"/>
                <w:szCs w:val="14"/>
              </w:rPr>
              <w:t>2</w:t>
            </w:r>
          </w:p>
        </w:tc>
        <w:tc>
          <w:tcPr>
            <w:tcW w:w="409" w:type="pct"/>
            <w:noWrap/>
            <w:vAlign w:val="center"/>
            <w:hideMark/>
          </w:tcPr>
          <w:p w14:paraId="70A0C50D" w14:textId="77777777" w:rsidR="004F64EF" w:rsidRPr="003003C0" w:rsidRDefault="004F64EF" w:rsidP="00FD6B66">
            <w:pPr>
              <w:jc w:val="right"/>
              <w:rPr>
                <w:rFonts w:cs="Arial"/>
                <w:color w:val="000000"/>
                <w:sz w:val="14"/>
                <w:szCs w:val="14"/>
              </w:rPr>
            </w:pPr>
            <w:r w:rsidRPr="003003C0">
              <w:rPr>
                <w:rFonts w:cs="Arial"/>
                <w:color w:val="000000"/>
                <w:sz w:val="14"/>
                <w:szCs w:val="14"/>
              </w:rPr>
              <w:t>90</w:t>
            </w:r>
            <w:r>
              <w:rPr>
                <w:rFonts w:cs="Arial"/>
                <w:color w:val="000000"/>
                <w:sz w:val="14"/>
                <w:szCs w:val="14"/>
              </w:rPr>
              <w:t>.</w:t>
            </w:r>
            <w:r w:rsidRPr="003003C0">
              <w:rPr>
                <w:rFonts w:cs="Arial"/>
                <w:color w:val="000000"/>
                <w:sz w:val="14"/>
                <w:szCs w:val="14"/>
              </w:rPr>
              <w:t>0</w:t>
            </w:r>
          </w:p>
        </w:tc>
        <w:tc>
          <w:tcPr>
            <w:tcW w:w="409" w:type="pct"/>
            <w:noWrap/>
            <w:vAlign w:val="center"/>
            <w:hideMark/>
          </w:tcPr>
          <w:p w14:paraId="62B48439" w14:textId="77777777" w:rsidR="004F64EF" w:rsidRPr="003003C0" w:rsidRDefault="004F64EF" w:rsidP="00FD6B66">
            <w:pPr>
              <w:jc w:val="right"/>
              <w:rPr>
                <w:rFonts w:cs="Arial"/>
                <w:color w:val="000000"/>
                <w:sz w:val="14"/>
                <w:szCs w:val="14"/>
              </w:rPr>
            </w:pPr>
            <w:r w:rsidRPr="003003C0">
              <w:rPr>
                <w:rFonts w:cs="Arial"/>
                <w:color w:val="000000"/>
                <w:sz w:val="14"/>
                <w:szCs w:val="14"/>
              </w:rPr>
              <w:t>88</w:t>
            </w:r>
            <w:r>
              <w:rPr>
                <w:rFonts w:cs="Arial"/>
                <w:color w:val="000000"/>
                <w:sz w:val="14"/>
                <w:szCs w:val="14"/>
              </w:rPr>
              <w:t>.</w:t>
            </w:r>
            <w:r w:rsidRPr="003003C0">
              <w:rPr>
                <w:rFonts w:cs="Arial"/>
                <w:color w:val="000000"/>
                <w:sz w:val="14"/>
                <w:szCs w:val="14"/>
              </w:rPr>
              <w:t>1</w:t>
            </w:r>
          </w:p>
        </w:tc>
        <w:tc>
          <w:tcPr>
            <w:tcW w:w="409" w:type="pct"/>
            <w:noWrap/>
            <w:vAlign w:val="center"/>
            <w:hideMark/>
          </w:tcPr>
          <w:p w14:paraId="42416C54" w14:textId="77777777" w:rsidR="004F64EF" w:rsidRPr="003003C0" w:rsidRDefault="004F64EF" w:rsidP="00FD6B66">
            <w:pPr>
              <w:jc w:val="right"/>
              <w:rPr>
                <w:rFonts w:cs="Arial"/>
                <w:color w:val="000000"/>
                <w:sz w:val="14"/>
                <w:szCs w:val="14"/>
              </w:rPr>
            </w:pPr>
            <w:r w:rsidRPr="003003C0">
              <w:rPr>
                <w:rFonts w:cs="Arial"/>
                <w:color w:val="000000"/>
                <w:sz w:val="14"/>
                <w:szCs w:val="14"/>
              </w:rPr>
              <w:t>88</w:t>
            </w:r>
            <w:r>
              <w:rPr>
                <w:rFonts w:cs="Arial"/>
                <w:color w:val="000000"/>
                <w:sz w:val="14"/>
                <w:szCs w:val="14"/>
              </w:rPr>
              <w:t>.</w:t>
            </w:r>
            <w:r w:rsidRPr="003003C0">
              <w:rPr>
                <w:rFonts w:cs="Arial"/>
                <w:color w:val="000000"/>
                <w:sz w:val="14"/>
                <w:szCs w:val="14"/>
              </w:rPr>
              <w:t>7</w:t>
            </w:r>
          </w:p>
        </w:tc>
      </w:tr>
      <w:tr w:rsidR="004F64EF" w:rsidRPr="003003C0" w14:paraId="249149E2" w14:textId="77777777" w:rsidTr="00BE2A9F">
        <w:trPr>
          <w:trHeight w:val="20"/>
        </w:trPr>
        <w:tc>
          <w:tcPr>
            <w:tcW w:w="2137" w:type="pct"/>
            <w:noWrap/>
            <w:vAlign w:val="center"/>
            <w:hideMark/>
          </w:tcPr>
          <w:p w14:paraId="1E93A1EF" w14:textId="77777777" w:rsidR="004F64EF" w:rsidRPr="003003C0" w:rsidRDefault="004F64EF" w:rsidP="00FD6B66">
            <w:pPr>
              <w:tabs>
                <w:tab w:val="left" w:pos="113"/>
              </w:tabs>
              <w:jc w:val="left"/>
              <w:rPr>
                <w:rFonts w:cs="Arial"/>
                <w:color w:val="000000"/>
                <w:sz w:val="14"/>
                <w:szCs w:val="14"/>
              </w:rPr>
            </w:pPr>
            <w:r w:rsidRPr="003003C0">
              <w:rPr>
                <w:rFonts w:cs="Arial"/>
                <w:color w:val="000000"/>
                <w:sz w:val="14"/>
                <w:szCs w:val="14"/>
              </w:rPr>
              <w:tab/>
            </w:r>
            <w:r>
              <w:rPr>
                <w:rFonts w:cs="Arial"/>
                <w:color w:val="000000"/>
                <w:sz w:val="14"/>
                <w:szCs w:val="14"/>
              </w:rPr>
              <w:t>United States</w:t>
            </w:r>
          </w:p>
        </w:tc>
        <w:tc>
          <w:tcPr>
            <w:tcW w:w="409" w:type="pct"/>
            <w:noWrap/>
            <w:vAlign w:val="center"/>
            <w:hideMark/>
          </w:tcPr>
          <w:p w14:paraId="20B80BDE" w14:textId="77777777" w:rsidR="004F64EF" w:rsidRPr="003003C0" w:rsidRDefault="004F64EF" w:rsidP="00FD6B66">
            <w:pPr>
              <w:jc w:val="right"/>
              <w:rPr>
                <w:rFonts w:cs="Arial"/>
                <w:color w:val="000000"/>
                <w:sz w:val="14"/>
                <w:szCs w:val="14"/>
              </w:rPr>
            </w:pPr>
            <w:r w:rsidRPr="003003C0">
              <w:rPr>
                <w:rFonts w:cs="Arial"/>
                <w:color w:val="000000"/>
                <w:sz w:val="14"/>
                <w:szCs w:val="14"/>
              </w:rPr>
              <w:t>74</w:t>
            </w:r>
            <w:r>
              <w:rPr>
                <w:rFonts w:cs="Arial"/>
                <w:color w:val="000000"/>
                <w:sz w:val="14"/>
                <w:szCs w:val="14"/>
              </w:rPr>
              <w:t>.</w:t>
            </w:r>
            <w:r w:rsidRPr="003003C0">
              <w:rPr>
                <w:rFonts w:cs="Arial"/>
                <w:color w:val="000000"/>
                <w:sz w:val="14"/>
                <w:szCs w:val="14"/>
              </w:rPr>
              <w:t>6</w:t>
            </w:r>
          </w:p>
        </w:tc>
        <w:tc>
          <w:tcPr>
            <w:tcW w:w="409" w:type="pct"/>
            <w:noWrap/>
            <w:vAlign w:val="center"/>
            <w:hideMark/>
          </w:tcPr>
          <w:p w14:paraId="4FAC0669" w14:textId="77777777" w:rsidR="004F64EF" w:rsidRPr="003003C0" w:rsidRDefault="004F64EF" w:rsidP="00FD6B66">
            <w:pPr>
              <w:jc w:val="right"/>
              <w:rPr>
                <w:rFonts w:cs="Arial"/>
                <w:color w:val="000000"/>
                <w:sz w:val="14"/>
                <w:szCs w:val="14"/>
              </w:rPr>
            </w:pPr>
            <w:r w:rsidRPr="003003C0">
              <w:rPr>
                <w:rFonts w:cs="Arial"/>
                <w:color w:val="000000"/>
                <w:sz w:val="14"/>
                <w:szCs w:val="14"/>
              </w:rPr>
              <w:t>77</w:t>
            </w:r>
            <w:r>
              <w:rPr>
                <w:rFonts w:cs="Arial"/>
                <w:color w:val="000000"/>
                <w:sz w:val="14"/>
                <w:szCs w:val="14"/>
              </w:rPr>
              <w:t>.</w:t>
            </w:r>
            <w:r w:rsidRPr="003003C0">
              <w:rPr>
                <w:rFonts w:cs="Arial"/>
                <w:color w:val="000000"/>
                <w:sz w:val="14"/>
                <w:szCs w:val="14"/>
              </w:rPr>
              <w:t>7</w:t>
            </w:r>
          </w:p>
        </w:tc>
        <w:tc>
          <w:tcPr>
            <w:tcW w:w="409" w:type="pct"/>
            <w:noWrap/>
            <w:vAlign w:val="center"/>
            <w:hideMark/>
          </w:tcPr>
          <w:p w14:paraId="157EBDEB" w14:textId="77777777" w:rsidR="004F64EF" w:rsidRPr="003003C0" w:rsidRDefault="004F64EF" w:rsidP="00FD6B66">
            <w:pPr>
              <w:jc w:val="right"/>
              <w:rPr>
                <w:rFonts w:cs="Arial"/>
                <w:color w:val="000000"/>
                <w:sz w:val="14"/>
                <w:szCs w:val="14"/>
              </w:rPr>
            </w:pPr>
            <w:r w:rsidRPr="003003C0">
              <w:rPr>
                <w:rFonts w:cs="Arial"/>
                <w:color w:val="000000"/>
                <w:sz w:val="14"/>
                <w:szCs w:val="14"/>
              </w:rPr>
              <w:t>77</w:t>
            </w:r>
            <w:r>
              <w:rPr>
                <w:rFonts w:cs="Arial"/>
                <w:color w:val="000000"/>
                <w:sz w:val="14"/>
                <w:szCs w:val="14"/>
              </w:rPr>
              <w:t>.</w:t>
            </w:r>
            <w:r w:rsidRPr="003003C0">
              <w:rPr>
                <w:rFonts w:cs="Arial"/>
                <w:color w:val="000000"/>
                <w:sz w:val="14"/>
                <w:szCs w:val="14"/>
              </w:rPr>
              <w:t>5</w:t>
            </w:r>
          </w:p>
        </w:tc>
        <w:tc>
          <w:tcPr>
            <w:tcW w:w="409" w:type="pct"/>
            <w:noWrap/>
            <w:vAlign w:val="center"/>
            <w:hideMark/>
          </w:tcPr>
          <w:p w14:paraId="3A4896B2" w14:textId="77777777" w:rsidR="004F64EF" w:rsidRPr="003003C0" w:rsidRDefault="004F64EF" w:rsidP="00FD6B66">
            <w:pPr>
              <w:jc w:val="right"/>
              <w:rPr>
                <w:rFonts w:cs="Arial"/>
                <w:color w:val="000000"/>
                <w:sz w:val="14"/>
                <w:szCs w:val="14"/>
              </w:rPr>
            </w:pPr>
            <w:r w:rsidRPr="003003C0">
              <w:rPr>
                <w:rFonts w:cs="Arial"/>
                <w:color w:val="000000"/>
                <w:sz w:val="14"/>
                <w:szCs w:val="14"/>
              </w:rPr>
              <w:t>78</w:t>
            </w:r>
            <w:r>
              <w:rPr>
                <w:rFonts w:cs="Arial"/>
                <w:color w:val="000000"/>
                <w:sz w:val="14"/>
                <w:szCs w:val="14"/>
              </w:rPr>
              <w:t>.</w:t>
            </w:r>
            <w:r w:rsidRPr="003003C0">
              <w:rPr>
                <w:rFonts w:cs="Arial"/>
                <w:color w:val="000000"/>
                <w:sz w:val="14"/>
                <w:szCs w:val="14"/>
              </w:rPr>
              <w:t>4</w:t>
            </w:r>
          </w:p>
        </w:tc>
        <w:tc>
          <w:tcPr>
            <w:tcW w:w="409" w:type="pct"/>
            <w:noWrap/>
            <w:vAlign w:val="center"/>
            <w:hideMark/>
          </w:tcPr>
          <w:p w14:paraId="0DC9F898" w14:textId="77777777" w:rsidR="004F64EF" w:rsidRPr="003003C0" w:rsidRDefault="004F64EF" w:rsidP="00FD6B66">
            <w:pPr>
              <w:jc w:val="right"/>
              <w:rPr>
                <w:rFonts w:cs="Arial"/>
                <w:color w:val="000000"/>
                <w:sz w:val="14"/>
                <w:szCs w:val="14"/>
              </w:rPr>
            </w:pPr>
            <w:r w:rsidRPr="003003C0">
              <w:rPr>
                <w:rFonts w:cs="Arial"/>
                <w:color w:val="000000"/>
                <w:sz w:val="14"/>
                <w:szCs w:val="14"/>
              </w:rPr>
              <w:t>79</w:t>
            </w:r>
            <w:r>
              <w:rPr>
                <w:rFonts w:cs="Arial"/>
                <w:color w:val="000000"/>
                <w:sz w:val="14"/>
                <w:szCs w:val="14"/>
              </w:rPr>
              <w:t>.</w:t>
            </w:r>
            <w:r w:rsidRPr="003003C0">
              <w:rPr>
                <w:rFonts w:cs="Arial"/>
                <w:color w:val="000000"/>
                <w:sz w:val="14"/>
                <w:szCs w:val="14"/>
              </w:rPr>
              <w:t>2</w:t>
            </w:r>
          </w:p>
        </w:tc>
        <w:tc>
          <w:tcPr>
            <w:tcW w:w="409" w:type="pct"/>
            <w:noWrap/>
            <w:vAlign w:val="center"/>
            <w:hideMark/>
          </w:tcPr>
          <w:p w14:paraId="18528F1A" w14:textId="77777777" w:rsidR="004F64EF" w:rsidRPr="003003C0" w:rsidRDefault="004F64EF" w:rsidP="00FD6B66">
            <w:pPr>
              <w:jc w:val="right"/>
              <w:rPr>
                <w:rFonts w:cs="Arial"/>
                <w:color w:val="000000"/>
                <w:sz w:val="14"/>
                <w:szCs w:val="14"/>
              </w:rPr>
            </w:pPr>
            <w:r w:rsidRPr="003003C0">
              <w:rPr>
                <w:rFonts w:cs="Arial"/>
                <w:color w:val="000000"/>
                <w:sz w:val="14"/>
                <w:szCs w:val="14"/>
              </w:rPr>
              <w:t>77</w:t>
            </w:r>
            <w:r>
              <w:rPr>
                <w:rFonts w:cs="Arial"/>
                <w:color w:val="000000"/>
                <w:sz w:val="14"/>
                <w:szCs w:val="14"/>
              </w:rPr>
              <w:t>.</w:t>
            </w:r>
            <w:r w:rsidRPr="003003C0">
              <w:rPr>
                <w:rFonts w:cs="Arial"/>
                <w:color w:val="000000"/>
                <w:sz w:val="14"/>
                <w:szCs w:val="14"/>
              </w:rPr>
              <w:t>8</w:t>
            </w:r>
          </w:p>
        </w:tc>
        <w:tc>
          <w:tcPr>
            <w:tcW w:w="409" w:type="pct"/>
            <w:noWrap/>
            <w:vAlign w:val="center"/>
            <w:hideMark/>
          </w:tcPr>
          <w:p w14:paraId="32488E8B" w14:textId="77777777" w:rsidR="004F64EF" w:rsidRPr="003003C0" w:rsidRDefault="004F64EF" w:rsidP="00FD6B66">
            <w:pPr>
              <w:jc w:val="right"/>
              <w:rPr>
                <w:rFonts w:cs="Arial"/>
                <w:color w:val="000000"/>
                <w:sz w:val="14"/>
                <w:szCs w:val="14"/>
              </w:rPr>
            </w:pPr>
            <w:r w:rsidRPr="003003C0">
              <w:rPr>
                <w:rFonts w:cs="Arial"/>
                <w:color w:val="000000"/>
                <w:sz w:val="14"/>
                <w:szCs w:val="14"/>
              </w:rPr>
              <w:t>78</w:t>
            </w:r>
            <w:r>
              <w:rPr>
                <w:rFonts w:cs="Arial"/>
                <w:color w:val="000000"/>
                <w:sz w:val="14"/>
                <w:szCs w:val="14"/>
              </w:rPr>
              <w:t>.</w:t>
            </w:r>
            <w:r w:rsidRPr="003003C0">
              <w:rPr>
                <w:rFonts w:cs="Arial"/>
                <w:color w:val="000000"/>
                <w:sz w:val="14"/>
                <w:szCs w:val="14"/>
              </w:rPr>
              <w:t>2</w:t>
            </w:r>
          </w:p>
        </w:tc>
      </w:tr>
      <w:tr w:rsidR="004F64EF" w:rsidRPr="003003C0" w14:paraId="786F9E00" w14:textId="77777777" w:rsidTr="00BE2A9F">
        <w:trPr>
          <w:cnfStyle w:val="000000010000" w:firstRow="0" w:lastRow="0" w:firstColumn="0" w:lastColumn="0" w:oddVBand="0" w:evenVBand="0" w:oddHBand="0" w:evenHBand="1" w:firstRowFirstColumn="0" w:firstRowLastColumn="0" w:lastRowFirstColumn="0" w:lastRowLastColumn="0"/>
          <w:trHeight w:val="20"/>
        </w:trPr>
        <w:tc>
          <w:tcPr>
            <w:tcW w:w="2137" w:type="pct"/>
            <w:noWrap/>
            <w:vAlign w:val="center"/>
            <w:hideMark/>
          </w:tcPr>
          <w:p w14:paraId="74CC1F57" w14:textId="77777777" w:rsidR="004F64EF" w:rsidRPr="003003C0" w:rsidRDefault="004F64EF" w:rsidP="00FD6B66">
            <w:pPr>
              <w:tabs>
                <w:tab w:val="left" w:pos="113"/>
              </w:tabs>
              <w:jc w:val="left"/>
              <w:rPr>
                <w:rFonts w:cs="Arial"/>
                <w:color w:val="000000"/>
                <w:sz w:val="14"/>
                <w:szCs w:val="14"/>
              </w:rPr>
            </w:pPr>
            <w:r w:rsidRPr="003003C0">
              <w:rPr>
                <w:rFonts w:cs="Arial"/>
                <w:color w:val="000000"/>
                <w:sz w:val="14"/>
                <w:szCs w:val="14"/>
              </w:rPr>
              <w:tab/>
            </w:r>
            <w:r>
              <w:rPr>
                <w:rFonts w:cs="Arial"/>
                <w:color w:val="000000"/>
                <w:sz w:val="14"/>
                <w:szCs w:val="14"/>
              </w:rPr>
              <w:t>Other America</w:t>
            </w:r>
          </w:p>
        </w:tc>
        <w:tc>
          <w:tcPr>
            <w:tcW w:w="409" w:type="pct"/>
            <w:noWrap/>
            <w:vAlign w:val="center"/>
            <w:hideMark/>
          </w:tcPr>
          <w:p w14:paraId="55DB4E4E" w14:textId="77777777" w:rsidR="004F64EF" w:rsidRPr="003003C0" w:rsidRDefault="004F64EF" w:rsidP="00FD6B66">
            <w:pPr>
              <w:jc w:val="right"/>
              <w:rPr>
                <w:rFonts w:cs="Arial"/>
                <w:color w:val="000000"/>
                <w:sz w:val="14"/>
                <w:szCs w:val="14"/>
              </w:rPr>
            </w:pPr>
            <w:r w:rsidRPr="003003C0">
              <w:rPr>
                <w:rFonts w:cs="Arial"/>
                <w:color w:val="000000"/>
                <w:sz w:val="14"/>
                <w:szCs w:val="14"/>
              </w:rPr>
              <w:t>14</w:t>
            </w:r>
            <w:r>
              <w:rPr>
                <w:rFonts w:cs="Arial"/>
                <w:color w:val="000000"/>
                <w:sz w:val="14"/>
                <w:szCs w:val="14"/>
              </w:rPr>
              <w:t>.</w:t>
            </w:r>
            <w:r w:rsidRPr="003003C0">
              <w:rPr>
                <w:rFonts w:cs="Arial"/>
                <w:color w:val="000000"/>
                <w:sz w:val="14"/>
                <w:szCs w:val="14"/>
              </w:rPr>
              <w:t>5</w:t>
            </w:r>
          </w:p>
        </w:tc>
        <w:tc>
          <w:tcPr>
            <w:tcW w:w="409" w:type="pct"/>
            <w:noWrap/>
            <w:vAlign w:val="center"/>
            <w:hideMark/>
          </w:tcPr>
          <w:p w14:paraId="5957F05C" w14:textId="77777777" w:rsidR="004F64EF" w:rsidRPr="003003C0" w:rsidRDefault="004F64EF" w:rsidP="00FD6B66">
            <w:pPr>
              <w:jc w:val="right"/>
              <w:rPr>
                <w:rFonts w:cs="Arial"/>
                <w:color w:val="000000"/>
                <w:sz w:val="14"/>
                <w:szCs w:val="14"/>
              </w:rPr>
            </w:pPr>
            <w:r w:rsidRPr="003003C0">
              <w:rPr>
                <w:rFonts w:cs="Arial"/>
                <w:color w:val="000000"/>
                <w:sz w:val="14"/>
                <w:szCs w:val="14"/>
              </w:rPr>
              <w:t>10</w:t>
            </w:r>
            <w:r>
              <w:rPr>
                <w:rFonts w:cs="Arial"/>
                <w:color w:val="000000"/>
                <w:sz w:val="14"/>
                <w:szCs w:val="14"/>
              </w:rPr>
              <w:t>.</w:t>
            </w:r>
            <w:r w:rsidRPr="003003C0">
              <w:rPr>
                <w:rFonts w:cs="Arial"/>
                <w:color w:val="000000"/>
                <w:sz w:val="14"/>
                <w:szCs w:val="14"/>
              </w:rPr>
              <w:t>7</w:t>
            </w:r>
          </w:p>
        </w:tc>
        <w:tc>
          <w:tcPr>
            <w:tcW w:w="409" w:type="pct"/>
            <w:noWrap/>
            <w:vAlign w:val="center"/>
            <w:hideMark/>
          </w:tcPr>
          <w:p w14:paraId="1DACD416" w14:textId="77777777" w:rsidR="004F64EF" w:rsidRPr="003003C0" w:rsidRDefault="004F64EF" w:rsidP="00FD6B66">
            <w:pPr>
              <w:jc w:val="right"/>
              <w:rPr>
                <w:rFonts w:cs="Arial"/>
                <w:color w:val="000000"/>
                <w:sz w:val="14"/>
                <w:szCs w:val="14"/>
              </w:rPr>
            </w:pPr>
            <w:r w:rsidRPr="003003C0">
              <w:rPr>
                <w:rFonts w:cs="Arial"/>
                <w:color w:val="000000"/>
                <w:sz w:val="14"/>
                <w:szCs w:val="14"/>
              </w:rPr>
              <w:t>10</w:t>
            </w:r>
            <w:r>
              <w:rPr>
                <w:rFonts w:cs="Arial"/>
                <w:color w:val="000000"/>
                <w:sz w:val="14"/>
                <w:szCs w:val="14"/>
              </w:rPr>
              <w:t>.</w:t>
            </w:r>
            <w:r w:rsidRPr="003003C0">
              <w:rPr>
                <w:rFonts w:cs="Arial"/>
                <w:color w:val="000000"/>
                <w:sz w:val="14"/>
                <w:szCs w:val="14"/>
              </w:rPr>
              <w:t>8</w:t>
            </w:r>
          </w:p>
        </w:tc>
        <w:tc>
          <w:tcPr>
            <w:tcW w:w="409" w:type="pct"/>
            <w:noWrap/>
            <w:vAlign w:val="center"/>
            <w:hideMark/>
          </w:tcPr>
          <w:p w14:paraId="0A512198" w14:textId="77777777" w:rsidR="004F64EF" w:rsidRPr="003003C0" w:rsidRDefault="004F64EF" w:rsidP="00FD6B66">
            <w:pPr>
              <w:jc w:val="right"/>
              <w:rPr>
                <w:rFonts w:cs="Arial"/>
                <w:color w:val="000000"/>
                <w:sz w:val="14"/>
                <w:szCs w:val="14"/>
              </w:rPr>
            </w:pPr>
            <w:r w:rsidRPr="003003C0">
              <w:rPr>
                <w:rFonts w:cs="Arial"/>
                <w:color w:val="000000"/>
                <w:sz w:val="14"/>
                <w:szCs w:val="14"/>
              </w:rPr>
              <w:t>10</w:t>
            </w:r>
            <w:r>
              <w:rPr>
                <w:rFonts w:cs="Arial"/>
                <w:color w:val="000000"/>
                <w:sz w:val="14"/>
                <w:szCs w:val="14"/>
              </w:rPr>
              <w:t>.</w:t>
            </w:r>
            <w:r w:rsidRPr="003003C0">
              <w:rPr>
                <w:rFonts w:cs="Arial"/>
                <w:color w:val="000000"/>
                <w:sz w:val="14"/>
                <w:szCs w:val="14"/>
              </w:rPr>
              <w:t>8</w:t>
            </w:r>
          </w:p>
        </w:tc>
        <w:tc>
          <w:tcPr>
            <w:tcW w:w="409" w:type="pct"/>
            <w:noWrap/>
            <w:vAlign w:val="center"/>
            <w:hideMark/>
          </w:tcPr>
          <w:p w14:paraId="65827046" w14:textId="77777777" w:rsidR="004F64EF" w:rsidRPr="003003C0" w:rsidRDefault="004F64EF" w:rsidP="00FD6B66">
            <w:pPr>
              <w:jc w:val="right"/>
              <w:rPr>
                <w:rFonts w:cs="Arial"/>
                <w:color w:val="000000"/>
                <w:sz w:val="14"/>
                <w:szCs w:val="14"/>
              </w:rPr>
            </w:pPr>
            <w:r w:rsidRPr="003003C0">
              <w:rPr>
                <w:rFonts w:cs="Arial"/>
                <w:color w:val="000000"/>
                <w:sz w:val="14"/>
                <w:szCs w:val="14"/>
              </w:rPr>
              <w:t>10</w:t>
            </w:r>
            <w:r>
              <w:rPr>
                <w:rFonts w:cs="Arial"/>
                <w:color w:val="000000"/>
                <w:sz w:val="14"/>
                <w:szCs w:val="14"/>
              </w:rPr>
              <w:t>.</w:t>
            </w:r>
            <w:r w:rsidRPr="003003C0">
              <w:rPr>
                <w:rFonts w:cs="Arial"/>
                <w:color w:val="000000"/>
                <w:sz w:val="14"/>
                <w:szCs w:val="14"/>
              </w:rPr>
              <w:t>8</w:t>
            </w:r>
          </w:p>
        </w:tc>
        <w:tc>
          <w:tcPr>
            <w:tcW w:w="409" w:type="pct"/>
            <w:noWrap/>
            <w:vAlign w:val="center"/>
            <w:hideMark/>
          </w:tcPr>
          <w:p w14:paraId="581A2623" w14:textId="77777777" w:rsidR="004F64EF" w:rsidRPr="003003C0" w:rsidRDefault="004F64EF" w:rsidP="00FD6B66">
            <w:pPr>
              <w:jc w:val="right"/>
              <w:rPr>
                <w:rFonts w:cs="Arial"/>
                <w:color w:val="000000"/>
                <w:sz w:val="14"/>
                <w:szCs w:val="14"/>
              </w:rPr>
            </w:pPr>
            <w:r w:rsidRPr="003003C0">
              <w:rPr>
                <w:rFonts w:cs="Arial"/>
                <w:color w:val="000000"/>
                <w:sz w:val="14"/>
                <w:szCs w:val="14"/>
              </w:rPr>
              <w:t>10</w:t>
            </w:r>
            <w:r>
              <w:rPr>
                <w:rFonts w:cs="Arial"/>
                <w:color w:val="000000"/>
                <w:sz w:val="14"/>
                <w:szCs w:val="14"/>
              </w:rPr>
              <w:t>.</w:t>
            </w:r>
            <w:r w:rsidRPr="003003C0">
              <w:rPr>
                <w:rFonts w:cs="Arial"/>
                <w:color w:val="000000"/>
                <w:sz w:val="14"/>
                <w:szCs w:val="14"/>
              </w:rPr>
              <w:t>2</w:t>
            </w:r>
          </w:p>
        </w:tc>
        <w:tc>
          <w:tcPr>
            <w:tcW w:w="409" w:type="pct"/>
            <w:noWrap/>
            <w:vAlign w:val="center"/>
            <w:hideMark/>
          </w:tcPr>
          <w:p w14:paraId="7E35FE74" w14:textId="77777777" w:rsidR="004F64EF" w:rsidRPr="003003C0" w:rsidRDefault="004F64EF" w:rsidP="00FD6B66">
            <w:pPr>
              <w:jc w:val="right"/>
              <w:rPr>
                <w:rFonts w:cs="Arial"/>
                <w:color w:val="000000"/>
                <w:sz w:val="14"/>
                <w:szCs w:val="14"/>
              </w:rPr>
            </w:pPr>
            <w:r w:rsidRPr="003003C0">
              <w:rPr>
                <w:rFonts w:cs="Arial"/>
                <w:color w:val="000000"/>
                <w:sz w:val="14"/>
                <w:szCs w:val="14"/>
              </w:rPr>
              <w:t>10</w:t>
            </w:r>
            <w:r>
              <w:rPr>
                <w:rFonts w:cs="Arial"/>
                <w:color w:val="000000"/>
                <w:sz w:val="14"/>
                <w:szCs w:val="14"/>
              </w:rPr>
              <w:t>.</w:t>
            </w:r>
            <w:r w:rsidRPr="003003C0">
              <w:rPr>
                <w:rFonts w:cs="Arial"/>
                <w:color w:val="000000"/>
                <w:sz w:val="14"/>
                <w:szCs w:val="14"/>
              </w:rPr>
              <w:t>5</w:t>
            </w:r>
          </w:p>
        </w:tc>
      </w:tr>
      <w:tr w:rsidR="004F64EF" w:rsidRPr="003003C0" w14:paraId="6864E0E9" w14:textId="77777777" w:rsidTr="00BE2A9F">
        <w:trPr>
          <w:trHeight w:val="20"/>
        </w:trPr>
        <w:tc>
          <w:tcPr>
            <w:tcW w:w="2137" w:type="pct"/>
            <w:noWrap/>
            <w:vAlign w:val="center"/>
            <w:hideMark/>
          </w:tcPr>
          <w:p w14:paraId="6D0D5B8F" w14:textId="77777777" w:rsidR="004F64EF" w:rsidRPr="003003C0" w:rsidRDefault="004F64EF" w:rsidP="00FD6B66">
            <w:pPr>
              <w:tabs>
                <w:tab w:val="left" w:pos="510"/>
              </w:tabs>
              <w:jc w:val="left"/>
              <w:rPr>
                <w:rFonts w:cs="Arial"/>
                <w:color w:val="000000"/>
                <w:sz w:val="14"/>
                <w:szCs w:val="14"/>
              </w:rPr>
            </w:pPr>
            <w:r w:rsidRPr="003003C0">
              <w:rPr>
                <w:rFonts w:cs="Arial"/>
                <w:color w:val="000000"/>
                <w:sz w:val="14"/>
                <w:szCs w:val="14"/>
              </w:rPr>
              <w:tab/>
              <w:t>Hait</w:t>
            </w:r>
            <w:r>
              <w:rPr>
                <w:rFonts w:cs="Arial"/>
                <w:color w:val="000000"/>
                <w:sz w:val="14"/>
                <w:szCs w:val="14"/>
              </w:rPr>
              <w:t>i</w:t>
            </w:r>
          </w:p>
        </w:tc>
        <w:tc>
          <w:tcPr>
            <w:tcW w:w="409" w:type="pct"/>
            <w:noWrap/>
            <w:vAlign w:val="center"/>
            <w:hideMark/>
          </w:tcPr>
          <w:p w14:paraId="347E7D01" w14:textId="77777777" w:rsidR="004F64EF" w:rsidRPr="003003C0" w:rsidRDefault="004F64EF" w:rsidP="00FD6B66">
            <w:pPr>
              <w:jc w:val="right"/>
              <w:rPr>
                <w:rFonts w:cs="Arial"/>
                <w:color w:val="000000"/>
                <w:sz w:val="14"/>
                <w:szCs w:val="14"/>
              </w:rPr>
            </w:pPr>
            <w:r w:rsidRPr="003003C0">
              <w:rPr>
                <w:rFonts w:cs="Arial"/>
                <w:color w:val="000000"/>
                <w:sz w:val="14"/>
                <w:szCs w:val="14"/>
              </w:rPr>
              <w:t>9</w:t>
            </w:r>
            <w:r>
              <w:rPr>
                <w:rFonts w:cs="Arial"/>
                <w:color w:val="000000"/>
                <w:sz w:val="14"/>
                <w:szCs w:val="14"/>
              </w:rPr>
              <w:t>.</w:t>
            </w:r>
            <w:r w:rsidRPr="003003C0">
              <w:rPr>
                <w:rFonts w:cs="Arial"/>
                <w:color w:val="000000"/>
                <w:sz w:val="14"/>
                <w:szCs w:val="14"/>
              </w:rPr>
              <w:t>6</w:t>
            </w:r>
          </w:p>
        </w:tc>
        <w:tc>
          <w:tcPr>
            <w:tcW w:w="409" w:type="pct"/>
            <w:noWrap/>
            <w:vAlign w:val="center"/>
            <w:hideMark/>
          </w:tcPr>
          <w:p w14:paraId="738E532C" w14:textId="77777777" w:rsidR="004F64EF" w:rsidRPr="003003C0" w:rsidRDefault="004F64EF" w:rsidP="00FD6B66">
            <w:pPr>
              <w:jc w:val="right"/>
              <w:rPr>
                <w:rFonts w:cs="Arial"/>
                <w:color w:val="000000"/>
                <w:sz w:val="14"/>
                <w:szCs w:val="14"/>
              </w:rPr>
            </w:pPr>
            <w:r w:rsidRPr="003003C0">
              <w:rPr>
                <w:rFonts w:cs="Arial"/>
                <w:color w:val="000000"/>
                <w:sz w:val="14"/>
                <w:szCs w:val="14"/>
              </w:rPr>
              <w:t>6</w:t>
            </w:r>
            <w:r>
              <w:rPr>
                <w:rFonts w:cs="Arial"/>
                <w:color w:val="000000"/>
                <w:sz w:val="14"/>
                <w:szCs w:val="14"/>
              </w:rPr>
              <w:t>.</w:t>
            </w:r>
            <w:r w:rsidRPr="003003C0">
              <w:rPr>
                <w:rFonts w:cs="Arial"/>
                <w:color w:val="000000"/>
                <w:sz w:val="14"/>
                <w:szCs w:val="14"/>
              </w:rPr>
              <w:t>0</w:t>
            </w:r>
          </w:p>
        </w:tc>
        <w:tc>
          <w:tcPr>
            <w:tcW w:w="409" w:type="pct"/>
            <w:noWrap/>
            <w:vAlign w:val="center"/>
            <w:hideMark/>
          </w:tcPr>
          <w:p w14:paraId="3619A796" w14:textId="77777777" w:rsidR="004F64EF" w:rsidRPr="003003C0" w:rsidRDefault="004F64EF" w:rsidP="00FD6B66">
            <w:pPr>
              <w:jc w:val="right"/>
              <w:rPr>
                <w:rFonts w:cs="Arial"/>
                <w:color w:val="000000"/>
                <w:sz w:val="14"/>
                <w:szCs w:val="14"/>
              </w:rPr>
            </w:pPr>
            <w:r w:rsidRPr="003003C0">
              <w:rPr>
                <w:rFonts w:cs="Arial"/>
                <w:color w:val="000000"/>
                <w:sz w:val="14"/>
                <w:szCs w:val="14"/>
              </w:rPr>
              <w:t>5</w:t>
            </w:r>
            <w:r>
              <w:rPr>
                <w:rFonts w:cs="Arial"/>
                <w:color w:val="000000"/>
                <w:sz w:val="14"/>
                <w:szCs w:val="14"/>
              </w:rPr>
              <w:t>.</w:t>
            </w:r>
            <w:r w:rsidRPr="003003C0">
              <w:rPr>
                <w:rFonts w:cs="Arial"/>
                <w:color w:val="000000"/>
                <w:sz w:val="14"/>
                <w:szCs w:val="14"/>
              </w:rPr>
              <w:t>8</w:t>
            </w:r>
          </w:p>
        </w:tc>
        <w:tc>
          <w:tcPr>
            <w:tcW w:w="409" w:type="pct"/>
            <w:noWrap/>
            <w:vAlign w:val="center"/>
            <w:hideMark/>
          </w:tcPr>
          <w:p w14:paraId="113EEEDA" w14:textId="77777777" w:rsidR="004F64EF" w:rsidRPr="003003C0" w:rsidRDefault="004F64EF" w:rsidP="00FD6B66">
            <w:pPr>
              <w:jc w:val="right"/>
              <w:rPr>
                <w:rFonts w:cs="Arial"/>
                <w:color w:val="000000"/>
                <w:sz w:val="14"/>
                <w:szCs w:val="14"/>
              </w:rPr>
            </w:pPr>
            <w:r w:rsidRPr="003003C0">
              <w:rPr>
                <w:rFonts w:cs="Arial"/>
                <w:color w:val="000000"/>
                <w:sz w:val="14"/>
                <w:szCs w:val="14"/>
              </w:rPr>
              <w:t>5</w:t>
            </w:r>
            <w:r>
              <w:rPr>
                <w:rFonts w:cs="Arial"/>
                <w:color w:val="000000"/>
                <w:sz w:val="14"/>
                <w:szCs w:val="14"/>
              </w:rPr>
              <w:t>.</w:t>
            </w:r>
            <w:r w:rsidRPr="003003C0">
              <w:rPr>
                <w:rFonts w:cs="Arial"/>
                <w:color w:val="000000"/>
                <w:sz w:val="14"/>
                <w:szCs w:val="14"/>
              </w:rPr>
              <w:t>9</w:t>
            </w:r>
          </w:p>
        </w:tc>
        <w:tc>
          <w:tcPr>
            <w:tcW w:w="409" w:type="pct"/>
            <w:noWrap/>
            <w:vAlign w:val="center"/>
            <w:hideMark/>
          </w:tcPr>
          <w:p w14:paraId="365DCE01" w14:textId="77777777" w:rsidR="004F64EF" w:rsidRPr="003003C0" w:rsidRDefault="004F64EF" w:rsidP="00FD6B66">
            <w:pPr>
              <w:jc w:val="right"/>
              <w:rPr>
                <w:rFonts w:cs="Arial"/>
                <w:color w:val="000000"/>
                <w:sz w:val="14"/>
                <w:szCs w:val="14"/>
              </w:rPr>
            </w:pPr>
            <w:r w:rsidRPr="003003C0">
              <w:rPr>
                <w:rFonts w:cs="Arial"/>
                <w:color w:val="000000"/>
                <w:sz w:val="14"/>
                <w:szCs w:val="14"/>
              </w:rPr>
              <w:t>5</w:t>
            </w:r>
            <w:r>
              <w:rPr>
                <w:rFonts w:cs="Arial"/>
                <w:color w:val="000000"/>
                <w:sz w:val="14"/>
                <w:szCs w:val="14"/>
              </w:rPr>
              <w:t>.</w:t>
            </w:r>
            <w:r w:rsidRPr="003003C0">
              <w:rPr>
                <w:rFonts w:cs="Arial"/>
                <w:color w:val="000000"/>
                <w:sz w:val="14"/>
                <w:szCs w:val="14"/>
              </w:rPr>
              <w:t>6</w:t>
            </w:r>
          </w:p>
        </w:tc>
        <w:tc>
          <w:tcPr>
            <w:tcW w:w="409" w:type="pct"/>
            <w:noWrap/>
            <w:vAlign w:val="center"/>
            <w:hideMark/>
          </w:tcPr>
          <w:p w14:paraId="47B4C7AB" w14:textId="77777777" w:rsidR="004F64EF" w:rsidRPr="003003C0" w:rsidRDefault="004F64EF" w:rsidP="00FD6B66">
            <w:pPr>
              <w:jc w:val="right"/>
              <w:rPr>
                <w:rFonts w:cs="Arial"/>
                <w:color w:val="000000"/>
                <w:sz w:val="14"/>
                <w:szCs w:val="14"/>
              </w:rPr>
            </w:pPr>
            <w:r w:rsidRPr="003003C0">
              <w:rPr>
                <w:rFonts w:cs="Arial"/>
                <w:color w:val="000000"/>
                <w:sz w:val="14"/>
                <w:szCs w:val="14"/>
              </w:rPr>
              <w:t>4</w:t>
            </w:r>
            <w:r>
              <w:rPr>
                <w:rFonts w:cs="Arial"/>
                <w:color w:val="000000"/>
                <w:sz w:val="14"/>
                <w:szCs w:val="14"/>
              </w:rPr>
              <w:t>.</w:t>
            </w:r>
            <w:r w:rsidRPr="003003C0">
              <w:rPr>
                <w:rFonts w:cs="Arial"/>
                <w:color w:val="000000"/>
                <w:sz w:val="14"/>
                <w:szCs w:val="14"/>
              </w:rPr>
              <w:t>8</w:t>
            </w:r>
          </w:p>
        </w:tc>
        <w:tc>
          <w:tcPr>
            <w:tcW w:w="409" w:type="pct"/>
            <w:noWrap/>
            <w:vAlign w:val="center"/>
            <w:hideMark/>
          </w:tcPr>
          <w:p w14:paraId="7D5CB3A6" w14:textId="77777777" w:rsidR="004F64EF" w:rsidRPr="003003C0" w:rsidRDefault="004F64EF" w:rsidP="00FD6B66">
            <w:pPr>
              <w:jc w:val="right"/>
              <w:rPr>
                <w:rFonts w:cs="Arial"/>
                <w:color w:val="000000"/>
                <w:sz w:val="14"/>
                <w:szCs w:val="14"/>
              </w:rPr>
            </w:pPr>
            <w:r w:rsidRPr="003003C0">
              <w:rPr>
                <w:rFonts w:cs="Arial"/>
                <w:color w:val="000000"/>
                <w:sz w:val="14"/>
                <w:szCs w:val="14"/>
              </w:rPr>
              <w:t>5</w:t>
            </w:r>
            <w:r>
              <w:rPr>
                <w:rFonts w:cs="Arial"/>
                <w:color w:val="000000"/>
                <w:sz w:val="14"/>
                <w:szCs w:val="14"/>
              </w:rPr>
              <w:t>.</w:t>
            </w:r>
            <w:r w:rsidRPr="003003C0">
              <w:rPr>
                <w:rFonts w:cs="Arial"/>
                <w:color w:val="000000"/>
                <w:sz w:val="14"/>
                <w:szCs w:val="14"/>
              </w:rPr>
              <w:t>3</w:t>
            </w:r>
          </w:p>
        </w:tc>
      </w:tr>
      <w:tr w:rsidR="004F64EF" w:rsidRPr="003003C0" w14:paraId="41BDDD92" w14:textId="77777777" w:rsidTr="00BE2A9F">
        <w:trPr>
          <w:cnfStyle w:val="000000010000" w:firstRow="0" w:lastRow="0" w:firstColumn="0" w:lastColumn="0" w:oddVBand="0" w:evenVBand="0" w:oddHBand="0" w:evenHBand="1" w:firstRowFirstColumn="0" w:firstRowLastColumn="0" w:lastRowFirstColumn="0" w:lastRowLastColumn="0"/>
          <w:trHeight w:val="20"/>
        </w:trPr>
        <w:tc>
          <w:tcPr>
            <w:tcW w:w="2137" w:type="pct"/>
            <w:noWrap/>
            <w:vAlign w:val="center"/>
            <w:hideMark/>
          </w:tcPr>
          <w:p w14:paraId="0115435C" w14:textId="77777777" w:rsidR="004F64EF" w:rsidRPr="003003C0" w:rsidRDefault="004F64EF" w:rsidP="00FD6B66">
            <w:pPr>
              <w:tabs>
                <w:tab w:val="left" w:pos="510"/>
              </w:tabs>
              <w:jc w:val="left"/>
              <w:rPr>
                <w:rFonts w:cs="Arial"/>
                <w:color w:val="000000"/>
                <w:sz w:val="14"/>
                <w:szCs w:val="14"/>
              </w:rPr>
            </w:pPr>
            <w:r w:rsidRPr="003003C0">
              <w:rPr>
                <w:rFonts w:cs="Arial"/>
                <w:color w:val="000000"/>
                <w:sz w:val="14"/>
                <w:szCs w:val="14"/>
              </w:rPr>
              <w:tab/>
              <w:t>Nicaragua</w:t>
            </w:r>
          </w:p>
        </w:tc>
        <w:tc>
          <w:tcPr>
            <w:tcW w:w="409" w:type="pct"/>
            <w:noWrap/>
            <w:vAlign w:val="center"/>
            <w:hideMark/>
          </w:tcPr>
          <w:p w14:paraId="27C5C570"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3</w:t>
            </w:r>
          </w:p>
        </w:tc>
        <w:tc>
          <w:tcPr>
            <w:tcW w:w="409" w:type="pct"/>
            <w:noWrap/>
            <w:vAlign w:val="center"/>
            <w:hideMark/>
          </w:tcPr>
          <w:p w14:paraId="6934292F"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3</w:t>
            </w:r>
          </w:p>
        </w:tc>
        <w:tc>
          <w:tcPr>
            <w:tcW w:w="409" w:type="pct"/>
            <w:noWrap/>
            <w:vAlign w:val="center"/>
            <w:hideMark/>
          </w:tcPr>
          <w:p w14:paraId="111CF111"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3</w:t>
            </w:r>
          </w:p>
        </w:tc>
        <w:tc>
          <w:tcPr>
            <w:tcW w:w="409" w:type="pct"/>
            <w:noWrap/>
            <w:vAlign w:val="center"/>
            <w:hideMark/>
          </w:tcPr>
          <w:p w14:paraId="1E58D412"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3</w:t>
            </w:r>
          </w:p>
        </w:tc>
        <w:tc>
          <w:tcPr>
            <w:tcW w:w="409" w:type="pct"/>
            <w:noWrap/>
            <w:vAlign w:val="center"/>
            <w:hideMark/>
          </w:tcPr>
          <w:p w14:paraId="50CC8789"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5</w:t>
            </w:r>
          </w:p>
        </w:tc>
        <w:tc>
          <w:tcPr>
            <w:tcW w:w="409" w:type="pct"/>
            <w:noWrap/>
            <w:vAlign w:val="center"/>
            <w:hideMark/>
          </w:tcPr>
          <w:p w14:paraId="51787A2B"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4</w:t>
            </w:r>
          </w:p>
        </w:tc>
        <w:tc>
          <w:tcPr>
            <w:tcW w:w="409" w:type="pct"/>
            <w:noWrap/>
            <w:vAlign w:val="center"/>
            <w:hideMark/>
          </w:tcPr>
          <w:p w14:paraId="15F3B6F0"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7</w:t>
            </w:r>
          </w:p>
        </w:tc>
      </w:tr>
      <w:tr w:rsidR="004F64EF" w:rsidRPr="003003C0" w14:paraId="04481854" w14:textId="77777777" w:rsidTr="00BE2A9F">
        <w:trPr>
          <w:trHeight w:val="20"/>
        </w:trPr>
        <w:tc>
          <w:tcPr>
            <w:tcW w:w="2137" w:type="pct"/>
            <w:noWrap/>
            <w:vAlign w:val="center"/>
            <w:hideMark/>
          </w:tcPr>
          <w:p w14:paraId="2BE9EF59" w14:textId="77777777" w:rsidR="004F64EF" w:rsidRPr="003003C0" w:rsidRDefault="004F64EF" w:rsidP="00FD6B66">
            <w:pPr>
              <w:tabs>
                <w:tab w:val="left" w:pos="510"/>
              </w:tabs>
              <w:jc w:val="left"/>
              <w:rPr>
                <w:rFonts w:cs="Arial"/>
                <w:color w:val="000000"/>
                <w:sz w:val="14"/>
                <w:szCs w:val="14"/>
              </w:rPr>
            </w:pPr>
            <w:r w:rsidRPr="003003C0">
              <w:rPr>
                <w:rFonts w:cs="Arial"/>
                <w:color w:val="000000"/>
                <w:sz w:val="14"/>
                <w:szCs w:val="14"/>
              </w:rPr>
              <w:tab/>
              <w:t>Colombia</w:t>
            </w:r>
          </w:p>
        </w:tc>
        <w:tc>
          <w:tcPr>
            <w:tcW w:w="409" w:type="pct"/>
            <w:noWrap/>
            <w:vAlign w:val="center"/>
            <w:hideMark/>
          </w:tcPr>
          <w:p w14:paraId="489003D8"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6</w:t>
            </w:r>
          </w:p>
        </w:tc>
        <w:tc>
          <w:tcPr>
            <w:tcW w:w="409" w:type="pct"/>
            <w:noWrap/>
            <w:vAlign w:val="center"/>
            <w:hideMark/>
          </w:tcPr>
          <w:p w14:paraId="57F05F7E"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6</w:t>
            </w:r>
          </w:p>
        </w:tc>
        <w:tc>
          <w:tcPr>
            <w:tcW w:w="409" w:type="pct"/>
            <w:noWrap/>
            <w:vAlign w:val="center"/>
            <w:hideMark/>
          </w:tcPr>
          <w:p w14:paraId="3B8C3F70"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6</w:t>
            </w:r>
          </w:p>
        </w:tc>
        <w:tc>
          <w:tcPr>
            <w:tcW w:w="409" w:type="pct"/>
            <w:noWrap/>
            <w:vAlign w:val="center"/>
            <w:hideMark/>
          </w:tcPr>
          <w:p w14:paraId="0E6A7D4A"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6</w:t>
            </w:r>
          </w:p>
        </w:tc>
        <w:tc>
          <w:tcPr>
            <w:tcW w:w="409" w:type="pct"/>
            <w:noWrap/>
            <w:vAlign w:val="center"/>
            <w:hideMark/>
          </w:tcPr>
          <w:p w14:paraId="26552BF1"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6</w:t>
            </w:r>
          </w:p>
        </w:tc>
        <w:tc>
          <w:tcPr>
            <w:tcW w:w="409" w:type="pct"/>
            <w:noWrap/>
            <w:vAlign w:val="center"/>
            <w:hideMark/>
          </w:tcPr>
          <w:p w14:paraId="2C838EE6"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7</w:t>
            </w:r>
          </w:p>
        </w:tc>
        <w:tc>
          <w:tcPr>
            <w:tcW w:w="409" w:type="pct"/>
            <w:noWrap/>
            <w:vAlign w:val="center"/>
            <w:hideMark/>
          </w:tcPr>
          <w:p w14:paraId="4E0DD8EF"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7</w:t>
            </w:r>
          </w:p>
        </w:tc>
      </w:tr>
      <w:tr w:rsidR="004F64EF" w:rsidRPr="003003C0" w14:paraId="1E51C027" w14:textId="77777777" w:rsidTr="00BE2A9F">
        <w:trPr>
          <w:cnfStyle w:val="000000010000" w:firstRow="0" w:lastRow="0" w:firstColumn="0" w:lastColumn="0" w:oddVBand="0" w:evenVBand="0" w:oddHBand="0" w:evenHBand="1" w:firstRowFirstColumn="0" w:firstRowLastColumn="0" w:lastRowFirstColumn="0" w:lastRowLastColumn="0"/>
          <w:trHeight w:val="20"/>
        </w:trPr>
        <w:tc>
          <w:tcPr>
            <w:tcW w:w="2137" w:type="pct"/>
            <w:noWrap/>
            <w:vAlign w:val="center"/>
            <w:hideMark/>
          </w:tcPr>
          <w:p w14:paraId="5CD9F746" w14:textId="77777777" w:rsidR="004F64EF" w:rsidRPr="003003C0" w:rsidRDefault="004F64EF" w:rsidP="00FD6B66">
            <w:pPr>
              <w:tabs>
                <w:tab w:val="left" w:pos="510"/>
              </w:tabs>
              <w:jc w:val="left"/>
              <w:rPr>
                <w:rFonts w:cs="Arial"/>
                <w:color w:val="000000"/>
                <w:sz w:val="14"/>
                <w:szCs w:val="14"/>
              </w:rPr>
            </w:pPr>
            <w:r w:rsidRPr="003003C0">
              <w:rPr>
                <w:rFonts w:cs="Arial"/>
                <w:color w:val="000000"/>
                <w:sz w:val="14"/>
                <w:szCs w:val="14"/>
              </w:rPr>
              <w:tab/>
              <w:t>Honduras</w:t>
            </w:r>
          </w:p>
        </w:tc>
        <w:tc>
          <w:tcPr>
            <w:tcW w:w="409" w:type="pct"/>
            <w:noWrap/>
            <w:vAlign w:val="center"/>
            <w:hideMark/>
          </w:tcPr>
          <w:p w14:paraId="30F03171"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4</w:t>
            </w:r>
          </w:p>
        </w:tc>
        <w:tc>
          <w:tcPr>
            <w:tcW w:w="409" w:type="pct"/>
            <w:noWrap/>
            <w:vAlign w:val="center"/>
            <w:hideMark/>
          </w:tcPr>
          <w:p w14:paraId="09A57CF1"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4</w:t>
            </w:r>
          </w:p>
        </w:tc>
        <w:tc>
          <w:tcPr>
            <w:tcW w:w="409" w:type="pct"/>
            <w:noWrap/>
            <w:vAlign w:val="center"/>
            <w:hideMark/>
          </w:tcPr>
          <w:p w14:paraId="2CB6E891"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4</w:t>
            </w:r>
          </w:p>
        </w:tc>
        <w:tc>
          <w:tcPr>
            <w:tcW w:w="409" w:type="pct"/>
            <w:noWrap/>
            <w:vAlign w:val="center"/>
            <w:hideMark/>
          </w:tcPr>
          <w:p w14:paraId="0004D34E"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4</w:t>
            </w:r>
          </w:p>
        </w:tc>
        <w:tc>
          <w:tcPr>
            <w:tcW w:w="409" w:type="pct"/>
            <w:noWrap/>
            <w:vAlign w:val="center"/>
            <w:hideMark/>
          </w:tcPr>
          <w:p w14:paraId="542AF588"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4</w:t>
            </w:r>
          </w:p>
        </w:tc>
        <w:tc>
          <w:tcPr>
            <w:tcW w:w="409" w:type="pct"/>
            <w:noWrap/>
            <w:vAlign w:val="center"/>
            <w:hideMark/>
          </w:tcPr>
          <w:p w14:paraId="0F1A43F8"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5</w:t>
            </w:r>
          </w:p>
        </w:tc>
        <w:tc>
          <w:tcPr>
            <w:tcW w:w="409" w:type="pct"/>
            <w:noWrap/>
            <w:vAlign w:val="center"/>
            <w:hideMark/>
          </w:tcPr>
          <w:p w14:paraId="7DAE2F19"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7</w:t>
            </w:r>
          </w:p>
        </w:tc>
      </w:tr>
      <w:tr w:rsidR="004F64EF" w:rsidRPr="003003C0" w14:paraId="4468D504" w14:textId="77777777" w:rsidTr="00BE2A9F">
        <w:trPr>
          <w:trHeight w:val="20"/>
        </w:trPr>
        <w:tc>
          <w:tcPr>
            <w:tcW w:w="2137" w:type="pct"/>
            <w:noWrap/>
            <w:vAlign w:val="center"/>
            <w:hideMark/>
          </w:tcPr>
          <w:p w14:paraId="41456B90" w14:textId="77777777" w:rsidR="004F64EF" w:rsidRPr="003003C0" w:rsidRDefault="004F64EF" w:rsidP="00FD6B66">
            <w:pPr>
              <w:tabs>
                <w:tab w:val="left" w:pos="510"/>
              </w:tabs>
              <w:jc w:val="left"/>
              <w:rPr>
                <w:rFonts w:cs="Arial"/>
                <w:color w:val="000000"/>
                <w:sz w:val="14"/>
                <w:szCs w:val="14"/>
              </w:rPr>
            </w:pPr>
            <w:r w:rsidRPr="003003C0">
              <w:rPr>
                <w:rFonts w:cs="Arial"/>
                <w:color w:val="000000"/>
                <w:sz w:val="14"/>
                <w:szCs w:val="14"/>
              </w:rPr>
              <w:tab/>
              <w:t>Canad</w:t>
            </w:r>
            <w:r>
              <w:rPr>
                <w:rFonts w:cs="Arial"/>
                <w:color w:val="000000"/>
                <w:sz w:val="14"/>
                <w:szCs w:val="14"/>
              </w:rPr>
              <w:t>a</w:t>
            </w:r>
          </w:p>
        </w:tc>
        <w:tc>
          <w:tcPr>
            <w:tcW w:w="409" w:type="pct"/>
            <w:noWrap/>
            <w:vAlign w:val="center"/>
            <w:hideMark/>
          </w:tcPr>
          <w:p w14:paraId="1F3C5386"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9</w:t>
            </w:r>
          </w:p>
        </w:tc>
        <w:tc>
          <w:tcPr>
            <w:tcW w:w="409" w:type="pct"/>
            <w:noWrap/>
            <w:vAlign w:val="center"/>
            <w:hideMark/>
          </w:tcPr>
          <w:p w14:paraId="685CF7D8"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6</w:t>
            </w:r>
          </w:p>
        </w:tc>
        <w:tc>
          <w:tcPr>
            <w:tcW w:w="409" w:type="pct"/>
            <w:noWrap/>
            <w:vAlign w:val="center"/>
            <w:hideMark/>
          </w:tcPr>
          <w:p w14:paraId="519D1433"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7</w:t>
            </w:r>
          </w:p>
        </w:tc>
        <w:tc>
          <w:tcPr>
            <w:tcW w:w="409" w:type="pct"/>
            <w:noWrap/>
            <w:vAlign w:val="center"/>
            <w:hideMark/>
          </w:tcPr>
          <w:p w14:paraId="121CD69A"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7</w:t>
            </w:r>
          </w:p>
        </w:tc>
        <w:tc>
          <w:tcPr>
            <w:tcW w:w="409" w:type="pct"/>
            <w:noWrap/>
            <w:vAlign w:val="center"/>
            <w:hideMark/>
          </w:tcPr>
          <w:p w14:paraId="77617EE6"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6</w:t>
            </w:r>
          </w:p>
        </w:tc>
        <w:tc>
          <w:tcPr>
            <w:tcW w:w="409" w:type="pct"/>
            <w:noWrap/>
            <w:vAlign w:val="center"/>
            <w:hideMark/>
          </w:tcPr>
          <w:p w14:paraId="724E3D28"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6</w:t>
            </w:r>
          </w:p>
        </w:tc>
        <w:tc>
          <w:tcPr>
            <w:tcW w:w="409" w:type="pct"/>
            <w:noWrap/>
            <w:vAlign w:val="center"/>
            <w:hideMark/>
          </w:tcPr>
          <w:p w14:paraId="3E8D0E42"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6</w:t>
            </w:r>
          </w:p>
        </w:tc>
      </w:tr>
      <w:tr w:rsidR="004F64EF" w:rsidRPr="003003C0" w14:paraId="1089A156" w14:textId="77777777" w:rsidTr="00BE2A9F">
        <w:trPr>
          <w:cnfStyle w:val="000000010000" w:firstRow="0" w:lastRow="0" w:firstColumn="0" w:lastColumn="0" w:oddVBand="0" w:evenVBand="0" w:oddHBand="0" w:evenHBand="1" w:firstRowFirstColumn="0" w:firstRowLastColumn="0" w:lastRowFirstColumn="0" w:lastRowLastColumn="0"/>
          <w:trHeight w:val="20"/>
        </w:trPr>
        <w:tc>
          <w:tcPr>
            <w:tcW w:w="2137" w:type="pct"/>
            <w:noWrap/>
            <w:vAlign w:val="center"/>
            <w:hideMark/>
          </w:tcPr>
          <w:p w14:paraId="04C0C888" w14:textId="77777777" w:rsidR="004F64EF" w:rsidRPr="003003C0" w:rsidRDefault="004F64EF" w:rsidP="00FD6B66">
            <w:pPr>
              <w:tabs>
                <w:tab w:val="left" w:pos="510"/>
              </w:tabs>
              <w:jc w:val="left"/>
              <w:rPr>
                <w:rFonts w:cs="Arial"/>
                <w:color w:val="000000"/>
                <w:sz w:val="14"/>
                <w:szCs w:val="14"/>
              </w:rPr>
            </w:pPr>
            <w:r w:rsidRPr="003003C0">
              <w:rPr>
                <w:rFonts w:cs="Arial"/>
                <w:color w:val="000000"/>
                <w:sz w:val="14"/>
                <w:szCs w:val="14"/>
              </w:rPr>
              <w:tab/>
              <w:t>Costa Rica</w:t>
            </w:r>
          </w:p>
        </w:tc>
        <w:tc>
          <w:tcPr>
            <w:tcW w:w="409" w:type="pct"/>
            <w:noWrap/>
            <w:vAlign w:val="center"/>
            <w:hideMark/>
          </w:tcPr>
          <w:p w14:paraId="72D9C738"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4</w:t>
            </w:r>
          </w:p>
        </w:tc>
        <w:tc>
          <w:tcPr>
            <w:tcW w:w="409" w:type="pct"/>
            <w:noWrap/>
            <w:vAlign w:val="center"/>
            <w:hideMark/>
          </w:tcPr>
          <w:p w14:paraId="27BCA9EE"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3</w:t>
            </w:r>
          </w:p>
        </w:tc>
        <w:tc>
          <w:tcPr>
            <w:tcW w:w="409" w:type="pct"/>
            <w:noWrap/>
            <w:vAlign w:val="center"/>
            <w:hideMark/>
          </w:tcPr>
          <w:p w14:paraId="0BCFC93C"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4</w:t>
            </w:r>
          </w:p>
        </w:tc>
        <w:tc>
          <w:tcPr>
            <w:tcW w:w="409" w:type="pct"/>
            <w:noWrap/>
            <w:vAlign w:val="center"/>
            <w:hideMark/>
          </w:tcPr>
          <w:p w14:paraId="3D67B7FF"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2</w:t>
            </w:r>
          </w:p>
        </w:tc>
        <w:tc>
          <w:tcPr>
            <w:tcW w:w="409" w:type="pct"/>
            <w:noWrap/>
            <w:vAlign w:val="center"/>
            <w:hideMark/>
          </w:tcPr>
          <w:p w14:paraId="4F0A8A20"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2</w:t>
            </w:r>
          </w:p>
        </w:tc>
        <w:tc>
          <w:tcPr>
            <w:tcW w:w="409" w:type="pct"/>
            <w:noWrap/>
            <w:vAlign w:val="center"/>
            <w:hideMark/>
          </w:tcPr>
          <w:p w14:paraId="6261DB51"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3</w:t>
            </w:r>
          </w:p>
        </w:tc>
        <w:tc>
          <w:tcPr>
            <w:tcW w:w="409" w:type="pct"/>
            <w:noWrap/>
            <w:vAlign w:val="center"/>
            <w:hideMark/>
          </w:tcPr>
          <w:p w14:paraId="5F27AFA1"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3</w:t>
            </w:r>
          </w:p>
        </w:tc>
      </w:tr>
      <w:tr w:rsidR="004F64EF" w:rsidRPr="003003C0" w14:paraId="681393E7" w14:textId="77777777" w:rsidTr="00BE2A9F">
        <w:trPr>
          <w:trHeight w:val="20"/>
        </w:trPr>
        <w:tc>
          <w:tcPr>
            <w:tcW w:w="2137" w:type="pct"/>
            <w:noWrap/>
            <w:vAlign w:val="center"/>
            <w:hideMark/>
          </w:tcPr>
          <w:p w14:paraId="0AFF1EA9" w14:textId="77777777" w:rsidR="004F64EF" w:rsidRPr="003003C0" w:rsidRDefault="004F64EF" w:rsidP="00FD6B66">
            <w:pPr>
              <w:tabs>
                <w:tab w:val="left" w:pos="510"/>
              </w:tabs>
              <w:jc w:val="left"/>
              <w:rPr>
                <w:rFonts w:cs="Arial"/>
                <w:color w:val="000000"/>
                <w:sz w:val="14"/>
                <w:szCs w:val="14"/>
              </w:rPr>
            </w:pPr>
            <w:r w:rsidRPr="003003C0">
              <w:rPr>
                <w:rFonts w:cs="Arial"/>
                <w:color w:val="000000"/>
                <w:sz w:val="14"/>
                <w:szCs w:val="14"/>
              </w:rPr>
              <w:tab/>
              <w:t>El Salvador</w:t>
            </w:r>
          </w:p>
        </w:tc>
        <w:tc>
          <w:tcPr>
            <w:tcW w:w="409" w:type="pct"/>
            <w:noWrap/>
            <w:vAlign w:val="center"/>
            <w:hideMark/>
          </w:tcPr>
          <w:p w14:paraId="7847F8A2"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1</w:t>
            </w:r>
          </w:p>
        </w:tc>
        <w:tc>
          <w:tcPr>
            <w:tcW w:w="409" w:type="pct"/>
            <w:noWrap/>
            <w:vAlign w:val="center"/>
            <w:hideMark/>
          </w:tcPr>
          <w:p w14:paraId="7C1A4460"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1</w:t>
            </w:r>
          </w:p>
        </w:tc>
        <w:tc>
          <w:tcPr>
            <w:tcW w:w="409" w:type="pct"/>
            <w:noWrap/>
            <w:vAlign w:val="center"/>
            <w:hideMark/>
          </w:tcPr>
          <w:p w14:paraId="16BE1BE0"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1</w:t>
            </w:r>
          </w:p>
        </w:tc>
        <w:tc>
          <w:tcPr>
            <w:tcW w:w="409" w:type="pct"/>
            <w:noWrap/>
            <w:vAlign w:val="center"/>
            <w:hideMark/>
          </w:tcPr>
          <w:p w14:paraId="164023BD"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1</w:t>
            </w:r>
          </w:p>
        </w:tc>
        <w:tc>
          <w:tcPr>
            <w:tcW w:w="409" w:type="pct"/>
            <w:noWrap/>
            <w:vAlign w:val="center"/>
            <w:hideMark/>
          </w:tcPr>
          <w:p w14:paraId="35A7C873"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1</w:t>
            </w:r>
          </w:p>
        </w:tc>
        <w:tc>
          <w:tcPr>
            <w:tcW w:w="409" w:type="pct"/>
            <w:noWrap/>
            <w:vAlign w:val="center"/>
            <w:hideMark/>
          </w:tcPr>
          <w:p w14:paraId="00C1C5DD"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2</w:t>
            </w:r>
          </w:p>
        </w:tc>
        <w:tc>
          <w:tcPr>
            <w:tcW w:w="409" w:type="pct"/>
            <w:noWrap/>
            <w:vAlign w:val="center"/>
            <w:hideMark/>
          </w:tcPr>
          <w:p w14:paraId="24D059D9"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3</w:t>
            </w:r>
          </w:p>
        </w:tc>
      </w:tr>
      <w:tr w:rsidR="004F64EF" w:rsidRPr="003003C0" w14:paraId="4D3CC9CB" w14:textId="77777777" w:rsidTr="00BE2A9F">
        <w:trPr>
          <w:cnfStyle w:val="000000010000" w:firstRow="0" w:lastRow="0" w:firstColumn="0" w:lastColumn="0" w:oddVBand="0" w:evenVBand="0" w:oddHBand="0" w:evenHBand="1" w:firstRowFirstColumn="0" w:firstRowLastColumn="0" w:lastRowFirstColumn="0" w:lastRowLastColumn="0"/>
          <w:trHeight w:val="20"/>
        </w:trPr>
        <w:tc>
          <w:tcPr>
            <w:tcW w:w="2137" w:type="pct"/>
            <w:noWrap/>
            <w:vAlign w:val="center"/>
            <w:hideMark/>
          </w:tcPr>
          <w:p w14:paraId="521DE17E" w14:textId="77777777" w:rsidR="004F64EF" w:rsidRPr="003003C0" w:rsidRDefault="004F64EF" w:rsidP="00FD6B66">
            <w:pPr>
              <w:tabs>
                <w:tab w:val="left" w:pos="510"/>
              </w:tabs>
              <w:jc w:val="left"/>
              <w:rPr>
                <w:rFonts w:cs="Arial"/>
                <w:color w:val="000000"/>
                <w:sz w:val="14"/>
                <w:szCs w:val="14"/>
              </w:rPr>
            </w:pPr>
            <w:r w:rsidRPr="003003C0">
              <w:rPr>
                <w:rFonts w:cs="Arial"/>
                <w:color w:val="000000"/>
                <w:sz w:val="14"/>
                <w:szCs w:val="14"/>
              </w:rPr>
              <w:tab/>
              <w:t>M</w:t>
            </w:r>
            <w:r>
              <w:rPr>
                <w:rFonts w:cs="Arial"/>
                <w:color w:val="000000"/>
                <w:sz w:val="14"/>
                <w:szCs w:val="14"/>
              </w:rPr>
              <w:t>e</w:t>
            </w:r>
            <w:r w:rsidRPr="003003C0">
              <w:rPr>
                <w:rFonts w:cs="Arial"/>
                <w:color w:val="000000"/>
                <w:sz w:val="14"/>
                <w:szCs w:val="14"/>
              </w:rPr>
              <w:t>xico</w:t>
            </w:r>
          </w:p>
        </w:tc>
        <w:tc>
          <w:tcPr>
            <w:tcW w:w="409" w:type="pct"/>
            <w:noWrap/>
            <w:vAlign w:val="center"/>
            <w:hideMark/>
          </w:tcPr>
          <w:p w14:paraId="5F607564"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4</w:t>
            </w:r>
          </w:p>
        </w:tc>
        <w:tc>
          <w:tcPr>
            <w:tcW w:w="409" w:type="pct"/>
            <w:noWrap/>
            <w:vAlign w:val="center"/>
            <w:hideMark/>
          </w:tcPr>
          <w:p w14:paraId="12845645"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4</w:t>
            </w:r>
          </w:p>
        </w:tc>
        <w:tc>
          <w:tcPr>
            <w:tcW w:w="409" w:type="pct"/>
            <w:noWrap/>
            <w:vAlign w:val="center"/>
            <w:hideMark/>
          </w:tcPr>
          <w:p w14:paraId="79EE5FD7"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2</w:t>
            </w:r>
          </w:p>
        </w:tc>
        <w:tc>
          <w:tcPr>
            <w:tcW w:w="409" w:type="pct"/>
            <w:noWrap/>
            <w:vAlign w:val="center"/>
            <w:hideMark/>
          </w:tcPr>
          <w:p w14:paraId="48DFC5F3"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5</w:t>
            </w:r>
          </w:p>
        </w:tc>
        <w:tc>
          <w:tcPr>
            <w:tcW w:w="409" w:type="pct"/>
            <w:noWrap/>
            <w:vAlign w:val="center"/>
            <w:hideMark/>
          </w:tcPr>
          <w:p w14:paraId="4BB9C515"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6</w:t>
            </w:r>
          </w:p>
        </w:tc>
        <w:tc>
          <w:tcPr>
            <w:tcW w:w="409" w:type="pct"/>
            <w:noWrap/>
            <w:vAlign w:val="center"/>
            <w:hideMark/>
          </w:tcPr>
          <w:p w14:paraId="30CA8D3F"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6</w:t>
            </w:r>
          </w:p>
        </w:tc>
        <w:tc>
          <w:tcPr>
            <w:tcW w:w="409" w:type="pct"/>
            <w:noWrap/>
            <w:vAlign w:val="center"/>
            <w:hideMark/>
          </w:tcPr>
          <w:p w14:paraId="659982D3"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2</w:t>
            </w:r>
          </w:p>
        </w:tc>
      </w:tr>
      <w:tr w:rsidR="004F64EF" w:rsidRPr="003003C0" w14:paraId="16ABB40E" w14:textId="77777777" w:rsidTr="00BE2A9F">
        <w:trPr>
          <w:trHeight w:val="20"/>
        </w:trPr>
        <w:tc>
          <w:tcPr>
            <w:tcW w:w="2137" w:type="pct"/>
            <w:noWrap/>
            <w:vAlign w:val="center"/>
            <w:hideMark/>
          </w:tcPr>
          <w:p w14:paraId="3016553A" w14:textId="77777777" w:rsidR="004F64EF" w:rsidRPr="003003C0" w:rsidRDefault="004F64EF" w:rsidP="00FD6B66">
            <w:pPr>
              <w:tabs>
                <w:tab w:val="left" w:pos="510"/>
              </w:tabs>
              <w:jc w:val="left"/>
              <w:rPr>
                <w:rFonts w:cs="Arial"/>
                <w:color w:val="000000"/>
                <w:sz w:val="14"/>
                <w:szCs w:val="14"/>
              </w:rPr>
            </w:pPr>
            <w:r w:rsidRPr="003003C0">
              <w:rPr>
                <w:rFonts w:cs="Arial"/>
                <w:color w:val="000000"/>
                <w:sz w:val="14"/>
                <w:szCs w:val="14"/>
              </w:rPr>
              <w:tab/>
              <w:t>Guatemala</w:t>
            </w:r>
          </w:p>
        </w:tc>
        <w:tc>
          <w:tcPr>
            <w:tcW w:w="409" w:type="pct"/>
            <w:noWrap/>
            <w:vAlign w:val="center"/>
            <w:hideMark/>
          </w:tcPr>
          <w:p w14:paraId="63D05BCC"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4</w:t>
            </w:r>
          </w:p>
        </w:tc>
        <w:tc>
          <w:tcPr>
            <w:tcW w:w="409" w:type="pct"/>
            <w:noWrap/>
            <w:vAlign w:val="center"/>
            <w:hideMark/>
          </w:tcPr>
          <w:p w14:paraId="4B5E971F"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2</w:t>
            </w:r>
          </w:p>
        </w:tc>
        <w:tc>
          <w:tcPr>
            <w:tcW w:w="409" w:type="pct"/>
            <w:noWrap/>
            <w:vAlign w:val="center"/>
            <w:hideMark/>
          </w:tcPr>
          <w:p w14:paraId="06D85D54"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3</w:t>
            </w:r>
          </w:p>
        </w:tc>
        <w:tc>
          <w:tcPr>
            <w:tcW w:w="409" w:type="pct"/>
            <w:noWrap/>
            <w:vAlign w:val="center"/>
            <w:hideMark/>
          </w:tcPr>
          <w:p w14:paraId="3581038F"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2</w:t>
            </w:r>
          </w:p>
        </w:tc>
        <w:tc>
          <w:tcPr>
            <w:tcW w:w="409" w:type="pct"/>
            <w:noWrap/>
            <w:vAlign w:val="center"/>
            <w:hideMark/>
          </w:tcPr>
          <w:p w14:paraId="31724696"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2</w:t>
            </w:r>
          </w:p>
        </w:tc>
        <w:tc>
          <w:tcPr>
            <w:tcW w:w="409" w:type="pct"/>
            <w:noWrap/>
            <w:vAlign w:val="center"/>
            <w:hideMark/>
          </w:tcPr>
          <w:p w14:paraId="080AC6D5"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3</w:t>
            </w:r>
          </w:p>
        </w:tc>
        <w:tc>
          <w:tcPr>
            <w:tcW w:w="409" w:type="pct"/>
            <w:noWrap/>
            <w:vAlign w:val="center"/>
            <w:hideMark/>
          </w:tcPr>
          <w:p w14:paraId="207A80CB"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2</w:t>
            </w:r>
          </w:p>
        </w:tc>
      </w:tr>
      <w:tr w:rsidR="004F64EF" w:rsidRPr="003003C0" w14:paraId="02F97E86" w14:textId="77777777" w:rsidTr="00BE2A9F">
        <w:trPr>
          <w:cnfStyle w:val="000000010000" w:firstRow="0" w:lastRow="0" w:firstColumn="0" w:lastColumn="0" w:oddVBand="0" w:evenVBand="0" w:oddHBand="0" w:evenHBand="1" w:firstRowFirstColumn="0" w:firstRowLastColumn="0" w:lastRowFirstColumn="0" w:lastRowLastColumn="0"/>
          <w:trHeight w:val="20"/>
        </w:trPr>
        <w:tc>
          <w:tcPr>
            <w:tcW w:w="2137" w:type="pct"/>
            <w:noWrap/>
            <w:vAlign w:val="center"/>
            <w:hideMark/>
          </w:tcPr>
          <w:p w14:paraId="54273B6D" w14:textId="77777777" w:rsidR="004F64EF" w:rsidRPr="003003C0" w:rsidRDefault="004F64EF" w:rsidP="00FD6B66">
            <w:pPr>
              <w:tabs>
                <w:tab w:val="left" w:pos="510"/>
              </w:tabs>
              <w:jc w:val="left"/>
              <w:rPr>
                <w:rFonts w:cs="Arial"/>
                <w:color w:val="000000"/>
                <w:sz w:val="14"/>
                <w:szCs w:val="14"/>
              </w:rPr>
            </w:pPr>
            <w:r w:rsidRPr="003003C0">
              <w:rPr>
                <w:rFonts w:cs="Arial"/>
                <w:color w:val="000000"/>
                <w:sz w:val="14"/>
                <w:szCs w:val="14"/>
              </w:rPr>
              <w:tab/>
              <w:t>Bra</w:t>
            </w:r>
            <w:r>
              <w:rPr>
                <w:rFonts w:cs="Arial"/>
                <w:color w:val="000000"/>
                <w:sz w:val="14"/>
                <w:szCs w:val="14"/>
              </w:rPr>
              <w:t>z</w:t>
            </w:r>
            <w:r w:rsidRPr="003003C0">
              <w:rPr>
                <w:rFonts w:cs="Arial"/>
                <w:color w:val="000000"/>
                <w:sz w:val="14"/>
                <w:szCs w:val="14"/>
              </w:rPr>
              <w:t>il</w:t>
            </w:r>
          </w:p>
        </w:tc>
        <w:tc>
          <w:tcPr>
            <w:tcW w:w="409" w:type="pct"/>
            <w:noWrap/>
            <w:vAlign w:val="center"/>
            <w:hideMark/>
          </w:tcPr>
          <w:p w14:paraId="001FA33C"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1</w:t>
            </w:r>
          </w:p>
        </w:tc>
        <w:tc>
          <w:tcPr>
            <w:tcW w:w="409" w:type="pct"/>
            <w:noWrap/>
            <w:vAlign w:val="center"/>
            <w:hideMark/>
          </w:tcPr>
          <w:p w14:paraId="58C5F815"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0</w:t>
            </w:r>
          </w:p>
        </w:tc>
        <w:tc>
          <w:tcPr>
            <w:tcW w:w="409" w:type="pct"/>
            <w:noWrap/>
            <w:vAlign w:val="center"/>
            <w:hideMark/>
          </w:tcPr>
          <w:p w14:paraId="3DCB1BD1"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0</w:t>
            </w:r>
          </w:p>
        </w:tc>
        <w:tc>
          <w:tcPr>
            <w:tcW w:w="409" w:type="pct"/>
            <w:noWrap/>
            <w:vAlign w:val="center"/>
            <w:hideMark/>
          </w:tcPr>
          <w:p w14:paraId="33F6EF27"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2</w:t>
            </w:r>
          </w:p>
        </w:tc>
        <w:tc>
          <w:tcPr>
            <w:tcW w:w="409" w:type="pct"/>
            <w:noWrap/>
            <w:vAlign w:val="center"/>
            <w:hideMark/>
          </w:tcPr>
          <w:p w14:paraId="234176EC"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3</w:t>
            </w:r>
          </w:p>
        </w:tc>
        <w:tc>
          <w:tcPr>
            <w:tcW w:w="409" w:type="pct"/>
            <w:noWrap/>
            <w:vAlign w:val="center"/>
            <w:hideMark/>
          </w:tcPr>
          <w:p w14:paraId="217C07B7"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3</w:t>
            </w:r>
          </w:p>
        </w:tc>
        <w:tc>
          <w:tcPr>
            <w:tcW w:w="409" w:type="pct"/>
            <w:noWrap/>
            <w:vAlign w:val="center"/>
            <w:hideMark/>
          </w:tcPr>
          <w:p w14:paraId="2E40B200"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2</w:t>
            </w:r>
          </w:p>
        </w:tc>
      </w:tr>
      <w:tr w:rsidR="004F64EF" w:rsidRPr="003003C0" w14:paraId="5AA51652" w14:textId="77777777" w:rsidTr="00BE2A9F">
        <w:trPr>
          <w:trHeight w:val="20"/>
        </w:trPr>
        <w:tc>
          <w:tcPr>
            <w:tcW w:w="2137" w:type="pct"/>
            <w:noWrap/>
            <w:vAlign w:val="center"/>
            <w:hideMark/>
          </w:tcPr>
          <w:p w14:paraId="387789F6" w14:textId="77777777" w:rsidR="004F64EF" w:rsidRPr="003003C0" w:rsidRDefault="004F64EF" w:rsidP="00FD6B66">
            <w:pPr>
              <w:tabs>
                <w:tab w:val="left" w:pos="510"/>
              </w:tabs>
              <w:jc w:val="left"/>
              <w:rPr>
                <w:rFonts w:cs="Arial"/>
                <w:color w:val="000000"/>
                <w:sz w:val="14"/>
                <w:szCs w:val="14"/>
              </w:rPr>
            </w:pPr>
            <w:r w:rsidRPr="003003C0">
              <w:rPr>
                <w:rFonts w:cs="Arial"/>
                <w:color w:val="000000"/>
                <w:sz w:val="14"/>
                <w:szCs w:val="14"/>
              </w:rPr>
              <w:tab/>
              <w:t>Ecuador</w:t>
            </w:r>
          </w:p>
        </w:tc>
        <w:tc>
          <w:tcPr>
            <w:tcW w:w="409" w:type="pct"/>
            <w:noWrap/>
            <w:vAlign w:val="center"/>
            <w:hideMark/>
          </w:tcPr>
          <w:p w14:paraId="5CF46D72"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1</w:t>
            </w:r>
          </w:p>
        </w:tc>
        <w:tc>
          <w:tcPr>
            <w:tcW w:w="409" w:type="pct"/>
            <w:noWrap/>
            <w:vAlign w:val="center"/>
            <w:hideMark/>
          </w:tcPr>
          <w:p w14:paraId="28179F68"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2</w:t>
            </w:r>
          </w:p>
        </w:tc>
        <w:tc>
          <w:tcPr>
            <w:tcW w:w="409" w:type="pct"/>
            <w:noWrap/>
            <w:vAlign w:val="center"/>
            <w:hideMark/>
          </w:tcPr>
          <w:p w14:paraId="2D4B2F53"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3</w:t>
            </w:r>
          </w:p>
        </w:tc>
        <w:tc>
          <w:tcPr>
            <w:tcW w:w="409" w:type="pct"/>
            <w:noWrap/>
            <w:vAlign w:val="center"/>
            <w:hideMark/>
          </w:tcPr>
          <w:p w14:paraId="38635520"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3</w:t>
            </w:r>
          </w:p>
        </w:tc>
        <w:tc>
          <w:tcPr>
            <w:tcW w:w="409" w:type="pct"/>
            <w:noWrap/>
            <w:vAlign w:val="center"/>
            <w:hideMark/>
          </w:tcPr>
          <w:p w14:paraId="55C57B86"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2</w:t>
            </w:r>
          </w:p>
        </w:tc>
        <w:tc>
          <w:tcPr>
            <w:tcW w:w="409" w:type="pct"/>
            <w:noWrap/>
            <w:vAlign w:val="center"/>
            <w:hideMark/>
          </w:tcPr>
          <w:p w14:paraId="1420A7C9"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3</w:t>
            </w:r>
          </w:p>
        </w:tc>
        <w:tc>
          <w:tcPr>
            <w:tcW w:w="409" w:type="pct"/>
            <w:noWrap/>
            <w:vAlign w:val="center"/>
            <w:hideMark/>
          </w:tcPr>
          <w:p w14:paraId="43D19745"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2</w:t>
            </w:r>
          </w:p>
        </w:tc>
      </w:tr>
      <w:tr w:rsidR="004F64EF" w:rsidRPr="003003C0" w14:paraId="0116EB0B" w14:textId="77777777" w:rsidTr="00BE2A9F">
        <w:trPr>
          <w:cnfStyle w:val="000000010000" w:firstRow="0" w:lastRow="0" w:firstColumn="0" w:lastColumn="0" w:oddVBand="0" w:evenVBand="0" w:oddHBand="0" w:evenHBand="1" w:firstRowFirstColumn="0" w:firstRowLastColumn="0" w:lastRowFirstColumn="0" w:lastRowLastColumn="0"/>
          <w:trHeight w:val="20"/>
        </w:trPr>
        <w:tc>
          <w:tcPr>
            <w:tcW w:w="2137" w:type="pct"/>
            <w:noWrap/>
            <w:vAlign w:val="center"/>
            <w:hideMark/>
          </w:tcPr>
          <w:p w14:paraId="0A5622FB" w14:textId="77777777" w:rsidR="004F64EF" w:rsidRPr="003003C0" w:rsidRDefault="004F64EF" w:rsidP="00FD6B66">
            <w:pPr>
              <w:tabs>
                <w:tab w:val="left" w:pos="510"/>
              </w:tabs>
              <w:jc w:val="left"/>
              <w:rPr>
                <w:rFonts w:cs="Arial"/>
                <w:color w:val="000000"/>
                <w:sz w:val="14"/>
                <w:szCs w:val="14"/>
              </w:rPr>
            </w:pPr>
            <w:r w:rsidRPr="003003C0">
              <w:rPr>
                <w:rFonts w:cs="Arial"/>
                <w:color w:val="000000"/>
                <w:sz w:val="14"/>
                <w:szCs w:val="14"/>
              </w:rPr>
              <w:tab/>
              <w:t>Chile</w:t>
            </w:r>
          </w:p>
        </w:tc>
        <w:tc>
          <w:tcPr>
            <w:tcW w:w="409" w:type="pct"/>
            <w:noWrap/>
            <w:vAlign w:val="center"/>
            <w:hideMark/>
          </w:tcPr>
          <w:p w14:paraId="2588ACD6"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1</w:t>
            </w:r>
          </w:p>
        </w:tc>
        <w:tc>
          <w:tcPr>
            <w:tcW w:w="409" w:type="pct"/>
            <w:noWrap/>
            <w:vAlign w:val="center"/>
            <w:hideMark/>
          </w:tcPr>
          <w:p w14:paraId="075B4352"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1</w:t>
            </w:r>
          </w:p>
        </w:tc>
        <w:tc>
          <w:tcPr>
            <w:tcW w:w="409" w:type="pct"/>
            <w:noWrap/>
            <w:vAlign w:val="center"/>
            <w:hideMark/>
          </w:tcPr>
          <w:p w14:paraId="53324F65"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1</w:t>
            </w:r>
          </w:p>
        </w:tc>
        <w:tc>
          <w:tcPr>
            <w:tcW w:w="409" w:type="pct"/>
            <w:noWrap/>
            <w:vAlign w:val="center"/>
            <w:hideMark/>
          </w:tcPr>
          <w:p w14:paraId="4C1CAEC8"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1</w:t>
            </w:r>
          </w:p>
        </w:tc>
        <w:tc>
          <w:tcPr>
            <w:tcW w:w="409" w:type="pct"/>
            <w:noWrap/>
            <w:vAlign w:val="center"/>
            <w:hideMark/>
          </w:tcPr>
          <w:p w14:paraId="036A0760"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1</w:t>
            </w:r>
          </w:p>
        </w:tc>
        <w:tc>
          <w:tcPr>
            <w:tcW w:w="409" w:type="pct"/>
            <w:noWrap/>
            <w:vAlign w:val="center"/>
            <w:hideMark/>
          </w:tcPr>
          <w:p w14:paraId="15A9A3C0"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2</w:t>
            </w:r>
          </w:p>
        </w:tc>
        <w:tc>
          <w:tcPr>
            <w:tcW w:w="409" w:type="pct"/>
            <w:noWrap/>
            <w:vAlign w:val="center"/>
            <w:hideMark/>
          </w:tcPr>
          <w:p w14:paraId="27FBC73B"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2</w:t>
            </w:r>
          </w:p>
        </w:tc>
      </w:tr>
      <w:tr w:rsidR="004F64EF" w:rsidRPr="003003C0" w14:paraId="55903524" w14:textId="77777777" w:rsidTr="00BE2A9F">
        <w:trPr>
          <w:trHeight w:val="20"/>
        </w:trPr>
        <w:tc>
          <w:tcPr>
            <w:tcW w:w="2137" w:type="pct"/>
            <w:noWrap/>
            <w:vAlign w:val="center"/>
            <w:hideMark/>
          </w:tcPr>
          <w:p w14:paraId="6743B8D8" w14:textId="77777777" w:rsidR="004F64EF" w:rsidRPr="003003C0" w:rsidRDefault="004F64EF" w:rsidP="00FD6B66">
            <w:pPr>
              <w:tabs>
                <w:tab w:val="left" w:pos="510"/>
              </w:tabs>
              <w:jc w:val="left"/>
              <w:rPr>
                <w:rFonts w:cs="Arial"/>
                <w:color w:val="000000"/>
                <w:sz w:val="14"/>
                <w:szCs w:val="14"/>
              </w:rPr>
            </w:pPr>
            <w:r w:rsidRPr="003003C0">
              <w:rPr>
                <w:rFonts w:cs="Arial"/>
                <w:color w:val="000000"/>
                <w:sz w:val="14"/>
                <w:szCs w:val="14"/>
              </w:rPr>
              <w:tab/>
              <w:t>Jamaica</w:t>
            </w:r>
          </w:p>
        </w:tc>
        <w:tc>
          <w:tcPr>
            <w:tcW w:w="409" w:type="pct"/>
            <w:noWrap/>
            <w:vAlign w:val="center"/>
            <w:hideMark/>
          </w:tcPr>
          <w:p w14:paraId="2C172AFC"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2</w:t>
            </w:r>
          </w:p>
        </w:tc>
        <w:tc>
          <w:tcPr>
            <w:tcW w:w="409" w:type="pct"/>
            <w:noWrap/>
            <w:vAlign w:val="center"/>
            <w:hideMark/>
          </w:tcPr>
          <w:p w14:paraId="0FD8D5CC"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1</w:t>
            </w:r>
          </w:p>
        </w:tc>
        <w:tc>
          <w:tcPr>
            <w:tcW w:w="409" w:type="pct"/>
            <w:noWrap/>
            <w:vAlign w:val="center"/>
            <w:hideMark/>
          </w:tcPr>
          <w:p w14:paraId="0C8EBB32"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1</w:t>
            </w:r>
          </w:p>
        </w:tc>
        <w:tc>
          <w:tcPr>
            <w:tcW w:w="409" w:type="pct"/>
            <w:noWrap/>
            <w:vAlign w:val="center"/>
            <w:hideMark/>
          </w:tcPr>
          <w:p w14:paraId="5AB01699"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2</w:t>
            </w:r>
          </w:p>
        </w:tc>
        <w:tc>
          <w:tcPr>
            <w:tcW w:w="409" w:type="pct"/>
            <w:noWrap/>
            <w:vAlign w:val="center"/>
            <w:hideMark/>
          </w:tcPr>
          <w:p w14:paraId="305FD695"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2</w:t>
            </w:r>
          </w:p>
        </w:tc>
        <w:tc>
          <w:tcPr>
            <w:tcW w:w="409" w:type="pct"/>
            <w:noWrap/>
            <w:vAlign w:val="center"/>
            <w:hideMark/>
          </w:tcPr>
          <w:p w14:paraId="67B7D44A"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1</w:t>
            </w:r>
          </w:p>
        </w:tc>
        <w:tc>
          <w:tcPr>
            <w:tcW w:w="409" w:type="pct"/>
            <w:noWrap/>
            <w:vAlign w:val="center"/>
            <w:hideMark/>
          </w:tcPr>
          <w:p w14:paraId="125803A3"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2</w:t>
            </w:r>
          </w:p>
        </w:tc>
      </w:tr>
      <w:tr w:rsidR="004F64EF" w:rsidRPr="003003C0" w14:paraId="6C654D4E" w14:textId="77777777" w:rsidTr="00BE2A9F">
        <w:trPr>
          <w:cnfStyle w:val="000000010000" w:firstRow="0" w:lastRow="0" w:firstColumn="0" w:lastColumn="0" w:oddVBand="0" w:evenVBand="0" w:oddHBand="0" w:evenHBand="1" w:firstRowFirstColumn="0" w:firstRowLastColumn="0" w:lastRowFirstColumn="0" w:lastRowLastColumn="0"/>
          <w:trHeight w:val="20"/>
        </w:trPr>
        <w:tc>
          <w:tcPr>
            <w:tcW w:w="2137" w:type="pct"/>
            <w:noWrap/>
            <w:vAlign w:val="center"/>
            <w:hideMark/>
          </w:tcPr>
          <w:p w14:paraId="1853975F" w14:textId="77777777" w:rsidR="004F64EF" w:rsidRPr="003003C0" w:rsidRDefault="004F64EF" w:rsidP="00FD6B66">
            <w:pPr>
              <w:tabs>
                <w:tab w:val="left" w:pos="510"/>
              </w:tabs>
              <w:jc w:val="left"/>
              <w:rPr>
                <w:rFonts w:cs="Arial"/>
                <w:color w:val="000000"/>
                <w:sz w:val="14"/>
                <w:szCs w:val="14"/>
              </w:rPr>
            </w:pPr>
            <w:r w:rsidRPr="003003C0">
              <w:rPr>
                <w:rFonts w:cs="Arial"/>
                <w:color w:val="000000"/>
                <w:sz w:val="14"/>
                <w:szCs w:val="14"/>
              </w:rPr>
              <w:tab/>
              <w:t>Panam</w:t>
            </w:r>
            <w:r>
              <w:rPr>
                <w:rFonts w:cs="Arial"/>
                <w:color w:val="000000"/>
                <w:sz w:val="14"/>
                <w:szCs w:val="14"/>
              </w:rPr>
              <w:t>a</w:t>
            </w:r>
          </w:p>
        </w:tc>
        <w:tc>
          <w:tcPr>
            <w:tcW w:w="409" w:type="pct"/>
            <w:noWrap/>
            <w:vAlign w:val="center"/>
            <w:hideMark/>
          </w:tcPr>
          <w:p w14:paraId="59E2E390"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2</w:t>
            </w:r>
          </w:p>
        </w:tc>
        <w:tc>
          <w:tcPr>
            <w:tcW w:w="409" w:type="pct"/>
            <w:noWrap/>
            <w:vAlign w:val="center"/>
            <w:hideMark/>
          </w:tcPr>
          <w:p w14:paraId="7040F329"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5</w:t>
            </w:r>
          </w:p>
        </w:tc>
        <w:tc>
          <w:tcPr>
            <w:tcW w:w="409" w:type="pct"/>
            <w:noWrap/>
            <w:vAlign w:val="center"/>
            <w:hideMark/>
          </w:tcPr>
          <w:p w14:paraId="06BD62A9"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6</w:t>
            </w:r>
          </w:p>
        </w:tc>
        <w:tc>
          <w:tcPr>
            <w:tcW w:w="409" w:type="pct"/>
            <w:noWrap/>
            <w:vAlign w:val="center"/>
            <w:hideMark/>
          </w:tcPr>
          <w:p w14:paraId="2A7E9D20"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6</w:t>
            </w:r>
          </w:p>
        </w:tc>
        <w:tc>
          <w:tcPr>
            <w:tcW w:w="409" w:type="pct"/>
            <w:noWrap/>
            <w:vAlign w:val="center"/>
            <w:hideMark/>
          </w:tcPr>
          <w:p w14:paraId="565EA326"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3</w:t>
            </w:r>
          </w:p>
        </w:tc>
        <w:tc>
          <w:tcPr>
            <w:tcW w:w="409" w:type="pct"/>
            <w:noWrap/>
            <w:vAlign w:val="center"/>
            <w:hideMark/>
          </w:tcPr>
          <w:p w14:paraId="07A5D06F"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2</w:t>
            </w:r>
          </w:p>
        </w:tc>
        <w:tc>
          <w:tcPr>
            <w:tcW w:w="409" w:type="pct"/>
            <w:noWrap/>
            <w:vAlign w:val="center"/>
            <w:hideMark/>
          </w:tcPr>
          <w:p w14:paraId="7F39EDD0"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2</w:t>
            </w:r>
          </w:p>
        </w:tc>
      </w:tr>
      <w:tr w:rsidR="004F64EF" w:rsidRPr="003003C0" w14:paraId="431EE95F" w14:textId="77777777" w:rsidTr="00BE2A9F">
        <w:trPr>
          <w:trHeight w:val="20"/>
        </w:trPr>
        <w:tc>
          <w:tcPr>
            <w:tcW w:w="2137" w:type="pct"/>
            <w:noWrap/>
            <w:vAlign w:val="center"/>
            <w:hideMark/>
          </w:tcPr>
          <w:p w14:paraId="05539636" w14:textId="77777777" w:rsidR="004F64EF" w:rsidRPr="003003C0" w:rsidRDefault="004F64EF" w:rsidP="00FD6B66">
            <w:pPr>
              <w:jc w:val="left"/>
              <w:rPr>
                <w:rFonts w:cs="Arial"/>
                <w:color w:val="000000"/>
                <w:sz w:val="14"/>
                <w:szCs w:val="14"/>
              </w:rPr>
            </w:pPr>
            <w:r w:rsidRPr="003003C0">
              <w:rPr>
                <w:rFonts w:cs="Arial"/>
                <w:color w:val="000000"/>
                <w:sz w:val="14"/>
                <w:szCs w:val="14"/>
              </w:rPr>
              <w:t>Europ</w:t>
            </w:r>
            <w:r>
              <w:rPr>
                <w:rFonts w:cs="Arial"/>
                <w:color w:val="000000"/>
                <w:sz w:val="14"/>
                <w:szCs w:val="14"/>
              </w:rPr>
              <w:t>e</w:t>
            </w:r>
          </w:p>
        </w:tc>
        <w:tc>
          <w:tcPr>
            <w:tcW w:w="409" w:type="pct"/>
            <w:noWrap/>
            <w:vAlign w:val="center"/>
            <w:hideMark/>
          </w:tcPr>
          <w:p w14:paraId="72B6463E" w14:textId="77777777" w:rsidR="004F64EF" w:rsidRPr="003003C0" w:rsidRDefault="004F64EF" w:rsidP="00FD6B66">
            <w:pPr>
              <w:jc w:val="right"/>
              <w:rPr>
                <w:rFonts w:cs="Arial"/>
                <w:color w:val="000000"/>
                <w:sz w:val="14"/>
                <w:szCs w:val="14"/>
              </w:rPr>
            </w:pPr>
            <w:r w:rsidRPr="003003C0">
              <w:rPr>
                <w:rFonts w:cs="Arial"/>
                <w:color w:val="000000"/>
                <w:sz w:val="14"/>
                <w:szCs w:val="14"/>
              </w:rPr>
              <w:t>7</w:t>
            </w:r>
            <w:r>
              <w:rPr>
                <w:rFonts w:cs="Arial"/>
                <w:color w:val="000000"/>
                <w:sz w:val="14"/>
                <w:szCs w:val="14"/>
              </w:rPr>
              <w:t>.</w:t>
            </w:r>
            <w:r w:rsidRPr="003003C0">
              <w:rPr>
                <w:rFonts w:cs="Arial"/>
                <w:color w:val="000000"/>
                <w:sz w:val="14"/>
                <w:szCs w:val="14"/>
              </w:rPr>
              <w:t>2</w:t>
            </w:r>
          </w:p>
        </w:tc>
        <w:tc>
          <w:tcPr>
            <w:tcW w:w="409" w:type="pct"/>
            <w:noWrap/>
            <w:vAlign w:val="center"/>
            <w:hideMark/>
          </w:tcPr>
          <w:p w14:paraId="55B1B44E" w14:textId="77777777" w:rsidR="004F64EF" w:rsidRPr="003003C0" w:rsidRDefault="004F64EF" w:rsidP="00FD6B66">
            <w:pPr>
              <w:jc w:val="right"/>
              <w:rPr>
                <w:rFonts w:cs="Arial"/>
                <w:color w:val="000000"/>
                <w:sz w:val="14"/>
                <w:szCs w:val="14"/>
              </w:rPr>
            </w:pPr>
            <w:r w:rsidRPr="003003C0">
              <w:rPr>
                <w:rFonts w:cs="Arial"/>
                <w:color w:val="000000"/>
                <w:sz w:val="14"/>
                <w:szCs w:val="14"/>
              </w:rPr>
              <w:t>8</w:t>
            </w:r>
            <w:r>
              <w:rPr>
                <w:rFonts w:cs="Arial"/>
                <w:color w:val="000000"/>
                <w:sz w:val="14"/>
                <w:szCs w:val="14"/>
              </w:rPr>
              <w:t>.</w:t>
            </w:r>
            <w:r w:rsidRPr="003003C0">
              <w:rPr>
                <w:rFonts w:cs="Arial"/>
                <w:color w:val="000000"/>
                <w:sz w:val="14"/>
                <w:szCs w:val="14"/>
              </w:rPr>
              <w:t>0</w:t>
            </w:r>
          </w:p>
        </w:tc>
        <w:tc>
          <w:tcPr>
            <w:tcW w:w="409" w:type="pct"/>
            <w:noWrap/>
            <w:vAlign w:val="center"/>
            <w:hideMark/>
          </w:tcPr>
          <w:p w14:paraId="1D5EF0E0" w14:textId="77777777" w:rsidR="004F64EF" w:rsidRPr="003003C0" w:rsidRDefault="004F64EF" w:rsidP="00FD6B66">
            <w:pPr>
              <w:jc w:val="right"/>
              <w:rPr>
                <w:rFonts w:cs="Arial"/>
                <w:color w:val="000000"/>
                <w:sz w:val="14"/>
                <w:szCs w:val="14"/>
              </w:rPr>
            </w:pPr>
            <w:r w:rsidRPr="003003C0">
              <w:rPr>
                <w:rFonts w:cs="Arial"/>
                <w:color w:val="000000"/>
                <w:sz w:val="14"/>
                <w:szCs w:val="14"/>
              </w:rPr>
              <w:t>6</w:t>
            </w:r>
            <w:r>
              <w:rPr>
                <w:rFonts w:cs="Arial"/>
                <w:color w:val="000000"/>
                <w:sz w:val="14"/>
                <w:szCs w:val="14"/>
              </w:rPr>
              <w:t>.</w:t>
            </w:r>
            <w:r w:rsidRPr="003003C0">
              <w:rPr>
                <w:rFonts w:cs="Arial"/>
                <w:color w:val="000000"/>
                <w:sz w:val="14"/>
                <w:szCs w:val="14"/>
              </w:rPr>
              <w:t>7</w:t>
            </w:r>
          </w:p>
        </w:tc>
        <w:tc>
          <w:tcPr>
            <w:tcW w:w="409" w:type="pct"/>
            <w:noWrap/>
            <w:vAlign w:val="center"/>
            <w:hideMark/>
          </w:tcPr>
          <w:p w14:paraId="5E4B815D" w14:textId="77777777" w:rsidR="004F64EF" w:rsidRPr="003003C0" w:rsidRDefault="004F64EF" w:rsidP="00FD6B66">
            <w:pPr>
              <w:jc w:val="right"/>
              <w:rPr>
                <w:rFonts w:cs="Arial"/>
                <w:color w:val="000000"/>
                <w:sz w:val="14"/>
                <w:szCs w:val="14"/>
              </w:rPr>
            </w:pPr>
            <w:r w:rsidRPr="003003C0">
              <w:rPr>
                <w:rFonts w:cs="Arial"/>
                <w:color w:val="000000"/>
                <w:sz w:val="14"/>
                <w:szCs w:val="14"/>
              </w:rPr>
              <w:t>6</w:t>
            </w:r>
            <w:r>
              <w:rPr>
                <w:rFonts w:cs="Arial"/>
                <w:color w:val="000000"/>
                <w:sz w:val="14"/>
                <w:szCs w:val="14"/>
              </w:rPr>
              <w:t>.</w:t>
            </w:r>
            <w:r w:rsidRPr="003003C0">
              <w:rPr>
                <w:rFonts w:cs="Arial"/>
                <w:color w:val="000000"/>
                <w:sz w:val="14"/>
                <w:szCs w:val="14"/>
              </w:rPr>
              <w:t>7</w:t>
            </w:r>
          </w:p>
        </w:tc>
        <w:tc>
          <w:tcPr>
            <w:tcW w:w="409" w:type="pct"/>
            <w:noWrap/>
            <w:vAlign w:val="center"/>
            <w:hideMark/>
          </w:tcPr>
          <w:p w14:paraId="11AEAB46" w14:textId="77777777" w:rsidR="004F64EF" w:rsidRPr="003003C0" w:rsidRDefault="004F64EF" w:rsidP="00FD6B66">
            <w:pPr>
              <w:jc w:val="right"/>
              <w:rPr>
                <w:rFonts w:cs="Arial"/>
                <w:color w:val="000000"/>
                <w:sz w:val="14"/>
                <w:szCs w:val="14"/>
              </w:rPr>
            </w:pPr>
            <w:r w:rsidRPr="003003C0">
              <w:rPr>
                <w:rFonts w:cs="Arial"/>
                <w:color w:val="000000"/>
                <w:sz w:val="14"/>
                <w:szCs w:val="14"/>
              </w:rPr>
              <w:t>6</w:t>
            </w:r>
            <w:r>
              <w:rPr>
                <w:rFonts w:cs="Arial"/>
                <w:color w:val="000000"/>
                <w:sz w:val="14"/>
                <w:szCs w:val="14"/>
              </w:rPr>
              <w:t>.</w:t>
            </w:r>
            <w:r w:rsidRPr="003003C0">
              <w:rPr>
                <w:rFonts w:cs="Arial"/>
                <w:color w:val="000000"/>
                <w:sz w:val="14"/>
                <w:szCs w:val="14"/>
              </w:rPr>
              <w:t>8</w:t>
            </w:r>
          </w:p>
        </w:tc>
        <w:tc>
          <w:tcPr>
            <w:tcW w:w="409" w:type="pct"/>
            <w:noWrap/>
            <w:vAlign w:val="center"/>
            <w:hideMark/>
          </w:tcPr>
          <w:p w14:paraId="74ED51C7" w14:textId="77777777" w:rsidR="004F64EF" w:rsidRPr="003003C0" w:rsidRDefault="004F64EF" w:rsidP="00FD6B66">
            <w:pPr>
              <w:jc w:val="right"/>
              <w:rPr>
                <w:rFonts w:cs="Arial"/>
                <w:color w:val="000000"/>
                <w:sz w:val="14"/>
                <w:szCs w:val="14"/>
              </w:rPr>
            </w:pPr>
            <w:r w:rsidRPr="003003C0">
              <w:rPr>
                <w:rFonts w:cs="Arial"/>
                <w:color w:val="000000"/>
                <w:sz w:val="14"/>
                <w:szCs w:val="14"/>
              </w:rPr>
              <w:t>7</w:t>
            </w:r>
            <w:r>
              <w:rPr>
                <w:rFonts w:cs="Arial"/>
                <w:color w:val="000000"/>
                <w:sz w:val="14"/>
                <w:szCs w:val="14"/>
              </w:rPr>
              <w:t>.</w:t>
            </w:r>
            <w:r w:rsidRPr="003003C0">
              <w:rPr>
                <w:rFonts w:cs="Arial"/>
                <w:color w:val="000000"/>
                <w:sz w:val="14"/>
                <w:szCs w:val="14"/>
              </w:rPr>
              <w:t>7</w:t>
            </w:r>
          </w:p>
        </w:tc>
        <w:tc>
          <w:tcPr>
            <w:tcW w:w="409" w:type="pct"/>
            <w:noWrap/>
            <w:vAlign w:val="center"/>
            <w:hideMark/>
          </w:tcPr>
          <w:p w14:paraId="4F6725B8" w14:textId="77777777" w:rsidR="004F64EF" w:rsidRPr="003003C0" w:rsidRDefault="004F64EF" w:rsidP="00FD6B66">
            <w:pPr>
              <w:jc w:val="right"/>
              <w:rPr>
                <w:rFonts w:cs="Arial"/>
                <w:color w:val="000000"/>
                <w:sz w:val="14"/>
                <w:szCs w:val="14"/>
              </w:rPr>
            </w:pPr>
            <w:r w:rsidRPr="003003C0">
              <w:rPr>
                <w:rFonts w:cs="Arial"/>
                <w:color w:val="000000"/>
                <w:sz w:val="14"/>
                <w:szCs w:val="14"/>
              </w:rPr>
              <w:t>7</w:t>
            </w:r>
            <w:r>
              <w:rPr>
                <w:rFonts w:cs="Arial"/>
                <w:color w:val="000000"/>
                <w:sz w:val="14"/>
                <w:szCs w:val="14"/>
              </w:rPr>
              <w:t>.</w:t>
            </w:r>
            <w:r w:rsidRPr="003003C0">
              <w:rPr>
                <w:rFonts w:cs="Arial"/>
                <w:color w:val="000000"/>
                <w:sz w:val="14"/>
                <w:szCs w:val="14"/>
              </w:rPr>
              <w:t>0</w:t>
            </w:r>
          </w:p>
        </w:tc>
      </w:tr>
      <w:tr w:rsidR="004F64EF" w:rsidRPr="003003C0" w14:paraId="6286155D" w14:textId="77777777" w:rsidTr="00BE2A9F">
        <w:trPr>
          <w:cnfStyle w:val="000000010000" w:firstRow="0" w:lastRow="0" w:firstColumn="0" w:lastColumn="0" w:oddVBand="0" w:evenVBand="0" w:oddHBand="0" w:evenHBand="1" w:firstRowFirstColumn="0" w:firstRowLastColumn="0" w:lastRowFirstColumn="0" w:lastRowLastColumn="0"/>
          <w:trHeight w:val="20"/>
        </w:trPr>
        <w:tc>
          <w:tcPr>
            <w:tcW w:w="2137" w:type="pct"/>
            <w:noWrap/>
            <w:vAlign w:val="center"/>
            <w:hideMark/>
          </w:tcPr>
          <w:p w14:paraId="13EBC013" w14:textId="77777777" w:rsidR="004F64EF" w:rsidRPr="003003C0" w:rsidRDefault="004F64EF" w:rsidP="00FD6B66">
            <w:pPr>
              <w:tabs>
                <w:tab w:val="left" w:pos="113"/>
              </w:tabs>
              <w:jc w:val="left"/>
              <w:rPr>
                <w:rFonts w:cs="Arial"/>
                <w:color w:val="000000"/>
                <w:sz w:val="14"/>
                <w:szCs w:val="14"/>
              </w:rPr>
            </w:pPr>
            <w:r w:rsidRPr="003003C0">
              <w:rPr>
                <w:rFonts w:cs="Arial"/>
                <w:color w:val="000000"/>
                <w:sz w:val="14"/>
                <w:szCs w:val="14"/>
              </w:rPr>
              <w:tab/>
            </w:r>
            <w:r>
              <w:rPr>
                <w:rFonts w:cs="Arial"/>
                <w:color w:val="000000"/>
                <w:sz w:val="14"/>
                <w:szCs w:val="14"/>
              </w:rPr>
              <w:t>EU-</w:t>
            </w:r>
            <w:r w:rsidRPr="003003C0">
              <w:rPr>
                <w:rFonts w:cs="Arial"/>
                <w:color w:val="000000"/>
                <w:sz w:val="14"/>
                <w:szCs w:val="14"/>
              </w:rPr>
              <w:t>27</w:t>
            </w:r>
          </w:p>
        </w:tc>
        <w:tc>
          <w:tcPr>
            <w:tcW w:w="409" w:type="pct"/>
            <w:noWrap/>
            <w:vAlign w:val="center"/>
            <w:hideMark/>
          </w:tcPr>
          <w:p w14:paraId="56345538" w14:textId="77777777" w:rsidR="004F64EF" w:rsidRPr="003003C0" w:rsidRDefault="004F64EF" w:rsidP="00FD6B66">
            <w:pPr>
              <w:jc w:val="right"/>
              <w:rPr>
                <w:rFonts w:cs="Arial"/>
                <w:color w:val="000000"/>
                <w:sz w:val="14"/>
                <w:szCs w:val="14"/>
              </w:rPr>
            </w:pPr>
            <w:r w:rsidRPr="003003C0">
              <w:rPr>
                <w:rFonts w:cs="Arial"/>
                <w:color w:val="000000"/>
                <w:sz w:val="14"/>
                <w:szCs w:val="14"/>
              </w:rPr>
              <w:t>6</w:t>
            </w:r>
            <w:r>
              <w:rPr>
                <w:rFonts w:cs="Arial"/>
                <w:color w:val="000000"/>
                <w:sz w:val="14"/>
                <w:szCs w:val="14"/>
              </w:rPr>
              <w:t>.</w:t>
            </w:r>
            <w:r w:rsidRPr="003003C0">
              <w:rPr>
                <w:rFonts w:cs="Arial"/>
                <w:color w:val="000000"/>
                <w:sz w:val="14"/>
                <w:szCs w:val="14"/>
              </w:rPr>
              <w:t>7</w:t>
            </w:r>
          </w:p>
        </w:tc>
        <w:tc>
          <w:tcPr>
            <w:tcW w:w="409" w:type="pct"/>
            <w:noWrap/>
            <w:vAlign w:val="center"/>
            <w:hideMark/>
          </w:tcPr>
          <w:p w14:paraId="30B627A7" w14:textId="77777777" w:rsidR="004F64EF" w:rsidRPr="003003C0" w:rsidRDefault="004F64EF" w:rsidP="00FD6B66">
            <w:pPr>
              <w:jc w:val="right"/>
              <w:rPr>
                <w:rFonts w:cs="Arial"/>
                <w:color w:val="000000"/>
                <w:sz w:val="14"/>
                <w:szCs w:val="14"/>
              </w:rPr>
            </w:pPr>
            <w:r w:rsidRPr="003003C0">
              <w:rPr>
                <w:rFonts w:cs="Arial"/>
                <w:color w:val="000000"/>
                <w:sz w:val="14"/>
                <w:szCs w:val="14"/>
              </w:rPr>
              <w:t>7</w:t>
            </w:r>
            <w:r>
              <w:rPr>
                <w:rFonts w:cs="Arial"/>
                <w:color w:val="000000"/>
                <w:sz w:val="14"/>
                <w:szCs w:val="14"/>
              </w:rPr>
              <w:t>.</w:t>
            </w:r>
            <w:r w:rsidRPr="003003C0">
              <w:rPr>
                <w:rFonts w:cs="Arial"/>
                <w:color w:val="000000"/>
                <w:sz w:val="14"/>
                <w:szCs w:val="14"/>
              </w:rPr>
              <w:t>4</w:t>
            </w:r>
          </w:p>
        </w:tc>
        <w:tc>
          <w:tcPr>
            <w:tcW w:w="409" w:type="pct"/>
            <w:noWrap/>
            <w:vAlign w:val="center"/>
            <w:hideMark/>
          </w:tcPr>
          <w:p w14:paraId="571BF122" w14:textId="77777777" w:rsidR="004F64EF" w:rsidRPr="003003C0" w:rsidRDefault="004F64EF" w:rsidP="00FD6B66">
            <w:pPr>
              <w:jc w:val="right"/>
              <w:rPr>
                <w:rFonts w:cs="Arial"/>
                <w:color w:val="000000"/>
                <w:sz w:val="14"/>
                <w:szCs w:val="14"/>
              </w:rPr>
            </w:pPr>
            <w:r w:rsidRPr="003003C0">
              <w:rPr>
                <w:rFonts w:cs="Arial"/>
                <w:color w:val="000000"/>
                <w:sz w:val="14"/>
                <w:szCs w:val="14"/>
              </w:rPr>
              <w:t>6</w:t>
            </w:r>
            <w:r>
              <w:rPr>
                <w:rFonts w:cs="Arial"/>
                <w:color w:val="000000"/>
                <w:sz w:val="14"/>
                <w:szCs w:val="14"/>
              </w:rPr>
              <w:t>.</w:t>
            </w:r>
            <w:r w:rsidRPr="003003C0">
              <w:rPr>
                <w:rFonts w:cs="Arial"/>
                <w:color w:val="000000"/>
                <w:sz w:val="14"/>
                <w:szCs w:val="14"/>
              </w:rPr>
              <w:t>2</w:t>
            </w:r>
          </w:p>
        </w:tc>
        <w:tc>
          <w:tcPr>
            <w:tcW w:w="409" w:type="pct"/>
            <w:noWrap/>
            <w:vAlign w:val="center"/>
            <w:hideMark/>
          </w:tcPr>
          <w:p w14:paraId="65FE796B" w14:textId="77777777" w:rsidR="004F64EF" w:rsidRPr="003003C0" w:rsidRDefault="004F64EF" w:rsidP="00FD6B66">
            <w:pPr>
              <w:jc w:val="right"/>
              <w:rPr>
                <w:rFonts w:cs="Arial"/>
                <w:color w:val="000000"/>
                <w:sz w:val="14"/>
                <w:szCs w:val="14"/>
              </w:rPr>
            </w:pPr>
            <w:r w:rsidRPr="003003C0">
              <w:rPr>
                <w:rFonts w:cs="Arial"/>
                <w:color w:val="000000"/>
                <w:sz w:val="14"/>
                <w:szCs w:val="14"/>
              </w:rPr>
              <w:t>6</w:t>
            </w:r>
            <w:r>
              <w:rPr>
                <w:rFonts w:cs="Arial"/>
                <w:color w:val="000000"/>
                <w:sz w:val="14"/>
                <w:szCs w:val="14"/>
              </w:rPr>
              <w:t>.</w:t>
            </w:r>
            <w:r w:rsidRPr="003003C0">
              <w:rPr>
                <w:rFonts w:cs="Arial"/>
                <w:color w:val="000000"/>
                <w:sz w:val="14"/>
                <w:szCs w:val="14"/>
              </w:rPr>
              <w:t>3</w:t>
            </w:r>
          </w:p>
        </w:tc>
        <w:tc>
          <w:tcPr>
            <w:tcW w:w="409" w:type="pct"/>
            <w:noWrap/>
            <w:vAlign w:val="center"/>
            <w:hideMark/>
          </w:tcPr>
          <w:p w14:paraId="6E84F66E" w14:textId="77777777" w:rsidR="004F64EF" w:rsidRPr="003003C0" w:rsidRDefault="004F64EF" w:rsidP="00FD6B66">
            <w:pPr>
              <w:jc w:val="right"/>
              <w:rPr>
                <w:rFonts w:cs="Arial"/>
                <w:color w:val="000000"/>
                <w:sz w:val="14"/>
                <w:szCs w:val="14"/>
              </w:rPr>
            </w:pPr>
            <w:r w:rsidRPr="003003C0">
              <w:rPr>
                <w:rFonts w:cs="Arial"/>
                <w:color w:val="000000"/>
                <w:sz w:val="14"/>
                <w:szCs w:val="14"/>
              </w:rPr>
              <w:t>6</w:t>
            </w:r>
            <w:r>
              <w:rPr>
                <w:rFonts w:cs="Arial"/>
                <w:color w:val="000000"/>
                <w:sz w:val="14"/>
                <w:szCs w:val="14"/>
              </w:rPr>
              <w:t>.</w:t>
            </w:r>
            <w:r w:rsidRPr="003003C0">
              <w:rPr>
                <w:rFonts w:cs="Arial"/>
                <w:color w:val="000000"/>
                <w:sz w:val="14"/>
                <w:szCs w:val="14"/>
              </w:rPr>
              <w:t>3</w:t>
            </w:r>
          </w:p>
        </w:tc>
        <w:tc>
          <w:tcPr>
            <w:tcW w:w="409" w:type="pct"/>
            <w:noWrap/>
            <w:vAlign w:val="center"/>
            <w:hideMark/>
          </w:tcPr>
          <w:p w14:paraId="7DEEBDC3" w14:textId="77777777" w:rsidR="004F64EF" w:rsidRPr="003003C0" w:rsidRDefault="004F64EF" w:rsidP="00FD6B66">
            <w:pPr>
              <w:jc w:val="right"/>
              <w:rPr>
                <w:rFonts w:cs="Arial"/>
                <w:color w:val="000000"/>
                <w:sz w:val="14"/>
                <w:szCs w:val="14"/>
              </w:rPr>
            </w:pPr>
            <w:r w:rsidRPr="003003C0">
              <w:rPr>
                <w:rFonts w:cs="Arial"/>
                <w:color w:val="000000"/>
                <w:sz w:val="14"/>
                <w:szCs w:val="14"/>
              </w:rPr>
              <w:t>7</w:t>
            </w:r>
            <w:r>
              <w:rPr>
                <w:rFonts w:cs="Arial"/>
                <w:color w:val="000000"/>
                <w:sz w:val="14"/>
                <w:szCs w:val="14"/>
              </w:rPr>
              <w:t>.</w:t>
            </w:r>
            <w:r w:rsidRPr="003003C0">
              <w:rPr>
                <w:rFonts w:cs="Arial"/>
                <w:color w:val="000000"/>
                <w:sz w:val="14"/>
                <w:szCs w:val="14"/>
              </w:rPr>
              <w:t>1</w:t>
            </w:r>
          </w:p>
        </w:tc>
        <w:tc>
          <w:tcPr>
            <w:tcW w:w="409" w:type="pct"/>
            <w:noWrap/>
            <w:vAlign w:val="center"/>
            <w:hideMark/>
          </w:tcPr>
          <w:p w14:paraId="4AF2DFF2" w14:textId="77777777" w:rsidR="004F64EF" w:rsidRPr="003003C0" w:rsidRDefault="004F64EF" w:rsidP="00FD6B66">
            <w:pPr>
              <w:jc w:val="right"/>
              <w:rPr>
                <w:rFonts w:cs="Arial"/>
                <w:color w:val="000000"/>
                <w:sz w:val="14"/>
                <w:szCs w:val="14"/>
              </w:rPr>
            </w:pPr>
            <w:r w:rsidRPr="003003C0">
              <w:rPr>
                <w:rFonts w:cs="Arial"/>
                <w:color w:val="000000"/>
                <w:sz w:val="14"/>
                <w:szCs w:val="14"/>
              </w:rPr>
              <w:t>6</w:t>
            </w:r>
            <w:r>
              <w:rPr>
                <w:rFonts w:cs="Arial"/>
                <w:color w:val="000000"/>
                <w:sz w:val="14"/>
                <w:szCs w:val="14"/>
              </w:rPr>
              <w:t>.</w:t>
            </w:r>
            <w:r w:rsidRPr="003003C0">
              <w:rPr>
                <w:rFonts w:cs="Arial"/>
                <w:color w:val="000000"/>
                <w:sz w:val="14"/>
                <w:szCs w:val="14"/>
              </w:rPr>
              <w:t>5</w:t>
            </w:r>
          </w:p>
        </w:tc>
      </w:tr>
      <w:tr w:rsidR="004F64EF" w:rsidRPr="003003C0" w14:paraId="14988E28" w14:textId="77777777" w:rsidTr="00BE2A9F">
        <w:trPr>
          <w:trHeight w:val="20"/>
        </w:trPr>
        <w:tc>
          <w:tcPr>
            <w:tcW w:w="2137" w:type="pct"/>
            <w:noWrap/>
            <w:vAlign w:val="center"/>
            <w:hideMark/>
          </w:tcPr>
          <w:p w14:paraId="4CEE7171" w14:textId="77777777" w:rsidR="004F64EF" w:rsidRPr="003003C0" w:rsidRDefault="004F64EF" w:rsidP="00FD6B66">
            <w:pPr>
              <w:tabs>
                <w:tab w:val="left" w:pos="510"/>
              </w:tabs>
              <w:jc w:val="left"/>
              <w:rPr>
                <w:rFonts w:cs="Arial"/>
                <w:color w:val="000000"/>
                <w:sz w:val="14"/>
                <w:szCs w:val="14"/>
              </w:rPr>
            </w:pPr>
            <w:r w:rsidRPr="003003C0">
              <w:rPr>
                <w:rFonts w:cs="Arial"/>
                <w:color w:val="000000"/>
                <w:sz w:val="14"/>
                <w:szCs w:val="14"/>
              </w:rPr>
              <w:tab/>
            </w:r>
            <w:r>
              <w:rPr>
                <w:rFonts w:cs="Arial"/>
                <w:color w:val="000000"/>
                <w:sz w:val="14"/>
                <w:szCs w:val="14"/>
              </w:rPr>
              <w:t>Netherlands</w:t>
            </w:r>
          </w:p>
        </w:tc>
        <w:tc>
          <w:tcPr>
            <w:tcW w:w="409" w:type="pct"/>
            <w:noWrap/>
            <w:vAlign w:val="center"/>
            <w:hideMark/>
          </w:tcPr>
          <w:p w14:paraId="7282E207" w14:textId="77777777" w:rsidR="004F64EF" w:rsidRPr="003003C0" w:rsidRDefault="004F64EF" w:rsidP="00FD6B66">
            <w:pPr>
              <w:jc w:val="right"/>
              <w:rPr>
                <w:rFonts w:cs="Arial"/>
                <w:color w:val="000000"/>
                <w:sz w:val="14"/>
                <w:szCs w:val="14"/>
              </w:rPr>
            </w:pPr>
            <w:r w:rsidRPr="003003C0">
              <w:rPr>
                <w:rFonts w:cs="Arial"/>
                <w:color w:val="000000"/>
                <w:sz w:val="14"/>
                <w:szCs w:val="14"/>
              </w:rPr>
              <w:t>2</w:t>
            </w:r>
            <w:r>
              <w:rPr>
                <w:rFonts w:cs="Arial"/>
                <w:color w:val="000000"/>
                <w:sz w:val="14"/>
                <w:szCs w:val="14"/>
              </w:rPr>
              <w:t>.</w:t>
            </w:r>
            <w:r w:rsidRPr="003003C0">
              <w:rPr>
                <w:rFonts w:cs="Arial"/>
                <w:color w:val="000000"/>
                <w:sz w:val="14"/>
                <w:szCs w:val="14"/>
              </w:rPr>
              <w:t>9</w:t>
            </w:r>
          </w:p>
        </w:tc>
        <w:tc>
          <w:tcPr>
            <w:tcW w:w="409" w:type="pct"/>
            <w:noWrap/>
            <w:vAlign w:val="center"/>
            <w:hideMark/>
          </w:tcPr>
          <w:p w14:paraId="2226088D" w14:textId="77777777" w:rsidR="004F64EF" w:rsidRPr="003003C0" w:rsidRDefault="004F64EF" w:rsidP="00FD6B66">
            <w:pPr>
              <w:jc w:val="right"/>
              <w:rPr>
                <w:rFonts w:cs="Arial"/>
                <w:color w:val="000000"/>
                <w:sz w:val="14"/>
                <w:szCs w:val="14"/>
              </w:rPr>
            </w:pPr>
            <w:r w:rsidRPr="003003C0">
              <w:rPr>
                <w:rFonts w:cs="Arial"/>
                <w:color w:val="000000"/>
                <w:sz w:val="14"/>
                <w:szCs w:val="14"/>
              </w:rPr>
              <w:t>3</w:t>
            </w:r>
            <w:r>
              <w:rPr>
                <w:rFonts w:cs="Arial"/>
                <w:color w:val="000000"/>
                <w:sz w:val="14"/>
                <w:szCs w:val="14"/>
              </w:rPr>
              <w:t>.</w:t>
            </w:r>
            <w:r w:rsidRPr="003003C0">
              <w:rPr>
                <w:rFonts w:cs="Arial"/>
                <w:color w:val="000000"/>
                <w:sz w:val="14"/>
                <w:szCs w:val="14"/>
              </w:rPr>
              <w:t>1</w:t>
            </w:r>
          </w:p>
        </w:tc>
        <w:tc>
          <w:tcPr>
            <w:tcW w:w="409" w:type="pct"/>
            <w:noWrap/>
            <w:vAlign w:val="center"/>
            <w:hideMark/>
          </w:tcPr>
          <w:p w14:paraId="2822D32E" w14:textId="77777777" w:rsidR="004F64EF" w:rsidRPr="003003C0" w:rsidRDefault="004F64EF" w:rsidP="00FD6B66">
            <w:pPr>
              <w:jc w:val="right"/>
              <w:rPr>
                <w:rFonts w:cs="Arial"/>
                <w:color w:val="000000"/>
                <w:sz w:val="14"/>
                <w:szCs w:val="14"/>
              </w:rPr>
            </w:pPr>
            <w:r w:rsidRPr="003003C0">
              <w:rPr>
                <w:rFonts w:cs="Arial"/>
                <w:color w:val="000000"/>
                <w:sz w:val="14"/>
                <w:szCs w:val="14"/>
              </w:rPr>
              <w:t>2</w:t>
            </w:r>
            <w:r>
              <w:rPr>
                <w:rFonts w:cs="Arial"/>
                <w:color w:val="000000"/>
                <w:sz w:val="14"/>
                <w:szCs w:val="14"/>
              </w:rPr>
              <w:t>.</w:t>
            </w:r>
            <w:r w:rsidRPr="003003C0">
              <w:rPr>
                <w:rFonts w:cs="Arial"/>
                <w:color w:val="000000"/>
                <w:sz w:val="14"/>
                <w:szCs w:val="14"/>
              </w:rPr>
              <w:t>4</w:t>
            </w:r>
          </w:p>
        </w:tc>
        <w:tc>
          <w:tcPr>
            <w:tcW w:w="409" w:type="pct"/>
            <w:noWrap/>
            <w:vAlign w:val="center"/>
            <w:hideMark/>
          </w:tcPr>
          <w:p w14:paraId="5B0C49E6" w14:textId="77777777" w:rsidR="004F64EF" w:rsidRPr="003003C0" w:rsidRDefault="004F64EF" w:rsidP="00FD6B66">
            <w:pPr>
              <w:jc w:val="right"/>
              <w:rPr>
                <w:rFonts w:cs="Arial"/>
                <w:color w:val="000000"/>
                <w:sz w:val="14"/>
                <w:szCs w:val="14"/>
              </w:rPr>
            </w:pPr>
            <w:r w:rsidRPr="003003C0">
              <w:rPr>
                <w:rFonts w:cs="Arial"/>
                <w:color w:val="000000"/>
                <w:sz w:val="14"/>
                <w:szCs w:val="14"/>
              </w:rPr>
              <w:t>2</w:t>
            </w:r>
            <w:r>
              <w:rPr>
                <w:rFonts w:cs="Arial"/>
                <w:color w:val="000000"/>
                <w:sz w:val="14"/>
                <w:szCs w:val="14"/>
              </w:rPr>
              <w:t>.</w:t>
            </w:r>
            <w:r w:rsidRPr="003003C0">
              <w:rPr>
                <w:rFonts w:cs="Arial"/>
                <w:color w:val="000000"/>
                <w:sz w:val="14"/>
                <w:szCs w:val="14"/>
              </w:rPr>
              <w:t>4</w:t>
            </w:r>
          </w:p>
        </w:tc>
        <w:tc>
          <w:tcPr>
            <w:tcW w:w="409" w:type="pct"/>
            <w:noWrap/>
            <w:vAlign w:val="center"/>
            <w:hideMark/>
          </w:tcPr>
          <w:p w14:paraId="017BF39F" w14:textId="77777777" w:rsidR="004F64EF" w:rsidRPr="003003C0" w:rsidRDefault="004F64EF" w:rsidP="00FD6B66">
            <w:pPr>
              <w:jc w:val="right"/>
              <w:rPr>
                <w:rFonts w:cs="Arial"/>
                <w:color w:val="000000"/>
                <w:sz w:val="14"/>
                <w:szCs w:val="14"/>
              </w:rPr>
            </w:pPr>
            <w:r w:rsidRPr="003003C0">
              <w:rPr>
                <w:rFonts w:cs="Arial"/>
                <w:color w:val="000000"/>
                <w:sz w:val="14"/>
                <w:szCs w:val="14"/>
              </w:rPr>
              <w:t>2</w:t>
            </w:r>
            <w:r>
              <w:rPr>
                <w:rFonts w:cs="Arial"/>
                <w:color w:val="000000"/>
                <w:sz w:val="14"/>
                <w:szCs w:val="14"/>
              </w:rPr>
              <w:t>.</w:t>
            </w:r>
            <w:r w:rsidRPr="003003C0">
              <w:rPr>
                <w:rFonts w:cs="Arial"/>
                <w:color w:val="000000"/>
                <w:sz w:val="14"/>
                <w:szCs w:val="14"/>
              </w:rPr>
              <w:t>9</w:t>
            </w:r>
          </w:p>
        </w:tc>
        <w:tc>
          <w:tcPr>
            <w:tcW w:w="409" w:type="pct"/>
            <w:noWrap/>
            <w:vAlign w:val="center"/>
            <w:hideMark/>
          </w:tcPr>
          <w:p w14:paraId="0B3DBFEE" w14:textId="77777777" w:rsidR="004F64EF" w:rsidRPr="003003C0" w:rsidRDefault="004F64EF" w:rsidP="00FD6B66">
            <w:pPr>
              <w:jc w:val="right"/>
              <w:rPr>
                <w:rFonts w:cs="Arial"/>
                <w:color w:val="000000"/>
                <w:sz w:val="14"/>
                <w:szCs w:val="14"/>
              </w:rPr>
            </w:pPr>
            <w:r w:rsidRPr="003003C0">
              <w:rPr>
                <w:rFonts w:cs="Arial"/>
                <w:color w:val="000000"/>
                <w:sz w:val="14"/>
                <w:szCs w:val="14"/>
              </w:rPr>
              <w:t>3</w:t>
            </w:r>
            <w:r>
              <w:rPr>
                <w:rFonts w:cs="Arial"/>
                <w:color w:val="000000"/>
                <w:sz w:val="14"/>
                <w:szCs w:val="14"/>
              </w:rPr>
              <w:t>.</w:t>
            </w:r>
            <w:r w:rsidRPr="003003C0">
              <w:rPr>
                <w:rFonts w:cs="Arial"/>
                <w:color w:val="000000"/>
                <w:sz w:val="14"/>
                <w:szCs w:val="14"/>
              </w:rPr>
              <w:t>3</w:t>
            </w:r>
          </w:p>
        </w:tc>
        <w:tc>
          <w:tcPr>
            <w:tcW w:w="409" w:type="pct"/>
            <w:noWrap/>
            <w:vAlign w:val="center"/>
            <w:hideMark/>
          </w:tcPr>
          <w:p w14:paraId="5AF8C488" w14:textId="77777777" w:rsidR="004F64EF" w:rsidRPr="003003C0" w:rsidRDefault="004F64EF" w:rsidP="00FD6B66">
            <w:pPr>
              <w:jc w:val="right"/>
              <w:rPr>
                <w:rFonts w:cs="Arial"/>
                <w:color w:val="000000"/>
                <w:sz w:val="14"/>
                <w:szCs w:val="14"/>
              </w:rPr>
            </w:pPr>
            <w:r w:rsidRPr="003003C0">
              <w:rPr>
                <w:rFonts w:cs="Arial"/>
                <w:color w:val="000000"/>
                <w:sz w:val="14"/>
                <w:szCs w:val="14"/>
              </w:rPr>
              <w:t>2</w:t>
            </w:r>
            <w:r>
              <w:rPr>
                <w:rFonts w:cs="Arial"/>
                <w:color w:val="000000"/>
                <w:sz w:val="14"/>
                <w:szCs w:val="14"/>
              </w:rPr>
              <w:t>.</w:t>
            </w:r>
            <w:r w:rsidRPr="003003C0">
              <w:rPr>
                <w:rFonts w:cs="Arial"/>
                <w:color w:val="000000"/>
                <w:sz w:val="14"/>
                <w:szCs w:val="14"/>
              </w:rPr>
              <w:t>7</w:t>
            </w:r>
          </w:p>
        </w:tc>
      </w:tr>
      <w:tr w:rsidR="004F64EF" w:rsidRPr="003003C0" w14:paraId="08D81B76" w14:textId="77777777" w:rsidTr="00BE2A9F">
        <w:trPr>
          <w:cnfStyle w:val="000000010000" w:firstRow="0" w:lastRow="0" w:firstColumn="0" w:lastColumn="0" w:oddVBand="0" w:evenVBand="0" w:oddHBand="0" w:evenHBand="1" w:firstRowFirstColumn="0" w:firstRowLastColumn="0" w:lastRowFirstColumn="0" w:lastRowLastColumn="0"/>
          <w:trHeight w:val="20"/>
        </w:trPr>
        <w:tc>
          <w:tcPr>
            <w:tcW w:w="2137" w:type="pct"/>
            <w:noWrap/>
            <w:vAlign w:val="center"/>
            <w:hideMark/>
          </w:tcPr>
          <w:p w14:paraId="3B92502D" w14:textId="77777777" w:rsidR="004F64EF" w:rsidRPr="003003C0" w:rsidRDefault="004F64EF" w:rsidP="00FD6B66">
            <w:pPr>
              <w:tabs>
                <w:tab w:val="left" w:pos="510"/>
              </w:tabs>
              <w:jc w:val="left"/>
              <w:rPr>
                <w:rFonts w:cs="Arial"/>
                <w:color w:val="000000"/>
                <w:sz w:val="14"/>
                <w:szCs w:val="14"/>
              </w:rPr>
            </w:pPr>
            <w:r w:rsidRPr="003003C0">
              <w:rPr>
                <w:rFonts w:cs="Arial"/>
                <w:color w:val="000000"/>
                <w:sz w:val="14"/>
                <w:szCs w:val="14"/>
              </w:rPr>
              <w:tab/>
            </w:r>
            <w:r>
              <w:rPr>
                <w:rFonts w:cs="Arial"/>
                <w:color w:val="000000"/>
                <w:sz w:val="14"/>
                <w:szCs w:val="14"/>
              </w:rPr>
              <w:t>Germany</w:t>
            </w:r>
          </w:p>
        </w:tc>
        <w:tc>
          <w:tcPr>
            <w:tcW w:w="409" w:type="pct"/>
            <w:noWrap/>
            <w:vAlign w:val="center"/>
            <w:hideMark/>
          </w:tcPr>
          <w:p w14:paraId="771A984D" w14:textId="77777777" w:rsidR="004F64EF" w:rsidRPr="003003C0" w:rsidRDefault="004F64EF" w:rsidP="00FD6B66">
            <w:pPr>
              <w:jc w:val="right"/>
              <w:rPr>
                <w:rFonts w:cs="Arial"/>
                <w:color w:val="000000"/>
                <w:sz w:val="14"/>
                <w:szCs w:val="14"/>
              </w:rPr>
            </w:pPr>
            <w:r w:rsidRPr="003003C0">
              <w:rPr>
                <w:rFonts w:cs="Arial"/>
                <w:color w:val="000000"/>
                <w:sz w:val="14"/>
                <w:szCs w:val="14"/>
              </w:rPr>
              <w:t>1</w:t>
            </w:r>
            <w:r>
              <w:rPr>
                <w:rFonts w:cs="Arial"/>
                <w:color w:val="000000"/>
                <w:sz w:val="14"/>
                <w:szCs w:val="14"/>
              </w:rPr>
              <w:t>.</w:t>
            </w:r>
            <w:r w:rsidRPr="003003C0">
              <w:rPr>
                <w:rFonts w:cs="Arial"/>
                <w:color w:val="000000"/>
                <w:sz w:val="14"/>
                <w:szCs w:val="14"/>
              </w:rPr>
              <w:t>4</w:t>
            </w:r>
          </w:p>
        </w:tc>
        <w:tc>
          <w:tcPr>
            <w:tcW w:w="409" w:type="pct"/>
            <w:noWrap/>
            <w:vAlign w:val="center"/>
            <w:hideMark/>
          </w:tcPr>
          <w:p w14:paraId="5251A687" w14:textId="77777777" w:rsidR="004F64EF" w:rsidRPr="003003C0" w:rsidRDefault="004F64EF" w:rsidP="00FD6B66">
            <w:pPr>
              <w:jc w:val="right"/>
              <w:rPr>
                <w:rFonts w:cs="Arial"/>
                <w:color w:val="000000"/>
                <w:sz w:val="14"/>
                <w:szCs w:val="14"/>
              </w:rPr>
            </w:pPr>
            <w:r w:rsidRPr="003003C0">
              <w:rPr>
                <w:rFonts w:cs="Arial"/>
                <w:color w:val="000000"/>
                <w:sz w:val="14"/>
                <w:szCs w:val="14"/>
              </w:rPr>
              <w:t>1</w:t>
            </w:r>
            <w:r>
              <w:rPr>
                <w:rFonts w:cs="Arial"/>
                <w:color w:val="000000"/>
                <w:sz w:val="14"/>
                <w:szCs w:val="14"/>
              </w:rPr>
              <w:t>.</w:t>
            </w:r>
            <w:r w:rsidRPr="003003C0">
              <w:rPr>
                <w:rFonts w:cs="Arial"/>
                <w:color w:val="000000"/>
                <w:sz w:val="14"/>
                <w:szCs w:val="14"/>
              </w:rPr>
              <w:t>4</w:t>
            </w:r>
          </w:p>
        </w:tc>
        <w:tc>
          <w:tcPr>
            <w:tcW w:w="409" w:type="pct"/>
            <w:noWrap/>
            <w:vAlign w:val="center"/>
            <w:hideMark/>
          </w:tcPr>
          <w:p w14:paraId="216E59E5" w14:textId="77777777" w:rsidR="004F64EF" w:rsidRPr="003003C0" w:rsidRDefault="004F64EF" w:rsidP="00FD6B66">
            <w:pPr>
              <w:jc w:val="right"/>
              <w:rPr>
                <w:rFonts w:cs="Arial"/>
                <w:color w:val="000000"/>
                <w:sz w:val="14"/>
                <w:szCs w:val="14"/>
              </w:rPr>
            </w:pPr>
            <w:r w:rsidRPr="003003C0">
              <w:rPr>
                <w:rFonts w:cs="Arial"/>
                <w:color w:val="000000"/>
                <w:sz w:val="14"/>
                <w:szCs w:val="14"/>
              </w:rPr>
              <w:t>1</w:t>
            </w:r>
            <w:r>
              <w:rPr>
                <w:rFonts w:cs="Arial"/>
                <w:color w:val="000000"/>
                <w:sz w:val="14"/>
                <w:szCs w:val="14"/>
              </w:rPr>
              <w:t>.</w:t>
            </w:r>
            <w:r w:rsidRPr="003003C0">
              <w:rPr>
                <w:rFonts w:cs="Arial"/>
                <w:color w:val="000000"/>
                <w:sz w:val="14"/>
                <w:szCs w:val="14"/>
              </w:rPr>
              <w:t>2</w:t>
            </w:r>
          </w:p>
        </w:tc>
        <w:tc>
          <w:tcPr>
            <w:tcW w:w="409" w:type="pct"/>
            <w:noWrap/>
            <w:vAlign w:val="center"/>
            <w:hideMark/>
          </w:tcPr>
          <w:p w14:paraId="217B594B" w14:textId="77777777" w:rsidR="004F64EF" w:rsidRPr="003003C0" w:rsidRDefault="004F64EF" w:rsidP="00FD6B66">
            <w:pPr>
              <w:jc w:val="right"/>
              <w:rPr>
                <w:rFonts w:cs="Arial"/>
                <w:color w:val="000000"/>
                <w:sz w:val="14"/>
                <w:szCs w:val="14"/>
              </w:rPr>
            </w:pPr>
            <w:r w:rsidRPr="003003C0">
              <w:rPr>
                <w:rFonts w:cs="Arial"/>
                <w:color w:val="000000"/>
                <w:sz w:val="14"/>
                <w:szCs w:val="14"/>
              </w:rPr>
              <w:t>1</w:t>
            </w:r>
            <w:r>
              <w:rPr>
                <w:rFonts w:cs="Arial"/>
                <w:color w:val="000000"/>
                <w:sz w:val="14"/>
                <w:szCs w:val="14"/>
              </w:rPr>
              <w:t>.</w:t>
            </w:r>
            <w:r w:rsidRPr="003003C0">
              <w:rPr>
                <w:rFonts w:cs="Arial"/>
                <w:color w:val="000000"/>
                <w:sz w:val="14"/>
                <w:szCs w:val="14"/>
              </w:rPr>
              <w:t>1</w:t>
            </w:r>
          </w:p>
        </w:tc>
        <w:tc>
          <w:tcPr>
            <w:tcW w:w="409" w:type="pct"/>
            <w:noWrap/>
            <w:vAlign w:val="center"/>
            <w:hideMark/>
          </w:tcPr>
          <w:p w14:paraId="141D6771" w14:textId="77777777" w:rsidR="004F64EF" w:rsidRPr="003003C0" w:rsidRDefault="004F64EF" w:rsidP="00FD6B66">
            <w:pPr>
              <w:jc w:val="right"/>
              <w:rPr>
                <w:rFonts w:cs="Arial"/>
                <w:color w:val="000000"/>
                <w:sz w:val="14"/>
                <w:szCs w:val="14"/>
              </w:rPr>
            </w:pPr>
            <w:r w:rsidRPr="003003C0">
              <w:rPr>
                <w:rFonts w:cs="Arial"/>
                <w:color w:val="000000"/>
                <w:sz w:val="14"/>
                <w:szCs w:val="14"/>
              </w:rPr>
              <w:t>1</w:t>
            </w:r>
            <w:r>
              <w:rPr>
                <w:rFonts w:cs="Arial"/>
                <w:color w:val="000000"/>
                <w:sz w:val="14"/>
                <w:szCs w:val="14"/>
              </w:rPr>
              <w:t>.</w:t>
            </w:r>
            <w:r w:rsidRPr="003003C0">
              <w:rPr>
                <w:rFonts w:cs="Arial"/>
                <w:color w:val="000000"/>
                <w:sz w:val="14"/>
                <w:szCs w:val="14"/>
              </w:rPr>
              <w:t>1</w:t>
            </w:r>
          </w:p>
        </w:tc>
        <w:tc>
          <w:tcPr>
            <w:tcW w:w="409" w:type="pct"/>
            <w:noWrap/>
            <w:vAlign w:val="center"/>
            <w:hideMark/>
          </w:tcPr>
          <w:p w14:paraId="471621AF" w14:textId="77777777" w:rsidR="004F64EF" w:rsidRPr="003003C0" w:rsidRDefault="004F64EF" w:rsidP="00FD6B66">
            <w:pPr>
              <w:jc w:val="right"/>
              <w:rPr>
                <w:rFonts w:cs="Arial"/>
                <w:color w:val="000000"/>
                <w:sz w:val="14"/>
                <w:szCs w:val="14"/>
              </w:rPr>
            </w:pPr>
            <w:r w:rsidRPr="003003C0">
              <w:rPr>
                <w:rFonts w:cs="Arial"/>
                <w:color w:val="000000"/>
                <w:sz w:val="14"/>
                <w:szCs w:val="14"/>
              </w:rPr>
              <w:t>1</w:t>
            </w:r>
            <w:r>
              <w:rPr>
                <w:rFonts w:cs="Arial"/>
                <w:color w:val="000000"/>
                <w:sz w:val="14"/>
                <w:szCs w:val="14"/>
              </w:rPr>
              <w:t>.</w:t>
            </w:r>
            <w:r w:rsidRPr="003003C0">
              <w:rPr>
                <w:rFonts w:cs="Arial"/>
                <w:color w:val="000000"/>
                <w:sz w:val="14"/>
                <w:szCs w:val="14"/>
              </w:rPr>
              <w:t>3</w:t>
            </w:r>
          </w:p>
        </w:tc>
        <w:tc>
          <w:tcPr>
            <w:tcW w:w="409" w:type="pct"/>
            <w:noWrap/>
            <w:vAlign w:val="center"/>
            <w:hideMark/>
          </w:tcPr>
          <w:p w14:paraId="371702ED" w14:textId="77777777" w:rsidR="004F64EF" w:rsidRPr="003003C0" w:rsidRDefault="004F64EF" w:rsidP="00FD6B66">
            <w:pPr>
              <w:jc w:val="right"/>
              <w:rPr>
                <w:rFonts w:cs="Arial"/>
                <w:color w:val="000000"/>
                <w:sz w:val="14"/>
                <w:szCs w:val="14"/>
              </w:rPr>
            </w:pPr>
            <w:r w:rsidRPr="003003C0">
              <w:rPr>
                <w:rFonts w:cs="Arial"/>
                <w:color w:val="000000"/>
                <w:sz w:val="14"/>
                <w:szCs w:val="14"/>
              </w:rPr>
              <w:t>1</w:t>
            </w:r>
            <w:r>
              <w:rPr>
                <w:rFonts w:cs="Arial"/>
                <w:color w:val="000000"/>
                <w:sz w:val="14"/>
                <w:szCs w:val="14"/>
              </w:rPr>
              <w:t>.</w:t>
            </w:r>
            <w:r w:rsidRPr="003003C0">
              <w:rPr>
                <w:rFonts w:cs="Arial"/>
                <w:color w:val="000000"/>
                <w:sz w:val="14"/>
                <w:szCs w:val="14"/>
              </w:rPr>
              <w:t>1</w:t>
            </w:r>
          </w:p>
        </w:tc>
      </w:tr>
      <w:tr w:rsidR="004F64EF" w:rsidRPr="003003C0" w14:paraId="5F110E26" w14:textId="77777777" w:rsidTr="00BE2A9F">
        <w:trPr>
          <w:trHeight w:val="20"/>
        </w:trPr>
        <w:tc>
          <w:tcPr>
            <w:tcW w:w="2137" w:type="pct"/>
            <w:noWrap/>
            <w:vAlign w:val="center"/>
            <w:hideMark/>
          </w:tcPr>
          <w:p w14:paraId="65A23DC7" w14:textId="77777777" w:rsidR="004F64EF" w:rsidRPr="003003C0" w:rsidRDefault="004F64EF" w:rsidP="00FD6B66">
            <w:pPr>
              <w:tabs>
                <w:tab w:val="left" w:pos="510"/>
              </w:tabs>
              <w:jc w:val="left"/>
              <w:rPr>
                <w:rFonts w:cs="Arial"/>
                <w:color w:val="000000"/>
                <w:sz w:val="14"/>
                <w:szCs w:val="14"/>
              </w:rPr>
            </w:pPr>
            <w:r w:rsidRPr="003003C0">
              <w:rPr>
                <w:rFonts w:cs="Arial"/>
                <w:color w:val="000000"/>
                <w:sz w:val="14"/>
                <w:szCs w:val="14"/>
              </w:rPr>
              <w:tab/>
            </w:r>
            <w:r>
              <w:rPr>
                <w:rFonts w:cs="Arial"/>
                <w:color w:val="000000"/>
                <w:sz w:val="14"/>
                <w:szCs w:val="14"/>
              </w:rPr>
              <w:t>Spain</w:t>
            </w:r>
          </w:p>
        </w:tc>
        <w:tc>
          <w:tcPr>
            <w:tcW w:w="409" w:type="pct"/>
            <w:noWrap/>
            <w:vAlign w:val="center"/>
            <w:hideMark/>
          </w:tcPr>
          <w:p w14:paraId="1C28F92D"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5</w:t>
            </w:r>
          </w:p>
        </w:tc>
        <w:tc>
          <w:tcPr>
            <w:tcW w:w="409" w:type="pct"/>
            <w:noWrap/>
            <w:vAlign w:val="center"/>
            <w:hideMark/>
          </w:tcPr>
          <w:p w14:paraId="6AEBECD1"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5</w:t>
            </w:r>
          </w:p>
        </w:tc>
        <w:tc>
          <w:tcPr>
            <w:tcW w:w="409" w:type="pct"/>
            <w:noWrap/>
            <w:vAlign w:val="center"/>
            <w:hideMark/>
          </w:tcPr>
          <w:p w14:paraId="77E8F3FA"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5</w:t>
            </w:r>
          </w:p>
        </w:tc>
        <w:tc>
          <w:tcPr>
            <w:tcW w:w="409" w:type="pct"/>
            <w:noWrap/>
            <w:vAlign w:val="center"/>
            <w:hideMark/>
          </w:tcPr>
          <w:p w14:paraId="3EE4A6F2"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5</w:t>
            </w:r>
          </w:p>
        </w:tc>
        <w:tc>
          <w:tcPr>
            <w:tcW w:w="409" w:type="pct"/>
            <w:noWrap/>
            <w:vAlign w:val="center"/>
            <w:hideMark/>
          </w:tcPr>
          <w:p w14:paraId="64E565C2"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4</w:t>
            </w:r>
          </w:p>
        </w:tc>
        <w:tc>
          <w:tcPr>
            <w:tcW w:w="409" w:type="pct"/>
            <w:noWrap/>
            <w:vAlign w:val="center"/>
            <w:hideMark/>
          </w:tcPr>
          <w:p w14:paraId="4F7DA721"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5</w:t>
            </w:r>
          </w:p>
        </w:tc>
        <w:tc>
          <w:tcPr>
            <w:tcW w:w="409" w:type="pct"/>
            <w:noWrap/>
            <w:vAlign w:val="center"/>
            <w:hideMark/>
          </w:tcPr>
          <w:p w14:paraId="22818D28"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7</w:t>
            </w:r>
          </w:p>
        </w:tc>
      </w:tr>
      <w:tr w:rsidR="004F64EF" w:rsidRPr="003003C0" w14:paraId="232DDF9F" w14:textId="77777777" w:rsidTr="00BE2A9F">
        <w:trPr>
          <w:cnfStyle w:val="000000010000" w:firstRow="0" w:lastRow="0" w:firstColumn="0" w:lastColumn="0" w:oddVBand="0" w:evenVBand="0" w:oddHBand="0" w:evenHBand="1" w:firstRowFirstColumn="0" w:firstRowLastColumn="0" w:lastRowFirstColumn="0" w:lastRowLastColumn="0"/>
          <w:trHeight w:val="20"/>
        </w:trPr>
        <w:tc>
          <w:tcPr>
            <w:tcW w:w="2137" w:type="pct"/>
            <w:noWrap/>
            <w:vAlign w:val="center"/>
            <w:hideMark/>
          </w:tcPr>
          <w:p w14:paraId="2C58A0BF" w14:textId="77777777" w:rsidR="004F64EF" w:rsidRPr="003003C0" w:rsidRDefault="004F64EF" w:rsidP="00FD6B66">
            <w:pPr>
              <w:tabs>
                <w:tab w:val="left" w:pos="510"/>
              </w:tabs>
              <w:jc w:val="left"/>
              <w:rPr>
                <w:rFonts w:cs="Arial"/>
                <w:color w:val="000000"/>
                <w:sz w:val="14"/>
                <w:szCs w:val="14"/>
              </w:rPr>
            </w:pPr>
            <w:r w:rsidRPr="003003C0">
              <w:rPr>
                <w:rFonts w:cs="Arial"/>
                <w:color w:val="000000"/>
                <w:sz w:val="14"/>
                <w:szCs w:val="14"/>
              </w:rPr>
              <w:tab/>
              <w:t>Ital</w:t>
            </w:r>
            <w:r>
              <w:rPr>
                <w:rFonts w:cs="Arial"/>
                <w:color w:val="000000"/>
                <w:sz w:val="14"/>
                <w:szCs w:val="14"/>
              </w:rPr>
              <w:t>y</w:t>
            </w:r>
          </w:p>
        </w:tc>
        <w:tc>
          <w:tcPr>
            <w:tcW w:w="409" w:type="pct"/>
            <w:noWrap/>
            <w:vAlign w:val="center"/>
            <w:hideMark/>
          </w:tcPr>
          <w:p w14:paraId="5F1B8A2A"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3</w:t>
            </w:r>
          </w:p>
        </w:tc>
        <w:tc>
          <w:tcPr>
            <w:tcW w:w="409" w:type="pct"/>
            <w:noWrap/>
            <w:vAlign w:val="center"/>
            <w:hideMark/>
          </w:tcPr>
          <w:p w14:paraId="3E9051BD"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7</w:t>
            </w:r>
          </w:p>
        </w:tc>
        <w:tc>
          <w:tcPr>
            <w:tcW w:w="409" w:type="pct"/>
            <w:noWrap/>
            <w:vAlign w:val="center"/>
            <w:hideMark/>
          </w:tcPr>
          <w:p w14:paraId="419C8964"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7</w:t>
            </w:r>
          </w:p>
        </w:tc>
        <w:tc>
          <w:tcPr>
            <w:tcW w:w="409" w:type="pct"/>
            <w:noWrap/>
            <w:vAlign w:val="center"/>
            <w:hideMark/>
          </w:tcPr>
          <w:p w14:paraId="2D4F90FA"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8</w:t>
            </w:r>
          </w:p>
        </w:tc>
        <w:tc>
          <w:tcPr>
            <w:tcW w:w="409" w:type="pct"/>
            <w:noWrap/>
            <w:vAlign w:val="center"/>
            <w:hideMark/>
          </w:tcPr>
          <w:p w14:paraId="6079A3E1"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5</w:t>
            </w:r>
          </w:p>
        </w:tc>
        <w:tc>
          <w:tcPr>
            <w:tcW w:w="409" w:type="pct"/>
            <w:noWrap/>
            <w:vAlign w:val="center"/>
            <w:hideMark/>
          </w:tcPr>
          <w:p w14:paraId="3590DF82"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6</w:t>
            </w:r>
          </w:p>
        </w:tc>
        <w:tc>
          <w:tcPr>
            <w:tcW w:w="409" w:type="pct"/>
            <w:noWrap/>
            <w:vAlign w:val="center"/>
            <w:hideMark/>
          </w:tcPr>
          <w:p w14:paraId="11DB3FDE"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6</w:t>
            </w:r>
          </w:p>
        </w:tc>
      </w:tr>
      <w:tr w:rsidR="004F64EF" w:rsidRPr="003003C0" w14:paraId="5F813FD3" w14:textId="77777777" w:rsidTr="00BE2A9F">
        <w:trPr>
          <w:trHeight w:val="20"/>
        </w:trPr>
        <w:tc>
          <w:tcPr>
            <w:tcW w:w="2137" w:type="pct"/>
            <w:noWrap/>
            <w:vAlign w:val="center"/>
            <w:hideMark/>
          </w:tcPr>
          <w:p w14:paraId="31E8A48A" w14:textId="77777777" w:rsidR="004F64EF" w:rsidRPr="003003C0" w:rsidRDefault="004F64EF" w:rsidP="00FD6B66">
            <w:pPr>
              <w:tabs>
                <w:tab w:val="left" w:pos="510"/>
              </w:tabs>
              <w:jc w:val="left"/>
              <w:rPr>
                <w:rFonts w:cs="Arial"/>
                <w:color w:val="000000"/>
                <w:sz w:val="14"/>
                <w:szCs w:val="14"/>
              </w:rPr>
            </w:pPr>
            <w:r w:rsidRPr="003003C0">
              <w:rPr>
                <w:rFonts w:cs="Arial"/>
                <w:color w:val="000000"/>
                <w:sz w:val="14"/>
                <w:szCs w:val="14"/>
              </w:rPr>
              <w:tab/>
              <w:t>B</w:t>
            </w:r>
            <w:r>
              <w:rPr>
                <w:rFonts w:cs="Arial"/>
                <w:color w:val="000000"/>
                <w:sz w:val="14"/>
                <w:szCs w:val="14"/>
              </w:rPr>
              <w:t>elgium</w:t>
            </w:r>
          </w:p>
        </w:tc>
        <w:tc>
          <w:tcPr>
            <w:tcW w:w="409" w:type="pct"/>
            <w:noWrap/>
            <w:vAlign w:val="center"/>
            <w:hideMark/>
          </w:tcPr>
          <w:p w14:paraId="44FD0A70"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7</w:t>
            </w:r>
          </w:p>
        </w:tc>
        <w:tc>
          <w:tcPr>
            <w:tcW w:w="409" w:type="pct"/>
            <w:noWrap/>
            <w:vAlign w:val="center"/>
            <w:hideMark/>
          </w:tcPr>
          <w:p w14:paraId="3A864F64" w14:textId="77777777" w:rsidR="004F64EF" w:rsidRPr="003003C0" w:rsidRDefault="004F64EF" w:rsidP="00FD6B66">
            <w:pPr>
              <w:jc w:val="right"/>
              <w:rPr>
                <w:rFonts w:cs="Arial"/>
                <w:color w:val="000000"/>
                <w:sz w:val="14"/>
                <w:szCs w:val="14"/>
              </w:rPr>
            </w:pPr>
            <w:r w:rsidRPr="003003C0">
              <w:rPr>
                <w:rFonts w:cs="Arial"/>
                <w:color w:val="000000"/>
                <w:sz w:val="14"/>
                <w:szCs w:val="14"/>
              </w:rPr>
              <w:t>1</w:t>
            </w:r>
            <w:r>
              <w:rPr>
                <w:rFonts w:cs="Arial"/>
                <w:color w:val="000000"/>
                <w:sz w:val="14"/>
                <w:szCs w:val="14"/>
              </w:rPr>
              <w:t>.</w:t>
            </w:r>
            <w:r w:rsidRPr="003003C0">
              <w:rPr>
                <w:rFonts w:cs="Arial"/>
                <w:color w:val="000000"/>
                <w:sz w:val="14"/>
                <w:szCs w:val="14"/>
              </w:rPr>
              <w:t>1</w:t>
            </w:r>
          </w:p>
        </w:tc>
        <w:tc>
          <w:tcPr>
            <w:tcW w:w="409" w:type="pct"/>
            <w:noWrap/>
            <w:vAlign w:val="center"/>
            <w:hideMark/>
          </w:tcPr>
          <w:p w14:paraId="4DA08DF6"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8</w:t>
            </w:r>
          </w:p>
        </w:tc>
        <w:tc>
          <w:tcPr>
            <w:tcW w:w="409" w:type="pct"/>
            <w:noWrap/>
            <w:vAlign w:val="center"/>
            <w:hideMark/>
          </w:tcPr>
          <w:p w14:paraId="23730005"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6</w:t>
            </w:r>
          </w:p>
        </w:tc>
        <w:tc>
          <w:tcPr>
            <w:tcW w:w="409" w:type="pct"/>
            <w:noWrap/>
            <w:vAlign w:val="center"/>
            <w:hideMark/>
          </w:tcPr>
          <w:p w14:paraId="0DD477A4"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4</w:t>
            </w:r>
          </w:p>
        </w:tc>
        <w:tc>
          <w:tcPr>
            <w:tcW w:w="409" w:type="pct"/>
            <w:noWrap/>
            <w:vAlign w:val="center"/>
            <w:hideMark/>
          </w:tcPr>
          <w:p w14:paraId="2AFE8E6B"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6</w:t>
            </w:r>
          </w:p>
        </w:tc>
        <w:tc>
          <w:tcPr>
            <w:tcW w:w="409" w:type="pct"/>
            <w:noWrap/>
            <w:vAlign w:val="center"/>
            <w:hideMark/>
          </w:tcPr>
          <w:p w14:paraId="02AA6F6C"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6</w:t>
            </w:r>
          </w:p>
        </w:tc>
      </w:tr>
      <w:tr w:rsidR="004F64EF" w:rsidRPr="003003C0" w14:paraId="4A7ADF7A" w14:textId="77777777" w:rsidTr="00BE2A9F">
        <w:trPr>
          <w:cnfStyle w:val="000000010000" w:firstRow="0" w:lastRow="0" w:firstColumn="0" w:lastColumn="0" w:oddVBand="0" w:evenVBand="0" w:oddHBand="0" w:evenHBand="1" w:firstRowFirstColumn="0" w:firstRowLastColumn="0" w:lastRowFirstColumn="0" w:lastRowLastColumn="0"/>
          <w:trHeight w:val="20"/>
        </w:trPr>
        <w:tc>
          <w:tcPr>
            <w:tcW w:w="2137" w:type="pct"/>
            <w:noWrap/>
            <w:vAlign w:val="center"/>
            <w:hideMark/>
          </w:tcPr>
          <w:p w14:paraId="7C7A6754" w14:textId="77777777" w:rsidR="004F64EF" w:rsidRPr="003003C0" w:rsidRDefault="004F64EF" w:rsidP="00FD6B66">
            <w:pPr>
              <w:tabs>
                <w:tab w:val="left" w:pos="113"/>
              </w:tabs>
              <w:jc w:val="left"/>
              <w:rPr>
                <w:rFonts w:cs="Arial"/>
                <w:color w:val="000000"/>
                <w:sz w:val="14"/>
                <w:szCs w:val="14"/>
              </w:rPr>
            </w:pPr>
            <w:r w:rsidRPr="003003C0">
              <w:rPr>
                <w:rFonts w:cs="Arial"/>
                <w:color w:val="000000"/>
                <w:sz w:val="14"/>
                <w:szCs w:val="14"/>
              </w:rPr>
              <w:tab/>
            </w:r>
            <w:r>
              <w:rPr>
                <w:rFonts w:cs="Arial"/>
                <w:color w:val="000000"/>
                <w:sz w:val="14"/>
                <w:szCs w:val="14"/>
              </w:rPr>
              <w:t>EFTA</w:t>
            </w:r>
          </w:p>
        </w:tc>
        <w:tc>
          <w:tcPr>
            <w:tcW w:w="409" w:type="pct"/>
            <w:noWrap/>
            <w:vAlign w:val="center"/>
            <w:hideMark/>
          </w:tcPr>
          <w:p w14:paraId="7EDB0503"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3</w:t>
            </w:r>
          </w:p>
        </w:tc>
        <w:tc>
          <w:tcPr>
            <w:tcW w:w="409" w:type="pct"/>
            <w:noWrap/>
            <w:vAlign w:val="center"/>
            <w:hideMark/>
          </w:tcPr>
          <w:p w14:paraId="335C3BE7"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2</w:t>
            </w:r>
          </w:p>
        </w:tc>
        <w:tc>
          <w:tcPr>
            <w:tcW w:w="409" w:type="pct"/>
            <w:noWrap/>
            <w:vAlign w:val="center"/>
            <w:hideMark/>
          </w:tcPr>
          <w:p w14:paraId="7472D179"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2</w:t>
            </w:r>
          </w:p>
        </w:tc>
        <w:tc>
          <w:tcPr>
            <w:tcW w:w="409" w:type="pct"/>
            <w:noWrap/>
            <w:vAlign w:val="center"/>
            <w:hideMark/>
          </w:tcPr>
          <w:p w14:paraId="73DB16E0"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2</w:t>
            </w:r>
          </w:p>
        </w:tc>
        <w:tc>
          <w:tcPr>
            <w:tcW w:w="409" w:type="pct"/>
            <w:noWrap/>
            <w:vAlign w:val="center"/>
            <w:hideMark/>
          </w:tcPr>
          <w:p w14:paraId="37097C66"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2</w:t>
            </w:r>
          </w:p>
        </w:tc>
        <w:tc>
          <w:tcPr>
            <w:tcW w:w="409" w:type="pct"/>
            <w:noWrap/>
            <w:vAlign w:val="center"/>
            <w:hideMark/>
          </w:tcPr>
          <w:p w14:paraId="01F613A0"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2</w:t>
            </w:r>
          </w:p>
        </w:tc>
        <w:tc>
          <w:tcPr>
            <w:tcW w:w="409" w:type="pct"/>
            <w:noWrap/>
            <w:vAlign w:val="center"/>
            <w:hideMark/>
          </w:tcPr>
          <w:p w14:paraId="585B87F0"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1</w:t>
            </w:r>
          </w:p>
        </w:tc>
      </w:tr>
      <w:tr w:rsidR="004F64EF" w:rsidRPr="003003C0" w14:paraId="30333DE6" w14:textId="77777777" w:rsidTr="00BE2A9F">
        <w:trPr>
          <w:trHeight w:val="20"/>
        </w:trPr>
        <w:tc>
          <w:tcPr>
            <w:tcW w:w="2137" w:type="pct"/>
            <w:noWrap/>
            <w:vAlign w:val="center"/>
            <w:hideMark/>
          </w:tcPr>
          <w:p w14:paraId="66DC1B44" w14:textId="77777777" w:rsidR="004F64EF" w:rsidRPr="003003C0" w:rsidRDefault="004F64EF" w:rsidP="00FD6B66">
            <w:pPr>
              <w:tabs>
                <w:tab w:val="left" w:pos="510"/>
              </w:tabs>
              <w:jc w:val="left"/>
              <w:rPr>
                <w:rFonts w:cs="Arial"/>
                <w:color w:val="000000"/>
                <w:sz w:val="14"/>
                <w:szCs w:val="14"/>
              </w:rPr>
            </w:pPr>
            <w:r w:rsidRPr="003003C0">
              <w:rPr>
                <w:rFonts w:cs="Arial"/>
                <w:color w:val="000000"/>
                <w:sz w:val="14"/>
                <w:szCs w:val="14"/>
              </w:rPr>
              <w:tab/>
              <w:t>S</w:t>
            </w:r>
            <w:r>
              <w:rPr>
                <w:rFonts w:cs="Arial"/>
                <w:color w:val="000000"/>
                <w:sz w:val="14"/>
                <w:szCs w:val="14"/>
              </w:rPr>
              <w:t>witzerland</w:t>
            </w:r>
          </w:p>
        </w:tc>
        <w:tc>
          <w:tcPr>
            <w:tcW w:w="409" w:type="pct"/>
            <w:noWrap/>
            <w:vAlign w:val="center"/>
            <w:hideMark/>
          </w:tcPr>
          <w:p w14:paraId="250EF8A4"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3</w:t>
            </w:r>
          </w:p>
        </w:tc>
        <w:tc>
          <w:tcPr>
            <w:tcW w:w="409" w:type="pct"/>
            <w:noWrap/>
            <w:vAlign w:val="center"/>
            <w:hideMark/>
          </w:tcPr>
          <w:p w14:paraId="4A65657F"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1</w:t>
            </w:r>
          </w:p>
        </w:tc>
        <w:tc>
          <w:tcPr>
            <w:tcW w:w="409" w:type="pct"/>
            <w:noWrap/>
            <w:vAlign w:val="center"/>
            <w:hideMark/>
          </w:tcPr>
          <w:p w14:paraId="2EF3A2A3"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2</w:t>
            </w:r>
          </w:p>
        </w:tc>
        <w:tc>
          <w:tcPr>
            <w:tcW w:w="409" w:type="pct"/>
            <w:noWrap/>
            <w:vAlign w:val="center"/>
            <w:hideMark/>
          </w:tcPr>
          <w:p w14:paraId="53B31776"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2</w:t>
            </w:r>
          </w:p>
        </w:tc>
        <w:tc>
          <w:tcPr>
            <w:tcW w:w="409" w:type="pct"/>
            <w:noWrap/>
            <w:vAlign w:val="center"/>
            <w:hideMark/>
          </w:tcPr>
          <w:p w14:paraId="1897F850"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2</w:t>
            </w:r>
          </w:p>
        </w:tc>
        <w:tc>
          <w:tcPr>
            <w:tcW w:w="409" w:type="pct"/>
            <w:noWrap/>
            <w:vAlign w:val="center"/>
            <w:hideMark/>
          </w:tcPr>
          <w:p w14:paraId="191DE4DD"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2</w:t>
            </w:r>
          </w:p>
        </w:tc>
        <w:tc>
          <w:tcPr>
            <w:tcW w:w="409" w:type="pct"/>
            <w:noWrap/>
            <w:vAlign w:val="center"/>
            <w:hideMark/>
          </w:tcPr>
          <w:p w14:paraId="2AE1B6EC"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1</w:t>
            </w:r>
          </w:p>
        </w:tc>
      </w:tr>
      <w:tr w:rsidR="004F64EF" w:rsidRPr="003003C0" w14:paraId="053EFF3A" w14:textId="77777777" w:rsidTr="00BE2A9F">
        <w:trPr>
          <w:cnfStyle w:val="000000010000" w:firstRow="0" w:lastRow="0" w:firstColumn="0" w:lastColumn="0" w:oddVBand="0" w:evenVBand="0" w:oddHBand="0" w:evenHBand="1" w:firstRowFirstColumn="0" w:firstRowLastColumn="0" w:lastRowFirstColumn="0" w:lastRowLastColumn="0"/>
          <w:trHeight w:val="20"/>
        </w:trPr>
        <w:tc>
          <w:tcPr>
            <w:tcW w:w="2137" w:type="pct"/>
            <w:noWrap/>
            <w:vAlign w:val="center"/>
            <w:hideMark/>
          </w:tcPr>
          <w:p w14:paraId="38DA62F1" w14:textId="77777777" w:rsidR="004F64EF" w:rsidRPr="003003C0" w:rsidRDefault="004F64EF" w:rsidP="00FD6B66">
            <w:pPr>
              <w:tabs>
                <w:tab w:val="left" w:pos="113"/>
              </w:tabs>
              <w:jc w:val="left"/>
              <w:rPr>
                <w:rFonts w:cs="Arial"/>
                <w:color w:val="000000"/>
                <w:sz w:val="14"/>
                <w:szCs w:val="14"/>
              </w:rPr>
            </w:pPr>
            <w:r w:rsidRPr="003003C0">
              <w:rPr>
                <w:rFonts w:cs="Arial"/>
                <w:color w:val="000000"/>
                <w:sz w:val="14"/>
                <w:szCs w:val="14"/>
              </w:rPr>
              <w:tab/>
              <w:t>Ot</w:t>
            </w:r>
            <w:r>
              <w:rPr>
                <w:rFonts w:cs="Arial"/>
                <w:color w:val="000000"/>
                <w:sz w:val="14"/>
                <w:szCs w:val="14"/>
              </w:rPr>
              <w:t xml:space="preserve">her </w:t>
            </w:r>
            <w:r w:rsidRPr="003003C0">
              <w:rPr>
                <w:rFonts w:cs="Arial"/>
                <w:color w:val="000000"/>
                <w:sz w:val="14"/>
                <w:szCs w:val="14"/>
              </w:rPr>
              <w:t>Euro</w:t>
            </w:r>
            <w:r>
              <w:rPr>
                <w:rFonts w:cs="Arial"/>
                <w:color w:val="000000"/>
                <w:sz w:val="14"/>
                <w:szCs w:val="14"/>
              </w:rPr>
              <w:t>pe</w:t>
            </w:r>
          </w:p>
        </w:tc>
        <w:tc>
          <w:tcPr>
            <w:tcW w:w="409" w:type="pct"/>
            <w:noWrap/>
            <w:vAlign w:val="center"/>
            <w:hideMark/>
          </w:tcPr>
          <w:p w14:paraId="2D128ED8"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3</w:t>
            </w:r>
          </w:p>
        </w:tc>
        <w:tc>
          <w:tcPr>
            <w:tcW w:w="409" w:type="pct"/>
            <w:noWrap/>
            <w:vAlign w:val="center"/>
            <w:hideMark/>
          </w:tcPr>
          <w:p w14:paraId="3BFEBF66"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4</w:t>
            </w:r>
          </w:p>
        </w:tc>
        <w:tc>
          <w:tcPr>
            <w:tcW w:w="409" w:type="pct"/>
            <w:noWrap/>
            <w:vAlign w:val="center"/>
            <w:hideMark/>
          </w:tcPr>
          <w:p w14:paraId="3701781C"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3</w:t>
            </w:r>
          </w:p>
        </w:tc>
        <w:tc>
          <w:tcPr>
            <w:tcW w:w="409" w:type="pct"/>
            <w:noWrap/>
            <w:vAlign w:val="center"/>
            <w:hideMark/>
          </w:tcPr>
          <w:p w14:paraId="4E698BA9"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3</w:t>
            </w:r>
          </w:p>
        </w:tc>
        <w:tc>
          <w:tcPr>
            <w:tcW w:w="409" w:type="pct"/>
            <w:noWrap/>
            <w:vAlign w:val="center"/>
            <w:hideMark/>
          </w:tcPr>
          <w:p w14:paraId="421FA2CB"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3</w:t>
            </w:r>
          </w:p>
        </w:tc>
        <w:tc>
          <w:tcPr>
            <w:tcW w:w="409" w:type="pct"/>
            <w:noWrap/>
            <w:vAlign w:val="center"/>
            <w:hideMark/>
          </w:tcPr>
          <w:p w14:paraId="52B51BC3"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4</w:t>
            </w:r>
          </w:p>
        </w:tc>
        <w:tc>
          <w:tcPr>
            <w:tcW w:w="409" w:type="pct"/>
            <w:noWrap/>
            <w:vAlign w:val="center"/>
            <w:hideMark/>
          </w:tcPr>
          <w:p w14:paraId="08F6F5C3"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4</w:t>
            </w:r>
          </w:p>
        </w:tc>
      </w:tr>
      <w:tr w:rsidR="004F64EF" w:rsidRPr="003003C0" w14:paraId="08467E18" w14:textId="77777777" w:rsidTr="00BE2A9F">
        <w:trPr>
          <w:trHeight w:val="20"/>
        </w:trPr>
        <w:tc>
          <w:tcPr>
            <w:tcW w:w="2137" w:type="pct"/>
            <w:noWrap/>
            <w:vAlign w:val="center"/>
            <w:hideMark/>
          </w:tcPr>
          <w:p w14:paraId="5CD20F30" w14:textId="77777777" w:rsidR="004F64EF" w:rsidRPr="003003C0" w:rsidRDefault="004F64EF" w:rsidP="00FD6B66">
            <w:pPr>
              <w:tabs>
                <w:tab w:val="left" w:pos="510"/>
              </w:tabs>
              <w:jc w:val="left"/>
              <w:rPr>
                <w:rFonts w:cs="Arial"/>
                <w:color w:val="000000"/>
                <w:sz w:val="14"/>
                <w:szCs w:val="14"/>
              </w:rPr>
            </w:pPr>
            <w:r w:rsidRPr="003003C0">
              <w:rPr>
                <w:rFonts w:cs="Arial"/>
                <w:color w:val="000000"/>
                <w:sz w:val="14"/>
                <w:szCs w:val="14"/>
              </w:rPr>
              <w:tab/>
            </w:r>
            <w:r>
              <w:rPr>
                <w:rFonts w:cs="Arial"/>
                <w:color w:val="000000"/>
                <w:sz w:val="14"/>
                <w:szCs w:val="14"/>
              </w:rPr>
              <w:t>United Kingdom</w:t>
            </w:r>
          </w:p>
        </w:tc>
        <w:tc>
          <w:tcPr>
            <w:tcW w:w="409" w:type="pct"/>
            <w:noWrap/>
            <w:vAlign w:val="center"/>
            <w:hideMark/>
          </w:tcPr>
          <w:p w14:paraId="019D8A58"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3</w:t>
            </w:r>
          </w:p>
        </w:tc>
        <w:tc>
          <w:tcPr>
            <w:tcW w:w="409" w:type="pct"/>
            <w:noWrap/>
            <w:vAlign w:val="center"/>
            <w:hideMark/>
          </w:tcPr>
          <w:p w14:paraId="13D106A5"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4</w:t>
            </w:r>
          </w:p>
        </w:tc>
        <w:tc>
          <w:tcPr>
            <w:tcW w:w="409" w:type="pct"/>
            <w:noWrap/>
            <w:vAlign w:val="center"/>
            <w:hideMark/>
          </w:tcPr>
          <w:p w14:paraId="54F8B604"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3</w:t>
            </w:r>
          </w:p>
        </w:tc>
        <w:tc>
          <w:tcPr>
            <w:tcW w:w="409" w:type="pct"/>
            <w:noWrap/>
            <w:vAlign w:val="center"/>
            <w:hideMark/>
          </w:tcPr>
          <w:p w14:paraId="646BA722"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2</w:t>
            </w:r>
          </w:p>
        </w:tc>
        <w:tc>
          <w:tcPr>
            <w:tcW w:w="409" w:type="pct"/>
            <w:noWrap/>
            <w:vAlign w:val="center"/>
            <w:hideMark/>
          </w:tcPr>
          <w:p w14:paraId="10F7A643"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3</w:t>
            </w:r>
          </w:p>
        </w:tc>
        <w:tc>
          <w:tcPr>
            <w:tcW w:w="409" w:type="pct"/>
            <w:noWrap/>
            <w:vAlign w:val="center"/>
            <w:hideMark/>
          </w:tcPr>
          <w:p w14:paraId="07B202D4"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4</w:t>
            </w:r>
          </w:p>
        </w:tc>
        <w:tc>
          <w:tcPr>
            <w:tcW w:w="409" w:type="pct"/>
            <w:noWrap/>
            <w:vAlign w:val="center"/>
            <w:hideMark/>
          </w:tcPr>
          <w:p w14:paraId="5323321E"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3</w:t>
            </w:r>
          </w:p>
        </w:tc>
      </w:tr>
      <w:tr w:rsidR="004F64EF" w:rsidRPr="003003C0" w14:paraId="27D59D3B" w14:textId="77777777" w:rsidTr="00BE2A9F">
        <w:trPr>
          <w:cnfStyle w:val="000000010000" w:firstRow="0" w:lastRow="0" w:firstColumn="0" w:lastColumn="0" w:oddVBand="0" w:evenVBand="0" w:oddHBand="0" w:evenHBand="1" w:firstRowFirstColumn="0" w:firstRowLastColumn="0" w:lastRowFirstColumn="0" w:lastRowLastColumn="0"/>
          <w:trHeight w:val="20"/>
        </w:trPr>
        <w:tc>
          <w:tcPr>
            <w:tcW w:w="2137" w:type="pct"/>
            <w:noWrap/>
            <w:vAlign w:val="center"/>
            <w:hideMark/>
          </w:tcPr>
          <w:p w14:paraId="1360265A" w14:textId="77777777" w:rsidR="004F64EF" w:rsidRPr="003003C0" w:rsidRDefault="004F64EF" w:rsidP="00FD6B66">
            <w:pPr>
              <w:jc w:val="left"/>
              <w:rPr>
                <w:rFonts w:cs="Arial"/>
                <w:color w:val="000000"/>
                <w:sz w:val="14"/>
                <w:szCs w:val="14"/>
              </w:rPr>
            </w:pPr>
            <w:r w:rsidRPr="00552AA3">
              <w:rPr>
                <w:rFonts w:cs="Arial"/>
                <w:color w:val="000000"/>
                <w:sz w:val="14"/>
                <w:szCs w:val="14"/>
              </w:rPr>
              <w:t xml:space="preserve">Commonwealth of Independent States </w:t>
            </w:r>
            <w:r w:rsidRPr="003003C0">
              <w:rPr>
                <w:rFonts w:cs="Arial"/>
                <w:color w:val="000000"/>
                <w:sz w:val="14"/>
                <w:szCs w:val="14"/>
              </w:rPr>
              <w:t>(C</w:t>
            </w:r>
            <w:r>
              <w:rPr>
                <w:rFonts w:cs="Arial"/>
                <w:color w:val="000000"/>
                <w:sz w:val="14"/>
                <w:szCs w:val="14"/>
              </w:rPr>
              <w:t>IS</w:t>
            </w:r>
            <w:r w:rsidRPr="003003C0">
              <w:rPr>
                <w:rFonts w:cs="Arial"/>
                <w:color w:val="000000"/>
                <w:sz w:val="14"/>
                <w:szCs w:val="14"/>
              </w:rPr>
              <w:t>)</w:t>
            </w:r>
            <w:r w:rsidRPr="003003C0">
              <w:rPr>
                <w:rFonts w:cs="Arial"/>
                <w:color w:val="000000"/>
                <w:sz w:val="14"/>
                <w:szCs w:val="14"/>
                <w:vertAlign w:val="superscript"/>
              </w:rPr>
              <w:t>a</w:t>
            </w:r>
          </w:p>
        </w:tc>
        <w:tc>
          <w:tcPr>
            <w:tcW w:w="409" w:type="pct"/>
            <w:noWrap/>
            <w:vAlign w:val="center"/>
            <w:hideMark/>
          </w:tcPr>
          <w:p w14:paraId="6AAC170C"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0</w:t>
            </w:r>
          </w:p>
        </w:tc>
        <w:tc>
          <w:tcPr>
            <w:tcW w:w="409" w:type="pct"/>
            <w:noWrap/>
            <w:vAlign w:val="center"/>
            <w:hideMark/>
          </w:tcPr>
          <w:p w14:paraId="66FD04B8"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0</w:t>
            </w:r>
          </w:p>
        </w:tc>
        <w:tc>
          <w:tcPr>
            <w:tcW w:w="409" w:type="pct"/>
            <w:noWrap/>
            <w:vAlign w:val="center"/>
            <w:hideMark/>
          </w:tcPr>
          <w:p w14:paraId="13AAED20"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0</w:t>
            </w:r>
          </w:p>
        </w:tc>
        <w:tc>
          <w:tcPr>
            <w:tcW w:w="409" w:type="pct"/>
            <w:noWrap/>
            <w:vAlign w:val="center"/>
            <w:hideMark/>
          </w:tcPr>
          <w:p w14:paraId="1F5795C8"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0</w:t>
            </w:r>
          </w:p>
        </w:tc>
        <w:tc>
          <w:tcPr>
            <w:tcW w:w="409" w:type="pct"/>
            <w:noWrap/>
            <w:vAlign w:val="center"/>
            <w:hideMark/>
          </w:tcPr>
          <w:p w14:paraId="7E19D31F"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1</w:t>
            </w:r>
          </w:p>
        </w:tc>
        <w:tc>
          <w:tcPr>
            <w:tcW w:w="409" w:type="pct"/>
            <w:noWrap/>
            <w:vAlign w:val="center"/>
            <w:hideMark/>
          </w:tcPr>
          <w:p w14:paraId="3FC558AD"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2</w:t>
            </w:r>
          </w:p>
        </w:tc>
        <w:tc>
          <w:tcPr>
            <w:tcW w:w="409" w:type="pct"/>
            <w:noWrap/>
            <w:vAlign w:val="center"/>
            <w:hideMark/>
          </w:tcPr>
          <w:p w14:paraId="10E7CDFA"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1</w:t>
            </w:r>
          </w:p>
        </w:tc>
      </w:tr>
      <w:tr w:rsidR="004F64EF" w:rsidRPr="003003C0" w14:paraId="0B1C7E48" w14:textId="77777777" w:rsidTr="00BE2A9F">
        <w:trPr>
          <w:trHeight w:val="20"/>
        </w:trPr>
        <w:tc>
          <w:tcPr>
            <w:tcW w:w="2137" w:type="pct"/>
            <w:noWrap/>
            <w:vAlign w:val="center"/>
            <w:hideMark/>
          </w:tcPr>
          <w:p w14:paraId="48FD96C2" w14:textId="77777777" w:rsidR="004F64EF" w:rsidRPr="003003C0" w:rsidRDefault="004F64EF" w:rsidP="00FD6B66">
            <w:pPr>
              <w:tabs>
                <w:tab w:val="left" w:pos="510"/>
              </w:tabs>
              <w:jc w:val="left"/>
              <w:rPr>
                <w:rFonts w:cs="Arial"/>
                <w:color w:val="000000"/>
                <w:sz w:val="14"/>
                <w:szCs w:val="14"/>
              </w:rPr>
            </w:pPr>
            <w:r w:rsidRPr="003003C0">
              <w:rPr>
                <w:rFonts w:cs="Arial"/>
                <w:color w:val="000000"/>
                <w:sz w:val="14"/>
                <w:szCs w:val="14"/>
              </w:rPr>
              <w:tab/>
            </w:r>
            <w:r>
              <w:rPr>
                <w:rFonts w:cs="Arial"/>
                <w:color w:val="000000"/>
                <w:sz w:val="14"/>
                <w:szCs w:val="14"/>
              </w:rPr>
              <w:t>Russian Federation</w:t>
            </w:r>
          </w:p>
        </w:tc>
        <w:tc>
          <w:tcPr>
            <w:tcW w:w="409" w:type="pct"/>
            <w:noWrap/>
            <w:vAlign w:val="center"/>
            <w:hideMark/>
          </w:tcPr>
          <w:p w14:paraId="438D5E67"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0</w:t>
            </w:r>
          </w:p>
        </w:tc>
        <w:tc>
          <w:tcPr>
            <w:tcW w:w="409" w:type="pct"/>
            <w:noWrap/>
            <w:vAlign w:val="center"/>
            <w:hideMark/>
          </w:tcPr>
          <w:p w14:paraId="216B6BAA"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0</w:t>
            </w:r>
          </w:p>
        </w:tc>
        <w:tc>
          <w:tcPr>
            <w:tcW w:w="409" w:type="pct"/>
            <w:noWrap/>
            <w:vAlign w:val="center"/>
            <w:hideMark/>
          </w:tcPr>
          <w:p w14:paraId="310E0EDB"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0</w:t>
            </w:r>
          </w:p>
        </w:tc>
        <w:tc>
          <w:tcPr>
            <w:tcW w:w="409" w:type="pct"/>
            <w:noWrap/>
            <w:vAlign w:val="center"/>
            <w:hideMark/>
          </w:tcPr>
          <w:p w14:paraId="035CC6F2"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0</w:t>
            </w:r>
          </w:p>
        </w:tc>
        <w:tc>
          <w:tcPr>
            <w:tcW w:w="409" w:type="pct"/>
            <w:noWrap/>
            <w:vAlign w:val="center"/>
            <w:hideMark/>
          </w:tcPr>
          <w:p w14:paraId="1948EE29"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1</w:t>
            </w:r>
          </w:p>
        </w:tc>
        <w:tc>
          <w:tcPr>
            <w:tcW w:w="409" w:type="pct"/>
            <w:noWrap/>
            <w:vAlign w:val="center"/>
            <w:hideMark/>
          </w:tcPr>
          <w:p w14:paraId="1DE54FDF"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2</w:t>
            </w:r>
          </w:p>
        </w:tc>
        <w:tc>
          <w:tcPr>
            <w:tcW w:w="409" w:type="pct"/>
            <w:noWrap/>
            <w:vAlign w:val="center"/>
            <w:hideMark/>
          </w:tcPr>
          <w:p w14:paraId="0135E19A"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1</w:t>
            </w:r>
          </w:p>
        </w:tc>
      </w:tr>
      <w:tr w:rsidR="004F64EF" w:rsidRPr="003003C0" w14:paraId="20F90592" w14:textId="77777777" w:rsidTr="00BE2A9F">
        <w:trPr>
          <w:cnfStyle w:val="000000010000" w:firstRow="0" w:lastRow="0" w:firstColumn="0" w:lastColumn="0" w:oddVBand="0" w:evenVBand="0" w:oddHBand="0" w:evenHBand="1" w:firstRowFirstColumn="0" w:firstRowLastColumn="0" w:lastRowFirstColumn="0" w:lastRowLastColumn="0"/>
          <w:trHeight w:val="20"/>
        </w:trPr>
        <w:tc>
          <w:tcPr>
            <w:tcW w:w="2137" w:type="pct"/>
            <w:noWrap/>
            <w:vAlign w:val="center"/>
            <w:hideMark/>
          </w:tcPr>
          <w:p w14:paraId="5F253F83" w14:textId="77777777" w:rsidR="004F64EF" w:rsidRPr="003003C0" w:rsidRDefault="004F64EF" w:rsidP="00FD6B66">
            <w:pPr>
              <w:jc w:val="left"/>
              <w:rPr>
                <w:rFonts w:cs="Arial"/>
                <w:color w:val="000000"/>
                <w:sz w:val="14"/>
                <w:szCs w:val="14"/>
              </w:rPr>
            </w:pPr>
            <w:r>
              <w:rPr>
                <w:rFonts w:cs="Arial"/>
                <w:color w:val="000000"/>
                <w:sz w:val="14"/>
                <w:szCs w:val="14"/>
              </w:rPr>
              <w:t>A</w:t>
            </w:r>
            <w:r w:rsidRPr="003003C0">
              <w:rPr>
                <w:rFonts w:cs="Arial"/>
                <w:color w:val="000000"/>
                <w:sz w:val="14"/>
                <w:szCs w:val="14"/>
              </w:rPr>
              <w:t>frica</w:t>
            </w:r>
          </w:p>
        </w:tc>
        <w:tc>
          <w:tcPr>
            <w:tcW w:w="409" w:type="pct"/>
            <w:noWrap/>
            <w:vAlign w:val="center"/>
            <w:hideMark/>
          </w:tcPr>
          <w:p w14:paraId="33026224"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0</w:t>
            </w:r>
          </w:p>
        </w:tc>
        <w:tc>
          <w:tcPr>
            <w:tcW w:w="409" w:type="pct"/>
            <w:noWrap/>
            <w:vAlign w:val="center"/>
            <w:hideMark/>
          </w:tcPr>
          <w:p w14:paraId="7D7BBD44"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0</w:t>
            </w:r>
          </w:p>
        </w:tc>
        <w:tc>
          <w:tcPr>
            <w:tcW w:w="409" w:type="pct"/>
            <w:noWrap/>
            <w:vAlign w:val="center"/>
            <w:hideMark/>
          </w:tcPr>
          <w:p w14:paraId="0F18D0C4"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0</w:t>
            </w:r>
          </w:p>
        </w:tc>
        <w:tc>
          <w:tcPr>
            <w:tcW w:w="409" w:type="pct"/>
            <w:noWrap/>
            <w:vAlign w:val="center"/>
            <w:hideMark/>
          </w:tcPr>
          <w:p w14:paraId="460DBACE"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0</w:t>
            </w:r>
          </w:p>
        </w:tc>
        <w:tc>
          <w:tcPr>
            <w:tcW w:w="409" w:type="pct"/>
            <w:noWrap/>
            <w:vAlign w:val="center"/>
            <w:hideMark/>
          </w:tcPr>
          <w:p w14:paraId="17C4553E"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0</w:t>
            </w:r>
          </w:p>
        </w:tc>
        <w:tc>
          <w:tcPr>
            <w:tcW w:w="409" w:type="pct"/>
            <w:noWrap/>
            <w:vAlign w:val="center"/>
            <w:hideMark/>
          </w:tcPr>
          <w:p w14:paraId="6206EE48"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1</w:t>
            </w:r>
          </w:p>
        </w:tc>
        <w:tc>
          <w:tcPr>
            <w:tcW w:w="409" w:type="pct"/>
            <w:noWrap/>
            <w:vAlign w:val="center"/>
            <w:hideMark/>
          </w:tcPr>
          <w:p w14:paraId="3EF03A4A"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0</w:t>
            </w:r>
          </w:p>
        </w:tc>
      </w:tr>
      <w:tr w:rsidR="004F64EF" w:rsidRPr="003003C0" w14:paraId="5446B297" w14:textId="77777777" w:rsidTr="00BE2A9F">
        <w:trPr>
          <w:trHeight w:val="20"/>
        </w:trPr>
        <w:tc>
          <w:tcPr>
            <w:tcW w:w="2137" w:type="pct"/>
            <w:noWrap/>
            <w:vAlign w:val="center"/>
            <w:hideMark/>
          </w:tcPr>
          <w:p w14:paraId="0C577FF8" w14:textId="77777777" w:rsidR="004F64EF" w:rsidRPr="003003C0" w:rsidRDefault="004F64EF" w:rsidP="00FD6B66">
            <w:pPr>
              <w:jc w:val="left"/>
              <w:rPr>
                <w:rFonts w:cs="Arial"/>
                <w:color w:val="000000"/>
                <w:sz w:val="14"/>
                <w:szCs w:val="14"/>
              </w:rPr>
            </w:pPr>
            <w:r>
              <w:rPr>
                <w:rFonts w:cs="Arial"/>
                <w:color w:val="000000"/>
                <w:sz w:val="14"/>
                <w:szCs w:val="14"/>
              </w:rPr>
              <w:t>Middle East</w:t>
            </w:r>
          </w:p>
        </w:tc>
        <w:tc>
          <w:tcPr>
            <w:tcW w:w="409" w:type="pct"/>
            <w:noWrap/>
            <w:vAlign w:val="center"/>
            <w:hideMark/>
          </w:tcPr>
          <w:p w14:paraId="13D4FCFA"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3</w:t>
            </w:r>
          </w:p>
        </w:tc>
        <w:tc>
          <w:tcPr>
            <w:tcW w:w="409" w:type="pct"/>
            <w:noWrap/>
            <w:vAlign w:val="center"/>
            <w:hideMark/>
          </w:tcPr>
          <w:p w14:paraId="6CF9B8EB"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2</w:t>
            </w:r>
          </w:p>
        </w:tc>
        <w:tc>
          <w:tcPr>
            <w:tcW w:w="409" w:type="pct"/>
            <w:noWrap/>
            <w:vAlign w:val="center"/>
            <w:hideMark/>
          </w:tcPr>
          <w:p w14:paraId="4337EEC1"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2</w:t>
            </w:r>
          </w:p>
        </w:tc>
        <w:tc>
          <w:tcPr>
            <w:tcW w:w="409" w:type="pct"/>
            <w:noWrap/>
            <w:vAlign w:val="center"/>
            <w:hideMark/>
          </w:tcPr>
          <w:p w14:paraId="53CF44CB"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2</w:t>
            </w:r>
          </w:p>
        </w:tc>
        <w:tc>
          <w:tcPr>
            <w:tcW w:w="409" w:type="pct"/>
            <w:noWrap/>
            <w:vAlign w:val="center"/>
            <w:hideMark/>
          </w:tcPr>
          <w:p w14:paraId="518F020D"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1</w:t>
            </w:r>
          </w:p>
        </w:tc>
        <w:tc>
          <w:tcPr>
            <w:tcW w:w="409" w:type="pct"/>
            <w:noWrap/>
            <w:vAlign w:val="center"/>
            <w:hideMark/>
          </w:tcPr>
          <w:p w14:paraId="764E928C"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1</w:t>
            </w:r>
          </w:p>
        </w:tc>
        <w:tc>
          <w:tcPr>
            <w:tcW w:w="409" w:type="pct"/>
            <w:noWrap/>
            <w:vAlign w:val="center"/>
            <w:hideMark/>
          </w:tcPr>
          <w:p w14:paraId="3F58FF4B"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5</w:t>
            </w:r>
          </w:p>
        </w:tc>
      </w:tr>
      <w:tr w:rsidR="004F64EF" w:rsidRPr="003003C0" w14:paraId="46BA61E0" w14:textId="77777777" w:rsidTr="00BE2A9F">
        <w:trPr>
          <w:cnfStyle w:val="000000010000" w:firstRow="0" w:lastRow="0" w:firstColumn="0" w:lastColumn="0" w:oddVBand="0" w:evenVBand="0" w:oddHBand="0" w:evenHBand="1" w:firstRowFirstColumn="0" w:firstRowLastColumn="0" w:lastRowFirstColumn="0" w:lastRowLastColumn="0"/>
          <w:trHeight w:val="20"/>
        </w:trPr>
        <w:tc>
          <w:tcPr>
            <w:tcW w:w="2137" w:type="pct"/>
            <w:noWrap/>
            <w:vAlign w:val="center"/>
            <w:hideMark/>
          </w:tcPr>
          <w:p w14:paraId="373E3C99" w14:textId="77777777" w:rsidR="004F64EF" w:rsidRPr="003003C0" w:rsidRDefault="004F64EF" w:rsidP="00FD6B66">
            <w:pPr>
              <w:tabs>
                <w:tab w:val="left" w:pos="510"/>
              </w:tabs>
              <w:jc w:val="left"/>
              <w:rPr>
                <w:rFonts w:cs="Arial"/>
                <w:color w:val="000000"/>
                <w:sz w:val="14"/>
                <w:szCs w:val="14"/>
              </w:rPr>
            </w:pPr>
            <w:r w:rsidRPr="003003C0">
              <w:rPr>
                <w:rFonts w:cs="Arial"/>
                <w:color w:val="000000"/>
                <w:sz w:val="14"/>
                <w:szCs w:val="14"/>
              </w:rPr>
              <w:tab/>
            </w:r>
            <w:r>
              <w:rPr>
                <w:rFonts w:cs="Arial"/>
                <w:color w:val="000000"/>
                <w:sz w:val="14"/>
                <w:szCs w:val="14"/>
              </w:rPr>
              <w:t>United Arab Emirates</w:t>
            </w:r>
          </w:p>
        </w:tc>
        <w:tc>
          <w:tcPr>
            <w:tcW w:w="409" w:type="pct"/>
            <w:noWrap/>
            <w:vAlign w:val="center"/>
            <w:hideMark/>
          </w:tcPr>
          <w:p w14:paraId="69A78914"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2</w:t>
            </w:r>
          </w:p>
        </w:tc>
        <w:tc>
          <w:tcPr>
            <w:tcW w:w="409" w:type="pct"/>
            <w:noWrap/>
            <w:vAlign w:val="center"/>
            <w:hideMark/>
          </w:tcPr>
          <w:p w14:paraId="5B42B9C0"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2</w:t>
            </w:r>
          </w:p>
        </w:tc>
        <w:tc>
          <w:tcPr>
            <w:tcW w:w="409" w:type="pct"/>
            <w:noWrap/>
            <w:vAlign w:val="center"/>
            <w:hideMark/>
          </w:tcPr>
          <w:p w14:paraId="29DCF3C3"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2</w:t>
            </w:r>
          </w:p>
        </w:tc>
        <w:tc>
          <w:tcPr>
            <w:tcW w:w="409" w:type="pct"/>
            <w:noWrap/>
            <w:vAlign w:val="center"/>
            <w:hideMark/>
          </w:tcPr>
          <w:p w14:paraId="1C8040BB"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1</w:t>
            </w:r>
          </w:p>
        </w:tc>
        <w:tc>
          <w:tcPr>
            <w:tcW w:w="409" w:type="pct"/>
            <w:noWrap/>
            <w:vAlign w:val="center"/>
            <w:hideMark/>
          </w:tcPr>
          <w:p w14:paraId="7F4004F2"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1</w:t>
            </w:r>
          </w:p>
        </w:tc>
        <w:tc>
          <w:tcPr>
            <w:tcW w:w="409" w:type="pct"/>
            <w:noWrap/>
            <w:vAlign w:val="center"/>
            <w:hideMark/>
          </w:tcPr>
          <w:p w14:paraId="560AAEE6"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1</w:t>
            </w:r>
          </w:p>
        </w:tc>
        <w:tc>
          <w:tcPr>
            <w:tcW w:w="409" w:type="pct"/>
            <w:noWrap/>
            <w:vAlign w:val="center"/>
            <w:hideMark/>
          </w:tcPr>
          <w:p w14:paraId="72E49879"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4</w:t>
            </w:r>
          </w:p>
        </w:tc>
      </w:tr>
      <w:tr w:rsidR="004F64EF" w:rsidRPr="003003C0" w14:paraId="107A4392" w14:textId="77777777" w:rsidTr="00BE2A9F">
        <w:trPr>
          <w:trHeight w:val="20"/>
        </w:trPr>
        <w:tc>
          <w:tcPr>
            <w:tcW w:w="2137" w:type="pct"/>
            <w:noWrap/>
            <w:vAlign w:val="center"/>
            <w:hideMark/>
          </w:tcPr>
          <w:p w14:paraId="7749BB65" w14:textId="77777777" w:rsidR="004F64EF" w:rsidRPr="003003C0" w:rsidRDefault="004F64EF" w:rsidP="00FD6B66">
            <w:pPr>
              <w:jc w:val="left"/>
              <w:rPr>
                <w:rFonts w:cs="Arial"/>
                <w:color w:val="000000"/>
                <w:sz w:val="14"/>
                <w:szCs w:val="14"/>
              </w:rPr>
            </w:pPr>
            <w:r w:rsidRPr="003003C0">
              <w:rPr>
                <w:rFonts w:cs="Arial"/>
                <w:color w:val="000000"/>
                <w:sz w:val="14"/>
                <w:szCs w:val="14"/>
              </w:rPr>
              <w:t>Asia</w:t>
            </w:r>
          </w:p>
        </w:tc>
        <w:tc>
          <w:tcPr>
            <w:tcW w:w="409" w:type="pct"/>
            <w:noWrap/>
            <w:vAlign w:val="center"/>
            <w:hideMark/>
          </w:tcPr>
          <w:p w14:paraId="62A6F68B" w14:textId="77777777" w:rsidR="004F64EF" w:rsidRPr="003003C0" w:rsidRDefault="004F64EF" w:rsidP="00FD6B66">
            <w:pPr>
              <w:jc w:val="right"/>
              <w:rPr>
                <w:rFonts w:cs="Arial"/>
                <w:color w:val="000000"/>
                <w:sz w:val="14"/>
                <w:szCs w:val="14"/>
              </w:rPr>
            </w:pPr>
            <w:r w:rsidRPr="003003C0">
              <w:rPr>
                <w:rFonts w:cs="Arial"/>
                <w:color w:val="000000"/>
                <w:sz w:val="14"/>
                <w:szCs w:val="14"/>
              </w:rPr>
              <w:t>2</w:t>
            </w:r>
            <w:r>
              <w:rPr>
                <w:rFonts w:cs="Arial"/>
                <w:color w:val="000000"/>
                <w:sz w:val="14"/>
                <w:szCs w:val="14"/>
              </w:rPr>
              <w:t>.</w:t>
            </w:r>
            <w:r w:rsidRPr="003003C0">
              <w:rPr>
                <w:rFonts w:cs="Arial"/>
                <w:color w:val="000000"/>
                <w:sz w:val="14"/>
                <w:szCs w:val="14"/>
              </w:rPr>
              <w:t>7</w:t>
            </w:r>
          </w:p>
        </w:tc>
        <w:tc>
          <w:tcPr>
            <w:tcW w:w="409" w:type="pct"/>
            <w:noWrap/>
            <w:vAlign w:val="center"/>
            <w:hideMark/>
          </w:tcPr>
          <w:p w14:paraId="3A4D1F38" w14:textId="77777777" w:rsidR="004F64EF" w:rsidRPr="003003C0" w:rsidRDefault="004F64EF" w:rsidP="00FD6B66">
            <w:pPr>
              <w:jc w:val="right"/>
              <w:rPr>
                <w:rFonts w:cs="Arial"/>
                <w:color w:val="000000"/>
                <w:sz w:val="14"/>
                <w:szCs w:val="14"/>
              </w:rPr>
            </w:pPr>
            <w:r w:rsidRPr="003003C0">
              <w:rPr>
                <w:rFonts w:cs="Arial"/>
                <w:color w:val="000000"/>
                <w:sz w:val="14"/>
                <w:szCs w:val="14"/>
              </w:rPr>
              <w:t>2</w:t>
            </w:r>
            <w:r>
              <w:rPr>
                <w:rFonts w:cs="Arial"/>
                <w:color w:val="000000"/>
                <w:sz w:val="14"/>
                <w:szCs w:val="14"/>
              </w:rPr>
              <w:t>.</w:t>
            </w:r>
            <w:r w:rsidRPr="003003C0">
              <w:rPr>
                <w:rFonts w:cs="Arial"/>
                <w:color w:val="000000"/>
                <w:sz w:val="14"/>
                <w:szCs w:val="14"/>
              </w:rPr>
              <w:t>7</w:t>
            </w:r>
          </w:p>
        </w:tc>
        <w:tc>
          <w:tcPr>
            <w:tcW w:w="409" w:type="pct"/>
            <w:noWrap/>
            <w:vAlign w:val="center"/>
            <w:hideMark/>
          </w:tcPr>
          <w:p w14:paraId="3BB37053" w14:textId="77777777" w:rsidR="004F64EF" w:rsidRPr="003003C0" w:rsidRDefault="004F64EF" w:rsidP="00FD6B66">
            <w:pPr>
              <w:jc w:val="right"/>
              <w:rPr>
                <w:rFonts w:cs="Arial"/>
                <w:color w:val="000000"/>
                <w:sz w:val="14"/>
                <w:szCs w:val="14"/>
              </w:rPr>
            </w:pPr>
            <w:r w:rsidRPr="003003C0">
              <w:rPr>
                <w:rFonts w:cs="Arial"/>
                <w:color w:val="000000"/>
                <w:sz w:val="14"/>
                <w:szCs w:val="14"/>
              </w:rPr>
              <w:t>4</w:t>
            </w:r>
            <w:r>
              <w:rPr>
                <w:rFonts w:cs="Arial"/>
                <w:color w:val="000000"/>
                <w:sz w:val="14"/>
                <w:szCs w:val="14"/>
              </w:rPr>
              <w:t>.</w:t>
            </w:r>
            <w:r w:rsidRPr="003003C0">
              <w:rPr>
                <w:rFonts w:cs="Arial"/>
                <w:color w:val="000000"/>
                <w:sz w:val="14"/>
                <w:szCs w:val="14"/>
              </w:rPr>
              <w:t>1</w:t>
            </w:r>
          </w:p>
        </w:tc>
        <w:tc>
          <w:tcPr>
            <w:tcW w:w="409" w:type="pct"/>
            <w:noWrap/>
            <w:vAlign w:val="center"/>
            <w:hideMark/>
          </w:tcPr>
          <w:p w14:paraId="6DE8F6D8" w14:textId="77777777" w:rsidR="004F64EF" w:rsidRPr="003003C0" w:rsidRDefault="004F64EF" w:rsidP="00FD6B66">
            <w:pPr>
              <w:jc w:val="right"/>
              <w:rPr>
                <w:rFonts w:cs="Arial"/>
                <w:color w:val="000000"/>
                <w:sz w:val="14"/>
                <w:szCs w:val="14"/>
              </w:rPr>
            </w:pPr>
            <w:r w:rsidRPr="003003C0">
              <w:rPr>
                <w:rFonts w:cs="Arial"/>
                <w:color w:val="000000"/>
                <w:sz w:val="14"/>
                <w:szCs w:val="14"/>
              </w:rPr>
              <w:t>3</w:t>
            </w:r>
            <w:r>
              <w:rPr>
                <w:rFonts w:cs="Arial"/>
                <w:color w:val="000000"/>
                <w:sz w:val="14"/>
                <w:szCs w:val="14"/>
              </w:rPr>
              <w:t>.</w:t>
            </w:r>
            <w:r w:rsidRPr="003003C0">
              <w:rPr>
                <w:rFonts w:cs="Arial"/>
                <w:color w:val="000000"/>
                <w:sz w:val="14"/>
                <w:szCs w:val="14"/>
              </w:rPr>
              <w:t>2</w:t>
            </w:r>
          </w:p>
        </w:tc>
        <w:tc>
          <w:tcPr>
            <w:tcW w:w="409" w:type="pct"/>
            <w:noWrap/>
            <w:vAlign w:val="center"/>
            <w:hideMark/>
          </w:tcPr>
          <w:p w14:paraId="1D529C61" w14:textId="77777777" w:rsidR="004F64EF" w:rsidRPr="003003C0" w:rsidRDefault="004F64EF" w:rsidP="00FD6B66">
            <w:pPr>
              <w:jc w:val="right"/>
              <w:rPr>
                <w:rFonts w:cs="Arial"/>
                <w:color w:val="000000"/>
                <w:sz w:val="14"/>
                <w:szCs w:val="14"/>
              </w:rPr>
            </w:pPr>
            <w:r w:rsidRPr="003003C0">
              <w:rPr>
                <w:rFonts w:cs="Arial"/>
                <w:color w:val="000000"/>
                <w:sz w:val="14"/>
                <w:szCs w:val="14"/>
              </w:rPr>
              <w:t>2</w:t>
            </w:r>
            <w:r>
              <w:rPr>
                <w:rFonts w:cs="Arial"/>
                <w:color w:val="000000"/>
                <w:sz w:val="14"/>
                <w:szCs w:val="14"/>
              </w:rPr>
              <w:t>.</w:t>
            </w:r>
            <w:r w:rsidRPr="003003C0">
              <w:rPr>
                <w:rFonts w:cs="Arial"/>
                <w:color w:val="000000"/>
                <w:sz w:val="14"/>
                <w:szCs w:val="14"/>
              </w:rPr>
              <w:t>6</w:t>
            </w:r>
          </w:p>
        </w:tc>
        <w:tc>
          <w:tcPr>
            <w:tcW w:w="409" w:type="pct"/>
            <w:noWrap/>
            <w:vAlign w:val="center"/>
            <w:hideMark/>
          </w:tcPr>
          <w:p w14:paraId="0545FBE6" w14:textId="77777777" w:rsidR="004F64EF" w:rsidRPr="003003C0" w:rsidRDefault="004F64EF" w:rsidP="00FD6B66">
            <w:pPr>
              <w:jc w:val="right"/>
              <w:rPr>
                <w:rFonts w:cs="Arial"/>
                <w:color w:val="000000"/>
                <w:sz w:val="14"/>
                <w:szCs w:val="14"/>
              </w:rPr>
            </w:pPr>
            <w:r w:rsidRPr="003003C0">
              <w:rPr>
                <w:rFonts w:cs="Arial"/>
                <w:color w:val="000000"/>
                <w:sz w:val="14"/>
                <w:szCs w:val="14"/>
              </w:rPr>
              <w:t>3</w:t>
            </w:r>
            <w:r>
              <w:rPr>
                <w:rFonts w:cs="Arial"/>
                <w:color w:val="000000"/>
                <w:sz w:val="14"/>
                <w:szCs w:val="14"/>
              </w:rPr>
              <w:t>.</w:t>
            </w:r>
            <w:r w:rsidRPr="003003C0">
              <w:rPr>
                <w:rFonts w:cs="Arial"/>
                <w:color w:val="000000"/>
                <w:sz w:val="14"/>
                <w:szCs w:val="14"/>
              </w:rPr>
              <w:t>9</w:t>
            </w:r>
          </w:p>
        </w:tc>
        <w:tc>
          <w:tcPr>
            <w:tcW w:w="409" w:type="pct"/>
            <w:noWrap/>
            <w:vAlign w:val="center"/>
            <w:hideMark/>
          </w:tcPr>
          <w:p w14:paraId="68DD650B" w14:textId="77777777" w:rsidR="004F64EF" w:rsidRPr="003003C0" w:rsidRDefault="004F64EF" w:rsidP="00FD6B66">
            <w:pPr>
              <w:jc w:val="right"/>
              <w:rPr>
                <w:rFonts w:cs="Arial"/>
                <w:color w:val="000000"/>
                <w:sz w:val="14"/>
                <w:szCs w:val="14"/>
              </w:rPr>
            </w:pPr>
            <w:r w:rsidRPr="003003C0">
              <w:rPr>
                <w:rFonts w:cs="Arial"/>
                <w:color w:val="000000"/>
                <w:sz w:val="14"/>
                <w:szCs w:val="14"/>
              </w:rPr>
              <w:t>3</w:t>
            </w:r>
            <w:r>
              <w:rPr>
                <w:rFonts w:cs="Arial"/>
                <w:color w:val="000000"/>
                <w:sz w:val="14"/>
                <w:szCs w:val="14"/>
              </w:rPr>
              <w:t>.</w:t>
            </w:r>
            <w:r w:rsidRPr="003003C0">
              <w:rPr>
                <w:rFonts w:cs="Arial"/>
                <w:color w:val="000000"/>
                <w:sz w:val="14"/>
                <w:szCs w:val="14"/>
              </w:rPr>
              <w:t>7</w:t>
            </w:r>
          </w:p>
        </w:tc>
      </w:tr>
      <w:tr w:rsidR="004F64EF" w:rsidRPr="003003C0" w14:paraId="2B1EEC06" w14:textId="77777777" w:rsidTr="00BE2A9F">
        <w:trPr>
          <w:cnfStyle w:val="000000010000" w:firstRow="0" w:lastRow="0" w:firstColumn="0" w:lastColumn="0" w:oddVBand="0" w:evenVBand="0" w:oddHBand="0" w:evenHBand="1" w:firstRowFirstColumn="0" w:firstRowLastColumn="0" w:lastRowFirstColumn="0" w:lastRowLastColumn="0"/>
          <w:trHeight w:val="20"/>
        </w:trPr>
        <w:tc>
          <w:tcPr>
            <w:tcW w:w="2137" w:type="pct"/>
            <w:noWrap/>
            <w:vAlign w:val="center"/>
            <w:hideMark/>
          </w:tcPr>
          <w:p w14:paraId="3D7EF315" w14:textId="77777777" w:rsidR="004F64EF" w:rsidRPr="003003C0" w:rsidRDefault="004F64EF" w:rsidP="00FD6B66">
            <w:pPr>
              <w:tabs>
                <w:tab w:val="left" w:pos="113"/>
              </w:tabs>
              <w:jc w:val="left"/>
              <w:rPr>
                <w:rFonts w:cs="Arial"/>
                <w:color w:val="000000"/>
                <w:sz w:val="14"/>
                <w:szCs w:val="14"/>
              </w:rPr>
            </w:pPr>
            <w:r w:rsidRPr="003003C0">
              <w:rPr>
                <w:rFonts w:cs="Arial"/>
                <w:color w:val="000000"/>
                <w:sz w:val="14"/>
                <w:szCs w:val="14"/>
              </w:rPr>
              <w:tab/>
              <w:t>China</w:t>
            </w:r>
          </w:p>
        </w:tc>
        <w:tc>
          <w:tcPr>
            <w:tcW w:w="409" w:type="pct"/>
            <w:noWrap/>
            <w:vAlign w:val="center"/>
            <w:hideMark/>
          </w:tcPr>
          <w:p w14:paraId="4A404B90" w14:textId="77777777" w:rsidR="004F64EF" w:rsidRPr="003003C0" w:rsidRDefault="004F64EF" w:rsidP="00FD6B66">
            <w:pPr>
              <w:jc w:val="right"/>
              <w:rPr>
                <w:rFonts w:cs="Arial"/>
                <w:color w:val="000000"/>
                <w:sz w:val="14"/>
                <w:szCs w:val="14"/>
              </w:rPr>
            </w:pPr>
            <w:r w:rsidRPr="003003C0">
              <w:rPr>
                <w:rFonts w:cs="Arial"/>
                <w:color w:val="000000"/>
                <w:sz w:val="14"/>
                <w:szCs w:val="14"/>
              </w:rPr>
              <w:t>1</w:t>
            </w:r>
            <w:r>
              <w:rPr>
                <w:rFonts w:cs="Arial"/>
                <w:color w:val="000000"/>
                <w:sz w:val="14"/>
                <w:szCs w:val="14"/>
              </w:rPr>
              <w:t>.</w:t>
            </w:r>
            <w:r w:rsidRPr="003003C0">
              <w:rPr>
                <w:rFonts w:cs="Arial"/>
                <w:color w:val="000000"/>
                <w:sz w:val="14"/>
                <w:szCs w:val="14"/>
              </w:rPr>
              <w:t>2</w:t>
            </w:r>
          </w:p>
        </w:tc>
        <w:tc>
          <w:tcPr>
            <w:tcW w:w="409" w:type="pct"/>
            <w:noWrap/>
            <w:vAlign w:val="center"/>
            <w:hideMark/>
          </w:tcPr>
          <w:p w14:paraId="1F9FB279" w14:textId="77777777" w:rsidR="004F64EF" w:rsidRPr="003003C0" w:rsidRDefault="004F64EF" w:rsidP="00FD6B66">
            <w:pPr>
              <w:jc w:val="right"/>
              <w:rPr>
                <w:rFonts w:cs="Arial"/>
                <w:color w:val="000000"/>
                <w:sz w:val="14"/>
                <w:szCs w:val="14"/>
              </w:rPr>
            </w:pPr>
            <w:r w:rsidRPr="003003C0">
              <w:rPr>
                <w:rFonts w:cs="Arial"/>
                <w:color w:val="000000"/>
                <w:sz w:val="14"/>
                <w:szCs w:val="14"/>
              </w:rPr>
              <w:t>1</w:t>
            </w:r>
            <w:r>
              <w:rPr>
                <w:rFonts w:cs="Arial"/>
                <w:color w:val="000000"/>
                <w:sz w:val="14"/>
                <w:szCs w:val="14"/>
              </w:rPr>
              <w:t>.</w:t>
            </w:r>
            <w:r w:rsidRPr="003003C0">
              <w:rPr>
                <w:rFonts w:cs="Arial"/>
                <w:color w:val="000000"/>
                <w:sz w:val="14"/>
                <w:szCs w:val="14"/>
              </w:rPr>
              <w:t>0</w:t>
            </w:r>
          </w:p>
        </w:tc>
        <w:tc>
          <w:tcPr>
            <w:tcW w:w="409" w:type="pct"/>
            <w:noWrap/>
            <w:vAlign w:val="center"/>
            <w:hideMark/>
          </w:tcPr>
          <w:p w14:paraId="4C8E99A8" w14:textId="77777777" w:rsidR="004F64EF" w:rsidRPr="003003C0" w:rsidRDefault="004F64EF" w:rsidP="00FD6B66">
            <w:pPr>
              <w:jc w:val="right"/>
              <w:rPr>
                <w:rFonts w:cs="Arial"/>
                <w:color w:val="000000"/>
                <w:sz w:val="14"/>
                <w:szCs w:val="14"/>
              </w:rPr>
            </w:pPr>
            <w:r w:rsidRPr="003003C0">
              <w:rPr>
                <w:rFonts w:cs="Arial"/>
                <w:color w:val="000000"/>
                <w:sz w:val="14"/>
                <w:szCs w:val="14"/>
              </w:rPr>
              <w:t>1</w:t>
            </w:r>
            <w:r>
              <w:rPr>
                <w:rFonts w:cs="Arial"/>
                <w:color w:val="000000"/>
                <w:sz w:val="14"/>
                <w:szCs w:val="14"/>
              </w:rPr>
              <w:t>.</w:t>
            </w:r>
            <w:r w:rsidRPr="003003C0">
              <w:rPr>
                <w:rFonts w:cs="Arial"/>
                <w:color w:val="000000"/>
                <w:sz w:val="14"/>
                <w:szCs w:val="14"/>
              </w:rPr>
              <w:t>9</w:t>
            </w:r>
          </w:p>
        </w:tc>
        <w:tc>
          <w:tcPr>
            <w:tcW w:w="409" w:type="pct"/>
            <w:noWrap/>
            <w:vAlign w:val="center"/>
            <w:hideMark/>
          </w:tcPr>
          <w:p w14:paraId="15A9A9BC" w14:textId="77777777" w:rsidR="004F64EF" w:rsidRPr="003003C0" w:rsidRDefault="004F64EF" w:rsidP="00FD6B66">
            <w:pPr>
              <w:jc w:val="right"/>
              <w:rPr>
                <w:rFonts w:cs="Arial"/>
                <w:color w:val="000000"/>
                <w:sz w:val="14"/>
                <w:szCs w:val="14"/>
              </w:rPr>
            </w:pPr>
            <w:r w:rsidRPr="003003C0">
              <w:rPr>
                <w:rFonts w:cs="Arial"/>
                <w:color w:val="000000"/>
                <w:sz w:val="14"/>
                <w:szCs w:val="14"/>
              </w:rPr>
              <w:t>1</w:t>
            </w:r>
            <w:r>
              <w:rPr>
                <w:rFonts w:cs="Arial"/>
                <w:color w:val="000000"/>
                <w:sz w:val="14"/>
                <w:szCs w:val="14"/>
              </w:rPr>
              <w:t>.</w:t>
            </w:r>
            <w:r w:rsidRPr="003003C0">
              <w:rPr>
                <w:rFonts w:cs="Arial"/>
                <w:color w:val="000000"/>
                <w:sz w:val="14"/>
                <w:szCs w:val="14"/>
              </w:rPr>
              <w:t>3</w:t>
            </w:r>
          </w:p>
        </w:tc>
        <w:tc>
          <w:tcPr>
            <w:tcW w:w="409" w:type="pct"/>
            <w:noWrap/>
            <w:vAlign w:val="center"/>
            <w:hideMark/>
          </w:tcPr>
          <w:p w14:paraId="28E153C3"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8</w:t>
            </w:r>
          </w:p>
        </w:tc>
        <w:tc>
          <w:tcPr>
            <w:tcW w:w="409" w:type="pct"/>
            <w:noWrap/>
            <w:vAlign w:val="center"/>
            <w:hideMark/>
          </w:tcPr>
          <w:p w14:paraId="675717BC" w14:textId="77777777" w:rsidR="004F64EF" w:rsidRPr="003003C0" w:rsidRDefault="004F64EF" w:rsidP="00FD6B66">
            <w:pPr>
              <w:jc w:val="right"/>
              <w:rPr>
                <w:rFonts w:cs="Arial"/>
                <w:color w:val="000000"/>
                <w:sz w:val="14"/>
                <w:szCs w:val="14"/>
              </w:rPr>
            </w:pPr>
            <w:r w:rsidRPr="003003C0">
              <w:rPr>
                <w:rFonts w:cs="Arial"/>
                <w:color w:val="000000"/>
                <w:sz w:val="14"/>
                <w:szCs w:val="14"/>
              </w:rPr>
              <w:t>1</w:t>
            </w:r>
            <w:r>
              <w:rPr>
                <w:rFonts w:cs="Arial"/>
                <w:color w:val="000000"/>
                <w:sz w:val="14"/>
                <w:szCs w:val="14"/>
              </w:rPr>
              <w:t>.</w:t>
            </w:r>
            <w:r w:rsidRPr="003003C0">
              <w:rPr>
                <w:rFonts w:cs="Arial"/>
                <w:color w:val="000000"/>
                <w:sz w:val="14"/>
                <w:szCs w:val="14"/>
              </w:rPr>
              <w:t>1</w:t>
            </w:r>
          </w:p>
        </w:tc>
        <w:tc>
          <w:tcPr>
            <w:tcW w:w="409" w:type="pct"/>
            <w:noWrap/>
            <w:vAlign w:val="center"/>
            <w:hideMark/>
          </w:tcPr>
          <w:p w14:paraId="13367478" w14:textId="77777777" w:rsidR="004F64EF" w:rsidRPr="003003C0" w:rsidRDefault="004F64EF" w:rsidP="00FD6B66">
            <w:pPr>
              <w:jc w:val="right"/>
              <w:rPr>
                <w:rFonts w:cs="Arial"/>
                <w:color w:val="000000"/>
                <w:sz w:val="14"/>
                <w:szCs w:val="14"/>
              </w:rPr>
            </w:pPr>
            <w:r w:rsidRPr="003003C0">
              <w:rPr>
                <w:rFonts w:cs="Arial"/>
                <w:color w:val="000000"/>
                <w:sz w:val="14"/>
                <w:szCs w:val="14"/>
              </w:rPr>
              <w:t>1</w:t>
            </w:r>
            <w:r>
              <w:rPr>
                <w:rFonts w:cs="Arial"/>
                <w:color w:val="000000"/>
                <w:sz w:val="14"/>
                <w:szCs w:val="14"/>
              </w:rPr>
              <w:t>.</w:t>
            </w:r>
            <w:r w:rsidRPr="003003C0">
              <w:rPr>
                <w:rFonts w:cs="Arial"/>
                <w:color w:val="000000"/>
                <w:sz w:val="14"/>
                <w:szCs w:val="14"/>
              </w:rPr>
              <w:t>2</w:t>
            </w:r>
          </w:p>
        </w:tc>
      </w:tr>
      <w:tr w:rsidR="004F64EF" w:rsidRPr="003003C0" w14:paraId="12F95F0F" w14:textId="77777777" w:rsidTr="00BE2A9F">
        <w:trPr>
          <w:trHeight w:val="20"/>
        </w:trPr>
        <w:tc>
          <w:tcPr>
            <w:tcW w:w="2137" w:type="pct"/>
            <w:noWrap/>
            <w:vAlign w:val="center"/>
            <w:hideMark/>
          </w:tcPr>
          <w:p w14:paraId="5C516025" w14:textId="77777777" w:rsidR="004F64EF" w:rsidRPr="003003C0" w:rsidRDefault="004F64EF" w:rsidP="00FD6B66">
            <w:pPr>
              <w:tabs>
                <w:tab w:val="left" w:pos="113"/>
              </w:tabs>
              <w:jc w:val="left"/>
              <w:rPr>
                <w:rFonts w:cs="Arial"/>
                <w:color w:val="000000"/>
                <w:sz w:val="14"/>
                <w:szCs w:val="14"/>
              </w:rPr>
            </w:pPr>
            <w:r w:rsidRPr="003003C0">
              <w:rPr>
                <w:rFonts w:cs="Arial"/>
                <w:color w:val="000000"/>
                <w:sz w:val="14"/>
                <w:szCs w:val="14"/>
              </w:rPr>
              <w:tab/>
              <w:t>Jap</w:t>
            </w:r>
            <w:r>
              <w:rPr>
                <w:rFonts w:cs="Arial"/>
                <w:color w:val="000000"/>
                <w:sz w:val="14"/>
                <w:szCs w:val="14"/>
              </w:rPr>
              <w:t>a</w:t>
            </w:r>
            <w:r w:rsidRPr="003003C0">
              <w:rPr>
                <w:rFonts w:cs="Arial"/>
                <w:color w:val="000000"/>
                <w:sz w:val="14"/>
                <w:szCs w:val="14"/>
              </w:rPr>
              <w:t>n</w:t>
            </w:r>
          </w:p>
        </w:tc>
        <w:tc>
          <w:tcPr>
            <w:tcW w:w="409" w:type="pct"/>
            <w:noWrap/>
            <w:vAlign w:val="center"/>
            <w:hideMark/>
          </w:tcPr>
          <w:p w14:paraId="38E24D99"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3</w:t>
            </w:r>
          </w:p>
        </w:tc>
        <w:tc>
          <w:tcPr>
            <w:tcW w:w="409" w:type="pct"/>
            <w:noWrap/>
            <w:vAlign w:val="center"/>
            <w:hideMark/>
          </w:tcPr>
          <w:p w14:paraId="5CC7BE79"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3</w:t>
            </w:r>
          </w:p>
        </w:tc>
        <w:tc>
          <w:tcPr>
            <w:tcW w:w="409" w:type="pct"/>
            <w:noWrap/>
            <w:vAlign w:val="center"/>
            <w:hideMark/>
          </w:tcPr>
          <w:p w14:paraId="75E30444"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2</w:t>
            </w:r>
          </w:p>
        </w:tc>
        <w:tc>
          <w:tcPr>
            <w:tcW w:w="409" w:type="pct"/>
            <w:noWrap/>
            <w:vAlign w:val="center"/>
            <w:hideMark/>
          </w:tcPr>
          <w:p w14:paraId="21279C84"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2</w:t>
            </w:r>
          </w:p>
        </w:tc>
        <w:tc>
          <w:tcPr>
            <w:tcW w:w="409" w:type="pct"/>
            <w:noWrap/>
            <w:vAlign w:val="center"/>
            <w:hideMark/>
          </w:tcPr>
          <w:p w14:paraId="07AC3884"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3</w:t>
            </w:r>
          </w:p>
        </w:tc>
        <w:tc>
          <w:tcPr>
            <w:tcW w:w="409" w:type="pct"/>
            <w:noWrap/>
            <w:vAlign w:val="center"/>
            <w:hideMark/>
          </w:tcPr>
          <w:p w14:paraId="7500DB25"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8</w:t>
            </w:r>
          </w:p>
        </w:tc>
        <w:tc>
          <w:tcPr>
            <w:tcW w:w="409" w:type="pct"/>
            <w:noWrap/>
            <w:vAlign w:val="center"/>
            <w:hideMark/>
          </w:tcPr>
          <w:p w14:paraId="3CE40750"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6</w:t>
            </w:r>
          </w:p>
        </w:tc>
      </w:tr>
      <w:tr w:rsidR="004F64EF" w:rsidRPr="003003C0" w14:paraId="4290F067" w14:textId="77777777" w:rsidTr="00BE2A9F">
        <w:trPr>
          <w:cnfStyle w:val="000000010000" w:firstRow="0" w:lastRow="0" w:firstColumn="0" w:lastColumn="0" w:oddVBand="0" w:evenVBand="0" w:oddHBand="0" w:evenHBand="1" w:firstRowFirstColumn="0" w:firstRowLastColumn="0" w:lastRowFirstColumn="0" w:lastRowLastColumn="0"/>
          <w:trHeight w:val="20"/>
        </w:trPr>
        <w:tc>
          <w:tcPr>
            <w:tcW w:w="2137" w:type="pct"/>
            <w:noWrap/>
            <w:vAlign w:val="center"/>
            <w:hideMark/>
          </w:tcPr>
          <w:p w14:paraId="03C07182" w14:textId="77777777" w:rsidR="004F64EF" w:rsidRPr="003003C0" w:rsidRDefault="004F64EF" w:rsidP="00FD6B66">
            <w:pPr>
              <w:tabs>
                <w:tab w:val="left" w:pos="113"/>
              </w:tabs>
              <w:jc w:val="left"/>
              <w:rPr>
                <w:rFonts w:cs="Arial"/>
                <w:color w:val="000000"/>
                <w:sz w:val="14"/>
                <w:szCs w:val="14"/>
              </w:rPr>
            </w:pPr>
            <w:r w:rsidRPr="003003C0">
              <w:rPr>
                <w:rFonts w:cs="Arial"/>
                <w:color w:val="000000"/>
                <w:sz w:val="14"/>
                <w:szCs w:val="14"/>
              </w:rPr>
              <w:tab/>
            </w:r>
            <w:r>
              <w:rPr>
                <w:rFonts w:cs="Arial"/>
                <w:color w:val="000000"/>
                <w:sz w:val="14"/>
                <w:szCs w:val="14"/>
              </w:rPr>
              <w:t>Other</w:t>
            </w:r>
            <w:r w:rsidRPr="003003C0">
              <w:rPr>
                <w:rFonts w:cs="Arial"/>
                <w:color w:val="000000"/>
                <w:sz w:val="14"/>
                <w:szCs w:val="14"/>
              </w:rPr>
              <w:t xml:space="preserve"> Asia</w:t>
            </w:r>
          </w:p>
        </w:tc>
        <w:tc>
          <w:tcPr>
            <w:tcW w:w="409" w:type="pct"/>
            <w:noWrap/>
            <w:vAlign w:val="center"/>
            <w:hideMark/>
          </w:tcPr>
          <w:p w14:paraId="08CF3E67" w14:textId="77777777" w:rsidR="004F64EF" w:rsidRPr="003003C0" w:rsidRDefault="004F64EF" w:rsidP="00FD6B66">
            <w:pPr>
              <w:jc w:val="right"/>
              <w:rPr>
                <w:rFonts w:cs="Arial"/>
                <w:color w:val="000000"/>
                <w:sz w:val="14"/>
                <w:szCs w:val="14"/>
              </w:rPr>
            </w:pPr>
            <w:r w:rsidRPr="003003C0">
              <w:rPr>
                <w:rFonts w:cs="Arial"/>
                <w:color w:val="000000"/>
                <w:sz w:val="14"/>
                <w:szCs w:val="14"/>
              </w:rPr>
              <w:t>1</w:t>
            </w:r>
            <w:r>
              <w:rPr>
                <w:rFonts w:cs="Arial"/>
                <w:color w:val="000000"/>
                <w:sz w:val="14"/>
                <w:szCs w:val="14"/>
              </w:rPr>
              <w:t>.</w:t>
            </w:r>
            <w:r w:rsidRPr="003003C0">
              <w:rPr>
                <w:rFonts w:cs="Arial"/>
                <w:color w:val="000000"/>
                <w:sz w:val="14"/>
                <w:szCs w:val="14"/>
              </w:rPr>
              <w:t>2</w:t>
            </w:r>
          </w:p>
        </w:tc>
        <w:tc>
          <w:tcPr>
            <w:tcW w:w="409" w:type="pct"/>
            <w:noWrap/>
            <w:vAlign w:val="center"/>
            <w:hideMark/>
          </w:tcPr>
          <w:p w14:paraId="1199B569" w14:textId="77777777" w:rsidR="004F64EF" w:rsidRPr="003003C0" w:rsidRDefault="004F64EF" w:rsidP="00FD6B66">
            <w:pPr>
              <w:jc w:val="right"/>
              <w:rPr>
                <w:rFonts w:cs="Arial"/>
                <w:color w:val="000000"/>
                <w:sz w:val="14"/>
                <w:szCs w:val="14"/>
              </w:rPr>
            </w:pPr>
            <w:r w:rsidRPr="003003C0">
              <w:rPr>
                <w:rFonts w:cs="Arial"/>
                <w:color w:val="000000"/>
                <w:sz w:val="14"/>
                <w:szCs w:val="14"/>
              </w:rPr>
              <w:t>1</w:t>
            </w:r>
            <w:r>
              <w:rPr>
                <w:rFonts w:cs="Arial"/>
                <w:color w:val="000000"/>
                <w:sz w:val="14"/>
                <w:szCs w:val="14"/>
              </w:rPr>
              <w:t>.</w:t>
            </w:r>
            <w:r w:rsidRPr="003003C0">
              <w:rPr>
                <w:rFonts w:cs="Arial"/>
                <w:color w:val="000000"/>
                <w:sz w:val="14"/>
                <w:szCs w:val="14"/>
              </w:rPr>
              <w:t>4</w:t>
            </w:r>
          </w:p>
        </w:tc>
        <w:tc>
          <w:tcPr>
            <w:tcW w:w="409" w:type="pct"/>
            <w:noWrap/>
            <w:vAlign w:val="center"/>
            <w:hideMark/>
          </w:tcPr>
          <w:p w14:paraId="50D13544" w14:textId="77777777" w:rsidR="004F64EF" w:rsidRPr="003003C0" w:rsidRDefault="004F64EF" w:rsidP="00FD6B66">
            <w:pPr>
              <w:jc w:val="right"/>
              <w:rPr>
                <w:rFonts w:cs="Arial"/>
                <w:color w:val="000000"/>
                <w:sz w:val="14"/>
                <w:szCs w:val="14"/>
              </w:rPr>
            </w:pPr>
            <w:r w:rsidRPr="003003C0">
              <w:rPr>
                <w:rFonts w:cs="Arial"/>
                <w:color w:val="000000"/>
                <w:sz w:val="14"/>
                <w:szCs w:val="14"/>
              </w:rPr>
              <w:t>2</w:t>
            </w:r>
            <w:r>
              <w:rPr>
                <w:rFonts w:cs="Arial"/>
                <w:color w:val="000000"/>
                <w:sz w:val="14"/>
                <w:szCs w:val="14"/>
              </w:rPr>
              <w:t>.</w:t>
            </w:r>
            <w:r w:rsidRPr="003003C0">
              <w:rPr>
                <w:rFonts w:cs="Arial"/>
                <w:color w:val="000000"/>
                <w:sz w:val="14"/>
                <w:szCs w:val="14"/>
              </w:rPr>
              <w:t>0</w:t>
            </w:r>
          </w:p>
        </w:tc>
        <w:tc>
          <w:tcPr>
            <w:tcW w:w="409" w:type="pct"/>
            <w:noWrap/>
            <w:vAlign w:val="center"/>
            <w:hideMark/>
          </w:tcPr>
          <w:p w14:paraId="04F54D6B" w14:textId="77777777" w:rsidR="004F64EF" w:rsidRPr="003003C0" w:rsidRDefault="004F64EF" w:rsidP="00FD6B66">
            <w:pPr>
              <w:jc w:val="right"/>
              <w:rPr>
                <w:rFonts w:cs="Arial"/>
                <w:color w:val="000000"/>
                <w:sz w:val="14"/>
                <w:szCs w:val="14"/>
              </w:rPr>
            </w:pPr>
            <w:r w:rsidRPr="003003C0">
              <w:rPr>
                <w:rFonts w:cs="Arial"/>
                <w:color w:val="000000"/>
                <w:sz w:val="14"/>
                <w:szCs w:val="14"/>
              </w:rPr>
              <w:t>1</w:t>
            </w:r>
            <w:r>
              <w:rPr>
                <w:rFonts w:cs="Arial"/>
                <w:color w:val="000000"/>
                <w:sz w:val="14"/>
                <w:szCs w:val="14"/>
              </w:rPr>
              <w:t>.</w:t>
            </w:r>
            <w:r w:rsidRPr="003003C0">
              <w:rPr>
                <w:rFonts w:cs="Arial"/>
                <w:color w:val="000000"/>
                <w:sz w:val="14"/>
                <w:szCs w:val="14"/>
              </w:rPr>
              <w:t>7</w:t>
            </w:r>
          </w:p>
        </w:tc>
        <w:tc>
          <w:tcPr>
            <w:tcW w:w="409" w:type="pct"/>
            <w:noWrap/>
            <w:vAlign w:val="center"/>
            <w:hideMark/>
          </w:tcPr>
          <w:p w14:paraId="51A7C1EF" w14:textId="77777777" w:rsidR="004F64EF" w:rsidRPr="003003C0" w:rsidRDefault="004F64EF" w:rsidP="00FD6B66">
            <w:pPr>
              <w:jc w:val="right"/>
              <w:rPr>
                <w:rFonts w:cs="Arial"/>
                <w:color w:val="000000"/>
                <w:sz w:val="14"/>
                <w:szCs w:val="14"/>
              </w:rPr>
            </w:pPr>
            <w:r w:rsidRPr="003003C0">
              <w:rPr>
                <w:rFonts w:cs="Arial"/>
                <w:color w:val="000000"/>
                <w:sz w:val="14"/>
                <w:szCs w:val="14"/>
              </w:rPr>
              <w:t>1</w:t>
            </w:r>
            <w:r>
              <w:rPr>
                <w:rFonts w:cs="Arial"/>
                <w:color w:val="000000"/>
                <w:sz w:val="14"/>
                <w:szCs w:val="14"/>
              </w:rPr>
              <w:t>.</w:t>
            </w:r>
            <w:r w:rsidRPr="003003C0">
              <w:rPr>
                <w:rFonts w:cs="Arial"/>
                <w:color w:val="000000"/>
                <w:sz w:val="14"/>
                <w:szCs w:val="14"/>
              </w:rPr>
              <w:t>5</w:t>
            </w:r>
          </w:p>
        </w:tc>
        <w:tc>
          <w:tcPr>
            <w:tcW w:w="409" w:type="pct"/>
            <w:noWrap/>
            <w:vAlign w:val="center"/>
            <w:hideMark/>
          </w:tcPr>
          <w:p w14:paraId="2BC7D347" w14:textId="77777777" w:rsidR="004F64EF" w:rsidRPr="003003C0" w:rsidRDefault="004F64EF" w:rsidP="00FD6B66">
            <w:pPr>
              <w:jc w:val="right"/>
              <w:rPr>
                <w:rFonts w:cs="Arial"/>
                <w:color w:val="000000"/>
                <w:sz w:val="14"/>
                <w:szCs w:val="14"/>
              </w:rPr>
            </w:pPr>
            <w:r w:rsidRPr="003003C0">
              <w:rPr>
                <w:rFonts w:cs="Arial"/>
                <w:color w:val="000000"/>
                <w:sz w:val="14"/>
                <w:szCs w:val="14"/>
              </w:rPr>
              <w:t>2</w:t>
            </w:r>
            <w:r>
              <w:rPr>
                <w:rFonts w:cs="Arial"/>
                <w:color w:val="000000"/>
                <w:sz w:val="14"/>
                <w:szCs w:val="14"/>
              </w:rPr>
              <w:t>.</w:t>
            </w:r>
            <w:r w:rsidRPr="003003C0">
              <w:rPr>
                <w:rFonts w:cs="Arial"/>
                <w:color w:val="000000"/>
                <w:sz w:val="14"/>
                <w:szCs w:val="14"/>
              </w:rPr>
              <w:t>0</w:t>
            </w:r>
          </w:p>
        </w:tc>
        <w:tc>
          <w:tcPr>
            <w:tcW w:w="409" w:type="pct"/>
            <w:noWrap/>
            <w:vAlign w:val="center"/>
            <w:hideMark/>
          </w:tcPr>
          <w:p w14:paraId="2C012263" w14:textId="77777777" w:rsidR="004F64EF" w:rsidRPr="003003C0" w:rsidRDefault="004F64EF" w:rsidP="00FD6B66">
            <w:pPr>
              <w:jc w:val="right"/>
              <w:rPr>
                <w:rFonts w:cs="Arial"/>
                <w:color w:val="000000"/>
                <w:sz w:val="14"/>
                <w:szCs w:val="14"/>
              </w:rPr>
            </w:pPr>
            <w:r w:rsidRPr="003003C0">
              <w:rPr>
                <w:rFonts w:cs="Arial"/>
                <w:color w:val="000000"/>
                <w:sz w:val="14"/>
                <w:szCs w:val="14"/>
              </w:rPr>
              <w:t>1</w:t>
            </w:r>
            <w:r>
              <w:rPr>
                <w:rFonts w:cs="Arial"/>
                <w:color w:val="000000"/>
                <w:sz w:val="14"/>
                <w:szCs w:val="14"/>
              </w:rPr>
              <w:t>.</w:t>
            </w:r>
            <w:r w:rsidRPr="003003C0">
              <w:rPr>
                <w:rFonts w:cs="Arial"/>
                <w:color w:val="000000"/>
                <w:sz w:val="14"/>
                <w:szCs w:val="14"/>
              </w:rPr>
              <w:t>8</w:t>
            </w:r>
          </w:p>
        </w:tc>
      </w:tr>
      <w:tr w:rsidR="004F64EF" w:rsidRPr="003003C0" w14:paraId="3D72EC01" w14:textId="77777777" w:rsidTr="00BE2A9F">
        <w:trPr>
          <w:trHeight w:val="20"/>
        </w:trPr>
        <w:tc>
          <w:tcPr>
            <w:tcW w:w="2137" w:type="pct"/>
            <w:noWrap/>
            <w:vAlign w:val="center"/>
            <w:hideMark/>
          </w:tcPr>
          <w:p w14:paraId="4D638159" w14:textId="77777777" w:rsidR="004F64EF" w:rsidRPr="003003C0" w:rsidRDefault="004F64EF" w:rsidP="00FD6B66">
            <w:pPr>
              <w:tabs>
                <w:tab w:val="left" w:pos="510"/>
              </w:tabs>
              <w:jc w:val="left"/>
              <w:rPr>
                <w:rFonts w:cs="Arial"/>
                <w:color w:val="000000"/>
                <w:sz w:val="14"/>
                <w:szCs w:val="14"/>
              </w:rPr>
            </w:pPr>
            <w:r w:rsidRPr="003003C0">
              <w:rPr>
                <w:rFonts w:cs="Arial"/>
                <w:color w:val="000000"/>
                <w:sz w:val="14"/>
                <w:szCs w:val="14"/>
              </w:rPr>
              <w:tab/>
              <w:t>Singap</w:t>
            </w:r>
            <w:r>
              <w:rPr>
                <w:rFonts w:cs="Arial"/>
                <w:color w:val="000000"/>
                <w:sz w:val="14"/>
                <w:szCs w:val="14"/>
              </w:rPr>
              <w:t>ore</w:t>
            </w:r>
          </w:p>
        </w:tc>
        <w:tc>
          <w:tcPr>
            <w:tcW w:w="409" w:type="pct"/>
            <w:noWrap/>
            <w:vAlign w:val="center"/>
            <w:hideMark/>
          </w:tcPr>
          <w:p w14:paraId="7D661CAE"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2</w:t>
            </w:r>
          </w:p>
        </w:tc>
        <w:tc>
          <w:tcPr>
            <w:tcW w:w="409" w:type="pct"/>
            <w:noWrap/>
            <w:vAlign w:val="center"/>
            <w:hideMark/>
          </w:tcPr>
          <w:p w14:paraId="516727E3"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3</w:t>
            </w:r>
          </w:p>
        </w:tc>
        <w:tc>
          <w:tcPr>
            <w:tcW w:w="409" w:type="pct"/>
            <w:noWrap/>
            <w:vAlign w:val="center"/>
            <w:hideMark/>
          </w:tcPr>
          <w:p w14:paraId="7D71FFDC"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2</w:t>
            </w:r>
          </w:p>
        </w:tc>
        <w:tc>
          <w:tcPr>
            <w:tcW w:w="409" w:type="pct"/>
            <w:noWrap/>
            <w:vAlign w:val="center"/>
            <w:hideMark/>
          </w:tcPr>
          <w:p w14:paraId="1971974E"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3</w:t>
            </w:r>
          </w:p>
        </w:tc>
        <w:tc>
          <w:tcPr>
            <w:tcW w:w="409" w:type="pct"/>
            <w:noWrap/>
            <w:vAlign w:val="center"/>
            <w:hideMark/>
          </w:tcPr>
          <w:p w14:paraId="35C652E5"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3</w:t>
            </w:r>
          </w:p>
        </w:tc>
        <w:tc>
          <w:tcPr>
            <w:tcW w:w="409" w:type="pct"/>
            <w:noWrap/>
            <w:vAlign w:val="center"/>
            <w:hideMark/>
          </w:tcPr>
          <w:p w14:paraId="1466E094"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3</w:t>
            </w:r>
          </w:p>
        </w:tc>
        <w:tc>
          <w:tcPr>
            <w:tcW w:w="409" w:type="pct"/>
            <w:noWrap/>
            <w:vAlign w:val="center"/>
            <w:hideMark/>
          </w:tcPr>
          <w:p w14:paraId="49C248E2"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4</w:t>
            </w:r>
          </w:p>
        </w:tc>
      </w:tr>
      <w:tr w:rsidR="004F64EF" w:rsidRPr="003003C0" w14:paraId="24ACDE34" w14:textId="77777777" w:rsidTr="00BE2A9F">
        <w:trPr>
          <w:cnfStyle w:val="000000010000" w:firstRow="0" w:lastRow="0" w:firstColumn="0" w:lastColumn="0" w:oddVBand="0" w:evenVBand="0" w:oddHBand="0" w:evenHBand="1" w:firstRowFirstColumn="0" w:firstRowLastColumn="0" w:lastRowFirstColumn="0" w:lastRowLastColumn="0"/>
          <w:trHeight w:val="20"/>
        </w:trPr>
        <w:tc>
          <w:tcPr>
            <w:tcW w:w="2137" w:type="pct"/>
            <w:noWrap/>
            <w:vAlign w:val="center"/>
            <w:hideMark/>
          </w:tcPr>
          <w:p w14:paraId="7CD4BD66" w14:textId="77777777" w:rsidR="004F64EF" w:rsidRPr="003003C0" w:rsidRDefault="004F64EF" w:rsidP="00FD6B66">
            <w:pPr>
              <w:tabs>
                <w:tab w:val="left" w:pos="510"/>
              </w:tabs>
              <w:jc w:val="left"/>
              <w:rPr>
                <w:rFonts w:cs="Arial"/>
                <w:color w:val="000000"/>
                <w:sz w:val="14"/>
                <w:szCs w:val="14"/>
              </w:rPr>
            </w:pPr>
            <w:r w:rsidRPr="003003C0">
              <w:rPr>
                <w:rFonts w:cs="Arial"/>
                <w:color w:val="000000"/>
                <w:sz w:val="14"/>
                <w:szCs w:val="14"/>
              </w:rPr>
              <w:tab/>
              <w:t>Indonesia</w:t>
            </w:r>
          </w:p>
        </w:tc>
        <w:tc>
          <w:tcPr>
            <w:tcW w:w="409" w:type="pct"/>
            <w:noWrap/>
            <w:vAlign w:val="center"/>
            <w:hideMark/>
          </w:tcPr>
          <w:p w14:paraId="0872E67F"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0</w:t>
            </w:r>
          </w:p>
        </w:tc>
        <w:tc>
          <w:tcPr>
            <w:tcW w:w="409" w:type="pct"/>
            <w:noWrap/>
            <w:vAlign w:val="center"/>
            <w:hideMark/>
          </w:tcPr>
          <w:p w14:paraId="3B01541A"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1</w:t>
            </w:r>
          </w:p>
        </w:tc>
        <w:tc>
          <w:tcPr>
            <w:tcW w:w="409" w:type="pct"/>
            <w:noWrap/>
            <w:vAlign w:val="center"/>
            <w:hideMark/>
          </w:tcPr>
          <w:p w14:paraId="3D044B9A"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2</w:t>
            </w:r>
          </w:p>
        </w:tc>
        <w:tc>
          <w:tcPr>
            <w:tcW w:w="409" w:type="pct"/>
            <w:noWrap/>
            <w:vAlign w:val="center"/>
            <w:hideMark/>
          </w:tcPr>
          <w:p w14:paraId="68D52AD6"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1</w:t>
            </w:r>
          </w:p>
        </w:tc>
        <w:tc>
          <w:tcPr>
            <w:tcW w:w="409" w:type="pct"/>
            <w:noWrap/>
            <w:vAlign w:val="center"/>
            <w:hideMark/>
          </w:tcPr>
          <w:p w14:paraId="54D9300E"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2</w:t>
            </w:r>
          </w:p>
        </w:tc>
        <w:tc>
          <w:tcPr>
            <w:tcW w:w="409" w:type="pct"/>
            <w:noWrap/>
            <w:vAlign w:val="center"/>
            <w:hideMark/>
          </w:tcPr>
          <w:p w14:paraId="2B155A89"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3</w:t>
            </w:r>
          </w:p>
        </w:tc>
        <w:tc>
          <w:tcPr>
            <w:tcW w:w="409" w:type="pct"/>
            <w:noWrap/>
            <w:vAlign w:val="center"/>
            <w:hideMark/>
          </w:tcPr>
          <w:p w14:paraId="6D3EFE40"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3</w:t>
            </w:r>
          </w:p>
        </w:tc>
      </w:tr>
      <w:tr w:rsidR="004F64EF" w:rsidRPr="003003C0" w14:paraId="27F23905" w14:textId="77777777" w:rsidTr="00BE2A9F">
        <w:trPr>
          <w:trHeight w:val="20"/>
        </w:trPr>
        <w:tc>
          <w:tcPr>
            <w:tcW w:w="2137" w:type="pct"/>
            <w:noWrap/>
            <w:vAlign w:val="center"/>
            <w:hideMark/>
          </w:tcPr>
          <w:p w14:paraId="16D53B99" w14:textId="77777777" w:rsidR="004F64EF" w:rsidRPr="003003C0" w:rsidRDefault="004F64EF" w:rsidP="00FD6B66">
            <w:pPr>
              <w:tabs>
                <w:tab w:val="left" w:pos="510"/>
              </w:tabs>
              <w:jc w:val="left"/>
              <w:rPr>
                <w:rFonts w:cs="Arial"/>
                <w:color w:val="000000"/>
                <w:sz w:val="14"/>
                <w:szCs w:val="14"/>
              </w:rPr>
            </w:pPr>
            <w:r w:rsidRPr="003003C0">
              <w:rPr>
                <w:rFonts w:cs="Arial"/>
                <w:color w:val="000000"/>
                <w:sz w:val="14"/>
                <w:szCs w:val="14"/>
              </w:rPr>
              <w:tab/>
            </w:r>
            <w:r w:rsidRPr="00552AA3">
              <w:rPr>
                <w:rFonts w:cs="Arial"/>
                <w:color w:val="000000"/>
                <w:sz w:val="14"/>
                <w:szCs w:val="14"/>
              </w:rPr>
              <w:t>Philippines</w:t>
            </w:r>
          </w:p>
        </w:tc>
        <w:tc>
          <w:tcPr>
            <w:tcW w:w="409" w:type="pct"/>
            <w:noWrap/>
            <w:vAlign w:val="center"/>
            <w:hideMark/>
          </w:tcPr>
          <w:p w14:paraId="0D5C13BC"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1</w:t>
            </w:r>
          </w:p>
        </w:tc>
        <w:tc>
          <w:tcPr>
            <w:tcW w:w="409" w:type="pct"/>
            <w:noWrap/>
            <w:vAlign w:val="center"/>
            <w:hideMark/>
          </w:tcPr>
          <w:p w14:paraId="206DBAC9"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1</w:t>
            </w:r>
          </w:p>
        </w:tc>
        <w:tc>
          <w:tcPr>
            <w:tcW w:w="409" w:type="pct"/>
            <w:noWrap/>
            <w:vAlign w:val="center"/>
            <w:hideMark/>
          </w:tcPr>
          <w:p w14:paraId="2CA3804C"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1</w:t>
            </w:r>
          </w:p>
        </w:tc>
        <w:tc>
          <w:tcPr>
            <w:tcW w:w="409" w:type="pct"/>
            <w:noWrap/>
            <w:vAlign w:val="center"/>
            <w:hideMark/>
          </w:tcPr>
          <w:p w14:paraId="177D9DD5"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3</w:t>
            </w:r>
          </w:p>
        </w:tc>
        <w:tc>
          <w:tcPr>
            <w:tcW w:w="409" w:type="pct"/>
            <w:noWrap/>
            <w:vAlign w:val="center"/>
            <w:hideMark/>
          </w:tcPr>
          <w:p w14:paraId="491CAD06"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2</w:t>
            </w:r>
          </w:p>
        </w:tc>
        <w:tc>
          <w:tcPr>
            <w:tcW w:w="409" w:type="pct"/>
            <w:noWrap/>
            <w:vAlign w:val="center"/>
            <w:hideMark/>
          </w:tcPr>
          <w:p w14:paraId="6C26A54E"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5</w:t>
            </w:r>
          </w:p>
        </w:tc>
        <w:tc>
          <w:tcPr>
            <w:tcW w:w="409" w:type="pct"/>
            <w:noWrap/>
            <w:vAlign w:val="center"/>
            <w:hideMark/>
          </w:tcPr>
          <w:p w14:paraId="21A09148"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3</w:t>
            </w:r>
          </w:p>
        </w:tc>
      </w:tr>
      <w:tr w:rsidR="004F64EF" w:rsidRPr="003003C0" w14:paraId="44955176" w14:textId="77777777" w:rsidTr="00BE2A9F">
        <w:trPr>
          <w:cnfStyle w:val="000000010000" w:firstRow="0" w:lastRow="0" w:firstColumn="0" w:lastColumn="0" w:oddVBand="0" w:evenVBand="0" w:oddHBand="0" w:evenHBand="1" w:firstRowFirstColumn="0" w:firstRowLastColumn="0" w:lastRowFirstColumn="0" w:lastRowLastColumn="0"/>
          <w:trHeight w:val="20"/>
        </w:trPr>
        <w:tc>
          <w:tcPr>
            <w:tcW w:w="2137" w:type="pct"/>
            <w:noWrap/>
            <w:vAlign w:val="center"/>
            <w:hideMark/>
          </w:tcPr>
          <w:p w14:paraId="128241B2" w14:textId="77777777" w:rsidR="004F64EF" w:rsidRPr="003003C0" w:rsidRDefault="004F64EF" w:rsidP="00FD6B66">
            <w:pPr>
              <w:tabs>
                <w:tab w:val="left" w:pos="510"/>
              </w:tabs>
              <w:jc w:val="left"/>
              <w:rPr>
                <w:rFonts w:cs="Arial"/>
                <w:color w:val="000000"/>
                <w:sz w:val="14"/>
                <w:szCs w:val="14"/>
              </w:rPr>
            </w:pPr>
            <w:r w:rsidRPr="003003C0">
              <w:rPr>
                <w:rFonts w:cs="Arial"/>
                <w:color w:val="000000"/>
                <w:sz w:val="14"/>
                <w:szCs w:val="14"/>
              </w:rPr>
              <w:tab/>
            </w:r>
            <w:r>
              <w:rPr>
                <w:rFonts w:cs="Arial"/>
                <w:color w:val="000000"/>
                <w:sz w:val="14"/>
                <w:szCs w:val="14"/>
              </w:rPr>
              <w:t>K</w:t>
            </w:r>
            <w:r w:rsidRPr="003003C0">
              <w:rPr>
                <w:rFonts w:cs="Arial"/>
                <w:color w:val="000000"/>
                <w:sz w:val="14"/>
                <w:szCs w:val="14"/>
              </w:rPr>
              <w:t xml:space="preserve">orea, </w:t>
            </w:r>
            <w:r>
              <w:rPr>
                <w:rFonts w:cs="Arial"/>
                <w:color w:val="000000"/>
                <w:sz w:val="14"/>
                <w:szCs w:val="14"/>
              </w:rPr>
              <w:t>Republic of</w:t>
            </w:r>
          </w:p>
        </w:tc>
        <w:tc>
          <w:tcPr>
            <w:tcW w:w="409" w:type="pct"/>
            <w:noWrap/>
            <w:vAlign w:val="center"/>
            <w:hideMark/>
          </w:tcPr>
          <w:p w14:paraId="2A1F0B14"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3</w:t>
            </w:r>
          </w:p>
        </w:tc>
        <w:tc>
          <w:tcPr>
            <w:tcW w:w="409" w:type="pct"/>
            <w:noWrap/>
            <w:vAlign w:val="center"/>
            <w:hideMark/>
          </w:tcPr>
          <w:p w14:paraId="03F8C7B3"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3</w:t>
            </w:r>
          </w:p>
        </w:tc>
        <w:tc>
          <w:tcPr>
            <w:tcW w:w="409" w:type="pct"/>
            <w:noWrap/>
            <w:vAlign w:val="center"/>
            <w:hideMark/>
          </w:tcPr>
          <w:p w14:paraId="7A11D1CD"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3</w:t>
            </w:r>
          </w:p>
        </w:tc>
        <w:tc>
          <w:tcPr>
            <w:tcW w:w="409" w:type="pct"/>
            <w:noWrap/>
            <w:vAlign w:val="center"/>
            <w:hideMark/>
          </w:tcPr>
          <w:p w14:paraId="18AA9305"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3</w:t>
            </w:r>
          </w:p>
        </w:tc>
        <w:tc>
          <w:tcPr>
            <w:tcW w:w="409" w:type="pct"/>
            <w:noWrap/>
            <w:vAlign w:val="center"/>
            <w:hideMark/>
          </w:tcPr>
          <w:p w14:paraId="62D6EFDF"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3</w:t>
            </w:r>
          </w:p>
        </w:tc>
        <w:tc>
          <w:tcPr>
            <w:tcW w:w="409" w:type="pct"/>
            <w:noWrap/>
            <w:vAlign w:val="center"/>
            <w:hideMark/>
          </w:tcPr>
          <w:p w14:paraId="6ABD1BAB"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3</w:t>
            </w:r>
          </w:p>
        </w:tc>
        <w:tc>
          <w:tcPr>
            <w:tcW w:w="409" w:type="pct"/>
            <w:noWrap/>
            <w:vAlign w:val="center"/>
            <w:hideMark/>
          </w:tcPr>
          <w:p w14:paraId="73DB7145"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2</w:t>
            </w:r>
          </w:p>
        </w:tc>
      </w:tr>
      <w:tr w:rsidR="004F64EF" w:rsidRPr="003003C0" w14:paraId="15CEC70B" w14:textId="77777777" w:rsidTr="00BE2A9F">
        <w:trPr>
          <w:trHeight w:val="20"/>
        </w:trPr>
        <w:tc>
          <w:tcPr>
            <w:tcW w:w="2137" w:type="pct"/>
            <w:noWrap/>
            <w:vAlign w:val="center"/>
            <w:hideMark/>
          </w:tcPr>
          <w:p w14:paraId="2F62FD33" w14:textId="77777777" w:rsidR="004F64EF" w:rsidRPr="003003C0" w:rsidRDefault="004F64EF" w:rsidP="00FD6B66">
            <w:pPr>
              <w:tabs>
                <w:tab w:val="left" w:pos="510"/>
              </w:tabs>
              <w:jc w:val="left"/>
              <w:rPr>
                <w:rFonts w:cs="Arial"/>
                <w:color w:val="000000"/>
                <w:sz w:val="14"/>
                <w:szCs w:val="14"/>
              </w:rPr>
            </w:pPr>
            <w:r w:rsidRPr="003003C0">
              <w:rPr>
                <w:rFonts w:cs="Arial"/>
                <w:color w:val="000000"/>
                <w:sz w:val="14"/>
                <w:szCs w:val="14"/>
              </w:rPr>
              <w:tab/>
              <w:t>India</w:t>
            </w:r>
          </w:p>
        </w:tc>
        <w:tc>
          <w:tcPr>
            <w:tcW w:w="409" w:type="pct"/>
            <w:noWrap/>
            <w:vAlign w:val="center"/>
            <w:hideMark/>
          </w:tcPr>
          <w:p w14:paraId="0398657F"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2</w:t>
            </w:r>
          </w:p>
        </w:tc>
        <w:tc>
          <w:tcPr>
            <w:tcW w:w="409" w:type="pct"/>
            <w:noWrap/>
            <w:vAlign w:val="center"/>
            <w:hideMark/>
          </w:tcPr>
          <w:p w14:paraId="087A760F"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2</w:t>
            </w:r>
          </w:p>
        </w:tc>
        <w:tc>
          <w:tcPr>
            <w:tcW w:w="409" w:type="pct"/>
            <w:noWrap/>
            <w:vAlign w:val="center"/>
            <w:hideMark/>
          </w:tcPr>
          <w:p w14:paraId="5D0FC469"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1</w:t>
            </w:r>
          </w:p>
        </w:tc>
        <w:tc>
          <w:tcPr>
            <w:tcW w:w="409" w:type="pct"/>
            <w:noWrap/>
            <w:vAlign w:val="center"/>
            <w:hideMark/>
          </w:tcPr>
          <w:p w14:paraId="40EEDB5E"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1</w:t>
            </w:r>
          </w:p>
        </w:tc>
        <w:tc>
          <w:tcPr>
            <w:tcW w:w="409" w:type="pct"/>
            <w:noWrap/>
            <w:vAlign w:val="center"/>
            <w:hideMark/>
          </w:tcPr>
          <w:p w14:paraId="26627C38"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1</w:t>
            </w:r>
          </w:p>
        </w:tc>
        <w:tc>
          <w:tcPr>
            <w:tcW w:w="409" w:type="pct"/>
            <w:noWrap/>
            <w:vAlign w:val="center"/>
            <w:hideMark/>
          </w:tcPr>
          <w:p w14:paraId="2B44265E"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1</w:t>
            </w:r>
          </w:p>
        </w:tc>
        <w:tc>
          <w:tcPr>
            <w:tcW w:w="409" w:type="pct"/>
            <w:noWrap/>
            <w:vAlign w:val="center"/>
            <w:hideMark/>
          </w:tcPr>
          <w:p w14:paraId="7080BC90"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2</w:t>
            </w:r>
          </w:p>
        </w:tc>
      </w:tr>
      <w:tr w:rsidR="004F64EF" w:rsidRPr="003003C0" w14:paraId="6B1A7D11" w14:textId="77777777" w:rsidTr="00BE2A9F">
        <w:trPr>
          <w:cnfStyle w:val="000000010000" w:firstRow="0" w:lastRow="0" w:firstColumn="0" w:lastColumn="0" w:oddVBand="0" w:evenVBand="0" w:oddHBand="0" w:evenHBand="1" w:firstRowFirstColumn="0" w:firstRowLastColumn="0" w:lastRowFirstColumn="0" w:lastRowLastColumn="0"/>
          <w:trHeight w:val="20"/>
        </w:trPr>
        <w:tc>
          <w:tcPr>
            <w:tcW w:w="2137" w:type="pct"/>
            <w:noWrap/>
            <w:vAlign w:val="center"/>
            <w:hideMark/>
          </w:tcPr>
          <w:p w14:paraId="38B6A5AC" w14:textId="77777777" w:rsidR="004F64EF" w:rsidRPr="003003C0" w:rsidRDefault="004F64EF" w:rsidP="00FD6B66">
            <w:pPr>
              <w:tabs>
                <w:tab w:val="left" w:pos="510"/>
              </w:tabs>
              <w:jc w:val="left"/>
              <w:rPr>
                <w:rFonts w:cs="Arial"/>
                <w:color w:val="000000"/>
                <w:sz w:val="14"/>
                <w:szCs w:val="14"/>
              </w:rPr>
            </w:pPr>
            <w:r w:rsidRPr="003003C0">
              <w:rPr>
                <w:rFonts w:cs="Arial"/>
                <w:color w:val="000000"/>
                <w:sz w:val="14"/>
                <w:szCs w:val="14"/>
              </w:rPr>
              <w:tab/>
              <w:t>Australia</w:t>
            </w:r>
          </w:p>
        </w:tc>
        <w:tc>
          <w:tcPr>
            <w:tcW w:w="409" w:type="pct"/>
            <w:noWrap/>
            <w:vAlign w:val="center"/>
            <w:hideMark/>
          </w:tcPr>
          <w:p w14:paraId="51FE858F"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1</w:t>
            </w:r>
          </w:p>
        </w:tc>
        <w:tc>
          <w:tcPr>
            <w:tcW w:w="409" w:type="pct"/>
            <w:noWrap/>
            <w:vAlign w:val="center"/>
            <w:hideMark/>
          </w:tcPr>
          <w:p w14:paraId="2C56A321"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1</w:t>
            </w:r>
          </w:p>
        </w:tc>
        <w:tc>
          <w:tcPr>
            <w:tcW w:w="409" w:type="pct"/>
            <w:noWrap/>
            <w:vAlign w:val="center"/>
            <w:hideMark/>
          </w:tcPr>
          <w:p w14:paraId="12BCFD36"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1</w:t>
            </w:r>
          </w:p>
        </w:tc>
        <w:tc>
          <w:tcPr>
            <w:tcW w:w="409" w:type="pct"/>
            <w:noWrap/>
            <w:vAlign w:val="center"/>
            <w:hideMark/>
          </w:tcPr>
          <w:p w14:paraId="774ABA62"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1</w:t>
            </w:r>
          </w:p>
        </w:tc>
        <w:tc>
          <w:tcPr>
            <w:tcW w:w="409" w:type="pct"/>
            <w:noWrap/>
            <w:vAlign w:val="center"/>
            <w:hideMark/>
          </w:tcPr>
          <w:p w14:paraId="08DD4388"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1</w:t>
            </w:r>
          </w:p>
        </w:tc>
        <w:tc>
          <w:tcPr>
            <w:tcW w:w="409" w:type="pct"/>
            <w:noWrap/>
            <w:vAlign w:val="center"/>
            <w:hideMark/>
          </w:tcPr>
          <w:p w14:paraId="2B746AAF"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2</w:t>
            </w:r>
          </w:p>
        </w:tc>
        <w:tc>
          <w:tcPr>
            <w:tcW w:w="409" w:type="pct"/>
            <w:noWrap/>
            <w:vAlign w:val="center"/>
            <w:hideMark/>
          </w:tcPr>
          <w:p w14:paraId="2C2D90D8"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2</w:t>
            </w:r>
          </w:p>
        </w:tc>
      </w:tr>
      <w:tr w:rsidR="004F64EF" w:rsidRPr="003003C0" w14:paraId="643E0C4B" w14:textId="77777777" w:rsidTr="00BE2A9F">
        <w:trPr>
          <w:trHeight w:val="20"/>
        </w:trPr>
        <w:tc>
          <w:tcPr>
            <w:tcW w:w="2137" w:type="pct"/>
            <w:noWrap/>
            <w:vAlign w:val="center"/>
            <w:hideMark/>
          </w:tcPr>
          <w:p w14:paraId="723CE3C4" w14:textId="77777777" w:rsidR="004F64EF" w:rsidRPr="003003C0" w:rsidRDefault="004F64EF" w:rsidP="00FD6B66">
            <w:pPr>
              <w:jc w:val="left"/>
              <w:rPr>
                <w:rFonts w:cs="Arial"/>
                <w:color w:val="000000"/>
                <w:sz w:val="14"/>
                <w:szCs w:val="14"/>
              </w:rPr>
            </w:pPr>
            <w:r w:rsidRPr="003003C0">
              <w:rPr>
                <w:rFonts w:cs="Arial"/>
                <w:color w:val="000000"/>
                <w:sz w:val="14"/>
                <w:szCs w:val="14"/>
              </w:rPr>
              <w:t>Ot</w:t>
            </w:r>
            <w:r>
              <w:rPr>
                <w:rFonts w:cs="Arial"/>
                <w:color w:val="000000"/>
                <w:sz w:val="14"/>
                <w:szCs w:val="14"/>
              </w:rPr>
              <w:t>her</w:t>
            </w:r>
          </w:p>
        </w:tc>
        <w:tc>
          <w:tcPr>
            <w:tcW w:w="409" w:type="pct"/>
            <w:noWrap/>
            <w:vAlign w:val="center"/>
            <w:hideMark/>
          </w:tcPr>
          <w:p w14:paraId="24FADA4E"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6</w:t>
            </w:r>
          </w:p>
        </w:tc>
        <w:tc>
          <w:tcPr>
            <w:tcW w:w="409" w:type="pct"/>
            <w:noWrap/>
            <w:vAlign w:val="center"/>
            <w:hideMark/>
          </w:tcPr>
          <w:p w14:paraId="46959ECE"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7</w:t>
            </w:r>
          </w:p>
        </w:tc>
        <w:tc>
          <w:tcPr>
            <w:tcW w:w="409" w:type="pct"/>
            <w:noWrap/>
            <w:vAlign w:val="center"/>
            <w:hideMark/>
          </w:tcPr>
          <w:p w14:paraId="74FA0EB6"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6</w:t>
            </w:r>
          </w:p>
        </w:tc>
        <w:tc>
          <w:tcPr>
            <w:tcW w:w="409" w:type="pct"/>
            <w:noWrap/>
            <w:vAlign w:val="center"/>
            <w:hideMark/>
          </w:tcPr>
          <w:p w14:paraId="38136011"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6</w:t>
            </w:r>
          </w:p>
        </w:tc>
        <w:tc>
          <w:tcPr>
            <w:tcW w:w="409" w:type="pct"/>
            <w:noWrap/>
            <w:vAlign w:val="center"/>
            <w:hideMark/>
          </w:tcPr>
          <w:p w14:paraId="5A594111"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3</w:t>
            </w:r>
          </w:p>
        </w:tc>
        <w:tc>
          <w:tcPr>
            <w:tcW w:w="409" w:type="pct"/>
            <w:noWrap/>
            <w:vAlign w:val="center"/>
            <w:hideMark/>
          </w:tcPr>
          <w:p w14:paraId="2D2221A9"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0</w:t>
            </w:r>
          </w:p>
        </w:tc>
        <w:tc>
          <w:tcPr>
            <w:tcW w:w="409" w:type="pct"/>
            <w:noWrap/>
            <w:vAlign w:val="center"/>
            <w:hideMark/>
          </w:tcPr>
          <w:p w14:paraId="11722D3C"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0</w:t>
            </w:r>
          </w:p>
        </w:tc>
      </w:tr>
      <w:tr w:rsidR="004F64EF" w:rsidRPr="003003C0" w14:paraId="01C776E3" w14:textId="77777777" w:rsidTr="00BE2A9F">
        <w:trPr>
          <w:cnfStyle w:val="000000010000" w:firstRow="0" w:lastRow="0" w:firstColumn="0" w:lastColumn="0" w:oddVBand="0" w:evenVBand="0" w:oddHBand="0" w:evenHBand="1" w:firstRowFirstColumn="0" w:firstRowLastColumn="0" w:lastRowFirstColumn="0" w:lastRowLastColumn="0"/>
          <w:trHeight w:val="20"/>
        </w:trPr>
        <w:tc>
          <w:tcPr>
            <w:tcW w:w="5000" w:type="pct"/>
            <w:gridSpan w:val="8"/>
            <w:noWrap/>
            <w:vAlign w:val="center"/>
            <w:hideMark/>
          </w:tcPr>
          <w:p w14:paraId="3B6A8D9C" w14:textId="77777777" w:rsidR="004F64EF" w:rsidRPr="003003C0" w:rsidRDefault="004F64EF" w:rsidP="00FD6B66">
            <w:pPr>
              <w:jc w:val="left"/>
              <w:rPr>
                <w:sz w:val="14"/>
                <w:szCs w:val="14"/>
              </w:rPr>
            </w:pPr>
            <w:r w:rsidRPr="003003C0">
              <w:rPr>
                <w:rFonts w:cs="Arial"/>
                <w:i/>
                <w:iCs/>
                <w:color w:val="000000"/>
                <w:sz w:val="14"/>
                <w:szCs w:val="14"/>
              </w:rPr>
              <w:t>Memor</w:t>
            </w:r>
            <w:r>
              <w:rPr>
                <w:rFonts w:cs="Arial"/>
                <w:i/>
                <w:iCs/>
                <w:color w:val="000000"/>
                <w:sz w:val="14"/>
                <w:szCs w:val="14"/>
              </w:rPr>
              <w:t>a</w:t>
            </w:r>
            <w:r w:rsidRPr="003003C0">
              <w:rPr>
                <w:rFonts w:cs="Arial"/>
                <w:i/>
                <w:iCs/>
                <w:color w:val="000000"/>
                <w:sz w:val="14"/>
                <w:szCs w:val="14"/>
              </w:rPr>
              <w:t>ndum:</w:t>
            </w:r>
          </w:p>
        </w:tc>
      </w:tr>
      <w:tr w:rsidR="004F64EF" w:rsidRPr="003003C0" w14:paraId="2B1684EF" w14:textId="77777777" w:rsidTr="00BE2A9F">
        <w:trPr>
          <w:trHeight w:val="20"/>
        </w:trPr>
        <w:tc>
          <w:tcPr>
            <w:tcW w:w="2137" w:type="pct"/>
            <w:noWrap/>
            <w:vAlign w:val="center"/>
            <w:hideMark/>
          </w:tcPr>
          <w:p w14:paraId="5C289471" w14:textId="77777777" w:rsidR="004F64EF" w:rsidRPr="003003C0" w:rsidRDefault="004F64EF" w:rsidP="00FD6B66">
            <w:pPr>
              <w:jc w:val="left"/>
              <w:rPr>
                <w:rFonts w:cs="Arial"/>
                <w:color w:val="000000"/>
                <w:sz w:val="14"/>
                <w:szCs w:val="14"/>
              </w:rPr>
            </w:pPr>
            <w:r>
              <w:rPr>
                <w:rFonts w:cs="Arial"/>
                <w:color w:val="000000"/>
                <w:sz w:val="14"/>
                <w:szCs w:val="14"/>
              </w:rPr>
              <w:t>EU</w:t>
            </w:r>
            <w:r w:rsidRPr="003003C0">
              <w:rPr>
                <w:rFonts w:cs="Arial"/>
                <w:color w:val="000000"/>
                <w:sz w:val="14"/>
                <w:szCs w:val="14"/>
              </w:rPr>
              <w:t>-28</w:t>
            </w:r>
          </w:p>
        </w:tc>
        <w:tc>
          <w:tcPr>
            <w:tcW w:w="409" w:type="pct"/>
            <w:noWrap/>
            <w:vAlign w:val="center"/>
            <w:hideMark/>
          </w:tcPr>
          <w:p w14:paraId="1BD392D0" w14:textId="77777777" w:rsidR="004F64EF" w:rsidRPr="003003C0" w:rsidRDefault="004F64EF" w:rsidP="00FD6B66">
            <w:pPr>
              <w:jc w:val="right"/>
              <w:rPr>
                <w:rFonts w:cs="Arial"/>
                <w:color w:val="000000"/>
                <w:sz w:val="14"/>
                <w:szCs w:val="14"/>
              </w:rPr>
            </w:pPr>
            <w:r w:rsidRPr="003003C0">
              <w:rPr>
                <w:rFonts w:cs="Arial"/>
                <w:color w:val="000000"/>
                <w:sz w:val="14"/>
                <w:szCs w:val="14"/>
              </w:rPr>
              <w:t>6</w:t>
            </w:r>
            <w:r>
              <w:rPr>
                <w:rFonts w:cs="Arial"/>
                <w:color w:val="000000"/>
                <w:sz w:val="14"/>
                <w:szCs w:val="14"/>
              </w:rPr>
              <w:t>.</w:t>
            </w:r>
            <w:r w:rsidRPr="003003C0">
              <w:rPr>
                <w:rFonts w:cs="Arial"/>
                <w:color w:val="000000"/>
                <w:sz w:val="14"/>
                <w:szCs w:val="14"/>
              </w:rPr>
              <w:t>9</w:t>
            </w:r>
          </w:p>
        </w:tc>
        <w:tc>
          <w:tcPr>
            <w:tcW w:w="409" w:type="pct"/>
            <w:noWrap/>
            <w:vAlign w:val="center"/>
            <w:hideMark/>
          </w:tcPr>
          <w:p w14:paraId="1EB4054A" w14:textId="77777777" w:rsidR="004F64EF" w:rsidRPr="003003C0" w:rsidRDefault="004F64EF" w:rsidP="00FD6B66">
            <w:pPr>
              <w:jc w:val="right"/>
              <w:rPr>
                <w:rFonts w:cs="Arial"/>
                <w:color w:val="000000"/>
                <w:sz w:val="14"/>
                <w:szCs w:val="14"/>
              </w:rPr>
            </w:pPr>
            <w:r w:rsidRPr="003003C0">
              <w:rPr>
                <w:rFonts w:cs="Arial"/>
                <w:color w:val="000000"/>
                <w:sz w:val="14"/>
                <w:szCs w:val="14"/>
              </w:rPr>
              <w:t>7</w:t>
            </w:r>
            <w:r>
              <w:rPr>
                <w:rFonts w:cs="Arial"/>
                <w:color w:val="000000"/>
                <w:sz w:val="14"/>
                <w:szCs w:val="14"/>
              </w:rPr>
              <w:t>.</w:t>
            </w:r>
            <w:r w:rsidRPr="003003C0">
              <w:rPr>
                <w:rFonts w:cs="Arial"/>
                <w:color w:val="000000"/>
                <w:sz w:val="14"/>
                <w:szCs w:val="14"/>
              </w:rPr>
              <w:t>8</w:t>
            </w:r>
          </w:p>
        </w:tc>
        <w:tc>
          <w:tcPr>
            <w:tcW w:w="409" w:type="pct"/>
            <w:noWrap/>
            <w:vAlign w:val="center"/>
            <w:hideMark/>
          </w:tcPr>
          <w:p w14:paraId="7B3BA58C" w14:textId="77777777" w:rsidR="004F64EF" w:rsidRPr="003003C0" w:rsidRDefault="004F64EF" w:rsidP="00FD6B66">
            <w:pPr>
              <w:jc w:val="right"/>
              <w:rPr>
                <w:rFonts w:cs="Arial"/>
                <w:color w:val="000000"/>
                <w:sz w:val="14"/>
                <w:szCs w:val="14"/>
              </w:rPr>
            </w:pPr>
            <w:r w:rsidRPr="003003C0">
              <w:rPr>
                <w:rFonts w:cs="Arial"/>
                <w:color w:val="000000"/>
                <w:sz w:val="14"/>
                <w:szCs w:val="14"/>
              </w:rPr>
              <w:t>6</w:t>
            </w:r>
            <w:r>
              <w:rPr>
                <w:rFonts w:cs="Arial"/>
                <w:color w:val="000000"/>
                <w:sz w:val="14"/>
                <w:szCs w:val="14"/>
              </w:rPr>
              <w:t>.</w:t>
            </w:r>
            <w:r w:rsidRPr="003003C0">
              <w:rPr>
                <w:rFonts w:cs="Arial"/>
                <w:color w:val="000000"/>
                <w:sz w:val="14"/>
                <w:szCs w:val="14"/>
              </w:rPr>
              <w:t>5</w:t>
            </w:r>
          </w:p>
        </w:tc>
        <w:tc>
          <w:tcPr>
            <w:tcW w:w="409" w:type="pct"/>
            <w:noWrap/>
            <w:vAlign w:val="center"/>
            <w:hideMark/>
          </w:tcPr>
          <w:p w14:paraId="3A4AD882" w14:textId="77777777" w:rsidR="004F64EF" w:rsidRPr="003003C0" w:rsidRDefault="004F64EF" w:rsidP="00FD6B66">
            <w:pPr>
              <w:jc w:val="right"/>
              <w:rPr>
                <w:rFonts w:cs="Arial"/>
                <w:color w:val="000000"/>
                <w:sz w:val="14"/>
                <w:szCs w:val="14"/>
              </w:rPr>
            </w:pPr>
            <w:r w:rsidRPr="003003C0">
              <w:rPr>
                <w:rFonts w:cs="Arial"/>
                <w:color w:val="000000"/>
                <w:sz w:val="14"/>
                <w:szCs w:val="14"/>
              </w:rPr>
              <w:t>6</w:t>
            </w:r>
            <w:r>
              <w:rPr>
                <w:rFonts w:cs="Arial"/>
                <w:color w:val="000000"/>
                <w:sz w:val="14"/>
                <w:szCs w:val="14"/>
              </w:rPr>
              <w:t>.</w:t>
            </w:r>
            <w:r w:rsidRPr="003003C0">
              <w:rPr>
                <w:rFonts w:cs="Arial"/>
                <w:color w:val="000000"/>
                <w:sz w:val="14"/>
                <w:szCs w:val="14"/>
              </w:rPr>
              <w:t>5</w:t>
            </w:r>
          </w:p>
        </w:tc>
        <w:tc>
          <w:tcPr>
            <w:tcW w:w="409" w:type="pct"/>
            <w:noWrap/>
            <w:vAlign w:val="center"/>
            <w:hideMark/>
          </w:tcPr>
          <w:p w14:paraId="6460B563" w14:textId="77777777" w:rsidR="004F64EF" w:rsidRPr="003003C0" w:rsidRDefault="004F64EF" w:rsidP="00FD6B66">
            <w:pPr>
              <w:jc w:val="right"/>
              <w:rPr>
                <w:rFonts w:cs="Arial"/>
                <w:color w:val="000000"/>
                <w:sz w:val="14"/>
                <w:szCs w:val="14"/>
              </w:rPr>
            </w:pPr>
            <w:r w:rsidRPr="003003C0">
              <w:rPr>
                <w:rFonts w:cs="Arial"/>
                <w:color w:val="000000"/>
                <w:sz w:val="14"/>
                <w:szCs w:val="14"/>
              </w:rPr>
              <w:t>6</w:t>
            </w:r>
            <w:r>
              <w:rPr>
                <w:rFonts w:cs="Arial"/>
                <w:color w:val="000000"/>
                <w:sz w:val="14"/>
                <w:szCs w:val="14"/>
              </w:rPr>
              <w:t>.</w:t>
            </w:r>
            <w:r w:rsidRPr="003003C0">
              <w:rPr>
                <w:rFonts w:cs="Arial"/>
                <w:color w:val="000000"/>
                <w:sz w:val="14"/>
                <w:szCs w:val="14"/>
              </w:rPr>
              <w:t>6</w:t>
            </w:r>
          </w:p>
        </w:tc>
        <w:tc>
          <w:tcPr>
            <w:tcW w:w="409" w:type="pct"/>
            <w:noWrap/>
            <w:vAlign w:val="center"/>
            <w:hideMark/>
          </w:tcPr>
          <w:p w14:paraId="6D1B7FB6" w14:textId="77777777" w:rsidR="004F64EF" w:rsidRPr="003003C0" w:rsidRDefault="004F64EF" w:rsidP="00FD6B66">
            <w:pPr>
              <w:jc w:val="right"/>
              <w:rPr>
                <w:rFonts w:cs="Arial"/>
                <w:color w:val="000000"/>
                <w:sz w:val="14"/>
                <w:szCs w:val="14"/>
              </w:rPr>
            </w:pPr>
            <w:r w:rsidRPr="003003C0">
              <w:rPr>
                <w:rFonts w:cs="Arial"/>
                <w:color w:val="000000"/>
                <w:sz w:val="14"/>
                <w:szCs w:val="14"/>
              </w:rPr>
              <w:t>7</w:t>
            </w:r>
            <w:r>
              <w:rPr>
                <w:rFonts w:cs="Arial"/>
                <w:color w:val="000000"/>
                <w:sz w:val="14"/>
                <w:szCs w:val="14"/>
              </w:rPr>
              <w:t>.</w:t>
            </w:r>
            <w:r w:rsidRPr="003003C0">
              <w:rPr>
                <w:rFonts w:cs="Arial"/>
                <w:color w:val="000000"/>
                <w:sz w:val="14"/>
                <w:szCs w:val="14"/>
              </w:rPr>
              <w:t>5</w:t>
            </w:r>
          </w:p>
        </w:tc>
        <w:tc>
          <w:tcPr>
            <w:tcW w:w="409" w:type="pct"/>
            <w:noWrap/>
            <w:vAlign w:val="center"/>
            <w:hideMark/>
          </w:tcPr>
          <w:p w14:paraId="52FF66C5" w14:textId="77777777" w:rsidR="004F64EF" w:rsidRPr="003003C0" w:rsidRDefault="004F64EF" w:rsidP="00FD6B66">
            <w:pPr>
              <w:jc w:val="right"/>
              <w:rPr>
                <w:rFonts w:cs="Arial"/>
                <w:color w:val="000000"/>
                <w:sz w:val="14"/>
                <w:szCs w:val="14"/>
              </w:rPr>
            </w:pPr>
            <w:r w:rsidRPr="003003C0">
              <w:rPr>
                <w:rFonts w:cs="Arial"/>
                <w:color w:val="000000"/>
                <w:sz w:val="14"/>
                <w:szCs w:val="14"/>
              </w:rPr>
              <w:t>6</w:t>
            </w:r>
            <w:r>
              <w:rPr>
                <w:rFonts w:cs="Arial"/>
                <w:color w:val="000000"/>
                <w:sz w:val="14"/>
                <w:szCs w:val="14"/>
              </w:rPr>
              <w:t>.</w:t>
            </w:r>
            <w:r w:rsidRPr="003003C0">
              <w:rPr>
                <w:rFonts w:cs="Arial"/>
                <w:color w:val="000000"/>
                <w:sz w:val="14"/>
                <w:szCs w:val="14"/>
              </w:rPr>
              <w:t>9</w:t>
            </w:r>
          </w:p>
        </w:tc>
      </w:tr>
    </w:tbl>
    <w:p w14:paraId="19F697D9" w14:textId="77777777" w:rsidR="004F64EF" w:rsidRPr="003003C0" w:rsidRDefault="004F64EF" w:rsidP="00B91D96">
      <w:pPr>
        <w:pStyle w:val="NoteText"/>
        <w:spacing w:before="120" w:after="120"/>
      </w:pPr>
      <w:r w:rsidRPr="003003C0">
        <w:t>a</w:t>
      </w:r>
      <w:r w:rsidRPr="003003C0">
        <w:tab/>
      </w:r>
      <w:r w:rsidRPr="00552AA3">
        <w:t>Commonwealth of Independent States, including certain associate and former member States</w:t>
      </w:r>
      <w:r w:rsidRPr="003003C0">
        <w:t>.</w:t>
      </w:r>
    </w:p>
    <w:p w14:paraId="242C1D33" w14:textId="77777777" w:rsidR="004F64EF" w:rsidRPr="003003C0" w:rsidRDefault="004F64EF" w:rsidP="00B91D96">
      <w:pPr>
        <w:pStyle w:val="NoteText"/>
        <w:spacing w:after="120"/>
      </w:pPr>
      <w:r w:rsidRPr="00552AA3">
        <w:rPr>
          <w:bCs/>
        </w:rPr>
        <w:t>Source:</w:t>
      </w:r>
      <w:r w:rsidRPr="00552AA3">
        <w:rPr>
          <w:bCs/>
        </w:rPr>
        <w:tab/>
        <w:t>WTO Secretariat calculations based on data from COMEX</w:t>
      </w:r>
      <w:r w:rsidRPr="003003C0">
        <w:t>.</w:t>
      </w:r>
    </w:p>
    <w:p w14:paraId="4B68FE4D" w14:textId="77777777" w:rsidR="004F64EF" w:rsidRPr="003003C0" w:rsidRDefault="004F64EF" w:rsidP="00B91D96">
      <w:pPr>
        <w:pStyle w:val="NoteText"/>
        <w:spacing w:after="120"/>
      </w:pPr>
      <w:r w:rsidRPr="003003C0">
        <w:br w:type="page"/>
      </w:r>
    </w:p>
    <w:p w14:paraId="15F0A279" w14:textId="77777777" w:rsidR="004F64EF" w:rsidRPr="003003C0" w:rsidRDefault="004F64EF" w:rsidP="00B91D96">
      <w:pPr>
        <w:pStyle w:val="Caption"/>
      </w:pPr>
      <w:bookmarkStart w:id="434" w:name="_Toc114735868"/>
      <w:bookmarkStart w:id="435" w:name="_Toc117004286"/>
      <w:r>
        <w:lastRenderedPageBreak/>
        <w:t>Table</w:t>
      </w:r>
      <w:r w:rsidRPr="003003C0">
        <w:t xml:space="preserve"> A1.</w:t>
      </w:r>
      <w:r w:rsidR="00BD37F2">
        <w:fldChar w:fldCharType="begin"/>
      </w:r>
      <w:r w:rsidR="00BD37F2">
        <w:instrText xml:space="preserve"> SEQ Table_A1. \* ARABIC </w:instrText>
      </w:r>
      <w:r w:rsidR="00BD37F2">
        <w:fldChar w:fldCharType="separate"/>
      </w:r>
      <w:r w:rsidRPr="003003C0">
        <w:rPr>
          <w:noProof/>
        </w:rPr>
        <w:t>8</w:t>
      </w:r>
      <w:r w:rsidR="00BD37F2">
        <w:rPr>
          <w:noProof/>
        </w:rPr>
        <w:fldChar w:fldCharType="end"/>
      </w:r>
      <w:r w:rsidRPr="003003C0">
        <w:t xml:space="preserve"> </w:t>
      </w:r>
      <w:r>
        <w:t>Total merchandise imports</w:t>
      </w:r>
      <w:r w:rsidRPr="003003C0">
        <w:t xml:space="preserve"> (</w:t>
      </w:r>
      <w:r>
        <w:t>f.o.b.</w:t>
      </w:r>
      <w:r w:rsidRPr="003003C0">
        <w:t xml:space="preserve">) </w:t>
      </w:r>
      <w:r>
        <w:t>by trading partner</w:t>
      </w:r>
      <w:r w:rsidRPr="003003C0">
        <w:t>, 2015-21</w:t>
      </w:r>
      <w:bookmarkEnd w:id="434"/>
      <w:bookmarkEnd w:id="435"/>
    </w:p>
    <w:p w14:paraId="4B95AEE8" w14:textId="77777777" w:rsidR="004F64EF" w:rsidRPr="003003C0" w:rsidRDefault="004F64EF" w:rsidP="00B91D96">
      <w:pPr>
        <w:pStyle w:val="NoteText"/>
      </w:pPr>
      <w:r w:rsidRPr="003003C0">
        <w:t xml:space="preserve">(USD </w:t>
      </w:r>
      <w:r>
        <w:t>million and</w:t>
      </w:r>
      <w:r w:rsidRPr="003003C0">
        <w:t xml:space="preserve"> %)</w:t>
      </w:r>
    </w:p>
    <w:tbl>
      <w:tblPr>
        <w:tblStyle w:val="WTOTable1"/>
        <w:tblW w:w="0" w:type="auto"/>
        <w:tblLayout w:type="fixed"/>
        <w:tblLook w:val="04A0" w:firstRow="1" w:lastRow="0" w:firstColumn="1" w:lastColumn="0" w:noHBand="0" w:noVBand="1"/>
      </w:tblPr>
      <w:tblGrid>
        <w:gridCol w:w="3505"/>
        <w:gridCol w:w="787"/>
        <w:gridCol w:w="787"/>
        <w:gridCol w:w="787"/>
        <w:gridCol w:w="788"/>
        <w:gridCol w:w="787"/>
        <w:gridCol w:w="787"/>
        <w:gridCol w:w="788"/>
      </w:tblGrid>
      <w:tr w:rsidR="004F64EF" w:rsidRPr="003003C0" w14:paraId="52AD9EC0" w14:textId="77777777" w:rsidTr="00FD6B66">
        <w:trPr>
          <w:cnfStyle w:val="100000000000" w:firstRow="1" w:lastRow="0" w:firstColumn="0" w:lastColumn="0" w:oddVBand="0" w:evenVBand="0" w:oddHBand="0" w:evenHBand="0" w:firstRowFirstColumn="0" w:firstRowLastColumn="0" w:lastRowFirstColumn="0" w:lastRowLastColumn="0"/>
          <w:trHeight w:val="20"/>
          <w:tblHeader/>
        </w:trPr>
        <w:tc>
          <w:tcPr>
            <w:tcW w:w="3505" w:type="dxa"/>
            <w:noWrap/>
            <w:vAlign w:val="center"/>
            <w:hideMark/>
          </w:tcPr>
          <w:p w14:paraId="4863E7E7" w14:textId="77777777" w:rsidR="004F64EF" w:rsidRPr="003003C0" w:rsidRDefault="004F64EF" w:rsidP="00FD6B66">
            <w:pPr>
              <w:jc w:val="left"/>
              <w:rPr>
                <w:rFonts w:eastAsia="Times New Roman" w:cs="Arial"/>
                <w:color w:val="FFFFFF" w:themeColor="background1"/>
                <w:sz w:val="14"/>
                <w:szCs w:val="14"/>
                <w:lang w:eastAsia="en-GB"/>
              </w:rPr>
            </w:pPr>
            <w:r w:rsidRPr="003003C0">
              <w:rPr>
                <w:rFonts w:cs="Arial"/>
                <w:color w:val="FFFFFF" w:themeColor="background1"/>
                <w:sz w:val="14"/>
                <w:szCs w:val="14"/>
              </w:rPr>
              <w:t>Descrip</w:t>
            </w:r>
            <w:r>
              <w:rPr>
                <w:rFonts w:cs="Arial"/>
                <w:color w:val="FFFFFF" w:themeColor="background1"/>
                <w:sz w:val="14"/>
                <w:szCs w:val="14"/>
              </w:rPr>
              <w:t>tio</w:t>
            </w:r>
            <w:r w:rsidRPr="003003C0">
              <w:rPr>
                <w:rFonts w:cs="Arial"/>
                <w:color w:val="FFFFFF" w:themeColor="background1"/>
                <w:sz w:val="14"/>
                <w:szCs w:val="14"/>
              </w:rPr>
              <w:t>n</w:t>
            </w:r>
          </w:p>
        </w:tc>
        <w:tc>
          <w:tcPr>
            <w:tcW w:w="787" w:type="dxa"/>
            <w:noWrap/>
            <w:vAlign w:val="center"/>
            <w:hideMark/>
          </w:tcPr>
          <w:p w14:paraId="3BC458CB" w14:textId="77777777" w:rsidR="004F64EF" w:rsidRPr="003003C0" w:rsidRDefault="004F64EF" w:rsidP="00FD6B66">
            <w:pPr>
              <w:ind w:right="57"/>
              <w:jc w:val="right"/>
              <w:rPr>
                <w:rFonts w:cs="Arial"/>
                <w:color w:val="FFFFFF" w:themeColor="background1"/>
                <w:sz w:val="14"/>
                <w:szCs w:val="14"/>
              </w:rPr>
            </w:pPr>
            <w:r w:rsidRPr="003003C0">
              <w:rPr>
                <w:rFonts w:cs="Arial"/>
                <w:color w:val="FFFFFF" w:themeColor="background1"/>
                <w:sz w:val="14"/>
                <w:szCs w:val="14"/>
              </w:rPr>
              <w:t>2015</w:t>
            </w:r>
          </w:p>
        </w:tc>
        <w:tc>
          <w:tcPr>
            <w:tcW w:w="787" w:type="dxa"/>
            <w:noWrap/>
            <w:vAlign w:val="center"/>
            <w:hideMark/>
          </w:tcPr>
          <w:p w14:paraId="768F2F59" w14:textId="77777777" w:rsidR="004F64EF" w:rsidRPr="003003C0" w:rsidRDefault="004F64EF" w:rsidP="00FD6B66">
            <w:pPr>
              <w:ind w:right="57"/>
              <w:jc w:val="right"/>
              <w:rPr>
                <w:rFonts w:cs="Arial"/>
                <w:color w:val="FFFFFF" w:themeColor="background1"/>
                <w:sz w:val="14"/>
                <w:szCs w:val="14"/>
              </w:rPr>
            </w:pPr>
            <w:r w:rsidRPr="003003C0">
              <w:rPr>
                <w:rFonts w:cs="Arial"/>
                <w:color w:val="FFFFFF" w:themeColor="background1"/>
                <w:sz w:val="14"/>
                <w:szCs w:val="14"/>
              </w:rPr>
              <w:t>2016</w:t>
            </w:r>
          </w:p>
        </w:tc>
        <w:tc>
          <w:tcPr>
            <w:tcW w:w="787" w:type="dxa"/>
            <w:noWrap/>
            <w:vAlign w:val="center"/>
            <w:hideMark/>
          </w:tcPr>
          <w:p w14:paraId="6E184DBC" w14:textId="77777777" w:rsidR="004F64EF" w:rsidRPr="003003C0" w:rsidRDefault="004F64EF" w:rsidP="00FD6B66">
            <w:pPr>
              <w:ind w:right="57"/>
              <w:jc w:val="right"/>
              <w:rPr>
                <w:rFonts w:cs="Arial"/>
                <w:color w:val="FFFFFF" w:themeColor="background1"/>
                <w:sz w:val="14"/>
                <w:szCs w:val="14"/>
              </w:rPr>
            </w:pPr>
            <w:r w:rsidRPr="003003C0">
              <w:rPr>
                <w:rFonts w:cs="Arial"/>
                <w:color w:val="FFFFFF" w:themeColor="background1"/>
                <w:sz w:val="14"/>
                <w:szCs w:val="14"/>
              </w:rPr>
              <w:t>2017</w:t>
            </w:r>
          </w:p>
        </w:tc>
        <w:tc>
          <w:tcPr>
            <w:tcW w:w="788" w:type="dxa"/>
            <w:noWrap/>
            <w:vAlign w:val="center"/>
            <w:hideMark/>
          </w:tcPr>
          <w:p w14:paraId="356B0E6C" w14:textId="77777777" w:rsidR="004F64EF" w:rsidRPr="003003C0" w:rsidRDefault="004F64EF" w:rsidP="00FD6B66">
            <w:pPr>
              <w:ind w:right="57"/>
              <w:jc w:val="right"/>
              <w:rPr>
                <w:rFonts w:cs="Arial"/>
                <w:color w:val="FFFFFF" w:themeColor="background1"/>
                <w:sz w:val="14"/>
                <w:szCs w:val="14"/>
              </w:rPr>
            </w:pPr>
            <w:r w:rsidRPr="003003C0">
              <w:rPr>
                <w:rFonts w:cs="Arial"/>
                <w:color w:val="FFFFFF" w:themeColor="background1"/>
                <w:sz w:val="14"/>
                <w:szCs w:val="14"/>
              </w:rPr>
              <w:t>2018</w:t>
            </w:r>
          </w:p>
        </w:tc>
        <w:tc>
          <w:tcPr>
            <w:tcW w:w="787" w:type="dxa"/>
            <w:noWrap/>
            <w:vAlign w:val="center"/>
            <w:hideMark/>
          </w:tcPr>
          <w:p w14:paraId="67151914" w14:textId="77777777" w:rsidR="004F64EF" w:rsidRPr="003003C0" w:rsidRDefault="004F64EF" w:rsidP="00FD6B66">
            <w:pPr>
              <w:ind w:right="57"/>
              <w:jc w:val="right"/>
              <w:rPr>
                <w:rFonts w:cs="Arial"/>
                <w:color w:val="FFFFFF" w:themeColor="background1"/>
                <w:sz w:val="14"/>
                <w:szCs w:val="14"/>
              </w:rPr>
            </w:pPr>
            <w:r w:rsidRPr="003003C0">
              <w:rPr>
                <w:rFonts w:cs="Arial"/>
                <w:color w:val="FFFFFF" w:themeColor="background1"/>
                <w:sz w:val="14"/>
                <w:szCs w:val="14"/>
              </w:rPr>
              <w:t>2019</w:t>
            </w:r>
          </w:p>
        </w:tc>
        <w:tc>
          <w:tcPr>
            <w:tcW w:w="787" w:type="dxa"/>
            <w:noWrap/>
            <w:vAlign w:val="center"/>
            <w:hideMark/>
          </w:tcPr>
          <w:p w14:paraId="2F6FF7EC" w14:textId="77777777" w:rsidR="004F64EF" w:rsidRPr="003003C0" w:rsidRDefault="004F64EF" w:rsidP="00FD6B66">
            <w:pPr>
              <w:ind w:right="57"/>
              <w:jc w:val="right"/>
              <w:rPr>
                <w:rFonts w:cs="Arial"/>
                <w:color w:val="FFFFFF" w:themeColor="background1"/>
                <w:sz w:val="14"/>
                <w:szCs w:val="14"/>
              </w:rPr>
            </w:pPr>
            <w:r w:rsidRPr="003003C0">
              <w:rPr>
                <w:rFonts w:cs="Arial"/>
                <w:color w:val="FFFFFF" w:themeColor="background1"/>
                <w:sz w:val="14"/>
                <w:szCs w:val="14"/>
              </w:rPr>
              <w:t>2020</w:t>
            </w:r>
          </w:p>
        </w:tc>
        <w:tc>
          <w:tcPr>
            <w:tcW w:w="788" w:type="dxa"/>
            <w:noWrap/>
            <w:vAlign w:val="center"/>
            <w:hideMark/>
          </w:tcPr>
          <w:p w14:paraId="7586E289" w14:textId="77777777" w:rsidR="004F64EF" w:rsidRPr="003003C0" w:rsidRDefault="004F64EF" w:rsidP="00FD6B66">
            <w:pPr>
              <w:ind w:right="57"/>
              <w:jc w:val="right"/>
              <w:rPr>
                <w:rFonts w:cs="Arial"/>
                <w:color w:val="FFFFFF" w:themeColor="background1"/>
                <w:sz w:val="14"/>
                <w:szCs w:val="14"/>
              </w:rPr>
            </w:pPr>
            <w:r w:rsidRPr="003003C0">
              <w:rPr>
                <w:rFonts w:cs="Arial"/>
                <w:color w:val="FFFFFF" w:themeColor="background1"/>
                <w:sz w:val="14"/>
                <w:szCs w:val="14"/>
              </w:rPr>
              <w:t>2021</w:t>
            </w:r>
          </w:p>
        </w:tc>
      </w:tr>
      <w:tr w:rsidR="004F64EF" w:rsidRPr="003003C0" w14:paraId="388574BF" w14:textId="77777777" w:rsidTr="00FD6B66">
        <w:trPr>
          <w:trHeight w:val="20"/>
        </w:trPr>
        <w:tc>
          <w:tcPr>
            <w:tcW w:w="3505" w:type="dxa"/>
            <w:noWrap/>
            <w:vAlign w:val="center"/>
            <w:hideMark/>
          </w:tcPr>
          <w:p w14:paraId="69B004B0" w14:textId="77777777" w:rsidR="004F64EF" w:rsidRPr="003003C0" w:rsidRDefault="004F64EF" w:rsidP="00FD6B66">
            <w:pPr>
              <w:jc w:val="left"/>
              <w:rPr>
                <w:rFonts w:cs="Arial"/>
                <w:b/>
                <w:bCs/>
                <w:color w:val="000000"/>
                <w:sz w:val="14"/>
                <w:szCs w:val="14"/>
              </w:rPr>
            </w:pPr>
          </w:p>
        </w:tc>
        <w:tc>
          <w:tcPr>
            <w:tcW w:w="5511" w:type="dxa"/>
            <w:gridSpan w:val="7"/>
            <w:noWrap/>
            <w:vAlign w:val="center"/>
            <w:hideMark/>
          </w:tcPr>
          <w:p w14:paraId="20B0C515" w14:textId="77777777" w:rsidR="004F64EF" w:rsidRPr="003003C0" w:rsidRDefault="004F64EF" w:rsidP="00FD6B66">
            <w:pPr>
              <w:jc w:val="center"/>
              <w:rPr>
                <w:rFonts w:cs="Arial"/>
                <w:b/>
                <w:bCs/>
                <w:color w:val="000000"/>
                <w:sz w:val="14"/>
                <w:szCs w:val="14"/>
              </w:rPr>
            </w:pPr>
            <w:r w:rsidRPr="003003C0">
              <w:rPr>
                <w:rFonts w:cs="Arial"/>
                <w:b/>
                <w:bCs/>
                <w:color w:val="000000"/>
                <w:sz w:val="14"/>
                <w:szCs w:val="14"/>
              </w:rPr>
              <w:t>(</w:t>
            </w:r>
            <w:r>
              <w:rPr>
                <w:rFonts w:cs="Arial"/>
                <w:b/>
                <w:bCs/>
                <w:color w:val="000000"/>
                <w:sz w:val="14"/>
                <w:szCs w:val="14"/>
              </w:rPr>
              <w:t xml:space="preserve">USD </w:t>
            </w:r>
            <w:r w:rsidRPr="003003C0">
              <w:rPr>
                <w:rFonts w:cs="Arial"/>
                <w:b/>
                <w:bCs/>
                <w:color w:val="000000"/>
                <w:sz w:val="14"/>
                <w:szCs w:val="14"/>
              </w:rPr>
              <w:t>mill</w:t>
            </w:r>
            <w:r>
              <w:rPr>
                <w:rFonts w:cs="Arial"/>
                <w:b/>
                <w:bCs/>
                <w:color w:val="000000"/>
                <w:sz w:val="14"/>
                <w:szCs w:val="14"/>
              </w:rPr>
              <w:t>ion</w:t>
            </w:r>
            <w:r w:rsidRPr="003003C0">
              <w:rPr>
                <w:rFonts w:cs="Arial"/>
                <w:b/>
                <w:bCs/>
                <w:color w:val="000000"/>
                <w:sz w:val="14"/>
                <w:szCs w:val="14"/>
              </w:rPr>
              <w:t>)</w:t>
            </w:r>
          </w:p>
        </w:tc>
      </w:tr>
      <w:tr w:rsidR="004F64EF" w:rsidRPr="003003C0" w14:paraId="06F8A7BB" w14:textId="77777777" w:rsidTr="00FD6B66">
        <w:trPr>
          <w:cnfStyle w:val="000000010000" w:firstRow="0" w:lastRow="0" w:firstColumn="0" w:lastColumn="0" w:oddVBand="0" w:evenVBand="0" w:oddHBand="0" w:evenHBand="1" w:firstRowFirstColumn="0" w:firstRowLastColumn="0" w:lastRowFirstColumn="0" w:lastRowLastColumn="0"/>
          <w:trHeight w:val="20"/>
        </w:trPr>
        <w:tc>
          <w:tcPr>
            <w:tcW w:w="3505" w:type="dxa"/>
            <w:noWrap/>
            <w:vAlign w:val="center"/>
            <w:hideMark/>
          </w:tcPr>
          <w:p w14:paraId="72DC8D1D" w14:textId="77777777" w:rsidR="004F64EF" w:rsidRPr="003003C0" w:rsidRDefault="004F64EF" w:rsidP="00FD6B66">
            <w:pPr>
              <w:jc w:val="left"/>
              <w:rPr>
                <w:rFonts w:cs="Arial"/>
                <w:color w:val="000000"/>
                <w:sz w:val="14"/>
                <w:szCs w:val="14"/>
              </w:rPr>
            </w:pPr>
            <w:r w:rsidRPr="003003C0">
              <w:rPr>
                <w:rFonts w:cs="Arial"/>
                <w:color w:val="000000"/>
                <w:sz w:val="14"/>
                <w:szCs w:val="14"/>
              </w:rPr>
              <w:t>Import</w:t>
            </w:r>
            <w:r>
              <w:rPr>
                <w:rFonts w:cs="Arial"/>
                <w:color w:val="000000"/>
                <w:sz w:val="14"/>
                <w:szCs w:val="14"/>
              </w:rPr>
              <w:t>s</w:t>
            </w:r>
            <w:r w:rsidRPr="003003C0">
              <w:rPr>
                <w:rFonts w:cs="Arial"/>
                <w:color w:val="000000"/>
                <w:sz w:val="14"/>
                <w:szCs w:val="14"/>
              </w:rPr>
              <w:t xml:space="preserve"> (</w:t>
            </w:r>
            <w:r>
              <w:rPr>
                <w:rFonts w:cs="Arial"/>
                <w:color w:val="000000"/>
                <w:sz w:val="14"/>
                <w:szCs w:val="14"/>
              </w:rPr>
              <w:t>f.o.b.</w:t>
            </w:r>
            <w:r w:rsidRPr="003003C0">
              <w:rPr>
                <w:rFonts w:cs="Arial"/>
                <w:color w:val="000000"/>
                <w:sz w:val="14"/>
                <w:szCs w:val="14"/>
              </w:rPr>
              <w:t>)</w:t>
            </w:r>
          </w:p>
        </w:tc>
        <w:tc>
          <w:tcPr>
            <w:tcW w:w="787" w:type="dxa"/>
            <w:noWrap/>
            <w:vAlign w:val="center"/>
            <w:hideMark/>
          </w:tcPr>
          <w:p w14:paraId="121E878D" w14:textId="77777777" w:rsidR="004F64EF" w:rsidRPr="003003C0" w:rsidRDefault="004F64EF" w:rsidP="00FD6B66">
            <w:pPr>
              <w:jc w:val="right"/>
              <w:rPr>
                <w:rFonts w:cs="Arial"/>
                <w:color w:val="000000"/>
                <w:sz w:val="14"/>
                <w:szCs w:val="14"/>
              </w:rPr>
            </w:pPr>
            <w:r w:rsidRPr="003003C0">
              <w:rPr>
                <w:rFonts w:cs="Arial"/>
                <w:color w:val="000000"/>
                <w:sz w:val="14"/>
                <w:szCs w:val="14"/>
              </w:rPr>
              <w:t>17</w:t>
            </w:r>
            <w:r>
              <w:rPr>
                <w:rFonts w:cs="Arial"/>
                <w:color w:val="000000"/>
                <w:sz w:val="14"/>
                <w:szCs w:val="14"/>
              </w:rPr>
              <w:t>,</w:t>
            </w:r>
            <w:r w:rsidRPr="003003C0">
              <w:rPr>
                <w:rFonts w:cs="Arial"/>
                <w:color w:val="000000"/>
                <w:sz w:val="14"/>
                <w:szCs w:val="14"/>
              </w:rPr>
              <w:t>102</w:t>
            </w:r>
          </w:p>
        </w:tc>
        <w:tc>
          <w:tcPr>
            <w:tcW w:w="787" w:type="dxa"/>
            <w:noWrap/>
            <w:vAlign w:val="center"/>
            <w:hideMark/>
          </w:tcPr>
          <w:p w14:paraId="3842E2FF" w14:textId="77777777" w:rsidR="004F64EF" w:rsidRPr="003003C0" w:rsidRDefault="004F64EF" w:rsidP="00FD6B66">
            <w:pPr>
              <w:jc w:val="right"/>
              <w:rPr>
                <w:rFonts w:cs="Arial"/>
                <w:color w:val="000000"/>
                <w:sz w:val="14"/>
                <w:szCs w:val="14"/>
              </w:rPr>
            </w:pPr>
            <w:r w:rsidRPr="003003C0">
              <w:rPr>
                <w:rFonts w:cs="Arial"/>
                <w:color w:val="000000"/>
                <w:sz w:val="14"/>
                <w:szCs w:val="14"/>
              </w:rPr>
              <w:t>17</w:t>
            </w:r>
            <w:r>
              <w:rPr>
                <w:rFonts w:cs="Arial"/>
                <w:color w:val="000000"/>
                <w:sz w:val="14"/>
                <w:szCs w:val="14"/>
              </w:rPr>
              <w:t>,</w:t>
            </w:r>
            <w:r w:rsidRPr="003003C0">
              <w:rPr>
                <w:rFonts w:cs="Arial"/>
                <w:color w:val="000000"/>
                <w:sz w:val="14"/>
                <w:szCs w:val="14"/>
              </w:rPr>
              <w:t>816</w:t>
            </w:r>
          </w:p>
        </w:tc>
        <w:tc>
          <w:tcPr>
            <w:tcW w:w="787" w:type="dxa"/>
            <w:noWrap/>
            <w:vAlign w:val="center"/>
            <w:hideMark/>
          </w:tcPr>
          <w:p w14:paraId="790B2201" w14:textId="77777777" w:rsidR="004F64EF" w:rsidRPr="003003C0" w:rsidRDefault="004F64EF" w:rsidP="00FD6B66">
            <w:pPr>
              <w:jc w:val="right"/>
              <w:rPr>
                <w:rFonts w:cs="Arial"/>
                <w:color w:val="000000"/>
                <w:sz w:val="14"/>
                <w:szCs w:val="14"/>
              </w:rPr>
            </w:pPr>
            <w:r w:rsidRPr="003003C0">
              <w:rPr>
                <w:rFonts w:cs="Arial"/>
                <w:color w:val="000000"/>
                <w:sz w:val="14"/>
                <w:szCs w:val="14"/>
              </w:rPr>
              <w:t>18</w:t>
            </w:r>
            <w:r>
              <w:rPr>
                <w:rFonts w:cs="Arial"/>
                <w:color w:val="000000"/>
                <w:sz w:val="14"/>
                <w:szCs w:val="14"/>
              </w:rPr>
              <w:t>,</w:t>
            </w:r>
            <w:r w:rsidRPr="003003C0">
              <w:rPr>
                <w:rFonts w:cs="Arial"/>
                <w:color w:val="000000"/>
                <w:sz w:val="14"/>
                <w:szCs w:val="14"/>
              </w:rPr>
              <w:t>120</w:t>
            </w:r>
          </w:p>
        </w:tc>
        <w:tc>
          <w:tcPr>
            <w:tcW w:w="788" w:type="dxa"/>
            <w:noWrap/>
            <w:vAlign w:val="center"/>
            <w:hideMark/>
          </w:tcPr>
          <w:p w14:paraId="3B248A9B" w14:textId="77777777" w:rsidR="004F64EF" w:rsidRPr="003003C0" w:rsidRDefault="004F64EF" w:rsidP="00FD6B66">
            <w:pPr>
              <w:jc w:val="right"/>
              <w:rPr>
                <w:rFonts w:cs="Arial"/>
                <w:color w:val="000000"/>
                <w:sz w:val="14"/>
                <w:szCs w:val="14"/>
              </w:rPr>
            </w:pPr>
            <w:r w:rsidRPr="003003C0">
              <w:rPr>
                <w:rFonts w:cs="Arial"/>
                <w:color w:val="000000"/>
                <w:sz w:val="14"/>
                <w:szCs w:val="14"/>
              </w:rPr>
              <w:t>20</w:t>
            </w:r>
            <w:r>
              <w:rPr>
                <w:rFonts w:cs="Arial"/>
                <w:color w:val="000000"/>
                <w:sz w:val="14"/>
                <w:szCs w:val="14"/>
              </w:rPr>
              <w:t>,</w:t>
            </w:r>
            <w:r w:rsidRPr="003003C0">
              <w:rPr>
                <w:rFonts w:cs="Arial"/>
                <w:color w:val="000000"/>
                <w:sz w:val="14"/>
                <w:szCs w:val="14"/>
              </w:rPr>
              <w:t>356</w:t>
            </w:r>
          </w:p>
        </w:tc>
        <w:tc>
          <w:tcPr>
            <w:tcW w:w="787" w:type="dxa"/>
            <w:noWrap/>
            <w:vAlign w:val="center"/>
            <w:hideMark/>
          </w:tcPr>
          <w:p w14:paraId="03E63B19" w14:textId="77777777" w:rsidR="004F64EF" w:rsidRPr="003003C0" w:rsidRDefault="004F64EF" w:rsidP="00FD6B66">
            <w:pPr>
              <w:jc w:val="right"/>
              <w:rPr>
                <w:rFonts w:cs="Arial"/>
                <w:color w:val="000000"/>
                <w:sz w:val="14"/>
                <w:szCs w:val="14"/>
              </w:rPr>
            </w:pPr>
            <w:r w:rsidRPr="003003C0">
              <w:rPr>
                <w:rFonts w:cs="Arial"/>
                <w:color w:val="000000"/>
                <w:sz w:val="14"/>
                <w:szCs w:val="14"/>
              </w:rPr>
              <w:t>20</w:t>
            </w:r>
            <w:r>
              <w:rPr>
                <w:rFonts w:cs="Arial"/>
                <w:color w:val="000000"/>
                <w:sz w:val="14"/>
                <w:szCs w:val="14"/>
              </w:rPr>
              <w:t>,</w:t>
            </w:r>
            <w:r w:rsidRPr="003003C0">
              <w:rPr>
                <w:rFonts w:cs="Arial"/>
                <w:color w:val="000000"/>
                <w:sz w:val="14"/>
                <w:szCs w:val="14"/>
              </w:rPr>
              <w:t>415</w:t>
            </w:r>
          </w:p>
        </w:tc>
        <w:tc>
          <w:tcPr>
            <w:tcW w:w="787" w:type="dxa"/>
            <w:noWrap/>
            <w:vAlign w:val="center"/>
            <w:hideMark/>
          </w:tcPr>
          <w:p w14:paraId="3275D8F1" w14:textId="77777777" w:rsidR="004F64EF" w:rsidRPr="003003C0" w:rsidRDefault="004F64EF" w:rsidP="00FD6B66">
            <w:pPr>
              <w:jc w:val="right"/>
              <w:rPr>
                <w:rFonts w:cs="Arial"/>
                <w:color w:val="000000"/>
                <w:sz w:val="14"/>
                <w:szCs w:val="14"/>
              </w:rPr>
            </w:pPr>
            <w:r w:rsidRPr="003003C0">
              <w:rPr>
                <w:rFonts w:cs="Arial"/>
                <w:color w:val="000000"/>
                <w:sz w:val="14"/>
                <w:szCs w:val="14"/>
              </w:rPr>
              <w:t>17</w:t>
            </w:r>
            <w:r>
              <w:rPr>
                <w:rFonts w:cs="Arial"/>
                <w:color w:val="000000"/>
                <w:sz w:val="14"/>
                <w:szCs w:val="14"/>
              </w:rPr>
              <w:t>,</w:t>
            </w:r>
            <w:r w:rsidRPr="003003C0">
              <w:rPr>
                <w:rFonts w:cs="Arial"/>
                <w:color w:val="000000"/>
                <w:sz w:val="14"/>
                <w:szCs w:val="14"/>
              </w:rPr>
              <w:t>118</w:t>
            </w:r>
          </w:p>
        </w:tc>
        <w:tc>
          <w:tcPr>
            <w:tcW w:w="788" w:type="dxa"/>
            <w:noWrap/>
            <w:vAlign w:val="center"/>
            <w:hideMark/>
          </w:tcPr>
          <w:p w14:paraId="6E106B7E" w14:textId="77777777" w:rsidR="004F64EF" w:rsidRPr="003003C0" w:rsidRDefault="004F64EF" w:rsidP="00FD6B66">
            <w:pPr>
              <w:jc w:val="right"/>
              <w:rPr>
                <w:rFonts w:cs="Arial"/>
                <w:color w:val="000000"/>
                <w:sz w:val="14"/>
                <w:szCs w:val="14"/>
              </w:rPr>
            </w:pPr>
            <w:r w:rsidRPr="003003C0">
              <w:rPr>
                <w:rFonts w:cs="Arial"/>
                <w:color w:val="000000"/>
                <w:sz w:val="14"/>
                <w:szCs w:val="14"/>
              </w:rPr>
              <w:t>24</w:t>
            </w:r>
            <w:r>
              <w:rPr>
                <w:rFonts w:cs="Arial"/>
                <w:color w:val="000000"/>
                <w:sz w:val="14"/>
                <w:szCs w:val="14"/>
              </w:rPr>
              <w:t>,</w:t>
            </w:r>
            <w:r w:rsidRPr="003003C0">
              <w:rPr>
                <w:rFonts w:cs="Arial"/>
                <w:color w:val="000000"/>
                <w:sz w:val="14"/>
                <w:szCs w:val="14"/>
              </w:rPr>
              <w:t>487</w:t>
            </w:r>
          </w:p>
        </w:tc>
      </w:tr>
      <w:tr w:rsidR="004F64EF" w:rsidRPr="003003C0" w14:paraId="1AF18FEF" w14:textId="77777777" w:rsidTr="00FD6B66">
        <w:trPr>
          <w:trHeight w:val="20"/>
        </w:trPr>
        <w:tc>
          <w:tcPr>
            <w:tcW w:w="3505" w:type="dxa"/>
            <w:noWrap/>
            <w:vAlign w:val="center"/>
            <w:hideMark/>
          </w:tcPr>
          <w:p w14:paraId="0C47543A" w14:textId="77777777" w:rsidR="004F64EF" w:rsidRPr="003003C0" w:rsidRDefault="004F64EF" w:rsidP="00FD6B66">
            <w:pPr>
              <w:jc w:val="left"/>
              <w:rPr>
                <w:rFonts w:cs="Arial"/>
                <w:color w:val="000000"/>
                <w:sz w:val="14"/>
                <w:szCs w:val="14"/>
              </w:rPr>
            </w:pPr>
          </w:p>
        </w:tc>
        <w:tc>
          <w:tcPr>
            <w:tcW w:w="5511" w:type="dxa"/>
            <w:gridSpan w:val="7"/>
            <w:noWrap/>
            <w:vAlign w:val="center"/>
            <w:hideMark/>
          </w:tcPr>
          <w:p w14:paraId="2776FDC1" w14:textId="77777777" w:rsidR="004F64EF" w:rsidRPr="003003C0" w:rsidRDefault="004F64EF" w:rsidP="00FD6B66">
            <w:pPr>
              <w:jc w:val="center"/>
              <w:rPr>
                <w:rFonts w:cs="Arial"/>
                <w:b/>
                <w:bCs/>
                <w:color w:val="000000"/>
                <w:sz w:val="14"/>
                <w:szCs w:val="14"/>
              </w:rPr>
            </w:pPr>
            <w:r w:rsidRPr="003003C0">
              <w:rPr>
                <w:rFonts w:cs="Arial"/>
                <w:b/>
                <w:bCs/>
                <w:color w:val="000000"/>
                <w:sz w:val="14"/>
                <w:szCs w:val="14"/>
              </w:rPr>
              <w:t xml:space="preserve">(% </w:t>
            </w:r>
            <w:r>
              <w:rPr>
                <w:rFonts w:cs="Arial"/>
                <w:b/>
                <w:bCs/>
                <w:color w:val="000000"/>
                <w:sz w:val="14"/>
                <w:szCs w:val="14"/>
              </w:rPr>
              <w:t>of imports</w:t>
            </w:r>
            <w:r w:rsidRPr="003003C0">
              <w:rPr>
                <w:rFonts w:cs="Arial"/>
                <w:b/>
                <w:bCs/>
                <w:color w:val="000000"/>
                <w:sz w:val="14"/>
                <w:szCs w:val="14"/>
              </w:rPr>
              <w:t>)</w:t>
            </w:r>
          </w:p>
        </w:tc>
      </w:tr>
      <w:tr w:rsidR="004F64EF" w:rsidRPr="003003C0" w14:paraId="6EACAC3C" w14:textId="77777777" w:rsidTr="00FD6B66">
        <w:trPr>
          <w:cnfStyle w:val="000000010000" w:firstRow="0" w:lastRow="0" w:firstColumn="0" w:lastColumn="0" w:oddVBand="0" w:evenVBand="0" w:oddHBand="0" w:evenHBand="1" w:firstRowFirstColumn="0" w:firstRowLastColumn="0" w:lastRowFirstColumn="0" w:lastRowLastColumn="0"/>
          <w:trHeight w:val="20"/>
        </w:trPr>
        <w:tc>
          <w:tcPr>
            <w:tcW w:w="3505" w:type="dxa"/>
            <w:noWrap/>
            <w:vAlign w:val="center"/>
            <w:hideMark/>
          </w:tcPr>
          <w:p w14:paraId="402B8DDB" w14:textId="77777777" w:rsidR="004F64EF" w:rsidRPr="003003C0" w:rsidRDefault="004F64EF" w:rsidP="00FD6B66">
            <w:pPr>
              <w:jc w:val="left"/>
              <w:rPr>
                <w:rFonts w:cs="Arial"/>
                <w:color w:val="000000"/>
                <w:sz w:val="14"/>
                <w:szCs w:val="14"/>
              </w:rPr>
            </w:pPr>
            <w:r w:rsidRPr="003003C0">
              <w:rPr>
                <w:rFonts w:cs="Arial"/>
                <w:color w:val="000000"/>
                <w:sz w:val="14"/>
                <w:szCs w:val="14"/>
              </w:rPr>
              <w:t>Am</w:t>
            </w:r>
            <w:r>
              <w:rPr>
                <w:rFonts w:cs="Arial"/>
                <w:color w:val="000000"/>
                <w:sz w:val="14"/>
                <w:szCs w:val="14"/>
              </w:rPr>
              <w:t>e</w:t>
            </w:r>
            <w:r w:rsidRPr="003003C0">
              <w:rPr>
                <w:rFonts w:cs="Arial"/>
                <w:color w:val="000000"/>
                <w:sz w:val="14"/>
                <w:szCs w:val="14"/>
              </w:rPr>
              <w:t>rica</w:t>
            </w:r>
          </w:p>
        </w:tc>
        <w:tc>
          <w:tcPr>
            <w:tcW w:w="787" w:type="dxa"/>
            <w:noWrap/>
            <w:vAlign w:val="center"/>
            <w:hideMark/>
          </w:tcPr>
          <w:p w14:paraId="61EDCFB7" w14:textId="77777777" w:rsidR="004F64EF" w:rsidRPr="003003C0" w:rsidRDefault="004F64EF" w:rsidP="00FD6B66">
            <w:pPr>
              <w:jc w:val="right"/>
              <w:rPr>
                <w:rFonts w:cs="Arial"/>
                <w:color w:val="000000"/>
                <w:sz w:val="14"/>
                <w:szCs w:val="14"/>
              </w:rPr>
            </w:pPr>
            <w:r w:rsidRPr="003003C0">
              <w:rPr>
                <w:rFonts w:cs="Arial"/>
                <w:color w:val="000000"/>
                <w:sz w:val="14"/>
                <w:szCs w:val="14"/>
              </w:rPr>
              <w:t>65</w:t>
            </w:r>
            <w:r>
              <w:rPr>
                <w:rFonts w:cs="Arial"/>
                <w:color w:val="000000"/>
                <w:sz w:val="14"/>
                <w:szCs w:val="14"/>
              </w:rPr>
              <w:t>.</w:t>
            </w:r>
            <w:r w:rsidRPr="003003C0">
              <w:rPr>
                <w:rFonts w:cs="Arial"/>
                <w:color w:val="000000"/>
                <w:sz w:val="14"/>
                <w:szCs w:val="14"/>
              </w:rPr>
              <w:t>3</w:t>
            </w:r>
          </w:p>
        </w:tc>
        <w:tc>
          <w:tcPr>
            <w:tcW w:w="787" w:type="dxa"/>
            <w:noWrap/>
            <w:vAlign w:val="center"/>
            <w:hideMark/>
          </w:tcPr>
          <w:p w14:paraId="7B46926B" w14:textId="77777777" w:rsidR="004F64EF" w:rsidRPr="003003C0" w:rsidRDefault="004F64EF" w:rsidP="00FD6B66">
            <w:pPr>
              <w:jc w:val="right"/>
              <w:rPr>
                <w:rFonts w:cs="Arial"/>
                <w:color w:val="000000"/>
                <w:sz w:val="14"/>
                <w:szCs w:val="14"/>
              </w:rPr>
            </w:pPr>
            <w:r w:rsidRPr="003003C0">
              <w:rPr>
                <w:rFonts w:cs="Arial"/>
                <w:color w:val="000000"/>
                <w:sz w:val="14"/>
                <w:szCs w:val="14"/>
              </w:rPr>
              <w:t>65</w:t>
            </w:r>
            <w:r>
              <w:rPr>
                <w:rFonts w:cs="Arial"/>
                <w:color w:val="000000"/>
                <w:sz w:val="14"/>
                <w:szCs w:val="14"/>
              </w:rPr>
              <w:t>.</w:t>
            </w:r>
            <w:r w:rsidRPr="003003C0">
              <w:rPr>
                <w:rFonts w:cs="Arial"/>
                <w:color w:val="000000"/>
                <w:sz w:val="14"/>
                <w:szCs w:val="14"/>
              </w:rPr>
              <w:t>2</w:t>
            </w:r>
          </w:p>
        </w:tc>
        <w:tc>
          <w:tcPr>
            <w:tcW w:w="787" w:type="dxa"/>
            <w:noWrap/>
            <w:vAlign w:val="center"/>
            <w:hideMark/>
          </w:tcPr>
          <w:p w14:paraId="5D6C0523" w14:textId="77777777" w:rsidR="004F64EF" w:rsidRPr="003003C0" w:rsidRDefault="004F64EF" w:rsidP="00FD6B66">
            <w:pPr>
              <w:jc w:val="right"/>
              <w:rPr>
                <w:rFonts w:cs="Arial"/>
                <w:color w:val="000000"/>
                <w:sz w:val="14"/>
                <w:szCs w:val="14"/>
              </w:rPr>
            </w:pPr>
            <w:r w:rsidRPr="003003C0">
              <w:rPr>
                <w:rFonts w:cs="Arial"/>
                <w:color w:val="000000"/>
                <w:sz w:val="14"/>
                <w:szCs w:val="14"/>
              </w:rPr>
              <w:t>65</w:t>
            </w:r>
            <w:r>
              <w:rPr>
                <w:rFonts w:cs="Arial"/>
                <w:color w:val="000000"/>
                <w:sz w:val="14"/>
                <w:szCs w:val="14"/>
              </w:rPr>
              <w:t>.</w:t>
            </w:r>
            <w:r w:rsidRPr="003003C0">
              <w:rPr>
                <w:rFonts w:cs="Arial"/>
                <w:color w:val="000000"/>
                <w:sz w:val="14"/>
                <w:szCs w:val="14"/>
              </w:rPr>
              <w:t>1</w:t>
            </w:r>
          </w:p>
        </w:tc>
        <w:tc>
          <w:tcPr>
            <w:tcW w:w="788" w:type="dxa"/>
            <w:noWrap/>
            <w:vAlign w:val="center"/>
            <w:hideMark/>
          </w:tcPr>
          <w:p w14:paraId="140DE9B5" w14:textId="77777777" w:rsidR="004F64EF" w:rsidRPr="003003C0" w:rsidRDefault="004F64EF" w:rsidP="00FD6B66">
            <w:pPr>
              <w:jc w:val="right"/>
              <w:rPr>
                <w:rFonts w:cs="Arial"/>
                <w:color w:val="000000"/>
                <w:sz w:val="14"/>
                <w:szCs w:val="14"/>
              </w:rPr>
            </w:pPr>
            <w:r w:rsidRPr="003003C0">
              <w:rPr>
                <w:rFonts w:cs="Arial"/>
                <w:color w:val="000000"/>
                <w:sz w:val="14"/>
                <w:szCs w:val="14"/>
              </w:rPr>
              <w:t>62</w:t>
            </w:r>
            <w:r>
              <w:rPr>
                <w:rFonts w:cs="Arial"/>
                <w:color w:val="000000"/>
                <w:sz w:val="14"/>
                <w:szCs w:val="14"/>
              </w:rPr>
              <w:t>.</w:t>
            </w:r>
            <w:r w:rsidRPr="003003C0">
              <w:rPr>
                <w:rFonts w:cs="Arial"/>
                <w:color w:val="000000"/>
                <w:sz w:val="14"/>
                <w:szCs w:val="14"/>
              </w:rPr>
              <w:t>7</w:t>
            </w:r>
          </w:p>
        </w:tc>
        <w:tc>
          <w:tcPr>
            <w:tcW w:w="787" w:type="dxa"/>
            <w:noWrap/>
            <w:vAlign w:val="center"/>
            <w:hideMark/>
          </w:tcPr>
          <w:p w14:paraId="74CB7DFF" w14:textId="77777777" w:rsidR="004F64EF" w:rsidRPr="003003C0" w:rsidRDefault="004F64EF" w:rsidP="00FD6B66">
            <w:pPr>
              <w:jc w:val="right"/>
              <w:rPr>
                <w:rFonts w:cs="Arial"/>
                <w:color w:val="000000"/>
                <w:sz w:val="14"/>
                <w:szCs w:val="14"/>
              </w:rPr>
            </w:pPr>
            <w:r w:rsidRPr="003003C0">
              <w:rPr>
                <w:rFonts w:cs="Arial"/>
                <w:color w:val="000000"/>
                <w:sz w:val="14"/>
                <w:szCs w:val="14"/>
              </w:rPr>
              <w:t>61</w:t>
            </w:r>
            <w:r>
              <w:rPr>
                <w:rFonts w:cs="Arial"/>
                <w:color w:val="000000"/>
                <w:sz w:val="14"/>
                <w:szCs w:val="14"/>
              </w:rPr>
              <w:t>.</w:t>
            </w:r>
            <w:r w:rsidRPr="003003C0">
              <w:rPr>
                <w:rFonts w:cs="Arial"/>
                <w:color w:val="000000"/>
                <w:sz w:val="14"/>
                <w:szCs w:val="14"/>
              </w:rPr>
              <w:t>7</w:t>
            </w:r>
          </w:p>
        </w:tc>
        <w:tc>
          <w:tcPr>
            <w:tcW w:w="787" w:type="dxa"/>
            <w:noWrap/>
            <w:vAlign w:val="center"/>
            <w:hideMark/>
          </w:tcPr>
          <w:p w14:paraId="3DAD9726" w14:textId="77777777" w:rsidR="004F64EF" w:rsidRPr="003003C0" w:rsidRDefault="004F64EF" w:rsidP="00FD6B66">
            <w:pPr>
              <w:jc w:val="right"/>
              <w:rPr>
                <w:rFonts w:cs="Arial"/>
                <w:color w:val="000000"/>
                <w:sz w:val="14"/>
                <w:szCs w:val="14"/>
              </w:rPr>
            </w:pPr>
            <w:r w:rsidRPr="003003C0">
              <w:rPr>
                <w:rFonts w:cs="Arial"/>
                <w:color w:val="000000"/>
                <w:sz w:val="14"/>
                <w:szCs w:val="14"/>
              </w:rPr>
              <w:t>59</w:t>
            </w:r>
            <w:r>
              <w:rPr>
                <w:rFonts w:cs="Arial"/>
                <w:color w:val="000000"/>
                <w:sz w:val="14"/>
                <w:szCs w:val="14"/>
              </w:rPr>
              <w:t>.</w:t>
            </w:r>
            <w:r w:rsidRPr="003003C0">
              <w:rPr>
                <w:rFonts w:cs="Arial"/>
                <w:color w:val="000000"/>
                <w:sz w:val="14"/>
                <w:szCs w:val="14"/>
              </w:rPr>
              <w:t>6</w:t>
            </w:r>
          </w:p>
        </w:tc>
        <w:tc>
          <w:tcPr>
            <w:tcW w:w="788" w:type="dxa"/>
            <w:noWrap/>
            <w:vAlign w:val="center"/>
            <w:hideMark/>
          </w:tcPr>
          <w:p w14:paraId="478C5BDB" w14:textId="77777777" w:rsidR="004F64EF" w:rsidRPr="003003C0" w:rsidRDefault="004F64EF" w:rsidP="00FD6B66">
            <w:pPr>
              <w:jc w:val="right"/>
              <w:rPr>
                <w:rFonts w:cs="Arial"/>
                <w:color w:val="000000"/>
                <w:sz w:val="14"/>
                <w:szCs w:val="14"/>
              </w:rPr>
            </w:pPr>
            <w:r w:rsidRPr="003003C0">
              <w:rPr>
                <w:rFonts w:cs="Arial"/>
                <w:color w:val="000000"/>
                <w:sz w:val="14"/>
                <w:szCs w:val="14"/>
              </w:rPr>
              <w:t>61</w:t>
            </w:r>
            <w:r>
              <w:rPr>
                <w:rFonts w:cs="Arial"/>
                <w:color w:val="000000"/>
                <w:sz w:val="14"/>
                <w:szCs w:val="14"/>
              </w:rPr>
              <w:t>.</w:t>
            </w:r>
            <w:r w:rsidRPr="003003C0">
              <w:rPr>
                <w:rFonts w:cs="Arial"/>
                <w:color w:val="000000"/>
                <w:sz w:val="14"/>
                <w:szCs w:val="14"/>
              </w:rPr>
              <w:t>6</w:t>
            </w:r>
          </w:p>
        </w:tc>
      </w:tr>
      <w:tr w:rsidR="004F64EF" w:rsidRPr="003003C0" w14:paraId="18E25FB5" w14:textId="77777777" w:rsidTr="00FD6B66">
        <w:trPr>
          <w:trHeight w:val="20"/>
        </w:trPr>
        <w:tc>
          <w:tcPr>
            <w:tcW w:w="3505" w:type="dxa"/>
            <w:noWrap/>
            <w:vAlign w:val="center"/>
            <w:hideMark/>
          </w:tcPr>
          <w:p w14:paraId="7158652B" w14:textId="77777777" w:rsidR="004F64EF" w:rsidRPr="003003C0" w:rsidRDefault="004F64EF" w:rsidP="00FD6B66">
            <w:pPr>
              <w:tabs>
                <w:tab w:val="left" w:pos="113"/>
              </w:tabs>
              <w:jc w:val="left"/>
              <w:rPr>
                <w:rFonts w:cs="Arial"/>
                <w:color w:val="000000"/>
                <w:sz w:val="14"/>
                <w:szCs w:val="14"/>
              </w:rPr>
            </w:pPr>
            <w:r w:rsidRPr="003003C0">
              <w:rPr>
                <w:rFonts w:cs="Arial"/>
                <w:color w:val="000000"/>
                <w:sz w:val="14"/>
                <w:szCs w:val="14"/>
              </w:rPr>
              <w:tab/>
            </w:r>
            <w:r>
              <w:rPr>
                <w:rFonts w:cs="Arial"/>
                <w:color w:val="000000"/>
                <w:sz w:val="14"/>
                <w:szCs w:val="14"/>
              </w:rPr>
              <w:t>United States</w:t>
            </w:r>
          </w:p>
        </w:tc>
        <w:tc>
          <w:tcPr>
            <w:tcW w:w="787" w:type="dxa"/>
            <w:noWrap/>
            <w:vAlign w:val="center"/>
            <w:hideMark/>
          </w:tcPr>
          <w:p w14:paraId="672E07B3" w14:textId="77777777" w:rsidR="004F64EF" w:rsidRPr="003003C0" w:rsidRDefault="004F64EF" w:rsidP="00FD6B66">
            <w:pPr>
              <w:jc w:val="right"/>
              <w:rPr>
                <w:rFonts w:cs="Arial"/>
                <w:color w:val="000000"/>
                <w:sz w:val="14"/>
                <w:szCs w:val="14"/>
              </w:rPr>
            </w:pPr>
            <w:r w:rsidRPr="003003C0">
              <w:rPr>
                <w:rFonts w:cs="Arial"/>
                <w:color w:val="000000"/>
                <w:sz w:val="14"/>
                <w:szCs w:val="14"/>
              </w:rPr>
              <w:t>41</w:t>
            </w:r>
            <w:r>
              <w:rPr>
                <w:rFonts w:cs="Arial"/>
                <w:color w:val="000000"/>
                <w:sz w:val="14"/>
                <w:szCs w:val="14"/>
              </w:rPr>
              <w:t>.</w:t>
            </w:r>
            <w:r w:rsidRPr="003003C0">
              <w:rPr>
                <w:rFonts w:cs="Arial"/>
                <w:color w:val="000000"/>
                <w:sz w:val="14"/>
                <w:szCs w:val="14"/>
              </w:rPr>
              <w:t>4</w:t>
            </w:r>
          </w:p>
        </w:tc>
        <w:tc>
          <w:tcPr>
            <w:tcW w:w="787" w:type="dxa"/>
            <w:noWrap/>
            <w:vAlign w:val="center"/>
            <w:hideMark/>
          </w:tcPr>
          <w:p w14:paraId="6BEA3936" w14:textId="77777777" w:rsidR="004F64EF" w:rsidRPr="003003C0" w:rsidRDefault="004F64EF" w:rsidP="00FD6B66">
            <w:pPr>
              <w:jc w:val="right"/>
              <w:rPr>
                <w:rFonts w:cs="Arial"/>
                <w:color w:val="000000"/>
                <w:sz w:val="14"/>
                <w:szCs w:val="14"/>
              </w:rPr>
            </w:pPr>
            <w:r w:rsidRPr="003003C0">
              <w:rPr>
                <w:rFonts w:cs="Arial"/>
                <w:color w:val="000000"/>
                <w:sz w:val="14"/>
                <w:szCs w:val="14"/>
              </w:rPr>
              <w:t>42</w:t>
            </w:r>
            <w:r>
              <w:rPr>
                <w:rFonts w:cs="Arial"/>
                <w:color w:val="000000"/>
                <w:sz w:val="14"/>
                <w:szCs w:val="14"/>
              </w:rPr>
              <w:t>.</w:t>
            </w:r>
            <w:r w:rsidRPr="003003C0">
              <w:rPr>
                <w:rFonts w:cs="Arial"/>
                <w:color w:val="000000"/>
                <w:sz w:val="14"/>
                <w:szCs w:val="14"/>
              </w:rPr>
              <w:t>4</w:t>
            </w:r>
          </w:p>
        </w:tc>
        <w:tc>
          <w:tcPr>
            <w:tcW w:w="787" w:type="dxa"/>
            <w:noWrap/>
            <w:vAlign w:val="center"/>
            <w:hideMark/>
          </w:tcPr>
          <w:p w14:paraId="13A1CEFF" w14:textId="77777777" w:rsidR="004F64EF" w:rsidRPr="003003C0" w:rsidRDefault="004F64EF" w:rsidP="00FD6B66">
            <w:pPr>
              <w:jc w:val="right"/>
              <w:rPr>
                <w:rFonts w:cs="Arial"/>
                <w:color w:val="000000"/>
                <w:sz w:val="14"/>
                <w:szCs w:val="14"/>
              </w:rPr>
            </w:pPr>
            <w:r w:rsidRPr="003003C0">
              <w:rPr>
                <w:rFonts w:cs="Arial"/>
                <w:color w:val="000000"/>
                <w:sz w:val="14"/>
                <w:szCs w:val="14"/>
              </w:rPr>
              <w:t>44</w:t>
            </w:r>
            <w:r>
              <w:rPr>
                <w:rFonts w:cs="Arial"/>
                <w:color w:val="000000"/>
                <w:sz w:val="14"/>
                <w:szCs w:val="14"/>
              </w:rPr>
              <w:t>.</w:t>
            </w:r>
            <w:r w:rsidRPr="003003C0">
              <w:rPr>
                <w:rFonts w:cs="Arial"/>
                <w:color w:val="000000"/>
                <w:sz w:val="14"/>
                <w:szCs w:val="14"/>
              </w:rPr>
              <w:t>0</w:t>
            </w:r>
          </w:p>
        </w:tc>
        <w:tc>
          <w:tcPr>
            <w:tcW w:w="788" w:type="dxa"/>
            <w:noWrap/>
            <w:vAlign w:val="center"/>
            <w:hideMark/>
          </w:tcPr>
          <w:p w14:paraId="418EC236" w14:textId="77777777" w:rsidR="004F64EF" w:rsidRPr="003003C0" w:rsidRDefault="004F64EF" w:rsidP="00FD6B66">
            <w:pPr>
              <w:jc w:val="right"/>
              <w:rPr>
                <w:rFonts w:cs="Arial"/>
                <w:color w:val="000000"/>
                <w:sz w:val="14"/>
                <w:szCs w:val="14"/>
              </w:rPr>
            </w:pPr>
            <w:r w:rsidRPr="003003C0">
              <w:rPr>
                <w:rFonts w:cs="Arial"/>
                <w:color w:val="000000"/>
                <w:sz w:val="14"/>
                <w:szCs w:val="14"/>
              </w:rPr>
              <w:t>43</w:t>
            </w:r>
            <w:r>
              <w:rPr>
                <w:rFonts w:cs="Arial"/>
                <w:color w:val="000000"/>
                <w:sz w:val="14"/>
                <w:szCs w:val="14"/>
              </w:rPr>
              <w:t>.</w:t>
            </w:r>
            <w:r w:rsidRPr="003003C0">
              <w:rPr>
                <w:rFonts w:cs="Arial"/>
                <w:color w:val="000000"/>
                <w:sz w:val="14"/>
                <w:szCs w:val="14"/>
              </w:rPr>
              <w:t>6</w:t>
            </w:r>
          </w:p>
        </w:tc>
        <w:tc>
          <w:tcPr>
            <w:tcW w:w="787" w:type="dxa"/>
            <w:noWrap/>
            <w:vAlign w:val="center"/>
            <w:hideMark/>
          </w:tcPr>
          <w:p w14:paraId="1CBD6697" w14:textId="77777777" w:rsidR="004F64EF" w:rsidRPr="003003C0" w:rsidRDefault="004F64EF" w:rsidP="00FD6B66">
            <w:pPr>
              <w:jc w:val="right"/>
              <w:rPr>
                <w:rFonts w:cs="Arial"/>
                <w:color w:val="000000"/>
                <w:sz w:val="14"/>
                <w:szCs w:val="14"/>
              </w:rPr>
            </w:pPr>
            <w:r w:rsidRPr="003003C0">
              <w:rPr>
                <w:rFonts w:cs="Arial"/>
                <w:color w:val="000000"/>
                <w:sz w:val="14"/>
                <w:szCs w:val="14"/>
              </w:rPr>
              <w:t>42</w:t>
            </w:r>
            <w:r>
              <w:rPr>
                <w:rFonts w:cs="Arial"/>
                <w:color w:val="000000"/>
                <w:sz w:val="14"/>
                <w:szCs w:val="14"/>
              </w:rPr>
              <w:t>.</w:t>
            </w:r>
            <w:r w:rsidRPr="003003C0">
              <w:rPr>
                <w:rFonts w:cs="Arial"/>
                <w:color w:val="000000"/>
                <w:sz w:val="14"/>
                <w:szCs w:val="14"/>
              </w:rPr>
              <w:t>9</w:t>
            </w:r>
          </w:p>
        </w:tc>
        <w:tc>
          <w:tcPr>
            <w:tcW w:w="787" w:type="dxa"/>
            <w:noWrap/>
            <w:vAlign w:val="center"/>
            <w:hideMark/>
          </w:tcPr>
          <w:p w14:paraId="29156195" w14:textId="77777777" w:rsidR="004F64EF" w:rsidRPr="003003C0" w:rsidRDefault="004F64EF" w:rsidP="00FD6B66">
            <w:pPr>
              <w:jc w:val="right"/>
              <w:rPr>
                <w:rFonts w:cs="Arial"/>
                <w:color w:val="000000"/>
                <w:sz w:val="14"/>
                <w:szCs w:val="14"/>
              </w:rPr>
            </w:pPr>
            <w:r w:rsidRPr="003003C0">
              <w:rPr>
                <w:rFonts w:cs="Arial"/>
                <w:color w:val="000000"/>
                <w:sz w:val="14"/>
                <w:szCs w:val="14"/>
              </w:rPr>
              <w:t>40</w:t>
            </w:r>
            <w:r>
              <w:rPr>
                <w:rFonts w:cs="Arial"/>
                <w:color w:val="000000"/>
                <w:sz w:val="14"/>
                <w:szCs w:val="14"/>
              </w:rPr>
              <w:t>.</w:t>
            </w:r>
            <w:r w:rsidRPr="003003C0">
              <w:rPr>
                <w:rFonts w:cs="Arial"/>
                <w:color w:val="000000"/>
                <w:sz w:val="14"/>
                <w:szCs w:val="14"/>
              </w:rPr>
              <w:t>8</w:t>
            </w:r>
          </w:p>
        </w:tc>
        <w:tc>
          <w:tcPr>
            <w:tcW w:w="788" w:type="dxa"/>
            <w:noWrap/>
            <w:vAlign w:val="center"/>
            <w:hideMark/>
          </w:tcPr>
          <w:p w14:paraId="344D69D8" w14:textId="77777777" w:rsidR="004F64EF" w:rsidRPr="003003C0" w:rsidRDefault="004F64EF" w:rsidP="00FD6B66">
            <w:pPr>
              <w:jc w:val="right"/>
              <w:rPr>
                <w:rFonts w:cs="Arial"/>
                <w:color w:val="000000"/>
                <w:sz w:val="14"/>
                <w:szCs w:val="14"/>
              </w:rPr>
            </w:pPr>
            <w:r w:rsidRPr="003003C0">
              <w:rPr>
                <w:rFonts w:cs="Arial"/>
                <w:color w:val="000000"/>
                <w:sz w:val="14"/>
                <w:szCs w:val="14"/>
              </w:rPr>
              <w:t>43</w:t>
            </w:r>
            <w:r>
              <w:rPr>
                <w:rFonts w:cs="Arial"/>
                <w:color w:val="000000"/>
                <w:sz w:val="14"/>
                <w:szCs w:val="14"/>
              </w:rPr>
              <w:t>.</w:t>
            </w:r>
            <w:r w:rsidRPr="003003C0">
              <w:rPr>
                <w:rFonts w:cs="Arial"/>
                <w:color w:val="000000"/>
                <w:sz w:val="14"/>
                <w:szCs w:val="14"/>
              </w:rPr>
              <w:t>7</w:t>
            </w:r>
          </w:p>
        </w:tc>
      </w:tr>
      <w:tr w:rsidR="004F64EF" w:rsidRPr="003003C0" w14:paraId="4C2B5B8A" w14:textId="77777777" w:rsidTr="00FD6B66">
        <w:trPr>
          <w:cnfStyle w:val="000000010000" w:firstRow="0" w:lastRow="0" w:firstColumn="0" w:lastColumn="0" w:oddVBand="0" w:evenVBand="0" w:oddHBand="0" w:evenHBand="1" w:firstRowFirstColumn="0" w:firstRowLastColumn="0" w:lastRowFirstColumn="0" w:lastRowLastColumn="0"/>
          <w:trHeight w:val="20"/>
        </w:trPr>
        <w:tc>
          <w:tcPr>
            <w:tcW w:w="3505" w:type="dxa"/>
            <w:noWrap/>
            <w:vAlign w:val="center"/>
            <w:hideMark/>
          </w:tcPr>
          <w:p w14:paraId="3F7E6D3C" w14:textId="77777777" w:rsidR="004F64EF" w:rsidRPr="003003C0" w:rsidRDefault="004F64EF" w:rsidP="00FD6B66">
            <w:pPr>
              <w:tabs>
                <w:tab w:val="left" w:pos="113"/>
              </w:tabs>
              <w:jc w:val="left"/>
              <w:rPr>
                <w:rFonts w:cs="Arial"/>
                <w:color w:val="000000"/>
                <w:sz w:val="14"/>
                <w:szCs w:val="14"/>
              </w:rPr>
            </w:pPr>
            <w:r w:rsidRPr="003003C0">
              <w:rPr>
                <w:rFonts w:cs="Arial"/>
                <w:color w:val="000000"/>
                <w:sz w:val="14"/>
                <w:szCs w:val="14"/>
              </w:rPr>
              <w:tab/>
              <w:t>Ot</w:t>
            </w:r>
            <w:r>
              <w:rPr>
                <w:rFonts w:cs="Arial"/>
                <w:color w:val="000000"/>
                <w:sz w:val="14"/>
                <w:szCs w:val="14"/>
              </w:rPr>
              <w:t xml:space="preserve">her </w:t>
            </w:r>
            <w:r w:rsidRPr="003003C0">
              <w:rPr>
                <w:rFonts w:cs="Arial"/>
                <w:color w:val="000000"/>
                <w:sz w:val="14"/>
                <w:szCs w:val="14"/>
              </w:rPr>
              <w:t>Am</w:t>
            </w:r>
            <w:r>
              <w:rPr>
                <w:rFonts w:cs="Arial"/>
                <w:color w:val="000000"/>
                <w:sz w:val="14"/>
                <w:szCs w:val="14"/>
              </w:rPr>
              <w:t>e</w:t>
            </w:r>
            <w:r w:rsidRPr="003003C0">
              <w:rPr>
                <w:rFonts w:cs="Arial"/>
                <w:color w:val="000000"/>
                <w:sz w:val="14"/>
                <w:szCs w:val="14"/>
              </w:rPr>
              <w:t>rica</w:t>
            </w:r>
          </w:p>
        </w:tc>
        <w:tc>
          <w:tcPr>
            <w:tcW w:w="787" w:type="dxa"/>
            <w:noWrap/>
            <w:vAlign w:val="center"/>
            <w:hideMark/>
          </w:tcPr>
          <w:p w14:paraId="70315F66" w14:textId="77777777" w:rsidR="004F64EF" w:rsidRPr="003003C0" w:rsidRDefault="004F64EF" w:rsidP="00FD6B66">
            <w:pPr>
              <w:jc w:val="right"/>
              <w:rPr>
                <w:rFonts w:cs="Arial"/>
                <w:color w:val="000000"/>
                <w:sz w:val="14"/>
                <w:szCs w:val="14"/>
              </w:rPr>
            </w:pPr>
            <w:r w:rsidRPr="003003C0">
              <w:rPr>
                <w:rFonts w:cs="Arial"/>
                <w:color w:val="000000"/>
                <w:sz w:val="14"/>
                <w:szCs w:val="14"/>
              </w:rPr>
              <w:t>23</w:t>
            </w:r>
            <w:r>
              <w:rPr>
                <w:rFonts w:cs="Arial"/>
                <w:color w:val="000000"/>
                <w:sz w:val="14"/>
                <w:szCs w:val="14"/>
              </w:rPr>
              <w:t>.</w:t>
            </w:r>
            <w:r w:rsidRPr="003003C0">
              <w:rPr>
                <w:rFonts w:cs="Arial"/>
                <w:color w:val="000000"/>
                <w:sz w:val="14"/>
                <w:szCs w:val="14"/>
              </w:rPr>
              <w:t>9</w:t>
            </w:r>
          </w:p>
        </w:tc>
        <w:tc>
          <w:tcPr>
            <w:tcW w:w="787" w:type="dxa"/>
            <w:noWrap/>
            <w:vAlign w:val="center"/>
            <w:hideMark/>
          </w:tcPr>
          <w:p w14:paraId="3125CCA2" w14:textId="77777777" w:rsidR="004F64EF" w:rsidRPr="003003C0" w:rsidRDefault="004F64EF" w:rsidP="00FD6B66">
            <w:pPr>
              <w:jc w:val="right"/>
              <w:rPr>
                <w:rFonts w:cs="Arial"/>
                <w:color w:val="000000"/>
                <w:sz w:val="14"/>
                <w:szCs w:val="14"/>
              </w:rPr>
            </w:pPr>
            <w:r w:rsidRPr="003003C0">
              <w:rPr>
                <w:rFonts w:cs="Arial"/>
                <w:color w:val="000000"/>
                <w:sz w:val="14"/>
                <w:szCs w:val="14"/>
              </w:rPr>
              <w:t>22</w:t>
            </w:r>
            <w:r>
              <w:rPr>
                <w:rFonts w:cs="Arial"/>
                <w:color w:val="000000"/>
                <w:sz w:val="14"/>
                <w:szCs w:val="14"/>
              </w:rPr>
              <w:t>.</w:t>
            </w:r>
            <w:r w:rsidRPr="003003C0">
              <w:rPr>
                <w:rFonts w:cs="Arial"/>
                <w:color w:val="000000"/>
                <w:sz w:val="14"/>
                <w:szCs w:val="14"/>
              </w:rPr>
              <w:t>8</w:t>
            </w:r>
          </w:p>
        </w:tc>
        <w:tc>
          <w:tcPr>
            <w:tcW w:w="787" w:type="dxa"/>
            <w:noWrap/>
            <w:vAlign w:val="center"/>
            <w:hideMark/>
          </w:tcPr>
          <w:p w14:paraId="12283101" w14:textId="77777777" w:rsidR="004F64EF" w:rsidRPr="003003C0" w:rsidRDefault="004F64EF" w:rsidP="00FD6B66">
            <w:pPr>
              <w:jc w:val="right"/>
              <w:rPr>
                <w:rFonts w:cs="Arial"/>
                <w:color w:val="000000"/>
                <w:sz w:val="14"/>
                <w:szCs w:val="14"/>
              </w:rPr>
            </w:pPr>
            <w:r w:rsidRPr="003003C0">
              <w:rPr>
                <w:rFonts w:cs="Arial"/>
                <w:color w:val="000000"/>
                <w:sz w:val="14"/>
                <w:szCs w:val="14"/>
              </w:rPr>
              <w:t>21</w:t>
            </w:r>
            <w:r>
              <w:rPr>
                <w:rFonts w:cs="Arial"/>
                <w:color w:val="000000"/>
                <w:sz w:val="14"/>
                <w:szCs w:val="14"/>
              </w:rPr>
              <w:t>.</w:t>
            </w:r>
            <w:r w:rsidRPr="003003C0">
              <w:rPr>
                <w:rFonts w:cs="Arial"/>
                <w:color w:val="000000"/>
                <w:sz w:val="14"/>
                <w:szCs w:val="14"/>
              </w:rPr>
              <w:t>0</w:t>
            </w:r>
          </w:p>
        </w:tc>
        <w:tc>
          <w:tcPr>
            <w:tcW w:w="788" w:type="dxa"/>
            <w:noWrap/>
            <w:vAlign w:val="center"/>
            <w:hideMark/>
          </w:tcPr>
          <w:p w14:paraId="2AECB826" w14:textId="77777777" w:rsidR="004F64EF" w:rsidRPr="003003C0" w:rsidRDefault="004F64EF" w:rsidP="00FD6B66">
            <w:pPr>
              <w:jc w:val="right"/>
              <w:rPr>
                <w:rFonts w:cs="Arial"/>
                <w:color w:val="000000"/>
                <w:sz w:val="14"/>
                <w:szCs w:val="14"/>
              </w:rPr>
            </w:pPr>
            <w:r w:rsidRPr="003003C0">
              <w:rPr>
                <w:rFonts w:cs="Arial"/>
                <w:color w:val="000000"/>
                <w:sz w:val="14"/>
                <w:szCs w:val="14"/>
              </w:rPr>
              <w:t>19</w:t>
            </w:r>
            <w:r>
              <w:rPr>
                <w:rFonts w:cs="Arial"/>
                <w:color w:val="000000"/>
                <w:sz w:val="14"/>
                <w:szCs w:val="14"/>
              </w:rPr>
              <w:t>.</w:t>
            </w:r>
            <w:r w:rsidRPr="003003C0">
              <w:rPr>
                <w:rFonts w:cs="Arial"/>
                <w:color w:val="000000"/>
                <w:sz w:val="14"/>
                <w:szCs w:val="14"/>
              </w:rPr>
              <w:t>0</w:t>
            </w:r>
          </w:p>
        </w:tc>
        <w:tc>
          <w:tcPr>
            <w:tcW w:w="787" w:type="dxa"/>
            <w:noWrap/>
            <w:vAlign w:val="center"/>
            <w:hideMark/>
          </w:tcPr>
          <w:p w14:paraId="566159E7" w14:textId="77777777" w:rsidR="004F64EF" w:rsidRPr="003003C0" w:rsidRDefault="004F64EF" w:rsidP="00FD6B66">
            <w:pPr>
              <w:jc w:val="right"/>
              <w:rPr>
                <w:rFonts w:cs="Arial"/>
                <w:color w:val="000000"/>
                <w:sz w:val="14"/>
                <w:szCs w:val="14"/>
              </w:rPr>
            </w:pPr>
            <w:r w:rsidRPr="003003C0">
              <w:rPr>
                <w:rFonts w:cs="Arial"/>
                <w:color w:val="000000"/>
                <w:sz w:val="14"/>
                <w:szCs w:val="14"/>
              </w:rPr>
              <w:t>18</w:t>
            </w:r>
            <w:r>
              <w:rPr>
                <w:rFonts w:cs="Arial"/>
                <w:color w:val="000000"/>
                <w:sz w:val="14"/>
                <w:szCs w:val="14"/>
              </w:rPr>
              <w:t>.</w:t>
            </w:r>
            <w:r w:rsidRPr="003003C0">
              <w:rPr>
                <w:rFonts w:cs="Arial"/>
                <w:color w:val="000000"/>
                <w:sz w:val="14"/>
                <w:szCs w:val="14"/>
              </w:rPr>
              <w:t>8</w:t>
            </w:r>
          </w:p>
        </w:tc>
        <w:tc>
          <w:tcPr>
            <w:tcW w:w="787" w:type="dxa"/>
            <w:noWrap/>
            <w:vAlign w:val="center"/>
            <w:hideMark/>
          </w:tcPr>
          <w:p w14:paraId="6FC2D36C" w14:textId="77777777" w:rsidR="004F64EF" w:rsidRPr="003003C0" w:rsidRDefault="004F64EF" w:rsidP="00FD6B66">
            <w:pPr>
              <w:jc w:val="right"/>
              <w:rPr>
                <w:rFonts w:cs="Arial"/>
                <w:color w:val="000000"/>
                <w:sz w:val="14"/>
                <w:szCs w:val="14"/>
              </w:rPr>
            </w:pPr>
            <w:r w:rsidRPr="003003C0">
              <w:rPr>
                <w:rFonts w:cs="Arial"/>
                <w:color w:val="000000"/>
                <w:sz w:val="14"/>
                <w:szCs w:val="14"/>
              </w:rPr>
              <w:t>18</w:t>
            </w:r>
            <w:r>
              <w:rPr>
                <w:rFonts w:cs="Arial"/>
                <w:color w:val="000000"/>
                <w:sz w:val="14"/>
                <w:szCs w:val="14"/>
              </w:rPr>
              <w:t>.</w:t>
            </w:r>
            <w:r w:rsidRPr="003003C0">
              <w:rPr>
                <w:rFonts w:cs="Arial"/>
                <w:color w:val="000000"/>
                <w:sz w:val="14"/>
                <w:szCs w:val="14"/>
              </w:rPr>
              <w:t>8</w:t>
            </w:r>
          </w:p>
        </w:tc>
        <w:tc>
          <w:tcPr>
            <w:tcW w:w="788" w:type="dxa"/>
            <w:noWrap/>
            <w:vAlign w:val="center"/>
            <w:hideMark/>
          </w:tcPr>
          <w:p w14:paraId="2035D4A4" w14:textId="77777777" w:rsidR="004F64EF" w:rsidRPr="003003C0" w:rsidRDefault="004F64EF" w:rsidP="00FD6B66">
            <w:pPr>
              <w:jc w:val="right"/>
              <w:rPr>
                <w:rFonts w:cs="Arial"/>
                <w:color w:val="000000"/>
                <w:sz w:val="14"/>
                <w:szCs w:val="14"/>
              </w:rPr>
            </w:pPr>
            <w:r w:rsidRPr="003003C0">
              <w:rPr>
                <w:rFonts w:cs="Arial"/>
                <w:color w:val="000000"/>
                <w:sz w:val="14"/>
                <w:szCs w:val="14"/>
              </w:rPr>
              <w:t>17</w:t>
            </w:r>
            <w:r>
              <w:rPr>
                <w:rFonts w:cs="Arial"/>
                <w:color w:val="000000"/>
                <w:sz w:val="14"/>
                <w:szCs w:val="14"/>
              </w:rPr>
              <w:t>.</w:t>
            </w:r>
            <w:r w:rsidRPr="003003C0">
              <w:rPr>
                <w:rFonts w:cs="Arial"/>
                <w:color w:val="000000"/>
                <w:sz w:val="14"/>
                <w:szCs w:val="14"/>
              </w:rPr>
              <w:t>9</w:t>
            </w:r>
          </w:p>
        </w:tc>
      </w:tr>
      <w:tr w:rsidR="004F64EF" w:rsidRPr="003003C0" w14:paraId="69FDAE40" w14:textId="77777777" w:rsidTr="00FD6B66">
        <w:trPr>
          <w:trHeight w:val="20"/>
        </w:trPr>
        <w:tc>
          <w:tcPr>
            <w:tcW w:w="3505" w:type="dxa"/>
            <w:noWrap/>
            <w:vAlign w:val="center"/>
            <w:hideMark/>
          </w:tcPr>
          <w:p w14:paraId="36638D4F" w14:textId="77777777" w:rsidR="004F64EF" w:rsidRPr="003003C0" w:rsidRDefault="004F64EF" w:rsidP="00FD6B66">
            <w:pPr>
              <w:tabs>
                <w:tab w:val="left" w:pos="510"/>
              </w:tabs>
              <w:jc w:val="left"/>
              <w:rPr>
                <w:rFonts w:cs="Arial"/>
                <w:color w:val="000000"/>
                <w:sz w:val="14"/>
                <w:szCs w:val="14"/>
              </w:rPr>
            </w:pPr>
            <w:r w:rsidRPr="003003C0">
              <w:rPr>
                <w:rFonts w:cs="Arial"/>
                <w:color w:val="000000"/>
                <w:sz w:val="14"/>
                <w:szCs w:val="14"/>
              </w:rPr>
              <w:tab/>
              <w:t>M</w:t>
            </w:r>
            <w:r>
              <w:rPr>
                <w:rFonts w:cs="Arial"/>
                <w:color w:val="000000"/>
                <w:sz w:val="14"/>
                <w:szCs w:val="14"/>
              </w:rPr>
              <w:t>e</w:t>
            </w:r>
            <w:r w:rsidRPr="003003C0">
              <w:rPr>
                <w:rFonts w:cs="Arial"/>
                <w:color w:val="000000"/>
                <w:sz w:val="14"/>
                <w:szCs w:val="14"/>
              </w:rPr>
              <w:t>xico</w:t>
            </w:r>
          </w:p>
        </w:tc>
        <w:tc>
          <w:tcPr>
            <w:tcW w:w="787" w:type="dxa"/>
            <w:noWrap/>
            <w:vAlign w:val="center"/>
            <w:hideMark/>
          </w:tcPr>
          <w:p w14:paraId="2430D0D0" w14:textId="77777777" w:rsidR="004F64EF" w:rsidRPr="003003C0" w:rsidRDefault="004F64EF" w:rsidP="00FD6B66">
            <w:pPr>
              <w:jc w:val="right"/>
              <w:rPr>
                <w:rFonts w:cs="Arial"/>
                <w:color w:val="000000"/>
                <w:sz w:val="14"/>
                <w:szCs w:val="14"/>
              </w:rPr>
            </w:pPr>
            <w:r w:rsidRPr="003003C0">
              <w:rPr>
                <w:rFonts w:cs="Arial"/>
                <w:color w:val="000000"/>
                <w:sz w:val="14"/>
                <w:szCs w:val="14"/>
              </w:rPr>
              <w:t>4</w:t>
            </w:r>
            <w:r>
              <w:rPr>
                <w:rFonts w:cs="Arial"/>
                <w:color w:val="000000"/>
                <w:sz w:val="14"/>
                <w:szCs w:val="14"/>
              </w:rPr>
              <w:t>.</w:t>
            </w:r>
            <w:r w:rsidRPr="003003C0">
              <w:rPr>
                <w:rFonts w:cs="Arial"/>
                <w:color w:val="000000"/>
                <w:sz w:val="14"/>
                <w:szCs w:val="14"/>
              </w:rPr>
              <w:t>7</w:t>
            </w:r>
          </w:p>
        </w:tc>
        <w:tc>
          <w:tcPr>
            <w:tcW w:w="787" w:type="dxa"/>
            <w:noWrap/>
            <w:vAlign w:val="center"/>
            <w:hideMark/>
          </w:tcPr>
          <w:p w14:paraId="7FC78F7B" w14:textId="77777777" w:rsidR="004F64EF" w:rsidRPr="003003C0" w:rsidRDefault="004F64EF" w:rsidP="00FD6B66">
            <w:pPr>
              <w:jc w:val="right"/>
              <w:rPr>
                <w:rFonts w:cs="Arial"/>
                <w:color w:val="000000"/>
                <w:sz w:val="14"/>
                <w:szCs w:val="14"/>
              </w:rPr>
            </w:pPr>
            <w:r w:rsidRPr="003003C0">
              <w:rPr>
                <w:rFonts w:cs="Arial"/>
                <w:color w:val="000000"/>
                <w:sz w:val="14"/>
                <w:szCs w:val="14"/>
              </w:rPr>
              <w:t>5</w:t>
            </w:r>
            <w:r>
              <w:rPr>
                <w:rFonts w:cs="Arial"/>
                <w:color w:val="000000"/>
                <w:sz w:val="14"/>
                <w:szCs w:val="14"/>
              </w:rPr>
              <w:t>.</w:t>
            </w:r>
            <w:r w:rsidRPr="003003C0">
              <w:rPr>
                <w:rFonts w:cs="Arial"/>
                <w:color w:val="000000"/>
                <w:sz w:val="14"/>
                <w:szCs w:val="14"/>
              </w:rPr>
              <w:t>7</w:t>
            </w:r>
          </w:p>
        </w:tc>
        <w:tc>
          <w:tcPr>
            <w:tcW w:w="787" w:type="dxa"/>
            <w:noWrap/>
            <w:vAlign w:val="center"/>
            <w:hideMark/>
          </w:tcPr>
          <w:p w14:paraId="25D84C4F" w14:textId="77777777" w:rsidR="004F64EF" w:rsidRPr="003003C0" w:rsidRDefault="004F64EF" w:rsidP="00FD6B66">
            <w:pPr>
              <w:jc w:val="right"/>
              <w:rPr>
                <w:rFonts w:cs="Arial"/>
                <w:color w:val="000000"/>
                <w:sz w:val="14"/>
                <w:szCs w:val="14"/>
              </w:rPr>
            </w:pPr>
            <w:r w:rsidRPr="003003C0">
              <w:rPr>
                <w:rFonts w:cs="Arial"/>
                <w:color w:val="000000"/>
                <w:sz w:val="14"/>
                <w:szCs w:val="14"/>
              </w:rPr>
              <w:t>4</w:t>
            </w:r>
            <w:r>
              <w:rPr>
                <w:rFonts w:cs="Arial"/>
                <w:color w:val="000000"/>
                <w:sz w:val="14"/>
                <w:szCs w:val="14"/>
              </w:rPr>
              <w:t>.</w:t>
            </w:r>
            <w:r w:rsidRPr="003003C0">
              <w:rPr>
                <w:rFonts w:cs="Arial"/>
                <w:color w:val="000000"/>
                <w:sz w:val="14"/>
                <w:szCs w:val="14"/>
              </w:rPr>
              <w:t>7</w:t>
            </w:r>
          </w:p>
        </w:tc>
        <w:tc>
          <w:tcPr>
            <w:tcW w:w="788" w:type="dxa"/>
            <w:noWrap/>
            <w:vAlign w:val="center"/>
            <w:hideMark/>
          </w:tcPr>
          <w:p w14:paraId="75F43874" w14:textId="77777777" w:rsidR="004F64EF" w:rsidRPr="003003C0" w:rsidRDefault="004F64EF" w:rsidP="00FD6B66">
            <w:pPr>
              <w:jc w:val="right"/>
              <w:rPr>
                <w:rFonts w:cs="Arial"/>
                <w:color w:val="000000"/>
                <w:sz w:val="14"/>
                <w:szCs w:val="14"/>
              </w:rPr>
            </w:pPr>
            <w:r w:rsidRPr="003003C0">
              <w:rPr>
                <w:rFonts w:cs="Arial"/>
                <w:color w:val="000000"/>
                <w:sz w:val="14"/>
                <w:szCs w:val="14"/>
              </w:rPr>
              <w:t>3</w:t>
            </w:r>
            <w:r>
              <w:rPr>
                <w:rFonts w:cs="Arial"/>
                <w:color w:val="000000"/>
                <w:sz w:val="14"/>
                <w:szCs w:val="14"/>
              </w:rPr>
              <w:t>.</w:t>
            </w:r>
            <w:r w:rsidRPr="003003C0">
              <w:rPr>
                <w:rFonts w:cs="Arial"/>
                <w:color w:val="000000"/>
                <w:sz w:val="14"/>
                <w:szCs w:val="14"/>
              </w:rPr>
              <w:t>7</w:t>
            </w:r>
          </w:p>
        </w:tc>
        <w:tc>
          <w:tcPr>
            <w:tcW w:w="787" w:type="dxa"/>
            <w:noWrap/>
            <w:vAlign w:val="center"/>
            <w:hideMark/>
          </w:tcPr>
          <w:p w14:paraId="3526BE77" w14:textId="77777777" w:rsidR="004F64EF" w:rsidRPr="003003C0" w:rsidRDefault="004F64EF" w:rsidP="00FD6B66">
            <w:pPr>
              <w:jc w:val="right"/>
              <w:rPr>
                <w:rFonts w:cs="Arial"/>
                <w:color w:val="000000"/>
                <w:sz w:val="14"/>
                <w:szCs w:val="14"/>
              </w:rPr>
            </w:pPr>
            <w:r w:rsidRPr="003003C0">
              <w:rPr>
                <w:rFonts w:cs="Arial"/>
                <w:color w:val="000000"/>
                <w:sz w:val="14"/>
                <w:szCs w:val="14"/>
              </w:rPr>
              <w:t>4</w:t>
            </w:r>
            <w:r>
              <w:rPr>
                <w:rFonts w:cs="Arial"/>
                <w:color w:val="000000"/>
                <w:sz w:val="14"/>
                <w:szCs w:val="14"/>
              </w:rPr>
              <w:t>.</w:t>
            </w:r>
            <w:r w:rsidRPr="003003C0">
              <w:rPr>
                <w:rFonts w:cs="Arial"/>
                <w:color w:val="000000"/>
                <w:sz w:val="14"/>
                <w:szCs w:val="14"/>
              </w:rPr>
              <w:t>1</w:t>
            </w:r>
          </w:p>
        </w:tc>
        <w:tc>
          <w:tcPr>
            <w:tcW w:w="787" w:type="dxa"/>
            <w:noWrap/>
            <w:vAlign w:val="center"/>
            <w:hideMark/>
          </w:tcPr>
          <w:p w14:paraId="2A65ACAE" w14:textId="77777777" w:rsidR="004F64EF" w:rsidRPr="003003C0" w:rsidRDefault="004F64EF" w:rsidP="00FD6B66">
            <w:pPr>
              <w:jc w:val="right"/>
              <w:rPr>
                <w:rFonts w:cs="Arial"/>
                <w:color w:val="000000"/>
                <w:sz w:val="14"/>
                <w:szCs w:val="14"/>
              </w:rPr>
            </w:pPr>
            <w:r w:rsidRPr="003003C0">
              <w:rPr>
                <w:rFonts w:cs="Arial"/>
                <w:color w:val="000000"/>
                <w:sz w:val="14"/>
                <w:szCs w:val="14"/>
              </w:rPr>
              <w:t>4</w:t>
            </w:r>
            <w:r>
              <w:rPr>
                <w:rFonts w:cs="Arial"/>
                <w:color w:val="000000"/>
                <w:sz w:val="14"/>
                <w:szCs w:val="14"/>
              </w:rPr>
              <w:t>.</w:t>
            </w:r>
            <w:r w:rsidRPr="003003C0">
              <w:rPr>
                <w:rFonts w:cs="Arial"/>
                <w:color w:val="000000"/>
                <w:sz w:val="14"/>
                <w:szCs w:val="14"/>
              </w:rPr>
              <w:t>2</w:t>
            </w:r>
          </w:p>
        </w:tc>
        <w:tc>
          <w:tcPr>
            <w:tcW w:w="788" w:type="dxa"/>
            <w:noWrap/>
            <w:vAlign w:val="center"/>
            <w:hideMark/>
          </w:tcPr>
          <w:p w14:paraId="199E53B3" w14:textId="77777777" w:rsidR="004F64EF" w:rsidRPr="003003C0" w:rsidRDefault="004F64EF" w:rsidP="00FD6B66">
            <w:pPr>
              <w:jc w:val="right"/>
              <w:rPr>
                <w:rFonts w:cs="Arial"/>
                <w:color w:val="000000"/>
                <w:sz w:val="14"/>
                <w:szCs w:val="14"/>
              </w:rPr>
            </w:pPr>
            <w:r w:rsidRPr="003003C0">
              <w:rPr>
                <w:rFonts w:cs="Arial"/>
                <w:color w:val="000000"/>
                <w:sz w:val="14"/>
                <w:szCs w:val="14"/>
              </w:rPr>
              <w:t>3</w:t>
            </w:r>
            <w:r>
              <w:rPr>
                <w:rFonts w:cs="Arial"/>
                <w:color w:val="000000"/>
                <w:sz w:val="14"/>
                <w:szCs w:val="14"/>
              </w:rPr>
              <w:t>.</w:t>
            </w:r>
            <w:r w:rsidRPr="003003C0">
              <w:rPr>
                <w:rFonts w:cs="Arial"/>
                <w:color w:val="000000"/>
                <w:sz w:val="14"/>
                <w:szCs w:val="14"/>
              </w:rPr>
              <w:t>6</w:t>
            </w:r>
          </w:p>
        </w:tc>
      </w:tr>
      <w:tr w:rsidR="004F64EF" w:rsidRPr="003003C0" w14:paraId="42E1A16B" w14:textId="77777777" w:rsidTr="00FD6B66">
        <w:trPr>
          <w:cnfStyle w:val="000000010000" w:firstRow="0" w:lastRow="0" w:firstColumn="0" w:lastColumn="0" w:oddVBand="0" w:evenVBand="0" w:oddHBand="0" w:evenHBand="1" w:firstRowFirstColumn="0" w:firstRowLastColumn="0" w:lastRowFirstColumn="0" w:lastRowLastColumn="0"/>
          <w:trHeight w:val="20"/>
        </w:trPr>
        <w:tc>
          <w:tcPr>
            <w:tcW w:w="3505" w:type="dxa"/>
            <w:noWrap/>
            <w:vAlign w:val="center"/>
            <w:hideMark/>
          </w:tcPr>
          <w:p w14:paraId="4412BE3E" w14:textId="77777777" w:rsidR="004F64EF" w:rsidRPr="003003C0" w:rsidRDefault="004F64EF" w:rsidP="00FD6B66">
            <w:pPr>
              <w:tabs>
                <w:tab w:val="left" w:pos="510"/>
              </w:tabs>
              <w:jc w:val="left"/>
              <w:rPr>
                <w:rFonts w:cs="Arial"/>
                <w:color w:val="000000"/>
                <w:sz w:val="14"/>
                <w:szCs w:val="14"/>
              </w:rPr>
            </w:pPr>
            <w:r w:rsidRPr="003003C0">
              <w:rPr>
                <w:rFonts w:cs="Arial"/>
                <w:color w:val="000000"/>
                <w:sz w:val="14"/>
                <w:szCs w:val="14"/>
              </w:rPr>
              <w:tab/>
              <w:t>Bra</w:t>
            </w:r>
            <w:r>
              <w:rPr>
                <w:rFonts w:cs="Arial"/>
                <w:color w:val="000000"/>
                <w:sz w:val="14"/>
                <w:szCs w:val="14"/>
              </w:rPr>
              <w:t>z</w:t>
            </w:r>
            <w:r w:rsidRPr="003003C0">
              <w:rPr>
                <w:rFonts w:cs="Arial"/>
                <w:color w:val="000000"/>
                <w:sz w:val="14"/>
                <w:szCs w:val="14"/>
              </w:rPr>
              <w:t>il</w:t>
            </w:r>
          </w:p>
        </w:tc>
        <w:tc>
          <w:tcPr>
            <w:tcW w:w="787" w:type="dxa"/>
            <w:noWrap/>
            <w:vAlign w:val="center"/>
            <w:hideMark/>
          </w:tcPr>
          <w:p w14:paraId="1E192711" w14:textId="77777777" w:rsidR="004F64EF" w:rsidRPr="003003C0" w:rsidRDefault="004F64EF" w:rsidP="00FD6B66">
            <w:pPr>
              <w:jc w:val="right"/>
              <w:rPr>
                <w:rFonts w:cs="Arial"/>
                <w:color w:val="000000"/>
                <w:sz w:val="14"/>
                <w:szCs w:val="14"/>
              </w:rPr>
            </w:pPr>
            <w:r w:rsidRPr="003003C0">
              <w:rPr>
                <w:rFonts w:cs="Arial"/>
                <w:color w:val="000000"/>
                <w:sz w:val="14"/>
                <w:szCs w:val="14"/>
              </w:rPr>
              <w:t>3</w:t>
            </w:r>
            <w:r>
              <w:rPr>
                <w:rFonts w:cs="Arial"/>
                <w:color w:val="000000"/>
                <w:sz w:val="14"/>
                <w:szCs w:val="14"/>
              </w:rPr>
              <w:t>.</w:t>
            </w:r>
            <w:r w:rsidRPr="003003C0">
              <w:rPr>
                <w:rFonts w:cs="Arial"/>
                <w:color w:val="000000"/>
                <w:sz w:val="14"/>
                <w:szCs w:val="14"/>
              </w:rPr>
              <w:t>3</w:t>
            </w:r>
          </w:p>
        </w:tc>
        <w:tc>
          <w:tcPr>
            <w:tcW w:w="787" w:type="dxa"/>
            <w:noWrap/>
            <w:vAlign w:val="center"/>
            <w:hideMark/>
          </w:tcPr>
          <w:p w14:paraId="45FC8926" w14:textId="77777777" w:rsidR="004F64EF" w:rsidRPr="003003C0" w:rsidRDefault="004F64EF" w:rsidP="00FD6B66">
            <w:pPr>
              <w:jc w:val="right"/>
              <w:rPr>
                <w:rFonts w:cs="Arial"/>
                <w:color w:val="000000"/>
                <w:sz w:val="14"/>
                <w:szCs w:val="14"/>
              </w:rPr>
            </w:pPr>
            <w:r w:rsidRPr="003003C0">
              <w:rPr>
                <w:rFonts w:cs="Arial"/>
                <w:color w:val="000000"/>
                <w:sz w:val="14"/>
                <w:szCs w:val="14"/>
              </w:rPr>
              <w:t>4</w:t>
            </w:r>
            <w:r>
              <w:rPr>
                <w:rFonts w:cs="Arial"/>
                <w:color w:val="000000"/>
                <w:sz w:val="14"/>
                <w:szCs w:val="14"/>
              </w:rPr>
              <w:t>.</w:t>
            </w:r>
            <w:r w:rsidRPr="003003C0">
              <w:rPr>
                <w:rFonts w:cs="Arial"/>
                <w:color w:val="000000"/>
                <w:sz w:val="14"/>
                <w:szCs w:val="14"/>
              </w:rPr>
              <w:t>4</w:t>
            </w:r>
          </w:p>
        </w:tc>
        <w:tc>
          <w:tcPr>
            <w:tcW w:w="787" w:type="dxa"/>
            <w:noWrap/>
            <w:vAlign w:val="center"/>
            <w:hideMark/>
          </w:tcPr>
          <w:p w14:paraId="042645B5" w14:textId="77777777" w:rsidR="004F64EF" w:rsidRPr="003003C0" w:rsidRDefault="004F64EF" w:rsidP="00FD6B66">
            <w:pPr>
              <w:jc w:val="right"/>
              <w:rPr>
                <w:rFonts w:cs="Arial"/>
                <w:color w:val="000000"/>
                <w:sz w:val="14"/>
                <w:szCs w:val="14"/>
              </w:rPr>
            </w:pPr>
            <w:r w:rsidRPr="003003C0">
              <w:rPr>
                <w:rFonts w:cs="Arial"/>
                <w:color w:val="000000"/>
                <w:sz w:val="14"/>
                <w:szCs w:val="14"/>
              </w:rPr>
              <w:t>3</w:t>
            </w:r>
            <w:r>
              <w:rPr>
                <w:rFonts w:cs="Arial"/>
                <w:color w:val="000000"/>
                <w:sz w:val="14"/>
                <w:szCs w:val="14"/>
              </w:rPr>
              <w:t>.</w:t>
            </w:r>
            <w:r w:rsidRPr="003003C0">
              <w:rPr>
                <w:rFonts w:cs="Arial"/>
                <w:color w:val="000000"/>
                <w:sz w:val="14"/>
                <w:szCs w:val="14"/>
              </w:rPr>
              <w:t>4</w:t>
            </w:r>
          </w:p>
        </w:tc>
        <w:tc>
          <w:tcPr>
            <w:tcW w:w="788" w:type="dxa"/>
            <w:noWrap/>
            <w:vAlign w:val="center"/>
            <w:hideMark/>
          </w:tcPr>
          <w:p w14:paraId="4B4CEE7F" w14:textId="77777777" w:rsidR="004F64EF" w:rsidRPr="003003C0" w:rsidRDefault="004F64EF" w:rsidP="00FD6B66">
            <w:pPr>
              <w:jc w:val="right"/>
              <w:rPr>
                <w:rFonts w:cs="Arial"/>
                <w:color w:val="000000"/>
                <w:sz w:val="14"/>
                <w:szCs w:val="14"/>
              </w:rPr>
            </w:pPr>
            <w:r w:rsidRPr="003003C0">
              <w:rPr>
                <w:rFonts w:cs="Arial"/>
                <w:color w:val="000000"/>
                <w:sz w:val="14"/>
                <w:szCs w:val="14"/>
              </w:rPr>
              <w:t>3</w:t>
            </w:r>
            <w:r>
              <w:rPr>
                <w:rFonts w:cs="Arial"/>
                <w:color w:val="000000"/>
                <w:sz w:val="14"/>
                <w:szCs w:val="14"/>
              </w:rPr>
              <w:t>.</w:t>
            </w:r>
            <w:r w:rsidRPr="003003C0">
              <w:rPr>
                <w:rFonts w:cs="Arial"/>
                <w:color w:val="000000"/>
                <w:sz w:val="14"/>
                <w:szCs w:val="14"/>
              </w:rPr>
              <w:t>7</w:t>
            </w:r>
          </w:p>
        </w:tc>
        <w:tc>
          <w:tcPr>
            <w:tcW w:w="787" w:type="dxa"/>
            <w:noWrap/>
            <w:vAlign w:val="center"/>
            <w:hideMark/>
          </w:tcPr>
          <w:p w14:paraId="61664B63" w14:textId="77777777" w:rsidR="004F64EF" w:rsidRPr="003003C0" w:rsidRDefault="004F64EF" w:rsidP="00FD6B66">
            <w:pPr>
              <w:jc w:val="right"/>
              <w:rPr>
                <w:rFonts w:cs="Arial"/>
                <w:color w:val="000000"/>
                <w:sz w:val="14"/>
                <w:szCs w:val="14"/>
              </w:rPr>
            </w:pPr>
            <w:r w:rsidRPr="003003C0">
              <w:rPr>
                <w:rFonts w:cs="Arial"/>
                <w:color w:val="000000"/>
                <w:sz w:val="14"/>
                <w:szCs w:val="14"/>
              </w:rPr>
              <w:t>3</w:t>
            </w:r>
            <w:r>
              <w:rPr>
                <w:rFonts w:cs="Arial"/>
                <w:color w:val="000000"/>
                <w:sz w:val="14"/>
                <w:szCs w:val="14"/>
              </w:rPr>
              <w:t>.</w:t>
            </w:r>
            <w:r w:rsidRPr="003003C0">
              <w:rPr>
                <w:rFonts w:cs="Arial"/>
                <w:color w:val="000000"/>
                <w:sz w:val="14"/>
                <w:szCs w:val="14"/>
              </w:rPr>
              <w:t>5</w:t>
            </w:r>
          </w:p>
        </w:tc>
        <w:tc>
          <w:tcPr>
            <w:tcW w:w="787" w:type="dxa"/>
            <w:noWrap/>
            <w:vAlign w:val="center"/>
            <w:hideMark/>
          </w:tcPr>
          <w:p w14:paraId="2C66F938" w14:textId="77777777" w:rsidR="004F64EF" w:rsidRPr="003003C0" w:rsidRDefault="004F64EF" w:rsidP="00FD6B66">
            <w:pPr>
              <w:jc w:val="right"/>
              <w:rPr>
                <w:rFonts w:cs="Arial"/>
                <w:color w:val="000000"/>
                <w:sz w:val="14"/>
                <w:szCs w:val="14"/>
              </w:rPr>
            </w:pPr>
            <w:r w:rsidRPr="003003C0">
              <w:rPr>
                <w:rFonts w:cs="Arial"/>
                <w:color w:val="000000"/>
                <w:sz w:val="14"/>
                <w:szCs w:val="14"/>
              </w:rPr>
              <w:t>2</w:t>
            </w:r>
            <w:r>
              <w:rPr>
                <w:rFonts w:cs="Arial"/>
                <w:color w:val="000000"/>
                <w:sz w:val="14"/>
                <w:szCs w:val="14"/>
              </w:rPr>
              <w:t>.</w:t>
            </w:r>
            <w:r w:rsidRPr="003003C0">
              <w:rPr>
                <w:rFonts w:cs="Arial"/>
                <w:color w:val="000000"/>
                <w:sz w:val="14"/>
                <w:szCs w:val="14"/>
              </w:rPr>
              <w:t>9</w:t>
            </w:r>
          </w:p>
        </w:tc>
        <w:tc>
          <w:tcPr>
            <w:tcW w:w="788" w:type="dxa"/>
            <w:noWrap/>
            <w:vAlign w:val="center"/>
            <w:hideMark/>
          </w:tcPr>
          <w:p w14:paraId="0573B489" w14:textId="77777777" w:rsidR="004F64EF" w:rsidRPr="003003C0" w:rsidRDefault="004F64EF" w:rsidP="00FD6B66">
            <w:pPr>
              <w:jc w:val="right"/>
              <w:rPr>
                <w:rFonts w:cs="Arial"/>
                <w:color w:val="000000"/>
                <w:sz w:val="14"/>
                <w:szCs w:val="14"/>
              </w:rPr>
            </w:pPr>
            <w:r w:rsidRPr="003003C0">
              <w:rPr>
                <w:rFonts w:cs="Arial"/>
                <w:color w:val="000000"/>
                <w:sz w:val="14"/>
                <w:szCs w:val="14"/>
              </w:rPr>
              <w:t>3</w:t>
            </w:r>
            <w:r>
              <w:rPr>
                <w:rFonts w:cs="Arial"/>
                <w:color w:val="000000"/>
                <w:sz w:val="14"/>
                <w:szCs w:val="14"/>
              </w:rPr>
              <w:t>.</w:t>
            </w:r>
            <w:r w:rsidRPr="003003C0">
              <w:rPr>
                <w:rFonts w:cs="Arial"/>
                <w:color w:val="000000"/>
                <w:sz w:val="14"/>
                <w:szCs w:val="14"/>
              </w:rPr>
              <w:t>2</w:t>
            </w:r>
          </w:p>
        </w:tc>
      </w:tr>
      <w:tr w:rsidR="004F64EF" w:rsidRPr="003003C0" w14:paraId="79B8C27F" w14:textId="77777777" w:rsidTr="00FD6B66">
        <w:trPr>
          <w:trHeight w:val="20"/>
        </w:trPr>
        <w:tc>
          <w:tcPr>
            <w:tcW w:w="3505" w:type="dxa"/>
            <w:noWrap/>
            <w:vAlign w:val="center"/>
            <w:hideMark/>
          </w:tcPr>
          <w:p w14:paraId="64FA61CE" w14:textId="77777777" w:rsidR="004F64EF" w:rsidRPr="003003C0" w:rsidRDefault="004F64EF" w:rsidP="00FD6B66">
            <w:pPr>
              <w:tabs>
                <w:tab w:val="left" w:pos="510"/>
              </w:tabs>
              <w:jc w:val="left"/>
              <w:rPr>
                <w:rFonts w:cs="Arial"/>
                <w:color w:val="000000"/>
                <w:sz w:val="14"/>
                <w:szCs w:val="14"/>
              </w:rPr>
            </w:pPr>
            <w:r w:rsidRPr="003003C0">
              <w:rPr>
                <w:rFonts w:cs="Arial"/>
                <w:color w:val="000000"/>
                <w:sz w:val="14"/>
                <w:szCs w:val="14"/>
              </w:rPr>
              <w:tab/>
              <w:t>Colombia</w:t>
            </w:r>
          </w:p>
        </w:tc>
        <w:tc>
          <w:tcPr>
            <w:tcW w:w="787" w:type="dxa"/>
            <w:noWrap/>
            <w:vAlign w:val="center"/>
            <w:hideMark/>
          </w:tcPr>
          <w:p w14:paraId="7487172A" w14:textId="77777777" w:rsidR="004F64EF" w:rsidRPr="003003C0" w:rsidRDefault="004F64EF" w:rsidP="00FD6B66">
            <w:pPr>
              <w:jc w:val="right"/>
              <w:rPr>
                <w:rFonts w:cs="Arial"/>
                <w:color w:val="000000"/>
                <w:sz w:val="14"/>
                <w:szCs w:val="14"/>
              </w:rPr>
            </w:pPr>
            <w:r w:rsidRPr="003003C0">
              <w:rPr>
                <w:rFonts w:cs="Arial"/>
                <w:color w:val="000000"/>
                <w:sz w:val="14"/>
                <w:szCs w:val="14"/>
              </w:rPr>
              <w:t>2</w:t>
            </w:r>
            <w:r>
              <w:rPr>
                <w:rFonts w:cs="Arial"/>
                <w:color w:val="000000"/>
                <w:sz w:val="14"/>
                <w:szCs w:val="14"/>
              </w:rPr>
              <w:t>.</w:t>
            </w:r>
            <w:r w:rsidRPr="003003C0">
              <w:rPr>
                <w:rFonts w:cs="Arial"/>
                <w:color w:val="000000"/>
                <w:sz w:val="14"/>
                <w:szCs w:val="14"/>
              </w:rPr>
              <w:t>0</w:t>
            </w:r>
          </w:p>
        </w:tc>
        <w:tc>
          <w:tcPr>
            <w:tcW w:w="787" w:type="dxa"/>
            <w:noWrap/>
            <w:vAlign w:val="center"/>
            <w:hideMark/>
          </w:tcPr>
          <w:p w14:paraId="7D90A5B5" w14:textId="77777777" w:rsidR="004F64EF" w:rsidRPr="003003C0" w:rsidRDefault="004F64EF" w:rsidP="00FD6B66">
            <w:pPr>
              <w:jc w:val="right"/>
              <w:rPr>
                <w:rFonts w:cs="Arial"/>
                <w:color w:val="000000"/>
                <w:sz w:val="14"/>
                <w:szCs w:val="14"/>
              </w:rPr>
            </w:pPr>
            <w:r w:rsidRPr="003003C0">
              <w:rPr>
                <w:rFonts w:cs="Arial"/>
                <w:color w:val="000000"/>
                <w:sz w:val="14"/>
                <w:szCs w:val="14"/>
              </w:rPr>
              <w:t>1</w:t>
            </w:r>
            <w:r>
              <w:rPr>
                <w:rFonts w:cs="Arial"/>
                <w:color w:val="000000"/>
                <w:sz w:val="14"/>
                <w:szCs w:val="14"/>
              </w:rPr>
              <w:t>.</w:t>
            </w:r>
            <w:r w:rsidRPr="003003C0">
              <w:rPr>
                <w:rFonts w:cs="Arial"/>
                <w:color w:val="000000"/>
                <w:sz w:val="14"/>
                <w:szCs w:val="14"/>
              </w:rPr>
              <w:t>9</w:t>
            </w:r>
          </w:p>
        </w:tc>
        <w:tc>
          <w:tcPr>
            <w:tcW w:w="787" w:type="dxa"/>
            <w:noWrap/>
            <w:vAlign w:val="center"/>
            <w:hideMark/>
          </w:tcPr>
          <w:p w14:paraId="31320FE9" w14:textId="77777777" w:rsidR="004F64EF" w:rsidRPr="003003C0" w:rsidRDefault="004F64EF" w:rsidP="00FD6B66">
            <w:pPr>
              <w:jc w:val="right"/>
              <w:rPr>
                <w:rFonts w:cs="Arial"/>
                <w:color w:val="000000"/>
                <w:sz w:val="14"/>
                <w:szCs w:val="14"/>
              </w:rPr>
            </w:pPr>
            <w:r w:rsidRPr="003003C0">
              <w:rPr>
                <w:rFonts w:cs="Arial"/>
                <w:color w:val="000000"/>
                <w:sz w:val="14"/>
                <w:szCs w:val="14"/>
              </w:rPr>
              <w:t>2</w:t>
            </w:r>
            <w:r>
              <w:rPr>
                <w:rFonts w:cs="Arial"/>
                <w:color w:val="000000"/>
                <w:sz w:val="14"/>
                <w:szCs w:val="14"/>
              </w:rPr>
              <w:t>.</w:t>
            </w:r>
            <w:r w:rsidRPr="003003C0">
              <w:rPr>
                <w:rFonts w:cs="Arial"/>
                <w:color w:val="000000"/>
                <w:sz w:val="14"/>
                <w:szCs w:val="14"/>
              </w:rPr>
              <w:t>1</w:t>
            </w:r>
          </w:p>
        </w:tc>
        <w:tc>
          <w:tcPr>
            <w:tcW w:w="788" w:type="dxa"/>
            <w:noWrap/>
            <w:vAlign w:val="center"/>
            <w:hideMark/>
          </w:tcPr>
          <w:p w14:paraId="68991A8F" w14:textId="77777777" w:rsidR="004F64EF" w:rsidRPr="003003C0" w:rsidRDefault="004F64EF" w:rsidP="00FD6B66">
            <w:pPr>
              <w:jc w:val="right"/>
              <w:rPr>
                <w:rFonts w:cs="Arial"/>
                <w:color w:val="000000"/>
                <w:sz w:val="14"/>
                <w:szCs w:val="14"/>
              </w:rPr>
            </w:pPr>
            <w:r w:rsidRPr="003003C0">
              <w:rPr>
                <w:rFonts w:cs="Arial"/>
                <w:color w:val="000000"/>
                <w:sz w:val="14"/>
                <w:szCs w:val="14"/>
              </w:rPr>
              <w:t>2</w:t>
            </w:r>
            <w:r>
              <w:rPr>
                <w:rFonts w:cs="Arial"/>
                <w:color w:val="000000"/>
                <w:sz w:val="14"/>
                <w:szCs w:val="14"/>
              </w:rPr>
              <w:t>.</w:t>
            </w:r>
            <w:r w:rsidRPr="003003C0">
              <w:rPr>
                <w:rFonts w:cs="Arial"/>
                <w:color w:val="000000"/>
                <w:sz w:val="14"/>
                <w:szCs w:val="14"/>
              </w:rPr>
              <w:t>0</w:t>
            </w:r>
          </w:p>
        </w:tc>
        <w:tc>
          <w:tcPr>
            <w:tcW w:w="787" w:type="dxa"/>
            <w:noWrap/>
            <w:vAlign w:val="center"/>
            <w:hideMark/>
          </w:tcPr>
          <w:p w14:paraId="549CD3A3" w14:textId="77777777" w:rsidR="004F64EF" w:rsidRPr="003003C0" w:rsidRDefault="004F64EF" w:rsidP="00FD6B66">
            <w:pPr>
              <w:jc w:val="right"/>
              <w:rPr>
                <w:rFonts w:cs="Arial"/>
                <w:color w:val="000000"/>
                <w:sz w:val="14"/>
                <w:szCs w:val="14"/>
              </w:rPr>
            </w:pPr>
            <w:r w:rsidRPr="003003C0">
              <w:rPr>
                <w:rFonts w:cs="Arial"/>
                <w:color w:val="000000"/>
                <w:sz w:val="14"/>
                <w:szCs w:val="14"/>
              </w:rPr>
              <w:t>2</w:t>
            </w:r>
            <w:r>
              <w:rPr>
                <w:rFonts w:cs="Arial"/>
                <w:color w:val="000000"/>
                <w:sz w:val="14"/>
                <w:szCs w:val="14"/>
              </w:rPr>
              <w:t>.</w:t>
            </w:r>
            <w:r w:rsidRPr="003003C0">
              <w:rPr>
                <w:rFonts w:cs="Arial"/>
                <w:color w:val="000000"/>
                <w:sz w:val="14"/>
                <w:szCs w:val="14"/>
              </w:rPr>
              <w:t>0</w:t>
            </w:r>
          </w:p>
        </w:tc>
        <w:tc>
          <w:tcPr>
            <w:tcW w:w="787" w:type="dxa"/>
            <w:noWrap/>
            <w:vAlign w:val="center"/>
            <w:hideMark/>
          </w:tcPr>
          <w:p w14:paraId="1F6FFF71" w14:textId="77777777" w:rsidR="004F64EF" w:rsidRPr="003003C0" w:rsidRDefault="004F64EF" w:rsidP="00FD6B66">
            <w:pPr>
              <w:jc w:val="right"/>
              <w:rPr>
                <w:rFonts w:cs="Arial"/>
                <w:color w:val="000000"/>
                <w:sz w:val="14"/>
                <w:szCs w:val="14"/>
              </w:rPr>
            </w:pPr>
            <w:r w:rsidRPr="003003C0">
              <w:rPr>
                <w:rFonts w:cs="Arial"/>
                <w:color w:val="000000"/>
                <w:sz w:val="14"/>
                <w:szCs w:val="14"/>
              </w:rPr>
              <w:t>2</w:t>
            </w:r>
            <w:r>
              <w:rPr>
                <w:rFonts w:cs="Arial"/>
                <w:color w:val="000000"/>
                <w:sz w:val="14"/>
                <w:szCs w:val="14"/>
              </w:rPr>
              <w:t>.</w:t>
            </w:r>
            <w:r w:rsidRPr="003003C0">
              <w:rPr>
                <w:rFonts w:cs="Arial"/>
                <w:color w:val="000000"/>
                <w:sz w:val="14"/>
                <w:szCs w:val="14"/>
              </w:rPr>
              <w:t>2</w:t>
            </w:r>
          </w:p>
        </w:tc>
        <w:tc>
          <w:tcPr>
            <w:tcW w:w="788" w:type="dxa"/>
            <w:noWrap/>
            <w:vAlign w:val="center"/>
            <w:hideMark/>
          </w:tcPr>
          <w:p w14:paraId="26A742C2" w14:textId="77777777" w:rsidR="004F64EF" w:rsidRPr="003003C0" w:rsidRDefault="004F64EF" w:rsidP="00FD6B66">
            <w:pPr>
              <w:jc w:val="right"/>
              <w:rPr>
                <w:rFonts w:cs="Arial"/>
                <w:color w:val="000000"/>
                <w:sz w:val="14"/>
                <w:szCs w:val="14"/>
              </w:rPr>
            </w:pPr>
            <w:r w:rsidRPr="003003C0">
              <w:rPr>
                <w:rFonts w:cs="Arial"/>
                <w:color w:val="000000"/>
                <w:sz w:val="14"/>
                <w:szCs w:val="14"/>
              </w:rPr>
              <w:t>2</w:t>
            </w:r>
            <w:r>
              <w:rPr>
                <w:rFonts w:cs="Arial"/>
                <w:color w:val="000000"/>
                <w:sz w:val="14"/>
                <w:szCs w:val="14"/>
              </w:rPr>
              <w:t>.</w:t>
            </w:r>
            <w:r w:rsidRPr="003003C0">
              <w:rPr>
                <w:rFonts w:cs="Arial"/>
                <w:color w:val="000000"/>
                <w:sz w:val="14"/>
                <w:szCs w:val="14"/>
              </w:rPr>
              <w:t>2</w:t>
            </w:r>
          </w:p>
        </w:tc>
      </w:tr>
      <w:tr w:rsidR="004F64EF" w:rsidRPr="003003C0" w14:paraId="2DC69CCB" w14:textId="77777777" w:rsidTr="00FD6B66">
        <w:trPr>
          <w:cnfStyle w:val="000000010000" w:firstRow="0" w:lastRow="0" w:firstColumn="0" w:lastColumn="0" w:oddVBand="0" w:evenVBand="0" w:oddHBand="0" w:evenHBand="1" w:firstRowFirstColumn="0" w:firstRowLastColumn="0" w:lastRowFirstColumn="0" w:lastRowLastColumn="0"/>
          <w:trHeight w:val="20"/>
        </w:trPr>
        <w:tc>
          <w:tcPr>
            <w:tcW w:w="3505" w:type="dxa"/>
            <w:noWrap/>
            <w:vAlign w:val="center"/>
            <w:hideMark/>
          </w:tcPr>
          <w:p w14:paraId="400A80EA" w14:textId="77777777" w:rsidR="004F64EF" w:rsidRPr="003003C0" w:rsidRDefault="004F64EF" w:rsidP="00FD6B66">
            <w:pPr>
              <w:tabs>
                <w:tab w:val="left" w:pos="510"/>
              </w:tabs>
              <w:jc w:val="left"/>
              <w:rPr>
                <w:rFonts w:cs="Arial"/>
                <w:color w:val="000000"/>
                <w:sz w:val="14"/>
                <w:szCs w:val="14"/>
              </w:rPr>
            </w:pPr>
            <w:r w:rsidRPr="003003C0">
              <w:rPr>
                <w:rFonts w:cs="Arial"/>
                <w:color w:val="000000"/>
                <w:sz w:val="14"/>
                <w:szCs w:val="14"/>
              </w:rPr>
              <w:tab/>
              <w:t>Argentina</w:t>
            </w:r>
          </w:p>
        </w:tc>
        <w:tc>
          <w:tcPr>
            <w:tcW w:w="787" w:type="dxa"/>
            <w:noWrap/>
            <w:vAlign w:val="center"/>
            <w:hideMark/>
          </w:tcPr>
          <w:p w14:paraId="6E0077BB"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7</w:t>
            </w:r>
          </w:p>
        </w:tc>
        <w:tc>
          <w:tcPr>
            <w:tcW w:w="787" w:type="dxa"/>
            <w:noWrap/>
            <w:vAlign w:val="center"/>
            <w:hideMark/>
          </w:tcPr>
          <w:p w14:paraId="22FE4243"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8</w:t>
            </w:r>
          </w:p>
        </w:tc>
        <w:tc>
          <w:tcPr>
            <w:tcW w:w="787" w:type="dxa"/>
            <w:noWrap/>
            <w:vAlign w:val="center"/>
            <w:hideMark/>
          </w:tcPr>
          <w:p w14:paraId="0F40CB9A"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6</w:t>
            </w:r>
          </w:p>
        </w:tc>
        <w:tc>
          <w:tcPr>
            <w:tcW w:w="788" w:type="dxa"/>
            <w:noWrap/>
            <w:vAlign w:val="center"/>
            <w:hideMark/>
          </w:tcPr>
          <w:p w14:paraId="43CF7C75"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6</w:t>
            </w:r>
          </w:p>
        </w:tc>
        <w:tc>
          <w:tcPr>
            <w:tcW w:w="787" w:type="dxa"/>
            <w:noWrap/>
            <w:vAlign w:val="center"/>
            <w:hideMark/>
          </w:tcPr>
          <w:p w14:paraId="09E6601C"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9</w:t>
            </w:r>
          </w:p>
        </w:tc>
        <w:tc>
          <w:tcPr>
            <w:tcW w:w="787" w:type="dxa"/>
            <w:noWrap/>
            <w:vAlign w:val="center"/>
            <w:hideMark/>
          </w:tcPr>
          <w:p w14:paraId="6601D036"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7</w:t>
            </w:r>
          </w:p>
        </w:tc>
        <w:tc>
          <w:tcPr>
            <w:tcW w:w="788" w:type="dxa"/>
            <w:noWrap/>
            <w:vAlign w:val="center"/>
            <w:hideMark/>
          </w:tcPr>
          <w:p w14:paraId="6E9D90BD" w14:textId="77777777" w:rsidR="004F64EF" w:rsidRPr="003003C0" w:rsidRDefault="004F64EF" w:rsidP="00FD6B66">
            <w:pPr>
              <w:jc w:val="right"/>
              <w:rPr>
                <w:rFonts w:cs="Arial"/>
                <w:color w:val="000000"/>
                <w:sz w:val="14"/>
                <w:szCs w:val="14"/>
              </w:rPr>
            </w:pPr>
            <w:r w:rsidRPr="003003C0">
              <w:rPr>
                <w:rFonts w:cs="Arial"/>
                <w:color w:val="000000"/>
                <w:sz w:val="14"/>
                <w:szCs w:val="14"/>
              </w:rPr>
              <w:t>1</w:t>
            </w:r>
            <w:r>
              <w:rPr>
                <w:rFonts w:cs="Arial"/>
                <w:color w:val="000000"/>
                <w:sz w:val="14"/>
                <w:szCs w:val="14"/>
              </w:rPr>
              <w:t>.</w:t>
            </w:r>
            <w:r w:rsidRPr="003003C0">
              <w:rPr>
                <w:rFonts w:cs="Arial"/>
                <w:color w:val="000000"/>
                <w:sz w:val="14"/>
                <w:szCs w:val="14"/>
              </w:rPr>
              <w:t>5</w:t>
            </w:r>
          </w:p>
        </w:tc>
      </w:tr>
      <w:tr w:rsidR="004F64EF" w:rsidRPr="003003C0" w14:paraId="2B3C2BAD" w14:textId="77777777" w:rsidTr="00FD6B66">
        <w:trPr>
          <w:trHeight w:val="20"/>
        </w:trPr>
        <w:tc>
          <w:tcPr>
            <w:tcW w:w="3505" w:type="dxa"/>
            <w:noWrap/>
            <w:vAlign w:val="center"/>
            <w:hideMark/>
          </w:tcPr>
          <w:p w14:paraId="3779F495" w14:textId="77777777" w:rsidR="004F64EF" w:rsidRPr="003003C0" w:rsidRDefault="004F64EF" w:rsidP="00FD6B66">
            <w:pPr>
              <w:tabs>
                <w:tab w:val="left" w:pos="510"/>
              </w:tabs>
              <w:jc w:val="left"/>
              <w:rPr>
                <w:rFonts w:cs="Arial"/>
                <w:color w:val="000000"/>
                <w:sz w:val="14"/>
                <w:szCs w:val="14"/>
              </w:rPr>
            </w:pPr>
            <w:r w:rsidRPr="003003C0">
              <w:rPr>
                <w:rFonts w:cs="Arial"/>
                <w:color w:val="000000"/>
                <w:sz w:val="14"/>
                <w:szCs w:val="14"/>
              </w:rPr>
              <w:tab/>
              <w:t>Canad</w:t>
            </w:r>
            <w:r>
              <w:rPr>
                <w:rFonts w:cs="Arial"/>
                <w:color w:val="000000"/>
                <w:sz w:val="14"/>
                <w:szCs w:val="14"/>
              </w:rPr>
              <w:t>a</w:t>
            </w:r>
          </w:p>
        </w:tc>
        <w:tc>
          <w:tcPr>
            <w:tcW w:w="787" w:type="dxa"/>
            <w:noWrap/>
            <w:vAlign w:val="center"/>
            <w:hideMark/>
          </w:tcPr>
          <w:p w14:paraId="5CA8D3FD" w14:textId="77777777" w:rsidR="004F64EF" w:rsidRPr="003003C0" w:rsidRDefault="004F64EF" w:rsidP="00FD6B66">
            <w:pPr>
              <w:jc w:val="right"/>
              <w:rPr>
                <w:rFonts w:cs="Arial"/>
                <w:color w:val="000000"/>
                <w:sz w:val="14"/>
                <w:szCs w:val="14"/>
              </w:rPr>
            </w:pPr>
            <w:r w:rsidRPr="003003C0">
              <w:rPr>
                <w:rFonts w:cs="Arial"/>
                <w:color w:val="000000"/>
                <w:sz w:val="14"/>
                <w:szCs w:val="14"/>
              </w:rPr>
              <w:t>1</w:t>
            </w:r>
            <w:r>
              <w:rPr>
                <w:rFonts w:cs="Arial"/>
                <w:color w:val="000000"/>
                <w:sz w:val="14"/>
                <w:szCs w:val="14"/>
              </w:rPr>
              <w:t>.</w:t>
            </w:r>
            <w:r w:rsidRPr="003003C0">
              <w:rPr>
                <w:rFonts w:cs="Arial"/>
                <w:color w:val="000000"/>
                <w:sz w:val="14"/>
                <w:szCs w:val="14"/>
              </w:rPr>
              <w:t>4</w:t>
            </w:r>
          </w:p>
        </w:tc>
        <w:tc>
          <w:tcPr>
            <w:tcW w:w="787" w:type="dxa"/>
            <w:noWrap/>
            <w:vAlign w:val="center"/>
            <w:hideMark/>
          </w:tcPr>
          <w:p w14:paraId="53D98546" w14:textId="77777777" w:rsidR="004F64EF" w:rsidRPr="003003C0" w:rsidRDefault="004F64EF" w:rsidP="00FD6B66">
            <w:pPr>
              <w:jc w:val="right"/>
              <w:rPr>
                <w:rFonts w:cs="Arial"/>
                <w:color w:val="000000"/>
                <w:sz w:val="14"/>
                <w:szCs w:val="14"/>
              </w:rPr>
            </w:pPr>
            <w:r w:rsidRPr="003003C0">
              <w:rPr>
                <w:rFonts w:cs="Arial"/>
                <w:color w:val="000000"/>
                <w:sz w:val="14"/>
                <w:szCs w:val="14"/>
              </w:rPr>
              <w:t>1</w:t>
            </w:r>
            <w:r>
              <w:rPr>
                <w:rFonts w:cs="Arial"/>
                <w:color w:val="000000"/>
                <w:sz w:val="14"/>
                <w:szCs w:val="14"/>
              </w:rPr>
              <w:t>.</w:t>
            </w:r>
            <w:r w:rsidRPr="003003C0">
              <w:rPr>
                <w:rFonts w:cs="Arial"/>
                <w:color w:val="000000"/>
                <w:sz w:val="14"/>
                <w:szCs w:val="14"/>
              </w:rPr>
              <w:t>1</w:t>
            </w:r>
          </w:p>
        </w:tc>
        <w:tc>
          <w:tcPr>
            <w:tcW w:w="787" w:type="dxa"/>
            <w:noWrap/>
            <w:vAlign w:val="center"/>
            <w:hideMark/>
          </w:tcPr>
          <w:p w14:paraId="5ADAABA4" w14:textId="77777777" w:rsidR="004F64EF" w:rsidRPr="003003C0" w:rsidRDefault="004F64EF" w:rsidP="00FD6B66">
            <w:pPr>
              <w:jc w:val="right"/>
              <w:rPr>
                <w:rFonts w:cs="Arial"/>
                <w:color w:val="000000"/>
                <w:sz w:val="14"/>
                <w:szCs w:val="14"/>
              </w:rPr>
            </w:pPr>
            <w:r w:rsidRPr="003003C0">
              <w:rPr>
                <w:rFonts w:cs="Arial"/>
                <w:color w:val="000000"/>
                <w:sz w:val="14"/>
                <w:szCs w:val="14"/>
              </w:rPr>
              <w:t>1</w:t>
            </w:r>
            <w:r>
              <w:rPr>
                <w:rFonts w:cs="Arial"/>
                <w:color w:val="000000"/>
                <w:sz w:val="14"/>
                <w:szCs w:val="14"/>
              </w:rPr>
              <w:t>.</w:t>
            </w:r>
            <w:r w:rsidRPr="003003C0">
              <w:rPr>
                <w:rFonts w:cs="Arial"/>
                <w:color w:val="000000"/>
                <w:sz w:val="14"/>
                <w:szCs w:val="14"/>
              </w:rPr>
              <w:t>1</w:t>
            </w:r>
          </w:p>
        </w:tc>
        <w:tc>
          <w:tcPr>
            <w:tcW w:w="788" w:type="dxa"/>
            <w:noWrap/>
            <w:vAlign w:val="center"/>
            <w:hideMark/>
          </w:tcPr>
          <w:p w14:paraId="11F78AEC" w14:textId="77777777" w:rsidR="004F64EF" w:rsidRPr="003003C0" w:rsidRDefault="004F64EF" w:rsidP="00FD6B66">
            <w:pPr>
              <w:jc w:val="right"/>
              <w:rPr>
                <w:rFonts w:cs="Arial"/>
                <w:color w:val="000000"/>
                <w:sz w:val="14"/>
                <w:szCs w:val="14"/>
              </w:rPr>
            </w:pPr>
            <w:r w:rsidRPr="003003C0">
              <w:rPr>
                <w:rFonts w:cs="Arial"/>
                <w:color w:val="000000"/>
                <w:sz w:val="14"/>
                <w:szCs w:val="14"/>
              </w:rPr>
              <w:t>1</w:t>
            </w:r>
            <w:r>
              <w:rPr>
                <w:rFonts w:cs="Arial"/>
                <w:color w:val="000000"/>
                <w:sz w:val="14"/>
                <w:szCs w:val="14"/>
              </w:rPr>
              <w:t>.</w:t>
            </w:r>
            <w:r w:rsidRPr="003003C0">
              <w:rPr>
                <w:rFonts w:cs="Arial"/>
                <w:color w:val="000000"/>
                <w:sz w:val="14"/>
                <w:szCs w:val="14"/>
              </w:rPr>
              <w:t>0</w:t>
            </w:r>
          </w:p>
        </w:tc>
        <w:tc>
          <w:tcPr>
            <w:tcW w:w="787" w:type="dxa"/>
            <w:noWrap/>
            <w:vAlign w:val="center"/>
            <w:hideMark/>
          </w:tcPr>
          <w:p w14:paraId="60993921" w14:textId="77777777" w:rsidR="004F64EF" w:rsidRPr="003003C0" w:rsidRDefault="004F64EF" w:rsidP="00FD6B66">
            <w:pPr>
              <w:jc w:val="right"/>
              <w:rPr>
                <w:rFonts w:cs="Arial"/>
                <w:color w:val="000000"/>
                <w:sz w:val="14"/>
                <w:szCs w:val="14"/>
              </w:rPr>
            </w:pPr>
            <w:r w:rsidRPr="003003C0">
              <w:rPr>
                <w:rFonts w:cs="Arial"/>
                <w:color w:val="000000"/>
                <w:sz w:val="14"/>
                <w:szCs w:val="14"/>
              </w:rPr>
              <w:t>1</w:t>
            </w:r>
            <w:r>
              <w:rPr>
                <w:rFonts w:cs="Arial"/>
                <w:color w:val="000000"/>
                <w:sz w:val="14"/>
                <w:szCs w:val="14"/>
              </w:rPr>
              <w:t>.</w:t>
            </w:r>
            <w:r w:rsidRPr="003003C0">
              <w:rPr>
                <w:rFonts w:cs="Arial"/>
                <w:color w:val="000000"/>
                <w:sz w:val="14"/>
                <w:szCs w:val="14"/>
              </w:rPr>
              <w:t>1</w:t>
            </w:r>
          </w:p>
        </w:tc>
        <w:tc>
          <w:tcPr>
            <w:tcW w:w="787" w:type="dxa"/>
            <w:noWrap/>
            <w:vAlign w:val="center"/>
            <w:hideMark/>
          </w:tcPr>
          <w:p w14:paraId="71318612" w14:textId="77777777" w:rsidR="004F64EF" w:rsidRPr="003003C0" w:rsidRDefault="004F64EF" w:rsidP="00FD6B66">
            <w:pPr>
              <w:jc w:val="right"/>
              <w:rPr>
                <w:rFonts w:cs="Arial"/>
                <w:color w:val="000000"/>
                <w:sz w:val="14"/>
                <w:szCs w:val="14"/>
              </w:rPr>
            </w:pPr>
            <w:r w:rsidRPr="003003C0">
              <w:rPr>
                <w:rFonts w:cs="Arial"/>
                <w:color w:val="000000"/>
                <w:sz w:val="14"/>
                <w:szCs w:val="14"/>
              </w:rPr>
              <w:t>1</w:t>
            </w:r>
            <w:r>
              <w:rPr>
                <w:rFonts w:cs="Arial"/>
                <w:color w:val="000000"/>
                <w:sz w:val="14"/>
                <w:szCs w:val="14"/>
              </w:rPr>
              <w:t>.</w:t>
            </w:r>
            <w:r w:rsidRPr="003003C0">
              <w:rPr>
                <w:rFonts w:cs="Arial"/>
                <w:color w:val="000000"/>
                <w:sz w:val="14"/>
                <w:szCs w:val="14"/>
              </w:rPr>
              <w:t>3</w:t>
            </w:r>
          </w:p>
        </w:tc>
        <w:tc>
          <w:tcPr>
            <w:tcW w:w="788" w:type="dxa"/>
            <w:noWrap/>
            <w:vAlign w:val="center"/>
            <w:hideMark/>
          </w:tcPr>
          <w:p w14:paraId="13F14DA3" w14:textId="77777777" w:rsidR="004F64EF" w:rsidRPr="003003C0" w:rsidRDefault="004F64EF" w:rsidP="00FD6B66">
            <w:pPr>
              <w:jc w:val="right"/>
              <w:rPr>
                <w:rFonts w:cs="Arial"/>
                <w:color w:val="000000"/>
                <w:sz w:val="14"/>
                <w:szCs w:val="14"/>
              </w:rPr>
            </w:pPr>
            <w:r w:rsidRPr="003003C0">
              <w:rPr>
                <w:rFonts w:cs="Arial"/>
                <w:color w:val="000000"/>
                <w:sz w:val="14"/>
                <w:szCs w:val="14"/>
              </w:rPr>
              <w:t>1</w:t>
            </w:r>
            <w:r>
              <w:rPr>
                <w:rFonts w:cs="Arial"/>
                <w:color w:val="000000"/>
                <w:sz w:val="14"/>
                <w:szCs w:val="14"/>
              </w:rPr>
              <w:t>.</w:t>
            </w:r>
            <w:r w:rsidRPr="003003C0">
              <w:rPr>
                <w:rFonts w:cs="Arial"/>
                <w:color w:val="000000"/>
                <w:sz w:val="14"/>
                <w:szCs w:val="14"/>
              </w:rPr>
              <w:t>2</w:t>
            </w:r>
          </w:p>
        </w:tc>
      </w:tr>
      <w:tr w:rsidR="004F64EF" w:rsidRPr="003003C0" w14:paraId="66BB619A" w14:textId="77777777" w:rsidTr="00FD6B66">
        <w:trPr>
          <w:cnfStyle w:val="000000010000" w:firstRow="0" w:lastRow="0" w:firstColumn="0" w:lastColumn="0" w:oddVBand="0" w:evenVBand="0" w:oddHBand="0" w:evenHBand="1" w:firstRowFirstColumn="0" w:firstRowLastColumn="0" w:lastRowFirstColumn="0" w:lastRowLastColumn="0"/>
          <w:trHeight w:val="20"/>
        </w:trPr>
        <w:tc>
          <w:tcPr>
            <w:tcW w:w="3505" w:type="dxa"/>
            <w:noWrap/>
            <w:vAlign w:val="center"/>
            <w:hideMark/>
          </w:tcPr>
          <w:p w14:paraId="3E644DEF" w14:textId="77777777" w:rsidR="004F64EF" w:rsidRPr="003003C0" w:rsidRDefault="004F64EF" w:rsidP="00FD6B66">
            <w:pPr>
              <w:tabs>
                <w:tab w:val="left" w:pos="510"/>
              </w:tabs>
              <w:jc w:val="left"/>
              <w:rPr>
                <w:rFonts w:cs="Arial"/>
                <w:color w:val="000000"/>
                <w:sz w:val="14"/>
                <w:szCs w:val="14"/>
              </w:rPr>
            </w:pPr>
            <w:r w:rsidRPr="003003C0">
              <w:rPr>
                <w:rFonts w:cs="Arial"/>
                <w:color w:val="000000"/>
                <w:sz w:val="14"/>
                <w:szCs w:val="14"/>
              </w:rPr>
              <w:tab/>
              <w:t>Costa Rica</w:t>
            </w:r>
          </w:p>
        </w:tc>
        <w:tc>
          <w:tcPr>
            <w:tcW w:w="787" w:type="dxa"/>
            <w:noWrap/>
            <w:vAlign w:val="center"/>
            <w:hideMark/>
          </w:tcPr>
          <w:p w14:paraId="290EAB9B" w14:textId="77777777" w:rsidR="004F64EF" w:rsidRPr="003003C0" w:rsidRDefault="004F64EF" w:rsidP="00FD6B66">
            <w:pPr>
              <w:jc w:val="right"/>
              <w:rPr>
                <w:rFonts w:cs="Arial"/>
                <w:color w:val="000000"/>
                <w:sz w:val="14"/>
                <w:szCs w:val="14"/>
              </w:rPr>
            </w:pPr>
            <w:r w:rsidRPr="003003C0">
              <w:rPr>
                <w:rFonts w:cs="Arial"/>
                <w:color w:val="000000"/>
                <w:sz w:val="14"/>
                <w:szCs w:val="14"/>
              </w:rPr>
              <w:t>1</w:t>
            </w:r>
            <w:r>
              <w:rPr>
                <w:rFonts w:cs="Arial"/>
                <w:color w:val="000000"/>
                <w:sz w:val="14"/>
                <w:szCs w:val="14"/>
              </w:rPr>
              <w:t>.</w:t>
            </w:r>
            <w:r w:rsidRPr="003003C0">
              <w:rPr>
                <w:rFonts w:cs="Arial"/>
                <w:color w:val="000000"/>
                <w:sz w:val="14"/>
                <w:szCs w:val="14"/>
              </w:rPr>
              <w:t>4</w:t>
            </w:r>
          </w:p>
        </w:tc>
        <w:tc>
          <w:tcPr>
            <w:tcW w:w="787" w:type="dxa"/>
            <w:noWrap/>
            <w:vAlign w:val="center"/>
            <w:hideMark/>
          </w:tcPr>
          <w:p w14:paraId="32DA34B9" w14:textId="77777777" w:rsidR="004F64EF" w:rsidRPr="003003C0" w:rsidRDefault="004F64EF" w:rsidP="00FD6B66">
            <w:pPr>
              <w:jc w:val="right"/>
              <w:rPr>
                <w:rFonts w:cs="Arial"/>
                <w:color w:val="000000"/>
                <w:sz w:val="14"/>
                <w:szCs w:val="14"/>
              </w:rPr>
            </w:pPr>
            <w:r w:rsidRPr="003003C0">
              <w:rPr>
                <w:rFonts w:cs="Arial"/>
                <w:color w:val="000000"/>
                <w:sz w:val="14"/>
                <w:szCs w:val="14"/>
              </w:rPr>
              <w:t>1</w:t>
            </w:r>
            <w:r>
              <w:rPr>
                <w:rFonts w:cs="Arial"/>
                <w:color w:val="000000"/>
                <w:sz w:val="14"/>
                <w:szCs w:val="14"/>
              </w:rPr>
              <w:t>.</w:t>
            </w:r>
            <w:r w:rsidRPr="003003C0">
              <w:rPr>
                <w:rFonts w:cs="Arial"/>
                <w:color w:val="000000"/>
                <w:sz w:val="14"/>
                <w:szCs w:val="14"/>
              </w:rPr>
              <w:t>3</w:t>
            </w:r>
          </w:p>
        </w:tc>
        <w:tc>
          <w:tcPr>
            <w:tcW w:w="787" w:type="dxa"/>
            <w:noWrap/>
            <w:vAlign w:val="center"/>
            <w:hideMark/>
          </w:tcPr>
          <w:p w14:paraId="782567C2" w14:textId="77777777" w:rsidR="004F64EF" w:rsidRPr="003003C0" w:rsidRDefault="004F64EF" w:rsidP="00FD6B66">
            <w:pPr>
              <w:jc w:val="right"/>
              <w:rPr>
                <w:rFonts w:cs="Arial"/>
                <w:color w:val="000000"/>
                <w:sz w:val="14"/>
                <w:szCs w:val="14"/>
              </w:rPr>
            </w:pPr>
            <w:r w:rsidRPr="003003C0">
              <w:rPr>
                <w:rFonts w:cs="Arial"/>
                <w:color w:val="000000"/>
                <w:sz w:val="14"/>
                <w:szCs w:val="14"/>
              </w:rPr>
              <w:t>1</w:t>
            </w:r>
            <w:r>
              <w:rPr>
                <w:rFonts w:cs="Arial"/>
                <w:color w:val="000000"/>
                <w:sz w:val="14"/>
                <w:szCs w:val="14"/>
              </w:rPr>
              <w:t>.</w:t>
            </w:r>
            <w:r w:rsidRPr="003003C0">
              <w:rPr>
                <w:rFonts w:cs="Arial"/>
                <w:color w:val="000000"/>
                <w:sz w:val="14"/>
                <w:szCs w:val="14"/>
              </w:rPr>
              <w:t>2</w:t>
            </w:r>
          </w:p>
        </w:tc>
        <w:tc>
          <w:tcPr>
            <w:tcW w:w="788" w:type="dxa"/>
            <w:noWrap/>
            <w:vAlign w:val="center"/>
            <w:hideMark/>
          </w:tcPr>
          <w:p w14:paraId="4E0A736A" w14:textId="77777777" w:rsidR="004F64EF" w:rsidRPr="003003C0" w:rsidRDefault="004F64EF" w:rsidP="00FD6B66">
            <w:pPr>
              <w:jc w:val="right"/>
              <w:rPr>
                <w:rFonts w:cs="Arial"/>
                <w:color w:val="000000"/>
                <w:sz w:val="14"/>
                <w:szCs w:val="14"/>
              </w:rPr>
            </w:pPr>
            <w:r w:rsidRPr="003003C0">
              <w:rPr>
                <w:rFonts w:cs="Arial"/>
                <w:color w:val="000000"/>
                <w:sz w:val="14"/>
                <w:szCs w:val="14"/>
              </w:rPr>
              <w:t>1</w:t>
            </w:r>
            <w:r>
              <w:rPr>
                <w:rFonts w:cs="Arial"/>
                <w:color w:val="000000"/>
                <w:sz w:val="14"/>
                <w:szCs w:val="14"/>
              </w:rPr>
              <w:t>.</w:t>
            </w:r>
            <w:r w:rsidRPr="003003C0">
              <w:rPr>
                <w:rFonts w:cs="Arial"/>
                <w:color w:val="000000"/>
                <w:sz w:val="14"/>
                <w:szCs w:val="14"/>
              </w:rPr>
              <w:t>0</w:t>
            </w:r>
          </w:p>
        </w:tc>
        <w:tc>
          <w:tcPr>
            <w:tcW w:w="787" w:type="dxa"/>
            <w:noWrap/>
            <w:vAlign w:val="center"/>
            <w:hideMark/>
          </w:tcPr>
          <w:p w14:paraId="01FA7FC1" w14:textId="77777777" w:rsidR="004F64EF" w:rsidRPr="003003C0" w:rsidRDefault="004F64EF" w:rsidP="00FD6B66">
            <w:pPr>
              <w:jc w:val="right"/>
              <w:rPr>
                <w:rFonts w:cs="Arial"/>
                <w:color w:val="000000"/>
                <w:sz w:val="14"/>
                <w:szCs w:val="14"/>
              </w:rPr>
            </w:pPr>
            <w:r w:rsidRPr="003003C0">
              <w:rPr>
                <w:rFonts w:cs="Arial"/>
                <w:color w:val="000000"/>
                <w:sz w:val="14"/>
                <w:szCs w:val="14"/>
              </w:rPr>
              <w:t>1</w:t>
            </w:r>
            <w:r>
              <w:rPr>
                <w:rFonts w:cs="Arial"/>
                <w:color w:val="000000"/>
                <w:sz w:val="14"/>
                <w:szCs w:val="14"/>
              </w:rPr>
              <w:t>.</w:t>
            </w:r>
            <w:r w:rsidRPr="003003C0">
              <w:rPr>
                <w:rFonts w:cs="Arial"/>
                <w:color w:val="000000"/>
                <w:sz w:val="14"/>
                <w:szCs w:val="14"/>
              </w:rPr>
              <w:t>1</w:t>
            </w:r>
          </w:p>
        </w:tc>
        <w:tc>
          <w:tcPr>
            <w:tcW w:w="787" w:type="dxa"/>
            <w:noWrap/>
            <w:vAlign w:val="center"/>
            <w:hideMark/>
          </w:tcPr>
          <w:p w14:paraId="0203C537" w14:textId="77777777" w:rsidR="004F64EF" w:rsidRPr="003003C0" w:rsidRDefault="004F64EF" w:rsidP="00FD6B66">
            <w:pPr>
              <w:jc w:val="right"/>
              <w:rPr>
                <w:rFonts w:cs="Arial"/>
                <w:color w:val="000000"/>
                <w:sz w:val="14"/>
                <w:szCs w:val="14"/>
              </w:rPr>
            </w:pPr>
            <w:r w:rsidRPr="003003C0">
              <w:rPr>
                <w:rFonts w:cs="Arial"/>
                <w:color w:val="000000"/>
                <w:sz w:val="14"/>
                <w:szCs w:val="14"/>
              </w:rPr>
              <w:t>1</w:t>
            </w:r>
            <w:r>
              <w:rPr>
                <w:rFonts w:cs="Arial"/>
                <w:color w:val="000000"/>
                <w:sz w:val="14"/>
                <w:szCs w:val="14"/>
              </w:rPr>
              <w:t>.</w:t>
            </w:r>
            <w:r w:rsidRPr="003003C0">
              <w:rPr>
                <w:rFonts w:cs="Arial"/>
                <w:color w:val="000000"/>
                <w:sz w:val="14"/>
                <w:szCs w:val="14"/>
              </w:rPr>
              <w:t>2</w:t>
            </w:r>
          </w:p>
        </w:tc>
        <w:tc>
          <w:tcPr>
            <w:tcW w:w="788" w:type="dxa"/>
            <w:noWrap/>
            <w:vAlign w:val="center"/>
            <w:hideMark/>
          </w:tcPr>
          <w:p w14:paraId="65B18800" w14:textId="77777777" w:rsidR="004F64EF" w:rsidRPr="003003C0" w:rsidRDefault="004F64EF" w:rsidP="00FD6B66">
            <w:pPr>
              <w:jc w:val="right"/>
              <w:rPr>
                <w:rFonts w:cs="Arial"/>
                <w:color w:val="000000"/>
                <w:sz w:val="14"/>
                <w:szCs w:val="14"/>
              </w:rPr>
            </w:pPr>
            <w:r w:rsidRPr="003003C0">
              <w:rPr>
                <w:rFonts w:cs="Arial"/>
                <w:color w:val="000000"/>
                <w:sz w:val="14"/>
                <w:szCs w:val="14"/>
              </w:rPr>
              <w:t>1</w:t>
            </w:r>
            <w:r>
              <w:rPr>
                <w:rFonts w:cs="Arial"/>
                <w:color w:val="000000"/>
                <w:sz w:val="14"/>
                <w:szCs w:val="14"/>
              </w:rPr>
              <w:t>.</w:t>
            </w:r>
            <w:r w:rsidRPr="003003C0">
              <w:rPr>
                <w:rFonts w:cs="Arial"/>
                <w:color w:val="000000"/>
                <w:sz w:val="14"/>
                <w:szCs w:val="14"/>
              </w:rPr>
              <w:t>1</w:t>
            </w:r>
          </w:p>
        </w:tc>
      </w:tr>
      <w:tr w:rsidR="004F64EF" w:rsidRPr="003003C0" w14:paraId="16FE7BE3" w14:textId="77777777" w:rsidTr="00FD6B66">
        <w:trPr>
          <w:trHeight w:val="20"/>
        </w:trPr>
        <w:tc>
          <w:tcPr>
            <w:tcW w:w="3505" w:type="dxa"/>
            <w:noWrap/>
            <w:vAlign w:val="center"/>
            <w:hideMark/>
          </w:tcPr>
          <w:p w14:paraId="3D9C41F0" w14:textId="77777777" w:rsidR="004F64EF" w:rsidRPr="003003C0" w:rsidRDefault="004F64EF" w:rsidP="00FD6B66">
            <w:pPr>
              <w:tabs>
                <w:tab w:val="left" w:pos="510"/>
              </w:tabs>
              <w:jc w:val="left"/>
              <w:rPr>
                <w:rFonts w:cs="Arial"/>
                <w:color w:val="000000"/>
                <w:sz w:val="14"/>
                <w:szCs w:val="14"/>
              </w:rPr>
            </w:pPr>
            <w:r w:rsidRPr="003003C0">
              <w:rPr>
                <w:rFonts w:cs="Arial"/>
                <w:color w:val="000000"/>
                <w:sz w:val="14"/>
                <w:szCs w:val="14"/>
              </w:rPr>
              <w:tab/>
              <w:t>Guatemala</w:t>
            </w:r>
          </w:p>
        </w:tc>
        <w:tc>
          <w:tcPr>
            <w:tcW w:w="787" w:type="dxa"/>
            <w:noWrap/>
            <w:vAlign w:val="center"/>
            <w:hideMark/>
          </w:tcPr>
          <w:p w14:paraId="2E9A6ABB" w14:textId="77777777" w:rsidR="004F64EF" w:rsidRPr="003003C0" w:rsidRDefault="004F64EF" w:rsidP="00FD6B66">
            <w:pPr>
              <w:jc w:val="right"/>
              <w:rPr>
                <w:rFonts w:cs="Arial"/>
                <w:color w:val="000000"/>
                <w:sz w:val="14"/>
                <w:szCs w:val="14"/>
              </w:rPr>
            </w:pPr>
            <w:r w:rsidRPr="003003C0">
              <w:rPr>
                <w:rFonts w:cs="Arial"/>
                <w:color w:val="000000"/>
                <w:sz w:val="14"/>
                <w:szCs w:val="14"/>
              </w:rPr>
              <w:t>1</w:t>
            </w:r>
            <w:r>
              <w:rPr>
                <w:rFonts w:cs="Arial"/>
                <w:color w:val="000000"/>
                <w:sz w:val="14"/>
                <w:szCs w:val="14"/>
              </w:rPr>
              <w:t>.</w:t>
            </w:r>
            <w:r w:rsidRPr="003003C0">
              <w:rPr>
                <w:rFonts w:cs="Arial"/>
                <w:color w:val="000000"/>
                <w:sz w:val="14"/>
                <w:szCs w:val="14"/>
              </w:rPr>
              <w:t>0</w:t>
            </w:r>
          </w:p>
        </w:tc>
        <w:tc>
          <w:tcPr>
            <w:tcW w:w="787" w:type="dxa"/>
            <w:noWrap/>
            <w:vAlign w:val="center"/>
            <w:hideMark/>
          </w:tcPr>
          <w:p w14:paraId="74FD59E7"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9</w:t>
            </w:r>
          </w:p>
        </w:tc>
        <w:tc>
          <w:tcPr>
            <w:tcW w:w="787" w:type="dxa"/>
            <w:noWrap/>
            <w:vAlign w:val="center"/>
            <w:hideMark/>
          </w:tcPr>
          <w:p w14:paraId="366EE82F" w14:textId="77777777" w:rsidR="004F64EF" w:rsidRPr="003003C0" w:rsidRDefault="004F64EF" w:rsidP="00FD6B66">
            <w:pPr>
              <w:jc w:val="right"/>
              <w:rPr>
                <w:rFonts w:cs="Arial"/>
                <w:color w:val="000000"/>
                <w:sz w:val="14"/>
                <w:szCs w:val="14"/>
              </w:rPr>
            </w:pPr>
            <w:r w:rsidRPr="003003C0">
              <w:rPr>
                <w:rFonts w:cs="Arial"/>
                <w:color w:val="000000"/>
                <w:sz w:val="14"/>
                <w:szCs w:val="14"/>
              </w:rPr>
              <w:t>1</w:t>
            </w:r>
            <w:r>
              <w:rPr>
                <w:rFonts w:cs="Arial"/>
                <w:color w:val="000000"/>
                <w:sz w:val="14"/>
                <w:szCs w:val="14"/>
              </w:rPr>
              <w:t>.</w:t>
            </w:r>
            <w:r w:rsidRPr="003003C0">
              <w:rPr>
                <w:rFonts w:cs="Arial"/>
                <w:color w:val="000000"/>
                <w:sz w:val="14"/>
                <w:szCs w:val="14"/>
              </w:rPr>
              <w:t>0</w:t>
            </w:r>
          </w:p>
        </w:tc>
        <w:tc>
          <w:tcPr>
            <w:tcW w:w="788" w:type="dxa"/>
            <w:noWrap/>
            <w:vAlign w:val="center"/>
            <w:hideMark/>
          </w:tcPr>
          <w:p w14:paraId="57CE10E4"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8</w:t>
            </w:r>
          </w:p>
        </w:tc>
        <w:tc>
          <w:tcPr>
            <w:tcW w:w="787" w:type="dxa"/>
            <w:noWrap/>
            <w:vAlign w:val="center"/>
            <w:hideMark/>
          </w:tcPr>
          <w:p w14:paraId="176ACF0D"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8</w:t>
            </w:r>
          </w:p>
        </w:tc>
        <w:tc>
          <w:tcPr>
            <w:tcW w:w="787" w:type="dxa"/>
            <w:noWrap/>
            <w:vAlign w:val="center"/>
            <w:hideMark/>
          </w:tcPr>
          <w:p w14:paraId="7795DF7D"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9</w:t>
            </w:r>
          </w:p>
        </w:tc>
        <w:tc>
          <w:tcPr>
            <w:tcW w:w="788" w:type="dxa"/>
            <w:noWrap/>
            <w:vAlign w:val="center"/>
            <w:hideMark/>
          </w:tcPr>
          <w:p w14:paraId="4BABC056"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8</w:t>
            </w:r>
          </w:p>
        </w:tc>
      </w:tr>
      <w:tr w:rsidR="004F64EF" w:rsidRPr="003003C0" w14:paraId="2830EFB2" w14:textId="77777777" w:rsidTr="00FD6B66">
        <w:trPr>
          <w:cnfStyle w:val="000000010000" w:firstRow="0" w:lastRow="0" w:firstColumn="0" w:lastColumn="0" w:oddVBand="0" w:evenVBand="0" w:oddHBand="0" w:evenHBand="1" w:firstRowFirstColumn="0" w:firstRowLastColumn="0" w:lastRowFirstColumn="0" w:lastRowLastColumn="0"/>
          <w:trHeight w:val="20"/>
        </w:trPr>
        <w:tc>
          <w:tcPr>
            <w:tcW w:w="3505" w:type="dxa"/>
            <w:noWrap/>
            <w:vAlign w:val="center"/>
            <w:hideMark/>
          </w:tcPr>
          <w:p w14:paraId="3BE3625F" w14:textId="77777777" w:rsidR="004F64EF" w:rsidRPr="003003C0" w:rsidRDefault="004F64EF" w:rsidP="00FD6B66">
            <w:pPr>
              <w:tabs>
                <w:tab w:val="left" w:pos="510"/>
              </w:tabs>
              <w:jc w:val="left"/>
              <w:rPr>
                <w:rFonts w:cs="Arial"/>
                <w:color w:val="000000"/>
                <w:sz w:val="14"/>
                <w:szCs w:val="14"/>
              </w:rPr>
            </w:pPr>
            <w:r w:rsidRPr="003003C0">
              <w:rPr>
                <w:rFonts w:cs="Arial"/>
                <w:color w:val="000000"/>
                <w:sz w:val="14"/>
                <w:szCs w:val="14"/>
              </w:rPr>
              <w:tab/>
              <w:t>Dominican</w:t>
            </w:r>
            <w:r>
              <w:rPr>
                <w:rFonts w:cs="Arial"/>
                <w:color w:val="000000"/>
                <w:sz w:val="14"/>
                <w:szCs w:val="14"/>
              </w:rPr>
              <w:t xml:space="preserve"> Republic</w:t>
            </w:r>
          </w:p>
        </w:tc>
        <w:tc>
          <w:tcPr>
            <w:tcW w:w="787" w:type="dxa"/>
            <w:noWrap/>
            <w:vAlign w:val="center"/>
            <w:hideMark/>
          </w:tcPr>
          <w:p w14:paraId="1D41A51D"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0</w:t>
            </w:r>
          </w:p>
        </w:tc>
        <w:tc>
          <w:tcPr>
            <w:tcW w:w="787" w:type="dxa"/>
            <w:noWrap/>
            <w:vAlign w:val="center"/>
            <w:hideMark/>
          </w:tcPr>
          <w:p w14:paraId="7A6811C3"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0</w:t>
            </w:r>
          </w:p>
        </w:tc>
        <w:tc>
          <w:tcPr>
            <w:tcW w:w="787" w:type="dxa"/>
            <w:noWrap/>
            <w:vAlign w:val="center"/>
            <w:hideMark/>
          </w:tcPr>
          <w:p w14:paraId="057E69F1"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7</w:t>
            </w:r>
          </w:p>
        </w:tc>
        <w:tc>
          <w:tcPr>
            <w:tcW w:w="788" w:type="dxa"/>
            <w:noWrap/>
            <w:vAlign w:val="center"/>
            <w:hideMark/>
          </w:tcPr>
          <w:p w14:paraId="5DB2FF04"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1</w:t>
            </w:r>
          </w:p>
        </w:tc>
        <w:tc>
          <w:tcPr>
            <w:tcW w:w="787" w:type="dxa"/>
            <w:noWrap/>
            <w:vAlign w:val="center"/>
            <w:hideMark/>
          </w:tcPr>
          <w:p w14:paraId="36EE2CB2"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0</w:t>
            </w:r>
          </w:p>
        </w:tc>
        <w:tc>
          <w:tcPr>
            <w:tcW w:w="787" w:type="dxa"/>
            <w:noWrap/>
            <w:vAlign w:val="center"/>
            <w:hideMark/>
          </w:tcPr>
          <w:p w14:paraId="6A35863F"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1</w:t>
            </w:r>
          </w:p>
        </w:tc>
        <w:tc>
          <w:tcPr>
            <w:tcW w:w="788" w:type="dxa"/>
            <w:noWrap/>
            <w:vAlign w:val="center"/>
            <w:hideMark/>
          </w:tcPr>
          <w:p w14:paraId="226C1A12"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7</w:t>
            </w:r>
          </w:p>
        </w:tc>
      </w:tr>
      <w:tr w:rsidR="004F64EF" w:rsidRPr="003003C0" w14:paraId="3BCB5504" w14:textId="77777777" w:rsidTr="00FD6B66">
        <w:trPr>
          <w:trHeight w:val="20"/>
        </w:trPr>
        <w:tc>
          <w:tcPr>
            <w:tcW w:w="3505" w:type="dxa"/>
            <w:noWrap/>
            <w:vAlign w:val="center"/>
            <w:hideMark/>
          </w:tcPr>
          <w:p w14:paraId="78683A41" w14:textId="77777777" w:rsidR="004F64EF" w:rsidRPr="003003C0" w:rsidRDefault="004F64EF" w:rsidP="00FD6B66">
            <w:pPr>
              <w:tabs>
                <w:tab w:val="left" w:pos="510"/>
              </w:tabs>
              <w:jc w:val="left"/>
              <w:rPr>
                <w:rFonts w:cs="Arial"/>
                <w:color w:val="000000"/>
                <w:sz w:val="14"/>
                <w:szCs w:val="14"/>
              </w:rPr>
            </w:pPr>
            <w:r w:rsidRPr="003003C0">
              <w:rPr>
                <w:rFonts w:cs="Arial"/>
                <w:color w:val="000000"/>
                <w:sz w:val="14"/>
                <w:szCs w:val="14"/>
              </w:rPr>
              <w:tab/>
              <w:t>Honduras</w:t>
            </w:r>
          </w:p>
        </w:tc>
        <w:tc>
          <w:tcPr>
            <w:tcW w:w="787" w:type="dxa"/>
            <w:noWrap/>
            <w:vAlign w:val="center"/>
            <w:hideMark/>
          </w:tcPr>
          <w:p w14:paraId="518FD177"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6</w:t>
            </w:r>
          </w:p>
        </w:tc>
        <w:tc>
          <w:tcPr>
            <w:tcW w:w="787" w:type="dxa"/>
            <w:noWrap/>
            <w:vAlign w:val="center"/>
            <w:hideMark/>
          </w:tcPr>
          <w:p w14:paraId="156393D5"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4</w:t>
            </w:r>
          </w:p>
        </w:tc>
        <w:tc>
          <w:tcPr>
            <w:tcW w:w="787" w:type="dxa"/>
            <w:noWrap/>
            <w:vAlign w:val="center"/>
            <w:hideMark/>
          </w:tcPr>
          <w:p w14:paraId="282AFE70"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4</w:t>
            </w:r>
          </w:p>
        </w:tc>
        <w:tc>
          <w:tcPr>
            <w:tcW w:w="788" w:type="dxa"/>
            <w:noWrap/>
            <w:vAlign w:val="center"/>
            <w:hideMark/>
          </w:tcPr>
          <w:p w14:paraId="146FE109"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4</w:t>
            </w:r>
          </w:p>
        </w:tc>
        <w:tc>
          <w:tcPr>
            <w:tcW w:w="787" w:type="dxa"/>
            <w:noWrap/>
            <w:vAlign w:val="center"/>
            <w:hideMark/>
          </w:tcPr>
          <w:p w14:paraId="2318E1A6"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4</w:t>
            </w:r>
          </w:p>
        </w:tc>
        <w:tc>
          <w:tcPr>
            <w:tcW w:w="787" w:type="dxa"/>
            <w:noWrap/>
            <w:vAlign w:val="center"/>
            <w:hideMark/>
          </w:tcPr>
          <w:p w14:paraId="0C956CCF"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6</w:t>
            </w:r>
          </w:p>
        </w:tc>
        <w:tc>
          <w:tcPr>
            <w:tcW w:w="788" w:type="dxa"/>
            <w:noWrap/>
            <w:vAlign w:val="center"/>
            <w:hideMark/>
          </w:tcPr>
          <w:p w14:paraId="5B7BE9F5"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6</w:t>
            </w:r>
          </w:p>
        </w:tc>
      </w:tr>
      <w:tr w:rsidR="004F64EF" w:rsidRPr="003003C0" w14:paraId="6A694110" w14:textId="77777777" w:rsidTr="00FD6B66">
        <w:trPr>
          <w:cnfStyle w:val="000000010000" w:firstRow="0" w:lastRow="0" w:firstColumn="0" w:lastColumn="0" w:oddVBand="0" w:evenVBand="0" w:oddHBand="0" w:evenHBand="1" w:firstRowFirstColumn="0" w:firstRowLastColumn="0" w:lastRowFirstColumn="0" w:lastRowLastColumn="0"/>
          <w:trHeight w:val="20"/>
        </w:trPr>
        <w:tc>
          <w:tcPr>
            <w:tcW w:w="3505" w:type="dxa"/>
            <w:noWrap/>
            <w:vAlign w:val="center"/>
            <w:hideMark/>
          </w:tcPr>
          <w:p w14:paraId="02893B58" w14:textId="77777777" w:rsidR="004F64EF" w:rsidRPr="003003C0" w:rsidRDefault="004F64EF" w:rsidP="00FD6B66">
            <w:pPr>
              <w:tabs>
                <w:tab w:val="left" w:pos="510"/>
              </w:tabs>
              <w:jc w:val="left"/>
              <w:rPr>
                <w:rFonts w:cs="Arial"/>
                <w:color w:val="000000"/>
                <w:sz w:val="14"/>
                <w:szCs w:val="14"/>
              </w:rPr>
            </w:pPr>
            <w:r w:rsidRPr="003003C0">
              <w:rPr>
                <w:rFonts w:cs="Arial"/>
                <w:color w:val="000000"/>
                <w:sz w:val="14"/>
                <w:szCs w:val="14"/>
              </w:rPr>
              <w:tab/>
              <w:t>Per</w:t>
            </w:r>
            <w:r>
              <w:rPr>
                <w:rFonts w:cs="Arial"/>
                <w:color w:val="000000"/>
                <w:sz w:val="14"/>
                <w:szCs w:val="14"/>
              </w:rPr>
              <w:t>u</w:t>
            </w:r>
          </w:p>
        </w:tc>
        <w:tc>
          <w:tcPr>
            <w:tcW w:w="787" w:type="dxa"/>
            <w:noWrap/>
            <w:vAlign w:val="center"/>
            <w:hideMark/>
          </w:tcPr>
          <w:p w14:paraId="65B65DFB"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5</w:t>
            </w:r>
          </w:p>
        </w:tc>
        <w:tc>
          <w:tcPr>
            <w:tcW w:w="787" w:type="dxa"/>
            <w:noWrap/>
            <w:vAlign w:val="center"/>
            <w:hideMark/>
          </w:tcPr>
          <w:p w14:paraId="20405D2D"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4</w:t>
            </w:r>
          </w:p>
        </w:tc>
        <w:tc>
          <w:tcPr>
            <w:tcW w:w="787" w:type="dxa"/>
            <w:noWrap/>
            <w:vAlign w:val="center"/>
            <w:hideMark/>
          </w:tcPr>
          <w:p w14:paraId="60433C8C"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4</w:t>
            </w:r>
          </w:p>
        </w:tc>
        <w:tc>
          <w:tcPr>
            <w:tcW w:w="788" w:type="dxa"/>
            <w:noWrap/>
            <w:vAlign w:val="center"/>
            <w:hideMark/>
          </w:tcPr>
          <w:p w14:paraId="0E769F5A"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4</w:t>
            </w:r>
          </w:p>
        </w:tc>
        <w:tc>
          <w:tcPr>
            <w:tcW w:w="787" w:type="dxa"/>
            <w:noWrap/>
            <w:vAlign w:val="center"/>
            <w:hideMark/>
          </w:tcPr>
          <w:p w14:paraId="77CC0706"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4</w:t>
            </w:r>
          </w:p>
        </w:tc>
        <w:tc>
          <w:tcPr>
            <w:tcW w:w="787" w:type="dxa"/>
            <w:noWrap/>
            <w:vAlign w:val="center"/>
            <w:hideMark/>
          </w:tcPr>
          <w:p w14:paraId="69366E62"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4</w:t>
            </w:r>
          </w:p>
        </w:tc>
        <w:tc>
          <w:tcPr>
            <w:tcW w:w="788" w:type="dxa"/>
            <w:noWrap/>
            <w:vAlign w:val="center"/>
            <w:hideMark/>
          </w:tcPr>
          <w:p w14:paraId="68359385"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5</w:t>
            </w:r>
          </w:p>
        </w:tc>
      </w:tr>
      <w:tr w:rsidR="004F64EF" w:rsidRPr="003003C0" w14:paraId="1512ADA1" w14:textId="77777777" w:rsidTr="00FD6B66">
        <w:trPr>
          <w:trHeight w:val="20"/>
        </w:trPr>
        <w:tc>
          <w:tcPr>
            <w:tcW w:w="3505" w:type="dxa"/>
            <w:noWrap/>
            <w:vAlign w:val="center"/>
            <w:hideMark/>
          </w:tcPr>
          <w:p w14:paraId="62F1E44B" w14:textId="77777777" w:rsidR="004F64EF" w:rsidRPr="003003C0" w:rsidRDefault="004F64EF" w:rsidP="00FD6B66">
            <w:pPr>
              <w:tabs>
                <w:tab w:val="left" w:pos="510"/>
              </w:tabs>
              <w:jc w:val="left"/>
              <w:rPr>
                <w:rFonts w:cs="Arial"/>
                <w:color w:val="000000"/>
                <w:sz w:val="14"/>
                <w:szCs w:val="14"/>
              </w:rPr>
            </w:pPr>
            <w:r w:rsidRPr="003003C0">
              <w:rPr>
                <w:rFonts w:cs="Arial"/>
                <w:color w:val="000000"/>
                <w:sz w:val="14"/>
                <w:szCs w:val="14"/>
              </w:rPr>
              <w:tab/>
              <w:t>El Salvador</w:t>
            </w:r>
          </w:p>
        </w:tc>
        <w:tc>
          <w:tcPr>
            <w:tcW w:w="787" w:type="dxa"/>
            <w:noWrap/>
            <w:vAlign w:val="center"/>
            <w:hideMark/>
          </w:tcPr>
          <w:p w14:paraId="74CFF725"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5</w:t>
            </w:r>
          </w:p>
        </w:tc>
        <w:tc>
          <w:tcPr>
            <w:tcW w:w="787" w:type="dxa"/>
            <w:noWrap/>
            <w:vAlign w:val="center"/>
            <w:hideMark/>
          </w:tcPr>
          <w:p w14:paraId="694947D7"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5</w:t>
            </w:r>
          </w:p>
        </w:tc>
        <w:tc>
          <w:tcPr>
            <w:tcW w:w="787" w:type="dxa"/>
            <w:noWrap/>
            <w:vAlign w:val="center"/>
            <w:hideMark/>
          </w:tcPr>
          <w:p w14:paraId="3B55F79F"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5</w:t>
            </w:r>
          </w:p>
        </w:tc>
        <w:tc>
          <w:tcPr>
            <w:tcW w:w="788" w:type="dxa"/>
            <w:noWrap/>
            <w:vAlign w:val="center"/>
            <w:hideMark/>
          </w:tcPr>
          <w:p w14:paraId="6C09538B"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5</w:t>
            </w:r>
          </w:p>
        </w:tc>
        <w:tc>
          <w:tcPr>
            <w:tcW w:w="787" w:type="dxa"/>
            <w:noWrap/>
            <w:vAlign w:val="center"/>
            <w:hideMark/>
          </w:tcPr>
          <w:p w14:paraId="3CD6F1F5"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6</w:t>
            </w:r>
          </w:p>
        </w:tc>
        <w:tc>
          <w:tcPr>
            <w:tcW w:w="787" w:type="dxa"/>
            <w:noWrap/>
            <w:vAlign w:val="center"/>
            <w:hideMark/>
          </w:tcPr>
          <w:p w14:paraId="1D0D2497"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6</w:t>
            </w:r>
          </w:p>
        </w:tc>
        <w:tc>
          <w:tcPr>
            <w:tcW w:w="788" w:type="dxa"/>
            <w:noWrap/>
            <w:vAlign w:val="center"/>
            <w:hideMark/>
          </w:tcPr>
          <w:p w14:paraId="1C416D81"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5</w:t>
            </w:r>
          </w:p>
        </w:tc>
      </w:tr>
      <w:tr w:rsidR="004F64EF" w:rsidRPr="003003C0" w14:paraId="566F997E" w14:textId="77777777" w:rsidTr="00FD6B66">
        <w:trPr>
          <w:cnfStyle w:val="000000010000" w:firstRow="0" w:lastRow="0" w:firstColumn="0" w:lastColumn="0" w:oddVBand="0" w:evenVBand="0" w:oddHBand="0" w:evenHBand="1" w:firstRowFirstColumn="0" w:firstRowLastColumn="0" w:lastRowFirstColumn="0" w:lastRowLastColumn="0"/>
          <w:trHeight w:val="20"/>
        </w:trPr>
        <w:tc>
          <w:tcPr>
            <w:tcW w:w="3505" w:type="dxa"/>
            <w:noWrap/>
            <w:vAlign w:val="center"/>
            <w:hideMark/>
          </w:tcPr>
          <w:p w14:paraId="089BC312" w14:textId="77777777" w:rsidR="004F64EF" w:rsidRPr="003003C0" w:rsidRDefault="004F64EF" w:rsidP="00FD6B66">
            <w:pPr>
              <w:tabs>
                <w:tab w:val="left" w:pos="510"/>
              </w:tabs>
              <w:jc w:val="left"/>
              <w:rPr>
                <w:rFonts w:cs="Arial"/>
                <w:color w:val="000000"/>
                <w:sz w:val="14"/>
                <w:szCs w:val="14"/>
              </w:rPr>
            </w:pPr>
            <w:r w:rsidRPr="003003C0">
              <w:rPr>
                <w:rFonts w:cs="Arial"/>
                <w:color w:val="000000"/>
                <w:sz w:val="14"/>
                <w:szCs w:val="14"/>
              </w:rPr>
              <w:tab/>
              <w:t>Ecuador</w:t>
            </w:r>
          </w:p>
        </w:tc>
        <w:tc>
          <w:tcPr>
            <w:tcW w:w="787" w:type="dxa"/>
            <w:noWrap/>
            <w:vAlign w:val="center"/>
            <w:hideMark/>
          </w:tcPr>
          <w:p w14:paraId="5A974B40"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4</w:t>
            </w:r>
          </w:p>
        </w:tc>
        <w:tc>
          <w:tcPr>
            <w:tcW w:w="787" w:type="dxa"/>
            <w:noWrap/>
            <w:vAlign w:val="center"/>
            <w:hideMark/>
          </w:tcPr>
          <w:p w14:paraId="792EBB8D"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4</w:t>
            </w:r>
          </w:p>
        </w:tc>
        <w:tc>
          <w:tcPr>
            <w:tcW w:w="787" w:type="dxa"/>
            <w:noWrap/>
            <w:vAlign w:val="center"/>
            <w:hideMark/>
          </w:tcPr>
          <w:p w14:paraId="10DE003E"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4</w:t>
            </w:r>
          </w:p>
        </w:tc>
        <w:tc>
          <w:tcPr>
            <w:tcW w:w="788" w:type="dxa"/>
            <w:noWrap/>
            <w:vAlign w:val="center"/>
            <w:hideMark/>
          </w:tcPr>
          <w:p w14:paraId="2FBC1348"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4</w:t>
            </w:r>
          </w:p>
        </w:tc>
        <w:tc>
          <w:tcPr>
            <w:tcW w:w="787" w:type="dxa"/>
            <w:noWrap/>
            <w:vAlign w:val="center"/>
            <w:hideMark/>
          </w:tcPr>
          <w:p w14:paraId="5D3C72F1"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4</w:t>
            </w:r>
          </w:p>
        </w:tc>
        <w:tc>
          <w:tcPr>
            <w:tcW w:w="787" w:type="dxa"/>
            <w:noWrap/>
            <w:vAlign w:val="center"/>
            <w:hideMark/>
          </w:tcPr>
          <w:p w14:paraId="731273D2"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6</w:t>
            </w:r>
          </w:p>
        </w:tc>
        <w:tc>
          <w:tcPr>
            <w:tcW w:w="788" w:type="dxa"/>
            <w:noWrap/>
            <w:vAlign w:val="center"/>
            <w:hideMark/>
          </w:tcPr>
          <w:p w14:paraId="25F22B30"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5</w:t>
            </w:r>
          </w:p>
        </w:tc>
      </w:tr>
      <w:tr w:rsidR="004F64EF" w:rsidRPr="003003C0" w14:paraId="24B8B6DB" w14:textId="77777777" w:rsidTr="00FD6B66">
        <w:trPr>
          <w:trHeight w:val="20"/>
        </w:trPr>
        <w:tc>
          <w:tcPr>
            <w:tcW w:w="3505" w:type="dxa"/>
            <w:noWrap/>
            <w:vAlign w:val="center"/>
            <w:hideMark/>
          </w:tcPr>
          <w:p w14:paraId="12605470" w14:textId="77777777" w:rsidR="004F64EF" w:rsidRPr="003003C0" w:rsidRDefault="004F64EF" w:rsidP="00FD6B66">
            <w:pPr>
              <w:tabs>
                <w:tab w:val="left" w:pos="510"/>
              </w:tabs>
              <w:jc w:val="left"/>
              <w:rPr>
                <w:rFonts w:cs="Arial"/>
                <w:color w:val="000000"/>
                <w:sz w:val="14"/>
                <w:szCs w:val="14"/>
              </w:rPr>
            </w:pPr>
            <w:r w:rsidRPr="003003C0">
              <w:rPr>
                <w:rFonts w:cs="Arial"/>
                <w:color w:val="000000"/>
                <w:sz w:val="14"/>
                <w:szCs w:val="14"/>
              </w:rPr>
              <w:tab/>
              <w:t xml:space="preserve">Trinidad </w:t>
            </w:r>
            <w:r>
              <w:rPr>
                <w:rFonts w:cs="Arial"/>
                <w:sz w:val="14"/>
                <w:szCs w:val="14"/>
              </w:rPr>
              <w:t>and</w:t>
            </w:r>
            <w:r w:rsidRPr="003003C0">
              <w:rPr>
                <w:rFonts w:cs="Arial"/>
                <w:sz w:val="14"/>
                <w:szCs w:val="14"/>
              </w:rPr>
              <w:t xml:space="preserve"> T</w:t>
            </w:r>
            <w:r>
              <w:rPr>
                <w:rFonts w:cs="Arial"/>
                <w:sz w:val="14"/>
                <w:szCs w:val="14"/>
              </w:rPr>
              <w:t>o</w:t>
            </w:r>
            <w:r w:rsidRPr="003003C0">
              <w:rPr>
                <w:rFonts w:cs="Arial"/>
                <w:sz w:val="14"/>
                <w:szCs w:val="14"/>
              </w:rPr>
              <w:t>bago</w:t>
            </w:r>
          </w:p>
        </w:tc>
        <w:tc>
          <w:tcPr>
            <w:tcW w:w="787" w:type="dxa"/>
            <w:noWrap/>
            <w:vAlign w:val="center"/>
            <w:hideMark/>
          </w:tcPr>
          <w:p w14:paraId="1494021D" w14:textId="77777777" w:rsidR="004F64EF" w:rsidRPr="003003C0" w:rsidRDefault="004F64EF" w:rsidP="00FD6B66">
            <w:pPr>
              <w:jc w:val="right"/>
              <w:rPr>
                <w:rFonts w:cs="Arial"/>
                <w:color w:val="000000"/>
                <w:sz w:val="14"/>
                <w:szCs w:val="14"/>
              </w:rPr>
            </w:pPr>
            <w:r w:rsidRPr="003003C0">
              <w:rPr>
                <w:rFonts w:cs="Arial"/>
                <w:color w:val="000000"/>
                <w:sz w:val="14"/>
                <w:szCs w:val="14"/>
              </w:rPr>
              <w:t>1</w:t>
            </w:r>
            <w:r>
              <w:rPr>
                <w:rFonts w:cs="Arial"/>
                <w:color w:val="000000"/>
                <w:sz w:val="14"/>
                <w:szCs w:val="14"/>
              </w:rPr>
              <w:t>.</w:t>
            </w:r>
            <w:r w:rsidRPr="003003C0">
              <w:rPr>
                <w:rFonts w:cs="Arial"/>
                <w:color w:val="000000"/>
                <w:sz w:val="14"/>
                <w:szCs w:val="14"/>
              </w:rPr>
              <w:t>8</w:t>
            </w:r>
          </w:p>
        </w:tc>
        <w:tc>
          <w:tcPr>
            <w:tcW w:w="787" w:type="dxa"/>
            <w:noWrap/>
            <w:vAlign w:val="center"/>
            <w:hideMark/>
          </w:tcPr>
          <w:p w14:paraId="0D21D992" w14:textId="77777777" w:rsidR="004F64EF" w:rsidRPr="003003C0" w:rsidRDefault="004F64EF" w:rsidP="00FD6B66">
            <w:pPr>
              <w:jc w:val="right"/>
              <w:rPr>
                <w:rFonts w:cs="Arial"/>
                <w:color w:val="000000"/>
                <w:sz w:val="14"/>
                <w:szCs w:val="14"/>
              </w:rPr>
            </w:pPr>
            <w:r w:rsidRPr="003003C0">
              <w:rPr>
                <w:rFonts w:cs="Arial"/>
                <w:color w:val="000000"/>
                <w:sz w:val="14"/>
                <w:szCs w:val="14"/>
              </w:rPr>
              <w:t>1</w:t>
            </w:r>
            <w:r>
              <w:rPr>
                <w:rFonts w:cs="Arial"/>
                <w:color w:val="000000"/>
                <w:sz w:val="14"/>
                <w:szCs w:val="14"/>
              </w:rPr>
              <w:t>.</w:t>
            </w:r>
            <w:r w:rsidRPr="003003C0">
              <w:rPr>
                <w:rFonts w:cs="Arial"/>
                <w:color w:val="000000"/>
                <w:sz w:val="14"/>
                <w:szCs w:val="14"/>
              </w:rPr>
              <w:t>7</w:t>
            </w:r>
          </w:p>
        </w:tc>
        <w:tc>
          <w:tcPr>
            <w:tcW w:w="787" w:type="dxa"/>
            <w:noWrap/>
            <w:vAlign w:val="center"/>
            <w:hideMark/>
          </w:tcPr>
          <w:p w14:paraId="66A47101" w14:textId="77777777" w:rsidR="004F64EF" w:rsidRPr="003003C0" w:rsidRDefault="004F64EF" w:rsidP="00FD6B66">
            <w:pPr>
              <w:jc w:val="right"/>
              <w:rPr>
                <w:rFonts w:cs="Arial"/>
                <w:color w:val="000000"/>
                <w:sz w:val="14"/>
                <w:szCs w:val="14"/>
              </w:rPr>
            </w:pPr>
            <w:r w:rsidRPr="003003C0">
              <w:rPr>
                <w:rFonts w:cs="Arial"/>
                <w:color w:val="000000"/>
                <w:sz w:val="14"/>
                <w:szCs w:val="14"/>
              </w:rPr>
              <w:t>2</w:t>
            </w:r>
            <w:r>
              <w:rPr>
                <w:rFonts w:cs="Arial"/>
                <w:color w:val="000000"/>
                <w:sz w:val="14"/>
                <w:szCs w:val="14"/>
              </w:rPr>
              <w:t>.</w:t>
            </w:r>
            <w:r w:rsidRPr="003003C0">
              <w:rPr>
                <w:rFonts w:cs="Arial"/>
                <w:color w:val="000000"/>
                <w:sz w:val="14"/>
                <w:szCs w:val="14"/>
              </w:rPr>
              <w:t>3</w:t>
            </w:r>
          </w:p>
        </w:tc>
        <w:tc>
          <w:tcPr>
            <w:tcW w:w="788" w:type="dxa"/>
            <w:noWrap/>
            <w:vAlign w:val="center"/>
            <w:hideMark/>
          </w:tcPr>
          <w:p w14:paraId="4D9031B1" w14:textId="77777777" w:rsidR="004F64EF" w:rsidRPr="003003C0" w:rsidRDefault="004F64EF" w:rsidP="00FD6B66">
            <w:pPr>
              <w:jc w:val="right"/>
              <w:rPr>
                <w:rFonts w:cs="Arial"/>
                <w:color w:val="000000"/>
                <w:sz w:val="14"/>
                <w:szCs w:val="14"/>
              </w:rPr>
            </w:pPr>
            <w:r w:rsidRPr="003003C0">
              <w:rPr>
                <w:rFonts w:cs="Arial"/>
                <w:color w:val="000000"/>
                <w:sz w:val="14"/>
                <w:szCs w:val="14"/>
              </w:rPr>
              <w:t>1</w:t>
            </w:r>
            <w:r>
              <w:rPr>
                <w:rFonts w:cs="Arial"/>
                <w:color w:val="000000"/>
                <w:sz w:val="14"/>
                <w:szCs w:val="14"/>
              </w:rPr>
              <w:t>.</w:t>
            </w:r>
            <w:r w:rsidRPr="003003C0">
              <w:rPr>
                <w:rFonts w:cs="Arial"/>
                <w:color w:val="000000"/>
                <w:sz w:val="14"/>
                <w:szCs w:val="14"/>
              </w:rPr>
              <w:t>6</w:t>
            </w:r>
          </w:p>
        </w:tc>
        <w:tc>
          <w:tcPr>
            <w:tcW w:w="787" w:type="dxa"/>
            <w:noWrap/>
            <w:vAlign w:val="center"/>
            <w:hideMark/>
          </w:tcPr>
          <w:p w14:paraId="2FCF3695" w14:textId="77777777" w:rsidR="004F64EF" w:rsidRPr="003003C0" w:rsidRDefault="004F64EF" w:rsidP="00FD6B66">
            <w:pPr>
              <w:jc w:val="right"/>
              <w:rPr>
                <w:rFonts w:cs="Arial"/>
                <w:color w:val="000000"/>
                <w:sz w:val="14"/>
                <w:szCs w:val="14"/>
              </w:rPr>
            </w:pPr>
            <w:r w:rsidRPr="003003C0">
              <w:rPr>
                <w:rFonts w:cs="Arial"/>
                <w:color w:val="000000"/>
                <w:sz w:val="14"/>
                <w:szCs w:val="14"/>
              </w:rPr>
              <w:t>1</w:t>
            </w:r>
            <w:r>
              <w:rPr>
                <w:rFonts w:cs="Arial"/>
                <w:color w:val="000000"/>
                <w:sz w:val="14"/>
                <w:szCs w:val="14"/>
              </w:rPr>
              <w:t>.</w:t>
            </w:r>
            <w:r w:rsidRPr="003003C0">
              <w:rPr>
                <w:rFonts w:cs="Arial"/>
                <w:color w:val="000000"/>
                <w:sz w:val="14"/>
                <w:szCs w:val="14"/>
              </w:rPr>
              <w:t>5</w:t>
            </w:r>
          </w:p>
        </w:tc>
        <w:tc>
          <w:tcPr>
            <w:tcW w:w="787" w:type="dxa"/>
            <w:noWrap/>
            <w:vAlign w:val="center"/>
            <w:hideMark/>
          </w:tcPr>
          <w:p w14:paraId="3B6DBF75" w14:textId="77777777" w:rsidR="004F64EF" w:rsidRPr="003003C0" w:rsidRDefault="004F64EF" w:rsidP="00FD6B66">
            <w:pPr>
              <w:jc w:val="right"/>
              <w:rPr>
                <w:rFonts w:cs="Arial"/>
                <w:color w:val="000000"/>
                <w:sz w:val="14"/>
                <w:szCs w:val="14"/>
              </w:rPr>
            </w:pPr>
            <w:r w:rsidRPr="003003C0">
              <w:rPr>
                <w:rFonts w:cs="Arial"/>
                <w:color w:val="000000"/>
                <w:sz w:val="14"/>
                <w:szCs w:val="14"/>
              </w:rPr>
              <w:t>1</w:t>
            </w:r>
            <w:r>
              <w:rPr>
                <w:rFonts w:cs="Arial"/>
                <w:color w:val="000000"/>
                <w:sz w:val="14"/>
                <w:szCs w:val="14"/>
              </w:rPr>
              <w:t>.</w:t>
            </w:r>
            <w:r w:rsidRPr="003003C0">
              <w:rPr>
                <w:rFonts w:cs="Arial"/>
                <w:color w:val="000000"/>
                <w:sz w:val="14"/>
                <w:szCs w:val="14"/>
              </w:rPr>
              <w:t>3</w:t>
            </w:r>
          </w:p>
        </w:tc>
        <w:tc>
          <w:tcPr>
            <w:tcW w:w="788" w:type="dxa"/>
            <w:noWrap/>
            <w:vAlign w:val="center"/>
            <w:hideMark/>
          </w:tcPr>
          <w:p w14:paraId="7C56B05C"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4</w:t>
            </w:r>
          </w:p>
        </w:tc>
      </w:tr>
      <w:tr w:rsidR="004F64EF" w:rsidRPr="003003C0" w14:paraId="5CCE3250" w14:textId="77777777" w:rsidTr="00FD6B66">
        <w:trPr>
          <w:cnfStyle w:val="000000010000" w:firstRow="0" w:lastRow="0" w:firstColumn="0" w:lastColumn="0" w:oddVBand="0" w:evenVBand="0" w:oddHBand="0" w:evenHBand="1" w:firstRowFirstColumn="0" w:firstRowLastColumn="0" w:lastRowFirstColumn="0" w:lastRowLastColumn="0"/>
          <w:trHeight w:val="20"/>
        </w:trPr>
        <w:tc>
          <w:tcPr>
            <w:tcW w:w="3505" w:type="dxa"/>
            <w:noWrap/>
            <w:vAlign w:val="center"/>
            <w:hideMark/>
          </w:tcPr>
          <w:p w14:paraId="5D4BA5BB" w14:textId="77777777" w:rsidR="004F64EF" w:rsidRPr="003003C0" w:rsidRDefault="004F64EF" w:rsidP="00FD6B66">
            <w:pPr>
              <w:tabs>
                <w:tab w:val="left" w:pos="510"/>
              </w:tabs>
              <w:jc w:val="left"/>
              <w:rPr>
                <w:rFonts w:cs="Arial"/>
                <w:color w:val="000000"/>
                <w:sz w:val="14"/>
                <w:szCs w:val="14"/>
              </w:rPr>
            </w:pPr>
            <w:r w:rsidRPr="003003C0">
              <w:rPr>
                <w:rFonts w:cs="Arial"/>
                <w:color w:val="000000"/>
                <w:sz w:val="14"/>
                <w:szCs w:val="14"/>
              </w:rPr>
              <w:tab/>
              <w:t>Panam</w:t>
            </w:r>
            <w:r>
              <w:rPr>
                <w:rFonts w:cs="Arial"/>
                <w:color w:val="000000"/>
                <w:sz w:val="14"/>
                <w:szCs w:val="14"/>
              </w:rPr>
              <w:t>a</w:t>
            </w:r>
          </w:p>
        </w:tc>
        <w:tc>
          <w:tcPr>
            <w:tcW w:w="787" w:type="dxa"/>
            <w:noWrap/>
            <w:vAlign w:val="center"/>
            <w:hideMark/>
          </w:tcPr>
          <w:p w14:paraId="3A21DD49"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5</w:t>
            </w:r>
          </w:p>
        </w:tc>
        <w:tc>
          <w:tcPr>
            <w:tcW w:w="787" w:type="dxa"/>
            <w:noWrap/>
            <w:vAlign w:val="center"/>
            <w:hideMark/>
          </w:tcPr>
          <w:p w14:paraId="40331801"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3</w:t>
            </w:r>
          </w:p>
        </w:tc>
        <w:tc>
          <w:tcPr>
            <w:tcW w:w="787" w:type="dxa"/>
            <w:noWrap/>
            <w:vAlign w:val="center"/>
            <w:hideMark/>
          </w:tcPr>
          <w:p w14:paraId="032CBA14"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3</w:t>
            </w:r>
          </w:p>
        </w:tc>
        <w:tc>
          <w:tcPr>
            <w:tcW w:w="788" w:type="dxa"/>
            <w:noWrap/>
            <w:vAlign w:val="center"/>
            <w:hideMark/>
          </w:tcPr>
          <w:p w14:paraId="65EB5154"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4</w:t>
            </w:r>
          </w:p>
        </w:tc>
        <w:tc>
          <w:tcPr>
            <w:tcW w:w="787" w:type="dxa"/>
            <w:noWrap/>
            <w:vAlign w:val="center"/>
            <w:hideMark/>
          </w:tcPr>
          <w:p w14:paraId="0F9BE8F9"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4</w:t>
            </w:r>
          </w:p>
        </w:tc>
        <w:tc>
          <w:tcPr>
            <w:tcW w:w="787" w:type="dxa"/>
            <w:noWrap/>
            <w:vAlign w:val="center"/>
            <w:hideMark/>
          </w:tcPr>
          <w:p w14:paraId="6B4560B0"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4</w:t>
            </w:r>
          </w:p>
        </w:tc>
        <w:tc>
          <w:tcPr>
            <w:tcW w:w="788" w:type="dxa"/>
            <w:noWrap/>
            <w:vAlign w:val="center"/>
            <w:hideMark/>
          </w:tcPr>
          <w:p w14:paraId="5F9B1DAC"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3</w:t>
            </w:r>
          </w:p>
        </w:tc>
      </w:tr>
      <w:tr w:rsidR="004F64EF" w:rsidRPr="003003C0" w14:paraId="713F6367" w14:textId="77777777" w:rsidTr="00FD6B66">
        <w:trPr>
          <w:trHeight w:val="20"/>
        </w:trPr>
        <w:tc>
          <w:tcPr>
            <w:tcW w:w="3505" w:type="dxa"/>
            <w:noWrap/>
            <w:vAlign w:val="center"/>
            <w:hideMark/>
          </w:tcPr>
          <w:p w14:paraId="6D6D174D" w14:textId="77777777" w:rsidR="004F64EF" w:rsidRPr="003003C0" w:rsidRDefault="004F64EF" w:rsidP="00FD6B66">
            <w:pPr>
              <w:tabs>
                <w:tab w:val="left" w:pos="510"/>
              </w:tabs>
              <w:jc w:val="left"/>
              <w:rPr>
                <w:rFonts w:cs="Arial"/>
                <w:color w:val="000000"/>
                <w:sz w:val="14"/>
                <w:szCs w:val="14"/>
              </w:rPr>
            </w:pPr>
            <w:r w:rsidRPr="003003C0">
              <w:rPr>
                <w:rFonts w:cs="Arial"/>
                <w:color w:val="000000"/>
                <w:sz w:val="14"/>
                <w:szCs w:val="14"/>
              </w:rPr>
              <w:tab/>
              <w:t>Chile</w:t>
            </w:r>
          </w:p>
        </w:tc>
        <w:tc>
          <w:tcPr>
            <w:tcW w:w="787" w:type="dxa"/>
            <w:noWrap/>
            <w:vAlign w:val="center"/>
            <w:hideMark/>
          </w:tcPr>
          <w:p w14:paraId="0D23E8ED"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3</w:t>
            </w:r>
          </w:p>
        </w:tc>
        <w:tc>
          <w:tcPr>
            <w:tcW w:w="787" w:type="dxa"/>
            <w:noWrap/>
            <w:vAlign w:val="center"/>
            <w:hideMark/>
          </w:tcPr>
          <w:p w14:paraId="35AB7AA1"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4</w:t>
            </w:r>
          </w:p>
        </w:tc>
        <w:tc>
          <w:tcPr>
            <w:tcW w:w="787" w:type="dxa"/>
            <w:noWrap/>
            <w:vAlign w:val="center"/>
            <w:hideMark/>
          </w:tcPr>
          <w:p w14:paraId="0E8C449D"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4</w:t>
            </w:r>
          </w:p>
        </w:tc>
        <w:tc>
          <w:tcPr>
            <w:tcW w:w="788" w:type="dxa"/>
            <w:noWrap/>
            <w:vAlign w:val="center"/>
            <w:hideMark/>
          </w:tcPr>
          <w:p w14:paraId="3630F182"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4</w:t>
            </w:r>
          </w:p>
        </w:tc>
        <w:tc>
          <w:tcPr>
            <w:tcW w:w="787" w:type="dxa"/>
            <w:noWrap/>
            <w:vAlign w:val="center"/>
            <w:hideMark/>
          </w:tcPr>
          <w:p w14:paraId="0EADE418"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3</w:t>
            </w:r>
          </w:p>
        </w:tc>
        <w:tc>
          <w:tcPr>
            <w:tcW w:w="787" w:type="dxa"/>
            <w:noWrap/>
            <w:vAlign w:val="center"/>
            <w:hideMark/>
          </w:tcPr>
          <w:p w14:paraId="4014145B"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4</w:t>
            </w:r>
          </w:p>
        </w:tc>
        <w:tc>
          <w:tcPr>
            <w:tcW w:w="788" w:type="dxa"/>
            <w:noWrap/>
            <w:vAlign w:val="center"/>
            <w:hideMark/>
          </w:tcPr>
          <w:p w14:paraId="5D5DC445"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3</w:t>
            </w:r>
          </w:p>
        </w:tc>
      </w:tr>
      <w:tr w:rsidR="004F64EF" w:rsidRPr="003003C0" w14:paraId="12ED7A0A" w14:textId="77777777" w:rsidTr="00FD6B66">
        <w:trPr>
          <w:cnfStyle w:val="000000010000" w:firstRow="0" w:lastRow="0" w:firstColumn="0" w:lastColumn="0" w:oddVBand="0" w:evenVBand="0" w:oddHBand="0" w:evenHBand="1" w:firstRowFirstColumn="0" w:firstRowLastColumn="0" w:lastRowFirstColumn="0" w:lastRowLastColumn="0"/>
          <w:trHeight w:val="20"/>
        </w:trPr>
        <w:tc>
          <w:tcPr>
            <w:tcW w:w="3505" w:type="dxa"/>
            <w:noWrap/>
            <w:vAlign w:val="center"/>
            <w:hideMark/>
          </w:tcPr>
          <w:p w14:paraId="27D56C8B" w14:textId="77777777" w:rsidR="004F64EF" w:rsidRPr="003003C0" w:rsidRDefault="004F64EF" w:rsidP="00FD6B66">
            <w:pPr>
              <w:jc w:val="left"/>
              <w:rPr>
                <w:rFonts w:cs="Arial"/>
                <w:color w:val="000000"/>
                <w:sz w:val="14"/>
                <w:szCs w:val="14"/>
              </w:rPr>
            </w:pPr>
            <w:r w:rsidRPr="003003C0">
              <w:rPr>
                <w:rFonts w:cs="Arial"/>
                <w:color w:val="000000"/>
                <w:sz w:val="14"/>
                <w:szCs w:val="14"/>
              </w:rPr>
              <w:t>Europ</w:t>
            </w:r>
            <w:r>
              <w:rPr>
                <w:rFonts w:cs="Arial"/>
                <w:color w:val="000000"/>
                <w:sz w:val="14"/>
                <w:szCs w:val="14"/>
              </w:rPr>
              <w:t>e</w:t>
            </w:r>
          </w:p>
        </w:tc>
        <w:tc>
          <w:tcPr>
            <w:tcW w:w="787" w:type="dxa"/>
            <w:noWrap/>
            <w:vAlign w:val="center"/>
            <w:hideMark/>
          </w:tcPr>
          <w:p w14:paraId="41B1C95E" w14:textId="77777777" w:rsidR="004F64EF" w:rsidRPr="003003C0" w:rsidRDefault="004F64EF" w:rsidP="00FD6B66">
            <w:pPr>
              <w:jc w:val="right"/>
              <w:rPr>
                <w:rFonts w:cs="Arial"/>
                <w:color w:val="000000"/>
                <w:sz w:val="14"/>
                <w:szCs w:val="14"/>
              </w:rPr>
            </w:pPr>
            <w:r w:rsidRPr="003003C0">
              <w:rPr>
                <w:rFonts w:cs="Arial"/>
                <w:color w:val="000000"/>
                <w:sz w:val="14"/>
                <w:szCs w:val="14"/>
              </w:rPr>
              <w:t>12</w:t>
            </w:r>
            <w:r>
              <w:rPr>
                <w:rFonts w:cs="Arial"/>
                <w:color w:val="000000"/>
                <w:sz w:val="14"/>
                <w:szCs w:val="14"/>
              </w:rPr>
              <w:t>.</w:t>
            </w:r>
            <w:r w:rsidRPr="003003C0">
              <w:rPr>
                <w:rFonts w:cs="Arial"/>
                <w:color w:val="000000"/>
                <w:sz w:val="14"/>
                <w:szCs w:val="14"/>
              </w:rPr>
              <w:t>2</w:t>
            </w:r>
          </w:p>
        </w:tc>
        <w:tc>
          <w:tcPr>
            <w:tcW w:w="787" w:type="dxa"/>
            <w:noWrap/>
            <w:vAlign w:val="center"/>
            <w:hideMark/>
          </w:tcPr>
          <w:p w14:paraId="5C86EFD1" w14:textId="77777777" w:rsidR="004F64EF" w:rsidRPr="003003C0" w:rsidRDefault="004F64EF" w:rsidP="00FD6B66">
            <w:pPr>
              <w:jc w:val="right"/>
              <w:rPr>
                <w:rFonts w:cs="Arial"/>
                <w:color w:val="000000"/>
                <w:sz w:val="14"/>
                <w:szCs w:val="14"/>
              </w:rPr>
            </w:pPr>
            <w:r w:rsidRPr="003003C0">
              <w:rPr>
                <w:rFonts w:cs="Arial"/>
                <w:color w:val="000000"/>
                <w:sz w:val="14"/>
                <w:szCs w:val="14"/>
              </w:rPr>
              <w:t>13</w:t>
            </w:r>
            <w:r>
              <w:rPr>
                <w:rFonts w:cs="Arial"/>
                <w:color w:val="000000"/>
                <w:sz w:val="14"/>
                <w:szCs w:val="14"/>
              </w:rPr>
              <w:t>.</w:t>
            </w:r>
            <w:r w:rsidRPr="003003C0">
              <w:rPr>
                <w:rFonts w:cs="Arial"/>
                <w:color w:val="000000"/>
                <w:sz w:val="14"/>
                <w:szCs w:val="14"/>
              </w:rPr>
              <w:t>5</w:t>
            </w:r>
          </w:p>
        </w:tc>
        <w:tc>
          <w:tcPr>
            <w:tcW w:w="787" w:type="dxa"/>
            <w:noWrap/>
            <w:vAlign w:val="center"/>
            <w:hideMark/>
          </w:tcPr>
          <w:p w14:paraId="3FAB0881" w14:textId="77777777" w:rsidR="004F64EF" w:rsidRPr="003003C0" w:rsidRDefault="004F64EF" w:rsidP="00FD6B66">
            <w:pPr>
              <w:jc w:val="right"/>
              <w:rPr>
                <w:rFonts w:cs="Arial"/>
                <w:color w:val="000000"/>
                <w:sz w:val="14"/>
                <w:szCs w:val="14"/>
              </w:rPr>
            </w:pPr>
            <w:r w:rsidRPr="003003C0">
              <w:rPr>
                <w:rFonts w:cs="Arial"/>
                <w:color w:val="000000"/>
                <w:sz w:val="14"/>
                <w:szCs w:val="14"/>
              </w:rPr>
              <w:t>12</w:t>
            </w:r>
            <w:r>
              <w:rPr>
                <w:rFonts w:cs="Arial"/>
                <w:color w:val="000000"/>
                <w:sz w:val="14"/>
                <w:szCs w:val="14"/>
              </w:rPr>
              <w:t>.</w:t>
            </w:r>
            <w:r w:rsidRPr="003003C0">
              <w:rPr>
                <w:rFonts w:cs="Arial"/>
                <w:color w:val="000000"/>
                <w:sz w:val="14"/>
                <w:szCs w:val="14"/>
              </w:rPr>
              <w:t>4</w:t>
            </w:r>
          </w:p>
        </w:tc>
        <w:tc>
          <w:tcPr>
            <w:tcW w:w="788" w:type="dxa"/>
            <w:noWrap/>
            <w:vAlign w:val="center"/>
            <w:hideMark/>
          </w:tcPr>
          <w:p w14:paraId="1F722611" w14:textId="77777777" w:rsidR="004F64EF" w:rsidRPr="003003C0" w:rsidRDefault="004F64EF" w:rsidP="00FD6B66">
            <w:pPr>
              <w:jc w:val="right"/>
              <w:rPr>
                <w:rFonts w:cs="Arial"/>
                <w:color w:val="000000"/>
                <w:sz w:val="14"/>
                <w:szCs w:val="14"/>
              </w:rPr>
            </w:pPr>
            <w:r w:rsidRPr="003003C0">
              <w:rPr>
                <w:rFonts w:cs="Arial"/>
                <w:color w:val="000000"/>
                <w:sz w:val="14"/>
                <w:szCs w:val="14"/>
              </w:rPr>
              <w:t>13</w:t>
            </w:r>
            <w:r>
              <w:rPr>
                <w:rFonts w:cs="Arial"/>
                <w:color w:val="000000"/>
                <w:sz w:val="14"/>
                <w:szCs w:val="14"/>
              </w:rPr>
              <w:t>.</w:t>
            </w:r>
            <w:r w:rsidRPr="003003C0">
              <w:rPr>
                <w:rFonts w:cs="Arial"/>
                <w:color w:val="000000"/>
                <w:sz w:val="14"/>
                <w:szCs w:val="14"/>
              </w:rPr>
              <w:t>6</w:t>
            </w:r>
          </w:p>
        </w:tc>
        <w:tc>
          <w:tcPr>
            <w:tcW w:w="787" w:type="dxa"/>
            <w:noWrap/>
            <w:vAlign w:val="center"/>
            <w:hideMark/>
          </w:tcPr>
          <w:p w14:paraId="792B0E8C" w14:textId="77777777" w:rsidR="004F64EF" w:rsidRPr="003003C0" w:rsidRDefault="004F64EF" w:rsidP="00FD6B66">
            <w:pPr>
              <w:jc w:val="right"/>
              <w:rPr>
                <w:rFonts w:cs="Arial"/>
                <w:color w:val="000000"/>
                <w:sz w:val="14"/>
                <w:szCs w:val="14"/>
              </w:rPr>
            </w:pPr>
            <w:r w:rsidRPr="003003C0">
              <w:rPr>
                <w:rFonts w:cs="Arial"/>
                <w:color w:val="000000"/>
                <w:sz w:val="14"/>
                <w:szCs w:val="14"/>
              </w:rPr>
              <w:t>14</w:t>
            </w:r>
            <w:r>
              <w:rPr>
                <w:rFonts w:cs="Arial"/>
                <w:color w:val="000000"/>
                <w:sz w:val="14"/>
                <w:szCs w:val="14"/>
              </w:rPr>
              <w:t>.</w:t>
            </w:r>
            <w:r w:rsidRPr="003003C0">
              <w:rPr>
                <w:rFonts w:cs="Arial"/>
                <w:color w:val="000000"/>
                <w:sz w:val="14"/>
                <w:szCs w:val="14"/>
              </w:rPr>
              <w:t>6</w:t>
            </w:r>
          </w:p>
        </w:tc>
        <w:tc>
          <w:tcPr>
            <w:tcW w:w="787" w:type="dxa"/>
            <w:noWrap/>
            <w:vAlign w:val="center"/>
            <w:hideMark/>
          </w:tcPr>
          <w:p w14:paraId="03DA0FCB" w14:textId="77777777" w:rsidR="004F64EF" w:rsidRPr="003003C0" w:rsidRDefault="004F64EF" w:rsidP="00FD6B66">
            <w:pPr>
              <w:jc w:val="right"/>
              <w:rPr>
                <w:rFonts w:cs="Arial"/>
                <w:color w:val="000000"/>
                <w:sz w:val="14"/>
                <w:szCs w:val="14"/>
              </w:rPr>
            </w:pPr>
            <w:r w:rsidRPr="003003C0">
              <w:rPr>
                <w:rFonts w:cs="Arial"/>
                <w:color w:val="000000"/>
                <w:sz w:val="14"/>
                <w:szCs w:val="14"/>
              </w:rPr>
              <w:t>15</w:t>
            </w:r>
            <w:r>
              <w:rPr>
                <w:rFonts w:cs="Arial"/>
                <w:color w:val="000000"/>
                <w:sz w:val="14"/>
                <w:szCs w:val="14"/>
              </w:rPr>
              <w:t>.</w:t>
            </w:r>
            <w:r w:rsidRPr="003003C0">
              <w:rPr>
                <w:rFonts w:cs="Arial"/>
                <w:color w:val="000000"/>
                <w:sz w:val="14"/>
                <w:szCs w:val="14"/>
              </w:rPr>
              <w:t>5</w:t>
            </w:r>
          </w:p>
        </w:tc>
        <w:tc>
          <w:tcPr>
            <w:tcW w:w="788" w:type="dxa"/>
            <w:noWrap/>
            <w:vAlign w:val="center"/>
            <w:hideMark/>
          </w:tcPr>
          <w:p w14:paraId="5F9C86D5" w14:textId="77777777" w:rsidR="004F64EF" w:rsidRPr="003003C0" w:rsidRDefault="004F64EF" w:rsidP="00FD6B66">
            <w:pPr>
              <w:jc w:val="right"/>
              <w:rPr>
                <w:rFonts w:cs="Arial"/>
                <w:color w:val="000000"/>
                <w:sz w:val="14"/>
                <w:szCs w:val="14"/>
              </w:rPr>
            </w:pPr>
            <w:r w:rsidRPr="003003C0">
              <w:rPr>
                <w:rFonts w:cs="Arial"/>
                <w:color w:val="000000"/>
                <w:sz w:val="14"/>
                <w:szCs w:val="14"/>
              </w:rPr>
              <w:t>15</w:t>
            </w:r>
            <w:r>
              <w:rPr>
                <w:rFonts w:cs="Arial"/>
                <w:color w:val="000000"/>
                <w:sz w:val="14"/>
                <w:szCs w:val="14"/>
              </w:rPr>
              <w:t>.</w:t>
            </w:r>
            <w:r w:rsidRPr="003003C0">
              <w:rPr>
                <w:rFonts w:cs="Arial"/>
                <w:color w:val="000000"/>
                <w:sz w:val="14"/>
                <w:szCs w:val="14"/>
              </w:rPr>
              <w:t>2</w:t>
            </w:r>
          </w:p>
        </w:tc>
      </w:tr>
      <w:tr w:rsidR="004F64EF" w:rsidRPr="003003C0" w14:paraId="0A443506" w14:textId="77777777" w:rsidTr="00FD6B66">
        <w:trPr>
          <w:trHeight w:val="20"/>
        </w:trPr>
        <w:tc>
          <w:tcPr>
            <w:tcW w:w="3505" w:type="dxa"/>
            <w:noWrap/>
            <w:vAlign w:val="center"/>
            <w:hideMark/>
          </w:tcPr>
          <w:p w14:paraId="3B6F913F" w14:textId="77777777" w:rsidR="004F64EF" w:rsidRPr="003003C0" w:rsidRDefault="004F64EF" w:rsidP="00FD6B66">
            <w:pPr>
              <w:tabs>
                <w:tab w:val="left" w:pos="113"/>
              </w:tabs>
              <w:jc w:val="left"/>
              <w:rPr>
                <w:rFonts w:cs="Arial"/>
                <w:color w:val="000000"/>
                <w:sz w:val="14"/>
                <w:szCs w:val="14"/>
              </w:rPr>
            </w:pPr>
            <w:r w:rsidRPr="003003C0">
              <w:rPr>
                <w:rFonts w:cs="Arial"/>
                <w:color w:val="000000"/>
                <w:sz w:val="14"/>
                <w:szCs w:val="14"/>
              </w:rPr>
              <w:tab/>
            </w:r>
            <w:r>
              <w:rPr>
                <w:rFonts w:cs="Arial"/>
                <w:color w:val="000000"/>
                <w:sz w:val="14"/>
                <w:szCs w:val="14"/>
              </w:rPr>
              <w:t>EU</w:t>
            </w:r>
            <w:r w:rsidRPr="003003C0">
              <w:rPr>
                <w:rFonts w:cs="Arial"/>
                <w:color w:val="000000"/>
                <w:sz w:val="14"/>
                <w:szCs w:val="14"/>
              </w:rPr>
              <w:t>-27</w:t>
            </w:r>
          </w:p>
        </w:tc>
        <w:tc>
          <w:tcPr>
            <w:tcW w:w="787" w:type="dxa"/>
            <w:noWrap/>
            <w:vAlign w:val="center"/>
            <w:hideMark/>
          </w:tcPr>
          <w:p w14:paraId="4223FFE5" w14:textId="77777777" w:rsidR="004F64EF" w:rsidRPr="003003C0" w:rsidRDefault="004F64EF" w:rsidP="00FD6B66">
            <w:pPr>
              <w:jc w:val="right"/>
              <w:rPr>
                <w:rFonts w:cs="Arial"/>
                <w:color w:val="000000"/>
                <w:sz w:val="14"/>
                <w:szCs w:val="14"/>
              </w:rPr>
            </w:pPr>
            <w:r w:rsidRPr="003003C0">
              <w:rPr>
                <w:rFonts w:cs="Arial"/>
                <w:color w:val="000000"/>
                <w:sz w:val="14"/>
                <w:szCs w:val="14"/>
              </w:rPr>
              <w:t>10</w:t>
            </w:r>
            <w:r>
              <w:rPr>
                <w:rFonts w:cs="Arial"/>
                <w:color w:val="000000"/>
                <w:sz w:val="14"/>
                <w:szCs w:val="14"/>
              </w:rPr>
              <w:t>.</w:t>
            </w:r>
            <w:r w:rsidRPr="003003C0">
              <w:rPr>
                <w:rFonts w:cs="Arial"/>
                <w:color w:val="000000"/>
                <w:sz w:val="14"/>
                <w:szCs w:val="14"/>
              </w:rPr>
              <w:t>2</w:t>
            </w:r>
          </w:p>
        </w:tc>
        <w:tc>
          <w:tcPr>
            <w:tcW w:w="787" w:type="dxa"/>
            <w:noWrap/>
            <w:vAlign w:val="center"/>
            <w:hideMark/>
          </w:tcPr>
          <w:p w14:paraId="7A1CBE24" w14:textId="77777777" w:rsidR="004F64EF" w:rsidRPr="003003C0" w:rsidRDefault="004F64EF" w:rsidP="00FD6B66">
            <w:pPr>
              <w:jc w:val="right"/>
              <w:rPr>
                <w:rFonts w:cs="Arial"/>
                <w:color w:val="000000"/>
                <w:sz w:val="14"/>
                <w:szCs w:val="14"/>
              </w:rPr>
            </w:pPr>
            <w:r w:rsidRPr="003003C0">
              <w:rPr>
                <w:rFonts w:cs="Arial"/>
                <w:color w:val="000000"/>
                <w:sz w:val="14"/>
                <w:szCs w:val="14"/>
              </w:rPr>
              <w:t>11</w:t>
            </w:r>
            <w:r>
              <w:rPr>
                <w:rFonts w:cs="Arial"/>
                <w:color w:val="000000"/>
                <w:sz w:val="14"/>
                <w:szCs w:val="14"/>
              </w:rPr>
              <w:t>.</w:t>
            </w:r>
            <w:r w:rsidRPr="003003C0">
              <w:rPr>
                <w:rFonts w:cs="Arial"/>
                <w:color w:val="000000"/>
                <w:sz w:val="14"/>
                <w:szCs w:val="14"/>
              </w:rPr>
              <w:t>6</w:t>
            </w:r>
          </w:p>
        </w:tc>
        <w:tc>
          <w:tcPr>
            <w:tcW w:w="787" w:type="dxa"/>
            <w:noWrap/>
            <w:vAlign w:val="center"/>
            <w:hideMark/>
          </w:tcPr>
          <w:p w14:paraId="3BB775FF" w14:textId="77777777" w:rsidR="004F64EF" w:rsidRPr="003003C0" w:rsidRDefault="004F64EF" w:rsidP="00FD6B66">
            <w:pPr>
              <w:jc w:val="right"/>
              <w:rPr>
                <w:rFonts w:cs="Arial"/>
                <w:color w:val="000000"/>
                <w:sz w:val="14"/>
                <w:szCs w:val="14"/>
              </w:rPr>
            </w:pPr>
            <w:r w:rsidRPr="003003C0">
              <w:rPr>
                <w:rFonts w:cs="Arial"/>
                <w:color w:val="000000"/>
                <w:sz w:val="14"/>
                <w:szCs w:val="14"/>
              </w:rPr>
              <w:t>10</w:t>
            </w:r>
            <w:r>
              <w:rPr>
                <w:rFonts w:cs="Arial"/>
                <w:color w:val="000000"/>
                <w:sz w:val="14"/>
                <w:szCs w:val="14"/>
              </w:rPr>
              <w:t>.</w:t>
            </w:r>
            <w:r w:rsidRPr="003003C0">
              <w:rPr>
                <w:rFonts w:cs="Arial"/>
                <w:color w:val="000000"/>
                <w:sz w:val="14"/>
                <w:szCs w:val="14"/>
              </w:rPr>
              <w:t>6</w:t>
            </w:r>
          </w:p>
        </w:tc>
        <w:tc>
          <w:tcPr>
            <w:tcW w:w="788" w:type="dxa"/>
            <w:noWrap/>
            <w:vAlign w:val="center"/>
            <w:hideMark/>
          </w:tcPr>
          <w:p w14:paraId="0836887D" w14:textId="77777777" w:rsidR="004F64EF" w:rsidRPr="003003C0" w:rsidRDefault="004F64EF" w:rsidP="00FD6B66">
            <w:pPr>
              <w:jc w:val="right"/>
              <w:rPr>
                <w:rFonts w:cs="Arial"/>
                <w:color w:val="000000"/>
                <w:sz w:val="14"/>
                <w:szCs w:val="14"/>
              </w:rPr>
            </w:pPr>
            <w:r w:rsidRPr="003003C0">
              <w:rPr>
                <w:rFonts w:cs="Arial"/>
                <w:color w:val="000000"/>
                <w:sz w:val="14"/>
                <w:szCs w:val="14"/>
              </w:rPr>
              <w:t>11</w:t>
            </w:r>
            <w:r>
              <w:rPr>
                <w:rFonts w:cs="Arial"/>
                <w:color w:val="000000"/>
                <w:sz w:val="14"/>
                <w:szCs w:val="14"/>
              </w:rPr>
              <w:t>.</w:t>
            </w:r>
            <w:r w:rsidRPr="003003C0">
              <w:rPr>
                <w:rFonts w:cs="Arial"/>
                <w:color w:val="000000"/>
                <w:sz w:val="14"/>
                <w:szCs w:val="14"/>
              </w:rPr>
              <w:t>8</w:t>
            </w:r>
          </w:p>
        </w:tc>
        <w:tc>
          <w:tcPr>
            <w:tcW w:w="787" w:type="dxa"/>
            <w:noWrap/>
            <w:vAlign w:val="center"/>
            <w:hideMark/>
          </w:tcPr>
          <w:p w14:paraId="2F1ED683" w14:textId="77777777" w:rsidR="004F64EF" w:rsidRPr="003003C0" w:rsidRDefault="004F64EF" w:rsidP="00FD6B66">
            <w:pPr>
              <w:jc w:val="right"/>
              <w:rPr>
                <w:rFonts w:cs="Arial"/>
                <w:color w:val="000000"/>
                <w:sz w:val="14"/>
                <w:szCs w:val="14"/>
              </w:rPr>
            </w:pPr>
            <w:r w:rsidRPr="003003C0">
              <w:rPr>
                <w:rFonts w:cs="Arial"/>
                <w:color w:val="000000"/>
                <w:sz w:val="14"/>
                <w:szCs w:val="14"/>
              </w:rPr>
              <w:t>12</w:t>
            </w:r>
            <w:r>
              <w:rPr>
                <w:rFonts w:cs="Arial"/>
                <w:color w:val="000000"/>
                <w:sz w:val="14"/>
                <w:szCs w:val="14"/>
              </w:rPr>
              <w:t>.</w:t>
            </w:r>
            <w:r w:rsidRPr="003003C0">
              <w:rPr>
                <w:rFonts w:cs="Arial"/>
                <w:color w:val="000000"/>
                <w:sz w:val="14"/>
                <w:szCs w:val="14"/>
              </w:rPr>
              <w:t>4</w:t>
            </w:r>
          </w:p>
        </w:tc>
        <w:tc>
          <w:tcPr>
            <w:tcW w:w="787" w:type="dxa"/>
            <w:noWrap/>
            <w:vAlign w:val="center"/>
            <w:hideMark/>
          </w:tcPr>
          <w:p w14:paraId="4D1834C8" w14:textId="77777777" w:rsidR="004F64EF" w:rsidRPr="003003C0" w:rsidRDefault="004F64EF" w:rsidP="00FD6B66">
            <w:pPr>
              <w:jc w:val="right"/>
              <w:rPr>
                <w:rFonts w:cs="Arial"/>
                <w:color w:val="000000"/>
                <w:sz w:val="14"/>
                <w:szCs w:val="14"/>
              </w:rPr>
            </w:pPr>
            <w:r w:rsidRPr="003003C0">
              <w:rPr>
                <w:rFonts w:cs="Arial"/>
                <w:color w:val="000000"/>
                <w:sz w:val="14"/>
                <w:szCs w:val="14"/>
              </w:rPr>
              <w:t>12</w:t>
            </w:r>
            <w:r>
              <w:rPr>
                <w:rFonts w:cs="Arial"/>
                <w:color w:val="000000"/>
                <w:sz w:val="14"/>
                <w:szCs w:val="14"/>
              </w:rPr>
              <w:t>.</w:t>
            </w:r>
            <w:r w:rsidRPr="003003C0">
              <w:rPr>
                <w:rFonts w:cs="Arial"/>
                <w:color w:val="000000"/>
                <w:sz w:val="14"/>
                <w:szCs w:val="14"/>
              </w:rPr>
              <w:t>8</w:t>
            </w:r>
          </w:p>
        </w:tc>
        <w:tc>
          <w:tcPr>
            <w:tcW w:w="788" w:type="dxa"/>
            <w:noWrap/>
            <w:vAlign w:val="center"/>
            <w:hideMark/>
          </w:tcPr>
          <w:p w14:paraId="34ADCAA7" w14:textId="77777777" w:rsidR="004F64EF" w:rsidRPr="003003C0" w:rsidRDefault="004F64EF" w:rsidP="00FD6B66">
            <w:pPr>
              <w:jc w:val="right"/>
              <w:rPr>
                <w:rFonts w:cs="Arial"/>
                <w:color w:val="000000"/>
                <w:sz w:val="14"/>
                <w:szCs w:val="14"/>
              </w:rPr>
            </w:pPr>
            <w:r w:rsidRPr="003003C0">
              <w:rPr>
                <w:rFonts w:cs="Arial"/>
                <w:color w:val="000000"/>
                <w:sz w:val="14"/>
                <w:szCs w:val="14"/>
              </w:rPr>
              <w:t>11</w:t>
            </w:r>
            <w:r>
              <w:rPr>
                <w:rFonts w:cs="Arial"/>
                <w:color w:val="000000"/>
                <w:sz w:val="14"/>
                <w:szCs w:val="14"/>
              </w:rPr>
              <w:t>.</w:t>
            </w:r>
            <w:r w:rsidRPr="003003C0">
              <w:rPr>
                <w:rFonts w:cs="Arial"/>
                <w:color w:val="000000"/>
                <w:sz w:val="14"/>
                <w:szCs w:val="14"/>
              </w:rPr>
              <w:t>4</w:t>
            </w:r>
          </w:p>
        </w:tc>
      </w:tr>
      <w:tr w:rsidR="004F64EF" w:rsidRPr="003003C0" w14:paraId="2C8EF8BC" w14:textId="77777777" w:rsidTr="00FD6B66">
        <w:trPr>
          <w:cnfStyle w:val="000000010000" w:firstRow="0" w:lastRow="0" w:firstColumn="0" w:lastColumn="0" w:oddVBand="0" w:evenVBand="0" w:oddHBand="0" w:evenHBand="1" w:firstRowFirstColumn="0" w:firstRowLastColumn="0" w:lastRowFirstColumn="0" w:lastRowLastColumn="0"/>
          <w:trHeight w:val="20"/>
        </w:trPr>
        <w:tc>
          <w:tcPr>
            <w:tcW w:w="3505" w:type="dxa"/>
            <w:noWrap/>
            <w:vAlign w:val="center"/>
            <w:hideMark/>
          </w:tcPr>
          <w:p w14:paraId="75B2DE2D" w14:textId="77777777" w:rsidR="004F64EF" w:rsidRPr="003003C0" w:rsidRDefault="004F64EF" w:rsidP="00FD6B66">
            <w:pPr>
              <w:tabs>
                <w:tab w:val="left" w:pos="510"/>
              </w:tabs>
              <w:jc w:val="left"/>
              <w:rPr>
                <w:rFonts w:cs="Arial"/>
                <w:color w:val="000000"/>
                <w:sz w:val="14"/>
                <w:szCs w:val="14"/>
              </w:rPr>
            </w:pPr>
            <w:r w:rsidRPr="003003C0">
              <w:rPr>
                <w:rFonts w:cs="Arial"/>
                <w:color w:val="000000"/>
                <w:sz w:val="14"/>
                <w:szCs w:val="14"/>
              </w:rPr>
              <w:tab/>
            </w:r>
            <w:r>
              <w:rPr>
                <w:rFonts w:cs="Arial"/>
                <w:color w:val="000000"/>
                <w:sz w:val="14"/>
                <w:szCs w:val="14"/>
              </w:rPr>
              <w:t>Spain</w:t>
            </w:r>
          </w:p>
        </w:tc>
        <w:tc>
          <w:tcPr>
            <w:tcW w:w="787" w:type="dxa"/>
            <w:noWrap/>
            <w:vAlign w:val="center"/>
            <w:hideMark/>
          </w:tcPr>
          <w:p w14:paraId="6A024A9F" w14:textId="77777777" w:rsidR="004F64EF" w:rsidRPr="003003C0" w:rsidRDefault="004F64EF" w:rsidP="00FD6B66">
            <w:pPr>
              <w:jc w:val="right"/>
              <w:rPr>
                <w:rFonts w:cs="Arial"/>
                <w:color w:val="000000"/>
                <w:sz w:val="14"/>
                <w:szCs w:val="14"/>
              </w:rPr>
            </w:pPr>
            <w:r w:rsidRPr="003003C0">
              <w:rPr>
                <w:rFonts w:cs="Arial"/>
                <w:color w:val="000000"/>
                <w:sz w:val="14"/>
                <w:szCs w:val="14"/>
              </w:rPr>
              <w:t>3</w:t>
            </w:r>
            <w:r>
              <w:rPr>
                <w:rFonts w:cs="Arial"/>
                <w:color w:val="000000"/>
                <w:sz w:val="14"/>
                <w:szCs w:val="14"/>
              </w:rPr>
              <w:t>.</w:t>
            </w:r>
            <w:r w:rsidRPr="003003C0">
              <w:rPr>
                <w:rFonts w:cs="Arial"/>
                <w:color w:val="000000"/>
                <w:sz w:val="14"/>
                <w:szCs w:val="14"/>
              </w:rPr>
              <w:t>1</w:t>
            </w:r>
          </w:p>
        </w:tc>
        <w:tc>
          <w:tcPr>
            <w:tcW w:w="787" w:type="dxa"/>
            <w:noWrap/>
            <w:vAlign w:val="center"/>
            <w:hideMark/>
          </w:tcPr>
          <w:p w14:paraId="74F5B3B7" w14:textId="77777777" w:rsidR="004F64EF" w:rsidRPr="003003C0" w:rsidRDefault="004F64EF" w:rsidP="00FD6B66">
            <w:pPr>
              <w:jc w:val="right"/>
              <w:rPr>
                <w:rFonts w:cs="Arial"/>
                <w:color w:val="000000"/>
                <w:sz w:val="14"/>
                <w:szCs w:val="14"/>
              </w:rPr>
            </w:pPr>
            <w:r w:rsidRPr="003003C0">
              <w:rPr>
                <w:rFonts w:cs="Arial"/>
                <w:color w:val="000000"/>
                <w:sz w:val="14"/>
                <w:szCs w:val="14"/>
              </w:rPr>
              <w:t>3</w:t>
            </w:r>
            <w:r>
              <w:rPr>
                <w:rFonts w:cs="Arial"/>
                <w:color w:val="000000"/>
                <w:sz w:val="14"/>
                <w:szCs w:val="14"/>
              </w:rPr>
              <w:t>.</w:t>
            </w:r>
            <w:r w:rsidRPr="003003C0">
              <w:rPr>
                <w:rFonts w:cs="Arial"/>
                <w:color w:val="000000"/>
                <w:sz w:val="14"/>
                <w:szCs w:val="14"/>
              </w:rPr>
              <w:t>4</w:t>
            </w:r>
          </w:p>
        </w:tc>
        <w:tc>
          <w:tcPr>
            <w:tcW w:w="787" w:type="dxa"/>
            <w:noWrap/>
            <w:vAlign w:val="center"/>
            <w:hideMark/>
          </w:tcPr>
          <w:p w14:paraId="10FC5A49" w14:textId="77777777" w:rsidR="004F64EF" w:rsidRPr="003003C0" w:rsidRDefault="004F64EF" w:rsidP="00FD6B66">
            <w:pPr>
              <w:jc w:val="right"/>
              <w:rPr>
                <w:rFonts w:cs="Arial"/>
                <w:color w:val="000000"/>
                <w:sz w:val="14"/>
                <w:szCs w:val="14"/>
              </w:rPr>
            </w:pPr>
            <w:r w:rsidRPr="003003C0">
              <w:rPr>
                <w:rFonts w:cs="Arial"/>
                <w:color w:val="000000"/>
                <w:sz w:val="14"/>
                <w:szCs w:val="14"/>
              </w:rPr>
              <w:t>3</w:t>
            </w:r>
            <w:r>
              <w:rPr>
                <w:rFonts w:cs="Arial"/>
                <w:color w:val="000000"/>
                <w:sz w:val="14"/>
                <w:szCs w:val="14"/>
              </w:rPr>
              <w:t>.</w:t>
            </w:r>
            <w:r w:rsidRPr="003003C0">
              <w:rPr>
                <w:rFonts w:cs="Arial"/>
                <w:color w:val="000000"/>
                <w:sz w:val="14"/>
                <w:szCs w:val="14"/>
              </w:rPr>
              <w:t>3</w:t>
            </w:r>
          </w:p>
        </w:tc>
        <w:tc>
          <w:tcPr>
            <w:tcW w:w="788" w:type="dxa"/>
            <w:noWrap/>
            <w:vAlign w:val="center"/>
            <w:hideMark/>
          </w:tcPr>
          <w:p w14:paraId="3C205E17" w14:textId="77777777" w:rsidR="004F64EF" w:rsidRPr="003003C0" w:rsidRDefault="004F64EF" w:rsidP="00FD6B66">
            <w:pPr>
              <w:jc w:val="right"/>
              <w:rPr>
                <w:rFonts w:cs="Arial"/>
                <w:color w:val="000000"/>
                <w:sz w:val="14"/>
                <w:szCs w:val="14"/>
              </w:rPr>
            </w:pPr>
            <w:r w:rsidRPr="003003C0">
              <w:rPr>
                <w:rFonts w:cs="Arial"/>
                <w:color w:val="000000"/>
                <w:sz w:val="14"/>
                <w:szCs w:val="14"/>
              </w:rPr>
              <w:t>3</w:t>
            </w:r>
            <w:r>
              <w:rPr>
                <w:rFonts w:cs="Arial"/>
                <w:color w:val="000000"/>
                <w:sz w:val="14"/>
                <w:szCs w:val="14"/>
              </w:rPr>
              <w:t>.</w:t>
            </w:r>
            <w:r w:rsidRPr="003003C0">
              <w:rPr>
                <w:rFonts w:cs="Arial"/>
                <w:color w:val="000000"/>
                <w:sz w:val="14"/>
                <w:szCs w:val="14"/>
              </w:rPr>
              <w:t>5</w:t>
            </w:r>
          </w:p>
        </w:tc>
        <w:tc>
          <w:tcPr>
            <w:tcW w:w="787" w:type="dxa"/>
            <w:noWrap/>
            <w:vAlign w:val="center"/>
            <w:hideMark/>
          </w:tcPr>
          <w:p w14:paraId="40C65B57" w14:textId="77777777" w:rsidR="004F64EF" w:rsidRPr="003003C0" w:rsidRDefault="004F64EF" w:rsidP="00FD6B66">
            <w:pPr>
              <w:jc w:val="right"/>
              <w:rPr>
                <w:rFonts w:cs="Arial"/>
                <w:color w:val="000000"/>
                <w:sz w:val="14"/>
                <w:szCs w:val="14"/>
              </w:rPr>
            </w:pPr>
            <w:r w:rsidRPr="003003C0">
              <w:rPr>
                <w:rFonts w:cs="Arial"/>
                <w:color w:val="000000"/>
                <w:sz w:val="14"/>
                <w:szCs w:val="14"/>
              </w:rPr>
              <w:t>3</w:t>
            </w:r>
            <w:r>
              <w:rPr>
                <w:rFonts w:cs="Arial"/>
                <w:color w:val="000000"/>
                <w:sz w:val="14"/>
                <w:szCs w:val="14"/>
              </w:rPr>
              <w:t>.</w:t>
            </w:r>
            <w:r w:rsidRPr="003003C0">
              <w:rPr>
                <w:rFonts w:cs="Arial"/>
                <w:color w:val="000000"/>
                <w:sz w:val="14"/>
                <w:szCs w:val="14"/>
              </w:rPr>
              <w:t>4</w:t>
            </w:r>
          </w:p>
        </w:tc>
        <w:tc>
          <w:tcPr>
            <w:tcW w:w="787" w:type="dxa"/>
            <w:noWrap/>
            <w:vAlign w:val="center"/>
            <w:hideMark/>
          </w:tcPr>
          <w:p w14:paraId="14AB0149" w14:textId="77777777" w:rsidR="004F64EF" w:rsidRPr="003003C0" w:rsidRDefault="004F64EF" w:rsidP="00FD6B66">
            <w:pPr>
              <w:jc w:val="right"/>
              <w:rPr>
                <w:rFonts w:cs="Arial"/>
                <w:color w:val="000000"/>
                <w:sz w:val="14"/>
                <w:szCs w:val="14"/>
              </w:rPr>
            </w:pPr>
            <w:r w:rsidRPr="003003C0">
              <w:rPr>
                <w:rFonts w:cs="Arial"/>
                <w:color w:val="000000"/>
                <w:sz w:val="14"/>
                <w:szCs w:val="14"/>
              </w:rPr>
              <w:t>3</w:t>
            </w:r>
            <w:r>
              <w:rPr>
                <w:rFonts w:cs="Arial"/>
                <w:color w:val="000000"/>
                <w:sz w:val="14"/>
                <w:szCs w:val="14"/>
              </w:rPr>
              <w:t>.</w:t>
            </w:r>
            <w:r w:rsidRPr="003003C0">
              <w:rPr>
                <w:rFonts w:cs="Arial"/>
                <w:color w:val="000000"/>
                <w:sz w:val="14"/>
                <w:szCs w:val="14"/>
              </w:rPr>
              <w:t>3</w:t>
            </w:r>
          </w:p>
        </w:tc>
        <w:tc>
          <w:tcPr>
            <w:tcW w:w="788" w:type="dxa"/>
            <w:noWrap/>
            <w:vAlign w:val="center"/>
            <w:hideMark/>
          </w:tcPr>
          <w:p w14:paraId="7F5CF77A" w14:textId="77777777" w:rsidR="004F64EF" w:rsidRPr="003003C0" w:rsidRDefault="004F64EF" w:rsidP="00FD6B66">
            <w:pPr>
              <w:jc w:val="right"/>
              <w:rPr>
                <w:rFonts w:cs="Arial"/>
                <w:color w:val="000000"/>
                <w:sz w:val="14"/>
                <w:szCs w:val="14"/>
              </w:rPr>
            </w:pPr>
            <w:r w:rsidRPr="003003C0">
              <w:rPr>
                <w:rFonts w:cs="Arial"/>
                <w:color w:val="000000"/>
                <w:sz w:val="14"/>
                <w:szCs w:val="14"/>
              </w:rPr>
              <w:t>3</w:t>
            </w:r>
            <w:r>
              <w:rPr>
                <w:rFonts w:cs="Arial"/>
                <w:color w:val="000000"/>
                <w:sz w:val="14"/>
                <w:szCs w:val="14"/>
              </w:rPr>
              <w:t>.</w:t>
            </w:r>
            <w:r w:rsidRPr="003003C0">
              <w:rPr>
                <w:rFonts w:cs="Arial"/>
                <w:color w:val="000000"/>
                <w:sz w:val="14"/>
                <w:szCs w:val="14"/>
              </w:rPr>
              <w:t>0</w:t>
            </w:r>
          </w:p>
        </w:tc>
      </w:tr>
      <w:tr w:rsidR="004F64EF" w:rsidRPr="003003C0" w14:paraId="68067E71" w14:textId="77777777" w:rsidTr="00FD6B66">
        <w:trPr>
          <w:trHeight w:val="20"/>
        </w:trPr>
        <w:tc>
          <w:tcPr>
            <w:tcW w:w="3505" w:type="dxa"/>
            <w:noWrap/>
            <w:vAlign w:val="center"/>
            <w:hideMark/>
          </w:tcPr>
          <w:p w14:paraId="03E9100E" w14:textId="77777777" w:rsidR="004F64EF" w:rsidRPr="003003C0" w:rsidRDefault="004F64EF" w:rsidP="00FD6B66">
            <w:pPr>
              <w:tabs>
                <w:tab w:val="left" w:pos="510"/>
              </w:tabs>
              <w:jc w:val="left"/>
              <w:rPr>
                <w:rFonts w:cs="Arial"/>
                <w:color w:val="000000"/>
                <w:sz w:val="14"/>
                <w:szCs w:val="14"/>
              </w:rPr>
            </w:pPr>
            <w:r w:rsidRPr="003003C0">
              <w:rPr>
                <w:rFonts w:cs="Arial"/>
                <w:color w:val="000000"/>
                <w:sz w:val="14"/>
                <w:szCs w:val="14"/>
              </w:rPr>
              <w:tab/>
              <w:t>Ital</w:t>
            </w:r>
            <w:r>
              <w:rPr>
                <w:rFonts w:cs="Arial"/>
                <w:color w:val="000000"/>
                <w:sz w:val="14"/>
                <w:szCs w:val="14"/>
              </w:rPr>
              <w:t>y</w:t>
            </w:r>
          </w:p>
        </w:tc>
        <w:tc>
          <w:tcPr>
            <w:tcW w:w="787" w:type="dxa"/>
            <w:noWrap/>
            <w:vAlign w:val="center"/>
            <w:hideMark/>
          </w:tcPr>
          <w:p w14:paraId="1F198EB4" w14:textId="77777777" w:rsidR="004F64EF" w:rsidRPr="003003C0" w:rsidRDefault="004F64EF" w:rsidP="00FD6B66">
            <w:pPr>
              <w:jc w:val="right"/>
              <w:rPr>
                <w:rFonts w:cs="Arial"/>
                <w:color w:val="000000"/>
                <w:sz w:val="14"/>
                <w:szCs w:val="14"/>
              </w:rPr>
            </w:pPr>
            <w:r w:rsidRPr="003003C0">
              <w:rPr>
                <w:rFonts w:cs="Arial"/>
                <w:color w:val="000000"/>
                <w:sz w:val="14"/>
                <w:szCs w:val="14"/>
              </w:rPr>
              <w:t>1</w:t>
            </w:r>
            <w:r>
              <w:rPr>
                <w:rFonts w:cs="Arial"/>
                <w:color w:val="000000"/>
                <w:sz w:val="14"/>
                <w:szCs w:val="14"/>
              </w:rPr>
              <w:t>.</w:t>
            </w:r>
            <w:r w:rsidRPr="003003C0">
              <w:rPr>
                <w:rFonts w:cs="Arial"/>
                <w:color w:val="000000"/>
                <w:sz w:val="14"/>
                <w:szCs w:val="14"/>
              </w:rPr>
              <w:t>8</w:t>
            </w:r>
          </w:p>
        </w:tc>
        <w:tc>
          <w:tcPr>
            <w:tcW w:w="787" w:type="dxa"/>
            <w:noWrap/>
            <w:vAlign w:val="center"/>
            <w:hideMark/>
          </w:tcPr>
          <w:p w14:paraId="328449E9" w14:textId="77777777" w:rsidR="004F64EF" w:rsidRPr="003003C0" w:rsidRDefault="004F64EF" w:rsidP="00FD6B66">
            <w:pPr>
              <w:jc w:val="right"/>
              <w:rPr>
                <w:rFonts w:cs="Arial"/>
                <w:color w:val="000000"/>
                <w:sz w:val="14"/>
                <w:szCs w:val="14"/>
              </w:rPr>
            </w:pPr>
            <w:r w:rsidRPr="003003C0">
              <w:rPr>
                <w:rFonts w:cs="Arial"/>
                <w:color w:val="000000"/>
                <w:sz w:val="14"/>
                <w:szCs w:val="14"/>
              </w:rPr>
              <w:t>2</w:t>
            </w:r>
            <w:r>
              <w:rPr>
                <w:rFonts w:cs="Arial"/>
                <w:color w:val="000000"/>
                <w:sz w:val="14"/>
                <w:szCs w:val="14"/>
              </w:rPr>
              <w:t>.</w:t>
            </w:r>
            <w:r w:rsidRPr="003003C0">
              <w:rPr>
                <w:rFonts w:cs="Arial"/>
                <w:color w:val="000000"/>
                <w:sz w:val="14"/>
                <w:szCs w:val="14"/>
              </w:rPr>
              <w:t>8</w:t>
            </w:r>
          </w:p>
        </w:tc>
        <w:tc>
          <w:tcPr>
            <w:tcW w:w="787" w:type="dxa"/>
            <w:noWrap/>
            <w:vAlign w:val="center"/>
            <w:hideMark/>
          </w:tcPr>
          <w:p w14:paraId="1814442B" w14:textId="77777777" w:rsidR="004F64EF" w:rsidRPr="003003C0" w:rsidRDefault="004F64EF" w:rsidP="00FD6B66">
            <w:pPr>
              <w:jc w:val="right"/>
              <w:rPr>
                <w:rFonts w:cs="Arial"/>
                <w:color w:val="000000"/>
                <w:sz w:val="14"/>
                <w:szCs w:val="14"/>
              </w:rPr>
            </w:pPr>
            <w:r w:rsidRPr="003003C0">
              <w:rPr>
                <w:rFonts w:cs="Arial"/>
                <w:color w:val="000000"/>
                <w:sz w:val="14"/>
                <w:szCs w:val="14"/>
              </w:rPr>
              <w:t>1</w:t>
            </w:r>
            <w:r>
              <w:rPr>
                <w:rFonts w:cs="Arial"/>
                <w:color w:val="000000"/>
                <w:sz w:val="14"/>
                <w:szCs w:val="14"/>
              </w:rPr>
              <w:t>.</w:t>
            </w:r>
            <w:r w:rsidRPr="003003C0">
              <w:rPr>
                <w:rFonts w:cs="Arial"/>
                <w:color w:val="000000"/>
                <w:sz w:val="14"/>
                <w:szCs w:val="14"/>
              </w:rPr>
              <w:t>3</w:t>
            </w:r>
          </w:p>
        </w:tc>
        <w:tc>
          <w:tcPr>
            <w:tcW w:w="788" w:type="dxa"/>
            <w:noWrap/>
            <w:vAlign w:val="center"/>
            <w:hideMark/>
          </w:tcPr>
          <w:p w14:paraId="5C87D4E6" w14:textId="77777777" w:rsidR="004F64EF" w:rsidRPr="003003C0" w:rsidRDefault="004F64EF" w:rsidP="00FD6B66">
            <w:pPr>
              <w:jc w:val="right"/>
              <w:rPr>
                <w:rFonts w:cs="Arial"/>
                <w:color w:val="000000"/>
                <w:sz w:val="14"/>
                <w:szCs w:val="14"/>
              </w:rPr>
            </w:pPr>
            <w:r w:rsidRPr="003003C0">
              <w:rPr>
                <w:rFonts w:cs="Arial"/>
                <w:color w:val="000000"/>
                <w:sz w:val="14"/>
                <w:szCs w:val="14"/>
              </w:rPr>
              <w:t>1</w:t>
            </w:r>
            <w:r>
              <w:rPr>
                <w:rFonts w:cs="Arial"/>
                <w:color w:val="000000"/>
                <w:sz w:val="14"/>
                <w:szCs w:val="14"/>
              </w:rPr>
              <w:t>.</w:t>
            </w:r>
            <w:r w:rsidRPr="003003C0">
              <w:rPr>
                <w:rFonts w:cs="Arial"/>
                <w:color w:val="000000"/>
                <w:sz w:val="14"/>
                <w:szCs w:val="14"/>
              </w:rPr>
              <w:t>6</w:t>
            </w:r>
          </w:p>
        </w:tc>
        <w:tc>
          <w:tcPr>
            <w:tcW w:w="787" w:type="dxa"/>
            <w:noWrap/>
            <w:vAlign w:val="center"/>
            <w:hideMark/>
          </w:tcPr>
          <w:p w14:paraId="61FF6CFF" w14:textId="77777777" w:rsidR="004F64EF" w:rsidRPr="003003C0" w:rsidRDefault="004F64EF" w:rsidP="00FD6B66">
            <w:pPr>
              <w:jc w:val="right"/>
              <w:rPr>
                <w:rFonts w:cs="Arial"/>
                <w:color w:val="000000"/>
                <w:sz w:val="14"/>
                <w:szCs w:val="14"/>
              </w:rPr>
            </w:pPr>
            <w:r w:rsidRPr="003003C0">
              <w:rPr>
                <w:rFonts w:cs="Arial"/>
                <w:color w:val="000000"/>
                <w:sz w:val="14"/>
                <w:szCs w:val="14"/>
              </w:rPr>
              <w:t>2</w:t>
            </w:r>
            <w:r>
              <w:rPr>
                <w:rFonts w:cs="Arial"/>
                <w:color w:val="000000"/>
                <w:sz w:val="14"/>
                <w:szCs w:val="14"/>
              </w:rPr>
              <w:t>.</w:t>
            </w:r>
            <w:r w:rsidRPr="003003C0">
              <w:rPr>
                <w:rFonts w:cs="Arial"/>
                <w:color w:val="000000"/>
                <w:sz w:val="14"/>
                <w:szCs w:val="14"/>
              </w:rPr>
              <w:t>0</w:t>
            </w:r>
          </w:p>
        </w:tc>
        <w:tc>
          <w:tcPr>
            <w:tcW w:w="787" w:type="dxa"/>
            <w:noWrap/>
            <w:vAlign w:val="center"/>
            <w:hideMark/>
          </w:tcPr>
          <w:p w14:paraId="1F054CA1" w14:textId="77777777" w:rsidR="004F64EF" w:rsidRPr="003003C0" w:rsidRDefault="004F64EF" w:rsidP="00FD6B66">
            <w:pPr>
              <w:jc w:val="right"/>
              <w:rPr>
                <w:rFonts w:cs="Arial"/>
                <w:color w:val="000000"/>
                <w:sz w:val="14"/>
                <w:szCs w:val="14"/>
              </w:rPr>
            </w:pPr>
            <w:r w:rsidRPr="003003C0">
              <w:rPr>
                <w:rFonts w:cs="Arial"/>
                <w:color w:val="000000"/>
                <w:sz w:val="14"/>
                <w:szCs w:val="14"/>
              </w:rPr>
              <w:t>2</w:t>
            </w:r>
            <w:r>
              <w:rPr>
                <w:rFonts w:cs="Arial"/>
                <w:color w:val="000000"/>
                <w:sz w:val="14"/>
                <w:szCs w:val="14"/>
              </w:rPr>
              <w:t>.</w:t>
            </w:r>
            <w:r w:rsidRPr="003003C0">
              <w:rPr>
                <w:rFonts w:cs="Arial"/>
                <w:color w:val="000000"/>
                <w:sz w:val="14"/>
                <w:szCs w:val="14"/>
              </w:rPr>
              <w:t>2</w:t>
            </w:r>
          </w:p>
        </w:tc>
        <w:tc>
          <w:tcPr>
            <w:tcW w:w="788" w:type="dxa"/>
            <w:noWrap/>
            <w:vAlign w:val="center"/>
            <w:hideMark/>
          </w:tcPr>
          <w:p w14:paraId="295975BC" w14:textId="77777777" w:rsidR="004F64EF" w:rsidRPr="003003C0" w:rsidRDefault="004F64EF" w:rsidP="00FD6B66">
            <w:pPr>
              <w:jc w:val="right"/>
              <w:rPr>
                <w:rFonts w:cs="Arial"/>
                <w:color w:val="000000"/>
                <w:sz w:val="14"/>
                <w:szCs w:val="14"/>
              </w:rPr>
            </w:pPr>
            <w:r w:rsidRPr="003003C0">
              <w:rPr>
                <w:rFonts w:cs="Arial"/>
                <w:color w:val="000000"/>
                <w:sz w:val="14"/>
                <w:szCs w:val="14"/>
              </w:rPr>
              <w:t>2</w:t>
            </w:r>
            <w:r>
              <w:rPr>
                <w:rFonts w:cs="Arial"/>
                <w:color w:val="000000"/>
                <w:sz w:val="14"/>
                <w:szCs w:val="14"/>
              </w:rPr>
              <w:t>.</w:t>
            </w:r>
            <w:r w:rsidRPr="003003C0">
              <w:rPr>
                <w:rFonts w:cs="Arial"/>
                <w:color w:val="000000"/>
                <w:sz w:val="14"/>
                <w:szCs w:val="14"/>
              </w:rPr>
              <w:t>4</w:t>
            </w:r>
          </w:p>
        </w:tc>
      </w:tr>
      <w:tr w:rsidR="004F64EF" w:rsidRPr="003003C0" w14:paraId="17A65902" w14:textId="77777777" w:rsidTr="00FD6B66">
        <w:trPr>
          <w:cnfStyle w:val="000000010000" w:firstRow="0" w:lastRow="0" w:firstColumn="0" w:lastColumn="0" w:oddVBand="0" w:evenVBand="0" w:oddHBand="0" w:evenHBand="1" w:firstRowFirstColumn="0" w:firstRowLastColumn="0" w:lastRowFirstColumn="0" w:lastRowLastColumn="0"/>
          <w:trHeight w:val="20"/>
        </w:trPr>
        <w:tc>
          <w:tcPr>
            <w:tcW w:w="3505" w:type="dxa"/>
            <w:noWrap/>
            <w:vAlign w:val="center"/>
            <w:hideMark/>
          </w:tcPr>
          <w:p w14:paraId="5C2DAA63" w14:textId="77777777" w:rsidR="004F64EF" w:rsidRPr="003003C0" w:rsidRDefault="004F64EF" w:rsidP="00FD6B66">
            <w:pPr>
              <w:tabs>
                <w:tab w:val="left" w:pos="510"/>
              </w:tabs>
              <w:jc w:val="left"/>
              <w:rPr>
                <w:rFonts w:cs="Arial"/>
                <w:color w:val="000000"/>
                <w:sz w:val="14"/>
                <w:szCs w:val="14"/>
              </w:rPr>
            </w:pPr>
            <w:r w:rsidRPr="003003C0">
              <w:rPr>
                <w:rFonts w:cs="Arial"/>
                <w:color w:val="000000"/>
                <w:sz w:val="14"/>
                <w:szCs w:val="14"/>
              </w:rPr>
              <w:tab/>
            </w:r>
            <w:r>
              <w:rPr>
                <w:rFonts w:cs="Arial"/>
                <w:color w:val="000000"/>
                <w:sz w:val="14"/>
                <w:szCs w:val="14"/>
              </w:rPr>
              <w:t>Germany</w:t>
            </w:r>
          </w:p>
        </w:tc>
        <w:tc>
          <w:tcPr>
            <w:tcW w:w="787" w:type="dxa"/>
            <w:noWrap/>
            <w:vAlign w:val="center"/>
            <w:hideMark/>
          </w:tcPr>
          <w:p w14:paraId="5EEE8309" w14:textId="77777777" w:rsidR="004F64EF" w:rsidRPr="003003C0" w:rsidRDefault="004F64EF" w:rsidP="00FD6B66">
            <w:pPr>
              <w:jc w:val="right"/>
              <w:rPr>
                <w:rFonts w:cs="Arial"/>
                <w:color w:val="000000"/>
                <w:sz w:val="14"/>
                <w:szCs w:val="14"/>
              </w:rPr>
            </w:pPr>
            <w:r w:rsidRPr="003003C0">
              <w:rPr>
                <w:rFonts w:cs="Arial"/>
                <w:color w:val="000000"/>
                <w:sz w:val="14"/>
                <w:szCs w:val="14"/>
              </w:rPr>
              <w:t>1</w:t>
            </w:r>
            <w:r>
              <w:rPr>
                <w:rFonts w:cs="Arial"/>
                <w:color w:val="000000"/>
                <w:sz w:val="14"/>
                <w:szCs w:val="14"/>
              </w:rPr>
              <w:t>.</w:t>
            </w:r>
            <w:r w:rsidRPr="003003C0">
              <w:rPr>
                <w:rFonts w:cs="Arial"/>
                <w:color w:val="000000"/>
                <w:sz w:val="14"/>
                <w:szCs w:val="14"/>
              </w:rPr>
              <w:t>9</w:t>
            </w:r>
          </w:p>
        </w:tc>
        <w:tc>
          <w:tcPr>
            <w:tcW w:w="787" w:type="dxa"/>
            <w:noWrap/>
            <w:vAlign w:val="center"/>
            <w:hideMark/>
          </w:tcPr>
          <w:p w14:paraId="7F25DFC2" w14:textId="77777777" w:rsidR="004F64EF" w:rsidRPr="003003C0" w:rsidRDefault="004F64EF" w:rsidP="00FD6B66">
            <w:pPr>
              <w:jc w:val="right"/>
              <w:rPr>
                <w:rFonts w:cs="Arial"/>
                <w:color w:val="000000"/>
                <w:sz w:val="14"/>
                <w:szCs w:val="14"/>
              </w:rPr>
            </w:pPr>
            <w:r w:rsidRPr="003003C0">
              <w:rPr>
                <w:rFonts w:cs="Arial"/>
                <w:color w:val="000000"/>
                <w:sz w:val="14"/>
                <w:szCs w:val="14"/>
              </w:rPr>
              <w:t>1</w:t>
            </w:r>
            <w:r>
              <w:rPr>
                <w:rFonts w:cs="Arial"/>
                <w:color w:val="000000"/>
                <w:sz w:val="14"/>
                <w:szCs w:val="14"/>
              </w:rPr>
              <w:t>.</w:t>
            </w:r>
            <w:r w:rsidRPr="003003C0">
              <w:rPr>
                <w:rFonts w:cs="Arial"/>
                <w:color w:val="000000"/>
                <w:sz w:val="14"/>
                <w:szCs w:val="14"/>
              </w:rPr>
              <w:t>7</w:t>
            </w:r>
          </w:p>
        </w:tc>
        <w:tc>
          <w:tcPr>
            <w:tcW w:w="787" w:type="dxa"/>
            <w:noWrap/>
            <w:vAlign w:val="center"/>
            <w:hideMark/>
          </w:tcPr>
          <w:p w14:paraId="6B062077" w14:textId="77777777" w:rsidR="004F64EF" w:rsidRPr="003003C0" w:rsidRDefault="004F64EF" w:rsidP="00FD6B66">
            <w:pPr>
              <w:jc w:val="right"/>
              <w:rPr>
                <w:rFonts w:cs="Arial"/>
                <w:color w:val="000000"/>
                <w:sz w:val="14"/>
                <w:szCs w:val="14"/>
              </w:rPr>
            </w:pPr>
            <w:r w:rsidRPr="003003C0">
              <w:rPr>
                <w:rFonts w:cs="Arial"/>
                <w:color w:val="000000"/>
                <w:sz w:val="14"/>
                <w:szCs w:val="14"/>
              </w:rPr>
              <w:t>1</w:t>
            </w:r>
            <w:r>
              <w:rPr>
                <w:rFonts w:cs="Arial"/>
                <w:color w:val="000000"/>
                <w:sz w:val="14"/>
                <w:szCs w:val="14"/>
              </w:rPr>
              <w:t>.</w:t>
            </w:r>
            <w:r w:rsidRPr="003003C0">
              <w:rPr>
                <w:rFonts w:cs="Arial"/>
                <w:color w:val="000000"/>
                <w:sz w:val="14"/>
                <w:szCs w:val="14"/>
              </w:rPr>
              <w:t>7</w:t>
            </w:r>
          </w:p>
        </w:tc>
        <w:tc>
          <w:tcPr>
            <w:tcW w:w="788" w:type="dxa"/>
            <w:noWrap/>
            <w:vAlign w:val="center"/>
            <w:hideMark/>
          </w:tcPr>
          <w:p w14:paraId="65187355" w14:textId="77777777" w:rsidR="004F64EF" w:rsidRPr="003003C0" w:rsidRDefault="004F64EF" w:rsidP="00FD6B66">
            <w:pPr>
              <w:jc w:val="right"/>
              <w:rPr>
                <w:rFonts w:cs="Arial"/>
                <w:color w:val="000000"/>
                <w:sz w:val="14"/>
                <w:szCs w:val="14"/>
              </w:rPr>
            </w:pPr>
            <w:r w:rsidRPr="003003C0">
              <w:rPr>
                <w:rFonts w:cs="Arial"/>
                <w:color w:val="000000"/>
                <w:sz w:val="14"/>
                <w:szCs w:val="14"/>
              </w:rPr>
              <w:t>1</w:t>
            </w:r>
            <w:r>
              <w:rPr>
                <w:rFonts w:cs="Arial"/>
                <w:color w:val="000000"/>
                <w:sz w:val="14"/>
                <w:szCs w:val="14"/>
              </w:rPr>
              <w:t>.</w:t>
            </w:r>
            <w:r w:rsidRPr="003003C0">
              <w:rPr>
                <w:rFonts w:cs="Arial"/>
                <w:color w:val="000000"/>
                <w:sz w:val="14"/>
                <w:szCs w:val="14"/>
              </w:rPr>
              <w:t>9</w:t>
            </w:r>
          </w:p>
        </w:tc>
        <w:tc>
          <w:tcPr>
            <w:tcW w:w="787" w:type="dxa"/>
            <w:noWrap/>
            <w:vAlign w:val="center"/>
            <w:hideMark/>
          </w:tcPr>
          <w:p w14:paraId="760D78B0" w14:textId="77777777" w:rsidR="004F64EF" w:rsidRPr="003003C0" w:rsidRDefault="004F64EF" w:rsidP="00FD6B66">
            <w:pPr>
              <w:jc w:val="right"/>
              <w:rPr>
                <w:rFonts w:cs="Arial"/>
                <w:color w:val="000000"/>
                <w:sz w:val="14"/>
                <w:szCs w:val="14"/>
              </w:rPr>
            </w:pPr>
            <w:r w:rsidRPr="003003C0">
              <w:rPr>
                <w:rFonts w:cs="Arial"/>
                <w:color w:val="000000"/>
                <w:sz w:val="14"/>
                <w:szCs w:val="14"/>
              </w:rPr>
              <w:t>1</w:t>
            </w:r>
            <w:r>
              <w:rPr>
                <w:rFonts w:cs="Arial"/>
                <w:color w:val="000000"/>
                <w:sz w:val="14"/>
                <w:szCs w:val="14"/>
              </w:rPr>
              <w:t>.</w:t>
            </w:r>
            <w:r w:rsidRPr="003003C0">
              <w:rPr>
                <w:rFonts w:cs="Arial"/>
                <w:color w:val="000000"/>
                <w:sz w:val="14"/>
                <w:szCs w:val="14"/>
              </w:rPr>
              <w:t>7</w:t>
            </w:r>
          </w:p>
        </w:tc>
        <w:tc>
          <w:tcPr>
            <w:tcW w:w="787" w:type="dxa"/>
            <w:noWrap/>
            <w:vAlign w:val="center"/>
            <w:hideMark/>
          </w:tcPr>
          <w:p w14:paraId="7DDBFEF4" w14:textId="77777777" w:rsidR="004F64EF" w:rsidRPr="003003C0" w:rsidRDefault="004F64EF" w:rsidP="00FD6B66">
            <w:pPr>
              <w:jc w:val="right"/>
              <w:rPr>
                <w:rFonts w:cs="Arial"/>
                <w:color w:val="000000"/>
                <w:sz w:val="14"/>
                <w:szCs w:val="14"/>
              </w:rPr>
            </w:pPr>
            <w:r w:rsidRPr="003003C0">
              <w:rPr>
                <w:rFonts w:cs="Arial"/>
                <w:color w:val="000000"/>
                <w:sz w:val="14"/>
                <w:szCs w:val="14"/>
              </w:rPr>
              <w:t>2</w:t>
            </w:r>
            <w:r>
              <w:rPr>
                <w:rFonts w:cs="Arial"/>
                <w:color w:val="000000"/>
                <w:sz w:val="14"/>
                <w:szCs w:val="14"/>
              </w:rPr>
              <w:t>.</w:t>
            </w:r>
            <w:r w:rsidRPr="003003C0">
              <w:rPr>
                <w:rFonts w:cs="Arial"/>
                <w:color w:val="000000"/>
                <w:sz w:val="14"/>
                <w:szCs w:val="14"/>
              </w:rPr>
              <w:t>1</w:t>
            </w:r>
          </w:p>
        </w:tc>
        <w:tc>
          <w:tcPr>
            <w:tcW w:w="788" w:type="dxa"/>
            <w:noWrap/>
            <w:vAlign w:val="center"/>
            <w:hideMark/>
          </w:tcPr>
          <w:p w14:paraId="7BD0E321" w14:textId="77777777" w:rsidR="004F64EF" w:rsidRPr="003003C0" w:rsidRDefault="004F64EF" w:rsidP="00FD6B66">
            <w:pPr>
              <w:jc w:val="right"/>
              <w:rPr>
                <w:rFonts w:cs="Arial"/>
                <w:color w:val="000000"/>
                <w:sz w:val="14"/>
                <w:szCs w:val="14"/>
              </w:rPr>
            </w:pPr>
            <w:r w:rsidRPr="003003C0">
              <w:rPr>
                <w:rFonts w:cs="Arial"/>
                <w:color w:val="000000"/>
                <w:sz w:val="14"/>
                <w:szCs w:val="14"/>
              </w:rPr>
              <w:t>1</w:t>
            </w:r>
            <w:r>
              <w:rPr>
                <w:rFonts w:cs="Arial"/>
                <w:color w:val="000000"/>
                <w:sz w:val="14"/>
                <w:szCs w:val="14"/>
              </w:rPr>
              <w:t>.</w:t>
            </w:r>
            <w:r w:rsidRPr="003003C0">
              <w:rPr>
                <w:rFonts w:cs="Arial"/>
                <w:color w:val="000000"/>
                <w:sz w:val="14"/>
                <w:szCs w:val="14"/>
              </w:rPr>
              <w:t>8</w:t>
            </w:r>
          </w:p>
        </w:tc>
      </w:tr>
      <w:tr w:rsidR="004F64EF" w:rsidRPr="003003C0" w14:paraId="329828B6" w14:textId="77777777" w:rsidTr="00FD6B66">
        <w:trPr>
          <w:trHeight w:val="20"/>
        </w:trPr>
        <w:tc>
          <w:tcPr>
            <w:tcW w:w="3505" w:type="dxa"/>
            <w:noWrap/>
            <w:vAlign w:val="center"/>
            <w:hideMark/>
          </w:tcPr>
          <w:p w14:paraId="63B16A7B" w14:textId="77777777" w:rsidR="004F64EF" w:rsidRPr="003003C0" w:rsidRDefault="004F64EF" w:rsidP="00FD6B66">
            <w:pPr>
              <w:tabs>
                <w:tab w:val="left" w:pos="510"/>
              </w:tabs>
              <w:jc w:val="left"/>
              <w:rPr>
                <w:rFonts w:cs="Arial"/>
                <w:color w:val="000000"/>
                <w:sz w:val="14"/>
                <w:szCs w:val="14"/>
              </w:rPr>
            </w:pPr>
            <w:r w:rsidRPr="003003C0">
              <w:rPr>
                <w:rFonts w:cs="Arial"/>
                <w:color w:val="000000"/>
                <w:sz w:val="14"/>
                <w:szCs w:val="14"/>
              </w:rPr>
              <w:tab/>
            </w:r>
            <w:r>
              <w:rPr>
                <w:rFonts w:cs="Arial"/>
                <w:color w:val="000000"/>
                <w:sz w:val="14"/>
                <w:szCs w:val="14"/>
              </w:rPr>
              <w:t>Netherlands</w:t>
            </w:r>
          </w:p>
        </w:tc>
        <w:tc>
          <w:tcPr>
            <w:tcW w:w="787" w:type="dxa"/>
            <w:noWrap/>
            <w:vAlign w:val="center"/>
            <w:hideMark/>
          </w:tcPr>
          <w:p w14:paraId="284ED8D6"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5</w:t>
            </w:r>
          </w:p>
        </w:tc>
        <w:tc>
          <w:tcPr>
            <w:tcW w:w="787" w:type="dxa"/>
            <w:noWrap/>
            <w:vAlign w:val="center"/>
            <w:hideMark/>
          </w:tcPr>
          <w:p w14:paraId="73E14FA6"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6</w:t>
            </w:r>
          </w:p>
        </w:tc>
        <w:tc>
          <w:tcPr>
            <w:tcW w:w="787" w:type="dxa"/>
            <w:noWrap/>
            <w:vAlign w:val="center"/>
            <w:hideMark/>
          </w:tcPr>
          <w:p w14:paraId="25B97F34" w14:textId="77777777" w:rsidR="004F64EF" w:rsidRPr="003003C0" w:rsidRDefault="004F64EF" w:rsidP="00FD6B66">
            <w:pPr>
              <w:jc w:val="right"/>
              <w:rPr>
                <w:rFonts w:cs="Arial"/>
                <w:color w:val="000000"/>
                <w:sz w:val="14"/>
                <w:szCs w:val="14"/>
              </w:rPr>
            </w:pPr>
            <w:r w:rsidRPr="003003C0">
              <w:rPr>
                <w:rFonts w:cs="Arial"/>
                <w:color w:val="000000"/>
                <w:sz w:val="14"/>
                <w:szCs w:val="14"/>
              </w:rPr>
              <w:t>1</w:t>
            </w:r>
            <w:r>
              <w:rPr>
                <w:rFonts w:cs="Arial"/>
                <w:color w:val="000000"/>
                <w:sz w:val="14"/>
                <w:szCs w:val="14"/>
              </w:rPr>
              <w:t>.</w:t>
            </w:r>
            <w:r w:rsidRPr="003003C0">
              <w:rPr>
                <w:rFonts w:cs="Arial"/>
                <w:color w:val="000000"/>
                <w:sz w:val="14"/>
                <w:szCs w:val="14"/>
              </w:rPr>
              <w:t>4</w:t>
            </w:r>
          </w:p>
        </w:tc>
        <w:tc>
          <w:tcPr>
            <w:tcW w:w="788" w:type="dxa"/>
            <w:noWrap/>
            <w:vAlign w:val="center"/>
            <w:hideMark/>
          </w:tcPr>
          <w:p w14:paraId="5851B6F2" w14:textId="77777777" w:rsidR="004F64EF" w:rsidRPr="003003C0" w:rsidRDefault="004F64EF" w:rsidP="00FD6B66">
            <w:pPr>
              <w:jc w:val="right"/>
              <w:rPr>
                <w:rFonts w:cs="Arial"/>
                <w:color w:val="000000"/>
                <w:sz w:val="14"/>
                <w:szCs w:val="14"/>
              </w:rPr>
            </w:pPr>
            <w:r w:rsidRPr="003003C0">
              <w:rPr>
                <w:rFonts w:cs="Arial"/>
                <w:color w:val="000000"/>
                <w:sz w:val="14"/>
                <w:szCs w:val="14"/>
              </w:rPr>
              <w:t>1</w:t>
            </w:r>
            <w:r>
              <w:rPr>
                <w:rFonts w:cs="Arial"/>
                <w:color w:val="000000"/>
                <w:sz w:val="14"/>
                <w:szCs w:val="14"/>
              </w:rPr>
              <w:t>.</w:t>
            </w:r>
            <w:r w:rsidRPr="003003C0">
              <w:rPr>
                <w:rFonts w:cs="Arial"/>
                <w:color w:val="000000"/>
                <w:sz w:val="14"/>
                <w:szCs w:val="14"/>
              </w:rPr>
              <w:t>8</w:t>
            </w:r>
          </w:p>
        </w:tc>
        <w:tc>
          <w:tcPr>
            <w:tcW w:w="787" w:type="dxa"/>
            <w:noWrap/>
            <w:vAlign w:val="center"/>
            <w:hideMark/>
          </w:tcPr>
          <w:p w14:paraId="51E43F93" w14:textId="77777777" w:rsidR="004F64EF" w:rsidRPr="003003C0" w:rsidRDefault="004F64EF" w:rsidP="00FD6B66">
            <w:pPr>
              <w:jc w:val="right"/>
              <w:rPr>
                <w:rFonts w:cs="Arial"/>
                <w:color w:val="000000"/>
                <w:sz w:val="14"/>
                <w:szCs w:val="14"/>
              </w:rPr>
            </w:pPr>
            <w:r w:rsidRPr="003003C0">
              <w:rPr>
                <w:rFonts w:cs="Arial"/>
                <w:color w:val="000000"/>
                <w:sz w:val="14"/>
                <w:szCs w:val="14"/>
              </w:rPr>
              <w:t>2</w:t>
            </w:r>
            <w:r>
              <w:rPr>
                <w:rFonts w:cs="Arial"/>
                <w:color w:val="000000"/>
                <w:sz w:val="14"/>
                <w:szCs w:val="14"/>
              </w:rPr>
              <w:t>.</w:t>
            </w:r>
            <w:r w:rsidRPr="003003C0">
              <w:rPr>
                <w:rFonts w:cs="Arial"/>
                <w:color w:val="000000"/>
                <w:sz w:val="14"/>
                <w:szCs w:val="14"/>
              </w:rPr>
              <w:t>6</w:t>
            </w:r>
          </w:p>
        </w:tc>
        <w:tc>
          <w:tcPr>
            <w:tcW w:w="787" w:type="dxa"/>
            <w:noWrap/>
            <w:vAlign w:val="center"/>
            <w:hideMark/>
          </w:tcPr>
          <w:p w14:paraId="3C67C631" w14:textId="77777777" w:rsidR="004F64EF" w:rsidRPr="003003C0" w:rsidRDefault="004F64EF" w:rsidP="00FD6B66">
            <w:pPr>
              <w:jc w:val="right"/>
              <w:rPr>
                <w:rFonts w:cs="Arial"/>
                <w:color w:val="000000"/>
                <w:sz w:val="14"/>
                <w:szCs w:val="14"/>
              </w:rPr>
            </w:pPr>
            <w:r w:rsidRPr="003003C0">
              <w:rPr>
                <w:rFonts w:cs="Arial"/>
                <w:color w:val="000000"/>
                <w:sz w:val="14"/>
                <w:szCs w:val="14"/>
              </w:rPr>
              <w:t>1</w:t>
            </w:r>
            <w:r>
              <w:rPr>
                <w:rFonts w:cs="Arial"/>
                <w:color w:val="000000"/>
                <w:sz w:val="14"/>
                <w:szCs w:val="14"/>
              </w:rPr>
              <w:t>.</w:t>
            </w:r>
            <w:r w:rsidRPr="003003C0">
              <w:rPr>
                <w:rFonts w:cs="Arial"/>
                <w:color w:val="000000"/>
                <w:sz w:val="14"/>
                <w:szCs w:val="14"/>
              </w:rPr>
              <w:t>7</w:t>
            </w:r>
          </w:p>
        </w:tc>
        <w:tc>
          <w:tcPr>
            <w:tcW w:w="788" w:type="dxa"/>
            <w:noWrap/>
            <w:vAlign w:val="center"/>
            <w:hideMark/>
          </w:tcPr>
          <w:p w14:paraId="742B0CD4" w14:textId="77777777" w:rsidR="004F64EF" w:rsidRPr="003003C0" w:rsidRDefault="004F64EF" w:rsidP="00FD6B66">
            <w:pPr>
              <w:jc w:val="right"/>
              <w:rPr>
                <w:rFonts w:cs="Arial"/>
                <w:color w:val="000000"/>
                <w:sz w:val="14"/>
                <w:szCs w:val="14"/>
              </w:rPr>
            </w:pPr>
            <w:r w:rsidRPr="003003C0">
              <w:rPr>
                <w:rFonts w:cs="Arial"/>
                <w:color w:val="000000"/>
                <w:sz w:val="14"/>
                <w:szCs w:val="14"/>
              </w:rPr>
              <w:t>1</w:t>
            </w:r>
            <w:r>
              <w:rPr>
                <w:rFonts w:cs="Arial"/>
                <w:color w:val="000000"/>
                <w:sz w:val="14"/>
                <w:szCs w:val="14"/>
              </w:rPr>
              <w:t>.</w:t>
            </w:r>
            <w:r w:rsidRPr="003003C0">
              <w:rPr>
                <w:rFonts w:cs="Arial"/>
                <w:color w:val="000000"/>
                <w:sz w:val="14"/>
                <w:szCs w:val="14"/>
              </w:rPr>
              <w:t>3</w:t>
            </w:r>
          </w:p>
        </w:tc>
      </w:tr>
      <w:tr w:rsidR="004F64EF" w:rsidRPr="003003C0" w14:paraId="1FC3723B" w14:textId="77777777" w:rsidTr="00FD6B66">
        <w:trPr>
          <w:cnfStyle w:val="000000010000" w:firstRow="0" w:lastRow="0" w:firstColumn="0" w:lastColumn="0" w:oddVBand="0" w:evenVBand="0" w:oddHBand="0" w:evenHBand="1" w:firstRowFirstColumn="0" w:firstRowLastColumn="0" w:lastRowFirstColumn="0" w:lastRowLastColumn="0"/>
          <w:trHeight w:val="20"/>
        </w:trPr>
        <w:tc>
          <w:tcPr>
            <w:tcW w:w="3505" w:type="dxa"/>
            <w:noWrap/>
            <w:vAlign w:val="center"/>
            <w:hideMark/>
          </w:tcPr>
          <w:p w14:paraId="125EA629" w14:textId="77777777" w:rsidR="004F64EF" w:rsidRPr="003003C0" w:rsidRDefault="004F64EF" w:rsidP="00FD6B66">
            <w:pPr>
              <w:tabs>
                <w:tab w:val="left" w:pos="510"/>
              </w:tabs>
              <w:jc w:val="left"/>
              <w:rPr>
                <w:rFonts w:cs="Arial"/>
                <w:color w:val="000000"/>
                <w:sz w:val="14"/>
                <w:szCs w:val="14"/>
              </w:rPr>
            </w:pPr>
            <w:r w:rsidRPr="003003C0">
              <w:rPr>
                <w:rFonts w:cs="Arial"/>
                <w:color w:val="000000"/>
                <w:sz w:val="14"/>
                <w:szCs w:val="14"/>
              </w:rPr>
              <w:tab/>
              <w:t>Franc</w:t>
            </w:r>
            <w:r>
              <w:rPr>
                <w:rFonts w:cs="Arial"/>
                <w:color w:val="000000"/>
                <w:sz w:val="14"/>
                <w:szCs w:val="14"/>
              </w:rPr>
              <w:t>e</w:t>
            </w:r>
          </w:p>
        </w:tc>
        <w:tc>
          <w:tcPr>
            <w:tcW w:w="787" w:type="dxa"/>
            <w:noWrap/>
            <w:vAlign w:val="center"/>
            <w:hideMark/>
          </w:tcPr>
          <w:p w14:paraId="541936C7" w14:textId="77777777" w:rsidR="004F64EF" w:rsidRPr="003003C0" w:rsidRDefault="004F64EF" w:rsidP="00FD6B66">
            <w:pPr>
              <w:jc w:val="right"/>
              <w:rPr>
                <w:rFonts w:cs="Arial"/>
                <w:color w:val="000000"/>
                <w:sz w:val="14"/>
                <w:szCs w:val="14"/>
              </w:rPr>
            </w:pPr>
            <w:r w:rsidRPr="003003C0">
              <w:rPr>
                <w:rFonts w:cs="Arial"/>
                <w:color w:val="000000"/>
                <w:sz w:val="14"/>
                <w:szCs w:val="14"/>
              </w:rPr>
              <w:t>1</w:t>
            </w:r>
            <w:r>
              <w:rPr>
                <w:rFonts w:cs="Arial"/>
                <w:color w:val="000000"/>
                <w:sz w:val="14"/>
                <w:szCs w:val="14"/>
              </w:rPr>
              <w:t>.</w:t>
            </w:r>
            <w:r w:rsidRPr="003003C0">
              <w:rPr>
                <w:rFonts w:cs="Arial"/>
                <w:color w:val="000000"/>
                <w:sz w:val="14"/>
                <w:szCs w:val="14"/>
              </w:rPr>
              <w:t>0</w:t>
            </w:r>
          </w:p>
        </w:tc>
        <w:tc>
          <w:tcPr>
            <w:tcW w:w="787" w:type="dxa"/>
            <w:noWrap/>
            <w:vAlign w:val="center"/>
            <w:hideMark/>
          </w:tcPr>
          <w:p w14:paraId="66575FDC" w14:textId="77777777" w:rsidR="004F64EF" w:rsidRPr="003003C0" w:rsidRDefault="004F64EF" w:rsidP="00FD6B66">
            <w:pPr>
              <w:jc w:val="right"/>
              <w:rPr>
                <w:rFonts w:cs="Arial"/>
                <w:color w:val="000000"/>
                <w:sz w:val="14"/>
                <w:szCs w:val="14"/>
              </w:rPr>
            </w:pPr>
            <w:r w:rsidRPr="003003C0">
              <w:rPr>
                <w:rFonts w:cs="Arial"/>
                <w:color w:val="000000"/>
                <w:sz w:val="14"/>
                <w:szCs w:val="14"/>
              </w:rPr>
              <w:t>1</w:t>
            </w:r>
            <w:r>
              <w:rPr>
                <w:rFonts w:cs="Arial"/>
                <w:color w:val="000000"/>
                <w:sz w:val="14"/>
                <w:szCs w:val="14"/>
              </w:rPr>
              <w:t>.</w:t>
            </w:r>
            <w:r w:rsidRPr="003003C0">
              <w:rPr>
                <w:rFonts w:cs="Arial"/>
                <w:color w:val="000000"/>
                <w:sz w:val="14"/>
                <w:szCs w:val="14"/>
              </w:rPr>
              <w:t>0</w:t>
            </w:r>
          </w:p>
        </w:tc>
        <w:tc>
          <w:tcPr>
            <w:tcW w:w="787" w:type="dxa"/>
            <w:noWrap/>
            <w:vAlign w:val="center"/>
            <w:hideMark/>
          </w:tcPr>
          <w:p w14:paraId="41056685" w14:textId="77777777" w:rsidR="004F64EF" w:rsidRPr="003003C0" w:rsidRDefault="004F64EF" w:rsidP="00FD6B66">
            <w:pPr>
              <w:jc w:val="right"/>
              <w:rPr>
                <w:rFonts w:cs="Arial"/>
                <w:color w:val="000000"/>
                <w:sz w:val="14"/>
                <w:szCs w:val="14"/>
              </w:rPr>
            </w:pPr>
            <w:r w:rsidRPr="003003C0">
              <w:rPr>
                <w:rFonts w:cs="Arial"/>
                <w:color w:val="000000"/>
                <w:sz w:val="14"/>
                <w:szCs w:val="14"/>
              </w:rPr>
              <w:t>1</w:t>
            </w:r>
            <w:r>
              <w:rPr>
                <w:rFonts w:cs="Arial"/>
                <w:color w:val="000000"/>
                <w:sz w:val="14"/>
                <w:szCs w:val="14"/>
              </w:rPr>
              <w:t>.</w:t>
            </w:r>
            <w:r w:rsidRPr="003003C0">
              <w:rPr>
                <w:rFonts w:cs="Arial"/>
                <w:color w:val="000000"/>
                <w:sz w:val="14"/>
                <w:szCs w:val="14"/>
              </w:rPr>
              <w:t>1</w:t>
            </w:r>
          </w:p>
        </w:tc>
        <w:tc>
          <w:tcPr>
            <w:tcW w:w="788" w:type="dxa"/>
            <w:noWrap/>
            <w:vAlign w:val="center"/>
            <w:hideMark/>
          </w:tcPr>
          <w:p w14:paraId="073ACFDE"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8</w:t>
            </w:r>
          </w:p>
        </w:tc>
        <w:tc>
          <w:tcPr>
            <w:tcW w:w="787" w:type="dxa"/>
            <w:noWrap/>
            <w:vAlign w:val="center"/>
            <w:hideMark/>
          </w:tcPr>
          <w:p w14:paraId="76451910"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9</w:t>
            </w:r>
          </w:p>
        </w:tc>
        <w:tc>
          <w:tcPr>
            <w:tcW w:w="787" w:type="dxa"/>
            <w:noWrap/>
            <w:vAlign w:val="center"/>
            <w:hideMark/>
          </w:tcPr>
          <w:p w14:paraId="53DF7B77"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9</w:t>
            </w:r>
          </w:p>
        </w:tc>
        <w:tc>
          <w:tcPr>
            <w:tcW w:w="788" w:type="dxa"/>
            <w:noWrap/>
            <w:vAlign w:val="center"/>
            <w:hideMark/>
          </w:tcPr>
          <w:p w14:paraId="3F90596D"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9</w:t>
            </w:r>
          </w:p>
        </w:tc>
      </w:tr>
      <w:tr w:rsidR="004F64EF" w:rsidRPr="003003C0" w14:paraId="016C821E" w14:textId="77777777" w:rsidTr="00FD6B66">
        <w:trPr>
          <w:trHeight w:val="20"/>
        </w:trPr>
        <w:tc>
          <w:tcPr>
            <w:tcW w:w="3505" w:type="dxa"/>
            <w:noWrap/>
            <w:vAlign w:val="center"/>
            <w:hideMark/>
          </w:tcPr>
          <w:p w14:paraId="28020DCA" w14:textId="77777777" w:rsidR="004F64EF" w:rsidRPr="003003C0" w:rsidRDefault="004F64EF" w:rsidP="00FD6B66">
            <w:pPr>
              <w:tabs>
                <w:tab w:val="left" w:pos="113"/>
              </w:tabs>
              <w:jc w:val="left"/>
              <w:rPr>
                <w:rFonts w:cs="Arial"/>
                <w:color w:val="000000"/>
                <w:sz w:val="14"/>
                <w:szCs w:val="14"/>
              </w:rPr>
            </w:pPr>
            <w:r w:rsidRPr="003003C0">
              <w:rPr>
                <w:rFonts w:cs="Arial"/>
                <w:color w:val="000000"/>
                <w:sz w:val="14"/>
                <w:szCs w:val="14"/>
              </w:rPr>
              <w:tab/>
            </w:r>
            <w:r>
              <w:rPr>
                <w:rFonts w:cs="Arial"/>
                <w:color w:val="000000"/>
                <w:sz w:val="14"/>
                <w:szCs w:val="14"/>
              </w:rPr>
              <w:t>EFTA</w:t>
            </w:r>
          </w:p>
        </w:tc>
        <w:tc>
          <w:tcPr>
            <w:tcW w:w="787" w:type="dxa"/>
            <w:noWrap/>
            <w:vAlign w:val="center"/>
            <w:hideMark/>
          </w:tcPr>
          <w:p w14:paraId="71D7B561"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5</w:t>
            </w:r>
          </w:p>
        </w:tc>
        <w:tc>
          <w:tcPr>
            <w:tcW w:w="787" w:type="dxa"/>
            <w:noWrap/>
            <w:vAlign w:val="center"/>
            <w:hideMark/>
          </w:tcPr>
          <w:p w14:paraId="7B563083"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6</w:t>
            </w:r>
          </w:p>
        </w:tc>
        <w:tc>
          <w:tcPr>
            <w:tcW w:w="787" w:type="dxa"/>
            <w:noWrap/>
            <w:vAlign w:val="center"/>
            <w:hideMark/>
          </w:tcPr>
          <w:p w14:paraId="34900F8C"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6</w:t>
            </w:r>
          </w:p>
        </w:tc>
        <w:tc>
          <w:tcPr>
            <w:tcW w:w="788" w:type="dxa"/>
            <w:noWrap/>
            <w:vAlign w:val="center"/>
            <w:hideMark/>
          </w:tcPr>
          <w:p w14:paraId="15B12E60"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6</w:t>
            </w:r>
          </w:p>
        </w:tc>
        <w:tc>
          <w:tcPr>
            <w:tcW w:w="787" w:type="dxa"/>
            <w:noWrap/>
            <w:vAlign w:val="center"/>
            <w:hideMark/>
          </w:tcPr>
          <w:p w14:paraId="494CDB69"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6</w:t>
            </w:r>
          </w:p>
        </w:tc>
        <w:tc>
          <w:tcPr>
            <w:tcW w:w="787" w:type="dxa"/>
            <w:noWrap/>
            <w:vAlign w:val="center"/>
            <w:hideMark/>
          </w:tcPr>
          <w:p w14:paraId="248A3060"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7</w:t>
            </w:r>
          </w:p>
        </w:tc>
        <w:tc>
          <w:tcPr>
            <w:tcW w:w="788" w:type="dxa"/>
            <w:noWrap/>
            <w:vAlign w:val="center"/>
            <w:hideMark/>
          </w:tcPr>
          <w:p w14:paraId="646E958F"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6</w:t>
            </w:r>
          </w:p>
        </w:tc>
      </w:tr>
      <w:tr w:rsidR="004F64EF" w:rsidRPr="003003C0" w14:paraId="380E3FA1" w14:textId="77777777" w:rsidTr="00FD6B66">
        <w:trPr>
          <w:cnfStyle w:val="000000010000" w:firstRow="0" w:lastRow="0" w:firstColumn="0" w:lastColumn="0" w:oddVBand="0" w:evenVBand="0" w:oddHBand="0" w:evenHBand="1" w:firstRowFirstColumn="0" w:firstRowLastColumn="0" w:lastRowFirstColumn="0" w:lastRowLastColumn="0"/>
          <w:trHeight w:val="20"/>
        </w:trPr>
        <w:tc>
          <w:tcPr>
            <w:tcW w:w="3505" w:type="dxa"/>
            <w:noWrap/>
            <w:vAlign w:val="center"/>
            <w:hideMark/>
          </w:tcPr>
          <w:p w14:paraId="3AC87358" w14:textId="77777777" w:rsidR="004F64EF" w:rsidRPr="003003C0" w:rsidRDefault="004F64EF" w:rsidP="00FD6B66">
            <w:pPr>
              <w:tabs>
                <w:tab w:val="left" w:pos="510"/>
              </w:tabs>
              <w:jc w:val="left"/>
              <w:rPr>
                <w:rFonts w:cs="Arial"/>
                <w:color w:val="000000"/>
                <w:sz w:val="14"/>
                <w:szCs w:val="14"/>
              </w:rPr>
            </w:pPr>
            <w:r w:rsidRPr="003003C0">
              <w:rPr>
                <w:rFonts w:cs="Arial"/>
                <w:color w:val="000000"/>
                <w:sz w:val="14"/>
                <w:szCs w:val="14"/>
              </w:rPr>
              <w:tab/>
              <w:t>S</w:t>
            </w:r>
            <w:r>
              <w:rPr>
                <w:rFonts w:cs="Arial"/>
                <w:color w:val="000000"/>
                <w:sz w:val="14"/>
                <w:szCs w:val="14"/>
              </w:rPr>
              <w:t>witzerland</w:t>
            </w:r>
          </w:p>
        </w:tc>
        <w:tc>
          <w:tcPr>
            <w:tcW w:w="787" w:type="dxa"/>
            <w:noWrap/>
            <w:vAlign w:val="center"/>
            <w:hideMark/>
          </w:tcPr>
          <w:p w14:paraId="36FDC486"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3</w:t>
            </w:r>
          </w:p>
        </w:tc>
        <w:tc>
          <w:tcPr>
            <w:tcW w:w="787" w:type="dxa"/>
            <w:noWrap/>
            <w:vAlign w:val="center"/>
            <w:hideMark/>
          </w:tcPr>
          <w:p w14:paraId="4069078B"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3</w:t>
            </w:r>
          </w:p>
        </w:tc>
        <w:tc>
          <w:tcPr>
            <w:tcW w:w="787" w:type="dxa"/>
            <w:noWrap/>
            <w:vAlign w:val="center"/>
            <w:hideMark/>
          </w:tcPr>
          <w:p w14:paraId="1853488C"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3</w:t>
            </w:r>
          </w:p>
        </w:tc>
        <w:tc>
          <w:tcPr>
            <w:tcW w:w="788" w:type="dxa"/>
            <w:noWrap/>
            <w:vAlign w:val="center"/>
            <w:hideMark/>
          </w:tcPr>
          <w:p w14:paraId="4E12EFA9"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4</w:t>
            </w:r>
          </w:p>
        </w:tc>
        <w:tc>
          <w:tcPr>
            <w:tcW w:w="787" w:type="dxa"/>
            <w:noWrap/>
            <w:vAlign w:val="center"/>
            <w:hideMark/>
          </w:tcPr>
          <w:p w14:paraId="47810734"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3</w:t>
            </w:r>
          </w:p>
        </w:tc>
        <w:tc>
          <w:tcPr>
            <w:tcW w:w="787" w:type="dxa"/>
            <w:noWrap/>
            <w:vAlign w:val="center"/>
            <w:hideMark/>
          </w:tcPr>
          <w:p w14:paraId="3BFE2371"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4</w:t>
            </w:r>
          </w:p>
        </w:tc>
        <w:tc>
          <w:tcPr>
            <w:tcW w:w="788" w:type="dxa"/>
            <w:noWrap/>
            <w:vAlign w:val="center"/>
            <w:hideMark/>
          </w:tcPr>
          <w:p w14:paraId="1FA27FD1"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3</w:t>
            </w:r>
          </w:p>
        </w:tc>
      </w:tr>
      <w:tr w:rsidR="004F64EF" w:rsidRPr="003003C0" w14:paraId="58EEC20C" w14:textId="77777777" w:rsidTr="00FD6B66">
        <w:trPr>
          <w:trHeight w:val="20"/>
        </w:trPr>
        <w:tc>
          <w:tcPr>
            <w:tcW w:w="3505" w:type="dxa"/>
            <w:noWrap/>
            <w:vAlign w:val="center"/>
            <w:hideMark/>
          </w:tcPr>
          <w:p w14:paraId="15ABE100" w14:textId="77777777" w:rsidR="004F64EF" w:rsidRPr="003003C0" w:rsidRDefault="004F64EF" w:rsidP="00FD6B66">
            <w:pPr>
              <w:tabs>
                <w:tab w:val="left" w:pos="510"/>
              </w:tabs>
              <w:jc w:val="left"/>
              <w:rPr>
                <w:rFonts w:cs="Arial"/>
                <w:color w:val="000000"/>
                <w:sz w:val="14"/>
                <w:szCs w:val="14"/>
              </w:rPr>
            </w:pPr>
            <w:r w:rsidRPr="003003C0">
              <w:rPr>
                <w:rFonts w:cs="Arial"/>
                <w:color w:val="000000"/>
                <w:sz w:val="14"/>
                <w:szCs w:val="14"/>
              </w:rPr>
              <w:tab/>
              <w:t>Nor</w:t>
            </w:r>
            <w:r>
              <w:rPr>
                <w:rFonts w:cs="Arial"/>
                <w:color w:val="000000"/>
                <w:sz w:val="14"/>
                <w:szCs w:val="14"/>
              </w:rPr>
              <w:t>way</w:t>
            </w:r>
          </w:p>
        </w:tc>
        <w:tc>
          <w:tcPr>
            <w:tcW w:w="787" w:type="dxa"/>
            <w:noWrap/>
            <w:vAlign w:val="center"/>
            <w:hideMark/>
          </w:tcPr>
          <w:p w14:paraId="7DE38AD9"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2</w:t>
            </w:r>
          </w:p>
        </w:tc>
        <w:tc>
          <w:tcPr>
            <w:tcW w:w="787" w:type="dxa"/>
            <w:noWrap/>
            <w:vAlign w:val="center"/>
            <w:hideMark/>
          </w:tcPr>
          <w:p w14:paraId="1D529C79"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2</w:t>
            </w:r>
          </w:p>
        </w:tc>
        <w:tc>
          <w:tcPr>
            <w:tcW w:w="787" w:type="dxa"/>
            <w:noWrap/>
            <w:vAlign w:val="center"/>
            <w:hideMark/>
          </w:tcPr>
          <w:p w14:paraId="05498855"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2</w:t>
            </w:r>
          </w:p>
        </w:tc>
        <w:tc>
          <w:tcPr>
            <w:tcW w:w="788" w:type="dxa"/>
            <w:noWrap/>
            <w:vAlign w:val="center"/>
            <w:hideMark/>
          </w:tcPr>
          <w:p w14:paraId="70FFC518"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2</w:t>
            </w:r>
          </w:p>
        </w:tc>
        <w:tc>
          <w:tcPr>
            <w:tcW w:w="787" w:type="dxa"/>
            <w:noWrap/>
            <w:vAlign w:val="center"/>
            <w:hideMark/>
          </w:tcPr>
          <w:p w14:paraId="1F392DF8"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2</w:t>
            </w:r>
          </w:p>
        </w:tc>
        <w:tc>
          <w:tcPr>
            <w:tcW w:w="787" w:type="dxa"/>
            <w:noWrap/>
            <w:vAlign w:val="center"/>
            <w:hideMark/>
          </w:tcPr>
          <w:p w14:paraId="6FA54D7F"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3</w:t>
            </w:r>
          </w:p>
        </w:tc>
        <w:tc>
          <w:tcPr>
            <w:tcW w:w="788" w:type="dxa"/>
            <w:noWrap/>
            <w:vAlign w:val="center"/>
            <w:hideMark/>
          </w:tcPr>
          <w:p w14:paraId="339AE923"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3</w:t>
            </w:r>
          </w:p>
        </w:tc>
      </w:tr>
      <w:tr w:rsidR="004F64EF" w:rsidRPr="003003C0" w14:paraId="305B1F9D" w14:textId="77777777" w:rsidTr="00FD6B66">
        <w:trPr>
          <w:cnfStyle w:val="000000010000" w:firstRow="0" w:lastRow="0" w:firstColumn="0" w:lastColumn="0" w:oddVBand="0" w:evenVBand="0" w:oddHBand="0" w:evenHBand="1" w:firstRowFirstColumn="0" w:firstRowLastColumn="0" w:lastRowFirstColumn="0" w:lastRowLastColumn="0"/>
          <w:trHeight w:val="20"/>
        </w:trPr>
        <w:tc>
          <w:tcPr>
            <w:tcW w:w="3505" w:type="dxa"/>
            <w:noWrap/>
            <w:vAlign w:val="center"/>
            <w:hideMark/>
          </w:tcPr>
          <w:p w14:paraId="5A973A7F" w14:textId="77777777" w:rsidR="004F64EF" w:rsidRPr="003003C0" w:rsidRDefault="004F64EF" w:rsidP="00FD6B66">
            <w:pPr>
              <w:tabs>
                <w:tab w:val="left" w:pos="113"/>
              </w:tabs>
              <w:jc w:val="left"/>
              <w:rPr>
                <w:rFonts w:cs="Arial"/>
                <w:color w:val="000000"/>
                <w:sz w:val="14"/>
                <w:szCs w:val="14"/>
              </w:rPr>
            </w:pPr>
            <w:r w:rsidRPr="003003C0">
              <w:rPr>
                <w:rFonts w:cs="Arial"/>
                <w:color w:val="000000"/>
                <w:sz w:val="14"/>
                <w:szCs w:val="14"/>
              </w:rPr>
              <w:tab/>
              <w:t>Ot</w:t>
            </w:r>
            <w:r>
              <w:rPr>
                <w:rFonts w:cs="Arial"/>
                <w:color w:val="000000"/>
                <w:sz w:val="14"/>
                <w:szCs w:val="14"/>
              </w:rPr>
              <w:t xml:space="preserve">her </w:t>
            </w:r>
            <w:r w:rsidRPr="003003C0">
              <w:rPr>
                <w:rFonts w:cs="Arial"/>
                <w:color w:val="000000"/>
                <w:sz w:val="14"/>
                <w:szCs w:val="14"/>
              </w:rPr>
              <w:t>Europ</w:t>
            </w:r>
            <w:r>
              <w:rPr>
                <w:rFonts w:cs="Arial"/>
                <w:color w:val="000000"/>
                <w:sz w:val="14"/>
                <w:szCs w:val="14"/>
              </w:rPr>
              <w:t>e</w:t>
            </w:r>
          </w:p>
        </w:tc>
        <w:tc>
          <w:tcPr>
            <w:tcW w:w="787" w:type="dxa"/>
            <w:noWrap/>
            <w:vAlign w:val="center"/>
            <w:hideMark/>
          </w:tcPr>
          <w:p w14:paraId="76AC08CE" w14:textId="77777777" w:rsidR="004F64EF" w:rsidRPr="003003C0" w:rsidRDefault="004F64EF" w:rsidP="00FD6B66">
            <w:pPr>
              <w:jc w:val="right"/>
              <w:rPr>
                <w:rFonts w:cs="Arial"/>
                <w:color w:val="000000"/>
                <w:sz w:val="14"/>
                <w:szCs w:val="14"/>
              </w:rPr>
            </w:pPr>
            <w:r w:rsidRPr="003003C0">
              <w:rPr>
                <w:rFonts w:cs="Arial"/>
                <w:color w:val="000000"/>
                <w:sz w:val="14"/>
                <w:szCs w:val="14"/>
              </w:rPr>
              <w:t>1</w:t>
            </w:r>
            <w:r>
              <w:rPr>
                <w:rFonts w:cs="Arial"/>
                <w:color w:val="000000"/>
                <w:sz w:val="14"/>
                <w:szCs w:val="14"/>
              </w:rPr>
              <w:t>.</w:t>
            </w:r>
            <w:r w:rsidRPr="003003C0">
              <w:rPr>
                <w:rFonts w:cs="Arial"/>
                <w:color w:val="000000"/>
                <w:sz w:val="14"/>
                <w:szCs w:val="14"/>
              </w:rPr>
              <w:t>5</w:t>
            </w:r>
          </w:p>
        </w:tc>
        <w:tc>
          <w:tcPr>
            <w:tcW w:w="787" w:type="dxa"/>
            <w:noWrap/>
            <w:vAlign w:val="center"/>
            <w:hideMark/>
          </w:tcPr>
          <w:p w14:paraId="40DAAB8A" w14:textId="77777777" w:rsidR="004F64EF" w:rsidRPr="003003C0" w:rsidRDefault="004F64EF" w:rsidP="00FD6B66">
            <w:pPr>
              <w:jc w:val="right"/>
              <w:rPr>
                <w:rFonts w:cs="Arial"/>
                <w:color w:val="000000"/>
                <w:sz w:val="14"/>
                <w:szCs w:val="14"/>
              </w:rPr>
            </w:pPr>
            <w:r w:rsidRPr="003003C0">
              <w:rPr>
                <w:rFonts w:cs="Arial"/>
                <w:color w:val="000000"/>
                <w:sz w:val="14"/>
                <w:szCs w:val="14"/>
              </w:rPr>
              <w:t>1</w:t>
            </w:r>
            <w:r>
              <w:rPr>
                <w:rFonts w:cs="Arial"/>
                <w:color w:val="000000"/>
                <w:sz w:val="14"/>
                <w:szCs w:val="14"/>
              </w:rPr>
              <w:t>.</w:t>
            </w:r>
            <w:r w:rsidRPr="003003C0">
              <w:rPr>
                <w:rFonts w:cs="Arial"/>
                <w:color w:val="000000"/>
                <w:sz w:val="14"/>
                <w:szCs w:val="14"/>
              </w:rPr>
              <w:t>3</w:t>
            </w:r>
          </w:p>
        </w:tc>
        <w:tc>
          <w:tcPr>
            <w:tcW w:w="787" w:type="dxa"/>
            <w:noWrap/>
            <w:vAlign w:val="center"/>
            <w:hideMark/>
          </w:tcPr>
          <w:p w14:paraId="1FF3ABC5" w14:textId="77777777" w:rsidR="004F64EF" w:rsidRPr="003003C0" w:rsidRDefault="004F64EF" w:rsidP="00FD6B66">
            <w:pPr>
              <w:jc w:val="right"/>
              <w:rPr>
                <w:rFonts w:cs="Arial"/>
                <w:color w:val="000000"/>
                <w:sz w:val="14"/>
                <w:szCs w:val="14"/>
              </w:rPr>
            </w:pPr>
            <w:r w:rsidRPr="003003C0">
              <w:rPr>
                <w:rFonts w:cs="Arial"/>
                <w:color w:val="000000"/>
                <w:sz w:val="14"/>
                <w:szCs w:val="14"/>
              </w:rPr>
              <w:t>1</w:t>
            </w:r>
            <w:r>
              <w:rPr>
                <w:rFonts w:cs="Arial"/>
                <w:color w:val="000000"/>
                <w:sz w:val="14"/>
                <w:szCs w:val="14"/>
              </w:rPr>
              <w:t>.</w:t>
            </w:r>
            <w:r w:rsidRPr="003003C0">
              <w:rPr>
                <w:rFonts w:cs="Arial"/>
                <w:color w:val="000000"/>
                <w:sz w:val="14"/>
                <w:szCs w:val="14"/>
              </w:rPr>
              <w:t>3</w:t>
            </w:r>
          </w:p>
        </w:tc>
        <w:tc>
          <w:tcPr>
            <w:tcW w:w="788" w:type="dxa"/>
            <w:noWrap/>
            <w:vAlign w:val="center"/>
            <w:hideMark/>
          </w:tcPr>
          <w:p w14:paraId="621167DA" w14:textId="77777777" w:rsidR="004F64EF" w:rsidRPr="003003C0" w:rsidRDefault="004F64EF" w:rsidP="00FD6B66">
            <w:pPr>
              <w:jc w:val="right"/>
              <w:rPr>
                <w:rFonts w:cs="Arial"/>
                <w:color w:val="000000"/>
                <w:sz w:val="14"/>
                <w:szCs w:val="14"/>
              </w:rPr>
            </w:pPr>
            <w:r w:rsidRPr="003003C0">
              <w:rPr>
                <w:rFonts w:cs="Arial"/>
                <w:color w:val="000000"/>
                <w:sz w:val="14"/>
                <w:szCs w:val="14"/>
              </w:rPr>
              <w:t>1</w:t>
            </w:r>
            <w:r>
              <w:rPr>
                <w:rFonts w:cs="Arial"/>
                <w:color w:val="000000"/>
                <w:sz w:val="14"/>
                <w:szCs w:val="14"/>
              </w:rPr>
              <w:t>.</w:t>
            </w:r>
            <w:r w:rsidRPr="003003C0">
              <w:rPr>
                <w:rFonts w:cs="Arial"/>
                <w:color w:val="000000"/>
                <w:sz w:val="14"/>
                <w:szCs w:val="14"/>
              </w:rPr>
              <w:t>2</w:t>
            </w:r>
          </w:p>
        </w:tc>
        <w:tc>
          <w:tcPr>
            <w:tcW w:w="787" w:type="dxa"/>
            <w:noWrap/>
            <w:vAlign w:val="center"/>
            <w:hideMark/>
          </w:tcPr>
          <w:p w14:paraId="50C9F461" w14:textId="77777777" w:rsidR="004F64EF" w:rsidRPr="003003C0" w:rsidRDefault="004F64EF" w:rsidP="00FD6B66">
            <w:pPr>
              <w:jc w:val="right"/>
              <w:rPr>
                <w:rFonts w:cs="Arial"/>
                <w:color w:val="000000"/>
                <w:sz w:val="14"/>
                <w:szCs w:val="14"/>
              </w:rPr>
            </w:pPr>
            <w:r w:rsidRPr="003003C0">
              <w:rPr>
                <w:rFonts w:cs="Arial"/>
                <w:color w:val="000000"/>
                <w:sz w:val="14"/>
                <w:szCs w:val="14"/>
              </w:rPr>
              <w:t>1</w:t>
            </w:r>
            <w:r>
              <w:rPr>
                <w:rFonts w:cs="Arial"/>
                <w:color w:val="000000"/>
                <w:sz w:val="14"/>
                <w:szCs w:val="14"/>
              </w:rPr>
              <w:t>.</w:t>
            </w:r>
            <w:r w:rsidRPr="003003C0">
              <w:rPr>
                <w:rFonts w:cs="Arial"/>
                <w:color w:val="000000"/>
                <w:sz w:val="14"/>
                <w:szCs w:val="14"/>
              </w:rPr>
              <w:t>6</w:t>
            </w:r>
          </w:p>
        </w:tc>
        <w:tc>
          <w:tcPr>
            <w:tcW w:w="787" w:type="dxa"/>
            <w:noWrap/>
            <w:vAlign w:val="center"/>
            <w:hideMark/>
          </w:tcPr>
          <w:p w14:paraId="6EB11370" w14:textId="77777777" w:rsidR="004F64EF" w:rsidRPr="003003C0" w:rsidRDefault="004F64EF" w:rsidP="00FD6B66">
            <w:pPr>
              <w:jc w:val="right"/>
              <w:rPr>
                <w:rFonts w:cs="Arial"/>
                <w:color w:val="000000"/>
                <w:sz w:val="14"/>
                <w:szCs w:val="14"/>
              </w:rPr>
            </w:pPr>
            <w:r w:rsidRPr="003003C0">
              <w:rPr>
                <w:rFonts w:cs="Arial"/>
                <w:color w:val="000000"/>
                <w:sz w:val="14"/>
                <w:szCs w:val="14"/>
              </w:rPr>
              <w:t>2</w:t>
            </w:r>
            <w:r>
              <w:rPr>
                <w:rFonts w:cs="Arial"/>
                <w:color w:val="000000"/>
                <w:sz w:val="14"/>
                <w:szCs w:val="14"/>
              </w:rPr>
              <w:t>.</w:t>
            </w:r>
            <w:r w:rsidRPr="003003C0">
              <w:rPr>
                <w:rFonts w:cs="Arial"/>
                <w:color w:val="000000"/>
                <w:sz w:val="14"/>
                <w:szCs w:val="14"/>
              </w:rPr>
              <w:t>0</w:t>
            </w:r>
          </w:p>
        </w:tc>
        <w:tc>
          <w:tcPr>
            <w:tcW w:w="788" w:type="dxa"/>
            <w:noWrap/>
            <w:vAlign w:val="center"/>
            <w:hideMark/>
          </w:tcPr>
          <w:p w14:paraId="1A43A69A" w14:textId="77777777" w:rsidR="004F64EF" w:rsidRPr="003003C0" w:rsidRDefault="004F64EF" w:rsidP="00FD6B66">
            <w:pPr>
              <w:jc w:val="right"/>
              <w:rPr>
                <w:rFonts w:cs="Arial"/>
                <w:color w:val="000000"/>
                <w:sz w:val="14"/>
                <w:szCs w:val="14"/>
              </w:rPr>
            </w:pPr>
            <w:r w:rsidRPr="003003C0">
              <w:rPr>
                <w:rFonts w:cs="Arial"/>
                <w:color w:val="000000"/>
                <w:sz w:val="14"/>
                <w:szCs w:val="14"/>
              </w:rPr>
              <w:t>3</w:t>
            </w:r>
            <w:r>
              <w:rPr>
                <w:rFonts w:cs="Arial"/>
                <w:color w:val="000000"/>
                <w:sz w:val="14"/>
                <w:szCs w:val="14"/>
              </w:rPr>
              <w:t>.</w:t>
            </w:r>
            <w:r w:rsidRPr="003003C0">
              <w:rPr>
                <w:rFonts w:cs="Arial"/>
                <w:color w:val="000000"/>
                <w:sz w:val="14"/>
                <w:szCs w:val="14"/>
              </w:rPr>
              <w:t>2</w:t>
            </w:r>
          </w:p>
        </w:tc>
      </w:tr>
      <w:tr w:rsidR="004F64EF" w:rsidRPr="003003C0" w14:paraId="6301D4D3" w14:textId="77777777" w:rsidTr="00FD6B66">
        <w:trPr>
          <w:trHeight w:val="20"/>
        </w:trPr>
        <w:tc>
          <w:tcPr>
            <w:tcW w:w="3505" w:type="dxa"/>
            <w:noWrap/>
            <w:vAlign w:val="center"/>
            <w:hideMark/>
          </w:tcPr>
          <w:p w14:paraId="32D89052" w14:textId="77777777" w:rsidR="004F64EF" w:rsidRPr="003003C0" w:rsidRDefault="004F64EF" w:rsidP="00FD6B66">
            <w:pPr>
              <w:tabs>
                <w:tab w:val="left" w:pos="510"/>
              </w:tabs>
              <w:jc w:val="left"/>
              <w:rPr>
                <w:rFonts w:cs="Arial"/>
                <w:color w:val="000000"/>
                <w:sz w:val="14"/>
                <w:szCs w:val="14"/>
              </w:rPr>
            </w:pPr>
            <w:r w:rsidRPr="003003C0">
              <w:rPr>
                <w:rFonts w:cs="Arial"/>
                <w:color w:val="000000"/>
                <w:sz w:val="14"/>
                <w:szCs w:val="14"/>
              </w:rPr>
              <w:tab/>
              <w:t>U</w:t>
            </w:r>
            <w:r>
              <w:rPr>
                <w:rFonts w:cs="Arial"/>
                <w:color w:val="000000"/>
                <w:sz w:val="14"/>
                <w:szCs w:val="14"/>
              </w:rPr>
              <w:t>k</w:t>
            </w:r>
            <w:r w:rsidRPr="003003C0">
              <w:rPr>
                <w:rFonts w:cs="Arial"/>
                <w:color w:val="000000"/>
                <w:sz w:val="14"/>
                <w:szCs w:val="14"/>
              </w:rPr>
              <w:t>ra</w:t>
            </w:r>
            <w:r>
              <w:rPr>
                <w:rFonts w:cs="Arial"/>
                <w:color w:val="000000"/>
                <w:sz w:val="14"/>
                <w:szCs w:val="14"/>
              </w:rPr>
              <w:t>ine</w:t>
            </w:r>
          </w:p>
        </w:tc>
        <w:tc>
          <w:tcPr>
            <w:tcW w:w="787" w:type="dxa"/>
            <w:noWrap/>
            <w:vAlign w:val="center"/>
            <w:hideMark/>
          </w:tcPr>
          <w:p w14:paraId="39255BCD"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0</w:t>
            </w:r>
          </w:p>
        </w:tc>
        <w:tc>
          <w:tcPr>
            <w:tcW w:w="787" w:type="dxa"/>
            <w:noWrap/>
            <w:vAlign w:val="center"/>
            <w:hideMark/>
          </w:tcPr>
          <w:p w14:paraId="693FA249"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1</w:t>
            </w:r>
          </w:p>
        </w:tc>
        <w:tc>
          <w:tcPr>
            <w:tcW w:w="787" w:type="dxa"/>
            <w:noWrap/>
            <w:vAlign w:val="center"/>
            <w:hideMark/>
          </w:tcPr>
          <w:p w14:paraId="4941AA0E"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0</w:t>
            </w:r>
          </w:p>
        </w:tc>
        <w:tc>
          <w:tcPr>
            <w:tcW w:w="788" w:type="dxa"/>
            <w:noWrap/>
            <w:vAlign w:val="center"/>
            <w:hideMark/>
          </w:tcPr>
          <w:p w14:paraId="7725A543"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0</w:t>
            </w:r>
          </w:p>
        </w:tc>
        <w:tc>
          <w:tcPr>
            <w:tcW w:w="787" w:type="dxa"/>
            <w:noWrap/>
            <w:vAlign w:val="center"/>
            <w:hideMark/>
          </w:tcPr>
          <w:p w14:paraId="7A41F4CC"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0</w:t>
            </w:r>
          </w:p>
        </w:tc>
        <w:tc>
          <w:tcPr>
            <w:tcW w:w="787" w:type="dxa"/>
            <w:noWrap/>
            <w:vAlign w:val="center"/>
            <w:hideMark/>
          </w:tcPr>
          <w:p w14:paraId="4F5920E2"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5</w:t>
            </w:r>
          </w:p>
        </w:tc>
        <w:tc>
          <w:tcPr>
            <w:tcW w:w="788" w:type="dxa"/>
            <w:noWrap/>
            <w:vAlign w:val="center"/>
            <w:hideMark/>
          </w:tcPr>
          <w:p w14:paraId="294F51CC" w14:textId="77777777" w:rsidR="004F64EF" w:rsidRPr="003003C0" w:rsidRDefault="004F64EF" w:rsidP="00FD6B66">
            <w:pPr>
              <w:jc w:val="right"/>
              <w:rPr>
                <w:rFonts w:cs="Arial"/>
                <w:color w:val="000000"/>
                <w:sz w:val="14"/>
                <w:szCs w:val="14"/>
              </w:rPr>
            </w:pPr>
            <w:r w:rsidRPr="003003C0">
              <w:rPr>
                <w:rFonts w:cs="Arial"/>
                <w:color w:val="000000"/>
                <w:sz w:val="14"/>
                <w:szCs w:val="14"/>
              </w:rPr>
              <w:t>1</w:t>
            </w:r>
            <w:r>
              <w:rPr>
                <w:rFonts w:cs="Arial"/>
                <w:color w:val="000000"/>
                <w:sz w:val="14"/>
                <w:szCs w:val="14"/>
              </w:rPr>
              <w:t>.</w:t>
            </w:r>
            <w:r w:rsidRPr="003003C0">
              <w:rPr>
                <w:rFonts w:cs="Arial"/>
                <w:color w:val="000000"/>
                <w:sz w:val="14"/>
                <w:szCs w:val="14"/>
              </w:rPr>
              <w:t>2</w:t>
            </w:r>
          </w:p>
        </w:tc>
      </w:tr>
      <w:tr w:rsidR="004F64EF" w:rsidRPr="003003C0" w14:paraId="6ADA70F6" w14:textId="77777777" w:rsidTr="00FD6B66">
        <w:trPr>
          <w:cnfStyle w:val="000000010000" w:firstRow="0" w:lastRow="0" w:firstColumn="0" w:lastColumn="0" w:oddVBand="0" w:evenVBand="0" w:oddHBand="0" w:evenHBand="1" w:firstRowFirstColumn="0" w:firstRowLastColumn="0" w:lastRowFirstColumn="0" w:lastRowLastColumn="0"/>
          <w:trHeight w:val="20"/>
        </w:trPr>
        <w:tc>
          <w:tcPr>
            <w:tcW w:w="3505" w:type="dxa"/>
            <w:noWrap/>
            <w:vAlign w:val="center"/>
            <w:hideMark/>
          </w:tcPr>
          <w:p w14:paraId="584E9B10" w14:textId="77777777" w:rsidR="004F64EF" w:rsidRPr="003003C0" w:rsidRDefault="004F64EF" w:rsidP="00FD6B66">
            <w:pPr>
              <w:tabs>
                <w:tab w:val="left" w:pos="510"/>
              </w:tabs>
              <w:jc w:val="left"/>
              <w:rPr>
                <w:rFonts w:cs="Arial"/>
                <w:color w:val="000000"/>
                <w:sz w:val="14"/>
                <w:szCs w:val="14"/>
              </w:rPr>
            </w:pPr>
            <w:r w:rsidRPr="003003C0">
              <w:rPr>
                <w:rFonts w:cs="Arial"/>
                <w:color w:val="000000"/>
                <w:sz w:val="14"/>
                <w:szCs w:val="14"/>
              </w:rPr>
              <w:tab/>
            </w:r>
            <w:r>
              <w:rPr>
                <w:rFonts w:cs="Arial"/>
                <w:color w:val="000000"/>
                <w:sz w:val="14"/>
                <w:szCs w:val="14"/>
              </w:rPr>
              <w:t>United Kingdom</w:t>
            </w:r>
          </w:p>
        </w:tc>
        <w:tc>
          <w:tcPr>
            <w:tcW w:w="787" w:type="dxa"/>
            <w:noWrap/>
            <w:vAlign w:val="center"/>
            <w:hideMark/>
          </w:tcPr>
          <w:p w14:paraId="5A9F8AAE" w14:textId="77777777" w:rsidR="004F64EF" w:rsidRPr="003003C0" w:rsidRDefault="004F64EF" w:rsidP="00FD6B66">
            <w:pPr>
              <w:jc w:val="right"/>
              <w:rPr>
                <w:rFonts w:cs="Arial"/>
                <w:color w:val="000000"/>
                <w:sz w:val="14"/>
                <w:szCs w:val="14"/>
              </w:rPr>
            </w:pPr>
            <w:r w:rsidRPr="003003C0">
              <w:rPr>
                <w:rFonts w:cs="Arial"/>
                <w:color w:val="000000"/>
                <w:sz w:val="14"/>
                <w:szCs w:val="14"/>
              </w:rPr>
              <w:t>1</w:t>
            </w:r>
            <w:r>
              <w:rPr>
                <w:rFonts w:cs="Arial"/>
                <w:color w:val="000000"/>
                <w:sz w:val="14"/>
                <w:szCs w:val="14"/>
              </w:rPr>
              <w:t>.</w:t>
            </w:r>
            <w:r w:rsidRPr="003003C0">
              <w:rPr>
                <w:rFonts w:cs="Arial"/>
                <w:color w:val="000000"/>
                <w:sz w:val="14"/>
                <w:szCs w:val="14"/>
              </w:rPr>
              <w:t>0</w:t>
            </w:r>
          </w:p>
        </w:tc>
        <w:tc>
          <w:tcPr>
            <w:tcW w:w="787" w:type="dxa"/>
            <w:noWrap/>
            <w:vAlign w:val="center"/>
            <w:hideMark/>
          </w:tcPr>
          <w:p w14:paraId="35981532" w14:textId="77777777" w:rsidR="004F64EF" w:rsidRPr="003003C0" w:rsidRDefault="004F64EF" w:rsidP="00FD6B66">
            <w:pPr>
              <w:jc w:val="right"/>
              <w:rPr>
                <w:rFonts w:cs="Arial"/>
                <w:color w:val="000000"/>
                <w:sz w:val="14"/>
                <w:szCs w:val="14"/>
              </w:rPr>
            </w:pPr>
            <w:r w:rsidRPr="003003C0">
              <w:rPr>
                <w:rFonts w:cs="Arial"/>
                <w:color w:val="000000"/>
                <w:sz w:val="14"/>
                <w:szCs w:val="14"/>
              </w:rPr>
              <w:t>1</w:t>
            </w:r>
            <w:r>
              <w:rPr>
                <w:rFonts w:cs="Arial"/>
                <w:color w:val="000000"/>
                <w:sz w:val="14"/>
                <w:szCs w:val="14"/>
              </w:rPr>
              <w:t>.</w:t>
            </w:r>
            <w:r w:rsidRPr="003003C0">
              <w:rPr>
                <w:rFonts w:cs="Arial"/>
                <w:color w:val="000000"/>
                <w:sz w:val="14"/>
                <w:szCs w:val="14"/>
              </w:rPr>
              <w:t>0</w:t>
            </w:r>
          </w:p>
        </w:tc>
        <w:tc>
          <w:tcPr>
            <w:tcW w:w="787" w:type="dxa"/>
            <w:noWrap/>
            <w:vAlign w:val="center"/>
            <w:hideMark/>
          </w:tcPr>
          <w:p w14:paraId="2671ECCB"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8</w:t>
            </w:r>
          </w:p>
        </w:tc>
        <w:tc>
          <w:tcPr>
            <w:tcW w:w="788" w:type="dxa"/>
            <w:noWrap/>
            <w:vAlign w:val="center"/>
            <w:hideMark/>
          </w:tcPr>
          <w:p w14:paraId="7B95E21D"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7</w:t>
            </w:r>
          </w:p>
        </w:tc>
        <w:tc>
          <w:tcPr>
            <w:tcW w:w="787" w:type="dxa"/>
            <w:noWrap/>
            <w:vAlign w:val="center"/>
            <w:hideMark/>
          </w:tcPr>
          <w:p w14:paraId="40105F7B" w14:textId="77777777" w:rsidR="004F64EF" w:rsidRPr="003003C0" w:rsidRDefault="004F64EF" w:rsidP="00FD6B66">
            <w:pPr>
              <w:jc w:val="right"/>
              <w:rPr>
                <w:rFonts w:cs="Arial"/>
                <w:color w:val="000000"/>
                <w:sz w:val="14"/>
                <w:szCs w:val="14"/>
              </w:rPr>
            </w:pPr>
            <w:r w:rsidRPr="003003C0">
              <w:rPr>
                <w:rFonts w:cs="Arial"/>
                <w:color w:val="000000"/>
                <w:sz w:val="14"/>
                <w:szCs w:val="14"/>
              </w:rPr>
              <w:t>1</w:t>
            </w:r>
            <w:r>
              <w:rPr>
                <w:rFonts w:cs="Arial"/>
                <w:color w:val="000000"/>
                <w:sz w:val="14"/>
                <w:szCs w:val="14"/>
              </w:rPr>
              <w:t>.</w:t>
            </w:r>
            <w:r w:rsidRPr="003003C0">
              <w:rPr>
                <w:rFonts w:cs="Arial"/>
                <w:color w:val="000000"/>
                <w:sz w:val="14"/>
                <w:szCs w:val="14"/>
              </w:rPr>
              <w:t>0</w:t>
            </w:r>
          </w:p>
        </w:tc>
        <w:tc>
          <w:tcPr>
            <w:tcW w:w="787" w:type="dxa"/>
            <w:noWrap/>
            <w:vAlign w:val="center"/>
            <w:hideMark/>
          </w:tcPr>
          <w:p w14:paraId="4F2BCFB8"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9</w:t>
            </w:r>
          </w:p>
        </w:tc>
        <w:tc>
          <w:tcPr>
            <w:tcW w:w="788" w:type="dxa"/>
            <w:noWrap/>
            <w:vAlign w:val="center"/>
            <w:hideMark/>
          </w:tcPr>
          <w:p w14:paraId="5ECC9E1C" w14:textId="77777777" w:rsidR="004F64EF" w:rsidRPr="003003C0" w:rsidRDefault="004F64EF" w:rsidP="00FD6B66">
            <w:pPr>
              <w:jc w:val="right"/>
              <w:rPr>
                <w:rFonts w:cs="Arial"/>
                <w:color w:val="000000"/>
                <w:sz w:val="14"/>
                <w:szCs w:val="14"/>
              </w:rPr>
            </w:pPr>
            <w:r w:rsidRPr="003003C0">
              <w:rPr>
                <w:rFonts w:cs="Arial"/>
                <w:color w:val="000000"/>
                <w:sz w:val="14"/>
                <w:szCs w:val="14"/>
              </w:rPr>
              <w:t>1</w:t>
            </w:r>
            <w:r>
              <w:rPr>
                <w:rFonts w:cs="Arial"/>
                <w:color w:val="000000"/>
                <w:sz w:val="14"/>
                <w:szCs w:val="14"/>
              </w:rPr>
              <w:t>.</w:t>
            </w:r>
            <w:r w:rsidRPr="003003C0">
              <w:rPr>
                <w:rFonts w:cs="Arial"/>
                <w:color w:val="000000"/>
                <w:sz w:val="14"/>
                <w:szCs w:val="14"/>
              </w:rPr>
              <w:t>0</w:t>
            </w:r>
          </w:p>
        </w:tc>
      </w:tr>
      <w:tr w:rsidR="004F64EF" w:rsidRPr="003003C0" w14:paraId="2D904592" w14:textId="77777777" w:rsidTr="00FD6B66">
        <w:trPr>
          <w:trHeight w:val="20"/>
        </w:trPr>
        <w:tc>
          <w:tcPr>
            <w:tcW w:w="3505" w:type="dxa"/>
            <w:noWrap/>
            <w:vAlign w:val="center"/>
            <w:hideMark/>
          </w:tcPr>
          <w:p w14:paraId="592C7092" w14:textId="77777777" w:rsidR="004F64EF" w:rsidRPr="003003C0" w:rsidRDefault="004F64EF" w:rsidP="00FD6B66">
            <w:pPr>
              <w:tabs>
                <w:tab w:val="left" w:pos="510"/>
              </w:tabs>
              <w:jc w:val="left"/>
              <w:rPr>
                <w:rFonts w:cs="Arial"/>
                <w:sz w:val="14"/>
                <w:szCs w:val="14"/>
              </w:rPr>
            </w:pPr>
            <w:r w:rsidRPr="003003C0">
              <w:rPr>
                <w:rFonts w:cs="Arial"/>
                <w:color w:val="000000"/>
                <w:sz w:val="14"/>
                <w:szCs w:val="14"/>
              </w:rPr>
              <w:tab/>
            </w:r>
            <w:r w:rsidRPr="00714C0A">
              <w:rPr>
                <w:rFonts w:cs="Arial"/>
                <w:color w:val="000000"/>
                <w:sz w:val="14"/>
                <w:szCs w:val="14"/>
                <w:lang w:val="tr-TR"/>
              </w:rPr>
              <w:t>Türkiye</w:t>
            </w:r>
          </w:p>
        </w:tc>
        <w:tc>
          <w:tcPr>
            <w:tcW w:w="787" w:type="dxa"/>
            <w:noWrap/>
            <w:vAlign w:val="center"/>
            <w:hideMark/>
          </w:tcPr>
          <w:p w14:paraId="18E77DC3"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4</w:t>
            </w:r>
          </w:p>
        </w:tc>
        <w:tc>
          <w:tcPr>
            <w:tcW w:w="787" w:type="dxa"/>
            <w:noWrap/>
            <w:vAlign w:val="center"/>
            <w:hideMark/>
          </w:tcPr>
          <w:p w14:paraId="03D06AD3"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2</w:t>
            </w:r>
          </w:p>
        </w:tc>
        <w:tc>
          <w:tcPr>
            <w:tcW w:w="787" w:type="dxa"/>
            <w:noWrap/>
            <w:vAlign w:val="center"/>
            <w:hideMark/>
          </w:tcPr>
          <w:p w14:paraId="6D9ED0FB"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5</w:t>
            </w:r>
          </w:p>
        </w:tc>
        <w:tc>
          <w:tcPr>
            <w:tcW w:w="788" w:type="dxa"/>
            <w:noWrap/>
            <w:vAlign w:val="center"/>
            <w:hideMark/>
          </w:tcPr>
          <w:p w14:paraId="00C40D19"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5</w:t>
            </w:r>
          </w:p>
        </w:tc>
        <w:tc>
          <w:tcPr>
            <w:tcW w:w="787" w:type="dxa"/>
            <w:noWrap/>
            <w:vAlign w:val="center"/>
            <w:hideMark/>
          </w:tcPr>
          <w:p w14:paraId="7C37185F"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5</w:t>
            </w:r>
          </w:p>
        </w:tc>
        <w:tc>
          <w:tcPr>
            <w:tcW w:w="787" w:type="dxa"/>
            <w:noWrap/>
            <w:vAlign w:val="center"/>
            <w:hideMark/>
          </w:tcPr>
          <w:p w14:paraId="68AEFFBA"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7</w:t>
            </w:r>
          </w:p>
        </w:tc>
        <w:tc>
          <w:tcPr>
            <w:tcW w:w="788" w:type="dxa"/>
            <w:noWrap/>
            <w:vAlign w:val="center"/>
            <w:hideMark/>
          </w:tcPr>
          <w:p w14:paraId="1C957AAF"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9</w:t>
            </w:r>
          </w:p>
        </w:tc>
      </w:tr>
      <w:tr w:rsidR="004F64EF" w:rsidRPr="003003C0" w14:paraId="26FE5363" w14:textId="77777777" w:rsidTr="00FD6B66">
        <w:trPr>
          <w:cnfStyle w:val="000000010000" w:firstRow="0" w:lastRow="0" w:firstColumn="0" w:lastColumn="0" w:oddVBand="0" w:evenVBand="0" w:oddHBand="0" w:evenHBand="1" w:firstRowFirstColumn="0" w:firstRowLastColumn="0" w:lastRowFirstColumn="0" w:lastRowLastColumn="0"/>
          <w:trHeight w:val="20"/>
        </w:trPr>
        <w:tc>
          <w:tcPr>
            <w:tcW w:w="3505" w:type="dxa"/>
            <w:noWrap/>
            <w:vAlign w:val="center"/>
            <w:hideMark/>
          </w:tcPr>
          <w:p w14:paraId="12C9BC25" w14:textId="77777777" w:rsidR="004F64EF" w:rsidRPr="003003C0" w:rsidRDefault="004F64EF" w:rsidP="00FD6B66">
            <w:pPr>
              <w:jc w:val="left"/>
              <w:rPr>
                <w:rFonts w:cs="Arial"/>
                <w:color w:val="000000"/>
                <w:sz w:val="14"/>
                <w:szCs w:val="14"/>
              </w:rPr>
            </w:pPr>
            <w:r w:rsidRPr="00714C0A">
              <w:rPr>
                <w:rFonts w:cs="Arial"/>
                <w:color w:val="000000"/>
                <w:sz w:val="14"/>
                <w:szCs w:val="14"/>
              </w:rPr>
              <w:t xml:space="preserve">Commonwealth of Independent States </w:t>
            </w:r>
            <w:r w:rsidRPr="003003C0">
              <w:rPr>
                <w:rFonts w:cs="Arial"/>
                <w:color w:val="000000"/>
                <w:sz w:val="14"/>
                <w:szCs w:val="14"/>
              </w:rPr>
              <w:t>(C</w:t>
            </w:r>
            <w:r>
              <w:rPr>
                <w:rFonts w:cs="Arial"/>
                <w:color w:val="000000"/>
                <w:sz w:val="14"/>
                <w:szCs w:val="14"/>
              </w:rPr>
              <w:t>IS</w:t>
            </w:r>
            <w:r w:rsidRPr="003003C0">
              <w:rPr>
                <w:rFonts w:cs="Arial"/>
                <w:color w:val="000000"/>
                <w:sz w:val="14"/>
                <w:szCs w:val="14"/>
              </w:rPr>
              <w:t>)</w:t>
            </w:r>
            <w:r w:rsidRPr="003003C0">
              <w:rPr>
                <w:rFonts w:cs="Arial"/>
                <w:color w:val="000000"/>
                <w:sz w:val="14"/>
                <w:szCs w:val="14"/>
                <w:vertAlign w:val="superscript"/>
              </w:rPr>
              <w:t>a</w:t>
            </w:r>
          </w:p>
        </w:tc>
        <w:tc>
          <w:tcPr>
            <w:tcW w:w="787" w:type="dxa"/>
            <w:noWrap/>
            <w:vAlign w:val="center"/>
            <w:hideMark/>
          </w:tcPr>
          <w:p w14:paraId="6043A391" w14:textId="77777777" w:rsidR="004F64EF" w:rsidRPr="003003C0" w:rsidRDefault="004F64EF" w:rsidP="00FD6B66">
            <w:pPr>
              <w:jc w:val="right"/>
              <w:rPr>
                <w:rFonts w:cs="Arial"/>
                <w:color w:val="000000"/>
                <w:sz w:val="14"/>
                <w:szCs w:val="14"/>
              </w:rPr>
            </w:pPr>
            <w:r w:rsidRPr="003003C0">
              <w:rPr>
                <w:rFonts w:cs="Arial"/>
                <w:color w:val="000000"/>
                <w:sz w:val="14"/>
                <w:szCs w:val="14"/>
              </w:rPr>
              <w:t>1</w:t>
            </w:r>
            <w:r>
              <w:rPr>
                <w:rFonts w:cs="Arial"/>
                <w:color w:val="000000"/>
                <w:sz w:val="14"/>
                <w:szCs w:val="14"/>
              </w:rPr>
              <w:t>.</w:t>
            </w:r>
            <w:r w:rsidRPr="003003C0">
              <w:rPr>
                <w:rFonts w:cs="Arial"/>
                <w:color w:val="000000"/>
                <w:sz w:val="14"/>
                <w:szCs w:val="14"/>
              </w:rPr>
              <w:t>0</w:t>
            </w:r>
          </w:p>
        </w:tc>
        <w:tc>
          <w:tcPr>
            <w:tcW w:w="787" w:type="dxa"/>
            <w:noWrap/>
            <w:vAlign w:val="center"/>
            <w:hideMark/>
          </w:tcPr>
          <w:p w14:paraId="1DE6E07F"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3</w:t>
            </w:r>
          </w:p>
        </w:tc>
        <w:tc>
          <w:tcPr>
            <w:tcW w:w="787" w:type="dxa"/>
            <w:noWrap/>
            <w:vAlign w:val="center"/>
            <w:hideMark/>
          </w:tcPr>
          <w:p w14:paraId="3D3F346A"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3</w:t>
            </w:r>
          </w:p>
        </w:tc>
        <w:tc>
          <w:tcPr>
            <w:tcW w:w="788" w:type="dxa"/>
            <w:noWrap/>
            <w:vAlign w:val="center"/>
            <w:hideMark/>
          </w:tcPr>
          <w:p w14:paraId="3CCA9CE7"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5</w:t>
            </w:r>
          </w:p>
        </w:tc>
        <w:tc>
          <w:tcPr>
            <w:tcW w:w="787" w:type="dxa"/>
            <w:noWrap/>
            <w:vAlign w:val="center"/>
            <w:hideMark/>
          </w:tcPr>
          <w:p w14:paraId="43F20DF4"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3</w:t>
            </w:r>
          </w:p>
        </w:tc>
        <w:tc>
          <w:tcPr>
            <w:tcW w:w="787" w:type="dxa"/>
            <w:noWrap/>
            <w:vAlign w:val="center"/>
            <w:hideMark/>
          </w:tcPr>
          <w:p w14:paraId="380E20C8"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4</w:t>
            </w:r>
          </w:p>
        </w:tc>
        <w:tc>
          <w:tcPr>
            <w:tcW w:w="788" w:type="dxa"/>
            <w:noWrap/>
            <w:vAlign w:val="center"/>
            <w:hideMark/>
          </w:tcPr>
          <w:p w14:paraId="110C7C04"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6</w:t>
            </w:r>
          </w:p>
        </w:tc>
      </w:tr>
      <w:tr w:rsidR="004F64EF" w:rsidRPr="003003C0" w14:paraId="624DF5C8" w14:textId="77777777" w:rsidTr="00FD6B66">
        <w:trPr>
          <w:trHeight w:val="20"/>
        </w:trPr>
        <w:tc>
          <w:tcPr>
            <w:tcW w:w="3505" w:type="dxa"/>
            <w:noWrap/>
            <w:vAlign w:val="center"/>
            <w:hideMark/>
          </w:tcPr>
          <w:p w14:paraId="05D1BDB5" w14:textId="77777777" w:rsidR="004F64EF" w:rsidRPr="003003C0" w:rsidRDefault="004F64EF" w:rsidP="00FD6B66">
            <w:pPr>
              <w:tabs>
                <w:tab w:val="left" w:pos="510"/>
              </w:tabs>
              <w:jc w:val="left"/>
              <w:rPr>
                <w:rFonts w:cs="Arial"/>
                <w:color w:val="000000"/>
                <w:sz w:val="14"/>
                <w:szCs w:val="14"/>
              </w:rPr>
            </w:pPr>
            <w:r w:rsidRPr="003003C0">
              <w:rPr>
                <w:rFonts w:cs="Arial"/>
                <w:color w:val="000000"/>
                <w:sz w:val="14"/>
                <w:szCs w:val="14"/>
              </w:rPr>
              <w:tab/>
            </w:r>
            <w:r>
              <w:rPr>
                <w:rFonts w:cs="Arial"/>
                <w:color w:val="000000"/>
                <w:sz w:val="14"/>
                <w:szCs w:val="14"/>
              </w:rPr>
              <w:t>Russian Federation</w:t>
            </w:r>
          </w:p>
        </w:tc>
        <w:tc>
          <w:tcPr>
            <w:tcW w:w="787" w:type="dxa"/>
            <w:noWrap/>
            <w:vAlign w:val="center"/>
            <w:hideMark/>
          </w:tcPr>
          <w:p w14:paraId="5A6779D5" w14:textId="77777777" w:rsidR="004F64EF" w:rsidRPr="003003C0" w:rsidRDefault="004F64EF" w:rsidP="00FD6B66">
            <w:pPr>
              <w:jc w:val="right"/>
              <w:rPr>
                <w:rFonts w:cs="Arial"/>
                <w:color w:val="000000"/>
                <w:sz w:val="14"/>
                <w:szCs w:val="14"/>
              </w:rPr>
            </w:pPr>
            <w:r w:rsidRPr="003003C0">
              <w:rPr>
                <w:rFonts w:cs="Arial"/>
                <w:color w:val="000000"/>
                <w:sz w:val="14"/>
                <w:szCs w:val="14"/>
              </w:rPr>
              <w:t>1</w:t>
            </w:r>
            <w:r>
              <w:rPr>
                <w:rFonts w:cs="Arial"/>
                <w:color w:val="000000"/>
                <w:sz w:val="14"/>
                <w:szCs w:val="14"/>
              </w:rPr>
              <w:t>.</w:t>
            </w:r>
            <w:r w:rsidRPr="003003C0">
              <w:rPr>
                <w:rFonts w:cs="Arial"/>
                <w:color w:val="000000"/>
                <w:sz w:val="14"/>
                <w:szCs w:val="14"/>
              </w:rPr>
              <w:t>0</w:t>
            </w:r>
          </w:p>
        </w:tc>
        <w:tc>
          <w:tcPr>
            <w:tcW w:w="787" w:type="dxa"/>
            <w:noWrap/>
            <w:vAlign w:val="center"/>
            <w:hideMark/>
          </w:tcPr>
          <w:p w14:paraId="4EB9B93E"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3</w:t>
            </w:r>
          </w:p>
        </w:tc>
        <w:tc>
          <w:tcPr>
            <w:tcW w:w="787" w:type="dxa"/>
            <w:noWrap/>
            <w:vAlign w:val="center"/>
            <w:hideMark/>
          </w:tcPr>
          <w:p w14:paraId="460469B2"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3</w:t>
            </w:r>
          </w:p>
        </w:tc>
        <w:tc>
          <w:tcPr>
            <w:tcW w:w="788" w:type="dxa"/>
            <w:noWrap/>
            <w:vAlign w:val="center"/>
            <w:hideMark/>
          </w:tcPr>
          <w:p w14:paraId="3257BA44"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5</w:t>
            </w:r>
          </w:p>
        </w:tc>
        <w:tc>
          <w:tcPr>
            <w:tcW w:w="787" w:type="dxa"/>
            <w:noWrap/>
            <w:vAlign w:val="center"/>
            <w:hideMark/>
          </w:tcPr>
          <w:p w14:paraId="6A918C0E"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3</w:t>
            </w:r>
          </w:p>
        </w:tc>
        <w:tc>
          <w:tcPr>
            <w:tcW w:w="787" w:type="dxa"/>
            <w:noWrap/>
            <w:vAlign w:val="center"/>
            <w:hideMark/>
          </w:tcPr>
          <w:p w14:paraId="6CB6EE9E"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4</w:t>
            </w:r>
          </w:p>
        </w:tc>
        <w:tc>
          <w:tcPr>
            <w:tcW w:w="788" w:type="dxa"/>
            <w:noWrap/>
            <w:vAlign w:val="center"/>
            <w:hideMark/>
          </w:tcPr>
          <w:p w14:paraId="40ED1511"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6</w:t>
            </w:r>
          </w:p>
        </w:tc>
      </w:tr>
      <w:tr w:rsidR="004F64EF" w:rsidRPr="003003C0" w14:paraId="3F1A2C07" w14:textId="77777777" w:rsidTr="00FD6B66">
        <w:trPr>
          <w:cnfStyle w:val="000000010000" w:firstRow="0" w:lastRow="0" w:firstColumn="0" w:lastColumn="0" w:oddVBand="0" w:evenVBand="0" w:oddHBand="0" w:evenHBand="1" w:firstRowFirstColumn="0" w:firstRowLastColumn="0" w:lastRowFirstColumn="0" w:lastRowLastColumn="0"/>
          <w:trHeight w:val="20"/>
        </w:trPr>
        <w:tc>
          <w:tcPr>
            <w:tcW w:w="3505" w:type="dxa"/>
            <w:noWrap/>
            <w:vAlign w:val="center"/>
            <w:hideMark/>
          </w:tcPr>
          <w:p w14:paraId="63DAD3DE" w14:textId="77777777" w:rsidR="004F64EF" w:rsidRPr="003003C0" w:rsidRDefault="004F64EF" w:rsidP="00FD6B66">
            <w:pPr>
              <w:jc w:val="left"/>
              <w:rPr>
                <w:rFonts w:cs="Arial"/>
                <w:color w:val="000000"/>
                <w:sz w:val="14"/>
                <w:szCs w:val="14"/>
              </w:rPr>
            </w:pPr>
            <w:r>
              <w:rPr>
                <w:rFonts w:cs="Arial"/>
                <w:color w:val="000000"/>
                <w:sz w:val="14"/>
                <w:szCs w:val="14"/>
              </w:rPr>
              <w:t>A</w:t>
            </w:r>
            <w:r w:rsidRPr="003003C0">
              <w:rPr>
                <w:rFonts w:cs="Arial"/>
                <w:color w:val="000000"/>
                <w:sz w:val="14"/>
                <w:szCs w:val="14"/>
              </w:rPr>
              <w:t>frica</w:t>
            </w:r>
          </w:p>
        </w:tc>
        <w:tc>
          <w:tcPr>
            <w:tcW w:w="787" w:type="dxa"/>
            <w:noWrap/>
            <w:vAlign w:val="center"/>
            <w:hideMark/>
          </w:tcPr>
          <w:p w14:paraId="5CFEE029"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2</w:t>
            </w:r>
          </w:p>
        </w:tc>
        <w:tc>
          <w:tcPr>
            <w:tcW w:w="787" w:type="dxa"/>
            <w:noWrap/>
            <w:vAlign w:val="center"/>
            <w:hideMark/>
          </w:tcPr>
          <w:p w14:paraId="38EA700B"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2</w:t>
            </w:r>
          </w:p>
        </w:tc>
        <w:tc>
          <w:tcPr>
            <w:tcW w:w="787" w:type="dxa"/>
            <w:noWrap/>
            <w:vAlign w:val="center"/>
            <w:hideMark/>
          </w:tcPr>
          <w:p w14:paraId="14D92619" w14:textId="77777777" w:rsidR="004F64EF" w:rsidRPr="003003C0" w:rsidRDefault="004F64EF" w:rsidP="00FD6B66">
            <w:pPr>
              <w:jc w:val="right"/>
              <w:rPr>
                <w:rFonts w:cs="Arial"/>
                <w:color w:val="000000"/>
                <w:sz w:val="14"/>
                <w:szCs w:val="14"/>
              </w:rPr>
            </w:pPr>
            <w:r w:rsidRPr="003003C0">
              <w:rPr>
                <w:rFonts w:cs="Arial"/>
                <w:color w:val="000000"/>
                <w:sz w:val="14"/>
                <w:szCs w:val="14"/>
              </w:rPr>
              <w:t>1</w:t>
            </w:r>
            <w:r>
              <w:rPr>
                <w:rFonts w:cs="Arial"/>
                <w:color w:val="000000"/>
                <w:sz w:val="14"/>
                <w:szCs w:val="14"/>
              </w:rPr>
              <w:t>.</w:t>
            </w:r>
            <w:r w:rsidRPr="003003C0">
              <w:rPr>
                <w:rFonts w:cs="Arial"/>
                <w:color w:val="000000"/>
                <w:sz w:val="14"/>
                <w:szCs w:val="14"/>
              </w:rPr>
              <w:t>3</w:t>
            </w:r>
          </w:p>
        </w:tc>
        <w:tc>
          <w:tcPr>
            <w:tcW w:w="788" w:type="dxa"/>
            <w:noWrap/>
            <w:vAlign w:val="center"/>
            <w:hideMark/>
          </w:tcPr>
          <w:p w14:paraId="69974739" w14:textId="77777777" w:rsidR="004F64EF" w:rsidRPr="003003C0" w:rsidRDefault="004F64EF" w:rsidP="00FD6B66">
            <w:pPr>
              <w:jc w:val="right"/>
              <w:rPr>
                <w:rFonts w:cs="Arial"/>
                <w:color w:val="000000"/>
                <w:sz w:val="14"/>
                <w:szCs w:val="14"/>
              </w:rPr>
            </w:pPr>
            <w:r w:rsidRPr="003003C0">
              <w:rPr>
                <w:rFonts w:cs="Arial"/>
                <w:color w:val="000000"/>
                <w:sz w:val="14"/>
                <w:szCs w:val="14"/>
              </w:rPr>
              <w:t>2</w:t>
            </w:r>
            <w:r>
              <w:rPr>
                <w:rFonts w:cs="Arial"/>
                <w:color w:val="000000"/>
                <w:sz w:val="14"/>
                <w:szCs w:val="14"/>
              </w:rPr>
              <w:t>.</w:t>
            </w:r>
            <w:r w:rsidRPr="003003C0">
              <w:rPr>
                <w:rFonts w:cs="Arial"/>
                <w:color w:val="000000"/>
                <w:sz w:val="14"/>
                <w:szCs w:val="14"/>
              </w:rPr>
              <w:t>3</w:t>
            </w:r>
          </w:p>
        </w:tc>
        <w:tc>
          <w:tcPr>
            <w:tcW w:w="787" w:type="dxa"/>
            <w:noWrap/>
            <w:vAlign w:val="center"/>
            <w:hideMark/>
          </w:tcPr>
          <w:p w14:paraId="6B94541C" w14:textId="77777777" w:rsidR="004F64EF" w:rsidRPr="003003C0" w:rsidRDefault="004F64EF" w:rsidP="00FD6B66">
            <w:pPr>
              <w:jc w:val="right"/>
              <w:rPr>
                <w:rFonts w:cs="Arial"/>
                <w:color w:val="000000"/>
                <w:sz w:val="14"/>
                <w:szCs w:val="14"/>
              </w:rPr>
            </w:pPr>
            <w:r w:rsidRPr="003003C0">
              <w:rPr>
                <w:rFonts w:cs="Arial"/>
                <w:color w:val="000000"/>
                <w:sz w:val="14"/>
                <w:szCs w:val="14"/>
              </w:rPr>
              <w:t>1</w:t>
            </w:r>
            <w:r>
              <w:rPr>
                <w:rFonts w:cs="Arial"/>
                <w:color w:val="000000"/>
                <w:sz w:val="14"/>
                <w:szCs w:val="14"/>
              </w:rPr>
              <w:t>.</w:t>
            </w:r>
            <w:r w:rsidRPr="003003C0">
              <w:rPr>
                <w:rFonts w:cs="Arial"/>
                <w:color w:val="000000"/>
                <w:sz w:val="14"/>
                <w:szCs w:val="14"/>
              </w:rPr>
              <w:t>2</w:t>
            </w:r>
          </w:p>
        </w:tc>
        <w:tc>
          <w:tcPr>
            <w:tcW w:w="787" w:type="dxa"/>
            <w:noWrap/>
            <w:vAlign w:val="center"/>
            <w:hideMark/>
          </w:tcPr>
          <w:p w14:paraId="346BA06C"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5</w:t>
            </w:r>
          </w:p>
        </w:tc>
        <w:tc>
          <w:tcPr>
            <w:tcW w:w="788" w:type="dxa"/>
            <w:noWrap/>
            <w:vAlign w:val="center"/>
            <w:hideMark/>
          </w:tcPr>
          <w:p w14:paraId="1FF61897"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5</w:t>
            </w:r>
          </w:p>
        </w:tc>
      </w:tr>
      <w:tr w:rsidR="004F64EF" w:rsidRPr="003003C0" w14:paraId="6B77D476" w14:textId="77777777" w:rsidTr="00FD6B66">
        <w:trPr>
          <w:trHeight w:val="20"/>
        </w:trPr>
        <w:tc>
          <w:tcPr>
            <w:tcW w:w="3505" w:type="dxa"/>
            <w:noWrap/>
            <w:vAlign w:val="center"/>
            <w:hideMark/>
          </w:tcPr>
          <w:p w14:paraId="6A17D3D8" w14:textId="77777777" w:rsidR="004F64EF" w:rsidRPr="003003C0" w:rsidRDefault="004F64EF" w:rsidP="00FD6B66">
            <w:pPr>
              <w:tabs>
                <w:tab w:val="left" w:pos="510"/>
              </w:tabs>
              <w:jc w:val="left"/>
              <w:rPr>
                <w:rFonts w:cs="Arial"/>
                <w:color w:val="000000"/>
                <w:sz w:val="14"/>
                <w:szCs w:val="14"/>
              </w:rPr>
            </w:pPr>
            <w:r w:rsidRPr="003003C0">
              <w:rPr>
                <w:rFonts w:cs="Arial"/>
                <w:color w:val="000000"/>
                <w:sz w:val="14"/>
                <w:szCs w:val="14"/>
              </w:rPr>
              <w:tab/>
            </w:r>
            <w:r>
              <w:rPr>
                <w:rFonts w:cs="Arial"/>
                <w:color w:val="000000"/>
                <w:sz w:val="14"/>
                <w:szCs w:val="14"/>
              </w:rPr>
              <w:t>South Africa</w:t>
            </w:r>
          </w:p>
        </w:tc>
        <w:tc>
          <w:tcPr>
            <w:tcW w:w="787" w:type="dxa"/>
            <w:noWrap/>
            <w:vAlign w:val="center"/>
            <w:hideMark/>
          </w:tcPr>
          <w:p w14:paraId="2F26F45D"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0</w:t>
            </w:r>
          </w:p>
        </w:tc>
        <w:tc>
          <w:tcPr>
            <w:tcW w:w="787" w:type="dxa"/>
            <w:noWrap/>
            <w:vAlign w:val="center"/>
            <w:hideMark/>
          </w:tcPr>
          <w:p w14:paraId="04796709"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0</w:t>
            </w:r>
          </w:p>
        </w:tc>
        <w:tc>
          <w:tcPr>
            <w:tcW w:w="787" w:type="dxa"/>
            <w:noWrap/>
            <w:vAlign w:val="center"/>
            <w:hideMark/>
          </w:tcPr>
          <w:p w14:paraId="4072702E"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1</w:t>
            </w:r>
          </w:p>
        </w:tc>
        <w:tc>
          <w:tcPr>
            <w:tcW w:w="788" w:type="dxa"/>
            <w:noWrap/>
            <w:vAlign w:val="center"/>
            <w:hideMark/>
          </w:tcPr>
          <w:p w14:paraId="01465920"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0</w:t>
            </w:r>
          </w:p>
        </w:tc>
        <w:tc>
          <w:tcPr>
            <w:tcW w:w="787" w:type="dxa"/>
            <w:noWrap/>
            <w:vAlign w:val="center"/>
            <w:hideMark/>
          </w:tcPr>
          <w:p w14:paraId="02D5CDE3"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1</w:t>
            </w:r>
          </w:p>
        </w:tc>
        <w:tc>
          <w:tcPr>
            <w:tcW w:w="787" w:type="dxa"/>
            <w:noWrap/>
            <w:vAlign w:val="center"/>
            <w:hideMark/>
          </w:tcPr>
          <w:p w14:paraId="5F4825DA"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1</w:t>
            </w:r>
          </w:p>
        </w:tc>
        <w:tc>
          <w:tcPr>
            <w:tcW w:w="788" w:type="dxa"/>
            <w:noWrap/>
            <w:vAlign w:val="center"/>
            <w:hideMark/>
          </w:tcPr>
          <w:p w14:paraId="6DE0FDDC"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1</w:t>
            </w:r>
          </w:p>
        </w:tc>
      </w:tr>
      <w:tr w:rsidR="004F64EF" w:rsidRPr="003003C0" w14:paraId="3758C3EA" w14:textId="77777777" w:rsidTr="00FD6B66">
        <w:trPr>
          <w:cnfStyle w:val="000000010000" w:firstRow="0" w:lastRow="0" w:firstColumn="0" w:lastColumn="0" w:oddVBand="0" w:evenVBand="0" w:oddHBand="0" w:evenHBand="1" w:firstRowFirstColumn="0" w:firstRowLastColumn="0" w:lastRowFirstColumn="0" w:lastRowLastColumn="0"/>
          <w:trHeight w:val="20"/>
        </w:trPr>
        <w:tc>
          <w:tcPr>
            <w:tcW w:w="3505" w:type="dxa"/>
            <w:noWrap/>
            <w:vAlign w:val="center"/>
            <w:hideMark/>
          </w:tcPr>
          <w:p w14:paraId="6F1E904D" w14:textId="77777777" w:rsidR="004F64EF" w:rsidRPr="003003C0" w:rsidRDefault="004F64EF" w:rsidP="00FD6B66">
            <w:pPr>
              <w:tabs>
                <w:tab w:val="left" w:pos="510"/>
              </w:tabs>
              <w:jc w:val="left"/>
              <w:rPr>
                <w:rFonts w:cs="Arial"/>
                <w:color w:val="000000"/>
                <w:sz w:val="14"/>
                <w:szCs w:val="14"/>
              </w:rPr>
            </w:pPr>
            <w:r w:rsidRPr="003003C0">
              <w:rPr>
                <w:rFonts w:cs="Arial"/>
                <w:color w:val="000000"/>
                <w:sz w:val="14"/>
                <w:szCs w:val="14"/>
              </w:rPr>
              <w:tab/>
              <w:t>Eg</w:t>
            </w:r>
            <w:r>
              <w:rPr>
                <w:rFonts w:cs="Arial"/>
                <w:color w:val="000000"/>
                <w:sz w:val="14"/>
                <w:szCs w:val="14"/>
              </w:rPr>
              <w:t>ypt</w:t>
            </w:r>
          </w:p>
        </w:tc>
        <w:tc>
          <w:tcPr>
            <w:tcW w:w="787" w:type="dxa"/>
            <w:noWrap/>
            <w:vAlign w:val="center"/>
            <w:hideMark/>
          </w:tcPr>
          <w:p w14:paraId="0292C74C"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0</w:t>
            </w:r>
          </w:p>
        </w:tc>
        <w:tc>
          <w:tcPr>
            <w:tcW w:w="787" w:type="dxa"/>
            <w:noWrap/>
            <w:vAlign w:val="center"/>
            <w:hideMark/>
          </w:tcPr>
          <w:p w14:paraId="53F462AF"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0</w:t>
            </w:r>
          </w:p>
        </w:tc>
        <w:tc>
          <w:tcPr>
            <w:tcW w:w="787" w:type="dxa"/>
            <w:noWrap/>
            <w:vAlign w:val="center"/>
            <w:hideMark/>
          </w:tcPr>
          <w:p w14:paraId="617AB6A1"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0</w:t>
            </w:r>
          </w:p>
        </w:tc>
        <w:tc>
          <w:tcPr>
            <w:tcW w:w="788" w:type="dxa"/>
            <w:noWrap/>
            <w:vAlign w:val="center"/>
            <w:hideMark/>
          </w:tcPr>
          <w:p w14:paraId="3BBD3447"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0</w:t>
            </w:r>
          </w:p>
        </w:tc>
        <w:tc>
          <w:tcPr>
            <w:tcW w:w="787" w:type="dxa"/>
            <w:noWrap/>
            <w:vAlign w:val="center"/>
            <w:hideMark/>
          </w:tcPr>
          <w:p w14:paraId="648B4FF2"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0</w:t>
            </w:r>
          </w:p>
        </w:tc>
        <w:tc>
          <w:tcPr>
            <w:tcW w:w="787" w:type="dxa"/>
            <w:noWrap/>
            <w:vAlign w:val="center"/>
            <w:hideMark/>
          </w:tcPr>
          <w:p w14:paraId="4F86F40B"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1</w:t>
            </w:r>
          </w:p>
        </w:tc>
        <w:tc>
          <w:tcPr>
            <w:tcW w:w="788" w:type="dxa"/>
            <w:noWrap/>
            <w:vAlign w:val="center"/>
            <w:hideMark/>
          </w:tcPr>
          <w:p w14:paraId="074D30E0"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1</w:t>
            </w:r>
          </w:p>
        </w:tc>
      </w:tr>
      <w:tr w:rsidR="004F64EF" w:rsidRPr="003003C0" w14:paraId="7A447E8C" w14:textId="77777777" w:rsidTr="00FD6B66">
        <w:trPr>
          <w:trHeight w:val="20"/>
        </w:trPr>
        <w:tc>
          <w:tcPr>
            <w:tcW w:w="3505" w:type="dxa"/>
            <w:noWrap/>
            <w:vAlign w:val="center"/>
            <w:hideMark/>
          </w:tcPr>
          <w:p w14:paraId="6360A6DF" w14:textId="77777777" w:rsidR="004F64EF" w:rsidRPr="003003C0" w:rsidRDefault="004F64EF" w:rsidP="00FD6B66">
            <w:pPr>
              <w:jc w:val="left"/>
              <w:rPr>
                <w:rFonts w:cs="Arial"/>
                <w:color w:val="000000"/>
                <w:sz w:val="14"/>
                <w:szCs w:val="14"/>
              </w:rPr>
            </w:pPr>
            <w:r>
              <w:rPr>
                <w:rFonts w:cs="Arial"/>
                <w:color w:val="000000"/>
                <w:sz w:val="14"/>
                <w:szCs w:val="14"/>
              </w:rPr>
              <w:t>Middle East</w:t>
            </w:r>
          </w:p>
        </w:tc>
        <w:tc>
          <w:tcPr>
            <w:tcW w:w="787" w:type="dxa"/>
            <w:noWrap/>
            <w:vAlign w:val="center"/>
            <w:hideMark/>
          </w:tcPr>
          <w:p w14:paraId="0DEEA211"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2</w:t>
            </w:r>
          </w:p>
        </w:tc>
        <w:tc>
          <w:tcPr>
            <w:tcW w:w="787" w:type="dxa"/>
            <w:noWrap/>
            <w:vAlign w:val="center"/>
            <w:hideMark/>
          </w:tcPr>
          <w:p w14:paraId="16CC0C9E"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3</w:t>
            </w:r>
          </w:p>
        </w:tc>
        <w:tc>
          <w:tcPr>
            <w:tcW w:w="787" w:type="dxa"/>
            <w:noWrap/>
            <w:vAlign w:val="center"/>
            <w:hideMark/>
          </w:tcPr>
          <w:p w14:paraId="2D0CC3D8"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3</w:t>
            </w:r>
          </w:p>
        </w:tc>
        <w:tc>
          <w:tcPr>
            <w:tcW w:w="788" w:type="dxa"/>
            <w:noWrap/>
            <w:vAlign w:val="center"/>
            <w:hideMark/>
          </w:tcPr>
          <w:p w14:paraId="5DC20305"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3</w:t>
            </w:r>
          </w:p>
        </w:tc>
        <w:tc>
          <w:tcPr>
            <w:tcW w:w="787" w:type="dxa"/>
            <w:noWrap/>
            <w:vAlign w:val="center"/>
            <w:hideMark/>
          </w:tcPr>
          <w:p w14:paraId="76FAB094"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2</w:t>
            </w:r>
          </w:p>
        </w:tc>
        <w:tc>
          <w:tcPr>
            <w:tcW w:w="787" w:type="dxa"/>
            <w:noWrap/>
            <w:vAlign w:val="center"/>
            <w:hideMark/>
          </w:tcPr>
          <w:p w14:paraId="0A550ED6"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3</w:t>
            </w:r>
          </w:p>
        </w:tc>
        <w:tc>
          <w:tcPr>
            <w:tcW w:w="788" w:type="dxa"/>
            <w:noWrap/>
            <w:vAlign w:val="center"/>
            <w:hideMark/>
          </w:tcPr>
          <w:p w14:paraId="7C26DEF6"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3</w:t>
            </w:r>
          </w:p>
        </w:tc>
      </w:tr>
      <w:tr w:rsidR="004F64EF" w:rsidRPr="003003C0" w14:paraId="3D46D5ED" w14:textId="77777777" w:rsidTr="00FD6B66">
        <w:trPr>
          <w:cnfStyle w:val="000000010000" w:firstRow="0" w:lastRow="0" w:firstColumn="0" w:lastColumn="0" w:oddVBand="0" w:evenVBand="0" w:oddHBand="0" w:evenHBand="1" w:firstRowFirstColumn="0" w:firstRowLastColumn="0" w:lastRowFirstColumn="0" w:lastRowLastColumn="0"/>
          <w:trHeight w:val="20"/>
        </w:trPr>
        <w:tc>
          <w:tcPr>
            <w:tcW w:w="3505" w:type="dxa"/>
            <w:noWrap/>
            <w:vAlign w:val="center"/>
            <w:hideMark/>
          </w:tcPr>
          <w:p w14:paraId="30B7B261" w14:textId="77777777" w:rsidR="004F64EF" w:rsidRPr="003003C0" w:rsidRDefault="004F64EF" w:rsidP="00FD6B66">
            <w:pPr>
              <w:tabs>
                <w:tab w:val="left" w:pos="510"/>
              </w:tabs>
              <w:jc w:val="left"/>
              <w:rPr>
                <w:rFonts w:cs="Arial"/>
                <w:color w:val="000000"/>
                <w:sz w:val="14"/>
                <w:szCs w:val="14"/>
              </w:rPr>
            </w:pPr>
            <w:r w:rsidRPr="003003C0">
              <w:rPr>
                <w:rFonts w:cs="Arial"/>
                <w:color w:val="000000"/>
                <w:sz w:val="14"/>
                <w:szCs w:val="14"/>
              </w:rPr>
              <w:tab/>
            </w:r>
            <w:r>
              <w:rPr>
                <w:rFonts w:cs="Arial"/>
                <w:color w:val="000000"/>
                <w:sz w:val="14"/>
                <w:szCs w:val="14"/>
              </w:rPr>
              <w:t>Saudi Arabia</w:t>
            </w:r>
            <w:r w:rsidRPr="003003C0">
              <w:rPr>
                <w:rFonts w:cs="Arial"/>
                <w:color w:val="000000"/>
                <w:sz w:val="14"/>
                <w:szCs w:val="14"/>
              </w:rPr>
              <w:t xml:space="preserve">, </w:t>
            </w:r>
            <w:r>
              <w:rPr>
                <w:rFonts w:cs="Arial"/>
                <w:color w:val="000000"/>
                <w:sz w:val="14"/>
                <w:szCs w:val="14"/>
              </w:rPr>
              <w:t>Kingdom of</w:t>
            </w:r>
          </w:p>
        </w:tc>
        <w:tc>
          <w:tcPr>
            <w:tcW w:w="787" w:type="dxa"/>
            <w:noWrap/>
            <w:vAlign w:val="center"/>
            <w:hideMark/>
          </w:tcPr>
          <w:p w14:paraId="1242EDE9"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0</w:t>
            </w:r>
          </w:p>
        </w:tc>
        <w:tc>
          <w:tcPr>
            <w:tcW w:w="787" w:type="dxa"/>
            <w:noWrap/>
            <w:vAlign w:val="center"/>
            <w:hideMark/>
          </w:tcPr>
          <w:p w14:paraId="2CADBFBD"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0</w:t>
            </w:r>
          </w:p>
        </w:tc>
        <w:tc>
          <w:tcPr>
            <w:tcW w:w="787" w:type="dxa"/>
            <w:noWrap/>
            <w:vAlign w:val="center"/>
            <w:hideMark/>
          </w:tcPr>
          <w:p w14:paraId="20A18310"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0</w:t>
            </w:r>
          </w:p>
        </w:tc>
        <w:tc>
          <w:tcPr>
            <w:tcW w:w="788" w:type="dxa"/>
            <w:noWrap/>
            <w:vAlign w:val="center"/>
            <w:hideMark/>
          </w:tcPr>
          <w:p w14:paraId="6F2DC8A3"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1</w:t>
            </w:r>
          </w:p>
        </w:tc>
        <w:tc>
          <w:tcPr>
            <w:tcW w:w="787" w:type="dxa"/>
            <w:noWrap/>
            <w:vAlign w:val="center"/>
            <w:hideMark/>
          </w:tcPr>
          <w:p w14:paraId="4A770E86"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1</w:t>
            </w:r>
          </w:p>
        </w:tc>
        <w:tc>
          <w:tcPr>
            <w:tcW w:w="787" w:type="dxa"/>
            <w:noWrap/>
            <w:vAlign w:val="center"/>
            <w:hideMark/>
          </w:tcPr>
          <w:p w14:paraId="54750784"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1</w:t>
            </w:r>
          </w:p>
        </w:tc>
        <w:tc>
          <w:tcPr>
            <w:tcW w:w="788" w:type="dxa"/>
            <w:noWrap/>
            <w:vAlign w:val="center"/>
            <w:hideMark/>
          </w:tcPr>
          <w:p w14:paraId="28AE2ED1"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2</w:t>
            </w:r>
          </w:p>
        </w:tc>
      </w:tr>
      <w:tr w:rsidR="004F64EF" w:rsidRPr="003003C0" w14:paraId="49574414" w14:textId="77777777" w:rsidTr="00FD6B66">
        <w:trPr>
          <w:trHeight w:val="20"/>
        </w:trPr>
        <w:tc>
          <w:tcPr>
            <w:tcW w:w="3505" w:type="dxa"/>
            <w:noWrap/>
            <w:vAlign w:val="center"/>
            <w:hideMark/>
          </w:tcPr>
          <w:p w14:paraId="6189C24F" w14:textId="77777777" w:rsidR="004F64EF" w:rsidRPr="003003C0" w:rsidRDefault="004F64EF" w:rsidP="00FD6B66">
            <w:pPr>
              <w:tabs>
                <w:tab w:val="left" w:pos="510"/>
              </w:tabs>
              <w:jc w:val="left"/>
              <w:rPr>
                <w:rFonts w:cs="Arial"/>
                <w:color w:val="000000"/>
                <w:sz w:val="14"/>
                <w:szCs w:val="14"/>
              </w:rPr>
            </w:pPr>
            <w:r w:rsidRPr="003003C0">
              <w:rPr>
                <w:rFonts w:cs="Arial"/>
                <w:color w:val="000000"/>
                <w:sz w:val="14"/>
                <w:szCs w:val="14"/>
              </w:rPr>
              <w:tab/>
              <w:t>Israel</w:t>
            </w:r>
          </w:p>
        </w:tc>
        <w:tc>
          <w:tcPr>
            <w:tcW w:w="787" w:type="dxa"/>
            <w:noWrap/>
            <w:vAlign w:val="center"/>
            <w:hideMark/>
          </w:tcPr>
          <w:p w14:paraId="7CF02909"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1</w:t>
            </w:r>
          </w:p>
        </w:tc>
        <w:tc>
          <w:tcPr>
            <w:tcW w:w="787" w:type="dxa"/>
            <w:noWrap/>
            <w:vAlign w:val="center"/>
            <w:hideMark/>
          </w:tcPr>
          <w:p w14:paraId="24634465"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1</w:t>
            </w:r>
          </w:p>
        </w:tc>
        <w:tc>
          <w:tcPr>
            <w:tcW w:w="787" w:type="dxa"/>
            <w:noWrap/>
            <w:vAlign w:val="center"/>
            <w:hideMark/>
          </w:tcPr>
          <w:p w14:paraId="0F438F91"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1</w:t>
            </w:r>
          </w:p>
        </w:tc>
        <w:tc>
          <w:tcPr>
            <w:tcW w:w="788" w:type="dxa"/>
            <w:noWrap/>
            <w:vAlign w:val="center"/>
            <w:hideMark/>
          </w:tcPr>
          <w:p w14:paraId="2DE75BFC"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1</w:t>
            </w:r>
          </w:p>
        </w:tc>
        <w:tc>
          <w:tcPr>
            <w:tcW w:w="787" w:type="dxa"/>
            <w:noWrap/>
            <w:vAlign w:val="center"/>
            <w:hideMark/>
          </w:tcPr>
          <w:p w14:paraId="1FC08FC4"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1</w:t>
            </w:r>
          </w:p>
        </w:tc>
        <w:tc>
          <w:tcPr>
            <w:tcW w:w="787" w:type="dxa"/>
            <w:noWrap/>
            <w:vAlign w:val="center"/>
            <w:hideMark/>
          </w:tcPr>
          <w:p w14:paraId="3958150A"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2</w:t>
            </w:r>
          </w:p>
        </w:tc>
        <w:tc>
          <w:tcPr>
            <w:tcW w:w="788" w:type="dxa"/>
            <w:noWrap/>
            <w:vAlign w:val="center"/>
            <w:hideMark/>
          </w:tcPr>
          <w:p w14:paraId="032BFB60"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1</w:t>
            </w:r>
          </w:p>
        </w:tc>
      </w:tr>
      <w:tr w:rsidR="004F64EF" w:rsidRPr="003003C0" w14:paraId="67C0D6D2" w14:textId="77777777" w:rsidTr="00FD6B66">
        <w:trPr>
          <w:cnfStyle w:val="000000010000" w:firstRow="0" w:lastRow="0" w:firstColumn="0" w:lastColumn="0" w:oddVBand="0" w:evenVBand="0" w:oddHBand="0" w:evenHBand="1" w:firstRowFirstColumn="0" w:firstRowLastColumn="0" w:lastRowFirstColumn="0" w:lastRowLastColumn="0"/>
          <w:trHeight w:val="20"/>
        </w:trPr>
        <w:tc>
          <w:tcPr>
            <w:tcW w:w="3505" w:type="dxa"/>
            <w:noWrap/>
            <w:vAlign w:val="center"/>
            <w:hideMark/>
          </w:tcPr>
          <w:p w14:paraId="33DB8192" w14:textId="77777777" w:rsidR="004F64EF" w:rsidRPr="003003C0" w:rsidRDefault="004F64EF" w:rsidP="00FD6B66">
            <w:pPr>
              <w:jc w:val="left"/>
              <w:rPr>
                <w:rFonts w:cs="Arial"/>
                <w:color w:val="000000"/>
                <w:sz w:val="14"/>
                <w:szCs w:val="14"/>
              </w:rPr>
            </w:pPr>
            <w:r w:rsidRPr="003003C0">
              <w:rPr>
                <w:rFonts w:cs="Arial"/>
                <w:color w:val="000000"/>
                <w:sz w:val="14"/>
                <w:szCs w:val="14"/>
              </w:rPr>
              <w:t>Asia</w:t>
            </w:r>
          </w:p>
        </w:tc>
        <w:tc>
          <w:tcPr>
            <w:tcW w:w="787" w:type="dxa"/>
            <w:noWrap/>
            <w:vAlign w:val="center"/>
            <w:hideMark/>
          </w:tcPr>
          <w:p w14:paraId="07068167" w14:textId="77777777" w:rsidR="004F64EF" w:rsidRPr="003003C0" w:rsidRDefault="004F64EF" w:rsidP="00FD6B66">
            <w:pPr>
              <w:jc w:val="right"/>
              <w:rPr>
                <w:rFonts w:cs="Arial"/>
                <w:color w:val="000000"/>
                <w:sz w:val="14"/>
                <w:szCs w:val="14"/>
              </w:rPr>
            </w:pPr>
            <w:r w:rsidRPr="003003C0">
              <w:rPr>
                <w:rFonts w:cs="Arial"/>
                <w:color w:val="000000"/>
                <w:sz w:val="14"/>
                <w:szCs w:val="14"/>
              </w:rPr>
              <w:t>19</w:t>
            </w:r>
            <w:r>
              <w:rPr>
                <w:rFonts w:cs="Arial"/>
                <w:color w:val="000000"/>
                <w:sz w:val="14"/>
                <w:szCs w:val="14"/>
              </w:rPr>
              <w:t>.</w:t>
            </w:r>
            <w:r w:rsidRPr="003003C0">
              <w:rPr>
                <w:rFonts w:cs="Arial"/>
                <w:color w:val="000000"/>
                <w:sz w:val="14"/>
                <w:szCs w:val="14"/>
              </w:rPr>
              <w:t>8</w:t>
            </w:r>
          </w:p>
        </w:tc>
        <w:tc>
          <w:tcPr>
            <w:tcW w:w="787" w:type="dxa"/>
            <w:noWrap/>
            <w:vAlign w:val="center"/>
            <w:hideMark/>
          </w:tcPr>
          <w:p w14:paraId="1F9F0B36" w14:textId="77777777" w:rsidR="004F64EF" w:rsidRPr="003003C0" w:rsidRDefault="004F64EF" w:rsidP="00FD6B66">
            <w:pPr>
              <w:jc w:val="right"/>
              <w:rPr>
                <w:rFonts w:cs="Arial"/>
                <w:color w:val="000000"/>
                <w:sz w:val="14"/>
                <w:szCs w:val="14"/>
              </w:rPr>
            </w:pPr>
            <w:r w:rsidRPr="003003C0">
              <w:rPr>
                <w:rFonts w:cs="Arial"/>
                <w:color w:val="000000"/>
                <w:sz w:val="14"/>
                <w:szCs w:val="14"/>
              </w:rPr>
              <w:t>19</w:t>
            </w:r>
            <w:r>
              <w:rPr>
                <w:rFonts w:cs="Arial"/>
                <w:color w:val="000000"/>
                <w:sz w:val="14"/>
                <w:szCs w:val="14"/>
              </w:rPr>
              <w:t>.</w:t>
            </w:r>
            <w:r w:rsidRPr="003003C0">
              <w:rPr>
                <w:rFonts w:cs="Arial"/>
                <w:color w:val="000000"/>
                <w:sz w:val="14"/>
                <w:szCs w:val="14"/>
              </w:rPr>
              <w:t>9</w:t>
            </w:r>
          </w:p>
        </w:tc>
        <w:tc>
          <w:tcPr>
            <w:tcW w:w="787" w:type="dxa"/>
            <w:noWrap/>
            <w:vAlign w:val="center"/>
            <w:hideMark/>
          </w:tcPr>
          <w:p w14:paraId="337DD256" w14:textId="77777777" w:rsidR="004F64EF" w:rsidRPr="003003C0" w:rsidRDefault="004F64EF" w:rsidP="00FD6B66">
            <w:pPr>
              <w:jc w:val="right"/>
              <w:rPr>
                <w:rFonts w:cs="Arial"/>
                <w:color w:val="000000"/>
                <w:sz w:val="14"/>
                <w:szCs w:val="14"/>
              </w:rPr>
            </w:pPr>
            <w:r w:rsidRPr="003003C0">
              <w:rPr>
                <w:rFonts w:cs="Arial"/>
                <w:color w:val="000000"/>
                <w:sz w:val="14"/>
                <w:szCs w:val="14"/>
              </w:rPr>
              <w:t>20</w:t>
            </w:r>
            <w:r>
              <w:rPr>
                <w:rFonts w:cs="Arial"/>
                <w:color w:val="000000"/>
                <w:sz w:val="14"/>
                <w:szCs w:val="14"/>
              </w:rPr>
              <w:t>.</w:t>
            </w:r>
            <w:r w:rsidRPr="003003C0">
              <w:rPr>
                <w:rFonts w:cs="Arial"/>
                <w:color w:val="000000"/>
                <w:sz w:val="14"/>
                <w:szCs w:val="14"/>
              </w:rPr>
              <w:t>5</w:t>
            </w:r>
          </w:p>
        </w:tc>
        <w:tc>
          <w:tcPr>
            <w:tcW w:w="788" w:type="dxa"/>
            <w:noWrap/>
            <w:vAlign w:val="center"/>
            <w:hideMark/>
          </w:tcPr>
          <w:p w14:paraId="7CFAFE29" w14:textId="77777777" w:rsidR="004F64EF" w:rsidRPr="003003C0" w:rsidRDefault="004F64EF" w:rsidP="00FD6B66">
            <w:pPr>
              <w:jc w:val="right"/>
              <w:rPr>
                <w:rFonts w:cs="Arial"/>
                <w:color w:val="000000"/>
                <w:sz w:val="14"/>
                <w:szCs w:val="14"/>
              </w:rPr>
            </w:pPr>
            <w:r w:rsidRPr="003003C0">
              <w:rPr>
                <w:rFonts w:cs="Arial"/>
                <w:color w:val="000000"/>
                <w:sz w:val="14"/>
                <w:szCs w:val="14"/>
              </w:rPr>
              <w:t>20</w:t>
            </w:r>
            <w:r>
              <w:rPr>
                <w:rFonts w:cs="Arial"/>
                <w:color w:val="000000"/>
                <w:sz w:val="14"/>
                <w:szCs w:val="14"/>
              </w:rPr>
              <w:t>.</w:t>
            </w:r>
            <w:r w:rsidRPr="003003C0">
              <w:rPr>
                <w:rFonts w:cs="Arial"/>
                <w:color w:val="000000"/>
                <w:sz w:val="14"/>
                <w:szCs w:val="14"/>
              </w:rPr>
              <w:t>6</w:t>
            </w:r>
          </w:p>
        </w:tc>
        <w:tc>
          <w:tcPr>
            <w:tcW w:w="787" w:type="dxa"/>
            <w:noWrap/>
            <w:vAlign w:val="center"/>
            <w:hideMark/>
          </w:tcPr>
          <w:p w14:paraId="43F571B1" w14:textId="77777777" w:rsidR="004F64EF" w:rsidRPr="003003C0" w:rsidRDefault="004F64EF" w:rsidP="00FD6B66">
            <w:pPr>
              <w:jc w:val="right"/>
              <w:rPr>
                <w:rFonts w:cs="Arial"/>
                <w:color w:val="000000"/>
                <w:sz w:val="14"/>
                <w:szCs w:val="14"/>
              </w:rPr>
            </w:pPr>
            <w:r w:rsidRPr="003003C0">
              <w:rPr>
                <w:rFonts w:cs="Arial"/>
                <w:color w:val="000000"/>
                <w:sz w:val="14"/>
                <w:szCs w:val="14"/>
              </w:rPr>
              <w:t>21</w:t>
            </w:r>
            <w:r>
              <w:rPr>
                <w:rFonts w:cs="Arial"/>
                <w:color w:val="000000"/>
                <w:sz w:val="14"/>
                <w:szCs w:val="14"/>
              </w:rPr>
              <w:t>.</w:t>
            </w:r>
            <w:r w:rsidRPr="003003C0">
              <w:rPr>
                <w:rFonts w:cs="Arial"/>
                <w:color w:val="000000"/>
                <w:sz w:val="14"/>
                <w:szCs w:val="14"/>
              </w:rPr>
              <w:t>9</w:t>
            </w:r>
          </w:p>
        </w:tc>
        <w:tc>
          <w:tcPr>
            <w:tcW w:w="787" w:type="dxa"/>
            <w:noWrap/>
            <w:vAlign w:val="center"/>
            <w:hideMark/>
          </w:tcPr>
          <w:p w14:paraId="3A176473" w14:textId="77777777" w:rsidR="004F64EF" w:rsidRPr="003003C0" w:rsidRDefault="004F64EF" w:rsidP="00FD6B66">
            <w:pPr>
              <w:jc w:val="right"/>
              <w:rPr>
                <w:rFonts w:cs="Arial"/>
                <w:color w:val="000000"/>
                <w:sz w:val="14"/>
                <w:szCs w:val="14"/>
              </w:rPr>
            </w:pPr>
            <w:r w:rsidRPr="003003C0">
              <w:rPr>
                <w:rFonts w:cs="Arial"/>
                <w:color w:val="000000"/>
                <w:sz w:val="14"/>
                <w:szCs w:val="14"/>
              </w:rPr>
              <w:t>23</w:t>
            </w:r>
            <w:r>
              <w:rPr>
                <w:rFonts w:cs="Arial"/>
                <w:color w:val="000000"/>
                <w:sz w:val="14"/>
                <w:szCs w:val="14"/>
              </w:rPr>
              <w:t>.</w:t>
            </w:r>
            <w:r w:rsidRPr="003003C0">
              <w:rPr>
                <w:rFonts w:cs="Arial"/>
                <w:color w:val="000000"/>
                <w:sz w:val="14"/>
                <w:szCs w:val="14"/>
              </w:rPr>
              <w:t>7</w:t>
            </w:r>
          </w:p>
        </w:tc>
        <w:tc>
          <w:tcPr>
            <w:tcW w:w="788" w:type="dxa"/>
            <w:noWrap/>
            <w:vAlign w:val="center"/>
            <w:hideMark/>
          </w:tcPr>
          <w:p w14:paraId="2E755EC1" w14:textId="77777777" w:rsidR="004F64EF" w:rsidRPr="003003C0" w:rsidRDefault="004F64EF" w:rsidP="00FD6B66">
            <w:pPr>
              <w:jc w:val="right"/>
              <w:rPr>
                <w:rFonts w:cs="Arial"/>
                <w:color w:val="000000"/>
                <w:sz w:val="14"/>
                <w:szCs w:val="14"/>
              </w:rPr>
            </w:pPr>
            <w:r w:rsidRPr="003003C0">
              <w:rPr>
                <w:rFonts w:cs="Arial"/>
                <w:color w:val="000000"/>
                <w:sz w:val="14"/>
                <w:szCs w:val="14"/>
              </w:rPr>
              <w:t>21</w:t>
            </w:r>
            <w:r>
              <w:rPr>
                <w:rFonts w:cs="Arial"/>
                <w:color w:val="000000"/>
                <w:sz w:val="14"/>
                <w:szCs w:val="14"/>
              </w:rPr>
              <w:t>.</w:t>
            </w:r>
            <w:r w:rsidRPr="003003C0">
              <w:rPr>
                <w:rFonts w:cs="Arial"/>
                <w:color w:val="000000"/>
                <w:sz w:val="14"/>
                <w:szCs w:val="14"/>
              </w:rPr>
              <w:t>8</w:t>
            </w:r>
          </w:p>
        </w:tc>
      </w:tr>
      <w:tr w:rsidR="004F64EF" w:rsidRPr="003003C0" w14:paraId="50284892" w14:textId="77777777" w:rsidTr="00FD6B66">
        <w:trPr>
          <w:trHeight w:val="20"/>
        </w:trPr>
        <w:tc>
          <w:tcPr>
            <w:tcW w:w="3505" w:type="dxa"/>
            <w:noWrap/>
            <w:vAlign w:val="center"/>
            <w:hideMark/>
          </w:tcPr>
          <w:p w14:paraId="6BFE25C8" w14:textId="77777777" w:rsidR="004F64EF" w:rsidRPr="003003C0" w:rsidRDefault="004F64EF" w:rsidP="00FD6B66">
            <w:pPr>
              <w:tabs>
                <w:tab w:val="left" w:pos="113"/>
              </w:tabs>
              <w:jc w:val="left"/>
              <w:rPr>
                <w:rFonts w:cs="Arial"/>
                <w:color w:val="000000"/>
                <w:sz w:val="14"/>
                <w:szCs w:val="14"/>
              </w:rPr>
            </w:pPr>
            <w:r w:rsidRPr="003003C0">
              <w:rPr>
                <w:rFonts w:cs="Arial"/>
                <w:color w:val="000000"/>
                <w:sz w:val="14"/>
                <w:szCs w:val="14"/>
              </w:rPr>
              <w:tab/>
              <w:t>China</w:t>
            </w:r>
          </w:p>
        </w:tc>
        <w:tc>
          <w:tcPr>
            <w:tcW w:w="787" w:type="dxa"/>
            <w:noWrap/>
            <w:vAlign w:val="center"/>
            <w:hideMark/>
          </w:tcPr>
          <w:p w14:paraId="0FFC4E4A" w14:textId="77777777" w:rsidR="004F64EF" w:rsidRPr="003003C0" w:rsidRDefault="004F64EF" w:rsidP="00FD6B66">
            <w:pPr>
              <w:jc w:val="right"/>
              <w:rPr>
                <w:rFonts w:cs="Arial"/>
                <w:color w:val="000000"/>
                <w:sz w:val="14"/>
                <w:szCs w:val="14"/>
              </w:rPr>
            </w:pPr>
            <w:r w:rsidRPr="003003C0">
              <w:rPr>
                <w:rFonts w:cs="Arial"/>
                <w:color w:val="000000"/>
                <w:sz w:val="14"/>
                <w:szCs w:val="14"/>
              </w:rPr>
              <w:t>13</w:t>
            </w:r>
            <w:r>
              <w:rPr>
                <w:rFonts w:cs="Arial"/>
                <w:color w:val="000000"/>
                <w:sz w:val="14"/>
                <w:szCs w:val="14"/>
              </w:rPr>
              <w:t>.</w:t>
            </w:r>
            <w:r w:rsidRPr="003003C0">
              <w:rPr>
                <w:rFonts w:cs="Arial"/>
                <w:color w:val="000000"/>
                <w:sz w:val="14"/>
                <w:szCs w:val="14"/>
              </w:rPr>
              <w:t>8</w:t>
            </w:r>
          </w:p>
        </w:tc>
        <w:tc>
          <w:tcPr>
            <w:tcW w:w="787" w:type="dxa"/>
            <w:noWrap/>
            <w:vAlign w:val="center"/>
            <w:hideMark/>
          </w:tcPr>
          <w:p w14:paraId="5D541E42" w14:textId="77777777" w:rsidR="004F64EF" w:rsidRPr="003003C0" w:rsidRDefault="004F64EF" w:rsidP="00FD6B66">
            <w:pPr>
              <w:jc w:val="right"/>
              <w:rPr>
                <w:rFonts w:cs="Arial"/>
                <w:color w:val="000000"/>
                <w:sz w:val="14"/>
                <w:szCs w:val="14"/>
              </w:rPr>
            </w:pPr>
            <w:r w:rsidRPr="003003C0">
              <w:rPr>
                <w:rFonts w:cs="Arial"/>
                <w:color w:val="000000"/>
                <w:sz w:val="14"/>
                <w:szCs w:val="14"/>
              </w:rPr>
              <w:t>13</w:t>
            </w:r>
            <w:r>
              <w:rPr>
                <w:rFonts w:cs="Arial"/>
                <w:color w:val="000000"/>
                <w:sz w:val="14"/>
                <w:szCs w:val="14"/>
              </w:rPr>
              <w:t>.</w:t>
            </w:r>
            <w:r w:rsidRPr="003003C0">
              <w:rPr>
                <w:rFonts w:cs="Arial"/>
                <w:color w:val="000000"/>
                <w:sz w:val="14"/>
                <w:szCs w:val="14"/>
              </w:rPr>
              <w:t>4</w:t>
            </w:r>
          </w:p>
        </w:tc>
        <w:tc>
          <w:tcPr>
            <w:tcW w:w="787" w:type="dxa"/>
            <w:noWrap/>
            <w:vAlign w:val="center"/>
            <w:hideMark/>
          </w:tcPr>
          <w:p w14:paraId="7F19BEB6" w14:textId="77777777" w:rsidR="004F64EF" w:rsidRPr="003003C0" w:rsidRDefault="004F64EF" w:rsidP="00FD6B66">
            <w:pPr>
              <w:jc w:val="right"/>
              <w:rPr>
                <w:rFonts w:cs="Arial"/>
                <w:color w:val="000000"/>
                <w:sz w:val="14"/>
                <w:szCs w:val="14"/>
              </w:rPr>
            </w:pPr>
            <w:r w:rsidRPr="003003C0">
              <w:rPr>
                <w:rFonts w:cs="Arial"/>
                <w:color w:val="000000"/>
                <w:sz w:val="14"/>
                <w:szCs w:val="14"/>
              </w:rPr>
              <w:t>14</w:t>
            </w:r>
            <w:r>
              <w:rPr>
                <w:rFonts w:cs="Arial"/>
                <w:color w:val="000000"/>
                <w:sz w:val="14"/>
                <w:szCs w:val="14"/>
              </w:rPr>
              <w:t>.</w:t>
            </w:r>
            <w:r w:rsidRPr="003003C0">
              <w:rPr>
                <w:rFonts w:cs="Arial"/>
                <w:color w:val="000000"/>
                <w:sz w:val="14"/>
                <w:szCs w:val="14"/>
              </w:rPr>
              <w:t>2</w:t>
            </w:r>
          </w:p>
        </w:tc>
        <w:tc>
          <w:tcPr>
            <w:tcW w:w="788" w:type="dxa"/>
            <w:noWrap/>
            <w:vAlign w:val="center"/>
            <w:hideMark/>
          </w:tcPr>
          <w:p w14:paraId="19B64C2C" w14:textId="77777777" w:rsidR="004F64EF" w:rsidRPr="003003C0" w:rsidRDefault="004F64EF" w:rsidP="00FD6B66">
            <w:pPr>
              <w:jc w:val="right"/>
              <w:rPr>
                <w:rFonts w:cs="Arial"/>
                <w:color w:val="000000"/>
                <w:sz w:val="14"/>
                <w:szCs w:val="14"/>
              </w:rPr>
            </w:pPr>
            <w:r w:rsidRPr="003003C0">
              <w:rPr>
                <w:rFonts w:cs="Arial"/>
                <w:color w:val="000000"/>
                <w:sz w:val="14"/>
                <w:szCs w:val="14"/>
              </w:rPr>
              <w:t>14</w:t>
            </w:r>
            <w:r>
              <w:rPr>
                <w:rFonts w:cs="Arial"/>
                <w:color w:val="000000"/>
                <w:sz w:val="14"/>
                <w:szCs w:val="14"/>
              </w:rPr>
              <w:t>.</w:t>
            </w:r>
            <w:r w:rsidRPr="003003C0">
              <w:rPr>
                <w:rFonts w:cs="Arial"/>
                <w:color w:val="000000"/>
                <w:sz w:val="14"/>
                <w:szCs w:val="14"/>
              </w:rPr>
              <w:t>8</w:t>
            </w:r>
          </w:p>
        </w:tc>
        <w:tc>
          <w:tcPr>
            <w:tcW w:w="787" w:type="dxa"/>
            <w:noWrap/>
            <w:vAlign w:val="center"/>
            <w:hideMark/>
          </w:tcPr>
          <w:p w14:paraId="0194F7CC" w14:textId="77777777" w:rsidR="004F64EF" w:rsidRPr="003003C0" w:rsidRDefault="004F64EF" w:rsidP="00FD6B66">
            <w:pPr>
              <w:jc w:val="right"/>
              <w:rPr>
                <w:rFonts w:cs="Arial"/>
                <w:color w:val="000000"/>
                <w:sz w:val="14"/>
                <w:szCs w:val="14"/>
              </w:rPr>
            </w:pPr>
            <w:r w:rsidRPr="003003C0">
              <w:rPr>
                <w:rFonts w:cs="Arial"/>
                <w:color w:val="000000"/>
                <w:sz w:val="14"/>
                <w:szCs w:val="14"/>
              </w:rPr>
              <w:t>15</w:t>
            </w:r>
            <w:r>
              <w:rPr>
                <w:rFonts w:cs="Arial"/>
                <w:color w:val="000000"/>
                <w:sz w:val="14"/>
                <w:szCs w:val="14"/>
              </w:rPr>
              <w:t>.</w:t>
            </w:r>
            <w:r w:rsidRPr="003003C0">
              <w:rPr>
                <w:rFonts w:cs="Arial"/>
                <w:color w:val="000000"/>
                <w:sz w:val="14"/>
                <w:szCs w:val="14"/>
              </w:rPr>
              <w:t>8</w:t>
            </w:r>
          </w:p>
        </w:tc>
        <w:tc>
          <w:tcPr>
            <w:tcW w:w="787" w:type="dxa"/>
            <w:noWrap/>
            <w:vAlign w:val="center"/>
            <w:hideMark/>
          </w:tcPr>
          <w:p w14:paraId="4AF30F58" w14:textId="77777777" w:rsidR="004F64EF" w:rsidRPr="003003C0" w:rsidRDefault="004F64EF" w:rsidP="00FD6B66">
            <w:pPr>
              <w:jc w:val="right"/>
              <w:rPr>
                <w:rFonts w:cs="Arial"/>
                <w:color w:val="000000"/>
                <w:sz w:val="14"/>
                <w:szCs w:val="14"/>
              </w:rPr>
            </w:pPr>
            <w:r w:rsidRPr="003003C0">
              <w:rPr>
                <w:rFonts w:cs="Arial"/>
                <w:color w:val="000000"/>
                <w:sz w:val="14"/>
                <w:szCs w:val="14"/>
              </w:rPr>
              <w:t>17</w:t>
            </w:r>
            <w:r>
              <w:rPr>
                <w:rFonts w:cs="Arial"/>
                <w:color w:val="000000"/>
                <w:sz w:val="14"/>
                <w:szCs w:val="14"/>
              </w:rPr>
              <w:t>.</w:t>
            </w:r>
            <w:r w:rsidRPr="003003C0">
              <w:rPr>
                <w:rFonts w:cs="Arial"/>
                <w:color w:val="000000"/>
                <w:sz w:val="14"/>
                <w:szCs w:val="14"/>
              </w:rPr>
              <w:t>8</w:t>
            </w:r>
          </w:p>
        </w:tc>
        <w:tc>
          <w:tcPr>
            <w:tcW w:w="788" w:type="dxa"/>
            <w:noWrap/>
            <w:vAlign w:val="center"/>
            <w:hideMark/>
          </w:tcPr>
          <w:p w14:paraId="69A092B0" w14:textId="77777777" w:rsidR="004F64EF" w:rsidRPr="003003C0" w:rsidRDefault="004F64EF" w:rsidP="00FD6B66">
            <w:pPr>
              <w:jc w:val="right"/>
              <w:rPr>
                <w:rFonts w:cs="Arial"/>
                <w:color w:val="000000"/>
                <w:sz w:val="14"/>
                <w:szCs w:val="14"/>
              </w:rPr>
            </w:pPr>
            <w:r w:rsidRPr="003003C0">
              <w:rPr>
                <w:rFonts w:cs="Arial"/>
                <w:color w:val="000000"/>
                <w:sz w:val="14"/>
                <w:szCs w:val="14"/>
              </w:rPr>
              <w:t>16</w:t>
            </w:r>
            <w:r>
              <w:rPr>
                <w:rFonts w:cs="Arial"/>
                <w:color w:val="000000"/>
                <w:sz w:val="14"/>
                <w:szCs w:val="14"/>
              </w:rPr>
              <w:t>.</w:t>
            </w:r>
            <w:r w:rsidRPr="003003C0">
              <w:rPr>
                <w:rFonts w:cs="Arial"/>
                <w:color w:val="000000"/>
                <w:sz w:val="14"/>
                <w:szCs w:val="14"/>
              </w:rPr>
              <w:t>4</w:t>
            </w:r>
          </w:p>
        </w:tc>
      </w:tr>
      <w:tr w:rsidR="004F64EF" w:rsidRPr="003003C0" w14:paraId="455E53AD" w14:textId="77777777" w:rsidTr="00FD6B66">
        <w:trPr>
          <w:cnfStyle w:val="000000010000" w:firstRow="0" w:lastRow="0" w:firstColumn="0" w:lastColumn="0" w:oddVBand="0" w:evenVBand="0" w:oddHBand="0" w:evenHBand="1" w:firstRowFirstColumn="0" w:firstRowLastColumn="0" w:lastRowFirstColumn="0" w:lastRowLastColumn="0"/>
          <w:trHeight w:val="20"/>
        </w:trPr>
        <w:tc>
          <w:tcPr>
            <w:tcW w:w="3505" w:type="dxa"/>
            <w:noWrap/>
            <w:vAlign w:val="center"/>
            <w:hideMark/>
          </w:tcPr>
          <w:p w14:paraId="3474F2B0" w14:textId="77777777" w:rsidR="004F64EF" w:rsidRPr="003003C0" w:rsidRDefault="004F64EF" w:rsidP="00FD6B66">
            <w:pPr>
              <w:tabs>
                <w:tab w:val="left" w:pos="113"/>
              </w:tabs>
              <w:jc w:val="left"/>
              <w:rPr>
                <w:rFonts w:cs="Arial"/>
                <w:color w:val="000000"/>
                <w:sz w:val="14"/>
                <w:szCs w:val="14"/>
              </w:rPr>
            </w:pPr>
            <w:r w:rsidRPr="003003C0">
              <w:rPr>
                <w:rFonts w:cs="Arial"/>
                <w:color w:val="000000"/>
                <w:sz w:val="14"/>
                <w:szCs w:val="14"/>
              </w:rPr>
              <w:tab/>
              <w:t>Jap</w:t>
            </w:r>
            <w:r>
              <w:rPr>
                <w:rFonts w:cs="Arial"/>
                <w:color w:val="000000"/>
                <w:sz w:val="14"/>
                <w:szCs w:val="14"/>
              </w:rPr>
              <w:t>a</w:t>
            </w:r>
            <w:r w:rsidRPr="003003C0">
              <w:rPr>
                <w:rFonts w:cs="Arial"/>
                <w:color w:val="000000"/>
                <w:sz w:val="14"/>
                <w:szCs w:val="14"/>
              </w:rPr>
              <w:t>n</w:t>
            </w:r>
          </w:p>
        </w:tc>
        <w:tc>
          <w:tcPr>
            <w:tcW w:w="787" w:type="dxa"/>
            <w:noWrap/>
            <w:vAlign w:val="center"/>
            <w:hideMark/>
          </w:tcPr>
          <w:p w14:paraId="058F2820" w14:textId="77777777" w:rsidR="004F64EF" w:rsidRPr="003003C0" w:rsidRDefault="004F64EF" w:rsidP="00FD6B66">
            <w:pPr>
              <w:jc w:val="right"/>
              <w:rPr>
                <w:rFonts w:cs="Arial"/>
                <w:color w:val="000000"/>
                <w:sz w:val="14"/>
                <w:szCs w:val="14"/>
              </w:rPr>
            </w:pPr>
            <w:r w:rsidRPr="003003C0">
              <w:rPr>
                <w:rFonts w:cs="Arial"/>
                <w:color w:val="000000"/>
                <w:sz w:val="14"/>
                <w:szCs w:val="14"/>
              </w:rPr>
              <w:t>1</w:t>
            </w:r>
            <w:r>
              <w:rPr>
                <w:rFonts w:cs="Arial"/>
                <w:color w:val="000000"/>
                <w:sz w:val="14"/>
                <w:szCs w:val="14"/>
              </w:rPr>
              <w:t>.</w:t>
            </w:r>
            <w:r w:rsidRPr="003003C0">
              <w:rPr>
                <w:rFonts w:cs="Arial"/>
                <w:color w:val="000000"/>
                <w:sz w:val="14"/>
                <w:szCs w:val="14"/>
              </w:rPr>
              <w:t>8</w:t>
            </w:r>
          </w:p>
        </w:tc>
        <w:tc>
          <w:tcPr>
            <w:tcW w:w="787" w:type="dxa"/>
            <w:noWrap/>
            <w:vAlign w:val="center"/>
            <w:hideMark/>
          </w:tcPr>
          <w:p w14:paraId="60031376" w14:textId="77777777" w:rsidR="004F64EF" w:rsidRPr="003003C0" w:rsidRDefault="004F64EF" w:rsidP="00FD6B66">
            <w:pPr>
              <w:jc w:val="right"/>
              <w:rPr>
                <w:rFonts w:cs="Arial"/>
                <w:color w:val="000000"/>
                <w:sz w:val="14"/>
                <w:szCs w:val="14"/>
              </w:rPr>
            </w:pPr>
            <w:r w:rsidRPr="003003C0">
              <w:rPr>
                <w:rFonts w:cs="Arial"/>
                <w:color w:val="000000"/>
                <w:sz w:val="14"/>
                <w:szCs w:val="14"/>
              </w:rPr>
              <w:t>2</w:t>
            </w:r>
            <w:r>
              <w:rPr>
                <w:rFonts w:cs="Arial"/>
                <w:color w:val="000000"/>
                <w:sz w:val="14"/>
                <w:szCs w:val="14"/>
              </w:rPr>
              <w:t>.</w:t>
            </w:r>
            <w:r w:rsidRPr="003003C0">
              <w:rPr>
                <w:rFonts w:cs="Arial"/>
                <w:color w:val="000000"/>
                <w:sz w:val="14"/>
                <w:szCs w:val="14"/>
              </w:rPr>
              <w:t>3</w:t>
            </w:r>
          </w:p>
        </w:tc>
        <w:tc>
          <w:tcPr>
            <w:tcW w:w="787" w:type="dxa"/>
            <w:noWrap/>
            <w:vAlign w:val="center"/>
            <w:hideMark/>
          </w:tcPr>
          <w:p w14:paraId="710E8CC7" w14:textId="77777777" w:rsidR="004F64EF" w:rsidRPr="003003C0" w:rsidRDefault="004F64EF" w:rsidP="00FD6B66">
            <w:pPr>
              <w:jc w:val="right"/>
              <w:rPr>
                <w:rFonts w:cs="Arial"/>
                <w:color w:val="000000"/>
                <w:sz w:val="14"/>
                <w:szCs w:val="14"/>
              </w:rPr>
            </w:pPr>
            <w:r w:rsidRPr="003003C0">
              <w:rPr>
                <w:rFonts w:cs="Arial"/>
                <w:color w:val="000000"/>
                <w:sz w:val="14"/>
                <w:szCs w:val="14"/>
              </w:rPr>
              <w:t>1</w:t>
            </w:r>
            <w:r>
              <w:rPr>
                <w:rFonts w:cs="Arial"/>
                <w:color w:val="000000"/>
                <w:sz w:val="14"/>
                <w:szCs w:val="14"/>
              </w:rPr>
              <w:t>.</w:t>
            </w:r>
            <w:r w:rsidRPr="003003C0">
              <w:rPr>
                <w:rFonts w:cs="Arial"/>
                <w:color w:val="000000"/>
                <w:sz w:val="14"/>
                <w:szCs w:val="14"/>
              </w:rPr>
              <w:t>9</w:t>
            </w:r>
          </w:p>
        </w:tc>
        <w:tc>
          <w:tcPr>
            <w:tcW w:w="788" w:type="dxa"/>
            <w:noWrap/>
            <w:vAlign w:val="center"/>
            <w:hideMark/>
          </w:tcPr>
          <w:p w14:paraId="563B923F" w14:textId="77777777" w:rsidR="004F64EF" w:rsidRPr="003003C0" w:rsidRDefault="004F64EF" w:rsidP="00FD6B66">
            <w:pPr>
              <w:jc w:val="right"/>
              <w:rPr>
                <w:rFonts w:cs="Arial"/>
                <w:color w:val="000000"/>
                <w:sz w:val="14"/>
                <w:szCs w:val="14"/>
              </w:rPr>
            </w:pPr>
            <w:r w:rsidRPr="003003C0">
              <w:rPr>
                <w:rFonts w:cs="Arial"/>
                <w:color w:val="000000"/>
                <w:sz w:val="14"/>
                <w:szCs w:val="14"/>
              </w:rPr>
              <w:t>1</w:t>
            </w:r>
            <w:r>
              <w:rPr>
                <w:rFonts w:cs="Arial"/>
                <w:color w:val="000000"/>
                <w:sz w:val="14"/>
                <w:szCs w:val="14"/>
              </w:rPr>
              <w:t>.</w:t>
            </w:r>
            <w:r w:rsidRPr="003003C0">
              <w:rPr>
                <w:rFonts w:cs="Arial"/>
                <w:color w:val="000000"/>
                <w:sz w:val="14"/>
                <w:szCs w:val="14"/>
              </w:rPr>
              <w:t>9</w:t>
            </w:r>
          </w:p>
        </w:tc>
        <w:tc>
          <w:tcPr>
            <w:tcW w:w="787" w:type="dxa"/>
            <w:noWrap/>
            <w:vAlign w:val="center"/>
            <w:hideMark/>
          </w:tcPr>
          <w:p w14:paraId="466660B7" w14:textId="77777777" w:rsidR="004F64EF" w:rsidRPr="003003C0" w:rsidRDefault="004F64EF" w:rsidP="00FD6B66">
            <w:pPr>
              <w:jc w:val="right"/>
              <w:rPr>
                <w:rFonts w:cs="Arial"/>
                <w:color w:val="000000"/>
                <w:sz w:val="14"/>
                <w:szCs w:val="14"/>
              </w:rPr>
            </w:pPr>
            <w:r w:rsidRPr="003003C0">
              <w:rPr>
                <w:rFonts w:cs="Arial"/>
                <w:color w:val="000000"/>
                <w:sz w:val="14"/>
                <w:szCs w:val="14"/>
              </w:rPr>
              <w:t>1</w:t>
            </w:r>
            <w:r>
              <w:rPr>
                <w:rFonts w:cs="Arial"/>
                <w:color w:val="000000"/>
                <w:sz w:val="14"/>
                <w:szCs w:val="14"/>
              </w:rPr>
              <w:t>.</w:t>
            </w:r>
            <w:r w:rsidRPr="003003C0">
              <w:rPr>
                <w:rFonts w:cs="Arial"/>
                <w:color w:val="000000"/>
                <w:sz w:val="14"/>
                <w:szCs w:val="14"/>
              </w:rPr>
              <w:t>9</w:t>
            </w:r>
          </w:p>
        </w:tc>
        <w:tc>
          <w:tcPr>
            <w:tcW w:w="787" w:type="dxa"/>
            <w:noWrap/>
            <w:vAlign w:val="center"/>
            <w:hideMark/>
          </w:tcPr>
          <w:p w14:paraId="6099208C" w14:textId="77777777" w:rsidR="004F64EF" w:rsidRPr="003003C0" w:rsidRDefault="004F64EF" w:rsidP="00FD6B66">
            <w:pPr>
              <w:jc w:val="right"/>
              <w:rPr>
                <w:rFonts w:cs="Arial"/>
                <w:color w:val="000000"/>
                <w:sz w:val="14"/>
                <w:szCs w:val="14"/>
              </w:rPr>
            </w:pPr>
            <w:r w:rsidRPr="003003C0">
              <w:rPr>
                <w:rFonts w:cs="Arial"/>
                <w:color w:val="000000"/>
                <w:sz w:val="14"/>
                <w:szCs w:val="14"/>
              </w:rPr>
              <w:t>1</w:t>
            </w:r>
            <w:r>
              <w:rPr>
                <w:rFonts w:cs="Arial"/>
                <w:color w:val="000000"/>
                <w:sz w:val="14"/>
                <w:szCs w:val="14"/>
              </w:rPr>
              <w:t>.</w:t>
            </w:r>
            <w:r w:rsidRPr="003003C0">
              <w:rPr>
                <w:rFonts w:cs="Arial"/>
                <w:color w:val="000000"/>
                <w:sz w:val="14"/>
                <w:szCs w:val="14"/>
              </w:rPr>
              <w:t>6</w:t>
            </w:r>
          </w:p>
        </w:tc>
        <w:tc>
          <w:tcPr>
            <w:tcW w:w="788" w:type="dxa"/>
            <w:noWrap/>
            <w:vAlign w:val="center"/>
            <w:hideMark/>
          </w:tcPr>
          <w:p w14:paraId="6D82936B" w14:textId="77777777" w:rsidR="004F64EF" w:rsidRPr="003003C0" w:rsidRDefault="004F64EF" w:rsidP="00FD6B66">
            <w:pPr>
              <w:jc w:val="right"/>
              <w:rPr>
                <w:rFonts w:cs="Arial"/>
                <w:color w:val="000000"/>
                <w:sz w:val="14"/>
                <w:szCs w:val="14"/>
              </w:rPr>
            </w:pPr>
            <w:r w:rsidRPr="003003C0">
              <w:rPr>
                <w:rFonts w:cs="Arial"/>
                <w:color w:val="000000"/>
                <w:sz w:val="14"/>
                <w:szCs w:val="14"/>
              </w:rPr>
              <w:t>1</w:t>
            </w:r>
            <w:r>
              <w:rPr>
                <w:rFonts w:cs="Arial"/>
                <w:color w:val="000000"/>
                <w:sz w:val="14"/>
                <w:szCs w:val="14"/>
              </w:rPr>
              <w:t>.</w:t>
            </w:r>
            <w:r w:rsidRPr="003003C0">
              <w:rPr>
                <w:rFonts w:cs="Arial"/>
                <w:color w:val="000000"/>
                <w:sz w:val="14"/>
                <w:szCs w:val="14"/>
              </w:rPr>
              <w:t>3</w:t>
            </w:r>
          </w:p>
        </w:tc>
      </w:tr>
      <w:tr w:rsidR="004F64EF" w:rsidRPr="003003C0" w14:paraId="236F9DC6" w14:textId="77777777" w:rsidTr="00FD6B66">
        <w:trPr>
          <w:trHeight w:val="20"/>
        </w:trPr>
        <w:tc>
          <w:tcPr>
            <w:tcW w:w="3505" w:type="dxa"/>
            <w:noWrap/>
            <w:vAlign w:val="center"/>
            <w:hideMark/>
          </w:tcPr>
          <w:p w14:paraId="4EBCEB97" w14:textId="77777777" w:rsidR="004F64EF" w:rsidRPr="003003C0" w:rsidRDefault="004F64EF" w:rsidP="00FD6B66">
            <w:pPr>
              <w:tabs>
                <w:tab w:val="left" w:pos="113"/>
              </w:tabs>
              <w:jc w:val="left"/>
              <w:rPr>
                <w:rFonts w:cs="Arial"/>
                <w:color w:val="000000"/>
                <w:sz w:val="14"/>
                <w:szCs w:val="14"/>
              </w:rPr>
            </w:pPr>
            <w:r w:rsidRPr="003003C0">
              <w:rPr>
                <w:rFonts w:cs="Arial"/>
                <w:color w:val="000000"/>
                <w:sz w:val="14"/>
                <w:szCs w:val="14"/>
              </w:rPr>
              <w:tab/>
            </w:r>
            <w:r>
              <w:rPr>
                <w:rFonts w:cs="Arial"/>
                <w:color w:val="000000"/>
                <w:sz w:val="14"/>
                <w:szCs w:val="14"/>
              </w:rPr>
              <w:t>Other</w:t>
            </w:r>
            <w:r w:rsidRPr="003003C0">
              <w:rPr>
                <w:rFonts w:cs="Arial"/>
                <w:color w:val="000000"/>
                <w:sz w:val="14"/>
                <w:szCs w:val="14"/>
              </w:rPr>
              <w:t xml:space="preserve"> Asia</w:t>
            </w:r>
          </w:p>
        </w:tc>
        <w:tc>
          <w:tcPr>
            <w:tcW w:w="787" w:type="dxa"/>
            <w:noWrap/>
            <w:vAlign w:val="center"/>
            <w:hideMark/>
          </w:tcPr>
          <w:p w14:paraId="40A6CE3B" w14:textId="77777777" w:rsidR="004F64EF" w:rsidRPr="003003C0" w:rsidRDefault="004F64EF" w:rsidP="00FD6B66">
            <w:pPr>
              <w:jc w:val="right"/>
              <w:rPr>
                <w:rFonts w:cs="Arial"/>
                <w:color w:val="000000"/>
                <w:sz w:val="14"/>
                <w:szCs w:val="14"/>
              </w:rPr>
            </w:pPr>
            <w:r w:rsidRPr="003003C0">
              <w:rPr>
                <w:rFonts w:cs="Arial"/>
                <w:color w:val="000000"/>
                <w:sz w:val="14"/>
                <w:szCs w:val="14"/>
              </w:rPr>
              <w:t>4</w:t>
            </w:r>
            <w:r>
              <w:rPr>
                <w:rFonts w:cs="Arial"/>
                <w:color w:val="000000"/>
                <w:sz w:val="14"/>
                <w:szCs w:val="14"/>
              </w:rPr>
              <w:t>.</w:t>
            </w:r>
            <w:r w:rsidRPr="003003C0">
              <w:rPr>
                <w:rFonts w:cs="Arial"/>
                <w:color w:val="000000"/>
                <w:sz w:val="14"/>
                <w:szCs w:val="14"/>
              </w:rPr>
              <w:t>2</w:t>
            </w:r>
          </w:p>
        </w:tc>
        <w:tc>
          <w:tcPr>
            <w:tcW w:w="787" w:type="dxa"/>
            <w:noWrap/>
            <w:vAlign w:val="center"/>
            <w:hideMark/>
          </w:tcPr>
          <w:p w14:paraId="5A42871F" w14:textId="77777777" w:rsidR="004F64EF" w:rsidRPr="003003C0" w:rsidRDefault="004F64EF" w:rsidP="00FD6B66">
            <w:pPr>
              <w:jc w:val="right"/>
              <w:rPr>
                <w:rFonts w:cs="Arial"/>
                <w:color w:val="000000"/>
                <w:sz w:val="14"/>
                <w:szCs w:val="14"/>
              </w:rPr>
            </w:pPr>
            <w:r w:rsidRPr="003003C0">
              <w:rPr>
                <w:rFonts w:cs="Arial"/>
                <w:color w:val="000000"/>
                <w:sz w:val="14"/>
                <w:szCs w:val="14"/>
              </w:rPr>
              <w:t>4</w:t>
            </w:r>
            <w:r>
              <w:rPr>
                <w:rFonts w:cs="Arial"/>
                <w:color w:val="000000"/>
                <w:sz w:val="14"/>
                <w:szCs w:val="14"/>
              </w:rPr>
              <w:t>.</w:t>
            </w:r>
            <w:r w:rsidRPr="003003C0">
              <w:rPr>
                <w:rFonts w:cs="Arial"/>
                <w:color w:val="000000"/>
                <w:sz w:val="14"/>
                <w:szCs w:val="14"/>
              </w:rPr>
              <w:t>3</w:t>
            </w:r>
          </w:p>
        </w:tc>
        <w:tc>
          <w:tcPr>
            <w:tcW w:w="787" w:type="dxa"/>
            <w:noWrap/>
            <w:vAlign w:val="center"/>
            <w:hideMark/>
          </w:tcPr>
          <w:p w14:paraId="45469A5C" w14:textId="77777777" w:rsidR="004F64EF" w:rsidRPr="003003C0" w:rsidRDefault="004F64EF" w:rsidP="00FD6B66">
            <w:pPr>
              <w:jc w:val="right"/>
              <w:rPr>
                <w:rFonts w:cs="Arial"/>
                <w:color w:val="000000"/>
                <w:sz w:val="14"/>
                <w:szCs w:val="14"/>
              </w:rPr>
            </w:pPr>
            <w:r w:rsidRPr="003003C0">
              <w:rPr>
                <w:rFonts w:cs="Arial"/>
                <w:color w:val="000000"/>
                <w:sz w:val="14"/>
                <w:szCs w:val="14"/>
              </w:rPr>
              <w:t>4</w:t>
            </w:r>
            <w:r>
              <w:rPr>
                <w:rFonts w:cs="Arial"/>
                <w:color w:val="000000"/>
                <w:sz w:val="14"/>
                <w:szCs w:val="14"/>
              </w:rPr>
              <w:t>.</w:t>
            </w:r>
            <w:r w:rsidRPr="003003C0">
              <w:rPr>
                <w:rFonts w:cs="Arial"/>
                <w:color w:val="000000"/>
                <w:sz w:val="14"/>
                <w:szCs w:val="14"/>
              </w:rPr>
              <w:t>3</w:t>
            </w:r>
          </w:p>
        </w:tc>
        <w:tc>
          <w:tcPr>
            <w:tcW w:w="788" w:type="dxa"/>
            <w:noWrap/>
            <w:vAlign w:val="center"/>
            <w:hideMark/>
          </w:tcPr>
          <w:p w14:paraId="409C9D0E" w14:textId="77777777" w:rsidR="004F64EF" w:rsidRPr="003003C0" w:rsidRDefault="004F64EF" w:rsidP="00FD6B66">
            <w:pPr>
              <w:jc w:val="right"/>
              <w:rPr>
                <w:rFonts w:cs="Arial"/>
                <w:color w:val="000000"/>
                <w:sz w:val="14"/>
                <w:szCs w:val="14"/>
              </w:rPr>
            </w:pPr>
            <w:r w:rsidRPr="003003C0">
              <w:rPr>
                <w:rFonts w:cs="Arial"/>
                <w:color w:val="000000"/>
                <w:sz w:val="14"/>
                <w:szCs w:val="14"/>
              </w:rPr>
              <w:t>4</w:t>
            </w:r>
            <w:r>
              <w:rPr>
                <w:rFonts w:cs="Arial"/>
                <w:color w:val="000000"/>
                <w:sz w:val="14"/>
                <w:szCs w:val="14"/>
              </w:rPr>
              <w:t>.</w:t>
            </w:r>
            <w:r w:rsidRPr="003003C0">
              <w:rPr>
                <w:rFonts w:cs="Arial"/>
                <w:color w:val="000000"/>
                <w:sz w:val="14"/>
                <w:szCs w:val="14"/>
              </w:rPr>
              <w:t>0</w:t>
            </w:r>
          </w:p>
        </w:tc>
        <w:tc>
          <w:tcPr>
            <w:tcW w:w="787" w:type="dxa"/>
            <w:noWrap/>
            <w:vAlign w:val="center"/>
            <w:hideMark/>
          </w:tcPr>
          <w:p w14:paraId="5341EF90" w14:textId="77777777" w:rsidR="004F64EF" w:rsidRPr="003003C0" w:rsidRDefault="004F64EF" w:rsidP="00FD6B66">
            <w:pPr>
              <w:jc w:val="right"/>
              <w:rPr>
                <w:rFonts w:cs="Arial"/>
                <w:color w:val="000000"/>
                <w:sz w:val="14"/>
                <w:szCs w:val="14"/>
              </w:rPr>
            </w:pPr>
            <w:r w:rsidRPr="003003C0">
              <w:rPr>
                <w:rFonts w:cs="Arial"/>
                <w:color w:val="000000"/>
                <w:sz w:val="14"/>
                <w:szCs w:val="14"/>
              </w:rPr>
              <w:t>4</w:t>
            </w:r>
            <w:r>
              <w:rPr>
                <w:rFonts w:cs="Arial"/>
                <w:color w:val="000000"/>
                <w:sz w:val="14"/>
                <w:szCs w:val="14"/>
              </w:rPr>
              <w:t>.</w:t>
            </w:r>
            <w:r w:rsidRPr="003003C0">
              <w:rPr>
                <w:rFonts w:cs="Arial"/>
                <w:color w:val="000000"/>
                <w:sz w:val="14"/>
                <w:szCs w:val="14"/>
              </w:rPr>
              <w:t>2</w:t>
            </w:r>
          </w:p>
        </w:tc>
        <w:tc>
          <w:tcPr>
            <w:tcW w:w="787" w:type="dxa"/>
            <w:noWrap/>
            <w:vAlign w:val="center"/>
            <w:hideMark/>
          </w:tcPr>
          <w:p w14:paraId="23903A1C" w14:textId="77777777" w:rsidR="004F64EF" w:rsidRPr="003003C0" w:rsidRDefault="004F64EF" w:rsidP="00FD6B66">
            <w:pPr>
              <w:jc w:val="right"/>
              <w:rPr>
                <w:rFonts w:cs="Arial"/>
                <w:color w:val="000000"/>
                <w:sz w:val="14"/>
                <w:szCs w:val="14"/>
              </w:rPr>
            </w:pPr>
            <w:r w:rsidRPr="003003C0">
              <w:rPr>
                <w:rFonts w:cs="Arial"/>
                <w:color w:val="000000"/>
                <w:sz w:val="14"/>
                <w:szCs w:val="14"/>
              </w:rPr>
              <w:t>4</w:t>
            </w:r>
            <w:r>
              <w:rPr>
                <w:rFonts w:cs="Arial"/>
                <w:color w:val="000000"/>
                <w:sz w:val="14"/>
                <w:szCs w:val="14"/>
              </w:rPr>
              <w:t>.</w:t>
            </w:r>
            <w:r w:rsidRPr="003003C0">
              <w:rPr>
                <w:rFonts w:cs="Arial"/>
                <w:color w:val="000000"/>
                <w:sz w:val="14"/>
                <w:szCs w:val="14"/>
              </w:rPr>
              <w:t>4</w:t>
            </w:r>
          </w:p>
        </w:tc>
        <w:tc>
          <w:tcPr>
            <w:tcW w:w="788" w:type="dxa"/>
            <w:noWrap/>
            <w:vAlign w:val="center"/>
            <w:hideMark/>
          </w:tcPr>
          <w:p w14:paraId="6F1212FE" w14:textId="77777777" w:rsidR="004F64EF" w:rsidRPr="003003C0" w:rsidRDefault="004F64EF" w:rsidP="00FD6B66">
            <w:pPr>
              <w:jc w:val="right"/>
              <w:rPr>
                <w:rFonts w:cs="Arial"/>
                <w:color w:val="000000"/>
                <w:sz w:val="14"/>
                <w:szCs w:val="14"/>
              </w:rPr>
            </w:pPr>
            <w:r w:rsidRPr="003003C0">
              <w:rPr>
                <w:rFonts w:cs="Arial"/>
                <w:color w:val="000000"/>
                <w:sz w:val="14"/>
                <w:szCs w:val="14"/>
              </w:rPr>
              <w:t>4</w:t>
            </w:r>
            <w:r>
              <w:rPr>
                <w:rFonts w:cs="Arial"/>
                <w:color w:val="000000"/>
                <w:sz w:val="14"/>
                <w:szCs w:val="14"/>
              </w:rPr>
              <w:t>.</w:t>
            </w:r>
            <w:r w:rsidRPr="003003C0">
              <w:rPr>
                <w:rFonts w:cs="Arial"/>
                <w:color w:val="000000"/>
                <w:sz w:val="14"/>
                <w:szCs w:val="14"/>
              </w:rPr>
              <w:t>1</w:t>
            </w:r>
          </w:p>
        </w:tc>
      </w:tr>
      <w:tr w:rsidR="004F64EF" w:rsidRPr="003003C0" w14:paraId="2A373CF7" w14:textId="77777777" w:rsidTr="00FD6B66">
        <w:trPr>
          <w:cnfStyle w:val="000000010000" w:firstRow="0" w:lastRow="0" w:firstColumn="0" w:lastColumn="0" w:oddVBand="0" w:evenVBand="0" w:oddHBand="0" w:evenHBand="1" w:firstRowFirstColumn="0" w:firstRowLastColumn="0" w:lastRowFirstColumn="0" w:lastRowLastColumn="0"/>
          <w:trHeight w:val="20"/>
        </w:trPr>
        <w:tc>
          <w:tcPr>
            <w:tcW w:w="3505" w:type="dxa"/>
            <w:noWrap/>
            <w:vAlign w:val="center"/>
            <w:hideMark/>
          </w:tcPr>
          <w:p w14:paraId="0C048661" w14:textId="77777777" w:rsidR="004F64EF" w:rsidRPr="003003C0" w:rsidRDefault="004F64EF" w:rsidP="00FD6B66">
            <w:pPr>
              <w:tabs>
                <w:tab w:val="left" w:pos="510"/>
              </w:tabs>
              <w:jc w:val="left"/>
              <w:rPr>
                <w:rFonts w:cs="Arial"/>
                <w:color w:val="000000"/>
                <w:sz w:val="14"/>
                <w:szCs w:val="14"/>
              </w:rPr>
            </w:pPr>
            <w:r w:rsidRPr="003003C0">
              <w:rPr>
                <w:rFonts w:cs="Arial"/>
                <w:color w:val="000000"/>
                <w:sz w:val="14"/>
                <w:szCs w:val="14"/>
              </w:rPr>
              <w:tab/>
              <w:t>India</w:t>
            </w:r>
          </w:p>
        </w:tc>
        <w:tc>
          <w:tcPr>
            <w:tcW w:w="787" w:type="dxa"/>
            <w:noWrap/>
            <w:vAlign w:val="center"/>
            <w:hideMark/>
          </w:tcPr>
          <w:p w14:paraId="24A3FBBA" w14:textId="77777777" w:rsidR="004F64EF" w:rsidRPr="003003C0" w:rsidRDefault="004F64EF" w:rsidP="00FD6B66">
            <w:pPr>
              <w:jc w:val="right"/>
              <w:rPr>
                <w:rFonts w:cs="Arial"/>
                <w:color w:val="000000"/>
                <w:sz w:val="14"/>
                <w:szCs w:val="14"/>
              </w:rPr>
            </w:pPr>
            <w:r w:rsidRPr="003003C0">
              <w:rPr>
                <w:rFonts w:cs="Arial"/>
                <w:color w:val="000000"/>
                <w:sz w:val="14"/>
                <w:szCs w:val="14"/>
              </w:rPr>
              <w:t>1</w:t>
            </w:r>
            <w:r>
              <w:rPr>
                <w:rFonts w:cs="Arial"/>
                <w:color w:val="000000"/>
                <w:sz w:val="14"/>
                <w:szCs w:val="14"/>
              </w:rPr>
              <w:t>.</w:t>
            </w:r>
            <w:r w:rsidRPr="003003C0">
              <w:rPr>
                <w:rFonts w:cs="Arial"/>
                <w:color w:val="000000"/>
                <w:sz w:val="14"/>
                <w:szCs w:val="14"/>
              </w:rPr>
              <w:t>0</w:t>
            </w:r>
          </w:p>
        </w:tc>
        <w:tc>
          <w:tcPr>
            <w:tcW w:w="787" w:type="dxa"/>
            <w:noWrap/>
            <w:vAlign w:val="center"/>
            <w:hideMark/>
          </w:tcPr>
          <w:p w14:paraId="41FCC2CC" w14:textId="77777777" w:rsidR="004F64EF" w:rsidRPr="003003C0" w:rsidRDefault="004F64EF" w:rsidP="00FD6B66">
            <w:pPr>
              <w:jc w:val="right"/>
              <w:rPr>
                <w:rFonts w:cs="Arial"/>
                <w:color w:val="000000"/>
                <w:sz w:val="14"/>
                <w:szCs w:val="14"/>
              </w:rPr>
            </w:pPr>
            <w:r w:rsidRPr="003003C0">
              <w:rPr>
                <w:rFonts w:cs="Arial"/>
                <w:color w:val="000000"/>
                <w:sz w:val="14"/>
                <w:szCs w:val="14"/>
              </w:rPr>
              <w:t>1</w:t>
            </w:r>
            <w:r>
              <w:rPr>
                <w:rFonts w:cs="Arial"/>
                <w:color w:val="000000"/>
                <w:sz w:val="14"/>
                <w:szCs w:val="14"/>
              </w:rPr>
              <w:t>.</w:t>
            </w:r>
            <w:r w:rsidRPr="003003C0">
              <w:rPr>
                <w:rFonts w:cs="Arial"/>
                <w:color w:val="000000"/>
                <w:sz w:val="14"/>
                <w:szCs w:val="14"/>
              </w:rPr>
              <w:t>0</w:t>
            </w:r>
          </w:p>
        </w:tc>
        <w:tc>
          <w:tcPr>
            <w:tcW w:w="787" w:type="dxa"/>
            <w:noWrap/>
            <w:vAlign w:val="center"/>
            <w:hideMark/>
          </w:tcPr>
          <w:p w14:paraId="18C9D6BE" w14:textId="77777777" w:rsidR="004F64EF" w:rsidRPr="003003C0" w:rsidRDefault="004F64EF" w:rsidP="00FD6B66">
            <w:pPr>
              <w:jc w:val="right"/>
              <w:rPr>
                <w:rFonts w:cs="Arial"/>
                <w:color w:val="000000"/>
                <w:sz w:val="14"/>
                <w:szCs w:val="14"/>
              </w:rPr>
            </w:pPr>
            <w:r w:rsidRPr="003003C0">
              <w:rPr>
                <w:rFonts w:cs="Arial"/>
                <w:color w:val="000000"/>
                <w:sz w:val="14"/>
                <w:szCs w:val="14"/>
              </w:rPr>
              <w:t>1</w:t>
            </w:r>
            <w:r>
              <w:rPr>
                <w:rFonts w:cs="Arial"/>
                <w:color w:val="000000"/>
                <w:sz w:val="14"/>
                <w:szCs w:val="14"/>
              </w:rPr>
              <w:t>.</w:t>
            </w:r>
            <w:r w:rsidRPr="003003C0">
              <w:rPr>
                <w:rFonts w:cs="Arial"/>
                <w:color w:val="000000"/>
                <w:sz w:val="14"/>
                <w:szCs w:val="14"/>
              </w:rPr>
              <w:t>1</w:t>
            </w:r>
          </w:p>
        </w:tc>
        <w:tc>
          <w:tcPr>
            <w:tcW w:w="788" w:type="dxa"/>
            <w:noWrap/>
            <w:vAlign w:val="center"/>
            <w:hideMark/>
          </w:tcPr>
          <w:p w14:paraId="123FE735" w14:textId="77777777" w:rsidR="004F64EF" w:rsidRPr="003003C0" w:rsidRDefault="004F64EF" w:rsidP="00FD6B66">
            <w:pPr>
              <w:jc w:val="right"/>
              <w:rPr>
                <w:rFonts w:cs="Arial"/>
                <w:color w:val="000000"/>
                <w:sz w:val="14"/>
                <w:szCs w:val="14"/>
              </w:rPr>
            </w:pPr>
            <w:r w:rsidRPr="003003C0">
              <w:rPr>
                <w:rFonts w:cs="Arial"/>
                <w:color w:val="000000"/>
                <w:sz w:val="14"/>
                <w:szCs w:val="14"/>
              </w:rPr>
              <w:t>1</w:t>
            </w:r>
            <w:r>
              <w:rPr>
                <w:rFonts w:cs="Arial"/>
                <w:color w:val="000000"/>
                <w:sz w:val="14"/>
                <w:szCs w:val="14"/>
              </w:rPr>
              <w:t>.</w:t>
            </w:r>
            <w:r w:rsidRPr="003003C0">
              <w:rPr>
                <w:rFonts w:cs="Arial"/>
                <w:color w:val="000000"/>
                <w:sz w:val="14"/>
                <w:szCs w:val="14"/>
              </w:rPr>
              <w:t>1</w:t>
            </w:r>
          </w:p>
        </w:tc>
        <w:tc>
          <w:tcPr>
            <w:tcW w:w="787" w:type="dxa"/>
            <w:noWrap/>
            <w:vAlign w:val="center"/>
            <w:hideMark/>
          </w:tcPr>
          <w:p w14:paraId="389587DD" w14:textId="77777777" w:rsidR="004F64EF" w:rsidRPr="003003C0" w:rsidRDefault="004F64EF" w:rsidP="00FD6B66">
            <w:pPr>
              <w:jc w:val="right"/>
              <w:rPr>
                <w:rFonts w:cs="Arial"/>
                <w:color w:val="000000"/>
                <w:sz w:val="14"/>
                <w:szCs w:val="14"/>
              </w:rPr>
            </w:pPr>
            <w:r w:rsidRPr="003003C0">
              <w:rPr>
                <w:rFonts w:cs="Arial"/>
                <w:color w:val="000000"/>
                <w:sz w:val="14"/>
                <w:szCs w:val="14"/>
              </w:rPr>
              <w:t>1</w:t>
            </w:r>
            <w:r>
              <w:rPr>
                <w:rFonts w:cs="Arial"/>
                <w:color w:val="000000"/>
                <w:sz w:val="14"/>
                <w:szCs w:val="14"/>
              </w:rPr>
              <w:t>.</w:t>
            </w:r>
            <w:r w:rsidRPr="003003C0">
              <w:rPr>
                <w:rFonts w:cs="Arial"/>
                <w:color w:val="000000"/>
                <w:sz w:val="14"/>
                <w:szCs w:val="14"/>
              </w:rPr>
              <w:t>1</w:t>
            </w:r>
          </w:p>
        </w:tc>
        <w:tc>
          <w:tcPr>
            <w:tcW w:w="787" w:type="dxa"/>
            <w:noWrap/>
            <w:vAlign w:val="center"/>
            <w:hideMark/>
          </w:tcPr>
          <w:p w14:paraId="5B89F82F" w14:textId="77777777" w:rsidR="004F64EF" w:rsidRPr="003003C0" w:rsidRDefault="004F64EF" w:rsidP="00FD6B66">
            <w:pPr>
              <w:jc w:val="right"/>
              <w:rPr>
                <w:rFonts w:cs="Arial"/>
                <w:color w:val="000000"/>
                <w:sz w:val="14"/>
                <w:szCs w:val="14"/>
              </w:rPr>
            </w:pPr>
            <w:r w:rsidRPr="003003C0">
              <w:rPr>
                <w:rFonts w:cs="Arial"/>
                <w:color w:val="000000"/>
                <w:sz w:val="14"/>
                <w:szCs w:val="14"/>
              </w:rPr>
              <w:t>1</w:t>
            </w:r>
            <w:r>
              <w:rPr>
                <w:rFonts w:cs="Arial"/>
                <w:color w:val="000000"/>
                <w:sz w:val="14"/>
                <w:szCs w:val="14"/>
              </w:rPr>
              <w:t>.</w:t>
            </w:r>
            <w:r w:rsidRPr="003003C0">
              <w:rPr>
                <w:rFonts w:cs="Arial"/>
                <w:color w:val="000000"/>
                <w:sz w:val="14"/>
                <w:szCs w:val="14"/>
              </w:rPr>
              <w:t>3</w:t>
            </w:r>
          </w:p>
        </w:tc>
        <w:tc>
          <w:tcPr>
            <w:tcW w:w="788" w:type="dxa"/>
            <w:noWrap/>
            <w:vAlign w:val="center"/>
            <w:hideMark/>
          </w:tcPr>
          <w:p w14:paraId="5703072D" w14:textId="77777777" w:rsidR="004F64EF" w:rsidRPr="003003C0" w:rsidRDefault="004F64EF" w:rsidP="00FD6B66">
            <w:pPr>
              <w:jc w:val="right"/>
              <w:rPr>
                <w:rFonts w:cs="Arial"/>
                <w:color w:val="000000"/>
                <w:sz w:val="14"/>
                <w:szCs w:val="14"/>
              </w:rPr>
            </w:pPr>
            <w:r w:rsidRPr="003003C0">
              <w:rPr>
                <w:rFonts w:cs="Arial"/>
                <w:color w:val="000000"/>
                <w:sz w:val="14"/>
                <w:szCs w:val="14"/>
              </w:rPr>
              <w:t>1</w:t>
            </w:r>
            <w:r>
              <w:rPr>
                <w:rFonts w:cs="Arial"/>
                <w:color w:val="000000"/>
                <w:sz w:val="14"/>
                <w:szCs w:val="14"/>
              </w:rPr>
              <w:t>.</w:t>
            </w:r>
            <w:r w:rsidRPr="003003C0">
              <w:rPr>
                <w:rFonts w:cs="Arial"/>
                <w:color w:val="000000"/>
                <w:sz w:val="14"/>
                <w:szCs w:val="14"/>
              </w:rPr>
              <w:t>3</w:t>
            </w:r>
          </w:p>
        </w:tc>
      </w:tr>
      <w:tr w:rsidR="004F64EF" w:rsidRPr="003003C0" w14:paraId="54FA9E06" w14:textId="77777777" w:rsidTr="00FD6B66">
        <w:trPr>
          <w:trHeight w:val="20"/>
        </w:trPr>
        <w:tc>
          <w:tcPr>
            <w:tcW w:w="3505" w:type="dxa"/>
            <w:noWrap/>
            <w:vAlign w:val="center"/>
            <w:hideMark/>
          </w:tcPr>
          <w:p w14:paraId="242A8DA0" w14:textId="77777777" w:rsidR="004F64EF" w:rsidRPr="003003C0" w:rsidRDefault="004F64EF" w:rsidP="00FD6B66">
            <w:pPr>
              <w:tabs>
                <w:tab w:val="left" w:pos="510"/>
              </w:tabs>
              <w:jc w:val="left"/>
              <w:rPr>
                <w:rFonts w:cs="Arial"/>
                <w:color w:val="000000"/>
                <w:sz w:val="14"/>
                <w:szCs w:val="14"/>
              </w:rPr>
            </w:pPr>
            <w:r w:rsidRPr="003003C0">
              <w:rPr>
                <w:rFonts w:cs="Arial"/>
                <w:color w:val="000000"/>
                <w:sz w:val="14"/>
                <w:szCs w:val="14"/>
              </w:rPr>
              <w:tab/>
            </w:r>
            <w:r>
              <w:rPr>
                <w:rFonts w:cs="Arial"/>
                <w:color w:val="000000"/>
                <w:sz w:val="14"/>
                <w:szCs w:val="14"/>
              </w:rPr>
              <w:t>K</w:t>
            </w:r>
            <w:r w:rsidRPr="003003C0">
              <w:rPr>
                <w:rFonts w:cs="Arial"/>
                <w:color w:val="000000"/>
                <w:sz w:val="14"/>
                <w:szCs w:val="14"/>
              </w:rPr>
              <w:t>orea, Rep</w:t>
            </w:r>
            <w:r>
              <w:rPr>
                <w:rFonts w:cs="Arial"/>
                <w:color w:val="000000"/>
                <w:sz w:val="14"/>
                <w:szCs w:val="14"/>
              </w:rPr>
              <w:t>ublic of</w:t>
            </w:r>
          </w:p>
        </w:tc>
        <w:tc>
          <w:tcPr>
            <w:tcW w:w="787" w:type="dxa"/>
            <w:noWrap/>
            <w:vAlign w:val="center"/>
            <w:hideMark/>
          </w:tcPr>
          <w:p w14:paraId="0F87E7F4" w14:textId="77777777" w:rsidR="004F64EF" w:rsidRPr="003003C0" w:rsidRDefault="004F64EF" w:rsidP="00FD6B66">
            <w:pPr>
              <w:jc w:val="right"/>
              <w:rPr>
                <w:rFonts w:cs="Arial"/>
                <w:color w:val="000000"/>
                <w:sz w:val="14"/>
                <w:szCs w:val="14"/>
              </w:rPr>
            </w:pPr>
            <w:r w:rsidRPr="003003C0">
              <w:rPr>
                <w:rFonts w:cs="Arial"/>
                <w:color w:val="000000"/>
                <w:sz w:val="14"/>
                <w:szCs w:val="14"/>
              </w:rPr>
              <w:t>1</w:t>
            </w:r>
            <w:r>
              <w:rPr>
                <w:rFonts w:cs="Arial"/>
                <w:color w:val="000000"/>
                <w:sz w:val="14"/>
                <w:szCs w:val="14"/>
              </w:rPr>
              <w:t>.</w:t>
            </w:r>
            <w:r w:rsidRPr="003003C0">
              <w:rPr>
                <w:rFonts w:cs="Arial"/>
                <w:color w:val="000000"/>
                <w:sz w:val="14"/>
                <w:szCs w:val="14"/>
              </w:rPr>
              <w:t>5</w:t>
            </w:r>
          </w:p>
        </w:tc>
        <w:tc>
          <w:tcPr>
            <w:tcW w:w="787" w:type="dxa"/>
            <w:noWrap/>
            <w:vAlign w:val="center"/>
            <w:hideMark/>
          </w:tcPr>
          <w:p w14:paraId="6BDA3149" w14:textId="77777777" w:rsidR="004F64EF" w:rsidRPr="003003C0" w:rsidRDefault="004F64EF" w:rsidP="00FD6B66">
            <w:pPr>
              <w:jc w:val="right"/>
              <w:rPr>
                <w:rFonts w:cs="Arial"/>
                <w:color w:val="000000"/>
                <w:sz w:val="14"/>
                <w:szCs w:val="14"/>
              </w:rPr>
            </w:pPr>
            <w:r w:rsidRPr="003003C0">
              <w:rPr>
                <w:rFonts w:cs="Arial"/>
                <w:color w:val="000000"/>
                <w:sz w:val="14"/>
                <w:szCs w:val="14"/>
              </w:rPr>
              <w:t>1</w:t>
            </w:r>
            <w:r>
              <w:rPr>
                <w:rFonts w:cs="Arial"/>
                <w:color w:val="000000"/>
                <w:sz w:val="14"/>
                <w:szCs w:val="14"/>
              </w:rPr>
              <w:t>.</w:t>
            </w:r>
            <w:r w:rsidRPr="003003C0">
              <w:rPr>
                <w:rFonts w:cs="Arial"/>
                <w:color w:val="000000"/>
                <w:sz w:val="14"/>
                <w:szCs w:val="14"/>
              </w:rPr>
              <w:t>6</w:t>
            </w:r>
          </w:p>
        </w:tc>
        <w:tc>
          <w:tcPr>
            <w:tcW w:w="787" w:type="dxa"/>
            <w:noWrap/>
            <w:vAlign w:val="center"/>
            <w:hideMark/>
          </w:tcPr>
          <w:p w14:paraId="2CA1BFD2" w14:textId="77777777" w:rsidR="004F64EF" w:rsidRPr="003003C0" w:rsidRDefault="004F64EF" w:rsidP="00FD6B66">
            <w:pPr>
              <w:jc w:val="right"/>
              <w:rPr>
                <w:rFonts w:cs="Arial"/>
                <w:color w:val="000000"/>
                <w:sz w:val="14"/>
                <w:szCs w:val="14"/>
              </w:rPr>
            </w:pPr>
            <w:r w:rsidRPr="003003C0">
              <w:rPr>
                <w:rFonts w:cs="Arial"/>
                <w:color w:val="000000"/>
                <w:sz w:val="14"/>
                <w:szCs w:val="14"/>
              </w:rPr>
              <w:t>1</w:t>
            </w:r>
            <w:r>
              <w:rPr>
                <w:rFonts w:cs="Arial"/>
                <w:color w:val="000000"/>
                <w:sz w:val="14"/>
                <w:szCs w:val="14"/>
              </w:rPr>
              <w:t>.</w:t>
            </w:r>
            <w:r w:rsidRPr="003003C0">
              <w:rPr>
                <w:rFonts w:cs="Arial"/>
                <w:color w:val="000000"/>
                <w:sz w:val="14"/>
                <w:szCs w:val="14"/>
              </w:rPr>
              <w:t>5</w:t>
            </w:r>
          </w:p>
        </w:tc>
        <w:tc>
          <w:tcPr>
            <w:tcW w:w="788" w:type="dxa"/>
            <w:noWrap/>
            <w:vAlign w:val="center"/>
            <w:hideMark/>
          </w:tcPr>
          <w:p w14:paraId="5448B055" w14:textId="77777777" w:rsidR="004F64EF" w:rsidRPr="003003C0" w:rsidRDefault="004F64EF" w:rsidP="00FD6B66">
            <w:pPr>
              <w:jc w:val="right"/>
              <w:rPr>
                <w:rFonts w:cs="Arial"/>
                <w:color w:val="000000"/>
                <w:sz w:val="14"/>
                <w:szCs w:val="14"/>
              </w:rPr>
            </w:pPr>
            <w:r w:rsidRPr="003003C0">
              <w:rPr>
                <w:rFonts w:cs="Arial"/>
                <w:color w:val="000000"/>
                <w:sz w:val="14"/>
                <w:szCs w:val="14"/>
              </w:rPr>
              <w:t>1</w:t>
            </w:r>
            <w:r>
              <w:rPr>
                <w:rFonts w:cs="Arial"/>
                <w:color w:val="000000"/>
                <w:sz w:val="14"/>
                <w:szCs w:val="14"/>
              </w:rPr>
              <w:t>.</w:t>
            </w:r>
            <w:r w:rsidRPr="003003C0">
              <w:rPr>
                <w:rFonts w:cs="Arial"/>
                <w:color w:val="000000"/>
                <w:sz w:val="14"/>
                <w:szCs w:val="14"/>
              </w:rPr>
              <w:t>2</w:t>
            </w:r>
          </w:p>
        </w:tc>
        <w:tc>
          <w:tcPr>
            <w:tcW w:w="787" w:type="dxa"/>
            <w:noWrap/>
            <w:vAlign w:val="center"/>
            <w:hideMark/>
          </w:tcPr>
          <w:p w14:paraId="03A18CF1" w14:textId="77777777" w:rsidR="004F64EF" w:rsidRPr="003003C0" w:rsidRDefault="004F64EF" w:rsidP="00FD6B66">
            <w:pPr>
              <w:jc w:val="right"/>
              <w:rPr>
                <w:rFonts w:cs="Arial"/>
                <w:color w:val="000000"/>
                <w:sz w:val="14"/>
                <w:szCs w:val="14"/>
              </w:rPr>
            </w:pPr>
            <w:r w:rsidRPr="003003C0">
              <w:rPr>
                <w:rFonts w:cs="Arial"/>
                <w:color w:val="000000"/>
                <w:sz w:val="14"/>
                <w:szCs w:val="14"/>
              </w:rPr>
              <w:t>1</w:t>
            </w:r>
            <w:r>
              <w:rPr>
                <w:rFonts w:cs="Arial"/>
                <w:color w:val="000000"/>
                <w:sz w:val="14"/>
                <w:szCs w:val="14"/>
              </w:rPr>
              <w:t>.</w:t>
            </w:r>
            <w:r w:rsidRPr="003003C0">
              <w:rPr>
                <w:rFonts w:cs="Arial"/>
                <w:color w:val="000000"/>
                <w:sz w:val="14"/>
                <w:szCs w:val="14"/>
              </w:rPr>
              <w:t>2</w:t>
            </w:r>
          </w:p>
        </w:tc>
        <w:tc>
          <w:tcPr>
            <w:tcW w:w="787" w:type="dxa"/>
            <w:noWrap/>
            <w:vAlign w:val="center"/>
            <w:hideMark/>
          </w:tcPr>
          <w:p w14:paraId="67A8A7C8" w14:textId="77777777" w:rsidR="004F64EF" w:rsidRPr="003003C0" w:rsidRDefault="004F64EF" w:rsidP="00FD6B66">
            <w:pPr>
              <w:jc w:val="right"/>
              <w:rPr>
                <w:rFonts w:cs="Arial"/>
                <w:color w:val="000000"/>
                <w:sz w:val="14"/>
                <w:szCs w:val="14"/>
              </w:rPr>
            </w:pPr>
            <w:r w:rsidRPr="003003C0">
              <w:rPr>
                <w:rFonts w:cs="Arial"/>
                <w:color w:val="000000"/>
                <w:sz w:val="14"/>
                <w:szCs w:val="14"/>
              </w:rPr>
              <w:t>1</w:t>
            </w:r>
            <w:r>
              <w:rPr>
                <w:rFonts w:cs="Arial"/>
                <w:color w:val="000000"/>
                <w:sz w:val="14"/>
                <w:szCs w:val="14"/>
              </w:rPr>
              <w:t>.</w:t>
            </w:r>
            <w:r w:rsidRPr="003003C0">
              <w:rPr>
                <w:rFonts w:cs="Arial"/>
                <w:color w:val="000000"/>
                <w:sz w:val="14"/>
                <w:szCs w:val="14"/>
              </w:rPr>
              <w:t>0</w:t>
            </w:r>
          </w:p>
        </w:tc>
        <w:tc>
          <w:tcPr>
            <w:tcW w:w="788" w:type="dxa"/>
            <w:noWrap/>
            <w:vAlign w:val="center"/>
            <w:hideMark/>
          </w:tcPr>
          <w:p w14:paraId="4C398044" w14:textId="77777777" w:rsidR="004F64EF" w:rsidRPr="003003C0" w:rsidRDefault="004F64EF" w:rsidP="00FD6B66">
            <w:pPr>
              <w:jc w:val="right"/>
              <w:rPr>
                <w:rFonts w:cs="Arial"/>
                <w:color w:val="000000"/>
                <w:sz w:val="14"/>
                <w:szCs w:val="14"/>
              </w:rPr>
            </w:pPr>
            <w:r w:rsidRPr="003003C0">
              <w:rPr>
                <w:rFonts w:cs="Arial"/>
                <w:color w:val="000000"/>
                <w:sz w:val="14"/>
                <w:szCs w:val="14"/>
              </w:rPr>
              <w:t>1</w:t>
            </w:r>
            <w:r>
              <w:rPr>
                <w:rFonts w:cs="Arial"/>
                <w:color w:val="000000"/>
                <w:sz w:val="14"/>
                <w:szCs w:val="14"/>
              </w:rPr>
              <w:t>.</w:t>
            </w:r>
            <w:r w:rsidRPr="003003C0">
              <w:rPr>
                <w:rFonts w:cs="Arial"/>
                <w:color w:val="000000"/>
                <w:sz w:val="14"/>
                <w:szCs w:val="14"/>
              </w:rPr>
              <w:t>2</w:t>
            </w:r>
          </w:p>
        </w:tc>
      </w:tr>
      <w:tr w:rsidR="004F64EF" w:rsidRPr="003003C0" w14:paraId="292B2E28" w14:textId="77777777" w:rsidTr="00FD6B66">
        <w:trPr>
          <w:cnfStyle w:val="000000010000" w:firstRow="0" w:lastRow="0" w:firstColumn="0" w:lastColumn="0" w:oddVBand="0" w:evenVBand="0" w:oddHBand="0" w:evenHBand="1" w:firstRowFirstColumn="0" w:firstRowLastColumn="0" w:lastRowFirstColumn="0" w:lastRowLastColumn="0"/>
          <w:trHeight w:val="20"/>
        </w:trPr>
        <w:tc>
          <w:tcPr>
            <w:tcW w:w="3505" w:type="dxa"/>
            <w:noWrap/>
            <w:vAlign w:val="center"/>
            <w:hideMark/>
          </w:tcPr>
          <w:p w14:paraId="2D8D268B" w14:textId="77777777" w:rsidR="004F64EF" w:rsidRPr="003003C0" w:rsidRDefault="004F64EF" w:rsidP="00FD6B66">
            <w:pPr>
              <w:tabs>
                <w:tab w:val="left" w:pos="510"/>
              </w:tabs>
              <w:jc w:val="left"/>
              <w:rPr>
                <w:rFonts w:cs="Arial"/>
                <w:color w:val="000000"/>
                <w:sz w:val="14"/>
                <w:szCs w:val="14"/>
              </w:rPr>
            </w:pPr>
            <w:r w:rsidRPr="003003C0">
              <w:rPr>
                <w:rFonts w:cs="Arial"/>
                <w:color w:val="000000"/>
                <w:sz w:val="14"/>
                <w:szCs w:val="14"/>
              </w:rPr>
              <w:tab/>
              <w:t>Viet Nam</w:t>
            </w:r>
          </w:p>
        </w:tc>
        <w:tc>
          <w:tcPr>
            <w:tcW w:w="787" w:type="dxa"/>
            <w:noWrap/>
            <w:vAlign w:val="center"/>
            <w:hideMark/>
          </w:tcPr>
          <w:p w14:paraId="1B0C7E96"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4</w:t>
            </w:r>
          </w:p>
        </w:tc>
        <w:tc>
          <w:tcPr>
            <w:tcW w:w="787" w:type="dxa"/>
            <w:noWrap/>
            <w:vAlign w:val="center"/>
            <w:hideMark/>
          </w:tcPr>
          <w:p w14:paraId="4960FD09"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4</w:t>
            </w:r>
          </w:p>
        </w:tc>
        <w:tc>
          <w:tcPr>
            <w:tcW w:w="787" w:type="dxa"/>
            <w:noWrap/>
            <w:vAlign w:val="center"/>
            <w:hideMark/>
          </w:tcPr>
          <w:p w14:paraId="28D8131E"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4</w:t>
            </w:r>
          </w:p>
        </w:tc>
        <w:tc>
          <w:tcPr>
            <w:tcW w:w="788" w:type="dxa"/>
            <w:noWrap/>
            <w:vAlign w:val="center"/>
            <w:hideMark/>
          </w:tcPr>
          <w:p w14:paraId="04623F5E"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3</w:t>
            </w:r>
          </w:p>
        </w:tc>
        <w:tc>
          <w:tcPr>
            <w:tcW w:w="787" w:type="dxa"/>
            <w:noWrap/>
            <w:vAlign w:val="center"/>
            <w:hideMark/>
          </w:tcPr>
          <w:p w14:paraId="4825A7FA"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3</w:t>
            </w:r>
          </w:p>
        </w:tc>
        <w:tc>
          <w:tcPr>
            <w:tcW w:w="787" w:type="dxa"/>
            <w:noWrap/>
            <w:vAlign w:val="center"/>
            <w:hideMark/>
          </w:tcPr>
          <w:p w14:paraId="67AA0FD0"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3</w:t>
            </w:r>
          </w:p>
        </w:tc>
        <w:tc>
          <w:tcPr>
            <w:tcW w:w="788" w:type="dxa"/>
            <w:noWrap/>
            <w:vAlign w:val="center"/>
            <w:hideMark/>
          </w:tcPr>
          <w:p w14:paraId="022D9148"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3</w:t>
            </w:r>
          </w:p>
        </w:tc>
      </w:tr>
      <w:tr w:rsidR="004F64EF" w:rsidRPr="003003C0" w14:paraId="5E33FFD1" w14:textId="77777777" w:rsidTr="00FD6B66">
        <w:trPr>
          <w:trHeight w:val="20"/>
        </w:trPr>
        <w:tc>
          <w:tcPr>
            <w:tcW w:w="3505" w:type="dxa"/>
            <w:noWrap/>
            <w:vAlign w:val="center"/>
            <w:hideMark/>
          </w:tcPr>
          <w:p w14:paraId="78967472" w14:textId="77777777" w:rsidR="004F64EF" w:rsidRPr="003003C0" w:rsidRDefault="004F64EF" w:rsidP="00FD6B66">
            <w:pPr>
              <w:tabs>
                <w:tab w:val="left" w:pos="510"/>
              </w:tabs>
              <w:jc w:val="left"/>
              <w:rPr>
                <w:rFonts w:cs="Arial"/>
                <w:color w:val="000000"/>
                <w:sz w:val="14"/>
                <w:szCs w:val="14"/>
              </w:rPr>
            </w:pPr>
            <w:r w:rsidRPr="003003C0">
              <w:rPr>
                <w:rFonts w:cs="Arial"/>
                <w:color w:val="000000"/>
                <w:sz w:val="14"/>
                <w:szCs w:val="14"/>
              </w:rPr>
              <w:tab/>
              <w:t>T</w:t>
            </w:r>
            <w:r>
              <w:rPr>
                <w:rFonts w:cs="Arial"/>
                <w:color w:val="000000"/>
                <w:sz w:val="14"/>
                <w:szCs w:val="14"/>
              </w:rPr>
              <w:t>h</w:t>
            </w:r>
            <w:r w:rsidRPr="003003C0">
              <w:rPr>
                <w:rFonts w:cs="Arial"/>
                <w:color w:val="000000"/>
                <w:sz w:val="14"/>
                <w:szCs w:val="14"/>
              </w:rPr>
              <w:t>ailand</w:t>
            </w:r>
          </w:p>
        </w:tc>
        <w:tc>
          <w:tcPr>
            <w:tcW w:w="787" w:type="dxa"/>
            <w:noWrap/>
            <w:vAlign w:val="center"/>
            <w:hideMark/>
          </w:tcPr>
          <w:p w14:paraId="3EFE27EF"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5</w:t>
            </w:r>
          </w:p>
        </w:tc>
        <w:tc>
          <w:tcPr>
            <w:tcW w:w="787" w:type="dxa"/>
            <w:noWrap/>
            <w:vAlign w:val="center"/>
            <w:hideMark/>
          </w:tcPr>
          <w:p w14:paraId="374ED2AB"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5</w:t>
            </w:r>
          </w:p>
        </w:tc>
        <w:tc>
          <w:tcPr>
            <w:tcW w:w="787" w:type="dxa"/>
            <w:noWrap/>
            <w:vAlign w:val="center"/>
            <w:hideMark/>
          </w:tcPr>
          <w:p w14:paraId="65F4B19A"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4</w:t>
            </w:r>
          </w:p>
        </w:tc>
        <w:tc>
          <w:tcPr>
            <w:tcW w:w="788" w:type="dxa"/>
            <w:noWrap/>
            <w:vAlign w:val="center"/>
            <w:hideMark/>
          </w:tcPr>
          <w:p w14:paraId="774E45B9"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4</w:t>
            </w:r>
          </w:p>
        </w:tc>
        <w:tc>
          <w:tcPr>
            <w:tcW w:w="787" w:type="dxa"/>
            <w:noWrap/>
            <w:vAlign w:val="center"/>
            <w:hideMark/>
          </w:tcPr>
          <w:p w14:paraId="10D5AFD0"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4</w:t>
            </w:r>
          </w:p>
        </w:tc>
        <w:tc>
          <w:tcPr>
            <w:tcW w:w="787" w:type="dxa"/>
            <w:noWrap/>
            <w:vAlign w:val="center"/>
            <w:hideMark/>
          </w:tcPr>
          <w:p w14:paraId="70C67DB9"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5</w:t>
            </w:r>
          </w:p>
        </w:tc>
        <w:tc>
          <w:tcPr>
            <w:tcW w:w="788" w:type="dxa"/>
            <w:noWrap/>
            <w:vAlign w:val="center"/>
            <w:hideMark/>
          </w:tcPr>
          <w:p w14:paraId="09D22722"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3</w:t>
            </w:r>
          </w:p>
        </w:tc>
      </w:tr>
      <w:tr w:rsidR="004F64EF" w:rsidRPr="003003C0" w14:paraId="452F933E" w14:textId="77777777" w:rsidTr="00FD6B66">
        <w:trPr>
          <w:cnfStyle w:val="000000010000" w:firstRow="0" w:lastRow="0" w:firstColumn="0" w:lastColumn="0" w:oddVBand="0" w:evenVBand="0" w:oddHBand="0" w:evenHBand="1" w:firstRowFirstColumn="0" w:firstRowLastColumn="0" w:lastRowFirstColumn="0" w:lastRowLastColumn="0"/>
          <w:trHeight w:val="20"/>
        </w:trPr>
        <w:tc>
          <w:tcPr>
            <w:tcW w:w="3505" w:type="dxa"/>
            <w:noWrap/>
            <w:vAlign w:val="center"/>
            <w:hideMark/>
          </w:tcPr>
          <w:p w14:paraId="0BE9E52C" w14:textId="77777777" w:rsidR="004F64EF" w:rsidRPr="003003C0" w:rsidRDefault="004F64EF" w:rsidP="00FD6B66">
            <w:pPr>
              <w:tabs>
                <w:tab w:val="left" w:pos="510"/>
              </w:tabs>
              <w:jc w:val="left"/>
              <w:rPr>
                <w:rFonts w:cs="Arial"/>
                <w:color w:val="000000"/>
                <w:sz w:val="14"/>
                <w:szCs w:val="14"/>
              </w:rPr>
            </w:pPr>
            <w:r w:rsidRPr="003003C0">
              <w:rPr>
                <w:rFonts w:cs="Arial"/>
                <w:color w:val="000000"/>
                <w:sz w:val="14"/>
                <w:szCs w:val="14"/>
              </w:rPr>
              <w:tab/>
              <w:t>Indonesia</w:t>
            </w:r>
          </w:p>
        </w:tc>
        <w:tc>
          <w:tcPr>
            <w:tcW w:w="787" w:type="dxa"/>
            <w:noWrap/>
            <w:vAlign w:val="center"/>
            <w:hideMark/>
          </w:tcPr>
          <w:p w14:paraId="27098035"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2</w:t>
            </w:r>
          </w:p>
        </w:tc>
        <w:tc>
          <w:tcPr>
            <w:tcW w:w="787" w:type="dxa"/>
            <w:noWrap/>
            <w:vAlign w:val="center"/>
            <w:hideMark/>
          </w:tcPr>
          <w:p w14:paraId="32884613"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2</w:t>
            </w:r>
          </w:p>
        </w:tc>
        <w:tc>
          <w:tcPr>
            <w:tcW w:w="787" w:type="dxa"/>
            <w:noWrap/>
            <w:vAlign w:val="center"/>
            <w:hideMark/>
          </w:tcPr>
          <w:p w14:paraId="30F5120F"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3</w:t>
            </w:r>
          </w:p>
        </w:tc>
        <w:tc>
          <w:tcPr>
            <w:tcW w:w="788" w:type="dxa"/>
            <w:noWrap/>
            <w:vAlign w:val="center"/>
            <w:hideMark/>
          </w:tcPr>
          <w:p w14:paraId="44C2840B"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3</w:t>
            </w:r>
          </w:p>
        </w:tc>
        <w:tc>
          <w:tcPr>
            <w:tcW w:w="787" w:type="dxa"/>
            <w:noWrap/>
            <w:vAlign w:val="center"/>
            <w:hideMark/>
          </w:tcPr>
          <w:p w14:paraId="7550757B"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4</w:t>
            </w:r>
          </w:p>
        </w:tc>
        <w:tc>
          <w:tcPr>
            <w:tcW w:w="787" w:type="dxa"/>
            <w:noWrap/>
            <w:vAlign w:val="center"/>
            <w:hideMark/>
          </w:tcPr>
          <w:p w14:paraId="2AB7E792"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4</w:t>
            </w:r>
          </w:p>
        </w:tc>
        <w:tc>
          <w:tcPr>
            <w:tcW w:w="788" w:type="dxa"/>
            <w:noWrap/>
            <w:vAlign w:val="center"/>
            <w:hideMark/>
          </w:tcPr>
          <w:p w14:paraId="6C3B977D"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3</w:t>
            </w:r>
          </w:p>
        </w:tc>
      </w:tr>
      <w:tr w:rsidR="004F64EF" w:rsidRPr="003003C0" w14:paraId="6FF0ABC7" w14:textId="77777777" w:rsidTr="00FD6B66">
        <w:trPr>
          <w:trHeight w:val="20"/>
        </w:trPr>
        <w:tc>
          <w:tcPr>
            <w:tcW w:w="3505" w:type="dxa"/>
            <w:noWrap/>
            <w:vAlign w:val="center"/>
            <w:hideMark/>
          </w:tcPr>
          <w:p w14:paraId="4D307CAD" w14:textId="77777777" w:rsidR="004F64EF" w:rsidRPr="003003C0" w:rsidRDefault="004F64EF" w:rsidP="00FD6B66">
            <w:pPr>
              <w:jc w:val="left"/>
              <w:rPr>
                <w:rFonts w:cs="Arial"/>
                <w:color w:val="000000"/>
                <w:sz w:val="14"/>
                <w:szCs w:val="14"/>
              </w:rPr>
            </w:pPr>
            <w:r w:rsidRPr="003003C0">
              <w:rPr>
                <w:rFonts w:cs="Arial"/>
                <w:color w:val="000000"/>
                <w:sz w:val="14"/>
                <w:szCs w:val="14"/>
              </w:rPr>
              <w:t>Ot</w:t>
            </w:r>
            <w:r>
              <w:rPr>
                <w:rFonts w:cs="Arial"/>
                <w:color w:val="000000"/>
                <w:sz w:val="14"/>
                <w:szCs w:val="14"/>
              </w:rPr>
              <w:t>her</w:t>
            </w:r>
          </w:p>
        </w:tc>
        <w:tc>
          <w:tcPr>
            <w:tcW w:w="787" w:type="dxa"/>
            <w:noWrap/>
            <w:vAlign w:val="center"/>
            <w:hideMark/>
          </w:tcPr>
          <w:p w14:paraId="582BD9CE" w14:textId="77777777" w:rsidR="004F64EF" w:rsidRPr="003003C0" w:rsidRDefault="004F64EF" w:rsidP="00FD6B66">
            <w:pPr>
              <w:jc w:val="right"/>
              <w:rPr>
                <w:rFonts w:cs="Arial"/>
                <w:color w:val="000000"/>
                <w:sz w:val="14"/>
                <w:szCs w:val="14"/>
              </w:rPr>
            </w:pPr>
            <w:r w:rsidRPr="003003C0">
              <w:rPr>
                <w:rFonts w:cs="Arial"/>
                <w:color w:val="000000"/>
                <w:sz w:val="14"/>
                <w:szCs w:val="14"/>
              </w:rPr>
              <w:t>1</w:t>
            </w:r>
            <w:r>
              <w:rPr>
                <w:rFonts w:cs="Arial"/>
                <w:color w:val="000000"/>
                <w:sz w:val="14"/>
                <w:szCs w:val="14"/>
              </w:rPr>
              <w:t>.</w:t>
            </w:r>
            <w:r w:rsidRPr="003003C0">
              <w:rPr>
                <w:rFonts w:cs="Arial"/>
                <w:color w:val="000000"/>
                <w:sz w:val="14"/>
                <w:szCs w:val="14"/>
              </w:rPr>
              <w:t>3</w:t>
            </w:r>
          </w:p>
        </w:tc>
        <w:tc>
          <w:tcPr>
            <w:tcW w:w="787" w:type="dxa"/>
            <w:noWrap/>
            <w:vAlign w:val="center"/>
            <w:hideMark/>
          </w:tcPr>
          <w:p w14:paraId="254F8F53"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7</w:t>
            </w:r>
          </w:p>
        </w:tc>
        <w:tc>
          <w:tcPr>
            <w:tcW w:w="787" w:type="dxa"/>
            <w:noWrap/>
            <w:vAlign w:val="center"/>
            <w:hideMark/>
          </w:tcPr>
          <w:p w14:paraId="783A34AC"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1</w:t>
            </w:r>
          </w:p>
        </w:tc>
        <w:tc>
          <w:tcPr>
            <w:tcW w:w="788" w:type="dxa"/>
            <w:noWrap/>
            <w:vAlign w:val="center"/>
            <w:hideMark/>
          </w:tcPr>
          <w:p w14:paraId="6C039C4C"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0</w:t>
            </w:r>
          </w:p>
        </w:tc>
        <w:tc>
          <w:tcPr>
            <w:tcW w:w="787" w:type="dxa"/>
            <w:noWrap/>
            <w:vAlign w:val="center"/>
            <w:hideMark/>
          </w:tcPr>
          <w:p w14:paraId="61900C83"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1</w:t>
            </w:r>
          </w:p>
        </w:tc>
        <w:tc>
          <w:tcPr>
            <w:tcW w:w="787" w:type="dxa"/>
            <w:noWrap/>
            <w:vAlign w:val="center"/>
            <w:hideMark/>
          </w:tcPr>
          <w:p w14:paraId="6E3CF5FF"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0</w:t>
            </w:r>
          </w:p>
        </w:tc>
        <w:tc>
          <w:tcPr>
            <w:tcW w:w="788" w:type="dxa"/>
            <w:noWrap/>
            <w:vAlign w:val="center"/>
            <w:hideMark/>
          </w:tcPr>
          <w:p w14:paraId="33B633DE"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0</w:t>
            </w:r>
          </w:p>
        </w:tc>
      </w:tr>
      <w:tr w:rsidR="004F64EF" w:rsidRPr="003003C0" w14:paraId="7C5183FB" w14:textId="77777777" w:rsidTr="00FD6B66">
        <w:trPr>
          <w:cnfStyle w:val="000000010000" w:firstRow="0" w:lastRow="0" w:firstColumn="0" w:lastColumn="0" w:oddVBand="0" w:evenVBand="0" w:oddHBand="0" w:evenHBand="1" w:firstRowFirstColumn="0" w:firstRowLastColumn="0" w:lastRowFirstColumn="0" w:lastRowLastColumn="0"/>
          <w:trHeight w:val="20"/>
        </w:trPr>
        <w:tc>
          <w:tcPr>
            <w:tcW w:w="9016" w:type="dxa"/>
            <w:gridSpan w:val="8"/>
            <w:noWrap/>
            <w:vAlign w:val="center"/>
            <w:hideMark/>
          </w:tcPr>
          <w:p w14:paraId="7EFAF337" w14:textId="77777777" w:rsidR="004F64EF" w:rsidRPr="003003C0" w:rsidRDefault="004F64EF" w:rsidP="00FD6B66">
            <w:pPr>
              <w:jc w:val="left"/>
              <w:rPr>
                <w:sz w:val="14"/>
                <w:szCs w:val="14"/>
              </w:rPr>
            </w:pPr>
            <w:r w:rsidRPr="003003C0">
              <w:rPr>
                <w:rFonts w:cs="Arial"/>
                <w:i/>
                <w:iCs/>
                <w:color w:val="000000"/>
                <w:sz w:val="14"/>
                <w:szCs w:val="14"/>
              </w:rPr>
              <w:t>Memor</w:t>
            </w:r>
            <w:r>
              <w:rPr>
                <w:rFonts w:cs="Arial"/>
                <w:i/>
                <w:iCs/>
                <w:color w:val="000000"/>
                <w:sz w:val="14"/>
                <w:szCs w:val="14"/>
              </w:rPr>
              <w:t>a</w:t>
            </w:r>
            <w:r w:rsidRPr="003003C0">
              <w:rPr>
                <w:rFonts w:cs="Arial"/>
                <w:i/>
                <w:iCs/>
                <w:color w:val="000000"/>
                <w:sz w:val="14"/>
                <w:szCs w:val="14"/>
              </w:rPr>
              <w:t>ndum:</w:t>
            </w:r>
          </w:p>
        </w:tc>
      </w:tr>
      <w:tr w:rsidR="004F64EF" w:rsidRPr="003003C0" w14:paraId="01F50FBE" w14:textId="77777777" w:rsidTr="00FD6B66">
        <w:trPr>
          <w:trHeight w:val="20"/>
        </w:trPr>
        <w:tc>
          <w:tcPr>
            <w:tcW w:w="3505" w:type="dxa"/>
            <w:noWrap/>
            <w:vAlign w:val="center"/>
            <w:hideMark/>
          </w:tcPr>
          <w:p w14:paraId="5E412FE4" w14:textId="77777777" w:rsidR="004F64EF" w:rsidRPr="003003C0" w:rsidRDefault="004F64EF" w:rsidP="00FD6B66">
            <w:pPr>
              <w:jc w:val="left"/>
              <w:rPr>
                <w:rFonts w:cs="Arial"/>
                <w:color w:val="000000"/>
                <w:sz w:val="14"/>
                <w:szCs w:val="14"/>
              </w:rPr>
            </w:pPr>
            <w:r>
              <w:rPr>
                <w:rFonts w:cs="Arial"/>
                <w:color w:val="000000"/>
                <w:sz w:val="14"/>
                <w:szCs w:val="14"/>
              </w:rPr>
              <w:t>EU</w:t>
            </w:r>
            <w:r w:rsidRPr="003003C0">
              <w:rPr>
                <w:rFonts w:cs="Arial"/>
                <w:color w:val="000000"/>
                <w:sz w:val="14"/>
                <w:szCs w:val="14"/>
              </w:rPr>
              <w:t>-28</w:t>
            </w:r>
          </w:p>
        </w:tc>
        <w:tc>
          <w:tcPr>
            <w:tcW w:w="787" w:type="dxa"/>
            <w:noWrap/>
            <w:vAlign w:val="center"/>
            <w:hideMark/>
          </w:tcPr>
          <w:p w14:paraId="05D7137A" w14:textId="77777777" w:rsidR="004F64EF" w:rsidRPr="003003C0" w:rsidRDefault="004F64EF" w:rsidP="00FD6B66">
            <w:pPr>
              <w:jc w:val="right"/>
              <w:rPr>
                <w:rFonts w:cs="Arial"/>
                <w:color w:val="000000"/>
                <w:sz w:val="14"/>
                <w:szCs w:val="14"/>
              </w:rPr>
            </w:pPr>
            <w:r w:rsidRPr="003003C0">
              <w:rPr>
                <w:rFonts w:cs="Arial"/>
                <w:color w:val="000000"/>
                <w:sz w:val="14"/>
                <w:szCs w:val="14"/>
              </w:rPr>
              <w:t>11</w:t>
            </w:r>
            <w:r>
              <w:rPr>
                <w:rFonts w:cs="Arial"/>
                <w:color w:val="000000"/>
                <w:sz w:val="14"/>
                <w:szCs w:val="14"/>
              </w:rPr>
              <w:t>.</w:t>
            </w:r>
            <w:r w:rsidRPr="003003C0">
              <w:rPr>
                <w:rFonts w:cs="Arial"/>
                <w:color w:val="000000"/>
                <w:sz w:val="14"/>
                <w:szCs w:val="14"/>
              </w:rPr>
              <w:t>2</w:t>
            </w:r>
          </w:p>
        </w:tc>
        <w:tc>
          <w:tcPr>
            <w:tcW w:w="787" w:type="dxa"/>
            <w:noWrap/>
            <w:vAlign w:val="center"/>
            <w:hideMark/>
          </w:tcPr>
          <w:p w14:paraId="2712D409" w14:textId="77777777" w:rsidR="004F64EF" w:rsidRPr="003003C0" w:rsidRDefault="004F64EF" w:rsidP="00FD6B66">
            <w:pPr>
              <w:jc w:val="right"/>
              <w:rPr>
                <w:rFonts w:cs="Arial"/>
                <w:color w:val="000000"/>
                <w:sz w:val="14"/>
                <w:szCs w:val="14"/>
              </w:rPr>
            </w:pPr>
            <w:r w:rsidRPr="003003C0">
              <w:rPr>
                <w:rFonts w:cs="Arial"/>
                <w:color w:val="000000"/>
                <w:sz w:val="14"/>
                <w:szCs w:val="14"/>
              </w:rPr>
              <w:t>12</w:t>
            </w:r>
            <w:r>
              <w:rPr>
                <w:rFonts w:cs="Arial"/>
                <w:color w:val="000000"/>
                <w:sz w:val="14"/>
                <w:szCs w:val="14"/>
              </w:rPr>
              <w:t>.</w:t>
            </w:r>
            <w:r w:rsidRPr="003003C0">
              <w:rPr>
                <w:rFonts w:cs="Arial"/>
                <w:color w:val="000000"/>
                <w:sz w:val="14"/>
                <w:szCs w:val="14"/>
              </w:rPr>
              <w:t>6</w:t>
            </w:r>
          </w:p>
        </w:tc>
        <w:tc>
          <w:tcPr>
            <w:tcW w:w="787" w:type="dxa"/>
            <w:noWrap/>
            <w:vAlign w:val="center"/>
            <w:hideMark/>
          </w:tcPr>
          <w:p w14:paraId="185D3743" w14:textId="77777777" w:rsidR="004F64EF" w:rsidRPr="003003C0" w:rsidRDefault="004F64EF" w:rsidP="00FD6B66">
            <w:pPr>
              <w:jc w:val="right"/>
              <w:rPr>
                <w:rFonts w:cs="Arial"/>
                <w:color w:val="000000"/>
                <w:sz w:val="14"/>
                <w:szCs w:val="14"/>
              </w:rPr>
            </w:pPr>
            <w:r w:rsidRPr="003003C0">
              <w:rPr>
                <w:rFonts w:cs="Arial"/>
                <w:color w:val="000000"/>
                <w:sz w:val="14"/>
                <w:szCs w:val="14"/>
              </w:rPr>
              <w:t>11</w:t>
            </w:r>
            <w:r>
              <w:rPr>
                <w:rFonts w:cs="Arial"/>
                <w:color w:val="000000"/>
                <w:sz w:val="14"/>
                <w:szCs w:val="14"/>
              </w:rPr>
              <w:t>.</w:t>
            </w:r>
            <w:r w:rsidRPr="003003C0">
              <w:rPr>
                <w:rFonts w:cs="Arial"/>
                <w:color w:val="000000"/>
                <w:sz w:val="14"/>
                <w:szCs w:val="14"/>
              </w:rPr>
              <w:t>4</w:t>
            </w:r>
          </w:p>
        </w:tc>
        <w:tc>
          <w:tcPr>
            <w:tcW w:w="788" w:type="dxa"/>
            <w:noWrap/>
            <w:vAlign w:val="center"/>
            <w:hideMark/>
          </w:tcPr>
          <w:p w14:paraId="4B1DBE96" w14:textId="77777777" w:rsidR="004F64EF" w:rsidRPr="003003C0" w:rsidRDefault="004F64EF" w:rsidP="00FD6B66">
            <w:pPr>
              <w:jc w:val="right"/>
              <w:rPr>
                <w:rFonts w:cs="Arial"/>
                <w:color w:val="000000"/>
                <w:sz w:val="14"/>
                <w:szCs w:val="14"/>
              </w:rPr>
            </w:pPr>
            <w:r w:rsidRPr="003003C0">
              <w:rPr>
                <w:rFonts w:cs="Arial"/>
                <w:color w:val="000000"/>
                <w:sz w:val="14"/>
                <w:szCs w:val="14"/>
              </w:rPr>
              <w:t>12</w:t>
            </w:r>
            <w:r>
              <w:rPr>
                <w:rFonts w:cs="Arial"/>
                <w:color w:val="000000"/>
                <w:sz w:val="14"/>
                <w:szCs w:val="14"/>
              </w:rPr>
              <w:t>.</w:t>
            </w:r>
            <w:r w:rsidRPr="003003C0">
              <w:rPr>
                <w:rFonts w:cs="Arial"/>
                <w:color w:val="000000"/>
                <w:sz w:val="14"/>
                <w:szCs w:val="14"/>
              </w:rPr>
              <w:t>5</w:t>
            </w:r>
          </w:p>
        </w:tc>
        <w:tc>
          <w:tcPr>
            <w:tcW w:w="787" w:type="dxa"/>
            <w:noWrap/>
            <w:vAlign w:val="center"/>
            <w:hideMark/>
          </w:tcPr>
          <w:p w14:paraId="4F2551A4" w14:textId="77777777" w:rsidR="004F64EF" w:rsidRPr="003003C0" w:rsidRDefault="004F64EF" w:rsidP="00FD6B66">
            <w:pPr>
              <w:jc w:val="right"/>
              <w:rPr>
                <w:rFonts w:cs="Arial"/>
                <w:color w:val="000000"/>
                <w:sz w:val="14"/>
                <w:szCs w:val="14"/>
              </w:rPr>
            </w:pPr>
            <w:r w:rsidRPr="003003C0">
              <w:rPr>
                <w:rFonts w:cs="Arial"/>
                <w:color w:val="000000"/>
                <w:sz w:val="14"/>
                <w:szCs w:val="14"/>
              </w:rPr>
              <w:t>13</w:t>
            </w:r>
            <w:r>
              <w:rPr>
                <w:rFonts w:cs="Arial"/>
                <w:color w:val="000000"/>
                <w:sz w:val="14"/>
                <w:szCs w:val="14"/>
              </w:rPr>
              <w:t>.</w:t>
            </w:r>
            <w:r w:rsidRPr="003003C0">
              <w:rPr>
                <w:rFonts w:cs="Arial"/>
                <w:color w:val="000000"/>
                <w:sz w:val="14"/>
                <w:szCs w:val="14"/>
              </w:rPr>
              <w:t>4</w:t>
            </w:r>
          </w:p>
        </w:tc>
        <w:tc>
          <w:tcPr>
            <w:tcW w:w="787" w:type="dxa"/>
            <w:noWrap/>
            <w:vAlign w:val="center"/>
            <w:hideMark/>
          </w:tcPr>
          <w:p w14:paraId="65B9CF8D" w14:textId="77777777" w:rsidR="004F64EF" w:rsidRPr="003003C0" w:rsidRDefault="004F64EF" w:rsidP="00FD6B66">
            <w:pPr>
              <w:jc w:val="right"/>
              <w:rPr>
                <w:rFonts w:cs="Arial"/>
                <w:color w:val="000000"/>
                <w:sz w:val="14"/>
                <w:szCs w:val="14"/>
              </w:rPr>
            </w:pPr>
            <w:r w:rsidRPr="003003C0">
              <w:rPr>
                <w:rFonts w:cs="Arial"/>
                <w:color w:val="000000"/>
                <w:sz w:val="14"/>
                <w:szCs w:val="14"/>
              </w:rPr>
              <w:t>13</w:t>
            </w:r>
            <w:r>
              <w:rPr>
                <w:rFonts w:cs="Arial"/>
                <w:color w:val="000000"/>
                <w:sz w:val="14"/>
                <w:szCs w:val="14"/>
              </w:rPr>
              <w:t>.</w:t>
            </w:r>
            <w:r w:rsidRPr="003003C0">
              <w:rPr>
                <w:rFonts w:cs="Arial"/>
                <w:color w:val="000000"/>
                <w:sz w:val="14"/>
                <w:szCs w:val="14"/>
              </w:rPr>
              <w:t>6</w:t>
            </w:r>
          </w:p>
        </w:tc>
        <w:tc>
          <w:tcPr>
            <w:tcW w:w="788" w:type="dxa"/>
            <w:noWrap/>
            <w:vAlign w:val="center"/>
            <w:hideMark/>
          </w:tcPr>
          <w:p w14:paraId="245C3F4C" w14:textId="77777777" w:rsidR="004F64EF" w:rsidRPr="003003C0" w:rsidRDefault="004F64EF" w:rsidP="00FD6B66">
            <w:pPr>
              <w:jc w:val="right"/>
              <w:rPr>
                <w:rFonts w:cs="Arial"/>
                <w:color w:val="000000"/>
                <w:sz w:val="14"/>
                <w:szCs w:val="14"/>
              </w:rPr>
            </w:pPr>
            <w:r w:rsidRPr="003003C0">
              <w:rPr>
                <w:rFonts w:cs="Arial"/>
                <w:color w:val="000000"/>
                <w:sz w:val="14"/>
                <w:szCs w:val="14"/>
              </w:rPr>
              <w:t>12</w:t>
            </w:r>
            <w:r>
              <w:rPr>
                <w:rFonts w:cs="Arial"/>
                <w:color w:val="000000"/>
                <w:sz w:val="14"/>
                <w:szCs w:val="14"/>
              </w:rPr>
              <w:t>.</w:t>
            </w:r>
            <w:r w:rsidRPr="003003C0">
              <w:rPr>
                <w:rFonts w:cs="Arial"/>
                <w:color w:val="000000"/>
                <w:sz w:val="14"/>
                <w:szCs w:val="14"/>
              </w:rPr>
              <w:t>5</w:t>
            </w:r>
          </w:p>
        </w:tc>
      </w:tr>
    </w:tbl>
    <w:p w14:paraId="3169AA4A" w14:textId="77777777" w:rsidR="004F64EF" w:rsidRPr="003003C0" w:rsidRDefault="004F64EF" w:rsidP="00B91D96">
      <w:pPr>
        <w:pStyle w:val="NoteText"/>
        <w:spacing w:before="120" w:after="120"/>
      </w:pPr>
      <w:r w:rsidRPr="003003C0">
        <w:t>a</w:t>
      </w:r>
      <w:r w:rsidRPr="003003C0">
        <w:tab/>
      </w:r>
      <w:r w:rsidRPr="00993A04">
        <w:t>Commonwealth of Independent States, including certain associate and former member States</w:t>
      </w:r>
      <w:r w:rsidRPr="003003C0">
        <w:t>.</w:t>
      </w:r>
    </w:p>
    <w:p w14:paraId="3DB6B08D" w14:textId="77777777" w:rsidR="004F64EF" w:rsidRPr="003003C0" w:rsidRDefault="004F64EF" w:rsidP="00B91D96">
      <w:pPr>
        <w:pStyle w:val="NoteText"/>
        <w:spacing w:after="240"/>
      </w:pPr>
      <w:r w:rsidRPr="00993A04">
        <w:rPr>
          <w:bCs/>
        </w:rPr>
        <w:t>Source:</w:t>
      </w:r>
      <w:r w:rsidRPr="00993A04">
        <w:rPr>
          <w:bCs/>
        </w:rPr>
        <w:tab/>
        <w:t xml:space="preserve">WTO Secretariat calculations based on data </w:t>
      </w:r>
      <w:r>
        <w:rPr>
          <w:bCs/>
        </w:rPr>
        <w:t>provided by the authorities</w:t>
      </w:r>
      <w:r w:rsidRPr="003003C0">
        <w:t>.</w:t>
      </w:r>
    </w:p>
    <w:p w14:paraId="249FEFA2" w14:textId="77777777" w:rsidR="004F64EF" w:rsidRPr="003003C0" w:rsidRDefault="004F64EF" w:rsidP="00B91D96">
      <w:r w:rsidRPr="003003C0">
        <w:br w:type="page"/>
      </w:r>
    </w:p>
    <w:p w14:paraId="26B8EE99" w14:textId="77777777" w:rsidR="004F64EF" w:rsidRPr="003003C0" w:rsidRDefault="004F64EF" w:rsidP="00B91D96">
      <w:pPr>
        <w:pStyle w:val="Caption"/>
      </w:pPr>
      <w:bookmarkStart w:id="436" w:name="_Toc114735869"/>
      <w:bookmarkStart w:id="437" w:name="_Toc117004287"/>
      <w:r>
        <w:lastRenderedPageBreak/>
        <w:t>Table</w:t>
      </w:r>
      <w:r w:rsidRPr="003003C0">
        <w:t xml:space="preserve"> A1.</w:t>
      </w:r>
      <w:r w:rsidR="00BD37F2">
        <w:fldChar w:fldCharType="begin"/>
      </w:r>
      <w:r w:rsidR="00BD37F2">
        <w:instrText xml:space="preserve"> SEQ Table_A1. \* ARABIC </w:instrText>
      </w:r>
      <w:r w:rsidR="00BD37F2">
        <w:fldChar w:fldCharType="separate"/>
      </w:r>
      <w:r w:rsidRPr="003003C0">
        <w:rPr>
          <w:noProof/>
        </w:rPr>
        <w:t>9</w:t>
      </w:r>
      <w:r w:rsidR="00BD37F2">
        <w:rPr>
          <w:noProof/>
        </w:rPr>
        <w:fldChar w:fldCharType="end"/>
      </w:r>
      <w:r w:rsidRPr="003003C0">
        <w:t xml:space="preserve"> Import</w:t>
      </w:r>
      <w:r>
        <w:t>s of consumer goods and reimports</w:t>
      </w:r>
      <w:r w:rsidRPr="003003C0">
        <w:t xml:space="preserve"> (</w:t>
      </w:r>
      <w:r>
        <w:t>f.o.b.</w:t>
      </w:r>
      <w:r w:rsidRPr="003003C0">
        <w:t xml:space="preserve">) </w:t>
      </w:r>
      <w:r>
        <w:t>by trading partner</w:t>
      </w:r>
      <w:r w:rsidRPr="003003C0">
        <w:t>, 2015</w:t>
      </w:r>
      <w:r>
        <w:noBreakHyphen/>
      </w:r>
      <w:r w:rsidRPr="003003C0">
        <w:t>21</w:t>
      </w:r>
      <w:bookmarkEnd w:id="436"/>
      <w:bookmarkEnd w:id="437"/>
    </w:p>
    <w:p w14:paraId="1FA627C5" w14:textId="77777777" w:rsidR="004F64EF" w:rsidRPr="003003C0" w:rsidRDefault="004F64EF" w:rsidP="00B91D96">
      <w:pPr>
        <w:pStyle w:val="NoteText"/>
      </w:pPr>
      <w:r w:rsidRPr="003003C0">
        <w:t xml:space="preserve">(USD </w:t>
      </w:r>
      <w:r>
        <w:t>million and</w:t>
      </w:r>
      <w:r w:rsidRPr="003003C0">
        <w:t xml:space="preserve"> %)</w:t>
      </w:r>
    </w:p>
    <w:tbl>
      <w:tblPr>
        <w:tblStyle w:val="WTOTable1"/>
        <w:tblW w:w="0" w:type="auto"/>
        <w:tblLayout w:type="fixed"/>
        <w:tblLook w:val="04A0" w:firstRow="1" w:lastRow="0" w:firstColumn="1" w:lastColumn="0" w:noHBand="0" w:noVBand="1"/>
      </w:tblPr>
      <w:tblGrid>
        <w:gridCol w:w="3516"/>
        <w:gridCol w:w="785"/>
        <w:gridCol w:w="786"/>
        <w:gridCol w:w="786"/>
        <w:gridCol w:w="785"/>
        <w:gridCol w:w="786"/>
        <w:gridCol w:w="786"/>
        <w:gridCol w:w="786"/>
      </w:tblGrid>
      <w:tr w:rsidR="004F64EF" w:rsidRPr="003003C0" w14:paraId="1C449D05" w14:textId="77777777" w:rsidTr="00FD6B66">
        <w:trPr>
          <w:cnfStyle w:val="100000000000" w:firstRow="1" w:lastRow="0" w:firstColumn="0" w:lastColumn="0" w:oddVBand="0" w:evenVBand="0" w:oddHBand="0" w:evenHBand="0" w:firstRowFirstColumn="0" w:firstRowLastColumn="0" w:lastRowFirstColumn="0" w:lastRowLastColumn="0"/>
          <w:trHeight w:val="20"/>
          <w:tblHeader/>
        </w:trPr>
        <w:tc>
          <w:tcPr>
            <w:tcW w:w="3516" w:type="dxa"/>
            <w:noWrap/>
            <w:vAlign w:val="center"/>
            <w:hideMark/>
          </w:tcPr>
          <w:p w14:paraId="44506F48" w14:textId="77777777" w:rsidR="004F64EF" w:rsidRPr="003003C0" w:rsidRDefault="004F64EF" w:rsidP="00FD6B66">
            <w:pPr>
              <w:jc w:val="left"/>
              <w:rPr>
                <w:rFonts w:eastAsia="Times New Roman" w:cs="Arial"/>
                <w:color w:val="FFFFFF" w:themeColor="background1"/>
                <w:sz w:val="14"/>
                <w:szCs w:val="14"/>
                <w:lang w:eastAsia="en-GB"/>
              </w:rPr>
            </w:pPr>
            <w:r w:rsidRPr="003003C0">
              <w:rPr>
                <w:rFonts w:cs="Arial"/>
                <w:color w:val="FFFFFF" w:themeColor="background1"/>
                <w:sz w:val="14"/>
                <w:szCs w:val="14"/>
              </w:rPr>
              <w:t>Descrip</w:t>
            </w:r>
            <w:r>
              <w:rPr>
                <w:rFonts w:cs="Arial"/>
                <w:color w:val="FFFFFF" w:themeColor="background1"/>
                <w:sz w:val="14"/>
                <w:szCs w:val="14"/>
              </w:rPr>
              <w:t>tion</w:t>
            </w:r>
          </w:p>
        </w:tc>
        <w:tc>
          <w:tcPr>
            <w:tcW w:w="785" w:type="dxa"/>
            <w:noWrap/>
            <w:vAlign w:val="center"/>
            <w:hideMark/>
          </w:tcPr>
          <w:p w14:paraId="5CC9F845" w14:textId="77777777" w:rsidR="004F64EF" w:rsidRPr="003003C0" w:rsidRDefault="004F64EF" w:rsidP="00FD6B66">
            <w:pPr>
              <w:ind w:right="57"/>
              <w:jc w:val="right"/>
              <w:rPr>
                <w:rFonts w:cs="Arial"/>
                <w:color w:val="FFFFFF" w:themeColor="background1"/>
                <w:sz w:val="14"/>
                <w:szCs w:val="14"/>
              </w:rPr>
            </w:pPr>
            <w:r w:rsidRPr="003003C0">
              <w:rPr>
                <w:rFonts w:cs="Arial"/>
                <w:color w:val="FFFFFF" w:themeColor="background1"/>
                <w:sz w:val="14"/>
                <w:szCs w:val="14"/>
              </w:rPr>
              <w:t>2015</w:t>
            </w:r>
          </w:p>
        </w:tc>
        <w:tc>
          <w:tcPr>
            <w:tcW w:w="786" w:type="dxa"/>
            <w:noWrap/>
            <w:vAlign w:val="center"/>
            <w:hideMark/>
          </w:tcPr>
          <w:p w14:paraId="4B46441C" w14:textId="77777777" w:rsidR="004F64EF" w:rsidRPr="003003C0" w:rsidRDefault="004F64EF" w:rsidP="00FD6B66">
            <w:pPr>
              <w:ind w:right="57"/>
              <w:jc w:val="right"/>
              <w:rPr>
                <w:rFonts w:cs="Arial"/>
                <w:color w:val="FFFFFF" w:themeColor="background1"/>
                <w:sz w:val="14"/>
                <w:szCs w:val="14"/>
              </w:rPr>
            </w:pPr>
            <w:r w:rsidRPr="003003C0">
              <w:rPr>
                <w:rFonts w:cs="Arial"/>
                <w:color w:val="FFFFFF" w:themeColor="background1"/>
                <w:sz w:val="14"/>
                <w:szCs w:val="14"/>
              </w:rPr>
              <w:t>2016</w:t>
            </w:r>
          </w:p>
        </w:tc>
        <w:tc>
          <w:tcPr>
            <w:tcW w:w="786" w:type="dxa"/>
            <w:noWrap/>
            <w:vAlign w:val="center"/>
            <w:hideMark/>
          </w:tcPr>
          <w:p w14:paraId="61AFC63A" w14:textId="77777777" w:rsidR="004F64EF" w:rsidRPr="003003C0" w:rsidRDefault="004F64EF" w:rsidP="00FD6B66">
            <w:pPr>
              <w:ind w:right="57"/>
              <w:jc w:val="right"/>
              <w:rPr>
                <w:rFonts w:cs="Arial"/>
                <w:color w:val="FFFFFF" w:themeColor="background1"/>
                <w:sz w:val="14"/>
                <w:szCs w:val="14"/>
              </w:rPr>
            </w:pPr>
            <w:r w:rsidRPr="003003C0">
              <w:rPr>
                <w:rFonts w:cs="Arial"/>
                <w:color w:val="FFFFFF" w:themeColor="background1"/>
                <w:sz w:val="14"/>
                <w:szCs w:val="14"/>
              </w:rPr>
              <w:t>2017</w:t>
            </w:r>
          </w:p>
        </w:tc>
        <w:tc>
          <w:tcPr>
            <w:tcW w:w="785" w:type="dxa"/>
            <w:noWrap/>
            <w:vAlign w:val="center"/>
            <w:hideMark/>
          </w:tcPr>
          <w:p w14:paraId="2F549A07" w14:textId="77777777" w:rsidR="004F64EF" w:rsidRPr="003003C0" w:rsidRDefault="004F64EF" w:rsidP="00FD6B66">
            <w:pPr>
              <w:ind w:right="57"/>
              <w:jc w:val="right"/>
              <w:rPr>
                <w:rFonts w:cs="Arial"/>
                <w:color w:val="FFFFFF" w:themeColor="background1"/>
                <w:sz w:val="14"/>
                <w:szCs w:val="14"/>
              </w:rPr>
            </w:pPr>
            <w:r w:rsidRPr="003003C0">
              <w:rPr>
                <w:rFonts w:cs="Arial"/>
                <w:color w:val="FFFFFF" w:themeColor="background1"/>
                <w:sz w:val="14"/>
                <w:szCs w:val="14"/>
              </w:rPr>
              <w:t>2018</w:t>
            </w:r>
          </w:p>
        </w:tc>
        <w:tc>
          <w:tcPr>
            <w:tcW w:w="786" w:type="dxa"/>
            <w:noWrap/>
            <w:vAlign w:val="center"/>
            <w:hideMark/>
          </w:tcPr>
          <w:p w14:paraId="5BA5DB27" w14:textId="77777777" w:rsidR="004F64EF" w:rsidRPr="003003C0" w:rsidRDefault="004F64EF" w:rsidP="00FD6B66">
            <w:pPr>
              <w:ind w:right="57"/>
              <w:jc w:val="right"/>
              <w:rPr>
                <w:rFonts w:cs="Arial"/>
                <w:color w:val="FFFFFF" w:themeColor="background1"/>
                <w:sz w:val="14"/>
                <w:szCs w:val="14"/>
              </w:rPr>
            </w:pPr>
            <w:r w:rsidRPr="003003C0">
              <w:rPr>
                <w:rFonts w:cs="Arial"/>
                <w:color w:val="FFFFFF" w:themeColor="background1"/>
                <w:sz w:val="14"/>
                <w:szCs w:val="14"/>
              </w:rPr>
              <w:t>2019</w:t>
            </w:r>
          </w:p>
        </w:tc>
        <w:tc>
          <w:tcPr>
            <w:tcW w:w="786" w:type="dxa"/>
            <w:noWrap/>
            <w:vAlign w:val="center"/>
            <w:hideMark/>
          </w:tcPr>
          <w:p w14:paraId="04D5547E" w14:textId="77777777" w:rsidR="004F64EF" w:rsidRPr="003003C0" w:rsidRDefault="004F64EF" w:rsidP="00FD6B66">
            <w:pPr>
              <w:ind w:right="57"/>
              <w:jc w:val="right"/>
              <w:rPr>
                <w:rFonts w:cs="Arial"/>
                <w:color w:val="FFFFFF" w:themeColor="background1"/>
                <w:sz w:val="14"/>
                <w:szCs w:val="14"/>
              </w:rPr>
            </w:pPr>
            <w:r w:rsidRPr="003003C0">
              <w:rPr>
                <w:rFonts w:cs="Arial"/>
                <w:color w:val="FFFFFF" w:themeColor="background1"/>
                <w:sz w:val="14"/>
                <w:szCs w:val="14"/>
              </w:rPr>
              <w:t>2020</w:t>
            </w:r>
          </w:p>
        </w:tc>
        <w:tc>
          <w:tcPr>
            <w:tcW w:w="786" w:type="dxa"/>
            <w:noWrap/>
            <w:vAlign w:val="center"/>
            <w:hideMark/>
          </w:tcPr>
          <w:p w14:paraId="071719C7" w14:textId="77777777" w:rsidR="004F64EF" w:rsidRPr="003003C0" w:rsidRDefault="004F64EF" w:rsidP="00FD6B66">
            <w:pPr>
              <w:ind w:right="57"/>
              <w:jc w:val="right"/>
              <w:rPr>
                <w:rFonts w:cs="Arial"/>
                <w:color w:val="FFFFFF" w:themeColor="background1"/>
                <w:sz w:val="14"/>
                <w:szCs w:val="14"/>
              </w:rPr>
            </w:pPr>
            <w:r w:rsidRPr="003003C0">
              <w:rPr>
                <w:rFonts w:cs="Arial"/>
                <w:color w:val="FFFFFF" w:themeColor="background1"/>
                <w:sz w:val="14"/>
                <w:szCs w:val="14"/>
              </w:rPr>
              <w:t>2021</w:t>
            </w:r>
          </w:p>
        </w:tc>
      </w:tr>
      <w:tr w:rsidR="004F64EF" w:rsidRPr="003003C0" w14:paraId="2BBE8F88" w14:textId="77777777" w:rsidTr="00FD6B66">
        <w:trPr>
          <w:trHeight w:val="20"/>
        </w:trPr>
        <w:tc>
          <w:tcPr>
            <w:tcW w:w="3516" w:type="dxa"/>
            <w:noWrap/>
            <w:vAlign w:val="center"/>
            <w:hideMark/>
          </w:tcPr>
          <w:p w14:paraId="0F48855D" w14:textId="77777777" w:rsidR="004F64EF" w:rsidRPr="003003C0" w:rsidRDefault="004F64EF" w:rsidP="00FD6B66">
            <w:pPr>
              <w:jc w:val="left"/>
              <w:rPr>
                <w:rFonts w:cs="Arial"/>
                <w:b/>
                <w:bCs/>
                <w:color w:val="000000"/>
                <w:sz w:val="14"/>
                <w:szCs w:val="14"/>
              </w:rPr>
            </w:pPr>
          </w:p>
        </w:tc>
        <w:tc>
          <w:tcPr>
            <w:tcW w:w="5500" w:type="dxa"/>
            <w:gridSpan w:val="7"/>
            <w:noWrap/>
            <w:vAlign w:val="center"/>
            <w:hideMark/>
          </w:tcPr>
          <w:p w14:paraId="6C30EB44" w14:textId="77777777" w:rsidR="004F64EF" w:rsidRPr="003003C0" w:rsidRDefault="004F64EF" w:rsidP="00FD6B66">
            <w:pPr>
              <w:jc w:val="center"/>
              <w:rPr>
                <w:rFonts w:cs="Arial"/>
                <w:b/>
                <w:bCs/>
                <w:color w:val="000000"/>
                <w:sz w:val="14"/>
                <w:szCs w:val="14"/>
              </w:rPr>
            </w:pPr>
            <w:r w:rsidRPr="003003C0">
              <w:rPr>
                <w:rFonts w:cs="Arial"/>
                <w:b/>
                <w:bCs/>
                <w:color w:val="000000"/>
                <w:sz w:val="14"/>
                <w:szCs w:val="14"/>
              </w:rPr>
              <w:t>(USD</w:t>
            </w:r>
            <w:r>
              <w:rPr>
                <w:rFonts w:cs="Arial"/>
                <w:b/>
                <w:bCs/>
                <w:color w:val="000000"/>
                <w:sz w:val="14"/>
                <w:szCs w:val="14"/>
              </w:rPr>
              <w:t xml:space="preserve"> million</w:t>
            </w:r>
            <w:r w:rsidRPr="003003C0">
              <w:rPr>
                <w:rFonts w:cs="Arial"/>
                <w:b/>
                <w:bCs/>
                <w:color w:val="000000"/>
                <w:sz w:val="14"/>
                <w:szCs w:val="14"/>
              </w:rPr>
              <w:t>)</w:t>
            </w:r>
          </w:p>
        </w:tc>
      </w:tr>
      <w:tr w:rsidR="004F64EF" w:rsidRPr="003003C0" w14:paraId="7203262C" w14:textId="77777777" w:rsidTr="00FD6B66">
        <w:trPr>
          <w:cnfStyle w:val="000000010000" w:firstRow="0" w:lastRow="0" w:firstColumn="0" w:lastColumn="0" w:oddVBand="0" w:evenVBand="0" w:oddHBand="0" w:evenHBand="1" w:firstRowFirstColumn="0" w:firstRowLastColumn="0" w:lastRowFirstColumn="0" w:lastRowLastColumn="0"/>
          <w:trHeight w:val="20"/>
        </w:trPr>
        <w:tc>
          <w:tcPr>
            <w:tcW w:w="3516" w:type="dxa"/>
            <w:noWrap/>
            <w:vAlign w:val="center"/>
            <w:hideMark/>
          </w:tcPr>
          <w:p w14:paraId="489529C0" w14:textId="77777777" w:rsidR="004F64EF" w:rsidRPr="003003C0" w:rsidRDefault="004F64EF" w:rsidP="00FD6B66">
            <w:pPr>
              <w:jc w:val="left"/>
              <w:rPr>
                <w:rFonts w:cs="Arial"/>
                <w:color w:val="000000"/>
                <w:sz w:val="14"/>
                <w:szCs w:val="14"/>
              </w:rPr>
            </w:pPr>
            <w:r w:rsidRPr="003003C0">
              <w:rPr>
                <w:rFonts w:cs="Arial"/>
                <w:color w:val="000000"/>
                <w:sz w:val="14"/>
                <w:szCs w:val="14"/>
              </w:rPr>
              <w:t>Import</w:t>
            </w:r>
            <w:r>
              <w:rPr>
                <w:rFonts w:cs="Arial"/>
                <w:color w:val="000000"/>
                <w:sz w:val="14"/>
                <w:szCs w:val="14"/>
              </w:rPr>
              <w:t>s</w:t>
            </w:r>
            <w:r w:rsidRPr="003003C0">
              <w:rPr>
                <w:rFonts w:cs="Arial"/>
                <w:color w:val="000000"/>
                <w:sz w:val="14"/>
                <w:szCs w:val="14"/>
              </w:rPr>
              <w:t xml:space="preserve"> (</w:t>
            </w:r>
            <w:r>
              <w:rPr>
                <w:rFonts w:cs="Arial"/>
                <w:color w:val="000000"/>
                <w:sz w:val="14"/>
                <w:szCs w:val="14"/>
              </w:rPr>
              <w:t>f.o.b.</w:t>
            </w:r>
            <w:r w:rsidRPr="003003C0">
              <w:rPr>
                <w:rFonts w:cs="Arial"/>
                <w:color w:val="000000"/>
                <w:sz w:val="14"/>
                <w:szCs w:val="14"/>
              </w:rPr>
              <w:t>)</w:t>
            </w:r>
          </w:p>
        </w:tc>
        <w:tc>
          <w:tcPr>
            <w:tcW w:w="785" w:type="dxa"/>
            <w:noWrap/>
            <w:vAlign w:val="center"/>
            <w:hideMark/>
          </w:tcPr>
          <w:p w14:paraId="1D6F8052" w14:textId="77777777" w:rsidR="004F64EF" w:rsidRPr="003003C0" w:rsidRDefault="004F64EF" w:rsidP="00FD6B66">
            <w:pPr>
              <w:jc w:val="right"/>
              <w:rPr>
                <w:rFonts w:cs="Arial"/>
                <w:color w:val="000000"/>
                <w:sz w:val="14"/>
                <w:szCs w:val="14"/>
              </w:rPr>
            </w:pPr>
            <w:r w:rsidRPr="003003C0">
              <w:rPr>
                <w:rFonts w:cs="Arial"/>
                <w:color w:val="000000"/>
                <w:sz w:val="14"/>
                <w:szCs w:val="14"/>
              </w:rPr>
              <w:t>13</w:t>
            </w:r>
            <w:r>
              <w:rPr>
                <w:rFonts w:cs="Arial"/>
                <w:color w:val="000000"/>
                <w:sz w:val="14"/>
                <w:szCs w:val="14"/>
              </w:rPr>
              <w:t>,</w:t>
            </w:r>
            <w:r w:rsidRPr="003003C0">
              <w:rPr>
                <w:rFonts w:cs="Arial"/>
                <w:color w:val="000000"/>
                <w:sz w:val="14"/>
                <w:szCs w:val="14"/>
              </w:rPr>
              <w:t>431</w:t>
            </w:r>
          </w:p>
        </w:tc>
        <w:tc>
          <w:tcPr>
            <w:tcW w:w="786" w:type="dxa"/>
            <w:noWrap/>
            <w:vAlign w:val="center"/>
            <w:hideMark/>
          </w:tcPr>
          <w:p w14:paraId="599A8DE6" w14:textId="77777777" w:rsidR="004F64EF" w:rsidRPr="003003C0" w:rsidRDefault="004F64EF" w:rsidP="00FD6B66">
            <w:pPr>
              <w:jc w:val="right"/>
              <w:rPr>
                <w:rFonts w:cs="Arial"/>
                <w:color w:val="000000"/>
                <w:sz w:val="14"/>
                <w:szCs w:val="14"/>
              </w:rPr>
            </w:pPr>
            <w:r w:rsidRPr="003003C0">
              <w:rPr>
                <w:rFonts w:cs="Arial"/>
                <w:color w:val="000000"/>
                <w:sz w:val="14"/>
                <w:szCs w:val="14"/>
              </w:rPr>
              <w:t>14</w:t>
            </w:r>
            <w:r>
              <w:rPr>
                <w:rFonts w:cs="Arial"/>
                <w:color w:val="000000"/>
                <w:sz w:val="14"/>
                <w:szCs w:val="14"/>
              </w:rPr>
              <w:t>,</w:t>
            </w:r>
            <w:r w:rsidRPr="003003C0">
              <w:rPr>
                <w:rFonts w:cs="Arial"/>
                <w:color w:val="000000"/>
                <w:sz w:val="14"/>
                <w:szCs w:val="14"/>
              </w:rPr>
              <w:t>079</w:t>
            </w:r>
          </w:p>
        </w:tc>
        <w:tc>
          <w:tcPr>
            <w:tcW w:w="786" w:type="dxa"/>
            <w:noWrap/>
            <w:vAlign w:val="center"/>
            <w:hideMark/>
          </w:tcPr>
          <w:p w14:paraId="19428EAB" w14:textId="77777777" w:rsidR="004F64EF" w:rsidRPr="003003C0" w:rsidRDefault="004F64EF" w:rsidP="00FD6B66">
            <w:pPr>
              <w:jc w:val="right"/>
              <w:rPr>
                <w:rFonts w:cs="Arial"/>
                <w:color w:val="000000"/>
                <w:sz w:val="14"/>
                <w:szCs w:val="14"/>
              </w:rPr>
            </w:pPr>
            <w:r w:rsidRPr="003003C0">
              <w:rPr>
                <w:rFonts w:cs="Arial"/>
                <w:color w:val="000000"/>
                <w:sz w:val="14"/>
                <w:szCs w:val="14"/>
              </w:rPr>
              <w:t>14</w:t>
            </w:r>
            <w:r>
              <w:rPr>
                <w:rFonts w:cs="Arial"/>
                <w:color w:val="000000"/>
                <w:sz w:val="14"/>
                <w:szCs w:val="14"/>
              </w:rPr>
              <w:t>,</w:t>
            </w:r>
            <w:r w:rsidRPr="003003C0">
              <w:rPr>
                <w:rFonts w:cs="Arial"/>
                <w:color w:val="000000"/>
                <w:sz w:val="14"/>
                <w:szCs w:val="14"/>
              </w:rPr>
              <w:t>178</w:t>
            </w:r>
          </w:p>
        </w:tc>
        <w:tc>
          <w:tcPr>
            <w:tcW w:w="785" w:type="dxa"/>
            <w:noWrap/>
            <w:vAlign w:val="center"/>
            <w:hideMark/>
          </w:tcPr>
          <w:p w14:paraId="2967EEFE" w14:textId="77777777" w:rsidR="004F64EF" w:rsidRPr="003003C0" w:rsidRDefault="004F64EF" w:rsidP="00FD6B66">
            <w:pPr>
              <w:jc w:val="right"/>
              <w:rPr>
                <w:rFonts w:cs="Arial"/>
                <w:color w:val="000000"/>
                <w:sz w:val="14"/>
                <w:szCs w:val="14"/>
              </w:rPr>
            </w:pPr>
            <w:r w:rsidRPr="003003C0">
              <w:rPr>
                <w:rFonts w:cs="Arial"/>
                <w:color w:val="000000"/>
                <w:sz w:val="14"/>
                <w:szCs w:val="14"/>
              </w:rPr>
              <w:t>16</w:t>
            </w:r>
            <w:r>
              <w:rPr>
                <w:rFonts w:cs="Arial"/>
                <w:color w:val="000000"/>
                <w:sz w:val="14"/>
                <w:szCs w:val="14"/>
              </w:rPr>
              <w:t>,</w:t>
            </w:r>
            <w:r w:rsidRPr="003003C0">
              <w:rPr>
                <w:rFonts w:cs="Arial"/>
                <w:color w:val="000000"/>
                <w:sz w:val="14"/>
                <w:szCs w:val="14"/>
              </w:rPr>
              <w:t>340</w:t>
            </w:r>
          </w:p>
        </w:tc>
        <w:tc>
          <w:tcPr>
            <w:tcW w:w="786" w:type="dxa"/>
            <w:noWrap/>
            <w:vAlign w:val="center"/>
            <w:hideMark/>
          </w:tcPr>
          <w:p w14:paraId="13485AF2" w14:textId="77777777" w:rsidR="004F64EF" w:rsidRPr="003003C0" w:rsidRDefault="004F64EF" w:rsidP="00FD6B66">
            <w:pPr>
              <w:jc w:val="right"/>
              <w:rPr>
                <w:rFonts w:cs="Arial"/>
                <w:color w:val="000000"/>
                <w:sz w:val="14"/>
                <w:szCs w:val="14"/>
              </w:rPr>
            </w:pPr>
            <w:r w:rsidRPr="003003C0">
              <w:rPr>
                <w:rFonts w:cs="Arial"/>
                <w:color w:val="000000"/>
                <w:sz w:val="14"/>
                <w:szCs w:val="14"/>
              </w:rPr>
              <w:t>16</w:t>
            </w:r>
            <w:r>
              <w:rPr>
                <w:rFonts w:cs="Arial"/>
                <w:color w:val="000000"/>
                <w:sz w:val="14"/>
                <w:szCs w:val="14"/>
              </w:rPr>
              <w:t>,</w:t>
            </w:r>
            <w:r w:rsidRPr="003003C0">
              <w:rPr>
                <w:rFonts w:cs="Arial"/>
                <w:color w:val="000000"/>
                <w:sz w:val="14"/>
                <w:szCs w:val="14"/>
              </w:rPr>
              <w:t>293</w:t>
            </w:r>
          </w:p>
        </w:tc>
        <w:tc>
          <w:tcPr>
            <w:tcW w:w="786" w:type="dxa"/>
            <w:noWrap/>
            <w:vAlign w:val="center"/>
            <w:hideMark/>
          </w:tcPr>
          <w:p w14:paraId="59D5B321" w14:textId="77777777" w:rsidR="004F64EF" w:rsidRPr="003003C0" w:rsidRDefault="004F64EF" w:rsidP="00FD6B66">
            <w:pPr>
              <w:jc w:val="right"/>
              <w:rPr>
                <w:rFonts w:cs="Arial"/>
                <w:color w:val="000000"/>
                <w:sz w:val="14"/>
                <w:szCs w:val="14"/>
              </w:rPr>
            </w:pPr>
            <w:r w:rsidRPr="003003C0">
              <w:rPr>
                <w:rFonts w:cs="Arial"/>
                <w:color w:val="000000"/>
                <w:sz w:val="14"/>
                <w:szCs w:val="14"/>
              </w:rPr>
              <w:t>13</w:t>
            </w:r>
            <w:r>
              <w:rPr>
                <w:rFonts w:cs="Arial"/>
                <w:color w:val="000000"/>
                <w:sz w:val="14"/>
                <w:szCs w:val="14"/>
              </w:rPr>
              <w:t>,</w:t>
            </w:r>
            <w:r w:rsidRPr="003003C0">
              <w:rPr>
                <w:rFonts w:cs="Arial"/>
                <w:color w:val="000000"/>
                <w:sz w:val="14"/>
                <w:szCs w:val="14"/>
              </w:rPr>
              <w:t>381</w:t>
            </w:r>
          </w:p>
        </w:tc>
        <w:tc>
          <w:tcPr>
            <w:tcW w:w="786" w:type="dxa"/>
            <w:noWrap/>
            <w:vAlign w:val="center"/>
            <w:hideMark/>
          </w:tcPr>
          <w:p w14:paraId="7645E22F" w14:textId="77777777" w:rsidR="004F64EF" w:rsidRPr="003003C0" w:rsidRDefault="004F64EF" w:rsidP="00FD6B66">
            <w:pPr>
              <w:jc w:val="right"/>
              <w:rPr>
                <w:rFonts w:cs="Arial"/>
                <w:color w:val="000000"/>
                <w:sz w:val="14"/>
                <w:szCs w:val="14"/>
              </w:rPr>
            </w:pPr>
            <w:r w:rsidRPr="003003C0">
              <w:rPr>
                <w:rFonts w:cs="Arial"/>
                <w:color w:val="000000"/>
                <w:sz w:val="14"/>
                <w:szCs w:val="14"/>
              </w:rPr>
              <w:t>19</w:t>
            </w:r>
            <w:r>
              <w:rPr>
                <w:rFonts w:cs="Arial"/>
                <w:color w:val="000000"/>
                <w:sz w:val="14"/>
                <w:szCs w:val="14"/>
              </w:rPr>
              <w:t>,</w:t>
            </w:r>
            <w:r w:rsidRPr="003003C0">
              <w:rPr>
                <w:rFonts w:cs="Arial"/>
                <w:color w:val="000000"/>
                <w:sz w:val="14"/>
                <w:szCs w:val="14"/>
              </w:rPr>
              <w:t>661</w:t>
            </w:r>
          </w:p>
        </w:tc>
      </w:tr>
      <w:tr w:rsidR="004F64EF" w:rsidRPr="003003C0" w14:paraId="28BE7A42" w14:textId="77777777" w:rsidTr="00FD6B66">
        <w:trPr>
          <w:trHeight w:val="20"/>
        </w:trPr>
        <w:tc>
          <w:tcPr>
            <w:tcW w:w="3516" w:type="dxa"/>
            <w:noWrap/>
            <w:vAlign w:val="center"/>
            <w:hideMark/>
          </w:tcPr>
          <w:p w14:paraId="7DDC64FC" w14:textId="77777777" w:rsidR="004F64EF" w:rsidRPr="003003C0" w:rsidRDefault="004F64EF" w:rsidP="00FD6B66">
            <w:pPr>
              <w:jc w:val="left"/>
              <w:rPr>
                <w:rFonts w:cs="Arial"/>
                <w:color w:val="000000"/>
                <w:sz w:val="14"/>
                <w:szCs w:val="14"/>
              </w:rPr>
            </w:pPr>
          </w:p>
        </w:tc>
        <w:tc>
          <w:tcPr>
            <w:tcW w:w="5500" w:type="dxa"/>
            <w:gridSpan w:val="7"/>
            <w:noWrap/>
            <w:vAlign w:val="center"/>
            <w:hideMark/>
          </w:tcPr>
          <w:p w14:paraId="0B1B1342" w14:textId="77777777" w:rsidR="004F64EF" w:rsidRPr="003003C0" w:rsidRDefault="004F64EF" w:rsidP="00FD6B66">
            <w:pPr>
              <w:jc w:val="center"/>
              <w:rPr>
                <w:rFonts w:cs="Arial"/>
                <w:b/>
                <w:bCs/>
                <w:color w:val="000000"/>
                <w:sz w:val="14"/>
                <w:szCs w:val="14"/>
              </w:rPr>
            </w:pPr>
            <w:r w:rsidRPr="003003C0">
              <w:rPr>
                <w:rFonts w:cs="Arial"/>
                <w:b/>
                <w:bCs/>
                <w:color w:val="000000"/>
                <w:sz w:val="14"/>
                <w:szCs w:val="14"/>
              </w:rPr>
              <w:t xml:space="preserve">(% </w:t>
            </w:r>
            <w:r>
              <w:rPr>
                <w:rFonts w:cs="Arial"/>
                <w:b/>
                <w:bCs/>
                <w:color w:val="000000"/>
                <w:sz w:val="14"/>
                <w:szCs w:val="14"/>
              </w:rPr>
              <w:t>of imports</w:t>
            </w:r>
            <w:r w:rsidRPr="003003C0">
              <w:rPr>
                <w:rFonts w:cs="Arial"/>
                <w:b/>
                <w:bCs/>
                <w:color w:val="000000"/>
                <w:sz w:val="14"/>
                <w:szCs w:val="14"/>
              </w:rPr>
              <w:t>)</w:t>
            </w:r>
          </w:p>
        </w:tc>
      </w:tr>
      <w:tr w:rsidR="004F64EF" w:rsidRPr="003003C0" w14:paraId="76B6D919" w14:textId="77777777" w:rsidTr="00FD6B66">
        <w:trPr>
          <w:cnfStyle w:val="000000010000" w:firstRow="0" w:lastRow="0" w:firstColumn="0" w:lastColumn="0" w:oddVBand="0" w:evenVBand="0" w:oddHBand="0" w:evenHBand="1" w:firstRowFirstColumn="0" w:firstRowLastColumn="0" w:lastRowFirstColumn="0" w:lastRowLastColumn="0"/>
          <w:trHeight w:val="20"/>
        </w:trPr>
        <w:tc>
          <w:tcPr>
            <w:tcW w:w="3516" w:type="dxa"/>
            <w:noWrap/>
            <w:vAlign w:val="center"/>
            <w:hideMark/>
          </w:tcPr>
          <w:p w14:paraId="2E65010E" w14:textId="77777777" w:rsidR="004F64EF" w:rsidRPr="003003C0" w:rsidRDefault="004F64EF" w:rsidP="00FD6B66">
            <w:pPr>
              <w:jc w:val="left"/>
              <w:rPr>
                <w:rFonts w:cs="Arial"/>
                <w:color w:val="000000"/>
                <w:sz w:val="14"/>
                <w:szCs w:val="14"/>
              </w:rPr>
            </w:pPr>
            <w:r w:rsidRPr="003003C0">
              <w:rPr>
                <w:rFonts w:cs="Arial"/>
                <w:color w:val="000000"/>
                <w:sz w:val="14"/>
                <w:szCs w:val="14"/>
              </w:rPr>
              <w:t>Am</w:t>
            </w:r>
            <w:r>
              <w:rPr>
                <w:rFonts w:cs="Arial"/>
                <w:color w:val="000000"/>
                <w:sz w:val="14"/>
                <w:szCs w:val="14"/>
              </w:rPr>
              <w:t>e</w:t>
            </w:r>
            <w:r w:rsidRPr="003003C0">
              <w:rPr>
                <w:rFonts w:cs="Arial"/>
                <w:color w:val="000000"/>
                <w:sz w:val="14"/>
                <w:szCs w:val="14"/>
              </w:rPr>
              <w:t>rica</w:t>
            </w:r>
          </w:p>
        </w:tc>
        <w:tc>
          <w:tcPr>
            <w:tcW w:w="785" w:type="dxa"/>
            <w:noWrap/>
            <w:vAlign w:val="center"/>
            <w:hideMark/>
          </w:tcPr>
          <w:p w14:paraId="73E65012" w14:textId="77777777" w:rsidR="004F64EF" w:rsidRPr="003003C0" w:rsidRDefault="004F64EF" w:rsidP="00FD6B66">
            <w:pPr>
              <w:jc w:val="right"/>
              <w:rPr>
                <w:rFonts w:cs="Arial"/>
                <w:color w:val="000000"/>
                <w:sz w:val="14"/>
                <w:szCs w:val="14"/>
              </w:rPr>
            </w:pPr>
            <w:r w:rsidRPr="003003C0">
              <w:rPr>
                <w:rFonts w:cs="Arial"/>
                <w:color w:val="000000"/>
                <w:sz w:val="14"/>
                <w:szCs w:val="14"/>
              </w:rPr>
              <w:t>61</w:t>
            </w:r>
            <w:r>
              <w:rPr>
                <w:rFonts w:cs="Arial"/>
                <w:color w:val="000000"/>
                <w:sz w:val="14"/>
                <w:szCs w:val="14"/>
              </w:rPr>
              <w:t>.</w:t>
            </w:r>
            <w:r w:rsidRPr="003003C0">
              <w:rPr>
                <w:rFonts w:cs="Arial"/>
                <w:color w:val="000000"/>
                <w:sz w:val="14"/>
                <w:szCs w:val="14"/>
              </w:rPr>
              <w:t>4</w:t>
            </w:r>
          </w:p>
        </w:tc>
        <w:tc>
          <w:tcPr>
            <w:tcW w:w="786" w:type="dxa"/>
            <w:noWrap/>
            <w:vAlign w:val="center"/>
            <w:hideMark/>
          </w:tcPr>
          <w:p w14:paraId="659AC882" w14:textId="77777777" w:rsidR="004F64EF" w:rsidRPr="003003C0" w:rsidRDefault="004F64EF" w:rsidP="00FD6B66">
            <w:pPr>
              <w:jc w:val="right"/>
              <w:rPr>
                <w:rFonts w:cs="Arial"/>
                <w:color w:val="000000"/>
                <w:sz w:val="14"/>
                <w:szCs w:val="14"/>
              </w:rPr>
            </w:pPr>
            <w:r w:rsidRPr="003003C0">
              <w:rPr>
                <w:rFonts w:cs="Arial"/>
                <w:color w:val="000000"/>
                <w:sz w:val="14"/>
                <w:szCs w:val="14"/>
              </w:rPr>
              <w:t>60</w:t>
            </w:r>
            <w:r>
              <w:rPr>
                <w:rFonts w:cs="Arial"/>
                <w:color w:val="000000"/>
                <w:sz w:val="14"/>
                <w:szCs w:val="14"/>
              </w:rPr>
              <w:t>.</w:t>
            </w:r>
            <w:r w:rsidRPr="003003C0">
              <w:rPr>
                <w:rFonts w:cs="Arial"/>
                <w:color w:val="000000"/>
                <w:sz w:val="14"/>
                <w:szCs w:val="14"/>
              </w:rPr>
              <w:t>8</w:t>
            </w:r>
          </w:p>
        </w:tc>
        <w:tc>
          <w:tcPr>
            <w:tcW w:w="786" w:type="dxa"/>
            <w:noWrap/>
            <w:vAlign w:val="center"/>
            <w:hideMark/>
          </w:tcPr>
          <w:p w14:paraId="7E0B1ABC" w14:textId="77777777" w:rsidR="004F64EF" w:rsidRPr="003003C0" w:rsidRDefault="004F64EF" w:rsidP="00FD6B66">
            <w:pPr>
              <w:jc w:val="right"/>
              <w:rPr>
                <w:rFonts w:cs="Arial"/>
                <w:color w:val="000000"/>
                <w:sz w:val="14"/>
                <w:szCs w:val="14"/>
              </w:rPr>
            </w:pPr>
            <w:r w:rsidRPr="003003C0">
              <w:rPr>
                <w:rFonts w:cs="Arial"/>
                <w:color w:val="000000"/>
                <w:sz w:val="14"/>
                <w:szCs w:val="14"/>
              </w:rPr>
              <w:t>60</w:t>
            </w:r>
            <w:r>
              <w:rPr>
                <w:rFonts w:cs="Arial"/>
                <w:color w:val="000000"/>
                <w:sz w:val="14"/>
                <w:szCs w:val="14"/>
              </w:rPr>
              <w:t>.</w:t>
            </w:r>
            <w:r w:rsidRPr="003003C0">
              <w:rPr>
                <w:rFonts w:cs="Arial"/>
                <w:color w:val="000000"/>
                <w:sz w:val="14"/>
                <w:szCs w:val="14"/>
              </w:rPr>
              <w:t>3</w:t>
            </w:r>
          </w:p>
        </w:tc>
        <w:tc>
          <w:tcPr>
            <w:tcW w:w="785" w:type="dxa"/>
            <w:noWrap/>
            <w:vAlign w:val="center"/>
            <w:hideMark/>
          </w:tcPr>
          <w:p w14:paraId="0B0D93A3" w14:textId="77777777" w:rsidR="004F64EF" w:rsidRPr="003003C0" w:rsidRDefault="004F64EF" w:rsidP="00FD6B66">
            <w:pPr>
              <w:jc w:val="right"/>
              <w:rPr>
                <w:rFonts w:cs="Arial"/>
                <w:color w:val="000000"/>
                <w:sz w:val="14"/>
                <w:szCs w:val="14"/>
              </w:rPr>
            </w:pPr>
            <w:r w:rsidRPr="003003C0">
              <w:rPr>
                <w:rFonts w:cs="Arial"/>
                <w:color w:val="000000"/>
                <w:sz w:val="14"/>
                <w:szCs w:val="14"/>
              </w:rPr>
              <w:t>58</w:t>
            </w:r>
            <w:r>
              <w:rPr>
                <w:rFonts w:cs="Arial"/>
                <w:color w:val="000000"/>
                <w:sz w:val="14"/>
                <w:szCs w:val="14"/>
              </w:rPr>
              <w:t>.</w:t>
            </w:r>
            <w:r w:rsidRPr="003003C0">
              <w:rPr>
                <w:rFonts w:cs="Arial"/>
                <w:color w:val="000000"/>
                <w:sz w:val="14"/>
                <w:szCs w:val="14"/>
              </w:rPr>
              <w:t>4</w:t>
            </w:r>
          </w:p>
        </w:tc>
        <w:tc>
          <w:tcPr>
            <w:tcW w:w="786" w:type="dxa"/>
            <w:noWrap/>
            <w:vAlign w:val="center"/>
            <w:hideMark/>
          </w:tcPr>
          <w:p w14:paraId="22E59913" w14:textId="77777777" w:rsidR="004F64EF" w:rsidRPr="003003C0" w:rsidRDefault="004F64EF" w:rsidP="00FD6B66">
            <w:pPr>
              <w:jc w:val="right"/>
              <w:rPr>
                <w:rFonts w:cs="Arial"/>
                <w:color w:val="000000"/>
                <w:sz w:val="14"/>
                <w:szCs w:val="14"/>
              </w:rPr>
            </w:pPr>
            <w:r w:rsidRPr="003003C0">
              <w:rPr>
                <w:rFonts w:cs="Arial"/>
                <w:color w:val="000000"/>
                <w:sz w:val="14"/>
                <w:szCs w:val="14"/>
              </w:rPr>
              <w:t>58</w:t>
            </w:r>
            <w:r>
              <w:rPr>
                <w:rFonts w:cs="Arial"/>
                <w:color w:val="000000"/>
                <w:sz w:val="14"/>
                <w:szCs w:val="14"/>
              </w:rPr>
              <w:t>.</w:t>
            </w:r>
            <w:r w:rsidRPr="003003C0">
              <w:rPr>
                <w:rFonts w:cs="Arial"/>
                <w:color w:val="000000"/>
                <w:sz w:val="14"/>
                <w:szCs w:val="14"/>
              </w:rPr>
              <w:t>4</w:t>
            </w:r>
          </w:p>
        </w:tc>
        <w:tc>
          <w:tcPr>
            <w:tcW w:w="786" w:type="dxa"/>
            <w:noWrap/>
            <w:vAlign w:val="center"/>
            <w:hideMark/>
          </w:tcPr>
          <w:p w14:paraId="5D2E44F8" w14:textId="77777777" w:rsidR="004F64EF" w:rsidRPr="003003C0" w:rsidRDefault="004F64EF" w:rsidP="00FD6B66">
            <w:pPr>
              <w:jc w:val="right"/>
              <w:rPr>
                <w:rFonts w:cs="Arial"/>
                <w:color w:val="000000"/>
                <w:sz w:val="14"/>
                <w:szCs w:val="14"/>
              </w:rPr>
            </w:pPr>
            <w:r w:rsidRPr="003003C0">
              <w:rPr>
                <w:rFonts w:cs="Arial"/>
                <w:color w:val="000000"/>
                <w:sz w:val="14"/>
                <w:szCs w:val="14"/>
              </w:rPr>
              <w:t>56</w:t>
            </w:r>
            <w:r>
              <w:rPr>
                <w:rFonts w:cs="Arial"/>
                <w:color w:val="000000"/>
                <w:sz w:val="14"/>
                <w:szCs w:val="14"/>
              </w:rPr>
              <w:t>.</w:t>
            </w:r>
            <w:r w:rsidRPr="003003C0">
              <w:rPr>
                <w:rFonts w:cs="Arial"/>
                <w:color w:val="000000"/>
                <w:sz w:val="14"/>
                <w:szCs w:val="14"/>
              </w:rPr>
              <w:t>4</w:t>
            </w:r>
          </w:p>
        </w:tc>
        <w:tc>
          <w:tcPr>
            <w:tcW w:w="786" w:type="dxa"/>
            <w:noWrap/>
            <w:vAlign w:val="center"/>
            <w:hideMark/>
          </w:tcPr>
          <w:p w14:paraId="5318BA7B" w14:textId="77777777" w:rsidR="004F64EF" w:rsidRPr="003003C0" w:rsidRDefault="004F64EF" w:rsidP="00FD6B66">
            <w:pPr>
              <w:jc w:val="right"/>
              <w:rPr>
                <w:rFonts w:cs="Arial"/>
                <w:color w:val="000000"/>
                <w:sz w:val="14"/>
                <w:szCs w:val="14"/>
              </w:rPr>
            </w:pPr>
            <w:r w:rsidRPr="003003C0">
              <w:rPr>
                <w:rFonts w:cs="Arial"/>
                <w:color w:val="000000"/>
                <w:sz w:val="14"/>
                <w:szCs w:val="14"/>
              </w:rPr>
              <w:t>59</w:t>
            </w:r>
            <w:r>
              <w:rPr>
                <w:rFonts w:cs="Arial"/>
                <w:color w:val="000000"/>
                <w:sz w:val="14"/>
                <w:szCs w:val="14"/>
              </w:rPr>
              <w:t>.</w:t>
            </w:r>
            <w:r w:rsidRPr="003003C0">
              <w:rPr>
                <w:rFonts w:cs="Arial"/>
                <w:color w:val="000000"/>
                <w:sz w:val="14"/>
                <w:szCs w:val="14"/>
              </w:rPr>
              <w:t>3</w:t>
            </w:r>
          </w:p>
        </w:tc>
      </w:tr>
      <w:tr w:rsidR="004F64EF" w:rsidRPr="003003C0" w14:paraId="77281811" w14:textId="77777777" w:rsidTr="00FD6B66">
        <w:trPr>
          <w:trHeight w:val="20"/>
        </w:trPr>
        <w:tc>
          <w:tcPr>
            <w:tcW w:w="3516" w:type="dxa"/>
            <w:noWrap/>
            <w:vAlign w:val="center"/>
            <w:hideMark/>
          </w:tcPr>
          <w:p w14:paraId="5FB37ACF" w14:textId="77777777" w:rsidR="004F64EF" w:rsidRPr="003003C0" w:rsidRDefault="004F64EF" w:rsidP="00FD6B66">
            <w:pPr>
              <w:tabs>
                <w:tab w:val="left" w:pos="113"/>
              </w:tabs>
              <w:jc w:val="left"/>
              <w:rPr>
                <w:rFonts w:cs="Arial"/>
                <w:color w:val="000000"/>
                <w:sz w:val="14"/>
                <w:szCs w:val="14"/>
              </w:rPr>
            </w:pPr>
            <w:r w:rsidRPr="003003C0">
              <w:rPr>
                <w:rFonts w:cs="Arial"/>
                <w:color w:val="000000"/>
                <w:sz w:val="14"/>
                <w:szCs w:val="14"/>
              </w:rPr>
              <w:tab/>
            </w:r>
            <w:r>
              <w:rPr>
                <w:rFonts w:cs="Arial"/>
                <w:color w:val="000000"/>
                <w:sz w:val="14"/>
                <w:szCs w:val="14"/>
              </w:rPr>
              <w:t>United States</w:t>
            </w:r>
          </w:p>
        </w:tc>
        <w:tc>
          <w:tcPr>
            <w:tcW w:w="785" w:type="dxa"/>
            <w:noWrap/>
            <w:vAlign w:val="center"/>
            <w:hideMark/>
          </w:tcPr>
          <w:p w14:paraId="037B323E" w14:textId="77777777" w:rsidR="004F64EF" w:rsidRPr="003003C0" w:rsidRDefault="004F64EF" w:rsidP="00FD6B66">
            <w:pPr>
              <w:jc w:val="right"/>
              <w:rPr>
                <w:rFonts w:cs="Arial"/>
                <w:color w:val="000000"/>
                <w:sz w:val="14"/>
                <w:szCs w:val="14"/>
              </w:rPr>
            </w:pPr>
            <w:r w:rsidRPr="003003C0">
              <w:rPr>
                <w:rFonts w:cs="Arial"/>
                <w:color w:val="000000"/>
                <w:sz w:val="14"/>
                <w:szCs w:val="14"/>
              </w:rPr>
              <w:t>34</w:t>
            </w:r>
            <w:r>
              <w:rPr>
                <w:rFonts w:cs="Arial"/>
                <w:color w:val="000000"/>
                <w:sz w:val="14"/>
                <w:szCs w:val="14"/>
              </w:rPr>
              <w:t>.</w:t>
            </w:r>
            <w:r w:rsidRPr="003003C0">
              <w:rPr>
                <w:rFonts w:cs="Arial"/>
                <w:color w:val="000000"/>
                <w:sz w:val="14"/>
                <w:szCs w:val="14"/>
              </w:rPr>
              <w:t>4</w:t>
            </w:r>
          </w:p>
        </w:tc>
        <w:tc>
          <w:tcPr>
            <w:tcW w:w="786" w:type="dxa"/>
            <w:noWrap/>
            <w:vAlign w:val="center"/>
            <w:hideMark/>
          </w:tcPr>
          <w:p w14:paraId="28431C3D" w14:textId="77777777" w:rsidR="004F64EF" w:rsidRPr="003003C0" w:rsidRDefault="004F64EF" w:rsidP="00FD6B66">
            <w:pPr>
              <w:jc w:val="right"/>
              <w:rPr>
                <w:rFonts w:cs="Arial"/>
                <w:color w:val="000000"/>
                <w:sz w:val="14"/>
                <w:szCs w:val="14"/>
              </w:rPr>
            </w:pPr>
            <w:r w:rsidRPr="003003C0">
              <w:rPr>
                <w:rFonts w:cs="Arial"/>
                <w:color w:val="000000"/>
                <w:sz w:val="14"/>
                <w:szCs w:val="14"/>
              </w:rPr>
              <w:t>34</w:t>
            </w:r>
            <w:r>
              <w:rPr>
                <w:rFonts w:cs="Arial"/>
                <w:color w:val="000000"/>
                <w:sz w:val="14"/>
                <w:szCs w:val="14"/>
              </w:rPr>
              <w:t>.</w:t>
            </w:r>
            <w:r w:rsidRPr="003003C0">
              <w:rPr>
                <w:rFonts w:cs="Arial"/>
                <w:color w:val="000000"/>
                <w:sz w:val="14"/>
                <w:szCs w:val="14"/>
              </w:rPr>
              <w:t>8</w:t>
            </w:r>
          </w:p>
        </w:tc>
        <w:tc>
          <w:tcPr>
            <w:tcW w:w="786" w:type="dxa"/>
            <w:noWrap/>
            <w:vAlign w:val="center"/>
            <w:hideMark/>
          </w:tcPr>
          <w:p w14:paraId="319F0DFA" w14:textId="77777777" w:rsidR="004F64EF" w:rsidRPr="003003C0" w:rsidRDefault="004F64EF" w:rsidP="00FD6B66">
            <w:pPr>
              <w:jc w:val="right"/>
              <w:rPr>
                <w:rFonts w:cs="Arial"/>
                <w:color w:val="000000"/>
                <w:sz w:val="14"/>
                <w:szCs w:val="14"/>
              </w:rPr>
            </w:pPr>
            <w:r w:rsidRPr="003003C0">
              <w:rPr>
                <w:rFonts w:cs="Arial"/>
                <w:color w:val="000000"/>
                <w:sz w:val="14"/>
                <w:szCs w:val="14"/>
              </w:rPr>
              <w:t>35</w:t>
            </w:r>
            <w:r>
              <w:rPr>
                <w:rFonts w:cs="Arial"/>
                <w:color w:val="000000"/>
                <w:sz w:val="14"/>
                <w:szCs w:val="14"/>
              </w:rPr>
              <w:t>.</w:t>
            </w:r>
            <w:r w:rsidRPr="003003C0">
              <w:rPr>
                <w:rFonts w:cs="Arial"/>
                <w:color w:val="000000"/>
                <w:sz w:val="14"/>
                <w:szCs w:val="14"/>
              </w:rPr>
              <w:t>8</w:t>
            </w:r>
          </w:p>
        </w:tc>
        <w:tc>
          <w:tcPr>
            <w:tcW w:w="785" w:type="dxa"/>
            <w:noWrap/>
            <w:vAlign w:val="center"/>
            <w:hideMark/>
          </w:tcPr>
          <w:p w14:paraId="3DE8040A" w14:textId="77777777" w:rsidR="004F64EF" w:rsidRPr="003003C0" w:rsidRDefault="004F64EF" w:rsidP="00FD6B66">
            <w:pPr>
              <w:jc w:val="right"/>
              <w:rPr>
                <w:rFonts w:cs="Arial"/>
                <w:color w:val="000000"/>
                <w:sz w:val="14"/>
                <w:szCs w:val="14"/>
              </w:rPr>
            </w:pPr>
            <w:r w:rsidRPr="003003C0">
              <w:rPr>
                <w:rFonts w:cs="Arial"/>
                <w:color w:val="000000"/>
                <w:sz w:val="14"/>
                <w:szCs w:val="14"/>
              </w:rPr>
              <w:t>36</w:t>
            </w:r>
            <w:r>
              <w:rPr>
                <w:rFonts w:cs="Arial"/>
                <w:color w:val="000000"/>
                <w:sz w:val="14"/>
                <w:szCs w:val="14"/>
              </w:rPr>
              <w:t>.</w:t>
            </w:r>
            <w:r w:rsidRPr="003003C0">
              <w:rPr>
                <w:rFonts w:cs="Arial"/>
                <w:color w:val="000000"/>
                <w:sz w:val="14"/>
                <w:szCs w:val="14"/>
              </w:rPr>
              <w:t>5</w:t>
            </w:r>
          </w:p>
        </w:tc>
        <w:tc>
          <w:tcPr>
            <w:tcW w:w="786" w:type="dxa"/>
            <w:noWrap/>
            <w:vAlign w:val="center"/>
            <w:hideMark/>
          </w:tcPr>
          <w:p w14:paraId="08EFD3C5" w14:textId="77777777" w:rsidR="004F64EF" w:rsidRPr="003003C0" w:rsidRDefault="004F64EF" w:rsidP="00FD6B66">
            <w:pPr>
              <w:jc w:val="right"/>
              <w:rPr>
                <w:rFonts w:cs="Arial"/>
                <w:color w:val="000000"/>
                <w:sz w:val="14"/>
                <w:szCs w:val="14"/>
              </w:rPr>
            </w:pPr>
            <w:r w:rsidRPr="003003C0">
              <w:rPr>
                <w:rFonts w:cs="Arial"/>
                <w:color w:val="000000"/>
                <w:sz w:val="14"/>
                <w:szCs w:val="14"/>
              </w:rPr>
              <w:t>36</w:t>
            </w:r>
            <w:r>
              <w:rPr>
                <w:rFonts w:cs="Arial"/>
                <w:color w:val="000000"/>
                <w:sz w:val="14"/>
                <w:szCs w:val="14"/>
              </w:rPr>
              <w:t>.</w:t>
            </w:r>
            <w:r w:rsidRPr="003003C0">
              <w:rPr>
                <w:rFonts w:cs="Arial"/>
                <w:color w:val="000000"/>
                <w:sz w:val="14"/>
                <w:szCs w:val="14"/>
              </w:rPr>
              <w:t>7</w:t>
            </w:r>
          </w:p>
        </w:tc>
        <w:tc>
          <w:tcPr>
            <w:tcW w:w="786" w:type="dxa"/>
            <w:noWrap/>
            <w:vAlign w:val="center"/>
            <w:hideMark/>
          </w:tcPr>
          <w:p w14:paraId="739BE1C3" w14:textId="77777777" w:rsidR="004F64EF" w:rsidRPr="003003C0" w:rsidRDefault="004F64EF" w:rsidP="00FD6B66">
            <w:pPr>
              <w:jc w:val="right"/>
              <w:rPr>
                <w:rFonts w:cs="Arial"/>
                <w:color w:val="000000"/>
                <w:sz w:val="14"/>
                <w:szCs w:val="14"/>
              </w:rPr>
            </w:pPr>
            <w:r w:rsidRPr="003003C0">
              <w:rPr>
                <w:rFonts w:cs="Arial"/>
                <w:color w:val="000000"/>
                <w:sz w:val="14"/>
                <w:szCs w:val="14"/>
              </w:rPr>
              <w:t>34</w:t>
            </w:r>
            <w:r>
              <w:rPr>
                <w:rFonts w:cs="Arial"/>
                <w:color w:val="000000"/>
                <w:sz w:val="14"/>
                <w:szCs w:val="14"/>
              </w:rPr>
              <w:t>.</w:t>
            </w:r>
            <w:r w:rsidRPr="003003C0">
              <w:rPr>
                <w:rFonts w:cs="Arial"/>
                <w:color w:val="000000"/>
                <w:sz w:val="14"/>
                <w:szCs w:val="14"/>
              </w:rPr>
              <w:t>3</w:t>
            </w:r>
          </w:p>
        </w:tc>
        <w:tc>
          <w:tcPr>
            <w:tcW w:w="786" w:type="dxa"/>
            <w:noWrap/>
            <w:vAlign w:val="center"/>
            <w:hideMark/>
          </w:tcPr>
          <w:p w14:paraId="3E30F4B2" w14:textId="77777777" w:rsidR="004F64EF" w:rsidRPr="003003C0" w:rsidRDefault="004F64EF" w:rsidP="00FD6B66">
            <w:pPr>
              <w:jc w:val="right"/>
              <w:rPr>
                <w:rFonts w:cs="Arial"/>
                <w:color w:val="000000"/>
                <w:sz w:val="14"/>
                <w:szCs w:val="14"/>
              </w:rPr>
            </w:pPr>
            <w:r w:rsidRPr="003003C0">
              <w:rPr>
                <w:rFonts w:cs="Arial"/>
                <w:color w:val="000000"/>
                <w:sz w:val="14"/>
                <w:szCs w:val="14"/>
              </w:rPr>
              <w:t>38</w:t>
            </w:r>
            <w:r>
              <w:rPr>
                <w:rFonts w:cs="Arial"/>
                <w:color w:val="000000"/>
                <w:sz w:val="14"/>
                <w:szCs w:val="14"/>
              </w:rPr>
              <w:t>.</w:t>
            </w:r>
            <w:r w:rsidRPr="003003C0">
              <w:rPr>
                <w:rFonts w:cs="Arial"/>
                <w:color w:val="000000"/>
                <w:sz w:val="14"/>
                <w:szCs w:val="14"/>
              </w:rPr>
              <w:t>8</w:t>
            </w:r>
          </w:p>
        </w:tc>
      </w:tr>
      <w:tr w:rsidR="004F64EF" w:rsidRPr="003003C0" w14:paraId="34AD0815" w14:textId="77777777" w:rsidTr="00FD6B66">
        <w:trPr>
          <w:cnfStyle w:val="000000010000" w:firstRow="0" w:lastRow="0" w:firstColumn="0" w:lastColumn="0" w:oddVBand="0" w:evenVBand="0" w:oddHBand="0" w:evenHBand="1" w:firstRowFirstColumn="0" w:firstRowLastColumn="0" w:lastRowFirstColumn="0" w:lastRowLastColumn="0"/>
          <w:trHeight w:val="20"/>
        </w:trPr>
        <w:tc>
          <w:tcPr>
            <w:tcW w:w="3516" w:type="dxa"/>
            <w:noWrap/>
            <w:vAlign w:val="center"/>
            <w:hideMark/>
          </w:tcPr>
          <w:p w14:paraId="58304859" w14:textId="77777777" w:rsidR="004F64EF" w:rsidRPr="003003C0" w:rsidRDefault="004F64EF" w:rsidP="00FD6B66">
            <w:pPr>
              <w:tabs>
                <w:tab w:val="left" w:pos="113"/>
              </w:tabs>
              <w:jc w:val="left"/>
              <w:rPr>
                <w:rFonts w:cs="Arial"/>
                <w:color w:val="000000"/>
                <w:sz w:val="14"/>
                <w:szCs w:val="14"/>
              </w:rPr>
            </w:pPr>
            <w:r w:rsidRPr="003003C0">
              <w:rPr>
                <w:rFonts w:cs="Arial"/>
                <w:color w:val="000000"/>
                <w:sz w:val="14"/>
                <w:szCs w:val="14"/>
              </w:rPr>
              <w:tab/>
              <w:t>Ot</w:t>
            </w:r>
            <w:r>
              <w:rPr>
                <w:rFonts w:cs="Arial"/>
                <w:color w:val="000000"/>
                <w:sz w:val="14"/>
                <w:szCs w:val="14"/>
              </w:rPr>
              <w:t xml:space="preserve">her </w:t>
            </w:r>
            <w:r w:rsidRPr="003003C0">
              <w:rPr>
                <w:rFonts w:cs="Arial"/>
                <w:color w:val="000000"/>
                <w:sz w:val="14"/>
                <w:szCs w:val="14"/>
              </w:rPr>
              <w:t>Am</w:t>
            </w:r>
            <w:r>
              <w:rPr>
                <w:rFonts w:cs="Arial"/>
                <w:color w:val="000000"/>
                <w:sz w:val="14"/>
                <w:szCs w:val="14"/>
              </w:rPr>
              <w:t>e</w:t>
            </w:r>
            <w:r w:rsidRPr="003003C0">
              <w:rPr>
                <w:rFonts w:cs="Arial"/>
                <w:color w:val="000000"/>
                <w:sz w:val="14"/>
                <w:szCs w:val="14"/>
              </w:rPr>
              <w:t>rica</w:t>
            </w:r>
          </w:p>
        </w:tc>
        <w:tc>
          <w:tcPr>
            <w:tcW w:w="785" w:type="dxa"/>
            <w:noWrap/>
            <w:vAlign w:val="center"/>
            <w:hideMark/>
          </w:tcPr>
          <w:p w14:paraId="4F54680E" w14:textId="77777777" w:rsidR="004F64EF" w:rsidRPr="003003C0" w:rsidRDefault="004F64EF" w:rsidP="00FD6B66">
            <w:pPr>
              <w:jc w:val="right"/>
              <w:rPr>
                <w:rFonts w:cs="Arial"/>
                <w:color w:val="000000"/>
                <w:sz w:val="14"/>
                <w:szCs w:val="14"/>
              </w:rPr>
            </w:pPr>
            <w:r w:rsidRPr="003003C0">
              <w:rPr>
                <w:rFonts w:cs="Arial"/>
                <w:color w:val="000000"/>
                <w:sz w:val="14"/>
                <w:szCs w:val="14"/>
              </w:rPr>
              <w:t>27</w:t>
            </w:r>
            <w:r>
              <w:rPr>
                <w:rFonts w:cs="Arial"/>
                <w:color w:val="000000"/>
                <w:sz w:val="14"/>
                <w:szCs w:val="14"/>
              </w:rPr>
              <w:t>.</w:t>
            </w:r>
            <w:r w:rsidRPr="003003C0">
              <w:rPr>
                <w:rFonts w:cs="Arial"/>
                <w:color w:val="000000"/>
                <w:sz w:val="14"/>
                <w:szCs w:val="14"/>
              </w:rPr>
              <w:t>0</w:t>
            </w:r>
          </w:p>
        </w:tc>
        <w:tc>
          <w:tcPr>
            <w:tcW w:w="786" w:type="dxa"/>
            <w:noWrap/>
            <w:vAlign w:val="center"/>
            <w:hideMark/>
          </w:tcPr>
          <w:p w14:paraId="7428C63C" w14:textId="77777777" w:rsidR="004F64EF" w:rsidRPr="003003C0" w:rsidRDefault="004F64EF" w:rsidP="00FD6B66">
            <w:pPr>
              <w:jc w:val="right"/>
              <w:rPr>
                <w:rFonts w:cs="Arial"/>
                <w:color w:val="000000"/>
                <w:sz w:val="14"/>
                <w:szCs w:val="14"/>
              </w:rPr>
            </w:pPr>
            <w:r w:rsidRPr="003003C0">
              <w:rPr>
                <w:rFonts w:cs="Arial"/>
                <w:color w:val="000000"/>
                <w:sz w:val="14"/>
                <w:szCs w:val="14"/>
              </w:rPr>
              <w:t>26</w:t>
            </w:r>
            <w:r>
              <w:rPr>
                <w:rFonts w:cs="Arial"/>
                <w:color w:val="000000"/>
                <w:sz w:val="14"/>
                <w:szCs w:val="14"/>
              </w:rPr>
              <w:t>.</w:t>
            </w:r>
            <w:r w:rsidRPr="003003C0">
              <w:rPr>
                <w:rFonts w:cs="Arial"/>
                <w:color w:val="000000"/>
                <w:sz w:val="14"/>
                <w:szCs w:val="14"/>
              </w:rPr>
              <w:t>0</w:t>
            </w:r>
          </w:p>
        </w:tc>
        <w:tc>
          <w:tcPr>
            <w:tcW w:w="786" w:type="dxa"/>
            <w:noWrap/>
            <w:vAlign w:val="center"/>
            <w:hideMark/>
          </w:tcPr>
          <w:p w14:paraId="5B49F43D" w14:textId="77777777" w:rsidR="004F64EF" w:rsidRPr="003003C0" w:rsidRDefault="004F64EF" w:rsidP="00FD6B66">
            <w:pPr>
              <w:jc w:val="right"/>
              <w:rPr>
                <w:rFonts w:cs="Arial"/>
                <w:color w:val="000000"/>
                <w:sz w:val="14"/>
                <w:szCs w:val="14"/>
              </w:rPr>
            </w:pPr>
            <w:r w:rsidRPr="003003C0">
              <w:rPr>
                <w:rFonts w:cs="Arial"/>
                <w:color w:val="000000"/>
                <w:sz w:val="14"/>
                <w:szCs w:val="14"/>
              </w:rPr>
              <w:t>24</w:t>
            </w:r>
            <w:r>
              <w:rPr>
                <w:rFonts w:cs="Arial"/>
                <w:color w:val="000000"/>
                <w:sz w:val="14"/>
                <w:szCs w:val="14"/>
              </w:rPr>
              <w:t>.</w:t>
            </w:r>
            <w:r w:rsidRPr="003003C0">
              <w:rPr>
                <w:rFonts w:cs="Arial"/>
                <w:color w:val="000000"/>
                <w:sz w:val="14"/>
                <w:szCs w:val="14"/>
              </w:rPr>
              <w:t>5</w:t>
            </w:r>
          </w:p>
        </w:tc>
        <w:tc>
          <w:tcPr>
            <w:tcW w:w="785" w:type="dxa"/>
            <w:noWrap/>
            <w:vAlign w:val="center"/>
            <w:hideMark/>
          </w:tcPr>
          <w:p w14:paraId="3F2BBF85" w14:textId="77777777" w:rsidR="004F64EF" w:rsidRPr="003003C0" w:rsidRDefault="004F64EF" w:rsidP="00FD6B66">
            <w:pPr>
              <w:jc w:val="right"/>
              <w:rPr>
                <w:rFonts w:cs="Arial"/>
                <w:color w:val="000000"/>
                <w:sz w:val="14"/>
                <w:szCs w:val="14"/>
              </w:rPr>
            </w:pPr>
            <w:r w:rsidRPr="003003C0">
              <w:rPr>
                <w:rFonts w:cs="Arial"/>
                <w:color w:val="000000"/>
                <w:sz w:val="14"/>
                <w:szCs w:val="14"/>
              </w:rPr>
              <w:t>21</w:t>
            </w:r>
            <w:r>
              <w:rPr>
                <w:rFonts w:cs="Arial"/>
                <w:color w:val="000000"/>
                <w:sz w:val="14"/>
                <w:szCs w:val="14"/>
              </w:rPr>
              <w:t>.</w:t>
            </w:r>
            <w:r w:rsidRPr="003003C0">
              <w:rPr>
                <w:rFonts w:cs="Arial"/>
                <w:color w:val="000000"/>
                <w:sz w:val="14"/>
                <w:szCs w:val="14"/>
              </w:rPr>
              <w:t>9</w:t>
            </w:r>
          </w:p>
        </w:tc>
        <w:tc>
          <w:tcPr>
            <w:tcW w:w="786" w:type="dxa"/>
            <w:noWrap/>
            <w:vAlign w:val="center"/>
            <w:hideMark/>
          </w:tcPr>
          <w:p w14:paraId="0C5F38B9" w14:textId="77777777" w:rsidR="004F64EF" w:rsidRPr="003003C0" w:rsidRDefault="004F64EF" w:rsidP="00FD6B66">
            <w:pPr>
              <w:jc w:val="right"/>
              <w:rPr>
                <w:rFonts w:cs="Arial"/>
                <w:color w:val="000000"/>
                <w:sz w:val="14"/>
                <w:szCs w:val="14"/>
              </w:rPr>
            </w:pPr>
            <w:r w:rsidRPr="003003C0">
              <w:rPr>
                <w:rFonts w:cs="Arial"/>
                <w:color w:val="000000"/>
                <w:sz w:val="14"/>
                <w:szCs w:val="14"/>
              </w:rPr>
              <w:t>21</w:t>
            </w:r>
            <w:r>
              <w:rPr>
                <w:rFonts w:cs="Arial"/>
                <w:color w:val="000000"/>
                <w:sz w:val="14"/>
                <w:szCs w:val="14"/>
              </w:rPr>
              <w:t>.</w:t>
            </w:r>
            <w:r w:rsidRPr="003003C0">
              <w:rPr>
                <w:rFonts w:cs="Arial"/>
                <w:color w:val="000000"/>
                <w:sz w:val="14"/>
                <w:szCs w:val="14"/>
              </w:rPr>
              <w:t>7</w:t>
            </w:r>
          </w:p>
        </w:tc>
        <w:tc>
          <w:tcPr>
            <w:tcW w:w="786" w:type="dxa"/>
            <w:noWrap/>
            <w:vAlign w:val="center"/>
            <w:hideMark/>
          </w:tcPr>
          <w:p w14:paraId="3C0FB7CC" w14:textId="77777777" w:rsidR="004F64EF" w:rsidRPr="003003C0" w:rsidRDefault="004F64EF" w:rsidP="00FD6B66">
            <w:pPr>
              <w:jc w:val="right"/>
              <w:rPr>
                <w:rFonts w:cs="Arial"/>
                <w:color w:val="000000"/>
                <w:sz w:val="14"/>
                <w:szCs w:val="14"/>
              </w:rPr>
            </w:pPr>
            <w:r w:rsidRPr="003003C0">
              <w:rPr>
                <w:rFonts w:cs="Arial"/>
                <w:color w:val="000000"/>
                <w:sz w:val="14"/>
                <w:szCs w:val="14"/>
              </w:rPr>
              <w:t>22</w:t>
            </w:r>
            <w:r>
              <w:rPr>
                <w:rFonts w:cs="Arial"/>
                <w:color w:val="000000"/>
                <w:sz w:val="14"/>
                <w:szCs w:val="14"/>
              </w:rPr>
              <w:t>.</w:t>
            </w:r>
            <w:r w:rsidRPr="003003C0">
              <w:rPr>
                <w:rFonts w:cs="Arial"/>
                <w:color w:val="000000"/>
                <w:sz w:val="14"/>
                <w:szCs w:val="14"/>
              </w:rPr>
              <w:t>1</w:t>
            </w:r>
          </w:p>
        </w:tc>
        <w:tc>
          <w:tcPr>
            <w:tcW w:w="786" w:type="dxa"/>
            <w:noWrap/>
            <w:vAlign w:val="center"/>
            <w:hideMark/>
          </w:tcPr>
          <w:p w14:paraId="420AD57E" w14:textId="77777777" w:rsidR="004F64EF" w:rsidRPr="003003C0" w:rsidRDefault="004F64EF" w:rsidP="00FD6B66">
            <w:pPr>
              <w:jc w:val="right"/>
              <w:rPr>
                <w:rFonts w:cs="Arial"/>
                <w:color w:val="000000"/>
                <w:sz w:val="14"/>
                <w:szCs w:val="14"/>
              </w:rPr>
            </w:pPr>
            <w:r w:rsidRPr="003003C0">
              <w:rPr>
                <w:rFonts w:cs="Arial"/>
                <w:color w:val="000000"/>
                <w:sz w:val="14"/>
                <w:szCs w:val="14"/>
              </w:rPr>
              <w:t>20</w:t>
            </w:r>
            <w:r>
              <w:rPr>
                <w:rFonts w:cs="Arial"/>
                <w:color w:val="000000"/>
                <w:sz w:val="14"/>
                <w:szCs w:val="14"/>
              </w:rPr>
              <w:t>.</w:t>
            </w:r>
            <w:r w:rsidRPr="003003C0">
              <w:rPr>
                <w:rFonts w:cs="Arial"/>
                <w:color w:val="000000"/>
                <w:sz w:val="14"/>
                <w:szCs w:val="14"/>
              </w:rPr>
              <w:t>5</w:t>
            </w:r>
          </w:p>
        </w:tc>
      </w:tr>
      <w:tr w:rsidR="004F64EF" w:rsidRPr="003003C0" w14:paraId="7267E386" w14:textId="77777777" w:rsidTr="00FD6B66">
        <w:trPr>
          <w:trHeight w:val="20"/>
        </w:trPr>
        <w:tc>
          <w:tcPr>
            <w:tcW w:w="3516" w:type="dxa"/>
            <w:noWrap/>
            <w:vAlign w:val="center"/>
            <w:hideMark/>
          </w:tcPr>
          <w:p w14:paraId="6D1BE824" w14:textId="77777777" w:rsidR="004F64EF" w:rsidRPr="003003C0" w:rsidRDefault="004F64EF" w:rsidP="00FD6B66">
            <w:pPr>
              <w:tabs>
                <w:tab w:val="left" w:pos="510"/>
              </w:tabs>
              <w:jc w:val="left"/>
              <w:rPr>
                <w:rFonts w:cs="Arial"/>
                <w:color w:val="000000"/>
                <w:sz w:val="14"/>
                <w:szCs w:val="14"/>
              </w:rPr>
            </w:pPr>
            <w:r w:rsidRPr="003003C0">
              <w:rPr>
                <w:rFonts w:cs="Arial"/>
                <w:color w:val="000000"/>
                <w:sz w:val="14"/>
                <w:szCs w:val="14"/>
              </w:rPr>
              <w:tab/>
              <w:t>M</w:t>
            </w:r>
            <w:r>
              <w:rPr>
                <w:rFonts w:cs="Arial"/>
                <w:color w:val="000000"/>
                <w:sz w:val="14"/>
                <w:szCs w:val="14"/>
              </w:rPr>
              <w:t>e</w:t>
            </w:r>
            <w:r w:rsidRPr="003003C0">
              <w:rPr>
                <w:rFonts w:cs="Arial"/>
                <w:color w:val="000000"/>
                <w:sz w:val="14"/>
                <w:szCs w:val="14"/>
              </w:rPr>
              <w:t>xico</w:t>
            </w:r>
          </w:p>
        </w:tc>
        <w:tc>
          <w:tcPr>
            <w:tcW w:w="785" w:type="dxa"/>
            <w:noWrap/>
            <w:vAlign w:val="center"/>
            <w:hideMark/>
          </w:tcPr>
          <w:p w14:paraId="62A5971A" w14:textId="77777777" w:rsidR="004F64EF" w:rsidRPr="003003C0" w:rsidRDefault="004F64EF" w:rsidP="00FD6B66">
            <w:pPr>
              <w:jc w:val="right"/>
              <w:rPr>
                <w:rFonts w:cs="Arial"/>
                <w:color w:val="000000"/>
                <w:sz w:val="14"/>
                <w:szCs w:val="14"/>
              </w:rPr>
            </w:pPr>
            <w:r w:rsidRPr="003003C0">
              <w:rPr>
                <w:rFonts w:cs="Arial"/>
                <w:color w:val="000000"/>
                <w:sz w:val="14"/>
                <w:szCs w:val="14"/>
              </w:rPr>
              <w:t>5</w:t>
            </w:r>
            <w:r>
              <w:rPr>
                <w:rFonts w:cs="Arial"/>
                <w:color w:val="000000"/>
                <w:sz w:val="14"/>
                <w:szCs w:val="14"/>
              </w:rPr>
              <w:t>.</w:t>
            </w:r>
            <w:r w:rsidRPr="003003C0">
              <w:rPr>
                <w:rFonts w:cs="Arial"/>
                <w:color w:val="000000"/>
                <w:sz w:val="14"/>
                <w:szCs w:val="14"/>
              </w:rPr>
              <w:t>3</w:t>
            </w:r>
          </w:p>
        </w:tc>
        <w:tc>
          <w:tcPr>
            <w:tcW w:w="786" w:type="dxa"/>
            <w:noWrap/>
            <w:vAlign w:val="center"/>
            <w:hideMark/>
          </w:tcPr>
          <w:p w14:paraId="05A29B30" w14:textId="77777777" w:rsidR="004F64EF" w:rsidRPr="003003C0" w:rsidRDefault="004F64EF" w:rsidP="00FD6B66">
            <w:pPr>
              <w:jc w:val="right"/>
              <w:rPr>
                <w:rFonts w:cs="Arial"/>
                <w:color w:val="000000"/>
                <w:sz w:val="14"/>
                <w:szCs w:val="14"/>
              </w:rPr>
            </w:pPr>
            <w:r w:rsidRPr="003003C0">
              <w:rPr>
                <w:rFonts w:cs="Arial"/>
                <w:color w:val="000000"/>
                <w:sz w:val="14"/>
                <w:szCs w:val="14"/>
              </w:rPr>
              <w:t>6</w:t>
            </w:r>
            <w:r>
              <w:rPr>
                <w:rFonts w:cs="Arial"/>
                <w:color w:val="000000"/>
                <w:sz w:val="14"/>
                <w:szCs w:val="14"/>
              </w:rPr>
              <w:t>.</w:t>
            </w:r>
            <w:r w:rsidRPr="003003C0">
              <w:rPr>
                <w:rFonts w:cs="Arial"/>
                <w:color w:val="000000"/>
                <w:sz w:val="14"/>
                <w:szCs w:val="14"/>
              </w:rPr>
              <w:t>7</w:t>
            </w:r>
          </w:p>
        </w:tc>
        <w:tc>
          <w:tcPr>
            <w:tcW w:w="786" w:type="dxa"/>
            <w:noWrap/>
            <w:vAlign w:val="center"/>
            <w:hideMark/>
          </w:tcPr>
          <w:p w14:paraId="4A2832A4" w14:textId="77777777" w:rsidR="004F64EF" w:rsidRPr="003003C0" w:rsidRDefault="004F64EF" w:rsidP="00FD6B66">
            <w:pPr>
              <w:jc w:val="right"/>
              <w:rPr>
                <w:rFonts w:cs="Arial"/>
                <w:color w:val="000000"/>
                <w:sz w:val="14"/>
                <w:szCs w:val="14"/>
              </w:rPr>
            </w:pPr>
            <w:r w:rsidRPr="003003C0">
              <w:rPr>
                <w:rFonts w:cs="Arial"/>
                <w:color w:val="000000"/>
                <w:sz w:val="14"/>
                <w:szCs w:val="14"/>
              </w:rPr>
              <w:t>5</w:t>
            </w:r>
            <w:r>
              <w:rPr>
                <w:rFonts w:cs="Arial"/>
                <w:color w:val="000000"/>
                <w:sz w:val="14"/>
                <w:szCs w:val="14"/>
              </w:rPr>
              <w:t>.</w:t>
            </w:r>
            <w:r w:rsidRPr="003003C0">
              <w:rPr>
                <w:rFonts w:cs="Arial"/>
                <w:color w:val="000000"/>
                <w:sz w:val="14"/>
                <w:szCs w:val="14"/>
              </w:rPr>
              <w:t>5</w:t>
            </w:r>
          </w:p>
        </w:tc>
        <w:tc>
          <w:tcPr>
            <w:tcW w:w="785" w:type="dxa"/>
            <w:noWrap/>
            <w:vAlign w:val="center"/>
            <w:hideMark/>
          </w:tcPr>
          <w:p w14:paraId="032B8BE2" w14:textId="77777777" w:rsidR="004F64EF" w:rsidRPr="003003C0" w:rsidRDefault="004F64EF" w:rsidP="00FD6B66">
            <w:pPr>
              <w:jc w:val="right"/>
              <w:rPr>
                <w:rFonts w:cs="Arial"/>
                <w:color w:val="000000"/>
                <w:sz w:val="14"/>
                <w:szCs w:val="14"/>
              </w:rPr>
            </w:pPr>
            <w:r w:rsidRPr="003003C0">
              <w:rPr>
                <w:rFonts w:cs="Arial"/>
                <w:color w:val="000000"/>
                <w:sz w:val="14"/>
                <w:szCs w:val="14"/>
              </w:rPr>
              <w:t>4</w:t>
            </w:r>
            <w:r>
              <w:rPr>
                <w:rFonts w:cs="Arial"/>
                <w:color w:val="000000"/>
                <w:sz w:val="14"/>
                <w:szCs w:val="14"/>
              </w:rPr>
              <w:t>.</w:t>
            </w:r>
            <w:r w:rsidRPr="003003C0">
              <w:rPr>
                <w:rFonts w:cs="Arial"/>
                <w:color w:val="000000"/>
                <w:sz w:val="14"/>
                <w:szCs w:val="14"/>
              </w:rPr>
              <w:t>2</w:t>
            </w:r>
          </w:p>
        </w:tc>
        <w:tc>
          <w:tcPr>
            <w:tcW w:w="786" w:type="dxa"/>
            <w:noWrap/>
            <w:vAlign w:val="center"/>
            <w:hideMark/>
          </w:tcPr>
          <w:p w14:paraId="38A20976" w14:textId="77777777" w:rsidR="004F64EF" w:rsidRPr="003003C0" w:rsidRDefault="004F64EF" w:rsidP="00FD6B66">
            <w:pPr>
              <w:jc w:val="right"/>
              <w:rPr>
                <w:rFonts w:cs="Arial"/>
                <w:color w:val="000000"/>
                <w:sz w:val="14"/>
                <w:szCs w:val="14"/>
              </w:rPr>
            </w:pPr>
            <w:r w:rsidRPr="003003C0">
              <w:rPr>
                <w:rFonts w:cs="Arial"/>
                <w:color w:val="000000"/>
                <w:sz w:val="14"/>
                <w:szCs w:val="14"/>
              </w:rPr>
              <w:t>4</w:t>
            </w:r>
            <w:r>
              <w:rPr>
                <w:rFonts w:cs="Arial"/>
                <w:color w:val="000000"/>
                <w:sz w:val="14"/>
                <w:szCs w:val="14"/>
              </w:rPr>
              <w:t>.</w:t>
            </w:r>
            <w:r w:rsidRPr="003003C0">
              <w:rPr>
                <w:rFonts w:cs="Arial"/>
                <w:color w:val="000000"/>
                <w:sz w:val="14"/>
                <w:szCs w:val="14"/>
              </w:rPr>
              <w:t>5</w:t>
            </w:r>
          </w:p>
        </w:tc>
        <w:tc>
          <w:tcPr>
            <w:tcW w:w="786" w:type="dxa"/>
            <w:noWrap/>
            <w:vAlign w:val="center"/>
            <w:hideMark/>
          </w:tcPr>
          <w:p w14:paraId="3B51BBBA" w14:textId="77777777" w:rsidR="004F64EF" w:rsidRPr="003003C0" w:rsidRDefault="004F64EF" w:rsidP="00FD6B66">
            <w:pPr>
              <w:jc w:val="right"/>
              <w:rPr>
                <w:rFonts w:cs="Arial"/>
                <w:color w:val="000000"/>
                <w:sz w:val="14"/>
                <w:szCs w:val="14"/>
              </w:rPr>
            </w:pPr>
            <w:r w:rsidRPr="003003C0">
              <w:rPr>
                <w:rFonts w:cs="Arial"/>
                <w:color w:val="000000"/>
                <w:sz w:val="14"/>
                <w:szCs w:val="14"/>
              </w:rPr>
              <w:t>5</w:t>
            </w:r>
            <w:r>
              <w:rPr>
                <w:rFonts w:cs="Arial"/>
                <w:color w:val="000000"/>
                <w:sz w:val="14"/>
                <w:szCs w:val="14"/>
              </w:rPr>
              <w:t>.</w:t>
            </w:r>
            <w:r w:rsidRPr="003003C0">
              <w:rPr>
                <w:rFonts w:cs="Arial"/>
                <w:color w:val="000000"/>
                <w:sz w:val="14"/>
                <w:szCs w:val="14"/>
              </w:rPr>
              <w:t>0</w:t>
            </w:r>
          </w:p>
        </w:tc>
        <w:tc>
          <w:tcPr>
            <w:tcW w:w="786" w:type="dxa"/>
            <w:noWrap/>
            <w:vAlign w:val="center"/>
            <w:hideMark/>
          </w:tcPr>
          <w:p w14:paraId="499BA077" w14:textId="77777777" w:rsidR="004F64EF" w:rsidRPr="003003C0" w:rsidRDefault="004F64EF" w:rsidP="00FD6B66">
            <w:pPr>
              <w:jc w:val="right"/>
              <w:rPr>
                <w:rFonts w:cs="Arial"/>
                <w:color w:val="000000"/>
                <w:sz w:val="14"/>
                <w:szCs w:val="14"/>
              </w:rPr>
            </w:pPr>
            <w:r w:rsidRPr="003003C0">
              <w:rPr>
                <w:rFonts w:cs="Arial"/>
                <w:color w:val="000000"/>
                <w:sz w:val="14"/>
                <w:szCs w:val="14"/>
              </w:rPr>
              <w:t>4</w:t>
            </w:r>
            <w:r>
              <w:rPr>
                <w:rFonts w:cs="Arial"/>
                <w:color w:val="000000"/>
                <w:sz w:val="14"/>
                <w:szCs w:val="14"/>
              </w:rPr>
              <w:t>.</w:t>
            </w:r>
            <w:r w:rsidRPr="003003C0">
              <w:rPr>
                <w:rFonts w:cs="Arial"/>
                <w:color w:val="000000"/>
                <w:sz w:val="14"/>
                <w:szCs w:val="14"/>
              </w:rPr>
              <w:t>1</w:t>
            </w:r>
          </w:p>
        </w:tc>
      </w:tr>
      <w:tr w:rsidR="004F64EF" w:rsidRPr="003003C0" w14:paraId="6B7BDB2C" w14:textId="77777777" w:rsidTr="00FD6B66">
        <w:trPr>
          <w:cnfStyle w:val="000000010000" w:firstRow="0" w:lastRow="0" w:firstColumn="0" w:lastColumn="0" w:oddVBand="0" w:evenVBand="0" w:oddHBand="0" w:evenHBand="1" w:firstRowFirstColumn="0" w:firstRowLastColumn="0" w:lastRowFirstColumn="0" w:lastRowLastColumn="0"/>
          <w:trHeight w:val="20"/>
        </w:trPr>
        <w:tc>
          <w:tcPr>
            <w:tcW w:w="3516" w:type="dxa"/>
            <w:noWrap/>
            <w:vAlign w:val="center"/>
            <w:hideMark/>
          </w:tcPr>
          <w:p w14:paraId="169073E8" w14:textId="77777777" w:rsidR="004F64EF" w:rsidRPr="003003C0" w:rsidRDefault="004F64EF" w:rsidP="00FD6B66">
            <w:pPr>
              <w:tabs>
                <w:tab w:val="left" w:pos="510"/>
              </w:tabs>
              <w:jc w:val="left"/>
              <w:rPr>
                <w:rFonts w:cs="Arial"/>
                <w:color w:val="000000"/>
                <w:sz w:val="14"/>
                <w:szCs w:val="14"/>
              </w:rPr>
            </w:pPr>
            <w:r w:rsidRPr="003003C0">
              <w:rPr>
                <w:rFonts w:cs="Arial"/>
                <w:color w:val="000000"/>
                <w:sz w:val="14"/>
                <w:szCs w:val="14"/>
              </w:rPr>
              <w:tab/>
              <w:t>Bra</w:t>
            </w:r>
            <w:r>
              <w:rPr>
                <w:rFonts w:cs="Arial"/>
                <w:color w:val="000000"/>
                <w:sz w:val="14"/>
                <w:szCs w:val="14"/>
              </w:rPr>
              <w:t>z</w:t>
            </w:r>
            <w:r w:rsidRPr="003003C0">
              <w:rPr>
                <w:rFonts w:cs="Arial"/>
                <w:color w:val="000000"/>
                <w:sz w:val="14"/>
                <w:szCs w:val="14"/>
              </w:rPr>
              <w:t>il</w:t>
            </w:r>
          </w:p>
        </w:tc>
        <w:tc>
          <w:tcPr>
            <w:tcW w:w="785" w:type="dxa"/>
            <w:noWrap/>
            <w:vAlign w:val="center"/>
            <w:hideMark/>
          </w:tcPr>
          <w:p w14:paraId="3EBB583C" w14:textId="77777777" w:rsidR="004F64EF" w:rsidRPr="003003C0" w:rsidRDefault="004F64EF" w:rsidP="00FD6B66">
            <w:pPr>
              <w:jc w:val="right"/>
              <w:rPr>
                <w:rFonts w:cs="Arial"/>
                <w:color w:val="000000"/>
                <w:sz w:val="14"/>
                <w:szCs w:val="14"/>
              </w:rPr>
            </w:pPr>
            <w:r w:rsidRPr="003003C0">
              <w:rPr>
                <w:rFonts w:cs="Arial"/>
                <w:color w:val="000000"/>
                <w:sz w:val="14"/>
                <w:szCs w:val="14"/>
              </w:rPr>
              <w:t>3</w:t>
            </w:r>
            <w:r>
              <w:rPr>
                <w:rFonts w:cs="Arial"/>
                <w:color w:val="000000"/>
                <w:sz w:val="14"/>
                <w:szCs w:val="14"/>
              </w:rPr>
              <w:t>.</w:t>
            </w:r>
            <w:r w:rsidRPr="003003C0">
              <w:rPr>
                <w:rFonts w:cs="Arial"/>
                <w:color w:val="000000"/>
                <w:sz w:val="14"/>
                <w:szCs w:val="14"/>
              </w:rPr>
              <w:t>7</w:t>
            </w:r>
          </w:p>
        </w:tc>
        <w:tc>
          <w:tcPr>
            <w:tcW w:w="786" w:type="dxa"/>
            <w:noWrap/>
            <w:vAlign w:val="center"/>
            <w:hideMark/>
          </w:tcPr>
          <w:p w14:paraId="3434BE2E" w14:textId="77777777" w:rsidR="004F64EF" w:rsidRPr="003003C0" w:rsidRDefault="004F64EF" w:rsidP="00FD6B66">
            <w:pPr>
              <w:jc w:val="right"/>
              <w:rPr>
                <w:rFonts w:cs="Arial"/>
                <w:color w:val="000000"/>
                <w:sz w:val="14"/>
                <w:szCs w:val="14"/>
              </w:rPr>
            </w:pPr>
            <w:r w:rsidRPr="003003C0">
              <w:rPr>
                <w:rFonts w:cs="Arial"/>
                <w:color w:val="000000"/>
                <w:sz w:val="14"/>
                <w:szCs w:val="14"/>
              </w:rPr>
              <w:t>5</w:t>
            </w:r>
            <w:r>
              <w:rPr>
                <w:rFonts w:cs="Arial"/>
                <w:color w:val="000000"/>
                <w:sz w:val="14"/>
                <w:szCs w:val="14"/>
              </w:rPr>
              <w:t>.</w:t>
            </w:r>
            <w:r w:rsidRPr="003003C0">
              <w:rPr>
                <w:rFonts w:cs="Arial"/>
                <w:color w:val="000000"/>
                <w:sz w:val="14"/>
                <w:szCs w:val="14"/>
              </w:rPr>
              <w:t>3</w:t>
            </w:r>
          </w:p>
        </w:tc>
        <w:tc>
          <w:tcPr>
            <w:tcW w:w="786" w:type="dxa"/>
            <w:noWrap/>
            <w:vAlign w:val="center"/>
            <w:hideMark/>
          </w:tcPr>
          <w:p w14:paraId="6670B005" w14:textId="77777777" w:rsidR="004F64EF" w:rsidRPr="003003C0" w:rsidRDefault="004F64EF" w:rsidP="00FD6B66">
            <w:pPr>
              <w:jc w:val="right"/>
              <w:rPr>
                <w:rFonts w:cs="Arial"/>
                <w:color w:val="000000"/>
                <w:sz w:val="14"/>
                <w:szCs w:val="14"/>
              </w:rPr>
            </w:pPr>
            <w:r w:rsidRPr="003003C0">
              <w:rPr>
                <w:rFonts w:cs="Arial"/>
                <w:color w:val="000000"/>
                <w:sz w:val="14"/>
                <w:szCs w:val="14"/>
              </w:rPr>
              <w:t>4</w:t>
            </w:r>
            <w:r>
              <w:rPr>
                <w:rFonts w:cs="Arial"/>
                <w:color w:val="000000"/>
                <w:sz w:val="14"/>
                <w:szCs w:val="14"/>
              </w:rPr>
              <w:t>.</w:t>
            </w:r>
            <w:r w:rsidRPr="003003C0">
              <w:rPr>
                <w:rFonts w:cs="Arial"/>
                <w:color w:val="000000"/>
                <w:sz w:val="14"/>
                <w:szCs w:val="14"/>
              </w:rPr>
              <w:t>2</w:t>
            </w:r>
          </w:p>
        </w:tc>
        <w:tc>
          <w:tcPr>
            <w:tcW w:w="785" w:type="dxa"/>
            <w:noWrap/>
            <w:vAlign w:val="center"/>
            <w:hideMark/>
          </w:tcPr>
          <w:p w14:paraId="0C1D8A55" w14:textId="77777777" w:rsidR="004F64EF" w:rsidRPr="003003C0" w:rsidRDefault="004F64EF" w:rsidP="00FD6B66">
            <w:pPr>
              <w:jc w:val="right"/>
              <w:rPr>
                <w:rFonts w:cs="Arial"/>
                <w:color w:val="000000"/>
                <w:sz w:val="14"/>
                <w:szCs w:val="14"/>
              </w:rPr>
            </w:pPr>
            <w:r w:rsidRPr="003003C0">
              <w:rPr>
                <w:rFonts w:cs="Arial"/>
                <w:color w:val="000000"/>
                <w:sz w:val="14"/>
                <w:szCs w:val="14"/>
              </w:rPr>
              <w:t>4</w:t>
            </w:r>
            <w:r>
              <w:rPr>
                <w:rFonts w:cs="Arial"/>
                <w:color w:val="000000"/>
                <w:sz w:val="14"/>
                <w:szCs w:val="14"/>
              </w:rPr>
              <w:t>.</w:t>
            </w:r>
            <w:r w:rsidRPr="003003C0">
              <w:rPr>
                <w:rFonts w:cs="Arial"/>
                <w:color w:val="000000"/>
                <w:sz w:val="14"/>
                <w:szCs w:val="14"/>
              </w:rPr>
              <w:t>5</w:t>
            </w:r>
          </w:p>
        </w:tc>
        <w:tc>
          <w:tcPr>
            <w:tcW w:w="786" w:type="dxa"/>
            <w:noWrap/>
            <w:vAlign w:val="center"/>
            <w:hideMark/>
          </w:tcPr>
          <w:p w14:paraId="6450A28A" w14:textId="77777777" w:rsidR="004F64EF" w:rsidRPr="003003C0" w:rsidRDefault="004F64EF" w:rsidP="00FD6B66">
            <w:pPr>
              <w:jc w:val="right"/>
              <w:rPr>
                <w:rFonts w:cs="Arial"/>
                <w:color w:val="000000"/>
                <w:sz w:val="14"/>
                <w:szCs w:val="14"/>
              </w:rPr>
            </w:pPr>
            <w:r w:rsidRPr="003003C0">
              <w:rPr>
                <w:rFonts w:cs="Arial"/>
                <w:color w:val="000000"/>
                <w:sz w:val="14"/>
                <w:szCs w:val="14"/>
              </w:rPr>
              <w:t>4</w:t>
            </w:r>
            <w:r>
              <w:rPr>
                <w:rFonts w:cs="Arial"/>
                <w:color w:val="000000"/>
                <w:sz w:val="14"/>
                <w:szCs w:val="14"/>
              </w:rPr>
              <w:t>.</w:t>
            </w:r>
            <w:r w:rsidRPr="003003C0">
              <w:rPr>
                <w:rFonts w:cs="Arial"/>
                <w:color w:val="000000"/>
                <w:sz w:val="14"/>
                <w:szCs w:val="14"/>
              </w:rPr>
              <w:t>2</w:t>
            </w:r>
          </w:p>
        </w:tc>
        <w:tc>
          <w:tcPr>
            <w:tcW w:w="786" w:type="dxa"/>
            <w:noWrap/>
            <w:vAlign w:val="center"/>
            <w:hideMark/>
          </w:tcPr>
          <w:p w14:paraId="047862CD" w14:textId="77777777" w:rsidR="004F64EF" w:rsidRPr="003003C0" w:rsidRDefault="004F64EF" w:rsidP="00FD6B66">
            <w:pPr>
              <w:jc w:val="right"/>
              <w:rPr>
                <w:rFonts w:cs="Arial"/>
                <w:color w:val="000000"/>
                <w:sz w:val="14"/>
                <w:szCs w:val="14"/>
              </w:rPr>
            </w:pPr>
            <w:r w:rsidRPr="003003C0">
              <w:rPr>
                <w:rFonts w:cs="Arial"/>
                <w:color w:val="000000"/>
                <w:sz w:val="14"/>
                <w:szCs w:val="14"/>
              </w:rPr>
              <w:t>3</w:t>
            </w:r>
            <w:r>
              <w:rPr>
                <w:rFonts w:cs="Arial"/>
                <w:color w:val="000000"/>
                <w:sz w:val="14"/>
                <w:szCs w:val="14"/>
              </w:rPr>
              <w:t>.</w:t>
            </w:r>
            <w:r w:rsidRPr="003003C0">
              <w:rPr>
                <w:rFonts w:cs="Arial"/>
                <w:color w:val="000000"/>
                <w:sz w:val="14"/>
                <w:szCs w:val="14"/>
              </w:rPr>
              <w:t>6</w:t>
            </w:r>
          </w:p>
        </w:tc>
        <w:tc>
          <w:tcPr>
            <w:tcW w:w="786" w:type="dxa"/>
            <w:noWrap/>
            <w:vAlign w:val="center"/>
            <w:hideMark/>
          </w:tcPr>
          <w:p w14:paraId="1972FDB5" w14:textId="77777777" w:rsidR="004F64EF" w:rsidRPr="003003C0" w:rsidRDefault="004F64EF" w:rsidP="00FD6B66">
            <w:pPr>
              <w:jc w:val="right"/>
              <w:rPr>
                <w:rFonts w:cs="Arial"/>
                <w:color w:val="000000"/>
                <w:sz w:val="14"/>
                <w:szCs w:val="14"/>
              </w:rPr>
            </w:pPr>
            <w:r w:rsidRPr="003003C0">
              <w:rPr>
                <w:rFonts w:cs="Arial"/>
                <w:color w:val="000000"/>
                <w:sz w:val="14"/>
                <w:szCs w:val="14"/>
              </w:rPr>
              <w:t>3</w:t>
            </w:r>
            <w:r>
              <w:rPr>
                <w:rFonts w:cs="Arial"/>
                <w:color w:val="000000"/>
                <w:sz w:val="14"/>
                <w:szCs w:val="14"/>
              </w:rPr>
              <w:t>.</w:t>
            </w:r>
            <w:r w:rsidRPr="003003C0">
              <w:rPr>
                <w:rFonts w:cs="Arial"/>
                <w:color w:val="000000"/>
                <w:sz w:val="14"/>
                <w:szCs w:val="14"/>
              </w:rPr>
              <w:t>8</w:t>
            </w:r>
          </w:p>
        </w:tc>
      </w:tr>
      <w:tr w:rsidR="004F64EF" w:rsidRPr="003003C0" w14:paraId="1A043CA5" w14:textId="77777777" w:rsidTr="00FD6B66">
        <w:trPr>
          <w:trHeight w:val="20"/>
        </w:trPr>
        <w:tc>
          <w:tcPr>
            <w:tcW w:w="3516" w:type="dxa"/>
            <w:noWrap/>
            <w:vAlign w:val="center"/>
            <w:hideMark/>
          </w:tcPr>
          <w:p w14:paraId="09941FB3" w14:textId="77777777" w:rsidR="004F64EF" w:rsidRPr="003003C0" w:rsidRDefault="004F64EF" w:rsidP="00FD6B66">
            <w:pPr>
              <w:tabs>
                <w:tab w:val="left" w:pos="510"/>
              </w:tabs>
              <w:jc w:val="left"/>
              <w:rPr>
                <w:rFonts w:cs="Arial"/>
                <w:color w:val="000000"/>
                <w:sz w:val="14"/>
                <w:szCs w:val="14"/>
              </w:rPr>
            </w:pPr>
            <w:r w:rsidRPr="003003C0">
              <w:rPr>
                <w:rFonts w:cs="Arial"/>
                <w:color w:val="000000"/>
                <w:sz w:val="14"/>
                <w:szCs w:val="14"/>
              </w:rPr>
              <w:tab/>
              <w:t>Colombia</w:t>
            </w:r>
          </w:p>
        </w:tc>
        <w:tc>
          <w:tcPr>
            <w:tcW w:w="785" w:type="dxa"/>
            <w:noWrap/>
            <w:vAlign w:val="center"/>
            <w:hideMark/>
          </w:tcPr>
          <w:p w14:paraId="1290BB1F" w14:textId="77777777" w:rsidR="004F64EF" w:rsidRPr="003003C0" w:rsidRDefault="004F64EF" w:rsidP="00FD6B66">
            <w:pPr>
              <w:jc w:val="right"/>
              <w:rPr>
                <w:rFonts w:cs="Arial"/>
                <w:color w:val="000000"/>
                <w:sz w:val="14"/>
                <w:szCs w:val="14"/>
              </w:rPr>
            </w:pPr>
            <w:r w:rsidRPr="003003C0">
              <w:rPr>
                <w:rFonts w:cs="Arial"/>
                <w:color w:val="000000"/>
                <w:sz w:val="14"/>
                <w:szCs w:val="14"/>
              </w:rPr>
              <w:t>2</w:t>
            </w:r>
            <w:r>
              <w:rPr>
                <w:rFonts w:cs="Arial"/>
                <w:color w:val="000000"/>
                <w:sz w:val="14"/>
                <w:szCs w:val="14"/>
              </w:rPr>
              <w:t>.</w:t>
            </w:r>
            <w:r w:rsidRPr="003003C0">
              <w:rPr>
                <w:rFonts w:cs="Arial"/>
                <w:color w:val="000000"/>
                <w:sz w:val="14"/>
                <w:szCs w:val="14"/>
              </w:rPr>
              <w:t>4</w:t>
            </w:r>
          </w:p>
        </w:tc>
        <w:tc>
          <w:tcPr>
            <w:tcW w:w="786" w:type="dxa"/>
            <w:noWrap/>
            <w:vAlign w:val="center"/>
            <w:hideMark/>
          </w:tcPr>
          <w:p w14:paraId="5567445D" w14:textId="77777777" w:rsidR="004F64EF" w:rsidRPr="003003C0" w:rsidRDefault="004F64EF" w:rsidP="00FD6B66">
            <w:pPr>
              <w:jc w:val="right"/>
              <w:rPr>
                <w:rFonts w:cs="Arial"/>
                <w:color w:val="000000"/>
                <w:sz w:val="14"/>
                <w:szCs w:val="14"/>
              </w:rPr>
            </w:pPr>
            <w:r w:rsidRPr="003003C0">
              <w:rPr>
                <w:rFonts w:cs="Arial"/>
                <w:color w:val="000000"/>
                <w:sz w:val="14"/>
                <w:szCs w:val="14"/>
              </w:rPr>
              <w:t>2</w:t>
            </w:r>
            <w:r>
              <w:rPr>
                <w:rFonts w:cs="Arial"/>
                <w:color w:val="000000"/>
                <w:sz w:val="14"/>
                <w:szCs w:val="14"/>
              </w:rPr>
              <w:t>.</w:t>
            </w:r>
            <w:r w:rsidRPr="003003C0">
              <w:rPr>
                <w:rFonts w:cs="Arial"/>
                <w:color w:val="000000"/>
                <w:sz w:val="14"/>
                <w:szCs w:val="14"/>
              </w:rPr>
              <w:t>2</w:t>
            </w:r>
          </w:p>
        </w:tc>
        <w:tc>
          <w:tcPr>
            <w:tcW w:w="786" w:type="dxa"/>
            <w:noWrap/>
            <w:vAlign w:val="center"/>
            <w:hideMark/>
          </w:tcPr>
          <w:p w14:paraId="75B69526" w14:textId="77777777" w:rsidR="004F64EF" w:rsidRPr="003003C0" w:rsidRDefault="004F64EF" w:rsidP="00FD6B66">
            <w:pPr>
              <w:jc w:val="right"/>
              <w:rPr>
                <w:rFonts w:cs="Arial"/>
                <w:color w:val="000000"/>
                <w:sz w:val="14"/>
                <w:szCs w:val="14"/>
              </w:rPr>
            </w:pPr>
            <w:r w:rsidRPr="003003C0">
              <w:rPr>
                <w:rFonts w:cs="Arial"/>
                <w:color w:val="000000"/>
                <w:sz w:val="14"/>
                <w:szCs w:val="14"/>
              </w:rPr>
              <w:t>2</w:t>
            </w:r>
            <w:r>
              <w:rPr>
                <w:rFonts w:cs="Arial"/>
                <w:color w:val="000000"/>
                <w:sz w:val="14"/>
                <w:szCs w:val="14"/>
              </w:rPr>
              <w:t>.</w:t>
            </w:r>
            <w:r w:rsidRPr="003003C0">
              <w:rPr>
                <w:rFonts w:cs="Arial"/>
                <w:color w:val="000000"/>
                <w:sz w:val="14"/>
                <w:szCs w:val="14"/>
              </w:rPr>
              <w:t>5</w:t>
            </w:r>
          </w:p>
        </w:tc>
        <w:tc>
          <w:tcPr>
            <w:tcW w:w="785" w:type="dxa"/>
            <w:noWrap/>
            <w:vAlign w:val="center"/>
            <w:hideMark/>
          </w:tcPr>
          <w:p w14:paraId="7884CC2F" w14:textId="77777777" w:rsidR="004F64EF" w:rsidRPr="003003C0" w:rsidRDefault="004F64EF" w:rsidP="00FD6B66">
            <w:pPr>
              <w:jc w:val="right"/>
              <w:rPr>
                <w:rFonts w:cs="Arial"/>
                <w:color w:val="000000"/>
                <w:sz w:val="14"/>
                <w:szCs w:val="14"/>
              </w:rPr>
            </w:pPr>
            <w:r w:rsidRPr="003003C0">
              <w:rPr>
                <w:rFonts w:cs="Arial"/>
                <w:color w:val="000000"/>
                <w:sz w:val="14"/>
                <w:szCs w:val="14"/>
              </w:rPr>
              <w:t>2</w:t>
            </w:r>
            <w:r>
              <w:rPr>
                <w:rFonts w:cs="Arial"/>
                <w:color w:val="000000"/>
                <w:sz w:val="14"/>
                <w:szCs w:val="14"/>
              </w:rPr>
              <w:t>.</w:t>
            </w:r>
            <w:r w:rsidRPr="003003C0">
              <w:rPr>
                <w:rFonts w:cs="Arial"/>
                <w:color w:val="000000"/>
                <w:sz w:val="14"/>
                <w:szCs w:val="14"/>
              </w:rPr>
              <w:t>4</w:t>
            </w:r>
          </w:p>
        </w:tc>
        <w:tc>
          <w:tcPr>
            <w:tcW w:w="786" w:type="dxa"/>
            <w:noWrap/>
            <w:vAlign w:val="center"/>
            <w:hideMark/>
          </w:tcPr>
          <w:p w14:paraId="199A312B" w14:textId="77777777" w:rsidR="004F64EF" w:rsidRPr="003003C0" w:rsidRDefault="004F64EF" w:rsidP="00FD6B66">
            <w:pPr>
              <w:jc w:val="right"/>
              <w:rPr>
                <w:rFonts w:cs="Arial"/>
                <w:color w:val="000000"/>
                <w:sz w:val="14"/>
                <w:szCs w:val="14"/>
              </w:rPr>
            </w:pPr>
            <w:r w:rsidRPr="003003C0">
              <w:rPr>
                <w:rFonts w:cs="Arial"/>
                <w:color w:val="000000"/>
                <w:sz w:val="14"/>
                <w:szCs w:val="14"/>
              </w:rPr>
              <w:t>2</w:t>
            </w:r>
            <w:r>
              <w:rPr>
                <w:rFonts w:cs="Arial"/>
                <w:color w:val="000000"/>
                <w:sz w:val="14"/>
                <w:szCs w:val="14"/>
              </w:rPr>
              <w:t>.</w:t>
            </w:r>
            <w:r w:rsidRPr="003003C0">
              <w:rPr>
                <w:rFonts w:cs="Arial"/>
                <w:color w:val="000000"/>
                <w:sz w:val="14"/>
                <w:szCs w:val="14"/>
              </w:rPr>
              <w:t>4</w:t>
            </w:r>
          </w:p>
        </w:tc>
        <w:tc>
          <w:tcPr>
            <w:tcW w:w="786" w:type="dxa"/>
            <w:noWrap/>
            <w:vAlign w:val="center"/>
            <w:hideMark/>
          </w:tcPr>
          <w:p w14:paraId="4B5D0F78" w14:textId="77777777" w:rsidR="004F64EF" w:rsidRPr="003003C0" w:rsidRDefault="004F64EF" w:rsidP="00FD6B66">
            <w:pPr>
              <w:jc w:val="right"/>
              <w:rPr>
                <w:rFonts w:cs="Arial"/>
                <w:color w:val="000000"/>
                <w:sz w:val="14"/>
                <w:szCs w:val="14"/>
              </w:rPr>
            </w:pPr>
            <w:r w:rsidRPr="003003C0">
              <w:rPr>
                <w:rFonts w:cs="Arial"/>
                <w:color w:val="000000"/>
                <w:sz w:val="14"/>
                <w:szCs w:val="14"/>
              </w:rPr>
              <w:t>2</w:t>
            </w:r>
            <w:r>
              <w:rPr>
                <w:rFonts w:cs="Arial"/>
                <w:color w:val="000000"/>
                <w:sz w:val="14"/>
                <w:szCs w:val="14"/>
              </w:rPr>
              <w:t>.</w:t>
            </w:r>
            <w:r w:rsidRPr="003003C0">
              <w:rPr>
                <w:rFonts w:cs="Arial"/>
                <w:color w:val="000000"/>
                <w:sz w:val="14"/>
                <w:szCs w:val="14"/>
              </w:rPr>
              <w:t>7</w:t>
            </w:r>
          </w:p>
        </w:tc>
        <w:tc>
          <w:tcPr>
            <w:tcW w:w="786" w:type="dxa"/>
            <w:noWrap/>
            <w:vAlign w:val="center"/>
            <w:hideMark/>
          </w:tcPr>
          <w:p w14:paraId="4C27480F" w14:textId="77777777" w:rsidR="004F64EF" w:rsidRPr="003003C0" w:rsidRDefault="004F64EF" w:rsidP="00FD6B66">
            <w:pPr>
              <w:jc w:val="right"/>
              <w:rPr>
                <w:rFonts w:cs="Arial"/>
                <w:color w:val="000000"/>
                <w:sz w:val="14"/>
                <w:szCs w:val="14"/>
              </w:rPr>
            </w:pPr>
            <w:r w:rsidRPr="003003C0">
              <w:rPr>
                <w:rFonts w:cs="Arial"/>
                <w:color w:val="000000"/>
                <w:sz w:val="14"/>
                <w:szCs w:val="14"/>
              </w:rPr>
              <w:t>2</w:t>
            </w:r>
            <w:r>
              <w:rPr>
                <w:rFonts w:cs="Arial"/>
                <w:color w:val="000000"/>
                <w:sz w:val="14"/>
                <w:szCs w:val="14"/>
              </w:rPr>
              <w:t>.</w:t>
            </w:r>
            <w:r w:rsidRPr="003003C0">
              <w:rPr>
                <w:rFonts w:cs="Arial"/>
                <w:color w:val="000000"/>
                <w:sz w:val="14"/>
                <w:szCs w:val="14"/>
              </w:rPr>
              <w:t>7</w:t>
            </w:r>
          </w:p>
        </w:tc>
      </w:tr>
      <w:tr w:rsidR="004F64EF" w:rsidRPr="003003C0" w14:paraId="7968A054" w14:textId="77777777" w:rsidTr="00FD6B66">
        <w:trPr>
          <w:cnfStyle w:val="000000010000" w:firstRow="0" w:lastRow="0" w:firstColumn="0" w:lastColumn="0" w:oddVBand="0" w:evenVBand="0" w:oddHBand="0" w:evenHBand="1" w:firstRowFirstColumn="0" w:firstRowLastColumn="0" w:lastRowFirstColumn="0" w:lastRowLastColumn="0"/>
          <w:trHeight w:val="20"/>
        </w:trPr>
        <w:tc>
          <w:tcPr>
            <w:tcW w:w="3516" w:type="dxa"/>
            <w:noWrap/>
            <w:vAlign w:val="center"/>
            <w:hideMark/>
          </w:tcPr>
          <w:p w14:paraId="2F974D93" w14:textId="77777777" w:rsidR="004F64EF" w:rsidRPr="003003C0" w:rsidRDefault="004F64EF" w:rsidP="00FD6B66">
            <w:pPr>
              <w:tabs>
                <w:tab w:val="left" w:pos="510"/>
              </w:tabs>
              <w:jc w:val="left"/>
              <w:rPr>
                <w:rFonts w:cs="Arial"/>
                <w:color w:val="000000"/>
                <w:sz w:val="14"/>
                <w:szCs w:val="14"/>
              </w:rPr>
            </w:pPr>
            <w:r w:rsidRPr="003003C0">
              <w:rPr>
                <w:rFonts w:cs="Arial"/>
                <w:color w:val="000000"/>
                <w:sz w:val="14"/>
                <w:szCs w:val="14"/>
              </w:rPr>
              <w:tab/>
              <w:t>Argentina</w:t>
            </w:r>
          </w:p>
        </w:tc>
        <w:tc>
          <w:tcPr>
            <w:tcW w:w="785" w:type="dxa"/>
            <w:noWrap/>
            <w:vAlign w:val="center"/>
            <w:hideMark/>
          </w:tcPr>
          <w:p w14:paraId="5A87CCC1"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8</w:t>
            </w:r>
          </w:p>
        </w:tc>
        <w:tc>
          <w:tcPr>
            <w:tcW w:w="786" w:type="dxa"/>
            <w:noWrap/>
            <w:vAlign w:val="center"/>
            <w:hideMark/>
          </w:tcPr>
          <w:p w14:paraId="26C6E57A" w14:textId="77777777" w:rsidR="004F64EF" w:rsidRPr="003003C0" w:rsidRDefault="004F64EF" w:rsidP="00FD6B66">
            <w:pPr>
              <w:jc w:val="right"/>
              <w:rPr>
                <w:rFonts w:cs="Arial"/>
                <w:color w:val="000000"/>
                <w:sz w:val="14"/>
                <w:szCs w:val="14"/>
              </w:rPr>
            </w:pPr>
            <w:r w:rsidRPr="003003C0">
              <w:rPr>
                <w:rFonts w:cs="Arial"/>
                <w:color w:val="000000"/>
                <w:sz w:val="14"/>
                <w:szCs w:val="14"/>
              </w:rPr>
              <w:t>1</w:t>
            </w:r>
            <w:r>
              <w:rPr>
                <w:rFonts w:cs="Arial"/>
                <w:color w:val="000000"/>
                <w:sz w:val="14"/>
                <w:szCs w:val="14"/>
              </w:rPr>
              <w:t>.</w:t>
            </w:r>
            <w:r w:rsidRPr="003003C0">
              <w:rPr>
                <w:rFonts w:cs="Arial"/>
                <w:color w:val="000000"/>
                <w:sz w:val="14"/>
                <w:szCs w:val="14"/>
              </w:rPr>
              <w:t>0</w:t>
            </w:r>
          </w:p>
        </w:tc>
        <w:tc>
          <w:tcPr>
            <w:tcW w:w="786" w:type="dxa"/>
            <w:noWrap/>
            <w:vAlign w:val="center"/>
            <w:hideMark/>
          </w:tcPr>
          <w:p w14:paraId="375E393C"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8</w:t>
            </w:r>
          </w:p>
        </w:tc>
        <w:tc>
          <w:tcPr>
            <w:tcW w:w="785" w:type="dxa"/>
            <w:noWrap/>
            <w:vAlign w:val="center"/>
            <w:hideMark/>
          </w:tcPr>
          <w:p w14:paraId="34C68A50"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7</w:t>
            </w:r>
          </w:p>
        </w:tc>
        <w:tc>
          <w:tcPr>
            <w:tcW w:w="786" w:type="dxa"/>
            <w:noWrap/>
            <w:vAlign w:val="center"/>
            <w:hideMark/>
          </w:tcPr>
          <w:p w14:paraId="3FB4FEE5" w14:textId="77777777" w:rsidR="004F64EF" w:rsidRPr="003003C0" w:rsidRDefault="004F64EF" w:rsidP="00FD6B66">
            <w:pPr>
              <w:jc w:val="right"/>
              <w:rPr>
                <w:rFonts w:cs="Arial"/>
                <w:color w:val="000000"/>
                <w:sz w:val="14"/>
                <w:szCs w:val="14"/>
              </w:rPr>
            </w:pPr>
            <w:r w:rsidRPr="003003C0">
              <w:rPr>
                <w:rFonts w:cs="Arial"/>
                <w:color w:val="000000"/>
                <w:sz w:val="14"/>
                <w:szCs w:val="14"/>
              </w:rPr>
              <w:t>1</w:t>
            </w:r>
            <w:r>
              <w:rPr>
                <w:rFonts w:cs="Arial"/>
                <w:color w:val="000000"/>
                <w:sz w:val="14"/>
                <w:szCs w:val="14"/>
              </w:rPr>
              <w:t>.</w:t>
            </w:r>
            <w:r w:rsidRPr="003003C0">
              <w:rPr>
                <w:rFonts w:cs="Arial"/>
                <w:color w:val="000000"/>
                <w:sz w:val="14"/>
                <w:szCs w:val="14"/>
              </w:rPr>
              <w:t>1</w:t>
            </w:r>
          </w:p>
        </w:tc>
        <w:tc>
          <w:tcPr>
            <w:tcW w:w="786" w:type="dxa"/>
            <w:noWrap/>
            <w:vAlign w:val="center"/>
            <w:hideMark/>
          </w:tcPr>
          <w:p w14:paraId="1DA37D3F"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9</w:t>
            </w:r>
          </w:p>
        </w:tc>
        <w:tc>
          <w:tcPr>
            <w:tcW w:w="786" w:type="dxa"/>
            <w:noWrap/>
            <w:vAlign w:val="center"/>
            <w:hideMark/>
          </w:tcPr>
          <w:p w14:paraId="24089C80" w14:textId="77777777" w:rsidR="004F64EF" w:rsidRPr="003003C0" w:rsidRDefault="004F64EF" w:rsidP="00FD6B66">
            <w:pPr>
              <w:jc w:val="right"/>
              <w:rPr>
                <w:rFonts w:cs="Arial"/>
                <w:color w:val="000000"/>
                <w:sz w:val="14"/>
                <w:szCs w:val="14"/>
              </w:rPr>
            </w:pPr>
            <w:r w:rsidRPr="003003C0">
              <w:rPr>
                <w:rFonts w:cs="Arial"/>
                <w:color w:val="000000"/>
                <w:sz w:val="14"/>
                <w:szCs w:val="14"/>
              </w:rPr>
              <w:t>1</w:t>
            </w:r>
            <w:r>
              <w:rPr>
                <w:rFonts w:cs="Arial"/>
                <w:color w:val="000000"/>
                <w:sz w:val="14"/>
                <w:szCs w:val="14"/>
              </w:rPr>
              <w:t>.</w:t>
            </w:r>
            <w:r w:rsidRPr="003003C0">
              <w:rPr>
                <w:rFonts w:cs="Arial"/>
                <w:color w:val="000000"/>
                <w:sz w:val="14"/>
                <w:szCs w:val="14"/>
              </w:rPr>
              <w:t>8</w:t>
            </w:r>
          </w:p>
        </w:tc>
      </w:tr>
      <w:tr w:rsidR="004F64EF" w:rsidRPr="003003C0" w14:paraId="66207525" w14:textId="77777777" w:rsidTr="00FD6B66">
        <w:trPr>
          <w:trHeight w:val="20"/>
        </w:trPr>
        <w:tc>
          <w:tcPr>
            <w:tcW w:w="3516" w:type="dxa"/>
            <w:noWrap/>
            <w:vAlign w:val="center"/>
            <w:hideMark/>
          </w:tcPr>
          <w:p w14:paraId="3DDBC1CF" w14:textId="77777777" w:rsidR="004F64EF" w:rsidRPr="003003C0" w:rsidRDefault="004F64EF" w:rsidP="00FD6B66">
            <w:pPr>
              <w:tabs>
                <w:tab w:val="left" w:pos="510"/>
              </w:tabs>
              <w:jc w:val="left"/>
              <w:rPr>
                <w:rFonts w:cs="Arial"/>
                <w:color w:val="000000"/>
                <w:sz w:val="14"/>
                <w:szCs w:val="14"/>
              </w:rPr>
            </w:pPr>
            <w:r w:rsidRPr="003003C0">
              <w:rPr>
                <w:rFonts w:cs="Arial"/>
                <w:color w:val="000000"/>
                <w:sz w:val="14"/>
                <w:szCs w:val="14"/>
              </w:rPr>
              <w:tab/>
              <w:t>Canad</w:t>
            </w:r>
            <w:r>
              <w:rPr>
                <w:rFonts w:cs="Arial"/>
                <w:color w:val="000000"/>
                <w:sz w:val="14"/>
                <w:szCs w:val="14"/>
              </w:rPr>
              <w:t>a</w:t>
            </w:r>
          </w:p>
        </w:tc>
        <w:tc>
          <w:tcPr>
            <w:tcW w:w="785" w:type="dxa"/>
            <w:noWrap/>
            <w:vAlign w:val="center"/>
            <w:hideMark/>
          </w:tcPr>
          <w:p w14:paraId="32A6EF74" w14:textId="77777777" w:rsidR="004F64EF" w:rsidRPr="003003C0" w:rsidRDefault="004F64EF" w:rsidP="00FD6B66">
            <w:pPr>
              <w:jc w:val="right"/>
              <w:rPr>
                <w:rFonts w:cs="Arial"/>
                <w:color w:val="000000"/>
                <w:sz w:val="14"/>
                <w:szCs w:val="14"/>
              </w:rPr>
            </w:pPr>
            <w:r w:rsidRPr="003003C0">
              <w:rPr>
                <w:rFonts w:cs="Arial"/>
                <w:color w:val="000000"/>
                <w:sz w:val="14"/>
                <w:szCs w:val="14"/>
              </w:rPr>
              <w:t>1</w:t>
            </w:r>
            <w:r>
              <w:rPr>
                <w:rFonts w:cs="Arial"/>
                <w:color w:val="000000"/>
                <w:sz w:val="14"/>
                <w:szCs w:val="14"/>
              </w:rPr>
              <w:t>.</w:t>
            </w:r>
            <w:r w:rsidRPr="003003C0">
              <w:rPr>
                <w:rFonts w:cs="Arial"/>
                <w:color w:val="000000"/>
                <w:sz w:val="14"/>
                <w:szCs w:val="14"/>
              </w:rPr>
              <w:t>3</w:t>
            </w:r>
          </w:p>
        </w:tc>
        <w:tc>
          <w:tcPr>
            <w:tcW w:w="786" w:type="dxa"/>
            <w:noWrap/>
            <w:vAlign w:val="center"/>
            <w:hideMark/>
          </w:tcPr>
          <w:p w14:paraId="493CF308" w14:textId="77777777" w:rsidR="004F64EF" w:rsidRPr="003003C0" w:rsidRDefault="004F64EF" w:rsidP="00FD6B66">
            <w:pPr>
              <w:jc w:val="right"/>
              <w:rPr>
                <w:rFonts w:cs="Arial"/>
                <w:color w:val="000000"/>
                <w:sz w:val="14"/>
                <w:szCs w:val="14"/>
              </w:rPr>
            </w:pPr>
            <w:r w:rsidRPr="003003C0">
              <w:rPr>
                <w:rFonts w:cs="Arial"/>
                <w:color w:val="000000"/>
                <w:sz w:val="14"/>
                <w:szCs w:val="14"/>
              </w:rPr>
              <w:t>1</w:t>
            </w:r>
            <w:r>
              <w:rPr>
                <w:rFonts w:cs="Arial"/>
                <w:color w:val="000000"/>
                <w:sz w:val="14"/>
                <w:szCs w:val="14"/>
              </w:rPr>
              <w:t>.</w:t>
            </w:r>
            <w:r w:rsidRPr="003003C0">
              <w:rPr>
                <w:rFonts w:cs="Arial"/>
                <w:color w:val="000000"/>
                <w:sz w:val="14"/>
                <w:szCs w:val="14"/>
              </w:rPr>
              <w:t>1</w:t>
            </w:r>
          </w:p>
        </w:tc>
        <w:tc>
          <w:tcPr>
            <w:tcW w:w="786" w:type="dxa"/>
            <w:noWrap/>
            <w:vAlign w:val="center"/>
            <w:hideMark/>
          </w:tcPr>
          <w:p w14:paraId="42445518" w14:textId="77777777" w:rsidR="004F64EF" w:rsidRPr="003003C0" w:rsidRDefault="004F64EF" w:rsidP="00FD6B66">
            <w:pPr>
              <w:jc w:val="right"/>
              <w:rPr>
                <w:rFonts w:cs="Arial"/>
                <w:color w:val="000000"/>
                <w:sz w:val="14"/>
                <w:szCs w:val="14"/>
              </w:rPr>
            </w:pPr>
            <w:r w:rsidRPr="003003C0">
              <w:rPr>
                <w:rFonts w:cs="Arial"/>
                <w:color w:val="000000"/>
                <w:sz w:val="14"/>
                <w:szCs w:val="14"/>
              </w:rPr>
              <w:t>1</w:t>
            </w:r>
            <w:r>
              <w:rPr>
                <w:rFonts w:cs="Arial"/>
                <w:color w:val="000000"/>
                <w:sz w:val="14"/>
                <w:szCs w:val="14"/>
              </w:rPr>
              <w:t>.</w:t>
            </w:r>
            <w:r w:rsidRPr="003003C0">
              <w:rPr>
                <w:rFonts w:cs="Arial"/>
                <w:color w:val="000000"/>
                <w:sz w:val="14"/>
                <w:szCs w:val="14"/>
              </w:rPr>
              <w:t>2</w:t>
            </w:r>
          </w:p>
        </w:tc>
        <w:tc>
          <w:tcPr>
            <w:tcW w:w="785" w:type="dxa"/>
            <w:noWrap/>
            <w:vAlign w:val="center"/>
            <w:hideMark/>
          </w:tcPr>
          <w:p w14:paraId="528155BB" w14:textId="77777777" w:rsidR="004F64EF" w:rsidRPr="003003C0" w:rsidRDefault="004F64EF" w:rsidP="00FD6B66">
            <w:pPr>
              <w:jc w:val="right"/>
              <w:rPr>
                <w:rFonts w:cs="Arial"/>
                <w:color w:val="000000"/>
                <w:sz w:val="14"/>
                <w:szCs w:val="14"/>
              </w:rPr>
            </w:pPr>
            <w:r w:rsidRPr="003003C0">
              <w:rPr>
                <w:rFonts w:cs="Arial"/>
                <w:color w:val="000000"/>
                <w:sz w:val="14"/>
                <w:szCs w:val="14"/>
              </w:rPr>
              <w:t>1</w:t>
            </w:r>
            <w:r>
              <w:rPr>
                <w:rFonts w:cs="Arial"/>
                <w:color w:val="000000"/>
                <w:sz w:val="14"/>
                <w:szCs w:val="14"/>
              </w:rPr>
              <w:t>.</w:t>
            </w:r>
            <w:r w:rsidRPr="003003C0">
              <w:rPr>
                <w:rFonts w:cs="Arial"/>
                <w:color w:val="000000"/>
                <w:sz w:val="14"/>
                <w:szCs w:val="14"/>
              </w:rPr>
              <w:t>2</w:t>
            </w:r>
          </w:p>
        </w:tc>
        <w:tc>
          <w:tcPr>
            <w:tcW w:w="786" w:type="dxa"/>
            <w:noWrap/>
            <w:vAlign w:val="center"/>
            <w:hideMark/>
          </w:tcPr>
          <w:p w14:paraId="46C2C2DF" w14:textId="77777777" w:rsidR="004F64EF" w:rsidRPr="003003C0" w:rsidRDefault="004F64EF" w:rsidP="00FD6B66">
            <w:pPr>
              <w:jc w:val="right"/>
              <w:rPr>
                <w:rFonts w:cs="Arial"/>
                <w:color w:val="000000"/>
                <w:sz w:val="14"/>
                <w:szCs w:val="14"/>
              </w:rPr>
            </w:pPr>
            <w:r w:rsidRPr="003003C0">
              <w:rPr>
                <w:rFonts w:cs="Arial"/>
                <w:color w:val="000000"/>
                <w:sz w:val="14"/>
                <w:szCs w:val="14"/>
              </w:rPr>
              <w:t>1</w:t>
            </w:r>
            <w:r>
              <w:rPr>
                <w:rFonts w:cs="Arial"/>
                <w:color w:val="000000"/>
                <w:sz w:val="14"/>
                <w:szCs w:val="14"/>
              </w:rPr>
              <w:t>.</w:t>
            </w:r>
            <w:r w:rsidRPr="003003C0">
              <w:rPr>
                <w:rFonts w:cs="Arial"/>
                <w:color w:val="000000"/>
                <w:sz w:val="14"/>
                <w:szCs w:val="14"/>
              </w:rPr>
              <w:t>4</w:t>
            </w:r>
          </w:p>
        </w:tc>
        <w:tc>
          <w:tcPr>
            <w:tcW w:w="786" w:type="dxa"/>
            <w:noWrap/>
            <w:vAlign w:val="center"/>
            <w:hideMark/>
          </w:tcPr>
          <w:p w14:paraId="38BAB9FB" w14:textId="77777777" w:rsidR="004F64EF" w:rsidRPr="003003C0" w:rsidRDefault="004F64EF" w:rsidP="00FD6B66">
            <w:pPr>
              <w:jc w:val="right"/>
              <w:rPr>
                <w:rFonts w:cs="Arial"/>
                <w:color w:val="000000"/>
                <w:sz w:val="14"/>
                <w:szCs w:val="14"/>
              </w:rPr>
            </w:pPr>
            <w:r w:rsidRPr="003003C0">
              <w:rPr>
                <w:rFonts w:cs="Arial"/>
                <w:color w:val="000000"/>
                <w:sz w:val="14"/>
                <w:szCs w:val="14"/>
              </w:rPr>
              <w:t>1</w:t>
            </w:r>
            <w:r>
              <w:rPr>
                <w:rFonts w:cs="Arial"/>
                <w:color w:val="000000"/>
                <w:sz w:val="14"/>
                <w:szCs w:val="14"/>
              </w:rPr>
              <w:t>.</w:t>
            </w:r>
            <w:r w:rsidRPr="003003C0">
              <w:rPr>
                <w:rFonts w:cs="Arial"/>
                <w:color w:val="000000"/>
                <w:sz w:val="14"/>
                <w:szCs w:val="14"/>
              </w:rPr>
              <w:t>6</w:t>
            </w:r>
          </w:p>
        </w:tc>
        <w:tc>
          <w:tcPr>
            <w:tcW w:w="786" w:type="dxa"/>
            <w:noWrap/>
            <w:vAlign w:val="center"/>
            <w:hideMark/>
          </w:tcPr>
          <w:p w14:paraId="6E7DAB45" w14:textId="77777777" w:rsidR="004F64EF" w:rsidRPr="003003C0" w:rsidRDefault="004F64EF" w:rsidP="00FD6B66">
            <w:pPr>
              <w:jc w:val="right"/>
              <w:rPr>
                <w:rFonts w:cs="Arial"/>
                <w:color w:val="000000"/>
                <w:sz w:val="14"/>
                <w:szCs w:val="14"/>
              </w:rPr>
            </w:pPr>
            <w:r w:rsidRPr="003003C0">
              <w:rPr>
                <w:rFonts w:cs="Arial"/>
                <w:color w:val="000000"/>
                <w:sz w:val="14"/>
                <w:szCs w:val="14"/>
              </w:rPr>
              <w:t>1</w:t>
            </w:r>
            <w:r>
              <w:rPr>
                <w:rFonts w:cs="Arial"/>
                <w:color w:val="000000"/>
                <w:sz w:val="14"/>
                <w:szCs w:val="14"/>
              </w:rPr>
              <w:t>.</w:t>
            </w:r>
            <w:r w:rsidRPr="003003C0">
              <w:rPr>
                <w:rFonts w:cs="Arial"/>
                <w:color w:val="000000"/>
                <w:sz w:val="14"/>
                <w:szCs w:val="14"/>
              </w:rPr>
              <w:t>4</w:t>
            </w:r>
          </w:p>
        </w:tc>
      </w:tr>
      <w:tr w:rsidR="004F64EF" w:rsidRPr="003003C0" w14:paraId="5E07113C" w14:textId="77777777" w:rsidTr="00FD6B66">
        <w:trPr>
          <w:cnfStyle w:val="000000010000" w:firstRow="0" w:lastRow="0" w:firstColumn="0" w:lastColumn="0" w:oddVBand="0" w:evenVBand="0" w:oddHBand="0" w:evenHBand="1" w:firstRowFirstColumn="0" w:firstRowLastColumn="0" w:lastRowFirstColumn="0" w:lastRowLastColumn="0"/>
          <w:trHeight w:val="20"/>
        </w:trPr>
        <w:tc>
          <w:tcPr>
            <w:tcW w:w="3516" w:type="dxa"/>
            <w:noWrap/>
            <w:vAlign w:val="center"/>
            <w:hideMark/>
          </w:tcPr>
          <w:p w14:paraId="063AE8AF" w14:textId="77777777" w:rsidR="004F64EF" w:rsidRPr="003003C0" w:rsidRDefault="004F64EF" w:rsidP="00FD6B66">
            <w:pPr>
              <w:tabs>
                <w:tab w:val="left" w:pos="510"/>
              </w:tabs>
              <w:jc w:val="left"/>
              <w:rPr>
                <w:rFonts w:cs="Arial"/>
                <w:color w:val="000000"/>
                <w:sz w:val="14"/>
                <w:szCs w:val="14"/>
              </w:rPr>
            </w:pPr>
            <w:r w:rsidRPr="003003C0">
              <w:rPr>
                <w:rFonts w:cs="Arial"/>
                <w:color w:val="000000"/>
                <w:sz w:val="14"/>
                <w:szCs w:val="14"/>
              </w:rPr>
              <w:tab/>
              <w:t>Costa Rica</w:t>
            </w:r>
          </w:p>
        </w:tc>
        <w:tc>
          <w:tcPr>
            <w:tcW w:w="785" w:type="dxa"/>
            <w:noWrap/>
            <w:vAlign w:val="center"/>
            <w:hideMark/>
          </w:tcPr>
          <w:p w14:paraId="1CFD25B1" w14:textId="77777777" w:rsidR="004F64EF" w:rsidRPr="003003C0" w:rsidRDefault="004F64EF" w:rsidP="00FD6B66">
            <w:pPr>
              <w:jc w:val="right"/>
              <w:rPr>
                <w:rFonts w:cs="Arial"/>
                <w:color w:val="000000"/>
                <w:sz w:val="14"/>
                <w:szCs w:val="14"/>
              </w:rPr>
            </w:pPr>
            <w:r w:rsidRPr="003003C0">
              <w:rPr>
                <w:rFonts w:cs="Arial"/>
                <w:color w:val="000000"/>
                <w:sz w:val="14"/>
                <w:szCs w:val="14"/>
              </w:rPr>
              <w:t>1</w:t>
            </w:r>
            <w:r>
              <w:rPr>
                <w:rFonts w:cs="Arial"/>
                <w:color w:val="000000"/>
                <w:sz w:val="14"/>
                <w:szCs w:val="14"/>
              </w:rPr>
              <w:t>.</w:t>
            </w:r>
            <w:r w:rsidRPr="003003C0">
              <w:rPr>
                <w:rFonts w:cs="Arial"/>
                <w:color w:val="000000"/>
                <w:sz w:val="14"/>
                <w:szCs w:val="14"/>
              </w:rPr>
              <w:t>5</w:t>
            </w:r>
          </w:p>
        </w:tc>
        <w:tc>
          <w:tcPr>
            <w:tcW w:w="786" w:type="dxa"/>
            <w:noWrap/>
            <w:vAlign w:val="center"/>
            <w:hideMark/>
          </w:tcPr>
          <w:p w14:paraId="369BBFE8" w14:textId="77777777" w:rsidR="004F64EF" w:rsidRPr="003003C0" w:rsidRDefault="004F64EF" w:rsidP="00FD6B66">
            <w:pPr>
              <w:jc w:val="right"/>
              <w:rPr>
                <w:rFonts w:cs="Arial"/>
                <w:color w:val="000000"/>
                <w:sz w:val="14"/>
                <w:szCs w:val="14"/>
              </w:rPr>
            </w:pPr>
            <w:r w:rsidRPr="003003C0">
              <w:rPr>
                <w:rFonts w:cs="Arial"/>
                <w:color w:val="000000"/>
                <w:sz w:val="14"/>
                <w:szCs w:val="14"/>
              </w:rPr>
              <w:t>1</w:t>
            </w:r>
            <w:r>
              <w:rPr>
                <w:rFonts w:cs="Arial"/>
                <w:color w:val="000000"/>
                <w:sz w:val="14"/>
                <w:szCs w:val="14"/>
              </w:rPr>
              <w:t>.</w:t>
            </w:r>
            <w:r w:rsidRPr="003003C0">
              <w:rPr>
                <w:rFonts w:cs="Arial"/>
                <w:color w:val="000000"/>
                <w:sz w:val="14"/>
                <w:szCs w:val="14"/>
              </w:rPr>
              <w:t>4</w:t>
            </w:r>
          </w:p>
        </w:tc>
        <w:tc>
          <w:tcPr>
            <w:tcW w:w="786" w:type="dxa"/>
            <w:noWrap/>
            <w:vAlign w:val="center"/>
            <w:hideMark/>
          </w:tcPr>
          <w:p w14:paraId="101E0180" w14:textId="77777777" w:rsidR="004F64EF" w:rsidRPr="003003C0" w:rsidRDefault="004F64EF" w:rsidP="00FD6B66">
            <w:pPr>
              <w:jc w:val="right"/>
              <w:rPr>
                <w:rFonts w:cs="Arial"/>
                <w:color w:val="000000"/>
                <w:sz w:val="14"/>
                <w:szCs w:val="14"/>
              </w:rPr>
            </w:pPr>
            <w:r w:rsidRPr="003003C0">
              <w:rPr>
                <w:rFonts w:cs="Arial"/>
                <w:color w:val="000000"/>
                <w:sz w:val="14"/>
                <w:szCs w:val="14"/>
              </w:rPr>
              <w:t>1</w:t>
            </w:r>
            <w:r>
              <w:rPr>
                <w:rFonts w:cs="Arial"/>
                <w:color w:val="000000"/>
                <w:sz w:val="14"/>
                <w:szCs w:val="14"/>
              </w:rPr>
              <w:t>.</w:t>
            </w:r>
            <w:r w:rsidRPr="003003C0">
              <w:rPr>
                <w:rFonts w:cs="Arial"/>
                <w:color w:val="000000"/>
                <w:sz w:val="14"/>
                <w:szCs w:val="14"/>
              </w:rPr>
              <w:t>4</w:t>
            </w:r>
          </w:p>
        </w:tc>
        <w:tc>
          <w:tcPr>
            <w:tcW w:w="785" w:type="dxa"/>
            <w:noWrap/>
            <w:vAlign w:val="center"/>
            <w:hideMark/>
          </w:tcPr>
          <w:p w14:paraId="6A2C3349" w14:textId="77777777" w:rsidR="004F64EF" w:rsidRPr="003003C0" w:rsidRDefault="004F64EF" w:rsidP="00FD6B66">
            <w:pPr>
              <w:jc w:val="right"/>
              <w:rPr>
                <w:rFonts w:cs="Arial"/>
                <w:color w:val="000000"/>
                <w:sz w:val="14"/>
                <w:szCs w:val="14"/>
              </w:rPr>
            </w:pPr>
            <w:r w:rsidRPr="003003C0">
              <w:rPr>
                <w:rFonts w:cs="Arial"/>
                <w:color w:val="000000"/>
                <w:sz w:val="14"/>
                <w:szCs w:val="14"/>
              </w:rPr>
              <w:t>1</w:t>
            </w:r>
            <w:r>
              <w:rPr>
                <w:rFonts w:cs="Arial"/>
                <w:color w:val="000000"/>
                <w:sz w:val="14"/>
                <w:szCs w:val="14"/>
              </w:rPr>
              <w:t>.</w:t>
            </w:r>
            <w:r w:rsidRPr="003003C0">
              <w:rPr>
                <w:rFonts w:cs="Arial"/>
                <w:color w:val="000000"/>
                <w:sz w:val="14"/>
                <w:szCs w:val="14"/>
              </w:rPr>
              <w:t>3</w:t>
            </w:r>
          </w:p>
        </w:tc>
        <w:tc>
          <w:tcPr>
            <w:tcW w:w="786" w:type="dxa"/>
            <w:noWrap/>
            <w:vAlign w:val="center"/>
            <w:hideMark/>
          </w:tcPr>
          <w:p w14:paraId="3CB862AB" w14:textId="77777777" w:rsidR="004F64EF" w:rsidRPr="003003C0" w:rsidRDefault="004F64EF" w:rsidP="00FD6B66">
            <w:pPr>
              <w:jc w:val="right"/>
              <w:rPr>
                <w:rFonts w:cs="Arial"/>
                <w:color w:val="000000"/>
                <w:sz w:val="14"/>
                <w:szCs w:val="14"/>
              </w:rPr>
            </w:pPr>
            <w:r w:rsidRPr="003003C0">
              <w:rPr>
                <w:rFonts w:cs="Arial"/>
                <w:color w:val="000000"/>
                <w:sz w:val="14"/>
                <w:szCs w:val="14"/>
              </w:rPr>
              <w:t>1</w:t>
            </w:r>
            <w:r>
              <w:rPr>
                <w:rFonts w:cs="Arial"/>
                <w:color w:val="000000"/>
                <w:sz w:val="14"/>
                <w:szCs w:val="14"/>
              </w:rPr>
              <w:t>.</w:t>
            </w:r>
            <w:r w:rsidRPr="003003C0">
              <w:rPr>
                <w:rFonts w:cs="Arial"/>
                <w:color w:val="000000"/>
                <w:sz w:val="14"/>
                <w:szCs w:val="14"/>
              </w:rPr>
              <w:t>3</w:t>
            </w:r>
          </w:p>
        </w:tc>
        <w:tc>
          <w:tcPr>
            <w:tcW w:w="786" w:type="dxa"/>
            <w:noWrap/>
            <w:vAlign w:val="center"/>
            <w:hideMark/>
          </w:tcPr>
          <w:p w14:paraId="08AE0A39" w14:textId="77777777" w:rsidR="004F64EF" w:rsidRPr="003003C0" w:rsidRDefault="004F64EF" w:rsidP="00FD6B66">
            <w:pPr>
              <w:jc w:val="right"/>
              <w:rPr>
                <w:rFonts w:cs="Arial"/>
                <w:color w:val="000000"/>
                <w:sz w:val="14"/>
                <w:szCs w:val="14"/>
              </w:rPr>
            </w:pPr>
            <w:r w:rsidRPr="003003C0">
              <w:rPr>
                <w:rFonts w:cs="Arial"/>
                <w:color w:val="000000"/>
                <w:sz w:val="14"/>
                <w:szCs w:val="14"/>
              </w:rPr>
              <w:t>1</w:t>
            </w:r>
            <w:r>
              <w:rPr>
                <w:rFonts w:cs="Arial"/>
                <w:color w:val="000000"/>
                <w:sz w:val="14"/>
                <w:szCs w:val="14"/>
              </w:rPr>
              <w:t>.</w:t>
            </w:r>
            <w:r w:rsidRPr="003003C0">
              <w:rPr>
                <w:rFonts w:cs="Arial"/>
                <w:color w:val="000000"/>
                <w:sz w:val="14"/>
                <w:szCs w:val="14"/>
              </w:rPr>
              <w:t>5</w:t>
            </w:r>
          </w:p>
        </w:tc>
        <w:tc>
          <w:tcPr>
            <w:tcW w:w="786" w:type="dxa"/>
            <w:noWrap/>
            <w:vAlign w:val="center"/>
            <w:hideMark/>
          </w:tcPr>
          <w:p w14:paraId="17CAE6DB" w14:textId="77777777" w:rsidR="004F64EF" w:rsidRPr="003003C0" w:rsidRDefault="004F64EF" w:rsidP="00FD6B66">
            <w:pPr>
              <w:jc w:val="right"/>
              <w:rPr>
                <w:rFonts w:cs="Arial"/>
                <w:color w:val="000000"/>
                <w:sz w:val="14"/>
                <w:szCs w:val="14"/>
              </w:rPr>
            </w:pPr>
            <w:r w:rsidRPr="003003C0">
              <w:rPr>
                <w:rFonts w:cs="Arial"/>
                <w:color w:val="000000"/>
                <w:sz w:val="14"/>
                <w:szCs w:val="14"/>
              </w:rPr>
              <w:t>1</w:t>
            </w:r>
            <w:r>
              <w:rPr>
                <w:rFonts w:cs="Arial"/>
                <w:color w:val="000000"/>
                <w:sz w:val="14"/>
                <w:szCs w:val="14"/>
              </w:rPr>
              <w:t>.</w:t>
            </w:r>
            <w:r w:rsidRPr="003003C0">
              <w:rPr>
                <w:rFonts w:cs="Arial"/>
                <w:color w:val="000000"/>
                <w:sz w:val="14"/>
                <w:szCs w:val="14"/>
              </w:rPr>
              <w:t>3</w:t>
            </w:r>
          </w:p>
        </w:tc>
      </w:tr>
      <w:tr w:rsidR="004F64EF" w:rsidRPr="003003C0" w14:paraId="0003BBB0" w14:textId="77777777" w:rsidTr="00FD6B66">
        <w:trPr>
          <w:trHeight w:val="20"/>
        </w:trPr>
        <w:tc>
          <w:tcPr>
            <w:tcW w:w="3516" w:type="dxa"/>
            <w:noWrap/>
            <w:vAlign w:val="center"/>
            <w:hideMark/>
          </w:tcPr>
          <w:p w14:paraId="502D150B" w14:textId="77777777" w:rsidR="004F64EF" w:rsidRPr="003003C0" w:rsidRDefault="004F64EF" w:rsidP="00FD6B66">
            <w:pPr>
              <w:tabs>
                <w:tab w:val="left" w:pos="510"/>
              </w:tabs>
              <w:jc w:val="left"/>
              <w:rPr>
                <w:rFonts w:cs="Arial"/>
                <w:color w:val="000000"/>
                <w:sz w:val="14"/>
                <w:szCs w:val="14"/>
              </w:rPr>
            </w:pPr>
            <w:r w:rsidRPr="003003C0">
              <w:rPr>
                <w:rFonts w:cs="Arial"/>
                <w:color w:val="000000"/>
                <w:sz w:val="14"/>
                <w:szCs w:val="14"/>
              </w:rPr>
              <w:tab/>
              <w:t>Guatemala</w:t>
            </w:r>
          </w:p>
        </w:tc>
        <w:tc>
          <w:tcPr>
            <w:tcW w:w="785" w:type="dxa"/>
            <w:noWrap/>
            <w:vAlign w:val="center"/>
            <w:hideMark/>
          </w:tcPr>
          <w:p w14:paraId="6C8D3690" w14:textId="77777777" w:rsidR="004F64EF" w:rsidRPr="003003C0" w:rsidRDefault="004F64EF" w:rsidP="00FD6B66">
            <w:pPr>
              <w:jc w:val="right"/>
              <w:rPr>
                <w:rFonts w:cs="Arial"/>
                <w:color w:val="000000"/>
                <w:sz w:val="14"/>
                <w:szCs w:val="14"/>
              </w:rPr>
            </w:pPr>
            <w:r w:rsidRPr="003003C0">
              <w:rPr>
                <w:rFonts w:cs="Arial"/>
                <w:color w:val="000000"/>
                <w:sz w:val="14"/>
                <w:szCs w:val="14"/>
              </w:rPr>
              <w:t>1</w:t>
            </w:r>
            <w:r>
              <w:rPr>
                <w:rFonts w:cs="Arial"/>
                <w:color w:val="000000"/>
                <w:sz w:val="14"/>
                <w:szCs w:val="14"/>
              </w:rPr>
              <w:t>.</w:t>
            </w:r>
            <w:r w:rsidRPr="003003C0">
              <w:rPr>
                <w:rFonts w:cs="Arial"/>
                <w:color w:val="000000"/>
                <w:sz w:val="14"/>
                <w:szCs w:val="14"/>
              </w:rPr>
              <w:t>2</w:t>
            </w:r>
          </w:p>
        </w:tc>
        <w:tc>
          <w:tcPr>
            <w:tcW w:w="786" w:type="dxa"/>
            <w:noWrap/>
            <w:vAlign w:val="center"/>
            <w:hideMark/>
          </w:tcPr>
          <w:p w14:paraId="00731DEA" w14:textId="77777777" w:rsidR="004F64EF" w:rsidRPr="003003C0" w:rsidRDefault="004F64EF" w:rsidP="00FD6B66">
            <w:pPr>
              <w:jc w:val="right"/>
              <w:rPr>
                <w:rFonts w:cs="Arial"/>
                <w:color w:val="000000"/>
                <w:sz w:val="14"/>
                <w:szCs w:val="14"/>
              </w:rPr>
            </w:pPr>
            <w:r w:rsidRPr="003003C0">
              <w:rPr>
                <w:rFonts w:cs="Arial"/>
                <w:color w:val="000000"/>
                <w:sz w:val="14"/>
                <w:szCs w:val="14"/>
              </w:rPr>
              <w:t>1</w:t>
            </w:r>
            <w:r>
              <w:rPr>
                <w:rFonts w:cs="Arial"/>
                <w:color w:val="000000"/>
                <w:sz w:val="14"/>
                <w:szCs w:val="14"/>
              </w:rPr>
              <w:t>.</w:t>
            </w:r>
            <w:r w:rsidRPr="003003C0">
              <w:rPr>
                <w:rFonts w:cs="Arial"/>
                <w:color w:val="000000"/>
                <w:sz w:val="14"/>
                <w:szCs w:val="14"/>
              </w:rPr>
              <w:t>1</w:t>
            </w:r>
          </w:p>
        </w:tc>
        <w:tc>
          <w:tcPr>
            <w:tcW w:w="786" w:type="dxa"/>
            <w:noWrap/>
            <w:vAlign w:val="center"/>
            <w:hideMark/>
          </w:tcPr>
          <w:p w14:paraId="5B4F4730" w14:textId="77777777" w:rsidR="004F64EF" w:rsidRPr="003003C0" w:rsidRDefault="004F64EF" w:rsidP="00FD6B66">
            <w:pPr>
              <w:jc w:val="right"/>
              <w:rPr>
                <w:rFonts w:cs="Arial"/>
                <w:color w:val="000000"/>
                <w:sz w:val="14"/>
                <w:szCs w:val="14"/>
              </w:rPr>
            </w:pPr>
            <w:r w:rsidRPr="003003C0">
              <w:rPr>
                <w:rFonts w:cs="Arial"/>
                <w:color w:val="000000"/>
                <w:sz w:val="14"/>
                <w:szCs w:val="14"/>
              </w:rPr>
              <w:t>1</w:t>
            </w:r>
            <w:r>
              <w:rPr>
                <w:rFonts w:cs="Arial"/>
                <w:color w:val="000000"/>
                <w:sz w:val="14"/>
                <w:szCs w:val="14"/>
              </w:rPr>
              <w:t>.</w:t>
            </w:r>
            <w:r w:rsidRPr="003003C0">
              <w:rPr>
                <w:rFonts w:cs="Arial"/>
                <w:color w:val="000000"/>
                <w:sz w:val="14"/>
                <w:szCs w:val="14"/>
              </w:rPr>
              <w:t>1</w:t>
            </w:r>
          </w:p>
        </w:tc>
        <w:tc>
          <w:tcPr>
            <w:tcW w:w="785" w:type="dxa"/>
            <w:noWrap/>
            <w:vAlign w:val="center"/>
            <w:hideMark/>
          </w:tcPr>
          <w:p w14:paraId="0B6AEA96" w14:textId="77777777" w:rsidR="004F64EF" w:rsidRPr="003003C0" w:rsidRDefault="004F64EF" w:rsidP="00FD6B66">
            <w:pPr>
              <w:jc w:val="right"/>
              <w:rPr>
                <w:rFonts w:cs="Arial"/>
                <w:color w:val="000000"/>
                <w:sz w:val="14"/>
                <w:szCs w:val="14"/>
              </w:rPr>
            </w:pPr>
            <w:r w:rsidRPr="003003C0">
              <w:rPr>
                <w:rFonts w:cs="Arial"/>
                <w:color w:val="000000"/>
                <w:sz w:val="14"/>
                <w:szCs w:val="14"/>
              </w:rPr>
              <w:t>1</w:t>
            </w:r>
            <w:r>
              <w:rPr>
                <w:rFonts w:cs="Arial"/>
                <w:color w:val="000000"/>
                <w:sz w:val="14"/>
                <w:szCs w:val="14"/>
              </w:rPr>
              <w:t>.</w:t>
            </w:r>
            <w:r w:rsidRPr="003003C0">
              <w:rPr>
                <w:rFonts w:cs="Arial"/>
                <w:color w:val="000000"/>
                <w:sz w:val="14"/>
                <w:szCs w:val="14"/>
              </w:rPr>
              <w:t>0</w:t>
            </w:r>
          </w:p>
        </w:tc>
        <w:tc>
          <w:tcPr>
            <w:tcW w:w="786" w:type="dxa"/>
            <w:noWrap/>
            <w:vAlign w:val="center"/>
            <w:hideMark/>
          </w:tcPr>
          <w:p w14:paraId="1FB63BE2"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9</w:t>
            </w:r>
          </w:p>
        </w:tc>
        <w:tc>
          <w:tcPr>
            <w:tcW w:w="786" w:type="dxa"/>
            <w:noWrap/>
            <w:vAlign w:val="center"/>
            <w:hideMark/>
          </w:tcPr>
          <w:p w14:paraId="2D241A34" w14:textId="77777777" w:rsidR="004F64EF" w:rsidRPr="003003C0" w:rsidRDefault="004F64EF" w:rsidP="00FD6B66">
            <w:pPr>
              <w:jc w:val="right"/>
              <w:rPr>
                <w:rFonts w:cs="Arial"/>
                <w:color w:val="000000"/>
                <w:sz w:val="14"/>
                <w:szCs w:val="14"/>
              </w:rPr>
            </w:pPr>
            <w:r w:rsidRPr="003003C0">
              <w:rPr>
                <w:rFonts w:cs="Arial"/>
                <w:color w:val="000000"/>
                <w:sz w:val="14"/>
                <w:szCs w:val="14"/>
              </w:rPr>
              <w:t>1</w:t>
            </w:r>
            <w:r>
              <w:rPr>
                <w:rFonts w:cs="Arial"/>
                <w:color w:val="000000"/>
                <w:sz w:val="14"/>
                <w:szCs w:val="14"/>
              </w:rPr>
              <w:t>.</w:t>
            </w:r>
            <w:r w:rsidRPr="003003C0">
              <w:rPr>
                <w:rFonts w:cs="Arial"/>
                <w:color w:val="000000"/>
                <w:sz w:val="14"/>
                <w:szCs w:val="14"/>
              </w:rPr>
              <w:t>1</w:t>
            </w:r>
          </w:p>
        </w:tc>
        <w:tc>
          <w:tcPr>
            <w:tcW w:w="786" w:type="dxa"/>
            <w:noWrap/>
            <w:vAlign w:val="center"/>
            <w:hideMark/>
          </w:tcPr>
          <w:p w14:paraId="5D0E1335"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9</w:t>
            </w:r>
          </w:p>
        </w:tc>
      </w:tr>
      <w:tr w:rsidR="004F64EF" w:rsidRPr="003003C0" w14:paraId="79D50146" w14:textId="77777777" w:rsidTr="00FD6B66">
        <w:trPr>
          <w:cnfStyle w:val="000000010000" w:firstRow="0" w:lastRow="0" w:firstColumn="0" w:lastColumn="0" w:oddVBand="0" w:evenVBand="0" w:oddHBand="0" w:evenHBand="1" w:firstRowFirstColumn="0" w:firstRowLastColumn="0" w:lastRowFirstColumn="0" w:lastRowLastColumn="0"/>
          <w:trHeight w:val="20"/>
        </w:trPr>
        <w:tc>
          <w:tcPr>
            <w:tcW w:w="3516" w:type="dxa"/>
            <w:noWrap/>
            <w:vAlign w:val="center"/>
            <w:hideMark/>
          </w:tcPr>
          <w:p w14:paraId="2A4403D7" w14:textId="77777777" w:rsidR="004F64EF" w:rsidRPr="003003C0" w:rsidRDefault="004F64EF" w:rsidP="00FD6B66">
            <w:pPr>
              <w:tabs>
                <w:tab w:val="left" w:pos="510"/>
              </w:tabs>
              <w:jc w:val="left"/>
              <w:rPr>
                <w:rFonts w:cs="Arial"/>
                <w:color w:val="000000"/>
                <w:sz w:val="14"/>
                <w:szCs w:val="14"/>
              </w:rPr>
            </w:pPr>
            <w:r w:rsidRPr="003003C0">
              <w:rPr>
                <w:rFonts w:cs="Arial"/>
                <w:color w:val="000000"/>
                <w:sz w:val="14"/>
                <w:szCs w:val="14"/>
              </w:rPr>
              <w:tab/>
            </w:r>
            <w:r>
              <w:rPr>
                <w:rFonts w:cs="Arial"/>
                <w:color w:val="000000"/>
                <w:sz w:val="14"/>
                <w:szCs w:val="14"/>
              </w:rPr>
              <w:t xml:space="preserve">Dominican </w:t>
            </w:r>
            <w:r w:rsidRPr="003003C0">
              <w:rPr>
                <w:rFonts w:cs="Arial"/>
                <w:color w:val="000000"/>
                <w:sz w:val="14"/>
                <w:szCs w:val="14"/>
              </w:rPr>
              <w:t>Rep</w:t>
            </w:r>
            <w:r>
              <w:rPr>
                <w:rFonts w:cs="Arial"/>
                <w:color w:val="000000"/>
                <w:sz w:val="14"/>
                <w:szCs w:val="14"/>
              </w:rPr>
              <w:t>ublic</w:t>
            </w:r>
          </w:p>
        </w:tc>
        <w:tc>
          <w:tcPr>
            <w:tcW w:w="785" w:type="dxa"/>
            <w:noWrap/>
            <w:vAlign w:val="center"/>
            <w:hideMark/>
          </w:tcPr>
          <w:p w14:paraId="0E540BBA"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0</w:t>
            </w:r>
          </w:p>
        </w:tc>
        <w:tc>
          <w:tcPr>
            <w:tcW w:w="786" w:type="dxa"/>
            <w:noWrap/>
            <w:vAlign w:val="center"/>
            <w:hideMark/>
          </w:tcPr>
          <w:p w14:paraId="49529DD9"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0</w:t>
            </w:r>
          </w:p>
        </w:tc>
        <w:tc>
          <w:tcPr>
            <w:tcW w:w="786" w:type="dxa"/>
            <w:noWrap/>
            <w:vAlign w:val="center"/>
            <w:hideMark/>
          </w:tcPr>
          <w:p w14:paraId="017E63AB"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9</w:t>
            </w:r>
          </w:p>
        </w:tc>
        <w:tc>
          <w:tcPr>
            <w:tcW w:w="785" w:type="dxa"/>
            <w:noWrap/>
            <w:vAlign w:val="center"/>
            <w:hideMark/>
          </w:tcPr>
          <w:p w14:paraId="68C23A09"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0</w:t>
            </w:r>
          </w:p>
        </w:tc>
        <w:tc>
          <w:tcPr>
            <w:tcW w:w="786" w:type="dxa"/>
            <w:noWrap/>
            <w:vAlign w:val="center"/>
            <w:hideMark/>
          </w:tcPr>
          <w:p w14:paraId="7E395DD5"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0</w:t>
            </w:r>
          </w:p>
        </w:tc>
        <w:tc>
          <w:tcPr>
            <w:tcW w:w="786" w:type="dxa"/>
            <w:noWrap/>
            <w:vAlign w:val="center"/>
            <w:hideMark/>
          </w:tcPr>
          <w:p w14:paraId="79D1B5A1"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1</w:t>
            </w:r>
          </w:p>
        </w:tc>
        <w:tc>
          <w:tcPr>
            <w:tcW w:w="786" w:type="dxa"/>
            <w:noWrap/>
            <w:vAlign w:val="center"/>
            <w:hideMark/>
          </w:tcPr>
          <w:p w14:paraId="7D31C810"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8</w:t>
            </w:r>
          </w:p>
        </w:tc>
      </w:tr>
      <w:tr w:rsidR="004F64EF" w:rsidRPr="003003C0" w14:paraId="3E7C66E3" w14:textId="77777777" w:rsidTr="00FD6B66">
        <w:trPr>
          <w:trHeight w:val="20"/>
        </w:trPr>
        <w:tc>
          <w:tcPr>
            <w:tcW w:w="3516" w:type="dxa"/>
            <w:noWrap/>
            <w:vAlign w:val="center"/>
            <w:hideMark/>
          </w:tcPr>
          <w:p w14:paraId="7B9ED72F" w14:textId="77777777" w:rsidR="004F64EF" w:rsidRPr="003003C0" w:rsidRDefault="004F64EF" w:rsidP="00FD6B66">
            <w:pPr>
              <w:tabs>
                <w:tab w:val="left" w:pos="510"/>
              </w:tabs>
              <w:jc w:val="left"/>
              <w:rPr>
                <w:rFonts w:cs="Arial"/>
                <w:color w:val="000000"/>
                <w:sz w:val="14"/>
                <w:szCs w:val="14"/>
              </w:rPr>
            </w:pPr>
            <w:r w:rsidRPr="003003C0">
              <w:rPr>
                <w:rFonts w:cs="Arial"/>
                <w:color w:val="000000"/>
                <w:sz w:val="14"/>
                <w:szCs w:val="14"/>
              </w:rPr>
              <w:tab/>
              <w:t>Per</w:t>
            </w:r>
            <w:r>
              <w:rPr>
                <w:rFonts w:cs="Arial"/>
                <w:color w:val="000000"/>
                <w:sz w:val="14"/>
                <w:szCs w:val="14"/>
              </w:rPr>
              <w:t>u</w:t>
            </w:r>
          </w:p>
        </w:tc>
        <w:tc>
          <w:tcPr>
            <w:tcW w:w="785" w:type="dxa"/>
            <w:noWrap/>
            <w:vAlign w:val="center"/>
            <w:hideMark/>
          </w:tcPr>
          <w:p w14:paraId="17B2108D"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7</w:t>
            </w:r>
          </w:p>
        </w:tc>
        <w:tc>
          <w:tcPr>
            <w:tcW w:w="786" w:type="dxa"/>
            <w:noWrap/>
            <w:vAlign w:val="center"/>
            <w:hideMark/>
          </w:tcPr>
          <w:p w14:paraId="2531A90C"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5</w:t>
            </w:r>
          </w:p>
        </w:tc>
        <w:tc>
          <w:tcPr>
            <w:tcW w:w="786" w:type="dxa"/>
            <w:noWrap/>
            <w:vAlign w:val="center"/>
            <w:hideMark/>
          </w:tcPr>
          <w:p w14:paraId="7D2EF132"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5</w:t>
            </w:r>
          </w:p>
        </w:tc>
        <w:tc>
          <w:tcPr>
            <w:tcW w:w="785" w:type="dxa"/>
            <w:noWrap/>
            <w:vAlign w:val="center"/>
            <w:hideMark/>
          </w:tcPr>
          <w:p w14:paraId="0CE80214"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5</w:t>
            </w:r>
          </w:p>
        </w:tc>
        <w:tc>
          <w:tcPr>
            <w:tcW w:w="786" w:type="dxa"/>
            <w:noWrap/>
            <w:vAlign w:val="center"/>
            <w:hideMark/>
          </w:tcPr>
          <w:p w14:paraId="3BA476EF"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5</w:t>
            </w:r>
          </w:p>
        </w:tc>
        <w:tc>
          <w:tcPr>
            <w:tcW w:w="786" w:type="dxa"/>
            <w:noWrap/>
            <w:vAlign w:val="center"/>
            <w:hideMark/>
          </w:tcPr>
          <w:p w14:paraId="2F73751C"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5</w:t>
            </w:r>
          </w:p>
        </w:tc>
        <w:tc>
          <w:tcPr>
            <w:tcW w:w="786" w:type="dxa"/>
            <w:noWrap/>
            <w:vAlign w:val="center"/>
            <w:hideMark/>
          </w:tcPr>
          <w:p w14:paraId="7B60752E"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6</w:t>
            </w:r>
          </w:p>
        </w:tc>
      </w:tr>
      <w:tr w:rsidR="004F64EF" w:rsidRPr="003003C0" w14:paraId="00C5F6C9" w14:textId="77777777" w:rsidTr="00FD6B66">
        <w:trPr>
          <w:cnfStyle w:val="000000010000" w:firstRow="0" w:lastRow="0" w:firstColumn="0" w:lastColumn="0" w:oddVBand="0" w:evenVBand="0" w:oddHBand="0" w:evenHBand="1" w:firstRowFirstColumn="0" w:firstRowLastColumn="0" w:lastRowFirstColumn="0" w:lastRowLastColumn="0"/>
          <w:trHeight w:val="20"/>
        </w:trPr>
        <w:tc>
          <w:tcPr>
            <w:tcW w:w="3516" w:type="dxa"/>
            <w:noWrap/>
            <w:vAlign w:val="center"/>
            <w:hideMark/>
          </w:tcPr>
          <w:p w14:paraId="4583F200" w14:textId="77777777" w:rsidR="004F64EF" w:rsidRPr="003003C0" w:rsidRDefault="004F64EF" w:rsidP="00FD6B66">
            <w:pPr>
              <w:tabs>
                <w:tab w:val="left" w:pos="510"/>
              </w:tabs>
              <w:jc w:val="left"/>
              <w:rPr>
                <w:rFonts w:cs="Arial"/>
                <w:color w:val="000000"/>
                <w:sz w:val="14"/>
                <w:szCs w:val="14"/>
              </w:rPr>
            </w:pPr>
            <w:r w:rsidRPr="003003C0">
              <w:rPr>
                <w:rFonts w:cs="Arial"/>
                <w:color w:val="000000"/>
                <w:sz w:val="14"/>
                <w:szCs w:val="14"/>
              </w:rPr>
              <w:tab/>
              <w:t>El Salvador</w:t>
            </w:r>
          </w:p>
        </w:tc>
        <w:tc>
          <w:tcPr>
            <w:tcW w:w="785" w:type="dxa"/>
            <w:noWrap/>
            <w:vAlign w:val="center"/>
            <w:hideMark/>
          </w:tcPr>
          <w:p w14:paraId="71E7B42D"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5</w:t>
            </w:r>
          </w:p>
        </w:tc>
        <w:tc>
          <w:tcPr>
            <w:tcW w:w="786" w:type="dxa"/>
            <w:noWrap/>
            <w:vAlign w:val="center"/>
            <w:hideMark/>
          </w:tcPr>
          <w:p w14:paraId="60F81BCE"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6</w:t>
            </w:r>
          </w:p>
        </w:tc>
        <w:tc>
          <w:tcPr>
            <w:tcW w:w="786" w:type="dxa"/>
            <w:noWrap/>
            <w:vAlign w:val="center"/>
            <w:hideMark/>
          </w:tcPr>
          <w:p w14:paraId="294F989C"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6</w:t>
            </w:r>
          </w:p>
        </w:tc>
        <w:tc>
          <w:tcPr>
            <w:tcW w:w="785" w:type="dxa"/>
            <w:noWrap/>
            <w:vAlign w:val="center"/>
            <w:hideMark/>
          </w:tcPr>
          <w:p w14:paraId="6D9E6C4A"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6</w:t>
            </w:r>
          </w:p>
        </w:tc>
        <w:tc>
          <w:tcPr>
            <w:tcW w:w="786" w:type="dxa"/>
            <w:noWrap/>
            <w:vAlign w:val="center"/>
            <w:hideMark/>
          </w:tcPr>
          <w:p w14:paraId="71AD47FE"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6</w:t>
            </w:r>
          </w:p>
        </w:tc>
        <w:tc>
          <w:tcPr>
            <w:tcW w:w="786" w:type="dxa"/>
            <w:noWrap/>
            <w:vAlign w:val="center"/>
            <w:hideMark/>
          </w:tcPr>
          <w:p w14:paraId="1FAFD7E2"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7</w:t>
            </w:r>
          </w:p>
        </w:tc>
        <w:tc>
          <w:tcPr>
            <w:tcW w:w="786" w:type="dxa"/>
            <w:noWrap/>
            <w:vAlign w:val="center"/>
            <w:hideMark/>
          </w:tcPr>
          <w:p w14:paraId="37F9AF47"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5</w:t>
            </w:r>
          </w:p>
        </w:tc>
      </w:tr>
      <w:tr w:rsidR="004F64EF" w:rsidRPr="003003C0" w14:paraId="2DFBD9C2" w14:textId="77777777" w:rsidTr="00FD6B66">
        <w:trPr>
          <w:trHeight w:val="20"/>
        </w:trPr>
        <w:tc>
          <w:tcPr>
            <w:tcW w:w="3516" w:type="dxa"/>
            <w:noWrap/>
            <w:vAlign w:val="center"/>
            <w:hideMark/>
          </w:tcPr>
          <w:p w14:paraId="45993524" w14:textId="77777777" w:rsidR="004F64EF" w:rsidRPr="003003C0" w:rsidRDefault="004F64EF" w:rsidP="00FD6B66">
            <w:pPr>
              <w:tabs>
                <w:tab w:val="left" w:pos="510"/>
              </w:tabs>
              <w:jc w:val="left"/>
              <w:rPr>
                <w:rFonts w:cs="Arial"/>
                <w:color w:val="000000"/>
                <w:sz w:val="14"/>
                <w:szCs w:val="14"/>
              </w:rPr>
            </w:pPr>
            <w:r w:rsidRPr="003003C0">
              <w:rPr>
                <w:rFonts w:cs="Arial"/>
                <w:color w:val="000000"/>
                <w:sz w:val="14"/>
                <w:szCs w:val="14"/>
              </w:rPr>
              <w:tab/>
              <w:t>Honduras</w:t>
            </w:r>
          </w:p>
        </w:tc>
        <w:tc>
          <w:tcPr>
            <w:tcW w:w="785" w:type="dxa"/>
            <w:noWrap/>
            <w:vAlign w:val="center"/>
            <w:hideMark/>
          </w:tcPr>
          <w:p w14:paraId="219881CB"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5</w:t>
            </w:r>
          </w:p>
        </w:tc>
        <w:tc>
          <w:tcPr>
            <w:tcW w:w="786" w:type="dxa"/>
            <w:noWrap/>
            <w:vAlign w:val="center"/>
            <w:hideMark/>
          </w:tcPr>
          <w:p w14:paraId="72B81445"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3</w:t>
            </w:r>
          </w:p>
        </w:tc>
        <w:tc>
          <w:tcPr>
            <w:tcW w:w="786" w:type="dxa"/>
            <w:noWrap/>
            <w:vAlign w:val="center"/>
            <w:hideMark/>
          </w:tcPr>
          <w:p w14:paraId="1AEE9EDE"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3</w:t>
            </w:r>
          </w:p>
        </w:tc>
        <w:tc>
          <w:tcPr>
            <w:tcW w:w="785" w:type="dxa"/>
            <w:noWrap/>
            <w:vAlign w:val="center"/>
            <w:hideMark/>
          </w:tcPr>
          <w:p w14:paraId="4F51719B"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3</w:t>
            </w:r>
          </w:p>
        </w:tc>
        <w:tc>
          <w:tcPr>
            <w:tcW w:w="786" w:type="dxa"/>
            <w:noWrap/>
            <w:vAlign w:val="center"/>
            <w:hideMark/>
          </w:tcPr>
          <w:p w14:paraId="028021AD"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3</w:t>
            </w:r>
          </w:p>
        </w:tc>
        <w:tc>
          <w:tcPr>
            <w:tcW w:w="786" w:type="dxa"/>
            <w:noWrap/>
            <w:vAlign w:val="center"/>
            <w:hideMark/>
          </w:tcPr>
          <w:p w14:paraId="08989F93"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5</w:t>
            </w:r>
          </w:p>
        </w:tc>
        <w:tc>
          <w:tcPr>
            <w:tcW w:w="786" w:type="dxa"/>
            <w:noWrap/>
            <w:vAlign w:val="center"/>
            <w:hideMark/>
          </w:tcPr>
          <w:p w14:paraId="622E86F2"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5</w:t>
            </w:r>
          </w:p>
        </w:tc>
      </w:tr>
      <w:tr w:rsidR="004F64EF" w:rsidRPr="003003C0" w14:paraId="7399312C" w14:textId="77777777" w:rsidTr="00FD6B66">
        <w:trPr>
          <w:cnfStyle w:val="000000010000" w:firstRow="0" w:lastRow="0" w:firstColumn="0" w:lastColumn="0" w:oddVBand="0" w:evenVBand="0" w:oddHBand="0" w:evenHBand="1" w:firstRowFirstColumn="0" w:firstRowLastColumn="0" w:lastRowFirstColumn="0" w:lastRowLastColumn="0"/>
          <w:trHeight w:val="20"/>
        </w:trPr>
        <w:tc>
          <w:tcPr>
            <w:tcW w:w="3516" w:type="dxa"/>
            <w:noWrap/>
            <w:vAlign w:val="center"/>
            <w:hideMark/>
          </w:tcPr>
          <w:p w14:paraId="31DDA897" w14:textId="77777777" w:rsidR="004F64EF" w:rsidRPr="003003C0" w:rsidRDefault="004F64EF" w:rsidP="00FD6B66">
            <w:pPr>
              <w:tabs>
                <w:tab w:val="left" w:pos="510"/>
              </w:tabs>
              <w:jc w:val="left"/>
              <w:rPr>
                <w:rFonts w:cs="Arial"/>
                <w:color w:val="000000"/>
                <w:sz w:val="14"/>
                <w:szCs w:val="14"/>
              </w:rPr>
            </w:pPr>
            <w:r w:rsidRPr="003003C0">
              <w:rPr>
                <w:rFonts w:cs="Arial"/>
                <w:color w:val="000000"/>
                <w:sz w:val="14"/>
                <w:szCs w:val="14"/>
              </w:rPr>
              <w:tab/>
              <w:t xml:space="preserve">Trinidad </w:t>
            </w:r>
            <w:r>
              <w:rPr>
                <w:rFonts w:cs="Arial"/>
                <w:color w:val="000000"/>
                <w:sz w:val="14"/>
                <w:szCs w:val="14"/>
              </w:rPr>
              <w:t>and</w:t>
            </w:r>
            <w:r w:rsidRPr="003003C0">
              <w:rPr>
                <w:rFonts w:cs="Arial"/>
                <w:sz w:val="14"/>
                <w:szCs w:val="14"/>
              </w:rPr>
              <w:t xml:space="preserve"> T</w:t>
            </w:r>
            <w:r>
              <w:rPr>
                <w:rFonts w:cs="Arial"/>
                <w:sz w:val="14"/>
                <w:szCs w:val="14"/>
              </w:rPr>
              <w:t>o</w:t>
            </w:r>
            <w:r w:rsidRPr="003003C0">
              <w:rPr>
                <w:rFonts w:cs="Arial"/>
                <w:sz w:val="14"/>
                <w:szCs w:val="14"/>
              </w:rPr>
              <w:t>bago</w:t>
            </w:r>
          </w:p>
        </w:tc>
        <w:tc>
          <w:tcPr>
            <w:tcW w:w="785" w:type="dxa"/>
            <w:noWrap/>
            <w:vAlign w:val="center"/>
            <w:hideMark/>
          </w:tcPr>
          <w:p w14:paraId="1F997CC7" w14:textId="77777777" w:rsidR="004F64EF" w:rsidRPr="003003C0" w:rsidRDefault="004F64EF" w:rsidP="00FD6B66">
            <w:pPr>
              <w:jc w:val="right"/>
              <w:rPr>
                <w:rFonts w:cs="Arial"/>
                <w:color w:val="000000"/>
                <w:sz w:val="14"/>
                <w:szCs w:val="14"/>
              </w:rPr>
            </w:pPr>
            <w:r w:rsidRPr="003003C0">
              <w:rPr>
                <w:rFonts w:cs="Arial"/>
                <w:color w:val="000000"/>
                <w:sz w:val="14"/>
                <w:szCs w:val="14"/>
              </w:rPr>
              <w:t>2</w:t>
            </w:r>
            <w:r>
              <w:rPr>
                <w:rFonts w:cs="Arial"/>
                <w:color w:val="000000"/>
                <w:sz w:val="14"/>
                <w:szCs w:val="14"/>
              </w:rPr>
              <w:t>.</w:t>
            </w:r>
            <w:r w:rsidRPr="003003C0">
              <w:rPr>
                <w:rFonts w:cs="Arial"/>
                <w:color w:val="000000"/>
                <w:sz w:val="14"/>
                <w:szCs w:val="14"/>
              </w:rPr>
              <w:t>3</w:t>
            </w:r>
          </w:p>
        </w:tc>
        <w:tc>
          <w:tcPr>
            <w:tcW w:w="786" w:type="dxa"/>
            <w:noWrap/>
            <w:vAlign w:val="center"/>
            <w:hideMark/>
          </w:tcPr>
          <w:p w14:paraId="5E54A28D" w14:textId="77777777" w:rsidR="004F64EF" w:rsidRPr="003003C0" w:rsidRDefault="004F64EF" w:rsidP="00FD6B66">
            <w:pPr>
              <w:jc w:val="right"/>
              <w:rPr>
                <w:rFonts w:cs="Arial"/>
                <w:color w:val="000000"/>
                <w:sz w:val="14"/>
                <w:szCs w:val="14"/>
              </w:rPr>
            </w:pPr>
            <w:r w:rsidRPr="003003C0">
              <w:rPr>
                <w:rFonts w:cs="Arial"/>
                <w:color w:val="000000"/>
                <w:sz w:val="14"/>
                <w:szCs w:val="14"/>
              </w:rPr>
              <w:t>2</w:t>
            </w:r>
            <w:r>
              <w:rPr>
                <w:rFonts w:cs="Arial"/>
                <w:color w:val="000000"/>
                <w:sz w:val="14"/>
                <w:szCs w:val="14"/>
              </w:rPr>
              <w:t>.</w:t>
            </w:r>
            <w:r w:rsidRPr="003003C0">
              <w:rPr>
                <w:rFonts w:cs="Arial"/>
                <w:color w:val="000000"/>
                <w:sz w:val="14"/>
                <w:szCs w:val="14"/>
              </w:rPr>
              <w:t>1</w:t>
            </w:r>
          </w:p>
        </w:tc>
        <w:tc>
          <w:tcPr>
            <w:tcW w:w="786" w:type="dxa"/>
            <w:noWrap/>
            <w:vAlign w:val="center"/>
            <w:hideMark/>
          </w:tcPr>
          <w:p w14:paraId="6FECE744" w14:textId="77777777" w:rsidR="004F64EF" w:rsidRPr="003003C0" w:rsidRDefault="004F64EF" w:rsidP="00FD6B66">
            <w:pPr>
              <w:jc w:val="right"/>
              <w:rPr>
                <w:rFonts w:cs="Arial"/>
                <w:color w:val="000000"/>
                <w:sz w:val="14"/>
                <w:szCs w:val="14"/>
              </w:rPr>
            </w:pPr>
            <w:r w:rsidRPr="003003C0">
              <w:rPr>
                <w:rFonts w:cs="Arial"/>
                <w:color w:val="000000"/>
                <w:sz w:val="14"/>
                <w:szCs w:val="14"/>
              </w:rPr>
              <w:t>3</w:t>
            </w:r>
            <w:r>
              <w:rPr>
                <w:rFonts w:cs="Arial"/>
                <w:color w:val="000000"/>
                <w:sz w:val="14"/>
                <w:szCs w:val="14"/>
              </w:rPr>
              <w:t>.</w:t>
            </w:r>
            <w:r w:rsidRPr="003003C0">
              <w:rPr>
                <w:rFonts w:cs="Arial"/>
                <w:color w:val="000000"/>
                <w:sz w:val="14"/>
                <w:szCs w:val="14"/>
              </w:rPr>
              <w:t>0</w:t>
            </w:r>
          </w:p>
        </w:tc>
        <w:tc>
          <w:tcPr>
            <w:tcW w:w="785" w:type="dxa"/>
            <w:noWrap/>
            <w:vAlign w:val="center"/>
            <w:hideMark/>
          </w:tcPr>
          <w:p w14:paraId="6E71190E" w14:textId="77777777" w:rsidR="004F64EF" w:rsidRPr="003003C0" w:rsidRDefault="004F64EF" w:rsidP="00FD6B66">
            <w:pPr>
              <w:jc w:val="right"/>
              <w:rPr>
                <w:rFonts w:cs="Arial"/>
                <w:color w:val="000000"/>
                <w:sz w:val="14"/>
                <w:szCs w:val="14"/>
              </w:rPr>
            </w:pPr>
            <w:r w:rsidRPr="003003C0">
              <w:rPr>
                <w:rFonts w:cs="Arial"/>
                <w:color w:val="000000"/>
                <w:sz w:val="14"/>
                <w:szCs w:val="14"/>
              </w:rPr>
              <w:t>2</w:t>
            </w:r>
            <w:r>
              <w:rPr>
                <w:rFonts w:cs="Arial"/>
                <w:color w:val="000000"/>
                <w:sz w:val="14"/>
                <w:szCs w:val="14"/>
              </w:rPr>
              <w:t>.</w:t>
            </w:r>
            <w:r w:rsidRPr="003003C0">
              <w:rPr>
                <w:rFonts w:cs="Arial"/>
                <w:color w:val="000000"/>
                <w:sz w:val="14"/>
                <w:szCs w:val="14"/>
              </w:rPr>
              <w:t>0</w:t>
            </w:r>
          </w:p>
        </w:tc>
        <w:tc>
          <w:tcPr>
            <w:tcW w:w="786" w:type="dxa"/>
            <w:noWrap/>
            <w:vAlign w:val="center"/>
            <w:hideMark/>
          </w:tcPr>
          <w:p w14:paraId="03DB29F2" w14:textId="77777777" w:rsidR="004F64EF" w:rsidRPr="003003C0" w:rsidRDefault="004F64EF" w:rsidP="00FD6B66">
            <w:pPr>
              <w:jc w:val="right"/>
              <w:rPr>
                <w:rFonts w:cs="Arial"/>
                <w:color w:val="000000"/>
                <w:sz w:val="14"/>
                <w:szCs w:val="14"/>
              </w:rPr>
            </w:pPr>
            <w:r w:rsidRPr="003003C0">
              <w:rPr>
                <w:rFonts w:cs="Arial"/>
                <w:color w:val="000000"/>
                <w:sz w:val="14"/>
                <w:szCs w:val="14"/>
              </w:rPr>
              <w:t>1</w:t>
            </w:r>
            <w:r>
              <w:rPr>
                <w:rFonts w:cs="Arial"/>
                <w:color w:val="000000"/>
                <w:sz w:val="14"/>
                <w:szCs w:val="14"/>
              </w:rPr>
              <w:t>.</w:t>
            </w:r>
            <w:r w:rsidRPr="003003C0">
              <w:rPr>
                <w:rFonts w:cs="Arial"/>
                <w:color w:val="000000"/>
                <w:sz w:val="14"/>
                <w:szCs w:val="14"/>
              </w:rPr>
              <w:t>9</w:t>
            </w:r>
          </w:p>
        </w:tc>
        <w:tc>
          <w:tcPr>
            <w:tcW w:w="786" w:type="dxa"/>
            <w:noWrap/>
            <w:vAlign w:val="center"/>
            <w:hideMark/>
          </w:tcPr>
          <w:p w14:paraId="09E4E622" w14:textId="77777777" w:rsidR="004F64EF" w:rsidRPr="003003C0" w:rsidRDefault="004F64EF" w:rsidP="00FD6B66">
            <w:pPr>
              <w:jc w:val="right"/>
              <w:rPr>
                <w:rFonts w:cs="Arial"/>
                <w:color w:val="000000"/>
                <w:sz w:val="14"/>
                <w:szCs w:val="14"/>
              </w:rPr>
            </w:pPr>
            <w:r w:rsidRPr="003003C0">
              <w:rPr>
                <w:rFonts w:cs="Arial"/>
                <w:color w:val="000000"/>
                <w:sz w:val="14"/>
                <w:szCs w:val="14"/>
              </w:rPr>
              <w:t>1</w:t>
            </w:r>
            <w:r>
              <w:rPr>
                <w:rFonts w:cs="Arial"/>
                <w:color w:val="000000"/>
                <w:sz w:val="14"/>
                <w:szCs w:val="14"/>
              </w:rPr>
              <w:t>.</w:t>
            </w:r>
            <w:r w:rsidRPr="003003C0">
              <w:rPr>
                <w:rFonts w:cs="Arial"/>
                <w:color w:val="000000"/>
                <w:sz w:val="14"/>
                <w:szCs w:val="14"/>
              </w:rPr>
              <w:t>7</w:t>
            </w:r>
          </w:p>
        </w:tc>
        <w:tc>
          <w:tcPr>
            <w:tcW w:w="786" w:type="dxa"/>
            <w:noWrap/>
            <w:vAlign w:val="center"/>
            <w:hideMark/>
          </w:tcPr>
          <w:p w14:paraId="2D5D6930"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5</w:t>
            </w:r>
          </w:p>
        </w:tc>
      </w:tr>
      <w:tr w:rsidR="004F64EF" w:rsidRPr="003003C0" w14:paraId="704EFEE4" w14:textId="77777777" w:rsidTr="00FD6B66">
        <w:trPr>
          <w:trHeight w:val="20"/>
        </w:trPr>
        <w:tc>
          <w:tcPr>
            <w:tcW w:w="3516" w:type="dxa"/>
            <w:noWrap/>
            <w:vAlign w:val="center"/>
            <w:hideMark/>
          </w:tcPr>
          <w:p w14:paraId="570063E9" w14:textId="77777777" w:rsidR="004F64EF" w:rsidRPr="003003C0" w:rsidRDefault="004F64EF" w:rsidP="00FD6B66">
            <w:pPr>
              <w:jc w:val="left"/>
              <w:rPr>
                <w:rFonts w:cs="Arial"/>
                <w:color w:val="000000"/>
                <w:sz w:val="14"/>
                <w:szCs w:val="14"/>
              </w:rPr>
            </w:pPr>
            <w:r w:rsidRPr="003003C0">
              <w:rPr>
                <w:rFonts w:cs="Arial"/>
                <w:color w:val="000000"/>
                <w:sz w:val="14"/>
                <w:szCs w:val="14"/>
              </w:rPr>
              <w:t>Europ</w:t>
            </w:r>
            <w:r>
              <w:rPr>
                <w:rFonts w:cs="Arial"/>
                <w:color w:val="000000"/>
                <w:sz w:val="14"/>
                <w:szCs w:val="14"/>
              </w:rPr>
              <w:t>e</w:t>
            </w:r>
          </w:p>
        </w:tc>
        <w:tc>
          <w:tcPr>
            <w:tcW w:w="785" w:type="dxa"/>
            <w:noWrap/>
            <w:vAlign w:val="center"/>
            <w:hideMark/>
          </w:tcPr>
          <w:p w14:paraId="4505D675" w14:textId="77777777" w:rsidR="004F64EF" w:rsidRPr="003003C0" w:rsidRDefault="004F64EF" w:rsidP="00FD6B66">
            <w:pPr>
              <w:jc w:val="right"/>
              <w:rPr>
                <w:rFonts w:cs="Arial"/>
                <w:color w:val="000000"/>
                <w:sz w:val="14"/>
                <w:szCs w:val="14"/>
              </w:rPr>
            </w:pPr>
            <w:r w:rsidRPr="003003C0">
              <w:rPr>
                <w:rFonts w:cs="Arial"/>
                <w:color w:val="000000"/>
                <w:sz w:val="14"/>
                <w:szCs w:val="14"/>
              </w:rPr>
              <w:t>13</w:t>
            </w:r>
            <w:r>
              <w:rPr>
                <w:rFonts w:cs="Arial"/>
                <w:color w:val="000000"/>
                <w:sz w:val="14"/>
                <w:szCs w:val="14"/>
              </w:rPr>
              <w:t>.</w:t>
            </w:r>
            <w:r w:rsidRPr="003003C0">
              <w:rPr>
                <w:rFonts w:cs="Arial"/>
                <w:color w:val="000000"/>
                <w:sz w:val="14"/>
                <w:szCs w:val="14"/>
              </w:rPr>
              <w:t>4</w:t>
            </w:r>
          </w:p>
        </w:tc>
        <w:tc>
          <w:tcPr>
            <w:tcW w:w="786" w:type="dxa"/>
            <w:noWrap/>
            <w:vAlign w:val="center"/>
            <w:hideMark/>
          </w:tcPr>
          <w:p w14:paraId="0C01272A" w14:textId="77777777" w:rsidR="004F64EF" w:rsidRPr="003003C0" w:rsidRDefault="004F64EF" w:rsidP="00FD6B66">
            <w:pPr>
              <w:jc w:val="right"/>
              <w:rPr>
                <w:rFonts w:cs="Arial"/>
                <w:color w:val="000000"/>
                <w:sz w:val="14"/>
                <w:szCs w:val="14"/>
              </w:rPr>
            </w:pPr>
            <w:r w:rsidRPr="003003C0">
              <w:rPr>
                <w:rFonts w:cs="Arial"/>
                <w:color w:val="000000"/>
                <w:sz w:val="14"/>
                <w:szCs w:val="14"/>
              </w:rPr>
              <w:t>15</w:t>
            </w:r>
            <w:r>
              <w:rPr>
                <w:rFonts w:cs="Arial"/>
                <w:color w:val="000000"/>
                <w:sz w:val="14"/>
                <w:szCs w:val="14"/>
              </w:rPr>
              <w:t>.</w:t>
            </w:r>
            <w:r w:rsidRPr="003003C0">
              <w:rPr>
                <w:rFonts w:cs="Arial"/>
                <w:color w:val="000000"/>
                <w:sz w:val="14"/>
                <w:szCs w:val="14"/>
              </w:rPr>
              <w:t>2</w:t>
            </w:r>
          </w:p>
        </w:tc>
        <w:tc>
          <w:tcPr>
            <w:tcW w:w="786" w:type="dxa"/>
            <w:noWrap/>
            <w:vAlign w:val="center"/>
            <w:hideMark/>
          </w:tcPr>
          <w:p w14:paraId="234835E0" w14:textId="77777777" w:rsidR="004F64EF" w:rsidRPr="003003C0" w:rsidRDefault="004F64EF" w:rsidP="00FD6B66">
            <w:pPr>
              <w:jc w:val="right"/>
              <w:rPr>
                <w:rFonts w:cs="Arial"/>
                <w:color w:val="000000"/>
                <w:sz w:val="14"/>
                <w:szCs w:val="14"/>
              </w:rPr>
            </w:pPr>
            <w:r w:rsidRPr="003003C0">
              <w:rPr>
                <w:rFonts w:cs="Arial"/>
                <w:color w:val="000000"/>
                <w:sz w:val="14"/>
                <w:szCs w:val="14"/>
              </w:rPr>
              <w:t>14</w:t>
            </w:r>
            <w:r>
              <w:rPr>
                <w:rFonts w:cs="Arial"/>
                <w:color w:val="000000"/>
                <w:sz w:val="14"/>
                <w:szCs w:val="14"/>
              </w:rPr>
              <w:t>.</w:t>
            </w:r>
            <w:r w:rsidRPr="003003C0">
              <w:rPr>
                <w:rFonts w:cs="Arial"/>
                <w:color w:val="000000"/>
                <w:sz w:val="14"/>
                <w:szCs w:val="14"/>
              </w:rPr>
              <w:t>5</w:t>
            </w:r>
          </w:p>
        </w:tc>
        <w:tc>
          <w:tcPr>
            <w:tcW w:w="785" w:type="dxa"/>
            <w:noWrap/>
            <w:vAlign w:val="center"/>
            <w:hideMark/>
          </w:tcPr>
          <w:p w14:paraId="24478E05" w14:textId="77777777" w:rsidR="004F64EF" w:rsidRPr="003003C0" w:rsidRDefault="004F64EF" w:rsidP="00FD6B66">
            <w:pPr>
              <w:jc w:val="right"/>
              <w:rPr>
                <w:rFonts w:cs="Arial"/>
                <w:color w:val="000000"/>
                <w:sz w:val="14"/>
                <w:szCs w:val="14"/>
              </w:rPr>
            </w:pPr>
            <w:r w:rsidRPr="003003C0">
              <w:rPr>
                <w:rFonts w:cs="Arial"/>
                <w:color w:val="000000"/>
                <w:sz w:val="14"/>
                <w:szCs w:val="14"/>
              </w:rPr>
              <w:t>15</w:t>
            </w:r>
            <w:r>
              <w:rPr>
                <w:rFonts w:cs="Arial"/>
                <w:color w:val="000000"/>
                <w:sz w:val="14"/>
                <w:szCs w:val="14"/>
              </w:rPr>
              <w:t>.</w:t>
            </w:r>
            <w:r w:rsidRPr="003003C0">
              <w:rPr>
                <w:rFonts w:cs="Arial"/>
                <w:color w:val="000000"/>
                <w:sz w:val="14"/>
                <w:szCs w:val="14"/>
              </w:rPr>
              <w:t>1</w:t>
            </w:r>
          </w:p>
        </w:tc>
        <w:tc>
          <w:tcPr>
            <w:tcW w:w="786" w:type="dxa"/>
            <w:noWrap/>
            <w:vAlign w:val="center"/>
            <w:hideMark/>
          </w:tcPr>
          <w:p w14:paraId="68201FC5" w14:textId="77777777" w:rsidR="004F64EF" w:rsidRPr="003003C0" w:rsidRDefault="004F64EF" w:rsidP="00FD6B66">
            <w:pPr>
              <w:jc w:val="right"/>
              <w:rPr>
                <w:rFonts w:cs="Arial"/>
                <w:color w:val="000000"/>
                <w:sz w:val="14"/>
                <w:szCs w:val="14"/>
              </w:rPr>
            </w:pPr>
            <w:r w:rsidRPr="003003C0">
              <w:rPr>
                <w:rFonts w:cs="Arial"/>
                <w:color w:val="000000"/>
                <w:sz w:val="14"/>
                <w:szCs w:val="14"/>
              </w:rPr>
              <w:t>15</w:t>
            </w:r>
            <w:r>
              <w:rPr>
                <w:rFonts w:cs="Arial"/>
                <w:color w:val="000000"/>
                <w:sz w:val="14"/>
                <w:szCs w:val="14"/>
              </w:rPr>
              <w:t>.</w:t>
            </w:r>
            <w:r w:rsidRPr="003003C0">
              <w:rPr>
                <w:rFonts w:cs="Arial"/>
                <w:color w:val="000000"/>
                <w:sz w:val="14"/>
                <w:szCs w:val="14"/>
              </w:rPr>
              <w:t>6</w:t>
            </w:r>
          </w:p>
        </w:tc>
        <w:tc>
          <w:tcPr>
            <w:tcW w:w="786" w:type="dxa"/>
            <w:noWrap/>
            <w:vAlign w:val="center"/>
            <w:hideMark/>
          </w:tcPr>
          <w:p w14:paraId="336FAD1F" w14:textId="77777777" w:rsidR="004F64EF" w:rsidRPr="003003C0" w:rsidRDefault="004F64EF" w:rsidP="00FD6B66">
            <w:pPr>
              <w:jc w:val="right"/>
              <w:rPr>
                <w:rFonts w:cs="Arial"/>
                <w:color w:val="000000"/>
                <w:sz w:val="14"/>
                <w:szCs w:val="14"/>
              </w:rPr>
            </w:pPr>
            <w:r w:rsidRPr="003003C0">
              <w:rPr>
                <w:rFonts w:cs="Arial"/>
                <w:color w:val="000000"/>
                <w:sz w:val="14"/>
                <w:szCs w:val="14"/>
              </w:rPr>
              <w:t>17</w:t>
            </w:r>
            <w:r>
              <w:rPr>
                <w:rFonts w:cs="Arial"/>
                <w:color w:val="000000"/>
                <w:sz w:val="14"/>
                <w:szCs w:val="14"/>
              </w:rPr>
              <w:t>.</w:t>
            </w:r>
            <w:r w:rsidRPr="003003C0">
              <w:rPr>
                <w:rFonts w:cs="Arial"/>
                <w:color w:val="000000"/>
                <w:sz w:val="14"/>
                <w:szCs w:val="14"/>
              </w:rPr>
              <w:t>1</w:t>
            </w:r>
          </w:p>
        </w:tc>
        <w:tc>
          <w:tcPr>
            <w:tcW w:w="786" w:type="dxa"/>
            <w:noWrap/>
            <w:vAlign w:val="center"/>
            <w:hideMark/>
          </w:tcPr>
          <w:p w14:paraId="5E514EF5" w14:textId="77777777" w:rsidR="004F64EF" w:rsidRPr="003003C0" w:rsidRDefault="004F64EF" w:rsidP="00FD6B66">
            <w:pPr>
              <w:jc w:val="right"/>
              <w:rPr>
                <w:rFonts w:cs="Arial"/>
                <w:color w:val="000000"/>
                <w:sz w:val="14"/>
                <w:szCs w:val="14"/>
              </w:rPr>
            </w:pPr>
            <w:r w:rsidRPr="003003C0">
              <w:rPr>
                <w:rFonts w:cs="Arial"/>
                <w:color w:val="000000"/>
                <w:sz w:val="14"/>
                <w:szCs w:val="14"/>
              </w:rPr>
              <w:t>16</w:t>
            </w:r>
            <w:r>
              <w:rPr>
                <w:rFonts w:cs="Arial"/>
                <w:color w:val="000000"/>
                <w:sz w:val="14"/>
                <w:szCs w:val="14"/>
              </w:rPr>
              <w:t>.</w:t>
            </w:r>
            <w:r w:rsidRPr="003003C0">
              <w:rPr>
                <w:rFonts w:cs="Arial"/>
                <w:color w:val="000000"/>
                <w:sz w:val="14"/>
                <w:szCs w:val="14"/>
              </w:rPr>
              <w:t>0</w:t>
            </w:r>
          </w:p>
        </w:tc>
      </w:tr>
      <w:tr w:rsidR="004F64EF" w:rsidRPr="003003C0" w14:paraId="5574E37C" w14:textId="77777777" w:rsidTr="00FD6B66">
        <w:trPr>
          <w:cnfStyle w:val="000000010000" w:firstRow="0" w:lastRow="0" w:firstColumn="0" w:lastColumn="0" w:oddVBand="0" w:evenVBand="0" w:oddHBand="0" w:evenHBand="1" w:firstRowFirstColumn="0" w:firstRowLastColumn="0" w:lastRowFirstColumn="0" w:lastRowLastColumn="0"/>
          <w:trHeight w:val="20"/>
        </w:trPr>
        <w:tc>
          <w:tcPr>
            <w:tcW w:w="3516" w:type="dxa"/>
            <w:noWrap/>
            <w:vAlign w:val="center"/>
            <w:hideMark/>
          </w:tcPr>
          <w:p w14:paraId="219574A1" w14:textId="77777777" w:rsidR="004F64EF" w:rsidRPr="003003C0" w:rsidRDefault="004F64EF" w:rsidP="00FD6B66">
            <w:pPr>
              <w:tabs>
                <w:tab w:val="left" w:pos="113"/>
              </w:tabs>
              <w:jc w:val="left"/>
              <w:rPr>
                <w:rFonts w:cs="Arial"/>
                <w:color w:val="000000"/>
                <w:sz w:val="14"/>
                <w:szCs w:val="14"/>
              </w:rPr>
            </w:pPr>
            <w:r w:rsidRPr="003003C0">
              <w:rPr>
                <w:rFonts w:cs="Arial"/>
                <w:color w:val="000000"/>
                <w:sz w:val="14"/>
                <w:szCs w:val="14"/>
              </w:rPr>
              <w:tab/>
            </w:r>
            <w:r>
              <w:rPr>
                <w:rFonts w:cs="Arial"/>
                <w:color w:val="000000"/>
                <w:sz w:val="14"/>
                <w:szCs w:val="14"/>
              </w:rPr>
              <w:t>EU</w:t>
            </w:r>
            <w:r w:rsidRPr="003003C0">
              <w:rPr>
                <w:rFonts w:cs="Arial"/>
                <w:color w:val="000000"/>
                <w:sz w:val="14"/>
                <w:szCs w:val="14"/>
              </w:rPr>
              <w:t>-27</w:t>
            </w:r>
          </w:p>
        </w:tc>
        <w:tc>
          <w:tcPr>
            <w:tcW w:w="785" w:type="dxa"/>
            <w:noWrap/>
            <w:vAlign w:val="center"/>
            <w:hideMark/>
          </w:tcPr>
          <w:p w14:paraId="7DA80B71" w14:textId="77777777" w:rsidR="004F64EF" w:rsidRPr="003003C0" w:rsidRDefault="004F64EF" w:rsidP="00FD6B66">
            <w:pPr>
              <w:jc w:val="right"/>
              <w:rPr>
                <w:rFonts w:cs="Arial"/>
                <w:color w:val="000000"/>
                <w:sz w:val="14"/>
                <w:szCs w:val="14"/>
              </w:rPr>
            </w:pPr>
            <w:r w:rsidRPr="003003C0">
              <w:rPr>
                <w:rFonts w:cs="Arial"/>
                <w:color w:val="000000"/>
                <w:sz w:val="14"/>
                <w:szCs w:val="14"/>
              </w:rPr>
              <w:t>11</w:t>
            </w:r>
            <w:r>
              <w:rPr>
                <w:rFonts w:cs="Arial"/>
                <w:color w:val="000000"/>
                <w:sz w:val="14"/>
                <w:szCs w:val="14"/>
              </w:rPr>
              <w:t>.</w:t>
            </w:r>
            <w:r w:rsidRPr="003003C0">
              <w:rPr>
                <w:rFonts w:cs="Arial"/>
                <w:color w:val="000000"/>
                <w:sz w:val="14"/>
                <w:szCs w:val="14"/>
              </w:rPr>
              <w:t>1</w:t>
            </w:r>
          </w:p>
        </w:tc>
        <w:tc>
          <w:tcPr>
            <w:tcW w:w="786" w:type="dxa"/>
            <w:noWrap/>
            <w:vAlign w:val="center"/>
            <w:hideMark/>
          </w:tcPr>
          <w:p w14:paraId="32CBEEC7" w14:textId="77777777" w:rsidR="004F64EF" w:rsidRPr="003003C0" w:rsidRDefault="004F64EF" w:rsidP="00FD6B66">
            <w:pPr>
              <w:jc w:val="right"/>
              <w:rPr>
                <w:rFonts w:cs="Arial"/>
                <w:color w:val="000000"/>
                <w:sz w:val="14"/>
                <w:szCs w:val="14"/>
              </w:rPr>
            </w:pPr>
            <w:r w:rsidRPr="003003C0">
              <w:rPr>
                <w:rFonts w:cs="Arial"/>
                <w:color w:val="000000"/>
                <w:sz w:val="14"/>
                <w:szCs w:val="14"/>
              </w:rPr>
              <w:t>13</w:t>
            </w:r>
            <w:r>
              <w:rPr>
                <w:rFonts w:cs="Arial"/>
                <w:color w:val="000000"/>
                <w:sz w:val="14"/>
                <w:szCs w:val="14"/>
              </w:rPr>
              <w:t>.</w:t>
            </w:r>
            <w:r w:rsidRPr="003003C0">
              <w:rPr>
                <w:rFonts w:cs="Arial"/>
                <w:color w:val="000000"/>
                <w:sz w:val="14"/>
                <w:szCs w:val="14"/>
              </w:rPr>
              <w:t>2</w:t>
            </w:r>
          </w:p>
        </w:tc>
        <w:tc>
          <w:tcPr>
            <w:tcW w:w="786" w:type="dxa"/>
            <w:noWrap/>
            <w:vAlign w:val="center"/>
            <w:hideMark/>
          </w:tcPr>
          <w:p w14:paraId="54942487" w14:textId="77777777" w:rsidR="004F64EF" w:rsidRPr="003003C0" w:rsidRDefault="004F64EF" w:rsidP="00FD6B66">
            <w:pPr>
              <w:jc w:val="right"/>
              <w:rPr>
                <w:rFonts w:cs="Arial"/>
                <w:color w:val="000000"/>
                <w:sz w:val="14"/>
                <w:szCs w:val="14"/>
              </w:rPr>
            </w:pPr>
            <w:r w:rsidRPr="003003C0">
              <w:rPr>
                <w:rFonts w:cs="Arial"/>
                <w:color w:val="000000"/>
                <w:sz w:val="14"/>
                <w:szCs w:val="14"/>
              </w:rPr>
              <w:t>12</w:t>
            </w:r>
            <w:r>
              <w:rPr>
                <w:rFonts w:cs="Arial"/>
                <w:color w:val="000000"/>
                <w:sz w:val="14"/>
                <w:szCs w:val="14"/>
              </w:rPr>
              <w:t>.</w:t>
            </w:r>
            <w:r w:rsidRPr="003003C0">
              <w:rPr>
                <w:rFonts w:cs="Arial"/>
                <w:color w:val="000000"/>
                <w:sz w:val="14"/>
                <w:szCs w:val="14"/>
              </w:rPr>
              <w:t>3</w:t>
            </w:r>
          </w:p>
        </w:tc>
        <w:tc>
          <w:tcPr>
            <w:tcW w:w="785" w:type="dxa"/>
            <w:noWrap/>
            <w:vAlign w:val="center"/>
            <w:hideMark/>
          </w:tcPr>
          <w:p w14:paraId="524A3FE2" w14:textId="77777777" w:rsidR="004F64EF" w:rsidRPr="003003C0" w:rsidRDefault="004F64EF" w:rsidP="00FD6B66">
            <w:pPr>
              <w:jc w:val="right"/>
              <w:rPr>
                <w:rFonts w:cs="Arial"/>
                <w:color w:val="000000"/>
                <w:sz w:val="14"/>
                <w:szCs w:val="14"/>
              </w:rPr>
            </w:pPr>
            <w:r w:rsidRPr="003003C0">
              <w:rPr>
                <w:rFonts w:cs="Arial"/>
                <w:color w:val="000000"/>
                <w:sz w:val="14"/>
                <w:szCs w:val="14"/>
              </w:rPr>
              <w:t>13</w:t>
            </w:r>
            <w:r>
              <w:rPr>
                <w:rFonts w:cs="Arial"/>
                <w:color w:val="000000"/>
                <w:sz w:val="14"/>
                <w:szCs w:val="14"/>
              </w:rPr>
              <w:t>.</w:t>
            </w:r>
            <w:r w:rsidRPr="003003C0">
              <w:rPr>
                <w:rFonts w:cs="Arial"/>
                <w:color w:val="000000"/>
                <w:sz w:val="14"/>
                <w:szCs w:val="14"/>
              </w:rPr>
              <w:t>1</w:t>
            </w:r>
          </w:p>
        </w:tc>
        <w:tc>
          <w:tcPr>
            <w:tcW w:w="786" w:type="dxa"/>
            <w:noWrap/>
            <w:vAlign w:val="center"/>
            <w:hideMark/>
          </w:tcPr>
          <w:p w14:paraId="0581B013" w14:textId="77777777" w:rsidR="004F64EF" w:rsidRPr="003003C0" w:rsidRDefault="004F64EF" w:rsidP="00FD6B66">
            <w:pPr>
              <w:jc w:val="right"/>
              <w:rPr>
                <w:rFonts w:cs="Arial"/>
                <w:color w:val="000000"/>
                <w:sz w:val="14"/>
                <w:szCs w:val="14"/>
              </w:rPr>
            </w:pPr>
            <w:r w:rsidRPr="003003C0">
              <w:rPr>
                <w:rFonts w:cs="Arial"/>
                <w:color w:val="000000"/>
                <w:sz w:val="14"/>
                <w:szCs w:val="14"/>
              </w:rPr>
              <w:t>13</w:t>
            </w:r>
            <w:r>
              <w:rPr>
                <w:rFonts w:cs="Arial"/>
                <w:color w:val="000000"/>
                <w:sz w:val="14"/>
                <w:szCs w:val="14"/>
              </w:rPr>
              <w:t>.</w:t>
            </w:r>
            <w:r w:rsidRPr="003003C0">
              <w:rPr>
                <w:rFonts w:cs="Arial"/>
                <w:color w:val="000000"/>
                <w:sz w:val="14"/>
                <w:szCs w:val="14"/>
              </w:rPr>
              <w:t>3</w:t>
            </w:r>
          </w:p>
        </w:tc>
        <w:tc>
          <w:tcPr>
            <w:tcW w:w="786" w:type="dxa"/>
            <w:noWrap/>
            <w:vAlign w:val="center"/>
            <w:hideMark/>
          </w:tcPr>
          <w:p w14:paraId="5B4C7CC0" w14:textId="77777777" w:rsidR="004F64EF" w:rsidRPr="003003C0" w:rsidRDefault="004F64EF" w:rsidP="00FD6B66">
            <w:pPr>
              <w:jc w:val="right"/>
              <w:rPr>
                <w:rFonts w:cs="Arial"/>
                <w:color w:val="000000"/>
                <w:sz w:val="14"/>
                <w:szCs w:val="14"/>
              </w:rPr>
            </w:pPr>
            <w:r w:rsidRPr="003003C0">
              <w:rPr>
                <w:rFonts w:cs="Arial"/>
                <w:color w:val="000000"/>
                <w:sz w:val="14"/>
                <w:szCs w:val="14"/>
              </w:rPr>
              <w:t>13</w:t>
            </w:r>
            <w:r>
              <w:rPr>
                <w:rFonts w:cs="Arial"/>
                <w:color w:val="000000"/>
                <w:sz w:val="14"/>
                <w:szCs w:val="14"/>
              </w:rPr>
              <w:t>.</w:t>
            </w:r>
            <w:r w:rsidRPr="003003C0">
              <w:rPr>
                <w:rFonts w:cs="Arial"/>
                <w:color w:val="000000"/>
                <w:sz w:val="14"/>
                <w:szCs w:val="14"/>
              </w:rPr>
              <w:t>9</w:t>
            </w:r>
          </w:p>
        </w:tc>
        <w:tc>
          <w:tcPr>
            <w:tcW w:w="786" w:type="dxa"/>
            <w:noWrap/>
            <w:vAlign w:val="center"/>
            <w:hideMark/>
          </w:tcPr>
          <w:p w14:paraId="205AC644" w14:textId="77777777" w:rsidR="004F64EF" w:rsidRPr="003003C0" w:rsidRDefault="004F64EF" w:rsidP="00FD6B66">
            <w:pPr>
              <w:jc w:val="right"/>
              <w:rPr>
                <w:rFonts w:cs="Arial"/>
                <w:color w:val="000000"/>
                <w:sz w:val="14"/>
                <w:szCs w:val="14"/>
              </w:rPr>
            </w:pPr>
            <w:r w:rsidRPr="003003C0">
              <w:rPr>
                <w:rFonts w:cs="Arial"/>
                <w:color w:val="000000"/>
                <w:sz w:val="14"/>
                <w:szCs w:val="14"/>
              </w:rPr>
              <w:t>11</w:t>
            </w:r>
            <w:r>
              <w:rPr>
                <w:rFonts w:cs="Arial"/>
                <w:color w:val="000000"/>
                <w:sz w:val="14"/>
                <w:szCs w:val="14"/>
              </w:rPr>
              <w:t>.</w:t>
            </w:r>
            <w:r w:rsidRPr="003003C0">
              <w:rPr>
                <w:rFonts w:cs="Arial"/>
                <w:color w:val="000000"/>
                <w:sz w:val="14"/>
                <w:szCs w:val="14"/>
              </w:rPr>
              <w:t>7</w:t>
            </w:r>
          </w:p>
        </w:tc>
      </w:tr>
      <w:tr w:rsidR="004F64EF" w:rsidRPr="003003C0" w14:paraId="5575F4FE" w14:textId="77777777" w:rsidTr="00FD6B66">
        <w:trPr>
          <w:trHeight w:val="20"/>
        </w:trPr>
        <w:tc>
          <w:tcPr>
            <w:tcW w:w="3516" w:type="dxa"/>
            <w:noWrap/>
            <w:vAlign w:val="center"/>
            <w:hideMark/>
          </w:tcPr>
          <w:p w14:paraId="00480283" w14:textId="77777777" w:rsidR="004F64EF" w:rsidRPr="003003C0" w:rsidRDefault="004F64EF" w:rsidP="00FD6B66">
            <w:pPr>
              <w:tabs>
                <w:tab w:val="left" w:pos="510"/>
              </w:tabs>
              <w:jc w:val="left"/>
              <w:rPr>
                <w:rFonts w:cs="Arial"/>
                <w:color w:val="000000"/>
                <w:sz w:val="14"/>
                <w:szCs w:val="14"/>
              </w:rPr>
            </w:pPr>
            <w:r w:rsidRPr="003003C0">
              <w:rPr>
                <w:rFonts w:cs="Arial"/>
                <w:color w:val="000000"/>
                <w:sz w:val="14"/>
                <w:szCs w:val="14"/>
              </w:rPr>
              <w:tab/>
            </w:r>
            <w:r>
              <w:rPr>
                <w:rFonts w:cs="Arial"/>
                <w:color w:val="000000"/>
                <w:sz w:val="14"/>
                <w:szCs w:val="14"/>
              </w:rPr>
              <w:t>Spain</w:t>
            </w:r>
          </w:p>
        </w:tc>
        <w:tc>
          <w:tcPr>
            <w:tcW w:w="785" w:type="dxa"/>
            <w:noWrap/>
            <w:vAlign w:val="center"/>
            <w:hideMark/>
          </w:tcPr>
          <w:p w14:paraId="659515BB" w14:textId="77777777" w:rsidR="004F64EF" w:rsidRPr="003003C0" w:rsidRDefault="004F64EF" w:rsidP="00FD6B66">
            <w:pPr>
              <w:jc w:val="right"/>
              <w:rPr>
                <w:rFonts w:cs="Arial"/>
                <w:color w:val="000000"/>
                <w:sz w:val="14"/>
                <w:szCs w:val="14"/>
              </w:rPr>
            </w:pPr>
            <w:r w:rsidRPr="003003C0">
              <w:rPr>
                <w:rFonts w:cs="Arial"/>
                <w:color w:val="000000"/>
                <w:sz w:val="14"/>
                <w:szCs w:val="14"/>
              </w:rPr>
              <w:t>3</w:t>
            </w:r>
            <w:r>
              <w:rPr>
                <w:rFonts w:cs="Arial"/>
                <w:color w:val="000000"/>
                <w:sz w:val="14"/>
                <w:szCs w:val="14"/>
              </w:rPr>
              <w:t>.</w:t>
            </w:r>
            <w:r w:rsidRPr="003003C0">
              <w:rPr>
                <w:rFonts w:cs="Arial"/>
                <w:color w:val="000000"/>
                <w:sz w:val="14"/>
                <w:szCs w:val="14"/>
              </w:rPr>
              <w:t>8</w:t>
            </w:r>
          </w:p>
        </w:tc>
        <w:tc>
          <w:tcPr>
            <w:tcW w:w="786" w:type="dxa"/>
            <w:noWrap/>
            <w:vAlign w:val="center"/>
            <w:hideMark/>
          </w:tcPr>
          <w:p w14:paraId="236FA557" w14:textId="77777777" w:rsidR="004F64EF" w:rsidRPr="003003C0" w:rsidRDefault="004F64EF" w:rsidP="00FD6B66">
            <w:pPr>
              <w:jc w:val="right"/>
              <w:rPr>
                <w:rFonts w:cs="Arial"/>
                <w:color w:val="000000"/>
                <w:sz w:val="14"/>
                <w:szCs w:val="14"/>
              </w:rPr>
            </w:pPr>
            <w:r w:rsidRPr="003003C0">
              <w:rPr>
                <w:rFonts w:cs="Arial"/>
                <w:color w:val="000000"/>
                <w:sz w:val="14"/>
                <w:szCs w:val="14"/>
              </w:rPr>
              <w:t>4</w:t>
            </w:r>
            <w:r>
              <w:rPr>
                <w:rFonts w:cs="Arial"/>
                <w:color w:val="000000"/>
                <w:sz w:val="14"/>
                <w:szCs w:val="14"/>
              </w:rPr>
              <w:t>.</w:t>
            </w:r>
            <w:r w:rsidRPr="003003C0">
              <w:rPr>
                <w:rFonts w:cs="Arial"/>
                <w:color w:val="000000"/>
                <w:sz w:val="14"/>
                <w:szCs w:val="14"/>
              </w:rPr>
              <w:t>2</w:t>
            </w:r>
          </w:p>
        </w:tc>
        <w:tc>
          <w:tcPr>
            <w:tcW w:w="786" w:type="dxa"/>
            <w:noWrap/>
            <w:vAlign w:val="center"/>
            <w:hideMark/>
          </w:tcPr>
          <w:p w14:paraId="0D26CCE1" w14:textId="77777777" w:rsidR="004F64EF" w:rsidRPr="003003C0" w:rsidRDefault="004F64EF" w:rsidP="00FD6B66">
            <w:pPr>
              <w:jc w:val="right"/>
              <w:rPr>
                <w:rFonts w:cs="Arial"/>
                <w:color w:val="000000"/>
                <w:sz w:val="14"/>
                <w:szCs w:val="14"/>
              </w:rPr>
            </w:pPr>
            <w:r w:rsidRPr="003003C0">
              <w:rPr>
                <w:rFonts w:cs="Arial"/>
                <w:color w:val="000000"/>
                <w:sz w:val="14"/>
                <w:szCs w:val="14"/>
              </w:rPr>
              <w:t>4</w:t>
            </w:r>
            <w:r>
              <w:rPr>
                <w:rFonts w:cs="Arial"/>
                <w:color w:val="000000"/>
                <w:sz w:val="14"/>
                <w:szCs w:val="14"/>
              </w:rPr>
              <w:t>.</w:t>
            </w:r>
            <w:r w:rsidRPr="003003C0">
              <w:rPr>
                <w:rFonts w:cs="Arial"/>
                <w:color w:val="000000"/>
                <w:sz w:val="14"/>
                <w:szCs w:val="14"/>
              </w:rPr>
              <w:t>1</w:t>
            </w:r>
          </w:p>
        </w:tc>
        <w:tc>
          <w:tcPr>
            <w:tcW w:w="785" w:type="dxa"/>
            <w:noWrap/>
            <w:vAlign w:val="center"/>
            <w:hideMark/>
          </w:tcPr>
          <w:p w14:paraId="248E9826" w14:textId="77777777" w:rsidR="004F64EF" w:rsidRPr="003003C0" w:rsidRDefault="004F64EF" w:rsidP="00FD6B66">
            <w:pPr>
              <w:jc w:val="right"/>
              <w:rPr>
                <w:rFonts w:cs="Arial"/>
                <w:color w:val="000000"/>
                <w:sz w:val="14"/>
                <w:szCs w:val="14"/>
              </w:rPr>
            </w:pPr>
            <w:r w:rsidRPr="003003C0">
              <w:rPr>
                <w:rFonts w:cs="Arial"/>
                <w:color w:val="000000"/>
                <w:sz w:val="14"/>
                <w:szCs w:val="14"/>
              </w:rPr>
              <w:t>4</w:t>
            </w:r>
            <w:r>
              <w:rPr>
                <w:rFonts w:cs="Arial"/>
                <w:color w:val="000000"/>
                <w:sz w:val="14"/>
                <w:szCs w:val="14"/>
              </w:rPr>
              <w:t>.</w:t>
            </w:r>
            <w:r w:rsidRPr="003003C0">
              <w:rPr>
                <w:rFonts w:cs="Arial"/>
                <w:color w:val="000000"/>
                <w:sz w:val="14"/>
                <w:szCs w:val="14"/>
              </w:rPr>
              <w:t>3</w:t>
            </w:r>
          </w:p>
        </w:tc>
        <w:tc>
          <w:tcPr>
            <w:tcW w:w="786" w:type="dxa"/>
            <w:noWrap/>
            <w:vAlign w:val="center"/>
            <w:hideMark/>
          </w:tcPr>
          <w:p w14:paraId="0D6FBD6E" w14:textId="77777777" w:rsidR="004F64EF" w:rsidRPr="003003C0" w:rsidRDefault="004F64EF" w:rsidP="00FD6B66">
            <w:pPr>
              <w:jc w:val="right"/>
              <w:rPr>
                <w:rFonts w:cs="Arial"/>
                <w:color w:val="000000"/>
                <w:sz w:val="14"/>
                <w:szCs w:val="14"/>
              </w:rPr>
            </w:pPr>
            <w:r w:rsidRPr="003003C0">
              <w:rPr>
                <w:rFonts w:cs="Arial"/>
                <w:color w:val="000000"/>
                <w:sz w:val="14"/>
                <w:szCs w:val="14"/>
              </w:rPr>
              <w:t>4</w:t>
            </w:r>
            <w:r>
              <w:rPr>
                <w:rFonts w:cs="Arial"/>
                <w:color w:val="000000"/>
                <w:sz w:val="14"/>
                <w:szCs w:val="14"/>
              </w:rPr>
              <w:t>.</w:t>
            </w:r>
            <w:r w:rsidRPr="003003C0">
              <w:rPr>
                <w:rFonts w:cs="Arial"/>
                <w:color w:val="000000"/>
                <w:sz w:val="14"/>
                <w:szCs w:val="14"/>
              </w:rPr>
              <w:t>1</w:t>
            </w:r>
          </w:p>
        </w:tc>
        <w:tc>
          <w:tcPr>
            <w:tcW w:w="786" w:type="dxa"/>
            <w:noWrap/>
            <w:vAlign w:val="center"/>
            <w:hideMark/>
          </w:tcPr>
          <w:p w14:paraId="12C2CD5A" w14:textId="77777777" w:rsidR="004F64EF" w:rsidRPr="003003C0" w:rsidRDefault="004F64EF" w:rsidP="00FD6B66">
            <w:pPr>
              <w:jc w:val="right"/>
              <w:rPr>
                <w:rFonts w:cs="Arial"/>
                <w:color w:val="000000"/>
                <w:sz w:val="14"/>
                <w:szCs w:val="14"/>
              </w:rPr>
            </w:pPr>
            <w:r w:rsidRPr="003003C0">
              <w:rPr>
                <w:rFonts w:cs="Arial"/>
                <w:color w:val="000000"/>
                <w:sz w:val="14"/>
                <w:szCs w:val="14"/>
              </w:rPr>
              <w:t>4</w:t>
            </w:r>
            <w:r>
              <w:rPr>
                <w:rFonts w:cs="Arial"/>
                <w:color w:val="000000"/>
                <w:sz w:val="14"/>
                <w:szCs w:val="14"/>
              </w:rPr>
              <w:t>.</w:t>
            </w:r>
            <w:r w:rsidRPr="003003C0">
              <w:rPr>
                <w:rFonts w:cs="Arial"/>
                <w:color w:val="000000"/>
                <w:sz w:val="14"/>
                <w:szCs w:val="14"/>
              </w:rPr>
              <w:t>0</w:t>
            </w:r>
          </w:p>
        </w:tc>
        <w:tc>
          <w:tcPr>
            <w:tcW w:w="786" w:type="dxa"/>
            <w:noWrap/>
            <w:vAlign w:val="center"/>
            <w:hideMark/>
          </w:tcPr>
          <w:p w14:paraId="564CA580" w14:textId="77777777" w:rsidR="004F64EF" w:rsidRPr="003003C0" w:rsidRDefault="004F64EF" w:rsidP="00FD6B66">
            <w:pPr>
              <w:jc w:val="right"/>
              <w:rPr>
                <w:rFonts w:cs="Arial"/>
                <w:color w:val="000000"/>
                <w:sz w:val="14"/>
                <w:szCs w:val="14"/>
              </w:rPr>
            </w:pPr>
            <w:r w:rsidRPr="003003C0">
              <w:rPr>
                <w:rFonts w:cs="Arial"/>
                <w:color w:val="000000"/>
                <w:sz w:val="14"/>
                <w:szCs w:val="14"/>
              </w:rPr>
              <w:t>3</w:t>
            </w:r>
            <w:r>
              <w:rPr>
                <w:rFonts w:cs="Arial"/>
                <w:color w:val="000000"/>
                <w:sz w:val="14"/>
                <w:szCs w:val="14"/>
              </w:rPr>
              <w:t>.</w:t>
            </w:r>
            <w:r w:rsidRPr="003003C0">
              <w:rPr>
                <w:rFonts w:cs="Arial"/>
                <w:color w:val="000000"/>
                <w:sz w:val="14"/>
                <w:szCs w:val="14"/>
              </w:rPr>
              <w:t>6</w:t>
            </w:r>
          </w:p>
        </w:tc>
      </w:tr>
      <w:tr w:rsidR="004F64EF" w:rsidRPr="003003C0" w14:paraId="6BF56895" w14:textId="77777777" w:rsidTr="00FD6B66">
        <w:trPr>
          <w:cnfStyle w:val="000000010000" w:firstRow="0" w:lastRow="0" w:firstColumn="0" w:lastColumn="0" w:oddVBand="0" w:evenVBand="0" w:oddHBand="0" w:evenHBand="1" w:firstRowFirstColumn="0" w:firstRowLastColumn="0" w:lastRowFirstColumn="0" w:lastRowLastColumn="0"/>
          <w:trHeight w:val="20"/>
        </w:trPr>
        <w:tc>
          <w:tcPr>
            <w:tcW w:w="3516" w:type="dxa"/>
            <w:noWrap/>
            <w:vAlign w:val="center"/>
            <w:hideMark/>
          </w:tcPr>
          <w:p w14:paraId="294497C8" w14:textId="77777777" w:rsidR="004F64EF" w:rsidRPr="003003C0" w:rsidRDefault="004F64EF" w:rsidP="00FD6B66">
            <w:pPr>
              <w:tabs>
                <w:tab w:val="left" w:pos="510"/>
              </w:tabs>
              <w:jc w:val="left"/>
              <w:rPr>
                <w:rFonts w:cs="Arial"/>
                <w:color w:val="000000"/>
                <w:sz w:val="14"/>
                <w:szCs w:val="14"/>
              </w:rPr>
            </w:pPr>
            <w:r w:rsidRPr="003003C0">
              <w:rPr>
                <w:rFonts w:cs="Arial"/>
                <w:color w:val="000000"/>
                <w:sz w:val="14"/>
                <w:szCs w:val="14"/>
              </w:rPr>
              <w:tab/>
            </w:r>
            <w:r>
              <w:rPr>
                <w:rFonts w:cs="Arial"/>
                <w:color w:val="000000"/>
                <w:sz w:val="14"/>
                <w:szCs w:val="14"/>
              </w:rPr>
              <w:t>Germany</w:t>
            </w:r>
          </w:p>
        </w:tc>
        <w:tc>
          <w:tcPr>
            <w:tcW w:w="785" w:type="dxa"/>
            <w:noWrap/>
            <w:vAlign w:val="center"/>
            <w:hideMark/>
          </w:tcPr>
          <w:p w14:paraId="477F8F86" w14:textId="77777777" w:rsidR="004F64EF" w:rsidRPr="003003C0" w:rsidRDefault="004F64EF" w:rsidP="00FD6B66">
            <w:pPr>
              <w:jc w:val="right"/>
              <w:rPr>
                <w:rFonts w:cs="Arial"/>
                <w:color w:val="000000"/>
                <w:sz w:val="14"/>
                <w:szCs w:val="14"/>
              </w:rPr>
            </w:pPr>
            <w:r w:rsidRPr="003003C0">
              <w:rPr>
                <w:rFonts w:cs="Arial"/>
                <w:color w:val="000000"/>
                <w:sz w:val="14"/>
                <w:szCs w:val="14"/>
              </w:rPr>
              <w:t>2</w:t>
            </w:r>
            <w:r>
              <w:rPr>
                <w:rFonts w:cs="Arial"/>
                <w:color w:val="000000"/>
                <w:sz w:val="14"/>
                <w:szCs w:val="14"/>
              </w:rPr>
              <w:t>.</w:t>
            </w:r>
            <w:r w:rsidRPr="003003C0">
              <w:rPr>
                <w:rFonts w:cs="Arial"/>
                <w:color w:val="000000"/>
                <w:sz w:val="14"/>
                <w:szCs w:val="14"/>
              </w:rPr>
              <w:t>0</w:t>
            </w:r>
          </w:p>
        </w:tc>
        <w:tc>
          <w:tcPr>
            <w:tcW w:w="786" w:type="dxa"/>
            <w:noWrap/>
            <w:vAlign w:val="center"/>
            <w:hideMark/>
          </w:tcPr>
          <w:p w14:paraId="03B1E68B" w14:textId="77777777" w:rsidR="004F64EF" w:rsidRPr="003003C0" w:rsidRDefault="004F64EF" w:rsidP="00FD6B66">
            <w:pPr>
              <w:jc w:val="right"/>
              <w:rPr>
                <w:rFonts w:cs="Arial"/>
                <w:color w:val="000000"/>
                <w:sz w:val="14"/>
                <w:szCs w:val="14"/>
              </w:rPr>
            </w:pPr>
            <w:r w:rsidRPr="003003C0">
              <w:rPr>
                <w:rFonts w:cs="Arial"/>
                <w:color w:val="000000"/>
                <w:sz w:val="14"/>
                <w:szCs w:val="14"/>
              </w:rPr>
              <w:t>1</w:t>
            </w:r>
            <w:r>
              <w:rPr>
                <w:rFonts w:cs="Arial"/>
                <w:color w:val="000000"/>
                <w:sz w:val="14"/>
                <w:szCs w:val="14"/>
              </w:rPr>
              <w:t>.</w:t>
            </w:r>
            <w:r w:rsidRPr="003003C0">
              <w:rPr>
                <w:rFonts w:cs="Arial"/>
                <w:color w:val="000000"/>
                <w:sz w:val="14"/>
                <w:szCs w:val="14"/>
              </w:rPr>
              <w:t>8</w:t>
            </w:r>
          </w:p>
        </w:tc>
        <w:tc>
          <w:tcPr>
            <w:tcW w:w="786" w:type="dxa"/>
            <w:noWrap/>
            <w:vAlign w:val="center"/>
            <w:hideMark/>
          </w:tcPr>
          <w:p w14:paraId="5AE61452" w14:textId="77777777" w:rsidR="004F64EF" w:rsidRPr="003003C0" w:rsidRDefault="004F64EF" w:rsidP="00FD6B66">
            <w:pPr>
              <w:jc w:val="right"/>
              <w:rPr>
                <w:rFonts w:cs="Arial"/>
                <w:color w:val="000000"/>
                <w:sz w:val="14"/>
                <w:szCs w:val="14"/>
              </w:rPr>
            </w:pPr>
            <w:r w:rsidRPr="003003C0">
              <w:rPr>
                <w:rFonts w:cs="Arial"/>
                <w:color w:val="000000"/>
                <w:sz w:val="14"/>
                <w:szCs w:val="14"/>
              </w:rPr>
              <w:t>1</w:t>
            </w:r>
            <w:r>
              <w:rPr>
                <w:rFonts w:cs="Arial"/>
                <w:color w:val="000000"/>
                <w:sz w:val="14"/>
                <w:szCs w:val="14"/>
              </w:rPr>
              <w:t>.</w:t>
            </w:r>
            <w:r w:rsidRPr="003003C0">
              <w:rPr>
                <w:rFonts w:cs="Arial"/>
                <w:color w:val="000000"/>
                <w:sz w:val="14"/>
                <w:szCs w:val="14"/>
              </w:rPr>
              <w:t>9</w:t>
            </w:r>
          </w:p>
        </w:tc>
        <w:tc>
          <w:tcPr>
            <w:tcW w:w="785" w:type="dxa"/>
            <w:noWrap/>
            <w:vAlign w:val="center"/>
            <w:hideMark/>
          </w:tcPr>
          <w:p w14:paraId="47A685F9" w14:textId="77777777" w:rsidR="004F64EF" w:rsidRPr="003003C0" w:rsidRDefault="004F64EF" w:rsidP="00FD6B66">
            <w:pPr>
              <w:jc w:val="right"/>
              <w:rPr>
                <w:rFonts w:cs="Arial"/>
                <w:color w:val="000000"/>
                <w:sz w:val="14"/>
                <w:szCs w:val="14"/>
              </w:rPr>
            </w:pPr>
            <w:r w:rsidRPr="003003C0">
              <w:rPr>
                <w:rFonts w:cs="Arial"/>
                <w:color w:val="000000"/>
                <w:sz w:val="14"/>
                <w:szCs w:val="14"/>
              </w:rPr>
              <w:t>2</w:t>
            </w:r>
            <w:r>
              <w:rPr>
                <w:rFonts w:cs="Arial"/>
                <w:color w:val="000000"/>
                <w:sz w:val="14"/>
                <w:szCs w:val="14"/>
              </w:rPr>
              <w:t>.</w:t>
            </w:r>
            <w:r w:rsidRPr="003003C0">
              <w:rPr>
                <w:rFonts w:cs="Arial"/>
                <w:color w:val="000000"/>
                <w:sz w:val="14"/>
                <w:szCs w:val="14"/>
              </w:rPr>
              <w:t>1</w:t>
            </w:r>
          </w:p>
        </w:tc>
        <w:tc>
          <w:tcPr>
            <w:tcW w:w="786" w:type="dxa"/>
            <w:noWrap/>
            <w:vAlign w:val="center"/>
            <w:hideMark/>
          </w:tcPr>
          <w:p w14:paraId="5A6E88C8" w14:textId="77777777" w:rsidR="004F64EF" w:rsidRPr="003003C0" w:rsidRDefault="004F64EF" w:rsidP="00FD6B66">
            <w:pPr>
              <w:jc w:val="right"/>
              <w:rPr>
                <w:rFonts w:cs="Arial"/>
                <w:color w:val="000000"/>
                <w:sz w:val="14"/>
                <w:szCs w:val="14"/>
              </w:rPr>
            </w:pPr>
            <w:r w:rsidRPr="003003C0">
              <w:rPr>
                <w:rFonts w:cs="Arial"/>
                <w:color w:val="000000"/>
                <w:sz w:val="14"/>
                <w:szCs w:val="14"/>
              </w:rPr>
              <w:t>1</w:t>
            </w:r>
            <w:r>
              <w:rPr>
                <w:rFonts w:cs="Arial"/>
                <w:color w:val="000000"/>
                <w:sz w:val="14"/>
                <w:szCs w:val="14"/>
              </w:rPr>
              <w:t>.</w:t>
            </w:r>
            <w:r w:rsidRPr="003003C0">
              <w:rPr>
                <w:rFonts w:cs="Arial"/>
                <w:color w:val="000000"/>
                <w:sz w:val="14"/>
                <w:szCs w:val="14"/>
              </w:rPr>
              <w:t>9</w:t>
            </w:r>
          </w:p>
        </w:tc>
        <w:tc>
          <w:tcPr>
            <w:tcW w:w="786" w:type="dxa"/>
            <w:noWrap/>
            <w:vAlign w:val="center"/>
            <w:hideMark/>
          </w:tcPr>
          <w:p w14:paraId="5D824D00" w14:textId="77777777" w:rsidR="004F64EF" w:rsidRPr="003003C0" w:rsidRDefault="004F64EF" w:rsidP="00FD6B66">
            <w:pPr>
              <w:jc w:val="right"/>
              <w:rPr>
                <w:rFonts w:cs="Arial"/>
                <w:color w:val="000000"/>
                <w:sz w:val="14"/>
                <w:szCs w:val="14"/>
              </w:rPr>
            </w:pPr>
            <w:r w:rsidRPr="003003C0">
              <w:rPr>
                <w:rFonts w:cs="Arial"/>
                <w:color w:val="000000"/>
                <w:sz w:val="14"/>
                <w:szCs w:val="14"/>
              </w:rPr>
              <w:t>2</w:t>
            </w:r>
            <w:r>
              <w:rPr>
                <w:rFonts w:cs="Arial"/>
                <w:color w:val="000000"/>
                <w:sz w:val="14"/>
                <w:szCs w:val="14"/>
              </w:rPr>
              <w:t>.</w:t>
            </w:r>
            <w:r w:rsidRPr="003003C0">
              <w:rPr>
                <w:rFonts w:cs="Arial"/>
                <w:color w:val="000000"/>
                <w:sz w:val="14"/>
                <w:szCs w:val="14"/>
              </w:rPr>
              <w:t>4</w:t>
            </w:r>
          </w:p>
        </w:tc>
        <w:tc>
          <w:tcPr>
            <w:tcW w:w="786" w:type="dxa"/>
            <w:noWrap/>
            <w:vAlign w:val="center"/>
            <w:hideMark/>
          </w:tcPr>
          <w:p w14:paraId="6AD0EBDD" w14:textId="77777777" w:rsidR="004F64EF" w:rsidRPr="003003C0" w:rsidRDefault="004F64EF" w:rsidP="00FD6B66">
            <w:pPr>
              <w:jc w:val="right"/>
              <w:rPr>
                <w:rFonts w:cs="Arial"/>
                <w:color w:val="000000"/>
                <w:sz w:val="14"/>
                <w:szCs w:val="14"/>
              </w:rPr>
            </w:pPr>
            <w:r w:rsidRPr="003003C0">
              <w:rPr>
                <w:rFonts w:cs="Arial"/>
                <w:color w:val="000000"/>
                <w:sz w:val="14"/>
                <w:szCs w:val="14"/>
              </w:rPr>
              <w:t>1</w:t>
            </w:r>
            <w:r>
              <w:rPr>
                <w:rFonts w:cs="Arial"/>
                <w:color w:val="000000"/>
                <w:sz w:val="14"/>
                <w:szCs w:val="14"/>
              </w:rPr>
              <w:t>.</w:t>
            </w:r>
            <w:r w:rsidRPr="003003C0">
              <w:rPr>
                <w:rFonts w:cs="Arial"/>
                <w:color w:val="000000"/>
                <w:sz w:val="14"/>
                <w:szCs w:val="14"/>
              </w:rPr>
              <w:t>9</w:t>
            </w:r>
          </w:p>
        </w:tc>
      </w:tr>
      <w:tr w:rsidR="004F64EF" w:rsidRPr="003003C0" w14:paraId="3BC27E5D" w14:textId="77777777" w:rsidTr="00FD6B66">
        <w:trPr>
          <w:trHeight w:val="20"/>
        </w:trPr>
        <w:tc>
          <w:tcPr>
            <w:tcW w:w="3516" w:type="dxa"/>
            <w:noWrap/>
            <w:vAlign w:val="center"/>
            <w:hideMark/>
          </w:tcPr>
          <w:p w14:paraId="40B9FA2A" w14:textId="77777777" w:rsidR="004F64EF" w:rsidRPr="003003C0" w:rsidRDefault="004F64EF" w:rsidP="00FD6B66">
            <w:pPr>
              <w:tabs>
                <w:tab w:val="left" w:pos="510"/>
              </w:tabs>
              <w:jc w:val="left"/>
              <w:rPr>
                <w:rFonts w:cs="Arial"/>
                <w:color w:val="000000"/>
                <w:sz w:val="14"/>
                <w:szCs w:val="14"/>
              </w:rPr>
            </w:pPr>
            <w:r w:rsidRPr="003003C0">
              <w:rPr>
                <w:rFonts w:cs="Arial"/>
                <w:color w:val="000000"/>
                <w:sz w:val="14"/>
                <w:szCs w:val="14"/>
              </w:rPr>
              <w:tab/>
            </w:r>
            <w:r>
              <w:rPr>
                <w:rFonts w:cs="Arial"/>
                <w:color w:val="000000"/>
                <w:sz w:val="14"/>
                <w:szCs w:val="14"/>
              </w:rPr>
              <w:t>Netherlands</w:t>
            </w:r>
          </w:p>
        </w:tc>
        <w:tc>
          <w:tcPr>
            <w:tcW w:w="785" w:type="dxa"/>
            <w:noWrap/>
            <w:vAlign w:val="center"/>
            <w:hideMark/>
          </w:tcPr>
          <w:p w14:paraId="39BEF599"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6</w:t>
            </w:r>
          </w:p>
        </w:tc>
        <w:tc>
          <w:tcPr>
            <w:tcW w:w="786" w:type="dxa"/>
            <w:noWrap/>
            <w:vAlign w:val="center"/>
            <w:hideMark/>
          </w:tcPr>
          <w:p w14:paraId="6DE0CE57"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6</w:t>
            </w:r>
          </w:p>
        </w:tc>
        <w:tc>
          <w:tcPr>
            <w:tcW w:w="786" w:type="dxa"/>
            <w:noWrap/>
            <w:vAlign w:val="center"/>
            <w:hideMark/>
          </w:tcPr>
          <w:p w14:paraId="6458BEB0" w14:textId="77777777" w:rsidR="004F64EF" w:rsidRPr="003003C0" w:rsidRDefault="004F64EF" w:rsidP="00FD6B66">
            <w:pPr>
              <w:jc w:val="right"/>
              <w:rPr>
                <w:rFonts w:cs="Arial"/>
                <w:color w:val="000000"/>
                <w:sz w:val="14"/>
                <w:szCs w:val="14"/>
              </w:rPr>
            </w:pPr>
            <w:r w:rsidRPr="003003C0">
              <w:rPr>
                <w:rFonts w:cs="Arial"/>
                <w:color w:val="000000"/>
                <w:sz w:val="14"/>
                <w:szCs w:val="14"/>
              </w:rPr>
              <w:t>1</w:t>
            </w:r>
            <w:r>
              <w:rPr>
                <w:rFonts w:cs="Arial"/>
                <w:color w:val="000000"/>
                <w:sz w:val="14"/>
                <w:szCs w:val="14"/>
              </w:rPr>
              <w:t>.</w:t>
            </w:r>
            <w:r w:rsidRPr="003003C0">
              <w:rPr>
                <w:rFonts w:cs="Arial"/>
                <w:color w:val="000000"/>
                <w:sz w:val="14"/>
                <w:szCs w:val="14"/>
              </w:rPr>
              <w:t>7</w:t>
            </w:r>
          </w:p>
        </w:tc>
        <w:tc>
          <w:tcPr>
            <w:tcW w:w="785" w:type="dxa"/>
            <w:noWrap/>
            <w:vAlign w:val="center"/>
            <w:hideMark/>
          </w:tcPr>
          <w:p w14:paraId="3B98531C" w14:textId="77777777" w:rsidR="004F64EF" w:rsidRPr="003003C0" w:rsidRDefault="004F64EF" w:rsidP="00FD6B66">
            <w:pPr>
              <w:jc w:val="right"/>
              <w:rPr>
                <w:rFonts w:cs="Arial"/>
                <w:color w:val="000000"/>
                <w:sz w:val="14"/>
                <w:szCs w:val="14"/>
              </w:rPr>
            </w:pPr>
            <w:r w:rsidRPr="003003C0">
              <w:rPr>
                <w:rFonts w:cs="Arial"/>
                <w:color w:val="000000"/>
                <w:sz w:val="14"/>
                <w:szCs w:val="14"/>
              </w:rPr>
              <w:t>2</w:t>
            </w:r>
            <w:r>
              <w:rPr>
                <w:rFonts w:cs="Arial"/>
                <w:color w:val="000000"/>
                <w:sz w:val="14"/>
                <w:szCs w:val="14"/>
              </w:rPr>
              <w:t>.</w:t>
            </w:r>
            <w:r w:rsidRPr="003003C0">
              <w:rPr>
                <w:rFonts w:cs="Arial"/>
                <w:color w:val="000000"/>
                <w:sz w:val="14"/>
                <w:szCs w:val="14"/>
              </w:rPr>
              <w:t>0</w:t>
            </w:r>
          </w:p>
        </w:tc>
        <w:tc>
          <w:tcPr>
            <w:tcW w:w="786" w:type="dxa"/>
            <w:noWrap/>
            <w:vAlign w:val="center"/>
            <w:hideMark/>
          </w:tcPr>
          <w:p w14:paraId="5DB92599" w14:textId="77777777" w:rsidR="004F64EF" w:rsidRPr="003003C0" w:rsidRDefault="004F64EF" w:rsidP="00FD6B66">
            <w:pPr>
              <w:jc w:val="right"/>
              <w:rPr>
                <w:rFonts w:cs="Arial"/>
                <w:color w:val="000000"/>
                <w:sz w:val="14"/>
                <w:szCs w:val="14"/>
              </w:rPr>
            </w:pPr>
            <w:r w:rsidRPr="003003C0">
              <w:rPr>
                <w:rFonts w:cs="Arial"/>
                <w:color w:val="000000"/>
                <w:sz w:val="14"/>
                <w:szCs w:val="14"/>
              </w:rPr>
              <w:t>3</w:t>
            </w:r>
            <w:r>
              <w:rPr>
                <w:rFonts w:cs="Arial"/>
                <w:color w:val="000000"/>
                <w:sz w:val="14"/>
                <w:szCs w:val="14"/>
              </w:rPr>
              <w:t>.</w:t>
            </w:r>
            <w:r w:rsidRPr="003003C0">
              <w:rPr>
                <w:rFonts w:cs="Arial"/>
                <w:color w:val="000000"/>
                <w:sz w:val="14"/>
                <w:szCs w:val="14"/>
              </w:rPr>
              <w:t>0</w:t>
            </w:r>
          </w:p>
        </w:tc>
        <w:tc>
          <w:tcPr>
            <w:tcW w:w="786" w:type="dxa"/>
            <w:noWrap/>
            <w:vAlign w:val="center"/>
            <w:hideMark/>
          </w:tcPr>
          <w:p w14:paraId="22E442EA" w14:textId="77777777" w:rsidR="004F64EF" w:rsidRPr="003003C0" w:rsidRDefault="004F64EF" w:rsidP="00FD6B66">
            <w:pPr>
              <w:jc w:val="right"/>
              <w:rPr>
                <w:rFonts w:cs="Arial"/>
                <w:color w:val="000000"/>
                <w:sz w:val="14"/>
                <w:szCs w:val="14"/>
              </w:rPr>
            </w:pPr>
            <w:r w:rsidRPr="003003C0">
              <w:rPr>
                <w:rFonts w:cs="Arial"/>
                <w:color w:val="000000"/>
                <w:sz w:val="14"/>
                <w:szCs w:val="14"/>
              </w:rPr>
              <w:t>2</w:t>
            </w:r>
            <w:r>
              <w:rPr>
                <w:rFonts w:cs="Arial"/>
                <w:color w:val="000000"/>
                <w:sz w:val="14"/>
                <w:szCs w:val="14"/>
              </w:rPr>
              <w:t>.</w:t>
            </w:r>
            <w:r w:rsidRPr="003003C0">
              <w:rPr>
                <w:rFonts w:cs="Arial"/>
                <w:color w:val="000000"/>
                <w:sz w:val="14"/>
                <w:szCs w:val="14"/>
              </w:rPr>
              <w:t>0</w:t>
            </w:r>
          </w:p>
        </w:tc>
        <w:tc>
          <w:tcPr>
            <w:tcW w:w="786" w:type="dxa"/>
            <w:noWrap/>
            <w:vAlign w:val="center"/>
            <w:hideMark/>
          </w:tcPr>
          <w:p w14:paraId="29E7C6CD" w14:textId="77777777" w:rsidR="004F64EF" w:rsidRPr="003003C0" w:rsidRDefault="004F64EF" w:rsidP="00FD6B66">
            <w:pPr>
              <w:jc w:val="right"/>
              <w:rPr>
                <w:rFonts w:cs="Arial"/>
                <w:color w:val="000000"/>
                <w:sz w:val="14"/>
                <w:szCs w:val="14"/>
              </w:rPr>
            </w:pPr>
            <w:r w:rsidRPr="003003C0">
              <w:rPr>
                <w:rFonts w:cs="Arial"/>
                <w:color w:val="000000"/>
                <w:sz w:val="14"/>
                <w:szCs w:val="14"/>
              </w:rPr>
              <w:t>1</w:t>
            </w:r>
            <w:r>
              <w:rPr>
                <w:rFonts w:cs="Arial"/>
                <w:color w:val="000000"/>
                <w:sz w:val="14"/>
                <w:szCs w:val="14"/>
              </w:rPr>
              <w:t>.</w:t>
            </w:r>
            <w:r w:rsidRPr="003003C0">
              <w:rPr>
                <w:rFonts w:cs="Arial"/>
                <w:color w:val="000000"/>
                <w:sz w:val="14"/>
                <w:szCs w:val="14"/>
              </w:rPr>
              <w:t>5</w:t>
            </w:r>
          </w:p>
        </w:tc>
      </w:tr>
      <w:tr w:rsidR="004F64EF" w:rsidRPr="003003C0" w14:paraId="54303D31" w14:textId="77777777" w:rsidTr="00FD6B66">
        <w:trPr>
          <w:cnfStyle w:val="000000010000" w:firstRow="0" w:lastRow="0" w:firstColumn="0" w:lastColumn="0" w:oddVBand="0" w:evenVBand="0" w:oddHBand="0" w:evenHBand="1" w:firstRowFirstColumn="0" w:firstRowLastColumn="0" w:lastRowFirstColumn="0" w:lastRowLastColumn="0"/>
          <w:trHeight w:val="20"/>
        </w:trPr>
        <w:tc>
          <w:tcPr>
            <w:tcW w:w="3516" w:type="dxa"/>
            <w:noWrap/>
            <w:vAlign w:val="center"/>
            <w:hideMark/>
          </w:tcPr>
          <w:p w14:paraId="2F769219" w14:textId="77777777" w:rsidR="004F64EF" w:rsidRPr="003003C0" w:rsidRDefault="004F64EF" w:rsidP="00FD6B66">
            <w:pPr>
              <w:tabs>
                <w:tab w:val="left" w:pos="510"/>
              </w:tabs>
              <w:jc w:val="left"/>
              <w:rPr>
                <w:rFonts w:cs="Arial"/>
                <w:color w:val="000000"/>
                <w:sz w:val="14"/>
                <w:szCs w:val="14"/>
              </w:rPr>
            </w:pPr>
            <w:r w:rsidRPr="003003C0">
              <w:rPr>
                <w:rFonts w:cs="Arial"/>
                <w:color w:val="000000"/>
                <w:sz w:val="14"/>
                <w:szCs w:val="14"/>
              </w:rPr>
              <w:tab/>
              <w:t>Ita</w:t>
            </w:r>
            <w:r>
              <w:rPr>
                <w:rFonts w:cs="Arial"/>
                <w:color w:val="000000"/>
                <w:sz w:val="14"/>
                <w:szCs w:val="14"/>
              </w:rPr>
              <w:t>ly</w:t>
            </w:r>
          </w:p>
        </w:tc>
        <w:tc>
          <w:tcPr>
            <w:tcW w:w="785" w:type="dxa"/>
            <w:noWrap/>
            <w:vAlign w:val="center"/>
            <w:hideMark/>
          </w:tcPr>
          <w:p w14:paraId="72CF9A87" w14:textId="77777777" w:rsidR="004F64EF" w:rsidRPr="003003C0" w:rsidRDefault="004F64EF" w:rsidP="00FD6B66">
            <w:pPr>
              <w:jc w:val="right"/>
              <w:rPr>
                <w:rFonts w:cs="Arial"/>
                <w:color w:val="000000"/>
                <w:sz w:val="14"/>
                <w:szCs w:val="14"/>
              </w:rPr>
            </w:pPr>
            <w:r w:rsidRPr="003003C0">
              <w:rPr>
                <w:rFonts w:cs="Arial"/>
                <w:color w:val="000000"/>
                <w:sz w:val="14"/>
                <w:szCs w:val="14"/>
              </w:rPr>
              <w:t>1</w:t>
            </w:r>
            <w:r>
              <w:rPr>
                <w:rFonts w:cs="Arial"/>
                <w:color w:val="000000"/>
                <w:sz w:val="14"/>
                <w:szCs w:val="14"/>
              </w:rPr>
              <w:t>.</w:t>
            </w:r>
            <w:r w:rsidRPr="003003C0">
              <w:rPr>
                <w:rFonts w:cs="Arial"/>
                <w:color w:val="000000"/>
                <w:sz w:val="14"/>
                <w:szCs w:val="14"/>
              </w:rPr>
              <w:t>4</w:t>
            </w:r>
          </w:p>
        </w:tc>
        <w:tc>
          <w:tcPr>
            <w:tcW w:w="786" w:type="dxa"/>
            <w:noWrap/>
            <w:vAlign w:val="center"/>
            <w:hideMark/>
          </w:tcPr>
          <w:p w14:paraId="216817E5" w14:textId="77777777" w:rsidR="004F64EF" w:rsidRPr="003003C0" w:rsidRDefault="004F64EF" w:rsidP="00FD6B66">
            <w:pPr>
              <w:jc w:val="right"/>
              <w:rPr>
                <w:rFonts w:cs="Arial"/>
                <w:color w:val="000000"/>
                <w:sz w:val="14"/>
                <w:szCs w:val="14"/>
              </w:rPr>
            </w:pPr>
            <w:r w:rsidRPr="003003C0">
              <w:rPr>
                <w:rFonts w:cs="Arial"/>
                <w:color w:val="000000"/>
                <w:sz w:val="14"/>
                <w:szCs w:val="14"/>
              </w:rPr>
              <w:t>3</w:t>
            </w:r>
            <w:r>
              <w:rPr>
                <w:rFonts w:cs="Arial"/>
                <w:color w:val="000000"/>
                <w:sz w:val="14"/>
                <w:szCs w:val="14"/>
              </w:rPr>
              <w:t>.</w:t>
            </w:r>
            <w:r w:rsidRPr="003003C0">
              <w:rPr>
                <w:rFonts w:cs="Arial"/>
                <w:color w:val="000000"/>
                <w:sz w:val="14"/>
                <w:szCs w:val="14"/>
              </w:rPr>
              <w:t>3</w:t>
            </w:r>
          </w:p>
        </w:tc>
        <w:tc>
          <w:tcPr>
            <w:tcW w:w="786" w:type="dxa"/>
            <w:noWrap/>
            <w:vAlign w:val="center"/>
            <w:hideMark/>
          </w:tcPr>
          <w:p w14:paraId="31696091" w14:textId="77777777" w:rsidR="004F64EF" w:rsidRPr="003003C0" w:rsidRDefault="004F64EF" w:rsidP="00FD6B66">
            <w:pPr>
              <w:jc w:val="right"/>
              <w:rPr>
                <w:rFonts w:cs="Arial"/>
                <w:color w:val="000000"/>
                <w:sz w:val="14"/>
                <w:szCs w:val="14"/>
              </w:rPr>
            </w:pPr>
            <w:r w:rsidRPr="003003C0">
              <w:rPr>
                <w:rFonts w:cs="Arial"/>
                <w:color w:val="000000"/>
                <w:sz w:val="14"/>
                <w:szCs w:val="14"/>
              </w:rPr>
              <w:t>1</w:t>
            </w:r>
            <w:r>
              <w:rPr>
                <w:rFonts w:cs="Arial"/>
                <w:color w:val="000000"/>
                <w:sz w:val="14"/>
                <w:szCs w:val="14"/>
              </w:rPr>
              <w:t>.</w:t>
            </w:r>
            <w:r w:rsidRPr="003003C0">
              <w:rPr>
                <w:rFonts w:cs="Arial"/>
                <w:color w:val="000000"/>
                <w:sz w:val="14"/>
                <w:szCs w:val="14"/>
              </w:rPr>
              <w:t>4</w:t>
            </w:r>
          </w:p>
        </w:tc>
        <w:tc>
          <w:tcPr>
            <w:tcW w:w="785" w:type="dxa"/>
            <w:noWrap/>
            <w:vAlign w:val="center"/>
            <w:hideMark/>
          </w:tcPr>
          <w:p w14:paraId="32AA733E" w14:textId="77777777" w:rsidR="004F64EF" w:rsidRPr="003003C0" w:rsidRDefault="004F64EF" w:rsidP="00FD6B66">
            <w:pPr>
              <w:jc w:val="right"/>
              <w:rPr>
                <w:rFonts w:cs="Arial"/>
                <w:color w:val="000000"/>
                <w:sz w:val="14"/>
                <w:szCs w:val="14"/>
              </w:rPr>
            </w:pPr>
            <w:r w:rsidRPr="003003C0">
              <w:rPr>
                <w:rFonts w:cs="Arial"/>
                <w:color w:val="000000"/>
                <w:sz w:val="14"/>
                <w:szCs w:val="14"/>
              </w:rPr>
              <w:t>1</w:t>
            </w:r>
            <w:r>
              <w:rPr>
                <w:rFonts w:cs="Arial"/>
                <w:color w:val="000000"/>
                <w:sz w:val="14"/>
                <w:szCs w:val="14"/>
              </w:rPr>
              <w:t>.</w:t>
            </w:r>
            <w:r w:rsidRPr="003003C0">
              <w:rPr>
                <w:rFonts w:cs="Arial"/>
                <w:color w:val="000000"/>
                <w:sz w:val="14"/>
                <w:szCs w:val="14"/>
              </w:rPr>
              <w:t>3</w:t>
            </w:r>
          </w:p>
        </w:tc>
        <w:tc>
          <w:tcPr>
            <w:tcW w:w="786" w:type="dxa"/>
            <w:noWrap/>
            <w:vAlign w:val="center"/>
            <w:hideMark/>
          </w:tcPr>
          <w:p w14:paraId="5013DFD3" w14:textId="77777777" w:rsidR="004F64EF" w:rsidRPr="003003C0" w:rsidRDefault="004F64EF" w:rsidP="00FD6B66">
            <w:pPr>
              <w:jc w:val="right"/>
              <w:rPr>
                <w:rFonts w:cs="Arial"/>
                <w:color w:val="000000"/>
                <w:sz w:val="14"/>
                <w:szCs w:val="14"/>
              </w:rPr>
            </w:pPr>
            <w:r w:rsidRPr="003003C0">
              <w:rPr>
                <w:rFonts w:cs="Arial"/>
                <w:color w:val="000000"/>
                <w:sz w:val="14"/>
                <w:szCs w:val="14"/>
              </w:rPr>
              <w:t>1</w:t>
            </w:r>
            <w:r>
              <w:rPr>
                <w:rFonts w:cs="Arial"/>
                <w:color w:val="000000"/>
                <w:sz w:val="14"/>
                <w:szCs w:val="14"/>
              </w:rPr>
              <w:t>.</w:t>
            </w:r>
            <w:r w:rsidRPr="003003C0">
              <w:rPr>
                <w:rFonts w:cs="Arial"/>
                <w:color w:val="000000"/>
                <w:sz w:val="14"/>
                <w:szCs w:val="14"/>
              </w:rPr>
              <w:t>3</w:t>
            </w:r>
          </w:p>
        </w:tc>
        <w:tc>
          <w:tcPr>
            <w:tcW w:w="786" w:type="dxa"/>
            <w:noWrap/>
            <w:vAlign w:val="center"/>
            <w:hideMark/>
          </w:tcPr>
          <w:p w14:paraId="257E7460" w14:textId="77777777" w:rsidR="004F64EF" w:rsidRPr="003003C0" w:rsidRDefault="004F64EF" w:rsidP="00FD6B66">
            <w:pPr>
              <w:jc w:val="right"/>
              <w:rPr>
                <w:rFonts w:cs="Arial"/>
                <w:color w:val="000000"/>
                <w:sz w:val="14"/>
                <w:szCs w:val="14"/>
              </w:rPr>
            </w:pPr>
            <w:r w:rsidRPr="003003C0">
              <w:rPr>
                <w:rFonts w:cs="Arial"/>
                <w:color w:val="000000"/>
                <w:sz w:val="14"/>
                <w:szCs w:val="14"/>
              </w:rPr>
              <w:t>1</w:t>
            </w:r>
            <w:r>
              <w:rPr>
                <w:rFonts w:cs="Arial"/>
                <w:color w:val="000000"/>
                <w:sz w:val="14"/>
                <w:szCs w:val="14"/>
              </w:rPr>
              <w:t>.</w:t>
            </w:r>
            <w:r w:rsidRPr="003003C0">
              <w:rPr>
                <w:rFonts w:cs="Arial"/>
                <w:color w:val="000000"/>
                <w:sz w:val="14"/>
                <w:szCs w:val="14"/>
              </w:rPr>
              <w:t>5</w:t>
            </w:r>
          </w:p>
        </w:tc>
        <w:tc>
          <w:tcPr>
            <w:tcW w:w="786" w:type="dxa"/>
            <w:noWrap/>
            <w:vAlign w:val="center"/>
            <w:hideMark/>
          </w:tcPr>
          <w:p w14:paraId="7F434EBA" w14:textId="77777777" w:rsidR="004F64EF" w:rsidRPr="003003C0" w:rsidRDefault="004F64EF" w:rsidP="00FD6B66">
            <w:pPr>
              <w:jc w:val="right"/>
              <w:rPr>
                <w:rFonts w:cs="Arial"/>
                <w:color w:val="000000"/>
                <w:sz w:val="14"/>
                <w:szCs w:val="14"/>
              </w:rPr>
            </w:pPr>
            <w:r w:rsidRPr="003003C0">
              <w:rPr>
                <w:rFonts w:cs="Arial"/>
                <w:color w:val="000000"/>
                <w:sz w:val="14"/>
                <w:szCs w:val="14"/>
              </w:rPr>
              <w:t>1</w:t>
            </w:r>
            <w:r>
              <w:rPr>
                <w:rFonts w:cs="Arial"/>
                <w:color w:val="000000"/>
                <w:sz w:val="14"/>
                <w:szCs w:val="14"/>
              </w:rPr>
              <w:t>.</w:t>
            </w:r>
            <w:r w:rsidRPr="003003C0">
              <w:rPr>
                <w:rFonts w:cs="Arial"/>
                <w:color w:val="000000"/>
                <w:sz w:val="14"/>
                <w:szCs w:val="14"/>
              </w:rPr>
              <w:t>3</w:t>
            </w:r>
          </w:p>
        </w:tc>
      </w:tr>
      <w:tr w:rsidR="004F64EF" w:rsidRPr="003003C0" w14:paraId="3254E4E3" w14:textId="77777777" w:rsidTr="00FD6B66">
        <w:trPr>
          <w:trHeight w:val="20"/>
        </w:trPr>
        <w:tc>
          <w:tcPr>
            <w:tcW w:w="3516" w:type="dxa"/>
            <w:noWrap/>
            <w:vAlign w:val="center"/>
            <w:hideMark/>
          </w:tcPr>
          <w:p w14:paraId="59A851F2" w14:textId="77777777" w:rsidR="004F64EF" w:rsidRPr="003003C0" w:rsidRDefault="004F64EF" w:rsidP="00FD6B66">
            <w:pPr>
              <w:tabs>
                <w:tab w:val="left" w:pos="510"/>
              </w:tabs>
              <w:jc w:val="left"/>
              <w:rPr>
                <w:rFonts w:cs="Arial"/>
                <w:color w:val="000000"/>
                <w:sz w:val="14"/>
                <w:szCs w:val="14"/>
              </w:rPr>
            </w:pPr>
            <w:r w:rsidRPr="003003C0">
              <w:rPr>
                <w:rFonts w:cs="Arial"/>
                <w:color w:val="000000"/>
                <w:sz w:val="14"/>
                <w:szCs w:val="14"/>
              </w:rPr>
              <w:tab/>
              <w:t>Franc</w:t>
            </w:r>
            <w:r>
              <w:rPr>
                <w:rFonts w:cs="Arial"/>
                <w:color w:val="000000"/>
                <w:sz w:val="14"/>
                <w:szCs w:val="14"/>
              </w:rPr>
              <w:t>e</w:t>
            </w:r>
          </w:p>
        </w:tc>
        <w:tc>
          <w:tcPr>
            <w:tcW w:w="785" w:type="dxa"/>
            <w:noWrap/>
            <w:vAlign w:val="center"/>
            <w:hideMark/>
          </w:tcPr>
          <w:p w14:paraId="295CA641" w14:textId="77777777" w:rsidR="004F64EF" w:rsidRPr="003003C0" w:rsidRDefault="004F64EF" w:rsidP="00FD6B66">
            <w:pPr>
              <w:jc w:val="right"/>
              <w:rPr>
                <w:rFonts w:cs="Arial"/>
                <w:color w:val="000000"/>
                <w:sz w:val="14"/>
                <w:szCs w:val="14"/>
              </w:rPr>
            </w:pPr>
            <w:r w:rsidRPr="003003C0">
              <w:rPr>
                <w:rFonts w:cs="Arial"/>
                <w:color w:val="000000"/>
                <w:sz w:val="14"/>
                <w:szCs w:val="14"/>
              </w:rPr>
              <w:t>1</w:t>
            </w:r>
            <w:r>
              <w:rPr>
                <w:rFonts w:cs="Arial"/>
                <w:color w:val="000000"/>
                <w:sz w:val="14"/>
                <w:szCs w:val="14"/>
              </w:rPr>
              <w:t>.</w:t>
            </w:r>
            <w:r w:rsidRPr="003003C0">
              <w:rPr>
                <w:rFonts w:cs="Arial"/>
                <w:color w:val="000000"/>
                <w:sz w:val="14"/>
                <w:szCs w:val="14"/>
              </w:rPr>
              <w:t>1</w:t>
            </w:r>
          </w:p>
        </w:tc>
        <w:tc>
          <w:tcPr>
            <w:tcW w:w="786" w:type="dxa"/>
            <w:noWrap/>
            <w:vAlign w:val="center"/>
            <w:hideMark/>
          </w:tcPr>
          <w:p w14:paraId="6262D052" w14:textId="77777777" w:rsidR="004F64EF" w:rsidRPr="003003C0" w:rsidRDefault="004F64EF" w:rsidP="00FD6B66">
            <w:pPr>
              <w:jc w:val="right"/>
              <w:rPr>
                <w:rFonts w:cs="Arial"/>
                <w:color w:val="000000"/>
                <w:sz w:val="14"/>
                <w:szCs w:val="14"/>
              </w:rPr>
            </w:pPr>
            <w:r w:rsidRPr="003003C0">
              <w:rPr>
                <w:rFonts w:cs="Arial"/>
                <w:color w:val="000000"/>
                <w:sz w:val="14"/>
                <w:szCs w:val="14"/>
              </w:rPr>
              <w:t>1</w:t>
            </w:r>
            <w:r>
              <w:rPr>
                <w:rFonts w:cs="Arial"/>
                <w:color w:val="000000"/>
                <w:sz w:val="14"/>
                <w:szCs w:val="14"/>
              </w:rPr>
              <w:t>.</w:t>
            </w:r>
            <w:r w:rsidRPr="003003C0">
              <w:rPr>
                <w:rFonts w:cs="Arial"/>
                <w:color w:val="000000"/>
                <w:sz w:val="14"/>
                <w:szCs w:val="14"/>
              </w:rPr>
              <w:t>1</w:t>
            </w:r>
          </w:p>
        </w:tc>
        <w:tc>
          <w:tcPr>
            <w:tcW w:w="786" w:type="dxa"/>
            <w:noWrap/>
            <w:vAlign w:val="center"/>
            <w:hideMark/>
          </w:tcPr>
          <w:p w14:paraId="03DEC949" w14:textId="77777777" w:rsidR="004F64EF" w:rsidRPr="003003C0" w:rsidRDefault="004F64EF" w:rsidP="00FD6B66">
            <w:pPr>
              <w:jc w:val="right"/>
              <w:rPr>
                <w:rFonts w:cs="Arial"/>
                <w:color w:val="000000"/>
                <w:sz w:val="14"/>
                <w:szCs w:val="14"/>
              </w:rPr>
            </w:pPr>
            <w:r w:rsidRPr="003003C0">
              <w:rPr>
                <w:rFonts w:cs="Arial"/>
                <w:color w:val="000000"/>
                <w:sz w:val="14"/>
                <w:szCs w:val="14"/>
              </w:rPr>
              <w:t>1</w:t>
            </w:r>
            <w:r>
              <w:rPr>
                <w:rFonts w:cs="Arial"/>
                <w:color w:val="000000"/>
                <w:sz w:val="14"/>
                <w:szCs w:val="14"/>
              </w:rPr>
              <w:t>.</w:t>
            </w:r>
            <w:r w:rsidRPr="003003C0">
              <w:rPr>
                <w:rFonts w:cs="Arial"/>
                <w:color w:val="000000"/>
                <w:sz w:val="14"/>
                <w:szCs w:val="14"/>
              </w:rPr>
              <w:t>1</w:t>
            </w:r>
          </w:p>
        </w:tc>
        <w:tc>
          <w:tcPr>
            <w:tcW w:w="785" w:type="dxa"/>
            <w:noWrap/>
            <w:vAlign w:val="center"/>
            <w:hideMark/>
          </w:tcPr>
          <w:p w14:paraId="14DCB3CA"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9</w:t>
            </w:r>
          </w:p>
        </w:tc>
        <w:tc>
          <w:tcPr>
            <w:tcW w:w="786" w:type="dxa"/>
            <w:noWrap/>
            <w:vAlign w:val="center"/>
            <w:hideMark/>
          </w:tcPr>
          <w:p w14:paraId="71E9FDAF"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9</w:t>
            </w:r>
          </w:p>
        </w:tc>
        <w:tc>
          <w:tcPr>
            <w:tcW w:w="786" w:type="dxa"/>
            <w:noWrap/>
            <w:vAlign w:val="center"/>
            <w:hideMark/>
          </w:tcPr>
          <w:p w14:paraId="38B61058"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9</w:t>
            </w:r>
          </w:p>
        </w:tc>
        <w:tc>
          <w:tcPr>
            <w:tcW w:w="786" w:type="dxa"/>
            <w:noWrap/>
            <w:vAlign w:val="center"/>
            <w:hideMark/>
          </w:tcPr>
          <w:p w14:paraId="3B9DDDDB"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9</w:t>
            </w:r>
          </w:p>
        </w:tc>
      </w:tr>
      <w:tr w:rsidR="004F64EF" w:rsidRPr="003003C0" w14:paraId="2D076462" w14:textId="77777777" w:rsidTr="00FD6B66">
        <w:trPr>
          <w:cnfStyle w:val="000000010000" w:firstRow="0" w:lastRow="0" w:firstColumn="0" w:lastColumn="0" w:oddVBand="0" w:evenVBand="0" w:oddHBand="0" w:evenHBand="1" w:firstRowFirstColumn="0" w:firstRowLastColumn="0" w:lastRowFirstColumn="0" w:lastRowLastColumn="0"/>
          <w:trHeight w:val="20"/>
        </w:trPr>
        <w:tc>
          <w:tcPr>
            <w:tcW w:w="3516" w:type="dxa"/>
            <w:noWrap/>
            <w:vAlign w:val="center"/>
            <w:hideMark/>
          </w:tcPr>
          <w:p w14:paraId="7DDDB97E" w14:textId="77777777" w:rsidR="004F64EF" w:rsidRPr="003003C0" w:rsidRDefault="004F64EF" w:rsidP="00FD6B66">
            <w:pPr>
              <w:tabs>
                <w:tab w:val="left" w:pos="113"/>
              </w:tabs>
              <w:jc w:val="left"/>
              <w:rPr>
                <w:rFonts w:cs="Arial"/>
                <w:color w:val="000000"/>
                <w:sz w:val="14"/>
                <w:szCs w:val="14"/>
              </w:rPr>
            </w:pPr>
            <w:r w:rsidRPr="003003C0">
              <w:rPr>
                <w:rFonts w:cs="Arial"/>
                <w:color w:val="000000"/>
                <w:sz w:val="14"/>
                <w:szCs w:val="14"/>
              </w:rPr>
              <w:tab/>
            </w:r>
            <w:r>
              <w:rPr>
                <w:rFonts w:cs="Arial"/>
                <w:color w:val="000000"/>
                <w:sz w:val="14"/>
                <w:szCs w:val="14"/>
              </w:rPr>
              <w:t>EFTA</w:t>
            </w:r>
          </w:p>
        </w:tc>
        <w:tc>
          <w:tcPr>
            <w:tcW w:w="785" w:type="dxa"/>
            <w:noWrap/>
            <w:vAlign w:val="center"/>
            <w:hideMark/>
          </w:tcPr>
          <w:p w14:paraId="3E221F98"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6</w:t>
            </w:r>
          </w:p>
        </w:tc>
        <w:tc>
          <w:tcPr>
            <w:tcW w:w="786" w:type="dxa"/>
            <w:noWrap/>
            <w:vAlign w:val="center"/>
            <w:hideMark/>
          </w:tcPr>
          <w:p w14:paraId="3E22D7C5"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7</w:t>
            </w:r>
          </w:p>
        </w:tc>
        <w:tc>
          <w:tcPr>
            <w:tcW w:w="786" w:type="dxa"/>
            <w:noWrap/>
            <w:vAlign w:val="center"/>
            <w:hideMark/>
          </w:tcPr>
          <w:p w14:paraId="59BC7A54"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7</w:t>
            </w:r>
          </w:p>
        </w:tc>
        <w:tc>
          <w:tcPr>
            <w:tcW w:w="785" w:type="dxa"/>
            <w:noWrap/>
            <w:vAlign w:val="center"/>
            <w:hideMark/>
          </w:tcPr>
          <w:p w14:paraId="2EADD995"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7</w:t>
            </w:r>
          </w:p>
        </w:tc>
        <w:tc>
          <w:tcPr>
            <w:tcW w:w="786" w:type="dxa"/>
            <w:noWrap/>
            <w:vAlign w:val="center"/>
            <w:hideMark/>
          </w:tcPr>
          <w:p w14:paraId="5E8106A3"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7</w:t>
            </w:r>
          </w:p>
        </w:tc>
        <w:tc>
          <w:tcPr>
            <w:tcW w:w="786" w:type="dxa"/>
            <w:noWrap/>
            <w:vAlign w:val="center"/>
            <w:hideMark/>
          </w:tcPr>
          <w:p w14:paraId="16E88F6E"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9</w:t>
            </w:r>
          </w:p>
        </w:tc>
        <w:tc>
          <w:tcPr>
            <w:tcW w:w="786" w:type="dxa"/>
            <w:noWrap/>
            <w:vAlign w:val="center"/>
            <w:hideMark/>
          </w:tcPr>
          <w:p w14:paraId="72D33E3B"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7</w:t>
            </w:r>
          </w:p>
        </w:tc>
      </w:tr>
      <w:tr w:rsidR="004F64EF" w:rsidRPr="003003C0" w14:paraId="0678EB0F" w14:textId="77777777" w:rsidTr="00FD6B66">
        <w:trPr>
          <w:trHeight w:val="20"/>
        </w:trPr>
        <w:tc>
          <w:tcPr>
            <w:tcW w:w="3516" w:type="dxa"/>
            <w:noWrap/>
            <w:vAlign w:val="center"/>
            <w:hideMark/>
          </w:tcPr>
          <w:p w14:paraId="0FA2BC53" w14:textId="77777777" w:rsidR="004F64EF" w:rsidRPr="003003C0" w:rsidRDefault="004F64EF" w:rsidP="00F0233E">
            <w:pPr>
              <w:tabs>
                <w:tab w:val="left" w:pos="510"/>
              </w:tabs>
              <w:jc w:val="left"/>
              <w:rPr>
                <w:rFonts w:cs="Arial"/>
                <w:color w:val="000000"/>
                <w:sz w:val="14"/>
                <w:szCs w:val="14"/>
              </w:rPr>
            </w:pPr>
            <w:r w:rsidRPr="003003C0">
              <w:rPr>
                <w:rFonts w:cs="Arial"/>
                <w:color w:val="000000"/>
                <w:sz w:val="14"/>
                <w:szCs w:val="14"/>
              </w:rPr>
              <w:tab/>
              <w:t>S</w:t>
            </w:r>
            <w:r>
              <w:rPr>
                <w:rFonts w:cs="Arial"/>
                <w:color w:val="000000"/>
                <w:sz w:val="14"/>
                <w:szCs w:val="14"/>
              </w:rPr>
              <w:t>witzerland</w:t>
            </w:r>
          </w:p>
        </w:tc>
        <w:tc>
          <w:tcPr>
            <w:tcW w:w="785" w:type="dxa"/>
            <w:noWrap/>
            <w:vAlign w:val="center"/>
            <w:hideMark/>
          </w:tcPr>
          <w:p w14:paraId="711F82E2"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3</w:t>
            </w:r>
          </w:p>
        </w:tc>
        <w:tc>
          <w:tcPr>
            <w:tcW w:w="786" w:type="dxa"/>
            <w:noWrap/>
            <w:vAlign w:val="center"/>
            <w:hideMark/>
          </w:tcPr>
          <w:p w14:paraId="60ED03EC"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4</w:t>
            </w:r>
          </w:p>
        </w:tc>
        <w:tc>
          <w:tcPr>
            <w:tcW w:w="786" w:type="dxa"/>
            <w:noWrap/>
            <w:vAlign w:val="center"/>
            <w:hideMark/>
          </w:tcPr>
          <w:p w14:paraId="7FBC5D41"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4</w:t>
            </w:r>
          </w:p>
        </w:tc>
        <w:tc>
          <w:tcPr>
            <w:tcW w:w="785" w:type="dxa"/>
            <w:noWrap/>
            <w:vAlign w:val="center"/>
            <w:hideMark/>
          </w:tcPr>
          <w:p w14:paraId="785295B9"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4</w:t>
            </w:r>
          </w:p>
        </w:tc>
        <w:tc>
          <w:tcPr>
            <w:tcW w:w="786" w:type="dxa"/>
            <w:noWrap/>
            <w:vAlign w:val="center"/>
            <w:hideMark/>
          </w:tcPr>
          <w:p w14:paraId="1346D804"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4</w:t>
            </w:r>
          </w:p>
        </w:tc>
        <w:tc>
          <w:tcPr>
            <w:tcW w:w="786" w:type="dxa"/>
            <w:noWrap/>
            <w:vAlign w:val="center"/>
            <w:hideMark/>
          </w:tcPr>
          <w:p w14:paraId="1FD9C408"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5</w:t>
            </w:r>
          </w:p>
        </w:tc>
        <w:tc>
          <w:tcPr>
            <w:tcW w:w="786" w:type="dxa"/>
            <w:noWrap/>
            <w:vAlign w:val="center"/>
            <w:hideMark/>
          </w:tcPr>
          <w:p w14:paraId="004231B0"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4</w:t>
            </w:r>
          </w:p>
        </w:tc>
      </w:tr>
      <w:tr w:rsidR="004F64EF" w:rsidRPr="003003C0" w14:paraId="39E418D3" w14:textId="77777777" w:rsidTr="00FD6B66">
        <w:trPr>
          <w:cnfStyle w:val="000000010000" w:firstRow="0" w:lastRow="0" w:firstColumn="0" w:lastColumn="0" w:oddVBand="0" w:evenVBand="0" w:oddHBand="0" w:evenHBand="1" w:firstRowFirstColumn="0" w:firstRowLastColumn="0" w:lastRowFirstColumn="0" w:lastRowLastColumn="0"/>
          <w:trHeight w:val="20"/>
        </w:trPr>
        <w:tc>
          <w:tcPr>
            <w:tcW w:w="3516" w:type="dxa"/>
            <w:noWrap/>
            <w:vAlign w:val="center"/>
            <w:hideMark/>
          </w:tcPr>
          <w:p w14:paraId="67DE41D1" w14:textId="77777777" w:rsidR="004F64EF" w:rsidRPr="003003C0" w:rsidRDefault="004F64EF" w:rsidP="00F0233E">
            <w:pPr>
              <w:tabs>
                <w:tab w:val="left" w:pos="510"/>
              </w:tabs>
              <w:jc w:val="left"/>
              <w:rPr>
                <w:rFonts w:cs="Arial"/>
                <w:color w:val="000000"/>
                <w:sz w:val="14"/>
                <w:szCs w:val="14"/>
              </w:rPr>
            </w:pPr>
            <w:r w:rsidRPr="003003C0">
              <w:rPr>
                <w:rFonts w:cs="Arial"/>
                <w:color w:val="000000"/>
                <w:sz w:val="14"/>
                <w:szCs w:val="14"/>
              </w:rPr>
              <w:tab/>
              <w:t>Nor</w:t>
            </w:r>
            <w:r>
              <w:rPr>
                <w:rFonts w:cs="Arial"/>
                <w:color w:val="000000"/>
                <w:sz w:val="14"/>
                <w:szCs w:val="14"/>
              </w:rPr>
              <w:t>way</w:t>
            </w:r>
          </w:p>
        </w:tc>
        <w:tc>
          <w:tcPr>
            <w:tcW w:w="785" w:type="dxa"/>
            <w:noWrap/>
            <w:vAlign w:val="center"/>
            <w:hideMark/>
          </w:tcPr>
          <w:p w14:paraId="548FCCF2"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3</w:t>
            </w:r>
          </w:p>
        </w:tc>
        <w:tc>
          <w:tcPr>
            <w:tcW w:w="786" w:type="dxa"/>
            <w:noWrap/>
            <w:vAlign w:val="center"/>
            <w:hideMark/>
          </w:tcPr>
          <w:p w14:paraId="2BB647B1"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3</w:t>
            </w:r>
          </w:p>
        </w:tc>
        <w:tc>
          <w:tcPr>
            <w:tcW w:w="786" w:type="dxa"/>
            <w:noWrap/>
            <w:vAlign w:val="center"/>
            <w:hideMark/>
          </w:tcPr>
          <w:p w14:paraId="0AE91ABC"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3</w:t>
            </w:r>
          </w:p>
        </w:tc>
        <w:tc>
          <w:tcPr>
            <w:tcW w:w="785" w:type="dxa"/>
            <w:noWrap/>
            <w:vAlign w:val="center"/>
            <w:hideMark/>
          </w:tcPr>
          <w:p w14:paraId="2BB35213"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3</w:t>
            </w:r>
          </w:p>
        </w:tc>
        <w:tc>
          <w:tcPr>
            <w:tcW w:w="786" w:type="dxa"/>
            <w:noWrap/>
            <w:vAlign w:val="center"/>
            <w:hideMark/>
          </w:tcPr>
          <w:p w14:paraId="19606A16"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3</w:t>
            </w:r>
          </w:p>
        </w:tc>
        <w:tc>
          <w:tcPr>
            <w:tcW w:w="786" w:type="dxa"/>
            <w:noWrap/>
            <w:vAlign w:val="center"/>
            <w:hideMark/>
          </w:tcPr>
          <w:p w14:paraId="22D296E6"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4</w:t>
            </w:r>
          </w:p>
        </w:tc>
        <w:tc>
          <w:tcPr>
            <w:tcW w:w="786" w:type="dxa"/>
            <w:noWrap/>
            <w:vAlign w:val="center"/>
            <w:hideMark/>
          </w:tcPr>
          <w:p w14:paraId="03F3C548"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3</w:t>
            </w:r>
          </w:p>
        </w:tc>
      </w:tr>
      <w:tr w:rsidR="004F64EF" w:rsidRPr="003003C0" w14:paraId="44487598" w14:textId="77777777" w:rsidTr="00FD6B66">
        <w:trPr>
          <w:trHeight w:val="20"/>
        </w:trPr>
        <w:tc>
          <w:tcPr>
            <w:tcW w:w="3516" w:type="dxa"/>
            <w:noWrap/>
            <w:vAlign w:val="center"/>
            <w:hideMark/>
          </w:tcPr>
          <w:p w14:paraId="7E991CEE" w14:textId="77777777" w:rsidR="004F64EF" w:rsidRPr="003003C0" w:rsidRDefault="004F64EF" w:rsidP="00FD6B66">
            <w:pPr>
              <w:tabs>
                <w:tab w:val="left" w:pos="113"/>
              </w:tabs>
              <w:jc w:val="left"/>
              <w:rPr>
                <w:rFonts w:cs="Arial"/>
                <w:color w:val="000000"/>
                <w:sz w:val="14"/>
                <w:szCs w:val="14"/>
              </w:rPr>
            </w:pPr>
            <w:r w:rsidRPr="003003C0">
              <w:rPr>
                <w:rFonts w:cs="Arial"/>
                <w:color w:val="000000"/>
                <w:sz w:val="14"/>
                <w:szCs w:val="14"/>
              </w:rPr>
              <w:tab/>
              <w:t>Ot</w:t>
            </w:r>
            <w:r>
              <w:rPr>
                <w:rFonts w:cs="Arial"/>
                <w:color w:val="000000"/>
                <w:sz w:val="14"/>
                <w:szCs w:val="14"/>
              </w:rPr>
              <w:t>her Europe</w:t>
            </w:r>
          </w:p>
        </w:tc>
        <w:tc>
          <w:tcPr>
            <w:tcW w:w="785" w:type="dxa"/>
            <w:noWrap/>
            <w:vAlign w:val="center"/>
            <w:hideMark/>
          </w:tcPr>
          <w:p w14:paraId="52F7E533" w14:textId="77777777" w:rsidR="004F64EF" w:rsidRPr="003003C0" w:rsidRDefault="004F64EF" w:rsidP="00FD6B66">
            <w:pPr>
              <w:jc w:val="right"/>
              <w:rPr>
                <w:rFonts w:cs="Arial"/>
                <w:color w:val="000000"/>
                <w:sz w:val="14"/>
                <w:szCs w:val="14"/>
              </w:rPr>
            </w:pPr>
            <w:r w:rsidRPr="003003C0">
              <w:rPr>
                <w:rFonts w:cs="Arial"/>
                <w:color w:val="000000"/>
                <w:sz w:val="14"/>
                <w:szCs w:val="14"/>
              </w:rPr>
              <w:t>1</w:t>
            </w:r>
            <w:r>
              <w:rPr>
                <w:rFonts w:cs="Arial"/>
                <w:color w:val="000000"/>
                <w:sz w:val="14"/>
                <w:szCs w:val="14"/>
              </w:rPr>
              <w:t>.</w:t>
            </w:r>
            <w:r w:rsidRPr="003003C0">
              <w:rPr>
                <w:rFonts w:cs="Arial"/>
                <w:color w:val="000000"/>
                <w:sz w:val="14"/>
                <w:szCs w:val="14"/>
              </w:rPr>
              <w:t>6</w:t>
            </w:r>
          </w:p>
        </w:tc>
        <w:tc>
          <w:tcPr>
            <w:tcW w:w="786" w:type="dxa"/>
            <w:noWrap/>
            <w:vAlign w:val="center"/>
            <w:hideMark/>
          </w:tcPr>
          <w:p w14:paraId="0B20B06B" w14:textId="77777777" w:rsidR="004F64EF" w:rsidRPr="003003C0" w:rsidRDefault="004F64EF" w:rsidP="00FD6B66">
            <w:pPr>
              <w:jc w:val="right"/>
              <w:rPr>
                <w:rFonts w:cs="Arial"/>
                <w:color w:val="000000"/>
                <w:sz w:val="14"/>
                <w:szCs w:val="14"/>
              </w:rPr>
            </w:pPr>
            <w:r w:rsidRPr="003003C0">
              <w:rPr>
                <w:rFonts w:cs="Arial"/>
                <w:color w:val="000000"/>
                <w:sz w:val="14"/>
                <w:szCs w:val="14"/>
              </w:rPr>
              <w:t>1</w:t>
            </w:r>
            <w:r>
              <w:rPr>
                <w:rFonts w:cs="Arial"/>
                <w:color w:val="000000"/>
                <w:sz w:val="14"/>
                <w:szCs w:val="14"/>
              </w:rPr>
              <w:t>.</w:t>
            </w:r>
            <w:r w:rsidRPr="003003C0">
              <w:rPr>
                <w:rFonts w:cs="Arial"/>
                <w:color w:val="000000"/>
                <w:sz w:val="14"/>
                <w:szCs w:val="14"/>
              </w:rPr>
              <w:t>3</w:t>
            </w:r>
          </w:p>
        </w:tc>
        <w:tc>
          <w:tcPr>
            <w:tcW w:w="786" w:type="dxa"/>
            <w:noWrap/>
            <w:vAlign w:val="center"/>
            <w:hideMark/>
          </w:tcPr>
          <w:p w14:paraId="001CB904" w14:textId="77777777" w:rsidR="004F64EF" w:rsidRPr="003003C0" w:rsidRDefault="004F64EF" w:rsidP="00FD6B66">
            <w:pPr>
              <w:jc w:val="right"/>
              <w:rPr>
                <w:rFonts w:cs="Arial"/>
                <w:color w:val="000000"/>
                <w:sz w:val="14"/>
                <w:szCs w:val="14"/>
              </w:rPr>
            </w:pPr>
            <w:r w:rsidRPr="003003C0">
              <w:rPr>
                <w:rFonts w:cs="Arial"/>
                <w:color w:val="000000"/>
                <w:sz w:val="14"/>
                <w:szCs w:val="14"/>
              </w:rPr>
              <w:t>1</w:t>
            </w:r>
            <w:r>
              <w:rPr>
                <w:rFonts w:cs="Arial"/>
                <w:color w:val="000000"/>
                <w:sz w:val="14"/>
                <w:szCs w:val="14"/>
              </w:rPr>
              <w:t>.</w:t>
            </w:r>
            <w:r w:rsidRPr="003003C0">
              <w:rPr>
                <w:rFonts w:cs="Arial"/>
                <w:color w:val="000000"/>
                <w:sz w:val="14"/>
                <w:szCs w:val="14"/>
              </w:rPr>
              <w:t>5</w:t>
            </w:r>
          </w:p>
        </w:tc>
        <w:tc>
          <w:tcPr>
            <w:tcW w:w="785" w:type="dxa"/>
            <w:noWrap/>
            <w:vAlign w:val="center"/>
            <w:hideMark/>
          </w:tcPr>
          <w:p w14:paraId="68F26E25" w14:textId="77777777" w:rsidR="004F64EF" w:rsidRPr="003003C0" w:rsidRDefault="004F64EF" w:rsidP="00FD6B66">
            <w:pPr>
              <w:jc w:val="right"/>
              <w:rPr>
                <w:rFonts w:cs="Arial"/>
                <w:color w:val="000000"/>
                <w:sz w:val="14"/>
                <w:szCs w:val="14"/>
              </w:rPr>
            </w:pPr>
            <w:r w:rsidRPr="003003C0">
              <w:rPr>
                <w:rFonts w:cs="Arial"/>
                <w:color w:val="000000"/>
                <w:sz w:val="14"/>
                <w:szCs w:val="14"/>
              </w:rPr>
              <w:t>1</w:t>
            </w:r>
            <w:r>
              <w:rPr>
                <w:rFonts w:cs="Arial"/>
                <w:color w:val="000000"/>
                <w:sz w:val="14"/>
                <w:szCs w:val="14"/>
              </w:rPr>
              <w:t>.</w:t>
            </w:r>
            <w:r w:rsidRPr="003003C0">
              <w:rPr>
                <w:rFonts w:cs="Arial"/>
                <w:color w:val="000000"/>
                <w:sz w:val="14"/>
                <w:szCs w:val="14"/>
              </w:rPr>
              <w:t>3</w:t>
            </w:r>
          </w:p>
        </w:tc>
        <w:tc>
          <w:tcPr>
            <w:tcW w:w="786" w:type="dxa"/>
            <w:noWrap/>
            <w:vAlign w:val="center"/>
            <w:hideMark/>
          </w:tcPr>
          <w:p w14:paraId="37787B47" w14:textId="77777777" w:rsidR="004F64EF" w:rsidRPr="003003C0" w:rsidRDefault="004F64EF" w:rsidP="00FD6B66">
            <w:pPr>
              <w:jc w:val="right"/>
              <w:rPr>
                <w:rFonts w:cs="Arial"/>
                <w:color w:val="000000"/>
                <w:sz w:val="14"/>
                <w:szCs w:val="14"/>
              </w:rPr>
            </w:pPr>
            <w:r w:rsidRPr="003003C0">
              <w:rPr>
                <w:rFonts w:cs="Arial"/>
                <w:color w:val="000000"/>
                <w:sz w:val="14"/>
                <w:szCs w:val="14"/>
              </w:rPr>
              <w:t>1</w:t>
            </w:r>
            <w:r>
              <w:rPr>
                <w:rFonts w:cs="Arial"/>
                <w:color w:val="000000"/>
                <w:sz w:val="14"/>
                <w:szCs w:val="14"/>
              </w:rPr>
              <w:t>.</w:t>
            </w:r>
            <w:r w:rsidRPr="003003C0">
              <w:rPr>
                <w:rFonts w:cs="Arial"/>
                <w:color w:val="000000"/>
                <w:sz w:val="14"/>
                <w:szCs w:val="14"/>
              </w:rPr>
              <w:t>6</w:t>
            </w:r>
          </w:p>
        </w:tc>
        <w:tc>
          <w:tcPr>
            <w:tcW w:w="786" w:type="dxa"/>
            <w:noWrap/>
            <w:vAlign w:val="center"/>
            <w:hideMark/>
          </w:tcPr>
          <w:p w14:paraId="241E21FF" w14:textId="77777777" w:rsidR="004F64EF" w:rsidRPr="003003C0" w:rsidRDefault="004F64EF" w:rsidP="00FD6B66">
            <w:pPr>
              <w:jc w:val="right"/>
              <w:rPr>
                <w:rFonts w:cs="Arial"/>
                <w:color w:val="000000"/>
                <w:sz w:val="14"/>
                <w:szCs w:val="14"/>
              </w:rPr>
            </w:pPr>
            <w:r w:rsidRPr="003003C0">
              <w:rPr>
                <w:rFonts w:cs="Arial"/>
                <w:color w:val="000000"/>
                <w:sz w:val="14"/>
                <w:szCs w:val="14"/>
              </w:rPr>
              <w:t>2</w:t>
            </w:r>
            <w:r>
              <w:rPr>
                <w:rFonts w:cs="Arial"/>
                <w:color w:val="000000"/>
                <w:sz w:val="14"/>
                <w:szCs w:val="14"/>
              </w:rPr>
              <w:t>.</w:t>
            </w:r>
            <w:r w:rsidRPr="003003C0">
              <w:rPr>
                <w:rFonts w:cs="Arial"/>
                <w:color w:val="000000"/>
                <w:sz w:val="14"/>
                <w:szCs w:val="14"/>
              </w:rPr>
              <w:t>2</w:t>
            </w:r>
          </w:p>
        </w:tc>
        <w:tc>
          <w:tcPr>
            <w:tcW w:w="786" w:type="dxa"/>
            <w:noWrap/>
            <w:vAlign w:val="center"/>
            <w:hideMark/>
          </w:tcPr>
          <w:p w14:paraId="330AE6E4" w14:textId="77777777" w:rsidR="004F64EF" w:rsidRPr="003003C0" w:rsidRDefault="004F64EF" w:rsidP="00FD6B66">
            <w:pPr>
              <w:jc w:val="right"/>
              <w:rPr>
                <w:rFonts w:cs="Arial"/>
                <w:color w:val="000000"/>
                <w:sz w:val="14"/>
                <w:szCs w:val="14"/>
              </w:rPr>
            </w:pPr>
            <w:r w:rsidRPr="003003C0">
              <w:rPr>
                <w:rFonts w:cs="Arial"/>
                <w:color w:val="000000"/>
                <w:sz w:val="14"/>
                <w:szCs w:val="14"/>
              </w:rPr>
              <w:t>3</w:t>
            </w:r>
            <w:r>
              <w:rPr>
                <w:rFonts w:cs="Arial"/>
                <w:color w:val="000000"/>
                <w:sz w:val="14"/>
                <w:szCs w:val="14"/>
              </w:rPr>
              <w:t>.</w:t>
            </w:r>
            <w:r w:rsidRPr="003003C0">
              <w:rPr>
                <w:rFonts w:cs="Arial"/>
                <w:color w:val="000000"/>
                <w:sz w:val="14"/>
                <w:szCs w:val="14"/>
              </w:rPr>
              <w:t>6</w:t>
            </w:r>
          </w:p>
        </w:tc>
      </w:tr>
      <w:tr w:rsidR="004F64EF" w:rsidRPr="003003C0" w14:paraId="241A91B7" w14:textId="77777777" w:rsidTr="00FD6B66">
        <w:trPr>
          <w:cnfStyle w:val="000000010000" w:firstRow="0" w:lastRow="0" w:firstColumn="0" w:lastColumn="0" w:oddVBand="0" w:evenVBand="0" w:oddHBand="0" w:evenHBand="1" w:firstRowFirstColumn="0" w:firstRowLastColumn="0" w:lastRowFirstColumn="0" w:lastRowLastColumn="0"/>
          <w:trHeight w:val="20"/>
        </w:trPr>
        <w:tc>
          <w:tcPr>
            <w:tcW w:w="3516" w:type="dxa"/>
            <w:noWrap/>
            <w:vAlign w:val="center"/>
            <w:hideMark/>
          </w:tcPr>
          <w:p w14:paraId="2AD42DF9" w14:textId="77777777" w:rsidR="004F64EF" w:rsidRPr="003003C0" w:rsidRDefault="004F64EF" w:rsidP="00FD6B66">
            <w:pPr>
              <w:tabs>
                <w:tab w:val="left" w:pos="510"/>
              </w:tabs>
              <w:jc w:val="left"/>
              <w:rPr>
                <w:rFonts w:cs="Arial"/>
                <w:color w:val="000000"/>
                <w:sz w:val="14"/>
                <w:szCs w:val="14"/>
              </w:rPr>
            </w:pPr>
            <w:r w:rsidRPr="003003C0">
              <w:rPr>
                <w:rFonts w:cs="Arial"/>
                <w:color w:val="000000"/>
                <w:sz w:val="14"/>
                <w:szCs w:val="14"/>
              </w:rPr>
              <w:tab/>
              <w:t>U</w:t>
            </w:r>
            <w:r>
              <w:rPr>
                <w:rFonts w:cs="Arial"/>
                <w:color w:val="000000"/>
                <w:sz w:val="14"/>
                <w:szCs w:val="14"/>
              </w:rPr>
              <w:t>kraine</w:t>
            </w:r>
          </w:p>
        </w:tc>
        <w:tc>
          <w:tcPr>
            <w:tcW w:w="785" w:type="dxa"/>
            <w:noWrap/>
            <w:vAlign w:val="center"/>
            <w:hideMark/>
          </w:tcPr>
          <w:p w14:paraId="28F4768F"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1</w:t>
            </w:r>
          </w:p>
        </w:tc>
        <w:tc>
          <w:tcPr>
            <w:tcW w:w="786" w:type="dxa"/>
            <w:noWrap/>
            <w:vAlign w:val="center"/>
            <w:hideMark/>
          </w:tcPr>
          <w:p w14:paraId="45752244"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1</w:t>
            </w:r>
          </w:p>
        </w:tc>
        <w:tc>
          <w:tcPr>
            <w:tcW w:w="786" w:type="dxa"/>
            <w:noWrap/>
            <w:vAlign w:val="center"/>
            <w:hideMark/>
          </w:tcPr>
          <w:p w14:paraId="39B06E22"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0</w:t>
            </w:r>
          </w:p>
        </w:tc>
        <w:tc>
          <w:tcPr>
            <w:tcW w:w="785" w:type="dxa"/>
            <w:noWrap/>
            <w:vAlign w:val="center"/>
            <w:hideMark/>
          </w:tcPr>
          <w:p w14:paraId="407DE99D"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0</w:t>
            </w:r>
          </w:p>
        </w:tc>
        <w:tc>
          <w:tcPr>
            <w:tcW w:w="786" w:type="dxa"/>
            <w:noWrap/>
            <w:vAlign w:val="center"/>
            <w:hideMark/>
          </w:tcPr>
          <w:p w14:paraId="39780F04"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0</w:t>
            </w:r>
          </w:p>
        </w:tc>
        <w:tc>
          <w:tcPr>
            <w:tcW w:w="786" w:type="dxa"/>
            <w:noWrap/>
            <w:vAlign w:val="center"/>
            <w:hideMark/>
          </w:tcPr>
          <w:p w14:paraId="4DE4E445"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7</w:t>
            </w:r>
          </w:p>
        </w:tc>
        <w:tc>
          <w:tcPr>
            <w:tcW w:w="786" w:type="dxa"/>
            <w:noWrap/>
            <w:vAlign w:val="center"/>
            <w:hideMark/>
          </w:tcPr>
          <w:p w14:paraId="61160068" w14:textId="77777777" w:rsidR="004F64EF" w:rsidRPr="003003C0" w:rsidRDefault="004F64EF" w:rsidP="00FD6B66">
            <w:pPr>
              <w:jc w:val="right"/>
              <w:rPr>
                <w:rFonts w:cs="Arial"/>
                <w:color w:val="000000"/>
                <w:sz w:val="14"/>
                <w:szCs w:val="14"/>
              </w:rPr>
            </w:pPr>
            <w:r w:rsidRPr="003003C0">
              <w:rPr>
                <w:rFonts w:cs="Arial"/>
                <w:color w:val="000000"/>
                <w:sz w:val="14"/>
                <w:szCs w:val="14"/>
              </w:rPr>
              <w:t>1</w:t>
            </w:r>
            <w:r>
              <w:rPr>
                <w:rFonts w:cs="Arial"/>
                <w:color w:val="000000"/>
                <w:sz w:val="14"/>
                <w:szCs w:val="14"/>
              </w:rPr>
              <w:t>.</w:t>
            </w:r>
            <w:r w:rsidRPr="003003C0">
              <w:rPr>
                <w:rFonts w:cs="Arial"/>
                <w:color w:val="000000"/>
                <w:sz w:val="14"/>
                <w:szCs w:val="14"/>
              </w:rPr>
              <w:t>6</w:t>
            </w:r>
          </w:p>
        </w:tc>
      </w:tr>
      <w:tr w:rsidR="004F64EF" w:rsidRPr="003003C0" w14:paraId="1B8ED7E0" w14:textId="77777777" w:rsidTr="00FD6B66">
        <w:trPr>
          <w:trHeight w:val="20"/>
        </w:trPr>
        <w:tc>
          <w:tcPr>
            <w:tcW w:w="3516" w:type="dxa"/>
            <w:noWrap/>
            <w:vAlign w:val="center"/>
            <w:hideMark/>
          </w:tcPr>
          <w:p w14:paraId="2A54DD98" w14:textId="77777777" w:rsidR="004F64EF" w:rsidRPr="003003C0" w:rsidRDefault="004F64EF" w:rsidP="00FD6B66">
            <w:pPr>
              <w:tabs>
                <w:tab w:val="left" w:pos="510"/>
              </w:tabs>
              <w:jc w:val="left"/>
              <w:rPr>
                <w:rFonts w:cs="Arial"/>
                <w:color w:val="000000"/>
                <w:sz w:val="14"/>
                <w:szCs w:val="14"/>
              </w:rPr>
            </w:pPr>
            <w:r w:rsidRPr="003003C0">
              <w:rPr>
                <w:rFonts w:cs="Arial"/>
                <w:color w:val="000000"/>
                <w:sz w:val="14"/>
                <w:szCs w:val="14"/>
              </w:rPr>
              <w:tab/>
            </w:r>
            <w:r>
              <w:rPr>
                <w:rFonts w:cs="Arial"/>
                <w:color w:val="000000"/>
                <w:sz w:val="14"/>
                <w:szCs w:val="14"/>
              </w:rPr>
              <w:t>United Kingdom</w:t>
            </w:r>
          </w:p>
        </w:tc>
        <w:tc>
          <w:tcPr>
            <w:tcW w:w="785" w:type="dxa"/>
            <w:noWrap/>
            <w:vAlign w:val="center"/>
            <w:hideMark/>
          </w:tcPr>
          <w:p w14:paraId="14C5C7F8" w14:textId="77777777" w:rsidR="004F64EF" w:rsidRPr="003003C0" w:rsidRDefault="004F64EF" w:rsidP="00FD6B66">
            <w:pPr>
              <w:jc w:val="right"/>
              <w:rPr>
                <w:rFonts w:cs="Arial"/>
                <w:color w:val="000000"/>
                <w:sz w:val="14"/>
                <w:szCs w:val="14"/>
              </w:rPr>
            </w:pPr>
            <w:r w:rsidRPr="003003C0">
              <w:rPr>
                <w:rFonts w:cs="Arial"/>
                <w:color w:val="000000"/>
                <w:sz w:val="14"/>
                <w:szCs w:val="14"/>
              </w:rPr>
              <w:t>1</w:t>
            </w:r>
            <w:r>
              <w:rPr>
                <w:rFonts w:cs="Arial"/>
                <w:color w:val="000000"/>
                <w:sz w:val="14"/>
                <w:szCs w:val="14"/>
              </w:rPr>
              <w:t>.</w:t>
            </w:r>
            <w:r w:rsidRPr="003003C0">
              <w:rPr>
                <w:rFonts w:cs="Arial"/>
                <w:color w:val="000000"/>
                <w:sz w:val="14"/>
                <w:szCs w:val="14"/>
              </w:rPr>
              <w:t>1</w:t>
            </w:r>
          </w:p>
        </w:tc>
        <w:tc>
          <w:tcPr>
            <w:tcW w:w="786" w:type="dxa"/>
            <w:noWrap/>
            <w:vAlign w:val="center"/>
            <w:hideMark/>
          </w:tcPr>
          <w:p w14:paraId="02952DF8"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9</w:t>
            </w:r>
          </w:p>
        </w:tc>
        <w:tc>
          <w:tcPr>
            <w:tcW w:w="786" w:type="dxa"/>
            <w:noWrap/>
            <w:vAlign w:val="center"/>
            <w:hideMark/>
          </w:tcPr>
          <w:p w14:paraId="30113167"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9</w:t>
            </w:r>
          </w:p>
        </w:tc>
        <w:tc>
          <w:tcPr>
            <w:tcW w:w="785" w:type="dxa"/>
            <w:noWrap/>
            <w:vAlign w:val="center"/>
            <w:hideMark/>
          </w:tcPr>
          <w:p w14:paraId="1EA0F9A4"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7</w:t>
            </w:r>
          </w:p>
        </w:tc>
        <w:tc>
          <w:tcPr>
            <w:tcW w:w="786" w:type="dxa"/>
            <w:noWrap/>
            <w:vAlign w:val="center"/>
            <w:hideMark/>
          </w:tcPr>
          <w:p w14:paraId="2095BC0E"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9</w:t>
            </w:r>
          </w:p>
        </w:tc>
        <w:tc>
          <w:tcPr>
            <w:tcW w:w="786" w:type="dxa"/>
            <w:noWrap/>
            <w:vAlign w:val="center"/>
            <w:hideMark/>
          </w:tcPr>
          <w:p w14:paraId="2B5C36C2"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8</w:t>
            </w:r>
          </w:p>
        </w:tc>
        <w:tc>
          <w:tcPr>
            <w:tcW w:w="786" w:type="dxa"/>
            <w:noWrap/>
            <w:vAlign w:val="center"/>
            <w:hideMark/>
          </w:tcPr>
          <w:p w14:paraId="0BAD89DF" w14:textId="77777777" w:rsidR="004F64EF" w:rsidRPr="003003C0" w:rsidRDefault="004F64EF" w:rsidP="00FD6B66">
            <w:pPr>
              <w:jc w:val="right"/>
              <w:rPr>
                <w:rFonts w:cs="Arial"/>
                <w:color w:val="000000"/>
                <w:sz w:val="14"/>
                <w:szCs w:val="14"/>
              </w:rPr>
            </w:pPr>
            <w:r w:rsidRPr="003003C0">
              <w:rPr>
                <w:rFonts w:cs="Arial"/>
                <w:color w:val="000000"/>
                <w:sz w:val="14"/>
                <w:szCs w:val="14"/>
              </w:rPr>
              <w:t>1</w:t>
            </w:r>
            <w:r>
              <w:rPr>
                <w:rFonts w:cs="Arial"/>
                <w:color w:val="000000"/>
                <w:sz w:val="14"/>
                <w:szCs w:val="14"/>
              </w:rPr>
              <w:t>.</w:t>
            </w:r>
            <w:r w:rsidRPr="003003C0">
              <w:rPr>
                <w:rFonts w:cs="Arial"/>
                <w:color w:val="000000"/>
                <w:sz w:val="14"/>
                <w:szCs w:val="14"/>
              </w:rPr>
              <w:t>0</w:t>
            </w:r>
          </w:p>
        </w:tc>
      </w:tr>
      <w:tr w:rsidR="004F64EF" w:rsidRPr="003003C0" w14:paraId="31CF3E08" w14:textId="77777777" w:rsidTr="00FD6B66">
        <w:trPr>
          <w:cnfStyle w:val="000000010000" w:firstRow="0" w:lastRow="0" w:firstColumn="0" w:lastColumn="0" w:oddVBand="0" w:evenVBand="0" w:oddHBand="0" w:evenHBand="1" w:firstRowFirstColumn="0" w:firstRowLastColumn="0" w:lastRowFirstColumn="0" w:lastRowLastColumn="0"/>
          <w:trHeight w:val="20"/>
        </w:trPr>
        <w:tc>
          <w:tcPr>
            <w:tcW w:w="3516" w:type="dxa"/>
            <w:noWrap/>
            <w:vAlign w:val="center"/>
            <w:hideMark/>
          </w:tcPr>
          <w:p w14:paraId="51FC7820" w14:textId="77777777" w:rsidR="004F64EF" w:rsidRPr="003003C0" w:rsidRDefault="004F64EF" w:rsidP="00FD6B66">
            <w:pPr>
              <w:tabs>
                <w:tab w:val="left" w:pos="510"/>
              </w:tabs>
              <w:jc w:val="left"/>
              <w:rPr>
                <w:rFonts w:cs="Arial"/>
                <w:sz w:val="14"/>
                <w:szCs w:val="14"/>
              </w:rPr>
            </w:pPr>
            <w:r w:rsidRPr="003003C0">
              <w:rPr>
                <w:rFonts w:cs="Arial"/>
                <w:sz w:val="14"/>
                <w:szCs w:val="14"/>
              </w:rPr>
              <w:tab/>
            </w:r>
            <w:proofErr w:type="spellStart"/>
            <w:r w:rsidRPr="00F0233E">
              <w:rPr>
                <w:rFonts w:cs="Arial"/>
                <w:color w:val="000000"/>
                <w:sz w:val="14"/>
                <w:szCs w:val="14"/>
              </w:rPr>
              <w:t>Türkiye</w:t>
            </w:r>
            <w:proofErr w:type="spellEnd"/>
          </w:p>
        </w:tc>
        <w:tc>
          <w:tcPr>
            <w:tcW w:w="785" w:type="dxa"/>
            <w:noWrap/>
            <w:vAlign w:val="center"/>
            <w:hideMark/>
          </w:tcPr>
          <w:p w14:paraId="5D9955F7"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5</w:t>
            </w:r>
          </w:p>
        </w:tc>
        <w:tc>
          <w:tcPr>
            <w:tcW w:w="786" w:type="dxa"/>
            <w:noWrap/>
            <w:vAlign w:val="center"/>
            <w:hideMark/>
          </w:tcPr>
          <w:p w14:paraId="5E83C59C"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3</w:t>
            </w:r>
          </w:p>
        </w:tc>
        <w:tc>
          <w:tcPr>
            <w:tcW w:w="786" w:type="dxa"/>
            <w:noWrap/>
            <w:vAlign w:val="center"/>
            <w:hideMark/>
          </w:tcPr>
          <w:p w14:paraId="0040EC8F"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6</w:t>
            </w:r>
          </w:p>
        </w:tc>
        <w:tc>
          <w:tcPr>
            <w:tcW w:w="785" w:type="dxa"/>
            <w:noWrap/>
            <w:vAlign w:val="center"/>
            <w:hideMark/>
          </w:tcPr>
          <w:p w14:paraId="55BFD93A"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6</w:t>
            </w:r>
          </w:p>
        </w:tc>
        <w:tc>
          <w:tcPr>
            <w:tcW w:w="786" w:type="dxa"/>
            <w:noWrap/>
            <w:vAlign w:val="center"/>
            <w:hideMark/>
          </w:tcPr>
          <w:p w14:paraId="3BFD7784"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6</w:t>
            </w:r>
          </w:p>
        </w:tc>
        <w:tc>
          <w:tcPr>
            <w:tcW w:w="786" w:type="dxa"/>
            <w:noWrap/>
            <w:vAlign w:val="center"/>
            <w:hideMark/>
          </w:tcPr>
          <w:p w14:paraId="05DEC4F8"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8</w:t>
            </w:r>
          </w:p>
        </w:tc>
        <w:tc>
          <w:tcPr>
            <w:tcW w:w="786" w:type="dxa"/>
            <w:noWrap/>
            <w:vAlign w:val="center"/>
            <w:hideMark/>
          </w:tcPr>
          <w:p w14:paraId="4E37128B" w14:textId="77777777" w:rsidR="004F64EF" w:rsidRPr="003003C0" w:rsidRDefault="004F64EF" w:rsidP="00FD6B66">
            <w:pPr>
              <w:jc w:val="right"/>
              <w:rPr>
                <w:rFonts w:cs="Arial"/>
                <w:color w:val="000000"/>
                <w:sz w:val="14"/>
                <w:szCs w:val="14"/>
              </w:rPr>
            </w:pPr>
            <w:r w:rsidRPr="003003C0">
              <w:rPr>
                <w:rFonts w:cs="Arial"/>
                <w:color w:val="000000"/>
                <w:sz w:val="14"/>
                <w:szCs w:val="14"/>
              </w:rPr>
              <w:t>1</w:t>
            </w:r>
            <w:r>
              <w:rPr>
                <w:rFonts w:cs="Arial"/>
                <w:color w:val="000000"/>
                <w:sz w:val="14"/>
                <w:szCs w:val="14"/>
              </w:rPr>
              <w:t>.</w:t>
            </w:r>
            <w:r w:rsidRPr="003003C0">
              <w:rPr>
                <w:rFonts w:cs="Arial"/>
                <w:color w:val="000000"/>
                <w:sz w:val="14"/>
                <w:szCs w:val="14"/>
              </w:rPr>
              <w:t>0</w:t>
            </w:r>
          </w:p>
        </w:tc>
      </w:tr>
      <w:tr w:rsidR="004F64EF" w:rsidRPr="003003C0" w14:paraId="7C475AF3" w14:textId="77777777" w:rsidTr="00FD6B66">
        <w:trPr>
          <w:trHeight w:val="20"/>
        </w:trPr>
        <w:tc>
          <w:tcPr>
            <w:tcW w:w="3516" w:type="dxa"/>
            <w:noWrap/>
            <w:vAlign w:val="center"/>
            <w:hideMark/>
          </w:tcPr>
          <w:p w14:paraId="768B8315" w14:textId="77777777" w:rsidR="004F64EF" w:rsidRPr="003003C0" w:rsidRDefault="004F64EF" w:rsidP="00FD6B66">
            <w:pPr>
              <w:jc w:val="left"/>
              <w:rPr>
                <w:rFonts w:cs="Arial"/>
                <w:sz w:val="14"/>
                <w:szCs w:val="14"/>
              </w:rPr>
            </w:pPr>
            <w:r w:rsidRPr="004806CB">
              <w:rPr>
                <w:rFonts w:cs="Arial"/>
                <w:sz w:val="14"/>
                <w:szCs w:val="14"/>
              </w:rPr>
              <w:t xml:space="preserve">Commonwealth of Independent States </w:t>
            </w:r>
            <w:r w:rsidRPr="003003C0">
              <w:rPr>
                <w:rFonts w:cs="Arial"/>
                <w:sz w:val="14"/>
                <w:szCs w:val="14"/>
              </w:rPr>
              <w:t>(C</w:t>
            </w:r>
            <w:r>
              <w:rPr>
                <w:rFonts w:cs="Arial"/>
                <w:sz w:val="14"/>
                <w:szCs w:val="14"/>
              </w:rPr>
              <w:t>IS</w:t>
            </w:r>
            <w:r w:rsidRPr="003003C0">
              <w:rPr>
                <w:rFonts w:cs="Arial"/>
                <w:sz w:val="14"/>
                <w:szCs w:val="14"/>
              </w:rPr>
              <w:t>)</w:t>
            </w:r>
            <w:r w:rsidRPr="003003C0">
              <w:rPr>
                <w:rFonts w:cs="Arial"/>
                <w:sz w:val="14"/>
                <w:szCs w:val="14"/>
                <w:vertAlign w:val="superscript"/>
              </w:rPr>
              <w:t>a</w:t>
            </w:r>
          </w:p>
        </w:tc>
        <w:tc>
          <w:tcPr>
            <w:tcW w:w="785" w:type="dxa"/>
            <w:noWrap/>
            <w:vAlign w:val="center"/>
            <w:hideMark/>
          </w:tcPr>
          <w:p w14:paraId="6130B616" w14:textId="77777777" w:rsidR="004F64EF" w:rsidRPr="003003C0" w:rsidRDefault="004F64EF" w:rsidP="00FD6B66">
            <w:pPr>
              <w:jc w:val="right"/>
              <w:rPr>
                <w:rFonts w:cs="Arial"/>
                <w:color w:val="000000"/>
                <w:sz w:val="14"/>
                <w:szCs w:val="14"/>
              </w:rPr>
            </w:pPr>
            <w:r w:rsidRPr="003003C0">
              <w:rPr>
                <w:rFonts w:cs="Arial"/>
                <w:color w:val="000000"/>
                <w:sz w:val="14"/>
                <w:szCs w:val="14"/>
              </w:rPr>
              <w:t>1</w:t>
            </w:r>
            <w:r>
              <w:rPr>
                <w:rFonts w:cs="Arial"/>
                <w:color w:val="000000"/>
                <w:sz w:val="14"/>
                <w:szCs w:val="14"/>
              </w:rPr>
              <w:t>.</w:t>
            </w:r>
            <w:r w:rsidRPr="003003C0">
              <w:rPr>
                <w:rFonts w:cs="Arial"/>
                <w:color w:val="000000"/>
                <w:sz w:val="14"/>
                <w:szCs w:val="14"/>
              </w:rPr>
              <w:t>3</w:t>
            </w:r>
          </w:p>
        </w:tc>
        <w:tc>
          <w:tcPr>
            <w:tcW w:w="786" w:type="dxa"/>
            <w:noWrap/>
            <w:vAlign w:val="center"/>
            <w:hideMark/>
          </w:tcPr>
          <w:p w14:paraId="24C654C4"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3</w:t>
            </w:r>
          </w:p>
        </w:tc>
        <w:tc>
          <w:tcPr>
            <w:tcW w:w="786" w:type="dxa"/>
            <w:noWrap/>
            <w:vAlign w:val="center"/>
            <w:hideMark/>
          </w:tcPr>
          <w:p w14:paraId="67AEB6D2"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4</w:t>
            </w:r>
          </w:p>
        </w:tc>
        <w:tc>
          <w:tcPr>
            <w:tcW w:w="785" w:type="dxa"/>
            <w:noWrap/>
            <w:vAlign w:val="center"/>
            <w:hideMark/>
          </w:tcPr>
          <w:p w14:paraId="34A88B67"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6</w:t>
            </w:r>
          </w:p>
        </w:tc>
        <w:tc>
          <w:tcPr>
            <w:tcW w:w="786" w:type="dxa"/>
            <w:noWrap/>
            <w:vAlign w:val="center"/>
            <w:hideMark/>
          </w:tcPr>
          <w:p w14:paraId="40F8C496"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4</w:t>
            </w:r>
          </w:p>
        </w:tc>
        <w:tc>
          <w:tcPr>
            <w:tcW w:w="786" w:type="dxa"/>
            <w:noWrap/>
            <w:vAlign w:val="center"/>
            <w:hideMark/>
          </w:tcPr>
          <w:p w14:paraId="229A83FD"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5</w:t>
            </w:r>
          </w:p>
        </w:tc>
        <w:tc>
          <w:tcPr>
            <w:tcW w:w="786" w:type="dxa"/>
            <w:noWrap/>
            <w:vAlign w:val="center"/>
            <w:hideMark/>
          </w:tcPr>
          <w:p w14:paraId="1CC63E0E"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6</w:t>
            </w:r>
          </w:p>
        </w:tc>
      </w:tr>
      <w:tr w:rsidR="004F64EF" w:rsidRPr="003003C0" w14:paraId="046FF416" w14:textId="77777777" w:rsidTr="00FD6B66">
        <w:trPr>
          <w:cnfStyle w:val="000000010000" w:firstRow="0" w:lastRow="0" w:firstColumn="0" w:lastColumn="0" w:oddVBand="0" w:evenVBand="0" w:oddHBand="0" w:evenHBand="1" w:firstRowFirstColumn="0" w:firstRowLastColumn="0" w:lastRowFirstColumn="0" w:lastRowLastColumn="0"/>
          <w:trHeight w:val="20"/>
        </w:trPr>
        <w:tc>
          <w:tcPr>
            <w:tcW w:w="3516" w:type="dxa"/>
            <w:noWrap/>
            <w:vAlign w:val="center"/>
            <w:hideMark/>
          </w:tcPr>
          <w:p w14:paraId="58792180" w14:textId="77777777" w:rsidR="004F64EF" w:rsidRPr="003003C0" w:rsidRDefault="004F64EF" w:rsidP="00FD6B66">
            <w:pPr>
              <w:tabs>
                <w:tab w:val="left" w:pos="510"/>
              </w:tabs>
              <w:jc w:val="left"/>
              <w:rPr>
                <w:rFonts w:cs="Arial"/>
                <w:color w:val="000000"/>
                <w:sz w:val="14"/>
                <w:szCs w:val="14"/>
              </w:rPr>
            </w:pPr>
            <w:r w:rsidRPr="003003C0">
              <w:rPr>
                <w:rFonts w:cs="Arial"/>
                <w:color w:val="000000"/>
                <w:sz w:val="14"/>
                <w:szCs w:val="14"/>
              </w:rPr>
              <w:tab/>
            </w:r>
            <w:r>
              <w:rPr>
                <w:rFonts w:cs="Arial"/>
                <w:color w:val="000000"/>
                <w:sz w:val="14"/>
                <w:szCs w:val="14"/>
              </w:rPr>
              <w:t>Russian Federation</w:t>
            </w:r>
          </w:p>
        </w:tc>
        <w:tc>
          <w:tcPr>
            <w:tcW w:w="785" w:type="dxa"/>
            <w:noWrap/>
            <w:vAlign w:val="center"/>
            <w:hideMark/>
          </w:tcPr>
          <w:p w14:paraId="3A0703D7" w14:textId="77777777" w:rsidR="004F64EF" w:rsidRPr="003003C0" w:rsidRDefault="004F64EF" w:rsidP="00FD6B66">
            <w:pPr>
              <w:jc w:val="right"/>
              <w:rPr>
                <w:rFonts w:cs="Arial"/>
                <w:color w:val="000000"/>
                <w:sz w:val="14"/>
                <w:szCs w:val="14"/>
              </w:rPr>
            </w:pPr>
            <w:r w:rsidRPr="003003C0">
              <w:rPr>
                <w:rFonts w:cs="Arial"/>
                <w:color w:val="000000"/>
                <w:sz w:val="14"/>
                <w:szCs w:val="14"/>
              </w:rPr>
              <w:t>1</w:t>
            </w:r>
            <w:r>
              <w:rPr>
                <w:rFonts w:cs="Arial"/>
                <w:color w:val="000000"/>
                <w:sz w:val="14"/>
                <w:szCs w:val="14"/>
              </w:rPr>
              <w:t>.</w:t>
            </w:r>
            <w:r w:rsidRPr="003003C0">
              <w:rPr>
                <w:rFonts w:cs="Arial"/>
                <w:color w:val="000000"/>
                <w:sz w:val="14"/>
                <w:szCs w:val="14"/>
              </w:rPr>
              <w:t>3</w:t>
            </w:r>
          </w:p>
        </w:tc>
        <w:tc>
          <w:tcPr>
            <w:tcW w:w="786" w:type="dxa"/>
            <w:noWrap/>
            <w:vAlign w:val="center"/>
            <w:hideMark/>
          </w:tcPr>
          <w:p w14:paraId="3A2B2EDD"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3</w:t>
            </w:r>
          </w:p>
        </w:tc>
        <w:tc>
          <w:tcPr>
            <w:tcW w:w="786" w:type="dxa"/>
            <w:noWrap/>
            <w:vAlign w:val="center"/>
            <w:hideMark/>
          </w:tcPr>
          <w:p w14:paraId="25B1B35F"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4</w:t>
            </w:r>
          </w:p>
        </w:tc>
        <w:tc>
          <w:tcPr>
            <w:tcW w:w="785" w:type="dxa"/>
            <w:noWrap/>
            <w:vAlign w:val="center"/>
            <w:hideMark/>
          </w:tcPr>
          <w:p w14:paraId="2D3B0A3F"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6</w:t>
            </w:r>
          </w:p>
        </w:tc>
        <w:tc>
          <w:tcPr>
            <w:tcW w:w="786" w:type="dxa"/>
            <w:noWrap/>
            <w:vAlign w:val="center"/>
            <w:hideMark/>
          </w:tcPr>
          <w:p w14:paraId="4D04D858"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4</w:t>
            </w:r>
          </w:p>
        </w:tc>
        <w:tc>
          <w:tcPr>
            <w:tcW w:w="786" w:type="dxa"/>
            <w:noWrap/>
            <w:vAlign w:val="center"/>
            <w:hideMark/>
          </w:tcPr>
          <w:p w14:paraId="4DEC906B"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5</w:t>
            </w:r>
          </w:p>
        </w:tc>
        <w:tc>
          <w:tcPr>
            <w:tcW w:w="786" w:type="dxa"/>
            <w:noWrap/>
            <w:vAlign w:val="center"/>
            <w:hideMark/>
          </w:tcPr>
          <w:p w14:paraId="076D3AA8"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6</w:t>
            </w:r>
          </w:p>
        </w:tc>
      </w:tr>
      <w:tr w:rsidR="004F64EF" w:rsidRPr="003003C0" w14:paraId="378F60EF" w14:textId="77777777" w:rsidTr="00FD6B66">
        <w:trPr>
          <w:trHeight w:val="20"/>
        </w:trPr>
        <w:tc>
          <w:tcPr>
            <w:tcW w:w="3516" w:type="dxa"/>
            <w:noWrap/>
            <w:vAlign w:val="center"/>
            <w:hideMark/>
          </w:tcPr>
          <w:p w14:paraId="55F3942E" w14:textId="77777777" w:rsidR="004F64EF" w:rsidRPr="003003C0" w:rsidRDefault="004F64EF" w:rsidP="00FD6B66">
            <w:pPr>
              <w:jc w:val="left"/>
              <w:rPr>
                <w:rFonts w:cs="Arial"/>
                <w:color w:val="000000"/>
                <w:sz w:val="14"/>
                <w:szCs w:val="14"/>
              </w:rPr>
            </w:pPr>
            <w:r>
              <w:rPr>
                <w:rFonts w:cs="Arial"/>
                <w:color w:val="000000"/>
                <w:sz w:val="14"/>
                <w:szCs w:val="14"/>
              </w:rPr>
              <w:t>A</w:t>
            </w:r>
            <w:r w:rsidRPr="003003C0">
              <w:rPr>
                <w:rFonts w:cs="Arial"/>
                <w:color w:val="000000"/>
                <w:sz w:val="14"/>
                <w:szCs w:val="14"/>
              </w:rPr>
              <w:t>frica</w:t>
            </w:r>
          </w:p>
        </w:tc>
        <w:tc>
          <w:tcPr>
            <w:tcW w:w="785" w:type="dxa"/>
            <w:noWrap/>
            <w:vAlign w:val="center"/>
            <w:hideMark/>
          </w:tcPr>
          <w:p w14:paraId="7C889EA5"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2</w:t>
            </w:r>
          </w:p>
        </w:tc>
        <w:tc>
          <w:tcPr>
            <w:tcW w:w="786" w:type="dxa"/>
            <w:noWrap/>
            <w:vAlign w:val="center"/>
            <w:hideMark/>
          </w:tcPr>
          <w:p w14:paraId="203B1C66"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2</w:t>
            </w:r>
          </w:p>
        </w:tc>
        <w:tc>
          <w:tcPr>
            <w:tcW w:w="786" w:type="dxa"/>
            <w:noWrap/>
            <w:vAlign w:val="center"/>
            <w:hideMark/>
          </w:tcPr>
          <w:p w14:paraId="16BD43A8" w14:textId="77777777" w:rsidR="004F64EF" w:rsidRPr="003003C0" w:rsidRDefault="004F64EF" w:rsidP="00FD6B66">
            <w:pPr>
              <w:jc w:val="right"/>
              <w:rPr>
                <w:rFonts w:cs="Arial"/>
                <w:color w:val="000000"/>
                <w:sz w:val="14"/>
                <w:szCs w:val="14"/>
              </w:rPr>
            </w:pPr>
            <w:r w:rsidRPr="003003C0">
              <w:rPr>
                <w:rFonts w:cs="Arial"/>
                <w:color w:val="000000"/>
                <w:sz w:val="14"/>
                <w:szCs w:val="14"/>
              </w:rPr>
              <w:t>1</w:t>
            </w:r>
            <w:r>
              <w:rPr>
                <w:rFonts w:cs="Arial"/>
                <w:color w:val="000000"/>
                <w:sz w:val="14"/>
                <w:szCs w:val="14"/>
              </w:rPr>
              <w:t>.</w:t>
            </w:r>
            <w:r w:rsidRPr="003003C0">
              <w:rPr>
                <w:rFonts w:cs="Arial"/>
                <w:color w:val="000000"/>
                <w:sz w:val="14"/>
                <w:szCs w:val="14"/>
              </w:rPr>
              <w:t>6</w:t>
            </w:r>
          </w:p>
        </w:tc>
        <w:tc>
          <w:tcPr>
            <w:tcW w:w="785" w:type="dxa"/>
            <w:noWrap/>
            <w:vAlign w:val="center"/>
            <w:hideMark/>
          </w:tcPr>
          <w:p w14:paraId="75D94C42" w14:textId="77777777" w:rsidR="004F64EF" w:rsidRPr="003003C0" w:rsidRDefault="004F64EF" w:rsidP="00FD6B66">
            <w:pPr>
              <w:jc w:val="right"/>
              <w:rPr>
                <w:rFonts w:cs="Arial"/>
                <w:color w:val="000000"/>
                <w:sz w:val="14"/>
                <w:szCs w:val="14"/>
              </w:rPr>
            </w:pPr>
            <w:r w:rsidRPr="003003C0">
              <w:rPr>
                <w:rFonts w:cs="Arial"/>
                <w:color w:val="000000"/>
                <w:sz w:val="14"/>
                <w:szCs w:val="14"/>
              </w:rPr>
              <w:t>2</w:t>
            </w:r>
            <w:r>
              <w:rPr>
                <w:rFonts w:cs="Arial"/>
                <w:color w:val="000000"/>
                <w:sz w:val="14"/>
                <w:szCs w:val="14"/>
              </w:rPr>
              <w:t>.</w:t>
            </w:r>
            <w:r w:rsidRPr="003003C0">
              <w:rPr>
                <w:rFonts w:cs="Arial"/>
                <w:color w:val="000000"/>
                <w:sz w:val="14"/>
                <w:szCs w:val="14"/>
              </w:rPr>
              <w:t>8</w:t>
            </w:r>
          </w:p>
        </w:tc>
        <w:tc>
          <w:tcPr>
            <w:tcW w:w="786" w:type="dxa"/>
            <w:noWrap/>
            <w:vAlign w:val="center"/>
            <w:hideMark/>
          </w:tcPr>
          <w:p w14:paraId="2C4F8414" w14:textId="77777777" w:rsidR="004F64EF" w:rsidRPr="003003C0" w:rsidRDefault="004F64EF" w:rsidP="00FD6B66">
            <w:pPr>
              <w:jc w:val="right"/>
              <w:rPr>
                <w:rFonts w:cs="Arial"/>
                <w:color w:val="000000"/>
                <w:sz w:val="14"/>
                <w:szCs w:val="14"/>
              </w:rPr>
            </w:pPr>
            <w:r w:rsidRPr="003003C0">
              <w:rPr>
                <w:rFonts w:cs="Arial"/>
                <w:color w:val="000000"/>
                <w:sz w:val="14"/>
                <w:szCs w:val="14"/>
              </w:rPr>
              <w:t>1</w:t>
            </w:r>
            <w:r>
              <w:rPr>
                <w:rFonts w:cs="Arial"/>
                <w:color w:val="000000"/>
                <w:sz w:val="14"/>
                <w:szCs w:val="14"/>
              </w:rPr>
              <w:t>.</w:t>
            </w:r>
            <w:r w:rsidRPr="003003C0">
              <w:rPr>
                <w:rFonts w:cs="Arial"/>
                <w:color w:val="000000"/>
                <w:sz w:val="14"/>
                <w:szCs w:val="14"/>
              </w:rPr>
              <w:t>4</w:t>
            </w:r>
          </w:p>
        </w:tc>
        <w:tc>
          <w:tcPr>
            <w:tcW w:w="786" w:type="dxa"/>
            <w:noWrap/>
            <w:vAlign w:val="center"/>
            <w:hideMark/>
          </w:tcPr>
          <w:p w14:paraId="018AAFBD"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5</w:t>
            </w:r>
          </w:p>
        </w:tc>
        <w:tc>
          <w:tcPr>
            <w:tcW w:w="786" w:type="dxa"/>
            <w:noWrap/>
            <w:vAlign w:val="center"/>
            <w:hideMark/>
          </w:tcPr>
          <w:p w14:paraId="4084892D"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6</w:t>
            </w:r>
          </w:p>
        </w:tc>
      </w:tr>
      <w:tr w:rsidR="004F64EF" w:rsidRPr="003003C0" w14:paraId="13F69BF4" w14:textId="77777777" w:rsidTr="00FD6B66">
        <w:trPr>
          <w:cnfStyle w:val="000000010000" w:firstRow="0" w:lastRow="0" w:firstColumn="0" w:lastColumn="0" w:oddVBand="0" w:evenVBand="0" w:oddHBand="0" w:evenHBand="1" w:firstRowFirstColumn="0" w:firstRowLastColumn="0" w:lastRowFirstColumn="0" w:lastRowLastColumn="0"/>
          <w:trHeight w:val="20"/>
        </w:trPr>
        <w:tc>
          <w:tcPr>
            <w:tcW w:w="3516" w:type="dxa"/>
            <w:noWrap/>
            <w:vAlign w:val="center"/>
            <w:hideMark/>
          </w:tcPr>
          <w:p w14:paraId="1286911C" w14:textId="77777777" w:rsidR="004F64EF" w:rsidRPr="003003C0" w:rsidRDefault="004F64EF" w:rsidP="00FD6B66">
            <w:pPr>
              <w:tabs>
                <w:tab w:val="left" w:pos="510"/>
              </w:tabs>
              <w:jc w:val="left"/>
              <w:rPr>
                <w:rFonts w:cs="Arial"/>
                <w:color w:val="000000"/>
                <w:sz w:val="14"/>
                <w:szCs w:val="14"/>
              </w:rPr>
            </w:pPr>
            <w:r w:rsidRPr="003003C0">
              <w:rPr>
                <w:rFonts w:cs="Arial"/>
                <w:color w:val="000000"/>
                <w:sz w:val="14"/>
                <w:szCs w:val="14"/>
              </w:rPr>
              <w:tab/>
            </w:r>
            <w:r>
              <w:rPr>
                <w:rFonts w:cs="Arial"/>
                <w:color w:val="000000"/>
                <w:sz w:val="14"/>
                <w:szCs w:val="14"/>
              </w:rPr>
              <w:t>South Africa</w:t>
            </w:r>
          </w:p>
        </w:tc>
        <w:tc>
          <w:tcPr>
            <w:tcW w:w="785" w:type="dxa"/>
            <w:noWrap/>
            <w:vAlign w:val="center"/>
            <w:hideMark/>
          </w:tcPr>
          <w:p w14:paraId="4F79A24F"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0</w:t>
            </w:r>
          </w:p>
        </w:tc>
        <w:tc>
          <w:tcPr>
            <w:tcW w:w="786" w:type="dxa"/>
            <w:noWrap/>
            <w:vAlign w:val="center"/>
            <w:hideMark/>
          </w:tcPr>
          <w:p w14:paraId="085480F3"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0</w:t>
            </w:r>
          </w:p>
        </w:tc>
        <w:tc>
          <w:tcPr>
            <w:tcW w:w="786" w:type="dxa"/>
            <w:noWrap/>
            <w:vAlign w:val="center"/>
            <w:hideMark/>
          </w:tcPr>
          <w:p w14:paraId="2CE3B25C"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1</w:t>
            </w:r>
          </w:p>
        </w:tc>
        <w:tc>
          <w:tcPr>
            <w:tcW w:w="785" w:type="dxa"/>
            <w:noWrap/>
            <w:vAlign w:val="center"/>
            <w:hideMark/>
          </w:tcPr>
          <w:p w14:paraId="363E4339"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1</w:t>
            </w:r>
          </w:p>
        </w:tc>
        <w:tc>
          <w:tcPr>
            <w:tcW w:w="786" w:type="dxa"/>
            <w:noWrap/>
            <w:vAlign w:val="center"/>
            <w:hideMark/>
          </w:tcPr>
          <w:p w14:paraId="0DA5A658"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1</w:t>
            </w:r>
          </w:p>
        </w:tc>
        <w:tc>
          <w:tcPr>
            <w:tcW w:w="786" w:type="dxa"/>
            <w:noWrap/>
            <w:vAlign w:val="center"/>
            <w:hideMark/>
          </w:tcPr>
          <w:p w14:paraId="26EB4022"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1</w:t>
            </w:r>
          </w:p>
        </w:tc>
        <w:tc>
          <w:tcPr>
            <w:tcW w:w="786" w:type="dxa"/>
            <w:noWrap/>
            <w:vAlign w:val="center"/>
            <w:hideMark/>
          </w:tcPr>
          <w:p w14:paraId="2A081ABD"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2</w:t>
            </w:r>
          </w:p>
        </w:tc>
      </w:tr>
      <w:tr w:rsidR="004F64EF" w:rsidRPr="003003C0" w14:paraId="44C27659" w14:textId="77777777" w:rsidTr="00FD6B66">
        <w:trPr>
          <w:trHeight w:val="20"/>
        </w:trPr>
        <w:tc>
          <w:tcPr>
            <w:tcW w:w="3516" w:type="dxa"/>
            <w:noWrap/>
            <w:vAlign w:val="center"/>
            <w:hideMark/>
          </w:tcPr>
          <w:p w14:paraId="76C9AA91" w14:textId="77777777" w:rsidR="004F64EF" w:rsidRPr="003003C0" w:rsidRDefault="004F64EF" w:rsidP="00FD6B66">
            <w:pPr>
              <w:tabs>
                <w:tab w:val="left" w:pos="510"/>
              </w:tabs>
              <w:jc w:val="left"/>
              <w:rPr>
                <w:rFonts w:cs="Arial"/>
                <w:color w:val="000000"/>
                <w:sz w:val="14"/>
                <w:szCs w:val="14"/>
              </w:rPr>
            </w:pPr>
            <w:r w:rsidRPr="003003C0">
              <w:rPr>
                <w:rFonts w:cs="Arial"/>
                <w:color w:val="000000"/>
                <w:sz w:val="14"/>
                <w:szCs w:val="14"/>
              </w:rPr>
              <w:tab/>
              <w:t>Eg</w:t>
            </w:r>
            <w:r>
              <w:rPr>
                <w:rFonts w:cs="Arial"/>
                <w:color w:val="000000"/>
                <w:sz w:val="14"/>
                <w:szCs w:val="14"/>
              </w:rPr>
              <w:t>ypt</w:t>
            </w:r>
          </w:p>
        </w:tc>
        <w:tc>
          <w:tcPr>
            <w:tcW w:w="785" w:type="dxa"/>
            <w:noWrap/>
            <w:vAlign w:val="center"/>
            <w:hideMark/>
          </w:tcPr>
          <w:p w14:paraId="31A16F18"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0</w:t>
            </w:r>
          </w:p>
        </w:tc>
        <w:tc>
          <w:tcPr>
            <w:tcW w:w="786" w:type="dxa"/>
            <w:noWrap/>
            <w:vAlign w:val="center"/>
            <w:hideMark/>
          </w:tcPr>
          <w:p w14:paraId="192FAD49"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0</w:t>
            </w:r>
          </w:p>
        </w:tc>
        <w:tc>
          <w:tcPr>
            <w:tcW w:w="786" w:type="dxa"/>
            <w:noWrap/>
            <w:vAlign w:val="center"/>
            <w:hideMark/>
          </w:tcPr>
          <w:p w14:paraId="55177A86"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0</w:t>
            </w:r>
          </w:p>
        </w:tc>
        <w:tc>
          <w:tcPr>
            <w:tcW w:w="785" w:type="dxa"/>
            <w:noWrap/>
            <w:vAlign w:val="center"/>
            <w:hideMark/>
          </w:tcPr>
          <w:p w14:paraId="00C43895"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1</w:t>
            </w:r>
          </w:p>
        </w:tc>
        <w:tc>
          <w:tcPr>
            <w:tcW w:w="786" w:type="dxa"/>
            <w:noWrap/>
            <w:vAlign w:val="center"/>
            <w:hideMark/>
          </w:tcPr>
          <w:p w14:paraId="02BB4DB3"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1</w:t>
            </w:r>
          </w:p>
        </w:tc>
        <w:tc>
          <w:tcPr>
            <w:tcW w:w="786" w:type="dxa"/>
            <w:noWrap/>
            <w:vAlign w:val="center"/>
            <w:hideMark/>
          </w:tcPr>
          <w:p w14:paraId="66A08DE3"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1</w:t>
            </w:r>
          </w:p>
        </w:tc>
        <w:tc>
          <w:tcPr>
            <w:tcW w:w="786" w:type="dxa"/>
            <w:noWrap/>
            <w:vAlign w:val="center"/>
            <w:hideMark/>
          </w:tcPr>
          <w:p w14:paraId="38703C34"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1</w:t>
            </w:r>
          </w:p>
        </w:tc>
      </w:tr>
      <w:tr w:rsidR="004F64EF" w:rsidRPr="003003C0" w14:paraId="0BB0F2B2" w14:textId="77777777" w:rsidTr="00FD6B66">
        <w:trPr>
          <w:cnfStyle w:val="000000010000" w:firstRow="0" w:lastRow="0" w:firstColumn="0" w:lastColumn="0" w:oddVBand="0" w:evenVBand="0" w:oddHBand="0" w:evenHBand="1" w:firstRowFirstColumn="0" w:firstRowLastColumn="0" w:lastRowFirstColumn="0" w:lastRowLastColumn="0"/>
          <w:trHeight w:val="20"/>
        </w:trPr>
        <w:tc>
          <w:tcPr>
            <w:tcW w:w="3516" w:type="dxa"/>
            <w:noWrap/>
            <w:vAlign w:val="center"/>
            <w:hideMark/>
          </w:tcPr>
          <w:p w14:paraId="73431DE7" w14:textId="77777777" w:rsidR="004F64EF" w:rsidRPr="003003C0" w:rsidRDefault="004F64EF" w:rsidP="00FD6B66">
            <w:pPr>
              <w:tabs>
                <w:tab w:val="left" w:pos="510"/>
              </w:tabs>
              <w:jc w:val="left"/>
              <w:rPr>
                <w:rFonts w:cs="Arial"/>
                <w:color w:val="000000"/>
                <w:sz w:val="14"/>
                <w:szCs w:val="14"/>
              </w:rPr>
            </w:pPr>
            <w:r w:rsidRPr="003003C0">
              <w:rPr>
                <w:rFonts w:cs="Arial"/>
                <w:color w:val="000000"/>
                <w:sz w:val="14"/>
                <w:szCs w:val="14"/>
              </w:rPr>
              <w:tab/>
              <w:t>Ghana</w:t>
            </w:r>
          </w:p>
        </w:tc>
        <w:tc>
          <w:tcPr>
            <w:tcW w:w="785" w:type="dxa"/>
            <w:noWrap/>
            <w:vAlign w:val="center"/>
            <w:hideMark/>
          </w:tcPr>
          <w:p w14:paraId="70DF247F"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0</w:t>
            </w:r>
          </w:p>
        </w:tc>
        <w:tc>
          <w:tcPr>
            <w:tcW w:w="786" w:type="dxa"/>
            <w:noWrap/>
            <w:vAlign w:val="center"/>
            <w:hideMark/>
          </w:tcPr>
          <w:p w14:paraId="3B880676"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0</w:t>
            </w:r>
          </w:p>
        </w:tc>
        <w:tc>
          <w:tcPr>
            <w:tcW w:w="786" w:type="dxa"/>
            <w:noWrap/>
            <w:vAlign w:val="center"/>
            <w:hideMark/>
          </w:tcPr>
          <w:p w14:paraId="6C6CAD1D"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0</w:t>
            </w:r>
          </w:p>
        </w:tc>
        <w:tc>
          <w:tcPr>
            <w:tcW w:w="785" w:type="dxa"/>
            <w:noWrap/>
            <w:vAlign w:val="center"/>
            <w:hideMark/>
          </w:tcPr>
          <w:p w14:paraId="203A1FFB"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0</w:t>
            </w:r>
          </w:p>
        </w:tc>
        <w:tc>
          <w:tcPr>
            <w:tcW w:w="786" w:type="dxa"/>
            <w:noWrap/>
            <w:vAlign w:val="center"/>
            <w:hideMark/>
          </w:tcPr>
          <w:p w14:paraId="70E9B021"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0</w:t>
            </w:r>
          </w:p>
        </w:tc>
        <w:tc>
          <w:tcPr>
            <w:tcW w:w="786" w:type="dxa"/>
            <w:noWrap/>
            <w:vAlign w:val="center"/>
            <w:hideMark/>
          </w:tcPr>
          <w:p w14:paraId="5016DAEC"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0</w:t>
            </w:r>
          </w:p>
        </w:tc>
        <w:tc>
          <w:tcPr>
            <w:tcW w:w="786" w:type="dxa"/>
            <w:noWrap/>
            <w:vAlign w:val="center"/>
            <w:hideMark/>
          </w:tcPr>
          <w:p w14:paraId="17D9702B"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1</w:t>
            </w:r>
          </w:p>
        </w:tc>
      </w:tr>
      <w:tr w:rsidR="004F64EF" w:rsidRPr="003003C0" w14:paraId="41F4B9AC" w14:textId="77777777" w:rsidTr="00FD6B66">
        <w:trPr>
          <w:trHeight w:val="20"/>
        </w:trPr>
        <w:tc>
          <w:tcPr>
            <w:tcW w:w="3516" w:type="dxa"/>
            <w:noWrap/>
            <w:vAlign w:val="center"/>
            <w:hideMark/>
          </w:tcPr>
          <w:p w14:paraId="1E5B5EAC" w14:textId="77777777" w:rsidR="004F64EF" w:rsidRPr="003003C0" w:rsidRDefault="004F64EF" w:rsidP="00FD6B66">
            <w:pPr>
              <w:jc w:val="left"/>
              <w:rPr>
                <w:rFonts w:cs="Arial"/>
                <w:color w:val="000000"/>
                <w:sz w:val="14"/>
                <w:szCs w:val="14"/>
              </w:rPr>
            </w:pPr>
            <w:r>
              <w:rPr>
                <w:rFonts w:cs="Arial"/>
                <w:color w:val="000000"/>
                <w:sz w:val="14"/>
                <w:szCs w:val="14"/>
              </w:rPr>
              <w:t>Middle East</w:t>
            </w:r>
          </w:p>
        </w:tc>
        <w:tc>
          <w:tcPr>
            <w:tcW w:w="785" w:type="dxa"/>
            <w:noWrap/>
            <w:vAlign w:val="center"/>
            <w:hideMark/>
          </w:tcPr>
          <w:p w14:paraId="324BB551"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2</w:t>
            </w:r>
          </w:p>
        </w:tc>
        <w:tc>
          <w:tcPr>
            <w:tcW w:w="786" w:type="dxa"/>
            <w:noWrap/>
            <w:vAlign w:val="center"/>
            <w:hideMark/>
          </w:tcPr>
          <w:p w14:paraId="1D77AD2F"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2</w:t>
            </w:r>
          </w:p>
        </w:tc>
        <w:tc>
          <w:tcPr>
            <w:tcW w:w="786" w:type="dxa"/>
            <w:noWrap/>
            <w:vAlign w:val="center"/>
            <w:hideMark/>
          </w:tcPr>
          <w:p w14:paraId="133BA5DD"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2</w:t>
            </w:r>
          </w:p>
        </w:tc>
        <w:tc>
          <w:tcPr>
            <w:tcW w:w="785" w:type="dxa"/>
            <w:noWrap/>
            <w:vAlign w:val="center"/>
            <w:hideMark/>
          </w:tcPr>
          <w:p w14:paraId="7256D531"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3</w:t>
            </w:r>
          </w:p>
        </w:tc>
        <w:tc>
          <w:tcPr>
            <w:tcW w:w="786" w:type="dxa"/>
            <w:noWrap/>
            <w:vAlign w:val="center"/>
            <w:hideMark/>
          </w:tcPr>
          <w:p w14:paraId="083DA4B4"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2</w:t>
            </w:r>
          </w:p>
        </w:tc>
        <w:tc>
          <w:tcPr>
            <w:tcW w:w="786" w:type="dxa"/>
            <w:noWrap/>
            <w:vAlign w:val="center"/>
            <w:hideMark/>
          </w:tcPr>
          <w:p w14:paraId="3FE43015"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2</w:t>
            </w:r>
          </w:p>
        </w:tc>
        <w:tc>
          <w:tcPr>
            <w:tcW w:w="786" w:type="dxa"/>
            <w:noWrap/>
            <w:vAlign w:val="center"/>
            <w:hideMark/>
          </w:tcPr>
          <w:p w14:paraId="3015734A"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4</w:t>
            </w:r>
          </w:p>
        </w:tc>
      </w:tr>
      <w:tr w:rsidR="004F64EF" w:rsidRPr="003003C0" w14:paraId="34B7A65F" w14:textId="77777777" w:rsidTr="00FD6B66">
        <w:trPr>
          <w:cnfStyle w:val="000000010000" w:firstRow="0" w:lastRow="0" w:firstColumn="0" w:lastColumn="0" w:oddVBand="0" w:evenVBand="0" w:oddHBand="0" w:evenHBand="1" w:firstRowFirstColumn="0" w:firstRowLastColumn="0" w:lastRowFirstColumn="0" w:lastRowLastColumn="0"/>
          <w:trHeight w:val="20"/>
        </w:trPr>
        <w:tc>
          <w:tcPr>
            <w:tcW w:w="3516" w:type="dxa"/>
            <w:noWrap/>
            <w:vAlign w:val="center"/>
            <w:hideMark/>
          </w:tcPr>
          <w:p w14:paraId="6483C284" w14:textId="77777777" w:rsidR="004F64EF" w:rsidRPr="003003C0" w:rsidRDefault="004F64EF" w:rsidP="00F0233E">
            <w:pPr>
              <w:tabs>
                <w:tab w:val="left" w:pos="510"/>
              </w:tabs>
              <w:jc w:val="left"/>
              <w:rPr>
                <w:rFonts w:cs="Arial"/>
                <w:color w:val="000000"/>
                <w:sz w:val="14"/>
                <w:szCs w:val="14"/>
              </w:rPr>
            </w:pPr>
            <w:r w:rsidRPr="003003C0">
              <w:rPr>
                <w:rFonts w:cs="Arial"/>
                <w:color w:val="000000"/>
                <w:sz w:val="14"/>
                <w:szCs w:val="14"/>
              </w:rPr>
              <w:tab/>
            </w:r>
            <w:r>
              <w:rPr>
                <w:rFonts w:cs="Arial"/>
                <w:color w:val="000000"/>
                <w:sz w:val="14"/>
                <w:szCs w:val="14"/>
              </w:rPr>
              <w:t>Saudi Arabia</w:t>
            </w:r>
            <w:r w:rsidRPr="003003C0">
              <w:rPr>
                <w:rFonts w:cs="Arial"/>
                <w:color w:val="000000"/>
                <w:sz w:val="14"/>
                <w:szCs w:val="14"/>
              </w:rPr>
              <w:t xml:space="preserve">, </w:t>
            </w:r>
            <w:r>
              <w:rPr>
                <w:rFonts w:cs="Arial"/>
                <w:color w:val="000000"/>
                <w:sz w:val="14"/>
                <w:szCs w:val="14"/>
              </w:rPr>
              <w:t>Kingdom of</w:t>
            </w:r>
          </w:p>
        </w:tc>
        <w:tc>
          <w:tcPr>
            <w:tcW w:w="785" w:type="dxa"/>
            <w:noWrap/>
            <w:vAlign w:val="center"/>
            <w:hideMark/>
          </w:tcPr>
          <w:p w14:paraId="2DCA2349"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0</w:t>
            </w:r>
          </w:p>
        </w:tc>
        <w:tc>
          <w:tcPr>
            <w:tcW w:w="786" w:type="dxa"/>
            <w:noWrap/>
            <w:vAlign w:val="center"/>
            <w:hideMark/>
          </w:tcPr>
          <w:p w14:paraId="3EB87F7C"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1</w:t>
            </w:r>
          </w:p>
        </w:tc>
        <w:tc>
          <w:tcPr>
            <w:tcW w:w="786" w:type="dxa"/>
            <w:noWrap/>
            <w:vAlign w:val="center"/>
            <w:hideMark/>
          </w:tcPr>
          <w:p w14:paraId="46FF9B54"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1</w:t>
            </w:r>
          </w:p>
        </w:tc>
        <w:tc>
          <w:tcPr>
            <w:tcW w:w="785" w:type="dxa"/>
            <w:noWrap/>
            <w:vAlign w:val="center"/>
            <w:hideMark/>
          </w:tcPr>
          <w:p w14:paraId="56F6B2D7"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1</w:t>
            </w:r>
          </w:p>
        </w:tc>
        <w:tc>
          <w:tcPr>
            <w:tcW w:w="786" w:type="dxa"/>
            <w:noWrap/>
            <w:vAlign w:val="center"/>
            <w:hideMark/>
          </w:tcPr>
          <w:p w14:paraId="5137CD54"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1</w:t>
            </w:r>
          </w:p>
        </w:tc>
        <w:tc>
          <w:tcPr>
            <w:tcW w:w="786" w:type="dxa"/>
            <w:noWrap/>
            <w:vAlign w:val="center"/>
            <w:hideMark/>
          </w:tcPr>
          <w:p w14:paraId="64CCE695"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1</w:t>
            </w:r>
          </w:p>
        </w:tc>
        <w:tc>
          <w:tcPr>
            <w:tcW w:w="786" w:type="dxa"/>
            <w:noWrap/>
            <w:vAlign w:val="center"/>
            <w:hideMark/>
          </w:tcPr>
          <w:p w14:paraId="23B6BE84"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2</w:t>
            </w:r>
          </w:p>
        </w:tc>
      </w:tr>
      <w:tr w:rsidR="004F64EF" w:rsidRPr="003003C0" w14:paraId="1260EDF8" w14:textId="77777777" w:rsidTr="00FD6B66">
        <w:trPr>
          <w:trHeight w:val="20"/>
        </w:trPr>
        <w:tc>
          <w:tcPr>
            <w:tcW w:w="3516" w:type="dxa"/>
            <w:noWrap/>
            <w:vAlign w:val="center"/>
            <w:hideMark/>
          </w:tcPr>
          <w:p w14:paraId="04764AE1" w14:textId="77777777" w:rsidR="004F64EF" w:rsidRPr="003003C0" w:rsidRDefault="004F64EF" w:rsidP="00F0233E">
            <w:pPr>
              <w:tabs>
                <w:tab w:val="left" w:pos="510"/>
              </w:tabs>
              <w:jc w:val="left"/>
              <w:rPr>
                <w:rFonts w:cs="Arial"/>
                <w:color w:val="000000"/>
                <w:sz w:val="14"/>
                <w:szCs w:val="14"/>
              </w:rPr>
            </w:pPr>
            <w:r w:rsidRPr="003003C0">
              <w:rPr>
                <w:rFonts w:cs="Arial"/>
                <w:color w:val="000000"/>
                <w:sz w:val="14"/>
                <w:szCs w:val="14"/>
              </w:rPr>
              <w:tab/>
              <w:t>Israel</w:t>
            </w:r>
          </w:p>
        </w:tc>
        <w:tc>
          <w:tcPr>
            <w:tcW w:w="785" w:type="dxa"/>
            <w:noWrap/>
            <w:vAlign w:val="center"/>
            <w:hideMark/>
          </w:tcPr>
          <w:p w14:paraId="49234E56"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1</w:t>
            </w:r>
          </w:p>
        </w:tc>
        <w:tc>
          <w:tcPr>
            <w:tcW w:w="786" w:type="dxa"/>
            <w:noWrap/>
            <w:vAlign w:val="center"/>
            <w:hideMark/>
          </w:tcPr>
          <w:p w14:paraId="6A8126B6"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1</w:t>
            </w:r>
          </w:p>
        </w:tc>
        <w:tc>
          <w:tcPr>
            <w:tcW w:w="786" w:type="dxa"/>
            <w:noWrap/>
            <w:vAlign w:val="center"/>
            <w:hideMark/>
          </w:tcPr>
          <w:p w14:paraId="77B6FC6A"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1</w:t>
            </w:r>
          </w:p>
        </w:tc>
        <w:tc>
          <w:tcPr>
            <w:tcW w:w="785" w:type="dxa"/>
            <w:noWrap/>
            <w:vAlign w:val="center"/>
            <w:hideMark/>
          </w:tcPr>
          <w:p w14:paraId="41FE68B7"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1</w:t>
            </w:r>
          </w:p>
        </w:tc>
        <w:tc>
          <w:tcPr>
            <w:tcW w:w="786" w:type="dxa"/>
            <w:noWrap/>
            <w:vAlign w:val="center"/>
            <w:hideMark/>
          </w:tcPr>
          <w:p w14:paraId="58041835"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1</w:t>
            </w:r>
          </w:p>
        </w:tc>
        <w:tc>
          <w:tcPr>
            <w:tcW w:w="786" w:type="dxa"/>
            <w:noWrap/>
            <w:vAlign w:val="center"/>
            <w:hideMark/>
          </w:tcPr>
          <w:p w14:paraId="3021A064"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1</w:t>
            </w:r>
          </w:p>
        </w:tc>
        <w:tc>
          <w:tcPr>
            <w:tcW w:w="786" w:type="dxa"/>
            <w:noWrap/>
            <w:vAlign w:val="center"/>
            <w:hideMark/>
          </w:tcPr>
          <w:p w14:paraId="1512EED4"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1</w:t>
            </w:r>
          </w:p>
        </w:tc>
      </w:tr>
      <w:tr w:rsidR="004F64EF" w:rsidRPr="003003C0" w14:paraId="65F500DF" w14:textId="77777777" w:rsidTr="00FD6B66">
        <w:trPr>
          <w:cnfStyle w:val="000000010000" w:firstRow="0" w:lastRow="0" w:firstColumn="0" w:lastColumn="0" w:oddVBand="0" w:evenVBand="0" w:oddHBand="0" w:evenHBand="1" w:firstRowFirstColumn="0" w:firstRowLastColumn="0" w:lastRowFirstColumn="0" w:lastRowLastColumn="0"/>
          <w:trHeight w:val="20"/>
        </w:trPr>
        <w:tc>
          <w:tcPr>
            <w:tcW w:w="3516" w:type="dxa"/>
            <w:noWrap/>
            <w:vAlign w:val="center"/>
            <w:hideMark/>
          </w:tcPr>
          <w:p w14:paraId="2B960A5A" w14:textId="77777777" w:rsidR="004F64EF" w:rsidRPr="003003C0" w:rsidRDefault="004F64EF" w:rsidP="00FD6B66">
            <w:pPr>
              <w:jc w:val="left"/>
              <w:rPr>
                <w:rFonts w:cs="Arial"/>
                <w:color w:val="000000"/>
                <w:sz w:val="14"/>
                <w:szCs w:val="14"/>
              </w:rPr>
            </w:pPr>
            <w:r w:rsidRPr="003003C0">
              <w:rPr>
                <w:rFonts w:cs="Arial"/>
                <w:color w:val="000000"/>
                <w:sz w:val="14"/>
                <w:szCs w:val="14"/>
              </w:rPr>
              <w:t>Asia</w:t>
            </w:r>
          </w:p>
        </w:tc>
        <w:tc>
          <w:tcPr>
            <w:tcW w:w="785" w:type="dxa"/>
            <w:noWrap/>
            <w:vAlign w:val="center"/>
            <w:hideMark/>
          </w:tcPr>
          <w:p w14:paraId="3617EE92" w14:textId="77777777" w:rsidR="004F64EF" w:rsidRPr="003003C0" w:rsidRDefault="004F64EF" w:rsidP="00FD6B66">
            <w:pPr>
              <w:jc w:val="right"/>
              <w:rPr>
                <w:rFonts w:cs="Arial"/>
                <w:color w:val="000000"/>
                <w:sz w:val="14"/>
                <w:szCs w:val="14"/>
              </w:rPr>
            </w:pPr>
            <w:r w:rsidRPr="003003C0">
              <w:rPr>
                <w:rFonts w:cs="Arial"/>
                <w:color w:val="000000"/>
                <w:sz w:val="14"/>
                <w:szCs w:val="14"/>
              </w:rPr>
              <w:t>22</w:t>
            </w:r>
            <w:r>
              <w:rPr>
                <w:rFonts w:cs="Arial"/>
                <w:color w:val="000000"/>
                <w:sz w:val="14"/>
                <w:szCs w:val="14"/>
              </w:rPr>
              <w:t>.</w:t>
            </w:r>
            <w:r w:rsidRPr="003003C0">
              <w:rPr>
                <w:rFonts w:cs="Arial"/>
                <w:color w:val="000000"/>
                <w:sz w:val="14"/>
                <w:szCs w:val="14"/>
              </w:rPr>
              <w:t>4</w:t>
            </w:r>
          </w:p>
        </w:tc>
        <w:tc>
          <w:tcPr>
            <w:tcW w:w="786" w:type="dxa"/>
            <w:noWrap/>
            <w:vAlign w:val="center"/>
            <w:hideMark/>
          </w:tcPr>
          <w:p w14:paraId="4F2822A4" w14:textId="77777777" w:rsidR="004F64EF" w:rsidRPr="003003C0" w:rsidRDefault="004F64EF" w:rsidP="00FD6B66">
            <w:pPr>
              <w:jc w:val="right"/>
              <w:rPr>
                <w:rFonts w:cs="Arial"/>
                <w:color w:val="000000"/>
                <w:sz w:val="14"/>
                <w:szCs w:val="14"/>
              </w:rPr>
            </w:pPr>
            <w:r w:rsidRPr="003003C0">
              <w:rPr>
                <w:rFonts w:cs="Arial"/>
                <w:color w:val="000000"/>
                <w:sz w:val="14"/>
                <w:szCs w:val="14"/>
              </w:rPr>
              <w:t>22</w:t>
            </w:r>
            <w:r>
              <w:rPr>
                <w:rFonts w:cs="Arial"/>
                <w:color w:val="000000"/>
                <w:sz w:val="14"/>
                <w:szCs w:val="14"/>
              </w:rPr>
              <w:t>.</w:t>
            </w:r>
            <w:r w:rsidRPr="003003C0">
              <w:rPr>
                <w:rFonts w:cs="Arial"/>
                <w:color w:val="000000"/>
                <w:sz w:val="14"/>
                <w:szCs w:val="14"/>
              </w:rPr>
              <w:t>5</w:t>
            </w:r>
          </w:p>
        </w:tc>
        <w:tc>
          <w:tcPr>
            <w:tcW w:w="786" w:type="dxa"/>
            <w:noWrap/>
            <w:vAlign w:val="center"/>
            <w:hideMark/>
          </w:tcPr>
          <w:p w14:paraId="51C5D1FB" w14:textId="77777777" w:rsidR="004F64EF" w:rsidRPr="003003C0" w:rsidRDefault="004F64EF" w:rsidP="00FD6B66">
            <w:pPr>
              <w:jc w:val="right"/>
              <w:rPr>
                <w:rFonts w:cs="Arial"/>
                <w:color w:val="000000"/>
                <w:sz w:val="14"/>
                <w:szCs w:val="14"/>
              </w:rPr>
            </w:pPr>
            <w:r w:rsidRPr="003003C0">
              <w:rPr>
                <w:rFonts w:cs="Arial"/>
                <w:color w:val="000000"/>
                <w:sz w:val="14"/>
                <w:szCs w:val="14"/>
              </w:rPr>
              <w:t>22</w:t>
            </w:r>
            <w:r>
              <w:rPr>
                <w:rFonts w:cs="Arial"/>
                <w:color w:val="000000"/>
                <w:sz w:val="14"/>
                <w:szCs w:val="14"/>
              </w:rPr>
              <w:t>.</w:t>
            </w:r>
            <w:r w:rsidRPr="003003C0">
              <w:rPr>
                <w:rFonts w:cs="Arial"/>
                <w:color w:val="000000"/>
                <w:sz w:val="14"/>
                <w:szCs w:val="14"/>
              </w:rPr>
              <w:t>8</w:t>
            </w:r>
          </w:p>
        </w:tc>
        <w:tc>
          <w:tcPr>
            <w:tcW w:w="785" w:type="dxa"/>
            <w:noWrap/>
            <w:vAlign w:val="center"/>
            <w:hideMark/>
          </w:tcPr>
          <w:p w14:paraId="2D15734F" w14:textId="77777777" w:rsidR="004F64EF" w:rsidRPr="003003C0" w:rsidRDefault="004F64EF" w:rsidP="00FD6B66">
            <w:pPr>
              <w:jc w:val="right"/>
              <w:rPr>
                <w:rFonts w:cs="Arial"/>
                <w:color w:val="000000"/>
                <w:sz w:val="14"/>
                <w:szCs w:val="14"/>
              </w:rPr>
            </w:pPr>
            <w:r w:rsidRPr="003003C0">
              <w:rPr>
                <w:rFonts w:cs="Arial"/>
                <w:color w:val="000000"/>
                <w:sz w:val="14"/>
                <w:szCs w:val="14"/>
              </w:rPr>
              <w:t>22</w:t>
            </w:r>
            <w:r>
              <w:rPr>
                <w:rFonts w:cs="Arial"/>
                <w:color w:val="000000"/>
                <w:sz w:val="14"/>
                <w:szCs w:val="14"/>
              </w:rPr>
              <w:t>.</w:t>
            </w:r>
            <w:r w:rsidRPr="003003C0">
              <w:rPr>
                <w:rFonts w:cs="Arial"/>
                <w:color w:val="000000"/>
                <w:sz w:val="14"/>
                <w:szCs w:val="14"/>
              </w:rPr>
              <w:t>8</w:t>
            </w:r>
          </w:p>
        </w:tc>
        <w:tc>
          <w:tcPr>
            <w:tcW w:w="786" w:type="dxa"/>
            <w:noWrap/>
            <w:vAlign w:val="center"/>
            <w:hideMark/>
          </w:tcPr>
          <w:p w14:paraId="2AF57178" w14:textId="77777777" w:rsidR="004F64EF" w:rsidRPr="003003C0" w:rsidRDefault="004F64EF" w:rsidP="00FD6B66">
            <w:pPr>
              <w:jc w:val="right"/>
              <w:rPr>
                <w:rFonts w:cs="Arial"/>
                <w:color w:val="000000"/>
                <w:sz w:val="14"/>
                <w:szCs w:val="14"/>
              </w:rPr>
            </w:pPr>
            <w:r w:rsidRPr="003003C0">
              <w:rPr>
                <w:rFonts w:cs="Arial"/>
                <w:color w:val="000000"/>
                <w:sz w:val="14"/>
                <w:szCs w:val="14"/>
              </w:rPr>
              <w:t>24</w:t>
            </w:r>
            <w:r>
              <w:rPr>
                <w:rFonts w:cs="Arial"/>
                <w:color w:val="000000"/>
                <w:sz w:val="14"/>
                <w:szCs w:val="14"/>
              </w:rPr>
              <w:t>.</w:t>
            </w:r>
            <w:r w:rsidRPr="003003C0">
              <w:rPr>
                <w:rFonts w:cs="Arial"/>
                <w:color w:val="000000"/>
                <w:sz w:val="14"/>
                <w:szCs w:val="14"/>
              </w:rPr>
              <w:t>0</w:t>
            </w:r>
          </w:p>
        </w:tc>
        <w:tc>
          <w:tcPr>
            <w:tcW w:w="786" w:type="dxa"/>
            <w:noWrap/>
            <w:vAlign w:val="center"/>
            <w:hideMark/>
          </w:tcPr>
          <w:p w14:paraId="250EE548" w14:textId="77777777" w:rsidR="004F64EF" w:rsidRPr="003003C0" w:rsidRDefault="004F64EF" w:rsidP="00FD6B66">
            <w:pPr>
              <w:jc w:val="right"/>
              <w:rPr>
                <w:rFonts w:cs="Arial"/>
                <w:color w:val="000000"/>
                <w:sz w:val="14"/>
                <w:szCs w:val="14"/>
              </w:rPr>
            </w:pPr>
            <w:r w:rsidRPr="003003C0">
              <w:rPr>
                <w:rFonts w:cs="Arial"/>
                <w:color w:val="000000"/>
                <w:sz w:val="14"/>
                <w:szCs w:val="14"/>
              </w:rPr>
              <w:t>25</w:t>
            </w:r>
            <w:r>
              <w:rPr>
                <w:rFonts w:cs="Arial"/>
                <w:color w:val="000000"/>
                <w:sz w:val="14"/>
                <w:szCs w:val="14"/>
              </w:rPr>
              <w:t>.</w:t>
            </w:r>
            <w:r w:rsidRPr="003003C0">
              <w:rPr>
                <w:rFonts w:cs="Arial"/>
                <w:color w:val="000000"/>
                <w:sz w:val="14"/>
                <w:szCs w:val="14"/>
              </w:rPr>
              <w:t>3</w:t>
            </w:r>
          </w:p>
        </w:tc>
        <w:tc>
          <w:tcPr>
            <w:tcW w:w="786" w:type="dxa"/>
            <w:noWrap/>
            <w:vAlign w:val="center"/>
            <w:hideMark/>
          </w:tcPr>
          <w:p w14:paraId="477EC915" w14:textId="77777777" w:rsidR="004F64EF" w:rsidRPr="003003C0" w:rsidRDefault="004F64EF" w:rsidP="00FD6B66">
            <w:pPr>
              <w:jc w:val="right"/>
              <w:rPr>
                <w:rFonts w:cs="Arial"/>
                <w:color w:val="000000"/>
                <w:sz w:val="14"/>
                <w:szCs w:val="14"/>
              </w:rPr>
            </w:pPr>
            <w:r w:rsidRPr="003003C0">
              <w:rPr>
                <w:rFonts w:cs="Arial"/>
                <w:color w:val="000000"/>
                <w:sz w:val="14"/>
                <w:szCs w:val="14"/>
              </w:rPr>
              <w:t>23</w:t>
            </w:r>
            <w:r>
              <w:rPr>
                <w:rFonts w:cs="Arial"/>
                <w:color w:val="000000"/>
                <w:sz w:val="14"/>
                <w:szCs w:val="14"/>
              </w:rPr>
              <w:t>.</w:t>
            </w:r>
            <w:r w:rsidRPr="003003C0">
              <w:rPr>
                <w:rFonts w:cs="Arial"/>
                <w:color w:val="000000"/>
                <w:sz w:val="14"/>
                <w:szCs w:val="14"/>
              </w:rPr>
              <w:t>1</w:t>
            </w:r>
          </w:p>
        </w:tc>
      </w:tr>
      <w:tr w:rsidR="004F64EF" w:rsidRPr="003003C0" w14:paraId="5B3E5777" w14:textId="77777777" w:rsidTr="00FD6B66">
        <w:trPr>
          <w:trHeight w:val="20"/>
        </w:trPr>
        <w:tc>
          <w:tcPr>
            <w:tcW w:w="3516" w:type="dxa"/>
            <w:noWrap/>
            <w:vAlign w:val="center"/>
            <w:hideMark/>
          </w:tcPr>
          <w:p w14:paraId="032F477A" w14:textId="77777777" w:rsidR="004F64EF" w:rsidRPr="003003C0" w:rsidRDefault="004F64EF" w:rsidP="00FD6B66">
            <w:pPr>
              <w:tabs>
                <w:tab w:val="left" w:pos="113"/>
              </w:tabs>
              <w:jc w:val="left"/>
              <w:rPr>
                <w:rFonts w:cs="Arial"/>
                <w:color w:val="000000"/>
                <w:sz w:val="14"/>
                <w:szCs w:val="14"/>
              </w:rPr>
            </w:pPr>
            <w:r w:rsidRPr="003003C0">
              <w:rPr>
                <w:rFonts w:cs="Arial"/>
                <w:color w:val="000000"/>
                <w:sz w:val="14"/>
                <w:szCs w:val="14"/>
              </w:rPr>
              <w:tab/>
              <w:t>China</w:t>
            </w:r>
          </w:p>
        </w:tc>
        <w:tc>
          <w:tcPr>
            <w:tcW w:w="785" w:type="dxa"/>
            <w:noWrap/>
            <w:vAlign w:val="center"/>
            <w:hideMark/>
          </w:tcPr>
          <w:p w14:paraId="47D5CC57" w14:textId="77777777" w:rsidR="004F64EF" w:rsidRPr="003003C0" w:rsidRDefault="004F64EF" w:rsidP="00FD6B66">
            <w:pPr>
              <w:jc w:val="right"/>
              <w:rPr>
                <w:rFonts w:cs="Arial"/>
                <w:color w:val="000000"/>
                <w:sz w:val="14"/>
                <w:szCs w:val="14"/>
              </w:rPr>
            </w:pPr>
            <w:r w:rsidRPr="003003C0">
              <w:rPr>
                <w:rFonts w:cs="Arial"/>
                <w:color w:val="000000"/>
                <w:sz w:val="14"/>
                <w:szCs w:val="14"/>
              </w:rPr>
              <w:t>15</w:t>
            </w:r>
            <w:r>
              <w:rPr>
                <w:rFonts w:cs="Arial"/>
                <w:color w:val="000000"/>
                <w:sz w:val="14"/>
                <w:szCs w:val="14"/>
              </w:rPr>
              <w:t>.</w:t>
            </w:r>
            <w:r w:rsidRPr="003003C0">
              <w:rPr>
                <w:rFonts w:cs="Arial"/>
                <w:color w:val="000000"/>
                <w:sz w:val="14"/>
                <w:szCs w:val="14"/>
              </w:rPr>
              <w:t>7</w:t>
            </w:r>
          </w:p>
        </w:tc>
        <w:tc>
          <w:tcPr>
            <w:tcW w:w="786" w:type="dxa"/>
            <w:noWrap/>
            <w:vAlign w:val="center"/>
            <w:hideMark/>
          </w:tcPr>
          <w:p w14:paraId="700D0836" w14:textId="77777777" w:rsidR="004F64EF" w:rsidRPr="003003C0" w:rsidRDefault="004F64EF" w:rsidP="00FD6B66">
            <w:pPr>
              <w:jc w:val="right"/>
              <w:rPr>
                <w:rFonts w:cs="Arial"/>
                <w:color w:val="000000"/>
                <w:sz w:val="14"/>
                <w:szCs w:val="14"/>
              </w:rPr>
            </w:pPr>
            <w:r w:rsidRPr="003003C0">
              <w:rPr>
                <w:rFonts w:cs="Arial"/>
                <w:color w:val="000000"/>
                <w:sz w:val="14"/>
                <w:szCs w:val="14"/>
              </w:rPr>
              <w:t>15</w:t>
            </w:r>
            <w:r>
              <w:rPr>
                <w:rFonts w:cs="Arial"/>
                <w:color w:val="000000"/>
                <w:sz w:val="14"/>
                <w:szCs w:val="14"/>
              </w:rPr>
              <w:t>.</w:t>
            </w:r>
            <w:r w:rsidRPr="003003C0">
              <w:rPr>
                <w:rFonts w:cs="Arial"/>
                <w:color w:val="000000"/>
                <w:sz w:val="14"/>
                <w:szCs w:val="14"/>
              </w:rPr>
              <w:t>1</w:t>
            </w:r>
          </w:p>
        </w:tc>
        <w:tc>
          <w:tcPr>
            <w:tcW w:w="786" w:type="dxa"/>
            <w:noWrap/>
            <w:vAlign w:val="center"/>
            <w:hideMark/>
          </w:tcPr>
          <w:p w14:paraId="3F00F1F5" w14:textId="77777777" w:rsidR="004F64EF" w:rsidRPr="003003C0" w:rsidRDefault="004F64EF" w:rsidP="00FD6B66">
            <w:pPr>
              <w:jc w:val="right"/>
              <w:rPr>
                <w:rFonts w:cs="Arial"/>
                <w:color w:val="000000"/>
                <w:sz w:val="14"/>
                <w:szCs w:val="14"/>
              </w:rPr>
            </w:pPr>
            <w:r w:rsidRPr="003003C0">
              <w:rPr>
                <w:rFonts w:cs="Arial"/>
                <w:color w:val="000000"/>
                <w:sz w:val="14"/>
                <w:szCs w:val="14"/>
              </w:rPr>
              <w:t>15</w:t>
            </w:r>
            <w:r>
              <w:rPr>
                <w:rFonts w:cs="Arial"/>
                <w:color w:val="000000"/>
                <w:sz w:val="14"/>
                <w:szCs w:val="14"/>
              </w:rPr>
              <w:t>.</w:t>
            </w:r>
            <w:r w:rsidRPr="003003C0">
              <w:rPr>
                <w:rFonts w:cs="Arial"/>
                <w:color w:val="000000"/>
                <w:sz w:val="14"/>
                <w:szCs w:val="14"/>
              </w:rPr>
              <w:t>9</w:t>
            </w:r>
          </w:p>
        </w:tc>
        <w:tc>
          <w:tcPr>
            <w:tcW w:w="785" w:type="dxa"/>
            <w:noWrap/>
            <w:vAlign w:val="center"/>
            <w:hideMark/>
          </w:tcPr>
          <w:p w14:paraId="224F250A" w14:textId="77777777" w:rsidR="004F64EF" w:rsidRPr="003003C0" w:rsidRDefault="004F64EF" w:rsidP="00FD6B66">
            <w:pPr>
              <w:jc w:val="right"/>
              <w:rPr>
                <w:rFonts w:cs="Arial"/>
                <w:color w:val="000000"/>
                <w:sz w:val="14"/>
                <w:szCs w:val="14"/>
              </w:rPr>
            </w:pPr>
            <w:r w:rsidRPr="003003C0">
              <w:rPr>
                <w:rFonts w:cs="Arial"/>
                <w:color w:val="000000"/>
                <w:sz w:val="14"/>
                <w:szCs w:val="14"/>
              </w:rPr>
              <w:t>16</w:t>
            </w:r>
            <w:r>
              <w:rPr>
                <w:rFonts w:cs="Arial"/>
                <w:color w:val="000000"/>
                <w:sz w:val="14"/>
                <w:szCs w:val="14"/>
              </w:rPr>
              <w:t>.</w:t>
            </w:r>
            <w:r w:rsidRPr="003003C0">
              <w:rPr>
                <w:rFonts w:cs="Arial"/>
                <w:color w:val="000000"/>
                <w:sz w:val="14"/>
                <w:szCs w:val="14"/>
              </w:rPr>
              <w:t>4</w:t>
            </w:r>
          </w:p>
        </w:tc>
        <w:tc>
          <w:tcPr>
            <w:tcW w:w="786" w:type="dxa"/>
            <w:noWrap/>
            <w:vAlign w:val="center"/>
            <w:hideMark/>
          </w:tcPr>
          <w:p w14:paraId="514CACB9" w14:textId="77777777" w:rsidR="004F64EF" w:rsidRPr="003003C0" w:rsidRDefault="004F64EF" w:rsidP="00FD6B66">
            <w:pPr>
              <w:jc w:val="right"/>
              <w:rPr>
                <w:rFonts w:cs="Arial"/>
                <w:color w:val="000000"/>
                <w:sz w:val="14"/>
                <w:szCs w:val="14"/>
              </w:rPr>
            </w:pPr>
            <w:r w:rsidRPr="003003C0">
              <w:rPr>
                <w:rFonts w:cs="Arial"/>
                <w:color w:val="000000"/>
                <w:sz w:val="14"/>
                <w:szCs w:val="14"/>
              </w:rPr>
              <w:t>17</w:t>
            </w:r>
            <w:r>
              <w:rPr>
                <w:rFonts w:cs="Arial"/>
                <w:color w:val="000000"/>
                <w:sz w:val="14"/>
                <w:szCs w:val="14"/>
              </w:rPr>
              <w:t>.</w:t>
            </w:r>
            <w:r w:rsidRPr="003003C0">
              <w:rPr>
                <w:rFonts w:cs="Arial"/>
                <w:color w:val="000000"/>
                <w:sz w:val="14"/>
                <w:szCs w:val="14"/>
              </w:rPr>
              <w:t>3</w:t>
            </w:r>
          </w:p>
        </w:tc>
        <w:tc>
          <w:tcPr>
            <w:tcW w:w="786" w:type="dxa"/>
            <w:noWrap/>
            <w:vAlign w:val="center"/>
            <w:hideMark/>
          </w:tcPr>
          <w:p w14:paraId="058B28FA" w14:textId="77777777" w:rsidR="004F64EF" w:rsidRPr="003003C0" w:rsidRDefault="004F64EF" w:rsidP="00FD6B66">
            <w:pPr>
              <w:jc w:val="right"/>
              <w:rPr>
                <w:rFonts w:cs="Arial"/>
                <w:color w:val="000000"/>
                <w:sz w:val="14"/>
                <w:szCs w:val="14"/>
              </w:rPr>
            </w:pPr>
            <w:r w:rsidRPr="003003C0">
              <w:rPr>
                <w:rFonts w:cs="Arial"/>
                <w:color w:val="000000"/>
                <w:sz w:val="14"/>
                <w:szCs w:val="14"/>
              </w:rPr>
              <w:t>19</w:t>
            </w:r>
            <w:r>
              <w:rPr>
                <w:rFonts w:cs="Arial"/>
                <w:color w:val="000000"/>
                <w:sz w:val="14"/>
                <w:szCs w:val="14"/>
              </w:rPr>
              <w:t>.</w:t>
            </w:r>
            <w:r w:rsidRPr="003003C0">
              <w:rPr>
                <w:rFonts w:cs="Arial"/>
                <w:color w:val="000000"/>
                <w:sz w:val="14"/>
                <w:szCs w:val="14"/>
              </w:rPr>
              <w:t>0</w:t>
            </w:r>
          </w:p>
        </w:tc>
        <w:tc>
          <w:tcPr>
            <w:tcW w:w="786" w:type="dxa"/>
            <w:noWrap/>
            <w:vAlign w:val="center"/>
            <w:hideMark/>
          </w:tcPr>
          <w:p w14:paraId="46AFA449" w14:textId="77777777" w:rsidR="004F64EF" w:rsidRPr="003003C0" w:rsidRDefault="004F64EF" w:rsidP="00FD6B66">
            <w:pPr>
              <w:jc w:val="right"/>
              <w:rPr>
                <w:rFonts w:cs="Arial"/>
                <w:color w:val="000000"/>
                <w:sz w:val="14"/>
                <w:szCs w:val="14"/>
              </w:rPr>
            </w:pPr>
            <w:r w:rsidRPr="003003C0">
              <w:rPr>
                <w:rFonts w:cs="Arial"/>
                <w:color w:val="000000"/>
                <w:sz w:val="14"/>
                <w:szCs w:val="14"/>
              </w:rPr>
              <w:t>17</w:t>
            </w:r>
            <w:r>
              <w:rPr>
                <w:rFonts w:cs="Arial"/>
                <w:color w:val="000000"/>
                <w:sz w:val="14"/>
                <w:szCs w:val="14"/>
              </w:rPr>
              <w:t>.</w:t>
            </w:r>
            <w:r w:rsidRPr="003003C0">
              <w:rPr>
                <w:rFonts w:cs="Arial"/>
                <w:color w:val="000000"/>
                <w:sz w:val="14"/>
                <w:szCs w:val="14"/>
              </w:rPr>
              <w:t>6</w:t>
            </w:r>
          </w:p>
        </w:tc>
      </w:tr>
      <w:tr w:rsidR="004F64EF" w:rsidRPr="003003C0" w14:paraId="057E186B" w14:textId="77777777" w:rsidTr="00FD6B66">
        <w:trPr>
          <w:cnfStyle w:val="000000010000" w:firstRow="0" w:lastRow="0" w:firstColumn="0" w:lastColumn="0" w:oddVBand="0" w:evenVBand="0" w:oddHBand="0" w:evenHBand="1" w:firstRowFirstColumn="0" w:firstRowLastColumn="0" w:lastRowFirstColumn="0" w:lastRowLastColumn="0"/>
          <w:trHeight w:val="20"/>
        </w:trPr>
        <w:tc>
          <w:tcPr>
            <w:tcW w:w="3516" w:type="dxa"/>
            <w:noWrap/>
            <w:vAlign w:val="center"/>
            <w:hideMark/>
          </w:tcPr>
          <w:p w14:paraId="01AE4CFF" w14:textId="77777777" w:rsidR="004F64EF" w:rsidRPr="003003C0" w:rsidRDefault="004F64EF" w:rsidP="00FD6B66">
            <w:pPr>
              <w:tabs>
                <w:tab w:val="left" w:pos="113"/>
              </w:tabs>
              <w:jc w:val="left"/>
              <w:rPr>
                <w:rFonts w:cs="Arial"/>
                <w:color w:val="000000"/>
                <w:sz w:val="14"/>
                <w:szCs w:val="14"/>
              </w:rPr>
            </w:pPr>
            <w:r w:rsidRPr="003003C0">
              <w:rPr>
                <w:rFonts w:cs="Arial"/>
                <w:color w:val="000000"/>
                <w:sz w:val="14"/>
                <w:szCs w:val="14"/>
              </w:rPr>
              <w:tab/>
              <w:t>Jap</w:t>
            </w:r>
            <w:r>
              <w:rPr>
                <w:rFonts w:cs="Arial"/>
                <w:color w:val="000000"/>
                <w:sz w:val="14"/>
                <w:szCs w:val="14"/>
              </w:rPr>
              <w:t>a</w:t>
            </w:r>
            <w:r w:rsidRPr="003003C0">
              <w:rPr>
                <w:rFonts w:cs="Arial"/>
                <w:color w:val="000000"/>
                <w:sz w:val="14"/>
                <w:szCs w:val="14"/>
              </w:rPr>
              <w:t>n</w:t>
            </w:r>
          </w:p>
        </w:tc>
        <w:tc>
          <w:tcPr>
            <w:tcW w:w="785" w:type="dxa"/>
            <w:noWrap/>
            <w:vAlign w:val="center"/>
            <w:hideMark/>
          </w:tcPr>
          <w:p w14:paraId="16CC812C" w14:textId="77777777" w:rsidR="004F64EF" w:rsidRPr="003003C0" w:rsidRDefault="004F64EF" w:rsidP="00FD6B66">
            <w:pPr>
              <w:jc w:val="right"/>
              <w:rPr>
                <w:rFonts w:cs="Arial"/>
                <w:color w:val="000000"/>
                <w:sz w:val="14"/>
                <w:szCs w:val="14"/>
              </w:rPr>
            </w:pPr>
            <w:r w:rsidRPr="003003C0">
              <w:rPr>
                <w:rFonts w:cs="Arial"/>
                <w:color w:val="000000"/>
                <w:sz w:val="14"/>
                <w:szCs w:val="14"/>
              </w:rPr>
              <w:t>2</w:t>
            </w:r>
            <w:r>
              <w:rPr>
                <w:rFonts w:cs="Arial"/>
                <w:color w:val="000000"/>
                <w:sz w:val="14"/>
                <w:szCs w:val="14"/>
              </w:rPr>
              <w:t>.</w:t>
            </w:r>
            <w:r w:rsidRPr="003003C0">
              <w:rPr>
                <w:rFonts w:cs="Arial"/>
                <w:color w:val="000000"/>
                <w:sz w:val="14"/>
                <w:szCs w:val="14"/>
              </w:rPr>
              <w:t>1</w:t>
            </w:r>
          </w:p>
        </w:tc>
        <w:tc>
          <w:tcPr>
            <w:tcW w:w="786" w:type="dxa"/>
            <w:noWrap/>
            <w:vAlign w:val="center"/>
            <w:hideMark/>
          </w:tcPr>
          <w:p w14:paraId="3E8420BF" w14:textId="77777777" w:rsidR="004F64EF" w:rsidRPr="003003C0" w:rsidRDefault="004F64EF" w:rsidP="00FD6B66">
            <w:pPr>
              <w:jc w:val="right"/>
              <w:rPr>
                <w:rFonts w:cs="Arial"/>
                <w:color w:val="000000"/>
                <w:sz w:val="14"/>
                <w:szCs w:val="14"/>
              </w:rPr>
            </w:pPr>
            <w:r w:rsidRPr="003003C0">
              <w:rPr>
                <w:rFonts w:cs="Arial"/>
                <w:color w:val="000000"/>
                <w:sz w:val="14"/>
                <w:szCs w:val="14"/>
              </w:rPr>
              <w:t>2</w:t>
            </w:r>
            <w:r>
              <w:rPr>
                <w:rFonts w:cs="Arial"/>
                <w:color w:val="000000"/>
                <w:sz w:val="14"/>
                <w:szCs w:val="14"/>
              </w:rPr>
              <w:t>.</w:t>
            </w:r>
            <w:r w:rsidRPr="003003C0">
              <w:rPr>
                <w:rFonts w:cs="Arial"/>
                <w:color w:val="000000"/>
                <w:sz w:val="14"/>
                <w:szCs w:val="14"/>
              </w:rPr>
              <w:t>7</w:t>
            </w:r>
          </w:p>
        </w:tc>
        <w:tc>
          <w:tcPr>
            <w:tcW w:w="786" w:type="dxa"/>
            <w:noWrap/>
            <w:vAlign w:val="center"/>
            <w:hideMark/>
          </w:tcPr>
          <w:p w14:paraId="6DE90CDC" w14:textId="77777777" w:rsidR="004F64EF" w:rsidRPr="003003C0" w:rsidRDefault="004F64EF" w:rsidP="00FD6B66">
            <w:pPr>
              <w:jc w:val="right"/>
              <w:rPr>
                <w:rFonts w:cs="Arial"/>
                <w:color w:val="000000"/>
                <w:sz w:val="14"/>
                <w:szCs w:val="14"/>
              </w:rPr>
            </w:pPr>
            <w:r w:rsidRPr="003003C0">
              <w:rPr>
                <w:rFonts w:cs="Arial"/>
                <w:color w:val="000000"/>
                <w:sz w:val="14"/>
                <w:szCs w:val="14"/>
              </w:rPr>
              <w:t>2</w:t>
            </w:r>
            <w:r>
              <w:rPr>
                <w:rFonts w:cs="Arial"/>
                <w:color w:val="000000"/>
                <w:sz w:val="14"/>
                <w:szCs w:val="14"/>
              </w:rPr>
              <w:t>.</w:t>
            </w:r>
            <w:r w:rsidRPr="003003C0">
              <w:rPr>
                <w:rFonts w:cs="Arial"/>
                <w:color w:val="000000"/>
                <w:sz w:val="14"/>
                <w:szCs w:val="14"/>
              </w:rPr>
              <w:t>3</w:t>
            </w:r>
          </w:p>
        </w:tc>
        <w:tc>
          <w:tcPr>
            <w:tcW w:w="785" w:type="dxa"/>
            <w:noWrap/>
            <w:vAlign w:val="center"/>
            <w:hideMark/>
          </w:tcPr>
          <w:p w14:paraId="209F4D15" w14:textId="77777777" w:rsidR="004F64EF" w:rsidRPr="003003C0" w:rsidRDefault="004F64EF" w:rsidP="00FD6B66">
            <w:pPr>
              <w:jc w:val="right"/>
              <w:rPr>
                <w:rFonts w:cs="Arial"/>
                <w:color w:val="000000"/>
                <w:sz w:val="14"/>
                <w:szCs w:val="14"/>
              </w:rPr>
            </w:pPr>
            <w:r w:rsidRPr="003003C0">
              <w:rPr>
                <w:rFonts w:cs="Arial"/>
                <w:color w:val="000000"/>
                <w:sz w:val="14"/>
                <w:szCs w:val="14"/>
              </w:rPr>
              <w:t>2</w:t>
            </w:r>
            <w:r>
              <w:rPr>
                <w:rFonts w:cs="Arial"/>
                <w:color w:val="000000"/>
                <w:sz w:val="14"/>
                <w:szCs w:val="14"/>
              </w:rPr>
              <w:t>.</w:t>
            </w:r>
            <w:r w:rsidRPr="003003C0">
              <w:rPr>
                <w:rFonts w:cs="Arial"/>
                <w:color w:val="000000"/>
                <w:sz w:val="14"/>
                <w:szCs w:val="14"/>
              </w:rPr>
              <w:t>1</w:t>
            </w:r>
          </w:p>
        </w:tc>
        <w:tc>
          <w:tcPr>
            <w:tcW w:w="786" w:type="dxa"/>
            <w:noWrap/>
            <w:vAlign w:val="center"/>
            <w:hideMark/>
          </w:tcPr>
          <w:p w14:paraId="1A5CED88" w14:textId="77777777" w:rsidR="004F64EF" w:rsidRPr="003003C0" w:rsidRDefault="004F64EF" w:rsidP="00FD6B66">
            <w:pPr>
              <w:jc w:val="right"/>
              <w:rPr>
                <w:rFonts w:cs="Arial"/>
                <w:color w:val="000000"/>
                <w:sz w:val="14"/>
                <w:szCs w:val="14"/>
              </w:rPr>
            </w:pPr>
            <w:r w:rsidRPr="003003C0">
              <w:rPr>
                <w:rFonts w:cs="Arial"/>
                <w:color w:val="000000"/>
                <w:sz w:val="14"/>
                <w:szCs w:val="14"/>
              </w:rPr>
              <w:t>2</w:t>
            </w:r>
            <w:r>
              <w:rPr>
                <w:rFonts w:cs="Arial"/>
                <w:color w:val="000000"/>
                <w:sz w:val="14"/>
                <w:szCs w:val="14"/>
              </w:rPr>
              <w:t>.</w:t>
            </w:r>
            <w:r w:rsidRPr="003003C0">
              <w:rPr>
                <w:rFonts w:cs="Arial"/>
                <w:color w:val="000000"/>
                <w:sz w:val="14"/>
                <w:szCs w:val="14"/>
              </w:rPr>
              <w:t>3</w:t>
            </w:r>
          </w:p>
        </w:tc>
        <w:tc>
          <w:tcPr>
            <w:tcW w:w="786" w:type="dxa"/>
            <w:noWrap/>
            <w:vAlign w:val="center"/>
            <w:hideMark/>
          </w:tcPr>
          <w:p w14:paraId="7A113825" w14:textId="77777777" w:rsidR="004F64EF" w:rsidRPr="003003C0" w:rsidRDefault="004F64EF" w:rsidP="00FD6B66">
            <w:pPr>
              <w:jc w:val="right"/>
              <w:rPr>
                <w:rFonts w:cs="Arial"/>
                <w:color w:val="000000"/>
                <w:sz w:val="14"/>
                <w:szCs w:val="14"/>
              </w:rPr>
            </w:pPr>
            <w:r w:rsidRPr="003003C0">
              <w:rPr>
                <w:rFonts w:cs="Arial"/>
                <w:color w:val="000000"/>
                <w:sz w:val="14"/>
                <w:szCs w:val="14"/>
              </w:rPr>
              <w:t>1</w:t>
            </w:r>
            <w:r>
              <w:rPr>
                <w:rFonts w:cs="Arial"/>
                <w:color w:val="000000"/>
                <w:sz w:val="14"/>
                <w:szCs w:val="14"/>
              </w:rPr>
              <w:t>.</w:t>
            </w:r>
            <w:r w:rsidRPr="003003C0">
              <w:rPr>
                <w:rFonts w:cs="Arial"/>
                <w:color w:val="000000"/>
                <w:sz w:val="14"/>
                <w:szCs w:val="14"/>
              </w:rPr>
              <w:t>9</w:t>
            </w:r>
          </w:p>
        </w:tc>
        <w:tc>
          <w:tcPr>
            <w:tcW w:w="786" w:type="dxa"/>
            <w:noWrap/>
            <w:vAlign w:val="center"/>
            <w:hideMark/>
          </w:tcPr>
          <w:p w14:paraId="01A3D70F" w14:textId="77777777" w:rsidR="004F64EF" w:rsidRPr="003003C0" w:rsidRDefault="004F64EF" w:rsidP="00FD6B66">
            <w:pPr>
              <w:jc w:val="right"/>
              <w:rPr>
                <w:rFonts w:cs="Arial"/>
                <w:color w:val="000000"/>
                <w:sz w:val="14"/>
                <w:szCs w:val="14"/>
              </w:rPr>
            </w:pPr>
            <w:r w:rsidRPr="003003C0">
              <w:rPr>
                <w:rFonts w:cs="Arial"/>
                <w:color w:val="000000"/>
                <w:sz w:val="14"/>
                <w:szCs w:val="14"/>
              </w:rPr>
              <w:t>1</w:t>
            </w:r>
            <w:r>
              <w:rPr>
                <w:rFonts w:cs="Arial"/>
                <w:color w:val="000000"/>
                <w:sz w:val="14"/>
                <w:szCs w:val="14"/>
              </w:rPr>
              <w:t>.</w:t>
            </w:r>
            <w:r w:rsidRPr="003003C0">
              <w:rPr>
                <w:rFonts w:cs="Arial"/>
                <w:color w:val="000000"/>
                <w:sz w:val="14"/>
                <w:szCs w:val="14"/>
              </w:rPr>
              <w:t>5</w:t>
            </w:r>
          </w:p>
        </w:tc>
      </w:tr>
      <w:tr w:rsidR="004F64EF" w:rsidRPr="003003C0" w14:paraId="6CBE5CE4" w14:textId="77777777" w:rsidTr="00FD6B66">
        <w:trPr>
          <w:trHeight w:val="20"/>
        </w:trPr>
        <w:tc>
          <w:tcPr>
            <w:tcW w:w="3516" w:type="dxa"/>
            <w:noWrap/>
            <w:vAlign w:val="center"/>
            <w:hideMark/>
          </w:tcPr>
          <w:p w14:paraId="517B7CAA" w14:textId="77777777" w:rsidR="004F64EF" w:rsidRPr="003003C0" w:rsidRDefault="004F64EF" w:rsidP="00FD6B66">
            <w:pPr>
              <w:tabs>
                <w:tab w:val="left" w:pos="113"/>
              </w:tabs>
              <w:jc w:val="left"/>
              <w:rPr>
                <w:rFonts w:cs="Arial"/>
                <w:color w:val="000000"/>
                <w:sz w:val="14"/>
                <w:szCs w:val="14"/>
              </w:rPr>
            </w:pPr>
            <w:r w:rsidRPr="003003C0">
              <w:rPr>
                <w:rFonts w:cs="Arial"/>
                <w:color w:val="000000"/>
                <w:sz w:val="14"/>
                <w:szCs w:val="14"/>
              </w:rPr>
              <w:tab/>
            </w:r>
            <w:r>
              <w:rPr>
                <w:rFonts w:cs="Arial"/>
                <w:color w:val="000000"/>
                <w:sz w:val="14"/>
                <w:szCs w:val="14"/>
              </w:rPr>
              <w:t>Other</w:t>
            </w:r>
            <w:r w:rsidRPr="003003C0">
              <w:rPr>
                <w:rFonts w:cs="Arial"/>
                <w:color w:val="000000"/>
                <w:sz w:val="14"/>
                <w:szCs w:val="14"/>
              </w:rPr>
              <w:t xml:space="preserve"> Asia</w:t>
            </w:r>
          </w:p>
        </w:tc>
        <w:tc>
          <w:tcPr>
            <w:tcW w:w="785" w:type="dxa"/>
            <w:noWrap/>
            <w:vAlign w:val="center"/>
            <w:hideMark/>
          </w:tcPr>
          <w:p w14:paraId="096A6926" w14:textId="77777777" w:rsidR="004F64EF" w:rsidRPr="003003C0" w:rsidRDefault="004F64EF" w:rsidP="00FD6B66">
            <w:pPr>
              <w:jc w:val="right"/>
              <w:rPr>
                <w:rFonts w:cs="Arial"/>
                <w:color w:val="000000"/>
                <w:sz w:val="14"/>
                <w:szCs w:val="14"/>
              </w:rPr>
            </w:pPr>
            <w:r w:rsidRPr="003003C0">
              <w:rPr>
                <w:rFonts w:cs="Arial"/>
                <w:color w:val="000000"/>
                <w:sz w:val="14"/>
                <w:szCs w:val="14"/>
              </w:rPr>
              <w:t>4</w:t>
            </w:r>
            <w:r>
              <w:rPr>
                <w:rFonts w:cs="Arial"/>
                <w:color w:val="000000"/>
                <w:sz w:val="14"/>
                <w:szCs w:val="14"/>
              </w:rPr>
              <w:t>.</w:t>
            </w:r>
            <w:r w:rsidRPr="003003C0">
              <w:rPr>
                <w:rFonts w:cs="Arial"/>
                <w:color w:val="000000"/>
                <w:sz w:val="14"/>
                <w:szCs w:val="14"/>
              </w:rPr>
              <w:t>6</w:t>
            </w:r>
          </w:p>
        </w:tc>
        <w:tc>
          <w:tcPr>
            <w:tcW w:w="786" w:type="dxa"/>
            <w:noWrap/>
            <w:vAlign w:val="center"/>
            <w:hideMark/>
          </w:tcPr>
          <w:p w14:paraId="525093CC" w14:textId="77777777" w:rsidR="004F64EF" w:rsidRPr="003003C0" w:rsidRDefault="004F64EF" w:rsidP="00FD6B66">
            <w:pPr>
              <w:jc w:val="right"/>
              <w:rPr>
                <w:rFonts w:cs="Arial"/>
                <w:color w:val="000000"/>
                <w:sz w:val="14"/>
                <w:szCs w:val="14"/>
              </w:rPr>
            </w:pPr>
            <w:r w:rsidRPr="003003C0">
              <w:rPr>
                <w:rFonts w:cs="Arial"/>
                <w:color w:val="000000"/>
                <w:sz w:val="14"/>
                <w:szCs w:val="14"/>
              </w:rPr>
              <w:t>4</w:t>
            </w:r>
            <w:r>
              <w:rPr>
                <w:rFonts w:cs="Arial"/>
                <w:color w:val="000000"/>
                <w:sz w:val="14"/>
                <w:szCs w:val="14"/>
              </w:rPr>
              <w:t>.</w:t>
            </w:r>
            <w:r w:rsidRPr="003003C0">
              <w:rPr>
                <w:rFonts w:cs="Arial"/>
                <w:color w:val="000000"/>
                <w:sz w:val="14"/>
                <w:szCs w:val="14"/>
              </w:rPr>
              <w:t>8</w:t>
            </w:r>
          </w:p>
        </w:tc>
        <w:tc>
          <w:tcPr>
            <w:tcW w:w="786" w:type="dxa"/>
            <w:noWrap/>
            <w:vAlign w:val="center"/>
            <w:hideMark/>
          </w:tcPr>
          <w:p w14:paraId="7842CD67" w14:textId="77777777" w:rsidR="004F64EF" w:rsidRPr="003003C0" w:rsidRDefault="004F64EF" w:rsidP="00FD6B66">
            <w:pPr>
              <w:jc w:val="right"/>
              <w:rPr>
                <w:rFonts w:cs="Arial"/>
                <w:color w:val="000000"/>
                <w:sz w:val="14"/>
                <w:szCs w:val="14"/>
              </w:rPr>
            </w:pPr>
            <w:r w:rsidRPr="003003C0">
              <w:rPr>
                <w:rFonts w:cs="Arial"/>
                <w:color w:val="000000"/>
                <w:sz w:val="14"/>
                <w:szCs w:val="14"/>
              </w:rPr>
              <w:t>4</w:t>
            </w:r>
            <w:r>
              <w:rPr>
                <w:rFonts w:cs="Arial"/>
                <w:color w:val="000000"/>
                <w:sz w:val="14"/>
                <w:szCs w:val="14"/>
              </w:rPr>
              <w:t>.</w:t>
            </w:r>
            <w:r w:rsidRPr="003003C0">
              <w:rPr>
                <w:rFonts w:cs="Arial"/>
                <w:color w:val="000000"/>
                <w:sz w:val="14"/>
                <w:szCs w:val="14"/>
              </w:rPr>
              <w:t>7</w:t>
            </w:r>
          </w:p>
        </w:tc>
        <w:tc>
          <w:tcPr>
            <w:tcW w:w="785" w:type="dxa"/>
            <w:noWrap/>
            <w:vAlign w:val="center"/>
            <w:hideMark/>
          </w:tcPr>
          <w:p w14:paraId="35CECF85" w14:textId="77777777" w:rsidR="004F64EF" w:rsidRPr="003003C0" w:rsidRDefault="004F64EF" w:rsidP="00FD6B66">
            <w:pPr>
              <w:jc w:val="right"/>
              <w:rPr>
                <w:rFonts w:cs="Arial"/>
                <w:color w:val="000000"/>
                <w:sz w:val="14"/>
                <w:szCs w:val="14"/>
              </w:rPr>
            </w:pPr>
            <w:r w:rsidRPr="003003C0">
              <w:rPr>
                <w:rFonts w:cs="Arial"/>
                <w:color w:val="000000"/>
                <w:sz w:val="14"/>
                <w:szCs w:val="14"/>
              </w:rPr>
              <w:t>4</w:t>
            </w:r>
            <w:r>
              <w:rPr>
                <w:rFonts w:cs="Arial"/>
                <w:color w:val="000000"/>
                <w:sz w:val="14"/>
                <w:szCs w:val="14"/>
              </w:rPr>
              <w:t>.</w:t>
            </w:r>
            <w:r w:rsidRPr="003003C0">
              <w:rPr>
                <w:rFonts w:cs="Arial"/>
                <w:color w:val="000000"/>
                <w:sz w:val="14"/>
                <w:szCs w:val="14"/>
              </w:rPr>
              <w:t>3</w:t>
            </w:r>
          </w:p>
        </w:tc>
        <w:tc>
          <w:tcPr>
            <w:tcW w:w="786" w:type="dxa"/>
            <w:noWrap/>
            <w:vAlign w:val="center"/>
            <w:hideMark/>
          </w:tcPr>
          <w:p w14:paraId="59FBF8C2" w14:textId="77777777" w:rsidR="004F64EF" w:rsidRPr="003003C0" w:rsidRDefault="004F64EF" w:rsidP="00FD6B66">
            <w:pPr>
              <w:jc w:val="right"/>
              <w:rPr>
                <w:rFonts w:cs="Arial"/>
                <w:color w:val="000000"/>
                <w:sz w:val="14"/>
                <w:szCs w:val="14"/>
              </w:rPr>
            </w:pPr>
            <w:r w:rsidRPr="003003C0">
              <w:rPr>
                <w:rFonts w:cs="Arial"/>
                <w:color w:val="000000"/>
                <w:sz w:val="14"/>
                <w:szCs w:val="14"/>
              </w:rPr>
              <w:t>4</w:t>
            </w:r>
            <w:r>
              <w:rPr>
                <w:rFonts w:cs="Arial"/>
                <w:color w:val="000000"/>
                <w:sz w:val="14"/>
                <w:szCs w:val="14"/>
              </w:rPr>
              <w:t>.</w:t>
            </w:r>
            <w:r w:rsidRPr="003003C0">
              <w:rPr>
                <w:rFonts w:cs="Arial"/>
                <w:color w:val="000000"/>
                <w:sz w:val="14"/>
                <w:szCs w:val="14"/>
              </w:rPr>
              <w:t>4</w:t>
            </w:r>
          </w:p>
        </w:tc>
        <w:tc>
          <w:tcPr>
            <w:tcW w:w="786" w:type="dxa"/>
            <w:noWrap/>
            <w:vAlign w:val="center"/>
            <w:hideMark/>
          </w:tcPr>
          <w:p w14:paraId="32830358" w14:textId="77777777" w:rsidR="004F64EF" w:rsidRPr="003003C0" w:rsidRDefault="004F64EF" w:rsidP="00FD6B66">
            <w:pPr>
              <w:jc w:val="right"/>
              <w:rPr>
                <w:rFonts w:cs="Arial"/>
                <w:color w:val="000000"/>
                <w:sz w:val="14"/>
                <w:szCs w:val="14"/>
              </w:rPr>
            </w:pPr>
            <w:r w:rsidRPr="003003C0">
              <w:rPr>
                <w:rFonts w:cs="Arial"/>
                <w:color w:val="000000"/>
                <w:sz w:val="14"/>
                <w:szCs w:val="14"/>
              </w:rPr>
              <w:t>4</w:t>
            </w:r>
            <w:r>
              <w:rPr>
                <w:rFonts w:cs="Arial"/>
                <w:color w:val="000000"/>
                <w:sz w:val="14"/>
                <w:szCs w:val="14"/>
              </w:rPr>
              <w:t>.</w:t>
            </w:r>
            <w:r w:rsidRPr="003003C0">
              <w:rPr>
                <w:rFonts w:cs="Arial"/>
                <w:color w:val="000000"/>
                <w:sz w:val="14"/>
                <w:szCs w:val="14"/>
              </w:rPr>
              <w:t>4</w:t>
            </w:r>
          </w:p>
        </w:tc>
        <w:tc>
          <w:tcPr>
            <w:tcW w:w="786" w:type="dxa"/>
            <w:noWrap/>
            <w:vAlign w:val="center"/>
            <w:hideMark/>
          </w:tcPr>
          <w:p w14:paraId="67240AC7" w14:textId="77777777" w:rsidR="004F64EF" w:rsidRPr="003003C0" w:rsidRDefault="004F64EF" w:rsidP="00FD6B66">
            <w:pPr>
              <w:jc w:val="right"/>
              <w:rPr>
                <w:rFonts w:cs="Arial"/>
                <w:color w:val="000000"/>
                <w:sz w:val="14"/>
                <w:szCs w:val="14"/>
              </w:rPr>
            </w:pPr>
            <w:r w:rsidRPr="003003C0">
              <w:rPr>
                <w:rFonts w:cs="Arial"/>
                <w:color w:val="000000"/>
                <w:sz w:val="14"/>
                <w:szCs w:val="14"/>
              </w:rPr>
              <w:t>4</w:t>
            </w:r>
            <w:r>
              <w:rPr>
                <w:rFonts w:cs="Arial"/>
                <w:color w:val="000000"/>
                <w:sz w:val="14"/>
                <w:szCs w:val="14"/>
              </w:rPr>
              <w:t>.</w:t>
            </w:r>
            <w:r w:rsidRPr="003003C0">
              <w:rPr>
                <w:rFonts w:cs="Arial"/>
                <w:color w:val="000000"/>
                <w:sz w:val="14"/>
                <w:szCs w:val="14"/>
              </w:rPr>
              <w:t>0</w:t>
            </w:r>
          </w:p>
        </w:tc>
      </w:tr>
      <w:tr w:rsidR="004F64EF" w:rsidRPr="003003C0" w14:paraId="2F98B1DC" w14:textId="77777777" w:rsidTr="00FD6B66">
        <w:trPr>
          <w:cnfStyle w:val="000000010000" w:firstRow="0" w:lastRow="0" w:firstColumn="0" w:lastColumn="0" w:oddVBand="0" w:evenVBand="0" w:oddHBand="0" w:evenHBand="1" w:firstRowFirstColumn="0" w:firstRowLastColumn="0" w:lastRowFirstColumn="0" w:lastRowLastColumn="0"/>
          <w:trHeight w:val="20"/>
        </w:trPr>
        <w:tc>
          <w:tcPr>
            <w:tcW w:w="3516" w:type="dxa"/>
            <w:noWrap/>
            <w:vAlign w:val="center"/>
            <w:hideMark/>
          </w:tcPr>
          <w:p w14:paraId="5DFE868B" w14:textId="77777777" w:rsidR="004F64EF" w:rsidRPr="003003C0" w:rsidRDefault="004F64EF" w:rsidP="00F0233E">
            <w:pPr>
              <w:tabs>
                <w:tab w:val="left" w:pos="510"/>
              </w:tabs>
              <w:jc w:val="left"/>
              <w:rPr>
                <w:rFonts w:cs="Arial"/>
                <w:color w:val="000000"/>
                <w:sz w:val="14"/>
                <w:szCs w:val="14"/>
              </w:rPr>
            </w:pPr>
            <w:r w:rsidRPr="003003C0">
              <w:rPr>
                <w:rFonts w:cs="Arial"/>
                <w:color w:val="000000"/>
                <w:sz w:val="14"/>
                <w:szCs w:val="14"/>
              </w:rPr>
              <w:tab/>
              <w:t>India</w:t>
            </w:r>
          </w:p>
        </w:tc>
        <w:tc>
          <w:tcPr>
            <w:tcW w:w="785" w:type="dxa"/>
            <w:noWrap/>
            <w:vAlign w:val="center"/>
            <w:hideMark/>
          </w:tcPr>
          <w:p w14:paraId="087C7C1C" w14:textId="77777777" w:rsidR="004F64EF" w:rsidRPr="003003C0" w:rsidRDefault="004F64EF" w:rsidP="00FD6B66">
            <w:pPr>
              <w:jc w:val="right"/>
              <w:rPr>
                <w:rFonts w:cs="Arial"/>
                <w:color w:val="000000"/>
                <w:sz w:val="14"/>
                <w:szCs w:val="14"/>
              </w:rPr>
            </w:pPr>
            <w:r w:rsidRPr="003003C0">
              <w:rPr>
                <w:rFonts w:cs="Arial"/>
                <w:color w:val="000000"/>
                <w:sz w:val="14"/>
                <w:szCs w:val="14"/>
              </w:rPr>
              <w:t>1</w:t>
            </w:r>
            <w:r>
              <w:rPr>
                <w:rFonts w:cs="Arial"/>
                <w:color w:val="000000"/>
                <w:sz w:val="14"/>
                <w:szCs w:val="14"/>
              </w:rPr>
              <w:t>.</w:t>
            </w:r>
            <w:r w:rsidRPr="003003C0">
              <w:rPr>
                <w:rFonts w:cs="Arial"/>
                <w:color w:val="000000"/>
                <w:sz w:val="14"/>
                <w:szCs w:val="14"/>
              </w:rPr>
              <w:t>1</w:t>
            </w:r>
          </w:p>
        </w:tc>
        <w:tc>
          <w:tcPr>
            <w:tcW w:w="786" w:type="dxa"/>
            <w:noWrap/>
            <w:vAlign w:val="center"/>
            <w:hideMark/>
          </w:tcPr>
          <w:p w14:paraId="2AB1EA15" w14:textId="77777777" w:rsidR="004F64EF" w:rsidRPr="003003C0" w:rsidRDefault="004F64EF" w:rsidP="00FD6B66">
            <w:pPr>
              <w:jc w:val="right"/>
              <w:rPr>
                <w:rFonts w:cs="Arial"/>
                <w:color w:val="000000"/>
                <w:sz w:val="14"/>
                <w:szCs w:val="14"/>
              </w:rPr>
            </w:pPr>
            <w:r w:rsidRPr="003003C0">
              <w:rPr>
                <w:rFonts w:cs="Arial"/>
                <w:color w:val="000000"/>
                <w:sz w:val="14"/>
                <w:szCs w:val="14"/>
              </w:rPr>
              <w:t>1</w:t>
            </w:r>
            <w:r>
              <w:rPr>
                <w:rFonts w:cs="Arial"/>
                <w:color w:val="000000"/>
                <w:sz w:val="14"/>
                <w:szCs w:val="14"/>
              </w:rPr>
              <w:t>.</w:t>
            </w:r>
            <w:r w:rsidRPr="003003C0">
              <w:rPr>
                <w:rFonts w:cs="Arial"/>
                <w:color w:val="000000"/>
                <w:sz w:val="14"/>
                <w:szCs w:val="14"/>
              </w:rPr>
              <w:t>0</w:t>
            </w:r>
          </w:p>
        </w:tc>
        <w:tc>
          <w:tcPr>
            <w:tcW w:w="786" w:type="dxa"/>
            <w:noWrap/>
            <w:vAlign w:val="center"/>
            <w:hideMark/>
          </w:tcPr>
          <w:p w14:paraId="066DEC0B" w14:textId="77777777" w:rsidR="004F64EF" w:rsidRPr="003003C0" w:rsidRDefault="004F64EF" w:rsidP="00FD6B66">
            <w:pPr>
              <w:jc w:val="right"/>
              <w:rPr>
                <w:rFonts w:cs="Arial"/>
                <w:color w:val="000000"/>
                <w:sz w:val="14"/>
                <w:szCs w:val="14"/>
              </w:rPr>
            </w:pPr>
            <w:r w:rsidRPr="003003C0">
              <w:rPr>
                <w:rFonts w:cs="Arial"/>
                <w:color w:val="000000"/>
                <w:sz w:val="14"/>
                <w:szCs w:val="14"/>
              </w:rPr>
              <w:t>1</w:t>
            </w:r>
            <w:r>
              <w:rPr>
                <w:rFonts w:cs="Arial"/>
                <w:color w:val="000000"/>
                <w:sz w:val="14"/>
                <w:szCs w:val="14"/>
              </w:rPr>
              <w:t>.</w:t>
            </w:r>
            <w:r w:rsidRPr="003003C0">
              <w:rPr>
                <w:rFonts w:cs="Arial"/>
                <w:color w:val="000000"/>
                <w:sz w:val="14"/>
                <w:szCs w:val="14"/>
              </w:rPr>
              <w:t>1</w:t>
            </w:r>
          </w:p>
        </w:tc>
        <w:tc>
          <w:tcPr>
            <w:tcW w:w="785" w:type="dxa"/>
            <w:noWrap/>
            <w:vAlign w:val="center"/>
            <w:hideMark/>
          </w:tcPr>
          <w:p w14:paraId="42050F41" w14:textId="77777777" w:rsidR="004F64EF" w:rsidRPr="003003C0" w:rsidRDefault="004F64EF" w:rsidP="00FD6B66">
            <w:pPr>
              <w:jc w:val="right"/>
              <w:rPr>
                <w:rFonts w:cs="Arial"/>
                <w:color w:val="000000"/>
                <w:sz w:val="14"/>
                <w:szCs w:val="14"/>
              </w:rPr>
            </w:pPr>
            <w:r w:rsidRPr="003003C0">
              <w:rPr>
                <w:rFonts w:cs="Arial"/>
                <w:color w:val="000000"/>
                <w:sz w:val="14"/>
                <w:szCs w:val="14"/>
              </w:rPr>
              <w:t>1</w:t>
            </w:r>
            <w:r>
              <w:rPr>
                <w:rFonts w:cs="Arial"/>
                <w:color w:val="000000"/>
                <w:sz w:val="14"/>
                <w:szCs w:val="14"/>
              </w:rPr>
              <w:t>.</w:t>
            </w:r>
            <w:r w:rsidRPr="003003C0">
              <w:rPr>
                <w:rFonts w:cs="Arial"/>
                <w:color w:val="000000"/>
                <w:sz w:val="14"/>
                <w:szCs w:val="14"/>
              </w:rPr>
              <w:t>1</w:t>
            </w:r>
          </w:p>
        </w:tc>
        <w:tc>
          <w:tcPr>
            <w:tcW w:w="786" w:type="dxa"/>
            <w:noWrap/>
            <w:vAlign w:val="center"/>
            <w:hideMark/>
          </w:tcPr>
          <w:p w14:paraId="5726FF5D" w14:textId="77777777" w:rsidR="004F64EF" w:rsidRPr="003003C0" w:rsidRDefault="004F64EF" w:rsidP="00FD6B66">
            <w:pPr>
              <w:jc w:val="right"/>
              <w:rPr>
                <w:rFonts w:cs="Arial"/>
                <w:color w:val="000000"/>
                <w:sz w:val="14"/>
                <w:szCs w:val="14"/>
              </w:rPr>
            </w:pPr>
            <w:r w:rsidRPr="003003C0">
              <w:rPr>
                <w:rFonts w:cs="Arial"/>
                <w:color w:val="000000"/>
                <w:sz w:val="14"/>
                <w:szCs w:val="14"/>
              </w:rPr>
              <w:t>1</w:t>
            </w:r>
            <w:r>
              <w:rPr>
                <w:rFonts w:cs="Arial"/>
                <w:color w:val="000000"/>
                <w:sz w:val="14"/>
                <w:szCs w:val="14"/>
              </w:rPr>
              <w:t>.</w:t>
            </w:r>
            <w:r w:rsidRPr="003003C0">
              <w:rPr>
                <w:rFonts w:cs="Arial"/>
                <w:color w:val="000000"/>
                <w:sz w:val="14"/>
                <w:szCs w:val="14"/>
              </w:rPr>
              <w:t>2</w:t>
            </w:r>
          </w:p>
        </w:tc>
        <w:tc>
          <w:tcPr>
            <w:tcW w:w="786" w:type="dxa"/>
            <w:noWrap/>
            <w:vAlign w:val="center"/>
            <w:hideMark/>
          </w:tcPr>
          <w:p w14:paraId="0E1F68F5" w14:textId="77777777" w:rsidR="004F64EF" w:rsidRPr="003003C0" w:rsidRDefault="004F64EF" w:rsidP="00FD6B66">
            <w:pPr>
              <w:jc w:val="right"/>
              <w:rPr>
                <w:rFonts w:cs="Arial"/>
                <w:color w:val="000000"/>
                <w:sz w:val="14"/>
                <w:szCs w:val="14"/>
              </w:rPr>
            </w:pPr>
            <w:r w:rsidRPr="003003C0">
              <w:rPr>
                <w:rFonts w:cs="Arial"/>
                <w:color w:val="000000"/>
                <w:sz w:val="14"/>
                <w:szCs w:val="14"/>
              </w:rPr>
              <w:t>1</w:t>
            </w:r>
            <w:r>
              <w:rPr>
                <w:rFonts w:cs="Arial"/>
                <w:color w:val="000000"/>
                <w:sz w:val="14"/>
                <w:szCs w:val="14"/>
              </w:rPr>
              <w:t>.</w:t>
            </w:r>
            <w:r w:rsidRPr="003003C0">
              <w:rPr>
                <w:rFonts w:cs="Arial"/>
                <w:color w:val="000000"/>
                <w:sz w:val="14"/>
                <w:szCs w:val="14"/>
              </w:rPr>
              <w:t>5</w:t>
            </w:r>
          </w:p>
        </w:tc>
        <w:tc>
          <w:tcPr>
            <w:tcW w:w="786" w:type="dxa"/>
            <w:noWrap/>
            <w:vAlign w:val="center"/>
            <w:hideMark/>
          </w:tcPr>
          <w:p w14:paraId="660A2E22" w14:textId="77777777" w:rsidR="004F64EF" w:rsidRPr="003003C0" w:rsidRDefault="004F64EF" w:rsidP="00FD6B66">
            <w:pPr>
              <w:jc w:val="right"/>
              <w:rPr>
                <w:rFonts w:cs="Arial"/>
                <w:color w:val="000000"/>
                <w:sz w:val="14"/>
                <w:szCs w:val="14"/>
              </w:rPr>
            </w:pPr>
            <w:r w:rsidRPr="003003C0">
              <w:rPr>
                <w:rFonts w:cs="Arial"/>
                <w:color w:val="000000"/>
                <w:sz w:val="14"/>
                <w:szCs w:val="14"/>
              </w:rPr>
              <w:t>1</w:t>
            </w:r>
            <w:r>
              <w:rPr>
                <w:rFonts w:cs="Arial"/>
                <w:color w:val="000000"/>
                <w:sz w:val="14"/>
                <w:szCs w:val="14"/>
              </w:rPr>
              <w:t>.</w:t>
            </w:r>
            <w:r w:rsidRPr="003003C0">
              <w:rPr>
                <w:rFonts w:cs="Arial"/>
                <w:color w:val="000000"/>
                <w:sz w:val="14"/>
                <w:szCs w:val="14"/>
              </w:rPr>
              <w:t>3</w:t>
            </w:r>
          </w:p>
        </w:tc>
      </w:tr>
      <w:tr w:rsidR="004F64EF" w:rsidRPr="003003C0" w14:paraId="3188D8D6" w14:textId="77777777" w:rsidTr="00FD6B66">
        <w:trPr>
          <w:trHeight w:val="20"/>
        </w:trPr>
        <w:tc>
          <w:tcPr>
            <w:tcW w:w="3516" w:type="dxa"/>
            <w:noWrap/>
            <w:vAlign w:val="center"/>
            <w:hideMark/>
          </w:tcPr>
          <w:p w14:paraId="0FEC00CB" w14:textId="77777777" w:rsidR="004F64EF" w:rsidRPr="003003C0" w:rsidRDefault="004F64EF" w:rsidP="00F0233E">
            <w:pPr>
              <w:tabs>
                <w:tab w:val="left" w:pos="510"/>
              </w:tabs>
              <w:jc w:val="left"/>
              <w:rPr>
                <w:rFonts w:cs="Arial"/>
                <w:color w:val="000000"/>
                <w:sz w:val="14"/>
                <w:szCs w:val="14"/>
              </w:rPr>
            </w:pPr>
            <w:r w:rsidRPr="003003C0">
              <w:rPr>
                <w:rFonts w:cs="Arial"/>
                <w:color w:val="000000"/>
                <w:sz w:val="14"/>
                <w:szCs w:val="14"/>
              </w:rPr>
              <w:tab/>
            </w:r>
            <w:r>
              <w:rPr>
                <w:rFonts w:cs="Arial"/>
                <w:color w:val="000000"/>
                <w:sz w:val="14"/>
                <w:szCs w:val="14"/>
              </w:rPr>
              <w:t>K</w:t>
            </w:r>
            <w:r w:rsidRPr="003003C0">
              <w:rPr>
                <w:rFonts w:cs="Arial"/>
                <w:color w:val="000000"/>
                <w:sz w:val="14"/>
                <w:szCs w:val="14"/>
              </w:rPr>
              <w:t>orea, Rep</w:t>
            </w:r>
            <w:r>
              <w:rPr>
                <w:rFonts w:cs="Arial"/>
                <w:color w:val="000000"/>
                <w:sz w:val="14"/>
                <w:szCs w:val="14"/>
              </w:rPr>
              <w:t>ublic of</w:t>
            </w:r>
          </w:p>
        </w:tc>
        <w:tc>
          <w:tcPr>
            <w:tcW w:w="785" w:type="dxa"/>
            <w:noWrap/>
            <w:vAlign w:val="center"/>
            <w:hideMark/>
          </w:tcPr>
          <w:p w14:paraId="6BE7243D" w14:textId="77777777" w:rsidR="004F64EF" w:rsidRPr="003003C0" w:rsidRDefault="004F64EF" w:rsidP="00FD6B66">
            <w:pPr>
              <w:jc w:val="right"/>
              <w:rPr>
                <w:rFonts w:cs="Arial"/>
                <w:color w:val="000000"/>
                <w:sz w:val="14"/>
                <w:szCs w:val="14"/>
              </w:rPr>
            </w:pPr>
            <w:r w:rsidRPr="003003C0">
              <w:rPr>
                <w:rFonts w:cs="Arial"/>
                <w:color w:val="000000"/>
                <w:sz w:val="14"/>
                <w:szCs w:val="14"/>
              </w:rPr>
              <w:t>1</w:t>
            </w:r>
            <w:r>
              <w:rPr>
                <w:rFonts w:cs="Arial"/>
                <w:color w:val="000000"/>
                <w:sz w:val="14"/>
                <w:szCs w:val="14"/>
              </w:rPr>
              <w:t>.</w:t>
            </w:r>
            <w:r w:rsidRPr="003003C0">
              <w:rPr>
                <w:rFonts w:cs="Arial"/>
                <w:color w:val="000000"/>
                <w:sz w:val="14"/>
                <w:szCs w:val="14"/>
              </w:rPr>
              <w:t>8</w:t>
            </w:r>
          </w:p>
        </w:tc>
        <w:tc>
          <w:tcPr>
            <w:tcW w:w="786" w:type="dxa"/>
            <w:noWrap/>
            <w:vAlign w:val="center"/>
            <w:hideMark/>
          </w:tcPr>
          <w:p w14:paraId="1D6636B7" w14:textId="77777777" w:rsidR="004F64EF" w:rsidRPr="003003C0" w:rsidRDefault="004F64EF" w:rsidP="00FD6B66">
            <w:pPr>
              <w:jc w:val="right"/>
              <w:rPr>
                <w:rFonts w:cs="Arial"/>
                <w:color w:val="000000"/>
                <w:sz w:val="14"/>
                <w:szCs w:val="14"/>
              </w:rPr>
            </w:pPr>
            <w:r w:rsidRPr="003003C0">
              <w:rPr>
                <w:rFonts w:cs="Arial"/>
                <w:color w:val="000000"/>
                <w:sz w:val="14"/>
                <w:szCs w:val="14"/>
              </w:rPr>
              <w:t>1</w:t>
            </w:r>
            <w:r>
              <w:rPr>
                <w:rFonts w:cs="Arial"/>
                <w:color w:val="000000"/>
                <w:sz w:val="14"/>
                <w:szCs w:val="14"/>
              </w:rPr>
              <w:t>.</w:t>
            </w:r>
            <w:r w:rsidRPr="003003C0">
              <w:rPr>
                <w:rFonts w:cs="Arial"/>
                <w:color w:val="000000"/>
                <w:sz w:val="14"/>
                <w:szCs w:val="14"/>
              </w:rPr>
              <w:t>9</w:t>
            </w:r>
          </w:p>
        </w:tc>
        <w:tc>
          <w:tcPr>
            <w:tcW w:w="786" w:type="dxa"/>
            <w:noWrap/>
            <w:vAlign w:val="center"/>
            <w:hideMark/>
          </w:tcPr>
          <w:p w14:paraId="754DDC60" w14:textId="77777777" w:rsidR="004F64EF" w:rsidRPr="003003C0" w:rsidRDefault="004F64EF" w:rsidP="00FD6B66">
            <w:pPr>
              <w:jc w:val="right"/>
              <w:rPr>
                <w:rFonts w:cs="Arial"/>
                <w:color w:val="000000"/>
                <w:sz w:val="14"/>
                <w:szCs w:val="14"/>
              </w:rPr>
            </w:pPr>
            <w:r w:rsidRPr="003003C0">
              <w:rPr>
                <w:rFonts w:cs="Arial"/>
                <w:color w:val="000000"/>
                <w:sz w:val="14"/>
                <w:szCs w:val="14"/>
              </w:rPr>
              <w:t>1</w:t>
            </w:r>
            <w:r>
              <w:rPr>
                <w:rFonts w:cs="Arial"/>
                <w:color w:val="000000"/>
                <w:sz w:val="14"/>
                <w:szCs w:val="14"/>
              </w:rPr>
              <w:t>.</w:t>
            </w:r>
            <w:r w:rsidRPr="003003C0">
              <w:rPr>
                <w:rFonts w:cs="Arial"/>
                <w:color w:val="000000"/>
                <w:sz w:val="14"/>
                <w:szCs w:val="14"/>
              </w:rPr>
              <w:t>8</w:t>
            </w:r>
          </w:p>
        </w:tc>
        <w:tc>
          <w:tcPr>
            <w:tcW w:w="785" w:type="dxa"/>
            <w:noWrap/>
            <w:vAlign w:val="center"/>
            <w:hideMark/>
          </w:tcPr>
          <w:p w14:paraId="470C3D2B" w14:textId="77777777" w:rsidR="004F64EF" w:rsidRPr="003003C0" w:rsidRDefault="004F64EF" w:rsidP="00FD6B66">
            <w:pPr>
              <w:jc w:val="right"/>
              <w:rPr>
                <w:rFonts w:cs="Arial"/>
                <w:color w:val="000000"/>
                <w:sz w:val="14"/>
                <w:szCs w:val="14"/>
              </w:rPr>
            </w:pPr>
            <w:r w:rsidRPr="003003C0">
              <w:rPr>
                <w:rFonts w:cs="Arial"/>
                <w:color w:val="000000"/>
                <w:sz w:val="14"/>
                <w:szCs w:val="14"/>
              </w:rPr>
              <w:t>1</w:t>
            </w:r>
            <w:r>
              <w:rPr>
                <w:rFonts w:cs="Arial"/>
                <w:color w:val="000000"/>
                <w:sz w:val="14"/>
                <w:szCs w:val="14"/>
              </w:rPr>
              <w:t>.</w:t>
            </w:r>
            <w:r w:rsidRPr="003003C0">
              <w:rPr>
                <w:rFonts w:cs="Arial"/>
                <w:color w:val="000000"/>
                <w:sz w:val="14"/>
                <w:szCs w:val="14"/>
              </w:rPr>
              <w:t>4</w:t>
            </w:r>
          </w:p>
        </w:tc>
        <w:tc>
          <w:tcPr>
            <w:tcW w:w="786" w:type="dxa"/>
            <w:noWrap/>
            <w:vAlign w:val="center"/>
            <w:hideMark/>
          </w:tcPr>
          <w:p w14:paraId="3B9382D9" w14:textId="77777777" w:rsidR="004F64EF" w:rsidRPr="003003C0" w:rsidRDefault="004F64EF" w:rsidP="00FD6B66">
            <w:pPr>
              <w:jc w:val="right"/>
              <w:rPr>
                <w:rFonts w:cs="Arial"/>
                <w:color w:val="000000"/>
                <w:sz w:val="14"/>
                <w:szCs w:val="14"/>
              </w:rPr>
            </w:pPr>
            <w:r w:rsidRPr="003003C0">
              <w:rPr>
                <w:rFonts w:cs="Arial"/>
                <w:color w:val="000000"/>
                <w:sz w:val="14"/>
                <w:szCs w:val="14"/>
              </w:rPr>
              <w:t>1</w:t>
            </w:r>
            <w:r>
              <w:rPr>
                <w:rFonts w:cs="Arial"/>
                <w:color w:val="000000"/>
                <w:sz w:val="14"/>
                <w:szCs w:val="14"/>
              </w:rPr>
              <w:t>.</w:t>
            </w:r>
            <w:r w:rsidRPr="003003C0">
              <w:rPr>
                <w:rFonts w:cs="Arial"/>
                <w:color w:val="000000"/>
                <w:sz w:val="14"/>
                <w:szCs w:val="14"/>
              </w:rPr>
              <w:t>4</w:t>
            </w:r>
          </w:p>
        </w:tc>
        <w:tc>
          <w:tcPr>
            <w:tcW w:w="786" w:type="dxa"/>
            <w:noWrap/>
            <w:vAlign w:val="center"/>
            <w:hideMark/>
          </w:tcPr>
          <w:p w14:paraId="250F8BB6" w14:textId="77777777" w:rsidR="004F64EF" w:rsidRPr="003003C0" w:rsidRDefault="004F64EF" w:rsidP="00FD6B66">
            <w:pPr>
              <w:jc w:val="right"/>
              <w:rPr>
                <w:rFonts w:cs="Arial"/>
                <w:color w:val="000000"/>
                <w:sz w:val="14"/>
                <w:szCs w:val="14"/>
              </w:rPr>
            </w:pPr>
            <w:r w:rsidRPr="003003C0">
              <w:rPr>
                <w:rFonts w:cs="Arial"/>
                <w:color w:val="000000"/>
                <w:sz w:val="14"/>
                <w:szCs w:val="14"/>
              </w:rPr>
              <w:t>1</w:t>
            </w:r>
            <w:r>
              <w:rPr>
                <w:rFonts w:cs="Arial"/>
                <w:color w:val="000000"/>
                <w:sz w:val="14"/>
                <w:szCs w:val="14"/>
              </w:rPr>
              <w:t>.</w:t>
            </w:r>
            <w:r w:rsidRPr="003003C0">
              <w:rPr>
                <w:rFonts w:cs="Arial"/>
                <w:color w:val="000000"/>
                <w:sz w:val="14"/>
                <w:szCs w:val="14"/>
              </w:rPr>
              <w:t>1</w:t>
            </w:r>
          </w:p>
        </w:tc>
        <w:tc>
          <w:tcPr>
            <w:tcW w:w="786" w:type="dxa"/>
            <w:noWrap/>
            <w:vAlign w:val="center"/>
            <w:hideMark/>
          </w:tcPr>
          <w:p w14:paraId="606F8687" w14:textId="77777777" w:rsidR="004F64EF" w:rsidRPr="003003C0" w:rsidRDefault="004F64EF" w:rsidP="00FD6B66">
            <w:pPr>
              <w:jc w:val="right"/>
              <w:rPr>
                <w:rFonts w:cs="Arial"/>
                <w:color w:val="000000"/>
                <w:sz w:val="14"/>
                <w:szCs w:val="14"/>
              </w:rPr>
            </w:pPr>
            <w:r w:rsidRPr="003003C0">
              <w:rPr>
                <w:rFonts w:cs="Arial"/>
                <w:color w:val="000000"/>
                <w:sz w:val="14"/>
                <w:szCs w:val="14"/>
              </w:rPr>
              <w:t>1</w:t>
            </w:r>
            <w:r>
              <w:rPr>
                <w:rFonts w:cs="Arial"/>
                <w:color w:val="000000"/>
                <w:sz w:val="14"/>
                <w:szCs w:val="14"/>
              </w:rPr>
              <w:t>.</w:t>
            </w:r>
            <w:r w:rsidRPr="003003C0">
              <w:rPr>
                <w:rFonts w:cs="Arial"/>
                <w:color w:val="000000"/>
                <w:sz w:val="14"/>
                <w:szCs w:val="14"/>
              </w:rPr>
              <w:t>2</w:t>
            </w:r>
          </w:p>
        </w:tc>
      </w:tr>
      <w:tr w:rsidR="004F64EF" w:rsidRPr="003003C0" w14:paraId="7762B452" w14:textId="77777777" w:rsidTr="00FD6B66">
        <w:trPr>
          <w:cnfStyle w:val="000000010000" w:firstRow="0" w:lastRow="0" w:firstColumn="0" w:lastColumn="0" w:oddVBand="0" w:evenVBand="0" w:oddHBand="0" w:evenHBand="1" w:firstRowFirstColumn="0" w:firstRowLastColumn="0" w:lastRowFirstColumn="0" w:lastRowLastColumn="0"/>
          <w:trHeight w:val="20"/>
        </w:trPr>
        <w:tc>
          <w:tcPr>
            <w:tcW w:w="3516" w:type="dxa"/>
            <w:noWrap/>
            <w:vAlign w:val="center"/>
            <w:hideMark/>
          </w:tcPr>
          <w:p w14:paraId="69F363E1" w14:textId="77777777" w:rsidR="004F64EF" w:rsidRPr="003003C0" w:rsidRDefault="004F64EF" w:rsidP="00F0233E">
            <w:pPr>
              <w:tabs>
                <w:tab w:val="left" w:pos="510"/>
              </w:tabs>
              <w:jc w:val="left"/>
              <w:rPr>
                <w:rFonts w:cs="Arial"/>
                <w:color w:val="000000"/>
                <w:sz w:val="14"/>
                <w:szCs w:val="14"/>
              </w:rPr>
            </w:pPr>
            <w:r w:rsidRPr="003003C0">
              <w:rPr>
                <w:rFonts w:cs="Arial"/>
                <w:color w:val="000000"/>
                <w:sz w:val="14"/>
                <w:szCs w:val="14"/>
              </w:rPr>
              <w:tab/>
              <w:t>Viet Nam</w:t>
            </w:r>
          </w:p>
        </w:tc>
        <w:tc>
          <w:tcPr>
            <w:tcW w:w="785" w:type="dxa"/>
            <w:noWrap/>
            <w:vAlign w:val="center"/>
            <w:hideMark/>
          </w:tcPr>
          <w:p w14:paraId="394B9C49"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5</w:t>
            </w:r>
          </w:p>
        </w:tc>
        <w:tc>
          <w:tcPr>
            <w:tcW w:w="786" w:type="dxa"/>
            <w:noWrap/>
            <w:vAlign w:val="center"/>
            <w:hideMark/>
          </w:tcPr>
          <w:p w14:paraId="24B7656D"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4</w:t>
            </w:r>
          </w:p>
        </w:tc>
        <w:tc>
          <w:tcPr>
            <w:tcW w:w="786" w:type="dxa"/>
            <w:noWrap/>
            <w:vAlign w:val="center"/>
            <w:hideMark/>
          </w:tcPr>
          <w:p w14:paraId="2ABAD653"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4</w:t>
            </w:r>
          </w:p>
        </w:tc>
        <w:tc>
          <w:tcPr>
            <w:tcW w:w="785" w:type="dxa"/>
            <w:noWrap/>
            <w:vAlign w:val="center"/>
            <w:hideMark/>
          </w:tcPr>
          <w:p w14:paraId="5CBCEBD1"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3</w:t>
            </w:r>
          </w:p>
        </w:tc>
        <w:tc>
          <w:tcPr>
            <w:tcW w:w="786" w:type="dxa"/>
            <w:noWrap/>
            <w:vAlign w:val="center"/>
            <w:hideMark/>
          </w:tcPr>
          <w:p w14:paraId="56AF9D92"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4</w:t>
            </w:r>
          </w:p>
        </w:tc>
        <w:tc>
          <w:tcPr>
            <w:tcW w:w="786" w:type="dxa"/>
            <w:noWrap/>
            <w:vAlign w:val="center"/>
            <w:hideMark/>
          </w:tcPr>
          <w:p w14:paraId="2A3CD26A"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4</w:t>
            </w:r>
          </w:p>
        </w:tc>
        <w:tc>
          <w:tcPr>
            <w:tcW w:w="786" w:type="dxa"/>
            <w:noWrap/>
            <w:vAlign w:val="center"/>
            <w:hideMark/>
          </w:tcPr>
          <w:p w14:paraId="7A610751"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4</w:t>
            </w:r>
          </w:p>
        </w:tc>
      </w:tr>
      <w:tr w:rsidR="004F64EF" w:rsidRPr="003003C0" w14:paraId="5A9BE208" w14:textId="77777777" w:rsidTr="00FD6B66">
        <w:trPr>
          <w:trHeight w:val="20"/>
        </w:trPr>
        <w:tc>
          <w:tcPr>
            <w:tcW w:w="3516" w:type="dxa"/>
            <w:noWrap/>
            <w:vAlign w:val="center"/>
            <w:hideMark/>
          </w:tcPr>
          <w:p w14:paraId="20AC9E69" w14:textId="77777777" w:rsidR="004F64EF" w:rsidRPr="003003C0" w:rsidRDefault="004F64EF" w:rsidP="00F0233E">
            <w:pPr>
              <w:tabs>
                <w:tab w:val="left" w:pos="510"/>
              </w:tabs>
              <w:jc w:val="left"/>
              <w:rPr>
                <w:rFonts w:cs="Arial"/>
                <w:color w:val="000000"/>
                <w:sz w:val="14"/>
                <w:szCs w:val="14"/>
              </w:rPr>
            </w:pPr>
            <w:r w:rsidRPr="003003C0">
              <w:rPr>
                <w:rFonts w:cs="Arial"/>
                <w:color w:val="000000"/>
                <w:sz w:val="14"/>
                <w:szCs w:val="14"/>
              </w:rPr>
              <w:tab/>
              <w:t>T</w:t>
            </w:r>
            <w:r>
              <w:rPr>
                <w:rFonts w:cs="Arial"/>
                <w:color w:val="000000"/>
                <w:sz w:val="14"/>
                <w:szCs w:val="14"/>
              </w:rPr>
              <w:t>h</w:t>
            </w:r>
            <w:r w:rsidRPr="003003C0">
              <w:rPr>
                <w:rFonts w:cs="Arial"/>
                <w:color w:val="000000"/>
                <w:sz w:val="14"/>
                <w:szCs w:val="14"/>
              </w:rPr>
              <w:t>ailand</w:t>
            </w:r>
          </w:p>
        </w:tc>
        <w:tc>
          <w:tcPr>
            <w:tcW w:w="785" w:type="dxa"/>
            <w:noWrap/>
            <w:vAlign w:val="center"/>
            <w:hideMark/>
          </w:tcPr>
          <w:p w14:paraId="1945D5EC"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6</w:t>
            </w:r>
          </w:p>
        </w:tc>
        <w:tc>
          <w:tcPr>
            <w:tcW w:w="786" w:type="dxa"/>
            <w:noWrap/>
            <w:vAlign w:val="center"/>
            <w:hideMark/>
          </w:tcPr>
          <w:p w14:paraId="272C85EB"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6</w:t>
            </w:r>
          </w:p>
        </w:tc>
        <w:tc>
          <w:tcPr>
            <w:tcW w:w="786" w:type="dxa"/>
            <w:noWrap/>
            <w:vAlign w:val="center"/>
            <w:hideMark/>
          </w:tcPr>
          <w:p w14:paraId="721A5146"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5</w:t>
            </w:r>
          </w:p>
        </w:tc>
        <w:tc>
          <w:tcPr>
            <w:tcW w:w="785" w:type="dxa"/>
            <w:noWrap/>
            <w:vAlign w:val="center"/>
            <w:hideMark/>
          </w:tcPr>
          <w:p w14:paraId="76ACE083"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5</w:t>
            </w:r>
          </w:p>
        </w:tc>
        <w:tc>
          <w:tcPr>
            <w:tcW w:w="786" w:type="dxa"/>
            <w:noWrap/>
            <w:vAlign w:val="center"/>
            <w:hideMark/>
          </w:tcPr>
          <w:p w14:paraId="612E0BFB"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5</w:t>
            </w:r>
          </w:p>
        </w:tc>
        <w:tc>
          <w:tcPr>
            <w:tcW w:w="786" w:type="dxa"/>
            <w:noWrap/>
            <w:vAlign w:val="center"/>
            <w:hideMark/>
          </w:tcPr>
          <w:p w14:paraId="3E8E88E8"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6</w:t>
            </w:r>
          </w:p>
        </w:tc>
        <w:tc>
          <w:tcPr>
            <w:tcW w:w="786" w:type="dxa"/>
            <w:noWrap/>
            <w:vAlign w:val="center"/>
            <w:hideMark/>
          </w:tcPr>
          <w:p w14:paraId="7D26F542"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4</w:t>
            </w:r>
          </w:p>
        </w:tc>
      </w:tr>
      <w:tr w:rsidR="004F64EF" w:rsidRPr="003003C0" w14:paraId="2C1AC5D7" w14:textId="77777777" w:rsidTr="00FD6B66">
        <w:trPr>
          <w:cnfStyle w:val="000000010000" w:firstRow="0" w:lastRow="0" w:firstColumn="0" w:lastColumn="0" w:oddVBand="0" w:evenVBand="0" w:oddHBand="0" w:evenHBand="1" w:firstRowFirstColumn="0" w:firstRowLastColumn="0" w:lastRowFirstColumn="0" w:lastRowLastColumn="0"/>
          <w:trHeight w:val="20"/>
        </w:trPr>
        <w:tc>
          <w:tcPr>
            <w:tcW w:w="3516" w:type="dxa"/>
            <w:noWrap/>
            <w:vAlign w:val="center"/>
            <w:hideMark/>
          </w:tcPr>
          <w:p w14:paraId="293B2CE4" w14:textId="77777777" w:rsidR="004F64EF" w:rsidRPr="003003C0" w:rsidRDefault="004F64EF" w:rsidP="00F0233E">
            <w:pPr>
              <w:tabs>
                <w:tab w:val="left" w:pos="510"/>
              </w:tabs>
              <w:jc w:val="left"/>
              <w:rPr>
                <w:rFonts w:cs="Arial"/>
                <w:color w:val="000000"/>
                <w:sz w:val="14"/>
                <w:szCs w:val="14"/>
              </w:rPr>
            </w:pPr>
            <w:r w:rsidRPr="003003C0">
              <w:rPr>
                <w:rFonts w:cs="Arial"/>
                <w:color w:val="000000"/>
                <w:sz w:val="14"/>
                <w:szCs w:val="14"/>
              </w:rPr>
              <w:tab/>
              <w:t>Mala</w:t>
            </w:r>
            <w:r>
              <w:rPr>
                <w:rFonts w:cs="Arial"/>
                <w:color w:val="000000"/>
                <w:sz w:val="14"/>
                <w:szCs w:val="14"/>
              </w:rPr>
              <w:t>y</w:t>
            </w:r>
            <w:r w:rsidRPr="003003C0">
              <w:rPr>
                <w:rFonts w:cs="Arial"/>
                <w:color w:val="000000"/>
                <w:sz w:val="14"/>
                <w:szCs w:val="14"/>
              </w:rPr>
              <w:t>sia</w:t>
            </w:r>
          </w:p>
        </w:tc>
        <w:tc>
          <w:tcPr>
            <w:tcW w:w="785" w:type="dxa"/>
            <w:noWrap/>
            <w:vAlign w:val="center"/>
            <w:hideMark/>
          </w:tcPr>
          <w:p w14:paraId="5E35F474"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2</w:t>
            </w:r>
          </w:p>
        </w:tc>
        <w:tc>
          <w:tcPr>
            <w:tcW w:w="786" w:type="dxa"/>
            <w:noWrap/>
            <w:vAlign w:val="center"/>
            <w:hideMark/>
          </w:tcPr>
          <w:p w14:paraId="56EFE6DF"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2</w:t>
            </w:r>
          </w:p>
        </w:tc>
        <w:tc>
          <w:tcPr>
            <w:tcW w:w="786" w:type="dxa"/>
            <w:noWrap/>
            <w:vAlign w:val="center"/>
            <w:hideMark/>
          </w:tcPr>
          <w:p w14:paraId="4C78E5F5"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2</w:t>
            </w:r>
          </w:p>
        </w:tc>
        <w:tc>
          <w:tcPr>
            <w:tcW w:w="785" w:type="dxa"/>
            <w:noWrap/>
            <w:vAlign w:val="center"/>
            <w:hideMark/>
          </w:tcPr>
          <w:p w14:paraId="551AC5E3"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1</w:t>
            </w:r>
          </w:p>
        </w:tc>
        <w:tc>
          <w:tcPr>
            <w:tcW w:w="786" w:type="dxa"/>
            <w:noWrap/>
            <w:vAlign w:val="center"/>
            <w:hideMark/>
          </w:tcPr>
          <w:p w14:paraId="7F268627"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2</w:t>
            </w:r>
          </w:p>
        </w:tc>
        <w:tc>
          <w:tcPr>
            <w:tcW w:w="786" w:type="dxa"/>
            <w:noWrap/>
            <w:vAlign w:val="center"/>
            <w:hideMark/>
          </w:tcPr>
          <w:p w14:paraId="03F58D91"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2</w:t>
            </w:r>
          </w:p>
        </w:tc>
        <w:tc>
          <w:tcPr>
            <w:tcW w:w="786" w:type="dxa"/>
            <w:noWrap/>
            <w:vAlign w:val="center"/>
            <w:hideMark/>
          </w:tcPr>
          <w:p w14:paraId="7E44AFD7"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2</w:t>
            </w:r>
          </w:p>
        </w:tc>
      </w:tr>
      <w:tr w:rsidR="004F64EF" w:rsidRPr="003003C0" w14:paraId="659BFF24" w14:textId="77777777" w:rsidTr="00FD6B66">
        <w:trPr>
          <w:trHeight w:val="20"/>
        </w:trPr>
        <w:tc>
          <w:tcPr>
            <w:tcW w:w="3516" w:type="dxa"/>
            <w:noWrap/>
            <w:vAlign w:val="center"/>
            <w:hideMark/>
          </w:tcPr>
          <w:p w14:paraId="1A2490F7" w14:textId="77777777" w:rsidR="004F64EF" w:rsidRPr="003003C0" w:rsidRDefault="004F64EF" w:rsidP="00FD6B66">
            <w:pPr>
              <w:keepNext/>
              <w:keepLines/>
              <w:jc w:val="left"/>
              <w:rPr>
                <w:rFonts w:cs="Arial"/>
                <w:color w:val="000000"/>
                <w:sz w:val="14"/>
                <w:szCs w:val="14"/>
              </w:rPr>
            </w:pPr>
            <w:r w:rsidRPr="003003C0">
              <w:rPr>
                <w:rFonts w:cs="Arial"/>
                <w:color w:val="000000"/>
                <w:sz w:val="14"/>
                <w:szCs w:val="14"/>
              </w:rPr>
              <w:t>Ot</w:t>
            </w:r>
            <w:r>
              <w:rPr>
                <w:rFonts w:cs="Arial"/>
                <w:color w:val="000000"/>
                <w:sz w:val="14"/>
                <w:szCs w:val="14"/>
              </w:rPr>
              <w:t>her</w:t>
            </w:r>
          </w:p>
        </w:tc>
        <w:tc>
          <w:tcPr>
            <w:tcW w:w="785" w:type="dxa"/>
            <w:noWrap/>
            <w:vAlign w:val="center"/>
            <w:hideMark/>
          </w:tcPr>
          <w:p w14:paraId="07DA0EA1" w14:textId="77777777" w:rsidR="004F64EF" w:rsidRPr="003003C0" w:rsidRDefault="004F64EF" w:rsidP="00FD6B66">
            <w:pPr>
              <w:jc w:val="right"/>
              <w:rPr>
                <w:rFonts w:cs="Arial"/>
                <w:color w:val="000000"/>
                <w:sz w:val="14"/>
                <w:szCs w:val="14"/>
              </w:rPr>
            </w:pPr>
            <w:r w:rsidRPr="003003C0">
              <w:rPr>
                <w:rFonts w:cs="Arial"/>
                <w:color w:val="000000"/>
                <w:sz w:val="14"/>
                <w:szCs w:val="14"/>
              </w:rPr>
              <w:t>1</w:t>
            </w:r>
            <w:r>
              <w:rPr>
                <w:rFonts w:cs="Arial"/>
                <w:color w:val="000000"/>
                <w:sz w:val="14"/>
                <w:szCs w:val="14"/>
              </w:rPr>
              <w:t>.</w:t>
            </w:r>
            <w:r w:rsidRPr="003003C0">
              <w:rPr>
                <w:rFonts w:cs="Arial"/>
                <w:color w:val="000000"/>
                <w:sz w:val="14"/>
                <w:szCs w:val="14"/>
              </w:rPr>
              <w:t>1</w:t>
            </w:r>
          </w:p>
        </w:tc>
        <w:tc>
          <w:tcPr>
            <w:tcW w:w="786" w:type="dxa"/>
            <w:noWrap/>
            <w:vAlign w:val="center"/>
            <w:hideMark/>
          </w:tcPr>
          <w:p w14:paraId="536FE11F"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7</w:t>
            </w:r>
          </w:p>
        </w:tc>
        <w:tc>
          <w:tcPr>
            <w:tcW w:w="786" w:type="dxa"/>
            <w:noWrap/>
            <w:vAlign w:val="center"/>
            <w:hideMark/>
          </w:tcPr>
          <w:p w14:paraId="061C49AB"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1</w:t>
            </w:r>
          </w:p>
        </w:tc>
        <w:tc>
          <w:tcPr>
            <w:tcW w:w="785" w:type="dxa"/>
            <w:noWrap/>
            <w:vAlign w:val="center"/>
            <w:hideMark/>
          </w:tcPr>
          <w:p w14:paraId="0642CBB7"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0</w:t>
            </w:r>
          </w:p>
        </w:tc>
        <w:tc>
          <w:tcPr>
            <w:tcW w:w="786" w:type="dxa"/>
            <w:noWrap/>
            <w:vAlign w:val="center"/>
            <w:hideMark/>
          </w:tcPr>
          <w:p w14:paraId="4B8DCD7F"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0</w:t>
            </w:r>
          </w:p>
        </w:tc>
        <w:tc>
          <w:tcPr>
            <w:tcW w:w="786" w:type="dxa"/>
            <w:noWrap/>
            <w:vAlign w:val="center"/>
            <w:hideMark/>
          </w:tcPr>
          <w:p w14:paraId="1A116CD0"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0</w:t>
            </w:r>
          </w:p>
        </w:tc>
        <w:tc>
          <w:tcPr>
            <w:tcW w:w="786" w:type="dxa"/>
            <w:noWrap/>
            <w:vAlign w:val="center"/>
            <w:hideMark/>
          </w:tcPr>
          <w:p w14:paraId="29881BB7"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0</w:t>
            </w:r>
          </w:p>
        </w:tc>
      </w:tr>
      <w:tr w:rsidR="004F64EF" w:rsidRPr="003003C0" w14:paraId="59E2649E" w14:textId="77777777" w:rsidTr="00FD6B66">
        <w:trPr>
          <w:cnfStyle w:val="000000010000" w:firstRow="0" w:lastRow="0" w:firstColumn="0" w:lastColumn="0" w:oddVBand="0" w:evenVBand="0" w:oddHBand="0" w:evenHBand="1" w:firstRowFirstColumn="0" w:firstRowLastColumn="0" w:lastRowFirstColumn="0" w:lastRowLastColumn="0"/>
          <w:trHeight w:val="20"/>
        </w:trPr>
        <w:tc>
          <w:tcPr>
            <w:tcW w:w="9016" w:type="dxa"/>
            <w:gridSpan w:val="8"/>
            <w:noWrap/>
            <w:vAlign w:val="center"/>
            <w:hideMark/>
          </w:tcPr>
          <w:p w14:paraId="2C97E2BE" w14:textId="77777777" w:rsidR="004F64EF" w:rsidRPr="003003C0" w:rsidRDefault="004F64EF" w:rsidP="00FD6B66">
            <w:pPr>
              <w:keepNext/>
              <w:keepLines/>
              <w:jc w:val="left"/>
              <w:rPr>
                <w:sz w:val="14"/>
                <w:szCs w:val="14"/>
              </w:rPr>
            </w:pPr>
            <w:r w:rsidRPr="003003C0">
              <w:rPr>
                <w:rFonts w:cs="Arial"/>
                <w:i/>
                <w:iCs/>
                <w:color w:val="000000"/>
                <w:sz w:val="14"/>
                <w:szCs w:val="14"/>
              </w:rPr>
              <w:t>Memor</w:t>
            </w:r>
            <w:r>
              <w:rPr>
                <w:rFonts w:cs="Arial"/>
                <w:i/>
                <w:iCs/>
                <w:color w:val="000000"/>
                <w:sz w:val="14"/>
                <w:szCs w:val="14"/>
              </w:rPr>
              <w:t>a</w:t>
            </w:r>
            <w:r w:rsidRPr="003003C0">
              <w:rPr>
                <w:rFonts w:cs="Arial"/>
                <w:i/>
                <w:iCs/>
                <w:color w:val="000000"/>
                <w:sz w:val="14"/>
                <w:szCs w:val="14"/>
              </w:rPr>
              <w:t>ndum:</w:t>
            </w:r>
          </w:p>
        </w:tc>
      </w:tr>
      <w:tr w:rsidR="004F64EF" w:rsidRPr="003003C0" w14:paraId="221DD84B" w14:textId="77777777" w:rsidTr="00FD6B66">
        <w:trPr>
          <w:trHeight w:val="20"/>
        </w:trPr>
        <w:tc>
          <w:tcPr>
            <w:tcW w:w="3516" w:type="dxa"/>
            <w:noWrap/>
            <w:vAlign w:val="center"/>
            <w:hideMark/>
          </w:tcPr>
          <w:p w14:paraId="5D3AFA2E" w14:textId="77777777" w:rsidR="004F64EF" w:rsidRPr="003003C0" w:rsidRDefault="004F64EF" w:rsidP="00FD6B66">
            <w:pPr>
              <w:keepNext/>
              <w:keepLines/>
              <w:jc w:val="left"/>
              <w:rPr>
                <w:rFonts w:cs="Arial"/>
                <w:color w:val="000000"/>
                <w:sz w:val="14"/>
                <w:szCs w:val="14"/>
              </w:rPr>
            </w:pPr>
            <w:r>
              <w:rPr>
                <w:rFonts w:cs="Arial"/>
                <w:color w:val="000000"/>
                <w:sz w:val="14"/>
                <w:szCs w:val="14"/>
              </w:rPr>
              <w:t>EU</w:t>
            </w:r>
            <w:r w:rsidRPr="003003C0">
              <w:rPr>
                <w:rFonts w:cs="Arial"/>
                <w:color w:val="000000"/>
                <w:sz w:val="14"/>
                <w:szCs w:val="14"/>
              </w:rPr>
              <w:t>-28</w:t>
            </w:r>
          </w:p>
        </w:tc>
        <w:tc>
          <w:tcPr>
            <w:tcW w:w="785" w:type="dxa"/>
            <w:noWrap/>
            <w:vAlign w:val="center"/>
            <w:hideMark/>
          </w:tcPr>
          <w:p w14:paraId="3A9CAF6C" w14:textId="77777777" w:rsidR="004F64EF" w:rsidRPr="003003C0" w:rsidRDefault="004F64EF" w:rsidP="00FD6B66">
            <w:pPr>
              <w:jc w:val="right"/>
              <w:rPr>
                <w:rFonts w:cs="Arial"/>
                <w:color w:val="000000"/>
                <w:sz w:val="14"/>
                <w:szCs w:val="14"/>
              </w:rPr>
            </w:pPr>
            <w:r w:rsidRPr="003003C0">
              <w:rPr>
                <w:rFonts w:cs="Arial"/>
                <w:color w:val="000000"/>
                <w:sz w:val="14"/>
                <w:szCs w:val="14"/>
              </w:rPr>
              <w:t>12</w:t>
            </w:r>
            <w:r>
              <w:rPr>
                <w:rFonts w:cs="Arial"/>
                <w:color w:val="000000"/>
                <w:sz w:val="14"/>
                <w:szCs w:val="14"/>
              </w:rPr>
              <w:t>.</w:t>
            </w:r>
            <w:r w:rsidRPr="003003C0">
              <w:rPr>
                <w:rFonts w:cs="Arial"/>
                <w:color w:val="000000"/>
                <w:sz w:val="14"/>
                <w:szCs w:val="14"/>
              </w:rPr>
              <w:t>2</w:t>
            </w:r>
          </w:p>
        </w:tc>
        <w:tc>
          <w:tcPr>
            <w:tcW w:w="786" w:type="dxa"/>
            <w:noWrap/>
            <w:vAlign w:val="center"/>
            <w:hideMark/>
          </w:tcPr>
          <w:p w14:paraId="28028D9D" w14:textId="77777777" w:rsidR="004F64EF" w:rsidRPr="003003C0" w:rsidRDefault="004F64EF" w:rsidP="00FD6B66">
            <w:pPr>
              <w:jc w:val="right"/>
              <w:rPr>
                <w:rFonts w:cs="Arial"/>
                <w:color w:val="000000"/>
                <w:sz w:val="14"/>
                <w:szCs w:val="14"/>
              </w:rPr>
            </w:pPr>
            <w:r w:rsidRPr="003003C0">
              <w:rPr>
                <w:rFonts w:cs="Arial"/>
                <w:color w:val="000000"/>
                <w:sz w:val="14"/>
                <w:szCs w:val="14"/>
              </w:rPr>
              <w:t>14</w:t>
            </w:r>
            <w:r>
              <w:rPr>
                <w:rFonts w:cs="Arial"/>
                <w:color w:val="000000"/>
                <w:sz w:val="14"/>
                <w:szCs w:val="14"/>
              </w:rPr>
              <w:t>.</w:t>
            </w:r>
            <w:r w:rsidRPr="003003C0">
              <w:rPr>
                <w:rFonts w:cs="Arial"/>
                <w:color w:val="000000"/>
                <w:sz w:val="14"/>
                <w:szCs w:val="14"/>
              </w:rPr>
              <w:t>2</w:t>
            </w:r>
          </w:p>
        </w:tc>
        <w:tc>
          <w:tcPr>
            <w:tcW w:w="786" w:type="dxa"/>
            <w:noWrap/>
            <w:vAlign w:val="center"/>
            <w:hideMark/>
          </w:tcPr>
          <w:p w14:paraId="04FF8F8A" w14:textId="77777777" w:rsidR="004F64EF" w:rsidRPr="003003C0" w:rsidRDefault="004F64EF" w:rsidP="00FD6B66">
            <w:pPr>
              <w:jc w:val="right"/>
              <w:rPr>
                <w:rFonts w:cs="Arial"/>
                <w:color w:val="000000"/>
                <w:sz w:val="14"/>
                <w:szCs w:val="14"/>
              </w:rPr>
            </w:pPr>
            <w:r w:rsidRPr="003003C0">
              <w:rPr>
                <w:rFonts w:cs="Arial"/>
                <w:color w:val="000000"/>
                <w:sz w:val="14"/>
                <w:szCs w:val="14"/>
              </w:rPr>
              <w:t>13</w:t>
            </w:r>
            <w:r>
              <w:rPr>
                <w:rFonts w:cs="Arial"/>
                <w:color w:val="000000"/>
                <w:sz w:val="14"/>
                <w:szCs w:val="14"/>
              </w:rPr>
              <w:t>.</w:t>
            </w:r>
            <w:r w:rsidRPr="003003C0">
              <w:rPr>
                <w:rFonts w:cs="Arial"/>
                <w:color w:val="000000"/>
                <w:sz w:val="14"/>
                <w:szCs w:val="14"/>
              </w:rPr>
              <w:t>2</w:t>
            </w:r>
          </w:p>
        </w:tc>
        <w:tc>
          <w:tcPr>
            <w:tcW w:w="785" w:type="dxa"/>
            <w:noWrap/>
            <w:vAlign w:val="center"/>
            <w:hideMark/>
          </w:tcPr>
          <w:p w14:paraId="5B3249E4" w14:textId="77777777" w:rsidR="004F64EF" w:rsidRPr="003003C0" w:rsidRDefault="004F64EF" w:rsidP="00FD6B66">
            <w:pPr>
              <w:jc w:val="right"/>
              <w:rPr>
                <w:rFonts w:cs="Arial"/>
                <w:color w:val="000000"/>
                <w:sz w:val="14"/>
                <w:szCs w:val="14"/>
              </w:rPr>
            </w:pPr>
            <w:r w:rsidRPr="003003C0">
              <w:rPr>
                <w:rFonts w:cs="Arial"/>
                <w:color w:val="000000"/>
                <w:sz w:val="14"/>
                <w:szCs w:val="14"/>
              </w:rPr>
              <w:t>13</w:t>
            </w:r>
            <w:r>
              <w:rPr>
                <w:rFonts w:cs="Arial"/>
                <w:color w:val="000000"/>
                <w:sz w:val="14"/>
                <w:szCs w:val="14"/>
              </w:rPr>
              <w:t>.</w:t>
            </w:r>
            <w:r w:rsidRPr="003003C0">
              <w:rPr>
                <w:rFonts w:cs="Arial"/>
                <w:color w:val="000000"/>
                <w:sz w:val="14"/>
                <w:szCs w:val="14"/>
              </w:rPr>
              <w:t>8</w:t>
            </w:r>
          </w:p>
        </w:tc>
        <w:tc>
          <w:tcPr>
            <w:tcW w:w="786" w:type="dxa"/>
            <w:noWrap/>
            <w:vAlign w:val="center"/>
            <w:hideMark/>
          </w:tcPr>
          <w:p w14:paraId="3349A8D7" w14:textId="77777777" w:rsidR="004F64EF" w:rsidRPr="003003C0" w:rsidRDefault="004F64EF" w:rsidP="00FD6B66">
            <w:pPr>
              <w:jc w:val="right"/>
              <w:rPr>
                <w:rFonts w:cs="Arial"/>
                <w:color w:val="000000"/>
                <w:sz w:val="14"/>
                <w:szCs w:val="14"/>
              </w:rPr>
            </w:pPr>
            <w:r w:rsidRPr="003003C0">
              <w:rPr>
                <w:rFonts w:cs="Arial"/>
                <w:color w:val="000000"/>
                <w:sz w:val="14"/>
                <w:szCs w:val="14"/>
              </w:rPr>
              <w:t>14</w:t>
            </w:r>
            <w:r>
              <w:rPr>
                <w:rFonts w:cs="Arial"/>
                <w:color w:val="000000"/>
                <w:sz w:val="14"/>
                <w:szCs w:val="14"/>
              </w:rPr>
              <w:t>.</w:t>
            </w:r>
            <w:r w:rsidRPr="003003C0">
              <w:rPr>
                <w:rFonts w:cs="Arial"/>
                <w:color w:val="000000"/>
                <w:sz w:val="14"/>
                <w:szCs w:val="14"/>
              </w:rPr>
              <w:t>2</w:t>
            </w:r>
          </w:p>
        </w:tc>
        <w:tc>
          <w:tcPr>
            <w:tcW w:w="786" w:type="dxa"/>
            <w:noWrap/>
            <w:vAlign w:val="center"/>
            <w:hideMark/>
          </w:tcPr>
          <w:p w14:paraId="2BDF00FF" w14:textId="77777777" w:rsidR="004F64EF" w:rsidRPr="003003C0" w:rsidRDefault="004F64EF" w:rsidP="00FD6B66">
            <w:pPr>
              <w:jc w:val="right"/>
              <w:rPr>
                <w:rFonts w:cs="Arial"/>
                <w:color w:val="000000"/>
                <w:sz w:val="14"/>
                <w:szCs w:val="14"/>
              </w:rPr>
            </w:pPr>
            <w:r w:rsidRPr="003003C0">
              <w:rPr>
                <w:rFonts w:cs="Arial"/>
                <w:color w:val="000000"/>
                <w:sz w:val="14"/>
                <w:szCs w:val="14"/>
              </w:rPr>
              <w:t>14</w:t>
            </w:r>
            <w:r>
              <w:rPr>
                <w:rFonts w:cs="Arial"/>
                <w:color w:val="000000"/>
                <w:sz w:val="14"/>
                <w:szCs w:val="14"/>
              </w:rPr>
              <w:t>.</w:t>
            </w:r>
            <w:r w:rsidRPr="003003C0">
              <w:rPr>
                <w:rFonts w:cs="Arial"/>
                <w:color w:val="000000"/>
                <w:sz w:val="14"/>
                <w:szCs w:val="14"/>
              </w:rPr>
              <w:t>7</w:t>
            </w:r>
          </w:p>
        </w:tc>
        <w:tc>
          <w:tcPr>
            <w:tcW w:w="786" w:type="dxa"/>
            <w:noWrap/>
            <w:vAlign w:val="center"/>
            <w:hideMark/>
          </w:tcPr>
          <w:p w14:paraId="2535F5A7" w14:textId="77777777" w:rsidR="004F64EF" w:rsidRPr="003003C0" w:rsidRDefault="004F64EF" w:rsidP="00FD6B66">
            <w:pPr>
              <w:jc w:val="right"/>
              <w:rPr>
                <w:rFonts w:cs="Arial"/>
                <w:color w:val="000000"/>
                <w:sz w:val="14"/>
                <w:szCs w:val="14"/>
              </w:rPr>
            </w:pPr>
            <w:r w:rsidRPr="003003C0">
              <w:rPr>
                <w:rFonts w:cs="Arial"/>
                <w:color w:val="000000"/>
                <w:sz w:val="14"/>
                <w:szCs w:val="14"/>
              </w:rPr>
              <w:t>12</w:t>
            </w:r>
            <w:r>
              <w:rPr>
                <w:rFonts w:cs="Arial"/>
                <w:color w:val="000000"/>
                <w:sz w:val="14"/>
                <w:szCs w:val="14"/>
              </w:rPr>
              <w:t>.</w:t>
            </w:r>
            <w:r w:rsidRPr="003003C0">
              <w:rPr>
                <w:rFonts w:cs="Arial"/>
                <w:color w:val="000000"/>
                <w:sz w:val="14"/>
                <w:szCs w:val="14"/>
              </w:rPr>
              <w:t>7</w:t>
            </w:r>
          </w:p>
        </w:tc>
      </w:tr>
    </w:tbl>
    <w:p w14:paraId="6DFF79CE" w14:textId="77777777" w:rsidR="004F64EF" w:rsidRPr="003003C0" w:rsidRDefault="004F64EF" w:rsidP="00B91D96">
      <w:pPr>
        <w:pStyle w:val="NoteText"/>
        <w:spacing w:before="120" w:after="120"/>
      </w:pPr>
      <w:r w:rsidRPr="003003C0">
        <w:t>a</w:t>
      </w:r>
      <w:r w:rsidRPr="003003C0">
        <w:tab/>
      </w:r>
      <w:r w:rsidRPr="004806CB">
        <w:t>Commonwealth of Independent States, including certain associate and former member States</w:t>
      </w:r>
      <w:r w:rsidRPr="003003C0">
        <w:t>.</w:t>
      </w:r>
    </w:p>
    <w:p w14:paraId="7CF0B564" w14:textId="77777777" w:rsidR="004F64EF" w:rsidRPr="003003C0" w:rsidRDefault="004F64EF" w:rsidP="00B91D96">
      <w:pPr>
        <w:pStyle w:val="NoteText"/>
        <w:spacing w:after="240"/>
      </w:pPr>
      <w:r w:rsidRPr="004806CB">
        <w:rPr>
          <w:bCs/>
        </w:rPr>
        <w:t>Source:</w:t>
      </w:r>
      <w:r w:rsidRPr="004806CB">
        <w:rPr>
          <w:bCs/>
        </w:rPr>
        <w:tab/>
        <w:t>WTO Secretariat calculations based on data provided by the authorities</w:t>
      </w:r>
      <w:r w:rsidRPr="003003C0">
        <w:t>.</w:t>
      </w:r>
    </w:p>
    <w:p w14:paraId="396BAA59" w14:textId="77777777" w:rsidR="004F64EF" w:rsidRPr="003003C0" w:rsidRDefault="004F64EF" w:rsidP="00B91D96">
      <w:r w:rsidRPr="003003C0">
        <w:br w:type="page"/>
      </w:r>
    </w:p>
    <w:p w14:paraId="7272FD42" w14:textId="77777777" w:rsidR="004F64EF" w:rsidRPr="003003C0" w:rsidRDefault="004F64EF" w:rsidP="00B91D96">
      <w:pPr>
        <w:pStyle w:val="Caption"/>
      </w:pPr>
      <w:bookmarkStart w:id="438" w:name="_Toc114735870"/>
      <w:bookmarkStart w:id="439" w:name="_Toc117004288"/>
      <w:r>
        <w:lastRenderedPageBreak/>
        <w:t>Table</w:t>
      </w:r>
      <w:r w:rsidRPr="003003C0">
        <w:t xml:space="preserve"> A1.</w:t>
      </w:r>
      <w:r w:rsidR="00BD37F2">
        <w:fldChar w:fldCharType="begin"/>
      </w:r>
      <w:r w:rsidR="00BD37F2">
        <w:instrText xml:space="preserve"> SEQ Table_A1. \* ARABIC </w:instrText>
      </w:r>
      <w:r w:rsidR="00BD37F2">
        <w:fldChar w:fldCharType="separate"/>
      </w:r>
      <w:r w:rsidRPr="003003C0">
        <w:rPr>
          <w:noProof/>
        </w:rPr>
        <w:t>10</w:t>
      </w:r>
      <w:r w:rsidR="00BD37F2">
        <w:rPr>
          <w:noProof/>
        </w:rPr>
        <w:fldChar w:fldCharType="end"/>
      </w:r>
      <w:r w:rsidRPr="003003C0">
        <w:t xml:space="preserve"> </w:t>
      </w:r>
      <w:r>
        <w:t>Merchandise imports into free zones</w:t>
      </w:r>
      <w:r w:rsidRPr="003003C0">
        <w:t xml:space="preserve"> (</w:t>
      </w:r>
      <w:r>
        <w:t>f.o.b.</w:t>
      </w:r>
      <w:r w:rsidRPr="003003C0">
        <w:t xml:space="preserve">) </w:t>
      </w:r>
      <w:r>
        <w:t>by trading partner</w:t>
      </w:r>
      <w:r w:rsidRPr="003003C0">
        <w:t>, 2015-21</w:t>
      </w:r>
      <w:bookmarkEnd w:id="438"/>
      <w:bookmarkEnd w:id="439"/>
    </w:p>
    <w:p w14:paraId="406AC084" w14:textId="77777777" w:rsidR="004F64EF" w:rsidRPr="003003C0" w:rsidRDefault="004F64EF" w:rsidP="00B91D96">
      <w:pPr>
        <w:pStyle w:val="NoteText"/>
      </w:pPr>
      <w:r w:rsidRPr="003003C0">
        <w:t xml:space="preserve">(USD </w:t>
      </w:r>
      <w:r>
        <w:t>million and</w:t>
      </w:r>
      <w:r w:rsidRPr="003003C0">
        <w:t xml:space="preserve"> %)</w:t>
      </w:r>
    </w:p>
    <w:tbl>
      <w:tblPr>
        <w:tblStyle w:val="WTOTable1"/>
        <w:tblW w:w="5000" w:type="pct"/>
        <w:tblLook w:val="04A0" w:firstRow="1" w:lastRow="0" w:firstColumn="1" w:lastColumn="0" w:noHBand="0" w:noVBand="1"/>
      </w:tblPr>
      <w:tblGrid>
        <w:gridCol w:w="4071"/>
        <w:gridCol w:w="707"/>
        <w:gridCol w:w="707"/>
        <w:gridCol w:w="707"/>
        <w:gridCol w:w="707"/>
        <w:gridCol w:w="707"/>
        <w:gridCol w:w="707"/>
        <w:gridCol w:w="703"/>
      </w:tblGrid>
      <w:tr w:rsidR="004F64EF" w:rsidRPr="003003C0" w14:paraId="5138BDAA" w14:textId="77777777" w:rsidTr="00BE2A9F">
        <w:trPr>
          <w:cnfStyle w:val="100000000000" w:firstRow="1" w:lastRow="0" w:firstColumn="0" w:lastColumn="0" w:oddVBand="0" w:evenVBand="0" w:oddHBand="0" w:evenHBand="0" w:firstRowFirstColumn="0" w:firstRowLastColumn="0" w:lastRowFirstColumn="0" w:lastRowLastColumn="0"/>
          <w:trHeight w:val="57"/>
          <w:tblHeader/>
        </w:trPr>
        <w:tc>
          <w:tcPr>
            <w:tcW w:w="2258" w:type="pct"/>
            <w:noWrap/>
            <w:vAlign w:val="center"/>
            <w:hideMark/>
          </w:tcPr>
          <w:p w14:paraId="5A686563" w14:textId="77777777" w:rsidR="004F64EF" w:rsidRPr="003003C0" w:rsidRDefault="004F64EF" w:rsidP="00FD6B66">
            <w:pPr>
              <w:jc w:val="left"/>
              <w:rPr>
                <w:rFonts w:eastAsia="Times New Roman" w:cs="Arial"/>
                <w:color w:val="FFFFFF" w:themeColor="background1"/>
                <w:sz w:val="14"/>
                <w:szCs w:val="14"/>
                <w:lang w:eastAsia="en-GB"/>
              </w:rPr>
            </w:pPr>
            <w:r w:rsidRPr="003003C0">
              <w:rPr>
                <w:rFonts w:cs="Arial"/>
                <w:color w:val="FFFFFF" w:themeColor="background1"/>
                <w:sz w:val="14"/>
                <w:szCs w:val="14"/>
              </w:rPr>
              <w:t>Descrip</w:t>
            </w:r>
            <w:r>
              <w:rPr>
                <w:rFonts w:cs="Arial"/>
                <w:color w:val="FFFFFF" w:themeColor="background1"/>
                <w:sz w:val="14"/>
                <w:szCs w:val="14"/>
              </w:rPr>
              <w:t>tion</w:t>
            </w:r>
          </w:p>
        </w:tc>
        <w:tc>
          <w:tcPr>
            <w:tcW w:w="392" w:type="pct"/>
            <w:noWrap/>
            <w:vAlign w:val="center"/>
            <w:hideMark/>
          </w:tcPr>
          <w:p w14:paraId="72067435" w14:textId="77777777" w:rsidR="004F64EF" w:rsidRPr="003003C0" w:rsidRDefault="004F64EF" w:rsidP="00FD6B66">
            <w:pPr>
              <w:jc w:val="right"/>
              <w:rPr>
                <w:rFonts w:cs="Arial"/>
                <w:color w:val="FFFFFF" w:themeColor="background1"/>
                <w:sz w:val="14"/>
                <w:szCs w:val="14"/>
              </w:rPr>
            </w:pPr>
            <w:r w:rsidRPr="003003C0">
              <w:rPr>
                <w:rFonts w:cs="Arial"/>
                <w:color w:val="FFFFFF" w:themeColor="background1"/>
                <w:sz w:val="14"/>
                <w:szCs w:val="14"/>
              </w:rPr>
              <w:t>2015</w:t>
            </w:r>
          </w:p>
        </w:tc>
        <w:tc>
          <w:tcPr>
            <w:tcW w:w="392" w:type="pct"/>
            <w:noWrap/>
            <w:vAlign w:val="center"/>
            <w:hideMark/>
          </w:tcPr>
          <w:p w14:paraId="7CA50F02" w14:textId="77777777" w:rsidR="004F64EF" w:rsidRPr="003003C0" w:rsidRDefault="004F64EF" w:rsidP="00FD6B66">
            <w:pPr>
              <w:jc w:val="right"/>
              <w:rPr>
                <w:rFonts w:cs="Arial"/>
                <w:color w:val="FFFFFF" w:themeColor="background1"/>
                <w:sz w:val="14"/>
                <w:szCs w:val="14"/>
              </w:rPr>
            </w:pPr>
            <w:r w:rsidRPr="003003C0">
              <w:rPr>
                <w:rFonts w:cs="Arial"/>
                <w:color w:val="FFFFFF" w:themeColor="background1"/>
                <w:sz w:val="14"/>
                <w:szCs w:val="14"/>
              </w:rPr>
              <w:t>2016</w:t>
            </w:r>
          </w:p>
        </w:tc>
        <w:tc>
          <w:tcPr>
            <w:tcW w:w="392" w:type="pct"/>
            <w:noWrap/>
            <w:vAlign w:val="center"/>
            <w:hideMark/>
          </w:tcPr>
          <w:p w14:paraId="633DC65F" w14:textId="77777777" w:rsidR="004F64EF" w:rsidRPr="003003C0" w:rsidRDefault="004F64EF" w:rsidP="00FD6B66">
            <w:pPr>
              <w:jc w:val="right"/>
              <w:rPr>
                <w:rFonts w:cs="Arial"/>
                <w:color w:val="FFFFFF" w:themeColor="background1"/>
                <w:sz w:val="14"/>
                <w:szCs w:val="14"/>
              </w:rPr>
            </w:pPr>
            <w:r w:rsidRPr="003003C0">
              <w:rPr>
                <w:rFonts w:cs="Arial"/>
                <w:color w:val="FFFFFF" w:themeColor="background1"/>
                <w:sz w:val="14"/>
                <w:szCs w:val="14"/>
              </w:rPr>
              <w:t>2017</w:t>
            </w:r>
          </w:p>
        </w:tc>
        <w:tc>
          <w:tcPr>
            <w:tcW w:w="392" w:type="pct"/>
            <w:noWrap/>
            <w:vAlign w:val="center"/>
            <w:hideMark/>
          </w:tcPr>
          <w:p w14:paraId="53F01416" w14:textId="77777777" w:rsidR="004F64EF" w:rsidRPr="003003C0" w:rsidRDefault="004F64EF" w:rsidP="00FD6B66">
            <w:pPr>
              <w:jc w:val="right"/>
              <w:rPr>
                <w:rFonts w:cs="Arial"/>
                <w:color w:val="FFFFFF" w:themeColor="background1"/>
                <w:sz w:val="14"/>
                <w:szCs w:val="14"/>
              </w:rPr>
            </w:pPr>
            <w:r w:rsidRPr="003003C0">
              <w:rPr>
                <w:rFonts w:cs="Arial"/>
                <w:color w:val="FFFFFF" w:themeColor="background1"/>
                <w:sz w:val="14"/>
                <w:szCs w:val="14"/>
              </w:rPr>
              <w:t>2018</w:t>
            </w:r>
          </w:p>
        </w:tc>
        <w:tc>
          <w:tcPr>
            <w:tcW w:w="392" w:type="pct"/>
            <w:noWrap/>
            <w:vAlign w:val="center"/>
            <w:hideMark/>
          </w:tcPr>
          <w:p w14:paraId="3C3F6736" w14:textId="77777777" w:rsidR="004F64EF" w:rsidRPr="003003C0" w:rsidRDefault="004F64EF" w:rsidP="00FD6B66">
            <w:pPr>
              <w:jc w:val="right"/>
              <w:rPr>
                <w:rFonts w:cs="Arial"/>
                <w:color w:val="FFFFFF" w:themeColor="background1"/>
                <w:sz w:val="14"/>
                <w:szCs w:val="14"/>
              </w:rPr>
            </w:pPr>
            <w:r w:rsidRPr="003003C0">
              <w:rPr>
                <w:rFonts w:cs="Arial"/>
                <w:color w:val="FFFFFF" w:themeColor="background1"/>
                <w:sz w:val="14"/>
                <w:szCs w:val="14"/>
              </w:rPr>
              <w:t>2019</w:t>
            </w:r>
          </w:p>
        </w:tc>
        <w:tc>
          <w:tcPr>
            <w:tcW w:w="392" w:type="pct"/>
            <w:noWrap/>
            <w:vAlign w:val="center"/>
            <w:hideMark/>
          </w:tcPr>
          <w:p w14:paraId="67674693" w14:textId="77777777" w:rsidR="004F64EF" w:rsidRPr="003003C0" w:rsidRDefault="004F64EF" w:rsidP="00FD6B66">
            <w:pPr>
              <w:jc w:val="right"/>
              <w:rPr>
                <w:rFonts w:cs="Arial"/>
                <w:color w:val="FFFFFF" w:themeColor="background1"/>
                <w:sz w:val="14"/>
                <w:szCs w:val="14"/>
              </w:rPr>
            </w:pPr>
            <w:r w:rsidRPr="003003C0">
              <w:rPr>
                <w:rFonts w:cs="Arial"/>
                <w:color w:val="FFFFFF" w:themeColor="background1"/>
                <w:sz w:val="14"/>
                <w:szCs w:val="14"/>
              </w:rPr>
              <w:t>2020</w:t>
            </w:r>
          </w:p>
        </w:tc>
        <w:tc>
          <w:tcPr>
            <w:tcW w:w="392" w:type="pct"/>
            <w:noWrap/>
            <w:vAlign w:val="center"/>
            <w:hideMark/>
          </w:tcPr>
          <w:p w14:paraId="000B6BF1" w14:textId="77777777" w:rsidR="004F64EF" w:rsidRPr="003003C0" w:rsidRDefault="004F64EF" w:rsidP="00FD6B66">
            <w:pPr>
              <w:jc w:val="right"/>
              <w:rPr>
                <w:rFonts w:cs="Arial"/>
                <w:color w:val="FFFFFF" w:themeColor="background1"/>
                <w:sz w:val="14"/>
                <w:szCs w:val="14"/>
              </w:rPr>
            </w:pPr>
            <w:r w:rsidRPr="003003C0">
              <w:rPr>
                <w:rFonts w:cs="Arial"/>
                <w:color w:val="FFFFFF" w:themeColor="background1"/>
                <w:sz w:val="14"/>
                <w:szCs w:val="14"/>
              </w:rPr>
              <w:t>2021</w:t>
            </w:r>
          </w:p>
        </w:tc>
      </w:tr>
      <w:tr w:rsidR="004F64EF" w:rsidRPr="003003C0" w14:paraId="79DF511A" w14:textId="77777777" w:rsidTr="00BE2A9F">
        <w:trPr>
          <w:trHeight w:val="57"/>
        </w:trPr>
        <w:tc>
          <w:tcPr>
            <w:tcW w:w="2258" w:type="pct"/>
            <w:noWrap/>
            <w:vAlign w:val="center"/>
            <w:hideMark/>
          </w:tcPr>
          <w:p w14:paraId="08D0F6AF" w14:textId="77777777" w:rsidR="004F64EF" w:rsidRPr="003003C0" w:rsidRDefault="004F64EF" w:rsidP="00FD6B66">
            <w:pPr>
              <w:jc w:val="left"/>
              <w:rPr>
                <w:rFonts w:cs="Arial"/>
                <w:b/>
                <w:bCs/>
                <w:color w:val="000000"/>
                <w:sz w:val="14"/>
                <w:szCs w:val="14"/>
              </w:rPr>
            </w:pPr>
          </w:p>
        </w:tc>
        <w:tc>
          <w:tcPr>
            <w:tcW w:w="2742" w:type="pct"/>
            <w:gridSpan w:val="7"/>
            <w:noWrap/>
            <w:vAlign w:val="center"/>
            <w:hideMark/>
          </w:tcPr>
          <w:p w14:paraId="5394431B" w14:textId="77777777" w:rsidR="004F64EF" w:rsidRPr="003003C0" w:rsidRDefault="004F64EF" w:rsidP="00FD6B66">
            <w:pPr>
              <w:jc w:val="center"/>
              <w:rPr>
                <w:rFonts w:cs="Arial"/>
                <w:b/>
                <w:bCs/>
                <w:color w:val="000000"/>
                <w:sz w:val="14"/>
                <w:szCs w:val="14"/>
              </w:rPr>
            </w:pPr>
            <w:r w:rsidRPr="003003C0">
              <w:rPr>
                <w:rFonts w:cs="Arial"/>
                <w:b/>
                <w:bCs/>
                <w:color w:val="000000"/>
                <w:sz w:val="14"/>
                <w:szCs w:val="14"/>
              </w:rPr>
              <w:t>(USD</w:t>
            </w:r>
            <w:r>
              <w:rPr>
                <w:rFonts w:cs="Arial"/>
                <w:b/>
                <w:bCs/>
                <w:color w:val="000000"/>
                <w:sz w:val="14"/>
                <w:szCs w:val="14"/>
              </w:rPr>
              <w:t xml:space="preserve"> million</w:t>
            </w:r>
            <w:r w:rsidRPr="003003C0">
              <w:rPr>
                <w:rFonts w:cs="Arial"/>
                <w:b/>
                <w:bCs/>
                <w:color w:val="000000"/>
                <w:sz w:val="14"/>
                <w:szCs w:val="14"/>
              </w:rPr>
              <w:t>)</w:t>
            </w:r>
          </w:p>
        </w:tc>
      </w:tr>
      <w:tr w:rsidR="004F64EF" w:rsidRPr="003003C0" w14:paraId="6304C241" w14:textId="77777777" w:rsidTr="00BE2A9F">
        <w:trPr>
          <w:cnfStyle w:val="000000010000" w:firstRow="0" w:lastRow="0" w:firstColumn="0" w:lastColumn="0" w:oddVBand="0" w:evenVBand="0" w:oddHBand="0" w:evenHBand="1" w:firstRowFirstColumn="0" w:firstRowLastColumn="0" w:lastRowFirstColumn="0" w:lastRowLastColumn="0"/>
          <w:trHeight w:val="57"/>
        </w:trPr>
        <w:tc>
          <w:tcPr>
            <w:tcW w:w="2258" w:type="pct"/>
            <w:noWrap/>
            <w:vAlign w:val="center"/>
            <w:hideMark/>
          </w:tcPr>
          <w:p w14:paraId="07373AAD" w14:textId="77777777" w:rsidR="004F64EF" w:rsidRPr="003003C0" w:rsidRDefault="004F64EF" w:rsidP="00FD6B66">
            <w:pPr>
              <w:jc w:val="left"/>
              <w:rPr>
                <w:rFonts w:cs="Arial"/>
                <w:color w:val="000000"/>
                <w:sz w:val="14"/>
                <w:szCs w:val="14"/>
              </w:rPr>
            </w:pPr>
            <w:r>
              <w:rPr>
                <w:rFonts w:cs="Arial"/>
                <w:color w:val="000000"/>
                <w:sz w:val="14"/>
                <w:szCs w:val="14"/>
              </w:rPr>
              <w:t>Free zone imports</w:t>
            </w:r>
            <w:r w:rsidRPr="003003C0">
              <w:rPr>
                <w:rFonts w:cs="Arial"/>
                <w:color w:val="000000"/>
                <w:sz w:val="14"/>
                <w:szCs w:val="14"/>
              </w:rPr>
              <w:t xml:space="preserve"> (</w:t>
            </w:r>
            <w:r>
              <w:rPr>
                <w:rFonts w:cs="Arial"/>
                <w:color w:val="000000"/>
                <w:sz w:val="14"/>
                <w:szCs w:val="14"/>
              </w:rPr>
              <w:t>f.o.b.</w:t>
            </w:r>
            <w:r w:rsidRPr="003003C0">
              <w:rPr>
                <w:rFonts w:cs="Arial"/>
                <w:color w:val="000000"/>
                <w:sz w:val="14"/>
                <w:szCs w:val="14"/>
              </w:rPr>
              <w:t>)</w:t>
            </w:r>
          </w:p>
        </w:tc>
        <w:tc>
          <w:tcPr>
            <w:tcW w:w="392" w:type="pct"/>
            <w:noWrap/>
            <w:vAlign w:val="center"/>
            <w:hideMark/>
          </w:tcPr>
          <w:p w14:paraId="6CD2A56F" w14:textId="77777777" w:rsidR="004F64EF" w:rsidRPr="003003C0" w:rsidRDefault="004F64EF" w:rsidP="00FD6B66">
            <w:pPr>
              <w:jc w:val="right"/>
              <w:rPr>
                <w:rFonts w:cs="Arial"/>
                <w:color w:val="000000"/>
                <w:sz w:val="14"/>
                <w:szCs w:val="14"/>
              </w:rPr>
            </w:pPr>
            <w:r w:rsidRPr="003003C0">
              <w:rPr>
                <w:rFonts w:cs="Arial"/>
                <w:color w:val="000000"/>
                <w:sz w:val="14"/>
                <w:szCs w:val="14"/>
              </w:rPr>
              <w:t>3</w:t>
            </w:r>
            <w:r>
              <w:rPr>
                <w:rFonts w:cs="Arial"/>
                <w:color w:val="000000"/>
                <w:sz w:val="14"/>
                <w:szCs w:val="14"/>
              </w:rPr>
              <w:t>,</w:t>
            </w:r>
            <w:r w:rsidRPr="003003C0">
              <w:rPr>
                <w:rFonts w:cs="Arial"/>
                <w:color w:val="000000"/>
                <w:sz w:val="14"/>
                <w:szCs w:val="14"/>
              </w:rPr>
              <w:t>670</w:t>
            </w:r>
          </w:p>
        </w:tc>
        <w:tc>
          <w:tcPr>
            <w:tcW w:w="392" w:type="pct"/>
            <w:noWrap/>
            <w:vAlign w:val="center"/>
            <w:hideMark/>
          </w:tcPr>
          <w:p w14:paraId="68218211" w14:textId="77777777" w:rsidR="004F64EF" w:rsidRPr="003003C0" w:rsidRDefault="004F64EF" w:rsidP="00FD6B66">
            <w:pPr>
              <w:jc w:val="right"/>
              <w:rPr>
                <w:rFonts w:cs="Arial"/>
                <w:color w:val="000000"/>
                <w:sz w:val="14"/>
                <w:szCs w:val="14"/>
              </w:rPr>
            </w:pPr>
            <w:r w:rsidRPr="003003C0">
              <w:rPr>
                <w:rFonts w:cs="Arial"/>
                <w:color w:val="000000"/>
                <w:sz w:val="14"/>
                <w:szCs w:val="14"/>
              </w:rPr>
              <w:t>3</w:t>
            </w:r>
            <w:r>
              <w:rPr>
                <w:rFonts w:cs="Arial"/>
                <w:color w:val="000000"/>
                <w:sz w:val="14"/>
                <w:szCs w:val="14"/>
              </w:rPr>
              <w:t>,</w:t>
            </w:r>
            <w:r w:rsidRPr="003003C0">
              <w:rPr>
                <w:rFonts w:cs="Arial"/>
                <w:color w:val="000000"/>
                <w:sz w:val="14"/>
                <w:szCs w:val="14"/>
              </w:rPr>
              <w:t>736</w:t>
            </w:r>
          </w:p>
        </w:tc>
        <w:tc>
          <w:tcPr>
            <w:tcW w:w="392" w:type="pct"/>
            <w:noWrap/>
            <w:vAlign w:val="center"/>
            <w:hideMark/>
          </w:tcPr>
          <w:p w14:paraId="6887B1FF" w14:textId="77777777" w:rsidR="004F64EF" w:rsidRPr="003003C0" w:rsidRDefault="004F64EF" w:rsidP="00FD6B66">
            <w:pPr>
              <w:jc w:val="right"/>
              <w:rPr>
                <w:rFonts w:cs="Arial"/>
                <w:color w:val="000000"/>
                <w:sz w:val="14"/>
                <w:szCs w:val="14"/>
              </w:rPr>
            </w:pPr>
            <w:r w:rsidRPr="003003C0">
              <w:rPr>
                <w:rFonts w:cs="Arial"/>
                <w:color w:val="000000"/>
                <w:sz w:val="14"/>
                <w:szCs w:val="14"/>
              </w:rPr>
              <w:t>3</w:t>
            </w:r>
            <w:r>
              <w:rPr>
                <w:rFonts w:cs="Arial"/>
                <w:color w:val="000000"/>
                <w:sz w:val="14"/>
                <w:szCs w:val="14"/>
              </w:rPr>
              <w:t>,</w:t>
            </w:r>
            <w:r w:rsidRPr="003003C0">
              <w:rPr>
                <w:rFonts w:cs="Arial"/>
                <w:color w:val="000000"/>
                <w:sz w:val="14"/>
                <w:szCs w:val="14"/>
              </w:rPr>
              <w:t>941</w:t>
            </w:r>
          </w:p>
        </w:tc>
        <w:tc>
          <w:tcPr>
            <w:tcW w:w="392" w:type="pct"/>
            <w:noWrap/>
            <w:vAlign w:val="center"/>
            <w:hideMark/>
          </w:tcPr>
          <w:p w14:paraId="38C46C16" w14:textId="77777777" w:rsidR="004F64EF" w:rsidRPr="003003C0" w:rsidRDefault="004F64EF" w:rsidP="00FD6B66">
            <w:pPr>
              <w:jc w:val="right"/>
              <w:rPr>
                <w:rFonts w:cs="Arial"/>
                <w:color w:val="000000"/>
                <w:sz w:val="14"/>
                <w:szCs w:val="14"/>
              </w:rPr>
            </w:pPr>
            <w:r w:rsidRPr="003003C0">
              <w:rPr>
                <w:rFonts w:cs="Arial"/>
                <w:color w:val="000000"/>
                <w:sz w:val="14"/>
                <w:szCs w:val="14"/>
              </w:rPr>
              <w:t>4</w:t>
            </w:r>
            <w:r>
              <w:rPr>
                <w:rFonts w:cs="Arial"/>
                <w:color w:val="000000"/>
                <w:sz w:val="14"/>
                <w:szCs w:val="14"/>
              </w:rPr>
              <w:t>,</w:t>
            </w:r>
            <w:r w:rsidRPr="003003C0">
              <w:rPr>
                <w:rFonts w:cs="Arial"/>
                <w:color w:val="000000"/>
                <w:sz w:val="14"/>
                <w:szCs w:val="14"/>
              </w:rPr>
              <w:t>016</w:t>
            </w:r>
          </w:p>
        </w:tc>
        <w:tc>
          <w:tcPr>
            <w:tcW w:w="392" w:type="pct"/>
            <w:noWrap/>
            <w:vAlign w:val="center"/>
            <w:hideMark/>
          </w:tcPr>
          <w:p w14:paraId="627369C6" w14:textId="77777777" w:rsidR="004F64EF" w:rsidRPr="003003C0" w:rsidRDefault="004F64EF" w:rsidP="00FD6B66">
            <w:pPr>
              <w:jc w:val="right"/>
              <w:rPr>
                <w:rFonts w:cs="Arial"/>
                <w:color w:val="000000"/>
                <w:sz w:val="14"/>
                <w:szCs w:val="14"/>
              </w:rPr>
            </w:pPr>
            <w:r w:rsidRPr="003003C0">
              <w:rPr>
                <w:rFonts w:cs="Arial"/>
                <w:color w:val="000000"/>
                <w:sz w:val="14"/>
                <w:szCs w:val="14"/>
              </w:rPr>
              <w:t>4</w:t>
            </w:r>
            <w:r>
              <w:rPr>
                <w:rFonts w:cs="Arial"/>
                <w:color w:val="000000"/>
                <w:sz w:val="14"/>
                <w:szCs w:val="14"/>
              </w:rPr>
              <w:t>,</w:t>
            </w:r>
            <w:r w:rsidRPr="003003C0">
              <w:rPr>
                <w:rFonts w:cs="Arial"/>
                <w:color w:val="000000"/>
                <w:sz w:val="14"/>
                <w:szCs w:val="14"/>
              </w:rPr>
              <w:t>122</w:t>
            </w:r>
          </w:p>
        </w:tc>
        <w:tc>
          <w:tcPr>
            <w:tcW w:w="392" w:type="pct"/>
            <w:noWrap/>
            <w:vAlign w:val="center"/>
            <w:hideMark/>
          </w:tcPr>
          <w:p w14:paraId="00ADAC59" w14:textId="77777777" w:rsidR="004F64EF" w:rsidRPr="003003C0" w:rsidRDefault="004F64EF" w:rsidP="00FD6B66">
            <w:pPr>
              <w:jc w:val="right"/>
              <w:rPr>
                <w:rFonts w:cs="Arial"/>
                <w:color w:val="000000"/>
                <w:sz w:val="14"/>
                <w:szCs w:val="14"/>
              </w:rPr>
            </w:pPr>
            <w:r w:rsidRPr="003003C0">
              <w:rPr>
                <w:rFonts w:cs="Arial"/>
                <w:color w:val="000000"/>
                <w:sz w:val="14"/>
                <w:szCs w:val="14"/>
              </w:rPr>
              <w:t>3</w:t>
            </w:r>
            <w:r>
              <w:rPr>
                <w:rFonts w:cs="Arial"/>
                <w:color w:val="000000"/>
                <w:sz w:val="14"/>
                <w:szCs w:val="14"/>
              </w:rPr>
              <w:t>,</w:t>
            </w:r>
            <w:r w:rsidRPr="003003C0">
              <w:rPr>
                <w:rFonts w:cs="Arial"/>
                <w:color w:val="000000"/>
                <w:sz w:val="14"/>
                <w:szCs w:val="14"/>
              </w:rPr>
              <w:t>737</w:t>
            </w:r>
          </w:p>
        </w:tc>
        <w:tc>
          <w:tcPr>
            <w:tcW w:w="392" w:type="pct"/>
            <w:noWrap/>
            <w:vAlign w:val="center"/>
            <w:hideMark/>
          </w:tcPr>
          <w:p w14:paraId="21B97686" w14:textId="77777777" w:rsidR="004F64EF" w:rsidRPr="003003C0" w:rsidRDefault="004F64EF" w:rsidP="00FD6B66">
            <w:pPr>
              <w:jc w:val="right"/>
              <w:rPr>
                <w:rFonts w:cs="Arial"/>
                <w:color w:val="000000"/>
                <w:sz w:val="14"/>
                <w:szCs w:val="14"/>
              </w:rPr>
            </w:pPr>
            <w:r w:rsidRPr="003003C0">
              <w:rPr>
                <w:rFonts w:cs="Arial"/>
                <w:color w:val="000000"/>
                <w:sz w:val="14"/>
                <w:szCs w:val="14"/>
              </w:rPr>
              <w:t>4</w:t>
            </w:r>
            <w:r>
              <w:rPr>
                <w:rFonts w:cs="Arial"/>
                <w:color w:val="000000"/>
                <w:sz w:val="14"/>
                <w:szCs w:val="14"/>
              </w:rPr>
              <w:t>,</w:t>
            </w:r>
            <w:r w:rsidRPr="003003C0">
              <w:rPr>
                <w:rFonts w:cs="Arial"/>
                <w:color w:val="000000"/>
                <w:sz w:val="14"/>
                <w:szCs w:val="14"/>
              </w:rPr>
              <w:t>826</w:t>
            </w:r>
          </w:p>
        </w:tc>
      </w:tr>
      <w:tr w:rsidR="004F64EF" w:rsidRPr="003003C0" w14:paraId="2E0F2493" w14:textId="77777777" w:rsidTr="00BE2A9F">
        <w:trPr>
          <w:trHeight w:val="57"/>
        </w:trPr>
        <w:tc>
          <w:tcPr>
            <w:tcW w:w="2258" w:type="pct"/>
            <w:noWrap/>
            <w:vAlign w:val="center"/>
            <w:hideMark/>
          </w:tcPr>
          <w:p w14:paraId="489D1935" w14:textId="77777777" w:rsidR="004F64EF" w:rsidRPr="003003C0" w:rsidRDefault="004F64EF" w:rsidP="00FD6B66">
            <w:pPr>
              <w:jc w:val="left"/>
              <w:rPr>
                <w:rFonts w:cs="Arial"/>
                <w:color w:val="000000"/>
                <w:sz w:val="14"/>
                <w:szCs w:val="14"/>
              </w:rPr>
            </w:pPr>
          </w:p>
        </w:tc>
        <w:tc>
          <w:tcPr>
            <w:tcW w:w="2742" w:type="pct"/>
            <w:gridSpan w:val="7"/>
            <w:noWrap/>
            <w:vAlign w:val="center"/>
            <w:hideMark/>
          </w:tcPr>
          <w:p w14:paraId="4DDCE377" w14:textId="77777777" w:rsidR="004F64EF" w:rsidRPr="003003C0" w:rsidRDefault="004F64EF" w:rsidP="00FD6B66">
            <w:pPr>
              <w:jc w:val="center"/>
              <w:rPr>
                <w:rFonts w:cs="Arial"/>
                <w:b/>
                <w:bCs/>
                <w:color w:val="000000"/>
                <w:sz w:val="14"/>
                <w:szCs w:val="14"/>
              </w:rPr>
            </w:pPr>
            <w:r w:rsidRPr="003003C0">
              <w:rPr>
                <w:rFonts w:cs="Arial"/>
                <w:b/>
                <w:bCs/>
                <w:color w:val="000000"/>
                <w:sz w:val="14"/>
                <w:szCs w:val="14"/>
              </w:rPr>
              <w:t xml:space="preserve">(% </w:t>
            </w:r>
            <w:r>
              <w:rPr>
                <w:rFonts w:cs="Arial"/>
                <w:b/>
                <w:bCs/>
                <w:color w:val="000000"/>
                <w:sz w:val="14"/>
                <w:szCs w:val="14"/>
              </w:rPr>
              <w:t>of imports</w:t>
            </w:r>
            <w:r w:rsidRPr="003003C0">
              <w:rPr>
                <w:rFonts w:cs="Arial"/>
                <w:b/>
                <w:bCs/>
                <w:color w:val="000000"/>
                <w:sz w:val="14"/>
                <w:szCs w:val="14"/>
              </w:rPr>
              <w:t>)</w:t>
            </w:r>
          </w:p>
        </w:tc>
      </w:tr>
      <w:tr w:rsidR="004F64EF" w:rsidRPr="003003C0" w14:paraId="7D81EBB7" w14:textId="77777777" w:rsidTr="00BE2A9F">
        <w:trPr>
          <w:cnfStyle w:val="000000010000" w:firstRow="0" w:lastRow="0" w:firstColumn="0" w:lastColumn="0" w:oddVBand="0" w:evenVBand="0" w:oddHBand="0" w:evenHBand="1" w:firstRowFirstColumn="0" w:firstRowLastColumn="0" w:lastRowFirstColumn="0" w:lastRowLastColumn="0"/>
          <w:trHeight w:val="57"/>
        </w:trPr>
        <w:tc>
          <w:tcPr>
            <w:tcW w:w="2258" w:type="pct"/>
            <w:noWrap/>
            <w:vAlign w:val="center"/>
            <w:hideMark/>
          </w:tcPr>
          <w:p w14:paraId="15FAD4CD" w14:textId="77777777" w:rsidR="004F64EF" w:rsidRPr="003003C0" w:rsidRDefault="004F64EF" w:rsidP="00FD6B66">
            <w:pPr>
              <w:jc w:val="left"/>
              <w:rPr>
                <w:rFonts w:cs="Arial"/>
                <w:color w:val="000000"/>
                <w:sz w:val="14"/>
                <w:szCs w:val="14"/>
              </w:rPr>
            </w:pPr>
            <w:r w:rsidRPr="003003C0">
              <w:rPr>
                <w:rFonts w:cs="Arial"/>
                <w:color w:val="000000"/>
                <w:sz w:val="14"/>
                <w:szCs w:val="14"/>
              </w:rPr>
              <w:t>Am</w:t>
            </w:r>
            <w:r>
              <w:rPr>
                <w:rFonts w:cs="Arial"/>
                <w:color w:val="000000"/>
                <w:sz w:val="14"/>
                <w:szCs w:val="14"/>
              </w:rPr>
              <w:t>e</w:t>
            </w:r>
            <w:r w:rsidRPr="003003C0">
              <w:rPr>
                <w:rFonts w:cs="Arial"/>
                <w:color w:val="000000"/>
                <w:sz w:val="14"/>
                <w:szCs w:val="14"/>
              </w:rPr>
              <w:t>rica</w:t>
            </w:r>
          </w:p>
        </w:tc>
        <w:tc>
          <w:tcPr>
            <w:tcW w:w="392" w:type="pct"/>
            <w:noWrap/>
            <w:vAlign w:val="center"/>
            <w:hideMark/>
          </w:tcPr>
          <w:p w14:paraId="52C27531" w14:textId="77777777" w:rsidR="004F64EF" w:rsidRPr="003003C0" w:rsidRDefault="004F64EF" w:rsidP="00FD6B66">
            <w:pPr>
              <w:jc w:val="right"/>
              <w:rPr>
                <w:rFonts w:cs="Arial"/>
                <w:color w:val="000000"/>
                <w:sz w:val="14"/>
                <w:szCs w:val="14"/>
              </w:rPr>
            </w:pPr>
            <w:r w:rsidRPr="003003C0">
              <w:rPr>
                <w:rFonts w:cs="Arial"/>
                <w:color w:val="000000"/>
                <w:sz w:val="14"/>
                <w:szCs w:val="14"/>
              </w:rPr>
              <w:t>79</w:t>
            </w:r>
            <w:r>
              <w:rPr>
                <w:rFonts w:cs="Arial"/>
                <w:color w:val="000000"/>
                <w:sz w:val="14"/>
                <w:szCs w:val="14"/>
              </w:rPr>
              <w:t>.</w:t>
            </w:r>
            <w:r w:rsidRPr="003003C0">
              <w:rPr>
                <w:rFonts w:cs="Arial"/>
                <w:color w:val="000000"/>
                <w:sz w:val="14"/>
                <w:szCs w:val="14"/>
              </w:rPr>
              <w:t>5</w:t>
            </w:r>
          </w:p>
        </w:tc>
        <w:tc>
          <w:tcPr>
            <w:tcW w:w="392" w:type="pct"/>
            <w:noWrap/>
            <w:vAlign w:val="center"/>
            <w:hideMark/>
          </w:tcPr>
          <w:p w14:paraId="0916C5E6" w14:textId="77777777" w:rsidR="004F64EF" w:rsidRPr="003003C0" w:rsidRDefault="004F64EF" w:rsidP="00FD6B66">
            <w:pPr>
              <w:jc w:val="right"/>
              <w:rPr>
                <w:rFonts w:cs="Arial"/>
                <w:color w:val="000000"/>
                <w:sz w:val="14"/>
                <w:szCs w:val="14"/>
              </w:rPr>
            </w:pPr>
            <w:r w:rsidRPr="003003C0">
              <w:rPr>
                <w:rFonts w:cs="Arial"/>
                <w:color w:val="000000"/>
                <w:sz w:val="14"/>
                <w:szCs w:val="14"/>
              </w:rPr>
              <w:t>81</w:t>
            </w:r>
            <w:r>
              <w:rPr>
                <w:rFonts w:cs="Arial"/>
                <w:color w:val="000000"/>
                <w:sz w:val="14"/>
                <w:szCs w:val="14"/>
              </w:rPr>
              <w:t>.</w:t>
            </w:r>
            <w:r w:rsidRPr="003003C0">
              <w:rPr>
                <w:rFonts w:cs="Arial"/>
                <w:color w:val="000000"/>
                <w:sz w:val="14"/>
                <w:szCs w:val="14"/>
              </w:rPr>
              <w:t>9</w:t>
            </w:r>
          </w:p>
        </w:tc>
        <w:tc>
          <w:tcPr>
            <w:tcW w:w="392" w:type="pct"/>
            <w:noWrap/>
            <w:vAlign w:val="center"/>
            <w:hideMark/>
          </w:tcPr>
          <w:p w14:paraId="49B2CE03" w14:textId="77777777" w:rsidR="004F64EF" w:rsidRPr="003003C0" w:rsidRDefault="004F64EF" w:rsidP="00FD6B66">
            <w:pPr>
              <w:jc w:val="right"/>
              <w:rPr>
                <w:rFonts w:cs="Arial"/>
                <w:color w:val="000000"/>
                <w:sz w:val="14"/>
                <w:szCs w:val="14"/>
              </w:rPr>
            </w:pPr>
            <w:r w:rsidRPr="003003C0">
              <w:rPr>
                <w:rFonts w:cs="Arial"/>
                <w:color w:val="000000"/>
                <w:sz w:val="14"/>
                <w:szCs w:val="14"/>
              </w:rPr>
              <w:t>82</w:t>
            </w:r>
            <w:r>
              <w:rPr>
                <w:rFonts w:cs="Arial"/>
                <w:color w:val="000000"/>
                <w:sz w:val="14"/>
                <w:szCs w:val="14"/>
              </w:rPr>
              <w:t>.</w:t>
            </w:r>
            <w:r w:rsidRPr="003003C0">
              <w:rPr>
                <w:rFonts w:cs="Arial"/>
                <w:color w:val="000000"/>
                <w:sz w:val="14"/>
                <w:szCs w:val="14"/>
              </w:rPr>
              <w:t>3</w:t>
            </w:r>
          </w:p>
        </w:tc>
        <w:tc>
          <w:tcPr>
            <w:tcW w:w="392" w:type="pct"/>
            <w:noWrap/>
            <w:vAlign w:val="center"/>
            <w:hideMark/>
          </w:tcPr>
          <w:p w14:paraId="6B96318A" w14:textId="77777777" w:rsidR="004F64EF" w:rsidRPr="003003C0" w:rsidRDefault="004F64EF" w:rsidP="00FD6B66">
            <w:pPr>
              <w:jc w:val="right"/>
              <w:rPr>
                <w:rFonts w:cs="Arial"/>
                <w:color w:val="000000"/>
                <w:sz w:val="14"/>
                <w:szCs w:val="14"/>
              </w:rPr>
            </w:pPr>
            <w:r w:rsidRPr="003003C0">
              <w:rPr>
                <w:rFonts w:cs="Arial"/>
                <w:color w:val="000000"/>
                <w:sz w:val="14"/>
                <w:szCs w:val="14"/>
              </w:rPr>
              <w:t>80</w:t>
            </w:r>
            <w:r>
              <w:rPr>
                <w:rFonts w:cs="Arial"/>
                <w:color w:val="000000"/>
                <w:sz w:val="14"/>
                <w:szCs w:val="14"/>
              </w:rPr>
              <w:t>.</w:t>
            </w:r>
            <w:r w:rsidRPr="003003C0">
              <w:rPr>
                <w:rFonts w:cs="Arial"/>
                <w:color w:val="000000"/>
                <w:sz w:val="14"/>
                <w:szCs w:val="14"/>
              </w:rPr>
              <w:t>0</w:t>
            </w:r>
          </w:p>
        </w:tc>
        <w:tc>
          <w:tcPr>
            <w:tcW w:w="392" w:type="pct"/>
            <w:noWrap/>
            <w:vAlign w:val="center"/>
            <w:hideMark/>
          </w:tcPr>
          <w:p w14:paraId="7BF75CE9" w14:textId="77777777" w:rsidR="004F64EF" w:rsidRPr="003003C0" w:rsidRDefault="004F64EF" w:rsidP="00FD6B66">
            <w:pPr>
              <w:jc w:val="right"/>
              <w:rPr>
                <w:rFonts w:cs="Arial"/>
                <w:color w:val="000000"/>
                <w:sz w:val="14"/>
                <w:szCs w:val="14"/>
              </w:rPr>
            </w:pPr>
            <w:r w:rsidRPr="003003C0">
              <w:rPr>
                <w:rFonts w:cs="Arial"/>
                <w:color w:val="000000"/>
                <w:sz w:val="14"/>
                <w:szCs w:val="14"/>
              </w:rPr>
              <w:t>74</w:t>
            </w:r>
            <w:r>
              <w:rPr>
                <w:rFonts w:cs="Arial"/>
                <w:color w:val="000000"/>
                <w:sz w:val="14"/>
                <w:szCs w:val="14"/>
              </w:rPr>
              <w:t>.</w:t>
            </w:r>
            <w:r w:rsidRPr="003003C0">
              <w:rPr>
                <w:rFonts w:cs="Arial"/>
                <w:color w:val="000000"/>
                <w:sz w:val="14"/>
                <w:szCs w:val="14"/>
              </w:rPr>
              <w:t>8</w:t>
            </w:r>
          </w:p>
        </w:tc>
        <w:tc>
          <w:tcPr>
            <w:tcW w:w="392" w:type="pct"/>
            <w:noWrap/>
            <w:vAlign w:val="center"/>
            <w:hideMark/>
          </w:tcPr>
          <w:p w14:paraId="5BB4587E" w14:textId="77777777" w:rsidR="004F64EF" w:rsidRPr="003003C0" w:rsidRDefault="004F64EF" w:rsidP="00FD6B66">
            <w:pPr>
              <w:jc w:val="right"/>
              <w:rPr>
                <w:rFonts w:cs="Arial"/>
                <w:color w:val="000000"/>
                <w:sz w:val="14"/>
                <w:szCs w:val="14"/>
              </w:rPr>
            </w:pPr>
            <w:r w:rsidRPr="003003C0">
              <w:rPr>
                <w:rFonts w:cs="Arial"/>
                <w:color w:val="000000"/>
                <w:sz w:val="14"/>
                <w:szCs w:val="14"/>
              </w:rPr>
              <w:t>70</w:t>
            </w:r>
            <w:r>
              <w:rPr>
                <w:rFonts w:cs="Arial"/>
                <w:color w:val="000000"/>
                <w:sz w:val="14"/>
                <w:szCs w:val="14"/>
              </w:rPr>
              <w:t>.</w:t>
            </w:r>
            <w:r w:rsidRPr="003003C0">
              <w:rPr>
                <w:rFonts w:cs="Arial"/>
                <w:color w:val="000000"/>
                <w:sz w:val="14"/>
                <w:szCs w:val="14"/>
              </w:rPr>
              <w:t>9</w:t>
            </w:r>
          </w:p>
        </w:tc>
        <w:tc>
          <w:tcPr>
            <w:tcW w:w="392" w:type="pct"/>
            <w:noWrap/>
            <w:vAlign w:val="center"/>
            <w:hideMark/>
          </w:tcPr>
          <w:p w14:paraId="30B3D1BC" w14:textId="77777777" w:rsidR="004F64EF" w:rsidRPr="003003C0" w:rsidRDefault="004F64EF" w:rsidP="00FD6B66">
            <w:pPr>
              <w:jc w:val="right"/>
              <w:rPr>
                <w:rFonts w:cs="Arial"/>
                <w:color w:val="000000"/>
                <w:sz w:val="14"/>
                <w:szCs w:val="14"/>
              </w:rPr>
            </w:pPr>
            <w:r w:rsidRPr="003003C0">
              <w:rPr>
                <w:rFonts w:cs="Arial"/>
                <w:color w:val="000000"/>
                <w:sz w:val="14"/>
                <w:szCs w:val="14"/>
              </w:rPr>
              <w:t>71</w:t>
            </w:r>
            <w:r>
              <w:rPr>
                <w:rFonts w:cs="Arial"/>
                <w:color w:val="000000"/>
                <w:sz w:val="14"/>
                <w:szCs w:val="14"/>
              </w:rPr>
              <w:t>.</w:t>
            </w:r>
            <w:r w:rsidRPr="003003C0">
              <w:rPr>
                <w:rFonts w:cs="Arial"/>
                <w:color w:val="000000"/>
                <w:sz w:val="14"/>
                <w:szCs w:val="14"/>
              </w:rPr>
              <w:t>0</w:t>
            </w:r>
          </w:p>
        </w:tc>
      </w:tr>
      <w:tr w:rsidR="004F64EF" w:rsidRPr="003003C0" w14:paraId="22207EFC" w14:textId="77777777" w:rsidTr="00BE2A9F">
        <w:trPr>
          <w:trHeight w:val="57"/>
        </w:trPr>
        <w:tc>
          <w:tcPr>
            <w:tcW w:w="2258" w:type="pct"/>
            <w:noWrap/>
            <w:vAlign w:val="center"/>
            <w:hideMark/>
          </w:tcPr>
          <w:p w14:paraId="7C3CC430" w14:textId="77777777" w:rsidR="004F64EF" w:rsidRPr="003003C0" w:rsidRDefault="004F64EF" w:rsidP="00FD6B66">
            <w:pPr>
              <w:tabs>
                <w:tab w:val="left" w:pos="113"/>
              </w:tabs>
              <w:jc w:val="left"/>
              <w:rPr>
                <w:rFonts w:cs="Arial"/>
                <w:color w:val="000000"/>
                <w:sz w:val="14"/>
                <w:szCs w:val="14"/>
              </w:rPr>
            </w:pPr>
            <w:r w:rsidRPr="003003C0">
              <w:rPr>
                <w:rFonts w:cs="Arial"/>
                <w:color w:val="000000"/>
                <w:sz w:val="14"/>
                <w:szCs w:val="14"/>
              </w:rPr>
              <w:tab/>
            </w:r>
            <w:r>
              <w:rPr>
                <w:rFonts w:cs="Arial"/>
                <w:color w:val="000000"/>
                <w:sz w:val="14"/>
                <w:szCs w:val="14"/>
              </w:rPr>
              <w:t>United States</w:t>
            </w:r>
          </w:p>
        </w:tc>
        <w:tc>
          <w:tcPr>
            <w:tcW w:w="392" w:type="pct"/>
            <w:noWrap/>
            <w:vAlign w:val="center"/>
            <w:hideMark/>
          </w:tcPr>
          <w:p w14:paraId="423F5741" w14:textId="77777777" w:rsidR="004F64EF" w:rsidRPr="003003C0" w:rsidRDefault="004F64EF" w:rsidP="00FD6B66">
            <w:pPr>
              <w:jc w:val="right"/>
              <w:rPr>
                <w:rFonts w:cs="Arial"/>
                <w:color w:val="000000"/>
                <w:sz w:val="14"/>
                <w:szCs w:val="14"/>
              </w:rPr>
            </w:pPr>
            <w:r w:rsidRPr="003003C0">
              <w:rPr>
                <w:rFonts w:cs="Arial"/>
                <w:color w:val="000000"/>
                <w:sz w:val="14"/>
                <w:szCs w:val="14"/>
              </w:rPr>
              <w:t>66</w:t>
            </w:r>
            <w:r>
              <w:rPr>
                <w:rFonts w:cs="Arial"/>
                <w:color w:val="000000"/>
                <w:sz w:val="14"/>
                <w:szCs w:val="14"/>
              </w:rPr>
              <w:t>.</w:t>
            </w:r>
            <w:r w:rsidRPr="003003C0">
              <w:rPr>
                <w:rFonts w:cs="Arial"/>
                <w:color w:val="000000"/>
                <w:sz w:val="14"/>
                <w:szCs w:val="14"/>
              </w:rPr>
              <w:t>8</w:t>
            </w:r>
          </w:p>
        </w:tc>
        <w:tc>
          <w:tcPr>
            <w:tcW w:w="392" w:type="pct"/>
            <w:noWrap/>
            <w:vAlign w:val="center"/>
            <w:hideMark/>
          </w:tcPr>
          <w:p w14:paraId="13032F29" w14:textId="77777777" w:rsidR="004F64EF" w:rsidRPr="003003C0" w:rsidRDefault="004F64EF" w:rsidP="00FD6B66">
            <w:pPr>
              <w:jc w:val="right"/>
              <w:rPr>
                <w:rFonts w:cs="Arial"/>
                <w:color w:val="000000"/>
                <w:sz w:val="14"/>
                <w:szCs w:val="14"/>
              </w:rPr>
            </w:pPr>
            <w:r w:rsidRPr="003003C0">
              <w:rPr>
                <w:rFonts w:cs="Arial"/>
                <w:color w:val="000000"/>
                <w:sz w:val="14"/>
                <w:szCs w:val="14"/>
              </w:rPr>
              <w:t>71</w:t>
            </w:r>
            <w:r>
              <w:rPr>
                <w:rFonts w:cs="Arial"/>
                <w:color w:val="000000"/>
                <w:sz w:val="14"/>
                <w:szCs w:val="14"/>
              </w:rPr>
              <w:t>.</w:t>
            </w:r>
            <w:r w:rsidRPr="003003C0">
              <w:rPr>
                <w:rFonts w:cs="Arial"/>
                <w:color w:val="000000"/>
                <w:sz w:val="14"/>
                <w:szCs w:val="14"/>
              </w:rPr>
              <w:t>2</w:t>
            </w:r>
          </w:p>
        </w:tc>
        <w:tc>
          <w:tcPr>
            <w:tcW w:w="392" w:type="pct"/>
            <w:noWrap/>
            <w:vAlign w:val="center"/>
            <w:hideMark/>
          </w:tcPr>
          <w:p w14:paraId="7C34E380" w14:textId="77777777" w:rsidR="004F64EF" w:rsidRPr="003003C0" w:rsidRDefault="004F64EF" w:rsidP="00FD6B66">
            <w:pPr>
              <w:jc w:val="right"/>
              <w:rPr>
                <w:rFonts w:cs="Arial"/>
                <w:color w:val="000000"/>
                <w:sz w:val="14"/>
                <w:szCs w:val="14"/>
              </w:rPr>
            </w:pPr>
            <w:r w:rsidRPr="003003C0">
              <w:rPr>
                <w:rFonts w:cs="Arial"/>
                <w:color w:val="000000"/>
                <w:sz w:val="14"/>
                <w:szCs w:val="14"/>
              </w:rPr>
              <w:t>73</w:t>
            </w:r>
            <w:r>
              <w:rPr>
                <w:rFonts w:cs="Arial"/>
                <w:color w:val="000000"/>
                <w:sz w:val="14"/>
                <w:szCs w:val="14"/>
              </w:rPr>
              <w:t>.</w:t>
            </w:r>
            <w:r w:rsidRPr="003003C0">
              <w:rPr>
                <w:rFonts w:cs="Arial"/>
                <w:color w:val="000000"/>
                <w:sz w:val="14"/>
                <w:szCs w:val="14"/>
              </w:rPr>
              <w:t>8</w:t>
            </w:r>
          </w:p>
        </w:tc>
        <w:tc>
          <w:tcPr>
            <w:tcW w:w="392" w:type="pct"/>
            <w:noWrap/>
            <w:vAlign w:val="center"/>
            <w:hideMark/>
          </w:tcPr>
          <w:p w14:paraId="14089AC4" w14:textId="77777777" w:rsidR="004F64EF" w:rsidRPr="003003C0" w:rsidRDefault="004F64EF" w:rsidP="00FD6B66">
            <w:pPr>
              <w:jc w:val="right"/>
              <w:rPr>
                <w:rFonts w:cs="Arial"/>
                <w:color w:val="000000"/>
                <w:sz w:val="14"/>
                <w:szCs w:val="14"/>
              </w:rPr>
            </w:pPr>
            <w:r w:rsidRPr="003003C0">
              <w:rPr>
                <w:rFonts w:cs="Arial"/>
                <w:color w:val="000000"/>
                <w:sz w:val="14"/>
                <w:szCs w:val="14"/>
              </w:rPr>
              <w:t>72</w:t>
            </w:r>
            <w:r>
              <w:rPr>
                <w:rFonts w:cs="Arial"/>
                <w:color w:val="000000"/>
                <w:sz w:val="14"/>
                <w:szCs w:val="14"/>
              </w:rPr>
              <w:t>.</w:t>
            </w:r>
            <w:r w:rsidRPr="003003C0">
              <w:rPr>
                <w:rFonts w:cs="Arial"/>
                <w:color w:val="000000"/>
                <w:sz w:val="14"/>
                <w:szCs w:val="14"/>
              </w:rPr>
              <w:t>6</w:t>
            </w:r>
          </w:p>
        </w:tc>
        <w:tc>
          <w:tcPr>
            <w:tcW w:w="392" w:type="pct"/>
            <w:noWrap/>
            <w:vAlign w:val="center"/>
            <w:hideMark/>
          </w:tcPr>
          <w:p w14:paraId="29260F05" w14:textId="77777777" w:rsidR="004F64EF" w:rsidRPr="003003C0" w:rsidRDefault="004F64EF" w:rsidP="00FD6B66">
            <w:pPr>
              <w:jc w:val="right"/>
              <w:rPr>
                <w:rFonts w:cs="Arial"/>
                <w:color w:val="000000"/>
                <w:sz w:val="14"/>
                <w:szCs w:val="14"/>
              </w:rPr>
            </w:pPr>
            <w:r w:rsidRPr="003003C0">
              <w:rPr>
                <w:rFonts w:cs="Arial"/>
                <w:color w:val="000000"/>
                <w:sz w:val="14"/>
                <w:szCs w:val="14"/>
              </w:rPr>
              <w:t>67</w:t>
            </w:r>
            <w:r>
              <w:rPr>
                <w:rFonts w:cs="Arial"/>
                <w:color w:val="000000"/>
                <w:sz w:val="14"/>
                <w:szCs w:val="14"/>
              </w:rPr>
              <w:t>.</w:t>
            </w:r>
            <w:r w:rsidRPr="003003C0">
              <w:rPr>
                <w:rFonts w:cs="Arial"/>
                <w:color w:val="000000"/>
                <w:sz w:val="14"/>
                <w:szCs w:val="14"/>
              </w:rPr>
              <w:t>6</w:t>
            </w:r>
          </w:p>
        </w:tc>
        <w:tc>
          <w:tcPr>
            <w:tcW w:w="392" w:type="pct"/>
            <w:noWrap/>
            <w:vAlign w:val="center"/>
            <w:hideMark/>
          </w:tcPr>
          <w:p w14:paraId="341B0709" w14:textId="77777777" w:rsidR="004F64EF" w:rsidRPr="003003C0" w:rsidRDefault="004F64EF" w:rsidP="00FD6B66">
            <w:pPr>
              <w:jc w:val="right"/>
              <w:rPr>
                <w:rFonts w:cs="Arial"/>
                <w:color w:val="000000"/>
                <w:sz w:val="14"/>
                <w:szCs w:val="14"/>
              </w:rPr>
            </w:pPr>
            <w:r w:rsidRPr="003003C0">
              <w:rPr>
                <w:rFonts w:cs="Arial"/>
                <w:color w:val="000000"/>
                <w:sz w:val="14"/>
                <w:szCs w:val="14"/>
              </w:rPr>
              <w:t>64</w:t>
            </w:r>
            <w:r>
              <w:rPr>
                <w:rFonts w:cs="Arial"/>
                <w:color w:val="000000"/>
                <w:sz w:val="14"/>
                <w:szCs w:val="14"/>
              </w:rPr>
              <w:t>.</w:t>
            </w:r>
            <w:r w:rsidRPr="003003C0">
              <w:rPr>
                <w:rFonts w:cs="Arial"/>
                <w:color w:val="000000"/>
                <w:sz w:val="14"/>
                <w:szCs w:val="14"/>
              </w:rPr>
              <w:t>2</w:t>
            </w:r>
          </w:p>
        </w:tc>
        <w:tc>
          <w:tcPr>
            <w:tcW w:w="392" w:type="pct"/>
            <w:noWrap/>
            <w:vAlign w:val="center"/>
            <w:hideMark/>
          </w:tcPr>
          <w:p w14:paraId="0BE9C468" w14:textId="77777777" w:rsidR="004F64EF" w:rsidRPr="003003C0" w:rsidRDefault="004F64EF" w:rsidP="00FD6B66">
            <w:pPr>
              <w:jc w:val="right"/>
              <w:rPr>
                <w:rFonts w:cs="Arial"/>
                <w:color w:val="000000"/>
                <w:sz w:val="14"/>
                <w:szCs w:val="14"/>
              </w:rPr>
            </w:pPr>
            <w:r w:rsidRPr="003003C0">
              <w:rPr>
                <w:rFonts w:cs="Arial"/>
                <w:color w:val="000000"/>
                <w:sz w:val="14"/>
                <w:szCs w:val="14"/>
              </w:rPr>
              <w:t>63</w:t>
            </w:r>
            <w:r>
              <w:rPr>
                <w:rFonts w:cs="Arial"/>
                <w:color w:val="000000"/>
                <w:sz w:val="14"/>
                <w:szCs w:val="14"/>
              </w:rPr>
              <w:t>.</w:t>
            </w:r>
            <w:r w:rsidRPr="003003C0">
              <w:rPr>
                <w:rFonts w:cs="Arial"/>
                <w:color w:val="000000"/>
                <w:sz w:val="14"/>
                <w:szCs w:val="14"/>
              </w:rPr>
              <w:t>8</w:t>
            </w:r>
          </w:p>
        </w:tc>
      </w:tr>
      <w:tr w:rsidR="004F64EF" w:rsidRPr="003003C0" w14:paraId="60700CD6" w14:textId="77777777" w:rsidTr="00BE2A9F">
        <w:trPr>
          <w:cnfStyle w:val="000000010000" w:firstRow="0" w:lastRow="0" w:firstColumn="0" w:lastColumn="0" w:oddVBand="0" w:evenVBand="0" w:oddHBand="0" w:evenHBand="1" w:firstRowFirstColumn="0" w:firstRowLastColumn="0" w:lastRowFirstColumn="0" w:lastRowLastColumn="0"/>
          <w:trHeight w:val="57"/>
        </w:trPr>
        <w:tc>
          <w:tcPr>
            <w:tcW w:w="2258" w:type="pct"/>
            <w:noWrap/>
            <w:vAlign w:val="center"/>
            <w:hideMark/>
          </w:tcPr>
          <w:p w14:paraId="53B43BAC" w14:textId="77777777" w:rsidR="004F64EF" w:rsidRPr="003003C0" w:rsidRDefault="004F64EF" w:rsidP="00FD6B66">
            <w:pPr>
              <w:tabs>
                <w:tab w:val="left" w:pos="113"/>
              </w:tabs>
              <w:jc w:val="left"/>
              <w:rPr>
                <w:rFonts w:cs="Arial"/>
                <w:color w:val="000000"/>
                <w:sz w:val="14"/>
                <w:szCs w:val="14"/>
              </w:rPr>
            </w:pPr>
            <w:r w:rsidRPr="003003C0">
              <w:rPr>
                <w:rFonts w:cs="Arial"/>
                <w:color w:val="000000"/>
                <w:sz w:val="14"/>
                <w:szCs w:val="14"/>
              </w:rPr>
              <w:tab/>
            </w:r>
            <w:r>
              <w:rPr>
                <w:rFonts w:cs="Arial"/>
                <w:color w:val="000000"/>
                <w:sz w:val="14"/>
                <w:szCs w:val="14"/>
              </w:rPr>
              <w:t>Other</w:t>
            </w:r>
            <w:r w:rsidRPr="003003C0">
              <w:rPr>
                <w:rFonts w:cs="Arial"/>
                <w:color w:val="000000"/>
                <w:sz w:val="14"/>
                <w:szCs w:val="14"/>
              </w:rPr>
              <w:t xml:space="preserve"> Am</w:t>
            </w:r>
            <w:r>
              <w:rPr>
                <w:rFonts w:cs="Arial"/>
                <w:color w:val="000000"/>
                <w:sz w:val="14"/>
                <w:szCs w:val="14"/>
              </w:rPr>
              <w:t>e</w:t>
            </w:r>
            <w:r w:rsidRPr="003003C0">
              <w:rPr>
                <w:rFonts w:cs="Arial"/>
                <w:color w:val="000000"/>
                <w:sz w:val="14"/>
                <w:szCs w:val="14"/>
              </w:rPr>
              <w:t>rica</w:t>
            </w:r>
          </w:p>
        </w:tc>
        <w:tc>
          <w:tcPr>
            <w:tcW w:w="392" w:type="pct"/>
            <w:noWrap/>
            <w:vAlign w:val="center"/>
            <w:hideMark/>
          </w:tcPr>
          <w:p w14:paraId="4462232E" w14:textId="77777777" w:rsidR="004F64EF" w:rsidRPr="003003C0" w:rsidRDefault="004F64EF" w:rsidP="00FD6B66">
            <w:pPr>
              <w:jc w:val="right"/>
              <w:rPr>
                <w:rFonts w:cs="Arial"/>
                <w:color w:val="000000"/>
                <w:sz w:val="14"/>
                <w:szCs w:val="14"/>
              </w:rPr>
            </w:pPr>
            <w:r w:rsidRPr="003003C0">
              <w:rPr>
                <w:rFonts w:cs="Arial"/>
                <w:color w:val="000000"/>
                <w:sz w:val="14"/>
                <w:szCs w:val="14"/>
              </w:rPr>
              <w:t>12</w:t>
            </w:r>
            <w:r>
              <w:rPr>
                <w:rFonts w:cs="Arial"/>
                <w:color w:val="000000"/>
                <w:sz w:val="14"/>
                <w:szCs w:val="14"/>
              </w:rPr>
              <w:t>.</w:t>
            </w:r>
            <w:r w:rsidRPr="003003C0">
              <w:rPr>
                <w:rFonts w:cs="Arial"/>
                <w:color w:val="000000"/>
                <w:sz w:val="14"/>
                <w:szCs w:val="14"/>
              </w:rPr>
              <w:t>7</w:t>
            </w:r>
          </w:p>
        </w:tc>
        <w:tc>
          <w:tcPr>
            <w:tcW w:w="392" w:type="pct"/>
            <w:noWrap/>
            <w:vAlign w:val="center"/>
            <w:hideMark/>
          </w:tcPr>
          <w:p w14:paraId="03EC728F" w14:textId="77777777" w:rsidR="004F64EF" w:rsidRPr="003003C0" w:rsidRDefault="004F64EF" w:rsidP="00FD6B66">
            <w:pPr>
              <w:jc w:val="right"/>
              <w:rPr>
                <w:rFonts w:cs="Arial"/>
                <w:color w:val="000000"/>
                <w:sz w:val="14"/>
                <w:szCs w:val="14"/>
              </w:rPr>
            </w:pPr>
            <w:r w:rsidRPr="003003C0">
              <w:rPr>
                <w:rFonts w:cs="Arial"/>
                <w:color w:val="000000"/>
                <w:sz w:val="14"/>
                <w:szCs w:val="14"/>
              </w:rPr>
              <w:t>10</w:t>
            </w:r>
            <w:r>
              <w:rPr>
                <w:rFonts w:cs="Arial"/>
                <w:color w:val="000000"/>
                <w:sz w:val="14"/>
                <w:szCs w:val="14"/>
              </w:rPr>
              <w:t>.</w:t>
            </w:r>
            <w:r w:rsidRPr="003003C0">
              <w:rPr>
                <w:rFonts w:cs="Arial"/>
                <w:color w:val="000000"/>
                <w:sz w:val="14"/>
                <w:szCs w:val="14"/>
              </w:rPr>
              <w:t>7</w:t>
            </w:r>
          </w:p>
        </w:tc>
        <w:tc>
          <w:tcPr>
            <w:tcW w:w="392" w:type="pct"/>
            <w:noWrap/>
            <w:vAlign w:val="center"/>
            <w:hideMark/>
          </w:tcPr>
          <w:p w14:paraId="20F37912" w14:textId="77777777" w:rsidR="004F64EF" w:rsidRPr="003003C0" w:rsidRDefault="004F64EF" w:rsidP="00FD6B66">
            <w:pPr>
              <w:jc w:val="right"/>
              <w:rPr>
                <w:rFonts w:cs="Arial"/>
                <w:color w:val="000000"/>
                <w:sz w:val="14"/>
                <w:szCs w:val="14"/>
              </w:rPr>
            </w:pPr>
            <w:r w:rsidRPr="003003C0">
              <w:rPr>
                <w:rFonts w:cs="Arial"/>
                <w:color w:val="000000"/>
                <w:sz w:val="14"/>
                <w:szCs w:val="14"/>
              </w:rPr>
              <w:t>8</w:t>
            </w:r>
            <w:r>
              <w:rPr>
                <w:rFonts w:cs="Arial"/>
                <w:color w:val="000000"/>
                <w:sz w:val="14"/>
                <w:szCs w:val="14"/>
              </w:rPr>
              <w:t>.</w:t>
            </w:r>
            <w:r w:rsidRPr="003003C0">
              <w:rPr>
                <w:rFonts w:cs="Arial"/>
                <w:color w:val="000000"/>
                <w:sz w:val="14"/>
                <w:szCs w:val="14"/>
              </w:rPr>
              <w:t>5</w:t>
            </w:r>
          </w:p>
        </w:tc>
        <w:tc>
          <w:tcPr>
            <w:tcW w:w="392" w:type="pct"/>
            <w:noWrap/>
            <w:vAlign w:val="center"/>
            <w:hideMark/>
          </w:tcPr>
          <w:p w14:paraId="377865F5" w14:textId="77777777" w:rsidR="004F64EF" w:rsidRPr="003003C0" w:rsidRDefault="004F64EF" w:rsidP="00FD6B66">
            <w:pPr>
              <w:jc w:val="right"/>
              <w:rPr>
                <w:rFonts w:cs="Arial"/>
                <w:color w:val="000000"/>
                <w:sz w:val="14"/>
                <w:szCs w:val="14"/>
              </w:rPr>
            </w:pPr>
            <w:r w:rsidRPr="003003C0">
              <w:rPr>
                <w:rFonts w:cs="Arial"/>
                <w:color w:val="000000"/>
                <w:sz w:val="14"/>
                <w:szCs w:val="14"/>
              </w:rPr>
              <w:t>7</w:t>
            </w:r>
            <w:r>
              <w:rPr>
                <w:rFonts w:cs="Arial"/>
                <w:color w:val="000000"/>
                <w:sz w:val="14"/>
                <w:szCs w:val="14"/>
              </w:rPr>
              <w:t>.</w:t>
            </w:r>
            <w:r w:rsidRPr="003003C0">
              <w:rPr>
                <w:rFonts w:cs="Arial"/>
                <w:color w:val="000000"/>
                <w:sz w:val="14"/>
                <w:szCs w:val="14"/>
              </w:rPr>
              <w:t>4</w:t>
            </w:r>
          </w:p>
        </w:tc>
        <w:tc>
          <w:tcPr>
            <w:tcW w:w="392" w:type="pct"/>
            <w:noWrap/>
            <w:vAlign w:val="center"/>
            <w:hideMark/>
          </w:tcPr>
          <w:p w14:paraId="20EC273F" w14:textId="77777777" w:rsidR="004F64EF" w:rsidRPr="003003C0" w:rsidRDefault="004F64EF" w:rsidP="00FD6B66">
            <w:pPr>
              <w:jc w:val="right"/>
              <w:rPr>
                <w:rFonts w:cs="Arial"/>
                <w:color w:val="000000"/>
                <w:sz w:val="14"/>
                <w:szCs w:val="14"/>
              </w:rPr>
            </w:pPr>
            <w:r w:rsidRPr="003003C0">
              <w:rPr>
                <w:rFonts w:cs="Arial"/>
                <w:color w:val="000000"/>
                <w:sz w:val="14"/>
                <w:szCs w:val="14"/>
              </w:rPr>
              <w:t>7</w:t>
            </w:r>
            <w:r>
              <w:rPr>
                <w:rFonts w:cs="Arial"/>
                <w:color w:val="000000"/>
                <w:sz w:val="14"/>
                <w:szCs w:val="14"/>
              </w:rPr>
              <w:t>.</w:t>
            </w:r>
            <w:r w:rsidRPr="003003C0">
              <w:rPr>
                <w:rFonts w:cs="Arial"/>
                <w:color w:val="000000"/>
                <w:sz w:val="14"/>
                <w:szCs w:val="14"/>
              </w:rPr>
              <w:t>2</w:t>
            </w:r>
          </w:p>
        </w:tc>
        <w:tc>
          <w:tcPr>
            <w:tcW w:w="392" w:type="pct"/>
            <w:noWrap/>
            <w:vAlign w:val="center"/>
            <w:hideMark/>
          </w:tcPr>
          <w:p w14:paraId="1EAA5B0E" w14:textId="77777777" w:rsidR="004F64EF" w:rsidRPr="003003C0" w:rsidRDefault="004F64EF" w:rsidP="00FD6B66">
            <w:pPr>
              <w:jc w:val="right"/>
              <w:rPr>
                <w:rFonts w:cs="Arial"/>
                <w:color w:val="000000"/>
                <w:sz w:val="14"/>
                <w:szCs w:val="14"/>
              </w:rPr>
            </w:pPr>
            <w:r w:rsidRPr="003003C0">
              <w:rPr>
                <w:rFonts w:cs="Arial"/>
                <w:color w:val="000000"/>
                <w:sz w:val="14"/>
                <w:szCs w:val="14"/>
              </w:rPr>
              <w:t>6</w:t>
            </w:r>
            <w:r>
              <w:rPr>
                <w:rFonts w:cs="Arial"/>
                <w:color w:val="000000"/>
                <w:sz w:val="14"/>
                <w:szCs w:val="14"/>
              </w:rPr>
              <w:t>.</w:t>
            </w:r>
            <w:r w:rsidRPr="003003C0">
              <w:rPr>
                <w:rFonts w:cs="Arial"/>
                <w:color w:val="000000"/>
                <w:sz w:val="14"/>
                <w:szCs w:val="14"/>
              </w:rPr>
              <w:t>7</w:t>
            </w:r>
          </w:p>
        </w:tc>
        <w:tc>
          <w:tcPr>
            <w:tcW w:w="392" w:type="pct"/>
            <w:noWrap/>
            <w:vAlign w:val="center"/>
            <w:hideMark/>
          </w:tcPr>
          <w:p w14:paraId="0873E049" w14:textId="77777777" w:rsidR="004F64EF" w:rsidRPr="003003C0" w:rsidRDefault="004F64EF" w:rsidP="00FD6B66">
            <w:pPr>
              <w:jc w:val="right"/>
              <w:rPr>
                <w:rFonts w:cs="Arial"/>
                <w:color w:val="000000"/>
                <w:sz w:val="14"/>
                <w:szCs w:val="14"/>
              </w:rPr>
            </w:pPr>
            <w:r w:rsidRPr="003003C0">
              <w:rPr>
                <w:rFonts w:cs="Arial"/>
                <w:color w:val="000000"/>
                <w:sz w:val="14"/>
                <w:szCs w:val="14"/>
              </w:rPr>
              <w:t>7</w:t>
            </w:r>
            <w:r>
              <w:rPr>
                <w:rFonts w:cs="Arial"/>
                <w:color w:val="000000"/>
                <w:sz w:val="14"/>
                <w:szCs w:val="14"/>
              </w:rPr>
              <w:t>.</w:t>
            </w:r>
            <w:r w:rsidRPr="003003C0">
              <w:rPr>
                <w:rFonts w:cs="Arial"/>
                <w:color w:val="000000"/>
                <w:sz w:val="14"/>
                <w:szCs w:val="14"/>
              </w:rPr>
              <w:t>2</w:t>
            </w:r>
          </w:p>
        </w:tc>
      </w:tr>
      <w:tr w:rsidR="004F64EF" w:rsidRPr="003003C0" w14:paraId="4755C7A8" w14:textId="77777777" w:rsidTr="00BE2A9F">
        <w:trPr>
          <w:trHeight w:val="57"/>
        </w:trPr>
        <w:tc>
          <w:tcPr>
            <w:tcW w:w="2258" w:type="pct"/>
            <w:noWrap/>
            <w:vAlign w:val="center"/>
            <w:hideMark/>
          </w:tcPr>
          <w:p w14:paraId="45A9500C" w14:textId="77777777" w:rsidR="004F64EF" w:rsidRPr="003003C0" w:rsidRDefault="004F64EF" w:rsidP="00FD6B66">
            <w:pPr>
              <w:tabs>
                <w:tab w:val="left" w:pos="510"/>
              </w:tabs>
              <w:jc w:val="left"/>
              <w:rPr>
                <w:rFonts w:cs="Arial"/>
                <w:color w:val="000000"/>
                <w:sz w:val="14"/>
                <w:szCs w:val="14"/>
              </w:rPr>
            </w:pPr>
            <w:r w:rsidRPr="003003C0">
              <w:rPr>
                <w:rFonts w:cs="Arial"/>
                <w:color w:val="000000"/>
                <w:sz w:val="14"/>
                <w:szCs w:val="14"/>
              </w:rPr>
              <w:tab/>
              <w:t>M</w:t>
            </w:r>
            <w:r>
              <w:rPr>
                <w:rFonts w:cs="Arial"/>
                <w:color w:val="000000"/>
                <w:sz w:val="14"/>
                <w:szCs w:val="14"/>
              </w:rPr>
              <w:t>e</w:t>
            </w:r>
            <w:r w:rsidRPr="003003C0">
              <w:rPr>
                <w:rFonts w:cs="Arial"/>
                <w:color w:val="000000"/>
                <w:sz w:val="14"/>
                <w:szCs w:val="14"/>
              </w:rPr>
              <w:t>xico</w:t>
            </w:r>
          </w:p>
        </w:tc>
        <w:tc>
          <w:tcPr>
            <w:tcW w:w="392" w:type="pct"/>
            <w:noWrap/>
            <w:vAlign w:val="center"/>
            <w:hideMark/>
          </w:tcPr>
          <w:p w14:paraId="0B70C231" w14:textId="77777777" w:rsidR="004F64EF" w:rsidRPr="003003C0" w:rsidRDefault="004F64EF" w:rsidP="00FD6B66">
            <w:pPr>
              <w:jc w:val="right"/>
              <w:rPr>
                <w:rFonts w:cs="Arial"/>
                <w:color w:val="000000"/>
                <w:sz w:val="14"/>
                <w:szCs w:val="14"/>
              </w:rPr>
            </w:pPr>
            <w:r w:rsidRPr="003003C0">
              <w:rPr>
                <w:rFonts w:cs="Arial"/>
                <w:color w:val="000000"/>
                <w:sz w:val="14"/>
                <w:szCs w:val="14"/>
              </w:rPr>
              <w:t>2</w:t>
            </w:r>
            <w:r>
              <w:rPr>
                <w:rFonts w:cs="Arial"/>
                <w:color w:val="000000"/>
                <w:sz w:val="14"/>
                <w:szCs w:val="14"/>
              </w:rPr>
              <w:t>.</w:t>
            </w:r>
            <w:r w:rsidRPr="003003C0">
              <w:rPr>
                <w:rFonts w:cs="Arial"/>
                <w:color w:val="000000"/>
                <w:sz w:val="14"/>
                <w:szCs w:val="14"/>
              </w:rPr>
              <w:t>3</w:t>
            </w:r>
          </w:p>
        </w:tc>
        <w:tc>
          <w:tcPr>
            <w:tcW w:w="392" w:type="pct"/>
            <w:noWrap/>
            <w:vAlign w:val="center"/>
            <w:hideMark/>
          </w:tcPr>
          <w:p w14:paraId="7FD67F81" w14:textId="77777777" w:rsidR="004F64EF" w:rsidRPr="003003C0" w:rsidRDefault="004F64EF" w:rsidP="00FD6B66">
            <w:pPr>
              <w:jc w:val="right"/>
              <w:rPr>
                <w:rFonts w:cs="Arial"/>
                <w:color w:val="000000"/>
                <w:sz w:val="14"/>
                <w:szCs w:val="14"/>
              </w:rPr>
            </w:pPr>
            <w:r w:rsidRPr="003003C0">
              <w:rPr>
                <w:rFonts w:cs="Arial"/>
                <w:color w:val="000000"/>
                <w:sz w:val="14"/>
                <w:szCs w:val="14"/>
              </w:rPr>
              <w:t>1</w:t>
            </w:r>
            <w:r>
              <w:rPr>
                <w:rFonts w:cs="Arial"/>
                <w:color w:val="000000"/>
                <w:sz w:val="14"/>
                <w:szCs w:val="14"/>
              </w:rPr>
              <w:t>.</w:t>
            </w:r>
            <w:r w:rsidRPr="003003C0">
              <w:rPr>
                <w:rFonts w:cs="Arial"/>
                <w:color w:val="000000"/>
                <w:sz w:val="14"/>
                <w:szCs w:val="14"/>
              </w:rPr>
              <w:t>8</w:t>
            </w:r>
          </w:p>
        </w:tc>
        <w:tc>
          <w:tcPr>
            <w:tcW w:w="392" w:type="pct"/>
            <w:noWrap/>
            <w:vAlign w:val="center"/>
            <w:hideMark/>
          </w:tcPr>
          <w:p w14:paraId="62E6706C" w14:textId="77777777" w:rsidR="004F64EF" w:rsidRPr="003003C0" w:rsidRDefault="004F64EF" w:rsidP="00FD6B66">
            <w:pPr>
              <w:jc w:val="right"/>
              <w:rPr>
                <w:rFonts w:cs="Arial"/>
                <w:color w:val="000000"/>
                <w:sz w:val="14"/>
                <w:szCs w:val="14"/>
              </w:rPr>
            </w:pPr>
            <w:r w:rsidRPr="003003C0">
              <w:rPr>
                <w:rFonts w:cs="Arial"/>
                <w:color w:val="000000"/>
                <w:sz w:val="14"/>
                <w:szCs w:val="14"/>
              </w:rPr>
              <w:t>1</w:t>
            </w:r>
            <w:r>
              <w:rPr>
                <w:rFonts w:cs="Arial"/>
                <w:color w:val="000000"/>
                <w:sz w:val="14"/>
                <w:szCs w:val="14"/>
              </w:rPr>
              <w:t>.</w:t>
            </w:r>
            <w:r w:rsidRPr="003003C0">
              <w:rPr>
                <w:rFonts w:cs="Arial"/>
                <w:color w:val="000000"/>
                <w:sz w:val="14"/>
                <w:szCs w:val="14"/>
              </w:rPr>
              <w:t>9</w:t>
            </w:r>
          </w:p>
        </w:tc>
        <w:tc>
          <w:tcPr>
            <w:tcW w:w="392" w:type="pct"/>
            <w:noWrap/>
            <w:vAlign w:val="center"/>
            <w:hideMark/>
          </w:tcPr>
          <w:p w14:paraId="3D73C31D" w14:textId="77777777" w:rsidR="004F64EF" w:rsidRPr="003003C0" w:rsidRDefault="004F64EF" w:rsidP="00FD6B66">
            <w:pPr>
              <w:jc w:val="right"/>
              <w:rPr>
                <w:rFonts w:cs="Arial"/>
                <w:color w:val="000000"/>
                <w:sz w:val="14"/>
                <w:szCs w:val="14"/>
              </w:rPr>
            </w:pPr>
            <w:r w:rsidRPr="003003C0">
              <w:rPr>
                <w:rFonts w:cs="Arial"/>
                <w:color w:val="000000"/>
                <w:sz w:val="14"/>
                <w:szCs w:val="14"/>
              </w:rPr>
              <w:t>1</w:t>
            </w:r>
            <w:r>
              <w:rPr>
                <w:rFonts w:cs="Arial"/>
                <w:color w:val="000000"/>
                <w:sz w:val="14"/>
                <w:szCs w:val="14"/>
              </w:rPr>
              <w:t>.</w:t>
            </w:r>
            <w:r w:rsidRPr="003003C0">
              <w:rPr>
                <w:rFonts w:cs="Arial"/>
                <w:color w:val="000000"/>
                <w:sz w:val="14"/>
                <w:szCs w:val="14"/>
              </w:rPr>
              <w:t>9</w:t>
            </w:r>
          </w:p>
        </w:tc>
        <w:tc>
          <w:tcPr>
            <w:tcW w:w="392" w:type="pct"/>
            <w:noWrap/>
            <w:vAlign w:val="center"/>
            <w:hideMark/>
          </w:tcPr>
          <w:p w14:paraId="1D110E3F" w14:textId="77777777" w:rsidR="004F64EF" w:rsidRPr="003003C0" w:rsidRDefault="004F64EF" w:rsidP="00FD6B66">
            <w:pPr>
              <w:jc w:val="right"/>
              <w:rPr>
                <w:rFonts w:cs="Arial"/>
                <w:color w:val="000000"/>
                <w:sz w:val="14"/>
                <w:szCs w:val="14"/>
              </w:rPr>
            </w:pPr>
            <w:r w:rsidRPr="003003C0">
              <w:rPr>
                <w:rFonts w:cs="Arial"/>
                <w:color w:val="000000"/>
                <w:sz w:val="14"/>
                <w:szCs w:val="14"/>
              </w:rPr>
              <w:t>2</w:t>
            </w:r>
            <w:r>
              <w:rPr>
                <w:rFonts w:cs="Arial"/>
                <w:color w:val="000000"/>
                <w:sz w:val="14"/>
                <w:szCs w:val="14"/>
              </w:rPr>
              <w:t>.</w:t>
            </w:r>
            <w:r w:rsidRPr="003003C0">
              <w:rPr>
                <w:rFonts w:cs="Arial"/>
                <w:color w:val="000000"/>
                <w:sz w:val="14"/>
                <w:szCs w:val="14"/>
              </w:rPr>
              <w:t>4</w:t>
            </w:r>
          </w:p>
        </w:tc>
        <w:tc>
          <w:tcPr>
            <w:tcW w:w="392" w:type="pct"/>
            <w:noWrap/>
            <w:vAlign w:val="center"/>
            <w:hideMark/>
          </w:tcPr>
          <w:p w14:paraId="325C5124" w14:textId="77777777" w:rsidR="004F64EF" w:rsidRPr="003003C0" w:rsidRDefault="004F64EF" w:rsidP="00FD6B66">
            <w:pPr>
              <w:jc w:val="right"/>
              <w:rPr>
                <w:rFonts w:cs="Arial"/>
                <w:color w:val="000000"/>
                <w:sz w:val="14"/>
                <w:szCs w:val="14"/>
              </w:rPr>
            </w:pPr>
            <w:r w:rsidRPr="003003C0">
              <w:rPr>
                <w:rFonts w:cs="Arial"/>
                <w:color w:val="000000"/>
                <w:sz w:val="14"/>
                <w:szCs w:val="14"/>
              </w:rPr>
              <w:t>1</w:t>
            </w:r>
            <w:r>
              <w:rPr>
                <w:rFonts w:cs="Arial"/>
                <w:color w:val="000000"/>
                <w:sz w:val="14"/>
                <w:szCs w:val="14"/>
              </w:rPr>
              <w:t>.</w:t>
            </w:r>
            <w:r w:rsidRPr="003003C0">
              <w:rPr>
                <w:rFonts w:cs="Arial"/>
                <w:color w:val="000000"/>
                <w:sz w:val="14"/>
                <w:szCs w:val="14"/>
              </w:rPr>
              <w:t>3</w:t>
            </w:r>
          </w:p>
        </w:tc>
        <w:tc>
          <w:tcPr>
            <w:tcW w:w="392" w:type="pct"/>
            <w:noWrap/>
            <w:vAlign w:val="center"/>
            <w:hideMark/>
          </w:tcPr>
          <w:p w14:paraId="1AA1AC25" w14:textId="77777777" w:rsidR="004F64EF" w:rsidRPr="003003C0" w:rsidRDefault="004F64EF" w:rsidP="00FD6B66">
            <w:pPr>
              <w:jc w:val="right"/>
              <w:rPr>
                <w:rFonts w:cs="Arial"/>
                <w:color w:val="000000"/>
                <w:sz w:val="14"/>
                <w:szCs w:val="14"/>
              </w:rPr>
            </w:pPr>
            <w:r w:rsidRPr="003003C0">
              <w:rPr>
                <w:rFonts w:cs="Arial"/>
                <w:color w:val="000000"/>
                <w:sz w:val="14"/>
                <w:szCs w:val="14"/>
              </w:rPr>
              <w:t>1</w:t>
            </w:r>
            <w:r>
              <w:rPr>
                <w:rFonts w:cs="Arial"/>
                <w:color w:val="000000"/>
                <w:sz w:val="14"/>
                <w:szCs w:val="14"/>
              </w:rPr>
              <w:t>.</w:t>
            </w:r>
            <w:r w:rsidRPr="003003C0">
              <w:rPr>
                <w:rFonts w:cs="Arial"/>
                <w:color w:val="000000"/>
                <w:sz w:val="14"/>
                <w:szCs w:val="14"/>
              </w:rPr>
              <w:t>4</w:t>
            </w:r>
          </w:p>
        </w:tc>
      </w:tr>
      <w:tr w:rsidR="004F64EF" w:rsidRPr="003003C0" w14:paraId="4BE5C19C" w14:textId="77777777" w:rsidTr="00BE2A9F">
        <w:trPr>
          <w:cnfStyle w:val="000000010000" w:firstRow="0" w:lastRow="0" w:firstColumn="0" w:lastColumn="0" w:oddVBand="0" w:evenVBand="0" w:oddHBand="0" w:evenHBand="1" w:firstRowFirstColumn="0" w:firstRowLastColumn="0" w:lastRowFirstColumn="0" w:lastRowLastColumn="0"/>
          <w:trHeight w:val="57"/>
        </w:trPr>
        <w:tc>
          <w:tcPr>
            <w:tcW w:w="2258" w:type="pct"/>
            <w:noWrap/>
            <w:vAlign w:val="center"/>
            <w:hideMark/>
          </w:tcPr>
          <w:p w14:paraId="40D9450F" w14:textId="77777777" w:rsidR="004F64EF" w:rsidRPr="003003C0" w:rsidRDefault="004F64EF" w:rsidP="00FD6B66">
            <w:pPr>
              <w:tabs>
                <w:tab w:val="left" w:pos="510"/>
              </w:tabs>
              <w:jc w:val="left"/>
              <w:rPr>
                <w:rFonts w:cs="Arial"/>
                <w:color w:val="000000"/>
                <w:sz w:val="14"/>
                <w:szCs w:val="14"/>
              </w:rPr>
            </w:pPr>
            <w:r w:rsidRPr="003003C0">
              <w:rPr>
                <w:rFonts w:cs="Arial"/>
                <w:color w:val="000000"/>
                <w:sz w:val="14"/>
                <w:szCs w:val="14"/>
              </w:rPr>
              <w:tab/>
              <w:t>Ecuador</w:t>
            </w:r>
          </w:p>
        </w:tc>
        <w:tc>
          <w:tcPr>
            <w:tcW w:w="392" w:type="pct"/>
            <w:noWrap/>
            <w:vAlign w:val="center"/>
            <w:hideMark/>
          </w:tcPr>
          <w:p w14:paraId="6A3B1FCC"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9</w:t>
            </w:r>
          </w:p>
        </w:tc>
        <w:tc>
          <w:tcPr>
            <w:tcW w:w="392" w:type="pct"/>
            <w:noWrap/>
            <w:vAlign w:val="center"/>
            <w:hideMark/>
          </w:tcPr>
          <w:p w14:paraId="793FBCA8"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7</w:t>
            </w:r>
          </w:p>
        </w:tc>
        <w:tc>
          <w:tcPr>
            <w:tcW w:w="392" w:type="pct"/>
            <w:noWrap/>
            <w:vAlign w:val="center"/>
            <w:hideMark/>
          </w:tcPr>
          <w:p w14:paraId="1D357A49"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9</w:t>
            </w:r>
          </w:p>
        </w:tc>
        <w:tc>
          <w:tcPr>
            <w:tcW w:w="392" w:type="pct"/>
            <w:noWrap/>
            <w:vAlign w:val="center"/>
            <w:hideMark/>
          </w:tcPr>
          <w:p w14:paraId="27A102BC" w14:textId="77777777" w:rsidR="004F64EF" w:rsidRPr="003003C0" w:rsidRDefault="004F64EF" w:rsidP="00FD6B66">
            <w:pPr>
              <w:jc w:val="right"/>
              <w:rPr>
                <w:rFonts w:cs="Arial"/>
                <w:color w:val="000000"/>
                <w:sz w:val="14"/>
                <w:szCs w:val="14"/>
              </w:rPr>
            </w:pPr>
            <w:r w:rsidRPr="003003C0">
              <w:rPr>
                <w:rFonts w:cs="Arial"/>
                <w:color w:val="000000"/>
                <w:sz w:val="14"/>
                <w:szCs w:val="14"/>
              </w:rPr>
              <w:t>1</w:t>
            </w:r>
            <w:r>
              <w:rPr>
                <w:rFonts w:cs="Arial"/>
                <w:color w:val="000000"/>
                <w:sz w:val="14"/>
                <w:szCs w:val="14"/>
              </w:rPr>
              <w:t>.</w:t>
            </w:r>
            <w:r w:rsidRPr="003003C0">
              <w:rPr>
                <w:rFonts w:cs="Arial"/>
                <w:color w:val="000000"/>
                <w:sz w:val="14"/>
                <w:szCs w:val="14"/>
              </w:rPr>
              <w:t>1</w:t>
            </w:r>
          </w:p>
        </w:tc>
        <w:tc>
          <w:tcPr>
            <w:tcW w:w="392" w:type="pct"/>
            <w:noWrap/>
            <w:vAlign w:val="center"/>
            <w:hideMark/>
          </w:tcPr>
          <w:p w14:paraId="66F2B352" w14:textId="77777777" w:rsidR="004F64EF" w:rsidRPr="003003C0" w:rsidRDefault="004F64EF" w:rsidP="00FD6B66">
            <w:pPr>
              <w:jc w:val="right"/>
              <w:rPr>
                <w:rFonts w:cs="Arial"/>
                <w:color w:val="000000"/>
                <w:sz w:val="14"/>
                <w:szCs w:val="14"/>
              </w:rPr>
            </w:pPr>
            <w:r w:rsidRPr="003003C0">
              <w:rPr>
                <w:rFonts w:cs="Arial"/>
                <w:color w:val="000000"/>
                <w:sz w:val="14"/>
                <w:szCs w:val="14"/>
              </w:rPr>
              <w:t>1</w:t>
            </w:r>
            <w:r>
              <w:rPr>
                <w:rFonts w:cs="Arial"/>
                <w:color w:val="000000"/>
                <w:sz w:val="14"/>
                <w:szCs w:val="14"/>
              </w:rPr>
              <w:t>.</w:t>
            </w:r>
            <w:r w:rsidRPr="003003C0">
              <w:rPr>
                <w:rFonts w:cs="Arial"/>
                <w:color w:val="000000"/>
                <w:sz w:val="14"/>
                <w:szCs w:val="14"/>
              </w:rPr>
              <w:t>2</w:t>
            </w:r>
          </w:p>
        </w:tc>
        <w:tc>
          <w:tcPr>
            <w:tcW w:w="392" w:type="pct"/>
            <w:noWrap/>
            <w:vAlign w:val="center"/>
            <w:hideMark/>
          </w:tcPr>
          <w:p w14:paraId="07D64681" w14:textId="77777777" w:rsidR="004F64EF" w:rsidRPr="003003C0" w:rsidRDefault="004F64EF" w:rsidP="00FD6B66">
            <w:pPr>
              <w:jc w:val="right"/>
              <w:rPr>
                <w:rFonts w:cs="Arial"/>
                <w:color w:val="000000"/>
                <w:sz w:val="14"/>
                <w:szCs w:val="14"/>
              </w:rPr>
            </w:pPr>
            <w:r w:rsidRPr="003003C0">
              <w:rPr>
                <w:rFonts w:cs="Arial"/>
                <w:color w:val="000000"/>
                <w:sz w:val="14"/>
                <w:szCs w:val="14"/>
              </w:rPr>
              <w:t>1</w:t>
            </w:r>
            <w:r>
              <w:rPr>
                <w:rFonts w:cs="Arial"/>
                <w:color w:val="000000"/>
                <w:sz w:val="14"/>
                <w:szCs w:val="14"/>
              </w:rPr>
              <w:t>.</w:t>
            </w:r>
            <w:r w:rsidRPr="003003C0">
              <w:rPr>
                <w:rFonts w:cs="Arial"/>
                <w:color w:val="000000"/>
                <w:sz w:val="14"/>
                <w:szCs w:val="14"/>
              </w:rPr>
              <w:t>5</w:t>
            </w:r>
          </w:p>
        </w:tc>
        <w:tc>
          <w:tcPr>
            <w:tcW w:w="392" w:type="pct"/>
            <w:noWrap/>
            <w:vAlign w:val="center"/>
            <w:hideMark/>
          </w:tcPr>
          <w:p w14:paraId="425B840D" w14:textId="77777777" w:rsidR="004F64EF" w:rsidRPr="003003C0" w:rsidRDefault="004F64EF" w:rsidP="00FD6B66">
            <w:pPr>
              <w:jc w:val="right"/>
              <w:rPr>
                <w:rFonts w:cs="Arial"/>
                <w:color w:val="000000"/>
                <w:sz w:val="14"/>
                <w:szCs w:val="14"/>
              </w:rPr>
            </w:pPr>
            <w:r w:rsidRPr="003003C0">
              <w:rPr>
                <w:rFonts w:cs="Arial"/>
                <w:color w:val="000000"/>
                <w:sz w:val="14"/>
                <w:szCs w:val="14"/>
              </w:rPr>
              <w:t>1</w:t>
            </w:r>
            <w:r>
              <w:rPr>
                <w:rFonts w:cs="Arial"/>
                <w:color w:val="000000"/>
                <w:sz w:val="14"/>
                <w:szCs w:val="14"/>
              </w:rPr>
              <w:t>.</w:t>
            </w:r>
            <w:r w:rsidRPr="003003C0">
              <w:rPr>
                <w:rFonts w:cs="Arial"/>
                <w:color w:val="000000"/>
                <w:sz w:val="14"/>
                <w:szCs w:val="14"/>
              </w:rPr>
              <w:t>3</w:t>
            </w:r>
          </w:p>
        </w:tc>
      </w:tr>
      <w:tr w:rsidR="004F64EF" w:rsidRPr="003003C0" w14:paraId="6678E103" w14:textId="77777777" w:rsidTr="00BE2A9F">
        <w:trPr>
          <w:trHeight w:val="57"/>
        </w:trPr>
        <w:tc>
          <w:tcPr>
            <w:tcW w:w="2258" w:type="pct"/>
            <w:noWrap/>
            <w:vAlign w:val="center"/>
            <w:hideMark/>
          </w:tcPr>
          <w:p w14:paraId="4841642C" w14:textId="77777777" w:rsidR="004F64EF" w:rsidRPr="003003C0" w:rsidRDefault="004F64EF" w:rsidP="00FD6B66">
            <w:pPr>
              <w:tabs>
                <w:tab w:val="left" w:pos="510"/>
              </w:tabs>
              <w:jc w:val="left"/>
              <w:rPr>
                <w:rFonts w:cs="Arial"/>
                <w:color w:val="000000"/>
                <w:sz w:val="14"/>
                <w:szCs w:val="14"/>
              </w:rPr>
            </w:pPr>
            <w:r w:rsidRPr="003003C0">
              <w:rPr>
                <w:rFonts w:cs="Arial"/>
                <w:color w:val="000000"/>
                <w:sz w:val="14"/>
                <w:szCs w:val="14"/>
              </w:rPr>
              <w:tab/>
              <w:t>Honduras</w:t>
            </w:r>
          </w:p>
        </w:tc>
        <w:tc>
          <w:tcPr>
            <w:tcW w:w="392" w:type="pct"/>
            <w:noWrap/>
            <w:vAlign w:val="center"/>
            <w:hideMark/>
          </w:tcPr>
          <w:p w14:paraId="0FACD869" w14:textId="77777777" w:rsidR="004F64EF" w:rsidRPr="003003C0" w:rsidRDefault="004F64EF" w:rsidP="00FD6B66">
            <w:pPr>
              <w:jc w:val="right"/>
              <w:rPr>
                <w:rFonts w:cs="Arial"/>
                <w:color w:val="000000"/>
                <w:sz w:val="14"/>
                <w:szCs w:val="14"/>
              </w:rPr>
            </w:pPr>
            <w:r w:rsidRPr="003003C0">
              <w:rPr>
                <w:rFonts w:cs="Arial"/>
                <w:color w:val="000000"/>
                <w:sz w:val="14"/>
                <w:szCs w:val="14"/>
              </w:rPr>
              <w:t>1</w:t>
            </w:r>
            <w:r>
              <w:rPr>
                <w:rFonts w:cs="Arial"/>
                <w:color w:val="000000"/>
                <w:sz w:val="14"/>
                <w:szCs w:val="14"/>
              </w:rPr>
              <w:t>.</w:t>
            </w:r>
            <w:r w:rsidRPr="003003C0">
              <w:rPr>
                <w:rFonts w:cs="Arial"/>
                <w:color w:val="000000"/>
                <w:sz w:val="14"/>
                <w:szCs w:val="14"/>
              </w:rPr>
              <w:t>0</w:t>
            </w:r>
          </w:p>
        </w:tc>
        <w:tc>
          <w:tcPr>
            <w:tcW w:w="392" w:type="pct"/>
            <w:noWrap/>
            <w:vAlign w:val="center"/>
            <w:hideMark/>
          </w:tcPr>
          <w:p w14:paraId="74F6E140"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9</w:t>
            </w:r>
          </w:p>
        </w:tc>
        <w:tc>
          <w:tcPr>
            <w:tcW w:w="392" w:type="pct"/>
            <w:noWrap/>
            <w:vAlign w:val="center"/>
            <w:hideMark/>
          </w:tcPr>
          <w:p w14:paraId="3E2C3B6D" w14:textId="77777777" w:rsidR="004F64EF" w:rsidRPr="003003C0" w:rsidRDefault="004F64EF" w:rsidP="00FD6B66">
            <w:pPr>
              <w:jc w:val="right"/>
              <w:rPr>
                <w:rFonts w:cs="Arial"/>
                <w:color w:val="000000"/>
                <w:sz w:val="14"/>
                <w:szCs w:val="14"/>
              </w:rPr>
            </w:pPr>
            <w:r w:rsidRPr="003003C0">
              <w:rPr>
                <w:rFonts w:cs="Arial"/>
                <w:color w:val="000000"/>
                <w:sz w:val="14"/>
                <w:szCs w:val="14"/>
              </w:rPr>
              <w:t>1</w:t>
            </w:r>
            <w:r>
              <w:rPr>
                <w:rFonts w:cs="Arial"/>
                <w:color w:val="000000"/>
                <w:sz w:val="14"/>
                <w:szCs w:val="14"/>
              </w:rPr>
              <w:t>.</w:t>
            </w:r>
            <w:r w:rsidRPr="003003C0">
              <w:rPr>
                <w:rFonts w:cs="Arial"/>
                <w:color w:val="000000"/>
                <w:sz w:val="14"/>
                <w:szCs w:val="14"/>
              </w:rPr>
              <w:t>0</w:t>
            </w:r>
          </w:p>
        </w:tc>
        <w:tc>
          <w:tcPr>
            <w:tcW w:w="392" w:type="pct"/>
            <w:noWrap/>
            <w:vAlign w:val="center"/>
            <w:hideMark/>
          </w:tcPr>
          <w:p w14:paraId="41F0A315"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9</w:t>
            </w:r>
          </w:p>
        </w:tc>
        <w:tc>
          <w:tcPr>
            <w:tcW w:w="392" w:type="pct"/>
            <w:noWrap/>
            <w:vAlign w:val="center"/>
            <w:hideMark/>
          </w:tcPr>
          <w:p w14:paraId="47AD3857"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9</w:t>
            </w:r>
          </w:p>
        </w:tc>
        <w:tc>
          <w:tcPr>
            <w:tcW w:w="392" w:type="pct"/>
            <w:noWrap/>
            <w:vAlign w:val="center"/>
            <w:hideMark/>
          </w:tcPr>
          <w:p w14:paraId="5B574808"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9</w:t>
            </w:r>
          </w:p>
        </w:tc>
        <w:tc>
          <w:tcPr>
            <w:tcW w:w="392" w:type="pct"/>
            <w:noWrap/>
            <w:vAlign w:val="center"/>
            <w:hideMark/>
          </w:tcPr>
          <w:p w14:paraId="3E73405C" w14:textId="77777777" w:rsidR="004F64EF" w:rsidRPr="003003C0" w:rsidRDefault="004F64EF" w:rsidP="00FD6B66">
            <w:pPr>
              <w:jc w:val="right"/>
              <w:rPr>
                <w:rFonts w:cs="Arial"/>
                <w:color w:val="000000"/>
                <w:sz w:val="14"/>
                <w:szCs w:val="14"/>
              </w:rPr>
            </w:pPr>
            <w:r w:rsidRPr="003003C0">
              <w:rPr>
                <w:rFonts w:cs="Arial"/>
                <w:color w:val="000000"/>
                <w:sz w:val="14"/>
                <w:szCs w:val="14"/>
              </w:rPr>
              <w:t>1</w:t>
            </w:r>
            <w:r>
              <w:rPr>
                <w:rFonts w:cs="Arial"/>
                <w:color w:val="000000"/>
                <w:sz w:val="14"/>
                <w:szCs w:val="14"/>
              </w:rPr>
              <w:t>.</w:t>
            </w:r>
            <w:r w:rsidRPr="003003C0">
              <w:rPr>
                <w:rFonts w:cs="Arial"/>
                <w:color w:val="000000"/>
                <w:sz w:val="14"/>
                <w:szCs w:val="14"/>
              </w:rPr>
              <w:t>2</w:t>
            </w:r>
          </w:p>
        </w:tc>
      </w:tr>
      <w:tr w:rsidR="004F64EF" w:rsidRPr="003003C0" w14:paraId="04911090" w14:textId="77777777" w:rsidTr="00BE2A9F">
        <w:trPr>
          <w:cnfStyle w:val="000000010000" w:firstRow="0" w:lastRow="0" w:firstColumn="0" w:lastColumn="0" w:oddVBand="0" w:evenVBand="0" w:oddHBand="0" w:evenHBand="1" w:firstRowFirstColumn="0" w:firstRowLastColumn="0" w:lastRowFirstColumn="0" w:lastRowLastColumn="0"/>
          <w:trHeight w:val="57"/>
        </w:trPr>
        <w:tc>
          <w:tcPr>
            <w:tcW w:w="2258" w:type="pct"/>
            <w:noWrap/>
            <w:vAlign w:val="center"/>
            <w:hideMark/>
          </w:tcPr>
          <w:p w14:paraId="465D16E4" w14:textId="77777777" w:rsidR="004F64EF" w:rsidRPr="003003C0" w:rsidRDefault="004F64EF" w:rsidP="00FD6B66">
            <w:pPr>
              <w:tabs>
                <w:tab w:val="left" w:pos="510"/>
              </w:tabs>
              <w:jc w:val="left"/>
              <w:rPr>
                <w:rFonts w:cs="Arial"/>
                <w:color w:val="000000"/>
                <w:sz w:val="14"/>
                <w:szCs w:val="14"/>
              </w:rPr>
            </w:pPr>
            <w:r w:rsidRPr="003003C0">
              <w:rPr>
                <w:rFonts w:cs="Arial"/>
                <w:color w:val="000000"/>
                <w:sz w:val="14"/>
                <w:szCs w:val="14"/>
              </w:rPr>
              <w:tab/>
              <w:t>Bra</w:t>
            </w:r>
            <w:r>
              <w:rPr>
                <w:rFonts w:cs="Arial"/>
                <w:color w:val="000000"/>
                <w:sz w:val="14"/>
                <w:szCs w:val="14"/>
              </w:rPr>
              <w:t>z</w:t>
            </w:r>
            <w:r w:rsidRPr="003003C0">
              <w:rPr>
                <w:rFonts w:cs="Arial"/>
                <w:color w:val="000000"/>
                <w:sz w:val="14"/>
                <w:szCs w:val="14"/>
              </w:rPr>
              <w:t>il</w:t>
            </w:r>
          </w:p>
        </w:tc>
        <w:tc>
          <w:tcPr>
            <w:tcW w:w="392" w:type="pct"/>
            <w:noWrap/>
            <w:vAlign w:val="center"/>
            <w:hideMark/>
          </w:tcPr>
          <w:p w14:paraId="7C440AC2" w14:textId="77777777" w:rsidR="004F64EF" w:rsidRPr="003003C0" w:rsidRDefault="004F64EF" w:rsidP="00FD6B66">
            <w:pPr>
              <w:jc w:val="right"/>
              <w:rPr>
                <w:rFonts w:cs="Arial"/>
                <w:color w:val="000000"/>
                <w:sz w:val="14"/>
                <w:szCs w:val="14"/>
              </w:rPr>
            </w:pPr>
            <w:r w:rsidRPr="003003C0">
              <w:rPr>
                <w:rFonts w:cs="Arial"/>
                <w:color w:val="000000"/>
                <w:sz w:val="14"/>
                <w:szCs w:val="14"/>
              </w:rPr>
              <w:t>1</w:t>
            </w:r>
            <w:r>
              <w:rPr>
                <w:rFonts w:cs="Arial"/>
                <w:color w:val="000000"/>
                <w:sz w:val="14"/>
                <w:szCs w:val="14"/>
              </w:rPr>
              <w:t>.</w:t>
            </w:r>
            <w:r w:rsidRPr="003003C0">
              <w:rPr>
                <w:rFonts w:cs="Arial"/>
                <w:color w:val="000000"/>
                <w:sz w:val="14"/>
                <w:szCs w:val="14"/>
              </w:rPr>
              <w:t>5</w:t>
            </w:r>
          </w:p>
        </w:tc>
        <w:tc>
          <w:tcPr>
            <w:tcW w:w="392" w:type="pct"/>
            <w:noWrap/>
            <w:vAlign w:val="center"/>
            <w:hideMark/>
          </w:tcPr>
          <w:p w14:paraId="595D9DD3" w14:textId="77777777" w:rsidR="004F64EF" w:rsidRPr="003003C0" w:rsidRDefault="004F64EF" w:rsidP="00FD6B66">
            <w:pPr>
              <w:jc w:val="right"/>
              <w:rPr>
                <w:rFonts w:cs="Arial"/>
                <w:color w:val="000000"/>
                <w:sz w:val="14"/>
                <w:szCs w:val="14"/>
              </w:rPr>
            </w:pPr>
            <w:r w:rsidRPr="003003C0">
              <w:rPr>
                <w:rFonts w:cs="Arial"/>
                <w:color w:val="000000"/>
                <w:sz w:val="14"/>
                <w:szCs w:val="14"/>
              </w:rPr>
              <w:t>1</w:t>
            </w:r>
            <w:r>
              <w:rPr>
                <w:rFonts w:cs="Arial"/>
                <w:color w:val="000000"/>
                <w:sz w:val="14"/>
                <w:szCs w:val="14"/>
              </w:rPr>
              <w:t>.</w:t>
            </w:r>
            <w:r w:rsidRPr="003003C0">
              <w:rPr>
                <w:rFonts w:cs="Arial"/>
                <w:color w:val="000000"/>
                <w:sz w:val="14"/>
                <w:szCs w:val="14"/>
              </w:rPr>
              <w:t>1</w:t>
            </w:r>
          </w:p>
        </w:tc>
        <w:tc>
          <w:tcPr>
            <w:tcW w:w="392" w:type="pct"/>
            <w:noWrap/>
            <w:vAlign w:val="center"/>
            <w:hideMark/>
          </w:tcPr>
          <w:p w14:paraId="777C9079"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8</w:t>
            </w:r>
          </w:p>
        </w:tc>
        <w:tc>
          <w:tcPr>
            <w:tcW w:w="392" w:type="pct"/>
            <w:noWrap/>
            <w:vAlign w:val="center"/>
            <w:hideMark/>
          </w:tcPr>
          <w:p w14:paraId="00BF7696"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6</w:t>
            </w:r>
          </w:p>
        </w:tc>
        <w:tc>
          <w:tcPr>
            <w:tcW w:w="392" w:type="pct"/>
            <w:noWrap/>
            <w:vAlign w:val="center"/>
            <w:hideMark/>
          </w:tcPr>
          <w:p w14:paraId="4C34F916"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7</w:t>
            </w:r>
          </w:p>
        </w:tc>
        <w:tc>
          <w:tcPr>
            <w:tcW w:w="392" w:type="pct"/>
            <w:noWrap/>
            <w:vAlign w:val="center"/>
            <w:hideMark/>
          </w:tcPr>
          <w:p w14:paraId="27449B5C"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6</w:t>
            </w:r>
          </w:p>
        </w:tc>
        <w:tc>
          <w:tcPr>
            <w:tcW w:w="392" w:type="pct"/>
            <w:noWrap/>
            <w:vAlign w:val="center"/>
            <w:hideMark/>
          </w:tcPr>
          <w:p w14:paraId="0E08D99D"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6</w:t>
            </w:r>
          </w:p>
        </w:tc>
      </w:tr>
      <w:tr w:rsidR="004F64EF" w:rsidRPr="003003C0" w14:paraId="780EDE4B" w14:textId="77777777" w:rsidTr="00BE2A9F">
        <w:trPr>
          <w:trHeight w:val="57"/>
        </w:trPr>
        <w:tc>
          <w:tcPr>
            <w:tcW w:w="2258" w:type="pct"/>
            <w:noWrap/>
            <w:vAlign w:val="center"/>
            <w:hideMark/>
          </w:tcPr>
          <w:p w14:paraId="4C352473" w14:textId="77777777" w:rsidR="004F64EF" w:rsidRPr="003003C0" w:rsidRDefault="004F64EF" w:rsidP="00FD6B66">
            <w:pPr>
              <w:tabs>
                <w:tab w:val="left" w:pos="510"/>
              </w:tabs>
              <w:jc w:val="left"/>
              <w:rPr>
                <w:rFonts w:cs="Arial"/>
                <w:color w:val="000000"/>
                <w:sz w:val="14"/>
                <w:szCs w:val="14"/>
              </w:rPr>
            </w:pPr>
            <w:r w:rsidRPr="003003C0">
              <w:rPr>
                <w:rFonts w:cs="Arial"/>
                <w:color w:val="000000"/>
                <w:sz w:val="14"/>
                <w:szCs w:val="14"/>
              </w:rPr>
              <w:tab/>
              <w:t>Colombia</w:t>
            </w:r>
          </w:p>
        </w:tc>
        <w:tc>
          <w:tcPr>
            <w:tcW w:w="392" w:type="pct"/>
            <w:noWrap/>
            <w:vAlign w:val="center"/>
            <w:hideMark/>
          </w:tcPr>
          <w:p w14:paraId="2DC43C33"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7</w:t>
            </w:r>
          </w:p>
        </w:tc>
        <w:tc>
          <w:tcPr>
            <w:tcW w:w="392" w:type="pct"/>
            <w:noWrap/>
            <w:vAlign w:val="center"/>
            <w:hideMark/>
          </w:tcPr>
          <w:p w14:paraId="5C4643FF"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8</w:t>
            </w:r>
          </w:p>
        </w:tc>
        <w:tc>
          <w:tcPr>
            <w:tcW w:w="392" w:type="pct"/>
            <w:noWrap/>
            <w:vAlign w:val="center"/>
            <w:hideMark/>
          </w:tcPr>
          <w:p w14:paraId="0EAB74D1"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6</w:t>
            </w:r>
          </w:p>
        </w:tc>
        <w:tc>
          <w:tcPr>
            <w:tcW w:w="392" w:type="pct"/>
            <w:noWrap/>
            <w:vAlign w:val="center"/>
            <w:hideMark/>
          </w:tcPr>
          <w:p w14:paraId="62AD2DF8"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6</w:t>
            </w:r>
          </w:p>
        </w:tc>
        <w:tc>
          <w:tcPr>
            <w:tcW w:w="392" w:type="pct"/>
            <w:noWrap/>
            <w:vAlign w:val="center"/>
            <w:hideMark/>
          </w:tcPr>
          <w:p w14:paraId="28C97E34"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4</w:t>
            </w:r>
          </w:p>
        </w:tc>
        <w:tc>
          <w:tcPr>
            <w:tcW w:w="392" w:type="pct"/>
            <w:noWrap/>
            <w:vAlign w:val="center"/>
            <w:hideMark/>
          </w:tcPr>
          <w:p w14:paraId="54FB5513"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4</w:t>
            </w:r>
          </w:p>
        </w:tc>
        <w:tc>
          <w:tcPr>
            <w:tcW w:w="392" w:type="pct"/>
            <w:noWrap/>
            <w:vAlign w:val="center"/>
            <w:hideMark/>
          </w:tcPr>
          <w:p w14:paraId="48FB9EFB"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5</w:t>
            </w:r>
          </w:p>
        </w:tc>
      </w:tr>
      <w:tr w:rsidR="004F64EF" w:rsidRPr="003003C0" w14:paraId="0DAEBFFA" w14:textId="77777777" w:rsidTr="00BE2A9F">
        <w:trPr>
          <w:cnfStyle w:val="000000010000" w:firstRow="0" w:lastRow="0" w:firstColumn="0" w:lastColumn="0" w:oddVBand="0" w:evenVBand="0" w:oddHBand="0" w:evenHBand="1" w:firstRowFirstColumn="0" w:firstRowLastColumn="0" w:lastRowFirstColumn="0" w:lastRowLastColumn="0"/>
          <w:trHeight w:val="57"/>
        </w:trPr>
        <w:tc>
          <w:tcPr>
            <w:tcW w:w="2258" w:type="pct"/>
            <w:noWrap/>
            <w:vAlign w:val="center"/>
            <w:hideMark/>
          </w:tcPr>
          <w:p w14:paraId="6D72DEA7" w14:textId="77777777" w:rsidR="004F64EF" w:rsidRPr="003003C0" w:rsidRDefault="004F64EF" w:rsidP="00FD6B66">
            <w:pPr>
              <w:tabs>
                <w:tab w:val="left" w:pos="510"/>
              </w:tabs>
              <w:jc w:val="left"/>
              <w:rPr>
                <w:rFonts w:cs="Arial"/>
                <w:color w:val="000000"/>
                <w:sz w:val="14"/>
                <w:szCs w:val="14"/>
              </w:rPr>
            </w:pPr>
            <w:r w:rsidRPr="003003C0">
              <w:rPr>
                <w:rFonts w:cs="Arial"/>
                <w:color w:val="000000"/>
                <w:sz w:val="14"/>
                <w:szCs w:val="14"/>
              </w:rPr>
              <w:tab/>
              <w:t>Nicaragua</w:t>
            </w:r>
          </w:p>
        </w:tc>
        <w:tc>
          <w:tcPr>
            <w:tcW w:w="392" w:type="pct"/>
            <w:noWrap/>
            <w:vAlign w:val="center"/>
            <w:hideMark/>
          </w:tcPr>
          <w:p w14:paraId="6AD48CCC"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5</w:t>
            </w:r>
          </w:p>
        </w:tc>
        <w:tc>
          <w:tcPr>
            <w:tcW w:w="392" w:type="pct"/>
            <w:noWrap/>
            <w:vAlign w:val="center"/>
            <w:hideMark/>
          </w:tcPr>
          <w:p w14:paraId="772A701B"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6</w:t>
            </w:r>
          </w:p>
        </w:tc>
        <w:tc>
          <w:tcPr>
            <w:tcW w:w="392" w:type="pct"/>
            <w:noWrap/>
            <w:vAlign w:val="center"/>
            <w:hideMark/>
          </w:tcPr>
          <w:p w14:paraId="321BC1B5"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3</w:t>
            </w:r>
          </w:p>
        </w:tc>
        <w:tc>
          <w:tcPr>
            <w:tcW w:w="392" w:type="pct"/>
            <w:noWrap/>
            <w:vAlign w:val="center"/>
            <w:hideMark/>
          </w:tcPr>
          <w:p w14:paraId="6DE30701"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3</w:t>
            </w:r>
          </w:p>
        </w:tc>
        <w:tc>
          <w:tcPr>
            <w:tcW w:w="392" w:type="pct"/>
            <w:noWrap/>
            <w:vAlign w:val="center"/>
            <w:hideMark/>
          </w:tcPr>
          <w:p w14:paraId="3990B1CB"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4</w:t>
            </w:r>
          </w:p>
        </w:tc>
        <w:tc>
          <w:tcPr>
            <w:tcW w:w="392" w:type="pct"/>
            <w:noWrap/>
            <w:vAlign w:val="center"/>
            <w:hideMark/>
          </w:tcPr>
          <w:p w14:paraId="7F01791B"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3</w:t>
            </w:r>
          </w:p>
        </w:tc>
        <w:tc>
          <w:tcPr>
            <w:tcW w:w="392" w:type="pct"/>
            <w:noWrap/>
            <w:vAlign w:val="center"/>
            <w:hideMark/>
          </w:tcPr>
          <w:p w14:paraId="76900222"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5</w:t>
            </w:r>
          </w:p>
        </w:tc>
      </w:tr>
      <w:tr w:rsidR="004F64EF" w:rsidRPr="003003C0" w14:paraId="761517B0" w14:textId="77777777" w:rsidTr="00BE2A9F">
        <w:trPr>
          <w:trHeight w:val="57"/>
        </w:trPr>
        <w:tc>
          <w:tcPr>
            <w:tcW w:w="2258" w:type="pct"/>
            <w:noWrap/>
            <w:vAlign w:val="center"/>
            <w:hideMark/>
          </w:tcPr>
          <w:p w14:paraId="04078369" w14:textId="77777777" w:rsidR="004F64EF" w:rsidRPr="003003C0" w:rsidRDefault="004F64EF" w:rsidP="00FD6B66">
            <w:pPr>
              <w:tabs>
                <w:tab w:val="left" w:pos="510"/>
              </w:tabs>
              <w:jc w:val="left"/>
              <w:rPr>
                <w:rFonts w:cs="Arial"/>
                <w:color w:val="000000"/>
                <w:sz w:val="14"/>
                <w:szCs w:val="14"/>
              </w:rPr>
            </w:pPr>
            <w:r w:rsidRPr="003003C0">
              <w:rPr>
                <w:rFonts w:cs="Arial"/>
                <w:color w:val="000000"/>
                <w:sz w:val="14"/>
                <w:szCs w:val="14"/>
              </w:rPr>
              <w:tab/>
              <w:t>Dominican</w:t>
            </w:r>
            <w:r>
              <w:rPr>
                <w:rFonts w:cs="Arial"/>
                <w:color w:val="000000"/>
                <w:sz w:val="14"/>
                <w:szCs w:val="14"/>
              </w:rPr>
              <w:t xml:space="preserve"> Republic</w:t>
            </w:r>
          </w:p>
        </w:tc>
        <w:tc>
          <w:tcPr>
            <w:tcW w:w="392" w:type="pct"/>
            <w:noWrap/>
            <w:vAlign w:val="center"/>
            <w:hideMark/>
          </w:tcPr>
          <w:p w14:paraId="2F48FF5B"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0</w:t>
            </w:r>
          </w:p>
        </w:tc>
        <w:tc>
          <w:tcPr>
            <w:tcW w:w="392" w:type="pct"/>
            <w:noWrap/>
            <w:vAlign w:val="center"/>
            <w:hideMark/>
          </w:tcPr>
          <w:p w14:paraId="1E78FFFB"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0</w:t>
            </w:r>
          </w:p>
        </w:tc>
        <w:tc>
          <w:tcPr>
            <w:tcW w:w="392" w:type="pct"/>
            <w:noWrap/>
            <w:vAlign w:val="center"/>
            <w:hideMark/>
          </w:tcPr>
          <w:p w14:paraId="23010352"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2</w:t>
            </w:r>
          </w:p>
        </w:tc>
        <w:tc>
          <w:tcPr>
            <w:tcW w:w="392" w:type="pct"/>
            <w:noWrap/>
            <w:vAlign w:val="center"/>
            <w:hideMark/>
          </w:tcPr>
          <w:p w14:paraId="78E93109"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2</w:t>
            </w:r>
          </w:p>
        </w:tc>
        <w:tc>
          <w:tcPr>
            <w:tcW w:w="392" w:type="pct"/>
            <w:noWrap/>
            <w:vAlign w:val="center"/>
            <w:hideMark/>
          </w:tcPr>
          <w:p w14:paraId="250B14B7"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0</w:t>
            </w:r>
          </w:p>
        </w:tc>
        <w:tc>
          <w:tcPr>
            <w:tcW w:w="392" w:type="pct"/>
            <w:noWrap/>
            <w:vAlign w:val="center"/>
            <w:hideMark/>
          </w:tcPr>
          <w:p w14:paraId="3526806E"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5</w:t>
            </w:r>
          </w:p>
        </w:tc>
        <w:tc>
          <w:tcPr>
            <w:tcW w:w="392" w:type="pct"/>
            <w:noWrap/>
            <w:vAlign w:val="center"/>
            <w:hideMark/>
          </w:tcPr>
          <w:p w14:paraId="2119CE89"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4</w:t>
            </w:r>
          </w:p>
        </w:tc>
      </w:tr>
      <w:tr w:rsidR="004F64EF" w:rsidRPr="003003C0" w14:paraId="1870D967" w14:textId="77777777" w:rsidTr="00BE2A9F">
        <w:trPr>
          <w:cnfStyle w:val="000000010000" w:firstRow="0" w:lastRow="0" w:firstColumn="0" w:lastColumn="0" w:oddVBand="0" w:evenVBand="0" w:oddHBand="0" w:evenHBand="1" w:firstRowFirstColumn="0" w:firstRowLastColumn="0" w:lastRowFirstColumn="0" w:lastRowLastColumn="0"/>
          <w:trHeight w:val="57"/>
        </w:trPr>
        <w:tc>
          <w:tcPr>
            <w:tcW w:w="2258" w:type="pct"/>
            <w:noWrap/>
            <w:vAlign w:val="center"/>
            <w:hideMark/>
          </w:tcPr>
          <w:p w14:paraId="223AA470" w14:textId="77777777" w:rsidR="004F64EF" w:rsidRPr="003003C0" w:rsidRDefault="004F64EF" w:rsidP="00FD6B66">
            <w:pPr>
              <w:tabs>
                <w:tab w:val="left" w:pos="510"/>
              </w:tabs>
              <w:jc w:val="left"/>
              <w:rPr>
                <w:rFonts w:cs="Arial"/>
                <w:color w:val="000000"/>
                <w:sz w:val="14"/>
                <w:szCs w:val="14"/>
              </w:rPr>
            </w:pPr>
            <w:r w:rsidRPr="003003C0">
              <w:rPr>
                <w:rFonts w:cs="Arial"/>
                <w:color w:val="000000"/>
                <w:sz w:val="14"/>
                <w:szCs w:val="14"/>
              </w:rPr>
              <w:tab/>
              <w:t>Guatemala</w:t>
            </w:r>
          </w:p>
        </w:tc>
        <w:tc>
          <w:tcPr>
            <w:tcW w:w="392" w:type="pct"/>
            <w:noWrap/>
            <w:vAlign w:val="center"/>
            <w:hideMark/>
          </w:tcPr>
          <w:p w14:paraId="3EC32CF0"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2</w:t>
            </w:r>
          </w:p>
        </w:tc>
        <w:tc>
          <w:tcPr>
            <w:tcW w:w="392" w:type="pct"/>
            <w:noWrap/>
            <w:vAlign w:val="center"/>
            <w:hideMark/>
          </w:tcPr>
          <w:p w14:paraId="609FBB44"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2</w:t>
            </w:r>
          </w:p>
        </w:tc>
        <w:tc>
          <w:tcPr>
            <w:tcW w:w="392" w:type="pct"/>
            <w:noWrap/>
            <w:vAlign w:val="center"/>
            <w:hideMark/>
          </w:tcPr>
          <w:p w14:paraId="6AE015DD"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3</w:t>
            </w:r>
          </w:p>
        </w:tc>
        <w:tc>
          <w:tcPr>
            <w:tcW w:w="392" w:type="pct"/>
            <w:noWrap/>
            <w:vAlign w:val="center"/>
            <w:hideMark/>
          </w:tcPr>
          <w:p w14:paraId="31B3AA49"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2</w:t>
            </w:r>
          </w:p>
        </w:tc>
        <w:tc>
          <w:tcPr>
            <w:tcW w:w="392" w:type="pct"/>
            <w:noWrap/>
            <w:vAlign w:val="center"/>
            <w:hideMark/>
          </w:tcPr>
          <w:p w14:paraId="549874AE"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3</w:t>
            </w:r>
          </w:p>
        </w:tc>
        <w:tc>
          <w:tcPr>
            <w:tcW w:w="392" w:type="pct"/>
            <w:noWrap/>
            <w:vAlign w:val="center"/>
            <w:hideMark/>
          </w:tcPr>
          <w:p w14:paraId="77C11FF5"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2</w:t>
            </w:r>
          </w:p>
        </w:tc>
        <w:tc>
          <w:tcPr>
            <w:tcW w:w="392" w:type="pct"/>
            <w:noWrap/>
            <w:vAlign w:val="center"/>
            <w:hideMark/>
          </w:tcPr>
          <w:p w14:paraId="46F3F7A9"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2</w:t>
            </w:r>
          </w:p>
        </w:tc>
      </w:tr>
      <w:tr w:rsidR="004F64EF" w:rsidRPr="003003C0" w14:paraId="5CFD9DBB" w14:textId="77777777" w:rsidTr="00BE2A9F">
        <w:trPr>
          <w:trHeight w:val="57"/>
        </w:trPr>
        <w:tc>
          <w:tcPr>
            <w:tcW w:w="2258" w:type="pct"/>
            <w:noWrap/>
            <w:vAlign w:val="center"/>
            <w:hideMark/>
          </w:tcPr>
          <w:p w14:paraId="3C50F113" w14:textId="77777777" w:rsidR="004F64EF" w:rsidRPr="003003C0" w:rsidRDefault="004F64EF" w:rsidP="00FD6B66">
            <w:pPr>
              <w:tabs>
                <w:tab w:val="left" w:pos="510"/>
              </w:tabs>
              <w:jc w:val="left"/>
              <w:rPr>
                <w:rFonts w:cs="Arial"/>
                <w:color w:val="000000"/>
                <w:sz w:val="14"/>
                <w:szCs w:val="14"/>
              </w:rPr>
            </w:pPr>
            <w:r w:rsidRPr="003003C0">
              <w:rPr>
                <w:rFonts w:cs="Arial"/>
                <w:color w:val="000000"/>
                <w:sz w:val="14"/>
                <w:szCs w:val="14"/>
              </w:rPr>
              <w:tab/>
              <w:t>Argentina</w:t>
            </w:r>
          </w:p>
        </w:tc>
        <w:tc>
          <w:tcPr>
            <w:tcW w:w="392" w:type="pct"/>
            <w:noWrap/>
            <w:vAlign w:val="center"/>
            <w:hideMark/>
          </w:tcPr>
          <w:p w14:paraId="083D49A3"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1</w:t>
            </w:r>
          </w:p>
        </w:tc>
        <w:tc>
          <w:tcPr>
            <w:tcW w:w="392" w:type="pct"/>
            <w:noWrap/>
            <w:vAlign w:val="center"/>
            <w:hideMark/>
          </w:tcPr>
          <w:p w14:paraId="323E9CA0"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1</w:t>
            </w:r>
          </w:p>
        </w:tc>
        <w:tc>
          <w:tcPr>
            <w:tcW w:w="392" w:type="pct"/>
            <w:noWrap/>
            <w:vAlign w:val="center"/>
            <w:hideMark/>
          </w:tcPr>
          <w:p w14:paraId="270B789F"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1</w:t>
            </w:r>
          </w:p>
        </w:tc>
        <w:tc>
          <w:tcPr>
            <w:tcW w:w="392" w:type="pct"/>
            <w:noWrap/>
            <w:vAlign w:val="center"/>
            <w:hideMark/>
          </w:tcPr>
          <w:p w14:paraId="7E1F4513"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1</w:t>
            </w:r>
          </w:p>
        </w:tc>
        <w:tc>
          <w:tcPr>
            <w:tcW w:w="392" w:type="pct"/>
            <w:noWrap/>
            <w:vAlign w:val="center"/>
            <w:hideMark/>
          </w:tcPr>
          <w:p w14:paraId="10A9D787"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1</w:t>
            </w:r>
          </w:p>
        </w:tc>
        <w:tc>
          <w:tcPr>
            <w:tcW w:w="392" w:type="pct"/>
            <w:noWrap/>
            <w:vAlign w:val="center"/>
            <w:hideMark/>
          </w:tcPr>
          <w:p w14:paraId="5EBDFFA0"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1</w:t>
            </w:r>
          </w:p>
        </w:tc>
        <w:tc>
          <w:tcPr>
            <w:tcW w:w="392" w:type="pct"/>
            <w:noWrap/>
            <w:vAlign w:val="center"/>
            <w:hideMark/>
          </w:tcPr>
          <w:p w14:paraId="3A04960F"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2</w:t>
            </w:r>
          </w:p>
        </w:tc>
      </w:tr>
      <w:tr w:rsidR="004F64EF" w:rsidRPr="003003C0" w14:paraId="36165A95" w14:textId="77777777" w:rsidTr="00BE2A9F">
        <w:trPr>
          <w:cnfStyle w:val="000000010000" w:firstRow="0" w:lastRow="0" w:firstColumn="0" w:lastColumn="0" w:oddVBand="0" w:evenVBand="0" w:oddHBand="0" w:evenHBand="1" w:firstRowFirstColumn="0" w:firstRowLastColumn="0" w:lastRowFirstColumn="0" w:lastRowLastColumn="0"/>
          <w:trHeight w:val="57"/>
        </w:trPr>
        <w:tc>
          <w:tcPr>
            <w:tcW w:w="2258" w:type="pct"/>
            <w:noWrap/>
            <w:vAlign w:val="center"/>
            <w:hideMark/>
          </w:tcPr>
          <w:p w14:paraId="0898F870" w14:textId="77777777" w:rsidR="004F64EF" w:rsidRPr="003003C0" w:rsidRDefault="004F64EF" w:rsidP="00FD6B66">
            <w:pPr>
              <w:tabs>
                <w:tab w:val="left" w:pos="510"/>
              </w:tabs>
              <w:jc w:val="left"/>
              <w:rPr>
                <w:rFonts w:cs="Arial"/>
                <w:color w:val="000000"/>
                <w:sz w:val="14"/>
                <w:szCs w:val="14"/>
              </w:rPr>
            </w:pPr>
            <w:r w:rsidRPr="003003C0">
              <w:rPr>
                <w:rFonts w:cs="Arial"/>
                <w:color w:val="000000"/>
                <w:sz w:val="14"/>
                <w:szCs w:val="14"/>
              </w:rPr>
              <w:tab/>
              <w:t>Costa Rica</w:t>
            </w:r>
          </w:p>
        </w:tc>
        <w:tc>
          <w:tcPr>
            <w:tcW w:w="392" w:type="pct"/>
            <w:noWrap/>
            <w:vAlign w:val="center"/>
            <w:hideMark/>
          </w:tcPr>
          <w:p w14:paraId="6F7F8A92" w14:textId="77777777" w:rsidR="004F64EF" w:rsidRPr="003003C0" w:rsidRDefault="004F64EF" w:rsidP="00FD6B66">
            <w:pPr>
              <w:jc w:val="right"/>
              <w:rPr>
                <w:rFonts w:cs="Arial"/>
                <w:color w:val="000000"/>
                <w:sz w:val="14"/>
                <w:szCs w:val="14"/>
              </w:rPr>
            </w:pPr>
            <w:r w:rsidRPr="003003C0">
              <w:rPr>
                <w:rFonts w:cs="Arial"/>
                <w:color w:val="000000"/>
                <w:sz w:val="14"/>
                <w:szCs w:val="14"/>
              </w:rPr>
              <w:t>1</w:t>
            </w:r>
            <w:r>
              <w:rPr>
                <w:rFonts w:cs="Arial"/>
                <w:color w:val="000000"/>
                <w:sz w:val="14"/>
                <w:szCs w:val="14"/>
              </w:rPr>
              <w:t>.</w:t>
            </w:r>
            <w:r w:rsidRPr="003003C0">
              <w:rPr>
                <w:rFonts w:cs="Arial"/>
                <w:color w:val="000000"/>
                <w:sz w:val="14"/>
                <w:szCs w:val="14"/>
              </w:rPr>
              <w:t>0</w:t>
            </w:r>
          </w:p>
        </w:tc>
        <w:tc>
          <w:tcPr>
            <w:tcW w:w="392" w:type="pct"/>
            <w:noWrap/>
            <w:vAlign w:val="center"/>
            <w:hideMark/>
          </w:tcPr>
          <w:p w14:paraId="0AF3F17D" w14:textId="77777777" w:rsidR="004F64EF" w:rsidRPr="003003C0" w:rsidRDefault="004F64EF" w:rsidP="00FD6B66">
            <w:pPr>
              <w:jc w:val="right"/>
              <w:rPr>
                <w:rFonts w:cs="Arial"/>
                <w:color w:val="000000"/>
                <w:sz w:val="14"/>
                <w:szCs w:val="14"/>
              </w:rPr>
            </w:pPr>
            <w:r w:rsidRPr="003003C0">
              <w:rPr>
                <w:rFonts w:cs="Arial"/>
                <w:color w:val="000000"/>
                <w:sz w:val="14"/>
                <w:szCs w:val="14"/>
              </w:rPr>
              <w:t>1</w:t>
            </w:r>
            <w:r>
              <w:rPr>
                <w:rFonts w:cs="Arial"/>
                <w:color w:val="000000"/>
                <w:sz w:val="14"/>
                <w:szCs w:val="14"/>
              </w:rPr>
              <w:t>.</w:t>
            </w:r>
            <w:r w:rsidRPr="003003C0">
              <w:rPr>
                <w:rFonts w:cs="Arial"/>
                <w:color w:val="000000"/>
                <w:sz w:val="14"/>
                <w:szCs w:val="14"/>
              </w:rPr>
              <w:t>0</w:t>
            </w:r>
          </w:p>
        </w:tc>
        <w:tc>
          <w:tcPr>
            <w:tcW w:w="392" w:type="pct"/>
            <w:noWrap/>
            <w:vAlign w:val="center"/>
            <w:hideMark/>
          </w:tcPr>
          <w:p w14:paraId="4B83F1FF"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2</w:t>
            </w:r>
          </w:p>
        </w:tc>
        <w:tc>
          <w:tcPr>
            <w:tcW w:w="392" w:type="pct"/>
            <w:noWrap/>
            <w:vAlign w:val="center"/>
            <w:hideMark/>
          </w:tcPr>
          <w:p w14:paraId="1FE79636"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1</w:t>
            </w:r>
          </w:p>
        </w:tc>
        <w:tc>
          <w:tcPr>
            <w:tcW w:w="392" w:type="pct"/>
            <w:noWrap/>
            <w:vAlign w:val="center"/>
            <w:hideMark/>
          </w:tcPr>
          <w:p w14:paraId="127A4F8A"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1</w:t>
            </w:r>
          </w:p>
        </w:tc>
        <w:tc>
          <w:tcPr>
            <w:tcW w:w="392" w:type="pct"/>
            <w:noWrap/>
            <w:vAlign w:val="center"/>
            <w:hideMark/>
          </w:tcPr>
          <w:p w14:paraId="794A2444"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1</w:t>
            </w:r>
          </w:p>
        </w:tc>
        <w:tc>
          <w:tcPr>
            <w:tcW w:w="392" w:type="pct"/>
            <w:noWrap/>
            <w:vAlign w:val="center"/>
            <w:hideMark/>
          </w:tcPr>
          <w:p w14:paraId="2C5E3B51"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2</w:t>
            </w:r>
          </w:p>
        </w:tc>
      </w:tr>
      <w:tr w:rsidR="004F64EF" w:rsidRPr="003003C0" w14:paraId="56A511AE" w14:textId="77777777" w:rsidTr="00BE2A9F">
        <w:trPr>
          <w:trHeight w:val="57"/>
        </w:trPr>
        <w:tc>
          <w:tcPr>
            <w:tcW w:w="2258" w:type="pct"/>
            <w:noWrap/>
            <w:vAlign w:val="center"/>
            <w:hideMark/>
          </w:tcPr>
          <w:p w14:paraId="129DDCE6" w14:textId="77777777" w:rsidR="004F64EF" w:rsidRPr="003003C0" w:rsidRDefault="004F64EF" w:rsidP="00FD6B66">
            <w:pPr>
              <w:tabs>
                <w:tab w:val="left" w:pos="510"/>
              </w:tabs>
              <w:jc w:val="left"/>
              <w:rPr>
                <w:rFonts w:cs="Arial"/>
                <w:color w:val="000000"/>
                <w:sz w:val="14"/>
                <w:szCs w:val="14"/>
              </w:rPr>
            </w:pPr>
            <w:r w:rsidRPr="003003C0">
              <w:rPr>
                <w:rFonts w:cs="Arial"/>
                <w:color w:val="000000"/>
                <w:sz w:val="14"/>
                <w:szCs w:val="14"/>
              </w:rPr>
              <w:tab/>
              <w:t>Canad</w:t>
            </w:r>
            <w:r>
              <w:rPr>
                <w:rFonts w:cs="Arial"/>
                <w:color w:val="000000"/>
                <w:sz w:val="14"/>
                <w:szCs w:val="14"/>
              </w:rPr>
              <w:t>a</w:t>
            </w:r>
          </w:p>
        </w:tc>
        <w:tc>
          <w:tcPr>
            <w:tcW w:w="392" w:type="pct"/>
            <w:noWrap/>
            <w:vAlign w:val="center"/>
            <w:hideMark/>
          </w:tcPr>
          <w:p w14:paraId="4D302411" w14:textId="77777777" w:rsidR="004F64EF" w:rsidRPr="003003C0" w:rsidRDefault="004F64EF" w:rsidP="00FD6B66">
            <w:pPr>
              <w:jc w:val="right"/>
              <w:rPr>
                <w:rFonts w:cs="Arial"/>
                <w:color w:val="000000"/>
                <w:sz w:val="14"/>
                <w:szCs w:val="14"/>
              </w:rPr>
            </w:pPr>
            <w:r w:rsidRPr="003003C0">
              <w:rPr>
                <w:rFonts w:cs="Arial"/>
                <w:color w:val="000000"/>
                <w:sz w:val="14"/>
                <w:szCs w:val="14"/>
              </w:rPr>
              <w:t>2</w:t>
            </w:r>
            <w:r>
              <w:rPr>
                <w:rFonts w:cs="Arial"/>
                <w:color w:val="000000"/>
                <w:sz w:val="14"/>
                <w:szCs w:val="14"/>
              </w:rPr>
              <w:t>.</w:t>
            </w:r>
            <w:r w:rsidRPr="003003C0">
              <w:rPr>
                <w:rFonts w:cs="Arial"/>
                <w:color w:val="000000"/>
                <w:sz w:val="14"/>
                <w:szCs w:val="14"/>
              </w:rPr>
              <w:t>0</w:t>
            </w:r>
          </w:p>
        </w:tc>
        <w:tc>
          <w:tcPr>
            <w:tcW w:w="392" w:type="pct"/>
            <w:noWrap/>
            <w:vAlign w:val="center"/>
            <w:hideMark/>
          </w:tcPr>
          <w:p w14:paraId="4AE48913" w14:textId="77777777" w:rsidR="004F64EF" w:rsidRPr="003003C0" w:rsidRDefault="004F64EF" w:rsidP="00FD6B66">
            <w:pPr>
              <w:jc w:val="right"/>
              <w:rPr>
                <w:rFonts w:cs="Arial"/>
                <w:color w:val="000000"/>
                <w:sz w:val="14"/>
                <w:szCs w:val="14"/>
              </w:rPr>
            </w:pPr>
            <w:r w:rsidRPr="003003C0">
              <w:rPr>
                <w:rFonts w:cs="Arial"/>
                <w:color w:val="000000"/>
                <w:sz w:val="14"/>
                <w:szCs w:val="14"/>
              </w:rPr>
              <w:t>1</w:t>
            </w:r>
            <w:r>
              <w:rPr>
                <w:rFonts w:cs="Arial"/>
                <w:color w:val="000000"/>
                <w:sz w:val="14"/>
                <w:szCs w:val="14"/>
              </w:rPr>
              <w:t>.</w:t>
            </w:r>
            <w:r w:rsidRPr="003003C0">
              <w:rPr>
                <w:rFonts w:cs="Arial"/>
                <w:color w:val="000000"/>
                <w:sz w:val="14"/>
                <w:szCs w:val="14"/>
              </w:rPr>
              <w:t>1</w:t>
            </w:r>
          </w:p>
        </w:tc>
        <w:tc>
          <w:tcPr>
            <w:tcW w:w="392" w:type="pct"/>
            <w:noWrap/>
            <w:vAlign w:val="center"/>
            <w:hideMark/>
          </w:tcPr>
          <w:p w14:paraId="3C6B8322"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7</w:t>
            </w:r>
          </w:p>
        </w:tc>
        <w:tc>
          <w:tcPr>
            <w:tcW w:w="392" w:type="pct"/>
            <w:noWrap/>
            <w:vAlign w:val="center"/>
            <w:hideMark/>
          </w:tcPr>
          <w:p w14:paraId="0392720B"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1</w:t>
            </w:r>
          </w:p>
        </w:tc>
        <w:tc>
          <w:tcPr>
            <w:tcW w:w="392" w:type="pct"/>
            <w:noWrap/>
            <w:vAlign w:val="center"/>
            <w:hideMark/>
          </w:tcPr>
          <w:p w14:paraId="242DB670"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1</w:t>
            </w:r>
          </w:p>
        </w:tc>
        <w:tc>
          <w:tcPr>
            <w:tcW w:w="392" w:type="pct"/>
            <w:noWrap/>
            <w:vAlign w:val="center"/>
            <w:hideMark/>
          </w:tcPr>
          <w:p w14:paraId="08BCA123"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2</w:t>
            </w:r>
          </w:p>
        </w:tc>
        <w:tc>
          <w:tcPr>
            <w:tcW w:w="392" w:type="pct"/>
            <w:noWrap/>
            <w:vAlign w:val="center"/>
            <w:hideMark/>
          </w:tcPr>
          <w:p w14:paraId="477E62E7"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2</w:t>
            </w:r>
          </w:p>
        </w:tc>
      </w:tr>
      <w:tr w:rsidR="004F64EF" w:rsidRPr="003003C0" w14:paraId="223D63EE" w14:textId="77777777" w:rsidTr="00BE2A9F">
        <w:trPr>
          <w:cnfStyle w:val="000000010000" w:firstRow="0" w:lastRow="0" w:firstColumn="0" w:lastColumn="0" w:oddVBand="0" w:evenVBand="0" w:oddHBand="0" w:evenHBand="1" w:firstRowFirstColumn="0" w:firstRowLastColumn="0" w:lastRowFirstColumn="0" w:lastRowLastColumn="0"/>
          <w:trHeight w:val="57"/>
        </w:trPr>
        <w:tc>
          <w:tcPr>
            <w:tcW w:w="2258" w:type="pct"/>
            <w:noWrap/>
            <w:vAlign w:val="center"/>
            <w:hideMark/>
          </w:tcPr>
          <w:p w14:paraId="15A43148" w14:textId="77777777" w:rsidR="004F64EF" w:rsidRPr="003003C0" w:rsidRDefault="004F64EF" w:rsidP="00FD6B66">
            <w:pPr>
              <w:tabs>
                <w:tab w:val="left" w:pos="510"/>
              </w:tabs>
              <w:jc w:val="left"/>
              <w:rPr>
                <w:rFonts w:cs="Arial"/>
                <w:color w:val="000000"/>
                <w:sz w:val="14"/>
                <w:szCs w:val="14"/>
              </w:rPr>
            </w:pPr>
            <w:r w:rsidRPr="003003C0">
              <w:rPr>
                <w:rFonts w:cs="Arial"/>
                <w:color w:val="000000"/>
                <w:sz w:val="14"/>
                <w:szCs w:val="14"/>
              </w:rPr>
              <w:tab/>
              <w:t>El Salvador</w:t>
            </w:r>
          </w:p>
        </w:tc>
        <w:tc>
          <w:tcPr>
            <w:tcW w:w="392" w:type="pct"/>
            <w:noWrap/>
            <w:vAlign w:val="center"/>
            <w:hideMark/>
          </w:tcPr>
          <w:p w14:paraId="57034E4D"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5</w:t>
            </w:r>
          </w:p>
        </w:tc>
        <w:tc>
          <w:tcPr>
            <w:tcW w:w="392" w:type="pct"/>
            <w:noWrap/>
            <w:vAlign w:val="center"/>
            <w:hideMark/>
          </w:tcPr>
          <w:p w14:paraId="34DFD430"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3</w:t>
            </w:r>
          </w:p>
        </w:tc>
        <w:tc>
          <w:tcPr>
            <w:tcW w:w="392" w:type="pct"/>
            <w:noWrap/>
            <w:vAlign w:val="center"/>
            <w:hideMark/>
          </w:tcPr>
          <w:p w14:paraId="09DC04B7"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2</w:t>
            </w:r>
          </w:p>
        </w:tc>
        <w:tc>
          <w:tcPr>
            <w:tcW w:w="392" w:type="pct"/>
            <w:noWrap/>
            <w:vAlign w:val="center"/>
            <w:hideMark/>
          </w:tcPr>
          <w:p w14:paraId="58AD9AB3"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3</w:t>
            </w:r>
          </w:p>
        </w:tc>
        <w:tc>
          <w:tcPr>
            <w:tcW w:w="392" w:type="pct"/>
            <w:noWrap/>
            <w:vAlign w:val="center"/>
            <w:hideMark/>
          </w:tcPr>
          <w:p w14:paraId="1714A40A"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2</w:t>
            </w:r>
          </w:p>
        </w:tc>
        <w:tc>
          <w:tcPr>
            <w:tcW w:w="392" w:type="pct"/>
            <w:noWrap/>
            <w:vAlign w:val="center"/>
            <w:hideMark/>
          </w:tcPr>
          <w:p w14:paraId="0DE5D366"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2</w:t>
            </w:r>
          </w:p>
        </w:tc>
        <w:tc>
          <w:tcPr>
            <w:tcW w:w="392" w:type="pct"/>
            <w:noWrap/>
            <w:vAlign w:val="center"/>
            <w:hideMark/>
          </w:tcPr>
          <w:p w14:paraId="44EBB9A2"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1</w:t>
            </w:r>
          </w:p>
        </w:tc>
      </w:tr>
      <w:tr w:rsidR="004F64EF" w:rsidRPr="003003C0" w14:paraId="4A6F0681" w14:textId="77777777" w:rsidTr="00BE2A9F">
        <w:trPr>
          <w:trHeight w:val="57"/>
        </w:trPr>
        <w:tc>
          <w:tcPr>
            <w:tcW w:w="2258" w:type="pct"/>
            <w:noWrap/>
            <w:vAlign w:val="center"/>
            <w:hideMark/>
          </w:tcPr>
          <w:p w14:paraId="282F6067" w14:textId="77777777" w:rsidR="004F64EF" w:rsidRPr="003003C0" w:rsidRDefault="004F64EF" w:rsidP="00FD6B66">
            <w:pPr>
              <w:tabs>
                <w:tab w:val="left" w:pos="510"/>
              </w:tabs>
              <w:jc w:val="left"/>
              <w:rPr>
                <w:rFonts w:cs="Arial"/>
                <w:color w:val="000000"/>
                <w:sz w:val="14"/>
                <w:szCs w:val="14"/>
              </w:rPr>
            </w:pPr>
            <w:r w:rsidRPr="003003C0">
              <w:rPr>
                <w:rFonts w:cs="Arial"/>
                <w:color w:val="000000"/>
                <w:sz w:val="14"/>
                <w:szCs w:val="14"/>
              </w:rPr>
              <w:tab/>
              <w:t xml:space="preserve">Bolivia, </w:t>
            </w:r>
            <w:proofErr w:type="spellStart"/>
            <w:r>
              <w:rPr>
                <w:rFonts w:cs="Arial"/>
                <w:color w:val="000000"/>
                <w:sz w:val="14"/>
                <w:szCs w:val="14"/>
              </w:rPr>
              <w:t>Plurinational</w:t>
            </w:r>
            <w:proofErr w:type="spellEnd"/>
            <w:r>
              <w:rPr>
                <w:rFonts w:cs="Arial"/>
                <w:color w:val="000000"/>
                <w:sz w:val="14"/>
                <w:szCs w:val="14"/>
              </w:rPr>
              <w:t xml:space="preserve"> State of</w:t>
            </w:r>
          </w:p>
        </w:tc>
        <w:tc>
          <w:tcPr>
            <w:tcW w:w="392" w:type="pct"/>
            <w:noWrap/>
            <w:vAlign w:val="center"/>
            <w:hideMark/>
          </w:tcPr>
          <w:p w14:paraId="3C921913"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0</w:t>
            </w:r>
          </w:p>
        </w:tc>
        <w:tc>
          <w:tcPr>
            <w:tcW w:w="392" w:type="pct"/>
            <w:noWrap/>
            <w:vAlign w:val="center"/>
            <w:hideMark/>
          </w:tcPr>
          <w:p w14:paraId="4BD8B695"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1</w:t>
            </w:r>
          </w:p>
        </w:tc>
        <w:tc>
          <w:tcPr>
            <w:tcW w:w="392" w:type="pct"/>
            <w:noWrap/>
            <w:vAlign w:val="center"/>
            <w:hideMark/>
          </w:tcPr>
          <w:p w14:paraId="53E1534F"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0</w:t>
            </w:r>
          </w:p>
        </w:tc>
        <w:tc>
          <w:tcPr>
            <w:tcW w:w="392" w:type="pct"/>
            <w:noWrap/>
            <w:vAlign w:val="center"/>
            <w:hideMark/>
          </w:tcPr>
          <w:p w14:paraId="0645EE18"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0</w:t>
            </w:r>
          </w:p>
        </w:tc>
        <w:tc>
          <w:tcPr>
            <w:tcW w:w="392" w:type="pct"/>
            <w:noWrap/>
            <w:vAlign w:val="center"/>
            <w:hideMark/>
          </w:tcPr>
          <w:p w14:paraId="43CBD3E1"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0</w:t>
            </w:r>
          </w:p>
        </w:tc>
        <w:tc>
          <w:tcPr>
            <w:tcW w:w="392" w:type="pct"/>
            <w:noWrap/>
            <w:vAlign w:val="center"/>
            <w:hideMark/>
          </w:tcPr>
          <w:p w14:paraId="7D8C2B50"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0</w:t>
            </w:r>
          </w:p>
        </w:tc>
        <w:tc>
          <w:tcPr>
            <w:tcW w:w="392" w:type="pct"/>
            <w:noWrap/>
            <w:vAlign w:val="center"/>
            <w:hideMark/>
          </w:tcPr>
          <w:p w14:paraId="05668E55"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1</w:t>
            </w:r>
          </w:p>
        </w:tc>
      </w:tr>
      <w:tr w:rsidR="004F64EF" w:rsidRPr="003003C0" w14:paraId="0700CFCE" w14:textId="77777777" w:rsidTr="00BE2A9F">
        <w:trPr>
          <w:cnfStyle w:val="000000010000" w:firstRow="0" w:lastRow="0" w:firstColumn="0" w:lastColumn="0" w:oddVBand="0" w:evenVBand="0" w:oddHBand="0" w:evenHBand="1" w:firstRowFirstColumn="0" w:firstRowLastColumn="0" w:lastRowFirstColumn="0" w:lastRowLastColumn="0"/>
          <w:trHeight w:val="57"/>
        </w:trPr>
        <w:tc>
          <w:tcPr>
            <w:tcW w:w="2258" w:type="pct"/>
            <w:noWrap/>
            <w:vAlign w:val="center"/>
            <w:hideMark/>
          </w:tcPr>
          <w:p w14:paraId="20596279" w14:textId="77777777" w:rsidR="004F64EF" w:rsidRPr="003003C0" w:rsidRDefault="004F64EF" w:rsidP="00FD6B66">
            <w:pPr>
              <w:tabs>
                <w:tab w:val="left" w:pos="510"/>
              </w:tabs>
              <w:jc w:val="left"/>
              <w:rPr>
                <w:rFonts w:cs="Arial"/>
                <w:color w:val="000000"/>
                <w:sz w:val="14"/>
                <w:szCs w:val="14"/>
              </w:rPr>
            </w:pPr>
            <w:r w:rsidRPr="003003C0">
              <w:rPr>
                <w:rFonts w:cs="Arial"/>
                <w:color w:val="000000"/>
                <w:sz w:val="14"/>
                <w:szCs w:val="14"/>
              </w:rPr>
              <w:tab/>
              <w:t>Per</w:t>
            </w:r>
            <w:r>
              <w:rPr>
                <w:rFonts w:cs="Arial"/>
                <w:color w:val="000000"/>
                <w:sz w:val="14"/>
                <w:szCs w:val="14"/>
              </w:rPr>
              <w:t>u</w:t>
            </w:r>
          </w:p>
        </w:tc>
        <w:tc>
          <w:tcPr>
            <w:tcW w:w="392" w:type="pct"/>
            <w:noWrap/>
            <w:vAlign w:val="center"/>
            <w:hideMark/>
          </w:tcPr>
          <w:p w14:paraId="20238D1B"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1</w:t>
            </w:r>
          </w:p>
        </w:tc>
        <w:tc>
          <w:tcPr>
            <w:tcW w:w="392" w:type="pct"/>
            <w:noWrap/>
            <w:vAlign w:val="center"/>
            <w:hideMark/>
          </w:tcPr>
          <w:p w14:paraId="0EE913C9"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1</w:t>
            </w:r>
          </w:p>
        </w:tc>
        <w:tc>
          <w:tcPr>
            <w:tcW w:w="392" w:type="pct"/>
            <w:noWrap/>
            <w:vAlign w:val="center"/>
            <w:hideMark/>
          </w:tcPr>
          <w:p w14:paraId="1EA8CABB"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1</w:t>
            </w:r>
          </w:p>
        </w:tc>
        <w:tc>
          <w:tcPr>
            <w:tcW w:w="392" w:type="pct"/>
            <w:noWrap/>
            <w:vAlign w:val="center"/>
            <w:hideMark/>
          </w:tcPr>
          <w:p w14:paraId="4C763110"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1</w:t>
            </w:r>
          </w:p>
        </w:tc>
        <w:tc>
          <w:tcPr>
            <w:tcW w:w="392" w:type="pct"/>
            <w:noWrap/>
            <w:vAlign w:val="center"/>
            <w:hideMark/>
          </w:tcPr>
          <w:p w14:paraId="6D451770"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1</w:t>
            </w:r>
          </w:p>
        </w:tc>
        <w:tc>
          <w:tcPr>
            <w:tcW w:w="392" w:type="pct"/>
            <w:noWrap/>
            <w:vAlign w:val="center"/>
            <w:hideMark/>
          </w:tcPr>
          <w:p w14:paraId="0EA121B8"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1</w:t>
            </w:r>
          </w:p>
        </w:tc>
        <w:tc>
          <w:tcPr>
            <w:tcW w:w="392" w:type="pct"/>
            <w:noWrap/>
            <w:vAlign w:val="center"/>
            <w:hideMark/>
          </w:tcPr>
          <w:p w14:paraId="56975766"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1</w:t>
            </w:r>
          </w:p>
        </w:tc>
      </w:tr>
      <w:tr w:rsidR="004F64EF" w:rsidRPr="003003C0" w14:paraId="650A8E2B" w14:textId="77777777" w:rsidTr="00BE2A9F">
        <w:trPr>
          <w:trHeight w:val="57"/>
        </w:trPr>
        <w:tc>
          <w:tcPr>
            <w:tcW w:w="2258" w:type="pct"/>
            <w:noWrap/>
            <w:vAlign w:val="center"/>
            <w:hideMark/>
          </w:tcPr>
          <w:p w14:paraId="4530CCF4" w14:textId="77777777" w:rsidR="004F64EF" w:rsidRPr="003003C0" w:rsidRDefault="004F64EF" w:rsidP="00FD6B66">
            <w:pPr>
              <w:tabs>
                <w:tab w:val="left" w:pos="510"/>
              </w:tabs>
              <w:jc w:val="left"/>
              <w:rPr>
                <w:rFonts w:cs="Arial"/>
                <w:color w:val="000000"/>
                <w:sz w:val="14"/>
                <w:szCs w:val="14"/>
              </w:rPr>
            </w:pPr>
            <w:r w:rsidRPr="003003C0">
              <w:rPr>
                <w:rFonts w:cs="Arial"/>
                <w:color w:val="000000"/>
                <w:sz w:val="14"/>
                <w:szCs w:val="14"/>
              </w:rPr>
              <w:tab/>
              <w:t>Hait</w:t>
            </w:r>
            <w:r>
              <w:rPr>
                <w:rFonts w:cs="Arial"/>
                <w:color w:val="000000"/>
                <w:sz w:val="14"/>
                <w:szCs w:val="14"/>
              </w:rPr>
              <w:t>i</w:t>
            </w:r>
          </w:p>
        </w:tc>
        <w:tc>
          <w:tcPr>
            <w:tcW w:w="392" w:type="pct"/>
            <w:noWrap/>
            <w:vAlign w:val="center"/>
            <w:hideMark/>
          </w:tcPr>
          <w:p w14:paraId="7C33928A" w14:textId="77777777" w:rsidR="004F64EF" w:rsidRPr="003003C0" w:rsidRDefault="004F64EF" w:rsidP="00FD6B66">
            <w:pPr>
              <w:jc w:val="right"/>
              <w:rPr>
                <w:rFonts w:cs="Arial"/>
                <w:color w:val="000000"/>
                <w:sz w:val="14"/>
                <w:szCs w:val="14"/>
              </w:rPr>
            </w:pPr>
            <w:r w:rsidRPr="003003C0">
              <w:rPr>
                <w:rFonts w:cs="Arial"/>
                <w:color w:val="000000"/>
                <w:sz w:val="14"/>
                <w:szCs w:val="14"/>
              </w:rPr>
              <w:t>1</w:t>
            </w:r>
            <w:r>
              <w:rPr>
                <w:rFonts w:cs="Arial"/>
                <w:color w:val="000000"/>
                <w:sz w:val="14"/>
                <w:szCs w:val="14"/>
              </w:rPr>
              <w:t>.</w:t>
            </w:r>
            <w:r w:rsidRPr="003003C0">
              <w:rPr>
                <w:rFonts w:cs="Arial"/>
                <w:color w:val="000000"/>
                <w:sz w:val="14"/>
                <w:szCs w:val="14"/>
              </w:rPr>
              <w:t>3</w:t>
            </w:r>
          </w:p>
        </w:tc>
        <w:tc>
          <w:tcPr>
            <w:tcW w:w="392" w:type="pct"/>
            <w:noWrap/>
            <w:vAlign w:val="center"/>
            <w:hideMark/>
          </w:tcPr>
          <w:p w14:paraId="6189B988" w14:textId="77777777" w:rsidR="004F64EF" w:rsidRPr="003003C0" w:rsidRDefault="004F64EF" w:rsidP="00FD6B66">
            <w:pPr>
              <w:jc w:val="right"/>
              <w:rPr>
                <w:rFonts w:cs="Arial"/>
                <w:color w:val="000000"/>
                <w:sz w:val="14"/>
                <w:szCs w:val="14"/>
              </w:rPr>
            </w:pPr>
            <w:r w:rsidRPr="003003C0">
              <w:rPr>
                <w:rFonts w:cs="Arial"/>
                <w:color w:val="000000"/>
                <w:sz w:val="14"/>
                <w:szCs w:val="14"/>
              </w:rPr>
              <w:t>1</w:t>
            </w:r>
            <w:r>
              <w:rPr>
                <w:rFonts w:cs="Arial"/>
                <w:color w:val="000000"/>
                <w:sz w:val="14"/>
                <w:szCs w:val="14"/>
              </w:rPr>
              <w:t>.</w:t>
            </w:r>
            <w:r w:rsidRPr="003003C0">
              <w:rPr>
                <w:rFonts w:cs="Arial"/>
                <w:color w:val="000000"/>
                <w:sz w:val="14"/>
                <w:szCs w:val="14"/>
              </w:rPr>
              <w:t>3</w:t>
            </w:r>
          </w:p>
        </w:tc>
        <w:tc>
          <w:tcPr>
            <w:tcW w:w="392" w:type="pct"/>
            <w:noWrap/>
            <w:vAlign w:val="center"/>
            <w:hideMark/>
          </w:tcPr>
          <w:p w14:paraId="7B9F8AEB"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9</w:t>
            </w:r>
          </w:p>
        </w:tc>
        <w:tc>
          <w:tcPr>
            <w:tcW w:w="392" w:type="pct"/>
            <w:noWrap/>
            <w:vAlign w:val="center"/>
            <w:hideMark/>
          </w:tcPr>
          <w:p w14:paraId="32A14485"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3</w:t>
            </w:r>
          </w:p>
        </w:tc>
        <w:tc>
          <w:tcPr>
            <w:tcW w:w="392" w:type="pct"/>
            <w:noWrap/>
            <w:vAlign w:val="center"/>
            <w:hideMark/>
          </w:tcPr>
          <w:p w14:paraId="6FCE7290"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1</w:t>
            </w:r>
          </w:p>
        </w:tc>
        <w:tc>
          <w:tcPr>
            <w:tcW w:w="392" w:type="pct"/>
            <w:noWrap/>
            <w:vAlign w:val="center"/>
            <w:hideMark/>
          </w:tcPr>
          <w:p w14:paraId="5E0DECC1"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1</w:t>
            </w:r>
          </w:p>
        </w:tc>
        <w:tc>
          <w:tcPr>
            <w:tcW w:w="392" w:type="pct"/>
            <w:noWrap/>
            <w:vAlign w:val="center"/>
            <w:hideMark/>
          </w:tcPr>
          <w:p w14:paraId="57409E6D"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1</w:t>
            </w:r>
          </w:p>
        </w:tc>
      </w:tr>
      <w:tr w:rsidR="004F64EF" w:rsidRPr="003003C0" w14:paraId="268B5240" w14:textId="77777777" w:rsidTr="00BE2A9F">
        <w:trPr>
          <w:cnfStyle w:val="000000010000" w:firstRow="0" w:lastRow="0" w:firstColumn="0" w:lastColumn="0" w:oddVBand="0" w:evenVBand="0" w:oddHBand="0" w:evenHBand="1" w:firstRowFirstColumn="0" w:firstRowLastColumn="0" w:lastRowFirstColumn="0" w:lastRowLastColumn="0"/>
          <w:trHeight w:val="57"/>
        </w:trPr>
        <w:tc>
          <w:tcPr>
            <w:tcW w:w="2258" w:type="pct"/>
            <w:noWrap/>
            <w:vAlign w:val="center"/>
            <w:hideMark/>
          </w:tcPr>
          <w:p w14:paraId="60FCE7E7" w14:textId="77777777" w:rsidR="004F64EF" w:rsidRPr="003003C0" w:rsidRDefault="004F64EF" w:rsidP="00FD6B66">
            <w:pPr>
              <w:tabs>
                <w:tab w:val="left" w:pos="510"/>
              </w:tabs>
              <w:jc w:val="left"/>
              <w:rPr>
                <w:rFonts w:cs="Arial"/>
                <w:color w:val="000000"/>
                <w:sz w:val="14"/>
                <w:szCs w:val="14"/>
              </w:rPr>
            </w:pPr>
            <w:r w:rsidRPr="003003C0">
              <w:rPr>
                <w:rFonts w:cs="Arial"/>
                <w:color w:val="000000"/>
                <w:sz w:val="14"/>
                <w:szCs w:val="14"/>
              </w:rPr>
              <w:tab/>
              <w:t>Chile</w:t>
            </w:r>
          </w:p>
        </w:tc>
        <w:tc>
          <w:tcPr>
            <w:tcW w:w="392" w:type="pct"/>
            <w:noWrap/>
            <w:vAlign w:val="center"/>
            <w:hideMark/>
          </w:tcPr>
          <w:p w14:paraId="6159726A"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1</w:t>
            </w:r>
          </w:p>
        </w:tc>
        <w:tc>
          <w:tcPr>
            <w:tcW w:w="392" w:type="pct"/>
            <w:noWrap/>
            <w:vAlign w:val="center"/>
            <w:hideMark/>
          </w:tcPr>
          <w:p w14:paraId="3F87431F"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1</w:t>
            </w:r>
          </w:p>
        </w:tc>
        <w:tc>
          <w:tcPr>
            <w:tcW w:w="392" w:type="pct"/>
            <w:noWrap/>
            <w:vAlign w:val="center"/>
            <w:hideMark/>
          </w:tcPr>
          <w:p w14:paraId="4326C458"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1</w:t>
            </w:r>
          </w:p>
        </w:tc>
        <w:tc>
          <w:tcPr>
            <w:tcW w:w="392" w:type="pct"/>
            <w:noWrap/>
            <w:vAlign w:val="center"/>
            <w:hideMark/>
          </w:tcPr>
          <w:p w14:paraId="414733C5"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1</w:t>
            </w:r>
          </w:p>
        </w:tc>
        <w:tc>
          <w:tcPr>
            <w:tcW w:w="392" w:type="pct"/>
            <w:noWrap/>
            <w:vAlign w:val="center"/>
            <w:hideMark/>
          </w:tcPr>
          <w:p w14:paraId="6399D133"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1</w:t>
            </w:r>
          </w:p>
        </w:tc>
        <w:tc>
          <w:tcPr>
            <w:tcW w:w="392" w:type="pct"/>
            <w:noWrap/>
            <w:vAlign w:val="center"/>
            <w:hideMark/>
          </w:tcPr>
          <w:p w14:paraId="1EFB7A0E"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0</w:t>
            </w:r>
          </w:p>
        </w:tc>
        <w:tc>
          <w:tcPr>
            <w:tcW w:w="392" w:type="pct"/>
            <w:noWrap/>
            <w:vAlign w:val="center"/>
            <w:hideMark/>
          </w:tcPr>
          <w:p w14:paraId="30862D79"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1</w:t>
            </w:r>
          </w:p>
        </w:tc>
      </w:tr>
      <w:tr w:rsidR="004F64EF" w:rsidRPr="003003C0" w14:paraId="27B38B7E" w14:textId="77777777" w:rsidTr="00BE2A9F">
        <w:trPr>
          <w:trHeight w:val="57"/>
        </w:trPr>
        <w:tc>
          <w:tcPr>
            <w:tcW w:w="2258" w:type="pct"/>
            <w:noWrap/>
            <w:vAlign w:val="center"/>
            <w:hideMark/>
          </w:tcPr>
          <w:p w14:paraId="49DF2C2E" w14:textId="77777777" w:rsidR="004F64EF" w:rsidRPr="003003C0" w:rsidRDefault="004F64EF" w:rsidP="00FD6B66">
            <w:pPr>
              <w:tabs>
                <w:tab w:val="left" w:pos="510"/>
              </w:tabs>
              <w:jc w:val="left"/>
              <w:rPr>
                <w:rFonts w:cs="Arial"/>
                <w:color w:val="000000"/>
                <w:sz w:val="14"/>
                <w:szCs w:val="14"/>
              </w:rPr>
            </w:pPr>
            <w:r w:rsidRPr="003003C0">
              <w:rPr>
                <w:rFonts w:cs="Arial"/>
                <w:color w:val="000000"/>
                <w:sz w:val="14"/>
                <w:szCs w:val="14"/>
              </w:rPr>
              <w:tab/>
              <w:t xml:space="preserve">Venezuela, </w:t>
            </w:r>
            <w:r>
              <w:rPr>
                <w:rFonts w:cs="Arial"/>
                <w:color w:val="000000"/>
                <w:sz w:val="14"/>
                <w:szCs w:val="14"/>
              </w:rPr>
              <w:t xml:space="preserve">Bolivarian </w:t>
            </w:r>
            <w:r w:rsidRPr="003003C0">
              <w:rPr>
                <w:rFonts w:cs="Arial"/>
                <w:color w:val="000000"/>
                <w:sz w:val="14"/>
                <w:szCs w:val="14"/>
              </w:rPr>
              <w:t>Rep</w:t>
            </w:r>
            <w:r>
              <w:rPr>
                <w:rFonts w:cs="Arial"/>
                <w:color w:val="000000"/>
                <w:sz w:val="14"/>
                <w:szCs w:val="14"/>
              </w:rPr>
              <w:t>ublic of</w:t>
            </w:r>
          </w:p>
        </w:tc>
        <w:tc>
          <w:tcPr>
            <w:tcW w:w="392" w:type="pct"/>
            <w:noWrap/>
            <w:vAlign w:val="center"/>
            <w:hideMark/>
          </w:tcPr>
          <w:p w14:paraId="11AEACC4"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0</w:t>
            </w:r>
          </w:p>
        </w:tc>
        <w:tc>
          <w:tcPr>
            <w:tcW w:w="392" w:type="pct"/>
            <w:noWrap/>
            <w:vAlign w:val="center"/>
            <w:hideMark/>
          </w:tcPr>
          <w:p w14:paraId="75269CB0"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1</w:t>
            </w:r>
          </w:p>
        </w:tc>
        <w:tc>
          <w:tcPr>
            <w:tcW w:w="392" w:type="pct"/>
            <w:noWrap/>
            <w:vAlign w:val="center"/>
            <w:hideMark/>
          </w:tcPr>
          <w:p w14:paraId="655602B2"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1</w:t>
            </w:r>
          </w:p>
        </w:tc>
        <w:tc>
          <w:tcPr>
            <w:tcW w:w="392" w:type="pct"/>
            <w:noWrap/>
            <w:vAlign w:val="center"/>
            <w:hideMark/>
          </w:tcPr>
          <w:p w14:paraId="2FB2631F"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1</w:t>
            </w:r>
          </w:p>
        </w:tc>
        <w:tc>
          <w:tcPr>
            <w:tcW w:w="392" w:type="pct"/>
            <w:noWrap/>
            <w:vAlign w:val="center"/>
            <w:hideMark/>
          </w:tcPr>
          <w:p w14:paraId="69916AC9"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0</w:t>
            </w:r>
          </w:p>
        </w:tc>
        <w:tc>
          <w:tcPr>
            <w:tcW w:w="392" w:type="pct"/>
            <w:noWrap/>
            <w:vAlign w:val="center"/>
            <w:hideMark/>
          </w:tcPr>
          <w:p w14:paraId="0ABA88A6"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0</w:t>
            </w:r>
          </w:p>
        </w:tc>
        <w:tc>
          <w:tcPr>
            <w:tcW w:w="392" w:type="pct"/>
            <w:noWrap/>
            <w:vAlign w:val="center"/>
            <w:hideMark/>
          </w:tcPr>
          <w:p w14:paraId="311903CD"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1</w:t>
            </w:r>
          </w:p>
        </w:tc>
      </w:tr>
      <w:tr w:rsidR="004F64EF" w:rsidRPr="003003C0" w14:paraId="10179B87" w14:textId="77777777" w:rsidTr="00BE2A9F">
        <w:trPr>
          <w:cnfStyle w:val="000000010000" w:firstRow="0" w:lastRow="0" w:firstColumn="0" w:lastColumn="0" w:oddVBand="0" w:evenVBand="0" w:oddHBand="0" w:evenHBand="1" w:firstRowFirstColumn="0" w:firstRowLastColumn="0" w:lastRowFirstColumn="0" w:lastRowLastColumn="0"/>
          <w:trHeight w:val="57"/>
        </w:trPr>
        <w:tc>
          <w:tcPr>
            <w:tcW w:w="2258" w:type="pct"/>
            <w:noWrap/>
            <w:vAlign w:val="center"/>
            <w:hideMark/>
          </w:tcPr>
          <w:p w14:paraId="2DFB2735" w14:textId="77777777" w:rsidR="004F64EF" w:rsidRPr="003003C0" w:rsidRDefault="004F64EF" w:rsidP="00FD6B66">
            <w:pPr>
              <w:jc w:val="left"/>
              <w:rPr>
                <w:rFonts w:cs="Arial"/>
                <w:color w:val="000000"/>
                <w:sz w:val="14"/>
                <w:szCs w:val="14"/>
              </w:rPr>
            </w:pPr>
            <w:r w:rsidRPr="003003C0">
              <w:rPr>
                <w:rFonts w:cs="Arial"/>
                <w:color w:val="000000"/>
                <w:sz w:val="14"/>
                <w:szCs w:val="14"/>
              </w:rPr>
              <w:t>Europ</w:t>
            </w:r>
            <w:r>
              <w:rPr>
                <w:rFonts w:cs="Arial"/>
                <w:color w:val="000000"/>
                <w:sz w:val="14"/>
                <w:szCs w:val="14"/>
              </w:rPr>
              <w:t>e</w:t>
            </w:r>
          </w:p>
        </w:tc>
        <w:tc>
          <w:tcPr>
            <w:tcW w:w="392" w:type="pct"/>
            <w:noWrap/>
            <w:vAlign w:val="center"/>
            <w:hideMark/>
          </w:tcPr>
          <w:p w14:paraId="171BEC35" w14:textId="77777777" w:rsidR="004F64EF" w:rsidRPr="003003C0" w:rsidRDefault="004F64EF" w:rsidP="00FD6B66">
            <w:pPr>
              <w:jc w:val="right"/>
              <w:rPr>
                <w:rFonts w:cs="Arial"/>
                <w:color w:val="000000"/>
                <w:sz w:val="14"/>
                <w:szCs w:val="14"/>
              </w:rPr>
            </w:pPr>
            <w:r w:rsidRPr="003003C0">
              <w:rPr>
                <w:rFonts w:cs="Arial"/>
                <w:color w:val="000000"/>
                <w:sz w:val="14"/>
                <w:szCs w:val="14"/>
              </w:rPr>
              <w:t>7</w:t>
            </w:r>
            <w:r>
              <w:rPr>
                <w:rFonts w:cs="Arial"/>
                <w:color w:val="000000"/>
                <w:sz w:val="14"/>
                <w:szCs w:val="14"/>
              </w:rPr>
              <w:t>.</w:t>
            </w:r>
            <w:r w:rsidRPr="003003C0">
              <w:rPr>
                <w:rFonts w:cs="Arial"/>
                <w:color w:val="000000"/>
                <w:sz w:val="14"/>
                <w:szCs w:val="14"/>
              </w:rPr>
              <w:t>6</w:t>
            </w:r>
          </w:p>
        </w:tc>
        <w:tc>
          <w:tcPr>
            <w:tcW w:w="392" w:type="pct"/>
            <w:noWrap/>
            <w:vAlign w:val="center"/>
            <w:hideMark/>
          </w:tcPr>
          <w:p w14:paraId="25415977" w14:textId="77777777" w:rsidR="004F64EF" w:rsidRPr="003003C0" w:rsidRDefault="004F64EF" w:rsidP="00FD6B66">
            <w:pPr>
              <w:jc w:val="right"/>
              <w:rPr>
                <w:rFonts w:cs="Arial"/>
                <w:color w:val="000000"/>
                <w:sz w:val="14"/>
                <w:szCs w:val="14"/>
              </w:rPr>
            </w:pPr>
            <w:r w:rsidRPr="003003C0">
              <w:rPr>
                <w:rFonts w:cs="Arial"/>
                <w:color w:val="000000"/>
                <w:sz w:val="14"/>
                <w:szCs w:val="14"/>
              </w:rPr>
              <w:t>7</w:t>
            </w:r>
            <w:r>
              <w:rPr>
                <w:rFonts w:cs="Arial"/>
                <w:color w:val="000000"/>
                <w:sz w:val="14"/>
                <w:szCs w:val="14"/>
              </w:rPr>
              <w:t>.</w:t>
            </w:r>
            <w:r w:rsidRPr="003003C0">
              <w:rPr>
                <w:rFonts w:cs="Arial"/>
                <w:color w:val="000000"/>
                <w:sz w:val="14"/>
                <w:szCs w:val="14"/>
              </w:rPr>
              <w:t>0</w:t>
            </w:r>
          </w:p>
        </w:tc>
        <w:tc>
          <w:tcPr>
            <w:tcW w:w="392" w:type="pct"/>
            <w:noWrap/>
            <w:vAlign w:val="center"/>
            <w:hideMark/>
          </w:tcPr>
          <w:p w14:paraId="5711E426" w14:textId="77777777" w:rsidR="004F64EF" w:rsidRPr="003003C0" w:rsidRDefault="004F64EF" w:rsidP="00FD6B66">
            <w:pPr>
              <w:jc w:val="right"/>
              <w:rPr>
                <w:rFonts w:cs="Arial"/>
                <w:color w:val="000000"/>
                <w:sz w:val="14"/>
                <w:szCs w:val="14"/>
              </w:rPr>
            </w:pPr>
            <w:r w:rsidRPr="003003C0">
              <w:rPr>
                <w:rFonts w:cs="Arial"/>
                <w:color w:val="000000"/>
                <w:sz w:val="14"/>
                <w:szCs w:val="14"/>
              </w:rPr>
              <w:t>5</w:t>
            </w:r>
            <w:r>
              <w:rPr>
                <w:rFonts w:cs="Arial"/>
                <w:color w:val="000000"/>
                <w:sz w:val="14"/>
                <w:szCs w:val="14"/>
              </w:rPr>
              <w:t>.</w:t>
            </w:r>
            <w:r w:rsidRPr="003003C0">
              <w:rPr>
                <w:rFonts w:cs="Arial"/>
                <w:color w:val="000000"/>
                <w:sz w:val="14"/>
                <w:szCs w:val="14"/>
              </w:rPr>
              <w:t>1</w:t>
            </w:r>
          </w:p>
        </w:tc>
        <w:tc>
          <w:tcPr>
            <w:tcW w:w="392" w:type="pct"/>
            <w:noWrap/>
            <w:vAlign w:val="center"/>
            <w:hideMark/>
          </w:tcPr>
          <w:p w14:paraId="646A6F4D" w14:textId="77777777" w:rsidR="004F64EF" w:rsidRPr="003003C0" w:rsidRDefault="004F64EF" w:rsidP="00FD6B66">
            <w:pPr>
              <w:jc w:val="right"/>
              <w:rPr>
                <w:rFonts w:cs="Arial"/>
                <w:color w:val="000000"/>
                <w:sz w:val="14"/>
                <w:szCs w:val="14"/>
              </w:rPr>
            </w:pPr>
            <w:r w:rsidRPr="003003C0">
              <w:rPr>
                <w:rFonts w:cs="Arial"/>
                <w:color w:val="000000"/>
                <w:sz w:val="14"/>
                <w:szCs w:val="14"/>
              </w:rPr>
              <w:t>7</w:t>
            </w:r>
            <w:r>
              <w:rPr>
                <w:rFonts w:cs="Arial"/>
                <w:color w:val="000000"/>
                <w:sz w:val="14"/>
                <w:szCs w:val="14"/>
              </w:rPr>
              <w:t>.</w:t>
            </w:r>
            <w:r w:rsidRPr="003003C0">
              <w:rPr>
                <w:rFonts w:cs="Arial"/>
                <w:color w:val="000000"/>
                <w:sz w:val="14"/>
                <w:szCs w:val="14"/>
              </w:rPr>
              <w:t>4</w:t>
            </w:r>
          </w:p>
        </w:tc>
        <w:tc>
          <w:tcPr>
            <w:tcW w:w="392" w:type="pct"/>
            <w:noWrap/>
            <w:vAlign w:val="center"/>
            <w:hideMark/>
          </w:tcPr>
          <w:p w14:paraId="623CD395" w14:textId="77777777" w:rsidR="004F64EF" w:rsidRPr="003003C0" w:rsidRDefault="004F64EF" w:rsidP="00FD6B66">
            <w:pPr>
              <w:jc w:val="right"/>
              <w:rPr>
                <w:rFonts w:cs="Arial"/>
                <w:color w:val="000000"/>
                <w:sz w:val="14"/>
                <w:szCs w:val="14"/>
              </w:rPr>
            </w:pPr>
            <w:r w:rsidRPr="003003C0">
              <w:rPr>
                <w:rFonts w:cs="Arial"/>
                <w:color w:val="000000"/>
                <w:sz w:val="14"/>
                <w:szCs w:val="14"/>
              </w:rPr>
              <w:t>10</w:t>
            </w:r>
            <w:r>
              <w:rPr>
                <w:rFonts w:cs="Arial"/>
                <w:color w:val="000000"/>
                <w:sz w:val="14"/>
                <w:szCs w:val="14"/>
              </w:rPr>
              <w:t>.</w:t>
            </w:r>
            <w:r w:rsidRPr="003003C0">
              <w:rPr>
                <w:rFonts w:cs="Arial"/>
                <w:color w:val="000000"/>
                <w:sz w:val="14"/>
                <w:szCs w:val="14"/>
              </w:rPr>
              <w:t>6</w:t>
            </w:r>
          </w:p>
        </w:tc>
        <w:tc>
          <w:tcPr>
            <w:tcW w:w="392" w:type="pct"/>
            <w:noWrap/>
            <w:vAlign w:val="center"/>
            <w:hideMark/>
          </w:tcPr>
          <w:p w14:paraId="528DE993" w14:textId="77777777" w:rsidR="004F64EF" w:rsidRPr="003003C0" w:rsidRDefault="004F64EF" w:rsidP="00FD6B66">
            <w:pPr>
              <w:jc w:val="right"/>
              <w:rPr>
                <w:rFonts w:cs="Arial"/>
                <w:color w:val="000000"/>
                <w:sz w:val="14"/>
                <w:szCs w:val="14"/>
              </w:rPr>
            </w:pPr>
            <w:r w:rsidRPr="003003C0">
              <w:rPr>
                <w:rFonts w:cs="Arial"/>
                <w:color w:val="000000"/>
                <w:sz w:val="14"/>
                <w:szCs w:val="14"/>
              </w:rPr>
              <w:t>10</w:t>
            </w:r>
            <w:r>
              <w:rPr>
                <w:rFonts w:cs="Arial"/>
                <w:color w:val="000000"/>
                <w:sz w:val="14"/>
                <w:szCs w:val="14"/>
              </w:rPr>
              <w:t>.</w:t>
            </w:r>
            <w:r w:rsidRPr="003003C0">
              <w:rPr>
                <w:rFonts w:cs="Arial"/>
                <w:color w:val="000000"/>
                <w:sz w:val="14"/>
                <w:szCs w:val="14"/>
              </w:rPr>
              <w:t>1</w:t>
            </w:r>
          </w:p>
        </w:tc>
        <w:tc>
          <w:tcPr>
            <w:tcW w:w="392" w:type="pct"/>
            <w:noWrap/>
            <w:vAlign w:val="center"/>
            <w:hideMark/>
          </w:tcPr>
          <w:p w14:paraId="29467C34" w14:textId="77777777" w:rsidR="004F64EF" w:rsidRPr="003003C0" w:rsidRDefault="004F64EF" w:rsidP="00FD6B66">
            <w:pPr>
              <w:jc w:val="right"/>
              <w:rPr>
                <w:rFonts w:cs="Arial"/>
                <w:color w:val="000000"/>
                <w:sz w:val="14"/>
                <w:szCs w:val="14"/>
              </w:rPr>
            </w:pPr>
            <w:r w:rsidRPr="003003C0">
              <w:rPr>
                <w:rFonts w:cs="Arial"/>
                <w:color w:val="000000"/>
                <w:sz w:val="14"/>
                <w:szCs w:val="14"/>
              </w:rPr>
              <w:t>11</w:t>
            </w:r>
            <w:r>
              <w:rPr>
                <w:rFonts w:cs="Arial"/>
                <w:color w:val="000000"/>
                <w:sz w:val="14"/>
                <w:szCs w:val="14"/>
              </w:rPr>
              <w:t>.</w:t>
            </w:r>
            <w:r w:rsidRPr="003003C0">
              <w:rPr>
                <w:rFonts w:cs="Arial"/>
                <w:color w:val="000000"/>
                <w:sz w:val="14"/>
                <w:szCs w:val="14"/>
              </w:rPr>
              <w:t>7</w:t>
            </w:r>
          </w:p>
        </w:tc>
      </w:tr>
      <w:tr w:rsidR="004F64EF" w:rsidRPr="003003C0" w14:paraId="44A41CB1" w14:textId="77777777" w:rsidTr="00BE2A9F">
        <w:trPr>
          <w:trHeight w:val="57"/>
        </w:trPr>
        <w:tc>
          <w:tcPr>
            <w:tcW w:w="2258" w:type="pct"/>
            <w:noWrap/>
            <w:vAlign w:val="center"/>
            <w:hideMark/>
          </w:tcPr>
          <w:p w14:paraId="74B64C34" w14:textId="77777777" w:rsidR="004F64EF" w:rsidRPr="003003C0" w:rsidRDefault="004F64EF" w:rsidP="00FD6B66">
            <w:pPr>
              <w:tabs>
                <w:tab w:val="left" w:pos="113"/>
              </w:tabs>
              <w:jc w:val="left"/>
              <w:rPr>
                <w:rFonts w:cs="Arial"/>
                <w:color w:val="000000"/>
                <w:sz w:val="14"/>
                <w:szCs w:val="14"/>
              </w:rPr>
            </w:pPr>
            <w:r w:rsidRPr="003003C0">
              <w:rPr>
                <w:rFonts w:cs="Arial"/>
                <w:color w:val="000000"/>
                <w:sz w:val="14"/>
                <w:szCs w:val="14"/>
              </w:rPr>
              <w:tab/>
            </w:r>
            <w:r>
              <w:rPr>
                <w:rFonts w:cs="Arial"/>
                <w:color w:val="000000"/>
                <w:sz w:val="14"/>
                <w:szCs w:val="14"/>
              </w:rPr>
              <w:t>EU</w:t>
            </w:r>
            <w:r w:rsidRPr="003003C0">
              <w:rPr>
                <w:rFonts w:cs="Arial"/>
                <w:color w:val="000000"/>
                <w:sz w:val="14"/>
                <w:szCs w:val="14"/>
              </w:rPr>
              <w:t>-27</w:t>
            </w:r>
          </w:p>
        </w:tc>
        <w:tc>
          <w:tcPr>
            <w:tcW w:w="392" w:type="pct"/>
            <w:noWrap/>
            <w:vAlign w:val="center"/>
            <w:hideMark/>
          </w:tcPr>
          <w:p w14:paraId="10964FA5" w14:textId="77777777" w:rsidR="004F64EF" w:rsidRPr="003003C0" w:rsidRDefault="004F64EF" w:rsidP="00FD6B66">
            <w:pPr>
              <w:jc w:val="right"/>
              <w:rPr>
                <w:rFonts w:cs="Arial"/>
                <w:color w:val="000000"/>
                <w:sz w:val="14"/>
                <w:szCs w:val="14"/>
              </w:rPr>
            </w:pPr>
            <w:r w:rsidRPr="003003C0">
              <w:rPr>
                <w:rFonts w:cs="Arial"/>
                <w:color w:val="000000"/>
                <w:sz w:val="14"/>
                <w:szCs w:val="14"/>
              </w:rPr>
              <w:t>6</w:t>
            </w:r>
            <w:r>
              <w:rPr>
                <w:rFonts w:cs="Arial"/>
                <w:color w:val="000000"/>
                <w:sz w:val="14"/>
                <w:szCs w:val="14"/>
              </w:rPr>
              <w:t>.</w:t>
            </w:r>
            <w:r w:rsidRPr="003003C0">
              <w:rPr>
                <w:rFonts w:cs="Arial"/>
                <w:color w:val="000000"/>
                <w:sz w:val="14"/>
                <w:szCs w:val="14"/>
              </w:rPr>
              <w:t>7</w:t>
            </w:r>
          </w:p>
        </w:tc>
        <w:tc>
          <w:tcPr>
            <w:tcW w:w="392" w:type="pct"/>
            <w:noWrap/>
            <w:vAlign w:val="center"/>
            <w:hideMark/>
          </w:tcPr>
          <w:p w14:paraId="717A1E04" w14:textId="77777777" w:rsidR="004F64EF" w:rsidRPr="003003C0" w:rsidRDefault="004F64EF" w:rsidP="00FD6B66">
            <w:pPr>
              <w:jc w:val="right"/>
              <w:rPr>
                <w:rFonts w:cs="Arial"/>
                <w:color w:val="000000"/>
                <w:sz w:val="14"/>
                <w:szCs w:val="14"/>
              </w:rPr>
            </w:pPr>
            <w:r w:rsidRPr="003003C0">
              <w:rPr>
                <w:rFonts w:cs="Arial"/>
                <w:color w:val="000000"/>
                <w:sz w:val="14"/>
                <w:szCs w:val="14"/>
              </w:rPr>
              <w:t>5</w:t>
            </w:r>
            <w:r>
              <w:rPr>
                <w:rFonts w:cs="Arial"/>
                <w:color w:val="000000"/>
                <w:sz w:val="14"/>
                <w:szCs w:val="14"/>
              </w:rPr>
              <w:t>.</w:t>
            </w:r>
            <w:r w:rsidRPr="003003C0">
              <w:rPr>
                <w:rFonts w:cs="Arial"/>
                <w:color w:val="000000"/>
                <w:sz w:val="14"/>
                <w:szCs w:val="14"/>
              </w:rPr>
              <w:t>4</w:t>
            </w:r>
          </w:p>
        </w:tc>
        <w:tc>
          <w:tcPr>
            <w:tcW w:w="392" w:type="pct"/>
            <w:noWrap/>
            <w:vAlign w:val="center"/>
            <w:hideMark/>
          </w:tcPr>
          <w:p w14:paraId="74DE7EAE" w14:textId="77777777" w:rsidR="004F64EF" w:rsidRPr="003003C0" w:rsidRDefault="004F64EF" w:rsidP="00FD6B66">
            <w:pPr>
              <w:jc w:val="right"/>
              <w:rPr>
                <w:rFonts w:cs="Arial"/>
                <w:color w:val="000000"/>
                <w:sz w:val="14"/>
                <w:szCs w:val="14"/>
              </w:rPr>
            </w:pPr>
            <w:r w:rsidRPr="003003C0">
              <w:rPr>
                <w:rFonts w:cs="Arial"/>
                <w:color w:val="000000"/>
                <w:sz w:val="14"/>
                <w:szCs w:val="14"/>
              </w:rPr>
              <w:t>4</w:t>
            </w:r>
            <w:r>
              <w:rPr>
                <w:rFonts w:cs="Arial"/>
                <w:color w:val="000000"/>
                <w:sz w:val="14"/>
                <w:szCs w:val="14"/>
              </w:rPr>
              <w:t>.</w:t>
            </w:r>
            <w:r w:rsidRPr="003003C0">
              <w:rPr>
                <w:rFonts w:cs="Arial"/>
                <w:color w:val="000000"/>
                <w:sz w:val="14"/>
                <w:szCs w:val="14"/>
              </w:rPr>
              <w:t>3</w:t>
            </w:r>
          </w:p>
        </w:tc>
        <w:tc>
          <w:tcPr>
            <w:tcW w:w="392" w:type="pct"/>
            <w:noWrap/>
            <w:vAlign w:val="center"/>
            <w:hideMark/>
          </w:tcPr>
          <w:p w14:paraId="16AEC389" w14:textId="77777777" w:rsidR="004F64EF" w:rsidRPr="003003C0" w:rsidRDefault="004F64EF" w:rsidP="00FD6B66">
            <w:pPr>
              <w:jc w:val="right"/>
              <w:rPr>
                <w:rFonts w:cs="Arial"/>
                <w:color w:val="000000"/>
                <w:sz w:val="14"/>
                <w:szCs w:val="14"/>
              </w:rPr>
            </w:pPr>
            <w:r w:rsidRPr="003003C0">
              <w:rPr>
                <w:rFonts w:cs="Arial"/>
                <w:color w:val="000000"/>
                <w:sz w:val="14"/>
                <w:szCs w:val="14"/>
              </w:rPr>
              <w:t>6</w:t>
            </w:r>
            <w:r>
              <w:rPr>
                <w:rFonts w:cs="Arial"/>
                <w:color w:val="000000"/>
                <w:sz w:val="14"/>
                <w:szCs w:val="14"/>
              </w:rPr>
              <w:t>.</w:t>
            </w:r>
            <w:r w:rsidRPr="003003C0">
              <w:rPr>
                <w:rFonts w:cs="Arial"/>
                <w:color w:val="000000"/>
                <w:sz w:val="14"/>
                <w:szCs w:val="14"/>
              </w:rPr>
              <w:t>5</w:t>
            </w:r>
          </w:p>
        </w:tc>
        <w:tc>
          <w:tcPr>
            <w:tcW w:w="392" w:type="pct"/>
            <w:noWrap/>
            <w:vAlign w:val="center"/>
            <w:hideMark/>
          </w:tcPr>
          <w:p w14:paraId="49902F04" w14:textId="77777777" w:rsidR="004F64EF" w:rsidRPr="003003C0" w:rsidRDefault="004F64EF" w:rsidP="00FD6B66">
            <w:pPr>
              <w:jc w:val="right"/>
              <w:rPr>
                <w:rFonts w:cs="Arial"/>
                <w:color w:val="000000"/>
                <w:sz w:val="14"/>
                <w:szCs w:val="14"/>
              </w:rPr>
            </w:pPr>
            <w:r w:rsidRPr="003003C0">
              <w:rPr>
                <w:rFonts w:cs="Arial"/>
                <w:color w:val="000000"/>
                <w:sz w:val="14"/>
                <w:szCs w:val="14"/>
              </w:rPr>
              <w:t>8</w:t>
            </w:r>
            <w:r>
              <w:rPr>
                <w:rFonts w:cs="Arial"/>
                <w:color w:val="000000"/>
                <w:sz w:val="14"/>
                <w:szCs w:val="14"/>
              </w:rPr>
              <w:t>.</w:t>
            </w:r>
            <w:r w:rsidRPr="003003C0">
              <w:rPr>
                <w:rFonts w:cs="Arial"/>
                <w:color w:val="000000"/>
                <w:sz w:val="14"/>
                <w:szCs w:val="14"/>
              </w:rPr>
              <w:t>9</w:t>
            </w:r>
          </w:p>
        </w:tc>
        <w:tc>
          <w:tcPr>
            <w:tcW w:w="392" w:type="pct"/>
            <w:noWrap/>
            <w:vAlign w:val="center"/>
            <w:hideMark/>
          </w:tcPr>
          <w:p w14:paraId="3B689AE6" w14:textId="77777777" w:rsidR="004F64EF" w:rsidRPr="003003C0" w:rsidRDefault="004F64EF" w:rsidP="00FD6B66">
            <w:pPr>
              <w:jc w:val="right"/>
              <w:rPr>
                <w:rFonts w:cs="Arial"/>
                <w:color w:val="000000"/>
                <w:sz w:val="14"/>
                <w:szCs w:val="14"/>
              </w:rPr>
            </w:pPr>
            <w:r w:rsidRPr="003003C0">
              <w:rPr>
                <w:rFonts w:cs="Arial"/>
                <w:color w:val="000000"/>
                <w:sz w:val="14"/>
                <w:szCs w:val="14"/>
              </w:rPr>
              <w:t>8</w:t>
            </w:r>
            <w:r>
              <w:rPr>
                <w:rFonts w:cs="Arial"/>
                <w:color w:val="000000"/>
                <w:sz w:val="14"/>
                <w:szCs w:val="14"/>
              </w:rPr>
              <w:t>.</w:t>
            </w:r>
            <w:r w:rsidRPr="003003C0">
              <w:rPr>
                <w:rFonts w:cs="Arial"/>
                <w:color w:val="000000"/>
                <w:sz w:val="14"/>
                <w:szCs w:val="14"/>
              </w:rPr>
              <w:t>5</w:t>
            </w:r>
          </w:p>
        </w:tc>
        <w:tc>
          <w:tcPr>
            <w:tcW w:w="392" w:type="pct"/>
            <w:noWrap/>
            <w:vAlign w:val="center"/>
            <w:hideMark/>
          </w:tcPr>
          <w:p w14:paraId="370B395B" w14:textId="77777777" w:rsidR="004F64EF" w:rsidRPr="003003C0" w:rsidRDefault="004F64EF" w:rsidP="00FD6B66">
            <w:pPr>
              <w:jc w:val="right"/>
              <w:rPr>
                <w:rFonts w:cs="Arial"/>
                <w:color w:val="000000"/>
                <w:sz w:val="14"/>
                <w:szCs w:val="14"/>
              </w:rPr>
            </w:pPr>
            <w:r w:rsidRPr="003003C0">
              <w:rPr>
                <w:rFonts w:cs="Arial"/>
                <w:color w:val="000000"/>
                <w:sz w:val="14"/>
                <w:szCs w:val="14"/>
              </w:rPr>
              <w:t>10</w:t>
            </w:r>
            <w:r>
              <w:rPr>
                <w:rFonts w:cs="Arial"/>
                <w:color w:val="000000"/>
                <w:sz w:val="14"/>
                <w:szCs w:val="14"/>
              </w:rPr>
              <w:t>.</w:t>
            </w:r>
            <w:r w:rsidRPr="003003C0">
              <w:rPr>
                <w:rFonts w:cs="Arial"/>
                <w:color w:val="000000"/>
                <w:sz w:val="14"/>
                <w:szCs w:val="14"/>
              </w:rPr>
              <w:t>3</w:t>
            </w:r>
          </w:p>
        </w:tc>
      </w:tr>
      <w:tr w:rsidR="004F64EF" w:rsidRPr="003003C0" w14:paraId="53551762" w14:textId="77777777" w:rsidTr="00BE2A9F">
        <w:trPr>
          <w:cnfStyle w:val="000000010000" w:firstRow="0" w:lastRow="0" w:firstColumn="0" w:lastColumn="0" w:oddVBand="0" w:evenVBand="0" w:oddHBand="0" w:evenHBand="1" w:firstRowFirstColumn="0" w:firstRowLastColumn="0" w:lastRowFirstColumn="0" w:lastRowLastColumn="0"/>
          <w:trHeight w:val="57"/>
        </w:trPr>
        <w:tc>
          <w:tcPr>
            <w:tcW w:w="2258" w:type="pct"/>
            <w:noWrap/>
            <w:vAlign w:val="center"/>
            <w:hideMark/>
          </w:tcPr>
          <w:p w14:paraId="66ED9AD3" w14:textId="77777777" w:rsidR="004F64EF" w:rsidRPr="003003C0" w:rsidRDefault="004F64EF" w:rsidP="00FD6B66">
            <w:pPr>
              <w:tabs>
                <w:tab w:val="left" w:pos="510"/>
              </w:tabs>
              <w:jc w:val="left"/>
              <w:rPr>
                <w:rFonts w:cs="Arial"/>
                <w:color w:val="000000"/>
                <w:sz w:val="14"/>
                <w:szCs w:val="14"/>
              </w:rPr>
            </w:pPr>
            <w:r w:rsidRPr="003003C0">
              <w:rPr>
                <w:rFonts w:cs="Arial"/>
                <w:color w:val="000000"/>
                <w:sz w:val="14"/>
                <w:szCs w:val="14"/>
              </w:rPr>
              <w:tab/>
              <w:t>Ital</w:t>
            </w:r>
            <w:r>
              <w:rPr>
                <w:rFonts w:cs="Arial"/>
                <w:color w:val="000000"/>
                <w:sz w:val="14"/>
                <w:szCs w:val="14"/>
              </w:rPr>
              <w:t>y</w:t>
            </w:r>
          </w:p>
        </w:tc>
        <w:tc>
          <w:tcPr>
            <w:tcW w:w="392" w:type="pct"/>
            <w:noWrap/>
            <w:vAlign w:val="center"/>
            <w:hideMark/>
          </w:tcPr>
          <w:p w14:paraId="44597967" w14:textId="77777777" w:rsidR="004F64EF" w:rsidRPr="003003C0" w:rsidRDefault="004F64EF" w:rsidP="00FD6B66">
            <w:pPr>
              <w:jc w:val="right"/>
              <w:rPr>
                <w:rFonts w:cs="Arial"/>
                <w:color w:val="000000"/>
                <w:sz w:val="14"/>
                <w:szCs w:val="14"/>
              </w:rPr>
            </w:pPr>
            <w:r w:rsidRPr="003003C0">
              <w:rPr>
                <w:rFonts w:cs="Arial"/>
                <w:color w:val="000000"/>
                <w:sz w:val="14"/>
                <w:szCs w:val="14"/>
              </w:rPr>
              <w:t>3</w:t>
            </w:r>
            <w:r>
              <w:rPr>
                <w:rFonts w:cs="Arial"/>
                <w:color w:val="000000"/>
                <w:sz w:val="14"/>
                <w:szCs w:val="14"/>
              </w:rPr>
              <w:t>.</w:t>
            </w:r>
            <w:r w:rsidRPr="003003C0">
              <w:rPr>
                <w:rFonts w:cs="Arial"/>
                <w:color w:val="000000"/>
                <w:sz w:val="14"/>
                <w:szCs w:val="14"/>
              </w:rPr>
              <w:t>1</w:t>
            </w:r>
          </w:p>
        </w:tc>
        <w:tc>
          <w:tcPr>
            <w:tcW w:w="392" w:type="pct"/>
            <w:noWrap/>
            <w:vAlign w:val="center"/>
            <w:hideMark/>
          </w:tcPr>
          <w:p w14:paraId="37933BB6" w14:textId="77777777" w:rsidR="004F64EF" w:rsidRPr="003003C0" w:rsidRDefault="004F64EF" w:rsidP="00FD6B66">
            <w:pPr>
              <w:jc w:val="right"/>
              <w:rPr>
                <w:rFonts w:cs="Arial"/>
                <w:color w:val="000000"/>
                <w:sz w:val="14"/>
                <w:szCs w:val="14"/>
              </w:rPr>
            </w:pPr>
            <w:r w:rsidRPr="003003C0">
              <w:rPr>
                <w:rFonts w:cs="Arial"/>
                <w:color w:val="000000"/>
                <w:sz w:val="14"/>
                <w:szCs w:val="14"/>
              </w:rPr>
              <w:t>1</w:t>
            </w:r>
            <w:r>
              <w:rPr>
                <w:rFonts w:cs="Arial"/>
                <w:color w:val="000000"/>
                <w:sz w:val="14"/>
                <w:szCs w:val="14"/>
              </w:rPr>
              <w:t>.</w:t>
            </w:r>
            <w:r w:rsidRPr="003003C0">
              <w:rPr>
                <w:rFonts w:cs="Arial"/>
                <w:color w:val="000000"/>
                <w:sz w:val="14"/>
                <w:szCs w:val="14"/>
              </w:rPr>
              <w:t>0</w:t>
            </w:r>
          </w:p>
        </w:tc>
        <w:tc>
          <w:tcPr>
            <w:tcW w:w="392" w:type="pct"/>
            <w:noWrap/>
            <w:vAlign w:val="center"/>
            <w:hideMark/>
          </w:tcPr>
          <w:p w14:paraId="2666800C" w14:textId="77777777" w:rsidR="004F64EF" w:rsidRPr="003003C0" w:rsidRDefault="004F64EF" w:rsidP="00FD6B66">
            <w:pPr>
              <w:jc w:val="right"/>
              <w:rPr>
                <w:rFonts w:cs="Arial"/>
                <w:color w:val="000000"/>
                <w:sz w:val="14"/>
                <w:szCs w:val="14"/>
              </w:rPr>
            </w:pPr>
            <w:r w:rsidRPr="003003C0">
              <w:rPr>
                <w:rFonts w:cs="Arial"/>
                <w:color w:val="000000"/>
                <w:sz w:val="14"/>
                <w:szCs w:val="14"/>
              </w:rPr>
              <w:t>1</w:t>
            </w:r>
            <w:r>
              <w:rPr>
                <w:rFonts w:cs="Arial"/>
                <w:color w:val="000000"/>
                <w:sz w:val="14"/>
                <w:szCs w:val="14"/>
              </w:rPr>
              <w:t>.</w:t>
            </w:r>
            <w:r w:rsidRPr="003003C0">
              <w:rPr>
                <w:rFonts w:cs="Arial"/>
                <w:color w:val="000000"/>
                <w:sz w:val="14"/>
                <w:szCs w:val="14"/>
              </w:rPr>
              <w:t>0</w:t>
            </w:r>
          </w:p>
        </w:tc>
        <w:tc>
          <w:tcPr>
            <w:tcW w:w="392" w:type="pct"/>
            <w:noWrap/>
            <w:vAlign w:val="center"/>
            <w:hideMark/>
          </w:tcPr>
          <w:p w14:paraId="454B1869" w14:textId="77777777" w:rsidR="004F64EF" w:rsidRPr="003003C0" w:rsidRDefault="004F64EF" w:rsidP="00FD6B66">
            <w:pPr>
              <w:jc w:val="right"/>
              <w:rPr>
                <w:rFonts w:cs="Arial"/>
                <w:color w:val="000000"/>
                <w:sz w:val="14"/>
                <w:szCs w:val="14"/>
              </w:rPr>
            </w:pPr>
            <w:r w:rsidRPr="003003C0">
              <w:rPr>
                <w:rFonts w:cs="Arial"/>
                <w:color w:val="000000"/>
                <w:sz w:val="14"/>
                <w:szCs w:val="14"/>
              </w:rPr>
              <w:t>2</w:t>
            </w:r>
            <w:r>
              <w:rPr>
                <w:rFonts w:cs="Arial"/>
                <w:color w:val="000000"/>
                <w:sz w:val="14"/>
                <w:szCs w:val="14"/>
              </w:rPr>
              <w:t>.</w:t>
            </w:r>
            <w:r w:rsidRPr="003003C0">
              <w:rPr>
                <w:rFonts w:cs="Arial"/>
                <w:color w:val="000000"/>
                <w:sz w:val="14"/>
                <w:szCs w:val="14"/>
              </w:rPr>
              <w:t>9</w:t>
            </w:r>
          </w:p>
        </w:tc>
        <w:tc>
          <w:tcPr>
            <w:tcW w:w="392" w:type="pct"/>
            <w:noWrap/>
            <w:vAlign w:val="center"/>
            <w:hideMark/>
          </w:tcPr>
          <w:p w14:paraId="6CF45BFE" w14:textId="77777777" w:rsidR="004F64EF" w:rsidRPr="003003C0" w:rsidRDefault="004F64EF" w:rsidP="00FD6B66">
            <w:pPr>
              <w:jc w:val="right"/>
              <w:rPr>
                <w:rFonts w:cs="Arial"/>
                <w:color w:val="000000"/>
                <w:sz w:val="14"/>
                <w:szCs w:val="14"/>
              </w:rPr>
            </w:pPr>
            <w:r w:rsidRPr="003003C0">
              <w:rPr>
                <w:rFonts w:cs="Arial"/>
                <w:color w:val="000000"/>
                <w:sz w:val="14"/>
                <w:szCs w:val="14"/>
              </w:rPr>
              <w:t>4</w:t>
            </w:r>
            <w:r>
              <w:rPr>
                <w:rFonts w:cs="Arial"/>
                <w:color w:val="000000"/>
                <w:sz w:val="14"/>
                <w:szCs w:val="14"/>
              </w:rPr>
              <w:t>.</w:t>
            </w:r>
            <w:r w:rsidRPr="003003C0">
              <w:rPr>
                <w:rFonts w:cs="Arial"/>
                <w:color w:val="000000"/>
                <w:sz w:val="14"/>
                <w:szCs w:val="14"/>
              </w:rPr>
              <w:t>9</w:t>
            </w:r>
          </w:p>
        </w:tc>
        <w:tc>
          <w:tcPr>
            <w:tcW w:w="392" w:type="pct"/>
            <w:noWrap/>
            <w:vAlign w:val="center"/>
            <w:hideMark/>
          </w:tcPr>
          <w:p w14:paraId="757A1608" w14:textId="77777777" w:rsidR="004F64EF" w:rsidRPr="003003C0" w:rsidRDefault="004F64EF" w:rsidP="00FD6B66">
            <w:pPr>
              <w:jc w:val="right"/>
              <w:rPr>
                <w:rFonts w:cs="Arial"/>
                <w:color w:val="000000"/>
                <w:sz w:val="14"/>
                <w:szCs w:val="14"/>
              </w:rPr>
            </w:pPr>
            <w:r w:rsidRPr="003003C0">
              <w:rPr>
                <w:rFonts w:cs="Arial"/>
                <w:color w:val="000000"/>
                <w:sz w:val="14"/>
                <w:szCs w:val="14"/>
              </w:rPr>
              <w:t>4</w:t>
            </w:r>
            <w:r>
              <w:rPr>
                <w:rFonts w:cs="Arial"/>
                <w:color w:val="000000"/>
                <w:sz w:val="14"/>
                <w:szCs w:val="14"/>
              </w:rPr>
              <w:t>.</w:t>
            </w:r>
            <w:r w:rsidRPr="003003C0">
              <w:rPr>
                <w:rFonts w:cs="Arial"/>
                <w:color w:val="000000"/>
                <w:sz w:val="14"/>
                <w:szCs w:val="14"/>
              </w:rPr>
              <w:t>7</w:t>
            </w:r>
          </w:p>
        </w:tc>
        <w:tc>
          <w:tcPr>
            <w:tcW w:w="392" w:type="pct"/>
            <w:noWrap/>
            <w:vAlign w:val="center"/>
            <w:hideMark/>
          </w:tcPr>
          <w:p w14:paraId="67AC2D5C" w14:textId="77777777" w:rsidR="004F64EF" w:rsidRPr="003003C0" w:rsidRDefault="004F64EF" w:rsidP="00FD6B66">
            <w:pPr>
              <w:jc w:val="right"/>
              <w:rPr>
                <w:rFonts w:cs="Arial"/>
                <w:color w:val="000000"/>
                <w:sz w:val="14"/>
                <w:szCs w:val="14"/>
              </w:rPr>
            </w:pPr>
            <w:r w:rsidRPr="003003C0">
              <w:rPr>
                <w:rFonts w:cs="Arial"/>
                <w:color w:val="000000"/>
                <w:sz w:val="14"/>
                <w:szCs w:val="14"/>
              </w:rPr>
              <w:t>6</w:t>
            </w:r>
            <w:r>
              <w:rPr>
                <w:rFonts w:cs="Arial"/>
                <w:color w:val="000000"/>
                <w:sz w:val="14"/>
                <w:szCs w:val="14"/>
              </w:rPr>
              <w:t>.</w:t>
            </w:r>
            <w:r w:rsidRPr="003003C0">
              <w:rPr>
                <w:rFonts w:cs="Arial"/>
                <w:color w:val="000000"/>
                <w:sz w:val="14"/>
                <w:szCs w:val="14"/>
              </w:rPr>
              <w:t>4</w:t>
            </w:r>
          </w:p>
        </w:tc>
      </w:tr>
      <w:tr w:rsidR="004F64EF" w:rsidRPr="003003C0" w14:paraId="185DECAD" w14:textId="77777777" w:rsidTr="00BE2A9F">
        <w:trPr>
          <w:trHeight w:val="57"/>
        </w:trPr>
        <w:tc>
          <w:tcPr>
            <w:tcW w:w="2258" w:type="pct"/>
            <w:noWrap/>
            <w:vAlign w:val="center"/>
            <w:hideMark/>
          </w:tcPr>
          <w:p w14:paraId="026EF933" w14:textId="77777777" w:rsidR="004F64EF" w:rsidRPr="003003C0" w:rsidRDefault="004F64EF" w:rsidP="00FD6B66">
            <w:pPr>
              <w:tabs>
                <w:tab w:val="left" w:pos="510"/>
              </w:tabs>
              <w:jc w:val="left"/>
              <w:rPr>
                <w:rFonts w:cs="Arial"/>
                <w:color w:val="000000"/>
                <w:sz w:val="14"/>
                <w:szCs w:val="14"/>
              </w:rPr>
            </w:pPr>
            <w:r w:rsidRPr="003003C0">
              <w:rPr>
                <w:rFonts w:cs="Arial"/>
                <w:color w:val="000000"/>
                <w:sz w:val="14"/>
                <w:szCs w:val="14"/>
              </w:rPr>
              <w:tab/>
            </w:r>
            <w:r>
              <w:rPr>
                <w:rFonts w:cs="Arial"/>
                <w:color w:val="000000"/>
                <w:sz w:val="14"/>
                <w:szCs w:val="14"/>
              </w:rPr>
              <w:t>Germany</w:t>
            </w:r>
          </w:p>
        </w:tc>
        <w:tc>
          <w:tcPr>
            <w:tcW w:w="392" w:type="pct"/>
            <w:noWrap/>
            <w:vAlign w:val="center"/>
            <w:hideMark/>
          </w:tcPr>
          <w:p w14:paraId="765AD0E5" w14:textId="77777777" w:rsidR="004F64EF" w:rsidRPr="003003C0" w:rsidRDefault="004F64EF" w:rsidP="00FD6B66">
            <w:pPr>
              <w:jc w:val="right"/>
              <w:rPr>
                <w:rFonts w:cs="Arial"/>
                <w:color w:val="000000"/>
                <w:sz w:val="14"/>
                <w:szCs w:val="14"/>
              </w:rPr>
            </w:pPr>
            <w:r w:rsidRPr="003003C0">
              <w:rPr>
                <w:rFonts w:cs="Arial"/>
                <w:color w:val="000000"/>
                <w:sz w:val="14"/>
                <w:szCs w:val="14"/>
              </w:rPr>
              <w:t>1</w:t>
            </w:r>
            <w:r>
              <w:rPr>
                <w:rFonts w:cs="Arial"/>
                <w:color w:val="000000"/>
                <w:sz w:val="14"/>
                <w:szCs w:val="14"/>
              </w:rPr>
              <w:t>.</w:t>
            </w:r>
            <w:r w:rsidRPr="003003C0">
              <w:rPr>
                <w:rFonts w:cs="Arial"/>
                <w:color w:val="000000"/>
                <w:sz w:val="14"/>
                <w:szCs w:val="14"/>
              </w:rPr>
              <w:t>4</w:t>
            </w:r>
          </w:p>
        </w:tc>
        <w:tc>
          <w:tcPr>
            <w:tcW w:w="392" w:type="pct"/>
            <w:noWrap/>
            <w:vAlign w:val="center"/>
            <w:hideMark/>
          </w:tcPr>
          <w:p w14:paraId="150CEA51" w14:textId="77777777" w:rsidR="004F64EF" w:rsidRPr="003003C0" w:rsidRDefault="004F64EF" w:rsidP="00FD6B66">
            <w:pPr>
              <w:jc w:val="right"/>
              <w:rPr>
                <w:rFonts w:cs="Arial"/>
                <w:color w:val="000000"/>
                <w:sz w:val="14"/>
                <w:szCs w:val="14"/>
              </w:rPr>
            </w:pPr>
            <w:r w:rsidRPr="003003C0">
              <w:rPr>
                <w:rFonts w:cs="Arial"/>
                <w:color w:val="000000"/>
                <w:sz w:val="14"/>
                <w:szCs w:val="14"/>
              </w:rPr>
              <w:t>1</w:t>
            </w:r>
            <w:r>
              <w:rPr>
                <w:rFonts w:cs="Arial"/>
                <w:color w:val="000000"/>
                <w:sz w:val="14"/>
                <w:szCs w:val="14"/>
              </w:rPr>
              <w:t>.</w:t>
            </w:r>
            <w:r w:rsidRPr="003003C0">
              <w:rPr>
                <w:rFonts w:cs="Arial"/>
                <w:color w:val="000000"/>
                <w:sz w:val="14"/>
                <w:szCs w:val="14"/>
              </w:rPr>
              <w:t>5</w:t>
            </w:r>
          </w:p>
        </w:tc>
        <w:tc>
          <w:tcPr>
            <w:tcW w:w="392" w:type="pct"/>
            <w:noWrap/>
            <w:vAlign w:val="center"/>
            <w:hideMark/>
          </w:tcPr>
          <w:p w14:paraId="2B85D90E" w14:textId="77777777" w:rsidR="004F64EF" w:rsidRPr="003003C0" w:rsidRDefault="004F64EF" w:rsidP="00FD6B66">
            <w:pPr>
              <w:jc w:val="right"/>
              <w:rPr>
                <w:rFonts w:cs="Arial"/>
                <w:color w:val="000000"/>
                <w:sz w:val="14"/>
                <w:szCs w:val="14"/>
              </w:rPr>
            </w:pPr>
            <w:r w:rsidRPr="003003C0">
              <w:rPr>
                <w:rFonts w:cs="Arial"/>
                <w:color w:val="000000"/>
                <w:sz w:val="14"/>
                <w:szCs w:val="14"/>
              </w:rPr>
              <w:t>1</w:t>
            </w:r>
            <w:r>
              <w:rPr>
                <w:rFonts w:cs="Arial"/>
                <w:color w:val="000000"/>
                <w:sz w:val="14"/>
                <w:szCs w:val="14"/>
              </w:rPr>
              <w:t>.</w:t>
            </w:r>
            <w:r w:rsidRPr="003003C0">
              <w:rPr>
                <w:rFonts w:cs="Arial"/>
                <w:color w:val="000000"/>
                <w:sz w:val="14"/>
                <w:szCs w:val="14"/>
              </w:rPr>
              <w:t>0</w:t>
            </w:r>
          </w:p>
        </w:tc>
        <w:tc>
          <w:tcPr>
            <w:tcW w:w="392" w:type="pct"/>
            <w:noWrap/>
            <w:vAlign w:val="center"/>
            <w:hideMark/>
          </w:tcPr>
          <w:p w14:paraId="48E4A755" w14:textId="77777777" w:rsidR="004F64EF" w:rsidRPr="003003C0" w:rsidRDefault="004F64EF" w:rsidP="00FD6B66">
            <w:pPr>
              <w:jc w:val="right"/>
              <w:rPr>
                <w:rFonts w:cs="Arial"/>
                <w:color w:val="000000"/>
                <w:sz w:val="14"/>
                <w:szCs w:val="14"/>
              </w:rPr>
            </w:pPr>
            <w:r w:rsidRPr="003003C0">
              <w:rPr>
                <w:rFonts w:cs="Arial"/>
                <w:color w:val="000000"/>
                <w:sz w:val="14"/>
                <w:szCs w:val="14"/>
              </w:rPr>
              <w:t>1</w:t>
            </w:r>
            <w:r>
              <w:rPr>
                <w:rFonts w:cs="Arial"/>
                <w:color w:val="000000"/>
                <w:sz w:val="14"/>
                <w:szCs w:val="14"/>
              </w:rPr>
              <w:t>.</w:t>
            </w:r>
            <w:r w:rsidRPr="003003C0">
              <w:rPr>
                <w:rFonts w:cs="Arial"/>
                <w:color w:val="000000"/>
                <w:sz w:val="14"/>
                <w:szCs w:val="14"/>
              </w:rPr>
              <w:t>0</w:t>
            </w:r>
          </w:p>
        </w:tc>
        <w:tc>
          <w:tcPr>
            <w:tcW w:w="392" w:type="pct"/>
            <w:noWrap/>
            <w:vAlign w:val="center"/>
            <w:hideMark/>
          </w:tcPr>
          <w:p w14:paraId="06F43908" w14:textId="77777777" w:rsidR="004F64EF" w:rsidRPr="003003C0" w:rsidRDefault="004F64EF" w:rsidP="00FD6B66">
            <w:pPr>
              <w:jc w:val="right"/>
              <w:rPr>
                <w:rFonts w:cs="Arial"/>
                <w:color w:val="000000"/>
                <w:sz w:val="14"/>
                <w:szCs w:val="14"/>
              </w:rPr>
            </w:pPr>
            <w:r w:rsidRPr="003003C0">
              <w:rPr>
                <w:rFonts w:cs="Arial"/>
                <w:color w:val="000000"/>
                <w:sz w:val="14"/>
                <w:szCs w:val="14"/>
              </w:rPr>
              <w:t>1</w:t>
            </w:r>
            <w:r>
              <w:rPr>
                <w:rFonts w:cs="Arial"/>
                <w:color w:val="000000"/>
                <w:sz w:val="14"/>
                <w:szCs w:val="14"/>
              </w:rPr>
              <w:t>.</w:t>
            </w:r>
            <w:r w:rsidRPr="003003C0">
              <w:rPr>
                <w:rFonts w:cs="Arial"/>
                <w:color w:val="000000"/>
                <w:sz w:val="14"/>
                <w:szCs w:val="14"/>
              </w:rPr>
              <w:t>0</w:t>
            </w:r>
          </w:p>
        </w:tc>
        <w:tc>
          <w:tcPr>
            <w:tcW w:w="392" w:type="pct"/>
            <w:noWrap/>
            <w:vAlign w:val="center"/>
            <w:hideMark/>
          </w:tcPr>
          <w:p w14:paraId="623C9084" w14:textId="77777777" w:rsidR="004F64EF" w:rsidRPr="003003C0" w:rsidRDefault="004F64EF" w:rsidP="00FD6B66">
            <w:pPr>
              <w:jc w:val="right"/>
              <w:rPr>
                <w:rFonts w:cs="Arial"/>
                <w:color w:val="000000"/>
                <w:sz w:val="14"/>
                <w:szCs w:val="14"/>
              </w:rPr>
            </w:pPr>
            <w:r w:rsidRPr="003003C0">
              <w:rPr>
                <w:rFonts w:cs="Arial"/>
                <w:color w:val="000000"/>
                <w:sz w:val="14"/>
                <w:szCs w:val="14"/>
              </w:rPr>
              <w:t>1</w:t>
            </w:r>
            <w:r>
              <w:rPr>
                <w:rFonts w:cs="Arial"/>
                <w:color w:val="000000"/>
                <w:sz w:val="14"/>
                <w:szCs w:val="14"/>
              </w:rPr>
              <w:t>.</w:t>
            </w:r>
            <w:r w:rsidRPr="003003C0">
              <w:rPr>
                <w:rFonts w:cs="Arial"/>
                <w:color w:val="000000"/>
                <w:sz w:val="14"/>
                <w:szCs w:val="14"/>
              </w:rPr>
              <w:t>3</w:t>
            </w:r>
          </w:p>
        </w:tc>
        <w:tc>
          <w:tcPr>
            <w:tcW w:w="392" w:type="pct"/>
            <w:noWrap/>
            <w:vAlign w:val="center"/>
            <w:hideMark/>
          </w:tcPr>
          <w:p w14:paraId="48810307" w14:textId="77777777" w:rsidR="004F64EF" w:rsidRPr="003003C0" w:rsidRDefault="004F64EF" w:rsidP="00FD6B66">
            <w:pPr>
              <w:jc w:val="right"/>
              <w:rPr>
                <w:rFonts w:cs="Arial"/>
                <w:color w:val="000000"/>
                <w:sz w:val="14"/>
                <w:szCs w:val="14"/>
              </w:rPr>
            </w:pPr>
            <w:r w:rsidRPr="003003C0">
              <w:rPr>
                <w:rFonts w:cs="Arial"/>
                <w:color w:val="000000"/>
                <w:sz w:val="14"/>
                <w:szCs w:val="14"/>
              </w:rPr>
              <w:t>1</w:t>
            </w:r>
            <w:r>
              <w:rPr>
                <w:rFonts w:cs="Arial"/>
                <w:color w:val="000000"/>
                <w:sz w:val="14"/>
                <w:szCs w:val="14"/>
              </w:rPr>
              <w:t>.</w:t>
            </w:r>
            <w:r w:rsidRPr="003003C0">
              <w:rPr>
                <w:rFonts w:cs="Arial"/>
                <w:color w:val="000000"/>
                <w:sz w:val="14"/>
                <w:szCs w:val="14"/>
              </w:rPr>
              <w:t>0</w:t>
            </w:r>
          </w:p>
        </w:tc>
      </w:tr>
      <w:tr w:rsidR="004F64EF" w:rsidRPr="003003C0" w14:paraId="4143D32A" w14:textId="77777777" w:rsidTr="00BE2A9F">
        <w:trPr>
          <w:cnfStyle w:val="000000010000" w:firstRow="0" w:lastRow="0" w:firstColumn="0" w:lastColumn="0" w:oddVBand="0" w:evenVBand="0" w:oddHBand="0" w:evenHBand="1" w:firstRowFirstColumn="0" w:firstRowLastColumn="0" w:lastRowFirstColumn="0" w:lastRowLastColumn="0"/>
          <w:trHeight w:val="57"/>
        </w:trPr>
        <w:tc>
          <w:tcPr>
            <w:tcW w:w="2258" w:type="pct"/>
            <w:noWrap/>
            <w:vAlign w:val="center"/>
            <w:hideMark/>
          </w:tcPr>
          <w:p w14:paraId="664D671C" w14:textId="77777777" w:rsidR="004F64EF" w:rsidRPr="003003C0" w:rsidRDefault="004F64EF" w:rsidP="00FD6B66">
            <w:pPr>
              <w:tabs>
                <w:tab w:val="left" w:pos="510"/>
              </w:tabs>
              <w:jc w:val="left"/>
              <w:rPr>
                <w:rFonts w:cs="Arial"/>
                <w:color w:val="000000"/>
                <w:sz w:val="14"/>
                <w:szCs w:val="14"/>
              </w:rPr>
            </w:pPr>
            <w:r w:rsidRPr="003003C0">
              <w:rPr>
                <w:rFonts w:cs="Arial"/>
                <w:color w:val="000000"/>
                <w:sz w:val="14"/>
                <w:szCs w:val="14"/>
              </w:rPr>
              <w:tab/>
              <w:t>Franc</w:t>
            </w:r>
            <w:r>
              <w:rPr>
                <w:rFonts w:cs="Arial"/>
                <w:color w:val="000000"/>
                <w:sz w:val="14"/>
                <w:szCs w:val="14"/>
              </w:rPr>
              <w:t>e</w:t>
            </w:r>
          </w:p>
        </w:tc>
        <w:tc>
          <w:tcPr>
            <w:tcW w:w="392" w:type="pct"/>
            <w:noWrap/>
            <w:vAlign w:val="center"/>
            <w:hideMark/>
          </w:tcPr>
          <w:p w14:paraId="42799B34"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6</w:t>
            </w:r>
          </w:p>
        </w:tc>
        <w:tc>
          <w:tcPr>
            <w:tcW w:w="392" w:type="pct"/>
            <w:noWrap/>
            <w:vAlign w:val="center"/>
            <w:hideMark/>
          </w:tcPr>
          <w:p w14:paraId="4E43E14C"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8</w:t>
            </w:r>
          </w:p>
        </w:tc>
        <w:tc>
          <w:tcPr>
            <w:tcW w:w="392" w:type="pct"/>
            <w:noWrap/>
            <w:vAlign w:val="center"/>
            <w:hideMark/>
          </w:tcPr>
          <w:p w14:paraId="1D26FE6C"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8</w:t>
            </w:r>
          </w:p>
        </w:tc>
        <w:tc>
          <w:tcPr>
            <w:tcW w:w="392" w:type="pct"/>
            <w:noWrap/>
            <w:vAlign w:val="center"/>
            <w:hideMark/>
          </w:tcPr>
          <w:p w14:paraId="7BFB3897"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7</w:t>
            </w:r>
          </w:p>
        </w:tc>
        <w:tc>
          <w:tcPr>
            <w:tcW w:w="392" w:type="pct"/>
            <w:noWrap/>
            <w:vAlign w:val="center"/>
            <w:hideMark/>
          </w:tcPr>
          <w:p w14:paraId="6FB7045F" w14:textId="77777777" w:rsidR="004F64EF" w:rsidRPr="003003C0" w:rsidRDefault="004F64EF" w:rsidP="00FD6B66">
            <w:pPr>
              <w:jc w:val="right"/>
              <w:rPr>
                <w:rFonts w:cs="Arial"/>
                <w:color w:val="000000"/>
                <w:sz w:val="14"/>
                <w:szCs w:val="14"/>
              </w:rPr>
            </w:pPr>
            <w:r w:rsidRPr="003003C0">
              <w:rPr>
                <w:rFonts w:cs="Arial"/>
                <w:color w:val="000000"/>
                <w:sz w:val="14"/>
                <w:szCs w:val="14"/>
              </w:rPr>
              <w:t>1</w:t>
            </w:r>
            <w:r>
              <w:rPr>
                <w:rFonts w:cs="Arial"/>
                <w:color w:val="000000"/>
                <w:sz w:val="14"/>
                <w:szCs w:val="14"/>
              </w:rPr>
              <w:t>.</w:t>
            </w:r>
            <w:r w:rsidRPr="003003C0">
              <w:rPr>
                <w:rFonts w:cs="Arial"/>
                <w:color w:val="000000"/>
                <w:sz w:val="14"/>
                <w:szCs w:val="14"/>
              </w:rPr>
              <w:t>0</w:t>
            </w:r>
          </w:p>
        </w:tc>
        <w:tc>
          <w:tcPr>
            <w:tcW w:w="392" w:type="pct"/>
            <w:noWrap/>
            <w:vAlign w:val="center"/>
            <w:hideMark/>
          </w:tcPr>
          <w:p w14:paraId="5B2F92BE"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8</w:t>
            </w:r>
          </w:p>
        </w:tc>
        <w:tc>
          <w:tcPr>
            <w:tcW w:w="392" w:type="pct"/>
            <w:noWrap/>
            <w:vAlign w:val="center"/>
            <w:hideMark/>
          </w:tcPr>
          <w:p w14:paraId="4B1D61F5"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8</w:t>
            </w:r>
          </w:p>
        </w:tc>
      </w:tr>
      <w:tr w:rsidR="004F64EF" w:rsidRPr="003003C0" w14:paraId="15FC1D2E" w14:textId="77777777" w:rsidTr="00BE2A9F">
        <w:trPr>
          <w:trHeight w:val="57"/>
        </w:trPr>
        <w:tc>
          <w:tcPr>
            <w:tcW w:w="2258" w:type="pct"/>
            <w:noWrap/>
            <w:vAlign w:val="center"/>
            <w:hideMark/>
          </w:tcPr>
          <w:p w14:paraId="6208BFF5" w14:textId="77777777" w:rsidR="004F64EF" w:rsidRPr="003003C0" w:rsidRDefault="004F64EF" w:rsidP="00FD6B66">
            <w:pPr>
              <w:tabs>
                <w:tab w:val="left" w:pos="510"/>
              </w:tabs>
              <w:jc w:val="left"/>
              <w:rPr>
                <w:rFonts w:cs="Arial"/>
                <w:color w:val="000000"/>
                <w:sz w:val="14"/>
                <w:szCs w:val="14"/>
              </w:rPr>
            </w:pPr>
            <w:r w:rsidRPr="003003C0">
              <w:rPr>
                <w:rFonts w:cs="Arial"/>
                <w:color w:val="000000"/>
                <w:sz w:val="14"/>
                <w:szCs w:val="14"/>
              </w:rPr>
              <w:tab/>
            </w:r>
            <w:r>
              <w:rPr>
                <w:rFonts w:cs="Arial"/>
                <w:color w:val="000000"/>
                <w:sz w:val="14"/>
                <w:szCs w:val="14"/>
              </w:rPr>
              <w:t>Spain</w:t>
            </w:r>
          </w:p>
        </w:tc>
        <w:tc>
          <w:tcPr>
            <w:tcW w:w="392" w:type="pct"/>
            <w:noWrap/>
            <w:vAlign w:val="center"/>
            <w:hideMark/>
          </w:tcPr>
          <w:p w14:paraId="04B901B5"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3</w:t>
            </w:r>
          </w:p>
        </w:tc>
        <w:tc>
          <w:tcPr>
            <w:tcW w:w="392" w:type="pct"/>
            <w:noWrap/>
            <w:vAlign w:val="center"/>
            <w:hideMark/>
          </w:tcPr>
          <w:p w14:paraId="48833F37"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4</w:t>
            </w:r>
          </w:p>
        </w:tc>
        <w:tc>
          <w:tcPr>
            <w:tcW w:w="392" w:type="pct"/>
            <w:noWrap/>
            <w:vAlign w:val="center"/>
            <w:hideMark/>
          </w:tcPr>
          <w:p w14:paraId="6E1CFF3D"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4</w:t>
            </w:r>
          </w:p>
        </w:tc>
        <w:tc>
          <w:tcPr>
            <w:tcW w:w="392" w:type="pct"/>
            <w:noWrap/>
            <w:vAlign w:val="center"/>
            <w:hideMark/>
          </w:tcPr>
          <w:p w14:paraId="6978B454"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4</w:t>
            </w:r>
          </w:p>
        </w:tc>
        <w:tc>
          <w:tcPr>
            <w:tcW w:w="392" w:type="pct"/>
            <w:noWrap/>
            <w:vAlign w:val="center"/>
            <w:hideMark/>
          </w:tcPr>
          <w:p w14:paraId="56AAED61"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4</w:t>
            </w:r>
          </w:p>
        </w:tc>
        <w:tc>
          <w:tcPr>
            <w:tcW w:w="392" w:type="pct"/>
            <w:noWrap/>
            <w:vAlign w:val="center"/>
            <w:hideMark/>
          </w:tcPr>
          <w:p w14:paraId="76618D88"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6</w:t>
            </w:r>
          </w:p>
        </w:tc>
        <w:tc>
          <w:tcPr>
            <w:tcW w:w="392" w:type="pct"/>
            <w:noWrap/>
            <w:vAlign w:val="center"/>
            <w:hideMark/>
          </w:tcPr>
          <w:p w14:paraId="177F9ECF"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6</w:t>
            </w:r>
          </w:p>
        </w:tc>
      </w:tr>
      <w:tr w:rsidR="004F64EF" w:rsidRPr="003003C0" w14:paraId="15B97789" w14:textId="77777777" w:rsidTr="00BE2A9F">
        <w:trPr>
          <w:cnfStyle w:val="000000010000" w:firstRow="0" w:lastRow="0" w:firstColumn="0" w:lastColumn="0" w:oddVBand="0" w:evenVBand="0" w:oddHBand="0" w:evenHBand="1" w:firstRowFirstColumn="0" w:firstRowLastColumn="0" w:lastRowFirstColumn="0" w:lastRowLastColumn="0"/>
          <w:trHeight w:val="57"/>
        </w:trPr>
        <w:tc>
          <w:tcPr>
            <w:tcW w:w="2258" w:type="pct"/>
            <w:noWrap/>
            <w:vAlign w:val="center"/>
            <w:hideMark/>
          </w:tcPr>
          <w:p w14:paraId="03F8271C" w14:textId="77777777" w:rsidR="004F64EF" w:rsidRPr="003003C0" w:rsidRDefault="004F64EF" w:rsidP="00FD6B66">
            <w:pPr>
              <w:tabs>
                <w:tab w:val="left" w:pos="510"/>
              </w:tabs>
              <w:jc w:val="left"/>
              <w:rPr>
                <w:rFonts w:cs="Arial"/>
                <w:color w:val="000000"/>
                <w:sz w:val="14"/>
                <w:szCs w:val="14"/>
              </w:rPr>
            </w:pPr>
            <w:r w:rsidRPr="003003C0">
              <w:rPr>
                <w:rFonts w:cs="Arial"/>
                <w:color w:val="000000"/>
                <w:sz w:val="14"/>
                <w:szCs w:val="14"/>
              </w:rPr>
              <w:tab/>
            </w:r>
            <w:r>
              <w:rPr>
                <w:rFonts w:cs="Arial"/>
                <w:color w:val="000000"/>
                <w:sz w:val="14"/>
                <w:szCs w:val="14"/>
              </w:rPr>
              <w:t>Netherlands</w:t>
            </w:r>
          </w:p>
        </w:tc>
        <w:tc>
          <w:tcPr>
            <w:tcW w:w="392" w:type="pct"/>
            <w:noWrap/>
            <w:vAlign w:val="center"/>
            <w:hideMark/>
          </w:tcPr>
          <w:p w14:paraId="620115E4"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4</w:t>
            </w:r>
          </w:p>
        </w:tc>
        <w:tc>
          <w:tcPr>
            <w:tcW w:w="392" w:type="pct"/>
            <w:noWrap/>
            <w:vAlign w:val="center"/>
            <w:hideMark/>
          </w:tcPr>
          <w:p w14:paraId="5EB1B8EC"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7</w:t>
            </w:r>
          </w:p>
        </w:tc>
        <w:tc>
          <w:tcPr>
            <w:tcW w:w="392" w:type="pct"/>
            <w:noWrap/>
            <w:vAlign w:val="center"/>
            <w:hideMark/>
          </w:tcPr>
          <w:p w14:paraId="6310218E"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5</w:t>
            </w:r>
          </w:p>
        </w:tc>
        <w:tc>
          <w:tcPr>
            <w:tcW w:w="392" w:type="pct"/>
            <w:noWrap/>
            <w:vAlign w:val="center"/>
            <w:hideMark/>
          </w:tcPr>
          <w:p w14:paraId="7CE42D08"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7</w:t>
            </w:r>
          </w:p>
        </w:tc>
        <w:tc>
          <w:tcPr>
            <w:tcW w:w="392" w:type="pct"/>
            <w:noWrap/>
            <w:vAlign w:val="center"/>
            <w:hideMark/>
          </w:tcPr>
          <w:p w14:paraId="58A0940D"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7</w:t>
            </w:r>
          </w:p>
        </w:tc>
        <w:tc>
          <w:tcPr>
            <w:tcW w:w="392" w:type="pct"/>
            <w:noWrap/>
            <w:vAlign w:val="center"/>
            <w:hideMark/>
          </w:tcPr>
          <w:p w14:paraId="235C9236"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5</w:t>
            </w:r>
          </w:p>
        </w:tc>
        <w:tc>
          <w:tcPr>
            <w:tcW w:w="392" w:type="pct"/>
            <w:noWrap/>
            <w:vAlign w:val="center"/>
            <w:hideMark/>
          </w:tcPr>
          <w:p w14:paraId="3161F324"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5</w:t>
            </w:r>
          </w:p>
        </w:tc>
      </w:tr>
      <w:tr w:rsidR="004F64EF" w:rsidRPr="003003C0" w14:paraId="10B7E525" w14:textId="77777777" w:rsidTr="00BE2A9F">
        <w:trPr>
          <w:trHeight w:val="57"/>
        </w:trPr>
        <w:tc>
          <w:tcPr>
            <w:tcW w:w="2258" w:type="pct"/>
            <w:noWrap/>
            <w:vAlign w:val="center"/>
            <w:hideMark/>
          </w:tcPr>
          <w:p w14:paraId="072B72E1" w14:textId="77777777" w:rsidR="004F64EF" w:rsidRPr="003003C0" w:rsidRDefault="004F64EF" w:rsidP="00FD6B66">
            <w:pPr>
              <w:tabs>
                <w:tab w:val="left" w:pos="113"/>
              </w:tabs>
              <w:jc w:val="left"/>
              <w:rPr>
                <w:rFonts w:cs="Arial"/>
                <w:color w:val="000000"/>
                <w:sz w:val="14"/>
                <w:szCs w:val="14"/>
              </w:rPr>
            </w:pPr>
            <w:r w:rsidRPr="003003C0">
              <w:rPr>
                <w:rFonts w:cs="Arial"/>
                <w:color w:val="000000"/>
                <w:sz w:val="14"/>
                <w:szCs w:val="14"/>
              </w:rPr>
              <w:tab/>
            </w:r>
            <w:r>
              <w:rPr>
                <w:rFonts w:cs="Arial"/>
                <w:color w:val="000000"/>
                <w:sz w:val="14"/>
                <w:szCs w:val="14"/>
              </w:rPr>
              <w:t>EFTA</w:t>
            </w:r>
          </w:p>
        </w:tc>
        <w:tc>
          <w:tcPr>
            <w:tcW w:w="392" w:type="pct"/>
            <w:noWrap/>
            <w:vAlign w:val="center"/>
            <w:hideMark/>
          </w:tcPr>
          <w:p w14:paraId="28E2C661"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1</w:t>
            </w:r>
          </w:p>
        </w:tc>
        <w:tc>
          <w:tcPr>
            <w:tcW w:w="392" w:type="pct"/>
            <w:noWrap/>
            <w:vAlign w:val="center"/>
            <w:hideMark/>
          </w:tcPr>
          <w:p w14:paraId="1EE14A43"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2</w:t>
            </w:r>
          </w:p>
        </w:tc>
        <w:tc>
          <w:tcPr>
            <w:tcW w:w="392" w:type="pct"/>
            <w:noWrap/>
            <w:vAlign w:val="center"/>
            <w:hideMark/>
          </w:tcPr>
          <w:p w14:paraId="43EAA9B5"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2</w:t>
            </w:r>
          </w:p>
        </w:tc>
        <w:tc>
          <w:tcPr>
            <w:tcW w:w="392" w:type="pct"/>
            <w:noWrap/>
            <w:vAlign w:val="center"/>
            <w:hideMark/>
          </w:tcPr>
          <w:p w14:paraId="1C7D5587"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2</w:t>
            </w:r>
          </w:p>
        </w:tc>
        <w:tc>
          <w:tcPr>
            <w:tcW w:w="392" w:type="pct"/>
            <w:noWrap/>
            <w:vAlign w:val="center"/>
            <w:hideMark/>
          </w:tcPr>
          <w:p w14:paraId="0F46EE8B"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2</w:t>
            </w:r>
          </w:p>
        </w:tc>
        <w:tc>
          <w:tcPr>
            <w:tcW w:w="392" w:type="pct"/>
            <w:noWrap/>
            <w:vAlign w:val="center"/>
            <w:hideMark/>
          </w:tcPr>
          <w:p w14:paraId="2F39FD73"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1</w:t>
            </w:r>
          </w:p>
        </w:tc>
        <w:tc>
          <w:tcPr>
            <w:tcW w:w="392" w:type="pct"/>
            <w:noWrap/>
            <w:vAlign w:val="center"/>
            <w:hideMark/>
          </w:tcPr>
          <w:p w14:paraId="5EBCEC08"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1</w:t>
            </w:r>
          </w:p>
        </w:tc>
      </w:tr>
      <w:tr w:rsidR="004F64EF" w:rsidRPr="003003C0" w14:paraId="43E97A1E" w14:textId="77777777" w:rsidTr="00BE2A9F">
        <w:trPr>
          <w:cnfStyle w:val="000000010000" w:firstRow="0" w:lastRow="0" w:firstColumn="0" w:lastColumn="0" w:oddVBand="0" w:evenVBand="0" w:oddHBand="0" w:evenHBand="1" w:firstRowFirstColumn="0" w:firstRowLastColumn="0" w:lastRowFirstColumn="0" w:lastRowLastColumn="0"/>
          <w:trHeight w:val="57"/>
        </w:trPr>
        <w:tc>
          <w:tcPr>
            <w:tcW w:w="2258" w:type="pct"/>
            <w:noWrap/>
            <w:vAlign w:val="center"/>
            <w:hideMark/>
          </w:tcPr>
          <w:p w14:paraId="79DE880A" w14:textId="77777777" w:rsidR="004F64EF" w:rsidRPr="003003C0" w:rsidRDefault="004F64EF" w:rsidP="00FD6B66">
            <w:pPr>
              <w:tabs>
                <w:tab w:val="left" w:pos="510"/>
              </w:tabs>
              <w:jc w:val="left"/>
              <w:rPr>
                <w:rFonts w:cs="Arial"/>
                <w:color w:val="000000"/>
                <w:sz w:val="14"/>
                <w:szCs w:val="14"/>
              </w:rPr>
            </w:pPr>
            <w:r w:rsidRPr="003003C0">
              <w:rPr>
                <w:rFonts w:cs="Arial"/>
                <w:color w:val="000000"/>
                <w:sz w:val="14"/>
                <w:szCs w:val="14"/>
              </w:rPr>
              <w:tab/>
              <w:t>S</w:t>
            </w:r>
            <w:r>
              <w:rPr>
                <w:rFonts w:cs="Arial"/>
                <w:color w:val="000000"/>
                <w:sz w:val="14"/>
                <w:szCs w:val="14"/>
              </w:rPr>
              <w:t>witzerland</w:t>
            </w:r>
          </w:p>
        </w:tc>
        <w:tc>
          <w:tcPr>
            <w:tcW w:w="392" w:type="pct"/>
            <w:noWrap/>
            <w:vAlign w:val="center"/>
            <w:hideMark/>
          </w:tcPr>
          <w:p w14:paraId="6915F266"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1</w:t>
            </w:r>
          </w:p>
        </w:tc>
        <w:tc>
          <w:tcPr>
            <w:tcW w:w="392" w:type="pct"/>
            <w:noWrap/>
            <w:vAlign w:val="center"/>
            <w:hideMark/>
          </w:tcPr>
          <w:p w14:paraId="0A011C2F"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2</w:t>
            </w:r>
          </w:p>
        </w:tc>
        <w:tc>
          <w:tcPr>
            <w:tcW w:w="392" w:type="pct"/>
            <w:noWrap/>
            <w:vAlign w:val="center"/>
            <w:hideMark/>
          </w:tcPr>
          <w:p w14:paraId="67A2E47B"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2</w:t>
            </w:r>
          </w:p>
        </w:tc>
        <w:tc>
          <w:tcPr>
            <w:tcW w:w="392" w:type="pct"/>
            <w:noWrap/>
            <w:vAlign w:val="center"/>
            <w:hideMark/>
          </w:tcPr>
          <w:p w14:paraId="6F241F5E"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2</w:t>
            </w:r>
          </w:p>
        </w:tc>
        <w:tc>
          <w:tcPr>
            <w:tcW w:w="392" w:type="pct"/>
            <w:noWrap/>
            <w:vAlign w:val="center"/>
            <w:hideMark/>
          </w:tcPr>
          <w:p w14:paraId="57D44D70"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2</w:t>
            </w:r>
          </w:p>
        </w:tc>
        <w:tc>
          <w:tcPr>
            <w:tcW w:w="392" w:type="pct"/>
            <w:noWrap/>
            <w:vAlign w:val="center"/>
            <w:hideMark/>
          </w:tcPr>
          <w:p w14:paraId="06AB97EF"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1</w:t>
            </w:r>
          </w:p>
        </w:tc>
        <w:tc>
          <w:tcPr>
            <w:tcW w:w="392" w:type="pct"/>
            <w:noWrap/>
            <w:vAlign w:val="center"/>
            <w:hideMark/>
          </w:tcPr>
          <w:p w14:paraId="7FF061EB"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1</w:t>
            </w:r>
          </w:p>
        </w:tc>
      </w:tr>
      <w:tr w:rsidR="004F64EF" w:rsidRPr="003003C0" w14:paraId="15CA8996" w14:textId="77777777" w:rsidTr="00BE2A9F">
        <w:trPr>
          <w:trHeight w:val="57"/>
        </w:trPr>
        <w:tc>
          <w:tcPr>
            <w:tcW w:w="2258" w:type="pct"/>
            <w:noWrap/>
            <w:vAlign w:val="center"/>
            <w:hideMark/>
          </w:tcPr>
          <w:p w14:paraId="6EFEB394" w14:textId="77777777" w:rsidR="004F64EF" w:rsidRPr="003003C0" w:rsidRDefault="004F64EF" w:rsidP="00FD6B66">
            <w:pPr>
              <w:tabs>
                <w:tab w:val="left" w:pos="113"/>
              </w:tabs>
              <w:jc w:val="left"/>
              <w:rPr>
                <w:rFonts w:cs="Arial"/>
                <w:color w:val="000000"/>
                <w:sz w:val="14"/>
                <w:szCs w:val="14"/>
              </w:rPr>
            </w:pPr>
            <w:r w:rsidRPr="003003C0">
              <w:rPr>
                <w:rFonts w:cs="Arial"/>
                <w:color w:val="000000"/>
                <w:sz w:val="14"/>
                <w:szCs w:val="14"/>
              </w:rPr>
              <w:tab/>
              <w:t>O</w:t>
            </w:r>
            <w:r>
              <w:rPr>
                <w:rFonts w:cs="Arial"/>
                <w:color w:val="000000"/>
                <w:sz w:val="14"/>
                <w:szCs w:val="14"/>
              </w:rPr>
              <w:t xml:space="preserve">ther </w:t>
            </w:r>
            <w:r w:rsidRPr="003003C0">
              <w:rPr>
                <w:rFonts w:cs="Arial"/>
                <w:color w:val="000000"/>
                <w:sz w:val="14"/>
                <w:szCs w:val="14"/>
              </w:rPr>
              <w:t>Europ</w:t>
            </w:r>
            <w:r>
              <w:rPr>
                <w:rFonts w:cs="Arial"/>
                <w:color w:val="000000"/>
                <w:sz w:val="14"/>
                <w:szCs w:val="14"/>
              </w:rPr>
              <w:t>e</w:t>
            </w:r>
          </w:p>
        </w:tc>
        <w:tc>
          <w:tcPr>
            <w:tcW w:w="392" w:type="pct"/>
            <w:noWrap/>
            <w:vAlign w:val="center"/>
            <w:hideMark/>
          </w:tcPr>
          <w:p w14:paraId="3C3C1712"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8</w:t>
            </w:r>
          </w:p>
        </w:tc>
        <w:tc>
          <w:tcPr>
            <w:tcW w:w="392" w:type="pct"/>
            <w:noWrap/>
            <w:vAlign w:val="center"/>
            <w:hideMark/>
          </w:tcPr>
          <w:p w14:paraId="684DF35D" w14:textId="77777777" w:rsidR="004F64EF" w:rsidRPr="003003C0" w:rsidRDefault="004F64EF" w:rsidP="00FD6B66">
            <w:pPr>
              <w:jc w:val="right"/>
              <w:rPr>
                <w:rFonts w:cs="Arial"/>
                <w:color w:val="000000"/>
                <w:sz w:val="14"/>
                <w:szCs w:val="14"/>
              </w:rPr>
            </w:pPr>
            <w:r w:rsidRPr="003003C0">
              <w:rPr>
                <w:rFonts w:cs="Arial"/>
                <w:color w:val="000000"/>
                <w:sz w:val="14"/>
                <w:szCs w:val="14"/>
              </w:rPr>
              <w:t>1</w:t>
            </w:r>
            <w:r>
              <w:rPr>
                <w:rFonts w:cs="Arial"/>
                <w:color w:val="000000"/>
                <w:sz w:val="14"/>
                <w:szCs w:val="14"/>
              </w:rPr>
              <w:t>.</w:t>
            </w:r>
            <w:r w:rsidRPr="003003C0">
              <w:rPr>
                <w:rFonts w:cs="Arial"/>
                <w:color w:val="000000"/>
                <w:sz w:val="14"/>
                <w:szCs w:val="14"/>
              </w:rPr>
              <w:t>5</w:t>
            </w:r>
          </w:p>
        </w:tc>
        <w:tc>
          <w:tcPr>
            <w:tcW w:w="392" w:type="pct"/>
            <w:noWrap/>
            <w:vAlign w:val="center"/>
            <w:hideMark/>
          </w:tcPr>
          <w:p w14:paraId="117E3139"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6</w:t>
            </w:r>
          </w:p>
        </w:tc>
        <w:tc>
          <w:tcPr>
            <w:tcW w:w="392" w:type="pct"/>
            <w:noWrap/>
            <w:vAlign w:val="center"/>
            <w:hideMark/>
          </w:tcPr>
          <w:p w14:paraId="3133038B"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7</w:t>
            </w:r>
          </w:p>
        </w:tc>
        <w:tc>
          <w:tcPr>
            <w:tcW w:w="392" w:type="pct"/>
            <w:noWrap/>
            <w:vAlign w:val="center"/>
            <w:hideMark/>
          </w:tcPr>
          <w:p w14:paraId="0D1BA8F1" w14:textId="77777777" w:rsidR="004F64EF" w:rsidRPr="003003C0" w:rsidRDefault="004F64EF" w:rsidP="00FD6B66">
            <w:pPr>
              <w:jc w:val="right"/>
              <w:rPr>
                <w:rFonts w:cs="Arial"/>
                <w:color w:val="000000"/>
                <w:sz w:val="14"/>
                <w:szCs w:val="14"/>
              </w:rPr>
            </w:pPr>
            <w:r w:rsidRPr="003003C0">
              <w:rPr>
                <w:rFonts w:cs="Arial"/>
                <w:color w:val="000000"/>
                <w:sz w:val="14"/>
                <w:szCs w:val="14"/>
              </w:rPr>
              <w:t>1</w:t>
            </w:r>
            <w:r>
              <w:rPr>
                <w:rFonts w:cs="Arial"/>
                <w:color w:val="000000"/>
                <w:sz w:val="14"/>
                <w:szCs w:val="14"/>
              </w:rPr>
              <w:t>.</w:t>
            </w:r>
            <w:r w:rsidRPr="003003C0">
              <w:rPr>
                <w:rFonts w:cs="Arial"/>
                <w:color w:val="000000"/>
                <w:sz w:val="14"/>
                <w:szCs w:val="14"/>
              </w:rPr>
              <w:t>6</w:t>
            </w:r>
          </w:p>
        </w:tc>
        <w:tc>
          <w:tcPr>
            <w:tcW w:w="392" w:type="pct"/>
            <w:noWrap/>
            <w:vAlign w:val="center"/>
            <w:hideMark/>
          </w:tcPr>
          <w:p w14:paraId="792CD6ED" w14:textId="77777777" w:rsidR="004F64EF" w:rsidRPr="003003C0" w:rsidRDefault="004F64EF" w:rsidP="00FD6B66">
            <w:pPr>
              <w:jc w:val="right"/>
              <w:rPr>
                <w:rFonts w:cs="Arial"/>
                <w:color w:val="000000"/>
                <w:sz w:val="14"/>
                <w:szCs w:val="14"/>
              </w:rPr>
            </w:pPr>
            <w:r w:rsidRPr="003003C0">
              <w:rPr>
                <w:rFonts w:cs="Arial"/>
                <w:color w:val="000000"/>
                <w:sz w:val="14"/>
                <w:szCs w:val="14"/>
              </w:rPr>
              <w:t>1</w:t>
            </w:r>
            <w:r>
              <w:rPr>
                <w:rFonts w:cs="Arial"/>
                <w:color w:val="000000"/>
                <w:sz w:val="14"/>
                <w:szCs w:val="14"/>
              </w:rPr>
              <w:t>.</w:t>
            </w:r>
            <w:r w:rsidRPr="003003C0">
              <w:rPr>
                <w:rFonts w:cs="Arial"/>
                <w:color w:val="000000"/>
                <w:sz w:val="14"/>
                <w:szCs w:val="14"/>
              </w:rPr>
              <w:t>4</w:t>
            </w:r>
          </w:p>
        </w:tc>
        <w:tc>
          <w:tcPr>
            <w:tcW w:w="392" w:type="pct"/>
            <w:noWrap/>
            <w:vAlign w:val="center"/>
            <w:hideMark/>
          </w:tcPr>
          <w:p w14:paraId="483E36D6" w14:textId="77777777" w:rsidR="004F64EF" w:rsidRPr="003003C0" w:rsidRDefault="004F64EF" w:rsidP="00FD6B66">
            <w:pPr>
              <w:jc w:val="right"/>
              <w:rPr>
                <w:rFonts w:cs="Arial"/>
                <w:color w:val="000000"/>
                <w:sz w:val="14"/>
                <w:szCs w:val="14"/>
              </w:rPr>
            </w:pPr>
            <w:r w:rsidRPr="003003C0">
              <w:rPr>
                <w:rFonts w:cs="Arial"/>
                <w:color w:val="000000"/>
                <w:sz w:val="14"/>
                <w:szCs w:val="14"/>
              </w:rPr>
              <w:t>1</w:t>
            </w:r>
            <w:r>
              <w:rPr>
                <w:rFonts w:cs="Arial"/>
                <w:color w:val="000000"/>
                <w:sz w:val="14"/>
                <w:szCs w:val="14"/>
              </w:rPr>
              <w:t>.</w:t>
            </w:r>
            <w:r w:rsidRPr="003003C0">
              <w:rPr>
                <w:rFonts w:cs="Arial"/>
                <w:color w:val="000000"/>
                <w:sz w:val="14"/>
                <w:szCs w:val="14"/>
              </w:rPr>
              <w:t>3</w:t>
            </w:r>
          </w:p>
        </w:tc>
      </w:tr>
      <w:tr w:rsidR="004F64EF" w:rsidRPr="003003C0" w14:paraId="59DAFA6E" w14:textId="77777777" w:rsidTr="00BE2A9F">
        <w:trPr>
          <w:cnfStyle w:val="000000010000" w:firstRow="0" w:lastRow="0" w:firstColumn="0" w:lastColumn="0" w:oddVBand="0" w:evenVBand="0" w:oddHBand="0" w:evenHBand="1" w:firstRowFirstColumn="0" w:firstRowLastColumn="0" w:lastRowFirstColumn="0" w:lastRowLastColumn="0"/>
          <w:trHeight w:val="57"/>
        </w:trPr>
        <w:tc>
          <w:tcPr>
            <w:tcW w:w="2258" w:type="pct"/>
            <w:noWrap/>
            <w:vAlign w:val="center"/>
            <w:hideMark/>
          </w:tcPr>
          <w:p w14:paraId="160CEACE" w14:textId="77777777" w:rsidR="004F64EF" w:rsidRPr="003003C0" w:rsidRDefault="004F64EF" w:rsidP="00FD6B66">
            <w:pPr>
              <w:tabs>
                <w:tab w:val="left" w:pos="510"/>
              </w:tabs>
              <w:jc w:val="left"/>
              <w:rPr>
                <w:rFonts w:cs="Arial"/>
                <w:color w:val="000000"/>
                <w:sz w:val="14"/>
                <w:szCs w:val="14"/>
              </w:rPr>
            </w:pPr>
            <w:r w:rsidRPr="003003C0">
              <w:rPr>
                <w:rFonts w:cs="Arial"/>
                <w:color w:val="000000"/>
                <w:sz w:val="14"/>
                <w:szCs w:val="14"/>
              </w:rPr>
              <w:tab/>
            </w:r>
            <w:r>
              <w:rPr>
                <w:rFonts w:cs="Arial"/>
                <w:color w:val="000000"/>
                <w:sz w:val="14"/>
                <w:szCs w:val="14"/>
              </w:rPr>
              <w:t>United Kingdom</w:t>
            </w:r>
          </w:p>
        </w:tc>
        <w:tc>
          <w:tcPr>
            <w:tcW w:w="392" w:type="pct"/>
            <w:noWrap/>
            <w:vAlign w:val="center"/>
            <w:hideMark/>
          </w:tcPr>
          <w:p w14:paraId="089893DE"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8</w:t>
            </w:r>
          </w:p>
        </w:tc>
        <w:tc>
          <w:tcPr>
            <w:tcW w:w="392" w:type="pct"/>
            <w:noWrap/>
            <w:vAlign w:val="center"/>
            <w:hideMark/>
          </w:tcPr>
          <w:p w14:paraId="606D5382" w14:textId="77777777" w:rsidR="004F64EF" w:rsidRPr="003003C0" w:rsidRDefault="004F64EF" w:rsidP="00FD6B66">
            <w:pPr>
              <w:jc w:val="right"/>
              <w:rPr>
                <w:rFonts w:cs="Arial"/>
                <w:color w:val="000000"/>
                <w:sz w:val="14"/>
                <w:szCs w:val="14"/>
              </w:rPr>
            </w:pPr>
            <w:r w:rsidRPr="003003C0">
              <w:rPr>
                <w:rFonts w:cs="Arial"/>
                <w:color w:val="000000"/>
                <w:sz w:val="14"/>
                <w:szCs w:val="14"/>
              </w:rPr>
              <w:t>1</w:t>
            </w:r>
            <w:r>
              <w:rPr>
                <w:rFonts w:cs="Arial"/>
                <w:color w:val="000000"/>
                <w:sz w:val="14"/>
                <w:szCs w:val="14"/>
              </w:rPr>
              <w:t>.</w:t>
            </w:r>
            <w:r w:rsidRPr="003003C0">
              <w:rPr>
                <w:rFonts w:cs="Arial"/>
                <w:color w:val="000000"/>
                <w:sz w:val="14"/>
                <w:szCs w:val="14"/>
              </w:rPr>
              <w:t>4</w:t>
            </w:r>
          </w:p>
        </w:tc>
        <w:tc>
          <w:tcPr>
            <w:tcW w:w="392" w:type="pct"/>
            <w:noWrap/>
            <w:vAlign w:val="center"/>
            <w:hideMark/>
          </w:tcPr>
          <w:p w14:paraId="5D299457"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5</w:t>
            </w:r>
          </w:p>
        </w:tc>
        <w:tc>
          <w:tcPr>
            <w:tcW w:w="392" w:type="pct"/>
            <w:noWrap/>
            <w:vAlign w:val="center"/>
            <w:hideMark/>
          </w:tcPr>
          <w:p w14:paraId="1F2CBFF3"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6</w:t>
            </w:r>
          </w:p>
        </w:tc>
        <w:tc>
          <w:tcPr>
            <w:tcW w:w="392" w:type="pct"/>
            <w:noWrap/>
            <w:vAlign w:val="center"/>
            <w:hideMark/>
          </w:tcPr>
          <w:p w14:paraId="12CC87CD" w14:textId="77777777" w:rsidR="004F64EF" w:rsidRPr="003003C0" w:rsidRDefault="004F64EF" w:rsidP="00FD6B66">
            <w:pPr>
              <w:jc w:val="right"/>
              <w:rPr>
                <w:rFonts w:cs="Arial"/>
                <w:color w:val="000000"/>
                <w:sz w:val="14"/>
                <w:szCs w:val="14"/>
              </w:rPr>
            </w:pPr>
            <w:r w:rsidRPr="003003C0">
              <w:rPr>
                <w:rFonts w:cs="Arial"/>
                <w:color w:val="000000"/>
                <w:sz w:val="14"/>
                <w:szCs w:val="14"/>
              </w:rPr>
              <w:t>1</w:t>
            </w:r>
            <w:r>
              <w:rPr>
                <w:rFonts w:cs="Arial"/>
                <w:color w:val="000000"/>
                <w:sz w:val="14"/>
                <w:szCs w:val="14"/>
              </w:rPr>
              <w:t>.</w:t>
            </w:r>
            <w:r w:rsidRPr="003003C0">
              <w:rPr>
                <w:rFonts w:cs="Arial"/>
                <w:color w:val="000000"/>
                <w:sz w:val="14"/>
                <w:szCs w:val="14"/>
              </w:rPr>
              <w:t>3</w:t>
            </w:r>
          </w:p>
        </w:tc>
        <w:tc>
          <w:tcPr>
            <w:tcW w:w="392" w:type="pct"/>
            <w:noWrap/>
            <w:vAlign w:val="center"/>
            <w:hideMark/>
          </w:tcPr>
          <w:p w14:paraId="4B8271A1" w14:textId="77777777" w:rsidR="004F64EF" w:rsidRPr="003003C0" w:rsidRDefault="004F64EF" w:rsidP="00FD6B66">
            <w:pPr>
              <w:jc w:val="right"/>
              <w:rPr>
                <w:rFonts w:cs="Arial"/>
                <w:color w:val="000000"/>
                <w:sz w:val="14"/>
                <w:szCs w:val="14"/>
              </w:rPr>
            </w:pPr>
            <w:r w:rsidRPr="003003C0">
              <w:rPr>
                <w:rFonts w:cs="Arial"/>
                <w:color w:val="000000"/>
                <w:sz w:val="14"/>
                <w:szCs w:val="14"/>
              </w:rPr>
              <w:t>1</w:t>
            </w:r>
            <w:r>
              <w:rPr>
                <w:rFonts w:cs="Arial"/>
                <w:color w:val="000000"/>
                <w:sz w:val="14"/>
                <w:szCs w:val="14"/>
              </w:rPr>
              <w:t>.</w:t>
            </w:r>
            <w:r w:rsidRPr="003003C0">
              <w:rPr>
                <w:rFonts w:cs="Arial"/>
                <w:color w:val="000000"/>
                <w:sz w:val="14"/>
                <w:szCs w:val="14"/>
              </w:rPr>
              <w:t>2</w:t>
            </w:r>
          </w:p>
        </w:tc>
        <w:tc>
          <w:tcPr>
            <w:tcW w:w="392" w:type="pct"/>
            <w:noWrap/>
            <w:vAlign w:val="center"/>
            <w:hideMark/>
          </w:tcPr>
          <w:p w14:paraId="664E0321" w14:textId="77777777" w:rsidR="004F64EF" w:rsidRPr="003003C0" w:rsidRDefault="004F64EF" w:rsidP="00FD6B66">
            <w:pPr>
              <w:jc w:val="right"/>
              <w:rPr>
                <w:rFonts w:cs="Arial"/>
                <w:color w:val="000000"/>
                <w:sz w:val="14"/>
                <w:szCs w:val="14"/>
              </w:rPr>
            </w:pPr>
            <w:r w:rsidRPr="003003C0">
              <w:rPr>
                <w:rFonts w:cs="Arial"/>
                <w:color w:val="000000"/>
                <w:sz w:val="14"/>
                <w:szCs w:val="14"/>
              </w:rPr>
              <w:t>1</w:t>
            </w:r>
            <w:r>
              <w:rPr>
                <w:rFonts w:cs="Arial"/>
                <w:color w:val="000000"/>
                <w:sz w:val="14"/>
                <w:szCs w:val="14"/>
              </w:rPr>
              <w:t>.</w:t>
            </w:r>
            <w:r w:rsidRPr="003003C0">
              <w:rPr>
                <w:rFonts w:cs="Arial"/>
                <w:color w:val="000000"/>
                <w:sz w:val="14"/>
                <w:szCs w:val="14"/>
              </w:rPr>
              <w:t>0</w:t>
            </w:r>
          </w:p>
        </w:tc>
      </w:tr>
      <w:tr w:rsidR="004F64EF" w:rsidRPr="003003C0" w14:paraId="363D9019" w14:textId="77777777" w:rsidTr="00BE2A9F">
        <w:trPr>
          <w:trHeight w:val="57"/>
        </w:trPr>
        <w:tc>
          <w:tcPr>
            <w:tcW w:w="2258" w:type="pct"/>
            <w:noWrap/>
            <w:vAlign w:val="center"/>
            <w:hideMark/>
          </w:tcPr>
          <w:p w14:paraId="40C627F3" w14:textId="77777777" w:rsidR="004F64EF" w:rsidRPr="003003C0" w:rsidRDefault="004F64EF" w:rsidP="00FD6B66">
            <w:pPr>
              <w:tabs>
                <w:tab w:val="left" w:pos="510"/>
              </w:tabs>
              <w:jc w:val="left"/>
              <w:rPr>
                <w:rFonts w:cs="Arial"/>
                <w:sz w:val="14"/>
                <w:szCs w:val="14"/>
              </w:rPr>
            </w:pPr>
            <w:r w:rsidRPr="003003C0">
              <w:rPr>
                <w:rFonts w:cs="Arial"/>
                <w:sz w:val="14"/>
                <w:szCs w:val="14"/>
              </w:rPr>
              <w:tab/>
            </w:r>
            <w:proofErr w:type="spellStart"/>
            <w:r w:rsidRPr="003003C0">
              <w:rPr>
                <w:rFonts w:cs="Arial"/>
                <w:sz w:val="14"/>
                <w:szCs w:val="14"/>
              </w:rPr>
              <w:t>Türkiye</w:t>
            </w:r>
            <w:proofErr w:type="spellEnd"/>
          </w:p>
        </w:tc>
        <w:tc>
          <w:tcPr>
            <w:tcW w:w="392" w:type="pct"/>
            <w:noWrap/>
            <w:vAlign w:val="center"/>
            <w:hideMark/>
          </w:tcPr>
          <w:p w14:paraId="0CF774E4"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0</w:t>
            </w:r>
          </w:p>
        </w:tc>
        <w:tc>
          <w:tcPr>
            <w:tcW w:w="392" w:type="pct"/>
            <w:noWrap/>
            <w:vAlign w:val="center"/>
            <w:hideMark/>
          </w:tcPr>
          <w:p w14:paraId="0C4BF99E"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0</w:t>
            </w:r>
          </w:p>
        </w:tc>
        <w:tc>
          <w:tcPr>
            <w:tcW w:w="392" w:type="pct"/>
            <w:noWrap/>
            <w:vAlign w:val="center"/>
            <w:hideMark/>
          </w:tcPr>
          <w:p w14:paraId="59B3CB02"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1</w:t>
            </w:r>
          </w:p>
        </w:tc>
        <w:tc>
          <w:tcPr>
            <w:tcW w:w="392" w:type="pct"/>
            <w:noWrap/>
            <w:vAlign w:val="center"/>
            <w:hideMark/>
          </w:tcPr>
          <w:p w14:paraId="617FF6CC"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2</w:t>
            </w:r>
          </w:p>
        </w:tc>
        <w:tc>
          <w:tcPr>
            <w:tcW w:w="392" w:type="pct"/>
            <w:noWrap/>
            <w:vAlign w:val="center"/>
            <w:hideMark/>
          </w:tcPr>
          <w:p w14:paraId="052BDF9B"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2</w:t>
            </w:r>
          </w:p>
        </w:tc>
        <w:tc>
          <w:tcPr>
            <w:tcW w:w="392" w:type="pct"/>
            <w:noWrap/>
            <w:vAlign w:val="center"/>
            <w:hideMark/>
          </w:tcPr>
          <w:p w14:paraId="7F2DFB92"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2</w:t>
            </w:r>
          </w:p>
        </w:tc>
        <w:tc>
          <w:tcPr>
            <w:tcW w:w="392" w:type="pct"/>
            <w:noWrap/>
            <w:vAlign w:val="center"/>
            <w:hideMark/>
          </w:tcPr>
          <w:p w14:paraId="22190E12"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3</w:t>
            </w:r>
          </w:p>
        </w:tc>
      </w:tr>
      <w:tr w:rsidR="004F64EF" w:rsidRPr="003003C0" w14:paraId="6F6D6265" w14:textId="77777777" w:rsidTr="00BE2A9F">
        <w:trPr>
          <w:cnfStyle w:val="000000010000" w:firstRow="0" w:lastRow="0" w:firstColumn="0" w:lastColumn="0" w:oddVBand="0" w:evenVBand="0" w:oddHBand="0" w:evenHBand="1" w:firstRowFirstColumn="0" w:firstRowLastColumn="0" w:lastRowFirstColumn="0" w:lastRowLastColumn="0"/>
          <w:trHeight w:val="57"/>
        </w:trPr>
        <w:tc>
          <w:tcPr>
            <w:tcW w:w="2258" w:type="pct"/>
            <w:noWrap/>
            <w:vAlign w:val="center"/>
            <w:hideMark/>
          </w:tcPr>
          <w:p w14:paraId="72CDD476" w14:textId="77777777" w:rsidR="004F64EF" w:rsidRPr="003003C0" w:rsidRDefault="004F64EF" w:rsidP="00FD6B66">
            <w:pPr>
              <w:jc w:val="left"/>
              <w:rPr>
                <w:rFonts w:cs="Arial"/>
                <w:color w:val="000000"/>
                <w:sz w:val="14"/>
                <w:szCs w:val="14"/>
              </w:rPr>
            </w:pPr>
            <w:r w:rsidRPr="0077417B">
              <w:rPr>
                <w:rFonts w:cs="Arial"/>
                <w:color w:val="000000"/>
                <w:sz w:val="14"/>
                <w:szCs w:val="14"/>
              </w:rPr>
              <w:t xml:space="preserve">Commonwealth of Independent States </w:t>
            </w:r>
            <w:r w:rsidRPr="003003C0">
              <w:rPr>
                <w:rFonts w:cs="Arial"/>
                <w:color w:val="000000"/>
                <w:sz w:val="14"/>
                <w:szCs w:val="14"/>
              </w:rPr>
              <w:t>(C</w:t>
            </w:r>
            <w:r>
              <w:rPr>
                <w:rFonts w:cs="Arial"/>
                <w:color w:val="000000"/>
                <w:sz w:val="14"/>
                <w:szCs w:val="14"/>
              </w:rPr>
              <w:t>IS</w:t>
            </w:r>
            <w:r w:rsidRPr="003003C0">
              <w:rPr>
                <w:rFonts w:cs="Arial"/>
                <w:color w:val="000000"/>
                <w:sz w:val="14"/>
                <w:szCs w:val="14"/>
              </w:rPr>
              <w:t>)</w:t>
            </w:r>
            <w:r w:rsidRPr="003003C0">
              <w:rPr>
                <w:rFonts w:cs="Arial"/>
                <w:color w:val="000000"/>
                <w:sz w:val="14"/>
                <w:szCs w:val="14"/>
                <w:vertAlign w:val="superscript"/>
              </w:rPr>
              <w:t>a</w:t>
            </w:r>
          </w:p>
        </w:tc>
        <w:tc>
          <w:tcPr>
            <w:tcW w:w="392" w:type="pct"/>
            <w:noWrap/>
            <w:vAlign w:val="center"/>
            <w:hideMark/>
          </w:tcPr>
          <w:p w14:paraId="5D5CBAB6"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0</w:t>
            </w:r>
          </w:p>
        </w:tc>
        <w:tc>
          <w:tcPr>
            <w:tcW w:w="392" w:type="pct"/>
            <w:noWrap/>
            <w:vAlign w:val="center"/>
            <w:hideMark/>
          </w:tcPr>
          <w:p w14:paraId="4973BE18"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0</w:t>
            </w:r>
          </w:p>
        </w:tc>
        <w:tc>
          <w:tcPr>
            <w:tcW w:w="392" w:type="pct"/>
            <w:noWrap/>
            <w:vAlign w:val="center"/>
            <w:hideMark/>
          </w:tcPr>
          <w:p w14:paraId="785080B9"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0</w:t>
            </w:r>
          </w:p>
        </w:tc>
        <w:tc>
          <w:tcPr>
            <w:tcW w:w="392" w:type="pct"/>
            <w:noWrap/>
            <w:vAlign w:val="center"/>
            <w:hideMark/>
          </w:tcPr>
          <w:p w14:paraId="43672986"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1</w:t>
            </w:r>
          </w:p>
        </w:tc>
        <w:tc>
          <w:tcPr>
            <w:tcW w:w="392" w:type="pct"/>
            <w:noWrap/>
            <w:vAlign w:val="center"/>
            <w:hideMark/>
          </w:tcPr>
          <w:p w14:paraId="67B0DE4E"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1</w:t>
            </w:r>
          </w:p>
        </w:tc>
        <w:tc>
          <w:tcPr>
            <w:tcW w:w="392" w:type="pct"/>
            <w:noWrap/>
            <w:vAlign w:val="center"/>
            <w:hideMark/>
          </w:tcPr>
          <w:p w14:paraId="074D545E"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2</w:t>
            </w:r>
          </w:p>
        </w:tc>
        <w:tc>
          <w:tcPr>
            <w:tcW w:w="392" w:type="pct"/>
            <w:noWrap/>
            <w:vAlign w:val="center"/>
            <w:hideMark/>
          </w:tcPr>
          <w:p w14:paraId="3CAA618E"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3</w:t>
            </w:r>
          </w:p>
        </w:tc>
      </w:tr>
      <w:tr w:rsidR="004F64EF" w:rsidRPr="003003C0" w14:paraId="7462AFD4" w14:textId="77777777" w:rsidTr="00BE2A9F">
        <w:trPr>
          <w:trHeight w:val="57"/>
        </w:trPr>
        <w:tc>
          <w:tcPr>
            <w:tcW w:w="2258" w:type="pct"/>
            <w:noWrap/>
            <w:vAlign w:val="center"/>
            <w:hideMark/>
          </w:tcPr>
          <w:p w14:paraId="5264A66A" w14:textId="77777777" w:rsidR="004F64EF" w:rsidRPr="003003C0" w:rsidRDefault="004F64EF" w:rsidP="00FD6B66">
            <w:pPr>
              <w:tabs>
                <w:tab w:val="left" w:pos="510"/>
              </w:tabs>
              <w:jc w:val="left"/>
              <w:rPr>
                <w:rFonts w:cs="Arial"/>
                <w:color w:val="000000"/>
                <w:sz w:val="14"/>
                <w:szCs w:val="14"/>
              </w:rPr>
            </w:pPr>
            <w:r w:rsidRPr="003003C0">
              <w:rPr>
                <w:rFonts w:cs="Arial"/>
                <w:color w:val="000000"/>
                <w:sz w:val="14"/>
                <w:szCs w:val="14"/>
              </w:rPr>
              <w:tab/>
            </w:r>
            <w:r>
              <w:rPr>
                <w:rFonts w:cs="Arial"/>
                <w:color w:val="000000"/>
                <w:sz w:val="14"/>
                <w:szCs w:val="14"/>
              </w:rPr>
              <w:t>Russian Federation</w:t>
            </w:r>
          </w:p>
        </w:tc>
        <w:tc>
          <w:tcPr>
            <w:tcW w:w="392" w:type="pct"/>
            <w:noWrap/>
            <w:vAlign w:val="center"/>
            <w:hideMark/>
          </w:tcPr>
          <w:p w14:paraId="7A5115BC"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0</w:t>
            </w:r>
          </w:p>
        </w:tc>
        <w:tc>
          <w:tcPr>
            <w:tcW w:w="392" w:type="pct"/>
            <w:noWrap/>
            <w:vAlign w:val="center"/>
            <w:hideMark/>
          </w:tcPr>
          <w:p w14:paraId="13BBB659"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0</w:t>
            </w:r>
          </w:p>
        </w:tc>
        <w:tc>
          <w:tcPr>
            <w:tcW w:w="392" w:type="pct"/>
            <w:noWrap/>
            <w:vAlign w:val="center"/>
            <w:hideMark/>
          </w:tcPr>
          <w:p w14:paraId="234F4149"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0</w:t>
            </w:r>
          </w:p>
        </w:tc>
        <w:tc>
          <w:tcPr>
            <w:tcW w:w="392" w:type="pct"/>
            <w:noWrap/>
            <w:vAlign w:val="center"/>
            <w:hideMark/>
          </w:tcPr>
          <w:p w14:paraId="328855E7"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1</w:t>
            </w:r>
          </w:p>
        </w:tc>
        <w:tc>
          <w:tcPr>
            <w:tcW w:w="392" w:type="pct"/>
            <w:noWrap/>
            <w:vAlign w:val="center"/>
            <w:hideMark/>
          </w:tcPr>
          <w:p w14:paraId="3354443A"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1</w:t>
            </w:r>
          </w:p>
        </w:tc>
        <w:tc>
          <w:tcPr>
            <w:tcW w:w="392" w:type="pct"/>
            <w:noWrap/>
            <w:vAlign w:val="center"/>
            <w:hideMark/>
          </w:tcPr>
          <w:p w14:paraId="42CA3F95"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2</w:t>
            </w:r>
          </w:p>
        </w:tc>
        <w:tc>
          <w:tcPr>
            <w:tcW w:w="392" w:type="pct"/>
            <w:noWrap/>
            <w:vAlign w:val="center"/>
            <w:hideMark/>
          </w:tcPr>
          <w:p w14:paraId="63F62127"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3</w:t>
            </w:r>
          </w:p>
        </w:tc>
      </w:tr>
      <w:tr w:rsidR="004F64EF" w:rsidRPr="003003C0" w14:paraId="284E6ECF" w14:textId="77777777" w:rsidTr="00BE2A9F">
        <w:trPr>
          <w:cnfStyle w:val="000000010000" w:firstRow="0" w:lastRow="0" w:firstColumn="0" w:lastColumn="0" w:oddVBand="0" w:evenVBand="0" w:oddHBand="0" w:evenHBand="1" w:firstRowFirstColumn="0" w:firstRowLastColumn="0" w:lastRowFirstColumn="0" w:lastRowLastColumn="0"/>
          <w:trHeight w:val="57"/>
        </w:trPr>
        <w:tc>
          <w:tcPr>
            <w:tcW w:w="2258" w:type="pct"/>
            <w:noWrap/>
            <w:vAlign w:val="center"/>
            <w:hideMark/>
          </w:tcPr>
          <w:p w14:paraId="09004FFB" w14:textId="77777777" w:rsidR="004F64EF" w:rsidRPr="003003C0" w:rsidRDefault="004F64EF" w:rsidP="00FD6B66">
            <w:pPr>
              <w:jc w:val="left"/>
              <w:rPr>
                <w:rFonts w:cs="Arial"/>
                <w:color w:val="000000"/>
                <w:sz w:val="14"/>
                <w:szCs w:val="14"/>
              </w:rPr>
            </w:pPr>
            <w:r>
              <w:rPr>
                <w:rFonts w:cs="Arial"/>
                <w:color w:val="000000"/>
                <w:sz w:val="14"/>
                <w:szCs w:val="14"/>
              </w:rPr>
              <w:t>A</w:t>
            </w:r>
            <w:r w:rsidRPr="003003C0">
              <w:rPr>
                <w:rFonts w:cs="Arial"/>
                <w:color w:val="000000"/>
                <w:sz w:val="14"/>
                <w:szCs w:val="14"/>
              </w:rPr>
              <w:t>frica</w:t>
            </w:r>
          </w:p>
        </w:tc>
        <w:tc>
          <w:tcPr>
            <w:tcW w:w="392" w:type="pct"/>
            <w:noWrap/>
            <w:vAlign w:val="center"/>
            <w:hideMark/>
          </w:tcPr>
          <w:p w14:paraId="6C08FC50"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1</w:t>
            </w:r>
          </w:p>
        </w:tc>
        <w:tc>
          <w:tcPr>
            <w:tcW w:w="392" w:type="pct"/>
            <w:noWrap/>
            <w:vAlign w:val="center"/>
            <w:hideMark/>
          </w:tcPr>
          <w:p w14:paraId="2FC488BE"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1</w:t>
            </w:r>
          </w:p>
        </w:tc>
        <w:tc>
          <w:tcPr>
            <w:tcW w:w="392" w:type="pct"/>
            <w:noWrap/>
            <w:vAlign w:val="center"/>
            <w:hideMark/>
          </w:tcPr>
          <w:p w14:paraId="21BEA848"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2</w:t>
            </w:r>
          </w:p>
        </w:tc>
        <w:tc>
          <w:tcPr>
            <w:tcW w:w="392" w:type="pct"/>
            <w:noWrap/>
            <w:vAlign w:val="center"/>
            <w:hideMark/>
          </w:tcPr>
          <w:p w14:paraId="2A4AA208"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2</w:t>
            </w:r>
          </w:p>
        </w:tc>
        <w:tc>
          <w:tcPr>
            <w:tcW w:w="392" w:type="pct"/>
            <w:noWrap/>
            <w:vAlign w:val="center"/>
            <w:hideMark/>
          </w:tcPr>
          <w:p w14:paraId="0C36D883"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3</w:t>
            </w:r>
          </w:p>
        </w:tc>
        <w:tc>
          <w:tcPr>
            <w:tcW w:w="392" w:type="pct"/>
            <w:noWrap/>
            <w:vAlign w:val="center"/>
            <w:hideMark/>
          </w:tcPr>
          <w:p w14:paraId="2F1CD7A2"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4</w:t>
            </w:r>
          </w:p>
        </w:tc>
        <w:tc>
          <w:tcPr>
            <w:tcW w:w="392" w:type="pct"/>
            <w:noWrap/>
            <w:vAlign w:val="center"/>
            <w:hideMark/>
          </w:tcPr>
          <w:p w14:paraId="0089249E"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2</w:t>
            </w:r>
          </w:p>
        </w:tc>
      </w:tr>
      <w:tr w:rsidR="004F64EF" w:rsidRPr="003003C0" w14:paraId="2B42832A" w14:textId="77777777" w:rsidTr="00BE2A9F">
        <w:trPr>
          <w:trHeight w:val="57"/>
        </w:trPr>
        <w:tc>
          <w:tcPr>
            <w:tcW w:w="2258" w:type="pct"/>
            <w:noWrap/>
            <w:vAlign w:val="center"/>
            <w:hideMark/>
          </w:tcPr>
          <w:p w14:paraId="63FDB186" w14:textId="77777777" w:rsidR="004F64EF" w:rsidRPr="003003C0" w:rsidRDefault="004F64EF" w:rsidP="00FD6B66">
            <w:pPr>
              <w:tabs>
                <w:tab w:val="left" w:pos="510"/>
              </w:tabs>
              <w:jc w:val="left"/>
              <w:rPr>
                <w:rFonts w:cs="Arial"/>
                <w:color w:val="000000"/>
                <w:sz w:val="14"/>
                <w:szCs w:val="14"/>
              </w:rPr>
            </w:pPr>
            <w:r w:rsidRPr="003003C0">
              <w:rPr>
                <w:rFonts w:cs="Arial"/>
                <w:color w:val="000000"/>
                <w:sz w:val="14"/>
                <w:szCs w:val="14"/>
              </w:rPr>
              <w:tab/>
              <w:t>Malawi</w:t>
            </w:r>
          </w:p>
        </w:tc>
        <w:tc>
          <w:tcPr>
            <w:tcW w:w="392" w:type="pct"/>
            <w:noWrap/>
            <w:vAlign w:val="center"/>
            <w:hideMark/>
          </w:tcPr>
          <w:p w14:paraId="16903B1C"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0</w:t>
            </w:r>
          </w:p>
        </w:tc>
        <w:tc>
          <w:tcPr>
            <w:tcW w:w="392" w:type="pct"/>
            <w:noWrap/>
            <w:vAlign w:val="center"/>
            <w:hideMark/>
          </w:tcPr>
          <w:p w14:paraId="36385FAA"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0</w:t>
            </w:r>
          </w:p>
        </w:tc>
        <w:tc>
          <w:tcPr>
            <w:tcW w:w="392" w:type="pct"/>
            <w:noWrap/>
            <w:vAlign w:val="center"/>
            <w:hideMark/>
          </w:tcPr>
          <w:p w14:paraId="2BBAC2F8"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1</w:t>
            </w:r>
          </w:p>
        </w:tc>
        <w:tc>
          <w:tcPr>
            <w:tcW w:w="392" w:type="pct"/>
            <w:noWrap/>
            <w:vAlign w:val="center"/>
            <w:hideMark/>
          </w:tcPr>
          <w:p w14:paraId="36D65F23"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1</w:t>
            </w:r>
          </w:p>
        </w:tc>
        <w:tc>
          <w:tcPr>
            <w:tcW w:w="392" w:type="pct"/>
            <w:noWrap/>
            <w:vAlign w:val="center"/>
            <w:hideMark/>
          </w:tcPr>
          <w:p w14:paraId="590CA0A6"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1</w:t>
            </w:r>
          </w:p>
        </w:tc>
        <w:tc>
          <w:tcPr>
            <w:tcW w:w="392" w:type="pct"/>
            <w:noWrap/>
            <w:vAlign w:val="center"/>
            <w:hideMark/>
          </w:tcPr>
          <w:p w14:paraId="547BDF76"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1</w:t>
            </w:r>
          </w:p>
        </w:tc>
        <w:tc>
          <w:tcPr>
            <w:tcW w:w="392" w:type="pct"/>
            <w:noWrap/>
            <w:vAlign w:val="center"/>
            <w:hideMark/>
          </w:tcPr>
          <w:p w14:paraId="2F38A5EF"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1</w:t>
            </w:r>
          </w:p>
        </w:tc>
      </w:tr>
      <w:tr w:rsidR="004F64EF" w:rsidRPr="003003C0" w14:paraId="3E32607F" w14:textId="77777777" w:rsidTr="00BE2A9F">
        <w:trPr>
          <w:cnfStyle w:val="000000010000" w:firstRow="0" w:lastRow="0" w:firstColumn="0" w:lastColumn="0" w:oddVBand="0" w:evenVBand="0" w:oddHBand="0" w:evenHBand="1" w:firstRowFirstColumn="0" w:firstRowLastColumn="0" w:lastRowFirstColumn="0" w:lastRowLastColumn="0"/>
          <w:trHeight w:val="57"/>
        </w:trPr>
        <w:tc>
          <w:tcPr>
            <w:tcW w:w="2258" w:type="pct"/>
            <w:noWrap/>
            <w:vAlign w:val="center"/>
            <w:hideMark/>
          </w:tcPr>
          <w:p w14:paraId="31AEA4B8" w14:textId="77777777" w:rsidR="004F64EF" w:rsidRPr="003003C0" w:rsidRDefault="004F64EF" w:rsidP="00FD6B66">
            <w:pPr>
              <w:tabs>
                <w:tab w:val="left" w:pos="510"/>
              </w:tabs>
              <w:jc w:val="left"/>
              <w:rPr>
                <w:rFonts w:cs="Arial"/>
                <w:color w:val="000000"/>
                <w:sz w:val="14"/>
                <w:szCs w:val="14"/>
              </w:rPr>
            </w:pPr>
            <w:r w:rsidRPr="003003C0">
              <w:rPr>
                <w:rFonts w:cs="Arial"/>
                <w:color w:val="000000"/>
                <w:sz w:val="14"/>
                <w:szCs w:val="14"/>
              </w:rPr>
              <w:tab/>
              <w:t>S</w:t>
            </w:r>
            <w:r>
              <w:rPr>
                <w:rFonts w:cs="Arial"/>
                <w:color w:val="000000"/>
                <w:sz w:val="14"/>
                <w:szCs w:val="14"/>
              </w:rPr>
              <w:t>outh Africa</w:t>
            </w:r>
          </w:p>
        </w:tc>
        <w:tc>
          <w:tcPr>
            <w:tcW w:w="392" w:type="pct"/>
            <w:noWrap/>
            <w:vAlign w:val="center"/>
            <w:hideMark/>
          </w:tcPr>
          <w:p w14:paraId="13F2051B"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0</w:t>
            </w:r>
          </w:p>
        </w:tc>
        <w:tc>
          <w:tcPr>
            <w:tcW w:w="392" w:type="pct"/>
            <w:noWrap/>
            <w:vAlign w:val="center"/>
            <w:hideMark/>
          </w:tcPr>
          <w:p w14:paraId="46BAA39E"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0</w:t>
            </w:r>
          </w:p>
        </w:tc>
        <w:tc>
          <w:tcPr>
            <w:tcW w:w="392" w:type="pct"/>
            <w:noWrap/>
            <w:vAlign w:val="center"/>
            <w:hideMark/>
          </w:tcPr>
          <w:p w14:paraId="0123B0D4"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0</w:t>
            </w:r>
          </w:p>
        </w:tc>
        <w:tc>
          <w:tcPr>
            <w:tcW w:w="392" w:type="pct"/>
            <w:noWrap/>
            <w:vAlign w:val="center"/>
            <w:hideMark/>
          </w:tcPr>
          <w:p w14:paraId="514372FB"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0</w:t>
            </w:r>
          </w:p>
        </w:tc>
        <w:tc>
          <w:tcPr>
            <w:tcW w:w="392" w:type="pct"/>
            <w:noWrap/>
            <w:vAlign w:val="center"/>
            <w:hideMark/>
          </w:tcPr>
          <w:p w14:paraId="239EE958"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0</w:t>
            </w:r>
          </w:p>
        </w:tc>
        <w:tc>
          <w:tcPr>
            <w:tcW w:w="392" w:type="pct"/>
            <w:noWrap/>
            <w:vAlign w:val="center"/>
            <w:hideMark/>
          </w:tcPr>
          <w:p w14:paraId="226A91F6"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1</w:t>
            </w:r>
          </w:p>
        </w:tc>
        <w:tc>
          <w:tcPr>
            <w:tcW w:w="392" w:type="pct"/>
            <w:noWrap/>
            <w:vAlign w:val="center"/>
            <w:hideMark/>
          </w:tcPr>
          <w:p w14:paraId="6D6E5EA9"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1</w:t>
            </w:r>
          </w:p>
        </w:tc>
      </w:tr>
      <w:tr w:rsidR="004F64EF" w:rsidRPr="003003C0" w14:paraId="15A8F920" w14:textId="77777777" w:rsidTr="00BE2A9F">
        <w:trPr>
          <w:trHeight w:val="57"/>
        </w:trPr>
        <w:tc>
          <w:tcPr>
            <w:tcW w:w="2258" w:type="pct"/>
            <w:noWrap/>
            <w:vAlign w:val="center"/>
            <w:hideMark/>
          </w:tcPr>
          <w:p w14:paraId="2DACBF94" w14:textId="77777777" w:rsidR="004F64EF" w:rsidRPr="003003C0" w:rsidRDefault="004F64EF" w:rsidP="00FD6B66">
            <w:pPr>
              <w:jc w:val="left"/>
              <w:rPr>
                <w:rFonts w:cs="Arial"/>
                <w:color w:val="000000"/>
                <w:sz w:val="14"/>
                <w:szCs w:val="14"/>
              </w:rPr>
            </w:pPr>
            <w:r>
              <w:rPr>
                <w:rFonts w:cs="Arial"/>
                <w:color w:val="000000"/>
                <w:sz w:val="14"/>
                <w:szCs w:val="14"/>
              </w:rPr>
              <w:t>Middle East</w:t>
            </w:r>
          </w:p>
        </w:tc>
        <w:tc>
          <w:tcPr>
            <w:tcW w:w="392" w:type="pct"/>
            <w:noWrap/>
            <w:vAlign w:val="center"/>
            <w:hideMark/>
          </w:tcPr>
          <w:p w14:paraId="573E69A1"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3</w:t>
            </w:r>
          </w:p>
        </w:tc>
        <w:tc>
          <w:tcPr>
            <w:tcW w:w="392" w:type="pct"/>
            <w:noWrap/>
            <w:vAlign w:val="center"/>
            <w:hideMark/>
          </w:tcPr>
          <w:p w14:paraId="10672FAA"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3</w:t>
            </w:r>
          </w:p>
        </w:tc>
        <w:tc>
          <w:tcPr>
            <w:tcW w:w="392" w:type="pct"/>
            <w:noWrap/>
            <w:vAlign w:val="center"/>
            <w:hideMark/>
          </w:tcPr>
          <w:p w14:paraId="619C4EFE"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3</w:t>
            </w:r>
          </w:p>
        </w:tc>
        <w:tc>
          <w:tcPr>
            <w:tcW w:w="392" w:type="pct"/>
            <w:noWrap/>
            <w:vAlign w:val="center"/>
            <w:hideMark/>
          </w:tcPr>
          <w:p w14:paraId="448F55FE"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3</w:t>
            </w:r>
          </w:p>
        </w:tc>
        <w:tc>
          <w:tcPr>
            <w:tcW w:w="392" w:type="pct"/>
            <w:noWrap/>
            <w:vAlign w:val="center"/>
            <w:hideMark/>
          </w:tcPr>
          <w:p w14:paraId="49E2C472"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3</w:t>
            </w:r>
          </w:p>
        </w:tc>
        <w:tc>
          <w:tcPr>
            <w:tcW w:w="392" w:type="pct"/>
            <w:noWrap/>
            <w:vAlign w:val="center"/>
            <w:hideMark/>
          </w:tcPr>
          <w:p w14:paraId="1B9714B8"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4</w:t>
            </w:r>
          </w:p>
        </w:tc>
        <w:tc>
          <w:tcPr>
            <w:tcW w:w="392" w:type="pct"/>
            <w:noWrap/>
            <w:vAlign w:val="center"/>
            <w:hideMark/>
          </w:tcPr>
          <w:p w14:paraId="0E029F61"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2</w:t>
            </w:r>
          </w:p>
        </w:tc>
      </w:tr>
      <w:tr w:rsidR="004F64EF" w:rsidRPr="003003C0" w14:paraId="39C26F94" w14:textId="77777777" w:rsidTr="00BE2A9F">
        <w:trPr>
          <w:cnfStyle w:val="000000010000" w:firstRow="0" w:lastRow="0" w:firstColumn="0" w:lastColumn="0" w:oddVBand="0" w:evenVBand="0" w:oddHBand="0" w:evenHBand="1" w:firstRowFirstColumn="0" w:firstRowLastColumn="0" w:lastRowFirstColumn="0" w:lastRowLastColumn="0"/>
          <w:trHeight w:val="57"/>
        </w:trPr>
        <w:tc>
          <w:tcPr>
            <w:tcW w:w="2258" w:type="pct"/>
            <w:noWrap/>
            <w:vAlign w:val="center"/>
            <w:hideMark/>
          </w:tcPr>
          <w:p w14:paraId="0E69EC89" w14:textId="77777777" w:rsidR="004F64EF" w:rsidRPr="003003C0" w:rsidRDefault="004F64EF" w:rsidP="00FD6B66">
            <w:pPr>
              <w:tabs>
                <w:tab w:val="left" w:pos="510"/>
              </w:tabs>
              <w:jc w:val="left"/>
              <w:rPr>
                <w:rFonts w:cs="Arial"/>
                <w:color w:val="000000"/>
                <w:sz w:val="14"/>
                <w:szCs w:val="14"/>
              </w:rPr>
            </w:pPr>
            <w:r w:rsidRPr="003003C0">
              <w:rPr>
                <w:rFonts w:cs="Arial"/>
                <w:color w:val="000000"/>
                <w:sz w:val="14"/>
                <w:szCs w:val="14"/>
              </w:rPr>
              <w:tab/>
              <w:t>Israel</w:t>
            </w:r>
          </w:p>
        </w:tc>
        <w:tc>
          <w:tcPr>
            <w:tcW w:w="392" w:type="pct"/>
            <w:noWrap/>
            <w:vAlign w:val="center"/>
            <w:hideMark/>
          </w:tcPr>
          <w:p w14:paraId="10A4082F"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3</w:t>
            </w:r>
          </w:p>
        </w:tc>
        <w:tc>
          <w:tcPr>
            <w:tcW w:w="392" w:type="pct"/>
            <w:noWrap/>
            <w:vAlign w:val="center"/>
            <w:hideMark/>
          </w:tcPr>
          <w:p w14:paraId="7FDAA054"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3</w:t>
            </w:r>
          </w:p>
        </w:tc>
        <w:tc>
          <w:tcPr>
            <w:tcW w:w="392" w:type="pct"/>
            <w:noWrap/>
            <w:vAlign w:val="center"/>
            <w:hideMark/>
          </w:tcPr>
          <w:p w14:paraId="0145ABA2"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3</w:t>
            </w:r>
          </w:p>
        </w:tc>
        <w:tc>
          <w:tcPr>
            <w:tcW w:w="392" w:type="pct"/>
            <w:noWrap/>
            <w:vAlign w:val="center"/>
            <w:hideMark/>
          </w:tcPr>
          <w:p w14:paraId="68D615BB"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3</w:t>
            </w:r>
          </w:p>
        </w:tc>
        <w:tc>
          <w:tcPr>
            <w:tcW w:w="392" w:type="pct"/>
            <w:noWrap/>
            <w:vAlign w:val="center"/>
            <w:hideMark/>
          </w:tcPr>
          <w:p w14:paraId="780C8365"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3</w:t>
            </w:r>
          </w:p>
        </w:tc>
        <w:tc>
          <w:tcPr>
            <w:tcW w:w="392" w:type="pct"/>
            <w:noWrap/>
            <w:vAlign w:val="center"/>
            <w:hideMark/>
          </w:tcPr>
          <w:p w14:paraId="1319A48B"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3</w:t>
            </w:r>
          </w:p>
        </w:tc>
        <w:tc>
          <w:tcPr>
            <w:tcW w:w="392" w:type="pct"/>
            <w:noWrap/>
            <w:vAlign w:val="center"/>
            <w:hideMark/>
          </w:tcPr>
          <w:p w14:paraId="59CA1CDF"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2</w:t>
            </w:r>
          </w:p>
        </w:tc>
      </w:tr>
      <w:tr w:rsidR="004F64EF" w:rsidRPr="003003C0" w14:paraId="7A592AFB" w14:textId="77777777" w:rsidTr="00BE2A9F">
        <w:trPr>
          <w:trHeight w:val="57"/>
        </w:trPr>
        <w:tc>
          <w:tcPr>
            <w:tcW w:w="2258" w:type="pct"/>
            <w:noWrap/>
            <w:vAlign w:val="center"/>
            <w:hideMark/>
          </w:tcPr>
          <w:p w14:paraId="733F4F10" w14:textId="77777777" w:rsidR="004F64EF" w:rsidRPr="003003C0" w:rsidRDefault="004F64EF" w:rsidP="00FD6B66">
            <w:pPr>
              <w:jc w:val="left"/>
              <w:rPr>
                <w:rFonts w:cs="Arial"/>
                <w:color w:val="000000"/>
                <w:sz w:val="14"/>
                <w:szCs w:val="14"/>
              </w:rPr>
            </w:pPr>
            <w:r w:rsidRPr="003003C0">
              <w:rPr>
                <w:rFonts w:cs="Arial"/>
                <w:color w:val="000000"/>
                <w:sz w:val="14"/>
                <w:szCs w:val="14"/>
              </w:rPr>
              <w:t>Asia</w:t>
            </w:r>
          </w:p>
        </w:tc>
        <w:tc>
          <w:tcPr>
            <w:tcW w:w="392" w:type="pct"/>
            <w:noWrap/>
            <w:vAlign w:val="center"/>
            <w:hideMark/>
          </w:tcPr>
          <w:p w14:paraId="5EC911E5" w14:textId="77777777" w:rsidR="004F64EF" w:rsidRPr="003003C0" w:rsidRDefault="004F64EF" w:rsidP="00FD6B66">
            <w:pPr>
              <w:jc w:val="right"/>
              <w:rPr>
                <w:rFonts w:cs="Arial"/>
                <w:color w:val="000000"/>
                <w:sz w:val="14"/>
                <w:szCs w:val="14"/>
              </w:rPr>
            </w:pPr>
            <w:r w:rsidRPr="003003C0">
              <w:rPr>
                <w:rFonts w:cs="Arial"/>
                <w:color w:val="000000"/>
                <w:sz w:val="14"/>
                <w:szCs w:val="14"/>
              </w:rPr>
              <w:t>10</w:t>
            </w:r>
            <w:r>
              <w:rPr>
                <w:rFonts w:cs="Arial"/>
                <w:color w:val="000000"/>
                <w:sz w:val="14"/>
                <w:szCs w:val="14"/>
              </w:rPr>
              <w:t>.</w:t>
            </w:r>
            <w:r w:rsidRPr="003003C0">
              <w:rPr>
                <w:rFonts w:cs="Arial"/>
                <w:color w:val="000000"/>
                <w:sz w:val="14"/>
                <w:szCs w:val="14"/>
              </w:rPr>
              <w:t>5</w:t>
            </w:r>
          </w:p>
        </w:tc>
        <w:tc>
          <w:tcPr>
            <w:tcW w:w="392" w:type="pct"/>
            <w:noWrap/>
            <w:vAlign w:val="center"/>
            <w:hideMark/>
          </w:tcPr>
          <w:p w14:paraId="62C06C69" w14:textId="77777777" w:rsidR="004F64EF" w:rsidRPr="003003C0" w:rsidRDefault="004F64EF" w:rsidP="00FD6B66">
            <w:pPr>
              <w:jc w:val="right"/>
              <w:rPr>
                <w:rFonts w:cs="Arial"/>
                <w:color w:val="000000"/>
                <w:sz w:val="14"/>
                <w:szCs w:val="14"/>
              </w:rPr>
            </w:pPr>
            <w:r w:rsidRPr="003003C0">
              <w:rPr>
                <w:rFonts w:cs="Arial"/>
                <w:color w:val="000000"/>
                <w:sz w:val="14"/>
                <w:szCs w:val="14"/>
              </w:rPr>
              <w:t>10</w:t>
            </w:r>
            <w:r>
              <w:rPr>
                <w:rFonts w:cs="Arial"/>
                <w:color w:val="000000"/>
                <w:sz w:val="14"/>
                <w:szCs w:val="14"/>
              </w:rPr>
              <w:t>.</w:t>
            </w:r>
            <w:r w:rsidRPr="003003C0">
              <w:rPr>
                <w:rFonts w:cs="Arial"/>
                <w:color w:val="000000"/>
                <w:sz w:val="14"/>
                <w:szCs w:val="14"/>
              </w:rPr>
              <w:t>2</w:t>
            </w:r>
          </w:p>
        </w:tc>
        <w:tc>
          <w:tcPr>
            <w:tcW w:w="392" w:type="pct"/>
            <w:noWrap/>
            <w:vAlign w:val="center"/>
            <w:hideMark/>
          </w:tcPr>
          <w:p w14:paraId="0B0BD968" w14:textId="77777777" w:rsidR="004F64EF" w:rsidRPr="003003C0" w:rsidRDefault="004F64EF" w:rsidP="00FD6B66">
            <w:pPr>
              <w:jc w:val="right"/>
              <w:rPr>
                <w:rFonts w:cs="Arial"/>
                <w:color w:val="000000"/>
                <w:sz w:val="14"/>
                <w:szCs w:val="14"/>
              </w:rPr>
            </w:pPr>
            <w:r w:rsidRPr="003003C0">
              <w:rPr>
                <w:rFonts w:cs="Arial"/>
                <w:color w:val="000000"/>
                <w:sz w:val="14"/>
                <w:szCs w:val="14"/>
              </w:rPr>
              <w:t>12</w:t>
            </w:r>
            <w:r>
              <w:rPr>
                <w:rFonts w:cs="Arial"/>
                <w:color w:val="000000"/>
                <w:sz w:val="14"/>
                <w:szCs w:val="14"/>
              </w:rPr>
              <w:t>.</w:t>
            </w:r>
            <w:r w:rsidRPr="003003C0">
              <w:rPr>
                <w:rFonts w:cs="Arial"/>
                <w:color w:val="000000"/>
                <w:sz w:val="14"/>
                <w:szCs w:val="14"/>
              </w:rPr>
              <w:t>0</w:t>
            </w:r>
          </w:p>
        </w:tc>
        <w:tc>
          <w:tcPr>
            <w:tcW w:w="392" w:type="pct"/>
            <w:noWrap/>
            <w:vAlign w:val="center"/>
            <w:hideMark/>
          </w:tcPr>
          <w:p w14:paraId="60A0156A" w14:textId="77777777" w:rsidR="004F64EF" w:rsidRPr="003003C0" w:rsidRDefault="004F64EF" w:rsidP="00FD6B66">
            <w:pPr>
              <w:jc w:val="right"/>
              <w:rPr>
                <w:rFonts w:cs="Arial"/>
                <w:color w:val="000000"/>
                <w:sz w:val="14"/>
                <w:szCs w:val="14"/>
              </w:rPr>
            </w:pPr>
            <w:r w:rsidRPr="003003C0">
              <w:rPr>
                <w:rFonts w:cs="Arial"/>
                <w:color w:val="000000"/>
                <w:sz w:val="14"/>
                <w:szCs w:val="14"/>
              </w:rPr>
              <w:t>12</w:t>
            </w:r>
            <w:r>
              <w:rPr>
                <w:rFonts w:cs="Arial"/>
                <w:color w:val="000000"/>
                <w:sz w:val="14"/>
                <w:szCs w:val="14"/>
              </w:rPr>
              <w:t>.</w:t>
            </w:r>
            <w:r w:rsidRPr="003003C0">
              <w:rPr>
                <w:rFonts w:cs="Arial"/>
                <w:color w:val="000000"/>
                <w:sz w:val="14"/>
                <w:szCs w:val="14"/>
              </w:rPr>
              <w:t>0</w:t>
            </w:r>
          </w:p>
        </w:tc>
        <w:tc>
          <w:tcPr>
            <w:tcW w:w="392" w:type="pct"/>
            <w:noWrap/>
            <w:vAlign w:val="center"/>
            <w:hideMark/>
          </w:tcPr>
          <w:p w14:paraId="78626AE8" w14:textId="77777777" w:rsidR="004F64EF" w:rsidRPr="003003C0" w:rsidRDefault="004F64EF" w:rsidP="00FD6B66">
            <w:pPr>
              <w:jc w:val="right"/>
              <w:rPr>
                <w:rFonts w:cs="Arial"/>
                <w:color w:val="000000"/>
                <w:sz w:val="14"/>
                <w:szCs w:val="14"/>
              </w:rPr>
            </w:pPr>
            <w:r w:rsidRPr="003003C0">
              <w:rPr>
                <w:rFonts w:cs="Arial"/>
                <w:color w:val="000000"/>
                <w:sz w:val="14"/>
                <w:szCs w:val="14"/>
              </w:rPr>
              <w:t>13</w:t>
            </w:r>
            <w:r>
              <w:rPr>
                <w:rFonts w:cs="Arial"/>
                <w:color w:val="000000"/>
                <w:sz w:val="14"/>
                <w:szCs w:val="14"/>
              </w:rPr>
              <w:t>.</w:t>
            </w:r>
            <w:r w:rsidRPr="003003C0">
              <w:rPr>
                <w:rFonts w:cs="Arial"/>
                <w:color w:val="000000"/>
                <w:sz w:val="14"/>
                <w:szCs w:val="14"/>
              </w:rPr>
              <w:t>7</w:t>
            </w:r>
          </w:p>
        </w:tc>
        <w:tc>
          <w:tcPr>
            <w:tcW w:w="392" w:type="pct"/>
            <w:noWrap/>
            <w:vAlign w:val="center"/>
            <w:hideMark/>
          </w:tcPr>
          <w:p w14:paraId="72AC3998" w14:textId="77777777" w:rsidR="004F64EF" w:rsidRPr="003003C0" w:rsidRDefault="004F64EF" w:rsidP="00FD6B66">
            <w:pPr>
              <w:jc w:val="right"/>
              <w:rPr>
                <w:rFonts w:cs="Arial"/>
                <w:color w:val="000000"/>
                <w:sz w:val="14"/>
                <w:szCs w:val="14"/>
              </w:rPr>
            </w:pPr>
            <w:r w:rsidRPr="003003C0">
              <w:rPr>
                <w:rFonts w:cs="Arial"/>
                <w:color w:val="000000"/>
                <w:sz w:val="14"/>
                <w:szCs w:val="14"/>
              </w:rPr>
              <w:t>18</w:t>
            </w:r>
            <w:r>
              <w:rPr>
                <w:rFonts w:cs="Arial"/>
                <w:color w:val="000000"/>
                <w:sz w:val="14"/>
                <w:szCs w:val="14"/>
              </w:rPr>
              <w:t>.</w:t>
            </w:r>
            <w:r w:rsidRPr="003003C0">
              <w:rPr>
                <w:rFonts w:cs="Arial"/>
                <w:color w:val="000000"/>
                <w:sz w:val="14"/>
                <w:szCs w:val="14"/>
              </w:rPr>
              <w:t>0</w:t>
            </w:r>
          </w:p>
        </w:tc>
        <w:tc>
          <w:tcPr>
            <w:tcW w:w="392" w:type="pct"/>
            <w:noWrap/>
            <w:vAlign w:val="center"/>
            <w:hideMark/>
          </w:tcPr>
          <w:p w14:paraId="542A6B09" w14:textId="77777777" w:rsidR="004F64EF" w:rsidRPr="003003C0" w:rsidRDefault="004F64EF" w:rsidP="00FD6B66">
            <w:pPr>
              <w:jc w:val="right"/>
              <w:rPr>
                <w:rFonts w:cs="Arial"/>
                <w:color w:val="000000"/>
                <w:sz w:val="14"/>
                <w:szCs w:val="14"/>
              </w:rPr>
            </w:pPr>
            <w:r w:rsidRPr="003003C0">
              <w:rPr>
                <w:rFonts w:cs="Arial"/>
                <w:color w:val="000000"/>
                <w:sz w:val="14"/>
                <w:szCs w:val="14"/>
              </w:rPr>
              <w:t>16</w:t>
            </w:r>
            <w:r>
              <w:rPr>
                <w:rFonts w:cs="Arial"/>
                <w:color w:val="000000"/>
                <w:sz w:val="14"/>
                <w:szCs w:val="14"/>
              </w:rPr>
              <w:t>.</w:t>
            </w:r>
            <w:r w:rsidRPr="003003C0">
              <w:rPr>
                <w:rFonts w:cs="Arial"/>
                <w:color w:val="000000"/>
                <w:sz w:val="14"/>
                <w:szCs w:val="14"/>
              </w:rPr>
              <w:t>5</w:t>
            </w:r>
          </w:p>
        </w:tc>
      </w:tr>
      <w:tr w:rsidR="004F64EF" w:rsidRPr="003003C0" w14:paraId="7DBD5407" w14:textId="77777777" w:rsidTr="00BE2A9F">
        <w:trPr>
          <w:cnfStyle w:val="000000010000" w:firstRow="0" w:lastRow="0" w:firstColumn="0" w:lastColumn="0" w:oddVBand="0" w:evenVBand="0" w:oddHBand="0" w:evenHBand="1" w:firstRowFirstColumn="0" w:firstRowLastColumn="0" w:lastRowFirstColumn="0" w:lastRowLastColumn="0"/>
          <w:trHeight w:val="57"/>
        </w:trPr>
        <w:tc>
          <w:tcPr>
            <w:tcW w:w="2258" w:type="pct"/>
            <w:noWrap/>
            <w:vAlign w:val="center"/>
            <w:hideMark/>
          </w:tcPr>
          <w:p w14:paraId="49D2E2E8" w14:textId="77777777" w:rsidR="004F64EF" w:rsidRPr="003003C0" w:rsidRDefault="004F64EF" w:rsidP="00FD6B66">
            <w:pPr>
              <w:tabs>
                <w:tab w:val="left" w:pos="113"/>
              </w:tabs>
              <w:jc w:val="left"/>
              <w:rPr>
                <w:rFonts w:cs="Arial"/>
                <w:color w:val="000000"/>
                <w:sz w:val="14"/>
                <w:szCs w:val="14"/>
              </w:rPr>
            </w:pPr>
            <w:r w:rsidRPr="003003C0">
              <w:rPr>
                <w:rFonts w:cs="Arial"/>
                <w:color w:val="000000"/>
                <w:sz w:val="14"/>
                <w:szCs w:val="14"/>
              </w:rPr>
              <w:tab/>
              <w:t>China</w:t>
            </w:r>
          </w:p>
        </w:tc>
        <w:tc>
          <w:tcPr>
            <w:tcW w:w="392" w:type="pct"/>
            <w:noWrap/>
            <w:vAlign w:val="center"/>
            <w:hideMark/>
          </w:tcPr>
          <w:p w14:paraId="3A57C4B5" w14:textId="77777777" w:rsidR="004F64EF" w:rsidRPr="003003C0" w:rsidRDefault="004F64EF" w:rsidP="00FD6B66">
            <w:pPr>
              <w:jc w:val="right"/>
              <w:rPr>
                <w:rFonts w:cs="Arial"/>
                <w:color w:val="000000"/>
                <w:sz w:val="14"/>
                <w:szCs w:val="14"/>
              </w:rPr>
            </w:pPr>
            <w:r w:rsidRPr="003003C0">
              <w:rPr>
                <w:rFonts w:cs="Arial"/>
                <w:color w:val="000000"/>
                <w:sz w:val="14"/>
                <w:szCs w:val="14"/>
              </w:rPr>
              <w:t>6</w:t>
            </w:r>
            <w:r>
              <w:rPr>
                <w:rFonts w:cs="Arial"/>
                <w:color w:val="000000"/>
                <w:sz w:val="14"/>
                <w:szCs w:val="14"/>
              </w:rPr>
              <w:t>.</w:t>
            </w:r>
            <w:r w:rsidRPr="003003C0">
              <w:rPr>
                <w:rFonts w:cs="Arial"/>
                <w:color w:val="000000"/>
                <w:sz w:val="14"/>
                <w:szCs w:val="14"/>
              </w:rPr>
              <w:t>9</w:t>
            </w:r>
          </w:p>
        </w:tc>
        <w:tc>
          <w:tcPr>
            <w:tcW w:w="392" w:type="pct"/>
            <w:noWrap/>
            <w:vAlign w:val="center"/>
            <w:hideMark/>
          </w:tcPr>
          <w:p w14:paraId="54223935" w14:textId="77777777" w:rsidR="004F64EF" w:rsidRPr="003003C0" w:rsidRDefault="004F64EF" w:rsidP="00FD6B66">
            <w:pPr>
              <w:jc w:val="right"/>
              <w:rPr>
                <w:rFonts w:cs="Arial"/>
                <w:color w:val="000000"/>
                <w:sz w:val="14"/>
                <w:szCs w:val="14"/>
              </w:rPr>
            </w:pPr>
            <w:r w:rsidRPr="003003C0">
              <w:rPr>
                <w:rFonts w:cs="Arial"/>
                <w:color w:val="000000"/>
                <w:sz w:val="14"/>
                <w:szCs w:val="14"/>
              </w:rPr>
              <w:t>6</w:t>
            </w:r>
            <w:r>
              <w:rPr>
                <w:rFonts w:cs="Arial"/>
                <w:color w:val="000000"/>
                <w:sz w:val="14"/>
                <w:szCs w:val="14"/>
              </w:rPr>
              <w:t>.</w:t>
            </w:r>
            <w:r w:rsidRPr="003003C0">
              <w:rPr>
                <w:rFonts w:cs="Arial"/>
                <w:color w:val="000000"/>
                <w:sz w:val="14"/>
                <w:szCs w:val="14"/>
              </w:rPr>
              <w:t>8</w:t>
            </w:r>
          </w:p>
        </w:tc>
        <w:tc>
          <w:tcPr>
            <w:tcW w:w="392" w:type="pct"/>
            <w:noWrap/>
            <w:vAlign w:val="center"/>
            <w:hideMark/>
          </w:tcPr>
          <w:p w14:paraId="3FF97DD8" w14:textId="77777777" w:rsidR="004F64EF" w:rsidRPr="003003C0" w:rsidRDefault="004F64EF" w:rsidP="00FD6B66">
            <w:pPr>
              <w:jc w:val="right"/>
              <w:rPr>
                <w:rFonts w:cs="Arial"/>
                <w:color w:val="000000"/>
                <w:sz w:val="14"/>
                <w:szCs w:val="14"/>
              </w:rPr>
            </w:pPr>
            <w:r w:rsidRPr="003003C0">
              <w:rPr>
                <w:rFonts w:cs="Arial"/>
                <w:color w:val="000000"/>
                <w:sz w:val="14"/>
                <w:szCs w:val="14"/>
              </w:rPr>
              <w:t>8</w:t>
            </w:r>
            <w:r>
              <w:rPr>
                <w:rFonts w:cs="Arial"/>
                <w:color w:val="000000"/>
                <w:sz w:val="14"/>
                <w:szCs w:val="14"/>
              </w:rPr>
              <w:t>.</w:t>
            </w:r>
            <w:r w:rsidRPr="003003C0">
              <w:rPr>
                <w:rFonts w:cs="Arial"/>
                <w:color w:val="000000"/>
                <w:sz w:val="14"/>
                <w:szCs w:val="14"/>
              </w:rPr>
              <w:t>5</w:t>
            </w:r>
          </w:p>
        </w:tc>
        <w:tc>
          <w:tcPr>
            <w:tcW w:w="392" w:type="pct"/>
            <w:noWrap/>
            <w:vAlign w:val="center"/>
            <w:hideMark/>
          </w:tcPr>
          <w:p w14:paraId="615DAE45" w14:textId="77777777" w:rsidR="004F64EF" w:rsidRPr="003003C0" w:rsidRDefault="004F64EF" w:rsidP="00FD6B66">
            <w:pPr>
              <w:jc w:val="right"/>
              <w:rPr>
                <w:rFonts w:cs="Arial"/>
                <w:color w:val="000000"/>
                <w:sz w:val="14"/>
                <w:szCs w:val="14"/>
              </w:rPr>
            </w:pPr>
            <w:r w:rsidRPr="003003C0">
              <w:rPr>
                <w:rFonts w:cs="Arial"/>
                <w:color w:val="000000"/>
                <w:sz w:val="14"/>
                <w:szCs w:val="14"/>
              </w:rPr>
              <w:t>8</w:t>
            </w:r>
            <w:r>
              <w:rPr>
                <w:rFonts w:cs="Arial"/>
                <w:color w:val="000000"/>
                <w:sz w:val="14"/>
                <w:szCs w:val="14"/>
              </w:rPr>
              <w:t>.</w:t>
            </w:r>
            <w:r w:rsidRPr="003003C0">
              <w:rPr>
                <w:rFonts w:cs="Arial"/>
                <w:color w:val="000000"/>
                <w:sz w:val="14"/>
                <w:szCs w:val="14"/>
              </w:rPr>
              <w:t>3</w:t>
            </w:r>
          </w:p>
        </w:tc>
        <w:tc>
          <w:tcPr>
            <w:tcW w:w="392" w:type="pct"/>
            <w:noWrap/>
            <w:vAlign w:val="center"/>
            <w:hideMark/>
          </w:tcPr>
          <w:p w14:paraId="61F36EFF" w14:textId="77777777" w:rsidR="004F64EF" w:rsidRPr="003003C0" w:rsidRDefault="004F64EF" w:rsidP="00FD6B66">
            <w:pPr>
              <w:jc w:val="right"/>
              <w:rPr>
                <w:rFonts w:cs="Arial"/>
                <w:color w:val="000000"/>
                <w:sz w:val="14"/>
                <w:szCs w:val="14"/>
              </w:rPr>
            </w:pPr>
            <w:r w:rsidRPr="003003C0">
              <w:rPr>
                <w:rFonts w:cs="Arial"/>
                <w:color w:val="000000"/>
                <w:sz w:val="14"/>
                <w:szCs w:val="14"/>
              </w:rPr>
              <w:t>9</w:t>
            </w:r>
            <w:r>
              <w:rPr>
                <w:rFonts w:cs="Arial"/>
                <w:color w:val="000000"/>
                <w:sz w:val="14"/>
                <w:szCs w:val="14"/>
              </w:rPr>
              <w:t>.</w:t>
            </w:r>
            <w:r w:rsidRPr="003003C0">
              <w:rPr>
                <w:rFonts w:cs="Arial"/>
                <w:color w:val="000000"/>
                <w:sz w:val="14"/>
                <w:szCs w:val="14"/>
              </w:rPr>
              <w:t>7</w:t>
            </w:r>
          </w:p>
        </w:tc>
        <w:tc>
          <w:tcPr>
            <w:tcW w:w="392" w:type="pct"/>
            <w:noWrap/>
            <w:vAlign w:val="center"/>
            <w:hideMark/>
          </w:tcPr>
          <w:p w14:paraId="52F615FC" w14:textId="77777777" w:rsidR="004F64EF" w:rsidRPr="003003C0" w:rsidRDefault="004F64EF" w:rsidP="00FD6B66">
            <w:pPr>
              <w:jc w:val="right"/>
              <w:rPr>
                <w:rFonts w:cs="Arial"/>
                <w:color w:val="000000"/>
                <w:sz w:val="14"/>
                <w:szCs w:val="14"/>
              </w:rPr>
            </w:pPr>
            <w:r w:rsidRPr="003003C0">
              <w:rPr>
                <w:rFonts w:cs="Arial"/>
                <w:color w:val="000000"/>
                <w:sz w:val="14"/>
                <w:szCs w:val="14"/>
              </w:rPr>
              <w:t>13</w:t>
            </w:r>
            <w:r>
              <w:rPr>
                <w:rFonts w:cs="Arial"/>
                <w:color w:val="000000"/>
                <w:sz w:val="14"/>
                <w:szCs w:val="14"/>
              </w:rPr>
              <w:t>.</w:t>
            </w:r>
            <w:r w:rsidRPr="003003C0">
              <w:rPr>
                <w:rFonts w:cs="Arial"/>
                <w:color w:val="000000"/>
                <w:sz w:val="14"/>
                <w:szCs w:val="14"/>
              </w:rPr>
              <w:t>4</w:t>
            </w:r>
          </w:p>
        </w:tc>
        <w:tc>
          <w:tcPr>
            <w:tcW w:w="392" w:type="pct"/>
            <w:noWrap/>
            <w:vAlign w:val="center"/>
            <w:hideMark/>
          </w:tcPr>
          <w:p w14:paraId="45B64D39" w14:textId="77777777" w:rsidR="004F64EF" w:rsidRPr="003003C0" w:rsidRDefault="004F64EF" w:rsidP="00FD6B66">
            <w:pPr>
              <w:jc w:val="right"/>
              <w:rPr>
                <w:rFonts w:cs="Arial"/>
                <w:color w:val="000000"/>
                <w:sz w:val="14"/>
                <w:szCs w:val="14"/>
              </w:rPr>
            </w:pPr>
            <w:r w:rsidRPr="003003C0">
              <w:rPr>
                <w:rFonts w:cs="Arial"/>
                <w:color w:val="000000"/>
                <w:sz w:val="14"/>
                <w:szCs w:val="14"/>
              </w:rPr>
              <w:t>11</w:t>
            </w:r>
            <w:r>
              <w:rPr>
                <w:rFonts w:cs="Arial"/>
                <w:color w:val="000000"/>
                <w:sz w:val="14"/>
                <w:szCs w:val="14"/>
              </w:rPr>
              <w:t>.</w:t>
            </w:r>
            <w:r w:rsidRPr="003003C0">
              <w:rPr>
                <w:rFonts w:cs="Arial"/>
                <w:color w:val="000000"/>
                <w:sz w:val="14"/>
                <w:szCs w:val="14"/>
              </w:rPr>
              <w:t>7</w:t>
            </w:r>
          </w:p>
        </w:tc>
      </w:tr>
      <w:tr w:rsidR="004F64EF" w:rsidRPr="003003C0" w14:paraId="5E2F1E52" w14:textId="77777777" w:rsidTr="00BE2A9F">
        <w:trPr>
          <w:trHeight w:val="57"/>
        </w:trPr>
        <w:tc>
          <w:tcPr>
            <w:tcW w:w="2258" w:type="pct"/>
            <w:noWrap/>
            <w:vAlign w:val="center"/>
            <w:hideMark/>
          </w:tcPr>
          <w:p w14:paraId="634D85F4" w14:textId="77777777" w:rsidR="004F64EF" w:rsidRPr="003003C0" w:rsidRDefault="004F64EF" w:rsidP="00FD6B66">
            <w:pPr>
              <w:tabs>
                <w:tab w:val="left" w:pos="113"/>
              </w:tabs>
              <w:jc w:val="left"/>
              <w:rPr>
                <w:rFonts w:cs="Arial"/>
                <w:color w:val="000000"/>
                <w:sz w:val="14"/>
                <w:szCs w:val="14"/>
              </w:rPr>
            </w:pPr>
            <w:r w:rsidRPr="003003C0">
              <w:rPr>
                <w:rFonts w:cs="Arial"/>
                <w:color w:val="000000"/>
                <w:sz w:val="14"/>
                <w:szCs w:val="14"/>
              </w:rPr>
              <w:tab/>
              <w:t>Jap</w:t>
            </w:r>
            <w:r>
              <w:rPr>
                <w:rFonts w:cs="Arial"/>
                <w:color w:val="000000"/>
                <w:sz w:val="14"/>
                <w:szCs w:val="14"/>
              </w:rPr>
              <w:t>a</w:t>
            </w:r>
            <w:r w:rsidRPr="003003C0">
              <w:rPr>
                <w:rFonts w:cs="Arial"/>
                <w:color w:val="000000"/>
                <w:sz w:val="14"/>
                <w:szCs w:val="14"/>
              </w:rPr>
              <w:t>n</w:t>
            </w:r>
          </w:p>
        </w:tc>
        <w:tc>
          <w:tcPr>
            <w:tcW w:w="392" w:type="pct"/>
            <w:noWrap/>
            <w:vAlign w:val="center"/>
            <w:hideMark/>
          </w:tcPr>
          <w:p w14:paraId="3018D3C2"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9</w:t>
            </w:r>
          </w:p>
        </w:tc>
        <w:tc>
          <w:tcPr>
            <w:tcW w:w="392" w:type="pct"/>
            <w:noWrap/>
            <w:vAlign w:val="center"/>
            <w:hideMark/>
          </w:tcPr>
          <w:p w14:paraId="43808574" w14:textId="77777777" w:rsidR="004F64EF" w:rsidRPr="003003C0" w:rsidRDefault="004F64EF" w:rsidP="00FD6B66">
            <w:pPr>
              <w:jc w:val="right"/>
              <w:rPr>
                <w:rFonts w:cs="Arial"/>
                <w:color w:val="000000"/>
                <w:sz w:val="14"/>
                <w:szCs w:val="14"/>
              </w:rPr>
            </w:pPr>
            <w:r w:rsidRPr="003003C0">
              <w:rPr>
                <w:rFonts w:cs="Arial"/>
                <w:color w:val="000000"/>
                <w:sz w:val="14"/>
                <w:szCs w:val="14"/>
              </w:rPr>
              <w:t>1</w:t>
            </w:r>
            <w:r>
              <w:rPr>
                <w:rFonts w:cs="Arial"/>
                <w:color w:val="000000"/>
                <w:sz w:val="14"/>
                <w:szCs w:val="14"/>
              </w:rPr>
              <w:t>.</w:t>
            </w:r>
            <w:r w:rsidRPr="003003C0">
              <w:rPr>
                <w:rFonts w:cs="Arial"/>
                <w:color w:val="000000"/>
                <w:sz w:val="14"/>
                <w:szCs w:val="14"/>
              </w:rPr>
              <w:t>1</w:t>
            </w:r>
          </w:p>
        </w:tc>
        <w:tc>
          <w:tcPr>
            <w:tcW w:w="392" w:type="pct"/>
            <w:noWrap/>
            <w:vAlign w:val="center"/>
            <w:hideMark/>
          </w:tcPr>
          <w:p w14:paraId="348C9406"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7</w:t>
            </w:r>
          </w:p>
        </w:tc>
        <w:tc>
          <w:tcPr>
            <w:tcW w:w="392" w:type="pct"/>
            <w:noWrap/>
            <w:vAlign w:val="center"/>
            <w:hideMark/>
          </w:tcPr>
          <w:p w14:paraId="10177EB4"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7</w:t>
            </w:r>
          </w:p>
        </w:tc>
        <w:tc>
          <w:tcPr>
            <w:tcW w:w="392" w:type="pct"/>
            <w:noWrap/>
            <w:vAlign w:val="center"/>
            <w:hideMark/>
          </w:tcPr>
          <w:p w14:paraId="70646EAB"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5</w:t>
            </w:r>
          </w:p>
        </w:tc>
        <w:tc>
          <w:tcPr>
            <w:tcW w:w="392" w:type="pct"/>
            <w:noWrap/>
            <w:vAlign w:val="center"/>
            <w:hideMark/>
          </w:tcPr>
          <w:p w14:paraId="57F68790"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3</w:t>
            </w:r>
          </w:p>
        </w:tc>
        <w:tc>
          <w:tcPr>
            <w:tcW w:w="392" w:type="pct"/>
            <w:noWrap/>
            <w:vAlign w:val="center"/>
            <w:hideMark/>
          </w:tcPr>
          <w:p w14:paraId="27BB7974"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4</w:t>
            </w:r>
          </w:p>
        </w:tc>
      </w:tr>
      <w:tr w:rsidR="004F64EF" w:rsidRPr="003003C0" w14:paraId="16C1F378" w14:textId="77777777" w:rsidTr="00BE2A9F">
        <w:trPr>
          <w:cnfStyle w:val="000000010000" w:firstRow="0" w:lastRow="0" w:firstColumn="0" w:lastColumn="0" w:oddVBand="0" w:evenVBand="0" w:oddHBand="0" w:evenHBand="1" w:firstRowFirstColumn="0" w:firstRowLastColumn="0" w:lastRowFirstColumn="0" w:lastRowLastColumn="0"/>
          <w:trHeight w:val="57"/>
        </w:trPr>
        <w:tc>
          <w:tcPr>
            <w:tcW w:w="2258" w:type="pct"/>
            <w:noWrap/>
            <w:vAlign w:val="center"/>
            <w:hideMark/>
          </w:tcPr>
          <w:p w14:paraId="50AB1F0F" w14:textId="77777777" w:rsidR="004F64EF" w:rsidRPr="003003C0" w:rsidRDefault="004F64EF" w:rsidP="00FD6B66">
            <w:pPr>
              <w:tabs>
                <w:tab w:val="left" w:pos="113"/>
              </w:tabs>
              <w:jc w:val="left"/>
              <w:rPr>
                <w:rFonts w:cs="Arial"/>
                <w:color w:val="000000"/>
                <w:sz w:val="14"/>
                <w:szCs w:val="14"/>
              </w:rPr>
            </w:pPr>
            <w:r w:rsidRPr="003003C0">
              <w:rPr>
                <w:rFonts w:cs="Arial"/>
                <w:color w:val="000000"/>
                <w:sz w:val="14"/>
                <w:szCs w:val="14"/>
              </w:rPr>
              <w:tab/>
            </w:r>
            <w:r>
              <w:rPr>
                <w:rFonts w:cs="Arial"/>
                <w:color w:val="000000"/>
                <w:sz w:val="14"/>
                <w:szCs w:val="14"/>
              </w:rPr>
              <w:t>Other</w:t>
            </w:r>
            <w:r w:rsidRPr="003003C0">
              <w:rPr>
                <w:rFonts w:cs="Arial"/>
                <w:color w:val="000000"/>
                <w:sz w:val="14"/>
                <w:szCs w:val="14"/>
              </w:rPr>
              <w:t xml:space="preserve"> Asia</w:t>
            </w:r>
          </w:p>
        </w:tc>
        <w:tc>
          <w:tcPr>
            <w:tcW w:w="392" w:type="pct"/>
            <w:noWrap/>
            <w:vAlign w:val="center"/>
            <w:hideMark/>
          </w:tcPr>
          <w:p w14:paraId="4FD3522C" w14:textId="77777777" w:rsidR="004F64EF" w:rsidRPr="003003C0" w:rsidRDefault="004F64EF" w:rsidP="00FD6B66">
            <w:pPr>
              <w:jc w:val="right"/>
              <w:rPr>
                <w:rFonts w:cs="Arial"/>
                <w:color w:val="000000"/>
                <w:sz w:val="14"/>
                <w:szCs w:val="14"/>
              </w:rPr>
            </w:pPr>
            <w:r w:rsidRPr="003003C0">
              <w:rPr>
                <w:rFonts w:cs="Arial"/>
                <w:color w:val="000000"/>
                <w:sz w:val="14"/>
                <w:szCs w:val="14"/>
              </w:rPr>
              <w:t>2</w:t>
            </w:r>
            <w:r>
              <w:rPr>
                <w:rFonts w:cs="Arial"/>
                <w:color w:val="000000"/>
                <w:sz w:val="14"/>
                <w:szCs w:val="14"/>
              </w:rPr>
              <w:t>.</w:t>
            </w:r>
            <w:r w:rsidRPr="003003C0">
              <w:rPr>
                <w:rFonts w:cs="Arial"/>
                <w:color w:val="000000"/>
                <w:sz w:val="14"/>
                <w:szCs w:val="14"/>
              </w:rPr>
              <w:t>6</w:t>
            </w:r>
          </w:p>
        </w:tc>
        <w:tc>
          <w:tcPr>
            <w:tcW w:w="392" w:type="pct"/>
            <w:noWrap/>
            <w:vAlign w:val="center"/>
            <w:hideMark/>
          </w:tcPr>
          <w:p w14:paraId="79044603" w14:textId="77777777" w:rsidR="004F64EF" w:rsidRPr="003003C0" w:rsidRDefault="004F64EF" w:rsidP="00FD6B66">
            <w:pPr>
              <w:jc w:val="right"/>
              <w:rPr>
                <w:rFonts w:cs="Arial"/>
                <w:color w:val="000000"/>
                <w:sz w:val="14"/>
                <w:szCs w:val="14"/>
              </w:rPr>
            </w:pPr>
            <w:r w:rsidRPr="003003C0">
              <w:rPr>
                <w:rFonts w:cs="Arial"/>
                <w:color w:val="000000"/>
                <w:sz w:val="14"/>
                <w:szCs w:val="14"/>
              </w:rPr>
              <w:t>2</w:t>
            </w:r>
            <w:r>
              <w:rPr>
                <w:rFonts w:cs="Arial"/>
                <w:color w:val="000000"/>
                <w:sz w:val="14"/>
                <w:szCs w:val="14"/>
              </w:rPr>
              <w:t>.</w:t>
            </w:r>
            <w:r w:rsidRPr="003003C0">
              <w:rPr>
                <w:rFonts w:cs="Arial"/>
                <w:color w:val="000000"/>
                <w:sz w:val="14"/>
                <w:szCs w:val="14"/>
              </w:rPr>
              <w:t>3</w:t>
            </w:r>
          </w:p>
        </w:tc>
        <w:tc>
          <w:tcPr>
            <w:tcW w:w="392" w:type="pct"/>
            <w:noWrap/>
            <w:vAlign w:val="center"/>
            <w:hideMark/>
          </w:tcPr>
          <w:p w14:paraId="33FECDBD" w14:textId="77777777" w:rsidR="004F64EF" w:rsidRPr="003003C0" w:rsidRDefault="004F64EF" w:rsidP="00FD6B66">
            <w:pPr>
              <w:jc w:val="right"/>
              <w:rPr>
                <w:rFonts w:cs="Arial"/>
                <w:color w:val="000000"/>
                <w:sz w:val="14"/>
                <w:szCs w:val="14"/>
              </w:rPr>
            </w:pPr>
            <w:r w:rsidRPr="003003C0">
              <w:rPr>
                <w:rFonts w:cs="Arial"/>
                <w:color w:val="000000"/>
                <w:sz w:val="14"/>
                <w:szCs w:val="14"/>
              </w:rPr>
              <w:t>2</w:t>
            </w:r>
            <w:r>
              <w:rPr>
                <w:rFonts w:cs="Arial"/>
                <w:color w:val="000000"/>
                <w:sz w:val="14"/>
                <w:szCs w:val="14"/>
              </w:rPr>
              <w:t>.</w:t>
            </w:r>
            <w:r w:rsidRPr="003003C0">
              <w:rPr>
                <w:rFonts w:cs="Arial"/>
                <w:color w:val="000000"/>
                <w:sz w:val="14"/>
                <w:szCs w:val="14"/>
              </w:rPr>
              <w:t>9</w:t>
            </w:r>
          </w:p>
        </w:tc>
        <w:tc>
          <w:tcPr>
            <w:tcW w:w="392" w:type="pct"/>
            <w:noWrap/>
            <w:vAlign w:val="center"/>
            <w:hideMark/>
          </w:tcPr>
          <w:p w14:paraId="51278DD2" w14:textId="77777777" w:rsidR="004F64EF" w:rsidRPr="003003C0" w:rsidRDefault="004F64EF" w:rsidP="00FD6B66">
            <w:pPr>
              <w:jc w:val="right"/>
              <w:rPr>
                <w:rFonts w:cs="Arial"/>
                <w:color w:val="000000"/>
                <w:sz w:val="14"/>
                <w:szCs w:val="14"/>
              </w:rPr>
            </w:pPr>
            <w:r w:rsidRPr="003003C0">
              <w:rPr>
                <w:rFonts w:cs="Arial"/>
                <w:color w:val="000000"/>
                <w:sz w:val="14"/>
                <w:szCs w:val="14"/>
              </w:rPr>
              <w:t>3</w:t>
            </w:r>
            <w:r>
              <w:rPr>
                <w:rFonts w:cs="Arial"/>
                <w:color w:val="000000"/>
                <w:sz w:val="14"/>
                <w:szCs w:val="14"/>
              </w:rPr>
              <w:t>.</w:t>
            </w:r>
            <w:r w:rsidRPr="003003C0">
              <w:rPr>
                <w:rFonts w:cs="Arial"/>
                <w:color w:val="000000"/>
                <w:sz w:val="14"/>
                <w:szCs w:val="14"/>
              </w:rPr>
              <w:t>0</w:t>
            </w:r>
          </w:p>
        </w:tc>
        <w:tc>
          <w:tcPr>
            <w:tcW w:w="392" w:type="pct"/>
            <w:noWrap/>
            <w:vAlign w:val="center"/>
            <w:hideMark/>
          </w:tcPr>
          <w:p w14:paraId="75789A09" w14:textId="77777777" w:rsidR="004F64EF" w:rsidRPr="003003C0" w:rsidRDefault="004F64EF" w:rsidP="00FD6B66">
            <w:pPr>
              <w:jc w:val="right"/>
              <w:rPr>
                <w:rFonts w:cs="Arial"/>
                <w:color w:val="000000"/>
                <w:sz w:val="14"/>
                <w:szCs w:val="14"/>
              </w:rPr>
            </w:pPr>
            <w:r w:rsidRPr="003003C0">
              <w:rPr>
                <w:rFonts w:cs="Arial"/>
                <w:color w:val="000000"/>
                <w:sz w:val="14"/>
                <w:szCs w:val="14"/>
              </w:rPr>
              <w:t>3</w:t>
            </w:r>
            <w:r>
              <w:rPr>
                <w:rFonts w:cs="Arial"/>
                <w:color w:val="000000"/>
                <w:sz w:val="14"/>
                <w:szCs w:val="14"/>
              </w:rPr>
              <w:t>.</w:t>
            </w:r>
            <w:r w:rsidRPr="003003C0">
              <w:rPr>
                <w:rFonts w:cs="Arial"/>
                <w:color w:val="000000"/>
                <w:sz w:val="14"/>
                <w:szCs w:val="14"/>
              </w:rPr>
              <w:t>5</w:t>
            </w:r>
          </w:p>
        </w:tc>
        <w:tc>
          <w:tcPr>
            <w:tcW w:w="392" w:type="pct"/>
            <w:noWrap/>
            <w:vAlign w:val="center"/>
            <w:hideMark/>
          </w:tcPr>
          <w:p w14:paraId="2EBA48ED" w14:textId="77777777" w:rsidR="004F64EF" w:rsidRPr="003003C0" w:rsidRDefault="004F64EF" w:rsidP="00FD6B66">
            <w:pPr>
              <w:jc w:val="right"/>
              <w:rPr>
                <w:rFonts w:cs="Arial"/>
                <w:color w:val="000000"/>
                <w:sz w:val="14"/>
                <w:szCs w:val="14"/>
              </w:rPr>
            </w:pPr>
            <w:r w:rsidRPr="003003C0">
              <w:rPr>
                <w:rFonts w:cs="Arial"/>
                <w:color w:val="000000"/>
                <w:sz w:val="14"/>
                <w:szCs w:val="14"/>
              </w:rPr>
              <w:t>4</w:t>
            </w:r>
            <w:r>
              <w:rPr>
                <w:rFonts w:cs="Arial"/>
                <w:color w:val="000000"/>
                <w:sz w:val="14"/>
                <w:szCs w:val="14"/>
              </w:rPr>
              <w:t>.</w:t>
            </w:r>
            <w:r w:rsidRPr="003003C0">
              <w:rPr>
                <w:rFonts w:cs="Arial"/>
                <w:color w:val="000000"/>
                <w:sz w:val="14"/>
                <w:szCs w:val="14"/>
              </w:rPr>
              <w:t>2</w:t>
            </w:r>
          </w:p>
        </w:tc>
        <w:tc>
          <w:tcPr>
            <w:tcW w:w="392" w:type="pct"/>
            <w:noWrap/>
            <w:vAlign w:val="center"/>
            <w:hideMark/>
          </w:tcPr>
          <w:p w14:paraId="3B8C771A" w14:textId="77777777" w:rsidR="004F64EF" w:rsidRPr="003003C0" w:rsidRDefault="004F64EF" w:rsidP="00FD6B66">
            <w:pPr>
              <w:jc w:val="right"/>
              <w:rPr>
                <w:rFonts w:cs="Arial"/>
                <w:color w:val="000000"/>
                <w:sz w:val="14"/>
                <w:szCs w:val="14"/>
              </w:rPr>
            </w:pPr>
            <w:r w:rsidRPr="003003C0">
              <w:rPr>
                <w:rFonts w:cs="Arial"/>
                <w:color w:val="000000"/>
                <w:sz w:val="14"/>
                <w:szCs w:val="14"/>
              </w:rPr>
              <w:t>4</w:t>
            </w:r>
            <w:r>
              <w:rPr>
                <w:rFonts w:cs="Arial"/>
                <w:color w:val="000000"/>
                <w:sz w:val="14"/>
                <w:szCs w:val="14"/>
              </w:rPr>
              <w:t>.</w:t>
            </w:r>
            <w:r w:rsidRPr="003003C0">
              <w:rPr>
                <w:rFonts w:cs="Arial"/>
                <w:color w:val="000000"/>
                <w:sz w:val="14"/>
                <w:szCs w:val="14"/>
              </w:rPr>
              <w:t>3</w:t>
            </w:r>
          </w:p>
        </w:tc>
      </w:tr>
      <w:tr w:rsidR="004F64EF" w:rsidRPr="003003C0" w14:paraId="713512ED" w14:textId="77777777" w:rsidTr="00BE2A9F">
        <w:trPr>
          <w:trHeight w:val="57"/>
        </w:trPr>
        <w:tc>
          <w:tcPr>
            <w:tcW w:w="2258" w:type="pct"/>
            <w:noWrap/>
            <w:vAlign w:val="center"/>
            <w:hideMark/>
          </w:tcPr>
          <w:p w14:paraId="29A5FFF6" w14:textId="77777777" w:rsidR="004F64EF" w:rsidRPr="003003C0" w:rsidRDefault="004F64EF" w:rsidP="00FD6B66">
            <w:pPr>
              <w:tabs>
                <w:tab w:val="left" w:pos="510"/>
              </w:tabs>
              <w:jc w:val="left"/>
              <w:rPr>
                <w:rFonts w:cs="Arial"/>
                <w:color w:val="000000"/>
                <w:sz w:val="14"/>
                <w:szCs w:val="14"/>
              </w:rPr>
            </w:pPr>
            <w:r w:rsidRPr="003003C0">
              <w:rPr>
                <w:rFonts w:cs="Arial"/>
                <w:color w:val="000000"/>
                <w:sz w:val="14"/>
                <w:szCs w:val="14"/>
              </w:rPr>
              <w:tab/>
              <w:t>India</w:t>
            </w:r>
          </w:p>
        </w:tc>
        <w:tc>
          <w:tcPr>
            <w:tcW w:w="392" w:type="pct"/>
            <w:noWrap/>
            <w:vAlign w:val="center"/>
            <w:hideMark/>
          </w:tcPr>
          <w:p w14:paraId="60595123"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7</w:t>
            </w:r>
          </w:p>
        </w:tc>
        <w:tc>
          <w:tcPr>
            <w:tcW w:w="392" w:type="pct"/>
            <w:noWrap/>
            <w:vAlign w:val="center"/>
            <w:hideMark/>
          </w:tcPr>
          <w:p w14:paraId="5D8AA493"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8</w:t>
            </w:r>
          </w:p>
        </w:tc>
        <w:tc>
          <w:tcPr>
            <w:tcW w:w="392" w:type="pct"/>
            <w:noWrap/>
            <w:vAlign w:val="center"/>
            <w:hideMark/>
          </w:tcPr>
          <w:p w14:paraId="2AD874B8"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9</w:t>
            </w:r>
          </w:p>
        </w:tc>
        <w:tc>
          <w:tcPr>
            <w:tcW w:w="392" w:type="pct"/>
            <w:noWrap/>
            <w:vAlign w:val="center"/>
            <w:hideMark/>
          </w:tcPr>
          <w:p w14:paraId="4D027E1A"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8</w:t>
            </w:r>
          </w:p>
        </w:tc>
        <w:tc>
          <w:tcPr>
            <w:tcW w:w="392" w:type="pct"/>
            <w:noWrap/>
            <w:vAlign w:val="center"/>
            <w:hideMark/>
          </w:tcPr>
          <w:p w14:paraId="73AC7B51"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7</w:t>
            </w:r>
          </w:p>
        </w:tc>
        <w:tc>
          <w:tcPr>
            <w:tcW w:w="392" w:type="pct"/>
            <w:noWrap/>
            <w:vAlign w:val="center"/>
            <w:hideMark/>
          </w:tcPr>
          <w:p w14:paraId="3B03C464"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6</w:t>
            </w:r>
          </w:p>
        </w:tc>
        <w:tc>
          <w:tcPr>
            <w:tcW w:w="392" w:type="pct"/>
            <w:noWrap/>
            <w:vAlign w:val="center"/>
            <w:hideMark/>
          </w:tcPr>
          <w:p w14:paraId="1A9214CF" w14:textId="77777777" w:rsidR="004F64EF" w:rsidRPr="003003C0" w:rsidRDefault="004F64EF" w:rsidP="00FD6B66">
            <w:pPr>
              <w:jc w:val="right"/>
              <w:rPr>
                <w:rFonts w:cs="Arial"/>
                <w:color w:val="000000"/>
                <w:sz w:val="14"/>
                <w:szCs w:val="14"/>
              </w:rPr>
            </w:pPr>
            <w:r w:rsidRPr="003003C0">
              <w:rPr>
                <w:rFonts w:cs="Arial"/>
                <w:color w:val="000000"/>
                <w:sz w:val="14"/>
                <w:szCs w:val="14"/>
              </w:rPr>
              <w:t>1</w:t>
            </w:r>
            <w:r>
              <w:rPr>
                <w:rFonts w:cs="Arial"/>
                <w:color w:val="000000"/>
                <w:sz w:val="14"/>
                <w:szCs w:val="14"/>
              </w:rPr>
              <w:t>.</w:t>
            </w:r>
            <w:r w:rsidRPr="003003C0">
              <w:rPr>
                <w:rFonts w:cs="Arial"/>
                <w:color w:val="000000"/>
                <w:sz w:val="14"/>
                <w:szCs w:val="14"/>
              </w:rPr>
              <w:t>1</w:t>
            </w:r>
          </w:p>
        </w:tc>
      </w:tr>
      <w:tr w:rsidR="004F64EF" w:rsidRPr="003003C0" w14:paraId="32435345" w14:textId="77777777" w:rsidTr="00BE2A9F">
        <w:trPr>
          <w:cnfStyle w:val="000000010000" w:firstRow="0" w:lastRow="0" w:firstColumn="0" w:lastColumn="0" w:oddVBand="0" w:evenVBand="0" w:oddHBand="0" w:evenHBand="1" w:firstRowFirstColumn="0" w:firstRowLastColumn="0" w:lastRowFirstColumn="0" w:lastRowLastColumn="0"/>
          <w:trHeight w:val="57"/>
        </w:trPr>
        <w:tc>
          <w:tcPr>
            <w:tcW w:w="2258" w:type="pct"/>
            <w:noWrap/>
            <w:vAlign w:val="center"/>
            <w:hideMark/>
          </w:tcPr>
          <w:p w14:paraId="1C24041D" w14:textId="77777777" w:rsidR="004F64EF" w:rsidRPr="003003C0" w:rsidRDefault="004F64EF" w:rsidP="00FD6B66">
            <w:pPr>
              <w:tabs>
                <w:tab w:val="left" w:pos="510"/>
              </w:tabs>
              <w:jc w:val="left"/>
              <w:rPr>
                <w:rFonts w:cs="Arial"/>
                <w:color w:val="000000"/>
                <w:sz w:val="14"/>
                <w:szCs w:val="14"/>
              </w:rPr>
            </w:pPr>
            <w:r w:rsidRPr="003003C0">
              <w:rPr>
                <w:rFonts w:cs="Arial"/>
                <w:color w:val="000000"/>
                <w:sz w:val="14"/>
                <w:szCs w:val="14"/>
              </w:rPr>
              <w:tab/>
            </w:r>
            <w:r>
              <w:rPr>
                <w:rFonts w:cs="Arial"/>
                <w:color w:val="000000"/>
                <w:sz w:val="14"/>
                <w:szCs w:val="14"/>
              </w:rPr>
              <w:t>K</w:t>
            </w:r>
            <w:r w:rsidRPr="003003C0">
              <w:rPr>
                <w:rFonts w:cs="Arial"/>
                <w:color w:val="000000"/>
                <w:sz w:val="14"/>
                <w:szCs w:val="14"/>
              </w:rPr>
              <w:t>orea, Rep</w:t>
            </w:r>
            <w:r>
              <w:rPr>
                <w:rFonts w:cs="Arial"/>
                <w:color w:val="000000"/>
                <w:sz w:val="14"/>
                <w:szCs w:val="14"/>
              </w:rPr>
              <w:t>ublic of</w:t>
            </w:r>
          </w:p>
        </w:tc>
        <w:tc>
          <w:tcPr>
            <w:tcW w:w="392" w:type="pct"/>
            <w:noWrap/>
            <w:vAlign w:val="center"/>
            <w:hideMark/>
          </w:tcPr>
          <w:p w14:paraId="2CBE834F"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4</w:t>
            </w:r>
          </w:p>
        </w:tc>
        <w:tc>
          <w:tcPr>
            <w:tcW w:w="392" w:type="pct"/>
            <w:noWrap/>
            <w:vAlign w:val="center"/>
            <w:hideMark/>
          </w:tcPr>
          <w:p w14:paraId="23C03F13"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2</w:t>
            </w:r>
          </w:p>
        </w:tc>
        <w:tc>
          <w:tcPr>
            <w:tcW w:w="392" w:type="pct"/>
            <w:noWrap/>
            <w:vAlign w:val="center"/>
            <w:hideMark/>
          </w:tcPr>
          <w:p w14:paraId="2140796C"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3</w:t>
            </w:r>
          </w:p>
        </w:tc>
        <w:tc>
          <w:tcPr>
            <w:tcW w:w="392" w:type="pct"/>
            <w:noWrap/>
            <w:vAlign w:val="center"/>
            <w:hideMark/>
          </w:tcPr>
          <w:p w14:paraId="417EDC95"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4</w:t>
            </w:r>
          </w:p>
        </w:tc>
        <w:tc>
          <w:tcPr>
            <w:tcW w:w="392" w:type="pct"/>
            <w:noWrap/>
            <w:vAlign w:val="center"/>
            <w:hideMark/>
          </w:tcPr>
          <w:p w14:paraId="3AE10A62"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6</w:t>
            </w:r>
          </w:p>
        </w:tc>
        <w:tc>
          <w:tcPr>
            <w:tcW w:w="392" w:type="pct"/>
            <w:noWrap/>
            <w:vAlign w:val="center"/>
            <w:hideMark/>
          </w:tcPr>
          <w:p w14:paraId="66582BAA"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6</w:t>
            </w:r>
          </w:p>
        </w:tc>
        <w:tc>
          <w:tcPr>
            <w:tcW w:w="392" w:type="pct"/>
            <w:noWrap/>
            <w:vAlign w:val="center"/>
            <w:hideMark/>
          </w:tcPr>
          <w:p w14:paraId="5F8FFF55" w14:textId="77777777" w:rsidR="004F64EF" w:rsidRPr="003003C0" w:rsidRDefault="004F64EF" w:rsidP="00FD6B66">
            <w:pPr>
              <w:jc w:val="right"/>
              <w:rPr>
                <w:rFonts w:cs="Arial"/>
                <w:color w:val="000000"/>
                <w:sz w:val="14"/>
                <w:szCs w:val="14"/>
              </w:rPr>
            </w:pPr>
            <w:r w:rsidRPr="003003C0">
              <w:rPr>
                <w:rFonts w:cs="Arial"/>
                <w:color w:val="000000"/>
                <w:sz w:val="14"/>
                <w:szCs w:val="14"/>
              </w:rPr>
              <w:t>1</w:t>
            </w:r>
            <w:r>
              <w:rPr>
                <w:rFonts w:cs="Arial"/>
                <w:color w:val="000000"/>
                <w:sz w:val="14"/>
                <w:szCs w:val="14"/>
              </w:rPr>
              <w:t>.</w:t>
            </w:r>
            <w:r w:rsidRPr="003003C0">
              <w:rPr>
                <w:rFonts w:cs="Arial"/>
                <w:color w:val="000000"/>
                <w:sz w:val="14"/>
                <w:szCs w:val="14"/>
              </w:rPr>
              <w:t>0</w:t>
            </w:r>
          </w:p>
        </w:tc>
      </w:tr>
      <w:tr w:rsidR="004F64EF" w:rsidRPr="003003C0" w14:paraId="72ED3C0F" w14:textId="77777777" w:rsidTr="00BE2A9F">
        <w:trPr>
          <w:trHeight w:val="57"/>
        </w:trPr>
        <w:tc>
          <w:tcPr>
            <w:tcW w:w="2258" w:type="pct"/>
            <w:noWrap/>
            <w:vAlign w:val="center"/>
            <w:hideMark/>
          </w:tcPr>
          <w:p w14:paraId="5BDE4D6A" w14:textId="77777777" w:rsidR="004F64EF" w:rsidRPr="003003C0" w:rsidRDefault="004F64EF" w:rsidP="00FD6B66">
            <w:pPr>
              <w:tabs>
                <w:tab w:val="left" w:pos="510"/>
              </w:tabs>
              <w:jc w:val="left"/>
              <w:rPr>
                <w:rFonts w:cs="Arial"/>
                <w:color w:val="000000"/>
                <w:sz w:val="14"/>
                <w:szCs w:val="14"/>
              </w:rPr>
            </w:pPr>
            <w:r w:rsidRPr="003003C0">
              <w:rPr>
                <w:rFonts w:cs="Arial"/>
                <w:color w:val="000000"/>
                <w:sz w:val="14"/>
                <w:szCs w:val="14"/>
              </w:rPr>
              <w:tab/>
              <w:t>Indonesia</w:t>
            </w:r>
          </w:p>
        </w:tc>
        <w:tc>
          <w:tcPr>
            <w:tcW w:w="392" w:type="pct"/>
            <w:noWrap/>
            <w:vAlign w:val="center"/>
            <w:hideMark/>
          </w:tcPr>
          <w:p w14:paraId="7A4CC30E"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4</w:t>
            </w:r>
          </w:p>
        </w:tc>
        <w:tc>
          <w:tcPr>
            <w:tcW w:w="392" w:type="pct"/>
            <w:noWrap/>
            <w:vAlign w:val="center"/>
            <w:hideMark/>
          </w:tcPr>
          <w:p w14:paraId="6DE3F156"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4</w:t>
            </w:r>
          </w:p>
        </w:tc>
        <w:tc>
          <w:tcPr>
            <w:tcW w:w="392" w:type="pct"/>
            <w:noWrap/>
            <w:vAlign w:val="center"/>
            <w:hideMark/>
          </w:tcPr>
          <w:p w14:paraId="5CAE56D1"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6</w:t>
            </w:r>
          </w:p>
        </w:tc>
        <w:tc>
          <w:tcPr>
            <w:tcW w:w="392" w:type="pct"/>
            <w:noWrap/>
            <w:vAlign w:val="center"/>
            <w:hideMark/>
          </w:tcPr>
          <w:p w14:paraId="27458364"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8</w:t>
            </w:r>
          </w:p>
        </w:tc>
        <w:tc>
          <w:tcPr>
            <w:tcW w:w="392" w:type="pct"/>
            <w:noWrap/>
            <w:vAlign w:val="center"/>
            <w:hideMark/>
          </w:tcPr>
          <w:p w14:paraId="30CE69A6" w14:textId="77777777" w:rsidR="004F64EF" w:rsidRPr="003003C0" w:rsidRDefault="004F64EF" w:rsidP="00FD6B66">
            <w:pPr>
              <w:jc w:val="right"/>
              <w:rPr>
                <w:rFonts w:cs="Arial"/>
                <w:color w:val="000000"/>
                <w:sz w:val="14"/>
                <w:szCs w:val="14"/>
              </w:rPr>
            </w:pPr>
            <w:r w:rsidRPr="003003C0">
              <w:rPr>
                <w:rFonts w:cs="Arial"/>
                <w:color w:val="000000"/>
                <w:sz w:val="14"/>
                <w:szCs w:val="14"/>
              </w:rPr>
              <w:t>1</w:t>
            </w:r>
            <w:r>
              <w:rPr>
                <w:rFonts w:cs="Arial"/>
                <w:color w:val="000000"/>
                <w:sz w:val="14"/>
                <w:szCs w:val="14"/>
              </w:rPr>
              <w:t>.</w:t>
            </w:r>
            <w:r w:rsidRPr="003003C0">
              <w:rPr>
                <w:rFonts w:cs="Arial"/>
                <w:color w:val="000000"/>
                <w:sz w:val="14"/>
                <w:szCs w:val="14"/>
              </w:rPr>
              <w:t>0</w:t>
            </w:r>
          </w:p>
        </w:tc>
        <w:tc>
          <w:tcPr>
            <w:tcW w:w="392" w:type="pct"/>
            <w:noWrap/>
            <w:vAlign w:val="center"/>
            <w:hideMark/>
          </w:tcPr>
          <w:p w14:paraId="79B7C25E" w14:textId="77777777" w:rsidR="004F64EF" w:rsidRPr="003003C0" w:rsidRDefault="004F64EF" w:rsidP="00FD6B66">
            <w:pPr>
              <w:jc w:val="right"/>
              <w:rPr>
                <w:rFonts w:cs="Arial"/>
                <w:color w:val="000000"/>
                <w:sz w:val="14"/>
                <w:szCs w:val="14"/>
              </w:rPr>
            </w:pPr>
            <w:r w:rsidRPr="003003C0">
              <w:rPr>
                <w:rFonts w:cs="Arial"/>
                <w:color w:val="000000"/>
                <w:sz w:val="14"/>
                <w:szCs w:val="14"/>
              </w:rPr>
              <w:t>1</w:t>
            </w:r>
            <w:r>
              <w:rPr>
                <w:rFonts w:cs="Arial"/>
                <w:color w:val="000000"/>
                <w:sz w:val="14"/>
                <w:szCs w:val="14"/>
              </w:rPr>
              <w:t>.</w:t>
            </w:r>
            <w:r w:rsidRPr="003003C0">
              <w:rPr>
                <w:rFonts w:cs="Arial"/>
                <w:color w:val="000000"/>
                <w:sz w:val="14"/>
                <w:szCs w:val="14"/>
              </w:rPr>
              <w:t>1</w:t>
            </w:r>
          </w:p>
        </w:tc>
        <w:tc>
          <w:tcPr>
            <w:tcW w:w="392" w:type="pct"/>
            <w:noWrap/>
            <w:vAlign w:val="center"/>
            <w:hideMark/>
          </w:tcPr>
          <w:p w14:paraId="19A891C7"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8</w:t>
            </w:r>
          </w:p>
        </w:tc>
      </w:tr>
      <w:tr w:rsidR="004F64EF" w:rsidRPr="003003C0" w14:paraId="35E27BAA" w14:textId="77777777" w:rsidTr="00BE2A9F">
        <w:trPr>
          <w:cnfStyle w:val="000000010000" w:firstRow="0" w:lastRow="0" w:firstColumn="0" w:lastColumn="0" w:oddVBand="0" w:evenVBand="0" w:oddHBand="0" w:evenHBand="1" w:firstRowFirstColumn="0" w:firstRowLastColumn="0" w:lastRowFirstColumn="0" w:lastRowLastColumn="0"/>
          <w:trHeight w:val="57"/>
        </w:trPr>
        <w:tc>
          <w:tcPr>
            <w:tcW w:w="2258" w:type="pct"/>
            <w:noWrap/>
            <w:vAlign w:val="center"/>
            <w:hideMark/>
          </w:tcPr>
          <w:p w14:paraId="1225F134" w14:textId="77777777" w:rsidR="004F64EF" w:rsidRPr="003003C0" w:rsidRDefault="004F64EF" w:rsidP="00FD6B66">
            <w:pPr>
              <w:tabs>
                <w:tab w:val="left" w:pos="510"/>
              </w:tabs>
              <w:jc w:val="left"/>
              <w:rPr>
                <w:rFonts w:cs="Arial"/>
                <w:color w:val="000000"/>
                <w:sz w:val="14"/>
                <w:szCs w:val="14"/>
              </w:rPr>
            </w:pPr>
            <w:r w:rsidRPr="003003C0">
              <w:rPr>
                <w:rFonts w:cs="Arial"/>
                <w:color w:val="000000"/>
                <w:sz w:val="14"/>
                <w:szCs w:val="14"/>
              </w:rPr>
              <w:tab/>
            </w:r>
            <w:r>
              <w:rPr>
                <w:rFonts w:cs="Arial"/>
                <w:color w:val="000000"/>
                <w:sz w:val="14"/>
                <w:szCs w:val="14"/>
              </w:rPr>
              <w:t>Philippines</w:t>
            </w:r>
          </w:p>
        </w:tc>
        <w:tc>
          <w:tcPr>
            <w:tcW w:w="392" w:type="pct"/>
            <w:noWrap/>
            <w:vAlign w:val="center"/>
            <w:hideMark/>
          </w:tcPr>
          <w:p w14:paraId="54A32524"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0</w:t>
            </w:r>
          </w:p>
        </w:tc>
        <w:tc>
          <w:tcPr>
            <w:tcW w:w="392" w:type="pct"/>
            <w:noWrap/>
            <w:vAlign w:val="center"/>
            <w:hideMark/>
          </w:tcPr>
          <w:p w14:paraId="11D4BA56"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1</w:t>
            </w:r>
          </w:p>
        </w:tc>
        <w:tc>
          <w:tcPr>
            <w:tcW w:w="392" w:type="pct"/>
            <w:noWrap/>
            <w:vAlign w:val="center"/>
            <w:hideMark/>
          </w:tcPr>
          <w:p w14:paraId="28FD2A12"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1</w:t>
            </w:r>
          </w:p>
        </w:tc>
        <w:tc>
          <w:tcPr>
            <w:tcW w:w="392" w:type="pct"/>
            <w:noWrap/>
            <w:vAlign w:val="center"/>
            <w:hideMark/>
          </w:tcPr>
          <w:p w14:paraId="1343AA31"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3</w:t>
            </w:r>
          </w:p>
        </w:tc>
        <w:tc>
          <w:tcPr>
            <w:tcW w:w="392" w:type="pct"/>
            <w:noWrap/>
            <w:vAlign w:val="center"/>
            <w:hideMark/>
          </w:tcPr>
          <w:p w14:paraId="25E4CF60"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6</w:t>
            </w:r>
          </w:p>
        </w:tc>
        <w:tc>
          <w:tcPr>
            <w:tcW w:w="392" w:type="pct"/>
            <w:noWrap/>
            <w:vAlign w:val="center"/>
            <w:hideMark/>
          </w:tcPr>
          <w:p w14:paraId="55F46AD8" w14:textId="77777777" w:rsidR="004F64EF" w:rsidRPr="003003C0" w:rsidRDefault="004F64EF" w:rsidP="00FD6B66">
            <w:pPr>
              <w:jc w:val="right"/>
              <w:rPr>
                <w:rFonts w:cs="Arial"/>
                <w:color w:val="000000"/>
                <w:sz w:val="14"/>
                <w:szCs w:val="14"/>
              </w:rPr>
            </w:pPr>
            <w:r w:rsidRPr="003003C0">
              <w:rPr>
                <w:rFonts w:cs="Arial"/>
                <w:color w:val="000000"/>
                <w:sz w:val="14"/>
                <w:szCs w:val="14"/>
              </w:rPr>
              <w:t>1</w:t>
            </w:r>
            <w:r>
              <w:rPr>
                <w:rFonts w:cs="Arial"/>
                <w:color w:val="000000"/>
                <w:sz w:val="14"/>
                <w:szCs w:val="14"/>
              </w:rPr>
              <w:t>.</w:t>
            </w:r>
            <w:r w:rsidRPr="003003C0">
              <w:rPr>
                <w:rFonts w:cs="Arial"/>
                <w:color w:val="000000"/>
                <w:sz w:val="14"/>
                <w:szCs w:val="14"/>
              </w:rPr>
              <w:t>2</w:t>
            </w:r>
          </w:p>
        </w:tc>
        <w:tc>
          <w:tcPr>
            <w:tcW w:w="392" w:type="pct"/>
            <w:noWrap/>
            <w:vAlign w:val="center"/>
            <w:hideMark/>
          </w:tcPr>
          <w:p w14:paraId="1CB3B990"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5</w:t>
            </w:r>
          </w:p>
        </w:tc>
      </w:tr>
      <w:tr w:rsidR="004F64EF" w:rsidRPr="003003C0" w14:paraId="1B243267" w14:textId="77777777" w:rsidTr="00BE2A9F">
        <w:trPr>
          <w:trHeight w:val="57"/>
        </w:trPr>
        <w:tc>
          <w:tcPr>
            <w:tcW w:w="2258" w:type="pct"/>
            <w:noWrap/>
            <w:vAlign w:val="center"/>
            <w:hideMark/>
          </w:tcPr>
          <w:p w14:paraId="4CAF04FE" w14:textId="77777777" w:rsidR="004F64EF" w:rsidRPr="003003C0" w:rsidRDefault="004F64EF" w:rsidP="00FD6B66">
            <w:pPr>
              <w:tabs>
                <w:tab w:val="left" w:pos="510"/>
              </w:tabs>
              <w:jc w:val="left"/>
              <w:rPr>
                <w:rFonts w:cs="Arial"/>
                <w:color w:val="000000"/>
                <w:sz w:val="14"/>
                <w:szCs w:val="14"/>
              </w:rPr>
            </w:pPr>
            <w:r w:rsidRPr="003003C0">
              <w:rPr>
                <w:rFonts w:cs="Arial"/>
                <w:color w:val="000000"/>
                <w:sz w:val="14"/>
                <w:szCs w:val="14"/>
              </w:rPr>
              <w:tab/>
              <w:t>Mala</w:t>
            </w:r>
            <w:r>
              <w:rPr>
                <w:rFonts w:cs="Arial"/>
                <w:color w:val="000000"/>
                <w:sz w:val="14"/>
                <w:szCs w:val="14"/>
              </w:rPr>
              <w:t>y</w:t>
            </w:r>
            <w:r w:rsidRPr="003003C0">
              <w:rPr>
                <w:rFonts w:cs="Arial"/>
                <w:color w:val="000000"/>
                <w:sz w:val="14"/>
                <w:szCs w:val="14"/>
              </w:rPr>
              <w:t>sia</w:t>
            </w:r>
          </w:p>
        </w:tc>
        <w:tc>
          <w:tcPr>
            <w:tcW w:w="392" w:type="pct"/>
            <w:noWrap/>
            <w:vAlign w:val="center"/>
            <w:hideMark/>
          </w:tcPr>
          <w:p w14:paraId="715F751D"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5</w:t>
            </w:r>
          </w:p>
        </w:tc>
        <w:tc>
          <w:tcPr>
            <w:tcW w:w="392" w:type="pct"/>
            <w:noWrap/>
            <w:vAlign w:val="center"/>
            <w:hideMark/>
          </w:tcPr>
          <w:p w14:paraId="761CC880"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2</w:t>
            </w:r>
          </w:p>
        </w:tc>
        <w:tc>
          <w:tcPr>
            <w:tcW w:w="392" w:type="pct"/>
            <w:noWrap/>
            <w:vAlign w:val="center"/>
            <w:hideMark/>
          </w:tcPr>
          <w:p w14:paraId="4944D727"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2</w:t>
            </w:r>
          </w:p>
        </w:tc>
        <w:tc>
          <w:tcPr>
            <w:tcW w:w="392" w:type="pct"/>
            <w:noWrap/>
            <w:vAlign w:val="center"/>
            <w:hideMark/>
          </w:tcPr>
          <w:p w14:paraId="70FEC85C"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2</w:t>
            </w:r>
          </w:p>
        </w:tc>
        <w:tc>
          <w:tcPr>
            <w:tcW w:w="392" w:type="pct"/>
            <w:noWrap/>
            <w:vAlign w:val="center"/>
            <w:hideMark/>
          </w:tcPr>
          <w:p w14:paraId="79595F6A"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2</w:t>
            </w:r>
          </w:p>
        </w:tc>
        <w:tc>
          <w:tcPr>
            <w:tcW w:w="392" w:type="pct"/>
            <w:noWrap/>
            <w:vAlign w:val="center"/>
            <w:hideMark/>
          </w:tcPr>
          <w:p w14:paraId="74AE5838"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2</w:t>
            </w:r>
          </w:p>
        </w:tc>
        <w:tc>
          <w:tcPr>
            <w:tcW w:w="392" w:type="pct"/>
            <w:noWrap/>
            <w:vAlign w:val="center"/>
            <w:hideMark/>
          </w:tcPr>
          <w:p w14:paraId="5F7B6024"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3</w:t>
            </w:r>
          </w:p>
        </w:tc>
      </w:tr>
      <w:tr w:rsidR="004F64EF" w:rsidRPr="003003C0" w14:paraId="2A5283F0" w14:textId="77777777" w:rsidTr="00BE2A9F">
        <w:trPr>
          <w:cnfStyle w:val="000000010000" w:firstRow="0" w:lastRow="0" w:firstColumn="0" w:lastColumn="0" w:oddVBand="0" w:evenVBand="0" w:oddHBand="0" w:evenHBand="1" w:firstRowFirstColumn="0" w:firstRowLastColumn="0" w:lastRowFirstColumn="0" w:lastRowLastColumn="0"/>
          <w:trHeight w:val="57"/>
        </w:trPr>
        <w:tc>
          <w:tcPr>
            <w:tcW w:w="2258" w:type="pct"/>
            <w:noWrap/>
            <w:vAlign w:val="center"/>
            <w:hideMark/>
          </w:tcPr>
          <w:p w14:paraId="56AE4D6B" w14:textId="77777777" w:rsidR="004F64EF" w:rsidRPr="003003C0" w:rsidRDefault="004F64EF" w:rsidP="00FD6B66">
            <w:pPr>
              <w:keepNext/>
              <w:keepLines/>
              <w:jc w:val="left"/>
              <w:rPr>
                <w:rFonts w:cs="Arial"/>
                <w:color w:val="000000"/>
                <w:sz w:val="14"/>
                <w:szCs w:val="14"/>
              </w:rPr>
            </w:pPr>
            <w:r w:rsidRPr="003003C0">
              <w:rPr>
                <w:rFonts w:cs="Arial"/>
                <w:color w:val="000000"/>
                <w:sz w:val="14"/>
                <w:szCs w:val="14"/>
              </w:rPr>
              <w:t>Ot</w:t>
            </w:r>
            <w:r>
              <w:rPr>
                <w:rFonts w:cs="Arial"/>
                <w:color w:val="000000"/>
                <w:sz w:val="14"/>
                <w:szCs w:val="14"/>
              </w:rPr>
              <w:t>her</w:t>
            </w:r>
          </w:p>
        </w:tc>
        <w:tc>
          <w:tcPr>
            <w:tcW w:w="392" w:type="pct"/>
            <w:noWrap/>
            <w:vAlign w:val="center"/>
            <w:hideMark/>
          </w:tcPr>
          <w:p w14:paraId="77DCDDF4" w14:textId="77777777" w:rsidR="004F64EF" w:rsidRPr="003003C0" w:rsidRDefault="004F64EF" w:rsidP="00FD6B66">
            <w:pPr>
              <w:jc w:val="right"/>
              <w:rPr>
                <w:rFonts w:cs="Arial"/>
                <w:color w:val="000000"/>
                <w:sz w:val="14"/>
                <w:szCs w:val="14"/>
              </w:rPr>
            </w:pPr>
            <w:r w:rsidRPr="003003C0">
              <w:rPr>
                <w:rFonts w:cs="Arial"/>
                <w:color w:val="000000"/>
                <w:sz w:val="14"/>
                <w:szCs w:val="14"/>
              </w:rPr>
              <w:t>1</w:t>
            </w:r>
            <w:r>
              <w:rPr>
                <w:rFonts w:cs="Arial"/>
                <w:color w:val="000000"/>
                <w:sz w:val="14"/>
                <w:szCs w:val="14"/>
              </w:rPr>
              <w:t>.</w:t>
            </w:r>
            <w:r w:rsidRPr="003003C0">
              <w:rPr>
                <w:rFonts w:cs="Arial"/>
                <w:color w:val="000000"/>
                <w:sz w:val="14"/>
                <w:szCs w:val="14"/>
              </w:rPr>
              <w:t>9</w:t>
            </w:r>
          </w:p>
        </w:tc>
        <w:tc>
          <w:tcPr>
            <w:tcW w:w="392" w:type="pct"/>
            <w:noWrap/>
            <w:vAlign w:val="center"/>
            <w:hideMark/>
          </w:tcPr>
          <w:p w14:paraId="6F3BE2E8"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4</w:t>
            </w:r>
          </w:p>
        </w:tc>
        <w:tc>
          <w:tcPr>
            <w:tcW w:w="392" w:type="pct"/>
            <w:noWrap/>
            <w:vAlign w:val="center"/>
            <w:hideMark/>
          </w:tcPr>
          <w:p w14:paraId="677CD57D"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0</w:t>
            </w:r>
          </w:p>
        </w:tc>
        <w:tc>
          <w:tcPr>
            <w:tcW w:w="392" w:type="pct"/>
            <w:noWrap/>
            <w:vAlign w:val="center"/>
            <w:hideMark/>
          </w:tcPr>
          <w:p w14:paraId="3B171C50"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0</w:t>
            </w:r>
          </w:p>
        </w:tc>
        <w:tc>
          <w:tcPr>
            <w:tcW w:w="392" w:type="pct"/>
            <w:noWrap/>
            <w:vAlign w:val="center"/>
            <w:hideMark/>
          </w:tcPr>
          <w:p w14:paraId="00A6053A"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3</w:t>
            </w:r>
          </w:p>
        </w:tc>
        <w:tc>
          <w:tcPr>
            <w:tcW w:w="392" w:type="pct"/>
            <w:noWrap/>
            <w:vAlign w:val="center"/>
            <w:hideMark/>
          </w:tcPr>
          <w:p w14:paraId="7C234594"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0</w:t>
            </w:r>
          </w:p>
        </w:tc>
        <w:tc>
          <w:tcPr>
            <w:tcW w:w="392" w:type="pct"/>
            <w:noWrap/>
            <w:vAlign w:val="center"/>
            <w:hideMark/>
          </w:tcPr>
          <w:p w14:paraId="703131DB" w14:textId="77777777" w:rsidR="004F64EF" w:rsidRPr="003003C0" w:rsidRDefault="004F64EF" w:rsidP="00FD6B66">
            <w:pPr>
              <w:jc w:val="right"/>
              <w:rPr>
                <w:rFonts w:cs="Arial"/>
                <w:color w:val="000000"/>
                <w:sz w:val="14"/>
                <w:szCs w:val="14"/>
              </w:rPr>
            </w:pPr>
            <w:r w:rsidRPr="003003C0">
              <w:rPr>
                <w:rFonts w:cs="Arial"/>
                <w:color w:val="000000"/>
                <w:sz w:val="14"/>
                <w:szCs w:val="14"/>
              </w:rPr>
              <w:t>0</w:t>
            </w:r>
            <w:r>
              <w:rPr>
                <w:rFonts w:cs="Arial"/>
                <w:color w:val="000000"/>
                <w:sz w:val="14"/>
                <w:szCs w:val="14"/>
              </w:rPr>
              <w:t>.</w:t>
            </w:r>
            <w:r w:rsidRPr="003003C0">
              <w:rPr>
                <w:rFonts w:cs="Arial"/>
                <w:color w:val="000000"/>
                <w:sz w:val="14"/>
                <w:szCs w:val="14"/>
              </w:rPr>
              <w:t>0</w:t>
            </w:r>
          </w:p>
        </w:tc>
      </w:tr>
      <w:tr w:rsidR="004F64EF" w:rsidRPr="003003C0" w14:paraId="1BF0F5FF" w14:textId="77777777" w:rsidTr="00BE2A9F">
        <w:trPr>
          <w:trHeight w:val="57"/>
        </w:trPr>
        <w:tc>
          <w:tcPr>
            <w:tcW w:w="5000" w:type="pct"/>
            <w:gridSpan w:val="8"/>
            <w:noWrap/>
            <w:vAlign w:val="center"/>
            <w:hideMark/>
          </w:tcPr>
          <w:p w14:paraId="3A9C5EE3" w14:textId="77777777" w:rsidR="004F64EF" w:rsidRPr="003003C0" w:rsidRDefault="004F64EF" w:rsidP="00FD6B66">
            <w:pPr>
              <w:jc w:val="left"/>
              <w:rPr>
                <w:sz w:val="14"/>
                <w:szCs w:val="14"/>
              </w:rPr>
            </w:pPr>
            <w:r w:rsidRPr="003003C0">
              <w:rPr>
                <w:rFonts w:cs="Arial"/>
                <w:i/>
                <w:iCs/>
                <w:color w:val="000000"/>
                <w:sz w:val="14"/>
                <w:szCs w:val="14"/>
              </w:rPr>
              <w:t>Memor</w:t>
            </w:r>
            <w:r>
              <w:rPr>
                <w:rFonts w:cs="Arial"/>
                <w:i/>
                <w:iCs/>
                <w:color w:val="000000"/>
                <w:sz w:val="14"/>
                <w:szCs w:val="14"/>
              </w:rPr>
              <w:t>a</w:t>
            </w:r>
            <w:r w:rsidRPr="003003C0">
              <w:rPr>
                <w:rFonts w:cs="Arial"/>
                <w:i/>
                <w:iCs/>
                <w:color w:val="000000"/>
                <w:sz w:val="14"/>
                <w:szCs w:val="14"/>
              </w:rPr>
              <w:t>ndum</w:t>
            </w:r>
          </w:p>
        </w:tc>
      </w:tr>
      <w:tr w:rsidR="004F64EF" w:rsidRPr="003003C0" w14:paraId="65CAEA0D" w14:textId="77777777" w:rsidTr="00BE2A9F">
        <w:trPr>
          <w:cnfStyle w:val="000000010000" w:firstRow="0" w:lastRow="0" w:firstColumn="0" w:lastColumn="0" w:oddVBand="0" w:evenVBand="0" w:oddHBand="0" w:evenHBand="1" w:firstRowFirstColumn="0" w:firstRowLastColumn="0" w:lastRowFirstColumn="0" w:lastRowLastColumn="0"/>
          <w:trHeight w:val="57"/>
        </w:trPr>
        <w:tc>
          <w:tcPr>
            <w:tcW w:w="2258" w:type="pct"/>
            <w:noWrap/>
            <w:vAlign w:val="center"/>
            <w:hideMark/>
          </w:tcPr>
          <w:p w14:paraId="0619EEB6" w14:textId="77777777" w:rsidR="004F64EF" w:rsidRPr="003003C0" w:rsidRDefault="004F64EF" w:rsidP="00FD6B66">
            <w:pPr>
              <w:jc w:val="left"/>
              <w:rPr>
                <w:rFonts w:cs="Arial"/>
                <w:color w:val="000000"/>
                <w:sz w:val="14"/>
                <w:szCs w:val="14"/>
              </w:rPr>
            </w:pPr>
            <w:r>
              <w:rPr>
                <w:rFonts w:cs="Arial"/>
                <w:color w:val="000000"/>
                <w:sz w:val="14"/>
                <w:szCs w:val="14"/>
              </w:rPr>
              <w:t>EU</w:t>
            </w:r>
            <w:r w:rsidRPr="003003C0">
              <w:rPr>
                <w:rFonts w:cs="Arial"/>
                <w:color w:val="000000"/>
                <w:sz w:val="14"/>
                <w:szCs w:val="14"/>
              </w:rPr>
              <w:t>-28</w:t>
            </w:r>
          </w:p>
        </w:tc>
        <w:tc>
          <w:tcPr>
            <w:tcW w:w="392" w:type="pct"/>
            <w:noWrap/>
            <w:vAlign w:val="center"/>
            <w:hideMark/>
          </w:tcPr>
          <w:p w14:paraId="2BE78300" w14:textId="77777777" w:rsidR="004F64EF" w:rsidRPr="003003C0" w:rsidRDefault="004F64EF" w:rsidP="00FD6B66">
            <w:pPr>
              <w:jc w:val="right"/>
              <w:rPr>
                <w:rFonts w:cs="Arial"/>
                <w:color w:val="000000"/>
                <w:sz w:val="14"/>
                <w:szCs w:val="14"/>
              </w:rPr>
            </w:pPr>
            <w:r w:rsidRPr="003003C0">
              <w:rPr>
                <w:rFonts w:cs="Arial"/>
                <w:color w:val="000000"/>
                <w:sz w:val="14"/>
                <w:szCs w:val="14"/>
              </w:rPr>
              <w:t>7</w:t>
            </w:r>
            <w:r>
              <w:rPr>
                <w:rFonts w:cs="Arial"/>
                <w:color w:val="000000"/>
                <w:sz w:val="14"/>
                <w:szCs w:val="14"/>
              </w:rPr>
              <w:t>.</w:t>
            </w:r>
            <w:r w:rsidRPr="003003C0">
              <w:rPr>
                <w:rFonts w:cs="Arial"/>
                <w:color w:val="000000"/>
                <w:sz w:val="14"/>
                <w:szCs w:val="14"/>
              </w:rPr>
              <w:t>5</w:t>
            </w:r>
          </w:p>
        </w:tc>
        <w:tc>
          <w:tcPr>
            <w:tcW w:w="392" w:type="pct"/>
            <w:noWrap/>
            <w:vAlign w:val="center"/>
            <w:hideMark/>
          </w:tcPr>
          <w:p w14:paraId="6B996A65" w14:textId="77777777" w:rsidR="004F64EF" w:rsidRPr="003003C0" w:rsidRDefault="004F64EF" w:rsidP="00FD6B66">
            <w:pPr>
              <w:jc w:val="right"/>
              <w:rPr>
                <w:rFonts w:cs="Arial"/>
                <w:color w:val="000000"/>
                <w:sz w:val="14"/>
                <w:szCs w:val="14"/>
              </w:rPr>
            </w:pPr>
            <w:r w:rsidRPr="003003C0">
              <w:rPr>
                <w:rFonts w:cs="Arial"/>
                <w:color w:val="000000"/>
                <w:sz w:val="14"/>
                <w:szCs w:val="14"/>
              </w:rPr>
              <w:t>6</w:t>
            </w:r>
            <w:r>
              <w:rPr>
                <w:rFonts w:cs="Arial"/>
                <w:color w:val="000000"/>
                <w:sz w:val="14"/>
                <w:szCs w:val="14"/>
              </w:rPr>
              <w:t>.</w:t>
            </w:r>
            <w:r w:rsidRPr="003003C0">
              <w:rPr>
                <w:rFonts w:cs="Arial"/>
                <w:color w:val="000000"/>
                <w:sz w:val="14"/>
                <w:szCs w:val="14"/>
              </w:rPr>
              <w:t>8</w:t>
            </w:r>
          </w:p>
        </w:tc>
        <w:tc>
          <w:tcPr>
            <w:tcW w:w="392" w:type="pct"/>
            <w:noWrap/>
            <w:vAlign w:val="center"/>
            <w:hideMark/>
          </w:tcPr>
          <w:p w14:paraId="779384E5" w14:textId="77777777" w:rsidR="004F64EF" w:rsidRPr="003003C0" w:rsidRDefault="004F64EF" w:rsidP="00FD6B66">
            <w:pPr>
              <w:jc w:val="right"/>
              <w:rPr>
                <w:rFonts w:cs="Arial"/>
                <w:color w:val="000000"/>
                <w:sz w:val="14"/>
                <w:szCs w:val="14"/>
              </w:rPr>
            </w:pPr>
            <w:r w:rsidRPr="003003C0">
              <w:rPr>
                <w:rFonts w:cs="Arial"/>
                <w:color w:val="000000"/>
                <w:sz w:val="14"/>
                <w:szCs w:val="14"/>
              </w:rPr>
              <w:t>4</w:t>
            </w:r>
            <w:r>
              <w:rPr>
                <w:rFonts w:cs="Arial"/>
                <w:color w:val="000000"/>
                <w:sz w:val="14"/>
                <w:szCs w:val="14"/>
              </w:rPr>
              <w:t>.</w:t>
            </w:r>
            <w:r w:rsidRPr="003003C0">
              <w:rPr>
                <w:rFonts w:cs="Arial"/>
                <w:color w:val="000000"/>
                <w:sz w:val="14"/>
                <w:szCs w:val="14"/>
              </w:rPr>
              <w:t>9</w:t>
            </w:r>
          </w:p>
        </w:tc>
        <w:tc>
          <w:tcPr>
            <w:tcW w:w="392" w:type="pct"/>
            <w:noWrap/>
            <w:vAlign w:val="center"/>
            <w:hideMark/>
          </w:tcPr>
          <w:p w14:paraId="715E4E15" w14:textId="77777777" w:rsidR="004F64EF" w:rsidRPr="003003C0" w:rsidRDefault="004F64EF" w:rsidP="00FD6B66">
            <w:pPr>
              <w:jc w:val="right"/>
              <w:rPr>
                <w:rFonts w:cs="Arial"/>
                <w:color w:val="000000"/>
                <w:sz w:val="14"/>
                <w:szCs w:val="14"/>
              </w:rPr>
            </w:pPr>
            <w:r w:rsidRPr="003003C0">
              <w:rPr>
                <w:rFonts w:cs="Arial"/>
                <w:color w:val="000000"/>
                <w:sz w:val="14"/>
                <w:szCs w:val="14"/>
              </w:rPr>
              <w:t>7</w:t>
            </w:r>
            <w:r>
              <w:rPr>
                <w:rFonts w:cs="Arial"/>
                <w:color w:val="000000"/>
                <w:sz w:val="14"/>
                <w:szCs w:val="14"/>
              </w:rPr>
              <w:t>.</w:t>
            </w:r>
            <w:r w:rsidRPr="003003C0">
              <w:rPr>
                <w:rFonts w:cs="Arial"/>
                <w:color w:val="000000"/>
                <w:sz w:val="14"/>
                <w:szCs w:val="14"/>
              </w:rPr>
              <w:t>0</w:t>
            </w:r>
          </w:p>
        </w:tc>
        <w:tc>
          <w:tcPr>
            <w:tcW w:w="392" w:type="pct"/>
            <w:noWrap/>
            <w:vAlign w:val="center"/>
            <w:hideMark/>
          </w:tcPr>
          <w:p w14:paraId="49E67670" w14:textId="77777777" w:rsidR="004F64EF" w:rsidRPr="003003C0" w:rsidRDefault="004F64EF" w:rsidP="00FD6B66">
            <w:pPr>
              <w:jc w:val="right"/>
              <w:rPr>
                <w:rFonts w:cs="Arial"/>
                <w:color w:val="000000"/>
                <w:sz w:val="14"/>
                <w:szCs w:val="14"/>
              </w:rPr>
            </w:pPr>
            <w:r w:rsidRPr="003003C0">
              <w:rPr>
                <w:rFonts w:cs="Arial"/>
                <w:color w:val="000000"/>
                <w:sz w:val="14"/>
                <w:szCs w:val="14"/>
              </w:rPr>
              <w:t>10</w:t>
            </w:r>
            <w:r>
              <w:rPr>
                <w:rFonts w:cs="Arial"/>
                <w:color w:val="000000"/>
                <w:sz w:val="14"/>
                <w:szCs w:val="14"/>
              </w:rPr>
              <w:t>.</w:t>
            </w:r>
            <w:r w:rsidRPr="003003C0">
              <w:rPr>
                <w:rFonts w:cs="Arial"/>
                <w:color w:val="000000"/>
                <w:sz w:val="14"/>
                <w:szCs w:val="14"/>
              </w:rPr>
              <w:t>2</w:t>
            </w:r>
          </w:p>
        </w:tc>
        <w:tc>
          <w:tcPr>
            <w:tcW w:w="392" w:type="pct"/>
            <w:noWrap/>
            <w:vAlign w:val="center"/>
            <w:hideMark/>
          </w:tcPr>
          <w:p w14:paraId="295A7570" w14:textId="77777777" w:rsidR="004F64EF" w:rsidRPr="003003C0" w:rsidRDefault="004F64EF" w:rsidP="00FD6B66">
            <w:pPr>
              <w:jc w:val="right"/>
              <w:rPr>
                <w:rFonts w:cs="Arial"/>
                <w:color w:val="000000"/>
                <w:sz w:val="14"/>
                <w:szCs w:val="14"/>
              </w:rPr>
            </w:pPr>
            <w:r w:rsidRPr="003003C0">
              <w:rPr>
                <w:rFonts w:cs="Arial"/>
                <w:color w:val="000000"/>
                <w:sz w:val="14"/>
                <w:szCs w:val="14"/>
              </w:rPr>
              <w:t>9</w:t>
            </w:r>
            <w:r>
              <w:rPr>
                <w:rFonts w:cs="Arial"/>
                <w:color w:val="000000"/>
                <w:sz w:val="14"/>
                <w:szCs w:val="14"/>
              </w:rPr>
              <w:t>.</w:t>
            </w:r>
            <w:r w:rsidRPr="003003C0">
              <w:rPr>
                <w:rFonts w:cs="Arial"/>
                <w:color w:val="000000"/>
                <w:sz w:val="14"/>
                <w:szCs w:val="14"/>
              </w:rPr>
              <w:t>7</w:t>
            </w:r>
          </w:p>
        </w:tc>
        <w:tc>
          <w:tcPr>
            <w:tcW w:w="392" w:type="pct"/>
            <w:noWrap/>
            <w:vAlign w:val="center"/>
            <w:hideMark/>
          </w:tcPr>
          <w:p w14:paraId="0E581FDC" w14:textId="77777777" w:rsidR="004F64EF" w:rsidRPr="003003C0" w:rsidRDefault="004F64EF" w:rsidP="00FD6B66">
            <w:pPr>
              <w:jc w:val="right"/>
              <w:rPr>
                <w:rFonts w:cs="Arial"/>
                <w:color w:val="000000"/>
                <w:sz w:val="14"/>
                <w:szCs w:val="14"/>
              </w:rPr>
            </w:pPr>
            <w:r w:rsidRPr="003003C0">
              <w:rPr>
                <w:rFonts w:cs="Arial"/>
                <w:color w:val="000000"/>
                <w:sz w:val="14"/>
                <w:szCs w:val="14"/>
              </w:rPr>
              <w:t>11</w:t>
            </w:r>
            <w:r>
              <w:rPr>
                <w:rFonts w:cs="Arial"/>
                <w:color w:val="000000"/>
                <w:sz w:val="14"/>
                <w:szCs w:val="14"/>
              </w:rPr>
              <w:t>.</w:t>
            </w:r>
            <w:r w:rsidRPr="003003C0">
              <w:rPr>
                <w:rFonts w:cs="Arial"/>
                <w:color w:val="000000"/>
                <w:sz w:val="14"/>
                <w:szCs w:val="14"/>
              </w:rPr>
              <w:t>3</w:t>
            </w:r>
          </w:p>
        </w:tc>
      </w:tr>
    </w:tbl>
    <w:p w14:paraId="3481D83A" w14:textId="77777777" w:rsidR="004F64EF" w:rsidRPr="003003C0" w:rsidRDefault="004F64EF" w:rsidP="00B91D96">
      <w:pPr>
        <w:pStyle w:val="NoteText"/>
        <w:spacing w:before="120" w:after="120"/>
      </w:pPr>
      <w:r w:rsidRPr="003003C0">
        <w:t>a</w:t>
      </w:r>
      <w:r w:rsidRPr="003003C0">
        <w:tab/>
      </w:r>
      <w:r w:rsidRPr="0077417B">
        <w:t>Commonwealth of Independent States, including certain associate and former member States</w:t>
      </w:r>
      <w:r w:rsidRPr="003003C0">
        <w:t>.</w:t>
      </w:r>
    </w:p>
    <w:p w14:paraId="74510B4C" w14:textId="77777777" w:rsidR="004F64EF" w:rsidRPr="003003C0" w:rsidRDefault="004F64EF" w:rsidP="00B91D96">
      <w:pPr>
        <w:pStyle w:val="NoteText"/>
        <w:spacing w:after="240"/>
      </w:pPr>
      <w:r w:rsidRPr="0077417B">
        <w:rPr>
          <w:bCs/>
        </w:rPr>
        <w:t>Source:</w:t>
      </w:r>
      <w:r w:rsidRPr="0077417B">
        <w:rPr>
          <w:bCs/>
        </w:rPr>
        <w:tab/>
        <w:t>WTO Secretariat calculations based on data provided by the authorities</w:t>
      </w:r>
      <w:r w:rsidRPr="003003C0">
        <w:t>.</w:t>
      </w:r>
    </w:p>
    <w:p w14:paraId="642B67D4" w14:textId="77777777" w:rsidR="004F64EF" w:rsidRPr="003003C0" w:rsidRDefault="004F64EF" w:rsidP="008A0F00"/>
    <w:p w14:paraId="703B2EB7" w14:textId="77777777" w:rsidR="004F64EF" w:rsidRPr="003003C0" w:rsidRDefault="004F64EF" w:rsidP="008A0F00">
      <w:r w:rsidRPr="003003C0">
        <w:br w:type="page"/>
      </w:r>
    </w:p>
    <w:p w14:paraId="297C289B" w14:textId="77777777" w:rsidR="004F64EF" w:rsidRPr="003003C0" w:rsidRDefault="004F64EF" w:rsidP="006653D7">
      <w:pPr>
        <w:pStyle w:val="Caption"/>
      </w:pPr>
      <w:bookmarkStart w:id="440" w:name="_Toc114735871"/>
      <w:bookmarkStart w:id="441" w:name="_Toc117238079"/>
      <w:r>
        <w:lastRenderedPageBreak/>
        <w:t>Table</w:t>
      </w:r>
      <w:r w:rsidRPr="003003C0">
        <w:t xml:space="preserve"> A2.</w:t>
      </w:r>
      <w:r w:rsidR="00BD37F2">
        <w:fldChar w:fldCharType="begin"/>
      </w:r>
      <w:r w:rsidR="00BD37F2">
        <w:instrText xml:space="preserve"> SEQ Table_A2. \* ARABIC </w:instrText>
      </w:r>
      <w:r w:rsidR="00BD37F2">
        <w:fldChar w:fldCharType="separate"/>
      </w:r>
      <w:r w:rsidRPr="003003C0">
        <w:rPr>
          <w:noProof/>
        </w:rPr>
        <w:t>1</w:t>
      </w:r>
      <w:r w:rsidR="00BD37F2">
        <w:rPr>
          <w:noProof/>
        </w:rPr>
        <w:fldChar w:fldCharType="end"/>
      </w:r>
      <w:r w:rsidRPr="003003C0">
        <w:t xml:space="preserve"> </w:t>
      </w:r>
      <w:r>
        <w:t>Trade measures notified to the WTO</w:t>
      </w:r>
      <w:r w:rsidRPr="003003C0">
        <w:t>, 1</w:t>
      </w:r>
      <w:r>
        <w:t xml:space="preserve"> January </w:t>
      </w:r>
      <w:r w:rsidRPr="003003C0">
        <w:t>2015-31</w:t>
      </w:r>
      <w:r>
        <w:t xml:space="preserve"> August </w:t>
      </w:r>
      <w:r w:rsidRPr="003003C0">
        <w:t>2022</w:t>
      </w:r>
      <w:bookmarkEnd w:id="440"/>
      <w:bookmarkEnd w:id="441"/>
    </w:p>
    <w:tbl>
      <w:tblPr>
        <w:tblStyle w:val="WTOTable1"/>
        <w:tblW w:w="0" w:type="auto"/>
        <w:tblLook w:val="04A0" w:firstRow="1" w:lastRow="0" w:firstColumn="1" w:lastColumn="0" w:noHBand="0" w:noVBand="1"/>
      </w:tblPr>
      <w:tblGrid>
        <w:gridCol w:w="2263"/>
        <w:gridCol w:w="2512"/>
        <w:gridCol w:w="1741"/>
        <w:gridCol w:w="2500"/>
      </w:tblGrid>
      <w:tr w:rsidR="004F64EF" w:rsidRPr="003003C0" w14:paraId="5582E95D" w14:textId="77777777" w:rsidTr="00BE2A9F">
        <w:trPr>
          <w:cnfStyle w:val="100000000000" w:firstRow="1" w:lastRow="0" w:firstColumn="0" w:lastColumn="0" w:oddVBand="0" w:evenVBand="0" w:oddHBand="0" w:evenHBand="0" w:firstRowFirstColumn="0" w:firstRowLastColumn="0" w:lastRowFirstColumn="0" w:lastRowLastColumn="0"/>
          <w:tblHeader/>
        </w:trPr>
        <w:tc>
          <w:tcPr>
            <w:tcW w:w="2263" w:type="dxa"/>
            <w:tcBorders>
              <w:bottom w:val="nil"/>
            </w:tcBorders>
            <w:vAlign w:val="center"/>
            <w:hideMark/>
          </w:tcPr>
          <w:p w14:paraId="1B2E7B2F" w14:textId="77777777" w:rsidR="004F64EF" w:rsidRPr="003003C0" w:rsidRDefault="004F64EF" w:rsidP="00706642">
            <w:pPr>
              <w:jc w:val="left"/>
              <w:rPr>
                <w:rFonts w:cs="Calibri"/>
                <w:sz w:val="15"/>
                <w:szCs w:val="15"/>
              </w:rPr>
            </w:pPr>
          </w:p>
        </w:tc>
        <w:tc>
          <w:tcPr>
            <w:tcW w:w="2512" w:type="dxa"/>
            <w:tcBorders>
              <w:bottom w:val="nil"/>
            </w:tcBorders>
            <w:vAlign w:val="center"/>
            <w:hideMark/>
          </w:tcPr>
          <w:p w14:paraId="61386861" w14:textId="77777777" w:rsidR="004F64EF" w:rsidRPr="003003C0" w:rsidRDefault="004F64EF" w:rsidP="00706642">
            <w:pPr>
              <w:jc w:val="left"/>
              <w:rPr>
                <w:rFonts w:cs="Calibri"/>
                <w:sz w:val="15"/>
                <w:szCs w:val="15"/>
              </w:rPr>
            </w:pPr>
            <w:r w:rsidRPr="00D06DCE">
              <w:rPr>
                <w:rFonts w:cs="Calibri"/>
                <w:sz w:val="15"/>
                <w:szCs w:val="15"/>
              </w:rPr>
              <w:t>Type of measure notified</w:t>
            </w:r>
          </w:p>
        </w:tc>
        <w:tc>
          <w:tcPr>
            <w:tcW w:w="1741" w:type="dxa"/>
            <w:tcBorders>
              <w:bottom w:val="nil"/>
            </w:tcBorders>
            <w:vAlign w:val="center"/>
            <w:hideMark/>
          </w:tcPr>
          <w:p w14:paraId="4C0934D1" w14:textId="77777777" w:rsidR="004F64EF" w:rsidRPr="003003C0" w:rsidRDefault="004F64EF" w:rsidP="00706642">
            <w:pPr>
              <w:jc w:val="left"/>
              <w:rPr>
                <w:rFonts w:cs="Calibri"/>
                <w:sz w:val="15"/>
                <w:szCs w:val="15"/>
              </w:rPr>
            </w:pPr>
            <w:r>
              <w:rPr>
                <w:rFonts w:cs="Calibri"/>
                <w:sz w:val="15"/>
                <w:szCs w:val="15"/>
              </w:rPr>
              <w:t>Frequency</w:t>
            </w:r>
          </w:p>
        </w:tc>
        <w:tc>
          <w:tcPr>
            <w:tcW w:w="2500" w:type="dxa"/>
            <w:tcBorders>
              <w:bottom w:val="nil"/>
            </w:tcBorders>
            <w:vAlign w:val="center"/>
            <w:hideMark/>
          </w:tcPr>
          <w:p w14:paraId="183C1F21" w14:textId="77777777" w:rsidR="004F64EF" w:rsidRPr="003003C0" w:rsidRDefault="004F64EF" w:rsidP="00706642">
            <w:pPr>
              <w:jc w:val="left"/>
              <w:rPr>
                <w:rFonts w:cs="Calibri"/>
                <w:sz w:val="15"/>
                <w:szCs w:val="15"/>
              </w:rPr>
            </w:pPr>
            <w:r>
              <w:rPr>
                <w:rFonts w:cs="Calibri"/>
                <w:sz w:val="15"/>
                <w:szCs w:val="15"/>
              </w:rPr>
              <w:t>WTO</w:t>
            </w:r>
            <w:r w:rsidRPr="003003C0">
              <w:rPr>
                <w:rFonts w:cs="Calibri"/>
                <w:sz w:val="15"/>
                <w:szCs w:val="15"/>
              </w:rPr>
              <w:t xml:space="preserve"> </w:t>
            </w:r>
            <w:r>
              <w:rPr>
                <w:rFonts w:cs="Calibri"/>
                <w:sz w:val="15"/>
                <w:szCs w:val="15"/>
              </w:rPr>
              <w:t xml:space="preserve">document </w:t>
            </w:r>
            <w:r w:rsidRPr="003003C0">
              <w:rPr>
                <w:rFonts w:cs="Calibri"/>
                <w:sz w:val="15"/>
                <w:szCs w:val="15"/>
              </w:rPr>
              <w:t>(</w:t>
            </w:r>
            <w:r w:rsidRPr="00D06DCE">
              <w:rPr>
                <w:rFonts w:cs="Calibri"/>
                <w:sz w:val="15"/>
                <w:szCs w:val="15"/>
              </w:rPr>
              <w:t>most recent if submitted regularly</w:t>
            </w:r>
            <w:r w:rsidRPr="003003C0">
              <w:rPr>
                <w:rFonts w:cs="Calibri"/>
                <w:sz w:val="15"/>
                <w:szCs w:val="15"/>
              </w:rPr>
              <w:t>)</w:t>
            </w:r>
          </w:p>
        </w:tc>
      </w:tr>
      <w:tr w:rsidR="004F64EF" w:rsidRPr="003003C0" w14:paraId="0E52E400" w14:textId="77777777" w:rsidTr="00706642">
        <w:tc>
          <w:tcPr>
            <w:tcW w:w="0" w:type="auto"/>
            <w:gridSpan w:val="4"/>
            <w:tcBorders>
              <w:top w:val="nil"/>
              <w:bottom w:val="single" w:sz="4" w:space="0" w:color="auto"/>
            </w:tcBorders>
            <w:shd w:val="clear" w:color="auto" w:fill="FFFFFF" w:themeFill="background1"/>
            <w:hideMark/>
          </w:tcPr>
          <w:p w14:paraId="1A3F6D5A" w14:textId="77777777" w:rsidR="004F64EF" w:rsidRPr="003003C0" w:rsidRDefault="004F64EF" w:rsidP="00706642">
            <w:pPr>
              <w:jc w:val="left"/>
              <w:rPr>
                <w:rFonts w:cs="Calibri"/>
                <w:b/>
                <w:bCs/>
                <w:color w:val="000000"/>
                <w:sz w:val="15"/>
                <w:szCs w:val="15"/>
              </w:rPr>
            </w:pPr>
            <w:r>
              <w:rPr>
                <w:rFonts w:cs="Calibri"/>
                <w:b/>
                <w:bCs/>
                <w:color w:val="000000"/>
                <w:sz w:val="15"/>
                <w:szCs w:val="15"/>
              </w:rPr>
              <w:t>Agreement on Agriculture</w:t>
            </w:r>
          </w:p>
        </w:tc>
      </w:tr>
      <w:tr w:rsidR="004F64EF" w:rsidRPr="003003C0" w14:paraId="12A6133F" w14:textId="77777777" w:rsidTr="00BE2A9F">
        <w:trPr>
          <w:cnfStyle w:val="000000010000" w:firstRow="0" w:lastRow="0" w:firstColumn="0" w:lastColumn="0" w:oddVBand="0" w:evenVBand="0" w:oddHBand="0" w:evenHBand="1" w:firstRowFirstColumn="0" w:firstRowLastColumn="0" w:lastRowFirstColumn="0" w:lastRowLastColumn="0"/>
        </w:trPr>
        <w:tc>
          <w:tcPr>
            <w:tcW w:w="2263" w:type="dxa"/>
            <w:tcBorders>
              <w:top w:val="single" w:sz="4" w:space="0" w:color="auto"/>
              <w:bottom w:val="single" w:sz="4" w:space="0" w:color="auto"/>
            </w:tcBorders>
            <w:hideMark/>
          </w:tcPr>
          <w:p w14:paraId="1D01805C" w14:textId="77777777" w:rsidR="004F64EF" w:rsidRPr="003003C0" w:rsidRDefault="004F64EF" w:rsidP="00706642">
            <w:pPr>
              <w:jc w:val="left"/>
              <w:rPr>
                <w:rFonts w:cs="Calibri"/>
                <w:color w:val="000000"/>
                <w:sz w:val="15"/>
                <w:szCs w:val="15"/>
              </w:rPr>
            </w:pPr>
            <w:r w:rsidRPr="003003C0">
              <w:rPr>
                <w:rFonts w:cs="Calibri"/>
                <w:color w:val="000000"/>
                <w:sz w:val="15"/>
                <w:szCs w:val="15"/>
              </w:rPr>
              <w:t>Art</w:t>
            </w:r>
            <w:r>
              <w:rPr>
                <w:rFonts w:cs="Calibri"/>
                <w:color w:val="000000"/>
                <w:sz w:val="15"/>
                <w:szCs w:val="15"/>
              </w:rPr>
              <w:t>icles</w:t>
            </w:r>
            <w:r w:rsidRPr="003003C0">
              <w:rPr>
                <w:rFonts w:cs="Calibri"/>
                <w:color w:val="000000"/>
                <w:sz w:val="15"/>
                <w:szCs w:val="15"/>
              </w:rPr>
              <w:t xml:space="preserve"> 10 </w:t>
            </w:r>
            <w:r>
              <w:rPr>
                <w:rFonts w:cs="Calibri"/>
                <w:color w:val="000000"/>
                <w:sz w:val="15"/>
                <w:szCs w:val="15"/>
              </w:rPr>
              <w:t>and</w:t>
            </w:r>
            <w:r w:rsidRPr="003003C0">
              <w:rPr>
                <w:rFonts w:cs="Calibri"/>
                <w:color w:val="000000"/>
                <w:sz w:val="15"/>
                <w:szCs w:val="15"/>
              </w:rPr>
              <w:t xml:space="preserve"> 18.2; ES</w:t>
            </w:r>
            <w:r>
              <w:rPr>
                <w:rFonts w:cs="Calibri"/>
                <w:color w:val="000000"/>
                <w:sz w:val="15"/>
                <w:szCs w:val="15"/>
              </w:rPr>
              <w:t>:</w:t>
            </w:r>
            <w:r w:rsidRPr="003003C0">
              <w:rPr>
                <w:rFonts w:cs="Calibri"/>
                <w:color w:val="000000"/>
                <w:sz w:val="15"/>
                <w:szCs w:val="15"/>
              </w:rPr>
              <w:t>1</w:t>
            </w:r>
          </w:p>
        </w:tc>
        <w:tc>
          <w:tcPr>
            <w:tcW w:w="2512" w:type="dxa"/>
            <w:tcBorders>
              <w:top w:val="single" w:sz="4" w:space="0" w:color="auto"/>
              <w:bottom w:val="single" w:sz="4" w:space="0" w:color="auto"/>
            </w:tcBorders>
            <w:hideMark/>
          </w:tcPr>
          <w:p w14:paraId="5DA61147" w14:textId="77777777" w:rsidR="004F64EF" w:rsidRPr="003003C0" w:rsidRDefault="004F64EF" w:rsidP="00706642">
            <w:pPr>
              <w:jc w:val="left"/>
              <w:rPr>
                <w:rFonts w:cs="Calibri"/>
                <w:color w:val="000000"/>
                <w:sz w:val="15"/>
                <w:szCs w:val="15"/>
              </w:rPr>
            </w:pPr>
            <w:r>
              <w:rPr>
                <w:rFonts w:cs="Calibri"/>
                <w:color w:val="000000"/>
                <w:sz w:val="15"/>
                <w:szCs w:val="15"/>
              </w:rPr>
              <w:t>Export subsidies</w:t>
            </w:r>
          </w:p>
        </w:tc>
        <w:tc>
          <w:tcPr>
            <w:tcW w:w="1741" w:type="dxa"/>
            <w:tcBorders>
              <w:top w:val="single" w:sz="4" w:space="0" w:color="auto"/>
              <w:bottom w:val="single" w:sz="4" w:space="0" w:color="auto"/>
            </w:tcBorders>
            <w:hideMark/>
          </w:tcPr>
          <w:p w14:paraId="46F1B20D" w14:textId="77777777" w:rsidR="004F64EF" w:rsidRPr="003003C0" w:rsidRDefault="004F64EF" w:rsidP="00706642">
            <w:pPr>
              <w:jc w:val="left"/>
              <w:rPr>
                <w:rFonts w:cs="Calibri"/>
                <w:color w:val="000000"/>
                <w:sz w:val="15"/>
                <w:szCs w:val="15"/>
              </w:rPr>
            </w:pPr>
            <w:r>
              <w:rPr>
                <w:rFonts w:cs="Calibri"/>
                <w:color w:val="000000"/>
                <w:sz w:val="15"/>
                <w:szCs w:val="15"/>
              </w:rPr>
              <w:t>On an annual basis</w:t>
            </w:r>
          </w:p>
        </w:tc>
        <w:tc>
          <w:tcPr>
            <w:tcW w:w="2500" w:type="dxa"/>
            <w:tcBorders>
              <w:top w:val="single" w:sz="4" w:space="0" w:color="auto"/>
              <w:bottom w:val="single" w:sz="4" w:space="0" w:color="auto"/>
            </w:tcBorders>
            <w:hideMark/>
          </w:tcPr>
          <w:p w14:paraId="41486DB8" w14:textId="77777777" w:rsidR="004F64EF" w:rsidRPr="003003C0" w:rsidRDefault="004F64EF" w:rsidP="00706642">
            <w:pPr>
              <w:jc w:val="left"/>
              <w:rPr>
                <w:rFonts w:cs="Calibri"/>
                <w:color w:val="000000"/>
                <w:sz w:val="15"/>
                <w:szCs w:val="15"/>
              </w:rPr>
            </w:pPr>
            <w:r w:rsidRPr="003003C0">
              <w:rPr>
                <w:rFonts w:cs="Calibri"/>
                <w:color w:val="000000"/>
                <w:sz w:val="15"/>
                <w:szCs w:val="15"/>
              </w:rPr>
              <w:t>G/AG/N/DOM/47, 21/1/2022</w:t>
            </w:r>
          </w:p>
        </w:tc>
      </w:tr>
      <w:tr w:rsidR="004F64EF" w:rsidRPr="003003C0" w14:paraId="097B0A16" w14:textId="77777777" w:rsidTr="00BE2A9F">
        <w:tc>
          <w:tcPr>
            <w:tcW w:w="2263" w:type="dxa"/>
            <w:tcBorders>
              <w:top w:val="single" w:sz="4" w:space="0" w:color="auto"/>
              <w:bottom w:val="single" w:sz="4" w:space="0" w:color="auto"/>
            </w:tcBorders>
            <w:shd w:val="clear" w:color="auto" w:fill="C9DED4"/>
            <w:hideMark/>
          </w:tcPr>
          <w:p w14:paraId="083D24D8" w14:textId="77777777" w:rsidR="004F64EF" w:rsidRPr="003003C0" w:rsidRDefault="004F64EF" w:rsidP="00706642">
            <w:pPr>
              <w:jc w:val="left"/>
              <w:rPr>
                <w:rFonts w:cs="Calibri"/>
                <w:color w:val="000000"/>
                <w:sz w:val="15"/>
                <w:szCs w:val="15"/>
              </w:rPr>
            </w:pPr>
            <w:r w:rsidRPr="003003C0">
              <w:rPr>
                <w:rFonts w:cs="Calibri"/>
                <w:color w:val="000000"/>
                <w:sz w:val="15"/>
                <w:szCs w:val="15"/>
              </w:rPr>
              <w:t>Art</w:t>
            </w:r>
            <w:r>
              <w:rPr>
                <w:rFonts w:cs="Calibri"/>
                <w:color w:val="000000"/>
                <w:sz w:val="15"/>
                <w:szCs w:val="15"/>
              </w:rPr>
              <w:t>icle</w:t>
            </w:r>
            <w:r w:rsidRPr="003003C0">
              <w:rPr>
                <w:rFonts w:cs="Calibri"/>
                <w:color w:val="000000"/>
                <w:sz w:val="15"/>
                <w:szCs w:val="15"/>
              </w:rPr>
              <w:t xml:space="preserve"> 18.2; DS</w:t>
            </w:r>
            <w:r>
              <w:rPr>
                <w:rFonts w:cs="Calibri"/>
                <w:color w:val="000000"/>
                <w:sz w:val="15"/>
                <w:szCs w:val="15"/>
              </w:rPr>
              <w:t>:</w:t>
            </w:r>
            <w:r w:rsidRPr="003003C0">
              <w:rPr>
                <w:rFonts w:cs="Calibri"/>
                <w:color w:val="000000"/>
                <w:sz w:val="15"/>
                <w:szCs w:val="15"/>
              </w:rPr>
              <w:t>1</w:t>
            </w:r>
          </w:p>
        </w:tc>
        <w:tc>
          <w:tcPr>
            <w:tcW w:w="2512" w:type="dxa"/>
            <w:tcBorders>
              <w:top w:val="single" w:sz="4" w:space="0" w:color="auto"/>
              <w:bottom w:val="single" w:sz="4" w:space="0" w:color="auto"/>
            </w:tcBorders>
            <w:shd w:val="clear" w:color="auto" w:fill="C9DED4"/>
            <w:hideMark/>
          </w:tcPr>
          <w:p w14:paraId="2CBB147D" w14:textId="77777777" w:rsidR="004F64EF" w:rsidRPr="003003C0" w:rsidRDefault="004F64EF" w:rsidP="00706642">
            <w:pPr>
              <w:jc w:val="left"/>
              <w:rPr>
                <w:rFonts w:cs="Calibri"/>
                <w:color w:val="000000"/>
                <w:sz w:val="15"/>
                <w:szCs w:val="15"/>
              </w:rPr>
            </w:pPr>
            <w:r>
              <w:rPr>
                <w:rFonts w:cs="Calibri"/>
                <w:color w:val="000000"/>
                <w:sz w:val="15"/>
                <w:szCs w:val="15"/>
              </w:rPr>
              <w:t>Domestic support</w:t>
            </w:r>
          </w:p>
        </w:tc>
        <w:tc>
          <w:tcPr>
            <w:tcW w:w="1741" w:type="dxa"/>
            <w:tcBorders>
              <w:top w:val="single" w:sz="4" w:space="0" w:color="auto"/>
              <w:bottom w:val="single" w:sz="4" w:space="0" w:color="auto"/>
            </w:tcBorders>
            <w:shd w:val="clear" w:color="auto" w:fill="C9DED4"/>
            <w:hideMark/>
          </w:tcPr>
          <w:p w14:paraId="200DC4B9" w14:textId="77777777" w:rsidR="004F64EF" w:rsidRPr="003003C0" w:rsidRDefault="004F64EF" w:rsidP="00706642">
            <w:pPr>
              <w:jc w:val="left"/>
              <w:rPr>
                <w:rFonts w:cs="Calibri"/>
                <w:color w:val="000000"/>
                <w:sz w:val="15"/>
                <w:szCs w:val="15"/>
              </w:rPr>
            </w:pPr>
            <w:r>
              <w:rPr>
                <w:rFonts w:cs="Calibri"/>
                <w:color w:val="000000"/>
                <w:sz w:val="15"/>
                <w:szCs w:val="15"/>
              </w:rPr>
              <w:t>On an annual basis</w:t>
            </w:r>
          </w:p>
        </w:tc>
        <w:tc>
          <w:tcPr>
            <w:tcW w:w="2500" w:type="dxa"/>
            <w:tcBorders>
              <w:top w:val="single" w:sz="4" w:space="0" w:color="auto"/>
              <w:bottom w:val="single" w:sz="4" w:space="0" w:color="auto"/>
            </w:tcBorders>
            <w:shd w:val="clear" w:color="auto" w:fill="C9DED4"/>
            <w:hideMark/>
          </w:tcPr>
          <w:p w14:paraId="4B40A15B" w14:textId="77777777" w:rsidR="004F64EF" w:rsidRPr="003003C0" w:rsidRDefault="004F64EF" w:rsidP="00706642">
            <w:pPr>
              <w:jc w:val="left"/>
              <w:rPr>
                <w:rFonts w:cs="Calibri"/>
                <w:color w:val="000000"/>
                <w:sz w:val="15"/>
                <w:szCs w:val="15"/>
              </w:rPr>
            </w:pPr>
            <w:r w:rsidRPr="003003C0">
              <w:rPr>
                <w:rFonts w:cs="Calibri"/>
                <w:color w:val="000000"/>
                <w:sz w:val="15"/>
                <w:szCs w:val="15"/>
              </w:rPr>
              <w:t>G/AG/N/DOM/46, 23/7/2021</w:t>
            </w:r>
          </w:p>
        </w:tc>
      </w:tr>
      <w:tr w:rsidR="004F64EF" w:rsidRPr="003003C0" w14:paraId="4A56AABA" w14:textId="77777777" w:rsidTr="00BE2A9F">
        <w:trPr>
          <w:cnfStyle w:val="000000010000" w:firstRow="0" w:lastRow="0" w:firstColumn="0" w:lastColumn="0" w:oddVBand="0" w:evenVBand="0" w:oddHBand="0" w:evenHBand="1" w:firstRowFirstColumn="0" w:firstRowLastColumn="0" w:lastRowFirstColumn="0" w:lastRowLastColumn="0"/>
        </w:trPr>
        <w:tc>
          <w:tcPr>
            <w:tcW w:w="2263" w:type="dxa"/>
            <w:tcBorders>
              <w:top w:val="single" w:sz="4" w:space="0" w:color="auto"/>
              <w:bottom w:val="single" w:sz="4" w:space="0" w:color="auto"/>
            </w:tcBorders>
            <w:hideMark/>
          </w:tcPr>
          <w:p w14:paraId="503EA24B" w14:textId="77777777" w:rsidR="004F64EF" w:rsidRPr="003003C0" w:rsidRDefault="004F64EF" w:rsidP="00706642">
            <w:pPr>
              <w:jc w:val="left"/>
              <w:rPr>
                <w:rFonts w:cs="Calibri"/>
                <w:color w:val="000000"/>
                <w:sz w:val="15"/>
                <w:szCs w:val="15"/>
              </w:rPr>
            </w:pPr>
            <w:r w:rsidRPr="003003C0">
              <w:rPr>
                <w:rFonts w:cs="Calibri"/>
                <w:color w:val="000000"/>
                <w:sz w:val="15"/>
                <w:szCs w:val="15"/>
              </w:rPr>
              <w:t>Art</w:t>
            </w:r>
            <w:r>
              <w:rPr>
                <w:rFonts w:cs="Calibri"/>
                <w:color w:val="000000"/>
                <w:sz w:val="15"/>
                <w:szCs w:val="15"/>
              </w:rPr>
              <w:t>icle</w:t>
            </w:r>
            <w:r w:rsidRPr="003003C0">
              <w:rPr>
                <w:rFonts w:cs="Calibri"/>
                <w:color w:val="000000"/>
                <w:sz w:val="15"/>
                <w:szCs w:val="15"/>
              </w:rPr>
              <w:t xml:space="preserve"> 18.2; MA</w:t>
            </w:r>
            <w:r>
              <w:rPr>
                <w:rFonts w:cs="Calibri"/>
                <w:color w:val="000000"/>
                <w:sz w:val="15"/>
                <w:szCs w:val="15"/>
              </w:rPr>
              <w:t>:</w:t>
            </w:r>
            <w:r w:rsidRPr="003003C0">
              <w:rPr>
                <w:rFonts w:cs="Calibri"/>
                <w:color w:val="000000"/>
                <w:sz w:val="15"/>
                <w:szCs w:val="15"/>
              </w:rPr>
              <w:t>2</w:t>
            </w:r>
          </w:p>
        </w:tc>
        <w:tc>
          <w:tcPr>
            <w:tcW w:w="2512" w:type="dxa"/>
            <w:tcBorders>
              <w:top w:val="single" w:sz="4" w:space="0" w:color="auto"/>
              <w:bottom w:val="single" w:sz="4" w:space="0" w:color="auto"/>
            </w:tcBorders>
            <w:hideMark/>
          </w:tcPr>
          <w:p w14:paraId="0DE4E8D9" w14:textId="77777777" w:rsidR="004F64EF" w:rsidRPr="003003C0" w:rsidRDefault="004F64EF" w:rsidP="00706642">
            <w:pPr>
              <w:jc w:val="left"/>
              <w:rPr>
                <w:rFonts w:cs="Calibri"/>
                <w:color w:val="000000"/>
                <w:sz w:val="15"/>
                <w:szCs w:val="15"/>
              </w:rPr>
            </w:pPr>
            <w:r>
              <w:rPr>
                <w:rFonts w:cs="Calibri"/>
                <w:color w:val="000000"/>
                <w:sz w:val="15"/>
                <w:szCs w:val="15"/>
              </w:rPr>
              <w:t>Market access</w:t>
            </w:r>
            <w:r w:rsidRPr="003003C0">
              <w:rPr>
                <w:rFonts w:cs="Calibri"/>
                <w:color w:val="000000"/>
                <w:sz w:val="15"/>
                <w:szCs w:val="15"/>
              </w:rPr>
              <w:t xml:space="preserve"> - </w:t>
            </w:r>
            <w:r w:rsidRPr="00D9157C">
              <w:rPr>
                <w:rFonts w:cs="Calibri"/>
                <w:color w:val="000000"/>
                <w:sz w:val="15"/>
                <w:szCs w:val="15"/>
              </w:rPr>
              <w:t>Volume of imports under tariff and other quota</w:t>
            </w:r>
            <w:r>
              <w:rPr>
                <w:rFonts w:cs="Calibri"/>
                <w:color w:val="000000"/>
                <w:sz w:val="15"/>
                <w:szCs w:val="15"/>
              </w:rPr>
              <w:t>s</w:t>
            </w:r>
          </w:p>
        </w:tc>
        <w:tc>
          <w:tcPr>
            <w:tcW w:w="1741" w:type="dxa"/>
            <w:tcBorders>
              <w:top w:val="single" w:sz="4" w:space="0" w:color="auto"/>
              <w:bottom w:val="single" w:sz="4" w:space="0" w:color="auto"/>
            </w:tcBorders>
            <w:hideMark/>
          </w:tcPr>
          <w:p w14:paraId="21C578E4" w14:textId="77777777" w:rsidR="004F64EF" w:rsidRPr="003003C0" w:rsidRDefault="004F64EF" w:rsidP="00706642">
            <w:pPr>
              <w:jc w:val="left"/>
              <w:rPr>
                <w:rFonts w:cs="Calibri"/>
                <w:color w:val="000000"/>
                <w:sz w:val="15"/>
                <w:szCs w:val="15"/>
              </w:rPr>
            </w:pPr>
            <w:r w:rsidRPr="00D06DCE">
              <w:rPr>
                <w:rFonts w:cs="Calibri"/>
                <w:color w:val="000000"/>
                <w:sz w:val="15"/>
                <w:szCs w:val="15"/>
              </w:rPr>
              <w:t>On an annual basis</w:t>
            </w:r>
          </w:p>
        </w:tc>
        <w:tc>
          <w:tcPr>
            <w:tcW w:w="2500" w:type="dxa"/>
            <w:tcBorders>
              <w:top w:val="single" w:sz="4" w:space="0" w:color="auto"/>
              <w:bottom w:val="single" w:sz="4" w:space="0" w:color="auto"/>
            </w:tcBorders>
            <w:hideMark/>
          </w:tcPr>
          <w:p w14:paraId="2FBB952D" w14:textId="77777777" w:rsidR="004F64EF" w:rsidRPr="003003C0" w:rsidRDefault="004F64EF" w:rsidP="00706642">
            <w:pPr>
              <w:jc w:val="left"/>
              <w:rPr>
                <w:rFonts w:cs="Calibri"/>
                <w:color w:val="000000"/>
                <w:sz w:val="15"/>
                <w:szCs w:val="15"/>
              </w:rPr>
            </w:pPr>
            <w:r w:rsidRPr="003003C0">
              <w:rPr>
                <w:rFonts w:cs="Calibri"/>
                <w:color w:val="000000"/>
                <w:sz w:val="15"/>
                <w:szCs w:val="15"/>
              </w:rPr>
              <w:t>G/AG/N/DOM/48, 16/2/2022</w:t>
            </w:r>
          </w:p>
        </w:tc>
      </w:tr>
      <w:tr w:rsidR="004F64EF" w:rsidRPr="003003C0" w14:paraId="325E8EAA" w14:textId="77777777" w:rsidTr="00706642">
        <w:tc>
          <w:tcPr>
            <w:tcW w:w="0" w:type="auto"/>
            <w:gridSpan w:val="4"/>
            <w:tcBorders>
              <w:top w:val="single" w:sz="4" w:space="0" w:color="auto"/>
              <w:bottom w:val="single" w:sz="4" w:space="0" w:color="auto"/>
            </w:tcBorders>
            <w:shd w:val="clear" w:color="auto" w:fill="FFFFFF" w:themeFill="background1"/>
            <w:hideMark/>
          </w:tcPr>
          <w:p w14:paraId="79E07111" w14:textId="77777777" w:rsidR="004F64EF" w:rsidRPr="003003C0" w:rsidRDefault="004F64EF" w:rsidP="00706642">
            <w:pPr>
              <w:jc w:val="left"/>
              <w:rPr>
                <w:rFonts w:cs="Calibri"/>
                <w:b/>
                <w:bCs/>
                <w:color w:val="000000"/>
                <w:sz w:val="15"/>
                <w:szCs w:val="15"/>
              </w:rPr>
            </w:pPr>
            <w:r w:rsidRPr="00D9157C">
              <w:rPr>
                <w:rFonts w:cs="Calibri"/>
                <w:b/>
                <w:bCs/>
                <w:color w:val="000000"/>
                <w:sz w:val="15"/>
                <w:szCs w:val="15"/>
              </w:rPr>
              <w:t>General Agreement on Trade in Services</w:t>
            </w:r>
          </w:p>
        </w:tc>
      </w:tr>
      <w:tr w:rsidR="004F64EF" w:rsidRPr="003003C0" w14:paraId="43F183D6" w14:textId="77777777" w:rsidTr="00BE2A9F">
        <w:trPr>
          <w:cnfStyle w:val="000000010000" w:firstRow="0" w:lastRow="0" w:firstColumn="0" w:lastColumn="0" w:oddVBand="0" w:evenVBand="0" w:oddHBand="0" w:evenHBand="1" w:firstRowFirstColumn="0" w:firstRowLastColumn="0" w:lastRowFirstColumn="0" w:lastRowLastColumn="0"/>
        </w:trPr>
        <w:tc>
          <w:tcPr>
            <w:tcW w:w="2263" w:type="dxa"/>
            <w:tcBorders>
              <w:top w:val="single" w:sz="4" w:space="0" w:color="auto"/>
              <w:bottom w:val="single" w:sz="4" w:space="0" w:color="auto"/>
            </w:tcBorders>
            <w:hideMark/>
          </w:tcPr>
          <w:p w14:paraId="7093E267" w14:textId="77777777" w:rsidR="004F64EF" w:rsidRPr="003003C0" w:rsidRDefault="004F64EF" w:rsidP="00706642">
            <w:pPr>
              <w:jc w:val="left"/>
              <w:rPr>
                <w:rFonts w:cs="Calibri"/>
                <w:color w:val="000000"/>
                <w:sz w:val="15"/>
                <w:szCs w:val="15"/>
              </w:rPr>
            </w:pPr>
            <w:r w:rsidRPr="003003C0">
              <w:rPr>
                <w:rFonts w:cs="Calibri"/>
                <w:color w:val="000000"/>
                <w:sz w:val="15"/>
                <w:szCs w:val="15"/>
              </w:rPr>
              <w:t>Art</w:t>
            </w:r>
            <w:r>
              <w:rPr>
                <w:rFonts w:cs="Calibri"/>
                <w:color w:val="000000"/>
                <w:sz w:val="15"/>
                <w:szCs w:val="15"/>
              </w:rPr>
              <w:t>icle</w:t>
            </w:r>
            <w:r w:rsidRPr="003003C0">
              <w:rPr>
                <w:rFonts w:cs="Calibri"/>
                <w:color w:val="000000"/>
                <w:sz w:val="15"/>
                <w:szCs w:val="15"/>
              </w:rPr>
              <w:t xml:space="preserve"> III</w:t>
            </w:r>
            <w:r>
              <w:rPr>
                <w:rFonts w:cs="Calibri"/>
                <w:color w:val="000000"/>
                <w:sz w:val="15"/>
                <w:szCs w:val="15"/>
              </w:rPr>
              <w:t>:</w:t>
            </w:r>
            <w:r w:rsidRPr="003003C0">
              <w:rPr>
                <w:rFonts w:cs="Calibri"/>
                <w:color w:val="000000"/>
                <w:sz w:val="15"/>
                <w:szCs w:val="15"/>
              </w:rPr>
              <w:t>3</w:t>
            </w:r>
          </w:p>
        </w:tc>
        <w:tc>
          <w:tcPr>
            <w:tcW w:w="2512" w:type="dxa"/>
            <w:tcBorders>
              <w:top w:val="single" w:sz="4" w:space="0" w:color="auto"/>
              <w:bottom w:val="single" w:sz="4" w:space="0" w:color="auto"/>
            </w:tcBorders>
            <w:hideMark/>
          </w:tcPr>
          <w:p w14:paraId="746170AB" w14:textId="77777777" w:rsidR="004F64EF" w:rsidRPr="003003C0" w:rsidRDefault="004F64EF" w:rsidP="00706642">
            <w:pPr>
              <w:jc w:val="left"/>
              <w:rPr>
                <w:rFonts w:cs="Calibri"/>
                <w:color w:val="000000"/>
                <w:sz w:val="15"/>
                <w:szCs w:val="15"/>
              </w:rPr>
            </w:pPr>
            <w:r w:rsidRPr="00D9157C">
              <w:rPr>
                <w:rFonts w:cs="Calibri"/>
                <w:color w:val="000000"/>
                <w:sz w:val="15"/>
                <w:szCs w:val="15"/>
              </w:rPr>
              <w:t>Change</w:t>
            </w:r>
            <w:r>
              <w:rPr>
                <w:rFonts w:cs="Calibri"/>
                <w:color w:val="000000"/>
                <w:sz w:val="15"/>
                <w:szCs w:val="15"/>
              </w:rPr>
              <w:t xml:space="preserve"> in</w:t>
            </w:r>
            <w:r w:rsidRPr="00D9157C">
              <w:rPr>
                <w:rFonts w:cs="Calibri"/>
                <w:color w:val="000000"/>
                <w:sz w:val="15"/>
                <w:szCs w:val="15"/>
              </w:rPr>
              <w:t xml:space="preserve"> regulation affecting trade in scheduled sectors</w:t>
            </w:r>
          </w:p>
        </w:tc>
        <w:tc>
          <w:tcPr>
            <w:tcW w:w="1741" w:type="dxa"/>
            <w:tcBorders>
              <w:top w:val="single" w:sz="4" w:space="0" w:color="auto"/>
              <w:bottom w:val="single" w:sz="4" w:space="0" w:color="auto"/>
            </w:tcBorders>
            <w:hideMark/>
          </w:tcPr>
          <w:p w14:paraId="592C35A6" w14:textId="77777777" w:rsidR="004F64EF" w:rsidRPr="003003C0" w:rsidRDefault="004F64EF" w:rsidP="00706642">
            <w:pPr>
              <w:jc w:val="left"/>
              <w:rPr>
                <w:rFonts w:cs="Calibri"/>
                <w:i/>
                <w:iCs/>
                <w:color w:val="000000"/>
                <w:sz w:val="15"/>
                <w:szCs w:val="15"/>
              </w:rPr>
            </w:pPr>
            <w:r w:rsidRPr="003003C0">
              <w:rPr>
                <w:rFonts w:cs="Calibri"/>
                <w:i/>
                <w:iCs/>
                <w:color w:val="000000"/>
                <w:sz w:val="15"/>
                <w:szCs w:val="15"/>
              </w:rPr>
              <w:t>Ad hoc</w:t>
            </w:r>
          </w:p>
        </w:tc>
        <w:tc>
          <w:tcPr>
            <w:tcW w:w="2500" w:type="dxa"/>
            <w:tcBorders>
              <w:top w:val="single" w:sz="4" w:space="0" w:color="auto"/>
              <w:bottom w:val="single" w:sz="4" w:space="0" w:color="auto"/>
            </w:tcBorders>
            <w:hideMark/>
          </w:tcPr>
          <w:p w14:paraId="1012FFF1" w14:textId="77777777" w:rsidR="004F64EF" w:rsidRPr="003003C0" w:rsidRDefault="004F64EF" w:rsidP="00706642">
            <w:pPr>
              <w:jc w:val="left"/>
              <w:rPr>
                <w:rFonts w:cs="Calibri"/>
                <w:color w:val="000000"/>
                <w:sz w:val="15"/>
                <w:szCs w:val="15"/>
              </w:rPr>
            </w:pPr>
            <w:r w:rsidRPr="003003C0">
              <w:rPr>
                <w:rFonts w:cs="Calibri"/>
                <w:color w:val="000000"/>
                <w:sz w:val="15"/>
                <w:szCs w:val="15"/>
              </w:rPr>
              <w:t>S/C/N/872, 3/2/2017</w:t>
            </w:r>
          </w:p>
        </w:tc>
      </w:tr>
      <w:tr w:rsidR="004F64EF" w:rsidRPr="003003C0" w14:paraId="6524A8E4" w14:textId="77777777" w:rsidTr="00BE2A9F">
        <w:tc>
          <w:tcPr>
            <w:tcW w:w="2263" w:type="dxa"/>
            <w:tcBorders>
              <w:top w:val="single" w:sz="4" w:space="0" w:color="auto"/>
              <w:bottom w:val="single" w:sz="4" w:space="0" w:color="auto"/>
            </w:tcBorders>
            <w:shd w:val="clear" w:color="auto" w:fill="C9DED4"/>
            <w:hideMark/>
          </w:tcPr>
          <w:p w14:paraId="235B86EE" w14:textId="77777777" w:rsidR="004F64EF" w:rsidRPr="003003C0" w:rsidRDefault="004F64EF" w:rsidP="00706642">
            <w:pPr>
              <w:jc w:val="left"/>
              <w:rPr>
                <w:rFonts w:cs="Calibri"/>
                <w:color w:val="000000"/>
                <w:sz w:val="15"/>
                <w:szCs w:val="15"/>
              </w:rPr>
            </w:pPr>
            <w:r w:rsidRPr="003003C0">
              <w:rPr>
                <w:rFonts w:cs="Calibri"/>
                <w:color w:val="000000"/>
                <w:sz w:val="15"/>
                <w:szCs w:val="15"/>
              </w:rPr>
              <w:t>Art</w:t>
            </w:r>
            <w:r>
              <w:rPr>
                <w:rFonts w:cs="Calibri"/>
                <w:color w:val="000000"/>
                <w:sz w:val="15"/>
                <w:szCs w:val="15"/>
              </w:rPr>
              <w:t>icle</w:t>
            </w:r>
            <w:r w:rsidRPr="003003C0">
              <w:rPr>
                <w:rFonts w:cs="Calibri"/>
                <w:color w:val="000000"/>
                <w:sz w:val="15"/>
                <w:szCs w:val="15"/>
              </w:rPr>
              <w:t xml:space="preserve"> III</w:t>
            </w:r>
            <w:r>
              <w:rPr>
                <w:rFonts w:cs="Calibri"/>
                <w:color w:val="000000"/>
                <w:sz w:val="15"/>
                <w:szCs w:val="15"/>
              </w:rPr>
              <w:t>:</w:t>
            </w:r>
            <w:r w:rsidRPr="003003C0">
              <w:rPr>
                <w:rFonts w:cs="Calibri"/>
                <w:color w:val="000000"/>
                <w:sz w:val="15"/>
                <w:szCs w:val="15"/>
              </w:rPr>
              <w:t xml:space="preserve">4 </w:t>
            </w:r>
            <w:r>
              <w:rPr>
                <w:rFonts w:cs="Calibri"/>
                <w:color w:val="000000"/>
                <w:sz w:val="15"/>
                <w:szCs w:val="15"/>
              </w:rPr>
              <w:t>and</w:t>
            </w:r>
            <w:r w:rsidRPr="003003C0">
              <w:rPr>
                <w:rFonts w:cs="Calibri"/>
                <w:color w:val="000000"/>
                <w:sz w:val="15"/>
                <w:szCs w:val="15"/>
              </w:rPr>
              <w:t>/o</w:t>
            </w:r>
            <w:r>
              <w:rPr>
                <w:rFonts w:cs="Calibri"/>
                <w:color w:val="000000"/>
                <w:sz w:val="15"/>
                <w:szCs w:val="15"/>
              </w:rPr>
              <w:t>r</w:t>
            </w:r>
            <w:r w:rsidRPr="003003C0">
              <w:rPr>
                <w:rFonts w:cs="Calibri"/>
                <w:color w:val="000000"/>
                <w:sz w:val="15"/>
                <w:szCs w:val="15"/>
              </w:rPr>
              <w:t xml:space="preserve"> </w:t>
            </w:r>
            <w:r>
              <w:rPr>
                <w:rFonts w:cs="Calibri"/>
                <w:color w:val="000000"/>
                <w:sz w:val="15"/>
                <w:szCs w:val="15"/>
              </w:rPr>
              <w:t>Article </w:t>
            </w:r>
            <w:r w:rsidRPr="003003C0">
              <w:rPr>
                <w:rFonts w:cs="Calibri"/>
                <w:color w:val="000000"/>
                <w:sz w:val="15"/>
                <w:szCs w:val="15"/>
              </w:rPr>
              <w:t>IV</w:t>
            </w:r>
            <w:r>
              <w:rPr>
                <w:rFonts w:cs="Calibri"/>
                <w:color w:val="000000"/>
                <w:sz w:val="15"/>
                <w:szCs w:val="15"/>
              </w:rPr>
              <w:t>:</w:t>
            </w:r>
            <w:r w:rsidRPr="003003C0">
              <w:rPr>
                <w:rFonts w:cs="Calibri"/>
                <w:color w:val="000000"/>
                <w:sz w:val="15"/>
                <w:szCs w:val="15"/>
              </w:rPr>
              <w:t>2</w:t>
            </w:r>
          </w:p>
        </w:tc>
        <w:tc>
          <w:tcPr>
            <w:tcW w:w="2512" w:type="dxa"/>
            <w:tcBorders>
              <w:top w:val="single" w:sz="4" w:space="0" w:color="auto"/>
              <w:bottom w:val="single" w:sz="4" w:space="0" w:color="auto"/>
            </w:tcBorders>
            <w:shd w:val="clear" w:color="auto" w:fill="C9DED4"/>
            <w:hideMark/>
          </w:tcPr>
          <w:p w14:paraId="0954184E" w14:textId="77777777" w:rsidR="004F64EF" w:rsidRPr="003003C0" w:rsidRDefault="004F64EF" w:rsidP="00706642">
            <w:pPr>
              <w:jc w:val="left"/>
              <w:rPr>
                <w:rFonts w:cs="Calibri"/>
                <w:color w:val="000000"/>
                <w:sz w:val="15"/>
                <w:szCs w:val="15"/>
              </w:rPr>
            </w:pPr>
            <w:r w:rsidRPr="00D9157C">
              <w:rPr>
                <w:rFonts w:cs="Calibri"/>
                <w:color w:val="000000"/>
                <w:sz w:val="15"/>
                <w:szCs w:val="15"/>
              </w:rPr>
              <w:t>References of enquiry point</w:t>
            </w:r>
          </w:p>
        </w:tc>
        <w:tc>
          <w:tcPr>
            <w:tcW w:w="1741" w:type="dxa"/>
            <w:tcBorders>
              <w:top w:val="single" w:sz="4" w:space="0" w:color="auto"/>
              <w:bottom w:val="single" w:sz="4" w:space="0" w:color="auto"/>
            </w:tcBorders>
            <w:shd w:val="clear" w:color="auto" w:fill="C9DED4"/>
            <w:hideMark/>
          </w:tcPr>
          <w:p w14:paraId="7A351284" w14:textId="77777777" w:rsidR="004F64EF" w:rsidRPr="003003C0" w:rsidRDefault="004F64EF" w:rsidP="00706642">
            <w:pPr>
              <w:jc w:val="left"/>
              <w:rPr>
                <w:rFonts w:cs="Calibri"/>
                <w:color w:val="000000"/>
                <w:sz w:val="15"/>
                <w:szCs w:val="15"/>
              </w:rPr>
            </w:pPr>
            <w:r w:rsidRPr="003003C0">
              <w:rPr>
                <w:rFonts w:cs="Calibri"/>
                <w:i/>
                <w:iCs/>
                <w:color w:val="000000"/>
                <w:sz w:val="15"/>
                <w:szCs w:val="15"/>
              </w:rPr>
              <w:t>Ad hoc</w:t>
            </w:r>
            <w:r w:rsidRPr="003003C0">
              <w:rPr>
                <w:rFonts w:cs="Calibri"/>
                <w:color w:val="000000"/>
                <w:sz w:val="15"/>
                <w:szCs w:val="15"/>
              </w:rPr>
              <w:t xml:space="preserve"> </w:t>
            </w:r>
          </w:p>
        </w:tc>
        <w:tc>
          <w:tcPr>
            <w:tcW w:w="2500" w:type="dxa"/>
            <w:tcBorders>
              <w:top w:val="single" w:sz="4" w:space="0" w:color="auto"/>
              <w:bottom w:val="single" w:sz="4" w:space="0" w:color="auto"/>
            </w:tcBorders>
            <w:shd w:val="clear" w:color="auto" w:fill="C9DED4"/>
            <w:hideMark/>
          </w:tcPr>
          <w:p w14:paraId="61145C45" w14:textId="77777777" w:rsidR="004F64EF" w:rsidRPr="003003C0" w:rsidRDefault="004F64EF" w:rsidP="00706642">
            <w:pPr>
              <w:jc w:val="left"/>
              <w:rPr>
                <w:rFonts w:cs="Calibri"/>
                <w:color w:val="000000"/>
                <w:sz w:val="15"/>
                <w:szCs w:val="15"/>
              </w:rPr>
            </w:pPr>
            <w:r w:rsidRPr="003003C0">
              <w:rPr>
                <w:rFonts w:cs="Calibri"/>
                <w:color w:val="000000"/>
                <w:sz w:val="15"/>
                <w:szCs w:val="15"/>
              </w:rPr>
              <w:t>S/</w:t>
            </w:r>
            <w:proofErr w:type="spellStart"/>
            <w:r w:rsidRPr="003003C0">
              <w:rPr>
                <w:rFonts w:cs="Calibri"/>
                <w:color w:val="000000"/>
                <w:sz w:val="15"/>
                <w:szCs w:val="15"/>
              </w:rPr>
              <w:t>ENQ</w:t>
            </w:r>
            <w:proofErr w:type="spellEnd"/>
            <w:r w:rsidRPr="003003C0">
              <w:rPr>
                <w:rFonts w:cs="Calibri"/>
                <w:color w:val="000000"/>
                <w:sz w:val="15"/>
                <w:szCs w:val="15"/>
              </w:rPr>
              <w:t>/78/Rev.22, 10/2/2022</w:t>
            </w:r>
          </w:p>
        </w:tc>
      </w:tr>
      <w:tr w:rsidR="004F64EF" w:rsidRPr="003003C0" w14:paraId="311568D1" w14:textId="77777777" w:rsidTr="00BE2A9F">
        <w:trPr>
          <w:cnfStyle w:val="000000010000" w:firstRow="0" w:lastRow="0" w:firstColumn="0" w:lastColumn="0" w:oddVBand="0" w:evenVBand="0" w:oddHBand="0" w:evenHBand="1" w:firstRowFirstColumn="0" w:firstRowLastColumn="0" w:lastRowFirstColumn="0" w:lastRowLastColumn="0"/>
        </w:trPr>
        <w:tc>
          <w:tcPr>
            <w:tcW w:w="2263" w:type="dxa"/>
            <w:vMerge w:val="restart"/>
            <w:tcBorders>
              <w:top w:val="single" w:sz="4" w:space="0" w:color="auto"/>
              <w:bottom w:val="single" w:sz="4" w:space="0" w:color="auto"/>
            </w:tcBorders>
            <w:hideMark/>
          </w:tcPr>
          <w:p w14:paraId="4A702D43" w14:textId="77777777" w:rsidR="004F64EF" w:rsidRPr="003003C0" w:rsidRDefault="004F64EF" w:rsidP="00706642">
            <w:pPr>
              <w:jc w:val="left"/>
              <w:rPr>
                <w:rFonts w:cs="Calibri"/>
                <w:color w:val="000000"/>
                <w:sz w:val="15"/>
                <w:szCs w:val="15"/>
              </w:rPr>
            </w:pPr>
            <w:r w:rsidRPr="003003C0">
              <w:rPr>
                <w:rFonts w:cs="Calibri"/>
                <w:color w:val="000000"/>
                <w:sz w:val="15"/>
                <w:szCs w:val="15"/>
              </w:rPr>
              <w:t>Art</w:t>
            </w:r>
            <w:r>
              <w:rPr>
                <w:rFonts w:cs="Calibri"/>
                <w:color w:val="000000"/>
                <w:sz w:val="15"/>
                <w:szCs w:val="15"/>
              </w:rPr>
              <w:t>icle</w:t>
            </w:r>
            <w:r w:rsidRPr="003003C0">
              <w:rPr>
                <w:rFonts w:cs="Calibri"/>
                <w:color w:val="000000"/>
                <w:sz w:val="15"/>
                <w:szCs w:val="15"/>
              </w:rPr>
              <w:t xml:space="preserve"> V</w:t>
            </w:r>
            <w:r>
              <w:rPr>
                <w:rFonts w:cs="Calibri"/>
                <w:color w:val="000000"/>
                <w:sz w:val="15"/>
                <w:szCs w:val="15"/>
              </w:rPr>
              <w:t>:</w:t>
            </w:r>
            <w:r w:rsidRPr="003003C0">
              <w:rPr>
                <w:rFonts w:cs="Calibri"/>
                <w:color w:val="000000"/>
                <w:sz w:val="15"/>
                <w:szCs w:val="15"/>
              </w:rPr>
              <w:t>7</w:t>
            </w:r>
            <w:r>
              <w:rPr>
                <w:rFonts w:cs="Calibri"/>
                <w:color w:val="000000"/>
                <w:sz w:val="15"/>
                <w:szCs w:val="15"/>
              </w:rPr>
              <w:t>(</w:t>
            </w:r>
            <w:r w:rsidRPr="003003C0">
              <w:rPr>
                <w:rFonts w:cs="Calibri"/>
                <w:color w:val="000000"/>
                <w:sz w:val="15"/>
                <w:szCs w:val="15"/>
              </w:rPr>
              <w:t xml:space="preserve">a) </w:t>
            </w:r>
          </w:p>
        </w:tc>
        <w:tc>
          <w:tcPr>
            <w:tcW w:w="2512" w:type="dxa"/>
            <w:vMerge w:val="restart"/>
            <w:tcBorders>
              <w:top w:val="single" w:sz="4" w:space="0" w:color="auto"/>
              <w:bottom w:val="single" w:sz="4" w:space="0" w:color="auto"/>
            </w:tcBorders>
            <w:hideMark/>
          </w:tcPr>
          <w:p w14:paraId="4C853589" w14:textId="77777777" w:rsidR="004F64EF" w:rsidRPr="003003C0" w:rsidRDefault="004F64EF" w:rsidP="00706642">
            <w:pPr>
              <w:jc w:val="left"/>
              <w:rPr>
                <w:rFonts w:cs="Calibri"/>
                <w:color w:val="000000"/>
                <w:sz w:val="15"/>
                <w:szCs w:val="15"/>
              </w:rPr>
            </w:pPr>
            <w:r w:rsidRPr="00F2417E">
              <w:rPr>
                <w:rFonts w:cs="Calibri"/>
                <w:color w:val="000000"/>
                <w:sz w:val="15"/>
                <w:szCs w:val="15"/>
              </w:rPr>
              <w:t>Conclusion of, or accession to</w:t>
            </w:r>
            <w:r>
              <w:rPr>
                <w:rFonts w:cs="Calibri"/>
                <w:color w:val="000000"/>
                <w:sz w:val="15"/>
                <w:szCs w:val="15"/>
              </w:rPr>
              <w:t>,</w:t>
            </w:r>
            <w:r w:rsidRPr="00F2417E">
              <w:rPr>
                <w:rFonts w:cs="Calibri"/>
                <w:color w:val="000000"/>
                <w:sz w:val="15"/>
                <w:szCs w:val="15"/>
              </w:rPr>
              <w:t xml:space="preserve"> an Economic Integration Agreement</w:t>
            </w:r>
          </w:p>
        </w:tc>
        <w:tc>
          <w:tcPr>
            <w:tcW w:w="1741" w:type="dxa"/>
            <w:vMerge w:val="restart"/>
            <w:tcBorders>
              <w:top w:val="single" w:sz="4" w:space="0" w:color="auto"/>
              <w:bottom w:val="single" w:sz="4" w:space="0" w:color="auto"/>
            </w:tcBorders>
            <w:hideMark/>
          </w:tcPr>
          <w:p w14:paraId="2D63AC93" w14:textId="77777777" w:rsidR="004F64EF" w:rsidRPr="003003C0" w:rsidRDefault="004F64EF" w:rsidP="00706642">
            <w:pPr>
              <w:jc w:val="left"/>
              <w:rPr>
                <w:rFonts w:cs="Calibri"/>
                <w:color w:val="000000"/>
                <w:sz w:val="15"/>
                <w:szCs w:val="15"/>
              </w:rPr>
            </w:pPr>
            <w:r>
              <w:rPr>
                <w:rFonts w:cs="Calibri"/>
                <w:color w:val="000000"/>
                <w:sz w:val="15"/>
                <w:szCs w:val="15"/>
              </w:rPr>
              <w:t>Once only</w:t>
            </w:r>
          </w:p>
        </w:tc>
        <w:tc>
          <w:tcPr>
            <w:tcW w:w="2500" w:type="dxa"/>
            <w:tcBorders>
              <w:top w:val="single" w:sz="4" w:space="0" w:color="auto"/>
              <w:bottom w:val="single" w:sz="4" w:space="0" w:color="auto"/>
            </w:tcBorders>
            <w:hideMark/>
          </w:tcPr>
          <w:p w14:paraId="63E05B24" w14:textId="77777777" w:rsidR="004F64EF" w:rsidRPr="003003C0" w:rsidRDefault="004F64EF" w:rsidP="00706642">
            <w:pPr>
              <w:jc w:val="left"/>
              <w:rPr>
                <w:rFonts w:cs="Calibri"/>
                <w:color w:val="000000"/>
                <w:sz w:val="15"/>
                <w:szCs w:val="15"/>
              </w:rPr>
            </w:pPr>
            <w:r w:rsidRPr="003003C0">
              <w:rPr>
                <w:rFonts w:cs="Calibri"/>
                <w:color w:val="000000"/>
                <w:sz w:val="15"/>
                <w:szCs w:val="15"/>
              </w:rPr>
              <w:t>S/C/N/1060, 28/6/2021</w:t>
            </w:r>
          </w:p>
        </w:tc>
      </w:tr>
      <w:tr w:rsidR="004F64EF" w:rsidRPr="003003C0" w14:paraId="1B725ED9" w14:textId="77777777" w:rsidTr="00BE2A9F">
        <w:tc>
          <w:tcPr>
            <w:tcW w:w="2263" w:type="dxa"/>
            <w:vMerge/>
            <w:tcBorders>
              <w:top w:val="single" w:sz="4" w:space="0" w:color="auto"/>
              <w:bottom w:val="single" w:sz="4" w:space="0" w:color="auto"/>
            </w:tcBorders>
            <w:shd w:val="clear" w:color="auto" w:fill="C9DED4"/>
            <w:hideMark/>
          </w:tcPr>
          <w:p w14:paraId="1D62F39E" w14:textId="77777777" w:rsidR="004F64EF" w:rsidRPr="003003C0" w:rsidRDefault="004F64EF" w:rsidP="00706642">
            <w:pPr>
              <w:jc w:val="left"/>
              <w:rPr>
                <w:rFonts w:cs="Calibri"/>
                <w:color w:val="000000"/>
                <w:sz w:val="15"/>
                <w:szCs w:val="15"/>
              </w:rPr>
            </w:pPr>
          </w:p>
        </w:tc>
        <w:tc>
          <w:tcPr>
            <w:tcW w:w="2512" w:type="dxa"/>
            <w:vMerge/>
            <w:tcBorders>
              <w:top w:val="single" w:sz="4" w:space="0" w:color="auto"/>
              <w:bottom w:val="single" w:sz="4" w:space="0" w:color="auto"/>
            </w:tcBorders>
            <w:shd w:val="clear" w:color="auto" w:fill="C9DED4"/>
            <w:hideMark/>
          </w:tcPr>
          <w:p w14:paraId="7828B821" w14:textId="77777777" w:rsidR="004F64EF" w:rsidRPr="003003C0" w:rsidRDefault="004F64EF" w:rsidP="00706642">
            <w:pPr>
              <w:jc w:val="left"/>
              <w:rPr>
                <w:rFonts w:cs="Calibri"/>
                <w:color w:val="000000"/>
                <w:sz w:val="15"/>
                <w:szCs w:val="15"/>
              </w:rPr>
            </w:pPr>
          </w:p>
        </w:tc>
        <w:tc>
          <w:tcPr>
            <w:tcW w:w="1741" w:type="dxa"/>
            <w:vMerge/>
            <w:tcBorders>
              <w:top w:val="single" w:sz="4" w:space="0" w:color="auto"/>
              <w:bottom w:val="single" w:sz="4" w:space="0" w:color="auto"/>
            </w:tcBorders>
            <w:shd w:val="clear" w:color="auto" w:fill="C9DED4"/>
            <w:hideMark/>
          </w:tcPr>
          <w:p w14:paraId="4D2CD1FC" w14:textId="77777777" w:rsidR="004F64EF" w:rsidRPr="003003C0" w:rsidRDefault="004F64EF" w:rsidP="00706642">
            <w:pPr>
              <w:jc w:val="left"/>
              <w:rPr>
                <w:rFonts w:cs="Calibri"/>
                <w:color w:val="000000"/>
                <w:sz w:val="15"/>
                <w:szCs w:val="15"/>
              </w:rPr>
            </w:pPr>
          </w:p>
        </w:tc>
        <w:tc>
          <w:tcPr>
            <w:tcW w:w="2500" w:type="dxa"/>
            <w:tcBorders>
              <w:top w:val="single" w:sz="4" w:space="0" w:color="auto"/>
              <w:bottom w:val="single" w:sz="4" w:space="0" w:color="auto"/>
            </w:tcBorders>
            <w:shd w:val="clear" w:color="auto" w:fill="C9DED4"/>
            <w:hideMark/>
          </w:tcPr>
          <w:p w14:paraId="4B807E19" w14:textId="77777777" w:rsidR="004F64EF" w:rsidRPr="003003C0" w:rsidRDefault="004F64EF" w:rsidP="00706642">
            <w:pPr>
              <w:jc w:val="left"/>
              <w:rPr>
                <w:rFonts w:cs="Calibri"/>
                <w:color w:val="000000"/>
                <w:sz w:val="15"/>
                <w:szCs w:val="15"/>
              </w:rPr>
            </w:pPr>
            <w:r w:rsidRPr="003003C0">
              <w:rPr>
                <w:rFonts w:cs="Calibri"/>
                <w:color w:val="000000"/>
                <w:sz w:val="15"/>
                <w:szCs w:val="15"/>
              </w:rPr>
              <w:t>S/C/N/1017, 17/9/2020</w:t>
            </w:r>
          </w:p>
        </w:tc>
      </w:tr>
      <w:tr w:rsidR="004F64EF" w:rsidRPr="003003C0" w14:paraId="5282E647" w14:textId="77777777" w:rsidTr="00706642">
        <w:trPr>
          <w:cnfStyle w:val="000000010000" w:firstRow="0" w:lastRow="0" w:firstColumn="0" w:lastColumn="0" w:oddVBand="0" w:evenVBand="0" w:oddHBand="0" w:evenHBand="1" w:firstRowFirstColumn="0" w:firstRowLastColumn="0" w:lastRowFirstColumn="0" w:lastRowLastColumn="0"/>
        </w:trPr>
        <w:tc>
          <w:tcPr>
            <w:tcW w:w="0" w:type="auto"/>
            <w:gridSpan w:val="4"/>
            <w:tcBorders>
              <w:top w:val="single" w:sz="4" w:space="0" w:color="auto"/>
              <w:bottom w:val="single" w:sz="4" w:space="0" w:color="auto"/>
            </w:tcBorders>
            <w:shd w:val="clear" w:color="auto" w:fill="FFFFFF" w:themeFill="background1"/>
            <w:hideMark/>
          </w:tcPr>
          <w:p w14:paraId="0DAD758A" w14:textId="77777777" w:rsidR="004F64EF" w:rsidRPr="003003C0" w:rsidRDefault="004F64EF" w:rsidP="00706642">
            <w:pPr>
              <w:jc w:val="left"/>
              <w:rPr>
                <w:rFonts w:cs="Calibri"/>
                <w:b/>
                <w:bCs/>
                <w:color w:val="000000"/>
                <w:sz w:val="15"/>
                <w:szCs w:val="15"/>
              </w:rPr>
            </w:pPr>
            <w:r w:rsidRPr="00F2417E">
              <w:rPr>
                <w:rFonts w:cs="Calibri"/>
                <w:b/>
                <w:bCs/>
                <w:color w:val="000000"/>
                <w:sz w:val="15"/>
                <w:szCs w:val="15"/>
              </w:rPr>
              <w:t xml:space="preserve">Enabling Clause - </w:t>
            </w:r>
            <w:r>
              <w:rPr>
                <w:rFonts w:cs="Calibri"/>
                <w:b/>
                <w:bCs/>
                <w:color w:val="000000"/>
                <w:sz w:val="15"/>
                <w:szCs w:val="15"/>
              </w:rPr>
              <w:t>R</w:t>
            </w:r>
            <w:r w:rsidRPr="00F2417E">
              <w:rPr>
                <w:rFonts w:cs="Calibri"/>
                <w:b/>
                <w:bCs/>
                <w:color w:val="000000"/>
                <w:sz w:val="15"/>
                <w:szCs w:val="15"/>
              </w:rPr>
              <w:t>egional trade agreements</w:t>
            </w:r>
          </w:p>
        </w:tc>
      </w:tr>
      <w:tr w:rsidR="004F64EF" w:rsidRPr="003003C0" w14:paraId="5FFF9636" w14:textId="77777777" w:rsidTr="00BE2A9F">
        <w:tc>
          <w:tcPr>
            <w:tcW w:w="2263" w:type="dxa"/>
            <w:tcBorders>
              <w:top w:val="single" w:sz="4" w:space="0" w:color="auto"/>
              <w:bottom w:val="single" w:sz="4" w:space="0" w:color="auto"/>
            </w:tcBorders>
            <w:shd w:val="clear" w:color="auto" w:fill="C9DED4"/>
            <w:hideMark/>
          </w:tcPr>
          <w:p w14:paraId="02C92603" w14:textId="77777777" w:rsidR="004F64EF" w:rsidRPr="003003C0" w:rsidRDefault="004F64EF" w:rsidP="00706642">
            <w:pPr>
              <w:jc w:val="left"/>
              <w:rPr>
                <w:rFonts w:cs="Calibri"/>
                <w:sz w:val="15"/>
                <w:szCs w:val="15"/>
              </w:rPr>
            </w:pPr>
            <w:r w:rsidRPr="003003C0">
              <w:rPr>
                <w:rFonts w:cs="Calibri"/>
                <w:sz w:val="15"/>
                <w:szCs w:val="15"/>
              </w:rPr>
              <w:t>P</w:t>
            </w:r>
            <w:r>
              <w:rPr>
                <w:rFonts w:cs="Calibri"/>
                <w:sz w:val="15"/>
                <w:szCs w:val="15"/>
              </w:rPr>
              <w:t>aragraph</w:t>
            </w:r>
            <w:r w:rsidRPr="003003C0">
              <w:rPr>
                <w:rFonts w:cs="Calibri"/>
                <w:sz w:val="15"/>
                <w:szCs w:val="15"/>
              </w:rPr>
              <w:t xml:space="preserve"> 4</w:t>
            </w:r>
            <w:r>
              <w:rPr>
                <w:rFonts w:cs="Calibri"/>
                <w:sz w:val="15"/>
                <w:szCs w:val="15"/>
              </w:rPr>
              <w:t>(</w:t>
            </w:r>
            <w:r w:rsidRPr="003003C0">
              <w:rPr>
                <w:rFonts w:cs="Calibri"/>
                <w:sz w:val="15"/>
                <w:szCs w:val="15"/>
              </w:rPr>
              <w:t>a)</w:t>
            </w:r>
          </w:p>
        </w:tc>
        <w:tc>
          <w:tcPr>
            <w:tcW w:w="2512" w:type="dxa"/>
            <w:tcBorders>
              <w:top w:val="single" w:sz="4" w:space="0" w:color="auto"/>
              <w:bottom w:val="single" w:sz="4" w:space="0" w:color="auto"/>
            </w:tcBorders>
            <w:shd w:val="clear" w:color="auto" w:fill="C9DED4"/>
            <w:hideMark/>
          </w:tcPr>
          <w:p w14:paraId="79C3E9FF" w14:textId="77777777" w:rsidR="004F64EF" w:rsidRPr="003003C0" w:rsidRDefault="004F64EF" w:rsidP="00706642">
            <w:pPr>
              <w:jc w:val="left"/>
              <w:rPr>
                <w:rFonts w:cs="Calibri"/>
                <w:sz w:val="15"/>
                <w:szCs w:val="15"/>
              </w:rPr>
            </w:pPr>
            <w:r w:rsidRPr="00F2417E">
              <w:rPr>
                <w:rFonts w:cs="Calibri"/>
                <w:sz w:val="15"/>
                <w:szCs w:val="15"/>
              </w:rPr>
              <w:t>Regional trade agreement</w:t>
            </w:r>
          </w:p>
        </w:tc>
        <w:tc>
          <w:tcPr>
            <w:tcW w:w="1741" w:type="dxa"/>
            <w:tcBorders>
              <w:top w:val="single" w:sz="4" w:space="0" w:color="auto"/>
              <w:bottom w:val="single" w:sz="4" w:space="0" w:color="auto"/>
            </w:tcBorders>
            <w:shd w:val="clear" w:color="auto" w:fill="C9DED4"/>
            <w:hideMark/>
          </w:tcPr>
          <w:p w14:paraId="6BF4E295" w14:textId="77777777" w:rsidR="004F64EF" w:rsidRPr="003003C0" w:rsidRDefault="004F64EF" w:rsidP="00706642">
            <w:pPr>
              <w:jc w:val="left"/>
              <w:rPr>
                <w:rFonts w:cs="Calibri"/>
                <w:color w:val="000000"/>
                <w:sz w:val="15"/>
                <w:szCs w:val="15"/>
              </w:rPr>
            </w:pPr>
            <w:r w:rsidRPr="003003C0">
              <w:rPr>
                <w:rFonts w:cs="Calibri"/>
                <w:i/>
                <w:iCs/>
                <w:color w:val="000000"/>
                <w:sz w:val="15"/>
                <w:szCs w:val="15"/>
              </w:rPr>
              <w:t>Ad hoc</w:t>
            </w:r>
          </w:p>
        </w:tc>
        <w:tc>
          <w:tcPr>
            <w:tcW w:w="2500" w:type="dxa"/>
            <w:tcBorders>
              <w:top w:val="single" w:sz="4" w:space="0" w:color="auto"/>
              <w:bottom w:val="single" w:sz="4" w:space="0" w:color="auto"/>
            </w:tcBorders>
            <w:shd w:val="clear" w:color="auto" w:fill="C9DED4"/>
            <w:hideMark/>
          </w:tcPr>
          <w:p w14:paraId="2CA56424" w14:textId="77777777" w:rsidR="004F64EF" w:rsidRPr="003003C0" w:rsidRDefault="004F64EF" w:rsidP="00706642">
            <w:pPr>
              <w:jc w:val="left"/>
              <w:rPr>
                <w:rFonts w:cs="Calibri"/>
                <w:color w:val="000000"/>
                <w:sz w:val="15"/>
                <w:szCs w:val="15"/>
              </w:rPr>
            </w:pPr>
            <w:r w:rsidRPr="003003C0">
              <w:rPr>
                <w:rFonts w:cs="Calibri"/>
                <w:color w:val="000000"/>
                <w:sz w:val="15"/>
                <w:szCs w:val="15"/>
              </w:rPr>
              <w:t>WT/</w:t>
            </w:r>
            <w:proofErr w:type="spellStart"/>
            <w:r w:rsidRPr="003003C0">
              <w:rPr>
                <w:rFonts w:cs="Calibri"/>
                <w:color w:val="000000"/>
                <w:sz w:val="15"/>
                <w:szCs w:val="15"/>
              </w:rPr>
              <w:t>COMTD</w:t>
            </w:r>
            <w:proofErr w:type="spellEnd"/>
            <w:r w:rsidRPr="003003C0">
              <w:rPr>
                <w:rFonts w:cs="Calibri"/>
                <w:color w:val="000000"/>
                <w:sz w:val="15"/>
                <w:szCs w:val="15"/>
              </w:rPr>
              <w:t>/N/49, 21/3/2016</w:t>
            </w:r>
          </w:p>
        </w:tc>
      </w:tr>
      <w:tr w:rsidR="004F64EF" w:rsidRPr="003003C0" w14:paraId="0D659994" w14:textId="77777777" w:rsidTr="00706642">
        <w:trPr>
          <w:cnfStyle w:val="000000010000" w:firstRow="0" w:lastRow="0" w:firstColumn="0" w:lastColumn="0" w:oddVBand="0" w:evenVBand="0" w:oddHBand="0" w:evenHBand="1" w:firstRowFirstColumn="0" w:firstRowLastColumn="0" w:lastRowFirstColumn="0" w:lastRowLastColumn="0"/>
        </w:trPr>
        <w:tc>
          <w:tcPr>
            <w:tcW w:w="0" w:type="auto"/>
            <w:gridSpan w:val="4"/>
            <w:tcBorders>
              <w:top w:val="single" w:sz="4" w:space="0" w:color="auto"/>
              <w:bottom w:val="single" w:sz="4" w:space="0" w:color="auto"/>
            </w:tcBorders>
            <w:shd w:val="clear" w:color="auto" w:fill="FFFFFF" w:themeFill="background1"/>
            <w:hideMark/>
          </w:tcPr>
          <w:p w14:paraId="6B328D5A" w14:textId="77777777" w:rsidR="004F64EF" w:rsidRPr="003003C0" w:rsidRDefault="004F64EF" w:rsidP="00706642">
            <w:pPr>
              <w:jc w:val="left"/>
              <w:rPr>
                <w:rFonts w:cs="Calibri"/>
                <w:b/>
                <w:bCs/>
                <w:color w:val="000000"/>
                <w:sz w:val="15"/>
                <w:szCs w:val="15"/>
              </w:rPr>
            </w:pPr>
            <w:r w:rsidRPr="003003C0">
              <w:rPr>
                <w:rFonts w:cs="Calibri"/>
                <w:b/>
                <w:bCs/>
                <w:color w:val="000000"/>
                <w:sz w:val="15"/>
                <w:szCs w:val="15"/>
              </w:rPr>
              <w:t xml:space="preserve">GATT 1994 </w:t>
            </w:r>
          </w:p>
        </w:tc>
      </w:tr>
      <w:tr w:rsidR="004F64EF" w:rsidRPr="003003C0" w14:paraId="1E104FAC" w14:textId="77777777" w:rsidTr="00BE2A9F">
        <w:tc>
          <w:tcPr>
            <w:tcW w:w="2263" w:type="dxa"/>
            <w:tcBorders>
              <w:top w:val="single" w:sz="4" w:space="0" w:color="auto"/>
              <w:bottom w:val="single" w:sz="4" w:space="0" w:color="auto"/>
            </w:tcBorders>
            <w:shd w:val="clear" w:color="auto" w:fill="C9DED4"/>
          </w:tcPr>
          <w:p w14:paraId="0DC17B31" w14:textId="77777777" w:rsidR="004F64EF" w:rsidRPr="003003C0" w:rsidRDefault="004F64EF" w:rsidP="00706642">
            <w:pPr>
              <w:jc w:val="left"/>
              <w:rPr>
                <w:sz w:val="15"/>
                <w:szCs w:val="15"/>
              </w:rPr>
            </w:pPr>
            <w:r w:rsidRPr="003003C0">
              <w:rPr>
                <w:rFonts w:cs="Calibri"/>
                <w:color w:val="000000"/>
                <w:sz w:val="15"/>
                <w:szCs w:val="15"/>
              </w:rPr>
              <w:t>Art</w:t>
            </w:r>
            <w:r>
              <w:rPr>
                <w:rFonts w:cs="Calibri"/>
                <w:color w:val="000000"/>
                <w:sz w:val="15"/>
                <w:szCs w:val="15"/>
              </w:rPr>
              <w:t>icle</w:t>
            </w:r>
            <w:r w:rsidRPr="003003C0">
              <w:rPr>
                <w:rFonts w:cs="Calibri"/>
                <w:color w:val="000000"/>
                <w:sz w:val="15"/>
                <w:szCs w:val="15"/>
              </w:rPr>
              <w:t xml:space="preserve"> XVII</w:t>
            </w:r>
            <w:r>
              <w:rPr>
                <w:rFonts w:cs="Calibri"/>
                <w:color w:val="000000"/>
                <w:sz w:val="15"/>
                <w:szCs w:val="15"/>
              </w:rPr>
              <w:t>:</w:t>
            </w:r>
            <w:r w:rsidRPr="003003C0">
              <w:rPr>
                <w:rFonts w:cs="Calibri"/>
                <w:color w:val="000000"/>
                <w:sz w:val="15"/>
                <w:szCs w:val="15"/>
              </w:rPr>
              <w:t>4</w:t>
            </w:r>
            <w:r>
              <w:rPr>
                <w:rFonts w:cs="Calibri"/>
                <w:color w:val="000000"/>
                <w:sz w:val="15"/>
                <w:szCs w:val="15"/>
              </w:rPr>
              <w:t>(</w:t>
            </w:r>
            <w:r w:rsidRPr="003003C0">
              <w:rPr>
                <w:rFonts w:cs="Calibri"/>
                <w:color w:val="000000"/>
                <w:sz w:val="15"/>
                <w:szCs w:val="15"/>
              </w:rPr>
              <w:t xml:space="preserve">a) </w:t>
            </w:r>
            <w:r>
              <w:rPr>
                <w:rFonts w:cs="Calibri"/>
                <w:color w:val="000000"/>
                <w:sz w:val="15"/>
                <w:szCs w:val="15"/>
              </w:rPr>
              <w:t>and paragraph</w:t>
            </w:r>
            <w:r w:rsidRPr="003003C0">
              <w:rPr>
                <w:rFonts w:cs="Calibri"/>
                <w:color w:val="000000"/>
                <w:sz w:val="15"/>
                <w:szCs w:val="15"/>
              </w:rPr>
              <w:t xml:space="preserve"> </w:t>
            </w:r>
            <w:r w:rsidRPr="003003C0">
              <w:rPr>
                <w:sz w:val="15"/>
                <w:szCs w:val="15"/>
              </w:rPr>
              <w:t xml:space="preserve">1 </w:t>
            </w:r>
            <w:r>
              <w:rPr>
                <w:sz w:val="15"/>
                <w:szCs w:val="15"/>
              </w:rPr>
              <w:t>of the</w:t>
            </w:r>
            <w:r w:rsidRPr="003003C0">
              <w:rPr>
                <w:sz w:val="15"/>
                <w:szCs w:val="15"/>
              </w:rPr>
              <w:t xml:space="preserve"> </w:t>
            </w:r>
            <w:r w:rsidRPr="00F2417E">
              <w:rPr>
                <w:sz w:val="15"/>
                <w:szCs w:val="15"/>
              </w:rPr>
              <w:t>Understanding on the Interpretation of Article</w:t>
            </w:r>
            <w:r>
              <w:rPr>
                <w:sz w:val="15"/>
                <w:szCs w:val="15"/>
              </w:rPr>
              <w:t> </w:t>
            </w:r>
            <w:r w:rsidRPr="00F2417E">
              <w:rPr>
                <w:sz w:val="15"/>
                <w:szCs w:val="15"/>
              </w:rPr>
              <w:t>XVII</w:t>
            </w:r>
          </w:p>
        </w:tc>
        <w:tc>
          <w:tcPr>
            <w:tcW w:w="2512" w:type="dxa"/>
            <w:tcBorders>
              <w:top w:val="single" w:sz="4" w:space="0" w:color="auto"/>
              <w:bottom w:val="single" w:sz="4" w:space="0" w:color="auto"/>
            </w:tcBorders>
            <w:shd w:val="clear" w:color="auto" w:fill="C9DED4"/>
          </w:tcPr>
          <w:p w14:paraId="529FB1A9" w14:textId="77777777" w:rsidR="004F64EF" w:rsidRPr="003003C0" w:rsidRDefault="004F64EF" w:rsidP="00706642">
            <w:pPr>
              <w:jc w:val="left"/>
              <w:rPr>
                <w:rFonts w:cs="Calibri"/>
                <w:color w:val="000000"/>
                <w:sz w:val="15"/>
                <w:szCs w:val="15"/>
              </w:rPr>
            </w:pPr>
            <w:r w:rsidRPr="00F2417E">
              <w:rPr>
                <w:rFonts w:cs="Calibri"/>
                <w:color w:val="000000"/>
                <w:sz w:val="15"/>
                <w:szCs w:val="15"/>
              </w:rPr>
              <w:t>State</w:t>
            </w:r>
            <w:r>
              <w:rPr>
                <w:rFonts w:cs="Calibri"/>
                <w:color w:val="000000"/>
                <w:sz w:val="15"/>
                <w:szCs w:val="15"/>
              </w:rPr>
              <w:t xml:space="preserve"> </w:t>
            </w:r>
            <w:r w:rsidRPr="00F2417E">
              <w:rPr>
                <w:rFonts w:cs="Calibri"/>
                <w:color w:val="000000"/>
                <w:sz w:val="15"/>
                <w:szCs w:val="15"/>
              </w:rPr>
              <w:t>trading activities</w:t>
            </w:r>
          </w:p>
        </w:tc>
        <w:tc>
          <w:tcPr>
            <w:tcW w:w="1741" w:type="dxa"/>
            <w:tcBorders>
              <w:top w:val="single" w:sz="4" w:space="0" w:color="auto"/>
              <w:bottom w:val="single" w:sz="4" w:space="0" w:color="auto"/>
            </w:tcBorders>
            <w:shd w:val="clear" w:color="auto" w:fill="C9DED4"/>
          </w:tcPr>
          <w:p w14:paraId="536F7656" w14:textId="77777777" w:rsidR="004F64EF" w:rsidRPr="003003C0" w:rsidRDefault="004F64EF" w:rsidP="00706642">
            <w:pPr>
              <w:jc w:val="left"/>
              <w:rPr>
                <w:rFonts w:cs="Calibri"/>
                <w:color w:val="000000"/>
                <w:sz w:val="15"/>
                <w:szCs w:val="15"/>
              </w:rPr>
            </w:pPr>
            <w:r>
              <w:rPr>
                <w:rFonts w:cs="Calibri"/>
                <w:color w:val="000000"/>
                <w:sz w:val="15"/>
                <w:szCs w:val="15"/>
              </w:rPr>
              <w:t>Every two years</w:t>
            </w:r>
          </w:p>
        </w:tc>
        <w:tc>
          <w:tcPr>
            <w:tcW w:w="2500" w:type="dxa"/>
            <w:tcBorders>
              <w:top w:val="single" w:sz="4" w:space="0" w:color="auto"/>
              <w:bottom w:val="single" w:sz="4" w:space="0" w:color="auto"/>
            </w:tcBorders>
            <w:shd w:val="clear" w:color="auto" w:fill="C9DED4"/>
          </w:tcPr>
          <w:p w14:paraId="761BA831" w14:textId="77777777" w:rsidR="004F64EF" w:rsidRPr="003003C0" w:rsidRDefault="004F64EF" w:rsidP="00706642">
            <w:pPr>
              <w:jc w:val="left"/>
              <w:rPr>
                <w:rFonts w:cs="Calibri"/>
                <w:color w:val="000000"/>
                <w:sz w:val="15"/>
                <w:szCs w:val="15"/>
              </w:rPr>
            </w:pPr>
            <w:r w:rsidRPr="003003C0">
              <w:rPr>
                <w:rFonts w:cs="Calibri"/>
                <w:color w:val="000000"/>
                <w:sz w:val="15"/>
                <w:szCs w:val="15"/>
              </w:rPr>
              <w:t>G/STR/N/19/DOM, 9/8/2022</w:t>
            </w:r>
          </w:p>
        </w:tc>
      </w:tr>
      <w:tr w:rsidR="004F64EF" w:rsidRPr="003003C0" w14:paraId="1A3F6FB3" w14:textId="77777777" w:rsidTr="00BE2A9F">
        <w:trPr>
          <w:cnfStyle w:val="000000010000" w:firstRow="0" w:lastRow="0" w:firstColumn="0" w:lastColumn="0" w:oddVBand="0" w:evenVBand="0" w:oddHBand="0" w:evenHBand="1" w:firstRowFirstColumn="0" w:firstRowLastColumn="0" w:lastRowFirstColumn="0" w:lastRowLastColumn="0"/>
        </w:trPr>
        <w:tc>
          <w:tcPr>
            <w:tcW w:w="2263" w:type="dxa"/>
            <w:vMerge w:val="restart"/>
            <w:tcBorders>
              <w:top w:val="single" w:sz="4" w:space="0" w:color="auto"/>
              <w:bottom w:val="single" w:sz="4" w:space="0" w:color="auto"/>
            </w:tcBorders>
            <w:hideMark/>
          </w:tcPr>
          <w:p w14:paraId="72CD344D" w14:textId="77777777" w:rsidR="004F64EF" w:rsidRPr="003003C0" w:rsidRDefault="004F64EF" w:rsidP="00706642">
            <w:pPr>
              <w:jc w:val="left"/>
              <w:rPr>
                <w:rFonts w:cs="Calibri"/>
                <w:color w:val="000000"/>
                <w:sz w:val="15"/>
                <w:szCs w:val="15"/>
              </w:rPr>
            </w:pPr>
            <w:r w:rsidRPr="003003C0">
              <w:rPr>
                <w:rFonts w:cs="Calibri"/>
                <w:color w:val="000000"/>
                <w:sz w:val="15"/>
                <w:szCs w:val="15"/>
              </w:rPr>
              <w:t>Art</w:t>
            </w:r>
            <w:r>
              <w:rPr>
                <w:rFonts w:cs="Calibri"/>
                <w:color w:val="000000"/>
                <w:sz w:val="15"/>
                <w:szCs w:val="15"/>
              </w:rPr>
              <w:t>icle</w:t>
            </w:r>
            <w:r w:rsidRPr="003003C0">
              <w:rPr>
                <w:rFonts w:cs="Calibri"/>
                <w:color w:val="000000"/>
                <w:sz w:val="15"/>
                <w:szCs w:val="15"/>
              </w:rPr>
              <w:t xml:space="preserve"> XXVIII</w:t>
            </w:r>
            <w:r>
              <w:rPr>
                <w:rFonts w:cs="Calibri"/>
                <w:color w:val="000000"/>
                <w:sz w:val="15"/>
                <w:szCs w:val="15"/>
              </w:rPr>
              <w:t>:</w:t>
            </w:r>
            <w:r w:rsidRPr="003003C0">
              <w:rPr>
                <w:rFonts w:cs="Calibri"/>
                <w:color w:val="000000"/>
                <w:sz w:val="15"/>
                <w:szCs w:val="15"/>
              </w:rPr>
              <w:t>5</w:t>
            </w:r>
          </w:p>
        </w:tc>
        <w:tc>
          <w:tcPr>
            <w:tcW w:w="2512" w:type="dxa"/>
            <w:vMerge w:val="restart"/>
            <w:tcBorders>
              <w:top w:val="single" w:sz="4" w:space="0" w:color="auto"/>
              <w:bottom w:val="single" w:sz="4" w:space="0" w:color="auto"/>
            </w:tcBorders>
            <w:hideMark/>
          </w:tcPr>
          <w:p w14:paraId="455C5E5D" w14:textId="77777777" w:rsidR="004F64EF" w:rsidRPr="003003C0" w:rsidRDefault="004F64EF" w:rsidP="00706642">
            <w:pPr>
              <w:jc w:val="left"/>
              <w:rPr>
                <w:rFonts w:cs="Calibri"/>
                <w:color w:val="000000"/>
                <w:sz w:val="15"/>
                <w:szCs w:val="15"/>
              </w:rPr>
            </w:pPr>
            <w:r w:rsidRPr="00F2417E">
              <w:rPr>
                <w:rFonts w:cs="Calibri"/>
                <w:color w:val="000000"/>
                <w:sz w:val="15"/>
                <w:szCs w:val="15"/>
              </w:rPr>
              <w:t>Modification of schedules (reservation of the right to modify schedules during a three-year period)</w:t>
            </w:r>
          </w:p>
        </w:tc>
        <w:tc>
          <w:tcPr>
            <w:tcW w:w="1741" w:type="dxa"/>
            <w:vMerge w:val="restart"/>
            <w:tcBorders>
              <w:top w:val="single" w:sz="4" w:space="0" w:color="auto"/>
              <w:bottom w:val="single" w:sz="4" w:space="0" w:color="auto"/>
            </w:tcBorders>
            <w:hideMark/>
          </w:tcPr>
          <w:p w14:paraId="039D0150" w14:textId="77777777" w:rsidR="004F64EF" w:rsidRPr="003003C0" w:rsidRDefault="004F64EF" w:rsidP="00706642">
            <w:pPr>
              <w:jc w:val="left"/>
              <w:rPr>
                <w:rFonts w:cs="Calibri"/>
                <w:i/>
                <w:iCs/>
                <w:color w:val="000000"/>
                <w:sz w:val="15"/>
                <w:szCs w:val="15"/>
              </w:rPr>
            </w:pPr>
            <w:r w:rsidRPr="003003C0">
              <w:rPr>
                <w:rFonts w:cs="Calibri"/>
                <w:i/>
                <w:iCs/>
                <w:color w:val="000000"/>
                <w:sz w:val="15"/>
                <w:szCs w:val="15"/>
              </w:rPr>
              <w:t xml:space="preserve">Ad hoc </w:t>
            </w:r>
          </w:p>
        </w:tc>
        <w:tc>
          <w:tcPr>
            <w:tcW w:w="2500" w:type="dxa"/>
            <w:tcBorders>
              <w:top w:val="single" w:sz="4" w:space="0" w:color="auto"/>
              <w:bottom w:val="single" w:sz="4" w:space="0" w:color="auto"/>
            </w:tcBorders>
            <w:hideMark/>
          </w:tcPr>
          <w:p w14:paraId="39480047" w14:textId="77777777" w:rsidR="004F64EF" w:rsidRPr="003003C0" w:rsidRDefault="004F64EF" w:rsidP="00706642">
            <w:pPr>
              <w:jc w:val="left"/>
              <w:rPr>
                <w:rFonts w:cs="Calibri"/>
                <w:color w:val="000000"/>
                <w:sz w:val="15"/>
                <w:szCs w:val="15"/>
              </w:rPr>
            </w:pPr>
            <w:r w:rsidRPr="003003C0">
              <w:rPr>
                <w:rFonts w:cs="Calibri"/>
                <w:color w:val="000000"/>
                <w:sz w:val="15"/>
                <w:szCs w:val="15"/>
              </w:rPr>
              <w:t>G/MA/388, 26/11/2020</w:t>
            </w:r>
          </w:p>
        </w:tc>
      </w:tr>
      <w:tr w:rsidR="004F64EF" w:rsidRPr="003003C0" w14:paraId="36359F62" w14:textId="77777777" w:rsidTr="00BE2A9F">
        <w:tc>
          <w:tcPr>
            <w:tcW w:w="2263" w:type="dxa"/>
            <w:vMerge/>
            <w:tcBorders>
              <w:top w:val="single" w:sz="4" w:space="0" w:color="auto"/>
              <w:bottom w:val="single" w:sz="4" w:space="0" w:color="auto"/>
            </w:tcBorders>
            <w:shd w:val="clear" w:color="auto" w:fill="C9DED4"/>
            <w:hideMark/>
          </w:tcPr>
          <w:p w14:paraId="0EACD995" w14:textId="77777777" w:rsidR="004F64EF" w:rsidRPr="003003C0" w:rsidRDefault="004F64EF" w:rsidP="00706642">
            <w:pPr>
              <w:jc w:val="left"/>
              <w:rPr>
                <w:rFonts w:cs="Calibri"/>
                <w:color w:val="000000"/>
                <w:sz w:val="15"/>
                <w:szCs w:val="15"/>
              </w:rPr>
            </w:pPr>
          </w:p>
        </w:tc>
        <w:tc>
          <w:tcPr>
            <w:tcW w:w="2512" w:type="dxa"/>
            <w:vMerge/>
            <w:tcBorders>
              <w:top w:val="single" w:sz="4" w:space="0" w:color="auto"/>
              <w:bottom w:val="single" w:sz="4" w:space="0" w:color="auto"/>
            </w:tcBorders>
            <w:shd w:val="clear" w:color="auto" w:fill="C9DED4"/>
            <w:hideMark/>
          </w:tcPr>
          <w:p w14:paraId="1823DB69" w14:textId="77777777" w:rsidR="004F64EF" w:rsidRPr="003003C0" w:rsidRDefault="004F64EF" w:rsidP="00706642">
            <w:pPr>
              <w:jc w:val="left"/>
              <w:rPr>
                <w:rFonts w:cs="Calibri"/>
                <w:color w:val="000000"/>
                <w:sz w:val="15"/>
                <w:szCs w:val="15"/>
              </w:rPr>
            </w:pPr>
          </w:p>
        </w:tc>
        <w:tc>
          <w:tcPr>
            <w:tcW w:w="1741" w:type="dxa"/>
            <w:vMerge/>
            <w:tcBorders>
              <w:top w:val="single" w:sz="4" w:space="0" w:color="auto"/>
              <w:bottom w:val="single" w:sz="4" w:space="0" w:color="auto"/>
            </w:tcBorders>
            <w:shd w:val="clear" w:color="auto" w:fill="C9DED4"/>
            <w:hideMark/>
          </w:tcPr>
          <w:p w14:paraId="32A4FA0D" w14:textId="77777777" w:rsidR="004F64EF" w:rsidRPr="003003C0" w:rsidRDefault="004F64EF" w:rsidP="00706642">
            <w:pPr>
              <w:jc w:val="left"/>
              <w:rPr>
                <w:rFonts w:cs="Calibri"/>
                <w:i/>
                <w:iCs/>
                <w:color w:val="000000"/>
                <w:sz w:val="15"/>
                <w:szCs w:val="15"/>
              </w:rPr>
            </w:pPr>
          </w:p>
        </w:tc>
        <w:tc>
          <w:tcPr>
            <w:tcW w:w="2500" w:type="dxa"/>
            <w:tcBorders>
              <w:top w:val="single" w:sz="4" w:space="0" w:color="auto"/>
              <w:bottom w:val="single" w:sz="4" w:space="0" w:color="auto"/>
            </w:tcBorders>
            <w:shd w:val="clear" w:color="auto" w:fill="C9DED4"/>
            <w:hideMark/>
          </w:tcPr>
          <w:p w14:paraId="7E199352" w14:textId="77777777" w:rsidR="004F64EF" w:rsidRPr="003003C0" w:rsidRDefault="004F64EF" w:rsidP="00706642">
            <w:pPr>
              <w:jc w:val="left"/>
              <w:rPr>
                <w:rFonts w:cs="Calibri"/>
                <w:color w:val="000000"/>
                <w:sz w:val="15"/>
                <w:szCs w:val="15"/>
              </w:rPr>
            </w:pPr>
            <w:r w:rsidRPr="003003C0">
              <w:rPr>
                <w:rFonts w:cs="Calibri"/>
                <w:color w:val="000000"/>
                <w:sz w:val="15"/>
                <w:szCs w:val="15"/>
              </w:rPr>
              <w:t>G/MA/339, 12/9/2017</w:t>
            </w:r>
          </w:p>
        </w:tc>
      </w:tr>
      <w:tr w:rsidR="004F64EF" w:rsidRPr="003003C0" w14:paraId="4FCFED24" w14:textId="77777777" w:rsidTr="00BE2A9F">
        <w:trPr>
          <w:cnfStyle w:val="000000010000" w:firstRow="0" w:lastRow="0" w:firstColumn="0" w:lastColumn="0" w:oddVBand="0" w:evenVBand="0" w:oddHBand="0" w:evenHBand="1" w:firstRowFirstColumn="0" w:firstRowLastColumn="0" w:lastRowFirstColumn="0" w:lastRowLastColumn="0"/>
        </w:trPr>
        <w:tc>
          <w:tcPr>
            <w:tcW w:w="2263" w:type="dxa"/>
            <w:tcBorders>
              <w:top w:val="single" w:sz="4" w:space="0" w:color="auto"/>
              <w:bottom w:val="single" w:sz="4" w:space="0" w:color="auto"/>
            </w:tcBorders>
            <w:hideMark/>
          </w:tcPr>
          <w:p w14:paraId="42305056" w14:textId="77777777" w:rsidR="004F64EF" w:rsidRPr="003003C0" w:rsidRDefault="004F64EF" w:rsidP="00706642">
            <w:pPr>
              <w:jc w:val="left"/>
              <w:rPr>
                <w:rFonts w:cs="Calibri"/>
                <w:color w:val="000000"/>
                <w:sz w:val="15"/>
                <w:szCs w:val="15"/>
              </w:rPr>
            </w:pPr>
            <w:r w:rsidRPr="003003C0">
              <w:rPr>
                <w:rFonts w:cs="Calibri"/>
                <w:color w:val="000000"/>
                <w:sz w:val="15"/>
                <w:szCs w:val="15"/>
              </w:rPr>
              <w:t>Art</w:t>
            </w:r>
            <w:r>
              <w:rPr>
                <w:rFonts w:cs="Calibri"/>
                <w:color w:val="000000"/>
                <w:sz w:val="15"/>
                <w:szCs w:val="15"/>
              </w:rPr>
              <w:t>icle</w:t>
            </w:r>
            <w:r w:rsidRPr="003003C0">
              <w:rPr>
                <w:rFonts w:cs="Calibri"/>
                <w:color w:val="000000"/>
                <w:sz w:val="15"/>
                <w:szCs w:val="15"/>
              </w:rPr>
              <w:t xml:space="preserve"> XXIV</w:t>
            </w:r>
            <w:r>
              <w:rPr>
                <w:rFonts w:cs="Calibri"/>
                <w:color w:val="000000"/>
                <w:sz w:val="15"/>
                <w:szCs w:val="15"/>
              </w:rPr>
              <w:t>:</w:t>
            </w:r>
            <w:r w:rsidRPr="003003C0">
              <w:rPr>
                <w:rFonts w:cs="Calibri"/>
                <w:color w:val="000000"/>
                <w:sz w:val="15"/>
                <w:szCs w:val="15"/>
              </w:rPr>
              <w:t>7</w:t>
            </w:r>
            <w:r>
              <w:rPr>
                <w:rFonts w:cs="Calibri"/>
                <w:color w:val="000000"/>
                <w:sz w:val="15"/>
                <w:szCs w:val="15"/>
              </w:rPr>
              <w:t>(</w:t>
            </w:r>
            <w:r w:rsidRPr="003003C0">
              <w:rPr>
                <w:rFonts w:cs="Calibri"/>
                <w:color w:val="000000"/>
                <w:sz w:val="15"/>
                <w:szCs w:val="15"/>
              </w:rPr>
              <w:t xml:space="preserve">a) </w:t>
            </w:r>
          </w:p>
        </w:tc>
        <w:tc>
          <w:tcPr>
            <w:tcW w:w="2512" w:type="dxa"/>
            <w:tcBorders>
              <w:top w:val="single" w:sz="4" w:space="0" w:color="auto"/>
              <w:bottom w:val="single" w:sz="4" w:space="0" w:color="auto"/>
            </w:tcBorders>
            <w:hideMark/>
          </w:tcPr>
          <w:p w14:paraId="5286D5FF" w14:textId="77777777" w:rsidR="004F64EF" w:rsidRPr="003003C0" w:rsidRDefault="004F64EF" w:rsidP="00706642">
            <w:pPr>
              <w:jc w:val="left"/>
              <w:rPr>
                <w:rFonts w:cs="Calibri"/>
                <w:color w:val="000000"/>
                <w:sz w:val="15"/>
                <w:szCs w:val="15"/>
              </w:rPr>
            </w:pPr>
            <w:r w:rsidRPr="00F2417E">
              <w:rPr>
                <w:rFonts w:cs="Calibri"/>
                <w:color w:val="000000"/>
                <w:sz w:val="15"/>
                <w:szCs w:val="15"/>
              </w:rPr>
              <w:t>Formation of a free-trade area</w:t>
            </w:r>
          </w:p>
        </w:tc>
        <w:tc>
          <w:tcPr>
            <w:tcW w:w="1741" w:type="dxa"/>
            <w:tcBorders>
              <w:top w:val="single" w:sz="4" w:space="0" w:color="auto"/>
              <w:bottom w:val="single" w:sz="4" w:space="0" w:color="auto"/>
            </w:tcBorders>
            <w:hideMark/>
          </w:tcPr>
          <w:p w14:paraId="19CC80EA" w14:textId="77777777" w:rsidR="004F64EF" w:rsidRPr="003003C0" w:rsidRDefault="004F64EF" w:rsidP="00706642">
            <w:pPr>
              <w:jc w:val="left"/>
              <w:rPr>
                <w:rFonts w:cs="Calibri"/>
                <w:i/>
                <w:iCs/>
                <w:color w:val="000000"/>
                <w:sz w:val="15"/>
                <w:szCs w:val="15"/>
              </w:rPr>
            </w:pPr>
            <w:r w:rsidRPr="003003C0">
              <w:rPr>
                <w:rFonts w:cs="Calibri"/>
                <w:i/>
                <w:iCs/>
                <w:color w:val="000000"/>
                <w:sz w:val="15"/>
                <w:szCs w:val="15"/>
              </w:rPr>
              <w:t>Ad hoc</w:t>
            </w:r>
          </w:p>
        </w:tc>
        <w:tc>
          <w:tcPr>
            <w:tcW w:w="2500" w:type="dxa"/>
            <w:tcBorders>
              <w:top w:val="single" w:sz="4" w:space="0" w:color="auto"/>
              <w:bottom w:val="single" w:sz="4" w:space="0" w:color="auto"/>
            </w:tcBorders>
            <w:hideMark/>
          </w:tcPr>
          <w:p w14:paraId="557A4C5A" w14:textId="77777777" w:rsidR="004F64EF" w:rsidRPr="003003C0" w:rsidRDefault="004F64EF" w:rsidP="00706642">
            <w:pPr>
              <w:jc w:val="left"/>
              <w:rPr>
                <w:rFonts w:cs="Calibri"/>
                <w:color w:val="000000"/>
                <w:sz w:val="15"/>
                <w:szCs w:val="15"/>
              </w:rPr>
            </w:pPr>
            <w:r w:rsidRPr="003003C0">
              <w:rPr>
                <w:rFonts w:cs="Calibri"/>
                <w:color w:val="000000"/>
                <w:sz w:val="15"/>
                <w:szCs w:val="15"/>
              </w:rPr>
              <w:t>WT/REG420/N/1, 5/5/2021</w:t>
            </w:r>
          </w:p>
        </w:tc>
      </w:tr>
      <w:tr w:rsidR="004F64EF" w:rsidRPr="003003C0" w14:paraId="23925751" w14:textId="77777777" w:rsidTr="00706642">
        <w:tc>
          <w:tcPr>
            <w:tcW w:w="0" w:type="auto"/>
            <w:gridSpan w:val="4"/>
            <w:tcBorders>
              <w:top w:val="single" w:sz="4" w:space="0" w:color="auto"/>
              <w:bottom w:val="single" w:sz="4" w:space="0" w:color="auto"/>
            </w:tcBorders>
            <w:shd w:val="clear" w:color="auto" w:fill="FFFFFF" w:themeFill="background1"/>
            <w:hideMark/>
          </w:tcPr>
          <w:p w14:paraId="76C94CC0" w14:textId="77777777" w:rsidR="004F64EF" w:rsidRPr="00144EAF" w:rsidRDefault="004F64EF" w:rsidP="00706642">
            <w:pPr>
              <w:jc w:val="left"/>
              <w:rPr>
                <w:rFonts w:cs="Calibri"/>
                <w:b/>
                <w:bCs/>
                <w:color w:val="000000"/>
                <w:sz w:val="15"/>
                <w:szCs w:val="15"/>
                <w:lang w:val="en-US"/>
              </w:rPr>
            </w:pPr>
            <w:r w:rsidRPr="00144EAF">
              <w:rPr>
                <w:rFonts w:cs="Calibri"/>
                <w:b/>
                <w:bCs/>
                <w:color w:val="000000"/>
                <w:sz w:val="15"/>
                <w:szCs w:val="15"/>
                <w:lang w:val="en-US"/>
              </w:rPr>
              <w:t>Agreement on Implementation of Article VI of the </w:t>
            </w:r>
            <w:r w:rsidRPr="003003C0">
              <w:rPr>
                <w:rFonts w:cs="Calibri"/>
                <w:b/>
                <w:bCs/>
                <w:color w:val="000000"/>
                <w:sz w:val="15"/>
                <w:szCs w:val="15"/>
              </w:rPr>
              <w:t>GATT (anti</w:t>
            </w:r>
            <w:r>
              <w:rPr>
                <w:rFonts w:cs="Calibri"/>
                <w:b/>
                <w:bCs/>
                <w:color w:val="000000"/>
                <w:sz w:val="15"/>
                <w:szCs w:val="15"/>
              </w:rPr>
              <w:t>-</w:t>
            </w:r>
            <w:r w:rsidRPr="003003C0">
              <w:rPr>
                <w:rFonts w:cs="Calibri"/>
                <w:b/>
                <w:bCs/>
                <w:color w:val="000000"/>
                <w:sz w:val="15"/>
                <w:szCs w:val="15"/>
              </w:rPr>
              <w:t>dumping)</w:t>
            </w:r>
          </w:p>
        </w:tc>
      </w:tr>
      <w:tr w:rsidR="004F64EF" w:rsidRPr="003003C0" w14:paraId="318F8E8D" w14:textId="77777777" w:rsidTr="00BE2A9F">
        <w:trPr>
          <w:cnfStyle w:val="000000010000" w:firstRow="0" w:lastRow="0" w:firstColumn="0" w:lastColumn="0" w:oddVBand="0" w:evenVBand="0" w:oddHBand="0" w:evenHBand="1" w:firstRowFirstColumn="0" w:firstRowLastColumn="0" w:lastRowFirstColumn="0" w:lastRowLastColumn="0"/>
        </w:trPr>
        <w:tc>
          <w:tcPr>
            <w:tcW w:w="2263" w:type="dxa"/>
            <w:tcBorders>
              <w:top w:val="single" w:sz="4" w:space="0" w:color="auto"/>
              <w:bottom w:val="single" w:sz="4" w:space="0" w:color="auto"/>
            </w:tcBorders>
            <w:hideMark/>
          </w:tcPr>
          <w:p w14:paraId="402C71C1" w14:textId="77777777" w:rsidR="004F64EF" w:rsidRPr="003003C0" w:rsidRDefault="004F64EF" w:rsidP="00706642">
            <w:pPr>
              <w:jc w:val="left"/>
              <w:rPr>
                <w:rFonts w:cs="Calibri"/>
                <w:color w:val="000000"/>
                <w:sz w:val="15"/>
                <w:szCs w:val="15"/>
              </w:rPr>
            </w:pPr>
            <w:r w:rsidRPr="003003C0">
              <w:rPr>
                <w:rFonts w:cs="Calibri"/>
                <w:color w:val="000000"/>
                <w:sz w:val="15"/>
                <w:szCs w:val="15"/>
              </w:rPr>
              <w:t>Art</w:t>
            </w:r>
            <w:r>
              <w:rPr>
                <w:rFonts w:cs="Calibri"/>
                <w:color w:val="000000"/>
                <w:sz w:val="15"/>
                <w:szCs w:val="15"/>
              </w:rPr>
              <w:t>icle</w:t>
            </w:r>
            <w:r w:rsidRPr="003003C0">
              <w:rPr>
                <w:rFonts w:cs="Calibri"/>
                <w:color w:val="000000"/>
                <w:sz w:val="15"/>
                <w:szCs w:val="15"/>
              </w:rPr>
              <w:t xml:space="preserve"> 16.4 – </w:t>
            </w:r>
            <w:r w:rsidRPr="00C05A43">
              <w:rPr>
                <w:rFonts w:cs="Calibri"/>
                <w:i/>
                <w:iCs/>
                <w:color w:val="000000"/>
                <w:sz w:val="15"/>
                <w:szCs w:val="15"/>
              </w:rPr>
              <w:t>Ad hoc</w:t>
            </w:r>
            <w:r w:rsidRPr="00C05A43">
              <w:rPr>
                <w:rFonts w:cs="Calibri"/>
                <w:color w:val="000000"/>
                <w:sz w:val="15"/>
                <w:szCs w:val="15"/>
              </w:rPr>
              <w:t xml:space="preserve"> reports</w:t>
            </w:r>
          </w:p>
        </w:tc>
        <w:tc>
          <w:tcPr>
            <w:tcW w:w="2512" w:type="dxa"/>
            <w:tcBorders>
              <w:top w:val="single" w:sz="4" w:space="0" w:color="auto"/>
              <w:bottom w:val="single" w:sz="4" w:space="0" w:color="auto"/>
            </w:tcBorders>
            <w:hideMark/>
          </w:tcPr>
          <w:p w14:paraId="0414BCDA" w14:textId="77777777" w:rsidR="004F64EF" w:rsidRPr="003003C0" w:rsidRDefault="004F64EF" w:rsidP="00706642">
            <w:pPr>
              <w:jc w:val="left"/>
              <w:rPr>
                <w:rFonts w:cs="Calibri"/>
                <w:color w:val="000000"/>
                <w:sz w:val="15"/>
                <w:szCs w:val="15"/>
              </w:rPr>
            </w:pPr>
            <w:r w:rsidRPr="00C05A43">
              <w:rPr>
                <w:rFonts w:cs="Calibri"/>
                <w:color w:val="000000"/>
                <w:sz w:val="15"/>
                <w:szCs w:val="15"/>
              </w:rPr>
              <w:t>Anti-dumping actions (preliminary and final)</w:t>
            </w:r>
          </w:p>
        </w:tc>
        <w:tc>
          <w:tcPr>
            <w:tcW w:w="1741" w:type="dxa"/>
            <w:tcBorders>
              <w:top w:val="single" w:sz="4" w:space="0" w:color="auto"/>
              <w:bottom w:val="single" w:sz="4" w:space="0" w:color="auto"/>
            </w:tcBorders>
            <w:hideMark/>
          </w:tcPr>
          <w:p w14:paraId="2A9DB277" w14:textId="77777777" w:rsidR="004F64EF" w:rsidRPr="003003C0" w:rsidRDefault="004F64EF" w:rsidP="00706642">
            <w:pPr>
              <w:jc w:val="left"/>
              <w:rPr>
                <w:rFonts w:cs="Calibri"/>
                <w:color w:val="000000"/>
                <w:sz w:val="15"/>
                <w:szCs w:val="15"/>
              </w:rPr>
            </w:pPr>
            <w:r w:rsidRPr="003003C0">
              <w:rPr>
                <w:rFonts w:cs="Calibri"/>
                <w:i/>
                <w:iCs/>
                <w:color w:val="000000"/>
                <w:sz w:val="15"/>
                <w:szCs w:val="15"/>
              </w:rPr>
              <w:t>Ad hoc</w:t>
            </w:r>
          </w:p>
        </w:tc>
        <w:tc>
          <w:tcPr>
            <w:tcW w:w="2500" w:type="dxa"/>
            <w:tcBorders>
              <w:top w:val="single" w:sz="4" w:space="0" w:color="auto"/>
              <w:bottom w:val="single" w:sz="4" w:space="0" w:color="auto"/>
            </w:tcBorders>
            <w:hideMark/>
          </w:tcPr>
          <w:p w14:paraId="7ED44CB4" w14:textId="77777777" w:rsidR="004F64EF" w:rsidRPr="003003C0" w:rsidRDefault="004F64EF" w:rsidP="00706642">
            <w:pPr>
              <w:jc w:val="left"/>
              <w:rPr>
                <w:rFonts w:cs="Calibri"/>
                <w:color w:val="000000"/>
                <w:sz w:val="15"/>
                <w:szCs w:val="15"/>
              </w:rPr>
            </w:pPr>
            <w:r w:rsidRPr="003003C0">
              <w:rPr>
                <w:rFonts w:cs="Calibri"/>
                <w:color w:val="000000"/>
                <w:sz w:val="15"/>
                <w:szCs w:val="15"/>
              </w:rPr>
              <w:t>G/ADP/N/367, 15/3/2022 - G/ADP/N/282, 23/2/2016</w:t>
            </w:r>
          </w:p>
        </w:tc>
      </w:tr>
      <w:tr w:rsidR="004F64EF" w:rsidRPr="003003C0" w14:paraId="678958E3" w14:textId="77777777" w:rsidTr="00BE2A9F">
        <w:tc>
          <w:tcPr>
            <w:tcW w:w="2263" w:type="dxa"/>
            <w:tcBorders>
              <w:top w:val="single" w:sz="4" w:space="0" w:color="auto"/>
              <w:bottom w:val="single" w:sz="4" w:space="0" w:color="auto"/>
            </w:tcBorders>
            <w:shd w:val="clear" w:color="auto" w:fill="C9DED4"/>
            <w:hideMark/>
          </w:tcPr>
          <w:p w14:paraId="6B5C861F" w14:textId="77777777" w:rsidR="004F64EF" w:rsidRPr="003003C0" w:rsidRDefault="004F64EF" w:rsidP="00706642">
            <w:pPr>
              <w:jc w:val="left"/>
              <w:rPr>
                <w:rFonts w:cs="Calibri"/>
                <w:color w:val="000000"/>
                <w:sz w:val="15"/>
                <w:szCs w:val="15"/>
              </w:rPr>
            </w:pPr>
            <w:r w:rsidRPr="003003C0">
              <w:rPr>
                <w:rFonts w:cs="Calibri"/>
                <w:color w:val="000000"/>
                <w:sz w:val="15"/>
                <w:szCs w:val="15"/>
              </w:rPr>
              <w:t>Art</w:t>
            </w:r>
            <w:r>
              <w:rPr>
                <w:rFonts w:cs="Calibri"/>
                <w:color w:val="000000"/>
                <w:sz w:val="15"/>
                <w:szCs w:val="15"/>
              </w:rPr>
              <w:t>icle</w:t>
            </w:r>
            <w:r w:rsidRPr="003003C0">
              <w:rPr>
                <w:rFonts w:cs="Calibri"/>
                <w:color w:val="000000"/>
                <w:sz w:val="15"/>
                <w:szCs w:val="15"/>
              </w:rPr>
              <w:t xml:space="preserve"> 16.4 – </w:t>
            </w:r>
            <w:r w:rsidRPr="00C05A43">
              <w:rPr>
                <w:rFonts w:cs="Calibri"/>
                <w:color w:val="000000"/>
                <w:sz w:val="15"/>
                <w:szCs w:val="15"/>
              </w:rPr>
              <w:t>Semi-annual reports</w:t>
            </w:r>
          </w:p>
        </w:tc>
        <w:tc>
          <w:tcPr>
            <w:tcW w:w="2512" w:type="dxa"/>
            <w:tcBorders>
              <w:top w:val="single" w:sz="4" w:space="0" w:color="auto"/>
              <w:bottom w:val="single" w:sz="4" w:space="0" w:color="auto"/>
            </w:tcBorders>
            <w:shd w:val="clear" w:color="auto" w:fill="C9DED4"/>
            <w:hideMark/>
          </w:tcPr>
          <w:p w14:paraId="5792375D" w14:textId="77777777" w:rsidR="004F64EF" w:rsidRPr="003003C0" w:rsidRDefault="004F64EF" w:rsidP="00706642">
            <w:pPr>
              <w:jc w:val="left"/>
              <w:rPr>
                <w:rFonts w:cs="Calibri"/>
                <w:color w:val="000000"/>
                <w:sz w:val="15"/>
                <w:szCs w:val="15"/>
              </w:rPr>
            </w:pPr>
            <w:r w:rsidRPr="00C05A43">
              <w:rPr>
                <w:rFonts w:cs="Calibri"/>
                <w:color w:val="000000"/>
                <w:sz w:val="15"/>
                <w:szCs w:val="15"/>
              </w:rPr>
              <w:t>Anti-dumping actions (taken within the preceding six months)</w:t>
            </w:r>
          </w:p>
        </w:tc>
        <w:tc>
          <w:tcPr>
            <w:tcW w:w="1741" w:type="dxa"/>
            <w:tcBorders>
              <w:top w:val="single" w:sz="4" w:space="0" w:color="auto"/>
              <w:bottom w:val="single" w:sz="4" w:space="0" w:color="auto"/>
            </w:tcBorders>
            <w:shd w:val="clear" w:color="auto" w:fill="C9DED4"/>
            <w:hideMark/>
          </w:tcPr>
          <w:p w14:paraId="1F62DE67" w14:textId="77777777" w:rsidR="004F64EF" w:rsidRPr="003003C0" w:rsidRDefault="004F64EF" w:rsidP="00706642">
            <w:pPr>
              <w:jc w:val="left"/>
              <w:rPr>
                <w:rFonts w:cs="Calibri"/>
                <w:color w:val="000000"/>
                <w:sz w:val="15"/>
                <w:szCs w:val="15"/>
              </w:rPr>
            </w:pPr>
            <w:r w:rsidRPr="00692F51">
              <w:rPr>
                <w:rFonts w:cs="Calibri"/>
                <w:color w:val="000000"/>
                <w:sz w:val="15"/>
                <w:szCs w:val="15"/>
                <w:lang w:val="en"/>
              </w:rPr>
              <w:t>On a semi-annual basis</w:t>
            </w:r>
          </w:p>
        </w:tc>
        <w:tc>
          <w:tcPr>
            <w:tcW w:w="2500" w:type="dxa"/>
            <w:tcBorders>
              <w:top w:val="single" w:sz="4" w:space="0" w:color="auto"/>
              <w:bottom w:val="single" w:sz="4" w:space="0" w:color="auto"/>
            </w:tcBorders>
            <w:shd w:val="clear" w:color="auto" w:fill="C9DED4"/>
            <w:hideMark/>
          </w:tcPr>
          <w:p w14:paraId="2EFAD34F" w14:textId="77777777" w:rsidR="004F64EF" w:rsidRPr="003003C0" w:rsidRDefault="004F64EF" w:rsidP="00706642">
            <w:pPr>
              <w:jc w:val="left"/>
              <w:rPr>
                <w:rFonts w:cs="Calibri"/>
                <w:color w:val="000000"/>
                <w:sz w:val="15"/>
                <w:szCs w:val="15"/>
              </w:rPr>
            </w:pPr>
            <w:r w:rsidRPr="003003C0">
              <w:rPr>
                <w:rFonts w:cs="Calibri"/>
                <w:color w:val="000000"/>
                <w:sz w:val="15"/>
                <w:szCs w:val="15"/>
              </w:rPr>
              <w:t>G/ADP/N/370/DOM, 24/8/2022</w:t>
            </w:r>
          </w:p>
        </w:tc>
      </w:tr>
      <w:tr w:rsidR="004F64EF" w:rsidRPr="003003C0" w14:paraId="49349C42" w14:textId="77777777" w:rsidTr="00706642">
        <w:trPr>
          <w:cnfStyle w:val="000000010000" w:firstRow="0" w:lastRow="0" w:firstColumn="0" w:lastColumn="0" w:oddVBand="0" w:evenVBand="0" w:oddHBand="0" w:evenHBand="1" w:firstRowFirstColumn="0" w:firstRowLastColumn="0" w:lastRowFirstColumn="0" w:lastRowLastColumn="0"/>
        </w:trPr>
        <w:tc>
          <w:tcPr>
            <w:tcW w:w="0" w:type="auto"/>
            <w:gridSpan w:val="4"/>
            <w:tcBorders>
              <w:top w:val="single" w:sz="4" w:space="0" w:color="auto"/>
              <w:bottom w:val="single" w:sz="4" w:space="0" w:color="auto"/>
            </w:tcBorders>
            <w:shd w:val="clear" w:color="auto" w:fill="FFFFFF" w:themeFill="background1"/>
            <w:hideMark/>
          </w:tcPr>
          <w:p w14:paraId="1B23D87B" w14:textId="77777777" w:rsidR="004F64EF" w:rsidRPr="003003C0" w:rsidRDefault="004F64EF" w:rsidP="00706642">
            <w:pPr>
              <w:jc w:val="left"/>
              <w:rPr>
                <w:rFonts w:cs="Calibri"/>
                <w:b/>
                <w:bCs/>
                <w:color w:val="000000"/>
                <w:sz w:val="15"/>
                <w:szCs w:val="15"/>
              </w:rPr>
            </w:pPr>
            <w:r w:rsidRPr="00222A56">
              <w:rPr>
                <w:rFonts w:cs="Calibri"/>
                <w:b/>
                <w:bCs/>
                <w:color w:val="000000"/>
                <w:sz w:val="15"/>
                <w:szCs w:val="15"/>
              </w:rPr>
              <w:t xml:space="preserve">Agreement on Implementation of Article VII of the </w:t>
            </w:r>
            <w:r w:rsidRPr="003003C0">
              <w:rPr>
                <w:rFonts w:cs="Calibri"/>
                <w:b/>
                <w:bCs/>
                <w:color w:val="000000"/>
                <w:sz w:val="15"/>
                <w:szCs w:val="15"/>
              </w:rPr>
              <w:t>GATT (</w:t>
            </w:r>
            <w:r>
              <w:rPr>
                <w:rFonts w:cs="Calibri"/>
                <w:b/>
                <w:bCs/>
                <w:color w:val="000000"/>
                <w:sz w:val="15"/>
                <w:szCs w:val="15"/>
              </w:rPr>
              <w:t>customs valuation</w:t>
            </w:r>
            <w:r w:rsidRPr="003003C0">
              <w:rPr>
                <w:rFonts w:cs="Calibri"/>
                <w:b/>
                <w:bCs/>
                <w:color w:val="000000"/>
                <w:sz w:val="15"/>
                <w:szCs w:val="15"/>
              </w:rPr>
              <w:t>)</w:t>
            </w:r>
          </w:p>
        </w:tc>
      </w:tr>
      <w:tr w:rsidR="004F64EF" w:rsidRPr="003003C0" w14:paraId="63C436AA" w14:textId="77777777" w:rsidTr="00BE2A9F">
        <w:tc>
          <w:tcPr>
            <w:tcW w:w="2263" w:type="dxa"/>
            <w:tcBorders>
              <w:top w:val="single" w:sz="4" w:space="0" w:color="auto"/>
              <w:bottom w:val="single" w:sz="4" w:space="0" w:color="auto"/>
            </w:tcBorders>
            <w:shd w:val="clear" w:color="auto" w:fill="C9DED4"/>
            <w:hideMark/>
          </w:tcPr>
          <w:p w14:paraId="025B64F3" w14:textId="77777777" w:rsidR="004F64EF" w:rsidRPr="003003C0" w:rsidRDefault="004F64EF" w:rsidP="00706642">
            <w:pPr>
              <w:jc w:val="left"/>
              <w:rPr>
                <w:rFonts w:cs="Calibri"/>
                <w:color w:val="000000"/>
                <w:sz w:val="15"/>
                <w:szCs w:val="15"/>
              </w:rPr>
            </w:pPr>
            <w:r w:rsidRPr="003003C0">
              <w:rPr>
                <w:rFonts w:cs="Calibri"/>
                <w:color w:val="000000"/>
                <w:sz w:val="15"/>
                <w:szCs w:val="15"/>
              </w:rPr>
              <w:t>Art</w:t>
            </w:r>
            <w:r>
              <w:rPr>
                <w:rFonts w:cs="Calibri"/>
                <w:color w:val="000000"/>
                <w:sz w:val="15"/>
                <w:szCs w:val="15"/>
              </w:rPr>
              <w:t>icle</w:t>
            </w:r>
            <w:r w:rsidRPr="003003C0">
              <w:rPr>
                <w:rFonts w:cs="Calibri"/>
                <w:color w:val="000000"/>
                <w:sz w:val="15"/>
                <w:szCs w:val="15"/>
              </w:rPr>
              <w:t xml:space="preserve"> 22.2</w:t>
            </w:r>
          </w:p>
        </w:tc>
        <w:tc>
          <w:tcPr>
            <w:tcW w:w="2512" w:type="dxa"/>
            <w:tcBorders>
              <w:top w:val="single" w:sz="4" w:space="0" w:color="auto"/>
              <w:bottom w:val="single" w:sz="4" w:space="0" w:color="auto"/>
            </w:tcBorders>
            <w:shd w:val="clear" w:color="auto" w:fill="C9DED4"/>
            <w:hideMark/>
          </w:tcPr>
          <w:p w14:paraId="073C7102" w14:textId="77777777" w:rsidR="004F64EF" w:rsidRPr="003003C0" w:rsidRDefault="004F64EF" w:rsidP="00706642">
            <w:pPr>
              <w:jc w:val="left"/>
              <w:rPr>
                <w:rFonts w:cs="Calibri"/>
                <w:color w:val="000000"/>
                <w:sz w:val="15"/>
                <w:szCs w:val="15"/>
              </w:rPr>
            </w:pPr>
            <w:r>
              <w:rPr>
                <w:rFonts w:cs="Calibri"/>
                <w:color w:val="000000"/>
                <w:sz w:val="15"/>
                <w:szCs w:val="15"/>
              </w:rPr>
              <w:t>C</w:t>
            </w:r>
            <w:r w:rsidRPr="00222A56">
              <w:rPr>
                <w:rFonts w:cs="Calibri"/>
                <w:color w:val="000000"/>
                <w:sz w:val="15"/>
                <w:szCs w:val="15"/>
              </w:rPr>
              <w:t>hanges in laws and regulatio</w:t>
            </w:r>
            <w:r>
              <w:rPr>
                <w:rFonts w:cs="Calibri"/>
                <w:color w:val="000000"/>
                <w:sz w:val="15"/>
                <w:szCs w:val="15"/>
              </w:rPr>
              <w:t>ns</w:t>
            </w:r>
          </w:p>
        </w:tc>
        <w:tc>
          <w:tcPr>
            <w:tcW w:w="1741" w:type="dxa"/>
            <w:tcBorders>
              <w:top w:val="single" w:sz="4" w:space="0" w:color="auto"/>
              <w:bottom w:val="single" w:sz="4" w:space="0" w:color="auto"/>
            </w:tcBorders>
            <w:shd w:val="clear" w:color="auto" w:fill="C9DED4"/>
            <w:hideMark/>
          </w:tcPr>
          <w:p w14:paraId="34C80C15" w14:textId="77777777" w:rsidR="004F64EF" w:rsidRPr="003003C0" w:rsidRDefault="004F64EF" w:rsidP="00706642">
            <w:pPr>
              <w:jc w:val="left"/>
              <w:rPr>
                <w:rFonts w:cs="Calibri"/>
                <w:i/>
                <w:iCs/>
                <w:color w:val="000000"/>
                <w:sz w:val="15"/>
                <w:szCs w:val="15"/>
              </w:rPr>
            </w:pPr>
            <w:r w:rsidRPr="003003C0">
              <w:rPr>
                <w:rFonts w:cs="Calibri"/>
                <w:i/>
                <w:iCs/>
                <w:color w:val="000000"/>
                <w:sz w:val="15"/>
                <w:szCs w:val="15"/>
              </w:rPr>
              <w:t>Ad hoc</w:t>
            </w:r>
          </w:p>
        </w:tc>
        <w:tc>
          <w:tcPr>
            <w:tcW w:w="2500" w:type="dxa"/>
            <w:tcBorders>
              <w:top w:val="single" w:sz="4" w:space="0" w:color="auto"/>
              <w:bottom w:val="single" w:sz="4" w:space="0" w:color="auto"/>
            </w:tcBorders>
            <w:shd w:val="clear" w:color="auto" w:fill="C9DED4"/>
            <w:hideMark/>
          </w:tcPr>
          <w:p w14:paraId="79844E7E" w14:textId="77777777" w:rsidR="004F64EF" w:rsidRPr="003003C0" w:rsidRDefault="004F64EF" w:rsidP="00706642">
            <w:pPr>
              <w:jc w:val="left"/>
              <w:rPr>
                <w:rFonts w:cs="Calibri"/>
                <w:color w:val="000000"/>
                <w:sz w:val="15"/>
                <w:szCs w:val="15"/>
              </w:rPr>
            </w:pPr>
            <w:r w:rsidRPr="003003C0">
              <w:rPr>
                <w:rFonts w:cs="Calibri"/>
                <w:color w:val="000000"/>
                <w:sz w:val="15"/>
                <w:szCs w:val="15"/>
              </w:rPr>
              <w:t>G/VAL/N/1/DOM/2, 16/10/2019</w:t>
            </w:r>
          </w:p>
        </w:tc>
      </w:tr>
      <w:tr w:rsidR="004F64EF" w:rsidRPr="003003C0" w14:paraId="45EB0C0E" w14:textId="77777777" w:rsidTr="00BE2A9F">
        <w:trPr>
          <w:cnfStyle w:val="000000010000" w:firstRow="0" w:lastRow="0" w:firstColumn="0" w:lastColumn="0" w:oddVBand="0" w:evenVBand="0" w:oddHBand="0" w:evenHBand="1" w:firstRowFirstColumn="0" w:firstRowLastColumn="0" w:lastRowFirstColumn="0" w:lastRowLastColumn="0"/>
        </w:trPr>
        <w:tc>
          <w:tcPr>
            <w:tcW w:w="2263" w:type="dxa"/>
            <w:tcBorders>
              <w:top w:val="single" w:sz="4" w:space="0" w:color="auto"/>
              <w:bottom w:val="single" w:sz="4" w:space="0" w:color="auto"/>
            </w:tcBorders>
            <w:hideMark/>
          </w:tcPr>
          <w:p w14:paraId="7971F5CA" w14:textId="77777777" w:rsidR="004F64EF" w:rsidRPr="003003C0" w:rsidRDefault="004F64EF" w:rsidP="00706642">
            <w:pPr>
              <w:jc w:val="left"/>
              <w:rPr>
                <w:rFonts w:cs="Calibri"/>
                <w:color w:val="000000"/>
                <w:sz w:val="15"/>
                <w:szCs w:val="15"/>
              </w:rPr>
            </w:pPr>
            <w:r>
              <w:rPr>
                <w:rFonts w:cs="Calibri"/>
                <w:color w:val="000000"/>
                <w:sz w:val="15"/>
                <w:szCs w:val="15"/>
              </w:rPr>
              <w:t>Checklist of issues</w:t>
            </w:r>
            <w:r w:rsidRPr="003003C0">
              <w:rPr>
                <w:rFonts w:cs="Calibri"/>
                <w:color w:val="000000"/>
                <w:sz w:val="15"/>
                <w:szCs w:val="15"/>
              </w:rPr>
              <w:t xml:space="preserve"> (G/VAL/5)</w:t>
            </w:r>
          </w:p>
        </w:tc>
        <w:tc>
          <w:tcPr>
            <w:tcW w:w="2512" w:type="dxa"/>
            <w:tcBorders>
              <w:top w:val="single" w:sz="4" w:space="0" w:color="auto"/>
              <w:bottom w:val="single" w:sz="4" w:space="0" w:color="auto"/>
            </w:tcBorders>
            <w:hideMark/>
          </w:tcPr>
          <w:p w14:paraId="23EF4504" w14:textId="77777777" w:rsidR="004F64EF" w:rsidRPr="003003C0" w:rsidRDefault="004F64EF" w:rsidP="00706642">
            <w:pPr>
              <w:jc w:val="left"/>
              <w:rPr>
                <w:rFonts w:cs="Calibri"/>
                <w:color w:val="000000"/>
                <w:sz w:val="15"/>
                <w:szCs w:val="15"/>
              </w:rPr>
            </w:pPr>
            <w:r>
              <w:rPr>
                <w:rFonts w:cs="Calibri"/>
                <w:color w:val="000000"/>
                <w:sz w:val="15"/>
                <w:szCs w:val="15"/>
              </w:rPr>
              <w:t>Responses to the checklist of issues</w:t>
            </w:r>
          </w:p>
        </w:tc>
        <w:tc>
          <w:tcPr>
            <w:tcW w:w="1741" w:type="dxa"/>
            <w:tcBorders>
              <w:top w:val="single" w:sz="4" w:space="0" w:color="auto"/>
              <w:bottom w:val="single" w:sz="4" w:space="0" w:color="auto"/>
            </w:tcBorders>
            <w:hideMark/>
          </w:tcPr>
          <w:p w14:paraId="2D375D08" w14:textId="77777777" w:rsidR="004F64EF" w:rsidRPr="003003C0" w:rsidRDefault="004F64EF" w:rsidP="00706642">
            <w:pPr>
              <w:jc w:val="left"/>
              <w:rPr>
                <w:rFonts w:cs="Calibri"/>
                <w:color w:val="000000"/>
                <w:sz w:val="15"/>
                <w:szCs w:val="15"/>
              </w:rPr>
            </w:pPr>
            <w:r>
              <w:rPr>
                <w:rFonts w:cs="Calibri"/>
                <w:color w:val="000000"/>
                <w:sz w:val="15"/>
                <w:szCs w:val="15"/>
              </w:rPr>
              <w:t>Once only</w:t>
            </w:r>
            <w:r w:rsidRPr="003003C0">
              <w:rPr>
                <w:rFonts w:cs="Calibri"/>
                <w:color w:val="000000"/>
                <w:sz w:val="15"/>
                <w:szCs w:val="15"/>
              </w:rPr>
              <w:t xml:space="preserve"> </w:t>
            </w:r>
          </w:p>
        </w:tc>
        <w:tc>
          <w:tcPr>
            <w:tcW w:w="2500" w:type="dxa"/>
            <w:tcBorders>
              <w:top w:val="single" w:sz="4" w:space="0" w:color="auto"/>
              <w:bottom w:val="single" w:sz="4" w:space="0" w:color="auto"/>
            </w:tcBorders>
            <w:hideMark/>
          </w:tcPr>
          <w:p w14:paraId="3FF8C6AF" w14:textId="77777777" w:rsidR="004F64EF" w:rsidRPr="003003C0" w:rsidRDefault="004F64EF" w:rsidP="00706642">
            <w:pPr>
              <w:jc w:val="left"/>
              <w:rPr>
                <w:rFonts w:cs="Calibri"/>
                <w:color w:val="000000"/>
                <w:sz w:val="15"/>
                <w:szCs w:val="15"/>
              </w:rPr>
            </w:pPr>
            <w:r w:rsidRPr="003003C0">
              <w:rPr>
                <w:rFonts w:cs="Calibri"/>
                <w:color w:val="000000"/>
                <w:sz w:val="15"/>
                <w:szCs w:val="15"/>
              </w:rPr>
              <w:t>G/VAL/N/2/DOM/1, 20/12/2019</w:t>
            </w:r>
          </w:p>
        </w:tc>
      </w:tr>
      <w:tr w:rsidR="004F64EF" w:rsidRPr="003003C0" w14:paraId="0688A794" w14:textId="77777777" w:rsidTr="00706642">
        <w:tc>
          <w:tcPr>
            <w:tcW w:w="0" w:type="auto"/>
            <w:gridSpan w:val="4"/>
            <w:tcBorders>
              <w:top w:val="single" w:sz="4" w:space="0" w:color="auto"/>
              <w:bottom w:val="single" w:sz="4" w:space="0" w:color="auto"/>
            </w:tcBorders>
            <w:shd w:val="clear" w:color="auto" w:fill="FFFFFF" w:themeFill="background1"/>
            <w:hideMark/>
          </w:tcPr>
          <w:p w14:paraId="653A3ED0" w14:textId="77777777" w:rsidR="004F64EF" w:rsidRPr="003003C0" w:rsidRDefault="004F64EF" w:rsidP="00706642">
            <w:pPr>
              <w:jc w:val="left"/>
              <w:rPr>
                <w:rFonts w:cs="Calibri"/>
                <w:b/>
                <w:bCs/>
                <w:color w:val="000000"/>
                <w:sz w:val="15"/>
                <w:szCs w:val="15"/>
              </w:rPr>
            </w:pPr>
            <w:r w:rsidRPr="00A97A92">
              <w:rPr>
                <w:rFonts w:cs="Calibri"/>
                <w:b/>
                <w:bCs/>
                <w:color w:val="000000"/>
                <w:sz w:val="15"/>
                <w:szCs w:val="15"/>
              </w:rPr>
              <w:t>Agreement on Import Licensing Procedures</w:t>
            </w:r>
          </w:p>
        </w:tc>
      </w:tr>
      <w:tr w:rsidR="004F64EF" w:rsidRPr="003003C0" w14:paraId="6D58EC2E" w14:textId="77777777" w:rsidTr="00BE2A9F">
        <w:trPr>
          <w:cnfStyle w:val="000000010000" w:firstRow="0" w:lastRow="0" w:firstColumn="0" w:lastColumn="0" w:oddVBand="0" w:evenVBand="0" w:oddHBand="0" w:evenHBand="1" w:firstRowFirstColumn="0" w:firstRowLastColumn="0" w:lastRowFirstColumn="0" w:lastRowLastColumn="0"/>
        </w:trPr>
        <w:tc>
          <w:tcPr>
            <w:tcW w:w="2263" w:type="dxa"/>
            <w:tcBorders>
              <w:top w:val="single" w:sz="4" w:space="0" w:color="auto"/>
              <w:bottom w:val="single" w:sz="4" w:space="0" w:color="auto"/>
            </w:tcBorders>
            <w:hideMark/>
          </w:tcPr>
          <w:p w14:paraId="43918F77" w14:textId="77777777" w:rsidR="004F64EF" w:rsidRPr="003003C0" w:rsidRDefault="004F64EF" w:rsidP="00706642">
            <w:pPr>
              <w:jc w:val="left"/>
              <w:rPr>
                <w:rFonts w:cs="Calibri"/>
                <w:color w:val="000000"/>
                <w:sz w:val="15"/>
                <w:szCs w:val="15"/>
              </w:rPr>
            </w:pPr>
            <w:r w:rsidRPr="003003C0">
              <w:rPr>
                <w:rFonts w:cs="Calibri"/>
                <w:color w:val="000000"/>
                <w:sz w:val="15"/>
                <w:szCs w:val="15"/>
              </w:rPr>
              <w:t>Art</w:t>
            </w:r>
            <w:r>
              <w:rPr>
                <w:rFonts w:cs="Calibri"/>
                <w:color w:val="000000"/>
                <w:sz w:val="15"/>
                <w:szCs w:val="15"/>
              </w:rPr>
              <w:t>icle</w:t>
            </w:r>
            <w:r w:rsidRPr="003003C0">
              <w:rPr>
                <w:rFonts w:cs="Calibri"/>
                <w:color w:val="000000"/>
                <w:sz w:val="15"/>
                <w:szCs w:val="15"/>
              </w:rPr>
              <w:t xml:space="preserve"> 7.3</w:t>
            </w:r>
          </w:p>
        </w:tc>
        <w:tc>
          <w:tcPr>
            <w:tcW w:w="2512" w:type="dxa"/>
            <w:tcBorders>
              <w:top w:val="single" w:sz="4" w:space="0" w:color="auto"/>
              <w:bottom w:val="single" w:sz="4" w:space="0" w:color="auto"/>
            </w:tcBorders>
            <w:hideMark/>
          </w:tcPr>
          <w:p w14:paraId="423992A2" w14:textId="77777777" w:rsidR="004F64EF" w:rsidRPr="003003C0" w:rsidRDefault="004F64EF" w:rsidP="00706642">
            <w:pPr>
              <w:jc w:val="left"/>
              <w:rPr>
                <w:rFonts w:cs="Calibri"/>
                <w:color w:val="000000"/>
                <w:sz w:val="15"/>
                <w:szCs w:val="15"/>
              </w:rPr>
            </w:pPr>
            <w:r w:rsidRPr="00A97A92">
              <w:rPr>
                <w:rFonts w:cs="Calibri"/>
                <w:color w:val="000000"/>
                <w:sz w:val="15"/>
                <w:szCs w:val="15"/>
              </w:rPr>
              <w:t>Repl</w:t>
            </w:r>
            <w:r>
              <w:rPr>
                <w:rFonts w:cs="Calibri"/>
                <w:color w:val="000000"/>
                <w:sz w:val="15"/>
                <w:szCs w:val="15"/>
              </w:rPr>
              <w:t>ies</w:t>
            </w:r>
            <w:r w:rsidRPr="00A97A92">
              <w:rPr>
                <w:rFonts w:cs="Calibri"/>
                <w:color w:val="000000"/>
                <w:sz w:val="15"/>
                <w:szCs w:val="15"/>
              </w:rPr>
              <w:t xml:space="preserve"> to the </w:t>
            </w:r>
            <w:r>
              <w:rPr>
                <w:rFonts w:cs="Calibri"/>
                <w:color w:val="000000"/>
                <w:sz w:val="15"/>
                <w:szCs w:val="15"/>
              </w:rPr>
              <w:t>annual q</w:t>
            </w:r>
            <w:r w:rsidRPr="00A97A92">
              <w:rPr>
                <w:rFonts w:cs="Calibri"/>
                <w:color w:val="000000"/>
                <w:sz w:val="15"/>
                <w:szCs w:val="15"/>
              </w:rPr>
              <w:t xml:space="preserve">uestionnaire on </w:t>
            </w:r>
            <w:r>
              <w:rPr>
                <w:rFonts w:cs="Calibri"/>
                <w:color w:val="000000"/>
                <w:sz w:val="15"/>
                <w:szCs w:val="15"/>
              </w:rPr>
              <w:t>i</w:t>
            </w:r>
            <w:r w:rsidRPr="00A97A92">
              <w:rPr>
                <w:rFonts w:cs="Calibri"/>
                <w:color w:val="000000"/>
                <w:sz w:val="15"/>
                <w:szCs w:val="15"/>
              </w:rPr>
              <w:t xml:space="preserve">mport </w:t>
            </w:r>
            <w:r>
              <w:rPr>
                <w:rFonts w:cs="Calibri"/>
                <w:color w:val="000000"/>
                <w:sz w:val="15"/>
                <w:szCs w:val="15"/>
              </w:rPr>
              <w:t>l</w:t>
            </w:r>
            <w:r w:rsidRPr="00A97A92">
              <w:rPr>
                <w:rFonts w:cs="Calibri"/>
                <w:color w:val="000000"/>
                <w:sz w:val="15"/>
                <w:szCs w:val="15"/>
              </w:rPr>
              <w:t xml:space="preserve">icensing </w:t>
            </w:r>
            <w:r>
              <w:rPr>
                <w:rFonts w:cs="Calibri"/>
                <w:color w:val="000000"/>
                <w:sz w:val="15"/>
                <w:szCs w:val="15"/>
              </w:rPr>
              <w:t>p</w:t>
            </w:r>
            <w:r w:rsidRPr="00A97A92">
              <w:rPr>
                <w:rFonts w:cs="Calibri"/>
                <w:color w:val="000000"/>
                <w:sz w:val="15"/>
                <w:szCs w:val="15"/>
              </w:rPr>
              <w:t>rocedures</w:t>
            </w:r>
          </w:p>
        </w:tc>
        <w:tc>
          <w:tcPr>
            <w:tcW w:w="1741" w:type="dxa"/>
            <w:tcBorders>
              <w:top w:val="single" w:sz="4" w:space="0" w:color="auto"/>
              <w:bottom w:val="single" w:sz="4" w:space="0" w:color="auto"/>
            </w:tcBorders>
            <w:hideMark/>
          </w:tcPr>
          <w:p w14:paraId="35BB38DA" w14:textId="77777777" w:rsidR="004F64EF" w:rsidRPr="003003C0" w:rsidRDefault="004F64EF" w:rsidP="00706642">
            <w:pPr>
              <w:jc w:val="left"/>
              <w:rPr>
                <w:rFonts w:cs="Calibri"/>
                <w:color w:val="000000"/>
                <w:sz w:val="15"/>
                <w:szCs w:val="15"/>
              </w:rPr>
            </w:pPr>
            <w:r>
              <w:rPr>
                <w:rFonts w:cs="Calibri"/>
                <w:color w:val="000000"/>
                <w:sz w:val="15"/>
                <w:szCs w:val="15"/>
              </w:rPr>
              <w:t>On an annual basis</w:t>
            </w:r>
          </w:p>
        </w:tc>
        <w:tc>
          <w:tcPr>
            <w:tcW w:w="2500" w:type="dxa"/>
            <w:tcBorders>
              <w:top w:val="single" w:sz="4" w:space="0" w:color="auto"/>
              <w:bottom w:val="single" w:sz="4" w:space="0" w:color="auto"/>
            </w:tcBorders>
            <w:hideMark/>
          </w:tcPr>
          <w:p w14:paraId="6A80E187" w14:textId="77777777" w:rsidR="004F64EF" w:rsidRPr="003003C0" w:rsidRDefault="004F64EF" w:rsidP="00706642">
            <w:pPr>
              <w:jc w:val="left"/>
              <w:rPr>
                <w:rFonts w:cs="Calibri"/>
                <w:color w:val="000000"/>
                <w:sz w:val="15"/>
                <w:szCs w:val="15"/>
              </w:rPr>
            </w:pPr>
            <w:r w:rsidRPr="003003C0">
              <w:rPr>
                <w:rFonts w:cs="Calibri"/>
                <w:color w:val="000000"/>
                <w:sz w:val="15"/>
                <w:szCs w:val="15"/>
              </w:rPr>
              <w:t>G/LIC/N/3/DOM/8, 2/2/2016</w:t>
            </w:r>
          </w:p>
        </w:tc>
      </w:tr>
      <w:tr w:rsidR="004F64EF" w:rsidRPr="003003C0" w14:paraId="77AE6104" w14:textId="77777777" w:rsidTr="00706642">
        <w:tc>
          <w:tcPr>
            <w:tcW w:w="0" w:type="auto"/>
            <w:gridSpan w:val="4"/>
            <w:tcBorders>
              <w:top w:val="single" w:sz="4" w:space="0" w:color="auto"/>
              <w:bottom w:val="single" w:sz="4" w:space="0" w:color="auto"/>
            </w:tcBorders>
            <w:shd w:val="clear" w:color="auto" w:fill="FFFFFF" w:themeFill="background1"/>
            <w:hideMark/>
          </w:tcPr>
          <w:p w14:paraId="07698F62" w14:textId="77777777" w:rsidR="004F64EF" w:rsidRPr="003003C0" w:rsidRDefault="004F64EF" w:rsidP="00706642">
            <w:pPr>
              <w:jc w:val="left"/>
              <w:rPr>
                <w:rFonts w:cs="Calibri"/>
                <w:b/>
                <w:bCs/>
                <w:color w:val="000000"/>
                <w:sz w:val="15"/>
                <w:szCs w:val="15"/>
              </w:rPr>
            </w:pPr>
            <w:r>
              <w:rPr>
                <w:rFonts w:cs="Calibri"/>
                <w:b/>
                <w:bCs/>
                <w:color w:val="000000"/>
                <w:sz w:val="15"/>
                <w:szCs w:val="15"/>
              </w:rPr>
              <w:t>Agreement on the Application of Sanitary and Phytosanitary Measures</w:t>
            </w:r>
          </w:p>
        </w:tc>
      </w:tr>
      <w:tr w:rsidR="004F64EF" w:rsidRPr="003003C0" w14:paraId="7F28E7BF" w14:textId="77777777" w:rsidTr="00BE2A9F">
        <w:trPr>
          <w:cnfStyle w:val="000000010000" w:firstRow="0" w:lastRow="0" w:firstColumn="0" w:lastColumn="0" w:oddVBand="0" w:evenVBand="0" w:oddHBand="0" w:evenHBand="1" w:firstRowFirstColumn="0" w:firstRowLastColumn="0" w:lastRowFirstColumn="0" w:lastRowLastColumn="0"/>
        </w:trPr>
        <w:tc>
          <w:tcPr>
            <w:tcW w:w="2263" w:type="dxa"/>
            <w:tcBorders>
              <w:top w:val="single" w:sz="4" w:space="0" w:color="auto"/>
              <w:bottom w:val="single" w:sz="4" w:space="0" w:color="auto"/>
            </w:tcBorders>
            <w:hideMark/>
          </w:tcPr>
          <w:p w14:paraId="77CCBC0E" w14:textId="77777777" w:rsidR="004F64EF" w:rsidRPr="003003C0" w:rsidRDefault="004F64EF" w:rsidP="00706642">
            <w:pPr>
              <w:jc w:val="left"/>
              <w:rPr>
                <w:rFonts w:cs="Calibri"/>
                <w:color w:val="000000"/>
                <w:sz w:val="15"/>
                <w:szCs w:val="15"/>
              </w:rPr>
            </w:pPr>
            <w:r w:rsidRPr="003003C0">
              <w:rPr>
                <w:rFonts w:cs="Calibri"/>
                <w:color w:val="000000"/>
                <w:sz w:val="15"/>
                <w:szCs w:val="15"/>
              </w:rPr>
              <w:t>Art</w:t>
            </w:r>
            <w:r>
              <w:rPr>
                <w:rFonts w:cs="Calibri"/>
                <w:color w:val="000000"/>
                <w:sz w:val="15"/>
                <w:szCs w:val="15"/>
              </w:rPr>
              <w:t>icle</w:t>
            </w:r>
            <w:r w:rsidRPr="003003C0">
              <w:rPr>
                <w:rFonts w:cs="Calibri"/>
                <w:color w:val="000000"/>
                <w:sz w:val="15"/>
                <w:szCs w:val="15"/>
              </w:rPr>
              <w:t xml:space="preserve"> 7, An</w:t>
            </w:r>
            <w:r>
              <w:rPr>
                <w:rFonts w:cs="Calibri"/>
                <w:color w:val="000000"/>
                <w:sz w:val="15"/>
                <w:szCs w:val="15"/>
              </w:rPr>
              <w:t>nex</w:t>
            </w:r>
            <w:r w:rsidRPr="003003C0">
              <w:rPr>
                <w:rFonts w:cs="Calibri"/>
                <w:color w:val="000000"/>
                <w:sz w:val="15"/>
                <w:szCs w:val="15"/>
              </w:rPr>
              <w:t xml:space="preserve"> B</w:t>
            </w:r>
          </w:p>
        </w:tc>
        <w:tc>
          <w:tcPr>
            <w:tcW w:w="2512" w:type="dxa"/>
            <w:tcBorders>
              <w:top w:val="single" w:sz="4" w:space="0" w:color="auto"/>
              <w:bottom w:val="single" w:sz="4" w:space="0" w:color="auto"/>
            </w:tcBorders>
            <w:hideMark/>
          </w:tcPr>
          <w:p w14:paraId="04574A9E" w14:textId="77777777" w:rsidR="004F64EF" w:rsidRPr="003003C0" w:rsidRDefault="004F64EF" w:rsidP="00706642">
            <w:pPr>
              <w:jc w:val="left"/>
              <w:rPr>
                <w:rFonts w:cs="Calibri"/>
                <w:color w:val="000000"/>
                <w:sz w:val="15"/>
                <w:szCs w:val="15"/>
              </w:rPr>
            </w:pPr>
            <w:r w:rsidRPr="00AC7D04">
              <w:rPr>
                <w:rFonts w:cs="Calibri"/>
                <w:color w:val="000000"/>
                <w:sz w:val="15"/>
                <w:szCs w:val="15"/>
              </w:rPr>
              <w:t>Sanitary/phytosanitary regulations</w:t>
            </w:r>
          </w:p>
        </w:tc>
        <w:tc>
          <w:tcPr>
            <w:tcW w:w="1741" w:type="dxa"/>
            <w:tcBorders>
              <w:top w:val="single" w:sz="4" w:space="0" w:color="auto"/>
              <w:bottom w:val="single" w:sz="4" w:space="0" w:color="auto"/>
            </w:tcBorders>
            <w:hideMark/>
          </w:tcPr>
          <w:p w14:paraId="23D647AC" w14:textId="77777777" w:rsidR="004F64EF" w:rsidRPr="003003C0" w:rsidRDefault="004F64EF" w:rsidP="00706642">
            <w:pPr>
              <w:jc w:val="left"/>
              <w:rPr>
                <w:rFonts w:cs="Calibri"/>
                <w:color w:val="000000"/>
                <w:sz w:val="15"/>
                <w:szCs w:val="15"/>
              </w:rPr>
            </w:pPr>
            <w:r w:rsidRPr="003003C0">
              <w:rPr>
                <w:rFonts w:cs="Calibri"/>
                <w:i/>
                <w:iCs/>
                <w:color w:val="000000"/>
                <w:sz w:val="15"/>
                <w:szCs w:val="15"/>
              </w:rPr>
              <w:t>Ad hoc</w:t>
            </w:r>
          </w:p>
        </w:tc>
        <w:tc>
          <w:tcPr>
            <w:tcW w:w="2500" w:type="dxa"/>
            <w:tcBorders>
              <w:top w:val="single" w:sz="4" w:space="0" w:color="auto"/>
              <w:bottom w:val="single" w:sz="4" w:space="0" w:color="auto"/>
            </w:tcBorders>
            <w:hideMark/>
          </w:tcPr>
          <w:p w14:paraId="6E8854C4" w14:textId="77777777" w:rsidR="004F64EF" w:rsidRPr="003003C0" w:rsidRDefault="004F64EF" w:rsidP="00706642">
            <w:pPr>
              <w:jc w:val="left"/>
              <w:rPr>
                <w:rFonts w:cs="Calibri"/>
                <w:color w:val="000000"/>
                <w:sz w:val="15"/>
                <w:szCs w:val="15"/>
              </w:rPr>
            </w:pPr>
            <w:r w:rsidRPr="003003C0">
              <w:rPr>
                <w:rFonts w:cs="Calibri"/>
                <w:color w:val="000000"/>
                <w:sz w:val="15"/>
                <w:szCs w:val="15"/>
              </w:rPr>
              <w:t>G/SPS/N/DOM/72, 13/8/2019 - G/SPS/N/DOM/59/Add.1, 2/2/2015</w:t>
            </w:r>
          </w:p>
        </w:tc>
      </w:tr>
      <w:tr w:rsidR="004F64EF" w:rsidRPr="003003C0" w14:paraId="0B61BF23" w14:textId="77777777" w:rsidTr="00706642">
        <w:tc>
          <w:tcPr>
            <w:tcW w:w="0" w:type="auto"/>
            <w:gridSpan w:val="4"/>
            <w:tcBorders>
              <w:top w:val="single" w:sz="4" w:space="0" w:color="auto"/>
              <w:bottom w:val="single" w:sz="4" w:space="0" w:color="auto"/>
            </w:tcBorders>
            <w:shd w:val="clear" w:color="auto" w:fill="FFFFFF" w:themeFill="background1"/>
            <w:hideMark/>
          </w:tcPr>
          <w:p w14:paraId="5F4F9707" w14:textId="77777777" w:rsidR="004F64EF" w:rsidRPr="003003C0" w:rsidRDefault="004F64EF" w:rsidP="00706642">
            <w:pPr>
              <w:jc w:val="left"/>
              <w:rPr>
                <w:rFonts w:cs="Calibri"/>
                <w:b/>
                <w:bCs/>
                <w:color w:val="000000"/>
                <w:sz w:val="15"/>
                <w:szCs w:val="15"/>
              </w:rPr>
            </w:pPr>
            <w:r>
              <w:rPr>
                <w:rFonts w:cs="Calibri"/>
                <w:b/>
                <w:bCs/>
                <w:color w:val="000000"/>
                <w:sz w:val="15"/>
                <w:szCs w:val="15"/>
              </w:rPr>
              <w:t>Agreement on Trade Facilitation</w:t>
            </w:r>
            <w:r w:rsidRPr="003003C0">
              <w:rPr>
                <w:rFonts w:cs="Calibri"/>
                <w:b/>
                <w:bCs/>
                <w:color w:val="000000"/>
                <w:sz w:val="15"/>
                <w:szCs w:val="15"/>
              </w:rPr>
              <w:t xml:space="preserve"> </w:t>
            </w:r>
          </w:p>
        </w:tc>
      </w:tr>
      <w:tr w:rsidR="004F64EF" w:rsidRPr="003003C0" w14:paraId="07801D8B" w14:textId="77777777" w:rsidTr="00BE2A9F">
        <w:trPr>
          <w:cnfStyle w:val="000000010000" w:firstRow="0" w:lastRow="0" w:firstColumn="0" w:lastColumn="0" w:oddVBand="0" w:evenVBand="0" w:oddHBand="0" w:evenHBand="1" w:firstRowFirstColumn="0" w:firstRowLastColumn="0" w:lastRowFirstColumn="0" w:lastRowLastColumn="0"/>
        </w:trPr>
        <w:tc>
          <w:tcPr>
            <w:tcW w:w="2263" w:type="dxa"/>
            <w:tcBorders>
              <w:top w:val="single" w:sz="4" w:space="0" w:color="auto"/>
              <w:bottom w:val="single" w:sz="4" w:space="0" w:color="auto"/>
            </w:tcBorders>
            <w:hideMark/>
          </w:tcPr>
          <w:p w14:paraId="3FEE6227" w14:textId="77777777" w:rsidR="004F64EF" w:rsidRPr="003003C0" w:rsidRDefault="004F64EF" w:rsidP="00706642">
            <w:pPr>
              <w:jc w:val="left"/>
              <w:rPr>
                <w:rFonts w:cs="Calibri"/>
                <w:color w:val="000000"/>
                <w:sz w:val="15"/>
                <w:szCs w:val="15"/>
              </w:rPr>
            </w:pPr>
            <w:r w:rsidRPr="003003C0">
              <w:rPr>
                <w:rFonts w:cs="Calibri"/>
                <w:color w:val="000000"/>
                <w:sz w:val="15"/>
                <w:szCs w:val="15"/>
              </w:rPr>
              <w:t>Art</w:t>
            </w:r>
            <w:r>
              <w:rPr>
                <w:rFonts w:cs="Calibri"/>
                <w:color w:val="000000"/>
                <w:sz w:val="15"/>
                <w:szCs w:val="15"/>
              </w:rPr>
              <w:t>icles</w:t>
            </w:r>
            <w:r w:rsidRPr="003003C0">
              <w:rPr>
                <w:rFonts w:cs="Calibri"/>
                <w:color w:val="000000"/>
                <w:sz w:val="15"/>
                <w:szCs w:val="15"/>
              </w:rPr>
              <w:t xml:space="preserve"> 15 </w:t>
            </w:r>
            <w:r>
              <w:rPr>
                <w:rFonts w:cs="Calibri"/>
                <w:color w:val="000000"/>
                <w:sz w:val="15"/>
                <w:szCs w:val="15"/>
              </w:rPr>
              <w:t>and</w:t>
            </w:r>
            <w:r w:rsidRPr="003003C0">
              <w:rPr>
                <w:rFonts w:cs="Calibri"/>
                <w:color w:val="000000"/>
                <w:sz w:val="15"/>
                <w:szCs w:val="15"/>
              </w:rPr>
              <w:t xml:space="preserve"> 16</w:t>
            </w:r>
          </w:p>
        </w:tc>
        <w:tc>
          <w:tcPr>
            <w:tcW w:w="2512" w:type="dxa"/>
            <w:tcBorders>
              <w:top w:val="single" w:sz="4" w:space="0" w:color="auto"/>
              <w:bottom w:val="single" w:sz="4" w:space="0" w:color="auto"/>
            </w:tcBorders>
            <w:hideMark/>
          </w:tcPr>
          <w:p w14:paraId="3738541A" w14:textId="77777777" w:rsidR="004F64EF" w:rsidRPr="003003C0" w:rsidRDefault="004F64EF" w:rsidP="00706642">
            <w:pPr>
              <w:jc w:val="left"/>
              <w:rPr>
                <w:rFonts w:cs="Calibri"/>
                <w:color w:val="000000"/>
                <w:sz w:val="15"/>
                <w:szCs w:val="15"/>
              </w:rPr>
            </w:pPr>
            <w:r>
              <w:rPr>
                <w:rFonts w:cs="Calibri"/>
                <w:color w:val="000000"/>
                <w:sz w:val="15"/>
                <w:szCs w:val="15"/>
              </w:rPr>
              <w:t>Category designation</w:t>
            </w:r>
            <w:r w:rsidRPr="003003C0">
              <w:rPr>
                <w:rFonts w:cs="Calibri"/>
                <w:color w:val="000000"/>
                <w:sz w:val="15"/>
                <w:szCs w:val="15"/>
              </w:rPr>
              <w:t xml:space="preserve"> </w:t>
            </w:r>
          </w:p>
        </w:tc>
        <w:tc>
          <w:tcPr>
            <w:tcW w:w="1741" w:type="dxa"/>
            <w:tcBorders>
              <w:top w:val="single" w:sz="4" w:space="0" w:color="auto"/>
              <w:bottom w:val="single" w:sz="4" w:space="0" w:color="auto"/>
            </w:tcBorders>
            <w:hideMark/>
          </w:tcPr>
          <w:p w14:paraId="06FF2C6F" w14:textId="77777777" w:rsidR="004F64EF" w:rsidRPr="003003C0" w:rsidRDefault="004F64EF" w:rsidP="00706642">
            <w:pPr>
              <w:jc w:val="left"/>
              <w:rPr>
                <w:rFonts w:cs="Calibri"/>
                <w:color w:val="000000"/>
                <w:sz w:val="15"/>
                <w:szCs w:val="15"/>
              </w:rPr>
            </w:pPr>
            <w:r>
              <w:rPr>
                <w:rFonts w:cs="Calibri"/>
                <w:color w:val="000000"/>
                <w:sz w:val="15"/>
                <w:szCs w:val="15"/>
              </w:rPr>
              <w:t>Once only</w:t>
            </w:r>
          </w:p>
        </w:tc>
        <w:tc>
          <w:tcPr>
            <w:tcW w:w="2500" w:type="dxa"/>
            <w:tcBorders>
              <w:top w:val="single" w:sz="4" w:space="0" w:color="auto"/>
              <w:bottom w:val="single" w:sz="4" w:space="0" w:color="auto"/>
            </w:tcBorders>
            <w:hideMark/>
          </w:tcPr>
          <w:p w14:paraId="065860A4" w14:textId="77777777" w:rsidR="004F64EF" w:rsidRPr="003003C0" w:rsidRDefault="004F64EF" w:rsidP="00706642">
            <w:pPr>
              <w:jc w:val="left"/>
              <w:rPr>
                <w:rFonts w:cs="Calibri"/>
                <w:color w:val="000000"/>
                <w:sz w:val="15"/>
                <w:szCs w:val="15"/>
              </w:rPr>
            </w:pPr>
            <w:r w:rsidRPr="003003C0">
              <w:rPr>
                <w:rFonts w:cs="Calibri"/>
                <w:color w:val="000000"/>
                <w:sz w:val="15"/>
                <w:szCs w:val="15"/>
              </w:rPr>
              <w:t>G/</w:t>
            </w:r>
            <w:proofErr w:type="spellStart"/>
            <w:r w:rsidRPr="003003C0">
              <w:rPr>
                <w:rFonts w:cs="Calibri"/>
                <w:color w:val="000000"/>
                <w:sz w:val="15"/>
                <w:szCs w:val="15"/>
              </w:rPr>
              <w:t>TFA</w:t>
            </w:r>
            <w:proofErr w:type="spellEnd"/>
            <w:r w:rsidRPr="003003C0">
              <w:rPr>
                <w:rFonts w:cs="Calibri"/>
                <w:color w:val="000000"/>
                <w:sz w:val="15"/>
                <w:szCs w:val="15"/>
              </w:rPr>
              <w:t>/N/DOM/1, 16/2/2018</w:t>
            </w:r>
          </w:p>
        </w:tc>
      </w:tr>
      <w:tr w:rsidR="004F64EF" w:rsidRPr="003003C0" w14:paraId="1A7733DA" w14:textId="77777777" w:rsidTr="00BE2A9F">
        <w:tc>
          <w:tcPr>
            <w:tcW w:w="2263" w:type="dxa"/>
            <w:tcBorders>
              <w:top w:val="single" w:sz="4" w:space="0" w:color="auto"/>
              <w:bottom w:val="single" w:sz="4" w:space="0" w:color="auto"/>
            </w:tcBorders>
            <w:shd w:val="clear" w:color="auto" w:fill="C9DED4"/>
            <w:hideMark/>
          </w:tcPr>
          <w:p w14:paraId="58FA062E" w14:textId="77777777" w:rsidR="004F64EF" w:rsidRPr="003003C0" w:rsidRDefault="004F64EF" w:rsidP="00706642">
            <w:pPr>
              <w:jc w:val="left"/>
              <w:rPr>
                <w:rFonts w:cs="Calibri"/>
                <w:color w:val="000000"/>
                <w:sz w:val="15"/>
                <w:szCs w:val="15"/>
              </w:rPr>
            </w:pPr>
            <w:r w:rsidRPr="003003C0">
              <w:rPr>
                <w:rFonts w:cs="Calibri"/>
                <w:color w:val="000000"/>
                <w:sz w:val="15"/>
                <w:szCs w:val="15"/>
              </w:rPr>
              <w:t>Art</w:t>
            </w:r>
            <w:r>
              <w:rPr>
                <w:rFonts w:cs="Calibri"/>
                <w:color w:val="000000"/>
                <w:sz w:val="15"/>
                <w:szCs w:val="15"/>
              </w:rPr>
              <w:t>icle</w:t>
            </w:r>
            <w:r w:rsidRPr="003003C0">
              <w:rPr>
                <w:rFonts w:cs="Calibri"/>
                <w:color w:val="000000"/>
                <w:sz w:val="15"/>
                <w:szCs w:val="15"/>
              </w:rPr>
              <w:t xml:space="preserve"> 1.4</w:t>
            </w:r>
          </w:p>
        </w:tc>
        <w:tc>
          <w:tcPr>
            <w:tcW w:w="2512" w:type="dxa"/>
            <w:tcBorders>
              <w:top w:val="single" w:sz="4" w:space="0" w:color="auto"/>
              <w:bottom w:val="single" w:sz="4" w:space="0" w:color="auto"/>
            </w:tcBorders>
            <w:shd w:val="clear" w:color="auto" w:fill="C9DED4"/>
            <w:hideMark/>
          </w:tcPr>
          <w:p w14:paraId="0ACC04C1" w14:textId="77777777" w:rsidR="004F64EF" w:rsidRPr="003003C0" w:rsidRDefault="004F64EF" w:rsidP="00706642">
            <w:pPr>
              <w:jc w:val="left"/>
              <w:rPr>
                <w:rFonts w:cs="Calibri"/>
                <w:color w:val="000000"/>
                <w:sz w:val="15"/>
                <w:szCs w:val="15"/>
              </w:rPr>
            </w:pPr>
            <w:r w:rsidRPr="00CB2A61">
              <w:rPr>
                <w:rFonts w:cs="Calibri"/>
                <w:color w:val="000000"/>
                <w:sz w:val="15"/>
                <w:szCs w:val="15"/>
              </w:rPr>
              <w:t>Publication of all procedures for importation, exportation and transit, including fees imposed</w:t>
            </w:r>
          </w:p>
        </w:tc>
        <w:tc>
          <w:tcPr>
            <w:tcW w:w="1741" w:type="dxa"/>
            <w:tcBorders>
              <w:top w:val="single" w:sz="4" w:space="0" w:color="auto"/>
              <w:bottom w:val="single" w:sz="4" w:space="0" w:color="auto"/>
            </w:tcBorders>
            <w:shd w:val="clear" w:color="auto" w:fill="C9DED4"/>
            <w:hideMark/>
          </w:tcPr>
          <w:p w14:paraId="4FDF251F" w14:textId="77777777" w:rsidR="004F64EF" w:rsidRPr="003003C0" w:rsidRDefault="004F64EF" w:rsidP="00706642">
            <w:pPr>
              <w:jc w:val="left"/>
              <w:rPr>
                <w:rFonts w:cs="Calibri"/>
                <w:color w:val="000000"/>
                <w:sz w:val="15"/>
                <w:szCs w:val="15"/>
              </w:rPr>
            </w:pPr>
            <w:r w:rsidRPr="00692F51">
              <w:rPr>
                <w:rFonts w:cs="Calibri"/>
                <w:color w:val="000000"/>
                <w:sz w:val="15"/>
                <w:szCs w:val="15"/>
              </w:rPr>
              <w:t>Once only</w:t>
            </w:r>
          </w:p>
        </w:tc>
        <w:tc>
          <w:tcPr>
            <w:tcW w:w="2500" w:type="dxa"/>
            <w:vMerge w:val="restart"/>
            <w:tcBorders>
              <w:top w:val="single" w:sz="4" w:space="0" w:color="auto"/>
              <w:bottom w:val="single" w:sz="4" w:space="0" w:color="auto"/>
            </w:tcBorders>
            <w:shd w:val="clear" w:color="auto" w:fill="C9DED4"/>
            <w:hideMark/>
          </w:tcPr>
          <w:p w14:paraId="3E9FFB44" w14:textId="77777777" w:rsidR="004F64EF" w:rsidRPr="003003C0" w:rsidRDefault="004F64EF" w:rsidP="00706642">
            <w:pPr>
              <w:jc w:val="left"/>
              <w:rPr>
                <w:rFonts w:cs="Calibri"/>
                <w:color w:val="000000"/>
                <w:sz w:val="15"/>
                <w:szCs w:val="15"/>
              </w:rPr>
            </w:pPr>
            <w:r w:rsidRPr="003003C0">
              <w:rPr>
                <w:rFonts w:cs="Calibri"/>
                <w:color w:val="000000"/>
                <w:sz w:val="15"/>
                <w:szCs w:val="15"/>
              </w:rPr>
              <w:t>G/</w:t>
            </w:r>
            <w:proofErr w:type="spellStart"/>
            <w:r w:rsidRPr="003003C0">
              <w:rPr>
                <w:rFonts w:cs="Calibri"/>
                <w:color w:val="000000"/>
                <w:sz w:val="15"/>
                <w:szCs w:val="15"/>
              </w:rPr>
              <w:t>TFA</w:t>
            </w:r>
            <w:proofErr w:type="spellEnd"/>
            <w:r w:rsidRPr="003003C0">
              <w:rPr>
                <w:rFonts w:cs="Calibri"/>
                <w:color w:val="000000"/>
                <w:sz w:val="15"/>
                <w:szCs w:val="15"/>
              </w:rPr>
              <w:t>/N/DOM/3/Rev.1, 5/6/2020</w:t>
            </w:r>
          </w:p>
        </w:tc>
      </w:tr>
      <w:tr w:rsidR="004F64EF" w:rsidRPr="003003C0" w14:paraId="551C71DF" w14:textId="77777777" w:rsidTr="00BE2A9F">
        <w:trPr>
          <w:cnfStyle w:val="000000010000" w:firstRow="0" w:lastRow="0" w:firstColumn="0" w:lastColumn="0" w:oddVBand="0" w:evenVBand="0" w:oddHBand="0" w:evenHBand="1" w:firstRowFirstColumn="0" w:firstRowLastColumn="0" w:lastRowFirstColumn="0" w:lastRowLastColumn="0"/>
        </w:trPr>
        <w:tc>
          <w:tcPr>
            <w:tcW w:w="2263" w:type="dxa"/>
            <w:tcBorders>
              <w:top w:val="single" w:sz="4" w:space="0" w:color="auto"/>
              <w:bottom w:val="single" w:sz="4" w:space="0" w:color="auto"/>
            </w:tcBorders>
            <w:hideMark/>
          </w:tcPr>
          <w:p w14:paraId="6A0CE4FF" w14:textId="77777777" w:rsidR="004F64EF" w:rsidRPr="003003C0" w:rsidRDefault="004F64EF" w:rsidP="00706642">
            <w:pPr>
              <w:jc w:val="left"/>
              <w:rPr>
                <w:rFonts w:cs="Calibri"/>
                <w:color w:val="000000"/>
                <w:sz w:val="15"/>
                <w:szCs w:val="15"/>
              </w:rPr>
            </w:pPr>
            <w:r w:rsidRPr="003003C0">
              <w:rPr>
                <w:rFonts w:cs="Calibri"/>
                <w:color w:val="000000"/>
                <w:sz w:val="15"/>
                <w:szCs w:val="15"/>
              </w:rPr>
              <w:t>Art</w:t>
            </w:r>
            <w:r>
              <w:rPr>
                <w:rFonts w:cs="Calibri"/>
                <w:color w:val="000000"/>
                <w:sz w:val="15"/>
                <w:szCs w:val="15"/>
              </w:rPr>
              <w:t>icle</w:t>
            </w:r>
            <w:r w:rsidRPr="003003C0">
              <w:rPr>
                <w:rFonts w:cs="Calibri"/>
                <w:color w:val="000000"/>
                <w:sz w:val="15"/>
                <w:szCs w:val="15"/>
              </w:rPr>
              <w:t xml:space="preserve"> 10.4.3</w:t>
            </w:r>
          </w:p>
        </w:tc>
        <w:tc>
          <w:tcPr>
            <w:tcW w:w="2512" w:type="dxa"/>
            <w:tcBorders>
              <w:top w:val="single" w:sz="4" w:space="0" w:color="auto"/>
              <w:bottom w:val="single" w:sz="4" w:space="0" w:color="auto"/>
            </w:tcBorders>
            <w:hideMark/>
          </w:tcPr>
          <w:p w14:paraId="0BB9EA53" w14:textId="77777777" w:rsidR="004F64EF" w:rsidRPr="003003C0" w:rsidRDefault="004F64EF" w:rsidP="00706642">
            <w:pPr>
              <w:jc w:val="left"/>
              <w:rPr>
                <w:rFonts w:cs="Calibri"/>
                <w:color w:val="000000"/>
                <w:sz w:val="15"/>
                <w:szCs w:val="15"/>
              </w:rPr>
            </w:pPr>
            <w:r w:rsidRPr="00CB2A61">
              <w:rPr>
                <w:rFonts w:cs="Calibri"/>
                <w:color w:val="000000"/>
                <w:sz w:val="15"/>
                <w:szCs w:val="15"/>
              </w:rPr>
              <w:t>Single window</w:t>
            </w:r>
          </w:p>
        </w:tc>
        <w:tc>
          <w:tcPr>
            <w:tcW w:w="1741" w:type="dxa"/>
            <w:tcBorders>
              <w:top w:val="single" w:sz="4" w:space="0" w:color="auto"/>
              <w:bottom w:val="single" w:sz="4" w:space="0" w:color="auto"/>
            </w:tcBorders>
            <w:hideMark/>
          </w:tcPr>
          <w:p w14:paraId="765F23E7" w14:textId="77777777" w:rsidR="004F64EF" w:rsidRPr="003003C0" w:rsidRDefault="004F64EF" w:rsidP="00706642">
            <w:pPr>
              <w:jc w:val="left"/>
              <w:rPr>
                <w:rFonts w:cs="Calibri"/>
                <w:color w:val="000000"/>
                <w:sz w:val="15"/>
                <w:szCs w:val="15"/>
              </w:rPr>
            </w:pPr>
            <w:r w:rsidRPr="00692F51">
              <w:rPr>
                <w:rFonts w:cs="Calibri"/>
                <w:color w:val="000000"/>
                <w:sz w:val="15"/>
                <w:szCs w:val="15"/>
              </w:rPr>
              <w:t>Once only</w:t>
            </w:r>
          </w:p>
        </w:tc>
        <w:tc>
          <w:tcPr>
            <w:tcW w:w="2500" w:type="dxa"/>
            <w:vMerge/>
            <w:tcBorders>
              <w:top w:val="single" w:sz="4" w:space="0" w:color="auto"/>
              <w:bottom w:val="single" w:sz="4" w:space="0" w:color="auto"/>
            </w:tcBorders>
            <w:hideMark/>
          </w:tcPr>
          <w:p w14:paraId="3AF14623" w14:textId="77777777" w:rsidR="004F64EF" w:rsidRPr="003003C0" w:rsidRDefault="004F64EF" w:rsidP="00706642">
            <w:pPr>
              <w:jc w:val="left"/>
              <w:rPr>
                <w:rFonts w:cs="Calibri"/>
                <w:color w:val="000000"/>
                <w:sz w:val="15"/>
                <w:szCs w:val="15"/>
              </w:rPr>
            </w:pPr>
          </w:p>
        </w:tc>
      </w:tr>
      <w:tr w:rsidR="004F64EF" w:rsidRPr="003003C0" w14:paraId="0FD8AC4B" w14:textId="77777777" w:rsidTr="00BE2A9F">
        <w:tc>
          <w:tcPr>
            <w:tcW w:w="2263" w:type="dxa"/>
            <w:tcBorders>
              <w:top w:val="single" w:sz="4" w:space="0" w:color="auto"/>
              <w:bottom w:val="single" w:sz="4" w:space="0" w:color="auto"/>
            </w:tcBorders>
            <w:shd w:val="clear" w:color="auto" w:fill="C9DED4"/>
            <w:hideMark/>
          </w:tcPr>
          <w:p w14:paraId="3F496AF4" w14:textId="77777777" w:rsidR="004F64EF" w:rsidRPr="003003C0" w:rsidRDefault="004F64EF" w:rsidP="00706642">
            <w:pPr>
              <w:jc w:val="left"/>
              <w:rPr>
                <w:rFonts w:cs="Calibri"/>
                <w:color w:val="000000"/>
                <w:sz w:val="15"/>
                <w:szCs w:val="15"/>
              </w:rPr>
            </w:pPr>
            <w:r w:rsidRPr="003003C0">
              <w:rPr>
                <w:rFonts w:cs="Calibri"/>
                <w:color w:val="000000"/>
                <w:sz w:val="15"/>
                <w:szCs w:val="15"/>
              </w:rPr>
              <w:t>Art</w:t>
            </w:r>
            <w:r>
              <w:rPr>
                <w:rFonts w:cs="Calibri"/>
                <w:color w:val="000000"/>
                <w:sz w:val="15"/>
                <w:szCs w:val="15"/>
              </w:rPr>
              <w:t>icle</w:t>
            </w:r>
            <w:r w:rsidRPr="003003C0">
              <w:rPr>
                <w:rFonts w:cs="Calibri"/>
                <w:color w:val="000000"/>
                <w:sz w:val="15"/>
                <w:szCs w:val="15"/>
              </w:rPr>
              <w:t xml:space="preserve"> 10.6.2</w:t>
            </w:r>
          </w:p>
        </w:tc>
        <w:tc>
          <w:tcPr>
            <w:tcW w:w="2512" w:type="dxa"/>
            <w:tcBorders>
              <w:top w:val="single" w:sz="4" w:space="0" w:color="auto"/>
              <w:bottom w:val="single" w:sz="4" w:space="0" w:color="auto"/>
            </w:tcBorders>
            <w:shd w:val="clear" w:color="auto" w:fill="C9DED4"/>
            <w:hideMark/>
          </w:tcPr>
          <w:p w14:paraId="7E98DE8A" w14:textId="77777777" w:rsidR="004F64EF" w:rsidRPr="003003C0" w:rsidRDefault="004F64EF" w:rsidP="00706642">
            <w:pPr>
              <w:jc w:val="left"/>
              <w:rPr>
                <w:rFonts w:cs="Calibri"/>
                <w:color w:val="000000"/>
                <w:sz w:val="15"/>
                <w:szCs w:val="15"/>
              </w:rPr>
            </w:pPr>
            <w:r w:rsidRPr="00CB2A61">
              <w:rPr>
                <w:rFonts w:cs="Calibri"/>
                <w:color w:val="000000"/>
                <w:sz w:val="15"/>
                <w:szCs w:val="15"/>
              </w:rPr>
              <w:t>Customs brokers</w:t>
            </w:r>
          </w:p>
        </w:tc>
        <w:tc>
          <w:tcPr>
            <w:tcW w:w="1741" w:type="dxa"/>
            <w:tcBorders>
              <w:top w:val="single" w:sz="4" w:space="0" w:color="auto"/>
              <w:bottom w:val="single" w:sz="4" w:space="0" w:color="auto"/>
            </w:tcBorders>
            <w:shd w:val="clear" w:color="auto" w:fill="C9DED4"/>
            <w:hideMark/>
          </w:tcPr>
          <w:p w14:paraId="499E5469" w14:textId="77777777" w:rsidR="004F64EF" w:rsidRPr="003003C0" w:rsidRDefault="004F64EF" w:rsidP="00706642">
            <w:pPr>
              <w:jc w:val="left"/>
              <w:rPr>
                <w:rFonts w:cs="Calibri"/>
                <w:color w:val="000000"/>
                <w:sz w:val="15"/>
                <w:szCs w:val="15"/>
              </w:rPr>
            </w:pPr>
            <w:r w:rsidRPr="00692F51">
              <w:rPr>
                <w:rFonts w:cs="Calibri"/>
                <w:color w:val="000000"/>
                <w:sz w:val="15"/>
                <w:szCs w:val="15"/>
              </w:rPr>
              <w:t>Once only</w:t>
            </w:r>
          </w:p>
        </w:tc>
        <w:tc>
          <w:tcPr>
            <w:tcW w:w="2500" w:type="dxa"/>
            <w:vMerge/>
            <w:tcBorders>
              <w:top w:val="single" w:sz="4" w:space="0" w:color="auto"/>
              <w:bottom w:val="single" w:sz="4" w:space="0" w:color="auto"/>
            </w:tcBorders>
            <w:shd w:val="clear" w:color="auto" w:fill="C9DED4"/>
            <w:hideMark/>
          </w:tcPr>
          <w:p w14:paraId="5A1918C9" w14:textId="77777777" w:rsidR="004F64EF" w:rsidRPr="003003C0" w:rsidRDefault="004F64EF" w:rsidP="00706642">
            <w:pPr>
              <w:jc w:val="left"/>
              <w:rPr>
                <w:rFonts w:cs="Calibri"/>
                <w:color w:val="000000"/>
                <w:sz w:val="15"/>
                <w:szCs w:val="15"/>
              </w:rPr>
            </w:pPr>
          </w:p>
        </w:tc>
      </w:tr>
      <w:tr w:rsidR="004F64EF" w:rsidRPr="003003C0" w14:paraId="7C034F61" w14:textId="77777777" w:rsidTr="00BE2A9F">
        <w:trPr>
          <w:cnfStyle w:val="000000010000" w:firstRow="0" w:lastRow="0" w:firstColumn="0" w:lastColumn="0" w:oddVBand="0" w:evenVBand="0" w:oddHBand="0" w:evenHBand="1" w:firstRowFirstColumn="0" w:firstRowLastColumn="0" w:lastRowFirstColumn="0" w:lastRowLastColumn="0"/>
        </w:trPr>
        <w:tc>
          <w:tcPr>
            <w:tcW w:w="2263" w:type="dxa"/>
            <w:tcBorders>
              <w:top w:val="single" w:sz="4" w:space="0" w:color="auto"/>
              <w:bottom w:val="single" w:sz="4" w:space="0" w:color="auto"/>
            </w:tcBorders>
            <w:hideMark/>
          </w:tcPr>
          <w:p w14:paraId="0656617D" w14:textId="77777777" w:rsidR="004F64EF" w:rsidRPr="003003C0" w:rsidRDefault="004F64EF" w:rsidP="00706642">
            <w:pPr>
              <w:jc w:val="left"/>
              <w:rPr>
                <w:rFonts w:cs="Calibri"/>
                <w:color w:val="000000"/>
                <w:sz w:val="15"/>
                <w:szCs w:val="15"/>
              </w:rPr>
            </w:pPr>
            <w:r w:rsidRPr="003003C0">
              <w:rPr>
                <w:rFonts w:cs="Calibri"/>
                <w:color w:val="000000"/>
                <w:sz w:val="15"/>
                <w:szCs w:val="15"/>
              </w:rPr>
              <w:t>Art</w:t>
            </w:r>
            <w:r>
              <w:rPr>
                <w:rFonts w:cs="Calibri"/>
                <w:color w:val="000000"/>
                <w:sz w:val="15"/>
                <w:szCs w:val="15"/>
              </w:rPr>
              <w:t>icle</w:t>
            </w:r>
            <w:r w:rsidRPr="003003C0">
              <w:rPr>
                <w:rFonts w:cs="Calibri"/>
                <w:color w:val="000000"/>
                <w:sz w:val="15"/>
                <w:szCs w:val="15"/>
              </w:rPr>
              <w:t xml:space="preserve"> 12.2.2</w:t>
            </w:r>
          </w:p>
        </w:tc>
        <w:tc>
          <w:tcPr>
            <w:tcW w:w="2512" w:type="dxa"/>
            <w:tcBorders>
              <w:top w:val="single" w:sz="4" w:space="0" w:color="auto"/>
              <w:bottom w:val="single" w:sz="4" w:space="0" w:color="auto"/>
            </w:tcBorders>
            <w:hideMark/>
          </w:tcPr>
          <w:p w14:paraId="3AE69A47" w14:textId="77777777" w:rsidR="004F64EF" w:rsidRPr="003003C0" w:rsidRDefault="004F64EF" w:rsidP="00706642">
            <w:pPr>
              <w:jc w:val="left"/>
              <w:rPr>
                <w:rFonts w:cs="Calibri"/>
                <w:color w:val="000000"/>
                <w:sz w:val="15"/>
                <w:szCs w:val="15"/>
              </w:rPr>
            </w:pPr>
            <w:r w:rsidRPr="00CB2A61">
              <w:rPr>
                <w:rFonts w:cs="Calibri"/>
                <w:color w:val="000000"/>
                <w:sz w:val="15"/>
                <w:szCs w:val="15"/>
              </w:rPr>
              <w:t>Contact point for the exchange of information</w:t>
            </w:r>
          </w:p>
        </w:tc>
        <w:tc>
          <w:tcPr>
            <w:tcW w:w="1741" w:type="dxa"/>
            <w:tcBorders>
              <w:top w:val="single" w:sz="4" w:space="0" w:color="auto"/>
              <w:bottom w:val="single" w:sz="4" w:space="0" w:color="auto"/>
            </w:tcBorders>
            <w:hideMark/>
          </w:tcPr>
          <w:p w14:paraId="3BB97387" w14:textId="77777777" w:rsidR="004F64EF" w:rsidRPr="003003C0" w:rsidRDefault="004F64EF" w:rsidP="00706642">
            <w:pPr>
              <w:jc w:val="left"/>
              <w:rPr>
                <w:rFonts w:cs="Calibri"/>
                <w:color w:val="000000"/>
                <w:sz w:val="15"/>
                <w:szCs w:val="15"/>
              </w:rPr>
            </w:pPr>
            <w:r w:rsidRPr="00692F51">
              <w:rPr>
                <w:rFonts w:cs="Calibri"/>
                <w:color w:val="000000"/>
                <w:sz w:val="15"/>
                <w:szCs w:val="15"/>
              </w:rPr>
              <w:t>Once only</w:t>
            </w:r>
          </w:p>
        </w:tc>
        <w:tc>
          <w:tcPr>
            <w:tcW w:w="2500" w:type="dxa"/>
            <w:vMerge/>
            <w:tcBorders>
              <w:top w:val="single" w:sz="4" w:space="0" w:color="auto"/>
              <w:bottom w:val="single" w:sz="4" w:space="0" w:color="auto"/>
            </w:tcBorders>
            <w:hideMark/>
          </w:tcPr>
          <w:p w14:paraId="5491E4CC" w14:textId="77777777" w:rsidR="004F64EF" w:rsidRPr="003003C0" w:rsidRDefault="004F64EF" w:rsidP="00706642">
            <w:pPr>
              <w:jc w:val="left"/>
              <w:rPr>
                <w:rFonts w:cs="Calibri"/>
                <w:color w:val="000000"/>
                <w:sz w:val="15"/>
                <w:szCs w:val="15"/>
              </w:rPr>
            </w:pPr>
          </w:p>
        </w:tc>
      </w:tr>
      <w:tr w:rsidR="004F64EF" w:rsidRPr="003003C0" w14:paraId="7BC873B1" w14:textId="77777777" w:rsidTr="00BE2A9F">
        <w:tc>
          <w:tcPr>
            <w:tcW w:w="2263" w:type="dxa"/>
            <w:tcBorders>
              <w:top w:val="single" w:sz="4" w:space="0" w:color="auto"/>
              <w:bottom w:val="single" w:sz="4" w:space="0" w:color="auto"/>
            </w:tcBorders>
            <w:shd w:val="clear" w:color="auto" w:fill="C9DED4"/>
            <w:hideMark/>
          </w:tcPr>
          <w:p w14:paraId="2609444F" w14:textId="77777777" w:rsidR="004F64EF" w:rsidRPr="003003C0" w:rsidRDefault="004F64EF" w:rsidP="00706642">
            <w:pPr>
              <w:jc w:val="left"/>
              <w:rPr>
                <w:rFonts w:cs="Calibri"/>
                <w:color w:val="000000"/>
                <w:sz w:val="15"/>
                <w:szCs w:val="15"/>
              </w:rPr>
            </w:pPr>
            <w:r w:rsidRPr="003003C0">
              <w:rPr>
                <w:rFonts w:cs="Calibri"/>
                <w:color w:val="000000"/>
                <w:sz w:val="15"/>
                <w:szCs w:val="15"/>
              </w:rPr>
              <w:t>Art</w:t>
            </w:r>
            <w:r>
              <w:rPr>
                <w:rFonts w:cs="Calibri"/>
                <w:color w:val="000000"/>
                <w:sz w:val="15"/>
                <w:szCs w:val="15"/>
              </w:rPr>
              <w:t>icle</w:t>
            </w:r>
            <w:r w:rsidRPr="003003C0">
              <w:rPr>
                <w:rFonts w:cs="Calibri"/>
                <w:color w:val="000000"/>
                <w:sz w:val="15"/>
                <w:szCs w:val="15"/>
              </w:rPr>
              <w:t xml:space="preserve"> 22.3</w:t>
            </w:r>
          </w:p>
        </w:tc>
        <w:tc>
          <w:tcPr>
            <w:tcW w:w="2512" w:type="dxa"/>
            <w:tcBorders>
              <w:top w:val="single" w:sz="4" w:space="0" w:color="auto"/>
              <w:bottom w:val="single" w:sz="4" w:space="0" w:color="auto"/>
            </w:tcBorders>
            <w:shd w:val="clear" w:color="auto" w:fill="C9DED4"/>
            <w:hideMark/>
          </w:tcPr>
          <w:p w14:paraId="4C8E5F25" w14:textId="77777777" w:rsidR="004F64EF" w:rsidRPr="003003C0" w:rsidRDefault="004F64EF" w:rsidP="00706642">
            <w:pPr>
              <w:jc w:val="left"/>
              <w:rPr>
                <w:rFonts w:cs="Calibri"/>
                <w:color w:val="000000"/>
                <w:sz w:val="15"/>
                <w:szCs w:val="15"/>
              </w:rPr>
            </w:pPr>
            <w:r>
              <w:rPr>
                <w:rFonts w:cs="Calibri"/>
                <w:color w:val="000000"/>
                <w:sz w:val="15"/>
                <w:szCs w:val="15"/>
              </w:rPr>
              <w:t>Contact points</w:t>
            </w:r>
          </w:p>
        </w:tc>
        <w:tc>
          <w:tcPr>
            <w:tcW w:w="1741" w:type="dxa"/>
            <w:tcBorders>
              <w:top w:val="single" w:sz="4" w:space="0" w:color="auto"/>
              <w:bottom w:val="single" w:sz="4" w:space="0" w:color="auto"/>
            </w:tcBorders>
            <w:shd w:val="clear" w:color="auto" w:fill="C9DED4"/>
            <w:hideMark/>
          </w:tcPr>
          <w:p w14:paraId="0CE4DD1F" w14:textId="77777777" w:rsidR="004F64EF" w:rsidRPr="003003C0" w:rsidRDefault="004F64EF" w:rsidP="00706642">
            <w:pPr>
              <w:jc w:val="left"/>
              <w:rPr>
                <w:rFonts w:cs="Calibri"/>
                <w:color w:val="000000"/>
                <w:sz w:val="15"/>
                <w:szCs w:val="15"/>
              </w:rPr>
            </w:pPr>
            <w:r w:rsidRPr="00692F51">
              <w:rPr>
                <w:rFonts w:cs="Calibri"/>
                <w:color w:val="000000"/>
                <w:sz w:val="15"/>
                <w:szCs w:val="15"/>
              </w:rPr>
              <w:t>Once only</w:t>
            </w:r>
          </w:p>
        </w:tc>
        <w:tc>
          <w:tcPr>
            <w:tcW w:w="2500" w:type="dxa"/>
            <w:tcBorders>
              <w:top w:val="single" w:sz="4" w:space="0" w:color="auto"/>
              <w:bottom w:val="single" w:sz="4" w:space="0" w:color="auto"/>
            </w:tcBorders>
            <w:shd w:val="clear" w:color="auto" w:fill="C9DED4"/>
            <w:hideMark/>
          </w:tcPr>
          <w:p w14:paraId="43039719" w14:textId="77777777" w:rsidR="004F64EF" w:rsidRPr="003003C0" w:rsidRDefault="004F64EF" w:rsidP="00706642">
            <w:pPr>
              <w:jc w:val="left"/>
              <w:rPr>
                <w:rFonts w:cs="Calibri"/>
                <w:color w:val="000000"/>
                <w:sz w:val="15"/>
                <w:szCs w:val="15"/>
              </w:rPr>
            </w:pPr>
            <w:r w:rsidRPr="003003C0">
              <w:rPr>
                <w:rFonts w:cs="Calibri"/>
                <w:color w:val="000000"/>
                <w:sz w:val="15"/>
                <w:szCs w:val="15"/>
              </w:rPr>
              <w:t>G/</w:t>
            </w:r>
            <w:proofErr w:type="spellStart"/>
            <w:r w:rsidRPr="003003C0">
              <w:rPr>
                <w:rFonts w:cs="Calibri"/>
                <w:color w:val="000000"/>
                <w:sz w:val="15"/>
                <w:szCs w:val="15"/>
              </w:rPr>
              <w:t>TFA</w:t>
            </w:r>
            <w:proofErr w:type="spellEnd"/>
            <w:r w:rsidRPr="003003C0">
              <w:rPr>
                <w:rFonts w:cs="Calibri"/>
                <w:color w:val="000000"/>
                <w:sz w:val="15"/>
                <w:szCs w:val="15"/>
              </w:rPr>
              <w:t>/N/DOM/2, 29/7/2019</w:t>
            </w:r>
          </w:p>
        </w:tc>
      </w:tr>
      <w:tr w:rsidR="004F64EF" w:rsidRPr="003003C0" w14:paraId="520D8F93" w14:textId="77777777" w:rsidTr="00706642">
        <w:trPr>
          <w:cnfStyle w:val="000000010000" w:firstRow="0" w:lastRow="0" w:firstColumn="0" w:lastColumn="0" w:oddVBand="0" w:evenVBand="0" w:oddHBand="0" w:evenHBand="1" w:firstRowFirstColumn="0" w:firstRowLastColumn="0" w:lastRowFirstColumn="0" w:lastRowLastColumn="0"/>
        </w:trPr>
        <w:tc>
          <w:tcPr>
            <w:tcW w:w="0" w:type="auto"/>
            <w:gridSpan w:val="4"/>
            <w:tcBorders>
              <w:top w:val="single" w:sz="4" w:space="0" w:color="auto"/>
              <w:bottom w:val="single" w:sz="4" w:space="0" w:color="auto"/>
            </w:tcBorders>
            <w:shd w:val="clear" w:color="auto" w:fill="FFFFFF" w:themeFill="background1"/>
            <w:hideMark/>
          </w:tcPr>
          <w:p w14:paraId="540B56CB" w14:textId="77777777" w:rsidR="004F64EF" w:rsidRPr="003003C0" w:rsidRDefault="004F64EF" w:rsidP="00706642">
            <w:pPr>
              <w:jc w:val="left"/>
              <w:rPr>
                <w:rFonts w:cs="Calibri"/>
                <w:b/>
                <w:bCs/>
                <w:color w:val="000000"/>
                <w:sz w:val="15"/>
                <w:szCs w:val="15"/>
              </w:rPr>
            </w:pPr>
            <w:r w:rsidRPr="00F9111A">
              <w:rPr>
                <w:rFonts w:cs="Calibri"/>
                <w:b/>
                <w:bCs/>
                <w:color w:val="000000"/>
                <w:sz w:val="15"/>
                <w:szCs w:val="15"/>
              </w:rPr>
              <w:t>Agreement on Technical Barriers to Trade</w:t>
            </w:r>
          </w:p>
        </w:tc>
      </w:tr>
      <w:tr w:rsidR="004F64EF" w:rsidRPr="003003C0" w14:paraId="74A529CA" w14:textId="77777777" w:rsidTr="00BE2A9F">
        <w:tc>
          <w:tcPr>
            <w:tcW w:w="2263" w:type="dxa"/>
            <w:tcBorders>
              <w:top w:val="single" w:sz="4" w:space="0" w:color="auto"/>
              <w:bottom w:val="single" w:sz="4" w:space="0" w:color="auto"/>
            </w:tcBorders>
            <w:shd w:val="clear" w:color="auto" w:fill="C9DED4"/>
            <w:hideMark/>
          </w:tcPr>
          <w:p w14:paraId="6D49CE78" w14:textId="77777777" w:rsidR="004F64EF" w:rsidRPr="003003C0" w:rsidRDefault="004F64EF" w:rsidP="00706642">
            <w:pPr>
              <w:jc w:val="left"/>
              <w:rPr>
                <w:rFonts w:cs="Calibri"/>
                <w:color w:val="000000"/>
                <w:sz w:val="15"/>
                <w:szCs w:val="15"/>
              </w:rPr>
            </w:pPr>
            <w:r w:rsidRPr="003003C0">
              <w:rPr>
                <w:rFonts w:cs="Calibri"/>
                <w:color w:val="000000"/>
                <w:sz w:val="15"/>
                <w:szCs w:val="15"/>
              </w:rPr>
              <w:t>Art</w:t>
            </w:r>
            <w:r>
              <w:rPr>
                <w:rFonts w:cs="Calibri"/>
                <w:color w:val="000000"/>
                <w:sz w:val="15"/>
                <w:szCs w:val="15"/>
              </w:rPr>
              <w:t>icles</w:t>
            </w:r>
            <w:r w:rsidRPr="003003C0">
              <w:rPr>
                <w:rFonts w:cs="Calibri"/>
                <w:color w:val="000000"/>
                <w:sz w:val="15"/>
                <w:szCs w:val="15"/>
              </w:rPr>
              <w:t xml:space="preserve"> 2.10 </w:t>
            </w:r>
            <w:r>
              <w:rPr>
                <w:rFonts w:cs="Calibri"/>
                <w:color w:val="000000"/>
                <w:sz w:val="15"/>
                <w:szCs w:val="15"/>
              </w:rPr>
              <w:t>and</w:t>
            </w:r>
            <w:r w:rsidRPr="003003C0">
              <w:rPr>
                <w:rFonts w:cs="Calibri"/>
                <w:color w:val="000000"/>
                <w:sz w:val="15"/>
                <w:szCs w:val="15"/>
              </w:rPr>
              <w:t xml:space="preserve"> 5.7</w:t>
            </w:r>
          </w:p>
        </w:tc>
        <w:tc>
          <w:tcPr>
            <w:tcW w:w="2512" w:type="dxa"/>
            <w:tcBorders>
              <w:top w:val="single" w:sz="4" w:space="0" w:color="auto"/>
              <w:bottom w:val="single" w:sz="4" w:space="0" w:color="auto"/>
            </w:tcBorders>
            <w:shd w:val="clear" w:color="auto" w:fill="C9DED4"/>
            <w:hideMark/>
          </w:tcPr>
          <w:p w14:paraId="4382CA27" w14:textId="77777777" w:rsidR="004F64EF" w:rsidRPr="003003C0" w:rsidRDefault="004F64EF" w:rsidP="00706642">
            <w:pPr>
              <w:jc w:val="left"/>
              <w:rPr>
                <w:rFonts w:cs="Calibri"/>
                <w:color w:val="000000"/>
                <w:sz w:val="15"/>
                <w:szCs w:val="15"/>
              </w:rPr>
            </w:pPr>
            <w:r w:rsidRPr="00F9111A">
              <w:rPr>
                <w:rFonts w:cs="Calibri"/>
                <w:color w:val="000000"/>
                <w:sz w:val="15"/>
                <w:szCs w:val="15"/>
              </w:rPr>
              <w:t xml:space="preserve">Technical regulations (urgent) </w:t>
            </w:r>
            <w:r>
              <w:rPr>
                <w:rFonts w:cs="Calibri"/>
                <w:color w:val="000000"/>
                <w:sz w:val="15"/>
                <w:szCs w:val="15"/>
              </w:rPr>
              <w:t>and</w:t>
            </w:r>
            <w:r w:rsidRPr="003003C0">
              <w:rPr>
                <w:rFonts w:cs="Calibri"/>
                <w:color w:val="000000"/>
                <w:sz w:val="15"/>
                <w:szCs w:val="15"/>
              </w:rPr>
              <w:t xml:space="preserve"> </w:t>
            </w:r>
            <w:r>
              <w:rPr>
                <w:rFonts w:cs="Calibri"/>
                <w:color w:val="000000"/>
                <w:sz w:val="15"/>
                <w:szCs w:val="15"/>
              </w:rPr>
              <w:t>c</w:t>
            </w:r>
            <w:r w:rsidRPr="00F9111A">
              <w:rPr>
                <w:rFonts w:cs="Calibri"/>
                <w:color w:val="000000"/>
                <w:sz w:val="15"/>
                <w:szCs w:val="15"/>
              </w:rPr>
              <w:t>onformity assessment procedures (urgent)</w:t>
            </w:r>
          </w:p>
        </w:tc>
        <w:tc>
          <w:tcPr>
            <w:tcW w:w="1741" w:type="dxa"/>
            <w:tcBorders>
              <w:top w:val="single" w:sz="4" w:space="0" w:color="auto"/>
              <w:bottom w:val="single" w:sz="4" w:space="0" w:color="auto"/>
            </w:tcBorders>
            <w:shd w:val="clear" w:color="auto" w:fill="C9DED4"/>
            <w:hideMark/>
          </w:tcPr>
          <w:p w14:paraId="0B921E0D" w14:textId="77777777" w:rsidR="004F64EF" w:rsidRPr="003003C0" w:rsidRDefault="004F64EF" w:rsidP="00706642">
            <w:pPr>
              <w:jc w:val="left"/>
              <w:rPr>
                <w:rFonts w:cs="Calibri"/>
                <w:i/>
                <w:iCs/>
                <w:color w:val="000000"/>
                <w:sz w:val="15"/>
                <w:szCs w:val="15"/>
              </w:rPr>
            </w:pPr>
            <w:r w:rsidRPr="003003C0">
              <w:rPr>
                <w:rFonts w:cs="Calibri"/>
                <w:i/>
                <w:iCs/>
                <w:color w:val="000000"/>
                <w:sz w:val="15"/>
                <w:szCs w:val="15"/>
              </w:rPr>
              <w:t>Ad hoc</w:t>
            </w:r>
          </w:p>
        </w:tc>
        <w:tc>
          <w:tcPr>
            <w:tcW w:w="2500" w:type="dxa"/>
            <w:tcBorders>
              <w:top w:val="single" w:sz="4" w:space="0" w:color="auto"/>
              <w:bottom w:val="single" w:sz="4" w:space="0" w:color="auto"/>
            </w:tcBorders>
            <w:shd w:val="clear" w:color="auto" w:fill="C9DED4"/>
            <w:hideMark/>
          </w:tcPr>
          <w:p w14:paraId="7F979111" w14:textId="77777777" w:rsidR="004F64EF" w:rsidRPr="003003C0" w:rsidRDefault="004F64EF" w:rsidP="00706642">
            <w:pPr>
              <w:jc w:val="left"/>
              <w:rPr>
                <w:rFonts w:cs="Calibri"/>
                <w:color w:val="000000"/>
                <w:sz w:val="15"/>
                <w:szCs w:val="15"/>
              </w:rPr>
            </w:pPr>
            <w:r w:rsidRPr="003003C0">
              <w:rPr>
                <w:rFonts w:cs="Calibri"/>
                <w:color w:val="000000"/>
                <w:sz w:val="15"/>
                <w:szCs w:val="15"/>
              </w:rPr>
              <w:t>G/TBT/N/DOM/232, 31/5/2021</w:t>
            </w:r>
          </w:p>
        </w:tc>
      </w:tr>
      <w:tr w:rsidR="004F64EF" w:rsidRPr="003003C0" w14:paraId="76809BBA" w14:textId="77777777" w:rsidTr="00BE2A9F">
        <w:trPr>
          <w:cnfStyle w:val="000000010000" w:firstRow="0" w:lastRow="0" w:firstColumn="0" w:lastColumn="0" w:oddVBand="0" w:evenVBand="0" w:oddHBand="0" w:evenHBand="1" w:firstRowFirstColumn="0" w:firstRowLastColumn="0" w:lastRowFirstColumn="0" w:lastRowLastColumn="0"/>
        </w:trPr>
        <w:tc>
          <w:tcPr>
            <w:tcW w:w="2263" w:type="dxa"/>
            <w:vMerge w:val="restart"/>
            <w:tcBorders>
              <w:top w:val="single" w:sz="4" w:space="0" w:color="auto"/>
              <w:bottom w:val="single" w:sz="4" w:space="0" w:color="auto"/>
            </w:tcBorders>
            <w:hideMark/>
          </w:tcPr>
          <w:p w14:paraId="7F412AE2" w14:textId="77777777" w:rsidR="004F64EF" w:rsidRPr="003003C0" w:rsidRDefault="004F64EF" w:rsidP="00BE2A9F">
            <w:pPr>
              <w:keepNext/>
              <w:keepLines/>
              <w:jc w:val="left"/>
              <w:rPr>
                <w:rFonts w:cs="Calibri"/>
                <w:color w:val="000000"/>
                <w:sz w:val="15"/>
                <w:szCs w:val="15"/>
              </w:rPr>
            </w:pPr>
            <w:r w:rsidRPr="003003C0">
              <w:rPr>
                <w:rFonts w:cs="Calibri"/>
                <w:color w:val="000000"/>
                <w:sz w:val="15"/>
                <w:szCs w:val="15"/>
              </w:rPr>
              <w:lastRenderedPageBreak/>
              <w:t>Art</w:t>
            </w:r>
            <w:r>
              <w:rPr>
                <w:rFonts w:cs="Calibri"/>
                <w:color w:val="000000"/>
                <w:sz w:val="15"/>
                <w:szCs w:val="15"/>
              </w:rPr>
              <w:t>icle</w:t>
            </w:r>
            <w:r w:rsidRPr="003003C0">
              <w:rPr>
                <w:rFonts w:cs="Calibri"/>
                <w:color w:val="000000"/>
                <w:sz w:val="15"/>
                <w:szCs w:val="15"/>
              </w:rPr>
              <w:t xml:space="preserve"> 2.9</w:t>
            </w:r>
          </w:p>
        </w:tc>
        <w:tc>
          <w:tcPr>
            <w:tcW w:w="2512" w:type="dxa"/>
            <w:vMerge w:val="restart"/>
            <w:tcBorders>
              <w:top w:val="single" w:sz="4" w:space="0" w:color="auto"/>
              <w:bottom w:val="single" w:sz="4" w:space="0" w:color="auto"/>
            </w:tcBorders>
            <w:hideMark/>
          </w:tcPr>
          <w:p w14:paraId="02170DBA" w14:textId="77777777" w:rsidR="004F64EF" w:rsidRPr="003003C0" w:rsidRDefault="004F64EF" w:rsidP="00BE2A9F">
            <w:pPr>
              <w:keepNext/>
              <w:keepLines/>
              <w:jc w:val="left"/>
              <w:rPr>
                <w:rFonts w:cs="Calibri"/>
                <w:color w:val="000000"/>
                <w:sz w:val="15"/>
                <w:szCs w:val="15"/>
              </w:rPr>
            </w:pPr>
            <w:r w:rsidRPr="00F9111A">
              <w:rPr>
                <w:rFonts w:cs="Calibri"/>
                <w:color w:val="000000"/>
                <w:sz w:val="15"/>
                <w:szCs w:val="15"/>
              </w:rPr>
              <w:t>Technical regulations</w:t>
            </w:r>
          </w:p>
        </w:tc>
        <w:tc>
          <w:tcPr>
            <w:tcW w:w="1741" w:type="dxa"/>
            <w:vMerge w:val="restart"/>
            <w:tcBorders>
              <w:top w:val="single" w:sz="4" w:space="0" w:color="auto"/>
              <w:bottom w:val="single" w:sz="4" w:space="0" w:color="auto"/>
            </w:tcBorders>
            <w:hideMark/>
          </w:tcPr>
          <w:p w14:paraId="49764228" w14:textId="77777777" w:rsidR="004F64EF" w:rsidRPr="003003C0" w:rsidRDefault="004F64EF" w:rsidP="00BE2A9F">
            <w:pPr>
              <w:keepNext/>
              <w:keepLines/>
              <w:jc w:val="left"/>
              <w:rPr>
                <w:rFonts w:cs="Calibri"/>
                <w:i/>
                <w:iCs/>
                <w:color w:val="000000"/>
                <w:sz w:val="15"/>
                <w:szCs w:val="15"/>
              </w:rPr>
            </w:pPr>
            <w:r w:rsidRPr="003003C0">
              <w:rPr>
                <w:rFonts w:cs="Calibri"/>
                <w:i/>
                <w:iCs/>
                <w:color w:val="000000"/>
                <w:sz w:val="15"/>
                <w:szCs w:val="15"/>
              </w:rPr>
              <w:t>Ad hoc</w:t>
            </w:r>
          </w:p>
        </w:tc>
        <w:tc>
          <w:tcPr>
            <w:tcW w:w="2500" w:type="dxa"/>
            <w:tcBorders>
              <w:top w:val="single" w:sz="4" w:space="0" w:color="auto"/>
              <w:bottom w:val="single" w:sz="4" w:space="0" w:color="auto"/>
            </w:tcBorders>
            <w:hideMark/>
          </w:tcPr>
          <w:p w14:paraId="58D4CB1A" w14:textId="77777777" w:rsidR="004F64EF" w:rsidRPr="003003C0" w:rsidRDefault="004F64EF" w:rsidP="00BE2A9F">
            <w:pPr>
              <w:keepNext/>
              <w:keepLines/>
              <w:jc w:val="left"/>
              <w:rPr>
                <w:rFonts w:cs="Calibri"/>
                <w:color w:val="000000"/>
                <w:sz w:val="15"/>
                <w:szCs w:val="15"/>
              </w:rPr>
            </w:pPr>
            <w:r w:rsidRPr="003003C0">
              <w:rPr>
                <w:rFonts w:cs="Calibri"/>
                <w:color w:val="000000"/>
                <w:sz w:val="15"/>
                <w:szCs w:val="15"/>
              </w:rPr>
              <w:t>G/TBT/N/DOM/228, 3/4/2019</w:t>
            </w:r>
          </w:p>
        </w:tc>
      </w:tr>
      <w:tr w:rsidR="004F64EF" w:rsidRPr="003003C0" w14:paraId="75F58105" w14:textId="77777777" w:rsidTr="00BE2A9F">
        <w:tc>
          <w:tcPr>
            <w:tcW w:w="2263" w:type="dxa"/>
            <w:vMerge/>
            <w:tcBorders>
              <w:top w:val="single" w:sz="4" w:space="0" w:color="auto"/>
              <w:bottom w:val="single" w:sz="4" w:space="0" w:color="auto"/>
            </w:tcBorders>
            <w:shd w:val="clear" w:color="auto" w:fill="C9DED4"/>
            <w:hideMark/>
          </w:tcPr>
          <w:p w14:paraId="3EE3355E" w14:textId="77777777" w:rsidR="004F64EF" w:rsidRPr="003003C0" w:rsidRDefault="004F64EF" w:rsidP="00BE2A9F">
            <w:pPr>
              <w:keepNext/>
              <w:jc w:val="left"/>
              <w:rPr>
                <w:rFonts w:cs="Calibri"/>
                <w:color w:val="000000"/>
                <w:sz w:val="15"/>
                <w:szCs w:val="15"/>
              </w:rPr>
            </w:pPr>
          </w:p>
        </w:tc>
        <w:tc>
          <w:tcPr>
            <w:tcW w:w="2512" w:type="dxa"/>
            <w:vMerge/>
            <w:tcBorders>
              <w:top w:val="single" w:sz="4" w:space="0" w:color="auto"/>
              <w:bottom w:val="single" w:sz="4" w:space="0" w:color="auto"/>
            </w:tcBorders>
            <w:shd w:val="clear" w:color="auto" w:fill="C9DED4"/>
            <w:hideMark/>
          </w:tcPr>
          <w:p w14:paraId="2D83284C" w14:textId="77777777" w:rsidR="004F64EF" w:rsidRPr="003003C0" w:rsidRDefault="004F64EF" w:rsidP="00BE2A9F">
            <w:pPr>
              <w:keepNext/>
              <w:jc w:val="left"/>
              <w:rPr>
                <w:rFonts w:cs="Calibri"/>
                <w:color w:val="000000"/>
                <w:sz w:val="15"/>
                <w:szCs w:val="15"/>
              </w:rPr>
            </w:pPr>
          </w:p>
        </w:tc>
        <w:tc>
          <w:tcPr>
            <w:tcW w:w="1741" w:type="dxa"/>
            <w:vMerge/>
            <w:tcBorders>
              <w:top w:val="single" w:sz="4" w:space="0" w:color="auto"/>
              <w:bottom w:val="single" w:sz="4" w:space="0" w:color="auto"/>
            </w:tcBorders>
            <w:shd w:val="clear" w:color="auto" w:fill="C9DED4"/>
            <w:hideMark/>
          </w:tcPr>
          <w:p w14:paraId="1BADBA96" w14:textId="77777777" w:rsidR="004F64EF" w:rsidRPr="003003C0" w:rsidRDefault="004F64EF" w:rsidP="00BE2A9F">
            <w:pPr>
              <w:keepNext/>
              <w:jc w:val="left"/>
              <w:rPr>
                <w:rFonts w:cs="Calibri"/>
                <w:color w:val="000000"/>
                <w:sz w:val="15"/>
                <w:szCs w:val="15"/>
              </w:rPr>
            </w:pPr>
          </w:p>
        </w:tc>
        <w:tc>
          <w:tcPr>
            <w:tcW w:w="2500" w:type="dxa"/>
            <w:tcBorders>
              <w:top w:val="single" w:sz="4" w:space="0" w:color="auto"/>
              <w:bottom w:val="single" w:sz="4" w:space="0" w:color="auto"/>
            </w:tcBorders>
            <w:shd w:val="clear" w:color="auto" w:fill="C9DED4"/>
            <w:hideMark/>
          </w:tcPr>
          <w:p w14:paraId="72DBD133" w14:textId="77777777" w:rsidR="004F64EF" w:rsidRPr="003003C0" w:rsidRDefault="004F64EF" w:rsidP="00BE2A9F">
            <w:pPr>
              <w:keepNext/>
              <w:jc w:val="left"/>
              <w:rPr>
                <w:rFonts w:cs="Calibri"/>
                <w:color w:val="000000"/>
                <w:sz w:val="15"/>
                <w:szCs w:val="15"/>
              </w:rPr>
            </w:pPr>
            <w:r w:rsidRPr="003003C0">
              <w:rPr>
                <w:rFonts w:cs="Calibri"/>
                <w:color w:val="000000"/>
                <w:sz w:val="15"/>
                <w:szCs w:val="15"/>
              </w:rPr>
              <w:t>G/TBT/N/DOM/225, 9/10/2017</w:t>
            </w:r>
          </w:p>
        </w:tc>
      </w:tr>
      <w:tr w:rsidR="004F64EF" w:rsidRPr="003003C0" w14:paraId="630B3B44" w14:textId="77777777" w:rsidTr="00BE2A9F">
        <w:trPr>
          <w:cnfStyle w:val="000000010000" w:firstRow="0" w:lastRow="0" w:firstColumn="0" w:lastColumn="0" w:oddVBand="0" w:evenVBand="0" w:oddHBand="0" w:evenHBand="1" w:firstRowFirstColumn="0" w:firstRowLastColumn="0" w:lastRowFirstColumn="0" w:lastRowLastColumn="0"/>
        </w:trPr>
        <w:tc>
          <w:tcPr>
            <w:tcW w:w="2263" w:type="dxa"/>
            <w:vMerge/>
            <w:tcBorders>
              <w:top w:val="single" w:sz="4" w:space="0" w:color="auto"/>
              <w:bottom w:val="single" w:sz="4" w:space="0" w:color="auto"/>
            </w:tcBorders>
            <w:hideMark/>
          </w:tcPr>
          <w:p w14:paraId="66638171" w14:textId="77777777" w:rsidR="004F64EF" w:rsidRPr="003003C0" w:rsidRDefault="004F64EF" w:rsidP="00BE2A9F">
            <w:pPr>
              <w:keepNext/>
              <w:jc w:val="left"/>
              <w:rPr>
                <w:rFonts w:cs="Calibri"/>
                <w:color w:val="000000"/>
                <w:sz w:val="15"/>
                <w:szCs w:val="15"/>
              </w:rPr>
            </w:pPr>
          </w:p>
        </w:tc>
        <w:tc>
          <w:tcPr>
            <w:tcW w:w="2512" w:type="dxa"/>
            <w:vMerge/>
            <w:tcBorders>
              <w:top w:val="single" w:sz="4" w:space="0" w:color="auto"/>
              <w:bottom w:val="single" w:sz="4" w:space="0" w:color="auto"/>
            </w:tcBorders>
            <w:hideMark/>
          </w:tcPr>
          <w:p w14:paraId="1269CA28" w14:textId="77777777" w:rsidR="004F64EF" w:rsidRPr="003003C0" w:rsidRDefault="004F64EF" w:rsidP="00BE2A9F">
            <w:pPr>
              <w:keepNext/>
              <w:jc w:val="left"/>
              <w:rPr>
                <w:rFonts w:cs="Calibri"/>
                <w:color w:val="000000"/>
                <w:sz w:val="15"/>
                <w:szCs w:val="15"/>
              </w:rPr>
            </w:pPr>
          </w:p>
        </w:tc>
        <w:tc>
          <w:tcPr>
            <w:tcW w:w="1741" w:type="dxa"/>
            <w:vMerge/>
            <w:tcBorders>
              <w:top w:val="single" w:sz="4" w:space="0" w:color="auto"/>
              <w:bottom w:val="single" w:sz="4" w:space="0" w:color="auto"/>
            </w:tcBorders>
            <w:hideMark/>
          </w:tcPr>
          <w:p w14:paraId="7F7D2EE7" w14:textId="77777777" w:rsidR="004F64EF" w:rsidRPr="003003C0" w:rsidRDefault="004F64EF" w:rsidP="00BE2A9F">
            <w:pPr>
              <w:keepNext/>
              <w:jc w:val="left"/>
              <w:rPr>
                <w:rFonts w:cs="Calibri"/>
                <w:color w:val="000000"/>
                <w:sz w:val="15"/>
                <w:szCs w:val="15"/>
              </w:rPr>
            </w:pPr>
          </w:p>
        </w:tc>
        <w:tc>
          <w:tcPr>
            <w:tcW w:w="2500" w:type="dxa"/>
            <w:tcBorders>
              <w:top w:val="single" w:sz="4" w:space="0" w:color="auto"/>
              <w:bottom w:val="single" w:sz="4" w:space="0" w:color="auto"/>
            </w:tcBorders>
            <w:hideMark/>
          </w:tcPr>
          <w:p w14:paraId="007D53FA" w14:textId="77777777" w:rsidR="004F64EF" w:rsidRPr="003003C0" w:rsidRDefault="004F64EF" w:rsidP="00BE2A9F">
            <w:pPr>
              <w:keepNext/>
              <w:jc w:val="left"/>
              <w:rPr>
                <w:rFonts w:cs="Calibri"/>
                <w:color w:val="000000"/>
                <w:sz w:val="15"/>
                <w:szCs w:val="15"/>
              </w:rPr>
            </w:pPr>
            <w:r w:rsidRPr="003003C0">
              <w:rPr>
                <w:rFonts w:cs="Calibri"/>
                <w:color w:val="000000"/>
                <w:sz w:val="15"/>
                <w:szCs w:val="15"/>
              </w:rPr>
              <w:t>G/TBT/N/DOM/224, 3/10/2017</w:t>
            </w:r>
          </w:p>
        </w:tc>
      </w:tr>
      <w:tr w:rsidR="004F64EF" w:rsidRPr="003003C0" w14:paraId="3F6000C4" w14:textId="77777777" w:rsidTr="00BE2A9F">
        <w:tc>
          <w:tcPr>
            <w:tcW w:w="2263" w:type="dxa"/>
            <w:vMerge/>
            <w:tcBorders>
              <w:top w:val="single" w:sz="4" w:space="0" w:color="auto"/>
              <w:bottom w:val="single" w:sz="4" w:space="0" w:color="auto"/>
            </w:tcBorders>
            <w:shd w:val="clear" w:color="auto" w:fill="C9DED4"/>
            <w:hideMark/>
          </w:tcPr>
          <w:p w14:paraId="40ED884E" w14:textId="77777777" w:rsidR="004F64EF" w:rsidRPr="003003C0" w:rsidRDefault="004F64EF" w:rsidP="00BE2A9F">
            <w:pPr>
              <w:keepNext/>
              <w:jc w:val="left"/>
              <w:rPr>
                <w:rFonts w:cs="Calibri"/>
                <w:color w:val="000000"/>
                <w:sz w:val="15"/>
                <w:szCs w:val="15"/>
              </w:rPr>
            </w:pPr>
          </w:p>
        </w:tc>
        <w:tc>
          <w:tcPr>
            <w:tcW w:w="2512" w:type="dxa"/>
            <w:vMerge/>
            <w:tcBorders>
              <w:top w:val="single" w:sz="4" w:space="0" w:color="auto"/>
              <w:bottom w:val="single" w:sz="4" w:space="0" w:color="auto"/>
            </w:tcBorders>
            <w:shd w:val="clear" w:color="auto" w:fill="C9DED4"/>
            <w:hideMark/>
          </w:tcPr>
          <w:p w14:paraId="7392ED27" w14:textId="77777777" w:rsidR="004F64EF" w:rsidRPr="003003C0" w:rsidRDefault="004F64EF" w:rsidP="00BE2A9F">
            <w:pPr>
              <w:keepNext/>
              <w:jc w:val="left"/>
              <w:rPr>
                <w:rFonts w:cs="Calibri"/>
                <w:color w:val="000000"/>
                <w:sz w:val="15"/>
                <w:szCs w:val="15"/>
              </w:rPr>
            </w:pPr>
          </w:p>
        </w:tc>
        <w:tc>
          <w:tcPr>
            <w:tcW w:w="1741" w:type="dxa"/>
            <w:vMerge/>
            <w:tcBorders>
              <w:top w:val="single" w:sz="4" w:space="0" w:color="auto"/>
              <w:bottom w:val="single" w:sz="4" w:space="0" w:color="auto"/>
            </w:tcBorders>
            <w:shd w:val="clear" w:color="auto" w:fill="C9DED4"/>
            <w:hideMark/>
          </w:tcPr>
          <w:p w14:paraId="66A0E2AF" w14:textId="77777777" w:rsidR="004F64EF" w:rsidRPr="003003C0" w:rsidRDefault="004F64EF" w:rsidP="00BE2A9F">
            <w:pPr>
              <w:keepNext/>
              <w:jc w:val="left"/>
              <w:rPr>
                <w:rFonts w:cs="Calibri"/>
                <w:color w:val="000000"/>
                <w:sz w:val="15"/>
                <w:szCs w:val="15"/>
              </w:rPr>
            </w:pPr>
          </w:p>
        </w:tc>
        <w:tc>
          <w:tcPr>
            <w:tcW w:w="2500" w:type="dxa"/>
            <w:tcBorders>
              <w:top w:val="single" w:sz="4" w:space="0" w:color="auto"/>
              <w:bottom w:val="single" w:sz="4" w:space="0" w:color="auto"/>
            </w:tcBorders>
            <w:shd w:val="clear" w:color="auto" w:fill="C9DED4"/>
            <w:hideMark/>
          </w:tcPr>
          <w:p w14:paraId="4525349B" w14:textId="77777777" w:rsidR="004F64EF" w:rsidRPr="003003C0" w:rsidRDefault="004F64EF" w:rsidP="00BE2A9F">
            <w:pPr>
              <w:keepNext/>
              <w:jc w:val="left"/>
              <w:rPr>
                <w:rFonts w:cs="Calibri"/>
                <w:color w:val="000000"/>
                <w:sz w:val="15"/>
                <w:szCs w:val="15"/>
              </w:rPr>
            </w:pPr>
            <w:r w:rsidRPr="003003C0">
              <w:rPr>
                <w:rFonts w:cs="Calibri"/>
                <w:color w:val="000000"/>
                <w:sz w:val="15"/>
                <w:szCs w:val="15"/>
              </w:rPr>
              <w:t>G/TBT/N/DOM/223, 11/1/2016</w:t>
            </w:r>
          </w:p>
        </w:tc>
      </w:tr>
      <w:tr w:rsidR="004F64EF" w:rsidRPr="003003C0" w14:paraId="5934A66C" w14:textId="77777777" w:rsidTr="00BE2A9F">
        <w:trPr>
          <w:cnfStyle w:val="000000010000" w:firstRow="0" w:lastRow="0" w:firstColumn="0" w:lastColumn="0" w:oddVBand="0" w:evenVBand="0" w:oddHBand="0" w:evenHBand="1" w:firstRowFirstColumn="0" w:firstRowLastColumn="0" w:lastRowFirstColumn="0" w:lastRowLastColumn="0"/>
        </w:trPr>
        <w:tc>
          <w:tcPr>
            <w:tcW w:w="2263" w:type="dxa"/>
            <w:vMerge/>
            <w:tcBorders>
              <w:top w:val="single" w:sz="4" w:space="0" w:color="auto"/>
              <w:bottom w:val="single" w:sz="4" w:space="0" w:color="auto"/>
            </w:tcBorders>
            <w:hideMark/>
          </w:tcPr>
          <w:p w14:paraId="610A2C9A" w14:textId="77777777" w:rsidR="004F64EF" w:rsidRPr="003003C0" w:rsidRDefault="004F64EF" w:rsidP="00BE2A9F">
            <w:pPr>
              <w:keepNext/>
              <w:jc w:val="left"/>
              <w:rPr>
                <w:rFonts w:cs="Calibri"/>
                <w:color w:val="000000"/>
                <w:sz w:val="15"/>
                <w:szCs w:val="15"/>
              </w:rPr>
            </w:pPr>
          </w:p>
        </w:tc>
        <w:tc>
          <w:tcPr>
            <w:tcW w:w="2512" w:type="dxa"/>
            <w:vMerge/>
            <w:tcBorders>
              <w:top w:val="single" w:sz="4" w:space="0" w:color="auto"/>
              <w:bottom w:val="single" w:sz="4" w:space="0" w:color="auto"/>
            </w:tcBorders>
            <w:hideMark/>
          </w:tcPr>
          <w:p w14:paraId="5E5E0222" w14:textId="77777777" w:rsidR="004F64EF" w:rsidRPr="003003C0" w:rsidRDefault="004F64EF" w:rsidP="00BE2A9F">
            <w:pPr>
              <w:keepNext/>
              <w:jc w:val="left"/>
              <w:rPr>
                <w:rFonts w:cs="Calibri"/>
                <w:color w:val="000000"/>
                <w:sz w:val="15"/>
                <w:szCs w:val="15"/>
              </w:rPr>
            </w:pPr>
          </w:p>
        </w:tc>
        <w:tc>
          <w:tcPr>
            <w:tcW w:w="1741" w:type="dxa"/>
            <w:vMerge/>
            <w:tcBorders>
              <w:top w:val="single" w:sz="4" w:space="0" w:color="auto"/>
              <w:bottom w:val="single" w:sz="4" w:space="0" w:color="auto"/>
            </w:tcBorders>
            <w:hideMark/>
          </w:tcPr>
          <w:p w14:paraId="5784CBA9" w14:textId="77777777" w:rsidR="004F64EF" w:rsidRPr="003003C0" w:rsidRDefault="004F64EF" w:rsidP="00BE2A9F">
            <w:pPr>
              <w:keepNext/>
              <w:jc w:val="left"/>
              <w:rPr>
                <w:rFonts w:cs="Calibri"/>
                <w:color w:val="000000"/>
                <w:sz w:val="15"/>
                <w:szCs w:val="15"/>
              </w:rPr>
            </w:pPr>
          </w:p>
        </w:tc>
        <w:tc>
          <w:tcPr>
            <w:tcW w:w="2500" w:type="dxa"/>
            <w:tcBorders>
              <w:top w:val="single" w:sz="4" w:space="0" w:color="auto"/>
              <w:bottom w:val="single" w:sz="4" w:space="0" w:color="auto"/>
            </w:tcBorders>
            <w:hideMark/>
          </w:tcPr>
          <w:p w14:paraId="1C85EF29" w14:textId="77777777" w:rsidR="004F64EF" w:rsidRPr="003003C0" w:rsidRDefault="004F64EF" w:rsidP="00BE2A9F">
            <w:pPr>
              <w:keepNext/>
              <w:jc w:val="left"/>
              <w:rPr>
                <w:rFonts w:cs="Calibri"/>
                <w:color w:val="000000"/>
                <w:sz w:val="15"/>
                <w:szCs w:val="15"/>
              </w:rPr>
            </w:pPr>
            <w:r w:rsidRPr="003003C0">
              <w:rPr>
                <w:rFonts w:cs="Calibri"/>
                <w:color w:val="000000"/>
                <w:sz w:val="15"/>
                <w:szCs w:val="15"/>
              </w:rPr>
              <w:t>G/TBT/N/DOM/222, 23/3/2015</w:t>
            </w:r>
          </w:p>
        </w:tc>
      </w:tr>
      <w:tr w:rsidR="004F64EF" w:rsidRPr="003003C0" w14:paraId="102D2022" w14:textId="77777777" w:rsidTr="00BE2A9F">
        <w:tc>
          <w:tcPr>
            <w:tcW w:w="2263" w:type="dxa"/>
            <w:vMerge/>
            <w:tcBorders>
              <w:top w:val="single" w:sz="4" w:space="0" w:color="auto"/>
              <w:bottom w:val="single" w:sz="4" w:space="0" w:color="auto"/>
            </w:tcBorders>
            <w:shd w:val="clear" w:color="auto" w:fill="C9DED4"/>
            <w:hideMark/>
          </w:tcPr>
          <w:p w14:paraId="53E175B8" w14:textId="77777777" w:rsidR="004F64EF" w:rsidRPr="003003C0" w:rsidRDefault="004F64EF" w:rsidP="00BE2A9F">
            <w:pPr>
              <w:keepNext/>
              <w:jc w:val="left"/>
              <w:rPr>
                <w:rFonts w:cs="Calibri"/>
                <w:color w:val="000000"/>
                <w:sz w:val="15"/>
                <w:szCs w:val="15"/>
              </w:rPr>
            </w:pPr>
          </w:p>
        </w:tc>
        <w:tc>
          <w:tcPr>
            <w:tcW w:w="2512" w:type="dxa"/>
            <w:vMerge/>
            <w:tcBorders>
              <w:top w:val="single" w:sz="4" w:space="0" w:color="auto"/>
              <w:bottom w:val="single" w:sz="4" w:space="0" w:color="auto"/>
            </w:tcBorders>
            <w:shd w:val="clear" w:color="auto" w:fill="C9DED4"/>
            <w:hideMark/>
          </w:tcPr>
          <w:p w14:paraId="0B6DF0AF" w14:textId="77777777" w:rsidR="004F64EF" w:rsidRPr="003003C0" w:rsidRDefault="004F64EF" w:rsidP="00BE2A9F">
            <w:pPr>
              <w:keepNext/>
              <w:jc w:val="left"/>
              <w:rPr>
                <w:rFonts w:cs="Calibri"/>
                <w:color w:val="000000"/>
                <w:sz w:val="15"/>
                <w:szCs w:val="15"/>
              </w:rPr>
            </w:pPr>
          </w:p>
        </w:tc>
        <w:tc>
          <w:tcPr>
            <w:tcW w:w="1741" w:type="dxa"/>
            <w:vMerge/>
            <w:tcBorders>
              <w:top w:val="single" w:sz="4" w:space="0" w:color="auto"/>
              <w:bottom w:val="single" w:sz="4" w:space="0" w:color="auto"/>
            </w:tcBorders>
            <w:shd w:val="clear" w:color="auto" w:fill="C9DED4"/>
            <w:hideMark/>
          </w:tcPr>
          <w:p w14:paraId="13B71F13" w14:textId="77777777" w:rsidR="004F64EF" w:rsidRPr="003003C0" w:rsidRDefault="004F64EF" w:rsidP="00BE2A9F">
            <w:pPr>
              <w:keepNext/>
              <w:jc w:val="left"/>
              <w:rPr>
                <w:rFonts w:cs="Calibri"/>
                <w:color w:val="000000"/>
                <w:sz w:val="15"/>
                <w:szCs w:val="15"/>
              </w:rPr>
            </w:pPr>
          </w:p>
        </w:tc>
        <w:tc>
          <w:tcPr>
            <w:tcW w:w="2500" w:type="dxa"/>
            <w:tcBorders>
              <w:top w:val="single" w:sz="4" w:space="0" w:color="auto"/>
              <w:bottom w:val="single" w:sz="4" w:space="0" w:color="auto"/>
            </w:tcBorders>
            <w:shd w:val="clear" w:color="auto" w:fill="C9DED4"/>
            <w:hideMark/>
          </w:tcPr>
          <w:p w14:paraId="732FE9E6" w14:textId="77777777" w:rsidR="004F64EF" w:rsidRPr="003003C0" w:rsidRDefault="004F64EF" w:rsidP="00BE2A9F">
            <w:pPr>
              <w:keepNext/>
              <w:jc w:val="left"/>
              <w:rPr>
                <w:rFonts w:cs="Calibri"/>
                <w:color w:val="000000"/>
                <w:sz w:val="15"/>
                <w:szCs w:val="15"/>
              </w:rPr>
            </w:pPr>
            <w:r w:rsidRPr="003003C0">
              <w:rPr>
                <w:rFonts w:cs="Calibri"/>
                <w:color w:val="000000"/>
                <w:sz w:val="15"/>
                <w:szCs w:val="15"/>
              </w:rPr>
              <w:t>G/TBT/N/DOM/221, 23/3/2015</w:t>
            </w:r>
          </w:p>
        </w:tc>
      </w:tr>
      <w:tr w:rsidR="004F64EF" w:rsidRPr="003003C0" w14:paraId="0016AF45" w14:textId="77777777" w:rsidTr="00BE2A9F">
        <w:trPr>
          <w:cnfStyle w:val="000000010000" w:firstRow="0" w:lastRow="0" w:firstColumn="0" w:lastColumn="0" w:oddVBand="0" w:evenVBand="0" w:oddHBand="0" w:evenHBand="1" w:firstRowFirstColumn="0" w:firstRowLastColumn="0" w:lastRowFirstColumn="0" w:lastRowLastColumn="0"/>
        </w:trPr>
        <w:tc>
          <w:tcPr>
            <w:tcW w:w="2263" w:type="dxa"/>
            <w:vMerge w:val="restart"/>
            <w:tcBorders>
              <w:top w:val="single" w:sz="4" w:space="0" w:color="auto"/>
              <w:bottom w:val="single" w:sz="4" w:space="0" w:color="auto"/>
            </w:tcBorders>
            <w:hideMark/>
          </w:tcPr>
          <w:p w14:paraId="2E366A55" w14:textId="77777777" w:rsidR="004F64EF" w:rsidRPr="003003C0" w:rsidRDefault="004F64EF" w:rsidP="00706642">
            <w:pPr>
              <w:jc w:val="left"/>
              <w:rPr>
                <w:rFonts w:cs="Calibri"/>
                <w:color w:val="000000"/>
                <w:sz w:val="15"/>
                <w:szCs w:val="15"/>
              </w:rPr>
            </w:pPr>
            <w:r w:rsidRPr="003003C0">
              <w:rPr>
                <w:rFonts w:cs="Calibri"/>
                <w:color w:val="000000"/>
                <w:sz w:val="15"/>
                <w:szCs w:val="15"/>
              </w:rPr>
              <w:t>Art</w:t>
            </w:r>
            <w:r>
              <w:rPr>
                <w:rFonts w:cs="Calibri"/>
                <w:color w:val="000000"/>
                <w:sz w:val="15"/>
                <w:szCs w:val="15"/>
              </w:rPr>
              <w:t>icles</w:t>
            </w:r>
            <w:r w:rsidRPr="003003C0">
              <w:rPr>
                <w:rFonts w:cs="Calibri"/>
                <w:color w:val="000000"/>
                <w:sz w:val="15"/>
                <w:szCs w:val="15"/>
              </w:rPr>
              <w:t xml:space="preserve"> 2.9 </w:t>
            </w:r>
            <w:r>
              <w:rPr>
                <w:rFonts w:cs="Calibri"/>
                <w:color w:val="000000"/>
                <w:sz w:val="15"/>
                <w:szCs w:val="15"/>
              </w:rPr>
              <w:t>and</w:t>
            </w:r>
            <w:r w:rsidRPr="003003C0">
              <w:rPr>
                <w:rFonts w:cs="Calibri"/>
                <w:color w:val="000000"/>
                <w:sz w:val="15"/>
                <w:szCs w:val="15"/>
              </w:rPr>
              <w:t xml:space="preserve"> 5.6</w:t>
            </w:r>
          </w:p>
        </w:tc>
        <w:tc>
          <w:tcPr>
            <w:tcW w:w="2512" w:type="dxa"/>
            <w:vMerge w:val="restart"/>
            <w:tcBorders>
              <w:top w:val="single" w:sz="4" w:space="0" w:color="auto"/>
              <w:bottom w:val="single" w:sz="4" w:space="0" w:color="auto"/>
            </w:tcBorders>
            <w:hideMark/>
          </w:tcPr>
          <w:p w14:paraId="7899F845" w14:textId="77777777" w:rsidR="004F64EF" w:rsidRPr="003003C0" w:rsidRDefault="004F64EF" w:rsidP="00706642">
            <w:pPr>
              <w:jc w:val="left"/>
              <w:rPr>
                <w:rFonts w:cs="Calibri"/>
                <w:color w:val="000000"/>
                <w:sz w:val="15"/>
                <w:szCs w:val="15"/>
              </w:rPr>
            </w:pPr>
            <w:r w:rsidRPr="00437FC4">
              <w:rPr>
                <w:rFonts w:cs="Calibri"/>
                <w:color w:val="000000"/>
                <w:sz w:val="15"/>
                <w:szCs w:val="15"/>
              </w:rPr>
              <w:t>Technical regulations</w:t>
            </w:r>
            <w:r>
              <w:rPr>
                <w:rFonts w:cs="Calibri"/>
                <w:color w:val="000000"/>
                <w:sz w:val="15"/>
                <w:szCs w:val="15"/>
              </w:rPr>
              <w:t xml:space="preserve"> and</w:t>
            </w:r>
            <w:r w:rsidRPr="00437FC4">
              <w:rPr>
                <w:rFonts w:cs="Calibri"/>
                <w:color w:val="000000"/>
                <w:sz w:val="15"/>
                <w:szCs w:val="15"/>
              </w:rPr>
              <w:t xml:space="preserve"> conformity assessment procedures</w:t>
            </w:r>
          </w:p>
        </w:tc>
        <w:tc>
          <w:tcPr>
            <w:tcW w:w="1741" w:type="dxa"/>
            <w:vMerge w:val="restart"/>
            <w:tcBorders>
              <w:top w:val="single" w:sz="4" w:space="0" w:color="auto"/>
              <w:bottom w:val="single" w:sz="4" w:space="0" w:color="auto"/>
            </w:tcBorders>
            <w:hideMark/>
          </w:tcPr>
          <w:p w14:paraId="45D67483" w14:textId="77777777" w:rsidR="004F64EF" w:rsidRPr="003003C0" w:rsidRDefault="004F64EF" w:rsidP="00706642">
            <w:pPr>
              <w:jc w:val="left"/>
              <w:rPr>
                <w:rFonts w:cs="Calibri"/>
                <w:i/>
                <w:iCs/>
                <w:color w:val="000000"/>
                <w:sz w:val="15"/>
                <w:szCs w:val="15"/>
              </w:rPr>
            </w:pPr>
            <w:r w:rsidRPr="003003C0">
              <w:rPr>
                <w:rFonts w:cs="Calibri"/>
                <w:i/>
                <w:iCs/>
                <w:color w:val="000000"/>
                <w:sz w:val="15"/>
                <w:szCs w:val="15"/>
              </w:rPr>
              <w:t>Ad hoc</w:t>
            </w:r>
          </w:p>
        </w:tc>
        <w:tc>
          <w:tcPr>
            <w:tcW w:w="2500" w:type="dxa"/>
            <w:tcBorders>
              <w:top w:val="single" w:sz="4" w:space="0" w:color="auto"/>
              <w:bottom w:val="single" w:sz="4" w:space="0" w:color="auto"/>
            </w:tcBorders>
            <w:hideMark/>
          </w:tcPr>
          <w:p w14:paraId="4F40B2C2" w14:textId="77777777" w:rsidR="004F64EF" w:rsidRPr="003003C0" w:rsidRDefault="004F64EF" w:rsidP="00706642">
            <w:pPr>
              <w:jc w:val="left"/>
              <w:rPr>
                <w:rFonts w:cs="Calibri"/>
                <w:color w:val="000000"/>
                <w:sz w:val="15"/>
                <w:szCs w:val="15"/>
              </w:rPr>
            </w:pPr>
            <w:r w:rsidRPr="003003C0">
              <w:rPr>
                <w:rFonts w:cs="Calibri"/>
                <w:color w:val="000000"/>
                <w:sz w:val="15"/>
                <w:szCs w:val="15"/>
              </w:rPr>
              <w:t>G/TBT/N/DOM/221/Rev.1, 27/5/2021</w:t>
            </w:r>
          </w:p>
        </w:tc>
      </w:tr>
      <w:tr w:rsidR="004F64EF" w:rsidRPr="003003C0" w14:paraId="71A4003A" w14:textId="77777777" w:rsidTr="00BE2A9F">
        <w:tc>
          <w:tcPr>
            <w:tcW w:w="2263" w:type="dxa"/>
            <w:vMerge/>
            <w:tcBorders>
              <w:top w:val="single" w:sz="4" w:space="0" w:color="auto"/>
              <w:bottom w:val="single" w:sz="4" w:space="0" w:color="auto"/>
            </w:tcBorders>
            <w:shd w:val="clear" w:color="auto" w:fill="FFFFFF" w:themeFill="background1"/>
            <w:hideMark/>
          </w:tcPr>
          <w:p w14:paraId="014EA809" w14:textId="77777777" w:rsidR="004F64EF" w:rsidRPr="003003C0" w:rsidRDefault="004F64EF" w:rsidP="00706642">
            <w:pPr>
              <w:jc w:val="left"/>
              <w:rPr>
                <w:rFonts w:cs="Calibri"/>
                <w:color w:val="000000"/>
                <w:sz w:val="15"/>
                <w:szCs w:val="15"/>
              </w:rPr>
            </w:pPr>
          </w:p>
        </w:tc>
        <w:tc>
          <w:tcPr>
            <w:tcW w:w="2512" w:type="dxa"/>
            <w:vMerge/>
            <w:tcBorders>
              <w:top w:val="single" w:sz="4" w:space="0" w:color="auto"/>
              <w:bottom w:val="single" w:sz="4" w:space="0" w:color="auto"/>
            </w:tcBorders>
            <w:shd w:val="clear" w:color="auto" w:fill="FFFFFF" w:themeFill="background1"/>
            <w:hideMark/>
          </w:tcPr>
          <w:p w14:paraId="41911D10" w14:textId="77777777" w:rsidR="004F64EF" w:rsidRPr="003003C0" w:rsidRDefault="004F64EF" w:rsidP="00706642">
            <w:pPr>
              <w:jc w:val="left"/>
              <w:rPr>
                <w:rFonts w:cs="Calibri"/>
                <w:color w:val="000000"/>
                <w:sz w:val="15"/>
                <w:szCs w:val="15"/>
              </w:rPr>
            </w:pPr>
          </w:p>
        </w:tc>
        <w:tc>
          <w:tcPr>
            <w:tcW w:w="1741" w:type="dxa"/>
            <w:vMerge/>
            <w:tcBorders>
              <w:top w:val="single" w:sz="4" w:space="0" w:color="auto"/>
              <w:bottom w:val="single" w:sz="4" w:space="0" w:color="auto"/>
            </w:tcBorders>
            <w:shd w:val="clear" w:color="auto" w:fill="FFFFFF" w:themeFill="background1"/>
            <w:hideMark/>
          </w:tcPr>
          <w:p w14:paraId="7714D45B" w14:textId="77777777" w:rsidR="004F64EF" w:rsidRPr="003003C0" w:rsidRDefault="004F64EF" w:rsidP="00706642">
            <w:pPr>
              <w:jc w:val="left"/>
              <w:rPr>
                <w:rFonts w:cs="Calibri"/>
                <w:color w:val="000000"/>
                <w:sz w:val="15"/>
                <w:szCs w:val="15"/>
              </w:rPr>
            </w:pPr>
          </w:p>
        </w:tc>
        <w:tc>
          <w:tcPr>
            <w:tcW w:w="2500" w:type="dxa"/>
            <w:tcBorders>
              <w:top w:val="single" w:sz="4" w:space="0" w:color="auto"/>
              <w:bottom w:val="single" w:sz="4" w:space="0" w:color="auto"/>
            </w:tcBorders>
            <w:shd w:val="clear" w:color="auto" w:fill="C9DED4"/>
            <w:hideMark/>
          </w:tcPr>
          <w:p w14:paraId="752398A6" w14:textId="77777777" w:rsidR="004F64EF" w:rsidRPr="003003C0" w:rsidRDefault="004F64EF" w:rsidP="00706642">
            <w:pPr>
              <w:jc w:val="left"/>
              <w:rPr>
                <w:rFonts w:cs="Calibri"/>
                <w:color w:val="000000"/>
                <w:sz w:val="15"/>
                <w:szCs w:val="15"/>
              </w:rPr>
            </w:pPr>
            <w:r w:rsidRPr="003003C0">
              <w:rPr>
                <w:rFonts w:cs="Calibri"/>
                <w:color w:val="000000"/>
                <w:sz w:val="15"/>
                <w:szCs w:val="15"/>
              </w:rPr>
              <w:t>G/TBT/N/DOM/231, 3/9/2019</w:t>
            </w:r>
          </w:p>
        </w:tc>
      </w:tr>
      <w:tr w:rsidR="004F64EF" w:rsidRPr="003003C0" w14:paraId="272856FC" w14:textId="77777777" w:rsidTr="00BE2A9F">
        <w:trPr>
          <w:cnfStyle w:val="000000010000" w:firstRow="0" w:lastRow="0" w:firstColumn="0" w:lastColumn="0" w:oddVBand="0" w:evenVBand="0" w:oddHBand="0" w:evenHBand="1" w:firstRowFirstColumn="0" w:firstRowLastColumn="0" w:lastRowFirstColumn="0" w:lastRowLastColumn="0"/>
        </w:trPr>
        <w:tc>
          <w:tcPr>
            <w:tcW w:w="2263" w:type="dxa"/>
            <w:vMerge/>
            <w:tcBorders>
              <w:top w:val="single" w:sz="4" w:space="0" w:color="auto"/>
              <w:bottom w:val="single" w:sz="4" w:space="0" w:color="auto"/>
            </w:tcBorders>
            <w:shd w:val="clear" w:color="auto" w:fill="FFFFFF" w:themeFill="background1"/>
            <w:hideMark/>
          </w:tcPr>
          <w:p w14:paraId="3BA9AEE0" w14:textId="77777777" w:rsidR="004F64EF" w:rsidRPr="003003C0" w:rsidRDefault="004F64EF" w:rsidP="00706642">
            <w:pPr>
              <w:jc w:val="left"/>
              <w:rPr>
                <w:rFonts w:cs="Calibri"/>
                <w:color w:val="000000"/>
                <w:sz w:val="15"/>
                <w:szCs w:val="15"/>
              </w:rPr>
            </w:pPr>
          </w:p>
        </w:tc>
        <w:tc>
          <w:tcPr>
            <w:tcW w:w="2512" w:type="dxa"/>
            <w:vMerge/>
            <w:tcBorders>
              <w:top w:val="single" w:sz="4" w:space="0" w:color="auto"/>
              <w:bottom w:val="single" w:sz="4" w:space="0" w:color="auto"/>
            </w:tcBorders>
            <w:shd w:val="clear" w:color="auto" w:fill="FFFFFF" w:themeFill="background1"/>
            <w:hideMark/>
          </w:tcPr>
          <w:p w14:paraId="77A6A050" w14:textId="77777777" w:rsidR="004F64EF" w:rsidRPr="003003C0" w:rsidRDefault="004F64EF" w:rsidP="00706642">
            <w:pPr>
              <w:jc w:val="left"/>
              <w:rPr>
                <w:rFonts w:cs="Calibri"/>
                <w:color w:val="000000"/>
                <w:sz w:val="15"/>
                <w:szCs w:val="15"/>
              </w:rPr>
            </w:pPr>
          </w:p>
        </w:tc>
        <w:tc>
          <w:tcPr>
            <w:tcW w:w="1741" w:type="dxa"/>
            <w:vMerge/>
            <w:tcBorders>
              <w:top w:val="single" w:sz="4" w:space="0" w:color="auto"/>
              <w:bottom w:val="single" w:sz="4" w:space="0" w:color="auto"/>
            </w:tcBorders>
            <w:shd w:val="clear" w:color="auto" w:fill="FFFFFF" w:themeFill="background1"/>
            <w:hideMark/>
          </w:tcPr>
          <w:p w14:paraId="4E610E34" w14:textId="77777777" w:rsidR="004F64EF" w:rsidRPr="003003C0" w:rsidRDefault="004F64EF" w:rsidP="00706642">
            <w:pPr>
              <w:jc w:val="left"/>
              <w:rPr>
                <w:rFonts w:cs="Calibri"/>
                <w:color w:val="000000"/>
                <w:sz w:val="15"/>
                <w:szCs w:val="15"/>
              </w:rPr>
            </w:pPr>
          </w:p>
        </w:tc>
        <w:tc>
          <w:tcPr>
            <w:tcW w:w="2500" w:type="dxa"/>
            <w:tcBorders>
              <w:top w:val="single" w:sz="4" w:space="0" w:color="auto"/>
              <w:bottom w:val="single" w:sz="4" w:space="0" w:color="auto"/>
            </w:tcBorders>
            <w:hideMark/>
          </w:tcPr>
          <w:p w14:paraId="7C6AC584" w14:textId="77777777" w:rsidR="004F64EF" w:rsidRPr="003003C0" w:rsidRDefault="004F64EF" w:rsidP="00706642">
            <w:pPr>
              <w:jc w:val="left"/>
              <w:rPr>
                <w:rFonts w:cs="Calibri"/>
                <w:color w:val="000000"/>
                <w:sz w:val="15"/>
                <w:szCs w:val="15"/>
              </w:rPr>
            </w:pPr>
            <w:r w:rsidRPr="003003C0">
              <w:rPr>
                <w:rFonts w:cs="Calibri"/>
                <w:color w:val="000000"/>
                <w:sz w:val="15"/>
                <w:szCs w:val="15"/>
              </w:rPr>
              <w:t>G/TBT/N/DOM/230, 3/9/2019</w:t>
            </w:r>
          </w:p>
        </w:tc>
      </w:tr>
      <w:tr w:rsidR="004F64EF" w:rsidRPr="003003C0" w14:paraId="5A0BF97C" w14:textId="77777777" w:rsidTr="00BE2A9F">
        <w:tc>
          <w:tcPr>
            <w:tcW w:w="2263" w:type="dxa"/>
            <w:vMerge/>
            <w:tcBorders>
              <w:top w:val="single" w:sz="4" w:space="0" w:color="auto"/>
              <w:bottom w:val="single" w:sz="4" w:space="0" w:color="auto"/>
            </w:tcBorders>
            <w:shd w:val="clear" w:color="auto" w:fill="FFFFFF" w:themeFill="background1"/>
            <w:hideMark/>
          </w:tcPr>
          <w:p w14:paraId="519DC91A" w14:textId="77777777" w:rsidR="004F64EF" w:rsidRPr="003003C0" w:rsidRDefault="004F64EF" w:rsidP="00706642">
            <w:pPr>
              <w:jc w:val="left"/>
              <w:rPr>
                <w:rFonts w:cs="Calibri"/>
                <w:color w:val="000000"/>
                <w:sz w:val="15"/>
                <w:szCs w:val="15"/>
              </w:rPr>
            </w:pPr>
          </w:p>
        </w:tc>
        <w:tc>
          <w:tcPr>
            <w:tcW w:w="2512" w:type="dxa"/>
            <w:vMerge/>
            <w:tcBorders>
              <w:top w:val="single" w:sz="4" w:space="0" w:color="auto"/>
              <w:bottom w:val="single" w:sz="4" w:space="0" w:color="auto"/>
            </w:tcBorders>
            <w:shd w:val="clear" w:color="auto" w:fill="FFFFFF" w:themeFill="background1"/>
            <w:hideMark/>
          </w:tcPr>
          <w:p w14:paraId="2D38D632" w14:textId="77777777" w:rsidR="004F64EF" w:rsidRPr="003003C0" w:rsidRDefault="004F64EF" w:rsidP="00706642">
            <w:pPr>
              <w:jc w:val="left"/>
              <w:rPr>
                <w:rFonts w:cs="Calibri"/>
                <w:color w:val="000000"/>
                <w:sz w:val="15"/>
                <w:szCs w:val="15"/>
              </w:rPr>
            </w:pPr>
          </w:p>
        </w:tc>
        <w:tc>
          <w:tcPr>
            <w:tcW w:w="1741" w:type="dxa"/>
            <w:vMerge/>
            <w:tcBorders>
              <w:top w:val="single" w:sz="4" w:space="0" w:color="auto"/>
              <w:bottom w:val="single" w:sz="4" w:space="0" w:color="auto"/>
            </w:tcBorders>
            <w:shd w:val="clear" w:color="auto" w:fill="FFFFFF" w:themeFill="background1"/>
            <w:hideMark/>
          </w:tcPr>
          <w:p w14:paraId="787DF748" w14:textId="77777777" w:rsidR="004F64EF" w:rsidRPr="003003C0" w:rsidRDefault="004F64EF" w:rsidP="00706642">
            <w:pPr>
              <w:jc w:val="left"/>
              <w:rPr>
                <w:rFonts w:cs="Calibri"/>
                <w:color w:val="000000"/>
                <w:sz w:val="15"/>
                <w:szCs w:val="15"/>
              </w:rPr>
            </w:pPr>
          </w:p>
        </w:tc>
        <w:tc>
          <w:tcPr>
            <w:tcW w:w="2500" w:type="dxa"/>
            <w:tcBorders>
              <w:top w:val="single" w:sz="4" w:space="0" w:color="auto"/>
              <w:bottom w:val="single" w:sz="4" w:space="0" w:color="auto"/>
            </w:tcBorders>
            <w:shd w:val="clear" w:color="auto" w:fill="C9DED4"/>
            <w:hideMark/>
          </w:tcPr>
          <w:p w14:paraId="13846B10" w14:textId="77777777" w:rsidR="004F64EF" w:rsidRPr="003003C0" w:rsidRDefault="004F64EF" w:rsidP="00706642">
            <w:pPr>
              <w:jc w:val="left"/>
              <w:rPr>
                <w:rFonts w:cs="Calibri"/>
                <w:color w:val="000000"/>
                <w:sz w:val="15"/>
                <w:szCs w:val="15"/>
              </w:rPr>
            </w:pPr>
            <w:r w:rsidRPr="003003C0">
              <w:rPr>
                <w:rFonts w:cs="Calibri"/>
                <w:color w:val="000000"/>
                <w:sz w:val="15"/>
                <w:szCs w:val="15"/>
              </w:rPr>
              <w:t>G/TBT/N/DOM/229, 3/4/2019</w:t>
            </w:r>
          </w:p>
        </w:tc>
      </w:tr>
      <w:tr w:rsidR="004F64EF" w:rsidRPr="003003C0" w14:paraId="17775805" w14:textId="77777777" w:rsidTr="00BE2A9F">
        <w:trPr>
          <w:cnfStyle w:val="000000010000" w:firstRow="0" w:lastRow="0" w:firstColumn="0" w:lastColumn="0" w:oddVBand="0" w:evenVBand="0" w:oddHBand="0" w:evenHBand="1" w:firstRowFirstColumn="0" w:firstRowLastColumn="0" w:lastRowFirstColumn="0" w:lastRowLastColumn="0"/>
        </w:trPr>
        <w:tc>
          <w:tcPr>
            <w:tcW w:w="2263" w:type="dxa"/>
            <w:vMerge/>
            <w:tcBorders>
              <w:top w:val="single" w:sz="4" w:space="0" w:color="auto"/>
              <w:bottom w:val="single" w:sz="4" w:space="0" w:color="auto"/>
            </w:tcBorders>
            <w:shd w:val="clear" w:color="auto" w:fill="FFFFFF" w:themeFill="background1"/>
            <w:hideMark/>
          </w:tcPr>
          <w:p w14:paraId="186EFE7D" w14:textId="77777777" w:rsidR="004F64EF" w:rsidRPr="003003C0" w:rsidRDefault="004F64EF" w:rsidP="00706642">
            <w:pPr>
              <w:jc w:val="left"/>
              <w:rPr>
                <w:rFonts w:cs="Calibri"/>
                <w:color w:val="000000"/>
                <w:sz w:val="15"/>
                <w:szCs w:val="15"/>
              </w:rPr>
            </w:pPr>
          </w:p>
        </w:tc>
        <w:tc>
          <w:tcPr>
            <w:tcW w:w="2512" w:type="dxa"/>
            <w:vMerge/>
            <w:tcBorders>
              <w:top w:val="single" w:sz="4" w:space="0" w:color="auto"/>
              <w:bottom w:val="single" w:sz="4" w:space="0" w:color="auto"/>
            </w:tcBorders>
            <w:shd w:val="clear" w:color="auto" w:fill="FFFFFF" w:themeFill="background1"/>
            <w:hideMark/>
          </w:tcPr>
          <w:p w14:paraId="7525BF39" w14:textId="77777777" w:rsidR="004F64EF" w:rsidRPr="003003C0" w:rsidRDefault="004F64EF" w:rsidP="00706642">
            <w:pPr>
              <w:jc w:val="left"/>
              <w:rPr>
                <w:rFonts w:cs="Calibri"/>
                <w:color w:val="000000"/>
                <w:sz w:val="15"/>
                <w:szCs w:val="15"/>
              </w:rPr>
            </w:pPr>
          </w:p>
        </w:tc>
        <w:tc>
          <w:tcPr>
            <w:tcW w:w="1741" w:type="dxa"/>
            <w:vMerge/>
            <w:tcBorders>
              <w:top w:val="single" w:sz="4" w:space="0" w:color="auto"/>
              <w:bottom w:val="single" w:sz="4" w:space="0" w:color="auto"/>
            </w:tcBorders>
            <w:shd w:val="clear" w:color="auto" w:fill="FFFFFF" w:themeFill="background1"/>
            <w:hideMark/>
          </w:tcPr>
          <w:p w14:paraId="4425E84A" w14:textId="77777777" w:rsidR="004F64EF" w:rsidRPr="003003C0" w:rsidRDefault="004F64EF" w:rsidP="00706642">
            <w:pPr>
              <w:jc w:val="left"/>
              <w:rPr>
                <w:rFonts w:cs="Calibri"/>
                <w:color w:val="000000"/>
                <w:sz w:val="15"/>
                <w:szCs w:val="15"/>
              </w:rPr>
            </w:pPr>
          </w:p>
        </w:tc>
        <w:tc>
          <w:tcPr>
            <w:tcW w:w="2500" w:type="dxa"/>
            <w:tcBorders>
              <w:top w:val="single" w:sz="4" w:space="0" w:color="auto"/>
              <w:bottom w:val="single" w:sz="4" w:space="0" w:color="auto"/>
            </w:tcBorders>
            <w:hideMark/>
          </w:tcPr>
          <w:p w14:paraId="7D4D3F03" w14:textId="77777777" w:rsidR="004F64EF" w:rsidRPr="003003C0" w:rsidRDefault="004F64EF" w:rsidP="00706642">
            <w:pPr>
              <w:jc w:val="left"/>
              <w:rPr>
                <w:rFonts w:cs="Calibri"/>
                <w:color w:val="000000"/>
                <w:sz w:val="15"/>
                <w:szCs w:val="15"/>
              </w:rPr>
            </w:pPr>
            <w:r w:rsidRPr="003003C0">
              <w:rPr>
                <w:rFonts w:cs="Calibri"/>
                <w:color w:val="000000"/>
                <w:sz w:val="15"/>
                <w:szCs w:val="15"/>
              </w:rPr>
              <w:t>G/TBT/N/DOM/227, 9/3/2018</w:t>
            </w:r>
          </w:p>
        </w:tc>
      </w:tr>
      <w:tr w:rsidR="004F64EF" w:rsidRPr="003003C0" w14:paraId="7AA19E05" w14:textId="77777777" w:rsidTr="00BE2A9F">
        <w:tc>
          <w:tcPr>
            <w:tcW w:w="2263" w:type="dxa"/>
            <w:vMerge/>
            <w:tcBorders>
              <w:top w:val="single" w:sz="4" w:space="0" w:color="auto"/>
              <w:bottom w:val="single" w:sz="4" w:space="0" w:color="auto"/>
            </w:tcBorders>
            <w:shd w:val="clear" w:color="auto" w:fill="FFFFFF" w:themeFill="background1"/>
            <w:hideMark/>
          </w:tcPr>
          <w:p w14:paraId="58786A18" w14:textId="77777777" w:rsidR="004F64EF" w:rsidRPr="003003C0" w:rsidRDefault="004F64EF" w:rsidP="00706642">
            <w:pPr>
              <w:jc w:val="left"/>
              <w:rPr>
                <w:rFonts w:cs="Calibri"/>
                <w:color w:val="000000"/>
                <w:sz w:val="15"/>
                <w:szCs w:val="15"/>
              </w:rPr>
            </w:pPr>
          </w:p>
        </w:tc>
        <w:tc>
          <w:tcPr>
            <w:tcW w:w="2512" w:type="dxa"/>
            <w:vMerge/>
            <w:tcBorders>
              <w:top w:val="single" w:sz="4" w:space="0" w:color="auto"/>
              <w:bottom w:val="single" w:sz="4" w:space="0" w:color="auto"/>
            </w:tcBorders>
            <w:shd w:val="clear" w:color="auto" w:fill="FFFFFF" w:themeFill="background1"/>
            <w:hideMark/>
          </w:tcPr>
          <w:p w14:paraId="1E8AEFFD" w14:textId="77777777" w:rsidR="004F64EF" w:rsidRPr="003003C0" w:rsidRDefault="004F64EF" w:rsidP="00706642">
            <w:pPr>
              <w:jc w:val="left"/>
              <w:rPr>
                <w:rFonts w:cs="Calibri"/>
                <w:color w:val="000000"/>
                <w:sz w:val="15"/>
                <w:szCs w:val="15"/>
              </w:rPr>
            </w:pPr>
          </w:p>
        </w:tc>
        <w:tc>
          <w:tcPr>
            <w:tcW w:w="1741" w:type="dxa"/>
            <w:vMerge/>
            <w:tcBorders>
              <w:top w:val="single" w:sz="4" w:space="0" w:color="auto"/>
              <w:bottom w:val="single" w:sz="4" w:space="0" w:color="auto"/>
            </w:tcBorders>
            <w:shd w:val="clear" w:color="auto" w:fill="FFFFFF" w:themeFill="background1"/>
            <w:hideMark/>
          </w:tcPr>
          <w:p w14:paraId="53258B82" w14:textId="77777777" w:rsidR="004F64EF" w:rsidRPr="003003C0" w:rsidRDefault="004F64EF" w:rsidP="00706642">
            <w:pPr>
              <w:jc w:val="left"/>
              <w:rPr>
                <w:rFonts w:cs="Calibri"/>
                <w:color w:val="000000"/>
                <w:sz w:val="15"/>
                <w:szCs w:val="15"/>
              </w:rPr>
            </w:pPr>
          </w:p>
        </w:tc>
        <w:tc>
          <w:tcPr>
            <w:tcW w:w="2500" w:type="dxa"/>
            <w:tcBorders>
              <w:top w:val="single" w:sz="4" w:space="0" w:color="auto"/>
              <w:bottom w:val="single" w:sz="4" w:space="0" w:color="auto"/>
            </w:tcBorders>
            <w:shd w:val="clear" w:color="auto" w:fill="C9DED4"/>
            <w:hideMark/>
          </w:tcPr>
          <w:p w14:paraId="6265E8D2" w14:textId="77777777" w:rsidR="004F64EF" w:rsidRPr="003003C0" w:rsidRDefault="004F64EF" w:rsidP="00706642">
            <w:pPr>
              <w:jc w:val="left"/>
              <w:rPr>
                <w:rFonts w:cs="Calibri"/>
                <w:color w:val="000000"/>
                <w:sz w:val="15"/>
                <w:szCs w:val="15"/>
              </w:rPr>
            </w:pPr>
            <w:r w:rsidRPr="003003C0">
              <w:rPr>
                <w:rFonts w:cs="Calibri"/>
                <w:color w:val="000000"/>
                <w:sz w:val="15"/>
                <w:szCs w:val="15"/>
              </w:rPr>
              <w:t>G/TBT/N/DOM/226, 21/2/2018</w:t>
            </w:r>
          </w:p>
        </w:tc>
      </w:tr>
      <w:tr w:rsidR="004F64EF" w:rsidRPr="003003C0" w14:paraId="776D703F" w14:textId="77777777" w:rsidTr="00706642">
        <w:trPr>
          <w:cnfStyle w:val="000000010000" w:firstRow="0" w:lastRow="0" w:firstColumn="0" w:lastColumn="0" w:oddVBand="0" w:evenVBand="0" w:oddHBand="0" w:evenHBand="1" w:firstRowFirstColumn="0" w:firstRowLastColumn="0" w:lastRowFirstColumn="0" w:lastRowLastColumn="0"/>
        </w:trPr>
        <w:tc>
          <w:tcPr>
            <w:tcW w:w="0" w:type="auto"/>
            <w:gridSpan w:val="4"/>
            <w:tcBorders>
              <w:top w:val="single" w:sz="4" w:space="0" w:color="auto"/>
              <w:bottom w:val="single" w:sz="4" w:space="0" w:color="auto"/>
            </w:tcBorders>
            <w:shd w:val="clear" w:color="auto" w:fill="FFFFFF" w:themeFill="background1"/>
            <w:hideMark/>
          </w:tcPr>
          <w:p w14:paraId="25382EF0" w14:textId="77777777" w:rsidR="004F64EF" w:rsidRPr="003003C0" w:rsidRDefault="004F64EF" w:rsidP="00706642">
            <w:pPr>
              <w:jc w:val="left"/>
              <w:rPr>
                <w:rFonts w:cs="Calibri"/>
                <w:b/>
                <w:bCs/>
                <w:color w:val="000000"/>
                <w:sz w:val="15"/>
                <w:szCs w:val="15"/>
              </w:rPr>
            </w:pPr>
            <w:r w:rsidRPr="00437FC4">
              <w:rPr>
                <w:rFonts w:cs="Calibri"/>
                <w:b/>
                <w:bCs/>
                <w:color w:val="000000"/>
                <w:sz w:val="15"/>
                <w:szCs w:val="15"/>
              </w:rPr>
              <w:t>Agreement on Safeguards</w:t>
            </w:r>
          </w:p>
        </w:tc>
      </w:tr>
      <w:tr w:rsidR="004F64EF" w:rsidRPr="003003C0" w14:paraId="77D64768" w14:textId="77777777" w:rsidTr="00BE2A9F">
        <w:tc>
          <w:tcPr>
            <w:tcW w:w="2263" w:type="dxa"/>
            <w:tcBorders>
              <w:top w:val="single" w:sz="4" w:space="0" w:color="auto"/>
              <w:bottom w:val="single" w:sz="4" w:space="0" w:color="auto"/>
            </w:tcBorders>
            <w:shd w:val="clear" w:color="auto" w:fill="C9DED4"/>
            <w:hideMark/>
          </w:tcPr>
          <w:p w14:paraId="3C781088" w14:textId="77777777" w:rsidR="004F64EF" w:rsidRPr="003003C0" w:rsidRDefault="004F64EF" w:rsidP="00706642">
            <w:pPr>
              <w:jc w:val="left"/>
              <w:rPr>
                <w:rFonts w:cs="Calibri"/>
                <w:color w:val="000000"/>
                <w:sz w:val="15"/>
                <w:szCs w:val="15"/>
              </w:rPr>
            </w:pPr>
            <w:r w:rsidRPr="003003C0">
              <w:rPr>
                <w:rFonts w:cs="Calibri"/>
                <w:color w:val="000000"/>
                <w:sz w:val="15"/>
                <w:szCs w:val="15"/>
              </w:rPr>
              <w:t>Art</w:t>
            </w:r>
            <w:r>
              <w:rPr>
                <w:rFonts w:cs="Calibri"/>
                <w:color w:val="000000"/>
                <w:sz w:val="15"/>
                <w:szCs w:val="15"/>
              </w:rPr>
              <w:t>icle</w:t>
            </w:r>
            <w:r w:rsidRPr="003003C0">
              <w:rPr>
                <w:rFonts w:cs="Calibri"/>
                <w:color w:val="000000"/>
                <w:sz w:val="15"/>
                <w:szCs w:val="15"/>
              </w:rPr>
              <w:t xml:space="preserve"> 12.6</w:t>
            </w:r>
          </w:p>
        </w:tc>
        <w:tc>
          <w:tcPr>
            <w:tcW w:w="2512" w:type="dxa"/>
            <w:tcBorders>
              <w:top w:val="single" w:sz="4" w:space="0" w:color="auto"/>
              <w:bottom w:val="single" w:sz="4" w:space="0" w:color="auto"/>
            </w:tcBorders>
            <w:shd w:val="clear" w:color="auto" w:fill="C9DED4"/>
            <w:hideMark/>
          </w:tcPr>
          <w:p w14:paraId="651EFDC2" w14:textId="77777777" w:rsidR="004F64EF" w:rsidRPr="003003C0" w:rsidRDefault="004F64EF" w:rsidP="00706642">
            <w:pPr>
              <w:jc w:val="left"/>
              <w:rPr>
                <w:rFonts w:cs="Calibri"/>
                <w:color w:val="000000"/>
                <w:sz w:val="15"/>
                <w:szCs w:val="15"/>
              </w:rPr>
            </w:pPr>
            <w:r>
              <w:rPr>
                <w:rFonts w:cs="Calibri"/>
                <w:color w:val="000000"/>
                <w:sz w:val="15"/>
                <w:szCs w:val="15"/>
              </w:rPr>
              <w:t>L</w:t>
            </w:r>
            <w:r w:rsidRPr="00437FC4">
              <w:rPr>
                <w:rFonts w:cs="Calibri"/>
                <w:color w:val="000000"/>
                <w:sz w:val="15"/>
                <w:szCs w:val="15"/>
              </w:rPr>
              <w:t>aws, regulations and administrative procedures relating to safeguard measures</w:t>
            </w:r>
          </w:p>
        </w:tc>
        <w:tc>
          <w:tcPr>
            <w:tcW w:w="1741" w:type="dxa"/>
            <w:tcBorders>
              <w:top w:val="single" w:sz="4" w:space="0" w:color="auto"/>
              <w:bottom w:val="single" w:sz="4" w:space="0" w:color="auto"/>
            </w:tcBorders>
            <w:shd w:val="clear" w:color="auto" w:fill="C9DED4"/>
            <w:hideMark/>
          </w:tcPr>
          <w:p w14:paraId="70F9D8D6" w14:textId="77777777" w:rsidR="004F64EF" w:rsidRPr="003003C0" w:rsidRDefault="004F64EF" w:rsidP="00706642">
            <w:pPr>
              <w:jc w:val="left"/>
              <w:rPr>
                <w:rFonts w:cs="Calibri"/>
                <w:color w:val="000000"/>
                <w:sz w:val="15"/>
                <w:szCs w:val="15"/>
              </w:rPr>
            </w:pPr>
            <w:r w:rsidRPr="00692F51">
              <w:rPr>
                <w:rFonts w:cs="Calibri"/>
                <w:color w:val="000000"/>
                <w:sz w:val="15"/>
                <w:szCs w:val="15"/>
              </w:rPr>
              <w:t>Once only</w:t>
            </w:r>
          </w:p>
        </w:tc>
        <w:tc>
          <w:tcPr>
            <w:tcW w:w="2500" w:type="dxa"/>
            <w:tcBorders>
              <w:top w:val="single" w:sz="4" w:space="0" w:color="auto"/>
              <w:bottom w:val="single" w:sz="4" w:space="0" w:color="auto"/>
            </w:tcBorders>
            <w:shd w:val="clear" w:color="auto" w:fill="C9DED4"/>
            <w:hideMark/>
          </w:tcPr>
          <w:p w14:paraId="3C007005" w14:textId="77777777" w:rsidR="004F64EF" w:rsidRPr="003003C0" w:rsidRDefault="004F64EF" w:rsidP="00706642">
            <w:pPr>
              <w:jc w:val="left"/>
              <w:rPr>
                <w:rFonts w:cs="Calibri"/>
                <w:color w:val="000000"/>
                <w:sz w:val="15"/>
                <w:szCs w:val="15"/>
              </w:rPr>
            </w:pPr>
            <w:r w:rsidRPr="003003C0">
              <w:rPr>
                <w:rFonts w:cs="Calibri"/>
                <w:color w:val="000000"/>
                <w:sz w:val="15"/>
                <w:szCs w:val="15"/>
              </w:rPr>
              <w:t>G/SG/N/1/DOM/2/Suppl.2, 27/11/2015</w:t>
            </w:r>
          </w:p>
        </w:tc>
      </w:tr>
      <w:tr w:rsidR="004F64EF" w:rsidRPr="003003C0" w14:paraId="718D010F" w14:textId="77777777" w:rsidTr="00706642">
        <w:trPr>
          <w:cnfStyle w:val="000000010000" w:firstRow="0" w:lastRow="0" w:firstColumn="0" w:lastColumn="0" w:oddVBand="0" w:evenVBand="0" w:oddHBand="0" w:evenHBand="1" w:firstRowFirstColumn="0" w:firstRowLastColumn="0" w:lastRowFirstColumn="0" w:lastRowLastColumn="0"/>
        </w:trPr>
        <w:tc>
          <w:tcPr>
            <w:tcW w:w="0" w:type="auto"/>
            <w:gridSpan w:val="4"/>
            <w:tcBorders>
              <w:top w:val="single" w:sz="4" w:space="0" w:color="auto"/>
              <w:bottom w:val="single" w:sz="4" w:space="0" w:color="auto"/>
            </w:tcBorders>
            <w:shd w:val="clear" w:color="auto" w:fill="FFFFFF" w:themeFill="background1"/>
            <w:hideMark/>
          </w:tcPr>
          <w:p w14:paraId="727E4795" w14:textId="77777777" w:rsidR="004F64EF" w:rsidRPr="003003C0" w:rsidRDefault="004F64EF" w:rsidP="00706642">
            <w:pPr>
              <w:jc w:val="left"/>
              <w:rPr>
                <w:rFonts w:cs="Calibri"/>
                <w:b/>
                <w:bCs/>
                <w:color w:val="000000"/>
                <w:sz w:val="15"/>
                <w:szCs w:val="15"/>
              </w:rPr>
            </w:pPr>
            <w:r w:rsidRPr="000277C9">
              <w:rPr>
                <w:rFonts w:cs="Calibri"/>
                <w:b/>
                <w:bCs/>
                <w:color w:val="000000"/>
                <w:sz w:val="15"/>
                <w:szCs w:val="15"/>
              </w:rPr>
              <w:t>Agreement on Subsidies and Countervailing Measures</w:t>
            </w:r>
          </w:p>
        </w:tc>
      </w:tr>
      <w:tr w:rsidR="004F64EF" w:rsidRPr="003003C0" w14:paraId="4955F411" w14:textId="77777777" w:rsidTr="00BE2A9F">
        <w:tc>
          <w:tcPr>
            <w:tcW w:w="2263" w:type="dxa"/>
            <w:tcBorders>
              <w:top w:val="single" w:sz="4" w:space="0" w:color="auto"/>
              <w:bottom w:val="single" w:sz="4" w:space="0" w:color="auto"/>
            </w:tcBorders>
            <w:shd w:val="clear" w:color="auto" w:fill="C9DED4"/>
            <w:hideMark/>
          </w:tcPr>
          <w:p w14:paraId="496E85E0" w14:textId="77777777" w:rsidR="004F64EF" w:rsidRPr="003003C0" w:rsidRDefault="004F64EF" w:rsidP="00706642">
            <w:pPr>
              <w:jc w:val="left"/>
              <w:rPr>
                <w:rFonts w:cs="Calibri"/>
                <w:color w:val="000000"/>
                <w:sz w:val="15"/>
                <w:szCs w:val="15"/>
              </w:rPr>
            </w:pPr>
            <w:r w:rsidRPr="003003C0">
              <w:rPr>
                <w:rFonts w:cs="Calibri"/>
                <w:color w:val="000000"/>
                <w:sz w:val="15"/>
                <w:szCs w:val="15"/>
              </w:rPr>
              <w:t>Art</w:t>
            </w:r>
            <w:r>
              <w:rPr>
                <w:rFonts w:cs="Calibri"/>
                <w:color w:val="000000"/>
                <w:sz w:val="15"/>
                <w:szCs w:val="15"/>
              </w:rPr>
              <w:t>icle</w:t>
            </w:r>
            <w:r w:rsidRPr="003003C0">
              <w:rPr>
                <w:rFonts w:cs="Calibri"/>
                <w:color w:val="000000"/>
                <w:sz w:val="15"/>
                <w:szCs w:val="15"/>
              </w:rPr>
              <w:t xml:space="preserve"> 25.1; GATT 1994, </w:t>
            </w:r>
            <w:r>
              <w:rPr>
                <w:rFonts w:cs="Calibri"/>
                <w:color w:val="000000"/>
                <w:sz w:val="15"/>
                <w:szCs w:val="15"/>
              </w:rPr>
              <w:t>Article</w:t>
            </w:r>
            <w:r w:rsidRPr="003003C0">
              <w:rPr>
                <w:rFonts w:cs="Calibri"/>
                <w:color w:val="000000"/>
                <w:sz w:val="15"/>
                <w:szCs w:val="15"/>
              </w:rPr>
              <w:t xml:space="preserve"> XVI</w:t>
            </w:r>
            <w:r>
              <w:rPr>
                <w:rFonts w:cs="Calibri"/>
                <w:color w:val="000000"/>
                <w:sz w:val="15"/>
                <w:szCs w:val="15"/>
              </w:rPr>
              <w:t>:</w:t>
            </w:r>
            <w:r w:rsidRPr="003003C0">
              <w:rPr>
                <w:rFonts w:cs="Calibri"/>
                <w:color w:val="000000"/>
                <w:sz w:val="15"/>
                <w:szCs w:val="15"/>
              </w:rPr>
              <w:t>1</w:t>
            </w:r>
          </w:p>
        </w:tc>
        <w:tc>
          <w:tcPr>
            <w:tcW w:w="2512" w:type="dxa"/>
            <w:tcBorders>
              <w:top w:val="single" w:sz="4" w:space="0" w:color="auto"/>
              <w:bottom w:val="single" w:sz="4" w:space="0" w:color="auto"/>
            </w:tcBorders>
            <w:shd w:val="clear" w:color="auto" w:fill="C9DED4"/>
            <w:hideMark/>
          </w:tcPr>
          <w:p w14:paraId="3012ABBB" w14:textId="77777777" w:rsidR="004F64EF" w:rsidRPr="003003C0" w:rsidRDefault="004F64EF" w:rsidP="00706642">
            <w:pPr>
              <w:jc w:val="left"/>
              <w:rPr>
                <w:rFonts w:cs="Calibri"/>
                <w:color w:val="000000"/>
                <w:sz w:val="15"/>
                <w:szCs w:val="15"/>
              </w:rPr>
            </w:pPr>
            <w:r w:rsidRPr="000277C9">
              <w:rPr>
                <w:rFonts w:cs="Calibri"/>
                <w:color w:val="000000"/>
                <w:sz w:val="15"/>
                <w:szCs w:val="15"/>
              </w:rPr>
              <w:t>Any subsidy as defined in Art</w:t>
            </w:r>
            <w:r>
              <w:rPr>
                <w:rFonts w:cs="Calibri"/>
                <w:color w:val="000000"/>
                <w:sz w:val="15"/>
                <w:szCs w:val="15"/>
              </w:rPr>
              <w:t xml:space="preserve">icle </w:t>
            </w:r>
            <w:r w:rsidRPr="000277C9">
              <w:rPr>
                <w:rFonts w:cs="Calibri"/>
                <w:color w:val="000000"/>
                <w:sz w:val="15"/>
                <w:szCs w:val="15"/>
              </w:rPr>
              <w:t>1</w:t>
            </w:r>
            <w:r>
              <w:rPr>
                <w:rFonts w:cs="Calibri"/>
                <w:color w:val="000000"/>
                <w:sz w:val="15"/>
                <w:szCs w:val="15"/>
              </w:rPr>
              <w:t>.</w:t>
            </w:r>
            <w:r w:rsidRPr="000277C9">
              <w:rPr>
                <w:rFonts w:cs="Calibri"/>
                <w:color w:val="000000"/>
                <w:sz w:val="15"/>
                <w:szCs w:val="15"/>
              </w:rPr>
              <w:t xml:space="preserve">1 </w:t>
            </w:r>
            <w:r>
              <w:rPr>
                <w:rFonts w:cs="Calibri"/>
                <w:color w:val="000000"/>
                <w:sz w:val="15"/>
                <w:szCs w:val="15"/>
              </w:rPr>
              <w:t xml:space="preserve">of the </w:t>
            </w:r>
            <w:proofErr w:type="spellStart"/>
            <w:r>
              <w:rPr>
                <w:rFonts w:cs="Calibri"/>
                <w:color w:val="000000"/>
                <w:sz w:val="15"/>
                <w:szCs w:val="15"/>
              </w:rPr>
              <w:t>SCM</w:t>
            </w:r>
            <w:proofErr w:type="spellEnd"/>
            <w:r>
              <w:rPr>
                <w:rFonts w:cs="Calibri"/>
                <w:color w:val="000000"/>
                <w:sz w:val="15"/>
                <w:szCs w:val="15"/>
              </w:rPr>
              <w:t xml:space="preserve"> Agreement that </w:t>
            </w:r>
            <w:r w:rsidRPr="000277C9">
              <w:rPr>
                <w:rFonts w:cs="Calibri"/>
                <w:color w:val="000000"/>
                <w:sz w:val="15"/>
                <w:szCs w:val="15"/>
              </w:rPr>
              <w:t>is specific within the meaning of Art</w:t>
            </w:r>
            <w:r>
              <w:rPr>
                <w:rFonts w:cs="Calibri"/>
                <w:color w:val="000000"/>
                <w:sz w:val="15"/>
                <w:szCs w:val="15"/>
              </w:rPr>
              <w:t>icle </w:t>
            </w:r>
            <w:r w:rsidRPr="000277C9">
              <w:rPr>
                <w:rFonts w:cs="Calibri"/>
                <w:color w:val="000000"/>
                <w:sz w:val="15"/>
                <w:szCs w:val="15"/>
              </w:rPr>
              <w:t>2</w:t>
            </w:r>
            <w:r>
              <w:rPr>
                <w:rFonts w:cs="Calibri"/>
                <w:color w:val="000000"/>
                <w:sz w:val="15"/>
                <w:szCs w:val="15"/>
              </w:rPr>
              <w:t xml:space="preserve"> of the </w:t>
            </w:r>
            <w:proofErr w:type="spellStart"/>
            <w:r>
              <w:rPr>
                <w:rFonts w:cs="Calibri"/>
                <w:color w:val="000000"/>
                <w:sz w:val="15"/>
                <w:szCs w:val="15"/>
              </w:rPr>
              <w:t>SCM</w:t>
            </w:r>
            <w:proofErr w:type="spellEnd"/>
            <w:r>
              <w:rPr>
                <w:rFonts w:cs="Calibri"/>
                <w:color w:val="000000"/>
                <w:sz w:val="15"/>
                <w:szCs w:val="15"/>
              </w:rPr>
              <w:t xml:space="preserve"> Agreement,</w:t>
            </w:r>
            <w:r w:rsidRPr="000277C9">
              <w:rPr>
                <w:rFonts w:cs="Calibri"/>
                <w:color w:val="000000"/>
                <w:sz w:val="15"/>
                <w:szCs w:val="15"/>
              </w:rPr>
              <w:t xml:space="preserve"> as well as any other subsidy </w:t>
            </w:r>
            <w:r>
              <w:rPr>
                <w:rFonts w:cs="Calibri"/>
                <w:color w:val="000000"/>
                <w:sz w:val="15"/>
                <w:szCs w:val="15"/>
              </w:rPr>
              <w:t>that</w:t>
            </w:r>
            <w:r w:rsidRPr="000277C9">
              <w:rPr>
                <w:rFonts w:cs="Calibri"/>
                <w:color w:val="000000"/>
                <w:sz w:val="15"/>
                <w:szCs w:val="15"/>
              </w:rPr>
              <w:t xml:space="preserve"> causes increased exports or decreased imports within the meaning of Article XVI:1</w:t>
            </w:r>
            <w:r>
              <w:rPr>
                <w:rFonts w:cs="Calibri"/>
                <w:color w:val="000000"/>
                <w:sz w:val="15"/>
                <w:szCs w:val="15"/>
              </w:rPr>
              <w:t xml:space="preserve"> of the </w:t>
            </w:r>
            <w:r w:rsidRPr="00D11515">
              <w:rPr>
                <w:rFonts w:cs="Calibri"/>
                <w:color w:val="000000"/>
                <w:sz w:val="15"/>
                <w:szCs w:val="15"/>
              </w:rPr>
              <w:t>GATT 1994</w:t>
            </w:r>
          </w:p>
        </w:tc>
        <w:tc>
          <w:tcPr>
            <w:tcW w:w="1741" w:type="dxa"/>
            <w:tcBorders>
              <w:top w:val="single" w:sz="4" w:space="0" w:color="auto"/>
              <w:bottom w:val="single" w:sz="4" w:space="0" w:color="auto"/>
            </w:tcBorders>
            <w:shd w:val="clear" w:color="auto" w:fill="C9DED4"/>
            <w:hideMark/>
          </w:tcPr>
          <w:p w14:paraId="5752F81A" w14:textId="77777777" w:rsidR="004F64EF" w:rsidRPr="003003C0" w:rsidRDefault="004F64EF" w:rsidP="00706642">
            <w:pPr>
              <w:jc w:val="left"/>
              <w:rPr>
                <w:rFonts w:cs="Calibri"/>
                <w:color w:val="000000"/>
                <w:sz w:val="15"/>
                <w:szCs w:val="15"/>
              </w:rPr>
            </w:pPr>
            <w:r>
              <w:rPr>
                <w:rFonts w:cs="Calibri"/>
                <w:color w:val="000000"/>
                <w:sz w:val="15"/>
                <w:szCs w:val="15"/>
              </w:rPr>
              <w:t>Every two years</w:t>
            </w:r>
          </w:p>
        </w:tc>
        <w:tc>
          <w:tcPr>
            <w:tcW w:w="2500" w:type="dxa"/>
            <w:tcBorders>
              <w:top w:val="single" w:sz="4" w:space="0" w:color="auto"/>
              <w:bottom w:val="single" w:sz="4" w:space="0" w:color="auto"/>
            </w:tcBorders>
            <w:shd w:val="clear" w:color="auto" w:fill="C9DED4"/>
            <w:hideMark/>
          </w:tcPr>
          <w:p w14:paraId="2504EF1D" w14:textId="77777777" w:rsidR="004F64EF" w:rsidRPr="003003C0" w:rsidRDefault="004F64EF" w:rsidP="00706642">
            <w:pPr>
              <w:jc w:val="left"/>
              <w:rPr>
                <w:rFonts w:cs="Calibri"/>
                <w:color w:val="000000"/>
                <w:sz w:val="15"/>
                <w:szCs w:val="15"/>
              </w:rPr>
            </w:pPr>
            <w:r w:rsidRPr="003003C0">
              <w:rPr>
                <w:rFonts w:cs="Calibri"/>
                <w:color w:val="000000"/>
                <w:sz w:val="15"/>
                <w:szCs w:val="15"/>
              </w:rPr>
              <w:t>G/</w:t>
            </w:r>
            <w:proofErr w:type="spellStart"/>
            <w:r w:rsidRPr="003003C0">
              <w:rPr>
                <w:rFonts w:cs="Calibri"/>
                <w:color w:val="000000"/>
                <w:sz w:val="15"/>
                <w:szCs w:val="15"/>
              </w:rPr>
              <w:t>SCM</w:t>
            </w:r>
            <w:proofErr w:type="spellEnd"/>
            <w:r w:rsidRPr="003003C0">
              <w:rPr>
                <w:rFonts w:cs="Calibri"/>
                <w:color w:val="000000"/>
                <w:sz w:val="15"/>
                <w:szCs w:val="15"/>
              </w:rPr>
              <w:t>/N/343/DOM, 12/7/2019</w:t>
            </w:r>
          </w:p>
        </w:tc>
      </w:tr>
      <w:tr w:rsidR="004F64EF" w:rsidRPr="003003C0" w14:paraId="22A2DBC8" w14:textId="77777777" w:rsidTr="00BE2A9F">
        <w:trPr>
          <w:cnfStyle w:val="000000010000" w:firstRow="0" w:lastRow="0" w:firstColumn="0" w:lastColumn="0" w:oddVBand="0" w:evenVBand="0" w:oddHBand="0" w:evenHBand="1" w:firstRowFirstColumn="0" w:firstRowLastColumn="0" w:lastRowFirstColumn="0" w:lastRowLastColumn="0"/>
        </w:trPr>
        <w:tc>
          <w:tcPr>
            <w:tcW w:w="2263" w:type="dxa"/>
            <w:tcBorders>
              <w:top w:val="single" w:sz="4" w:space="0" w:color="auto"/>
              <w:bottom w:val="single" w:sz="4" w:space="0" w:color="auto"/>
            </w:tcBorders>
            <w:hideMark/>
          </w:tcPr>
          <w:p w14:paraId="0181036D" w14:textId="77777777" w:rsidR="004F64EF" w:rsidRPr="003003C0" w:rsidRDefault="004F64EF" w:rsidP="00706642">
            <w:pPr>
              <w:jc w:val="left"/>
              <w:rPr>
                <w:rFonts w:cs="Calibri"/>
                <w:color w:val="000000"/>
                <w:sz w:val="15"/>
                <w:szCs w:val="15"/>
              </w:rPr>
            </w:pPr>
            <w:r w:rsidRPr="003003C0">
              <w:rPr>
                <w:rFonts w:cs="Calibri"/>
                <w:color w:val="000000"/>
                <w:sz w:val="15"/>
                <w:szCs w:val="15"/>
              </w:rPr>
              <w:t>Art</w:t>
            </w:r>
            <w:r>
              <w:rPr>
                <w:rFonts w:cs="Calibri"/>
                <w:color w:val="000000"/>
                <w:sz w:val="15"/>
                <w:szCs w:val="15"/>
              </w:rPr>
              <w:t>icle</w:t>
            </w:r>
            <w:r w:rsidRPr="003003C0">
              <w:rPr>
                <w:rFonts w:cs="Calibri"/>
                <w:color w:val="000000"/>
                <w:sz w:val="15"/>
                <w:szCs w:val="15"/>
              </w:rPr>
              <w:t xml:space="preserve"> 25.11 </w:t>
            </w:r>
            <w:r>
              <w:rPr>
                <w:rFonts w:cs="Calibri"/>
                <w:color w:val="000000"/>
                <w:sz w:val="15"/>
                <w:szCs w:val="15"/>
              </w:rPr>
              <w:t>-</w:t>
            </w:r>
            <w:r w:rsidRPr="003003C0">
              <w:rPr>
                <w:rFonts w:cs="Calibri"/>
                <w:color w:val="000000"/>
                <w:sz w:val="15"/>
                <w:szCs w:val="15"/>
              </w:rPr>
              <w:t xml:space="preserve"> </w:t>
            </w:r>
            <w:r w:rsidRPr="009A3EF9">
              <w:rPr>
                <w:rFonts w:cs="Calibri"/>
                <w:color w:val="000000"/>
                <w:sz w:val="15"/>
                <w:szCs w:val="15"/>
              </w:rPr>
              <w:t>Semi</w:t>
            </w:r>
            <w:r>
              <w:rPr>
                <w:rFonts w:cs="Calibri"/>
                <w:color w:val="000000"/>
                <w:sz w:val="15"/>
                <w:szCs w:val="15"/>
              </w:rPr>
              <w:noBreakHyphen/>
            </w:r>
            <w:r w:rsidRPr="009A3EF9">
              <w:rPr>
                <w:rFonts w:cs="Calibri"/>
                <w:color w:val="000000"/>
                <w:sz w:val="15"/>
                <w:szCs w:val="15"/>
              </w:rPr>
              <w:t>annual reports</w:t>
            </w:r>
          </w:p>
        </w:tc>
        <w:tc>
          <w:tcPr>
            <w:tcW w:w="2512" w:type="dxa"/>
            <w:tcBorders>
              <w:top w:val="single" w:sz="4" w:space="0" w:color="auto"/>
              <w:bottom w:val="single" w:sz="4" w:space="0" w:color="auto"/>
            </w:tcBorders>
            <w:hideMark/>
          </w:tcPr>
          <w:p w14:paraId="4D6D1881" w14:textId="77777777" w:rsidR="004F64EF" w:rsidRPr="003003C0" w:rsidRDefault="004F64EF" w:rsidP="00706642">
            <w:pPr>
              <w:jc w:val="left"/>
              <w:rPr>
                <w:rFonts w:cs="Calibri"/>
                <w:color w:val="000000"/>
                <w:sz w:val="15"/>
                <w:szCs w:val="15"/>
              </w:rPr>
            </w:pPr>
            <w:r w:rsidRPr="009A3EF9">
              <w:rPr>
                <w:rFonts w:cs="Calibri"/>
                <w:color w:val="000000"/>
                <w:sz w:val="15"/>
                <w:szCs w:val="15"/>
              </w:rPr>
              <w:t>Countervailing duty actions (taken within the preceding six months)</w:t>
            </w:r>
          </w:p>
        </w:tc>
        <w:tc>
          <w:tcPr>
            <w:tcW w:w="1741" w:type="dxa"/>
            <w:tcBorders>
              <w:top w:val="single" w:sz="4" w:space="0" w:color="auto"/>
              <w:bottom w:val="single" w:sz="4" w:space="0" w:color="auto"/>
            </w:tcBorders>
            <w:hideMark/>
          </w:tcPr>
          <w:p w14:paraId="6D51F7A3" w14:textId="77777777" w:rsidR="004F64EF" w:rsidRPr="003003C0" w:rsidRDefault="004F64EF" w:rsidP="00706642">
            <w:pPr>
              <w:jc w:val="left"/>
              <w:rPr>
                <w:rFonts w:cs="Calibri"/>
                <w:color w:val="000000"/>
                <w:sz w:val="15"/>
                <w:szCs w:val="15"/>
              </w:rPr>
            </w:pPr>
            <w:r>
              <w:rPr>
                <w:rFonts w:cs="Calibri"/>
                <w:color w:val="000000"/>
                <w:sz w:val="15"/>
                <w:szCs w:val="15"/>
              </w:rPr>
              <w:t>On a semi-annual basis</w:t>
            </w:r>
          </w:p>
        </w:tc>
        <w:tc>
          <w:tcPr>
            <w:tcW w:w="2500" w:type="dxa"/>
            <w:tcBorders>
              <w:top w:val="single" w:sz="4" w:space="0" w:color="auto"/>
              <w:bottom w:val="single" w:sz="4" w:space="0" w:color="auto"/>
            </w:tcBorders>
            <w:hideMark/>
          </w:tcPr>
          <w:p w14:paraId="7C96074C" w14:textId="77777777" w:rsidR="004F64EF" w:rsidRPr="003003C0" w:rsidRDefault="004F64EF" w:rsidP="00706642">
            <w:pPr>
              <w:jc w:val="left"/>
              <w:rPr>
                <w:rFonts w:cs="Calibri"/>
                <w:color w:val="000000"/>
                <w:sz w:val="15"/>
                <w:szCs w:val="15"/>
              </w:rPr>
            </w:pPr>
            <w:r w:rsidRPr="003003C0">
              <w:rPr>
                <w:rFonts w:cs="Calibri"/>
                <w:color w:val="000000"/>
                <w:sz w:val="15"/>
                <w:szCs w:val="15"/>
              </w:rPr>
              <w:t>G/</w:t>
            </w:r>
            <w:proofErr w:type="spellStart"/>
            <w:r w:rsidRPr="003003C0">
              <w:rPr>
                <w:rFonts w:cs="Calibri"/>
                <w:color w:val="000000"/>
                <w:sz w:val="15"/>
                <w:szCs w:val="15"/>
              </w:rPr>
              <w:t>SCM</w:t>
            </w:r>
            <w:proofErr w:type="spellEnd"/>
            <w:r w:rsidRPr="003003C0">
              <w:rPr>
                <w:rFonts w:cs="Calibri"/>
                <w:color w:val="000000"/>
                <w:sz w:val="15"/>
                <w:szCs w:val="15"/>
              </w:rPr>
              <w:t>/N/363/Add.1, 17/9/2021</w:t>
            </w:r>
          </w:p>
        </w:tc>
      </w:tr>
      <w:tr w:rsidR="004F64EF" w:rsidRPr="003003C0" w14:paraId="681E40B3" w14:textId="77777777" w:rsidTr="00BE2A9F">
        <w:tc>
          <w:tcPr>
            <w:tcW w:w="2263" w:type="dxa"/>
            <w:vMerge w:val="restart"/>
            <w:tcBorders>
              <w:top w:val="single" w:sz="4" w:space="0" w:color="auto"/>
              <w:bottom w:val="single" w:sz="4" w:space="0" w:color="auto"/>
            </w:tcBorders>
            <w:shd w:val="clear" w:color="auto" w:fill="C9DED4"/>
            <w:hideMark/>
          </w:tcPr>
          <w:p w14:paraId="5CD65428" w14:textId="77777777" w:rsidR="004F64EF" w:rsidRPr="003003C0" w:rsidRDefault="004F64EF" w:rsidP="00706642">
            <w:pPr>
              <w:jc w:val="left"/>
              <w:rPr>
                <w:rFonts w:cs="Calibri"/>
                <w:color w:val="000000"/>
                <w:sz w:val="15"/>
                <w:szCs w:val="15"/>
              </w:rPr>
            </w:pPr>
            <w:r w:rsidRPr="003003C0">
              <w:rPr>
                <w:rFonts w:cs="Calibri"/>
                <w:color w:val="000000"/>
                <w:sz w:val="15"/>
                <w:szCs w:val="15"/>
              </w:rPr>
              <w:t>Art</w:t>
            </w:r>
            <w:r>
              <w:rPr>
                <w:rFonts w:cs="Calibri"/>
                <w:color w:val="000000"/>
                <w:sz w:val="15"/>
                <w:szCs w:val="15"/>
              </w:rPr>
              <w:t>icle</w:t>
            </w:r>
            <w:r w:rsidRPr="003003C0">
              <w:rPr>
                <w:rFonts w:cs="Calibri"/>
                <w:color w:val="000000"/>
                <w:sz w:val="15"/>
                <w:szCs w:val="15"/>
              </w:rPr>
              <w:t xml:space="preserve"> 27.4, Part VIII - </w:t>
            </w:r>
            <w:r>
              <w:rPr>
                <w:rFonts w:cs="Calibri"/>
                <w:color w:val="000000"/>
                <w:sz w:val="15"/>
                <w:szCs w:val="15"/>
              </w:rPr>
              <w:t>D</w:t>
            </w:r>
            <w:r w:rsidRPr="009A3EF9">
              <w:rPr>
                <w:rFonts w:cs="Calibri"/>
                <w:color w:val="000000"/>
                <w:sz w:val="15"/>
                <w:szCs w:val="15"/>
              </w:rPr>
              <w:t>eveloping country Members</w:t>
            </w:r>
          </w:p>
        </w:tc>
        <w:tc>
          <w:tcPr>
            <w:tcW w:w="2512" w:type="dxa"/>
            <w:vMerge w:val="restart"/>
            <w:tcBorders>
              <w:top w:val="single" w:sz="4" w:space="0" w:color="auto"/>
              <w:bottom w:val="single" w:sz="4" w:space="0" w:color="auto"/>
            </w:tcBorders>
            <w:shd w:val="clear" w:color="auto" w:fill="C9DED4"/>
            <w:hideMark/>
          </w:tcPr>
          <w:p w14:paraId="25676DD5" w14:textId="77777777" w:rsidR="004F64EF" w:rsidRPr="003003C0" w:rsidRDefault="004F64EF" w:rsidP="00706642">
            <w:pPr>
              <w:jc w:val="left"/>
              <w:rPr>
                <w:rFonts w:cs="Calibri"/>
                <w:color w:val="000000"/>
                <w:sz w:val="15"/>
                <w:szCs w:val="15"/>
              </w:rPr>
            </w:pPr>
            <w:r w:rsidRPr="009A3EF9">
              <w:rPr>
                <w:rFonts w:cs="Calibri"/>
                <w:color w:val="000000"/>
                <w:sz w:val="15"/>
                <w:szCs w:val="15"/>
              </w:rPr>
              <w:t>S</w:t>
            </w:r>
            <w:r>
              <w:rPr>
                <w:rFonts w:cs="Calibri"/>
                <w:color w:val="000000"/>
                <w:sz w:val="15"/>
                <w:szCs w:val="15"/>
              </w:rPr>
              <w:t>pecial and differential treatment for d</w:t>
            </w:r>
            <w:r w:rsidRPr="009A3EF9">
              <w:rPr>
                <w:rFonts w:cs="Calibri"/>
                <w:color w:val="000000"/>
                <w:sz w:val="15"/>
                <w:szCs w:val="15"/>
              </w:rPr>
              <w:t xml:space="preserve">eveloping </w:t>
            </w:r>
            <w:r>
              <w:rPr>
                <w:rFonts w:cs="Calibri"/>
                <w:color w:val="000000"/>
                <w:sz w:val="15"/>
                <w:szCs w:val="15"/>
              </w:rPr>
              <w:t>country Members</w:t>
            </w:r>
          </w:p>
        </w:tc>
        <w:tc>
          <w:tcPr>
            <w:tcW w:w="1741" w:type="dxa"/>
            <w:vMerge w:val="restart"/>
            <w:tcBorders>
              <w:top w:val="single" w:sz="4" w:space="0" w:color="auto"/>
              <w:bottom w:val="single" w:sz="4" w:space="0" w:color="auto"/>
            </w:tcBorders>
            <w:shd w:val="clear" w:color="auto" w:fill="C9DED4"/>
            <w:hideMark/>
          </w:tcPr>
          <w:p w14:paraId="0BED3C0E" w14:textId="77777777" w:rsidR="004F64EF" w:rsidRPr="003003C0" w:rsidRDefault="004F64EF" w:rsidP="00706642">
            <w:pPr>
              <w:jc w:val="left"/>
              <w:rPr>
                <w:rFonts w:cs="Calibri"/>
                <w:i/>
                <w:iCs/>
                <w:color w:val="000000"/>
                <w:sz w:val="15"/>
                <w:szCs w:val="15"/>
              </w:rPr>
            </w:pPr>
            <w:r w:rsidRPr="003003C0">
              <w:rPr>
                <w:rFonts w:cs="Calibri"/>
                <w:i/>
                <w:iCs/>
                <w:color w:val="000000"/>
                <w:sz w:val="15"/>
                <w:szCs w:val="15"/>
              </w:rPr>
              <w:t xml:space="preserve">Ad hoc </w:t>
            </w:r>
          </w:p>
        </w:tc>
        <w:tc>
          <w:tcPr>
            <w:tcW w:w="2500" w:type="dxa"/>
            <w:tcBorders>
              <w:top w:val="single" w:sz="4" w:space="0" w:color="auto"/>
              <w:bottom w:val="single" w:sz="4" w:space="0" w:color="auto"/>
            </w:tcBorders>
            <w:shd w:val="clear" w:color="auto" w:fill="C9DED4"/>
            <w:hideMark/>
          </w:tcPr>
          <w:p w14:paraId="272596FD" w14:textId="77777777" w:rsidR="004F64EF" w:rsidRPr="003003C0" w:rsidRDefault="004F64EF" w:rsidP="00706642">
            <w:pPr>
              <w:jc w:val="left"/>
              <w:rPr>
                <w:rFonts w:cs="Calibri"/>
                <w:color w:val="000000"/>
                <w:sz w:val="15"/>
                <w:szCs w:val="15"/>
              </w:rPr>
            </w:pPr>
            <w:r w:rsidRPr="003003C0">
              <w:rPr>
                <w:rFonts w:cs="Calibri"/>
                <w:color w:val="000000"/>
                <w:sz w:val="15"/>
                <w:szCs w:val="15"/>
              </w:rPr>
              <w:t>G/</w:t>
            </w:r>
            <w:proofErr w:type="spellStart"/>
            <w:r w:rsidRPr="003003C0">
              <w:rPr>
                <w:rFonts w:cs="Calibri"/>
                <w:color w:val="000000"/>
                <w:sz w:val="15"/>
                <w:szCs w:val="15"/>
              </w:rPr>
              <w:t>SCM</w:t>
            </w:r>
            <w:proofErr w:type="spellEnd"/>
            <w:r w:rsidRPr="003003C0">
              <w:rPr>
                <w:rFonts w:cs="Calibri"/>
                <w:color w:val="000000"/>
                <w:sz w:val="15"/>
                <w:szCs w:val="15"/>
              </w:rPr>
              <w:t>/N7284/DOM; G/</w:t>
            </w:r>
            <w:proofErr w:type="spellStart"/>
            <w:r w:rsidRPr="003003C0">
              <w:rPr>
                <w:rFonts w:cs="Calibri"/>
                <w:color w:val="000000"/>
                <w:sz w:val="15"/>
                <w:szCs w:val="15"/>
              </w:rPr>
              <w:t>SCM</w:t>
            </w:r>
            <w:proofErr w:type="spellEnd"/>
            <w:r w:rsidRPr="003003C0">
              <w:rPr>
                <w:rFonts w:cs="Calibri"/>
                <w:color w:val="000000"/>
                <w:sz w:val="15"/>
                <w:szCs w:val="15"/>
              </w:rPr>
              <w:t>/N/290/DOM, 10/6/2016</w:t>
            </w:r>
          </w:p>
        </w:tc>
      </w:tr>
      <w:tr w:rsidR="004F64EF" w:rsidRPr="003003C0" w14:paraId="62D694F4" w14:textId="77777777" w:rsidTr="00BE2A9F">
        <w:trPr>
          <w:cnfStyle w:val="000000010000" w:firstRow="0" w:lastRow="0" w:firstColumn="0" w:lastColumn="0" w:oddVBand="0" w:evenVBand="0" w:oddHBand="0" w:evenHBand="1" w:firstRowFirstColumn="0" w:firstRowLastColumn="0" w:lastRowFirstColumn="0" w:lastRowLastColumn="0"/>
        </w:trPr>
        <w:tc>
          <w:tcPr>
            <w:tcW w:w="2263" w:type="dxa"/>
            <w:vMerge/>
            <w:tcBorders>
              <w:top w:val="single" w:sz="4" w:space="0" w:color="auto"/>
              <w:bottom w:val="single" w:sz="4" w:space="0" w:color="auto"/>
            </w:tcBorders>
            <w:hideMark/>
          </w:tcPr>
          <w:p w14:paraId="6BA4F63B" w14:textId="77777777" w:rsidR="004F64EF" w:rsidRPr="003003C0" w:rsidRDefault="004F64EF" w:rsidP="00706642">
            <w:pPr>
              <w:jc w:val="left"/>
              <w:rPr>
                <w:rFonts w:cs="Calibri"/>
                <w:color w:val="000000"/>
                <w:sz w:val="15"/>
                <w:szCs w:val="15"/>
              </w:rPr>
            </w:pPr>
          </w:p>
        </w:tc>
        <w:tc>
          <w:tcPr>
            <w:tcW w:w="2512" w:type="dxa"/>
            <w:vMerge/>
            <w:tcBorders>
              <w:top w:val="single" w:sz="4" w:space="0" w:color="auto"/>
              <w:bottom w:val="single" w:sz="4" w:space="0" w:color="auto"/>
            </w:tcBorders>
            <w:hideMark/>
          </w:tcPr>
          <w:p w14:paraId="32872228" w14:textId="77777777" w:rsidR="004F64EF" w:rsidRPr="003003C0" w:rsidRDefault="004F64EF" w:rsidP="00706642">
            <w:pPr>
              <w:jc w:val="left"/>
              <w:rPr>
                <w:rFonts w:cs="Calibri"/>
                <w:color w:val="000000"/>
                <w:sz w:val="15"/>
                <w:szCs w:val="15"/>
              </w:rPr>
            </w:pPr>
          </w:p>
        </w:tc>
        <w:tc>
          <w:tcPr>
            <w:tcW w:w="1741" w:type="dxa"/>
            <w:vMerge/>
            <w:tcBorders>
              <w:top w:val="single" w:sz="4" w:space="0" w:color="auto"/>
              <w:bottom w:val="single" w:sz="4" w:space="0" w:color="auto"/>
            </w:tcBorders>
            <w:hideMark/>
          </w:tcPr>
          <w:p w14:paraId="05362197" w14:textId="77777777" w:rsidR="004F64EF" w:rsidRPr="003003C0" w:rsidRDefault="004F64EF" w:rsidP="00706642">
            <w:pPr>
              <w:jc w:val="left"/>
              <w:rPr>
                <w:rFonts w:cs="Calibri"/>
                <w:i/>
                <w:iCs/>
                <w:color w:val="000000"/>
                <w:sz w:val="15"/>
                <w:szCs w:val="15"/>
              </w:rPr>
            </w:pPr>
          </w:p>
        </w:tc>
        <w:tc>
          <w:tcPr>
            <w:tcW w:w="2500" w:type="dxa"/>
            <w:tcBorders>
              <w:top w:val="single" w:sz="4" w:space="0" w:color="auto"/>
              <w:bottom w:val="single" w:sz="4" w:space="0" w:color="auto"/>
            </w:tcBorders>
            <w:hideMark/>
          </w:tcPr>
          <w:p w14:paraId="08B35528" w14:textId="77777777" w:rsidR="004F64EF" w:rsidRPr="003003C0" w:rsidRDefault="004F64EF" w:rsidP="00706642">
            <w:pPr>
              <w:jc w:val="left"/>
              <w:rPr>
                <w:rFonts w:cs="Calibri"/>
                <w:color w:val="000000"/>
                <w:sz w:val="15"/>
                <w:szCs w:val="15"/>
              </w:rPr>
            </w:pPr>
            <w:r w:rsidRPr="003003C0">
              <w:rPr>
                <w:rFonts w:cs="Calibri"/>
                <w:color w:val="000000"/>
                <w:sz w:val="15"/>
                <w:szCs w:val="15"/>
              </w:rPr>
              <w:t>G/</w:t>
            </w:r>
            <w:proofErr w:type="spellStart"/>
            <w:r w:rsidRPr="003003C0">
              <w:rPr>
                <w:rFonts w:cs="Calibri"/>
                <w:color w:val="000000"/>
                <w:sz w:val="15"/>
                <w:szCs w:val="15"/>
              </w:rPr>
              <w:t>SCM</w:t>
            </w:r>
            <w:proofErr w:type="spellEnd"/>
            <w:r w:rsidRPr="003003C0">
              <w:rPr>
                <w:rFonts w:cs="Calibri"/>
                <w:color w:val="000000"/>
                <w:sz w:val="15"/>
                <w:szCs w:val="15"/>
              </w:rPr>
              <w:t>/N/299/DOM, 8/6/2016</w:t>
            </w:r>
          </w:p>
        </w:tc>
      </w:tr>
      <w:tr w:rsidR="004F64EF" w:rsidRPr="003003C0" w14:paraId="39B65180" w14:textId="77777777" w:rsidTr="00BE2A9F">
        <w:tc>
          <w:tcPr>
            <w:tcW w:w="2263" w:type="dxa"/>
            <w:tcBorders>
              <w:top w:val="single" w:sz="4" w:space="0" w:color="auto"/>
              <w:bottom w:val="single" w:sz="4" w:space="0" w:color="auto"/>
            </w:tcBorders>
            <w:shd w:val="clear" w:color="auto" w:fill="C9DED4"/>
            <w:hideMark/>
          </w:tcPr>
          <w:p w14:paraId="5D1D4209" w14:textId="77777777" w:rsidR="004F64EF" w:rsidRPr="003003C0" w:rsidRDefault="004F64EF" w:rsidP="00706642">
            <w:pPr>
              <w:jc w:val="left"/>
              <w:rPr>
                <w:rFonts w:cs="Calibri"/>
                <w:color w:val="000000"/>
                <w:sz w:val="15"/>
                <w:szCs w:val="15"/>
              </w:rPr>
            </w:pPr>
            <w:r w:rsidRPr="003003C0">
              <w:rPr>
                <w:rFonts w:cs="Calibri"/>
                <w:color w:val="000000"/>
                <w:sz w:val="15"/>
                <w:szCs w:val="15"/>
              </w:rPr>
              <w:t>Art</w:t>
            </w:r>
            <w:r>
              <w:rPr>
                <w:rFonts w:cs="Calibri"/>
                <w:color w:val="000000"/>
                <w:sz w:val="15"/>
                <w:szCs w:val="15"/>
              </w:rPr>
              <w:t>icle</w:t>
            </w:r>
            <w:r w:rsidRPr="003003C0">
              <w:rPr>
                <w:rFonts w:cs="Calibri"/>
                <w:color w:val="000000"/>
                <w:sz w:val="15"/>
                <w:szCs w:val="15"/>
              </w:rPr>
              <w:t xml:space="preserve"> 32.6</w:t>
            </w:r>
          </w:p>
        </w:tc>
        <w:tc>
          <w:tcPr>
            <w:tcW w:w="2512" w:type="dxa"/>
            <w:tcBorders>
              <w:top w:val="single" w:sz="4" w:space="0" w:color="auto"/>
              <w:bottom w:val="single" w:sz="4" w:space="0" w:color="auto"/>
            </w:tcBorders>
            <w:shd w:val="clear" w:color="auto" w:fill="C9DED4"/>
            <w:hideMark/>
          </w:tcPr>
          <w:p w14:paraId="467B349A" w14:textId="77777777" w:rsidR="004F64EF" w:rsidRPr="003003C0" w:rsidRDefault="004F64EF" w:rsidP="00706642">
            <w:pPr>
              <w:jc w:val="left"/>
              <w:rPr>
                <w:rFonts w:cs="Calibri"/>
                <w:color w:val="000000"/>
                <w:sz w:val="15"/>
                <w:szCs w:val="15"/>
              </w:rPr>
            </w:pPr>
            <w:r w:rsidRPr="00A5081D">
              <w:rPr>
                <w:rFonts w:cs="Calibri"/>
                <w:color w:val="000000"/>
                <w:sz w:val="15"/>
                <w:szCs w:val="15"/>
              </w:rPr>
              <w:t>Laws/regulations and changes thereto</w:t>
            </w:r>
          </w:p>
        </w:tc>
        <w:tc>
          <w:tcPr>
            <w:tcW w:w="1741" w:type="dxa"/>
            <w:tcBorders>
              <w:top w:val="single" w:sz="4" w:space="0" w:color="auto"/>
              <w:bottom w:val="single" w:sz="4" w:space="0" w:color="auto"/>
            </w:tcBorders>
            <w:shd w:val="clear" w:color="auto" w:fill="C9DED4"/>
            <w:hideMark/>
          </w:tcPr>
          <w:p w14:paraId="7F9DCFE8" w14:textId="77777777" w:rsidR="004F64EF" w:rsidRPr="003003C0" w:rsidRDefault="004F64EF" w:rsidP="00706642">
            <w:pPr>
              <w:jc w:val="left"/>
              <w:rPr>
                <w:rFonts w:cs="Calibri"/>
                <w:i/>
                <w:iCs/>
                <w:color w:val="000000"/>
                <w:sz w:val="15"/>
                <w:szCs w:val="15"/>
              </w:rPr>
            </w:pPr>
            <w:r w:rsidRPr="003003C0">
              <w:rPr>
                <w:rFonts w:cs="Calibri"/>
                <w:i/>
                <w:iCs/>
                <w:color w:val="000000"/>
                <w:sz w:val="15"/>
                <w:szCs w:val="15"/>
              </w:rPr>
              <w:t xml:space="preserve">Ad hoc </w:t>
            </w:r>
          </w:p>
        </w:tc>
        <w:tc>
          <w:tcPr>
            <w:tcW w:w="2500" w:type="dxa"/>
            <w:tcBorders>
              <w:top w:val="single" w:sz="4" w:space="0" w:color="auto"/>
              <w:bottom w:val="single" w:sz="4" w:space="0" w:color="auto"/>
            </w:tcBorders>
            <w:shd w:val="clear" w:color="auto" w:fill="C9DED4"/>
            <w:hideMark/>
          </w:tcPr>
          <w:p w14:paraId="643E00EC" w14:textId="77777777" w:rsidR="004F64EF" w:rsidRPr="003003C0" w:rsidRDefault="004F64EF" w:rsidP="00706642">
            <w:pPr>
              <w:jc w:val="left"/>
              <w:rPr>
                <w:rFonts w:cs="Calibri"/>
                <w:color w:val="000000"/>
                <w:sz w:val="15"/>
                <w:szCs w:val="15"/>
              </w:rPr>
            </w:pPr>
            <w:r w:rsidRPr="003003C0">
              <w:rPr>
                <w:rFonts w:cs="Calibri"/>
                <w:color w:val="000000"/>
                <w:sz w:val="15"/>
                <w:szCs w:val="15"/>
              </w:rPr>
              <w:t>G/</w:t>
            </w:r>
            <w:proofErr w:type="spellStart"/>
            <w:r w:rsidRPr="003003C0">
              <w:rPr>
                <w:rFonts w:cs="Calibri"/>
                <w:color w:val="000000"/>
                <w:sz w:val="15"/>
                <w:szCs w:val="15"/>
              </w:rPr>
              <w:t>SCM</w:t>
            </w:r>
            <w:proofErr w:type="spellEnd"/>
            <w:r w:rsidRPr="003003C0">
              <w:rPr>
                <w:rFonts w:cs="Calibri"/>
                <w:color w:val="000000"/>
                <w:sz w:val="15"/>
                <w:szCs w:val="15"/>
              </w:rPr>
              <w:t>/N/1/DOM/2/Suppl.2, 27/11/2015</w:t>
            </w:r>
          </w:p>
        </w:tc>
      </w:tr>
    </w:tbl>
    <w:p w14:paraId="22616754" w14:textId="77777777" w:rsidR="004F64EF" w:rsidRPr="003003C0" w:rsidRDefault="004F64EF" w:rsidP="006653D7">
      <w:pPr>
        <w:pStyle w:val="NoteText"/>
        <w:spacing w:before="120" w:after="240"/>
      </w:pPr>
      <w:r>
        <w:t>Sourc</w:t>
      </w:r>
      <w:r w:rsidRPr="003003C0">
        <w:t>e:</w:t>
      </w:r>
      <w:r w:rsidRPr="003003C0">
        <w:tab/>
      </w:r>
      <w:r>
        <w:t>WTO Secretariat</w:t>
      </w:r>
      <w:r w:rsidRPr="003003C0">
        <w:t>.</w:t>
      </w:r>
    </w:p>
    <w:p w14:paraId="0DC5D477" w14:textId="77777777" w:rsidR="004F64EF" w:rsidRPr="003003C0" w:rsidRDefault="004F64EF" w:rsidP="008A0F00">
      <w:r w:rsidRPr="003003C0">
        <w:br w:type="page"/>
      </w:r>
    </w:p>
    <w:p w14:paraId="79748FA0" w14:textId="77777777" w:rsidR="004F64EF" w:rsidRPr="00065E88" w:rsidRDefault="004F64EF" w:rsidP="00E439A9">
      <w:pPr>
        <w:pStyle w:val="Caption"/>
        <w:jc w:val="both"/>
      </w:pPr>
      <w:bookmarkStart w:id="442" w:name="_Toc114735878"/>
      <w:bookmarkStart w:id="443" w:name="_Toc117004298"/>
      <w:bookmarkStart w:id="444" w:name="_Toc117238123"/>
      <w:r w:rsidRPr="00065E88">
        <w:lastRenderedPageBreak/>
        <w:t>Table A3.</w:t>
      </w:r>
      <w:r w:rsidR="00BD37F2">
        <w:fldChar w:fldCharType="begin"/>
      </w:r>
      <w:r w:rsidR="00BD37F2">
        <w:instrText xml:space="preserve"> SEQ Table_A3. \* ARABIC </w:instrText>
      </w:r>
      <w:r w:rsidR="00BD37F2">
        <w:fldChar w:fldCharType="separate"/>
      </w:r>
      <w:r w:rsidRPr="00065E88">
        <w:rPr>
          <w:noProof/>
        </w:rPr>
        <w:t>1</w:t>
      </w:r>
      <w:r w:rsidR="00BD37F2">
        <w:rPr>
          <w:noProof/>
        </w:rPr>
        <w:fldChar w:fldCharType="end"/>
      </w:r>
      <w:r w:rsidRPr="00065E88">
        <w:t xml:space="preserve"> </w:t>
      </w:r>
      <w:bookmarkEnd w:id="442"/>
      <w:r w:rsidRPr="00065E88">
        <w:t>Customs procedures</w:t>
      </w:r>
      <w:bookmarkEnd w:id="443"/>
      <w:bookmarkEnd w:id="444"/>
    </w:p>
    <w:tbl>
      <w:tblPr>
        <w:tblW w:w="0" w:type="auto"/>
        <w:tblBorders>
          <w:insideH w:val="single" w:sz="6" w:space="0" w:color="FFFFFF"/>
        </w:tblBorders>
        <w:tblCellMar>
          <w:top w:w="57" w:type="dxa"/>
          <w:left w:w="113" w:type="dxa"/>
          <w:bottom w:w="57" w:type="dxa"/>
          <w:right w:w="113" w:type="dxa"/>
        </w:tblCellMar>
        <w:tblLook w:val="04A0" w:firstRow="1" w:lastRow="0" w:firstColumn="1" w:lastColumn="0" w:noHBand="0" w:noVBand="1"/>
      </w:tblPr>
      <w:tblGrid>
        <w:gridCol w:w="9026"/>
      </w:tblGrid>
      <w:tr w:rsidR="004F64EF" w:rsidRPr="00065E88" w14:paraId="0EFDC9CD" w14:textId="77777777" w:rsidTr="001F3C85">
        <w:tc>
          <w:tcPr>
            <w:tcW w:w="9026" w:type="dxa"/>
            <w:shd w:val="clear" w:color="auto" w:fill="C9DED4"/>
          </w:tcPr>
          <w:p w14:paraId="07B6E863" w14:textId="77777777" w:rsidR="004F64EF" w:rsidRPr="00065E88" w:rsidRDefault="004F64EF" w:rsidP="001F3C85">
            <w:pPr>
              <w:jc w:val="left"/>
              <w:rPr>
                <w:b/>
                <w:bCs/>
                <w:sz w:val="15"/>
                <w:szCs w:val="15"/>
              </w:rPr>
            </w:pPr>
            <w:r w:rsidRPr="00065E88">
              <w:rPr>
                <w:b/>
                <w:bCs/>
                <w:sz w:val="15"/>
                <w:szCs w:val="15"/>
              </w:rPr>
              <w:t>Definitive customs procedures</w:t>
            </w:r>
          </w:p>
        </w:tc>
      </w:tr>
      <w:tr w:rsidR="004F64EF" w:rsidRPr="00065E88" w14:paraId="06FF3AC1" w14:textId="77777777" w:rsidTr="001F3C85">
        <w:tc>
          <w:tcPr>
            <w:tcW w:w="9026" w:type="dxa"/>
            <w:shd w:val="clear" w:color="auto" w:fill="C9DED4"/>
          </w:tcPr>
          <w:p w14:paraId="39337AEA" w14:textId="77777777" w:rsidR="004F64EF" w:rsidRPr="00065E88" w:rsidRDefault="004F64EF" w:rsidP="001F3C85">
            <w:pPr>
              <w:jc w:val="left"/>
              <w:rPr>
                <w:b/>
                <w:bCs/>
                <w:sz w:val="15"/>
                <w:szCs w:val="15"/>
              </w:rPr>
            </w:pPr>
            <w:r w:rsidRPr="00065E88">
              <w:rPr>
                <w:b/>
                <w:bCs/>
                <w:sz w:val="15"/>
                <w:szCs w:val="15"/>
              </w:rPr>
              <w:t>Definitive importation</w:t>
            </w:r>
          </w:p>
        </w:tc>
      </w:tr>
      <w:tr w:rsidR="004F64EF" w:rsidRPr="00065E88" w14:paraId="575AF350" w14:textId="77777777" w:rsidTr="001F3C85">
        <w:tc>
          <w:tcPr>
            <w:tcW w:w="9026" w:type="dxa"/>
            <w:shd w:val="clear" w:color="auto" w:fill="C9DED4"/>
          </w:tcPr>
          <w:p w14:paraId="087DA621" w14:textId="77777777" w:rsidR="004F64EF" w:rsidRPr="00065E88" w:rsidRDefault="004F64EF" w:rsidP="001F3C85">
            <w:pPr>
              <w:jc w:val="left"/>
              <w:rPr>
                <w:sz w:val="15"/>
                <w:szCs w:val="15"/>
              </w:rPr>
            </w:pPr>
            <w:r>
              <w:rPr>
                <w:sz w:val="15"/>
                <w:szCs w:val="15"/>
              </w:rPr>
              <w:t>G</w:t>
            </w:r>
            <w:r w:rsidRPr="00065E88">
              <w:rPr>
                <w:sz w:val="15"/>
                <w:szCs w:val="15"/>
              </w:rPr>
              <w:t>oods are brought into the customs territory for use or consumption.</w:t>
            </w:r>
          </w:p>
        </w:tc>
      </w:tr>
      <w:tr w:rsidR="004F64EF" w:rsidRPr="00065E88" w14:paraId="2E38BC87" w14:textId="77777777" w:rsidTr="001F3C85">
        <w:tc>
          <w:tcPr>
            <w:tcW w:w="9026" w:type="dxa"/>
            <w:shd w:val="clear" w:color="auto" w:fill="C9DED4"/>
          </w:tcPr>
          <w:p w14:paraId="57352E29" w14:textId="77777777" w:rsidR="004F64EF" w:rsidRPr="00065E88" w:rsidRDefault="004F64EF" w:rsidP="001F3C85">
            <w:pPr>
              <w:jc w:val="left"/>
              <w:rPr>
                <w:b/>
                <w:bCs/>
                <w:sz w:val="15"/>
                <w:szCs w:val="15"/>
              </w:rPr>
            </w:pPr>
            <w:r w:rsidRPr="00065E88">
              <w:rPr>
                <w:b/>
                <w:bCs/>
                <w:sz w:val="15"/>
                <w:szCs w:val="15"/>
              </w:rPr>
              <w:t>Outright exportation</w:t>
            </w:r>
          </w:p>
        </w:tc>
      </w:tr>
      <w:tr w:rsidR="004F64EF" w:rsidRPr="00E32EEC" w14:paraId="4EA8451D" w14:textId="77777777" w:rsidTr="001F3C85">
        <w:tc>
          <w:tcPr>
            <w:tcW w:w="9026" w:type="dxa"/>
            <w:shd w:val="clear" w:color="auto" w:fill="C9DED4"/>
          </w:tcPr>
          <w:p w14:paraId="51A55485" w14:textId="77777777" w:rsidR="004F64EF" w:rsidRPr="00065E88" w:rsidRDefault="004F64EF" w:rsidP="001F3C85">
            <w:pPr>
              <w:jc w:val="left"/>
              <w:rPr>
                <w:sz w:val="15"/>
                <w:szCs w:val="15"/>
              </w:rPr>
            </w:pPr>
            <w:r w:rsidRPr="00065E88">
              <w:rPr>
                <w:sz w:val="15"/>
                <w:szCs w:val="15"/>
              </w:rPr>
              <w:t>Domestic or imported goods leave the customs territory definitively for use or consumption abroad.</w:t>
            </w:r>
          </w:p>
        </w:tc>
      </w:tr>
      <w:tr w:rsidR="004F64EF" w:rsidRPr="00E32EEC" w14:paraId="742EFE8E" w14:textId="77777777" w:rsidTr="001F3C85">
        <w:tc>
          <w:tcPr>
            <w:tcW w:w="9026" w:type="dxa"/>
            <w:shd w:val="clear" w:color="auto" w:fill="C9DED4"/>
          </w:tcPr>
          <w:p w14:paraId="2870385D" w14:textId="77777777" w:rsidR="004F64EF" w:rsidRPr="00EC3E2B" w:rsidRDefault="004F64EF" w:rsidP="001F3C85">
            <w:pPr>
              <w:jc w:val="left"/>
              <w:rPr>
                <w:b/>
                <w:bCs/>
                <w:sz w:val="15"/>
                <w:szCs w:val="15"/>
              </w:rPr>
            </w:pPr>
            <w:r w:rsidRPr="00A756D0">
              <w:rPr>
                <w:b/>
                <w:bCs/>
                <w:sz w:val="15"/>
                <w:szCs w:val="15"/>
              </w:rPr>
              <w:t>Temporary duty-</w:t>
            </w:r>
            <w:r>
              <w:rPr>
                <w:b/>
                <w:bCs/>
                <w:sz w:val="15"/>
                <w:szCs w:val="15"/>
              </w:rPr>
              <w:t>relief</w:t>
            </w:r>
            <w:r w:rsidRPr="00A756D0">
              <w:rPr>
                <w:b/>
                <w:bCs/>
                <w:sz w:val="15"/>
                <w:szCs w:val="15"/>
              </w:rPr>
              <w:t xml:space="preserve"> arrangement</w:t>
            </w:r>
          </w:p>
        </w:tc>
      </w:tr>
      <w:tr w:rsidR="004F64EF" w:rsidRPr="00E32EEC" w14:paraId="784F7ED1" w14:textId="77777777" w:rsidTr="001F3C85">
        <w:tc>
          <w:tcPr>
            <w:tcW w:w="9026" w:type="dxa"/>
            <w:shd w:val="clear" w:color="auto" w:fill="C9DED4"/>
          </w:tcPr>
          <w:p w14:paraId="49E88552" w14:textId="77777777" w:rsidR="004F64EF" w:rsidRPr="00EC3E2B" w:rsidRDefault="004F64EF" w:rsidP="001F3C85">
            <w:pPr>
              <w:jc w:val="left"/>
              <w:rPr>
                <w:sz w:val="15"/>
                <w:szCs w:val="15"/>
              </w:rPr>
            </w:pPr>
            <w:r>
              <w:rPr>
                <w:sz w:val="15"/>
                <w:szCs w:val="15"/>
              </w:rPr>
              <w:t>Allows f</w:t>
            </w:r>
            <w:r w:rsidRPr="00193FC0">
              <w:rPr>
                <w:sz w:val="15"/>
                <w:szCs w:val="15"/>
              </w:rPr>
              <w:t xml:space="preserve">oreign goods into the country, for a </w:t>
            </w:r>
            <w:r>
              <w:rPr>
                <w:sz w:val="15"/>
                <w:szCs w:val="15"/>
              </w:rPr>
              <w:t>certain</w:t>
            </w:r>
            <w:r w:rsidRPr="00193FC0">
              <w:rPr>
                <w:sz w:val="15"/>
                <w:szCs w:val="15"/>
              </w:rPr>
              <w:t xml:space="preserve"> period of time, without payment of duties, taxes </w:t>
            </w:r>
            <w:r>
              <w:rPr>
                <w:sz w:val="15"/>
                <w:szCs w:val="15"/>
              </w:rPr>
              <w:t>or</w:t>
            </w:r>
            <w:r w:rsidRPr="00193FC0">
              <w:rPr>
                <w:sz w:val="15"/>
                <w:szCs w:val="15"/>
              </w:rPr>
              <w:t xml:space="preserve"> other levies.</w:t>
            </w:r>
          </w:p>
        </w:tc>
      </w:tr>
      <w:tr w:rsidR="004F64EF" w:rsidRPr="00E32EEC" w14:paraId="33D93D91" w14:textId="77777777" w:rsidTr="001F3C85">
        <w:tc>
          <w:tcPr>
            <w:tcW w:w="9026" w:type="dxa"/>
            <w:shd w:val="clear" w:color="auto" w:fill="C9DED4"/>
          </w:tcPr>
          <w:p w14:paraId="1CC10493" w14:textId="77777777" w:rsidR="004F64EF" w:rsidRPr="00EC3E2B" w:rsidRDefault="004F64EF" w:rsidP="001F3C85">
            <w:pPr>
              <w:jc w:val="left"/>
              <w:rPr>
                <w:b/>
                <w:bCs/>
                <w:sz w:val="15"/>
                <w:szCs w:val="15"/>
              </w:rPr>
            </w:pPr>
            <w:r w:rsidRPr="00F40011">
              <w:rPr>
                <w:b/>
                <w:bCs/>
                <w:sz w:val="15"/>
                <w:szCs w:val="15"/>
                <w:lang w:val="en"/>
              </w:rPr>
              <w:t>Temporary admission (importation) for inward processing</w:t>
            </w:r>
            <w:r w:rsidRPr="00F40011">
              <w:rPr>
                <w:b/>
                <w:bCs/>
                <w:sz w:val="15"/>
                <w:szCs w:val="15"/>
              </w:rPr>
              <w:t xml:space="preserve"> (Articles 248-258)</w:t>
            </w:r>
          </w:p>
        </w:tc>
      </w:tr>
      <w:tr w:rsidR="004F64EF" w:rsidRPr="00E32EEC" w14:paraId="2FBE8B1B" w14:textId="77777777" w:rsidTr="001F3C85">
        <w:tc>
          <w:tcPr>
            <w:tcW w:w="9026" w:type="dxa"/>
            <w:shd w:val="clear" w:color="auto" w:fill="C9DED4"/>
          </w:tcPr>
          <w:p w14:paraId="301BA610" w14:textId="77777777" w:rsidR="004F64EF" w:rsidRPr="00EC3E2B" w:rsidRDefault="004F64EF" w:rsidP="001F3C85">
            <w:pPr>
              <w:jc w:val="left"/>
              <w:rPr>
                <w:sz w:val="15"/>
                <w:szCs w:val="15"/>
              </w:rPr>
            </w:pPr>
            <w:r w:rsidRPr="00760B93">
              <w:rPr>
                <w:sz w:val="15"/>
                <w:szCs w:val="15"/>
                <w:lang w:val="en"/>
              </w:rPr>
              <w:t xml:space="preserve">Allows into the customs territory, with </w:t>
            </w:r>
            <w:r>
              <w:rPr>
                <w:sz w:val="15"/>
                <w:szCs w:val="15"/>
                <w:lang w:val="en"/>
              </w:rPr>
              <w:t>relief from</w:t>
            </w:r>
            <w:r w:rsidRPr="00760B93">
              <w:rPr>
                <w:sz w:val="15"/>
                <w:szCs w:val="15"/>
                <w:lang w:val="en"/>
              </w:rPr>
              <w:t xml:space="preserve"> the payment of import duties, goods from abroad or under other special customs procedures that are to be exported within a certain time frame, after having undergone processing, manufacture or repair</w:t>
            </w:r>
            <w:r w:rsidRPr="00760B93">
              <w:rPr>
                <w:sz w:val="15"/>
                <w:szCs w:val="15"/>
              </w:rPr>
              <w:t>.</w:t>
            </w:r>
          </w:p>
        </w:tc>
      </w:tr>
      <w:tr w:rsidR="004F64EF" w:rsidRPr="00E32EEC" w14:paraId="4E44FFB6" w14:textId="77777777" w:rsidTr="001F3C85">
        <w:tc>
          <w:tcPr>
            <w:tcW w:w="9026" w:type="dxa"/>
            <w:shd w:val="clear" w:color="auto" w:fill="C9DED4"/>
          </w:tcPr>
          <w:p w14:paraId="3BEB55BD" w14:textId="77777777" w:rsidR="004F64EF" w:rsidRPr="00EC3E2B" w:rsidRDefault="004F64EF" w:rsidP="001F3C85">
            <w:pPr>
              <w:jc w:val="left"/>
              <w:rPr>
                <w:b/>
                <w:bCs/>
                <w:sz w:val="15"/>
                <w:szCs w:val="15"/>
              </w:rPr>
            </w:pPr>
            <w:r w:rsidRPr="00760B93">
              <w:rPr>
                <w:b/>
                <w:bCs/>
                <w:sz w:val="15"/>
                <w:szCs w:val="15"/>
              </w:rPr>
              <w:t>Temporary exit (exportation) for outward processing</w:t>
            </w:r>
            <w:r w:rsidRPr="00760B93">
              <w:rPr>
                <w:b/>
                <w:bCs/>
                <w:sz w:val="15"/>
                <w:szCs w:val="15"/>
                <w:lang w:val="en"/>
              </w:rPr>
              <w:t xml:space="preserve"> </w:t>
            </w:r>
            <w:r w:rsidRPr="00760B93">
              <w:rPr>
                <w:b/>
                <w:bCs/>
                <w:sz w:val="15"/>
                <w:szCs w:val="15"/>
              </w:rPr>
              <w:t>(Articles 259-262)</w:t>
            </w:r>
          </w:p>
        </w:tc>
      </w:tr>
      <w:tr w:rsidR="004F64EF" w:rsidRPr="00E32EEC" w14:paraId="14E78A7F" w14:textId="77777777" w:rsidTr="001F3C85">
        <w:trPr>
          <w:trHeight w:val="601"/>
        </w:trPr>
        <w:tc>
          <w:tcPr>
            <w:tcW w:w="9026" w:type="dxa"/>
            <w:shd w:val="clear" w:color="auto" w:fill="C9DED4"/>
          </w:tcPr>
          <w:p w14:paraId="4812D0F8" w14:textId="77777777" w:rsidR="004F64EF" w:rsidRPr="00EC3E2B" w:rsidRDefault="004F64EF" w:rsidP="001F3C85">
            <w:pPr>
              <w:jc w:val="left"/>
              <w:rPr>
                <w:sz w:val="15"/>
                <w:szCs w:val="15"/>
              </w:rPr>
            </w:pPr>
            <w:r>
              <w:rPr>
                <w:sz w:val="15"/>
                <w:szCs w:val="15"/>
              </w:rPr>
              <w:t>Allows goods to be te</w:t>
            </w:r>
            <w:r w:rsidRPr="00760B93">
              <w:rPr>
                <w:sz w:val="15"/>
                <w:szCs w:val="15"/>
              </w:rPr>
              <w:t xml:space="preserve">mporarily exported </w:t>
            </w:r>
            <w:r>
              <w:rPr>
                <w:sz w:val="15"/>
                <w:szCs w:val="15"/>
              </w:rPr>
              <w:t xml:space="preserve">from the customs territory </w:t>
            </w:r>
            <w:r w:rsidRPr="00760B93">
              <w:rPr>
                <w:sz w:val="15"/>
                <w:szCs w:val="15"/>
              </w:rPr>
              <w:t xml:space="preserve">for </w:t>
            </w:r>
            <w:r>
              <w:rPr>
                <w:sz w:val="15"/>
                <w:szCs w:val="15"/>
              </w:rPr>
              <w:t xml:space="preserve">processing, </w:t>
            </w:r>
            <w:r w:rsidRPr="00760B93">
              <w:rPr>
                <w:sz w:val="15"/>
                <w:szCs w:val="15"/>
              </w:rPr>
              <w:t>manufactur</w:t>
            </w:r>
            <w:r>
              <w:rPr>
                <w:sz w:val="15"/>
                <w:szCs w:val="15"/>
              </w:rPr>
              <w:t xml:space="preserve">ing </w:t>
            </w:r>
            <w:r w:rsidRPr="00760B93">
              <w:rPr>
                <w:sz w:val="15"/>
                <w:szCs w:val="15"/>
              </w:rPr>
              <w:t>or repair abroad</w:t>
            </w:r>
            <w:r>
              <w:rPr>
                <w:sz w:val="15"/>
                <w:szCs w:val="15"/>
              </w:rPr>
              <w:t>,</w:t>
            </w:r>
            <w:r w:rsidRPr="00760B93">
              <w:rPr>
                <w:sz w:val="15"/>
                <w:szCs w:val="15"/>
              </w:rPr>
              <w:t xml:space="preserve"> and then reimported</w:t>
            </w:r>
            <w:r>
              <w:rPr>
                <w:sz w:val="15"/>
                <w:szCs w:val="15"/>
              </w:rPr>
              <w:t>. Duties are applied</w:t>
            </w:r>
            <w:r w:rsidRPr="00760B93">
              <w:rPr>
                <w:sz w:val="15"/>
                <w:szCs w:val="15"/>
              </w:rPr>
              <w:t xml:space="preserve"> </w:t>
            </w:r>
            <w:r>
              <w:rPr>
                <w:sz w:val="15"/>
                <w:szCs w:val="15"/>
              </w:rPr>
              <w:t>for the goods and services incorporated into the domestic or imported goods abroad, together with any exemptions established by law.</w:t>
            </w:r>
          </w:p>
        </w:tc>
      </w:tr>
      <w:tr w:rsidR="004F64EF" w:rsidRPr="00E32EEC" w14:paraId="7B88084D" w14:textId="77777777" w:rsidTr="001F3C85">
        <w:tc>
          <w:tcPr>
            <w:tcW w:w="9026" w:type="dxa"/>
            <w:shd w:val="clear" w:color="auto" w:fill="C9DED4"/>
          </w:tcPr>
          <w:p w14:paraId="11B8D9CB" w14:textId="77777777" w:rsidR="004F64EF" w:rsidRPr="00EC3E2B" w:rsidRDefault="004F64EF" w:rsidP="001F3C85">
            <w:pPr>
              <w:jc w:val="left"/>
              <w:rPr>
                <w:b/>
                <w:bCs/>
                <w:strike/>
                <w:sz w:val="15"/>
                <w:szCs w:val="15"/>
              </w:rPr>
            </w:pPr>
            <w:bookmarkStart w:id="445" w:name="_Hlk99025649"/>
            <w:r w:rsidRPr="001510F8">
              <w:rPr>
                <w:b/>
                <w:bCs/>
                <w:sz w:val="15"/>
                <w:szCs w:val="15"/>
              </w:rPr>
              <w:t>Temporary admission without transformation (procedure also known as "temporary admission without processing (temporary entry)", as indicated in Article 247(4) of Law No. 168-21 (Customs Law)) (Articles 263–270)</w:t>
            </w:r>
            <w:bookmarkEnd w:id="445"/>
            <w:r w:rsidRPr="001510F8">
              <w:rPr>
                <w:b/>
                <w:bCs/>
                <w:sz w:val="15"/>
                <w:szCs w:val="15"/>
                <w:vertAlign w:val="superscript"/>
              </w:rPr>
              <w:t>a</w:t>
            </w:r>
          </w:p>
        </w:tc>
      </w:tr>
      <w:tr w:rsidR="004F64EF" w:rsidRPr="00E32EEC" w14:paraId="781F3D79" w14:textId="77777777" w:rsidTr="001F3C85">
        <w:trPr>
          <w:trHeight w:val="621"/>
        </w:trPr>
        <w:tc>
          <w:tcPr>
            <w:tcW w:w="9026" w:type="dxa"/>
            <w:shd w:val="clear" w:color="auto" w:fill="C9DED4"/>
          </w:tcPr>
          <w:p w14:paraId="2CB35DB9" w14:textId="77777777" w:rsidR="004F64EF" w:rsidRPr="00EC3E2B" w:rsidRDefault="004F64EF" w:rsidP="001F3C85">
            <w:pPr>
              <w:jc w:val="left"/>
              <w:rPr>
                <w:sz w:val="15"/>
                <w:szCs w:val="15"/>
              </w:rPr>
            </w:pPr>
            <w:r w:rsidRPr="00327CC7">
              <w:rPr>
                <w:sz w:val="15"/>
                <w:szCs w:val="15"/>
              </w:rPr>
              <w:t>Allows</w:t>
            </w:r>
            <w:r w:rsidRPr="00A54712">
              <w:rPr>
                <w:sz w:val="15"/>
                <w:szCs w:val="15"/>
              </w:rPr>
              <w:t xml:space="preserve"> certain goods for a specific purpose</w:t>
            </w:r>
            <w:r>
              <w:rPr>
                <w:sz w:val="15"/>
                <w:szCs w:val="15"/>
              </w:rPr>
              <w:t xml:space="preserve"> to enter</w:t>
            </w:r>
            <w:r w:rsidRPr="00327CC7">
              <w:rPr>
                <w:sz w:val="15"/>
                <w:szCs w:val="15"/>
              </w:rPr>
              <w:t xml:space="preserve"> the customs territory with total or partial </w:t>
            </w:r>
            <w:r>
              <w:rPr>
                <w:sz w:val="15"/>
                <w:szCs w:val="15"/>
              </w:rPr>
              <w:t>relief from</w:t>
            </w:r>
            <w:r w:rsidRPr="00327CC7">
              <w:rPr>
                <w:sz w:val="15"/>
                <w:szCs w:val="15"/>
              </w:rPr>
              <w:t xml:space="preserve"> import duties,</w:t>
            </w:r>
            <w:r>
              <w:rPr>
                <w:sz w:val="15"/>
                <w:szCs w:val="15"/>
              </w:rPr>
              <w:t xml:space="preserve"> and to be subsequently reshipped</w:t>
            </w:r>
            <w:r w:rsidRPr="00327CC7">
              <w:rPr>
                <w:sz w:val="15"/>
                <w:szCs w:val="15"/>
              </w:rPr>
              <w:t xml:space="preserve">, within the time frame authorized by the </w:t>
            </w:r>
            <w:r w:rsidRPr="00327CC7">
              <w:rPr>
                <w:sz w:val="15"/>
                <w:szCs w:val="15"/>
                <w:lang w:val="en"/>
              </w:rPr>
              <w:t>Directorate-General of Customs</w:t>
            </w:r>
            <w:r w:rsidRPr="00327CC7">
              <w:rPr>
                <w:sz w:val="15"/>
                <w:szCs w:val="15"/>
              </w:rPr>
              <w:t xml:space="preserve">, without having </w:t>
            </w:r>
            <w:r>
              <w:rPr>
                <w:sz w:val="15"/>
                <w:szCs w:val="15"/>
              </w:rPr>
              <w:t>undergone any change</w:t>
            </w:r>
            <w:r w:rsidRPr="00327CC7">
              <w:rPr>
                <w:sz w:val="15"/>
                <w:szCs w:val="15"/>
              </w:rPr>
              <w:t xml:space="preserve">, except </w:t>
            </w:r>
            <w:r w:rsidRPr="00313619">
              <w:rPr>
                <w:sz w:val="15"/>
                <w:szCs w:val="15"/>
                <w:lang w:val="en"/>
              </w:rPr>
              <w:t>normal depreciation due to the use made of them</w:t>
            </w:r>
            <w:r w:rsidRPr="00327CC7">
              <w:rPr>
                <w:sz w:val="15"/>
                <w:szCs w:val="15"/>
              </w:rPr>
              <w:t>.</w:t>
            </w:r>
          </w:p>
        </w:tc>
      </w:tr>
      <w:tr w:rsidR="004F64EF" w:rsidRPr="00E32EEC" w14:paraId="7623EB0D" w14:textId="77777777" w:rsidTr="001F3C85">
        <w:trPr>
          <w:trHeight w:val="370"/>
        </w:trPr>
        <w:tc>
          <w:tcPr>
            <w:tcW w:w="9026" w:type="dxa"/>
            <w:shd w:val="clear" w:color="auto" w:fill="C9DED4"/>
          </w:tcPr>
          <w:p w14:paraId="61863ECB" w14:textId="77777777" w:rsidR="004F64EF" w:rsidRPr="00EC3E2B" w:rsidRDefault="004F64EF" w:rsidP="00F0233E">
            <w:pPr>
              <w:jc w:val="left"/>
              <w:rPr>
                <w:sz w:val="15"/>
                <w:szCs w:val="15"/>
              </w:rPr>
            </w:pPr>
            <w:r w:rsidRPr="00EE0128">
              <w:rPr>
                <w:b/>
                <w:bCs/>
                <w:sz w:val="15"/>
                <w:szCs w:val="15"/>
              </w:rPr>
              <w:t>Temporary admission (temporary entry) under a lease agreement with the option to buy or replace</w:t>
            </w:r>
          </w:p>
        </w:tc>
      </w:tr>
      <w:tr w:rsidR="004F64EF" w:rsidRPr="00E32EEC" w14:paraId="43ACDDE0" w14:textId="77777777" w:rsidTr="001F3C85">
        <w:trPr>
          <w:trHeight w:val="434"/>
        </w:trPr>
        <w:tc>
          <w:tcPr>
            <w:tcW w:w="9026" w:type="dxa"/>
            <w:shd w:val="clear" w:color="auto" w:fill="C9DED4"/>
          </w:tcPr>
          <w:p w14:paraId="5AFD54D9" w14:textId="77777777" w:rsidR="004F64EF" w:rsidRPr="00EC3E2B" w:rsidRDefault="004F64EF" w:rsidP="001F3C85">
            <w:pPr>
              <w:jc w:val="left"/>
              <w:rPr>
                <w:b/>
                <w:bCs/>
                <w:sz w:val="15"/>
                <w:szCs w:val="15"/>
              </w:rPr>
            </w:pPr>
            <w:r w:rsidRPr="006108E2">
              <w:rPr>
                <w:sz w:val="15"/>
                <w:szCs w:val="15"/>
              </w:rPr>
              <w:t xml:space="preserve">Allows </w:t>
            </w:r>
            <w:r w:rsidRPr="00EE77B5">
              <w:rPr>
                <w:sz w:val="15"/>
                <w:szCs w:val="15"/>
              </w:rPr>
              <w:t xml:space="preserve">certain leased goods for a specific purpose </w:t>
            </w:r>
            <w:r>
              <w:rPr>
                <w:sz w:val="15"/>
                <w:szCs w:val="15"/>
              </w:rPr>
              <w:t>to enter</w:t>
            </w:r>
            <w:r w:rsidRPr="006108E2">
              <w:rPr>
                <w:sz w:val="15"/>
                <w:szCs w:val="15"/>
              </w:rPr>
              <w:t xml:space="preserve"> the customs territory with total or partial relief from import duties and </w:t>
            </w:r>
            <w:r>
              <w:rPr>
                <w:sz w:val="15"/>
                <w:szCs w:val="15"/>
              </w:rPr>
              <w:t>to be</w:t>
            </w:r>
            <w:r w:rsidRPr="006108E2">
              <w:rPr>
                <w:sz w:val="15"/>
                <w:szCs w:val="15"/>
              </w:rPr>
              <w:t xml:space="preserve"> subsequent</w:t>
            </w:r>
            <w:r>
              <w:rPr>
                <w:sz w:val="15"/>
                <w:szCs w:val="15"/>
              </w:rPr>
              <w:t>ly</w:t>
            </w:r>
            <w:r w:rsidRPr="006108E2">
              <w:rPr>
                <w:sz w:val="15"/>
                <w:szCs w:val="15"/>
              </w:rPr>
              <w:t xml:space="preserve"> reship</w:t>
            </w:r>
            <w:r>
              <w:rPr>
                <w:sz w:val="15"/>
                <w:szCs w:val="15"/>
              </w:rPr>
              <w:t>ped</w:t>
            </w:r>
            <w:r w:rsidRPr="006108E2">
              <w:rPr>
                <w:sz w:val="15"/>
                <w:szCs w:val="15"/>
              </w:rPr>
              <w:t>.</w:t>
            </w:r>
          </w:p>
        </w:tc>
      </w:tr>
      <w:tr w:rsidR="004F64EF" w:rsidRPr="00E32EEC" w14:paraId="04A508EC" w14:textId="77777777" w:rsidTr="001F3C85">
        <w:tc>
          <w:tcPr>
            <w:tcW w:w="9026" w:type="dxa"/>
            <w:shd w:val="clear" w:color="auto" w:fill="C9DED4"/>
          </w:tcPr>
          <w:p w14:paraId="59C8BA6F" w14:textId="77777777" w:rsidR="004F64EF" w:rsidRPr="00EC3E2B" w:rsidRDefault="004F64EF" w:rsidP="001F3C85">
            <w:pPr>
              <w:jc w:val="left"/>
              <w:rPr>
                <w:sz w:val="15"/>
                <w:szCs w:val="15"/>
              </w:rPr>
            </w:pPr>
            <w:r w:rsidRPr="00A82151">
              <w:rPr>
                <w:b/>
                <w:bCs/>
                <w:sz w:val="15"/>
                <w:szCs w:val="15"/>
              </w:rPr>
              <w:t>Temporary exit (Articles 271–274)</w:t>
            </w:r>
          </w:p>
        </w:tc>
      </w:tr>
      <w:tr w:rsidR="004F64EF" w:rsidRPr="00E32EEC" w14:paraId="12F6B982" w14:textId="77777777" w:rsidTr="001F3C85">
        <w:trPr>
          <w:trHeight w:val="564"/>
        </w:trPr>
        <w:tc>
          <w:tcPr>
            <w:tcW w:w="9026" w:type="dxa"/>
            <w:shd w:val="clear" w:color="auto" w:fill="C9DED4"/>
          </w:tcPr>
          <w:p w14:paraId="4A53FBFB" w14:textId="77777777" w:rsidR="004F64EF" w:rsidRPr="00EC3E2B" w:rsidRDefault="004F64EF" w:rsidP="001F3C85">
            <w:pPr>
              <w:jc w:val="left"/>
              <w:rPr>
                <w:sz w:val="15"/>
                <w:szCs w:val="15"/>
              </w:rPr>
            </w:pPr>
            <w:r w:rsidRPr="00C340E2">
              <w:rPr>
                <w:sz w:val="15"/>
                <w:szCs w:val="15"/>
              </w:rPr>
              <w:t xml:space="preserve">Domestic and imported goods may temporarily leave the country (for a period of six months, extendable only once), without ceasing to qualify as such and without </w:t>
            </w:r>
            <w:r>
              <w:rPr>
                <w:sz w:val="15"/>
                <w:szCs w:val="15"/>
              </w:rPr>
              <w:t>payment of</w:t>
            </w:r>
            <w:r w:rsidRPr="00C340E2">
              <w:rPr>
                <w:sz w:val="15"/>
                <w:szCs w:val="15"/>
              </w:rPr>
              <w:t xml:space="preserve"> import duties and taxes upon their return. If the deadline for the return of the goods expires, they may be considered to have been exported outright</w:t>
            </w:r>
            <w:r w:rsidRPr="00B71A1C">
              <w:rPr>
                <w:sz w:val="15"/>
                <w:szCs w:val="15"/>
              </w:rPr>
              <w:t>.</w:t>
            </w:r>
          </w:p>
        </w:tc>
      </w:tr>
      <w:tr w:rsidR="004F64EF" w:rsidRPr="00E32EEC" w14:paraId="4E0CE128" w14:textId="77777777" w:rsidTr="001F3C85">
        <w:tc>
          <w:tcPr>
            <w:tcW w:w="9026" w:type="dxa"/>
            <w:shd w:val="clear" w:color="auto" w:fill="C9DED4"/>
          </w:tcPr>
          <w:p w14:paraId="1E37643B" w14:textId="77777777" w:rsidR="004F64EF" w:rsidRPr="00EC3E2B" w:rsidRDefault="004F64EF" w:rsidP="001F3C85">
            <w:pPr>
              <w:jc w:val="left"/>
              <w:rPr>
                <w:bCs/>
                <w:sz w:val="15"/>
                <w:szCs w:val="15"/>
              </w:rPr>
            </w:pPr>
            <w:r>
              <w:rPr>
                <w:b/>
                <w:sz w:val="15"/>
                <w:szCs w:val="15"/>
              </w:rPr>
              <w:t>W</w:t>
            </w:r>
            <w:r w:rsidRPr="00D16584">
              <w:rPr>
                <w:b/>
                <w:sz w:val="15"/>
                <w:szCs w:val="15"/>
              </w:rPr>
              <w:t>arehousing procedure</w:t>
            </w:r>
            <w:r w:rsidRPr="00D16584">
              <w:rPr>
                <w:bCs/>
                <w:sz w:val="15"/>
                <w:szCs w:val="15"/>
              </w:rPr>
              <w:t xml:space="preserve"> </w:t>
            </w:r>
          </w:p>
        </w:tc>
      </w:tr>
      <w:tr w:rsidR="004F64EF" w:rsidRPr="00E32EEC" w14:paraId="6798FF88" w14:textId="77777777" w:rsidTr="001F3C85">
        <w:tc>
          <w:tcPr>
            <w:tcW w:w="9026" w:type="dxa"/>
            <w:shd w:val="clear" w:color="auto" w:fill="C9DED4"/>
          </w:tcPr>
          <w:p w14:paraId="5F269E6F" w14:textId="77777777" w:rsidR="004F64EF" w:rsidRPr="00EC3E2B" w:rsidRDefault="004F64EF" w:rsidP="001F3C85">
            <w:pPr>
              <w:jc w:val="left"/>
              <w:rPr>
                <w:bCs/>
                <w:sz w:val="15"/>
                <w:szCs w:val="15"/>
              </w:rPr>
            </w:pPr>
            <w:r w:rsidRPr="002C7C14">
              <w:rPr>
                <w:bCs/>
                <w:sz w:val="15"/>
                <w:szCs w:val="15"/>
              </w:rPr>
              <w:t>Allow</w:t>
            </w:r>
            <w:r>
              <w:rPr>
                <w:bCs/>
                <w:sz w:val="15"/>
                <w:szCs w:val="15"/>
              </w:rPr>
              <w:t>s</w:t>
            </w:r>
            <w:r w:rsidRPr="002C7C14">
              <w:rPr>
                <w:bCs/>
                <w:sz w:val="15"/>
                <w:szCs w:val="15"/>
              </w:rPr>
              <w:t xml:space="preserve"> goods to enter </w:t>
            </w:r>
            <w:r>
              <w:rPr>
                <w:bCs/>
                <w:sz w:val="15"/>
                <w:szCs w:val="15"/>
              </w:rPr>
              <w:t xml:space="preserve">certain </w:t>
            </w:r>
            <w:r w:rsidRPr="002C7C14">
              <w:rPr>
                <w:bCs/>
                <w:sz w:val="15"/>
                <w:szCs w:val="15"/>
              </w:rPr>
              <w:t xml:space="preserve">warehouses, without payment of duties and taxes, for a </w:t>
            </w:r>
            <w:r>
              <w:rPr>
                <w:bCs/>
                <w:sz w:val="15"/>
                <w:szCs w:val="15"/>
              </w:rPr>
              <w:t>specified period</w:t>
            </w:r>
            <w:r w:rsidRPr="002C7C14">
              <w:rPr>
                <w:bCs/>
                <w:sz w:val="15"/>
                <w:szCs w:val="15"/>
              </w:rPr>
              <w:t xml:space="preserve"> of time.</w:t>
            </w:r>
          </w:p>
        </w:tc>
      </w:tr>
      <w:tr w:rsidR="004F64EF" w:rsidRPr="00E32EEC" w14:paraId="76FF46FD" w14:textId="77777777" w:rsidTr="001F3C85">
        <w:trPr>
          <w:trHeight w:val="107"/>
        </w:trPr>
        <w:tc>
          <w:tcPr>
            <w:tcW w:w="9026" w:type="dxa"/>
            <w:shd w:val="clear" w:color="auto" w:fill="C9DED4"/>
          </w:tcPr>
          <w:p w14:paraId="7390043B" w14:textId="77777777" w:rsidR="004F64EF" w:rsidRPr="00F34D56" w:rsidRDefault="004F64EF" w:rsidP="001F3C85">
            <w:pPr>
              <w:jc w:val="left"/>
              <w:rPr>
                <w:b/>
                <w:bCs/>
                <w:sz w:val="15"/>
                <w:szCs w:val="15"/>
              </w:rPr>
            </w:pPr>
            <w:r w:rsidRPr="00F34D56">
              <w:rPr>
                <w:b/>
                <w:bCs/>
                <w:sz w:val="15"/>
                <w:szCs w:val="15"/>
              </w:rPr>
              <w:t xml:space="preserve">Duty </w:t>
            </w:r>
            <w:r>
              <w:rPr>
                <w:b/>
                <w:bCs/>
                <w:sz w:val="15"/>
                <w:szCs w:val="15"/>
              </w:rPr>
              <w:t>repayment</w:t>
            </w:r>
            <w:r w:rsidRPr="00F34D56">
              <w:rPr>
                <w:b/>
                <w:bCs/>
                <w:sz w:val="15"/>
                <w:szCs w:val="15"/>
              </w:rPr>
              <w:t xml:space="preserve"> procedures</w:t>
            </w:r>
          </w:p>
        </w:tc>
      </w:tr>
      <w:tr w:rsidR="004F64EF" w:rsidRPr="00E32EEC" w14:paraId="27B08195" w14:textId="77777777" w:rsidTr="001F3C85">
        <w:trPr>
          <w:trHeight w:val="843"/>
        </w:trPr>
        <w:tc>
          <w:tcPr>
            <w:tcW w:w="9026" w:type="dxa"/>
            <w:shd w:val="clear" w:color="auto" w:fill="C9DED4"/>
          </w:tcPr>
          <w:p w14:paraId="3A5345FB" w14:textId="77777777" w:rsidR="004F64EF" w:rsidRPr="00F34D56" w:rsidRDefault="004F64EF" w:rsidP="001F3C85">
            <w:pPr>
              <w:jc w:val="left"/>
              <w:rPr>
                <w:sz w:val="15"/>
                <w:szCs w:val="15"/>
              </w:rPr>
            </w:pPr>
            <w:r w:rsidRPr="00F34D56">
              <w:rPr>
                <w:sz w:val="15"/>
                <w:szCs w:val="15"/>
              </w:rPr>
              <w:t xml:space="preserve">Allow for the </w:t>
            </w:r>
            <w:r w:rsidRPr="00F34D56">
              <w:rPr>
                <w:sz w:val="15"/>
                <w:szCs w:val="15"/>
                <w:lang w:val="en"/>
              </w:rPr>
              <w:t xml:space="preserve">total or partial repayment of customs taxes and duties actually paid upon the definitive importation of </w:t>
            </w:r>
            <w:r w:rsidRPr="00F34D56">
              <w:rPr>
                <w:sz w:val="15"/>
                <w:szCs w:val="15"/>
              </w:rPr>
              <w:t xml:space="preserve">inputs, containers or packaging incorporated in </w:t>
            </w:r>
            <w:r>
              <w:rPr>
                <w:sz w:val="15"/>
                <w:szCs w:val="15"/>
              </w:rPr>
              <w:t xml:space="preserve">products for </w:t>
            </w:r>
            <w:r w:rsidRPr="00F34D56">
              <w:rPr>
                <w:sz w:val="15"/>
                <w:szCs w:val="15"/>
              </w:rPr>
              <w:t xml:space="preserve">export, provided that </w:t>
            </w:r>
            <w:r>
              <w:rPr>
                <w:sz w:val="15"/>
                <w:szCs w:val="15"/>
              </w:rPr>
              <w:t>exportation takes place</w:t>
            </w:r>
            <w:r w:rsidRPr="00F34D56">
              <w:rPr>
                <w:sz w:val="15"/>
                <w:szCs w:val="15"/>
              </w:rPr>
              <w:t xml:space="preserve"> within 12</w:t>
            </w:r>
            <w:r>
              <w:rPr>
                <w:sz w:val="15"/>
                <w:szCs w:val="15"/>
              </w:rPr>
              <w:t> </w:t>
            </w:r>
            <w:r w:rsidRPr="00F34D56">
              <w:rPr>
                <w:sz w:val="15"/>
                <w:szCs w:val="15"/>
              </w:rPr>
              <w:t>months of the importation</w:t>
            </w:r>
            <w:r>
              <w:rPr>
                <w:sz w:val="15"/>
                <w:szCs w:val="15"/>
              </w:rPr>
              <w:t xml:space="preserve"> of these goods</w:t>
            </w:r>
            <w:r w:rsidRPr="00F34D56">
              <w:rPr>
                <w:sz w:val="15"/>
                <w:szCs w:val="15"/>
              </w:rPr>
              <w:t xml:space="preserve">, and subject to the requirements and procedures set out in the </w:t>
            </w:r>
            <w:r>
              <w:rPr>
                <w:sz w:val="15"/>
                <w:szCs w:val="15"/>
              </w:rPr>
              <w:t>l</w:t>
            </w:r>
            <w:r w:rsidRPr="00F34D56">
              <w:rPr>
                <w:sz w:val="15"/>
                <w:szCs w:val="15"/>
              </w:rPr>
              <w:t>aw and its implementing regulations or any special laws.</w:t>
            </w:r>
          </w:p>
        </w:tc>
      </w:tr>
      <w:tr w:rsidR="004F64EF" w:rsidRPr="00E32EEC" w14:paraId="62AE34FC" w14:textId="77777777" w:rsidTr="001F3C85">
        <w:trPr>
          <w:trHeight w:val="221"/>
        </w:trPr>
        <w:tc>
          <w:tcPr>
            <w:tcW w:w="9026" w:type="dxa"/>
            <w:shd w:val="clear" w:color="auto" w:fill="C9DED4"/>
          </w:tcPr>
          <w:p w14:paraId="3967EAF9" w14:textId="77777777" w:rsidR="004F64EF" w:rsidRPr="00EC3E2B" w:rsidRDefault="004F64EF" w:rsidP="001F3C85">
            <w:pPr>
              <w:jc w:val="left"/>
              <w:rPr>
                <w:b/>
                <w:bCs/>
                <w:sz w:val="15"/>
                <w:szCs w:val="15"/>
              </w:rPr>
            </w:pPr>
            <w:r w:rsidRPr="00306968">
              <w:rPr>
                <w:b/>
                <w:bCs/>
                <w:sz w:val="15"/>
                <w:szCs w:val="15"/>
              </w:rPr>
              <w:t>Duty-free replacement procedure (Articles 276-279)</w:t>
            </w:r>
          </w:p>
        </w:tc>
      </w:tr>
      <w:tr w:rsidR="004F64EF" w:rsidRPr="00E32EEC" w14:paraId="67E56BDC" w14:textId="77777777" w:rsidTr="001F3C85">
        <w:trPr>
          <w:trHeight w:val="579"/>
        </w:trPr>
        <w:tc>
          <w:tcPr>
            <w:tcW w:w="9026" w:type="dxa"/>
            <w:shd w:val="clear" w:color="auto" w:fill="C9DED4"/>
          </w:tcPr>
          <w:p w14:paraId="5033A247" w14:textId="77777777" w:rsidR="004F64EF" w:rsidRPr="00EC3E2B" w:rsidRDefault="004F64EF" w:rsidP="001F3C85">
            <w:pPr>
              <w:jc w:val="left"/>
              <w:rPr>
                <w:sz w:val="15"/>
                <w:szCs w:val="15"/>
              </w:rPr>
            </w:pPr>
            <w:r w:rsidRPr="001F3A3F">
              <w:rPr>
                <w:sz w:val="15"/>
                <w:szCs w:val="15"/>
              </w:rPr>
              <w:t>Allows for the importation, with total or partial relief from import duties and taxes, of goods equivalent to those which, being in free circulation on the domestic market, have been used to produce previously exported goods.</w:t>
            </w:r>
          </w:p>
        </w:tc>
      </w:tr>
      <w:tr w:rsidR="004F64EF" w:rsidRPr="00E32EEC" w14:paraId="14BAA38D" w14:textId="77777777" w:rsidTr="001F3C85">
        <w:tc>
          <w:tcPr>
            <w:tcW w:w="9026" w:type="dxa"/>
            <w:shd w:val="clear" w:color="auto" w:fill="C9DED4"/>
          </w:tcPr>
          <w:p w14:paraId="6767D09A" w14:textId="77777777" w:rsidR="004F64EF" w:rsidRPr="00EC3E2B" w:rsidRDefault="004F64EF" w:rsidP="001F3C85">
            <w:pPr>
              <w:jc w:val="left"/>
              <w:rPr>
                <w:b/>
                <w:bCs/>
                <w:sz w:val="15"/>
                <w:szCs w:val="15"/>
              </w:rPr>
            </w:pPr>
            <w:bookmarkStart w:id="446" w:name="_Hlk98177447"/>
            <w:r w:rsidRPr="009E6320">
              <w:rPr>
                <w:b/>
                <w:bCs/>
                <w:sz w:val="15"/>
                <w:szCs w:val="15"/>
              </w:rPr>
              <w:t>Drawback procedure</w:t>
            </w:r>
          </w:p>
        </w:tc>
      </w:tr>
      <w:tr w:rsidR="004F64EF" w:rsidRPr="00E32EEC" w14:paraId="2BB62D96" w14:textId="77777777" w:rsidTr="001F3C85">
        <w:trPr>
          <w:trHeight w:val="586"/>
        </w:trPr>
        <w:tc>
          <w:tcPr>
            <w:tcW w:w="9026" w:type="dxa"/>
            <w:shd w:val="clear" w:color="auto" w:fill="C9DED4"/>
          </w:tcPr>
          <w:p w14:paraId="57211883" w14:textId="77777777" w:rsidR="004F64EF" w:rsidRPr="00EC3E2B" w:rsidRDefault="004F64EF" w:rsidP="001F3C85">
            <w:pPr>
              <w:jc w:val="left"/>
              <w:rPr>
                <w:sz w:val="15"/>
                <w:szCs w:val="15"/>
              </w:rPr>
            </w:pPr>
            <w:r>
              <w:rPr>
                <w:sz w:val="15"/>
                <w:szCs w:val="15"/>
              </w:rPr>
              <w:t>Procedure which, when</w:t>
            </w:r>
            <w:r w:rsidRPr="00B223A6">
              <w:rPr>
                <w:sz w:val="15"/>
                <w:szCs w:val="15"/>
                <w:lang w:val="en"/>
              </w:rPr>
              <w:t xml:space="preserve"> goods are exported, provides for a repayment (total or partial) to be made in respect of the import duties and taxes charged on the goods, or on materials contained in them or consumed in their production</w:t>
            </w:r>
            <w:r>
              <w:rPr>
                <w:sz w:val="15"/>
                <w:szCs w:val="15"/>
                <w:lang w:val="en"/>
              </w:rPr>
              <w:t>.</w:t>
            </w:r>
          </w:p>
        </w:tc>
      </w:tr>
      <w:bookmarkEnd w:id="446"/>
      <w:tr w:rsidR="004F64EF" w:rsidRPr="00E32EEC" w14:paraId="1778E0C6" w14:textId="77777777" w:rsidTr="001F3C85">
        <w:tc>
          <w:tcPr>
            <w:tcW w:w="9026" w:type="dxa"/>
            <w:shd w:val="clear" w:color="auto" w:fill="C9DED4"/>
          </w:tcPr>
          <w:p w14:paraId="06FF9EB9" w14:textId="77777777" w:rsidR="004F64EF" w:rsidRPr="00EC3E2B" w:rsidRDefault="004F64EF" w:rsidP="001F3C85">
            <w:pPr>
              <w:jc w:val="left"/>
              <w:rPr>
                <w:b/>
                <w:bCs/>
                <w:sz w:val="15"/>
                <w:szCs w:val="15"/>
              </w:rPr>
            </w:pPr>
            <w:r w:rsidRPr="00200B27">
              <w:rPr>
                <w:b/>
                <w:bCs/>
                <w:sz w:val="15"/>
                <w:szCs w:val="15"/>
              </w:rPr>
              <w:t>Duty exemption procedures</w:t>
            </w:r>
          </w:p>
        </w:tc>
      </w:tr>
      <w:tr w:rsidR="004F64EF" w:rsidRPr="00E32EEC" w14:paraId="0E83EEB9" w14:textId="77777777" w:rsidTr="001F3C85">
        <w:tc>
          <w:tcPr>
            <w:tcW w:w="9026" w:type="dxa"/>
            <w:shd w:val="clear" w:color="auto" w:fill="C9DED4"/>
          </w:tcPr>
          <w:p w14:paraId="1353BCF0" w14:textId="77777777" w:rsidR="004F64EF" w:rsidRPr="00EC3E2B" w:rsidRDefault="004F64EF" w:rsidP="001F3C85">
            <w:pPr>
              <w:jc w:val="left"/>
              <w:rPr>
                <w:b/>
                <w:bCs/>
                <w:sz w:val="15"/>
                <w:szCs w:val="15"/>
              </w:rPr>
            </w:pPr>
            <w:r w:rsidRPr="000236E0">
              <w:rPr>
                <w:b/>
                <w:bCs/>
                <w:sz w:val="15"/>
                <w:szCs w:val="15"/>
              </w:rPr>
              <w:t>Free zone procedure</w:t>
            </w:r>
          </w:p>
        </w:tc>
      </w:tr>
      <w:tr w:rsidR="004F64EF" w:rsidRPr="00E32EEC" w14:paraId="5A3AE1F0" w14:textId="77777777" w:rsidTr="001F3C85">
        <w:trPr>
          <w:trHeight w:val="449"/>
        </w:trPr>
        <w:tc>
          <w:tcPr>
            <w:tcW w:w="9026" w:type="dxa"/>
            <w:shd w:val="clear" w:color="auto" w:fill="C9DED4"/>
          </w:tcPr>
          <w:p w14:paraId="7669F723" w14:textId="77777777" w:rsidR="004F64EF" w:rsidRPr="00EC3E2B" w:rsidRDefault="004F64EF" w:rsidP="001F3C85">
            <w:pPr>
              <w:jc w:val="left"/>
              <w:rPr>
                <w:sz w:val="15"/>
                <w:szCs w:val="15"/>
              </w:rPr>
            </w:pPr>
            <w:r>
              <w:rPr>
                <w:sz w:val="15"/>
                <w:szCs w:val="15"/>
                <w:lang w:val="en"/>
              </w:rPr>
              <w:t xml:space="preserve">The procedure under which goods introduced into a </w:t>
            </w:r>
            <w:r w:rsidRPr="000236E0">
              <w:rPr>
                <w:sz w:val="15"/>
                <w:szCs w:val="15"/>
                <w:lang w:val="en"/>
              </w:rPr>
              <w:t xml:space="preserve">part of the territory are regarded, insofar as import duties and taxes are concerned, as being outside the </w:t>
            </w:r>
            <w:r>
              <w:rPr>
                <w:sz w:val="15"/>
                <w:szCs w:val="15"/>
                <w:lang w:val="en"/>
              </w:rPr>
              <w:t>c</w:t>
            </w:r>
            <w:r w:rsidRPr="000236E0">
              <w:rPr>
                <w:sz w:val="15"/>
                <w:szCs w:val="15"/>
                <w:lang w:val="en"/>
              </w:rPr>
              <w:t>ustoms territory.</w:t>
            </w:r>
          </w:p>
        </w:tc>
      </w:tr>
      <w:tr w:rsidR="004F64EF" w:rsidRPr="00E32EEC" w14:paraId="6DF8C83E" w14:textId="77777777" w:rsidTr="001F3C85">
        <w:tc>
          <w:tcPr>
            <w:tcW w:w="9026" w:type="dxa"/>
            <w:shd w:val="clear" w:color="auto" w:fill="C9DED4"/>
          </w:tcPr>
          <w:p w14:paraId="1FFAA781" w14:textId="77777777" w:rsidR="004F64EF" w:rsidRPr="00EC3E2B" w:rsidRDefault="004F64EF" w:rsidP="00BE2A9F">
            <w:pPr>
              <w:keepNext/>
              <w:jc w:val="left"/>
              <w:rPr>
                <w:b/>
                <w:bCs/>
                <w:sz w:val="15"/>
                <w:szCs w:val="15"/>
              </w:rPr>
            </w:pPr>
            <w:r w:rsidRPr="006559EA">
              <w:rPr>
                <w:b/>
                <w:bCs/>
                <w:sz w:val="15"/>
                <w:szCs w:val="15"/>
              </w:rPr>
              <w:lastRenderedPageBreak/>
              <w:t>Duty-free shop or commercial free zone (Articles 288 and 289)</w:t>
            </w:r>
          </w:p>
        </w:tc>
      </w:tr>
      <w:tr w:rsidR="004F64EF" w:rsidRPr="00E32EEC" w14:paraId="7A26FEC0" w14:textId="77777777" w:rsidTr="001F3C85">
        <w:trPr>
          <w:trHeight w:val="703"/>
        </w:trPr>
        <w:tc>
          <w:tcPr>
            <w:tcW w:w="9026" w:type="dxa"/>
            <w:shd w:val="clear" w:color="auto" w:fill="C9DED4"/>
          </w:tcPr>
          <w:p w14:paraId="7C26DE31" w14:textId="77777777" w:rsidR="004F64EF" w:rsidRPr="00EC3E2B" w:rsidRDefault="004F64EF" w:rsidP="00BE2A9F">
            <w:pPr>
              <w:keepNext/>
              <w:jc w:val="left"/>
              <w:rPr>
                <w:sz w:val="15"/>
                <w:szCs w:val="15"/>
              </w:rPr>
            </w:pPr>
            <w:r w:rsidRPr="007F4A19">
              <w:rPr>
                <w:sz w:val="15"/>
                <w:szCs w:val="15"/>
              </w:rPr>
              <w:t>A duty-free shop is an establishment located in the main area of a port or airport</w:t>
            </w:r>
            <w:r>
              <w:rPr>
                <w:sz w:val="15"/>
                <w:szCs w:val="15"/>
              </w:rPr>
              <w:t>,</w:t>
            </w:r>
            <w:r w:rsidRPr="007F4A19">
              <w:rPr>
                <w:sz w:val="15"/>
                <w:szCs w:val="15"/>
              </w:rPr>
              <w:t xml:space="preserve"> authorized by the Directorate</w:t>
            </w:r>
            <w:r>
              <w:rPr>
                <w:sz w:val="15"/>
                <w:szCs w:val="15"/>
              </w:rPr>
              <w:noBreakHyphen/>
            </w:r>
            <w:r w:rsidRPr="007F4A19">
              <w:rPr>
                <w:sz w:val="15"/>
                <w:szCs w:val="15"/>
              </w:rPr>
              <w:t>General of Customs to sell foreign and domestic goods free of customs duties. The entry of goods into a commercial free zone shop is exempt from the payment of customs duties and taxes.</w:t>
            </w:r>
          </w:p>
        </w:tc>
      </w:tr>
    </w:tbl>
    <w:p w14:paraId="4507FCD1" w14:textId="77777777" w:rsidR="004F64EF" w:rsidRPr="003D49D4" w:rsidRDefault="004F64EF" w:rsidP="00E439A9">
      <w:pPr>
        <w:pStyle w:val="NoteText"/>
        <w:spacing w:before="120"/>
      </w:pPr>
      <w:proofErr w:type="spellStart"/>
      <w:r w:rsidRPr="003D49D4">
        <w:t>a</w:t>
      </w:r>
      <w:proofErr w:type="spellEnd"/>
      <w:r w:rsidRPr="003D49D4">
        <w:tab/>
        <w:t xml:space="preserve">Article 265 lists the types of goods that are eligible for temporary admission without transformation. </w:t>
      </w:r>
    </w:p>
    <w:p w14:paraId="5E7ABB82" w14:textId="77777777" w:rsidR="004F64EF" w:rsidRPr="00B80F89" w:rsidRDefault="004F64EF" w:rsidP="00E439A9">
      <w:pPr>
        <w:pStyle w:val="NoteText"/>
      </w:pPr>
      <w:r w:rsidRPr="00B80F89">
        <w:t>b</w:t>
      </w:r>
      <w:r w:rsidRPr="00B80F89">
        <w:tab/>
        <w:t xml:space="preserve">The warehousing procedure has various components: bonded warehousing, re-exportation and logistics, which are governed by their own specific legislation (Law No. 456-73 on bonded warehouses; Decree No. 106-96 establishing regulations on merchandise re-export warehouses; and Decree No. 262-15 on logistics centres and logistics operator companies). </w:t>
      </w:r>
    </w:p>
    <w:p w14:paraId="25786569" w14:textId="77777777" w:rsidR="004F64EF" w:rsidRPr="003003C0" w:rsidRDefault="004F64EF" w:rsidP="00E439A9">
      <w:pPr>
        <w:pStyle w:val="NoteText"/>
        <w:spacing w:before="120" w:after="240"/>
      </w:pPr>
      <w:r w:rsidRPr="00B80F89">
        <w:t>Source:</w:t>
      </w:r>
      <w:r w:rsidRPr="00B80F89">
        <w:tab/>
        <w:t>Articles 244-289 of Law No. 168-21.</w:t>
      </w:r>
    </w:p>
    <w:p w14:paraId="16D7384D" w14:textId="77777777" w:rsidR="004F64EF" w:rsidRPr="003003C0" w:rsidRDefault="004F64EF" w:rsidP="00E439A9">
      <w:r w:rsidRPr="003003C0">
        <w:br w:type="page"/>
      </w:r>
    </w:p>
    <w:p w14:paraId="59979C91" w14:textId="77777777" w:rsidR="004F64EF" w:rsidRPr="003003C0" w:rsidRDefault="004F64EF" w:rsidP="00E439A9">
      <w:pPr>
        <w:pStyle w:val="Caption"/>
      </w:pPr>
      <w:bookmarkStart w:id="447" w:name="_Toc114735879"/>
      <w:bookmarkStart w:id="448" w:name="_Toc117004299"/>
      <w:bookmarkStart w:id="449" w:name="_Toc117238124"/>
      <w:bookmarkStart w:id="450" w:name="_Hlk106182340"/>
      <w:r>
        <w:lastRenderedPageBreak/>
        <w:t>Table</w:t>
      </w:r>
      <w:r w:rsidRPr="003003C0">
        <w:t xml:space="preserve"> A3.</w:t>
      </w:r>
      <w:r w:rsidR="00BD37F2">
        <w:fldChar w:fldCharType="begin"/>
      </w:r>
      <w:r w:rsidR="00BD37F2">
        <w:instrText xml:space="preserve"> SEQ Table_A3. \* ARABIC </w:instrText>
      </w:r>
      <w:r w:rsidR="00BD37F2">
        <w:fldChar w:fldCharType="separate"/>
      </w:r>
      <w:r w:rsidRPr="003003C0">
        <w:rPr>
          <w:noProof/>
        </w:rPr>
        <w:t>2</w:t>
      </w:r>
      <w:r w:rsidR="00BD37F2">
        <w:rPr>
          <w:noProof/>
        </w:rPr>
        <w:fldChar w:fldCharType="end"/>
      </w:r>
      <w:r w:rsidRPr="003003C0">
        <w:t xml:space="preserve"> </w:t>
      </w:r>
      <w:r w:rsidRPr="00C13383">
        <w:t>Summary analysis of the MFN tariff</w:t>
      </w:r>
      <w:r w:rsidRPr="003003C0">
        <w:t xml:space="preserve">, </w:t>
      </w:r>
      <w:r w:rsidRPr="003003C0">
        <w:rPr>
          <w:color w:val="1F497D" w:themeColor="text2"/>
        </w:rPr>
        <w:t>2021</w:t>
      </w:r>
      <w:bookmarkEnd w:id="447"/>
      <w:bookmarkEnd w:id="448"/>
      <w:bookmarkEnd w:id="449"/>
    </w:p>
    <w:tbl>
      <w:tblPr>
        <w:tblW w:w="5000" w:type="pct"/>
        <w:tblBorders>
          <w:top w:val="single" w:sz="4" w:space="0" w:color="auto"/>
          <w:left w:val="single" w:sz="4" w:space="0" w:color="auto"/>
          <w:bottom w:val="single" w:sz="4" w:space="0" w:color="auto"/>
          <w:right w:val="single" w:sz="4" w:space="0" w:color="auto"/>
          <w:insideV w:val="single" w:sz="4" w:space="0" w:color="auto"/>
        </w:tblBorders>
        <w:tblLayout w:type="fixed"/>
        <w:tblLook w:val="04A0" w:firstRow="1" w:lastRow="0" w:firstColumn="1" w:lastColumn="0" w:noHBand="0" w:noVBand="1"/>
      </w:tblPr>
      <w:tblGrid>
        <w:gridCol w:w="2404"/>
        <w:gridCol w:w="1136"/>
        <w:gridCol w:w="1069"/>
        <w:gridCol w:w="1057"/>
        <w:gridCol w:w="1435"/>
        <w:gridCol w:w="1915"/>
      </w:tblGrid>
      <w:tr w:rsidR="004F64EF" w:rsidRPr="003003C0" w14:paraId="67C682A3" w14:textId="77777777" w:rsidTr="001F3C85">
        <w:trPr>
          <w:cantSplit/>
          <w:tblHeader/>
        </w:trPr>
        <w:tc>
          <w:tcPr>
            <w:tcW w:w="1333" w:type="pct"/>
            <w:vMerge w:val="restart"/>
            <w:shd w:val="clear" w:color="auto" w:fill="006283"/>
            <w:noWrap/>
            <w:vAlign w:val="center"/>
            <w:hideMark/>
          </w:tcPr>
          <w:p w14:paraId="285E422A" w14:textId="77777777" w:rsidR="004F64EF" w:rsidRPr="003003C0" w:rsidRDefault="004F64EF" w:rsidP="001F3C85">
            <w:pPr>
              <w:jc w:val="left"/>
              <w:rPr>
                <w:b/>
                <w:color w:val="FFFFFF"/>
                <w:sz w:val="15"/>
                <w:szCs w:val="15"/>
              </w:rPr>
            </w:pPr>
            <w:bookmarkStart w:id="451" w:name="_Hlk106178842"/>
            <w:bookmarkEnd w:id="450"/>
            <w:r>
              <w:rPr>
                <w:b/>
                <w:color w:val="FFFFFF"/>
                <w:sz w:val="15"/>
                <w:szCs w:val="15"/>
              </w:rPr>
              <w:t>Product description</w:t>
            </w:r>
          </w:p>
        </w:tc>
        <w:tc>
          <w:tcPr>
            <w:tcW w:w="2605" w:type="pct"/>
            <w:gridSpan w:val="4"/>
            <w:tcBorders>
              <w:top w:val="single" w:sz="4" w:space="0" w:color="auto"/>
              <w:bottom w:val="single" w:sz="4" w:space="0" w:color="auto"/>
            </w:tcBorders>
            <w:shd w:val="clear" w:color="auto" w:fill="006283"/>
            <w:noWrap/>
            <w:hideMark/>
          </w:tcPr>
          <w:p w14:paraId="431D16C8" w14:textId="77777777" w:rsidR="004F64EF" w:rsidRPr="003003C0" w:rsidRDefault="004F64EF" w:rsidP="001F3C85">
            <w:pPr>
              <w:jc w:val="center"/>
              <w:rPr>
                <w:b/>
                <w:color w:val="FFFFFF"/>
                <w:sz w:val="15"/>
                <w:szCs w:val="15"/>
              </w:rPr>
            </w:pPr>
            <w:r>
              <w:rPr>
                <w:b/>
                <w:color w:val="FFFFFF"/>
                <w:sz w:val="15"/>
                <w:szCs w:val="15"/>
              </w:rPr>
              <w:t>MFN</w:t>
            </w:r>
          </w:p>
        </w:tc>
        <w:tc>
          <w:tcPr>
            <w:tcW w:w="1062" w:type="pct"/>
            <w:vMerge w:val="restart"/>
            <w:shd w:val="clear" w:color="auto" w:fill="006283"/>
            <w:noWrap/>
            <w:vAlign w:val="center"/>
            <w:hideMark/>
          </w:tcPr>
          <w:p w14:paraId="4DFFC21C" w14:textId="77777777" w:rsidR="004F64EF" w:rsidRPr="003003C0" w:rsidRDefault="004F64EF" w:rsidP="001F3C85">
            <w:pPr>
              <w:jc w:val="center"/>
              <w:rPr>
                <w:b/>
                <w:color w:val="FFFFFF"/>
                <w:sz w:val="15"/>
                <w:szCs w:val="15"/>
              </w:rPr>
            </w:pPr>
            <w:r w:rsidRPr="00C13383">
              <w:rPr>
                <w:b/>
                <w:color w:val="FFFFFF"/>
                <w:sz w:val="15"/>
                <w:szCs w:val="15"/>
              </w:rPr>
              <w:t xml:space="preserve">Bound tariff </w:t>
            </w:r>
            <w:proofErr w:type="spellStart"/>
            <w:r w:rsidRPr="00C13383">
              <w:rPr>
                <w:b/>
                <w:color w:val="FFFFFF"/>
                <w:sz w:val="15"/>
                <w:szCs w:val="15"/>
              </w:rPr>
              <w:t>range</w:t>
            </w:r>
            <w:r w:rsidRPr="003003C0">
              <w:rPr>
                <w:b/>
                <w:color w:val="FFFFFF"/>
                <w:sz w:val="15"/>
                <w:szCs w:val="15"/>
                <w:vertAlign w:val="superscript"/>
              </w:rPr>
              <w:t>a</w:t>
            </w:r>
            <w:proofErr w:type="spellEnd"/>
            <w:r w:rsidRPr="003003C0">
              <w:rPr>
                <w:b/>
                <w:color w:val="FFFFFF"/>
                <w:sz w:val="15"/>
                <w:szCs w:val="15"/>
              </w:rPr>
              <w:t xml:space="preserve"> (%)</w:t>
            </w:r>
          </w:p>
        </w:tc>
      </w:tr>
      <w:tr w:rsidR="004F64EF" w:rsidRPr="003003C0" w14:paraId="47DF86E5" w14:textId="77777777" w:rsidTr="001F3C85">
        <w:trPr>
          <w:cantSplit/>
          <w:trHeight w:val="219"/>
          <w:tblHeader/>
        </w:trPr>
        <w:tc>
          <w:tcPr>
            <w:tcW w:w="1333" w:type="pct"/>
            <w:vMerge/>
            <w:shd w:val="clear" w:color="auto" w:fill="006283"/>
            <w:noWrap/>
            <w:hideMark/>
          </w:tcPr>
          <w:p w14:paraId="458E9895" w14:textId="77777777" w:rsidR="004F64EF" w:rsidRPr="003003C0" w:rsidRDefault="004F64EF" w:rsidP="001F3C85">
            <w:pPr>
              <w:jc w:val="left"/>
              <w:rPr>
                <w:b/>
                <w:color w:val="FFFFFF"/>
                <w:sz w:val="15"/>
                <w:szCs w:val="15"/>
              </w:rPr>
            </w:pPr>
          </w:p>
        </w:tc>
        <w:tc>
          <w:tcPr>
            <w:tcW w:w="630" w:type="pct"/>
            <w:vMerge w:val="restart"/>
            <w:tcBorders>
              <w:top w:val="single" w:sz="4" w:space="0" w:color="auto"/>
            </w:tcBorders>
            <w:shd w:val="clear" w:color="auto" w:fill="006283"/>
            <w:noWrap/>
            <w:vAlign w:val="center"/>
            <w:hideMark/>
          </w:tcPr>
          <w:p w14:paraId="0A805F27" w14:textId="77777777" w:rsidR="004F64EF" w:rsidRPr="003003C0" w:rsidRDefault="004F64EF" w:rsidP="001F3C85">
            <w:pPr>
              <w:jc w:val="center"/>
              <w:rPr>
                <w:b/>
                <w:color w:val="FFFFFF"/>
                <w:sz w:val="15"/>
                <w:szCs w:val="15"/>
              </w:rPr>
            </w:pPr>
            <w:r>
              <w:rPr>
                <w:b/>
                <w:color w:val="FFFFFF"/>
                <w:sz w:val="15"/>
                <w:szCs w:val="15"/>
              </w:rPr>
              <w:t>Number of lines</w:t>
            </w:r>
          </w:p>
        </w:tc>
        <w:tc>
          <w:tcPr>
            <w:tcW w:w="593" w:type="pct"/>
            <w:vMerge w:val="restart"/>
            <w:tcBorders>
              <w:top w:val="single" w:sz="4" w:space="0" w:color="auto"/>
            </w:tcBorders>
            <w:shd w:val="clear" w:color="auto" w:fill="006283"/>
            <w:noWrap/>
            <w:vAlign w:val="center"/>
            <w:hideMark/>
          </w:tcPr>
          <w:p w14:paraId="79CF1888" w14:textId="77777777" w:rsidR="004F64EF" w:rsidRPr="003003C0" w:rsidRDefault="004F64EF" w:rsidP="001F3C85">
            <w:pPr>
              <w:jc w:val="center"/>
              <w:rPr>
                <w:b/>
                <w:color w:val="FFFFFF"/>
                <w:sz w:val="15"/>
                <w:szCs w:val="15"/>
              </w:rPr>
            </w:pPr>
            <w:r>
              <w:rPr>
                <w:b/>
                <w:color w:val="FFFFFF"/>
                <w:sz w:val="15"/>
                <w:szCs w:val="15"/>
              </w:rPr>
              <w:t>Average</w:t>
            </w:r>
            <w:r w:rsidRPr="003003C0">
              <w:rPr>
                <w:b/>
                <w:color w:val="FFFFFF"/>
                <w:sz w:val="15"/>
                <w:szCs w:val="15"/>
              </w:rPr>
              <w:t xml:space="preserve"> (%)</w:t>
            </w:r>
          </w:p>
        </w:tc>
        <w:tc>
          <w:tcPr>
            <w:tcW w:w="586" w:type="pct"/>
            <w:vMerge w:val="restart"/>
            <w:tcBorders>
              <w:top w:val="single" w:sz="4" w:space="0" w:color="auto"/>
            </w:tcBorders>
            <w:shd w:val="clear" w:color="auto" w:fill="006283"/>
            <w:noWrap/>
            <w:vAlign w:val="center"/>
            <w:hideMark/>
          </w:tcPr>
          <w:p w14:paraId="18ED108C" w14:textId="77777777" w:rsidR="004F64EF" w:rsidRPr="003003C0" w:rsidRDefault="004F64EF" w:rsidP="001F3C85">
            <w:pPr>
              <w:jc w:val="center"/>
              <w:rPr>
                <w:b/>
                <w:color w:val="FFFFFF"/>
                <w:sz w:val="15"/>
                <w:szCs w:val="15"/>
              </w:rPr>
            </w:pPr>
            <w:r>
              <w:rPr>
                <w:b/>
                <w:color w:val="FFFFFF"/>
                <w:sz w:val="15"/>
                <w:szCs w:val="15"/>
              </w:rPr>
              <w:t>Range</w:t>
            </w:r>
            <w:r w:rsidRPr="003003C0">
              <w:rPr>
                <w:b/>
                <w:color w:val="FFFFFF"/>
                <w:sz w:val="15"/>
                <w:szCs w:val="15"/>
              </w:rPr>
              <w:t xml:space="preserve"> (%)</w:t>
            </w:r>
          </w:p>
        </w:tc>
        <w:tc>
          <w:tcPr>
            <w:tcW w:w="796" w:type="pct"/>
            <w:vMerge w:val="restart"/>
            <w:tcBorders>
              <w:top w:val="single" w:sz="4" w:space="0" w:color="auto"/>
            </w:tcBorders>
            <w:shd w:val="clear" w:color="auto" w:fill="006283"/>
            <w:noWrap/>
            <w:vAlign w:val="center"/>
            <w:hideMark/>
          </w:tcPr>
          <w:p w14:paraId="59A07724" w14:textId="77777777" w:rsidR="004F64EF" w:rsidRPr="003003C0" w:rsidRDefault="004F64EF" w:rsidP="001F3C85">
            <w:pPr>
              <w:jc w:val="center"/>
              <w:rPr>
                <w:b/>
                <w:color w:val="FFFFFF"/>
                <w:sz w:val="15"/>
                <w:szCs w:val="15"/>
              </w:rPr>
            </w:pPr>
            <w:r w:rsidRPr="00C13383">
              <w:rPr>
                <w:b/>
                <w:color w:val="FFFFFF"/>
                <w:sz w:val="15"/>
                <w:szCs w:val="15"/>
              </w:rPr>
              <w:t xml:space="preserve">Coefficient of variation </w:t>
            </w:r>
            <w:r w:rsidRPr="003003C0">
              <w:rPr>
                <w:b/>
                <w:color w:val="FFFFFF"/>
                <w:sz w:val="15"/>
                <w:szCs w:val="15"/>
              </w:rPr>
              <w:t>(CV)</w:t>
            </w:r>
          </w:p>
        </w:tc>
        <w:tc>
          <w:tcPr>
            <w:tcW w:w="1062" w:type="pct"/>
            <w:vMerge/>
            <w:shd w:val="clear" w:color="auto" w:fill="006283"/>
            <w:noWrap/>
          </w:tcPr>
          <w:p w14:paraId="7C078753" w14:textId="77777777" w:rsidR="004F64EF" w:rsidRPr="003003C0" w:rsidRDefault="004F64EF" w:rsidP="001F3C85">
            <w:pPr>
              <w:jc w:val="right"/>
              <w:rPr>
                <w:b/>
                <w:color w:val="FFFFFF"/>
                <w:sz w:val="15"/>
                <w:szCs w:val="15"/>
              </w:rPr>
            </w:pPr>
          </w:p>
        </w:tc>
      </w:tr>
      <w:bookmarkEnd w:id="451"/>
      <w:tr w:rsidR="004F64EF" w:rsidRPr="003003C0" w14:paraId="19592730" w14:textId="77777777" w:rsidTr="001F3C85">
        <w:trPr>
          <w:cantSplit/>
          <w:trHeight w:val="219"/>
          <w:tblHeader/>
        </w:trPr>
        <w:tc>
          <w:tcPr>
            <w:tcW w:w="1333" w:type="pct"/>
            <w:vMerge/>
            <w:shd w:val="clear" w:color="auto" w:fill="006283"/>
            <w:noWrap/>
            <w:hideMark/>
          </w:tcPr>
          <w:p w14:paraId="6546CFE3" w14:textId="77777777" w:rsidR="004F64EF" w:rsidRPr="003003C0" w:rsidRDefault="004F64EF" w:rsidP="001F3C85">
            <w:pPr>
              <w:jc w:val="left"/>
              <w:rPr>
                <w:b/>
                <w:color w:val="FFFFFF"/>
                <w:sz w:val="15"/>
                <w:szCs w:val="15"/>
              </w:rPr>
            </w:pPr>
          </w:p>
        </w:tc>
        <w:tc>
          <w:tcPr>
            <w:tcW w:w="630" w:type="pct"/>
            <w:vMerge/>
            <w:shd w:val="clear" w:color="auto" w:fill="006283"/>
            <w:noWrap/>
            <w:hideMark/>
          </w:tcPr>
          <w:p w14:paraId="68A2295B" w14:textId="77777777" w:rsidR="004F64EF" w:rsidRPr="003003C0" w:rsidRDefault="004F64EF" w:rsidP="001F3C85">
            <w:pPr>
              <w:jc w:val="center"/>
              <w:rPr>
                <w:b/>
                <w:color w:val="FFFFFF"/>
                <w:sz w:val="15"/>
                <w:szCs w:val="15"/>
              </w:rPr>
            </w:pPr>
          </w:p>
        </w:tc>
        <w:tc>
          <w:tcPr>
            <w:tcW w:w="593" w:type="pct"/>
            <w:vMerge/>
            <w:shd w:val="clear" w:color="auto" w:fill="006283"/>
            <w:noWrap/>
            <w:hideMark/>
          </w:tcPr>
          <w:p w14:paraId="3019657F" w14:textId="77777777" w:rsidR="004F64EF" w:rsidRPr="003003C0" w:rsidRDefault="004F64EF" w:rsidP="001F3C85">
            <w:pPr>
              <w:jc w:val="center"/>
              <w:rPr>
                <w:b/>
                <w:color w:val="FFFFFF"/>
                <w:sz w:val="15"/>
                <w:szCs w:val="15"/>
              </w:rPr>
            </w:pPr>
          </w:p>
        </w:tc>
        <w:tc>
          <w:tcPr>
            <w:tcW w:w="586" w:type="pct"/>
            <w:vMerge/>
            <w:shd w:val="clear" w:color="auto" w:fill="006283"/>
            <w:noWrap/>
            <w:hideMark/>
          </w:tcPr>
          <w:p w14:paraId="59578005" w14:textId="77777777" w:rsidR="004F64EF" w:rsidRPr="003003C0" w:rsidRDefault="004F64EF" w:rsidP="001F3C85">
            <w:pPr>
              <w:jc w:val="center"/>
              <w:rPr>
                <w:b/>
                <w:color w:val="FFFFFF"/>
                <w:sz w:val="15"/>
                <w:szCs w:val="15"/>
              </w:rPr>
            </w:pPr>
          </w:p>
        </w:tc>
        <w:tc>
          <w:tcPr>
            <w:tcW w:w="796" w:type="pct"/>
            <w:vMerge/>
            <w:shd w:val="clear" w:color="auto" w:fill="006283"/>
            <w:noWrap/>
          </w:tcPr>
          <w:p w14:paraId="0CD71337" w14:textId="77777777" w:rsidR="004F64EF" w:rsidRPr="003003C0" w:rsidRDefault="004F64EF" w:rsidP="001F3C85">
            <w:pPr>
              <w:jc w:val="right"/>
              <w:rPr>
                <w:b/>
                <w:color w:val="FFFFFF"/>
                <w:sz w:val="15"/>
                <w:szCs w:val="15"/>
              </w:rPr>
            </w:pPr>
          </w:p>
        </w:tc>
        <w:tc>
          <w:tcPr>
            <w:tcW w:w="1062" w:type="pct"/>
            <w:vMerge/>
            <w:shd w:val="clear" w:color="auto" w:fill="006283"/>
            <w:noWrap/>
          </w:tcPr>
          <w:p w14:paraId="3208DED4" w14:textId="77777777" w:rsidR="004F64EF" w:rsidRPr="003003C0" w:rsidRDefault="004F64EF" w:rsidP="001F3C85">
            <w:pPr>
              <w:jc w:val="right"/>
              <w:rPr>
                <w:b/>
                <w:color w:val="FFFFFF"/>
                <w:sz w:val="15"/>
                <w:szCs w:val="15"/>
              </w:rPr>
            </w:pPr>
          </w:p>
        </w:tc>
      </w:tr>
      <w:tr w:rsidR="004F64EF" w:rsidRPr="003003C0" w14:paraId="4D0954B6" w14:textId="77777777" w:rsidTr="001F3C85">
        <w:trPr>
          <w:cantSplit/>
          <w:trHeight w:val="219"/>
          <w:tblHeader/>
        </w:trPr>
        <w:tc>
          <w:tcPr>
            <w:tcW w:w="1333" w:type="pct"/>
            <w:vMerge/>
            <w:shd w:val="clear" w:color="auto" w:fill="006283"/>
            <w:noWrap/>
            <w:hideMark/>
          </w:tcPr>
          <w:p w14:paraId="0C410A72" w14:textId="77777777" w:rsidR="004F64EF" w:rsidRPr="003003C0" w:rsidRDefault="004F64EF" w:rsidP="001F3C85">
            <w:pPr>
              <w:jc w:val="left"/>
              <w:rPr>
                <w:b/>
                <w:color w:val="FFFFFF"/>
                <w:sz w:val="15"/>
                <w:szCs w:val="15"/>
              </w:rPr>
            </w:pPr>
          </w:p>
        </w:tc>
        <w:tc>
          <w:tcPr>
            <w:tcW w:w="630" w:type="pct"/>
            <w:vMerge/>
            <w:shd w:val="clear" w:color="auto" w:fill="006283"/>
            <w:noWrap/>
          </w:tcPr>
          <w:p w14:paraId="363A7F1F" w14:textId="77777777" w:rsidR="004F64EF" w:rsidRPr="003003C0" w:rsidRDefault="004F64EF" w:rsidP="001F3C85">
            <w:pPr>
              <w:jc w:val="center"/>
              <w:rPr>
                <w:b/>
                <w:color w:val="FFFFFF"/>
                <w:sz w:val="15"/>
                <w:szCs w:val="15"/>
              </w:rPr>
            </w:pPr>
          </w:p>
        </w:tc>
        <w:tc>
          <w:tcPr>
            <w:tcW w:w="593" w:type="pct"/>
            <w:vMerge/>
            <w:shd w:val="clear" w:color="auto" w:fill="006283"/>
            <w:noWrap/>
          </w:tcPr>
          <w:p w14:paraId="7D2B9B94" w14:textId="77777777" w:rsidR="004F64EF" w:rsidRPr="003003C0" w:rsidRDefault="004F64EF" w:rsidP="001F3C85">
            <w:pPr>
              <w:jc w:val="center"/>
              <w:rPr>
                <w:b/>
                <w:color w:val="FFFFFF"/>
                <w:sz w:val="15"/>
                <w:szCs w:val="15"/>
              </w:rPr>
            </w:pPr>
          </w:p>
        </w:tc>
        <w:tc>
          <w:tcPr>
            <w:tcW w:w="586" w:type="pct"/>
            <w:vMerge/>
            <w:shd w:val="clear" w:color="auto" w:fill="006283"/>
            <w:noWrap/>
            <w:hideMark/>
          </w:tcPr>
          <w:p w14:paraId="0CFC7C5F" w14:textId="77777777" w:rsidR="004F64EF" w:rsidRPr="003003C0" w:rsidRDefault="004F64EF" w:rsidP="001F3C85">
            <w:pPr>
              <w:jc w:val="center"/>
              <w:rPr>
                <w:b/>
                <w:color w:val="FFFFFF"/>
                <w:sz w:val="15"/>
                <w:szCs w:val="15"/>
              </w:rPr>
            </w:pPr>
          </w:p>
        </w:tc>
        <w:tc>
          <w:tcPr>
            <w:tcW w:w="796" w:type="pct"/>
            <w:vMerge/>
            <w:shd w:val="clear" w:color="auto" w:fill="006283"/>
            <w:noWrap/>
          </w:tcPr>
          <w:p w14:paraId="4D3C08E0" w14:textId="77777777" w:rsidR="004F64EF" w:rsidRPr="003003C0" w:rsidRDefault="004F64EF" w:rsidP="001F3C85">
            <w:pPr>
              <w:jc w:val="right"/>
              <w:rPr>
                <w:b/>
                <w:color w:val="FFFFFF"/>
                <w:sz w:val="15"/>
                <w:szCs w:val="15"/>
              </w:rPr>
            </w:pPr>
          </w:p>
        </w:tc>
        <w:tc>
          <w:tcPr>
            <w:tcW w:w="1062" w:type="pct"/>
            <w:vMerge/>
            <w:shd w:val="clear" w:color="auto" w:fill="006283"/>
            <w:noWrap/>
          </w:tcPr>
          <w:p w14:paraId="132D5457" w14:textId="77777777" w:rsidR="004F64EF" w:rsidRPr="003003C0" w:rsidRDefault="004F64EF" w:rsidP="001F3C85">
            <w:pPr>
              <w:jc w:val="right"/>
              <w:rPr>
                <w:b/>
                <w:color w:val="FFFFFF"/>
                <w:sz w:val="15"/>
                <w:szCs w:val="15"/>
              </w:rPr>
            </w:pPr>
          </w:p>
        </w:tc>
      </w:tr>
      <w:tr w:rsidR="004F64EF" w:rsidRPr="003003C0" w14:paraId="4A40208E" w14:textId="77777777" w:rsidTr="001F3C85">
        <w:trPr>
          <w:cantSplit/>
        </w:trPr>
        <w:tc>
          <w:tcPr>
            <w:tcW w:w="1333" w:type="pct"/>
            <w:shd w:val="clear" w:color="auto" w:fill="auto"/>
            <w:noWrap/>
            <w:hideMark/>
          </w:tcPr>
          <w:p w14:paraId="7A03B26A" w14:textId="77777777" w:rsidR="004F64EF" w:rsidRPr="003003C0" w:rsidRDefault="004F64EF" w:rsidP="001F3C85">
            <w:pPr>
              <w:jc w:val="left"/>
              <w:rPr>
                <w:b/>
                <w:bCs/>
                <w:color w:val="000000"/>
                <w:sz w:val="15"/>
                <w:szCs w:val="15"/>
              </w:rPr>
            </w:pPr>
            <w:r w:rsidRPr="003003C0">
              <w:rPr>
                <w:b/>
                <w:bCs/>
                <w:color w:val="000000"/>
                <w:sz w:val="15"/>
                <w:szCs w:val="15"/>
              </w:rPr>
              <w:t>Total</w:t>
            </w:r>
          </w:p>
        </w:tc>
        <w:tc>
          <w:tcPr>
            <w:tcW w:w="630" w:type="pct"/>
            <w:shd w:val="clear" w:color="auto" w:fill="auto"/>
            <w:noWrap/>
            <w:hideMark/>
          </w:tcPr>
          <w:p w14:paraId="7AE086B6" w14:textId="77777777" w:rsidR="004F64EF" w:rsidRPr="003003C0" w:rsidRDefault="004F64EF" w:rsidP="001F3C85">
            <w:pPr>
              <w:jc w:val="right"/>
              <w:rPr>
                <w:b/>
                <w:bCs/>
                <w:color w:val="000000"/>
                <w:sz w:val="15"/>
                <w:szCs w:val="15"/>
              </w:rPr>
            </w:pPr>
            <w:r w:rsidRPr="003003C0">
              <w:rPr>
                <w:b/>
                <w:bCs/>
                <w:color w:val="000000"/>
                <w:sz w:val="15"/>
                <w:szCs w:val="15"/>
              </w:rPr>
              <w:t>7</w:t>
            </w:r>
            <w:r>
              <w:rPr>
                <w:b/>
                <w:bCs/>
                <w:color w:val="000000"/>
                <w:sz w:val="15"/>
                <w:szCs w:val="15"/>
              </w:rPr>
              <w:t>,</w:t>
            </w:r>
            <w:r w:rsidRPr="003003C0">
              <w:rPr>
                <w:b/>
                <w:bCs/>
                <w:color w:val="000000"/>
                <w:sz w:val="15"/>
                <w:szCs w:val="15"/>
              </w:rPr>
              <w:t>242</w:t>
            </w:r>
          </w:p>
        </w:tc>
        <w:tc>
          <w:tcPr>
            <w:tcW w:w="593" w:type="pct"/>
            <w:shd w:val="clear" w:color="auto" w:fill="auto"/>
            <w:noWrap/>
            <w:hideMark/>
          </w:tcPr>
          <w:p w14:paraId="129CFE37" w14:textId="77777777" w:rsidR="004F64EF" w:rsidRPr="003003C0" w:rsidRDefault="004F64EF" w:rsidP="001F3C85">
            <w:pPr>
              <w:ind w:right="284"/>
              <w:jc w:val="right"/>
              <w:rPr>
                <w:b/>
                <w:bCs/>
                <w:color w:val="000000"/>
                <w:sz w:val="15"/>
                <w:szCs w:val="15"/>
              </w:rPr>
            </w:pPr>
            <w:r w:rsidRPr="003003C0">
              <w:rPr>
                <w:b/>
                <w:bCs/>
                <w:color w:val="000000"/>
                <w:sz w:val="15"/>
                <w:szCs w:val="15"/>
              </w:rPr>
              <w:t>7</w:t>
            </w:r>
            <w:r>
              <w:rPr>
                <w:b/>
                <w:bCs/>
                <w:color w:val="000000"/>
                <w:sz w:val="15"/>
                <w:szCs w:val="15"/>
              </w:rPr>
              <w:t>.</w:t>
            </w:r>
            <w:r w:rsidRPr="003003C0">
              <w:rPr>
                <w:b/>
                <w:bCs/>
                <w:color w:val="000000"/>
                <w:sz w:val="15"/>
                <w:szCs w:val="15"/>
              </w:rPr>
              <w:t>8</w:t>
            </w:r>
          </w:p>
        </w:tc>
        <w:tc>
          <w:tcPr>
            <w:tcW w:w="586" w:type="pct"/>
            <w:shd w:val="clear" w:color="auto" w:fill="auto"/>
            <w:noWrap/>
            <w:hideMark/>
          </w:tcPr>
          <w:p w14:paraId="2BD12E77" w14:textId="77777777" w:rsidR="004F64EF" w:rsidRPr="003003C0" w:rsidRDefault="004F64EF" w:rsidP="001F3C85">
            <w:pPr>
              <w:jc w:val="center"/>
              <w:rPr>
                <w:b/>
                <w:bCs/>
                <w:color w:val="000000"/>
                <w:sz w:val="15"/>
                <w:szCs w:val="15"/>
              </w:rPr>
            </w:pPr>
            <w:r w:rsidRPr="003003C0">
              <w:rPr>
                <w:b/>
                <w:bCs/>
                <w:color w:val="000000"/>
                <w:sz w:val="15"/>
                <w:szCs w:val="15"/>
              </w:rPr>
              <w:t>0 - 99</w:t>
            </w:r>
          </w:p>
        </w:tc>
        <w:tc>
          <w:tcPr>
            <w:tcW w:w="796" w:type="pct"/>
            <w:shd w:val="clear" w:color="auto" w:fill="auto"/>
            <w:noWrap/>
            <w:hideMark/>
          </w:tcPr>
          <w:p w14:paraId="12F064B3" w14:textId="77777777" w:rsidR="004F64EF" w:rsidRPr="003003C0" w:rsidRDefault="004F64EF" w:rsidP="001F3C85">
            <w:pPr>
              <w:ind w:right="454"/>
              <w:jc w:val="right"/>
              <w:rPr>
                <w:b/>
                <w:bCs/>
                <w:color w:val="000000"/>
                <w:sz w:val="15"/>
                <w:szCs w:val="15"/>
              </w:rPr>
            </w:pPr>
            <w:r w:rsidRPr="003003C0">
              <w:rPr>
                <w:b/>
                <w:bCs/>
                <w:color w:val="000000"/>
                <w:sz w:val="15"/>
                <w:szCs w:val="15"/>
              </w:rPr>
              <w:t>1</w:t>
            </w:r>
            <w:r>
              <w:rPr>
                <w:b/>
                <w:bCs/>
                <w:color w:val="000000"/>
                <w:sz w:val="15"/>
                <w:szCs w:val="15"/>
              </w:rPr>
              <w:t>.</w:t>
            </w:r>
            <w:r w:rsidRPr="003003C0">
              <w:rPr>
                <w:b/>
                <w:bCs/>
                <w:color w:val="000000"/>
                <w:sz w:val="15"/>
                <w:szCs w:val="15"/>
              </w:rPr>
              <w:t>3</w:t>
            </w:r>
          </w:p>
        </w:tc>
        <w:tc>
          <w:tcPr>
            <w:tcW w:w="1062" w:type="pct"/>
            <w:shd w:val="clear" w:color="auto" w:fill="auto"/>
            <w:noWrap/>
            <w:hideMark/>
          </w:tcPr>
          <w:p w14:paraId="2B53D5DC" w14:textId="77777777" w:rsidR="004F64EF" w:rsidRPr="003003C0" w:rsidRDefault="004F64EF" w:rsidP="001F3C85">
            <w:pPr>
              <w:ind w:right="510"/>
              <w:jc w:val="right"/>
              <w:rPr>
                <w:sz w:val="15"/>
                <w:szCs w:val="15"/>
              </w:rPr>
            </w:pPr>
            <w:r w:rsidRPr="003003C0">
              <w:rPr>
                <w:sz w:val="15"/>
                <w:szCs w:val="15"/>
              </w:rPr>
              <w:t>0 - 99</w:t>
            </w:r>
          </w:p>
        </w:tc>
      </w:tr>
      <w:tr w:rsidR="004F64EF" w:rsidRPr="003003C0" w14:paraId="1D7D6017" w14:textId="77777777" w:rsidTr="001F3C85">
        <w:trPr>
          <w:cantSplit/>
        </w:trPr>
        <w:tc>
          <w:tcPr>
            <w:tcW w:w="1333" w:type="pct"/>
            <w:shd w:val="clear" w:color="auto" w:fill="C9DED4"/>
            <w:noWrap/>
            <w:hideMark/>
          </w:tcPr>
          <w:p w14:paraId="192DB3F1" w14:textId="77777777" w:rsidR="004F64EF" w:rsidRPr="003003C0" w:rsidRDefault="004F64EF" w:rsidP="001F3C85">
            <w:pPr>
              <w:jc w:val="left"/>
              <w:rPr>
                <w:color w:val="000000"/>
                <w:sz w:val="15"/>
                <w:szCs w:val="15"/>
              </w:rPr>
            </w:pPr>
            <w:r>
              <w:rPr>
                <w:color w:val="000000"/>
                <w:sz w:val="15"/>
                <w:szCs w:val="15"/>
              </w:rPr>
              <w:t>HS</w:t>
            </w:r>
            <w:r w:rsidRPr="003003C0">
              <w:rPr>
                <w:color w:val="000000"/>
                <w:sz w:val="15"/>
                <w:szCs w:val="15"/>
              </w:rPr>
              <w:t xml:space="preserve"> 01-24</w:t>
            </w:r>
          </w:p>
        </w:tc>
        <w:tc>
          <w:tcPr>
            <w:tcW w:w="630" w:type="pct"/>
            <w:shd w:val="clear" w:color="auto" w:fill="C9DED4"/>
            <w:noWrap/>
            <w:hideMark/>
          </w:tcPr>
          <w:p w14:paraId="095CDB8D" w14:textId="77777777" w:rsidR="004F64EF" w:rsidRPr="003003C0" w:rsidRDefault="004F64EF" w:rsidP="001F3C85">
            <w:pPr>
              <w:jc w:val="right"/>
              <w:rPr>
                <w:color w:val="000000"/>
                <w:sz w:val="15"/>
                <w:szCs w:val="15"/>
              </w:rPr>
            </w:pPr>
            <w:r w:rsidRPr="003003C0">
              <w:rPr>
                <w:color w:val="000000"/>
                <w:sz w:val="15"/>
                <w:szCs w:val="15"/>
              </w:rPr>
              <w:t>1</w:t>
            </w:r>
            <w:r>
              <w:rPr>
                <w:color w:val="000000"/>
                <w:sz w:val="15"/>
                <w:szCs w:val="15"/>
              </w:rPr>
              <w:t>,</w:t>
            </w:r>
            <w:r w:rsidRPr="003003C0">
              <w:rPr>
                <w:color w:val="000000"/>
                <w:sz w:val="15"/>
                <w:szCs w:val="15"/>
              </w:rPr>
              <w:t>314</w:t>
            </w:r>
          </w:p>
        </w:tc>
        <w:tc>
          <w:tcPr>
            <w:tcW w:w="593" w:type="pct"/>
            <w:shd w:val="clear" w:color="auto" w:fill="C9DED4"/>
            <w:noWrap/>
            <w:hideMark/>
          </w:tcPr>
          <w:p w14:paraId="4A5F7023" w14:textId="77777777" w:rsidR="004F64EF" w:rsidRPr="003003C0" w:rsidRDefault="004F64EF" w:rsidP="001F3C85">
            <w:pPr>
              <w:ind w:right="284"/>
              <w:jc w:val="right"/>
              <w:rPr>
                <w:color w:val="000000"/>
                <w:sz w:val="15"/>
                <w:szCs w:val="15"/>
              </w:rPr>
            </w:pPr>
            <w:r w:rsidRPr="003003C0">
              <w:rPr>
                <w:color w:val="000000"/>
                <w:sz w:val="15"/>
                <w:szCs w:val="15"/>
              </w:rPr>
              <w:t>16</w:t>
            </w:r>
            <w:r>
              <w:rPr>
                <w:color w:val="000000"/>
                <w:sz w:val="15"/>
                <w:szCs w:val="15"/>
              </w:rPr>
              <w:t>.</w:t>
            </w:r>
            <w:r w:rsidRPr="003003C0">
              <w:rPr>
                <w:color w:val="000000"/>
                <w:sz w:val="15"/>
                <w:szCs w:val="15"/>
              </w:rPr>
              <w:t>0</w:t>
            </w:r>
          </w:p>
        </w:tc>
        <w:tc>
          <w:tcPr>
            <w:tcW w:w="586" w:type="pct"/>
            <w:shd w:val="clear" w:color="auto" w:fill="C9DED4"/>
            <w:noWrap/>
            <w:hideMark/>
          </w:tcPr>
          <w:p w14:paraId="4A5DC63B" w14:textId="77777777" w:rsidR="004F64EF" w:rsidRPr="003003C0" w:rsidRDefault="004F64EF" w:rsidP="001F3C85">
            <w:pPr>
              <w:jc w:val="center"/>
              <w:rPr>
                <w:color w:val="000000"/>
                <w:sz w:val="15"/>
                <w:szCs w:val="15"/>
              </w:rPr>
            </w:pPr>
            <w:r w:rsidRPr="003003C0">
              <w:rPr>
                <w:color w:val="000000"/>
                <w:sz w:val="15"/>
                <w:szCs w:val="15"/>
              </w:rPr>
              <w:t>0 - 99</w:t>
            </w:r>
          </w:p>
        </w:tc>
        <w:tc>
          <w:tcPr>
            <w:tcW w:w="796" w:type="pct"/>
            <w:shd w:val="clear" w:color="auto" w:fill="C9DED4"/>
            <w:noWrap/>
            <w:hideMark/>
          </w:tcPr>
          <w:p w14:paraId="0A8AA545" w14:textId="77777777" w:rsidR="004F64EF" w:rsidRPr="003003C0" w:rsidRDefault="004F64EF" w:rsidP="001F3C85">
            <w:pPr>
              <w:ind w:right="454"/>
              <w:jc w:val="right"/>
              <w:rPr>
                <w:color w:val="000000"/>
                <w:sz w:val="15"/>
                <w:szCs w:val="15"/>
              </w:rPr>
            </w:pPr>
            <w:r w:rsidRPr="003003C0">
              <w:rPr>
                <w:color w:val="000000"/>
                <w:sz w:val="15"/>
                <w:szCs w:val="15"/>
              </w:rPr>
              <w:t>0</w:t>
            </w:r>
            <w:r>
              <w:rPr>
                <w:color w:val="000000"/>
                <w:sz w:val="15"/>
                <w:szCs w:val="15"/>
              </w:rPr>
              <w:t>.</w:t>
            </w:r>
            <w:r w:rsidRPr="003003C0">
              <w:rPr>
                <w:color w:val="000000"/>
                <w:sz w:val="15"/>
                <w:szCs w:val="15"/>
              </w:rPr>
              <w:t>9</w:t>
            </w:r>
          </w:p>
        </w:tc>
        <w:tc>
          <w:tcPr>
            <w:tcW w:w="1062" w:type="pct"/>
            <w:shd w:val="clear" w:color="auto" w:fill="C9DED4"/>
            <w:noWrap/>
            <w:hideMark/>
          </w:tcPr>
          <w:p w14:paraId="03F307C2" w14:textId="77777777" w:rsidR="004F64EF" w:rsidRPr="003003C0" w:rsidRDefault="004F64EF" w:rsidP="001F3C85">
            <w:pPr>
              <w:ind w:right="510"/>
              <w:jc w:val="right"/>
              <w:rPr>
                <w:sz w:val="15"/>
                <w:szCs w:val="15"/>
              </w:rPr>
            </w:pPr>
            <w:r w:rsidRPr="003003C0">
              <w:rPr>
                <w:sz w:val="15"/>
                <w:szCs w:val="15"/>
              </w:rPr>
              <w:t>5 - 99</w:t>
            </w:r>
          </w:p>
        </w:tc>
      </w:tr>
      <w:tr w:rsidR="004F64EF" w:rsidRPr="003003C0" w14:paraId="40326742" w14:textId="77777777" w:rsidTr="001F3C85">
        <w:trPr>
          <w:cantSplit/>
        </w:trPr>
        <w:tc>
          <w:tcPr>
            <w:tcW w:w="1333" w:type="pct"/>
            <w:shd w:val="clear" w:color="auto" w:fill="auto"/>
            <w:noWrap/>
            <w:hideMark/>
          </w:tcPr>
          <w:p w14:paraId="6DDC1830" w14:textId="77777777" w:rsidR="004F64EF" w:rsidRPr="003003C0" w:rsidRDefault="004F64EF" w:rsidP="001F3C85">
            <w:pPr>
              <w:jc w:val="left"/>
              <w:rPr>
                <w:color w:val="000000"/>
                <w:sz w:val="15"/>
                <w:szCs w:val="15"/>
              </w:rPr>
            </w:pPr>
            <w:r>
              <w:rPr>
                <w:color w:val="000000"/>
                <w:sz w:val="15"/>
                <w:szCs w:val="15"/>
              </w:rPr>
              <w:t>HS</w:t>
            </w:r>
            <w:r w:rsidRPr="003003C0">
              <w:rPr>
                <w:color w:val="000000"/>
                <w:sz w:val="15"/>
                <w:szCs w:val="15"/>
              </w:rPr>
              <w:t xml:space="preserve"> 25-97</w:t>
            </w:r>
          </w:p>
        </w:tc>
        <w:tc>
          <w:tcPr>
            <w:tcW w:w="630" w:type="pct"/>
            <w:shd w:val="clear" w:color="auto" w:fill="auto"/>
            <w:noWrap/>
            <w:hideMark/>
          </w:tcPr>
          <w:p w14:paraId="2F98CE5E" w14:textId="77777777" w:rsidR="004F64EF" w:rsidRPr="003003C0" w:rsidRDefault="004F64EF" w:rsidP="001F3C85">
            <w:pPr>
              <w:jc w:val="right"/>
              <w:rPr>
                <w:color w:val="000000"/>
                <w:sz w:val="15"/>
                <w:szCs w:val="15"/>
              </w:rPr>
            </w:pPr>
            <w:r w:rsidRPr="003003C0">
              <w:rPr>
                <w:color w:val="000000"/>
                <w:sz w:val="15"/>
                <w:szCs w:val="15"/>
              </w:rPr>
              <w:t>5</w:t>
            </w:r>
            <w:r>
              <w:rPr>
                <w:color w:val="000000"/>
                <w:sz w:val="15"/>
                <w:szCs w:val="15"/>
              </w:rPr>
              <w:t>,</w:t>
            </w:r>
            <w:r w:rsidRPr="003003C0">
              <w:rPr>
                <w:color w:val="000000"/>
                <w:sz w:val="15"/>
                <w:szCs w:val="15"/>
              </w:rPr>
              <w:t>928</w:t>
            </w:r>
          </w:p>
        </w:tc>
        <w:tc>
          <w:tcPr>
            <w:tcW w:w="593" w:type="pct"/>
            <w:shd w:val="clear" w:color="auto" w:fill="auto"/>
            <w:noWrap/>
            <w:hideMark/>
          </w:tcPr>
          <w:p w14:paraId="1431B967" w14:textId="77777777" w:rsidR="004F64EF" w:rsidRPr="003003C0" w:rsidRDefault="004F64EF" w:rsidP="001F3C85">
            <w:pPr>
              <w:ind w:right="284"/>
              <w:jc w:val="right"/>
              <w:rPr>
                <w:color w:val="000000"/>
                <w:sz w:val="15"/>
                <w:szCs w:val="15"/>
              </w:rPr>
            </w:pPr>
            <w:r w:rsidRPr="003003C0">
              <w:rPr>
                <w:color w:val="000000"/>
                <w:sz w:val="15"/>
                <w:szCs w:val="15"/>
              </w:rPr>
              <w:t>6</w:t>
            </w:r>
            <w:r>
              <w:rPr>
                <w:color w:val="000000"/>
                <w:sz w:val="15"/>
                <w:szCs w:val="15"/>
              </w:rPr>
              <w:t>.</w:t>
            </w:r>
            <w:r w:rsidRPr="003003C0">
              <w:rPr>
                <w:color w:val="000000"/>
                <w:sz w:val="15"/>
                <w:szCs w:val="15"/>
              </w:rPr>
              <w:t>0</w:t>
            </w:r>
          </w:p>
        </w:tc>
        <w:tc>
          <w:tcPr>
            <w:tcW w:w="586" w:type="pct"/>
            <w:shd w:val="clear" w:color="auto" w:fill="auto"/>
            <w:noWrap/>
            <w:hideMark/>
          </w:tcPr>
          <w:p w14:paraId="52A2624F" w14:textId="77777777" w:rsidR="004F64EF" w:rsidRPr="003003C0" w:rsidRDefault="004F64EF" w:rsidP="001F3C85">
            <w:pPr>
              <w:jc w:val="center"/>
              <w:rPr>
                <w:color w:val="000000"/>
                <w:sz w:val="15"/>
                <w:szCs w:val="15"/>
              </w:rPr>
            </w:pPr>
            <w:r w:rsidRPr="003003C0">
              <w:rPr>
                <w:color w:val="000000"/>
                <w:sz w:val="15"/>
                <w:szCs w:val="15"/>
              </w:rPr>
              <w:t>0 - 20</w:t>
            </w:r>
          </w:p>
        </w:tc>
        <w:tc>
          <w:tcPr>
            <w:tcW w:w="796" w:type="pct"/>
            <w:shd w:val="clear" w:color="auto" w:fill="auto"/>
            <w:noWrap/>
            <w:hideMark/>
          </w:tcPr>
          <w:p w14:paraId="3AA24BE3" w14:textId="77777777" w:rsidR="004F64EF" w:rsidRPr="003003C0" w:rsidRDefault="004F64EF" w:rsidP="001F3C85">
            <w:pPr>
              <w:ind w:right="454"/>
              <w:jc w:val="right"/>
              <w:rPr>
                <w:color w:val="000000"/>
                <w:sz w:val="15"/>
                <w:szCs w:val="15"/>
              </w:rPr>
            </w:pPr>
            <w:r w:rsidRPr="003003C0">
              <w:rPr>
                <w:color w:val="000000"/>
                <w:sz w:val="15"/>
                <w:szCs w:val="15"/>
              </w:rPr>
              <w:t>1</w:t>
            </w:r>
            <w:r>
              <w:rPr>
                <w:color w:val="000000"/>
                <w:sz w:val="15"/>
                <w:szCs w:val="15"/>
              </w:rPr>
              <w:t>.</w:t>
            </w:r>
            <w:r w:rsidRPr="003003C0">
              <w:rPr>
                <w:color w:val="000000"/>
                <w:sz w:val="15"/>
                <w:szCs w:val="15"/>
              </w:rPr>
              <w:t>4</w:t>
            </w:r>
          </w:p>
        </w:tc>
        <w:tc>
          <w:tcPr>
            <w:tcW w:w="1062" w:type="pct"/>
            <w:shd w:val="clear" w:color="auto" w:fill="auto"/>
            <w:noWrap/>
            <w:hideMark/>
          </w:tcPr>
          <w:p w14:paraId="7F461F79" w14:textId="77777777" w:rsidR="004F64EF" w:rsidRPr="003003C0" w:rsidRDefault="004F64EF" w:rsidP="001F3C85">
            <w:pPr>
              <w:ind w:right="510"/>
              <w:jc w:val="right"/>
              <w:rPr>
                <w:sz w:val="15"/>
                <w:szCs w:val="15"/>
              </w:rPr>
            </w:pPr>
            <w:r w:rsidRPr="003003C0">
              <w:rPr>
                <w:sz w:val="15"/>
                <w:szCs w:val="15"/>
              </w:rPr>
              <w:t>0 - 40</w:t>
            </w:r>
          </w:p>
        </w:tc>
      </w:tr>
      <w:tr w:rsidR="004F64EF" w:rsidRPr="003003C0" w14:paraId="0195CAED" w14:textId="77777777" w:rsidTr="001F3C85">
        <w:trPr>
          <w:cantSplit/>
        </w:trPr>
        <w:tc>
          <w:tcPr>
            <w:tcW w:w="1333" w:type="pct"/>
            <w:shd w:val="clear" w:color="auto" w:fill="C9DED4"/>
            <w:noWrap/>
            <w:hideMark/>
          </w:tcPr>
          <w:p w14:paraId="68B02405" w14:textId="77777777" w:rsidR="004F64EF" w:rsidRPr="003003C0" w:rsidRDefault="004F64EF" w:rsidP="001F3C85">
            <w:pPr>
              <w:jc w:val="left"/>
              <w:rPr>
                <w:b/>
                <w:bCs/>
                <w:color w:val="000000"/>
                <w:sz w:val="15"/>
                <w:szCs w:val="15"/>
              </w:rPr>
            </w:pPr>
            <w:r>
              <w:rPr>
                <w:b/>
                <w:bCs/>
                <w:color w:val="000000"/>
                <w:sz w:val="15"/>
                <w:szCs w:val="15"/>
              </w:rPr>
              <w:t>By WTO category</w:t>
            </w:r>
          </w:p>
        </w:tc>
        <w:tc>
          <w:tcPr>
            <w:tcW w:w="630" w:type="pct"/>
            <w:shd w:val="clear" w:color="auto" w:fill="C9DED4"/>
            <w:noWrap/>
            <w:hideMark/>
          </w:tcPr>
          <w:p w14:paraId="4862B3E0" w14:textId="77777777" w:rsidR="004F64EF" w:rsidRPr="003003C0" w:rsidRDefault="004F64EF" w:rsidP="001F3C85">
            <w:pPr>
              <w:rPr>
                <w:b/>
                <w:bCs/>
                <w:color w:val="000000"/>
                <w:sz w:val="15"/>
                <w:szCs w:val="15"/>
              </w:rPr>
            </w:pPr>
          </w:p>
        </w:tc>
        <w:tc>
          <w:tcPr>
            <w:tcW w:w="593" w:type="pct"/>
            <w:shd w:val="clear" w:color="auto" w:fill="C9DED4"/>
            <w:noWrap/>
            <w:hideMark/>
          </w:tcPr>
          <w:p w14:paraId="0D9B6CF9" w14:textId="77777777" w:rsidR="004F64EF" w:rsidRPr="003003C0" w:rsidRDefault="004F64EF" w:rsidP="001F3C85">
            <w:pPr>
              <w:ind w:right="284"/>
              <w:rPr>
                <w:sz w:val="15"/>
                <w:szCs w:val="15"/>
              </w:rPr>
            </w:pPr>
          </w:p>
        </w:tc>
        <w:tc>
          <w:tcPr>
            <w:tcW w:w="586" w:type="pct"/>
            <w:shd w:val="clear" w:color="auto" w:fill="C9DED4"/>
            <w:noWrap/>
            <w:hideMark/>
          </w:tcPr>
          <w:p w14:paraId="1EB042B5" w14:textId="77777777" w:rsidR="004F64EF" w:rsidRPr="003003C0" w:rsidRDefault="004F64EF" w:rsidP="001F3C85">
            <w:pPr>
              <w:rPr>
                <w:sz w:val="15"/>
                <w:szCs w:val="15"/>
              </w:rPr>
            </w:pPr>
          </w:p>
        </w:tc>
        <w:tc>
          <w:tcPr>
            <w:tcW w:w="796" w:type="pct"/>
            <w:shd w:val="clear" w:color="auto" w:fill="C9DED4"/>
            <w:noWrap/>
            <w:hideMark/>
          </w:tcPr>
          <w:p w14:paraId="6AFBE0B5" w14:textId="77777777" w:rsidR="004F64EF" w:rsidRPr="003003C0" w:rsidRDefault="004F64EF" w:rsidP="001F3C85">
            <w:pPr>
              <w:ind w:right="454"/>
              <w:jc w:val="center"/>
              <w:rPr>
                <w:sz w:val="15"/>
                <w:szCs w:val="15"/>
              </w:rPr>
            </w:pPr>
          </w:p>
        </w:tc>
        <w:tc>
          <w:tcPr>
            <w:tcW w:w="1062" w:type="pct"/>
            <w:shd w:val="clear" w:color="auto" w:fill="C9DED4"/>
            <w:noWrap/>
            <w:hideMark/>
          </w:tcPr>
          <w:p w14:paraId="5BE8807B" w14:textId="77777777" w:rsidR="004F64EF" w:rsidRPr="003003C0" w:rsidRDefault="004F64EF" w:rsidP="001F3C85">
            <w:pPr>
              <w:ind w:right="510"/>
              <w:jc w:val="right"/>
              <w:rPr>
                <w:sz w:val="15"/>
                <w:szCs w:val="15"/>
              </w:rPr>
            </w:pPr>
          </w:p>
        </w:tc>
      </w:tr>
      <w:tr w:rsidR="004F64EF" w:rsidRPr="003003C0" w14:paraId="45314F65" w14:textId="77777777" w:rsidTr="001F3C85">
        <w:trPr>
          <w:cantSplit/>
        </w:trPr>
        <w:tc>
          <w:tcPr>
            <w:tcW w:w="1333" w:type="pct"/>
            <w:shd w:val="clear" w:color="auto" w:fill="auto"/>
            <w:noWrap/>
            <w:hideMark/>
          </w:tcPr>
          <w:p w14:paraId="6A968A36" w14:textId="77777777" w:rsidR="004F64EF" w:rsidRPr="003003C0" w:rsidRDefault="004F64EF" w:rsidP="001F3C85">
            <w:pPr>
              <w:jc w:val="left"/>
              <w:rPr>
                <w:color w:val="000000"/>
                <w:sz w:val="15"/>
                <w:szCs w:val="15"/>
              </w:rPr>
            </w:pPr>
            <w:r w:rsidRPr="00C13383">
              <w:rPr>
                <w:color w:val="000000"/>
                <w:sz w:val="15"/>
                <w:szCs w:val="15"/>
              </w:rPr>
              <w:t>Agricultural products</w:t>
            </w:r>
          </w:p>
        </w:tc>
        <w:tc>
          <w:tcPr>
            <w:tcW w:w="630" w:type="pct"/>
            <w:shd w:val="clear" w:color="auto" w:fill="auto"/>
            <w:noWrap/>
            <w:hideMark/>
          </w:tcPr>
          <w:p w14:paraId="2C412897" w14:textId="77777777" w:rsidR="004F64EF" w:rsidRPr="003003C0" w:rsidRDefault="004F64EF" w:rsidP="001F3C85">
            <w:pPr>
              <w:jc w:val="right"/>
              <w:rPr>
                <w:color w:val="000000"/>
                <w:sz w:val="15"/>
                <w:szCs w:val="15"/>
              </w:rPr>
            </w:pPr>
            <w:r w:rsidRPr="003003C0">
              <w:rPr>
                <w:color w:val="000000"/>
                <w:sz w:val="15"/>
                <w:szCs w:val="15"/>
              </w:rPr>
              <w:t>1</w:t>
            </w:r>
            <w:r>
              <w:rPr>
                <w:color w:val="000000"/>
                <w:sz w:val="15"/>
                <w:szCs w:val="15"/>
              </w:rPr>
              <w:t>,</w:t>
            </w:r>
            <w:r w:rsidRPr="003003C0">
              <w:rPr>
                <w:color w:val="000000"/>
                <w:sz w:val="15"/>
                <w:szCs w:val="15"/>
              </w:rPr>
              <w:t>116</w:t>
            </w:r>
          </w:p>
        </w:tc>
        <w:tc>
          <w:tcPr>
            <w:tcW w:w="593" w:type="pct"/>
            <w:shd w:val="clear" w:color="auto" w:fill="auto"/>
            <w:noWrap/>
            <w:hideMark/>
          </w:tcPr>
          <w:p w14:paraId="5ABEE82B" w14:textId="77777777" w:rsidR="004F64EF" w:rsidRPr="003003C0" w:rsidRDefault="004F64EF" w:rsidP="001F3C85">
            <w:pPr>
              <w:ind w:right="284"/>
              <w:jc w:val="right"/>
              <w:rPr>
                <w:color w:val="000000"/>
                <w:sz w:val="15"/>
                <w:szCs w:val="15"/>
              </w:rPr>
            </w:pPr>
            <w:r w:rsidRPr="003003C0">
              <w:rPr>
                <w:color w:val="000000"/>
                <w:sz w:val="15"/>
                <w:szCs w:val="15"/>
              </w:rPr>
              <w:t>14</w:t>
            </w:r>
            <w:r>
              <w:rPr>
                <w:color w:val="000000"/>
                <w:sz w:val="15"/>
                <w:szCs w:val="15"/>
              </w:rPr>
              <w:t>.</w:t>
            </w:r>
            <w:r w:rsidRPr="003003C0">
              <w:rPr>
                <w:color w:val="000000"/>
                <w:sz w:val="15"/>
                <w:szCs w:val="15"/>
              </w:rPr>
              <w:t>5</w:t>
            </w:r>
          </w:p>
        </w:tc>
        <w:tc>
          <w:tcPr>
            <w:tcW w:w="586" w:type="pct"/>
            <w:shd w:val="clear" w:color="auto" w:fill="auto"/>
            <w:noWrap/>
            <w:hideMark/>
          </w:tcPr>
          <w:p w14:paraId="68DDA61D" w14:textId="77777777" w:rsidR="004F64EF" w:rsidRPr="003003C0" w:rsidRDefault="004F64EF" w:rsidP="001F3C85">
            <w:pPr>
              <w:jc w:val="center"/>
              <w:rPr>
                <w:color w:val="000000"/>
                <w:sz w:val="15"/>
                <w:szCs w:val="15"/>
              </w:rPr>
            </w:pPr>
            <w:r w:rsidRPr="003003C0">
              <w:rPr>
                <w:color w:val="000000"/>
                <w:sz w:val="15"/>
                <w:szCs w:val="15"/>
              </w:rPr>
              <w:t>0 - 99</w:t>
            </w:r>
          </w:p>
        </w:tc>
        <w:tc>
          <w:tcPr>
            <w:tcW w:w="796" w:type="pct"/>
            <w:shd w:val="clear" w:color="auto" w:fill="auto"/>
            <w:noWrap/>
            <w:hideMark/>
          </w:tcPr>
          <w:p w14:paraId="1A3AA757" w14:textId="77777777" w:rsidR="004F64EF" w:rsidRPr="003003C0" w:rsidRDefault="004F64EF" w:rsidP="001F3C85">
            <w:pPr>
              <w:ind w:right="454"/>
              <w:jc w:val="right"/>
              <w:rPr>
                <w:color w:val="000000"/>
                <w:sz w:val="15"/>
                <w:szCs w:val="15"/>
              </w:rPr>
            </w:pPr>
            <w:r w:rsidRPr="003003C0">
              <w:rPr>
                <w:color w:val="000000"/>
                <w:sz w:val="15"/>
                <w:szCs w:val="15"/>
              </w:rPr>
              <w:t>1</w:t>
            </w:r>
            <w:r>
              <w:rPr>
                <w:color w:val="000000"/>
                <w:sz w:val="15"/>
                <w:szCs w:val="15"/>
              </w:rPr>
              <w:t>.</w:t>
            </w:r>
            <w:r w:rsidRPr="003003C0">
              <w:rPr>
                <w:color w:val="000000"/>
                <w:sz w:val="15"/>
                <w:szCs w:val="15"/>
              </w:rPr>
              <w:t>1</w:t>
            </w:r>
          </w:p>
        </w:tc>
        <w:tc>
          <w:tcPr>
            <w:tcW w:w="1062" w:type="pct"/>
            <w:shd w:val="clear" w:color="auto" w:fill="auto"/>
            <w:noWrap/>
            <w:hideMark/>
          </w:tcPr>
          <w:p w14:paraId="5732714C" w14:textId="77777777" w:rsidR="004F64EF" w:rsidRPr="003003C0" w:rsidRDefault="004F64EF" w:rsidP="001F3C85">
            <w:pPr>
              <w:ind w:right="510"/>
              <w:jc w:val="right"/>
              <w:rPr>
                <w:sz w:val="15"/>
                <w:szCs w:val="15"/>
              </w:rPr>
            </w:pPr>
            <w:r w:rsidRPr="003003C0">
              <w:rPr>
                <w:sz w:val="15"/>
                <w:szCs w:val="15"/>
              </w:rPr>
              <w:t>5 - 99</w:t>
            </w:r>
          </w:p>
        </w:tc>
      </w:tr>
      <w:tr w:rsidR="004F64EF" w:rsidRPr="003003C0" w14:paraId="3B7F5AC4" w14:textId="77777777" w:rsidTr="001F3C85">
        <w:trPr>
          <w:cantSplit/>
        </w:trPr>
        <w:tc>
          <w:tcPr>
            <w:tcW w:w="1333" w:type="pct"/>
            <w:shd w:val="clear" w:color="auto" w:fill="C9DED4"/>
            <w:noWrap/>
            <w:hideMark/>
          </w:tcPr>
          <w:p w14:paraId="0FBFA6EB" w14:textId="77777777" w:rsidR="004F64EF" w:rsidRPr="003003C0" w:rsidRDefault="004F64EF" w:rsidP="00B96E04">
            <w:pPr>
              <w:tabs>
                <w:tab w:val="left" w:pos="170"/>
              </w:tabs>
              <w:ind w:left="170" w:hanging="170"/>
              <w:jc w:val="left"/>
              <w:rPr>
                <w:color w:val="000000"/>
                <w:sz w:val="15"/>
                <w:szCs w:val="15"/>
              </w:rPr>
            </w:pPr>
            <w:r w:rsidRPr="003003C0">
              <w:rPr>
                <w:color w:val="000000"/>
                <w:sz w:val="15"/>
                <w:szCs w:val="15"/>
              </w:rPr>
              <w:t xml:space="preserve"> - </w:t>
            </w:r>
            <w:r w:rsidRPr="00C13383">
              <w:rPr>
                <w:color w:val="000000"/>
                <w:sz w:val="15"/>
                <w:szCs w:val="15"/>
              </w:rPr>
              <w:t>Animals and animal products</w:t>
            </w:r>
          </w:p>
        </w:tc>
        <w:tc>
          <w:tcPr>
            <w:tcW w:w="630" w:type="pct"/>
            <w:shd w:val="clear" w:color="auto" w:fill="C9DED4"/>
            <w:noWrap/>
            <w:hideMark/>
          </w:tcPr>
          <w:p w14:paraId="467334F3" w14:textId="77777777" w:rsidR="004F64EF" w:rsidRPr="003003C0" w:rsidRDefault="004F64EF" w:rsidP="001F3C85">
            <w:pPr>
              <w:jc w:val="right"/>
              <w:rPr>
                <w:color w:val="000000"/>
                <w:sz w:val="15"/>
                <w:szCs w:val="15"/>
              </w:rPr>
            </w:pPr>
            <w:r w:rsidRPr="003003C0">
              <w:rPr>
                <w:color w:val="000000"/>
                <w:sz w:val="15"/>
                <w:szCs w:val="15"/>
              </w:rPr>
              <w:t>147</w:t>
            </w:r>
          </w:p>
        </w:tc>
        <w:tc>
          <w:tcPr>
            <w:tcW w:w="593" w:type="pct"/>
            <w:shd w:val="clear" w:color="auto" w:fill="C9DED4"/>
            <w:noWrap/>
            <w:hideMark/>
          </w:tcPr>
          <w:p w14:paraId="4CC3353A" w14:textId="77777777" w:rsidR="004F64EF" w:rsidRPr="003003C0" w:rsidRDefault="004F64EF" w:rsidP="001F3C85">
            <w:pPr>
              <w:ind w:right="284"/>
              <w:jc w:val="right"/>
              <w:rPr>
                <w:color w:val="000000"/>
                <w:sz w:val="15"/>
                <w:szCs w:val="15"/>
              </w:rPr>
            </w:pPr>
            <w:r w:rsidRPr="003003C0">
              <w:rPr>
                <w:color w:val="000000"/>
                <w:sz w:val="15"/>
                <w:szCs w:val="15"/>
              </w:rPr>
              <w:t>22</w:t>
            </w:r>
            <w:r>
              <w:rPr>
                <w:color w:val="000000"/>
                <w:sz w:val="15"/>
                <w:szCs w:val="15"/>
              </w:rPr>
              <w:t>.</w:t>
            </w:r>
            <w:r w:rsidRPr="003003C0">
              <w:rPr>
                <w:color w:val="000000"/>
                <w:sz w:val="15"/>
                <w:szCs w:val="15"/>
              </w:rPr>
              <w:t>8</w:t>
            </w:r>
          </w:p>
        </w:tc>
        <w:tc>
          <w:tcPr>
            <w:tcW w:w="586" w:type="pct"/>
            <w:shd w:val="clear" w:color="auto" w:fill="C9DED4"/>
            <w:noWrap/>
            <w:hideMark/>
          </w:tcPr>
          <w:p w14:paraId="77DDE1EF" w14:textId="77777777" w:rsidR="004F64EF" w:rsidRPr="003003C0" w:rsidRDefault="004F64EF" w:rsidP="001F3C85">
            <w:pPr>
              <w:jc w:val="center"/>
              <w:rPr>
                <w:color w:val="000000"/>
                <w:sz w:val="15"/>
                <w:szCs w:val="15"/>
              </w:rPr>
            </w:pPr>
            <w:r w:rsidRPr="003003C0">
              <w:rPr>
                <w:color w:val="000000"/>
                <w:sz w:val="15"/>
                <w:szCs w:val="15"/>
              </w:rPr>
              <w:t>0 - 99</w:t>
            </w:r>
          </w:p>
        </w:tc>
        <w:tc>
          <w:tcPr>
            <w:tcW w:w="796" w:type="pct"/>
            <w:shd w:val="clear" w:color="auto" w:fill="C9DED4"/>
            <w:noWrap/>
            <w:hideMark/>
          </w:tcPr>
          <w:p w14:paraId="1631954C" w14:textId="77777777" w:rsidR="004F64EF" w:rsidRPr="003003C0" w:rsidRDefault="004F64EF" w:rsidP="001F3C85">
            <w:pPr>
              <w:ind w:right="454"/>
              <w:jc w:val="right"/>
              <w:rPr>
                <w:color w:val="000000"/>
                <w:sz w:val="15"/>
                <w:szCs w:val="15"/>
              </w:rPr>
            </w:pPr>
            <w:r w:rsidRPr="003003C0">
              <w:rPr>
                <w:color w:val="000000"/>
                <w:sz w:val="15"/>
                <w:szCs w:val="15"/>
              </w:rPr>
              <w:t>0</w:t>
            </w:r>
            <w:r>
              <w:rPr>
                <w:color w:val="000000"/>
                <w:sz w:val="15"/>
                <w:szCs w:val="15"/>
              </w:rPr>
              <w:t>.</w:t>
            </w:r>
            <w:r w:rsidRPr="003003C0">
              <w:rPr>
                <w:color w:val="000000"/>
                <w:sz w:val="15"/>
                <w:szCs w:val="15"/>
              </w:rPr>
              <w:t>9</w:t>
            </w:r>
          </w:p>
        </w:tc>
        <w:tc>
          <w:tcPr>
            <w:tcW w:w="1062" w:type="pct"/>
            <w:shd w:val="clear" w:color="auto" w:fill="C9DED4"/>
            <w:noWrap/>
            <w:hideMark/>
          </w:tcPr>
          <w:p w14:paraId="073947AD" w14:textId="77777777" w:rsidR="004F64EF" w:rsidRPr="003003C0" w:rsidRDefault="004F64EF" w:rsidP="001F3C85">
            <w:pPr>
              <w:ind w:right="510"/>
              <w:jc w:val="right"/>
              <w:rPr>
                <w:sz w:val="15"/>
                <w:szCs w:val="15"/>
              </w:rPr>
            </w:pPr>
            <w:r w:rsidRPr="003003C0">
              <w:rPr>
                <w:sz w:val="15"/>
                <w:szCs w:val="15"/>
              </w:rPr>
              <w:t>30 - 99</w:t>
            </w:r>
          </w:p>
        </w:tc>
      </w:tr>
      <w:tr w:rsidR="004F64EF" w:rsidRPr="003003C0" w14:paraId="357A5036" w14:textId="77777777" w:rsidTr="001F3C85">
        <w:trPr>
          <w:cantSplit/>
        </w:trPr>
        <w:tc>
          <w:tcPr>
            <w:tcW w:w="1333" w:type="pct"/>
            <w:shd w:val="clear" w:color="auto" w:fill="auto"/>
            <w:noWrap/>
            <w:hideMark/>
          </w:tcPr>
          <w:p w14:paraId="1FC9DD68" w14:textId="77777777" w:rsidR="004F64EF" w:rsidRPr="003003C0" w:rsidRDefault="004F64EF" w:rsidP="001F3C85">
            <w:pPr>
              <w:tabs>
                <w:tab w:val="left" w:pos="170"/>
              </w:tabs>
              <w:jc w:val="left"/>
              <w:rPr>
                <w:color w:val="000000"/>
                <w:sz w:val="15"/>
                <w:szCs w:val="15"/>
              </w:rPr>
            </w:pPr>
            <w:r w:rsidRPr="003003C0">
              <w:rPr>
                <w:color w:val="000000"/>
                <w:sz w:val="15"/>
                <w:szCs w:val="15"/>
              </w:rPr>
              <w:t xml:space="preserve"> - </w:t>
            </w:r>
            <w:r w:rsidRPr="00C13383">
              <w:rPr>
                <w:color w:val="000000"/>
                <w:sz w:val="15"/>
                <w:szCs w:val="15"/>
              </w:rPr>
              <w:t>Dairy products</w:t>
            </w:r>
          </w:p>
        </w:tc>
        <w:tc>
          <w:tcPr>
            <w:tcW w:w="630" w:type="pct"/>
            <w:shd w:val="clear" w:color="auto" w:fill="auto"/>
            <w:noWrap/>
            <w:hideMark/>
          </w:tcPr>
          <w:p w14:paraId="1E3FAE35" w14:textId="77777777" w:rsidR="004F64EF" w:rsidRPr="003003C0" w:rsidRDefault="004F64EF" w:rsidP="001F3C85">
            <w:pPr>
              <w:jc w:val="right"/>
              <w:rPr>
                <w:color w:val="000000"/>
                <w:sz w:val="15"/>
                <w:szCs w:val="15"/>
              </w:rPr>
            </w:pPr>
            <w:r w:rsidRPr="003003C0">
              <w:rPr>
                <w:color w:val="000000"/>
                <w:sz w:val="15"/>
                <w:szCs w:val="15"/>
              </w:rPr>
              <w:t>31</w:t>
            </w:r>
          </w:p>
        </w:tc>
        <w:tc>
          <w:tcPr>
            <w:tcW w:w="593" w:type="pct"/>
            <w:shd w:val="clear" w:color="auto" w:fill="auto"/>
            <w:noWrap/>
            <w:hideMark/>
          </w:tcPr>
          <w:p w14:paraId="0C0AEF6A" w14:textId="77777777" w:rsidR="004F64EF" w:rsidRPr="003003C0" w:rsidRDefault="004F64EF" w:rsidP="001F3C85">
            <w:pPr>
              <w:ind w:right="284"/>
              <w:jc w:val="right"/>
              <w:rPr>
                <w:color w:val="000000"/>
                <w:sz w:val="15"/>
                <w:szCs w:val="15"/>
              </w:rPr>
            </w:pPr>
            <w:r w:rsidRPr="003003C0">
              <w:rPr>
                <w:color w:val="000000"/>
                <w:sz w:val="15"/>
                <w:szCs w:val="15"/>
              </w:rPr>
              <w:t>25</w:t>
            </w:r>
            <w:r>
              <w:rPr>
                <w:color w:val="000000"/>
                <w:sz w:val="15"/>
                <w:szCs w:val="15"/>
              </w:rPr>
              <w:t>.</w:t>
            </w:r>
            <w:r w:rsidRPr="003003C0">
              <w:rPr>
                <w:color w:val="000000"/>
                <w:sz w:val="15"/>
                <w:szCs w:val="15"/>
              </w:rPr>
              <w:t>9</w:t>
            </w:r>
          </w:p>
        </w:tc>
        <w:tc>
          <w:tcPr>
            <w:tcW w:w="586" w:type="pct"/>
            <w:shd w:val="clear" w:color="auto" w:fill="auto"/>
            <w:noWrap/>
            <w:hideMark/>
          </w:tcPr>
          <w:p w14:paraId="1A8F65EA" w14:textId="77777777" w:rsidR="004F64EF" w:rsidRPr="003003C0" w:rsidRDefault="004F64EF" w:rsidP="001F3C85">
            <w:pPr>
              <w:jc w:val="center"/>
              <w:rPr>
                <w:color w:val="000000"/>
                <w:sz w:val="15"/>
                <w:szCs w:val="15"/>
              </w:rPr>
            </w:pPr>
            <w:r w:rsidRPr="003003C0">
              <w:rPr>
                <w:color w:val="000000"/>
                <w:sz w:val="15"/>
                <w:szCs w:val="15"/>
              </w:rPr>
              <w:t>0 - 56</w:t>
            </w:r>
          </w:p>
        </w:tc>
        <w:tc>
          <w:tcPr>
            <w:tcW w:w="796" w:type="pct"/>
            <w:shd w:val="clear" w:color="auto" w:fill="auto"/>
            <w:noWrap/>
            <w:hideMark/>
          </w:tcPr>
          <w:p w14:paraId="0A458286" w14:textId="77777777" w:rsidR="004F64EF" w:rsidRPr="003003C0" w:rsidRDefault="004F64EF" w:rsidP="001F3C85">
            <w:pPr>
              <w:ind w:right="454"/>
              <w:jc w:val="right"/>
              <w:rPr>
                <w:color w:val="000000"/>
                <w:sz w:val="15"/>
                <w:szCs w:val="15"/>
              </w:rPr>
            </w:pPr>
            <w:r w:rsidRPr="003003C0">
              <w:rPr>
                <w:color w:val="000000"/>
                <w:sz w:val="15"/>
                <w:szCs w:val="15"/>
              </w:rPr>
              <w:t>0</w:t>
            </w:r>
            <w:r>
              <w:rPr>
                <w:color w:val="000000"/>
                <w:sz w:val="15"/>
                <w:szCs w:val="15"/>
              </w:rPr>
              <w:t>.</w:t>
            </w:r>
            <w:r w:rsidRPr="003003C0">
              <w:rPr>
                <w:color w:val="000000"/>
                <w:sz w:val="15"/>
                <w:szCs w:val="15"/>
              </w:rPr>
              <w:t>6</w:t>
            </w:r>
          </w:p>
        </w:tc>
        <w:tc>
          <w:tcPr>
            <w:tcW w:w="1062" w:type="pct"/>
            <w:shd w:val="clear" w:color="auto" w:fill="auto"/>
            <w:noWrap/>
            <w:hideMark/>
          </w:tcPr>
          <w:p w14:paraId="27AD1138" w14:textId="77777777" w:rsidR="004F64EF" w:rsidRPr="003003C0" w:rsidRDefault="004F64EF" w:rsidP="001F3C85">
            <w:pPr>
              <w:ind w:right="510"/>
              <w:jc w:val="right"/>
              <w:rPr>
                <w:sz w:val="15"/>
                <w:szCs w:val="15"/>
              </w:rPr>
            </w:pPr>
            <w:r w:rsidRPr="003003C0">
              <w:rPr>
                <w:sz w:val="15"/>
                <w:szCs w:val="15"/>
              </w:rPr>
              <w:t>40 - 56</w:t>
            </w:r>
          </w:p>
        </w:tc>
      </w:tr>
      <w:tr w:rsidR="004F64EF" w:rsidRPr="003003C0" w14:paraId="02C9B6D7" w14:textId="77777777" w:rsidTr="001F3C85">
        <w:trPr>
          <w:cantSplit/>
        </w:trPr>
        <w:tc>
          <w:tcPr>
            <w:tcW w:w="1333" w:type="pct"/>
            <w:shd w:val="clear" w:color="auto" w:fill="C9DED4"/>
            <w:noWrap/>
            <w:hideMark/>
          </w:tcPr>
          <w:p w14:paraId="3063EA4E" w14:textId="77777777" w:rsidR="004F64EF" w:rsidRPr="003003C0" w:rsidRDefault="004F64EF" w:rsidP="00B96E04">
            <w:pPr>
              <w:tabs>
                <w:tab w:val="left" w:pos="170"/>
              </w:tabs>
              <w:ind w:left="170" w:hanging="170"/>
              <w:jc w:val="left"/>
              <w:rPr>
                <w:color w:val="000000"/>
                <w:sz w:val="15"/>
                <w:szCs w:val="15"/>
              </w:rPr>
            </w:pPr>
            <w:r w:rsidRPr="003003C0">
              <w:rPr>
                <w:color w:val="000000"/>
                <w:sz w:val="15"/>
                <w:szCs w:val="15"/>
              </w:rPr>
              <w:t xml:space="preserve"> - </w:t>
            </w:r>
            <w:r w:rsidRPr="00C13383">
              <w:rPr>
                <w:color w:val="000000"/>
                <w:sz w:val="15"/>
                <w:szCs w:val="15"/>
              </w:rPr>
              <w:t>Fruit, vegetables and garden produce</w:t>
            </w:r>
          </w:p>
        </w:tc>
        <w:tc>
          <w:tcPr>
            <w:tcW w:w="630" w:type="pct"/>
            <w:shd w:val="clear" w:color="auto" w:fill="C9DED4"/>
            <w:noWrap/>
            <w:hideMark/>
          </w:tcPr>
          <w:p w14:paraId="04207F24" w14:textId="77777777" w:rsidR="004F64EF" w:rsidRPr="003003C0" w:rsidRDefault="004F64EF" w:rsidP="001F3C85">
            <w:pPr>
              <w:jc w:val="right"/>
              <w:rPr>
                <w:color w:val="000000"/>
                <w:sz w:val="15"/>
                <w:szCs w:val="15"/>
              </w:rPr>
            </w:pPr>
            <w:r w:rsidRPr="003003C0">
              <w:rPr>
                <w:color w:val="000000"/>
                <w:sz w:val="15"/>
                <w:szCs w:val="15"/>
              </w:rPr>
              <w:t>337</w:t>
            </w:r>
          </w:p>
        </w:tc>
        <w:tc>
          <w:tcPr>
            <w:tcW w:w="593" w:type="pct"/>
            <w:shd w:val="clear" w:color="auto" w:fill="C9DED4"/>
            <w:noWrap/>
            <w:hideMark/>
          </w:tcPr>
          <w:p w14:paraId="6DBA4285" w14:textId="77777777" w:rsidR="004F64EF" w:rsidRPr="003003C0" w:rsidRDefault="004F64EF" w:rsidP="001F3C85">
            <w:pPr>
              <w:ind w:right="284"/>
              <w:jc w:val="right"/>
              <w:rPr>
                <w:color w:val="000000"/>
                <w:sz w:val="15"/>
                <w:szCs w:val="15"/>
              </w:rPr>
            </w:pPr>
            <w:r w:rsidRPr="003003C0">
              <w:rPr>
                <w:color w:val="000000"/>
                <w:sz w:val="15"/>
                <w:szCs w:val="15"/>
              </w:rPr>
              <w:t>18</w:t>
            </w:r>
            <w:r>
              <w:rPr>
                <w:color w:val="000000"/>
                <w:sz w:val="15"/>
                <w:szCs w:val="15"/>
              </w:rPr>
              <w:t>.</w:t>
            </w:r>
            <w:r w:rsidRPr="003003C0">
              <w:rPr>
                <w:color w:val="000000"/>
                <w:sz w:val="15"/>
                <w:szCs w:val="15"/>
              </w:rPr>
              <w:t>3</w:t>
            </w:r>
          </w:p>
        </w:tc>
        <w:tc>
          <w:tcPr>
            <w:tcW w:w="586" w:type="pct"/>
            <w:shd w:val="clear" w:color="auto" w:fill="C9DED4"/>
            <w:noWrap/>
            <w:hideMark/>
          </w:tcPr>
          <w:p w14:paraId="1D96DC3C" w14:textId="77777777" w:rsidR="004F64EF" w:rsidRPr="003003C0" w:rsidRDefault="004F64EF" w:rsidP="001F3C85">
            <w:pPr>
              <w:jc w:val="center"/>
              <w:rPr>
                <w:color w:val="000000"/>
                <w:sz w:val="15"/>
                <w:szCs w:val="15"/>
              </w:rPr>
            </w:pPr>
            <w:r w:rsidRPr="003003C0">
              <w:rPr>
                <w:color w:val="000000"/>
                <w:sz w:val="15"/>
                <w:szCs w:val="15"/>
              </w:rPr>
              <w:t>0 - 99</w:t>
            </w:r>
          </w:p>
        </w:tc>
        <w:tc>
          <w:tcPr>
            <w:tcW w:w="796" w:type="pct"/>
            <w:shd w:val="clear" w:color="auto" w:fill="C9DED4"/>
            <w:noWrap/>
            <w:hideMark/>
          </w:tcPr>
          <w:p w14:paraId="3F8B9D46" w14:textId="77777777" w:rsidR="004F64EF" w:rsidRPr="003003C0" w:rsidRDefault="004F64EF" w:rsidP="001F3C85">
            <w:pPr>
              <w:ind w:right="454"/>
              <w:jc w:val="right"/>
              <w:rPr>
                <w:color w:val="000000"/>
                <w:sz w:val="15"/>
                <w:szCs w:val="15"/>
              </w:rPr>
            </w:pPr>
            <w:r w:rsidRPr="003003C0">
              <w:rPr>
                <w:color w:val="000000"/>
                <w:sz w:val="15"/>
                <w:szCs w:val="15"/>
              </w:rPr>
              <w:t>0</w:t>
            </w:r>
            <w:r>
              <w:rPr>
                <w:color w:val="000000"/>
                <w:sz w:val="15"/>
                <w:szCs w:val="15"/>
              </w:rPr>
              <w:t>.</w:t>
            </w:r>
            <w:r w:rsidRPr="003003C0">
              <w:rPr>
                <w:color w:val="000000"/>
                <w:sz w:val="15"/>
                <w:szCs w:val="15"/>
              </w:rPr>
              <w:t>7</w:t>
            </w:r>
          </w:p>
        </w:tc>
        <w:tc>
          <w:tcPr>
            <w:tcW w:w="1062" w:type="pct"/>
            <w:shd w:val="clear" w:color="auto" w:fill="C9DED4"/>
            <w:noWrap/>
            <w:hideMark/>
          </w:tcPr>
          <w:p w14:paraId="6A1D5819" w14:textId="77777777" w:rsidR="004F64EF" w:rsidRPr="003003C0" w:rsidRDefault="004F64EF" w:rsidP="001F3C85">
            <w:pPr>
              <w:ind w:right="510"/>
              <w:jc w:val="right"/>
              <w:rPr>
                <w:sz w:val="15"/>
                <w:szCs w:val="15"/>
              </w:rPr>
            </w:pPr>
            <w:r w:rsidRPr="003003C0">
              <w:rPr>
                <w:sz w:val="15"/>
                <w:szCs w:val="15"/>
              </w:rPr>
              <w:t>20 - 99</w:t>
            </w:r>
          </w:p>
        </w:tc>
      </w:tr>
      <w:tr w:rsidR="004F64EF" w:rsidRPr="003003C0" w14:paraId="5A0FF623" w14:textId="77777777" w:rsidTr="001F3C85">
        <w:trPr>
          <w:cantSplit/>
        </w:trPr>
        <w:tc>
          <w:tcPr>
            <w:tcW w:w="1333" w:type="pct"/>
            <w:shd w:val="clear" w:color="auto" w:fill="auto"/>
            <w:noWrap/>
            <w:hideMark/>
          </w:tcPr>
          <w:p w14:paraId="0F77FDF8" w14:textId="77777777" w:rsidR="004F64EF" w:rsidRPr="003003C0" w:rsidRDefault="004F64EF" w:rsidP="001F3C85">
            <w:pPr>
              <w:tabs>
                <w:tab w:val="left" w:pos="170"/>
              </w:tabs>
              <w:jc w:val="left"/>
              <w:rPr>
                <w:color w:val="000000"/>
                <w:sz w:val="15"/>
                <w:szCs w:val="15"/>
              </w:rPr>
            </w:pPr>
            <w:r w:rsidRPr="003003C0">
              <w:rPr>
                <w:color w:val="000000"/>
                <w:sz w:val="15"/>
                <w:szCs w:val="15"/>
              </w:rPr>
              <w:t xml:space="preserve"> - </w:t>
            </w:r>
            <w:r w:rsidRPr="00C13383">
              <w:rPr>
                <w:color w:val="000000"/>
                <w:sz w:val="15"/>
                <w:szCs w:val="15"/>
              </w:rPr>
              <w:t>Coffee and tea</w:t>
            </w:r>
          </w:p>
        </w:tc>
        <w:tc>
          <w:tcPr>
            <w:tcW w:w="630" w:type="pct"/>
            <w:shd w:val="clear" w:color="auto" w:fill="auto"/>
            <w:noWrap/>
            <w:hideMark/>
          </w:tcPr>
          <w:p w14:paraId="0956DEDA" w14:textId="77777777" w:rsidR="004F64EF" w:rsidRPr="003003C0" w:rsidRDefault="004F64EF" w:rsidP="001F3C85">
            <w:pPr>
              <w:jc w:val="right"/>
              <w:rPr>
                <w:color w:val="000000"/>
                <w:sz w:val="15"/>
                <w:szCs w:val="15"/>
              </w:rPr>
            </w:pPr>
            <w:r w:rsidRPr="003003C0">
              <w:rPr>
                <w:color w:val="000000"/>
                <w:sz w:val="15"/>
                <w:szCs w:val="15"/>
              </w:rPr>
              <w:t>28</w:t>
            </w:r>
          </w:p>
        </w:tc>
        <w:tc>
          <w:tcPr>
            <w:tcW w:w="593" w:type="pct"/>
            <w:shd w:val="clear" w:color="auto" w:fill="auto"/>
            <w:noWrap/>
            <w:hideMark/>
          </w:tcPr>
          <w:p w14:paraId="64B00DCF" w14:textId="77777777" w:rsidR="004F64EF" w:rsidRPr="003003C0" w:rsidRDefault="004F64EF" w:rsidP="001F3C85">
            <w:pPr>
              <w:ind w:right="284"/>
              <w:jc w:val="right"/>
              <w:rPr>
                <w:color w:val="000000"/>
                <w:sz w:val="15"/>
                <w:szCs w:val="15"/>
              </w:rPr>
            </w:pPr>
            <w:r w:rsidRPr="003003C0">
              <w:rPr>
                <w:color w:val="000000"/>
                <w:sz w:val="15"/>
                <w:szCs w:val="15"/>
              </w:rPr>
              <w:t>17</w:t>
            </w:r>
            <w:r>
              <w:rPr>
                <w:color w:val="000000"/>
                <w:sz w:val="15"/>
                <w:szCs w:val="15"/>
              </w:rPr>
              <w:t>.</w:t>
            </w:r>
            <w:r w:rsidRPr="003003C0">
              <w:rPr>
                <w:color w:val="000000"/>
                <w:sz w:val="15"/>
                <w:szCs w:val="15"/>
              </w:rPr>
              <w:t>8</w:t>
            </w:r>
          </w:p>
        </w:tc>
        <w:tc>
          <w:tcPr>
            <w:tcW w:w="586" w:type="pct"/>
            <w:shd w:val="clear" w:color="auto" w:fill="auto"/>
            <w:noWrap/>
            <w:hideMark/>
          </w:tcPr>
          <w:p w14:paraId="510EBC61" w14:textId="77777777" w:rsidR="004F64EF" w:rsidRPr="003003C0" w:rsidRDefault="004F64EF" w:rsidP="001F3C85">
            <w:pPr>
              <w:jc w:val="center"/>
              <w:rPr>
                <w:color w:val="000000"/>
                <w:sz w:val="15"/>
                <w:szCs w:val="15"/>
              </w:rPr>
            </w:pPr>
            <w:r w:rsidRPr="003003C0">
              <w:rPr>
                <w:color w:val="000000"/>
                <w:sz w:val="15"/>
                <w:szCs w:val="15"/>
              </w:rPr>
              <w:t>0 - 20</w:t>
            </w:r>
          </w:p>
        </w:tc>
        <w:tc>
          <w:tcPr>
            <w:tcW w:w="796" w:type="pct"/>
            <w:shd w:val="clear" w:color="auto" w:fill="auto"/>
            <w:noWrap/>
            <w:hideMark/>
          </w:tcPr>
          <w:p w14:paraId="3D5DAA95" w14:textId="77777777" w:rsidR="004F64EF" w:rsidRPr="003003C0" w:rsidRDefault="004F64EF" w:rsidP="001F3C85">
            <w:pPr>
              <w:ind w:right="454"/>
              <w:jc w:val="right"/>
              <w:rPr>
                <w:color w:val="000000"/>
                <w:sz w:val="15"/>
                <w:szCs w:val="15"/>
              </w:rPr>
            </w:pPr>
            <w:r w:rsidRPr="003003C0">
              <w:rPr>
                <w:color w:val="000000"/>
                <w:sz w:val="15"/>
                <w:szCs w:val="15"/>
              </w:rPr>
              <w:t>0</w:t>
            </w:r>
            <w:r>
              <w:rPr>
                <w:color w:val="000000"/>
                <w:sz w:val="15"/>
                <w:szCs w:val="15"/>
              </w:rPr>
              <w:t>.</w:t>
            </w:r>
            <w:r w:rsidRPr="003003C0">
              <w:rPr>
                <w:color w:val="000000"/>
                <w:sz w:val="15"/>
                <w:szCs w:val="15"/>
              </w:rPr>
              <w:t>2</w:t>
            </w:r>
          </w:p>
        </w:tc>
        <w:tc>
          <w:tcPr>
            <w:tcW w:w="1062" w:type="pct"/>
            <w:shd w:val="clear" w:color="auto" w:fill="auto"/>
            <w:noWrap/>
            <w:hideMark/>
          </w:tcPr>
          <w:p w14:paraId="4D65EBB2" w14:textId="77777777" w:rsidR="004F64EF" w:rsidRPr="003003C0" w:rsidRDefault="004F64EF" w:rsidP="001F3C85">
            <w:pPr>
              <w:ind w:right="510"/>
              <w:jc w:val="right"/>
              <w:rPr>
                <w:sz w:val="15"/>
                <w:szCs w:val="15"/>
              </w:rPr>
            </w:pPr>
            <w:r w:rsidRPr="003003C0">
              <w:rPr>
                <w:sz w:val="15"/>
                <w:szCs w:val="15"/>
              </w:rPr>
              <w:t>40 - 40</w:t>
            </w:r>
          </w:p>
        </w:tc>
      </w:tr>
      <w:tr w:rsidR="004F64EF" w:rsidRPr="003003C0" w14:paraId="2628C4FE" w14:textId="77777777" w:rsidTr="001F3C85">
        <w:trPr>
          <w:cantSplit/>
        </w:trPr>
        <w:tc>
          <w:tcPr>
            <w:tcW w:w="1333" w:type="pct"/>
            <w:shd w:val="clear" w:color="auto" w:fill="C9DED4"/>
            <w:noWrap/>
            <w:hideMark/>
          </w:tcPr>
          <w:p w14:paraId="31627AD3" w14:textId="77777777" w:rsidR="004F64EF" w:rsidRPr="003003C0" w:rsidRDefault="004F64EF" w:rsidP="00B96E04">
            <w:pPr>
              <w:tabs>
                <w:tab w:val="left" w:pos="170"/>
              </w:tabs>
              <w:ind w:left="170" w:hanging="170"/>
              <w:jc w:val="left"/>
              <w:rPr>
                <w:color w:val="000000"/>
                <w:sz w:val="15"/>
                <w:szCs w:val="15"/>
              </w:rPr>
            </w:pPr>
            <w:r w:rsidRPr="003003C0">
              <w:rPr>
                <w:color w:val="000000"/>
                <w:sz w:val="15"/>
                <w:szCs w:val="15"/>
              </w:rPr>
              <w:t xml:space="preserve"> - </w:t>
            </w:r>
            <w:r w:rsidRPr="00C13383">
              <w:rPr>
                <w:color w:val="000000"/>
                <w:sz w:val="15"/>
                <w:szCs w:val="15"/>
              </w:rPr>
              <w:t>Cereals and cereal preparations</w:t>
            </w:r>
          </w:p>
        </w:tc>
        <w:tc>
          <w:tcPr>
            <w:tcW w:w="630" w:type="pct"/>
            <w:shd w:val="clear" w:color="auto" w:fill="C9DED4"/>
            <w:noWrap/>
            <w:hideMark/>
          </w:tcPr>
          <w:p w14:paraId="2A0ECFE3" w14:textId="77777777" w:rsidR="004F64EF" w:rsidRPr="003003C0" w:rsidRDefault="004F64EF" w:rsidP="001F3C85">
            <w:pPr>
              <w:jc w:val="right"/>
              <w:rPr>
                <w:color w:val="000000"/>
                <w:sz w:val="15"/>
                <w:szCs w:val="15"/>
              </w:rPr>
            </w:pPr>
            <w:r w:rsidRPr="003003C0">
              <w:rPr>
                <w:color w:val="000000"/>
                <w:sz w:val="15"/>
                <w:szCs w:val="15"/>
              </w:rPr>
              <w:t>122</w:t>
            </w:r>
          </w:p>
        </w:tc>
        <w:tc>
          <w:tcPr>
            <w:tcW w:w="593" w:type="pct"/>
            <w:shd w:val="clear" w:color="auto" w:fill="C9DED4"/>
            <w:noWrap/>
            <w:hideMark/>
          </w:tcPr>
          <w:p w14:paraId="154A0C23" w14:textId="77777777" w:rsidR="004F64EF" w:rsidRPr="003003C0" w:rsidRDefault="004F64EF" w:rsidP="001F3C85">
            <w:pPr>
              <w:ind w:right="284"/>
              <w:jc w:val="right"/>
              <w:rPr>
                <w:color w:val="000000"/>
                <w:sz w:val="15"/>
                <w:szCs w:val="15"/>
              </w:rPr>
            </w:pPr>
            <w:r w:rsidRPr="003003C0">
              <w:rPr>
                <w:color w:val="000000"/>
                <w:sz w:val="15"/>
                <w:szCs w:val="15"/>
              </w:rPr>
              <w:t>12</w:t>
            </w:r>
            <w:r>
              <w:rPr>
                <w:color w:val="000000"/>
                <w:sz w:val="15"/>
                <w:szCs w:val="15"/>
              </w:rPr>
              <w:t>.</w:t>
            </w:r>
            <w:r w:rsidRPr="003003C0">
              <w:rPr>
                <w:color w:val="000000"/>
                <w:sz w:val="15"/>
                <w:szCs w:val="15"/>
              </w:rPr>
              <w:t>9</w:t>
            </w:r>
          </w:p>
        </w:tc>
        <w:tc>
          <w:tcPr>
            <w:tcW w:w="586" w:type="pct"/>
            <w:shd w:val="clear" w:color="auto" w:fill="C9DED4"/>
            <w:noWrap/>
            <w:hideMark/>
          </w:tcPr>
          <w:p w14:paraId="54C057EE" w14:textId="77777777" w:rsidR="004F64EF" w:rsidRPr="003003C0" w:rsidRDefault="004F64EF" w:rsidP="001F3C85">
            <w:pPr>
              <w:jc w:val="center"/>
              <w:rPr>
                <w:color w:val="000000"/>
                <w:sz w:val="15"/>
                <w:szCs w:val="15"/>
              </w:rPr>
            </w:pPr>
            <w:r w:rsidRPr="003003C0">
              <w:rPr>
                <w:color w:val="000000"/>
                <w:sz w:val="15"/>
                <w:szCs w:val="15"/>
              </w:rPr>
              <w:t>0 - 99</w:t>
            </w:r>
          </w:p>
        </w:tc>
        <w:tc>
          <w:tcPr>
            <w:tcW w:w="796" w:type="pct"/>
            <w:shd w:val="clear" w:color="auto" w:fill="C9DED4"/>
            <w:noWrap/>
            <w:hideMark/>
          </w:tcPr>
          <w:p w14:paraId="71FA2EA8" w14:textId="77777777" w:rsidR="004F64EF" w:rsidRPr="003003C0" w:rsidRDefault="004F64EF" w:rsidP="001F3C85">
            <w:pPr>
              <w:ind w:right="454"/>
              <w:jc w:val="right"/>
              <w:rPr>
                <w:color w:val="000000"/>
                <w:sz w:val="15"/>
                <w:szCs w:val="15"/>
              </w:rPr>
            </w:pPr>
            <w:r w:rsidRPr="003003C0">
              <w:rPr>
                <w:color w:val="000000"/>
                <w:sz w:val="15"/>
                <w:szCs w:val="15"/>
              </w:rPr>
              <w:t>1</w:t>
            </w:r>
            <w:r>
              <w:rPr>
                <w:color w:val="000000"/>
                <w:sz w:val="15"/>
                <w:szCs w:val="15"/>
              </w:rPr>
              <w:t>.</w:t>
            </w:r>
            <w:r w:rsidRPr="003003C0">
              <w:rPr>
                <w:color w:val="000000"/>
                <w:sz w:val="15"/>
                <w:szCs w:val="15"/>
              </w:rPr>
              <w:t>4</w:t>
            </w:r>
          </w:p>
        </w:tc>
        <w:tc>
          <w:tcPr>
            <w:tcW w:w="1062" w:type="pct"/>
            <w:shd w:val="clear" w:color="auto" w:fill="C9DED4"/>
            <w:noWrap/>
            <w:hideMark/>
          </w:tcPr>
          <w:p w14:paraId="25DCE422" w14:textId="77777777" w:rsidR="004F64EF" w:rsidRPr="003003C0" w:rsidRDefault="004F64EF" w:rsidP="001F3C85">
            <w:pPr>
              <w:ind w:right="510"/>
              <w:jc w:val="right"/>
              <w:rPr>
                <w:sz w:val="15"/>
                <w:szCs w:val="15"/>
              </w:rPr>
            </w:pPr>
            <w:r w:rsidRPr="003003C0">
              <w:rPr>
                <w:sz w:val="15"/>
                <w:szCs w:val="15"/>
              </w:rPr>
              <w:t>5 - 99</w:t>
            </w:r>
          </w:p>
        </w:tc>
      </w:tr>
      <w:tr w:rsidR="004F64EF" w:rsidRPr="003003C0" w14:paraId="50F6BFA8" w14:textId="77777777" w:rsidTr="001F3C85">
        <w:trPr>
          <w:cantSplit/>
        </w:trPr>
        <w:tc>
          <w:tcPr>
            <w:tcW w:w="1333" w:type="pct"/>
            <w:shd w:val="clear" w:color="auto" w:fill="auto"/>
            <w:noWrap/>
            <w:hideMark/>
          </w:tcPr>
          <w:p w14:paraId="051A198C" w14:textId="77777777" w:rsidR="004F64EF" w:rsidRPr="003003C0" w:rsidRDefault="004F64EF" w:rsidP="00B96E04">
            <w:pPr>
              <w:tabs>
                <w:tab w:val="left" w:pos="170"/>
              </w:tabs>
              <w:ind w:left="170" w:hanging="170"/>
              <w:jc w:val="left"/>
              <w:rPr>
                <w:color w:val="000000"/>
                <w:sz w:val="15"/>
                <w:szCs w:val="15"/>
              </w:rPr>
            </w:pPr>
            <w:r w:rsidRPr="003003C0">
              <w:rPr>
                <w:color w:val="000000"/>
                <w:sz w:val="15"/>
                <w:szCs w:val="15"/>
              </w:rPr>
              <w:t xml:space="preserve"> - </w:t>
            </w:r>
            <w:r w:rsidRPr="00C13383">
              <w:rPr>
                <w:color w:val="000000"/>
                <w:sz w:val="15"/>
                <w:szCs w:val="15"/>
              </w:rPr>
              <w:t>Oilseeds, fats and oils and their products</w:t>
            </w:r>
          </w:p>
        </w:tc>
        <w:tc>
          <w:tcPr>
            <w:tcW w:w="630" w:type="pct"/>
            <w:shd w:val="clear" w:color="auto" w:fill="auto"/>
            <w:noWrap/>
            <w:hideMark/>
          </w:tcPr>
          <w:p w14:paraId="5552B818" w14:textId="77777777" w:rsidR="004F64EF" w:rsidRPr="003003C0" w:rsidRDefault="004F64EF" w:rsidP="001F3C85">
            <w:pPr>
              <w:jc w:val="right"/>
              <w:rPr>
                <w:color w:val="000000"/>
                <w:sz w:val="15"/>
                <w:szCs w:val="15"/>
              </w:rPr>
            </w:pPr>
            <w:r w:rsidRPr="003003C0">
              <w:rPr>
                <w:color w:val="000000"/>
                <w:sz w:val="15"/>
                <w:szCs w:val="15"/>
              </w:rPr>
              <w:t>105</w:t>
            </w:r>
          </w:p>
        </w:tc>
        <w:tc>
          <w:tcPr>
            <w:tcW w:w="593" w:type="pct"/>
            <w:shd w:val="clear" w:color="auto" w:fill="auto"/>
            <w:noWrap/>
            <w:hideMark/>
          </w:tcPr>
          <w:p w14:paraId="616D5F50" w14:textId="77777777" w:rsidR="004F64EF" w:rsidRPr="003003C0" w:rsidRDefault="004F64EF" w:rsidP="001F3C85">
            <w:pPr>
              <w:ind w:right="284"/>
              <w:jc w:val="right"/>
              <w:rPr>
                <w:color w:val="000000"/>
                <w:sz w:val="15"/>
                <w:szCs w:val="15"/>
              </w:rPr>
            </w:pPr>
            <w:r w:rsidRPr="003003C0">
              <w:rPr>
                <w:color w:val="000000"/>
                <w:sz w:val="15"/>
                <w:szCs w:val="15"/>
              </w:rPr>
              <w:t>4</w:t>
            </w:r>
            <w:r>
              <w:rPr>
                <w:color w:val="000000"/>
                <w:sz w:val="15"/>
                <w:szCs w:val="15"/>
              </w:rPr>
              <w:t>.</w:t>
            </w:r>
            <w:r w:rsidRPr="003003C0">
              <w:rPr>
                <w:color w:val="000000"/>
                <w:sz w:val="15"/>
                <w:szCs w:val="15"/>
              </w:rPr>
              <w:t>4</w:t>
            </w:r>
          </w:p>
        </w:tc>
        <w:tc>
          <w:tcPr>
            <w:tcW w:w="586" w:type="pct"/>
            <w:shd w:val="clear" w:color="auto" w:fill="auto"/>
            <w:noWrap/>
            <w:hideMark/>
          </w:tcPr>
          <w:p w14:paraId="3BEE5DCC" w14:textId="77777777" w:rsidR="004F64EF" w:rsidRPr="003003C0" w:rsidRDefault="004F64EF" w:rsidP="001F3C85">
            <w:pPr>
              <w:jc w:val="center"/>
              <w:rPr>
                <w:color w:val="000000"/>
                <w:sz w:val="15"/>
                <w:szCs w:val="15"/>
              </w:rPr>
            </w:pPr>
            <w:r w:rsidRPr="003003C0">
              <w:rPr>
                <w:color w:val="000000"/>
                <w:sz w:val="15"/>
                <w:szCs w:val="15"/>
              </w:rPr>
              <w:t>0 - 40</w:t>
            </w:r>
          </w:p>
        </w:tc>
        <w:tc>
          <w:tcPr>
            <w:tcW w:w="796" w:type="pct"/>
            <w:shd w:val="clear" w:color="auto" w:fill="auto"/>
            <w:noWrap/>
            <w:hideMark/>
          </w:tcPr>
          <w:p w14:paraId="42913DDD" w14:textId="77777777" w:rsidR="004F64EF" w:rsidRPr="003003C0" w:rsidRDefault="004F64EF" w:rsidP="001F3C85">
            <w:pPr>
              <w:ind w:right="454"/>
              <w:jc w:val="right"/>
              <w:rPr>
                <w:color w:val="000000"/>
                <w:sz w:val="15"/>
                <w:szCs w:val="15"/>
              </w:rPr>
            </w:pPr>
            <w:r w:rsidRPr="003003C0">
              <w:rPr>
                <w:color w:val="000000"/>
                <w:sz w:val="15"/>
                <w:szCs w:val="15"/>
              </w:rPr>
              <w:t>2</w:t>
            </w:r>
            <w:r>
              <w:rPr>
                <w:color w:val="000000"/>
                <w:sz w:val="15"/>
                <w:szCs w:val="15"/>
              </w:rPr>
              <w:t>.</w:t>
            </w:r>
            <w:r w:rsidRPr="003003C0">
              <w:rPr>
                <w:color w:val="000000"/>
                <w:sz w:val="15"/>
                <w:szCs w:val="15"/>
              </w:rPr>
              <w:t>0</w:t>
            </w:r>
          </w:p>
        </w:tc>
        <w:tc>
          <w:tcPr>
            <w:tcW w:w="1062" w:type="pct"/>
            <w:shd w:val="clear" w:color="auto" w:fill="auto"/>
            <w:noWrap/>
            <w:hideMark/>
          </w:tcPr>
          <w:p w14:paraId="58FF308F" w14:textId="77777777" w:rsidR="004F64EF" w:rsidRPr="003003C0" w:rsidRDefault="004F64EF" w:rsidP="001F3C85">
            <w:pPr>
              <w:ind w:right="510"/>
              <w:jc w:val="right"/>
              <w:rPr>
                <w:sz w:val="15"/>
                <w:szCs w:val="15"/>
              </w:rPr>
            </w:pPr>
            <w:r w:rsidRPr="003003C0">
              <w:rPr>
                <w:sz w:val="15"/>
                <w:szCs w:val="15"/>
              </w:rPr>
              <w:t>10 - 40</w:t>
            </w:r>
          </w:p>
        </w:tc>
      </w:tr>
      <w:tr w:rsidR="004F64EF" w:rsidRPr="003003C0" w14:paraId="295283E7" w14:textId="77777777" w:rsidTr="001F3C85">
        <w:trPr>
          <w:cantSplit/>
        </w:trPr>
        <w:tc>
          <w:tcPr>
            <w:tcW w:w="1333" w:type="pct"/>
            <w:shd w:val="clear" w:color="auto" w:fill="C9DED4"/>
            <w:noWrap/>
            <w:hideMark/>
          </w:tcPr>
          <w:p w14:paraId="2523647A" w14:textId="77777777" w:rsidR="004F64EF" w:rsidRPr="003003C0" w:rsidRDefault="004F64EF" w:rsidP="001F3C85">
            <w:pPr>
              <w:tabs>
                <w:tab w:val="left" w:pos="170"/>
              </w:tabs>
              <w:jc w:val="left"/>
              <w:rPr>
                <w:color w:val="000000"/>
                <w:sz w:val="15"/>
                <w:szCs w:val="15"/>
              </w:rPr>
            </w:pPr>
            <w:r w:rsidRPr="003003C0">
              <w:rPr>
                <w:color w:val="000000"/>
                <w:sz w:val="15"/>
                <w:szCs w:val="15"/>
              </w:rPr>
              <w:t xml:space="preserve"> - </w:t>
            </w:r>
            <w:r w:rsidRPr="00C13383">
              <w:rPr>
                <w:color w:val="000000"/>
                <w:sz w:val="15"/>
                <w:szCs w:val="15"/>
              </w:rPr>
              <w:t>Sugar and confectionery</w:t>
            </w:r>
          </w:p>
        </w:tc>
        <w:tc>
          <w:tcPr>
            <w:tcW w:w="630" w:type="pct"/>
            <w:shd w:val="clear" w:color="auto" w:fill="C9DED4"/>
            <w:noWrap/>
            <w:hideMark/>
          </w:tcPr>
          <w:p w14:paraId="59D26AFE" w14:textId="77777777" w:rsidR="004F64EF" w:rsidRPr="003003C0" w:rsidRDefault="004F64EF" w:rsidP="001F3C85">
            <w:pPr>
              <w:jc w:val="right"/>
              <w:rPr>
                <w:color w:val="000000"/>
                <w:sz w:val="15"/>
                <w:szCs w:val="15"/>
              </w:rPr>
            </w:pPr>
            <w:r w:rsidRPr="003003C0">
              <w:rPr>
                <w:color w:val="000000"/>
                <w:sz w:val="15"/>
                <w:szCs w:val="15"/>
              </w:rPr>
              <w:t>32</w:t>
            </w:r>
          </w:p>
        </w:tc>
        <w:tc>
          <w:tcPr>
            <w:tcW w:w="593" w:type="pct"/>
            <w:shd w:val="clear" w:color="auto" w:fill="C9DED4"/>
            <w:noWrap/>
            <w:hideMark/>
          </w:tcPr>
          <w:p w14:paraId="785F87D5" w14:textId="77777777" w:rsidR="004F64EF" w:rsidRPr="003003C0" w:rsidRDefault="004F64EF" w:rsidP="001F3C85">
            <w:pPr>
              <w:ind w:right="284"/>
              <w:jc w:val="right"/>
              <w:rPr>
                <w:color w:val="000000"/>
                <w:sz w:val="15"/>
                <w:szCs w:val="15"/>
              </w:rPr>
            </w:pPr>
            <w:r w:rsidRPr="003003C0">
              <w:rPr>
                <w:color w:val="000000"/>
                <w:sz w:val="15"/>
                <w:szCs w:val="15"/>
              </w:rPr>
              <w:t>24</w:t>
            </w:r>
            <w:r>
              <w:rPr>
                <w:color w:val="000000"/>
                <w:sz w:val="15"/>
                <w:szCs w:val="15"/>
              </w:rPr>
              <w:t>.</w:t>
            </w:r>
            <w:r w:rsidRPr="003003C0">
              <w:rPr>
                <w:color w:val="000000"/>
                <w:sz w:val="15"/>
                <w:szCs w:val="15"/>
              </w:rPr>
              <w:t>2</w:t>
            </w:r>
          </w:p>
        </w:tc>
        <w:tc>
          <w:tcPr>
            <w:tcW w:w="586" w:type="pct"/>
            <w:shd w:val="clear" w:color="auto" w:fill="C9DED4"/>
            <w:noWrap/>
            <w:hideMark/>
          </w:tcPr>
          <w:p w14:paraId="03EAF65C" w14:textId="77777777" w:rsidR="004F64EF" w:rsidRPr="003003C0" w:rsidRDefault="004F64EF" w:rsidP="001F3C85">
            <w:pPr>
              <w:jc w:val="center"/>
              <w:rPr>
                <w:color w:val="000000"/>
                <w:sz w:val="15"/>
                <w:szCs w:val="15"/>
              </w:rPr>
            </w:pPr>
            <w:r w:rsidRPr="003003C0">
              <w:rPr>
                <w:color w:val="000000"/>
                <w:sz w:val="15"/>
                <w:szCs w:val="15"/>
              </w:rPr>
              <w:t>0 - 85</w:t>
            </w:r>
          </w:p>
        </w:tc>
        <w:tc>
          <w:tcPr>
            <w:tcW w:w="796" w:type="pct"/>
            <w:shd w:val="clear" w:color="auto" w:fill="C9DED4"/>
            <w:noWrap/>
            <w:hideMark/>
          </w:tcPr>
          <w:p w14:paraId="67F9E430" w14:textId="77777777" w:rsidR="004F64EF" w:rsidRPr="003003C0" w:rsidRDefault="004F64EF" w:rsidP="001F3C85">
            <w:pPr>
              <w:ind w:right="454"/>
              <w:jc w:val="right"/>
              <w:rPr>
                <w:color w:val="000000"/>
                <w:sz w:val="15"/>
                <w:szCs w:val="15"/>
              </w:rPr>
            </w:pPr>
            <w:r w:rsidRPr="003003C0">
              <w:rPr>
                <w:color w:val="000000"/>
                <w:sz w:val="15"/>
                <w:szCs w:val="15"/>
              </w:rPr>
              <w:t>1</w:t>
            </w:r>
            <w:r>
              <w:rPr>
                <w:color w:val="000000"/>
                <w:sz w:val="15"/>
                <w:szCs w:val="15"/>
              </w:rPr>
              <w:t>.</w:t>
            </w:r>
            <w:r w:rsidRPr="003003C0">
              <w:rPr>
                <w:color w:val="000000"/>
                <w:sz w:val="15"/>
                <w:szCs w:val="15"/>
              </w:rPr>
              <w:t>1</w:t>
            </w:r>
          </w:p>
        </w:tc>
        <w:tc>
          <w:tcPr>
            <w:tcW w:w="1062" w:type="pct"/>
            <w:shd w:val="clear" w:color="auto" w:fill="C9DED4"/>
            <w:noWrap/>
            <w:hideMark/>
          </w:tcPr>
          <w:p w14:paraId="78B3EB30" w14:textId="77777777" w:rsidR="004F64EF" w:rsidRPr="003003C0" w:rsidRDefault="004F64EF" w:rsidP="001F3C85">
            <w:pPr>
              <w:ind w:right="510"/>
              <w:jc w:val="right"/>
              <w:rPr>
                <w:sz w:val="15"/>
                <w:szCs w:val="15"/>
              </w:rPr>
            </w:pPr>
            <w:r w:rsidRPr="003003C0">
              <w:rPr>
                <w:sz w:val="15"/>
                <w:szCs w:val="15"/>
              </w:rPr>
              <w:t>30 - 85</w:t>
            </w:r>
          </w:p>
        </w:tc>
      </w:tr>
      <w:tr w:rsidR="004F64EF" w:rsidRPr="003003C0" w14:paraId="710771F4" w14:textId="77777777" w:rsidTr="001F3C85">
        <w:trPr>
          <w:cantSplit/>
        </w:trPr>
        <w:tc>
          <w:tcPr>
            <w:tcW w:w="1333" w:type="pct"/>
            <w:shd w:val="clear" w:color="auto" w:fill="auto"/>
            <w:noWrap/>
            <w:hideMark/>
          </w:tcPr>
          <w:p w14:paraId="5D9B0B4F" w14:textId="77777777" w:rsidR="004F64EF" w:rsidRPr="003003C0" w:rsidRDefault="004F64EF" w:rsidP="00B96E04">
            <w:pPr>
              <w:tabs>
                <w:tab w:val="left" w:pos="170"/>
              </w:tabs>
              <w:ind w:left="170" w:hanging="170"/>
              <w:jc w:val="left"/>
              <w:rPr>
                <w:color w:val="000000"/>
                <w:sz w:val="15"/>
                <w:szCs w:val="15"/>
              </w:rPr>
            </w:pPr>
            <w:r w:rsidRPr="003003C0">
              <w:rPr>
                <w:color w:val="000000"/>
                <w:sz w:val="15"/>
                <w:szCs w:val="15"/>
              </w:rPr>
              <w:t xml:space="preserve"> - </w:t>
            </w:r>
            <w:r w:rsidRPr="00C13383">
              <w:rPr>
                <w:color w:val="000000"/>
                <w:sz w:val="15"/>
                <w:szCs w:val="15"/>
              </w:rPr>
              <w:t>Beverages, alcohol and tobacco</w:t>
            </w:r>
          </w:p>
        </w:tc>
        <w:tc>
          <w:tcPr>
            <w:tcW w:w="630" w:type="pct"/>
            <w:shd w:val="clear" w:color="auto" w:fill="auto"/>
            <w:noWrap/>
            <w:hideMark/>
          </w:tcPr>
          <w:p w14:paraId="200DC01A" w14:textId="77777777" w:rsidR="004F64EF" w:rsidRPr="003003C0" w:rsidRDefault="004F64EF" w:rsidP="001F3C85">
            <w:pPr>
              <w:jc w:val="right"/>
              <w:rPr>
                <w:color w:val="000000"/>
                <w:sz w:val="15"/>
                <w:szCs w:val="15"/>
              </w:rPr>
            </w:pPr>
            <w:r w:rsidRPr="003003C0">
              <w:rPr>
                <w:color w:val="000000"/>
                <w:sz w:val="15"/>
                <w:szCs w:val="15"/>
              </w:rPr>
              <w:t>94</w:t>
            </w:r>
          </w:p>
        </w:tc>
        <w:tc>
          <w:tcPr>
            <w:tcW w:w="593" w:type="pct"/>
            <w:shd w:val="clear" w:color="auto" w:fill="auto"/>
            <w:noWrap/>
            <w:hideMark/>
          </w:tcPr>
          <w:p w14:paraId="4A8F5639" w14:textId="77777777" w:rsidR="004F64EF" w:rsidRPr="003003C0" w:rsidRDefault="004F64EF" w:rsidP="001F3C85">
            <w:pPr>
              <w:ind w:right="284"/>
              <w:jc w:val="right"/>
              <w:rPr>
                <w:color w:val="000000"/>
                <w:sz w:val="15"/>
                <w:szCs w:val="15"/>
              </w:rPr>
            </w:pPr>
            <w:r w:rsidRPr="003003C0">
              <w:rPr>
                <w:color w:val="000000"/>
                <w:sz w:val="15"/>
                <w:szCs w:val="15"/>
              </w:rPr>
              <w:t>17</w:t>
            </w:r>
            <w:r>
              <w:rPr>
                <w:color w:val="000000"/>
                <w:sz w:val="15"/>
                <w:szCs w:val="15"/>
              </w:rPr>
              <w:t>.</w:t>
            </w:r>
            <w:r w:rsidRPr="003003C0">
              <w:rPr>
                <w:color w:val="000000"/>
                <w:sz w:val="15"/>
                <w:szCs w:val="15"/>
              </w:rPr>
              <w:t>6</w:t>
            </w:r>
          </w:p>
        </w:tc>
        <w:tc>
          <w:tcPr>
            <w:tcW w:w="586" w:type="pct"/>
            <w:shd w:val="clear" w:color="auto" w:fill="auto"/>
            <w:noWrap/>
            <w:hideMark/>
          </w:tcPr>
          <w:p w14:paraId="77EBAC0F" w14:textId="77777777" w:rsidR="004F64EF" w:rsidRPr="003003C0" w:rsidRDefault="004F64EF" w:rsidP="001F3C85">
            <w:pPr>
              <w:jc w:val="center"/>
              <w:rPr>
                <w:color w:val="000000"/>
                <w:sz w:val="15"/>
                <w:szCs w:val="15"/>
              </w:rPr>
            </w:pPr>
            <w:r w:rsidRPr="003003C0">
              <w:rPr>
                <w:color w:val="000000"/>
                <w:sz w:val="15"/>
                <w:szCs w:val="15"/>
              </w:rPr>
              <w:t>8 - 20</w:t>
            </w:r>
          </w:p>
        </w:tc>
        <w:tc>
          <w:tcPr>
            <w:tcW w:w="796" w:type="pct"/>
            <w:shd w:val="clear" w:color="auto" w:fill="auto"/>
            <w:noWrap/>
            <w:hideMark/>
          </w:tcPr>
          <w:p w14:paraId="2734B61C" w14:textId="77777777" w:rsidR="004F64EF" w:rsidRPr="003003C0" w:rsidRDefault="004F64EF" w:rsidP="001F3C85">
            <w:pPr>
              <w:ind w:right="454"/>
              <w:jc w:val="right"/>
              <w:rPr>
                <w:color w:val="000000"/>
                <w:sz w:val="15"/>
                <w:szCs w:val="15"/>
              </w:rPr>
            </w:pPr>
            <w:r w:rsidRPr="003003C0">
              <w:rPr>
                <w:color w:val="000000"/>
                <w:sz w:val="15"/>
                <w:szCs w:val="15"/>
              </w:rPr>
              <w:t>0</w:t>
            </w:r>
            <w:r>
              <w:rPr>
                <w:color w:val="000000"/>
                <w:sz w:val="15"/>
                <w:szCs w:val="15"/>
              </w:rPr>
              <w:t>.</w:t>
            </w:r>
            <w:r w:rsidRPr="003003C0">
              <w:rPr>
                <w:color w:val="000000"/>
                <w:sz w:val="15"/>
                <w:szCs w:val="15"/>
              </w:rPr>
              <w:t>2</w:t>
            </w:r>
          </w:p>
        </w:tc>
        <w:tc>
          <w:tcPr>
            <w:tcW w:w="1062" w:type="pct"/>
            <w:shd w:val="clear" w:color="auto" w:fill="auto"/>
            <w:noWrap/>
            <w:hideMark/>
          </w:tcPr>
          <w:p w14:paraId="2C3B10FD" w14:textId="77777777" w:rsidR="004F64EF" w:rsidRPr="003003C0" w:rsidRDefault="004F64EF" w:rsidP="001F3C85">
            <w:pPr>
              <w:ind w:right="510"/>
              <w:jc w:val="right"/>
              <w:rPr>
                <w:sz w:val="15"/>
                <w:szCs w:val="15"/>
              </w:rPr>
            </w:pPr>
            <w:r w:rsidRPr="003003C0">
              <w:rPr>
                <w:sz w:val="15"/>
                <w:szCs w:val="15"/>
              </w:rPr>
              <w:t>30 - 40</w:t>
            </w:r>
          </w:p>
        </w:tc>
      </w:tr>
      <w:tr w:rsidR="004F64EF" w:rsidRPr="003003C0" w14:paraId="103694A3" w14:textId="77777777" w:rsidTr="001F3C85">
        <w:trPr>
          <w:cantSplit/>
        </w:trPr>
        <w:tc>
          <w:tcPr>
            <w:tcW w:w="1333" w:type="pct"/>
            <w:shd w:val="clear" w:color="auto" w:fill="C9DED4"/>
            <w:noWrap/>
            <w:hideMark/>
          </w:tcPr>
          <w:p w14:paraId="45AB98BF" w14:textId="77777777" w:rsidR="004F64EF" w:rsidRPr="003003C0" w:rsidRDefault="004F64EF" w:rsidP="001F3C85">
            <w:pPr>
              <w:tabs>
                <w:tab w:val="left" w:pos="170"/>
              </w:tabs>
              <w:jc w:val="left"/>
              <w:rPr>
                <w:color w:val="000000"/>
                <w:sz w:val="15"/>
                <w:szCs w:val="15"/>
              </w:rPr>
            </w:pPr>
            <w:r w:rsidRPr="003003C0">
              <w:rPr>
                <w:color w:val="000000"/>
                <w:sz w:val="15"/>
                <w:szCs w:val="15"/>
              </w:rPr>
              <w:t xml:space="preserve"> - </w:t>
            </w:r>
            <w:r>
              <w:rPr>
                <w:color w:val="000000"/>
                <w:sz w:val="15"/>
                <w:szCs w:val="15"/>
              </w:rPr>
              <w:t>Cotton</w:t>
            </w:r>
          </w:p>
        </w:tc>
        <w:tc>
          <w:tcPr>
            <w:tcW w:w="630" w:type="pct"/>
            <w:shd w:val="clear" w:color="auto" w:fill="C9DED4"/>
            <w:noWrap/>
            <w:hideMark/>
          </w:tcPr>
          <w:p w14:paraId="630FC202" w14:textId="77777777" w:rsidR="004F64EF" w:rsidRPr="003003C0" w:rsidRDefault="004F64EF" w:rsidP="001F3C85">
            <w:pPr>
              <w:jc w:val="right"/>
              <w:rPr>
                <w:color w:val="000000"/>
                <w:sz w:val="15"/>
                <w:szCs w:val="15"/>
              </w:rPr>
            </w:pPr>
            <w:r w:rsidRPr="003003C0">
              <w:rPr>
                <w:color w:val="000000"/>
                <w:sz w:val="15"/>
                <w:szCs w:val="15"/>
              </w:rPr>
              <w:t>5</w:t>
            </w:r>
          </w:p>
        </w:tc>
        <w:tc>
          <w:tcPr>
            <w:tcW w:w="593" w:type="pct"/>
            <w:shd w:val="clear" w:color="auto" w:fill="C9DED4"/>
            <w:noWrap/>
            <w:hideMark/>
          </w:tcPr>
          <w:p w14:paraId="6E92B2C5" w14:textId="77777777" w:rsidR="004F64EF" w:rsidRPr="003003C0" w:rsidRDefault="004F64EF" w:rsidP="001F3C85">
            <w:pPr>
              <w:ind w:right="284"/>
              <w:jc w:val="right"/>
              <w:rPr>
                <w:color w:val="000000"/>
                <w:sz w:val="15"/>
                <w:szCs w:val="15"/>
              </w:rPr>
            </w:pPr>
            <w:r w:rsidRPr="003003C0">
              <w:rPr>
                <w:color w:val="000000"/>
                <w:sz w:val="15"/>
                <w:szCs w:val="15"/>
              </w:rPr>
              <w:t>0</w:t>
            </w:r>
            <w:r>
              <w:rPr>
                <w:color w:val="000000"/>
                <w:sz w:val="15"/>
                <w:szCs w:val="15"/>
              </w:rPr>
              <w:t>.</w:t>
            </w:r>
            <w:r w:rsidRPr="003003C0">
              <w:rPr>
                <w:color w:val="000000"/>
                <w:sz w:val="15"/>
                <w:szCs w:val="15"/>
              </w:rPr>
              <w:t>0</w:t>
            </w:r>
          </w:p>
        </w:tc>
        <w:tc>
          <w:tcPr>
            <w:tcW w:w="586" w:type="pct"/>
            <w:shd w:val="clear" w:color="auto" w:fill="C9DED4"/>
            <w:noWrap/>
            <w:hideMark/>
          </w:tcPr>
          <w:p w14:paraId="0CE12CED" w14:textId="77777777" w:rsidR="004F64EF" w:rsidRPr="003003C0" w:rsidRDefault="004F64EF" w:rsidP="001F3C85">
            <w:pPr>
              <w:jc w:val="center"/>
              <w:rPr>
                <w:color w:val="000000"/>
                <w:sz w:val="15"/>
                <w:szCs w:val="15"/>
              </w:rPr>
            </w:pPr>
            <w:r w:rsidRPr="003003C0">
              <w:rPr>
                <w:color w:val="000000"/>
                <w:sz w:val="15"/>
                <w:szCs w:val="15"/>
              </w:rPr>
              <w:t>0 - 0</w:t>
            </w:r>
          </w:p>
        </w:tc>
        <w:tc>
          <w:tcPr>
            <w:tcW w:w="796" w:type="pct"/>
            <w:shd w:val="clear" w:color="auto" w:fill="C9DED4"/>
            <w:noWrap/>
            <w:hideMark/>
          </w:tcPr>
          <w:p w14:paraId="35852F3B" w14:textId="77777777" w:rsidR="004F64EF" w:rsidRPr="003003C0" w:rsidRDefault="004F64EF" w:rsidP="001F3C85">
            <w:pPr>
              <w:tabs>
                <w:tab w:val="left" w:pos="737"/>
              </w:tabs>
              <w:ind w:right="454"/>
              <w:jc w:val="right"/>
              <w:rPr>
                <w:color w:val="000000"/>
                <w:sz w:val="15"/>
                <w:szCs w:val="15"/>
              </w:rPr>
            </w:pPr>
            <w:r w:rsidRPr="003003C0">
              <w:rPr>
                <w:color w:val="000000"/>
                <w:sz w:val="15"/>
                <w:szCs w:val="15"/>
              </w:rPr>
              <w:t>..</w:t>
            </w:r>
          </w:p>
        </w:tc>
        <w:tc>
          <w:tcPr>
            <w:tcW w:w="1062" w:type="pct"/>
            <w:shd w:val="clear" w:color="auto" w:fill="C9DED4"/>
            <w:noWrap/>
            <w:hideMark/>
          </w:tcPr>
          <w:p w14:paraId="5171A793" w14:textId="77777777" w:rsidR="004F64EF" w:rsidRPr="003003C0" w:rsidRDefault="004F64EF" w:rsidP="001F3C85">
            <w:pPr>
              <w:ind w:right="510"/>
              <w:jc w:val="right"/>
              <w:rPr>
                <w:sz w:val="15"/>
                <w:szCs w:val="15"/>
              </w:rPr>
            </w:pPr>
            <w:r w:rsidRPr="003003C0">
              <w:rPr>
                <w:sz w:val="15"/>
                <w:szCs w:val="15"/>
              </w:rPr>
              <w:t>35 - 35</w:t>
            </w:r>
          </w:p>
        </w:tc>
      </w:tr>
      <w:tr w:rsidR="004F64EF" w:rsidRPr="003003C0" w14:paraId="678C77E1" w14:textId="77777777" w:rsidTr="001F3C85">
        <w:trPr>
          <w:cantSplit/>
        </w:trPr>
        <w:tc>
          <w:tcPr>
            <w:tcW w:w="1333" w:type="pct"/>
            <w:shd w:val="clear" w:color="auto" w:fill="auto"/>
            <w:noWrap/>
            <w:hideMark/>
          </w:tcPr>
          <w:p w14:paraId="18F0E9B7" w14:textId="77777777" w:rsidR="004F64EF" w:rsidRPr="003003C0" w:rsidRDefault="004F64EF" w:rsidP="00B96E04">
            <w:pPr>
              <w:tabs>
                <w:tab w:val="left" w:pos="170"/>
              </w:tabs>
              <w:ind w:left="170" w:hanging="170"/>
              <w:jc w:val="left"/>
              <w:rPr>
                <w:color w:val="000000"/>
                <w:sz w:val="15"/>
                <w:szCs w:val="15"/>
              </w:rPr>
            </w:pPr>
            <w:r w:rsidRPr="003003C0">
              <w:rPr>
                <w:color w:val="000000"/>
                <w:sz w:val="15"/>
                <w:szCs w:val="15"/>
              </w:rPr>
              <w:t xml:space="preserve"> - </w:t>
            </w:r>
            <w:r w:rsidRPr="00C13383">
              <w:rPr>
                <w:color w:val="000000"/>
                <w:sz w:val="15"/>
                <w:szCs w:val="15"/>
              </w:rPr>
              <w:t xml:space="preserve">Other agricultural products </w:t>
            </w:r>
            <w:proofErr w:type="spellStart"/>
            <w:r w:rsidRPr="00C13383">
              <w:rPr>
                <w:color w:val="000000"/>
                <w:sz w:val="15"/>
                <w:szCs w:val="15"/>
              </w:rPr>
              <w:t>n.e.s.</w:t>
            </w:r>
            <w:proofErr w:type="spellEnd"/>
          </w:p>
        </w:tc>
        <w:tc>
          <w:tcPr>
            <w:tcW w:w="630" w:type="pct"/>
            <w:shd w:val="clear" w:color="auto" w:fill="auto"/>
            <w:noWrap/>
            <w:hideMark/>
          </w:tcPr>
          <w:p w14:paraId="6D42C34E" w14:textId="77777777" w:rsidR="004F64EF" w:rsidRPr="003003C0" w:rsidRDefault="004F64EF" w:rsidP="001F3C85">
            <w:pPr>
              <w:jc w:val="right"/>
              <w:rPr>
                <w:color w:val="000000"/>
                <w:sz w:val="15"/>
                <w:szCs w:val="15"/>
              </w:rPr>
            </w:pPr>
            <w:r w:rsidRPr="003003C0">
              <w:rPr>
                <w:color w:val="000000"/>
                <w:sz w:val="15"/>
                <w:szCs w:val="15"/>
              </w:rPr>
              <w:t>215</w:t>
            </w:r>
          </w:p>
        </w:tc>
        <w:tc>
          <w:tcPr>
            <w:tcW w:w="593" w:type="pct"/>
            <w:shd w:val="clear" w:color="auto" w:fill="auto"/>
            <w:noWrap/>
            <w:hideMark/>
          </w:tcPr>
          <w:p w14:paraId="354B7F86" w14:textId="77777777" w:rsidR="004F64EF" w:rsidRPr="003003C0" w:rsidRDefault="004F64EF" w:rsidP="001F3C85">
            <w:pPr>
              <w:ind w:right="284"/>
              <w:jc w:val="right"/>
              <w:rPr>
                <w:color w:val="000000"/>
                <w:sz w:val="15"/>
                <w:szCs w:val="15"/>
              </w:rPr>
            </w:pPr>
            <w:r w:rsidRPr="003003C0">
              <w:rPr>
                <w:color w:val="000000"/>
                <w:sz w:val="15"/>
                <w:szCs w:val="15"/>
              </w:rPr>
              <w:t>4</w:t>
            </w:r>
            <w:r>
              <w:rPr>
                <w:color w:val="000000"/>
                <w:sz w:val="15"/>
                <w:szCs w:val="15"/>
              </w:rPr>
              <w:t>.</w:t>
            </w:r>
            <w:r w:rsidRPr="003003C0">
              <w:rPr>
                <w:color w:val="000000"/>
                <w:sz w:val="15"/>
                <w:szCs w:val="15"/>
              </w:rPr>
              <w:t>0</w:t>
            </w:r>
          </w:p>
        </w:tc>
        <w:tc>
          <w:tcPr>
            <w:tcW w:w="586" w:type="pct"/>
            <w:shd w:val="clear" w:color="auto" w:fill="auto"/>
            <w:noWrap/>
            <w:hideMark/>
          </w:tcPr>
          <w:p w14:paraId="2C67F8A5" w14:textId="77777777" w:rsidR="004F64EF" w:rsidRPr="003003C0" w:rsidRDefault="004F64EF" w:rsidP="001F3C85">
            <w:pPr>
              <w:jc w:val="center"/>
              <w:rPr>
                <w:color w:val="000000"/>
                <w:sz w:val="15"/>
                <w:szCs w:val="15"/>
              </w:rPr>
            </w:pPr>
            <w:r w:rsidRPr="003003C0">
              <w:rPr>
                <w:color w:val="000000"/>
                <w:sz w:val="15"/>
                <w:szCs w:val="15"/>
              </w:rPr>
              <w:t>0 - 20</w:t>
            </w:r>
          </w:p>
        </w:tc>
        <w:tc>
          <w:tcPr>
            <w:tcW w:w="796" w:type="pct"/>
            <w:shd w:val="clear" w:color="auto" w:fill="auto"/>
            <w:noWrap/>
            <w:hideMark/>
          </w:tcPr>
          <w:p w14:paraId="2BBA97ED" w14:textId="77777777" w:rsidR="004F64EF" w:rsidRPr="003003C0" w:rsidRDefault="004F64EF" w:rsidP="001F3C85">
            <w:pPr>
              <w:ind w:right="454"/>
              <w:jc w:val="right"/>
              <w:rPr>
                <w:color w:val="000000"/>
                <w:sz w:val="15"/>
                <w:szCs w:val="15"/>
              </w:rPr>
            </w:pPr>
            <w:r w:rsidRPr="003003C0">
              <w:rPr>
                <w:color w:val="000000"/>
                <w:sz w:val="15"/>
                <w:szCs w:val="15"/>
              </w:rPr>
              <w:t>1</w:t>
            </w:r>
            <w:r>
              <w:rPr>
                <w:color w:val="000000"/>
                <w:sz w:val="15"/>
                <w:szCs w:val="15"/>
              </w:rPr>
              <w:t>.</w:t>
            </w:r>
            <w:r w:rsidRPr="003003C0">
              <w:rPr>
                <w:color w:val="000000"/>
                <w:sz w:val="15"/>
                <w:szCs w:val="15"/>
              </w:rPr>
              <w:t>9</w:t>
            </w:r>
          </w:p>
        </w:tc>
        <w:tc>
          <w:tcPr>
            <w:tcW w:w="1062" w:type="pct"/>
            <w:shd w:val="clear" w:color="auto" w:fill="auto"/>
            <w:noWrap/>
            <w:hideMark/>
          </w:tcPr>
          <w:p w14:paraId="30632B9A" w14:textId="77777777" w:rsidR="004F64EF" w:rsidRPr="003003C0" w:rsidRDefault="004F64EF" w:rsidP="001F3C85">
            <w:pPr>
              <w:ind w:right="510"/>
              <w:jc w:val="right"/>
              <w:rPr>
                <w:sz w:val="15"/>
                <w:szCs w:val="15"/>
              </w:rPr>
            </w:pPr>
            <w:r w:rsidRPr="003003C0">
              <w:rPr>
                <w:sz w:val="15"/>
                <w:szCs w:val="15"/>
              </w:rPr>
              <w:t>10 - 40</w:t>
            </w:r>
          </w:p>
        </w:tc>
      </w:tr>
      <w:tr w:rsidR="004F64EF" w:rsidRPr="003003C0" w14:paraId="7F544B58" w14:textId="77777777" w:rsidTr="001F3C85">
        <w:trPr>
          <w:cantSplit/>
        </w:trPr>
        <w:tc>
          <w:tcPr>
            <w:tcW w:w="1333" w:type="pct"/>
            <w:shd w:val="clear" w:color="auto" w:fill="C9DED4"/>
            <w:noWrap/>
            <w:hideMark/>
          </w:tcPr>
          <w:p w14:paraId="12DFD0C7" w14:textId="77777777" w:rsidR="004F64EF" w:rsidRPr="003003C0" w:rsidRDefault="004F64EF" w:rsidP="001F3C85">
            <w:pPr>
              <w:tabs>
                <w:tab w:val="left" w:pos="170"/>
              </w:tabs>
              <w:jc w:val="left"/>
              <w:rPr>
                <w:color w:val="000000"/>
                <w:sz w:val="15"/>
                <w:szCs w:val="15"/>
              </w:rPr>
            </w:pPr>
            <w:r w:rsidRPr="00C13383">
              <w:rPr>
                <w:color w:val="000000"/>
                <w:sz w:val="15"/>
                <w:szCs w:val="15"/>
              </w:rPr>
              <w:t>Non-agricultural products (including petroleum</w:t>
            </w:r>
            <w:r>
              <w:rPr>
                <w:color w:val="000000"/>
                <w:sz w:val="15"/>
                <w:szCs w:val="15"/>
              </w:rPr>
              <w:t>)</w:t>
            </w:r>
          </w:p>
        </w:tc>
        <w:tc>
          <w:tcPr>
            <w:tcW w:w="630" w:type="pct"/>
            <w:shd w:val="clear" w:color="auto" w:fill="C9DED4"/>
            <w:noWrap/>
            <w:hideMark/>
          </w:tcPr>
          <w:p w14:paraId="2F591432" w14:textId="77777777" w:rsidR="004F64EF" w:rsidRPr="003003C0" w:rsidRDefault="004F64EF" w:rsidP="001F3C85">
            <w:pPr>
              <w:jc w:val="right"/>
              <w:rPr>
                <w:color w:val="000000"/>
                <w:sz w:val="15"/>
                <w:szCs w:val="15"/>
              </w:rPr>
            </w:pPr>
            <w:r w:rsidRPr="003003C0">
              <w:rPr>
                <w:color w:val="000000"/>
                <w:sz w:val="15"/>
                <w:szCs w:val="15"/>
              </w:rPr>
              <w:t>6</w:t>
            </w:r>
            <w:r>
              <w:rPr>
                <w:color w:val="000000"/>
                <w:sz w:val="15"/>
                <w:szCs w:val="15"/>
              </w:rPr>
              <w:t>,</w:t>
            </w:r>
            <w:r w:rsidRPr="003003C0">
              <w:rPr>
                <w:color w:val="000000"/>
                <w:sz w:val="15"/>
                <w:szCs w:val="15"/>
              </w:rPr>
              <w:t>126</w:t>
            </w:r>
          </w:p>
        </w:tc>
        <w:tc>
          <w:tcPr>
            <w:tcW w:w="593" w:type="pct"/>
            <w:shd w:val="clear" w:color="auto" w:fill="C9DED4"/>
            <w:noWrap/>
            <w:hideMark/>
          </w:tcPr>
          <w:p w14:paraId="07689AF5" w14:textId="77777777" w:rsidR="004F64EF" w:rsidRPr="003003C0" w:rsidRDefault="004F64EF" w:rsidP="001F3C85">
            <w:pPr>
              <w:ind w:right="284"/>
              <w:jc w:val="right"/>
              <w:rPr>
                <w:color w:val="000000"/>
                <w:sz w:val="15"/>
                <w:szCs w:val="15"/>
              </w:rPr>
            </w:pPr>
            <w:r w:rsidRPr="003003C0">
              <w:rPr>
                <w:color w:val="000000"/>
                <w:sz w:val="15"/>
                <w:szCs w:val="15"/>
              </w:rPr>
              <w:t>6</w:t>
            </w:r>
            <w:r>
              <w:rPr>
                <w:color w:val="000000"/>
                <w:sz w:val="15"/>
                <w:szCs w:val="15"/>
              </w:rPr>
              <w:t>.</w:t>
            </w:r>
            <w:r w:rsidRPr="003003C0">
              <w:rPr>
                <w:color w:val="000000"/>
                <w:sz w:val="15"/>
                <w:szCs w:val="15"/>
              </w:rPr>
              <w:t>6</w:t>
            </w:r>
          </w:p>
        </w:tc>
        <w:tc>
          <w:tcPr>
            <w:tcW w:w="586" w:type="pct"/>
            <w:shd w:val="clear" w:color="auto" w:fill="C9DED4"/>
            <w:noWrap/>
            <w:hideMark/>
          </w:tcPr>
          <w:p w14:paraId="530D65D8" w14:textId="77777777" w:rsidR="004F64EF" w:rsidRPr="003003C0" w:rsidRDefault="004F64EF" w:rsidP="001F3C85">
            <w:pPr>
              <w:jc w:val="center"/>
              <w:rPr>
                <w:color w:val="000000"/>
                <w:sz w:val="15"/>
                <w:szCs w:val="15"/>
              </w:rPr>
            </w:pPr>
            <w:r w:rsidRPr="003003C0">
              <w:rPr>
                <w:color w:val="000000"/>
                <w:sz w:val="15"/>
                <w:szCs w:val="15"/>
              </w:rPr>
              <w:t>0 - 20</w:t>
            </w:r>
          </w:p>
        </w:tc>
        <w:tc>
          <w:tcPr>
            <w:tcW w:w="796" w:type="pct"/>
            <w:shd w:val="clear" w:color="auto" w:fill="C9DED4"/>
            <w:noWrap/>
            <w:hideMark/>
          </w:tcPr>
          <w:p w14:paraId="4408FC31" w14:textId="77777777" w:rsidR="004F64EF" w:rsidRPr="003003C0" w:rsidRDefault="004F64EF" w:rsidP="001F3C85">
            <w:pPr>
              <w:ind w:right="454"/>
              <w:jc w:val="right"/>
              <w:rPr>
                <w:color w:val="000000"/>
                <w:sz w:val="15"/>
                <w:szCs w:val="15"/>
              </w:rPr>
            </w:pPr>
            <w:r w:rsidRPr="003003C0">
              <w:rPr>
                <w:color w:val="000000"/>
                <w:sz w:val="15"/>
                <w:szCs w:val="15"/>
              </w:rPr>
              <w:t>1</w:t>
            </w:r>
            <w:r>
              <w:rPr>
                <w:color w:val="000000"/>
                <w:sz w:val="15"/>
                <w:szCs w:val="15"/>
              </w:rPr>
              <w:t>.</w:t>
            </w:r>
            <w:r w:rsidRPr="003003C0">
              <w:rPr>
                <w:color w:val="000000"/>
                <w:sz w:val="15"/>
                <w:szCs w:val="15"/>
              </w:rPr>
              <w:t>3</w:t>
            </w:r>
          </w:p>
        </w:tc>
        <w:tc>
          <w:tcPr>
            <w:tcW w:w="1062" w:type="pct"/>
            <w:shd w:val="clear" w:color="auto" w:fill="C9DED4"/>
            <w:noWrap/>
            <w:hideMark/>
          </w:tcPr>
          <w:p w14:paraId="27BFACC8" w14:textId="77777777" w:rsidR="004F64EF" w:rsidRPr="003003C0" w:rsidRDefault="004F64EF" w:rsidP="001F3C85">
            <w:pPr>
              <w:ind w:right="510"/>
              <w:jc w:val="right"/>
              <w:rPr>
                <w:sz w:val="15"/>
                <w:szCs w:val="15"/>
              </w:rPr>
            </w:pPr>
            <w:r w:rsidRPr="003003C0">
              <w:rPr>
                <w:sz w:val="15"/>
                <w:szCs w:val="15"/>
              </w:rPr>
              <w:t>0 - 40</w:t>
            </w:r>
          </w:p>
        </w:tc>
      </w:tr>
      <w:tr w:rsidR="004F64EF" w:rsidRPr="003003C0" w14:paraId="7E16B952" w14:textId="77777777" w:rsidTr="001F3C85">
        <w:trPr>
          <w:cantSplit/>
        </w:trPr>
        <w:tc>
          <w:tcPr>
            <w:tcW w:w="1333" w:type="pct"/>
            <w:shd w:val="clear" w:color="auto" w:fill="auto"/>
            <w:noWrap/>
            <w:hideMark/>
          </w:tcPr>
          <w:p w14:paraId="5FDB753D" w14:textId="77777777" w:rsidR="004F64EF" w:rsidRPr="003003C0" w:rsidRDefault="004F64EF" w:rsidP="00B96E04">
            <w:pPr>
              <w:tabs>
                <w:tab w:val="left" w:pos="170"/>
              </w:tabs>
              <w:ind w:left="170" w:hanging="170"/>
              <w:jc w:val="left"/>
              <w:rPr>
                <w:color w:val="000000"/>
                <w:sz w:val="15"/>
                <w:szCs w:val="15"/>
              </w:rPr>
            </w:pPr>
            <w:r w:rsidRPr="003003C0">
              <w:rPr>
                <w:color w:val="000000"/>
                <w:sz w:val="15"/>
                <w:szCs w:val="15"/>
              </w:rPr>
              <w:t xml:space="preserve"> - </w:t>
            </w:r>
            <w:r w:rsidRPr="00C13383">
              <w:rPr>
                <w:color w:val="000000"/>
                <w:sz w:val="15"/>
                <w:szCs w:val="15"/>
              </w:rPr>
              <w:t>Non-agricultural products (excluding petroleum)</w:t>
            </w:r>
          </w:p>
        </w:tc>
        <w:tc>
          <w:tcPr>
            <w:tcW w:w="630" w:type="pct"/>
            <w:shd w:val="clear" w:color="auto" w:fill="auto"/>
            <w:noWrap/>
            <w:hideMark/>
          </w:tcPr>
          <w:p w14:paraId="012D922F" w14:textId="77777777" w:rsidR="004F64EF" w:rsidRPr="003003C0" w:rsidRDefault="004F64EF" w:rsidP="001F3C85">
            <w:pPr>
              <w:jc w:val="right"/>
              <w:rPr>
                <w:color w:val="000000"/>
                <w:sz w:val="15"/>
                <w:szCs w:val="15"/>
              </w:rPr>
            </w:pPr>
            <w:r w:rsidRPr="003003C0">
              <w:rPr>
                <w:color w:val="000000"/>
                <w:sz w:val="15"/>
                <w:szCs w:val="15"/>
              </w:rPr>
              <w:t>6</w:t>
            </w:r>
            <w:r>
              <w:rPr>
                <w:color w:val="000000"/>
                <w:sz w:val="15"/>
                <w:szCs w:val="15"/>
              </w:rPr>
              <w:t>,</w:t>
            </w:r>
            <w:r w:rsidRPr="003003C0">
              <w:rPr>
                <w:color w:val="000000"/>
                <w:sz w:val="15"/>
                <w:szCs w:val="15"/>
              </w:rPr>
              <w:t>104</w:t>
            </w:r>
          </w:p>
        </w:tc>
        <w:tc>
          <w:tcPr>
            <w:tcW w:w="593" w:type="pct"/>
            <w:shd w:val="clear" w:color="auto" w:fill="auto"/>
            <w:noWrap/>
            <w:hideMark/>
          </w:tcPr>
          <w:p w14:paraId="4C4DD390" w14:textId="77777777" w:rsidR="004F64EF" w:rsidRPr="003003C0" w:rsidRDefault="004F64EF" w:rsidP="001F3C85">
            <w:pPr>
              <w:ind w:right="284"/>
              <w:jc w:val="right"/>
              <w:rPr>
                <w:color w:val="000000"/>
                <w:sz w:val="15"/>
                <w:szCs w:val="15"/>
              </w:rPr>
            </w:pPr>
            <w:r w:rsidRPr="003003C0">
              <w:rPr>
                <w:color w:val="000000"/>
                <w:sz w:val="15"/>
                <w:szCs w:val="15"/>
              </w:rPr>
              <w:t>6</w:t>
            </w:r>
            <w:r>
              <w:rPr>
                <w:color w:val="000000"/>
                <w:sz w:val="15"/>
                <w:szCs w:val="15"/>
              </w:rPr>
              <w:t>.</w:t>
            </w:r>
            <w:r w:rsidRPr="003003C0">
              <w:rPr>
                <w:color w:val="000000"/>
                <w:sz w:val="15"/>
                <w:szCs w:val="15"/>
              </w:rPr>
              <w:t>6</w:t>
            </w:r>
          </w:p>
        </w:tc>
        <w:tc>
          <w:tcPr>
            <w:tcW w:w="586" w:type="pct"/>
            <w:shd w:val="clear" w:color="auto" w:fill="auto"/>
            <w:noWrap/>
            <w:hideMark/>
          </w:tcPr>
          <w:p w14:paraId="60BA27E2" w14:textId="77777777" w:rsidR="004F64EF" w:rsidRPr="003003C0" w:rsidRDefault="004F64EF" w:rsidP="001F3C85">
            <w:pPr>
              <w:jc w:val="center"/>
              <w:rPr>
                <w:color w:val="000000"/>
                <w:sz w:val="15"/>
                <w:szCs w:val="15"/>
              </w:rPr>
            </w:pPr>
            <w:r w:rsidRPr="003003C0">
              <w:rPr>
                <w:color w:val="000000"/>
                <w:sz w:val="15"/>
                <w:szCs w:val="15"/>
              </w:rPr>
              <w:t>0 - 20</w:t>
            </w:r>
          </w:p>
        </w:tc>
        <w:tc>
          <w:tcPr>
            <w:tcW w:w="796" w:type="pct"/>
            <w:shd w:val="clear" w:color="auto" w:fill="auto"/>
            <w:noWrap/>
            <w:hideMark/>
          </w:tcPr>
          <w:p w14:paraId="6098F5F9" w14:textId="77777777" w:rsidR="004F64EF" w:rsidRPr="003003C0" w:rsidRDefault="004F64EF" w:rsidP="001F3C85">
            <w:pPr>
              <w:ind w:right="454"/>
              <w:jc w:val="right"/>
              <w:rPr>
                <w:color w:val="000000"/>
                <w:sz w:val="15"/>
                <w:szCs w:val="15"/>
              </w:rPr>
            </w:pPr>
            <w:r w:rsidRPr="003003C0">
              <w:rPr>
                <w:color w:val="000000"/>
                <w:sz w:val="15"/>
                <w:szCs w:val="15"/>
              </w:rPr>
              <w:t>1</w:t>
            </w:r>
            <w:r>
              <w:rPr>
                <w:color w:val="000000"/>
                <w:sz w:val="15"/>
                <w:szCs w:val="15"/>
              </w:rPr>
              <w:t>.</w:t>
            </w:r>
            <w:r w:rsidRPr="003003C0">
              <w:rPr>
                <w:color w:val="000000"/>
                <w:sz w:val="15"/>
                <w:szCs w:val="15"/>
              </w:rPr>
              <w:t>3</w:t>
            </w:r>
          </w:p>
        </w:tc>
        <w:tc>
          <w:tcPr>
            <w:tcW w:w="1062" w:type="pct"/>
            <w:shd w:val="clear" w:color="auto" w:fill="auto"/>
            <w:noWrap/>
            <w:hideMark/>
          </w:tcPr>
          <w:p w14:paraId="6721285F" w14:textId="77777777" w:rsidR="004F64EF" w:rsidRPr="003003C0" w:rsidRDefault="004F64EF" w:rsidP="001F3C85">
            <w:pPr>
              <w:ind w:right="510"/>
              <w:jc w:val="right"/>
              <w:rPr>
                <w:sz w:val="15"/>
                <w:szCs w:val="15"/>
              </w:rPr>
            </w:pPr>
            <w:r w:rsidRPr="003003C0">
              <w:rPr>
                <w:sz w:val="15"/>
                <w:szCs w:val="15"/>
              </w:rPr>
              <w:t>0 - 40</w:t>
            </w:r>
          </w:p>
        </w:tc>
      </w:tr>
      <w:tr w:rsidR="004F64EF" w:rsidRPr="003003C0" w14:paraId="20F19F5B" w14:textId="77777777" w:rsidTr="001F3C85">
        <w:trPr>
          <w:cantSplit/>
        </w:trPr>
        <w:tc>
          <w:tcPr>
            <w:tcW w:w="1333" w:type="pct"/>
            <w:shd w:val="clear" w:color="auto" w:fill="C9DED4"/>
            <w:noWrap/>
            <w:hideMark/>
          </w:tcPr>
          <w:p w14:paraId="48D085CF" w14:textId="77777777" w:rsidR="004F64EF" w:rsidRPr="003003C0" w:rsidRDefault="004F64EF" w:rsidP="001F3C85">
            <w:pPr>
              <w:tabs>
                <w:tab w:val="left" w:pos="284"/>
              </w:tabs>
              <w:jc w:val="left"/>
              <w:rPr>
                <w:color w:val="000000"/>
                <w:sz w:val="15"/>
                <w:szCs w:val="15"/>
              </w:rPr>
            </w:pPr>
            <w:r w:rsidRPr="003003C0">
              <w:rPr>
                <w:color w:val="000000"/>
                <w:sz w:val="15"/>
                <w:szCs w:val="15"/>
              </w:rPr>
              <w:t xml:space="preserve"> - - </w:t>
            </w:r>
            <w:r w:rsidRPr="00C13383">
              <w:rPr>
                <w:color w:val="000000"/>
                <w:sz w:val="15"/>
                <w:szCs w:val="15"/>
              </w:rPr>
              <w:t>Fish and fish products</w:t>
            </w:r>
          </w:p>
        </w:tc>
        <w:tc>
          <w:tcPr>
            <w:tcW w:w="630" w:type="pct"/>
            <w:shd w:val="clear" w:color="auto" w:fill="C9DED4"/>
            <w:noWrap/>
            <w:hideMark/>
          </w:tcPr>
          <w:p w14:paraId="02AA3C55" w14:textId="77777777" w:rsidR="004F64EF" w:rsidRPr="003003C0" w:rsidRDefault="004F64EF" w:rsidP="001F3C85">
            <w:pPr>
              <w:jc w:val="right"/>
              <w:rPr>
                <w:color w:val="000000"/>
                <w:sz w:val="15"/>
                <w:szCs w:val="15"/>
              </w:rPr>
            </w:pPr>
            <w:r w:rsidRPr="003003C0">
              <w:rPr>
                <w:color w:val="000000"/>
                <w:sz w:val="15"/>
                <w:szCs w:val="15"/>
              </w:rPr>
              <w:t>282</w:t>
            </w:r>
          </w:p>
        </w:tc>
        <w:tc>
          <w:tcPr>
            <w:tcW w:w="593" w:type="pct"/>
            <w:shd w:val="clear" w:color="auto" w:fill="C9DED4"/>
            <w:noWrap/>
            <w:hideMark/>
          </w:tcPr>
          <w:p w14:paraId="57D92C18" w14:textId="77777777" w:rsidR="004F64EF" w:rsidRPr="003003C0" w:rsidRDefault="004F64EF" w:rsidP="001F3C85">
            <w:pPr>
              <w:ind w:right="284"/>
              <w:jc w:val="right"/>
              <w:rPr>
                <w:color w:val="000000"/>
                <w:sz w:val="15"/>
                <w:szCs w:val="15"/>
              </w:rPr>
            </w:pPr>
            <w:r w:rsidRPr="003003C0">
              <w:rPr>
                <w:color w:val="000000"/>
                <w:sz w:val="15"/>
                <w:szCs w:val="15"/>
              </w:rPr>
              <w:t>17</w:t>
            </w:r>
            <w:r>
              <w:rPr>
                <w:color w:val="000000"/>
                <w:sz w:val="15"/>
                <w:szCs w:val="15"/>
              </w:rPr>
              <w:t>.</w:t>
            </w:r>
            <w:r w:rsidRPr="003003C0">
              <w:rPr>
                <w:color w:val="000000"/>
                <w:sz w:val="15"/>
                <w:szCs w:val="15"/>
              </w:rPr>
              <w:t>4</w:t>
            </w:r>
          </w:p>
        </w:tc>
        <w:tc>
          <w:tcPr>
            <w:tcW w:w="586" w:type="pct"/>
            <w:shd w:val="clear" w:color="auto" w:fill="C9DED4"/>
            <w:noWrap/>
            <w:hideMark/>
          </w:tcPr>
          <w:p w14:paraId="417D7CCC" w14:textId="77777777" w:rsidR="004F64EF" w:rsidRPr="003003C0" w:rsidRDefault="004F64EF" w:rsidP="001F3C85">
            <w:pPr>
              <w:jc w:val="center"/>
              <w:rPr>
                <w:color w:val="000000"/>
                <w:sz w:val="15"/>
                <w:szCs w:val="15"/>
              </w:rPr>
            </w:pPr>
            <w:r w:rsidRPr="003003C0">
              <w:rPr>
                <w:color w:val="000000"/>
                <w:sz w:val="15"/>
                <w:szCs w:val="15"/>
              </w:rPr>
              <w:t>0 - 20</w:t>
            </w:r>
          </w:p>
        </w:tc>
        <w:tc>
          <w:tcPr>
            <w:tcW w:w="796" w:type="pct"/>
            <w:shd w:val="clear" w:color="auto" w:fill="C9DED4"/>
            <w:noWrap/>
            <w:hideMark/>
          </w:tcPr>
          <w:p w14:paraId="0629740E" w14:textId="77777777" w:rsidR="004F64EF" w:rsidRPr="003003C0" w:rsidRDefault="004F64EF" w:rsidP="001F3C85">
            <w:pPr>
              <w:ind w:right="454"/>
              <w:jc w:val="right"/>
              <w:rPr>
                <w:color w:val="000000"/>
                <w:sz w:val="15"/>
                <w:szCs w:val="15"/>
              </w:rPr>
            </w:pPr>
            <w:r w:rsidRPr="003003C0">
              <w:rPr>
                <w:color w:val="000000"/>
                <w:sz w:val="15"/>
                <w:szCs w:val="15"/>
              </w:rPr>
              <w:t>0</w:t>
            </w:r>
            <w:r>
              <w:rPr>
                <w:color w:val="000000"/>
                <w:sz w:val="15"/>
                <w:szCs w:val="15"/>
              </w:rPr>
              <w:t>.</w:t>
            </w:r>
            <w:r w:rsidRPr="003003C0">
              <w:rPr>
                <w:color w:val="000000"/>
                <w:sz w:val="15"/>
                <w:szCs w:val="15"/>
              </w:rPr>
              <w:t>4</w:t>
            </w:r>
          </w:p>
        </w:tc>
        <w:tc>
          <w:tcPr>
            <w:tcW w:w="1062" w:type="pct"/>
            <w:shd w:val="clear" w:color="auto" w:fill="C9DED4"/>
            <w:noWrap/>
            <w:hideMark/>
          </w:tcPr>
          <w:p w14:paraId="7F55FDAC" w14:textId="77777777" w:rsidR="004F64EF" w:rsidRPr="003003C0" w:rsidRDefault="004F64EF" w:rsidP="001F3C85">
            <w:pPr>
              <w:ind w:right="510"/>
              <w:jc w:val="right"/>
              <w:rPr>
                <w:sz w:val="15"/>
                <w:szCs w:val="15"/>
              </w:rPr>
            </w:pPr>
            <w:r w:rsidRPr="003003C0">
              <w:rPr>
                <w:sz w:val="15"/>
                <w:szCs w:val="15"/>
              </w:rPr>
              <w:t>30 - 40</w:t>
            </w:r>
          </w:p>
        </w:tc>
      </w:tr>
      <w:tr w:rsidR="004F64EF" w:rsidRPr="003003C0" w14:paraId="1746196B" w14:textId="77777777" w:rsidTr="001F3C85">
        <w:trPr>
          <w:cantSplit/>
        </w:trPr>
        <w:tc>
          <w:tcPr>
            <w:tcW w:w="1333" w:type="pct"/>
            <w:shd w:val="clear" w:color="auto" w:fill="auto"/>
            <w:noWrap/>
            <w:hideMark/>
          </w:tcPr>
          <w:p w14:paraId="707B20E0" w14:textId="77777777" w:rsidR="004F64EF" w:rsidRPr="003003C0" w:rsidRDefault="004F64EF" w:rsidP="00B96E04">
            <w:pPr>
              <w:tabs>
                <w:tab w:val="left" w:pos="170"/>
              </w:tabs>
              <w:ind w:left="316" w:hanging="316"/>
              <w:jc w:val="left"/>
              <w:rPr>
                <w:color w:val="000000"/>
                <w:sz w:val="15"/>
                <w:szCs w:val="15"/>
              </w:rPr>
            </w:pPr>
            <w:r w:rsidRPr="003003C0">
              <w:rPr>
                <w:color w:val="000000"/>
                <w:sz w:val="15"/>
                <w:szCs w:val="15"/>
              </w:rPr>
              <w:t xml:space="preserve"> - - </w:t>
            </w:r>
            <w:r w:rsidRPr="00C13383">
              <w:rPr>
                <w:color w:val="000000"/>
                <w:sz w:val="15"/>
                <w:szCs w:val="15"/>
              </w:rPr>
              <w:t>Mineral products and metals</w:t>
            </w:r>
          </w:p>
        </w:tc>
        <w:tc>
          <w:tcPr>
            <w:tcW w:w="630" w:type="pct"/>
            <w:shd w:val="clear" w:color="auto" w:fill="auto"/>
            <w:noWrap/>
            <w:hideMark/>
          </w:tcPr>
          <w:p w14:paraId="3EA921C5" w14:textId="77777777" w:rsidR="004F64EF" w:rsidRPr="003003C0" w:rsidRDefault="004F64EF" w:rsidP="001F3C85">
            <w:pPr>
              <w:jc w:val="right"/>
              <w:rPr>
                <w:color w:val="000000"/>
                <w:sz w:val="15"/>
                <w:szCs w:val="15"/>
              </w:rPr>
            </w:pPr>
            <w:r w:rsidRPr="003003C0">
              <w:rPr>
                <w:color w:val="000000"/>
                <w:sz w:val="15"/>
                <w:szCs w:val="15"/>
              </w:rPr>
              <w:t>1</w:t>
            </w:r>
            <w:r>
              <w:rPr>
                <w:color w:val="000000"/>
                <w:sz w:val="15"/>
                <w:szCs w:val="15"/>
              </w:rPr>
              <w:t>,</w:t>
            </w:r>
            <w:r w:rsidRPr="003003C0">
              <w:rPr>
                <w:color w:val="000000"/>
                <w:sz w:val="15"/>
                <w:szCs w:val="15"/>
              </w:rPr>
              <w:t>103</w:t>
            </w:r>
          </w:p>
        </w:tc>
        <w:tc>
          <w:tcPr>
            <w:tcW w:w="593" w:type="pct"/>
            <w:shd w:val="clear" w:color="auto" w:fill="auto"/>
            <w:noWrap/>
            <w:hideMark/>
          </w:tcPr>
          <w:p w14:paraId="798147B9" w14:textId="77777777" w:rsidR="004F64EF" w:rsidRPr="003003C0" w:rsidRDefault="004F64EF" w:rsidP="001F3C85">
            <w:pPr>
              <w:ind w:right="284"/>
              <w:jc w:val="right"/>
              <w:rPr>
                <w:color w:val="000000"/>
                <w:sz w:val="15"/>
                <w:szCs w:val="15"/>
              </w:rPr>
            </w:pPr>
            <w:r w:rsidRPr="003003C0">
              <w:rPr>
                <w:color w:val="000000"/>
                <w:sz w:val="15"/>
                <w:szCs w:val="15"/>
              </w:rPr>
              <w:t>6</w:t>
            </w:r>
            <w:r>
              <w:rPr>
                <w:color w:val="000000"/>
                <w:sz w:val="15"/>
                <w:szCs w:val="15"/>
              </w:rPr>
              <w:t>.</w:t>
            </w:r>
            <w:r w:rsidRPr="003003C0">
              <w:rPr>
                <w:color w:val="000000"/>
                <w:sz w:val="15"/>
                <w:szCs w:val="15"/>
              </w:rPr>
              <w:t>3</w:t>
            </w:r>
          </w:p>
        </w:tc>
        <w:tc>
          <w:tcPr>
            <w:tcW w:w="586" w:type="pct"/>
            <w:shd w:val="clear" w:color="auto" w:fill="auto"/>
            <w:noWrap/>
            <w:hideMark/>
          </w:tcPr>
          <w:p w14:paraId="6FA97725" w14:textId="77777777" w:rsidR="004F64EF" w:rsidRPr="003003C0" w:rsidRDefault="004F64EF" w:rsidP="001F3C85">
            <w:pPr>
              <w:jc w:val="center"/>
              <w:rPr>
                <w:color w:val="000000"/>
                <w:sz w:val="15"/>
                <w:szCs w:val="15"/>
              </w:rPr>
            </w:pPr>
            <w:r w:rsidRPr="003003C0">
              <w:rPr>
                <w:color w:val="000000"/>
                <w:sz w:val="15"/>
                <w:szCs w:val="15"/>
              </w:rPr>
              <w:t>0 - 20</w:t>
            </w:r>
          </w:p>
        </w:tc>
        <w:tc>
          <w:tcPr>
            <w:tcW w:w="796" w:type="pct"/>
            <w:shd w:val="clear" w:color="auto" w:fill="auto"/>
            <w:noWrap/>
            <w:hideMark/>
          </w:tcPr>
          <w:p w14:paraId="534CB8DB" w14:textId="77777777" w:rsidR="004F64EF" w:rsidRPr="003003C0" w:rsidRDefault="004F64EF" w:rsidP="001F3C85">
            <w:pPr>
              <w:ind w:right="454"/>
              <w:jc w:val="right"/>
              <w:rPr>
                <w:color w:val="000000"/>
                <w:sz w:val="15"/>
                <w:szCs w:val="15"/>
              </w:rPr>
            </w:pPr>
            <w:r w:rsidRPr="003003C0">
              <w:rPr>
                <w:color w:val="000000"/>
                <w:sz w:val="15"/>
                <w:szCs w:val="15"/>
              </w:rPr>
              <w:t>1</w:t>
            </w:r>
            <w:r>
              <w:rPr>
                <w:color w:val="000000"/>
                <w:sz w:val="15"/>
                <w:szCs w:val="15"/>
              </w:rPr>
              <w:t>.</w:t>
            </w:r>
            <w:r w:rsidRPr="003003C0">
              <w:rPr>
                <w:color w:val="000000"/>
                <w:sz w:val="15"/>
                <w:szCs w:val="15"/>
              </w:rPr>
              <w:t>3</w:t>
            </w:r>
          </w:p>
        </w:tc>
        <w:tc>
          <w:tcPr>
            <w:tcW w:w="1062" w:type="pct"/>
            <w:shd w:val="clear" w:color="auto" w:fill="auto"/>
            <w:noWrap/>
            <w:hideMark/>
          </w:tcPr>
          <w:p w14:paraId="415C917C" w14:textId="77777777" w:rsidR="004F64EF" w:rsidRPr="003003C0" w:rsidRDefault="004F64EF" w:rsidP="001F3C85">
            <w:pPr>
              <w:ind w:right="510"/>
              <w:jc w:val="right"/>
              <w:rPr>
                <w:sz w:val="15"/>
                <w:szCs w:val="15"/>
              </w:rPr>
            </w:pPr>
            <w:r w:rsidRPr="003003C0">
              <w:rPr>
                <w:sz w:val="15"/>
                <w:szCs w:val="15"/>
              </w:rPr>
              <w:t>10 - 40</w:t>
            </w:r>
          </w:p>
        </w:tc>
      </w:tr>
      <w:tr w:rsidR="004F64EF" w:rsidRPr="003003C0" w14:paraId="04C63992" w14:textId="77777777" w:rsidTr="001F3C85">
        <w:trPr>
          <w:cantSplit/>
        </w:trPr>
        <w:tc>
          <w:tcPr>
            <w:tcW w:w="1333" w:type="pct"/>
            <w:shd w:val="clear" w:color="auto" w:fill="C9DED4"/>
            <w:noWrap/>
            <w:hideMark/>
          </w:tcPr>
          <w:p w14:paraId="7749C967" w14:textId="77777777" w:rsidR="004F64EF" w:rsidRPr="003003C0" w:rsidRDefault="004F64EF" w:rsidP="00B96E04">
            <w:pPr>
              <w:tabs>
                <w:tab w:val="left" w:pos="170"/>
              </w:tabs>
              <w:ind w:left="316" w:hanging="316"/>
              <w:jc w:val="left"/>
              <w:rPr>
                <w:color w:val="000000"/>
                <w:sz w:val="15"/>
                <w:szCs w:val="15"/>
              </w:rPr>
            </w:pPr>
            <w:r w:rsidRPr="003003C0">
              <w:rPr>
                <w:color w:val="000000"/>
                <w:sz w:val="15"/>
                <w:szCs w:val="15"/>
              </w:rPr>
              <w:t xml:space="preserve"> - - </w:t>
            </w:r>
            <w:r w:rsidRPr="00C13383">
              <w:rPr>
                <w:color w:val="000000"/>
                <w:sz w:val="15"/>
                <w:szCs w:val="15"/>
              </w:rPr>
              <w:t>Chemicals and photographic products</w:t>
            </w:r>
          </w:p>
        </w:tc>
        <w:tc>
          <w:tcPr>
            <w:tcW w:w="630" w:type="pct"/>
            <w:shd w:val="clear" w:color="auto" w:fill="C9DED4"/>
            <w:noWrap/>
            <w:hideMark/>
          </w:tcPr>
          <w:p w14:paraId="64C062B6" w14:textId="77777777" w:rsidR="004F64EF" w:rsidRPr="003003C0" w:rsidRDefault="004F64EF" w:rsidP="001F3C85">
            <w:pPr>
              <w:jc w:val="right"/>
              <w:rPr>
                <w:color w:val="000000"/>
                <w:sz w:val="15"/>
                <w:szCs w:val="15"/>
              </w:rPr>
            </w:pPr>
            <w:r w:rsidRPr="003003C0">
              <w:rPr>
                <w:color w:val="000000"/>
                <w:sz w:val="15"/>
                <w:szCs w:val="15"/>
              </w:rPr>
              <w:t>1</w:t>
            </w:r>
            <w:r>
              <w:rPr>
                <w:color w:val="000000"/>
                <w:sz w:val="15"/>
                <w:szCs w:val="15"/>
              </w:rPr>
              <w:t>,</w:t>
            </w:r>
            <w:r w:rsidRPr="003003C0">
              <w:rPr>
                <w:color w:val="000000"/>
                <w:sz w:val="15"/>
                <w:szCs w:val="15"/>
              </w:rPr>
              <w:t>276</w:t>
            </w:r>
          </w:p>
        </w:tc>
        <w:tc>
          <w:tcPr>
            <w:tcW w:w="593" w:type="pct"/>
            <w:shd w:val="clear" w:color="auto" w:fill="C9DED4"/>
            <w:noWrap/>
            <w:hideMark/>
          </w:tcPr>
          <w:p w14:paraId="4397C858" w14:textId="77777777" w:rsidR="004F64EF" w:rsidRPr="003003C0" w:rsidRDefault="004F64EF" w:rsidP="001F3C85">
            <w:pPr>
              <w:ind w:right="284"/>
              <w:jc w:val="right"/>
              <w:rPr>
                <w:color w:val="000000"/>
                <w:sz w:val="15"/>
                <w:szCs w:val="15"/>
              </w:rPr>
            </w:pPr>
            <w:r w:rsidRPr="003003C0">
              <w:rPr>
                <w:color w:val="000000"/>
                <w:sz w:val="15"/>
                <w:szCs w:val="15"/>
              </w:rPr>
              <w:t>3</w:t>
            </w:r>
            <w:r>
              <w:rPr>
                <w:color w:val="000000"/>
                <w:sz w:val="15"/>
                <w:szCs w:val="15"/>
              </w:rPr>
              <w:t>.</w:t>
            </w:r>
            <w:r w:rsidRPr="003003C0">
              <w:rPr>
                <w:color w:val="000000"/>
                <w:sz w:val="15"/>
                <w:szCs w:val="15"/>
              </w:rPr>
              <w:t>0</w:t>
            </w:r>
          </w:p>
        </w:tc>
        <w:tc>
          <w:tcPr>
            <w:tcW w:w="586" w:type="pct"/>
            <w:shd w:val="clear" w:color="auto" w:fill="C9DED4"/>
            <w:noWrap/>
            <w:hideMark/>
          </w:tcPr>
          <w:p w14:paraId="30EDA4D9" w14:textId="77777777" w:rsidR="004F64EF" w:rsidRPr="003003C0" w:rsidRDefault="004F64EF" w:rsidP="001F3C85">
            <w:pPr>
              <w:jc w:val="center"/>
              <w:rPr>
                <w:color w:val="000000"/>
                <w:sz w:val="15"/>
                <w:szCs w:val="15"/>
              </w:rPr>
            </w:pPr>
            <w:r w:rsidRPr="003003C0">
              <w:rPr>
                <w:color w:val="000000"/>
                <w:sz w:val="15"/>
                <w:szCs w:val="15"/>
              </w:rPr>
              <w:t>0 - 20</w:t>
            </w:r>
          </w:p>
        </w:tc>
        <w:tc>
          <w:tcPr>
            <w:tcW w:w="796" w:type="pct"/>
            <w:shd w:val="clear" w:color="auto" w:fill="C9DED4"/>
            <w:noWrap/>
            <w:hideMark/>
          </w:tcPr>
          <w:p w14:paraId="27D9DA3F" w14:textId="77777777" w:rsidR="004F64EF" w:rsidRPr="003003C0" w:rsidRDefault="004F64EF" w:rsidP="001F3C85">
            <w:pPr>
              <w:ind w:right="454"/>
              <w:jc w:val="right"/>
              <w:rPr>
                <w:color w:val="000000"/>
                <w:sz w:val="15"/>
                <w:szCs w:val="15"/>
              </w:rPr>
            </w:pPr>
            <w:r w:rsidRPr="003003C0">
              <w:rPr>
                <w:color w:val="000000"/>
                <w:sz w:val="15"/>
                <w:szCs w:val="15"/>
              </w:rPr>
              <w:t>2</w:t>
            </w:r>
            <w:r>
              <w:rPr>
                <w:color w:val="000000"/>
                <w:sz w:val="15"/>
                <w:szCs w:val="15"/>
              </w:rPr>
              <w:t>.</w:t>
            </w:r>
            <w:r w:rsidRPr="003003C0">
              <w:rPr>
                <w:color w:val="000000"/>
                <w:sz w:val="15"/>
                <w:szCs w:val="15"/>
              </w:rPr>
              <w:t>1</w:t>
            </w:r>
          </w:p>
        </w:tc>
        <w:tc>
          <w:tcPr>
            <w:tcW w:w="1062" w:type="pct"/>
            <w:shd w:val="clear" w:color="auto" w:fill="C9DED4"/>
            <w:noWrap/>
            <w:hideMark/>
          </w:tcPr>
          <w:p w14:paraId="6B966C50" w14:textId="77777777" w:rsidR="004F64EF" w:rsidRPr="003003C0" w:rsidRDefault="004F64EF" w:rsidP="001F3C85">
            <w:pPr>
              <w:ind w:right="510"/>
              <w:jc w:val="right"/>
              <w:rPr>
                <w:sz w:val="15"/>
                <w:szCs w:val="15"/>
              </w:rPr>
            </w:pPr>
            <w:r w:rsidRPr="003003C0">
              <w:rPr>
                <w:sz w:val="15"/>
                <w:szCs w:val="15"/>
              </w:rPr>
              <w:t>0 - 40</w:t>
            </w:r>
          </w:p>
        </w:tc>
      </w:tr>
      <w:tr w:rsidR="004F64EF" w:rsidRPr="003003C0" w14:paraId="17324FD5" w14:textId="77777777" w:rsidTr="001F3C85">
        <w:trPr>
          <w:cantSplit/>
        </w:trPr>
        <w:tc>
          <w:tcPr>
            <w:tcW w:w="1333" w:type="pct"/>
            <w:shd w:val="clear" w:color="auto" w:fill="auto"/>
            <w:noWrap/>
            <w:hideMark/>
          </w:tcPr>
          <w:p w14:paraId="439B36EF" w14:textId="77777777" w:rsidR="004F64EF" w:rsidRPr="003003C0" w:rsidRDefault="004F64EF" w:rsidP="00B96E04">
            <w:pPr>
              <w:tabs>
                <w:tab w:val="left" w:pos="170"/>
              </w:tabs>
              <w:ind w:left="316" w:hanging="316"/>
              <w:jc w:val="left"/>
              <w:rPr>
                <w:color w:val="000000"/>
                <w:sz w:val="15"/>
                <w:szCs w:val="15"/>
              </w:rPr>
            </w:pPr>
            <w:r w:rsidRPr="003003C0">
              <w:rPr>
                <w:color w:val="000000"/>
                <w:sz w:val="15"/>
                <w:szCs w:val="15"/>
              </w:rPr>
              <w:t xml:space="preserve"> - - </w:t>
            </w:r>
            <w:r w:rsidRPr="00C13383">
              <w:rPr>
                <w:color w:val="000000"/>
                <w:sz w:val="15"/>
                <w:szCs w:val="15"/>
              </w:rPr>
              <w:t>Wood, wood pulp, paper and furniture</w:t>
            </w:r>
          </w:p>
        </w:tc>
        <w:tc>
          <w:tcPr>
            <w:tcW w:w="630" w:type="pct"/>
            <w:shd w:val="clear" w:color="auto" w:fill="auto"/>
            <w:noWrap/>
            <w:hideMark/>
          </w:tcPr>
          <w:p w14:paraId="34973EB3" w14:textId="77777777" w:rsidR="004F64EF" w:rsidRPr="003003C0" w:rsidRDefault="004F64EF" w:rsidP="001F3C85">
            <w:pPr>
              <w:jc w:val="right"/>
              <w:rPr>
                <w:color w:val="000000"/>
                <w:sz w:val="15"/>
                <w:szCs w:val="15"/>
              </w:rPr>
            </w:pPr>
            <w:r w:rsidRPr="003003C0">
              <w:rPr>
                <w:color w:val="000000"/>
                <w:sz w:val="15"/>
                <w:szCs w:val="15"/>
              </w:rPr>
              <w:t>385</w:t>
            </w:r>
          </w:p>
        </w:tc>
        <w:tc>
          <w:tcPr>
            <w:tcW w:w="593" w:type="pct"/>
            <w:shd w:val="clear" w:color="auto" w:fill="auto"/>
            <w:noWrap/>
            <w:hideMark/>
          </w:tcPr>
          <w:p w14:paraId="294D24A2" w14:textId="77777777" w:rsidR="004F64EF" w:rsidRPr="003003C0" w:rsidRDefault="004F64EF" w:rsidP="001F3C85">
            <w:pPr>
              <w:ind w:right="284"/>
              <w:jc w:val="right"/>
              <w:rPr>
                <w:color w:val="000000"/>
                <w:sz w:val="15"/>
                <w:szCs w:val="15"/>
              </w:rPr>
            </w:pPr>
            <w:r w:rsidRPr="003003C0">
              <w:rPr>
                <w:color w:val="000000"/>
                <w:sz w:val="15"/>
                <w:szCs w:val="15"/>
              </w:rPr>
              <w:t>6</w:t>
            </w:r>
            <w:r>
              <w:rPr>
                <w:color w:val="000000"/>
                <w:sz w:val="15"/>
                <w:szCs w:val="15"/>
              </w:rPr>
              <w:t>.</w:t>
            </w:r>
            <w:r w:rsidRPr="003003C0">
              <w:rPr>
                <w:color w:val="000000"/>
                <w:sz w:val="15"/>
                <w:szCs w:val="15"/>
              </w:rPr>
              <w:t>5</w:t>
            </w:r>
          </w:p>
        </w:tc>
        <w:tc>
          <w:tcPr>
            <w:tcW w:w="586" w:type="pct"/>
            <w:shd w:val="clear" w:color="auto" w:fill="auto"/>
            <w:noWrap/>
            <w:hideMark/>
          </w:tcPr>
          <w:p w14:paraId="0F8318E5" w14:textId="77777777" w:rsidR="004F64EF" w:rsidRPr="003003C0" w:rsidRDefault="004F64EF" w:rsidP="001F3C85">
            <w:pPr>
              <w:jc w:val="center"/>
              <w:rPr>
                <w:color w:val="000000"/>
                <w:sz w:val="15"/>
                <w:szCs w:val="15"/>
              </w:rPr>
            </w:pPr>
            <w:r w:rsidRPr="003003C0">
              <w:rPr>
                <w:color w:val="000000"/>
                <w:sz w:val="15"/>
                <w:szCs w:val="15"/>
              </w:rPr>
              <w:t>0 - 20</w:t>
            </w:r>
          </w:p>
        </w:tc>
        <w:tc>
          <w:tcPr>
            <w:tcW w:w="796" w:type="pct"/>
            <w:shd w:val="clear" w:color="auto" w:fill="auto"/>
            <w:noWrap/>
            <w:hideMark/>
          </w:tcPr>
          <w:p w14:paraId="335ECBF4" w14:textId="77777777" w:rsidR="004F64EF" w:rsidRPr="003003C0" w:rsidRDefault="004F64EF" w:rsidP="001F3C85">
            <w:pPr>
              <w:ind w:right="454"/>
              <w:jc w:val="right"/>
              <w:rPr>
                <w:color w:val="000000"/>
                <w:sz w:val="15"/>
                <w:szCs w:val="15"/>
              </w:rPr>
            </w:pPr>
            <w:r w:rsidRPr="003003C0">
              <w:rPr>
                <w:color w:val="000000"/>
                <w:sz w:val="15"/>
                <w:szCs w:val="15"/>
              </w:rPr>
              <w:t>1</w:t>
            </w:r>
            <w:r>
              <w:rPr>
                <w:color w:val="000000"/>
                <w:sz w:val="15"/>
                <w:szCs w:val="15"/>
              </w:rPr>
              <w:t>.</w:t>
            </w:r>
            <w:r w:rsidRPr="003003C0">
              <w:rPr>
                <w:color w:val="000000"/>
                <w:sz w:val="15"/>
                <w:szCs w:val="15"/>
              </w:rPr>
              <w:t>3</w:t>
            </w:r>
          </w:p>
        </w:tc>
        <w:tc>
          <w:tcPr>
            <w:tcW w:w="1062" w:type="pct"/>
            <w:shd w:val="clear" w:color="auto" w:fill="auto"/>
            <w:noWrap/>
            <w:hideMark/>
          </w:tcPr>
          <w:p w14:paraId="56C32369" w14:textId="77777777" w:rsidR="004F64EF" w:rsidRPr="003003C0" w:rsidRDefault="004F64EF" w:rsidP="001F3C85">
            <w:pPr>
              <w:ind w:right="510"/>
              <w:jc w:val="right"/>
              <w:rPr>
                <w:sz w:val="15"/>
                <w:szCs w:val="15"/>
              </w:rPr>
            </w:pPr>
            <w:r w:rsidRPr="003003C0">
              <w:rPr>
                <w:sz w:val="15"/>
                <w:szCs w:val="15"/>
              </w:rPr>
              <w:t>10 - 40</w:t>
            </w:r>
          </w:p>
        </w:tc>
      </w:tr>
      <w:tr w:rsidR="004F64EF" w:rsidRPr="003003C0" w14:paraId="3E621416" w14:textId="77777777" w:rsidTr="001F3C85">
        <w:trPr>
          <w:cantSplit/>
        </w:trPr>
        <w:tc>
          <w:tcPr>
            <w:tcW w:w="1333" w:type="pct"/>
            <w:shd w:val="clear" w:color="auto" w:fill="C9DED4"/>
            <w:noWrap/>
            <w:hideMark/>
          </w:tcPr>
          <w:p w14:paraId="002D6C4F" w14:textId="77777777" w:rsidR="004F64EF" w:rsidRPr="003003C0" w:rsidRDefault="004F64EF" w:rsidP="001F3C85">
            <w:pPr>
              <w:tabs>
                <w:tab w:val="left" w:pos="284"/>
              </w:tabs>
              <w:jc w:val="left"/>
              <w:rPr>
                <w:color w:val="000000"/>
                <w:sz w:val="15"/>
                <w:szCs w:val="15"/>
              </w:rPr>
            </w:pPr>
            <w:r w:rsidRPr="003003C0">
              <w:rPr>
                <w:color w:val="000000"/>
                <w:sz w:val="15"/>
                <w:szCs w:val="15"/>
              </w:rPr>
              <w:t xml:space="preserve"> - - Textiles</w:t>
            </w:r>
          </w:p>
        </w:tc>
        <w:tc>
          <w:tcPr>
            <w:tcW w:w="630" w:type="pct"/>
            <w:shd w:val="clear" w:color="auto" w:fill="C9DED4"/>
            <w:noWrap/>
            <w:hideMark/>
          </w:tcPr>
          <w:p w14:paraId="69A0C294" w14:textId="77777777" w:rsidR="004F64EF" w:rsidRPr="003003C0" w:rsidRDefault="004F64EF" w:rsidP="001F3C85">
            <w:pPr>
              <w:jc w:val="right"/>
              <w:rPr>
                <w:color w:val="000000"/>
                <w:sz w:val="15"/>
                <w:szCs w:val="15"/>
              </w:rPr>
            </w:pPr>
            <w:r w:rsidRPr="003003C0">
              <w:rPr>
                <w:color w:val="000000"/>
                <w:sz w:val="15"/>
                <w:szCs w:val="15"/>
              </w:rPr>
              <w:t>659</w:t>
            </w:r>
          </w:p>
        </w:tc>
        <w:tc>
          <w:tcPr>
            <w:tcW w:w="593" w:type="pct"/>
            <w:shd w:val="clear" w:color="auto" w:fill="C9DED4"/>
            <w:noWrap/>
            <w:hideMark/>
          </w:tcPr>
          <w:p w14:paraId="5755843A" w14:textId="77777777" w:rsidR="004F64EF" w:rsidRPr="003003C0" w:rsidRDefault="004F64EF" w:rsidP="001F3C85">
            <w:pPr>
              <w:ind w:right="284"/>
              <w:jc w:val="right"/>
              <w:rPr>
                <w:color w:val="000000"/>
                <w:sz w:val="15"/>
                <w:szCs w:val="15"/>
              </w:rPr>
            </w:pPr>
            <w:r w:rsidRPr="003003C0">
              <w:rPr>
                <w:color w:val="000000"/>
                <w:sz w:val="15"/>
                <w:szCs w:val="15"/>
              </w:rPr>
              <w:t>4</w:t>
            </w:r>
            <w:r>
              <w:rPr>
                <w:color w:val="000000"/>
                <w:sz w:val="15"/>
                <w:szCs w:val="15"/>
              </w:rPr>
              <w:t>.</w:t>
            </w:r>
            <w:r w:rsidRPr="003003C0">
              <w:rPr>
                <w:color w:val="000000"/>
                <w:sz w:val="15"/>
                <w:szCs w:val="15"/>
              </w:rPr>
              <w:t>8</w:t>
            </w:r>
          </w:p>
        </w:tc>
        <w:tc>
          <w:tcPr>
            <w:tcW w:w="586" w:type="pct"/>
            <w:shd w:val="clear" w:color="auto" w:fill="C9DED4"/>
            <w:noWrap/>
            <w:hideMark/>
          </w:tcPr>
          <w:p w14:paraId="06BE92D8" w14:textId="77777777" w:rsidR="004F64EF" w:rsidRPr="003003C0" w:rsidRDefault="004F64EF" w:rsidP="001F3C85">
            <w:pPr>
              <w:jc w:val="center"/>
              <w:rPr>
                <w:color w:val="000000"/>
                <w:sz w:val="15"/>
                <w:szCs w:val="15"/>
              </w:rPr>
            </w:pPr>
            <w:r w:rsidRPr="003003C0">
              <w:rPr>
                <w:color w:val="000000"/>
                <w:sz w:val="15"/>
                <w:szCs w:val="15"/>
              </w:rPr>
              <w:t>0 - 20</w:t>
            </w:r>
          </w:p>
        </w:tc>
        <w:tc>
          <w:tcPr>
            <w:tcW w:w="796" w:type="pct"/>
            <w:shd w:val="clear" w:color="auto" w:fill="C9DED4"/>
            <w:noWrap/>
            <w:hideMark/>
          </w:tcPr>
          <w:p w14:paraId="58141FEA" w14:textId="77777777" w:rsidR="004F64EF" w:rsidRPr="003003C0" w:rsidRDefault="004F64EF" w:rsidP="001F3C85">
            <w:pPr>
              <w:ind w:right="454"/>
              <w:jc w:val="right"/>
              <w:rPr>
                <w:color w:val="000000"/>
                <w:sz w:val="15"/>
                <w:szCs w:val="15"/>
              </w:rPr>
            </w:pPr>
            <w:r w:rsidRPr="003003C0">
              <w:rPr>
                <w:color w:val="000000"/>
                <w:sz w:val="15"/>
                <w:szCs w:val="15"/>
              </w:rPr>
              <w:t>1</w:t>
            </w:r>
            <w:r>
              <w:rPr>
                <w:color w:val="000000"/>
                <w:sz w:val="15"/>
                <w:szCs w:val="15"/>
              </w:rPr>
              <w:t>.</w:t>
            </w:r>
            <w:r w:rsidRPr="003003C0">
              <w:rPr>
                <w:color w:val="000000"/>
                <w:sz w:val="15"/>
                <w:szCs w:val="15"/>
              </w:rPr>
              <w:t>7</w:t>
            </w:r>
          </w:p>
        </w:tc>
        <w:tc>
          <w:tcPr>
            <w:tcW w:w="1062" w:type="pct"/>
            <w:shd w:val="clear" w:color="auto" w:fill="C9DED4"/>
            <w:noWrap/>
            <w:hideMark/>
          </w:tcPr>
          <w:p w14:paraId="17193DBC" w14:textId="77777777" w:rsidR="004F64EF" w:rsidRPr="003003C0" w:rsidRDefault="004F64EF" w:rsidP="001F3C85">
            <w:pPr>
              <w:ind w:right="510"/>
              <w:jc w:val="right"/>
              <w:rPr>
                <w:sz w:val="15"/>
                <w:szCs w:val="15"/>
              </w:rPr>
            </w:pPr>
            <w:r w:rsidRPr="003003C0">
              <w:rPr>
                <w:sz w:val="15"/>
                <w:szCs w:val="15"/>
              </w:rPr>
              <w:t>15 - 40</w:t>
            </w:r>
          </w:p>
        </w:tc>
      </w:tr>
      <w:tr w:rsidR="004F64EF" w:rsidRPr="003003C0" w14:paraId="17F1DEE9" w14:textId="77777777" w:rsidTr="001F3C85">
        <w:trPr>
          <w:cantSplit/>
        </w:trPr>
        <w:tc>
          <w:tcPr>
            <w:tcW w:w="1333" w:type="pct"/>
            <w:shd w:val="clear" w:color="auto" w:fill="auto"/>
            <w:noWrap/>
            <w:hideMark/>
          </w:tcPr>
          <w:p w14:paraId="53A97213" w14:textId="77777777" w:rsidR="004F64EF" w:rsidRPr="003003C0" w:rsidRDefault="004F64EF" w:rsidP="001F3C85">
            <w:pPr>
              <w:tabs>
                <w:tab w:val="left" w:pos="284"/>
              </w:tabs>
              <w:jc w:val="left"/>
              <w:rPr>
                <w:color w:val="000000"/>
                <w:sz w:val="15"/>
                <w:szCs w:val="15"/>
              </w:rPr>
            </w:pPr>
            <w:r w:rsidRPr="003003C0">
              <w:rPr>
                <w:color w:val="000000"/>
                <w:sz w:val="15"/>
                <w:szCs w:val="15"/>
              </w:rPr>
              <w:t xml:space="preserve"> - - </w:t>
            </w:r>
            <w:r>
              <w:rPr>
                <w:color w:val="000000"/>
                <w:sz w:val="15"/>
                <w:szCs w:val="15"/>
              </w:rPr>
              <w:t>Clothing</w:t>
            </w:r>
          </w:p>
        </w:tc>
        <w:tc>
          <w:tcPr>
            <w:tcW w:w="630" w:type="pct"/>
            <w:shd w:val="clear" w:color="auto" w:fill="auto"/>
            <w:noWrap/>
            <w:hideMark/>
          </w:tcPr>
          <w:p w14:paraId="268A13D4" w14:textId="77777777" w:rsidR="004F64EF" w:rsidRPr="003003C0" w:rsidRDefault="004F64EF" w:rsidP="001F3C85">
            <w:pPr>
              <w:jc w:val="right"/>
              <w:rPr>
                <w:color w:val="000000"/>
                <w:sz w:val="15"/>
                <w:szCs w:val="15"/>
              </w:rPr>
            </w:pPr>
            <w:r w:rsidRPr="003003C0">
              <w:rPr>
                <w:color w:val="000000"/>
                <w:sz w:val="15"/>
                <w:szCs w:val="15"/>
              </w:rPr>
              <w:t>238</w:t>
            </w:r>
          </w:p>
        </w:tc>
        <w:tc>
          <w:tcPr>
            <w:tcW w:w="593" w:type="pct"/>
            <w:shd w:val="clear" w:color="auto" w:fill="auto"/>
            <w:noWrap/>
            <w:hideMark/>
          </w:tcPr>
          <w:p w14:paraId="1A276616" w14:textId="77777777" w:rsidR="004F64EF" w:rsidRPr="003003C0" w:rsidRDefault="004F64EF" w:rsidP="001F3C85">
            <w:pPr>
              <w:ind w:right="284"/>
              <w:jc w:val="right"/>
              <w:rPr>
                <w:color w:val="000000"/>
                <w:sz w:val="15"/>
                <w:szCs w:val="15"/>
              </w:rPr>
            </w:pPr>
            <w:r w:rsidRPr="003003C0">
              <w:rPr>
                <w:color w:val="000000"/>
                <w:sz w:val="15"/>
                <w:szCs w:val="15"/>
              </w:rPr>
              <w:t>19</w:t>
            </w:r>
            <w:r>
              <w:rPr>
                <w:color w:val="000000"/>
                <w:sz w:val="15"/>
                <w:szCs w:val="15"/>
              </w:rPr>
              <w:t>.</w:t>
            </w:r>
            <w:r w:rsidRPr="003003C0">
              <w:rPr>
                <w:color w:val="000000"/>
                <w:sz w:val="15"/>
                <w:szCs w:val="15"/>
              </w:rPr>
              <w:t>8</w:t>
            </w:r>
          </w:p>
        </w:tc>
        <w:tc>
          <w:tcPr>
            <w:tcW w:w="586" w:type="pct"/>
            <w:shd w:val="clear" w:color="auto" w:fill="auto"/>
            <w:noWrap/>
            <w:hideMark/>
          </w:tcPr>
          <w:p w14:paraId="74842B10" w14:textId="77777777" w:rsidR="004F64EF" w:rsidRPr="003003C0" w:rsidRDefault="004F64EF" w:rsidP="001F3C85">
            <w:pPr>
              <w:jc w:val="center"/>
              <w:rPr>
                <w:color w:val="000000"/>
                <w:sz w:val="15"/>
                <w:szCs w:val="15"/>
              </w:rPr>
            </w:pPr>
            <w:r w:rsidRPr="003003C0">
              <w:rPr>
                <w:color w:val="000000"/>
                <w:sz w:val="15"/>
                <w:szCs w:val="15"/>
              </w:rPr>
              <w:t>3 - 20</w:t>
            </w:r>
          </w:p>
        </w:tc>
        <w:tc>
          <w:tcPr>
            <w:tcW w:w="796" w:type="pct"/>
            <w:shd w:val="clear" w:color="auto" w:fill="auto"/>
            <w:noWrap/>
            <w:hideMark/>
          </w:tcPr>
          <w:p w14:paraId="0D74F32F" w14:textId="77777777" w:rsidR="004F64EF" w:rsidRPr="003003C0" w:rsidRDefault="004F64EF" w:rsidP="001F3C85">
            <w:pPr>
              <w:ind w:right="454"/>
              <w:jc w:val="right"/>
              <w:rPr>
                <w:color w:val="000000"/>
                <w:sz w:val="15"/>
                <w:szCs w:val="15"/>
              </w:rPr>
            </w:pPr>
            <w:r w:rsidRPr="003003C0">
              <w:rPr>
                <w:color w:val="000000"/>
                <w:sz w:val="15"/>
                <w:szCs w:val="15"/>
              </w:rPr>
              <w:t>0</w:t>
            </w:r>
            <w:r>
              <w:rPr>
                <w:color w:val="000000"/>
                <w:sz w:val="15"/>
                <w:szCs w:val="15"/>
              </w:rPr>
              <w:t>.</w:t>
            </w:r>
            <w:r w:rsidRPr="003003C0">
              <w:rPr>
                <w:color w:val="000000"/>
                <w:sz w:val="15"/>
                <w:szCs w:val="15"/>
              </w:rPr>
              <w:t>1</w:t>
            </w:r>
          </w:p>
        </w:tc>
        <w:tc>
          <w:tcPr>
            <w:tcW w:w="1062" w:type="pct"/>
            <w:shd w:val="clear" w:color="auto" w:fill="auto"/>
            <w:noWrap/>
            <w:hideMark/>
          </w:tcPr>
          <w:p w14:paraId="5AA21AFA" w14:textId="77777777" w:rsidR="004F64EF" w:rsidRPr="003003C0" w:rsidRDefault="004F64EF" w:rsidP="001F3C85">
            <w:pPr>
              <w:ind w:right="510"/>
              <w:jc w:val="right"/>
              <w:rPr>
                <w:sz w:val="15"/>
                <w:szCs w:val="15"/>
              </w:rPr>
            </w:pPr>
            <w:r w:rsidRPr="003003C0">
              <w:rPr>
                <w:sz w:val="15"/>
                <w:szCs w:val="15"/>
              </w:rPr>
              <w:t>40 - 40</w:t>
            </w:r>
          </w:p>
        </w:tc>
      </w:tr>
      <w:tr w:rsidR="004F64EF" w:rsidRPr="003003C0" w14:paraId="5B6CF447" w14:textId="77777777" w:rsidTr="001F3C85">
        <w:trPr>
          <w:cantSplit/>
        </w:trPr>
        <w:tc>
          <w:tcPr>
            <w:tcW w:w="1333" w:type="pct"/>
            <w:shd w:val="clear" w:color="auto" w:fill="C9DED4"/>
            <w:noWrap/>
            <w:hideMark/>
          </w:tcPr>
          <w:p w14:paraId="35014E50" w14:textId="77777777" w:rsidR="004F64EF" w:rsidRPr="003003C0" w:rsidRDefault="004F64EF" w:rsidP="00B96E04">
            <w:pPr>
              <w:tabs>
                <w:tab w:val="left" w:pos="170"/>
              </w:tabs>
              <w:ind w:left="316" w:hanging="316"/>
              <w:jc w:val="left"/>
              <w:rPr>
                <w:color w:val="000000"/>
                <w:sz w:val="15"/>
                <w:szCs w:val="15"/>
              </w:rPr>
            </w:pPr>
            <w:r w:rsidRPr="003003C0">
              <w:rPr>
                <w:color w:val="000000"/>
                <w:sz w:val="15"/>
                <w:szCs w:val="15"/>
              </w:rPr>
              <w:t xml:space="preserve"> - - </w:t>
            </w:r>
            <w:r w:rsidRPr="00C13383">
              <w:rPr>
                <w:color w:val="000000"/>
                <w:sz w:val="15"/>
                <w:szCs w:val="15"/>
              </w:rPr>
              <w:t>Leather, rubber, footwear and travel articles</w:t>
            </w:r>
          </w:p>
        </w:tc>
        <w:tc>
          <w:tcPr>
            <w:tcW w:w="630" w:type="pct"/>
            <w:shd w:val="clear" w:color="auto" w:fill="C9DED4"/>
            <w:noWrap/>
            <w:hideMark/>
          </w:tcPr>
          <w:p w14:paraId="0E261959" w14:textId="77777777" w:rsidR="004F64EF" w:rsidRPr="003003C0" w:rsidRDefault="004F64EF" w:rsidP="001F3C85">
            <w:pPr>
              <w:jc w:val="right"/>
              <w:rPr>
                <w:color w:val="000000"/>
                <w:sz w:val="15"/>
                <w:szCs w:val="15"/>
              </w:rPr>
            </w:pPr>
            <w:r w:rsidRPr="003003C0">
              <w:rPr>
                <w:color w:val="000000"/>
                <w:sz w:val="15"/>
                <w:szCs w:val="15"/>
              </w:rPr>
              <w:t>210</w:t>
            </w:r>
          </w:p>
        </w:tc>
        <w:tc>
          <w:tcPr>
            <w:tcW w:w="593" w:type="pct"/>
            <w:shd w:val="clear" w:color="auto" w:fill="C9DED4"/>
            <w:noWrap/>
            <w:hideMark/>
          </w:tcPr>
          <w:p w14:paraId="66A72D58" w14:textId="77777777" w:rsidR="004F64EF" w:rsidRPr="003003C0" w:rsidRDefault="004F64EF" w:rsidP="001F3C85">
            <w:pPr>
              <w:ind w:right="284"/>
              <w:jc w:val="right"/>
              <w:rPr>
                <w:color w:val="000000"/>
                <w:sz w:val="15"/>
                <w:szCs w:val="15"/>
              </w:rPr>
            </w:pPr>
            <w:r w:rsidRPr="003003C0">
              <w:rPr>
                <w:color w:val="000000"/>
                <w:sz w:val="15"/>
                <w:szCs w:val="15"/>
              </w:rPr>
              <w:t>10</w:t>
            </w:r>
            <w:r>
              <w:rPr>
                <w:color w:val="000000"/>
                <w:sz w:val="15"/>
                <w:szCs w:val="15"/>
              </w:rPr>
              <w:t>.</w:t>
            </w:r>
            <w:r w:rsidRPr="003003C0">
              <w:rPr>
                <w:color w:val="000000"/>
                <w:sz w:val="15"/>
                <w:szCs w:val="15"/>
              </w:rPr>
              <w:t>1</w:t>
            </w:r>
          </w:p>
        </w:tc>
        <w:tc>
          <w:tcPr>
            <w:tcW w:w="586" w:type="pct"/>
            <w:shd w:val="clear" w:color="auto" w:fill="C9DED4"/>
            <w:noWrap/>
            <w:hideMark/>
          </w:tcPr>
          <w:p w14:paraId="368363C8" w14:textId="77777777" w:rsidR="004F64EF" w:rsidRPr="003003C0" w:rsidRDefault="004F64EF" w:rsidP="001F3C85">
            <w:pPr>
              <w:jc w:val="center"/>
              <w:rPr>
                <w:color w:val="000000"/>
                <w:sz w:val="15"/>
                <w:szCs w:val="15"/>
              </w:rPr>
            </w:pPr>
            <w:r w:rsidRPr="003003C0">
              <w:rPr>
                <w:color w:val="000000"/>
                <w:sz w:val="15"/>
                <w:szCs w:val="15"/>
              </w:rPr>
              <w:t>0 - 20</w:t>
            </w:r>
          </w:p>
        </w:tc>
        <w:tc>
          <w:tcPr>
            <w:tcW w:w="796" w:type="pct"/>
            <w:shd w:val="clear" w:color="auto" w:fill="C9DED4"/>
            <w:noWrap/>
            <w:hideMark/>
          </w:tcPr>
          <w:p w14:paraId="6997CF30" w14:textId="77777777" w:rsidR="004F64EF" w:rsidRPr="003003C0" w:rsidRDefault="004F64EF" w:rsidP="001F3C85">
            <w:pPr>
              <w:ind w:right="454"/>
              <w:jc w:val="right"/>
              <w:rPr>
                <w:color w:val="000000"/>
                <w:sz w:val="15"/>
                <w:szCs w:val="15"/>
              </w:rPr>
            </w:pPr>
            <w:r w:rsidRPr="003003C0">
              <w:rPr>
                <w:color w:val="000000"/>
                <w:sz w:val="15"/>
                <w:szCs w:val="15"/>
              </w:rPr>
              <w:t>0</w:t>
            </w:r>
            <w:r>
              <w:rPr>
                <w:color w:val="000000"/>
                <w:sz w:val="15"/>
                <w:szCs w:val="15"/>
              </w:rPr>
              <w:t>.</w:t>
            </w:r>
            <w:r w:rsidRPr="003003C0">
              <w:rPr>
                <w:color w:val="000000"/>
                <w:sz w:val="15"/>
                <w:szCs w:val="15"/>
              </w:rPr>
              <w:t>9</w:t>
            </w:r>
          </w:p>
        </w:tc>
        <w:tc>
          <w:tcPr>
            <w:tcW w:w="1062" w:type="pct"/>
            <w:shd w:val="clear" w:color="auto" w:fill="C9DED4"/>
            <w:noWrap/>
            <w:hideMark/>
          </w:tcPr>
          <w:p w14:paraId="7FF454FA" w14:textId="77777777" w:rsidR="004F64EF" w:rsidRPr="003003C0" w:rsidRDefault="004F64EF" w:rsidP="001F3C85">
            <w:pPr>
              <w:ind w:right="510"/>
              <w:jc w:val="right"/>
              <w:rPr>
                <w:sz w:val="15"/>
                <w:szCs w:val="15"/>
              </w:rPr>
            </w:pPr>
            <w:r w:rsidRPr="003003C0">
              <w:rPr>
                <w:sz w:val="15"/>
                <w:szCs w:val="15"/>
              </w:rPr>
              <w:t>30 - 40</w:t>
            </w:r>
          </w:p>
        </w:tc>
      </w:tr>
      <w:tr w:rsidR="004F64EF" w:rsidRPr="003003C0" w14:paraId="0BE993FA" w14:textId="77777777" w:rsidTr="001F3C85">
        <w:trPr>
          <w:cantSplit/>
        </w:trPr>
        <w:tc>
          <w:tcPr>
            <w:tcW w:w="1333" w:type="pct"/>
            <w:shd w:val="clear" w:color="auto" w:fill="auto"/>
            <w:noWrap/>
            <w:hideMark/>
          </w:tcPr>
          <w:p w14:paraId="7DE43290" w14:textId="77777777" w:rsidR="004F64EF" w:rsidRPr="003003C0" w:rsidRDefault="004F64EF" w:rsidP="001F3C85">
            <w:pPr>
              <w:tabs>
                <w:tab w:val="left" w:pos="284"/>
              </w:tabs>
              <w:jc w:val="left"/>
              <w:rPr>
                <w:color w:val="000000"/>
                <w:sz w:val="15"/>
                <w:szCs w:val="15"/>
              </w:rPr>
            </w:pPr>
            <w:r w:rsidRPr="003003C0">
              <w:rPr>
                <w:color w:val="000000"/>
                <w:sz w:val="15"/>
                <w:szCs w:val="15"/>
              </w:rPr>
              <w:t xml:space="preserve"> - - </w:t>
            </w:r>
            <w:r w:rsidRPr="00C13383">
              <w:rPr>
                <w:color w:val="000000"/>
                <w:sz w:val="15"/>
                <w:szCs w:val="15"/>
              </w:rPr>
              <w:t>Non-electrical machinery</w:t>
            </w:r>
          </w:p>
        </w:tc>
        <w:tc>
          <w:tcPr>
            <w:tcW w:w="630" w:type="pct"/>
            <w:shd w:val="clear" w:color="auto" w:fill="auto"/>
            <w:noWrap/>
            <w:hideMark/>
          </w:tcPr>
          <w:p w14:paraId="3674B84C" w14:textId="77777777" w:rsidR="004F64EF" w:rsidRPr="003003C0" w:rsidRDefault="004F64EF" w:rsidP="001F3C85">
            <w:pPr>
              <w:jc w:val="right"/>
              <w:rPr>
                <w:color w:val="000000"/>
                <w:sz w:val="15"/>
                <w:szCs w:val="15"/>
              </w:rPr>
            </w:pPr>
            <w:r w:rsidRPr="003003C0">
              <w:rPr>
                <w:color w:val="000000"/>
                <w:sz w:val="15"/>
                <w:szCs w:val="15"/>
              </w:rPr>
              <w:t>695</w:t>
            </w:r>
          </w:p>
        </w:tc>
        <w:tc>
          <w:tcPr>
            <w:tcW w:w="593" w:type="pct"/>
            <w:shd w:val="clear" w:color="auto" w:fill="auto"/>
            <w:noWrap/>
            <w:hideMark/>
          </w:tcPr>
          <w:p w14:paraId="36CF0A5C" w14:textId="77777777" w:rsidR="004F64EF" w:rsidRPr="003003C0" w:rsidRDefault="004F64EF" w:rsidP="001F3C85">
            <w:pPr>
              <w:ind w:right="284"/>
              <w:jc w:val="right"/>
              <w:rPr>
                <w:color w:val="000000"/>
                <w:sz w:val="15"/>
                <w:szCs w:val="15"/>
              </w:rPr>
            </w:pPr>
            <w:r w:rsidRPr="003003C0">
              <w:rPr>
                <w:color w:val="000000"/>
                <w:sz w:val="15"/>
                <w:szCs w:val="15"/>
              </w:rPr>
              <w:t>1</w:t>
            </w:r>
            <w:r>
              <w:rPr>
                <w:color w:val="000000"/>
                <w:sz w:val="15"/>
                <w:szCs w:val="15"/>
              </w:rPr>
              <w:t>.</w:t>
            </w:r>
            <w:r w:rsidRPr="003003C0">
              <w:rPr>
                <w:color w:val="000000"/>
                <w:sz w:val="15"/>
                <w:szCs w:val="15"/>
              </w:rPr>
              <w:t>6</w:t>
            </w:r>
          </w:p>
        </w:tc>
        <w:tc>
          <w:tcPr>
            <w:tcW w:w="586" w:type="pct"/>
            <w:shd w:val="clear" w:color="auto" w:fill="auto"/>
            <w:noWrap/>
            <w:hideMark/>
          </w:tcPr>
          <w:p w14:paraId="3FCD4197" w14:textId="77777777" w:rsidR="004F64EF" w:rsidRPr="003003C0" w:rsidRDefault="004F64EF" w:rsidP="001F3C85">
            <w:pPr>
              <w:jc w:val="center"/>
              <w:rPr>
                <w:color w:val="000000"/>
                <w:sz w:val="15"/>
                <w:szCs w:val="15"/>
              </w:rPr>
            </w:pPr>
            <w:r w:rsidRPr="003003C0">
              <w:rPr>
                <w:color w:val="000000"/>
                <w:sz w:val="15"/>
                <w:szCs w:val="15"/>
              </w:rPr>
              <w:t>0 - 20</w:t>
            </w:r>
          </w:p>
        </w:tc>
        <w:tc>
          <w:tcPr>
            <w:tcW w:w="796" w:type="pct"/>
            <w:shd w:val="clear" w:color="auto" w:fill="auto"/>
            <w:noWrap/>
            <w:hideMark/>
          </w:tcPr>
          <w:p w14:paraId="405A1359" w14:textId="77777777" w:rsidR="004F64EF" w:rsidRPr="003003C0" w:rsidRDefault="004F64EF" w:rsidP="001F3C85">
            <w:pPr>
              <w:ind w:right="454"/>
              <w:jc w:val="right"/>
              <w:rPr>
                <w:color w:val="000000"/>
                <w:sz w:val="15"/>
                <w:szCs w:val="15"/>
              </w:rPr>
            </w:pPr>
            <w:r w:rsidRPr="003003C0">
              <w:rPr>
                <w:color w:val="000000"/>
                <w:sz w:val="15"/>
                <w:szCs w:val="15"/>
              </w:rPr>
              <w:t>3</w:t>
            </w:r>
            <w:r>
              <w:rPr>
                <w:color w:val="000000"/>
                <w:sz w:val="15"/>
                <w:szCs w:val="15"/>
              </w:rPr>
              <w:t>.</w:t>
            </w:r>
            <w:r w:rsidRPr="003003C0">
              <w:rPr>
                <w:color w:val="000000"/>
                <w:sz w:val="15"/>
                <w:szCs w:val="15"/>
              </w:rPr>
              <w:t>0</w:t>
            </w:r>
          </w:p>
        </w:tc>
        <w:tc>
          <w:tcPr>
            <w:tcW w:w="1062" w:type="pct"/>
            <w:shd w:val="clear" w:color="auto" w:fill="auto"/>
            <w:noWrap/>
            <w:hideMark/>
          </w:tcPr>
          <w:p w14:paraId="5AA520D6" w14:textId="77777777" w:rsidR="004F64EF" w:rsidRPr="003003C0" w:rsidRDefault="004F64EF" w:rsidP="001F3C85">
            <w:pPr>
              <w:ind w:right="510"/>
              <w:jc w:val="right"/>
              <w:rPr>
                <w:sz w:val="15"/>
                <w:szCs w:val="15"/>
              </w:rPr>
            </w:pPr>
            <w:r w:rsidRPr="003003C0">
              <w:rPr>
                <w:sz w:val="15"/>
                <w:szCs w:val="15"/>
              </w:rPr>
              <w:t>0 - 40</w:t>
            </w:r>
          </w:p>
        </w:tc>
      </w:tr>
      <w:tr w:rsidR="004F64EF" w:rsidRPr="003003C0" w14:paraId="52D08CC7" w14:textId="77777777" w:rsidTr="001F3C85">
        <w:trPr>
          <w:cantSplit/>
        </w:trPr>
        <w:tc>
          <w:tcPr>
            <w:tcW w:w="1333" w:type="pct"/>
            <w:shd w:val="clear" w:color="auto" w:fill="C9DED4"/>
            <w:noWrap/>
            <w:hideMark/>
          </w:tcPr>
          <w:p w14:paraId="1ADE9652" w14:textId="77777777" w:rsidR="004F64EF" w:rsidRPr="003003C0" w:rsidRDefault="004F64EF" w:rsidP="001F3C85">
            <w:pPr>
              <w:tabs>
                <w:tab w:val="left" w:pos="284"/>
              </w:tabs>
              <w:jc w:val="left"/>
              <w:rPr>
                <w:color w:val="000000"/>
                <w:sz w:val="15"/>
                <w:szCs w:val="15"/>
              </w:rPr>
            </w:pPr>
            <w:r w:rsidRPr="003003C0">
              <w:rPr>
                <w:color w:val="000000"/>
                <w:sz w:val="15"/>
                <w:szCs w:val="15"/>
              </w:rPr>
              <w:t xml:space="preserve"> - - </w:t>
            </w:r>
            <w:r w:rsidRPr="00C13383">
              <w:rPr>
                <w:color w:val="000000"/>
                <w:sz w:val="15"/>
                <w:szCs w:val="15"/>
              </w:rPr>
              <w:t>Electrical machinery</w:t>
            </w:r>
          </w:p>
        </w:tc>
        <w:tc>
          <w:tcPr>
            <w:tcW w:w="630" w:type="pct"/>
            <w:shd w:val="clear" w:color="auto" w:fill="C9DED4"/>
            <w:noWrap/>
            <w:hideMark/>
          </w:tcPr>
          <w:p w14:paraId="6839799D" w14:textId="77777777" w:rsidR="004F64EF" w:rsidRPr="003003C0" w:rsidRDefault="004F64EF" w:rsidP="001F3C85">
            <w:pPr>
              <w:jc w:val="right"/>
              <w:rPr>
                <w:color w:val="000000"/>
                <w:sz w:val="15"/>
                <w:szCs w:val="15"/>
              </w:rPr>
            </w:pPr>
            <w:r w:rsidRPr="003003C0">
              <w:rPr>
                <w:color w:val="000000"/>
                <w:sz w:val="15"/>
                <w:szCs w:val="15"/>
              </w:rPr>
              <w:t>373</w:t>
            </w:r>
          </w:p>
        </w:tc>
        <w:tc>
          <w:tcPr>
            <w:tcW w:w="593" w:type="pct"/>
            <w:shd w:val="clear" w:color="auto" w:fill="C9DED4"/>
            <w:noWrap/>
            <w:hideMark/>
          </w:tcPr>
          <w:p w14:paraId="7FFB7437" w14:textId="77777777" w:rsidR="004F64EF" w:rsidRPr="003003C0" w:rsidRDefault="004F64EF" w:rsidP="001F3C85">
            <w:pPr>
              <w:ind w:right="284"/>
              <w:jc w:val="right"/>
              <w:rPr>
                <w:color w:val="000000"/>
                <w:sz w:val="15"/>
                <w:szCs w:val="15"/>
              </w:rPr>
            </w:pPr>
            <w:r w:rsidRPr="003003C0">
              <w:rPr>
                <w:color w:val="000000"/>
                <w:sz w:val="15"/>
                <w:szCs w:val="15"/>
              </w:rPr>
              <w:t>6</w:t>
            </w:r>
            <w:r>
              <w:rPr>
                <w:color w:val="000000"/>
                <w:sz w:val="15"/>
                <w:szCs w:val="15"/>
              </w:rPr>
              <w:t>.</w:t>
            </w:r>
            <w:r w:rsidRPr="003003C0">
              <w:rPr>
                <w:color w:val="000000"/>
                <w:sz w:val="15"/>
                <w:szCs w:val="15"/>
              </w:rPr>
              <w:t>1</w:t>
            </w:r>
          </w:p>
        </w:tc>
        <w:tc>
          <w:tcPr>
            <w:tcW w:w="586" w:type="pct"/>
            <w:shd w:val="clear" w:color="auto" w:fill="C9DED4"/>
            <w:noWrap/>
            <w:hideMark/>
          </w:tcPr>
          <w:p w14:paraId="6CA66FAB" w14:textId="77777777" w:rsidR="004F64EF" w:rsidRPr="003003C0" w:rsidRDefault="004F64EF" w:rsidP="001F3C85">
            <w:pPr>
              <w:jc w:val="center"/>
              <w:rPr>
                <w:color w:val="000000"/>
                <w:sz w:val="15"/>
                <w:szCs w:val="15"/>
              </w:rPr>
            </w:pPr>
            <w:r w:rsidRPr="003003C0">
              <w:rPr>
                <w:color w:val="000000"/>
                <w:sz w:val="15"/>
                <w:szCs w:val="15"/>
              </w:rPr>
              <w:t>0 - 20</w:t>
            </w:r>
          </w:p>
        </w:tc>
        <w:tc>
          <w:tcPr>
            <w:tcW w:w="796" w:type="pct"/>
            <w:shd w:val="clear" w:color="auto" w:fill="C9DED4"/>
            <w:noWrap/>
            <w:hideMark/>
          </w:tcPr>
          <w:p w14:paraId="4816DF8B" w14:textId="77777777" w:rsidR="004F64EF" w:rsidRPr="003003C0" w:rsidRDefault="004F64EF" w:rsidP="001F3C85">
            <w:pPr>
              <w:ind w:right="454"/>
              <w:jc w:val="right"/>
              <w:rPr>
                <w:color w:val="000000"/>
                <w:sz w:val="15"/>
                <w:szCs w:val="15"/>
              </w:rPr>
            </w:pPr>
            <w:r w:rsidRPr="003003C0">
              <w:rPr>
                <w:color w:val="000000"/>
                <w:sz w:val="15"/>
                <w:szCs w:val="15"/>
              </w:rPr>
              <w:t>1</w:t>
            </w:r>
            <w:r>
              <w:rPr>
                <w:color w:val="000000"/>
                <w:sz w:val="15"/>
                <w:szCs w:val="15"/>
              </w:rPr>
              <w:t>.</w:t>
            </w:r>
            <w:r w:rsidRPr="003003C0">
              <w:rPr>
                <w:color w:val="000000"/>
                <w:sz w:val="15"/>
                <w:szCs w:val="15"/>
              </w:rPr>
              <w:t>3</w:t>
            </w:r>
          </w:p>
        </w:tc>
        <w:tc>
          <w:tcPr>
            <w:tcW w:w="1062" w:type="pct"/>
            <w:shd w:val="clear" w:color="auto" w:fill="C9DED4"/>
            <w:noWrap/>
            <w:hideMark/>
          </w:tcPr>
          <w:p w14:paraId="308AAB0B" w14:textId="77777777" w:rsidR="004F64EF" w:rsidRPr="003003C0" w:rsidRDefault="004F64EF" w:rsidP="001F3C85">
            <w:pPr>
              <w:ind w:right="510"/>
              <w:jc w:val="right"/>
              <w:rPr>
                <w:sz w:val="15"/>
                <w:szCs w:val="15"/>
              </w:rPr>
            </w:pPr>
            <w:r w:rsidRPr="003003C0">
              <w:rPr>
                <w:sz w:val="15"/>
                <w:szCs w:val="15"/>
              </w:rPr>
              <w:t>0 - 35</w:t>
            </w:r>
          </w:p>
        </w:tc>
      </w:tr>
      <w:tr w:rsidR="004F64EF" w:rsidRPr="003003C0" w14:paraId="0D4F747F" w14:textId="77777777" w:rsidTr="001F3C85">
        <w:trPr>
          <w:cantSplit/>
        </w:trPr>
        <w:tc>
          <w:tcPr>
            <w:tcW w:w="1333" w:type="pct"/>
            <w:shd w:val="clear" w:color="auto" w:fill="auto"/>
            <w:noWrap/>
            <w:hideMark/>
          </w:tcPr>
          <w:p w14:paraId="25B58895" w14:textId="77777777" w:rsidR="004F64EF" w:rsidRPr="003003C0" w:rsidRDefault="004F64EF" w:rsidP="001F3C85">
            <w:pPr>
              <w:tabs>
                <w:tab w:val="left" w:pos="284"/>
              </w:tabs>
              <w:jc w:val="left"/>
              <w:rPr>
                <w:color w:val="000000"/>
                <w:sz w:val="15"/>
                <w:szCs w:val="15"/>
              </w:rPr>
            </w:pPr>
            <w:r w:rsidRPr="003003C0">
              <w:rPr>
                <w:color w:val="000000"/>
                <w:sz w:val="15"/>
                <w:szCs w:val="15"/>
              </w:rPr>
              <w:t xml:space="preserve"> - - </w:t>
            </w:r>
            <w:r w:rsidRPr="00C13383">
              <w:rPr>
                <w:color w:val="000000"/>
                <w:sz w:val="15"/>
                <w:szCs w:val="15"/>
              </w:rPr>
              <w:t>Transport equipment</w:t>
            </w:r>
          </w:p>
        </w:tc>
        <w:tc>
          <w:tcPr>
            <w:tcW w:w="630" w:type="pct"/>
            <w:shd w:val="clear" w:color="auto" w:fill="auto"/>
            <w:noWrap/>
            <w:hideMark/>
          </w:tcPr>
          <w:p w14:paraId="4045913F" w14:textId="77777777" w:rsidR="004F64EF" w:rsidRPr="003003C0" w:rsidRDefault="004F64EF" w:rsidP="001F3C85">
            <w:pPr>
              <w:jc w:val="right"/>
              <w:rPr>
                <w:color w:val="000000"/>
                <w:sz w:val="15"/>
                <w:szCs w:val="15"/>
              </w:rPr>
            </w:pPr>
            <w:r w:rsidRPr="003003C0">
              <w:rPr>
                <w:color w:val="000000"/>
                <w:sz w:val="15"/>
                <w:szCs w:val="15"/>
              </w:rPr>
              <w:t>301</w:t>
            </w:r>
          </w:p>
        </w:tc>
        <w:tc>
          <w:tcPr>
            <w:tcW w:w="593" w:type="pct"/>
            <w:shd w:val="clear" w:color="auto" w:fill="auto"/>
            <w:noWrap/>
            <w:hideMark/>
          </w:tcPr>
          <w:p w14:paraId="47E204EA" w14:textId="77777777" w:rsidR="004F64EF" w:rsidRPr="003003C0" w:rsidRDefault="004F64EF" w:rsidP="001F3C85">
            <w:pPr>
              <w:ind w:right="284"/>
              <w:jc w:val="right"/>
              <w:rPr>
                <w:color w:val="000000"/>
                <w:sz w:val="15"/>
                <w:szCs w:val="15"/>
              </w:rPr>
            </w:pPr>
            <w:r w:rsidRPr="003003C0">
              <w:rPr>
                <w:color w:val="000000"/>
                <w:sz w:val="15"/>
                <w:szCs w:val="15"/>
              </w:rPr>
              <w:t>9</w:t>
            </w:r>
            <w:r>
              <w:rPr>
                <w:color w:val="000000"/>
                <w:sz w:val="15"/>
                <w:szCs w:val="15"/>
              </w:rPr>
              <w:t>.</w:t>
            </w:r>
            <w:r w:rsidRPr="003003C0">
              <w:rPr>
                <w:color w:val="000000"/>
                <w:sz w:val="15"/>
                <w:szCs w:val="15"/>
              </w:rPr>
              <w:t>5</w:t>
            </w:r>
          </w:p>
        </w:tc>
        <w:tc>
          <w:tcPr>
            <w:tcW w:w="586" w:type="pct"/>
            <w:shd w:val="clear" w:color="auto" w:fill="auto"/>
            <w:noWrap/>
            <w:hideMark/>
          </w:tcPr>
          <w:p w14:paraId="44E3557B" w14:textId="77777777" w:rsidR="004F64EF" w:rsidRPr="003003C0" w:rsidRDefault="004F64EF" w:rsidP="001F3C85">
            <w:pPr>
              <w:jc w:val="center"/>
              <w:rPr>
                <w:color w:val="000000"/>
                <w:sz w:val="15"/>
                <w:szCs w:val="15"/>
              </w:rPr>
            </w:pPr>
            <w:r w:rsidRPr="003003C0">
              <w:rPr>
                <w:color w:val="000000"/>
                <w:sz w:val="15"/>
                <w:szCs w:val="15"/>
              </w:rPr>
              <w:t>0 - 20</w:t>
            </w:r>
          </w:p>
        </w:tc>
        <w:tc>
          <w:tcPr>
            <w:tcW w:w="796" w:type="pct"/>
            <w:shd w:val="clear" w:color="auto" w:fill="auto"/>
            <w:noWrap/>
            <w:hideMark/>
          </w:tcPr>
          <w:p w14:paraId="60532CAB" w14:textId="77777777" w:rsidR="004F64EF" w:rsidRPr="003003C0" w:rsidRDefault="004F64EF" w:rsidP="001F3C85">
            <w:pPr>
              <w:ind w:right="454"/>
              <w:jc w:val="right"/>
              <w:rPr>
                <w:color w:val="000000"/>
                <w:sz w:val="15"/>
                <w:szCs w:val="15"/>
              </w:rPr>
            </w:pPr>
            <w:r w:rsidRPr="003003C0">
              <w:rPr>
                <w:color w:val="000000"/>
                <w:sz w:val="15"/>
                <w:szCs w:val="15"/>
              </w:rPr>
              <w:t>0</w:t>
            </w:r>
            <w:r>
              <w:rPr>
                <w:color w:val="000000"/>
                <w:sz w:val="15"/>
                <w:szCs w:val="15"/>
              </w:rPr>
              <w:t>.</w:t>
            </w:r>
            <w:r w:rsidRPr="003003C0">
              <w:rPr>
                <w:color w:val="000000"/>
                <w:sz w:val="15"/>
                <w:szCs w:val="15"/>
              </w:rPr>
              <w:t>8</w:t>
            </w:r>
          </w:p>
        </w:tc>
        <w:tc>
          <w:tcPr>
            <w:tcW w:w="1062" w:type="pct"/>
            <w:shd w:val="clear" w:color="auto" w:fill="auto"/>
            <w:noWrap/>
            <w:hideMark/>
          </w:tcPr>
          <w:p w14:paraId="71E585EB" w14:textId="77777777" w:rsidR="004F64EF" w:rsidRPr="003003C0" w:rsidRDefault="004F64EF" w:rsidP="001F3C85">
            <w:pPr>
              <w:ind w:right="510"/>
              <w:jc w:val="right"/>
              <w:rPr>
                <w:sz w:val="15"/>
                <w:szCs w:val="15"/>
              </w:rPr>
            </w:pPr>
            <w:r w:rsidRPr="003003C0">
              <w:rPr>
                <w:sz w:val="15"/>
                <w:szCs w:val="15"/>
              </w:rPr>
              <w:t>30 - 40</w:t>
            </w:r>
          </w:p>
        </w:tc>
      </w:tr>
      <w:tr w:rsidR="004F64EF" w:rsidRPr="003003C0" w14:paraId="37C77761" w14:textId="77777777" w:rsidTr="001F3C85">
        <w:trPr>
          <w:cantSplit/>
        </w:trPr>
        <w:tc>
          <w:tcPr>
            <w:tcW w:w="1333" w:type="pct"/>
            <w:shd w:val="clear" w:color="auto" w:fill="C9DED4"/>
            <w:noWrap/>
            <w:hideMark/>
          </w:tcPr>
          <w:p w14:paraId="3C34E3CF" w14:textId="77777777" w:rsidR="004F64EF" w:rsidRPr="003003C0" w:rsidRDefault="004F64EF" w:rsidP="00B96E04">
            <w:pPr>
              <w:tabs>
                <w:tab w:val="left" w:pos="170"/>
              </w:tabs>
              <w:ind w:left="316" w:hanging="316"/>
              <w:jc w:val="left"/>
              <w:rPr>
                <w:color w:val="000000"/>
                <w:sz w:val="15"/>
                <w:szCs w:val="15"/>
              </w:rPr>
            </w:pPr>
            <w:r w:rsidRPr="003003C0">
              <w:rPr>
                <w:color w:val="000000"/>
                <w:sz w:val="15"/>
                <w:szCs w:val="15"/>
              </w:rPr>
              <w:t xml:space="preserve"> - - </w:t>
            </w:r>
            <w:r w:rsidRPr="00C13383">
              <w:rPr>
                <w:color w:val="000000"/>
                <w:sz w:val="15"/>
                <w:szCs w:val="15"/>
              </w:rPr>
              <w:t xml:space="preserve">Non-agricultural products </w:t>
            </w:r>
            <w:proofErr w:type="spellStart"/>
            <w:r w:rsidRPr="00C13383">
              <w:rPr>
                <w:color w:val="000000"/>
                <w:sz w:val="15"/>
                <w:szCs w:val="15"/>
              </w:rPr>
              <w:t>n.e.s.</w:t>
            </w:r>
            <w:proofErr w:type="spellEnd"/>
          </w:p>
        </w:tc>
        <w:tc>
          <w:tcPr>
            <w:tcW w:w="630" w:type="pct"/>
            <w:shd w:val="clear" w:color="auto" w:fill="C9DED4"/>
            <w:noWrap/>
            <w:hideMark/>
          </w:tcPr>
          <w:p w14:paraId="54145477" w14:textId="77777777" w:rsidR="004F64EF" w:rsidRPr="003003C0" w:rsidRDefault="004F64EF" w:rsidP="001F3C85">
            <w:pPr>
              <w:jc w:val="right"/>
              <w:rPr>
                <w:color w:val="000000"/>
                <w:sz w:val="15"/>
                <w:szCs w:val="15"/>
              </w:rPr>
            </w:pPr>
            <w:r w:rsidRPr="003003C0">
              <w:rPr>
                <w:color w:val="000000"/>
                <w:sz w:val="15"/>
                <w:szCs w:val="15"/>
              </w:rPr>
              <w:t>582</w:t>
            </w:r>
          </w:p>
        </w:tc>
        <w:tc>
          <w:tcPr>
            <w:tcW w:w="593" w:type="pct"/>
            <w:shd w:val="clear" w:color="auto" w:fill="C9DED4"/>
            <w:noWrap/>
            <w:hideMark/>
          </w:tcPr>
          <w:p w14:paraId="2AF93206" w14:textId="77777777" w:rsidR="004F64EF" w:rsidRPr="003003C0" w:rsidRDefault="004F64EF" w:rsidP="001F3C85">
            <w:pPr>
              <w:ind w:right="284"/>
              <w:jc w:val="right"/>
              <w:rPr>
                <w:color w:val="000000"/>
                <w:sz w:val="15"/>
                <w:szCs w:val="15"/>
              </w:rPr>
            </w:pPr>
            <w:r w:rsidRPr="003003C0">
              <w:rPr>
                <w:color w:val="000000"/>
                <w:sz w:val="15"/>
                <w:szCs w:val="15"/>
              </w:rPr>
              <w:t>10</w:t>
            </w:r>
            <w:r>
              <w:rPr>
                <w:color w:val="000000"/>
                <w:sz w:val="15"/>
                <w:szCs w:val="15"/>
              </w:rPr>
              <w:t>.</w:t>
            </w:r>
            <w:r w:rsidRPr="003003C0">
              <w:rPr>
                <w:color w:val="000000"/>
                <w:sz w:val="15"/>
                <w:szCs w:val="15"/>
              </w:rPr>
              <w:t>5</w:t>
            </w:r>
          </w:p>
        </w:tc>
        <w:tc>
          <w:tcPr>
            <w:tcW w:w="586" w:type="pct"/>
            <w:shd w:val="clear" w:color="auto" w:fill="C9DED4"/>
            <w:noWrap/>
            <w:hideMark/>
          </w:tcPr>
          <w:p w14:paraId="3500CD06" w14:textId="77777777" w:rsidR="004F64EF" w:rsidRPr="003003C0" w:rsidRDefault="004F64EF" w:rsidP="001F3C85">
            <w:pPr>
              <w:jc w:val="center"/>
              <w:rPr>
                <w:color w:val="000000"/>
                <w:sz w:val="15"/>
                <w:szCs w:val="15"/>
              </w:rPr>
            </w:pPr>
            <w:r w:rsidRPr="003003C0">
              <w:rPr>
                <w:color w:val="000000"/>
                <w:sz w:val="15"/>
                <w:szCs w:val="15"/>
              </w:rPr>
              <w:t>0 - 20</w:t>
            </w:r>
          </w:p>
        </w:tc>
        <w:tc>
          <w:tcPr>
            <w:tcW w:w="796" w:type="pct"/>
            <w:shd w:val="clear" w:color="auto" w:fill="C9DED4"/>
            <w:noWrap/>
            <w:hideMark/>
          </w:tcPr>
          <w:p w14:paraId="7AC62589" w14:textId="77777777" w:rsidR="004F64EF" w:rsidRPr="003003C0" w:rsidRDefault="004F64EF" w:rsidP="001F3C85">
            <w:pPr>
              <w:ind w:right="454"/>
              <w:jc w:val="right"/>
              <w:rPr>
                <w:color w:val="000000"/>
                <w:sz w:val="15"/>
                <w:szCs w:val="15"/>
              </w:rPr>
            </w:pPr>
            <w:r w:rsidRPr="003003C0">
              <w:rPr>
                <w:color w:val="000000"/>
                <w:sz w:val="15"/>
                <w:szCs w:val="15"/>
              </w:rPr>
              <w:t>0</w:t>
            </w:r>
            <w:r>
              <w:rPr>
                <w:color w:val="000000"/>
                <w:sz w:val="15"/>
                <w:szCs w:val="15"/>
              </w:rPr>
              <w:t>.</w:t>
            </w:r>
            <w:r w:rsidRPr="003003C0">
              <w:rPr>
                <w:color w:val="000000"/>
                <w:sz w:val="15"/>
                <w:szCs w:val="15"/>
              </w:rPr>
              <w:t>9</w:t>
            </w:r>
          </w:p>
        </w:tc>
        <w:tc>
          <w:tcPr>
            <w:tcW w:w="1062" w:type="pct"/>
            <w:shd w:val="clear" w:color="auto" w:fill="C9DED4"/>
            <w:noWrap/>
            <w:hideMark/>
          </w:tcPr>
          <w:p w14:paraId="1E9AE81E" w14:textId="77777777" w:rsidR="004F64EF" w:rsidRPr="003003C0" w:rsidRDefault="004F64EF" w:rsidP="001F3C85">
            <w:pPr>
              <w:ind w:right="510"/>
              <w:jc w:val="right"/>
              <w:rPr>
                <w:sz w:val="15"/>
                <w:szCs w:val="15"/>
              </w:rPr>
            </w:pPr>
            <w:r w:rsidRPr="003003C0">
              <w:rPr>
                <w:sz w:val="15"/>
                <w:szCs w:val="15"/>
              </w:rPr>
              <w:t>0 - 40</w:t>
            </w:r>
          </w:p>
        </w:tc>
      </w:tr>
      <w:tr w:rsidR="004F64EF" w:rsidRPr="003003C0" w14:paraId="583EA9B9" w14:textId="77777777" w:rsidTr="001F3C85">
        <w:trPr>
          <w:cantSplit/>
        </w:trPr>
        <w:tc>
          <w:tcPr>
            <w:tcW w:w="1333" w:type="pct"/>
            <w:shd w:val="clear" w:color="auto" w:fill="auto"/>
            <w:noWrap/>
            <w:hideMark/>
          </w:tcPr>
          <w:p w14:paraId="7A3B8BB7" w14:textId="77777777" w:rsidR="004F64EF" w:rsidRPr="003003C0" w:rsidRDefault="004F64EF" w:rsidP="001F3C85">
            <w:pPr>
              <w:jc w:val="left"/>
              <w:rPr>
                <w:color w:val="000000"/>
                <w:sz w:val="15"/>
                <w:szCs w:val="15"/>
              </w:rPr>
            </w:pPr>
            <w:r w:rsidRPr="003003C0">
              <w:rPr>
                <w:color w:val="000000"/>
                <w:sz w:val="15"/>
                <w:szCs w:val="15"/>
              </w:rPr>
              <w:t xml:space="preserve"> - Petr</w:t>
            </w:r>
            <w:r>
              <w:rPr>
                <w:color w:val="000000"/>
                <w:sz w:val="15"/>
                <w:szCs w:val="15"/>
              </w:rPr>
              <w:t>oleum</w:t>
            </w:r>
          </w:p>
        </w:tc>
        <w:tc>
          <w:tcPr>
            <w:tcW w:w="630" w:type="pct"/>
            <w:shd w:val="clear" w:color="auto" w:fill="auto"/>
            <w:noWrap/>
            <w:hideMark/>
          </w:tcPr>
          <w:p w14:paraId="596BF69F" w14:textId="77777777" w:rsidR="004F64EF" w:rsidRPr="003003C0" w:rsidRDefault="004F64EF" w:rsidP="001F3C85">
            <w:pPr>
              <w:jc w:val="right"/>
              <w:rPr>
                <w:color w:val="000000"/>
                <w:sz w:val="15"/>
                <w:szCs w:val="15"/>
              </w:rPr>
            </w:pPr>
            <w:r w:rsidRPr="003003C0">
              <w:rPr>
                <w:color w:val="000000"/>
                <w:sz w:val="15"/>
                <w:szCs w:val="15"/>
              </w:rPr>
              <w:t>22</w:t>
            </w:r>
          </w:p>
        </w:tc>
        <w:tc>
          <w:tcPr>
            <w:tcW w:w="593" w:type="pct"/>
            <w:shd w:val="clear" w:color="auto" w:fill="auto"/>
            <w:noWrap/>
            <w:hideMark/>
          </w:tcPr>
          <w:p w14:paraId="1DE11771" w14:textId="77777777" w:rsidR="004F64EF" w:rsidRPr="003003C0" w:rsidRDefault="004F64EF" w:rsidP="001F3C85">
            <w:pPr>
              <w:ind w:right="284"/>
              <w:jc w:val="right"/>
              <w:rPr>
                <w:color w:val="000000"/>
                <w:sz w:val="15"/>
                <w:szCs w:val="15"/>
              </w:rPr>
            </w:pPr>
            <w:r w:rsidRPr="003003C0">
              <w:rPr>
                <w:color w:val="000000"/>
                <w:sz w:val="15"/>
                <w:szCs w:val="15"/>
              </w:rPr>
              <w:t>6</w:t>
            </w:r>
            <w:r>
              <w:rPr>
                <w:color w:val="000000"/>
                <w:sz w:val="15"/>
                <w:szCs w:val="15"/>
              </w:rPr>
              <w:t>.</w:t>
            </w:r>
            <w:r w:rsidRPr="003003C0">
              <w:rPr>
                <w:color w:val="000000"/>
                <w:sz w:val="15"/>
                <w:szCs w:val="15"/>
              </w:rPr>
              <w:t>6</w:t>
            </w:r>
          </w:p>
        </w:tc>
        <w:tc>
          <w:tcPr>
            <w:tcW w:w="586" w:type="pct"/>
            <w:shd w:val="clear" w:color="auto" w:fill="auto"/>
            <w:noWrap/>
            <w:hideMark/>
          </w:tcPr>
          <w:p w14:paraId="5F4D102F" w14:textId="77777777" w:rsidR="004F64EF" w:rsidRPr="003003C0" w:rsidRDefault="004F64EF" w:rsidP="001F3C85">
            <w:pPr>
              <w:jc w:val="center"/>
              <w:rPr>
                <w:color w:val="000000"/>
                <w:sz w:val="15"/>
                <w:szCs w:val="15"/>
              </w:rPr>
            </w:pPr>
            <w:r w:rsidRPr="003003C0">
              <w:rPr>
                <w:color w:val="000000"/>
                <w:sz w:val="15"/>
                <w:szCs w:val="15"/>
              </w:rPr>
              <w:t>0 - 14</w:t>
            </w:r>
          </w:p>
        </w:tc>
        <w:tc>
          <w:tcPr>
            <w:tcW w:w="796" w:type="pct"/>
            <w:shd w:val="clear" w:color="auto" w:fill="auto"/>
            <w:noWrap/>
            <w:hideMark/>
          </w:tcPr>
          <w:p w14:paraId="2A72B584" w14:textId="77777777" w:rsidR="004F64EF" w:rsidRPr="003003C0" w:rsidRDefault="004F64EF" w:rsidP="001F3C85">
            <w:pPr>
              <w:ind w:right="454"/>
              <w:jc w:val="right"/>
              <w:rPr>
                <w:color w:val="000000"/>
                <w:sz w:val="15"/>
                <w:szCs w:val="15"/>
              </w:rPr>
            </w:pPr>
            <w:r w:rsidRPr="003003C0">
              <w:rPr>
                <w:color w:val="000000"/>
                <w:sz w:val="15"/>
                <w:szCs w:val="15"/>
              </w:rPr>
              <w:t>1</w:t>
            </w:r>
            <w:r>
              <w:rPr>
                <w:color w:val="000000"/>
                <w:sz w:val="15"/>
                <w:szCs w:val="15"/>
              </w:rPr>
              <w:t>.</w:t>
            </w:r>
            <w:r w:rsidRPr="003003C0">
              <w:rPr>
                <w:color w:val="000000"/>
                <w:sz w:val="15"/>
                <w:szCs w:val="15"/>
              </w:rPr>
              <w:t>0</w:t>
            </w:r>
          </w:p>
        </w:tc>
        <w:tc>
          <w:tcPr>
            <w:tcW w:w="1062" w:type="pct"/>
            <w:shd w:val="clear" w:color="auto" w:fill="auto"/>
            <w:noWrap/>
            <w:hideMark/>
          </w:tcPr>
          <w:p w14:paraId="0DAA45A6" w14:textId="77777777" w:rsidR="004F64EF" w:rsidRPr="003003C0" w:rsidRDefault="004F64EF" w:rsidP="001F3C85">
            <w:pPr>
              <w:ind w:right="510"/>
              <w:jc w:val="right"/>
              <w:rPr>
                <w:sz w:val="15"/>
                <w:szCs w:val="15"/>
              </w:rPr>
            </w:pPr>
            <w:r w:rsidRPr="003003C0">
              <w:rPr>
                <w:sz w:val="15"/>
                <w:szCs w:val="15"/>
              </w:rPr>
              <w:t>40 - 40</w:t>
            </w:r>
          </w:p>
        </w:tc>
      </w:tr>
      <w:tr w:rsidR="004F64EF" w:rsidRPr="003003C0" w14:paraId="3898D61B" w14:textId="77777777" w:rsidTr="001F3C85">
        <w:trPr>
          <w:cantSplit/>
        </w:trPr>
        <w:tc>
          <w:tcPr>
            <w:tcW w:w="1333" w:type="pct"/>
            <w:shd w:val="clear" w:color="auto" w:fill="C9DED4"/>
            <w:noWrap/>
            <w:hideMark/>
          </w:tcPr>
          <w:p w14:paraId="770215CA" w14:textId="77777777" w:rsidR="004F64EF" w:rsidRPr="003003C0" w:rsidRDefault="004F64EF" w:rsidP="001F3C85">
            <w:pPr>
              <w:jc w:val="left"/>
              <w:rPr>
                <w:b/>
                <w:bCs/>
                <w:color w:val="000000"/>
                <w:sz w:val="15"/>
                <w:szCs w:val="15"/>
              </w:rPr>
            </w:pPr>
            <w:r>
              <w:rPr>
                <w:b/>
                <w:bCs/>
                <w:color w:val="000000"/>
                <w:sz w:val="15"/>
                <w:szCs w:val="15"/>
              </w:rPr>
              <w:t>By HS section</w:t>
            </w:r>
          </w:p>
        </w:tc>
        <w:tc>
          <w:tcPr>
            <w:tcW w:w="630" w:type="pct"/>
            <w:shd w:val="clear" w:color="auto" w:fill="C9DED4"/>
            <w:noWrap/>
            <w:hideMark/>
          </w:tcPr>
          <w:p w14:paraId="260AE2B1" w14:textId="77777777" w:rsidR="004F64EF" w:rsidRPr="003003C0" w:rsidRDefault="004F64EF" w:rsidP="001F3C85">
            <w:pPr>
              <w:rPr>
                <w:b/>
                <w:bCs/>
                <w:color w:val="000000"/>
                <w:sz w:val="15"/>
                <w:szCs w:val="15"/>
              </w:rPr>
            </w:pPr>
          </w:p>
        </w:tc>
        <w:tc>
          <w:tcPr>
            <w:tcW w:w="593" w:type="pct"/>
            <w:shd w:val="clear" w:color="auto" w:fill="C9DED4"/>
            <w:noWrap/>
            <w:hideMark/>
          </w:tcPr>
          <w:p w14:paraId="0AA760F8" w14:textId="77777777" w:rsidR="004F64EF" w:rsidRPr="003003C0" w:rsidRDefault="004F64EF" w:rsidP="001F3C85">
            <w:pPr>
              <w:ind w:right="284"/>
              <w:rPr>
                <w:sz w:val="15"/>
                <w:szCs w:val="15"/>
              </w:rPr>
            </w:pPr>
          </w:p>
        </w:tc>
        <w:tc>
          <w:tcPr>
            <w:tcW w:w="586" w:type="pct"/>
            <w:shd w:val="clear" w:color="auto" w:fill="C9DED4"/>
            <w:noWrap/>
            <w:hideMark/>
          </w:tcPr>
          <w:p w14:paraId="523FB434" w14:textId="77777777" w:rsidR="004F64EF" w:rsidRPr="003003C0" w:rsidRDefault="004F64EF" w:rsidP="001F3C85">
            <w:pPr>
              <w:rPr>
                <w:sz w:val="15"/>
                <w:szCs w:val="15"/>
              </w:rPr>
            </w:pPr>
          </w:p>
        </w:tc>
        <w:tc>
          <w:tcPr>
            <w:tcW w:w="796" w:type="pct"/>
            <w:shd w:val="clear" w:color="auto" w:fill="C9DED4"/>
            <w:noWrap/>
            <w:hideMark/>
          </w:tcPr>
          <w:p w14:paraId="70F10BE0" w14:textId="77777777" w:rsidR="004F64EF" w:rsidRPr="003003C0" w:rsidRDefault="004F64EF" w:rsidP="001F3C85">
            <w:pPr>
              <w:ind w:right="454"/>
              <w:jc w:val="center"/>
              <w:rPr>
                <w:sz w:val="15"/>
                <w:szCs w:val="15"/>
              </w:rPr>
            </w:pPr>
          </w:p>
        </w:tc>
        <w:tc>
          <w:tcPr>
            <w:tcW w:w="1062" w:type="pct"/>
            <w:shd w:val="clear" w:color="auto" w:fill="C9DED4"/>
            <w:noWrap/>
            <w:hideMark/>
          </w:tcPr>
          <w:p w14:paraId="6A617A2C" w14:textId="77777777" w:rsidR="004F64EF" w:rsidRPr="003003C0" w:rsidRDefault="004F64EF" w:rsidP="001F3C85">
            <w:pPr>
              <w:ind w:right="510"/>
              <w:jc w:val="right"/>
              <w:rPr>
                <w:sz w:val="15"/>
                <w:szCs w:val="15"/>
              </w:rPr>
            </w:pPr>
          </w:p>
        </w:tc>
      </w:tr>
      <w:tr w:rsidR="004F64EF" w:rsidRPr="003003C0" w14:paraId="62572BF3" w14:textId="77777777" w:rsidTr="001F3C85">
        <w:trPr>
          <w:cantSplit/>
        </w:trPr>
        <w:tc>
          <w:tcPr>
            <w:tcW w:w="1333" w:type="pct"/>
            <w:shd w:val="clear" w:color="auto" w:fill="auto"/>
            <w:noWrap/>
            <w:hideMark/>
          </w:tcPr>
          <w:p w14:paraId="5A5AA7C4" w14:textId="77777777" w:rsidR="004F64EF" w:rsidRPr="003003C0" w:rsidRDefault="004F64EF" w:rsidP="001F3C85">
            <w:pPr>
              <w:jc w:val="left"/>
              <w:rPr>
                <w:color w:val="000000"/>
                <w:sz w:val="15"/>
                <w:szCs w:val="15"/>
              </w:rPr>
            </w:pPr>
            <w:r w:rsidRPr="003003C0">
              <w:rPr>
                <w:color w:val="000000"/>
                <w:sz w:val="15"/>
                <w:szCs w:val="15"/>
              </w:rPr>
              <w:t xml:space="preserve">01. </w:t>
            </w:r>
            <w:r>
              <w:rPr>
                <w:color w:val="000000"/>
                <w:sz w:val="15"/>
                <w:szCs w:val="15"/>
              </w:rPr>
              <w:t>L</w:t>
            </w:r>
            <w:r w:rsidRPr="00C13383">
              <w:rPr>
                <w:color w:val="000000"/>
                <w:sz w:val="15"/>
                <w:szCs w:val="15"/>
              </w:rPr>
              <w:t>ive animals; animal products</w:t>
            </w:r>
          </w:p>
        </w:tc>
        <w:tc>
          <w:tcPr>
            <w:tcW w:w="630" w:type="pct"/>
            <w:shd w:val="clear" w:color="auto" w:fill="auto"/>
            <w:noWrap/>
            <w:hideMark/>
          </w:tcPr>
          <w:p w14:paraId="62E301DD" w14:textId="77777777" w:rsidR="004F64EF" w:rsidRPr="003003C0" w:rsidRDefault="004F64EF" w:rsidP="001F3C85">
            <w:pPr>
              <w:jc w:val="right"/>
              <w:rPr>
                <w:color w:val="000000"/>
                <w:sz w:val="15"/>
                <w:szCs w:val="15"/>
              </w:rPr>
            </w:pPr>
            <w:r w:rsidRPr="003003C0">
              <w:rPr>
                <w:color w:val="000000"/>
                <w:sz w:val="15"/>
                <w:szCs w:val="15"/>
              </w:rPr>
              <w:t>438</w:t>
            </w:r>
          </w:p>
        </w:tc>
        <w:tc>
          <w:tcPr>
            <w:tcW w:w="593" w:type="pct"/>
            <w:shd w:val="clear" w:color="auto" w:fill="auto"/>
            <w:noWrap/>
            <w:hideMark/>
          </w:tcPr>
          <w:p w14:paraId="39CB5832" w14:textId="77777777" w:rsidR="004F64EF" w:rsidRPr="003003C0" w:rsidRDefault="004F64EF" w:rsidP="001F3C85">
            <w:pPr>
              <w:ind w:right="284"/>
              <w:jc w:val="right"/>
              <w:rPr>
                <w:color w:val="000000"/>
                <w:sz w:val="15"/>
                <w:szCs w:val="15"/>
              </w:rPr>
            </w:pPr>
            <w:r w:rsidRPr="003003C0">
              <w:rPr>
                <w:color w:val="000000"/>
                <w:sz w:val="15"/>
                <w:szCs w:val="15"/>
              </w:rPr>
              <w:t>18</w:t>
            </w:r>
            <w:r>
              <w:rPr>
                <w:color w:val="000000"/>
                <w:sz w:val="15"/>
                <w:szCs w:val="15"/>
              </w:rPr>
              <w:t>.</w:t>
            </w:r>
            <w:r w:rsidRPr="003003C0">
              <w:rPr>
                <w:color w:val="000000"/>
                <w:sz w:val="15"/>
                <w:szCs w:val="15"/>
              </w:rPr>
              <w:t>6</w:t>
            </w:r>
          </w:p>
        </w:tc>
        <w:tc>
          <w:tcPr>
            <w:tcW w:w="586" w:type="pct"/>
            <w:shd w:val="clear" w:color="auto" w:fill="auto"/>
            <w:noWrap/>
            <w:hideMark/>
          </w:tcPr>
          <w:p w14:paraId="490358FF" w14:textId="77777777" w:rsidR="004F64EF" w:rsidRPr="003003C0" w:rsidRDefault="004F64EF" w:rsidP="001F3C85">
            <w:pPr>
              <w:jc w:val="center"/>
              <w:rPr>
                <w:color w:val="000000"/>
                <w:sz w:val="15"/>
                <w:szCs w:val="15"/>
              </w:rPr>
            </w:pPr>
            <w:r w:rsidRPr="003003C0">
              <w:rPr>
                <w:color w:val="000000"/>
                <w:sz w:val="15"/>
                <w:szCs w:val="15"/>
              </w:rPr>
              <w:t>0 - 99</w:t>
            </w:r>
          </w:p>
        </w:tc>
        <w:tc>
          <w:tcPr>
            <w:tcW w:w="796" w:type="pct"/>
            <w:shd w:val="clear" w:color="auto" w:fill="auto"/>
            <w:noWrap/>
            <w:hideMark/>
          </w:tcPr>
          <w:p w14:paraId="2079F885" w14:textId="77777777" w:rsidR="004F64EF" w:rsidRPr="003003C0" w:rsidRDefault="004F64EF" w:rsidP="001F3C85">
            <w:pPr>
              <w:ind w:right="454"/>
              <w:jc w:val="right"/>
              <w:rPr>
                <w:color w:val="000000"/>
                <w:sz w:val="15"/>
                <w:szCs w:val="15"/>
              </w:rPr>
            </w:pPr>
            <w:r w:rsidRPr="003003C0">
              <w:rPr>
                <w:color w:val="000000"/>
                <w:sz w:val="15"/>
                <w:szCs w:val="15"/>
              </w:rPr>
              <w:t>0</w:t>
            </w:r>
            <w:r>
              <w:rPr>
                <w:color w:val="000000"/>
                <w:sz w:val="15"/>
                <w:szCs w:val="15"/>
              </w:rPr>
              <w:t>.</w:t>
            </w:r>
            <w:r w:rsidRPr="003003C0">
              <w:rPr>
                <w:color w:val="000000"/>
                <w:sz w:val="15"/>
                <w:szCs w:val="15"/>
              </w:rPr>
              <w:t>8</w:t>
            </w:r>
          </w:p>
        </w:tc>
        <w:tc>
          <w:tcPr>
            <w:tcW w:w="1062" w:type="pct"/>
            <w:shd w:val="clear" w:color="auto" w:fill="auto"/>
            <w:noWrap/>
            <w:hideMark/>
          </w:tcPr>
          <w:p w14:paraId="023FBD8B" w14:textId="77777777" w:rsidR="004F64EF" w:rsidRPr="003003C0" w:rsidRDefault="004F64EF" w:rsidP="001F3C85">
            <w:pPr>
              <w:ind w:right="510"/>
              <w:jc w:val="right"/>
              <w:rPr>
                <w:sz w:val="15"/>
                <w:szCs w:val="15"/>
              </w:rPr>
            </w:pPr>
            <w:r w:rsidRPr="003003C0">
              <w:rPr>
                <w:sz w:val="15"/>
                <w:szCs w:val="15"/>
              </w:rPr>
              <w:t>20 - 99</w:t>
            </w:r>
          </w:p>
        </w:tc>
      </w:tr>
      <w:tr w:rsidR="004F64EF" w:rsidRPr="003003C0" w14:paraId="5E41C313" w14:textId="77777777" w:rsidTr="001F3C85">
        <w:trPr>
          <w:cantSplit/>
        </w:trPr>
        <w:tc>
          <w:tcPr>
            <w:tcW w:w="1333" w:type="pct"/>
            <w:shd w:val="clear" w:color="auto" w:fill="C9DED4"/>
            <w:noWrap/>
            <w:hideMark/>
          </w:tcPr>
          <w:p w14:paraId="453DFACC" w14:textId="77777777" w:rsidR="004F64EF" w:rsidRPr="003003C0" w:rsidRDefault="004F64EF" w:rsidP="001F3C85">
            <w:pPr>
              <w:jc w:val="left"/>
              <w:rPr>
                <w:color w:val="000000"/>
                <w:sz w:val="15"/>
                <w:szCs w:val="15"/>
              </w:rPr>
            </w:pPr>
            <w:r w:rsidRPr="003003C0">
              <w:rPr>
                <w:color w:val="000000"/>
                <w:sz w:val="15"/>
                <w:szCs w:val="15"/>
              </w:rPr>
              <w:t xml:space="preserve">02. </w:t>
            </w:r>
            <w:r>
              <w:rPr>
                <w:color w:val="000000"/>
                <w:sz w:val="15"/>
                <w:szCs w:val="15"/>
              </w:rPr>
              <w:t>V</w:t>
            </w:r>
            <w:r w:rsidRPr="00C13383">
              <w:rPr>
                <w:color w:val="000000"/>
                <w:sz w:val="15"/>
                <w:szCs w:val="15"/>
              </w:rPr>
              <w:t>egetable products</w:t>
            </w:r>
          </w:p>
        </w:tc>
        <w:tc>
          <w:tcPr>
            <w:tcW w:w="630" w:type="pct"/>
            <w:shd w:val="clear" w:color="auto" w:fill="C9DED4"/>
            <w:noWrap/>
            <w:hideMark/>
          </w:tcPr>
          <w:p w14:paraId="75CB35B4" w14:textId="77777777" w:rsidR="004F64EF" w:rsidRPr="003003C0" w:rsidRDefault="004F64EF" w:rsidP="001F3C85">
            <w:pPr>
              <w:jc w:val="right"/>
              <w:rPr>
                <w:color w:val="000000"/>
                <w:sz w:val="15"/>
                <w:szCs w:val="15"/>
              </w:rPr>
            </w:pPr>
            <w:r w:rsidRPr="003003C0">
              <w:rPr>
                <w:color w:val="000000"/>
                <w:sz w:val="15"/>
                <w:szCs w:val="15"/>
              </w:rPr>
              <w:t>450</w:t>
            </w:r>
          </w:p>
        </w:tc>
        <w:tc>
          <w:tcPr>
            <w:tcW w:w="593" w:type="pct"/>
            <w:shd w:val="clear" w:color="auto" w:fill="C9DED4"/>
            <w:noWrap/>
            <w:hideMark/>
          </w:tcPr>
          <w:p w14:paraId="0FD8332E" w14:textId="77777777" w:rsidR="004F64EF" w:rsidRPr="003003C0" w:rsidRDefault="004F64EF" w:rsidP="001F3C85">
            <w:pPr>
              <w:ind w:right="284"/>
              <w:jc w:val="right"/>
              <w:rPr>
                <w:color w:val="000000"/>
                <w:sz w:val="15"/>
                <w:szCs w:val="15"/>
              </w:rPr>
            </w:pPr>
            <w:r w:rsidRPr="003003C0">
              <w:rPr>
                <w:color w:val="000000"/>
                <w:sz w:val="15"/>
                <w:szCs w:val="15"/>
              </w:rPr>
              <w:t>13</w:t>
            </w:r>
            <w:r>
              <w:rPr>
                <w:color w:val="000000"/>
                <w:sz w:val="15"/>
                <w:szCs w:val="15"/>
              </w:rPr>
              <w:t>.</w:t>
            </w:r>
            <w:r w:rsidRPr="003003C0">
              <w:rPr>
                <w:color w:val="000000"/>
                <w:sz w:val="15"/>
                <w:szCs w:val="15"/>
              </w:rPr>
              <w:t>6</w:t>
            </w:r>
          </w:p>
        </w:tc>
        <w:tc>
          <w:tcPr>
            <w:tcW w:w="586" w:type="pct"/>
            <w:shd w:val="clear" w:color="auto" w:fill="C9DED4"/>
            <w:noWrap/>
            <w:hideMark/>
          </w:tcPr>
          <w:p w14:paraId="743017B1" w14:textId="77777777" w:rsidR="004F64EF" w:rsidRPr="003003C0" w:rsidRDefault="004F64EF" w:rsidP="001F3C85">
            <w:pPr>
              <w:jc w:val="center"/>
              <w:rPr>
                <w:color w:val="000000"/>
                <w:sz w:val="15"/>
                <w:szCs w:val="15"/>
              </w:rPr>
            </w:pPr>
            <w:r w:rsidRPr="003003C0">
              <w:rPr>
                <w:color w:val="000000"/>
                <w:sz w:val="15"/>
                <w:szCs w:val="15"/>
              </w:rPr>
              <w:t>0 - 99</w:t>
            </w:r>
          </w:p>
        </w:tc>
        <w:tc>
          <w:tcPr>
            <w:tcW w:w="796" w:type="pct"/>
            <w:shd w:val="clear" w:color="auto" w:fill="C9DED4"/>
            <w:noWrap/>
            <w:hideMark/>
          </w:tcPr>
          <w:p w14:paraId="7409D30A" w14:textId="77777777" w:rsidR="004F64EF" w:rsidRPr="003003C0" w:rsidRDefault="004F64EF" w:rsidP="001F3C85">
            <w:pPr>
              <w:ind w:right="454"/>
              <w:jc w:val="right"/>
              <w:rPr>
                <w:color w:val="000000"/>
                <w:sz w:val="15"/>
                <w:szCs w:val="15"/>
              </w:rPr>
            </w:pPr>
            <w:r w:rsidRPr="003003C0">
              <w:rPr>
                <w:color w:val="000000"/>
                <w:sz w:val="15"/>
                <w:szCs w:val="15"/>
              </w:rPr>
              <w:t>1</w:t>
            </w:r>
            <w:r>
              <w:rPr>
                <w:color w:val="000000"/>
                <w:sz w:val="15"/>
                <w:szCs w:val="15"/>
              </w:rPr>
              <w:t>.</w:t>
            </w:r>
            <w:r w:rsidRPr="003003C0">
              <w:rPr>
                <w:color w:val="000000"/>
                <w:sz w:val="15"/>
                <w:szCs w:val="15"/>
              </w:rPr>
              <w:t>2</w:t>
            </w:r>
          </w:p>
        </w:tc>
        <w:tc>
          <w:tcPr>
            <w:tcW w:w="1062" w:type="pct"/>
            <w:shd w:val="clear" w:color="auto" w:fill="C9DED4"/>
            <w:noWrap/>
            <w:hideMark/>
          </w:tcPr>
          <w:p w14:paraId="37F21CA5" w14:textId="77777777" w:rsidR="004F64EF" w:rsidRPr="003003C0" w:rsidRDefault="004F64EF" w:rsidP="001F3C85">
            <w:pPr>
              <w:ind w:right="510"/>
              <w:jc w:val="right"/>
              <w:rPr>
                <w:sz w:val="15"/>
                <w:szCs w:val="15"/>
              </w:rPr>
            </w:pPr>
            <w:r w:rsidRPr="003003C0">
              <w:rPr>
                <w:sz w:val="15"/>
                <w:szCs w:val="15"/>
              </w:rPr>
              <w:t>5 - 99</w:t>
            </w:r>
          </w:p>
        </w:tc>
      </w:tr>
      <w:tr w:rsidR="004F64EF" w:rsidRPr="003003C0" w14:paraId="32355981" w14:textId="77777777" w:rsidTr="001F3C85">
        <w:trPr>
          <w:cantSplit/>
        </w:trPr>
        <w:tc>
          <w:tcPr>
            <w:tcW w:w="1333" w:type="pct"/>
            <w:shd w:val="clear" w:color="auto" w:fill="auto"/>
            <w:noWrap/>
            <w:hideMark/>
          </w:tcPr>
          <w:p w14:paraId="1BE5A7A4" w14:textId="77777777" w:rsidR="004F64EF" w:rsidRPr="003003C0" w:rsidRDefault="004F64EF" w:rsidP="001F3C85">
            <w:pPr>
              <w:jc w:val="left"/>
              <w:rPr>
                <w:color w:val="000000"/>
                <w:sz w:val="15"/>
                <w:szCs w:val="15"/>
              </w:rPr>
            </w:pPr>
            <w:r w:rsidRPr="003003C0">
              <w:rPr>
                <w:color w:val="000000"/>
                <w:sz w:val="15"/>
                <w:szCs w:val="15"/>
              </w:rPr>
              <w:t xml:space="preserve">03. </w:t>
            </w:r>
            <w:r>
              <w:rPr>
                <w:color w:val="000000"/>
                <w:sz w:val="15"/>
                <w:szCs w:val="15"/>
              </w:rPr>
              <w:t>Fats and oils</w:t>
            </w:r>
          </w:p>
        </w:tc>
        <w:tc>
          <w:tcPr>
            <w:tcW w:w="630" w:type="pct"/>
            <w:shd w:val="clear" w:color="auto" w:fill="auto"/>
            <w:noWrap/>
            <w:hideMark/>
          </w:tcPr>
          <w:p w14:paraId="545CFC18" w14:textId="77777777" w:rsidR="004F64EF" w:rsidRPr="003003C0" w:rsidRDefault="004F64EF" w:rsidP="001F3C85">
            <w:pPr>
              <w:jc w:val="right"/>
              <w:rPr>
                <w:color w:val="000000"/>
                <w:sz w:val="15"/>
                <w:szCs w:val="15"/>
              </w:rPr>
            </w:pPr>
            <w:r w:rsidRPr="003003C0">
              <w:rPr>
                <w:color w:val="000000"/>
                <w:sz w:val="15"/>
                <w:szCs w:val="15"/>
              </w:rPr>
              <w:t>67</w:t>
            </w:r>
          </w:p>
        </w:tc>
        <w:tc>
          <w:tcPr>
            <w:tcW w:w="593" w:type="pct"/>
            <w:shd w:val="clear" w:color="auto" w:fill="auto"/>
            <w:noWrap/>
            <w:hideMark/>
          </w:tcPr>
          <w:p w14:paraId="0E40036E" w14:textId="77777777" w:rsidR="004F64EF" w:rsidRPr="003003C0" w:rsidRDefault="004F64EF" w:rsidP="001F3C85">
            <w:pPr>
              <w:ind w:right="284"/>
              <w:jc w:val="right"/>
              <w:rPr>
                <w:color w:val="000000"/>
                <w:sz w:val="15"/>
                <w:szCs w:val="15"/>
              </w:rPr>
            </w:pPr>
            <w:r w:rsidRPr="003003C0">
              <w:rPr>
                <w:color w:val="000000"/>
                <w:sz w:val="15"/>
                <w:szCs w:val="15"/>
              </w:rPr>
              <w:t>6</w:t>
            </w:r>
            <w:r>
              <w:rPr>
                <w:color w:val="000000"/>
                <w:sz w:val="15"/>
                <w:szCs w:val="15"/>
              </w:rPr>
              <w:t>.</w:t>
            </w:r>
            <w:r w:rsidRPr="003003C0">
              <w:rPr>
                <w:color w:val="000000"/>
                <w:sz w:val="15"/>
                <w:szCs w:val="15"/>
              </w:rPr>
              <w:t>6</w:t>
            </w:r>
          </w:p>
        </w:tc>
        <w:tc>
          <w:tcPr>
            <w:tcW w:w="586" w:type="pct"/>
            <w:shd w:val="clear" w:color="auto" w:fill="auto"/>
            <w:noWrap/>
            <w:hideMark/>
          </w:tcPr>
          <w:p w14:paraId="48D05D37" w14:textId="77777777" w:rsidR="004F64EF" w:rsidRPr="003003C0" w:rsidRDefault="004F64EF" w:rsidP="001F3C85">
            <w:pPr>
              <w:jc w:val="center"/>
              <w:rPr>
                <w:color w:val="000000"/>
                <w:sz w:val="15"/>
                <w:szCs w:val="15"/>
              </w:rPr>
            </w:pPr>
            <w:r w:rsidRPr="003003C0">
              <w:rPr>
                <w:color w:val="000000"/>
                <w:sz w:val="15"/>
                <w:szCs w:val="15"/>
              </w:rPr>
              <w:t>0 - 40</w:t>
            </w:r>
          </w:p>
        </w:tc>
        <w:tc>
          <w:tcPr>
            <w:tcW w:w="796" w:type="pct"/>
            <w:shd w:val="clear" w:color="auto" w:fill="auto"/>
            <w:noWrap/>
            <w:hideMark/>
          </w:tcPr>
          <w:p w14:paraId="7C94E10A" w14:textId="77777777" w:rsidR="004F64EF" w:rsidRPr="003003C0" w:rsidRDefault="004F64EF" w:rsidP="001F3C85">
            <w:pPr>
              <w:ind w:right="454"/>
              <w:jc w:val="right"/>
              <w:rPr>
                <w:color w:val="000000"/>
                <w:sz w:val="15"/>
                <w:szCs w:val="15"/>
              </w:rPr>
            </w:pPr>
            <w:r w:rsidRPr="003003C0">
              <w:rPr>
                <w:color w:val="000000"/>
                <w:sz w:val="15"/>
                <w:szCs w:val="15"/>
              </w:rPr>
              <w:t>1</w:t>
            </w:r>
            <w:r>
              <w:rPr>
                <w:color w:val="000000"/>
                <w:sz w:val="15"/>
                <w:szCs w:val="15"/>
              </w:rPr>
              <w:t>.</w:t>
            </w:r>
            <w:r w:rsidRPr="003003C0">
              <w:rPr>
                <w:color w:val="000000"/>
                <w:sz w:val="15"/>
                <w:szCs w:val="15"/>
              </w:rPr>
              <w:t>5</w:t>
            </w:r>
          </w:p>
        </w:tc>
        <w:tc>
          <w:tcPr>
            <w:tcW w:w="1062" w:type="pct"/>
            <w:shd w:val="clear" w:color="auto" w:fill="auto"/>
            <w:noWrap/>
            <w:hideMark/>
          </w:tcPr>
          <w:p w14:paraId="768A4992" w14:textId="77777777" w:rsidR="004F64EF" w:rsidRPr="003003C0" w:rsidRDefault="004F64EF" w:rsidP="001F3C85">
            <w:pPr>
              <w:ind w:right="510"/>
              <w:jc w:val="right"/>
              <w:rPr>
                <w:sz w:val="15"/>
                <w:szCs w:val="15"/>
              </w:rPr>
            </w:pPr>
            <w:r w:rsidRPr="003003C0">
              <w:rPr>
                <w:sz w:val="15"/>
                <w:szCs w:val="15"/>
              </w:rPr>
              <w:t>10 - 40</w:t>
            </w:r>
          </w:p>
        </w:tc>
      </w:tr>
      <w:tr w:rsidR="004F64EF" w:rsidRPr="003003C0" w14:paraId="142037B0" w14:textId="77777777" w:rsidTr="001F3C85">
        <w:trPr>
          <w:cantSplit/>
        </w:trPr>
        <w:tc>
          <w:tcPr>
            <w:tcW w:w="1333" w:type="pct"/>
            <w:shd w:val="clear" w:color="auto" w:fill="C9DED4"/>
            <w:noWrap/>
            <w:hideMark/>
          </w:tcPr>
          <w:p w14:paraId="43B78041" w14:textId="77777777" w:rsidR="004F64EF" w:rsidRPr="003003C0" w:rsidRDefault="004F64EF" w:rsidP="001F3C85">
            <w:pPr>
              <w:jc w:val="left"/>
              <w:rPr>
                <w:color w:val="000000"/>
                <w:sz w:val="15"/>
                <w:szCs w:val="15"/>
              </w:rPr>
            </w:pPr>
            <w:r w:rsidRPr="003003C0">
              <w:rPr>
                <w:color w:val="000000"/>
                <w:sz w:val="15"/>
                <w:szCs w:val="15"/>
              </w:rPr>
              <w:t xml:space="preserve">04. </w:t>
            </w:r>
            <w:r>
              <w:rPr>
                <w:color w:val="000000"/>
                <w:sz w:val="15"/>
                <w:szCs w:val="15"/>
              </w:rPr>
              <w:t>Prepared foodstuffs</w:t>
            </w:r>
            <w:r w:rsidRPr="003003C0">
              <w:rPr>
                <w:color w:val="000000"/>
                <w:sz w:val="15"/>
                <w:szCs w:val="15"/>
              </w:rPr>
              <w:t>, etc.</w:t>
            </w:r>
          </w:p>
        </w:tc>
        <w:tc>
          <w:tcPr>
            <w:tcW w:w="630" w:type="pct"/>
            <w:shd w:val="clear" w:color="auto" w:fill="C9DED4"/>
            <w:noWrap/>
            <w:hideMark/>
          </w:tcPr>
          <w:p w14:paraId="71C02802" w14:textId="77777777" w:rsidR="004F64EF" w:rsidRPr="003003C0" w:rsidRDefault="004F64EF" w:rsidP="001F3C85">
            <w:pPr>
              <w:jc w:val="right"/>
              <w:rPr>
                <w:color w:val="000000"/>
                <w:sz w:val="15"/>
                <w:szCs w:val="15"/>
              </w:rPr>
            </w:pPr>
            <w:r w:rsidRPr="003003C0">
              <w:rPr>
                <w:color w:val="000000"/>
                <w:sz w:val="15"/>
                <w:szCs w:val="15"/>
              </w:rPr>
              <w:t>359</w:t>
            </w:r>
          </w:p>
        </w:tc>
        <w:tc>
          <w:tcPr>
            <w:tcW w:w="593" w:type="pct"/>
            <w:shd w:val="clear" w:color="auto" w:fill="C9DED4"/>
            <w:noWrap/>
            <w:hideMark/>
          </w:tcPr>
          <w:p w14:paraId="73CBD23B" w14:textId="77777777" w:rsidR="004F64EF" w:rsidRPr="003003C0" w:rsidRDefault="004F64EF" w:rsidP="001F3C85">
            <w:pPr>
              <w:ind w:right="284"/>
              <w:jc w:val="right"/>
              <w:rPr>
                <w:color w:val="000000"/>
                <w:sz w:val="15"/>
                <w:szCs w:val="15"/>
              </w:rPr>
            </w:pPr>
            <w:r w:rsidRPr="003003C0">
              <w:rPr>
                <w:color w:val="000000"/>
                <w:sz w:val="15"/>
                <w:szCs w:val="15"/>
              </w:rPr>
              <w:t>17</w:t>
            </w:r>
            <w:r>
              <w:rPr>
                <w:color w:val="000000"/>
                <w:sz w:val="15"/>
                <w:szCs w:val="15"/>
              </w:rPr>
              <w:t>.</w:t>
            </w:r>
            <w:r w:rsidRPr="003003C0">
              <w:rPr>
                <w:color w:val="000000"/>
                <w:sz w:val="15"/>
                <w:szCs w:val="15"/>
              </w:rPr>
              <w:t>5</w:t>
            </w:r>
          </w:p>
        </w:tc>
        <w:tc>
          <w:tcPr>
            <w:tcW w:w="586" w:type="pct"/>
            <w:shd w:val="clear" w:color="auto" w:fill="C9DED4"/>
            <w:noWrap/>
            <w:hideMark/>
          </w:tcPr>
          <w:p w14:paraId="6D4D04DC" w14:textId="77777777" w:rsidR="004F64EF" w:rsidRPr="003003C0" w:rsidRDefault="004F64EF" w:rsidP="001F3C85">
            <w:pPr>
              <w:jc w:val="center"/>
              <w:rPr>
                <w:color w:val="000000"/>
                <w:sz w:val="15"/>
                <w:szCs w:val="15"/>
              </w:rPr>
            </w:pPr>
            <w:r w:rsidRPr="003003C0">
              <w:rPr>
                <w:color w:val="000000"/>
                <w:sz w:val="15"/>
                <w:szCs w:val="15"/>
              </w:rPr>
              <w:t>0 - 85</w:t>
            </w:r>
          </w:p>
        </w:tc>
        <w:tc>
          <w:tcPr>
            <w:tcW w:w="796" w:type="pct"/>
            <w:shd w:val="clear" w:color="auto" w:fill="C9DED4"/>
            <w:noWrap/>
            <w:hideMark/>
          </w:tcPr>
          <w:p w14:paraId="3EC06DA0" w14:textId="77777777" w:rsidR="004F64EF" w:rsidRPr="003003C0" w:rsidRDefault="004F64EF" w:rsidP="001F3C85">
            <w:pPr>
              <w:ind w:right="454"/>
              <w:jc w:val="right"/>
              <w:rPr>
                <w:color w:val="000000"/>
                <w:sz w:val="15"/>
                <w:szCs w:val="15"/>
              </w:rPr>
            </w:pPr>
            <w:r w:rsidRPr="003003C0">
              <w:rPr>
                <w:color w:val="000000"/>
                <w:sz w:val="15"/>
                <w:szCs w:val="15"/>
              </w:rPr>
              <w:t>0</w:t>
            </w:r>
            <w:r>
              <w:rPr>
                <w:color w:val="000000"/>
                <w:sz w:val="15"/>
                <w:szCs w:val="15"/>
              </w:rPr>
              <w:t>.</w:t>
            </w:r>
            <w:r w:rsidRPr="003003C0">
              <w:rPr>
                <w:color w:val="000000"/>
                <w:sz w:val="15"/>
                <w:szCs w:val="15"/>
              </w:rPr>
              <w:t>6</w:t>
            </w:r>
          </w:p>
        </w:tc>
        <w:tc>
          <w:tcPr>
            <w:tcW w:w="1062" w:type="pct"/>
            <w:shd w:val="clear" w:color="auto" w:fill="C9DED4"/>
            <w:noWrap/>
            <w:hideMark/>
          </w:tcPr>
          <w:p w14:paraId="773A56C8" w14:textId="77777777" w:rsidR="004F64EF" w:rsidRPr="003003C0" w:rsidRDefault="004F64EF" w:rsidP="001F3C85">
            <w:pPr>
              <w:ind w:right="510"/>
              <w:jc w:val="right"/>
              <w:rPr>
                <w:sz w:val="15"/>
                <w:szCs w:val="15"/>
              </w:rPr>
            </w:pPr>
            <w:r w:rsidRPr="003003C0">
              <w:rPr>
                <w:sz w:val="15"/>
                <w:szCs w:val="15"/>
              </w:rPr>
              <w:t>10 - 85</w:t>
            </w:r>
          </w:p>
        </w:tc>
      </w:tr>
      <w:tr w:rsidR="004F64EF" w:rsidRPr="003003C0" w14:paraId="4B588011" w14:textId="77777777" w:rsidTr="001F3C85">
        <w:trPr>
          <w:cantSplit/>
        </w:trPr>
        <w:tc>
          <w:tcPr>
            <w:tcW w:w="1333" w:type="pct"/>
            <w:shd w:val="clear" w:color="auto" w:fill="auto"/>
            <w:noWrap/>
            <w:hideMark/>
          </w:tcPr>
          <w:p w14:paraId="33050652" w14:textId="77777777" w:rsidR="004F64EF" w:rsidRPr="003003C0" w:rsidRDefault="004F64EF" w:rsidP="001F3C85">
            <w:pPr>
              <w:jc w:val="left"/>
              <w:rPr>
                <w:color w:val="000000"/>
                <w:sz w:val="15"/>
                <w:szCs w:val="15"/>
              </w:rPr>
            </w:pPr>
            <w:r w:rsidRPr="003003C0">
              <w:rPr>
                <w:color w:val="000000"/>
                <w:sz w:val="15"/>
                <w:szCs w:val="15"/>
              </w:rPr>
              <w:t xml:space="preserve">05. </w:t>
            </w:r>
            <w:r>
              <w:rPr>
                <w:color w:val="000000"/>
                <w:sz w:val="15"/>
                <w:szCs w:val="15"/>
              </w:rPr>
              <w:t>Mineral products</w:t>
            </w:r>
          </w:p>
        </w:tc>
        <w:tc>
          <w:tcPr>
            <w:tcW w:w="630" w:type="pct"/>
            <w:shd w:val="clear" w:color="auto" w:fill="auto"/>
            <w:noWrap/>
            <w:hideMark/>
          </w:tcPr>
          <w:p w14:paraId="62D05825" w14:textId="77777777" w:rsidR="004F64EF" w:rsidRPr="003003C0" w:rsidRDefault="004F64EF" w:rsidP="001F3C85">
            <w:pPr>
              <w:jc w:val="right"/>
              <w:rPr>
                <w:color w:val="000000"/>
                <w:sz w:val="15"/>
                <w:szCs w:val="15"/>
              </w:rPr>
            </w:pPr>
            <w:r w:rsidRPr="003003C0">
              <w:rPr>
                <w:color w:val="000000"/>
                <w:sz w:val="15"/>
                <w:szCs w:val="15"/>
              </w:rPr>
              <w:t>184</w:t>
            </w:r>
          </w:p>
        </w:tc>
        <w:tc>
          <w:tcPr>
            <w:tcW w:w="593" w:type="pct"/>
            <w:shd w:val="clear" w:color="auto" w:fill="auto"/>
            <w:noWrap/>
            <w:hideMark/>
          </w:tcPr>
          <w:p w14:paraId="6DD273E8" w14:textId="77777777" w:rsidR="004F64EF" w:rsidRPr="003003C0" w:rsidRDefault="004F64EF" w:rsidP="001F3C85">
            <w:pPr>
              <w:ind w:right="284"/>
              <w:jc w:val="right"/>
              <w:rPr>
                <w:color w:val="000000"/>
                <w:sz w:val="15"/>
                <w:szCs w:val="15"/>
              </w:rPr>
            </w:pPr>
            <w:r w:rsidRPr="003003C0">
              <w:rPr>
                <w:color w:val="000000"/>
                <w:sz w:val="15"/>
                <w:szCs w:val="15"/>
              </w:rPr>
              <w:t>2</w:t>
            </w:r>
            <w:r>
              <w:rPr>
                <w:color w:val="000000"/>
                <w:sz w:val="15"/>
                <w:szCs w:val="15"/>
              </w:rPr>
              <w:t>.</w:t>
            </w:r>
            <w:r w:rsidRPr="003003C0">
              <w:rPr>
                <w:color w:val="000000"/>
                <w:sz w:val="15"/>
                <w:szCs w:val="15"/>
              </w:rPr>
              <w:t>3</w:t>
            </w:r>
          </w:p>
        </w:tc>
        <w:tc>
          <w:tcPr>
            <w:tcW w:w="586" w:type="pct"/>
            <w:shd w:val="clear" w:color="auto" w:fill="auto"/>
            <w:noWrap/>
            <w:hideMark/>
          </w:tcPr>
          <w:p w14:paraId="3DB57DC6" w14:textId="77777777" w:rsidR="004F64EF" w:rsidRPr="003003C0" w:rsidRDefault="004F64EF" w:rsidP="001F3C85">
            <w:pPr>
              <w:jc w:val="center"/>
              <w:rPr>
                <w:color w:val="000000"/>
                <w:sz w:val="15"/>
                <w:szCs w:val="15"/>
              </w:rPr>
            </w:pPr>
            <w:r w:rsidRPr="003003C0">
              <w:rPr>
                <w:color w:val="000000"/>
                <w:sz w:val="15"/>
                <w:szCs w:val="15"/>
              </w:rPr>
              <w:t>0 - 20</w:t>
            </w:r>
          </w:p>
        </w:tc>
        <w:tc>
          <w:tcPr>
            <w:tcW w:w="796" w:type="pct"/>
            <w:shd w:val="clear" w:color="auto" w:fill="auto"/>
            <w:noWrap/>
            <w:hideMark/>
          </w:tcPr>
          <w:p w14:paraId="76A6DD62" w14:textId="77777777" w:rsidR="004F64EF" w:rsidRPr="003003C0" w:rsidRDefault="004F64EF" w:rsidP="001F3C85">
            <w:pPr>
              <w:ind w:right="454"/>
              <w:jc w:val="right"/>
              <w:rPr>
                <w:color w:val="000000"/>
                <w:sz w:val="15"/>
                <w:szCs w:val="15"/>
              </w:rPr>
            </w:pPr>
            <w:r w:rsidRPr="003003C0">
              <w:rPr>
                <w:color w:val="000000"/>
                <w:sz w:val="15"/>
                <w:szCs w:val="15"/>
              </w:rPr>
              <w:t>2</w:t>
            </w:r>
            <w:r>
              <w:rPr>
                <w:color w:val="000000"/>
                <w:sz w:val="15"/>
                <w:szCs w:val="15"/>
              </w:rPr>
              <w:t>.</w:t>
            </w:r>
            <w:r w:rsidRPr="003003C0">
              <w:rPr>
                <w:color w:val="000000"/>
                <w:sz w:val="15"/>
                <w:szCs w:val="15"/>
              </w:rPr>
              <w:t>1</w:t>
            </w:r>
          </w:p>
        </w:tc>
        <w:tc>
          <w:tcPr>
            <w:tcW w:w="1062" w:type="pct"/>
            <w:shd w:val="clear" w:color="auto" w:fill="auto"/>
            <w:noWrap/>
            <w:hideMark/>
          </w:tcPr>
          <w:p w14:paraId="7A87EB3D" w14:textId="77777777" w:rsidR="004F64EF" w:rsidRPr="003003C0" w:rsidRDefault="004F64EF" w:rsidP="001F3C85">
            <w:pPr>
              <w:ind w:right="510"/>
              <w:jc w:val="right"/>
              <w:rPr>
                <w:sz w:val="15"/>
                <w:szCs w:val="15"/>
              </w:rPr>
            </w:pPr>
            <w:r w:rsidRPr="003003C0">
              <w:rPr>
                <w:sz w:val="15"/>
                <w:szCs w:val="15"/>
              </w:rPr>
              <w:t>20 - 40</w:t>
            </w:r>
          </w:p>
        </w:tc>
      </w:tr>
      <w:tr w:rsidR="004F64EF" w:rsidRPr="003003C0" w14:paraId="00A28E73" w14:textId="77777777" w:rsidTr="001F3C85">
        <w:trPr>
          <w:cantSplit/>
        </w:trPr>
        <w:tc>
          <w:tcPr>
            <w:tcW w:w="1333" w:type="pct"/>
            <w:shd w:val="clear" w:color="auto" w:fill="C9DED4"/>
            <w:noWrap/>
            <w:hideMark/>
          </w:tcPr>
          <w:p w14:paraId="1D35DE3A" w14:textId="77777777" w:rsidR="004F64EF" w:rsidRPr="003003C0" w:rsidRDefault="004F64EF" w:rsidP="001F3C85">
            <w:pPr>
              <w:jc w:val="left"/>
              <w:rPr>
                <w:color w:val="000000"/>
                <w:sz w:val="15"/>
                <w:szCs w:val="15"/>
              </w:rPr>
            </w:pPr>
            <w:r w:rsidRPr="003003C0">
              <w:rPr>
                <w:color w:val="000000"/>
                <w:sz w:val="15"/>
                <w:szCs w:val="15"/>
              </w:rPr>
              <w:t xml:space="preserve">06. </w:t>
            </w:r>
            <w:r>
              <w:rPr>
                <w:color w:val="000000"/>
                <w:sz w:val="15"/>
                <w:szCs w:val="15"/>
              </w:rPr>
              <w:t>P</w:t>
            </w:r>
            <w:r w:rsidRPr="00C13383">
              <w:rPr>
                <w:color w:val="000000"/>
                <w:sz w:val="15"/>
                <w:szCs w:val="15"/>
              </w:rPr>
              <w:t>roducts of the chemical or allied industries</w:t>
            </w:r>
          </w:p>
        </w:tc>
        <w:tc>
          <w:tcPr>
            <w:tcW w:w="630" w:type="pct"/>
            <w:shd w:val="clear" w:color="auto" w:fill="C9DED4"/>
            <w:noWrap/>
            <w:hideMark/>
          </w:tcPr>
          <w:p w14:paraId="369B0693" w14:textId="77777777" w:rsidR="004F64EF" w:rsidRPr="003003C0" w:rsidRDefault="004F64EF" w:rsidP="001F3C85">
            <w:pPr>
              <w:jc w:val="right"/>
              <w:rPr>
                <w:color w:val="000000"/>
                <w:sz w:val="15"/>
                <w:szCs w:val="15"/>
              </w:rPr>
            </w:pPr>
            <w:r w:rsidRPr="003003C0">
              <w:rPr>
                <w:color w:val="000000"/>
                <w:sz w:val="15"/>
                <w:szCs w:val="15"/>
              </w:rPr>
              <w:t>1</w:t>
            </w:r>
            <w:r>
              <w:rPr>
                <w:color w:val="000000"/>
                <w:sz w:val="15"/>
                <w:szCs w:val="15"/>
              </w:rPr>
              <w:t>,</w:t>
            </w:r>
            <w:r w:rsidRPr="003003C0">
              <w:rPr>
                <w:color w:val="000000"/>
                <w:sz w:val="15"/>
                <w:szCs w:val="15"/>
              </w:rPr>
              <w:t>182</w:t>
            </w:r>
          </w:p>
        </w:tc>
        <w:tc>
          <w:tcPr>
            <w:tcW w:w="593" w:type="pct"/>
            <w:shd w:val="clear" w:color="auto" w:fill="C9DED4"/>
            <w:noWrap/>
            <w:hideMark/>
          </w:tcPr>
          <w:p w14:paraId="74581562" w14:textId="77777777" w:rsidR="004F64EF" w:rsidRPr="003003C0" w:rsidRDefault="004F64EF" w:rsidP="001F3C85">
            <w:pPr>
              <w:ind w:right="284"/>
              <w:jc w:val="right"/>
              <w:rPr>
                <w:color w:val="000000"/>
                <w:sz w:val="15"/>
                <w:szCs w:val="15"/>
              </w:rPr>
            </w:pPr>
            <w:r w:rsidRPr="003003C0">
              <w:rPr>
                <w:color w:val="000000"/>
                <w:sz w:val="15"/>
                <w:szCs w:val="15"/>
              </w:rPr>
              <w:t>2</w:t>
            </w:r>
            <w:r>
              <w:rPr>
                <w:color w:val="000000"/>
                <w:sz w:val="15"/>
                <w:szCs w:val="15"/>
              </w:rPr>
              <w:t>.</w:t>
            </w:r>
            <w:r w:rsidRPr="003003C0">
              <w:rPr>
                <w:color w:val="000000"/>
                <w:sz w:val="15"/>
                <w:szCs w:val="15"/>
              </w:rPr>
              <w:t>3</w:t>
            </w:r>
          </w:p>
        </w:tc>
        <w:tc>
          <w:tcPr>
            <w:tcW w:w="586" w:type="pct"/>
            <w:shd w:val="clear" w:color="auto" w:fill="C9DED4"/>
            <w:noWrap/>
            <w:hideMark/>
          </w:tcPr>
          <w:p w14:paraId="72394496" w14:textId="77777777" w:rsidR="004F64EF" w:rsidRPr="003003C0" w:rsidRDefault="004F64EF" w:rsidP="001F3C85">
            <w:pPr>
              <w:jc w:val="center"/>
              <w:rPr>
                <w:color w:val="000000"/>
                <w:sz w:val="15"/>
                <w:szCs w:val="15"/>
              </w:rPr>
            </w:pPr>
            <w:r w:rsidRPr="003003C0">
              <w:rPr>
                <w:color w:val="000000"/>
                <w:sz w:val="15"/>
                <w:szCs w:val="15"/>
              </w:rPr>
              <w:t>0 - 20</w:t>
            </w:r>
          </w:p>
        </w:tc>
        <w:tc>
          <w:tcPr>
            <w:tcW w:w="796" w:type="pct"/>
            <w:shd w:val="clear" w:color="auto" w:fill="C9DED4"/>
            <w:noWrap/>
            <w:hideMark/>
          </w:tcPr>
          <w:p w14:paraId="1A093597" w14:textId="77777777" w:rsidR="004F64EF" w:rsidRPr="003003C0" w:rsidRDefault="004F64EF" w:rsidP="001F3C85">
            <w:pPr>
              <w:ind w:right="454"/>
              <w:jc w:val="right"/>
              <w:rPr>
                <w:color w:val="000000"/>
                <w:sz w:val="15"/>
                <w:szCs w:val="15"/>
              </w:rPr>
            </w:pPr>
            <w:r w:rsidRPr="003003C0">
              <w:rPr>
                <w:color w:val="000000"/>
                <w:sz w:val="15"/>
                <w:szCs w:val="15"/>
              </w:rPr>
              <w:t>2</w:t>
            </w:r>
            <w:r>
              <w:rPr>
                <w:color w:val="000000"/>
                <w:sz w:val="15"/>
                <w:szCs w:val="15"/>
              </w:rPr>
              <w:t>.</w:t>
            </w:r>
            <w:r w:rsidRPr="003003C0">
              <w:rPr>
                <w:color w:val="000000"/>
                <w:sz w:val="15"/>
                <w:szCs w:val="15"/>
              </w:rPr>
              <w:t>6</w:t>
            </w:r>
          </w:p>
        </w:tc>
        <w:tc>
          <w:tcPr>
            <w:tcW w:w="1062" w:type="pct"/>
            <w:shd w:val="clear" w:color="auto" w:fill="C9DED4"/>
            <w:noWrap/>
            <w:hideMark/>
          </w:tcPr>
          <w:p w14:paraId="6E59A883" w14:textId="77777777" w:rsidR="004F64EF" w:rsidRPr="003003C0" w:rsidRDefault="004F64EF" w:rsidP="001F3C85">
            <w:pPr>
              <w:ind w:right="510"/>
              <w:jc w:val="right"/>
              <w:rPr>
                <w:sz w:val="15"/>
                <w:szCs w:val="15"/>
              </w:rPr>
            </w:pPr>
            <w:r w:rsidRPr="003003C0">
              <w:rPr>
                <w:sz w:val="15"/>
                <w:szCs w:val="15"/>
              </w:rPr>
              <w:t>0 - 40</w:t>
            </w:r>
          </w:p>
        </w:tc>
      </w:tr>
      <w:tr w:rsidR="004F64EF" w:rsidRPr="003003C0" w14:paraId="6FBF4242" w14:textId="77777777" w:rsidTr="001F3C85">
        <w:trPr>
          <w:cantSplit/>
        </w:trPr>
        <w:tc>
          <w:tcPr>
            <w:tcW w:w="1333" w:type="pct"/>
            <w:shd w:val="clear" w:color="auto" w:fill="auto"/>
            <w:noWrap/>
            <w:hideMark/>
          </w:tcPr>
          <w:p w14:paraId="773F71C5" w14:textId="77777777" w:rsidR="004F64EF" w:rsidRPr="003003C0" w:rsidRDefault="004F64EF" w:rsidP="001F3C85">
            <w:pPr>
              <w:jc w:val="left"/>
              <w:rPr>
                <w:color w:val="000000"/>
                <w:sz w:val="15"/>
                <w:szCs w:val="15"/>
              </w:rPr>
            </w:pPr>
            <w:r w:rsidRPr="003003C0">
              <w:rPr>
                <w:color w:val="000000"/>
                <w:sz w:val="15"/>
                <w:szCs w:val="15"/>
              </w:rPr>
              <w:t xml:space="preserve">07. </w:t>
            </w:r>
            <w:r>
              <w:rPr>
                <w:color w:val="000000"/>
                <w:sz w:val="15"/>
                <w:szCs w:val="15"/>
              </w:rPr>
              <w:t>Plastics and rubber</w:t>
            </w:r>
          </w:p>
        </w:tc>
        <w:tc>
          <w:tcPr>
            <w:tcW w:w="630" w:type="pct"/>
            <w:shd w:val="clear" w:color="auto" w:fill="auto"/>
            <w:noWrap/>
            <w:hideMark/>
          </w:tcPr>
          <w:p w14:paraId="57FC81E9" w14:textId="77777777" w:rsidR="004F64EF" w:rsidRPr="003003C0" w:rsidRDefault="004F64EF" w:rsidP="001F3C85">
            <w:pPr>
              <w:jc w:val="right"/>
              <w:rPr>
                <w:color w:val="000000"/>
                <w:sz w:val="15"/>
                <w:szCs w:val="15"/>
              </w:rPr>
            </w:pPr>
            <w:r w:rsidRPr="003003C0">
              <w:rPr>
                <w:color w:val="000000"/>
                <w:sz w:val="15"/>
                <w:szCs w:val="15"/>
              </w:rPr>
              <w:t>289</w:t>
            </w:r>
          </w:p>
        </w:tc>
        <w:tc>
          <w:tcPr>
            <w:tcW w:w="593" w:type="pct"/>
            <w:shd w:val="clear" w:color="auto" w:fill="auto"/>
            <w:noWrap/>
            <w:hideMark/>
          </w:tcPr>
          <w:p w14:paraId="0D10A9E1" w14:textId="77777777" w:rsidR="004F64EF" w:rsidRPr="003003C0" w:rsidRDefault="004F64EF" w:rsidP="001F3C85">
            <w:pPr>
              <w:ind w:right="284"/>
              <w:jc w:val="right"/>
              <w:rPr>
                <w:color w:val="000000"/>
                <w:sz w:val="15"/>
                <w:szCs w:val="15"/>
              </w:rPr>
            </w:pPr>
            <w:r w:rsidRPr="003003C0">
              <w:rPr>
                <w:color w:val="000000"/>
                <w:sz w:val="15"/>
                <w:szCs w:val="15"/>
              </w:rPr>
              <w:t>7</w:t>
            </w:r>
            <w:r>
              <w:rPr>
                <w:color w:val="000000"/>
                <w:sz w:val="15"/>
                <w:szCs w:val="15"/>
              </w:rPr>
              <w:t>.</w:t>
            </w:r>
            <w:r w:rsidRPr="003003C0">
              <w:rPr>
                <w:color w:val="000000"/>
                <w:sz w:val="15"/>
                <w:szCs w:val="15"/>
              </w:rPr>
              <w:t>6</w:t>
            </w:r>
          </w:p>
        </w:tc>
        <w:tc>
          <w:tcPr>
            <w:tcW w:w="586" w:type="pct"/>
            <w:shd w:val="clear" w:color="auto" w:fill="auto"/>
            <w:noWrap/>
            <w:hideMark/>
          </w:tcPr>
          <w:p w14:paraId="5351D53C" w14:textId="77777777" w:rsidR="004F64EF" w:rsidRPr="003003C0" w:rsidRDefault="004F64EF" w:rsidP="001F3C85">
            <w:pPr>
              <w:jc w:val="center"/>
              <w:rPr>
                <w:color w:val="000000"/>
                <w:sz w:val="15"/>
                <w:szCs w:val="15"/>
              </w:rPr>
            </w:pPr>
            <w:r w:rsidRPr="003003C0">
              <w:rPr>
                <w:color w:val="000000"/>
                <w:sz w:val="15"/>
                <w:szCs w:val="15"/>
              </w:rPr>
              <w:t>0 - 20</w:t>
            </w:r>
          </w:p>
        </w:tc>
        <w:tc>
          <w:tcPr>
            <w:tcW w:w="796" w:type="pct"/>
            <w:shd w:val="clear" w:color="auto" w:fill="auto"/>
            <w:noWrap/>
            <w:hideMark/>
          </w:tcPr>
          <w:p w14:paraId="056E36FE" w14:textId="77777777" w:rsidR="004F64EF" w:rsidRPr="003003C0" w:rsidRDefault="004F64EF" w:rsidP="001F3C85">
            <w:pPr>
              <w:ind w:right="454"/>
              <w:jc w:val="right"/>
              <w:rPr>
                <w:color w:val="000000"/>
                <w:sz w:val="15"/>
                <w:szCs w:val="15"/>
              </w:rPr>
            </w:pPr>
            <w:r w:rsidRPr="003003C0">
              <w:rPr>
                <w:color w:val="000000"/>
                <w:sz w:val="15"/>
                <w:szCs w:val="15"/>
              </w:rPr>
              <w:t>1</w:t>
            </w:r>
            <w:r>
              <w:rPr>
                <w:color w:val="000000"/>
                <w:sz w:val="15"/>
                <w:szCs w:val="15"/>
              </w:rPr>
              <w:t>.</w:t>
            </w:r>
            <w:r w:rsidRPr="003003C0">
              <w:rPr>
                <w:color w:val="000000"/>
                <w:sz w:val="15"/>
                <w:szCs w:val="15"/>
              </w:rPr>
              <w:t>0</w:t>
            </w:r>
          </w:p>
        </w:tc>
        <w:tc>
          <w:tcPr>
            <w:tcW w:w="1062" w:type="pct"/>
            <w:shd w:val="clear" w:color="auto" w:fill="auto"/>
            <w:noWrap/>
            <w:hideMark/>
          </w:tcPr>
          <w:p w14:paraId="704059BB" w14:textId="77777777" w:rsidR="004F64EF" w:rsidRPr="003003C0" w:rsidRDefault="004F64EF" w:rsidP="001F3C85">
            <w:pPr>
              <w:ind w:right="510"/>
              <w:jc w:val="right"/>
              <w:rPr>
                <w:sz w:val="15"/>
                <w:szCs w:val="15"/>
              </w:rPr>
            </w:pPr>
            <w:r w:rsidRPr="003003C0">
              <w:rPr>
                <w:sz w:val="15"/>
                <w:szCs w:val="15"/>
              </w:rPr>
              <w:t>30 - 40</w:t>
            </w:r>
          </w:p>
        </w:tc>
      </w:tr>
      <w:tr w:rsidR="004F64EF" w:rsidRPr="003003C0" w14:paraId="17B27EA2" w14:textId="77777777" w:rsidTr="001F3C85">
        <w:trPr>
          <w:cantSplit/>
        </w:trPr>
        <w:tc>
          <w:tcPr>
            <w:tcW w:w="1333" w:type="pct"/>
            <w:shd w:val="clear" w:color="auto" w:fill="C9DED4"/>
            <w:noWrap/>
            <w:hideMark/>
          </w:tcPr>
          <w:p w14:paraId="175DCA67" w14:textId="77777777" w:rsidR="004F64EF" w:rsidRPr="003003C0" w:rsidRDefault="004F64EF" w:rsidP="001F3C85">
            <w:pPr>
              <w:jc w:val="left"/>
              <w:rPr>
                <w:color w:val="000000"/>
                <w:sz w:val="15"/>
                <w:szCs w:val="15"/>
              </w:rPr>
            </w:pPr>
            <w:r w:rsidRPr="003003C0">
              <w:rPr>
                <w:color w:val="000000"/>
                <w:sz w:val="15"/>
                <w:szCs w:val="15"/>
              </w:rPr>
              <w:t xml:space="preserve">08. </w:t>
            </w:r>
            <w:r>
              <w:rPr>
                <w:color w:val="000000"/>
                <w:sz w:val="15"/>
                <w:szCs w:val="15"/>
              </w:rPr>
              <w:t>R</w:t>
            </w:r>
            <w:r w:rsidRPr="0011498E">
              <w:rPr>
                <w:color w:val="000000"/>
                <w:sz w:val="15"/>
                <w:szCs w:val="15"/>
              </w:rPr>
              <w:t xml:space="preserve">aw hides and skins, </w:t>
            </w:r>
            <w:r>
              <w:rPr>
                <w:color w:val="000000"/>
                <w:sz w:val="15"/>
                <w:szCs w:val="15"/>
              </w:rPr>
              <w:t xml:space="preserve">and </w:t>
            </w:r>
            <w:r w:rsidRPr="0011498E">
              <w:rPr>
                <w:color w:val="000000"/>
                <w:sz w:val="15"/>
                <w:szCs w:val="15"/>
              </w:rPr>
              <w:t>leather</w:t>
            </w:r>
          </w:p>
        </w:tc>
        <w:tc>
          <w:tcPr>
            <w:tcW w:w="630" w:type="pct"/>
            <w:shd w:val="clear" w:color="auto" w:fill="C9DED4"/>
            <w:noWrap/>
            <w:hideMark/>
          </w:tcPr>
          <w:p w14:paraId="042A7E9B" w14:textId="77777777" w:rsidR="004F64EF" w:rsidRPr="003003C0" w:rsidRDefault="004F64EF" w:rsidP="001F3C85">
            <w:pPr>
              <w:jc w:val="right"/>
              <w:rPr>
                <w:color w:val="000000"/>
                <w:sz w:val="15"/>
                <w:szCs w:val="15"/>
              </w:rPr>
            </w:pPr>
            <w:r w:rsidRPr="003003C0">
              <w:rPr>
                <w:color w:val="000000"/>
                <w:sz w:val="15"/>
                <w:szCs w:val="15"/>
              </w:rPr>
              <w:t>93</w:t>
            </w:r>
          </w:p>
        </w:tc>
        <w:tc>
          <w:tcPr>
            <w:tcW w:w="593" w:type="pct"/>
            <w:shd w:val="clear" w:color="auto" w:fill="C9DED4"/>
            <w:noWrap/>
            <w:hideMark/>
          </w:tcPr>
          <w:p w14:paraId="6D47A1B9" w14:textId="77777777" w:rsidR="004F64EF" w:rsidRPr="003003C0" w:rsidRDefault="004F64EF" w:rsidP="001F3C85">
            <w:pPr>
              <w:ind w:right="284"/>
              <w:jc w:val="right"/>
              <w:rPr>
                <w:color w:val="000000"/>
                <w:sz w:val="15"/>
                <w:szCs w:val="15"/>
              </w:rPr>
            </w:pPr>
            <w:r w:rsidRPr="003003C0">
              <w:rPr>
                <w:color w:val="000000"/>
                <w:sz w:val="15"/>
                <w:szCs w:val="15"/>
              </w:rPr>
              <w:t>9</w:t>
            </w:r>
            <w:r>
              <w:rPr>
                <w:color w:val="000000"/>
                <w:sz w:val="15"/>
                <w:szCs w:val="15"/>
              </w:rPr>
              <w:t>.</w:t>
            </w:r>
            <w:r w:rsidRPr="003003C0">
              <w:rPr>
                <w:color w:val="000000"/>
                <w:sz w:val="15"/>
                <w:szCs w:val="15"/>
              </w:rPr>
              <w:t>2</w:t>
            </w:r>
          </w:p>
        </w:tc>
        <w:tc>
          <w:tcPr>
            <w:tcW w:w="586" w:type="pct"/>
            <w:shd w:val="clear" w:color="auto" w:fill="C9DED4"/>
            <w:noWrap/>
            <w:hideMark/>
          </w:tcPr>
          <w:p w14:paraId="701436DB" w14:textId="77777777" w:rsidR="004F64EF" w:rsidRPr="003003C0" w:rsidRDefault="004F64EF" w:rsidP="001F3C85">
            <w:pPr>
              <w:jc w:val="center"/>
              <w:rPr>
                <w:color w:val="000000"/>
                <w:sz w:val="15"/>
                <w:szCs w:val="15"/>
              </w:rPr>
            </w:pPr>
            <w:r w:rsidRPr="003003C0">
              <w:rPr>
                <w:color w:val="000000"/>
                <w:sz w:val="15"/>
                <w:szCs w:val="15"/>
              </w:rPr>
              <w:t>0 - 20</w:t>
            </w:r>
          </w:p>
        </w:tc>
        <w:tc>
          <w:tcPr>
            <w:tcW w:w="796" w:type="pct"/>
            <w:shd w:val="clear" w:color="auto" w:fill="C9DED4"/>
            <w:noWrap/>
            <w:hideMark/>
          </w:tcPr>
          <w:p w14:paraId="52896B1D" w14:textId="77777777" w:rsidR="004F64EF" w:rsidRPr="003003C0" w:rsidRDefault="004F64EF" w:rsidP="001F3C85">
            <w:pPr>
              <w:ind w:right="454"/>
              <w:jc w:val="right"/>
              <w:rPr>
                <w:color w:val="000000"/>
                <w:sz w:val="15"/>
                <w:szCs w:val="15"/>
              </w:rPr>
            </w:pPr>
            <w:r w:rsidRPr="003003C0">
              <w:rPr>
                <w:color w:val="000000"/>
                <w:sz w:val="15"/>
                <w:szCs w:val="15"/>
              </w:rPr>
              <w:t>1</w:t>
            </w:r>
            <w:r>
              <w:rPr>
                <w:color w:val="000000"/>
                <w:sz w:val="15"/>
                <w:szCs w:val="15"/>
              </w:rPr>
              <w:t>.</w:t>
            </w:r>
            <w:r w:rsidRPr="003003C0">
              <w:rPr>
                <w:color w:val="000000"/>
                <w:sz w:val="15"/>
                <w:szCs w:val="15"/>
              </w:rPr>
              <w:t>1</w:t>
            </w:r>
          </w:p>
        </w:tc>
        <w:tc>
          <w:tcPr>
            <w:tcW w:w="1062" w:type="pct"/>
            <w:shd w:val="clear" w:color="auto" w:fill="C9DED4"/>
            <w:noWrap/>
            <w:hideMark/>
          </w:tcPr>
          <w:p w14:paraId="7CDF259A" w14:textId="77777777" w:rsidR="004F64EF" w:rsidRPr="003003C0" w:rsidRDefault="004F64EF" w:rsidP="001F3C85">
            <w:pPr>
              <w:ind w:right="510"/>
              <w:jc w:val="right"/>
              <w:rPr>
                <w:sz w:val="15"/>
                <w:szCs w:val="15"/>
              </w:rPr>
            </w:pPr>
            <w:r w:rsidRPr="003003C0">
              <w:rPr>
                <w:sz w:val="15"/>
                <w:szCs w:val="15"/>
              </w:rPr>
              <w:t>40 - 40</w:t>
            </w:r>
          </w:p>
        </w:tc>
      </w:tr>
      <w:tr w:rsidR="004F64EF" w:rsidRPr="003003C0" w14:paraId="09580F5E" w14:textId="77777777" w:rsidTr="001F3C85">
        <w:trPr>
          <w:cantSplit/>
        </w:trPr>
        <w:tc>
          <w:tcPr>
            <w:tcW w:w="1333" w:type="pct"/>
            <w:shd w:val="clear" w:color="auto" w:fill="auto"/>
            <w:noWrap/>
            <w:hideMark/>
          </w:tcPr>
          <w:p w14:paraId="35B0BFBB" w14:textId="77777777" w:rsidR="004F64EF" w:rsidRPr="003003C0" w:rsidRDefault="004F64EF" w:rsidP="001F3C85">
            <w:pPr>
              <w:jc w:val="left"/>
              <w:rPr>
                <w:color w:val="000000"/>
                <w:sz w:val="15"/>
                <w:szCs w:val="15"/>
              </w:rPr>
            </w:pPr>
            <w:r w:rsidRPr="003003C0">
              <w:rPr>
                <w:color w:val="000000"/>
                <w:sz w:val="15"/>
                <w:szCs w:val="15"/>
              </w:rPr>
              <w:t xml:space="preserve">09. </w:t>
            </w:r>
            <w:r>
              <w:rPr>
                <w:color w:val="000000"/>
                <w:sz w:val="15"/>
                <w:szCs w:val="15"/>
              </w:rPr>
              <w:t>W</w:t>
            </w:r>
            <w:r w:rsidRPr="0011498E">
              <w:rPr>
                <w:color w:val="000000"/>
                <w:sz w:val="15"/>
                <w:szCs w:val="15"/>
              </w:rPr>
              <w:t>ood and articles of wood</w:t>
            </w:r>
          </w:p>
        </w:tc>
        <w:tc>
          <w:tcPr>
            <w:tcW w:w="630" w:type="pct"/>
            <w:shd w:val="clear" w:color="auto" w:fill="auto"/>
            <w:noWrap/>
            <w:hideMark/>
          </w:tcPr>
          <w:p w14:paraId="58B82939" w14:textId="77777777" w:rsidR="004F64EF" w:rsidRPr="003003C0" w:rsidRDefault="004F64EF" w:rsidP="001F3C85">
            <w:pPr>
              <w:jc w:val="right"/>
              <w:rPr>
                <w:color w:val="000000"/>
                <w:sz w:val="15"/>
                <w:szCs w:val="15"/>
              </w:rPr>
            </w:pPr>
            <w:r w:rsidRPr="003003C0">
              <w:rPr>
                <w:color w:val="000000"/>
                <w:sz w:val="15"/>
                <w:szCs w:val="15"/>
              </w:rPr>
              <w:t>154</w:t>
            </w:r>
          </w:p>
        </w:tc>
        <w:tc>
          <w:tcPr>
            <w:tcW w:w="593" w:type="pct"/>
            <w:shd w:val="clear" w:color="auto" w:fill="auto"/>
            <w:noWrap/>
            <w:hideMark/>
          </w:tcPr>
          <w:p w14:paraId="2C1243B4" w14:textId="77777777" w:rsidR="004F64EF" w:rsidRPr="003003C0" w:rsidRDefault="004F64EF" w:rsidP="001F3C85">
            <w:pPr>
              <w:ind w:right="284"/>
              <w:jc w:val="right"/>
              <w:rPr>
                <w:color w:val="000000"/>
                <w:sz w:val="15"/>
                <w:szCs w:val="15"/>
              </w:rPr>
            </w:pPr>
            <w:r w:rsidRPr="003003C0">
              <w:rPr>
                <w:color w:val="000000"/>
                <w:sz w:val="15"/>
                <w:szCs w:val="15"/>
              </w:rPr>
              <w:t>4</w:t>
            </w:r>
            <w:r>
              <w:rPr>
                <w:color w:val="000000"/>
                <w:sz w:val="15"/>
                <w:szCs w:val="15"/>
              </w:rPr>
              <w:t>.</w:t>
            </w:r>
            <w:r w:rsidRPr="003003C0">
              <w:rPr>
                <w:color w:val="000000"/>
                <w:sz w:val="15"/>
                <w:szCs w:val="15"/>
              </w:rPr>
              <w:t>8</w:t>
            </w:r>
          </w:p>
        </w:tc>
        <w:tc>
          <w:tcPr>
            <w:tcW w:w="586" w:type="pct"/>
            <w:shd w:val="clear" w:color="auto" w:fill="auto"/>
            <w:noWrap/>
            <w:hideMark/>
          </w:tcPr>
          <w:p w14:paraId="53BC1B9E" w14:textId="77777777" w:rsidR="004F64EF" w:rsidRPr="003003C0" w:rsidRDefault="004F64EF" w:rsidP="001F3C85">
            <w:pPr>
              <w:jc w:val="center"/>
              <w:rPr>
                <w:color w:val="000000"/>
                <w:sz w:val="15"/>
                <w:szCs w:val="15"/>
              </w:rPr>
            </w:pPr>
            <w:r w:rsidRPr="003003C0">
              <w:rPr>
                <w:color w:val="000000"/>
                <w:sz w:val="15"/>
                <w:szCs w:val="15"/>
              </w:rPr>
              <w:t>0 - 20</w:t>
            </w:r>
          </w:p>
        </w:tc>
        <w:tc>
          <w:tcPr>
            <w:tcW w:w="796" w:type="pct"/>
            <w:shd w:val="clear" w:color="auto" w:fill="auto"/>
            <w:noWrap/>
            <w:hideMark/>
          </w:tcPr>
          <w:p w14:paraId="727C6452" w14:textId="77777777" w:rsidR="004F64EF" w:rsidRPr="003003C0" w:rsidRDefault="004F64EF" w:rsidP="001F3C85">
            <w:pPr>
              <w:ind w:right="454"/>
              <w:jc w:val="right"/>
              <w:rPr>
                <w:color w:val="000000"/>
                <w:sz w:val="15"/>
                <w:szCs w:val="15"/>
              </w:rPr>
            </w:pPr>
            <w:r w:rsidRPr="003003C0">
              <w:rPr>
                <w:color w:val="000000"/>
                <w:sz w:val="15"/>
                <w:szCs w:val="15"/>
              </w:rPr>
              <w:t>1</w:t>
            </w:r>
            <w:r>
              <w:rPr>
                <w:color w:val="000000"/>
                <w:sz w:val="15"/>
                <w:szCs w:val="15"/>
              </w:rPr>
              <w:t>.</w:t>
            </w:r>
            <w:r w:rsidRPr="003003C0">
              <w:rPr>
                <w:color w:val="000000"/>
                <w:sz w:val="15"/>
                <w:szCs w:val="15"/>
              </w:rPr>
              <w:t>6</w:t>
            </w:r>
          </w:p>
        </w:tc>
        <w:tc>
          <w:tcPr>
            <w:tcW w:w="1062" w:type="pct"/>
            <w:shd w:val="clear" w:color="auto" w:fill="auto"/>
            <w:noWrap/>
            <w:hideMark/>
          </w:tcPr>
          <w:p w14:paraId="29219B85" w14:textId="77777777" w:rsidR="004F64EF" w:rsidRPr="003003C0" w:rsidRDefault="004F64EF" w:rsidP="001F3C85">
            <w:pPr>
              <w:ind w:right="510"/>
              <w:jc w:val="right"/>
              <w:rPr>
                <w:sz w:val="15"/>
                <w:szCs w:val="15"/>
              </w:rPr>
            </w:pPr>
            <w:r w:rsidRPr="003003C0">
              <w:rPr>
                <w:sz w:val="15"/>
                <w:szCs w:val="15"/>
              </w:rPr>
              <w:t>40 - 40</w:t>
            </w:r>
          </w:p>
        </w:tc>
      </w:tr>
      <w:tr w:rsidR="004F64EF" w:rsidRPr="003003C0" w14:paraId="39379593" w14:textId="77777777" w:rsidTr="001F3C85">
        <w:trPr>
          <w:cantSplit/>
        </w:trPr>
        <w:tc>
          <w:tcPr>
            <w:tcW w:w="1333" w:type="pct"/>
            <w:shd w:val="clear" w:color="auto" w:fill="C9DED4"/>
            <w:noWrap/>
            <w:hideMark/>
          </w:tcPr>
          <w:p w14:paraId="125238A8" w14:textId="77777777" w:rsidR="004F64EF" w:rsidRPr="003003C0" w:rsidRDefault="004F64EF" w:rsidP="001F3C85">
            <w:pPr>
              <w:jc w:val="left"/>
              <w:rPr>
                <w:color w:val="000000"/>
                <w:sz w:val="15"/>
                <w:szCs w:val="15"/>
              </w:rPr>
            </w:pPr>
            <w:r w:rsidRPr="003003C0">
              <w:rPr>
                <w:color w:val="000000"/>
                <w:sz w:val="15"/>
                <w:szCs w:val="15"/>
              </w:rPr>
              <w:t xml:space="preserve">10. </w:t>
            </w:r>
            <w:r>
              <w:rPr>
                <w:color w:val="000000"/>
                <w:sz w:val="15"/>
                <w:szCs w:val="15"/>
              </w:rPr>
              <w:t>Pulp of wood, paper, etc.</w:t>
            </w:r>
          </w:p>
        </w:tc>
        <w:tc>
          <w:tcPr>
            <w:tcW w:w="630" w:type="pct"/>
            <w:shd w:val="clear" w:color="auto" w:fill="C9DED4"/>
            <w:noWrap/>
            <w:hideMark/>
          </w:tcPr>
          <w:p w14:paraId="77543EA6" w14:textId="77777777" w:rsidR="004F64EF" w:rsidRPr="003003C0" w:rsidRDefault="004F64EF" w:rsidP="001F3C85">
            <w:pPr>
              <w:jc w:val="right"/>
              <w:rPr>
                <w:color w:val="000000"/>
                <w:sz w:val="15"/>
                <w:szCs w:val="15"/>
              </w:rPr>
            </w:pPr>
            <w:r w:rsidRPr="003003C0">
              <w:rPr>
                <w:color w:val="000000"/>
                <w:sz w:val="15"/>
                <w:szCs w:val="15"/>
              </w:rPr>
              <w:t>197</w:t>
            </w:r>
          </w:p>
        </w:tc>
        <w:tc>
          <w:tcPr>
            <w:tcW w:w="593" w:type="pct"/>
            <w:shd w:val="clear" w:color="auto" w:fill="C9DED4"/>
            <w:noWrap/>
            <w:hideMark/>
          </w:tcPr>
          <w:p w14:paraId="75F45A4A" w14:textId="77777777" w:rsidR="004F64EF" w:rsidRPr="003003C0" w:rsidRDefault="004F64EF" w:rsidP="001F3C85">
            <w:pPr>
              <w:ind w:right="284"/>
              <w:jc w:val="right"/>
              <w:rPr>
                <w:color w:val="000000"/>
                <w:sz w:val="15"/>
                <w:szCs w:val="15"/>
              </w:rPr>
            </w:pPr>
            <w:r w:rsidRPr="003003C0">
              <w:rPr>
                <w:color w:val="000000"/>
                <w:sz w:val="15"/>
                <w:szCs w:val="15"/>
              </w:rPr>
              <w:t>5</w:t>
            </w:r>
            <w:r>
              <w:rPr>
                <w:color w:val="000000"/>
                <w:sz w:val="15"/>
                <w:szCs w:val="15"/>
              </w:rPr>
              <w:t>.</w:t>
            </w:r>
            <w:r w:rsidRPr="003003C0">
              <w:rPr>
                <w:color w:val="000000"/>
                <w:sz w:val="15"/>
                <w:szCs w:val="15"/>
              </w:rPr>
              <w:t>9</w:t>
            </w:r>
          </w:p>
        </w:tc>
        <w:tc>
          <w:tcPr>
            <w:tcW w:w="586" w:type="pct"/>
            <w:shd w:val="clear" w:color="auto" w:fill="C9DED4"/>
            <w:noWrap/>
            <w:hideMark/>
          </w:tcPr>
          <w:p w14:paraId="3A38CFFB" w14:textId="77777777" w:rsidR="004F64EF" w:rsidRPr="003003C0" w:rsidRDefault="004F64EF" w:rsidP="001F3C85">
            <w:pPr>
              <w:jc w:val="center"/>
              <w:rPr>
                <w:color w:val="000000"/>
                <w:sz w:val="15"/>
                <w:szCs w:val="15"/>
              </w:rPr>
            </w:pPr>
            <w:r w:rsidRPr="003003C0">
              <w:rPr>
                <w:color w:val="000000"/>
                <w:sz w:val="15"/>
                <w:szCs w:val="15"/>
              </w:rPr>
              <w:t>0 - 20</w:t>
            </w:r>
          </w:p>
        </w:tc>
        <w:tc>
          <w:tcPr>
            <w:tcW w:w="796" w:type="pct"/>
            <w:shd w:val="clear" w:color="auto" w:fill="C9DED4"/>
            <w:noWrap/>
            <w:hideMark/>
          </w:tcPr>
          <w:p w14:paraId="308F96D8" w14:textId="77777777" w:rsidR="004F64EF" w:rsidRPr="003003C0" w:rsidRDefault="004F64EF" w:rsidP="001F3C85">
            <w:pPr>
              <w:ind w:right="454"/>
              <w:jc w:val="right"/>
              <w:rPr>
                <w:color w:val="000000"/>
                <w:sz w:val="15"/>
                <w:szCs w:val="15"/>
              </w:rPr>
            </w:pPr>
            <w:r w:rsidRPr="003003C0">
              <w:rPr>
                <w:color w:val="000000"/>
                <w:sz w:val="15"/>
                <w:szCs w:val="15"/>
              </w:rPr>
              <w:t>1</w:t>
            </w:r>
            <w:r>
              <w:rPr>
                <w:color w:val="000000"/>
                <w:sz w:val="15"/>
                <w:szCs w:val="15"/>
              </w:rPr>
              <w:t>.</w:t>
            </w:r>
            <w:r w:rsidRPr="003003C0">
              <w:rPr>
                <w:color w:val="000000"/>
                <w:sz w:val="15"/>
                <w:szCs w:val="15"/>
              </w:rPr>
              <w:t>4</w:t>
            </w:r>
          </w:p>
        </w:tc>
        <w:tc>
          <w:tcPr>
            <w:tcW w:w="1062" w:type="pct"/>
            <w:shd w:val="clear" w:color="auto" w:fill="C9DED4"/>
            <w:noWrap/>
            <w:hideMark/>
          </w:tcPr>
          <w:p w14:paraId="0F9A9AF6" w14:textId="77777777" w:rsidR="004F64EF" w:rsidRPr="003003C0" w:rsidRDefault="004F64EF" w:rsidP="001F3C85">
            <w:pPr>
              <w:ind w:right="510"/>
              <w:jc w:val="right"/>
              <w:rPr>
                <w:sz w:val="15"/>
                <w:szCs w:val="15"/>
              </w:rPr>
            </w:pPr>
            <w:r w:rsidRPr="003003C0">
              <w:rPr>
                <w:sz w:val="15"/>
                <w:szCs w:val="15"/>
              </w:rPr>
              <w:t>10 - 40</w:t>
            </w:r>
          </w:p>
        </w:tc>
      </w:tr>
      <w:tr w:rsidR="004F64EF" w:rsidRPr="003003C0" w14:paraId="019FE834" w14:textId="77777777" w:rsidTr="001F3C85">
        <w:trPr>
          <w:cantSplit/>
        </w:trPr>
        <w:tc>
          <w:tcPr>
            <w:tcW w:w="1333" w:type="pct"/>
            <w:shd w:val="clear" w:color="auto" w:fill="auto"/>
            <w:noWrap/>
            <w:hideMark/>
          </w:tcPr>
          <w:p w14:paraId="247209D0" w14:textId="77777777" w:rsidR="004F64EF" w:rsidRPr="003003C0" w:rsidRDefault="004F64EF" w:rsidP="001F3C85">
            <w:pPr>
              <w:jc w:val="left"/>
              <w:rPr>
                <w:color w:val="000000"/>
                <w:sz w:val="15"/>
                <w:szCs w:val="15"/>
              </w:rPr>
            </w:pPr>
            <w:r w:rsidRPr="003003C0">
              <w:rPr>
                <w:color w:val="000000"/>
                <w:sz w:val="15"/>
                <w:szCs w:val="15"/>
              </w:rPr>
              <w:t xml:space="preserve">11. </w:t>
            </w:r>
            <w:r>
              <w:rPr>
                <w:color w:val="000000"/>
                <w:sz w:val="15"/>
                <w:szCs w:val="15"/>
              </w:rPr>
              <w:t>Textiles and textile articles</w:t>
            </w:r>
          </w:p>
        </w:tc>
        <w:tc>
          <w:tcPr>
            <w:tcW w:w="630" w:type="pct"/>
            <w:shd w:val="clear" w:color="auto" w:fill="auto"/>
            <w:noWrap/>
            <w:hideMark/>
          </w:tcPr>
          <w:p w14:paraId="45EF2922" w14:textId="77777777" w:rsidR="004F64EF" w:rsidRPr="003003C0" w:rsidRDefault="004F64EF" w:rsidP="001F3C85">
            <w:pPr>
              <w:jc w:val="right"/>
              <w:rPr>
                <w:color w:val="000000"/>
                <w:sz w:val="15"/>
                <w:szCs w:val="15"/>
              </w:rPr>
            </w:pPr>
            <w:r w:rsidRPr="003003C0">
              <w:rPr>
                <w:color w:val="000000"/>
                <w:sz w:val="15"/>
                <w:szCs w:val="15"/>
              </w:rPr>
              <w:t>878</w:t>
            </w:r>
          </w:p>
        </w:tc>
        <w:tc>
          <w:tcPr>
            <w:tcW w:w="593" w:type="pct"/>
            <w:shd w:val="clear" w:color="auto" w:fill="auto"/>
            <w:noWrap/>
            <w:hideMark/>
          </w:tcPr>
          <w:p w14:paraId="0309DC84" w14:textId="77777777" w:rsidR="004F64EF" w:rsidRPr="003003C0" w:rsidRDefault="004F64EF" w:rsidP="001F3C85">
            <w:pPr>
              <w:ind w:right="284"/>
              <w:jc w:val="right"/>
              <w:rPr>
                <w:color w:val="000000"/>
                <w:sz w:val="15"/>
                <w:szCs w:val="15"/>
              </w:rPr>
            </w:pPr>
            <w:r w:rsidRPr="003003C0">
              <w:rPr>
                <w:color w:val="000000"/>
                <w:sz w:val="15"/>
                <w:szCs w:val="15"/>
              </w:rPr>
              <w:t>8</w:t>
            </w:r>
            <w:r>
              <w:rPr>
                <w:color w:val="000000"/>
                <w:sz w:val="15"/>
                <w:szCs w:val="15"/>
              </w:rPr>
              <w:t>.</w:t>
            </w:r>
            <w:r w:rsidRPr="003003C0">
              <w:rPr>
                <w:color w:val="000000"/>
                <w:sz w:val="15"/>
                <w:szCs w:val="15"/>
              </w:rPr>
              <w:t>3</w:t>
            </w:r>
          </w:p>
        </w:tc>
        <w:tc>
          <w:tcPr>
            <w:tcW w:w="586" w:type="pct"/>
            <w:shd w:val="clear" w:color="auto" w:fill="auto"/>
            <w:noWrap/>
            <w:hideMark/>
          </w:tcPr>
          <w:p w14:paraId="2C5D5B4B" w14:textId="77777777" w:rsidR="004F64EF" w:rsidRPr="003003C0" w:rsidRDefault="004F64EF" w:rsidP="001F3C85">
            <w:pPr>
              <w:jc w:val="center"/>
              <w:rPr>
                <w:color w:val="000000"/>
                <w:sz w:val="15"/>
                <w:szCs w:val="15"/>
              </w:rPr>
            </w:pPr>
            <w:r w:rsidRPr="003003C0">
              <w:rPr>
                <w:color w:val="000000"/>
                <w:sz w:val="15"/>
                <w:szCs w:val="15"/>
              </w:rPr>
              <w:t>0 - 20</w:t>
            </w:r>
          </w:p>
        </w:tc>
        <w:tc>
          <w:tcPr>
            <w:tcW w:w="796" w:type="pct"/>
            <w:shd w:val="clear" w:color="auto" w:fill="auto"/>
            <w:noWrap/>
            <w:hideMark/>
          </w:tcPr>
          <w:p w14:paraId="14840D97" w14:textId="77777777" w:rsidR="004F64EF" w:rsidRPr="003003C0" w:rsidRDefault="004F64EF" w:rsidP="001F3C85">
            <w:pPr>
              <w:ind w:right="454"/>
              <w:jc w:val="right"/>
              <w:rPr>
                <w:color w:val="000000"/>
                <w:sz w:val="15"/>
                <w:szCs w:val="15"/>
              </w:rPr>
            </w:pPr>
            <w:r w:rsidRPr="003003C0">
              <w:rPr>
                <w:color w:val="000000"/>
                <w:sz w:val="15"/>
                <w:szCs w:val="15"/>
              </w:rPr>
              <w:t>1</w:t>
            </w:r>
            <w:r>
              <w:rPr>
                <w:color w:val="000000"/>
                <w:sz w:val="15"/>
                <w:szCs w:val="15"/>
              </w:rPr>
              <w:t>.</w:t>
            </w:r>
            <w:r w:rsidRPr="003003C0">
              <w:rPr>
                <w:color w:val="000000"/>
                <w:sz w:val="15"/>
                <w:szCs w:val="15"/>
              </w:rPr>
              <w:t>1</w:t>
            </w:r>
          </w:p>
        </w:tc>
        <w:tc>
          <w:tcPr>
            <w:tcW w:w="1062" w:type="pct"/>
            <w:shd w:val="clear" w:color="auto" w:fill="auto"/>
            <w:noWrap/>
            <w:hideMark/>
          </w:tcPr>
          <w:p w14:paraId="290A0CF5" w14:textId="77777777" w:rsidR="004F64EF" w:rsidRPr="003003C0" w:rsidRDefault="004F64EF" w:rsidP="001F3C85">
            <w:pPr>
              <w:ind w:right="510"/>
              <w:jc w:val="right"/>
              <w:rPr>
                <w:sz w:val="15"/>
                <w:szCs w:val="15"/>
              </w:rPr>
            </w:pPr>
            <w:r w:rsidRPr="003003C0">
              <w:rPr>
                <w:sz w:val="15"/>
                <w:szCs w:val="15"/>
              </w:rPr>
              <w:t>30 - 40</w:t>
            </w:r>
          </w:p>
        </w:tc>
      </w:tr>
      <w:tr w:rsidR="004F64EF" w:rsidRPr="003003C0" w14:paraId="2FBEA7F5" w14:textId="77777777" w:rsidTr="001F3C85">
        <w:trPr>
          <w:cantSplit/>
        </w:trPr>
        <w:tc>
          <w:tcPr>
            <w:tcW w:w="1333" w:type="pct"/>
            <w:shd w:val="clear" w:color="auto" w:fill="C9DED4"/>
            <w:noWrap/>
            <w:hideMark/>
          </w:tcPr>
          <w:p w14:paraId="6E9BB428" w14:textId="77777777" w:rsidR="004F64EF" w:rsidRPr="003003C0" w:rsidRDefault="004F64EF" w:rsidP="001F3C85">
            <w:pPr>
              <w:jc w:val="left"/>
              <w:rPr>
                <w:color w:val="000000"/>
                <w:sz w:val="15"/>
                <w:szCs w:val="15"/>
              </w:rPr>
            </w:pPr>
            <w:r w:rsidRPr="003003C0">
              <w:rPr>
                <w:color w:val="000000"/>
                <w:sz w:val="15"/>
                <w:szCs w:val="15"/>
              </w:rPr>
              <w:t xml:space="preserve">12. </w:t>
            </w:r>
            <w:r>
              <w:rPr>
                <w:color w:val="000000"/>
                <w:sz w:val="15"/>
                <w:szCs w:val="15"/>
              </w:rPr>
              <w:t>Footwear and headgear</w:t>
            </w:r>
          </w:p>
        </w:tc>
        <w:tc>
          <w:tcPr>
            <w:tcW w:w="630" w:type="pct"/>
            <w:shd w:val="clear" w:color="auto" w:fill="C9DED4"/>
            <w:noWrap/>
            <w:hideMark/>
          </w:tcPr>
          <w:p w14:paraId="665B553F" w14:textId="77777777" w:rsidR="004F64EF" w:rsidRPr="003003C0" w:rsidRDefault="004F64EF" w:rsidP="001F3C85">
            <w:pPr>
              <w:jc w:val="right"/>
              <w:rPr>
                <w:color w:val="000000"/>
                <w:sz w:val="15"/>
                <w:szCs w:val="15"/>
              </w:rPr>
            </w:pPr>
            <w:r w:rsidRPr="003003C0">
              <w:rPr>
                <w:color w:val="000000"/>
                <w:sz w:val="15"/>
                <w:szCs w:val="15"/>
              </w:rPr>
              <w:t>69</w:t>
            </w:r>
          </w:p>
        </w:tc>
        <w:tc>
          <w:tcPr>
            <w:tcW w:w="593" w:type="pct"/>
            <w:shd w:val="clear" w:color="auto" w:fill="C9DED4"/>
            <w:noWrap/>
            <w:hideMark/>
          </w:tcPr>
          <w:p w14:paraId="58E23ADC" w14:textId="77777777" w:rsidR="004F64EF" w:rsidRPr="003003C0" w:rsidRDefault="004F64EF" w:rsidP="001F3C85">
            <w:pPr>
              <w:ind w:right="284"/>
              <w:jc w:val="right"/>
              <w:rPr>
                <w:color w:val="000000"/>
                <w:sz w:val="15"/>
                <w:szCs w:val="15"/>
              </w:rPr>
            </w:pPr>
            <w:r w:rsidRPr="003003C0">
              <w:rPr>
                <w:color w:val="000000"/>
                <w:sz w:val="15"/>
                <w:szCs w:val="15"/>
              </w:rPr>
              <w:t>16</w:t>
            </w:r>
            <w:r>
              <w:rPr>
                <w:color w:val="000000"/>
                <w:sz w:val="15"/>
                <w:szCs w:val="15"/>
              </w:rPr>
              <w:t>.</w:t>
            </w:r>
            <w:r w:rsidRPr="003003C0">
              <w:rPr>
                <w:color w:val="000000"/>
                <w:sz w:val="15"/>
                <w:szCs w:val="15"/>
              </w:rPr>
              <w:t>7</w:t>
            </w:r>
          </w:p>
        </w:tc>
        <w:tc>
          <w:tcPr>
            <w:tcW w:w="586" w:type="pct"/>
            <w:shd w:val="clear" w:color="auto" w:fill="C9DED4"/>
            <w:noWrap/>
            <w:hideMark/>
          </w:tcPr>
          <w:p w14:paraId="79F8F61D" w14:textId="77777777" w:rsidR="004F64EF" w:rsidRPr="003003C0" w:rsidRDefault="004F64EF" w:rsidP="001F3C85">
            <w:pPr>
              <w:jc w:val="center"/>
              <w:rPr>
                <w:color w:val="000000"/>
                <w:sz w:val="15"/>
                <w:szCs w:val="15"/>
              </w:rPr>
            </w:pPr>
            <w:r w:rsidRPr="003003C0">
              <w:rPr>
                <w:color w:val="000000"/>
                <w:sz w:val="15"/>
                <w:szCs w:val="15"/>
              </w:rPr>
              <w:t>0 - 20</w:t>
            </w:r>
          </w:p>
        </w:tc>
        <w:tc>
          <w:tcPr>
            <w:tcW w:w="796" w:type="pct"/>
            <w:shd w:val="clear" w:color="auto" w:fill="C9DED4"/>
            <w:noWrap/>
            <w:hideMark/>
          </w:tcPr>
          <w:p w14:paraId="5F06C1D3" w14:textId="77777777" w:rsidR="004F64EF" w:rsidRPr="003003C0" w:rsidRDefault="004F64EF" w:rsidP="001F3C85">
            <w:pPr>
              <w:ind w:right="454"/>
              <w:jc w:val="right"/>
              <w:rPr>
                <w:color w:val="000000"/>
                <w:sz w:val="15"/>
                <w:szCs w:val="15"/>
              </w:rPr>
            </w:pPr>
            <w:r w:rsidRPr="003003C0">
              <w:rPr>
                <w:color w:val="000000"/>
                <w:sz w:val="15"/>
                <w:szCs w:val="15"/>
              </w:rPr>
              <w:t>0</w:t>
            </w:r>
            <w:r>
              <w:rPr>
                <w:color w:val="000000"/>
                <w:sz w:val="15"/>
                <w:szCs w:val="15"/>
              </w:rPr>
              <w:t>.</w:t>
            </w:r>
            <w:r w:rsidRPr="003003C0">
              <w:rPr>
                <w:color w:val="000000"/>
                <w:sz w:val="15"/>
                <w:szCs w:val="15"/>
              </w:rPr>
              <w:t>4</w:t>
            </w:r>
          </w:p>
        </w:tc>
        <w:tc>
          <w:tcPr>
            <w:tcW w:w="1062" w:type="pct"/>
            <w:shd w:val="clear" w:color="auto" w:fill="C9DED4"/>
            <w:noWrap/>
            <w:hideMark/>
          </w:tcPr>
          <w:p w14:paraId="2146AF45" w14:textId="77777777" w:rsidR="004F64EF" w:rsidRPr="003003C0" w:rsidRDefault="004F64EF" w:rsidP="001F3C85">
            <w:pPr>
              <w:ind w:right="510"/>
              <w:jc w:val="right"/>
              <w:rPr>
                <w:sz w:val="15"/>
                <w:szCs w:val="15"/>
              </w:rPr>
            </w:pPr>
            <w:r w:rsidRPr="003003C0">
              <w:rPr>
                <w:sz w:val="15"/>
                <w:szCs w:val="15"/>
              </w:rPr>
              <w:t>40 - 40</w:t>
            </w:r>
          </w:p>
        </w:tc>
      </w:tr>
      <w:tr w:rsidR="004F64EF" w:rsidRPr="003003C0" w14:paraId="6133E31E" w14:textId="77777777" w:rsidTr="001F3C85">
        <w:trPr>
          <w:cantSplit/>
        </w:trPr>
        <w:tc>
          <w:tcPr>
            <w:tcW w:w="1333" w:type="pct"/>
            <w:shd w:val="clear" w:color="auto" w:fill="auto"/>
            <w:noWrap/>
            <w:hideMark/>
          </w:tcPr>
          <w:p w14:paraId="403E3D31" w14:textId="77777777" w:rsidR="004F64EF" w:rsidRPr="003003C0" w:rsidRDefault="004F64EF" w:rsidP="001F3C85">
            <w:pPr>
              <w:jc w:val="left"/>
              <w:rPr>
                <w:color w:val="000000"/>
                <w:sz w:val="15"/>
                <w:szCs w:val="15"/>
              </w:rPr>
            </w:pPr>
            <w:r w:rsidRPr="003003C0">
              <w:rPr>
                <w:color w:val="000000"/>
                <w:sz w:val="15"/>
                <w:szCs w:val="15"/>
              </w:rPr>
              <w:t xml:space="preserve">13. </w:t>
            </w:r>
            <w:r>
              <w:rPr>
                <w:color w:val="000000"/>
                <w:sz w:val="15"/>
                <w:szCs w:val="15"/>
              </w:rPr>
              <w:t>Articles of stone</w:t>
            </w:r>
          </w:p>
        </w:tc>
        <w:tc>
          <w:tcPr>
            <w:tcW w:w="630" w:type="pct"/>
            <w:shd w:val="clear" w:color="auto" w:fill="auto"/>
            <w:noWrap/>
            <w:hideMark/>
          </w:tcPr>
          <w:p w14:paraId="2EBE5CD0" w14:textId="77777777" w:rsidR="004F64EF" w:rsidRPr="003003C0" w:rsidRDefault="004F64EF" w:rsidP="001F3C85">
            <w:pPr>
              <w:jc w:val="right"/>
              <w:rPr>
                <w:color w:val="000000"/>
                <w:sz w:val="15"/>
                <w:szCs w:val="15"/>
              </w:rPr>
            </w:pPr>
            <w:r w:rsidRPr="003003C0">
              <w:rPr>
                <w:color w:val="000000"/>
                <w:sz w:val="15"/>
                <w:szCs w:val="15"/>
              </w:rPr>
              <w:t>190</w:t>
            </w:r>
          </w:p>
        </w:tc>
        <w:tc>
          <w:tcPr>
            <w:tcW w:w="593" w:type="pct"/>
            <w:shd w:val="clear" w:color="auto" w:fill="auto"/>
            <w:noWrap/>
            <w:hideMark/>
          </w:tcPr>
          <w:p w14:paraId="57FB7380" w14:textId="77777777" w:rsidR="004F64EF" w:rsidRPr="003003C0" w:rsidRDefault="004F64EF" w:rsidP="001F3C85">
            <w:pPr>
              <w:ind w:right="284"/>
              <w:jc w:val="right"/>
              <w:rPr>
                <w:color w:val="000000"/>
                <w:sz w:val="15"/>
                <w:szCs w:val="15"/>
              </w:rPr>
            </w:pPr>
            <w:r w:rsidRPr="003003C0">
              <w:rPr>
                <w:color w:val="000000"/>
                <w:sz w:val="15"/>
                <w:szCs w:val="15"/>
              </w:rPr>
              <w:t>9</w:t>
            </w:r>
            <w:r>
              <w:rPr>
                <w:color w:val="000000"/>
                <w:sz w:val="15"/>
                <w:szCs w:val="15"/>
              </w:rPr>
              <w:t>.</w:t>
            </w:r>
            <w:r w:rsidRPr="003003C0">
              <w:rPr>
                <w:color w:val="000000"/>
                <w:sz w:val="15"/>
                <w:szCs w:val="15"/>
              </w:rPr>
              <w:t>5</w:t>
            </w:r>
          </w:p>
        </w:tc>
        <w:tc>
          <w:tcPr>
            <w:tcW w:w="586" w:type="pct"/>
            <w:shd w:val="clear" w:color="auto" w:fill="auto"/>
            <w:noWrap/>
            <w:hideMark/>
          </w:tcPr>
          <w:p w14:paraId="648ACA77" w14:textId="77777777" w:rsidR="004F64EF" w:rsidRPr="003003C0" w:rsidRDefault="004F64EF" w:rsidP="001F3C85">
            <w:pPr>
              <w:jc w:val="center"/>
              <w:rPr>
                <w:color w:val="000000"/>
                <w:sz w:val="15"/>
                <w:szCs w:val="15"/>
              </w:rPr>
            </w:pPr>
            <w:r w:rsidRPr="003003C0">
              <w:rPr>
                <w:color w:val="000000"/>
                <w:sz w:val="15"/>
                <w:szCs w:val="15"/>
              </w:rPr>
              <w:t>0 - 20</w:t>
            </w:r>
          </w:p>
        </w:tc>
        <w:tc>
          <w:tcPr>
            <w:tcW w:w="796" w:type="pct"/>
            <w:shd w:val="clear" w:color="auto" w:fill="auto"/>
            <w:noWrap/>
            <w:hideMark/>
          </w:tcPr>
          <w:p w14:paraId="3B8636AF" w14:textId="77777777" w:rsidR="004F64EF" w:rsidRPr="003003C0" w:rsidRDefault="004F64EF" w:rsidP="001F3C85">
            <w:pPr>
              <w:ind w:right="454"/>
              <w:jc w:val="right"/>
              <w:rPr>
                <w:color w:val="000000"/>
                <w:sz w:val="15"/>
                <w:szCs w:val="15"/>
              </w:rPr>
            </w:pPr>
            <w:r w:rsidRPr="003003C0">
              <w:rPr>
                <w:color w:val="000000"/>
                <w:sz w:val="15"/>
                <w:szCs w:val="15"/>
              </w:rPr>
              <w:t>0</w:t>
            </w:r>
            <w:r>
              <w:rPr>
                <w:color w:val="000000"/>
                <w:sz w:val="15"/>
                <w:szCs w:val="15"/>
              </w:rPr>
              <w:t>.</w:t>
            </w:r>
            <w:r w:rsidRPr="003003C0">
              <w:rPr>
                <w:color w:val="000000"/>
                <w:sz w:val="15"/>
                <w:szCs w:val="15"/>
              </w:rPr>
              <w:t>9</w:t>
            </w:r>
          </w:p>
        </w:tc>
        <w:tc>
          <w:tcPr>
            <w:tcW w:w="1062" w:type="pct"/>
            <w:shd w:val="clear" w:color="auto" w:fill="auto"/>
            <w:noWrap/>
            <w:hideMark/>
          </w:tcPr>
          <w:p w14:paraId="26ECB04B" w14:textId="77777777" w:rsidR="004F64EF" w:rsidRPr="003003C0" w:rsidRDefault="004F64EF" w:rsidP="001F3C85">
            <w:pPr>
              <w:ind w:right="510"/>
              <w:jc w:val="right"/>
              <w:rPr>
                <w:sz w:val="15"/>
                <w:szCs w:val="15"/>
              </w:rPr>
            </w:pPr>
            <w:r w:rsidRPr="003003C0">
              <w:rPr>
                <w:sz w:val="15"/>
                <w:szCs w:val="15"/>
              </w:rPr>
              <w:t>17</w:t>
            </w:r>
            <w:r>
              <w:rPr>
                <w:sz w:val="15"/>
                <w:szCs w:val="15"/>
              </w:rPr>
              <w:t>.</w:t>
            </w:r>
            <w:r w:rsidRPr="003003C0">
              <w:rPr>
                <w:sz w:val="15"/>
                <w:szCs w:val="15"/>
              </w:rPr>
              <w:t>5 - 40</w:t>
            </w:r>
          </w:p>
        </w:tc>
      </w:tr>
      <w:tr w:rsidR="004F64EF" w:rsidRPr="003003C0" w14:paraId="350610DD" w14:textId="77777777" w:rsidTr="001F3C85">
        <w:trPr>
          <w:cantSplit/>
        </w:trPr>
        <w:tc>
          <w:tcPr>
            <w:tcW w:w="1333" w:type="pct"/>
            <w:shd w:val="clear" w:color="auto" w:fill="C9DED4"/>
            <w:noWrap/>
            <w:hideMark/>
          </w:tcPr>
          <w:p w14:paraId="1E9CE6BE" w14:textId="77777777" w:rsidR="004F64EF" w:rsidRPr="003003C0" w:rsidRDefault="004F64EF" w:rsidP="001F3C85">
            <w:pPr>
              <w:jc w:val="left"/>
              <w:rPr>
                <w:color w:val="000000"/>
                <w:sz w:val="15"/>
                <w:szCs w:val="15"/>
              </w:rPr>
            </w:pPr>
            <w:r w:rsidRPr="003003C0">
              <w:rPr>
                <w:color w:val="000000"/>
                <w:sz w:val="15"/>
                <w:szCs w:val="15"/>
              </w:rPr>
              <w:t xml:space="preserve">14. </w:t>
            </w:r>
            <w:r>
              <w:rPr>
                <w:color w:val="000000"/>
                <w:sz w:val="15"/>
                <w:szCs w:val="15"/>
              </w:rPr>
              <w:t>Precious stones</w:t>
            </w:r>
            <w:r w:rsidRPr="003003C0">
              <w:rPr>
                <w:color w:val="000000"/>
                <w:sz w:val="15"/>
                <w:szCs w:val="15"/>
              </w:rPr>
              <w:t>, etc.</w:t>
            </w:r>
          </w:p>
        </w:tc>
        <w:tc>
          <w:tcPr>
            <w:tcW w:w="630" w:type="pct"/>
            <w:shd w:val="clear" w:color="auto" w:fill="C9DED4"/>
            <w:noWrap/>
            <w:hideMark/>
          </w:tcPr>
          <w:p w14:paraId="044CCFA2" w14:textId="77777777" w:rsidR="004F64EF" w:rsidRPr="003003C0" w:rsidRDefault="004F64EF" w:rsidP="001F3C85">
            <w:pPr>
              <w:jc w:val="right"/>
              <w:rPr>
                <w:color w:val="000000"/>
                <w:sz w:val="15"/>
                <w:szCs w:val="15"/>
              </w:rPr>
            </w:pPr>
            <w:r w:rsidRPr="003003C0">
              <w:rPr>
                <w:color w:val="000000"/>
                <w:sz w:val="15"/>
                <w:szCs w:val="15"/>
              </w:rPr>
              <w:t>62</w:t>
            </w:r>
          </w:p>
        </w:tc>
        <w:tc>
          <w:tcPr>
            <w:tcW w:w="593" w:type="pct"/>
            <w:shd w:val="clear" w:color="auto" w:fill="C9DED4"/>
            <w:noWrap/>
            <w:hideMark/>
          </w:tcPr>
          <w:p w14:paraId="11C62DB5" w14:textId="77777777" w:rsidR="004F64EF" w:rsidRPr="003003C0" w:rsidRDefault="004F64EF" w:rsidP="001F3C85">
            <w:pPr>
              <w:ind w:right="284"/>
              <w:jc w:val="right"/>
              <w:rPr>
                <w:color w:val="000000"/>
                <w:sz w:val="15"/>
                <w:szCs w:val="15"/>
              </w:rPr>
            </w:pPr>
            <w:r w:rsidRPr="003003C0">
              <w:rPr>
                <w:color w:val="000000"/>
                <w:sz w:val="15"/>
                <w:szCs w:val="15"/>
              </w:rPr>
              <w:t>18</w:t>
            </w:r>
            <w:r>
              <w:rPr>
                <w:color w:val="000000"/>
                <w:sz w:val="15"/>
                <w:szCs w:val="15"/>
              </w:rPr>
              <w:t>.</w:t>
            </w:r>
            <w:r w:rsidRPr="003003C0">
              <w:rPr>
                <w:color w:val="000000"/>
                <w:sz w:val="15"/>
                <w:szCs w:val="15"/>
              </w:rPr>
              <w:t>1</w:t>
            </w:r>
          </w:p>
        </w:tc>
        <w:tc>
          <w:tcPr>
            <w:tcW w:w="586" w:type="pct"/>
            <w:shd w:val="clear" w:color="auto" w:fill="C9DED4"/>
            <w:noWrap/>
            <w:hideMark/>
          </w:tcPr>
          <w:p w14:paraId="7AD4208A" w14:textId="77777777" w:rsidR="004F64EF" w:rsidRPr="003003C0" w:rsidRDefault="004F64EF" w:rsidP="001F3C85">
            <w:pPr>
              <w:jc w:val="center"/>
              <w:rPr>
                <w:color w:val="000000"/>
                <w:sz w:val="15"/>
                <w:szCs w:val="15"/>
              </w:rPr>
            </w:pPr>
            <w:r w:rsidRPr="003003C0">
              <w:rPr>
                <w:color w:val="000000"/>
                <w:sz w:val="15"/>
                <w:szCs w:val="15"/>
              </w:rPr>
              <w:t>8 - 20</w:t>
            </w:r>
          </w:p>
        </w:tc>
        <w:tc>
          <w:tcPr>
            <w:tcW w:w="796" w:type="pct"/>
            <w:shd w:val="clear" w:color="auto" w:fill="C9DED4"/>
            <w:noWrap/>
            <w:hideMark/>
          </w:tcPr>
          <w:p w14:paraId="36F13948" w14:textId="77777777" w:rsidR="004F64EF" w:rsidRPr="003003C0" w:rsidRDefault="004F64EF" w:rsidP="001F3C85">
            <w:pPr>
              <w:ind w:right="454"/>
              <w:jc w:val="right"/>
              <w:rPr>
                <w:color w:val="000000"/>
                <w:sz w:val="15"/>
                <w:szCs w:val="15"/>
              </w:rPr>
            </w:pPr>
            <w:r w:rsidRPr="003003C0">
              <w:rPr>
                <w:color w:val="000000"/>
                <w:sz w:val="15"/>
                <w:szCs w:val="15"/>
              </w:rPr>
              <w:t>0</w:t>
            </w:r>
            <w:r>
              <w:rPr>
                <w:color w:val="000000"/>
                <w:sz w:val="15"/>
                <w:szCs w:val="15"/>
              </w:rPr>
              <w:t>.</w:t>
            </w:r>
            <w:r w:rsidRPr="003003C0">
              <w:rPr>
                <w:color w:val="000000"/>
                <w:sz w:val="15"/>
                <w:szCs w:val="15"/>
              </w:rPr>
              <w:t>2</w:t>
            </w:r>
          </w:p>
        </w:tc>
        <w:tc>
          <w:tcPr>
            <w:tcW w:w="1062" w:type="pct"/>
            <w:shd w:val="clear" w:color="auto" w:fill="C9DED4"/>
            <w:noWrap/>
            <w:hideMark/>
          </w:tcPr>
          <w:p w14:paraId="5F2F4F67" w14:textId="77777777" w:rsidR="004F64EF" w:rsidRPr="003003C0" w:rsidRDefault="004F64EF" w:rsidP="001F3C85">
            <w:pPr>
              <w:ind w:right="510"/>
              <w:jc w:val="right"/>
              <w:rPr>
                <w:sz w:val="15"/>
                <w:szCs w:val="15"/>
              </w:rPr>
            </w:pPr>
            <w:r w:rsidRPr="003003C0">
              <w:rPr>
                <w:sz w:val="15"/>
                <w:szCs w:val="15"/>
              </w:rPr>
              <w:t>40 - 40</w:t>
            </w:r>
          </w:p>
        </w:tc>
      </w:tr>
      <w:tr w:rsidR="004F64EF" w:rsidRPr="003003C0" w14:paraId="611CFEAC" w14:textId="77777777" w:rsidTr="001F3C85">
        <w:trPr>
          <w:cantSplit/>
        </w:trPr>
        <w:tc>
          <w:tcPr>
            <w:tcW w:w="1333" w:type="pct"/>
            <w:shd w:val="clear" w:color="auto" w:fill="auto"/>
            <w:noWrap/>
            <w:hideMark/>
          </w:tcPr>
          <w:p w14:paraId="44C1BE15" w14:textId="77777777" w:rsidR="004F64EF" w:rsidRPr="003003C0" w:rsidRDefault="004F64EF" w:rsidP="001F3C85">
            <w:pPr>
              <w:jc w:val="left"/>
              <w:rPr>
                <w:color w:val="000000"/>
                <w:sz w:val="15"/>
                <w:szCs w:val="15"/>
              </w:rPr>
            </w:pPr>
            <w:r w:rsidRPr="003003C0">
              <w:rPr>
                <w:color w:val="000000"/>
                <w:sz w:val="15"/>
                <w:szCs w:val="15"/>
              </w:rPr>
              <w:t xml:space="preserve">15. </w:t>
            </w:r>
            <w:r>
              <w:rPr>
                <w:color w:val="000000"/>
                <w:sz w:val="15"/>
                <w:szCs w:val="15"/>
              </w:rPr>
              <w:t>B</w:t>
            </w:r>
            <w:r w:rsidRPr="0011498E">
              <w:rPr>
                <w:color w:val="000000"/>
                <w:sz w:val="15"/>
                <w:szCs w:val="15"/>
              </w:rPr>
              <w:t>ase metals and articles of base metal</w:t>
            </w:r>
          </w:p>
        </w:tc>
        <w:tc>
          <w:tcPr>
            <w:tcW w:w="630" w:type="pct"/>
            <w:shd w:val="clear" w:color="auto" w:fill="auto"/>
            <w:noWrap/>
            <w:hideMark/>
          </w:tcPr>
          <w:p w14:paraId="57A616A0" w14:textId="77777777" w:rsidR="004F64EF" w:rsidRPr="003003C0" w:rsidRDefault="004F64EF" w:rsidP="001F3C85">
            <w:pPr>
              <w:jc w:val="right"/>
              <w:rPr>
                <w:color w:val="000000"/>
                <w:sz w:val="15"/>
                <w:szCs w:val="15"/>
              </w:rPr>
            </w:pPr>
            <w:r w:rsidRPr="003003C0">
              <w:rPr>
                <w:color w:val="000000"/>
                <w:sz w:val="15"/>
                <w:szCs w:val="15"/>
              </w:rPr>
              <w:t>680</w:t>
            </w:r>
          </w:p>
        </w:tc>
        <w:tc>
          <w:tcPr>
            <w:tcW w:w="593" w:type="pct"/>
            <w:shd w:val="clear" w:color="auto" w:fill="auto"/>
            <w:noWrap/>
            <w:hideMark/>
          </w:tcPr>
          <w:p w14:paraId="19BEE0A7" w14:textId="77777777" w:rsidR="004F64EF" w:rsidRPr="003003C0" w:rsidRDefault="004F64EF" w:rsidP="001F3C85">
            <w:pPr>
              <w:ind w:right="284"/>
              <w:jc w:val="right"/>
              <w:rPr>
                <w:color w:val="000000"/>
                <w:sz w:val="15"/>
                <w:szCs w:val="15"/>
              </w:rPr>
            </w:pPr>
            <w:r w:rsidRPr="003003C0">
              <w:rPr>
                <w:color w:val="000000"/>
                <w:sz w:val="15"/>
                <w:szCs w:val="15"/>
              </w:rPr>
              <w:t>5</w:t>
            </w:r>
            <w:r>
              <w:rPr>
                <w:color w:val="000000"/>
                <w:sz w:val="15"/>
                <w:szCs w:val="15"/>
              </w:rPr>
              <w:t>.</w:t>
            </w:r>
            <w:r w:rsidRPr="003003C0">
              <w:rPr>
                <w:color w:val="000000"/>
                <w:sz w:val="15"/>
                <w:szCs w:val="15"/>
              </w:rPr>
              <w:t>9</w:t>
            </w:r>
          </w:p>
        </w:tc>
        <w:tc>
          <w:tcPr>
            <w:tcW w:w="586" w:type="pct"/>
            <w:shd w:val="clear" w:color="auto" w:fill="auto"/>
            <w:noWrap/>
            <w:hideMark/>
          </w:tcPr>
          <w:p w14:paraId="4ABD290E" w14:textId="77777777" w:rsidR="004F64EF" w:rsidRPr="003003C0" w:rsidRDefault="004F64EF" w:rsidP="001F3C85">
            <w:pPr>
              <w:jc w:val="center"/>
              <w:rPr>
                <w:color w:val="000000"/>
                <w:sz w:val="15"/>
                <w:szCs w:val="15"/>
              </w:rPr>
            </w:pPr>
            <w:r w:rsidRPr="003003C0">
              <w:rPr>
                <w:color w:val="000000"/>
                <w:sz w:val="15"/>
                <w:szCs w:val="15"/>
              </w:rPr>
              <w:t>0 - 20</w:t>
            </w:r>
          </w:p>
        </w:tc>
        <w:tc>
          <w:tcPr>
            <w:tcW w:w="796" w:type="pct"/>
            <w:shd w:val="clear" w:color="auto" w:fill="auto"/>
            <w:noWrap/>
            <w:hideMark/>
          </w:tcPr>
          <w:p w14:paraId="55DCD560" w14:textId="77777777" w:rsidR="004F64EF" w:rsidRPr="003003C0" w:rsidRDefault="004F64EF" w:rsidP="001F3C85">
            <w:pPr>
              <w:ind w:right="454"/>
              <w:jc w:val="right"/>
              <w:rPr>
                <w:color w:val="000000"/>
                <w:sz w:val="15"/>
                <w:szCs w:val="15"/>
              </w:rPr>
            </w:pPr>
            <w:r w:rsidRPr="003003C0">
              <w:rPr>
                <w:color w:val="000000"/>
                <w:sz w:val="15"/>
                <w:szCs w:val="15"/>
              </w:rPr>
              <w:t>1</w:t>
            </w:r>
            <w:r>
              <w:rPr>
                <w:color w:val="000000"/>
                <w:sz w:val="15"/>
                <w:szCs w:val="15"/>
              </w:rPr>
              <w:t>.</w:t>
            </w:r>
            <w:r w:rsidRPr="003003C0">
              <w:rPr>
                <w:color w:val="000000"/>
                <w:sz w:val="15"/>
                <w:szCs w:val="15"/>
              </w:rPr>
              <w:t>4</w:t>
            </w:r>
          </w:p>
        </w:tc>
        <w:tc>
          <w:tcPr>
            <w:tcW w:w="1062" w:type="pct"/>
            <w:shd w:val="clear" w:color="auto" w:fill="auto"/>
            <w:noWrap/>
            <w:hideMark/>
          </w:tcPr>
          <w:p w14:paraId="13F2B52B" w14:textId="77777777" w:rsidR="004F64EF" w:rsidRPr="003003C0" w:rsidRDefault="004F64EF" w:rsidP="001F3C85">
            <w:pPr>
              <w:ind w:right="510"/>
              <w:jc w:val="right"/>
              <w:rPr>
                <w:sz w:val="15"/>
                <w:szCs w:val="15"/>
              </w:rPr>
            </w:pPr>
            <w:r w:rsidRPr="003003C0">
              <w:rPr>
                <w:sz w:val="15"/>
                <w:szCs w:val="15"/>
              </w:rPr>
              <w:t>20 - 40</w:t>
            </w:r>
          </w:p>
        </w:tc>
      </w:tr>
      <w:tr w:rsidR="004F64EF" w:rsidRPr="003003C0" w14:paraId="75E6534E" w14:textId="77777777" w:rsidTr="001F3C85">
        <w:trPr>
          <w:cantSplit/>
        </w:trPr>
        <w:tc>
          <w:tcPr>
            <w:tcW w:w="1333" w:type="pct"/>
            <w:shd w:val="clear" w:color="auto" w:fill="C9DED4"/>
            <w:noWrap/>
            <w:hideMark/>
          </w:tcPr>
          <w:p w14:paraId="3062F456" w14:textId="77777777" w:rsidR="004F64EF" w:rsidRPr="003003C0" w:rsidRDefault="004F64EF" w:rsidP="001F3C85">
            <w:pPr>
              <w:jc w:val="left"/>
              <w:rPr>
                <w:color w:val="000000"/>
                <w:sz w:val="15"/>
                <w:szCs w:val="15"/>
              </w:rPr>
            </w:pPr>
            <w:r w:rsidRPr="003003C0">
              <w:rPr>
                <w:color w:val="000000"/>
                <w:sz w:val="15"/>
                <w:szCs w:val="15"/>
              </w:rPr>
              <w:t xml:space="preserve">16. </w:t>
            </w:r>
            <w:r>
              <w:rPr>
                <w:color w:val="000000"/>
                <w:sz w:val="15"/>
                <w:szCs w:val="15"/>
              </w:rPr>
              <w:t>M</w:t>
            </w:r>
            <w:r w:rsidRPr="0011498E">
              <w:rPr>
                <w:color w:val="000000"/>
                <w:sz w:val="15"/>
                <w:szCs w:val="15"/>
              </w:rPr>
              <w:t>achinery and mechanical appliances</w:t>
            </w:r>
          </w:p>
        </w:tc>
        <w:tc>
          <w:tcPr>
            <w:tcW w:w="630" w:type="pct"/>
            <w:shd w:val="clear" w:color="auto" w:fill="C9DED4"/>
            <w:noWrap/>
            <w:hideMark/>
          </w:tcPr>
          <w:p w14:paraId="5F4457A3" w14:textId="77777777" w:rsidR="004F64EF" w:rsidRPr="003003C0" w:rsidRDefault="004F64EF" w:rsidP="001F3C85">
            <w:pPr>
              <w:jc w:val="right"/>
              <w:rPr>
                <w:color w:val="000000"/>
                <w:sz w:val="15"/>
                <w:szCs w:val="15"/>
              </w:rPr>
            </w:pPr>
            <w:r w:rsidRPr="003003C0">
              <w:rPr>
                <w:color w:val="000000"/>
                <w:sz w:val="15"/>
                <w:szCs w:val="15"/>
              </w:rPr>
              <w:t>1</w:t>
            </w:r>
            <w:r>
              <w:rPr>
                <w:color w:val="000000"/>
                <w:sz w:val="15"/>
                <w:szCs w:val="15"/>
              </w:rPr>
              <w:t>,</w:t>
            </w:r>
            <w:r w:rsidRPr="003003C0">
              <w:rPr>
                <w:color w:val="000000"/>
                <w:sz w:val="15"/>
                <w:szCs w:val="15"/>
              </w:rPr>
              <w:t>088</w:t>
            </w:r>
          </w:p>
        </w:tc>
        <w:tc>
          <w:tcPr>
            <w:tcW w:w="593" w:type="pct"/>
            <w:shd w:val="clear" w:color="auto" w:fill="C9DED4"/>
            <w:noWrap/>
            <w:hideMark/>
          </w:tcPr>
          <w:p w14:paraId="5BE30498" w14:textId="77777777" w:rsidR="004F64EF" w:rsidRPr="003003C0" w:rsidRDefault="004F64EF" w:rsidP="001F3C85">
            <w:pPr>
              <w:ind w:right="284"/>
              <w:jc w:val="right"/>
              <w:rPr>
                <w:color w:val="000000"/>
                <w:sz w:val="15"/>
                <w:szCs w:val="15"/>
              </w:rPr>
            </w:pPr>
            <w:r w:rsidRPr="003003C0">
              <w:rPr>
                <w:color w:val="000000"/>
                <w:sz w:val="15"/>
                <w:szCs w:val="15"/>
              </w:rPr>
              <w:t>3</w:t>
            </w:r>
            <w:r>
              <w:rPr>
                <w:color w:val="000000"/>
                <w:sz w:val="15"/>
                <w:szCs w:val="15"/>
              </w:rPr>
              <w:t>.</w:t>
            </w:r>
            <w:r w:rsidRPr="003003C0">
              <w:rPr>
                <w:color w:val="000000"/>
                <w:sz w:val="15"/>
                <w:szCs w:val="15"/>
              </w:rPr>
              <w:t>4</w:t>
            </w:r>
          </w:p>
        </w:tc>
        <w:tc>
          <w:tcPr>
            <w:tcW w:w="586" w:type="pct"/>
            <w:shd w:val="clear" w:color="auto" w:fill="C9DED4"/>
            <w:noWrap/>
            <w:hideMark/>
          </w:tcPr>
          <w:p w14:paraId="2F342924" w14:textId="77777777" w:rsidR="004F64EF" w:rsidRPr="003003C0" w:rsidRDefault="004F64EF" w:rsidP="001F3C85">
            <w:pPr>
              <w:jc w:val="center"/>
              <w:rPr>
                <w:color w:val="000000"/>
                <w:sz w:val="15"/>
                <w:szCs w:val="15"/>
              </w:rPr>
            </w:pPr>
            <w:r w:rsidRPr="003003C0">
              <w:rPr>
                <w:color w:val="000000"/>
                <w:sz w:val="15"/>
                <w:szCs w:val="15"/>
              </w:rPr>
              <w:t>0 - 20</w:t>
            </w:r>
          </w:p>
        </w:tc>
        <w:tc>
          <w:tcPr>
            <w:tcW w:w="796" w:type="pct"/>
            <w:shd w:val="clear" w:color="auto" w:fill="C9DED4"/>
            <w:noWrap/>
            <w:hideMark/>
          </w:tcPr>
          <w:p w14:paraId="7F1B0F75" w14:textId="77777777" w:rsidR="004F64EF" w:rsidRPr="003003C0" w:rsidRDefault="004F64EF" w:rsidP="001F3C85">
            <w:pPr>
              <w:ind w:right="454"/>
              <w:jc w:val="right"/>
              <w:rPr>
                <w:color w:val="000000"/>
                <w:sz w:val="15"/>
                <w:szCs w:val="15"/>
              </w:rPr>
            </w:pPr>
            <w:r w:rsidRPr="003003C0">
              <w:rPr>
                <w:color w:val="000000"/>
                <w:sz w:val="15"/>
                <w:szCs w:val="15"/>
              </w:rPr>
              <w:t>2</w:t>
            </w:r>
            <w:r>
              <w:rPr>
                <w:color w:val="000000"/>
                <w:sz w:val="15"/>
                <w:szCs w:val="15"/>
              </w:rPr>
              <w:t>.</w:t>
            </w:r>
            <w:r w:rsidRPr="003003C0">
              <w:rPr>
                <w:color w:val="000000"/>
                <w:sz w:val="15"/>
                <w:szCs w:val="15"/>
              </w:rPr>
              <w:t>0</w:t>
            </w:r>
          </w:p>
        </w:tc>
        <w:tc>
          <w:tcPr>
            <w:tcW w:w="1062" w:type="pct"/>
            <w:shd w:val="clear" w:color="auto" w:fill="C9DED4"/>
            <w:noWrap/>
            <w:hideMark/>
          </w:tcPr>
          <w:p w14:paraId="4C2D0359" w14:textId="77777777" w:rsidR="004F64EF" w:rsidRPr="003003C0" w:rsidRDefault="004F64EF" w:rsidP="001F3C85">
            <w:pPr>
              <w:ind w:right="510"/>
              <w:jc w:val="right"/>
              <w:rPr>
                <w:sz w:val="15"/>
                <w:szCs w:val="15"/>
              </w:rPr>
            </w:pPr>
            <w:r w:rsidRPr="003003C0">
              <w:rPr>
                <w:sz w:val="15"/>
                <w:szCs w:val="15"/>
              </w:rPr>
              <w:t>0 - 40</w:t>
            </w:r>
          </w:p>
        </w:tc>
      </w:tr>
      <w:tr w:rsidR="004F64EF" w:rsidRPr="003003C0" w14:paraId="37B605A2" w14:textId="77777777" w:rsidTr="001F3C85">
        <w:trPr>
          <w:cantSplit/>
        </w:trPr>
        <w:tc>
          <w:tcPr>
            <w:tcW w:w="1333" w:type="pct"/>
            <w:shd w:val="clear" w:color="auto" w:fill="auto"/>
            <w:noWrap/>
            <w:hideMark/>
          </w:tcPr>
          <w:p w14:paraId="2016DFB5" w14:textId="77777777" w:rsidR="004F64EF" w:rsidRPr="003003C0" w:rsidRDefault="004F64EF" w:rsidP="00F0233E">
            <w:pPr>
              <w:jc w:val="left"/>
              <w:rPr>
                <w:color w:val="000000"/>
                <w:sz w:val="15"/>
                <w:szCs w:val="15"/>
              </w:rPr>
            </w:pPr>
            <w:r w:rsidRPr="003003C0">
              <w:rPr>
                <w:color w:val="000000"/>
                <w:sz w:val="15"/>
                <w:szCs w:val="15"/>
              </w:rPr>
              <w:lastRenderedPageBreak/>
              <w:t xml:space="preserve">17. </w:t>
            </w:r>
            <w:r>
              <w:rPr>
                <w:color w:val="000000"/>
                <w:sz w:val="15"/>
                <w:szCs w:val="15"/>
              </w:rPr>
              <w:t>V</w:t>
            </w:r>
            <w:r w:rsidRPr="0011498E">
              <w:rPr>
                <w:color w:val="000000"/>
                <w:sz w:val="15"/>
                <w:szCs w:val="15"/>
              </w:rPr>
              <w:t>ehicles, aircraft, vessels and associated</w:t>
            </w:r>
            <w:r>
              <w:rPr>
                <w:color w:val="000000"/>
                <w:sz w:val="15"/>
                <w:szCs w:val="15"/>
              </w:rPr>
              <w:t xml:space="preserve"> </w:t>
            </w:r>
            <w:r w:rsidRPr="0011498E">
              <w:rPr>
                <w:color w:val="000000"/>
                <w:sz w:val="15"/>
                <w:szCs w:val="15"/>
              </w:rPr>
              <w:t>transport equipment</w:t>
            </w:r>
          </w:p>
        </w:tc>
        <w:tc>
          <w:tcPr>
            <w:tcW w:w="630" w:type="pct"/>
            <w:shd w:val="clear" w:color="auto" w:fill="auto"/>
            <w:noWrap/>
            <w:hideMark/>
          </w:tcPr>
          <w:p w14:paraId="2890ECB6" w14:textId="77777777" w:rsidR="004F64EF" w:rsidRPr="003003C0" w:rsidRDefault="004F64EF" w:rsidP="001F3C85">
            <w:pPr>
              <w:jc w:val="right"/>
              <w:rPr>
                <w:color w:val="000000"/>
                <w:sz w:val="15"/>
                <w:szCs w:val="15"/>
              </w:rPr>
            </w:pPr>
            <w:r w:rsidRPr="003003C0">
              <w:rPr>
                <w:color w:val="000000"/>
                <w:sz w:val="15"/>
                <w:szCs w:val="15"/>
              </w:rPr>
              <w:t>315</w:t>
            </w:r>
          </w:p>
        </w:tc>
        <w:tc>
          <w:tcPr>
            <w:tcW w:w="593" w:type="pct"/>
            <w:shd w:val="clear" w:color="auto" w:fill="auto"/>
            <w:noWrap/>
            <w:hideMark/>
          </w:tcPr>
          <w:p w14:paraId="5AD5C04E" w14:textId="77777777" w:rsidR="004F64EF" w:rsidRPr="003003C0" w:rsidRDefault="004F64EF" w:rsidP="001F3C85">
            <w:pPr>
              <w:ind w:right="284"/>
              <w:jc w:val="right"/>
              <w:rPr>
                <w:color w:val="000000"/>
                <w:sz w:val="15"/>
                <w:szCs w:val="15"/>
              </w:rPr>
            </w:pPr>
            <w:r w:rsidRPr="003003C0">
              <w:rPr>
                <w:color w:val="000000"/>
                <w:sz w:val="15"/>
                <w:szCs w:val="15"/>
              </w:rPr>
              <w:t>9</w:t>
            </w:r>
            <w:r>
              <w:rPr>
                <w:color w:val="000000"/>
                <w:sz w:val="15"/>
                <w:szCs w:val="15"/>
              </w:rPr>
              <w:t>.</w:t>
            </w:r>
            <w:r w:rsidRPr="003003C0">
              <w:rPr>
                <w:color w:val="000000"/>
                <w:sz w:val="15"/>
                <w:szCs w:val="15"/>
              </w:rPr>
              <w:t>3</w:t>
            </w:r>
          </w:p>
        </w:tc>
        <w:tc>
          <w:tcPr>
            <w:tcW w:w="586" w:type="pct"/>
            <w:shd w:val="clear" w:color="auto" w:fill="auto"/>
            <w:noWrap/>
            <w:hideMark/>
          </w:tcPr>
          <w:p w14:paraId="553F6765" w14:textId="77777777" w:rsidR="004F64EF" w:rsidRPr="003003C0" w:rsidRDefault="004F64EF" w:rsidP="001F3C85">
            <w:pPr>
              <w:jc w:val="center"/>
              <w:rPr>
                <w:color w:val="000000"/>
                <w:sz w:val="15"/>
                <w:szCs w:val="15"/>
              </w:rPr>
            </w:pPr>
            <w:r w:rsidRPr="003003C0">
              <w:rPr>
                <w:color w:val="000000"/>
                <w:sz w:val="15"/>
                <w:szCs w:val="15"/>
              </w:rPr>
              <w:t>0 - 20</w:t>
            </w:r>
          </w:p>
        </w:tc>
        <w:tc>
          <w:tcPr>
            <w:tcW w:w="796" w:type="pct"/>
            <w:shd w:val="clear" w:color="auto" w:fill="auto"/>
            <w:noWrap/>
            <w:hideMark/>
          </w:tcPr>
          <w:p w14:paraId="7C6E7F94" w14:textId="77777777" w:rsidR="004F64EF" w:rsidRPr="003003C0" w:rsidRDefault="004F64EF" w:rsidP="001F3C85">
            <w:pPr>
              <w:ind w:right="454"/>
              <w:jc w:val="right"/>
              <w:rPr>
                <w:color w:val="000000"/>
                <w:sz w:val="15"/>
                <w:szCs w:val="15"/>
              </w:rPr>
            </w:pPr>
            <w:r w:rsidRPr="003003C0">
              <w:rPr>
                <w:color w:val="000000"/>
                <w:sz w:val="15"/>
                <w:szCs w:val="15"/>
              </w:rPr>
              <w:t>0</w:t>
            </w:r>
            <w:r>
              <w:rPr>
                <w:color w:val="000000"/>
                <w:sz w:val="15"/>
                <w:szCs w:val="15"/>
              </w:rPr>
              <w:t>.</w:t>
            </w:r>
            <w:r w:rsidRPr="003003C0">
              <w:rPr>
                <w:color w:val="000000"/>
                <w:sz w:val="15"/>
                <w:szCs w:val="15"/>
              </w:rPr>
              <w:t>8</w:t>
            </w:r>
          </w:p>
        </w:tc>
        <w:tc>
          <w:tcPr>
            <w:tcW w:w="1062" w:type="pct"/>
            <w:shd w:val="clear" w:color="auto" w:fill="auto"/>
            <w:noWrap/>
            <w:hideMark/>
          </w:tcPr>
          <w:p w14:paraId="36215491" w14:textId="77777777" w:rsidR="004F64EF" w:rsidRPr="003003C0" w:rsidRDefault="004F64EF" w:rsidP="001F3C85">
            <w:pPr>
              <w:ind w:right="510"/>
              <w:jc w:val="right"/>
              <w:rPr>
                <w:sz w:val="15"/>
                <w:szCs w:val="15"/>
              </w:rPr>
            </w:pPr>
            <w:r w:rsidRPr="003003C0">
              <w:rPr>
                <w:sz w:val="15"/>
                <w:szCs w:val="15"/>
              </w:rPr>
              <w:t>30 - 40</w:t>
            </w:r>
          </w:p>
        </w:tc>
      </w:tr>
      <w:tr w:rsidR="004F64EF" w:rsidRPr="003003C0" w14:paraId="2002B39D" w14:textId="77777777" w:rsidTr="001F3C85">
        <w:trPr>
          <w:cantSplit/>
        </w:trPr>
        <w:tc>
          <w:tcPr>
            <w:tcW w:w="1333" w:type="pct"/>
            <w:shd w:val="clear" w:color="auto" w:fill="C9DED4"/>
            <w:noWrap/>
            <w:hideMark/>
          </w:tcPr>
          <w:p w14:paraId="5D02F237" w14:textId="77777777" w:rsidR="004F64EF" w:rsidRPr="003003C0" w:rsidRDefault="004F64EF" w:rsidP="001F3C85">
            <w:pPr>
              <w:jc w:val="left"/>
              <w:rPr>
                <w:color w:val="000000"/>
                <w:sz w:val="15"/>
                <w:szCs w:val="15"/>
              </w:rPr>
            </w:pPr>
            <w:r w:rsidRPr="003003C0">
              <w:rPr>
                <w:color w:val="000000"/>
                <w:sz w:val="15"/>
                <w:szCs w:val="15"/>
              </w:rPr>
              <w:t xml:space="preserve">18. </w:t>
            </w:r>
            <w:r>
              <w:rPr>
                <w:color w:val="000000"/>
                <w:sz w:val="15"/>
                <w:szCs w:val="15"/>
              </w:rPr>
              <w:t>Precision instruments</w:t>
            </w:r>
          </w:p>
        </w:tc>
        <w:tc>
          <w:tcPr>
            <w:tcW w:w="630" w:type="pct"/>
            <w:shd w:val="clear" w:color="auto" w:fill="C9DED4"/>
            <w:noWrap/>
            <w:hideMark/>
          </w:tcPr>
          <w:p w14:paraId="55130411" w14:textId="77777777" w:rsidR="004F64EF" w:rsidRPr="003003C0" w:rsidRDefault="004F64EF" w:rsidP="001F3C85">
            <w:pPr>
              <w:jc w:val="right"/>
              <w:rPr>
                <w:color w:val="000000"/>
                <w:sz w:val="15"/>
                <w:szCs w:val="15"/>
              </w:rPr>
            </w:pPr>
            <w:r w:rsidRPr="003003C0">
              <w:rPr>
                <w:color w:val="000000"/>
                <w:sz w:val="15"/>
                <w:szCs w:val="15"/>
              </w:rPr>
              <w:t>328</w:t>
            </w:r>
          </w:p>
        </w:tc>
        <w:tc>
          <w:tcPr>
            <w:tcW w:w="593" w:type="pct"/>
            <w:shd w:val="clear" w:color="auto" w:fill="C9DED4"/>
            <w:noWrap/>
            <w:hideMark/>
          </w:tcPr>
          <w:p w14:paraId="558FE315" w14:textId="77777777" w:rsidR="004F64EF" w:rsidRPr="003003C0" w:rsidRDefault="004F64EF" w:rsidP="001F3C85">
            <w:pPr>
              <w:ind w:right="284"/>
              <w:jc w:val="right"/>
              <w:rPr>
                <w:color w:val="000000"/>
                <w:sz w:val="15"/>
                <w:szCs w:val="15"/>
              </w:rPr>
            </w:pPr>
            <w:r w:rsidRPr="003003C0">
              <w:rPr>
                <w:color w:val="000000"/>
                <w:sz w:val="15"/>
                <w:szCs w:val="15"/>
              </w:rPr>
              <w:t>6</w:t>
            </w:r>
            <w:r>
              <w:rPr>
                <w:color w:val="000000"/>
                <w:sz w:val="15"/>
                <w:szCs w:val="15"/>
              </w:rPr>
              <w:t>.</w:t>
            </w:r>
            <w:r w:rsidRPr="003003C0">
              <w:rPr>
                <w:color w:val="000000"/>
                <w:sz w:val="15"/>
                <w:szCs w:val="15"/>
              </w:rPr>
              <w:t>1</w:t>
            </w:r>
          </w:p>
        </w:tc>
        <w:tc>
          <w:tcPr>
            <w:tcW w:w="586" w:type="pct"/>
            <w:shd w:val="clear" w:color="auto" w:fill="C9DED4"/>
            <w:noWrap/>
            <w:hideMark/>
          </w:tcPr>
          <w:p w14:paraId="0C076D7B" w14:textId="77777777" w:rsidR="004F64EF" w:rsidRPr="003003C0" w:rsidRDefault="004F64EF" w:rsidP="001F3C85">
            <w:pPr>
              <w:jc w:val="center"/>
              <w:rPr>
                <w:color w:val="000000"/>
                <w:sz w:val="15"/>
                <w:szCs w:val="15"/>
              </w:rPr>
            </w:pPr>
            <w:r w:rsidRPr="003003C0">
              <w:rPr>
                <w:color w:val="000000"/>
                <w:sz w:val="15"/>
                <w:szCs w:val="15"/>
              </w:rPr>
              <w:t>0 - 20</w:t>
            </w:r>
          </w:p>
        </w:tc>
        <w:tc>
          <w:tcPr>
            <w:tcW w:w="796" w:type="pct"/>
            <w:shd w:val="clear" w:color="auto" w:fill="C9DED4"/>
            <w:noWrap/>
            <w:hideMark/>
          </w:tcPr>
          <w:p w14:paraId="13FFBACA" w14:textId="77777777" w:rsidR="004F64EF" w:rsidRPr="003003C0" w:rsidRDefault="004F64EF" w:rsidP="001F3C85">
            <w:pPr>
              <w:ind w:right="454"/>
              <w:jc w:val="right"/>
              <w:rPr>
                <w:color w:val="000000"/>
                <w:sz w:val="15"/>
                <w:szCs w:val="15"/>
              </w:rPr>
            </w:pPr>
            <w:r w:rsidRPr="003003C0">
              <w:rPr>
                <w:color w:val="000000"/>
                <w:sz w:val="15"/>
                <w:szCs w:val="15"/>
              </w:rPr>
              <w:t>1</w:t>
            </w:r>
            <w:r>
              <w:rPr>
                <w:color w:val="000000"/>
                <w:sz w:val="15"/>
                <w:szCs w:val="15"/>
              </w:rPr>
              <w:t>.</w:t>
            </w:r>
            <w:r w:rsidRPr="003003C0">
              <w:rPr>
                <w:color w:val="000000"/>
                <w:sz w:val="15"/>
                <w:szCs w:val="15"/>
              </w:rPr>
              <w:t>4</w:t>
            </w:r>
          </w:p>
        </w:tc>
        <w:tc>
          <w:tcPr>
            <w:tcW w:w="1062" w:type="pct"/>
            <w:shd w:val="clear" w:color="auto" w:fill="C9DED4"/>
            <w:noWrap/>
            <w:hideMark/>
          </w:tcPr>
          <w:p w14:paraId="54AD8636" w14:textId="77777777" w:rsidR="004F64EF" w:rsidRPr="003003C0" w:rsidRDefault="004F64EF" w:rsidP="001F3C85">
            <w:pPr>
              <w:ind w:right="510"/>
              <w:jc w:val="right"/>
              <w:rPr>
                <w:sz w:val="15"/>
                <w:szCs w:val="15"/>
              </w:rPr>
            </w:pPr>
            <w:r w:rsidRPr="003003C0">
              <w:rPr>
                <w:sz w:val="15"/>
                <w:szCs w:val="15"/>
              </w:rPr>
              <w:t>0 - 40</w:t>
            </w:r>
          </w:p>
        </w:tc>
      </w:tr>
      <w:tr w:rsidR="004F64EF" w:rsidRPr="003003C0" w14:paraId="20551152" w14:textId="77777777" w:rsidTr="001F3C85">
        <w:trPr>
          <w:cantSplit/>
        </w:trPr>
        <w:tc>
          <w:tcPr>
            <w:tcW w:w="1333" w:type="pct"/>
            <w:shd w:val="clear" w:color="auto" w:fill="auto"/>
            <w:noWrap/>
            <w:hideMark/>
          </w:tcPr>
          <w:p w14:paraId="22B15A64" w14:textId="77777777" w:rsidR="004F64EF" w:rsidRPr="003003C0" w:rsidRDefault="004F64EF" w:rsidP="001F3C85">
            <w:pPr>
              <w:keepNext/>
              <w:keepLines/>
              <w:jc w:val="left"/>
              <w:rPr>
                <w:color w:val="000000"/>
                <w:sz w:val="15"/>
                <w:szCs w:val="15"/>
              </w:rPr>
            </w:pPr>
            <w:r w:rsidRPr="003003C0">
              <w:rPr>
                <w:color w:val="000000"/>
                <w:sz w:val="15"/>
                <w:szCs w:val="15"/>
              </w:rPr>
              <w:t xml:space="preserve">19. </w:t>
            </w:r>
            <w:r>
              <w:rPr>
                <w:color w:val="000000"/>
                <w:sz w:val="15"/>
                <w:szCs w:val="15"/>
              </w:rPr>
              <w:t>A</w:t>
            </w:r>
            <w:r w:rsidRPr="0011498E">
              <w:rPr>
                <w:color w:val="000000"/>
                <w:sz w:val="15"/>
                <w:szCs w:val="15"/>
              </w:rPr>
              <w:t>rms and ammunition</w:t>
            </w:r>
          </w:p>
        </w:tc>
        <w:tc>
          <w:tcPr>
            <w:tcW w:w="630" w:type="pct"/>
            <w:shd w:val="clear" w:color="auto" w:fill="auto"/>
            <w:noWrap/>
            <w:hideMark/>
          </w:tcPr>
          <w:p w14:paraId="08E56554" w14:textId="77777777" w:rsidR="004F64EF" w:rsidRPr="003003C0" w:rsidRDefault="004F64EF" w:rsidP="001F3C85">
            <w:pPr>
              <w:keepNext/>
              <w:keepLines/>
              <w:jc w:val="right"/>
              <w:rPr>
                <w:color w:val="000000"/>
                <w:sz w:val="15"/>
                <w:szCs w:val="15"/>
              </w:rPr>
            </w:pPr>
            <w:r w:rsidRPr="003003C0">
              <w:rPr>
                <w:color w:val="000000"/>
                <w:sz w:val="15"/>
                <w:szCs w:val="15"/>
              </w:rPr>
              <w:t>28</w:t>
            </w:r>
          </w:p>
        </w:tc>
        <w:tc>
          <w:tcPr>
            <w:tcW w:w="593" w:type="pct"/>
            <w:shd w:val="clear" w:color="auto" w:fill="auto"/>
            <w:noWrap/>
            <w:hideMark/>
          </w:tcPr>
          <w:p w14:paraId="636D076D" w14:textId="77777777" w:rsidR="004F64EF" w:rsidRPr="003003C0" w:rsidRDefault="004F64EF" w:rsidP="001F3C85">
            <w:pPr>
              <w:keepNext/>
              <w:keepLines/>
              <w:ind w:right="284"/>
              <w:jc w:val="right"/>
              <w:rPr>
                <w:color w:val="000000"/>
                <w:sz w:val="15"/>
                <w:szCs w:val="15"/>
              </w:rPr>
            </w:pPr>
            <w:r w:rsidRPr="003003C0">
              <w:rPr>
                <w:color w:val="000000"/>
                <w:sz w:val="15"/>
                <w:szCs w:val="15"/>
              </w:rPr>
              <w:t>20</w:t>
            </w:r>
            <w:r>
              <w:rPr>
                <w:color w:val="000000"/>
                <w:sz w:val="15"/>
                <w:szCs w:val="15"/>
              </w:rPr>
              <w:t>.</w:t>
            </w:r>
            <w:r w:rsidRPr="003003C0">
              <w:rPr>
                <w:color w:val="000000"/>
                <w:sz w:val="15"/>
                <w:szCs w:val="15"/>
              </w:rPr>
              <w:t>0</w:t>
            </w:r>
          </w:p>
        </w:tc>
        <w:tc>
          <w:tcPr>
            <w:tcW w:w="586" w:type="pct"/>
            <w:shd w:val="clear" w:color="auto" w:fill="auto"/>
            <w:noWrap/>
            <w:hideMark/>
          </w:tcPr>
          <w:p w14:paraId="68C2DE7A" w14:textId="77777777" w:rsidR="004F64EF" w:rsidRPr="003003C0" w:rsidRDefault="004F64EF" w:rsidP="001F3C85">
            <w:pPr>
              <w:keepNext/>
              <w:keepLines/>
              <w:jc w:val="center"/>
              <w:rPr>
                <w:color w:val="000000"/>
                <w:sz w:val="15"/>
                <w:szCs w:val="15"/>
              </w:rPr>
            </w:pPr>
            <w:r w:rsidRPr="003003C0">
              <w:rPr>
                <w:color w:val="000000"/>
                <w:sz w:val="15"/>
                <w:szCs w:val="15"/>
              </w:rPr>
              <w:t>20 - 20</w:t>
            </w:r>
          </w:p>
        </w:tc>
        <w:tc>
          <w:tcPr>
            <w:tcW w:w="796" w:type="pct"/>
            <w:shd w:val="clear" w:color="auto" w:fill="auto"/>
            <w:noWrap/>
            <w:hideMark/>
          </w:tcPr>
          <w:p w14:paraId="16DDCE28" w14:textId="77777777" w:rsidR="004F64EF" w:rsidRPr="003003C0" w:rsidRDefault="004F64EF" w:rsidP="001F3C85">
            <w:pPr>
              <w:keepNext/>
              <w:keepLines/>
              <w:ind w:right="454"/>
              <w:jc w:val="right"/>
              <w:rPr>
                <w:color w:val="000000"/>
                <w:sz w:val="15"/>
                <w:szCs w:val="15"/>
              </w:rPr>
            </w:pPr>
            <w:r w:rsidRPr="003003C0">
              <w:rPr>
                <w:color w:val="000000"/>
                <w:sz w:val="15"/>
                <w:szCs w:val="15"/>
              </w:rPr>
              <w:t>0</w:t>
            </w:r>
            <w:r>
              <w:rPr>
                <w:color w:val="000000"/>
                <w:sz w:val="15"/>
                <w:szCs w:val="15"/>
              </w:rPr>
              <w:t>.</w:t>
            </w:r>
            <w:r w:rsidRPr="003003C0">
              <w:rPr>
                <w:color w:val="000000"/>
                <w:sz w:val="15"/>
                <w:szCs w:val="15"/>
              </w:rPr>
              <w:t>0</w:t>
            </w:r>
          </w:p>
        </w:tc>
        <w:tc>
          <w:tcPr>
            <w:tcW w:w="1062" w:type="pct"/>
            <w:shd w:val="clear" w:color="auto" w:fill="auto"/>
            <w:noWrap/>
            <w:hideMark/>
          </w:tcPr>
          <w:p w14:paraId="563A9438" w14:textId="77777777" w:rsidR="004F64EF" w:rsidRPr="003003C0" w:rsidRDefault="004F64EF" w:rsidP="001F3C85">
            <w:pPr>
              <w:keepNext/>
              <w:keepLines/>
              <w:ind w:right="510"/>
              <w:jc w:val="right"/>
              <w:rPr>
                <w:sz w:val="15"/>
                <w:szCs w:val="15"/>
              </w:rPr>
            </w:pPr>
            <w:r w:rsidRPr="003003C0">
              <w:rPr>
                <w:sz w:val="15"/>
                <w:szCs w:val="15"/>
              </w:rPr>
              <w:t>40 - 40</w:t>
            </w:r>
          </w:p>
        </w:tc>
      </w:tr>
      <w:tr w:rsidR="004F64EF" w:rsidRPr="003003C0" w14:paraId="78A1F9E0" w14:textId="77777777" w:rsidTr="001F3C85">
        <w:trPr>
          <w:cantSplit/>
        </w:trPr>
        <w:tc>
          <w:tcPr>
            <w:tcW w:w="1333" w:type="pct"/>
            <w:shd w:val="clear" w:color="auto" w:fill="C9DED4"/>
            <w:noWrap/>
            <w:hideMark/>
          </w:tcPr>
          <w:p w14:paraId="7A863C9E" w14:textId="77777777" w:rsidR="004F64EF" w:rsidRPr="003003C0" w:rsidRDefault="004F64EF" w:rsidP="001F3C85">
            <w:pPr>
              <w:keepNext/>
              <w:keepLines/>
              <w:jc w:val="left"/>
              <w:rPr>
                <w:color w:val="000000"/>
                <w:sz w:val="15"/>
                <w:szCs w:val="15"/>
              </w:rPr>
            </w:pPr>
            <w:r w:rsidRPr="003003C0">
              <w:rPr>
                <w:color w:val="000000"/>
                <w:sz w:val="15"/>
                <w:szCs w:val="15"/>
              </w:rPr>
              <w:t xml:space="preserve">20. </w:t>
            </w:r>
            <w:r>
              <w:rPr>
                <w:color w:val="000000"/>
                <w:sz w:val="15"/>
                <w:szCs w:val="15"/>
              </w:rPr>
              <w:t>M</w:t>
            </w:r>
            <w:r w:rsidRPr="0011498E">
              <w:rPr>
                <w:color w:val="000000"/>
                <w:sz w:val="15"/>
                <w:szCs w:val="15"/>
              </w:rPr>
              <w:t>iscellaneous manufactured articles</w:t>
            </w:r>
          </w:p>
        </w:tc>
        <w:tc>
          <w:tcPr>
            <w:tcW w:w="630" w:type="pct"/>
            <w:shd w:val="clear" w:color="auto" w:fill="C9DED4"/>
            <w:noWrap/>
            <w:hideMark/>
          </w:tcPr>
          <w:p w14:paraId="0AD084B2" w14:textId="77777777" w:rsidR="004F64EF" w:rsidRPr="003003C0" w:rsidRDefault="004F64EF" w:rsidP="001F3C85">
            <w:pPr>
              <w:keepNext/>
              <w:keepLines/>
              <w:jc w:val="right"/>
              <w:rPr>
                <w:color w:val="000000"/>
                <w:sz w:val="15"/>
                <w:szCs w:val="15"/>
              </w:rPr>
            </w:pPr>
            <w:r w:rsidRPr="003003C0">
              <w:rPr>
                <w:color w:val="000000"/>
                <w:sz w:val="15"/>
                <w:szCs w:val="15"/>
              </w:rPr>
              <w:t>184</w:t>
            </w:r>
          </w:p>
        </w:tc>
        <w:tc>
          <w:tcPr>
            <w:tcW w:w="593" w:type="pct"/>
            <w:shd w:val="clear" w:color="auto" w:fill="C9DED4"/>
            <w:noWrap/>
            <w:hideMark/>
          </w:tcPr>
          <w:p w14:paraId="7C7F478C" w14:textId="77777777" w:rsidR="004F64EF" w:rsidRPr="003003C0" w:rsidRDefault="004F64EF" w:rsidP="001F3C85">
            <w:pPr>
              <w:keepNext/>
              <w:keepLines/>
              <w:ind w:right="284"/>
              <w:jc w:val="right"/>
              <w:rPr>
                <w:color w:val="000000"/>
                <w:sz w:val="15"/>
                <w:szCs w:val="15"/>
              </w:rPr>
            </w:pPr>
            <w:r w:rsidRPr="003003C0">
              <w:rPr>
                <w:color w:val="000000"/>
                <w:sz w:val="15"/>
                <w:szCs w:val="15"/>
              </w:rPr>
              <w:t>16</w:t>
            </w:r>
            <w:r>
              <w:rPr>
                <w:color w:val="000000"/>
                <w:sz w:val="15"/>
                <w:szCs w:val="15"/>
              </w:rPr>
              <w:t>.</w:t>
            </w:r>
            <w:r w:rsidRPr="003003C0">
              <w:rPr>
                <w:color w:val="000000"/>
                <w:sz w:val="15"/>
                <w:szCs w:val="15"/>
              </w:rPr>
              <w:t>8</w:t>
            </w:r>
          </w:p>
        </w:tc>
        <w:tc>
          <w:tcPr>
            <w:tcW w:w="586" w:type="pct"/>
            <w:shd w:val="clear" w:color="auto" w:fill="C9DED4"/>
            <w:noWrap/>
            <w:hideMark/>
          </w:tcPr>
          <w:p w14:paraId="39E8D07A" w14:textId="77777777" w:rsidR="004F64EF" w:rsidRPr="003003C0" w:rsidRDefault="004F64EF" w:rsidP="001F3C85">
            <w:pPr>
              <w:keepNext/>
              <w:keepLines/>
              <w:jc w:val="center"/>
              <w:rPr>
                <w:color w:val="000000"/>
                <w:sz w:val="15"/>
                <w:szCs w:val="15"/>
              </w:rPr>
            </w:pPr>
            <w:r w:rsidRPr="003003C0">
              <w:rPr>
                <w:color w:val="000000"/>
                <w:sz w:val="15"/>
                <w:szCs w:val="15"/>
              </w:rPr>
              <w:t>0 - 20</w:t>
            </w:r>
          </w:p>
        </w:tc>
        <w:tc>
          <w:tcPr>
            <w:tcW w:w="796" w:type="pct"/>
            <w:shd w:val="clear" w:color="auto" w:fill="C9DED4"/>
            <w:noWrap/>
            <w:hideMark/>
          </w:tcPr>
          <w:p w14:paraId="3392B3A9" w14:textId="77777777" w:rsidR="004F64EF" w:rsidRPr="003003C0" w:rsidRDefault="004F64EF" w:rsidP="001F3C85">
            <w:pPr>
              <w:keepNext/>
              <w:keepLines/>
              <w:ind w:right="454"/>
              <w:jc w:val="right"/>
              <w:rPr>
                <w:color w:val="000000"/>
                <w:sz w:val="15"/>
                <w:szCs w:val="15"/>
              </w:rPr>
            </w:pPr>
            <w:r w:rsidRPr="003003C0">
              <w:rPr>
                <w:color w:val="000000"/>
                <w:sz w:val="15"/>
                <w:szCs w:val="15"/>
              </w:rPr>
              <w:t>0</w:t>
            </w:r>
            <w:r>
              <w:rPr>
                <w:color w:val="000000"/>
                <w:sz w:val="15"/>
                <w:szCs w:val="15"/>
              </w:rPr>
              <w:t>.</w:t>
            </w:r>
            <w:r w:rsidRPr="003003C0">
              <w:rPr>
                <w:color w:val="000000"/>
                <w:sz w:val="15"/>
                <w:szCs w:val="15"/>
              </w:rPr>
              <w:t>4</w:t>
            </w:r>
          </w:p>
        </w:tc>
        <w:tc>
          <w:tcPr>
            <w:tcW w:w="1062" w:type="pct"/>
            <w:shd w:val="clear" w:color="auto" w:fill="C9DED4"/>
            <w:noWrap/>
            <w:hideMark/>
          </w:tcPr>
          <w:p w14:paraId="1E031DFB" w14:textId="77777777" w:rsidR="004F64EF" w:rsidRPr="003003C0" w:rsidRDefault="004F64EF" w:rsidP="001F3C85">
            <w:pPr>
              <w:keepNext/>
              <w:keepLines/>
              <w:ind w:right="510"/>
              <w:jc w:val="right"/>
              <w:rPr>
                <w:sz w:val="15"/>
                <w:szCs w:val="15"/>
              </w:rPr>
            </w:pPr>
            <w:r w:rsidRPr="003003C0">
              <w:rPr>
                <w:sz w:val="15"/>
                <w:szCs w:val="15"/>
              </w:rPr>
              <w:t>35 - 40</w:t>
            </w:r>
          </w:p>
        </w:tc>
      </w:tr>
      <w:tr w:rsidR="004F64EF" w:rsidRPr="003003C0" w14:paraId="236A35AB" w14:textId="77777777" w:rsidTr="001F3C85">
        <w:trPr>
          <w:cantSplit/>
        </w:trPr>
        <w:tc>
          <w:tcPr>
            <w:tcW w:w="1333" w:type="pct"/>
            <w:shd w:val="clear" w:color="auto" w:fill="auto"/>
            <w:noWrap/>
            <w:hideMark/>
          </w:tcPr>
          <w:p w14:paraId="78FC0274" w14:textId="77777777" w:rsidR="004F64EF" w:rsidRPr="003003C0" w:rsidRDefault="004F64EF" w:rsidP="001F3C85">
            <w:pPr>
              <w:keepNext/>
              <w:keepLines/>
              <w:jc w:val="left"/>
              <w:rPr>
                <w:color w:val="000000"/>
                <w:sz w:val="15"/>
                <w:szCs w:val="15"/>
              </w:rPr>
            </w:pPr>
            <w:r w:rsidRPr="003003C0">
              <w:rPr>
                <w:color w:val="000000"/>
                <w:sz w:val="15"/>
                <w:szCs w:val="15"/>
              </w:rPr>
              <w:t xml:space="preserve">21. </w:t>
            </w:r>
            <w:r>
              <w:rPr>
                <w:color w:val="000000"/>
                <w:sz w:val="15"/>
                <w:szCs w:val="15"/>
              </w:rPr>
              <w:t>Works of art</w:t>
            </w:r>
            <w:r w:rsidRPr="003003C0">
              <w:rPr>
                <w:color w:val="000000"/>
                <w:sz w:val="15"/>
                <w:szCs w:val="15"/>
              </w:rPr>
              <w:t>, etc.</w:t>
            </w:r>
          </w:p>
        </w:tc>
        <w:tc>
          <w:tcPr>
            <w:tcW w:w="630" w:type="pct"/>
            <w:shd w:val="clear" w:color="auto" w:fill="auto"/>
            <w:noWrap/>
            <w:hideMark/>
          </w:tcPr>
          <w:p w14:paraId="76F7148C" w14:textId="77777777" w:rsidR="004F64EF" w:rsidRPr="003003C0" w:rsidRDefault="004F64EF" w:rsidP="001F3C85">
            <w:pPr>
              <w:keepNext/>
              <w:keepLines/>
              <w:jc w:val="right"/>
              <w:rPr>
                <w:color w:val="000000"/>
                <w:sz w:val="15"/>
                <w:szCs w:val="15"/>
              </w:rPr>
            </w:pPr>
            <w:r w:rsidRPr="003003C0">
              <w:rPr>
                <w:color w:val="000000"/>
                <w:sz w:val="15"/>
                <w:szCs w:val="15"/>
              </w:rPr>
              <w:t>7</w:t>
            </w:r>
          </w:p>
        </w:tc>
        <w:tc>
          <w:tcPr>
            <w:tcW w:w="593" w:type="pct"/>
            <w:shd w:val="clear" w:color="auto" w:fill="auto"/>
            <w:noWrap/>
            <w:hideMark/>
          </w:tcPr>
          <w:p w14:paraId="7FDC3B29" w14:textId="77777777" w:rsidR="004F64EF" w:rsidRPr="003003C0" w:rsidRDefault="004F64EF" w:rsidP="001F3C85">
            <w:pPr>
              <w:keepNext/>
              <w:keepLines/>
              <w:ind w:right="284"/>
              <w:jc w:val="right"/>
              <w:rPr>
                <w:color w:val="000000"/>
                <w:sz w:val="15"/>
                <w:szCs w:val="15"/>
              </w:rPr>
            </w:pPr>
            <w:r w:rsidRPr="003003C0">
              <w:rPr>
                <w:color w:val="000000"/>
                <w:sz w:val="15"/>
                <w:szCs w:val="15"/>
              </w:rPr>
              <w:t>20</w:t>
            </w:r>
            <w:r>
              <w:rPr>
                <w:color w:val="000000"/>
                <w:sz w:val="15"/>
                <w:szCs w:val="15"/>
              </w:rPr>
              <w:t>.</w:t>
            </w:r>
            <w:r w:rsidRPr="003003C0">
              <w:rPr>
                <w:color w:val="000000"/>
                <w:sz w:val="15"/>
                <w:szCs w:val="15"/>
              </w:rPr>
              <w:t>0</w:t>
            </w:r>
          </w:p>
        </w:tc>
        <w:tc>
          <w:tcPr>
            <w:tcW w:w="586" w:type="pct"/>
            <w:shd w:val="clear" w:color="auto" w:fill="auto"/>
            <w:noWrap/>
            <w:hideMark/>
          </w:tcPr>
          <w:p w14:paraId="3ED6A149" w14:textId="77777777" w:rsidR="004F64EF" w:rsidRPr="003003C0" w:rsidRDefault="004F64EF" w:rsidP="001F3C85">
            <w:pPr>
              <w:keepNext/>
              <w:keepLines/>
              <w:jc w:val="center"/>
              <w:rPr>
                <w:color w:val="000000"/>
                <w:sz w:val="15"/>
                <w:szCs w:val="15"/>
              </w:rPr>
            </w:pPr>
            <w:r w:rsidRPr="003003C0">
              <w:rPr>
                <w:color w:val="000000"/>
                <w:sz w:val="15"/>
                <w:szCs w:val="15"/>
              </w:rPr>
              <w:t>20 - 20</w:t>
            </w:r>
          </w:p>
        </w:tc>
        <w:tc>
          <w:tcPr>
            <w:tcW w:w="796" w:type="pct"/>
            <w:shd w:val="clear" w:color="auto" w:fill="auto"/>
            <w:noWrap/>
            <w:hideMark/>
          </w:tcPr>
          <w:p w14:paraId="4AF63E11" w14:textId="77777777" w:rsidR="004F64EF" w:rsidRPr="003003C0" w:rsidRDefault="004F64EF" w:rsidP="001F3C85">
            <w:pPr>
              <w:keepNext/>
              <w:keepLines/>
              <w:ind w:right="454"/>
              <w:jc w:val="right"/>
              <w:rPr>
                <w:color w:val="000000"/>
                <w:sz w:val="15"/>
                <w:szCs w:val="15"/>
              </w:rPr>
            </w:pPr>
            <w:r w:rsidRPr="003003C0">
              <w:rPr>
                <w:color w:val="000000"/>
                <w:sz w:val="15"/>
                <w:szCs w:val="15"/>
              </w:rPr>
              <w:t>0</w:t>
            </w:r>
            <w:r>
              <w:rPr>
                <w:color w:val="000000"/>
                <w:sz w:val="15"/>
                <w:szCs w:val="15"/>
              </w:rPr>
              <w:t>.</w:t>
            </w:r>
            <w:r w:rsidRPr="003003C0">
              <w:rPr>
                <w:color w:val="000000"/>
                <w:sz w:val="15"/>
                <w:szCs w:val="15"/>
              </w:rPr>
              <w:t>0</w:t>
            </w:r>
          </w:p>
        </w:tc>
        <w:tc>
          <w:tcPr>
            <w:tcW w:w="1062" w:type="pct"/>
            <w:shd w:val="clear" w:color="auto" w:fill="auto"/>
            <w:noWrap/>
            <w:hideMark/>
          </w:tcPr>
          <w:p w14:paraId="63B7F621" w14:textId="77777777" w:rsidR="004F64EF" w:rsidRPr="003003C0" w:rsidRDefault="004F64EF" w:rsidP="001F3C85">
            <w:pPr>
              <w:keepNext/>
              <w:keepLines/>
              <w:ind w:right="510"/>
              <w:jc w:val="right"/>
              <w:rPr>
                <w:sz w:val="15"/>
                <w:szCs w:val="15"/>
              </w:rPr>
            </w:pPr>
            <w:r w:rsidRPr="003003C0">
              <w:rPr>
                <w:sz w:val="15"/>
                <w:szCs w:val="15"/>
              </w:rPr>
              <w:t>40 - 40</w:t>
            </w:r>
          </w:p>
        </w:tc>
      </w:tr>
    </w:tbl>
    <w:p w14:paraId="3C99A741" w14:textId="77777777" w:rsidR="004F64EF" w:rsidRPr="003003C0" w:rsidRDefault="004F64EF" w:rsidP="00E439A9">
      <w:pPr>
        <w:pStyle w:val="NoteText"/>
        <w:keepNext/>
        <w:keepLines/>
        <w:spacing w:before="120"/>
      </w:pPr>
      <w:r w:rsidRPr="003003C0">
        <w:t>..</w:t>
      </w:r>
      <w:r w:rsidRPr="003003C0">
        <w:tab/>
        <w:t>No</w:t>
      </w:r>
      <w:r>
        <w:t>t</w:t>
      </w:r>
      <w:r w:rsidRPr="003003C0">
        <w:t xml:space="preserve"> </w:t>
      </w:r>
      <w:r>
        <w:t>available</w:t>
      </w:r>
      <w:r w:rsidRPr="003003C0">
        <w:t>.</w:t>
      </w:r>
    </w:p>
    <w:p w14:paraId="6DB2430D" w14:textId="77777777" w:rsidR="004F64EF" w:rsidRPr="003003C0" w:rsidRDefault="004F64EF" w:rsidP="00E439A9">
      <w:pPr>
        <w:pStyle w:val="NoteText"/>
        <w:spacing w:before="120"/>
      </w:pPr>
      <w:proofErr w:type="spellStart"/>
      <w:r w:rsidRPr="003003C0">
        <w:t>a</w:t>
      </w:r>
      <w:proofErr w:type="spellEnd"/>
      <w:r w:rsidRPr="003003C0">
        <w:tab/>
      </w:r>
      <w:r w:rsidRPr="0011498E">
        <w:t>The bindings are given in HS 20</w:t>
      </w:r>
      <w:r>
        <w:t>02</w:t>
      </w:r>
      <w:r w:rsidRPr="0011498E">
        <w:t xml:space="preserve"> and the applied tariffs in HS 2017; consequently, there may be differences in the number of lines included in the analysis</w:t>
      </w:r>
      <w:r w:rsidRPr="003003C0">
        <w:t>.</w:t>
      </w:r>
    </w:p>
    <w:p w14:paraId="6AC32CC7" w14:textId="77777777" w:rsidR="004F64EF" w:rsidRPr="003003C0" w:rsidRDefault="004F64EF" w:rsidP="00E439A9">
      <w:pPr>
        <w:pStyle w:val="NoteText"/>
        <w:spacing w:before="120" w:after="240"/>
      </w:pPr>
      <w:r>
        <w:t>Source</w:t>
      </w:r>
      <w:r w:rsidRPr="003003C0">
        <w:t>:</w:t>
      </w:r>
      <w:r w:rsidRPr="003003C0">
        <w:tab/>
      </w:r>
      <w:r w:rsidRPr="0011498E">
        <w:t xml:space="preserve">WTO Secretariat </w:t>
      </w:r>
      <w:r>
        <w:t>estimates</w:t>
      </w:r>
      <w:r w:rsidRPr="0011498E">
        <w:t xml:space="preserve"> based on data provided by the authorities</w:t>
      </w:r>
      <w:r w:rsidRPr="003003C0">
        <w:t>.</w:t>
      </w:r>
    </w:p>
    <w:p w14:paraId="5C99AD3A" w14:textId="77777777" w:rsidR="004F64EF" w:rsidRPr="003003C0" w:rsidRDefault="004F64EF" w:rsidP="00E439A9">
      <w:r w:rsidRPr="003003C0">
        <w:br w:type="page"/>
      </w:r>
    </w:p>
    <w:p w14:paraId="0E97693C" w14:textId="77777777" w:rsidR="004F64EF" w:rsidRPr="003003C0" w:rsidRDefault="004F64EF" w:rsidP="00E439A9">
      <w:pPr>
        <w:pStyle w:val="Caption"/>
      </w:pPr>
      <w:bookmarkStart w:id="452" w:name="_Toc114735880"/>
      <w:bookmarkStart w:id="453" w:name="_Toc117004300"/>
      <w:bookmarkStart w:id="454" w:name="_Toc117238125"/>
      <w:r>
        <w:lastRenderedPageBreak/>
        <w:t>Table</w:t>
      </w:r>
      <w:r w:rsidRPr="003003C0">
        <w:t xml:space="preserve"> A3.</w:t>
      </w:r>
      <w:r w:rsidR="00BD37F2">
        <w:fldChar w:fldCharType="begin"/>
      </w:r>
      <w:r w:rsidR="00BD37F2">
        <w:instrText xml:space="preserve"> SEQ Table_A3. \* ARABIC </w:instrText>
      </w:r>
      <w:r w:rsidR="00BD37F2">
        <w:fldChar w:fldCharType="separate"/>
      </w:r>
      <w:r w:rsidRPr="003003C0">
        <w:rPr>
          <w:noProof/>
        </w:rPr>
        <w:t>3</w:t>
      </w:r>
      <w:r w:rsidR="00BD37F2">
        <w:rPr>
          <w:noProof/>
        </w:rPr>
        <w:fldChar w:fldCharType="end"/>
      </w:r>
      <w:r w:rsidRPr="003003C0">
        <w:t xml:space="preserve"> </w:t>
      </w:r>
      <w:r w:rsidRPr="00947C4E">
        <w:t xml:space="preserve">Tariff lines </w:t>
      </w:r>
      <w:r>
        <w:t>where the</w:t>
      </w:r>
      <w:r w:rsidRPr="00947C4E">
        <w:t xml:space="preserve"> applied MFN rate exceed</w:t>
      </w:r>
      <w:r>
        <w:t>s</w:t>
      </w:r>
      <w:r w:rsidRPr="00947C4E">
        <w:t xml:space="preserve"> </w:t>
      </w:r>
      <w:r>
        <w:t xml:space="preserve">the </w:t>
      </w:r>
      <w:r w:rsidRPr="00947C4E">
        <w:t>bound rate</w:t>
      </w:r>
      <w:r w:rsidRPr="003003C0">
        <w:t xml:space="preserve">, </w:t>
      </w:r>
      <w:r w:rsidRPr="003003C0">
        <w:rPr>
          <w:color w:val="1F497D" w:themeColor="text2"/>
        </w:rPr>
        <w:t>2021</w:t>
      </w:r>
      <w:bookmarkEnd w:id="452"/>
      <w:bookmarkEnd w:id="453"/>
      <w:bookmarkEnd w:id="454"/>
    </w:p>
    <w:tbl>
      <w:tblPr>
        <w:tblStyle w:val="WTOTable1"/>
        <w:tblW w:w="9026" w:type="dxa"/>
        <w:tblLayout w:type="fixed"/>
        <w:tblLook w:val="04A0" w:firstRow="1" w:lastRow="0" w:firstColumn="1" w:lastColumn="0" w:noHBand="0" w:noVBand="1"/>
      </w:tblPr>
      <w:tblGrid>
        <w:gridCol w:w="1129"/>
        <w:gridCol w:w="1276"/>
        <w:gridCol w:w="425"/>
        <w:gridCol w:w="2622"/>
        <w:gridCol w:w="2623"/>
        <w:gridCol w:w="475"/>
        <w:gridCol w:w="476"/>
      </w:tblGrid>
      <w:tr w:rsidR="004F64EF" w:rsidRPr="003003C0" w14:paraId="509764F7" w14:textId="77777777" w:rsidTr="001F3C85">
        <w:trPr>
          <w:cnfStyle w:val="100000000000" w:firstRow="1" w:lastRow="0" w:firstColumn="0" w:lastColumn="0" w:oddVBand="0" w:evenVBand="0" w:oddHBand="0" w:evenHBand="0" w:firstRowFirstColumn="0" w:firstRowLastColumn="0" w:lastRowFirstColumn="0" w:lastRowLastColumn="0"/>
          <w:tblHeader/>
        </w:trPr>
        <w:tc>
          <w:tcPr>
            <w:tcW w:w="2405" w:type="dxa"/>
            <w:gridSpan w:val="2"/>
            <w:tcBorders>
              <w:top w:val="single" w:sz="4" w:space="0" w:color="auto"/>
              <w:bottom w:val="single" w:sz="4" w:space="0" w:color="auto"/>
            </w:tcBorders>
            <w:noWrap/>
            <w:hideMark/>
          </w:tcPr>
          <w:p w14:paraId="61ACCA22" w14:textId="77777777" w:rsidR="004F64EF" w:rsidRPr="003003C0" w:rsidRDefault="004F64EF" w:rsidP="001F3C85">
            <w:pPr>
              <w:jc w:val="center"/>
              <w:rPr>
                <w:color w:val="FFFFFF" w:themeColor="background1"/>
                <w:sz w:val="14"/>
                <w:szCs w:val="14"/>
              </w:rPr>
            </w:pPr>
            <w:r>
              <w:rPr>
                <w:color w:val="FFFFFF" w:themeColor="background1"/>
                <w:sz w:val="14"/>
                <w:szCs w:val="14"/>
              </w:rPr>
              <w:t>HS code</w:t>
            </w:r>
          </w:p>
        </w:tc>
        <w:tc>
          <w:tcPr>
            <w:tcW w:w="425" w:type="dxa"/>
            <w:vMerge w:val="restart"/>
            <w:noWrap/>
            <w:textDirection w:val="btLr"/>
            <w:vAlign w:val="center"/>
            <w:hideMark/>
          </w:tcPr>
          <w:p w14:paraId="3CD3620E" w14:textId="77777777" w:rsidR="004F64EF" w:rsidRPr="003003C0" w:rsidRDefault="004F64EF" w:rsidP="001F3C85">
            <w:pPr>
              <w:ind w:left="113" w:right="113"/>
              <w:jc w:val="center"/>
              <w:rPr>
                <w:color w:val="FFFFFF" w:themeColor="background1"/>
                <w:sz w:val="14"/>
                <w:szCs w:val="14"/>
              </w:rPr>
            </w:pPr>
            <w:r w:rsidRPr="00192722">
              <w:rPr>
                <w:color w:val="FFFFFF" w:themeColor="background1"/>
                <w:sz w:val="14"/>
                <w:szCs w:val="14"/>
              </w:rPr>
              <w:t>Sub</w:t>
            </w:r>
            <w:r>
              <w:rPr>
                <w:color w:val="FFFFFF" w:themeColor="background1"/>
                <w:sz w:val="14"/>
                <w:szCs w:val="14"/>
              </w:rPr>
              <w:t>line</w:t>
            </w:r>
          </w:p>
        </w:tc>
        <w:tc>
          <w:tcPr>
            <w:tcW w:w="2622" w:type="dxa"/>
            <w:vMerge w:val="restart"/>
            <w:noWrap/>
            <w:vAlign w:val="center"/>
            <w:hideMark/>
          </w:tcPr>
          <w:p w14:paraId="1465758D" w14:textId="77777777" w:rsidR="004F64EF" w:rsidRPr="003003C0" w:rsidRDefault="004F64EF" w:rsidP="001F3C85">
            <w:pPr>
              <w:jc w:val="center"/>
              <w:rPr>
                <w:color w:val="FFFFFF" w:themeColor="background1"/>
                <w:sz w:val="14"/>
                <w:szCs w:val="14"/>
              </w:rPr>
            </w:pPr>
            <w:r w:rsidRPr="003003C0">
              <w:rPr>
                <w:color w:val="FFFFFF" w:themeColor="background1"/>
                <w:sz w:val="14"/>
                <w:szCs w:val="14"/>
              </w:rPr>
              <w:t>Descri</w:t>
            </w:r>
            <w:r>
              <w:rPr>
                <w:color w:val="FFFFFF" w:themeColor="background1"/>
                <w:sz w:val="14"/>
                <w:szCs w:val="14"/>
              </w:rPr>
              <w:t>ption MFN tariff</w:t>
            </w:r>
          </w:p>
        </w:tc>
        <w:tc>
          <w:tcPr>
            <w:tcW w:w="2623" w:type="dxa"/>
            <w:vMerge w:val="restart"/>
            <w:noWrap/>
            <w:vAlign w:val="center"/>
            <w:hideMark/>
          </w:tcPr>
          <w:p w14:paraId="135B5A1F" w14:textId="77777777" w:rsidR="004F64EF" w:rsidRPr="003003C0" w:rsidRDefault="004F64EF" w:rsidP="001F3C85">
            <w:pPr>
              <w:jc w:val="center"/>
              <w:rPr>
                <w:color w:val="FFFFFF" w:themeColor="background1"/>
                <w:sz w:val="14"/>
                <w:szCs w:val="14"/>
              </w:rPr>
            </w:pPr>
            <w:r>
              <w:rPr>
                <w:color w:val="FFFFFF" w:themeColor="background1"/>
                <w:sz w:val="14"/>
                <w:szCs w:val="14"/>
              </w:rPr>
              <w:t>Description bound tariff</w:t>
            </w:r>
          </w:p>
        </w:tc>
        <w:tc>
          <w:tcPr>
            <w:tcW w:w="951" w:type="dxa"/>
            <w:gridSpan w:val="2"/>
            <w:tcBorders>
              <w:top w:val="single" w:sz="4" w:space="0" w:color="auto"/>
              <w:bottom w:val="single" w:sz="4" w:space="0" w:color="auto"/>
            </w:tcBorders>
            <w:noWrap/>
            <w:hideMark/>
          </w:tcPr>
          <w:p w14:paraId="329D1E12" w14:textId="77777777" w:rsidR="004F64EF" w:rsidRPr="003003C0" w:rsidRDefault="004F64EF" w:rsidP="001F3C85">
            <w:pPr>
              <w:jc w:val="center"/>
              <w:rPr>
                <w:color w:val="FFFFFF" w:themeColor="background1"/>
                <w:sz w:val="14"/>
                <w:szCs w:val="14"/>
              </w:rPr>
            </w:pPr>
            <w:proofErr w:type="spellStart"/>
            <w:r>
              <w:rPr>
                <w:color w:val="FFFFFF" w:themeColor="background1"/>
                <w:sz w:val="14"/>
                <w:szCs w:val="14"/>
              </w:rPr>
              <w:t>Tariff</w:t>
            </w:r>
            <w:r w:rsidRPr="003003C0">
              <w:rPr>
                <w:color w:val="FFFFFF" w:themeColor="background1"/>
                <w:sz w:val="14"/>
                <w:szCs w:val="14"/>
                <w:vertAlign w:val="superscript"/>
              </w:rPr>
              <w:t>a</w:t>
            </w:r>
            <w:proofErr w:type="spellEnd"/>
          </w:p>
        </w:tc>
      </w:tr>
      <w:tr w:rsidR="004F64EF" w:rsidRPr="003003C0" w14:paraId="5F959D5B" w14:textId="77777777" w:rsidTr="001F3C85">
        <w:trPr>
          <w:cnfStyle w:val="100000000000" w:firstRow="1" w:lastRow="0" w:firstColumn="0" w:lastColumn="0" w:oddVBand="0" w:evenVBand="0" w:oddHBand="0" w:evenHBand="0" w:firstRowFirstColumn="0" w:firstRowLastColumn="0" w:lastRowFirstColumn="0" w:lastRowLastColumn="0"/>
          <w:trHeight w:val="1239"/>
          <w:tblHeader/>
        </w:trPr>
        <w:tc>
          <w:tcPr>
            <w:tcW w:w="1129" w:type="dxa"/>
            <w:tcBorders>
              <w:top w:val="single" w:sz="4" w:space="0" w:color="auto"/>
            </w:tcBorders>
            <w:noWrap/>
            <w:vAlign w:val="center"/>
            <w:hideMark/>
          </w:tcPr>
          <w:p w14:paraId="5B093C0F" w14:textId="77777777" w:rsidR="004F64EF" w:rsidRPr="003003C0" w:rsidRDefault="004F64EF" w:rsidP="001F3C85">
            <w:pPr>
              <w:jc w:val="center"/>
              <w:rPr>
                <w:color w:val="FFFFFF" w:themeColor="background1"/>
                <w:sz w:val="14"/>
                <w:szCs w:val="14"/>
              </w:rPr>
            </w:pPr>
            <w:r>
              <w:rPr>
                <w:color w:val="FFFFFF" w:themeColor="background1"/>
                <w:sz w:val="14"/>
                <w:szCs w:val="14"/>
              </w:rPr>
              <w:t>MFN</w:t>
            </w:r>
          </w:p>
        </w:tc>
        <w:tc>
          <w:tcPr>
            <w:tcW w:w="1276" w:type="dxa"/>
            <w:tcBorders>
              <w:top w:val="single" w:sz="4" w:space="0" w:color="auto"/>
            </w:tcBorders>
            <w:noWrap/>
            <w:vAlign w:val="center"/>
            <w:hideMark/>
          </w:tcPr>
          <w:p w14:paraId="0C51ED9C" w14:textId="77777777" w:rsidR="004F64EF" w:rsidRPr="003003C0" w:rsidRDefault="004F64EF" w:rsidP="001F3C85">
            <w:pPr>
              <w:jc w:val="center"/>
              <w:rPr>
                <w:color w:val="FFFFFF" w:themeColor="background1"/>
                <w:sz w:val="14"/>
                <w:szCs w:val="14"/>
              </w:rPr>
            </w:pPr>
            <w:r>
              <w:rPr>
                <w:color w:val="FFFFFF" w:themeColor="background1"/>
                <w:sz w:val="14"/>
                <w:szCs w:val="14"/>
              </w:rPr>
              <w:t>Bound</w:t>
            </w:r>
          </w:p>
        </w:tc>
        <w:tc>
          <w:tcPr>
            <w:tcW w:w="425" w:type="dxa"/>
            <w:vMerge/>
            <w:noWrap/>
            <w:hideMark/>
          </w:tcPr>
          <w:p w14:paraId="3E152B33" w14:textId="77777777" w:rsidR="004F64EF" w:rsidRPr="003003C0" w:rsidRDefault="004F64EF" w:rsidP="001F3C85">
            <w:pPr>
              <w:jc w:val="center"/>
              <w:rPr>
                <w:color w:val="FFFFFF" w:themeColor="background1"/>
                <w:sz w:val="14"/>
                <w:szCs w:val="14"/>
              </w:rPr>
            </w:pPr>
          </w:p>
        </w:tc>
        <w:tc>
          <w:tcPr>
            <w:tcW w:w="2622" w:type="dxa"/>
            <w:vMerge/>
            <w:noWrap/>
            <w:hideMark/>
          </w:tcPr>
          <w:p w14:paraId="4D271FD7" w14:textId="77777777" w:rsidR="004F64EF" w:rsidRPr="003003C0" w:rsidRDefault="004F64EF" w:rsidP="001F3C85">
            <w:pPr>
              <w:jc w:val="left"/>
              <w:rPr>
                <w:color w:val="FFFFFF" w:themeColor="background1"/>
                <w:sz w:val="14"/>
                <w:szCs w:val="14"/>
              </w:rPr>
            </w:pPr>
          </w:p>
        </w:tc>
        <w:tc>
          <w:tcPr>
            <w:tcW w:w="2623" w:type="dxa"/>
            <w:vMerge/>
            <w:noWrap/>
            <w:hideMark/>
          </w:tcPr>
          <w:p w14:paraId="70FD4C8D" w14:textId="77777777" w:rsidR="004F64EF" w:rsidRPr="003003C0" w:rsidRDefault="004F64EF" w:rsidP="001F3C85">
            <w:pPr>
              <w:jc w:val="left"/>
              <w:rPr>
                <w:color w:val="FFFFFF" w:themeColor="background1"/>
                <w:sz w:val="14"/>
                <w:szCs w:val="14"/>
              </w:rPr>
            </w:pPr>
          </w:p>
        </w:tc>
        <w:tc>
          <w:tcPr>
            <w:tcW w:w="475" w:type="dxa"/>
            <w:tcBorders>
              <w:top w:val="single" w:sz="4" w:space="0" w:color="auto"/>
            </w:tcBorders>
            <w:noWrap/>
            <w:textDirection w:val="btLr"/>
            <w:vAlign w:val="center"/>
            <w:hideMark/>
          </w:tcPr>
          <w:p w14:paraId="406EA812" w14:textId="77777777" w:rsidR="004F64EF" w:rsidRPr="003003C0" w:rsidRDefault="004F64EF" w:rsidP="001F3C85">
            <w:pPr>
              <w:ind w:left="113" w:right="113"/>
              <w:jc w:val="center"/>
              <w:rPr>
                <w:color w:val="FFFFFF" w:themeColor="background1"/>
                <w:sz w:val="14"/>
                <w:szCs w:val="14"/>
              </w:rPr>
            </w:pPr>
            <w:r>
              <w:rPr>
                <w:color w:val="FFFFFF" w:themeColor="background1"/>
                <w:sz w:val="14"/>
                <w:szCs w:val="14"/>
              </w:rPr>
              <w:t>MFN</w:t>
            </w:r>
            <w:r w:rsidRPr="003003C0">
              <w:rPr>
                <w:color w:val="FFFFFF" w:themeColor="background1"/>
                <w:sz w:val="14"/>
                <w:szCs w:val="14"/>
              </w:rPr>
              <w:t xml:space="preserve"> (%)</w:t>
            </w:r>
          </w:p>
        </w:tc>
        <w:tc>
          <w:tcPr>
            <w:tcW w:w="476" w:type="dxa"/>
            <w:tcBorders>
              <w:top w:val="single" w:sz="4" w:space="0" w:color="auto"/>
            </w:tcBorders>
            <w:noWrap/>
            <w:textDirection w:val="btLr"/>
            <w:vAlign w:val="center"/>
            <w:hideMark/>
          </w:tcPr>
          <w:p w14:paraId="70329546" w14:textId="77777777" w:rsidR="004F64EF" w:rsidRPr="003003C0" w:rsidRDefault="004F64EF" w:rsidP="001F3C85">
            <w:pPr>
              <w:ind w:left="113" w:right="113"/>
              <w:jc w:val="center"/>
              <w:rPr>
                <w:color w:val="FFFFFF" w:themeColor="background1"/>
                <w:sz w:val="14"/>
                <w:szCs w:val="14"/>
              </w:rPr>
            </w:pPr>
            <w:r>
              <w:rPr>
                <w:color w:val="FFFFFF" w:themeColor="background1"/>
                <w:sz w:val="14"/>
                <w:szCs w:val="14"/>
              </w:rPr>
              <w:t>Bound</w:t>
            </w:r>
            <w:r w:rsidRPr="003003C0">
              <w:rPr>
                <w:color w:val="FFFFFF" w:themeColor="background1"/>
                <w:sz w:val="14"/>
                <w:szCs w:val="14"/>
              </w:rPr>
              <w:t xml:space="preserve"> (%)</w:t>
            </w:r>
          </w:p>
        </w:tc>
      </w:tr>
      <w:tr w:rsidR="004F64EF" w:rsidRPr="003003C0" w14:paraId="1A493377" w14:textId="77777777" w:rsidTr="001F3C85">
        <w:tc>
          <w:tcPr>
            <w:tcW w:w="2405" w:type="dxa"/>
            <w:gridSpan w:val="2"/>
            <w:noWrap/>
            <w:hideMark/>
          </w:tcPr>
          <w:p w14:paraId="09C2A0E0" w14:textId="77777777" w:rsidR="004F64EF" w:rsidRPr="003003C0" w:rsidRDefault="004F64EF" w:rsidP="001F3C85">
            <w:pPr>
              <w:jc w:val="left"/>
              <w:rPr>
                <w:b/>
                <w:bCs/>
                <w:color w:val="000000"/>
                <w:sz w:val="14"/>
                <w:szCs w:val="14"/>
              </w:rPr>
            </w:pPr>
            <w:r>
              <w:rPr>
                <w:b/>
                <w:bCs/>
                <w:color w:val="000000"/>
                <w:sz w:val="14"/>
                <w:szCs w:val="14"/>
              </w:rPr>
              <w:t>Full line</w:t>
            </w:r>
          </w:p>
        </w:tc>
        <w:tc>
          <w:tcPr>
            <w:tcW w:w="425" w:type="dxa"/>
            <w:noWrap/>
            <w:hideMark/>
          </w:tcPr>
          <w:p w14:paraId="0AA26BAC" w14:textId="77777777" w:rsidR="004F64EF" w:rsidRPr="003003C0" w:rsidRDefault="004F64EF" w:rsidP="001F3C85">
            <w:pPr>
              <w:rPr>
                <w:b/>
                <w:bCs/>
                <w:color w:val="000000"/>
                <w:sz w:val="14"/>
                <w:szCs w:val="14"/>
              </w:rPr>
            </w:pPr>
          </w:p>
        </w:tc>
        <w:tc>
          <w:tcPr>
            <w:tcW w:w="2622" w:type="dxa"/>
            <w:noWrap/>
            <w:hideMark/>
          </w:tcPr>
          <w:p w14:paraId="1409651A" w14:textId="77777777" w:rsidR="004F64EF" w:rsidRPr="003003C0" w:rsidRDefault="004F64EF" w:rsidP="001F3C85">
            <w:pPr>
              <w:jc w:val="left"/>
              <w:rPr>
                <w:sz w:val="14"/>
                <w:szCs w:val="14"/>
              </w:rPr>
            </w:pPr>
          </w:p>
        </w:tc>
        <w:tc>
          <w:tcPr>
            <w:tcW w:w="2623" w:type="dxa"/>
            <w:noWrap/>
            <w:hideMark/>
          </w:tcPr>
          <w:p w14:paraId="47785217" w14:textId="77777777" w:rsidR="004F64EF" w:rsidRPr="003003C0" w:rsidRDefault="004F64EF" w:rsidP="001F3C85">
            <w:pPr>
              <w:jc w:val="left"/>
              <w:rPr>
                <w:sz w:val="14"/>
                <w:szCs w:val="14"/>
              </w:rPr>
            </w:pPr>
          </w:p>
        </w:tc>
        <w:tc>
          <w:tcPr>
            <w:tcW w:w="475" w:type="dxa"/>
            <w:noWrap/>
            <w:hideMark/>
          </w:tcPr>
          <w:p w14:paraId="6DF2064F" w14:textId="77777777" w:rsidR="004F64EF" w:rsidRPr="003003C0" w:rsidRDefault="004F64EF" w:rsidP="001F3C85">
            <w:pPr>
              <w:jc w:val="right"/>
              <w:rPr>
                <w:sz w:val="14"/>
                <w:szCs w:val="14"/>
              </w:rPr>
            </w:pPr>
          </w:p>
        </w:tc>
        <w:tc>
          <w:tcPr>
            <w:tcW w:w="476" w:type="dxa"/>
            <w:noWrap/>
            <w:hideMark/>
          </w:tcPr>
          <w:p w14:paraId="78E8E940" w14:textId="77777777" w:rsidR="004F64EF" w:rsidRPr="003003C0" w:rsidRDefault="004F64EF" w:rsidP="001F3C85">
            <w:pPr>
              <w:jc w:val="right"/>
              <w:rPr>
                <w:sz w:val="14"/>
                <w:szCs w:val="14"/>
              </w:rPr>
            </w:pPr>
          </w:p>
        </w:tc>
      </w:tr>
      <w:tr w:rsidR="004F64EF" w:rsidRPr="003003C0" w14:paraId="30F39E90" w14:textId="77777777" w:rsidTr="001F3C85">
        <w:trPr>
          <w:cnfStyle w:val="000000010000" w:firstRow="0" w:lastRow="0" w:firstColumn="0" w:lastColumn="0" w:oddVBand="0" w:evenVBand="0" w:oddHBand="0" w:evenHBand="1" w:firstRowFirstColumn="0" w:firstRowLastColumn="0" w:lastRowFirstColumn="0" w:lastRowLastColumn="0"/>
        </w:trPr>
        <w:tc>
          <w:tcPr>
            <w:tcW w:w="1129" w:type="dxa"/>
            <w:hideMark/>
          </w:tcPr>
          <w:p w14:paraId="05480F69" w14:textId="77777777" w:rsidR="004F64EF" w:rsidRPr="003003C0" w:rsidRDefault="004F64EF" w:rsidP="001F3C85">
            <w:pPr>
              <w:jc w:val="center"/>
              <w:rPr>
                <w:color w:val="000000"/>
                <w:sz w:val="14"/>
                <w:szCs w:val="14"/>
              </w:rPr>
            </w:pPr>
            <w:r w:rsidRPr="003003C0">
              <w:rPr>
                <w:color w:val="000000"/>
                <w:sz w:val="14"/>
                <w:szCs w:val="14"/>
              </w:rPr>
              <w:t>0207.13.00</w:t>
            </w:r>
          </w:p>
        </w:tc>
        <w:tc>
          <w:tcPr>
            <w:tcW w:w="1276" w:type="dxa"/>
            <w:hideMark/>
          </w:tcPr>
          <w:p w14:paraId="3883E4F2" w14:textId="77777777" w:rsidR="004F64EF" w:rsidRPr="003003C0" w:rsidRDefault="004F64EF" w:rsidP="001F3C85">
            <w:pPr>
              <w:jc w:val="center"/>
              <w:rPr>
                <w:color w:val="000000"/>
                <w:sz w:val="14"/>
                <w:szCs w:val="14"/>
              </w:rPr>
            </w:pPr>
            <w:r w:rsidRPr="003003C0">
              <w:rPr>
                <w:color w:val="000000"/>
                <w:sz w:val="14"/>
                <w:szCs w:val="14"/>
              </w:rPr>
              <w:t>0207.13.00</w:t>
            </w:r>
          </w:p>
        </w:tc>
        <w:tc>
          <w:tcPr>
            <w:tcW w:w="425" w:type="dxa"/>
            <w:hideMark/>
          </w:tcPr>
          <w:p w14:paraId="36F2DB6D" w14:textId="77777777" w:rsidR="004F64EF" w:rsidRPr="003003C0" w:rsidRDefault="004F64EF" w:rsidP="001F3C85">
            <w:pPr>
              <w:jc w:val="center"/>
              <w:rPr>
                <w:color w:val="000000"/>
                <w:sz w:val="14"/>
                <w:szCs w:val="14"/>
              </w:rPr>
            </w:pPr>
          </w:p>
        </w:tc>
        <w:tc>
          <w:tcPr>
            <w:tcW w:w="2622" w:type="dxa"/>
            <w:hideMark/>
          </w:tcPr>
          <w:p w14:paraId="1DD8B154" w14:textId="77777777" w:rsidR="004F64EF" w:rsidRPr="003003C0" w:rsidRDefault="004F64EF" w:rsidP="001F3C85">
            <w:pPr>
              <w:jc w:val="left"/>
              <w:rPr>
                <w:color w:val="000000"/>
                <w:sz w:val="14"/>
                <w:szCs w:val="14"/>
              </w:rPr>
            </w:pPr>
            <w:r w:rsidRPr="00057D26">
              <w:rPr>
                <w:color w:val="000000"/>
                <w:sz w:val="14"/>
                <w:szCs w:val="14"/>
              </w:rPr>
              <w:t>Cuts and offal, fresh or chilled</w:t>
            </w:r>
          </w:p>
        </w:tc>
        <w:tc>
          <w:tcPr>
            <w:tcW w:w="2623" w:type="dxa"/>
            <w:hideMark/>
          </w:tcPr>
          <w:p w14:paraId="1D1796FE" w14:textId="77777777" w:rsidR="004F64EF" w:rsidRPr="003003C0" w:rsidRDefault="004F64EF" w:rsidP="001F3C85">
            <w:pPr>
              <w:jc w:val="left"/>
              <w:rPr>
                <w:color w:val="000000"/>
                <w:sz w:val="14"/>
                <w:szCs w:val="14"/>
              </w:rPr>
            </w:pPr>
            <w:r w:rsidRPr="008B6D47">
              <w:rPr>
                <w:color w:val="000000"/>
                <w:sz w:val="14"/>
                <w:szCs w:val="14"/>
              </w:rPr>
              <w:t>Cuts and offal, fresh or chilled</w:t>
            </w:r>
          </w:p>
        </w:tc>
        <w:tc>
          <w:tcPr>
            <w:tcW w:w="475" w:type="dxa"/>
            <w:hideMark/>
          </w:tcPr>
          <w:p w14:paraId="2D085FF2" w14:textId="77777777" w:rsidR="004F64EF" w:rsidRPr="003003C0" w:rsidRDefault="004F64EF" w:rsidP="001F3C85">
            <w:pPr>
              <w:jc w:val="right"/>
              <w:rPr>
                <w:color w:val="000000"/>
                <w:sz w:val="14"/>
                <w:szCs w:val="14"/>
              </w:rPr>
            </w:pPr>
            <w:r w:rsidRPr="003003C0">
              <w:rPr>
                <w:color w:val="000000"/>
                <w:sz w:val="14"/>
                <w:szCs w:val="14"/>
              </w:rPr>
              <w:t>99</w:t>
            </w:r>
          </w:p>
        </w:tc>
        <w:tc>
          <w:tcPr>
            <w:tcW w:w="476" w:type="dxa"/>
            <w:hideMark/>
          </w:tcPr>
          <w:p w14:paraId="3555A04E" w14:textId="77777777" w:rsidR="004F64EF" w:rsidRPr="003003C0" w:rsidRDefault="004F64EF" w:rsidP="001F3C85">
            <w:pPr>
              <w:jc w:val="right"/>
              <w:rPr>
                <w:color w:val="000000"/>
                <w:sz w:val="14"/>
                <w:szCs w:val="14"/>
              </w:rPr>
            </w:pPr>
            <w:r w:rsidRPr="003003C0">
              <w:rPr>
                <w:color w:val="000000"/>
                <w:sz w:val="14"/>
                <w:szCs w:val="14"/>
              </w:rPr>
              <w:t>40</w:t>
            </w:r>
          </w:p>
        </w:tc>
      </w:tr>
      <w:tr w:rsidR="004F64EF" w:rsidRPr="003003C0" w14:paraId="2B44A010" w14:textId="77777777" w:rsidTr="001F3C85">
        <w:tc>
          <w:tcPr>
            <w:tcW w:w="1129" w:type="dxa"/>
            <w:hideMark/>
          </w:tcPr>
          <w:p w14:paraId="0D16C612" w14:textId="77777777" w:rsidR="004F64EF" w:rsidRPr="003003C0" w:rsidRDefault="004F64EF" w:rsidP="001F3C85">
            <w:pPr>
              <w:jc w:val="center"/>
              <w:rPr>
                <w:color w:val="000000"/>
                <w:sz w:val="14"/>
                <w:szCs w:val="14"/>
              </w:rPr>
            </w:pPr>
            <w:r w:rsidRPr="003003C0">
              <w:rPr>
                <w:color w:val="000000"/>
                <w:sz w:val="14"/>
                <w:szCs w:val="14"/>
              </w:rPr>
              <w:t>8470.10.00</w:t>
            </w:r>
          </w:p>
        </w:tc>
        <w:tc>
          <w:tcPr>
            <w:tcW w:w="1276" w:type="dxa"/>
            <w:hideMark/>
          </w:tcPr>
          <w:p w14:paraId="3DB94627" w14:textId="77777777" w:rsidR="004F64EF" w:rsidRPr="003003C0" w:rsidRDefault="004F64EF" w:rsidP="001F3C85">
            <w:pPr>
              <w:jc w:val="center"/>
              <w:rPr>
                <w:color w:val="000000"/>
                <w:sz w:val="14"/>
                <w:szCs w:val="14"/>
              </w:rPr>
            </w:pPr>
            <w:r w:rsidRPr="003003C0">
              <w:rPr>
                <w:color w:val="000000"/>
                <w:sz w:val="14"/>
                <w:szCs w:val="14"/>
              </w:rPr>
              <w:t>8470.10.00</w:t>
            </w:r>
          </w:p>
        </w:tc>
        <w:tc>
          <w:tcPr>
            <w:tcW w:w="425" w:type="dxa"/>
            <w:hideMark/>
          </w:tcPr>
          <w:p w14:paraId="07C5270E" w14:textId="77777777" w:rsidR="004F64EF" w:rsidRPr="003003C0" w:rsidRDefault="004F64EF" w:rsidP="001F3C85">
            <w:pPr>
              <w:jc w:val="center"/>
              <w:rPr>
                <w:color w:val="000000"/>
                <w:sz w:val="14"/>
                <w:szCs w:val="14"/>
              </w:rPr>
            </w:pPr>
          </w:p>
        </w:tc>
        <w:tc>
          <w:tcPr>
            <w:tcW w:w="2622" w:type="dxa"/>
            <w:hideMark/>
          </w:tcPr>
          <w:p w14:paraId="3177F23E" w14:textId="77777777" w:rsidR="004F64EF" w:rsidRPr="003003C0" w:rsidRDefault="004F64EF" w:rsidP="001F3C85">
            <w:pPr>
              <w:jc w:val="left"/>
              <w:rPr>
                <w:color w:val="000000"/>
                <w:sz w:val="14"/>
                <w:szCs w:val="14"/>
              </w:rPr>
            </w:pPr>
            <w:r w:rsidRPr="00057D26">
              <w:rPr>
                <w:color w:val="000000"/>
                <w:sz w:val="14"/>
                <w:szCs w:val="14"/>
              </w:rPr>
              <w:t>Electronic calculators capable of operation without an external source of electric power and pocket-size data recording, reproducing and displaying machines with calculating functions</w:t>
            </w:r>
          </w:p>
        </w:tc>
        <w:tc>
          <w:tcPr>
            <w:tcW w:w="2623" w:type="dxa"/>
            <w:hideMark/>
          </w:tcPr>
          <w:p w14:paraId="61950A2A" w14:textId="77777777" w:rsidR="004F64EF" w:rsidRPr="003003C0" w:rsidRDefault="004F64EF" w:rsidP="001F3C85">
            <w:pPr>
              <w:jc w:val="left"/>
              <w:rPr>
                <w:color w:val="000000"/>
                <w:sz w:val="14"/>
                <w:szCs w:val="14"/>
              </w:rPr>
            </w:pPr>
            <w:r w:rsidRPr="008B6D47">
              <w:rPr>
                <w:color w:val="000000"/>
                <w:sz w:val="14"/>
                <w:szCs w:val="14"/>
              </w:rPr>
              <w:t>Electronic calculators capable of operation without an external source of electric power and pocket-size data recording, reproducing and displaying machines with calculating functions</w:t>
            </w:r>
          </w:p>
        </w:tc>
        <w:tc>
          <w:tcPr>
            <w:tcW w:w="475" w:type="dxa"/>
            <w:hideMark/>
          </w:tcPr>
          <w:p w14:paraId="2DB3DEB3" w14:textId="77777777" w:rsidR="004F64EF" w:rsidRPr="003003C0" w:rsidRDefault="004F64EF" w:rsidP="001F3C85">
            <w:pPr>
              <w:jc w:val="right"/>
              <w:rPr>
                <w:color w:val="000000"/>
                <w:sz w:val="14"/>
                <w:szCs w:val="14"/>
              </w:rPr>
            </w:pPr>
            <w:r w:rsidRPr="003003C0">
              <w:rPr>
                <w:color w:val="000000"/>
                <w:sz w:val="14"/>
                <w:szCs w:val="14"/>
              </w:rPr>
              <w:t>14</w:t>
            </w:r>
          </w:p>
        </w:tc>
        <w:tc>
          <w:tcPr>
            <w:tcW w:w="476" w:type="dxa"/>
            <w:hideMark/>
          </w:tcPr>
          <w:p w14:paraId="68735304" w14:textId="77777777" w:rsidR="004F64EF" w:rsidRPr="003003C0" w:rsidRDefault="004F64EF" w:rsidP="001F3C85">
            <w:pPr>
              <w:jc w:val="right"/>
              <w:rPr>
                <w:color w:val="000000"/>
                <w:sz w:val="14"/>
                <w:szCs w:val="14"/>
              </w:rPr>
            </w:pPr>
            <w:r w:rsidRPr="003003C0">
              <w:rPr>
                <w:color w:val="000000"/>
                <w:sz w:val="14"/>
                <w:szCs w:val="14"/>
              </w:rPr>
              <w:t>0</w:t>
            </w:r>
          </w:p>
        </w:tc>
      </w:tr>
      <w:tr w:rsidR="004F64EF" w:rsidRPr="003003C0" w14:paraId="0D040957" w14:textId="77777777" w:rsidTr="001F3C85">
        <w:trPr>
          <w:cnfStyle w:val="000000010000" w:firstRow="0" w:lastRow="0" w:firstColumn="0" w:lastColumn="0" w:oddVBand="0" w:evenVBand="0" w:oddHBand="0" w:evenHBand="1" w:firstRowFirstColumn="0" w:firstRowLastColumn="0" w:lastRowFirstColumn="0" w:lastRowLastColumn="0"/>
        </w:trPr>
        <w:tc>
          <w:tcPr>
            <w:tcW w:w="1129" w:type="dxa"/>
            <w:hideMark/>
          </w:tcPr>
          <w:p w14:paraId="02BD56F7" w14:textId="77777777" w:rsidR="004F64EF" w:rsidRPr="003003C0" w:rsidRDefault="004F64EF" w:rsidP="001F3C85">
            <w:pPr>
              <w:jc w:val="center"/>
              <w:rPr>
                <w:color w:val="000000"/>
                <w:sz w:val="14"/>
                <w:szCs w:val="14"/>
              </w:rPr>
            </w:pPr>
            <w:r w:rsidRPr="003003C0">
              <w:rPr>
                <w:color w:val="000000"/>
                <w:sz w:val="14"/>
                <w:szCs w:val="14"/>
              </w:rPr>
              <w:t>8470.21.00</w:t>
            </w:r>
          </w:p>
        </w:tc>
        <w:tc>
          <w:tcPr>
            <w:tcW w:w="1276" w:type="dxa"/>
            <w:hideMark/>
          </w:tcPr>
          <w:p w14:paraId="34BDEA58" w14:textId="77777777" w:rsidR="004F64EF" w:rsidRPr="003003C0" w:rsidRDefault="004F64EF" w:rsidP="001F3C85">
            <w:pPr>
              <w:jc w:val="center"/>
              <w:rPr>
                <w:color w:val="000000"/>
                <w:sz w:val="14"/>
                <w:szCs w:val="14"/>
              </w:rPr>
            </w:pPr>
            <w:r w:rsidRPr="003003C0">
              <w:rPr>
                <w:color w:val="000000"/>
                <w:sz w:val="14"/>
                <w:szCs w:val="14"/>
              </w:rPr>
              <w:t>8470.21.00</w:t>
            </w:r>
          </w:p>
        </w:tc>
        <w:tc>
          <w:tcPr>
            <w:tcW w:w="425" w:type="dxa"/>
            <w:hideMark/>
          </w:tcPr>
          <w:p w14:paraId="74D3F6AD" w14:textId="77777777" w:rsidR="004F64EF" w:rsidRPr="003003C0" w:rsidRDefault="004F64EF" w:rsidP="001F3C85">
            <w:pPr>
              <w:jc w:val="center"/>
              <w:rPr>
                <w:color w:val="000000"/>
                <w:sz w:val="14"/>
                <w:szCs w:val="14"/>
              </w:rPr>
            </w:pPr>
          </w:p>
        </w:tc>
        <w:tc>
          <w:tcPr>
            <w:tcW w:w="2622" w:type="dxa"/>
            <w:hideMark/>
          </w:tcPr>
          <w:p w14:paraId="02AB5159" w14:textId="77777777" w:rsidR="004F64EF" w:rsidRPr="003003C0" w:rsidRDefault="004F64EF" w:rsidP="00057D26">
            <w:pPr>
              <w:jc w:val="left"/>
              <w:rPr>
                <w:color w:val="000000"/>
                <w:sz w:val="14"/>
                <w:szCs w:val="14"/>
              </w:rPr>
            </w:pPr>
            <w:r w:rsidRPr="00057D26">
              <w:rPr>
                <w:color w:val="000000"/>
                <w:sz w:val="14"/>
                <w:szCs w:val="14"/>
              </w:rPr>
              <w:t>Other electronic calculating machines</w:t>
            </w:r>
            <w:r>
              <w:rPr>
                <w:color w:val="000000"/>
                <w:sz w:val="14"/>
                <w:szCs w:val="14"/>
              </w:rPr>
              <w:t>: I</w:t>
            </w:r>
            <w:r w:rsidRPr="00057D26">
              <w:rPr>
                <w:color w:val="000000"/>
                <w:sz w:val="14"/>
                <w:szCs w:val="14"/>
              </w:rPr>
              <w:t>ncorporating a printing device</w:t>
            </w:r>
          </w:p>
        </w:tc>
        <w:tc>
          <w:tcPr>
            <w:tcW w:w="2623" w:type="dxa"/>
            <w:hideMark/>
          </w:tcPr>
          <w:p w14:paraId="015C789C" w14:textId="77777777" w:rsidR="004F64EF" w:rsidRPr="003003C0" w:rsidRDefault="004F64EF" w:rsidP="001F3C85">
            <w:pPr>
              <w:jc w:val="left"/>
              <w:rPr>
                <w:color w:val="000000"/>
                <w:sz w:val="14"/>
                <w:szCs w:val="14"/>
              </w:rPr>
            </w:pPr>
            <w:r w:rsidRPr="008B6D47">
              <w:rPr>
                <w:color w:val="000000"/>
                <w:sz w:val="14"/>
                <w:szCs w:val="14"/>
              </w:rPr>
              <w:t>Other electronic calculating machines: Incorporating a printing device</w:t>
            </w:r>
          </w:p>
        </w:tc>
        <w:tc>
          <w:tcPr>
            <w:tcW w:w="475" w:type="dxa"/>
            <w:hideMark/>
          </w:tcPr>
          <w:p w14:paraId="538BB1C5" w14:textId="77777777" w:rsidR="004F64EF" w:rsidRPr="003003C0" w:rsidRDefault="004F64EF" w:rsidP="001F3C85">
            <w:pPr>
              <w:jc w:val="right"/>
              <w:rPr>
                <w:color w:val="000000"/>
                <w:sz w:val="14"/>
                <w:szCs w:val="14"/>
              </w:rPr>
            </w:pPr>
            <w:r w:rsidRPr="003003C0">
              <w:rPr>
                <w:color w:val="000000"/>
                <w:sz w:val="14"/>
                <w:szCs w:val="14"/>
              </w:rPr>
              <w:t>3</w:t>
            </w:r>
          </w:p>
        </w:tc>
        <w:tc>
          <w:tcPr>
            <w:tcW w:w="476" w:type="dxa"/>
            <w:hideMark/>
          </w:tcPr>
          <w:p w14:paraId="312FACC7" w14:textId="77777777" w:rsidR="004F64EF" w:rsidRPr="003003C0" w:rsidRDefault="004F64EF" w:rsidP="001F3C85">
            <w:pPr>
              <w:jc w:val="right"/>
              <w:rPr>
                <w:color w:val="000000"/>
                <w:sz w:val="14"/>
                <w:szCs w:val="14"/>
              </w:rPr>
            </w:pPr>
            <w:r w:rsidRPr="003003C0">
              <w:rPr>
                <w:color w:val="000000"/>
                <w:sz w:val="14"/>
                <w:szCs w:val="14"/>
              </w:rPr>
              <w:t>0</w:t>
            </w:r>
          </w:p>
        </w:tc>
      </w:tr>
      <w:tr w:rsidR="004F64EF" w:rsidRPr="003003C0" w14:paraId="24FE5437" w14:textId="77777777" w:rsidTr="001F3C85">
        <w:tc>
          <w:tcPr>
            <w:tcW w:w="1129" w:type="dxa"/>
            <w:hideMark/>
          </w:tcPr>
          <w:p w14:paraId="6EE7072C" w14:textId="77777777" w:rsidR="004F64EF" w:rsidRPr="003003C0" w:rsidRDefault="004F64EF" w:rsidP="001F3C85">
            <w:pPr>
              <w:jc w:val="center"/>
              <w:rPr>
                <w:color w:val="000000"/>
                <w:sz w:val="14"/>
                <w:szCs w:val="14"/>
              </w:rPr>
            </w:pPr>
            <w:r w:rsidRPr="003003C0">
              <w:rPr>
                <w:color w:val="000000"/>
                <w:sz w:val="14"/>
                <w:szCs w:val="14"/>
              </w:rPr>
              <w:t>8470.29.00</w:t>
            </w:r>
          </w:p>
        </w:tc>
        <w:tc>
          <w:tcPr>
            <w:tcW w:w="1276" w:type="dxa"/>
            <w:hideMark/>
          </w:tcPr>
          <w:p w14:paraId="300B2882" w14:textId="77777777" w:rsidR="004F64EF" w:rsidRPr="003003C0" w:rsidRDefault="004F64EF" w:rsidP="001F3C85">
            <w:pPr>
              <w:jc w:val="center"/>
              <w:rPr>
                <w:color w:val="000000"/>
                <w:sz w:val="14"/>
                <w:szCs w:val="14"/>
              </w:rPr>
            </w:pPr>
            <w:r w:rsidRPr="003003C0">
              <w:rPr>
                <w:color w:val="000000"/>
                <w:sz w:val="14"/>
                <w:szCs w:val="14"/>
              </w:rPr>
              <w:t>8470.29.00</w:t>
            </w:r>
          </w:p>
        </w:tc>
        <w:tc>
          <w:tcPr>
            <w:tcW w:w="425" w:type="dxa"/>
            <w:hideMark/>
          </w:tcPr>
          <w:p w14:paraId="371DD114" w14:textId="77777777" w:rsidR="004F64EF" w:rsidRPr="003003C0" w:rsidRDefault="004F64EF" w:rsidP="001F3C85">
            <w:pPr>
              <w:jc w:val="center"/>
              <w:rPr>
                <w:color w:val="000000"/>
                <w:sz w:val="14"/>
                <w:szCs w:val="14"/>
              </w:rPr>
            </w:pPr>
          </w:p>
        </w:tc>
        <w:tc>
          <w:tcPr>
            <w:tcW w:w="2622" w:type="dxa"/>
            <w:hideMark/>
          </w:tcPr>
          <w:p w14:paraId="0DEABB8B" w14:textId="77777777" w:rsidR="004F64EF" w:rsidRPr="003003C0" w:rsidRDefault="004F64EF" w:rsidP="001F3C85">
            <w:pPr>
              <w:jc w:val="left"/>
              <w:rPr>
                <w:color w:val="000000"/>
                <w:sz w:val="14"/>
                <w:szCs w:val="14"/>
              </w:rPr>
            </w:pPr>
            <w:r w:rsidRPr="00F12CF2">
              <w:rPr>
                <w:color w:val="000000"/>
                <w:sz w:val="14"/>
                <w:szCs w:val="14"/>
              </w:rPr>
              <w:t>Other electronic calculating machines </w:t>
            </w:r>
          </w:p>
        </w:tc>
        <w:tc>
          <w:tcPr>
            <w:tcW w:w="2623" w:type="dxa"/>
            <w:hideMark/>
          </w:tcPr>
          <w:p w14:paraId="01297DB8" w14:textId="77777777" w:rsidR="004F64EF" w:rsidRPr="003003C0" w:rsidRDefault="004F64EF" w:rsidP="001F3C85">
            <w:pPr>
              <w:jc w:val="left"/>
              <w:rPr>
                <w:color w:val="000000"/>
                <w:sz w:val="14"/>
                <w:szCs w:val="14"/>
              </w:rPr>
            </w:pPr>
            <w:r w:rsidRPr="008B6D47">
              <w:rPr>
                <w:color w:val="000000"/>
                <w:sz w:val="14"/>
                <w:szCs w:val="14"/>
              </w:rPr>
              <w:t>Other electronic calculating machines </w:t>
            </w:r>
          </w:p>
        </w:tc>
        <w:tc>
          <w:tcPr>
            <w:tcW w:w="475" w:type="dxa"/>
            <w:hideMark/>
          </w:tcPr>
          <w:p w14:paraId="2FC8B47E" w14:textId="77777777" w:rsidR="004F64EF" w:rsidRPr="003003C0" w:rsidRDefault="004F64EF" w:rsidP="001F3C85">
            <w:pPr>
              <w:jc w:val="right"/>
              <w:rPr>
                <w:color w:val="000000"/>
                <w:sz w:val="14"/>
                <w:szCs w:val="14"/>
              </w:rPr>
            </w:pPr>
            <w:r w:rsidRPr="003003C0">
              <w:rPr>
                <w:color w:val="000000"/>
                <w:sz w:val="14"/>
                <w:szCs w:val="14"/>
              </w:rPr>
              <w:t>3</w:t>
            </w:r>
          </w:p>
        </w:tc>
        <w:tc>
          <w:tcPr>
            <w:tcW w:w="476" w:type="dxa"/>
            <w:hideMark/>
          </w:tcPr>
          <w:p w14:paraId="41C1058A" w14:textId="77777777" w:rsidR="004F64EF" w:rsidRPr="003003C0" w:rsidRDefault="004F64EF" w:rsidP="001F3C85">
            <w:pPr>
              <w:jc w:val="right"/>
              <w:rPr>
                <w:color w:val="000000"/>
                <w:sz w:val="14"/>
                <w:szCs w:val="14"/>
              </w:rPr>
            </w:pPr>
            <w:r w:rsidRPr="003003C0">
              <w:rPr>
                <w:color w:val="000000"/>
                <w:sz w:val="14"/>
                <w:szCs w:val="14"/>
              </w:rPr>
              <w:t>0</w:t>
            </w:r>
          </w:p>
        </w:tc>
      </w:tr>
      <w:tr w:rsidR="004F64EF" w:rsidRPr="003003C0" w14:paraId="755D4A99" w14:textId="77777777" w:rsidTr="001F3C85">
        <w:trPr>
          <w:cnfStyle w:val="000000010000" w:firstRow="0" w:lastRow="0" w:firstColumn="0" w:lastColumn="0" w:oddVBand="0" w:evenVBand="0" w:oddHBand="0" w:evenHBand="1" w:firstRowFirstColumn="0" w:firstRowLastColumn="0" w:lastRowFirstColumn="0" w:lastRowLastColumn="0"/>
        </w:trPr>
        <w:tc>
          <w:tcPr>
            <w:tcW w:w="1129" w:type="dxa"/>
            <w:hideMark/>
          </w:tcPr>
          <w:p w14:paraId="4BF1924E" w14:textId="77777777" w:rsidR="004F64EF" w:rsidRPr="003003C0" w:rsidRDefault="004F64EF" w:rsidP="001F3C85">
            <w:pPr>
              <w:jc w:val="center"/>
              <w:rPr>
                <w:color w:val="000000"/>
                <w:sz w:val="14"/>
                <w:szCs w:val="14"/>
              </w:rPr>
            </w:pPr>
            <w:r w:rsidRPr="003003C0">
              <w:rPr>
                <w:color w:val="000000"/>
                <w:sz w:val="14"/>
                <w:szCs w:val="14"/>
              </w:rPr>
              <w:t>8470.30.00</w:t>
            </w:r>
          </w:p>
        </w:tc>
        <w:tc>
          <w:tcPr>
            <w:tcW w:w="1276" w:type="dxa"/>
            <w:hideMark/>
          </w:tcPr>
          <w:p w14:paraId="0D868964" w14:textId="77777777" w:rsidR="004F64EF" w:rsidRPr="003003C0" w:rsidRDefault="004F64EF" w:rsidP="001F3C85">
            <w:pPr>
              <w:jc w:val="center"/>
              <w:rPr>
                <w:color w:val="000000"/>
                <w:sz w:val="14"/>
                <w:szCs w:val="14"/>
              </w:rPr>
            </w:pPr>
            <w:r w:rsidRPr="003003C0">
              <w:rPr>
                <w:color w:val="000000"/>
                <w:sz w:val="14"/>
                <w:szCs w:val="14"/>
              </w:rPr>
              <w:t>8470.30.00</w:t>
            </w:r>
          </w:p>
        </w:tc>
        <w:tc>
          <w:tcPr>
            <w:tcW w:w="425" w:type="dxa"/>
            <w:hideMark/>
          </w:tcPr>
          <w:p w14:paraId="7D5166A4" w14:textId="77777777" w:rsidR="004F64EF" w:rsidRPr="003003C0" w:rsidRDefault="004F64EF" w:rsidP="001F3C85">
            <w:pPr>
              <w:jc w:val="center"/>
              <w:rPr>
                <w:color w:val="000000"/>
                <w:sz w:val="14"/>
                <w:szCs w:val="14"/>
              </w:rPr>
            </w:pPr>
          </w:p>
        </w:tc>
        <w:tc>
          <w:tcPr>
            <w:tcW w:w="2622" w:type="dxa"/>
            <w:hideMark/>
          </w:tcPr>
          <w:p w14:paraId="36DB8CF4" w14:textId="77777777" w:rsidR="004F64EF" w:rsidRPr="003003C0" w:rsidRDefault="004F64EF" w:rsidP="001F3C85">
            <w:pPr>
              <w:jc w:val="left"/>
              <w:rPr>
                <w:color w:val="000000"/>
                <w:sz w:val="14"/>
                <w:szCs w:val="14"/>
              </w:rPr>
            </w:pPr>
            <w:r w:rsidRPr="00F12CF2">
              <w:rPr>
                <w:color w:val="000000"/>
                <w:sz w:val="14"/>
                <w:szCs w:val="14"/>
              </w:rPr>
              <w:t>Other calculating machines</w:t>
            </w:r>
          </w:p>
        </w:tc>
        <w:tc>
          <w:tcPr>
            <w:tcW w:w="2623" w:type="dxa"/>
            <w:hideMark/>
          </w:tcPr>
          <w:p w14:paraId="1FBB2B5C" w14:textId="77777777" w:rsidR="004F64EF" w:rsidRPr="003003C0" w:rsidRDefault="004F64EF" w:rsidP="001F3C85">
            <w:pPr>
              <w:jc w:val="left"/>
              <w:rPr>
                <w:color w:val="000000"/>
                <w:sz w:val="14"/>
                <w:szCs w:val="14"/>
              </w:rPr>
            </w:pPr>
            <w:r w:rsidRPr="008B6D47">
              <w:rPr>
                <w:color w:val="000000"/>
                <w:sz w:val="14"/>
                <w:szCs w:val="14"/>
              </w:rPr>
              <w:t>Other calculating machines</w:t>
            </w:r>
          </w:p>
        </w:tc>
        <w:tc>
          <w:tcPr>
            <w:tcW w:w="475" w:type="dxa"/>
            <w:hideMark/>
          </w:tcPr>
          <w:p w14:paraId="6A7B1D2B" w14:textId="77777777" w:rsidR="004F64EF" w:rsidRPr="003003C0" w:rsidRDefault="004F64EF" w:rsidP="001F3C85">
            <w:pPr>
              <w:jc w:val="right"/>
              <w:rPr>
                <w:color w:val="000000"/>
                <w:sz w:val="14"/>
                <w:szCs w:val="14"/>
              </w:rPr>
            </w:pPr>
            <w:r w:rsidRPr="003003C0">
              <w:rPr>
                <w:color w:val="000000"/>
                <w:sz w:val="14"/>
                <w:szCs w:val="14"/>
              </w:rPr>
              <w:t>3</w:t>
            </w:r>
          </w:p>
        </w:tc>
        <w:tc>
          <w:tcPr>
            <w:tcW w:w="476" w:type="dxa"/>
            <w:hideMark/>
          </w:tcPr>
          <w:p w14:paraId="101AF608" w14:textId="77777777" w:rsidR="004F64EF" w:rsidRPr="003003C0" w:rsidRDefault="004F64EF" w:rsidP="001F3C85">
            <w:pPr>
              <w:jc w:val="right"/>
              <w:rPr>
                <w:color w:val="000000"/>
                <w:sz w:val="14"/>
                <w:szCs w:val="14"/>
              </w:rPr>
            </w:pPr>
            <w:r w:rsidRPr="003003C0">
              <w:rPr>
                <w:color w:val="000000"/>
                <w:sz w:val="14"/>
                <w:szCs w:val="14"/>
              </w:rPr>
              <w:t>0</w:t>
            </w:r>
          </w:p>
        </w:tc>
      </w:tr>
      <w:tr w:rsidR="004F64EF" w:rsidRPr="003003C0" w14:paraId="51378B5D" w14:textId="77777777" w:rsidTr="001F3C85">
        <w:tc>
          <w:tcPr>
            <w:tcW w:w="1129" w:type="dxa"/>
            <w:hideMark/>
          </w:tcPr>
          <w:p w14:paraId="1703CA8B" w14:textId="77777777" w:rsidR="004F64EF" w:rsidRPr="003003C0" w:rsidRDefault="004F64EF" w:rsidP="001F3C85">
            <w:pPr>
              <w:jc w:val="center"/>
              <w:rPr>
                <w:color w:val="000000"/>
                <w:sz w:val="14"/>
                <w:szCs w:val="14"/>
              </w:rPr>
            </w:pPr>
            <w:r w:rsidRPr="003003C0">
              <w:rPr>
                <w:color w:val="000000"/>
                <w:sz w:val="14"/>
                <w:szCs w:val="14"/>
              </w:rPr>
              <w:t>8470.50.00</w:t>
            </w:r>
          </w:p>
        </w:tc>
        <w:tc>
          <w:tcPr>
            <w:tcW w:w="1276" w:type="dxa"/>
            <w:hideMark/>
          </w:tcPr>
          <w:p w14:paraId="077DECD3" w14:textId="77777777" w:rsidR="004F64EF" w:rsidRPr="003003C0" w:rsidRDefault="004F64EF" w:rsidP="001F3C85">
            <w:pPr>
              <w:jc w:val="center"/>
              <w:rPr>
                <w:color w:val="000000"/>
                <w:sz w:val="14"/>
                <w:szCs w:val="14"/>
              </w:rPr>
            </w:pPr>
            <w:r w:rsidRPr="003003C0">
              <w:rPr>
                <w:color w:val="000000"/>
                <w:sz w:val="14"/>
                <w:szCs w:val="14"/>
              </w:rPr>
              <w:t>8470.50.00</w:t>
            </w:r>
          </w:p>
        </w:tc>
        <w:tc>
          <w:tcPr>
            <w:tcW w:w="425" w:type="dxa"/>
            <w:hideMark/>
          </w:tcPr>
          <w:p w14:paraId="04F30238" w14:textId="77777777" w:rsidR="004F64EF" w:rsidRPr="003003C0" w:rsidRDefault="004F64EF" w:rsidP="001F3C85">
            <w:pPr>
              <w:jc w:val="center"/>
              <w:rPr>
                <w:color w:val="000000"/>
                <w:sz w:val="14"/>
                <w:szCs w:val="14"/>
              </w:rPr>
            </w:pPr>
          </w:p>
        </w:tc>
        <w:tc>
          <w:tcPr>
            <w:tcW w:w="2622" w:type="dxa"/>
            <w:hideMark/>
          </w:tcPr>
          <w:p w14:paraId="79A8CE38" w14:textId="77777777" w:rsidR="004F64EF" w:rsidRPr="003003C0" w:rsidRDefault="004F64EF" w:rsidP="001F3C85">
            <w:pPr>
              <w:jc w:val="left"/>
              <w:rPr>
                <w:color w:val="000000"/>
                <w:sz w:val="14"/>
                <w:szCs w:val="14"/>
              </w:rPr>
            </w:pPr>
            <w:r w:rsidRPr="00F12CF2">
              <w:rPr>
                <w:color w:val="000000"/>
                <w:sz w:val="14"/>
                <w:szCs w:val="14"/>
              </w:rPr>
              <w:t>Cash registers</w:t>
            </w:r>
          </w:p>
        </w:tc>
        <w:tc>
          <w:tcPr>
            <w:tcW w:w="2623" w:type="dxa"/>
            <w:hideMark/>
          </w:tcPr>
          <w:p w14:paraId="5BFC3D2B" w14:textId="77777777" w:rsidR="004F64EF" w:rsidRPr="003003C0" w:rsidRDefault="004F64EF" w:rsidP="001F3C85">
            <w:pPr>
              <w:jc w:val="left"/>
              <w:rPr>
                <w:color w:val="000000"/>
                <w:sz w:val="14"/>
                <w:szCs w:val="14"/>
              </w:rPr>
            </w:pPr>
            <w:r w:rsidRPr="008B6D47">
              <w:rPr>
                <w:color w:val="000000"/>
                <w:sz w:val="14"/>
                <w:szCs w:val="14"/>
              </w:rPr>
              <w:t>Cash registers</w:t>
            </w:r>
          </w:p>
        </w:tc>
        <w:tc>
          <w:tcPr>
            <w:tcW w:w="475" w:type="dxa"/>
            <w:hideMark/>
          </w:tcPr>
          <w:p w14:paraId="76C37A27" w14:textId="77777777" w:rsidR="004F64EF" w:rsidRPr="003003C0" w:rsidRDefault="004F64EF" w:rsidP="001F3C85">
            <w:pPr>
              <w:jc w:val="right"/>
              <w:rPr>
                <w:color w:val="000000"/>
                <w:sz w:val="14"/>
                <w:szCs w:val="14"/>
              </w:rPr>
            </w:pPr>
            <w:r w:rsidRPr="003003C0">
              <w:rPr>
                <w:color w:val="000000"/>
                <w:sz w:val="14"/>
                <w:szCs w:val="14"/>
              </w:rPr>
              <w:t>3</w:t>
            </w:r>
          </w:p>
        </w:tc>
        <w:tc>
          <w:tcPr>
            <w:tcW w:w="476" w:type="dxa"/>
            <w:hideMark/>
          </w:tcPr>
          <w:p w14:paraId="44321AB6" w14:textId="77777777" w:rsidR="004F64EF" w:rsidRPr="003003C0" w:rsidRDefault="004F64EF" w:rsidP="001F3C85">
            <w:pPr>
              <w:jc w:val="right"/>
              <w:rPr>
                <w:color w:val="000000"/>
                <w:sz w:val="14"/>
                <w:szCs w:val="14"/>
              </w:rPr>
            </w:pPr>
            <w:r w:rsidRPr="003003C0">
              <w:rPr>
                <w:color w:val="000000"/>
                <w:sz w:val="14"/>
                <w:szCs w:val="14"/>
              </w:rPr>
              <w:t>0</w:t>
            </w:r>
          </w:p>
        </w:tc>
      </w:tr>
      <w:tr w:rsidR="004F64EF" w:rsidRPr="003003C0" w14:paraId="71AE9980" w14:textId="77777777" w:rsidTr="001F3C85">
        <w:trPr>
          <w:cnfStyle w:val="000000010000" w:firstRow="0" w:lastRow="0" w:firstColumn="0" w:lastColumn="0" w:oddVBand="0" w:evenVBand="0" w:oddHBand="0" w:evenHBand="1" w:firstRowFirstColumn="0" w:firstRowLastColumn="0" w:lastRowFirstColumn="0" w:lastRowLastColumn="0"/>
        </w:trPr>
        <w:tc>
          <w:tcPr>
            <w:tcW w:w="1129" w:type="dxa"/>
            <w:hideMark/>
          </w:tcPr>
          <w:p w14:paraId="5AEA410E" w14:textId="77777777" w:rsidR="004F64EF" w:rsidRPr="003003C0" w:rsidRDefault="004F64EF" w:rsidP="001F3C85">
            <w:pPr>
              <w:jc w:val="center"/>
              <w:rPr>
                <w:color w:val="000000"/>
                <w:sz w:val="14"/>
                <w:szCs w:val="14"/>
              </w:rPr>
            </w:pPr>
            <w:r w:rsidRPr="003003C0">
              <w:rPr>
                <w:color w:val="000000"/>
                <w:sz w:val="14"/>
                <w:szCs w:val="14"/>
              </w:rPr>
              <w:t>8470.90.10</w:t>
            </w:r>
          </w:p>
        </w:tc>
        <w:tc>
          <w:tcPr>
            <w:tcW w:w="1276" w:type="dxa"/>
            <w:hideMark/>
          </w:tcPr>
          <w:p w14:paraId="67CEA0DB" w14:textId="77777777" w:rsidR="004F64EF" w:rsidRPr="003003C0" w:rsidRDefault="004F64EF" w:rsidP="001F3C85">
            <w:pPr>
              <w:jc w:val="center"/>
              <w:rPr>
                <w:color w:val="000000"/>
                <w:sz w:val="14"/>
                <w:szCs w:val="14"/>
              </w:rPr>
            </w:pPr>
            <w:r w:rsidRPr="003003C0">
              <w:rPr>
                <w:color w:val="000000"/>
                <w:sz w:val="14"/>
                <w:szCs w:val="14"/>
              </w:rPr>
              <w:t>8470.90.10</w:t>
            </w:r>
          </w:p>
        </w:tc>
        <w:tc>
          <w:tcPr>
            <w:tcW w:w="425" w:type="dxa"/>
            <w:hideMark/>
          </w:tcPr>
          <w:p w14:paraId="7CFDEB8A" w14:textId="77777777" w:rsidR="004F64EF" w:rsidRPr="003003C0" w:rsidRDefault="004F64EF" w:rsidP="001F3C85">
            <w:pPr>
              <w:jc w:val="center"/>
              <w:rPr>
                <w:color w:val="000000"/>
                <w:sz w:val="14"/>
                <w:szCs w:val="14"/>
              </w:rPr>
            </w:pPr>
          </w:p>
        </w:tc>
        <w:tc>
          <w:tcPr>
            <w:tcW w:w="2622" w:type="dxa"/>
            <w:hideMark/>
          </w:tcPr>
          <w:p w14:paraId="3442023F" w14:textId="77777777" w:rsidR="004F64EF" w:rsidRPr="003003C0" w:rsidRDefault="004F64EF" w:rsidP="001F3C85">
            <w:pPr>
              <w:jc w:val="left"/>
              <w:rPr>
                <w:color w:val="000000"/>
                <w:sz w:val="14"/>
                <w:szCs w:val="14"/>
              </w:rPr>
            </w:pPr>
            <w:r>
              <w:rPr>
                <w:color w:val="000000"/>
                <w:sz w:val="14"/>
                <w:szCs w:val="14"/>
              </w:rPr>
              <w:t>Postage-franking machines</w:t>
            </w:r>
          </w:p>
        </w:tc>
        <w:tc>
          <w:tcPr>
            <w:tcW w:w="2623" w:type="dxa"/>
            <w:hideMark/>
          </w:tcPr>
          <w:p w14:paraId="635D0121" w14:textId="77777777" w:rsidR="004F64EF" w:rsidRPr="003003C0" w:rsidRDefault="004F64EF" w:rsidP="001F3C85">
            <w:pPr>
              <w:jc w:val="left"/>
              <w:rPr>
                <w:color w:val="000000"/>
                <w:sz w:val="14"/>
                <w:szCs w:val="14"/>
              </w:rPr>
            </w:pPr>
            <w:r w:rsidRPr="008B6D47">
              <w:rPr>
                <w:color w:val="000000"/>
                <w:sz w:val="14"/>
                <w:szCs w:val="14"/>
              </w:rPr>
              <w:t>Postage-franking machines</w:t>
            </w:r>
          </w:p>
        </w:tc>
        <w:tc>
          <w:tcPr>
            <w:tcW w:w="475" w:type="dxa"/>
            <w:hideMark/>
          </w:tcPr>
          <w:p w14:paraId="02012B74" w14:textId="77777777" w:rsidR="004F64EF" w:rsidRPr="003003C0" w:rsidRDefault="004F64EF" w:rsidP="001F3C85">
            <w:pPr>
              <w:jc w:val="right"/>
              <w:rPr>
                <w:color w:val="000000"/>
                <w:sz w:val="14"/>
                <w:szCs w:val="14"/>
              </w:rPr>
            </w:pPr>
            <w:r w:rsidRPr="003003C0">
              <w:rPr>
                <w:color w:val="000000"/>
                <w:sz w:val="14"/>
                <w:szCs w:val="14"/>
              </w:rPr>
              <w:t>3</w:t>
            </w:r>
          </w:p>
        </w:tc>
        <w:tc>
          <w:tcPr>
            <w:tcW w:w="476" w:type="dxa"/>
            <w:hideMark/>
          </w:tcPr>
          <w:p w14:paraId="01ECBA2A" w14:textId="77777777" w:rsidR="004F64EF" w:rsidRPr="003003C0" w:rsidRDefault="004F64EF" w:rsidP="001F3C85">
            <w:pPr>
              <w:jc w:val="right"/>
              <w:rPr>
                <w:color w:val="000000"/>
                <w:sz w:val="14"/>
                <w:szCs w:val="14"/>
              </w:rPr>
            </w:pPr>
            <w:r w:rsidRPr="003003C0">
              <w:rPr>
                <w:color w:val="000000"/>
                <w:sz w:val="14"/>
                <w:szCs w:val="14"/>
              </w:rPr>
              <w:t>0</w:t>
            </w:r>
          </w:p>
        </w:tc>
      </w:tr>
      <w:tr w:rsidR="004F64EF" w:rsidRPr="003003C0" w14:paraId="34F471DF" w14:textId="77777777" w:rsidTr="001F3C85">
        <w:tc>
          <w:tcPr>
            <w:tcW w:w="1129" w:type="dxa"/>
            <w:hideMark/>
          </w:tcPr>
          <w:p w14:paraId="5243B5D6" w14:textId="77777777" w:rsidR="004F64EF" w:rsidRPr="003003C0" w:rsidRDefault="004F64EF" w:rsidP="001F3C85">
            <w:pPr>
              <w:jc w:val="center"/>
              <w:rPr>
                <w:color w:val="000000"/>
                <w:sz w:val="14"/>
                <w:szCs w:val="14"/>
              </w:rPr>
            </w:pPr>
            <w:r w:rsidRPr="003003C0">
              <w:rPr>
                <w:color w:val="000000"/>
                <w:sz w:val="14"/>
                <w:szCs w:val="14"/>
              </w:rPr>
              <w:t>8470.90.20</w:t>
            </w:r>
          </w:p>
        </w:tc>
        <w:tc>
          <w:tcPr>
            <w:tcW w:w="1276" w:type="dxa"/>
            <w:hideMark/>
          </w:tcPr>
          <w:p w14:paraId="0AA3AC23" w14:textId="77777777" w:rsidR="004F64EF" w:rsidRPr="003003C0" w:rsidRDefault="004F64EF" w:rsidP="001F3C85">
            <w:pPr>
              <w:jc w:val="center"/>
              <w:rPr>
                <w:color w:val="000000"/>
                <w:sz w:val="14"/>
                <w:szCs w:val="14"/>
              </w:rPr>
            </w:pPr>
            <w:r w:rsidRPr="003003C0">
              <w:rPr>
                <w:color w:val="000000"/>
                <w:sz w:val="14"/>
                <w:szCs w:val="14"/>
              </w:rPr>
              <w:t>8470.90.20</w:t>
            </w:r>
          </w:p>
        </w:tc>
        <w:tc>
          <w:tcPr>
            <w:tcW w:w="425" w:type="dxa"/>
            <w:hideMark/>
          </w:tcPr>
          <w:p w14:paraId="440F6294" w14:textId="77777777" w:rsidR="004F64EF" w:rsidRPr="003003C0" w:rsidRDefault="004F64EF" w:rsidP="001F3C85">
            <w:pPr>
              <w:jc w:val="center"/>
              <w:rPr>
                <w:color w:val="000000"/>
                <w:sz w:val="14"/>
                <w:szCs w:val="14"/>
              </w:rPr>
            </w:pPr>
          </w:p>
        </w:tc>
        <w:tc>
          <w:tcPr>
            <w:tcW w:w="2622" w:type="dxa"/>
            <w:hideMark/>
          </w:tcPr>
          <w:p w14:paraId="1D459385" w14:textId="77777777" w:rsidR="004F64EF" w:rsidRPr="003003C0" w:rsidRDefault="004F64EF" w:rsidP="001F3C85">
            <w:pPr>
              <w:jc w:val="left"/>
              <w:rPr>
                <w:color w:val="000000"/>
                <w:sz w:val="14"/>
                <w:szCs w:val="14"/>
              </w:rPr>
            </w:pPr>
            <w:r w:rsidRPr="00E06E5B">
              <w:rPr>
                <w:color w:val="000000"/>
                <w:sz w:val="14"/>
                <w:szCs w:val="14"/>
              </w:rPr>
              <w:t>Ticket-issuing machines</w:t>
            </w:r>
          </w:p>
        </w:tc>
        <w:tc>
          <w:tcPr>
            <w:tcW w:w="2623" w:type="dxa"/>
            <w:hideMark/>
          </w:tcPr>
          <w:p w14:paraId="1139214C" w14:textId="77777777" w:rsidR="004F64EF" w:rsidRPr="003003C0" w:rsidRDefault="004F64EF" w:rsidP="001F3C85">
            <w:pPr>
              <w:jc w:val="left"/>
              <w:rPr>
                <w:color w:val="000000"/>
                <w:sz w:val="14"/>
                <w:szCs w:val="14"/>
              </w:rPr>
            </w:pPr>
            <w:r w:rsidRPr="008B6D47">
              <w:rPr>
                <w:color w:val="000000"/>
                <w:sz w:val="14"/>
                <w:szCs w:val="14"/>
              </w:rPr>
              <w:t>Ticket-issuing machines</w:t>
            </w:r>
          </w:p>
        </w:tc>
        <w:tc>
          <w:tcPr>
            <w:tcW w:w="475" w:type="dxa"/>
            <w:hideMark/>
          </w:tcPr>
          <w:p w14:paraId="57BF1B21" w14:textId="77777777" w:rsidR="004F64EF" w:rsidRPr="003003C0" w:rsidRDefault="004F64EF" w:rsidP="001F3C85">
            <w:pPr>
              <w:jc w:val="right"/>
              <w:rPr>
                <w:color w:val="000000"/>
                <w:sz w:val="14"/>
                <w:szCs w:val="14"/>
              </w:rPr>
            </w:pPr>
            <w:r w:rsidRPr="003003C0">
              <w:rPr>
                <w:color w:val="000000"/>
                <w:sz w:val="14"/>
                <w:szCs w:val="14"/>
              </w:rPr>
              <w:t>3</w:t>
            </w:r>
          </w:p>
        </w:tc>
        <w:tc>
          <w:tcPr>
            <w:tcW w:w="476" w:type="dxa"/>
            <w:hideMark/>
          </w:tcPr>
          <w:p w14:paraId="59809582" w14:textId="77777777" w:rsidR="004F64EF" w:rsidRPr="003003C0" w:rsidRDefault="004F64EF" w:rsidP="001F3C85">
            <w:pPr>
              <w:jc w:val="right"/>
              <w:rPr>
                <w:color w:val="000000"/>
                <w:sz w:val="14"/>
                <w:szCs w:val="14"/>
              </w:rPr>
            </w:pPr>
            <w:r w:rsidRPr="003003C0">
              <w:rPr>
                <w:color w:val="000000"/>
                <w:sz w:val="14"/>
                <w:szCs w:val="14"/>
              </w:rPr>
              <w:t>0</w:t>
            </w:r>
          </w:p>
        </w:tc>
      </w:tr>
      <w:tr w:rsidR="004F64EF" w:rsidRPr="003003C0" w14:paraId="45FE1870" w14:textId="77777777" w:rsidTr="001F3C85">
        <w:trPr>
          <w:cnfStyle w:val="000000010000" w:firstRow="0" w:lastRow="0" w:firstColumn="0" w:lastColumn="0" w:oddVBand="0" w:evenVBand="0" w:oddHBand="0" w:evenHBand="1" w:firstRowFirstColumn="0" w:firstRowLastColumn="0" w:lastRowFirstColumn="0" w:lastRowLastColumn="0"/>
        </w:trPr>
        <w:tc>
          <w:tcPr>
            <w:tcW w:w="1129" w:type="dxa"/>
            <w:hideMark/>
          </w:tcPr>
          <w:p w14:paraId="20C14318" w14:textId="77777777" w:rsidR="004F64EF" w:rsidRPr="003003C0" w:rsidRDefault="004F64EF" w:rsidP="001F3C85">
            <w:pPr>
              <w:jc w:val="center"/>
              <w:rPr>
                <w:color w:val="000000"/>
                <w:sz w:val="14"/>
                <w:szCs w:val="14"/>
              </w:rPr>
            </w:pPr>
            <w:r w:rsidRPr="003003C0">
              <w:rPr>
                <w:color w:val="000000"/>
                <w:sz w:val="14"/>
                <w:szCs w:val="14"/>
              </w:rPr>
              <w:t>8470.90.90</w:t>
            </w:r>
          </w:p>
        </w:tc>
        <w:tc>
          <w:tcPr>
            <w:tcW w:w="1276" w:type="dxa"/>
            <w:hideMark/>
          </w:tcPr>
          <w:p w14:paraId="3137A358" w14:textId="77777777" w:rsidR="004F64EF" w:rsidRPr="003003C0" w:rsidRDefault="004F64EF" w:rsidP="001F3C85">
            <w:pPr>
              <w:jc w:val="center"/>
              <w:rPr>
                <w:color w:val="000000"/>
                <w:sz w:val="14"/>
                <w:szCs w:val="14"/>
              </w:rPr>
            </w:pPr>
            <w:r w:rsidRPr="003003C0">
              <w:rPr>
                <w:color w:val="000000"/>
                <w:sz w:val="14"/>
                <w:szCs w:val="14"/>
              </w:rPr>
              <w:t>8470.90.90</w:t>
            </w:r>
          </w:p>
        </w:tc>
        <w:tc>
          <w:tcPr>
            <w:tcW w:w="425" w:type="dxa"/>
            <w:hideMark/>
          </w:tcPr>
          <w:p w14:paraId="3E824694" w14:textId="77777777" w:rsidR="004F64EF" w:rsidRPr="003003C0" w:rsidRDefault="004F64EF" w:rsidP="001F3C85">
            <w:pPr>
              <w:jc w:val="center"/>
              <w:rPr>
                <w:color w:val="000000"/>
                <w:sz w:val="14"/>
                <w:szCs w:val="14"/>
              </w:rPr>
            </w:pPr>
          </w:p>
        </w:tc>
        <w:tc>
          <w:tcPr>
            <w:tcW w:w="2622" w:type="dxa"/>
            <w:hideMark/>
          </w:tcPr>
          <w:p w14:paraId="26DA6CEA" w14:textId="77777777" w:rsidR="004F64EF" w:rsidRPr="003003C0" w:rsidRDefault="004F64EF" w:rsidP="001F3C85">
            <w:pPr>
              <w:jc w:val="left"/>
              <w:rPr>
                <w:color w:val="000000"/>
                <w:sz w:val="14"/>
                <w:szCs w:val="14"/>
              </w:rPr>
            </w:pPr>
            <w:r>
              <w:rPr>
                <w:color w:val="000000"/>
                <w:sz w:val="14"/>
                <w:szCs w:val="14"/>
              </w:rPr>
              <w:t>Other</w:t>
            </w:r>
            <w:r w:rsidRPr="003003C0">
              <w:rPr>
                <w:color w:val="000000"/>
                <w:sz w:val="14"/>
                <w:szCs w:val="14"/>
              </w:rPr>
              <w:t xml:space="preserve"> </w:t>
            </w:r>
            <w:r>
              <w:rPr>
                <w:color w:val="000000"/>
                <w:sz w:val="14"/>
                <w:szCs w:val="14"/>
              </w:rPr>
              <w:t>machines</w:t>
            </w:r>
          </w:p>
        </w:tc>
        <w:tc>
          <w:tcPr>
            <w:tcW w:w="2623" w:type="dxa"/>
            <w:hideMark/>
          </w:tcPr>
          <w:p w14:paraId="24911BFC" w14:textId="77777777" w:rsidR="004F64EF" w:rsidRPr="003003C0" w:rsidRDefault="004F64EF" w:rsidP="001F3C85">
            <w:pPr>
              <w:jc w:val="left"/>
              <w:rPr>
                <w:color w:val="000000"/>
                <w:sz w:val="14"/>
                <w:szCs w:val="14"/>
              </w:rPr>
            </w:pPr>
            <w:r w:rsidRPr="008B6D47">
              <w:rPr>
                <w:color w:val="000000"/>
                <w:sz w:val="14"/>
                <w:szCs w:val="14"/>
              </w:rPr>
              <w:t>Other machines</w:t>
            </w:r>
          </w:p>
        </w:tc>
        <w:tc>
          <w:tcPr>
            <w:tcW w:w="475" w:type="dxa"/>
            <w:hideMark/>
          </w:tcPr>
          <w:p w14:paraId="6DEB5741" w14:textId="77777777" w:rsidR="004F64EF" w:rsidRPr="003003C0" w:rsidRDefault="004F64EF" w:rsidP="001F3C85">
            <w:pPr>
              <w:jc w:val="right"/>
              <w:rPr>
                <w:color w:val="000000"/>
                <w:sz w:val="14"/>
                <w:szCs w:val="14"/>
              </w:rPr>
            </w:pPr>
            <w:r w:rsidRPr="003003C0">
              <w:rPr>
                <w:color w:val="000000"/>
                <w:sz w:val="14"/>
                <w:szCs w:val="14"/>
              </w:rPr>
              <w:t>3</w:t>
            </w:r>
          </w:p>
        </w:tc>
        <w:tc>
          <w:tcPr>
            <w:tcW w:w="476" w:type="dxa"/>
            <w:hideMark/>
          </w:tcPr>
          <w:p w14:paraId="787F481A" w14:textId="77777777" w:rsidR="004F64EF" w:rsidRPr="003003C0" w:rsidRDefault="004F64EF" w:rsidP="001F3C85">
            <w:pPr>
              <w:jc w:val="right"/>
              <w:rPr>
                <w:color w:val="000000"/>
                <w:sz w:val="14"/>
                <w:szCs w:val="14"/>
              </w:rPr>
            </w:pPr>
            <w:r w:rsidRPr="003003C0">
              <w:rPr>
                <w:color w:val="000000"/>
                <w:sz w:val="14"/>
                <w:szCs w:val="14"/>
              </w:rPr>
              <w:t>0</w:t>
            </w:r>
          </w:p>
        </w:tc>
      </w:tr>
      <w:tr w:rsidR="004F64EF" w:rsidRPr="003003C0" w14:paraId="265C59A3" w14:textId="77777777" w:rsidTr="001F3C85">
        <w:tc>
          <w:tcPr>
            <w:tcW w:w="1129" w:type="dxa"/>
            <w:hideMark/>
          </w:tcPr>
          <w:p w14:paraId="3FFC586E" w14:textId="77777777" w:rsidR="004F64EF" w:rsidRPr="003003C0" w:rsidRDefault="004F64EF" w:rsidP="001F3C85">
            <w:pPr>
              <w:jc w:val="center"/>
              <w:rPr>
                <w:color w:val="000000"/>
                <w:sz w:val="14"/>
                <w:szCs w:val="14"/>
              </w:rPr>
            </w:pPr>
            <w:r w:rsidRPr="003003C0">
              <w:rPr>
                <w:color w:val="000000"/>
                <w:sz w:val="14"/>
                <w:szCs w:val="14"/>
              </w:rPr>
              <w:t>8472.90.20</w:t>
            </w:r>
          </w:p>
        </w:tc>
        <w:tc>
          <w:tcPr>
            <w:tcW w:w="1276" w:type="dxa"/>
            <w:hideMark/>
          </w:tcPr>
          <w:p w14:paraId="4ED94256" w14:textId="77777777" w:rsidR="004F64EF" w:rsidRPr="003003C0" w:rsidRDefault="004F64EF" w:rsidP="001F3C85">
            <w:pPr>
              <w:jc w:val="center"/>
              <w:rPr>
                <w:color w:val="000000"/>
                <w:sz w:val="14"/>
                <w:szCs w:val="14"/>
              </w:rPr>
            </w:pPr>
            <w:r w:rsidRPr="003003C0">
              <w:rPr>
                <w:color w:val="000000"/>
                <w:sz w:val="14"/>
                <w:szCs w:val="14"/>
              </w:rPr>
              <w:t>8472.90.20</w:t>
            </w:r>
          </w:p>
        </w:tc>
        <w:tc>
          <w:tcPr>
            <w:tcW w:w="425" w:type="dxa"/>
            <w:hideMark/>
          </w:tcPr>
          <w:p w14:paraId="7FD2B6EE" w14:textId="77777777" w:rsidR="004F64EF" w:rsidRPr="003003C0" w:rsidRDefault="004F64EF" w:rsidP="001F3C85">
            <w:pPr>
              <w:jc w:val="center"/>
              <w:rPr>
                <w:color w:val="000000"/>
                <w:sz w:val="14"/>
                <w:szCs w:val="14"/>
              </w:rPr>
            </w:pPr>
          </w:p>
        </w:tc>
        <w:tc>
          <w:tcPr>
            <w:tcW w:w="2622" w:type="dxa"/>
            <w:hideMark/>
          </w:tcPr>
          <w:p w14:paraId="51C0B28F" w14:textId="77777777" w:rsidR="004F64EF" w:rsidRPr="003003C0" w:rsidRDefault="004F64EF" w:rsidP="001F3C85">
            <w:pPr>
              <w:jc w:val="left"/>
              <w:rPr>
                <w:color w:val="000000"/>
                <w:sz w:val="14"/>
                <w:szCs w:val="14"/>
              </w:rPr>
            </w:pPr>
            <w:r w:rsidRPr="009B31AA">
              <w:rPr>
                <w:color w:val="000000"/>
                <w:sz w:val="14"/>
                <w:szCs w:val="14"/>
              </w:rPr>
              <w:t>Automatic banknote dispensers</w:t>
            </w:r>
          </w:p>
        </w:tc>
        <w:tc>
          <w:tcPr>
            <w:tcW w:w="2623" w:type="dxa"/>
            <w:hideMark/>
          </w:tcPr>
          <w:p w14:paraId="688EF994" w14:textId="77777777" w:rsidR="004F64EF" w:rsidRPr="003003C0" w:rsidRDefault="004F64EF" w:rsidP="001F3C85">
            <w:pPr>
              <w:jc w:val="left"/>
              <w:rPr>
                <w:color w:val="000000"/>
                <w:sz w:val="14"/>
                <w:szCs w:val="14"/>
              </w:rPr>
            </w:pPr>
            <w:r w:rsidRPr="008B6D47">
              <w:rPr>
                <w:color w:val="000000"/>
                <w:sz w:val="14"/>
                <w:szCs w:val="14"/>
              </w:rPr>
              <w:t xml:space="preserve">Automatic banknote dispensers </w:t>
            </w:r>
            <w:r w:rsidRPr="003003C0">
              <w:rPr>
                <w:color w:val="000000"/>
                <w:sz w:val="14"/>
                <w:szCs w:val="14"/>
              </w:rPr>
              <w:t>(</w:t>
            </w:r>
            <w:r>
              <w:rPr>
                <w:color w:val="000000"/>
                <w:sz w:val="14"/>
                <w:szCs w:val="14"/>
              </w:rPr>
              <w:t>automatic teller machines</w:t>
            </w:r>
            <w:r w:rsidRPr="003003C0">
              <w:rPr>
                <w:color w:val="000000"/>
                <w:sz w:val="14"/>
                <w:szCs w:val="14"/>
              </w:rPr>
              <w:t>)</w:t>
            </w:r>
          </w:p>
        </w:tc>
        <w:tc>
          <w:tcPr>
            <w:tcW w:w="475" w:type="dxa"/>
            <w:hideMark/>
          </w:tcPr>
          <w:p w14:paraId="5009969B" w14:textId="77777777" w:rsidR="004F64EF" w:rsidRPr="003003C0" w:rsidRDefault="004F64EF" w:rsidP="001F3C85">
            <w:pPr>
              <w:jc w:val="right"/>
              <w:rPr>
                <w:color w:val="000000"/>
                <w:sz w:val="14"/>
                <w:szCs w:val="14"/>
              </w:rPr>
            </w:pPr>
            <w:r w:rsidRPr="003003C0">
              <w:rPr>
                <w:color w:val="000000"/>
                <w:sz w:val="14"/>
                <w:szCs w:val="14"/>
              </w:rPr>
              <w:t>3</w:t>
            </w:r>
          </w:p>
        </w:tc>
        <w:tc>
          <w:tcPr>
            <w:tcW w:w="476" w:type="dxa"/>
            <w:hideMark/>
          </w:tcPr>
          <w:p w14:paraId="1AE38B1B" w14:textId="77777777" w:rsidR="004F64EF" w:rsidRPr="003003C0" w:rsidRDefault="004F64EF" w:rsidP="001F3C85">
            <w:pPr>
              <w:jc w:val="right"/>
              <w:rPr>
                <w:color w:val="000000"/>
                <w:sz w:val="14"/>
                <w:szCs w:val="14"/>
              </w:rPr>
            </w:pPr>
            <w:r w:rsidRPr="003003C0">
              <w:rPr>
                <w:color w:val="000000"/>
                <w:sz w:val="14"/>
                <w:szCs w:val="14"/>
              </w:rPr>
              <w:t>0</w:t>
            </w:r>
          </w:p>
        </w:tc>
      </w:tr>
      <w:tr w:rsidR="004F64EF" w:rsidRPr="003003C0" w14:paraId="1D702C8B" w14:textId="77777777" w:rsidTr="001F3C85">
        <w:trPr>
          <w:cnfStyle w:val="000000010000" w:firstRow="0" w:lastRow="0" w:firstColumn="0" w:lastColumn="0" w:oddVBand="0" w:evenVBand="0" w:oddHBand="0" w:evenHBand="1" w:firstRowFirstColumn="0" w:firstRowLastColumn="0" w:lastRowFirstColumn="0" w:lastRowLastColumn="0"/>
        </w:trPr>
        <w:tc>
          <w:tcPr>
            <w:tcW w:w="1129" w:type="dxa"/>
            <w:hideMark/>
          </w:tcPr>
          <w:p w14:paraId="3FE778FD" w14:textId="77777777" w:rsidR="004F64EF" w:rsidRPr="003003C0" w:rsidRDefault="004F64EF" w:rsidP="001F3C85">
            <w:pPr>
              <w:jc w:val="center"/>
              <w:rPr>
                <w:color w:val="000000"/>
                <w:sz w:val="14"/>
                <w:szCs w:val="14"/>
              </w:rPr>
            </w:pPr>
            <w:r w:rsidRPr="003003C0">
              <w:rPr>
                <w:color w:val="000000"/>
                <w:sz w:val="14"/>
                <w:szCs w:val="14"/>
              </w:rPr>
              <w:t>8473.21.00</w:t>
            </w:r>
          </w:p>
        </w:tc>
        <w:tc>
          <w:tcPr>
            <w:tcW w:w="1276" w:type="dxa"/>
            <w:hideMark/>
          </w:tcPr>
          <w:p w14:paraId="2E195349" w14:textId="77777777" w:rsidR="004F64EF" w:rsidRPr="003003C0" w:rsidRDefault="004F64EF" w:rsidP="001F3C85">
            <w:pPr>
              <w:jc w:val="center"/>
              <w:rPr>
                <w:color w:val="000000"/>
                <w:sz w:val="14"/>
                <w:szCs w:val="14"/>
              </w:rPr>
            </w:pPr>
            <w:r w:rsidRPr="003003C0">
              <w:rPr>
                <w:color w:val="000000"/>
                <w:sz w:val="14"/>
                <w:szCs w:val="14"/>
              </w:rPr>
              <w:t>8473.21.00</w:t>
            </w:r>
          </w:p>
        </w:tc>
        <w:tc>
          <w:tcPr>
            <w:tcW w:w="425" w:type="dxa"/>
            <w:hideMark/>
          </w:tcPr>
          <w:p w14:paraId="1C9CD50A" w14:textId="77777777" w:rsidR="004F64EF" w:rsidRPr="003003C0" w:rsidRDefault="004F64EF" w:rsidP="001F3C85">
            <w:pPr>
              <w:jc w:val="center"/>
              <w:rPr>
                <w:color w:val="000000"/>
                <w:sz w:val="14"/>
                <w:szCs w:val="14"/>
              </w:rPr>
            </w:pPr>
          </w:p>
        </w:tc>
        <w:tc>
          <w:tcPr>
            <w:tcW w:w="2622" w:type="dxa"/>
            <w:hideMark/>
          </w:tcPr>
          <w:p w14:paraId="47A598FB" w14:textId="77777777" w:rsidR="004F64EF" w:rsidRPr="003003C0" w:rsidRDefault="004F64EF" w:rsidP="001F3C85">
            <w:pPr>
              <w:jc w:val="left"/>
              <w:rPr>
                <w:color w:val="000000"/>
                <w:sz w:val="14"/>
                <w:szCs w:val="14"/>
              </w:rPr>
            </w:pPr>
            <w:r w:rsidRPr="009B31AA">
              <w:rPr>
                <w:color w:val="000000"/>
                <w:sz w:val="14"/>
                <w:szCs w:val="14"/>
              </w:rPr>
              <w:t xml:space="preserve">Of the electronic calculating machines of subheading </w:t>
            </w:r>
            <w:r w:rsidRPr="003003C0">
              <w:rPr>
                <w:color w:val="000000"/>
                <w:sz w:val="14"/>
                <w:szCs w:val="14"/>
              </w:rPr>
              <w:t xml:space="preserve">8470.10, 8470.21 </w:t>
            </w:r>
            <w:r>
              <w:rPr>
                <w:color w:val="000000"/>
                <w:sz w:val="14"/>
                <w:szCs w:val="14"/>
              </w:rPr>
              <w:t>or</w:t>
            </w:r>
            <w:r w:rsidRPr="003003C0">
              <w:rPr>
                <w:color w:val="000000"/>
                <w:sz w:val="14"/>
                <w:szCs w:val="14"/>
              </w:rPr>
              <w:t xml:space="preserve"> 8470.29</w:t>
            </w:r>
          </w:p>
        </w:tc>
        <w:tc>
          <w:tcPr>
            <w:tcW w:w="2623" w:type="dxa"/>
            <w:hideMark/>
          </w:tcPr>
          <w:p w14:paraId="36EA9F70" w14:textId="77777777" w:rsidR="004F64EF" w:rsidRPr="003003C0" w:rsidRDefault="004F64EF" w:rsidP="001F3C85">
            <w:pPr>
              <w:jc w:val="left"/>
              <w:rPr>
                <w:color w:val="000000"/>
                <w:sz w:val="14"/>
                <w:szCs w:val="14"/>
              </w:rPr>
            </w:pPr>
            <w:r w:rsidRPr="008B6D47">
              <w:rPr>
                <w:color w:val="000000"/>
                <w:sz w:val="14"/>
                <w:szCs w:val="14"/>
              </w:rPr>
              <w:t xml:space="preserve">Of the electronic calculating machines of subheading </w:t>
            </w:r>
            <w:r w:rsidRPr="003003C0">
              <w:rPr>
                <w:color w:val="000000"/>
                <w:sz w:val="14"/>
                <w:szCs w:val="14"/>
              </w:rPr>
              <w:t xml:space="preserve">8470.10, 8470.21 </w:t>
            </w:r>
            <w:r>
              <w:rPr>
                <w:color w:val="000000"/>
                <w:sz w:val="14"/>
                <w:szCs w:val="14"/>
              </w:rPr>
              <w:t>or</w:t>
            </w:r>
            <w:r w:rsidRPr="003003C0">
              <w:rPr>
                <w:color w:val="000000"/>
                <w:sz w:val="14"/>
                <w:szCs w:val="14"/>
              </w:rPr>
              <w:t xml:space="preserve"> 8470.29</w:t>
            </w:r>
          </w:p>
        </w:tc>
        <w:tc>
          <w:tcPr>
            <w:tcW w:w="475" w:type="dxa"/>
            <w:hideMark/>
          </w:tcPr>
          <w:p w14:paraId="61F365C0" w14:textId="77777777" w:rsidR="004F64EF" w:rsidRPr="003003C0" w:rsidRDefault="004F64EF" w:rsidP="001F3C85">
            <w:pPr>
              <w:jc w:val="right"/>
              <w:rPr>
                <w:color w:val="000000"/>
                <w:sz w:val="14"/>
                <w:szCs w:val="14"/>
              </w:rPr>
            </w:pPr>
            <w:r w:rsidRPr="003003C0">
              <w:rPr>
                <w:color w:val="000000"/>
                <w:sz w:val="14"/>
                <w:szCs w:val="14"/>
              </w:rPr>
              <w:t>3</w:t>
            </w:r>
          </w:p>
        </w:tc>
        <w:tc>
          <w:tcPr>
            <w:tcW w:w="476" w:type="dxa"/>
            <w:hideMark/>
          </w:tcPr>
          <w:p w14:paraId="51935D53" w14:textId="77777777" w:rsidR="004F64EF" w:rsidRPr="003003C0" w:rsidRDefault="004F64EF" w:rsidP="001F3C85">
            <w:pPr>
              <w:jc w:val="right"/>
              <w:rPr>
                <w:color w:val="000000"/>
                <w:sz w:val="14"/>
                <w:szCs w:val="14"/>
              </w:rPr>
            </w:pPr>
            <w:r w:rsidRPr="003003C0">
              <w:rPr>
                <w:color w:val="000000"/>
                <w:sz w:val="14"/>
                <w:szCs w:val="14"/>
              </w:rPr>
              <w:t>0</w:t>
            </w:r>
          </w:p>
        </w:tc>
      </w:tr>
      <w:tr w:rsidR="004F64EF" w:rsidRPr="003003C0" w14:paraId="68FE4571" w14:textId="77777777" w:rsidTr="001F3C85">
        <w:tc>
          <w:tcPr>
            <w:tcW w:w="1129" w:type="dxa"/>
            <w:hideMark/>
          </w:tcPr>
          <w:p w14:paraId="73699FD8" w14:textId="77777777" w:rsidR="004F64EF" w:rsidRPr="003003C0" w:rsidRDefault="004F64EF" w:rsidP="001F3C85">
            <w:pPr>
              <w:jc w:val="center"/>
              <w:rPr>
                <w:color w:val="000000"/>
                <w:sz w:val="14"/>
                <w:szCs w:val="14"/>
              </w:rPr>
            </w:pPr>
            <w:r w:rsidRPr="003003C0">
              <w:rPr>
                <w:color w:val="000000"/>
                <w:sz w:val="14"/>
                <w:szCs w:val="14"/>
              </w:rPr>
              <w:t>8517.11.00</w:t>
            </w:r>
          </w:p>
        </w:tc>
        <w:tc>
          <w:tcPr>
            <w:tcW w:w="1276" w:type="dxa"/>
            <w:hideMark/>
          </w:tcPr>
          <w:p w14:paraId="36260905" w14:textId="77777777" w:rsidR="004F64EF" w:rsidRPr="003003C0" w:rsidRDefault="004F64EF" w:rsidP="001F3C85">
            <w:pPr>
              <w:jc w:val="center"/>
              <w:rPr>
                <w:color w:val="000000"/>
                <w:sz w:val="14"/>
                <w:szCs w:val="14"/>
              </w:rPr>
            </w:pPr>
            <w:r w:rsidRPr="003003C0">
              <w:rPr>
                <w:color w:val="000000"/>
                <w:sz w:val="14"/>
                <w:szCs w:val="14"/>
              </w:rPr>
              <w:t>8517.11.00</w:t>
            </w:r>
          </w:p>
        </w:tc>
        <w:tc>
          <w:tcPr>
            <w:tcW w:w="425" w:type="dxa"/>
            <w:hideMark/>
          </w:tcPr>
          <w:p w14:paraId="6C34DFDA" w14:textId="77777777" w:rsidR="004F64EF" w:rsidRPr="003003C0" w:rsidRDefault="004F64EF" w:rsidP="001F3C85">
            <w:pPr>
              <w:jc w:val="center"/>
              <w:rPr>
                <w:color w:val="000000"/>
                <w:sz w:val="14"/>
                <w:szCs w:val="14"/>
              </w:rPr>
            </w:pPr>
          </w:p>
        </w:tc>
        <w:tc>
          <w:tcPr>
            <w:tcW w:w="2622" w:type="dxa"/>
            <w:hideMark/>
          </w:tcPr>
          <w:p w14:paraId="437CA2A2" w14:textId="77777777" w:rsidR="004F64EF" w:rsidRPr="003003C0" w:rsidRDefault="004F64EF" w:rsidP="001F3C85">
            <w:pPr>
              <w:jc w:val="left"/>
              <w:rPr>
                <w:color w:val="000000"/>
                <w:sz w:val="14"/>
                <w:szCs w:val="14"/>
              </w:rPr>
            </w:pPr>
            <w:r w:rsidRPr="009B31AA">
              <w:rPr>
                <w:color w:val="000000"/>
                <w:sz w:val="14"/>
                <w:szCs w:val="14"/>
              </w:rPr>
              <w:t>Line telephone sets with cordless handsets</w:t>
            </w:r>
          </w:p>
        </w:tc>
        <w:tc>
          <w:tcPr>
            <w:tcW w:w="2623" w:type="dxa"/>
            <w:hideMark/>
          </w:tcPr>
          <w:p w14:paraId="1F78052F" w14:textId="77777777" w:rsidR="004F64EF" w:rsidRPr="003003C0" w:rsidRDefault="004F64EF" w:rsidP="001F3C85">
            <w:pPr>
              <w:jc w:val="left"/>
              <w:rPr>
                <w:color w:val="000000"/>
                <w:sz w:val="14"/>
                <w:szCs w:val="14"/>
              </w:rPr>
            </w:pPr>
            <w:r w:rsidRPr="008B6D47">
              <w:rPr>
                <w:color w:val="000000"/>
                <w:sz w:val="14"/>
                <w:szCs w:val="14"/>
              </w:rPr>
              <w:t>Line telephone sets with cordless handsets</w:t>
            </w:r>
          </w:p>
        </w:tc>
        <w:tc>
          <w:tcPr>
            <w:tcW w:w="475" w:type="dxa"/>
            <w:hideMark/>
          </w:tcPr>
          <w:p w14:paraId="5A6B97DE" w14:textId="77777777" w:rsidR="004F64EF" w:rsidRPr="003003C0" w:rsidRDefault="004F64EF" w:rsidP="001F3C85">
            <w:pPr>
              <w:jc w:val="right"/>
              <w:rPr>
                <w:color w:val="000000"/>
                <w:sz w:val="14"/>
                <w:szCs w:val="14"/>
              </w:rPr>
            </w:pPr>
            <w:r w:rsidRPr="003003C0">
              <w:rPr>
                <w:color w:val="000000"/>
                <w:sz w:val="14"/>
                <w:szCs w:val="14"/>
              </w:rPr>
              <w:t>8</w:t>
            </w:r>
          </w:p>
        </w:tc>
        <w:tc>
          <w:tcPr>
            <w:tcW w:w="476" w:type="dxa"/>
            <w:hideMark/>
          </w:tcPr>
          <w:p w14:paraId="6CADF789" w14:textId="77777777" w:rsidR="004F64EF" w:rsidRPr="003003C0" w:rsidRDefault="004F64EF" w:rsidP="001F3C85">
            <w:pPr>
              <w:jc w:val="right"/>
              <w:rPr>
                <w:color w:val="000000"/>
                <w:sz w:val="14"/>
                <w:szCs w:val="14"/>
              </w:rPr>
            </w:pPr>
            <w:r w:rsidRPr="003003C0">
              <w:rPr>
                <w:color w:val="000000"/>
                <w:sz w:val="14"/>
                <w:szCs w:val="14"/>
              </w:rPr>
              <w:t>0</w:t>
            </w:r>
          </w:p>
        </w:tc>
      </w:tr>
      <w:tr w:rsidR="004F64EF" w:rsidRPr="003003C0" w14:paraId="22CC202A" w14:textId="77777777" w:rsidTr="001F3C85">
        <w:trPr>
          <w:cnfStyle w:val="000000010000" w:firstRow="0" w:lastRow="0" w:firstColumn="0" w:lastColumn="0" w:oddVBand="0" w:evenVBand="0" w:oddHBand="0" w:evenHBand="1" w:firstRowFirstColumn="0" w:firstRowLastColumn="0" w:lastRowFirstColumn="0" w:lastRowLastColumn="0"/>
        </w:trPr>
        <w:tc>
          <w:tcPr>
            <w:tcW w:w="1129" w:type="dxa"/>
            <w:hideMark/>
          </w:tcPr>
          <w:p w14:paraId="7DBAF7DC" w14:textId="77777777" w:rsidR="004F64EF" w:rsidRPr="003003C0" w:rsidRDefault="004F64EF" w:rsidP="001F3C85">
            <w:pPr>
              <w:jc w:val="center"/>
              <w:rPr>
                <w:color w:val="000000"/>
                <w:sz w:val="14"/>
                <w:szCs w:val="14"/>
              </w:rPr>
            </w:pPr>
            <w:r w:rsidRPr="003003C0">
              <w:rPr>
                <w:color w:val="000000"/>
                <w:sz w:val="14"/>
                <w:szCs w:val="14"/>
              </w:rPr>
              <w:t>8470.90.30</w:t>
            </w:r>
          </w:p>
        </w:tc>
        <w:tc>
          <w:tcPr>
            <w:tcW w:w="1276" w:type="dxa"/>
            <w:hideMark/>
          </w:tcPr>
          <w:p w14:paraId="08C39DC6" w14:textId="77777777" w:rsidR="004F64EF" w:rsidRPr="003003C0" w:rsidRDefault="004F64EF" w:rsidP="001F3C85">
            <w:pPr>
              <w:jc w:val="center"/>
              <w:rPr>
                <w:color w:val="000000"/>
                <w:sz w:val="14"/>
                <w:szCs w:val="14"/>
              </w:rPr>
            </w:pPr>
            <w:r w:rsidRPr="003003C0">
              <w:rPr>
                <w:color w:val="000000"/>
                <w:sz w:val="14"/>
                <w:szCs w:val="14"/>
              </w:rPr>
              <w:t xml:space="preserve">8470.90.90 </w:t>
            </w:r>
            <w:r>
              <w:rPr>
                <w:color w:val="000000"/>
                <w:sz w:val="14"/>
                <w:szCs w:val="14"/>
              </w:rPr>
              <w:t>and</w:t>
            </w:r>
            <w:r w:rsidRPr="003003C0">
              <w:rPr>
                <w:color w:val="000000"/>
                <w:sz w:val="14"/>
                <w:szCs w:val="14"/>
              </w:rPr>
              <w:t xml:space="preserve"> 8470.40.00</w:t>
            </w:r>
          </w:p>
        </w:tc>
        <w:tc>
          <w:tcPr>
            <w:tcW w:w="425" w:type="dxa"/>
            <w:hideMark/>
          </w:tcPr>
          <w:p w14:paraId="5388694E" w14:textId="77777777" w:rsidR="004F64EF" w:rsidRPr="003003C0" w:rsidRDefault="004F64EF" w:rsidP="001F3C85">
            <w:pPr>
              <w:jc w:val="center"/>
              <w:rPr>
                <w:color w:val="000000"/>
                <w:sz w:val="14"/>
                <w:szCs w:val="14"/>
              </w:rPr>
            </w:pPr>
          </w:p>
        </w:tc>
        <w:tc>
          <w:tcPr>
            <w:tcW w:w="2622" w:type="dxa"/>
            <w:hideMark/>
          </w:tcPr>
          <w:p w14:paraId="333CADE7" w14:textId="77777777" w:rsidR="004F64EF" w:rsidRPr="003003C0" w:rsidRDefault="004F64EF" w:rsidP="001F3C85">
            <w:pPr>
              <w:jc w:val="left"/>
              <w:rPr>
                <w:color w:val="000000"/>
                <w:sz w:val="14"/>
                <w:szCs w:val="14"/>
              </w:rPr>
            </w:pPr>
            <w:r w:rsidRPr="009B31AA">
              <w:rPr>
                <w:color w:val="000000"/>
                <w:sz w:val="14"/>
                <w:szCs w:val="14"/>
                <w:lang w:val="en-US"/>
              </w:rPr>
              <w:t>Accounting machines</w:t>
            </w:r>
          </w:p>
        </w:tc>
        <w:tc>
          <w:tcPr>
            <w:tcW w:w="2623" w:type="dxa"/>
            <w:hideMark/>
          </w:tcPr>
          <w:p w14:paraId="39E84538" w14:textId="77777777" w:rsidR="004F64EF" w:rsidRPr="003003C0" w:rsidRDefault="004F64EF" w:rsidP="001F3C85">
            <w:pPr>
              <w:jc w:val="left"/>
              <w:rPr>
                <w:color w:val="000000"/>
                <w:sz w:val="14"/>
                <w:szCs w:val="14"/>
              </w:rPr>
            </w:pPr>
            <w:r>
              <w:rPr>
                <w:color w:val="000000"/>
                <w:sz w:val="14"/>
                <w:szCs w:val="14"/>
              </w:rPr>
              <w:t>Other</w:t>
            </w:r>
            <w:r w:rsidRPr="003003C0">
              <w:rPr>
                <w:color w:val="000000"/>
                <w:sz w:val="14"/>
                <w:szCs w:val="14"/>
              </w:rPr>
              <w:t xml:space="preserve"> </w:t>
            </w:r>
            <w:r>
              <w:rPr>
                <w:color w:val="000000"/>
                <w:sz w:val="14"/>
                <w:szCs w:val="14"/>
              </w:rPr>
              <w:t>(HS</w:t>
            </w:r>
            <w:r w:rsidRPr="003003C0">
              <w:rPr>
                <w:color w:val="000000"/>
                <w:sz w:val="14"/>
                <w:szCs w:val="14"/>
              </w:rPr>
              <w:t xml:space="preserve"> 84709090</w:t>
            </w:r>
            <w:r>
              <w:rPr>
                <w:color w:val="000000"/>
                <w:sz w:val="14"/>
                <w:szCs w:val="14"/>
              </w:rPr>
              <w:t>)</w:t>
            </w:r>
            <w:r w:rsidRPr="003003C0">
              <w:rPr>
                <w:color w:val="000000"/>
                <w:sz w:val="14"/>
                <w:szCs w:val="14"/>
              </w:rPr>
              <w:t xml:space="preserve">, </w:t>
            </w:r>
            <w:r>
              <w:rPr>
                <w:color w:val="000000"/>
                <w:sz w:val="14"/>
                <w:szCs w:val="14"/>
              </w:rPr>
              <w:t>Accounting machines</w:t>
            </w:r>
            <w:r w:rsidRPr="003003C0">
              <w:rPr>
                <w:color w:val="000000"/>
                <w:sz w:val="14"/>
                <w:szCs w:val="14"/>
              </w:rPr>
              <w:t xml:space="preserve"> </w:t>
            </w:r>
            <w:r>
              <w:rPr>
                <w:color w:val="000000"/>
                <w:sz w:val="14"/>
                <w:szCs w:val="14"/>
              </w:rPr>
              <w:t>(HS </w:t>
            </w:r>
            <w:r w:rsidRPr="003003C0">
              <w:rPr>
                <w:color w:val="000000"/>
                <w:sz w:val="14"/>
                <w:szCs w:val="14"/>
              </w:rPr>
              <w:t>84704000</w:t>
            </w:r>
            <w:r>
              <w:rPr>
                <w:color w:val="000000"/>
                <w:sz w:val="14"/>
                <w:szCs w:val="14"/>
              </w:rPr>
              <w:t>)</w:t>
            </w:r>
          </w:p>
        </w:tc>
        <w:tc>
          <w:tcPr>
            <w:tcW w:w="475" w:type="dxa"/>
            <w:hideMark/>
          </w:tcPr>
          <w:p w14:paraId="1EB44811" w14:textId="77777777" w:rsidR="004F64EF" w:rsidRPr="003003C0" w:rsidRDefault="004F64EF" w:rsidP="001F3C85">
            <w:pPr>
              <w:jc w:val="right"/>
              <w:rPr>
                <w:color w:val="000000"/>
                <w:sz w:val="14"/>
                <w:szCs w:val="14"/>
              </w:rPr>
            </w:pPr>
            <w:r w:rsidRPr="003003C0">
              <w:rPr>
                <w:color w:val="000000"/>
                <w:sz w:val="14"/>
                <w:szCs w:val="14"/>
              </w:rPr>
              <w:t>3</w:t>
            </w:r>
          </w:p>
        </w:tc>
        <w:tc>
          <w:tcPr>
            <w:tcW w:w="476" w:type="dxa"/>
            <w:hideMark/>
          </w:tcPr>
          <w:p w14:paraId="053D7C09" w14:textId="77777777" w:rsidR="004F64EF" w:rsidRPr="003003C0" w:rsidRDefault="004F64EF" w:rsidP="001F3C85">
            <w:pPr>
              <w:jc w:val="right"/>
              <w:rPr>
                <w:color w:val="000000"/>
                <w:sz w:val="14"/>
                <w:szCs w:val="14"/>
              </w:rPr>
            </w:pPr>
            <w:r w:rsidRPr="003003C0">
              <w:rPr>
                <w:color w:val="000000"/>
                <w:sz w:val="14"/>
                <w:szCs w:val="14"/>
              </w:rPr>
              <w:t>0</w:t>
            </w:r>
          </w:p>
        </w:tc>
      </w:tr>
      <w:tr w:rsidR="004F64EF" w:rsidRPr="003003C0" w14:paraId="2C9B5A88" w14:textId="77777777" w:rsidTr="001F3C85">
        <w:tc>
          <w:tcPr>
            <w:tcW w:w="1129" w:type="dxa"/>
            <w:hideMark/>
          </w:tcPr>
          <w:p w14:paraId="0BFABC42" w14:textId="77777777" w:rsidR="004F64EF" w:rsidRPr="003003C0" w:rsidRDefault="004F64EF" w:rsidP="001F3C85">
            <w:pPr>
              <w:jc w:val="center"/>
              <w:rPr>
                <w:color w:val="000000"/>
                <w:sz w:val="14"/>
                <w:szCs w:val="14"/>
              </w:rPr>
            </w:pPr>
            <w:r w:rsidRPr="003003C0">
              <w:rPr>
                <w:color w:val="000000"/>
                <w:sz w:val="14"/>
                <w:szCs w:val="14"/>
              </w:rPr>
              <w:t>9001.10.00</w:t>
            </w:r>
          </w:p>
        </w:tc>
        <w:tc>
          <w:tcPr>
            <w:tcW w:w="1276" w:type="dxa"/>
            <w:hideMark/>
          </w:tcPr>
          <w:p w14:paraId="2D14F104" w14:textId="77777777" w:rsidR="004F64EF" w:rsidRPr="003003C0" w:rsidRDefault="004F64EF" w:rsidP="001F3C85">
            <w:pPr>
              <w:jc w:val="center"/>
              <w:rPr>
                <w:color w:val="000000"/>
                <w:sz w:val="14"/>
                <w:szCs w:val="14"/>
              </w:rPr>
            </w:pPr>
            <w:r w:rsidRPr="003003C0">
              <w:rPr>
                <w:color w:val="000000"/>
                <w:sz w:val="14"/>
                <w:szCs w:val="14"/>
              </w:rPr>
              <w:t>90011000</w:t>
            </w:r>
          </w:p>
        </w:tc>
        <w:tc>
          <w:tcPr>
            <w:tcW w:w="425" w:type="dxa"/>
            <w:hideMark/>
          </w:tcPr>
          <w:p w14:paraId="176EF368" w14:textId="77777777" w:rsidR="004F64EF" w:rsidRPr="003003C0" w:rsidRDefault="004F64EF" w:rsidP="001F3C85">
            <w:pPr>
              <w:jc w:val="center"/>
              <w:rPr>
                <w:color w:val="000000"/>
                <w:sz w:val="14"/>
                <w:szCs w:val="14"/>
              </w:rPr>
            </w:pPr>
          </w:p>
        </w:tc>
        <w:tc>
          <w:tcPr>
            <w:tcW w:w="2622" w:type="dxa"/>
            <w:hideMark/>
          </w:tcPr>
          <w:p w14:paraId="167CA52A" w14:textId="77777777" w:rsidR="004F64EF" w:rsidRPr="003003C0" w:rsidRDefault="004F64EF" w:rsidP="001F3C85">
            <w:pPr>
              <w:jc w:val="left"/>
              <w:rPr>
                <w:color w:val="000000"/>
                <w:sz w:val="14"/>
                <w:szCs w:val="14"/>
              </w:rPr>
            </w:pPr>
            <w:r w:rsidRPr="009B31AA">
              <w:rPr>
                <w:color w:val="000000"/>
                <w:sz w:val="14"/>
                <w:szCs w:val="14"/>
              </w:rPr>
              <w:t>Optical fibres, optical fibre bundles and cables</w:t>
            </w:r>
          </w:p>
        </w:tc>
        <w:tc>
          <w:tcPr>
            <w:tcW w:w="2623" w:type="dxa"/>
            <w:hideMark/>
          </w:tcPr>
          <w:p w14:paraId="46D90191" w14:textId="77777777" w:rsidR="004F64EF" w:rsidRPr="003003C0" w:rsidRDefault="004F64EF" w:rsidP="001F3C85">
            <w:pPr>
              <w:jc w:val="left"/>
              <w:rPr>
                <w:color w:val="000000"/>
                <w:sz w:val="14"/>
                <w:szCs w:val="14"/>
              </w:rPr>
            </w:pPr>
            <w:r w:rsidRPr="00407966">
              <w:rPr>
                <w:color w:val="000000"/>
                <w:sz w:val="14"/>
                <w:szCs w:val="14"/>
              </w:rPr>
              <w:t>Optical fibres, optical fibre bundles and cables</w:t>
            </w:r>
          </w:p>
        </w:tc>
        <w:tc>
          <w:tcPr>
            <w:tcW w:w="475" w:type="dxa"/>
            <w:hideMark/>
          </w:tcPr>
          <w:p w14:paraId="0E1DF231" w14:textId="77777777" w:rsidR="004F64EF" w:rsidRPr="003003C0" w:rsidRDefault="004F64EF" w:rsidP="001F3C85">
            <w:pPr>
              <w:jc w:val="right"/>
              <w:rPr>
                <w:color w:val="000000"/>
                <w:sz w:val="14"/>
                <w:szCs w:val="14"/>
              </w:rPr>
            </w:pPr>
            <w:r w:rsidRPr="003003C0">
              <w:rPr>
                <w:color w:val="000000"/>
                <w:sz w:val="14"/>
                <w:szCs w:val="14"/>
              </w:rPr>
              <w:t>3</w:t>
            </w:r>
          </w:p>
        </w:tc>
        <w:tc>
          <w:tcPr>
            <w:tcW w:w="476" w:type="dxa"/>
            <w:hideMark/>
          </w:tcPr>
          <w:p w14:paraId="2DE10576" w14:textId="77777777" w:rsidR="004F64EF" w:rsidRPr="003003C0" w:rsidRDefault="004F64EF" w:rsidP="001F3C85">
            <w:pPr>
              <w:jc w:val="right"/>
              <w:rPr>
                <w:color w:val="000000"/>
                <w:sz w:val="14"/>
                <w:szCs w:val="14"/>
              </w:rPr>
            </w:pPr>
            <w:r w:rsidRPr="003003C0">
              <w:rPr>
                <w:color w:val="000000"/>
                <w:sz w:val="14"/>
                <w:szCs w:val="14"/>
              </w:rPr>
              <w:t>0</w:t>
            </w:r>
          </w:p>
        </w:tc>
      </w:tr>
      <w:tr w:rsidR="004F64EF" w:rsidRPr="003003C0" w14:paraId="3659C709" w14:textId="77777777" w:rsidTr="001F3C85">
        <w:trPr>
          <w:cnfStyle w:val="000000010000" w:firstRow="0" w:lastRow="0" w:firstColumn="0" w:lastColumn="0" w:oddVBand="0" w:evenVBand="0" w:oddHBand="0" w:evenHBand="1" w:firstRowFirstColumn="0" w:firstRowLastColumn="0" w:lastRowFirstColumn="0" w:lastRowLastColumn="0"/>
        </w:trPr>
        <w:tc>
          <w:tcPr>
            <w:tcW w:w="1129" w:type="dxa"/>
            <w:hideMark/>
          </w:tcPr>
          <w:p w14:paraId="5EECE500" w14:textId="77777777" w:rsidR="004F64EF" w:rsidRPr="003003C0" w:rsidRDefault="004F64EF" w:rsidP="001F3C85">
            <w:pPr>
              <w:jc w:val="center"/>
              <w:rPr>
                <w:color w:val="000000"/>
                <w:sz w:val="14"/>
                <w:szCs w:val="14"/>
              </w:rPr>
            </w:pPr>
            <w:r w:rsidRPr="003003C0">
              <w:rPr>
                <w:color w:val="000000"/>
                <w:sz w:val="14"/>
                <w:szCs w:val="14"/>
              </w:rPr>
              <w:t>9026.20.91</w:t>
            </w:r>
          </w:p>
        </w:tc>
        <w:tc>
          <w:tcPr>
            <w:tcW w:w="1276" w:type="dxa"/>
            <w:hideMark/>
          </w:tcPr>
          <w:p w14:paraId="411A29C9" w14:textId="77777777" w:rsidR="004F64EF" w:rsidRPr="003003C0" w:rsidRDefault="004F64EF" w:rsidP="001F3C85">
            <w:pPr>
              <w:jc w:val="center"/>
              <w:rPr>
                <w:color w:val="000000"/>
                <w:sz w:val="14"/>
                <w:szCs w:val="14"/>
              </w:rPr>
            </w:pPr>
            <w:r w:rsidRPr="003003C0">
              <w:rPr>
                <w:color w:val="000000"/>
                <w:sz w:val="14"/>
                <w:szCs w:val="14"/>
              </w:rPr>
              <w:t>90262091</w:t>
            </w:r>
          </w:p>
        </w:tc>
        <w:tc>
          <w:tcPr>
            <w:tcW w:w="425" w:type="dxa"/>
            <w:hideMark/>
          </w:tcPr>
          <w:p w14:paraId="23C1D65E" w14:textId="77777777" w:rsidR="004F64EF" w:rsidRPr="003003C0" w:rsidRDefault="004F64EF" w:rsidP="001F3C85">
            <w:pPr>
              <w:jc w:val="center"/>
              <w:rPr>
                <w:color w:val="000000"/>
                <w:sz w:val="14"/>
                <w:szCs w:val="14"/>
              </w:rPr>
            </w:pPr>
          </w:p>
        </w:tc>
        <w:tc>
          <w:tcPr>
            <w:tcW w:w="2622" w:type="dxa"/>
            <w:hideMark/>
          </w:tcPr>
          <w:p w14:paraId="5E499F86" w14:textId="77777777" w:rsidR="004F64EF" w:rsidRPr="003003C0" w:rsidRDefault="004F64EF" w:rsidP="001F3C85">
            <w:pPr>
              <w:jc w:val="left"/>
              <w:rPr>
                <w:color w:val="000000"/>
                <w:sz w:val="14"/>
                <w:szCs w:val="14"/>
              </w:rPr>
            </w:pPr>
            <w:r w:rsidRPr="007457DD">
              <w:rPr>
                <w:color w:val="000000"/>
                <w:sz w:val="14"/>
                <w:szCs w:val="14"/>
              </w:rPr>
              <w:t xml:space="preserve">Pressure gauges for measuring </w:t>
            </w:r>
            <w:r>
              <w:rPr>
                <w:color w:val="000000"/>
                <w:sz w:val="14"/>
                <w:szCs w:val="14"/>
              </w:rPr>
              <w:t xml:space="preserve">pneumatic </w:t>
            </w:r>
            <w:r w:rsidRPr="007457DD">
              <w:rPr>
                <w:color w:val="000000"/>
                <w:sz w:val="14"/>
                <w:szCs w:val="14"/>
              </w:rPr>
              <w:t>tyre pressure</w:t>
            </w:r>
          </w:p>
        </w:tc>
        <w:tc>
          <w:tcPr>
            <w:tcW w:w="2623" w:type="dxa"/>
            <w:hideMark/>
          </w:tcPr>
          <w:p w14:paraId="4979CD8B" w14:textId="77777777" w:rsidR="004F64EF" w:rsidRPr="003003C0" w:rsidRDefault="004F64EF" w:rsidP="001F3C85">
            <w:pPr>
              <w:jc w:val="left"/>
              <w:rPr>
                <w:color w:val="000000"/>
                <w:sz w:val="14"/>
                <w:szCs w:val="14"/>
              </w:rPr>
            </w:pPr>
            <w:r w:rsidRPr="00407966">
              <w:rPr>
                <w:color w:val="000000"/>
                <w:sz w:val="14"/>
                <w:szCs w:val="14"/>
              </w:rPr>
              <w:t>Pressure gauges for measuring pneumatic tyre pressure</w:t>
            </w:r>
          </w:p>
        </w:tc>
        <w:tc>
          <w:tcPr>
            <w:tcW w:w="475" w:type="dxa"/>
            <w:hideMark/>
          </w:tcPr>
          <w:p w14:paraId="60CF1C9E" w14:textId="77777777" w:rsidR="004F64EF" w:rsidRPr="003003C0" w:rsidRDefault="004F64EF" w:rsidP="001F3C85">
            <w:pPr>
              <w:jc w:val="right"/>
              <w:rPr>
                <w:color w:val="000000"/>
                <w:sz w:val="14"/>
                <w:szCs w:val="14"/>
              </w:rPr>
            </w:pPr>
            <w:r w:rsidRPr="003003C0">
              <w:rPr>
                <w:color w:val="000000"/>
                <w:sz w:val="14"/>
                <w:szCs w:val="14"/>
              </w:rPr>
              <w:t>3</w:t>
            </w:r>
          </w:p>
        </w:tc>
        <w:tc>
          <w:tcPr>
            <w:tcW w:w="476" w:type="dxa"/>
            <w:hideMark/>
          </w:tcPr>
          <w:p w14:paraId="0489D269" w14:textId="77777777" w:rsidR="004F64EF" w:rsidRPr="003003C0" w:rsidRDefault="004F64EF" w:rsidP="001F3C85">
            <w:pPr>
              <w:jc w:val="right"/>
              <w:rPr>
                <w:color w:val="000000"/>
                <w:sz w:val="14"/>
                <w:szCs w:val="14"/>
              </w:rPr>
            </w:pPr>
            <w:r w:rsidRPr="003003C0">
              <w:rPr>
                <w:color w:val="000000"/>
                <w:sz w:val="14"/>
                <w:szCs w:val="14"/>
              </w:rPr>
              <w:t>0</w:t>
            </w:r>
          </w:p>
        </w:tc>
      </w:tr>
      <w:tr w:rsidR="004F64EF" w:rsidRPr="003003C0" w14:paraId="4556B1E3" w14:textId="77777777" w:rsidTr="001F3C85">
        <w:tc>
          <w:tcPr>
            <w:tcW w:w="2405" w:type="dxa"/>
            <w:gridSpan w:val="2"/>
            <w:noWrap/>
            <w:hideMark/>
          </w:tcPr>
          <w:p w14:paraId="2D356349" w14:textId="77777777" w:rsidR="004F64EF" w:rsidRPr="003003C0" w:rsidRDefault="004F64EF" w:rsidP="001F3C85">
            <w:pPr>
              <w:keepNext/>
              <w:jc w:val="left"/>
              <w:rPr>
                <w:b/>
                <w:bCs/>
                <w:color w:val="000000"/>
                <w:sz w:val="14"/>
                <w:szCs w:val="14"/>
              </w:rPr>
            </w:pPr>
            <w:r w:rsidRPr="003003C0">
              <w:rPr>
                <w:b/>
                <w:bCs/>
                <w:color w:val="000000"/>
                <w:sz w:val="14"/>
                <w:szCs w:val="14"/>
              </w:rPr>
              <w:t>Part</w:t>
            </w:r>
            <w:r>
              <w:rPr>
                <w:b/>
                <w:bCs/>
                <w:color w:val="000000"/>
                <w:sz w:val="14"/>
                <w:szCs w:val="14"/>
              </w:rPr>
              <w:t xml:space="preserve"> of line</w:t>
            </w:r>
          </w:p>
        </w:tc>
        <w:tc>
          <w:tcPr>
            <w:tcW w:w="425" w:type="dxa"/>
            <w:hideMark/>
          </w:tcPr>
          <w:p w14:paraId="742EB824" w14:textId="77777777" w:rsidR="004F64EF" w:rsidRPr="003003C0" w:rsidRDefault="004F64EF" w:rsidP="001F3C85">
            <w:pPr>
              <w:keepNext/>
              <w:rPr>
                <w:b/>
                <w:bCs/>
                <w:color w:val="000000"/>
                <w:sz w:val="14"/>
                <w:szCs w:val="14"/>
              </w:rPr>
            </w:pPr>
          </w:p>
        </w:tc>
        <w:tc>
          <w:tcPr>
            <w:tcW w:w="2622" w:type="dxa"/>
            <w:hideMark/>
          </w:tcPr>
          <w:p w14:paraId="3F5B2800" w14:textId="77777777" w:rsidR="004F64EF" w:rsidRPr="003003C0" w:rsidRDefault="004F64EF" w:rsidP="001F3C85">
            <w:pPr>
              <w:keepNext/>
              <w:jc w:val="left"/>
              <w:rPr>
                <w:sz w:val="14"/>
                <w:szCs w:val="14"/>
              </w:rPr>
            </w:pPr>
          </w:p>
        </w:tc>
        <w:tc>
          <w:tcPr>
            <w:tcW w:w="2623" w:type="dxa"/>
            <w:hideMark/>
          </w:tcPr>
          <w:p w14:paraId="271A69A2" w14:textId="77777777" w:rsidR="004F64EF" w:rsidRPr="003003C0" w:rsidRDefault="004F64EF" w:rsidP="001F3C85">
            <w:pPr>
              <w:keepNext/>
              <w:jc w:val="left"/>
              <w:rPr>
                <w:sz w:val="14"/>
                <w:szCs w:val="14"/>
              </w:rPr>
            </w:pPr>
          </w:p>
        </w:tc>
        <w:tc>
          <w:tcPr>
            <w:tcW w:w="475" w:type="dxa"/>
            <w:hideMark/>
          </w:tcPr>
          <w:p w14:paraId="3B533954" w14:textId="77777777" w:rsidR="004F64EF" w:rsidRPr="003003C0" w:rsidRDefault="004F64EF" w:rsidP="001F3C85">
            <w:pPr>
              <w:keepNext/>
              <w:jc w:val="right"/>
              <w:rPr>
                <w:sz w:val="14"/>
                <w:szCs w:val="14"/>
              </w:rPr>
            </w:pPr>
          </w:p>
        </w:tc>
        <w:tc>
          <w:tcPr>
            <w:tcW w:w="476" w:type="dxa"/>
            <w:hideMark/>
          </w:tcPr>
          <w:p w14:paraId="02CB1E51" w14:textId="77777777" w:rsidR="004F64EF" w:rsidRPr="003003C0" w:rsidRDefault="004F64EF" w:rsidP="001F3C85">
            <w:pPr>
              <w:keepNext/>
              <w:jc w:val="right"/>
              <w:rPr>
                <w:sz w:val="14"/>
                <w:szCs w:val="14"/>
              </w:rPr>
            </w:pPr>
          </w:p>
        </w:tc>
      </w:tr>
      <w:tr w:rsidR="004F64EF" w:rsidRPr="003003C0" w14:paraId="7AD3F4D6" w14:textId="77777777" w:rsidTr="001F3C85">
        <w:trPr>
          <w:cnfStyle w:val="000000010000" w:firstRow="0" w:lastRow="0" w:firstColumn="0" w:lastColumn="0" w:oddVBand="0" w:evenVBand="0" w:oddHBand="0" w:evenHBand="1" w:firstRowFirstColumn="0" w:firstRowLastColumn="0" w:lastRowFirstColumn="0" w:lastRowLastColumn="0"/>
        </w:trPr>
        <w:tc>
          <w:tcPr>
            <w:tcW w:w="1129" w:type="dxa"/>
            <w:hideMark/>
          </w:tcPr>
          <w:p w14:paraId="29F32E9B" w14:textId="77777777" w:rsidR="004F64EF" w:rsidRPr="003003C0" w:rsidRDefault="004F64EF" w:rsidP="001F3C85">
            <w:pPr>
              <w:jc w:val="center"/>
              <w:rPr>
                <w:color w:val="000000"/>
                <w:sz w:val="14"/>
                <w:szCs w:val="14"/>
              </w:rPr>
            </w:pPr>
            <w:r w:rsidRPr="003003C0">
              <w:rPr>
                <w:color w:val="000000"/>
                <w:sz w:val="14"/>
                <w:szCs w:val="14"/>
              </w:rPr>
              <w:t>3825.30.00</w:t>
            </w:r>
          </w:p>
        </w:tc>
        <w:tc>
          <w:tcPr>
            <w:tcW w:w="1276" w:type="dxa"/>
            <w:hideMark/>
          </w:tcPr>
          <w:p w14:paraId="714FB251" w14:textId="77777777" w:rsidR="004F64EF" w:rsidRPr="003003C0" w:rsidRDefault="004F64EF" w:rsidP="001F3C85">
            <w:pPr>
              <w:jc w:val="center"/>
              <w:rPr>
                <w:color w:val="000000"/>
                <w:sz w:val="14"/>
                <w:szCs w:val="14"/>
              </w:rPr>
            </w:pPr>
            <w:r w:rsidRPr="003003C0">
              <w:rPr>
                <w:color w:val="000000"/>
                <w:sz w:val="14"/>
                <w:szCs w:val="14"/>
              </w:rPr>
              <w:t>3825.30.00</w:t>
            </w:r>
          </w:p>
        </w:tc>
        <w:tc>
          <w:tcPr>
            <w:tcW w:w="425" w:type="dxa"/>
            <w:hideMark/>
          </w:tcPr>
          <w:p w14:paraId="1978CE9B" w14:textId="77777777" w:rsidR="004F64EF" w:rsidRPr="003003C0" w:rsidRDefault="004F64EF" w:rsidP="001F3C85">
            <w:pPr>
              <w:jc w:val="center"/>
              <w:rPr>
                <w:color w:val="000000"/>
                <w:sz w:val="14"/>
                <w:szCs w:val="14"/>
              </w:rPr>
            </w:pPr>
          </w:p>
        </w:tc>
        <w:tc>
          <w:tcPr>
            <w:tcW w:w="2622" w:type="dxa"/>
            <w:hideMark/>
          </w:tcPr>
          <w:p w14:paraId="4A9AC97B" w14:textId="77777777" w:rsidR="004F64EF" w:rsidRPr="003003C0" w:rsidRDefault="004F64EF" w:rsidP="001F3C85">
            <w:pPr>
              <w:jc w:val="left"/>
              <w:rPr>
                <w:color w:val="000000"/>
                <w:sz w:val="14"/>
                <w:szCs w:val="14"/>
              </w:rPr>
            </w:pPr>
            <w:r w:rsidRPr="007457DD">
              <w:rPr>
                <w:color w:val="000000"/>
                <w:sz w:val="14"/>
                <w:szCs w:val="14"/>
              </w:rPr>
              <w:t>Clinical waste</w:t>
            </w:r>
          </w:p>
        </w:tc>
        <w:tc>
          <w:tcPr>
            <w:tcW w:w="2623" w:type="dxa"/>
            <w:tcBorders>
              <w:bottom w:val="nil"/>
            </w:tcBorders>
            <w:hideMark/>
          </w:tcPr>
          <w:p w14:paraId="2F303DDD" w14:textId="77777777" w:rsidR="004F64EF" w:rsidRPr="003003C0" w:rsidRDefault="004F64EF" w:rsidP="001F3C85">
            <w:pPr>
              <w:jc w:val="left"/>
              <w:rPr>
                <w:color w:val="000000"/>
                <w:sz w:val="14"/>
                <w:szCs w:val="14"/>
              </w:rPr>
            </w:pPr>
            <w:r w:rsidRPr="00407966">
              <w:rPr>
                <w:color w:val="000000"/>
                <w:sz w:val="14"/>
                <w:szCs w:val="14"/>
              </w:rPr>
              <w:t>Clinical waste</w:t>
            </w:r>
          </w:p>
        </w:tc>
        <w:tc>
          <w:tcPr>
            <w:tcW w:w="475" w:type="dxa"/>
            <w:tcBorders>
              <w:bottom w:val="nil"/>
            </w:tcBorders>
            <w:hideMark/>
          </w:tcPr>
          <w:p w14:paraId="68C21A61" w14:textId="77777777" w:rsidR="004F64EF" w:rsidRPr="003003C0" w:rsidRDefault="004F64EF" w:rsidP="001F3C85">
            <w:pPr>
              <w:jc w:val="right"/>
              <w:rPr>
                <w:color w:val="000000"/>
                <w:sz w:val="14"/>
                <w:szCs w:val="14"/>
              </w:rPr>
            </w:pPr>
          </w:p>
        </w:tc>
        <w:tc>
          <w:tcPr>
            <w:tcW w:w="476" w:type="dxa"/>
            <w:tcBorders>
              <w:bottom w:val="nil"/>
            </w:tcBorders>
            <w:hideMark/>
          </w:tcPr>
          <w:p w14:paraId="797AE5EF" w14:textId="77777777" w:rsidR="004F64EF" w:rsidRPr="003003C0" w:rsidRDefault="004F64EF" w:rsidP="001F3C85">
            <w:pPr>
              <w:jc w:val="right"/>
              <w:rPr>
                <w:sz w:val="14"/>
                <w:szCs w:val="14"/>
              </w:rPr>
            </w:pPr>
          </w:p>
        </w:tc>
      </w:tr>
      <w:tr w:rsidR="004F64EF" w:rsidRPr="003003C0" w14:paraId="22CB637D" w14:textId="77777777" w:rsidTr="001F3C85">
        <w:tc>
          <w:tcPr>
            <w:tcW w:w="1129" w:type="dxa"/>
            <w:hideMark/>
          </w:tcPr>
          <w:p w14:paraId="3064AF0D" w14:textId="77777777" w:rsidR="004F64EF" w:rsidRPr="003003C0" w:rsidRDefault="004F64EF" w:rsidP="001F3C85">
            <w:pPr>
              <w:jc w:val="center"/>
              <w:rPr>
                <w:sz w:val="14"/>
                <w:szCs w:val="14"/>
              </w:rPr>
            </w:pPr>
          </w:p>
        </w:tc>
        <w:tc>
          <w:tcPr>
            <w:tcW w:w="1276" w:type="dxa"/>
            <w:hideMark/>
          </w:tcPr>
          <w:p w14:paraId="219C6290" w14:textId="77777777" w:rsidR="004F64EF" w:rsidRPr="003003C0" w:rsidRDefault="004F64EF" w:rsidP="001F3C85">
            <w:pPr>
              <w:jc w:val="center"/>
              <w:rPr>
                <w:color w:val="000000"/>
                <w:sz w:val="14"/>
                <w:szCs w:val="14"/>
              </w:rPr>
            </w:pPr>
            <w:r w:rsidRPr="003003C0">
              <w:rPr>
                <w:color w:val="000000"/>
                <w:sz w:val="14"/>
                <w:szCs w:val="14"/>
              </w:rPr>
              <w:t>3825.30.00</w:t>
            </w:r>
          </w:p>
        </w:tc>
        <w:tc>
          <w:tcPr>
            <w:tcW w:w="425" w:type="dxa"/>
            <w:hideMark/>
          </w:tcPr>
          <w:p w14:paraId="077DE3D1" w14:textId="77777777" w:rsidR="004F64EF" w:rsidRPr="003003C0" w:rsidRDefault="004F64EF" w:rsidP="001F3C85">
            <w:pPr>
              <w:jc w:val="center"/>
              <w:rPr>
                <w:color w:val="000000"/>
                <w:sz w:val="14"/>
                <w:szCs w:val="14"/>
              </w:rPr>
            </w:pPr>
            <w:r w:rsidRPr="003003C0">
              <w:rPr>
                <w:color w:val="000000"/>
                <w:sz w:val="14"/>
                <w:szCs w:val="14"/>
              </w:rPr>
              <w:t>01</w:t>
            </w:r>
          </w:p>
        </w:tc>
        <w:tc>
          <w:tcPr>
            <w:tcW w:w="2622" w:type="dxa"/>
            <w:hideMark/>
          </w:tcPr>
          <w:p w14:paraId="03997091" w14:textId="77777777" w:rsidR="004F64EF" w:rsidRPr="003003C0" w:rsidRDefault="004F64EF" w:rsidP="001F3C85">
            <w:pPr>
              <w:jc w:val="left"/>
              <w:rPr>
                <w:color w:val="000000"/>
                <w:sz w:val="14"/>
                <w:szCs w:val="14"/>
              </w:rPr>
            </w:pPr>
          </w:p>
        </w:tc>
        <w:tc>
          <w:tcPr>
            <w:tcW w:w="2623" w:type="dxa"/>
            <w:tcBorders>
              <w:top w:val="nil"/>
              <w:bottom w:val="nil"/>
            </w:tcBorders>
            <w:shd w:val="clear" w:color="auto" w:fill="E4E4E4"/>
            <w:hideMark/>
          </w:tcPr>
          <w:p w14:paraId="30802186" w14:textId="77777777" w:rsidR="004F64EF" w:rsidRPr="003003C0" w:rsidRDefault="004F64EF" w:rsidP="001F3C85">
            <w:pPr>
              <w:jc w:val="left"/>
              <w:rPr>
                <w:color w:val="000000"/>
                <w:sz w:val="14"/>
                <w:szCs w:val="14"/>
              </w:rPr>
            </w:pPr>
            <w:r w:rsidRPr="003003C0">
              <w:rPr>
                <w:color w:val="000000"/>
                <w:sz w:val="14"/>
                <w:szCs w:val="14"/>
              </w:rPr>
              <w:t xml:space="preserve">- </w:t>
            </w:r>
            <w:r w:rsidRPr="00407966">
              <w:rPr>
                <w:color w:val="000000"/>
                <w:sz w:val="14"/>
                <w:szCs w:val="14"/>
              </w:rPr>
              <w:t>Wadding, gauze, bandages and similar articles (for example, dressings, adhesive plasters, poultices), impregnated or coated with pharmaceutical substances or put up in forms or packings for retail sale for medical, surgical, dental or veterinary purposes</w:t>
            </w:r>
          </w:p>
        </w:tc>
        <w:tc>
          <w:tcPr>
            <w:tcW w:w="475" w:type="dxa"/>
            <w:tcBorders>
              <w:top w:val="nil"/>
              <w:bottom w:val="nil"/>
            </w:tcBorders>
            <w:shd w:val="clear" w:color="auto" w:fill="E4E4E4"/>
            <w:hideMark/>
          </w:tcPr>
          <w:p w14:paraId="3E92EA05" w14:textId="77777777" w:rsidR="004F64EF" w:rsidRPr="003003C0" w:rsidRDefault="004F64EF" w:rsidP="001F3C85">
            <w:pPr>
              <w:jc w:val="right"/>
              <w:rPr>
                <w:color w:val="000000"/>
                <w:sz w:val="14"/>
                <w:szCs w:val="14"/>
              </w:rPr>
            </w:pPr>
            <w:r w:rsidRPr="003003C0">
              <w:rPr>
                <w:color w:val="000000"/>
                <w:sz w:val="14"/>
                <w:szCs w:val="14"/>
              </w:rPr>
              <w:t>20</w:t>
            </w:r>
          </w:p>
        </w:tc>
        <w:tc>
          <w:tcPr>
            <w:tcW w:w="476" w:type="dxa"/>
            <w:tcBorders>
              <w:top w:val="nil"/>
              <w:bottom w:val="nil"/>
            </w:tcBorders>
            <w:shd w:val="clear" w:color="auto" w:fill="E4E4E4"/>
            <w:hideMark/>
          </w:tcPr>
          <w:p w14:paraId="2528A194" w14:textId="77777777" w:rsidR="004F64EF" w:rsidRPr="003003C0" w:rsidRDefault="004F64EF" w:rsidP="001F3C85">
            <w:pPr>
              <w:jc w:val="right"/>
              <w:rPr>
                <w:color w:val="000000"/>
                <w:sz w:val="14"/>
                <w:szCs w:val="14"/>
              </w:rPr>
            </w:pPr>
            <w:r w:rsidRPr="003003C0">
              <w:rPr>
                <w:color w:val="000000"/>
                <w:sz w:val="14"/>
                <w:szCs w:val="14"/>
              </w:rPr>
              <w:t>15</w:t>
            </w:r>
          </w:p>
        </w:tc>
      </w:tr>
      <w:tr w:rsidR="004F64EF" w:rsidRPr="003003C0" w14:paraId="2574296A" w14:textId="77777777" w:rsidTr="001F3C85">
        <w:trPr>
          <w:cnfStyle w:val="000000010000" w:firstRow="0" w:lastRow="0" w:firstColumn="0" w:lastColumn="0" w:oddVBand="0" w:evenVBand="0" w:oddHBand="0" w:evenHBand="1" w:firstRowFirstColumn="0" w:firstRowLastColumn="0" w:lastRowFirstColumn="0" w:lastRowLastColumn="0"/>
        </w:trPr>
        <w:tc>
          <w:tcPr>
            <w:tcW w:w="1129" w:type="dxa"/>
            <w:hideMark/>
          </w:tcPr>
          <w:p w14:paraId="6FB47924" w14:textId="77777777" w:rsidR="004F64EF" w:rsidRPr="003003C0" w:rsidRDefault="004F64EF" w:rsidP="001F3C85">
            <w:pPr>
              <w:jc w:val="center"/>
              <w:rPr>
                <w:color w:val="000000"/>
                <w:sz w:val="14"/>
                <w:szCs w:val="14"/>
              </w:rPr>
            </w:pPr>
          </w:p>
        </w:tc>
        <w:tc>
          <w:tcPr>
            <w:tcW w:w="1276" w:type="dxa"/>
            <w:hideMark/>
          </w:tcPr>
          <w:p w14:paraId="799845E6" w14:textId="77777777" w:rsidR="004F64EF" w:rsidRPr="003003C0" w:rsidRDefault="004F64EF" w:rsidP="001F3C85">
            <w:pPr>
              <w:jc w:val="center"/>
              <w:rPr>
                <w:color w:val="000000"/>
                <w:sz w:val="14"/>
                <w:szCs w:val="14"/>
              </w:rPr>
            </w:pPr>
            <w:r w:rsidRPr="003003C0">
              <w:rPr>
                <w:color w:val="000000"/>
                <w:sz w:val="14"/>
                <w:szCs w:val="14"/>
              </w:rPr>
              <w:t>3825.30.00</w:t>
            </w:r>
          </w:p>
        </w:tc>
        <w:tc>
          <w:tcPr>
            <w:tcW w:w="425" w:type="dxa"/>
            <w:hideMark/>
          </w:tcPr>
          <w:p w14:paraId="61BE7114" w14:textId="77777777" w:rsidR="004F64EF" w:rsidRPr="003003C0" w:rsidRDefault="004F64EF" w:rsidP="001F3C85">
            <w:pPr>
              <w:jc w:val="center"/>
              <w:rPr>
                <w:color w:val="000000"/>
                <w:sz w:val="14"/>
                <w:szCs w:val="14"/>
              </w:rPr>
            </w:pPr>
            <w:r w:rsidRPr="003003C0">
              <w:rPr>
                <w:color w:val="000000"/>
                <w:sz w:val="14"/>
                <w:szCs w:val="14"/>
              </w:rPr>
              <w:t>02</w:t>
            </w:r>
          </w:p>
        </w:tc>
        <w:tc>
          <w:tcPr>
            <w:tcW w:w="2622" w:type="dxa"/>
            <w:hideMark/>
          </w:tcPr>
          <w:p w14:paraId="6204F517" w14:textId="77777777" w:rsidR="004F64EF" w:rsidRPr="003003C0" w:rsidRDefault="004F64EF" w:rsidP="001F3C85">
            <w:pPr>
              <w:jc w:val="left"/>
              <w:rPr>
                <w:color w:val="000000"/>
                <w:sz w:val="14"/>
                <w:szCs w:val="14"/>
              </w:rPr>
            </w:pPr>
          </w:p>
        </w:tc>
        <w:tc>
          <w:tcPr>
            <w:tcW w:w="2623" w:type="dxa"/>
            <w:tcBorders>
              <w:top w:val="nil"/>
            </w:tcBorders>
            <w:hideMark/>
          </w:tcPr>
          <w:p w14:paraId="733B519D" w14:textId="77777777" w:rsidR="004F64EF" w:rsidRPr="003003C0" w:rsidRDefault="004F64EF" w:rsidP="001F3C85">
            <w:pPr>
              <w:jc w:val="left"/>
              <w:rPr>
                <w:color w:val="000000"/>
                <w:sz w:val="14"/>
                <w:szCs w:val="14"/>
              </w:rPr>
            </w:pPr>
            <w:r w:rsidRPr="003003C0">
              <w:rPr>
                <w:color w:val="000000"/>
                <w:sz w:val="14"/>
                <w:szCs w:val="14"/>
              </w:rPr>
              <w:t xml:space="preserve">- </w:t>
            </w:r>
            <w:r w:rsidRPr="000B20E2">
              <w:rPr>
                <w:color w:val="000000"/>
                <w:sz w:val="14"/>
                <w:szCs w:val="14"/>
              </w:rPr>
              <w:t>Surgical gloves</w:t>
            </w:r>
          </w:p>
        </w:tc>
        <w:tc>
          <w:tcPr>
            <w:tcW w:w="475" w:type="dxa"/>
            <w:tcBorders>
              <w:top w:val="nil"/>
            </w:tcBorders>
            <w:hideMark/>
          </w:tcPr>
          <w:p w14:paraId="45B6E135" w14:textId="77777777" w:rsidR="004F64EF" w:rsidRPr="003003C0" w:rsidRDefault="004F64EF" w:rsidP="001F3C85">
            <w:pPr>
              <w:jc w:val="right"/>
              <w:rPr>
                <w:color w:val="000000"/>
                <w:sz w:val="14"/>
                <w:szCs w:val="14"/>
              </w:rPr>
            </w:pPr>
            <w:r w:rsidRPr="003003C0">
              <w:rPr>
                <w:color w:val="000000"/>
                <w:sz w:val="14"/>
                <w:szCs w:val="14"/>
              </w:rPr>
              <w:t>20</w:t>
            </w:r>
          </w:p>
        </w:tc>
        <w:tc>
          <w:tcPr>
            <w:tcW w:w="476" w:type="dxa"/>
            <w:tcBorders>
              <w:top w:val="nil"/>
            </w:tcBorders>
            <w:hideMark/>
          </w:tcPr>
          <w:p w14:paraId="13EA7AC2" w14:textId="77777777" w:rsidR="004F64EF" w:rsidRPr="003003C0" w:rsidRDefault="004F64EF" w:rsidP="001F3C85">
            <w:pPr>
              <w:jc w:val="right"/>
              <w:rPr>
                <w:color w:val="000000"/>
                <w:sz w:val="14"/>
                <w:szCs w:val="14"/>
              </w:rPr>
            </w:pPr>
            <w:r w:rsidRPr="003003C0">
              <w:rPr>
                <w:color w:val="000000"/>
                <w:sz w:val="14"/>
                <w:szCs w:val="14"/>
              </w:rPr>
              <w:t>40</w:t>
            </w:r>
          </w:p>
        </w:tc>
      </w:tr>
      <w:tr w:rsidR="004F64EF" w:rsidRPr="003003C0" w14:paraId="175E8929" w14:textId="77777777" w:rsidTr="001F3C85">
        <w:tc>
          <w:tcPr>
            <w:tcW w:w="1129" w:type="dxa"/>
            <w:hideMark/>
          </w:tcPr>
          <w:p w14:paraId="74657F2D" w14:textId="77777777" w:rsidR="004F64EF" w:rsidRPr="003003C0" w:rsidRDefault="004F64EF" w:rsidP="001F3C85">
            <w:pPr>
              <w:jc w:val="center"/>
              <w:rPr>
                <w:color w:val="000000"/>
                <w:sz w:val="14"/>
                <w:szCs w:val="14"/>
              </w:rPr>
            </w:pPr>
          </w:p>
        </w:tc>
        <w:tc>
          <w:tcPr>
            <w:tcW w:w="1276" w:type="dxa"/>
            <w:hideMark/>
          </w:tcPr>
          <w:p w14:paraId="74CCDFF9" w14:textId="77777777" w:rsidR="004F64EF" w:rsidRPr="003003C0" w:rsidRDefault="004F64EF" w:rsidP="001F3C85">
            <w:pPr>
              <w:jc w:val="center"/>
              <w:rPr>
                <w:color w:val="000000"/>
                <w:sz w:val="14"/>
                <w:szCs w:val="14"/>
              </w:rPr>
            </w:pPr>
            <w:r w:rsidRPr="003003C0">
              <w:rPr>
                <w:color w:val="000000"/>
                <w:sz w:val="14"/>
                <w:szCs w:val="14"/>
              </w:rPr>
              <w:t>3825.30.00</w:t>
            </w:r>
          </w:p>
        </w:tc>
        <w:tc>
          <w:tcPr>
            <w:tcW w:w="425" w:type="dxa"/>
            <w:hideMark/>
          </w:tcPr>
          <w:p w14:paraId="72B952C2" w14:textId="77777777" w:rsidR="004F64EF" w:rsidRPr="003003C0" w:rsidRDefault="004F64EF" w:rsidP="001F3C85">
            <w:pPr>
              <w:jc w:val="center"/>
              <w:rPr>
                <w:color w:val="000000"/>
                <w:sz w:val="14"/>
                <w:szCs w:val="14"/>
              </w:rPr>
            </w:pPr>
            <w:r w:rsidRPr="003003C0">
              <w:rPr>
                <w:color w:val="000000"/>
                <w:sz w:val="14"/>
                <w:szCs w:val="14"/>
              </w:rPr>
              <w:t>03</w:t>
            </w:r>
          </w:p>
        </w:tc>
        <w:tc>
          <w:tcPr>
            <w:tcW w:w="2622" w:type="dxa"/>
            <w:hideMark/>
          </w:tcPr>
          <w:p w14:paraId="4AA8CDB1" w14:textId="77777777" w:rsidR="004F64EF" w:rsidRPr="003003C0" w:rsidRDefault="004F64EF" w:rsidP="001F3C85">
            <w:pPr>
              <w:jc w:val="left"/>
              <w:rPr>
                <w:color w:val="000000"/>
                <w:sz w:val="14"/>
                <w:szCs w:val="14"/>
              </w:rPr>
            </w:pPr>
          </w:p>
        </w:tc>
        <w:tc>
          <w:tcPr>
            <w:tcW w:w="2623" w:type="dxa"/>
            <w:hideMark/>
          </w:tcPr>
          <w:p w14:paraId="48E7EAD3" w14:textId="77777777" w:rsidR="004F64EF" w:rsidRPr="003003C0" w:rsidRDefault="004F64EF" w:rsidP="001F3C85">
            <w:pPr>
              <w:jc w:val="left"/>
              <w:rPr>
                <w:color w:val="000000"/>
                <w:sz w:val="14"/>
                <w:szCs w:val="14"/>
              </w:rPr>
            </w:pPr>
            <w:r w:rsidRPr="003003C0">
              <w:rPr>
                <w:color w:val="000000"/>
                <w:sz w:val="14"/>
                <w:szCs w:val="14"/>
              </w:rPr>
              <w:t xml:space="preserve">- </w:t>
            </w:r>
            <w:r w:rsidRPr="000B20E2">
              <w:rPr>
                <w:color w:val="000000"/>
                <w:sz w:val="14"/>
                <w:szCs w:val="14"/>
              </w:rPr>
              <w:t xml:space="preserve">Syringes, needles, catheters, </w:t>
            </w:r>
            <w:proofErr w:type="spellStart"/>
            <w:r w:rsidRPr="000B20E2">
              <w:rPr>
                <w:color w:val="000000"/>
                <w:sz w:val="14"/>
                <w:szCs w:val="14"/>
              </w:rPr>
              <w:t>cannulae</w:t>
            </w:r>
            <w:proofErr w:type="spellEnd"/>
            <w:r w:rsidRPr="000B20E2">
              <w:rPr>
                <w:color w:val="000000"/>
                <w:sz w:val="14"/>
                <w:szCs w:val="14"/>
              </w:rPr>
              <w:t xml:space="preserve"> and the like</w:t>
            </w:r>
          </w:p>
        </w:tc>
        <w:tc>
          <w:tcPr>
            <w:tcW w:w="475" w:type="dxa"/>
            <w:hideMark/>
          </w:tcPr>
          <w:p w14:paraId="04286D3C" w14:textId="77777777" w:rsidR="004F64EF" w:rsidRPr="003003C0" w:rsidRDefault="004F64EF" w:rsidP="001F3C85">
            <w:pPr>
              <w:jc w:val="right"/>
              <w:rPr>
                <w:color w:val="000000"/>
                <w:sz w:val="14"/>
                <w:szCs w:val="14"/>
              </w:rPr>
            </w:pPr>
            <w:r w:rsidRPr="003003C0">
              <w:rPr>
                <w:color w:val="000000"/>
                <w:sz w:val="14"/>
                <w:szCs w:val="14"/>
              </w:rPr>
              <w:t>20</w:t>
            </w:r>
          </w:p>
        </w:tc>
        <w:tc>
          <w:tcPr>
            <w:tcW w:w="476" w:type="dxa"/>
            <w:hideMark/>
          </w:tcPr>
          <w:p w14:paraId="1DF33C57" w14:textId="77777777" w:rsidR="004F64EF" w:rsidRPr="003003C0" w:rsidRDefault="004F64EF" w:rsidP="001F3C85">
            <w:pPr>
              <w:jc w:val="right"/>
              <w:rPr>
                <w:color w:val="000000"/>
                <w:sz w:val="14"/>
                <w:szCs w:val="14"/>
              </w:rPr>
            </w:pPr>
            <w:r w:rsidRPr="003003C0">
              <w:rPr>
                <w:color w:val="000000"/>
                <w:sz w:val="14"/>
                <w:szCs w:val="14"/>
              </w:rPr>
              <w:t>40</w:t>
            </w:r>
          </w:p>
        </w:tc>
      </w:tr>
      <w:tr w:rsidR="004F64EF" w:rsidRPr="003003C0" w14:paraId="2FD2986E" w14:textId="77777777" w:rsidTr="001F3C85">
        <w:trPr>
          <w:cnfStyle w:val="000000010000" w:firstRow="0" w:lastRow="0" w:firstColumn="0" w:lastColumn="0" w:oddVBand="0" w:evenVBand="0" w:oddHBand="0" w:evenHBand="1" w:firstRowFirstColumn="0" w:firstRowLastColumn="0" w:lastRowFirstColumn="0" w:lastRowLastColumn="0"/>
        </w:trPr>
        <w:tc>
          <w:tcPr>
            <w:tcW w:w="1129" w:type="dxa"/>
            <w:tcBorders>
              <w:bottom w:val="nil"/>
            </w:tcBorders>
            <w:hideMark/>
          </w:tcPr>
          <w:p w14:paraId="20C09C2C" w14:textId="77777777" w:rsidR="004F64EF" w:rsidRPr="003003C0" w:rsidRDefault="004F64EF" w:rsidP="001F3C85">
            <w:pPr>
              <w:jc w:val="center"/>
              <w:rPr>
                <w:color w:val="000000"/>
                <w:sz w:val="14"/>
                <w:szCs w:val="14"/>
              </w:rPr>
            </w:pPr>
          </w:p>
        </w:tc>
        <w:tc>
          <w:tcPr>
            <w:tcW w:w="1276" w:type="dxa"/>
            <w:tcBorders>
              <w:bottom w:val="nil"/>
            </w:tcBorders>
            <w:hideMark/>
          </w:tcPr>
          <w:p w14:paraId="18341941" w14:textId="77777777" w:rsidR="004F64EF" w:rsidRPr="003003C0" w:rsidRDefault="004F64EF" w:rsidP="001F3C85">
            <w:pPr>
              <w:jc w:val="center"/>
              <w:rPr>
                <w:color w:val="000000"/>
                <w:sz w:val="14"/>
                <w:szCs w:val="14"/>
              </w:rPr>
            </w:pPr>
            <w:r w:rsidRPr="003003C0">
              <w:rPr>
                <w:color w:val="000000"/>
                <w:sz w:val="14"/>
                <w:szCs w:val="14"/>
              </w:rPr>
              <w:t>3825.30.00</w:t>
            </w:r>
          </w:p>
        </w:tc>
        <w:tc>
          <w:tcPr>
            <w:tcW w:w="425" w:type="dxa"/>
            <w:tcBorders>
              <w:bottom w:val="nil"/>
            </w:tcBorders>
            <w:hideMark/>
          </w:tcPr>
          <w:p w14:paraId="21B9A137" w14:textId="77777777" w:rsidR="004F64EF" w:rsidRPr="003003C0" w:rsidRDefault="004F64EF" w:rsidP="001F3C85">
            <w:pPr>
              <w:jc w:val="center"/>
              <w:rPr>
                <w:color w:val="000000"/>
                <w:sz w:val="14"/>
                <w:szCs w:val="14"/>
              </w:rPr>
            </w:pPr>
            <w:r w:rsidRPr="003003C0">
              <w:rPr>
                <w:color w:val="000000"/>
                <w:sz w:val="14"/>
                <w:szCs w:val="14"/>
              </w:rPr>
              <w:t>04</w:t>
            </w:r>
          </w:p>
        </w:tc>
        <w:tc>
          <w:tcPr>
            <w:tcW w:w="2622" w:type="dxa"/>
            <w:tcBorders>
              <w:bottom w:val="nil"/>
            </w:tcBorders>
            <w:hideMark/>
          </w:tcPr>
          <w:p w14:paraId="696A8336" w14:textId="77777777" w:rsidR="004F64EF" w:rsidRPr="003003C0" w:rsidRDefault="004F64EF" w:rsidP="001F3C85">
            <w:pPr>
              <w:jc w:val="left"/>
              <w:rPr>
                <w:color w:val="000000"/>
                <w:sz w:val="14"/>
                <w:szCs w:val="14"/>
              </w:rPr>
            </w:pPr>
          </w:p>
        </w:tc>
        <w:tc>
          <w:tcPr>
            <w:tcW w:w="2623" w:type="dxa"/>
            <w:tcBorders>
              <w:bottom w:val="nil"/>
            </w:tcBorders>
            <w:hideMark/>
          </w:tcPr>
          <w:p w14:paraId="36388C5A" w14:textId="77777777" w:rsidR="004F64EF" w:rsidRPr="003003C0" w:rsidRDefault="004F64EF" w:rsidP="001F3C85">
            <w:pPr>
              <w:jc w:val="left"/>
              <w:rPr>
                <w:color w:val="000000"/>
                <w:sz w:val="14"/>
                <w:szCs w:val="14"/>
              </w:rPr>
            </w:pPr>
            <w:r w:rsidRPr="003003C0">
              <w:rPr>
                <w:color w:val="000000"/>
                <w:sz w:val="14"/>
                <w:szCs w:val="14"/>
              </w:rPr>
              <w:t xml:space="preserve">- </w:t>
            </w:r>
            <w:r>
              <w:rPr>
                <w:color w:val="000000"/>
                <w:sz w:val="14"/>
                <w:szCs w:val="14"/>
              </w:rPr>
              <w:t>Other</w:t>
            </w:r>
          </w:p>
        </w:tc>
        <w:tc>
          <w:tcPr>
            <w:tcW w:w="475" w:type="dxa"/>
            <w:tcBorders>
              <w:bottom w:val="nil"/>
            </w:tcBorders>
            <w:hideMark/>
          </w:tcPr>
          <w:p w14:paraId="326D3B74" w14:textId="77777777" w:rsidR="004F64EF" w:rsidRPr="003003C0" w:rsidRDefault="004F64EF" w:rsidP="001F3C85">
            <w:pPr>
              <w:jc w:val="right"/>
              <w:rPr>
                <w:color w:val="000000"/>
                <w:sz w:val="14"/>
                <w:szCs w:val="14"/>
              </w:rPr>
            </w:pPr>
            <w:r w:rsidRPr="003003C0">
              <w:rPr>
                <w:color w:val="000000"/>
                <w:sz w:val="14"/>
                <w:szCs w:val="14"/>
              </w:rPr>
              <w:t>20</w:t>
            </w:r>
          </w:p>
        </w:tc>
        <w:tc>
          <w:tcPr>
            <w:tcW w:w="476" w:type="dxa"/>
            <w:tcBorders>
              <w:bottom w:val="nil"/>
            </w:tcBorders>
            <w:hideMark/>
          </w:tcPr>
          <w:p w14:paraId="238E940E" w14:textId="77777777" w:rsidR="004F64EF" w:rsidRPr="003003C0" w:rsidRDefault="004F64EF" w:rsidP="001F3C85">
            <w:pPr>
              <w:jc w:val="right"/>
              <w:rPr>
                <w:color w:val="000000"/>
                <w:sz w:val="14"/>
                <w:szCs w:val="14"/>
              </w:rPr>
            </w:pPr>
            <w:r w:rsidRPr="003003C0">
              <w:rPr>
                <w:color w:val="000000"/>
                <w:sz w:val="14"/>
                <w:szCs w:val="14"/>
              </w:rPr>
              <w:t>30</w:t>
            </w:r>
          </w:p>
        </w:tc>
      </w:tr>
      <w:tr w:rsidR="004F64EF" w:rsidRPr="003003C0" w14:paraId="49E1D9A6" w14:textId="77777777" w:rsidTr="00EC3E2B">
        <w:tc>
          <w:tcPr>
            <w:tcW w:w="1129" w:type="dxa"/>
            <w:tcBorders>
              <w:top w:val="nil"/>
              <w:bottom w:val="nil"/>
            </w:tcBorders>
            <w:hideMark/>
          </w:tcPr>
          <w:p w14:paraId="3D2E8868" w14:textId="77777777" w:rsidR="004F64EF" w:rsidRPr="003003C0" w:rsidRDefault="004F64EF" w:rsidP="001F3C85">
            <w:pPr>
              <w:jc w:val="center"/>
              <w:rPr>
                <w:color w:val="000000"/>
                <w:sz w:val="14"/>
                <w:szCs w:val="14"/>
              </w:rPr>
            </w:pPr>
            <w:r w:rsidRPr="003003C0">
              <w:rPr>
                <w:color w:val="000000"/>
                <w:sz w:val="14"/>
                <w:szCs w:val="14"/>
              </w:rPr>
              <w:t>8518.29.00</w:t>
            </w:r>
          </w:p>
        </w:tc>
        <w:tc>
          <w:tcPr>
            <w:tcW w:w="1276" w:type="dxa"/>
            <w:tcBorders>
              <w:top w:val="nil"/>
              <w:bottom w:val="nil"/>
            </w:tcBorders>
            <w:hideMark/>
          </w:tcPr>
          <w:p w14:paraId="3D33CC75" w14:textId="77777777" w:rsidR="004F64EF" w:rsidRPr="003003C0" w:rsidRDefault="004F64EF" w:rsidP="001F3C85">
            <w:pPr>
              <w:jc w:val="center"/>
              <w:rPr>
                <w:color w:val="000000"/>
                <w:sz w:val="14"/>
                <w:szCs w:val="14"/>
              </w:rPr>
            </w:pPr>
            <w:r w:rsidRPr="003003C0">
              <w:rPr>
                <w:color w:val="000000"/>
                <w:sz w:val="14"/>
                <w:szCs w:val="14"/>
              </w:rPr>
              <w:t>8518.29.00</w:t>
            </w:r>
          </w:p>
        </w:tc>
        <w:tc>
          <w:tcPr>
            <w:tcW w:w="425" w:type="dxa"/>
            <w:tcBorders>
              <w:top w:val="nil"/>
              <w:bottom w:val="nil"/>
            </w:tcBorders>
            <w:hideMark/>
          </w:tcPr>
          <w:p w14:paraId="073773B5" w14:textId="77777777" w:rsidR="004F64EF" w:rsidRPr="003003C0" w:rsidRDefault="004F64EF" w:rsidP="001F3C85">
            <w:pPr>
              <w:jc w:val="center"/>
              <w:rPr>
                <w:color w:val="000000"/>
                <w:sz w:val="14"/>
                <w:szCs w:val="14"/>
              </w:rPr>
            </w:pPr>
          </w:p>
        </w:tc>
        <w:tc>
          <w:tcPr>
            <w:tcW w:w="2622" w:type="dxa"/>
            <w:tcBorders>
              <w:top w:val="nil"/>
              <w:bottom w:val="nil"/>
            </w:tcBorders>
            <w:hideMark/>
          </w:tcPr>
          <w:p w14:paraId="755E9A00" w14:textId="77777777" w:rsidR="004F64EF" w:rsidRPr="003003C0" w:rsidRDefault="004F64EF" w:rsidP="001F3C85">
            <w:pPr>
              <w:jc w:val="left"/>
              <w:rPr>
                <w:color w:val="000000"/>
                <w:sz w:val="14"/>
                <w:szCs w:val="14"/>
              </w:rPr>
            </w:pPr>
            <w:r>
              <w:rPr>
                <w:color w:val="000000"/>
                <w:sz w:val="14"/>
                <w:szCs w:val="14"/>
              </w:rPr>
              <w:t>Other</w:t>
            </w:r>
          </w:p>
        </w:tc>
        <w:tc>
          <w:tcPr>
            <w:tcW w:w="2623" w:type="dxa"/>
            <w:tcBorders>
              <w:top w:val="nil"/>
              <w:bottom w:val="nil"/>
            </w:tcBorders>
            <w:hideMark/>
          </w:tcPr>
          <w:p w14:paraId="4946FB7E" w14:textId="77777777" w:rsidR="004F64EF" w:rsidRPr="003003C0" w:rsidRDefault="004F64EF" w:rsidP="001F3C85">
            <w:pPr>
              <w:jc w:val="left"/>
              <w:rPr>
                <w:color w:val="000000"/>
                <w:sz w:val="14"/>
                <w:szCs w:val="14"/>
              </w:rPr>
            </w:pPr>
            <w:r>
              <w:rPr>
                <w:color w:val="000000"/>
                <w:sz w:val="14"/>
                <w:szCs w:val="14"/>
              </w:rPr>
              <w:t>Other</w:t>
            </w:r>
          </w:p>
        </w:tc>
        <w:tc>
          <w:tcPr>
            <w:tcW w:w="475" w:type="dxa"/>
            <w:tcBorders>
              <w:top w:val="nil"/>
              <w:bottom w:val="nil"/>
            </w:tcBorders>
            <w:hideMark/>
          </w:tcPr>
          <w:p w14:paraId="432AF69A" w14:textId="77777777" w:rsidR="004F64EF" w:rsidRPr="003003C0" w:rsidRDefault="004F64EF" w:rsidP="001F3C85">
            <w:pPr>
              <w:jc w:val="right"/>
              <w:rPr>
                <w:color w:val="000000"/>
                <w:sz w:val="14"/>
                <w:szCs w:val="14"/>
              </w:rPr>
            </w:pPr>
          </w:p>
        </w:tc>
        <w:tc>
          <w:tcPr>
            <w:tcW w:w="476" w:type="dxa"/>
            <w:tcBorders>
              <w:top w:val="nil"/>
              <w:bottom w:val="nil"/>
            </w:tcBorders>
            <w:hideMark/>
          </w:tcPr>
          <w:p w14:paraId="62434603" w14:textId="77777777" w:rsidR="004F64EF" w:rsidRPr="003003C0" w:rsidRDefault="004F64EF" w:rsidP="001F3C85">
            <w:pPr>
              <w:jc w:val="right"/>
              <w:rPr>
                <w:sz w:val="14"/>
                <w:szCs w:val="14"/>
              </w:rPr>
            </w:pPr>
          </w:p>
        </w:tc>
      </w:tr>
      <w:tr w:rsidR="004F64EF" w:rsidRPr="003003C0" w14:paraId="76A6701E" w14:textId="77777777" w:rsidTr="00EC3E2B">
        <w:trPr>
          <w:cnfStyle w:val="000000010000" w:firstRow="0" w:lastRow="0" w:firstColumn="0" w:lastColumn="0" w:oddVBand="0" w:evenVBand="0" w:oddHBand="0" w:evenHBand="1" w:firstRowFirstColumn="0" w:firstRowLastColumn="0" w:lastRowFirstColumn="0" w:lastRowLastColumn="0"/>
        </w:trPr>
        <w:tc>
          <w:tcPr>
            <w:tcW w:w="1129" w:type="dxa"/>
            <w:tcBorders>
              <w:top w:val="nil"/>
              <w:bottom w:val="nil"/>
            </w:tcBorders>
            <w:hideMark/>
          </w:tcPr>
          <w:p w14:paraId="7867991B" w14:textId="77777777" w:rsidR="004F64EF" w:rsidRPr="003003C0" w:rsidRDefault="004F64EF" w:rsidP="001F3C85">
            <w:pPr>
              <w:jc w:val="center"/>
              <w:rPr>
                <w:sz w:val="14"/>
                <w:szCs w:val="14"/>
              </w:rPr>
            </w:pPr>
          </w:p>
        </w:tc>
        <w:tc>
          <w:tcPr>
            <w:tcW w:w="1276" w:type="dxa"/>
            <w:tcBorders>
              <w:top w:val="nil"/>
              <w:bottom w:val="nil"/>
            </w:tcBorders>
            <w:hideMark/>
          </w:tcPr>
          <w:p w14:paraId="39699EEA" w14:textId="77777777" w:rsidR="004F64EF" w:rsidRPr="003003C0" w:rsidRDefault="004F64EF" w:rsidP="001F3C85">
            <w:pPr>
              <w:jc w:val="center"/>
              <w:rPr>
                <w:color w:val="000000"/>
                <w:sz w:val="14"/>
                <w:szCs w:val="14"/>
              </w:rPr>
            </w:pPr>
            <w:r w:rsidRPr="003003C0">
              <w:rPr>
                <w:color w:val="000000"/>
                <w:sz w:val="14"/>
                <w:szCs w:val="14"/>
              </w:rPr>
              <w:t>8518.29.00</w:t>
            </w:r>
          </w:p>
        </w:tc>
        <w:tc>
          <w:tcPr>
            <w:tcW w:w="425" w:type="dxa"/>
            <w:tcBorders>
              <w:top w:val="nil"/>
              <w:bottom w:val="nil"/>
            </w:tcBorders>
            <w:hideMark/>
          </w:tcPr>
          <w:p w14:paraId="24024576" w14:textId="77777777" w:rsidR="004F64EF" w:rsidRPr="003003C0" w:rsidRDefault="004F64EF" w:rsidP="001F3C85">
            <w:pPr>
              <w:jc w:val="center"/>
              <w:rPr>
                <w:color w:val="000000"/>
                <w:sz w:val="14"/>
                <w:szCs w:val="14"/>
              </w:rPr>
            </w:pPr>
            <w:r w:rsidRPr="003003C0">
              <w:rPr>
                <w:color w:val="000000"/>
                <w:sz w:val="14"/>
                <w:szCs w:val="14"/>
              </w:rPr>
              <w:t>01</w:t>
            </w:r>
          </w:p>
        </w:tc>
        <w:tc>
          <w:tcPr>
            <w:tcW w:w="2622" w:type="dxa"/>
            <w:tcBorders>
              <w:top w:val="nil"/>
              <w:bottom w:val="nil"/>
            </w:tcBorders>
            <w:hideMark/>
          </w:tcPr>
          <w:p w14:paraId="062F7A2A" w14:textId="77777777" w:rsidR="004F64EF" w:rsidRPr="003003C0" w:rsidRDefault="004F64EF" w:rsidP="001F3C85">
            <w:pPr>
              <w:jc w:val="left"/>
              <w:rPr>
                <w:color w:val="000000"/>
                <w:sz w:val="14"/>
                <w:szCs w:val="14"/>
              </w:rPr>
            </w:pPr>
          </w:p>
        </w:tc>
        <w:tc>
          <w:tcPr>
            <w:tcW w:w="2623" w:type="dxa"/>
            <w:tcBorders>
              <w:top w:val="nil"/>
              <w:bottom w:val="nil"/>
            </w:tcBorders>
            <w:shd w:val="clear" w:color="auto" w:fill="E4E4E4"/>
            <w:hideMark/>
          </w:tcPr>
          <w:p w14:paraId="666E5CDF" w14:textId="77777777" w:rsidR="004F64EF" w:rsidRPr="003003C0" w:rsidRDefault="004F64EF" w:rsidP="001F3C85">
            <w:pPr>
              <w:jc w:val="left"/>
              <w:rPr>
                <w:color w:val="000000"/>
                <w:sz w:val="14"/>
                <w:szCs w:val="14"/>
              </w:rPr>
            </w:pPr>
            <w:r w:rsidRPr="003003C0">
              <w:rPr>
                <w:color w:val="000000"/>
                <w:sz w:val="14"/>
                <w:szCs w:val="14"/>
              </w:rPr>
              <w:t xml:space="preserve">- </w:t>
            </w:r>
            <w:r w:rsidRPr="000B20E2">
              <w:rPr>
                <w:color w:val="000000"/>
                <w:sz w:val="14"/>
                <w:szCs w:val="14"/>
              </w:rPr>
              <w:t>Loudspeakers, without housing, having a frequency range of 300</w:t>
            </w:r>
            <w:r>
              <w:rPr>
                <w:color w:val="000000"/>
                <w:sz w:val="14"/>
                <w:szCs w:val="14"/>
              </w:rPr>
              <w:t> </w:t>
            </w:r>
            <w:r w:rsidRPr="000B20E2">
              <w:rPr>
                <w:color w:val="000000"/>
                <w:sz w:val="14"/>
                <w:szCs w:val="14"/>
              </w:rPr>
              <w:t>Hz to 3</w:t>
            </w:r>
            <w:r>
              <w:rPr>
                <w:color w:val="000000"/>
                <w:sz w:val="14"/>
                <w:szCs w:val="14"/>
              </w:rPr>
              <w:t>.</w:t>
            </w:r>
            <w:r w:rsidRPr="000B20E2">
              <w:rPr>
                <w:color w:val="000000"/>
                <w:sz w:val="14"/>
                <w:szCs w:val="14"/>
              </w:rPr>
              <w:t xml:space="preserve">4 </w:t>
            </w:r>
            <w:proofErr w:type="spellStart"/>
            <w:r w:rsidRPr="000B20E2">
              <w:rPr>
                <w:color w:val="000000"/>
                <w:sz w:val="14"/>
                <w:szCs w:val="14"/>
              </w:rPr>
              <w:t>KHz</w:t>
            </w:r>
            <w:proofErr w:type="spellEnd"/>
            <w:r w:rsidRPr="000B20E2">
              <w:rPr>
                <w:color w:val="000000"/>
                <w:sz w:val="14"/>
                <w:szCs w:val="14"/>
              </w:rPr>
              <w:t xml:space="preserve"> with a diameter of not exceeding 50</w:t>
            </w:r>
            <w:r>
              <w:rPr>
                <w:color w:val="000000"/>
                <w:sz w:val="14"/>
                <w:szCs w:val="14"/>
              </w:rPr>
              <w:t> </w:t>
            </w:r>
            <w:r w:rsidRPr="000B20E2">
              <w:rPr>
                <w:color w:val="000000"/>
                <w:sz w:val="14"/>
                <w:szCs w:val="14"/>
              </w:rPr>
              <w:t>mm, for telecommunication use</w:t>
            </w:r>
          </w:p>
        </w:tc>
        <w:tc>
          <w:tcPr>
            <w:tcW w:w="475" w:type="dxa"/>
            <w:tcBorders>
              <w:top w:val="nil"/>
              <w:bottom w:val="nil"/>
            </w:tcBorders>
            <w:shd w:val="clear" w:color="auto" w:fill="E4E4E4"/>
            <w:hideMark/>
          </w:tcPr>
          <w:p w14:paraId="32EDB905" w14:textId="77777777" w:rsidR="004F64EF" w:rsidRPr="003003C0" w:rsidRDefault="004F64EF" w:rsidP="001F3C85">
            <w:pPr>
              <w:jc w:val="right"/>
              <w:rPr>
                <w:color w:val="000000"/>
                <w:sz w:val="14"/>
                <w:szCs w:val="14"/>
              </w:rPr>
            </w:pPr>
            <w:r w:rsidRPr="003003C0">
              <w:rPr>
                <w:color w:val="000000"/>
                <w:sz w:val="14"/>
                <w:szCs w:val="14"/>
              </w:rPr>
              <w:t>14</w:t>
            </w:r>
          </w:p>
        </w:tc>
        <w:tc>
          <w:tcPr>
            <w:tcW w:w="476" w:type="dxa"/>
            <w:tcBorders>
              <w:top w:val="nil"/>
              <w:bottom w:val="nil"/>
            </w:tcBorders>
            <w:shd w:val="clear" w:color="auto" w:fill="E4E4E4"/>
            <w:hideMark/>
          </w:tcPr>
          <w:p w14:paraId="64DFBEC5" w14:textId="77777777" w:rsidR="004F64EF" w:rsidRPr="003003C0" w:rsidRDefault="004F64EF" w:rsidP="001F3C85">
            <w:pPr>
              <w:jc w:val="right"/>
              <w:rPr>
                <w:color w:val="000000"/>
                <w:sz w:val="14"/>
                <w:szCs w:val="14"/>
              </w:rPr>
            </w:pPr>
            <w:r w:rsidRPr="003003C0">
              <w:rPr>
                <w:color w:val="000000"/>
                <w:sz w:val="14"/>
                <w:szCs w:val="14"/>
              </w:rPr>
              <w:t>0</w:t>
            </w:r>
          </w:p>
        </w:tc>
      </w:tr>
      <w:tr w:rsidR="004F64EF" w:rsidRPr="003003C0" w14:paraId="65ADB846" w14:textId="77777777" w:rsidTr="00EC3E2B">
        <w:tc>
          <w:tcPr>
            <w:tcW w:w="1129" w:type="dxa"/>
            <w:tcBorders>
              <w:top w:val="nil"/>
            </w:tcBorders>
            <w:hideMark/>
          </w:tcPr>
          <w:p w14:paraId="6A2825F5" w14:textId="77777777" w:rsidR="004F64EF" w:rsidRPr="003003C0" w:rsidRDefault="004F64EF" w:rsidP="001F3C85">
            <w:pPr>
              <w:jc w:val="center"/>
              <w:rPr>
                <w:color w:val="000000"/>
                <w:sz w:val="14"/>
                <w:szCs w:val="14"/>
              </w:rPr>
            </w:pPr>
          </w:p>
        </w:tc>
        <w:tc>
          <w:tcPr>
            <w:tcW w:w="1276" w:type="dxa"/>
            <w:tcBorders>
              <w:top w:val="nil"/>
            </w:tcBorders>
            <w:hideMark/>
          </w:tcPr>
          <w:p w14:paraId="214519F9" w14:textId="77777777" w:rsidR="004F64EF" w:rsidRPr="003003C0" w:rsidRDefault="004F64EF" w:rsidP="001F3C85">
            <w:pPr>
              <w:jc w:val="center"/>
              <w:rPr>
                <w:color w:val="000000"/>
                <w:sz w:val="14"/>
                <w:szCs w:val="14"/>
              </w:rPr>
            </w:pPr>
            <w:r w:rsidRPr="003003C0">
              <w:rPr>
                <w:color w:val="000000"/>
                <w:sz w:val="14"/>
                <w:szCs w:val="14"/>
              </w:rPr>
              <w:t>8518.29.00</w:t>
            </w:r>
          </w:p>
        </w:tc>
        <w:tc>
          <w:tcPr>
            <w:tcW w:w="425" w:type="dxa"/>
            <w:tcBorders>
              <w:top w:val="nil"/>
            </w:tcBorders>
            <w:hideMark/>
          </w:tcPr>
          <w:p w14:paraId="7302237F" w14:textId="77777777" w:rsidR="004F64EF" w:rsidRPr="003003C0" w:rsidRDefault="004F64EF" w:rsidP="001F3C85">
            <w:pPr>
              <w:jc w:val="center"/>
              <w:rPr>
                <w:color w:val="000000"/>
                <w:sz w:val="14"/>
                <w:szCs w:val="14"/>
              </w:rPr>
            </w:pPr>
            <w:r w:rsidRPr="003003C0">
              <w:rPr>
                <w:color w:val="000000"/>
                <w:sz w:val="14"/>
                <w:szCs w:val="14"/>
              </w:rPr>
              <w:t>02</w:t>
            </w:r>
          </w:p>
        </w:tc>
        <w:tc>
          <w:tcPr>
            <w:tcW w:w="2622" w:type="dxa"/>
            <w:tcBorders>
              <w:top w:val="nil"/>
            </w:tcBorders>
            <w:hideMark/>
          </w:tcPr>
          <w:p w14:paraId="3418A843" w14:textId="77777777" w:rsidR="004F64EF" w:rsidRPr="003003C0" w:rsidRDefault="004F64EF" w:rsidP="001F3C85">
            <w:pPr>
              <w:jc w:val="left"/>
              <w:rPr>
                <w:color w:val="000000"/>
                <w:sz w:val="14"/>
                <w:szCs w:val="14"/>
              </w:rPr>
            </w:pPr>
          </w:p>
        </w:tc>
        <w:tc>
          <w:tcPr>
            <w:tcW w:w="2623" w:type="dxa"/>
            <w:tcBorders>
              <w:top w:val="nil"/>
            </w:tcBorders>
            <w:hideMark/>
          </w:tcPr>
          <w:p w14:paraId="30FBE630" w14:textId="77777777" w:rsidR="004F64EF" w:rsidRPr="003003C0" w:rsidRDefault="004F64EF" w:rsidP="001F3C85">
            <w:pPr>
              <w:jc w:val="left"/>
              <w:rPr>
                <w:color w:val="000000"/>
                <w:sz w:val="14"/>
                <w:szCs w:val="14"/>
              </w:rPr>
            </w:pPr>
            <w:r w:rsidRPr="003003C0">
              <w:rPr>
                <w:color w:val="000000"/>
                <w:sz w:val="14"/>
                <w:szCs w:val="14"/>
              </w:rPr>
              <w:t xml:space="preserve">- </w:t>
            </w:r>
            <w:r>
              <w:rPr>
                <w:color w:val="000000"/>
                <w:sz w:val="14"/>
                <w:szCs w:val="14"/>
              </w:rPr>
              <w:t>Other</w:t>
            </w:r>
          </w:p>
        </w:tc>
        <w:tc>
          <w:tcPr>
            <w:tcW w:w="475" w:type="dxa"/>
            <w:tcBorders>
              <w:top w:val="nil"/>
            </w:tcBorders>
            <w:hideMark/>
          </w:tcPr>
          <w:p w14:paraId="4ABA7CBB" w14:textId="77777777" w:rsidR="004F64EF" w:rsidRPr="003003C0" w:rsidRDefault="004F64EF" w:rsidP="001F3C85">
            <w:pPr>
              <w:jc w:val="right"/>
              <w:rPr>
                <w:color w:val="000000"/>
                <w:sz w:val="14"/>
                <w:szCs w:val="14"/>
              </w:rPr>
            </w:pPr>
            <w:r w:rsidRPr="003003C0">
              <w:rPr>
                <w:color w:val="000000"/>
                <w:sz w:val="14"/>
                <w:szCs w:val="14"/>
              </w:rPr>
              <w:t>14</w:t>
            </w:r>
          </w:p>
        </w:tc>
        <w:tc>
          <w:tcPr>
            <w:tcW w:w="476" w:type="dxa"/>
            <w:tcBorders>
              <w:top w:val="nil"/>
            </w:tcBorders>
            <w:hideMark/>
          </w:tcPr>
          <w:p w14:paraId="6F4FDBBC" w14:textId="77777777" w:rsidR="004F64EF" w:rsidRPr="003003C0" w:rsidRDefault="004F64EF" w:rsidP="001F3C85">
            <w:pPr>
              <w:jc w:val="right"/>
              <w:rPr>
                <w:color w:val="000000"/>
                <w:sz w:val="14"/>
                <w:szCs w:val="14"/>
              </w:rPr>
            </w:pPr>
            <w:r w:rsidRPr="003003C0">
              <w:rPr>
                <w:color w:val="000000"/>
                <w:sz w:val="14"/>
                <w:szCs w:val="14"/>
              </w:rPr>
              <w:t>35</w:t>
            </w:r>
          </w:p>
        </w:tc>
      </w:tr>
      <w:tr w:rsidR="004F64EF" w:rsidRPr="003003C0" w14:paraId="0E6716B2" w14:textId="77777777" w:rsidTr="001F3C85">
        <w:trPr>
          <w:cnfStyle w:val="000000010000" w:firstRow="0" w:lastRow="0" w:firstColumn="0" w:lastColumn="0" w:oddVBand="0" w:evenVBand="0" w:oddHBand="0" w:evenHBand="1" w:firstRowFirstColumn="0" w:firstRowLastColumn="0" w:lastRowFirstColumn="0" w:lastRowLastColumn="0"/>
        </w:trPr>
        <w:tc>
          <w:tcPr>
            <w:tcW w:w="1129" w:type="dxa"/>
            <w:hideMark/>
          </w:tcPr>
          <w:p w14:paraId="548354BB" w14:textId="77777777" w:rsidR="004F64EF" w:rsidRPr="003003C0" w:rsidRDefault="004F64EF" w:rsidP="001F3C85">
            <w:pPr>
              <w:jc w:val="center"/>
              <w:rPr>
                <w:color w:val="000000"/>
                <w:sz w:val="14"/>
                <w:szCs w:val="14"/>
              </w:rPr>
            </w:pPr>
            <w:r w:rsidRPr="003003C0">
              <w:rPr>
                <w:color w:val="000000"/>
                <w:sz w:val="14"/>
                <w:szCs w:val="14"/>
              </w:rPr>
              <w:t>8518.30.00</w:t>
            </w:r>
          </w:p>
        </w:tc>
        <w:tc>
          <w:tcPr>
            <w:tcW w:w="1276" w:type="dxa"/>
            <w:hideMark/>
          </w:tcPr>
          <w:p w14:paraId="4D567B13" w14:textId="77777777" w:rsidR="004F64EF" w:rsidRPr="003003C0" w:rsidRDefault="004F64EF" w:rsidP="001F3C85">
            <w:pPr>
              <w:jc w:val="center"/>
              <w:rPr>
                <w:color w:val="000000"/>
                <w:sz w:val="14"/>
                <w:szCs w:val="14"/>
              </w:rPr>
            </w:pPr>
            <w:r w:rsidRPr="003003C0">
              <w:rPr>
                <w:color w:val="000000"/>
                <w:sz w:val="14"/>
                <w:szCs w:val="14"/>
              </w:rPr>
              <w:t>8518.30.00</w:t>
            </w:r>
          </w:p>
        </w:tc>
        <w:tc>
          <w:tcPr>
            <w:tcW w:w="425" w:type="dxa"/>
            <w:hideMark/>
          </w:tcPr>
          <w:p w14:paraId="09BC6C63" w14:textId="77777777" w:rsidR="004F64EF" w:rsidRPr="003003C0" w:rsidRDefault="004F64EF" w:rsidP="001F3C85">
            <w:pPr>
              <w:jc w:val="center"/>
              <w:rPr>
                <w:color w:val="000000"/>
                <w:sz w:val="14"/>
                <w:szCs w:val="14"/>
              </w:rPr>
            </w:pPr>
          </w:p>
        </w:tc>
        <w:tc>
          <w:tcPr>
            <w:tcW w:w="2622" w:type="dxa"/>
            <w:hideMark/>
          </w:tcPr>
          <w:p w14:paraId="1C96B555" w14:textId="77777777" w:rsidR="004F64EF" w:rsidRPr="003003C0" w:rsidRDefault="004F64EF" w:rsidP="00DC6699">
            <w:pPr>
              <w:jc w:val="left"/>
              <w:rPr>
                <w:color w:val="000000"/>
                <w:sz w:val="14"/>
                <w:szCs w:val="14"/>
              </w:rPr>
            </w:pPr>
            <w:r w:rsidRPr="00DC6699">
              <w:rPr>
                <w:color w:val="000000"/>
                <w:sz w:val="14"/>
                <w:szCs w:val="14"/>
              </w:rPr>
              <w:t>Headphones and earphones, whether or not combined with a microphone, and sets consisting of a microphone and one or more loudspeakers</w:t>
            </w:r>
          </w:p>
        </w:tc>
        <w:tc>
          <w:tcPr>
            <w:tcW w:w="2623" w:type="dxa"/>
            <w:tcBorders>
              <w:bottom w:val="nil"/>
            </w:tcBorders>
            <w:hideMark/>
          </w:tcPr>
          <w:p w14:paraId="5CB74D87" w14:textId="77777777" w:rsidR="004F64EF" w:rsidRPr="003003C0" w:rsidRDefault="004F64EF" w:rsidP="001F3C85">
            <w:pPr>
              <w:jc w:val="left"/>
              <w:rPr>
                <w:color w:val="000000"/>
                <w:sz w:val="14"/>
                <w:szCs w:val="14"/>
              </w:rPr>
            </w:pPr>
            <w:r w:rsidRPr="000B20E2">
              <w:rPr>
                <w:color w:val="000000"/>
                <w:sz w:val="14"/>
                <w:szCs w:val="14"/>
              </w:rPr>
              <w:t>Headphones and earphones, whether or not combined with a microphone, and sets consisting of a microphone and one or more loudspeakers</w:t>
            </w:r>
          </w:p>
        </w:tc>
        <w:tc>
          <w:tcPr>
            <w:tcW w:w="475" w:type="dxa"/>
            <w:tcBorders>
              <w:bottom w:val="nil"/>
            </w:tcBorders>
            <w:hideMark/>
          </w:tcPr>
          <w:p w14:paraId="7F26111A" w14:textId="77777777" w:rsidR="004F64EF" w:rsidRPr="003003C0" w:rsidRDefault="004F64EF" w:rsidP="001F3C85">
            <w:pPr>
              <w:jc w:val="right"/>
              <w:rPr>
                <w:color w:val="000000"/>
                <w:sz w:val="14"/>
                <w:szCs w:val="14"/>
              </w:rPr>
            </w:pPr>
          </w:p>
        </w:tc>
        <w:tc>
          <w:tcPr>
            <w:tcW w:w="476" w:type="dxa"/>
            <w:tcBorders>
              <w:bottom w:val="nil"/>
            </w:tcBorders>
            <w:hideMark/>
          </w:tcPr>
          <w:p w14:paraId="726B0336" w14:textId="77777777" w:rsidR="004F64EF" w:rsidRPr="003003C0" w:rsidRDefault="004F64EF" w:rsidP="001F3C85">
            <w:pPr>
              <w:jc w:val="right"/>
              <w:rPr>
                <w:sz w:val="14"/>
                <w:szCs w:val="14"/>
              </w:rPr>
            </w:pPr>
          </w:p>
        </w:tc>
      </w:tr>
      <w:tr w:rsidR="004F64EF" w:rsidRPr="003003C0" w14:paraId="6E41A8EB" w14:textId="77777777" w:rsidTr="001F3C85">
        <w:tc>
          <w:tcPr>
            <w:tcW w:w="1129" w:type="dxa"/>
            <w:hideMark/>
          </w:tcPr>
          <w:p w14:paraId="23DE69AE" w14:textId="77777777" w:rsidR="004F64EF" w:rsidRPr="003003C0" w:rsidRDefault="004F64EF" w:rsidP="001F3C85">
            <w:pPr>
              <w:jc w:val="center"/>
              <w:rPr>
                <w:sz w:val="14"/>
                <w:szCs w:val="14"/>
              </w:rPr>
            </w:pPr>
          </w:p>
        </w:tc>
        <w:tc>
          <w:tcPr>
            <w:tcW w:w="1276" w:type="dxa"/>
            <w:hideMark/>
          </w:tcPr>
          <w:p w14:paraId="268908D6" w14:textId="77777777" w:rsidR="004F64EF" w:rsidRPr="003003C0" w:rsidRDefault="004F64EF" w:rsidP="001F3C85">
            <w:pPr>
              <w:jc w:val="center"/>
              <w:rPr>
                <w:color w:val="000000"/>
                <w:sz w:val="14"/>
                <w:szCs w:val="14"/>
              </w:rPr>
            </w:pPr>
            <w:r w:rsidRPr="003003C0">
              <w:rPr>
                <w:color w:val="000000"/>
                <w:sz w:val="14"/>
                <w:szCs w:val="14"/>
              </w:rPr>
              <w:t>8518.30.00</w:t>
            </w:r>
          </w:p>
        </w:tc>
        <w:tc>
          <w:tcPr>
            <w:tcW w:w="425" w:type="dxa"/>
            <w:hideMark/>
          </w:tcPr>
          <w:p w14:paraId="7224BE4D" w14:textId="77777777" w:rsidR="004F64EF" w:rsidRPr="003003C0" w:rsidRDefault="004F64EF" w:rsidP="001F3C85">
            <w:pPr>
              <w:jc w:val="center"/>
              <w:rPr>
                <w:color w:val="000000"/>
                <w:sz w:val="14"/>
                <w:szCs w:val="14"/>
              </w:rPr>
            </w:pPr>
            <w:r w:rsidRPr="003003C0">
              <w:rPr>
                <w:color w:val="000000"/>
                <w:sz w:val="14"/>
                <w:szCs w:val="14"/>
              </w:rPr>
              <w:t>01</w:t>
            </w:r>
          </w:p>
        </w:tc>
        <w:tc>
          <w:tcPr>
            <w:tcW w:w="2622" w:type="dxa"/>
            <w:hideMark/>
          </w:tcPr>
          <w:p w14:paraId="06A57188" w14:textId="77777777" w:rsidR="004F64EF" w:rsidRPr="003003C0" w:rsidRDefault="004F64EF" w:rsidP="001F3C85">
            <w:pPr>
              <w:jc w:val="left"/>
              <w:rPr>
                <w:color w:val="000000"/>
                <w:sz w:val="14"/>
                <w:szCs w:val="14"/>
              </w:rPr>
            </w:pPr>
          </w:p>
        </w:tc>
        <w:tc>
          <w:tcPr>
            <w:tcW w:w="2623" w:type="dxa"/>
            <w:tcBorders>
              <w:top w:val="nil"/>
              <w:bottom w:val="nil"/>
            </w:tcBorders>
            <w:shd w:val="clear" w:color="auto" w:fill="E4E4E4"/>
            <w:hideMark/>
          </w:tcPr>
          <w:p w14:paraId="14013511" w14:textId="77777777" w:rsidR="004F64EF" w:rsidRPr="003003C0" w:rsidRDefault="004F64EF" w:rsidP="001F3C85">
            <w:pPr>
              <w:jc w:val="left"/>
              <w:rPr>
                <w:color w:val="000000"/>
                <w:sz w:val="14"/>
                <w:szCs w:val="14"/>
              </w:rPr>
            </w:pPr>
            <w:r w:rsidRPr="003003C0">
              <w:rPr>
                <w:color w:val="000000"/>
                <w:sz w:val="14"/>
                <w:szCs w:val="14"/>
              </w:rPr>
              <w:t xml:space="preserve">- </w:t>
            </w:r>
            <w:r w:rsidRPr="000B20E2">
              <w:rPr>
                <w:color w:val="000000"/>
                <w:sz w:val="14"/>
                <w:szCs w:val="14"/>
              </w:rPr>
              <w:t>Line telephone handsets</w:t>
            </w:r>
          </w:p>
        </w:tc>
        <w:tc>
          <w:tcPr>
            <w:tcW w:w="475" w:type="dxa"/>
            <w:tcBorders>
              <w:top w:val="nil"/>
              <w:bottom w:val="nil"/>
            </w:tcBorders>
            <w:shd w:val="clear" w:color="auto" w:fill="E4E4E4"/>
            <w:hideMark/>
          </w:tcPr>
          <w:p w14:paraId="0D5D8BAB" w14:textId="77777777" w:rsidR="004F64EF" w:rsidRPr="003003C0" w:rsidRDefault="004F64EF" w:rsidP="001F3C85">
            <w:pPr>
              <w:jc w:val="right"/>
              <w:rPr>
                <w:color w:val="000000"/>
                <w:sz w:val="14"/>
                <w:szCs w:val="14"/>
              </w:rPr>
            </w:pPr>
            <w:r w:rsidRPr="003003C0">
              <w:rPr>
                <w:color w:val="000000"/>
                <w:sz w:val="14"/>
                <w:szCs w:val="14"/>
              </w:rPr>
              <w:t>14</w:t>
            </w:r>
          </w:p>
        </w:tc>
        <w:tc>
          <w:tcPr>
            <w:tcW w:w="476" w:type="dxa"/>
            <w:tcBorders>
              <w:top w:val="nil"/>
              <w:bottom w:val="nil"/>
            </w:tcBorders>
            <w:shd w:val="clear" w:color="auto" w:fill="E4E4E4"/>
            <w:hideMark/>
          </w:tcPr>
          <w:p w14:paraId="58C3E554" w14:textId="77777777" w:rsidR="004F64EF" w:rsidRPr="003003C0" w:rsidRDefault="004F64EF" w:rsidP="001F3C85">
            <w:pPr>
              <w:jc w:val="right"/>
              <w:rPr>
                <w:color w:val="000000"/>
                <w:sz w:val="14"/>
                <w:szCs w:val="14"/>
              </w:rPr>
            </w:pPr>
            <w:r w:rsidRPr="003003C0">
              <w:rPr>
                <w:color w:val="000000"/>
                <w:sz w:val="14"/>
                <w:szCs w:val="14"/>
              </w:rPr>
              <w:t>0</w:t>
            </w:r>
          </w:p>
        </w:tc>
      </w:tr>
      <w:tr w:rsidR="004F64EF" w:rsidRPr="003003C0" w14:paraId="5AD75042" w14:textId="77777777" w:rsidTr="001F3C85">
        <w:trPr>
          <w:cnfStyle w:val="000000010000" w:firstRow="0" w:lastRow="0" w:firstColumn="0" w:lastColumn="0" w:oddVBand="0" w:evenVBand="0" w:oddHBand="0" w:evenHBand="1" w:firstRowFirstColumn="0" w:firstRowLastColumn="0" w:lastRowFirstColumn="0" w:lastRowLastColumn="0"/>
        </w:trPr>
        <w:tc>
          <w:tcPr>
            <w:tcW w:w="1129" w:type="dxa"/>
            <w:hideMark/>
          </w:tcPr>
          <w:p w14:paraId="67FA44AB" w14:textId="77777777" w:rsidR="004F64EF" w:rsidRPr="003003C0" w:rsidRDefault="004F64EF" w:rsidP="001F3C85">
            <w:pPr>
              <w:jc w:val="center"/>
              <w:rPr>
                <w:color w:val="000000"/>
                <w:sz w:val="14"/>
                <w:szCs w:val="14"/>
              </w:rPr>
            </w:pPr>
          </w:p>
        </w:tc>
        <w:tc>
          <w:tcPr>
            <w:tcW w:w="1276" w:type="dxa"/>
            <w:hideMark/>
          </w:tcPr>
          <w:p w14:paraId="0729335C" w14:textId="77777777" w:rsidR="004F64EF" w:rsidRPr="003003C0" w:rsidRDefault="004F64EF" w:rsidP="001F3C85">
            <w:pPr>
              <w:jc w:val="center"/>
              <w:rPr>
                <w:color w:val="000000"/>
                <w:sz w:val="14"/>
                <w:szCs w:val="14"/>
              </w:rPr>
            </w:pPr>
            <w:r w:rsidRPr="003003C0">
              <w:rPr>
                <w:color w:val="000000"/>
                <w:sz w:val="14"/>
                <w:szCs w:val="14"/>
              </w:rPr>
              <w:t>8518.30.00</w:t>
            </w:r>
          </w:p>
        </w:tc>
        <w:tc>
          <w:tcPr>
            <w:tcW w:w="425" w:type="dxa"/>
            <w:hideMark/>
          </w:tcPr>
          <w:p w14:paraId="52A3FEBA" w14:textId="77777777" w:rsidR="004F64EF" w:rsidRPr="003003C0" w:rsidRDefault="004F64EF" w:rsidP="001F3C85">
            <w:pPr>
              <w:jc w:val="center"/>
              <w:rPr>
                <w:color w:val="000000"/>
                <w:sz w:val="14"/>
                <w:szCs w:val="14"/>
              </w:rPr>
            </w:pPr>
            <w:r w:rsidRPr="003003C0">
              <w:rPr>
                <w:color w:val="000000"/>
                <w:sz w:val="14"/>
                <w:szCs w:val="14"/>
              </w:rPr>
              <w:t>02</w:t>
            </w:r>
          </w:p>
        </w:tc>
        <w:tc>
          <w:tcPr>
            <w:tcW w:w="2622" w:type="dxa"/>
            <w:hideMark/>
          </w:tcPr>
          <w:p w14:paraId="78700926" w14:textId="77777777" w:rsidR="004F64EF" w:rsidRPr="003003C0" w:rsidRDefault="004F64EF" w:rsidP="001F3C85">
            <w:pPr>
              <w:jc w:val="left"/>
              <w:rPr>
                <w:color w:val="000000"/>
                <w:sz w:val="14"/>
                <w:szCs w:val="14"/>
              </w:rPr>
            </w:pPr>
          </w:p>
        </w:tc>
        <w:tc>
          <w:tcPr>
            <w:tcW w:w="2623" w:type="dxa"/>
            <w:tcBorders>
              <w:top w:val="nil"/>
            </w:tcBorders>
            <w:hideMark/>
          </w:tcPr>
          <w:p w14:paraId="7D1BE000" w14:textId="77777777" w:rsidR="004F64EF" w:rsidRPr="003003C0" w:rsidRDefault="004F64EF" w:rsidP="001F3C85">
            <w:pPr>
              <w:jc w:val="left"/>
              <w:rPr>
                <w:color w:val="000000"/>
                <w:sz w:val="14"/>
                <w:szCs w:val="14"/>
              </w:rPr>
            </w:pPr>
            <w:r w:rsidRPr="003003C0">
              <w:rPr>
                <w:color w:val="000000"/>
                <w:sz w:val="14"/>
                <w:szCs w:val="14"/>
              </w:rPr>
              <w:t xml:space="preserve">- </w:t>
            </w:r>
            <w:r>
              <w:rPr>
                <w:color w:val="000000"/>
                <w:sz w:val="14"/>
                <w:szCs w:val="14"/>
              </w:rPr>
              <w:t>Other</w:t>
            </w:r>
          </w:p>
        </w:tc>
        <w:tc>
          <w:tcPr>
            <w:tcW w:w="475" w:type="dxa"/>
            <w:tcBorders>
              <w:top w:val="nil"/>
            </w:tcBorders>
            <w:hideMark/>
          </w:tcPr>
          <w:p w14:paraId="316D611A" w14:textId="77777777" w:rsidR="004F64EF" w:rsidRPr="003003C0" w:rsidRDefault="004F64EF" w:rsidP="001F3C85">
            <w:pPr>
              <w:jc w:val="right"/>
              <w:rPr>
                <w:color w:val="000000"/>
                <w:sz w:val="14"/>
                <w:szCs w:val="14"/>
              </w:rPr>
            </w:pPr>
            <w:r w:rsidRPr="003003C0">
              <w:rPr>
                <w:color w:val="000000"/>
                <w:sz w:val="14"/>
                <w:szCs w:val="14"/>
              </w:rPr>
              <w:t>14</w:t>
            </w:r>
          </w:p>
        </w:tc>
        <w:tc>
          <w:tcPr>
            <w:tcW w:w="476" w:type="dxa"/>
            <w:tcBorders>
              <w:top w:val="nil"/>
            </w:tcBorders>
            <w:hideMark/>
          </w:tcPr>
          <w:p w14:paraId="4C32FB16" w14:textId="77777777" w:rsidR="004F64EF" w:rsidRPr="003003C0" w:rsidRDefault="004F64EF" w:rsidP="001F3C85">
            <w:pPr>
              <w:jc w:val="right"/>
              <w:rPr>
                <w:color w:val="000000"/>
                <w:sz w:val="14"/>
                <w:szCs w:val="14"/>
              </w:rPr>
            </w:pPr>
            <w:r w:rsidRPr="003003C0">
              <w:rPr>
                <w:color w:val="000000"/>
                <w:sz w:val="14"/>
                <w:szCs w:val="14"/>
              </w:rPr>
              <w:t>35</w:t>
            </w:r>
          </w:p>
        </w:tc>
      </w:tr>
      <w:tr w:rsidR="004F64EF" w:rsidRPr="003003C0" w14:paraId="408DB532" w14:textId="77777777" w:rsidTr="001F3C85">
        <w:tc>
          <w:tcPr>
            <w:tcW w:w="1129" w:type="dxa"/>
            <w:hideMark/>
          </w:tcPr>
          <w:p w14:paraId="112EE8F1" w14:textId="77777777" w:rsidR="004F64EF" w:rsidRPr="003003C0" w:rsidRDefault="004F64EF" w:rsidP="001F3C85">
            <w:pPr>
              <w:jc w:val="center"/>
              <w:rPr>
                <w:color w:val="000000"/>
                <w:sz w:val="14"/>
                <w:szCs w:val="14"/>
              </w:rPr>
            </w:pPr>
            <w:r w:rsidRPr="003003C0">
              <w:rPr>
                <w:color w:val="000000"/>
                <w:sz w:val="14"/>
                <w:szCs w:val="14"/>
              </w:rPr>
              <w:t>8529.10.10</w:t>
            </w:r>
          </w:p>
        </w:tc>
        <w:tc>
          <w:tcPr>
            <w:tcW w:w="1276" w:type="dxa"/>
            <w:hideMark/>
          </w:tcPr>
          <w:p w14:paraId="4FAB2DC8" w14:textId="77777777" w:rsidR="004F64EF" w:rsidRPr="003003C0" w:rsidRDefault="004F64EF" w:rsidP="001F3C85">
            <w:pPr>
              <w:jc w:val="center"/>
              <w:rPr>
                <w:color w:val="000000"/>
                <w:sz w:val="14"/>
                <w:szCs w:val="14"/>
              </w:rPr>
            </w:pPr>
            <w:r w:rsidRPr="003003C0">
              <w:rPr>
                <w:color w:val="000000"/>
                <w:sz w:val="14"/>
                <w:szCs w:val="14"/>
              </w:rPr>
              <w:t>8529.10.10</w:t>
            </w:r>
          </w:p>
        </w:tc>
        <w:tc>
          <w:tcPr>
            <w:tcW w:w="425" w:type="dxa"/>
            <w:hideMark/>
          </w:tcPr>
          <w:p w14:paraId="75082F63" w14:textId="77777777" w:rsidR="004F64EF" w:rsidRPr="003003C0" w:rsidRDefault="004F64EF" w:rsidP="003B5500">
            <w:pPr>
              <w:rPr>
                <w:color w:val="000000"/>
                <w:sz w:val="14"/>
                <w:szCs w:val="14"/>
              </w:rPr>
            </w:pPr>
          </w:p>
        </w:tc>
        <w:tc>
          <w:tcPr>
            <w:tcW w:w="2622" w:type="dxa"/>
            <w:hideMark/>
          </w:tcPr>
          <w:p w14:paraId="560EF215" w14:textId="77777777" w:rsidR="004F64EF" w:rsidRPr="003003C0" w:rsidRDefault="004F64EF" w:rsidP="001F3C85">
            <w:pPr>
              <w:jc w:val="left"/>
              <w:rPr>
                <w:color w:val="000000"/>
                <w:sz w:val="14"/>
                <w:szCs w:val="14"/>
              </w:rPr>
            </w:pPr>
            <w:r w:rsidRPr="00804A7E">
              <w:rPr>
                <w:color w:val="000000"/>
                <w:sz w:val="14"/>
                <w:szCs w:val="14"/>
              </w:rPr>
              <w:t>Outdoor aerials for television and radio-broadcast receivers</w:t>
            </w:r>
          </w:p>
        </w:tc>
        <w:tc>
          <w:tcPr>
            <w:tcW w:w="2623" w:type="dxa"/>
            <w:tcBorders>
              <w:bottom w:val="nil"/>
            </w:tcBorders>
            <w:hideMark/>
          </w:tcPr>
          <w:p w14:paraId="1669F90E" w14:textId="77777777" w:rsidR="004F64EF" w:rsidRPr="00804A7E" w:rsidRDefault="004F64EF" w:rsidP="001F3C85">
            <w:pPr>
              <w:jc w:val="left"/>
              <w:rPr>
                <w:color w:val="000000"/>
                <w:sz w:val="14"/>
                <w:szCs w:val="14"/>
              </w:rPr>
            </w:pPr>
            <w:r w:rsidRPr="00804A7E">
              <w:rPr>
                <w:color w:val="000000"/>
                <w:sz w:val="14"/>
                <w:szCs w:val="14"/>
              </w:rPr>
              <w:t>Outdoor aerials for television and radio-broadcast receivers</w:t>
            </w:r>
          </w:p>
        </w:tc>
        <w:tc>
          <w:tcPr>
            <w:tcW w:w="475" w:type="dxa"/>
            <w:tcBorders>
              <w:bottom w:val="nil"/>
            </w:tcBorders>
            <w:hideMark/>
          </w:tcPr>
          <w:p w14:paraId="7A84575D" w14:textId="77777777" w:rsidR="004F64EF" w:rsidRPr="003003C0" w:rsidRDefault="004F64EF" w:rsidP="001F3C85">
            <w:pPr>
              <w:jc w:val="right"/>
              <w:rPr>
                <w:color w:val="000000"/>
                <w:sz w:val="14"/>
                <w:szCs w:val="14"/>
              </w:rPr>
            </w:pPr>
          </w:p>
        </w:tc>
        <w:tc>
          <w:tcPr>
            <w:tcW w:w="476" w:type="dxa"/>
            <w:tcBorders>
              <w:bottom w:val="nil"/>
            </w:tcBorders>
            <w:hideMark/>
          </w:tcPr>
          <w:p w14:paraId="42187D5A" w14:textId="77777777" w:rsidR="004F64EF" w:rsidRPr="003003C0" w:rsidRDefault="004F64EF" w:rsidP="001F3C85">
            <w:pPr>
              <w:jc w:val="right"/>
              <w:rPr>
                <w:sz w:val="14"/>
                <w:szCs w:val="14"/>
              </w:rPr>
            </w:pPr>
          </w:p>
        </w:tc>
      </w:tr>
      <w:tr w:rsidR="004F64EF" w:rsidRPr="003003C0" w14:paraId="2C58F1A3" w14:textId="77777777" w:rsidTr="001F3C85">
        <w:trPr>
          <w:cnfStyle w:val="000000010000" w:firstRow="0" w:lastRow="0" w:firstColumn="0" w:lastColumn="0" w:oddVBand="0" w:evenVBand="0" w:oddHBand="0" w:evenHBand="1" w:firstRowFirstColumn="0" w:firstRowLastColumn="0" w:lastRowFirstColumn="0" w:lastRowLastColumn="0"/>
        </w:trPr>
        <w:tc>
          <w:tcPr>
            <w:tcW w:w="1129" w:type="dxa"/>
            <w:hideMark/>
          </w:tcPr>
          <w:p w14:paraId="176D0E4B" w14:textId="77777777" w:rsidR="004F64EF" w:rsidRPr="003003C0" w:rsidRDefault="004F64EF" w:rsidP="001F3C85">
            <w:pPr>
              <w:jc w:val="center"/>
              <w:rPr>
                <w:sz w:val="14"/>
                <w:szCs w:val="14"/>
              </w:rPr>
            </w:pPr>
          </w:p>
        </w:tc>
        <w:tc>
          <w:tcPr>
            <w:tcW w:w="1276" w:type="dxa"/>
            <w:hideMark/>
          </w:tcPr>
          <w:p w14:paraId="4DC9FF87" w14:textId="77777777" w:rsidR="004F64EF" w:rsidRPr="003003C0" w:rsidRDefault="004F64EF" w:rsidP="001F3C85">
            <w:pPr>
              <w:jc w:val="center"/>
              <w:rPr>
                <w:color w:val="000000"/>
                <w:sz w:val="14"/>
                <w:szCs w:val="14"/>
              </w:rPr>
            </w:pPr>
            <w:r w:rsidRPr="003003C0">
              <w:rPr>
                <w:color w:val="000000"/>
                <w:sz w:val="14"/>
                <w:szCs w:val="14"/>
              </w:rPr>
              <w:t>8529.10.10</w:t>
            </w:r>
          </w:p>
        </w:tc>
        <w:tc>
          <w:tcPr>
            <w:tcW w:w="425" w:type="dxa"/>
            <w:hideMark/>
          </w:tcPr>
          <w:p w14:paraId="595CC54B" w14:textId="77777777" w:rsidR="004F64EF" w:rsidRPr="003003C0" w:rsidRDefault="004F64EF" w:rsidP="001F3C85">
            <w:pPr>
              <w:jc w:val="center"/>
              <w:rPr>
                <w:color w:val="000000"/>
                <w:sz w:val="14"/>
                <w:szCs w:val="14"/>
              </w:rPr>
            </w:pPr>
            <w:r w:rsidRPr="003003C0">
              <w:rPr>
                <w:color w:val="000000"/>
                <w:sz w:val="14"/>
                <w:szCs w:val="14"/>
              </w:rPr>
              <w:t>01</w:t>
            </w:r>
          </w:p>
        </w:tc>
        <w:tc>
          <w:tcPr>
            <w:tcW w:w="2622" w:type="dxa"/>
            <w:hideMark/>
          </w:tcPr>
          <w:p w14:paraId="5709B39F" w14:textId="77777777" w:rsidR="004F64EF" w:rsidRPr="003003C0" w:rsidRDefault="004F64EF" w:rsidP="001F3C85">
            <w:pPr>
              <w:jc w:val="left"/>
              <w:rPr>
                <w:color w:val="000000"/>
                <w:sz w:val="14"/>
                <w:szCs w:val="14"/>
              </w:rPr>
            </w:pPr>
          </w:p>
        </w:tc>
        <w:tc>
          <w:tcPr>
            <w:tcW w:w="2623" w:type="dxa"/>
            <w:tcBorders>
              <w:top w:val="nil"/>
              <w:bottom w:val="nil"/>
            </w:tcBorders>
            <w:shd w:val="clear" w:color="auto" w:fill="E4E4E4"/>
            <w:hideMark/>
          </w:tcPr>
          <w:p w14:paraId="2A3CD1C0" w14:textId="77777777" w:rsidR="004F64EF" w:rsidRPr="003003C0" w:rsidRDefault="004F64EF" w:rsidP="001F3C85">
            <w:pPr>
              <w:jc w:val="left"/>
              <w:rPr>
                <w:color w:val="000000"/>
                <w:sz w:val="14"/>
                <w:szCs w:val="14"/>
              </w:rPr>
            </w:pPr>
            <w:r w:rsidRPr="003003C0">
              <w:rPr>
                <w:color w:val="000000"/>
                <w:sz w:val="14"/>
                <w:szCs w:val="14"/>
              </w:rPr>
              <w:t xml:space="preserve">- </w:t>
            </w:r>
            <w:r w:rsidRPr="007A2EA3">
              <w:rPr>
                <w:color w:val="000000"/>
                <w:sz w:val="14"/>
                <w:szCs w:val="14"/>
              </w:rPr>
              <w:t>Aerials or antennae of a kind used with apparatus for radio</w:t>
            </w:r>
            <w:r>
              <w:rPr>
                <w:color w:val="000000"/>
                <w:sz w:val="14"/>
                <w:szCs w:val="14"/>
              </w:rPr>
              <w:noBreakHyphen/>
            </w:r>
            <w:r w:rsidRPr="007A2EA3">
              <w:rPr>
                <w:color w:val="000000"/>
                <w:sz w:val="14"/>
                <w:szCs w:val="14"/>
              </w:rPr>
              <w:t>telephony and radio</w:t>
            </w:r>
            <w:r>
              <w:rPr>
                <w:color w:val="000000"/>
                <w:sz w:val="14"/>
                <w:szCs w:val="14"/>
              </w:rPr>
              <w:noBreakHyphen/>
            </w:r>
            <w:r w:rsidRPr="007A2EA3">
              <w:rPr>
                <w:color w:val="000000"/>
                <w:sz w:val="14"/>
                <w:szCs w:val="14"/>
              </w:rPr>
              <w:t>telegraphy</w:t>
            </w:r>
          </w:p>
        </w:tc>
        <w:tc>
          <w:tcPr>
            <w:tcW w:w="475" w:type="dxa"/>
            <w:tcBorders>
              <w:top w:val="nil"/>
              <w:bottom w:val="nil"/>
            </w:tcBorders>
            <w:shd w:val="clear" w:color="auto" w:fill="E4E4E4"/>
            <w:hideMark/>
          </w:tcPr>
          <w:p w14:paraId="7A47774E" w14:textId="77777777" w:rsidR="004F64EF" w:rsidRPr="003003C0" w:rsidRDefault="004F64EF" w:rsidP="001F3C85">
            <w:pPr>
              <w:jc w:val="right"/>
              <w:rPr>
                <w:color w:val="000000"/>
                <w:sz w:val="14"/>
                <w:szCs w:val="14"/>
              </w:rPr>
            </w:pPr>
            <w:r w:rsidRPr="003003C0">
              <w:rPr>
                <w:color w:val="000000"/>
                <w:sz w:val="14"/>
                <w:szCs w:val="14"/>
              </w:rPr>
              <w:t>20</w:t>
            </w:r>
          </w:p>
        </w:tc>
        <w:tc>
          <w:tcPr>
            <w:tcW w:w="476" w:type="dxa"/>
            <w:tcBorders>
              <w:top w:val="nil"/>
              <w:bottom w:val="nil"/>
            </w:tcBorders>
            <w:shd w:val="clear" w:color="auto" w:fill="E4E4E4"/>
            <w:hideMark/>
          </w:tcPr>
          <w:p w14:paraId="22B8F342" w14:textId="77777777" w:rsidR="004F64EF" w:rsidRPr="003003C0" w:rsidRDefault="004F64EF" w:rsidP="001F3C85">
            <w:pPr>
              <w:jc w:val="right"/>
              <w:rPr>
                <w:color w:val="000000"/>
                <w:sz w:val="14"/>
                <w:szCs w:val="14"/>
              </w:rPr>
            </w:pPr>
            <w:r w:rsidRPr="003003C0">
              <w:rPr>
                <w:color w:val="000000"/>
                <w:sz w:val="14"/>
                <w:szCs w:val="14"/>
              </w:rPr>
              <w:t>0</w:t>
            </w:r>
          </w:p>
        </w:tc>
      </w:tr>
      <w:tr w:rsidR="004F64EF" w:rsidRPr="003003C0" w14:paraId="55409A87" w14:textId="77777777" w:rsidTr="001F3C85">
        <w:tc>
          <w:tcPr>
            <w:tcW w:w="1129" w:type="dxa"/>
            <w:hideMark/>
          </w:tcPr>
          <w:p w14:paraId="6B3AB8B4" w14:textId="77777777" w:rsidR="004F64EF" w:rsidRPr="003003C0" w:rsidRDefault="004F64EF" w:rsidP="001F3C85">
            <w:pPr>
              <w:jc w:val="center"/>
              <w:rPr>
                <w:color w:val="000000"/>
                <w:sz w:val="14"/>
                <w:szCs w:val="14"/>
              </w:rPr>
            </w:pPr>
          </w:p>
        </w:tc>
        <w:tc>
          <w:tcPr>
            <w:tcW w:w="1276" w:type="dxa"/>
            <w:hideMark/>
          </w:tcPr>
          <w:p w14:paraId="46CCBDF6" w14:textId="77777777" w:rsidR="004F64EF" w:rsidRPr="003003C0" w:rsidRDefault="004F64EF" w:rsidP="001F3C85">
            <w:pPr>
              <w:jc w:val="center"/>
              <w:rPr>
                <w:color w:val="000000"/>
                <w:sz w:val="14"/>
                <w:szCs w:val="14"/>
              </w:rPr>
            </w:pPr>
            <w:r w:rsidRPr="003003C0">
              <w:rPr>
                <w:color w:val="000000"/>
                <w:sz w:val="14"/>
                <w:szCs w:val="14"/>
              </w:rPr>
              <w:t>8529.10.10</w:t>
            </w:r>
          </w:p>
        </w:tc>
        <w:tc>
          <w:tcPr>
            <w:tcW w:w="425" w:type="dxa"/>
            <w:hideMark/>
          </w:tcPr>
          <w:p w14:paraId="37A067DA" w14:textId="77777777" w:rsidR="004F64EF" w:rsidRPr="003003C0" w:rsidRDefault="004F64EF" w:rsidP="001F3C85">
            <w:pPr>
              <w:jc w:val="center"/>
              <w:rPr>
                <w:color w:val="000000"/>
                <w:sz w:val="14"/>
                <w:szCs w:val="14"/>
              </w:rPr>
            </w:pPr>
            <w:r w:rsidRPr="003003C0">
              <w:rPr>
                <w:color w:val="000000"/>
                <w:sz w:val="14"/>
                <w:szCs w:val="14"/>
              </w:rPr>
              <w:t>02</w:t>
            </w:r>
          </w:p>
        </w:tc>
        <w:tc>
          <w:tcPr>
            <w:tcW w:w="2622" w:type="dxa"/>
            <w:hideMark/>
          </w:tcPr>
          <w:p w14:paraId="1FBCD5BD" w14:textId="77777777" w:rsidR="004F64EF" w:rsidRPr="003003C0" w:rsidRDefault="004F64EF" w:rsidP="001F3C85">
            <w:pPr>
              <w:jc w:val="left"/>
              <w:rPr>
                <w:color w:val="000000"/>
                <w:sz w:val="14"/>
                <w:szCs w:val="14"/>
              </w:rPr>
            </w:pPr>
          </w:p>
        </w:tc>
        <w:tc>
          <w:tcPr>
            <w:tcW w:w="2623" w:type="dxa"/>
            <w:tcBorders>
              <w:top w:val="nil"/>
            </w:tcBorders>
            <w:hideMark/>
          </w:tcPr>
          <w:p w14:paraId="2A606856" w14:textId="77777777" w:rsidR="004F64EF" w:rsidRPr="003003C0" w:rsidRDefault="004F64EF" w:rsidP="001F3C85">
            <w:pPr>
              <w:jc w:val="left"/>
              <w:rPr>
                <w:color w:val="000000"/>
                <w:sz w:val="14"/>
                <w:szCs w:val="14"/>
              </w:rPr>
            </w:pPr>
            <w:r w:rsidRPr="003003C0">
              <w:rPr>
                <w:color w:val="000000"/>
                <w:sz w:val="14"/>
                <w:szCs w:val="14"/>
              </w:rPr>
              <w:t xml:space="preserve">- </w:t>
            </w:r>
            <w:r>
              <w:rPr>
                <w:color w:val="000000"/>
                <w:sz w:val="14"/>
                <w:szCs w:val="14"/>
              </w:rPr>
              <w:t>Other</w:t>
            </w:r>
          </w:p>
        </w:tc>
        <w:tc>
          <w:tcPr>
            <w:tcW w:w="475" w:type="dxa"/>
            <w:tcBorders>
              <w:top w:val="nil"/>
            </w:tcBorders>
            <w:hideMark/>
          </w:tcPr>
          <w:p w14:paraId="4F8F7951" w14:textId="77777777" w:rsidR="004F64EF" w:rsidRPr="003003C0" w:rsidRDefault="004F64EF" w:rsidP="001F3C85">
            <w:pPr>
              <w:jc w:val="right"/>
              <w:rPr>
                <w:color w:val="000000"/>
                <w:sz w:val="14"/>
                <w:szCs w:val="14"/>
              </w:rPr>
            </w:pPr>
            <w:r w:rsidRPr="003003C0">
              <w:rPr>
                <w:color w:val="000000"/>
                <w:sz w:val="14"/>
                <w:szCs w:val="14"/>
              </w:rPr>
              <w:t>20</w:t>
            </w:r>
          </w:p>
        </w:tc>
        <w:tc>
          <w:tcPr>
            <w:tcW w:w="476" w:type="dxa"/>
            <w:tcBorders>
              <w:top w:val="nil"/>
            </w:tcBorders>
            <w:hideMark/>
          </w:tcPr>
          <w:p w14:paraId="4E2DFC9B" w14:textId="77777777" w:rsidR="004F64EF" w:rsidRPr="003003C0" w:rsidRDefault="004F64EF" w:rsidP="001F3C85">
            <w:pPr>
              <w:jc w:val="right"/>
              <w:rPr>
                <w:color w:val="000000"/>
                <w:sz w:val="14"/>
                <w:szCs w:val="14"/>
              </w:rPr>
            </w:pPr>
            <w:r w:rsidRPr="003003C0">
              <w:rPr>
                <w:color w:val="000000"/>
                <w:sz w:val="14"/>
                <w:szCs w:val="14"/>
              </w:rPr>
              <w:t>35</w:t>
            </w:r>
          </w:p>
        </w:tc>
      </w:tr>
      <w:tr w:rsidR="004F64EF" w:rsidRPr="003003C0" w14:paraId="2514A387" w14:textId="77777777" w:rsidTr="001F3C85">
        <w:trPr>
          <w:cnfStyle w:val="000000010000" w:firstRow="0" w:lastRow="0" w:firstColumn="0" w:lastColumn="0" w:oddVBand="0" w:evenVBand="0" w:oddHBand="0" w:evenHBand="1" w:firstRowFirstColumn="0" w:firstRowLastColumn="0" w:lastRowFirstColumn="0" w:lastRowLastColumn="0"/>
        </w:trPr>
        <w:tc>
          <w:tcPr>
            <w:tcW w:w="1129" w:type="dxa"/>
            <w:hideMark/>
          </w:tcPr>
          <w:p w14:paraId="2A750D2D" w14:textId="77777777" w:rsidR="004F64EF" w:rsidRPr="003003C0" w:rsidRDefault="004F64EF" w:rsidP="009B3FAD">
            <w:pPr>
              <w:keepNext/>
              <w:jc w:val="center"/>
              <w:rPr>
                <w:color w:val="000000"/>
                <w:sz w:val="14"/>
                <w:szCs w:val="14"/>
              </w:rPr>
            </w:pPr>
            <w:r w:rsidRPr="003003C0">
              <w:rPr>
                <w:color w:val="000000"/>
                <w:sz w:val="14"/>
                <w:szCs w:val="14"/>
              </w:rPr>
              <w:lastRenderedPageBreak/>
              <w:t>8529.10.20</w:t>
            </w:r>
          </w:p>
        </w:tc>
        <w:tc>
          <w:tcPr>
            <w:tcW w:w="1276" w:type="dxa"/>
            <w:hideMark/>
          </w:tcPr>
          <w:p w14:paraId="678752E8" w14:textId="77777777" w:rsidR="004F64EF" w:rsidRPr="003003C0" w:rsidRDefault="004F64EF" w:rsidP="009B3FAD">
            <w:pPr>
              <w:keepNext/>
              <w:jc w:val="center"/>
              <w:rPr>
                <w:color w:val="000000"/>
                <w:sz w:val="14"/>
                <w:szCs w:val="14"/>
              </w:rPr>
            </w:pPr>
            <w:r w:rsidRPr="003003C0">
              <w:rPr>
                <w:color w:val="000000"/>
                <w:sz w:val="14"/>
                <w:szCs w:val="14"/>
              </w:rPr>
              <w:t>8529.10.20</w:t>
            </w:r>
          </w:p>
        </w:tc>
        <w:tc>
          <w:tcPr>
            <w:tcW w:w="425" w:type="dxa"/>
            <w:hideMark/>
          </w:tcPr>
          <w:p w14:paraId="4D848D22" w14:textId="77777777" w:rsidR="004F64EF" w:rsidRPr="003003C0" w:rsidRDefault="004F64EF" w:rsidP="009B3FAD">
            <w:pPr>
              <w:keepNext/>
              <w:jc w:val="center"/>
              <w:rPr>
                <w:color w:val="000000"/>
                <w:sz w:val="14"/>
                <w:szCs w:val="14"/>
              </w:rPr>
            </w:pPr>
          </w:p>
        </w:tc>
        <w:tc>
          <w:tcPr>
            <w:tcW w:w="2622" w:type="dxa"/>
            <w:hideMark/>
          </w:tcPr>
          <w:p w14:paraId="71273F0B" w14:textId="77777777" w:rsidR="004F64EF" w:rsidRPr="003003C0" w:rsidRDefault="004F64EF" w:rsidP="009B3FAD">
            <w:pPr>
              <w:keepNext/>
              <w:jc w:val="left"/>
              <w:rPr>
                <w:color w:val="000000"/>
                <w:sz w:val="14"/>
                <w:szCs w:val="14"/>
              </w:rPr>
            </w:pPr>
            <w:r w:rsidRPr="00804A7E">
              <w:rPr>
                <w:color w:val="000000"/>
                <w:sz w:val="14"/>
                <w:szCs w:val="14"/>
              </w:rPr>
              <w:t>Parabolic antennae for direct reception via satellite</w:t>
            </w:r>
          </w:p>
        </w:tc>
        <w:tc>
          <w:tcPr>
            <w:tcW w:w="2623" w:type="dxa"/>
            <w:tcBorders>
              <w:bottom w:val="nil"/>
            </w:tcBorders>
            <w:hideMark/>
          </w:tcPr>
          <w:p w14:paraId="09AA8634" w14:textId="77777777" w:rsidR="004F64EF" w:rsidRPr="003003C0" w:rsidRDefault="004F64EF" w:rsidP="009B3FAD">
            <w:pPr>
              <w:keepNext/>
              <w:jc w:val="left"/>
              <w:rPr>
                <w:color w:val="000000"/>
                <w:sz w:val="14"/>
                <w:szCs w:val="14"/>
              </w:rPr>
            </w:pPr>
            <w:r w:rsidRPr="00804A7E">
              <w:rPr>
                <w:color w:val="000000"/>
                <w:sz w:val="14"/>
                <w:szCs w:val="14"/>
              </w:rPr>
              <w:t>Parabolic antennae for direct reception via satellite</w:t>
            </w:r>
          </w:p>
        </w:tc>
        <w:tc>
          <w:tcPr>
            <w:tcW w:w="475" w:type="dxa"/>
            <w:tcBorders>
              <w:bottom w:val="nil"/>
            </w:tcBorders>
            <w:hideMark/>
          </w:tcPr>
          <w:p w14:paraId="6DEB4072" w14:textId="77777777" w:rsidR="004F64EF" w:rsidRPr="003003C0" w:rsidRDefault="004F64EF" w:rsidP="009B3FAD">
            <w:pPr>
              <w:keepNext/>
              <w:jc w:val="right"/>
              <w:rPr>
                <w:color w:val="000000"/>
                <w:sz w:val="14"/>
                <w:szCs w:val="14"/>
              </w:rPr>
            </w:pPr>
          </w:p>
        </w:tc>
        <w:tc>
          <w:tcPr>
            <w:tcW w:w="476" w:type="dxa"/>
            <w:tcBorders>
              <w:bottom w:val="nil"/>
            </w:tcBorders>
            <w:hideMark/>
          </w:tcPr>
          <w:p w14:paraId="75144128" w14:textId="77777777" w:rsidR="004F64EF" w:rsidRPr="003003C0" w:rsidRDefault="004F64EF" w:rsidP="009B3FAD">
            <w:pPr>
              <w:keepNext/>
              <w:jc w:val="right"/>
              <w:rPr>
                <w:sz w:val="14"/>
                <w:szCs w:val="14"/>
              </w:rPr>
            </w:pPr>
          </w:p>
        </w:tc>
      </w:tr>
      <w:tr w:rsidR="004F64EF" w:rsidRPr="003003C0" w14:paraId="3C905D8E" w14:textId="77777777" w:rsidTr="001F3C85">
        <w:tc>
          <w:tcPr>
            <w:tcW w:w="1129" w:type="dxa"/>
            <w:hideMark/>
          </w:tcPr>
          <w:p w14:paraId="23D23F99" w14:textId="77777777" w:rsidR="004F64EF" w:rsidRPr="003003C0" w:rsidRDefault="004F64EF" w:rsidP="009B3FAD">
            <w:pPr>
              <w:keepNext/>
              <w:jc w:val="center"/>
              <w:rPr>
                <w:sz w:val="14"/>
                <w:szCs w:val="14"/>
              </w:rPr>
            </w:pPr>
          </w:p>
        </w:tc>
        <w:tc>
          <w:tcPr>
            <w:tcW w:w="1276" w:type="dxa"/>
            <w:hideMark/>
          </w:tcPr>
          <w:p w14:paraId="53DE83FB" w14:textId="77777777" w:rsidR="004F64EF" w:rsidRPr="003003C0" w:rsidRDefault="004F64EF" w:rsidP="009B3FAD">
            <w:pPr>
              <w:keepNext/>
              <w:jc w:val="center"/>
              <w:rPr>
                <w:color w:val="000000"/>
                <w:sz w:val="14"/>
                <w:szCs w:val="14"/>
              </w:rPr>
            </w:pPr>
            <w:r w:rsidRPr="003003C0">
              <w:rPr>
                <w:color w:val="000000"/>
                <w:sz w:val="14"/>
                <w:szCs w:val="14"/>
              </w:rPr>
              <w:t>8529.10.20</w:t>
            </w:r>
          </w:p>
        </w:tc>
        <w:tc>
          <w:tcPr>
            <w:tcW w:w="425" w:type="dxa"/>
            <w:hideMark/>
          </w:tcPr>
          <w:p w14:paraId="1A7A2541" w14:textId="77777777" w:rsidR="004F64EF" w:rsidRPr="003003C0" w:rsidRDefault="004F64EF" w:rsidP="009B3FAD">
            <w:pPr>
              <w:keepNext/>
              <w:jc w:val="center"/>
              <w:rPr>
                <w:color w:val="000000"/>
                <w:sz w:val="14"/>
                <w:szCs w:val="14"/>
              </w:rPr>
            </w:pPr>
            <w:r w:rsidRPr="003003C0">
              <w:rPr>
                <w:color w:val="000000"/>
                <w:sz w:val="14"/>
                <w:szCs w:val="14"/>
              </w:rPr>
              <w:t>01</w:t>
            </w:r>
          </w:p>
        </w:tc>
        <w:tc>
          <w:tcPr>
            <w:tcW w:w="2622" w:type="dxa"/>
            <w:hideMark/>
          </w:tcPr>
          <w:p w14:paraId="5AF3E5C2" w14:textId="77777777" w:rsidR="004F64EF" w:rsidRPr="003003C0" w:rsidRDefault="004F64EF" w:rsidP="009B3FAD">
            <w:pPr>
              <w:keepNext/>
              <w:jc w:val="left"/>
              <w:rPr>
                <w:color w:val="000000"/>
                <w:sz w:val="14"/>
                <w:szCs w:val="14"/>
              </w:rPr>
            </w:pPr>
          </w:p>
        </w:tc>
        <w:tc>
          <w:tcPr>
            <w:tcW w:w="2623" w:type="dxa"/>
            <w:tcBorders>
              <w:top w:val="nil"/>
              <w:bottom w:val="nil"/>
            </w:tcBorders>
            <w:shd w:val="clear" w:color="auto" w:fill="E4E4E4"/>
            <w:hideMark/>
          </w:tcPr>
          <w:p w14:paraId="59C237B0" w14:textId="77777777" w:rsidR="004F64EF" w:rsidRPr="003003C0" w:rsidRDefault="004F64EF" w:rsidP="009B3FAD">
            <w:pPr>
              <w:keepNext/>
              <w:jc w:val="left"/>
              <w:rPr>
                <w:color w:val="000000"/>
                <w:sz w:val="14"/>
                <w:szCs w:val="14"/>
              </w:rPr>
            </w:pPr>
            <w:r w:rsidRPr="003003C0">
              <w:rPr>
                <w:color w:val="000000"/>
                <w:sz w:val="14"/>
                <w:szCs w:val="14"/>
              </w:rPr>
              <w:t xml:space="preserve">- </w:t>
            </w:r>
            <w:r w:rsidRPr="00750B67">
              <w:rPr>
                <w:color w:val="000000"/>
                <w:sz w:val="14"/>
                <w:szCs w:val="14"/>
              </w:rPr>
              <w:t>Aerials or antennae of a kind used with apparatus for radio</w:t>
            </w:r>
            <w:r>
              <w:rPr>
                <w:color w:val="000000"/>
                <w:sz w:val="14"/>
                <w:szCs w:val="14"/>
              </w:rPr>
              <w:noBreakHyphen/>
            </w:r>
            <w:r w:rsidRPr="00750B67">
              <w:rPr>
                <w:color w:val="000000"/>
                <w:sz w:val="14"/>
                <w:szCs w:val="14"/>
              </w:rPr>
              <w:t>telephony and radio-telegraphy</w:t>
            </w:r>
          </w:p>
        </w:tc>
        <w:tc>
          <w:tcPr>
            <w:tcW w:w="475" w:type="dxa"/>
            <w:tcBorders>
              <w:top w:val="nil"/>
              <w:bottom w:val="nil"/>
            </w:tcBorders>
            <w:shd w:val="clear" w:color="auto" w:fill="E4E4E4"/>
            <w:hideMark/>
          </w:tcPr>
          <w:p w14:paraId="0ADF5094" w14:textId="77777777" w:rsidR="004F64EF" w:rsidRPr="003003C0" w:rsidRDefault="004F64EF" w:rsidP="009B3FAD">
            <w:pPr>
              <w:keepNext/>
              <w:jc w:val="right"/>
              <w:rPr>
                <w:color w:val="000000"/>
                <w:sz w:val="14"/>
                <w:szCs w:val="14"/>
              </w:rPr>
            </w:pPr>
            <w:r w:rsidRPr="003003C0">
              <w:rPr>
                <w:color w:val="000000"/>
                <w:sz w:val="14"/>
                <w:szCs w:val="14"/>
              </w:rPr>
              <w:t>20</w:t>
            </w:r>
          </w:p>
        </w:tc>
        <w:tc>
          <w:tcPr>
            <w:tcW w:w="476" w:type="dxa"/>
            <w:tcBorders>
              <w:top w:val="nil"/>
              <w:bottom w:val="nil"/>
            </w:tcBorders>
            <w:shd w:val="clear" w:color="auto" w:fill="E4E4E4"/>
            <w:hideMark/>
          </w:tcPr>
          <w:p w14:paraId="3422F7FC" w14:textId="77777777" w:rsidR="004F64EF" w:rsidRPr="003003C0" w:rsidRDefault="004F64EF" w:rsidP="009B3FAD">
            <w:pPr>
              <w:keepNext/>
              <w:jc w:val="right"/>
              <w:rPr>
                <w:color w:val="000000"/>
                <w:sz w:val="14"/>
                <w:szCs w:val="14"/>
              </w:rPr>
            </w:pPr>
            <w:r w:rsidRPr="003003C0">
              <w:rPr>
                <w:color w:val="000000"/>
                <w:sz w:val="14"/>
                <w:szCs w:val="14"/>
              </w:rPr>
              <w:t>0</w:t>
            </w:r>
          </w:p>
        </w:tc>
      </w:tr>
      <w:tr w:rsidR="004F64EF" w:rsidRPr="003003C0" w14:paraId="06213CA1" w14:textId="77777777" w:rsidTr="001F3C85">
        <w:trPr>
          <w:cnfStyle w:val="000000010000" w:firstRow="0" w:lastRow="0" w:firstColumn="0" w:lastColumn="0" w:oddVBand="0" w:evenVBand="0" w:oddHBand="0" w:evenHBand="1" w:firstRowFirstColumn="0" w:firstRowLastColumn="0" w:lastRowFirstColumn="0" w:lastRowLastColumn="0"/>
        </w:trPr>
        <w:tc>
          <w:tcPr>
            <w:tcW w:w="1129" w:type="dxa"/>
            <w:hideMark/>
          </w:tcPr>
          <w:p w14:paraId="0961F6B8" w14:textId="77777777" w:rsidR="004F64EF" w:rsidRPr="003003C0" w:rsidRDefault="004F64EF" w:rsidP="001F3C85">
            <w:pPr>
              <w:jc w:val="center"/>
              <w:rPr>
                <w:color w:val="000000"/>
                <w:sz w:val="14"/>
                <w:szCs w:val="14"/>
              </w:rPr>
            </w:pPr>
          </w:p>
        </w:tc>
        <w:tc>
          <w:tcPr>
            <w:tcW w:w="1276" w:type="dxa"/>
            <w:hideMark/>
          </w:tcPr>
          <w:p w14:paraId="0E429410" w14:textId="77777777" w:rsidR="004F64EF" w:rsidRPr="003003C0" w:rsidRDefault="004F64EF" w:rsidP="001F3C85">
            <w:pPr>
              <w:jc w:val="center"/>
              <w:rPr>
                <w:color w:val="000000"/>
                <w:sz w:val="14"/>
                <w:szCs w:val="14"/>
              </w:rPr>
            </w:pPr>
            <w:r w:rsidRPr="003003C0">
              <w:rPr>
                <w:color w:val="000000"/>
                <w:sz w:val="14"/>
                <w:szCs w:val="14"/>
              </w:rPr>
              <w:t>8529.10.20</w:t>
            </w:r>
          </w:p>
        </w:tc>
        <w:tc>
          <w:tcPr>
            <w:tcW w:w="425" w:type="dxa"/>
            <w:hideMark/>
          </w:tcPr>
          <w:p w14:paraId="2B36EB87" w14:textId="77777777" w:rsidR="004F64EF" w:rsidRPr="003003C0" w:rsidRDefault="004F64EF" w:rsidP="001F3C85">
            <w:pPr>
              <w:jc w:val="center"/>
              <w:rPr>
                <w:color w:val="000000"/>
                <w:sz w:val="14"/>
                <w:szCs w:val="14"/>
              </w:rPr>
            </w:pPr>
            <w:r w:rsidRPr="003003C0">
              <w:rPr>
                <w:color w:val="000000"/>
                <w:sz w:val="14"/>
                <w:szCs w:val="14"/>
              </w:rPr>
              <w:t>02</w:t>
            </w:r>
          </w:p>
        </w:tc>
        <w:tc>
          <w:tcPr>
            <w:tcW w:w="2622" w:type="dxa"/>
            <w:hideMark/>
          </w:tcPr>
          <w:p w14:paraId="74F658FB" w14:textId="77777777" w:rsidR="004F64EF" w:rsidRPr="003003C0" w:rsidRDefault="004F64EF" w:rsidP="001F3C85">
            <w:pPr>
              <w:jc w:val="left"/>
              <w:rPr>
                <w:color w:val="000000"/>
                <w:sz w:val="14"/>
                <w:szCs w:val="14"/>
              </w:rPr>
            </w:pPr>
          </w:p>
        </w:tc>
        <w:tc>
          <w:tcPr>
            <w:tcW w:w="2623" w:type="dxa"/>
            <w:tcBorders>
              <w:top w:val="nil"/>
            </w:tcBorders>
            <w:hideMark/>
          </w:tcPr>
          <w:p w14:paraId="29C08534" w14:textId="77777777" w:rsidR="004F64EF" w:rsidRPr="003003C0" w:rsidRDefault="004F64EF" w:rsidP="001F3C85">
            <w:pPr>
              <w:jc w:val="left"/>
              <w:rPr>
                <w:color w:val="000000"/>
                <w:sz w:val="14"/>
                <w:szCs w:val="14"/>
              </w:rPr>
            </w:pPr>
            <w:r w:rsidRPr="003003C0">
              <w:rPr>
                <w:color w:val="000000"/>
                <w:sz w:val="14"/>
                <w:szCs w:val="14"/>
              </w:rPr>
              <w:t xml:space="preserve">- </w:t>
            </w:r>
            <w:r>
              <w:rPr>
                <w:color w:val="000000"/>
                <w:sz w:val="14"/>
                <w:szCs w:val="14"/>
              </w:rPr>
              <w:t>Other</w:t>
            </w:r>
          </w:p>
        </w:tc>
        <w:tc>
          <w:tcPr>
            <w:tcW w:w="475" w:type="dxa"/>
            <w:tcBorders>
              <w:top w:val="nil"/>
            </w:tcBorders>
            <w:hideMark/>
          </w:tcPr>
          <w:p w14:paraId="59C2E4A5" w14:textId="77777777" w:rsidR="004F64EF" w:rsidRPr="003003C0" w:rsidRDefault="004F64EF" w:rsidP="001F3C85">
            <w:pPr>
              <w:jc w:val="right"/>
              <w:rPr>
                <w:color w:val="000000"/>
                <w:sz w:val="14"/>
                <w:szCs w:val="14"/>
              </w:rPr>
            </w:pPr>
            <w:r w:rsidRPr="003003C0">
              <w:rPr>
                <w:color w:val="000000"/>
                <w:sz w:val="14"/>
                <w:szCs w:val="14"/>
              </w:rPr>
              <w:t>20</w:t>
            </w:r>
          </w:p>
        </w:tc>
        <w:tc>
          <w:tcPr>
            <w:tcW w:w="476" w:type="dxa"/>
            <w:tcBorders>
              <w:top w:val="nil"/>
            </w:tcBorders>
            <w:hideMark/>
          </w:tcPr>
          <w:p w14:paraId="24CA7618" w14:textId="77777777" w:rsidR="004F64EF" w:rsidRPr="003003C0" w:rsidRDefault="004F64EF" w:rsidP="001F3C85">
            <w:pPr>
              <w:jc w:val="right"/>
              <w:rPr>
                <w:color w:val="000000"/>
                <w:sz w:val="14"/>
                <w:szCs w:val="14"/>
              </w:rPr>
            </w:pPr>
            <w:r w:rsidRPr="003003C0">
              <w:rPr>
                <w:color w:val="000000"/>
                <w:sz w:val="14"/>
                <w:szCs w:val="14"/>
              </w:rPr>
              <w:t>35</w:t>
            </w:r>
          </w:p>
        </w:tc>
      </w:tr>
      <w:tr w:rsidR="004F64EF" w:rsidRPr="003003C0" w14:paraId="67275022" w14:textId="77777777" w:rsidTr="001F3C85">
        <w:tc>
          <w:tcPr>
            <w:tcW w:w="1129" w:type="dxa"/>
            <w:hideMark/>
          </w:tcPr>
          <w:p w14:paraId="441FB206" w14:textId="77777777" w:rsidR="004F64EF" w:rsidRPr="003003C0" w:rsidRDefault="004F64EF" w:rsidP="001F3C85">
            <w:pPr>
              <w:jc w:val="center"/>
              <w:rPr>
                <w:color w:val="000000"/>
                <w:sz w:val="14"/>
                <w:szCs w:val="14"/>
              </w:rPr>
            </w:pPr>
            <w:r w:rsidRPr="003003C0">
              <w:rPr>
                <w:color w:val="000000"/>
                <w:sz w:val="14"/>
                <w:szCs w:val="14"/>
              </w:rPr>
              <w:t>8529.10.99</w:t>
            </w:r>
          </w:p>
        </w:tc>
        <w:tc>
          <w:tcPr>
            <w:tcW w:w="1276" w:type="dxa"/>
            <w:hideMark/>
          </w:tcPr>
          <w:p w14:paraId="0EFD593D" w14:textId="77777777" w:rsidR="004F64EF" w:rsidRPr="003003C0" w:rsidRDefault="004F64EF" w:rsidP="001F3C85">
            <w:pPr>
              <w:jc w:val="center"/>
              <w:rPr>
                <w:color w:val="000000"/>
                <w:sz w:val="14"/>
                <w:szCs w:val="14"/>
              </w:rPr>
            </w:pPr>
            <w:r w:rsidRPr="003003C0">
              <w:rPr>
                <w:color w:val="000000"/>
                <w:sz w:val="14"/>
                <w:szCs w:val="14"/>
              </w:rPr>
              <w:t>8529.10.99</w:t>
            </w:r>
          </w:p>
        </w:tc>
        <w:tc>
          <w:tcPr>
            <w:tcW w:w="425" w:type="dxa"/>
            <w:hideMark/>
          </w:tcPr>
          <w:p w14:paraId="28553076" w14:textId="77777777" w:rsidR="004F64EF" w:rsidRPr="003003C0" w:rsidRDefault="004F64EF" w:rsidP="001F3C85">
            <w:pPr>
              <w:jc w:val="center"/>
              <w:rPr>
                <w:color w:val="000000"/>
                <w:sz w:val="14"/>
                <w:szCs w:val="14"/>
              </w:rPr>
            </w:pPr>
          </w:p>
        </w:tc>
        <w:tc>
          <w:tcPr>
            <w:tcW w:w="2622" w:type="dxa"/>
            <w:hideMark/>
          </w:tcPr>
          <w:p w14:paraId="6730D44A" w14:textId="77777777" w:rsidR="004F64EF" w:rsidRPr="003003C0" w:rsidRDefault="004F64EF" w:rsidP="001F3C85">
            <w:pPr>
              <w:jc w:val="left"/>
              <w:rPr>
                <w:color w:val="000000"/>
                <w:sz w:val="14"/>
                <w:szCs w:val="14"/>
              </w:rPr>
            </w:pPr>
            <w:r>
              <w:rPr>
                <w:color w:val="000000"/>
                <w:sz w:val="14"/>
                <w:szCs w:val="14"/>
              </w:rPr>
              <w:t>Other</w:t>
            </w:r>
          </w:p>
        </w:tc>
        <w:tc>
          <w:tcPr>
            <w:tcW w:w="2623" w:type="dxa"/>
            <w:tcBorders>
              <w:bottom w:val="nil"/>
            </w:tcBorders>
            <w:hideMark/>
          </w:tcPr>
          <w:p w14:paraId="574D0847" w14:textId="77777777" w:rsidR="004F64EF" w:rsidRPr="003003C0" w:rsidRDefault="004F64EF" w:rsidP="001F3C85">
            <w:pPr>
              <w:jc w:val="left"/>
              <w:rPr>
                <w:color w:val="000000"/>
                <w:sz w:val="14"/>
                <w:szCs w:val="14"/>
              </w:rPr>
            </w:pPr>
            <w:r>
              <w:rPr>
                <w:color w:val="000000"/>
                <w:sz w:val="14"/>
                <w:szCs w:val="14"/>
              </w:rPr>
              <w:t>Other</w:t>
            </w:r>
          </w:p>
        </w:tc>
        <w:tc>
          <w:tcPr>
            <w:tcW w:w="475" w:type="dxa"/>
            <w:tcBorders>
              <w:bottom w:val="nil"/>
            </w:tcBorders>
            <w:hideMark/>
          </w:tcPr>
          <w:p w14:paraId="41436D20" w14:textId="77777777" w:rsidR="004F64EF" w:rsidRPr="003003C0" w:rsidRDefault="004F64EF" w:rsidP="001F3C85">
            <w:pPr>
              <w:jc w:val="right"/>
              <w:rPr>
                <w:color w:val="000000"/>
                <w:sz w:val="14"/>
                <w:szCs w:val="14"/>
              </w:rPr>
            </w:pPr>
          </w:p>
        </w:tc>
        <w:tc>
          <w:tcPr>
            <w:tcW w:w="476" w:type="dxa"/>
            <w:tcBorders>
              <w:bottom w:val="nil"/>
            </w:tcBorders>
            <w:hideMark/>
          </w:tcPr>
          <w:p w14:paraId="52BE3C97" w14:textId="77777777" w:rsidR="004F64EF" w:rsidRPr="003003C0" w:rsidRDefault="004F64EF" w:rsidP="001F3C85">
            <w:pPr>
              <w:jc w:val="right"/>
              <w:rPr>
                <w:sz w:val="14"/>
                <w:szCs w:val="14"/>
              </w:rPr>
            </w:pPr>
          </w:p>
        </w:tc>
      </w:tr>
      <w:tr w:rsidR="004F64EF" w:rsidRPr="003003C0" w14:paraId="10FF84E6" w14:textId="77777777" w:rsidTr="001F3C85">
        <w:trPr>
          <w:cnfStyle w:val="000000010000" w:firstRow="0" w:lastRow="0" w:firstColumn="0" w:lastColumn="0" w:oddVBand="0" w:evenVBand="0" w:oddHBand="0" w:evenHBand="1" w:firstRowFirstColumn="0" w:firstRowLastColumn="0" w:lastRowFirstColumn="0" w:lastRowLastColumn="0"/>
        </w:trPr>
        <w:tc>
          <w:tcPr>
            <w:tcW w:w="1129" w:type="dxa"/>
            <w:hideMark/>
          </w:tcPr>
          <w:p w14:paraId="6A3A1C0A" w14:textId="77777777" w:rsidR="004F64EF" w:rsidRPr="003003C0" w:rsidRDefault="004F64EF" w:rsidP="001F3C85">
            <w:pPr>
              <w:jc w:val="center"/>
              <w:rPr>
                <w:sz w:val="14"/>
                <w:szCs w:val="14"/>
              </w:rPr>
            </w:pPr>
          </w:p>
        </w:tc>
        <w:tc>
          <w:tcPr>
            <w:tcW w:w="1276" w:type="dxa"/>
            <w:hideMark/>
          </w:tcPr>
          <w:p w14:paraId="525296DB" w14:textId="77777777" w:rsidR="004F64EF" w:rsidRPr="003003C0" w:rsidRDefault="004F64EF" w:rsidP="001F3C85">
            <w:pPr>
              <w:jc w:val="center"/>
              <w:rPr>
                <w:color w:val="000000"/>
                <w:sz w:val="14"/>
                <w:szCs w:val="14"/>
              </w:rPr>
            </w:pPr>
            <w:r w:rsidRPr="003003C0">
              <w:rPr>
                <w:color w:val="000000"/>
                <w:sz w:val="14"/>
                <w:szCs w:val="14"/>
              </w:rPr>
              <w:t>8529.10.99</w:t>
            </w:r>
          </w:p>
        </w:tc>
        <w:tc>
          <w:tcPr>
            <w:tcW w:w="425" w:type="dxa"/>
            <w:hideMark/>
          </w:tcPr>
          <w:p w14:paraId="457226A0" w14:textId="77777777" w:rsidR="004F64EF" w:rsidRPr="003003C0" w:rsidRDefault="004F64EF" w:rsidP="001F3C85">
            <w:pPr>
              <w:jc w:val="center"/>
              <w:rPr>
                <w:color w:val="000000"/>
                <w:sz w:val="14"/>
                <w:szCs w:val="14"/>
              </w:rPr>
            </w:pPr>
            <w:r w:rsidRPr="003003C0">
              <w:rPr>
                <w:color w:val="000000"/>
                <w:sz w:val="14"/>
                <w:szCs w:val="14"/>
              </w:rPr>
              <w:t>01</w:t>
            </w:r>
          </w:p>
        </w:tc>
        <w:tc>
          <w:tcPr>
            <w:tcW w:w="2622" w:type="dxa"/>
            <w:hideMark/>
          </w:tcPr>
          <w:p w14:paraId="4740A483" w14:textId="77777777" w:rsidR="004F64EF" w:rsidRPr="003003C0" w:rsidRDefault="004F64EF" w:rsidP="001F3C85">
            <w:pPr>
              <w:jc w:val="left"/>
              <w:rPr>
                <w:color w:val="000000"/>
                <w:sz w:val="14"/>
                <w:szCs w:val="14"/>
              </w:rPr>
            </w:pPr>
          </w:p>
        </w:tc>
        <w:tc>
          <w:tcPr>
            <w:tcW w:w="2623" w:type="dxa"/>
            <w:tcBorders>
              <w:top w:val="nil"/>
              <w:bottom w:val="nil"/>
            </w:tcBorders>
            <w:shd w:val="clear" w:color="auto" w:fill="E4E4E4"/>
            <w:hideMark/>
          </w:tcPr>
          <w:p w14:paraId="15F40E02" w14:textId="77777777" w:rsidR="004F64EF" w:rsidRPr="003003C0" w:rsidRDefault="004F64EF" w:rsidP="001F3C85">
            <w:pPr>
              <w:jc w:val="left"/>
              <w:rPr>
                <w:color w:val="000000"/>
                <w:sz w:val="14"/>
                <w:szCs w:val="14"/>
              </w:rPr>
            </w:pPr>
            <w:r w:rsidRPr="003003C0">
              <w:rPr>
                <w:color w:val="000000"/>
                <w:sz w:val="14"/>
                <w:szCs w:val="14"/>
              </w:rPr>
              <w:t xml:space="preserve">- </w:t>
            </w:r>
            <w:r w:rsidRPr="00750B67">
              <w:rPr>
                <w:color w:val="000000"/>
                <w:sz w:val="14"/>
                <w:szCs w:val="14"/>
              </w:rPr>
              <w:t>Aerials or antennae of a kind used with apparatus for radio</w:t>
            </w:r>
            <w:r>
              <w:rPr>
                <w:color w:val="000000"/>
                <w:sz w:val="14"/>
                <w:szCs w:val="14"/>
              </w:rPr>
              <w:noBreakHyphen/>
            </w:r>
            <w:r w:rsidRPr="00750B67">
              <w:rPr>
                <w:color w:val="000000"/>
                <w:sz w:val="14"/>
                <w:szCs w:val="14"/>
              </w:rPr>
              <w:t>telephony and radio-telegraphy</w:t>
            </w:r>
          </w:p>
        </w:tc>
        <w:tc>
          <w:tcPr>
            <w:tcW w:w="475" w:type="dxa"/>
            <w:tcBorders>
              <w:top w:val="nil"/>
              <w:bottom w:val="nil"/>
            </w:tcBorders>
            <w:shd w:val="clear" w:color="auto" w:fill="E4E4E4"/>
            <w:hideMark/>
          </w:tcPr>
          <w:p w14:paraId="4ECA2317" w14:textId="77777777" w:rsidR="004F64EF" w:rsidRPr="003003C0" w:rsidRDefault="004F64EF" w:rsidP="001F3C85">
            <w:pPr>
              <w:jc w:val="right"/>
              <w:rPr>
                <w:color w:val="000000"/>
                <w:sz w:val="14"/>
                <w:szCs w:val="14"/>
              </w:rPr>
            </w:pPr>
            <w:r w:rsidRPr="003003C0">
              <w:rPr>
                <w:color w:val="000000"/>
                <w:sz w:val="14"/>
                <w:szCs w:val="14"/>
              </w:rPr>
              <w:t>3</w:t>
            </w:r>
          </w:p>
        </w:tc>
        <w:tc>
          <w:tcPr>
            <w:tcW w:w="476" w:type="dxa"/>
            <w:tcBorders>
              <w:top w:val="nil"/>
              <w:bottom w:val="nil"/>
            </w:tcBorders>
            <w:shd w:val="clear" w:color="auto" w:fill="E4E4E4"/>
            <w:hideMark/>
          </w:tcPr>
          <w:p w14:paraId="3BB10452" w14:textId="77777777" w:rsidR="004F64EF" w:rsidRPr="003003C0" w:rsidRDefault="004F64EF" w:rsidP="001F3C85">
            <w:pPr>
              <w:jc w:val="right"/>
              <w:rPr>
                <w:color w:val="000000"/>
                <w:sz w:val="14"/>
                <w:szCs w:val="14"/>
              </w:rPr>
            </w:pPr>
            <w:r w:rsidRPr="003003C0">
              <w:rPr>
                <w:color w:val="000000"/>
                <w:sz w:val="14"/>
                <w:szCs w:val="14"/>
              </w:rPr>
              <w:t>0</w:t>
            </w:r>
          </w:p>
        </w:tc>
      </w:tr>
      <w:tr w:rsidR="004F64EF" w:rsidRPr="003003C0" w14:paraId="3F3B3DF6" w14:textId="77777777" w:rsidTr="001F3C85">
        <w:tc>
          <w:tcPr>
            <w:tcW w:w="1129" w:type="dxa"/>
            <w:hideMark/>
          </w:tcPr>
          <w:p w14:paraId="359A2D7E" w14:textId="77777777" w:rsidR="004F64EF" w:rsidRPr="003003C0" w:rsidRDefault="004F64EF" w:rsidP="001F3C85">
            <w:pPr>
              <w:jc w:val="center"/>
              <w:rPr>
                <w:color w:val="000000"/>
                <w:sz w:val="14"/>
                <w:szCs w:val="14"/>
              </w:rPr>
            </w:pPr>
          </w:p>
        </w:tc>
        <w:tc>
          <w:tcPr>
            <w:tcW w:w="1276" w:type="dxa"/>
            <w:hideMark/>
          </w:tcPr>
          <w:p w14:paraId="76D00E9D" w14:textId="77777777" w:rsidR="004F64EF" w:rsidRPr="003003C0" w:rsidRDefault="004F64EF" w:rsidP="001F3C85">
            <w:pPr>
              <w:jc w:val="center"/>
              <w:rPr>
                <w:color w:val="000000"/>
                <w:sz w:val="14"/>
                <w:szCs w:val="14"/>
              </w:rPr>
            </w:pPr>
            <w:r w:rsidRPr="003003C0">
              <w:rPr>
                <w:color w:val="000000"/>
                <w:sz w:val="14"/>
                <w:szCs w:val="14"/>
              </w:rPr>
              <w:t>8529.10.99</w:t>
            </w:r>
          </w:p>
        </w:tc>
        <w:tc>
          <w:tcPr>
            <w:tcW w:w="425" w:type="dxa"/>
            <w:hideMark/>
          </w:tcPr>
          <w:p w14:paraId="26CDA70E" w14:textId="77777777" w:rsidR="004F64EF" w:rsidRPr="003003C0" w:rsidRDefault="004F64EF" w:rsidP="001F3C85">
            <w:pPr>
              <w:jc w:val="center"/>
              <w:rPr>
                <w:color w:val="000000"/>
                <w:sz w:val="14"/>
                <w:szCs w:val="14"/>
              </w:rPr>
            </w:pPr>
            <w:r w:rsidRPr="003003C0">
              <w:rPr>
                <w:color w:val="000000"/>
                <w:sz w:val="14"/>
                <w:szCs w:val="14"/>
              </w:rPr>
              <w:t>02</w:t>
            </w:r>
          </w:p>
        </w:tc>
        <w:tc>
          <w:tcPr>
            <w:tcW w:w="2622" w:type="dxa"/>
            <w:hideMark/>
          </w:tcPr>
          <w:p w14:paraId="3A8E8E0A" w14:textId="77777777" w:rsidR="004F64EF" w:rsidRPr="003003C0" w:rsidRDefault="004F64EF" w:rsidP="001F3C85">
            <w:pPr>
              <w:jc w:val="left"/>
              <w:rPr>
                <w:color w:val="000000"/>
                <w:sz w:val="14"/>
                <w:szCs w:val="14"/>
              </w:rPr>
            </w:pPr>
          </w:p>
        </w:tc>
        <w:tc>
          <w:tcPr>
            <w:tcW w:w="2623" w:type="dxa"/>
            <w:tcBorders>
              <w:top w:val="nil"/>
            </w:tcBorders>
            <w:hideMark/>
          </w:tcPr>
          <w:p w14:paraId="09EBFA31" w14:textId="77777777" w:rsidR="004F64EF" w:rsidRPr="003003C0" w:rsidRDefault="004F64EF" w:rsidP="001F3C85">
            <w:pPr>
              <w:jc w:val="left"/>
              <w:rPr>
                <w:color w:val="000000"/>
                <w:sz w:val="14"/>
                <w:szCs w:val="14"/>
              </w:rPr>
            </w:pPr>
            <w:r w:rsidRPr="003003C0">
              <w:rPr>
                <w:color w:val="000000"/>
                <w:sz w:val="14"/>
                <w:szCs w:val="14"/>
              </w:rPr>
              <w:t xml:space="preserve">- </w:t>
            </w:r>
            <w:r>
              <w:rPr>
                <w:color w:val="000000"/>
                <w:sz w:val="14"/>
                <w:szCs w:val="14"/>
              </w:rPr>
              <w:t>Other</w:t>
            </w:r>
          </w:p>
        </w:tc>
        <w:tc>
          <w:tcPr>
            <w:tcW w:w="475" w:type="dxa"/>
            <w:tcBorders>
              <w:top w:val="nil"/>
            </w:tcBorders>
            <w:hideMark/>
          </w:tcPr>
          <w:p w14:paraId="3CE9D423" w14:textId="77777777" w:rsidR="004F64EF" w:rsidRPr="003003C0" w:rsidRDefault="004F64EF" w:rsidP="001F3C85">
            <w:pPr>
              <w:jc w:val="right"/>
              <w:rPr>
                <w:color w:val="000000"/>
                <w:sz w:val="14"/>
                <w:szCs w:val="14"/>
              </w:rPr>
            </w:pPr>
            <w:r w:rsidRPr="003003C0">
              <w:rPr>
                <w:color w:val="000000"/>
                <w:sz w:val="14"/>
                <w:szCs w:val="14"/>
              </w:rPr>
              <w:t>3</w:t>
            </w:r>
          </w:p>
        </w:tc>
        <w:tc>
          <w:tcPr>
            <w:tcW w:w="476" w:type="dxa"/>
            <w:tcBorders>
              <w:top w:val="nil"/>
            </w:tcBorders>
            <w:hideMark/>
          </w:tcPr>
          <w:p w14:paraId="717C0E3D" w14:textId="77777777" w:rsidR="004F64EF" w:rsidRPr="003003C0" w:rsidRDefault="004F64EF" w:rsidP="001F3C85">
            <w:pPr>
              <w:jc w:val="right"/>
              <w:rPr>
                <w:color w:val="000000"/>
                <w:sz w:val="14"/>
                <w:szCs w:val="14"/>
              </w:rPr>
            </w:pPr>
            <w:r w:rsidRPr="003003C0">
              <w:rPr>
                <w:color w:val="000000"/>
                <w:sz w:val="14"/>
                <w:szCs w:val="14"/>
              </w:rPr>
              <w:t>35</w:t>
            </w:r>
          </w:p>
        </w:tc>
      </w:tr>
      <w:tr w:rsidR="004F64EF" w:rsidRPr="003003C0" w14:paraId="1558B422" w14:textId="77777777" w:rsidTr="001F3C85">
        <w:trPr>
          <w:cnfStyle w:val="000000010000" w:firstRow="0" w:lastRow="0" w:firstColumn="0" w:lastColumn="0" w:oddVBand="0" w:evenVBand="0" w:oddHBand="0" w:evenHBand="1" w:firstRowFirstColumn="0" w:firstRowLastColumn="0" w:lastRowFirstColumn="0" w:lastRowLastColumn="0"/>
        </w:trPr>
        <w:tc>
          <w:tcPr>
            <w:tcW w:w="1129" w:type="dxa"/>
            <w:hideMark/>
          </w:tcPr>
          <w:p w14:paraId="5EC4CD53" w14:textId="77777777" w:rsidR="004F64EF" w:rsidRPr="003003C0" w:rsidRDefault="004F64EF" w:rsidP="001F3C85">
            <w:pPr>
              <w:jc w:val="center"/>
              <w:rPr>
                <w:color w:val="000000"/>
                <w:sz w:val="14"/>
                <w:szCs w:val="14"/>
              </w:rPr>
            </w:pPr>
            <w:r w:rsidRPr="003003C0">
              <w:rPr>
                <w:color w:val="000000"/>
                <w:sz w:val="14"/>
                <w:szCs w:val="14"/>
              </w:rPr>
              <w:t>8529.90.90</w:t>
            </w:r>
          </w:p>
        </w:tc>
        <w:tc>
          <w:tcPr>
            <w:tcW w:w="1276" w:type="dxa"/>
            <w:hideMark/>
          </w:tcPr>
          <w:p w14:paraId="3F05C384" w14:textId="77777777" w:rsidR="004F64EF" w:rsidRPr="003003C0" w:rsidRDefault="004F64EF" w:rsidP="001F3C85">
            <w:pPr>
              <w:jc w:val="center"/>
              <w:rPr>
                <w:color w:val="000000"/>
                <w:sz w:val="14"/>
                <w:szCs w:val="14"/>
              </w:rPr>
            </w:pPr>
            <w:r w:rsidRPr="003003C0">
              <w:rPr>
                <w:color w:val="000000"/>
                <w:sz w:val="14"/>
                <w:szCs w:val="14"/>
              </w:rPr>
              <w:t>8529.90.90</w:t>
            </w:r>
          </w:p>
        </w:tc>
        <w:tc>
          <w:tcPr>
            <w:tcW w:w="425" w:type="dxa"/>
            <w:hideMark/>
          </w:tcPr>
          <w:p w14:paraId="5B2A7B0A" w14:textId="77777777" w:rsidR="004F64EF" w:rsidRPr="003003C0" w:rsidRDefault="004F64EF" w:rsidP="001F3C85">
            <w:pPr>
              <w:jc w:val="center"/>
              <w:rPr>
                <w:color w:val="000000"/>
                <w:sz w:val="14"/>
                <w:szCs w:val="14"/>
              </w:rPr>
            </w:pPr>
          </w:p>
        </w:tc>
        <w:tc>
          <w:tcPr>
            <w:tcW w:w="2622" w:type="dxa"/>
            <w:hideMark/>
          </w:tcPr>
          <w:p w14:paraId="07BF118B" w14:textId="77777777" w:rsidR="004F64EF" w:rsidRPr="003003C0" w:rsidRDefault="004F64EF" w:rsidP="001F3C85">
            <w:pPr>
              <w:jc w:val="left"/>
              <w:rPr>
                <w:color w:val="000000"/>
                <w:sz w:val="14"/>
                <w:szCs w:val="14"/>
              </w:rPr>
            </w:pPr>
            <w:r>
              <w:rPr>
                <w:color w:val="000000"/>
                <w:sz w:val="14"/>
                <w:szCs w:val="14"/>
              </w:rPr>
              <w:t>Other</w:t>
            </w:r>
          </w:p>
        </w:tc>
        <w:tc>
          <w:tcPr>
            <w:tcW w:w="2623" w:type="dxa"/>
            <w:tcBorders>
              <w:bottom w:val="nil"/>
            </w:tcBorders>
            <w:hideMark/>
          </w:tcPr>
          <w:p w14:paraId="4810ABFB" w14:textId="77777777" w:rsidR="004F64EF" w:rsidRPr="003003C0" w:rsidRDefault="004F64EF" w:rsidP="001F3C85">
            <w:pPr>
              <w:jc w:val="left"/>
              <w:rPr>
                <w:color w:val="000000"/>
                <w:sz w:val="14"/>
                <w:szCs w:val="14"/>
              </w:rPr>
            </w:pPr>
            <w:r>
              <w:rPr>
                <w:color w:val="000000"/>
                <w:sz w:val="14"/>
                <w:szCs w:val="14"/>
              </w:rPr>
              <w:t>Other</w:t>
            </w:r>
          </w:p>
        </w:tc>
        <w:tc>
          <w:tcPr>
            <w:tcW w:w="475" w:type="dxa"/>
            <w:tcBorders>
              <w:bottom w:val="nil"/>
            </w:tcBorders>
            <w:hideMark/>
          </w:tcPr>
          <w:p w14:paraId="42A295A6" w14:textId="77777777" w:rsidR="004F64EF" w:rsidRPr="003003C0" w:rsidRDefault="004F64EF" w:rsidP="001F3C85">
            <w:pPr>
              <w:jc w:val="right"/>
              <w:rPr>
                <w:color w:val="000000"/>
                <w:sz w:val="14"/>
                <w:szCs w:val="14"/>
              </w:rPr>
            </w:pPr>
          </w:p>
        </w:tc>
        <w:tc>
          <w:tcPr>
            <w:tcW w:w="476" w:type="dxa"/>
            <w:tcBorders>
              <w:bottom w:val="nil"/>
            </w:tcBorders>
            <w:hideMark/>
          </w:tcPr>
          <w:p w14:paraId="7253D67F" w14:textId="77777777" w:rsidR="004F64EF" w:rsidRPr="003003C0" w:rsidRDefault="004F64EF" w:rsidP="001F3C85">
            <w:pPr>
              <w:jc w:val="right"/>
              <w:rPr>
                <w:sz w:val="14"/>
                <w:szCs w:val="14"/>
              </w:rPr>
            </w:pPr>
          </w:p>
        </w:tc>
      </w:tr>
      <w:tr w:rsidR="004F64EF" w:rsidRPr="003003C0" w14:paraId="1F4F8816" w14:textId="77777777" w:rsidTr="001F3C85">
        <w:tc>
          <w:tcPr>
            <w:tcW w:w="1129" w:type="dxa"/>
            <w:hideMark/>
          </w:tcPr>
          <w:p w14:paraId="070348B5" w14:textId="77777777" w:rsidR="004F64EF" w:rsidRPr="003003C0" w:rsidRDefault="004F64EF" w:rsidP="001F3C85">
            <w:pPr>
              <w:jc w:val="center"/>
              <w:rPr>
                <w:sz w:val="14"/>
                <w:szCs w:val="14"/>
              </w:rPr>
            </w:pPr>
          </w:p>
        </w:tc>
        <w:tc>
          <w:tcPr>
            <w:tcW w:w="1276" w:type="dxa"/>
            <w:hideMark/>
          </w:tcPr>
          <w:p w14:paraId="2408FEC1" w14:textId="77777777" w:rsidR="004F64EF" w:rsidRPr="003003C0" w:rsidRDefault="004F64EF" w:rsidP="001F3C85">
            <w:pPr>
              <w:jc w:val="center"/>
              <w:rPr>
                <w:color w:val="000000"/>
                <w:sz w:val="14"/>
                <w:szCs w:val="14"/>
              </w:rPr>
            </w:pPr>
            <w:r w:rsidRPr="003003C0">
              <w:rPr>
                <w:color w:val="000000"/>
                <w:sz w:val="14"/>
                <w:szCs w:val="14"/>
              </w:rPr>
              <w:t>8529.90.90</w:t>
            </w:r>
          </w:p>
        </w:tc>
        <w:tc>
          <w:tcPr>
            <w:tcW w:w="425" w:type="dxa"/>
            <w:hideMark/>
          </w:tcPr>
          <w:p w14:paraId="0821F208" w14:textId="77777777" w:rsidR="004F64EF" w:rsidRPr="003003C0" w:rsidRDefault="004F64EF" w:rsidP="001F3C85">
            <w:pPr>
              <w:jc w:val="center"/>
              <w:rPr>
                <w:color w:val="000000"/>
                <w:sz w:val="14"/>
                <w:szCs w:val="14"/>
              </w:rPr>
            </w:pPr>
            <w:r w:rsidRPr="003003C0">
              <w:rPr>
                <w:color w:val="000000"/>
                <w:sz w:val="14"/>
                <w:szCs w:val="14"/>
              </w:rPr>
              <w:t>01</w:t>
            </w:r>
          </w:p>
        </w:tc>
        <w:tc>
          <w:tcPr>
            <w:tcW w:w="2622" w:type="dxa"/>
            <w:hideMark/>
          </w:tcPr>
          <w:p w14:paraId="194ECE10" w14:textId="77777777" w:rsidR="004F64EF" w:rsidRPr="003003C0" w:rsidRDefault="004F64EF" w:rsidP="001F3C85">
            <w:pPr>
              <w:jc w:val="left"/>
              <w:rPr>
                <w:color w:val="000000"/>
                <w:sz w:val="14"/>
                <w:szCs w:val="14"/>
              </w:rPr>
            </w:pPr>
          </w:p>
        </w:tc>
        <w:tc>
          <w:tcPr>
            <w:tcW w:w="2623" w:type="dxa"/>
            <w:tcBorders>
              <w:top w:val="nil"/>
              <w:bottom w:val="nil"/>
            </w:tcBorders>
            <w:shd w:val="clear" w:color="auto" w:fill="E4E4E4"/>
            <w:hideMark/>
          </w:tcPr>
          <w:p w14:paraId="7F43F547" w14:textId="77777777" w:rsidR="004F64EF" w:rsidRPr="003003C0" w:rsidRDefault="004F64EF" w:rsidP="001F3C85">
            <w:pPr>
              <w:jc w:val="left"/>
              <w:rPr>
                <w:color w:val="000000"/>
                <w:sz w:val="14"/>
                <w:szCs w:val="14"/>
              </w:rPr>
            </w:pPr>
            <w:r w:rsidRPr="003003C0">
              <w:rPr>
                <w:color w:val="000000"/>
                <w:sz w:val="14"/>
                <w:szCs w:val="14"/>
              </w:rPr>
              <w:t xml:space="preserve">- </w:t>
            </w:r>
            <w:r w:rsidRPr="00750B67">
              <w:rPr>
                <w:color w:val="000000"/>
                <w:sz w:val="14"/>
                <w:szCs w:val="14"/>
              </w:rPr>
              <w:t>Parts of: transmission apparatus other than apparatus for radio-broadcasting or television</w:t>
            </w:r>
            <w:r>
              <w:rPr>
                <w:color w:val="000000"/>
                <w:sz w:val="14"/>
                <w:szCs w:val="14"/>
              </w:rPr>
              <w:t>,</w:t>
            </w:r>
            <w:r w:rsidRPr="00750B67">
              <w:rPr>
                <w:color w:val="000000"/>
                <w:sz w:val="14"/>
                <w:szCs w:val="14"/>
              </w:rPr>
              <w:t xml:space="preserve"> transmission apparatus incorporating reception apparatus</w:t>
            </w:r>
            <w:r>
              <w:rPr>
                <w:color w:val="000000"/>
                <w:sz w:val="14"/>
                <w:szCs w:val="14"/>
              </w:rPr>
              <w:t xml:space="preserve">, </w:t>
            </w:r>
            <w:r w:rsidRPr="00750B67">
              <w:rPr>
                <w:color w:val="000000"/>
                <w:sz w:val="14"/>
                <w:szCs w:val="14"/>
              </w:rPr>
              <w:t>digital still image video cameras, portable receivers for alerting or paging</w:t>
            </w:r>
          </w:p>
        </w:tc>
        <w:tc>
          <w:tcPr>
            <w:tcW w:w="475" w:type="dxa"/>
            <w:tcBorders>
              <w:top w:val="nil"/>
              <w:bottom w:val="nil"/>
            </w:tcBorders>
            <w:shd w:val="clear" w:color="auto" w:fill="E4E4E4"/>
            <w:hideMark/>
          </w:tcPr>
          <w:p w14:paraId="6D25B135" w14:textId="77777777" w:rsidR="004F64EF" w:rsidRPr="003003C0" w:rsidRDefault="004F64EF" w:rsidP="001F3C85">
            <w:pPr>
              <w:jc w:val="right"/>
              <w:rPr>
                <w:color w:val="000000"/>
                <w:sz w:val="14"/>
                <w:szCs w:val="14"/>
              </w:rPr>
            </w:pPr>
            <w:r w:rsidRPr="003003C0">
              <w:rPr>
                <w:color w:val="000000"/>
                <w:sz w:val="14"/>
                <w:szCs w:val="14"/>
              </w:rPr>
              <w:t>14</w:t>
            </w:r>
          </w:p>
        </w:tc>
        <w:tc>
          <w:tcPr>
            <w:tcW w:w="476" w:type="dxa"/>
            <w:tcBorders>
              <w:top w:val="nil"/>
              <w:bottom w:val="nil"/>
            </w:tcBorders>
            <w:shd w:val="clear" w:color="auto" w:fill="E4E4E4"/>
            <w:hideMark/>
          </w:tcPr>
          <w:p w14:paraId="5A0C2761" w14:textId="77777777" w:rsidR="004F64EF" w:rsidRPr="003003C0" w:rsidRDefault="004F64EF" w:rsidP="001F3C85">
            <w:pPr>
              <w:jc w:val="right"/>
              <w:rPr>
                <w:color w:val="000000"/>
                <w:sz w:val="14"/>
                <w:szCs w:val="14"/>
              </w:rPr>
            </w:pPr>
            <w:r w:rsidRPr="003003C0">
              <w:rPr>
                <w:color w:val="000000"/>
                <w:sz w:val="14"/>
                <w:szCs w:val="14"/>
              </w:rPr>
              <w:t>0</w:t>
            </w:r>
          </w:p>
        </w:tc>
      </w:tr>
      <w:tr w:rsidR="004F64EF" w:rsidRPr="003003C0" w14:paraId="72E02F2C" w14:textId="77777777" w:rsidTr="001F3C85">
        <w:trPr>
          <w:cnfStyle w:val="000000010000" w:firstRow="0" w:lastRow="0" w:firstColumn="0" w:lastColumn="0" w:oddVBand="0" w:evenVBand="0" w:oddHBand="0" w:evenHBand="1" w:firstRowFirstColumn="0" w:firstRowLastColumn="0" w:lastRowFirstColumn="0" w:lastRowLastColumn="0"/>
        </w:trPr>
        <w:tc>
          <w:tcPr>
            <w:tcW w:w="1129" w:type="dxa"/>
            <w:hideMark/>
          </w:tcPr>
          <w:p w14:paraId="49247149" w14:textId="77777777" w:rsidR="004F64EF" w:rsidRPr="003003C0" w:rsidRDefault="004F64EF" w:rsidP="001F3C85">
            <w:pPr>
              <w:jc w:val="center"/>
              <w:rPr>
                <w:color w:val="000000"/>
                <w:sz w:val="14"/>
                <w:szCs w:val="14"/>
              </w:rPr>
            </w:pPr>
          </w:p>
        </w:tc>
        <w:tc>
          <w:tcPr>
            <w:tcW w:w="1276" w:type="dxa"/>
            <w:hideMark/>
          </w:tcPr>
          <w:p w14:paraId="161AC754" w14:textId="77777777" w:rsidR="004F64EF" w:rsidRPr="003003C0" w:rsidRDefault="004F64EF" w:rsidP="001F3C85">
            <w:pPr>
              <w:jc w:val="center"/>
              <w:rPr>
                <w:color w:val="000000"/>
                <w:sz w:val="14"/>
                <w:szCs w:val="14"/>
              </w:rPr>
            </w:pPr>
            <w:r w:rsidRPr="003003C0">
              <w:rPr>
                <w:color w:val="000000"/>
                <w:sz w:val="14"/>
                <w:szCs w:val="14"/>
              </w:rPr>
              <w:t>8529.90.90</w:t>
            </w:r>
          </w:p>
        </w:tc>
        <w:tc>
          <w:tcPr>
            <w:tcW w:w="425" w:type="dxa"/>
            <w:hideMark/>
          </w:tcPr>
          <w:p w14:paraId="1C5D91C6" w14:textId="77777777" w:rsidR="004F64EF" w:rsidRPr="003003C0" w:rsidRDefault="004F64EF" w:rsidP="001F3C85">
            <w:pPr>
              <w:jc w:val="center"/>
              <w:rPr>
                <w:color w:val="000000"/>
                <w:sz w:val="14"/>
                <w:szCs w:val="14"/>
              </w:rPr>
            </w:pPr>
            <w:r w:rsidRPr="003003C0">
              <w:rPr>
                <w:color w:val="000000"/>
                <w:sz w:val="14"/>
                <w:szCs w:val="14"/>
              </w:rPr>
              <w:t>02</w:t>
            </w:r>
          </w:p>
        </w:tc>
        <w:tc>
          <w:tcPr>
            <w:tcW w:w="2622" w:type="dxa"/>
            <w:hideMark/>
          </w:tcPr>
          <w:p w14:paraId="4CAE0B81" w14:textId="77777777" w:rsidR="004F64EF" w:rsidRPr="003003C0" w:rsidRDefault="004F64EF" w:rsidP="001F3C85">
            <w:pPr>
              <w:jc w:val="left"/>
              <w:rPr>
                <w:color w:val="000000"/>
                <w:sz w:val="14"/>
                <w:szCs w:val="14"/>
              </w:rPr>
            </w:pPr>
          </w:p>
        </w:tc>
        <w:tc>
          <w:tcPr>
            <w:tcW w:w="2623" w:type="dxa"/>
            <w:tcBorders>
              <w:top w:val="nil"/>
            </w:tcBorders>
            <w:hideMark/>
          </w:tcPr>
          <w:p w14:paraId="4BFC4501" w14:textId="77777777" w:rsidR="004F64EF" w:rsidRPr="003003C0" w:rsidRDefault="004F64EF" w:rsidP="001F3C85">
            <w:pPr>
              <w:jc w:val="left"/>
              <w:rPr>
                <w:color w:val="000000"/>
                <w:sz w:val="14"/>
                <w:szCs w:val="14"/>
              </w:rPr>
            </w:pPr>
            <w:r w:rsidRPr="003003C0">
              <w:rPr>
                <w:color w:val="000000"/>
                <w:sz w:val="14"/>
                <w:szCs w:val="14"/>
              </w:rPr>
              <w:t xml:space="preserve">- </w:t>
            </w:r>
            <w:r>
              <w:rPr>
                <w:color w:val="000000"/>
                <w:sz w:val="14"/>
                <w:szCs w:val="14"/>
              </w:rPr>
              <w:t>Other</w:t>
            </w:r>
          </w:p>
        </w:tc>
        <w:tc>
          <w:tcPr>
            <w:tcW w:w="475" w:type="dxa"/>
            <w:tcBorders>
              <w:top w:val="nil"/>
            </w:tcBorders>
            <w:hideMark/>
          </w:tcPr>
          <w:p w14:paraId="27F01BD8" w14:textId="77777777" w:rsidR="004F64EF" w:rsidRPr="003003C0" w:rsidRDefault="004F64EF" w:rsidP="001F3C85">
            <w:pPr>
              <w:jc w:val="right"/>
              <w:rPr>
                <w:color w:val="000000"/>
                <w:sz w:val="14"/>
                <w:szCs w:val="14"/>
              </w:rPr>
            </w:pPr>
            <w:r w:rsidRPr="003003C0">
              <w:rPr>
                <w:color w:val="000000"/>
                <w:sz w:val="14"/>
                <w:szCs w:val="14"/>
              </w:rPr>
              <w:t>14</w:t>
            </w:r>
          </w:p>
        </w:tc>
        <w:tc>
          <w:tcPr>
            <w:tcW w:w="476" w:type="dxa"/>
            <w:tcBorders>
              <w:top w:val="nil"/>
            </w:tcBorders>
            <w:hideMark/>
          </w:tcPr>
          <w:p w14:paraId="4168F733" w14:textId="77777777" w:rsidR="004F64EF" w:rsidRPr="003003C0" w:rsidRDefault="004F64EF" w:rsidP="001F3C85">
            <w:pPr>
              <w:jc w:val="right"/>
              <w:rPr>
                <w:color w:val="000000"/>
                <w:sz w:val="14"/>
                <w:szCs w:val="14"/>
              </w:rPr>
            </w:pPr>
            <w:r w:rsidRPr="003003C0">
              <w:rPr>
                <w:color w:val="000000"/>
                <w:sz w:val="14"/>
                <w:szCs w:val="14"/>
              </w:rPr>
              <w:t>35</w:t>
            </w:r>
          </w:p>
        </w:tc>
      </w:tr>
      <w:tr w:rsidR="004F64EF" w:rsidRPr="003003C0" w14:paraId="35F3947F" w14:textId="77777777" w:rsidTr="001F3C85">
        <w:tc>
          <w:tcPr>
            <w:tcW w:w="1129" w:type="dxa"/>
            <w:hideMark/>
          </w:tcPr>
          <w:p w14:paraId="1D7EAE69" w14:textId="77777777" w:rsidR="004F64EF" w:rsidRPr="003003C0" w:rsidRDefault="004F64EF" w:rsidP="001F3C85">
            <w:pPr>
              <w:jc w:val="center"/>
              <w:rPr>
                <w:color w:val="000000"/>
                <w:sz w:val="14"/>
                <w:szCs w:val="14"/>
              </w:rPr>
            </w:pPr>
            <w:r w:rsidRPr="003003C0">
              <w:rPr>
                <w:color w:val="000000"/>
                <w:sz w:val="14"/>
                <w:szCs w:val="14"/>
              </w:rPr>
              <w:t>8536.69.10</w:t>
            </w:r>
          </w:p>
        </w:tc>
        <w:tc>
          <w:tcPr>
            <w:tcW w:w="1276" w:type="dxa"/>
            <w:hideMark/>
          </w:tcPr>
          <w:p w14:paraId="1FF5BCB3" w14:textId="77777777" w:rsidR="004F64EF" w:rsidRPr="003003C0" w:rsidRDefault="004F64EF" w:rsidP="001F3C85">
            <w:pPr>
              <w:jc w:val="center"/>
              <w:rPr>
                <w:color w:val="000000"/>
                <w:sz w:val="14"/>
                <w:szCs w:val="14"/>
              </w:rPr>
            </w:pPr>
            <w:r w:rsidRPr="003003C0">
              <w:rPr>
                <w:color w:val="000000"/>
                <w:sz w:val="14"/>
                <w:szCs w:val="14"/>
              </w:rPr>
              <w:t>8536.69.10</w:t>
            </w:r>
          </w:p>
        </w:tc>
        <w:tc>
          <w:tcPr>
            <w:tcW w:w="425" w:type="dxa"/>
            <w:hideMark/>
          </w:tcPr>
          <w:p w14:paraId="3154EE9A" w14:textId="77777777" w:rsidR="004F64EF" w:rsidRPr="003003C0" w:rsidRDefault="004F64EF" w:rsidP="001F3C85">
            <w:pPr>
              <w:jc w:val="center"/>
              <w:rPr>
                <w:color w:val="000000"/>
                <w:sz w:val="14"/>
                <w:szCs w:val="14"/>
              </w:rPr>
            </w:pPr>
          </w:p>
        </w:tc>
        <w:tc>
          <w:tcPr>
            <w:tcW w:w="2622" w:type="dxa"/>
            <w:hideMark/>
          </w:tcPr>
          <w:p w14:paraId="2252600A" w14:textId="77777777" w:rsidR="004F64EF" w:rsidRPr="003003C0" w:rsidRDefault="004F64EF" w:rsidP="001F3C85">
            <w:pPr>
              <w:jc w:val="left"/>
              <w:rPr>
                <w:color w:val="000000"/>
                <w:sz w:val="14"/>
                <w:szCs w:val="14"/>
              </w:rPr>
            </w:pPr>
            <w:r>
              <w:rPr>
                <w:color w:val="000000"/>
                <w:sz w:val="14"/>
                <w:szCs w:val="14"/>
              </w:rPr>
              <w:t>Plugs</w:t>
            </w:r>
          </w:p>
        </w:tc>
        <w:tc>
          <w:tcPr>
            <w:tcW w:w="2623" w:type="dxa"/>
            <w:tcBorders>
              <w:bottom w:val="nil"/>
            </w:tcBorders>
            <w:hideMark/>
          </w:tcPr>
          <w:p w14:paraId="4D3B2E28" w14:textId="77777777" w:rsidR="004F64EF" w:rsidRPr="003003C0" w:rsidRDefault="004F64EF" w:rsidP="001F3C85">
            <w:pPr>
              <w:jc w:val="left"/>
              <w:rPr>
                <w:color w:val="000000"/>
                <w:sz w:val="14"/>
                <w:szCs w:val="14"/>
              </w:rPr>
            </w:pPr>
            <w:r>
              <w:rPr>
                <w:color w:val="000000"/>
                <w:sz w:val="14"/>
                <w:szCs w:val="14"/>
              </w:rPr>
              <w:t>Plugs</w:t>
            </w:r>
          </w:p>
        </w:tc>
        <w:tc>
          <w:tcPr>
            <w:tcW w:w="475" w:type="dxa"/>
            <w:tcBorders>
              <w:bottom w:val="nil"/>
            </w:tcBorders>
            <w:hideMark/>
          </w:tcPr>
          <w:p w14:paraId="72669C28" w14:textId="77777777" w:rsidR="004F64EF" w:rsidRPr="003003C0" w:rsidRDefault="004F64EF" w:rsidP="001F3C85">
            <w:pPr>
              <w:jc w:val="right"/>
              <w:rPr>
                <w:color w:val="000000"/>
                <w:sz w:val="14"/>
                <w:szCs w:val="14"/>
              </w:rPr>
            </w:pPr>
          </w:p>
        </w:tc>
        <w:tc>
          <w:tcPr>
            <w:tcW w:w="476" w:type="dxa"/>
            <w:tcBorders>
              <w:bottom w:val="nil"/>
            </w:tcBorders>
            <w:hideMark/>
          </w:tcPr>
          <w:p w14:paraId="65818C63" w14:textId="77777777" w:rsidR="004F64EF" w:rsidRPr="003003C0" w:rsidRDefault="004F64EF" w:rsidP="001F3C85">
            <w:pPr>
              <w:jc w:val="right"/>
              <w:rPr>
                <w:sz w:val="14"/>
                <w:szCs w:val="14"/>
              </w:rPr>
            </w:pPr>
          </w:p>
        </w:tc>
      </w:tr>
      <w:tr w:rsidR="004F64EF" w:rsidRPr="003003C0" w14:paraId="70E1A186" w14:textId="77777777" w:rsidTr="001F3C85">
        <w:trPr>
          <w:cnfStyle w:val="000000010000" w:firstRow="0" w:lastRow="0" w:firstColumn="0" w:lastColumn="0" w:oddVBand="0" w:evenVBand="0" w:oddHBand="0" w:evenHBand="1" w:firstRowFirstColumn="0" w:firstRowLastColumn="0" w:lastRowFirstColumn="0" w:lastRowLastColumn="0"/>
        </w:trPr>
        <w:tc>
          <w:tcPr>
            <w:tcW w:w="1129" w:type="dxa"/>
            <w:hideMark/>
          </w:tcPr>
          <w:p w14:paraId="5C94A081" w14:textId="77777777" w:rsidR="004F64EF" w:rsidRPr="003003C0" w:rsidRDefault="004F64EF" w:rsidP="001F3C85">
            <w:pPr>
              <w:jc w:val="center"/>
              <w:rPr>
                <w:sz w:val="14"/>
                <w:szCs w:val="14"/>
              </w:rPr>
            </w:pPr>
          </w:p>
        </w:tc>
        <w:tc>
          <w:tcPr>
            <w:tcW w:w="1276" w:type="dxa"/>
            <w:hideMark/>
          </w:tcPr>
          <w:p w14:paraId="4CDE62EF" w14:textId="77777777" w:rsidR="004F64EF" w:rsidRPr="003003C0" w:rsidRDefault="004F64EF" w:rsidP="001F3C85">
            <w:pPr>
              <w:jc w:val="center"/>
              <w:rPr>
                <w:color w:val="000000"/>
                <w:sz w:val="14"/>
                <w:szCs w:val="14"/>
              </w:rPr>
            </w:pPr>
            <w:r w:rsidRPr="003003C0">
              <w:rPr>
                <w:color w:val="000000"/>
                <w:sz w:val="14"/>
                <w:szCs w:val="14"/>
              </w:rPr>
              <w:t>8536.69.10</w:t>
            </w:r>
          </w:p>
        </w:tc>
        <w:tc>
          <w:tcPr>
            <w:tcW w:w="425" w:type="dxa"/>
            <w:hideMark/>
          </w:tcPr>
          <w:p w14:paraId="0A863E26" w14:textId="77777777" w:rsidR="004F64EF" w:rsidRPr="003003C0" w:rsidRDefault="004F64EF" w:rsidP="001F3C85">
            <w:pPr>
              <w:jc w:val="center"/>
              <w:rPr>
                <w:color w:val="000000"/>
                <w:sz w:val="14"/>
                <w:szCs w:val="14"/>
              </w:rPr>
            </w:pPr>
            <w:r w:rsidRPr="003003C0">
              <w:rPr>
                <w:color w:val="000000"/>
                <w:sz w:val="14"/>
                <w:szCs w:val="14"/>
              </w:rPr>
              <w:t>01</w:t>
            </w:r>
          </w:p>
        </w:tc>
        <w:tc>
          <w:tcPr>
            <w:tcW w:w="2622" w:type="dxa"/>
            <w:hideMark/>
          </w:tcPr>
          <w:p w14:paraId="5B0AEAAE" w14:textId="77777777" w:rsidR="004F64EF" w:rsidRPr="003003C0" w:rsidRDefault="004F64EF" w:rsidP="001F3C85">
            <w:pPr>
              <w:jc w:val="left"/>
              <w:rPr>
                <w:color w:val="000000"/>
                <w:sz w:val="14"/>
                <w:szCs w:val="14"/>
              </w:rPr>
            </w:pPr>
          </w:p>
        </w:tc>
        <w:tc>
          <w:tcPr>
            <w:tcW w:w="2623" w:type="dxa"/>
            <w:tcBorders>
              <w:top w:val="nil"/>
              <w:bottom w:val="nil"/>
            </w:tcBorders>
            <w:shd w:val="clear" w:color="auto" w:fill="E4E4E4"/>
            <w:hideMark/>
          </w:tcPr>
          <w:p w14:paraId="4CD9FBDD" w14:textId="77777777" w:rsidR="004F64EF" w:rsidRPr="003003C0" w:rsidRDefault="004F64EF" w:rsidP="001F3C85">
            <w:pPr>
              <w:jc w:val="left"/>
              <w:rPr>
                <w:color w:val="000000"/>
                <w:sz w:val="14"/>
                <w:szCs w:val="14"/>
              </w:rPr>
            </w:pPr>
            <w:r w:rsidRPr="003003C0">
              <w:rPr>
                <w:color w:val="000000"/>
                <w:sz w:val="14"/>
                <w:szCs w:val="14"/>
              </w:rPr>
              <w:t xml:space="preserve">- </w:t>
            </w:r>
            <w:r w:rsidRPr="000772B2">
              <w:rPr>
                <w:color w:val="000000"/>
                <w:sz w:val="14"/>
                <w:szCs w:val="14"/>
              </w:rPr>
              <w:t>Plugs for co-axial cables and printed circuits</w:t>
            </w:r>
          </w:p>
        </w:tc>
        <w:tc>
          <w:tcPr>
            <w:tcW w:w="475" w:type="dxa"/>
            <w:tcBorders>
              <w:top w:val="nil"/>
              <w:bottom w:val="nil"/>
            </w:tcBorders>
            <w:shd w:val="clear" w:color="auto" w:fill="E4E4E4"/>
            <w:hideMark/>
          </w:tcPr>
          <w:p w14:paraId="61A02147" w14:textId="77777777" w:rsidR="004F64EF" w:rsidRPr="003003C0" w:rsidRDefault="004F64EF" w:rsidP="001F3C85">
            <w:pPr>
              <w:jc w:val="right"/>
              <w:rPr>
                <w:color w:val="000000"/>
                <w:sz w:val="14"/>
                <w:szCs w:val="14"/>
              </w:rPr>
            </w:pPr>
            <w:r w:rsidRPr="003003C0">
              <w:rPr>
                <w:color w:val="000000"/>
                <w:sz w:val="14"/>
                <w:szCs w:val="14"/>
              </w:rPr>
              <w:t>14</w:t>
            </w:r>
          </w:p>
        </w:tc>
        <w:tc>
          <w:tcPr>
            <w:tcW w:w="476" w:type="dxa"/>
            <w:tcBorders>
              <w:top w:val="nil"/>
              <w:bottom w:val="nil"/>
            </w:tcBorders>
            <w:shd w:val="clear" w:color="auto" w:fill="E4E4E4"/>
            <w:hideMark/>
          </w:tcPr>
          <w:p w14:paraId="57299262" w14:textId="77777777" w:rsidR="004F64EF" w:rsidRPr="003003C0" w:rsidRDefault="004F64EF" w:rsidP="001F3C85">
            <w:pPr>
              <w:jc w:val="right"/>
              <w:rPr>
                <w:color w:val="000000"/>
                <w:sz w:val="14"/>
                <w:szCs w:val="14"/>
              </w:rPr>
            </w:pPr>
            <w:r w:rsidRPr="003003C0">
              <w:rPr>
                <w:color w:val="000000"/>
                <w:sz w:val="14"/>
                <w:szCs w:val="14"/>
              </w:rPr>
              <w:t>0</w:t>
            </w:r>
          </w:p>
        </w:tc>
      </w:tr>
      <w:tr w:rsidR="004F64EF" w:rsidRPr="003003C0" w14:paraId="0BFB18CB" w14:textId="77777777" w:rsidTr="001F3C85">
        <w:tc>
          <w:tcPr>
            <w:tcW w:w="1129" w:type="dxa"/>
            <w:hideMark/>
          </w:tcPr>
          <w:p w14:paraId="1AFE8F69" w14:textId="77777777" w:rsidR="004F64EF" w:rsidRPr="003003C0" w:rsidRDefault="004F64EF" w:rsidP="001F3C85">
            <w:pPr>
              <w:jc w:val="center"/>
              <w:rPr>
                <w:color w:val="000000"/>
                <w:sz w:val="14"/>
                <w:szCs w:val="14"/>
              </w:rPr>
            </w:pPr>
          </w:p>
        </w:tc>
        <w:tc>
          <w:tcPr>
            <w:tcW w:w="1276" w:type="dxa"/>
            <w:hideMark/>
          </w:tcPr>
          <w:p w14:paraId="32D08131" w14:textId="77777777" w:rsidR="004F64EF" w:rsidRPr="003003C0" w:rsidRDefault="004F64EF" w:rsidP="001F3C85">
            <w:pPr>
              <w:jc w:val="center"/>
              <w:rPr>
                <w:color w:val="000000"/>
                <w:sz w:val="14"/>
                <w:szCs w:val="14"/>
              </w:rPr>
            </w:pPr>
            <w:r w:rsidRPr="003003C0">
              <w:rPr>
                <w:color w:val="000000"/>
                <w:sz w:val="14"/>
                <w:szCs w:val="14"/>
              </w:rPr>
              <w:t>8536.69.10</w:t>
            </w:r>
          </w:p>
        </w:tc>
        <w:tc>
          <w:tcPr>
            <w:tcW w:w="425" w:type="dxa"/>
            <w:hideMark/>
          </w:tcPr>
          <w:p w14:paraId="03F90AAC" w14:textId="77777777" w:rsidR="004F64EF" w:rsidRPr="003003C0" w:rsidRDefault="004F64EF" w:rsidP="001F3C85">
            <w:pPr>
              <w:jc w:val="center"/>
              <w:rPr>
                <w:color w:val="000000"/>
                <w:sz w:val="14"/>
                <w:szCs w:val="14"/>
              </w:rPr>
            </w:pPr>
            <w:r w:rsidRPr="003003C0">
              <w:rPr>
                <w:color w:val="000000"/>
                <w:sz w:val="14"/>
                <w:szCs w:val="14"/>
              </w:rPr>
              <w:t>02</w:t>
            </w:r>
          </w:p>
        </w:tc>
        <w:tc>
          <w:tcPr>
            <w:tcW w:w="2622" w:type="dxa"/>
            <w:hideMark/>
          </w:tcPr>
          <w:p w14:paraId="041B221C" w14:textId="77777777" w:rsidR="004F64EF" w:rsidRPr="003003C0" w:rsidRDefault="004F64EF" w:rsidP="001F3C85">
            <w:pPr>
              <w:jc w:val="left"/>
              <w:rPr>
                <w:color w:val="000000"/>
                <w:sz w:val="14"/>
                <w:szCs w:val="14"/>
              </w:rPr>
            </w:pPr>
          </w:p>
        </w:tc>
        <w:tc>
          <w:tcPr>
            <w:tcW w:w="2623" w:type="dxa"/>
            <w:tcBorders>
              <w:top w:val="nil"/>
            </w:tcBorders>
            <w:hideMark/>
          </w:tcPr>
          <w:p w14:paraId="1FF83370" w14:textId="77777777" w:rsidR="004F64EF" w:rsidRPr="003003C0" w:rsidRDefault="004F64EF" w:rsidP="001F3C85">
            <w:pPr>
              <w:jc w:val="left"/>
              <w:rPr>
                <w:color w:val="000000"/>
                <w:sz w:val="14"/>
                <w:szCs w:val="14"/>
              </w:rPr>
            </w:pPr>
            <w:r w:rsidRPr="003003C0">
              <w:rPr>
                <w:color w:val="000000"/>
                <w:sz w:val="14"/>
                <w:szCs w:val="14"/>
              </w:rPr>
              <w:t xml:space="preserve">- </w:t>
            </w:r>
            <w:r>
              <w:rPr>
                <w:color w:val="000000"/>
                <w:sz w:val="14"/>
                <w:szCs w:val="14"/>
              </w:rPr>
              <w:t>Other</w:t>
            </w:r>
          </w:p>
        </w:tc>
        <w:tc>
          <w:tcPr>
            <w:tcW w:w="475" w:type="dxa"/>
            <w:tcBorders>
              <w:top w:val="nil"/>
            </w:tcBorders>
            <w:hideMark/>
          </w:tcPr>
          <w:p w14:paraId="0FDA0A0F" w14:textId="77777777" w:rsidR="004F64EF" w:rsidRPr="003003C0" w:rsidRDefault="004F64EF" w:rsidP="001F3C85">
            <w:pPr>
              <w:jc w:val="right"/>
              <w:rPr>
                <w:color w:val="000000"/>
                <w:sz w:val="14"/>
                <w:szCs w:val="14"/>
              </w:rPr>
            </w:pPr>
            <w:r w:rsidRPr="003003C0">
              <w:rPr>
                <w:color w:val="000000"/>
                <w:sz w:val="14"/>
                <w:szCs w:val="14"/>
              </w:rPr>
              <w:t>14</w:t>
            </w:r>
          </w:p>
        </w:tc>
        <w:tc>
          <w:tcPr>
            <w:tcW w:w="476" w:type="dxa"/>
            <w:tcBorders>
              <w:top w:val="nil"/>
            </w:tcBorders>
            <w:hideMark/>
          </w:tcPr>
          <w:p w14:paraId="3AC0A808" w14:textId="77777777" w:rsidR="004F64EF" w:rsidRPr="003003C0" w:rsidRDefault="004F64EF" w:rsidP="001F3C85">
            <w:pPr>
              <w:jc w:val="right"/>
              <w:rPr>
                <w:color w:val="000000"/>
                <w:sz w:val="14"/>
                <w:szCs w:val="14"/>
              </w:rPr>
            </w:pPr>
            <w:r w:rsidRPr="003003C0">
              <w:rPr>
                <w:color w:val="000000"/>
                <w:sz w:val="14"/>
                <w:szCs w:val="14"/>
              </w:rPr>
              <w:t>35</w:t>
            </w:r>
          </w:p>
        </w:tc>
      </w:tr>
      <w:tr w:rsidR="004F64EF" w:rsidRPr="003003C0" w14:paraId="4EBFC1D5" w14:textId="77777777" w:rsidTr="001F3C85">
        <w:trPr>
          <w:cnfStyle w:val="000000010000" w:firstRow="0" w:lastRow="0" w:firstColumn="0" w:lastColumn="0" w:oddVBand="0" w:evenVBand="0" w:oddHBand="0" w:evenHBand="1" w:firstRowFirstColumn="0" w:firstRowLastColumn="0" w:lastRowFirstColumn="0" w:lastRowLastColumn="0"/>
        </w:trPr>
        <w:tc>
          <w:tcPr>
            <w:tcW w:w="1129" w:type="dxa"/>
            <w:hideMark/>
          </w:tcPr>
          <w:p w14:paraId="3AF2EE13" w14:textId="77777777" w:rsidR="004F64EF" w:rsidRPr="003003C0" w:rsidRDefault="004F64EF" w:rsidP="001F3C85">
            <w:pPr>
              <w:jc w:val="center"/>
              <w:rPr>
                <w:color w:val="000000"/>
                <w:sz w:val="14"/>
                <w:szCs w:val="14"/>
              </w:rPr>
            </w:pPr>
            <w:r w:rsidRPr="003003C0">
              <w:rPr>
                <w:color w:val="000000"/>
                <w:sz w:val="14"/>
                <w:szCs w:val="14"/>
              </w:rPr>
              <w:t>8536.69.20</w:t>
            </w:r>
          </w:p>
        </w:tc>
        <w:tc>
          <w:tcPr>
            <w:tcW w:w="1276" w:type="dxa"/>
            <w:hideMark/>
          </w:tcPr>
          <w:p w14:paraId="14A42FF0" w14:textId="77777777" w:rsidR="004F64EF" w:rsidRPr="003003C0" w:rsidRDefault="004F64EF" w:rsidP="001F3C85">
            <w:pPr>
              <w:jc w:val="center"/>
              <w:rPr>
                <w:color w:val="000000"/>
                <w:sz w:val="14"/>
                <w:szCs w:val="14"/>
              </w:rPr>
            </w:pPr>
            <w:r w:rsidRPr="003003C0">
              <w:rPr>
                <w:color w:val="000000"/>
                <w:sz w:val="14"/>
                <w:szCs w:val="14"/>
              </w:rPr>
              <w:t>8536.69.20</w:t>
            </w:r>
          </w:p>
        </w:tc>
        <w:tc>
          <w:tcPr>
            <w:tcW w:w="425" w:type="dxa"/>
            <w:hideMark/>
          </w:tcPr>
          <w:p w14:paraId="79CFC647" w14:textId="77777777" w:rsidR="004F64EF" w:rsidRPr="003003C0" w:rsidRDefault="004F64EF" w:rsidP="001F3C85">
            <w:pPr>
              <w:jc w:val="center"/>
              <w:rPr>
                <w:color w:val="000000"/>
                <w:sz w:val="14"/>
                <w:szCs w:val="14"/>
              </w:rPr>
            </w:pPr>
          </w:p>
        </w:tc>
        <w:tc>
          <w:tcPr>
            <w:tcW w:w="2622" w:type="dxa"/>
            <w:hideMark/>
          </w:tcPr>
          <w:p w14:paraId="32F6858F" w14:textId="77777777" w:rsidR="004F64EF" w:rsidRPr="003003C0" w:rsidRDefault="004F64EF" w:rsidP="001F3C85">
            <w:pPr>
              <w:jc w:val="left"/>
              <w:rPr>
                <w:color w:val="000000"/>
                <w:sz w:val="14"/>
                <w:szCs w:val="14"/>
              </w:rPr>
            </w:pPr>
            <w:r>
              <w:rPr>
                <w:color w:val="000000"/>
                <w:sz w:val="14"/>
                <w:szCs w:val="14"/>
              </w:rPr>
              <w:t>Sockets</w:t>
            </w:r>
          </w:p>
        </w:tc>
        <w:tc>
          <w:tcPr>
            <w:tcW w:w="2623" w:type="dxa"/>
            <w:tcBorders>
              <w:bottom w:val="nil"/>
            </w:tcBorders>
            <w:hideMark/>
          </w:tcPr>
          <w:p w14:paraId="366E8ADA" w14:textId="77777777" w:rsidR="004F64EF" w:rsidRPr="003003C0" w:rsidRDefault="004F64EF" w:rsidP="001F3C85">
            <w:pPr>
              <w:jc w:val="left"/>
              <w:rPr>
                <w:color w:val="000000"/>
                <w:sz w:val="14"/>
                <w:szCs w:val="14"/>
              </w:rPr>
            </w:pPr>
            <w:r>
              <w:rPr>
                <w:color w:val="000000"/>
                <w:sz w:val="14"/>
                <w:szCs w:val="14"/>
              </w:rPr>
              <w:t>Sockets</w:t>
            </w:r>
          </w:p>
        </w:tc>
        <w:tc>
          <w:tcPr>
            <w:tcW w:w="475" w:type="dxa"/>
            <w:tcBorders>
              <w:bottom w:val="nil"/>
            </w:tcBorders>
            <w:hideMark/>
          </w:tcPr>
          <w:p w14:paraId="49D1A71C" w14:textId="77777777" w:rsidR="004F64EF" w:rsidRPr="003003C0" w:rsidRDefault="004F64EF" w:rsidP="001F3C85">
            <w:pPr>
              <w:jc w:val="right"/>
              <w:rPr>
                <w:color w:val="000000"/>
                <w:sz w:val="14"/>
                <w:szCs w:val="14"/>
              </w:rPr>
            </w:pPr>
          </w:p>
        </w:tc>
        <w:tc>
          <w:tcPr>
            <w:tcW w:w="476" w:type="dxa"/>
            <w:tcBorders>
              <w:bottom w:val="nil"/>
            </w:tcBorders>
            <w:hideMark/>
          </w:tcPr>
          <w:p w14:paraId="0B04B5D1" w14:textId="77777777" w:rsidR="004F64EF" w:rsidRPr="003003C0" w:rsidRDefault="004F64EF" w:rsidP="001F3C85">
            <w:pPr>
              <w:jc w:val="right"/>
              <w:rPr>
                <w:sz w:val="14"/>
                <w:szCs w:val="14"/>
              </w:rPr>
            </w:pPr>
          </w:p>
        </w:tc>
      </w:tr>
      <w:tr w:rsidR="004F64EF" w:rsidRPr="003003C0" w14:paraId="5D3DDFC8" w14:textId="77777777" w:rsidTr="001F3C85">
        <w:tc>
          <w:tcPr>
            <w:tcW w:w="1129" w:type="dxa"/>
            <w:hideMark/>
          </w:tcPr>
          <w:p w14:paraId="2D7BD6FB" w14:textId="77777777" w:rsidR="004F64EF" w:rsidRPr="003003C0" w:rsidRDefault="004F64EF" w:rsidP="001F3C85">
            <w:pPr>
              <w:jc w:val="center"/>
              <w:rPr>
                <w:sz w:val="14"/>
                <w:szCs w:val="14"/>
              </w:rPr>
            </w:pPr>
          </w:p>
        </w:tc>
        <w:tc>
          <w:tcPr>
            <w:tcW w:w="1276" w:type="dxa"/>
            <w:hideMark/>
          </w:tcPr>
          <w:p w14:paraId="02F3236B" w14:textId="77777777" w:rsidR="004F64EF" w:rsidRPr="003003C0" w:rsidRDefault="004F64EF" w:rsidP="001F3C85">
            <w:pPr>
              <w:jc w:val="center"/>
              <w:rPr>
                <w:color w:val="000000"/>
                <w:sz w:val="14"/>
                <w:szCs w:val="14"/>
              </w:rPr>
            </w:pPr>
            <w:r w:rsidRPr="003003C0">
              <w:rPr>
                <w:color w:val="000000"/>
                <w:sz w:val="14"/>
                <w:szCs w:val="14"/>
              </w:rPr>
              <w:t>8536.69.20</w:t>
            </w:r>
          </w:p>
        </w:tc>
        <w:tc>
          <w:tcPr>
            <w:tcW w:w="425" w:type="dxa"/>
            <w:hideMark/>
          </w:tcPr>
          <w:p w14:paraId="44A2773E" w14:textId="77777777" w:rsidR="004F64EF" w:rsidRPr="003003C0" w:rsidRDefault="004F64EF" w:rsidP="001F3C85">
            <w:pPr>
              <w:jc w:val="center"/>
              <w:rPr>
                <w:color w:val="000000"/>
                <w:sz w:val="14"/>
                <w:szCs w:val="14"/>
              </w:rPr>
            </w:pPr>
            <w:r w:rsidRPr="003003C0">
              <w:rPr>
                <w:color w:val="000000"/>
                <w:sz w:val="14"/>
                <w:szCs w:val="14"/>
              </w:rPr>
              <w:t>01</w:t>
            </w:r>
          </w:p>
        </w:tc>
        <w:tc>
          <w:tcPr>
            <w:tcW w:w="2622" w:type="dxa"/>
            <w:hideMark/>
          </w:tcPr>
          <w:p w14:paraId="27C56848" w14:textId="77777777" w:rsidR="004F64EF" w:rsidRPr="003003C0" w:rsidRDefault="004F64EF" w:rsidP="001F3C85">
            <w:pPr>
              <w:jc w:val="left"/>
              <w:rPr>
                <w:color w:val="000000"/>
                <w:sz w:val="14"/>
                <w:szCs w:val="14"/>
              </w:rPr>
            </w:pPr>
          </w:p>
        </w:tc>
        <w:tc>
          <w:tcPr>
            <w:tcW w:w="2623" w:type="dxa"/>
            <w:tcBorders>
              <w:top w:val="nil"/>
              <w:bottom w:val="nil"/>
            </w:tcBorders>
            <w:shd w:val="clear" w:color="auto" w:fill="E4E4E4"/>
            <w:hideMark/>
          </w:tcPr>
          <w:p w14:paraId="5B3E6C12" w14:textId="77777777" w:rsidR="004F64EF" w:rsidRPr="003003C0" w:rsidRDefault="004F64EF" w:rsidP="001F3C85">
            <w:pPr>
              <w:jc w:val="left"/>
              <w:rPr>
                <w:color w:val="000000"/>
                <w:sz w:val="14"/>
                <w:szCs w:val="14"/>
              </w:rPr>
            </w:pPr>
            <w:r w:rsidRPr="003003C0">
              <w:rPr>
                <w:color w:val="000000"/>
                <w:sz w:val="14"/>
                <w:szCs w:val="14"/>
              </w:rPr>
              <w:t xml:space="preserve">- </w:t>
            </w:r>
            <w:r>
              <w:rPr>
                <w:color w:val="000000"/>
                <w:sz w:val="14"/>
                <w:szCs w:val="14"/>
              </w:rPr>
              <w:t>F</w:t>
            </w:r>
            <w:r w:rsidRPr="000772B2">
              <w:rPr>
                <w:color w:val="000000"/>
                <w:sz w:val="14"/>
                <w:szCs w:val="14"/>
              </w:rPr>
              <w:t>or co-axial cables and printed circuits</w:t>
            </w:r>
          </w:p>
        </w:tc>
        <w:tc>
          <w:tcPr>
            <w:tcW w:w="475" w:type="dxa"/>
            <w:tcBorders>
              <w:top w:val="nil"/>
              <w:bottom w:val="nil"/>
            </w:tcBorders>
            <w:shd w:val="clear" w:color="auto" w:fill="E4E4E4"/>
            <w:hideMark/>
          </w:tcPr>
          <w:p w14:paraId="04C4C72F" w14:textId="77777777" w:rsidR="004F64EF" w:rsidRPr="003003C0" w:rsidRDefault="004F64EF" w:rsidP="001F3C85">
            <w:pPr>
              <w:jc w:val="right"/>
              <w:rPr>
                <w:color w:val="000000"/>
                <w:sz w:val="14"/>
                <w:szCs w:val="14"/>
              </w:rPr>
            </w:pPr>
            <w:r w:rsidRPr="003003C0">
              <w:rPr>
                <w:color w:val="000000"/>
                <w:sz w:val="14"/>
                <w:szCs w:val="14"/>
              </w:rPr>
              <w:t>14</w:t>
            </w:r>
          </w:p>
        </w:tc>
        <w:tc>
          <w:tcPr>
            <w:tcW w:w="476" w:type="dxa"/>
            <w:tcBorders>
              <w:top w:val="nil"/>
              <w:bottom w:val="nil"/>
            </w:tcBorders>
            <w:shd w:val="clear" w:color="auto" w:fill="E4E4E4"/>
            <w:hideMark/>
          </w:tcPr>
          <w:p w14:paraId="0C1A04FC" w14:textId="77777777" w:rsidR="004F64EF" w:rsidRPr="003003C0" w:rsidRDefault="004F64EF" w:rsidP="001F3C85">
            <w:pPr>
              <w:jc w:val="right"/>
              <w:rPr>
                <w:color w:val="000000"/>
                <w:sz w:val="14"/>
                <w:szCs w:val="14"/>
              </w:rPr>
            </w:pPr>
            <w:r w:rsidRPr="003003C0">
              <w:rPr>
                <w:color w:val="000000"/>
                <w:sz w:val="14"/>
                <w:szCs w:val="14"/>
              </w:rPr>
              <w:t>0</w:t>
            </w:r>
          </w:p>
        </w:tc>
      </w:tr>
      <w:tr w:rsidR="004F64EF" w:rsidRPr="003003C0" w14:paraId="78F008FC" w14:textId="77777777" w:rsidTr="001F3C85">
        <w:trPr>
          <w:cnfStyle w:val="000000010000" w:firstRow="0" w:lastRow="0" w:firstColumn="0" w:lastColumn="0" w:oddVBand="0" w:evenVBand="0" w:oddHBand="0" w:evenHBand="1" w:firstRowFirstColumn="0" w:firstRowLastColumn="0" w:lastRowFirstColumn="0" w:lastRowLastColumn="0"/>
        </w:trPr>
        <w:tc>
          <w:tcPr>
            <w:tcW w:w="1129" w:type="dxa"/>
            <w:hideMark/>
          </w:tcPr>
          <w:p w14:paraId="29BEEA41" w14:textId="77777777" w:rsidR="004F64EF" w:rsidRPr="003003C0" w:rsidRDefault="004F64EF" w:rsidP="001F3C85">
            <w:pPr>
              <w:jc w:val="center"/>
              <w:rPr>
                <w:color w:val="000000"/>
                <w:sz w:val="14"/>
                <w:szCs w:val="14"/>
              </w:rPr>
            </w:pPr>
          </w:p>
        </w:tc>
        <w:tc>
          <w:tcPr>
            <w:tcW w:w="1276" w:type="dxa"/>
            <w:hideMark/>
          </w:tcPr>
          <w:p w14:paraId="1C2D76FD" w14:textId="77777777" w:rsidR="004F64EF" w:rsidRPr="003003C0" w:rsidRDefault="004F64EF" w:rsidP="001F3C85">
            <w:pPr>
              <w:jc w:val="center"/>
              <w:rPr>
                <w:color w:val="000000"/>
                <w:sz w:val="14"/>
                <w:szCs w:val="14"/>
              </w:rPr>
            </w:pPr>
            <w:r w:rsidRPr="003003C0">
              <w:rPr>
                <w:color w:val="000000"/>
                <w:sz w:val="14"/>
                <w:szCs w:val="14"/>
              </w:rPr>
              <w:t>8536.69.20</w:t>
            </w:r>
          </w:p>
        </w:tc>
        <w:tc>
          <w:tcPr>
            <w:tcW w:w="425" w:type="dxa"/>
            <w:hideMark/>
          </w:tcPr>
          <w:p w14:paraId="173A844E" w14:textId="77777777" w:rsidR="004F64EF" w:rsidRPr="003003C0" w:rsidRDefault="004F64EF" w:rsidP="001F3C85">
            <w:pPr>
              <w:jc w:val="center"/>
              <w:rPr>
                <w:color w:val="000000"/>
                <w:sz w:val="14"/>
                <w:szCs w:val="14"/>
              </w:rPr>
            </w:pPr>
            <w:r w:rsidRPr="003003C0">
              <w:rPr>
                <w:color w:val="000000"/>
                <w:sz w:val="14"/>
                <w:szCs w:val="14"/>
              </w:rPr>
              <w:t>02</w:t>
            </w:r>
          </w:p>
        </w:tc>
        <w:tc>
          <w:tcPr>
            <w:tcW w:w="2622" w:type="dxa"/>
            <w:hideMark/>
          </w:tcPr>
          <w:p w14:paraId="3AF2673F" w14:textId="77777777" w:rsidR="004F64EF" w:rsidRPr="003003C0" w:rsidRDefault="004F64EF" w:rsidP="001F3C85">
            <w:pPr>
              <w:jc w:val="left"/>
              <w:rPr>
                <w:color w:val="000000"/>
                <w:sz w:val="14"/>
                <w:szCs w:val="14"/>
              </w:rPr>
            </w:pPr>
          </w:p>
        </w:tc>
        <w:tc>
          <w:tcPr>
            <w:tcW w:w="2623" w:type="dxa"/>
            <w:tcBorders>
              <w:top w:val="nil"/>
            </w:tcBorders>
            <w:hideMark/>
          </w:tcPr>
          <w:p w14:paraId="006FBD99" w14:textId="77777777" w:rsidR="004F64EF" w:rsidRPr="003003C0" w:rsidRDefault="004F64EF" w:rsidP="001F3C85">
            <w:pPr>
              <w:jc w:val="left"/>
              <w:rPr>
                <w:color w:val="000000"/>
                <w:sz w:val="14"/>
                <w:szCs w:val="14"/>
              </w:rPr>
            </w:pPr>
            <w:r w:rsidRPr="003003C0">
              <w:rPr>
                <w:color w:val="000000"/>
                <w:sz w:val="14"/>
                <w:szCs w:val="14"/>
              </w:rPr>
              <w:t xml:space="preserve">- </w:t>
            </w:r>
            <w:r>
              <w:rPr>
                <w:color w:val="000000"/>
                <w:sz w:val="14"/>
                <w:szCs w:val="14"/>
              </w:rPr>
              <w:t>Other</w:t>
            </w:r>
          </w:p>
        </w:tc>
        <w:tc>
          <w:tcPr>
            <w:tcW w:w="475" w:type="dxa"/>
            <w:tcBorders>
              <w:top w:val="nil"/>
            </w:tcBorders>
            <w:hideMark/>
          </w:tcPr>
          <w:p w14:paraId="59C944A9" w14:textId="77777777" w:rsidR="004F64EF" w:rsidRPr="003003C0" w:rsidRDefault="004F64EF" w:rsidP="001F3C85">
            <w:pPr>
              <w:jc w:val="right"/>
              <w:rPr>
                <w:color w:val="000000"/>
                <w:sz w:val="14"/>
                <w:szCs w:val="14"/>
              </w:rPr>
            </w:pPr>
            <w:r w:rsidRPr="003003C0">
              <w:rPr>
                <w:color w:val="000000"/>
                <w:sz w:val="14"/>
                <w:szCs w:val="14"/>
              </w:rPr>
              <w:t>14</w:t>
            </w:r>
          </w:p>
        </w:tc>
        <w:tc>
          <w:tcPr>
            <w:tcW w:w="476" w:type="dxa"/>
            <w:tcBorders>
              <w:top w:val="nil"/>
            </w:tcBorders>
            <w:hideMark/>
          </w:tcPr>
          <w:p w14:paraId="195BFC70" w14:textId="77777777" w:rsidR="004F64EF" w:rsidRPr="003003C0" w:rsidRDefault="004F64EF" w:rsidP="001F3C85">
            <w:pPr>
              <w:jc w:val="right"/>
              <w:rPr>
                <w:color w:val="000000"/>
                <w:sz w:val="14"/>
                <w:szCs w:val="14"/>
              </w:rPr>
            </w:pPr>
            <w:r w:rsidRPr="003003C0">
              <w:rPr>
                <w:color w:val="000000"/>
                <w:sz w:val="14"/>
                <w:szCs w:val="14"/>
              </w:rPr>
              <w:t>35</w:t>
            </w:r>
          </w:p>
        </w:tc>
      </w:tr>
      <w:tr w:rsidR="004F64EF" w:rsidRPr="003003C0" w14:paraId="7792D6A3" w14:textId="77777777" w:rsidTr="001F3C85">
        <w:tc>
          <w:tcPr>
            <w:tcW w:w="1129" w:type="dxa"/>
            <w:hideMark/>
          </w:tcPr>
          <w:p w14:paraId="2B95A382" w14:textId="77777777" w:rsidR="004F64EF" w:rsidRPr="003003C0" w:rsidRDefault="004F64EF" w:rsidP="001F3C85">
            <w:pPr>
              <w:jc w:val="center"/>
              <w:rPr>
                <w:color w:val="000000"/>
                <w:sz w:val="14"/>
                <w:szCs w:val="14"/>
              </w:rPr>
            </w:pPr>
            <w:r w:rsidRPr="003003C0">
              <w:rPr>
                <w:color w:val="000000"/>
                <w:sz w:val="14"/>
                <w:szCs w:val="14"/>
              </w:rPr>
              <w:t>8536.90.10</w:t>
            </w:r>
          </w:p>
        </w:tc>
        <w:tc>
          <w:tcPr>
            <w:tcW w:w="1276" w:type="dxa"/>
            <w:hideMark/>
          </w:tcPr>
          <w:p w14:paraId="26AE84B9" w14:textId="77777777" w:rsidR="004F64EF" w:rsidRPr="003003C0" w:rsidRDefault="004F64EF" w:rsidP="001F3C85">
            <w:pPr>
              <w:jc w:val="center"/>
              <w:rPr>
                <w:color w:val="000000"/>
                <w:sz w:val="14"/>
                <w:szCs w:val="14"/>
              </w:rPr>
            </w:pPr>
            <w:r w:rsidRPr="003003C0">
              <w:rPr>
                <w:color w:val="000000"/>
                <w:sz w:val="14"/>
                <w:szCs w:val="14"/>
              </w:rPr>
              <w:t>8536.90.10</w:t>
            </w:r>
          </w:p>
        </w:tc>
        <w:tc>
          <w:tcPr>
            <w:tcW w:w="425" w:type="dxa"/>
            <w:hideMark/>
          </w:tcPr>
          <w:p w14:paraId="10268686" w14:textId="77777777" w:rsidR="004F64EF" w:rsidRPr="003003C0" w:rsidRDefault="004F64EF" w:rsidP="001F3C85">
            <w:pPr>
              <w:jc w:val="center"/>
              <w:rPr>
                <w:color w:val="000000"/>
                <w:sz w:val="14"/>
                <w:szCs w:val="14"/>
              </w:rPr>
            </w:pPr>
          </w:p>
        </w:tc>
        <w:tc>
          <w:tcPr>
            <w:tcW w:w="2622" w:type="dxa"/>
            <w:hideMark/>
          </w:tcPr>
          <w:p w14:paraId="310389F0" w14:textId="77777777" w:rsidR="004F64EF" w:rsidRPr="003003C0" w:rsidRDefault="004F64EF" w:rsidP="001F3C85">
            <w:pPr>
              <w:jc w:val="left"/>
              <w:rPr>
                <w:color w:val="000000"/>
                <w:sz w:val="14"/>
                <w:szCs w:val="14"/>
              </w:rPr>
            </w:pPr>
            <w:r>
              <w:rPr>
                <w:color w:val="000000"/>
                <w:sz w:val="14"/>
                <w:szCs w:val="14"/>
              </w:rPr>
              <w:t>Junction boxes</w:t>
            </w:r>
          </w:p>
        </w:tc>
        <w:tc>
          <w:tcPr>
            <w:tcW w:w="2623" w:type="dxa"/>
            <w:tcBorders>
              <w:bottom w:val="nil"/>
            </w:tcBorders>
            <w:hideMark/>
          </w:tcPr>
          <w:p w14:paraId="6FCF8C0F" w14:textId="77777777" w:rsidR="004F64EF" w:rsidRPr="003003C0" w:rsidRDefault="004F64EF" w:rsidP="001F3C85">
            <w:pPr>
              <w:jc w:val="left"/>
              <w:rPr>
                <w:color w:val="000000"/>
                <w:sz w:val="14"/>
                <w:szCs w:val="14"/>
              </w:rPr>
            </w:pPr>
            <w:r w:rsidRPr="000772B2">
              <w:rPr>
                <w:color w:val="000000"/>
                <w:sz w:val="14"/>
                <w:szCs w:val="14"/>
              </w:rPr>
              <w:t>Junction boxes</w:t>
            </w:r>
          </w:p>
        </w:tc>
        <w:tc>
          <w:tcPr>
            <w:tcW w:w="475" w:type="dxa"/>
            <w:tcBorders>
              <w:bottom w:val="nil"/>
            </w:tcBorders>
            <w:hideMark/>
          </w:tcPr>
          <w:p w14:paraId="083D0D6B" w14:textId="77777777" w:rsidR="004F64EF" w:rsidRPr="003003C0" w:rsidRDefault="004F64EF" w:rsidP="001F3C85">
            <w:pPr>
              <w:jc w:val="right"/>
              <w:rPr>
                <w:color w:val="000000"/>
                <w:sz w:val="14"/>
                <w:szCs w:val="14"/>
              </w:rPr>
            </w:pPr>
          </w:p>
        </w:tc>
        <w:tc>
          <w:tcPr>
            <w:tcW w:w="476" w:type="dxa"/>
            <w:tcBorders>
              <w:bottom w:val="nil"/>
            </w:tcBorders>
            <w:hideMark/>
          </w:tcPr>
          <w:p w14:paraId="29387FFD" w14:textId="77777777" w:rsidR="004F64EF" w:rsidRPr="003003C0" w:rsidRDefault="004F64EF" w:rsidP="001F3C85">
            <w:pPr>
              <w:jc w:val="right"/>
              <w:rPr>
                <w:sz w:val="14"/>
                <w:szCs w:val="14"/>
              </w:rPr>
            </w:pPr>
          </w:p>
        </w:tc>
      </w:tr>
      <w:tr w:rsidR="004F64EF" w:rsidRPr="003003C0" w14:paraId="7BBE2750" w14:textId="77777777" w:rsidTr="001F3C85">
        <w:trPr>
          <w:cnfStyle w:val="000000010000" w:firstRow="0" w:lastRow="0" w:firstColumn="0" w:lastColumn="0" w:oddVBand="0" w:evenVBand="0" w:oddHBand="0" w:evenHBand="1" w:firstRowFirstColumn="0" w:firstRowLastColumn="0" w:lastRowFirstColumn="0" w:lastRowLastColumn="0"/>
        </w:trPr>
        <w:tc>
          <w:tcPr>
            <w:tcW w:w="1129" w:type="dxa"/>
            <w:hideMark/>
          </w:tcPr>
          <w:p w14:paraId="5741213A" w14:textId="77777777" w:rsidR="004F64EF" w:rsidRPr="003003C0" w:rsidRDefault="004F64EF" w:rsidP="001F3C85">
            <w:pPr>
              <w:jc w:val="center"/>
              <w:rPr>
                <w:sz w:val="14"/>
                <w:szCs w:val="14"/>
              </w:rPr>
            </w:pPr>
          </w:p>
        </w:tc>
        <w:tc>
          <w:tcPr>
            <w:tcW w:w="1276" w:type="dxa"/>
            <w:hideMark/>
          </w:tcPr>
          <w:p w14:paraId="78A48B34" w14:textId="77777777" w:rsidR="004F64EF" w:rsidRPr="003003C0" w:rsidRDefault="004F64EF" w:rsidP="001F3C85">
            <w:pPr>
              <w:jc w:val="center"/>
              <w:rPr>
                <w:color w:val="000000"/>
                <w:sz w:val="14"/>
                <w:szCs w:val="14"/>
              </w:rPr>
            </w:pPr>
            <w:r w:rsidRPr="003003C0">
              <w:rPr>
                <w:color w:val="000000"/>
                <w:sz w:val="14"/>
                <w:szCs w:val="14"/>
              </w:rPr>
              <w:t>8536.90.10</w:t>
            </w:r>
          </w:p>
        </w:tc>
        <w:tc>
          <w:tcPr>
            <w:tcW w:w="425" w:type="dxa"/>
            <w:hideMark/>
          </w:tcPr>
          <w:p w14:paraId="5B7D41A0" w14:textId="77777777" w:rsidR="004F64EF" w:rsidRPr="003003C0" w:rsidRDefault="004F64EF" w:rsidP="001F3C85">
            <w:pPr>
              <w:jc w:val="center"/>
              <w:rPr>
                <w:color w:val="000000"/>
                <w:sz w:val="14"/>
                <w:szCs w:val="14"/>
              </w:rPr>
            </w:pPr>
            <w:r w:rsidRPr="003003C0">
              <w:rPr>
                <w:color w:val="000000"/>
                <w:sz w:val="14"/>
                <w:szCs w:val="14"/>
              </w:rPr>
              <w:t>01</w:t>
            </w:r>
          </w:p>
        </w:tc>
        <w:tc>
          <w:tcPr>
            <w:tcW w:w="2622" w:type="dxa"/>
            <w:hideMark/>
          </w:tcPr>
          <w:p w14:paraId="6F4B7B27" w14:textId="77777777" w:rsidR="004F64EF" w:rsidRPr="003003C0" w:rsidRDefault="004F64EF" w:rsidP="001F3C85">
            <w:pPr>
              <w:jc w:val="left"/>
              <w:rPr>
                <w:color w:val="000000"/>
                <w:sz w:val="14"/>
                <w:szCs w:val="14"/>
              </w:rPr>
            </w:pPr>
          </w:p>
        </w:tc>
        <w:tc>
          <w:tcPr>
            <w:tcW w:w="2623" w:type="dxa"/>
            <w:tcBorders>
              <w:top w:val="nil"/>
              <w:bottom w:val="nil"/>
            </w:tcBorders>
            <w:shd w:val="clear" w:color="auto" w:fill="E4E4E4"/>
            <w:hideMark/>
          </w:tcPr>
          <w:p w14:paraId="3DC073D1" w14:textId="77777777" w:rsidR="004F64EF" w:rsidRPr="003003C0" w:rsidRDefault="004F64EF" w:rsidP="001F3C85">
            <w:pPr>
              <w:jc w:val="left"/>
              <w:rPr>
                <w:color w:val="000000"/>
                <w:sz w:val="14"/>
                <w:szCs w:val="14"/>
              </w:rPr>
            </w:pPr>
            <w:r w:rsidRPr="003003C0">
              <w:rPr>
                <w:color w:val="000000"/>
                <w:sz w:val="14"/>
                <w:szCs w:val="14"/>
              </w:rPr>
              <w:t xml:space="preserve">- </w:t>
            </w:r>
            <w:r w:rsidRPr="000772B2">
              <w:rPr>
                <w:color w:val="000000"/>
                <w:sz w:val="14"/>
                <w:szCs w:val="14"/>
              </w:rPr>
              <w:t>Connections and contact elements for wire and cables</w:t>
            </w:r>
          </w:p>
        </w:tc>
        <w:tc>
          <w:tcPr>
            <w:tcW w:w="475" w:type="dxa"/>
            <w:tcBorders>
              <w:top w:val="nil"/>
              <w:bottom w:val="nil"/>
            </w:tcBorders>
            <w:shd w:val="clear" w:color="auto" w:fill="E4E4E4"/>
            <w:hideMark/>
          </w:tcPr>
          <w:p w14:paraId="1B27DB17" w14:textId="77777777" w:rsidR="004F64EF" w:rsidRPr="003003C0" w:rsidRDefault="004F64EF" w:rsidP="001F3C85">
            <w:pPr>
              <w:jc w:val="right"/>
              <w:rPr>
                <w:color w:val="000000"/>
                <w:sz w:val="14"/>
                <w:szCs w:val="14"/>
              </w:rPr>
            </w:pPr>
            <w:r w:rsidRPr="003003C0">
              <w:rPr>
                <w:color w:val="000000"/>
                <w:sz w:val="14"/>
                <w:szCs w:val="14"/>
              </w:rPr>
              <w:t>14</w:t>
            </w:r>
          </w:p>
        </w:tc>
        <w:tc>
          <w:tcPr>
            <w:tcW w:w="476" w:type="dxa"/>
            <w:tcBorders>
              <w:top w:val="nil"/>
              <w:bottom w:val="nil"/>
            </w:tcBorders>
            <w:shd w:val="clear" w:color="auto" w:fill="E4E4E4"/>
            <w:hideMark/>
          </w:tcPr>
          <w:p w14:paraId="630CC3BD" w14:textId="77777777" w:rsidR="004F64EF" w:rsidRPr="003003C0" w:rsidRDefault="004F64EF" w:rsidP="001F3C85">
            <w:pPr>
              <w:jc w:val="right"/>
              <w:rPr>
                <w:color w:val="000000"/>
                <w:sz w:val="14"/>
                <w:szCs w:val="14"/>
              </w:rPr>
            </w:pPr>
            <w:r w:rsidRPr="003003C0">
              <w:rPr>
                <w:color w:val="000000"/>
                <w:sz w:val="14"/>
                <w:szCs w:val="14"/>
              </w:rPr>
              <w:t>0</w:t>
            </w:r>
          </w:p>
        </w:tc>
      </w:tr>
      <w:tr w:rsidR="004F64EF" w:rsidRPr="003003C0" w14:paraId="48740B49" w14:textId="77777777" w:rsidTr="001F3C85">
        <w:tc>
          <w:tcPr>
            <w:tcW w:w="1129" w:type="dxa"/>
            <w:hideMark/>
          </w:tcPr>
          <w:p w14:paraId="48F7195B" w14:textId="77777777" w:rsidR="004F64EF" w:rsidRPr="003003C0" w:rsidRDefault="004F64EF" w:rsidP="001F3C85">
            <w:pPr>
              <w:jc w:val="center"/>
              <w:rPr>
                <w:color w:val="000000"/>
                <w:sz w:val="14"/>
                <w:szCs w:val="14"/>
              </w:rPr>
            </w:pPr>
          </w:p>
        </w:tc>
        <w:tc>
          <w:tcPr>
            <w:tcW w:w="1276" w:type="dxa"/>
            <w:hideMark/>
          </w:tcPr>
          <w:p w14:paraId="4A94841C" w14:textId="77777777" w:rsidR="004F64EF" w:rsidRPr="003003C0" w:rsidRDefault="004F64EF" w:rsidP="001F3C85">
            <w:pPr>
              <w:jc w:val="center"/>
              <w:rPr>
                <w:color w:val="000000"/>
                <w:sz w:val="14"/>
                <w:szCs w:val="14"/>
              </w:rPr>
            </w:pPr>
            <w:r w:rsidRPr="003003C0">
              <w:rPr>
                <w:color w:val="000000"/>
                <w:sz w:val="14"/>
                <w:szCs w:val="14"/>
              </w:rPr>
              <w:t>8536.90.10</w:t>
            </w:r>
          </w:p>
        </w:tc>
        <w:tc>
          <w:tcPr>
            <w:tcW w:w="425" w:type="dxa"/>
            <w:hideMark/>
          </w:tcPr>
          <w:p w14:paraId="3E9D0E06" w14:textId="77777777" w:rsidR="004F64EF" w:rsidRPr="003003C0" w:rsidRDefault="004F64EF" w:rsidP="001F3C85">
            <w:pPr>
              <w:jc w:val="center"/>
              <w:rPr>
                <w:color w:val="000000"/>
                <w:sz w:val="14"/>
                <w:szCs w:val="14"/>
              </w:rPr>
            </w:pPr>
            <w:r w:rsidRPr="003003C0">
              <w:rPr>
                <w:color w:val="000000"/>
                <w:sz w:val="14"/>
                <w:szCs w:val="14"/>
              </w:rPr>
              <w:t>02</w:t>
            </w:r>
          </w:p>
        </w:tc>
        <w:tc>
          <w:tcPr>
            <w:tcW w:w="2622" w:type="dxa"/>
            <w:hideMark/>
          </w:tcPr>
          <w:p w14:paraId="2A2FCC94" w14:textId="77777777" w:rsidR="004F64EF" w:rsidRPr="003003C0" w:rsidRDefault="004F64EF" w:rsidP="001F3C85">
            <w:pPr>
              <w:jc w:val="left"/>
              <w:rPr>
                <w:color w:val="000000"/>
                <w:sz w:val="14"/>
                <w:szCs w:val="14"/>
              </w:rPr>
            </w:pPr>
          </w:p>
        </w:tc>
        <w:tc>
          <w:tcPr>
            <w:tcW w:w="2623" w:type="dxa"/>
            <w:tcBorders>
              <w:top w:val="nil"/>
            </w:tcBorders>
            <w:hideMark/>
          </w:tcPr>
          <w:p w14:paraId="06C81FCA" w14:textId="77777777" w:rsidR="004F64EF" w:rsidRPr="003003C0" w:rsidRDefault="004F64EF" w:rsidP="001F3C85">
            <w:pPr>
              <w:jc w:val="left"/>
              <w:rPr>
                <w:color w:val="000000"/>
                <w:sz w:val="14"/>
                <w:szCs w:val="14"/>
              </w:rPr>
            </w:pPr>
            <w:r w:rsidRPr="003003C0">
              <w:rPr>
                <w:color w:val="000000"/>
                <w:sz w:val="14"/>
                <w:szCs w:val="14"/>
              </w:rPr>
              <w:t xml:space="preserve">- </w:t>
            </w:r>
            <w:r>
              <w:rPr>
                <w:color w:val="000000"/>
                <w:sz w:val="14"/>
                <w:szCs w:val="14"/>
              </w:rPr>
              <w:t>Other</w:t>
            </w:r>
          </w:p>
        </w:tc>
        <w:tc>
          <w:tcPr>
            <w:tcW w:w="475" w:type="dxa"/>
            <w:tcBorders>
              <w:top w:val="nil"/>
            </w:tcBorders>
            <w:hideMark/>
          </w:tcPr>
          <w:p w14:paraId="46782993" w14:textId="77777777" w:rsidR="004F64EF" w:rsidRPr="003003C0" w:rsidRDefault="004F64EF" w:rsidP="001F3C85">
            <w:pPr>
              <w:jc w:val="right"/>
              <w:rPr>
                <w:color w:val="000000"/>
                <w:sz w:val="14"/>
                <w:szCs w:val="14"/>
              </w:rPr>
            </w:pPr>
            <w:r w:rsidRPr="003003C0">
              <w:rPr>
                <w:color w:val="000000"/>
                <w:sz w:val="14"/>
                <w:szCs w:val="14"/>
              </w:rPr>
              <w:t>14</w:t>
            </w:r>
          </w:p>
        </w:tc>
        <w:tc>
          <w:tcPr>
            <w:tcW w:w="476" w:type="dxa"/>
            <w:tcBorders>
              <w:top w:val="nil"/>
            </w:tcBorders>
            <w:hideMark/>
          </w:tcPr>
          <w:p w14:paraId="0ADFD827" w14:textId="77777777" w:rsidR="004F64EF" w:rsidRPr="003003C0" w:rsidRDefault="004F64EF" w:rsidP="001F3C85">
            <w:pPr>
              <w:jc w:val="right"/>
              <w:rPr>
                <w:color w:val="000000"/>
                <w:sz w:val="14"/>
                <w:szCs w:val="14"/>
              </w:rPr>
            </w:pPr>
            <w:r w:rsidRPr="003003C0">
              <w:rPr>
                <w:color w:val="000000"/>
                <w:sz w:val="14"/>
                <w:szCs w:val="14"/>
              </w:rPr>
              <w:t>35</w:t>
            </w:r>
          </w:p>
        </w:tc>
      </w:tr>
      <w:tr w:rsidR="004F64EF" w:rsidRPr="003003C0" w14:paraId="59C126D9" w14:textId="77777777" w:rsidTr="001F3C85">
        <w:trPr>
          <w:cnfStyle w:val="000000010000" w:firstRow="0" w:lastRow="0" w:firstColumn="0" w:lastColumn="0" w:oddVBand="0" w:evenVBand="0" w:oddHBand="0" w:evenHBand="1" w:firstRowFirstColumn="0" w:firstRowLastColumn="0" w:lastRowFirstColumn="0" w:lastRowLastColumn="0"/>
        </w:trPr>
        <w:tc>
          <w:tcPr>
            <w:tcW w:w="1129" w:type="dxa"/>
            <w:hideMark/>
          </w:tcPr>
          <w:p w14:paraId="26E1D56D" w14:textId="77777777" w:rsidR="004F64EF" w:rsidRPr="003003C0" w:rsidRDefault="004F64EF" w:rsidP="001F3C85">
            <w:pPr>
              <w:jc w:val="center"/>
              <w:rPr>
                <w:color w:val="000000"/>
                <w:sz w:val="14"/>
                <w:szCs w:val="14"/>
              </w:rPr>
            </w:pPr>
            <w:r w:rsidRPr="003003C0">
              <w:rPr>
                <w:color w:val="000000"/>
                <w:sz w:val="14"/>
                <w:szCs w:val="14"/>
              </w:rPr>
              <w:t>8536.90.90</w:t>
            </w:r>
          </w:p>
        </w:tc>
        <w:tc>
          <w:tcPr>
            <w:tcW w:w="1276" w:type="dxa"/>
            <w:hideMark/>
          </w:tcPr>
          <w:p w14:paraId="40C56B46" w14:textId="77777777" w:rsidR="004F64EF" w:rsidRPr="003003C0" w:rsidRDefault="004F64EF" w:rsidP="001F3C85">
            <w:pPr>
              <w:jc w:val="center"/>
              <w:rPr>
                <w:color w:val="000000"/>
                <w:sz w:val="14"/>
                <w:szCs w:val="14"/>
              </w:rPr>
            </w:pPr>
            <w:r w:rsidRPr="003003C0">
              <w:rPr>
                <w:color w:val="000000"/>
                <w:sz w:val="14"/>
                <w:szCs w:val="14"/>
              </w:rPr>
              <w:t>8536.90.90</w:t>
            </w:r>
          </w:p>
        </w:tc>
        <w:tc>
          <w:tcPr>
            <w:tcW w:w="425" w:type="dxa"/>
            <w:hideMark/>
          </w:tcPr>
          <w:p w14:paraId="70B12A81" w14:textId="77777777" w:rsidR="004F64EF" w:rsidRPr="003003C0" w:rsidRDefault="004F64EF" w:rsidP="001F3C85">
            <w:pPr>
              <w:jc w:val="center"/>
              <w:rPr>
                <w:color w:val="000000"/>
                <w:sz w:val="14"/>
                <w:szCs w:val="14"/>
              </w:rPr>
            </w:pPr>
          </w:p>
        </w:tc>
        <w:tc>
          <w:tcPr>
            <w:tcW w:w="2622" w:type="dxa"/>
            <w:hideMark/>
          </w:tcPr>
          <w:p w14:paraId="57B87B0B" w14:textId="77777777" w:rsidR="004F64EF" w:rsidRPr="003003C0" w:rsidRDefault="004F64EF" w:rsidP="001F3C85">
            <w:pPr>
              <w:jc w:val="left"/>
              <w:rPr>
                <w:color w:val="000000"/>
                <w:sz w:val="14"/>
                <w:szCs w:val="14"/>
              </w:rPr>
            </w:pPr>
            <w:r>
              <w:rPr>
                <w:color w:val="000000"/>
                <w:sz w:val="14"/>
                <w:szCs w:val="14"/>
              </w:rPr>
              <w:t>Other apparatus</w:t>
            </w:r>
          </w:p>
        </w:tc>
        <w:tc>
          <w:tcPr>
            <w:tcW w:w="2623" w:type="dxa"/>
            <w:tcBorders>
              <w:bottom w:val="nil"/>
            </w:tcBorders>
            <w:hideMark/>
          </w:tcPr>
          <w:p w14:paraId="5B55294A" w14:textId="77777777" w:rsidR="004F64EF" w:rsidRPr="003003C0" w:rsidRDefault="004F64EF" w:rsidP="001F3C85">
            <w:pPr>
              <w:jc w:val="left"/>
              <w:rPr>
                <w:color w:val="000000"/>
                <w:sz w:val="14"/>
                <w:szCs w:val="14"/>
              </w:rPr>
            </w:pPr>
            <w:r w:rsidRPr="000772B2">
              <w:rPr>
                <w:color w:val="000000"/>
                <w:sz w:val="14"/>
                <w:szCs w:val="14"/>
              </w:rPr>
              <w:t>Other apparatus</w:t>
            </w:r>
          </w:p>
        </w:tc>
        <w:tc>
          <w:tcPr>
            <w:tcW w:w="475" w:type="dxa"/>
            <w:tcBorders>
              <w:bottom w:val="nil"/>
            </w:tcBorders>
            <w:hideMark/>
          </w:tcPr>
          <w:p w14:paraId="6D1DE2FB" w14:textId="77777777" w:rsidR="004F64EF" w:rsidRPr="003003C0" w:rsidRDefault="004F64EF" w:rsidP="001F3C85">
            <w:pPr>
              <w:jc w:val="right"/>
              <w:rPr>
                <w:color w:val="000000"/>
                <w:sz w:val="14"/>
                <w:szCs w:val="14"/>
              </w:rPr>
            </w:pPr>
          </w:p>
        </w:tc>
        <w:tc>
          <w:tcPr>
            <w:tcW w:w="476" w:type="dxa"/>
            <w:tcBorders>
              <w:bottom w:val="nil"/>
            </w:tcBorders>
            <w:hideMark/>
          </w:tcPr>
          <w:p w14:paraId="2E99B4FD" w14:textId="77777777" w:rsidR="004F64EF" w:rsidRPr="003003C0" w:rsidRDefault="004F64EF" w:rsidP="001F3C85">
            <w:pPr>
              <w:jc w:val="right"/>
              <w:rPr>
                <w:sz w:val="14"/>
                <w:szCs w:val="14"/>
              </w:rPr>
            </w:pPr>
          </w:p>
        </w:tc>
      </w:tr>
      <w:tr w:rsidR="004F64EF" w:rsidRPr="003003C0" w14:paraId="4773FE9A" w14:textId="77777777" w:rsidTr="001F3C85">
        <w:tc>
          <w:tcPr>
            <w:tcW w:w="1129" w:type="dxa"/>
            <w:hideMark/>
          </w:tcPr>
          <w:p w14:paraId="61FC43F9" w14:textId="77777777" w:rsidR="004F64EF" w:rsidRPr="003003C0" w:rsidRDefault="004F64EF" w:rsidP="001F3C85">
            <w:pPr>
              <w:jc w:val="center"/>
              <w:rPr>
                <w:sz w:val="14"/>
                <w:szCs w:val="14"/>
              </w:rPr>
            </w:pPr>
          </w:p>
        </w:tc>
        <w:tc>
          <w:tcPr>
            <w:tcW w:w="1276" w:type="dxa"/>
            <w:hideMark/>
          </w:tcPr>
          <w:p w14:paraId="25C88BF0" w14:textId="77777777" w:rsidR="004F64EF" w:rsidRPr="003003C0" w:rsidRDefault="004F64EF" w:rsidP="001F3C85">
            <w:pPr>
              <w:jc w:val="center"/>
              <w:rPr>
                <w:color w:val="000000"/>
                <w:sz w:val="14"/>
                <w:szCs w:val="14"/>
              </w:rPr>
            </w:pPr>
            <w:r w:rsidRPr="003003C0">
              <w:rPr>
                <w:color w:val="000000"/>
                <w:sz w:val="14"/>
                <w:szCs w:val="14"/>
              </w:rPr>
              <w:t>8536.90.90</w:t>
            </w:r>
          </w:p>
        </w:tc>
        <w:tc>
          <w:tcPr>
            <w:tcW w:w="425" w:type="dxa"/>
            <w:hideMark/>
          </w:tcPr>
          <w:p w14:paraId="19AD3FEB" w14:textId="77777777" w:rsidR="004F64EF" w:rsidRPr="003003C0" w:rsidRDefault="004F64EF" w:rsidP="001F3C85">
            <w:pPr>
              <w:jc w:val="center"/>
              <w:rPr>
                <w:color w:val="000000"/>
                <w:sz w:val="14"/>
                <w:szCs w:val="14"/>
              </w:rPr>
            </w:pPr>
            <w:r w:rsidRPr="003003C0">
              <w:rPr>
                <w:color w:val="000000"/>
                <w:sz w:val="14"/>
                <w:szCs w:val="14"/>
              </w:rPr>
              <w:t>01</w:t>
            </w:r>
          </w:p>
        </w:tc>
        <w:tc>
          <w:tcPr>
            <w:tcW w:w="2622" w:type="dxa"/>
            <w:hideMark/>
          </w:tcPr>
          <w:p w14:paraId="2679EA06" w14:textId="77777777" w:rsidR="004F64EF" w:rsidRPr="003003C0" w:rsidRDefault="004F64EF" w:rsidP="001F3C85">
            <w:pPr>
              <w:jc w:val="left"/>
              <w:rPr>
                <w:color w:val="000000"/>
                <w:sz w:val="14"/>
                <w:szCs w:val="14"/>
              </w:rPr>
            </w:pPr>
          </w:p>
        </w:tc>
        <w:tc>
          <w:tcPr>
            <w:tcW w:w="2623" w:type="dxa"/>
            <w:tcBorders>
              <w:top w:val="nil"/>
              <w:bottom w:val="nil"/>
            </w:tcBorders>
            <w:shd w:val="clear" w:color="auto" w:fill="E4E4E4"/>
            <w:hideMark/>
          </w:tcPr>
          <w:p w14:paraId="2E139EE1" w14:textId="77777777" w:rsidR="004F64EF" w:rsidRPr="003003C0" w:rsidRDefault="004F64EF" w:rsidP="001F3C85">
            <w:pPr>
              <w:jc w:val="left"/>
              <w:rPr>
                <w:color w:val="000000"/>
                <w:sz w:val="14"/>
                <w:szCs w:val="14"/>
              </w:rPr>
            </w:pPr>
            <w:r w:rsidRPr="003003C0">
              <w:rPr>
                <w:color w:val="000000"/>
                <w:sz w:val="14"/>
                <w:szCs w:val="14"/>
              </w:rPr>
              <w:t xml:space="preserve">- </w:t>
            </w:r>
            <w:r w:rsidRPr="000772B2">
              <w:rPr>
                <w:color w:val="000000"/>
                <w:sz w:val="14"/>
                <w:szCs w:val="14"/>
              </w:rPr>
              <w:t>Connections and contact elements for wire and cables</w:t>
            </w:r>
          </w:p>
        </w:tc>
        <w:tc>
          <w:tcPr>
            <w:tcW w:w="475" w:type="dxa"/>
            <w:tcBorders>
              <w:top w:val="nil"/>
              <w:bottom w:val="nil"/>
            </w:tcBorders>
            <w:shd w:val="clear" w:color="auto" w:fill="E4E4E4"/>
            <w:hideMark/>
          </w:tcPr>
          <w:p w14:paraId="41C2E824" w14:textId="77777777" w:rsidR="004F64EF" w:rsidRPr="003003C0" w:rsidRDefault="004F64EF" w:rsidP="001F3C85">
            <w:pPr>
              <w:jc w:val="right"/>
              <w:rPr>
                <w:color w:val="000000"/>
                <w:sz w:val="14"/>
                <w:szCs w:val="14"/>
              </w:rPr>
            </w:pPr>
            <w:r w:rsidRPr="003003C0">
              <w:rPr>
                <w:color w:val="000000"/>
                <w:sz w:val="14"/>
                <w:szCs w:val="14"/>
              </w:rPr>
              <w:t>14</w:t>
            </w:r>
          </w:p>
        </w:tc>
        <w:tc>
          <w:tcPr>
            <w:tcW w:w="476" w:type="dxa"/>
            <w:tcBorders>
              <w:top w:val="nil"/>
              <w:bottom w:val="nil"/>
            </w:tcBorders>
            <w:shd w:val="clear" w:color="auto" w:fill="E4E4E4"/>
            <w:hideMark/>
          </w:tcPr>
          <w:p w14:paraId="6D509513" w14:textId="77777777" w:rsidR="004F64EF" w:rsidRPr="003003C0" w:rsidRDefault="004F64EF" w:rsidP="001F3C85">
            <w:pPr>
              <w:jc w:val="right"/>
              <w:rPr>
                <w:color w:val="000000"/>
                <w:sz w:val="14"/>
                <w:szCs w:val="14"/>
              </w:rPr>
            </w:pPr>
            <w:r w:rsidRPr="003003C0">
              <w:rPr>
                <w:color w:val="000000"/>
                <w:sz w:val="14"/>
                <w:szCs w:val="14"/>
              </w:rPr>
              <w:t>0</w:t>
            </w:r>
          </w:p>
        </w:tc>
      </w:tr>
      <w:tr w:rsidR="004F64EF" w:rsidRPr="003003C0" w14:paraId="723A6045" w14:textId="77777777" w:rsidTr="001F3C85">
        <w:trPr>
          <w:cnfStyle w:val="000000010000" w:firstRow="0" w:lastRow="0" w:firstColumn="0" w:lastColumn="0" w:oddVBand="0" w:evenVBand="0" w:oddHBand="0" w:evenHBand="1" w:firstRowFirstColumn="0" w:firstRowLastColumn="0" w:lastRowFirstColumn="0" w:lastRowLastColumn="0"/>
        </w:trPr>
        <w:tc>
          <w:tcPr>
            <w:tcW w:w="1129" w:type="dxa"/>
            <w:hideMark/>
          </w:tcPr>
          <w:p w14:paraId="47FB27CC" w14:textId="77777777" w:rsidR="004F64EF" w:rsidRPr="003003C0" w:rsidRDefault="004F64EF" w:rsidP="001F3C85">
            <w:pPr>
              <w:jc w:val="center"/>
              <w:rPr>
                <w:color w:val="000000"/>
                <w:sz w:val="14"/>
                <w:szCs w:val="14"/>
              </w:rPr>
            </w:pPr>
          </w:p>
        </w:tc>
        <w:tc>
          <w:tcPr>
            <w:tcW w:w="1276" w:type="dxa"/>
            <w:hideMark/>
          </w:tcPr>
          <w:p w14:paraId="09328C63" w14:textId="77777777" w:rsidR="004F64EF" w:rsidRPr="003003C0" w:rsidRDefault="004F64EF" w:rsidP="001F3C85">
            <w:pPr>
              <w:jc w:val="center"/>
              <w:rPr>
                <w:color w:val="000000"/>
                <w:sz w:val="14"/>
                <w:szCs w:val="14"/>
              </w:rPr>
            </w:pPr>
            <w:r w:rsidRPr="003003C0">
              <w:rPr>
                <w:color w:val="000000"/>
                <w:sz w:val="14"/>
                <w:szCs w:val="14"/>
              </w:rPr>
              <w:t>8536.90.90</w:t>
            </w:r>
          </w:p>
        </w:tc>
        <w:tc>
          <w:tcPr>
            <w:tcW w:w="425" w:type="dxa"/>
            <w:hideMark/>
          </w:tcPr>
          <w:p w14:paraId="73406C2E" w14:textId="77777777" w:rsidR="004F64EF" w:rsidRPr="003003C0" w:rsidRDefault="004F64EF" w:rsidP="001F3C85">
            <w:pPr>
              <w:jc w:val="center"/>
              <w:rPr>
                <w:color w:val="000000"/>
                <w:sz w:val="14"/>
                <w:szCs w:val="14"/>
              </w:rPr>
            </w:pPr>
            <w:r w:rsidRPr="003003C0">
              <w:rPr>
                <w:color w:val="000000"/>
                <w:sz w:val="14"/>
                <w:szCs w:val="14"/>
              </w:rPr>
              <w:t>02</w:t>
            </w:r>
          </w:p>
        </w:tc>
        <w:tc>
          <w:tcPr>
            <w:tcW w:w="2622" w:type="dxa"/>
            <w:hideMark/>
          </w:tcPr>
          <w:p w14:paraId="09832616" w14:textId="77777777" w:rsidR="004F64EF" w:rsidRPr="003003C0" w:rsidRDefault="004F64EF" w:rsidP="001F3C85">
            <w:pPr>
              <w:jc w:val="left"/>
              <w:rPr>
                <w:color w:val="000000"/>
                <w:sz w:val="14"/>
                <w:szCs w:val="14"/>
              </w:rPr>
            </w:pPr>
          </w:p>
        </w:tc>
        <w:tc>
          <w:tcPr>
            <w:tcW w:w="2623" w:type="dxa"/>
            <w:tcBorders>
              <w:top w:val="nil"/>
            </w:tcBorders>
            <w:hideMark/>
          </w:tcPr>
          <w:p w14:paraId="0758D9C3" w14:textId="77777777" w:rsidR="004F64EF" w:rsidRPr="003003C0" w:rsidRDefault="004F64EF" w:rsidP="001F3C85">
            <w:pPr>
              <w:jc w:val="left"/>
              <w:rPr>
                <w:color w:val="000000"/>
                <w:sz w:val="14"/>
                <w:szCs w:val="14"/>
              </w:rPr>
            </w:pPr>
            <w:r w:rsidRPr="003003C0">
              <w:rPr>
                <w:color w:val="000000"/>
                <w:sz w:val="14"/>
                <w:szCs w:val="14"/>
              </w:rPr>
              <w:t xml:space="preserve">- </w:t>
            </w:r>
            <w:r>
              <w:rPr>
                <w:color w:val="000000"/>
                <w:sz w:val="14"/>
                <w:szCs w:val="14"/>
              </w:rPr>
              <w:t>Other</w:t>
            </w:r>
          </w:p>
        </w:tc>
        <w:tc>
          <w:tcPr>
            <w:tcW w:w="475" w:type="dxa"/>
            <w:tcBorders>
              <w:top w:val="nil"/>
            </w:tcBorders>
            <w:hideMark/>
          </w:tcPr>
          <w:p w14:paraId="76A6B10E" w14:textId="77777777" w:rsidR="004F64EF" w:rsidRPr="003003C0" w:rsidRDefault="004F64EF" w:rsidP="001F3C85">
            <w:pPr>
              <w:jc w:val="right"/>
              <w:rPr>
                <w:color w:val="000000"/>
                <w:sz w:val="14"/>
                <w:szCs w:val="14"/>
              </w:rPr>
            </w:pPr>
            <w:r w:rsidRPr="003003C0">
              <w:rPr>
                <w:color w:val="000000"/>
                <w:sz w:val="14"/>
                <w:szCs w:val="14"/>
              </w:rPr>
              <w:t>14</w:t>
            </w:r>
          </w:p>
        </w:tc>
        <w:tc>
          <w:tcPr>
            <w:tcW w:w="476" w:type="dxa"/>
            <w:tcBorders>
              <w:top w:val="nil"/>
            </w:tcBorders>
            <w:hideMark/>
          </w:tcPr>
          <w:p w14:paraId="73E34E29" w14:textId="77777777" w:rsidR="004F64EF" w:rsidRPr="003003C0" w:rsidRDefault="004F64EF" w:rsidP="001F3C85">
            <w:pPr>
              <w:jc w:val="right"/>
              <w:rPr>
                <w:color w:val="000000"/>
                <w:sz w:val="14"/>
                <w:szCs w:val="14"/>
              </w:rPr>
            </w:pPr>
            <w:r w:rsidRPr="003003C0">
              <w:rPr>
                <w:color w:val="000000"/>
                <w:sz w:val="14"/>
                <w:szCs w:val="14"/>
              </w:rPr>
              <w:t>35</w:t>
            </w:r>
          </w:p>
        </w:tc>
      </w:tr>
      <w:tr w:rsidR="004F64EF" w:rsidRPr="003003C0" w14:paraId="239B589B" w14:textId="77777777" w:rsidTr="001F3C85">
        <w:tc>
          <w:tcPr>
            <w:tcW w:w="1129" w:type="dxa"/>
            <w:hideMark/>
          </w:tcPr>
          <w:p w14:paraId="448C2E21" w14:textId="77777777" w:rsidR="004F64EF" w:rsidRPr="003003C0" w:rsidRDefault="004F64EF" w:rsidP="001F3C85">
            <w:pPr>
              <w:jc w:val="center"/>
              <w:rPr>
                <w:color w:val="000000"/>
                <w:sz w:val="14"/>
                <w:szCs w:val="14"/>
              </w:rPr>
            </w:pPr>
            <w:r w:rsidRPr="003003C0">
              <w:rPr>
                <w:color w:val="000000"/>
                <w:sz w:val="14"/>
                <w:szCs w:val="14"/>
              </w:rPr>
              <w:t>8544.49.10</w:t>
            </w:r>
          </w:p>
        </w:tc>
        <w:tc>
          <w:tcPr>
            <w:tcW w:w="1276" w:type="dxa"/>
            <w:hideMark/>
          </w:tcPr>
          <w:p w14:paraId="50D27397" w14:textId="77777777" w:rsidR="004F64EF" w:rsidRPr="003003C0" w:rsidRDefault="004F64EF" w:rsidP="001F3C85">
            <w:pPr>
              <w:jc w:val="center"/>
              <w:rPr>
                <w:color w:val="000000"/>
                <w:sz w:val="14"/>
                <w:szCs w:val="14"/>
              </w:rPr>
            </w:pPr>
            <w:r w:rsidRPr="003003C0">
              <w:rPr>
                <w:color w:val="000000"/>
                <w:sz w:val="14"/>
                <w:szCs w:val="14"/>
              </w:rPr>
              <w:t>8544.49.10</w:t>
            </w:r>
          </w:p>
        </w:tc>
        <w:tc>
          <w:tcPr>
            <w:tcW w:w="425" w:type="dxa"/>
            <w:hideMark/>
          </w:tcPr>
          <w:p w14:paraId="34A94C43" w14:textId="77777777" w:rsidR="004F64EF" w:rsidRPr="003003C0" w:rsidRDefault="004F64EF" w:rsidP="001F3C85">
            <w:pPr>
              <w:jc w:val="center"/>
              <w:rPr>
                <w:color w:val="000000"/>
                <w:sz w:val="14"/>
                <w:szCs w:val="14"/>
              </w:rPr>
            </w:pPr>
          </w:p>
        </w:tc>
        <w:tc>
          <w:tcPr>
            <w:tcW w:w="2622" w:type="dxa"/>
            <w:hideMark/>
          </w:tcPr>
          <w:p w14:paraId="5DDF6919" w14:textId="77777777" w:rsidR="004F64EF" w:rsidRPr="003003C0" w:rsidRDefault="004F64EF" w:rsidP="001F3C85">
            <w:pPr>
              <w:jc w:val="left"/>
              <w:rPr>
                <w:color w:val="000000"/>
                <w:sz w:val="14"/>
                <w:szCs w:val="14"/>
              </w:rPr>
            </w:pPr>
            <w:r w:rsidRPr="00804A7E">
              <w:rPr>
                <w:color w:val="000000"/>
                <w:sz w:val="14"/>
                <w:szCs w:val="14"/>
              </w:rPr>
              <w:t>Insulated with plastic</w:t>
            </w:r>
          </w:p>
        </w:tc>
        <w:tc>
          <w:tcPr>
            <w:tcW w:w="2623" w:type="dxa"/>
            <w:tcBorders>
              <w:bottom w:val="nil"/>
            </w:tcBorders>
            <w:hideMark/>
          </w:tcPr>
          <w:p w14:paraId="5ECFDE37" w14:textId="77777777" w:rsidR="004F64EF" w:rsidRPr="003003C0" w:rsidRDefault="004F64EF" w:rsidP="001F3C85">
            <w:pPr>
              <w:jc w:val="left"/>
              <w:rPr>
                <w:color w:val="000000"/>
                <w:sz w:val="14"/>
                <w:szCs w:val="14"/>
              </w:rPr>
            </w:pPr>
            <w:r w:rsidRPr="000772B2">
              <w:rPr>
                <w:color w:val="000000"/>
                <w:sz w:val="14"/>
                <w:szCs w:val="14"/>
              </w:rPr>
              <w:t>Insulated with plastic</w:t>
            </w:r>
          </w:p>
        </w:tc>
        <w:tc>
          <w:tcPr>
            <w:tcW w:w="475" w:type="dxa"/>
            <w:tcBorders>
              <w:bottom w:val="nil"/>
            </w:tcBorders>
            <w:hideMark/>
          </w:tcPr>
          <w:p w14:paraId="678CC0AA" w14:textId="77777777" w:rsidR="004F64EF" w:rsidRPr="003003C0" w:rsidRDefault="004F64EF" w:rsidP="001F3C85">
            <w:pPr>
              <w:jc w:val="right"/>
              <w:rPr>
                <w:color w:val="000000"/>
                <w:sz w:val="14"/>
                <w:szCs w:val="14"/>
              </w:rPr>
            </w:pPr>
          </w:p>
        </w:tc>
        <w:tc>
          <w:tcPr>
            <w:tcW w:w="476" w:type="dxa"/>
            <w:tcBorders>
              <w:bottom w:val="nil"/>
            </w:tcBorders>
            <w:hideMark/>
          </w:tcPr>
          <w:p w14:paraId="1DC82E0D" w14:textId="77777777" w:rsidR="004F64EF" w:rsidRPr="003003C0" w:rsidRDefault="004F64EF" w:rsidP="001F3C85">
            <w:pPr>
              <w:jc w:val="right"/>
              <w:rPr>
                <w:sz w:val="14"/>
                <w:szCs w:val="14"/>
              </w:rPr>
            </w:pPr>
          </w:p>
        </w:tc>
      </w:tr>
      <w:tr w:rsidR="004F64EF" w:rsidRPr="003003C0" w14:paraId="11DD9214" w14:textId="77777777" w:rsidTr="001F3C85">
        <w:trPr>
          <w:cnfStyle w:val="000000010000" w:firstRow="0" w:lastRow="0" w:firstColumn="0" w:lastColumn="0" w:oddVBand="0" w:evenVBand="0" w:oddHBand="0" w:evenHBand="1" w:firstRowFirstColumn="0" w:firstRowLastColumn="0" w:lastRowFirstColumn="0" w:lastRowLastColumn="0"/>
        </w:trPr>
        <w:tc>
          <w:tcPr>
            <w:tcW w:w="1129" w:type="dxa"/>
            <w:hideMark/>
          </w:tcPr>
          <w:p w14:paraId="19A2E869" w14:textId="77777777" w:rsidR="004F64EF" w:rsidRPr="003003C0" w:rsidRDefault="004F64EF" w:rsidP="001F3C85">
            <w:pPr>
              <w:jc w:val="center"/>
              <w:rPr>
                <w:sz w:val="14"/>
                <w:szCs w:val="14"/>
              </w:rPr>
            </w:pPr>
          </w:p>
        </w:tc>
        <w:tc>
          <w:tcPr>
            <w:tcW w:w="1276" w:type="dxa"/>
            <w:hideMark/>
          </w:tcPr>
          <w:p w14:paraId="19BABD2B" w14:textId="77777777" w:rsidR="004F64EF" w:rsidRPr="003003C0" w:rsidRDefault="004F64EF" w:rsidP="001F3C85">
            <w:pPr>
              <w:jc w:val="center"/>
              <w:rPr>
                <w:color w:val="000000"/>
                <w:sz w:val="14"/>
                <w:szCs w:val="14"/>
              </w:rPr>
            </w:pPr>
            <w:r w:rsidRPr="003003C0">
              <w:rPr>
                <w:color w:val="000000"/>
                <w:sz w:val="14"/>
                <w:szCs w:val="14"/>
              </w:rPr>
              <w:t>8544.49.10</w:t>
            </w:r>
          </w:p>
        </w:tc>
        <w:tc>
          <w:tcPr>
            <w:tcW w:w="425" w:type="dxa"/>
            <w:hideMark/>
          </w:tcPr>
          <w:p w14:paraId="2BF7D6DD" w14:textId="77777777" w:rsidR="004F64EF" w:rsidRPr="003003C0" w:rsidRDefault="004F64EF" w:rsidP="001F3C85">
            <w:pPr>
              <w:jc w:val="center"/>
              <w:rPr>
                <w:color w:val="000000"/>
                <w:sz w:val="14"/>
                <w:szCs w:val="14"/>
              </w:rPr>
            </w:pPr>
            <w:r w:rsidRPr="003003C0">
              <w:rPr>
                <w:color w:val="000000"/>
                <w:sz w:val="14"/>
                <w:szCs w:val="14"/>
              </w:rPr>
              <w:t>01</w:t>
            </w:r>
          </w:p>
        </w:tc>
        <w:tc>
          <w:tcPr>
            <w:tcW w:w="2622" w:type="dxa"/>
            <w:hideMark/>
          </w:tcPr>
          <w:p w14:paraId="5DFAB79F" w14:textId="77777777" w:rsidR="004F64EF" w:rsidRPr="003003C0" w:rsidRDefault="004F64EF" w:rsidP="001F3C85">
            <w:pPr>
              <w:jc w:val="left"/>
              <w:rPr>
                <w:color w:val="000000"/>
                <w:sz w:val="14"/>
                <w:szCs w:val="14"/>
              </w:rPr>
            </w:pPr>
          </w:p>
        </w:tc>
        <w:tc>
          <w:tcPr>
            <w:tcW w:w="2623" w:type="dxa"/>
            <w:tcBorders>
              <w:top w:val="nil"/>
              <w:bottom w:val="nil"/>
            </w:tcBorders>
            <w:shd w:val="clear" w:color="auto" w:fill="E4E4E4"/>
            <w:hideMark/>
          </w:tcPr>
          <w:p w14:paraId="766338B5" w14:textId="77777777" w:rsidR="004F64EF" w:rsidRPr="003003C0" w:rsidRDefault="004F64EF" w:rsidP="001F3C85">
            <w:pPr>
              <w:jc w:val="left"/>
              <w:rPr>
                <w:color w:val="000000"/>
                <w:sz w:val="14"/>
                <w:szCs w:val="14"/>
              </w:rPr>
            </w:pPr>
            <w:r w:rsidRPr="003003C0">
              <w:rPr>
                <w:color w:val="000000"/>
                <w:sz w:val="14"/>
                <w:szCs w:val="14"/>
              </w:rPr>
              <w:t xml:space="preserve">- </w:t>
            </w:r>
            <w:r w:rsidRPr="002B27C7">
              <w:rPr>
                <w:color w:val="000000"/>
                <w:sz w:val="14"/>
                <w:szCs w:val="14"/>
              </w:rPr>
              <w:t>Other electric conductors, for a voltage not exceeding 80 V, not fitted with connectors, of a kind used for telecommunications</w:t>
            </w:r>
          </w:p>
        </w:tc>
        <w:tc>
          <w:tcPr>
            <w:tcW w:w="475" w:type="dxa"/>
            <w:tcBorders>
              <w:top w:val="nil"/>
              <w:bottom w:val="nil"/>
            </w:tcBorders>
            <w:shd w:val="clear" w:color="auto" w:fill="E4E4E4"/>
            <w:hideMark/>
          </w:tcPr>
          <w:p w14:paraId="578371D0" w14:textId="77777777" w:rsidR="004F64EF" w:rsidRPr="003003C0" w:rsidRDefault="004F64EF" w:rsidP="001F3C85">
            <w:pPr>
              <w:jc w:val="right"/>
              <w:rPr>
                <w:color w:val="000000"/>
                <w:sz w:val="14"/>
                <w:szCs w:val="14"/>
              </w:rPr>
            </w:pPr>
            <w:r w:rsidRPr="003003C0">
              <w:rPr>
                <w:color w:val="000000"/>
                <w:sz w:val="14"/>
                <w:szCs w:val="14"/>
              </w:rPr>
              <w:t>14</w:t>
            </w:r>
          </w:p>
        </w:tc>
        <w:tc>
          <w:tcPr>
            <w:tcW w:w="476" w:type="dxa"/>
            <w:tcBorders>
              <w:top w:val="nil"/>
              <w:bottom w:val="nil"/>
            </w:tcBorders>
            <w:shd w:val="clear" w:color="auto" w:fill="E4E4E4"/>
            <w:hideMark/>
          </w:tcPr>
          <w:p w14:paraId="68B20E5A" w14:textId="77777777" w:rsidR="004F64EF" w:rsidRPr="003003C0" w:rsidRDefault="004F64EF" w:rsidP="001F3C85">
            <w:pPr>
              <w:jc w:val="right"/>
              <w:rPr>
                <w:color w:val="000000"/>
                <w:sz w:val="14"/>
                <w:szCs w:val="14"/>
              </w:rPr>
            </w:pPr>
            <w:r w:rsidRPr="003003C0">
              <w:rPr>
                <w:color w:val="000000"/>
                <w:sz w:val="14"/>
                <w:szCs w:val="14"/>
              </w:rPr>
              <w:t>0</w:t>
            </w:r>
          </w:p>
        </w:tc>
      </w:tr>
      <w:tr w:rsidR="004F64EF" w:rsidRPr="003003C0" w14:paraId="53BCFA29" w14:textId="77777777" w:rsidTr="009B3FAD">
        <w:tc>
          <w:tcPr>
            <w:tcW w:w="1129" w:type="dxa"/>
            <w:hideMark/>
          </w:tcPr>
          <w:p w14:paraId="7C39B4A5" w14:textId="77777777" w:rsidR="004F64EF" w:rsidRPr="003003C0" w:rsidRDefault="004F64EF" w:rsidP="001F3C85">
            <w:pPr>
              <w:jc w:val="center"/>
              <w:rPr>
                <w:color w:val="000000"/>
                <w:sz w:val="14"/>
                <w:szCs w:val="14"/>
              </w:rPr>
            </w:pPr>
          </w:p>
        </w:tc>
        <w:tc>
          <w:tcPr>
            <w:tcW w:w="1276" w:type="dxa"/>
            <w:hideMark/>
          </w:tcPr>
          <w:p w14:paraId="4CD424A9" w14:textId="77777777" w:rsidR="004F64EF" w:rsidRPr="003003C0" w:rsidRDefault="004F64EF" w:rsidP="001F3C85">
            <w:pPr>
              <w:jc w:val="center"/>
              <w:rPr>
                <w:color w:val="000000"/>
                <w:sz w:val="14"/>
                <w:szCs w:val="14"/>
              </w:rPr>
            </w:pPr>
            <w:r w:rsidRPr="003003C0">
              <w:rPr>
                <w:color w:val="000000"/>
                <w:sz w:val="14"/>
                <w:szCs w:val="14"/>
              </w:rPr>
              <w:t>8544.49.10</w:t>
            </w:r>
          </w:p>
        </w:tc>
        <w:tc>
          <w:tcPr>
            <w:tcW w:w="425" w:type="dxa"/>
            <w:hideMark/>
          </w:tcPr>
          <w:p w14:paraId="018F5804" w14:textId="77777777" w:rsidR="004F64EF" w:rsidRPr="003003C0" w:rsidRDefault="004F64EF" w:rsidP="001F3C85">
            <w:pPr>
              <w:jc w:val="center"/>
              <w:rPr>
                <w:color w:val="000000"/>
                <w:sz w:val="14"/>
                <w:szCs w:val="14"/>
              </w:rPr>
            </w:pPr>
            <w:r w:rsidRPr="003003C0">
              <w:rPr>
                <w:color w:val="000000"/>
                <w:sz w:val="14"/>
                <w:szCs w:val="14"/>
              </w:rPr>
              <w:t>02</w:t>
            </w:r>
          </w:p>
        </w:tc>
        <w:tc>
          <w:tcPr>
            <w:tcW w:w="2622" w:type="dxa"/>
            <w:hideMark/>
          </w:tcPr>
          <w:p w14:paraId="73304527" w14:textId="77777777" w:rsidR="004F64EF" w:rsidRPr="003003C0" w:rsidRDefault="004F64EF" w:rsidP="001F3C85">
            <w:pPr>
              <w:jc w:val="left"/>
              <w:rPr>
                <w:color w:val="000000"/>
                <w:sz w:val="14"/>
                <w:szCs w:val="14"/>
              </w:rPr>
            </w:pPr>
          </w:p>
        </w:tc>
        <w:tc>
          <w:tcPr>
            <w:tcW w:w="2623" w:type="dxa"/>
            <w:tcBorders>
              <w:top w:val="nil"/>
              <w:bottom w:val="nil"/>
            </w:tcBorders>
            <w:hideMark/>
          </w:tcPr>
          <w:p w14:paraId="1DD9CFC0" w14:textId="77777777" w:rsidR="004F64EF" w:rsidRPr="003003C0" w:rsidRDefault="004F64EF" w:rsidP="001F3C85">
            <w:pPr>
              <w:jc w:val="left"/>
              <w:rPr>
                <w:color w:val="000000"/>
                <w:sz w:val="14"/>
                <w:szCs w:val="14"/>
              </w:rPr>
            </w:pPr>
            <w:r w:rsidRPr="003003C0">
              <w:rPr>
                <w:color w:val="000000"/>
                <w:sz w:val="14"/>
                <w:szCs w:val="14"/>
              </w:rPr>
              <w:t xml:space="preserve">- </w:t>
            </w:r>
            <w:r>
              <w:rPr>
                <w:color w:val="000000"/>
                <w:sz w:val="14"/>
                <w:szCs w:val="14"/>
              </w:rPr>
              <w:t>Other</w:t>
            </w:r>
          </w:p>
        </w:tc>
        <w:tc>
          <w:tcPr>
            <w:tcW w:w="475" w:type="dxa"/>
            <w:tcBorders>
              <w:top w:val="nil"/>
              <w:bottom w:val="nil"/>
            </w:tcBorders>
            <w:hideMark/>
          </w:tcPr>
          <w:p w14:paraId="4803AB07" w14:textId="77777777" w:rsidR="004F64EF" w:rsidRPr="003003C0" w:rsidRDefault="004F64EF" w:rsidP="001F3C85">
            <w:pPr>
              <w:jc w:val="right"/>
              <w:rPr>
                <w:color w:val="000000"/>
                <w:sz w:val="14"/>
                <w:szCs w:val="14"/>
              </w:rPr>
            </w:pPr>
            <w:r w:rsidRPr="003003C0">
              <w:rPr>
                <w:color w:val="000000"/>
                <w:sz w:val="14"/>
                <w:szCs w:val="14"/>
              </w:rPr>
              <w:t>14</w:t>
            </w:r>
          </w:p>
        </w:tc>
        <w:tc>
          <w:tcPr>
            <w:tcW w:w="476" w:type="dxa"/>
            <w:tcBorders>
              <w:top w:val="nil"/>
              <w:bottom w:val="nil"/>
            </w:tcBorders>
            <w:hideMark/>
          </w:tcPr>
          <w:p w14:paraId="4FC500D0" w14:textId="77777777" w:rsidR="004F64EF" w:rsidRPr="003003C0" w:rsidRDefault="004F64EF" w:rsidP="001F3C85">
            <w:pPr>
              <w:jc w:val="right"/>
              <w:rPr>
                <w:color w:val="000000"/>
                <w:sz w:val="14"/>
                <w:szCs w:val="14"/>
              </w:rPr>
            </w:pPr>
            <w:r w:rsidRPr="003003C0">
              <w:rPr>
                <w:color w:val="000000"/>
                <w:sz w:val="14"/>
                <w:szCs w:val="14"/>
              </w:rPr>
              <w:t>35</w:t>
            </w:r>
          </w:p>
        </w:tc>
      </w:tr>
      <w:tr w:rsidR="004F64EF" w:rsidRPr="003003C0" w14:paraId="2B26BCBB" w14:textId="77777777" w:rsidTr="009B3FAD">
        <w:trPr>
          <w:cnfStyle w:val="000000010000" w:firstRow="0" w:lastRow="0" w:firstColumn="0" w:lastColumn="0" w:oddVBand="0" w:evenVBand="0" w:oddHBand="0" w:evenHBand="1" w:firstRowFirstColumn="0" w:firstRowLastColumn="0" w:lastRowFirstColumn="0" w:lastRowLastColumn="0"/>
        </w:trPr>
        <w:tc>
          <w:tcPr>
            <w:tcW w:w="1129" w:type="dxa"/>
            <w:hideMark/>
          </w:tcPr>
          <w:p w14:paraId="13D5E57E" w14:textId="77777777" w:rsidR="004F64EF" w:rsidRPr="003003C0" w:rsidRDefault="004F64EF" w:rsidP="001F3C85">
            <w:pPr>
              <w:jc w:val="center"/>
              <w:rPr>
                <w:color w:val="000000"/>
                <w:sz w:val="14"/>
                <w:szCs w:val="14"/>
              </w:rPr>
            </w:pPr>
            <w:r w:rsidRPr="003003C0">
              <w:rPr>
                <w:color w:val="000000"/>
                <w:sz w:val="14"/>
                <w:szCs w:val="14"/>
              </w:rPr>
              <w:t>8544.49.20</w:t>
            </w:r>
          </w:p>
        </w:tc>
        <w:tc>
          <w:tcPr>
            <w:tcW w:w="1276" w:type="dxa"/>
            <w:hideMark/>
          </w:tcPr>
          <w:p w14:paraId="0FD1CA26" w14:textId="77777777" w:rsidR="004F64EF" w:rsidRPr="003003C0" w:rsidRDefault="004F64EF" w:rsidP="001F3C85">
            <w:pPr>
              <w:jc w:val="center"/>
              <w:rPr>
                <w:color w:val="000000"/>
                <w:sz w:val="14"/>
                <w:szCs w:val="14"/>
              </w:rPr>
            </w:pPr>
            <w:r w:rsidRPr="003003C0">
              <w:rPr>
                <w:color w:val="000000"/>
                <w:sz w:val="14"/>
                <w:szCs w:val="14"/>
              </w:rPr>
              <w:t>8544.49.90</w:t>
            </w:r>
          </w:p>
        </w:tc>
        <w:tc>
          <w:tcPr>
            <w:tcW w:w="425" w:type="dxa"/>
            <w:hideMark/>
          </w:tcPr>
          <w:p w14:paraId="7E44D032" w14:textId="77777777" w:rsidR="004F64EF" w:rsidRPr="003003C0" w:rsidRDefault="004F64EF" w:rsidP="001F3C85">
            <w:pPr>
              <w:jc w:val="center"/>
              <w:rPr>
                <w:color w:val="000000"/>
                <w:sz w:val="14"/>
                <w:szCs w:val="14"/>
              </w:rPr>
            </w:pPr>
          </w:p>
        </w:tc>
        <w:tc>
          <w:tcPr>
            <w:tcW w:w="2622" w:type="dxa"/>
            <w:hideMark/>
          </w:tcPr>
          <w:p w14:paraId="30F3F771" w14:textId="77777777" w:rsidR="004F64EF" w:rsidRPr="003003C0" w:rsidRDefault="004F64EF" w:rsidP="001F3C85">
            <w:pPr>
              <w:jc w:val="left"/>
              <w:rPr>
                <w:color w:val="000000"/>
                <w:sz w:val="14"/>
                <w:szCs w:val="14"/>
              </w:rPr>
            </w:pPr>
            <w:r w:rsidRPr="00804A7E">
              <w:rPr>
                <w:color w:val="000000"/>
                <w:sz w:val="14"/>
                <w:szCs w:val="14"/>
              </w:rPr>
              <w:t>Other insulated conductors, except those insulated with plastic, for a voltage not exceeding 80 V</w:t>
            </w:r>
            <w:r w:rsidRPr="008B6D47">
              <w:rPr>
                <w:color w:val="000000"/>
                <w:sz w:val="14"/>
                <w:szCs w:val="14"/>
              </w:rPr>
              <w:t> </w:t>
            </w:r>
          </w:p>
        </w:tc>
        <w:tc>
          <w:tcPr>
            <w:tcW w:w="2623" w:type="dxa"/>
            <w:tcBorders>
              <w:top w:val="nil"/>
              <w:bottom w:val="nil"/>
            </w:tcBorders>
            <w:hideMark/>
          </w:tcPr>
          <w:p w14:paraId="1A686579" w14:textId="77777777" w:rsidR="004F64EF" w:rsidRPr="003003C0" w:rsidRDefault="004F64EF" w:rsidP="001F3C85">
            <w:pPr>
              <w:jc w:val="left"/>
              <w:rPr>
                <w:color w:val="000000"/>
                <w:sz w:val="14"/>
                <w:szCs w:val="14"/>
              </w:rPr>
            </w:pPr>
            <w:r>
              <w:rPr>
                <w:color w:val="000000"/>
                <w:sz w:val="14"/>
                <w:szCs w:val="14"/>
              </w:rPr>
              <w:t>Other</w:t>
            </w:r>
          </w:p>
        </w:tc>
        <w:tc>
          <w:tcPr>
            <w:tcW w:w="475" w:type="dxa"/>
            <w:tcBorders>
              <w:top w:val="nil"/>
              <w:bottom w:val="nil"/>
            </w:tcBorders>
            <w:hideMark/>
          </w:tcPr>
          <w:p w14:paraId="32098802" w14:textId="77777777" w:rsidR="004F64EF" w:rsidRPr="003003C0" w:rsidRDefault="004F64EF" w:rsidP="001F3C85">
            <w:pPr>
              <w:jc w:val="right"/>
              <w:rPr>
                <w:color w:val="000000"/>
                <w:sz w:val="14"/>
                <w:szCs w:val="14"/>
              </w:rPr>
            </w:pPr>
          </w:p>
        </w:tc>
        <w:tc>
          <w:tcPr>
            <w:tcW w:w="476" w:type="dxa"/>
            <w:tcBorders>
              <w:top w:val="nil"/>
              <w:bottom w:val="nil"/>
            </w:tcBorders>
            <w:hideMark/>
          </w:tcPr>
          <w:p w14:paraId="32B37F48" w14:textId="77777777" w:rsidR="004F64EF" w:rsidRPr="003003C0" w:rsidRDefault="004F64EF" w:rsidP="001F3C85">
            <w:pPr>
              <w:jc w:val="right"/>
              <w:rPr>
                <w:sz w:val="14"/>
                <w:szCs w:val="14"/>
              </w:rPr>
            </w:pPr>
          </w:p>
        </w:tc>
      </w:tr>
      <w:tr w:rsidR="004F64EF" w:rsidRPr="003003C0" w14:paraId="4F45187E" w14:textId="77777777" w:rsidTr="009B3FAD">
        <w:tc>
          <w:tcPr>
            <w:tcW w:w="1129" w:type="dxa"/>
            <w:hideMark/>
          </w:tcPr>
          <w:p w14:paraId="08232808" w14:textId="77777777" w:rsidR="004F64EF" w:rsidRPr="003003C0" w:rsidRDefault="004F64EF" w:rsidP="001F3C85">
            <w:pPr>
              <w:keepNext/>
              <w:keepLines/>
              <w:jc w:val="center"/>
              <w:rPr>
                <w:sz w:val="14"/>
                <w:szCs w:val="14"/>
              </w:rPr>
            </w:pPr>
          </w:p>
        </w:tc>
        <w:tc>
          <w:tcPr>
            <w:tcW w:w="1276" w:type="dxa"/>
            <w:hideMark/>
          </w:tcPr>
          <w:p w14:paraId="47C36311" w14:textId="77777777" w:rsidR="004F64EF" w:rsidRPr="003003C0" w:rsidRDefault="004F64EF" w:rsidP="001F3C85">
            <w:pPr>
              <w:keepNext/>
              <w:keepLines/>
              <w:jc w:val="center"/>
              <w:rPr>
                <w:color w:val="000000"/>
                <w:sz w:val="14"/>
                <w:szCs w:val="14"/>
              </w:rPr>
            </w:pPr>
            <w:r w:rsidRPr="003003C0">
              <w:rPr>
                <w:color w:val="000000"/>
                <w:sz w:val="14"/>
                <w:szCs w:val="14"/>
              </w:rPr>
              <w:t>8544.49.90</w:t>
            </w:r>
          </w:p>
        </w:tc>
        <w:tc>
          <w:tcPr>
            <w:tcW w:w="425" w:type="dxa"/>
            <w:hideMark/>
          </w:tcPr>
          <w:p w14:paraId="2DBC6ACE" w14:textId="77777777" w:rsidR="004F64EF" w:rsidRPr="003003C0" w:rsidRDefault="004F64EF" w:rsidP="001F3C85">
            <w:pPr>
              <w:keepNext/>
              <w:keepLines/>
              <w:jc w:val="center"/>
              <w:rPr>
                <w:color w:val="000000"/>
                <w:sz w:val="14"/>
                <w:szCs w:val="14"/>
              </w:rPr>
            </w:pPr>
            <w:r w:rsidRPr="003003C0">
              <w:rPr>
                <w:color w:val="000000"/>
                <w:sz w:val="14"/>
                <w:szCs w:val="14"/>
              </w:rPr>
              <w:t>01</w:t>
            </w:r>
          </w:p>
        </w:tc>
        <w:tc>
          <w:tcPr>
            <w:tcW w:w="2622" w:type="dxa"/>
            <w:hideMark/>
          </w:tcPr>
          <w:p w14:paraId="305A1C55" w14:textId="77777777" w:rsidR="004F64EF" w:rsidRPr="003003C0" w:rsidRDefault="004F64EF" w:rsidP="001F3C85">
            <w:pPr>
              <w:keepNext/>
              <w:keepLines/>
              <w:jc w:val="left"/>
              <w:rPr>
                <w:color w:val="000000"/>
                <w:sz w:val="14"/>
                <w:szCs w:val="14"/>
              </w:rPr>
            </w:pPr>
          </w:p>
        </w:tc>
        <w:tc>
          <w:tcPr>
            <w:tcW w:w="2623" w:type="dxa"/>
            <w:tcBorders>
              <w:top w:val="nil"/>
              <w:bottom w:val="nil"/>
            </w:tcBorders>
            <w:shd w:val="clear" w:color="auto" w:fill="E4E4E4"/>
            <w:hideMark/>
          </w:tcPr>
          <w:p w14:paraId="0BFDA4E6" w14:textId="77777777" w:rsidR="004F64EF" w:rsidRPr="003003C0" w:rsidRDefault="004F64EF" w:rsidP="001F3C85">
            <w:pPr>
              <w:keepNext/>
              <w:keepLines/>
              <w:jc w:val="left"/>
              <w:rPr>
                <w:color w:val="000000"/>
                <w:sz w:val="14"/>
                <w:szCs w:val="14"/>
              </w:rPr>
            </w:pPr>
            <w:r w:rsidRPr="003003C0">
              <w:rPr>
                <w:color w:val="000000"/>
                <w:sz w:val="14"/>
                <w:szCs w:val="14"/>
              </w:rPr>
              <w:t xml:space="preserve">- </w:t>
            </w:r>
            <w:r w:rsidRPr="002B27C7">
              <w:rPr>
                <w:color w:val="000000"/>
                <w:sz w:val="14"/>
                <w:szCs w:val="14"/>
              </w:rPr>
              <w:t>Other electric conductors, for a voltage not exceeding 80 V, not fitted with connectors, of a kind used for telecommunications</w:t>
            </w:r>
          </w:p>
        </w:tc>
        <w:tc>
          <w:tcPr>
            <w:tcW w:w="475" w:type="dxa"/>
            <w:tcBorders>
              <w:top w:val="nil"/>
              <w:bottom w:val="nil"/>
            </w:tcBorders>
            <w:shd w:val="clear" w:color="auto" w:fill="E4E4E4"/>
            <w:hideMark/>
          </w:tcPr>
          <w:p w14:paraId="1CABD1FD" w14:textId="77777777" w:rsidR="004F64EF" w:rsidRPr="003003C0" w:rsidRDefault="004F64EF" w:rsidP="001F3C85">
            <w:pPr>
              <w:keepNext/>
              <w:keepLines/>
              <w:jc w:val="right"/>
              <w:rPr>
                <w:color w:val="000000"/>
                <w:sz w:val="14"/>
                <w:szCs w:val="14"/>
              </w:rPr>
            </w:pPr>
            <w:r w:rsidRPr="003003C0">
              <w:rPr>
                <w:color w:val="000000"/>
                <w:sz w:val="14"/>
                <w:szCs w:val="14"/>
              </w:rPr>
              <w:t>14</w:t>
            </w:r>
          </w:p>
        </w:tc>
        <w:tc>
          <w:tcPr>
            <w:tcW w:w="476" w:type="dxa"/>
            <w:tcBorders>
              <w:top w:val="nil"/>
              <w:bottom w:val="nil"/>
            </w:tcBorders>
            <w:shd w:val="clear" w:color="auto" w:fill="E4E4E4"/>
            <w:hideMark/>
          </w:tcPr>
          <w:p w14:paraId="06A3A6DD" w14:textId="77777777" w:rsidR="004F64EF" w:rsidRPr="003003C0" w:rsidRDefault="004F64EF" w:rsidP="001F3C85">
            <w:pPr>
              <w:keepNext/>
              <w:keepLines/>
              <w:jc w:val="right"/>
              <w:rPr>
                <w:color w:val="000000"/>
                <w:sz w:val="14"/>
                <w:szCs w:val="14"/>
              </w:rPr>
            </w:pPr>
            <w:r w:rsidRPr="003003C0">
              <w:rPr>
                <w:color w:val="000000"/>
                <w:sz w:val="14"/>
                <w:szCs w:val="14"/>
              </w:rPr>
              <w:t>0</w:t>
            </w:r>
          </w:p>
        </w:tc>
      </w:tr>
      <w:tr w:rsidR="004F64EF" w:rsidRPr="003003C0" w14:paraId="0E80D415" w14:textId="77777777" w:rsidTr="001F3C85">
        <w:trPr>
          <w:cnfStyle w:val="000000010000" w:firstRow="0" w:lastRow="0" w:firstColumn="0" w:lastColumn="0" w:oddVBand="0" w:evenVBand="0" w:oddHBand="0" w:evenHBand="1" w:firstRowFirstColumn="0" w:firstRowLastColumn="0" w:lastRowFirstColumn="0" w:lastRowLastColumn="0"/>
        </w:trPr>
        <w:tc>
          <w:tcPr>
            <w:tcW w:w="1129" w:type="dxa"/>
            <w:hideMark/>
          </w:tcPr>
          <w:p w14:paraId="28C97A0F" w14:textId="77777777" w:rsidR="004F64EF" w:rsidRPr="003003C0" w:rsidRDefault="004F64EF" w:rsidP="001F3C85">
            <w:pPr>
              <w:jc w:val="center"/>
              <w:rPr>
                <w:color w:val="000000"/>
                <w:sz w:val="14"/>
                <w:szCs w:val="14"/>
              </w:rPr>
            </w:pPr>
          </w:p>
        </w:tc>
        <w:tc>
          <w:tcPr>
            <w:tcW w:w="1276" w:type="dxa"/>
            <w:hideMark/>
          </w:tcPr>
          <w:p w14:paraId="545C5496" w14:textId="77777777" w:rsidR="004F64EF" w:rsidRPr="003003C0" w:rsidRDefault="004F64EF" w:rsidP="001F3C85">
            <w:pPr>
              <w:jc w:val="center"/>
              <w:rPr>
                <w:color w:val="000000"/>
                <w:sz w:val="14"/>
                <w:szCs w:val="14"/>
              </w:rPr>
            </w:pPr>
            <w:r w:rsidRPr="003003C0">
              <w:rPr>
                <w:color w:val="000000"/>
                <w:sz w:val="14"/>
                <w:szCs w:val="14"/>
              </w:rPr>
              <w:t>8544.49.90</w:t>
            </w:r>
          </w:p>
        </w:tc>
        <w:tc>
          <w:tcPr>
            <w:tcW w:w="425" w:type="dxa"/>
            <w:hideMark/>
          </w:tcPr>
          <w:p w14:paraId="7525CEBD" w14:textId="77777777" w:rsidR="004F64EF" w:rsidRPr="003003C0" w:rsidRDefault="004F64EF" w:rsidP="001F3C85">
            <w:pPr>
              <w:jc w:val="center"/>
              <w:rPr>
                <w:color w:val="000000"/>
                <w:sz w:val="14"/>
                <w:szCs w:val="14"/>
              </w:rPr>
            </w:pPr>
            <w:r w:rsidRPr="003003C0">
              <w:rPr>
                <w:color w:val="000000"/>
                <w:sz w:val="14"/>
                <w:szCs w:val="14"/>
              </w:rPr>
              <w:t>02</w:t>
            </w:r>
          </w:p>
        </w:tc>
        <w:tc>
          <w:tcPr>
            <w:tcW w:w="2622" w:type="dxa"/>
            <w:hideMark/>
          </w:tcPr>
          <w:p w14:paraId="4679171B" w14:textId="77777777" w:rsidR="004F64EF" w:rsidRPr="003003C0" w:rsidRDefault="004F64EF" w:rsidP="001F3C85">
            <w:pPr>
              <w:jc w:val="left"/>
              <w:rPr>
                <w:color w:val="000000"/>
                <w:sz w:val="14"/>
                <w:szCs w:val="14"/>
              </w:rPr>
            </w:pPr>
          </w:p>
        </w:tc>
        <w:tc>
          <w:tcPr>
            <w:tcW w:w="2623" w:type="dxa"/>
            <w:tcBorders>
              <w:top w:val="nil"/>
            </w:tcBorders>
            <w:hideMark/>
          </w:tcPr>
          <w:p w14:paraId="2E7836C2" w14:textId="77777777" w:rsidR="004F64EF" w:rsidRPr="003003C0" w:rsidRDefault="004F64EF" w:rsidP="001F3C85">
            <w:pPr>
              <w:jc w:val="left"/>
              <w:rPr>
                <w:color w:val="000000"/>
                <w:sz w:val="14"/>
                <w:szCs w:val="14"/>
              </w:rPr>
            </w:pPr>
            <w:r w:rsidRPr="003003C0">
              <w:rPr>
                <w:color w:val="000000"/>
                <w:sz w:val="14"/>
                <w:szCs w:val="14"/>
              </w:rPr>
              <w:t xml:space="preserve">- </w:t>
            </w:r>
            <w:r>
              <w:rPr>
                <w:color w:val="000000"/>
                <w:sz w:val="14"/>
                <w:szCs w:val="14"/>
              </w:rPr>
              <w:t>Other</w:t>
            </w:r>
          </w:p>
        </w:tc>
        <w:tc>
          <w:tcPr>
            <w:tcW w:w="475" w:type="dxa"/>
            <w:tcBorders>
              <w:top w:val="nil"/>
            </w:tcBorders>
            <w:hideMark/>
          </w:tcPr>
          <w:p w14:paraId="54D9830C" w14:textId="77777777" w:rsidR="004F64EF" w:rsidRPr="003003C0" w:rsidRDefault="004F64EF" w:rsidP="001F3C85">
            <w:pPr>
              <w:jc w:val="right"/>
              <w:rPr>
                <w:color w:val="000000"/>
                <w:sz w:val="14"/>
                <w:szCs w:val="14"/>
              </w:rPr>
            </w:pPr>
            <w:r w:rsidRPr="003003C0">
              <w:rPr>
                <w:color w:val="000000"/>
                <w:sz w:val="14"/>
                <w:szCs w:val="14"/>
              </w:rPr>
              <w:t>14</w:t>
            </w:r>
          </w:p>
        </w:tc>
        <w:tc>
          <w:tcPr>
            <w:tcW w:w="476" w:type="dxa"/>
            <w:tcBorders>
              <w:top w:val="nil"/>
            </w:tcBorders>
            <w:hideMark/>
          </w:tcPr>
          <w:p w14:paraId="378543A5" w14:textId="77777777" w:rsidR="004F64EF" w:rsidRPr="003003C0" w:rsidRDefault="004F64EF" w:rsidP="001F3C85">
            <w:pPr>
              <w:jc w:val="right"/>
              <w:rPr>
                <w:color w:val="000000"/>
                <w:sz w:val="14"/>
                <w:szCs w:val="14"/>
              </w:rPr>
            </w:pPr>
            <w:r w:rsidRPr="003003C0">
              <w:rPr>
                <w:color w:val="000000"/>
                <w:sz w:val="14"/>
                <w:szCs w:val="14"/>
              </w:rPr>
              <w:t>35</w:t>
            </w:r>
          </w:p>
        </w:tc>
      </w:tr>
      <w:tr w:rsidR="004F64EF" w:rsidRPr="003003C0" w14:paraId="48C8405F" w14:textId="77777777" w:rsidTr="001F3C85">
        <w:tc>
          <w:tcPr>
            <w:tcW w:w="1129" w:type="dxa"/>
            <w:hideMark/>
          </w:tcPr>
          <w:p w14:paraId="7F54D383" w14:textId="77777777" w:rsidR="004F64EF" w:rsidRPr="003003C0" w:rsidRDefault="004F64EF" w:rsidP="001F3C85">
            <w:pPr>
              <w:jc w:val="center"/>
              <w:rPr>
                <w:color w:val="000000"/>
                <w:sz w:val="14"/>
                <w:szCs w:val="14"/>
              </w:rPr>
            </w:pPr>
            <w:r w:rsidRPr="003003C0">
              <w:rPr>
                <w:color w:val="000000"/>
                <w:sz w:val="14"/>
                <w:szCs w:val="14"/>
              </w:rPr>
              <w:t>8544.49.30</w:t>
            </w:r>
          </w:p>
        </w:tc>
        <w:tc>
          <w:tcPr>
            <w:tcW w:w="1276" w:type="dxa"/>
            <w:hideMark/>
          </w:tcPr>
          <w:p w14:paraId="74433708" w14:textId="77777777" w:rsidR="004F64EF" w:rsidRPr="003003C0" w:rsidRDefault="004F64EF" w:rsidP="001F3C85">
            <w:pPr>
              <w:jc w:val="center"/>
              <w:rPr>
                <w:color w:val="000000"/>
                <w:sz w:val="14"/>
                <w:szCs w:val="14"/>
              </w:rPr>
            </w:pPr>
            <w:r w:rsidRPr="003003C0">
              <w:rPr>
                <w:color w:val="000000"/>
                <w:sz w:val="14"/>
                <w:szCs w:val="14"/>
              </w:rPr>
              <w:t>8544.49.90</w:t>
            </w:r>
          </w:p>
        </w:tc>
        <w:tc>
          <w:tcPr>
            <w:tcW w:w="425" w:type="dxa"/>
            <w:hideMark/>
          </w:tcPr>
          <w:p w14:paraId="51A32438" w14:textId="77777777" w:rsidR="004F64EF" w:rsidRPr="003003C0" w:rsidRDefault="004F64EF" w:rsidP="001F3C85">
            <w:pPr>
              <w:jc w:val="center"/>
              <w:rPr>
                <w:color w:val="000000"/>
                <w:sz w:val="14"/>
                <w:szCs w:val="14"/>
              </w:rPr>
            </w:pPr>
          </w:p>
        </w:tc>
        <w:tc>
          <w:tcPr>
            <w:tcW w:w="2622" w:type="dxa"/>
            <w:hideMark/>
          </w:tcPr>
          <w:p w14:paraId="7AB14AFD" w14:textId="77777777" w:rsidR="004F64EF" w:rsidRPr="003003C0" w:rsidRDefault="004F64EF" w:rsidP="001F3C85">
            <w:pPr>
              <w:jc w:val="left"/>
              <w:rPr>
                <w:color w:val="000000"/>
                <w:sz w:val="14"/>
                <w:szCs w:val="14"/>
              </w:rPr>
            </w:pPr>
            <w:r w:rsidRPr="00804A7E">
              <w:rPr>
                <w:color w:val="000000"/>
                <w:sz w:val="14"/>
                <w:szCs w:val="14"/>
              </w:rPr>
              <w:t>Insulated with rubber, for a voltage exceeding 80 V but not exceeding 1,000 V</w:t>
            </w:r>
          </w:p>
        </w:tc>
        <w:tc>
          <w:tcPr>
            <w:tcW w:w="2623" w:type="dxa"/>
            <w:tcBorders>
              <w:bottom w:val="nil"/>
            </w:tcBorders>
            <w:hideMark/>
          </w:tcPr>
          <w:p w14:paraId="7E96B328" w14:textId="77777777" w:rsidR="004F64EF" w:rsidRPr="003003C0" w:rsidRDefault="004F64EF" w:rsidP="001F3C85">
            <w:pPr>
              <w:jc w:val="left"/>
              <w:rPr>
                <w:color w:val="000000"/>
                <w:sz w:val="14"/>
                <w:szCs w:val="14"/>
              </w:rPr>
            </w:pPr>
            <w:r>
              <w:rPr>
                <w:color w:val="000000"/>
                <w:sz w:val="14"/>
                <w:szCs w:val="14"/>
              </w:rPr>
              <w:t>Other</w:t>
            </w:r>
          </w:p>
        </w:tc>
        <w:tc>
          <w:tcPr>
            <w:tcW w:w="475" w:type="dxa"/>
            <w:tcBorders>
              <w:bottom w:val="nil"/>
            </w:tcBorders>
            <w:hideMark/>
          </w:tcPr>
          <w:p w14:paraId="7664116B" w14:textId="77777777" w:rsidR="004F64EF" w:rsidRPr="003003C0" w:rsidRDefault="004F64EF" w:rsidP="001F3C85">
            <w:pPr>
              <w:jc w:val="right"/>
              <w:rPr>
                <w:color w:val="000000"/>
                <w:sz w:val="14"/>
                <w:szCs w:val="14"/>
              </w:rPr>
            </w:pPr>
          </w:p>
        </w:tc>
        <w:tc>
          <w:tcPr>
            <w:tcW w:w="476" w:type="dxa"/>
            <w:tcBorders>
              <w:bottom w:val="nil"/>
            </w:tcBorders>
            <w:hideMark/>
          </w:tcPr>
          <w:p w14:paraId="77FD3ADE" w14:textId="77777777" w:rsidR="004F64EF" w:rsidRPr="003003C0" w:rsidRDefault="004F64EF" w:rsidP="001F3C85">
            <w:pPr>
              <w:jc w:val="right"/>
              <w:rPr>
                <w:sz w:val="14"/>
                <w:szCs w:val="14"/>
              </w:rPr>
            </w:pPr>
          </w:p>
        </w:tc>
      </w:tr>
      <w:tr w:rsidR="004F64EF" w:rsidRPr="003003C0" w14:paraId="135374EB" w14:textId="77777777" w:rsidTr="001F3C85">
        <w:trPr>
          <w:cnfStyle w:val="000000010000" w:firstRow="0" w:lastRow="0" w:firstColumn="0" w:lastColumn="0" w:oddVBand="0" w:evenVBand="0" w:oddHBand="0" w:evenHBand="1" w:firstRowFirstColumn="0" w:firstRowLastColumn="0" w:lastRowFirstColumn="0" w:lastRowLastColumn="0"/>
        </w:trPr>
        <w:tc>
          <w:tcPr>
            <w:tcW w:w="1129" w:type="dxa"/>
            <w:hideMark/>
          </w:tcPr>
          <w:p w14:paraId="455A61BD" w14:textId="77777777" w:rsidR="004F64EF" w:rsidRPr="003003C0" w:rsidRDefault="004F64EF" w:rsidP="001F3C85">
            <w:pPr>
              <w:jc w:val="center"/>
              <w:rPr>
                <w:sz w:val="14"/>
                <w:szCs w:val="14"/>
              </w:rPr>
            </w:pPr>
          </w:p>
        </w:tc>
        <w:tc>
          <w:tcPr>
            <w:tcW w:w="1276" w:type="dxa"/>
            <w:hideMark/>
          </w:tcPr>
          <w:p w14:paraId="376478B6" w14:textId="77777777" w:rsidR="004F64EF" w:rsidRPr="003003C0" w:rsidRDefault="004F64EF" w:rsidP="001F3C85">
            <w:pPr>
              <w:jc w:val="center"/>
              <w:rPr>
                <w:color w:val="000000"/>
                <w:sz w:val="14"/>
                <w:szCs w:val="14"/>
              </w:rPr>
            </w:pPr>
            <w:r w:rsidRPr="003003C0">
              <w:rPr>
                <w:color w:val="000000"/>
                <w:sz w:val="14"/>
                <w:szCs w:val="14"/>
              </w:rPr>
              <w:t>8544.49.90</w:t>
            </w:r>
          </w:p>
        </w:tc>
        <w:tc>
          <w:tcPr>
            <w:tcW w:w="425" w:type="dxa"/>
            <w:hideMark/>
          </w:tcPr>
          <w:p w14:paraId="2477AAEC" w14:textId="77777777" w:rsidR="004F64EF" w:rsidRPr="003003C0" w:rsidRDefault="004F64EF" w:rsidP="001F3C85">
            <w:pPr>
              <w:jc w:val="center"/>
              <w:rPr>
                <w:color w:val="000000"/>
                <w:sz w:val="14"/>
                <w:szCs w:val="14"/>
              </w:rPr>
            </w:pPr>
            <w:r w:rsidRPr="003003C0">
              <w:rPr>
                <w:color w:val="000000"/>
                <w:sz w:val="14"/>
                <w:szCs w:val="14"/>
              </w:rPr>
              <w:t>01</w:t>
            </w:r>
          </w:p>
        </w:tc>
        <w:tc>
          <w:tcPr>
            <w:tcW w:w="2622" w:type="dxa"/>
            <w:hideMark/>
          </w:tcPr>
          <w:p w14:paraId="1DE4DA2E" w14:textId="77777777" w:rsidR="004F64EF" w:rsidRPr="003003C0" w:rsidRDefault="004F64EF" w:rsidP="001F3C85">
            <w:pPr>
              <w:jc w:val="left"/>
              <w:rPr>
                <w:color w:val="000000"/>
                <w:sz w:val="14"/>
                <w:szCs w:val="14"/>
              </w:rPr>
            </w:pPr>
          </w:p>
        </w:tc>
        <w:tc>
          <w:tcPr>
            <w:tcW w:w="2623" w:type="dxa"/>
            <w:tcBorders>
              <w:top w:val="nil"/>
              <w:bottom w:val="nil"/>
            </w:tcBorders>
            <w:shd w:val="clear" w:color="auto" w:fill="E4E4E4"/>
            <w:hideMark/>
          </w:tcPr>
          <w:p w14:paraId="6F92E442" w14:textId="77777777" w:rsidR="004F64EF" w:rsidRPr="003003C0" w:rsidRDefault="004F64EF" w:rsidP="001F3C85">
            <w:pPr>
              <w:jc w:val="left"/>
              <w:rPr>
                <w:color w:val="000000"/>
                <w:sz w:val="14"/>
                <w:szCs w:val="14"/>
              </w:rPr>
            </w:pPr>
            <w:r w:rsidRPr="003003C0">
              <w:rPr>
                <w:color w:val="000000"/>
                <w:sz w:val="14"/>
                <w:szCs w:val="14"/>
              </w:rPr>
              <w:t xml:space="preserve">- </w:t>
            </w:r>
            <w:r w:rsidRPr="002B27C7">
              <w:rPr>
                <w:color w:val="000000"/>
                <w:sz w:val="14"/>
                <w:szCs w:val="14"/>
              </w:rPr>
              <w:t>Other electric conductors, for a voltage not exceeding 80 V, not fitted with connectors, of a kind used for telecommunications</w:t>
            </w:r>
          </w:p>
        </w:tc>
        <w:tc>
          <w:tcPr>
            <w:tcW w:w="475" w:type="dxa"/>
            <w:tcBorders>
              <w:top w:val="nil"/>
              <w:bottom w:val="nil"/>
            </w:tcBorders>
            <w:shd w:val="clear" w:color="auto" w:fill="E4E4E4"/>
            <w:hideMark/>
          </w:tcPr>
          <w:p w14:paraId="714BB81A" w14:textId="77777777" w:rsidR="004F64EF" w:rsidRPr="003003C0" w:rsidRDefault="004F64EF" w:rsidP="001F3C85">
            <w:pPr>
              <w:jc w:val="right"/>
              <w:rPr>
                <w:color w:val="000000"/>
                <w:sz w:val="14"/>
                <w:szCs w:val="14"/>
              </w:rPr>
            </w:pPr>
            <w:r w:rsidRPr="003003C0">
              <w:rPr>
                <w:color w:val="000000"/>
                <w:sz w:val="14"/>
                <w:szCs w:val="14"/>
              </w:rPr>
              <w:t>14</w:t>
            </w:r>
          </w:p>
        </w:tc>
        <w:tc>
          <w:tcPr>
            <w:tcW w:w="476" w:type="dxa"/>
            <w:tcBorders>
              <w:top w:val="nil"/>
              <w:bottom w:val="nil"/>
            </w:tcBorders>
            <w:shd w:val="clear" w:color="auto" w:fill="E4E4E4"/>
            <w:hideMark/>
          </w:tcPr>
          <w:p w14:paraId="00E2AEAB" w14:textId="77777777" w:rsidR="004F64EF" w:rsidRPr="003003C0" w:rsidRDefault="004F64EF" w:rsidP="001F3C85">
            <w:pPr>
              <w:jc w:val="right"/>
              <w:rPr>
                <w:color w:val="000000"/>
                <w:sz w:val="14"/>
                <w:szCs w:val="14"/>
              </w:rPr>
            </w:pPr>
            <w:r w:rsidRPr="003003C0">
              <w:rPr>
                <w:color w:val="000000"/>
                <w:sz w:val="14"/>
                <w:szCs w:val="14"/>
              </w:rPr>
              <w:t>0</w:t>
            </w:r>
          </w:p>
        </w:tc>
      </w:tr>
      <w:tr w:rsidR="004F64EF" w:rsidRPr="003003C0" w14:paraId="39694546" w14:textId="77777777" w:rsidTr="001F3C85">
        <w:tc>
          <w:tcPr>
            <w:tcW w:w="1129" w:type="dxa"/>
            <w:hideMark/>
          </w:tcPr>
          <w:p w14:paraId="03B927F4" w14:textId="77777777" w:rsidR="004F64EF" w:rsidRPr="003003C0" w:rsidRDefault="004F64EF" w:rsidP="001F3C85">
            <w:pPr>
              <w:jc w:val="center"/>
              <w:rPr>
                <w:color w:val="000000"/>
                <w:sz w:val="14"/>
                <w:szCs w:val="14"/>
              </w:rPr>
            </w:pPr>
          </w:p>
        </w:tc>
        <w:tc>
          <w:tcPr>
            <w:tcW w:w="1276" w:type="dxa"/>
            <w:hideMark/>
          </w:tcPr>
          <w:p w14:paraId="713E6CAE" w14:textId="77777777" w:rsidR="004F64EF" w:rsidRPr="003003C0" w:rsidRDefault="004F64EF" w:rsidP="001F3C85">
            <w:pPr>
              <w:jc w:val="center"/>
              <w:rPr>
                <w:color w:val="000000"/>
                <w:sz w:val="14"/>
                <w:szCs w:val="14"/>
              </w:rPr>
            </w:pPr>
            <w:r w:rsidRPr="003003C0">
              <w:rPr>
                <w:color w:val="000000"/>
                <w:sz w:val="14"/>
                <w:szCs w:val="14"/>
              </w:rPr>
              <w:t>8544.49.90</w:t>
            </w:r>
          </w:p>
        </w:tc>
        <w:tc>
          <w:tcPr>
            <w:tcW w:w="425" w:type="dxa"/>
            <w:hideMark/>
          </w:tcPr>
          <w:p w14:paraId="02DC37C7" w14:textId="77777777" w:rsidR="004F64EF" w:rsidRPr="003003C0" w:rsidRDefault="004F64EF" w:rsidP="001F3C85">
            <w:pPr>
              <w:jc w:val="center"/>
              <w:rPr>
                <w:color w:val="000000"/>
                <w:sz w:val="14"/>
                <w:szCs w:val="14"/>
              </w:rPr>
            </w:pPr>
            <w:r w:rsidRPr="003003C0">
              <w:rPr>
                <w:color w:val="000000"/>
                <w:sz w:val="14"/>
                <w:szCs w:val="14"/>
              </w:rPr>
              <w:t>02</w:t>
            </w:r>
          </w:p>
        </w:tc>
        <w:tc>
          <w:tcPr>
            <w:tcW w:w="2622" w:type="dxa"/>
            <w:hideMark/>
          </w:tcPr>
          <w:p w14:paraId="55548005" w14:textId="77777777" w:rsidR="004F64EF" w:rsidRPr="003003C0" w:rsidRDefault="004F64EF" w:rsidP="001F3C85">
            <w:pPr>
              <w:jc w:val="left"/>
              <w:rPr>
                <w:color w:val="000000"/>
                <w:sz w:val="14"/>
                <w:szCs w:val="14"/>
              </w:rPr>
            </w:pPr>
          </w:p>
        </w:tc>
        <w:tc>
          <w:tcPr>
            <w:tcW w:w="2623" w:type="dxa"/>
            <w:tcBorders>
              <w:top w:val="nil"/>
            </w:tcBorders>
            <w:hideMark/>
          </w:tcPr>
          <w:p w14:paraId="25C01889" w14:textId="77777777" w:rsidR="004F64EF" w:rsidRPr="003003C0" w:rsidRDefault="004F64EF" w:rsidP="001F3C85">
            <w:pPr>
              <w:jc w:val="left"/>
              <w:rPr>
                <w:color w:val="000000"/>
                <w:sz w:val="14"/>
                <w:szCs w:val="14"/>
              </w:rPr>
            </w:pPr>
            <w:r w:rsidRPr="003003C0">
              <w:rPr>
                <w:color w:val="000000"/>
                <w:sz w:val="14"/>
                <w:szCs w:val="14"/>
              </w:rPr>
              <w:t xml:space="preserve">- </w:t>
            </w:r>
            <w:r>
              <w:rPr>
                <w:color w:val="000000"/>
                <w:sz w:val="14"/>
                <w:szCs w:val="14"/>
              </w:rPr>
              <w:t>Other</w:t>
            </w:r>
          </w:p>
        </w:tc>
        <w:tc>
          <w:tcPr>
            <w:tcW w:w="475" w:type="dxa"/>
            <w:tcBorders>
              <w:top w:val="nil"/>
            </w:tcBorders>
            <w:hideMark/>
          </w:tcPr>
          <w:p w14:paraId="557A0CA5" w14:textId="77777777" w:rsidR="004F64EF" w:rsidRPr="003003C0" w:rsidRDefault="004F64EF" w:rsidP="001F3C85">
            <w:pPr>
              <w:jc w:val="right"/>
              <w:rPr>
                <w:color w:val="000000"/>
                <w:sz w:val="14"/>
                <w:szCs w:val="14"/>
              </w:rPr>
            </w:pPr>
            <w:r w:rsidRPr="003003C0">
              <w:rPr>
                <w:color w:val="000000"/>
                <w:sz w:val="14"/>
                <w:szCs w:val="14"/>
              </w:rPr>
              <w:t>14</w:t>
            </w:r>
          </w:p>
        </w:tc>
        <w:tc>
          <w:tcPr>
            <w:tcW w:w="476" w:type="dxa"/>
            <w:tcBorders>
              <w:top w:val="nil"/>
            </w:tcBorders>
            <w:hideMark/>
          </w:tcPr>
          <w:p w14:paraId="4643FDB8" w14:textId="77777777" w:rsidR="004F64EF" w:rsidRPr="003003C0" w:rsidRDefault="004F64EF" w:rsidP="001F3C85">
            <w:pPr>
              <w:jc w:val="right"/>
              <w:rPr>
                <w:color w:val="000000"/>
                <w:sz w:val="14"/>
                <w:szCs w:val="14"/>
              </w:rPr>
            </w:pPr>
            <w:r w:rsidRPr="003003C0">
              <w:rPr>
                <w:color w:val="000000"/>
                <w:sz w:val="14"/>
                <w:szCs w:val="14"/>
              </w:rPr>
              <w:t>35</w:t>
            </w:r>
          </w:p>
        </w:tc>
      </w:tr>
      <w:tr w:rsidR="004F64EF" w:rsidRPr="003003C0" w14:paraId="0CF3B9C3" w14:textId="77777777" w:rsidTr="001F3C85">
        <w:trPr>
          <w:cnfStyle w:val="000000010000" w:firstRow="0" w:lastRow="0" w:firstColumn="0" w:lastColumn="0" w:oddVBand="0" w:evenVBand="0" w:oddHBand="0" w:evenHBand="1" w:firstRowFirstColumn="0" w:firstRowLastColumn="0" w:lastRowFirstColumn="0" w:lastRowLastColumn="0"/>
        </w:trPr>
        <w:tc>
          <w:tcPr>
            <w:tcW w:w="1129" w:type="dxa"/>
            <w:hideMark/>
          </w:tcPr>
          <w:p w14:paraId="16936892" w14:textId="77777777" w:rsidR="004F64EF" w:rsidRPr="003003C0" w:rsidRDefault="004F64EF" w:rsidP="001F3C85">
            <w:pPr>
              <w:jc w:val="center"/>
              <w:rPr>
                <w:color w:val="000000"/>
                <w:sz w:val="14"/>
                <w:szCs w:val="14"/>
              </w:rPr>
            </w:pPr>
            <w:r w:rsidRPr="003003C0">
              <w:rPr>
                <w:color w:val="000000"/>
                <w:sz w:val="14"/>
                <w:szCs w:val="14"/>
              </w:rPr>
              <w:t>8544.49.40</w:t>
            </w:r>
          </w:p>
        </w:tc>
        <w:tc>
          <w:tcPr>
            <w:tcW w:w="1276" w:type="dxa"/>
            <w:hideMark/>
          </w:tcPr>
          <w:p w14:paraId="301F7039" w14:textId="77777777" w:rsidR="004F64EF" w:rsidRPr="003003C0" w:rsidRDefault="004F64EF" w:rsidP="001F3C85">
            <w:pPr>
              <w:jc w:val="center"/>
              <w:rPr>
                <w:color w:val="000000"/>
                <w:sz w:val="14"/>
                <w:szCs w:val="14"/>
              </w:rPr>
            </w:pPr>
            <w:r w:rsidRPr="003003C0">
              <w:rPr>
                <w:color w:val="000000"/>
                <w:sz w:val="14"/>
                <w:szCs w:val="14"/>
              </w:rPr>
              <w:t>8544.49.90</w:t>
            </w:r>
          </w:p>
        </w:tc>
        <w:tc>
          <w:tcPr>
            <w:tcW w:w="425" w:type="dxa"/>
            <w:hideMark/>
          </w:tcPr>
          <w:p w14:paraId="4121039D" w14:textId="77777777" w:rsidR="004F64EF" w:rsidRPr="003003C0" w:rsidRDefault="004F64EF" w:rsidP="001F3C85">
            <w:pPr>
              <w:jc w:val="center"/>
              <w:rPr>
                <w:color w:val="000000"/>
                <w:sz w:val="14"/>
                <w:szCs w:val="14"/>
              </w:rPr>
            </w:pPr>
          </w:p>
        </w:tc>
        <w:tc>
          <w:tcPr>
            <w:tcW w:w="2622" w:type="dxa"/>
            <w:hideMark/>
          </w:tcPr>
          <w:p w14:paraId="2A946DC3" w14:textId="77777777" w:rsidR="004F64EF" w:rsidRPr="003003C0" w:rsidRDefault="004F64EF" w:rsidP="001F3C85">
            <w:pPr>
              <w:jc w:val="left"/>
              <w:rPr>
                <w:color w:val="000000"/>
                <w:sz w:val="14"/>
                <w:szCs w:val="14"/>
              </w:rPr>
            </w:pPr>
            <w:r w:rsidRPr="00804A7E">
              <w:rPr>
                <w:color w:val="000000"/>
                <w:sz w:val="14"/>
                <w:szCs w:val="14"/>
              </w:rPr>
              <w:t>Insulated with plastic, for a voltage exceeding 80 V but not exceeding 1,000 V</w:t>
            </w:r>
          </w:p>
        </w:tc>
        <w:tc>
          <w:tcPr>
            <w:tcW w:w="2623" w:type="dxa"/>
            <w:tcBorders>
              <w:bottom w:val="nil"/>
            </w:tcBorders>
            <w:hideMark/>
          </w:tcPr>
          <w:p w14:paraId="1B438F82" w14:textId="77777777" w:rsidR="004F64EF" w:rsidRPr="003003C0" w:rsidRDefault="004F64EF" w:rsidP="001F3C85">
            <w:pPr>
              <w:jc w:val="left"/>
              <w:rPr>
                <w:color w:val="000000"/>
                <w:sz w:val="14"/>
                <w:szCs w:val="14"/>
              </w:rPr>
            </w:pPr>
            <w:r>
              <w:rPr>
                <w:color w:val="000000"/>
                <w:sz w:val="14"/>
                <w:szCs w:val="14"/>
              </w:rPr>
              <w:t>Other</w:t>
            </w:r>
          </w:p>
        </w:tc>
        <w:tc>
          <w:tcPr>
            <w:tcW w:w="475" w:type="dxa"/>
            <w:tcBorders>
              <w:bottom w:val="nil"/>
            </w:tcBorders>
            <w:hideMark/>
          </w:tcPr>
          <w:p w14:paraId="09E53483" w14:textId="77777777" w:rsidR="004F64EF" w:rsidRPr="003003C0" w:rsidRDefault="004F64EF" w:rsidP="001F3C85">
            <w:pPr>
              <w:jc w:val="right"/>
              <w:rPr>
                <w:color w:val="000000"/>
                <w:sz w:val="14"/>
                <w:szCs w:val="14"/>
              </w:rPr>
            </w:pPr>
          </w:p>
        </w:tc>
        <w:tc>
          <w:tcPr>
            <w:tcW w:w="476" w:type="dxa"/>
            <w:tcBorders>
              <w:bottom w:val="nil"/>
            </w:tcBorders>
            <w:hideMark/>
          </w:tcPr>
          <w:p w14:paraId="391C479A" w14:textId="77777777" w:rsidR="004F64EF" w:rsidRPr="003003C0" w:rsidRDefault="004F64EF" w:rsidP="001F3C85">
            <w:pPr>
              <w:jc w:val="right"/>
              <w:rPr>
                <w:sz w:val="14"/>
                <w:szCs w:val="14"/>
              </w:rPr>
            </w:pPr>
          </w:p>
        </w:tc>
      </w:tr>
      <w:tr w:rsidR="004F64EF" w:rsidRPr="003003C0" w14:paraId="07E744EB" w14:textId="77777777" w:rsidTr="001F3C85">
        <w:tc>
          <w:tcPr>
            <w:tcW w:w="1129" w:type="dxa"/>
            <w:hideMark/>
          </w:tcPr>
          <w:p w14:paraId="7D2A2702" w14:textId="77777777" w:rsidR="004F64EF" w:rsidRPr="003003C0" w:rsidRDefault="004F64EF" w:rsidP="001F3C85">
            <w:pPr>
              <w:jc w:val="center"/>
              <w:rPr>
                <w:sz w:val="14"/>
                <w:szCs w:val="14"/>
              </w:rPr>
            </w:pPr>
          </w:p>
        </w:tc>
        <w:tc>
          <w:tcPr>
            <w:tcW w:w="1276" w:type="dxa"/>
            <w:hideMark/>
          </w:tcPr>
          <w:p w14:paraId="55276845" w14:textId="77777777" w:rsidR="004F64EF" w:rsidRPr="003003C0" w:rsidRDefault="004F64EF" w:rsidP="001F3C85">
            <w:pPr>
              <w:jc w:val="center"/>
              <w:rPr>
                <w:color w:val="000000"/>
                <w:sz w:val="14"/>
                <w:szCs w:val="14"/>
              </w:rPr>
            </w:pPr>
            <w:r w:rsidRPr="003003C0">
              <w:rPr>
                <w:color w:val="000000"/>
                <w:sz w:val="14"/>
                <w:szCs w:val="14"/>
              </w:rPr>
              <w:t>8544.49.90</w:t>
            </w:r>
          </w:p>
        </w:tc>
        <w:tc>
          <w:tcPr>
            <w:tcW w:w="425" w:type="dxa"/>
            <w:hideMark/>
          </w:tcPr>
          <w:p w14:paraId="63D7F24F" w14:textId="77777777" w:rsidR="004F64EF" w:rsidRPr="003003C0" w:rsidRDefault="004F64EF" w:rsidP="001F3C85">
            <w:pPr>
              <w:jc w:val="center"/>
              <w:rPr>
                <w:color w:val="000000"/>
                <w:sz w:val="14"/>
                <w:szCs w:val="14"/>
              </w:rPr>
            </w:pPr>
            <w:r w:rsidRPr="003003C0">
              <w:rPr>
                <w:color w:val="000000"/>
                <w:sz w:val="14"/>
                <w:szCs w:val="14"/>
              </w:rPr>
              <w:t>01</w:t>
            </w:r>
          </w:p>
        </w:tc>
        <w:tc>
          <w:tcPr>
            <w:tcW w:w="2622" w:type="dxa"/>
            <w:hideMark/>
          </w:tcPr>
          <w:p w14:paraId="6E77B955" w14:textId="77777777" w:rsidR="004F64EF" w:rsidRPr="003003C0" w:rsidRDefault="004F64EF" w:rsidP="001F3C85">
            <w:pPr>
              <w:jc w:val="left"/>
              <w:rPr>
                <w:color w:val="000000"/>
                <w:sz w:val="14"/>
                <w:szCs w:val="14"/>
              </w:rPr>
            </w:pPr>
          </w:p>
        </w:tc>
        <w:tc>
          <w:tcPr>
            <w:tcW w:w="2623" w:type="dxa"/>
            <w:tcBorders>
              <w:top w:val="nil"/>
              <w:bottom w:val="nil"/>
            </w:tcBorders>
            <w:shd w:val="clear" w:color="auto" w:fill="E4E4E4"/>
            <w:hideMark/>
          </w:tcPr>
          <w:p w14:paraId="020DDCA8" w14:textId="77777777" w:rsidR="004F64EF" w:rsidRPr="003003C0" w:rsidRDefault="004F64EF" w:rsidP="001F3C85">
            <w:pPr>
              <w:jc w:val="left"/>
              <w:rPr>
                <w:color w:val="000000"/>
                <w:sz w:val="14"/>
                <w:szCs w:val="14"/>
              </w:rPr>
            </w:pPr>
            <w:r w:rsidRPr="003003C0">
              <w:rPr>
                <w:color w:val="000000"/>
                <w:sz w:val="14"/>
                <w:szCs w:val="14"/>
              </w:rPr>
              <w:t xml:space="preserve">- </w:t>
            </w:r>
            <w:r w:rsidRPr="002B27C7">
              <w:rPr>
                <w:color w:val="000000"/>
                <w:sz w:val="14"/>
                <w:szCs w:val="14"/>
              </w:rPr>
              <w:t>Other electric conductors, for a voltage not exceeding 80 V, not fitted with connectors, of a kind used for telecommunications</w:t>
            </w:r>
          </w:p>
        </w:tc>
        <w:tc>
          <w:tcPr>
            <w:tcW w:w="475" w:type="dxa"/>
            <w:tcBorders>
              <w:top w:val="nil"/>
              <w:bottom w:val="nil"/>
            </w:tcBorders>
            <w:shd w:val="clear" w:color="auto" w:fill="E4E4E4"/>
            <w:hideMark/>
          </w:tcPr>
          <w:p w14:paraId="68D6C65C" w14:textId="77777777" w:rsidR="004F64EF" w:rsidRPr="003003C0" w:rsidRDefault="004F64EF" w:rsidP="001F3C85">
            <w:pPr>
              <w:jc w:val="right"/>
              <w:rPr>
                <w:color w:val="000000"/>
                <w:sz w:val="14"/>
                <w:szCs w:val="14"/>
              </w:rPr>
            </w:pPr>
            <w:r w:rsidRPr="003003C0">
              <w:rPr>
                <w:color w:val="000000"/>
                <w:sz w:val="14"/>
                <w:szCs w:val="14"/>
              </w:rPr>
              <w:t>14</w:t>
            </w:r>
          </w:p>
        </w:tc>
        <w:tc>
          <w:tcPr>
            <w:tcW w:w="476" w:type="dxa"/>
            <w:tcBorders>
              <w:top w:val="nil"/>
              <w:bottom w:val="nil"/>
            </w:tcBorders>
            <w:shd w:val="clear" w:color="auto" w:fill="E4E4E4"/>
            <w:hideMark/>
          </w:tcPr>
          <w:p w14:paraId="1284B382" w14:textId="77777777" w:rsidR="004F64EF" w:rsidRPr="003003C0" w:rsidRDefault="004F64EF" w:rsidP="001F3C85">
            <w:pPr>
              <w:jc w:val="right"/>
              <w:rPr>
                <w:color w:val="000000"/>
                <w:sz w:val="14"/>
                <w:szCs w:val="14"/>
              </w:rPr>
            </w:pPr>
            <w:r w:rsidRPr="003003C0">
              <w:rPr>
                <w:color w:val="000000"/>
                <w:sz w:val="14"/>
                <w:szCs w:val="14"/>
              </w:rPr>
              <w:t>0</w:t>
            </w:r>
          </w:p>
        </w:tc>
      </w:tr>
      <w:tr w:rsidR="004F64EF" w:rsidRPr="003003C0" w14:paraId="4B9A43FE" w14:textId="77777777" w:rsidTr="00EC3E2B">
        <w:trPr>
          <w:cnfStyle w:val="000000010000" w:firstRow="0" w:lastRow="0" w:firstColumn="0" w:lastColumn="0" w:oddVBand="0" w:evenVBand="0" w:oddHBand="0" w:evenHBand="1" w:firstRowFirstColumn="0" w:firstRowLastColumn="0" w:lastRowFirstColumn="0" w:lastRowLastColumn="0"/>
        </w:trPr>
        <w:tc>
          <w:tcPr>
            <w:tcW w:w="1129" w:type="dxa"/>
            <w:hideMark/>
          </w:tcPr>
          <w:p w14:paraId="4E4B91CF" w14:textId="77777777" w:rsidR="004F64EF" w:rsidRPr="003003C0" w:rsidRDefault="004F64EF" w:rsidP="001F3C85">
            <w:pPr>
              <w:jc w:val="center"/>
              <w:rPr>
                <w:color w:val="000000"/>
                <w:sz w:val="14"/>
                <w:szCs w:val="14"/>
              </w:rPr>
            </w:pPr>
          </w:p>
        </w:tc>
        <w:tc>
          <w:tcPr>
            <w:tcW w:w="1276" w:type="dxa"/>
            <w:hideMark/>
          </w:tcPr>
          <w:p w14:paraId="44259302" w14:textId="77777777" w:rsidR="004F64EF" w:rsidRPr="003003C0" w:rsidRDefault="004F64EF" w:rsidP="001F3C85">
            <w:pPr>
              <w:jc w:val="center"/>
              <w:rPr>
                <w:color w:val="000000"/>
                <w:sz w:val="14"/>
                <w:szCs w:val="14"/>
              </w:rPr>
            </w:pPr>
            <w:r w:rsidRPr="003003C0">
              <w:rPr>
                <w:color w:val="000000"/>
                <w:sz w:val="14"/>
                <w:szCs w:val="14"/>
              </w:rPr>
              <w:t>8544.49.90</w:t>
            </w:r>
          </w:p>
        </w:tc>
        <w:tc>
          <w:tcPr>
            <w:tcW w:w="425" w:type="dxa"/>
            <w:hideMark/>
          </w:tcPr>
          <w:p w14:paraId="70858146" w14:textId="77777777" w:rsidR="004F64EF" w:rsidRPr="003003C0" w:rsidRDefault="004F64EF" w:rsidP="001F3C85">
            <w:pPr>
              <w:jc w:val="center"/>
              <w:rPr>
                <w:color w:val="000000"/>
                <w:sz w:val="14"/>
                <w:szCs w:val="14"/>
              </w:rPr>
            </w:pPr>
            <w:r w:rsidRPr="003003C0">
              <w:rPr>
                <w:color w:val="000000"/>
                <w:sz w:val="14"/>
                <w:szCs w:val="14"/>
              </w:rPr>
              <w:t>02</w:t>
            </w:r>
          </w:p>
        </w:tc>
        <w:tc>
          <w:tcPr>
            <w:tcW w:w="2622" w:type="dxa"/>
            <w:hideMark/>
          </w:tcPr>
          <w:p w14:paraId="4CBD5A8E" w14:textId="77777777" w:rsidR="004F64EF" w:rsidRPr="003003C0" w:rsidRDefault="004F64EF" w:rsidP="001F3C85">
            <w:pPr>
              <w:jc w:val="left"/>
              <w:rPr>
                <w:color w:val="000000"/>
                <w:sz w:val="14"/>
                <w:szCs w:val="14"/>
              </w:rPr>
            </w:pPr>
          </w:p>
        </w:tc>
        <w:tc>
          <w:tcPr>
            <w:tcW w:w="2623" w:type="dxa"/>
            <w:tcBorders>
              <w:top w:val="nil"/>
              <w:bottom w:val="nil"/>
            </w:tcBorders>
            <w:hideMark/>
          </w:tcPr>
          <w:p w14:paraId="1747EACE" w14:textId="77777777" w:rsidR="004F64EF" w:rsidRPr="003003C0" w:rsidRDefault="004F64EF" w:rsidP="001F3C85">
            <w:pPr>
              <w:jc w:val="left"/>
              <w:rPr>
                <w:color w:val="000000"/>
                <w:sz w:val="14"/>
                <w:szCs w:val="14"/>
              </w:rPr>
            </w:pPr>
            <w:r w:rsidRPr="003003C0">
              <w:rPr>
                <w:color w:val="000000"/>
                <w:sz w:val="14"/>
                <w:szCs w:val="14"/>
              </w:rPr>
              <w:t xml:space="preserve">- </w:t>
            </w:r>
            <w:r>
              <w:rPr>
                <w:color w:val="000000"/>
                <w:sz w:val="14"/>
                <w:szCs w:val="14"/>
              </w:rPr>
              <w:t>Other</w:t>
            </w:r>
          </w:p>
        </w:tc>
        <w:tc>
          <w:tcPr>
            <w:tcW w:w="475" w:type="dxa"/>
            <w:tcBorders>
              <w:top w:val="nil"/>
              <w:bottom w:val="nil"/>
            </w:tcBorders>
            <w:hideMark/>
          </w:tcPr>
          <w:p w14:paraId="3D07A5EC" w14:textId="77777777" w:rsidR="004F64EF" w:rsidRPr="003003C0" w:rsidRDefault="004F64EF" w:rsidP="001F3C85">
            <w:pPr>
              <w:jc w:val="right"/>
              <w:rPr>
                <w:color w:val="000000"/>
                <w:sz w:val="14"/>
                <w:szCs w:val="14"/>
              </w:rPr>
            </w:pPr>
            <w:r w:rsidRPr="003003C0">
              <w:rPr>
                <w:color w:val="000000"/>
                <w:sz w:val="14"/>
                <w:szCs w:val="14"/>
              </w:rPr>
              <w:t>14</w:t>
            </w:r>
          </w:p>
        </w:tc>
        <w:tc>
          <w:tcPr>
            <w:tcW w:w="476" w:type="dxa"/>
            <w:tcBorders>
              <w:top w:val="nil"/>
              <w:bottom w:val="nil"/>
            </w:tcBorders>
            <w:hideMark/>
          </w:tcPr>
          <w:p w14:paraId="69751457" w14:textId="77777777" w:rsidR="004F64EF" w:rsidRPr="003003C0" w:rsidRDefault="004F64EF" w:rsidP="001F3C85">
            <w:pPr>
              <w:jc w:val="right"/>
              <w:rPr>
                <w:color w:val="000000"/>
                <w:sz w:val="14"/>
                <w:szCs w:val="14"/>
              </w:rPr>
            </w:pPr>
            <w:r w:rsidRPr="003003C0">
              <w:rPr>
                <w:color w:val="000000"/>
                <w:sz w:val="14"/>
                <w:szCs w:val="14"/>
              </w:rPr>
              <w:t>35</w:t>
            </w:r>
          </w:p>
        </w:tc>
      </w:tr>
      <w:tr w:rsidR="004F64EF" w:rsidRPr="003003C0" w14:paraId="216A2636" w14:textId="77777777" w:rsidTr="00EC3E2B">
        <w:tc>
          <w:tcPr>
            <w:tcW w:w="1129" w:type="dxa"/>
            <w:hideMark/>
          </w:tcPr>
          <w:p w14:paraId="782F40CF" w14:textId="77777777" w:rsidR="004F64EF" w:rsidRPr="003003C0" w:rsidRDefault="004F64EF" w:rsidP="001F3C85">
            <w:pPr>
              <w:jc w:val="center"/>
              <w:rPr>
                <w:color w:val="000000"/>
                <w:sz w:val="14"/>
                <w:szCs w:val="14"/>
              </w:rPr>
            </w:pPr>
            <w:r w:rsidRPr="003003C0">
              <w:rPr>
                <w:color w:val="000000"/>
                <w:sz w:val="14"/>
                <w:szCs w:val="14"/>
              </w:rPr>
              <w:t>8544.49.90</w:t>
            </w:r>
          </w:p>
        </w:tc>
        <w:tc>
          <w:tcPr>
            <w:tcW w:w="1276" w:type="dxa"/>
            <w:hideMark/>
          </w:tcPr>
          <w:p w14:paraId="47D647B9" w14:textId="77777777" w:rsidR="004F64EF" w:rsidRPr="003003C0" w:rsidRDefault="004F64EF" w:rsidP="001F3C85">
            <w:pPr>
              <w:jc w:val="center"/>
              <w:rPr>
                <w:color w:val="000000"/>
                <w:sz w:val="14"/>
                <w:szCs w:val="14"/>
              </w:rPr>
            </w:pPr>
            <w:r w:rsidRPr="003003C0">
              <w:rPr>
                <w:color w:val="000000"/>
                <w:sz w:val="14"/>
                <w:szCs w:val="14"/>
              </w:rPr>
              <w:t>8544.49.90</w:t>
            </w:r>
          </w:p>
        </w:tc>
        <w:tc>
          <w:tcPr>
            <w:tcW w:w="425" w:type="dxa"/>
            <w:hideMark/>
          </w:tcPr>
          <w:p w14:paraId="028A6E3C" w14:textId="77777777" w:rsidR="004F64EF" w:rsidRPr="003003C0" w:rsidRDefault="004F64EF" w:rsidP="001F3C85">
            <w:pPr>
              <w:jc w:val="center"/>
              <w:rPr>
                <w:color w:val="000000"/>
                <w:sz w:val="14"/>
                <w:szCs w:val="14"/>
              </w:rPr>
            </w:pPr>
          </w:p>
        </w:tc>
        <w:tc>
          <w:tcPr>
            <w:tcW w:w="2622" w:type="dxa"/>
            <w:hideMark/>
          </w:tcPr>
          <w:p w14:paraId="13B3A81A" w14:textId="77777777" w:rsidR="004F64EF" w:rsidRPr="003003C0" w:rsidRDefault="004F64EF" w:rsidP="001F3C85">
            <w:pPr>
              <w:jc w:val="left"/>
              <w:rPr>
                <w:color w:val="000000"/>
                <w:sz w:val="14"/>
                <w:szCs w:val="14"/>
              </w:rPr>
            </w:pPr>
            <w:r>
              <w:rPr>
                <w:color w:val="000000"/>
                <w:sz w:val="14"/>
                <w:szCs w:val="14"/>
              </w:rPr>
              <w:t>Other</w:t>
            </w:r>
          </w:p>
        </w:tc>
        <w:tc>
          <w:tcPr>
            <w:tcW w:w="2623" w:type="dxa"/>
            <w:tcBorders>
              <w:top w:val="nil"/>
              <w:bottom w:val="single" w:sz="4" w:space="0" w:color="auto"/>
            </w:tcBorders>
            <w:hideMark/>
          </w:tcPr>
          <w:p w14:paraId="6E4498AE" w14:textId="77777777" w:rsidR="004F64EF" w:rsidRPr="003003C0" w:rsidRDefault="004F64EF" w:rsidP="001F3C85">
            <w:pPr>
              <w:jc w:val="left"/>
              <w:rPr>
                <w:color w:val="000000"/>
                <w:sz w:val="14"/>
                <w:szCs w:val="14"/>
              </w:rPr>
            </w:pPr>
            <w:r>
              <w:rPr>
                <w:color w:val="000000"/>
                <w:sz w:val="14"/>
                <w:szCs w:val="14"/>
              </w:rPr>
              <w:t>Other</w:t>
            </w:r>
          </w:p>
        </w:tc>
        <w:tc>
          <w:tcPr>
            <w:tcW w:w="475" w:type="dxa"/>
            <w:tcBorders>
              <w:top w:val="nil"/>
              <w:bottom w:val="single" w:sz="4" w:space="0" w:color="auto"/>
            </w:tcBorders>
            <w:hideMark/>
          </w:tcPr>
          <w:p w14:paraId="58A234A2" w14:textId="77777777" w:rsidR="004F64EF" w:rsidRPr="003003C0" w:rsidRDefault="004F64EF" w:rsidP="001F3C85">
            <w:pPr>
              <w:jc w:val="right"/>
              <w:rPr>
                <w:color w:val="000000"/>
                <w:sz w:val="14"/>
                <w:szCs w:val="14"/>
              </w:rPr>
            </w:pPr>
          </w:p>
        </w:tc>
        <w:tc>
          <w:tcPr>
            <w:tcW w:w="476" w:type="dxa"/>
            <w:tcBorders>
              <w:top w:val="nil"/>
              <w:bottom w:val="single" w:sz="4" w:space="0" w:color="auto"/>
            </w:tcBorders>
            <w:hideMark/>
          </w:tcPr>
          <w:p w14:paraId="61CA1A91" w14:textId="77777777" w:rsidR="004F64EF" w:rsidRPr="003003C0" w:rsidRDefault="004F64EF" w:rsidP="001F3C85">
            <w:pPr>
              <w:jc w:val="right"/>
              <w:rPr>
                <w:sz w:val="14"/>
                <w:szCs w:val="14"/>
              </w:rPr>
            </w:pPr>
          </w:p>
        </w:tc>
      </w:tr>
      <w:tr w:rsidR="004F64EF" w:rsidRPr="003003C0" w14:paraId="446B23EB" w14:textId="77777777" w:rsidTr="00EC3E2B">
        <w:trPr>
          <w:cnfStyle w:val="000000010000" w:firstRow="0" w:lastRow="0" w:firstColumn="0" w:lastColumn="0" w:oddVBand="0" w:evenVBand="0" w:oddHBand="0" w:evenHBand="1" w:firstRowFirstColumn="0" w:firstRowLastColumn="0" w:lastRowFirstColumn="0" w:lastRowLastColumn="0"/>
        </w:trPr>
        <w:tc>
          <w:tcPr>
            <w:tcW w:w="1129" w:type="dxa"/>
            <w:hideMark/>
          </w:tcPr>
          <w:p w14:paraId="0048B0ED" w14:textId="77777777" w:rsidR="004F64EF" w:rsidRPr="003003C0" w:rsidRDefault="004F64EF" w:rsidP="009B3FAD">
            <w:pPr>
              <w:keepNext/>
              <w:jc w:val="center"/>
              <w:rPr>
                <w:sz w:val="14"/>
                <w:szCs w:val="14"/>
              </w:rPr>
            </w:pPr>
          </w:p>
        </w:tc>
        <w:tc>
          <w:tcPr>
            <w:tcW w:w="1276" w:type="dxa"/>
            <w:hideMark/>
          </w:tcPr>
          <w:p w14:paraId="7FB81643" w14:textId="77777777" w:rsidR="004F64EF" w:rsidRPr="003003C0" w:rsidRDefault="004F64EF" w:rsidP="009B3FAD">
            <w:pPr>
              <w:keepNext/>
              <w:jc w:val="center"/>
              <w:rPr>
                <w:color w:val="000000"/>
                <w:sz w:val="14"/>
                <w:szCs w:val="14"/>
              </w:rPr>
            </w:pPr>
            <w:r w:rsidRPr="003003C0">
              <w:rPr>
                <w:color w:val="000000"/>
                <w:sz w:val="14"/>
                <w:szCs w:val="14"/>
              </w:rPr>
              <w:t>8544.49.90</w:t>
            </w:r>
          </w:p>
        </w:tc>
        <w:tc>
          <w:tcPr>
            <w:tcW w:w="425" w:type="dxa"/>
            <w:hideMark/>
          </w:tcPr>
          <w:p w14:paraId="543B01F3" w14:textId="77777777" w:rsidR="004F64EF" w:rsidRPr="003003C0" w:rsidRDefault="004F64EF" w:rsidP="009B3FAD">
            <w:pPr>
              <w:keepNext/>
              <w:jc w:val="center"/>
              <w:rPr>
                <w:color w:val="000000"/>
                <w:sz w:val="14"/>
                <w:szCs w:val="14"/>
              </w:rPr>
            </w:pPr>
            <w:r w:rsidRPr="003003C0">
              <w:rPr>
                <w:color w:val="000000"/>
                <w:sz w:val="14"/>
                <w:szCs w:val="14"/>
              </w:rPr>
              <w:t>01</w:t>
            </w:r>
          </w:p>
        </w:tc>
        <w:tc>
          <w:tcPr>
            <w:tcW w:w="2622" w:type="dxa"/>
            <w:hideMark/>
          </w:tcPr>
          <w:p w14:paraId="76C6A802" w14:textId="77777777" w:rsidR="004F64EF" w:rsidRPr="003003C0" w:rsidRDefault="004F64EF" w:rsidP="009B3FAD">
            <w:pPr>
              <w:keepNext/>
              <w:jc w:val="left"/>
              <w:rPr>
                <w:color w:val="000000"/>
                <w:sz w:val="14"/>
                <w:szCs w:val="14"/>
              </w:rPr>
            </w:pPr>
          </w:p>
        </w:tc>
        <w:tc>
          <w:tcPr>
            <w:tcW w:w="2623" w:type="dxa"/>
            <w:tcBorders>
              <w:top w:val="single" w:sz="4" w:space="0" w:color="auto"/>
              <w:bottom w:val="nil"/>
            </w:tcBorders>
            <w:shd w:val="clear" w:color="auto" w:fill="E4E4E4"/>
            <w:hideMark/>
          </w:tcPr>
          <w:p w14:paraId="3E2841AC" w14:textId="77777777" w:rsidR="004F64EF" w:rsidRPr="003003C0" w:rsidRDefault="004F64EF" w:rsidP="009B3FAD">
            <w:pPr>
              <w:keepNext/>
              <w:jc w:val="left"/>
              <w:rPr>
                <w:color w:val="000000"/>
                <w:sz w:val="14"/>
                <w:szCs w:val="14"/>
              </w:rPr>
            </w:pPr>
            <w:r w:rsidRPr="003003C0">
              <w:rPr>
                <w:color w:val="000000"/>
                <w:sz w:val="14"/>
                <w:szCs w:val="14"/>
              </w:rPr>
              <w:t xml:space="preserve">- </w:t>
            </w:r>
            <w:r w:rsidRPr="002B27C7">
              <w:rPr>
                <w:color w:val="000000"/>
                <w:sz w:val="14"/>
                <w:szCs w:val="14"/>
              </w:rPr>
              <w:t>Other electric conductors, for a voltage not exceeding 80 V, not fitted with connectors, of a kind used for telecommunications</w:t>
            </w:r>
          </w:p>
        </w:tc>
        <w:tc>
          <w:tcPr>
            <w:tcW w:w="475" w:type="dxa"/>
            <w:tcBorders>
              <w:top w:val="single" w:sz="4" w:space="0" w:color="auto"/>
              <w:bottom w:val="nil"/>
            </w:tcBorders>
            <w:shd w:val="clear" w:color="auto" w:fill="E4E4E4"/>
            <w:hideMark/>
          </w:tcPr>
          <w:p w14:paraId="296C4185" w14:textId="77777777" w:rsidR="004F64EF" w:rsidRPr="003003C0" w:rsidRDefault="004F64EF" w:rsidP="009B3FAD">
            <w:pPr>
              <w:keepNext/>
              <w:jc w:val="right"/>
              <w:rPr>
                <w:color w:val="000000"/>
                <w:sz w:val="14"/>
                <w:szCs w:val="14"/>
              </w:rPr>
            </w:pPr>
            <w:r w:rsidRPr="003003C0">
              <w:rPr>
                <w:color w:val="000000"/>
                <w:sz w:val="14"/>
                <w:szCs w:val="14"/>
              </w:rPr>
              <w:t>14</w:t>
            </w:r>
          </w:p>
        </w:tc>
        <w:tc>
          <w:tcPr>
            <w:tcW w:w="476" w:type="dxa"/>
            <w:tcBorders>
              <w:top w:val="single" w:sz="4" w:space="0" w:color="auto"/>
              <w:bottom w:val="nil"/>
            </w:tcBorders>
            <w:shd w:val="clear" w:color="auto" w:fill="E4E4E4"/>
            <w:hideMark/>
          </w:tcPr>
          <w:p w14:paraId="391A6395" w14:textId="77777777" w:rsidR="004F64EF" w:rsidRPr="003003C0" w:rsidRDefault="004F64EF" w:rsidP="009B3FAD">
            <w:pPr>
              <w:keepNext/>
              <w:jc w:val="right"/>
              <w:rPr>
                <w:color w:val="000000"/>
                <w:sz w:val="14"/>
                <w:szCs w:val="14"/>
              </w:rPr>
            </w:pPr>
            <w:r w:rsidRPr="003003C0">
              <w:rPr>
                <w:color w:val="000000"/>
                <w:sz w:val="14"/>
                <w:szCs w:val="14"/>
              </w:rPr>
              <w:t>0</w:t>
            </w:r>
          </w:p>
        </w:tc>
      </w:tr>
      <w:tr w:rsidR="004F64EF" w:rsidRPr="003003C0" w14:paraId="69C1B339" w14:textId="77777777" w:rsidTr="001F3C85">
        <w:tc>
          <w:tcPr>
            <w:tcW w:w="1129" w:type="dxa"/>
            <w:hideMark/>
          </w:tcPr>
          <w:p w14:paraId="5D4DD193" w14:textId="77777777" w:rsidR="004F64EF" w:rsidRPr="003003C0" w:rsidRDefault="004F64EF" w:rsidP="001F3C85">
            <w:pPr>
              <w:jc w:val="center"/>
              <w:rPr>
                <w:color w:val="000000"/>
                <w:sz w:val="14"/>
                <w:szCs w:val="14"/>
              </w:rPr>
            </w:pPr>
          </w:p>
        </w:tc>
        <w:tc>
          <w:tcPr>
            <w:tcW w:w="1276" w:type="dxa"/>
            <w:hideMark/>
          </w:tcPr>
          <w:p w14:paraId="0D6DE120" w14:textId="77777777" w:rsidR="004F64EF" w:rsidRPr="003003C0" w:rsidRDefault="004F64EF" w:rsidP="001F3C85">
            <w:pPr>
              <w:jc w:val="center"/>
              <w:rPr>
                <w:color w:val="000000"/>
                <w:sz w:val="14"/>
                <w:szCs w:val="14"/>
              </w:rPr>
            </w:pPr>
            <w:r w:rsidRPr="003003C0">
              <w:rPr>
                <w:color w:val="000000"/>
                <w:sz w:val="14"/>
                <w:szCs w:val="14"/>
              </w:rPr>
              <w:t>8544.49.90</w:t>
            </w:r>
          </w:p>
        </w:tc>
        <w:tc>
          <w:tcPr>
            <w:tcW w:w="425" w:type="dxa"/>
            <w:hideMark/>
          </w:tcPr>
          <w:p w14:paraId="4B62519B" w14:textId="77777777" w:rsidR="004F64EF" w:rsidRPr="003003C0" w:rsidRDefault="004F64EF" w:rsidP="001F3C85">
            <w:pPr>
              <w:jc w:val="center"/>
              <w:rPr>
                <w:color w:val="000000"/>
                <w:sz w:val="14"/>
                <w:szCs w:val="14"/>
              </w:rPr>
            </w:pPr>
            <w:r w:rsidRPr="003003C0">
              <w:rPr>
                <w:color w:val="000000"/>
                <w:sz w:val="14"/>
                <w:szCs w:val="14"/>
              </w:rPr>
              <w:t>02</w:t>
            </w:r>
          </w:p>
        </w:tc>
        <w:tc>
          <w:tcPr>
            <w:tcW w:w="2622" w:type="dxa"/>
            <w:hideMark/>
          </w:tcPr>
          <w:p w14:paraId="15E17E01" w14:textId="77777777" w:rsidR="004F64EF" w:rsidRPr="003003C0" w:rsidRDefault="004F64EF" w:rsidP="001F3C85">
            <w:pPr>
              <w:jc w:val="left"/>
              <w:rPr>
                <w:color w:val="000000"/>
                <w:sz w:val="14"/>
                <w:szCs w:val="14"/>
              </w:rPr>
            </w:pPr>
          </w:p>
        </w:tc>
        <w:tc>
          <w:tcPr>
            <w:tcW w:w="2623" w:type="dxa"/>
            <w:tcBorders>
              <w:top w:val="nil"/>
            </w:tcBorders>
            <w:hideMark/>
          </w:tcPr>
          <w:p w14:paraId="06ABA5E9" w14:textId="77777777" w:rsidR="004F64EF" w:rsidRPr="003003C0" w:rsidRDefault="004F64EF" w:rsidP="001F3C85">
            <w:pPr>
              <w:jc w:val="left"/>
              <w:rPr>
                <w:color w:val="000000"/>
                <w:sz w:val="14"/>
                <w:szCs w:val="14"/>
              </w:rPr>
            </w:pPr>
            <w:r w:rsidRPr="003003C0">
              <w:rPr>
                <w:color w:val="000000"/>
                <w:sz w:val="14"/>
                <w:szCs w:val="14"/>
              </w:rPr>
              <w:t xml:space="preserve">- </w:t>
            </w:r>
            <w:r>
              <w:rPr>
                <w:color w:val="000000"/>
                <w:sz w:val="14"/>
                <w:szCs w:val="14"/>
              </w:rPr>
              <w:t>Other</w:t>
            </w:r>
          </w:p>
        </w:tc>
        <w:tc>
          <w:tcPr>
            <w:tcW w:w="475" w:type="dxa"/>
            <w:tcBorders>
              <w:top w:val="nil"/>
            </w:tcBorders>
            <w:hideMark/>
          </w:tcPr>
          <w:p w14:paraId="0208A24E" w14:textId="77777777" w:rsidR="004F64EF" w:rsidRPr="003003C0" w:rsidRDefault="004F64EF" w:rsidP="001F3C85">
            <w:pPr>
              <w:jc w:val="right"/>
              <w:rPr>
                <w:color w:val="000000"/>
                <w:sz w:val="14"/>
                <w:szCs w:val="14"/>
              </w:rPr>
            </w:pPr>
            <w:r w:rsidRPr="003003C0">
              <w:rPr>
                <w:color w:val="000000"/>
                <w:sz w:val="14"/>
                <w:szCs w:val="14"/>
              </w:rPr>
              <w:t>14</w:t>
            </w:r>
          </w:p>
        </w:tc>
        <w:tc>
          <w:tcPr>
            <w:tcW w:w="476" w:type="dxa"/>
            <w:tcBorders>
              <w:top w:val="nil"/>
            </w:tcBorders>
            <w:hideMark/>
          </w:tcPr>
          <w:p w14:paraId="204748D4" w14:textId="77777777" w:rsidR="004F64EF" w:rsidRPr="003003C0" w:rsidRDefault="004F64EF" w:rsidP="001F3C85">
            <w:pPr>
              <w:jc w:val="right"/>
              <w:rPr>
                <w:color w:val="000000"/>
                <w:sz w:val="14"/>
                <w:szCs w:val="14"/>
              </w:rPr>
            </w:pPr>
            <w:r w:rsidRPr="003003C0">
              <w:rPr>
                <w:color w:val="000000"/>
                <w:sz w:val="14"/>
                <w:szCs w:val="14"/>
              </w:rPr>
              <w:t>35</w:t>
            </w:r>
          </w:p>
        </w:tc>
      </w:tr>
    </w:tbl>
    <w:p w14:paraId="47058A1E" w14:textId="77777777" w:rsidR="004F64EF" w:rsidRPr="003003C0" w:rsidRDefault="004F64EF" w:rsidP="00E439A9">
      <w:pPr>
        <w:pStyle w:val="NoteText"/>
        <w:spacing w:before="120"/>
      </w:pPr>
      <w:r w:rsidRPr="003003C0">
        <w:t>a</w:t>
      </w:r>
      <w:r w:rsidRPr="003003C0">
        <w:tab/>
      </w:r>
      <w:r>
        <w:t>MFN tariff in HS</w:t>
      </w:r>
      <w:r w:rsidRPr="003003C0">
        <w:t xml:space="preserve"> 2017 </w:t>
      </w:r>
      <w:r>
        <w:t>nomenclature; bound tariff in HS 2002 nomenclature</w:t>
      </w:r>
      <w:r w:rsidRPr="003003C0">
        <w:t>.</w:t>
      </w:r>
    </w:p>
    <w:p w14:paraId="3A9076C4" w14:textId="77777777" w:rsidR="004F64EF" w:rsidRPr="003003C0" w:rsidRDefault="004F64EF" w:rsidP="00E439A9">
      <w:pPr>
        <w:pStyle w:val="NoteText"/>
        <w:spacing w:before="120" w:after="240"/>
      </w:pPr>
      <w:r w:rsidRPr="002B27C7">
        <w:t>Source:</w:t>
      </w:r>
      <w:r w:rsidRPr="002B27C7">
        <w:tab/>
        <w:t xml:space="preserve">WTO Secretariat </w:t>
      </w:r>
      <w:r>
        <w:t>calculations</w:t>
      </w:r>
      <w:r w:rsidRPr="002B27C7">
        <w:t xml:space="preserve"> based on data provided by the authorities</w:t>
      </w:r>
      <w:r w:rsidRPr="003003C0">
        <w:t>.</w:t>
      </w:r>
    </w:p>
    <w:p w14:paraId="53291D2F" w14:textId="77777777" w:rsidR="004F64EF" w:rsidRPr="003003C0" w:rsidRDefault="004F64EF" w:rsidP="00E439A9">
      <w:r w:rsidRPr="003003C0">
        <w:br w:type="page"/>
      </w:r>
    </w:p>
    <w:p w14:paraId="6B518810" w14:textId="77777777" w:rsidR="004F64EF" w:rsidRPr="003003C0" w:rsidRDefault="004F64EF" w:rsidP="00E439A9">
      <w:pPr>
        <w:pStyle w:val="Caption"/>
      </w:pPr>
      <w:bookmarkStart w:id="455" w:name="_Toc114735881"/>
      <w:bookmarkStart w:id="456" w:name="_Toc117004301"/>
      <w:bookmarkStart w:id="457" w:name="_Toc117238126"/>
      <w:r>
        <w:lastRenderedPageBreak/>
        <w:t>Table</w:t>
      </w:r>
      <w:r w:rsidRPr="003003C0">
        <w:t xml:space="preserve"> A3.</w:t>
      </w:r>
      <w:r w:rsidR="00BD37F2">
        <w:fldChar w:fldCharType="begin"/>
      </w:r>
      <w:r w:rsidR="00BD37F2">
        <w:instrText xml:space="preserve"> SEQ Table_A3. \* ARABIC </w:instrText>
      </w:r>
      <w:r w:rsidR="00BD37F2">
        <w:fldChar w:fldCharType="separate"/>
      </w:r>
      <w:r w:rsidRPr="003003C0">
        <w:rPr>
          <w:noProof/>
        </w:rPr>
        <w:t>4</w:t>
      </w:r>
      <w:r w:rsidR="00BD37F2">
        <w:rPr>
          <w:noProof/>
        </w:rPr>
        <w:fldChar w:fldCharType="end"/>
      </w:r>
      <w:r w:rsidRPr="003003C0">
        <w:t xml:space="preserve"> </w:t>
      </w:r>
      <w:r>
        <w:t>MFN tariff quotas and import volume</w:t>
      </w:r>
      <w:r w:rsidRPr="003003C0">
        <w:t>, 2021</w:t>
      </w:r>
      <w:bookmarkEnd w:id="455"/>
      <w:bookmarkEnd w:id="456"/>
      <w:bookmarkEnd w:id="457"/>
    </w:p>
    <w:tbl>
      <w:tblPr>
        <w:tblW w:w="5000" w:type="pct"/>
        <w:tblBorders>
          <w:top w:val="single" w:sz="4" w:space="0" w:color="auto"/>
          <w:left w:val="single" w:sz="4" w:space="0" w:color="auto"/>
          <w:bottom w:val="single" w:sz="4" w:space="0" w:color="auto"/>
          <w:right w:val="single" w:sz="4" w:space="0" w:color="auto"/>
          <w:insideV w:val="single" w:sz="4" w:space="0" w:color="auto"/>
        </w:tblBorders>
        <w:tblLayout w:type="fixed"/>
        <w:tblLook w:val="04A0" w:firstRow="1" w:lastRow="0" w:firstColumn="1" w:lastColumn="0" w:noHBand="0" w:noVBand="1"/>
      </w:tblPr>
      <w:tblGrid>
        <w:gridCol w:w="1550"/>
        <w:gridCol w:w="1408"/>
        <w:gridCol w:w="1269"/>
        <w:gridCol w:w="1690"/>
        <w:gridCol w:w="1691"/>
        <w:gridCol w:w="1408"/>
      </w:tblGrid>
      <w:tr w:rsidR="004F64EF" w:rsidRPr="003003C0" w14:paraId="3491B15F" w14:textId="77777777" w:rsidTr="00265A38">
        <w:trPr>
          <w:cantSplit/>
          <w:tblHeader/>
        </w:trPr>
        <w:tc>
          <w:tcPr>
            <w:tcW w:w="859" w:type="pct"/>
            <w:vMerge w:val="restart"/>
            <w:shd w:val="clear" w:color="auto" w:fill="006283"/>
            <w:noWrap/>
            <w:vAlign w:val="center"/>
            <w:hideMark/>
          </w:tcPr>
          <w:p w14:paraId="31DDAE8C" w14:textId="77777777" w:rsidR="004F64EF" w:rsidRPr="003003C0" w:rsidRDefault="004F64EF" w:rsidP="001F3C85">
            <w:pPr>
              <w:jc w:val="left"/>
              <w:rPr>
                <w:rFonts w:cs="Calibri"/>
                <w:b/>
                <w:color w:val="FFFFFF"/>
                <w:sz w:val="15"/>
                <w:szCs w:val="15"/>
              </w:rPr>
            </w:pPr>
            <w:r w:rsidRPr="003003C0">
              <w:rPr>
                <w:rFonts w:cs="Calibri"/>
                <w:b/>
                <w:color w:val="FFFFFF"/>
                <w:sz w:val="15"/>
                <w:szCs w:val="15"/>
              </w:rPr>
              <w:t>Des</w:t>
            </w:r>
            <w:r>
              <w:rPr>
                <w:rFonts w:cs="Calibri"/>
                <w:b/>
                <w:color w:val="FFFFFF"/>
                <w:sz w:val="15"/>
                <w:szCs w:val="15"/>
              </w:rPr>
              <w:t>cription</w:t>
            </w:r>
            <w:r w:rsidRPr="003003C0">
              <w:rPr>
                <w:rFonts w:cs="Calibri"/>
                <w:b/>
                <w:color w:val="FFFFFF"/>
                <w:sz w:val="15"/>
                <w:szCs w:val="15"/>
              </w:rPr>
              <w:t xml:space="preserve"> (</w:t>
            </w:r>
            <w:r>
              <w:rPr>
                <w:rFonts w:cs="Calibri"/>
                <w:b/>
                <w:color w:val="FFFFFF"/>
                <w:sz w:val="15"/>
                <w:szCs w:val="15"/>
              </w:rPr>
              <w:t>HS code</w:t>
            </w:r>
            <w:r w:rsidRPr="003003C0">
              <w:rPr>
                <w:rFonts w:cs="Calibri"/>
                <w:b/>
                <w:color w:val="FFFFFF"/>
                <w:sz w:val="15"/>
                <w:szCs w:val="15"/>
              </w:rPr>
              <w:t xml:space="preserve">) </w:t>
            </w:r>
          </w:p>
        </w:tc>
        <w:tc>
          <w:tcPr>
            <w:tcW w:w="1485" w:type="pct"/>
            <w:gridSpan w:val="2"/>
            <w:tcBorders>
              <w:top w:val="single" w:sz="4" w:space="0" w:color="auto"/>
              <w:bottom w:val="single" w:sz="4" w:space="0" w:color="auto"/>
            </w:tcBorders>
            <w:shd w:val="clear" w:color="auto" w:fill="006283"/>
            <w:noWrap/>
            <w:vAlign w:val="center"/>
            <w:hideMark/>
          </w:tcPr>
          <w:p w14:paraId="207DF785" w14:textId="77777777" w:rsidR="004F64EF" w:rsidRPr="003003C0" w:rsidRDefault="004F64EF" w:rsidP="001F3C85">
            <w:pPr>
              <w:jc w:val="center"/>
              <w:rPr>
                <w:rFonts w:cs="Calibri"/>
                <w:b/>
                <w:color w:val="FFFFFF"/>
                <w:sz w:val="15"/>
                <w:szCs w:val="15"/>
              </w:rPr>
            </w:pPr>
            <w:r>
              <w:rPr>
                <w:rFonts w:cs="Calibri"/>
                <w:b/>
                <w:color w:val="FFFFFF"/>
                <w:sz w:val="15"/>
                <w:szCs w:val="15"/>
              </w:rPr>
              <w:t>A</w:t>
            </w:r>
            <w:r w:rsidRPr="006F2258">
              <w:rPr>
                <w:rFonts w:cs="Calibri"/>
                <w:b/>
                <w:color w:val="FFFFFF"/>
                <w:sz w:val="15"/>
                <w:szCs w:val="15"/>
              </w:rPr>
              <w:t xml:space="preserve">pplied MFN tariff </w:t>
            </w:r>
            <w:r w:rsidRPr="003003C0">
              <w:rPr>
                <w:rFonts w:cs="Calibri"/>
                <w:b/>
                <w:color w:val="FFFFFF"/>
                <w:sz w:val="15"/>
                <w:szCs w:val="15"/>
              </w:rPr>
              <w:t>2021</w:t>
            </w:r>
          </w:p>
        </w:tc>
        <w:tc>
          <w:tcPr>
            <w:tcW w:w="937" w:type="pct"/>
            <w:vMerge w:val="restart"/>
            <w:shd w:val="clear" w:color="auto" w:fill="006283"/>
            <w:noWrap/>
            <w:vAlign w:val="center"/>
            <w:hideMark/>
          </w:tcPr>
          <w:p w14:paraId="1B8D67CF" w14:textId="77777777" w:rsidR="004F64EF" w:rsidRPr="003003C0" w:rsidRDefault="004F64EF" w:rsidP="001F3C85">
            <w:pPr>
              <w:jc w:val="center"/>
              <w:rPr>
                <w:rFonts w:cs="Calibri"/>
                <w:b/>
                <w:color w:val="FFFFFF"/>
                <w:sz w:val="15"/>
                <w:szCs w:val="15"/>
              </w:rPr>
            </w:pPr>
            <w:r>
              <w:rPr>
                <w:rFonts w:cs="Calibri"/>
                <w:b/>
                <w:color w:val="FFFFFF"/>
                <w:sz w:val="15"/>
                <w:szCs w:val="15"/>
              </w:rPr>
              <w:t>Quota volume</w:t>
            </w:r>
            <w:r w:rsidRPr="003003C0">
              <w:rPr>
                <w:rFonts w:cs="Calibri"/>
                <w:b/>
                <w:color w:val="FFFFFF"/>
                <w:sz w:val="15"/>
                <w:szCs w:val="15"/>
              </w:rPr>
              <w:br/>
              <w:t>2021 (</w:t>
            </w:r>
            <w:r>
              <w:rPr>
                <w:rFonts w:cs="Calibri"/>
                <w:b/>
                <w:color w:val="FFFFFF"/>
                <w:sz w:val="15"/>
                <w:szCs w:val="15"/>
              </w:rPr>
              <w:t>tonnes</w:t>
            </w:r>
            <w:r w:rsidRPr="003003C0">
              <w:rPr>
                <w:rFonts w:cs="Calibri"/>
                <w:b/>
                <w:color w:val="FFFFFF"/>
                <w:sz w:val="15"/>
                <w:szCs w:val="15"/>
              </w:rPr>
              <w:t>)</w:t>
            </w:r>
          </w:p>
        </w:tc>
        <w:tc>
          <w:tcPr>
            <w:tcW w:w="938" w:type="pct"/>
            <w:vMerge w:val="restart"/>
            <w:shd w:val="clear" w:color="auto" w:fill="006283"/>
            <w:noWrap/>
            <w:vAlign w:val="center"/>
            <w:hideMark/>
          </w:tcPr>
          <w:p w14:paraId="1AD43669" w14:textId="77777777" w:rsidR="004F64EF" w:rsidRPr="003003C0" w:rsidRDefault="004F64EF" w:rsidP="001F3C85">
            <w:pPr>
              <w:jc w:val="center"/>
              <w:rPr>
                <w:rFonts w:cs="Calibri"/>
                <w:b/>
                <w:color w:val="FFFFFF"/>
                <w:sz w:val="15"/>
                <w:szCs w:val="15"/>
              </w:rPr>
            </w:pPr>
            <w:r>
              <w:rPr>
                <w:rFonts w:cs="Calibri"/>
                <w:b/>
                <w:color w:val="FFFFFF"/>
                <w:sz w:val="15"/>
                <w:szCs w:val="15"/>
              </w:rPr>
              <w:t>In-quota import volume</w:t>
            </w:r>
            <w:r w:rsidRPr="003003C0">
              <w:rPr>
                <w:rFonts w:cs="Calibri"/>
                <w:b/>
                <w:color w:val="FFFFFF"/>
                <w:sz w:val="15"/>
                <w:szCs w:val="15"/>
              </w:rPr>
              <w:t>, 2021 (ton</w:t>
            </w:r>
            <w:r>
              <w:rPr>
                <w:rFonts w:cs="Calibri"/>
                <w:b/>
                <w:color w:val="FFFFFF"/>
                <w:sz w:val="15"/>
                <w:szCs w:val="15"/>
              </w:rPr>
              <w:t>nes</w:t>
            </w:r>
            <w:r w:rsidRPr="003003C0">
              <w:rPr>
                <w:rFonts w:cs="Calibri"/>
                <w:b/>
                <w:color w:val="FFFFFF"/>
                <w:sz w:val="15"/>
                <w:szCs w:val="15"/>
              </w:rPr>
              <w:t>)</w:t>
            </w:r>
          </w:p>
        </w:tc>
        <w:tc>
          <w:tcPr>
            <w:tcW w:w="781" w:type="pct"/>
            <w:vMerge w:val="restart"/>
            <w:shd w:val="clear" w:color="auto" w:fill="006283"/>
            <w:noWrap/>
            <w:vAlign w:val="center"/>
            <w:hideMark/>
          </w:tcPr>
          <w:p w14:paraId="5A381530" w14:textId="77777777" w:rsidR="004F64EF" w:rsidRPr="003003C0" w:rsidRDefault="004F64EF" w:rsidP="001F3C85">
            <w:pPr>
              <w:jc w:val="center"/>
              <w:rPr>
                <w:rFonts w:cs="Calibri"/>
                <w:b/>
                <w:color w:val="FFFFFF"/>
                <w:sz w:val="15"/>
                <w:szCs w:val="15"/>
              </w:rPr>
            </w:pPr>
            <w:r>
              <w:rPr>
                <w:rFonts w:cs="Calibri"/>
                <w:b/>
                <w:color w:val="FFFFFF"/>
                <w:sz w:val="15"/>
                <w:szCs w:val="15"/>
              </w:rPr>
              <w:t>Quota usage</w:t>
            </w:r>
            <w:r w:rsidRPr="003003C0">
              <w:rPr>
                <w:rFonts w:cs="Calibri"/>
                <w:b/>
                <w:color w:val="FFFFFF"/>
                <w:sz w:val="15"/>
                <w:szCs w:val="15"/>
              </w:rPr>
              <w:t xml:space="preserve"> 2021 (%)</w:t>
            </w:r>
          </w:p>
        </w:tc>
      </w:tr>
      <w:tr w:rsidR="004F64EF" w:rsidRPr="003003C0" w14:paraId="10B72701" w14:textId="77777777" w:rsidTr="00265A38">
        <w:trPr>
          <w:cantSplit/>
          <w:tblHeader/>
        </w:trPr>
        <w:tc>
          <w:tcPr>
            <w:tcW w:w="859" w:type="pct"/>
            <w:vMerge/>
            <w:tcBorders>
              <w:bottom w:val="nil"/>
            </w:tcBorders>
            <w:shd w:val="clear" w:color="auto" w:fill="006283"/>
            <w:noWrap/>
            <w:hideMark/>
          </w:tcPr>
          <w:p w14:paraId="544E68AB" w14:textId="77777777" w:rsidR="004F64EF" w:rsidRPr="003003C0" w:rsidRDefault="004F64EF" w:rsidP="001F3C85">
            <w:pPr>
              <w:jc w:val="left"/>
              <w:rPr>
                <w:rFonts w:cs="Calibri"/>
                <w:b/>
                <w:color w:val="FFFFFF"/>
                <w:sz w:val="15"/>
                <w:szCs w:val="15"/>
              </w:rPr>
            </w:pPr>
          </w:p>
        </w:tc>
        <w:tc>
          <w:tcPr>
            <w:tcW w:w="781" w:type="pct"/>
            <w:tcBorders>
              <w:top w:val="single" w:sz="4" w:space="0" w:color="auto"/>
              <w:bottom w:val="nil"/>
            </w:tcBorders>
            <w:shd w:val="clear" w:color="auto" w:fill="006283"/>
            <w:noWrap/>
            <w:vAlign w:val="center"/>
            <w:hideMark/>
          </w:tcPr>
          <w:p w14:paraId="5F125C2F" w14:textId="77777777" w:rsidR="004F64EF" w:rsidRPr="003003C0" w:rsidRDefault="004F64EF" w:rsidP="001F3C85">
            <w:pPr>
              <w:jc w:val="center"/>
              <w:rPr>
                <w:rFonts w:cs="Calibri"/>
                <w:b/>
                <w:color w:val="FFFFFF"/>
                <w:sz w:val="15"/>
                <w:szCs w:val="15"/>
              </w:rPr>
            </w:pPr>
            <w:r>
              <w:rPr>
                <w:rFonts w:cs="Calibri"/>
                <w:b/>
                <w:color w:val="FFFFFF"/>
                <w:sz w:val="15"/>
                <w:szCs w:val="15"/>
              </w:rPr>
              <w:t>In-quota</w:t>
            </w:r>
            <w:r w:rsidRPr="003003C0">
              <w:rPr>
                <w:rFonts w:cs="Calibri"/>
                <w:b/>
                <w:color w:val="FFFFFF"/>
                <w:sz w:val="15"/>
                <w:szCs w:val="15"/>
              </w:rPr>
              <w:t xml:space="preserve"> (%)</w:t>
            </w:r>
          </w:p>
        </w:tc>
        <w:tc>
          <w:tcPr>
            <w:tcW w:w="704" w:type="pct"/>
            <w:tcBorders>
              <w:top w:val="single" w:sz="4" w:space="0" w:color="auto"/>
              <w:bottom w:val="nil"/>
            </w:tcBorders>
            <w:shd w:val="clear" w:color="auto" w:fill="006283"/>
            <w:noWrap/>
            <w:vAlign w:val="center"/>
            <w:hideMark/>
          </w:tcPr>
          <w:p w14:paraId="5E675EC6" w14:textId="77777777" w:rsidR="004F64EF" w:rsidRPr="003003C0" w:rsidRDefault="004F64EF" w:rsidP="001F3C85">
            <w:pPr>
              <w:jc w:val="center"/>
              <w:rPr>
                <w:rFonts w:cs="Calibri"/>
                <w:b/>
                <w:color w:val="FFFFFF"/>
                <w:sz w:val="15"/>
                <w:szCs w:val="15"/>
              </w:rPr>
            </w:pPr>
            <w:r>
              <w:rPr>
                <w:rFonts w:cs="Calibri"/>
                <w:b/>
                <w:color w:val="FFFFFF"/>
                <w:sz w:val="15"/>
                <w:szCs w:val="15"/>
              </w:rPr>
              <w:t>Out-of-quota</w:t>
            </w:r>
            <w:r w:rsidRPr="003003C0">
              <w:rPr>
                <w:rFonts w:cs="Calibri"/>
                <w:b/>
                <w:color w:val="FFFFFF"/>
                <w:sz w:val="15"/>
                <w:szCs w:val="15"/>
              </w:rPr>
              <w:t xml:space="preserve"> (%)</w:t>
            </w:r>
          </w:p>
        </w:tc>
        <w:tc>
          <w:tcPr>
            <w:tcW w:w="937" w:type="pct"/>
            <w:vMerge/>
            <w:tcBorders>
              <w:bottom w:val="nil"/>
            </w:tcBorders>
            <w:shd w:val="clear" w:color="auto" w:fill="006283"/>
            <w:noWrap/>
            <w:hideMark/>
          </w:tcPr>
          <w:p w14:paraId="3EABBAC1" w14:textId="77777777" w:rsidR="004F64EF" w:rsidRPr="003003C0" w:rsidRDefault="004F64EF" w:rsidP="001F3C85">
            <w:pPr>
              <w:jc w:val="center"/>
              <w:rPr>
                <w:rFonts w:cs="Calibri"/>
                <w:b/>
                <w:color w:val="FFFFFF"/>
                <w:sz w:val="15"/>
                <w:szCs w:val="15"/>
              </w:rPr>
            </w:pPr>
          </w:p>
        </w:tc>
        <w:tc>
          <w:tcPr>
            <w:tcW w:w="938" w:type="pct"/>
            <w:vMerge/>
            <w:tcBorders>
              <w:bottom w:val="nil"/>
            </w:tcBorders>
            <w:shd w:val="clear" w:color="auto" w:fill="006283"/>
            <w:noWrap/>
            <w:hideMark/>
          </w:tcPr>
          <w:p w14:paraId="5D285C5F" w14:textId="77777777" w:rsidR="004F64EF" w:rsidRPr="003003C0" w:rsidRDefault="004F64EF" w:rsidP="001F3C85">
            <w:pPr>
              <w:jc w:val="center"/>
              <w:rPr>
                <w:rFonts w:cs="Calibri"/>
                <w:b/>
                <w:color w:val="FFFFFF"/>
                <w:sz w:val="15"/>
                <w:szCs w:val="15"/>
              </w:rPr>
            </w:pPr>
          </w:p>
        </w:tc>
        <w:tc>
          <w:tcPr>
            <w:tcW w:w="781" w:type="pct"/>
            <w:vMerge/>
            <w:tcBorders>
              <w:bottom w:val="nil"/>
            </w:tcBorders>
            <w:shd w:val="clear" w:color="auto" w:fill="006283"/>
            <w:noWrap/>
            <w:hideMark/>
          </w:tcPr>
          <w:p w14:paraId="706C95AE" w14:textId="77777777" w:rsidR="004F64EF" w:rsidRPr="003003C0" w:rsidRDefault="004F64EF" w:rsidP="001F3C85">
            <w:pPr>
              <w:jc w:val="center"/>
              <w:rPr>
                <w:rFonts w:cs="Calibri"/>
                <w:b/>
                <w:color w:val="FFFFFF"/>
                <w:sz w:val="15"/>
                <w:szCs w:val="15"/>
              </w:rPr>
            </w:pPr>
          </w:p>
        </w:tc>
      </w:tr>
      <w:tr w:rsidR="004F64EF" w:rsidRPr="003003C0" w14:paraId="752E46DD" w14:textId="77777777" w:rsidTr="00265A38">
        <w:trPr>
          <w:cantSplit/>
        </w:trPr>
        <w:tc>
          <w:tcPr>
            <w:tcW w:w="859" w:type="pct"/>
            <w:shd w:val="clear" w:color="auto" w:fill="auto"/>
            <w:noWrap/>
            <w:hideMark/>
          </w:tcPr>
          <w:p w14:paraId="5D600F54" w14:textId="77777777" w:rsidR="004F64EF" w:rsidRPr="003003C0" w:rsidRDefault="004F64EF" w:rsidP="001F3C85">
            <w:pPr>
              <w:jc w:val="left"/>
              <w:rPr>
                <w:rFonts w:cs="Calibri"/>
                <w:b/>
                <w:bCs/>
                <w:sz w:val="15"/>
                <w:szCs w:val="15"/>
              </w:rPr>
            </w:pPr>
            <w:r>
              <w:rPr>
                <w:rFonts w:cs="Calibri"/>
                <w:b/>
                <w:bCs/>
                <w:sz w:val="15"/>
                <w:szCs w:val="15"/>
              </w:rPr>
              <w:t>Chicken meat</w:t>
            </w:r>
          </w:p>
        </w:tc>
        <w:tc>
          <w:tcPr>
            <w:tcW w:w="781" w:type="pct"/>
            <w:shd w:val="clear" w:color="auto" w:fill="auto"/>
            <w:noWrap/>
            <w:hideMark/>
          </w:tcPr>
          <w:p w14:paraId="4938EBAC" w14:textId="77777777" w:rsidR="004F64EF" w:rsidRPr="003003C0" w:rsidRDefault="004F64EF" w:rsidP="001F3C85">
            <w:pPr>
              <w:rPr>
                <w:rFonts w:cs="Calibri"/>
                <w:b/>
                <w:bCs/>
                <w:sz w:val="15"/>
                <w:szCs w:val="15"/>
              </w:rPr>
            </w:pPr>
          </w:p>
        </w:tc>
        <w:tc>
          <w:tcPr>
            <w:tcW w:w="704" w:type="pct"/>
            <w:shd w:val="clear" w:color="auto" w:fill="auto"/>
            <w:noWrap/>
            <w:hideMark/>
          </w:tcPr>
          <w:p w14:paraId="27B5FD61" w14:textId="77777777" w:rsidR="004F64EF" w:rsidRPr="003003C0" w:rsidRDefault="004F64EF" w:rsidP="001F3C85">
            <w:pPr>
              <w:rPr>
                <w:sz w:val="15"/>
                <w:szCs w:val="15"/>
              </w:rPr>
            </w:pPr>
          </w:p>
        </w:tc>
        <w:tc>
          <w:tcPr>
            <w:tcW w:w="937" w:type="pct"/>
            <w:shd w:val="clear" w:color="auto" w:fill="auto"/>
            <w:noWrap/>
            <w:hideMark/>
          </w:tcPr>
          <w:p w14:paraId="0BC62831" w14:textId="77777777" w:rsidR="004F64EF" w:rsidRPr="003003C0" w:rsidRDefault="004F64EF" w:rsidP="001F3C85">
            <w:pPr>
              <w:ind w:right="454"/>
              <w:jc w:val="right"/>
              <w:rPr>
                <w:rFonts w:cs="Calibri"/>
                <w:b/>
                <w:bCs/>
                <w:sz w:val="15"/>
                <w:szCs w:val="15"/>
              </w:rPr>
            </w:pPr>
            <w:r w:rsidRPr="003003C0">
              <w:rPr>
                <w:rFonts w:cs="Calibri"/>
                <w:b/>
                <w:bCs/>
                <w:sz w:val="15"/>
                <w:szCs w:val="15"/>
              </w:rPr>
              <w:t>11</w:t>
            </w:r>
            <w:r>
              <w:rPr>
                <w:rFonts w:cs="Calibri"/>
                <w:b/>
                <w:bCs/>
                <w:sz w:val="15"/>
                <w:szCs w:val="15"/>
              </w:rPr>
              <w:t>,</w:t>
            </w:r>
            <w:r w:rsidRPr="003003C0">
              <w:rPr>
                <w:rFonts w:cs="Calibri"/>
                <w:b/>
                <w:bCs/>
                <w:sz w:val="15"/>
                <w:szCs w:val="15"/>
              </w:rPr>
              <w:t>500</w:t>
            </w:r>
          </w:p>
        </w:tc>
        <w:tc>
          <w:tcPr>
            <w:tcW w:w="938" w:type="pct"/>
            <w:shd w:val="clear" w:color="auto" w:fill="auto"/>
            <w:noWrap/>
            <w:hideMark/>
          </w:tcPr>
          <w:p w14:paraId="4C008AE2" w14:textId="77777777" w:rsidR="004F64EF" w:rsidRPr="003003C0" w:rsidRDefault="004F64EF" w:rsidP="001F3C85">
            <w:pPr>
              <w:tabs>
                <w:tab w:val="left" w:pos="886"/>
              </w:tabs>
              <w:ind w:right="454"/>
              <w:jc w:val="right"/>
              <w:rPr>
                <w:rFonts w:cs="Calibri"/>
                <w:b/>
                <w:bCs/>
                <w:strike/>
                <w:sz w:val="15"/>
                <w:szCs w:val="15"/>
              </w:rPr>
            </w:pPr>
            <w:r w:rsidRPr="003003C0">
              <w:rPr>
                <w:rFonts w:cs="Calibri"/>
                <w:b/>
                <w:bCs/>
                <w:sz w:val="15"/>
                <w:szCs w:val="15"/>
              </w:rPr>
              <w:t>14</w:t>
            </w:r>
            <w:r>
              <w:rPr>
                <w:rFonts w:cs="Calibri"/>
                <w:b/>
                <w:bCs/>
                <w:sz w:val="15"/>
                <w:szCs w:val="15"/>
              </w:rPr>
              <w:t>,</w:t>
            </w:r>
            <w:r w:rsidRPr="003003C0">
              <w:rPr>
                <w:rFonts w:cs="Calibri"/>
                <w:b/>
                <w:bCs/>
                <w:sz w:val="15"/>
                <w:szCs w:val="15"/>
              </w:rPr>
              <w:t>503</w:t>
            </w:r>
          </w:p>
        </w:tc>
        <w:tc>
          <w:tcPr>
            <w:tcW w:w="781" w:type="pct"/>
            <w:shd w:val="clear" w:color="auto" w:fill="auto"/>
            <w:noWrap/>
            <w:hideMark/>
          </w:tcPr>
          <w:p w14:paraId="4BDCEAF3" w14:textId="77777777" w:rsidR="004F64EF" w:rsidRPr="003003C0" w:rsidRDefault="004F64EF" w:rsidP="001F3C85">
            <w:pPr>
              <w:ind w:right="340"/>
              <w:jc w:val="right"/>
              <w:rPr>
                <w:rFonts w:cs="Calibri"/>
                <w:b/>
                <w:bCs/>
                <w:sz w:val="15"/>
                <w:szCs w:val="15"/>
              </w:rPr>
            </w:pPr>
            <w:r w:rsidRPr="003003C0">
              <w:rPr>
                <w:rFonts w:cs="Calibri"/>
                <w:b/>
                <w:bCs/>
                <w:sz w:val="15"/>
                <w:szCs w:val="15"/>
              </w:rPr>
              <w:t>126</w:t>
            </w:r>
          </w:p>
        </w:tc>
      </w:tr>
      <w:tr w:rsidR="004F64EF" w:rsidRPr="003003C0" w14:paraId="09FBF12D" w14:textId="77777777" w:rsidTr="00265A38">
        <w:trPr>
          <w:cantSplit/>
        </w:trPr>
        <w:tc>
          <w:tcPr>
            <w:tcW w:w="859" w:type="pct"/>
            <w:shd w:val="clear" w:color="auto" w:fill="C9DED4"/>
            <w:noWrap/>
          </w:tcPr>
          <w:p w14:paraId="0B617D48" w14:textId="77777777" w:rsidR="004F64EF" w:rsidRPr="003003C0" w:rsidRDefault="004F64EF" w:rsidP="001F3C85">
            <w:pPr>
              <w:jc w:val="left"/>
              <w:rPr>
                <w:rFonts w:cs="Calibri"/>
                <w:color w:val="000000"/>
                <w:sz w:val="15"/>
                <w:szCs w:val="15"/>
              </w:rPr>
            </w:pPr>
            <w:r w:rsidRPr="003003C0">
              <w:rPr>
                <w:rFonts w:cs="Calibri"/>
                <w:color w:val="000000"/>
                <w:sz w:val="15"/>
                <w:szCs w:val="15"/>
              </w:rPr>
              <w:t>0207.11.00</w:t>
            </w:r>
          </w:p>
        </w:tc>
        <w:tc>
          <w:tcPr>
            <w:tcW w:w="781" w:type="pct"/>
            <w:shd w:val="clear" w:color="auto" w:fill="C9DED4"/>
            <w:noWrap/>
            <w:hideMark/>
          </w:tcPr>
          <w:p w14:paraId="360FE356" w14:textId="77777777" w:rsidR="004F64EF" w:rsidRPr="003003C0" w:rsidRDefault="004F64EF" w:rsidP="001F3C85">
            <w:pPr>
              <w:jc w:val="center"/>
              <w:rPr>
                <w:rFonts w:cs="Calibri"/>
                <w:color w:val="000000"/>
                <w:sz w:val="15"/>
                <w:szCs w:val="15"/>
              </w:rPr>
            </w:pPr>
            <w:r w:rsidRPr="003003C0">
              <w:rPr>
                <w:rFonts w:cs="Calibri"/>
                <w:color w:val="000000"/>
                <w:sz w:val="15"/>
                <w:szCs w:val="15"/>
              </w:rPr>
              <w:t>25</w:t>
            </w:r>
          </w:p>
        </w:tc>
        <w:tc>
          <w:tcPr>
            <w:tcW w:w="704" w:type="pct"/>
            <w:shd w:val="clear" w:color="auto" w:fill="C9DED4"/>
            <w:noWrap/>
            <w:hideMark/>
          </w:tcPr>
          <w:p w14:paraId="1A912C37" w14:textId="77777777" w:rsidR="004F64EF" w:rsidRPr="003003C0" w:rsidRDefault="004F64EF" w:rsidP="001F3C85">
            <w:pPr>
              <w:jc w:val="center"/>
              <w:rPr>
                <w:rFonts w:cs="Calibri"/>
                <w:color w:val="000000"/>
                <w:sz w:val="15"/>
                <w:szCs w:val="15"/>
              </w:rPr>
            </w:pPr>
            <w:r w:rsidRPr="003003C0">
              <w:rPr>
                <w:rFonts w:cs="Calibri"/>
                <w:color w:val="000000"/>
                <w:sz w:val="15"/>
                <w:szCs w:val="15"/>
              </w:rPr>
              <w:t>99</w:t>
            </w:r>
          </w:p>
        </w:tc>
        <w:tc>
          <w:tcPr>
            <w:tcW w:w="937" w:type="pct"/>
            <w:shd w:val="clear" w:color="auto" w:fill="C9DED4"/>
            <w:noWrap/>
            <w:hideMark/>
          </w:tcPr>
          <w:p w14:paraId="4E5A08E1" w14:textId="77777777" w:rsidR="004F64EF" w:rsidRPr="003003C0" w:rsidRDefault="004F64EF" w:rsidP="001F3C85">
            <w:pPr>
              <w:ind w:right="454"/>
              <w:jc w:val="right"/>
              <w:rPr>
                <w:rFonts w:cs="Calibri"/>
                <w:color w:val="000000"/>
                <w:sz w:val="15"/>
                <w:szCs w:val="15"/>
              </w:rPr>
            </w:pPr>
          </w:p>
        </w:tc>
        <w:tc>
          <w:tcPr>
            <w:tcW w:w="938" w:type="pct"/>
            <w:shd w:val="clear" w:color="auto" w:fill="C9DED4"/>
            <w:noWrap/>
            <w:hideMark/>
          </w:tcPr>
          <w:p w14:paraId="6F1383D7" w14:textId="77777777" w:rsidR="004F64EF" w:rsidRPr="003003C0" w:rsidRDefault="004F64EF" w:rsidP="001F3C85">
            <w:pPr>
              <w:tabs>
                <w:tab w:val="left" w:pos="886"/>
              </w:tabs>
              <w:ind w:right="454"/>
              <w:jc w:val="right"/>
              <w:rPr>
                <w:sz w:val="15"/>
                <w:szCs w:val="15"/>
              </w:rPr>
            </w:pPr>
          </w:p>
        </w:tc>
        <w:tc>
          <w:tcPr>
            <w:tcW w:w="781" w:type="pct"/>
            <w:shd w:val="clear" w:color="auto" w:fill="C9DED4"/>
            <w:noWrap/>
            <w:hideMark/>
          </w:tcPr>
          <w:p w14:paraId="5AB5C2B8" w14:textId="77777777" w:rsidR="004F64EF" w:rsidRPr="003003C0" w:rsidRDefault="004F64EF" w:rsidP="001F3C85">
            <w:pPr>
              <w:ind w:right="340"/>
              <w:jc w:val="right"/>
              <w:rPr>
                <w:sz w:val="15"/>
                <w:szCs w:val="15"/>
              </w:rPr>
            </w:pPr>
          </w:p>
        </w:tc>
      </w:tr>
      <w:tr w:rsidR="004F64EF" w:rsidRPr="003003C0" w14:paraId="41231609" w14:textId="77777777" w:rsidTr="00265A38">
        <w:trPr>
          <w:cantSplit/>
        </w:trPr>
        <w:tc>
          <w:tcPr>
            <w:tcW w:w="859" w:type="pct"/>
            <w:shd w:val="clear" w:color="auto" w:fill="auto"/>
            <w:noWrap/>
            <w:hideMark/>
          </w:tcPr>
          <w:p w14:paraId="21600725" w14:textId="77777777" w:rsidR="004F64EF" w:rsidRPr="003003C0" w:rsidRDefault="004F64EF" w:rsidP="001F3C85">
            <w:pPr>
              <w:jc w:val="left"/>
              <w:rPr>
                <w:rFonts w:cs="Calibri"/>
                <w:color w:val="000000"/>
                <w:sz w:val="15"/>
                <w:szCs w:val="15"/>
              </w:rPr>
            </w:pPr>
            <w:r w:rsidRPr="003003C0">
              <w:rPr>
                <w:rFonts w:cs="Calibri"/>
                <w:color w:val="000000"/>
                <w:sz w:val="15"/>
                <w:szCs w:val="15"/>
              </w:rPr>
              <w:t>0207.12.00</w:t>
            </w:r>
          </w:p>
        </w:tc>
        <w:tc>
          <w:tcPr>
            <w:tcW w:w="781" w:type="pct"/>
            <w:shd w:val="clear" w:color="auto" w:fill="auto"/>
            <w:noWrap/>
            <w:hideMark/>
          </w:tcPr>
          <w:p w14:paraId="7BFEC7F7" w14:textId="77777777" w:rsidR="004F64EF" w:rsidRPr="003003C0" w:rsidRDefault="004F64EF" w:rsidP="001F3C85">
            <w:pPr>
              <w:jc w:val="center"/>
              <w:rPr>
                <w:rFonts w:cs="Calibri"/>
                <w:color w:val="000000"/>
                <w:sz w:val="15"/>
                <w:szCs w:val="15"/>
              </w:rPr>
            </w:pPr>
            <w:r w:rsidRPr="003003C0">
              <w:rPr>
                <w:rFonts w:cs="Calibri"/>
                <w:color w:val="000000"/>
                <w:sz w:val="15"/>
                <w:szCs w:val="15"/>
              </w:rPr>
              <w:t>25</w:t>
            </w:r>
          </w:p>
        </w:tc>
        <w:tc>
          <w:tcPr>
            <w:tcW w:w="704" w:type="pct"/>
            <w:shd w:val="clear" w:color="auto" w:fill="auto"/>
            <w:noWrap/>
            <w:hideMark/>
          </w:tcPr>
          <w:p w14:paraId="784A5167" w14:textId="77777777" w:rsidR="004F64EF" w:rsidRPr="003003C0" w:rsidRDefault="004F64EF" w:rsidP="001F3C85">
            <w:pPr>
              <w:jc w:val="center"/>
              <w:rPr>
                <w:rFonts w:cs="Calibri"/>
                <w:color w:val="000000"/>
                <w:sz w:val="15"/>
                <w:szCs w:val="15"/>
              </w:rPr>
            </w:pPr>
            <w:r w:rsidRPr="003003C0">
              <w:rPr>
                <w:rFonts w:cs="Calibri"/>
                <w:color w:val="000000"/>
                <w:sz w:val="15"/>
                <w:szCs w:val="15"/>
              </w:rPr>
              <w:t>99</w:t>
            </w:r>
          </w:p>
        </w:tc>
        <w:tc>
          <w:tcPr>
            <w:tcW w:w="937" w:type="pct"/>
            <w:shd w:val="clear" w:color="auto" w:fill="auto"/>
            <w:noWrap/>
            <w:hideMark/>
          </w:tcPr>
          <w:p w14:paraId="5621D43A" w14:textId="77777777" w:rsidR="004F64EF" w:rsidRPr="003003C0" w:rsidRDefault="004F64EF" w:rsidP="001F3C85">
            <w:pPr>
              <w:ind w:right="454"/>
              <w:jc w:val="right"/>
              <w:rPr>
                <w:rFonts w:cs="Calibri"/>
                <w:color w:val="000000"/>
                <w:sz w:val="15"/>
                <w:szCs w:val="15"/>
              </w:rPr>
            </w:pPr>
          </w:p>
        </w:tc>
        <w:tc>
          <w:tcPr>
            <w:tcW w:w="938" w:type="pct"/>
            <w:shd w:val="clear" w:color="auto" w:fill="auto"/>
            <w:noWrap/>
            <w:hideMark/>
          </w:tcPr>
          <w:p w14:paraId="6AD79FFE" w14:textId="77777777" w:rsidR="004F64EF" w:rsidRPr="003003C0" w:rsidRDefault="004F64EF" w:rsidP="001F3C85">
            <w:pPr>
              <w:tabs>
                <w:tab w:val="left" w:pos="886"/>
              </w:tabs>
              <w:ind w:right="454"/>
              <w:jc w:val="right"/>
              <w:rPr>
                <w:sz w:val="15"/>
                <w:szCs w:val="15"/>
              </w:rPr>
            </w:pPr>
          </w:p>
        </w:tc>
        <w:tc>
          <w:tcPr>
            <w:tcW w:w="781" w:type="pct"/>
            <w:shd w:val="clear" w:color="auto" w:fill="auto"/>
            <w:noWrap/>
            <w:hideMark/>
          </w:tcPr>
          <w:p w14:paraId="6D21B4D4" w14:textId="77777777" w:rsidR="004F64EF" w:rsidRPr="003003C0" w:rsidRDefault="004F64EF" w:rsidP="001F3C85">
            <w:pPr>
              <w:ind w:right="340"/>
              <w:jc w:val="right"/>
              <w:rPr>
                <w:sz w:val="15"/>
                <w:szCs w:val="15"/>
              </w:rPr>
            </w:pPr>
          </w:p>
        </w:tc>
      </w:tr>
      <w:tr w:rsidR="004F64EF" w:rsidRPr="003003C0" w14:paraId="56A55603" w14:textId="77777777" w:rsidTr="00265A38">
        <w:trPr>
          <w:cantSplit/>
        </w:trPr>
        <w:tc>
          <w:tcPr>
            <w:tcW w:w="859" w:type="pct"/>
            <w:shd w:val="clear" w:color="auto" w:fill="C9DED4"/>
            <w:noWrap/>
            <w:hideMark/>
          </w:tcPr>
          <w:p w14:paraId="7A113C32" w14:textId="77777777" w:rsidR="004F64EF" w:rsidRPr="003003C0" w:rsidRDefault="004F64EF" w:rsidP="001F3C85">
            <w:pPr>
              <w:jc w:val="left"/>
              <w:rPr>
                <w:rFonts w:cs="Calibri"/>
                <w:color w:val="000000"/>
                <w:sz w:val="15"/>
                <w:szCs w:val="15"/>
              </w:rPr>
            </w:pPr>
            <w:r w:rsidRPr="003003C0">
              <w:rPr>
                <w:rFonts w:cs="Calibri"/>
                <w:color w:val="000000"/>
                <w:sz w:val="15"/>
                <w:szCs w:val="15"/>
              </w:rPr>
              <w:t>0207.13.00</w:t>
            </w:r>
          </w:p>
        </w:tc>
        <w:tc>
          <w:tcPr>
            <w:tcW w:w="781" w:type="pct"/>
            <w:shd w:val="clear" w:color="auto" w:fill="C9DED4"/>
            <w:noWrap/>
            <w:hideMark/>
          </w:tcPr>
          <w:p w14:paraId="023F3DB5" w14:textId="77777777" w:rsidR="004F64EF" w:rsidRPr="003003C0" w:rsidRDefault="004F64EF" w:rsidP="001F3C85">
            <w:pPr>
              <w:jc w:val="center"/>
              <w:rPr>
                <w:rFonts w:cs="Calibri"/>
                <w:color w:val="000000"/>
                <w:sz w:val="15"/>
                <w:szCs w:val="15"/>
              </w:rPr>
            </w:pPr>
            <w:r w:rsidRPr="003003C0">
              <w:rPr>
                <w:rFonts w:cs="Calibri"/>
                <w:color w:val="000000"/>
                <w:sz w:val="15"/>
                <w:szCs w:val="15"/>
              </w:rPr>
              <w:t>25</w:t>
            </w:r>
          </w:p>
        </w:tc>
        <w:tc>
          <w:tcPr>
            <w:tcW w:w="704" w:type="pct"/>
            <w:shd w:val="clear" w:color="auto" w:fill="C9DED4"/>
            <w:noWrap/>
            <w:hideMark/>
          </w:tcPr>
          <w:p w14:paraId="4F2EFFD3" w14:textId="77777777" w:rsidR="004F64EF" w:rsidRPr="003003C0" w:rsidRDefault="004F64EF" w:rsidP="001F3C85">
            <w:pPr>
              <w:jc w:val="center"/>
              <w:rPr>
                <w:rFonts w:cs="Calibri"/>
                <w:color w:val="000000"/>
                <w:sz w:val="15"/>
                <w:szCs w:val="15"/>
              </w:rPr>
            </w:pPr>
            <w:r w:rsidRPr="003003C0">
              <w:rPr>
                <w:rFonts w:cs="Calibri"/>
                <w:color w:val="000000"/>
                <w:sz w:val="15"/>
                <w:szCs w:val="15"/>
              </w:rPr>
              <w:t>99</w:t>
            </w:r>
          </w:p>
        </w:tc>
        <w:tc>
          <w:tcPr>
            <w:tcW w:w="937" w:type="pct"/>
            <w:shd w:val="clear" w:color="auto" w:fill="C9DED4"/>
            <w:noWrap/>
            <w:hideMark/>
          </w:tcPr>
          <w:p w14:paraId="59192EE6" w14:textId="77777777" w:rsidR="004F64EF" w:rsidRPr="003003C0" w:rsidRDefault="004F64EF" w:rsidP="001F3C85">
            <w:pPr>
              <w:ind w:right="454"/>
              <w:jc w:val="right"/>
              <w:rPr>
                <w:rFonts w:cs="Calibri"/>
                <w:color w:val="000000"/>
                <w:sz w:val="15"/>
                <w:szCs w:val="15"/>
              </w:rPr>
            </w:pPr>
          </w:p>
        </w:tc>
        <w:tc>
          <w:tcPr>
            <w:tcW w:w="938" w:type="pct"/>
            <w:shd w:val="clear" w:color="auto" w:fill="C9DED4"/>
            <w:noWrap/>
            <w:hideMark/>
          </w:tcPr>
          <w:p w14:paraId="362917F4" w14:textId="77777777" w:rsidR="004F64EF" w:rsidRPr="003003C0" w:rsidRDefault="004F64EF" w:rsidP="001F3C85">
            <w:pPr>
              <w:tabs>
                <w:tab w:val="left" w:pos="886"/>
              </w:tabs>
              <w:ind w:right="454"/>
              <w:jc w:val="right"/>
              <w:rPr>
                <w:sz w:val="15"/>
                <w:szCs w:val="15"/>
              </w:rPr>
            </w:pPr>
          </w:p>
        </w:tc>
        <w:tc>
          <w:tcPr>
            <w:tcW w:w="781" w:type="pct"/>
            <w:shd w:val="clear" w:color="auto" w:fill="C9DED4"/>
            <w:noWrap/>
            <w:hideMark/>
          </w:tcPr>
          <w:p w14:paraId="6188C2C8" w14:textId="77777777" w:rsidR="004F64EF" w:rsidRPr="003003C0" w:rsidRDefault="004F64EF" w:rsidP="001F3C85">
            <w:pPr>
              <w:ind w:right="340"/>
              <w:jc w:val="right"/>
              <w:rPr>
                <w:sz w:val="15"/>
                <w:szCs w:val="15"/>
              </w:rPr>
            </w:pPr>
          </w:p>
        </w:tc>
      </w:tr>
      <w:tr w:rsidR="004F64EF" w:rsidRPr="003003C0" w14:paraId="4B616E0F" w14:textId="77777777" w:rsidTr="00265A38">
        <w:trPr>
          <w:cantSplit/>
        </w:trPr>
        <w:tc>
          <w:tcPr>
            <w:tcW w:w="859" w:type="pct"/>
            <w:shd w:val="clear" w:color="auto" w:fill="auto"/>
            <w:noWrap/>
            <w:hideMark/>
          </w:tcPr>
          <w:p w14:paraId="1FE18563" w14:textId="77777777" w:rsidR="004F64EF" w:rsidRPr="003003C0" w:rsidRDefault="004F64EF" w:rsidP="001F3C85">
            <w:pPr>
              <w:jc w:val="left"/>
              <w:rPr>
                <w:rFonts w:cs="Calibri"/>
                <w:color w:val="000000"/>
                <w:sz w:val="15"/>
                <w:szCs w:val="15"/>
              </w:rPr>
            </w:pPr>
            <w:r w:rsidRPr="003003C0">
              <w:rPr>
                <w:rFonts w:cs="Calibri"/>
                <w:color w:val="000000"/>
                <w:sz w:val="15"/>
                <w:szCs w:val="15"/>
              </w:rPr>
              <w:t>0207.14.10</w:t>
            </w:r>
          </w:p>
        </w:tc>
        <w:tc>
          <w:tcPr>
            <w:tcW w:w="781" w:type="pct"/>
            <w:shd w:val="clear" w:color="auto" w:fill="auto"/>
            <w:noWrap/>
            <w:hideMark/>
          </w:tcPr>
          <w:p w14:paraId="29C6E7B4" w14:textId="77777777" w:rsidR="004F64EF" w:rsidRPr="003003C0" w:rsidRDefault="004F64EF" w:rsidP="001F3C85">
            <w:pPr>
              <w:jc w:val="center"/>
              <w:rPr>
                <w:rFonts w:cs="Calibri"/>
                <w:color w:val="000000"/>
                <w:sz w:val="15"/>
                <w:szCs w:val="15"/>
              </w:rPr>
            </w:pPr>
            <w:r w:rsidRPr="003003C0">
              <w:rPr>
                <w:rFonts w:cs="Calibri"/>
                <w:color w:val="000000"/>
                <w:sz w:val="15"/>
                <w:szCs w:val="15"/>
              </w:rPr>
              <w:t>25</w:t>
            </w:r>
          </w:p>
        </w:tc>
        <w:tc>
          <w:tcPr>
            <w:tcW w:w="704" w:type="pct"/>
            <w:shd w:val="clear" w:color="auto" w:fill="auto"/>
            <w:noWrap/>
            <w:hideMark/>
          </w:tcPr>
          <w:p w14:paraId="4EB3BBD5" w14:textId="77777777" w:rsidR="004F64EF" w:rsidRPr="003003C0" w:rsidRDefault="004F64EF" w:rsidP="001F3C85">
            <w:pPr>
              <w:jc w:val="center"/>
              <w:rPr>
                <w:rFonts w:cs="Calibri"/>
                <w:color w:val="000000"/>
                <w:sz w:val="15"/>
                <w:szCs w:val="15"/>
              </w:rPr>
            </w:pPr>
            <w:r w:rsidRPr="003003C0">
              <w:rPr>
                <w:rFonts w:cs="Calibri"/>
                <w:color w:val="000000"/>
                <w:sz w:val="15"/>
                <w:szCs w:val="15"/>
              </w:rPr>
              <w:t>99</w:t>
            </w:r>
          </w:p>
        </w:tc>
        <w:tc>
          <w:tcPr>
            <w:tcW w:w="937" w:type="pct"/>
            <w:shd w:val="clear" w:color="auto" w:fill="auto"/>
            <w:noWrap/>
            <w:hideMark/>
          </w:tcPr>
          <w:p w14:paraId="6039B33E" w14:textId="77777777" w:rsidR="004F64EF" w:rsidRPr="003003C0" w:rsidRDefault="004F64EF" w:rsidP="001F3C85">
            <w:pPr>
              <w:ind w:right="454"/>
              <w:jc w:val="right"/>
              <w:rPr>
                <w:rFonts w:cs="Calibri"/>
                <w:color w:val="000000"/>
                <w:sz w:val="15"/>
                <w:szCs w:val="15"/>
              </w:rPr>
            </w:pPr>
          </w:p>
        </w:tc>
        <w:tc>
          <w:tcPr>
            <w:tcW w:w="938" w:type="pct"/>
            <w:shd w:val="clear" w:color="auto" w:fill="auto"/>
            <w:noWrap/>
            <w:hideMark/>
          </w:tcPr>
          <w:p w14:paraId="209E3BB3" w14:textId="77777777" w:rsidR="004F64EF" w:rsidRPr="003003C0" w:rsidRDefault="004F64EF" w:rsidP="001F3C85">
            <w:pPr>
              <w:tabs>
                <w:tab w:val="left" w:pos="886"/>
              </w:tabs>
              <w:ind w:right="454"/>
              <w:jc w:val="right"/>
              <w:rPr>
                <w:sz w:val="15"/>
                <w:szCs w:val="15"/>
              </w:rPr>
            </w:pPr>
          </w:p>
        </w:tc>
        <w:tc>
          <w:tcPr>
            <w:tcW w:w="781" w:type="pct"/>
            <w:shd w:val="clear" w:color="auto" w:fill="auto"/>
            <w:noWrap/>
            <w:hideMark/>
          </w:tcPr>
          <w:p w14:paraId="71650443" w14:textId="77777777" w:rsidR="004F64EF" w:rsidRPr="003003C0" w:rsidRDefault="004F64EF" w:rsidP="001F3C85">
            <w:pPr>
              <w:ind w:right="340"/>
              <w:jc w:val="right"/>
              <w:rPr>
                <w:sz w:val="15"/>
                <w:szCs w:val="15"/>
              </w:rPr>
            </w:pPr>
          </w:p>
        </w:tc>
      </w:tr>
      <w:tr w:rsidR="004F64EF" w:rsidRPr="003003C0" w14:paraId="2E5A479F" w14:textId="77777777" w:rsidTr="00265A38">
        <w:trPr>
          <w:cantSplit/>
        </w:trPr>
        <w:tc>
          <w:tcPr>
            <w:tcW w:w="859" w:type="pct"/>
            <w:shd w:val="clear" w:color="auto" w:fill="C9DED4"/>
            <w:noWrap/>
            <w:hideMark/>
          </w:tcPr>
          <w:p w14:paraId="73C808B1" w14:textId="77777777" w:rsidR="004F64EF" w:rsidRPr="003003C0" w:rsidRDefault="004F64EF" w:rsidP="001F3C85">
            <w:pPr>
              <w:jc w:val="left"/>
              <w:rPr>
                <w:rFonts w:cs="Calibri"/>
                <w:color w:val="000000"/>
                <w:sz w:val="15"/>
                <w:szCs w:val="15"/>
              </w:rPr>
            </w:pPr>
            <w:r w:rsidRPr="003003C0">
              <w:rPr>
                <w:rFonts w:cs="Calibri"/>
                <w:color w:val="000000"/>
                <w:sz w:val="15"/>
                <w:szCs w:val="15"/>
              </w:rPr>
              <w:t>0207.14.91</w:t>
            </w:r>
          </w:p>
        </w:tc>
        <w:tc>
          <w:tcPr>
            <w:tcW w:w="781" w:type="pct"/>
            <w:shd w:val="clear" w:color="auto" w:fill="C9DED4"/>
            <w:noWrap/>
            <w:hideMark/>
          </w:tcPr>
          <w:p w14:paraId="5C0266EF" w14:textId="77777777" w:rsidR="004F64EF" w:rsidRPr="003003C0" w:rsidRDefault="004F64EF" w:rsidP="001F3C85">
            <w:pPr>
              <w:jc w:val="center"/>
              <w:rPr>
                <w:rFonts w:cs="Calibri"/>
                <w:color w:val="000000"/>
                <w:sz w:val="15"/>
                <w:szCs w:val="15"/>
              </w:rPr>
            </w:pPr>
            <w:r w:rsidRPr="003003C0">
              <w:rPr>
                <w:rFonts w:cs="Calibri"/>
                <w:color w:val="000000"/>
                <w:sz w:val="15"/>
                <w:szCs w:val="15"/>
              </w:rPr>
              <w:t>25</w:t>
            </w:r>
          </w:p>
        </w:tc>
        <w:tc>
          <w:tcPr>
            <w:tcW w:w="704" w:type="pct"/>
            <w:shd w:val="clear" w:color="auto" w:fill="C9DED4"/>
            <w:noWrap/>
            <w:hideMark/>
          </w:tcPr>
          <w:p w14:paraId="6333C9BF" w14:textId="77777777" w:rsidR="004F64EF" w:rsidRPr="003003C0" w:rsidRDefault="004F64EF" w:rsidP="001F3C85">
            <w:pPr>
              <w:jc w:val="center"/>
              <w:rPr>
                <w:rFonts w:cs="Calibri"/>
                <w:color w:val="000000"/>
                <w:sz w:val="15"/>
                <w:szCs w:val="15"/>
              </w:rPr>
            </w:pPr>
            <w:r w:rsidRPr="003003C0">
              <w:rPr>
                <w:rFonts w:cs="Calibri"/>
                <w:color w:val="000000"/>
                <w:sz w:val="15"/>
                <w:szCs w:val="15"/>
              </w:rPr>
              <w:t>99</w:t>
            </w:r>
          </w:p>
        </w:tc>
        <w:tc>
          <w:tcPr>
            <w:tcW w:w="937" w:type="pct"/>
            <w:shd w:val="clear" w:color="auto" w:fill="C9DED4"/>
            <w:noWrap/>
            <w:hideMark/>
          </w:tcPr>
          <w:p w14:paraId="54CF85F1" w14:textId="77777777" w:rsidR="004F64EF" w:rsidRPr="003003C0" w:rsidRDefault="004F64EF" w:rsidP="001F3C85">
            <w:pPr>
              <w:ind w:right="454"/>
              <w:jc w:val="right"/>
              <w:rPr>
                <w:rFonts w:cs="Calibri"/>
                <w:color w:val="000000"/>
                <w:sz w:val="15"/>
                <w:szCs w:val="15"/>
              </w:rPr>
            </w:pPr>
          </w:p>
        </w:tc>
        <w:tc>
          <w:tcPr>
            <w:tcW w:w="938" w:type="pct"/>
            <w:shd w:val="clear" w:color="auto" w:fill="C9DED4"/>
            <w:noWrap/>
            <w:hideMark/>
          </w:tcPr>
          <w:p w14:paraId="38525B6C" w14:textId="77777777" w:rsidR="004F64EF" w:rsidRPr="003003C0" w:rsidRDefault="004F64EF" w:rsidP="001F3C85">
            <w:pPr>
              <w:tabs>
                <w:tab w:val="left" w:pos="886"/>
              </w:tabs>
              <w:ind w:right="454"/>
              <w:jc w:val="right"/>
              <w:rPr>
                <w:sz w:val="15"/>
                <w:szCs w:val="15"/>
              </w:rPr>
            </w:pPr>
          </w:p>
        </w:tc>
        <w:tc>
          <w:tcPr>
            <w:tcW w:w="781" w:type="pct"/>
            <w:shd w:val="clear" w:color="auto" w:fill="C9DED4"/>
            <w:noWrap/>
            <w:hideMark/>
          </w:tcPr>
          <w:p w14:paraId="4A8A1527" w14:textId="77777777" w:rsidR="004F64EF" w:rsidRPr="003003C0" w:rsidRDefault="004F64EF" w:rsidP="001F3C85">
            <w:pPr>
              <w:ind w:right="340"/>
              <w:jc w:val="right"/>
              <w:rPr>
                <w:sz w:val="15"/>
                <w:szCs w:val="15"/>
              </w:rPr>
            </w:pPr>
          </w:p>
        </w:tc>
      </w:tr>
      <w:tr w:rsidR="004F64EF" w:rsidRPr="003003C0" w14:paraId="48ADAE00" w14:textId="77777777" w:rsidTr="00265A38">
        <w:trPr>
          <w:cantSplit/>
        </w:trPr>
        <w:tc>
          <w:tcPr>
            <w:tcW w:w="859" w:type="pct"/>
            <w:shd w:val="clear" w:color="auto" w:fill="auto"/>
            <w:noWrap/>
            <w:hideMark/>
          </w:tcPr>
          <w:p w14:paraId="587A590E" w14:textId="77777777" w:rsidR="004F64EF" w:rsidRPr="003003C0" w:rsidRDefault="004F64EF" w:rsidP="001F3C85">
            <w:pPr>
              <w:jc w:val="left"/>
              <w:rPr>
                <w:rFonts w:cs="Calibri"/>
                <w:color w:val="000000"/>
                <w:sz w:val="15"/>
                <w:szCs w:val="15"/>
              </w:rPr>
            </w:pPr>
            <w:r w:rsidRPr="003003C0">
              <w:rPr>
                <w:rFonts w:cs="Calibri"/>
                <w:color w:val="000000"/>
                <w:sz w:val="15"/>
                <w:szCs w:val="15"/>
              </w:rPr>
              <w:t>0207.14.92</w:t>
            </w:r>
          </w:p>
        </w:tc>
        <w:tc>
          <w:tcPr>
            <w:tcW w:w="781" w:type="pct"/>
            <w:shd w:val="clear" w:color="auto" w:fill="auto"/>
            <w:noWrap/>
            <w:hideMark/>
          </w:tcPr>
          <w:p w14:paraId="68B75410" w14:textId="77777777" w:rsidR="004F64EF" w:rsidRPr="003003C0" w:rsidRDefault="004F64EF" w:rsidP="001F3C85">
            <w:pPr>
              <w:jc w:val="center"/>
              <w:rPr>
                <w:rFonts w:cs="Calibri"/>
                <w:color w:val="000000"/>
                <w:sz w:val="15"/>
                <w:szCs w:val="15"/>
              </w:rPr>
            </w:pPr>
            <w:r w:rsidRPr="003003C0">
              <w:rPr>
                <w:rFonts w:cs="Calibri"/>
                <w:color w:val="000000"/>
                <w:sz w:val="15"/>
                <w:szCs w:val="15"/>
              </w:rPr>
              <w:t>25</w:t>
            </w:r>
          </w:p>
        </w:tc>
        <w:tc>
          <w:tcPr>
            <w:tcW w:w="704" w:type="pct"/>
            <w:shd w:val="clear" w:color="auto" w:fill="auto"/>
            <w:noWrap/>
            <w:hideMark/>
          </w:tcPr>
          <w:p w14:paraId="5C20CBD1" w14:textId="77777777" w:rsidR="004F64EF" w:rsidRPr="003003C0" w:rsidRDefault="004F64EF" w:rsidP="001F3C85">
            <w:pPr>
              <w:jc w:val="center"/>
              <w:rPr>
                <w:rFonts w:cs="Calibri"/>
                <w:color w:val="000000"/>
                <w:sz w:val="15"/>
                <w:szCs w:val="15"/>
              </w:rPr>
            </w:pPr>
            <w:r w:rsidRPr="003003C0">
              <w:rPr>
                <w:rFonts w:cs="Calibri"/>
                <w:color w:val="000000"/>
                <w:sz w:val="15"/>
                <w:szCs w:val="15"/>
              </w:rPr>
              <w:t>99</w:t>
            </w:r>
          </w:p>
        </w:tc>
        <w:tc>
          <w:tcPr>
            <w:tcW w:w="937" w:type="pct"/>
            <w:shd w:val="clear" w:color="auto" w:fill="auto"/>
            <w:noWrap/>
            <w:hideMark/>
          </w:tcPr>
          <w:p w14:paraId="7138013E" w14:textId="77777777" w:rsidR="004F64EF" w:rsidRPr="003003C0" w:rsidRDefault="004F64EF" w:rsidP="001F3C85">
            <w:pPr>
              <w:ind w:right="454"/>
              <w:jc w:val="right"/>
              <w:rPr>
                <w:rFonts w:cs="Calibri"/>
                <w:color w:val="000000"/>
                <w:sz w:val="15"/>
                <w:szCs w:val="15"/>
              </w:rPr>
            </w:pPr>
          </w:p>
        </w:tc>
        <w:tc>
          <w:tcPr>
            <w:tcW w:w="938" w:type="pct"/>
            <w:shd w:val="clear" w:color="auto" w:fill="auto"/>
            <w:noWrap/>
            <w:hideMark/>
          </w:tcPr>
          <w:p w14:paraId="0C948C15" w14:textId="77777777" w:rsidR="004F64EF" w:rsidRPr="003003C0" w:rsidRDefault="004F64EF" w:rsidP="001F3C85">
            <w:pPr>
              <w:tabs>
                <w:tab w:val="left" w:pos="886"/>
              </w:tabs>
              <w:ind w:right="454"/>
              <w:jc w:val="right"/>
              <w:rPr>
                <w:sz w:val="15"/>
                <w:szCs w:val="15"/>
              </w:rPr>
            </w:pPr>
          </w:p>
        </w:tc>
        <w:tc>
          <w:tcPr>
            <w:tcW w:w="781" w:type="pct"/>
            <w:shd w:val="clear" w:color="auto" w:fill="auto"/>
            <w:noWrap/>
            <w:hideMark/>
          </w:tcPr>
          <w:p w14:paraId="39CEAC1D" w14:textId="77777777" w:rsidR="004F64EF" w:rsidRPr="003003C0" w:rsidRDefault="004F64EF" w:rsidP="001F3C85">
            <w:pPr>
              <w:ind w:right="340"/>
              <w:jc w:val="right"/>
              <w:rPr>
                <w:sz w:val="15"/>
                <w:szCs w:val="15"/>
              </w:rPr>
            </w:pPr>
          </w:p>
        </w:tc>
      </w:tr>
      <w:tr w:rsidR="004F64EF" w:rsidRPr="003003C0" w14:paraId="04FD0ADF" w14:textId="77777777" w:rsidTr="00265A38">
        <w:trPr>
          <w:cantSplit/>
        </w:trPr>
        <w:tc>
          <w:tcPr>
            <w:tcW w:w="859" w:type="pct"/>
            <w:shd w:val="clear" w:color="auto" w:fill="C9DED4"/>
            <w:noWrap/>
            <w:hideMark/>
          </w:tcPr>
          <w:p w14:paraId="49F90B31" w14:textId="77777777" w:rsidR="004F64EF" w:rsidRPr="003003C0" w:rsidRDefault="004F64EF" w:rsidP="001F3C85">
            <w:pPr>
              <w:jc w:val="left"/>
              <w:rPr>
                <w:rFonts w:cs="Calibri"/>
                <w:b/>
                <w:bCs/>
                <w:color w:val="000000"/>
                <w:sz w:val="15"/>
                <w:szCs w:val="15"/>
              </w:rPr>
            </w:pPr>
            <w:r>
              <w:rPr>
                <w:rFonts w:cs="Calibri"/>
                <w:b/>
                <w:bCs/>
                <w:color w:val="000000"/>
                <w:sz w:val="15"/>
                <w:szCs w:val="15"/>
              </w:rPr>
              <w:t>Milk in powder</w:t>
            </w:r>
          </w:p>
        </w:tc>
        <w:tc>
          <w:tcPr>
            <w:tcW w:w="781" w:type="pct"/>
            <w:shd w:val="clear" w:color="auto" w:fill="C9DED4"/>
            <w:noWrap/>
            <w:hideMark/>
          </w:tcPr>
          <w:p w14:paraId="722F44CB" w14:textId="77777777" w:rsidR="004F64EF" w:rsidRPr="003003C0" w:rsidRDefault="004F64EF" w:rsidP="001F3C85">
            <w:pPr>
              <w:rPr>
                <w:rFonts w:cs="Calibri"/>
                <w:b/>
                <w:bCs/>
                <w:color w:val="000000"/>
                <w:sz w:val="15"/>
                <w:szCs w:val="15"/>
              </w:rPr>
            </w:pPr>
          </w:p>
        </w:tc>
        <w:tc>
          <w:tcPr>
            <w:tcW w:w="704" w:type="pct"/>
            <w:shd w:val="clear" w:color="auto" w:fill="C9DED4"/>
            <w:noWrap/>
            <w:hideMark/>
          </w:tcPr>
          <w:p w14:paraId="1A6F1277" w14:textId="77777777" w:rsidR="004F64EF" w:rsidRPr="003003C0" w:rsidRDefault="004F64EF" w:rsidP="001F3C85">
            <w:pPr>
              <w:jc w:val="center"/>
              <w:rPr>
                <w:sz w:val="15"/>
                <w:szCs w:val="15"/>
              </w:rPr>
            </w:pPr>
          </w:p>
        </w:tc>
        <w:tc>
          <w:tcPr>
            <w:tcW w:w="937" w:type="pct"/>
            <w:shd w:val="clear" w:color="auto" w:fill="C9DED4"/>
            <w:noWrap/>
            <w:hideMark/>
          </w:tcPr>
          <w:p w14:paraId="3224164E" w14:textId="77777777" w:rsidR="004F64EF" w:rsidRPr="003003C0" w:rsidRDefault="004F64EF" w:rsidP="001F3C85">
            <w:pPr>
              <w:ind w:right="454"/>
              <w:jc w:val="right"/>
              <w:rPr>
                <w:rFonts w:cs="Calibri"/>
                <w:b/>
                <w:bCs/>
                <w:color w:val="000000"/>
                <w:sz w:val="15"/>
                <w:szCs w:val="15"/>
              </w:rPr>
            </w:pPr>
            <w:r w:rsidRPr="003003C0">
              <w:rPr>
                <w:rFonts w:cs="Calibri"/>
                <w:b/>
                <w:bCs/>
                <w:color w:val="000000"/>
                <w:sz w:val="15"/>
                <w:szCs w:val="15"/>
              </w:rPr>
              <w:t>32</w:t>
            </w:r>
            <w:r>
              <w:rPr>
                <w:rFonts w:cs="Calibri"/>
                <w:b/>
                <w:bCs/>
                <w:color w:val="000000"/>
                <w:sz w:val="15"/>
                <w:szCs w:val="15"/>
              </w:rPr>
              <w:t>,</w:t>
            </w:r>
            <w:r w:rsidRPr="003003C0">
              <w:rPr>
                <w:rFonts w:cs="Calibri"/>
                <w:b/>
                <w:bCs/>
                <w:color w:val="000000"/>
                <w:sz w:val="15"/>
                <w:szCs w:val="15"/>
              </w:rPr>
              <w:t>000</w:t>
            </w:r>
          </w:p>
        </w:tc>
        <w:tc>
          <w:tcPr>
            <w:tcW w:w="938" w:type="pct"/>
            <w:shd w:val="clear" w:color="auto" w:fill="C9DED4"/>
            <w:noWrap/>
            <w:hideMark/>
          </w:tcPr>
          <w:p w14:paraId="2D787538" w14:textId="77777777" w:rsidR="004F64EF" w:rsidRPr="003003C0" w:rsidRDefault="004F64EF" w:rsidP="001F3C85">
            <w:pPr>
              <w:tabs>
                <w:tab w:val="left" w:pos="886"/>
              </w:tabs>
              <w:ind w:right="454"/>
              <w:jc w:val="right"/>
              <w:rPr>
                <w:rFonts w:cs="Calibri"/>
                <w:b/>
                <w:bCs/>
                <w:color w:val="000000"/>
                <w:sz w:val="15"/>
                <w:szCs w:val="15"/>
              </w:rPr>
            </w:pPr>
            <w:r w:rsidRPr="003003C0">
              <w:rPr>
                <w:rFonts w:cs="Calibri"/>
                <w:b/>
                <w:bCs/>
                <w:color w:val="000000"/>
                <w:sz w:val="15"/>
                <w:szCs w:val="15"/>
              </w:rPr>
              <w:t>1</w:t>
            </w:r>
            <w:r>
              <w:rPr>
                <w:rFonts w:cs="Calibri"/>
                <w:b/>
                <w:bCs/>
                <w:color w:val="000000"/>
                <w:sz w:val="15"/>
                <w:szCs w:val="15"/>
              </w:rPr>
              <w:t>,</w:t>
            </w:r>
            <w:r w:rsidRPr="003003C0">
              <w:rPr>
                <w:rFonts w:cs="Calibri"/>
                <w:b/>
                <w:bCs/>
                <w:color w:val="000000"/>
                <w:sz w:val="15"/>
                <w:szCs w:val="15"/>
              </w:rPr>
              <w:t>773</w:t>
            </w:r>
          </w:p>
        </w:tc>
        <w:tc>
          <w:tcPr>
            <w:tcW w:w="781" w:type="pct"/>
            <w:shd w:val="clear" w:color="auto" w:fill="C9DED4"/>
            <w:noWrap/>
            <w:hideMark/>
          </w:tcPr>
          <w:p w14:paraId="0135B8BE" w14:textId="77777777" w:rsidR="004F64EF" w:rsidRPr="003003C0" w:rsidRDefault="004F64EF" w:rsidP="001F3C85">
            <w:pPr>
              <w:ind w:right="340"/>
              <w:jc w:val="right"/>
              <w:rPr>
                <w:rFonts w:cs="Calibri"/>
                <w:b/>
                <w:bCs/>
                <w:color w:val="000000"/>
                <w:sz w:val="15"/>
                <w:szCs w:val="15"/>
              </w:rPr>
            </w:pPr>
            <w:r w:rsidRPr="003003C0">
              <w:rPr>
                <w:rFonts w:cs="Calibri"/>
                <w:b/>
                <w:bCs/>
                <w:color w:val="000000"/>
                <w:sz w:val="15"/>
                <w:szCs w:val="15"/>
              </w:rPr>
              <w:t>6</w:t>
            </w:r>
          </w:p>
        </w:tc>
      </w:tr>
      <w:tr w:rsidR="004F64EF" w:rsidRPr="003003C0" w14:paraId="0A2673A2" w14:textId="77777777" w:rsidTr="00265A38">
        <w:trPr>
          <w:cantSplit/>
        </w:trPr>
        <w:tc>
          <w:tcPr>
            <w:tcW w:w="859" w:type="pct"/>
            <w:shd w:val="clear" w:color="auto" w:fill="auto"/>
            <w:noWrap/>
            <w:hideMark/>
          </w:tcPr>
          <w:p w14:paraId="7A96C92D" w14:textId="77777777" w:rsidR="004F64EF" w:rsidRPr="003003C0" w:rsidRDefault="004F64EF" w:rsidP="001F3C85">
            <w:pPr>
              <w:jc w:val="left"/>
              <w:rPr>
                <w:rFonts w:cs="Calibri"/>
                <w:color w:val="000000"/>
                <w:sz w:val="15"/>
                <w:szCs w:val="15"/>
              </w:rPr>
            </w:pPr>
            <w:r w:rsidRPr="003003C0">
              <w:rPr>
                <w:rFonts w:cs="Calibri"/>
                <w:color w:val="000000"/>
                <w:sz w:val="15"/>
                <w:szCs w:val="15"/>
              </w:rPr>
              <w:t>0402.10.10</w:t>
            </w:r>
          </w:p>
        </w:tc>
        <w:tc>
          <w:tcPr>
            <w:tcW w:w="781" w:type="pct"/>
            <w:shd w:val="clear" w:color="auto" w:fill="auto"/>
            <w:noWrap/>
            <w:hideMark/>
          </w:tcPr>
          <w:p w14:paraId="05B0C995" w14:textId="77777777" w:rsidR="004F64EF" w:rsidRPr="003003C0" w:rsidRDefault="004F64EF" w:rsidP="001F3C85">
            <w:pPr>
              <w:jc w:val="center"/>
              <w:rPr>
                <w:rFonts w:cs="Calibri"/>
                <w:color w:val="000000"/>
                <w:sz w:val="15"/>
                <w:szCs w:val="15"/>
              </w:rPr>
            </w:pPr>
            <w:r w:rsidRPr="003003C0">
              <w:rPr>
                <w:rFonts w:cs="Calibri"/>
                <w:color w:val="000000"/>
                <w:sz w:val="15"/>
                <w:szCs w:val="15"/>
              </w:rPr>
              <w:t>20</w:t>
            </w:r>
          </w:p>
        </w:tc>
        <w:tc>
          <w:tcPr>
            <w:tcW w:w="704" w:type="pct"/>
            <w:shd w:val="clear" w:color="auto" w:fill="auto"/>
            <w:noWrap/>
            <w:hideMark/>
          </w:tcPr>
          <w:p w14:paraId="6A320183" w14:textId="77777777" w:rsidR="004F64EF" w:rsidRPr="003003C0" w:rsidRDefault="004F64EF" w:rsidP="001F3C85">
            <w:pPr>
              <w:jc w:val="center"/>
              <w:rPr>
                <w:rFonts w:cs="Calibri"/>
                <w:color w:val="000000"/>
                <w:sz w:val="15"/>
                <w:szCs w:val="15"/>
              </w:rPr>
            </w:pPr>
            <w:r w:rsidRPr="003003C0">
              <w:rPr>
                <w:rFonts w:cs="Calibri"/>
                <w:color w:val="000000"/>
                <w:sz w:val="15"/>
                <w:szCs w:val="15"/>
              </w:rPr>
              <w:t>56</w:t>
            </w:r>
          </w:p>
        </w:tc>
        <w:tc>
          <w:tcPr>
            <w:tcW w:w="937" w:type="pct"/>
            <w:shd w:val="clear" w:color="auto" w:fill="auto"/>
            <w:noWrap/>
            <w:hideMark/>
          </w:tcPr>
          <w:p w14:paraId="1B70FB20" w14:textId="77777777" w:rsidR="004F64EF" w:rsidRPr="003003C0" w:rsidRDefault="004F64EF" w:rsidP="001F3C85">
            <w:pPr>
              <w:ind w:right="454"/>
              <w:jc w:val="right"/>
              <w:rPr>
                <w:rFonts w:cs="Calibri"/>
                <w:color w:val="000000"/>
                <w:sz w:val="15"/>
                <w:szCs w:val="15"/>
              </w:rPr>
            </w:pPr>
          </w:p>
        </w:tc>
        <w:tc>
          <w:tcPr>
            <w:tcW w:w="938" w:type="pct"/>
            <w:shd w:val="clear" w:color="auto" w:fill="auto"/>
            <w:noWrap/>
            <w:hideMark/>
          </w:tcPr>
          <w:p w14:paraId="585EA9C1" w14:textId="77777777" w:rsidR="004F64EF" w:rsidRPr="003003C0" w:rsidRDefault="004F64EF" w:rsidP="001F3C85">
            <w:pPr>
              <w:tabs>
                <w:tab w:val="left" w:pos="886"/>
              </w:tabs>
              <w:ind w:right="454"/>
              <w:jc w:val="right"/>
              <w:rPr>
                <w:sz w:val="15"/>
                <w:szCs w:val="15"/>
              </w:rPr>
            </w:pPr>
          </w:p>
        </w:tc>
        <w:tc>
          <w:tcPr>
            <w:tcW w:w="781" w:type="pct"/>
            <w:shd w:val="clear" w:color="auto" w:fill="auto"/>
            <w:noWrap/>
            <w:hideMark/>
          </w:tcPr>
          <w:p w14:paraId="42A3349E" w14:textId="77777777" w:rsidR="004F64EF" w:rsidRPr="003003C0" w:rsidRDefault="004F64EF" w:rsidP="001F3C85">
            <w:pPr>
              <w:ind w:right="340"/>
              <w:jc w:val="right"/>
              <w:rPr>
                <w:sz w:val="15"/>
                <w:szCs w:val="15"/>
              </w:rPr>
            </w:pPr>
          </w:p>
        </w:tc>
      </w:tr>
      <w:tr w:rsidR="004F64EF" w:rsidRPr="003003C0" w14:paraId="3DC69ABB" w14:textId="77777777" w:rsidTr="00265A38">
        <w:trPr>
          <w:cantSplit/>
        </w:trPr>
        <w:tc>
          <w:tcPr>
            <w:tcW w:w="859" w:type="pct"/>
            <w:shd w:val="clear" w:color="auto" w:fill="C9DED4"/>
            <w:noWrap/>
            <w:hideMark/>
          </w:tcPr>
          <w:p w14:paraId="002EC65A" w14:textId="77777777" w:rsidR="004F64EF" w:rsidRPr="003003C0" w:rsidRDefault="004F64EF" w:rsidP="001F3C85">
            <w:pPr>
              <w:jc w:val="left"/>
              <w:rPr>
                <w:rFonts w:cs="Calibri"/>
                <w:color w:val="000000"/>
                <w:sz w:val="15"/>
                <w:szCs w:val="15"/>
              </w:rPr>
            </w:pPr>
            <w:r w:rsidRPr="003003C0">
              <w:rPr>
                <w:rFonts w:cs="Calibri"/>
                <w:color w:val="000000"/>
                <w:sz w:val="15"/>
                <w:szCs w:val="15"/>
              </w:rPr>
              <w:t>0402.10.90</w:t>
            </w:r>
          </w:p>
        </w:tc>
        <w:tc>
          <w:tcPr>
            <w:tcW w:w="781" w:type="pct"/>
            <w:shd w:val="clear" w:color="auto" w:fill="C9DED4"/>
            <w:noWrap/>
            <w:hideMark/>
          </w:tcPr>
          <w:p w14:paraId="1D7C1C86" w14:textId="77777777" w:rsidR="004F64EF" w:rsidRPr="003003C0" w:rsidRDefault="004F64EF" w:rsidP="001F3C85">
            <w:pPr>
              <w:jc w:val="center"/>
              <w:rPr>
                <w:rFonts w:cs="Calibri"/>
                <w:color w:val="000000"/>
                <w:sz w:val="15"/>
                <w:szCs w:val="15"/>
              </w:rPr>
            </w:pPr>
            <w:r w:rsidRPr="003003C0">
              <w:rPr>
                <w:rFonts w:cs="Calibri"/>
                <w:color w:val="000000"/>
                <w:sz w:val="15"/>
                <w:szCs w:val="15"/>
              </w:rPr>
              <w:t>20</w:t>
            </w:r>
          </w:p>
        </w:tc>
        <w:tc>
          <w:tcPr>
            <w:tcW w:w="704" w:type="pct"/>
            <w:shd w:val="clear" w:color="auto" w:fill="C9DED4"/>
            <w:noWrap/>
            <w:hideMark/>
          </w:tcPr>
          <w:p w14:paraId="3D5F1281" w14:textId="77777777" w:rsidR="004F64EF" w:rsidRPr="003003C0" w:rsidRDefault="004F64EF" w:rsidP="001F3C85">
            <w:pPr>
              <w:jc w:val="center"/>
              <w:rPr>
                <w:rFonts w:cs="Calibri"/>
                <w:color w:val="000000"/>
                <w:sz w:val="15"/>
                <w:szCs w:val="15"/>
              </w:rPr>
            </w:pPr>
            <w:r w:rsidRPr="003003C0">
              <w:rPr>
                <w:rFonts w:cs="Calibri"/>
                <w:color w:val="000000"/>
                <w:sz w:val="15"/>
                <w:szCs w:val="15"/>
              </w:rPr>
              <w:t>56</w:t>
            </w:r>
          </w:p>
        </w:tc>
        <w:tc>
          <w:tcPr>
            <w:tcW w:w="937" w:type="pct"/>
            <w:shd w:val="clear" w:color="auto" w:fill="C9DED4"/>
            <w:noWrap/>
            <w:hideMark/>
          </w:tcPr>
          <w:p w14:paraId="0355AE37" w14:textId="77777777" w:rsidR="004F64EF" w:rsidRPr="003003C0" w:rsidRDefault="004F64EF" w:rsidP="001F3C85">
            <w:pPr>
              <w:ind w:right="454"/>
              <w:jc w:val="right"/>
              <w:rPr>
                <w:rFonts w:cs="Calibri"/>
                <w:color w:val="000000"/>
                <w:sz w:val="15"/>
                <w:szCs w:val="15"/>
              </w:rPr>
            </w:pPr>
          </w:p>
        </w:tc>
        <w:tc>
          <w:tcPr>
            <w:tcW w:w="938" w:type="pct"/>
            <w:shd w:val="clear" w:color="auto" w:fill="C9DED4"/>
            <w:noWrap/>
            <w:hideMark/>
          </w:tcPr>
          <w:p w14:paraId="0909352C" w14:textId="77777777" w:rsidR="004F64EF" w:rsidRPr="003003C0" w:rsidRDefault="004F64EF" w:rsidP="001F3C85">
            <w:pPr>
              <w:tabs>
                <w:tab w:val="left" w:pos="886"/>
              </w:tabs>
              <w:ind w:right="454"/>
              <w:jc w:val="right"/>
              <w:rPr>
                <w:sz w:val="15"/>
                <w:szCs w:val="15"/>
              </w:rPr>
            </w:pPr>
          </w:p>
        </w:tc>
        <w:tc>
          <w:tcPr>
            <w:tcW w:w="781" w:type="pct"/>
            <w:shd w:val="clear" w:color="auto" w:fill="C9DED4"/>
            <w:noWrap/>
            <w:hideMark/>
          </w:tcPr>
          <w:p w14:paraId="41498D82" w14:textId="77777777" w:rsidR="004F64EF" w:rsidRPr="003003C0" w:rsidRDefault="004F64EF" w:rsidP="001F3C85">
            <w:pPr>
              <w:ind w:right="340"/>
              <w:jc w:val="right"/>
              <w:rPr>
                <w:sz w:val="15"/>
                <w:szCs w:val="15"/>
              </w:rPr>
            </w:pPr>
          </w:p>
        </w:tc>
      </w:tr>
      <w:tr w:rsidR="004F64EF" w:rsidRPr="003003C0" w14:paraId="7FEA3BCD" w14:textId="77777777" w:rsidTr="00265A38">
        <w:trPr>
          <w:cantSplit/>
        </w:trPr>
        <w:tc>
          <w:tcPr>
            <w:tcW w:w="859" w:type="pct"/>
            <w:shd w:val="clear" w:color="auto" w:fill="auto"/>
            <w:noWrap/>
            <w:hideMark/>
          </w:tcPr>
          <w:p w14:paraId="072ABDFF" w14:textId="77777777" w:rsidR="004F64EF" w:rsidRPr="003003C0" w:rsidRDefault="004F64EF" w:rsidP="001F3C85">
            <w:pPr>
              <w:jc w:val="left"/>
              <w:rPr>
                <w:rFonts w:cs="Calibri"/>
                <w:color w:val="000000"/>
                <w:sz w:val="15"/>
                <w:szCs w:val="15"/>
              </w:rPr>
            </w:pPr>
            <w:r w:rsidRPr="003003C0">
              <w:rPr>
                <w:rFonts w:cs="Calibri"/>
                <w:color w:val="000000"/>
                <w:sz w:val="15"/>
                <w:szCs w:val="15"/>
              </w:rPr>
              <w:t>0402.21.10</w:t>
            </w:r>
          </w:p>
        </w:tc>
        <w:tc>
          <w:tcPr>
            <w:tcW w:w="781" w:type="pct"/>
            <w:shd w:val="clear" w:color="auto" w:fill="auto"/>
            <w:noWrap/>
            <w:hideMark/>
          </w:tcPr>
          <w:p w14:paraId="0DC78CBF" w14:textId="77777777" w:rsidR="004F64EF" w:rsidRPr="003003C0" w:rsidRDefault="004F64EF" w:rsidP="001F3C85">
            <w:pPr>
              <w:jc w:val="center"/>
              <w:rPr>
                <w:rFonts w:cs="Calibri"/>
                <w:color w:val="000000"/>
                <w:sz w:val="15"/>
                <w:szCs w:val="15"/>
              </w:rPr>
            </w:pPr>
            <w:r w:rsidRPr="003003C0">
              <w:rPr>
                <w:rFonts w:cs="Calibri"/>
                <w:color w:val="000000"/>
                <w:sz w:val="15"/>
                <w:szCs w:val="15"/>
              </w:rPr>
              <w:t>20</w:t>
            </w:r>
          </w:p>
        </w:tc>
        <w:tc>
          <w:tcPr>
            <w:tcW w:w="704" w:type="pct"/>
            <w:shd w:val="clear" w:color="auto" w:fill="auto"/>
            <w:noWrap/>
            <w:hideMark/>
          </w:tcPr>
          <w:p w14:paraId="3B6F3C33" w14:textId="77777777" w:rsidR="004F64EF" w:rsidRPr="003003C0" w:rsidRDefault="004F64EF" w:rsidP="001F3C85">
            <w:pPr>
              <w:jc w:val="center"/>
              <w:rPr>
                <w:rFonts w:cs="Calibri"/>
                <w:color w:val="000000"/>
                <w:sz w:val="15"/>
                <w:szCs w:val="15"/>
              </w:rPr>
            </w:pPr>
            <w:r w:rsidRPr="003003C0">
              <w:rPr>
                <w:rFonts w:cs="Calibri"/>
                <w:color w:val="000000"/>
                <w:sz w:val="15"/>
                <w:szCs w:val="15"/>
              </w:rPr>
              <w:t>56</w:t>
            </w:r>
          </w:p>
        </w:tc>
        <w:tc>
          <w:tcPr>
            <w:tcW w:w="937" w:type="pct"/>
            <w:shd w:val="clear" w:color="auto" w:fill="auto"/>
            <w:noWrap/>
            <w:hideMark/>
          </w:tcPr>
          <w:p w14:paraId="35654EF0" w14:textId="77777777" w:rsidR="004F64EF" w:rsidRPr="003003C0" w:rsidRDefault="004F64EF" w:rsidP="001F3C85">
            <w:pPr>
              <w:ind w:right="454"/>
              <w:jc w:val="right"/>
              <w:rPr>
                <w:rFonts w:cs="Calibri"/>
                <w:color w:val="000000"/>
                <w:sz w:val="15"/>
                <w:szCs w:val="15"/>
              </w:rPr>
            </w:pPr>
          </w:p>
        </w:tc>
        <w:tc>
          <w:tcPr>
            <w:tcW w:w="938" w:type="pct"/>
            <w:shd w:val="clear" w:color="auto" w:fill="auto"/>
            <w:noWrap/>
            <w:hideMark/>
          </w:tcPr>
          <w:p w14:paraId="0A9221EF" w14:textId="77777777" w:rsidR="004F64EF" w:rsidRPr="003003C0" w:rsidRDefault="004F64EF" w:rsidP="001F3C85">
            <w:pPr>
              <w:tabs>
                <w:tab w:val="left" w:pos="886"/>
              </w:tabs>
              <w:ind w:right="454"/>
              <w:jc w:val="right"/>
              <w:rPr>
                <w:sz w:val="15"/>
                <w:szCs w:val="15"/>
              </w:rPr>
            </w:pPr>
          </w:p>
        </w:tc>
        <w:tc>
          <w:tcPr>
            <w:tcW w:w="781" w:type="pct"/>
            <w:shd w:val="clear" w:color="auto" w:fill="auto"/>
            <w:noWrap/>
            <w:hideMark/>
          </w:tcPr>
          <w:p w14:paraId="232C9203" w14:textId="77777777" w:rsidR="004F64EF" w:rsidRPr="003003C0" w:rsidRDefault="004F64EF" w:rsidP="001F3C85">
            <w:pPr>
              <w:ind w:right="340"/>
              <w:jc w:val="right"/>
              <w:rPr>
                <w:sz w:val="15"/>
                <w:szCs w:val="15"/>
              </w:rPr>
            </w:pPr>
          </w:p>
        </w:tc>
      </w:tr>
      <w:tr w:rsidR="004F64EF" w:rsidRPr="003003C0" w14:paraId="19D23AC5" w14:textId="77777777" w:rsidTr="00265A38">
        <w:trPr>
          <w:cantSplit/>
        </w:trPr>
        <w:tc>
          <w:tcPr>
            <w:tcW w:w="859" w:type="pct"/>
            <w:shd w:val="clear" w:color="auto" w:fill="C9DED4"/>
            <w:noWrap/>
            <w:hideMark/>
          </w:tcPr>
          <w:p w14:paraId="580528F3" w14:textId="77777777" w:rsidR="004F64EF" w:rsidRPr="003003C0" w:rsidRDefault="004F64EF" w:rsidP="001F3C85">
            <w:pPr>
              <w:jc w:val="left"/>
              <w:rPr>
                <w:rFonts w:cs="Calibri"/>
                <w:color w:val="000000"/>
                <w:sz w:val="15"/>
                <w:szCs w:val="15"/>
              </w:rPr>
            </w:pPr>
            <w:r w:rsidRPr="003003C0">
              <w:rPr>
                <w:rFonts w:cs="Calibri"/>
                <w:color w:val="000000"/>
                <w:sz w:val="15"/>
                <w:szCs w:val="15"/>
              </w:rPr>
              <w:t>0402.21.90</w:t>
            </w:r>
          </w:p>
        </w:tc>
        <w:tc>
          <w:tcPr>
            <w:tcW w:w="781" w:type="pct"/>
            <w:shd w:val="clear" w:color="auto" w:fill="C9DED4"/>
            <w:noWrap/>
            <w:hideMark/>
          </w:tcPr>
          <w:p w14:paraId="5900C752" w14:textId="77777777" w:rsidR="004F64EF" w:rsidRPr="003003C0" w:rsidRDefault="004F64EF" w:rsidP="001F3C85">
            <w:pPr>
              <w:jc w:val="center"/>
              <w:rPr>
                <w:rFonts w:cs="Calibri"/>
                <w:color w:val="000000"/>
                <w:sz w:val="15"/>
                <w:szCs w:val="15"/>
              </w:rPr>
            </w:pPr>
            <w:r w:rsidRPr="003003C0">
              <w:rPr>
                <w:rFonts w:cs="Calibri"/>
                <w:color w:val="000000"/>
                <w:sz w:val="15"/>
                <w:szCs w:val="15"/>
              </w:rPr>
              <w:t>20</w:t>
            </w:r>
          </w:p>
        </w:tc>
        <w:tc>
          <w:tcPr>
            <w:tcW w:w="704" w:type="pct"/>
            <w:shd w:val="clear" w:color="auto" w:fill="C9DED4"/>
            <w:noWrap/>
            <w:hideMark/>
          </w:tcPr>
          <w:p w14:paraId="0DEB74DA" w14:textId="77777777" w:rsidR="004F64EF" w:rsidRPr="003003C0" w:rsidRDefault="004F64EF" w:rsidP="001F3C85">
            <w:pPr>
              <w:jc w:val="center"/>
              <w:rPr>
                <w:rFonts w:cs="Calibri"/>
                <w:color w:val="000000"/>
                <w:sz w:val="15"/>
                <w:szCs w:val="15"/>
              </w:rPr>
            </w:pPr>
            <w:r w:rsidRPr="003003C0">
              <w:rPr>
                <w:rFonts w:cs="Calibri"/>
                <w:color w:val="000000"/>
                <w:sz w:val="15"/>
                <w:szCs w:val="15"/>
              </w:rPr>
              <w:t>56</w:t>
            </w:r>
          </w:p>
        </w:tc>
        <w:tc>
          <w:tcPr>
            <w:tcW w:w="937" w:type="pct"/>
            <w:shd w:val="clear" w:color="auto" w:fill="C9DED4"/>
            <w:noWrap/>
            <w:hideMark/>
          </w:tcPr>
          <w:p w14:paraId="1CEE7D6E" w14:textId="77777777" w:rsidR="004F64EF" w:rsidRPr="003003C0" w:rsidRDefault="004F64EF" w:rsidP="001F3C85">
            <w:pPr>
              <w:ind w:right="454"/>
              <w:jc w:val="right"/>
              <w:rPr>
                <w:rFonts w:cs="Calibri"/>
                <w:color w:val="000000"/>
                <w:sz w:val="15"/>
                <w:szCs w:val="15"/>
              </w:rPr>
            </w:pPr>
          </w:p>
        </w:tc>
        <w:tc>
          <w:tcPr>
            <w:tcW w:w="938" w:type="pct"/>
            <w:shd w:val="clear" w:color="auto" w:fill="C9DED4"/>
            <w:noWrap/>
            <w:hideMark/>
          </w:tcPr>
          <w:p w14:paraId="044E9B37" w14:textId="77777777" w:rsidR="004F64EF" w:rsidRPr="003003C0" w:rsidRDefault="004F64EF" w:rsidP="001F3C85">
            <w:pPr>
              <w:tabs>
                <w:tab w:val="left" w:pos="886"/>
              </w:tabs>
              <w:ind w:right="454"/>
              <w:jc w:val="right"/>
              <w:rPr>
                <w:sz w:val="15"/>
                <w:szCs w:val="15"/>
              </w:rPr>
            </w:pPr>
          </w:p>
        </w:tc>
        <w:tc>
          <w:tcPr>
            <w:tcW w:w="781" w:type="pct"/>
            <w:shd w:val="clear" w:color="auto" w:fill="C9DED4"/>
            <w:noWrap/>
            <w:hideMark/>
          </w:tcPr>
          <w:p w14:paraId="56A52D93" w14:textId="77777777" w:rsidR="004F64EF" w:rsidRPr="003003C0" w:rsidRDefault="004F64EF" w:rsidP="001F3C85">
            <w:pPr>
              <w:ind w:right="340"/>
              <w:jc w:val="right"/>
              <w:rPr>
                <w:sz w:val="15"/>
                <w:szCs w:val="15"/>
              </w:rPr>
            </w:pPr>
          </w:p>
        </w:tc>
      </w:tr>
      <w:tr w:rsidR="004F64EF" w:rsidRPr="003003C0" w14:paraId="75E2213A" w14:textId="77777777" w:rsidTr="00265A38">
        <w:trPr>
          <w:cantSplit/>
        </w:trPr>
        <w:tc>
          <w:tcPr>
            <w:tcW w:w="859" w:type="pct"/>
            <w:shd w:val="clear" w:color="auto" w:fill="auto"/>
            <w:noWrap/>
            <w:hideMark/>
          </w:tcPr>
          <w:p w14:paraId="31254D4B" w14:textId="77777777" w:rsidR="004F64EF" w:rsidRPr="003003C0" w:rsidRDefault="004F64EF" w:rsidP="001F3C85">
            <w:pPr>
              <w:jc w:val="left"/>
              <w:rPr>
                <w:rFonts w:cs="Calibri"/>
                <w:color w:val="000000"/>
                <w:sz w:val="15"/>
                <w:szCs w:val="15"/>
              </w:rPr>
            </w:pPr>
            <w:r w:rsidRPr="003003C0">
              <w:rPr>
                <w:rFonts w:cs="Calibri"/>
                <w:color w:val="000000"/>
                <w:sz w:val="15"/>
                <w:szCs w:val="15"/>
              </w:rPr>
              <w:t>0402.29.10</w:t>
            </w:r>
          </w:p>
        </w:tc>
        <w:tc>
          <w:tcPr>
            <w:tcW w:w="781" w:type="pct"/>
            <w:shd w:val="clear" w:color="auto" w:fill="auto"/>
            <w:noWrap/>
            <w:hideMark/>
          </w:tcPr>
          <w:p w14:paraId="7F12F2C9" w14:textId="77777777" w:rsidR="004F64EF" w:rsidRPr="003003C0" w:rsidRDefault="004F64EF" w:rsidP="001F3C85">
            <w:pPr>
              <w:jc w:val="center"/>
              <w:rPr>
                <w:rFonts w:cs="Calibri"/>
                <w:color w:val="000000"/>
                <w:sz w:val="15"/>
                <w:szCs w:val="15"/>
              </w:rPr>
            </w:pPr>
            <w:r w:rsidRPr="003003C0">
              <w:rPr>
                <w:rFonts w:cs="Calibri"/>
                <w:color w:val="000000"/>
                <w:sz w:val="15"/>
                <w:szCs w:val="15"/>
              </w:rPr>
              <w:t>20</w:t>
            </w:r>
          </w:p>
        </w:tc>
        <w:tc>
          <w:tcPr>
            <w:tcW w:w="704" w:type="pct"/>
            <w:shd w:val="clear" w:color="auto" w:fill="auto"/>
            <w:noWrap/>
            <w:hideMark/>
          </w:tcPr>
          <w:p w14:paraId="14F9003C" w14:textId="77777777" w:rsidR="004F64EF" w:rsidRPr="003003C0" w:rsidRDefault="004F64EF" w:rsidP="001F3C85">
            <w:pPr>
              <w:jc w:val="center"/>
              <w:rPr>
                <w:rFonts w:cs="Calibri"/>
                <w:color w:val="000000"/>
                <w:sz w:val="15"/>
                <w:szCs w:val="15"/>
              </w:rPr>
            </w:pPr>
            <w:r w:rsidRPr="003003C0">
              <w:rPr>
                <w:rFonts w:cs="Calibri"/>
                <w:color w:val="000000"/>
                <w:sz w:val="15"/>
                <w:szCs w:val="15"/>
              </w:rPr>
              <w:t>56</w:t>
            </w:r>
          </w:p>
        </w:tc>
        <w:tc>
          <w:tcPr>
            <w:tcW w:w="937" w:type="pct"/>
            <w:shd w:val="clear" w:color="auto" w:fill="auto"/>
            <w:noWrap/>
            <w:hideMark/>
          </w:tcPr>
          <w:p w14:paraId="2F8AB0F9" w14:textId="77777777" w:rsidR="004F64EF" w:rsidRPr="003003C0" w:rsidRDefault="004F64EF" w:rsidP="001F3C85">
            <w:pPr>
              <w:ind w:right="454"/>
              <w:jc w:val="right"/>
              <w:rPr>
                <w:rFonts w:cs="Calibri"/>
                <w:color w:val="000000"/>
                <w:sz w:val="15"/>
                <w:szCs w:val="15"/>
              </w:rPr>
            </w:pPr>
          </w:p>
        </w:tc>
        <w:tc>
          <w:tcPr>
            <w:tcW w:w="938" w:type="pct"/>
            <w:shd w:val="clear" w:color="auto" w:fill="auto"/>
            <w:noWrap/>
            <w:hideMark/>
          </w:tcPr>
          <w:p w14:paraId="76B41C9E" w14:textId="77777777" w:rsidR="004F64EF" w:rsidRPr="003003C0" w:rsidRDefault="004F64EF" w:rsidP="001F3C85">
            <w:pPr>
              <w:tabs>
                <w:tab w:val="left" w:pos="886"/>
              </w:tabs>
              <w:ind w:right="454"/>
              <w:jc w:val="right"/>
              <w:rPr>
                <w:sz w:val="15"/>
                <w:szCs w:val="15"/>
              </w:rPr>
            </w:pPr>
          </w:p>
        </w:tc>
        <w:tc>
          <w:tcPr>
            <w:tcW w:w="781" w:type="pct"/>
            <w:shd w:val="clear" w:color="auto" w:fill="auto"/>
            <w:noWrap/>
            <w:hideMark/>
          </w:tcPr>
          <w:p w14:paraId="76BAC345" w14:textId="77777777" w:rsidR="004F64EF" w:rsidRPr="003003C0" w:rsidRDefault="004F64EF" w:rsidP="001F3C85">
            <w:pPr>
              <w:ind w:right="340"/>
              <w:jc w:val="right"/>
              <w:rPr>
                <w:sz w:val="15"/>
                <w:szCs w:val="15"/>
              </w:rPr>
            </w:pPr>
          </w:p>
        </w:tc>
      </w:tr>
      <w:tr w:rsidR="004F64EF" w:rsidRPr="003003C0" w14:paraId="46B995E0" w14:textId="77777777" w:rsidTr="00265A38">
        <w:trPr>
          <w:cantSplit/>
        </w:trPr>
        <w:tc>
          <w:tcPr>
            <w:tcW w:w="859" w:type="pct"/>
            <w:shd w:val="clear" w:color="auto" w:fill="C9DED4"/>
            <w:noWrap/>
            <w:hideMark/>
          </w:tcPr>
          <w:p w14:paraId="7F21B550" w14:textId="77777777" w:rsidR="004F64EF" w:rsidRPr="003003C0" w:rsidRDefault="004F64EF" w:rsidP="001F3C85">
            <w:pPr>
              <w:jc w:val="left"/>
              <w:rPr>
                <w:rFonts w:cs="Calibri"/>
                <w:color w:val="000000"/>
                <w:sz w:val="15"/>
                <w:szCs w:val="15"/>
              </w:rPr>
            </w:pPr>
            <w:r w:rsidRPr="003003C0">
              <w:rPr>
                <w:rFonts w:cs="Calibri"/>
                <w:color w:val="000000"/>
                <w:sz w:val="15"/>
                <w:szCs w:val="15"/>
              </w:rPr>
              <w:t>0402.29.90</w:t>
            </w:r>
          </w:p>
        </w:tc>
        <w:tc>
          <w:tcPr>
            <w:tcW w:w="781" w:type="pct"/>
            <w:shd w:val="clear" w:color="auto" w:fill="C9DED4"/>
            <w:noWrap/>
            <w:hideMark/>
          </w:tcPr>
          <w:p w14:paraId="4B35B905" w14:textId="77777777" w:rsidR="004F64EF" w:rsidRPr="003003C0" w:rsidRDefault="004F64EF" w:rsidP="001F3C85">
            <w:pPr>
              <w:jc w:val="center"/>
              <w:rPr>
                <w:rFonts w:cs="Calibri"/>
                <w:color w:val="000000"/>
                <w:sz w:val="15"/>
                <w:szCs w:val="15"/>
              </w:rPr>
            </w:pPr>
            <w:r w:rsidRPr="003003C0">
              <w:rPr>
                <w:rFonts w:cs="Calibri"/>
                <w:color w:val="000000"/>
                <w:sz w:val="15"/>
                <w:szCs w:val="15"/>
              </w:rPr>
              <w:t>20</w:t>
            </w:r>
          </w:p>
        </w:tc>
        <w:tc>
          <w:tcPr>
            <w:tcW w:w="704" w:type="pct"/>
            <w:shd w:val="clear" w:color="auto" w:fill="C9DED4"/>
            <w:noWrap/>
            <w:hideMark/>
          </w:tcPr>
          <w:p w14:paraId="6707D180" w14:textId="77777777" w:rsidR="004F64EF" w:rsidRPr="003003C0" w:rsidRDefault="004F64EF" w:rsidP="001F3C85">
            <w:pPr>
              <w:jc w:val="center"/>
              <w:rPr>
                <w:rFonts w:cs="Calibri"/>
                <w:color w:val="000000"/>
                <w:sz w:val="15"/>
                <w:szCs w:val="15"/>
              </w:rPr>
            </w:pPr>
            <w:r w:rsidRPr="003003C0">
              <w:rPr>
                <w:rFonts w:cs="Calibri"/>
                <w:color w:val="000000"/>
                <w:sz w:val="15"/>
                <w:szCs w:val="15"/>
              </w:rPr>
              <w:t>56</w:t>
            </w:r>
          </w:p>
        </w:tc>
        <w:tc>
          <w:tcPr>
            <w:tcW w:w="937" w:type="pct"/>
            <w:shd w:val="clear" w:color="auto" w:fill="C9DED4"/>
            <w:noWrap/>
            <w:hideMark/>
          </w:tcPr>
          <w:p w14:paraId="31FD0FCA" w14:textId="77777777" w:rsidR="004F64EF" w:rsidRPr="003003C0" w:rsidRDefault="004F64EF" w:rsidP="001F3C85">
            <w:pPr>
              <w:ind w:right="454"/>
              <w:jc w:val="right"/>
              <w:rPr>
                <w:rFonts w:cs="Calibri"/>
                <w:color w:val="000000"/>
                <w:sz w:val="15"/>
                <w:szCs w:val="15"/>
              </w:rPr>
            </w:pPr>
          </w:p>
        </w:tc>
        <w:tc>
          <w:tcPr>
            <w:tcW w:w="938" w:type="pct"/>
            <w:shd w:val="clear" w:color="auto" w:fill="C9DED4"/>
            <w:noWrap/>
            <w:hideMark/>
          </w:tcPr>
          <w:p w14:paraId="54538EA0" w14:textId="77777777" w:rsidR="004F64EF" w:rsidRPr="003003C0" w:rsidRDefault="004F64EF" w:rsidP="001F3C85">
            <w:pPr>
              <w:tabs>
                <w:tab w:val="left" w:pos="886"/>
              </w:tabs>
              <w:ind w:right="454"/>
              <w:jc w:val="right"/>
              <w:rPr>
                <w:sz w:val="15"/>
                <w:szCs w:val="15"/>
              </w:rPr>
            </w:pPr>
          </w:p>
        </w:tc>
        <w:tc>
          <w:tcPr>
            <w:tcW w:w="781" w:type="pct"/>
            <w:shd w:val="clear" w:color="auto" w:fill="C9DED4"/>
            <w:noWrap/>
            <w:hideMark/>
          </w:tcPr>
          <w:p w14:paraId="24936C97" w14:textId="77777777" w:rsidR="004F64EF" w:rsidRPr="003003C0" w:rsidRDefault="004F64EF" w:rsidP="001F3C85">
            <w:pPr>
              <w:ind w:right="340"/>
              <w:jc w:val="right"/>
              <w:rPr>
                <w:sz w:val="15"/>
                <w:szCs w:val="15"/>
              </w:rPr>
            </w:pPr>
          </w:p>
        </w:tc>
      </w:tr>
      <w:tr w:rsidR="004F64EF" w:rsidRPr="003003C0" w14:paraId="64BB3BB0" w14:textId="77777777" w:rsidTr="00265A38">
        <w:trPr>
          <w:cantSplit/>
        </w:trPr>
        <w:tc>
          <w:tcPr>
            <w:tcW w:w="859" w:type="pct"/>
            <w:shd w:val="clear" w:color="auto" w:fill="auto"/>
            <w:noWrap/>
            <w:hideMark/>
          </w:tcPr>
          <w:p w14:paraId="58B794FB" w14:textId="77777777" w:rsidR="004F64EF" w:rsidRPr="003003C0" w:rsidRDefault="004F64EF" w:rsidP="001F3C85">
            <w:pPr>
              <w:jc w:val="left"/>
              <w:rPr>
                <w:rFonts w:cs="Calibri"/>
                <w:b/>
                <w:bCs/>
                <w:color w:val="000000"/>
                <w:sz w:val="15"/>
                <w:szCs w:val="15"/>
              </w:rPr>
            </w:pPr>
            <w:r>
              <w:rPr>
                <w:rFonts w:cs="Calibri"/>
                <w:b/>
                <w:bCs/>
                <w:color w:val="000000"/>
                <w:sz w:val="15"/>
                <w:szCs w:val="15"/>
              </w:rPr>
              <w:t>Onions</w:t>
            </w:r>
          </w:p>
        </w:tc>
        <w:tc>
          <w:tcPr>
            <w:tcW w:w="781" w:type="pct"/>
            <w:shd w:val="clear" w:color="auto" w:fill="auto"/>
            <w:noWrap/>
            <w:hideMark/>
          </w:tcPr>
          <w:p w14:paraId="15DB3C86" w14:textId="77777777" w:rsidR="004F64EF" w:rsidRPr="003003C0" w:rsidRDefault="004F64EF" w:rsidP="001F3C85">
            <w:pPr>
              <w:rPr>
                <w:rFonts w:cs="Calibri"/>
                <w:b/>
                <w:bCs/>
                <w:color w:val="000000"/>
                <w:sz w:val="15"/>
                <w:szCs w:val="15"/>
              </w:rPr>
            </w:pPr>
          </w:p>
        </w:tc>
        <w:tc>
          <w:tcPr>
            <w:tcW w:w="704" w:type="pct"/>
            <w:shd w:val="clear" w:color="auto" w:fill="auto"/>
            <w:noWrap/>
            <w:hideMark/>
          </w:tcPr>
          <w:p w14:paraId="16ADA445" w14:textId="77777777" w:rsidR="004F64EF" w:rsidRPr="003003C0" w:rsidRDefault="004F64EF" w:rsidP="001F3C85">
            <w:pPr>
              <w:jc w:val="center"/>
              <w:rPr>
                <w:sz w:val="15"/>
                <w:szCs w:val="15"/>
              </w:rPr>
            </w:pPr>
          </w:p>
        </w:tc>
        <w:tc>
          <w:tcPr>
            <w:tcW w:w="937" w:type="pct"/>
            <w:shd w:val="clear" w:color="auto" w:fill="auto"/>
            <w:noWrap/>
            <w:hideMark/>
          </w:tcPr>
          <w:p w14:paraId="1E839867" w14:textId="77777777" w:rsidR="004F64EF" w:rsidRPr="003003C0" w:rsidRDefault="004F64EF" w:rsidP="001F3C85">
            <w:pPr>
              <w:ind w:right="454"/>
              <w:jc w:val="right"/>
              <w:rPr>
                <w:rFonts w:cs="Calibri"/>
                <w:b/>
                <w:bCs/>
                <w:color w:val="000000"/>
                <w:sz w:val="15"/>
                <w:szCs w:val="15"/>
              </w:rPr>
            </w:pPr>
            <w:r w:rsidRPr="003003C0">
              <w:rPr>
                <w:rFonts w:cs="Calibri"/>
                <w:b/>
                <w:bCs/>
                <w:color w:val="000000"/>
                <w:sz w:val="15"/>
                <w:szCs w:val="15"/>
              </w:rPr>
              <w:t>3</w:t>
            </w:r>
            <w:r>
              <w:rPr>
                <w:rFonts w:cs="Calibri"/>
                <w:b/>
                <w:bCs/>
                <w:color w:val="000000"/>
                <w:sz w:val="15"/>
                <w:szCs w:val="15"/>
              </w:rPr>
              <w:t>,</w:t>
            </w:r>
            <w:r w:rsidRPr="003003C0">
              <w:rPr>
                <w:rFonts w:cs="Calibri"/>
                <w:b/>
                <w:bCs/>
                <w:color w:val="000000"/>
                <w:sz w:val="15"/>
                <w:szCs w:val="15"/>
              </w:rPr>
              <w:t>750</w:t>
            </w:r>
          </w:p>
        </w:tc>
        <w:tc>
          <w:tcPr>
            <w:tcW w:w="938" w:type="pct"/>
            <w:shd w:val="clear" w:color="auto" w:fill="auto"/>
            <w:noWrap/>
            <w:hideMark/>
          </w:tcPr>
          <w:p w14:paraId="397A56C6" w14:textId="77777777" w:rsidR="004F64EF" w:rsidRPr="003003C0" w:rsidRDefault="004F64EF" w:rsidP="001F3C85">
            <w:pPr>
              <w:tabs>
                <w:tab w:val="left" w:pos="886"/>
              </w:tabs>
              <w:ind w:right="454"/>
              <w:jc w:val="right"/>
              <w:rPr>
                <w:rFonts w:cs="Calibri"/>
                <w:b/>
                <w:bCs/>
                <w:color w:val="000000"/>
                <w:sz w:val="15"/>
                <w:szCs w:val="15"/>
              </w:rPr>
            </w:pPr>
            <w:r w:rsidRPr="003003C0">
              <w:rPr>
                <w:rFonts w:cs="Calibri"/>
                <w:b/>
                <w:bCs/>
                <w:color w:val="000000"/>
                <w:sz w:val="15"/>
                <w:szCs w:val="15"/>
              </w:rPr>
              <w:t>13</w:t>
            </w:r>
            <w:r>
              <w:rPr>
                <w:rFonts w:cs="Calibri"/>
                <w:b/>
                <w:bCs/>
                <w:color w:val="000000"/>
                <w:sz w:val="15"/>
                <w:szCs w:val="15"/>
              </w:rPr>
              <w:t>,</w:t>
            </w:r>
            <w:r w:rsidRPr="003003C0">
              <w:rPr>
                <w:rFonts w:cs="Calibri"/>
                <w:b/>
                <w:bCs/>
                <w:color w:val="000000"/>
                <w:sz w:val="15"/>
                <w:szCs w:val="15"/>
              </w:rPr>
              <w:t>897</w:t>
            </w:r>
          </w:p>
        </w:tc>
        <w:tc>
          <w:tcPr>
            <w:tcW w:w="781" w:type="pct"/>
            <w:shd w:val="clear" w:color="auto" w:fill="auto"/>
            <w:noWrap/>
            <w:hideMark/>
          </w:tcPr>
          <w:p w14:paraId="255FBBFA" w14:textId="77777777" w:rsidR="004F64EF" w:rsidRPr="003003C0" w:rsidRDefault="004F64EF" w:rsidP="001F3C85">
            <w:pPr>
              <w:ind w:right="340"/>
              <w:jc w:val="right"/>
              <w:rPr>
                <w:rFonts w:cs="Calibri"/>
                <w:b/>
                <w:bCs/>
                <w:color w:val="000000"/>
                <w:sz w:val="15"/>
                <w:szCs w:val="15"/>
              </w:rPr>
            </w:pPr>
            <w:r w:rsidRPr="003003C0">
              <w:rPr>
                <w:rFonts w:cs="Calibri"/>
                <w:b/>
                <w:bCs/>
                <w:color w:val="000000"/>
                <w:sz w:val="15"/>
                <w:szCs w:val="15"/>
              </w:rPr>
              <w:t>371</w:t>
            </w:r>
          </w:p>
        </w:tc>
      </w:tr>
      <w:tr w:rsidR="004F64EF" w:rsidRPr="003003C0" w14:paraId="4135A037" w14:textId="77777777" w:rsidTr="00265A38">
        <w:trPr>
          <w:cantSplit/>
        </w:trPr>
        <w:tc>
          <w:tcPr>
            <w:tcW w:w="859" w:type="pct"/>
            <w:shd w:val="clear" w:color="auto" w:fill="C9DED4"/>
            <w:noWrap/>
            <w:hideMark/>
          </w:tcPr>
          <w:p w14:paraId="7DEDAEEB" w14:textId="77777777" w:rsidR="004F64EF" w:rsidRPr="003003C0" w:rsidRDefault="004F64EF" w:rsidP="001F3C85">
            <w:pPr>
              <w:jc w:val="left"/>
              <w:rPr>
                <w:rFonts w:cs="Calibri"/>
                <w:color w:val="000000"/>
                <w:sz w:val="15"/>
                <w:szCs w:val="15"/>
              </w:rPr>
            </w:pPr>
            <w:r w:rsidRPr="003003C0">
              <w:rPr>
                <w:rFonts w:cs="Calibri"/>
                <w:color w:val="000000"/>
                <w:sz w:val="15"/>
                <w:szCs w:val="15"/>
              </w:rPr>
              <w:t>0703.10.00</w:t>
            </w:r>
          </w:p>
        </w:tc>
        <w:tc>
          <w:tcPr>
            <w:tcW w:w="781" w:type="pct"/>
            <w:shd w:val="clear" w:color="auto" w:fill="C9DED4"/>
            <w:noWrap/>
            <w:hideMark/>
          </w:tcPr>
          <w:p w14:paraId="225C615D" w14:textId="77777777" w:rsidR="004F64EF" w:rsidRPr="003003C0" w:rsidRDefault="004F64EF" w:rsidP="001F3C85">
            <w:pPr>
              <w:jc w:val="center"/>
              <w:rPr>
                <w:rFonts w:cs="Calibri"/>
                <w:color w:val="000000"/>
                <w:sz w:val="15"/>
                <w:szCs w:val="15"/>
              </w:rPr>
            </w:pPr>
            <w:r w:rsidRPr="003003C0">
              <w:rPr>
                <w:rFonts w:cs="Calibri"/>
                <w:color w:val="000000"/>
                <w:sz w:val="15"/>
                <w:szCs w:val="15"/>
              </w:rPr>
              <w:t>25</w:t>
            </w:r>
          </w:p>
        </w:tc>
        <w:tc>
          <w:tcPr>
            <w:tcW w:w="704" w:type="pct"/>
            <w:shd w:val="clear" w:color="auto" w:fill="C9DED4"/>
            <w:noWrap/>
            <w:hideMark/>
          </w:tcPr>
          <w:p w14:paraId="4D0FE727" w14:textId="77777777" w:rsidR="004F64EF" w:rsidRPr="003003C0" w:rsidRDefault="004F64EF" w:rsidP="001F3C85">
            <w:pPr>
              <w:jc w:val="center"/>
              <w:rPr>
                <w:rFonts w:cs="Calibri"/>
                <w:color w:val="000000"/>
                <w:sz w:val="15"/>
                <w:szCs w:val="15"/>
              </w:rPr>
            </w:pPr>
            <w:r w:rsidRPr="003003C0">
              <w:rPr>
                <w:rFonts w:cs="Calibri"/>
                <w:color w:val="000000"/>
                <w:sz w:val="15"/>
                <w:szCs w:val="15"/>
              </w:rPr>
              <w:t>97</w:t>
            </w:r>
          </w:p>
        </w:tc>
        <w:tc>
          <w:tcPr>
            <w:tcW w:w="937" w:type="pct"/>
            <w:shd w:val="clear" w:color="auto" w:fill="C9DED4"/>
            <w:noWrap/>
            <w:hideMark/>
          </w:tcPr>
          <w:p w14:paraId="7623B01C" w14:textId="77777777" w:rsidR="004F64EF" w:rsidRPr="003003C0" w:rsidRDefault="004F64EF" w:rsidP="001F3C85">
            <w:pPr>
              <w:ind w:right="454"/>
              <w:jc w:val="right"/>
              <w:rPr>
                <w:rFonts w:cs="Calibri"/>
                <w:color w:val="000000"/>
                <w:sz w:val="15"/>
                <w:szCs w:val="15"/>
              </w:rPr>
            </w:pPr>
          </w:p>
        </w:tc>
        <w:tc>
          <w:tcPr>
            <w:tcW w:w="938" w:type="pct"/>
            <w:shd w:val="clear" w:color="auto" w:fill="C9DED4"/>
            <w:noWrap/>
            <w:hideMark/>
          </w:tcPr>
          <w:p w14:paraId="5228266B" w14:textId="77777777" w:rsidR="004F64EF" w:rsidRPr="003003C0" w:rsidRDefault="004F64EF" w:rsidP="001F3C85">
            <w:pPr>
              <w:tabs>
                <w:tab w:val="left" w:pos="886"/>
              </w:tabs>
              <w:ind w:right="454"/>
              <w:jc w:val="right"/>
              <w:rPr>
                <w:sz w:val="15"/>
                <w:szCs w:val="15"/>
              </w:rPr>
            </w:pPr>
          </w:p>
        </w:tc>
        <w:tc>
          <w:tcPr>
            <w:tcW w:w="781" w:type="pct"/>
            <w:shd w:val="clear" w:color="auto" w:fill="C9DED4"/>
            <w:noWrap/>
            <w:hideMark/>
          </w:tcPr>
          <w:p w14:paraId="6956C7A3" w14:textId="77777777" w:rsidR="004F64EF" w:rsidRPr="003003C0" w:rsidRDefault="004F64EF" w:rsidP="001F3C85">
            <w:pPr>
              <w:ind w:right="340"/>
              <w:jc w:val="right"/>
              <w:rPr>
                <w:sz w:val="15"/>
                <w:szCs w:val="15"/>
              </w:rPr>
            </w:pPr>
          </w:p>
        </w:tc>
      </w:tr>
      <w:tr w:rsidR="004F64EF" w:rsidRPr="003003C0" w14:paraId="6AFA2505" w14:textId="77777777" w:rsidTr="00265A38">
        <w:trPr>
          <w:cantSplit/>
        </w:trPr>
        <w:tc>
          <w:tcPr>
            <w:tcW w:w="859" w:type="pct"/>
            <w:shd w:val="clear" w:color="auto" w:fill="auto"/>
            <w:noWrap/>
            <w:hideMark/>
          </w:tcPr>
          <w:p w14:paraId="41503C51" w14:textId="77777777" w:rsidR="004F64EF" w:rsidRPr="003003C0" w:rsidRDefault="004F64EF" w:rsidP="001F3C85">
            <w:pPr>
              <w:jc w:val="left"/>
              <w:rPr>
                <w:rFonts w:cs="Calibri"/>
                <w:b/>
                <w:bCs/>
                <w:color w:val="000000"/>
                <w:sz w:val="15"/>
                <w:szCs w:val="15"/>
              </w:rPr>
            </w:pPr>
            <w:r>
              <w:rPr>
                <w:rFonts w:cs="Calibri"/>
                <w:b/>
                <w:bCs/>
                <w:color w:val="000000"/>
                <w:sz w:val="15"/>
                <w:szCs w:val="15"/>
              </w:rPr>
              <w:t>Garlic</w:t>
            </w:r>
          </w:p>
        </w:tc>
        <w:tc>
          <w:tcPr>
            <w:tcW w:w="781" w:type="pct"/>
            <w:shd w:val="clear" w:color="auto" w:fill="auto"/>
            <w:noWrap/>
            <w:hideMark/>
          </w:tcPr>
          <w:p w14:paraId="3E26BD34" w14:textId="77777777" w:rsidR="004F64EF" w:rsidRPr="003003C0" w:rsidRDefault="004F64EF" w:rsidP="001F3C85">
            <w:pPr>
              <w:rPr>
                <w:rFonts w:cs="Calibri"/>
                <w:b/>
                <w:bCs/>
                <w:color w:val="000000"/>
                <w:sz w:val="15"/>
                <w:szCs w:val="15"/>
              </w:rPr>
            </w:pPr>
          </w:p>
        </w:tc>
        <w:tc>
          <w:tcPr>
            <w:tcW w:w="704" w:type="pct"/>
            <w:shd w:val="clear" w:color="auto" w:fill="auto"/>
            <w:noWrap/>
            <w:hideMark/>
          </w:tcPr>
          <w:p w14:paraId="6F353C32" w14:textId="77777777" w:rsidR="004F64EF" w:rsidRPr="003003C0" w:rsidRDefault="004F64EF" w:rsidP="001F3C85">
            <w:pPr>
              <w:jc w:val="center"/>
              <w:rPr>
                <w:sz w:val="15"/>
                <w:szCs w:val="15"/>
              </w:rPr>
            </w:pPr>
          </w:p>
        </w:tc>
        <w:tc>
          <w:tcPr>
            <w:tcW w:w="937" w:type="pct"/>
            <w:shd w:val="clear" w:color="auto" w:fill="auto"/>
            <w:noWrap/>
            <w:hideMark/>
          </w:tcPr>
          <w:p w14:paraId="68532EDE" w14:textId="77777777" w:rsidR="004F64EF" w:rsidRPr="003003C0" w:rsidRDefault="004F64EF" w:rsidP="001F3C85">
            <w:pPr>
              <w:ind w:right="454"/>
              <w:jc w:val="right"/>
              <w:rPr>
                <w:rFonts w:cs="Calibri"/>
                <w:b/>
                <w:bCs/>
                <w:color w:val="000000"/>
                <w:sz w:val="15"/>
                <w:szCs w:val="15"/>
              </w:rPr>
            </w:pPr>
            <w:r w:rsidRPr="003003C0">
              <w:rPr>
                <w:rFonts w:cs="Calibri"/>
                <w:b/>
                <w:bCs/>
                <w:color w:val="000000"/>
                <w:sz w:val="15"/>
                <w:szCs w:val="15"/>
              </w:rPr>
              <w:t>4</w:t>
            </w:r>
            <w:r>
              <w:rPr>
                <w:rFonts w:cs="Calibri"/>
                <w:b/>
                <w:bCs/>
                <w:color w:val="000000"/>
                <w:sz w:val="15"/>
                <w:szCs w:val="15"/>
              </w:rPr>
              <w:t>,</w:t>
            </w:r>
            <w:r w:rsidRPr="003003C0">
              <w:rPr>
                <w:rFonts w:cs="Calibri"/>
                <w:b/>
                <w:bCs/>
                <w:color w:val="000000"/>
                <w:sz w:val="15"/>
                <w:szCs w:val="15"/>
              </w:rPr>
              <w:t>500</w:t>
            </w:r>
          </w:p>
        </w:tc>
        <w:tc>
          <w:tcPr>
            <w:tcW w:w="938" w:type="pct"/>
            <w:shd w:val="clear" w:color="auto" w:fill="auto"/>
            <w:noWrap/>
            <w:hideMark/>
          </w:tcPr>
          <w:p w14:paraId="5A39D948" w14:textId="77777777" w:rsidR="004F64EF" w:rsidRPr="003003C0" w:rsidRDefault="004F64EF" w:rsidP="001F3C85">
            <w:pPr>
              <w:tabs>
                <w:tab w:val="left" w:pos="886"/>
              </w:tabs>
              <w:ind w:right="454"/>
              <w:jc w:val="right"/>
              <w:rPr>
                <w:rFonts w:cs="Calibri"/>
                <w:b/>
                <w:bCs/>
                <w:color w:val="000000"/>
                <w:sz w:val="15"/>
                <w:szCs w:val="15"/>
              </w:rPr>
            </w:pPr>
            <w:r w:rsidRPr="003003C0">
              <w:rPr>
                <w:rFonts w:cs="Calibri"/>
                <w:b/>
                <w:bCs/>
                <w:color w:val="000000"/>
                <w:sz w:val="15"/>
                <w:szCs w:val="15"/>
              </w:rPr>
              <w:t>9</w:t>
            </w:r>
            <w:r>
              <w:rPr>
                <w:rFonts w:cs="Calibri"/>
                <w:b/>
                <w:bCs/>
                <w:color w:val="000000"/>
                <w:sz w:val="15"/>
                <w:szCs w:val="15"/>
              </w:rPr>
              <w:t>,</w:t>
            </w:r>
            <w:r w:rsidRPr="003003C0">
              <w:rPr>
                <w:rFonts w:cs="Calibri"/>
                <w:b/>
                <w:bCs/>
                <w:color w:val="000000"/>
                <w:sz w:val="15"/>
                <w:szCs w:val="15"/>
              </w:rPr>
              <w:t>889</w:t>
            </w:r>
          </w:p>
        </w:tc>
        <w:tc>
          <w:tcPr>
            <w:tcW w:w="781" w:type="pct"/>
            <w:shd w:val="clear" w:color="auto" w:fill="auto"/>
            <w:noWrap/>
            <w:hideMark/>
          </w:tcPr>
          <w:p w14:paraId="785188CD" w14:textId="77777777" w:rsidR="004F64EF" w:rsidRPr="003003C0" w:rsidRDefault="004F64EF" w:rsidP="001F3C85">
            <w:pPr>
              <w:ind w:right="340"/>
              <w:jc w:val="right"/>
              <w:rPr>
                <w:rFonts w:cs="Calibri"/>
                <w:b/>
                <w:bCs/>
                <w:color w:val="000000"/>
                <w:sz w:val="15"/>
                <w:szCs w:val="15"/>
              </w:rPr>
            </w:pPr>
            <w:r w:rsidRPr="003003C0">
              <w:rPr>
                <w:rFonts w:cs="Calibri"/>
                <w:b/>
                <w:bCs/>
                <w:color w:val="000000"/>
                <w:sz w:val="15"/>
                <w:szCs w:val="15"/>
              </w:rPr>
              <w:t>220</w:t>
            </w:r>
          </w:p>
        </w:tc>
      </w:tr>
      <w:tr w:rsidR="004F64EF" w:rsidRPr="003003C0" w14:paraId="21126F33" w14:textId="77777777" w:rsidTr="00265A38">
        <w:trPr>
          <w:cantSplit/>
        </w:trPr>
        <w:tc>
          <w:tcPr>
            <w:tcW w:w="859" w:type="pct"/>
            <w:shd w:val="clear" w:color="auto" w:fill="C9DED4"/>
            <w:noWrap/>
            <w:hideMark/>
          </w:tcPr>
          <w:p w14:paraId="196B1719" w14:textId="77777777" w:rsidR="004F64EF" w:rsidRPr="003003C0" w:rsidRDefault="004F64EF" w:rsidP="001F3C85">
            <w:pPr>
              <w:jc w:val="left"/>
              <w:rPr>
                <w:rFonts w:cs="Calibri"/>
                <w:color w:val="000000"/>
                <w:sz w:val="15"/>
                <w:szCs w:val="15"/>
              </w:rPr>
            </w:pPr>
            <w:r w:rsidRPr="003003C0">
              <w:rPr>
                <w:rFonts w:cs="Calibri"/>
                <w:color w:val="000000"/>
                <w:sz w:val="15"/>
                <w:szCs w:val="15"/>
              </w:rPr>
              <w:t>0703.20.00</w:t>
            </w:r>
          </w:p>
        </w:tc>
        <w:tc>
          <w:tcPr>
            <w:tcW w:w="781" w:type="pct"/>
            <w:shd w:val="clear" w:color="auto" w:fill="C9DED4"/>
            <w:noWrap/>
            <w:hideMark/>
          </w:tcPr>
          <w:p w14:paraId="3C61CB4F" w14:textId="77777777" w:rsidR="004F64EF" w:rsidRPr="003003C0" w:rsidRDefault="004F64EF" w:rsidP="001F3C85">
            <w:pPr>
              <w:jc w:val="center"/>
              <w:rPr>
                <w:rFonts w:cs="Calibri"/>
                <w:color w:val="000000"/>
                <w:sz w:val="15"/>
                <w:szCs w:val="15"/>
              </w:rPr>
            </w:pPr>
            <w:r w:rsidRPr="003003C0">
              <w:rPr>
                <w:rFonts w:cs="Calibri"/>
                <w:color w:val="000000"/>
                <w:sz w:val="15"/>
                <w:szCs w:val="15"/>
              </w:rPr>
              <w:t>25</w:t>
            </w:r>
          </w:p>
        </w:tc>
        <w:tc>
          <w:tcPr>
            <w:tcW w:w="704" w:type="pct"/>
            <w:shd w:val="clear" w:color="auto" w:fill="C9DED4"/>
            <w:noWrap/>
            <w:hideMark/>
          </w:tcPr>
          <w:p w14:paraId="0EC17C81" w14:textId="77777777" w:rsidR="004F64EF" w:rsidRPr="003003C0" w:rsidRDefault="004F64EF" w:rsidP="001F3C85">
            <w:pPr>
              <w:jc w:val="center"/>
              <w:rPr>
                <w:rFonts w:cs="Calibri"/>
                <w:color w:val="000000"/>
                <w:sz w:val="15"/>
                <w:szCs w:val="15"/>
              </w:rPr>
            </w:pPr>
            <w:r w:rsidRPr="003003C0">
              <w:rPr>
                <w:rFonts w:cs="Calibri"/>
                <w:color w:val="000000"/>
                <w:sz w:val="15"/>
                <w:szCs w:val="15"/>
              </w:rPr>
              <w:t>99</w:t>
            </w:r>
          </w:p>
        </w:tc>
        <w:tc>
          <w:tcPr>
            <w:tcW w:w="937" w:type="pct"/>
            <w:shd w:val="clear" w:color="auto" w:fill="C9DED4"/>
            <w:noWrap/>
            <w:hideMark/>
          </w:tcPr>
          <w:p w14:paraId="2FD21C6F" w14:textId="77777777" w:rsidR="004F64EF" w:rsidRPr="003003C0" w:rsidRDefault="004F64EF" w:rsidP="001F3C85">
            <w:pPr>
              <w:ind w:right="454"/>
              <w:jc w:val="right"/>
              <w:rPr>
                <w:rFonts w:cs="Calibri"/>
                <w:color w:val="000000"/>
                <w:sz w:val="15"/>
                <w:szCs w:val="15"/>
              </w:rPr>
            </w:pPr>
          </w:p>
        </w:tc>
        <w:tc>
          <w:tcPr>
            <w:tcW w:w="938" w:type="pct"/>
            <w:shd w:val="clear" w:color="auto" w:fill="C9DED4"/>
            <w:noWrap/>
            <w:hideMark/>
          </w:tcPr>
          <w:p w14:paraId="2A999150" w14:textId="77777777" w:rsidR="004F64EF" w:rsidRPr="003003C0" w:rsidRDefault="004F64EF" w:rsidP="001F3C85">
            <w:pPr>
              <w:tabs>
                <w:tab w:val="left" w:pos="886"/>
              </w:tabs>
              <w:ind w:right="454"/>
              <w:jc w:val="right"/>
              <w:rPr>
                <w:sz w:val="15"/>
                <w:szCs w:val="15"/>
              </w:rPr>
            </w:pPr>
          </w:p>
        </w:tc>
        <w:tc>
          <w:tcPr>
            <w:tcW w:w="781" w:type="pct"/>
            <w:shd w:val="clear" w:color="auto" w:fill="C9DED4"/>
            <w:noWrap/>
            <w:hideMark/>
          </w:tcPr>
          <w:p w14:paraId="60686C5F" w14:textId="77777777" w:rsidR="004F64EF" w:rsidRPr="003003C0" w:rsidRDefault="004F64EF" w:rsidP="001F3C85">
            <w:pPr>
              <w:ind w:right="340"/>
              <w:jc w:val="right"/>
              <w:rPr>
                <w:sz w:val="15"/>
                <w:szCs w:val="15"/>
              </w:rPr>
            </w:pPr>
          </w:p>
        </w:tc>
      </w:tr>
      <w:tr w:rsidR="004F64EF" w:rsidRPr="003003C0" w14:paraId="316DC42F" w14:textId="77777777" w:rsidTr="00265A38">
        <w:trPr>
          <w:cantSplit/>
        </w:trPr>
        <w:tc>
          <w:tcPr>
            <w:tcW w:w="859" w:type="pct"/>
            <w:shd w:val="clear" w:color="auto" w:fill="auto"/>
            <w:noWrap/>
            <w:hideMark/>
          </w:tcPr>
          <w:p w14:paraId="5B40C693" w14:textId="77777777" w:rsidR="004F64EF" w:rsidRPr="003003C0" w:rsidRDefault="004F64EF" w:rsidP="001F3C85">
            <w:pPr>
              <w:jc w:val="left"/>
              <w:rPr>
                <w:rFonts w:cs="Calibri"/>
                <w:b/>
                <w:bCs/>
                <w:color w:val="000000"/>
                <w:sz w:val="15"/>
                <w:szCs w:val="15"/>
              </w:rPr>
            </w:pPr>
            <w:r>
              <w:rPr>
                <w:rFonts w:cs="Calibri"/>
                <w:b/>
                <w:bCs/>
                <w:color w:val="000000"/>
                <w:sz w:val="15"/>
                <w:szCs w:val="15"/>
              </w:rPr>
              <w:t>Beans</w:t>
            </w:r>
          </w:p>
        </w:tc>
        <w:tc>
          <w:tcPr>
            <w:tcW w:w="781" w:type="pct"/>
            <w:shd w:val="clear" w:color="auto" w:fill="auto"/>
            <w:noWrap/>
            <w:hideMark/>
          </w:tcPr>
          <w:p w14:paraId="5F0EE771" w14:textId="77777777" w:rsidR="004F64EF" w:rsidRPr="003003C0" w:rsidRDefault="004F64EF" w:rsidP="001F3C85">
            <w:pPr>
              <w:rPr>
                <w:rFonts w:cs="Calibri"/>
                <w:b/>
                <w:bCs/>
                <w:color w:val="000000"/>
                <w:sz w:val="15"/>
                <w:szCs w:val="15"/>
              </w:rPr>
            </w:pPr>
          </w:p>
        </w:tc>
        <w:tc>
          <w:tcPr>
            <w:tcW w:w="704" w:type="pct"/>
            <w:shd w:val="clear" w:color="auto" w:fill="auto"/>
            <w:noWrap/>
            <w:hideMark/>
          </w:tcPr>
          <w:p w14:paraId="59D1C56C" w14:textId="77777777" w:rsidR="004F64EF" w:rsidRPr="003003C0" w:rsidRDefault="004F64EF" w:rsidP="001F3C85">
            <w:pPr>
              <w:jc w:val="center"/>
              <w:rPr>
                <w:sz w:val="15"/>
                <w:szCs w:val="15"/>
              </w:rPr>
            </w:pPr>
          </w:p>
        </w:tc>
        <w:tc>
          <w:tcPr>
            <w:tcW w:w="937" w:type="pct"/>
            <w:shd w:val="clear" w:color="auto" w:fill="auto"/>
            <w:noWrap/>
            <w:hideMark/>
          </w:tcPr>
          <w:p w14:paraId="5F8FA53C" w14:textId="77777777" w:rsidR="004F64EF" w:rsidRPr="003003C0" w:rsidRDefault="004F64EF" w:rsidP="001F3C85">
            <w:pPr>
              <w:ind w:right="454"/>
              <w:jc w:val="right"/>
              <w:rPr>
                <w:rFonts w:cs="Calibri"/>
                <w:b/>
                <w:bCs/>
                <w:color w:val="000000"/>
                <w:sz w:val="15"/>
                <w:szCs w:val="15"/>
              </w:rPr>
            </w:pPr>
            <w:r w:rsidRPr="003003C0">
              <w:rPr>
                <w:rFonts w:cs="Calibri"/>
                <w:b/>
                <w:bCs/>
                <w:color w:val="000000"/>
                <w:sz w:val="15"/>
                <w:szCs w:val="15"/>
              </w:rPr>
              <w:t>18</w:t>
            </w:r>
            <w:r>
              <w:rPr>
                <w:rFonts w:cs="Calibri"/>
                <w:b/>
                <w:bCs/>
                <w:color w:val="000000"/>
                <w:sz w:val="15"/>
                <w:szCs w:val="15"/>
              </w:rPr>
              <w:t>,</w:t>
            </w:r>
            <w:r w:rsidRPr="003003C0">
              <w:rPr>
                <w:rFonts w:cs="Calibri"/>
                <w:b/>
                <w:bCs/>
                <w:color w:val="000000"/>
                <w:sz w:val="15"/>
                <w:szCs w:val="15"/>
              </w:rPr>
              <w:t>000</w:t>
            </w:r>
          </w:p>
        </w:tc>
        <w:tc>
          <w:tcPr>
            <w:tcW w:w="938" w:type="pct"/>
            <w:shd w:val="clear" w:color="auto" w:fill="auto"/>
            <w:noWrap/>
            <w:hideMark/>
          </w:tcPr>
          <w:p w14:paraId="24C2E94E" w14:textId="77777777" w:rsidR="004F64EF" w:rsidRPr="003003C0" w:rsidRDefault="004F64EF" w:rsidP="001F3C85">
            <w:pPr>
              <w:tabs>
                <w:tab w:val="left" w:pos="886"/>
              </w:tabs>
              <w:ind w:right="454"/>
              <w:jc w:val="right"/>
              <w:rPr>
                <w:rFonts w:cs="Calibri"/>
                <w:b/>
                <w:bCs/>
                <w:color w:val="000000"/>
                <w:sz w:val="15"/>
                <w:szCs w:val="15"/>
              </w:rPr>
            </w:pPr>
            <w:r w:rsidRPr="003003C0">
              <w:rPr>
                <w:rFonts w:cs="Calibri"/>
                <w:b/>
                <w:bCs/>
                <w:color w:val="000000"/>
                <w:sz w:val="15"/>
                <w:szCs w:val="15"/>
              </w:rPr>
              <w:t>1</w:t>
            </w:r>
            <w:r>
              <w:rPr>
                <w:rFonts w:cs="Calibri"/>
                <w:b/>
                <w:bCs/>
                <w:color w:val="000000"/>
                <w:sz w:val="15"/>
                <w:szCs w:val="15"/>
              </w:rPr>
              <w:t>,</w:t>
            </w:r>
            <w:r w:rsidRPr="003003C0">
              <w:rPr>
                <w:rFonts w:cs="Calibri"/>
                <w:b/>
                <w:bCs/>
                <w:color w:val="000000"/>
                <w:sz w:val="15"/>
                <w:szCs w:val="15"/>
              </w:rPr>
              <w:t>557</w:t>
            </w:r>
          </w:p>
        </w:tc>
        <w:tc>
          <w:tcPr>
            <w:tcW w:w="781" w:type="pct"/>
            <w:shd w:val="clear" w:color="auto" w:fill="auto"/>
            <w:noWrap/>
            <w:hideMark/>
          </w:tcPr>
          <w:p w14:paraId="647D2E80" w14:textId="77777777" w:rsidR="004F64EF" w:rsidRPr="003003C0" w:rsidRDefault="004F64EF" w:rsidP="001F3C85">
            <w:pPr>
              <w:ind w:right="340"/>
              <w:jc w:val="right"/>
              <w:rPr>
                <w:rFonts w:cs="Calibri"/>
                <w:b/>
                <w:bCs/>
                <w:color w:val="000000"/>
                <w:sz w:val="15"/>
                <w:szCs w:val="15"/>
              </w:rPr>
            </w:pPr>
            <w:r w:rsidRPr="003003C0">
              <w:rPr>
                <w:rFonts w:cs="Calibri"/>
                <w:b/>
                <w:bCs/>
                <w:color w:val="000000"/>
                <w:sz w:val="15"/>
                <w:szCs w:val="15"/>
              </w:rPr>
              <w:t>9</w:t>
            </w:r>
          </w:p>
        </w:tc>
      </w:tr>
      <w:tr w:rsidR="004F64EF" w:rsidRPr="003003C0" w14:paraId="4744C02A" w14:textId="77777777" w:rsidTr="00265A38">
        <w:trPr>
          <w:cantSplit/>
        </w:trPr>
        <w:tc>
          <w:tcPr>
            <w:tcW w:w="859" w:type="pct"/>
            <w:shd w:val="clear" w:color="auto" w:fill="C9DED4"/>
            <w:noWrap/>
            <w:hideMark/>
          </w:tcPr>
          <w:p w14:paraId="5B0C1730" w14:textId="77777777" w:rsidR="004F64EF" w:rsidRPr="003003C0" w:rsidRDefault="004F64EF" w:rsidP="001F3C85">
            <w:pPr>
              <w:jc w:val="left"/>
              <w:rPr>
                <w:rFonts w:cs="Calibri"/>
                <w:color w:val="000000"/>
                <w:sz w:val="15"/>
                <w:szCs w:val="15"/>
              </w:rPr>
            </w:pPr>
            <w:r w:rsidRPr="003003C0">
              <w:rPr>
                <w:rFonts w:cs="Calibri"/>
                <w:color w:val="000000"/>
                <w:sz w:val="15"/>
                <w:szCs w:val="15"/>
              </w:rPr>
              <w:t>0713.31.00</w:t>
            </w:r>
          </w:p>
        </w:tc>
        <w:tc>
          <w:tcPr>
            <w:tcW w:w="781" w:type="pct"/>
            <w:shd w:val="clear" w:color="auto" w:fill="C9DED4"/>
            <w:noWrap/>
            <w:hideMark/>
          </w:tcPr>
          <w:p w14:paraId="79E27DA7" w14:textId="77777777" w:rsidR="004F64EF" w:rsidRPr="003003C0" w:rsidRDefault="004F64EF" w:rsidP="001F3C85">
            <w:pPr>
              <w:jc w:val="center"/>
              <w:rPr>
                <w:rFonts w:cs="Calibri"/>
                <w:color w:val="000000"/>
                <w:sz w:val="15"/>
                <w:szCs w:val="15"/>
              </w:rPr>
            </w:pPr>
            <w:r w:rsidRPr="003003C0">
              <w:rPr>
                <w:rFonts w:cs="Calibri"/>
                <w:color w:val="000000"/>
                <w:sz w:val="15"/>
                <w:szCs w:val="15"/>
              </w:rPr>
              <w:t>25</w:t>
            </w:r>
          </w:p>
        </w:tc>
        <w:tc>
          <w:tcPr>
            <w:tcW w:w="704" w:type="pct"/>
            <w:shd w:val="clear" w:color="auto" w:fill="C9DED4"/>
            <w:noWrap/>
            <w:hideMark/>
          </w:tcPr>
          <w:p w14:paraId="00FB5B1F" w14:textId="77777777" w:rsidR="004F64EF" w:rsidRPr="003003C0" w:rsidRDefault="004F64EF" w:rsidP="001F3C85">
            <w:pPr>
              <w:jc w:val="center"/>
              <w:rPr>
                <w:rFonts w:cs="Calibri"/>
                <w:color w:val="000000"/>
                <w:sz w:val="15"/>
                <w:szCs w:val="15"/>
              </w:rPr>
            </w:pPr>
            <w:r w:rsidRPr="003003C0">
              <w:rPr>
                <w:rFonts w:cs="Calibri"/>
                <w:color w:val="000000"/>
                <w:sz w:val="15"/>
                <w:szCs w:val="15"/>
              </w:rPr>
              <w:t>89</w:t>
            </w:r>
          </w:p>
        </w:tc>
        <w:tc>
          <w:tcPr>
            <w:tcW w:w="937" w:type="pct"/>
            <w:shd w:val="clear" w:color="auto" w:fill="C9DED4"/>
            <w:noWrap/>
            <w:hideMark/>
          </w:tcPr>
          <w:p w14:paraId="45E353A8" w14:textId="77777777" w:rsidR="004F64EF" w:rsidRPr="003003C0" w:rsidRDefault="004F64EF" w:rsidP="001F3C85">
            <w:pPr>
              <w:ind w:right="454"/>
              <w:jc w:val="right"/>
              <w:rPr>
                <w:rFonts w:cs="Calibri"/>
                <w:color w:val="000000"/>
                <w:sz w:val="15"/>
                <w:szCs w:val="15"/>
              </w:rPr>
            </w:pPr>
          </w:p>
        </w:tc>
        <w:tc>
          <w:tcPr>
            <w:tcW w:w="938" w:type="pct"/>
            <w:shd w:val="clear" w:color="auto" w:fill="C9DED4"/>
            <w:noWrap/>
            <w:hideMark/>
          </w:tcPr>
          <w:p w14:paraId="3D0D31FE" w14:textId="77777777" w:rsidR="004F64EF" w:rsidRPr="003003C0" w:rsidRDefault="004F64EF" w:rsidP="001F3C85">
            <w:pPr>
              <w:tabs>
                <w:tab w:val="left" w:pos="886"/>
              </w:tabs>
              <w:ind w:right="454"/>
              <w:jc w:val="right"/>
              <w:rPr>
                <w:sz w:val="15"/>
                <w:szCs w:val="15"/>
              </w:rPr>
            </w:pPr>
          </w:p>
        </w:tc>
        <w:tc>
          <w:tcPr>
            <w:tcW w:w="781" w:type="pct"/>
            <w:shd w:val="clear" w:color="auto" w:fill="C9DED4"/>
            <w:noWrap/>
            <w:hideMark/>
          </w:tcPr>
          <w:p w14:paraId="3E43BA09" w14:textId="77777777" w:rsidR="004F64EF" w:rsidRPr="003003C0" w:rsidRDefault="004F64EF" w:rsidP="001F3C85">
            <w:pPr>
              <w:ind w:right="340"/>
              <w:jc w:val="right"/>
              <w:rPr>
                <w:sz w:val="15"/>
                <w:szCs w:val="15"/>
              </w:rPr>
            </w:pPr>
          </w:p>
        </w:tc>
      </w:tr>
      <w:tr w:rsidR="004F64EF" w:rsidRPr="003003C0" w14:paraId="1B5D67C8" w14:textId="77777777" w:rsidTr="00265A38">
        <w:trPr>
          <w:cantSplit/>
        </w:trPr>
        <w:tc>
          <w:tcPr>
            <w:tcW w:w="859" w:type="pct"/>
            <w:shd w:val="clear" w:color="auto" w:fill="auto"/>
            <w:noWrap/>
            <w:hideMark/>
          </w:tcPr>
          <w:p w14:paraId="338CDD61" w14:textId="77777777" w:rsidR="004F64EF" w:rsidRPr="003003C0" w:rsidRDefault="004F64EF" w:rsidP="001F3C85">
            <w:pPr>
              <w:jc w:val="left"/>
              <w:rPr>
                <w:rFonts w:cs="Calibri"/>
                <w:color w:val="000000"/>
                <w:sz w:val="15"/>
                <w:szCs w:val="15"/>
              </w:rPr>
            </w:pPr>
            <w:r w:rsidRPr="003003C0">
              <w:rPr>
                <w:rFonts w:cs="Calibri"/>
                <w:color w:val="000000"/>
                <w:sz w:val="15"/>
                <w:szCs w:val="15"/>
              </w:rPr>
              <w:t>0713.32.00</w:t>
            </w:r>
          </w:p>
        </w:tc>
        <w:tc>
          <w:tcPr>
            <w:tcW w:w="781" w:type="pct"/>
            <w:shd w:val="clear" w:color="auto" w:fill="auto"/>
            <w:noWrap/>
            <w:hideMark/>
          </w:tcPr>
          <w:p w14:paraId="3E15AF13" w14:textId="77777777" w:rsidR="004F64EF" w:rsidRPr="003003C0" w:rsidRDefault="004F64EF" w:rsidP="001F3C85">
            <w:pPr>
              <w:jc w:val="center"/>
              <w:rPr>
                <w:rFonts w:cs="Calibri"/>
                <w:color w:val="000000"/>
                <w:sz w:val="15"/>
                <w:szCs w:val="15"/>
              </w:rPr>
            </w:pPr>
            <w:r w:rsidRPr="003003C0">
              <w:rPr>
                <w:rFonts w:cs="Calibri"/>
                <w:color w:val="000000"/>
                <w:sz w:val="15"/>
                <w:szCs w:val="15"/>
              </w:rPr>
              <w:t>25</w:t>
            </w:r>
          </w:p>
        </w:tc>
        <w:tc>
          <w:tcPr>
            <w:tcW w:w="704" w:type="pct"/>
            <w:shd w:val="clear" w:color="auto" w:fill="auto"/>
            <w:noWrap/>
            <w:hideMark/>
          </w:tcPr>
          <w:p w14:paraId="60EA47C3" w14:textId="77777777" w:rsidR="004F64EF" w:rsidRPr="003003C0" w:rsidRDefault="004F64EF" w:rsidP="001F3C85">
            <w:pPr>
              <w:jc w:val="center"/>
              <w:rPr>
                <w:rFonts w:cs="Calibri"/>
                <w:color w:val="000000"/>
                <w:sz w:val="15"/>
                <w:szCs w:val="15"/>
              </w:rPr>
            </w:pPr>
            <w:r w:rsidRPr="003003C0">
              <w:rPr>
                <w:rFonts w:cs="Calibri"/>
                <w:color w:val="000000"/>
                <w:sz w:val="15"/>
                <w:szCs w:val="15"/>
              </w:rPr>
              <w:t>89</w:t>
            </w:r>
          </w:p>
        </w:tc>
        <w:tc>
          <w:tcPr>
            <w:tcW w:w="937" w:type="pct"/>
            <w:shd w:val="clear" w:color="auto" w:fill="auto"/>
            <w:noWrap/>
            <w:hideMark/>
          </w:tcPr>
          <w:p w14:paraId="16CFF835" w14:textId="77777777" w:rsidR="004F64EF" w:rsidRPr="003003C0" w:rsidRDefault="004F64EF" w:rsidP="001F3C85">
            <w:pPr>
              <w:ind w:right="454"/>
              <w:jc w:val="right"/>
              <w:rPr>
                <w:rFonts w:cs="Calibri"/>
                <w:color w:val="000000"/>
                <w:sz w:val="15"/>
                <w:szCs w:val="15"/>
              </w:rPr>
            </w:pPr>
          </w:p>
        </w:tc>
        <w:tc>
          <w:tcPr>
            <w:tcW w:w="938" w:type="pct"/>
            <w:shd w:val="clear" w:color="auto" w:fill="auto"/>
            <w:noWrap/>
            <w:hideMark/>
          </w:tcPr>
          <w:p w14:paraId="4371C01A" w14:textId="77777777" w:rsidR="004F64EF" w:rsidRPr="003003C0" w:rsidRDefault="004F64EF" w:rsidP="001F3C85">
            <w:pPr>
              <w:tabs>
                <w:tab w:val="left" w:pos="886"/>
              </w:tabs>
              <w:ind w:right="454"/>
              <w:jc w:val="right"/>
              <w:rPr>
                <w:sz w:val="15"/>
                <w:szCs w:val="15"/>
              </w:rPr>
            </w:pPr>
          </w:p>
        </w:tc>
        <w:tc>
          <w:tcPr>
            <w:tcW w:w="781" w:type="pct"/>
            <w:shd w:val="clear" w:color="auto" w:fill="auto"/>
            <w:noWrap/>
            <w:hideMark/>
          </w:tcPr>
          <w:p w14:paraId="7DE37DC8" w14:textId="77777777" w:rsidR="004F64EF" w:rsidRPr="003003C0" w:rsidRDefault="004F64EF" w:rsidP="001F3C85">
            <w:pPr>
              <w:ind w:right="340"/>
              <w:jc w:val="right"/>
              <w:rPr>
                <w:sz w:val="15"/>
                <w:szCs w:val="15"/>
              </w:rPr>
            </w:pPr>
          </w:p>
        </w:tc>
      </w:tr>
      <w:tr w:rsidR="004F64EF" w:rsidRPr="003003C0" w14:paraId="33CBF5B0" w14:textId="77777777" w:rsidTr="00265A38">
        <w:trPr>
          <w:cantSplit/>
        </w:trPr>
        <w:tc>
          <w:tcPr>
            <w:tcW w:w="859" w:type="pct"/>
            <w:shd w:val="clear" w:color="auto" w:fill="C9DED4"/>
            <w:noWrap/>
            <w:hideMark/>
          </w:tcPr>
          <w:p w14:paraId="69631C86" w14:textId="77777777" w:rsidR="004F64EF" w:rsidRPr="003003C0" w:rsidRDefault="004F64EF" w:rsidP="001F3C85">
            <w:pPr>
              <w:jc w:val="left"/>
              <w:rPr>
                <w:rFonts w:cs="Calibri"/>
                <w:color w:val="000000"/>
                <w:sz w:val="15"/>
                <w:szCs w:val="15"/>
              </w:rPr>
            </w:pPr>
            <w:r w:rsidRPr="003003C0">
              <w:rPr>
                <w:rFonts w:cs="Calibri"/>
                <w:color w:val="000000"/>
                <w:sz w:val="15"/>
                <w:szCs w:val="15"/>
              </w:rPr>
              <w:t>0713.33.00</w:t>
            </w:r>
          </w:p>
        </w:tc>
        <w:tc>
          <w:tcPr>
            <w:tcW w:w="781" w:type="pct"/>
            <w:shd w:val="clear" w:color="auto" w:fill="C9DED4"/>
            <w:noWrap/>
            <w:hideMark/>
          </w:tcPr>
          <w:p w14:paraId="1A4A3BB7" w14:textId="77777777" w:rsidR="004F64EF" w:rsidRPr="003003C0" w:rsidRDefault="004F64EF" w:rsidP="001F3C85">
            <w:pPr>
              <w:jc w:val="center"/>
              <w:rPr>
                <w:rFonts w:cs="Calibri"/>
                <w:color w:val="000000"/>
                <w:sz w:val="15"/>
                <w:szCs w:val="15"/>
              </w:rPr>
            </w:pPr>
            <w:r w:rsidRPr="003003C0">
              <w:rPr>
                <w:rFonts w:cs="Calibri"/>
                <w:color w:val="000000"/>
                <w:sz w:val="15"/>
                <w:szCs w:val="15"/>
              </w:rPr>
              <w:t>25</w:t>
            </w:r>
          </w:p>
        </w:tc>
        <w:tc>
          <w:tcPr>
            <w:tcW w:w="704" w:type="pct"/>
            <w:shd w:val="clear" w:color="auto" w:fill="C9DED4"/>
            <w:noWrap/>
            <w:hideMark/>
          </w:tcPr>
          <w:p w14:paraId="2CE198B3" w14:textId="77777777" w:rsidR="004F64EF" w:rsidRPr="003003C0" w:rsidRDefault="004F64EF" w:rsidP="001F3C85">
            <w:pPr>
              <w:jc w:val="center"/>
              <w:rPr>
                <w:rFonts w:cs="Calibri"/>
                <w:color w:val="000000"/>
                <w:sz w:val="15"/>
                <w:szCs w:val="15"/>
              </w:rPr>
            </w:pPr>
            <w:r w:rsidRPr="003003C0">
              <w:rPr>
                <w:rFonts w:cs="Calibri"/>
                <w:color w:val="000000"/>
                <w:sz w:val="15"/>
                <w:szCs w:val="15"/>
              </w:rPr>
              <w:t>89</w:t>
            </w:r>
          </w:p>
        </w:tc>
        <w:tc>
          <w:tcPr>
            <w:tcW w:w="937" w:type="pct"/>
            <w:shd w:val="clear" w:color="auto" w:fill="C9DED4"/>
            <w:noWrap/>
            <w:hideMark/>
          </w:tcPr>
          <w:p w14:paraId="65ABCDDD" w14:textId="77777777" w:rsidR="004F64EF" w:rsidRPr="003003C0" w:rsidRDefault="004F64EF" w:rsidP="001F3C85">
            <w:pPr>
              <w:ind w:right="454"/>
              <w:jc w:val="right"/>
              <w:rPr>
                <w:rFonts w:cs="Calibri"/>
                <w:color w:val="000000"/>
                <w:sz w:val="15"/>
                <w:szCs w:val="15"/>
              </w:rPr>
            </w:pPr>
          </w:p>
        </w:tc>
        <w:tc>
          <w:tcPr>
            <w:tcW w:w="938" w:type="pct"/>
            <w:shd w:val="clear" w:color="auto" w:fill="C9DED4"/>
            <w:noWrap/>
            <w:hideMark/>
          </w:tcPr>
          <w:p w14:paraId="0B057207" w14:textId="77777777" w:rsidR="004F64EF" w:rsidRPr="003003C0" w:rsidRDefault="004F64EF" w:rsidP="001F3C85">
            <w:pPr>
              <w:tabs>
                <w:tab w:val="left" w:pos="886"/>
              </w:tabs>
              <w:ind w:right="454"/>
              <w:jc w:val="right"/>
              <w:rPr>
                <w:sz w:val="15"/>
                <w:szCs w:val="15"/>
              </w:rPr>
            </w:pPr>
          </w:p>
        </w:tc>
        <w:tc>
          <w:tcPr>
            <w:tcW w:w="781" w:type="pct"/>
            <w:shd w:val="clear" w:color="auto" w:fill="C9DED4"/>
            <w:noWrap/>
            <w:hideMark/>
          </w:tcPr>
          <w:p w14:paraId="6AF428BE" w14:textId="77777777" w:rsidR="004F64EF" w:rsidRPr="003003C0" w:rsidRDefault="004F64EF" w:rsidP="001F3C85">
            <w:pPr>
              <w:ind w:right="340"/>
              <w:jc w:val="right"/>
              <w:rPr>
                <w:sz w:val="15"/>
                <w:szCs w:val="15"/>
              </w:rPr>
            </w:pPr>
          </w:p>
        </w:tc>
      </w:tr>
      <w:tr w:rsidR="004F64EF" w:rsidRPr="003003C0" w14:paraId="48B3E729" w14:textId="77777777" w:rsidTr="00265A38">
        <w:trPr>
          <w:cantSplit/>
        </w:trPr>
        <w:tc>
          <w:tcPr>
            <w:tcW w:w="859" w:type="pct"/>
            <w:shd w:val="clear" w:color="auto" w:fill="auto"/>
            <w:noWrap/>
            <w:hideMark/>
          </w:tcPr>
          <w:p w14:paraId="329D33BC" w14:textId="77777777" w:rsidR="004F64EF" w:rsidRPr="003003C0" w:rsidRDefault="004F64EF" w:rsidP="001F3C85">
            <w:pPr>
              <w:jc w:val="left"/>
              <w:rPr>
                <w:rFonts w:cs="Calibri"/>
                <w:color w:val="000000"/>
                <w:sz w:val="15"/>
                <w:szCs w:val="15"/>
              </w:rPr>
            </w:pPr>
            <w:r w:rsidRPr="003003C0">
              <w:rPr>
                <w:rFonts w:cs="Calibri"/>
                <w:color w:val="000000"/>
                <w:sz w:val="15"/>
                <w:szCs w:val="15"/>
              </w:rPr>
              <w:t>0713.34.00</w:t>
            </w:r>
          </w:p>
        </w:tc>
        <w:tc>
          <w:tcPr>
            <w:tcW w:w="781" w:type="pct"/>
            <w:shd w:val="clear" w:color="auto" w:fill="auto"/>
            <w:noWrap/>
            <w:hideMark/>
          </w:tcPr>
          <w:p w14:paraId="53D6821F" w14:textId="77777777" w:rsidR="004F64EF" w:rsidRPr="003003C0" w:rsidRDefault="004F64EF" w:rsidP="001F3C85">
            <w:pPr>
              <w:jc w:val="center"/>
              <w:rPr>
                <w:rFonts w:cs="Calibri"/>
                <w:color w:val="000000"/>
                <w:sz w:val="15"/>
                <w:szCs w:val="15"/>
              </w:rPr>
            </w:pPr>
            <w:r w:rsidRPr="003003C0">
              <w:rPr>
                <w:rFonts w:cs="Calibri"/>
                <w:color w:val="000000"/>
                <w:sz w:val="15"/>
                <w:szCs w:val="15"/>
              </w:rPr>
              <w:t>25</w:t>
            </w:r>
          </w:p>
        </w:tc>
        <w:tc>
          <w:tcPr>
            <w:tcW w:w="704" w:type="pct"/>
            <w:shd w:val="clear" w:color="auto" w:fill="auto"/>
            <w:noWrap/>
            <w:hideMark/>
          </w:tcPr>
          <w:p w14:paraId="674ABC65" w14:textId="77777777" w:rsidR="004F64EF" w:rsidRPr="003003C0" w:rsidRDefault="004F64EF" w:rsidP="001F3C85">
            <w:pPr>
              <w:jc w:val="center"/>
              <w:rPr>
                <w:rFonts w:cs="Calibri"/>
                <w:color w:val="000000"/>
                <w:sz w:val="15"/>
                <w:szCs w:val="15"/>
              </w:rPr>
            </w:pPr>
            <w:r w:rsidRPr="003003C0">
              <w:rPr>
                <w:rFonts w:cs="Calibri"/>
                <w:color w:val="000000"/>
                <w:sz w:val="15"/>
                <w:szCs w:val="15"/>
              </w:rPr>
              <w:t>89</w:t>
            </w:r>
          </w:p>
        </w:tc>
        <w:tc>
          <w:tcPr>
            <w:tcW w:w="937" w:type="pct"/>
            <w:shd w:val="clear" w:color="auto" w:fill="auto"/>
            <w:noWrap/>
            <w:hideMark/>
          </w:tcPr>
          <w:p w14:paraId="392A666D" w14:textId="77777777" w:rsidR="004F64EF" w:rsidRPr="003003C0" w:rsidRDefault="004F64EF" w:rsidP="001F3C85">
            <w:pPr>
              <w:ind w:right="454"/>
              <w:jc w:val="right"/>
              <w:rPr>
                <w:rFonts w:cs="Calibri"/>
                <w:color w:val="000000"/>
                <w:sz w:val="15"/>
                <w:szCs w:val="15"/>
              </w:rPr>
            </w:pPr>
          </w:p>
        </w:tc>
        <w:tc>
          <w:tcPr>
            <w:tcW w:w="938" w:type="pct"/>
            <w:shd w:val="clear" w:color="auto" w:fill="auto"/>
            <w:noWrap/>
            <w:hideMark/>
          </w:tcPr>
          <w:p w14:paraId="2AA8477B" w14:textId="77777777" w:rsidR="004F64EF" w:rsidRPr="003003C0" w:rsidRDefault="004F64EF" w:rsidP="001F3C85">
            <w:pPr>
              <w:tabs>
                <w:tab w:val="left" w:pos="886"/>
              </w:tabs>
              <w:ind w:right="454"/>
              <w:jc w:val="right"/>
              <w:rPr>
                <w:sz w:val="15"/>
                <w:szCs w:val="15"/>
              </w:rPr>
            </w:pPr>
          </w:p>
        </w:tc>
        <w:tc>
          <w:tcPr>
            <w:tcW w:w="781" w:type="pct"/>
            <w:shd w:val="clear" w:color="auto" w:fill="auto"/>
            <w:noWrap/>
            <w:hideMark/>
          </w:tcPr>
          <w:p w14:paraId="14CAF208" w14:textId="77777777" w:rsidR="004F64EF" w:rsidRPr="003003C0" w:rsidRDefault="004F64EF" w:rsidP="001F3C85">
            <w:pPr>
              <w:ind w:right="340"/>
              <w:jc w:val="right"/>
              <w:rPr>
                <w:sz w:val="15"/>
                <w:szCs w:val="15"/>
              </w:rPr>
            </w:pPr>
          </w:p>
        </w:tc>
      </w:tr>
      <w:tr w:rsidR="004F64EF" w:rsidRPr="003003C0" w14:paraId="120CD881" w14:textId="77777777" w:rsidTr="00265A38">
        <w:trPr>
          <w:cantSplit/>
        </w:trPr>
        <w:tc>
          <w:tcPr>
            <w:tcW w:w="859" w:type="pct"/>
            <w:shd w:val="clear" w:color="auto" w:fill="C9DED4"/>
            <w:noWrap/>
            <w:hideMark/>
          </w:tcPr>
          <w:p w14:paraId="38B7E9F6" w14:textId="77777777" w:rsidR="004F64EF" w:rsidRPr="003003C0" w:rsidRDefault="004F64EF" w:rsidP="001F3C85">
            <w:pPr>
              <w:jc w:val="left"/>
              <w:rPr>
                <w:rFonts w:cs="Calibri"/>
                <w:color w:val="000000"/>
                <w:sz w:val="15"/>
                <w:szCs w:val="15"/>
              </w:rPr>
            </w:pPr>
            <w:r w:rsidRPr="003003C0">
              <w:rPr>
                <w:rFonts w:cs="Calibri"/>
                <w:color w:val="000000"/>
                <w:sz w:val="15"/>
                <w:szCs w:val="15"/>
              </w:rPr>
              <w:t>0713.35.00</w:t>
            </w:r>
          </w:p>
        </w:tc>
        <w:tc>
          <w:tcPr>
            <w:tcW w:w="781" w:type="pct"/>
            <w:shd w:val="clear" w:color="auto" w:fill="C9DED4"/>
            <w:noWrap/>
            <w:hideMark/>
          </w:tcPr>
          <w:p w14:paraId="02974296" w14:textId="77777777" w:rsidR="004F64EF" w:rsidRPr="003003C0" w:rsidRDefault="004F64EF" w:rsidP="001F3C85">
            <w:pPr>
              <w:jc w:val="center"/>
              <w:rPr>
                <w:rFonts w:cs="Calibri"/>
                <w:color w:val="000000"/>
                <w:sz w:val="15"/>
                <w:szCs w:val="15"/>
              </w:rPr>
            </w:pPr>
            <w:r w:rsidRPr="003003C0">
              <w:rPr>
                <w:rFonts w:cs="Calibri"/>
                <w:color w:val="000000"/>
                <w:sz w:val="15"/>
                <w:szCs w:val="15"/>
              </w:rPr>
              <w:t>25</w:t>
            </w:r>
          </w:p>
        </w:tc>
        <w:tc>
          <w:tcPr>
            <w:tcW w:w="704" w:type="pct"/>
            <w:shd w:val="clear" w:color="auto" w:fill="C9DED4"/>
            <w:noWrap/>
            <w:hideMark/>
          </w:tcPr>
          <w:p w14:paraId="7FE21B27" w14:textId="77777777" w:rsidR="004F64EF" w:rsidRPr="003003C0" w:rsidRDefault="004F64EF" w:rsidP="001F3C85">
            <w:pPr>
              <w:jc w:val="center"/>
              <w:rPr>
                <w:rFonts w:cs="Calibri"/>
                <w:color w:val="000000"/>
                <w:sz w:val="15"/>
                <w:szCs w:val="15"/>
              </w:rPr>
            </w:pPr>
            <w:r w:rsidRPr="003003C0">
              <w:rPr>
                <w:rFonts w:cs="Calibri"/>
                <w:color w:val="000000"/>
                <w:sz w:val="15"/>
                <w:szCs w:val="15"/>
              </w:rPr>
              <w:t>89</w:t>
            </w:r>
          </w:p>
        </w:tc>
        <w:tc>
          <w:tcPr>
            <w:tcW w:w="937" w:type="pct"/>
            <w:shd w:val="clear" w:color="auto" w:fill="C9DED4"/>
            <w:noWrap/>
            <w:hideMark/>
          </w:tcPr>
          <w:p w14:paraId="20389CE3" w14:textId="77777777" w:rsidR="004F64EF" w:rsidRPr="003003C0" w:rsidRDefault="004F64EF" w:rsidP="001F3C85">
            <w:pPr>
              <w:ind w:right="454"/>
              <w:jc w:val="right"/>
              <w:rPr>
                <w:rFonts w:cs="Calibri"/>
                <w:color w:val="000000"/>
                <w:sz w:val="15"/>
                <w:szCs w:val="15"/>
              </w:rPr>
            </w:pPr>
          </w:p>
        </w:tc>
        <w:tc>
          <w:tcPr>
            <w:tcW w:w="938" w:type="pct"/>
            <w:shd w:val="clear" w:color="auto" w:fill="C9DED4"/>
            <w:noWrap/>
            <w:hideMark/>
          </w:tcPr>
          <w:p w14:paraId="36E7624B" w14:textId="77777777" w:rsidR="004F64EF" w:rsidRPr="003003C0" w:rsidRDefault="004F64EF" w:rsidP="001F3C85">
            <w:pPr>
              <w:tabs>
                <w:tab w:val="left" w:pos="886"/>
              </w:tabs>
              <w:ind w:right="454"/>
              <w:jc w:val="right"/>
              <w:rPr>
                <w:sz w:val="15"/>
                <w:szCs w:val="15"/>
              </w:rPr>
            </w:pPr>
          </w:p>
        </w:tc>
        <w:tc>
          <w:tcPr>
            <w:tcW w:w="781" w:type="pct"/>
            <w:shd w:val="clear" w:color="auto" w:fill="C9DED4"/>
            <w:noWrap/>
            <w:hideMark/>
          </w:tcPr>
          <w:p w14:paraId="65B2A911" w14:textId="77777777" w:rsidR="004F64EF" w:rsidRPr="003003C0" w:rsidRDefault="004F64EF" w:rsidP="001F3C85">
            <w:pPr>
              <w:ind w:right="340"/>
              <w:jc w:val="right"/>
              <w:rPr>
                <w:sz w:val="15"/>
                <w:szCs w:val="15"/>
              </w:rPr>
            </w:pPr>
          </w:p>
        </w:tc>
      </w:tr>
      <w:tr w:rsidR="004F64EF" w:rsidRPr="003003C0" w14:paraId="34AE66A3" w14:textId="77777777" w:rsidTr="00265A38">
        <w:trPr>
          <w:cantSplit/>
        </w:trPr>
        <w:tc>
          <w:tcPr>
            <w:tcW w:w="859" w:type="pct"/>
            <w:shd w:val="clear" w:color="auto" w:fill="auto"/>
            <w:noWrap/>
            <w:hideMark/>
          </w:tcPr>
          <w:p w14:paraId="11DA92D9" w14:textId="77777777" w:rsidR="004F64EF" w:rsidRPr="003003C0" w:rsidRDefault="004F64EF" w:rsidP="001F3C85">
            <w:pPr>
              <w:jc w:val="left"/>
              <w:rPr>
                <w:rFonts w:cs="Calibri"/>
                <w:b/>
                <w:bCs/>
                <w:color w:val="000000"/>
                <w:sz w:val="15"/>
                <w:szCs w:val="15"/>
              </w:rPr>
            </w:pPr>
            <w:r w:rsidRPr="003003C0">
              <w:rPr>
                <w:rFonts w:cs="Calibri"/>
                <w:b/>
                <w:bCs/>
                <w:color w:val="000000"/>
                <w:sz w:val="15"/>
                <w:szCs w:val="15"/>
              </w:rPr>
              <w:t>Ma</w:t>
            </w:r>
            <w:r>
              <w:rPr>
                <w:rFonts w:cs="Calibri"/>
                <w:b/>
                <w:bCs/>
                <w:color w:val="000000"/>
                <w:sz w:val="15"/>
                <w:szCs w:val="15"/>
              </w:rPr>
              <w:t>ize (corn)</w:t>
            </w:r>
          </w:p>
        </w:tc>
        <w:tc>
          <w:tcPr>
            <w:tcW w:w="781" w:type="pct"/>
            <w:shd w:val="clear" w:color="auto" w:fill="auto"/>
            <w:noWrap/>
            <w:hideMark/>
          </w:tcPr>
          <w:p w14:paraId="09405B56" w14:textId="77777777" w:rsidR="004F64EF" w:rsidRPr="003003C0" w:rsidRDefault="004F64EF" w:rsidP="001F3C85">
            <w:pPr>
              <w:rPr>
                <w:rFonts w:cs="Calibri"/>
                <w:b/>
                <w:bCs/>
                <w:color w:val="000000"/>
                <w:sz w:val="15"/>
                <w:szCs w:val="15"/>
              </w:rPr>
            </w:pPr>
          </w:p>
        </w:tc>
        <w:tc>
          <w:tcPr>
            <w:tcW w:w="704" w:type="pct"/>
            <w:shd w:val="clear" w:color="auto" w:fill="auto"/>
            <w:noWrap/>
            <w:hideMark/>
          </w:tcPr>
          <w:p w14:paraId="04FCB72E" w14:textId="77777777" w:rsidR="004F64EF" w:rsidRPr="003003C0" w:rsidRDefault="004F64EF" w:rsidP="001F3C85">
            <w:pPr>
              <w:jc w:val="center"/>
              <w:rPr>
                <w:sz w:val="15"/>
                <w:szCs w:val="15"/>
              </w:rPr>
            </w:pPr>
          </w:p>
        </w:tc>
        <w:tc>
          <w:tcPr>
            <w:tcW w:w="937" w:type="pct"/>
            <w:shd w:val="clear" w:color="auto" w:fill="auto"/>
            <w:noWrap/>
            <w:hideMark/>
          </w:tcPr>
          <w:p w14:paraId="6E0C1761" w14:textId="77777777" w:rsidR="004F64EF" w:rsidRPr="003003C0" w:rsidRDefault="004F64EF" w:rsidP="001F3C85">
            <w:pPr>
              <w:ind w:right="454"/>
              <w:jc w:val="right"/>
              <w:rPr>
                <w:rFonts w:cs="Calibri"/>
                <w:b/>
                <w:bCs/>
                <w:color w:val="000000"/>
                <w:sz w:val="15"/>
                <w:szCs w:val="15"/>
              </w:rPr>
            </w:pPr>
            <w:r w:rsidRPr="003003C0">
              <w:rPr>
                <w:rFonts w:cs="Calibri"/>
                <w:b/>
                <w:bCs/>
                <w:color w:val="000000"/>
                <w:sz w:val="15"/>
                <w:szCs w:val="15"/>
              </w:rPr>
              <w:t>1</w:t>
            </w:r>
            <w:r>
              <w:rPr>
                <w:rFonts w:cs="Calibri"/>
                <w:b/>
                <w:bCs/>
                <w:color w:val="000000"/>
                <w:sz w:val="15"/>
                <w:szCs w:val="15"/>
              </w:rPr>
              <w:t>,</w:t>
            </w:r>
            <w:r w:rsidRPr="003003C0">
              <w:rPr>
                <w:rFonts w:cs="Calibri"/>
                <w:b/>
                <w:bCs/>
                <w:color w:val="000000"/>
                <w:sz w:val="15"/>
                <w:szCs w:val="15"/>
              </w:rPr>
              <w:t>091</w:t>
            </w:r>
            <w:r>
              <w:rPr>
                <w:rFonts w:cs="Calibri"/>
                <w:b/>
                <w:bCs/>
                <w:color w:val="000000"/>
                <w:sz w:val="15"/>
                <w:szCs w:val="15"/>
              </w:rPr>
              <w:t>,</w:t>
            </w:r>
            <w:r w:rsidRPr="003003C0">
              <w:rPr>
                <w:rFonts w:cs="Calibri"/>
                <w:b/>
                <w:bCs/>
                <w:color w:val="000000"/>
                <w:sz w:val="15"/>
                <w:szCs w:val="15"/>
              </w:rPr>
              <w:t>000</w:t>
            </w:r>
          </w:p>
        </w:tc>
        <w:tc>
          <w:tcPr>
            <w:tcW w:w="938" w:type="pct"/>
            <w:shd w:val="clear" w:color="auto" w:fill="auto"/>
            <w:noWrap/>
            <w:hideMark/>
          </w:tcPr>
          <w:p w14:paraId="60E9E2DE" w14:textId="77777777" w:rsidR="004F64EF" w:rsidRPr="003003C0" w:rsidRDefault="004F64EF" w:rsidP="001F3C85">
            <w:pPr>
              <w:tabs>
                <w:tab w:val="left" w:pos="886"/>
              </w:tabs>
              <w:ind w:right="454"/>
              <w:jc w:val="right"/>
              <w:rPr>
                <w:rFonts w:cs="Calibri"/>
                <w:b/>
                <w:bCs/>
                <w:color w:val="000000"/>
                <w:sz w:val="15"/>
                <w:szCs w:val="15"/>
              </w:rPr>
            </w:pPr>
            <w:r w:rsidRPr="003003C0">
              <w:rPr>
                <w:rFonts w:cs="Calibri"/>
                <w:b/>
                <w:bCs/>
                <w:color w:val="000000"/>
                <w:sz w:val="15"/>
                <w:szCs w:val="15"/>
              </w:rPr>
              <w:t>1</w:t>
            </w:r>
            <w:r>
              <w:rPr>
                <w:rFonts w:cs="Calibri"/>
                <w:b/>
                <w:bCs/>
                <w:color w:val="000000"/>
                <w:sz w:val="15"/>
                <w:szCs w:val="15"/>
              </w:rPr>
              <w:t>,</w:t>
            </w:r>
            <w:r w:rsidRPr="003003C0">
              <w:rPr>
                <w:rFonts w:cs="Calibri"/>
                <w:b/>
                <w:bCs/>
                <w:color w:val="000000"/>
                <w:sz w:val="15"/>
                <w:szCs w:val="15"/>
              </w:rPr>
              <w:t>363</w:t>
            </w:r>
            <w:r>
              <w:rPr>
                <w:rFonts w:cs="Calibri"/>
                <w:b/>
                <w:bCs/>
                <w:color w:val="000000"/>
                <w:sz w:val="15"/>
                <w:szCs w:val="15"/>
              </w:rPr>
              <w:t>,</w:t>
            </w:r>
            <w:r w:rsidRPr="003003C0">
              <w:rPr>
                <w:rFonts w:cs="Calibri"/>
                <w:b/>
                <w:bCs/>
                <w:color w:val="000000"/>
                <w:sz w:val="15"/>
                <w:szCs w:val="15"/>
              </w:rPr>
              <w:t>109</w:t>
            </w:r>
          </w:p>
        </w:tc>
        <w:tc>
          <w:tcPr>
            <w:tcW w:w="781" w:type="pct"/>
            <w:shd w:val="clear" w:color="auto" w:fill="auto"/>
            <w:noWrap/>
            <w:hideMark/>
          </w:tcPr>
          <w:p w14:paraId="07B13798" w14:textId="77777777" w:rsidR="004F64EF" w:rsidRPr="003003C0" w:rsidRDefault="004F64EF" w:rsidP="001F3C85">
            <w:pPr>
              <w:ind w:right="340"/>
              <w:jc w:val="right"/>
              <w:rPr>
                <w:rFonts w:cs="Calibri"/>
                <w:b/>
                <w:bCs/>
                <w:color w:val="000000"/>
                <w:sz w:val="15"/>
                <w:szCs w:val="15"/>
              </w:rPr>
            </w:pPr>
            <w:r w:rsidRPr="003003C0">
              <w:rPr>
                <w:rFonts w:cs="Calibri"/>
                <w:b/>
                <w:bCs/>
                <w:color w:val="000000"/>
                <w:sz w:val="15"/>
                <w:szCs w:val="15"/>
              </w:rPr>
              <w:t>125</w:t>
            </w:r>
          </w:p>
        </w:tc>
      </w:tr>
      <w:tr w:rsidR="004F64EF" w:rsidRPr="003003C0" w14:paraId="4ACFD13F" w14:textId="77777777" w:rsidTr="00265A38">
        <w:trPr>
          <w:cantSplit/>
        </w:trPr>
        <w:tc>
          <w:tcPr>
            <w:tcW w:w="859" w:type="pct"/>
            <w:shd w:val="clear" w:color="auto" w:fill="C9DED4"/>
            <w:noWrap/>
            <w:hideMark/>
          </w:tcPr>
          <w:p w14:paraId="21A43955" w14:textId="77777777" w:rsidR="004F64EF" w:rsidRPr="003003C0" w:rsidRDefault="004F64EF" w:rsidP="001F3C85">
            <w:pPr>
              <w:jc w:val="left"/>
              <w:rPr>
                <w:rFonts w:cs="Calibri"/>
                <w:color w:val="000000"/>
                <w:sz w:val="15"/>
                <w:szCs w:val="15"/>
              </w:rPr>
            </w:pPr>
            <w:r w:rsidRPr="003003C0">
              <w:rPr>
                <w:rFonts w:cs="Calibri"/>
                <w:color w:val="000000"/>
                <w:sz w:val="15"/>
                <w:szCs w:val="15"/>
              </w:rPr>
              <w:t>1005.10.00</w:t>
            </w:r>
          </w:p>
        </w:tc>
        <w:tc>
          <w:tcPr>
            <w:tcW w:w="781" w:type="pct"/>
            <w:shd w:val="clear" w:color="auto" w:fill="C9DED4"/>
            <w:noWrap/>
            <w:hideMark/>
          </w:tcPr>
          <w:p w14:paraId="34383B9C" w14:textId="77777777" w:rsidR="004F64EF" w:rsidRPr="003003C0" w:rsidRDefault="004F64EF" w:rsidP="001F3C85">
            <w:pPr>
              <w:jc w:val="center"/>
              <w:rPr>
                <w:rFonts w:cs="Calibri"/>
                <w:color w:val="000000"/>
                <w:sz w:val="15"/>
                <w:szCs w:val="15"/>
              </w:rPr>
            </w:pPr>
            <w:r w:rsidRPr="003003C0">
              <w:rPr>
                <w:rFonts w:cs="Calibri"/>
                <w:color w:val="000000"/>
                <w:sz w:val="15"/>
                <w:szCs w:val="15"/>
              </w:rPr>
              <w:t>0</w:t>
            </w:r>
          </w:p>
        </w:tc>
        <w:tc>
          <w:tcPr>
            <w:tcW w:w="704" w:type="pct"/>
            <w:shd w:val="clear" w:color="auto" w:fill="C9DED4"/>
            <w:noWrap/>
            <w:hideMark/>
          </w:tcPr>
          <w:p w14:paraId="6C539F51" w14:textId="77777777" w:rsidR="004F64EF" w:rsidRPr="003003C0" w:rsidRDefault="004F64EF" w:rsidP="001F3C85">
            <w:pPr>
              <w:jc w:val="center"/>
              <w:rPr>
                <w:rFonts w:cs="Calibri"/>
                <w:color w:val="000000"/>
                <w:sz w:val="15"/>
                <w:szCs w:val="15"/>
              </w:rPr>
            </w:pPr>
            <w:r w:rsidRPr="003003C0">
              <w:rPr>
                <w:rFonts w:cs="Calibri"/>
                <w:color w:val="000000"/>
                <w:sz w:val="15"/>
                <w:szCs w:val="15"/>
              </w:rPr>
              <w:t>0</w:t>
            </w:r>
          </w:p>
        </w:tc>
        <w:tc>
          <w:tcPr>
            <w:tcW w:w="937" w:type="pct"/>
            <w:shd w:val="clear" w:color="auto" w:fill="C9DED4"/>
            <w:noWrap/>
            <w:hideMark/>
          </w:tcPr>
          <w:p w14:paraId="5F13E9D9" w14:textId="77777777" w:rsidR="004F64EF" w:rsidRPr="003003C0" w:rsidRDefault="004F64EF" w:rsidP="001F3C85">
            <w:pPr>
              <w:ind w:right="454"/>
              <w:jc w:val="right"/>
              <w:rPr>
                <w:rFonts w:cs="Calibri"/>
                <w:color w:val="000000"/>
                <w:sz w:val="15"/>
                <w:szCs w:val="15"/>
              </w:rPr>
            </w:pPr>
          </w:p>
        </w:tc>
        <w:tc>
          <w:tcPr>
            <w:tcW w:w="938" w:type="pct"/>
            <w:shd w:val="clear" w:color="auto" w:fill="C9DED4"/>
            <w:noWrap/>
            <w:hideMark/>
          </w:tcPr>
          <w:p w14:paraId="19FF1AC0" w14:textId="77777777" w:rsidR="004F64EF" w:rsidRPr="003003C0" w:rsidRDefault="004F64EF" w:rsidP="001F3C85">
            <w:pPr>
              <w:tabs>
                <w:tab w:val="left" w:pos="886"/>
              </w:tabs>
              <w:ind w:right="454"/>
              <w:jc w:val="right"/>
              <w:rPr>
                <w:sz w:val="15"/>
                <w:szCs w:val="15"/>
              </w:rPr>
            </w:pPr>
          </w:p>
        </w:tc>
        <w:tc>
          <w:tcPr>
            <w:tcW w:w="781" w:type="pct"/>
            <w:shd w:val="clear" w:color="auto" w:fill="C9DED4"/>
            <w:noWrap/>
            <w:hideMark/>
          </w:tcPr>
          <w:p w14:paraId="6AB20752" w14:textId="77777777" w:rsidR="004F64EF" w:rsidRPr="003003C0" w:rsidRDefault="004F64EF" w:rsidP="001F3C85">
            <w:pPr>
              <w:ind w:right="340"/>
              <w:jc w:val="right"/>
              <w:rPr>
                <w:sz w:val="15"/>
                <w:szCs w:val="15"/>
              </w:rPr>
            </w:pPr>
          </w:p>
        </w:tc>
      </w:tr>
      <w:tr w:rsidR="004F64EF" w:rsidRPr="003003C0" w14:paraId="11F08BDA" w14:textId="77777777" w:rsidTr="00265A38">
        <w:trPr>
          <w:cantSplit/>
        </w:trPr>
        <w:tc>
          <w:tcPr>
            <w:tcW w:w="859" w:type="pct"/>
            <w:shd w:val="clear" w:color="auto" w:fill="auto"/>
            <w:noWrap/>
            <w:hideMark/>
          </w:tcPr>
          <w:p w14:paraId="219B2C6A" w14:textId="77777777" w:rsidR="004F64EF" w:rsidRPr="003003C0" w:rsidRDefault="004F64EF" w:rsidP="001F3C85">
            <w:pPr>
              <w:jc w:val="left"/>
              <w:rPr>
                <w:rFonts w:cs="Calibri"/>
                <w:color w:val="000000"/>
                <w:sz w:val="15"/>
                <w:szCs w:val="15"/>
              </w:rPr>
            </w:pPr>
            <w:r w:rsidRPr="003003C0">
              <w:rPr>
                <w:rFonts w:cs="Calibri"/>
                <w:color w:val="000000"/>
                <w:sz w:val="15"/>
                <w:szCs w:val="15"/>
              </w:rPr>
              <w:t>1005.90.00</w:t>
            </w:r>
          </w:p>
        </w:tc>
        <w:tc>
          <w:tcPr>
            <w:tcW w:w="781" w:type="pct"/>
            <w:shd w:val="clear" w:color="auto" w:fill="auto"/>
            <w:noWrap/>
            <w:hideMark/>
          </w:tcPr>
          <w:p w14:paraId="59039FC5" w14:textId="77777777" w:rsidR="004F64EF" w:rsidRPr="003003C0" w:rsidRDefault="004F64EF" w:rsidP="001F3C85">
            <w:pPr>
              <w:jc w:val="center"/>
              <w:rPr>
                <w:rFonts w:cs="Calibri"/>
                <w:color w:val="000000"/>
                <w:sz w:val="15"/>
                <w:szCs w:val="15"/>
              </w:rPr>
            </w:pPr>
            <w:r w:rsidRPr="003003C0">
              <w:rPr>
                <w:rFonts w:cs="Calibri"/>
                <w:color w:val="000000"/>
                <w:sz w:val="15"/>
                <w:szCs w:val="15"/>
              </w:rPr>
              <w:t>0</w:t>
            </w:r>
          </w:p>
        </w:tc>
        <w:tc>
          <w:tcPr>
            <w:tcW w:w="704" w:type="pct"/>
            <w:shd w:val="clear" w:color="auto" w:fill="auto"/>
            <w:noWrap/>
            <w:hideMark/>
          </w:tcPr>
          <w:p w14:paraId="7B152A6B" w14:textId="77777777" w:rsidR="004F64EF" w:rsidRPr="003003C0" w:rsidRDefault="004F64EF" w:rsidP="001F3C85">
            <w:pPr>
              <w:jc w:val="center"/>
              <w:rPr>
                <w:rFonts w:cs="Calibri"/>
                <w:color w:val="000000"/>
                <w:sz w:val="15"/>
                <w:szCs w:val="15"/>
              </w:rPr>
            </w:pPr>
            <w:r w:rsidRPr="003003C0">
              <w:rPr>
                <w:rFonts w:cs="Calibri"/>
                <w:color w:val="000000"/>
                <w:sz w:val="15"/>
                <w:szCs w:val="15"/>
              </w:rPr>
              <w:t>0</w:t>
            </w:r>
          </w:p>
        </w:tc>
        <w:tc>
          <w:tcPr>
            <w:tcW w:w="937" w:type="pct"/>
            <w:shd w:val="clear" w:color="auto" w:fill="auto"/>
            <w:noWrap/>
            <w:hideMark/>
          </w:tcPr>
          <w:p w14:paraId="7609539D" w14:textId="77777777" w:rsidR="004F64EF" w:rsidRPr="003003C0" w:rsidRDefault="004F64EF" w:rsidP="001F3C85">
            <w:pPr>
              <w:ind w:right="454"/>
              <w:jc w:val="right"/>
              <w:rPr>
                <w:rFonts w:cs="Calibri"/>
                <w:color w:val="000000"/>
                <w:sz w:val="15"/>
                <w:szCs w:val="15"/>
              </w:rPr>
            </w:pPr>
          </w:p>
        </w:tc>
        <w:tc>
          <w:tcPr>
            <w:tcW w:w="938" w:type="pct"/>
            <w:shd w:val="clear" w:color="auto" w:fill="auto"/>
            <w:noWrap/>
            <w:hideMark/>
          </w:tcPr>
          <w:p w14:paraId="5ED99AE8" w14:textId="77777777" w:rsidR="004F64EF" w:rsidRPr="003003C0" w:rsidRDefault="004F64EF" w:rsidP="001F3C85">
            <w:pPr>
              <w:tabs>
                <w:tab w:val="left" w:pos="886"/>
              </w:tabs>
              <w:ind w:right="454"/>
              <w:jc w:val="right"/>
              <w:rPr>
                <w:sz w:val="15"/>
                <w:szCs w:val="15"/>
              </w:rPr>
            </w:pPr>
          </w:p>
        </w:tc>
        <w:tc>
          <w:tcPr>
            <w:tcW w:w="781" w:type="pct"/>
            <w:shd w:val="clear" w:color="auto" w:fill="auto"/>
            <w:noWrap/>
            <w:hideMark/>
          </w:tcPr>
          <w:p w14:paraId="5D188D46" w14:textId="77777777" w:rsidR="004F64EF" w:rsidRPr="003003C0" w:rsidRDefault="004F64EF" w:rsidP="001F3C85">
            <w:pPr>
              <w:ind w:right="340"/>
              <w:jc w:val="right"/>
              <w:rPr>
                <w:sz w:val="15"/>
                <w:szCs w:val="15"/>
              </w:rPr>
            </w:pPr>
          </w:p>
        </w:tc>
      </w:tr>
      <w:tr w:rsidR="004F64EF" w:rsidRPr="003003C0" w14:paraId="7586EBE6" w14:textId="77777777" w:rsidTr="00265A38">
        <w:trPr>
          <w:cantSplit/>
        </w:trPr>
        <w:tc>
          <w:tcPr>
            <w:tcW w:w="859" w:type="pct"/>
            <w:shd w:val="clear" w:color="auto" w:fill="C9DED4"/>
            <w:noWrap/>
            <w:hideMark/>
          </w:tcPr>
          <w:p w14:paraId="5431E05E" w14:textId="77777777" w:rsidR="004F64EF" w:rsidRPr="003003C0" w:rsidRDefault="004F64EF" w:rsidP="001F3C85">
            <w:pPr>
              <w:jc w:val="left"/>
              <w:rPr>
                <w:rFonts w:cs="Calibri"/>
                <w:b/>
                <w:bCs/>
                <w:color w:val="000000"/>
                <w:sz w:val="15"/>
                <w:szCs w:val="15"/>
              </w:rPr>
            </w:pPr>
            <w:r>
              <w:rPr>
                <w:rFonts w:cs="Calibri"/>
                <w:b/>
                <w:bCs/>
                <w:color w:val="000000"/>
                <w:sz w:val="15"/>
                <w:szCs w:val="15"/>
              </w:rPr>
              <w:t>Rice</w:t>
            </w:r>
          </w:p>
        </w:tc>
        <w:tc>
          <w:tcPr>
            <w:tcW w:w="781" w:type="pct"/>
            <w:shd w:val="clear" w:color="auto" w:fill="C9DED4"/>
            <w:noWrap/>
            <w:hideMark/>
          </w:tcPr>
          <w:p w14:paraId="18795C81" w14:textId="77777777" w:rsidR="004F64EF" w:rsidRPr="003003C0" w:rsidRDefault="004F64EF" w:rsidP="001F3C85">
            <w:pPr>
              <w:rPr>
                <w:rFonts w:cs="Calibri"/>
                <w:b/>
                <w:bCs/>
                <w:color w:val="000000"/>
                <w:sz w:val="15"/>
                <w:szCs w:val="15"/>
              </w:rPr>
            </w:pPr>
          </w:p>
        </w:tc>
        <w:tc>
          <w:tcPr>
            <w:tcW w:w="704" w:type="pct"/>
            <w:shd w:val="clear" w:color="auto" w:fill="C9DED4"/>
            <w:noWrap/>
            <w:hideMark/>
          </w:tcPr>
          <w:p w14:paraId="02DE78FD" w14:textId="77777777" w:rsidR="004F64EF" w:rsidRPr="003003C0" w:rsidRDefault="004F64EF" w:rsidP="001F3C85">
            <w:pPr>
              <w:jc w:val="center"/>
              <w:rPr>
                <w:sz w:val="15"/>
                <w:szCs w:val="15"/>
              </w:rPr>
            </w:pPr>
          </w:p>
        </w:tc>
        <w:tc>
          <w:tcPr>
            <w:tcW w:w="937" w:type="pct"/>
            <w:shd w:val="clear" w:color="auto" w:fill="C9DED4"/>
            <w:noWrap/>
            <w:hideMark/>
          </w:tcPr>
          <w:p w14:paraId="2BD43743" w14:textId="77777777" w:rsidR="004F64EF" w:rsidRPr="003003C0" w:rsidRDefault="004F64EF" w:rsidP="001F3C85">
            <w:pPr>
              <w:ind w:right="454"/>
              <w:jc w:val="right"/>
              <w:rPr>
                <w:rFonts w:cs="Calibri"/>
                <w:b/>
                <w:bCs/>
                <w:color w:val="000000"/>
                <w:sz w:val="15"/>
                <w:szCs w:val="15"/>
              </w:rPr>
            </w:pPr>
            <w:r w:rsidRPr="003003C0">
              <w:rPr>
                <w:rFonts w:cs="Calibri"/>
                <w:b/>
                <w:bCs/>
                <w:color w:val="000000"/>
                <w:sz w:val="15"/>
                <w:szCs w:val="15"/>
              </w:rPr>
              <w:t>17</w:t>
            </w:r>
            <w:r>
              <w:rPr>
                <w:rFonts w:cs="Calibri"/>
                <w:b/>
                <w:bCs/>
                <w:color w:val="000000"/>
                <w:sz w:val="15"/>
                <w:szCs w:val="15"/>
              </w:rPr>
              <w:t>,</w:t>
            </w:r>
            <w:r w:rsidRPr="003003C0">
              <w:rPr>
                <w:rFonts w:cs="Calibri"/>
                <w:b/>
                <w:bCs/>
                <w:color w:val="000000"/>
                <w:sz w:val="15"/>
                <w:szCs w:val="15"/>
              </w:rPr>
              <w:t>810</w:t>
            </w:r>
          </w:p>
        </w:tc>
        <w:tc>
          <w:tcPr>
            <w:tcW w:w="938" w:type="pct"/>
            <w:shd w:val="clear" w:color="auto" w:fill="C9DED4"/>
            <w:noWrap/>
            <w:hideMark/>
          </w:tcPr>
          <w:p w14:paraId="0758C569" w14:textId="77777777" w:rsidR="004F64EF" w:rsidRPr="003003C0" w:rsidRDefault="004F64EF" w:rsidP="001F3C85">
            <w:pPr>
              <w:tabs>
                <w:tab w:val="left" w:pos="886"/>
              </w:tabs>
              <w:ind w:right="454"/>
              <w:jc w:val="right"/>
              <w:rPr>
                <w:rFonts w:cs="Calibri"/>
                <w:b/>
                <w:bCs/>
                <w:color w:val="000000"/>
                <w:sz w:val="15"/>
                <w:szCs w:val="15"/>
              </w:rPr>
            </w:pPr>
            <w:r w:rsidRPr="003003C0">
              <w:rPr>
                <w:rFonts w:cs="Calibri"/>
                <w:b/>
                <w:bCs/>
                <w:color w:val="000000"/>
                <w:sz w:val="15"/>
                <w:szCs w:val="15"/>
              </w:rPr>
              <w:t>16</w:t>
            </w:r>
            <w:r>
              <w:rPr>
                <w:rFonts w:cs="Calibri"/>
                <w:b/>
                <w:bCs/>
                <w:color w:val="000000"/>
                <w:sz w:val="15"/>
                <w:szCs w:val="15"/>
              </w:rPr>
              <w:t>,</w:t>
            </w:r>
            <w:r w:rsidRPr="003003C0">
              <w:rPr>
                <w:rFonts w:cs="Calibri"/>
                <w:b/>
                <w:bCs/>
                <w:color w:val="000000"/>
                <w:sz w:val="15"/>
                <w:szCs w:val="15"/>
              </w:rPr>
              <w:t>006</w:t>
            </w:r>
          </w:p>
        </w:tc>
        <w:tc>
          <w:tcPr>
            <w:tcW w:w="781" w:type="pct"/>
            <w:shd w:val="clear" w:color="auto" w:fill="C9DED4"/>
            <w:noWrap/>
            <w:hideMark/>
          </w:tcPr>
          <w:p w14:paraId="7399FCDF" w14:textId="77777777" w:rsidR="004F64EF" w:rsidRPr="003003C0" w:rsidRDefault="004F64EF" w:rsidP="001F3C85">
            <w:pPr>
              <w:ind w:right="340"/>
              <w:jc w:val="right"/>
              <w:rPr>
                <w:rFonts w:cs="Calibri"/>
                <w:b/>
                <w:bCs/>
                <w:color w:val="000000"/>
                <w:sz w:val="15"/>
                <w:szCs w:val="15"/>
              </w:rPr>
            </w:pPr>
            <w:r w:rsidRPr="003003C0">
              <w:rPr>
                <w:rFonts w:cs="Calibri"/>
                <w:b/>
                <w:bCs/>
                <w:color w:val="000000"/>
                <w:sz w:val="15"/>
                <w:szCs w:val="15"/>
              </w:rPr>
              <w:t>90</w:t>
            </w:r>
          </w:p>
        </w:tc>
      </w:tr>
      <w:tr w:rsidR="004F64EF" w:rsidRPr="003003C0" w14:paraId="7F3A1B53" w14:textId="77777777" w:rsidTr="00265A38">
        <w:trPr>
          <w:cantSplit/>
        </w:trPr>
        <w:tc>
          <w:tcPr>
            <w:tcW w:w="859" w:type="pct"/>
            <w:shd w:val="clear" w:color="auto" w:fill="auto"/>
            <w:noWrap/>
            <w:hideMark/>
          </w:tcPr>
          <w:p w14:paraId="5414BE2E" w14:textId="77777777" w:rsidR="004F64EF" w:rsidRPr="003003C0" w:rsidRDefault="004F64EF" w:rsidP="001F3C85">
            <w:pPr>
              <w:jc w:val="left"/>
              <w:rPr>
                <w:rFonts w:cs="Calibri"/>
                <w:color w:val="000000"/>
                <w:sz w:val="15"/>
                <w:szCs w:val="15"/>
              </w:rPr>
            </w:pPr>
            <w:r w:rsidRPr="003003C0">
              <w:rPr>
                <w:rFonts w:cs="Calibri"/>
                <w:color w:val="000000"/>
                <w:sz w:val="15"/>
                <w:szCs w:val="15"/>
              </w:rPr>
              <w:t>1006.10.00</w:t>
            </w:r>
          </w:p>
        </w:tc>
        <w:tc>
          <w:tcPr>
            <w:tcW w:w="781" w:type="pct"/>
            <w:shd w:val="clear" w:color="auto" w:fill="auto"/>
            <w:noWrap/>
            <w:hideMark/>
          </w:tcPr>
          <w:p w14:paraId="3AD0CCA5" w14:textId="77777777" w:rsidR="004F64EF" w:rsidRPr="003003C0" w:rsidRDefault="004F64EF" w:rsidP="001F3C85">
            <w:pPr>
              <w:jc w:val="center"/>
              <w:rPr>
                <w:rFonts w:cs="Calibri"/>
                <w:color w:val="000000"/>
                <w:sz w:val="15"/>
                <w:szCs w:val="15"/>
              </w:rPr>
            </w:pPr>
            <w:r w:rsidRPr="003003C0">
              <w:rPr>
                <w:rFonts w:cs="Calibri"/>
                <w:color w:val="000000"/>
                <w:sz w:val="15"/>
                <w:szCs w:val="15"/>
              </w:rPr>
              <w:t>14</w:t>
            </w:r>
          </w:p>
        </w:tc>
        <w:tc>
          <w:tcPr>
            <w:tcW w:w="704" w:type="pct"/>
            <w:shd w:val="clear" w:color="auto" w:fill="auto"/>
            <w:noWrap/>
            <w:hideMark/>
          </w:tcPr>
          <w:p w14:paraId="774798ED" w14:textId="77777777" w:rsidR="004F64EF" w:rsidRPr="003003C0" w:rsidRDefault="004F64EF" w:rsidP="001F3C85">
            <w:pPr>
              <w:jc w:val="center"/>
              <w:rPr>
                <w:rFonts w:cs="Calibri"/>
                <w:color w:val="000000"/>
                <w:sz w:val="15"/>
                <w:szCs w:val="15"/>
              </w:rPr>
            </w:pPr>
            <w:r w:rsidRPr="003003C0">
              <w:rPr>
                <w:rFonts w:cs="Calibri"/>
                <w:color w:val="000000"/>
                <w:sz w:val="15"/>
                <w:szCs w:val="15"/>
              </w:rPr>
              <w:t>99</w:t>
            </w:r>
          </w:p>
        </w:tc>
        <w:tc>
          <w:tcPr>
            <w:tcW w:w="937" w:type="pct"/>
            <w:shd w:val="clear" w:color="auto" w:fill="auto"/>
            <w:noWrap/>
            <w:hideMark/>
          </w:tcPr>
          <w:p w14:paraId="10C2A4C7" w14:textId="77777777" w:rsidR="004F64EF" w:rsidRPr="003003C0" w:rsidRDefault="004F64EF" w:rsidP="001F3C85">
            <w:pPr>
              <w:ind w:right="454"/>
              <w:jc w:val="right"/>
              <w:rPr>
                <w:rFonts w:cs="Calibri"/>
                <w:color w:val="000000"/>
                <w:sz w:val="15"/>
                <w:szCs w:val="15"/>
              </w:rPr>
            </w:pPr>
          </w:p>
        </w:tc>
        <w:tc>
          <w:tcPr>
            <w:tcW w:w="938" w:type="pct"/>
            <w:shd w:val="clear" w:color="auto" w:fill="auto"/>
            <w:noWrap/>
            <w:hideMark/>
          </w:tcPr>
          <w:p w14:paraId="16381055" w14:textId="77777777" w:rsidR="004F64EF" w:rsidRPr="003003C0" w:rsidRDefault="004F64EF" w:rsidP="001F3C85">
            <w:pPr>
              <w:tabs>
                <w:tab w:val="left" w:pos="886"/>
              </w:tabs>
              <w:ind w:right="454"/>
              <w:jc w:val="right"/>
              <w:rPr>
                <w:sz w:val="15"/>
                <w:szCs w:val="15"/>
              </w:rPr>
            </w:pPr>
          </w:p>
        </w:tc>
        <w:tc>
          <w:tcPr>
            <w:tcW w:w="781" w:type="pct"/>
            <w:shd w:val="clear" w:color="auto" w:fill="auto"/>
            <w:noWrap/>
            <w:hideMark/>
          </w:tcPr>
          <w:p w14:paraId="7FD73C88" w14:textId="77777777" w:rsidR="004F64EF" w:rsidRPr="003003C0" w:rsidRDefault="004F64EF" w:rsidP="001F3C85">
            <w:pPr>
              <w:ind w:right="340"/>
              <w:jc w:val="right"/>
              <w:rPr>
                <w:sz w:val="15"/>
                <w:szCs w:val="15"/>
              </w:rPr>
            </w:pPr>
          </w:p>
        </w:tc>
      </w:tr>
      <w:tr w:rsidR="004F64EF" w:rsidRPr="003003C0" w14:paraId="2380EC54" w14:textId="77777777" w:rsidTr="00265A38">
        <w:trPr>
          <w:cantSplit/>
        </w:trPr>
        <w:tc>
          <w:tcPr>
            <w:tcW w:w="859" w:type="pct"/>
            <w:shd w:val="clear" w:color="auto" w:fill="C9DED4"/>
            <w:noWrap/>
            <w:hideMark/>
          </w:tcPr>
          <w:p w14:paraId="73372AF9" w14:textId="77777777" w:rsidR="004F64EF" w:rsidRPr="003003C0" w:rsidRDefault="004F64EF" w:rsidP="001F3C85">
            <w:pPr>
              <w:jc w:val="left"/>
              <w:rPr>
                <w:rFonts w:cs="Calibri"/>
                <w:color w:val="000000"/>
                <w:sz w:val="15"/>
                <w:szCs w:val="15"/>
              </w:rPr>
            </w:pPr>
            <w:r w:rsidRPr="003003C0">
              <w:rPr>
                <w:rFonts w:cs="Calibri"/>
                <w:color w:val="000000"/>
                <w:sz w:val="15"/>
                <w:szCs w:val="15"/>
              </w:rPr>
              <w:t>1006.20.00</w:t>
            </w:r>
          </w:p>
        </w:tc>
        <w:tc>
          <w:tcPr>
            <w:tcW w:w="781" w:type="pct"/>
            <w:shd w:val="clear" w:color="auto" w:fill="C9DED4"/>
            <w:noWrap/>
            <w:hideMark/>
          </w:tcPr>
          <w:p w14:paraId="26787AFC" w14:textId="77777777" w:rsidR="004F64EF" w:rsidRPr="003003C0" w:rsidRDefault="004F64EF" w:rsidP="001F3C85">
            <w:pPr>
              <w:jc w:val="center"/>
              <w:rPr>
                <w:rFonts w:cs="Calibri"/>
                <w:color w:val="000000"/>
                <w:sz w:val="15"/>
                <w:szCs w:val="15"/>
              </w:rPr>
            </w:pPr>
            <w:r w:rsidRPr="003003C0">
              <w:rPr>
                <w:rFonts w:cs="Calibri"/>
                <w:color w:val="000000"/>
                <w:sz w:val="15"/>
                <w:szCs w:val="15"/>
              </w:rPr>
              <w:t>20</w:t>
            </w:r>
          </w:p>
        </w:tc>
        <w:tc>
          <w:tcPr>
            <w:tcW w:w="704" w:type="pct"/>
            <w:shd w:val="clear" w:color="auto" w:fill="C9DED4"/>
            <w:noWrap/>
            <w:hideMark/>
          </w:tcPr>
          <w:p w14:paraId="7712D801" w14:textId="77777777" w:rsidR="004F64EF" w:rsidRPr="003003C0" w:rsidRDefault="004F64EF" w:rsidP="001F3C85">
            <w:pPr>
              <w:jc w:val="center"/>
              <w:rPr>
                <w:rFonts w:cs="Calibri"/>
                <w:color w:val="000000"/>
                <w:sz w:val="15"/>
                <w:szCs w:val="15"/>
              </w:rPr>
            </w:pPr>
            <w:r w:rsidRPr="003003C0">
              <w:rPr>
                <w:rFonts w:cs="Calibri"/>
                <w:color w:val="000000"/>
                <w:sz w:val="15"/>
                <w:szCs w:val="15"/>
              </w:rPr>
              <w:t>99</w:t>
            </w:r>
          </w:p>
        </w:tc>
        <w:tc>
          <w:tcPr>
            <w:tcW w:w="937" w:type="pct"/>
            <w:shd w:val="clear" w:color="auto" w:fill="C9DED4"/>
            <w:noWrap/>
            <w:hideMark/>
          </w:tcPr>
          <w:p w14:paraId="28F5A2FD" w14:textId="77777777" w:rsidR="004F64EF" w:rsidRPr="003003C0" w:rsidRDefault="004F64EF" w:rsidP="001F3C85">
            <w:pPr>
              <w:ind w:right="454"/>
              <w:jc w:val="right"/>
              <w:rPr>
                <w:rFonts w:cs="Calibri"/>
                <w:color w:val="000000"/>
                <w:sz w:val="15"/>
                <w:szCs w:val="15"/>
              </w:rPr>
            </w:pPr>
          </w:p>
        </w:tc>
        <w:tc>
          <w:tcPr>
            <w:tcW w:w="938" w:type="pct"/>
            <w:shd w:val="clear" w:color="auto" w:fill="C9DED4"/>
            <w:noWrap/>
            <w:hideMark/>
          </w:tcPr>
          <w:p w14:paraId="727A8ADD" w14:textId="77777777" w:rsidR="004F64EF" w:rsidRPr="003003C0" w:rsidRDefault="004F64EF" w:rsidP="001F3C85">
            <w:pPr>
              <w:tabs>
                <w:tab w:val="left" w:pos="886"/>
              </w:tabs>
              <w:ind w:right="454"/>
              <w:jc w:val="right"/>
              <w:rPr>
                <w:sz w:val="15"/>
                <w:szCs w:val="15"/>
              </w:rPr>
            </w:pPr>
          </w:p>
        </w:tc>
        <w:tc>
          <w:tcPr>
            <w:tcW w:w="781" w:type="pct"/>
            <w:shd w:val="clear" w:color="auto" w:fill="C9DED4"/>
            <w:noWrap/>
            <w:hideMark/>
          </w:tcPr>
          <w:p w14:paraId="622E4103" w14:textId="77777777" w:rsidR="004F64EF" w:rsidRPr="003003C0" w:rsidRDefault="004F64EF" w:rsidP="001F3C85">
            <w:pPr>
              <w:ind w:right="340"/>
              <w:jc w:val="right"/>
              <w:rPr>
                <w:sz w:val="15"/>
                <w:szCs w:val="15"/>
              </w:rPr>
            </w:pPr>
          </w:p>
        </w:tc>
      </w:tr>
      <w:tr w:rsidR="004F64EF" w:rsidRPr="003003C0" w14:paraId="02A96D79" w14:textId="77777777" w:rsidTr="00265A38">
        <w:trPr>
          <w:cantSplit/>
        </w:trPr>
        <w:tc>
          <w:tcPr>
            <w:tcW w:w="859" w:type="pct"/>
            <w:shd w:val="clear" w:color="auto" w:fill="auto"/>
            <w:noWrap/>
            <w:hideMark/>
          </w:tcPr>
          <w:p w14:paraId="23F71CFF" w14:textId="77777777" w:rsidR="004F64EF" w:rsidRPr="003003C0" w:rsidRDefault="004F64EF" w:rsidP="001F3C85">
            <w:pPr>
              <w:jc w:val="left"/>
              <w:rPr>
                <w:rFonts w:cs="Calibri"/>
                <w:color w:val="000000"/>
                <w:sz w:val="15"/>
                <w:szCs w:val="15"/>
              </w:rPr>
            </w:pPr>
            <w:r w:rsidRPr="003003C0">
              <w:rPr>
                <w:rFonts w:cs="Calibri"/>
                <w:color w:val="000000"/>
                <w:sz w:val="15"/>
                <w:szCs w:val="15"/>
              </w:rPr>
              <w:t>1006.30.00</w:t>
            </w:r>
          </w:p>
        </w:tc>
        <w:tc>
          <w:tcPr>
            <w:tcW w:w="781" w:type="pct"/>
            <w:shd w:val="clear" w:color="auto" w:fill="auto"/>
            <w:noWrap/>
            <w:hideMark/>
          </w:tcPr>
          <w:p w14:paraId="5A202B3E" w14:textId="77777777" w:rsidR="004F64EF" w:rsidRPr="003003C0" w:rsidRDefault="004F64EF" w:rsidP="001F3C85">
            <w:pPr>
              <w:jc w:val="center"/>
              <w:rPr>
                <w:rFonts w:cs="Calibri"/>
                <w:color w:val="000000"/>
                <w:sz w:val="15"/>
                <w:szCs w:val="15"/>
              </w:rPr>
            </w:pPr>
            <w:r w:rsidRPr="003003C0">
              <w:rPr>
                <w:rFonts w:cs="Calibri"/>
                <w:color w:val="000000"/>
                <w:sz w:val="15"/>
                <w:szCs w:val="15"/>
              </w:rPr>
              <w:t>20</w:t>
            </w:r>
          </w:p>
        </w:tc>
        <w:tc>
          <w:tcPr>
            <w:tcW w:w="704" w:type="pct"/>
            <w:shd w:val="clear" w:color="auto" w:fill="auto"/>
            <w:noWrap/>
            <w:hideMark/>
          </w:tcPr>
          <w:p w14:paraId="1F27C3BD" w14:textId="77777777" w:rsidR="004F64EF" w:rsidRPr="003003C0" w:rsidRDefault="004F64EF" w:rsidP="001F3C85">
            <w:pPr>
              <w:jc w:val="center"/>
              <w:rPr>
                <w:rFonts w:cs="Calibri"/>
                <w:color w:val="000000"/>
                <w:sz w:val="15"/>
                <w:szCs w:val="15"/>
              </w:rPr>
            </w:pPr>
            <w:r w:rsidRPr="003003C0">
              <w:rPr>
                <w:rFonts w:cs="Calibri"/>
                <w:color w:val="000000"/>
                <w:sz w:val="15"/>
                <w:szCs w:val="15"/>
              </w:rPr>
              <w:t>99</w:t>
            </w:r>
          </w:p>
        </w:tc>
        <w:tc>
          <w:tcPr>
            <w:tcW w:w="937" w:type="pct"/>
            <w:shd w:val="clear" w:color="auto" w:fill="auto"/>
            <w:noWrap/>
            <w:hideMark/>
          </w:tcPr>
          <w:p w14:paraId="538CF7CF" w14:textId="77777777" w:rsidR="004F64EF" w:rsidRPr="003003C0" w:rsidRDefault="004F64EF" w:rsidP="001F3C85">
            <w:pPr>
              <w:ind w:right="454"/>
              <w:jc w:val="right"/>
              <w:rPr>
                <w:rFonts w:cs="Calibri"/>
                <w:color w:val="000000"/>
                <w:sz w:val="15"/>
                <w:szCs w:val="15"/>
              </w:rPr>
            </w:pPr>
          </w:p>
        </w:tc>
        <w:tc>
          <w:tcPr>
            <w:tcW w:w="938" w:type="pct"/>
            <w:shd w:val="clear" w:color="auto" w:fill="auto"/>
            <w:noWrap/>
            <w:hideMark/>
          </w:tcPr>
          <w:p w14:paraId="620BAB58" w14:textId="77777777" w:rsidR="004F64EF" w:rsidRPr="003003C0" w:rsidRDefault="004F64EF" w:rsidP="001F3C85">
            <w:pPr>
              <w:tabs>
                <w:tab w:val="left" w:pos="886"/>
              </w:tabs>
              <w:ind w:right="454"/>
              <w:jc w:val="right"/>
              <w:rPr>
                <w:sz w:val="15"/>
                <w:szCs w:val="15"/>
              </w:rPr>
            </w:pPr>
          </w:p>
        </w:tc>
        <w:tc>
          <w:tcPr>
            <w:tcW w:w="781" w:type="pct"/>
            <w:shd w:val="clear" w:color="auto" w:fill="auto"/>
            <w:noWrap/>
            <w:hideMark/>
          </w:tcPr>
          <w:p w14:paraId="74B9456D" w14:textId="77777777" w:rsidR="004F64EF" w:rsidRPr="003003C0" w:rsidRDefault="004F64EF" w:rsidP="001F3C85">
            <w:pPr>
              <w:ind w:right="340"/>
              <w:jc w:val="right"/>
              <w:rPr>
                <w:sz w:val="15"/>
                <w:szCs w:val="15"/>
              </w:rPr>
            </w:pPr>
          </w:p>
        </w:tc>
      </w:tr>
      <w:tr w:rsidR="004F64EF" w:rsidRPr="003003C0" w14:paraId="1F6443AA" w14:textId="77777777" w:rsidTr="00265A38">
        <w:trPr>
          <w:cantSplit/>
        </w:trPr>
        <w:tc>
          <w:tcPr>
            <w:tcW w:w="859" w:type="pct"/>
            <w:shd w:val="clear" w:color="auto" w:fill="C9DED4"/>
            <w:noWrap/>
            <w:hideMark/>
          </w:tcPr>
          <w:p w14:paraId="38D96CA3" w14:textId="77777777" w:rsidR="004F64EF" w:rsidRPr="003003C0" w:rsidRDefault="004F64EF" w:rsidP="001F3C85">
            <w:pPr>
              <w:jc w:val="left"/>
              <w:rPr>
                <w:rFonts w:cs="Calibri"/>
                <w:color w:val="000000"/>
                <w:sz w:val="15"/>
                <w:szCs w:val="15"/>
              </w:rPr>
            </w:pPr>
            <w:r w:rsidRPr="003003C0">
              <w:rPr>
                <w:rFonts w:cs="Calibri"/>
                <w:color w:val="000000"/>
                <w:sz w:val="15"/>
                <w:szCs w:val="15"/>
              </w:rPr>
              <w:t>1006.40.00</w:t>
            </w:r>
          </w:p>
        </w:tc>
        <w:tc>
          <w:tcPr>
            <w:tcW w:w="781" w:type="pct"/>
            <w:shd w:val="clear" w:color="auto" w:fill="C9DED4"/>
            <w:noWrap/>
            <w:hideMark/>
          </w:tcPr>
          <w:p w14:paraId="08296D1B" w14:textId="77777777" w:rsidR="004F64EF" w:rsidRPr="003003C0" w:rsidRDefault="004F64EF" w:rsidP="001F3C85">
            <w:pPr>
              <w:jc w:val="center"/>
              <w:rPr>
                <w:rFonts w:cs="Calibri"/>
                <w:color w:val="000000"/>
                <w:sz w:val="15"/>
                <w:szCs w:val="15"/>
              </w:rPr>
            </w:pPr>
            <w:r w:rsidRPr="003003C0">
              <w:rPr>
                <w:rFonts w:cs="Calibri"/>
                <w:color w:val="000000"/>
                <w:sz w:val="15"/>
                <w:szCs w:val="15"/>
              </w:rPr>
              <w:t>20</w:t>
            </w:r>
          </w:p>
        </w:tc>
        <w:tc>
          <w:tcPr>
            <w:tcW w:w="704" w:type="pct"/>
            <w:shd w:val="clear" w:color="auto" w:fill="C9DED4"/>
            <w:noWrap/>
            <w:hideMark/>
          </w:tcPr>
          <w:p w14:paraId="384B5EA7" w14:textId="77777777" w:rsidR="004F64EF" w:rsidRPr="003003C0" w:rsidRDefault="004F64EF" w:rsidP="001F3C85">
            <w:pPr>
              <w:jc w:val="center"/>
              <w:rPr>
                <w:rFonts w:cs="Calibri"/>
                <w:color w:val="000000"/>
                <w:sz w:val="15"/>
                <w:szCs w:val="15"/>
              </w:rPr>
            </w:pPr>
            <w:r w:rsidRPr="003003C0">
              <w:rPr>
                <w:rFonts w:cs="Calibri"/>
                <w:color w:val="000000"/>
                <w:sz w:val="15"/>
                <w:szCs w:val="15"/>
              </w:rPr>
              <w:t>99</w:t>
            </w:r>
          </w:p>
        </w:tc>
        <w:tc>
          <w:tcPr>
            <w:tcW w:w="937" w:type="pct"/>
            <w:shd w:val="clear" w:color="auto" w:fill="C9DED4"/>
            <w:noWrap/>
            <w:hideMark/>
          </w:tcPr>
          <w:p w14:paraId="3E7B0F33" w14:textId="77777777" w:rsidR="004F64EF" w:rsidRPr="003003C0" w:rsidRDefault="004F64EF" w:rsidP="001F3C85">
            <w:pPr>
              <w:ind w:right="454"/>
              <w:jc w:val="right"/>
              <w:rPr>
                <w:rFonts w:cs="Calibri"/>
                <w:color w:val="000000"/>
                <w:sz w:val="15"/>
                <w:szCs w:val="15"/>
              </w:rPr>
            </w:pPr>
          </w:p>
        </w:tc>
        <w:tc>
          <w:tcPr>
            <w:tcW w:w="938" w:type="pct"/>
            <w:shd w:val="clear" w:color="auto" w:fill="C9DED4"/>
            <w:noWrap/>
            <w:hideMark/>
          </w:tcPr>
          <w:p w14:paraId="1202EBE6" w14:textId="77777777" w:rsidR="004F64EF" w:rsidRPr="003003C0" w:rsidRDefault="004F64EF" w:rsidP="001F3C85">
            <w:pPr>
              <w:tabs>
                <w:tab w:val="left" w:pos="886"/>
              </w:tabs>
              <w:ind w:right="454"/>
              <w:jc w:val="right"/>
              <w:rPr>
                <w:sz w:val="15"/>
                <w:szCs w:val="15"/>
              </w:rPr>
            </w:pPr>
          </w:p>
        </w:tc>
        <w:tc>
          <w:tcPr>
            <w:tcW w:w="781" w:type="pct"/>
            <w:shd w:val="clear" w:color="auto" w:fill="C9DED4"/>
            <w:noWrap/>
            <w:hideMark/>
          </w:tcPr>
          <w:p w14:paraId="15209E44" w14:textId="77777777" w:rsidR="004F64EF" w:rsidRPr="003003C0" w:rsidRDefault="004F64EF" w:rsidP="001F3C85">
            <w:pPr>
              <w:ind w:right="340"/>
              <w:jc w:val="right"/>
              <w:rPr>
                <w:sz w:val="15"/>
                <w:szCs w:val="15"/>
              </w:rPr>
            </w:pPr>
          </w:p>
        </w:tc>
      </w:tr>
      <w:tr w:rsidR="004F64EF" w:rsidRPr="003003C0" w14:paraId="52BAB0DE" w14:textId="77777777" w:rsidTr="00265A38">
        <w:trPr>
          <w:cantSplit/>
        </w:trPr>
        <w:tc>
          <w:tcPr>
            <w:tcW w:w="859" w:type="pct"/>
            <w:shd w:val="clear" w:color="auto" w:fill="auto"/>
            <w:noWrap/>
            <w:hideMark/>
          </w:tcPr>
          <w:p w14:paraId="648483A2" w14:textId="77777777" w:rsidR="004F64EF" w:rsidRPr="003003C0" w:rsidRDefault="004F64EF" w:rsidP="001F3C85">
            <w:pPr>
              <w:jc w:val="left"/>
              <w:rPr>
                <w:rFonts w:cs="Calibri"/>
                <w:b/>
                <w:bCs/>
                <w:color w:val="000000"/>
                <w:sz w:val="15"/>
                <w:szCs w:val="15"/>
              </w:rPr>
            </w:pPr>
            <w:r>
              <w:rPr>
                <w:rFonts w:cs="Calibri"/>
                <w:b/>
                <w:bCs/>
                <w:color w:val="000000"/>
                <w:sz w:val="15"/>
                <w:szCs w:val="15"/>
              </w:rPr>
              <w:t>Sugar</w:t>
            </w:r>
          </w:p>
        </w:tc>
        <w:tc>
          <w:tcPr>
            <w:tcW w:w="781" w:type="pct"/>
            <w:shd w:val="clear" w:color="auto" w:fill="auto"/>
            <w:noWrap/>
            <w:hideMark/>
          </w:tcPr>
          <w:p w14:paraId="4ABAC481" w14:textId="77777777" w:rsidR="004F64EF" w:rsidRPr="003003C0" w:rsidRDefault="004F64EF" w:rsidP="001F3C85">
            <w:pPr>
              <w:rPr>
                <w:rFonts w:cs="Calibri"/>
                <w:b/>
                <w:bCs/>
                <w:color w:val="000000"/>
                <w:sz w:val="15"/>
                <w:szCs w:val="15"/>
              </w:rPr>
            </w:pPr>
          </w:p>
        </w:tc>
        <w:tc>
          <w:tcPr>
            <w:tcW w:w="704" w:type="pct"/>
            <w:shd w:val="clear" w:color="auto" w:fill="auto"/>
            <w:noWrap/>
            <w:hideMark/>
          </w:tcPr>
          <w:p w14:paraId="7A115CDB" w14:textId="77777777" w:rsidR="004F64EF" w:rsidRPr="003003C0" w:rsidRDefault="004F64EF" w:rsidP="001F3C85">
            <w:pPr>
              <w:jc w:val="center"/>
              <w:rPr>
                <w:sz w:val="15"/>
                <w:szCs w:val="15"/>
              </w:rPr>
            </w:pPr>
          </w:p>
        </w:tc>
        <w:tc>
          <w:tcPr>
            <w:tcW w:w="937" w:type="pct"/>
            <w:shd w:val="clear" w:color="auto" w:fill="auto"/>
            <w:noWrap/>
            <w:hideMark/>
          </w:tcPr>
          <w:p w14:paraId="07242F27" w14:textId="77777777" w:rsidR="004F64EF" w:rsidRPr="003003C0" w:rsidRDefault="004F64EF" w:rsidP="001F3C85">
            <w:pPr>
              <w:ind w:right="454"/>
              <w:jc w:val="right"/>
              <w:rPr>
                <w:rFonts w:cs="Calibri"/>
                <w:b/>
                <w:bCs/>
                <w:color w:val="000000"/>
                <w:sz w:val="15"/>
                <w:szCs w:val="15"/>
              </w:rPr>
            </w:pPr>
            <w:r w:rsidRPr="003003C0">
              <w:rPr>
                <w:rFonts w:cs="Calibri"/>
                <w:b/>
                <w:bCs/>
                <w:color w:val="000000"/>
                <w:sz w:val="15"/>
                <w:szCs w:val="15"/>
              </w:rPr>
              <w:t>30</w:t>
            </w:r>
            <w:r>
              <w:rPr>
                <w:rFonts w:cs="Calibri"/>
                <w:b/>
                <w:bCs/>
                <w:color w:val="000000"/>
                <w:sz w:val="15"/>
                <w:szCs w:val="15"/>
              </w:rPr>
              <w:t>,</w:t>
            </w:r>
            <w:r w:rsidRPr="003003C0">
              <w:rPr>
                <w:rFonts w:cs="Calibri"/>
                <w:b/>
                <w:bCs/>
                <w:color w:val="000000"/>
                <w:sz w:val="15"/>
                <w:szCs w:val="15"/>
              </w:rPr>
              <w:t>000</w:t>
            </w:r>
          </w:p>
        </w:tc>
        <w:tc>
          <w:tcPr>
            <w:tcW w:w="938" w:type="pct"/>
            <w:shd w:val="clear" w:color="auto" w:fill="auto"/>
            <w:noWrap/>
            <w:hideMark/>
          </w:tcPr>
          <w:p w14:paraId="1231ACBC" w14:textId="77777777" w:rsidR="004F64EF" w:rsidRPr="003003C0" w:rsidRDefault="004F64EF" w:rsidP="001F3C85">
            <w:pPr>
              <w:tabs>
                <w:tab w:val="left" w:pos="886"/>
              </w:tabs>
              <w:ind w:right="454"/>
              <w:jc w:val="right"/>
              <w:rPr>
                <w:rFonts w:cs="Calibri"/>
                <w:b/>
                <w:bCs/>
                <w:color w:val="000000"/>
                <w:sz w:val="15"/>
                <w:szCs w:val="15"/>
              </w:rPr>
            </w:pPr>
            <w:r w:rsidRPr="003003C0">
              <w:rPr>
                <w:rFonts w:cs="Calibri"/>
                <w:b/>
                <w:bCs/>
                <w:color w:val="000000"/>
                <w:sz w:val="15"/>
                <w:szCs w:val="15"/>
              </w:rPr>
              <w:t>50</w:t>
            </w:r>
          </w:p>
        </w:tc>
        <w:tc>
          <w:tcPr>
            <w:tcW w:w="781" w:type="pct"/>
            <w:shd w:val="clear" w:color="auto" w:fill="auto"/>
            <w:noWrap/>
            <w:hideMark/>
          </w:tcPr>
          <w:p w14:paraId="16BC594E" w14:textId="77777777" w:rsidR="004F64EF" w:rsidRPr="003003C0" w:rsidRDefault="004F64EF" w:rsidP="001F3C85">
            <w:pPr>
              <w:ind w:right="340"/>
              <w:jc w:val="right"/>
              <w:rPr>
                <w:rFonts w:cs="Calibri"/>
                <w:b/>
                <w:bCs/>
                <w:color w:val="000000"/>
                <w:sz w:val="15"/>
                <w:szCs w:val="15"/>
              </w:rPr>
            </w:pPr>
            <w:r w:rsidRPr="003003C0">
              <w:rPr>
                <w:rFonts w:cs="Calibri"/>
                <w:b/>
                <w:bCs/>
                <w:color w:val="000000"/>
                <w:sz w:val="15"/>
                <w:szCs w:val="15"/>
              </w:rPr>
              <w:t>0</w:t>
            </w:r>
          </w:p>
        </w:tc>
      </w:tr>
      <w:tr w:rsidR="004F64EF" w:rsidRPr="003003C0" w14:paraId="6C648D06" w14:textId="77777777" w:rsidTr="00265A38">
        <w:trPr>
          <w:cantSplit/>
        </w:trPr>
        <w:tc>
          <w:tcPr>
            <w:tcW w:w="859" w:type="pct"/>
            <w:shd w:val="clear" w:color="auto" w:fill="C9DED4"/>
            <w:noWrap/>
            <w:hideMark/>
          </w:tcPr>
          <w:p w14:paraId="5F2022F1" w14:textId="77777777" w:rsidR="004F64EF" w:rsidRPr="003003C0" w:rsidRDefault="004F64EF" w:rsidP="001F3C85">
            <w:pPr>
              <w:jc w:val="left"/>
              <w:rPr>
                <w:rFonts w:cs="Calibri"/>
                <w:color w:val="000000"/>
                <w:sz w:val="15"/>
                <w:szCs w:val="15"/>
              </w:rPr>
            </w:pPr>
            <w:r w:rsidRPr="003003C0">
              <w:rPr>
                <w:rFonts w:cs="Calibri"/>
                <w:color w:val="000000"/>
                <w:sz w:val="15"/>
                <w:szCs w:val="15"/>
              </w:rPr>
              <w:t>1701.12.00</w:t>
            </w:r>
          </w:p>
        </w:tc>
        <w:tc>
          <w:tcPr>
            <w:tcW w:w="781" w:type="pct"/>
            <w:shd w:val="clear" w:color="auto" w:fill="C9DED4"/>
            <w:noWrap/>
            <w:hideMark/>
          </w:tcPr>
          <w:p w14:paraId="6EE95FC6" w14:textId="77777777" w:rsidR="004F64EF" w:rsidRPr="003003C0" w:rsidRDefault="004F64EF" w:rsidP="001F3C85">
            <w:pPr>
              <w:jc w:val="center"/>
              <w:rPr>
                <w:rFonts w:cs="Calibri"/>
                <w:color w:val="000000"/>
                <w:sz w:val="15"/>
                <w:szCs w:val="15"/>
              </w:rPr>
            </w:pPr>
            <w:r w:rsidRPr="003003C0">
              <w:rPr>
                <w:rFonts w:cs="Calibri"/>
                <w:color w:val="000000"/>
                <w:sz w:val="15"/>
                <w:szCs w:val="15"/>
              </w:rPr>
              <w:t>20</w:t>
            </w:r>
          </w:p>
        </w:tc>
        <w:tc>
          <w:tcPr>
            <w:tcW w:w="704" w:type="pct"/>
            <w:shd w:val="clear" w:color="auto" w:fill="C9DED4"/>
            <w:noWrap/>
            <w:hideMark/>
          </w:tcPr>
          <w:p w14:paraId="0A0C222C" w14:textId="77777777" w:rsidR="004F64EF" w:rsidRPr="003003C0" w:rsidRDefault="004F64EF" w:rsidP="001F3C85">
            <w:pPr>
              <w:jc w:val="center"/>
              <w:rPr>
                <w:rFonts w:cs="Calibri"/>
                <w:color w:val="000000"/>
                <w:sz w:val="15"/>
                <w:szCs w:val="15"/>
              </w:rPr>
            </w:pPr>
            <w:r w:rsidRPr="003003C0">
              <w:rPr>
                <w:rFonts w:cs="Calibri"/>
                <w:color w:val="000000"/>
                <w:sz w:val="15"/>
                <w:szCs w:val="15"/>
              </w:rPr>
              <w:t>85</w:t>
            </w:r>
          </w:p>
        </w:tc>
        <w:tc>
          <w:tcPr>
            <w:tcW w:w="937" w:type="pct"/>
            <w:shd w:val="clear" w:color="auto" w:fill="C9DED4"/>
            <w:noWrap/>
            <w:hideMark/>
          </w:tcPr>
          <w:p w14:paraId="0E87B38D" w14:textId="77777777" w:rsidR="004F64EF" w:rsidRPr="003003C0" w:rsidRDefault="004F64EF" w:rsidP="001F3C85">
            <w:pPr>
              <w:ind w:right="454"/>
              <w:jc w:val="right"/>
              <w:rPr>
                <w:rFonts w:cs="Calibri"/>
                <w:color w:val="000000"/>
                <w:sz w:val="15"/>
                <w:szCs w:val="15"/>
              </w:rPr>
            </w:pPr>
          </w:p>
        </w:tc>
        <w:tc>
          <w:tcPr>
            <w:tcW w:w="938" w:type="pct"/>
            <w:shd w:val="clear" w:color="auto" w:fill="C9DED4"/>
            <w:noWrap/>
            <w:hideMark/>
          </w:tcPr>
          <w:p w14:paraId="06FFD93B" w14:textId="77777777" w:rsidR="004F64EF" w:rsidRPr="003003C0" w:rsidRDefault="004F64EF" w:rsidP="001F3C85">
            <w:pPr>
              <w:tabs>
                <w:tab w:val="left" w:pos="886"/>
              </w:tabs>
              <w:ind w:right="454"/>
              <w:jc w:val="right"/>
              <w:rPr>
                <w:sz w:val="15"/>
                <w:szCs w:val="15"/>
              </w:rPr>
            </w:pPr>
          </w:p>
        </w:tc>
        <w:tc>
          <w:tcPr>
            <w:tcW w:w="781" w:type="pct"/>
            <w:shd w:val="clear" w:color="auto" w:fill="C9DED4"/>
            <w:noWrap/>
            <w:hideMark/>
          </w:tcPr>
          <w:p w14:paraId="203D57F8" w14:textId="77777777" w:rsidR="004F64EF" w:rsidRPr="003003C0" w:rsidRDefault="004F64EF" w:rsidP="001F3C85">
            <w:pPr>
              <w:ind w:right="340"/>
              <w:jc w:val="right"/>
              <w:rPr>
                <w:sz w:val="15"/>
                <w:szCs w:val="15"/>
              </w:rPr>
            </w:pPr>
          </w:p>
        </w:tc>
      </w:tr>
      <w:tr w:rsidR="004F64EF" w:rsidRPr="003003C0" w14:paraId="3E80CA4C" w14:textId="77777777" w:rsidTr="00265A38">
        <w:trPr>
          <w:cantSplit/>
        </w:trPr>
        <w:tc>
          <w:tcPr>
            <w:tcW w:w="859" w:type="pct"/>
            <w:shd w:val="clear" w:color="auto" w:fill="auto"/>
            <w:noWrap/>
            <w:hideMark/>
          </w:tcPr>
          <w:p w14:paraId="68830767" w14:textId="77777777" w:rsidR="004F64EF" w:rsidRPr="003003C0" w:rsidRDefault="004F64EF" w:rsidP="001F3C85">
            <w:pPr>
              <w:jc w:val="left"/>
              <w:rPr>
                <w:rFonts w:cs="Calibri"/>
                <w:color w:val="000000"/>
                <w:sz w:val="15"/>
                <w:szCs w:val="15"/>
              </w:rPr>
            </w:pPr>
            <w:r w:rsidRPr="003003C0">
              <w:rPr>
                <w:rFonts w:cs="Calibri"/>
                <w:color w:val="000000"/>
                <w:sz w:val="15"/>
                <w:szCs w:val="15"/>
              </w:rPr>
              <w:t>1701.13.00</w:t>
            </w:r>
          </w:p>
        </w:tc>
        <w:tc>
          <w:tcPr>
            <w:tcW w:w="781" w:type="pct"/>
            <w:shd w:val="clear" w:color="auto" w:fill="auto"/>
            <w:noWrap/>
            <w:hideMark/>
          </w:tcPr>
          <w:p w14:paraId="05BFEDBD" w14:textId="77777777" w:rsidR="004F64EF" w:rsidRPr="003003C0" w:rsidRDefault="004F64EF" w:rsidP="001F3C85">
            <w:pPr>
              <w:jc w:val="center"/>
              <w:rPr>
                <w:rFonts w:cs="Calibri"/>
                <w:color w:val="000000"/>
                <w:sz w:val="15"/>
                <w:szCs w:val="15"/>
              </w:rPr>
            </w:pPr>
            <w:r w:rsidRPr="003003C0">
              <w:rPr>
                <w:rFonts w:cs="Calibri"/>
                <w:color w:val="000000"/>
                <w:sz w:val="15"/>
                <w:szCs w:val="15"/>
              </w:rPr>
              <w:t>14</w:t>
            </w:r>
          </w:p>
        </w:tc>
        <w:tc>
          <w:tcPr>
            <w:tcW w:w="704" w:type="pct"/>
            <w:shd w:val="clear" w:color="auto" w:fill="auto"/>
            <w:noWrap/>
            <w:hideMark/>
          </w:tcPr>
          <w:p w14:paraId="2F100DAE" w14:textId="77777777" w:rsidR="004F64EF" w:rsidRPr="003003C0" w:rsidRDefault="004F64EF" w:rsidP="001F3C85">
            <w:pPr>
              <w:jc w:val="center"/>
              <w:rPr>
                <w:rFonts w:cs="Calibri"/>
                <w:color w:val="000000"/>
                <w:sz w:val="15"/>
                <w:szCs w:val="15"/>
              </w:rPr>
            </w:pPr>
            <w:r w:rsidRPr="003003C0">
              <w:rPr>
                <w:rFonts w:cs="Calibri"/>
                <w:color w:val="000000"/>
                <w:sz w:val="15"/>
                <w:szCs w:val="15"/>
              </w:rPr>
              <w:t>85</w:t>
            </w:r>
          </w:p>
        </w:tc>
        <w:tc>
          <w:tcPr>
            <w:tcW w:w="937" w:type="pct"/>
            <w:shd w:val="clear" w:color="auto" w:fill="auto"/>
            <w:noWrap/>
            <w:hideMark/>
          </w:tcPr>
          <w:p w14:paraId="15E99186" w14:textId="77777777" w:rsidR="004F64EF" w:rsidRPr="003003C0" w:rsidRDefault="004F64EF" w:rsidP="001F3C85">
            <w:pPr>
              <w:ind w:right="454"/>
              <w:jc w:val="right"/>
              <w:rPr>
                <w:rFonts w:cs="Calibri"/>
                <w:color w:val="000000"/>
                <w:sz w:val="15"/>
                <w:szCs w:val="15"/>
              </w:rPr>
            </w:pPr>
          </w:p>
        </w:tc>
        <w:tc>
          <w:tcPr>
            <w:tcW w:w="938" w:type="pct"/>
            <w:shd w:val="clear" w:color="auto" w:fill="auto"/>
            <w:noWrap/>
            <w:hideMark/>
          </w:tcPr>
          <w:p w14:paraId="3C8075D5" w14:textId="77777777" w:rsidR="004F64EF" w:rsidRPr="003003C0" w:rsidRDefault="004F64EF" w:rsidP="001F3C85">
            <w:pPr>
              <w:tabs>
                <w:tab w:val="left" w:pos="886"/>
              </w:tabs>
              <w:ind w:right="454"/>
              <w:jc w:val="right"/>
              <w:rPr>
                <w:sz w:val="15"/>
                <w:szCs w:val="15"/>
              </w:rPr>
            </w:pPr>
          </w:p>
        </w:tc>
        <w:tc>
          <w:tcPr>
            <w:tcW w:w="781" w:type="pct"/>
            <w:shd w:val="clear" w:color="auto" w:fill="auto"/>
            <w:noWrap/>
            <w:hideMark/>
          </w:tcPr>
          <w:p w14:paraId="2735300A" w14:textId="77777777" w:rsidR="004F64EF" w:rsidRPr="003003C0" w:rsidRDefault="004F64EF" w:rsidP="001F3C85">
            <w:pPr>
              <w:ind w:right="340"/>
              <w:jc w:val="right"/>
              <w:rPr>
                <w:sz w:val="15"/>
                <w:szCs w:val="15"/>
              </w:rPr>
            </w:pPr>
          </w:p>
        </w:tc>
      </w:tr>
      <w:tr w:rsidR="004F64EF" w:rsidRPr="003003C0" w14:paraId="0FD9797D" w14:textId="77777777" w:rsidTr="00265A38">
        <w:trPr>
          <w:cantSplit/>
        </w:trPr>
        <w:tc>
          <w:tcPr>
            <w:tcW w:w="859" w:type="pct"/>
            <w:shd w:val="clear" w:color="auto" w:fill="C9DED4"/>
            <w:noWrap/>
            <w:hideMark/>
          </w:tcPr>
          <w:p w14:paraId="6DDD9734" w14:textId="77777777" w:rsidR="004F64EF" w:rsidRPr="003003C0" w:rsidRDefault="004F64EF" w:rsidP="001F3C85">
            <w:pPr>
              <w:jc w:val="left"/>
              <w:rPr>
                <w:rFonts w:cs="Calibri"/>
                <w:color w:val="000000"/>
                <w:sz w:val="15"/>
                <w:szCs w:val="15"/>
              </w:rPr>
            </w:pPr>
            <w:r w:rsidRPr="003003C0">
              <w:rPr>
                <w:rFonts w:cs="Calibri"/>
                <w:color w:val="000000"/>
                <w:sz w:val="15"/>
                <w:szCs w:val="15"/>
              </w:rPr>
              <w:t>1701.14.00</w:t>
            </w:r>
          </w:p>
        </w:tc>
        <w:tc>
          <w:tcPr>
            <w:tcW w:w="781" w:type="pct"/>
            <w:shd w:val="clear" w:color="auto" w:fill="C9DED4"/>
            <w:noWrap/>
            <w:hideMark/>
          </w:tcPr>
          <w:p w14:paraId="68FE9EAC" w14:textId="77777777" w:rsidR="004F64EF" w:rsidRPr="003003C0" w:rsidRDefault="004F64EF" w:rsidP="001F3C85">
            <w:pPr>
              <w:jc w:val="center"/>
              <w:rPr>
                <w:rFonts w:cs="Calibri"/>
                <w:color w:val="000000"/>
                <w:sz w:val="15"/>
                <w:szCs w:val="15"/>
              </w:rPr>
            </w:pPr>
            <w:r w:rsidRPr="003003C0">
              <w:rPr>
                <w:rFonts w:cs="Calibri"/>
                <w:color w:val="000000"/>
                <w:sz w:val="15"/>
                <w:szCs w:val="15"/>
              </w:rPr>
              <w:t>14</w:t>
            </w:r>
          </w:p>
        </w:tc>
        <w:tc>
          <w:tcPr>
            <w:tcW w:w="704" w:type="pct"/>
            <w:shd w:val="clear" w:color="auto" w:fill="C9DED4"/>
            <w:noWrap/>
            <w:hideMark/>
          </w:tcPr>
          <w:p w14:paraId="0B1A2533" w14:textId="77777777" w:rsidR="004F64EF" w:rsidRPr="003003C0" w:rsidRDefault="004F64EF" w:rsidP="001F3C85">
            <w:pPr>
              <w:jc w:val="center"/>
              <w:rPr>
                <w:rFonts w:cs="Calibri"/>
                <w:color w:val="000000"/>
                <w:sz w:val="15"/>
                <w:szCs w:val="15"/>
              </w:rPr>
            </w:pPr>
            <w:r w:rsidRPr="003003C0">
              <w:rPr>
                <w:rFonts w:cs="Calibri"/>
                <w:color w:val="000000"/>
                <w:sz w:val="15"/>
                <w:szCs w:val="15"/>
              </w:rPr>
              <w:t>85</w:t>
            </w:r>
          </w:p>
        </w:tc>
        <w:tc>
          <w:tcPr>
            <w:tcW w:w="937" w:type="pct"/>
            <w:shd w:val="clear" w:color="auto" w:fill="C9DED4"/>
            <w:noWrap/>
            <w:hideMark/>
          </w:tcPr>
          <w:p w14:paraId="0511BA8C" w14:textId="77777777" w:rsidR="004F64EF" w:rsidRPr="003003C0" w:rsidRDefault="004F64EF" w:rsidP="001F3C85">
            <w:pPr>
              <w:ind w:right="454"/>
              <w:jc w:val="right"/>
              <w:rPr>
                <w:rFonts w:cs="Calibri"/>
                <w:color w:val="000000"/>
                <w:sz w:val="15"/>
                <w:szCs w:val="15"/>
              </w:rPr>
            </w:pPr>
          </w:p>
        </w:tc>
        <w:tc>
          <w:tcPr>
            <w:tcW w:w="938" w:type="pct"/>
            <w:shd w:val="clear" w:color="auto" w:fill="C9DED4"/>
            <w:noWrap/>
            <w:hideMark/>
          </w:tcPr>
          <w:p w14:paraId="142E35FF" w14:textId="77777777" w:rsidR="004F64EF" w:rsidRPr="003003C0" w:rsidRDefault="004F64EF" w:rsidP="001F3C85">
            <w:pPr>
              <w:tabs>
                <w:tab w:val="left" w:pos="886"/>
              </w:tabs>
              <w:ind w:right="454"/>
              <w:jc w:val="right"/>
              <w:rPr>
                <w:sz w:val="15"/>
                <w:szCs w:val="15"/>
              </w:rPr>
            </w:pPr>
          </w:p>
        </w:tc>
        <w:tc>
          <w:tcPr>
            <w:tcW w:w="781" w:type="pct"/>
            <w:shd w:val="clear" w:color="auto" w:fill="C9DED4"/>
            <w:noWrap/>
            <w:hideMark/>
          </w:tcPr>
          <w:p w14:paraId="4BDA46C3" w14:textId="77777777" w:rsidR="004F64EF" w:rsidRPr="003003C0" w:rsidRDefault="004F64EF" w:rsidP="001F3C85">
            <w:pPr>
              <w:ind w:right="340"/>
              <w:jc w:val="right"/>
              <w:rPr>
                <w:sz w:val="15"/>
                <w:szCs w:val="15"/>
              </w:rPr>
            </w:pPr>
          </w:p>
        </w:tc>
      </w:tr>
      <w:tr w:rsidR="004F64EF" w:rsidRPr="003003C0" w14:paraId="549C950F" w14:textId="77777777" w:rsidTr="00265A38">
        <w:trPr>
          <w:cantSplit/>
        </w:trPr>
        <w:tc>
          <w:tcPr>
            <w:tcW w:w="859" w:type="pct"/>
            <w:shd w:val="clear" w:color="auto" w:fill="auto"/>
            <w:noWrap/>
            <w:hideMark/>
          </w:tcPr>
          <w:p w14:paraId="2516714D" w14:textId="77777777" w:rsidR="004F64EF" w:rsidRPr="003003C0" w:rsidRDefault="004F64EF" w:rsidP="001F3C85">
            <w:pPr>
              <w:jc w:val="left"/>
              <w:rPr>
                <w:rFonts w:cs="Calibri"/>
                <w:color w:val="000000"/>
                <w:sz w:val="15"/>
                <w:szCs w:val="15"/>
              </w:rPr>
            </w:pPr>
            <w:r w:rsidRPr="003003C0">
              <w:rPr>
                <w:rFonts w:cs="Calibri"/>
                <w:color w:val="000000"/>
                <w:sz w:val="15"/>
                <w:szCs w:val="15"/>
              </w:rPr>
              <w:t>1701.91.00</w:t>
            </w:r>
          </w:p>
        </w:tc>
        <w:tc>
          <w:tcPr>
            <w:tcW w:w="781" w:type="pct"/>
            <w:shd w:val="clear" w:color="auto" w:fill="auto"/>
            <w:noWrap/>
            <w:hideMark/>
          </w:tcPr>
          <w:p w14:paraId="690555FC" w14:textId="77777777" w:rsidR="004F64EF" w:rsidRPr="003003C0" w:rsidRDefault="004F64EF" w:rsidP="001F3C85">
            <w:pPr>
              <w:jc w:val="center"/>
              <w:rPr>
                <w:rFonts w:cs="Calibri"/>
                <w:color w:val="000000"/>
                <w:sz w:val="15"/>
                <w:szCs w:val="15"/>
              </w:rPr>
            </w:pPr>
            <w:r w:rsidRPr="003003C0">
              <w:rPr>
                <w:rFonts w:cs="Calibri"/>
                <w:color w:val="000000"/>
                <w:sz w:val="15"/>
                <w:szCs w:val="15"/>
              </w:rPr>
              <w:t>20</w:t>
            </w:r>
          </w:p>
        </w:tc>
        <w:tc>
          <w:tcPr>
            <w:tcW w:w="704" w:type="pct"/>
            <w:shd w:val="clear" w:color="auto" w:fill="auto"/>
            <w:noWrap/>
            <w:hideMark/>
          </w:tcPr>
          <w:p w14:paraId="0CC09B89" w14:textId="77777777" w:rsidR="004F64EF" w:rsidRPr="003003C0" w:rsidRDefault="004F64EF" w:rsidP="001F3C85">
            <w:pPr>
              <w:jc w:val="center"/>
              <w:rPr>
                <w:rFonts w:cs="Calibri"/>
                <w:color w:val="000000"/>
                <w:sz w:val="15"/>
                <w:szCs w:val="15"/>
              </w:rPr>
            </w:pPr>
            <w:r w:rsidRPr="003003C0">
              <w:rPr>
                <w:rFonts w:cs="Calibri"/>
                <w:color w:val="000000"/>
                <w:sz w:val="15"/>
                <w:szCs w:val="15"/>
              </w:rPr>
              <w:t>85</w:t>
            </w:r>
          </w:p>
        </w:tc>
        <w:tc>
          <w:tcPr>
            <w:tcW w:w="937" w:type="pct"/>
            <w:shd w:val="clear" w:color="auto" w:fill="auto"/>
            <w:noWrap/>
            <w:hideMark/>
          </w:tcPr>
          <w:p w14:paraId="541B9B54" w14:textId="77777777" w:rsidR="004F64EF" w:rsidRPr="003003C0" w:rsidRDefault="004F64EF" w:rsidP="001F3C85">
            <w:pPr>
              <w:ind w:right="454"/>
              <w:jc w:val="right"/>
              <w:rPr>
                <w:rFonts w:cs="Calibri"/>
                <w:color w:val="000000"/>
                <w:sz w:val="15"/>
                <w:szCs w:val="15"/>
              </w:rPr>
            </w:pPr>
          </w:p>
        </w:tc>
        <w:tc>
          <w:tcPr>
            <w:tcW w:w="938" w:type="pct"/>
            <w:shd w:val="clear" w:color="auto" w:fill="auto"/>
            <w:noWrap/>
            <w:hideMark/>
          </w:tcPr>
          <w:p w14:paraId="4222C713" w14:textId="77777777" w:rsidR="004F64EF" w:rsidRPr="003003C0" w:rsidRDefault="004F64EF" w:rsidP="001F3C85">
            <w:pPr>
              <w:tabs>
                <w:tab w:val="left" w:pos="886"/>
              </w:tabs>
              <w:ind w:right="454"/>
              <w:jc w:val="right"/>
              <w:rPr>
                <w:sz w:val="15"/>
                <w:szCs w:val="15"/>
              </w:rPr>
            </w:pPr>
          </w:p>
        </w:tc>
        <w:tc>
          <w:tcPr>
            <w:tcW w:w="781" w:type="pct"/>
            <w:shd w:val="clear" w:color="auto" w:fill="auto"/>
            <w:noWrap/>
            <w:hideMark/>
          </w:tcPr>
          <w:p w14:paraId="4B3BEA69" w14:textId="77777777" w:rsidR="004F64EF" w:rsidRPr="003003C0" w:rsidRDefault="004F64EF" w:rsidP="001F3C85">
            <w:pPr>
              <w:ind w:right="340"/>
              <w:jc w:val="right"/>
              <w:rPr>
                <w:sz w:val="15"/>
                <w:szCs w:val="15"/>
              </w:rPr>
            </w:pPr>
          </w:p>
        </w:tc>
      </w:tr>
      <w:tr w:rsidR="004F64EF" w:rsidRPr="003003C0" w14:paraId="084C113B" w14:textId="77777777" w:rsidTr="00265A38">
        <w:trPr>
          <w:cantSplit/>
        </w:trPr>
        <w:tc>
          <w:tcPr>
            <w:tcW w:w="859" w:type="pct"/>
            <w:shd w:val="clear" w:color="auto" w:fill="C9DED4"/>
            <w:noWrap/>
            <w:hideMark/>
          </w:tcPr>
          <w:p w14:paraId="160F5544" w14:textId="77777777" w:rsidR="004F64EF" w:rsidRPr="003003C0" w:rsidRDefault="004F64EF" w:rsidP="001F3C85">
            <w:pPr>
              <w:jc w:val="left"/>
              <w:rPr>
                <w:rFonts w:cs="Calibri"/>
                <w:color w:val="000000"/>
                <w:sz w:val="15"/>
                <w:szCs w:val="15"/>
              </w:rPr>
            </w:pPr>
            <w:r w:rsidRPr="003003C0">
              <w:rPr>
                <w:rFonts w:cs="Calibri"/>
                <w:color w:val="000000"/>
                <w:sz w:val="15"/>
                <w:szCs w:val="15"/>
              </w:rPr>
              <w:t>1701.99.00</w:t>
            </w:r>
          </w:p>
        </w:tc>
        <w:tc>
          <w:tcPr>
            <w:tcW w:w="781" w:type="pct"/>
            <w:shd w:val="clear" w:color="auto" w:fill="C9DED4"/>
            <w:noWrap/>
            <w:hideMark/>
          </w:tcPr>
          <w:p w14:paraId="6546CBFF" w14:textId="77777777" w:rsidR="004F64EF" w:rsidRPr="003003C0" w:rsidRDefault="004F64EF" w:rsidP="001F3C85">
            <w:pPr>
              <w:jc w:val="center"/>
              <w:rPr>
                <w:rFonts w:cs="Calibri"/>
                <w:color w:val="000000"/>
                <w:sz w:val="15"/>
                <w:szCs w:val="15"/>
              </w:rPr>
            </w:pPr>
            <w:r w:rsidRPr="003003C0">
              <w:rPr>
                <w:rFonts w:cs="Calibri"/>
                <w:color w:val="000000"/>
                <w:sz w:val="15"/>
                <w:szCs w:val="15"/>
              </w:rPr>
              <w:t>20</w:t>
            </w:r>
          </w:p>
        </w:tc>
        <w:tc>
          <w:tcPr>
            <w:tcW w:w="704" w:type="pct"/>
            <w:shd w:val="clear" w:color="auto" w:fill="C9DED4"/>
            <w:noWrap/>
            <w:hideMark/>
          </w:tcPr>
          <w:p w14:paraId="680CDB9D" w14:textId="77777777" w:rsidR="004F64EF" w:rsidRPr="003003C0" w:rsidRDefault="004F64EF" w:rsidP="001F3C85">
            <w:pPr>
              <w:jc w:val="center"/>
              <w:rPr>
                <w:rFonts w:cs="Calibri"/>
                <w:color w:val="000000"/>
                <w:sz w:val="15"/>
                <w:szCs w:val="15"/>
              </w:rPr>
            </w:pPr>
            <w:r w:rsidRPr="003003C0">
              <w:rPr>
                <w:rFonts w:cs="Calibri"/>
                <w:color w:val="000000"/>
                <w:sz w:val="15"/>
                <w:szCs w:val="15"/>
              </w:rPr>
              <w:t>85</w:t>
            </w:r>
          </w:p>
        </w:tc>
        <w:tc>
          <w:tcPr>
            <w:tcW w:w="937" w:type="pct"/>
            <w:shd w:val="clear" w:color="auto" w:fill="C9DED4"/>
            <w:hideMark/>
          </w:tcPr>
          <w:p w14:paraId="5051F80A" w14:textId="77777777" w:rsidR="004F64EF" w:rsidRPr="003003C0" w:rsidRDefault="004F64EF" w:rsidP="001F3C85">
            <w:pPr>
              <w:ind w:right="454"/>
              <w:jc w:val="right"/>
              <w:rPr>
                <w:rFonts w:cs="Calibri"/>
                <w:color w:val="000000"/>
                <w:sz w:val="15"/>
                <w:szCs w:val="15"/>
              </w:rPr>
            </w:pPr>
          </w:p>
        </w:tc>
        <w:tc>
          <w:tcPr>
            <w:tcW w:w="938" w:type="pct"/>
            <w:shd w:val="clear" w:color="auto" w:fill="C9DED4"/>
            <w:noWrap/>
            <w:hideMark/>
          </w:tcPr>
          <w:p w14:paraId="73A587F3" w14:textId="77777777" w:rsidR="004F64EF" w:rsidRPr="003003C0" w:rsidRDefault="004F64EF" w:rsidP="001F3C85">
            <w:pPr>
              <w:tabs>
                <w:tab w:val="left" w:pos="886"/>
              </w:tabs>
              <w:ind w:right="454"/>
              <w:jc w:val="right"/>
              <w:rPr>
                <w:sz w:val="15"/>
                <w:szCs w:val="15"/>
              </w:rPr>
            </w:pPr>
          </w:p>
        </w:tc>
        <w:tc>
          <w:tcPr>
            <w:tcW w:w="781" w:type="pct"/>
            <w:shd w:val="clear" w:color="auto" w:fill="C9DED4"/>
            <w:noWrap/>
            <w:hideMark/>
          </w:tcPr>
          <w:p w14:paraId="305D59D5" w14:textId="77777777" w:rsidR="004F64EF" w:rsidRPr="003003C0" w:rsidRDefault="004F64EF" w:rsidP="001F3C85">
            <w:pPr>
              <w:ind w:right="340"/>
              <w:jc w:val="right"/>
              <w:rPr>
                <w:sz w:val="15"/>
                <w:szCs w:val="15"/>
              </w:rPr>
            </w:pPr>
          </w:p>
        </w:tc>
      </w:tr>
    </w:tbl>
    <w:p w14:paraId="693DB788" w14:textId="77777777" w:rsidR="004F64EF" w:rsidRPr="00EC3E2B" w:rsidRDefault="004F64EF" w:rsidP="00E439A9">
      <w:pPr>
        <w:pStyle w:val="NoteText"/>
        <w:spacing w:before="120" w:after="240"/>
      </w:pPr>
      <w:r w:rsidRPr="006F2258">
        <w:t>Source:</w:t>
      </w:r>
      <w:r w:rsidRPr="006F2258">
        <w:tab/>
        <w:t>WTO Secretariat calculations based on data provided by the authorities</w:t>
      </w:r>
      <w:r w:rsidRPr="003003C0">
        <w:t>.</w:t>
      </w:r>
    </w:p>
    <w:p w14:paraId="7FB6D7F6" w14:textId="77777777" w:rsidR="004F64EF" w:rsidRPr="003003C0" w:rsidRDefault="004F64EF" w:rsidP="00E439A9">
      <w:r w:rsidRPr="003003C0">
        <w:br w:type="page"/>
      </w:r>
    </w:p>
    <w:p w14:paraId="2487E65D" w14:textId="77777777" w:rsidR="004F64EF" w:rsidRPr="003003C0" w:rsidRDefault="004F64EF" w:rsidP="00E439A9">
      <w:pPr>
        <w:pStyle w:val="Caption"/>
      </w:pPr>
      <w:bookmarkStart w:id="458" w:name="_Toc114735882"/>
      <w:bookmarkStart w:id="459" w:name="_Toc117004302"/>
      <w:bookmarkStart w:id="460" w:name="_Toc117238127"/>
      <w:r>
        <w:lastRenderedPageBreak/>
        <w:t>Table</w:t>
      </w:r>
      <w:r w:rsidRPr="003003C0">
        <w:t xml:space="preserve"> A3.</w:t>
      </w:r>
      <w:r w:rsidR="00BD37F2">
        <w:fldChar w:fldCharType="begin"/>
      </w:r>
      <w:r w:rsidR="00BD37F2">
        <w:instrText xml:space="preserve"> SEQ Table_A3. \* ARABIC </w:instrText>
      </w:r>
      <w:r w:rsidR="00BD37F2">
        <w:fldChar w:fldCharType="separate"/>
      </w:r>
      <w:r w:rsidRPr="003003C0">
        <w:rPr>
          <w:noProof/>
        </w:rPr>
        <w:t>5</w:t>
      </w:r>
      <w:r w:rsidR="00BD37F2">
        <w:rPr>
          <w:noProof/>
        </w:rPr>
        <w:fldChar w:fldCharType="end"/>
      </w:r>
      <w:r w:rsidRPr="003003C0">
        <w:t xml:space="preserve"> </w:t>
      </w:r>
      <w:r>
        <w:rPr>
          <w:szCs w:val="18"/>
        </w:rPr>
        <w:t>Preferential tariff quotas and import volume</w:t>
      </w:r>
      <w:r w:rsidRPr="003003C0">
        <w:rPr>
          <w:szCs w:val="18"/>
        </w:rPr>
        <w:t>, 2021</w:t>
      </w:r>
      <w:r w:rsidRPr="003003C0">
        <w:rPr>
          <w:szCs w:val="18"/>
        </w:rPr>
        <w:noBreakHyphen/>
        <w:t>22</w:t>
      </w:r>
      <w:bookmarkEnd w:id="458"/>
      <w:bookmarkEnd w:id="459"/>
      <w:bookmarkEnd w:id="460"/>
    </w:p>
    <w:tbl>
      <w:tblPr>
        <w:tblStyle w:val="WTOTable1"/>
        <w:tblW w:w="9067" w:type="dxa"/>
        <w:tblLayout w:type="fixed"/>
        <w:tblLook w:val="04A0" w:firstRow="1" w:lastRow="0" w:firstColumn="1" w:lastColumn="0" w:noHBand="0" w:noVBand="1"/>
      </w:tblPr>
      <w:tblGrid>
        <w:gridCol w:w="1980"/>
        <w:gridCol w:w="941"/>
        <w:gridCol w:w="800"/>
        <w:gridCol w:w="800"/>
        <w:gridCol w:w="996"/>
        <w:gridCol w:w="7"/>
        <w:gridCol w:w="990"/>
        <w:gridCol w:w="1278"/>
        <w:gridCol w:w="1275"/>
      </w:tblGrid>
      <w:tr w:rsidR="004F64EF" w:rsidRPr="003003C0" w14:paraId="5E3888F8" w14:textId="77777777" w:rsidTr="001109BD">
        <w:trPr>
          <w:cnfStyle w:val="100000000000" w:firstRow="1" w:lastRow="0" w:firstColumn="0" w:lastColumn="0" w:oddVBand="0" w:evenVBand="0" w:oddHBand="0" w:evenHBand="0" w:firstRowFirstColumn="0" w:firstRowLastColumn="0" w:lastRowFirstColumn="0" w:lastRowLastColumn="0"/>
          <w:tblHeader/>
        </w:trPr>
        <w:tc>
          <w:tcPr>
            <w:tcW w:w="1980" w:type="dxa"/>
            <w:vMerge w:val="restart"/>
            <w:tcBorders>
              <w:top w:val="single" w:sz="4" w:space="0" w:color="auto"/>
              <w:bottom w:val="nil"/>
            </w:tcBorders>
            <w:noWrap/>
            <w:vAlign w:val="center"/>
            <w:hideMark/>
          </w:tcPr>
          <w:p w14:paraId="0C9D4A24" w14:textId="77777777" w:rsidR="004F64EF" w:rsidRPr="003003C0" w:rsidRDefault="004F64EF" w:rsidP="001F3C85">
            <w:pPr>
              <w:jc w:val="left"/>
              <w:rPr>
                <w:rFonts w:cs="Calibri"/>
                <w:b w:val="0"/>
                <w:sz w:val="15"/>
                <w:szCs w:val="15"/>
              </w:rPr>
            </w:pPr>
            <w:r w:rsidRPr="003003C0">
              <w:rPr>
                <w:rFonts w:cs="Calibri"/>
                <w:sz w:val="15"/>
                <w:szCs w:val="15"/>
              </w:rPr>
              <w:t>Des</w:t>
            </w:r>
            <w:r>
              <w:rPr>
                <w:rFonts w:cs="Calibri"/>
                <w:sz w:val="15"/>
                <w:szCs w:val="15"/>
              </w:rPr>
              <w:t>cription</w:t>
            </w:r>
            <w:r w:rsidRPr="003003C0">
              <w:rPr>
                <w:rFonts w:cs="Calibri"/>
                <w:sz w:val="15"/>
                <w:szCs w:val="15"/>
              </w:rPr>
              <w:t xml:space="preserve"> (</w:t>
            </w:r>
            <w:r>
              <w:rPr>
                <w:rFonts w:cs="Calibri"/>
                <w:sz w:val="15"/>
                <w:szCs w:val="15"/>
              </w:rPr>
              <w:t>HS code</w:t>
            </w:r>
            <w:r w:rsidRPr="003003C0">
              <w:rPr>
                <w:rFonts w:cs="Calibri"/>
                <w:sz w:val="15"/>
                <w:szCs w:val="15"/>
              </w:rPr>
              <w:t>)</w:t>
            </w:r>
          </w:p>
        </w:tc>
        <w:tc>
          <w:tcPr>
            <w:tcW w:w="2541" w:type="dxa"/>
            <w:gridSpan w:val="3"/>
            <w:tcBorders>
              <w:top w:val="single" w:sz="4" w:space="0" w:color="auto"/>
              <w:bottom w:val="single" w:sz="4" w:space="0" w:color="auto"/>
            </w:tcBorders>
            <w:noWrap/>
            <w:vAlign w:val="center"/>
            <w:hideMark/>
          </w:tcPr>
          <w:p w14:paraId="0931FE14" w14:textId="77777777" w:rsidR="004F64EF" w:rsidRPr="003003C0" w:rsidRDefault="004F64EF" w:rsidP="001F3C85">
            <w:pPr>
              <w:jc w:val="center"/>
              <w:rPr>
                <w:rFonts w:cs="Calibri"/>
                <w:b w:val="0"/>
                <w:sz w:val="15"/>
                <w:szCs w:val="15"/>
              </w:rPr>
            </w:pPr>
            <w:r>
              <w:rPr>
                <w:rFonts w:cs="Calibri"/>
                <w:sz w:val="15"/>
                <w:szCs w:val="15"/>
              </w:rPr>
              <w:t>Applied preferential tariff</w:t>
            </w:r>
            <w:r w:rsidRPr="003003C0">
              <w:rPr>
                <w:rFonts w:cs="Calibri"/>
                <w:sz w:val="15"/>
                <w:szCs w:val="15"/>
              </w:rPr>
              <w:t xml:space="preserve"> (%)</w:t>
            </w:r>
          </w:p>
        </w:tc>
        <w:tc>
          <w:tcPr>
            <w:tcW w:w="1993" w:type="dxa"/>
            <w:gridSpan w:val="3"/>
            <w:tcBorders>
              <w:top w:val="single" w:sz="4" w:space="0" w:color="auto"/>
              <w:bottom w:val="single" w:sz="4" w:space="0" w:color="auto"/>
            </w:tcBorders>
            <w:noWrap/>
            <w:vAlign w:val="center"/>
            <w:hideMark/>
          </w:tcPr>
          <w:p w14:paraId="5DED052E" w14:textId="77777777" w:rsidR="004F64EF" w:rsidRPr="003003C0" w:rsidRDefault="004F64EF" w:rsidP="001F3C85">
            <w:pPr>
              <w:jc w:val="center"/>
              <w:rPr>
                <w:rFonts w:cs="Calibri"/>
                <w:b w:val="0"/>
                <w:sz w:val="15"/>
                <w:szCs w:val="15"/>
              </w:rPr>
            </w:pPr>
            <w:r>
              <w:rPr>
                <w:rFonts w:cs="Calibri"/>
                <w:sz w:val="15"/>
                <w:szCs w:val="15"/>
              </w:rPr>
              <w:t>Quota volume</w:t>
            </w:r>
            <w:r w:rsidRPr="003003C0">
              <w:rPr>
                <w:rFonts w:cs="Calibri"/>
                <w:sz w:val="15"/>
                <w:szCs w:val="15"/>
              </w:rPr>
              <w:t xml:space="preserve"> (ton</w:t>
            </w:r>
            <w:r>
              <w:rPr>
                <w:rFonts w:cs="Calibri"/>
                <w:sz w:val="15"/>
                <w:szCs w:val="15"/>
              </w:rPr>
              <w:t>nes</w:t>
            </w:r>
            <w:r w:rsidRPr="003003C0">
              <w:rPr>
                <w:rFonts w:cs="Calibri"/>
                <w:sz w:val="15"/>
                <w:szCs w:val="15"/>
              </w:rPr>
              <w:t>)</w:t>
            </w:r>
          </w:p>
        </w:tc>
        <w:tc>
          <w:tcPr>
            <w:tcW w:w="1278" w:type="dxa"/>
            <w:vMerge w:val="restart"/>
            <w:tcBorders>
              <w:top w:val="single" w:sz="4" w:space="0" w:color="auto"/>
              <w:bottom w:val="nil"/>
            </w:tcBorders>
            <w:noWrap/>
            <w:vAlign w:val="center"/>
            <w:hideMark/>
          </w:tcPr>
          <w:p w14:paraId="68EC8D3A" w14:textId="77777777" w:rsidR="004F64EF" w:rsidRPr="003003C0" w:rsidRDefault="004F64EF" w:rsidP="001F3C85">
            <w:pPr>
              <w:jc w:val="center"/>
              <w:rPr>
                <w:rFonts w:cs="Calibri"/>
                <w:b w:val="0"/>
                <w:sz w:val="15"/>
                <w:szCs w:val="15"/>
              </w:rPr>
            </w:pPr>
            <w:r w:rsidRPr="00715ED0">
              <w:rPr>
                <w:rFonts w:cs="Calibri"/>
                <w:sz w:val="15"/>
                <w:szCs w:val="15"/>
              </w:rPr>
              <w:t>In-quota import volume</w:t>
            </w:r>
            <w:r w:rsidRPr="003003C0">
              <w:rPr>
                <w:rFonts w:cs="Calibri"/>
                <w:sz w:val="15"/>
                <w:szCs w:val="15"/>
              </w:rPr>
              <w:t>, 2021</w:t>
            </w:r>
          </w:p>
        </w:tc>
        <w:tc>
          <w:tcPr>
            <w:tcW w:w="1275" w:type="dxa"/>
            <w:vMerge w:val="restart"/>
            <w:tcBorders>
              <w:top w:val="single" w:sz="4" w:space="0" w:color="auto"/>
              <w:bottom w:val="nil"/>
            </w:tcBorders>
            <w:noWrap/>
            <w:vAlign w:val="center"/>
            <w:hideMark/>
          </w:tcPr>
          <w:p w14:paraId="55F2C9E7" w14:textId="77777777" w:rsidR="004F64EF" w:rsidRPr="003003C0" w:rsidRDefault="004F64EF" w:rsidP="001F3C85">
            <w:pPr>
              <w:jc w:val="center"/>
              <w:rPr>
                <w:rFonts w:cs="Calibri"/>
                <w:b w:val="0"/>
                <w:sz w:val="15"/>
                <w:szCs w:val="15"/>
              </w:rPr>
            </w:pPr>
            <w:r>
              <w:rPr>
                <w:rFonts w:cs="Calibri"/>
                <w:sz w:val="15"/>
                <w:szCs w:val="15"/>
              </w:rPr>
              <w:t>Quota usage</w:t>
            </w:r>
            <w:r w:rsidRPr="003003C0">
              <w:rPr>
                <w:rFonts w:cs="Calibri"/>
                <w:sz w:val="15"/>
                <w:szCs w:val="15"/>
              </w:rPr>
              <w:t xml:space="preserve"> 2021 (%)</w:t>
            </w:r>
          </w:p>
        </w:tc>
      </w:tr>
      <w:tr w:rsidR="004F64EF" w:rsidRPr="003003C0" w14:paraId="2E8FA0E5" w14:textId="77777777" w:rsidTr="001109BD">
        <w:trPr>
          <w:cnfStyle w:val="100000000000" w:firstRow="1" w:lastRow="0" w:firstColumn="0" w:lastColumn="0" w:oddVBand="0" w:evenVBand="0" w:oddHBand="0" w:evenHBand="0" w:firstRowFirstColumn="0" w:firstRowLastColumn="0" w:lastRowFirstColumn="0" w:lastRowLastColumn="0"/>
          <w:trHeight w:val="1428"/>
          <w:tblHeader/>
        </w:trPr>
        <w:tc>
          <w:tcPr>
            <w:tcW w:w="1980" w:type="dxa"/>
            <w:vMerge/>
            <w:tcBorders>
              <w:top w:val="nil"/>
            </w:tcBorders>
            <w:noWrap/>
            <w:hideMark/>
          </w:tcPr>
          <w:p w14:paraId="39EB7B12" w14:textId="77777777" w:rsidR="004F64EF" w:rsidRPr="003003C0" w:rsidRDefault="004F64EF" w:rsidP="001F3C85">
            <w:pPr>
              <w:jc w:val="center"/>
              <w:rPr>
                <w:b w:val="0"/>
                <w:sz w:val="15"/>
                <w:szCs w:val="15"/>
              </w:rPr>
            </w:pPr>
          </w:p>
        </w:tc>
        <w:tc>
          <w:tcPr>
            <w:tcW w:w="941" w:type="dxa"/>
            <w:tcBorders>
              <w:top w:val="single" w:sz="4" w:space="0" w:color="auto"/>
            </w:tcBorders>
            <w:noWrap/>
            <w:textDirection w:val="btLr"/>
            <w:vAlign w:val="center"/>
            <w:hideMark/>
          </w:tcPr>
          <w:p w14:paraId="19DD2760" w14:textId="77777777" w:rsidR="004F64EF" w:rsidRPr="003003C0" w:rsidRDefault="004F64EF" w:rsidP="001F3C85">
            <w:pPr>
              <w:ind w:left="113" w:right="113"/>
              <w:jc w:val="center"/>
              <w:rPr>
                <w:rFonts w:cs="Calibri"/>
                <w:b w:val="0"/>
                <w:sz w:val="15"/>
                <w:szCs w:val="15"/>
              </w:rPr>
            </w:pPr>
            <w:r>
              <w:rPr>
                <w:rFonts w:cs="Calibri"/>
                <w:sz w:val="15"/>
                <w:szCs w:val="15"/>
              </w:rPr>
              <w:t xml:space="preserve">In-quota </w:t>
            </w:r>
            <w:r w:rsidRPr="003003C0">
              <w:rPr>
                <w:rFonts w:cs="Calibri"/>
                <w:sz w:val="15"/>
                <w:szCs w:val="15"/>
              </w:rPr>
              <w:t>2021-22</w:t>
            </w:r>
          </w:p>
        </w:tc>
        <w:tc>
          <w:tcPr>
            <w:tcW w:w="800" w:type="dxa"/>
            <w:tcBorders>
              <w:top w:val="single" w:sz="4" w:space="0" w:color="auto"/>
            </w:tcBorders>
            <w:noWrap/>
            <w:textDirection w:val="btLr"/>
            <w:vAlign w:val="center"/>
            <w:hideMark/>
          </w:tcPr>
          <w:p w14:paraId="543C4C70" w14:textId="77777777" w:rsidR="004F64EF" w:rsidRPr="003003C0" w:rsidRDefault="004F64EF" w:rsidP="001F3C85">
            <w:pPr>
              <w:ind w:left="113" w:right="113"/>
              <w:jc w:val="center"/>
              <w:rPr>
                <w:rFonts w:cs="Calibri"/>
                <w:b w:val="0"/>
                <w:sz w:val="15"/>
                <w:szCs w:val="15"/>
              </w:rPr>
            </w:pPr>
            <w:r>
              <w:rPr>
                <w:rFonts w:cs="Calibri"/>
                <w:sz w:val="15"/>
                <w:szCs w:val="15"/>
              </w:rPr>
              <w:t xml:space="preserve">Out-of-quota </w:t>
            </w:r>
            <w:r w:rsidRPr="003003C0">
              <w:rPr>
                <w:rFonts w:cs="Calibri"/>
                <w:sz w:val="15"/>
                <w:szCs w:val="15"/>
              </w:rPr>
              <w:t>2021</w:t>
            </w:r>
          </w:p>
        </w:tc>
        <w:tc>
          <w:tcPr>
            <w:tcW w:w="800" w:type="dxa"/>
            <w:tcBorders>
              <w:top w:val="single" w:sz="4" w:space="0" w:color="auto"/>
            </w:tcBorders>
            <w:noWrap/>
            <w:textDirection w:val="btLr"/>
            <w:vAlign w:val="center"/>
            <w:hideMark/>
          </w:tcPr>
          <w:p w14:paraId="284D583B" w14:textId="77777777" w:rsidR="004F64EF" w:rsidRPr="003003C0" w:rsidRDefault="004F64EF" w:rsidP="001F3C85">
            <w:pPr>
              <w:ind w:left="113" w:right="113"/>
              <w:jc w:val="center"/>
              <w:rPr>
                <w:rFonts w:cs="Calibri"/>
                <w:b w:val="0"/>
                <w:sz w:val="15"/>
                <w:szCs w:val="15"/>
              </w:rPr>
            </w:pPr>
            <w:r>
              <w:rPr>
                <w:rFonts w:cs="Calibri"/>
                <w:sz w:val="15"/>
                <w:szCs w:val="15"/>
              </w:rPr>
              <w:t xml:space="preserve">Out-of-quota </w:t>
            </w:r>
            <w:r w:rsidRPr="003003C0">
              <w:rPr>
                <w:rFonts w:cs="Calibri"/>
                <w:sz w:val="15"/>
                <w:szCs w:val="15"/>
              </w:rPr>
              <w:t>2022</w:t>
            </w:r>
          </w:p>
        </w:tc>
        <w:tc>
          <w:tcPr>
            <w:tcW w:w="1003" w:type="dxa"/>
            <w:gridSpan w:val="2"/>
            <w:tcBorders>
              <w:top w:val="single" w:sz="4" w:space="0" w:color="auto"/>
            </w:tcBorders>
            <w:noWrap/>
            <w:hideMark/>
          </w:tcPr>
          <w:p w14:paraId="3A3E865B" w14:textId="77777777" w:rsidR="004F64EF" w:rsidRPr="003003C0" w:rsidRDefault="004F64EF" w:rsidP="001F3C85">
            <w:pPr>
              <w:jc w:val="center"/>
              <w:rPr>
                <w:rFonts w:cs="Calibri"/>
                <w:b w:val="0"/>
                <w:sz w:val="15"/>
                <w:szCs w:val="15"/>
              </w:rPr>
            </w:pPr>
            <w:r w:rsidRPr="003003C0">
              <w:rPr>
                <w:rFonts w:cs="Calibri"/>
                <w:sz w:val="15"/>
                <w:szCs w:val="15"/>
              </w:rPr>
              <w:t>2021</w:t>
            </w:r>
          </w:p>
        </w:tc>
        <w:tc>
          <w:tcPr>
            <w:tcW w:w="990" w:type="dxa"/>
            <w:tcBorders>
              <w:top w:val="single" w:sz="4" w:space="0" w:color="auto"/>
            </w:tcBorders>
            <w:noWrap/>
            <w:hideMark/>
          </w:tcPr>
          <w:p w14:paraId="0BB5305F" w14:textId="77777777" w:rsidR="004F64EF" w:rsidRPr="003003C0" w:rsidRDefault="004F64EF" w:rsidP="001F3C85">
            <w:pPr>
              <w:jc w:val="center"/>
              <w:rPr>
                <w:rFonts w:cs="Calibri"/>
                <w:b w:val="0"/>
                <w:sz w:val="15"/>
                <w:szCs w:val="15"/>
              </w:rPr>
            </w:pPr>
            <w:r w:rsidRPr="003003C0">
              <w:rPr>
                <w:rFonts w:cs="Calibri"/>
                <w:sz w:val="15"/>
                <w:szCs w:val="15"/>
              </w:rPr>
              <w:t>2022</w:t>
            </w:r>
          </w:p>
        </w:tc>
        <w:tc>
          <w:tcPr>
            <w:tcW w:w="1278" w:type="dxa"/>
            <w:vMerge/>
            <w:tcBorders>
              <w:top w:val="nil"/>
            </w:tcBorders>
            <w:noWrap/>
            <w:hideMark/>
          </w:tcPr>
          <w:p w14:paraId="410D61C9" w14:textId="77777777" w:rsidR="004F64EF" w:rsidRPr="003003C0" w:rsidRDefault="004F64EF" w:rsidP="001F3C85">
            <w:pPr>
              <w:jc w:val="center"/>
              <w:rPr>
                <w:rFonts w:cs="Calibri"/>
                <w:b w:val="0"/>
                <w:sz w:val="15"/>
                <w:szCs w:val="15"/>
              </w:rPr>
            </w:pPr>
          </w:p>
        </w:tc>
        <w:tc>
          <w:tcPr>
            <w:tcW w:w="1275" w:type="dxa"/>
            <w:vMerge/>
            <w:tcBorders>
              <w:top w:val="nil"/>
            </w:tcBorders>
            <w:noWrap/>
            <w:hideMark/>
          </w:tcPr>
          <w:p w14:paraId="396D3B7B" w14:textId="77777777" w:rsidR="004F64EF" w:rsidRPr="003003C0" w:rsidRDefault="004F64EF" w:rsidP="001F3C85">
            <w:pPr>
              <w:jc w:val="center"/>
              <w:rPr>
                <w:rFonts w:cs="Calibri"/>
                <w:b w:val="0"/>
                <w:sz w:val="15"/>
                <w:szCs w:val="15"/>
              </w:rPr>
            </w:pPr>
          </w:p>
        </w:tc>
      </w:tr>
      <w:tr w:rsidR="004F64EF" w:rsidRPr="003003C0" w14:paraId="7312A81A" w14:textId="77777777" w:rsidTr="001F3C85">
        <w:tc>
          <w:tcPr>
            <w:tcW w:w="9067" w:type="dxa"/>
            <w:gridSpan w:val="9"/>
            <w:noWrap/>
            <w:hideMark/>
          </w:tcPr>
          <w:p w14:paraId="571C4868" w14:textId="77777777" w:rsidR="004F64EF" w:rsidRPr="003003C0" w:rsidRDefault="004F64EF" w:rsidP="001F3C85">
            <w:pPr>
              <w:jc w:val="center"/>
              <w:rPr>
                <w:rFonts w:cs="Calibri"/>
                <w:b/>
                <w:bCs/>
                <w:color w:val="000000"/>
                <w:sz w:val="15"/>
                <w:szCs w:val="15"/>
              </w:rPr>
            </w:pPr>
            <w:r w:rsidRPr="003003C0">
              <w:rPr>
                <w:rFonts w:cs="Calibri"/>
                <w:b/>
                <w:bCs/>
                <w:color w:val="000000"/>
                <w:sz w:val="15"/>
                <w:szCs w:val="15"/>
              </w:rPr>
              <w:t>CAFTA-DR Costa Rica</w:t>
            </w:r>
          </w:p>
        </w:tc>
      </w:tr>
      <w:tr w:rsidR="004F64EF" w:rsidRPr="003003C0" w14:paraId="6005CF58" w14:textId="77777777" w:rsidTr="001109BD">
        <w:trPr>
          <w:cnfStyle w:val="000000010000" w:firstRow="0" w:lastRow="0" w:firstColumn="0" w:lastColumn="0" w:oddVBand="0" w:evenVBand="0" w:oddHBand="0" w:evenHBand="1" w:firstRowFirstColumn="0" w:firstRowLastColumn="0" w:lastRowFirstColumn="0" w:lastRowLastColumn="0"/>
        </w:trPr>
        <w:tc>
          <w:tcPr>
            <w:tcW w:w="1980" w:type="dxa"/>
            <w:noWrap/>
            <w:hideMark/>
          </w:tcPr>
          <w:p w14:paraId="2DC7E3FC" w14:textId="77777777" w:rsidR="004F64EF" w:rsidRPr="003003C0" w:rsidRDefault="004F64EF" w:rsidP="001F3C85">
            <w:pPr>
              <w:jc w:val="left"/>
              <w:rPr>
                <w:rFonts w:cs="Calibri"/>
                <w:b/>
                <w:bCs/>
                <w:color w:val="000000"/>
                <w:sz w:val="15"/>
                <w:szCs w:val="15"/>
              </w:rPr>
            </w:pPr>
            <w:r>
              <w:rPr>
                <w:rFonts w:cs="Calibri"/>
                <w:b/>
                <w:bCs/>
                <w:color w:val="000000"/>
                <w:sz w:val="15"/>
                <w:szCs w:val="15"/>
              </w:rPr>
              <w:t>Chicken breasts</w:t>
            </w:r>
          </w:p>
        </w:tc>
        <w:tc>
          <w:tcPr>
            <w:tcW w:w="2541" w:type="dxa"/>
            <w:gridSpan w:val="3"/>
            <w:noWrap/>
            <w:hideMark/>
          </w:tcPr>
          <w:p w14:paraId="6881FBCF" w14:textId="77777777" w:rsidR="004F64EF" w:rsidRPr="003003C0" w:rsidRDefault="004F64EF" w:rsidP="001F3C85">
            <w:pPr>
              <w:jc w:val="center"/>
              <w:rPr>
                <w:sz w:val="15"/>
                <w:szCs w:val="15"/>
              </w:rPr>
            </w:pPr>
          </w:p>
        </w:tc>
        <w:tc>
          <w:tcPr>
            <w:tcW w:w="996" w:type="dxa"/>
            <w:noWrap/>
            <w:hideMark/>
          </w:tcPr>
          <w:p w14:paraId="5DA6160E" w14:textId="77777777" w:rsidR="004F64EF" w:rsidRPr="003003C0" w:rsidRDefault="004F64EF" w:rsidP="001F3C85">
            <w:pPr>
              <w:jc w:val="center"/>
              <w:rPr>
                <w:rFonts w:cs="Calibri"/>
                <w:b/>
                <w:bCs/>
                <w:color w:val="000000"/>
                <w:sz w:val="15"/>
                <w:szCs w:val="15"/>
              </w:rPr>
            </w:pPr>
            <w:r w:rsidRPr="003003C0">
              <w:rPr>
                <w:rFonts w:cs="Calibri"/>
                <w:b/>
                <w:bCs/>
                <w:color w:val="000000"/>
                <w:sz w:val="15"/>
                <w:szCs w:val="15"/>
              </w:rPr>
              <w:t>2</w:t>
            </w:r>
            <w:r>
              <w:rPr>
                <w:rFonts w:cs="Calibri"/>
                <w:b/>
                <w:bCs/>
                <w:color w:val="000000"/>
                <w:sz w:val="15"/>
                <w:szCs w:val="15"/>
              </w:rPr>
              <w:t>,</w:t>
            </w:r>
            <w:r w:rsidRPr="003003C0">
              <w:rPr>
                <w:rFonts w:cs="Calibri"/>
                <w:b/>
                <w:bCs/>
                <w:color w:val="000000"/>
                <w:sz w:val="15"/>
                <w:szCs w:val="15"/>
              </w:rPr>
              <w:t>070</w:t>
            </w:r>
          </w:p>
        </w:tc>
        <w:tc>
          <w:tcPr>
            <w:tcW w:w="997" w:type="dxa"/>
            <w:gridSpan w:val="2"/>
            <w:noWrap/>
            <w:hideMark/>
          </w:tcPr>
          <w:p w14:paraId="47A8F977" w14:textId="77777777" w:rsidR="004F64EF" w:rsidRPr="003003C0" w:rsidRDefault="004F64EF" w:rsidP="001F3C85">
            <w:pPr>
              <w:jc w:val="center"/>
              <w:rPr>
                <w:rFonts w:cs="Calibri"/>
                <w:b/>
                <w:bCs/>
                <w:color w:val="000000"/>
                <w:sz w:val="15"/>
                <w:szCs w:val="15"/>
              </w:rPr>
            </w:pPr>
            <w:r w:rsidRPr="003003C0">
              <w:rPr>
                <w:rFonts w:cs="Calibri"/>
                <w:b/>
                <w:bCs/>
                <w:color w:val="000000"/>
                <w:sz w:val="15"/>
                <w:szCs w:val="15"/>
              </w:rPr>
              <w:t>2</w:t>
            </w:r>
            <w:r>
              <w:rPr>
                <w:rFonts w:cs="Calibri"/>
                <w:b/>
                <w:bCs/>
                <w:color w:val="000000"/>
                <w:sz w:val="15"/>
                <w:szCs w:val="15"/>
              </w:rPr>
              <w:t>,</w:t>
            </w:r>
            <w:r w:rsidRPr="003003C0">
              <w:rPr>
                <w:rFonts w:cs="Calibri"/>
                <w:b/>
                <w:bCs/>
                <w:color w:val="000000"/>
                <w:sz w:val="15"/>
                <w:szCs w:val="15"/>
              </w:rPr>
              <w:t>070</w:t>
            </w:r>
          </w:p>
        </w:tc>
        <w:tc>
          <w:tcPr>
            <w:tcW w:w="1278" w:type="dxa"/>
            <w:noWrap/>
            <w:hideMark/>
          </w:tcPr>
          <w:p w14:paraId="38773707" w14:textId="77777777" w:rsidR="004F64EF" w:rsidRPr="003003C0" w:rsidRDefault="004F64EF" w:rsidP="001F3C85">
            <w:pPr>
              <w:jc w:val="center"/>
              <w:rPr>
                <w:rFonts w:cs="Calibri"/>
                <w:b/>
                <w:bCs/>
                <w:color w:val="000000"/>
                <w:sz w:val="15"/>
                <w:szCs w:val="15"/>
              </w:rPr>
            </w:pPr>
            <w:r w:rsidRPr="003003C0">
              <w:rPr>
                <w:rFonts w:cs="Calibri"/>
                <w:b/>
                <w:bCs/>
                <w:color w:val="000000"/>
                <w:sz w:val="15"/>
                <w:szCs w:val="15"/>
              </w:rPr>
              <w:t>0</w:t>
            </w:r>
          </w:p>
        </w:tc>
        <w:tc>
          <w:tcPr>
            <w:tcW w:w="1275" w:type="dxa"/>
            <w:noWrap/>
            <w:hideMark/>
          </w:tcPr>
          <w:p w14:paraId="5086D77E" w14:textId="77777777" w:rsidR="004F64EF" w:rsidRPr="003003C0" w:rsidRDefault="004F64EF" w:rsidP="001F3C85">
            <w:pPr>
              <w:jc w:val="center"/>
              <w:rPr>
                <w:rFonts w:cs="Calibri"/>
                <w:b/>
                <w:bCs/>
                <w:color w:val="000000"/>
                <w:sz w:val="15"/>
                <w:szCs w:val="15"/>
              </w:rPr>
            </w:pPr>
            <w:r w:rsidRPr="003003C0">
              <w:rPr>
                <w:rFonts w:cs="Calibri"/>
                <w:b/>
                <w:bCs/>
                <w:color w:val="000000"/>
                <w:sz w:val="15"/>
                <w:szCs w:val="15"/>
              </w:rPr>
              <w:t>0</w:t>
            </w:r>
          </w:p>
        </w:tc>
      </w:tr>
      <w:tr w:rsidR="004F64EF" w:rsidRPr="003003C0" w14:paraId="5E022020" w14:textId="77777777" w:rsidTr="001109BD">
        <w:tc>
          <w:tcPr>
            <w:tcW w:w="1980" w:type="dxa"/>
            <w:noWrap/>
            <w:hideMark/>
          </w:tcPr>
          <w:p w14:paraId="59F04340" w14:textId="77777777" w:rsidR="004F64EF" w:rsidRPr="003003C0" w:rsidRDefault="004F64EF" w:rsidP="001F3C85">
            <w:pPr>
              <w:jc w:val="left"/>
              <w:rPr>
                <w:rFonts w:cs="Calibri"/>
                <w:color w:val="000000"/>
                <w:sz w:val="15"/>
                <w:szCs w:val="15"/>
              </w:rPr>
            </w:pPr>
            <w:r w:rsidRPr="003003C0">
              <w:rPr>
                <w:rFonts w:cs="Calibri"/>
                <w:color w:val="000000"/>
                <w:sz w:val="15"/>
                <w:szCs w:val="15"/>
              </w:rPr>
              <w:t>0207.13.00</w:t>
            </w:r>
          </w:p>
        </w:tc>
        <w:tc>
          <w:tcPr>
            <w:tcW w:w="941" w:type="dxa"/>
            <w:noWrap/>
            <w:hideMark/>
          </w:tcPr>
          <w:p w14:paraId="7150D7BF" w14:textId="77777777" w:rsidR="004F64EF" w:rsidRPr="003003C0" w:rsidRDefault="004F64EF" w:rsidP="001F3C85">
            <w:pPr>
              <w:jc w:val="center"/>
              <w:rPr>
                <w:rFonts w:cs="Calibri"/>
                <w:color w:val="000000"/>
                <w:sz w:val="15"/>
                <w:szCs w:val="15"/>
              </w:rPr>
            </w:pPr>
            <w:r w:rsidRPr="003003C0">
              <w:rPr>
                <w:rFonts w:cs="Calibri"/>
                <w:color w:val="000000"/>
                <w:sz w:val="15"/>
                <w:szCs w:val="15"/>
              </w:rPr>
              <w:t>12</w:t>
            </w:r>
            <w:r>
              <w:rPr>
                <w:rFonts w:cs="Calibri"/>
                <w:color w:val="000000"/>
                <w:sz w:val="15"/>
                <w:szCs w:val="15"/>
              </w:rPr>
              <w:t>.</w:t>
            </w:r>
            <w:r w:rsidRPr="003003C0">
              <w:rPr>
                <w:rFonts w:cs="Calibri"/>
                <w:color w:val="000000"/>
                <w:sz w:val="15"/>
                <w:szCs w:val="15"/>
              </w:rPr>
              <w:t>5</w:t>
            </w:r>
          </w:p>
        </w:tc>
        <w:tc>
          <w:tcPr>
            <w:tcW w:w="800" w:type="dxa"/>
            <w:noWrap/>
            <w:hideMark/>
          </w:tcPr>
          <w:p w14:paraId="4571B100" w14:textId="77777777" w:rsidR="004F64EF" w:rsidRPr="003003C0" w:rsidRDefault="004F64EF" w:rsidP="001F3C85">
            <w:pPr>
              <w:jc w:val="center"/>
              <w:rPr>
                <w:rFonts w:cs="Calibri"/>
                <w:color w:val="000000"/>
                <w:sz w:val="15"/>
                <w:szCs w:val="15"/>
              </w:rPr>
            </w:pPr>
            <w:r w:rsidRPr="003003C0">
              <w:rPr>
                <w:rFonts w:cs="Calibri"/>
                <w:color w:val="000000"/>
                <w:sz w:val="15"/>
                <w:szCs w:val="15"/>
              </w:rPr>
              <w:t>47</w:t>
            </w:r>
            <w:r>
              <w:rPr>
                <w:rFonts w:cs="Calibri"/>
                <w:color w:val="000000"/>
                <w:sz w:val="15"/>
                <w:szCs w:val="15"/>
              </w:rPr>
              <w:t>,</w:t>
            </w:r>
            <w:r w:rsidRPr="003003C0">
              <w:rPr>
                <w:rFonts w:cs="Calibri"/>
                <w:color w:val="000000"/>
                <w:sz w:val="15"/>
                <w:szCs w:val="15"/>
              </w:rPr>
              <w:t>52</w:t>
            </w:r>
          </w:p>
        </w:tc>
        <w:tc>
          <w:tcPr>
            <w:tcW w:w="800" w:type="dxa"/>
            <w:noWrap/>
            <w:hideMark/>
          </w:tcPr>
          <w:p w14:paraId="35A01528" w14:textId="77777777" w:rsidR="004F64EF" w:rsidRPr="003003C0" w:rsidRDefault="004F64EF" w:rsidP="001F3C85">
            <w:pPr>
              <w:jc w:val="center"/>
              <w:rPr>
                <w:rFonts w:cs="Calibri"/>
                <w:color w:val="000000"/>
                <w:sz w:val="15"/>
                <w:szCs w:val="15"/>
              </w:rPr>
            </w:pPr>
            <w:r w:rsidRPr="003003C0">
              <w:rPr>
                <w:rFonts w:cs="Calibri"/>
                <w:color w:val="000000"/>
                <w:sz w:val="15"/>
                <w:szCs w:val="15"/>
              </w:rPr>
              <w:t>35</w:t>
            </w:r>
            <w:r>
              <w:rPr>
                <w:rFonts w:cs="Calibri"/>
                <w:color w:val="000000"/>
                <w:sz w:val="15"/>
                <w:szCs w:val="15"/>
              </w:rPr>
              <w:t>,</w:t>
            </w:r>
            <w:r w:rsidRPr="003003C0">
              <w:rPr>
                <w:rFonts w:cs="Calibri"/>
                <w:color w:val="000000"/>
                <w:sz w:val="15"/>
                <w:szCs w:val="15"/>
              </w:rPr>
              <w:t>64</w:t>
            </w:r>
          </w:p>
        </w:tc>
        <w:tc>
          <w:tcPr>
            <w:tcW w:w="996" w:type="dxa"/>
            <w:noWrap/>
            <w:hideMark/>
          </w:tcPr>
          <w:p w14:paraId="5958764C" w14:textId="77777777" w:rsidR="004F64EF" w:rsidRPr="003003C0" w:rsidRDefault="004F64EF" w:rsidP="001F3C85">
            <w:pPr>
              <w:jc w:val="center"/>
              <w:rPr>
                <w:rFonts w:cs="Calibri"/>
                <w:color w:val="000000"/>
                <w:sz w:val="15"/>
                <w:szCs w:val="15"/>
              </w:rPr>
            </w:pPr>
          </w:p>
        </w:tc>
        <w:tc>
          <w:tcPr>
            <w:tcW w:w="997" w:type="dxa"/>
            <w:gridSpan w:val="2"/>
            <w:noWrap/>
            <w:hideMark/>
          </w:tcPr>
          <w:p w14:paraId="31BF287D" w14:textId="77777777" w:rsidR="004F64EF" w:rsidRPr="003003C0" w:rsidRDefault="004F64EF" w:rsidP="001F3C85">
            <w:pPr>
              <w:jc w:val="center"/>
              <w:rPr>
                <w:sz w:val="15"/>
                <w:szCs w:val="15"/>
              </w:rPr>
            </w:pPr>
          </w:p>
        </w:tc>
        <w:tc>
          <w:tcPr>
            <w:tcW w:w="1278" w:type="dxa"/>
            <w:noWrap/>
            <w:hideMark/>
          </w:tcPr>
          <w:p w14:paraId="0D8105F3" w14:textId="77777777" w:rsidR="004F64EF" w:rsidRPr="003003C0" w:rsidRDefault="004F64EF" w:rsidP="001F3C85">
            <w:pPr>
              <w:jc w:val="center"/>
              <w:rPr>
                <w:sz w:val="15"/>
                <w:szCs w:val="15"/>
              </w:rPr>
            </w:pPr>
          </w:p>
        </w:tc>
        <w:tc>
          <w:tcPr>
            <w:tcW w:w="1275" w:type="dxa"/>
            <w:noWrap/>
            <w:hideMark/>
          </w:tcPr>
          <w:p w14:paraId="29CDFA25" w14:textId="77777777" w:rsidR="004F64EF" w:rsidRPr="003003C0" w:rsidRDefault="004F64EF" w:rsidP="001F3C85">
            <w:pPr>
              <w:jc w:val="center"/>
              <w:rPr>
                <w:sz w:val="15"/>
                <w:szCs w:val="15"/>
              </w:rPr>
            </w:pPr>
          </w:p>
        </w:tc>
      </w:tr>
      <w:tr w:rsidR="004F64EF" w:rsidRPr="003003C0" w14:paraId="7BD043ED" w14:textId="77777777" w:rsidTr="001109BD">
        <w:trPr>
          <w:cnfStyle w:val="000000010000" w:firstRow="0" w:lastRow="0" w:firstColumn="0" w:lastColumn="0" w:oddVBand="0" w:evenVBand="0" w:oddHBand="0" w:evenHBand="1" w:firstRowFirstColumn="0" w:firstRowLastColumn="0" w:lastRowFirstColumn="0" w:lastRowLastColumn="0"/>
        </w:trPr>
        <w:tc>
          <w:tcPr>
            <w:tcW w:w="1980" w:type="dxa"/>
            <w:noWrap/>
            <w:hideMark/>
          </w:tcPr>
          <w:p w14:paraId="12975ECB" w14:textId="77777777" w:rsidR="004F64EF" w:rsidRPr="003003C0" w:rsidRDefault="004F64EF" w:rsidP="001F3C85">
            <w:pPr>
              <w:jc w:val="left"/>
              <w:rPr>
                <w:rFonts w:cs="Calibri"/>
                <w:color w:val="000000"/>
                <w:sz w:val="15"/>
                <w:szCs w:val="15"/>
              </w:rPr>
            </w:pPr>
            <w:r w:rsidRPr="003003C0">
              <w:rPr>
                <w:rFonts w:cs="Calibri"/>
                <w:color w:val="000000"/>
                <w:sz w:val="15"/>
                <w:szCs w:val="15"/>
              </w:rPr>
              <w:t>0207.14.91</w:t>
            </w:r>
          </w:p>
        </w:tc>
        <w:tc>
          <w:tcPr>
            <w:tcW w:w="941" w:type="dxa"/>
            <w:noWrap/>
            <w:hideMark/>
          </w:tcPr>
          <w:p w14:paraId="541C4C30" w14:textId="77777777" w:rsidR="004F64EF" w:rsidRPr="003003C0" w:rsidRDefault="004F64EF" w:rsidP="001F3C85">
            <w:pPr>
              <w:jc w:val="center"/>
              <w:rPr>
                <w:rFonts w:cs="Calibri"/>
                <w:color w:val="000000"/>
                <w:sz w:val="15"/>
                <w:szCs w:val="15"/>
              </w:rPr>
            </w:pPr>
            <w:r w:rsidRPr="003003C0">
              <w:rPr>
                <w:rFonts w:cs="Calibri"/>
                <w:color w:val="000000"/>
                <w:sz w:val="15"/>
                <w:szCs w:val="15"/>
              </w:rPr>
              <w:t>12</w:t>
            </w:r>
            <w:r>
              <w:rPr>
                <w:rFonts w:cs="Calibri"/>
                <w:color w:val="000000"/>
                <w:sz w:val="15"/>
                <w:szCs w:val="15"/>
              </w:rPr>
              <w:t>.</w:t>
            </w:r>
            <w:r w:rsidRPr="003003C0">
              <w:rPr>
                <w:rFonts w:cs="Calibri"/>
                <w:color w:val="000000"/>
                <w:sz w:val="15"/>
                <w:szCs w:val="15"/>
              </w:rPr>
              <w:t>5</w:t>
            </w:r>
          </w:p>
        </w:tc>
        <w:tc>
          <w:tcPr>
            <w:tcW w:w="800" w:type="dxa"/>
            <w:noWrap/>
            <w:hideMark/>
          </w:tcPr>
          <w:p w14:paraId="5CA3C15A" w14:textId="77777777" w:rsidR="004F64EF" w:rsidRPr="003003C0" w:rsidRDefault="004F64EF" w:rsidP="001F3C85">
            <w:pPr>
              <w:jc w:val="center"/>
              <w:rPr>
                <w:rFonts w:cs="Calibri"/>
                <w:color w:val="000000"/>
                <w:sz w:val="15"/>
                <w:szCs w:val="15"/>
              </w:rPr>
            </w:pPr>
            <w:r w:rsidRPr="003003C0">
              <w:rPr>
                <w:rFonts w:cs="Calibri"/>
                <w:color w:val="000000"/>
                <w:sz w:val="15"/>
                <w:szCs w:val="15"/>
              </w:rPr>
              <w:t>47</w:t>
            </w:r>
            <w:r>
              <w:rPr>
                <w:rFonts w:cs="Calibri"/>
                <w:color w:val="000000"/>
                <w:sz w:val="15"/>
                <w:szCs w:val="15"/>
              </w:rPr>
              <w:t>,</w:t>
            </w:r>
            <w:r w:rsidRPr="003003C0">
              <w:rPr>
                <w:rFonts w:cs="Calibri"/>
                <w:color w:val="000000"/>
                <w:sz w:val="15"/>
                <w:szCs w:val="15"/>
              </w:rPr>
              <w:t>52</w:t>
            </w:r>
          </w:p>
        </w:tc>
        <w:tc>
          <w:tcPr>
            <w:tcW w:w="800" w:type="dxa"/>
            <w:noWrap/>
            <w:hideMark/>
          </w:tcPr>
          <w:p w14:paraId="113D7376" w14:textId="77777777" w:rsidR="004F64EF" w:rsidRPr="003003C0" w:rsidRDefault="004F64EF" w:rsidP="001F3C85">
            <w:pPr>
              <w:jc w:val="center"/>
              <w:rPr>
                <w:rFonts w:cs="Calibri"/>
                <w:color w:val="000000"/>
                <w:sz w:val="15"/>
                <w:szCs w:val="15"/>
              </w:rPr>
            </w:pPr>
            <w:r w:rsidRPr="003003C0">
              <w:rPr>
                <w:rFonts w:cs="Calibri"/>
                <w:color w:val="000000"/>
                <w:sz w:val="15"/>
                <w:szCs w:val="15"/>
              </w:rPr>
              <w:t>35</w:t>
            </w:r>
            <w:r>
              <w:rPr>
                <w:rFonts w:cs="Calibri"/>
                <w:color w:val="000000"/>
                <w:sz w:val="15"/>
                <w:szCs w:val="15"/>
              </w:rPr>
              <w:t>,</w:t>
            </w:r>
            <w:r w:rsidRPr="003003C0">
              <w:rPr>
                <w:rFonts w:cs="Calibri"/>
                <w:color w:val="000000"/>
                <w:sz w:val="15"/>
                <w:szCs w:val="15"/>
              </w:rPr>
              <w:t>64</w:t>
            </w:r>
          </w:p>
        </w:tc>
        <w:tc>
          <w:tcPr>
            <w:tcW w:w="996" w:type="dxa"/>
            <w:noWrap/>
            <w:hideMark/>
          </w:tcPr>
          <w:p w14:paraId="7D834091" w14:textId="77777777" w:rsidR="004F64EF" w:rsidRPr="003003C0" w:rsidRDefault="004F64EF" w:rsidP="001F3C85">
            <w:pPr>
              <w:jc w:val="center"/>
              <w:rPr>
                <w:rFonts w:cs="Calibri"/>
                <w:color w:val="000000"/>
                <w:sz w:val="15"/>
                <w:szCs w:val="15"/>
              </w:rPr>
            </w:pPr>
          </w:p>
        </w:tc>
        <w:tc>
          <w:tcPr>
            <w:tcW w:w="997" w:type="dxa"/>
            <w:gridSpan w:val="2"/>
            <w:noWrap/>
            <w:hideMark/>
          </w:tcPr>
          <w:p w14:paraId="2F50FE8D" w14:textId="77777777" w:rsidR="004F64EF" w:rsidRPr="003003C0" w:rsidRDefault="004F64EF" w:rsidP="001F3C85">
            <w:pPr>
              <w:jc w:val="center"/>
              <w:rPr>
                <w:sz w:val="15"/>
                <w:szCs w:val="15"/>
              </w:rPr>
            </w:pPr>
          </w:p>
        </w:tc>
        <w:tc>
          <w:tcPr>
            <w:tcW w:w="1278" w:type="dxa"/>
            <w:noWrap/>
            <w:hideMark/>
          </w:tcPr>
          <w:p w14:paraId="51423513" w14:textId="77777777" w:rsidR="004F64EF" w:rsidRPr="003003C0" w:rsidRDefault="004F64EF" w:rsidP="001F3C85">
            <w:pPr>
              <w:jc w:val="center"/>
              <w:rPr>
                <w:sz w:val="15"/>
                <w:szCs w:val="15"/>
              </w:rPr>
            </w:pPr>
          </w:p>
        </w:tc>
        <w:tc>
          <w:tcPr>
            <w:tcW w:w="1275" w:type="dxa"/>
            <w:noWrap/>
            <w:hideMark/>
          </w:tcPr>
          <w:p w14:paraId="73FAE92C" w14:textId="77777777" w:rsidR="004F64EF" w:rsidRPr="003003C0" w:rsidRDefault="004F64EF" w:rsidP="001F3C85">
            <w:pPr>
              <w:jc w:val="center"/>
              <w:rPr>
                <w:sz w:val="15"/>
                <w:szCs w:val="15"/>
              </w:rPr>
            </w:pPr>
          </w:p>
        </w:tc>
      </w:tr>
      <w:tr w:rsidR="004F64EF" w:rsidRPr="003003C0" w14:paraId="3A85BEDB" w14:textId="77777777" w:rsidTr="001109BD">
        <w:tc>
          <w:tcPr>
            <w:tcW w:w="1980" w:type="dxa"/>
            <w:noWrap/>
            <w:hideMark/>
          </w:tcPr>
          <w:p w14:paraId="7FCAE08B" w14:textId="77777777" w:rsidR="004F64EF" w:rsidRPr="003003C0" w:rsidRDefault="004F64EF" w:rsidP="001F3C85">
            <w:pPr>
              <w:jc w:val="left"/>
              <w:rPr>
                <w:rFonts w:cs="Calibri"/>
                <w:b/>
                <w:bCs/>
                <w:color w:val="000000"/>
                <w:sz w:val="15"/>
                <w:szCs w:val="15"/>
              </w:rPr>
            </w:pPr>
            <w:r>
              <w:rPr>
                <w:rFonts w:cs="Calibri"/>
                <w:b/>
                <w:bCs/>
                <w:color w:val="000000"/>
                <w:sz w:val="15"/>
                <w:szCs w:val="15"/>
              </w:rPr>
              <w:t>Milk in powder</w:t>
            </w:r>
          </w:p>
        </w:tc>
        <w:tc>
          <w:tcPr>
            <w:tcW w:w="2541" w:type="dxa"/>
            <w:gridSpan w:val="3"/>
            <w:noWrap/>
            <w:hideMark/>
          </w:tcPr>
          <w:p w14:paraId="251521AB" w14:textId="77777777" w:rsidR="004F64EF" w:rsidRPr="003003C0" w:rsidRDefault="004F64EF" w:rsidP="001F3C85">
            <w:pPr>
              <w:jc w:val="center"/>
              <w:rPr>
                <w:sz w:val="15"/>
                <w:szCs w:val="15"/>
              </w:rPr>
            </w:pPr>
          </w:p>
        </w:tc>
        <w:tc>
          <w:tcPr>
            <w:tcW w:w="996" w:type="dxa"/>
            <w:noWrap/>
            <w:hideMark/>
          </w:tcPr>
          <w:p w14:paraId="36B969A0" w14:textId="77777777" w:rsidR="004F64EF" w:rsidRPr="003003C0" w:rsidRDefault="004F64EF" w:rsidP="001F3C85">
            <w:pPr>
              <w:jc w:val="center"/>
              <w:rPr>
                <w:rFonts w:cs="Calibri"/>
                <w:b/>
                <w:bCs/>
                <w:color w:val="000000"/>
                <w:sz w:val="15"/>
                <w:szCs w:val="15"/>
              </w:rPr>
            </w:pPr>
            <w:r w:rsidRPr="003003C0">
              <w:rPr>
                <w:rFonts w:cs="Calibri"/>
                <w:b/>
                <w:bCs/>
                <w:color w:val="000000"/>
                <w:sz w:val="15"/>
                <w:szCs w:val="15"/>
              </w:rPr>
              <w:t>2</w:t>
            </w:r>
            <w:r>
              <w:rPr>
                <w:rFonts w:cs="Calibri"/>
                <w:b/>
                <w:bCs/>
                <w:color w:val="000000"/>
                <w:sz w:val="15"/>
                <w:szCs w:val="15"/>
              </w:rPr>
              <w:t>,</w:t>
            </w:r>
            <w:r w:rsidRPr="003003C0">
              <w:rPr>
                <w:rFonts w:cs="Calibri"/>
                <w:b/>
                <w:bCs/>
                <w:color w:val="000000"/>
                <w:sz w:val="15"/>
                <w:szCs w:val="15"/>
              </w:rPr>
              <w:t>200</w:t>
            </w:r>
          </w:p>
        </w:tc>
        <w:tc>
          <w:tcPr>
            <w:tcW w:w="997" w:type="dxa"/>
            <w:gridSpan w:val="2"/>
            <w:noWrap/>
            <w:hideMark/>
          </w:tcPr>
          <w:p w14:paraId="0215E410" w14:textId="77777777" w:rsidR="004F64EF" w:rsidRPr="003003C0" w:rsidRDefault="004F64EF" w:rsidP="001F3C85">
            <w:pPr>
              <w:jc w:val="center"/>
              <w:rPr>
                <w:rFonts w:cs="Calibri"/>
                <w:b/>
                <w:bCs/>
                <w:color w:val="000000"/>
                <w:sz w:val="15"/>
                <w:szCs w:val="15"/>
              </w:rPr>
            </w:pPr>
            <w:r w:rsidRPr="003003C0">
              <w:rPr>
                <w:rFonts w:cs="Calibri"/>
                <w:b/>
                <w:bCs/>
                <w:color w:val="000000"/>
                <w:sz w:val="15"/>
                <w:szCs w:val="15"/>
              </w:rPr>
              <w:t>2</w:t>
            </w:r>
            <w:r>
              <w:rPr>
                <w:rFonts w:cs="Calibri"/>
                <w:b/>
                <w:bCs/>
                <w:color w:val="000000"/>
                <w:sz w:val="15"/>
                <w:szCs w:val="15"/>
              </w:rPr>
              <w:t>,</w:t>
            </w:r>
            <w:r w:rsidRPr="003003C0">
              <w:rPr>
                <w:rFonts w:cs="Calibri"/>
                <w:b/>
                <w:bCs/>
                <w:color w:val="000000"/>
                <w:sz w:val="15"/>
                <w:szCs w:val="15"/>
              </w:rPr>
              <w:t>200</w:t>
            </w:r>
          </w:p>
        </w:tc>
        <w:tc>
          <w:tcPr>
            <w:tcW w:w="1278" w:type="dxa"/>
            <w:noWrap/>
            <w:hideMark/>
          </w:tcPr>
          <w:p w14:paraId="1CDAF17D" w14:textId="77777777" w:rsidR="004F64EF" w:rsidRPr="003003C0" w:rsidRDefault="004F64EF" w:rsidP="001F3C85">
            <w:pPr>
              <w:jc w:val="center"/>
              <w:rPr>
                <w:rFonts w:cs="Calibri"/>
                <w:b/>
                <w:bCs/>
                <w:color w:val="000000"/>
                <w:sz w:val="15"/>
                <w:szCs w:val="15"/>
              </w:rPr>
            </w:pPr>
            <w:r w:rsidRPr="003003C0">
              <w:rPr>
                <w:rFonts w:cs="Calibri"/>
                <w:b/>
                <w:bCs/>
                <w:color w:val="000000"/>
                <w:sz w:val="15"/>
                <w:szCs w:val="15"/>
              </w:rPr>
              <w:t>1</w:t>
            </w:r>
            <w:r>
              <w:rPr>
                <w:rFonts w:cs="Calibri"/>
                <w:b/>
                <w:bCs/>
                <w:color w:val="000000"/>
                <w:sz w:val="15"/>
                <w:szCs w:val="15"/>
              </w:rPr>
              <w:t>,</w:t>
            </w:r>
            <w:r w:rsidRPr="003003C0">
              <w:rPr>
                <w:rFonts w:cs="Calibri"/>
                <w:b/>
                <w:bCs/>
                <w:color w:val="000000"/>
                <w:sz w:val="15"/>
                <w:szCs w:val="15"/>
              </w:rPr>
              <w:t>668</w:t>
            </w:r>
          </w:p>
        </w:tc>
        <w:tc>
          <w:tcPr>
            <w:tcW w:w="1275" w:type="dxa"/>
            <w:noWrap/>
            <w:hideMark/>
          </w:tcPr>
          <w:p w14:paraId="166EFA51" w14:textId="77777777" w:rsidR="004F64EF" w:rsidRPr="003003C0" w:rsidRDefault="004F64EF" w:rsidP="001F3C85">
            <w:pPr>
              <w:jc w:val="center"/>
              <w:rPr>
                <w:rFonts w:cs="Calibri"/>
                <w:b/>
                <w:bCs/>
                <w:color w:val="000000"/>
                <w:sz w:val="15"/>
                <w:szCs w:val="15"/>
              </w:rPr>
            </w:pPr>
            <w:r w:rsidRPr="003003C0">
              <w:rPr>
                <w:rFonts w:cs="Calibri"/>
                <w:b/>
                <w:bCs/>
                <w:color w:val="000000"/>
                <w:sz w:val="15"/>
                <w:szCs w:val="15"/>
              </w:rPr>
              <w:t>76</w:t>
            </w:r>
          </w:p>
        </w:tc>
      </w:tr>
      <w:tr w:rsidR="004F64EF" w:rsidRPr="003003C0" w14:paraId="09B54CF8" w14:textId="77777777" w:rsidTr="001109BD">
        <w:trPr>
          <w:cnfStyle w:val="000000010000" w:firstRow="0" w:lastRow="0" w:firstColumn="0" w:lastColumn="0" w:oddVBand="0" w:evenVBand="0" w:oddHBand="0" w:evenHBand="1" w:firstRowFirstColumn="0" w:firstRowLastColumn="0" w:lastRowFirstColumn="0" w:lastRowLastColumn="0"/>
        </w:trPr>
        <w:tc>
          <w:tcPr>
            <w:tcW w:w="1980" w:type="dxa"/>
            <w:noWrap/>
            <w:hideMark/>
          </w:tcPr>
          <w:p w14:paraId="37F7B1B3" w14:textId="77777777" w:rsidR="004F64EF" w:rsidRPr="003003C0" w:rsidRDefault="004F64EF" w:rsidP="001F3C85">
            <w:pPr>
              <w:jc w:val="left"/>
              <w:rPr>
                <w:rFonts w:cs="Calibri"/>
                <w:color w:val="000000"/>
                <w:sz w:val="15"/>
                <w:szCs w:val="15"/>
              </w:rPr>
            </w:pPr>
            <w:r w:rsidRPr="003003C0">
              <w:rPr>
                <w:rFonts w:cs="Calibri"/>
                <w:color w:val="000000"/>
                <w:sz w:val="15"/>
                <w:szCs w:val="15"/>
              </w:rPr>
              <w:t>0402.10.10</w:t>
            </w:r>
          </w:p>
        </w:tc>
        <w:tc>
          <w:tcPr>
            <w:tcW w:w="941" w:type="dxa"/>
            <w:noWrap/>
            <w:hideMark/>
          </w:tcPr>
          <w:p w14:paraId="3468E736" w14:textId="77777777" w:rsidR="004F64EF" w:rsidRPr="003003C0" w:rsidRDefault="004F64EF" w:rsidP="001F3C85">
            <w:pPr>
              <w:jc w:val="center"/>
              <w:rPr>
                <w:rFonts w:cs="Calibri"/>
                <w:color w:val="000000"/>
                <w:sz w:val="15"/>
                <w:szCs w:val="15"/>
              </w:rPr>
            </w:pPr>
            <w:r w:rsidRPr="003003C0">
              <w:rPr>
                <w:rFonts w:cs="Calibri"/>
                <w:color w:val="000000"/>
                <w:sz w:val="15"/>
                <w:szCs w:val="15"/>
              </w:rPr>
              <w:t>0</w:t>
            </w:r>
          </w:p>
        </w:tc>
        <w:tc>
          <w:tcPr>
            <w:tcW w:w="800" w:type="dxa"/>
            <w:noWrap/>
            <w:hideMark/>
          </w:tcPr>
          <w:p w14:paraId="377ACB86" w14:textId="77777777" w:rsidR="004F64EF" w:rsidRPr="003003C0" w:rsidRDefault="004F64EF" w:rsidP="001F3C85">
            <w:pPr>
              <w:jc w:val="center"/>
              <w:rPr>
                <w:rFonts w:cs="Calibri"/>
                <w:color w:val="000000"/>
                <w:sz w:val="15"/>
                <w:szCs w:val="15"/>
              </w:rPr>
            </w:pPr>
            <w:r w:rsidRPr="003003C0">
              <w:rPr>
                <w:rFonts w:cs="Calibri"/>
                <w:color w:val="000000"/>
                <w:sz w:val="15"/>
                <w:szCs w:val="15"/>
              </w:rPr>
              <w:t>26</w:t>
            </w:r>
            <w:r>
              <w:rPr>
                <w:rFonts w:cs="Calibri"/>
                <w:color w:val="000000"/>
                <w:sz w:val="15"/>
                <w:szCs w:val="15"/>
              </w:rPr>
              <w:t>.</w:t>
            </w:r>
            <w:r w:rsidRPr="003003C0">
              <w:rPr>
                <w:rFonts w:cs="Calibri"/>
                <w:color w:val="000000"/>
                <w:sz w:val="15"/>
                <w:szCs w:val="15"/>
              </w:rPr>
              <w:t>88</w:t>
            </w:r>
          </w:p>
        </w:tc>
        <w:tc>
          <w:tcPr>
            <w:tcW w:w="800" w:type="dxa"/>
            <w:noWrap/>
            <w:hideMark/>
          </w:tcPr>
          <w:p w14:paraId="7CDEA366" w14:textId="77777777" w:rsidR="004F64EF" w:rsidRPr="003003C0" w:rsidRDefault="004F64EF" w:rsidP="001F3C85">
            <w:pPr>
              <w:jc w:val="center"/>
              <w:rPr>
                <w:rFonts w:cs="Calibri"/>
                <w:color w:val="000000"/>
                <w:sz w:val="15"/>
                <w:szCs w:val="15"/>
              </w:rPr>
            </w:pPr>
            <w:r w:rsidRPr="003003C0">
              <w:rPr>
                <w:rFonts w:cs="Calibri"/>
                <w:color w:val="000000"/>
                <w:sz w:val="15"/>
                <w:szCs w:val="15"/>
              </w:rPr>
              <w:t>20</w:t>
            </w:r>
            <w:r>
              <w:rPr>
                <w:rFonts w:cs="Calibri"/>
                <w:color w:val="000000"/>
                <w:sz w:val="15"/>
                <w:szCs w:val="15"/>
              </w:rPr>
              <w:t>.</w:t>
            </w:r>
            <w:r w:rsidRPr="003003C0">
              <w:rPr>
                <w:rFonts w:cs="Calibri"/>
                <w:color w:val="000000"/>
                <w:sz w:val="15"/>
                <w:szCs w:val="15"/>
              </w:rPr>
              <w:t>16</w:t>
            </w:r>
          </w:p>
        </w:tc>
        <w:tc>
          <w:tcPr>
            <w:tcW w:w="996" w:type="dxa"/>
            <w:noWrap/>
            <w:hideMark/>
          </w:tcPr>
          <w:p w14:paraId="042F8A74" w14:textId="77777777" w:rsidR="004F64EF" w:rsidRPr="003003C0" w:rsidRDefault="004F64EF" w:rsidP="001F3C85">
            <w:pPr>
              <w:jc w:val="center"/>
              <w:rPr>
                <w:rFonts w:cs="Calibri"/>
                <w:color w:val="000000"/>
                <w:sz w:val="15"/>
                <w:szCs w:val="15"/>
              </w:rPr>
            </w:pPr>
          </w:p>
        </w:tc>
        <w:tc>
          <w:tcPr>
            <w:tcW w:w="997" w:type="dxa"/>
            <w:gridSpan w:val="2"/>
            <w:noWrap/>
            <w:hideMark/>
          </w:tcPr>
          <w:p w14:paraId="2EDF2423" w14:textId="77777777" w:rsidR="004F64EF" w:rsidRPr="003003C0" w:rsidRDefault="004F64EF" w:rsidP="001F3C85">
            <w:pPr>
              <w:jc w:val="center"/>
              <w:rPr>
                <w:sz w:val="15"/>
                <w:szCs w:val="15"/>
              </w:rPr>
            </w:pPr>
          </w:p>
        </w:tc>
        <w:tc>
          <w:tcPr>
            <w:tcW w:w="1278" w:type="dxa"/>
            <w:noWrap/>
            <w:hideMark/>
          </w:tcPr>
          <w:p w14:paraId="417A1BB2" w14:textId="77777777" w:rsidR="004F64EF" w:rsidRPr="003003C0" w:rsidRDefault="004F64EF" w:rsidP="001F3C85">
            <w:pPr>
              <w:jc w:val="center"/>
              <w:rPr>
                <w:sz w:val="15"/>
                <w:szCs w:val="15"/>
              </w:rPr>
            </w:pPr>
          </w:p>
        </w:tc>
        <w:tc>
          <w:tcPr>
            <w:tcW w:w="1275" w:type="dxa"/>
            <w:noWrap/>
            <w:hideMark/>
          </w:tcPr>
          <w:p w14:paraId="0485525C" w14:textId="77777777" w:rsidR="004F64EF" w:rsidRPr="003003C0" w:rsidRDefault="004F64EF" w:rsidP="001F3C85">
            <w:pPr>
              <w:jc w:val="center"/>
              <w:rPr>
                <w:sz w:val="15"/>
                <w:szCs w:val="15"/>
              </w:rPr>
            </w:pPr>
          </w:p>
        </w:tc>
      </w:tr>
      <w:tr w:rsidR="004F64EF" w:rsidRPr="003003C0" w14:paraId="463DCF74" w14:textId="77777777" w:rsidTr="001109BD">
        <w:tc>
          <w:tcPr>
            <w:tcW w:w="1980" w:type="dxa"/>
            <w:noWrap/>
            <w:hideMark/>
          </w:tcPr>
          <w:p w14:paraId="0B568CC1" w14:textId="77777777" w:rsidR="004F64EF" w:rsidRPr="003003C0" w:rsidRDefault="004F64EF" w:rsidP="001F3C85">
            <w:pPr>
              <w:jc w:val="left"/>
              <w:rPr>
                <w:rFonts w:cs="Calibri"/>
                <w:color w:val="000000"/>
                <w:sz w:val="15"/>
                <w:szCs w:val="15"/>
              </w:rPr>
            </w:pPr>
            <w:r w:rsidRPr="003003C0">
              <w:rPr>
                <w:rFonts w:cs="Calibri"/>
                <w:color w:val="000000"/>
                <w:sz w:val="15"/>
                <w:szCs w:val="15"/>
              </w:rPr>
              <w:t>0402.10.90</w:t>
            </w:r>
          </w:p>
        </w:tc>
        <w:tc>
          <w:tcPr>
            <w:tcW w:w="941" w:type="dxa"/>
            <w:noWrap/>
            <w:hideMark/>
          </w:tcPr>
          <w:p w14:paraId="1262869B" w14:textId="77777777" w:rsidR="004F64EF" w:rsidRPr="003003C0" w:rsidRDefault="004F64EF" w:rsidP="001F3C85">
            <w:pPr>
              <w:jc w:val="center"/>
              <w:rPr>
                <w:rFonts w:cs="Calibri"/>
                <w:color w:val="000000"/>
                <w:sz w:val="15"/>
                <w:szCs w:val="15"/>
              </w:rPr>
            </w:pPr>
            <w:r w:rsidRPr="003003C0">
              <w:rPr>
                <w:rFonts w:cs="Calibri"/>
                <w:color w:val="000000"/>
                <w:sz w:val="15"/>
                <w:szCs w:val="15"/>
              </w:rPr>
              <w:t>0</w:t>
            </w:r>
          </w:p>
        </w:tc>
        <w:tc>
          <w:tcPr>
            <w:tcW w:w="800" w:type="dxa"/>
            <w:noWrap/>
            <w:hideMark/>
          </w:tcPr>
          <w:p w14:paraId="68D2AE84" w14:textId="77777777" w:rsidR="004F64EF" w:rsidRPr="003003C0" w:rsidRDefault="004F64EF" w:rsidP="001F3C85">
            <w:pPr>
              <w:jc w:val="center"/>
              <w:rPr>
                <w:rFonts w:cs="Calibri"/>
                <w:color w:val="000000"/>
                <w:sz w:val="15"/>
                <w:szCs w:val="15"/>
              </w:rPr>
            </w:pPr>
            <w:r w:rsidRPr="003003C0">
              <w:rPr>
                <w:rFonts w:cs="Calibri"/>
                <w:color w:val="000000"/>
                <w:sz w:val="15"/>
                <w:szCs w:val="15"/>
              </w:rPr>
              <w:t>26</w:t>
            </w:r>
            <w:r>
              <w:rPr>
                <w:rFonts w:cs="Calibri"/>
                <w:color w:val="000000"/>
                <w:sz w:val="15"/>
                <w:szCs w:val="15"/>
              </w:rPr>
              <w:t>.</w:t>
            </w:r>
            <w:r w:rsidRPr="003003C0">
              <w:rPr>
                <w:rFonts w:cs="Calibri"/>
                <w:color w:val="000000"/>
                <w:sz w:val="15"/>
                <w:szCs w:val="15"/>
              </w:rPr>
              <w:t>88</w:t>
            </w:r>
          </w:p>
        </w:tc>
        <w:tc>
          <w:tcPr>
            <w:tcW w:w="800" w:type="dxa"/>
            <w:noWrap/>
            <w:hideMark/>
          </w:tcPr>
          <w:p w14:paraId="757DDF5B" w14:textId="77777777" w:rsidR="004F64EF" w:rsidRPr="003003C0" w:rsidRDefault="004F64EF" w:rsidP="001F3C85">
            <w:pPr>
              <w:jc w:val="center"/>
              <w:rPr>
                <w:rFonts w:cs="Calibri"/>
                <w:color w:val="000000"/>
                <w:sz w:val="15"/>
                <w:szCs w:val="15"/>
              </w:rPr>
            </w:pPr>
            <w:r w:rsidRPr="003003C0">
              <w:rPr>
                <w:rFonts w:cs="Calibri"/>
                <w:color w:val="000000"/>
                <w:sz w:val="15"/>
                <w:szCs w:val="15"/>
              </w:rPr>
              <w:t>20</w:t>
            </w:r>
            <w:r>
              <w:rPr>
                <w:rFonts w:cs="Calibri"/>
                <w:color w:val="000000"/>
                <w:sz w:val="15"/>
                <w:szCs w:val="15"/>
              </w:rPr>
              <w:t>.</w:t>
            </w:r>
            <w:r w:rsidRPr="003003C0">
              <w:rPr>
                <w:rFonts w:cs="Calibri"/>
                <w:color w:val="000000"/>
                <w:sz w:val="15"/>
                <w:szCs w:val="15"/>
              </w:rPr>
              <w:t>16</w:t>
            </w:r>
          </w:p>
        </w:tc>
        <w:tc>
          <w:tcPr>
            <w:tcW w:w="996" w:type="dxa"/>
            <w:noWrap/>
            <w:hideMark/>
          </w:tcPr>
          <w:p w14:paraId="78EEAB5A" w14:textId="77777777" w:rsidR="004F64EF" w:rsidRPr="003003C0" w:rsidRDefault="004F64EF" w:rsidP="001F3C85">
            <w:pPr>
              <w:jc w:val="center"/>
              <w:rPr>
                <w:rFonts w:cs="Calibri"/>
                <w:color w:val="000000"/>
                <w:sz w:val="15"/>
                <w:szCs w:val="15"/>
              </w:rPr>
            </w:pPr>
          </w:p>
        </w:tc>
        <w:tc>
          <w:tcPr>
            <w:tcW w:w="997" w:type="dxa"/>
            <w:gridSpan w:val="2"/>
            <w:noWrap/>
            <w:hideMark/>
          </w:tcPr>
          <w:p w14:paraId="7730A14A" w14:textId="77777777" w:rsidR="004F64EF" w:rsidRPr="003003C0" w:rsidRDefault="004F64EF" w:rsidP="001F3C85">
            <w:pPr>
              <w:jc w:val="center"/>
              <w:rPr>
                <w:sz w:val="15"/>
                <w:szCs w:val="15"/>
              </w:rPr>
            </w:pPr>
          </w:p>
        </w:tc>
        <w:tc>
          <w:tcPr>
            <w:tcW w:w="1278" w:type="dxa"/>
            <w:noWrap/>
            <w:hideMark/>
          </w:tcPr>
          <w:p w14:paraId="1FA88EFE" w14:textId="77777777" w:rsidR="004F64EF" w:rsidRPr="003003C0" w:rsidRDefault="004F64EF" w:rsidP="001F3C85">
            <w:pPr>
              <w:jc w:val="center"/>
              <w:rPr>
                <w:sz w:val="15"/>
                <w:szCs w:val="15"/>
              </w:rPr>
            </w:pPr>
          </w:p>
        </w:tc>
        <w:tc>
          <w:tcPr>
            <w:tcW w:w="1275" w:type="dxa"/>
            <w:noWrap/>
            <w:hideMark/>
          </w:tcPr>
          <w:p w14:paraId="20826A89" w14:textId="77777777" w:rsidR="004F64EF" w:rsidRPr="003003C0" w:rsidRDefault="004F64EF" w:rsidP="001F3C85">
            <w:pPr>
              <w:rPr>
                <w:sz w:val="15"/>
                <w:szCs w:val="15"/>
              </w:rPr>
            </w:pPr>
          </w:p>
        </w:tc>
      </w:tr>
      <w:tr w:rsidR="004F64EF" w:rsidRPr="003003C0" w14:paraId="3CD52AFC" w14:textId="77777777" w:rsidTr="001109BD">
        <w:trPr>
          <w:cnfStyle w:val="000000010000" w:firstRow="0" w:lastRow="0" w:firstColumn="0" w:lastColumn="0" w:oddVBand="0" w:evenVBand="0" w:oddHBand="0" w:evenHBand="1" w:firstRowFirstColumn="0" w:firstRowLastColumn="0" w:lastRowFirstColumn="0" w:lastRowLastColumn="0"/>
        </w:trPr>
        <w:tc>
          <w:tcPr>
            <w:tcW w:w="1980" w:type="dxa"/>
            <w:noWrap/>
            <w:hideMark/>
          </w:tcPr>
          <w:p w14:paraId="4C4C6C22" w14:textId="77777777" w:rsidR="004F64EF" w:rsidRPr="003003C0" w:rsidRDefault="004F64EF" w:rsidP="001F3C85">
            <w:pPr>
              <w:jc w:val="left"/>
              <w:rPr>
                <w:rFonts w:cs="Calibri"/>
                <w:color w:val="000000"/>
                <w:sz w:val="15"/>
                <w:szCs w:val="15"/>
              </w:rPr>
            </w:pPr>
            <w:r w:rsidRPr="003003C0">
              <w:rPr>
                <w:rFonts w:cs="Calibri"/>
                <w:color w:val="000000"/>
                <w:sz w:val="15"/>
                <w:szCs w:val="15"/>
              </w:rPr>
              <w:t>0402.21.10</w:t>
            </w:r>
          </w:p>
        </w:tc>
        <w:tc>
          <w:tcPr>
            <w:tcW w:w="941" w:type="dxa"/>
            <w:noWrap/>
            <w:hideMark/>
          </w:tcPr>
          <w:p w14:paraId="2ADD29C5" w14:textId="77777777" w:rsidR="004F64EF" w:rsidRPr="003003C0" w:rsidRDefault="004F64EF" w:rsidP="001F3C85">
            <w:pPr>
              <w:jc w:val="center"/>
              <w:rPr>
                <w:rFonts w:cs="Calibri"/>
                <w:color w:val="000000"/>
                <w:sz w:val="15"/>
                <w:szCs w:val="15"/>
              </w:rPr>
            </w:pPr>
            <w:r w:rsidRPr="003003C0">
              <w:rPr>
                <w:rFonts w:cs="Calibri"/>
                <w:color w:val="000000"/>
                <w:sz w:val="15"/>
                <w:szCs w:val="15"/>
              </w:rPr>
              <w:t>0</w:t>
            </w:r>
          </w:p>
        </w:tc>
        <w:tc>
          <w:tcPr>
            <w:tcW w:w="800" w:type="dxa"/>
            <w:noWrap/>
            <w:hideMark/>
          </w:tcPr>
          <w:p w14:paraId="0198471B" w14:textId="77777777" w:rsidR="004F64EF" w:rsidRPr="003003C0" w:rsidRDefault="004F64EF" w:rsidP="001F3C85">
            <w:pPr>
              <w:jc w:val="center"/>
              <w:rPr>
                <w:rFonts w:cs="Calibri"/>
                <w:color w:val="000000"/>
                <w:sz w:val="15"/>
                <w:szCs w:val="15"/>
              </w:rPr>
            </w:pPr>
            <w:r w:rsidRPr="003003C0">
              <w:rPr>
                <w:rFonts w:cs="Calibri"/>
                <w:color w:val="000000"/>
                <w:sz w:val="15"/>
                <w:szCs w:val="15"/>
              </w:rPr>
              <w:t>26</w:t>
            </w:r>
            <w:r>
              <w:rPr>
                <w:rFonts w:cs="Calibri"/>
                <w:color w:val="000000"/>
                <w:sz w:val="15"/>
                <w:szCs w:val="15"/>
              </w:rPr>
              <w:t>.</w:t>
            </w:r>
            <w:r w:rsidRPr="003003C0">
              <w:rPr>
                <w:rFonts w:cs="Calibri"/>
                <w:color w:val="000000"/>
                <w:sz w:val="15"/>
                <w:szCs w:val="15"/>
              </w:rPr>
              <w:t>88</w:t>
            </w:r>
          </w:p>
        </w:tc>
        <w:tc>
          <w:tcPr>
            <w:tcW w:w="800" w:type="dxa"/>
            <w:noWrap/>
            <w:hideMark/>
          </w:tcPr>
          <w:p w14:paraId="49EC96CC" w14:textId="77777777" w:rsidR="004F64EF" w:rsidRPr="003003C0" w:rsidRDefault="004F64EF" w:rsidP="001F3C85">
            <w:pPr>
              <w:jc w:val="center"/>
              <w:rPr>
                <w:rFonts w:cs="Calibri"/>
                <w:color w:val="000000"/>
                <w:sz w:val="15"/>
                <w:szCs w:val="15"/>
              </w:rPr>
            </w:pPr>
            <w:r w:rsidRPr="003003C0">
              <w:rPr>
                <w:rFonts w:cs="Calibri"/>
                <w:color w:val="000000"/>
                <w:sz w:val="15"/>
                <w:szCs w:val="15"/>
              </w:rPr>
              <w:t>20</w:t>
            </w:r>
            <w:r>
              <w:rPr>
                <w:rFonts w:cs="Calibri"/>
                <w:color w:val="000000"/>
                <w:sz w:val="15"/>
                <w:szCs w:val="15"/>
              </w:rPr>
              <w:t>.</w:t>
            </w:r>
            <w:r w:rsidRPr="003003C0">
              <w:rPr>
                <w:rFonts w:cs="Calibri"/>
                <w:color w:val="000000"/>
                <w:sz w:val="15"/>
                <w:szCs w:val="15"/>
              </w:rPr>
              <w:t>16</w:t>
            </w:r>
          </w:p>
        </w:tc>
        <w:tc>
          <w:tcPr>
            <w:tcW w:w="996" w:type="dxa"/>
            <w:noWrap/>
            <w:hideMark/>
          </w:tcPr>
          <w:p w14:paraId="1461EE99" w14:textId="77777777" w:rsidR="004F64EF" w:rsidRPr="003003C0" w:rsidRDefault="004F64EF" w:rsidP="001F3C85">
            <w:pPr>
              <w:jc w:val="center"/>
              <w:rPr>
                <w:rFonts w:cs="Calibri"/>
                <w:color w:val="000000"/>
                <w:sz w:val="15"/>
                <w:szCs w:val="15"/>
              </w:rPr>
            </w:pPr>
          </w:p>
        </w:tc>
        <w:tc>
          <w:tcPr>
            <w:tcW w:w="997" w:type="dxa"/>
            <w:gridSpan w:val="2"/>
            <w:noWrap/>
            <w:hideMark/>
          </w:tcPr>
          <w:p w14:paraId="0C0B2466" w14:textId="77777777" w:rsidR="004F64EF" w:rsidRPr="003003C0" w:rsidRDefault="004F64EF" w:rsidP="001F3C85">
            <w:pPr>
              <w:jc w:val="center"/>
              <w:rPr>
                <w:sz w:val="15"/>
                <w:szCs w:val="15"/>
              </w:rPr>
            </w:pPr>
          </w:p>
        </w:tc>
        <w:tc>
          <w:tcPr>
            <w:tcW w:w="1278" w:type="dxa"/>
            <w:noWrap/>
            <w:hideMark/>
          </w:tcPr>
          <w:p w14:paraId="2280151A" w14:textId="77777777" w:rsidR="004F64EF" w:rsidRPr="003003C0" w:rsidRDefault="004F64EF" w:rsidP="001F3C85">
            <w:pPr>
              <w:jc w:val="center"/>
              <w:rPr>
                <w:sz w:val="15"/>
                <w:szCs w:val="15"/>
              </w:rPr>
            </w:pPr>
          </w:p>
        </w:tc>
        <w:tc>
          <w:tcPr>
            <w:tcW w:w="1275" w:type="dxa"/>
            <w:noWrap/>
            <w:hideMark/>
          </w:tcPr>
          <w:p w14:paraId="26B65B31" w14:textId="77777777" w:rsidR="004F64EF" w:rsidRPr="003003C0" w:rsidRDefault="004F64EF" w:rsidP="001F3C85">
            <w:pPr>
              <w:jc w:val="center"/>
              <w:rPr>
                <w:sz w:val="15"/>
                <w:szCs w:val="15"/>
              </w:rPr>
            </w:pPr>
          </w:p>
        </w:tc>
      </w:tr>
      <w:tr w:rsidR="004F64EF" w:rsidRPr="003003C0" w14:paraId="13F0B246" w14:textId="77777777" w:rsidTr="001109BD">
        <w:tc>
          <w:tcPr>
            <w:tcW w:w="1980" w:type="dxa"/>
            <w:noWrap/>
            <w:hideMark/>
          </w:tcPr>
          <w:p w14:paraId="58DEEAA0" w14:textId="77777777" w:rsidR="004F64EF" w:rsidRPr="003003C0" w:rsidRDefault="004F64EF" w:rsidP="001F3C85">
            <w:pPr>
              <w:jc w:val="left"/>
              <w:rPr>
                <w:rFonts w:cs="Calibri"/>
                <w:color w:val="000000"/>
                <w:sz w:val="15"/>
                <w:szCs w:val="15"/>
              </w:rPr>
            </w:pPr>
            <w:r w:rsidRPr="003003C0">
              <w:rPr>
                <w:rFonts w:cs="Calibri"/>
                <w:color w:val="000000"/>
                <w:sz w:val="15"/>
                <w:szCs w:val="15"/>
              </w:rPr>
              <w:t>0402.21.90</w:t>
            </w:r>
          </w:p>
        </w:tc>
        <w:tc>
          <w:tcPr>
            <w:tcW w:w="941" w:type="dxa"/>
            <w:noWrap/>
            <w:hideMark/>
          </w:tcPr>
          <w:p w14:paraId="7ADBD73C" w14:textId="77777777" w:rsidR="004F64EF" w:rsidRPr="003003C0" w:rsidRDefault="004F64EF" w:rsidP="001F3C85">
            <w:pPr>
              <w:jc w:val="center"/>
              <w:rPr>
                <w:rFonts w:cs="Calibri"/>
                <w:color w:val="000000"/>
                <w:sz w:val="15"/>
                <w:szCs w:val="15"/>
              </w:rPr>
            </w:pPr>
            <w:r w:rsidRPr="003003C0">
              <w:rPr>
                <w:rFonts w:cs="Calibri"/>
                <w:color w:val="000000"/>
                <w:sz w:val="15"/>
                <w:szCs w:val="15"/>
              </w:rPr>
              <w:t>0</w:t>
            </w:r>
          </w:p>
        </w:tc>
        <w:tc>
          <w:tcPr>
            <w:tcW w:w="800" w:type="dxa"/>
            <w:noWrap/>
            <w:hideMark/>
          </w:tcPr>
          <w:p w14:paraId="5EDD1434" w14:textId="77777777" w:rsidR="004F64EF" w:rsidRPr="003003C0" w:rsidRDefault="004F64EF" w:rsidP="001F3C85">
            <w:pPr>
              <w:jc w:val="center"/>
              <w:rPr>
                <w:rFonts w:cs="Calibri"/>
                <w:color w:val="000000"/>
                <w:sz w:val="15"/>
                <w:szCs w:val="15"/>
              </w:rPr>
            </w:pPr>
            <w:r w:rsidRPr="003003C0">
              <w:rPr>
                <w:rFonts w:cs="Calibri"/>
                <w:color w:val="000000"/>
                <w:sz w:val="15"/>
                <w:szCs w:val="15"/>
              </w:rPr>
              <w:t>26</w:t>
            </w:r>
            <w:r>
              <w:rPr>
                <w:rFonts w:cs="Calibri"/>
                <w:color w:val="000000"/>
                <w:sz w:val="15"/>
                <w:szCs w:val="15"/>
              </w:rPr>
              <w:t>.</w:t>
            </w:r>
            <w:r w:rsidRPr="003003C0">
              <w:rPr>
                <w:rFonts w:cs="Calibri"/>
                <w:color w:val="000000"/>
                <w:sz w:val="15"/>
                <w:szCs w:val="15"/>
              </w:rPr>
              <w:t>88</w:t>
            </w:r>
          </w:p>
        </w:tc>
        <w:tc>
          <w:tcPr>
            <w:tcW w:w="800" w:type="dxa"/>
            <w:noWrap/>
            <w:hideMark/>
          </w:tcPr>
          <w:p w14:paraId="625CEF06" w14:textId="77777777" w:rsidR="004F64EF" w:rsidRPr="003003C0" w:rsidRDefault="004F64EF" w:rsidP="001F3C85">
            <w:pPr>
              <w:jc w:val="center"/>
              <w:rPr>
                <w:rFonts w:cs="Calibri"/>
                <w:color w:val="000000"/>
                <w:sz w:val="15"/>
                <w:szCs w:val="15"/>
              </w:rPr>
            </w:pPr>
            <w:r w:rsidRPr="003003C0">
              <w:rPr>
                <w:rFonts w:cs="Calibri"/>
                <w:color w:val="000000"/>
                <w:sz w:val="15"/>
                <w:szCs w:val="15"/>
              </w:rPr>
              <w:t>20</w:t>
            </w:r>
            <w:r>
              <w:rPr>
                <w:rFonts w:cs="Calibri"/>
                <w:color w:val="000000"/>
                <w:sz w:val="15"/>
                <w:szCs w:val="15"/>
              </w:rPr>
              <w:t>.</w:t>
            </w:r>
            <w:r w:rsidRPr="003003C0">
              <w:rPr>
                <w:rFonts w:cs="Calibri"/>
                <w:color w:val="000000"/>
                <w:sz w:val="15"/>
                <w:szCs w:val="15"/>
              </w:rPr>
              <w:t>16</w:t>
            </w:r>
          </w:p>
        </w:tc>
        <w:tc>
          <w:tcPr>
            <w:tcW w:w="996" w:type="dxa"/>
            <w:noWrap/>
            <w:hideMark/>
          </w:tcPr>
          <w:p w14:paraId="224A94BF" w14:textId="77777777" w:rsidR="004F64EF" w:rsidRPr="003003C0" w:rsidRDefault="004F64EF" w:rsidP="001F3C85">
            <w:pPr>
              <w:jc w:val="center"/>
              <w:rPr>
                <w:rFonts w:cs="Calibri"/>
                <w:color w:val="000000"/>
                <w:sz w:val="15"/>
                <w:szCs w:val="15"/>
              </w:rPr>
            </w:pPr>
          </w:p>
        </w:tc>
        <w:tc>
          <w:tcPr>
            <w:tcW w:w="997" w:type="dxa"/>
            <w:gridSpan w:val="2"/>
            <w:noWrap/>
            <w:hideMark/>
          </w:tcPr>
          <w:p w14:paraId="22391584" w14:textId="77777777" w:rsidR="004F64EF" w:rsidRPr="003003C0" w:rsidRDefault="004F64EF" w:rsidP="001F3C85">
            <w:pPr>
              <w:jc w:val="center"/>
              <w:rPr>
                <w:sz w:val="15"/>
                <w:szCs w:val="15"/>
              </w:rPr>
            </w:pPr>
          </w:p>
        </w:tc>
        <w:tc>
          <w:tcPr>
            <w:tcW w:w="1278" w:type="dxa"/>
            <w:noWrap/>
            <w:hideMark/>
          </w:tcPr>
          <w:p w14:paraId="02FB304A" w14:textId="77777777" w:rsidR="004F64EF" w:rsidRPr="003003C0" w:rsidRDefault="004F64EF" w:rsidP="001F3C85">
            <w:pPr>
              <w:jc w:val="center"/>
              <w:rPr>
                <w:sz w:val="15"/>
                <w:szCs w:val="15"/>
              </w:rPr>
            </w:pPr>
          </w:p>
        </w:tc>
        <w:tc>
          <w:tcPr>
            <w:tcW w:w="1275" w:type="dxa"/>
            <w:noWrap/>
            <w:hideMark/>
          </w:tcPr>
          <w:p w14:paraId="7978375C" w14:textId="77777777" w:rsidR="004F64EF" w:rsidRPr="003003C0" w:rsidRDefault="004F64EF" w:rsidP="001F3C85">
            <w:pPr>
              <w:rPr>
                <w:sz w:val="15"/>
                <w:szCs w:val="15"/>
              </w:rPr>
            </w:pPr>
          </w:p>
        </w:tc>
      </w:tr>
      <w:tr w:rsidR="004F64EF" w:rsidRPr="003003C0" w14:paraId="68B72034" w14:textId="77777777" w:rsidTr="001109BD">
        <w:trPr>
          <w:cnfStyle w:val="000000010000" w:firstRow="0" w:lastRow="0" w:firstColumn="0" w:lastColumn="0" w:oddVBand="0" w:evenVBand="0" w:oddHBand="0" w:evenHBand="1" w:firstRowFirstColumn="0" w:firstRowLastColumn="0" w:lastRowFirstColumn="0" w:lastRowLastColumn="0"/>
        </w:trPr>
        <w:tc>
          <w:tcPr>
            <w:tcW w:w="1980" w:type="dxa"/>
            <w:noWrap/>
            <w:hideMark/>
          </w:tcPr>
          <w:p w14:paraId="13F3D690" w14:textId="77777777" w:rsidR="004F64EF" w:rsidRPr="003003C0" w:rsidRDefault="004F64EF" w:rsidP="001F3C85">
            <w:pPr>
              <w:jc w:val="left"/>
              <w:rPr>
                <w:rFonts w:cs="Calibri"/>
                <w:color w:val="000000"/>
                <w:sz w:val="15"/>
                <w:szCs w:val="15"/>
              </w:rPr>
            </w:pPr>
            <w:r w:rsidRPr="003003C0">
              <w:rPr>
                <w:rFonts w:cs="Calibri"/>
                <w:color w:val="000000"/>
                <w:sz w:val="15"/>
                <w:szCs w:val="15"/>
              </w:rPr>
              <w:t>0402.29.10</w:t>
            </w:r>
          </w:p>
        </w:tc>
        <w:tc>
          <w:tcPr>
            <w:tcW w:w="941" w:type="dxa"/>
            <w:noWrap/>
            <w:hideMark/>
          </w:tcPr>
          <w:p w14:paraId="0C7B0F75" w14:textId="77777777" w:rsidR="004F64EF" w:rsidRPr="003003C0" w:rsidRDefault="004F64EF" w:rsidP="001F3C85">
            <w:pPr>
              <w:jc w:val="center"/>
              <w:rPr>
                <w:rFonts w:cs="Calibri"/>
                <w:color w:val="000000"/>
                <w:sz w:val="15"/>
                <w:szCs w:val="15"/>
              </w:rPr>
            </w:pPr>
            <w:r w:rsidRPr="003003C0">
              <w:rPr>
                <w:rFonts w:cs="Calibri"/>
                <w:color w:val="000000"/>
                <w:sz w:val="15"/>
                <w:szCs w:val="15"/>
              </w:rPr>
              <w:t>0</w:t>
            </w:r>
          </w:p>
        </w:tc>
        <w:tc>
          <w:tcPr>
            <w:tcW w:w="800" w:type="dxa"/>
            <w:noWrap/>
            <w:hideMark/>
          </w:tcPr>
          <w:p w14:paraId="680CB75F" w14:textId="77777777" w:rsidR="004F64EF" w:rsidRPr="003003C0" w:rsidRDefault="004F64EF" w:rsidP="001F3C85">
            <w:pPr>
              <w:jc w:val="center"/>
              <w:rPr>
                <w:rFonts w:cs="Calibri"/>
                <w:color w:val="000000"/>
                <w:sz w:val="15"/>
                <w:szCs w:val="15"/>
              </w:rPr>
            </w:pPr>
            <w:r w:rsidRPr="003003C0">
              <w:rPr>
                <w:rFonts w:cs="Calibri"/>
                <w:color w:val="000000"/>
                <w:sz w:val="15"/>
                <w:szCs w:val="15"/>
              </w:rPr>
              <w:t>26</w:t>
            </w:r>
            <w:r>
              <w:rPr>
                <w:rFonts w:cs="Calibri"/>
                <w:color w:val="000000"/>
                <w:sz w:val="15"/>
                <w:szCs w:val="15"/>
              </w:rPr>
              <w:t>.</w:t>
            </w:r>
            <w:r w:rsidRPr="003003C0">
              <w:rPr>
                <w:rFonts w:cs="Calibri"/>
                <w:color w:val="000000"/>
                <w:sz w:val="15"/>
                <w:szCs w:val="15"/>
              </w:rPr>
              <w:t>88</w:t>
            </w:r>
          </w:p>
        </w:tc>
        <w:tc>
          <w:tcPr>
            <w:tcW w:w="800" w:type="dxa"/>
            <w:noWrap/>
            <w:hideMark/>
          </w:tcPr>
          <w:p w14:paraId="4AE3965F" w14:textId="77777777" w:rsidR="004F64EF" w:rsidRPr="003003C0" w:rsidRDefault="004F64EF" w:rsidP="001F3C85">
            <w:pPr>
              <w:jc w:val="center"/>
              <w:rPr>
                <w:rFonts w:cs="Calibri"/>
                <w:color w:val="000000"/>
                <w:sz w:val="15"/>
                <w:szCs w:val="15"/>
              </w:rPr>
            </w:pPr>
            <w:r w:rsidRPr="003003C0">
              <w:rPr>
                <w:rFonts w:cs="Calibri"/>
                <w:color w:val="000000"/>
                <w:sz w:val="15"/>
                <w:szCs w:val="15"/>
              </w:rPr>
              <w:t>20</w:t>
            </w:r>
            <w:r>
              <w:rPr>
                <w:rFonts w:cs="Calibri"/>
                <w:color w:val="000000"/>
                <w:sz w:val="15"/>
                <w:szCs w:val="15"/>
              </w:rPr>
              <w:t>.</w:t>
            </w:r>
            <w:r w:rsidRPr="003003C0">
              <w:rPr>
                <w:rFonts w:cs="Calibri"/>
                <w:color w:val="000000"/>
                <w:sz w:val="15"/>
                <w:szCs w:val="15"/>
              </w:rPr>
              <w:t>16</w:t>
            </w:r>
          </w:p>
        </w:tc>
        <w:tc>
          <w:tcPr>
            <w:tcW w:w="996" w:type="dxa"/>
            <w:hideMark/>
          </w:tcPr>
          <w:p w14:paraId="180C92B5" w14:textId="77777777" w:rsidR="004F64EF" w:rsidRPr="003003C0" w:rsidRDefault="004F64EF" w:rsidP="001F3C85">
            <w:pPr>
              <w:jc w:val="center"/>
              <w:rPr>
                <w:rFonts w:cs="Calibri"/>
                <w:color w:val="000000"/>
                <w:sz w:val="15"/>
                <w:szCs w:val="15"/>
              </w:rPr>
            </w:pPr>
          </w:p>
        </w:tc>
        <w:tc>
          <w:tcPr>
            <w:tcW w:w="997" w:type="dxa"/>
            <w:gridSpan w:val="2"/>
            <w:hideMark/>
          </w:tcPr>
          <w:p w14:paraId="3564D537" w14:textId="77777777" w:rsidR="004F64EF" w:rsidRPr="003003C0" w:rsidRDefault="004F64EF" w:rsidP="001F3C85">
            <w:pPr>
              <w:jc w:val="center"/>
              <w:rPr>
                <w:sz w:val="15"/>
                <w:szCs w:val="15"/>
              </w:rPr>
            </w:pPr>
          </w:p>
        </w:tc>
        <w:tc>
          <w:tcPr>
            <w:tcW w:w="1278" w:type="dxa"/>
            <w:noWrap/>
            <w:hideMark/>
          </w:tcPr>
          <w:p w14:paraId="78545FF1" w14:textId="77777777" w:rsidR="004F64EF" w:rsidRPr="003003C0" w:rsidRDefault="004F64EF" w:rsidP="001F3C85">
            <w:pPr>
              <w:jc w:val="center"/>
              <w:rPr>
                <w:sz w:val="15"/>
                <w:szCs w:val="15"/>
              </w:rPr>
            </w:pPr>
          </w:p>
        </w:tc>
        <w:tc>
          <w:tcPr>
            <w:tcW w:w="1275" w:type="dxa"/>
            <w:noWrap/>
            <w:hideMark/>
          </w:tcPr>
          <w:p w14:paraId="57F18CE5" w14:textId="77777777" w:rsidR="004F64EF" w:rsidRPr="003003C0" w:rsidRDefault="004F64EF" w:rsidP="001F3C85">
            <w:pPr>
              <w:jc w:val="center"/>
              <w:rPr>
                <w:sz w:val="15"/>
                <w:szCs w:val="15"/>
              </w:rPr>
            </w:pPr>
          </w:p>
        </w:tc>
      </w:tr>
      <w:tr w:rsidR="004F64EF" w:rsidRPr="003003C0" w14:paraId="677DE351" w14:textId="77777777" w:rsidTr="001109BD">
        <w:tc>
          <w:tcPr>
            <w:tcW w:w="1980" w:type="dxa"/>
            <w:noWrap/>
            <w:hideMark/>
          </w:tcPr>
          <w:p w14:paraId="545B6420" w14:textId="77777777" w:rsidR="004F64EF" w:rsidRPr="003003C0" w:rsidRDefault="004F64EF" w:rsidP="001F3C85">
            <w:pPr>
              <w:jc w:val="left"/>
              <w:rPr>
                <w:rFonts w:cs="Calibri"/>
                <w:color w:val="000000"/>
                <w:sz w:val="15"/>
                <w:szCs w:val="15"/>
              </w:rPr>
            </w:pPr>
            <w:r w:rsidRPr="003003C0">
              <w:rPr>
                <w:rFonts w:cs="Calibri"/>
                <w:color w:val="000000"/>
                <w:sz w:val="15"/>
                <w:szCs w:val="15"/>
              </w:rPr>
              <w:t>0402.29.90</w:t>
            </w:r>
          </w:p>
        </w:tc>
        <w:tc>
          <w:tcPr>
            <w:tcW w:w="941" w:type="dxa"/>
            <w:noWrap/>
            <w:hideMark/>
          </w:tcPr>
          <w:p w14:paraId="511CF56B" w14:textId="77777777" w:rsidR="004F64EF" w:rsidRPr="003003C0" w:rsidRDefault="004F64EF" w:rsidP="001F3C85">
            <w:pPr>
              <w:jc w:val="center"/>
              <w:rPr>
                <w:rFonts w:cs="Calibri"/>
                <w:color w:val="000000"/>
                <w:sz w:val="15"/>
                <w:szCs w:val="15"/>
              </w:rPr>
            </w:pPr>
            <w:r w:rsidRPr="003003C0">
              <w:rPr>
                <w:rFonts w:cs="Calibri"/>
                <w:color w:val="000000"/>
                <w:sz w:val="15"/>
                <w:szCs w:val="15"/>
              </w:rPr>
              <w:t>0</w:t>
            </w:r>
          </w:p>
        </w:tc>
        <w:tc>
          <w:tcPr>
            <w:tcW w:w="800" w:type="dxa"/>
            <w:noWrap/>
            <w:hideMark/>
          </w:tcPr>
          <w:p w14:paraId="5EFFE2E2" w14:textId="77777777" w:rsidR="004F64EF" w:rsidRPr="003003C0" w:rsidRDefault="004F64EF" w:rsidP="001F3C85">
            <w:pPr>
              <w:jc w:val="center"/>
              <w:rPr>
                <w:rFonts w:cs="Calibri"/>
                <w:color w:val="000000"/>
                <w:sz w:val="15"/>
                <w:szCs w:val="15"/>
              </w:rPr>
            </w:pPr>
            <w:r w:rsidRPr="003003C0">
              <w:rPr>
                <w:rFonts w:cs="Calibri"/>
                <w:color w:val="000000"/>
                <w:sz w:val="15"/>
                <w:szCs w:val="15"/>
              </w:rPr>
              <w:t>26</w:t>
            </w:r>
            <w:r>
              <w:rPr>
                <w:rFonts w:cs="Calibri"/>
                <w:color w:val="000000"/>
                <w:sz w:val="15"/>
                <w:szCs w:val="15"/>
              </w:rPr>
              <w:t>.</w:t>
            </w:r>
            <w:r w:rsidRPr="003003C0">
              <w:rPr>
                <w:rFonts w:cs="Calibri"/>
                <w:color w:val="000000"/>
                <w:sz w:val="15"/>
                <w:szCs w:val="15"/>
              </w:rPr>
              <w:t>88</w:t>
            </w:r>
          </w:p>
        </w:tc>
        <w:tc>
          <w:tcPr>
            <w:tcW w:w="800" w:type="dxa"/>
            <w:noWrap/>
            <w:hideMark/>
          </w:tcPr>
          <w:p w14:paraId="19AFF037" w14:textId="77777777" w:rsidR="004F64EF" w:rsidRPr="003003C0" w:rsidRDefault="004F64EF" w:rsidP="001F3C85">
            <w:pPr>
              <w:jc w:val="center"/>
              <w:rPr>
                <w:rFonts w:cs="Calibri"/>
                <w:color w:val="000000"/>
                <w:sz w:val="15"/>
                <w:szCs w:val="15"/>
              </w:rPr>
            </w:pPr>
            <w:r w:rsidRPr="003003C0">
              <w:rPr>
                <w:rFonts w:cs="Calibri"/>
                <w:color w:val="000000"/>
                <w:sz w:val="15"/>
                <w:szCs w:val="15"/>
              </w:rPr>
              <w:t>20</w:t>
            </w:r>
            <w:r>
              <w:rPr>
                <w:rFonts w:cs="Calibri"/>
                <w:color w:val="000000"/>
                <w:sz w:val="15"/>
                <w:szCs w:val="15"/>
              </w:rPr>
              <w:t>.</w:t>
            </w:r>
            <w:r w:rsidRPr="003003C0">
              <w:rPr>
                <w:rFonts w:cs="Calibri"/>
                <w:color w:val="000000"/>
                <w:sz w:val="15"/>
                <w:szCs w:val="15"/>
              </w:rPr>
              <w:t>16</w:t>
            </w:r>
          </w:p>
        </w:tc>
        <w:tc>
          <w:tcPr>
            <w:tcW w:w="996" w:type="dxa"/>
            <w:hideMark/>
          </w:tcPr>
          <w:p w14:paraId="0D9F27FA" w14:textId="77777777" w:rsidR="004F64EF" w:rsidRPr="003003C0" w:rsidRDefault="004F64EF" w:rsidP="001F3C85">
            <w:pPr>
              <w:jc w:val="center"/>
              <w:rPr>
                <w:rFonts w:cs="Calibri"/>
                <w:color w:val="000000"/>
                <w:sz w:val="15"/>
                <w:szCs w:val="15"/>
              </w:rPr>
            </w:pPr>
          </w:p>
        </w:tc>
        <w:tc>
          <w:tcPr>
            <w:tcW w:w="997" w:type="dxa"/>
            <w:gridSpan w:val="2"/>
            <w:hideMark/>
          </w:tcPr>
          <w:p w14:paraId="2DCD6BED" w14:textId="77777777" w:rsidR="004F64EF" w:rsidRPr="003003C0" w:rsidRDefault="004F64EF" w:rsidP="001F3C85">
            <w:pPr>
              <w:jc w:val="center"/>
              <w:rPr>
                <w:sz w:val="15"/>
                <w:szCs w:val="15"/>
              </w:rPr>
            </w:pPr>
          </w:p>
        </w:tc>
        <w:tc>
          <w:tcPr>
            <w:tcW w:w="1278" w:type="dxa"/>
            <w:noWrap/>
            <w:hideMark/>
          </w:tcPr>
          <w:p w14:paraId="3CB22F3A" w14:textId="77777777" w:rsidR="004F64EF" w:rsidRPr="003003C0" w:rsidRDefault="004F64EF" w:rsidP="001F3C85">
            <w:pPr>
              <w:jc w:val="center"/>
              <w:rPr>
                <w:sz w:val="15"/>
                <w:szCs w:val="15"/>
              </w:rPr>
            </w:pPr>
          </w:p>
        </w:tc>
        <w:tc>
          <w:tcPr>
            <w:tcW w:w="1275" w:type="dxa"/>
            <w:noWrap/>
            <w:hideMark/>
          </w:tcPr>
          <w:p w14:paraId="1ACA8C87" w14:textId="77777777" w:rsidR="004F64EF" w:rsidRPr="003003C0" w:rsidRDefault="004F64EF" w:rsidP="001F3C85">
            <w:pPr>
              <w:jc w:val="center"/>
              <w:rPr>
                <w:sz w:val="15"/>
                <w:szCs w:val="15"/>
              </w:rPr>
            </w:pPr>
          </w:p>
        </w:tc>
      </w:tr>
      <w:tr w:rsidR="004F64EF" w:rsidRPr="003003C0" w14:paraId="3D62AA1C" w14:textId="77777777" w:rsidTr="001F3C85">
        <w:trPr>
          <w:cnfStyle w:val="000000010000" w:firstRow="0" w:lastRow="0" w:firstColumn="0" w:lastColumn="0" w:oddVBand="0" w:evenVBand="0" w:oddHBand="0" w:evenHBand="1" w:firstRowFirstColumn="0" w:firstRowLastColumn="0" w:lastRowFirstColumn="0" w:lastRowLastColumn="0"/>
        </w:trPr>
        <w:tc>
          <w:tcPr>
            <w:tcW w:w="9067" w:type="dxa"/>
            <w:gridSpan w:val="9"/>
            <w:noWrap/>
            <w:hideMark/>
          </w:tcPr>
          <w:p w14:paraId="6386972E" w14:textId="77777777" w:rsidR="004F64EF" w:rsidRPr="003003C0" w:rsidRDefault="004F64EF" w:rsidP="001F3C85">
            <w:pPr>
              <w:jc w:val="center"/>
              <w:rPr>
                <w:rFonts w:cs="Calibri"/>
                <w:b/>
                <w:bCs/>
                <w:color w:val="000000"/>
                <w:sz w:val="15"/>
                <w:szCs w:val="15"/>
              </w:rPr>
            </w:pPr>
            <w:r w:rsidRPr="003003C0">
              <w:rPr>
                <w:rFonts w:cs="Calibri"/>
                <w:b/>
                <w:bCs/>
                <w:color w:val="000000"/>
                <w:sz w:val="15"/>
                <w:szCs w:val="15"/>
              </w:rPr>
              <w:t>CAFTA-DR Nicaragua</w:t>
            </w:r>
          </w:p>
        </w:tc>
      </w:tr>
      <w:tr w:rsidR="004F64EF" w:rsidRPr="003003C0" w14:paraId="787190FA" w14:textId="77777777" w:rsidTr="001109BD">
        <w:tc>
          <w:tcPr>
            <w:tcW w:w="1980" w:type="dxa"/>
            <w:noWrap/>
            <w:hideMark/>
          </w:tcPr>
          <w:p w14:paraId="0D24CB51" w14:textId="77777777" w:rsidR="004F64EF" w:rsidRPr="003003C0" w:rsidRDefault="004F64EF" w:rsidP="001F3C85">
            <w:pPr>
              <w:jc w:val="left"/>
              <w:rPr>
                <w:rFonts w:cs="Calibri"/>
                <w:b/>
                <w:bCs/>
                <w:color w:val="000000"/>
                <w:sz w:val="15"/>
                <w:szCs w:val="15"/>
              </w:rPr>
            </w:pPr>
            <w:r>
              <w:rPr>
                <w:rFonts w:cs="Calibri"/>
                <w:b/>
                <w:bCs/>
                <w:color w:val="000000"/>
                <w:sz w:val="15"/>
                <w:szCs w:val="15"/>
              </w:rPr>
              <w:t>Chicken breasts</w:t>
            </w:r>
          </w:p>
        </w:tc>
        <w:tc>
          <w:tcPr>
            <w:tcW w:w="2541" w:type="dxa"/>
            <w:gridSpan w:val="3"/>
            <w:noWrap/>
            <w:hideMark/>
          </w:tcPr>
          <w:p w14:paraId="57989F6B" w14:textId="77777777" w:rsidR="004F64EF" w:rsidRPr="003003C0" w:rsidRDefault="004F64EF" w:rsidP="001F3C85">
            <w:pPr>
              <w:jc w:val="center"/>
              <w:rPr>
                <w:sz w:val="15"/>
                <w:szCs w:val="15"/>
              </w:rPr>
            </w:pPr>
          </w:p>
        </w:tc>
        <w:tc>
          <w:tcPr>
            <w:tcW w:w="996" w:type="dxa"/>
            <w:noWrap/>
            <w:hideMark/>
          </w:tcPr>
          <w:p w14:paraId="1528A02B" w14:textId="77777777" w:rsidR="004F64EF" w:rsidRPr="003003C0" w:rsidRDefault="004F64EF" w:rsidP="001F3C85">
            <w:pPr>
              <w:jc w:val="center"/>
              <w:rPr>
                <w:rFonts w:cs="Calibri"/>
                <w:b/>
                <w:bCs/>
                <w:color w:val="000000"/>
                <w:sz w:val="15"/>
                <w:szCs w:val="15"/>
              </w:rPr>
            </w:pPr>
            <w:r w:rsidRPr="003003C0">
              <w:rPr>
                <w:rFonts w:cs="Calibri"/>
                <w:b/>
                <w:bCs/>
                <w:color w:val="000000"/>
                <w:sz w:val="15"/>
                <w:szCs w:val="15"/>
              </w:rPr>
              <w:t>443</w:t>
            </w:r>
          </w:p>
        </w:tc>
        <w:tc>
          <w:tcPr>
            <w:tcW w:w="997" w:type="dxa"/>
            <w:gridSpan w:val="2"/>
            <w:noWrap/>
            <w:hideMark/>
          </w:tcPr>
          <w:p w14:paraId="5295525C" w14:textId="77777777" w:rsidR="004F64EF" w:rsidRPr="003003C0" w:rsidRDefault="004F64EF" w:rsidP="001F3C85">
            <w:pPr>
              <w:jc w:val="center"/>
              <w:rPr>
                <w:rFonts w:cs="Calibri"/>
                <w:b/>
                <w:bCs/>
                <w:color w:val="000000"/>
                <w:sz w:val="15"/>
                <w:szCs w:val="15"/>
              </w:rPr>
            </w:pPr>
            <w:r w:rsidRPr="003003C0">
              <w:rPr>
                <w:rFonts w:cs="Calibri"/>
                <w:b/>
                <w:bCs/>
                <w:color w:val="000000"/>
                <w:sz w:val="15"/>
                <w:szCs w:val="15"/>
              </w:rPr>
              <w:t>443</w:t>
            </w:r>
          </w:p>
        </w:tc>
        <w:tc>
          <w:tcPr>
            <w:tcW w:w="1278" w:type="dxa"/>
            <w:noWrap/>
            <w:hideMark/>
          </w:tcPr>
          <w:p w14:paraId="45856ADD" w14:textId="77777777" w:rsidR="004F64EF" w:rsidRPr="003003C0" w:rsidRDefault="004F64EF" w:rsidP="001F3C85">
            <w:pPr>
              <w:jc w:val="center"/>
              <w:rPr>
                <w:rFonts w:cs="Calibri"/>
                <w:b/>
                <w:bCs/>
                <w:color w:val="000000"/>
                <w:sz w:val="15"/>
                <w:szCs w:val="15"/>
              </w:rPr>
            </w:pPr>
            <w:r w:rsidRPr="003003C0">
              <w:rPr>
                <w:rFonts w:cs="Calibri"/>
                <w:b/>
                <w:bCs/>
                <w:color w:val="000000"/>
                <w:sz w:val="15"/>
                <w:szCs w:val="15"/>
              </w:rPr>
              <w:t>0</w:t>
            </w:r>
          </w:p>
        </w:tc>
        <w:tc>
          <w:tcPr>
            <w:tcW w:w="1275" w:type="dxa"/>
            <w:noWrap/>
            <w:hideMark/>
          </w:tcPr>
          <w:p w14:paraId="2A617927" w14:textId="77777777" w:rsidR="004F64EF" w:rsidRPr="003003C0" w:rsidRDefault="004F64EF" w:rsidP="001F3C85">
            <w:pPr>
              <w:jc w:val="center"/>
              <w:rPr>
                <w:rFonts w:cs="Calibri"/>
                <w:b/>
                <w:bCs/>
                <w:color w:val="000000"/>
                <w:sz w:val="15"/>
                <w:szCs w:val="15"/>
              </w:rPr>
            </w:pPr>
            <w:r w:rsidRPr="003003C0">
              <w:rPr>
                <w:rFonts w:cs="Calibri"/>
                <w:b/>
                <w:bCs/>
                <w:color w:val="000000"/>
                <w:sz w:val="15"/>
                <w:szCs w:val="15"/>
              </w:rPr>
              <w:t>0</w:t>
            </w:r>
          </w:p>
        </w:tc>
      </w:tr>
      <w:tr w:rsidR="004F64EF" w:rsidRPr="003003C0" w14:paraId="31901440" w14:textId="77777777" w:rsidTr="001109BD">
        <w:trPr>
          <w:cnfStyle w:val="000000010000" w:firstRow="0" w:lastRow="0" w:firstColumn="0" w:lastColumn="0" w:oddVBand="0" w:evenVBand="0" w:oddHBand="0" w:evenHBand="1" w:firstRowFirstColumn="0" w:firstRowLastColumn="0" w:lastRowFirstColumn="0" w:lastRowLastColumn="0"/>
        </w:trPr>
        <w:tc>
          <w:tcPr>
            <w:tcW w:w="1980" w:type="dxa"/>
            <w:noWrap/>
            <w:hideMark/>
          </w:tcPr>
          <w:p w14:paraId="37D3AF6C" w14:textId="77777777" w:rsidR="004F64EF" w:rsidRPr="003003C0" w:rsidRDefault="004F64EF" w:rsidP="001F3C85">
            <w:pPr>
              <w:jc w:val="left"/>
              <w:rPr>
                <w:rFonts w:cs="Calibri"/>
                <w:color w:val="000000"/>
                <w:sz w:val="15"/>
                <w:szCs w:val="15"/>
              </w:rPr>
            </w:pPr>
            <w:r w:rsidRPr="003003C0">
              <w:rPr>
                <w:rFonts w:cs="Calibri"/>
                <w:color w:val="000000"/>
                <w:sz w:val="15"/>
                <w:szCs w:val="15"/>
              </w:rPr>
              <w:t>0207.13.00</w:t>
            </w:r>
          </w:p>
        </w:tc>
        <w:tc>
          <w:tcPr>
            <w:tcW w:w="941" w:type="dxa"/>
            <w:noWrap/>
            <w:hideMark/>
          </w:tcPr>
          <w:p w14:paraId="4EFD8B97" w14:textId="77777777" w:rsidR="004F64EF" w:rsidRPr="003003C0" w:rsidRDefault="004F64EF" w:rsidP="001F3C85">
            <w:pPr>
              <w:jc w:val="center"/>
              <w:rPr>
                <w:rFonts w:cs="Calibri"/>
                <w:color w:val="000000"/>
                <w:sz w:val="15"/>
                <w:szCs w:val="15"/>
              </w:rPr>
            </w:pPr>
            <w:r w:rsidRPr="003003C0">
              <w:rPr>
                <w:rFonts w:cs="Calibri"/>
                <w:color w:val="000000"/>
                <w:sz w:val="15"/>
                <w:szCs w:val="15"/>
              </w:rPr>
              <w:t>10</w:t>
            </w:r>
          </w:p>
        </w:tc>
        <w:tc>
          <w:tcPr>
            <w:tcW w:w="800" w:type="dxa"/>
            <w:noWrap/>
            <w:hideMark/>
          </w:tcPr>
          <w:p w14:paraId="6FE0F306" w14:textId="77777777" w:rsidR="004F64EF" w:rsidRPr="003003C0" w:rsidRDefault="004F64EF" w:rsidP="001F3C85">
            <w:pPr>
              <w:jc w:val="center"/>
              <w:rPr>
                <w:rFonts w:cs="Calibri"/>
                <w:color w:val="000000"/>
                <w:sz w:val="15"/>
                <w:szCs w:val="15"/>
              </w:rPr>
            </w:pPr>
            <w:r w:rsidRPr="003003C0">
              <w:rPr>
                <w:rFonts w:cs="Calibri"/>
                <w:color w:val="000000"/>
                <w:sz w:val="15"/>
                <w:szCs w:val="15"/>
              </w:rPr>
              <w:t>47</w:t>
            </w:r>
            <w:r>
              <w:rPr>
                <w:rFonts w:cs="Calibri"/>
                <w:color w:val="000000"/>
                <w:sz w:val="15"/>
                <w:szCs w:val="15"/>
              </w:rPr>
              <w:t>.</w:t>
            </w:r>
            <w:r w:rsidRPr="003003C0">
              <w:rPr>
                <w:rFonts w:cs="Calibri"/>
                <w:color w:val="000000"/>
                <w:sz w:val="15"/>
                <w:szCs w:val="15"/>
              </w:rPr>
              <w:t>52</w:t>
            </w:r>
          </w:p>
        </w:tc>
        <w:tc>
          <w:tcPr>
            <w:tcW w:w="800" w:type="dxa"/>
            <w:noWrap/>
            <w:hideMark/>
          </w:tcPr>
          <w:p w14:paraId="23D81ED9" w14:textId="77777777" w:rsidR="004F64EF" w:rsidRPr="003003C0" w:rsidRDefault="004F64EF" w:rsidP="001F3C85">
            <w:pPr>
              <w:jc w:val="center"/>
              <w:rPr>
                <w:rFonts w:cs="Calibri"/>
                <w:color w:val="000000"/>
                <w:sz w:val="15"/>
                <w:szCs w:val="15"/>
              </w:rPr>
            </w:pPr>
            <w:r w:rsidRPr="003003C0">
              <w:rPr>
                <w:rFonts w:cs="Calibri"/>
                <w:color w:val="000000"/>
                <w:sz w:val="15"/>
                <w:szCs w:val="15"/>
              </w:rPr>
              <w:t>35</w:t>
            </w:r>
            <w:r>
              <w:rPr>
                <w:rFonts w:cs="Calibri"/>
                <w:color w:val="000000"/>
                <w:sz w:val="15"/>
                <w:szCs w:val="15"/>
              </w:rPr>
              <w:t>.</w:t>
            </w:r>
            <w:r w:rsidRPr="003003C0">
              <w:rPr>
                <w:rFonts w:cs="Calibri"/>
                <w:color w:val="000000"/>
                <w:sz w:val="15"/>
                <w:szCs w:val="15"/>
              </w:rPr>
              <w:t>64</w:t>
            </w:r>
          </w:p>
        </w:tc>
        <w:tc>
          <w:tcPr>
            <w:tcW w:w="996" w:type="dxa"/>
            <w:noWrap/>
            <w:hideMark/>
          </w:tcPr>
          <w:p w14:paraId="35243370" w14:textId="77777777" w:rsidR="004F64EF" w:rsidRPr="003003C0" w:rsidRDefault="004F64EF" w:rsidP="001F3C85">
            <w:pPr>
              <w:jc w:val="center"/>
              <w:rPr>
                <w:rFonts w:cs="Calibri"/>
                <w:color w:val="000000"/>
                <w:sz w:val="15"/>
                <w:szCs w:val="15"/>
              </w:rPr>
            </w:pPr>
          </w:p>
        </w:tc>
        <w:tc>
          <w:tcPr>
            <w:tcW w:w="997" w:type="dxa"/>
            <w:gridSpan w:val="2"/>
            <w:noWrap/>
            <w:hideMark/>
          </w:tcPr>
          <w:p w14:paraId="48D629E7" w14:textId="77777777" w:rsidR="004F64EF" w:rsidRPr="003003C0" w:rsidRDefault="004F64EF" w:rsidP="001F3C85">
            <w:pPr>
              <w:jc w:val="center"/>
              <w:rPr>
                <w:sz w:val="15"/>
                <w:szCs w:val="15"/>
              </w:rPr>
            </w:pPr>
          </w:p>
        </w:tc>
        <w:tc>
          <w:tcPr>
            <w:tcW w:w="1278" w:type="dxa"/>
            <w:noWrap/>
            <w:hideMark/>
          </w:tcPr>
          <w:p w14:paraId="5B125111" w14:textId="77777777" w:rsidR="004F64EF" w:rsidRPr="003003C0" w:rsidRDefault="004F64EF" w:rsidP="001F3C85">
            <w:pPr>
              <w:jc w:val="center"/>
              <w:rPr>
                <w:sz w:val="15"/>
                <w:szCs w:val="15"/>
              </w:rPr>
            </w:pPr>
          </w:p>
        </w:tc>
        <w:tc>
          <w:tcPr>
            <w:tcW w:w="1275" w:type="dxa"/>
            <w:noWrap/>
            <w:hideMark/>
          </w:tcPr>
          <w:p w14:paraId="68BCE452" w14:textId="77777777" w:rsidR="004F64EF" w:rsidRPr="003003C0" w:rsidRDefault="004F64EF" w:rsidP="001F3C85">
            <w:pPr>
              <w:jc w:val="center"/>
              <w:rPr>
                <w:sz w:val="15"/>
                <w:szCs w:val="15"/>
              </w:rPr>
            </w:pPr>
          </w:p>
        </w:tc>
      </w:tr>
      <w:tr w:rsidR="004F64EF" w:rsidRPr="003003C0" w14:paraId="5792F708" w14:textId="77777777" w:rsidTr="001109BD">
        <w:tc>
          <w:tcPr>
            <w:tcW w:w="1980" w:type="dxa"/>
            <w:noWrap/>
            <w:hideMark/>
          </w:tcPr>
          <w:p w14:paraId="7F65BBC1" w14:textId="77777777" w:rsidR="004F64EF" w:rsidRPr="003003C0" w:rsidRDefault="004F64EF" w:rsidP="001F3C85">
            <w:pPr>
              <w:jc w:val="left"/>
              <w:rPr>
                <w:rFonts w:cs="Calibri"/>
                <w:color w:val="000000"/>
                <w:sz w:val="15"/>
                <w:szCs w:val="15"/>
              </w:rPr>
            </w:pPr>
            <w:r w:rsidRPr="003003C0">
              <w:rPr>
                <w:rFonts w:cs="Calibri"/>
                <w:color w:val="000000"/>
                <w:sz w:val="15"/>
                <w:szCs w:val="15"/>
              </w:rPr>
              <w:t>0207.14.91</w:t>
            </w:r>
          </w:p>
        </w:tc>
        <w:tc>
          <w:tcPr>
            <w:tcW w:w="941" w:type="dxa"/>
            <w:noWrap/>
            <w:hideMark/>
          </w:tcPr>
          <w:p w14:paraId="7CE0D984" w14:textId="77777777" w:rsidR="004F64EF" w:rsidRPr="003003C0" w:rsidRDefault="004F64EF" w:rsidP="001F3C85">
            <w:pPr>
              <w:jc w:val="center"/>
              <w:rPr>
                <w:rFonts w:cs="Calibri"/>
                <w:color w:val="000000"/>
                <w:sz w:val="15"/>
                <w:szCs w:val="15"/>
              </w:rPr>
            </w:pPr>
            <w:r w:rsidRPr="003003C0">
              <w:rPr>
                <w:rFonts w:cs="Calibri"/>
                <w:color w:val="000000"/>
                <w:sz w:val="15"/>
                <w:szCs w:val="15"/>
              </w:rPr>
              <w:t>10</w:t>
            </w:r>
          </w:p>
        </w:tc>
        <w:tc>
          <w:tcPr>
            <w:tcW w:w="800" w:type="dxa"/>
            <w:noWrap/>
            <w:hideMark/>
          </w:tcPr>
          <w:p w14:paraId="59058746" w14:textId="77777777" w:rsidR="004F64EF" w:rsidRPr="003003C0" w:rsidRDefault="004F64EF" w:rsidP="001F3C85">
            <w:pPr>
              <w:jc w:val="center"/>
              <w:rPr>
                <w:rFonts w:cs="Calibri"/>
                <w:color w:val="000000"/>
                <w:sz w:val="15"/>
                <w:szCs w:val="15"/>
              </w:rPr>
            </w:pPr>
            <w:r w:rsidRPr="003003C0">
              <w:rPr>
                <w:rFonts w:cs="Calibri"/>
                <w:color w:val="000000"/>
                <w:sz w:val="15"/>
                <w:szCs w:val="15"/>
              </w:rPr>
              <w:t>47</w:t>
            </w:r>
            <w:r>
              <w:rPr>
                <w:rFonts w:cs="Calibri"/>
                <w:color w:val="000000"/>
                <w:sz w:val="15"/>
                <w:szCs w:val="15"/>
              </w:rPr>
              <w:t>.</w:t>
            </w:r>
            <w:r w:rsidRPr="003003C0">
              <w:rPr>
                <w:rFonts w:cs="Calibri"/>
                <w:color w:val="000000"/>
                <w:sz w:val="15"/>
                <w:szCs w:val="15"/>
              </w:rPr>
              <w:t>52</w:t>
            </w:r>
          </w:p>
        </w:tc>
        <w:tc>
          <w:tcPr>
            <w:tcW w:w="800" w:type="dxa"/>
            <w:noWrap/>
            <w:hideMark/>
          </w:tcPr>
          <w:p w14:paraId="44237F0B" w14:textId="77777777" w:rsidR="004F64EF" w:rsidRPr="003003C0" w:rsidRDefault="004F64EF" w:rsidP="001F3C85">
            <w:pPr>
              <w:jc w:val="center"/>
              <w:rPr>
                <w:rFonts w:cs="Calibri"/>
                <w:color w:val="000000"/>
                <w:sz w:val="15"/>
                <w:szCs w:val="15"/>
              </w:rPr>
            </w:pPr>
            <w:r w:rsidRPr="003003C0">
              <w:rPr>
                <w:rFonts w:cs="Calibri"/>
                <w:color w:val="000000"/>
                <w:sz w:val="15"/>
                <w:szCs w:val="15"/>
              </w:rPr>
              <w:t>35</w:t>
            </w:r>
            <w:r>
              <w:rPr>
                <w:rFonts w:cs="Calibri"/>
                <w:color w:val="000000"/>
                <w:sz w:val="15"/>
                <w:szCs w:val="15"/>
              </w:rPr>
              <w:t>.</w:t>
            </w:r>
            <w:r w:rsidRPr="003003C0">
              <w:rPr>
                <w:rFonts w:cs="Calibri"/>
                <w:color w:val="000000"/>
                <w:sz w:val="15"/>
                <w:szCs w:val="15"/>
              </w:rPr>
              <w:t>64</w:t>
            </w:r>
          </w:p>
        </w:tc>
        <w:tc>
          <w:tcPr>
            <w:tcW w:w="996" w:type="dxa"/>
            <w:noWrap/>
            <w:hideMark/>
          </w:tcPr>
          <w:p w14:paraId="20CD9114" w14:textId="77777777" w:rsidR="004F64EF" w:rsidRPr="003003C0" w:rsidRDefault="004F64EF" w:rsidP="001F3C85">
            <w:pPr>
              <w:jc w:val="center"/>
              <w:rPr>
                <w:rFonts w:cs="Calibri"/>
                <w:color w:val="000000"/>
                <w:sz w:val="15"/>
                <w:szCs w:val="15"/>
              </w:rPr>
            </w:pPr>
          </w:p>
        </w:tc>
        <w:tc>
          <w:tcPr>
            <w:tcW w:w="997" w:type="dxa"/>
            <w:gridSpan w:val="2"/>
            <w:noWrap/>
            <w:hideMark/>
          </w:tcPr>
          <w:p w14:paraId="09437C11" w14:textId="77777777" w:rsidR="004F64EF" w:rsidRPr="003003C0" w:rsidRDefault="004F64EF" w:rsidP="001F3C85">
            <w:pPr>
              <w:jc w:val="center"/>
              <w:rPr>
                <w:sz w:val="15"/>
                <w:szCs w:val="15"/>
              </w:rPr>
            </w:pPr>
          </w:p>
        </w:tc>
        <w:tc>
          <w:tcPr>
            <w:tcW w:w="1278" w:type="dxa"/>
            <w:noWrap/>
            <w:hideMark/>
          </w:tcPr>
          <w:p w14:paraId="7CFB5CCF" w14:textId="77777777" w:rsidR="004F64EF" w:rsidRPr="003003C0" w:rsidRDefault="004F64EF" w:rsidP="001F3C85">
            <w:pPr>
              <w:jc w:val="center"/>
              <w:rPr>
                <w:sz w:val="15"/>
                <w:szCs w:val="15"/>
              </w:rPr>
            </w:pPr>
          </w:p>
        </w:tc>
        <w:tc>
          <w:tcPr>
            <w:tcW w:w="1275" w:type="dxa"/>
            <w:noWrap/>
            <w:hideMark/>
          </w:tcPr>
          <w:p w14:paraId="522459B9" w14:textId="77777777" w:rsidR="004F64EF" w:rsidRPr="003003C0" w:rsidRDefault="004F64EF" w:rsidP="001F3C85">
            <w:pPr>
              <w:jc w:val="center"/>
              <w:rPr>
                <w:sz w:val="15"/>
                <w:szCs w:val="15"/>
              </w:rPr>
            </w:pPr>
          </w:p>
        </w:tc>
      </w:tr>
      <w:tr w:rsidR="004F64EF" w:rsidRPr="003003C0" w14:paraId="5BDC81B1" w14:textId="77777777" w:rsidTr="001109BD">
        <w:trPr>
          <w:cnfStyle w:val="000000010000" w:firstRow="0" w:lastRow="0" w:firstColumn="0" w:lastColumn="0" w:oddVBand="0" w:evenVBand="0" w:oddHBand="0" w:evenHBand="1" w:firstRowFirstColumn="0" w:firstRowLastColumn="0" w:lastRowFirstColumn="0" w:lastRowLastColumn="0"/>
        </w:trPr>
        <w:tc>
          <w:tcPr>
            <w:tcW w:w="1980" w:type="dxa"/>
            <w:noWrap/>
            <w:hideMark/>
          </w:tcPr>
          <w:p w14:paraId="3C1BCC2B" w14:textId="77777777" w:rsidR="004F64EF" w:rsidRPr="003003C0" w:rsidRDefault="004F64EF" w:rsidP="001F3C85">
            <w:pPr>
              <w:jc w:val="left"/>
              <w:rPr>
                <w:rFonts w:cs="Calibri"/>
                <w:b/>
                <w:bCs/>
                <w:color w:val="000000"/>
                <w:sz w:val="15"/>
                <w:szCs w:val="15"/>
              </w:rPr>
            </w:pPr>
            <w:r>
              <w:rPr>
                <w:rFonts w:cs="Calibri"/>
                <w:b/>
                <w:bCs/>
                <w:color w:val="000000"/>
                <w:sz w:val="15"/>
                <w:szCs w:val="15"/>
              </w:rPr>
              <w:t>Onions</w:t>
            </w:r>
          </w:p>
        </w:tc>
        <w:tc>
          <w:tcPr>
            <w:tcW w:w="941" w:type="dxa"/>
            <w:noWrap/>
            <w:hideMark/>
          </w:tcPr>
          <w:p w14:paraId="1174546E" w14:textId="77777777" w:rsidR="004F64EF" w:rsidRPr="003003C0" w:rsidRDefault="004F64EF" w:rsidP="001F3C85">
            <w:pPr>
              <w:rPr>
                <w:rFonts w:cs="Calibri"/>
                <w:b/>
                <w:bCs/>
                <w:color w:val="000000"/>
                <w:sz w:val="15"/>
                <w:szCs w:val="15"/>
              </w:rPr>
            </w:pPr>
          </w:p>
        </w:tc>
        <w:tc>
          <w:tcPr>
            <w:tcW w:w="800" w:type="dxa"/>
            <w:noWrap/>
            <w:hideMark/>
          </w:tcPr>
          <w:p w14:paraId="36D7CC64" w14:textId="77777777" w:rsidR="004F64EF" w:rsidRPr="003003C0" w:rsidRDefault="004F64EF" w:rsidP="001F3C85">
            <w:pPr>
              <w:jc w:val="center"/>
              <w:rPr>
                <w:sz w:val="15"/>
                <w:szCs w:val="15"/>
              </w:rPr>
            </w:pPr>
          </w:p>
        </w:tc>
        <w:tc>
          <w:tcPr>
            <w:tcW w:w="800" w:type="dxa"/>
            <w:noWrap/>
            <w:hideMark/>
          </w:tcPr>
          <w:p w14:paraId="0FC8D64C" w14:textId="77777777" w:rsidR="004F64EF" w:rsidRPr="003003C0" w:rsidRDefault="004F64EF" w:rsidP="001F3C85">
            <w:pPr>
              <w:jc w:val="center"/>
              <w:rPr>
                <w:sz w:val="15"/>
                <w:szCs w:val="15"/>
              </w:rPr>
            </w:pPr>
          </w:p>
        </w:tc>
        <w:tc>
          <w:tcPr>
            <w:tcW w:w="996" w:type="dxa"/>
            <w:noWrap/>
            <w:hideMark/>
          </w:tcPr>
          <w:p w14:paraId="26D1DD67" w14:textId="77777777" w:rsidR="004F64EF" w:rsidRPr="003003C0" w:rsidRDefault="004F64EF" w:rsidP="001F3C85">
            <w:pPr>
              <w:jc w:val="center"/>
              <w:rPr>
                <w:rFonts w:cs="Calibri"/>
                <w:b/>
                <w:bCs/>
                <w:color w:val="000000"/>
                <w:sz w:val="15"/>
                <w:szCs w:val="15"/>
              </w:rPr>
            </w:pPr>
            <w:r w:rsidRPr="003003C0">
              <w:rPr>
                <w:rFonts w:cs="Calibri"/>
                <w:b/>
                <w:bCs/>
                <w:color w:val="000000"/>
                <w:sz w:val="15"/>
                <w:szCs w:val="15"/>
              </w:rPr>
              <w:t>375</w:t>
            </w:r>
          </w:p>
        </w:tc>
        <w:tc>
          <w:tcPr>
            <w:tcW w:w="997" w:type="dxa"/>
            <w:gridSpan w:val="2"/>
            <w:noWrap/>
            <w:hideMark/>
          </w:tcPr>
          <w:p w14:paraId="5C27904F" w14:textId="77777777" w:rsidR="004F64EF" w:rsidRPr="003003C0" w:rsidRDefault="004F64EF" w:rsidP="001F3C85">
            <w:pPr>
              <w:jc w:val="center"/>
              <w:rPr>
                <w:rFonts w:cs="Calibri"/>
                <w:b/>
                <w:bCs/>
                <w:color w:val="000000"/>
                <w:sz w:val="15"/>
                <w:szCs w:val="15"/>
              </w:rPr>
            </w:pPr>
            <w:r w:rsidRPr="003003C0">
              <w:rPr>
                <w:rFonts w:cs="Calibri"/>
                <w:b/>
                <w:bCs/>
                <w:color w:val="000000"/>
                <w:sz w:val="15"/>
                <w:szCs w:val="15"/>
              </w:rPr>
              <w:t>375</w:t>
            </w:r>
          </w:p>
        </w:tc>
        <w:tc>
          <w:tcPr>
            <w:tcW w:w="1278" w:type="dxa"/>
            <w:noWrap/>
            <w:hideMark/>
          </w:tcPr>
          <w:p w14:paraId="74D80302" w14:textId="77777777" w:rsidR="004F64EF" w:rsidRPr="003003C0" w:rsidRDefault="004F64EF" w:rsidP="001F3C85">
            <w:pPr>
              <w:jc w:val="center"/>
              <w:rPr>
                <w:rFonts w:cs="Calibri"/>
                <w:b/>
                <w:bCs/>
                <w:color w:val="000000"/>
                <w:sz w:val="15"/>
                <w:szCs w:val="15"/>
              </w:rPr>
            </w:pPr>
            <w:r w:rsidRPr="003003C0">
              <w:rPr>
                <w:rFonts w:cs="Calibri"/>
                <w:b/>
                <w:bCs/>
                <w:color w:val="000000"/>
                <w:sz w:val="15"/>
                <w:szCs w:val="15"/>
              </w:rPr>
              <w:t>0</w:t>
            </w:r>
          </w:p>
        </w:tc>
        <w:tc>
          <w:tcPr>
            <w:tcW w:w="1275" w:type="dxa"/>
            <w:noWrap/>
            <w:hideMark/>
          </w:tcPr>
          <w:p w14:paraId="1DF85B8A" w14:textId="77777777" w:rsidR="004F64EF" w:rsidRPr="003003C0" w:rsidRDefault="004F64EF" w:rsidP="001F3C85">
            <w:pPr>
              <w:jc w:val="center"/>
              <w:rPr>
                <w:rFonts w:cs="Calibri"/>
                <w:b/>
                <w:bCs/>
                <w:color w:val="000000"/>
                <w:sz w:val="15"/>
                <w:szCs w:val="15"/>
              </w:rPr>
            </w:pPr>
            <w:r w:rsidRPr="003003C0">
              <w:rPr>
                <w:rFonts w:cs="Calibri"/>
                <w:b/>
                <w:bCs/>
                <w:color w:val="000000"/>
                <w:sz w:val="15"/>
                <w:szCs w:val="15"/>
              </w:rPr>
              <w:t>0</w:t>
            </w:r>
          </w:p>
        </w:tc>
      </w:tr>
      <w:tr w:rsidR="004F64EF" w:rsidRPr="003003C0" w14:paraId="515A7722" w14:textId="77777777" w:rsidTr="001109BD">
        <w:tc>
          <w:tcPr>
            <w:tcW w:w="1980" w:type="dxa"/>
            <w:noWrap/>
            <w:hideMark/>
          </w:tcPr>
          <w:p w14:paraId="356844DC" w14:textId="77777777" w:rsidR="004F64EF" w:rsidRPr="003003C0" w:rsidRDefault="004F64EF" w:rsidP="001F3C85">
            <w:pPr>
              <w:jc w:val="left"/>
              <w:rPr>
                <w:rFonts w:cs="Calibri"/>
                <w:color w:val="000000"/>
                <w:sz w:val="15"/>
                <w:szCs w:val="15"/>
              </w:rPr>
            </w:pPr>
            <w:r w:rsidRPr="003003C0">
              <w:rPr>
                <w:rFonts w:cs="Calibri"/>
                <w:color w:val="000000"/>
                <w:sz w:val="15"/>
                <w:szCs w:val="15"/>
              </w:rPr>
              <w:t>0703.10.00</w:t>
            </w:r>
          </w:p>
        </w:tc>
        <w:tc>
          <w:tcPr>
            <w:tcW w:w="941" w:type="dxa"/>
            <w:noWrap/>
            <w:hideMark/>
          </w:tcPr>
          <w:p w14:paraId="7C26726D" w14:textId="77777777" w:rsidR="004F64EF" w:rsidRPr="003003C0" w:rsidRDefault="004F64EF" w:rsidP="001F3C85">
            <w:pPr>
              <w:jc w:val="center"/>
              <w:rPr>
                <w:rFonts w:cs="Calibri"/>
                <w:color w:val="000000"/>
                <w:sz w:val="15"/>
                <w:szCs w:val="15"/>
              </w:rPr>
            </w:pPr>
            <w:r w:rsidRPr="003003C0">
              <w:rPr>
                <w:rFonts w:cs="Calibri"/>
                <w:color w:val="000000"/>
                <w:sz w:val="15"/>
                <w:szCs w:val="15"/>
              </w:rPr>
              <w:t>7</w:t>
            </w:r>
            <w:r>
              <w:rPr>
                <w:rFonts w:cs="Calibri"/>
                <w:color w:val="000000"/>
                <w:sz w:val="15"/>
                <w:szCs w:val="15"/>
              </w:rPr>
              <w:t>.</w:t>
            </w:r>
            <w:r w:rsidRPr="003003C0">
              <w:rPr>
                <w:rFonts w:cs="Calibri"/>
                <w:color w:val="000000"/>
                <w:sz w:val="15"/>
                <w:szCs w:val="15"/>
              </w:rPr>
              <w:t>5</w:t>
            </w:r>
          </w:p>
        </w:tc>
        <w:tc>
          <w:tcPr>
            <w:tcW w:w="800" w:type="dxa"/>
            <w:noWrap/>
            <w:hideMark/>
          </w:tcPr>
          <w:p w14:paraId="6A00BCE0" w14:textId="77777777" w:rsidR="004F64EF" w:rsidRPr="003003C0" w:rsidRDefault="004F64EF" w:rsidP="001F3C85">
            <w:pPr>
              <w:jc w:val="center"/>
              <w:rPr>
                <w:rFonts w:cs="Calibri"/>
                <w:color w:val="000000"/>
                <w:sz w:val="15"/>
                <w:szCs w:val="15"/>
              </w:rPr>
            </w:pPr>
            <w:r w:rsidRPr="003003C0">
              <w:rPr>
                <w:rFonts w:cs="Calibri"/>
                <w:color w:val="000000"/>
                <w:sz w:val="15"/>
                <w:szCs w:val="15"/>
              </w:rPr>
              <w:t>46</w:t>
            </w:r>
            <w:r>
              <w:rPr>
                <w:rFonts w:cs="Calibri"/>
                <w:color w:val="000000"/>
                <w:sz w:val="15"/>
                <w:szCs w:val="15"/>
              </w:rPr>
              <w:t>.</w:t>
            </w:r>
            <w:r w:rsidRPr="003003C0">
              <w:rPr>
                <w:rFonts w:cs="Calibri"/>
                <w:color w:val="000000"/>
                <w:sz w:val="15"/>
                <w:szCs w:val="15"/>
              </w:rPr>
              <w:t>56</w:t>
            </w:r>
          </w:p>
        </w:tc>
        <w:tc>
          <w:tcPr>
            <w:tcW w:w="800" w:type="dxa"/>
            <w:noWrap/>
            <w:hideMark/>
          </w:tcPr>
          <w:p w14:paraId="395AD230" w14:textId="77777777" w:rsidR="004F64EF" w:rsidRPr="003003C0" w:rsidRDefault="004F64EF" w:rsidP="001F3C85">
            <w:pPr>
              <w:jc w:val="center"/>
              <w:rPr>
                <w:rFonts w:cs="Calibri"/>
                <w:color w:val="000000"/>
                <w:sz w:val="15"/>
                <w:szCs w:val="15"/>
              </w:rPr>
            </w:pPr>
            <w:r w:rsidRPr="003003C0">
              <w:rPr>
                <w:rFonts w:cs="Calibri"/>
                <w:color w:val="000000"/>
                <w:sz w:val="15"/>
                <w:szCs w:val="15"/>
              </w:rPr>
              <w:t>34</w:t>
            </w:r>
            <w:r>
              <w:rPr>
                <w:rFonts w:cs="Calibri"/>
                <w:color w:val="000000"/>
                <w:sz w:val="15"/>
                <w:szCs w:val="15"/>
              </w:rPr>
              <w:t>.</w:t>
            </w:r>
            <w:r w:rsidRPr="003003C0">
              <w:rPr>
                <w:rFonts w:cs="Calibri"/>
                <w:color w:val="000000"/>
                <w:sz w:val="15"/>
                <w:szCs w:val="15"/>
              </w:rPr>
              <w:t>92</w:t>
            </w:r>
          </w:p>
        </w:tc>
        <w:tc>
          <w:tcPr>
            <w:tcW w:w="996" w:type="dxa"/>
            <w:noWrap/>
            <w:hideMark/>
          </w:tcPr>
          <w:p w14:paraId="6C3E5C18" w14:textId="77777777" w:rsidR="004F64EF" w:rsidRPr="003003C0" w:rsidRDefault="004F64EF" w:rsidP="001F3C85">
            <w:pPr>
              <w:jc w:val="center"/>
              <w:rPr>
                <w:rFonts w:cs="Calibri"/>
                <w:color w:val="000000"/>
                <w:sz w:val="15"/>
                <w:szCs w:val="15"/>
              </w:rPr>
            </w:pPr>
          </w:p>
        </w:tc>
        <w:tc>
          <w:tcPr>
            <w:tcW w:w="997" w:type="dxa"/>
            <w:gridSpan w:val="2"/>
            <w:noWrap/>
            <w:hideMark/>
          </w:tcPr>
          <w:p w14:paraId="2F5FEAB3" w14:textId="77777777" w:rsidR="004F64EF" w:rsidRPr="003003C0" w:rsidRDefault="004F64EF" w:rsidP="001F3C85">
            <w:pPr>
              <w:jc w:val="center"/>
              <w:rPr>
                <w:sz w:val="15"/>
                <w:szCs w:val="15"/>
              </w:rPr>
            </w:pPr>
          </w:p>
        </w:tc>
        <w:tc>
          <w:tcPr>
            <w:tcW w:w="1278" w:type="dxa"/>
            <w:noWrap/>
            <w:hideMark/>
          </w:tcPr>
          <w:p w14:paraId="0DBB90C0" w14:textId="77777777" w:rsidR="004F64EF" w:rsidRPr="003003C0" w:rsidRDefault="004F64EF" w:rsidP="001F3C85">
            <w:pPr>
              <w:jc w:val="center"/>
              <w:rPr>
                <w:sz w:val="15"/>
                <w:szCs w:val="15"/>
              </w:rPr>
            </w:pPr>
          </w:p>
        </w:tc>
        <w:tc>
          <w:tcPr>
            <w:tcW w:w="1275" w:type="dxa"/>
            <w:noWrap/>
            <w:hideMark/>
          </w:tcPr>
          <w:p w14:paraId="6FACC04F" w14:textId="77777777" w:rsidR="004F64EF" w:rsidRPr="003003C0" w:rsidRDefault="004F64EF" w:rsidP="001F3C85">
            <w:pPr>
              <w:jc w:val="center"/>
              <w:rPr>
                <w:sz w:val="15"/>
                <w:szCs w:val="15"/>
              </w:rPr>
            </w:pPr>
          </w:p>
        </w:tc>
      </w:tr>
      <w:tr w:rsidR="004F64EF" w:rsidRPr="003003C0" w14:paraId="00BEB7E6" w14:textId="77777777" w:rsidTr="001109BD">
        <w:trPr>
          <w:cnfStyle w:val="000000010000" w:firstRow="0" w:lastRow="0" w:firstColumn="0" w:lastColumn="0" w:oddVBand="0" w:evenVBand="0" w:oddHBand="0" w:evenHBand="1" w:firstRowFirstColumn="0" w:firstRowLastColumn="0" w:lastRowFirstColumn="0" w:lastRowLastColumn="0"/>
        </w:trPr>
        <w:tc>
          <w:tcPr>
            <w:tcW w:w="1980" w:type="dxa"/>
            <w:noWrap/>
            <w:hideMark/>
          </w:tcPr>
          <w:p w14:paraId="16992480" w14:textId="77777777" w:rsidR="004F64EF" w:rsidRPr="003003C0" w:rsidRDefault="004F64EF" w:rsidP="001F3C85">
            <w:pPr>
              <w:jc w:val="left"/>
              <w:rPr>
                <w:rFonts w:cs="Calibri"/>
                <w:b/>
                <w:bCs/>
                <w:color w:val="000000"/>
                <w:sz w:val="15"/>
                <w:szCs w:val="15"/>
              </w:rPr>
            </w:pPr>
            <w:r>
              <w:rPr>
                <w:rFonts w:cs="Calibri"/>
                <w:b/>
                <w:bCs/>
                <w:color w:val="000000"/>
                <w:sz w:val="15"/>
                <w:szCs w:val="15"/>
              </w:rPr>
              <w:t>Beans</w:t>
            </w:r>
          </w:p>
        </w:tc>
        <w:tc>
          <w:tcPr>
            <w:tcW w:w="941" w:type="dxa"/>
            <w:noWrap/>
            <w:hideMark/>
          </w:tcPr>
          <w:p w14:paraId="0C1A117A" w14:textId="77777777" w:rsidR="004F64EF" w:rsidRPr="003003C0" w:rsidRDefault="004F64EF" w:rsidP="001F3C85">
            <w:pPr>
              <w:rPr>
                <w:rFonts w:cs="Calibri"/>
                <w:b/>
                <w:bCs/>
                <w:color w:val="000000"/>
                <w:sz w:val="15"/>
                <w:szCs w:val="15"/>
              </w:rPr>
            </w:pPr>
          </w:p>
        </w:tc>
        <w:tc>
          <w:tcPr>
            <w:tcW w:w="800" w:type="dxa"/>
            <w:noWrap/>
            <w:hideMark/>
          </w:tcPr>
          <w:p w14:paraId="5F1D3A07" w14:textId="77777777" w:rsidR="004F64EF" w:rsidRPr="003003C0" w:rsidRDefault="004F64EF" w:rsidP="001F3C85">
            <w:pPr>
              <w:jc w:val="center"/>
              <w:rPr>
                <w:sz w:val="15"/>
                <w:szCs w:val="15"/>
              </w:rPr>
            </w:pPr>
          </w:p>
        </w:tc>
        <w:tc>
          <w:tcPr>
            <w:tcW w:w="800" w:type="dxa"/>
            <w:noWrap/>
            <w:hideMark/>
          </w:tcPr>
          <w:p w14:paraId="7F480E08" w14:textId="77777777" w:rsidR="004F64EF" w:rsidRPr="003003C0" w:rsidRDefault="004F64EF" w:rsidP="001F3C85">
            <w:pPr>
              <w:jc w:val="center"/>
              <w:rPr>
                <w:sz w:val="15"/>
                <w:szCs w:val="15"/>
              </w:rPr>
            </w:pPr>
          </w:p>
        </w:tc>
        <w:tc>
          <w:tcPr>
            <w:tcW w:w="996" w:type="dxa"/>
            <w:noWrap/>
            <w:hideMark/>
          </w:tcPr>
          <w:p w14:paraId="0A4F53E7" w14:textId="77777777" w:rsidR="004F64EF" w:rsidRPr="003003C0" w:rsidRDefault="004F64EF" w:rsidP="001F3C85">
            <w:pPr>
              <w:jc w:val="center"/>
              <w:rPr>
                <w:rFonts w:cs="Calibri"/>
                <w:b/>
                <w:bCs/>
                <w:color w:val="000000"/>
                <w:sz w:val="15"/>
                <w:szCs w:val="15"/>
              </w:rPr>
            </w:pPr>
            <w:r w:rsidRPr="003003C0">
              <w:rPr>
                <w:rFonts w:cs="Calibri"/>
                <w:b/>
                <w:bCs/>
                <w:color w:val="000000"/>
                <w:sz w:val="15"/>
                <w:szCs w:val="15"/>
              </w:rPr>
              <w:t>1</w:t>
            </w:r>
            <w:r>
              <w:rPr>
                <w:rFonts w:cs="Calibri"/>
                <w:b/>
                <w:bCs/>
                <w:color w:val="000000"/>
                <w:sz w:val="15"/>
                <w:szCs w:val="15"/>
              </w:rPr>
              <w:t>,</w:t>
            </w:r>
            <w:r w:rsidRPr="003003C0">
              <w:rPr>
                <w:rFonts w:cs="Calibri"/>
                <w:b/>
                <w:bCs/>
                <w:color w:val="000000"/>
                <w:sz w:val="15"/>
                <w:szCs w:val="15"/>
              </w:rPr>
              <w:t>800</w:t>
            </w:r>
          </w:p>
        </w:tc>
        <w:tc>
          <w:tcPr>
            <w:tcW w:w="997" w:type="dxa"/>
            <w:gridSpan w:val="2"/>
            <w:noWrap/>
            <w:hideMark/>
          </w:tcPr>
          <w:p w14:paraId="2052764C" w14:textId="77777777" w:rsidR="004F64EF" w:rsidRPr="003003C0" w:rsidRDefault="004F64EF" w:rsidP="001F3C85">
            <w:pPr>
              <w:jc w:val="center"/>
              <w:rPr>
                <w:rFonts w:cs="Calibri"/>
                <w:b/>
                <w:bCs/>
                <w:color w:val="000000"/>
                <w:sz w:val="15"/>
                <w:szCs w:val="15"/>
              </w:rPr>
            </w:pPr>
            <w:r w:rsidRPr="003003C0">
              <w:rPr>
                <w:rFonts w:cs="Calibri"/>
                <w:b/>
                <w:bCs/>
                <w:color w:val="000000"/>
                <w:sz w:val="15"/>
                <w:szCs w:val="15"/>
              </w:rPr>
              <w:t>1</w:t>
            </w:r>
            <w:r>
              <w:rPr>
                <w:rFonts w:cs="Calibri"/>
                <w:b/>
                <w:bCs/>
                <w:color w:val="000000"/>
                <w:sz w:val="15"/>
                <w:szCs w:val="15"/>
              </w:rPr>
              <w:t>,</w:t>
            </w:r>
            <w:r w:rsidRPr="003003C0">
              <w:rPr>
                <w:rFonts w:cs="Calibri"/>
                <w:b/>
                <w:bCs/>
                <w:color w:val="000000"/>
                <w:sz w:val="15"/>
                <w:szCs w:val="15"/>
              </w:rPr>
              <w:t>800</w:t>
            </w:r>
          </w:p>
        </w:tc>
        <w:tc>
          <w:tcPr>
            <w:tcW w:w="1278" w:type="dxa"/>
            <w:noWrap/>
            <w:hideMark/>
          </w:tcPr>
          <w:p w14:paraId="16910FFD" w14:textId="77777777" w:rsidR="004F64EF" w:rsidRPr="003003C0" w:rsidRDefault="004F64EF" w:rsidP="001F3C85">
            <w:pPr>
              <w:jc w:val="center"/>
              <w:rPr>
                <w:rFonts w:cs="Calibri"/>
                <w:b/>
                <w:bCs/>
                <w:color w:val="000000"/>
                <w:sz w:val="15"/>
                <w:szCs w:val="15"/>
              </w:rPr>
            </w:pPr>
            <w:r w:rsidRPr="003003C0">
              <w:rPr>
                <w:rFonts w:cs="Calibri"/>
                <w:b/>
                <w:bCs/>
                <w:color w:val="000000"/>
                <w:sz w:val="15"/>
                <w:szCs w:val="15"/>
              </w:rPr>
              <w:t>82</w:t>
            </w:r>
          </w:p>
        </w:tc>
        <w:tc>
          <w:tcPr>
            <w:tcW w:w="1275" w:type="dxa"/>
            <w:noWrap/>
            <w:hideMark/>
          </w:tcPr>
          <w:p w14:paraId="561F103C" w14:textId="77777777" w:rsidR="004F64EF" w:rsidRPr="003003C0" w:rsidRDefault="004F64EF" w:rsidP="001F3C85">
            <w:pPr>
              <w:jc w:val="center"/>
              <w:rPr>
                <w:rFonts w:cs="Calibri"/>
                <w:b/>
                <w:bCs/>
                <w:color w:val="000000"/>
                <w:sz w:val="15"/>
                <w:szCs w:val="15"/>
              </w:rPr>
            </w:pPr>
            <w:r w:rsidRPr="003003C0">
              <w:rPr>
                <w:rFonts w:cs="Calibri"/>
                <w:b/>
                <w:bCs/>
                <w:color w:val="000000"/>
                <w:sz w:val="15"/>
                <w:szCs w:val="15"/>
              </w:rPr>
              <w:t>5</w:t>
            </w:r>
          </w:p>
        </w:tc>
      </w:tr>
      <w:tr w:rsidR="004F64EF" w:rsidRPr="003003C0" w14:paraId="4E74A397" w14:textId="77777777" w:rsidTr="001109BD">
        <w:tc>
          <w:tcPr>
            <w:tcW w:w="1980" w:type="dxa"/>
            <w:noWrap/>
            <w:hideMark/>
          </w:tcPr>
          <w:p w14:paraId="2FA1ADD3" w14:textId="77777777" w:rsidR="004F64EF" w:rsidRPr="003003C0" w:rsidRDefault="004F64EF" w:rsidP="001F3C85">
            <w:pPr>
              <w:jc w:val="left"/>
              <w:rPr>
                <w:rFonts w:cs="Calibri"/>
                <w:color w:val="000000"/>
                <w:sz w:val="15"/>
                <w:szCs w:val="15"/>
              </w:rPr>
            </w:pPr>
            <w:r w:rsidRPr="003003C0">
              <w:rPr>
                <w:rFonts w:cs="Calibri"/>
                <w:color w:val="000000"/>
                <w:sz w:val="15"/>
                <w:szCs w:val="15"/>
              </w:rPr>
              <w:t>0713.31.00</w:t>
            </w:r>
          </w:p>
        </w:tc>
        <w:tc>
          <w:tcPr>
            <w:tcW w:w="941" w:type="dxa"/>
            <w:noWrap/>
            <w:hideMark/>
          </w:tcPr>
          <w:p w14:paraId="68964521" w14:textId="77777777" w:rsidR="004F64EF" w:rsidRPr="003003C0" w:rsidRDefault="004F64EF" w:rsidP="001F3C85">
            <w:pPr>
              <w:jc w:val="center"/>
              <w:rPr>
                <w:rFonts w:cs="Calibri"/>
                <w:color w:val="000000"/>
                <w:sz w:val="15"/>
                <w:szCs w:val="15"/>
              </w:rPr>
            </w:pPr>
            <w:r w:rsidRPr="003003C0">
              <w:rPr>
                <w:rFonts w:cs="Calibri"/>
                <w:color w:val="000000"/>
                <w:sz w:val="15"/>
                <w:szCs w:val="15"/>
              </w:rPr>
              <w:t>0</w:t>
            </w:r>
          </w:p>
        </w:tc>
        <w:tc>
          <w:tcPr>
            <w:tcW w:w="800" w:type="dxa"/>
            <w:noWrap/>
            <w:hideMark/>
          </w:tcPr>
          <w:p w14:paraId="67E6E149" w14:textId="77777777" w:rsidR="004F64EF" w:rsidRPr="003003C0" w:rsidRDefault="004F64EF" w:rsidP="001F3C85">
            <w:pPr>
              <w:jc w:val="center"/>
              <w:rPr>
                <w:rFonts w:cs="Calibri"/>
                <w:color w:val="000000"/>
                <w:sz w:val="15"/>
                <w:szCs w:val="15"/>
              </w:rPr>
            </w:pPr>
            <w:r w:rsidRPr="003003C0">
              <w:rPr>
                <w:rFonts w:cs="Calibri"/>
                <w:color w:val="000000"/>
                <w:sz w:val="15"/>
                <w:szCs w:val="15"/>
              </w:rPr>
              <w:t>42</w:t>
            </w:r>
            <w:r>
              <w:rPr>
                <w:rFonts w:cs="Calibri"/>
                <w:color w:val="000000"/>
                <w:sz w:val="15"/>
                <w:szCs w:val="15"/>
              </w:rPr>
              <w:t>.</w:t>
            </w:r>
            <w:r w:rsidRPr="003003C0">
              <w:rPr>
                <w:rFonts w:cs="Calibri"/>
                <w:color w:val="000000"/>
                <w:sz w:val="15"/>
                <w:szCs w:val="15"/>
              </w:rPr>
              <w:t>72</w:t>
            </w:r>
          </w:p>
        </w:tc>
        <w:tc>
          <w:tcPr>
            <w:tcW w:w="800" w:type="dxa"/>
            <w:noWrap/>
            <w:hideMark/>
          </w:tcPr>
          <w:p w14:paraId="1F5D8B08" w14:textId="77777777" w:rsidR="004F64EF" w:rsidRPr="003003C0" w:rsidRDefault="004F64EF" w:rsidP="001F3C85">
            <w:pPr>
              <w:jc w:val="center"/>
              <w:rPr>
                <w:rFonts w:cs="Calibri"/>
                <w:color w:val="000000"/>
                <w:sz w:val="15"/>
                <w:szCs w:val="15"/>
              </w:rPr>
            </w:pPr>
            <w:r w:rsidRPr="003003C0">
              <w:rPr>
                <w:rFonts w:cs="Calibri"/>
                <w:color w:val="000000"/>
                <w:sz w:val="15"/>
                <w:szCs w:val="15"/>
              </w:rPr>
              <w:t>32</w:t>
            </w:r>
            <w:r>
              <w:rPr>
                <w:rFonts w:cs="Calibri"/>
                <w:color w:val="000000"/>
                <w:sz w:val="15"/>
                <w:szCs w:val="15"/>
              </w:rPr>
              <w:t>.</w:t>
            </w:r>
            <w:r w:rsidRPr="003003C0">
              <w:rPr>
                <w:rFonts w:cs="Calibri"/>
                <w:color w:val="000000"/>
                <w:sz w:val="15"/>
                <w:szCs w:val="15"/>
              </w:rPr>
              <w:t>04</w:t>
            </w:r>
          </w:p>
        </w:tc>
        <w:tc>
          <w:tcPr>
            <w:tcW w:w="996" w:type="dxa"/>
            <w:noWrap/>
            <w:hideMark/>
          </w:tcPr>
          <w:p w14:paraId="62AB7FC1" w14:textId="77777777" w:rsidR="004F64EF" w:rsidRPr="003003C0" w:rsidRDefault="004F64EF" w:rsidP="001F3C85">
            <w:pPr>
              <w:jc w:val="center"/>
              <w:rPr>
                <w:rFonts w:cs="Calibri"/>
                <w:color w:val="000000"/>
                <w:sz w:val="15"/>
                <w:szCs w:val="15"/>
              </w:rPr>
            </w:pPr>
          </w:p>
        </w:tc>
        <w:tc>
          <w:tcPr>
            <w:tcW w:w="997" w:type="dxa"/>
            <w:gridSpan w:val="2"/>
            <w:noWrap/>
            <w:hideMark/>
          </w:tcPr>
          <w:p w14:paraId="685104C0" w14:textId="77777777" w:rsidR="004F64EF" w:rsidRPr="003003C0" w:rsidRDefault="004F64EF" w:rsidP="001F3C85">
            <w:pPr>
              <w:jc w:val="center"/>
              <w:rPr>
                <w:sz w:val="15"/>
                <w:szCs w:val="15"/>
              </w:rPr>
            </w:pPr>
          </w:p>
        </w:tc>
        <w:tc>
          <w:tcPr>
            <w:tcW w:w="1278" w:type="dxa"/>
            <w:noWrap/>
            <w:hideMark/>
          </w:tcPr>
          <w:p w14:paraId="07301A56" w14:textId="77777777" w:rsidR="004F64EF" w:rsidRPr="003003C0" w:rsidRDefault="004F64EF" w:rsidP="001F3C85">
            <w:pPr>
              <w:jc w:val="center"/>
              <w:rPr>
                <w:sz w:val="15"/>
                <w:szCs w:val="15"/>
              </w:rPr>
            </w:pPr>
          </w:p>
        </w:tc>
        <w:tc>
          <w:tcPr>
            <w:tcW w:w="1275" w:type="dxa"/>
            <w:noWrap/>
            <w:hideMark/>
          </w:tcPr>
          <w:p w14:paraId="5B6F0DE3" w14:textId="77777777" w:rsidR="004F64EF" w:rsidRPr="003003C0" w:rsidRDefault="004F64EF" w:rsidP="001F3C85">
            <w:pPr>
              <w:rPr>
                <w:sz w:val="15"/>
                <w:szCs w:val="15"/>
              </w:rPr>
            </w:pPr>
          </w:p>
        </w:tc>
      </w:tr>
      <w:tr w:rsidR="004F64EF" w:rsidRPr="003003C0" w14:paraId="03A043E3" w14:textId="77777777" w:rsidTr="001109BD">
        <w:trPr>
          <w:cnfStyle w:val="000000010000" w:firstRow="0" w:lastRow="0" w:firstColumn="0" w:lastColumn="0" w:oddVBand="0" w:evenVBand="0" w:oddHBand="0" w:evenHBand="1" w:firstRowFirstColumn="0" w:firstRowLastColumn="0" w:lastRowFirstColumn="0" w:lastRowLastColumn="0"/>
        </w:trPr>
        <w:tc>
          <w:tcPr>
            <w:tcW w:w="1980" w:type="dxa"/>
            <w:noWrap/>
            <w:hideMark/>
          </w:tcPr>
          <w:p w14:paraId="6BB4C7CC" w14:textId="77777777" w:rsidR="004F64EF" w:rsidRPr="003003C0" w:rsidRDefault="004F64EF" w:rsidP="001F3C85">
            <w:pPr>
              <w:jc w:val="left"/>
              <w:rPr>
                <w:rFonts w:cs="Calibri"/>
                <w:color w:val="000000"/>
                <w:sz w:val="15"/>
                <w:szCs w:val="15"/>
              </w:rPr>
            </w:pPr>
            <w:r w:rsidRPr="003003C0">
              <w:rPr>
                <w:rFonts w:cs="Calibri"/>
                <w:color w:val="000000"/>
                <w:sz w:val="15"/>
                <w:szCs w:val="15"/>
              </w:rPr>
              <w:t>0713.32.00</w:t>
            </w:r>
          </w:p>
        </w:tc>
        <w:tc>
          <w:tcPr>
            <w:tcW w:w="941" w:type="dxa"/>
            <w:noWrap/>
            <w:hideMark/>
          </w:tcPr>
          <w:p w14:paraId="1161C530" w14:textId="77777777" w:rsidR="004F64EF" w:rsidRPr="003003C0" w:rsidRDefault="004F64EF" w:rsidP="001F3C85">
            <w:pPr>
              <w:jc w:val="center"/>
              <w:rPr>
                <w:rFonts w:cs="Calibri"/>
                <w:color w:val="000000"/>
                <w:sz w:val="15"/>
                <w:szCs w:val="15"/>
              </w:rPr>
            </w:pPr>
            <w:r w:rsidRPr="003003C0">
              <w:rPr>
                <w:rFonts w:cs="Calibri"/>
                <w:color w:val="000000"/>
                <w:sz w:val="15"/>
                <w:szCs w:val="15"/>
              </w:rPr>
              <w:t>0</w:t>
            </w:r>
          </w:p>
        </w:tc>
        <w:tc>
          <w:tcPr>
            <w:tcW w:w="800" w:type="dxa"/>
            <w:noWrap/>
            <w:hideMark/>
          </w:tcPr>
          <w:p w14:paraId="6ED68173" w14:textId="77777777" w:rsidR="004F64EF" w:rsidRPr="003003C0" w:rsidRDefault="004F64EF" w:rsidP="001F3C85">
            <w:pPr>
              <w:jc w:val="center"/>
              <w:rPr>
                <w:rFonts w:cs="Calibri"/>
                <w:color w:val="000000"/>
                <w:sz w:val="15"/>
                <w:szCs w:val="15"/>
              </w:rPr>
            </w:pPr>
            <w:r w:rsidRPr="003003C0">
              <w:rPr>
                <w:rFonts w:cs="Calibri"/>
                <w:color w:val="000000"/>
                <w:sz w:val="15"/>
                <w:szCs w:val="15"/>
              </w:rPr>
              <w:t>42</w:t>
            </w:r>
            <w:r>
              <w:rPr>
                <w:rFonts w:cs="Calibri"/>
                <w:color w:val="000000"/>
                <w:sz w:val="15"/>
                <w:szCs w:val="15"/>
              </w:rPr>
              <w:t>.</w:t>
            </w:r>
            <w:r w:rsidRPr="003003C0">
              <w:rPr>
                <w:rFonts w:cs="Calibri"/>
                <w:color w:val="000000"/>
                <w:sz w:val="15"/>
                <w:szCs w:val="15"/>
              </w:rPr>
              <w:t>72</w:t>
            </w:r>
          </w:p>
        </w:tc>
        <w:tc>
          <w:tcPr>
            <w:tcW w:w="800" w:type="dxa"/>
            <w:noWrap/>
            <w:hideMark/>
          </w:tcPr>
          <w:p w14:paraId="36310FC4" w14:textId="77777777" w:rsidR="004F64EF" w:rsidRPr="003003C0" w:rsidRDefault="004F64EF" w:rsidP="001F3C85">
            <w:pPr>
              <w:jc w:val="center"/>
              <w:rPr>
                <w:rFonts w:cs="Calibri"/>
                <w:color w:val="000000"/>
                <w:sz w:val="15"/>
                <w:szCs w:val="15"/>
              </w:rPr>
            </w:pPr>
            <w:r w:rsidRPr="003003C0">
              <w:rPr>
                <w:rFonts w:cs="Calibri"/>
                <w:color w:val="000000"/>
                <w:sz w:val="15"/>
                <w:szCs w:val="15"/>
              </w:rPr>
              <w:t>32</w:t>
            </w:r>
            <w:r>
              <w:rPr>
                <w:rFonts w:cs="Calibri"/>
                <w:color w:val="000000"/>
                <w:sz w:val="15"/>
                <w:szCs w:val="15"/>
              </w:rPr>
              <w:t>.</w:t>
            </w:r>
            <w:r w:rsidRPr="003003C0">
              <w:rPr>
                <w:rFonts w:cs="Calibri"/>
                <w:color w:val="000000"/>
                <w:sz w:val="15"/>
                <w:szCs w:val="15"/>
              </w:rPr>
              <w:t>04</w:t>
            </w:r>
          </w:p>
        </w:tc>
        <w:tc>
          <w:tcPr>
            <w:tcW w:w="996" w:type="dxa"/>
            <w:noWrap/>
            <w:hideMark/>
          </w:tcPr>
          <w:p w14:paraId="133696C4" w14:textId="77777777" w:rsidR="004F64EF" w:rsidRPr="003003C0" w:rsidRDefault="004F64EF" w:rsidP="001F3C85">
            <w:pPr>
              <w:jc w:val="center"/>
              <w:rPr>
                <w:rFonts w:cs="Calibri"/>
                <w:color w:val="000000"/>
                <w:sz w:val="15"/>
                <w:szCs w:val="15"/>
              </w:rPr>
            </w:pPr>
          </w:p>
        </w:tc>
        <w:tc>
          <w:tcPr>
            <w:tcW w:w="997" w:type="dxa"/>
            <w:gridSpan w:val="2"/>
            <w:noWrap/>
            <w:hideMark/>
          </w:tcPr>
          <w:p w14:paraId="30429866" w14:textId="77777777" w:rsidR="004F64EF" w:rsidRPr="003003C0" w:rsidRDefault="004F64EF" w:rsidP="001F3C85">
            <w:pPr>
              <w:jc w:val="center"/>
              <w:rPr>
                <w:sz w:val="15"/>
                <w:szCs w:val="15"/>
              </w:rPr>
            </w:pPr>
          </w:p>
        </w:tc>
        <w:tc>
          <w:tcPr>
            <w:tcW w:w="1278" w:type="dxa"/>
            <w:noWrap/>
            <w:hideMark/>
          </w:tcPr>
          <w:p w14:paraId="05DD4791" w14:textId="77777777" w:rsidR="004F64EF" w:rsidRPr="003003C0" w:rsidRDefault="004F64EF" w:rsidP="001F3C85">
            <w:pPr>
              <w:jc w:val="center"/>
              <w:rPr>
                <w:sz w:val="15"/>
                <w:szCs w:val="15"/>
              </w:rPr>
            </w:pPr>
          </w:p>
        </w:tc>
        <w:tc>
          <w:tcPr>
            <w:tcW w:w="1275" w:type="dxa"/>
            <w:noWrap/>
            <w:hideMark/>
          </w:tcPr>
          <w:p w14:paraId="150F363B" w14:textId="77777777" w:rsidR="004F64EF" w:rsidRPr="003003C0" w:rsidRDefault="004F64EF" w:rsidP="001F3C85">
            <w:pPr>
              <w:jc w:val="center"/>
              <w:rPr>
                <w:sz w:val="15"/>
                <w:szCs w:val="15"/>
              </w:rPr>
            </w:pPr>
          </w:p>
        </w:tc>
      </w:tr>
      <w:tr w:rsidR="004F64EF" w:rsidRPr="003003C0" w14:paraId="4A773198" w14:textId="77777777" w:rsidTr="001109BD">
        <w:tc>
          <w:tcPr>
            <w:tcW w:w="1980" w:type="dxa"/>
            <w:noWrap/>
            <w:hideMark/>
          </w:tcPr>
          <w:p w14:paraId="365915C3" w14:textId="77777777" w:rsidR="004F64EF" w:rsidRPr="003003C0" w:rsidRDefault="004F64EF" w:rsidP="001F3C85">
            <w:pPr>
              <w:jc w:val="left"/>
              <w:rPr>
                <w:rFonts w:cs="Calibri"/>
                <w:color w:val="000000"/>
                <w:sz w:val="15"/>
                <w:szCs w:val="15"/>
              </w:rPr>
            </w:pPr>
            <w:r w:rsidRPr="003003C0">
              <w:rPr>
                <w:rFonts w:cs="Calibri"/>
                <w:color w:val="000000"/>
                <w:sz w:val="15"/>
                <w:szCs w:val="15"/>
              </w:rPr>
              <w:t>0713.33.00</w:t>
            </w:r>
          </w:p>
        </w:tc>
        <w:tc>
          <w:tcPr>
            <w:tcW w:w="941" w:type="dxa"/>
            <w:noWrap/>
            <w:hideMark/>
          </w:tcPr>
          <w:p w14:paraId="12A49975" w14:textId="77777777" w:rsidR="004F64EF" w:rsidRPr="003003C0" w:rsidRDefault="004F64EF" w:rsidP="001F3C85">
            <w:pPr>
              <w:jc w:val="center"/>
              <w:rPr>
                <w:rFonts w:cs="Calibri"/>
                <w:color w:val="000000"/>
                <w:sz w:val="15"/>
                <w:szCs w:val="15"/>
              </w:rPr>
            </w:pPr>
            <w:r w:rsidRPr="003003C0">
              <w:rPr>
                <w:rFonts w:cs="Calibri"/>
                <w:color w:val="000000"/>
                <w:sz w:val="15"/>
                <w:szCs w:val="15"/>
              </w:rPr>
              <w:t>0</w:t>
            </w:r>
          </w:p>
        </w:tc>
        <w:tc>
          <w:tcPr>
            <w:tcW w:w="800" w:type="dxa"/>
            <w:noWrap/>
            <w:hideMark/>
          </w:tcPr>
          <w:p w14:paraId="4F9FD925" w14:textId="77777777" w:rsidR="004F64EF" w:rsidRPr="003003C0" w:rsidRDefault="004F64EF" w:rsidP="001F3C85">
            <w:pPr>
              <w:jc w:val="center"/>
              <w:rPr>
                <w:rFonts w:cs="Calibri"/>
                <w:color w:val="000000"/>
                <w:sz w:val="15"/>
                <w:szCs w:val="15"/>
              </w:rPr>
            </w:pPr>
            <w:r w:rsidRPr="003003C0">
              <w:rPr>
                <w:rFonts w:cs="Calibri"/>
                <w:color w:val="000000"/>
                <w:sz w:val="15"/>
                <w:szCs w:val="15"/>
              </w:rPr>
              <w:t>42</w:t>
            </w:r>
            <w:r>
              <w:rPr>
                <w:rFonts w:cs="Calibri"/>
                <w:color w:val="000000"/>
                <w:sz w:val="15"/>
                <w:szCs w:val="15"/>
              </w:rPr>
              <w:t>.</w:t>
            </w:r>
            <w:r w:rsidRPr="003003C0">
              <w:rPr>
                <w:rFonts w:cs="Calibri"/>
                <w:color w:val="000000"/>
                <w:sz w:val="15"/>
                <w:szCs w:val="15"/>
              </w:rPr>
              <w:t>72</w:t>
            </w:r>
          </w:p>
        </w:tc>
        <w:tc>
          <w:tcPr>
            <w:tcW w:w="800" w:type="dxa"/>
            <w:noWrap/>
            <w:hideMark/>
          </w:tcPr>
          <w:p w14:paraId="425A50C2" w14:textId="77777777" w:rsidR="004F64EF" w:rsidRPr="003003C0" w:rsidRDefault="004F64EF" w:rsidP="001F3C85">
            <w:pPr>
              <w:jc w:val="center"/>
              <w:rPr>
                <w:rFonts w:cs="Calibri"/>
                <w:color w:val="000000"/>
                <w:sz w:val="15"/>
                <w:szCs w:val="15"/>
              </w:rPr>
            </w:pPr>
            <w:r w:rsidRPr="003003C0">
              <w:rPr>
                <w:rFonts w:cs="Calibri"/>
                <w:color w:val="000000"/>
                <w:sz w:val="15"/>
                <w:szCs w:val="15"/>
              </w:rPr>
              <w:t>32</w:t>
            </w:r>
            <w:r>
              <w:rPr>
                <w:rFonts w:cs="Calibri"/>
                <w:color w:val="000000"/>
                <w:sz w:val="15"/>
                <w:szCs w:val="15"/>
              </w:rPr>
              <w:t>.</w:t>
            </w:r>
            <w:r w:rsidRPr="003003C0">
              <w:rPr>
                <w:rFonts w:cs="Calibri"/>
                <w:color w:val="000000"/>
                <w:sz w:val="15"/>
                <w:szCs w:val="15"/>
              </w:rPr>
              <w:t>04</w:t>
            </w:r>
          </w:p>
        </w:tc>
        <w:tc>
          <w:tcPr>
            <w:tcW w:w="996" w:type="dxa"/>
            <w:noWrap/>
            <w:hideMark/>
          </w:tcPr>
          <w:p w14:paraId="1DD90708" w14:textId="77777777" w:rsidR="004F64EF" w:rsidRPr="003003C0" w:rsidRDefault="004F64EF" w:rsidP="001F3C85">
            <w:pPr>
              <w:jc w:val="center"/>
              <w:rPr>
                <w:rFonts w:cs="Calibri"/>
                <w:color w:val="000000"/>
                <w:sz w:val="15"/>
                <w:szCs w:val="15"/>
              </w:rPr>
            </w:pPr>
          </w:p>
        </w:tc>
        <w:tc>
          <w:tcPr>
            <w:tcW w:w="997" w:type="dxa"/>
            <w:gridSpan w:val="2"/>
            <w:noWrap/>
            <w:hideMark/>
          </w:tcPr>
          <w:p w14:paraId="29EF8E9B" w14:textId="77777777" w:rsidR="004F64EF" w:rsidRPr="003003C0" w:rsidRDefault="004F64EF" w:rsidP="001F3C85">
            <w:pPr>
              <w:jc w:val="center"/>
              <w:rPr>
                <w:sz w:val="15"/>
                <w:szCs w:val="15"/>
              </w:rPr>
            </w:pPr>
          </w:p>
        </w:tc>
        <w:tc>
          <w:tcPr>
            <w:tcW w:w="1278" w:type="dxa"/>
            <w:noWrap/>
            <w:hideMark/>
          </w:tcPr>
          <w:p w14:paraId="663E9BD6" w14:textId="77777777" w:rsidR="004F64EF" w:rsidRPr="003003C0" w:rsidRDefault="004F64EF" w:rsidP="001F3C85">
            <w:pPr>
              <w:jc w:val="center"/>
              <w:rPr>
                <w:sz w:val="15"/>
                <w:szCs w:val="15"/>
              </w:rPr>
            </w:pPr>
          </w:p>
        </w:tc>
        <w:tc>
          <w:tcPr>
            <w:tcW w:w="1275" w:type="dxa"/>
            <w:noWrap/>
            <w:hideMark/>
          </w:tcPr>
          <w:p w14:paraId="0AED3E2E" w14:textId="77777777" w:rsidR="004F64EF" w:rsidRPr="003003C0" w:rsidRDefault="004F64EF" w:rsidP="001F3C85">
            <w:pPr>
              <w:rPr>
                <w:sz w:val="15"/>
                <w:szCs w:val="15"/>
              </w:rPr>
            </w:pPr>
          </w:p>
        </w:tc>
      </w:tr>
      <w:tr w:rsidR="004F64EF" w:rsidRPr="003003C0" w14:paraId="45B1D23E" w14:textId="77777777" w:rsidTr="001F3C85">
        <w:trPr>
          <w:cnfStyle w:val="000000010000" w:firstRow="0" w:lastRow="0" w:firstColumn="0" w:lastColumn="0" w:oddVBand="0" w:evenVBand="0" w:oddHBand="0" w:evenHBand="1" w:firstRowFirstColumn="0" w:firstRowLastColumn="0" w:lastRowFirstColumn="0" w:lastRowLastColumn="0"/>
        </w:trPr>
        <w:tc>
          <w:tcPr>
            <w:tcW w:w="9067" w:type="dxa"/>
            <w:gridSpan w:val="9"/>
            <w:noWrap/>
            <w:hideMark/>
          </w:tcPr>
          <w:p w14:paraId="59B6679D" w14:textId="77777777" w:rsidR="004F64EF" w:rsidRPr="003003C0" w:rsidRDefault="004F64EF" w:rsidP="001F3C85">
            <w:pPr>
              <w:jc w:val="center"/>
              <w:rPr>
                <w:rFonts w:cs="Calibri"/>
                <w:b/>
                <w:bCs/>
                <w:color w:val="000000"/>
                <w:sz w:val="15"/>
                <w:szCs w:val="15"/>
              </w:rPr>
            </w:pPr>
            <w:r w:rsidRPr="003003C0">
              <w:rPr>
                <w:rFonts w:cs="Calibri"/>
                <w:b/>
                <w:bCs/>
                <w:color w:val="000000"/>
                <w:sz w:val="15"/>
                <w:szCs w:val="15"/>
              </w:rPr>
              <w:t xml:space="preserve">CAFTA-DR </w:t>
            </w:r>
            <w:r>
              <w:rPr>
                <w:rFonts w:cs="Calibri"/>
                <w:b/>
                <w:bCs/>
                <w:color w:val="000000"/>
                <w:sz w:val="15"/>
                <w:szCs w:val="15"/>
              </w:rPr>
              <w:t>US</w:t>
            </w:r>
          </w:p>
        </w:tc>
      </w:tr>
      <w:tr w:rsidR="004F64EF" w:rsidRPr="003003C0" w14:paraId="2EF0C186" w14:textId="77777777" w:rsidTr="001109BD">
        <w:tc>
          <w:tcPr>
            <w:tcW w:w="1980" w:type="dxa"/>
            <w:noWrap/>
            <w:hideMark/>
          </w:tcPr>
          <w:p w14:paraId="51DB770E" w14:textId="77777777" w:rsidR="004F64EF" w:rsidRPr="003003C0" w:rsidRDefault="004F64EF" w:rsidP="001F3C85">
            <w:pPr>
              <w:jc w:val="left"/>
              <w:rPr>
                <w:rFonts w:cs="Calibri"/>
                <w:b/>
                <w:bCs/>
                <w:color w:val="000000"/>
                <w:sz w:val="15"/>
                <w:szCs w:val="15"/>
              </w:rPr>
            </w:pPr>
            <w:r>
              <w:rPr>
                <w:rFonts w:cs="Calibri"/>
                <w:b/>
                <w:bCs/>
                <w:color w:val="000000"/>
                <w:sz w:val="15"/>
                <w:szCs w:val="15"/>
              </w:rPr>
              <w:t>Chicken thighs</w:t>
            </w:r>
          </w:p>
        </w:tc>
        <w:tc>
          <w:tcPr>
            <w:tcW w:w="2541" w:type="dxa"/>
            <w:gridSpan w:val="3"/>
            <w:noWrap/>
            <w:hideMark/>
          </w:tcPr>
          <w:p w14:paraId="6B732874" w14:textId="77777777" w:rsidR="004F64EF" w:rsidRPr="003003C0" w:rsidRDefault="004F64EF" w:rsidP="001F3C85">
            <w:pPr>
              <w:jc w:val="center"/>
              <w:rPr>
                <w:sz w:val="15"/>
                <w:szCs w:val="15"/>
              </w:rPr>
            </w:pPr>
          </w:p>
        </w:tc>
        <w:tc>
          <w:tcPr>
            <w:tcW w:w="996" w:type="dxa"/>
            <w:noWrap/>
            <w:hideMark/>
          </w:tcPr>
          <w:p w14:paraId="3BE3D836" w14:textId="77777777" w:rsidR="004F64EF" w:rsidRPr="003003C0" w:rsidRDefault="004F64EF" w:rsidP="001F3C85">
            <w:pPr>
              <w:jc w:val="center"/>
              <w:rPr>
                <w:rFonts w:cs="Calibri"/>
                <w:b/>
                <w:bCs/>
                <w:color w:val="000000"/>
                <w:sz w:val="15"/>
                <w:szCs w:val="15"/>
              </w:rPr>
            </w:pPr>
            <w:r w:rsidRPr="003003C0">
              <w:rPr>
                <w:rFonts w:cs="Calibri"/>
                <w:b/>
                <w:bCs/>
                <w:color w:val="000000"/>
                <w:sz w:val="15"/>
                <w:szCs w:val="15"/>
              </w:rPr>
              <w:t>1</w:t>
            </w:r>
            <w:r>
              <w:rPr>
                <w:rFonts w:cs="Calibri"/>
                <w:b/>
                <w:bCs/>
                <w:color w:val="000000"/>
                <w:sz w:val="15"/>
                <w:szCs w:val="15"/>
              </w:rPr>
              <w:t>,</w:t>
            </w:r>
            <w:r w:rsidRPr="003003C0">
              <w:rPr>
                <w:rFonts w:cs="Calibri"/>
                <w:b/>
                <w:bCs/>
                <w:color w:val="000000"/>
                <w:sz w:val="15"/>
                <w:szCs w:val="15"/>
              </w:rPr>
              <w:t>300</w:t>
            </w:r>
          </w:p>
        </w:tc>
        <w:tc>
          <w:tcPr>
            <w:tcW w:w="997" w:type="dxa"/>
            <w:gridSpan w:val="2"/>
            <w:noWrap/>
            <w:hideMark/>
          </w:tcPr>
          <w:p w14:paraId="2EEA6304" w14:textId="77777777" w:rsidR="004F64EF" w:rsidRPr="003003C0" w:rsidRDefault="004F64EF" w:rsidP="001F3C85">
            <w:pPr>
              <w:jc w:val="center"/>
              <w:rPr>
                <w:rFonts w:cs="Calibri"/>
                <w:b/>
                <w:bCs/>
                <w:color w:val="000000"/>
                <w:sz w:val="15"/>
                <w:szCs w:val="15"/>
              </w:rPr>
            </w:pPr>
            <w:r w:rsidRPr="003003C0">
              <w:rPr>
                <w:rFonts w:cs="Calibri"/>
                <w:b/>
                <w:bCs/>
                <w:color w:val="000000"/>
                <w:sz w:val="15"/>
                <w:szCs w:val="15"/>
              </w:rPr>
              <w:t>1</w:t>
            </w:r>
            <w:r>
              <w:rPr>
                <w:rFonts w:cs="Calibri"/>
                <w:b/>
                <w:bCs/>
                <w:color w:val="000000"/>
                <w:sz w:val="15"/>
                <w:szCs w:val="15"/>
              </w:rPr>
              <w:t>,</w:t>
            </w:r>
            <w:r w:rsidRPr="003003C0">
              <w:rPr>
                <w:rFonts w:cs="Calibri"/>
                <w:b/>
                <w:bCs/>
                <w:color w:val="000000"/>
                <w:sz w:val="15"/>
                <w:szCs w:val="15"/>
              </w:rPr>
              <w:t>350</w:t>
            </w:r>
          </w:p>
        </w:tc>
        <w:tc>
          <w:tcPr>
            <w:tcW w:w="1278" w:type="dxa"/>
            <w:noWrap/>
            <w:hideMark/>
          </w:tcPr>
          <w:p w14:paraId="70E54A4C" w14:textId="77777777" w:rsidR="004F64EF" w:rsidRPr="003003C0" w:rsidRDefault="004F64EF" w:rsidP="001F3C85">
            <w:pPr>
              <w:jc w:val="center"/>
              <w:rPr>
                <w:rFonts w:cs="Calibri"/>
                <w:b/>
                <w:bCs/>
                <w:color w:val="000000"/>
                <w:sz w:val="15"/>
                <w:szCs w:val="15"/>
              </w:rPr>
            </w:pPr>
            <w:r w:rsidRPr="003003C0">
              <w:rPr>
                <w:rFonts w:cs="Calibri"/>
                <w:b/>
                <w:bCs/>
                <w:color w:val="000000"/>
                <w:sz w:val="15"/>
                <w:szCs w:val="15"/>
              </w:rPr>
              <w:t>1</w:t>
            </w:r>
            <w:r>
              <w:rPr>
                <w:rFonts w:cs="Calibri"/>
                <w:b/>
                <w:bCs/>
                <w:color w:val="000000"/>
                <w:sz w:val="15"/>
                <w:szCs w:val="15"/>
              </w:rPr>
              <w:t>,</w:t>
            </w:r>
            <w:r w:rsidRPr="003003C0">
              <w:rPr>
                <w:rFonts w:cs="Calibri"/>
                <w:b/>
                <w:bCs/>
                <w:color w:val="000000"/>
                <w:sz w:val="15"/>
                <w:szCs w:val="15"/>
              </w:rPr>
              <w:t>244</w:t>
            </w:r>
          </w:p>
        </w:tc>
        <w:tc>
          <w:tcPr>
            <w:tcW w:w="1275" w:type="dxa"/>
            <w:noWrap/>
            <w:hideMark/>
          </w:tcPr>
          <w:p w14:paraId="27602824" w14:textId="77777777" w:rsidR="004F64EF" w:rsidRPr="003003C0" w:rsidRDefault="004F64EF" w:rsidP="001F3C85">
            <w:pPr>
              <w:jc w:val="center"/>
              <w:rPr>
                <w:rFonts w:cs="Calibri"/>
                <w:b/>
                <w:bCs/>
                <w:color w:val="000000"/>
                <w:sz w:val="15"/>
                <w:szCs w:val="15"/>
              </w:rPr>
            </w:pPr>
            <w:r w:rsidRPr="003003C0">
              <w:rPr>
                <w:rFonts w:cs="Calibri"/>
                <w:b/>
                <w:bCs/>
                <w:color w:val="000000"/>
                <w:sz w:val="15"/>
                <w:szCs w:val="15"/>
              </w:rPr>
              <w:t>96</w:t>
            </w:r>
          </w:p>
        </w:tc>
      </w:tr>
      <w:tr w:rsidR="004F64EF" w:rsidRPr="003003C0" w14:paraId="09527B45" w14:textId="77777777" w:rsidTr="001109BD">
        <w:trPr>
          <w:cnfStyle w:val="000000010000" w:firstRow="0" w:lastRow="0" w:firstColumn="0" w:lastColumn="0" w:oddVBand="0" w:evenVBand="0" w:oddHBand="0" w:evenHBand="1" w:firstRowFirstColumn="0" w:firstRowLastColumn="0" w:lastRowFirstColumn="0" w:lastRowLastColumn="0"/>
        </w:trPr>
        <w:tc>
          <w:tcPr>
            <w:tcW w:w="1980" w:type="dxa"/>
            <w:noWrap/>
            <w:hideMark/>
          </w:tcPr>
          <w:p w14:paraId="653D005A" w14:textId="77777777" w:rsidR="004F64EF" w:rsidRPr="003003C0" w:rsidRDefault="004F64EF" w:rsidP="001F3C85">
            <w:pPr>
              <w:jc w:val="left"/>
              <w:rPr>
                <w:rFonts w:cs="Calibri"/>
                <w:color w:val="000000"/>
                <w:sz w:val="15"/>
                <w:szCs w:val="15"/>
              </w:rPr>
            </w:pPr>
            <w:r w:rsidRPr="003003C0">
              <w:rPr>
                <w:rFonts w:cs="Calibri"/>
                <w:color w:val="000000"/>
                <w:sz w:val="15"/>
                <w:szCs w:val="15"/>
              </w:rPr>
              <w:t>0207.14.92</w:t>
            </w:r>
          </w:p>
        </w:tc>
        <w:tc>
          <w:tcPr>
            <w:tcW w:w="941" w:type="dxa"/>
            <w:noWrap/>
            <w:hideMark/>
          </w:tcPr>
          <w:p w14:paraId="70437241" w14:textId="77777777" w:rsidR="004F64EF" w:rsidRPr="003003C0" w:rsidRDefault="004F64EF" w:rsidP="001F3C85">
            <w:pPr>
              <w:jc w:val="center"/>
              <w:rPr>
                <w:rFonts w:cs="Calibri"/>
                <w:color w:val="000000"/>
                <w:sz w:val="15"/>
                <w:szCs w:val="15"/>
              </w:rPr>
            </w:pPr>
            <w:r w:rsidRPr="003003C0">
              <w:rPr>
                <w:rFonts w:cs="Calibri"/>
                <w:color w:val="000000"/>
                <w:sz w:val="15"/>
                <w:szCs w:val="15"/>
              </w:rPr>
              <w:t>0</w:t>
            </w:r>
          </w:p>
        </w:tc>
        <w:tc>
          <w:tcPr>
            <w:tcW w:w="800" w:type="dxa"/>
            <w:noWrap/>
            <w:hideMark/>
          </w:tcPr>
          <w:p w14:paraId="66832797" w14:textId="77777777" w:rsidR="004F64EF" w:rsidRPr="003003C0" w:rsidRDefault="004F64EF" w:rsidP="001F3C85">
            <w:pPr>
              <w:jc w:val="center"/>
              <w:rPr>
                <w:rFonts w:cs="Calibri"/>
                <w:color w:val="000000"/>
                <w:sz w:val="15"/>
                <w:szCs w:val="15"/>
              </w:rPr>
            </w:pPr>
            <w:r w:rsidRPr="003003C0">
              <w:rPr>
                <w:rFonts w:cs="Calibri"/>
                <w:color w:val="000000"/>
                <w:sz w:val="15"/>
                <w:szCs w:val="15"/>
              </w:rPr>
              <w:t>47</w:t>
            </w:r>
            <w:r>
              <w:rPr>
                <w:rFonts w:cs="Calibri"/>
                <w:color w:val="000000"/>
                <w:sz w:val="15"/>
                <w:szCs w:val="15"/>
              </w:rPr>
              <w:t>,</w:t>
            </w:r>
            <w:r w:rsidRPr="003003C0">
              <w:rPr>
                <w:rFonts w:cs="Calibri"/>
                <w:color w:val="000000"/>
                <w:sz w:val="15"/>
                <w:szCs w:val="15"/>
              </w:rPr>
              <w:t>52</w:t>
            </w:r>
          </w:p>
        </w:tc>
        <w:tc>
          <w:tcPr>
            <w:tcW w:w="800" w:type="dxa"/>
            <w:noWrap/>
            <w:hideMark/>
          </w:tcPr>
          <w:p w14:paraId="5092AEFC" w14:textId="77777777" w:rsidR="004F64EF" w:rsidRPr="003003C0" w:rsidRDefault="004F64EF" w:rsidP="001F3C85">
            <w:pPr>
              <w:jc w:val="center"/>
              <w:rPr>
                <w:rFonts w:cs="Calibri"/>
                <w:color w:val="000000"/>
                <w:sz w:val="15"/>
                <w:szCs w:val="15"/>
              </w:rPr>
            </w:pPr>
            <w:r w:rsidRPr="003003C0">
              <w:rPr>
                <w:rFonts w:cs="Calibri"/>
                <w:color w:val="000000"/>
                <w:sz w:val="15"/>
                <w:szCs w:val="15"/>
              </w:rPr>
              <w:t>35</w:t>
            </w:r>
            <w:r>
              <w:rPr>
                <w:rFonts w:cs="Calibri"/>
                <w:color w:val="000000"/>
                <w:sz w:val="15"/>
                <w:szCs w:val="15"/>
              </w:rPr>
              <w:t>,</w:t>
            </w:r>
            <w:r w:rsidRPr="003003C0">
              <w:rPr>
                <w:rFonts w:cs="Calibri"/>
                <w:color w:val="000000"/>
                <w:sz w:val="15"/>
                <w:szCs w:val="15"/>
              </w:rPr>
              <w:t>64</w:t>
            </w:r>
          </w:p>
        </w:tc>
        <w:tc>
          <w:tcPr>
            <w:tcW w:w="996" w:type="dxa"/>
            <w:noWrap/>
            <w:hideMark/>
          </w:tcPr>
          <w:p w14:paraId="264FDF4D" w14:textId="77777777" w:rsidR="004F64EF" w:rsidRPr="003003C0" w:rsidRDefault="004F64EF" w:rsidP="001F3C85">
            <w:pPr>
              <w:jc w:val="center"/>
              <w:rPr>
                <w:rFonts w:cs="Calibri"/>
                <w:color w:val="000000"/>
                <w:sz w:val="15"/>
                <w:szCs w:val="15"/>
              </w:rPr>
            </w:pPr>
          </w:p>
        </w:tc>
        <w:tc>
          <w:tcPr>
            <w:tcW w:w="997" w:type="dxa"/>
            <w:gridSpan w:val="2"/>
            <w:noWrap/>
            <w:hideMark/>
          </w:tcPr>
          <w:p w14:paraId="61365A12" w14:textId="77777777" w:rsidR="004F64EF" w:rsidRPr="003003C0" w:rsidRDefault="004F64EF" w:rsidP="001F3C85">
            <w:pPr>
              <w:jc w:val="center"/>
              <w:rPr>
                <w:sz w:val="15"/>
                <w:szCs w:val="15"/>
              </w:rPr>
            </w:pPr>
          </w:p>
        </w:tc>
        <w:tc>
          <w:tcPr>
            <w:tcW w:w="1278" w:type="dxa"/>
            <w:noWrap/>
            <w:hideMark/>
          </w:tcPr>
          <w:p w14:paraId="7D2A6137" w14:textId="77777777" w:rsidR="004F64EF" w:rsidRPr="003003C0" w:rsidRDefault="004F64EF" w:rsidP="001F3C85">
            <w:pPr>
              <w:jc w:val="center"/>
              <w:rPr>
                <w:sz w:val="15"/>
                <w:szCs w:val="15"/>
              </w:rPr>
            </w:pPr>
          </w:p>
        </w:tc>
        <w:tc>
          <w:tcPr>
            <w:tcW w:w="1275" w:type="dxa"/>
            <w:noWrap/>
            <w:hideMark/>
          </w:tcPr>
          <w:p w14:paraId="5DE084C6" w14:textId="77777777" w:rsidR="004F64EF" w:rsidRPr="003003C0" w:rsidRDefault="004F64EF" w:rsidP="001F3C85">
            <w:pPr>
              <w:jc w:val="center"/>
              <w:rPr>
                <w:sz w:val="15"/>
                <w:szCs w:val="15"/>
              </w:rPr>
            </w:pPr>
          </w:p>
        </w:tc>
      </w:tr>
      <w:tr w:rsidR="004F64EF" w:rsidRPr="003003C0" w14:paraId="5E017807" w14:textId="77777777" w:rsidTr="001109BD">
        <w:tc>
          <w:tcPr>
            <w:tcW w:w="1980" w:type="dxa"/>
            <w:noWrap/>
            <w:hideMark/>
          </w:tcPr>
          <w:p w14:paraId="3C4FC9A7" w14:textId="77777777" w:rsidR="004F64EF" w:rsidRPr="003003C0" w:rsidRDefault="004F64EF" w:rsidP="001F3C85">
            <w:pPr>
              <w:jc w:val="left"/>
              <w:rPr>
                <w:rFonts w:cs="Calibri"/>
                <w:b/>
                <w:bCs/>
                <w:color w:val="000000"/>
                <w:sz w:val="15"/>
                <w:szCs w:val="15"/>
              </w:rPr>
            </w:pPr>
            <w:r>
              <w:rPr>
                <w:rFonts w:cs="Calibri"/>
                <w:b/>
                <w:bCs/>
                <w:color w:val="000000"/>
                <w:sz w:val="15"/>
                <w:szCs w:val="15"/>
              </w:rPr>
              <w:t>Milk in powder</w:t>
            </w:r>
          </w:p>
        </w:tc>
        <w:tc>
          <w:tcPr>
            <w:tcW w:w="2541" w:type="dxa"/>
            <w:gridSpan w:val="3"/>
            <w:noWrap/>
            <w:hideMark/>
          </w:tcPr>
          <w:p w14:paraId="5BF7DF5D" w14:textId="77777777" w:rsidR="004F64EF" w:rsidRPr="003003C0" w:rsidRDefault="004F64EF" w:rsidP="001F3C85">
            <w:pPr>
              <w:jc w:val="center"/>
              <w:rPr>
                <w:sz w:val="15"/>
                <w:szCs w:val="15"/>
              </w:rPr>
            </w:pPr>
          </w:p>
        </w:tc>
        <w:tc>
          <w:tcPr>
            <w:tcW w:w="996" w:type="dxa"/>
            <w:noWrap/>
            <w:hideMark/>
          </w:tcPr>
          <w:p w14:paraId="4F40C881" w14:textId="77777777" w:rsidR="004F64EF" w:rsidRPr="003003C0" w:rsidRDefault="004F64EF" w:rsidP="001F3C85">
            <w:pPr>
              <w:jc w:val="center"/>
              <w:rPr>
                <w:rFonts w:cs="Calibri"/>
                <w:b/>
                <w:bCs/>
                <w:color w:val="000000"/>
                <w:sz w:val="15"/>
                <w:szCs w:val="15"/>
              </w:rPr>
            </w:pPr>
            <w:r w:rsidRPr="003003C0">
              <w:rPr>
                <w:rFonts w:cs="Calibri"/>
                <w:b/>
                <w:bCs/>
                <w:color w:val="000000"/>
                <w:sz w:val="15"/>
                <w:szCs w:val="15"/>
              </w:rPr>
              <w:t>7</w:t>
            </w:r>
            <w:r>
              <w:rPr>
                <w:rFonts w:cs="Calibri"/>
                <w:b/>
                <w:bCs/>
                <w:color w:val="000000"/>
                <w:sz w:val="15"/>
                <w:szCs w:val="15"/>
              </w:rPr>
              <w:t>,</w:t>
            </w:r>
            <w:r w:rsidRPr="003003C0">
              <w:rPr>
                <w:rFonts w:cs="Calibri"/>
                <w:b/>
                <w:bCs/>
                <w:color w:val="000000"/>
                <w:sz w:val="15"/>
                <w:szCs w:val="15"/>
              </w:rPr>
              <w:t>020</w:t>
            </w:r>
          </w:p>
        </w:tc>
        <w:tc>
          <w:tcPr>
            <w:tcW w:w="997" w:type="dxa"/>
            <w:gridSpan w:val="2"/>
            <w:noWrap/>
            <w:hideMark/>
          </w:tcPr>
          <w:p w14:paraId="0358CEEA" w14:textId="77777777" w:rsidR="004F64EF" w:rsidRPr="003003C0" w:rsidRDefault="004F64EF" w:rsidP="001F3C85">
            <w:pPr>
              <w:jc w:val="center"/>
              <w:rPr>
                <w:rFonts w:cs="Calibri"/>
                <w:b/>
                <w:bCs/>
                <w:color w:val="000000"/>
                <w:sz w:val="15"/>
                <w:szCs w:val="15"/>
              </w:rPr>
            </w:pPr>
            <w:r w:rsidRPr="003003C0">
              <w:rPr>
                <w:rFonts w:cs="Calibri"/>
                <w:b/>
                <w:bCs/>
                <w:color w:val="000000"/>
                <w:sz w:val="15"/>
                <w:szCs w:val="15"/>
              </w:rPr>
              <w:t>7</w:t>
            </w:r>
            <w:r>
              <w:rPr>
                <w:rFonts w:cs="Calibri"/>
                <w:b/>
                <w:bCs/>
                <w:color w:val="000000"/>
                <w:sz w:val="15"/>
                <w:szCs w:val="15"/>
              </w:rPr>
              <w:t>,</w:t>
            </w:r>
            <w:r w:rsidRPr="003003C0">
              <w:rPr>
                <w:rFonts w:cs="Calibri"/>
                <w:b/>
                <w:bCs/>
                <w:color w:val="000000"/>
                <w:sz w:val="15"/>
                <w:szCs w:val="15"/>
              </w:rPr>
              <w:t>290</w:t>
            </w:r>
          </w:p>
        </w:tc>
        <w:tc>
          <w:tcPr>
            <w:tcW w:w="1278" w:type="dxa"/>
            <w:noWrap/>
            <w:hideMark/>
          </w:tcPr>
          <w:p w14:paraId="01069684" w14:textId="77777777" w:rsidR="004F64EF" w:rsidRPr="003003C0" w:rsidRDefault="004F64EF" w:rsidP="001F3C85">
            <w:pPr>
              <w:jc w:val="center"/>
              <w:rPr>
                <w:rFonts w:cs="Calibri"/>
                <w:b/>
                <w:bCs/>
                <w:color w:val="000000"/>
                <w:sz w:val="15"/>
                <w:szCs w:val="15"/>
              </w:rPr>
            </w:pPr>
            <w:r w:rsidRPr="003003C0">
              <w:rPr>
                <w:rFonts w:cs="Calibri"/>
                <w:b/>
                <w:bCs/>
                <w:color w:val="000000"/>
                <w:sz w:val="15"/>
                <w:szCs w:val="15"/>
              </w:rPr>
              <w:t>6</w:t>
            </w:r>
            <w:r>
              <w:rPr>
                <w:rFonts w:cs="Calibri"/>
                <w:b/>
                <w:bCs/>
                <w:color w:val="000000"/>
                <w:sz w:val="15"/>
                <w:szCs w:val="15"/>
              </w:rPr>
              <w:t>,</w:t>
            </w:r>
            <w:r w:rsidRPr="003003C0">
              <w:rPr>
                <w:rFonts w:cs="Calibri"/>
                <w:b/>
                <w:bCs/>
                <w:color w:val="000000"/>
                <w:sz w:val="15"/>
                <w:szCs w:val="15"/>
              </w:rPr>
              <w:t>789</w:t>
            </w:r>
          </w:p>
        </w:tc>
        <w:tc>
          <w:tcPr>
            <w:tcW w:w="1275" w:type="dxa"/>
            <w:noWrap/>
            <w:hideMark/>
          </w:tcPr>
          <w:p w14:paraId="74C8FF92" w14:textId="77777777" w:rsidR="004F64EF" w:rsidRPr="003003C0" w:rsidRDefault="004F64EF" w:rsidP="001F3C85">
            <w:pPr>
              <w:jc w:val="center"/>
              <w:rPr>
                <w:rFonts w:cs="Calibri"/>
                <w:b/>
                <w:bCs/>
                <w:color w:val="000000"/>
                <w:sz w:val="15"/>
                <w:szCs w:val="15"/>
              </w:rPr>
            </w:pPr>
            <w:r w:rsidRPr="003003C0">
              <w:rPr>
                <w:rFonts w:cs="Calibri"/>
                <w:b/>
                <w:bCs/>
                <w:color w:val="000000"/>
                <w:sz w:val="15"/>
                <w:szCs w:val="15"/>
              </w:rPr>
              <w:t>97</w:t>
            </w:r>
          </w:p>
        </w:tc>
      </w:tr>
      <w:tr w:rsidR="004F64EF" w:rsidRPr="003003C0" w14:paraId="4880DC99" w14:textId="77777777" w:rsidTr="001109BD">
        <w:trPr>
          <w:cnfStyle w:val="000000010000" w:firstRow="0" w:lastRow="0" w:firstColumn="0" w:lastColumn="0" w:oddVBand="0" w:evenVBand="0" w:oddHBand="0" w:evenHBand="1" w:firstRowFirstColumn="0" w:firstRowLastColumn="0" w:lastRowFirstColumn="0" w:lastRowLastColumn="0"/>
        </w:trPr>
        <w:tc>
          <w:tcPr>
            <w:tcW w:w="1980" w:type="dxa"/>
            <w:noWrap/>
            <w:hideMark/>
          </w:tcPr>
          <w:p w14:paraId="796690D0" w14:textId="77777777" w:rsidR="004F64EF" w:rsidRPr="003003C0" w:rsidRDefault="004F64EF" w:rsidP="001F3C85">
            <w:pPr>
              <w:jc w:val="left"/>
              <w:rPr>
                <w:rFonts w:cs="Calibri"/>
                <w:color w:val="000000"/>
                <w:sz w:val="15"/>
                <w:szCs w:val="15"/>
              </w:rPr>
            </w:pPr>
            <w:r w:rsidRPr="003003C0">
              <w:rPr>
                <w:rFonts w:cs="Calibri"/>
                <w:color w:val="000000"/>
                <w:sz w:val="15"/>
                <w:szCs w:val="15"/>
              </w:rPr>
              <w:t>0402.10.10</w:t>
            </w:r>
          </w:p>
        </w:tc>
        <w:tc>
          <w:tcPr>
            <w:tcW w:w="941" w:type="dxa"/>
            <w:noWrap/>
            <w:hideMark/>
          </w:tcPr>
          <w:p w14:paraId="6ECE6775" w14:textId="77777777" w:rsidR="004F64EF" w:rsidRPr="003003C0" w:rsidRDefault="004F64EF" w:rsidP="001F3C85">
            <w:pPr>
              <w:jc w:val="center"/>
              <w:rPr>
                <w:rFonts w:cs="Calibri"/>
                <w:color w:val="000000"/>
                <w:sz w:val="15"/>
                <w:szCs w:val="15"/>
              </w:rPr>
            </w:pPr>
            <w:r w:rsidRPr="003003C0">
              <w:rPr>
                <w:rFonts w:cs="Calibri"/>
                <w:color w:val="000000"/>
                <w:sz w:val="15"/>
                <w:szCs w:val="15"/>
              </w:rPr>
              <w:t>0</w:t>
            </w:r>
          </w:p>
        </w:tc>
        <w:tc>
          <w:tcPr>
            <w:tcW w:w="800" w:type="dxa"/>
            <w:noWrap/>
            <w:hideMark/>
          </w:tcPr>
          <w:p w14:paraId="7F63E2EB" w14:textId="77777777" w:rsidR="004F64EF" w:rsidRPr="003003C0" w:rsidRDefault="004F64EF" w:rsidP="001F3C85">
            <w:pPr>
              <w:jc w:val="center"/>
              <w:rPr>
                <w:rFonts w:cs="Calibri"/>
                <w:color w:val="000000"/>
                <w:sz w:val="15"/>
                <w:szCs w:val="15"/>
              </w:rPr>
            </w:pPr>
            <w:r w:rsidRPr="003003C0">
              <w:rPr>
                <w:rFonts w:cs="Calibri"/>
                <w:color w:val="000000"/>
                <w:sz w:val="15"/>
                <w:szCs w:val="15"/>
              </w:rPr>
              <w:t>22</w:t>
            </w:r>
            <w:r>
              <w:rPr>
                <w:rFonts w:cs="Calibri"/>
                <w:color w:val="000000"/>
                <w:sz w:val="15"/>
                <w:szCs w:val="15"/>
              </w:rPr>
              <w:t>.</w:t>
            </w:r>
            <w:r w:rsidRPr="003003C0">
              <w:rPr>
                <w:rFonts w:cs="Calibri"/>
                <w:color w:val="000000"/>
                <w:sz w:val="15"/>
                <w:szCs w:val="15"/>
              </w:rPr>
              <w:t>4</w:t>
            </w:r>
          </w:p>
        </w:tc>
        <w:tc>
          <w:tcPr>
            <w:tcW w:w="800" w:type="dxa"/>
            <w:noWrap/>
            <w:hideMark/>
          </w:tcPr>
          <w:p w14:paraId="36055578" w14:textId="77777777" w:rsidR="004F64EF" w:rsidRPr="003003C0" w:rsidRDefault="004F64EF" w:rsidP="001F3C85">
            <w:pPr>
              <w:jc w:val="center"/>
              <w:rPr>
                <w:rFonts w:cs="Calibri"/>
                <w:color w:val="000000"/>
                <w:sz w:val="15"/>
                <w:szCs w:val="15"/>
              </w:rPr>
            </w:pPr>
            <w:r w:rsidRPr="003003C0">
              <w:rPr>
                <w:rFonts w:cs="Calibri"/>
                <w:color w:val="000000"/>
                <w:sz w:val="15"/>
                <w:szCs w:val="15"/>
              </w:rPr>
              <w:t>16</w:t>
            </w:r>
            <w:r>
              <w:rPr>
                <w:rFonts w:cs="Calibri"/>
                <w:color w:val="000000"/>
                <w:sz w:val="15"/>
                <w:szCs w:val="15"/>
              </w:rPr>
              <w:t>.</w:t>
            </w:r>
            <w:r w:rsidRPr="003003C0">
              <w:rPr>
                <w:rFonts w:cs="Calibri"/>
                <w:color w:val="000000"/>
                <w:sz w:val="15"/>
                <w:szCs w:val="15"/>
              </w:rPr>
              <w:t>8</w:t>
            </w:r>
          </w:p>
        </w:tc>
        <w:tc>
          <w:tcPr>
            <w:tcW w:w="996" w:type="dxa"/>
            <w:noWrap/>
            <w:hideMark/>
          </w:tcPr>
          <w:p w14:paraId="05ACBF6E" w14:textId="77777777" w:rsidR="004F64EF" w:rsidRPr="003003C0" w:rsidRDefault="004F64EF" w:rsidP="001F3C85">
            <w:pPr>
              <w:jc w:val="center"/>
              <w:rPr>
                <w:rFonts w:cs="Calibri"/>
                <w:color w:val="000000"/>
                <w:sz w:val="15"/>
                <w:szCs w:val="15"/>
              </w:rPr>
            </w:pPr>
          </w:p>
        </w:tc>
        <w:tc>
          <w:tcPr>
            <w:tcW w:w="997" w:type="dxa"/>
            <w:gridSpan w:val="2"/>
            <w:noWrap/>
            <w:hideMark/>
          </w:tcPr>
          <w:p w14:paraId="4F38827A" w14:textId="77777777" w:rsidR="004F64EF" w:rsidRPr="003003C0" w:rsidRDefault="004F64EF" w:rsidP="001F3C85">
            <w:pPr>
              <w:jc w:val="center"/>
              <w:rPr>
                <w:sz w:val="15"/>
                <w:szCs w:val="15"/>
              </w:rPr>
            </w:pPr>
          </w:p>
        </w:tc>
        <w:tc>
          <w:tcPr>
            <w:tcW w:w="1278" w:type="dxa"/>
            <w:noWrap/>
            <w:hideMark/>
          </w:tcPr>
          <w:p w14:paraId="45F25FE8" w14:textId="77777777" w:rsidR="004F64EF" w:rsidRPr="003003C0" w:rsidRDefault="004F64EF" w:rsidP="001F3C85">
            <w:pPr>
              <w:jc w:val="center"/>
              <w:rPr>
                <w:sz w:val="15"/>
                <w:szCs w:val="15"/>
              </w:rPr>
            </w:pPr>
          </w:p>
        </w:tc>
        <w:tc>
          <w:tcPr>
            <w:tcW w:w="1275" w:type="dxa"/>
            <w:noWrap/>
            <w:hideMark/>
          </w:tcPr>
          <w:p w14:paraId="7E561C19" w14:textId="77777777" w:rsidR="004F64EF" w:rsidRPr="003003C0" w:rsidRDefault="004F64EF" w:rsidP="001F3C85">
            <w:pPr>
              <w:rPr>
                <w:sz w:val="15"/>
                <w:szCs w:val="15"/>
              </w:rPr>
            </w:pPr>
          </w:p>
        </w:tc>
      </w:tr>
      <w:tr w:rsidR="004F64EF" w:rsidRPr="003003C0" w14:paraId="61222AEB" w14:textId="77777777" w:rsidTr="001109BD">
        <w:tc>
          <w:tcPr>
            <w:tcW w:w="1980" w:type="dxa"/>
            <w:noWrap/>
            <w:hideMark/>
          </w:tcPr>
          <w:p w14:paraId="129BBA9E" w14:textId="77777777" w:rsidR="004F64EF" w:rsidRPr="003003C0" w:rsidRDefault="004F64EF" w:rsidP="001F3C85">
            <w:pPr>
              <w:jc w:val="left"/>
              <w:rPr>
                <w:rFonts w:cs="Calibri"/>
                <w:color w:val="000000"/>
                <w:sz w:val="15"/>
                <w:szCs w:val="15"/>
              </w:rPr>
            </w:pPr>
            <w:r w:rsidRPr="003003C0">
              <w:rPr>
                <w:rFonts w:cs="Calibri"/>
                <w:color w:val="000000"/>
                <w:sz w:val="15"/>
                <w:szCs w:val="15"/>
              </w:rPr>
              <w:t>0402.10.90</w:t>
            </w:r>
          </w:p>
        </w:tc>
        <w:tc>
          <w:tcPr>
            <w:tcW w:w="941" w:type="dxa"/>
            <w:noWrap/>
            <w:hideMark/>
          </w:tcPr>
          <w:p w14:paraId="7B52FB7D" w14:textId="77777777" w:rsidR="004F64EF" w:rsidRPr="003003C0" w:rsidRDefault="004F64EF" w:rsidP="001F3C85">
            <w:pPr>
              <w:jc w:val="center"/>
              <w:rPr>
                <w:rFonts w:cs="Calibri"/>
                <w:color w:val="000000"/>
                <w:sz w:val="15"/>
                <w:szCs w:val="15"/>
              </w:rPr>
            </w:pPr>
            <w:r w:rsidRPr="003003C0">
              <w:rPr>
                <w:rFonts w:cs="Calibri"/>
                <w:color w:val="000000"/>
                <w:sz w:val="15"/>
                <w:szCs w:val="15"/>
              </w:rPr>
              <w:t>0</w:t>
            </w:r>
          </w:p>
        </w:tc>
        <w:tc>
          <w:tcPr>
            <w:tcW w:w="800" w:type="dxa"/>
            <w:noWrap/>
            <w:hideMark/>
          </w:tcPr>
          <w:p w14:paraId="3986DE2D" w14:textId="77777777" w:rsidR="004F64EF" w:rsidRPr="003003C0" w:rsidRDefault="004F64EF" w:rsidP="001F3C85">
            <w:pPr>
              <w:jc w:val="center"/>
              <w:rPr>
                <w:rFonts w:cs="Calibri"/>
                <w:color w:val="000000"/>
                <w:sz w:val="15"/>
                <w:szCs w:val="15"/>
              </w:rPr>
            </w:pPr>
            <w:r w:rsidRPr="003003C0">
              <w:rPr>
                <w:rFonts w:cs="Calibri"/>
                <w:color w:val="000000"/>
                <w:sz w:val="15"/>
                <w:szCs w:val="15"/>
              </w:rPr>
              <w:t>22</w:t>
            </w:r>
            <w:r>
              <w:rPr>
                <w:rFonts w:cs="Calibri"/>
                <w:color w:val="000000"/>
                <w:sz w:val="15"/>
                <w:szCs w:val="15"/>
              </w:rPr>
              <w:t>.</w:t>
            </w:r>
            <w:r w:rsidRPr="003003C0">
              <w:rPr>
                <w:rFonts w:cs="Calibri"/>
                <w:color w:val="000000"/>
                <w:sz w:val="15"/>
                <w:szCs w:val="15"/>
              </w:rPr>
              <w:t>4</w:t>
            </w:r>
          </w:p>
        </w:tc>
        <w:tc>
          <w:tcPr>
            <w:tcW w:w="800" w:type="dxa"/>
            <w:noWrap/>
            <w:hideMark/>
          </w:tcPr>
          <w:p w14:paraId="06063041" w14:textId="77777777" w:rsidR="004F64EF" w:rsidRPr="003003C0" w:rsidRDefault="004F64EF" w:rsidP="001F3C85">
            <w:pPr>
              <w:jc w:val="center"/>
              <w:rPr>
                <w:rFonts w:cs="Calibri"/>
                <w:color w:val="000000"/>
                <w:sz w:val="15"/>
                <w:szCs w:val="15"/>
              </w:rPr>
            </w:pPr>
            <w:r w:rsidRPr="003003C0">
              <w:rPr>
                <w:rFonts w:cs="Calibri"/>
                <w:color w:val="000000"/>
                <w:sz w:val="15"/>
                <w:szCs w:val="15"/>
              </w:rPr>
              <w:t>16</w:t>
            </w:r>
            <w:r>
              <w:rPr>
                <w:rFonts w:cs="Calibri"/>
                <w:color w:val="000000"/>
                <w:sz w:val="15"/>
                <w:szCs w:val="15"/>
              </w:rPr>
              <w:t>.</w:t>
            </w:r>
            <w:r w:rsidRPr="003003C0">
              <w:rPr>
                <w:rFonts w:cs="Calibri"/>
                <w:color w:val="000000"/>
                <w:sz w:val="15"/>
                <w:szCs w:val="15"/>
              </w:rPr>
              <w:t>8</w:t>
            </w:r>
          </w:p>
        </w:tc>
        <w:tc>
          <w:tcPr>
            <w:tcW w:w="996" w:type="dxa"/>
            <w:noWrap/>
            <w:hideMark/>
          </w:tcPr>
          <w:p w14:paraId="3675E12A" w14:textId="77777777" w:rsidR="004F64EF" w:rsidRPr="003003C0" w:rsidRDefault="004F64EF" w:rsidP="001F3C85">
            <w:pPr>
              <w:jc w:val="center"/>
              <w:rPr>
                <w:rFonts w:cs="Calibri"/>
                <w:color w:val="000000"/>
                <w:sz w:val="15"/>
                <w:szCs w:val="15"/>
              </w:rPr>
            </w:pPr>
          </w:p>
        </w:tc>
        <w:tc>
          <w:tcPr>
            <w:tcW w:w="997" w:type="dxa"/>
            <w:gridSpan w:val="2"/>
            <w:noWrap/>
            <w:hideMark/>
          </w:tcPr>
          <w:p w14:paraId="634BE0E5" w14:textId="77777777" w:rsidR="004F64EF" w:rsidRPr="003003C0" w:rsidRDefault="004F64EF" w:rsidP="001F3C85">
            <w:pPr>
              <w:jc w:val="center"/>
              <w:rPr>
                <w:sz w:val="15"/>
                <w:szCs w:val="15"/>
              </w:rPr>
            </w:pPr>
          </w:p>
        </w:tc>
        <w:tc>
          <w:tcPr>
            <w:tcW w:w="1278" w:type="dxa"/>
            <w:noWrap/>
            <w:hideMark/>
          </w:tcPr>
          <w:p w14:paraId="70FFACD2" w14:textId="77777777" w:rsidR="004F64EF" w:rsidRPr="003003C0" w:rsidRDefault="004F64EF" w:rsidP="001F3C85">
            <w:pPr>
              <w:jc w:val="center"/>
              <w:rPr>
                <w:sz w:val="15"/>
                <w:szCs w:val="15"/>
              </w:rPr>
            </w:pPr>
          </w:p>
        </w:tc>
        <w:tc>
          <w:tcPr>
            <w:tcW w:w="1275" w:type="dxa"/>
            <w:noWrap/>
            <w:hideMark/>
          </w:tcPr>
          <w:p w14:paraId="1B95E941" w14:textId="77777777" w:rsidR="004F64EF" w:rsidRPr="003003C0" w:rsidRDefault="004F64EF" w:rsidP="001F3C85">
            <w:pPr>
              <w:jc w:val="center"/>
              <w:rPr>
                <w:sz w:val="15"/>
                <w:szCs w:val="15"/>
              </w:rPr>
            </w:pPr>
          </w:p>
        </w:tc>
      </w:tr>
      <w:tr w:rsidR="004F64EF" w:rsidRPr="003003C0" w14:paraId="3048D522" w14:textId="77777777" w:rsidTr="001109BD">
        <w:trPr>
          <w:cnfStyle w:val="000000010000" w:firstRow="0" w:lastRow="0" w:firstColumn="0" w:lastColumn="0" w:oddVBand="0" w:evenVBand="0" w:oddHBand="0" w:evenHBand="1" w:firstRowFirstColumn="0" w:firstRowLastColumn="0" w:lastRowFirstColumn="0" w:lastRowLastColumn="0"/>
        </w:trPr>
        <w:tc>
          <w:tcPr>
            <w:tcW w:w="1980" w:type="dxa"/>
            <w:noWrap/>
            <w:hideMark/>
          </w:tcPr>
          <w:p w14:paraId="76D55E12" w14:textId="77777777" w:rsidR="004F64EF" w:rsidRPr="003003C0" w:rsidRDefault="004F64EF" w:rsidP="001F3C85">
            <w:pPr>
              <w:jc w:val="left"/>
              <w:rPr>
                <w:rFonts w:cs="Calibri"/>
                <w:color w:val="000000"/>
                <w:sz w:val="15"/>
                <w:szCs w:val="15"/>
              </w:rPr>
            </w:pPr>
            <w:r w:rsidRPr="003003C0">
              <w:rPr>
                <w:rFonts w:cs="Calibri"/>
                <w:color w:val="000000"/>
                <w:sz w:val="15"/>
                <w:szCs w:val="15"/>
              </w:rPr>
              <w:t>0402.21.10</w:t>
            </w:r>
          </w:p>
        </w:tc>
        <w:tc>
          <w:tcPr>
            <w:tcW w:w="941" w:type="dxa"/>
            <w:noWrap/>
            <w:hideMark/>
          </w:tcPr>
          <w:p w14:paraId="7286DD89" w14:textId="77777777" w:rsidR="004F64EF" w:rsidRPr="003003C0" w:rsidRDefault="004F64EF" w:rsidP="001F3C85">
            <w:pPr>
              <w:jc w:val="center"/>
              <w:rPr>
                <w:rFonts w:cs="Calibri"/>
                <w:color w:val="000000"/>
                <w:sz w:val="15"/>
                <w:szCs w:val="15"/>
              </w:rPr>
            </w:pPr>
            <w:r w:rsidRPr="003003C0">
              <w:rPr>
                <w:rFonts w:cs="Calibri"/>
                <w:color w:val="000000"/>
                <w:sz w:val="15"/>
                <w:szCs w:val="15"/>
              </w:rPr>
              <w:t>0</w:t>
            </w:r>
          </w:p>
        </w:tc>
        <w:tc>
          <w:tcPr>
            <w:tcW w:w="800" w:type="dxa"/>
            <w:noWrap/>
            <w:hideMark/>
          </w:tcPr>
          <w:p w14:paraId="3AEDBA7E" w14:textId="77777777" w:rsidR="004F64EF" w:rsidRPr="003003C0" w:rsidRDefault="004F64EF" w:rsidP="001F3C85">
            <w:pPr>
              <w:jc w:val="center"/>
              <w:rPr>
                <w:rFonts w:cs="Calibri"/>
                <w:color w:val="000000"/>
                <w:sz w:val="15"/>
                <w:szCs w:val="15"/>
              </w:rPr>
            </w:pPr>
            <w:r w:rsidRPr="003003C0">
              <w:rPr>
                <w:rFonts w:cs="Calibri"/>
                <w:color w:val="000000"/>
                <w:sz w:val="15"/>
                <w:szCs w:val="15"/>
              </w:rPr>
              <w:t>22</w:t>
            </w:r>
            <w:r>
              <w:rPr>
                <w:rFonts w:cs="Calibri"/>
                <w:color w:val="000000"/>
                <w:sz w:val="15"/>
                <w:szCs w:val="15"/>
              </w:rPr>
              <w:t>.</w:t>
            </w:r>
            <w:r w:rsidRPr="003003C0">
              <w:rPr>
                <w:rFonts w:cs="Calibri"/>
                <w:color w:val="000000"/>
                <w:sz w:val="15"/>
                <w:szCs w:val="15"/>
              </w:rPr>
              <w:t>4</w:t>
            </w:r>
          </w:p>
        </w:tc>
        <w:tc>
          <w:tcPr>
            <w:tcW w:w="800" w:type="dxa"/>
            <w:noWrap/>
            <w:hideMark/>
          </w:tcPr>
          <w:p w14:paraId="4D185900" w14:textId="77777777" w:rsidR="004F64EF" w:rsidRPr="003003C0" w:rsidRDefault="004F64EF" w:rsidP="001F3C85">
            <w:pPr>
              <w:jc w:val="center"/>
              <w:rPr>
                <w:rFonts w:cs="Calibri"/>
                <w:color w:val="000000"/>
                <w:sz w:val="15"/>
                <w:szCs w:val="15"/>
              </w:rPr>
            </w:pPr>
            <w:r w:rsidRPr="003003C0">
              <w:rPr>
                <w:rFonts w:cs="Calibri"/>
                <w:color w:val="000000"/>
                <w:sz w:val="15"/>
                <w:szCs w:val="15"/>
              </w:rPr>
              <w:t>16</w:t>
            </w:r>
            <w:r>
              <w:rPr>
                <w:rFonts w:cs="Calibri"/>
                <w:color w:val="000000"/>
                <w:sz w:val="15"/>
                <w:szCs w:val="15"/>
              </w:rPr>
              <w:t>.</w:t>
            </w:r>
            <w:r w:rsidRPr="003003C0">
              <w:rPr>
                <w:rFonts w:cs="Calibri"/>
                <w:color w:val="000000"/>
                <w:sz w:val="15"/>
                <w:szCs w:val="15"/>
              </w:rPr>
              <w:t>8</w:t>
            </w:r>
          </w:p>
        </w:tc>
        <w:tc>
          <w:tcPr>
            <w:tcW w:w="996" w:type="dxa"/>
            <w:noWrap/>
            <w:hideMark/>
          </w:tcPr>
          <w:p w14:paraId="3A1B3E0D" w14:textId="77777777" w:rsidR="004F64EF" w:rsidRPr="003003C0" w:rsidRDefault="004F64EF" w:rsidP="001F3C85">
            <w:pPr>
              <w:jc w:val="center"/>
              <w:rPr>
                <w:rFonts w:cs="Calibri"/>
                <w:color w:val="000000"/>
                <w:sz w:val="15"/>
                <w:szCs w:val="15"/>
              </w:rPr>
            </w:pPr>
          </w:p>
        </w:tc>
        <w:tc>
          <w:tcPr>
            <w:tcW w:w="997" w:type="dxa"/>
            <w:gridSpan w:val="2"/>
            <w:noWrap/>
            <w:hideMark/>
          </w:tcPr>
          <w:p w14:paraId="42284586" w14:textId="77777777" w:rsidR="004F64EF" w:rsidRPr="003003C0" w:rsidRDefault="004F64EF" w:rsidP="001F3C85">
            <w:pPr>
              <w:jc w:val="center"/>
              <w:rPr>
                <w:sz w:val="15"/>
                <w:szCs w:val="15"/>
              </w:rPr>
            </w:pPr>
          </w:p>
        </w:tc>
        <w:tc>
          <w:tcPr>
            <w:tcW w:w="1278" w:type="dxa"/>
            <w:noWrap/>
            <w:hideMark/>
          </w:tcPr>
          <w:p w14:paraId="1E00067D" w14:textId="77777777" w:rsidR="004F64EF" w:rsidRPr="003003C0" w:rsidRDefault="004F64EF" w:rsidP="001F3C85">
            <w:pPr>
              <w:jc w:val="center"/>
              <w:rPr>
                <w:sz w:val="15"/>
                <w:szCs w:val="15"/>
              </w:rPr>
            </w:pPr>
          </w:p>
        </w:tc>
        <w:tc>
          <w:tcPr>
            <w:tcW w:w="1275" w:type="dxa"/>
            <w:noWrap/>
            <w:hideMark/>
          </w:tcPr>
          <w:p w14:paraId="0205B6F7" w14:textId="77777777" w:rsidR="004F64EF" w:rsidRPr="003003C0" w:rsidRDefault="004F64EF" w:rsidP="001F3C85">
            <w:pPr>
              <w:jc w:val="center"/>
              <w:rPr>
                <w:sz w:val="15"/>
                <w:szCs w:val="15"/>
              </w:rPr>
            </w:pPr>
          </w:p>
        </w:tc>
      </w:tr>
      <w:tr w:rsidR="004F64EF" w:rsidRPr="003003C0" w14:paraId="39523AC7" w14:textId="77777777" w:rsidTr="001109BD">
        <w:tc>
          <w:tcPr>
            <w:tcW w:w="1980" w:type="dxa"/>
            <w:noWrap/>
            <w:hideMark/>
          </w:tcPr>
          <w:p w14:paraId="7525440E" w14:textId="77777777" w:rsidR="004F64EF" w:rsidRPr="003003C0" w:rsidRDefault="004F64EF" w:rsidP="001F3C85">
            <w:pPr>
              <w:jc w:val="left"/>
              <w:rPr>
                <w:rFonts w:cs="Calibri"/>
                <w:color w:val="000000"/>
                <w:sz w:val="15"/>
                <w:szCs w:val="15"/>
              </w:rPr>
            </w:pPr>
            <w:r w:rsidRPr="003003C0">
              <w:rPr>
                <w:rFonts w:cs="Calibri"/>
                <w:color w:val="000000"/>
                <w:sz w:val="15"/>
                <w:szCs w:val="15"/>
              </w:rPr>
              <w:t>0402.21.90</w:t>
            </w:r>
          </w:p>
        </w:tc>
        <w:tc>
          <w:tcPr>
            <w:tcW w:w="941" w:type="dxa"/>
            <w:noWrap/>
            <w:hideMark/>
          </w:tcPr>
          <w:p w14:paraId="31B0C19A" w14:textId="77777777" w:rsidR="004F64EF" w:rsidRPr="003003C0" w:rsidRDefault="004F64EF" w:rsidP="001F3C85">
            <w:pPr>
              <w:jc w:val="center"/>
              <w:rPr>
                <w:rFonts w:cs="Calibri"/>
                <w:color w:val="000000"/>
                <w:sz w:val="15"/>
                <w:szCs w:val="15"/>
              </w:rPr>
            </w:pPr>
            <w:r w:rsidRPr="003003C0">
              <w:rPr>
                <w:rFonts w:cs="Calibri"/>
                <w:color w:val="000000"/>
                <w:sz w:val="15"/>
                <w:szCs w:val="15"/>
              </w:rPr>
              <w:t>0</w:t>
            </w:r>
          </w:p>
        </w:tc>
        <w:tc>
          <w:tcPr>
            <w:tcW w:w="800" w:type="dxa"/>
            <w:noWrap/>
            <w:hideMark/>
          </w:tcPr>
          <w:p w14:paraId="64FFF5CD" w14:textId="77777777" w:rsidR="004F64EF" w:rsidRPr="003003C0" w:rsidRDefault="004F64EF" w:rsidP="001F3C85">
            <w:pPr>
              <w:jc w:val="center"/>
              <w:rPr>
                <w:rFonts w:cs="Calibri"/>
                <w:color w:val="000000"/>
                <w:sz w:val="15"/>
                <w:szCs w:val="15"/>
              </w:rPr>
            </w:pPr>
            <w:r w:rsidRPr="003003C0">
              <w:rPr>
                <w:rFonts w:cs="Calibri"/>
                <w:color w:val="000000"/>
                <w:sz w:val="15"/>
                <w:szCs w:val="15"/>
              </w:rPr>
              <w:t>22</w:t>
            </w:r>
            <w:r>
              <w:rPr>
                <w:rFonts w:cs="Calibri"/>
                <w:color w:val="000000"/>
                <w:sz w:val="15"/>
                <w:szCs w:val="15"/>
              </w:rPr>
              <w:t>.</w:t>
            </w:r>
            <w:r w:rsidRPr="003003C0">
              <w:rPr>
                <w:rFonts w:cs="Calibri"/>
                <w:color w:val="000000"/>
                <w:sz w:val="15"/>
                <w:szCs w:val="15"/>
              </w:rPr>
              <w:t>4</w:t>
            </w:r>
          </w:p>
        </w:tc>
        <w:tc>
          <w:tcPr>
            <w:tcW w:w="800" w:type="dxa"/>
            <w:noWrap/>
            <w:hideMark/>
          </w:tcPr>
          <w:p w14:paraId="4A85B6E7" w14:textId="77777777" w:rsidR="004F64EF" w:rsidRPr="003003C0" w:rsidRDefault="004F64EF" w:rsidP="001F3C85">
            <w:pPr>
              <w:jc w:val="center"/>
              <w:rPr>
                <w:rFonts w:cs="Calibri"/>
                <w:color w:val="000000"/>
                <w:sz w:val="15"/>
                <w:szCs w:val="15"/>
              </w:rPr>
            </w:pPr>
            <w:r w:rsidRPr="003003C0">
              <w:rPr>
                <w:rFonts w:cs="Calibri"/>
                <w:color w:val="000000"/>
                <w:sz w:val="15"/>
                <w:szCs w:val="15"/>
              </w:rPr>
              <w:t>16</w:t>
            </w:r>
            <w:r>
              <w:rPr>
                <w:rFonts w:cs="Calibri"/>
                <w:color w:val="000000"/>
                <w:sz w:val="15"/>
                <w:szCs w:val="15"/>
              </w:rPr>
              <w:t>.</w:t>
            </w:r>
            <w:r w:rsidRPr="003003C0">
              <w:rPr>
                <w:rFonts w:cs="Calibri"/>
                <w:color w:val="000000"/>
                <w:sz w:val="15"/>
                <w:szCs w:val="15"/>
              </w:rPr>
              <w:t>8</w:t>
            </w:r>
          </w:p>
        </w:tc>
        <w:tc>
          <w:tcPr>
            <w:tcW w:w="996" w:type="dxa"/>
            <w:noWrap/>
            <w:hideMark/>
          </w:tcPr>
          <w:p w14:paraId="06C6984F" w14:textId="77777777" w:rsidR="004F64EF" w:rsidRPr="003003C0" w:rsidRDefault="004F64EF" w:rsidP="001F3C85">
            <w:pPr>
              <w:jc w:val="center"/>
              <w:rPr>
                <w:rFonts w:cs="Calibri"/>
                <w:color w:val="000000"/>
                <w:sz w:val="15"/>
                <w:szCs w:val="15"/>
              </w:rPr>
            </w:pPr>
          </w:p>
        </w:tc>
        <w:tc>
          <w:tcPr>
            <w:tcW w:w="997" w:type="dxa"/>
            <w:gridSpan w:val="2"/>
            <w:noWrap/>
            <w:hideMark/>
          </w:tcPr>
          <w:p w14:paraId="0BCDC0C1" w14:textId="77777777" w:rsidR="004F64EF" w:rsidRPr="003003C0" w:rsidRDefault="004F64EF" w:rsidP="001F3C85">
            <w:pPr>
              <w:jc w:val="center"/>
              <w:rPr>
                <w:sz w:val="15"/>
                <w:szCs w:val="15"/>
              </w:rPr>
            </w:pPr>
          </w:p>
        </w:tc>
        <w:tc>
          <w:tcPr>
            <w:tcW w:w="1278" w:type="dxa"/>
            <w:noWrap/>
            <w:hideMark/>
          </w:tcPr>
          <w:p w14:paraId="6F686C79" w14:textId="77777777" w:rsidR="004F64EF" w:rsidRPr="003003C0" w:rsidRDefault="004F64EF" w:rsidP="001F3C85">
            <w:pPr>
              <w:jc w:val="center"/>
              <w:rPr>
                <w:sz w:val="15"/>
                <w:szCs w:val="15"/>
              </w:rPr>
            </w:pPr>
          </w:p>
        </w:tc>
        <w:tc>
          <w:tcPr>
            <w:tcW w:w="1275" w:type="dxa"/>
            <w:noWrap/>
            <w:hideMark/>
          </w:tcPr>
          <w:p w14:paraId="14165F49" w14:textId="77777777" w:rsidR="004F64EF" w:rsidRPr="003003C0" w:rsidRDefault="004F64EF" w:rsidP="001F3C85">
            <w:pPr>
              <w:jc w:val="center"/>
              <w:rPr>
                <w:sz w:val="15"/>
                <w:szCs w:val="15"/>
              </w:rPr>
            </w:pPr>
          </w:p>
        </w:tc>
      </w:tr>
      <w:tr w:rsidR="004F64EF" w:rsidRPr="003003C0" w14:paraId="2042A4B3" w14:textId="77777777" w:rsidTr="001109BD">
        <w:trPr>
          <w:cnfStyle w:val="000000010000" w:firstRow="0" w:lastRow="0" w:firstColumn="0" w:lastColumn="0" w:oddVBand="0" w:evenVBand="0" w:oddHBand="0" w:evenHBand="1" w:firstRowFirstColumn="0" w:firstRowLastColumn="0" w:lastRowFirstColumn="0" w:lastRowLastColumn="0"/>
        </w:trPr>
        <w:tc>
          <w:tcPr>
            <w:tcW w:w="1980" w:type="dxa"/>
            <w:noWrap/>
            <w:hideMark/>
          </w:tcPr>
          <w:p w14:paraId="22A5B42B" w14:textId="77777777" w:rsidR="004F64EF" w:rsidRPr="003003C0" w:rsidRDefault="004F64EF" w:rsidP="001F3C85">
            <w:pPr>
              <w:jc w:val="left"/>
              <w:rPr>
                <w:rFonts w:cs="Calibri"/>
                <w:color w:val="000000"/>
                <w:sz w:val="15"/>
                <w:szCs w:val="15"/>
              </w:rPr>
            </w:pPr>
            <w:r w:rsidRPr="003003C0">
              <w:rPr>
                <w:rFonts w:cs="Calibri"/>
                <w:color w:val="000000"/>
                <w:sz w:val="15"/>
                <w:szCs w:val="15"/>
              </w:rPr>
              <w:t>0402.29.10</w:t>
            </w:r>
          </w:p>
        </w:tc>
        <w:tc>
          <w:tcPr>
            <w:tcW w:w="941" w:type="dxa"/>
            <w:noWrap/>
            <w:hideMark/>
          </w:tcPr>
          <w:p w14:paraId="49FDA139" w14:textId="77777777" w:rsidR="004F64EF" w:rsidRPr="003003C0" w:rsidRDefault="004F64EF" w:rsidP="001F3C85">
            <w:pPr>
              <w:jc w:val="center"/>
              <w:rPr>
                <w:rFonts w:cs="Calibri"/>
                <w:color w:val="000000"/>
                <w:sz w:val="15"/>
                <w:szCs w:val="15"/>
              </w:rPr>
            </w:pPr>
            <w:r w:rsidRPr="003003C0">
              <w:rPr>
                <w:rFonts w:cs="Calibri"/>
                <w:color w:val="000000"/>
                <w:sz w:val="15"/>
                <w:szCs w:val="15"/>
              </w:rPr>
              <w:t>0</w:t>
            </w:r>
          </w:p>
        </w:tc>
        <w:tc>
          <w:tcPr>
            <w:tcW w:w="800" w:type="dxa"/>
            <w:noWrap/>
            <w:hideMark/>
          </w:tcPr>
          <w:p w14:paraId="221EEC1D" w14:textId="77777777" w:rsidR="004F64EF" w:rsidRPr="003003C0" w:rsidRDefault="004F64EF" w:rsidP="001F3C85">
            <w:pPr>
              <w:jc w:val="center"/>
              <w:rPr>
                <w:rFonts w:cs="Calibri"/>
                <w:color w:val="000000"/>
                <w:sz w:val="15"/>
                <w:szCs w:val="15"/>
              </w:rPr>
            </w:pPr>
            <w:r w:rsidRPr="003003C0">
              <w:rPr>
                <w:rFonts w:cs="Calibri"/>
                <w:color w:val="000000"/>
                <w:sz w:val="15"/>
                <w:szCs w:val="15"/>
              </w:rPr>
              <w:t>22</w:t>
            </w:r>
            <w:r>
              <w:rPr>
                <w:rFonts w:cs="Calibri"/>
                <w:color w:val="000000"/>
                <w:sz w:val="15"/>
                <w:szCs w:val="15"/>
              </w:rPr>
              <w:t>.</w:t>
            </w:r>
            <w:r w:rsidRPr="003003C0">
              <w:rPr>
                <w:rFonts w:cs="Calibri"/>
                <w:color w:val="000000"/>
                <w:sz w:val="15"/>
                <w:szCs w:val="15"/>
              </w:rPr>
              <w:t>4</w:t>
            </w:r>
          </w:p>
        </w:tc>
        <w:tc>
          <w:tcPr>
            <w:tcW w:w="800" w:type="dxa"/>
            <w:noWrap/>
            <w:hideMark/>
          </w:tcPr>
          <w:p w14:paraId="1754D74D" w14:textId="77777777" w:rsidR="004F64EF" w:rsidRPr="003003C0" w:rsidRDefault="004F64EF" w:rsidP="001F3C85">
            <w:pPr>
              <w:jc w:val="center"/>
              <w:rPr>
                <w:rFonts w:cs="Calibri"/>
                <w:color w:val="000000"/>
                <w:sz w:val="15"/>
                <w:szCs w:val="15"/>
              </w:rPr>
            </w:pPr>
            <w:r w:rsidRPr="003003C0">
              <w:rPr>
                <w:rFonts w:cs="Calibri"/>
                <w:color w:val="000000"/>
                <w:sz w:val="15"/>
                <w:szCs w:val="15"/>
              </w:rPr>
              <w:t>16</w:t>
            </w:r>
            <w:r>
              <w:rPr>
                <w:rFonts w:cs="Calibri"/>
                <w:color w:val="000000"/>
                <w:sz w:val="15"/>
                <w:szCs w:val="15"/>
              </w:rPr>
              <w:t>.</w:t>
            </w:r>
            <w:r w:rsidRPr="003003C0">
              <w:rPr>
                <w:rFonts w:cs="Calibri"/>
                <w:color w:val="000000"/>
                <w:sz w:val="15"/>
                <w:szCs w:val="15"/>
              </w:rPr>
              <w:t>8</w:t>
            </w:r>
          </w:p>
        </w:tc>
        <w:tc>
          <w:tcPr>
            <w:tcW w:w="996" w:type="dxa"/>
            <w:noWrap/>
            <w:hideMark/>
          </w:tcPr>
          <w:p w14:paraId="2CD45261" w14:textId="77777777" w:rsidR="004F64EF" w:rsidRPr="003003C0" w:rsidRDefault="004F64EF" w:rsidP="001F3C85">
            <w:pPr>
              <w:jc w:val="center"/>
              <w:rPr>
                <w:rFonts w:cs="Calibri"/>
                <w:color w:val="000000"/>
                <w:sz w:val="15"/>
                <w:szCs w:val="15"/>
              </w:rPr>
            </w:pPr>
          </w:p>
        </w:tc>
        <w:tc>
          <w:tcPr>
            <w:tcW w:w="997" w:type="dxa"/>
            <w:gridSpan w:val="2"/>
            <w:noWrap/>
            <w:hideMark/>
          </w:tcPr>
          <w:p w14:paraId="68692FEC" w14:textId="77777777" w:rsidR="004F64EF" w:rsidRPr="003003C0" w:rsidRDefault="004F64EF" w:rsidP="001F3C85">
            <w:pPr>
              <w:jc w:val="center"/>
              <w:rPr>
                <w:sz w:val="15"/>
                <w:szCs w:val="15"/>
              </w:rPr>
            </w:pPr>
          </w:p>
        </w:tc>
        <w:tc>
          <w:tcPr>
            <w:tcW w:w="1278" w:type="dxa"/>
            <w:noWrap/>
            <w:hideMark/>
          </w:tcPr>
          <w:p w14:paraId="26606506" w14:textId="77777777" w:rsidR="004F64EF" w:rsidRPr="003003C0" w:rsidRDefault="004F64EF" w:rsidP="001F3C85">
            <w:pPr>
              <w:jc w:val="center"/>
              <w:rPr>
                <w:sz w:val="15"/>
                <w:szCs w:val="15"/>
              </w:rPr>
            </w:pPr>
          </w:p>
        </w:tc>
        <w:tc>
          <w:tcPr>
            <w:tcW w:w="1275" w:type="dxa"/>
            <w:noWrap/>
            <w:hideMark/>
          </w:tcPr>
          <w:p w14:paraId="5B106D6C" w14:textId="77777777" w:rsidR="004F64EF" w:rsidRPr="003003C0" w:rsidRDefault="004F64EF" w:rsidP="001F3C85">
            <w:pPr>
              <w:jc w:val="center"/>
              <w:rPr>
                <w:sz w:val="15"/>
                <w:szCs w:val="15"/>
              </w:rPr>
            </w:pPr>
          </w:p>
        </w:tc>
      </w:tr>
      <w:tr w:rsidR="004F64EF" w:rsidRPr="003003C0" w14:paraId="33426355" w14:textId="77777777" w:rsidTr="001109BD">
        <w:trPr>
          <w:trHeight w:val="80"/>
        </w:trPr>
        <w:tc>
          <w:tcPr>
            <w:tcW w:w="1980" w:type="dxa"/>
            <w:noWrap/>
            <w:hideMark/>
          </w:tcPr>
          <w:p w14:paraId="37B5200C" w14:textId="77777777" w:rsidR="004F64EF" w:rsidRPr="003003C0" w:rsidRDefault="004F64EF" w:rsidP="001F3C85">
            <w:pPr>
              <w:jc w:val="left"/>
              <w:rPr>
                <w:rFonts w:cs="Calibri"/>
                <w:color w:val="000000"/>
                <w:sz w:val="15"/>
                <w:szCs w:val="15"/>
              </w:rPr>
            </w:pPr>
            <w:r w:rsidRPr="003003C0">
              <w:rPr>
                <w:rFonts w:cs="Calibri"/>
                <w:color w:val="000000"/>
                <w:sz w:val="15"/>
                <w:szCs w:val="15"/>
              </w:rPr>
              <w:t>0402.29.90</w:t>
            </w:r>
          </w:p>
        </w:tc>
        <w:tc>
          <w:tcPr>
            <w:tcW w:w="941" w:type="dxa"/>
            <w:noWrap/>
            <w:hideMark/>
          </w:tcPr>
          <w:p w14:paraId="3A9B4EF7" w14:textId="77777777" w:rsidR="004F64EF" w:rsidRPr="003003C0" w:rsidRDefault="004F64EF" w:rsidP="001F3C85">
            <w:pPr>
              <w:jc w:val="center"/>
              <w:rPr>
                <w:rFonts w:cs="Calibri"/>
                <w:color w:val="000000"/>
                <w:sz w:val="15"/>
                <w:szCs w:val="15"/>
              </w:rPr>
            </w:pPr>
            <w:r w:rsidRPr="003003C0">
              <w:rPr>
                <w:rFonts w:cs="Calibri"/>
                <w:color w:val="000000"/>
                <w:sz w:val="15"/>
                <w:szCs w:val="15"/>
              </w:rPr>
              <w:t>0</w:t>
            </w:r>
          </w:p>
        </w:tc>
        <w:tc>
          <w:tcPr>
            <w:tcW w:w="800" w:type="dxa"/>
            <w:noWrap/>
            <w:hideMark/>
          </w:tcPr>
          <w:p w14:paraId="73313511" w14:textId="77777777" w:rsidR="004F64EF" w:rsidRPr="003003C0" w:rsidRDefault="004F64EF" w:rsidP="001F3C85">
            <w:pPr>
              <w:jc w:val="center"/>
              <w:rPr>
                <w:rFonts w:cs="Calibri"/>
                <w:color w:val="000000"/>
                <w:sz w:val="15"/>
                <w:szCs w:val="15"/>
              </w:rPr>
            </w:pPr>
            <w:r w:rsidRPr="003003C0">
              <w:rPr>
                <w:rFonts w:cs="Calibri"/>
                <w:color w:val="000000"/>
                <w:sz w:val="15"/>
                <w:szCs w:val="15"/>
              </w:rPr>
              <w:t>22</w:t>
            </w:r>
            <w:r>
              <w:rPr>
                <w:rFonts w:cs="Calibri"/>
                <w:color w:val="000000"/>
                <w:sz w:val="15"/>
                <w:szCs w:val="15"/>
              </w:rPr>
              <w:t>.</w:t>
            </w:r>
            <w:r w:rsidRPr="003003C0">
              <w:rPr>
                <w:rFonts w:cs="Calibri"/>
                <w:color w:val="000000"/>
                <w:sz w:val="15"/>
                <w:szCs w:val="15"/>
              </w:rPr>
              <w:t>4</w:t>
            </w:r>
          </w:p>
        </w:tc>
        <w:tc>
          <w:tcPr>
            <w:tcW w:w="800" w:type="dxa"/>
            <w:noWrap/>
            <w:hideMark/>
          </w:tcPr>
          <w:p w14:paraId="41CDB720" w14:textId="77777777" w:rsidR="004F64EF" w:rsidRPr="003003C0" w:rsidRDefault="004F64EF" w:rsidP="001F3C85">
            <w:pPr>
              <w:jc w:val="center"/>
              <w:rPr>
                <w:rFonts w:cs="Calibri"/>
                <w:color w:val="000000"/>
                <w:sz w:val="15"/>
                <w:szCs w:val="15"/>
              </w:rPr>
            </w:pPr>
            <w:r w:rsidRPr="003003C0">
              <w:rPr>
                <w:rFonts w:cs="Calibri"/>
                <w:color w:val="000000"/>
                <w:sz w:val="15"/>
                <w:szCs w:val="15"/>
              </w:rPr>
              <w:t>16</w:t>
            </w:r>
            <w:r>
              <w:rPr>
                <w:rFonts w:cs="Calibri"/>
                <w:color w:val="000000"/>
                <w:sz w:val="15"/>
                <w:szCs w:val="15"/>
              </w:rPr>
              <w:t>.</w:t>
            </w:r>
            <w:r w:rsidRPr="003003C0">
              <w:rPr>
                <w:rFonts w:cs="Calibri"/>
                <w:color w:val="000000"/>
                <w:sz w:val="15"/>
                <w:szCs w:val="15"/>
              </w:rPr>
              <w:t>8</w:t>
            </w:r>
          </w:p>
        </w:tc>
        <w:tc>
          <w:tcPr>
            <w:tcW w:w="996" w:type="dxa"/>
            <w:noWrap/>
            <w:hideMark/>
          </w:tcPr>
          <w:p w14:paraId="0BF71A79" w14:textId="77777777" w:rsidR="004F64EF" w:rsidRPr="003003C0" w:rsidRDefault="004F64EF" w:rsidP="001F3C85">
            <w:pPr>
              <w:jc w:val="center"/>
              <w:rPr>
                <w:rFonts w:cs="Calibri"/>
                <w:color w:val="000000"/>
                <w:sz w:val="15"/>
                <w:szCs w:val="15"/>
              </w:rPr>
            </w:pPr>
          </w:p>
        </w:tc>
        <w:tc>
          <w:tcPr>
            <w:tcW w:w="997" w:type="dxa"/>
            <w:gridSpan w:val="2"/>
            <w:noWrap/>
            <w:hideMark/>
          </w:tcPr>
          <w:p w14:paraId="21BF5140" w14:textId="77777777" w:rsidR="004F64EF" w:rsidRPr="003003C0" w:rsidRDefault="004F64EF" w:rsidP="001F3C85">
            <w:pPr>
              <w:jc w:val="center"/>
              <w:rPr>
                <w:sz w:val="15"/>
                <w:szCs w:val="15"/>
              </w:rPr>
            </w:pPr>
          </w:p>
        </w:tc>
        <w:tc>
          <w:tcPr>
            <w:tcW w:w="1278" w:type="dxa"/>
            <w:noWrap/>
            <w:hideMark/>
          </w:tcPr>
          <w:p w14:paraId="439CCE0E" w14:textId="77777777" w:rsidR="004F64EF" w:rsidRPr="003003C0" w:rsidRDefault="004F64EF" w:rsidP="001F3C85">
            <w:pPr>
              <w:jc w:val="center"/>
              <w:rPr>
                <w:sz w:val="15"/>
                <w:szCs w:val="15"/>
              </w:rPr>
            </w:pPr>
          </w:p>
        </w:tc>
        <w:tc>
          <w:tcPr>
            <w:tcW w:w="1275" w:type="dxa"/>
            <w:noWrap/>
            <w:hideMark/>
          </w:tcPr>
          <w:p w14:paraId="7199C5B3" w14:textId="77777777" w:rsidR="004F64EF" w:rsidRPr="003003C0" w:rsidRDefault="004F64EF" w:rsidP="001F3C85">
            <w:pPr>
              <w:rPr>
                <w:sz w:val="15"/>
                <w:szCs w:val="15"/>
              </w:rPr>
            </w:pPr>
          </w:p>
        </w:tc>
      </w:tr>
      <w:tr w:rsidR="004F64EF" w:rsidRPr="003003C0" w14:paraId="12294053" w14:textId="77777777" w:rsidTr="001109BD">
        <w:trPr>
          <w:cnfStyle w:val="000000010000" w:firstRow="0" w:lastRow="0" w:firstColumn="0" w:lastColumn="0" w:oddVBand="0" w:evenVBand="0" w:oddHBand="0" w:evenHBand="1" w:firstRowFirstColumn="0" w:firstRowLastColumn="0" w:lastRowFirstColumn="0" w:lastRowLastColumn="0"/>
        </w:trPr>
        <w:tc>
          <w:tcPr>
            <w:tcW w:w="1980" w:type="dxa"/>
            <w:noWrap/>
            <w:hideMark/>
          </w:tcPr>
          <w:p w14:paraId="14E97EBC" w14:textId="77777777" w:rsidR="004F64EF" w:rsidRPr="003003C0" w:rsidRDefault="004F64EF" w:rsidP="001F3C85">
            <w:pPr>
              <w:jc w:val="left"/>
              <w:rPr>
                <w:rFonts w:cs="Calibri"/>
                <w:b/>
                <w:bCs/>
                <w:color w:val="000000"/>
                <w:sz w:val="15"/>
                <w:szCs w:val="15"/>
              </w:rPr>
            </w:pPr>
            <w:r w:rsidRPr="003003C0">
              <w:rPr>
                <w:rFonts w:cs="Calibri"/>
                <w:b/>
                <w:bCs/>
                <w:color w:val="000000"/>
                <w:sz w:val="15"/>
                <w:szCs w:val="15"/>
              </w:rPr>
              <w:t>Yogur</w:t>
            </w:r>
            <w:r>
              <w:rPr>
                <w:rFonts w:cs="Calibri"/>
                <w:b/>
                <w:bCs/>
                <w:color w:val="000000"/>
                <w:sz w:val="15"/>
                <w:szCs w:val="15"/>
              </w:rPr>
              <w:t>t</w:t>
            </w:r>
          </w:p>
        </w:tc>
        <w:tc>
          <w:tcPr>
            <w:tcW w:w="2541" w:type="dxa"/>
            <w:gridSpan w:val="3"/>
            <w:noWrap/>
            <w:hideMark/>
          </w:tcPr>
          <w:p w14:paraId="5CAFB761" w14:textId="77777777" w:rsidR="004F64EF" w:rsidRPr="003003C0" w:rsidRDefault="004F64EF" w:rsidP="001F3C85">
            <w:pPr>
              <w:jc w:val="center"/>
              <w:rPr>
                <w:sz w:val="15"/>
                <w:szCs w:val="15"/>
              </w:rPr>
            </w:pPr>
          </w:p>
        </w:tc>
        <w:tc>
          <w:tcPr>
            <w:tcW w:w="996" w:type="dxa"/>
            <w:noWrap/>
            <w:hideMark/>
          </w:tcPr>
          <w:p w14:paraId="5C1AF035" w14:textId="77777777" w:rsidR="004F64EF" w:rsidRPr="003003C0" w:rsidRDefault="004F64EF" w:rsidP="001F3C85">
            <w:pPr>
              <w:jc w:val="center"/>
              <w:rPr>
                <w:rFonts w:cs="Calibri"/>
                <w:b/>
                <w:bCs/>
                <w:color w:val="000000"/>
                <w:sz w:val="15"/>
                <w:szCs w:val="15"/>
              </w:rPr>
            </w:pPr>
            <w:r w:rsidRPr="003003C0">
              <w:rPr>
                <w:rFonts w:cs="Calibri"/>
                <w:b/>
                <w:bCs/>
                <w:color w:val="000000"/>
                <w:sz w:val="15"/>
                <w:szCs w:val="15"/>
              </w:rPr>
              <w:t>260</w:t>
            </w:r>
          </w:p>
        </w:tc>
        <w:tc>
          <w:tcPr>
            <w:tcW w:w="997" w:type="dxa"/>
            <w:gridSpan w:val="2"/>
            <w:noWrap/>
            <w:hideMark/>
          </w:tcPr>
          <w:p w14:paraId="107E17A5" w14:textId="77777777" w:rsidR="004F64EF" w:rsidRPr="003003C0" w:rsidRDefault="004F64EF" w:rsidP="001F3C85">
            <w:pPr>
              <w:jc w:val="center"/>
              <w:rPr>
                <w:rFonts w:cs="Calibri"/>
                <w:b/>
                <w:bCs/>
                <w:color w:val="000000"/>
                <w:sz w:val="15"/>
                <w:szCs w:val="15"/>
              </w:rPr>
            </w:pPr>
            <w:r w:rsidRPr="003003C0">
              <w:rPr>
                <w:rFonts w:cs="Calibri"/>
                <w:b/>
                <w:bCs/>
                <w:color w:val="000000"/>
                <w:sz w:val="15"/>
                <w:szCs w:val="15"/>
              </w:rPr>
              <w:t>270</w:t>
            </w:r>
          </w:p>
        </w:tc>
        <w:tc>
          <w:tcPr>
            <w:tcW w:w="1278" w:type="dxa"/>
            <w:noWrap/>
            <w:hideMark/>
          </w:tcPr>
          <w:p w14:paraId="505DC81E" w14:textId="77777777" w:rsidR="004F64EF" w:rsidRPr="003003C0" w:rsidRDefault="004F64EF" w:rsidP="001F3C85">
            <w:pPr>
              <w:jc w:val="center"/>
              <w:rPr>
                <w:rFonts w:cs="Calibri"/>
                <w:b/>
                <w:bCs/>
                <w:color w:val="000000"/>
                <w:sz w:val="15"/>
                <w:szCs w:val="15"/>
              </w:rPr>
            </w:pPr>
            <w:r w:rsidRPr="003003C0">
              <w:rPr>
                <w:rFonts w:cs="Calibri"/>
                <w:b/>
                <w:bCs/>
                <w:color w:val="000000"/>
                <w:sz w:val="15"/>
                <w:szCs w:val="15"/>
              </w:rPr>
              <w:t>109</w:t>
            </w:r>
          </w:p>
        </w:tc>
        <w:tc>
          <w:tcPr>
            <w:tcW w:w="1275" w:type="dxa"/>
            <w:noWrap/>
            <w:hideMark/>
          </w:tcPr>
          <w:p w14:paraId="38D30310" w14:textId="77777777" w:rsidR="004F64EF" w:rsidRPr="003003C0" w:rsidRDefault="004F64EF" w:rsidP="001F3C85">
            <w:pPr>
              <w:jc w:val="center"/>
              <w:rPr>
                <w:rFonts w:cs="Calibri"/>
                <w:b/>
                <w:bCs/>
                <w:color w:val="000000"/>
                <w:sz w:val="15"/>
                <w:szCs w:val="15"/>
              </w:rPr>
            </w:pPr>
            <w:r w:rsidRPr="003003C0">
              <w:rPr>
                <w:rFonts w:cs="Calibri"/>
                <w:b/>
                <w:bCs/>
                <w:color w:val="000000"/>
                <w:sz w:val="15"/>
                <w:szCs w:val="15"/>
              </w:rPr>
              <w:t>42</w:t>
            </w:r>
          </w:p>
        </w:tc>
      </w:tr>
      <w:tr w:rsidR="004F64EF" w:rsidRPr="003003C0" w14:paraId="3F51C68C" w14:textId="77777777" w:rsidTr="001109BD">
        <w:tc>
          <w:tcPr>
            <w:tcW w:w="1980" w:type="dxa"/>
            <w:noWrap/>
            <w:hideMark/>
          </w:tcPr>
          <w:p w14:paraId="53957CE1" w14:textId="77777777" w:rsidR="004F64EF" w:rsidRPr="003003C0" w:rsidRDefault="004F64EF" w:rsidP="001F3C85">
            <w:pPr>
              <w:jc w:val="left"/>
              <w:rPr>
                <w:rFonts w:cs="Calibri"/>
                <w:color w:val="000000"/>
                <w:sz w:val="15"/>
                <w:szCs w:val="15"/>
              </w:rPr>
            </w:pPr>
            <w:r w:rsidRPr="003003C0">
              <w:rPr>
                <w:rFonts w:cs="Calibri"/>
                <w:color w:val="000000"/>
                <w:sz w:val="15"/>
                <w:szCs w:val="15"/>
              </w:rPr>
              <w:t>0403.10.00</w:t>
            </w:r>
          </w:p>
        </w:tc>
        <w:tc>
          <w:tcPr>
            <w:tcW w:w="941" w:type="dxa"/>
            <w:noWrap/>
            <w:hideMark/>
          </w:tcPr>
          <w:p w14:paraId="28E49D94" w14:textId="77777777" w:rsidR="004F64EF" w:rsidRPr="003003C0" w:rsidRDefault="004F64EF" w:rsidP="001F3C85">
            <w:pPr>
              <w:jc w:val="center"/>
              <w:rPr>
                <w:rFonts w:cs="Calibri"/>
                <w:color w:val="000000"/>
                <w:sz w:val="15"/>
                <w:szCs w:val="15"/>
              </w:rPr>
            </w:pPr>
            <w:r w:rsidRPr="003003C0">
              <w:rPr>
                <w:rFonts w:cs="Calibri"/>
                <w:color w:val="000000"/>
                <w:sz w:val="15"/>
                <w:szCs w:val="15"/>
              </w:rPr>
              <w:t>0</w:t>
            </w:r>
          </w:p>
        </w:tc>
        <w:tc>
          <w:tcPr>
            <w:tcW w:w="800" w:type="dxa"/>
            <w:noWrap/>
            <w:hideMark/>
          </w:tcPr>
          <w:p w14:paraId="657E086F" w14:textId="77777777" w:rsidR="004F64EF" w:rsidRPr="003003C0" w:rsidRDefault="004F64EF" w:rsidP="001F3C85">
            <w:pPr>
              <w:jc w:val="center"/>
              <w:rPr>
                <w:rFonts w:cs="Calibri"/>
                <w:color w:val="000000"/>
                <w:sz w:val="15"/>
                <w:szCs w:val="15"/>
              </w:rPr>
            </w:pPr>
            <w:r w:rsidRPr="003003C0">
              <w:rPr>
                <w:rFonts w:cs="Calibri"/>
                <w:color w:val="000000"/>
                <w:sz w:val="15"/>
                <w:szCs w:val="15"/>
              </w:rPr>
              <w:t>8</w:t>
            </w:r>
            <w:r>
              <w:rPr>
                <w:rFonts w:cs="Calibri"/>
                <w:color w:val="000000"/>
                <w:sz w:val="15"/>
                <w:szCs w:val="15"/>
              </w:rPr>
              <w:t>.</w:t>
            </w:r>
            <w:r w:rsidRPr="003003C0">
              <w:rPr>
                <w:rFonts w:cs="Calibri"/>
                <w:color w:val="000000"/>
                <w:sz w:val="15"/>
                <w:szCs w:val="15"/>
              </w:rPr>
              <w:t>0</w:t>
            </w:r>
          </w:p>
        </w:tc>
        <w:tc>
          <w:tcPr>
            <w:tcW w:w="800" w:type="dxa"/>
            <w:noWrap/>
            <w:hideMark/>
          </w:tcPr>
          <w:p w14:paraId="2F168A14" w14:textId="77777777" w:rsidR="004F64EF" w:rsidRPr="003003C0" w:rsidRDefault="004F64EF" w:rsidP="001F3C85">
            <w:pPr>
              <w:jc w:val="center"/>
              <w:rPr>
                <w:rFonts w:cs="Calibri"/>
                <w:color w:val="000000"/>
                <w:sz w:val="15"/>
                <w:szCs w:val="15"/>
              </w:rPr>
            </w:pPr>
            <w:r w:rsidRPr="003003C0">
              <w:rPr>
                <w:rFonts w:cs="Calibri"/>
                <w:color w:val="000000"/>
                <w:sz w:val="15"/>
                <w:szCs w:val="15"/>
              </w:rPr>
              <w:t>6</w:t>
            </w:r>
            <w:r>
              <w:rPr>
                <w:rFonts w:cs="Calibri"/>
                <w:color w:val="000000"/>
                <w:sz w:val="15"/>
                <w:szCs w:val="15"/>
              </w:rPr>
              <w:t>.</w:t>
            </w:r>
            <w:r w:rsidRPr="003003C0">
              <w:rPr>
                <w:rFonts w:cs="Calibri"/>
                <w:color w:val="000000"/>
                <w:sz w:val="15"/>
                <w:szCs w:val="15"/>
              </w:rPr>
              <w:t>0</w:t>
            </w:r>
          </w:p>
        </w:tc>
        <w:tc>
          <w:tcPr>
            <w:tcW w:w="996" w:type="dxa"/>
            <w:noWrap/>
            <w:hideMark/>
          </w:tcPr>
          <w:p w14:paraId="0EBBEF7E" w14:textId="77777777" w:rsidR="004F64EF" w:rsidRPr="003003C0" w:rsidRDefault="004F64EF" w:rsidP="001F3C85">
            <w:pPr>
              <w:jc w:val="center"/>
              <w:rPr>
                <w:rFonts w:cs="Calibri"/>
                <w:color w:val="000000"/>
                <w:sz w:val="15"/>
                <w:szCs w:val="15"/>
              </w:rPr>
            </w:pPr>
          </w:p>
        </w:tc>
        <w:tc>
          <w:tcPr>
            <w:tcW w:w="997" w:type="dxa"/>
            <w:gridSpan w:val="2"/>
            <w:noWrap/>
            <w:hideMark/>
          </w:tcPr>
          <w:p w14:paraId="5ADF8086" w14:textId="77777777" w:rsidR="004F64EF" w:rsidRPr="003003C0" w:rsidRDefault="004F64EF" w:rsidP="001F3C85">
            <w:pPr>
              <w:rPr>
                <w:sz w:val="15"/>
                <w:szCs w:val="15"/>
              </w:rPr>
            </w:pPr>
          </w:p>
        </w:tc>
        <w:tc>
          <w:tcPr>
            <w:tcW w:w="1278" w:type="dxa"/>
            <w:noWrap/>
            <w:hideMark/>
          </w:tcPr>
          <w:p w14:paraId="4B528705" w14:textId="77777777" w:rsidR="004F64EF" w:rsidRPr="003003C0" w:rsidRDefault="004F64EF" w:rsidP="001F3C85">
            <w:pPr>
              <w:rPr>
                <w:sz w:val="15"/>
                <w:szCs w:val="15"/>
              </w:rPr>
            </w:pPr>
          </w:p>
        </w:tc>
        <w:tc>
          <w:tcPr>
            <w:tcW w:w="1275" w:type="dxa"/>
            <w:noWrap/>
            <w:hideMark/>
          </w:tcPr>
          <w:p w14:paraId="3812ABB3" w14:textId="77777777" w:rsidR="004F64EF" w:rsidRPr="003003C0" w:rsidRDefault="004F64EF" w:rsidP="001F3C85">
            <w:pPr>
              <w:rPr>
                <w:sz w:val="15"/>
                <w:szCs w:val="15"/>
              </w:rPr>
            </w:pPr>
          </w:p>
        </w:tc>
      </w:tr>
      <w:tr w:rsidR="004F64EF" w:rsidRPr="003003C0" w14:paraId="75367313" w14:textId="77777777" w:rsidTr="001109BD">
        <w:trPr>
          <w:cnfStyle w:val="000000010000" w:firstRow="0" w:lastRow="0" w:firstColumn="0" w:lastColumn="0" w:oddVBand="0" w:evenVBand="0" w:oddHBand="0" w:evenHBand="1" w:firstRowFirstColumn="0" w:firstRowLastColumn="0" w:lastRowFirstColumn="0" w:lastRowLastColumn="0"/>
        </w:trPr>
        <w:tc>
          <w:tcPr>
            <w:tcW w:w="1980" w:type="dxa"/>
            <w:noWrap/>
            <w:hideMark/>
          </w:tcPr>
          <w:p w14:paraId="3F3ABE81" w14:textId="77777777" w:rsidR="004F64EF" w:rsidRPr="003003C0" w:rsidRDefault="004F64EF" w:rsidP="001F3C85">
            <w:pPr>
              <w:jc w:val="left"/>
              <w:rPr>
                <w:rFonts w:cs="Calibri"/>
                <w:b/>
                <w:bCs/>
                <w:color w:val="000000"/>
                <w:sz w:val="15"/>
                <w:szCs w:val="15"/>
              </w:rPr>
            </w:pPr>
            <w:r>
              <w:rPr>
                <w:rFonts w:cs="Calibri"/>
                <w:b/>
                <w:bCs/>
                <w:color w:val="000000"/>
                <w:sz w:val="15"/>
                <w:szCs w:val="15"/>
              </w:rPr>
              <w:t>M</w:t>
            </w:r>
            <w:r w:rsidRPr="003003C0">
              <w:rPr>
                <w:rFonts w:cs="Calibri"/>
                <w:b/>
                <w:bCs/>
                <w:color w:val="000000"/>
                <w:sz w:val="15"/>
                <w:szCs w:val="15"/>
              </w:rPr>
              <w:t>ozzarella</w:t>
            </w:r>
            <w:r>
              <w:rPr>
                <w:rFonts w:cs="Calibri"/>
                <w:b/>
                <w:bCs/>
                <w:color w:val="000000"/>
                <w:sz w:val="15"/>
                <w:szCs w:val="15"/>
              </w:rPr>
              <w:t xml:space="preserve"> cheese</w:t>
            </w:r>
          </w:p>
        </w:tc>
        <w:tc>
          <w:tcPr>
            <w:tcW w:w="2541" w:type="dxa"/>
            <w:gridSpan w:val="3"/>
            <w:noWrap/>
            <w:hideMark/>
          </w:tcPr>
          <w:p w14:paraId="4BAB25F1" w14:textId="77777777" w:rsidR="004F64EF" w:rsidRPr="003003C0" w:rsidRDefault="004F64EF" w:rsidP="001F3C85">
            <w:pPr>
              <w:jc w:val="center"/>
              <w:rPr>
                <w:sz w:val="15"/>
                <w:szCs w:val="15"/>
              </w:rPr>
            </w:pPr>
          </w:p>
        </w:tc>
        <w:tc>
          <w:tcPr>
            <w:tcW w:w="996" w:type="dxa"/>
            <w:noWrap/>
            <w:hideMark/>
          </w:tcPr>
          <w:p w14:paraId="7FDB6889" w14:textId="77777777" w:rsidR="004F64EF" w:rsidRPr="003003C0" w:rsidRDefault="004F64EF" w:rsidP="001F3C85">
            <w:pPr>
              <w:jc w:val="center"/>
              <w:rPr>
                <w:rFonts w:cs="Calibri"/>
                <w:b/>
                <w:bCs/>
                <w:color w:val="000000"/>
                <w:sz w:val="15"/>
                <w:szCs w:val="15"/>
              </w:rPr>
            </w:pPr>
            <w:r w:rsidRPr="003003C0">
              <w:rPr>
                <w:rFonts w:cs="Calibri"/>
                <w:b/>
                <w:bCs/>
                <w:color w:val="000000"/>
                <w:sz w:val="15"/>
                <w:szCs w:val="15"/>
              </w:rPr>
              <w:t>325</w:t>
            </w:r>
          </w:p>
        </w:tc>
        <w:tc>
          <w:tcPr>
            <w:tcW w:w="997" w:type="dxa"/>
            <w:gridSpan w:val="2"/>
            <w:noWrap/>
            <w:hideMark/>
          </w:tcPr>
          <w:p w14:paraId="1F4655BE" w14:textId="77777777" w:rsidR="004F64EF" w:rsidRPr="003003C0" w:rsidRDefault="004F64EF" w:rsidP="001F3C85">
            <w:pPr>
              <w:jc w:val="center"/>
              <w:rPr>
                <w:rFonts w:cs="Calibri"/>
                <w:b/>
                <w:bCs/>
                <w:color w:val="000000"/>
                <w:sz w:val="15"/>
                <w:szCs w:val="15"/>
              </w:rPr>
            </w:pPr>
            <w:r w:rsidRPr="003003C0">
              <w:rPr>
                <w:rFonts w:cs="Calibri"/>
                <w:b/>
                <w:bCs/>
                <w:color w:val="000000"/>
                <w:sz w:val="15"/>
                <w:szCs w:val="15"/>
              </w:rPr>
              <w:t>338</w:t>
            </w:r>
          </w:p>
        </w:tc>
        <w:tc>
          <w:tcPr>
            <w:tcW w:w="1278" w:type="dxa"/>
            <w:noWrap/>
            <w:hideMark/>
          </w:tcPr>
          <w:p w14:paraId="68542B2B" w14:textId="77777777" w:rsidR="004F64EF" w:rsidRPr="003003C0" w:rsidRDefault="004F64EF" w:rsidP="001F3C85">
            <w:pPr>
              <w:jc w:val="center"/>
              <w:rPr>
                <w:rFonts w:cs="Calibri"/>
                <w:b/>
                <w:bCs/>
                <w:color w:val="000000"/>
                <w:sz w:val="15"/>
                <w:szCs w:val="15"/>
              </w:rPr>
            </w:pPr>
            <w:r w:rsidRPr="003003C0">
              <w:rPr>
                <w:rFonts w:cs="Calibri"/>
                <w:b/>
                <w:bCs/>
                <w:color w:val="000000"/>
                <w:sz w:val="15"/>
                <w:szCs w:val="15"/>
              </w:rPr>
              <w:t>235</w:t>
            </w:r>
          </w:p>
        </w:tc>
        <w:tc>
          <w:tcPr>
            <w:tcW w:w="1275" w:type="dxa"/>
            <w:noWrap/>
            <w:hideMark/>
          </w:tcPr>
          <w:p w14:paraId="000905F7" w14:textId="77777777" w:rsidR="004F64EF" w:rsidRPr="003003C0" w:rsidRDefault="004F64EF" w:rsidP="001F3C85">
            <w:pPr>
              <w:jc w:val="center"/>
              <w:rPr>
                <w:rFonts w:cs="Calibri"/>
                <w:b/>
                <w:bCs/>
                <w:color w:val="000000"/>
                <w:sz w:val="15"/>
                <w:szCs w:val="15"/>
              </w:rPr>
            </w:pPr>
            <w:r w:rsidRPr="003003C0">
              <w:rPr>
                <w:rFonts w:cs="Calibri"/>
                <w:b/>
                <w:bCs/>
                <w:color w:val="000000"/>
                <w:sz w:val="15"/>
                <w:szCs w:val="15"/>
              </w:rPr>
              <w:t>72</w:t>
            </w:r>
          </w:p>
        </w:tc>
      </w:tr>
      <w:tr w:rsidR="004F64EF" w:rsidRPr="003003C0" w14:paraId="0CCA5A58" w14:textId="77777777" w:rsidTr="001109BD">
        <w:tc>
          <w:tcPr>
            <w:tcW w:w="1980" w:type="dxa"/>
            <w:noWrap/>
            <w:hideMark/>
          </w:tcPr>
          <w:p w14:paraId="44E98F66" w14:textId="77777777" w:rsidR="004F64EF" w:rsidRPr="003003C0" w:rsidRDefault="004F64EF" w:rsidP="001F3C85">
            <w:pPr>
              <w:jc w:val="left"/>
              <w:rPr>
                <w:rFonts w:cs="Calibri"/>
                <w:color w:val="000000"/>
                <w:sz w:val="15"/>
                <w:szCs w:val="15"/>
              </w:rPr>
            </w:pPr>
            <w:r w:rsidRPr="003003C0">
              <w:rPr>
                <w:rFonts w:cs="Calibri"/>
                <w:color w:val="000000"/>
                <w:sz w:val="15"/>
                <w:szCs w:val="15"/>
              </w:rPr>
              <w:t>0406.10.10</w:t>
            </w:r>
          </w:p>
        </w:tc>
        <w:tc>
          <w:tcPr>
            <w:tcW w:w="941" w:type="dxa"/>
            <w:noWrap/>
            <w:hideMark/>
          </w:tcPr>
          <w:p w14:paraId="4F2F081B" w14:textId="77777777" w:rsidR="004F64EF" w:rsidRPr="003003C0" w:rsidRDefault="004F64EF" w:rsidP="001F3C85">
            <w:pPr>
              <w:jc w:val="center"/>
              <w:rPr>
                <w:rFonts w:cs="Calibri"/>
                <w:color w:val="000000"/>
                <w:sz w:val="15"/>
                <w:szCs w:val="15"/>
              </w:rPr>
            </w:pPr>
            <w:r w:rsidRPr="003003C0">
              <w:rPr>
                <w:rFonts w:cs="Calibri"/>
                <w:color w:val="000000"/>
                <w:sz w:val="15"/>
                <w:szCs w:val="15"/>
              </w:rPr>
              <w:t>0</w:t>
            </w:r>
          </w:p>
        </w:tc>
        <w:tc>
          <w:tcPr>
            <w:tcW w:w="800" w:type="dxa"/>
            <w:noWrap/>
            <w:hideMark/>
          </w:tcPr>
          <w:p w14:paraId="5A56DBA8" w14:textId="77777777" w:rsidR="004F64EF" w:rsidRPr="003003C0" w:rsidRDefault="004F64EF" w:rsidP="001F3C85">
            <w:pPr>
              <w:jc w:val="center"/>
              <w:rPr>
                <w:rFonts w:cs="Calibri"/>
                <w:color w:val="000000"/>
                <w:sz w:val="15"/>
                <w:szCs w:val="15"/>
              </w:rPr>
            </w:pPr>
            <w:r w:rsidRPr="003003C0">
              <w:rPr>
                <w:rFonts w:cs="Calibri"/>
                <w:color w:val="000000"/>
                <w:sz w:val="15"/>
                <w:szCs w:val="15"/>
              </w:rPr>
              <w:t>9</w:t>
            </w:r>
            <w:r>
              <w:rPr>
                <w:rFonts w:cs="Calibri"/>
                <w:color w:val="000000"/>
                <w:sz w:val="15"/>
                <w:szCs w:val="15"/>
              </w:rPr>
              <w:t>.</w:t>
            </w:r>
            <w:r w:rsidRPr="003003C0">
              <w:rPr>
                <w:rFonts w:cs="Calibri"/>
                <w:color w:val="000000"/>
                <w:sz w:val="15"/>
                <w:szCs w:val="15"/>
              </w:rPr>
              <w:t>6</w:t>
            </w:r>
          </w:p>
        </w:tc>
        <w:tc>
          <w:tcPr>
            <w:tcW w:w="800" w:type="dxa"/>
            <w:noWrap/>
            <w:hideMark/>
          </w:tcPr>
          <w:p w14:paraId="5135B2CB" w14:textId="77777777" w:rsidR="004F64EF" w:rsidRPr="003003C0" w:rsidRDefault="004F64EF" w:rsidP="001F3C85">
            <w:pPr>
              <w:jc w:val="center"/>
              <w:rPr>
                <w:rFonts w:cs="Calibri"/>
                <w:color w:val="000000"/>
                <w:sz w:val="15"/>
                <w:szCs w:val="15"/>
              </w:rPr>
            </w:pPr>
            <w:r w:rsidRPr="003003C0">
              <w:rPr>
                <w:rFonts w:cs="Calibri"/>
                <w:color w:val="000000"/>
                <w:sz w:val="15"/>
                <w:szCs w:val="15"/>
              </w:rPr>
              <w:t>7</w:t>
            </w:r>
            <w:r>
              <w:rPr>
                <w:rFonts w:cs="Calibri"/>
                <w:color w:val="000000"/>
                <w:sz w:val="15"/>
                <w:szCs w:val="15"/>
              </w:rPr>
              <w:t>.</w:t>
            </w:r>
            <w:r w:rsidRPr="003003C0">
              <w:rPr>
                <w:rFonts w:cs="Calibri"/>
                <w:color w:val="000000"/>
                <w:sz w:val="15"/>
                <w:szCs w:val="15"/>
              </w:rPr>
              <w:t>2</w:t>
            </w:r>
          </w:p>
        </w:tc>
        <w:tc>
          <w:tcPr>
            <w:tcW w:w="996" w:type="dxa"/>
            <w:noWrap/>
            <w:hideMark/>
          </w:tcPr>
          <w:p w14:paraId="1418EBC4" w14:textId="77777777" w:rsidR="004F64EF" w:rsidRPr="003003C0" w:rsidRDefault="004F64EF" w:rsidP="001F3C85">
            <w:pPr>
              <w:jc w:val="center"/>
              <w:rPr>
                <w:rFonts w:cs="Calibri"/>
                <w:color w:val="000000"/>
                <w:sz w:val="15"/>
                <w:szCs w:val="15"/>
              </w:rPr>
            </w:pPr>
          </w:p>
        </w:tc>
        <w:tc>
          <w:tcPr>
            <w:tcW w:w="997" w:type="dxa"/>
            <w:gridSpan w:val="2"/>
            <w:noWrap/>
            <w:hideMark/>
          </w:tcPr>
          <w:p w14:paraId="1B1985C3" w14:textId="77777777" w:rsidR="004F64EF" w:rsidRPr="003003C0" w:rsidRDefault="004F64EF" w:rsidP="001F3C85">
            <w:pPr>
              <w:jc w:val="center"/>
              <w:rPr>
                <w:sz w:val="15"/>
                <w:szCs w:val="15"/>
              </w:rPr>
            </w:pPr>
          </w:p>
        </w:tc>
        <w:tc>
          <w:tcPr>
            <w:tcW w:w="1278" w:type="dxa"/>
            <w:noWrap/>
            <w:hideMark/>
          </w:tcPr>
          <w:p w14:paraId="3D2D4F39" w14:textId="77777777" w:rsidR="004F64EF" w:rsidRPr="003003C0" w:rsidRDefault="004F64EF" w:rsidP="001F3C85">
            <w:pPr>
              <w:jc w:val="center"/>
              <w:rPr>
                <w:sz w:val="15"/>
                <w:szCs w:val="15"/>
              </w:rPr>
            </w:pPr>
          </w:p>
        </w:tc>
        <w:tc>
          <w:tcPr>
            <w:tcW w:w="1275" w:type="dxa"/>
            <w:noWrap/>
            <w:hideMark/>
          </w:tcPr>
          <w:p w14:paraId="0E451F31" w14:textId="77777777" w:rsidR="004F64EF" w:rsidRPr="003003C0" w:rsidRDefault="004F64EF" w:rsidP="001F3C85">
            <w:pPr>
              <w:jc w:val="center"/>
              <w:rPr>
                <w:sz w:val="15"/>
                <w:szCs w:val="15"/>
              </w:rPr>
            </w:pPr>
          </w:p>
        </w:tc>
      </w:tr>
      <w:tr w:rsidR="004F64EF" w:rsidRPr="003003C0" w14:paraId="0C0C42DA" w14:textId="77777777" w:rsidTr="001109BD">
        <w:trPr>
          <w:cnfStyle w:val="000000010000" w:firstRow="0" w:lastRow="0" w:firstColumn="0" w:lastColumn="0" w:oddVBand="0" w:evenVBand="0" w:oddHBand="0" w:evenHBand="1" w:firstRowFirstColumn="0" w:firstRowLastColumn="0" w:lastRowFirstColumn="0" w:lastRowLastColumn="0"/>
        </w:trPr>
        <w:tc>
          <w:tcPr>
            <w:tcW w:w="1980" w:type="dxa"/>
            <w:noWrap/>
            <w:hideMark/>
          </w:tcPr>
          <w:p w14:paraId="49F896A5" w14:textId="77777777" w:rsidR="004F64EF" w:rsidRPr="003003C0" w:rsidRDefault="004F64EF" w:rsidP="001F3C85">
            <w:pPr>
              <w:jc w:val="left"/>
              <w:rPr>
                <w:rFonts w:cs="Calibri"/>
                <w:b/>
                <w:bCs/>
                <w:color w:val="000000"/>
                <w:sz w:val="15"/>
                <w:szCs w:val="15"/>
              </w:rPr>
            </w:pPr>
            <w:r w:rsidRPr="00332EEC">
              <w:rPr>
                <w:rFonts w:cs="Calibri"/>
                <w:b/>
                <w:bCs/>
                <w:color w:val="000000"/>
                <w:sz w:val="15"/>
                <w:szCs w:val="15"/>
              </w:rPr>
              <w:t>Husked (brown) rice</w:t>
            </w:r>
          </w:p>
        </w:tc>
        <w:tc>
          <w:tcPr>
            <w:tcW w:w="2541" w:type="dxa"/>
            <w:gridSpan w:val="3"/>
            <w:noWrap/>
            <w:hideMark/>
          </w:tcPr>
          <w:p w14:paraId="60B80604" w14:textId="77777777" w:rsidR="004F64EF" w:rsidRPr="003003C0" w:rsidRDefault="004F64EF" w:rsidP="001F3C85">
            <w:pPr>
              <w:rPr>
                <w:rFonts w:cs="Calibri"/>
                <w:b/>
                <w:bCs/>
                <w:color w:val="000000"/>
                <w:sz w:val="15"/>
                <w:szCs w:val="15"/>
              </w:rPr>
            </w:pPr>
          </w:p>
        </w:tc>
        <w:tc>
          <w:tcPr>
            <w:tcW w:w="996" w:type="dxa"/>
            <w:noWrap/>
            <w:hideMark/>
          </w:tcPr>
          <w:p w14:paraId="0ECBABA3" w14:textId="77777777" w:rsidR="004F64EF" w:rsidRPr="003003C0" w:rsidRDefault="004F64EF" w:rsidP="001F3C85">
            <w:pPr>
              <w:jc w:val="center"/>
              <w:rPr>
                <w:rFonts w:cs="Calibri"/>
                <w:b/>
                <w:bCs/>
                <w:color w:val="000000"/>
                <w:sz w:val="15"/>
                <w:szCs w:val="15"/>
              </w:rPr>
            </w:pPr>
            <w:r w:rsidRPr="003003C0">
              <w:rPr>
                <w:rFonts w:cs="Calibri"/>
                <w:b/>
                <w:bCs/>
                <w:color w:val="000000"/>
                <w:sz w:val="15"/>
                <w:szCs w:val="15"/>
              </w:rPr>
              <w:t>4</w:t>
            </w:r>
            <w:r>
              <w:rPr>
                <w:rFonts w:cs="Calibri"/>
                <w:b/>
                <w:bCs/>
                <w:color w:val="000000"/>
                <w:sz w:val="15"/>
                <w:szCs w:val="15"/>
              </w:rPr>
              <w:t>,</w:t>
            </w:r>
            <w:r w:rsidRPr="003003C0">
              <w:rPr>
                <w:rFonts w:cs="Calibri"/>
                <w:b/>
                <w:bCs/>
                <w:color w:val="000000"/>
                <w:sz w:val="15"/>
                <w:szCs w:val="15"/>
              </w:rPr>
              <w:t>240</w:t>
            </w:r>
          </w:p>
        </w:tc>
        <w:tc>
          <w:tcPr>
            <w:tcW w:w="997" w:type="dxa"/>
            <w:gridSpan w:val="2"/>
            <w:noWrap/>
            <w:hideMark/>
          </w:tcPr>
          <w:p w14:paraId="36843A12" w14:textId="77777777" w:rsidR="004F64EF" w:rsidRPr="003003C0" w:rsidRDefault="004F64EF" w:rsidP="001F3C85">
            <w:pPr>
              <w:jc w:val="center"/>
              <w:rPr>
                <w:rFonts w:cs="Calibri"/>
                <w:b/>
                <w:bCs/>
                <w:color w:val="000000"/>
                <w:sz w:val="15"/>
                <w:szCs w:val="15"/>
              </w:rPr>
            </w:pPr>
            <w:r w:rsidRPr="003003C0">
              <w:rPr>
                <w:rFonts w:cs="Calibri"/>
                <w:b/>
                <w:bCs/>
                <w:color w:val="000000"/>
                <w:sz w:val="15"/>
                <w:szCs w:val="15"/>
              </w:rPr>
              <w:t>4</w:t>
            </w:r>
            <w:r>
              <w:rPr>
                <w:rFonts w:cs="Calibri"/>
                <w:b/>
                <w:bCs/>
                <w:color w:val="000000"/>
                <w:sz w:val="15"/>
                <w:szCs w:val="15"/>
              </w:rPr>
              <w:t>,</w:t>
            </w:r>
            <w:r w:rsidRPr="003003C0">
              <w:rPr>
                <w:rFonts w:cs="Calibri"/>
                <w:b/>
                <w:bCs/>
                <w:color w:val="000000"/>
                <w:sz w:val="15"/>
                <w:szCs w:val="15"/>
              </w:rPr>
              <w:t>380</w:t>
            </w:r>
          </w:p>
        </w:tc>
        <w:tc>
          <w:tcPr>
            <w:tcW w:w="1278" w:type="dxa"/>
            <w:noWrap/>
            <w:hideMark/>
          </w:tcPr>
          <w:p w14:paraId="09B4A4AD" w14:textId="77777777" w:rsidR="004F64EF" w:rsidRPr="003003C0" w:rsidRDefault="004F64EF" w:rsidP="001F3C85">
            <w:pPr>
              <w:jc w:val="center"/>
              <w:rPr>
                <w:rFonts w:cs="Calibri"/>
                <w:b/>
                <w:bCs/>
                <w:color w:val="000000"/>
                <w:sz w:val="15"/>
                <w:szCs w:val="15"/>
              </w:rPr>
            </w:pPr>
            <w:r w:rsidRPr="003003C0">
              <w:rPr>
                <w:rFonts w:cs="Calibri"/>
                <w:b/>
                <w:bCs/>
                <w:color w:val="000000"/>
                <w:sz w:val="15"/>
                <w:szCs w:val="15"/>
              </w:rPr>
              <w:t>0</w:t>
            </w:r>
          </w:p>
        </w:tc>
        <w:tc>
          <w:tcPr>
            <w:tcW w:w="1275" w:type="dxa"/>
            <w:noWrap/>
            <w:hideMark/>
          </w:tcPr>
          <w:p w14:paraId="721E360B" w14:textId="77777777" w:rsidR="004F64EF" w:rsidRPr="003003C0" w:rsidRDefault="004F64EF" w:rsidP="001F3C85">
            <w:pPr>
              <w:jc w:val="center"/>
              <w:rPr>
                <w:rFonts w:cs="Calibri"/>
                <w:b/>
                <w:bCs/>
                <w:color w:val="000000"/>
                <w:sz w:val="15"/>
                <w:szCs w:val="15"/>
              </w:rPr>
            </w:pPr>
            <w:r w:rsidRPr="003003C0">
              <w:rPr>
                <w:rFonts w:cs="Calibri"/>
                <w:b/>
                <w:bCs/>
                <w:color w:val="000000"/>
                <w:sz w:val="15"/>
                <w:szCs w:val="15"/>
              </w:rPr>
              <w:t>0</w:t>
            </w:r>
          </w:p>
        </w:tc>
      </w:tr>
      <w:tr w:rsidR="004F64EF" w:rsidRPr="003003C0" w14:paraId="29FD68F7" w14:textId="77777777" w:rsidTr="001109BD">
        <w:tc>
          <w:tcPr>
            <w:tcW w:w="1980" w:type="dxa"/>
            <w:noWrap/>
            <w:hideMark/>
          </w:tcPr>
          <w:p w14:paraId="4D6D6C9A" w14:textId="77777777" w:rsidR="004F64EF" w:rsidRPr="003003C0" w:rsidRDefault="004F64EF" w:rsidP="001F3C85">
            <w:pPr>
              <w:jc w:val="left"/>
              <w:rPr>
                <w:rFonts w:cs="Calibri"/>
                <w:color w:val="000000"/>
                <w:sz w:val="15"/>
                <w:szCs w:val="15"/>
              </w:rPr>
            </w:pPr>
            <w:r w:rsidRPr="003003C0">
              <w:rPr>
                <w:rFonts w:cs="Calibri"/>
                <w:color w:val="000000"/>
                <w:sz w:val="15"/>
                <w:szCs w:val="15"/>
              </w:rPr>
              <w:t>1006.20.00</w:t>
            </w:r>
          </w:p>
        </w:tc>
        <w:tc>
          <w:tcPr>
            <w:tcW w:w="941" w:type="dxa"/>
            <w:noWrap/>
            <w:hideMark/>
          </w:tcPr>
          <w:p w14:paraId="79EC2DC1" w14:textId="77777777" w:rsidR="004F64EF" w:rsidRPr="003003C0" w:rsidRDefault="004F64EF" w:rsidP="001F3C85">
            <w:pPr>
              <w:jc w:val="center"/>
              <w:rPr>
                <w:rFonts w:cs="Calibri"/>
                <w:color w:val="000000"/>
                <w:sz w:val="15"/>
                <w:szCs w:val="15"/>
              </w:rPr>
            </w:pPr>
            <w:r w:rsidRPr="003003C0">
              <w:rPr>
                <w:rFonts w:cs="Calibri"/>
                <w:color w:val="000000"/>
                <w:sz w:val="15"/>
                <w:szCs w:val="15"/>
              </w:rPr>
              <w:t>0</w:t>
            </w:r>
          </w:p>
        </w:tc>
        <w:tc>
          <w:tcPr>
            <w:tcW w:w="800" w:type="dxa"/>
            <w:noWrap/>
            <w:hideMark/>
          </w:tcPr>
          <w:p w14:paraId="74A42ED6" w14:textId="77777777" w:rsidR="004F64EF" w:rsidRPr="003003C0" w:rsidRDefault="004F64EF" w:rsidP="001F3C85">
            <w:pPr>
              <w:jc w:val="center"/>
              <w:rPr>
                <w:rFonts w:cs="Calibri"/>
                <w:color w:val="000000"/>
                <w:sz w:val="15"/>
                <w:szCs w:val="15"/>
              </w:rPr>
            </w:pPr>
            <w:r w:rsidRPr="003003C0">
              <w:rPr>
                <w:rFonts w:cs="Calibri"/>
                <w:color w:val="000000"/>
                <w:sz w:val="15"/>
                <w:szCs w:val="15"/>
              </w:rPr>
              <w:t>47</w:t>
            </w:r>
            <w:r>
              <w:rPr>
                <w:rFonts w:cs="Calibri"/>
                <w:color w:val="000000"/>
                <w:sz w:val="15"/>
                <w:szCs w:val="15"/>
              </w:rPr>
              <w:t>,</w:t>
            </w:r>
            <w:r w:rsidRPr="003003C0">
              <w:rPr>
                <w:rFonts w:cs="Calibri"/>
                <w:color w:val="000000"/>
                <w:sz w:val="15"/>
                <w:szCs w:val="15"/>
              </w:rPr>
              <w:t>52</w:t>
            </w:r>
          </w:p>
        </w:tc>
        <w:tc>
          <w:tcPr>
            <w:tcW w:w="800" w:type="dxa"/>
            <w:noWrap/>
            <w:hideMark/>
          </w:tcPr>
          <w:p w14:paraId="59A5ACF8" w14:textId="77777777" w:rsidR="004F64EF" w:rsidRPr="003003C0" w:rsidRDefault="004F64EF" w:rsidP="001F3C85">
            <w:pPr>
              <w:jc w:val="center"/>
              <w:rPr>
                <w:rFonts w:cs="Calibri"/>
                <w:color w:val="000000"/>
                <w:sz w:val="15"/>
                <w:szCs w:val="15"/>
              </w:rPr>
            </w:pPr>
            <w:r w:rsidRPr="003003C0">
              <w:rPr>
                <w:rFonts w:cs="Calibri"/>
                <w:color w:val="000000"/>
                <w:sz w:val="15"/>
                <w:szCs w:val="15"/>
              </w:rPr>
              <w:t>35</w:t>
            </w:r>
            <w:r>
              <w:rPr>
                <w:rFonts w:cs="Calibri"/>
                <w:color w:val="000000"/>
                <w:sz w:val="15"/>
                <w:szCs w:val="15"/>
              </w:rPr>
              <w:t>,</w:t>
            </w:r>
            <w:r w:rsidRPr="003003C0">
              <w:rPr>
                <w:rFonts w:cs="Calibri"/>
                <w:color w:val="000000"/>
                <w:sz w:val="15"/>
                <w:szCs w:val="15"/>
              </w:rPr>
              <w:t>64</w:t>
            </w:r>
          </w:p>
        </w:tc>
        <w:tc>
          <w:tcPr>
            <w:tcW w:w="996" w:type="dxa"/>
            <w:noWrap/>
            <w:hideMark/>
          </w:tcPr>
          <w:p w14:paraId="43E98F38" w14:textId="77777777" w:rsidR="004F64EF" w:rsidRPr="003003C0" w:rsidRDefault="004F64EF" w:rsidP="001F3C85">
            <w:pPr>
              <w:jc w:val="center"/>
              <w:rPr>
                <w:rFonts w:cs="Calibri"/>
                <w:color w:val="000000"/>
                <w:sz w:val="15"/>
                <w:szCs w:val="15"/>
              </w:rPr>
            </w:pPr>
          </w:p>
        </w:tc>
        <w:tc>
          <w:tcPr>
            <w:tcW w:w="997" w:type="dxa"/>
            <w:gridSpan w:val="2"/>
            <w:noWrap/>
            <w:hideMark/>
          </w:tcPr>
          <w:p w14:paraId="72282B1C" w14:textId="77777777" w:rsidR="004F64EF" w:rsidRPr="003003C0" w:rsidRDefault="004F64EF" w:rsidP="001F3C85">
            <w:pPr>
              <w:jc w:val="center"/>
              <w:rPr>
                <w:sz w:val="15"/>
                <w:szCs w:val="15"/>
              </w:rPr>
            </w:pPr>
          </w:p>
        </w:tc>
        <w:tc>
          <w:tcPr>
            <w:tcW w:w="1278" w:type="dxa"/>
            <w:noWrap/>
            <w:hideMark/>
          </w:tcPr>
          <w:p w14:paraId="0A0AD43A" w14:textId="77777777" w:rsidR="004F64EF" w:rsidRPr="003003C0" w:rsidRDefault="004F64EF" w:rsidP="001F3C85">
            <w:pPr>
              <w:jc w:val="center"/>
              <w:rPr>
                <w:sz w:val="15"/>
                <w:szCs w:val="15"/>
              </w:rPr>
            </w:pPr>
          </w:p>
        </w:tc>
        <w:tc>
          <w:tcPr>
            <w:tcW w:w="1275" w:type="dxa"/>
            <w:noWrap/>
            <w:hideMark/>
          </w:tcPr>
          <w:p w14:paraId="5C7C5CB5" w14:textId="77777777" w:rsidR="004F64EF" w:rsidRPr="003003C0" w:rsidRDefault="004F64EF" w:rsidP="001F3C85">
            <w:pPr>
              <w:jc w:val="center"/>
              <w:rPr>
                <w:sz w:val="15"/>
                <w:szCs w:val="15"/>
              </w:rPr>
            </w:pPr>
          </w:p>
        </w:tc>
      </w:tr>
      <w:tr w:rsidR="004F64EF" w:rsidRPr="003003C0" w14:paraId="61167F27" w14:textId="77777777" w:rsidTr="001109BD">
        <w:trPr>
          <w:cnfStyle w:val="000000010000" w:firstRow="0" w:lastRow="0" w:firstColumn="0" w:lastColumn="0" w:oddVBand="0" w:evenVBand="0" w:oddHBand="0" w:evenHBand="1" w:firstRowFirstColumn="0" w:firstRowLastColumn="0" w:lastRowFirstColumn="0" w:lastRowLastColumn="0"/>
        </w:trPr>
        <w:tc>
          <w:tcPr>
            <w:tcW w:w="1980" w:type="dxa"/>
            <w:noWrap/>
            <w:hideMark/>
          </w:tcPr>
          <w:p w14:paraId="79B0A411" w14:textId="77777777" w:rsidR="004F64EF" w:rsidRPr="003003C0" w:rsidRDefault="004F64EF" w:rsidP="001F3C85">
            <w:pPr>
              <w:keepNext/>
              <w:keepLines/>
              <w:jc w:val="left"/>
              <w:rPr>
                <w:rFonts w:cs="Calibri"/>
                <w:b/>
                <w:bCs/>
                <w:color w:val="000000"/>
                <w:sz w:val="15"/>
                <w:szCs w:val="15"/>
              </w:rPr>
            </w:pPr>
            <w:r w:rsidRPr="00332EEC">
              <w:rPr>
                <w:rFonts w:cs="Calibri"/>
                <w:b/>
                <w:bCs/>
                <w:color w:val="000000"/>
                <w:sz w:val="15"/>
                <w:szCs w:val="15"/>
              </w:rPr>
              <w:t>Semi-milled or wholly milled rice</w:t>
            </w:r>
          </w:p>
        </w:tc>
        <w:tc>
          <w:tcPr>
            <w:tcW w:w="2541" w:type="dxa"/>
            <w:gridSpan w:val="3"/>
            <w:noWrap/>
            <w:hideMark/>
          </w:tcPr>
          <w:p w14:paraId="0893264D" w14:textId="77777777" w:rsidR="004F64EF" w:rsidRPr="003003C0" w:rsidRDefault="004F64EF" w:rsidP="001F3C85">
            <w:pPr>
              <w:keepNext/>
              <w:keepLines/>
              <w:rPr>
                <w:rFonts w:cs="Calibri"/>
                <w:b/>
                <w:bCs/>
                <w:color w:val="000000"/>
                <w:sz w:val="15"/>
                <w:szCs w:val="15"/>
              </w:rPr>
            </w:pPr>
          </w:p>
        </w:tc>
        <w:tc>
          <w:tcPr>
            <w:tcW w:w="996" w:type="dxa"/>
            <w:noWrap/>
            <w:hideMark/>
          </w:tcPr>
          <w:p w14:paraId="103110D9" w14:textId="77777777" w:rsidR="004F64EF" w:rsidRPr="003003C0" w:rsidRDefault="004F64EF" w:rsidP="001F3C85">
            <w:pPr>
              <w:keepNext/>
              <w:keepLines/>
              <w:jc w:val="center"/>
              <w:rPr>
                <w:rFonts w:cs="Calibri"/>
                <w:b/>
                <w:bCs/>
                <w:color w:val="000000"/>
                <w:sz w:val="15"/>
                <w:szCs w:val="15"/>
              </w:rPr>
            </w:pPr>
            <w:r w:rsidRPr="003003C0">
              <w:rPr>
                <w:rFonts w:cs="Calibri"/>
                <w:b/>
                <w:bCs/>
                <w:color w:val="000000"/>
                <w:sz w:val="15"/>
                <w:szCs w:val="15"/>
              </w:rPr>
              <w:t>16</w:t>
            </w:r>
            <w:r>
              <w:rPr>
                <w:rFonts w:cs="Calibri"/>
                <w:b/>
                <w:bCs/>
                <w:color w:val="000000"/>
                <w:sz w:val="15"/>
                <w:szCs w:val="15"/>
              </w:rPr>
              <w:t>,</w:t>
            </w:r>
            <w:r w:rsidRPr="003003C0">
              <w:rPr>
                <w:rFonts w:cs="Calibri"/>
                <w:b/>
                <w:bCs/>
                <w:color w:val="000000"/>
                <w:sz w:val="15"/>
                <w:szCs w:val="15"/>
              </w:rPr>
              <w:t>960</w:t>
            </w:r>
          </w:p>
        </w:tc>
        <w:tc>
          <w:tcPr>
            <w:tcW w:w="997" w:type="dxa"/>
            <w:gridSpan w:val="2"/>
            <w:noWrap/>
            <w:hideMark/>
          </w:tcPr>
          <w:p w14:paraId="45600323" w14:textId="77777777" w:rsidR="004F64EF" w:rsidRPr="003003C0" w:rsidRDefault="004F64EF" w:rsidP="001F3C85">
            <w:pPr>
              <w:keepNext/>
              <w:keepLines/>
              <w:jc w:val="center"/>
              <w:rPr>
                <w:rFonts w:cs="Calibri"/>
                <w:b/>
                <w:bCs/>
                <w:color w:val="000000"/>
                <w:sz w:val="15"/>
                <w:szCs w:val="15"/>
              </w:rPr>
            </w:pPr>
            <w:r w:rsidRPr="003003C0">
              <w:rPr>
                <w:rFonts w:cs="Calibri"/>
                <w:b/>
                <w:bCs/>
                <w:color w:val="000000"/>
                <w:sz w:val="15"/>
                <w:szCs w:val="15"/>
              </w:rPr>
              <w:t>17</w:t>
            </w:r>
            <w:r>
              <w:rPr>
                <w:rFonts w:cs="Calibri"/>
                <w:b/>
                <w:bCs/>
                <w:color w:val="000000"/>
                <w:sz w:val="15"/>
                <w:szCs w:val="15"/>
              </w:rPr>
              <w:t>,</w:t>
            </w:r>
            <w:r w:rsidRPr="003003C0">
              <w:rPr>
                <w:rFonts w:cs="Calibri"/>
                <w:b/>
                <w:bCs/>
                <w:color w:val="000000"/>
                <w:sz w:val="15"/>
                <w:szCs w:val="15"/>
              </w:rPr>
              <w:t>520</w:t>
            </w:r>
          </w:p>
        </w:tc>
        <w:tc>
          <w:tcPr>
            <w:tcW w:w="1278" w:type="dxa"/>
            <w:noWrap/>
            <w:hideMark/>
          </w:tcPr>
          <w:p w14:paraId="0F65394C" w14:textId="77777777" w:rsidR="004F64EF" w:rsidRPr="003003C0" w:rsidRDefault="004F64EF" w:rsidP="001F3C85">
            <w:pPr>
              <w:keepNext/>
              <w:keepLines/>
              <w:jc w:val="center"/>
              <w:rPr>
                <w:rFonts w:cs="Calibri"/>
                <w:b/>
                <w:bCs/>
                <w:color w:val="000000"/>
                <w:sz w:val="15"/>
                <w:szCs w:val="15"/>
              </w:rPr>
            </w:pPr>
            <w:r w:rsidRPr="003003C0">
              <w:rPr>
                <w:rFonts w:cs="Calibri"/>
                <w:b/>
                <w:bCs/>
                <w:color w:val="000000"/>
                <w:sz w:val="15"/>
                <w:szCs w:val="15"/>
              </w:rPr>
              <w:t>16</w:t>
            </w:r>
            <w:r>
              <w:rPr>
                <w:rFonts w:cs="Calibri"/>
                <w:b/>
                <w:bCs/>
                <w:color w:val="000000"/>
                <w:sz w:val="15"/>
                <w:szCs w:val="15"/>
              </w:rPr>
              <w:t>,</w:t>
            </w:r>
            <w:r w:rsidRPr="003003C0">
              <w:rPr>
                <w:rFonts w:cs="Calibri"/>
                <w:b/>
                <w:bCs/>
                <w:color w:val="000000"/>
                <w:sz w:val="15"/>
                <w:szCs w:val="15"/>
              </w:rPr>
              <w:t>960</w:t>
            </w:r>
          </w:p>
        </w:tc>
        <w:tc>
          <w:tcPr>
            <w:tcW w:w="1275" w:type="dxa"/>
            <w:noWrap/>
            <w:hideMark/>
          </w:tcPr>
          <w:p w14:paraId="3953DB72" w14:textId="77777777" w:rsidR="004F64EF" w:rsidRPr="003003C0" w:rsidRDefault="004F64EF" w:rsidP="001F3C85">
            <w:pPr>
              <w:keepNext/>
              <w:keepLines/>
              <w:jc w:val="center"/>
              <w:rPr>
                <w:rFonts w:cs="Calibri"/>
                <w:b/>
                <w:bCs/>
                <w:color w:val="000000"/>
                <w:sz w:val="15"/>
                <w:szCs w:val="15"/>
              </w:rPr>
            </w:pPr>
            <w:r w:rsidRPr="003003C0">
              <w:rPr>
                <w:rFonts w:cs="Calibri"/>
                <w:b/>
                <w:bCs/>
                <w:color w:val="000000"/>
                <w:sz w:val="15"/>
                <w:szCs w:val="15"/>
              </w:rPr>
              <w:t>100</w:t>
            </w:r>
          </w:p>
        </w:tc>
      </w:tr>
      <w:tr w:rsidR="004F64EF" w:rsidRPr="003003C0" w14:paraId="242F9203" w14:textId="77777777" w:rsidTr="001109BD">
        <w:tc>
          <w:tcPr>
            <w:tcW w:w="1980" w:type="dxa"/>
            <w:noWrap/>
            <w:hideMark/>
          </w:tcPr>
          <w:p w14:paraId="3718D3BC" w14:textId="77777777" w:rsidR="004F64EF" w:rsidRPr="003003C0" w:rsidRDefault="004F64EF" w:rsidP="001F3C85">
            <w:pPr>
              <w:jc w:val="left"/>
              <w:rPr>
                <w:rFonts w:cs="Calibri"/>
                <w:color w:val="000000"/>
                <w:sz w:val="15"/>
                <w:szCs w:val="15"/>
              </w:rPr>
            </w:pPr>
            <w:r w:rsidRPr="003003C0">
              <w:rPr>
                <w:rFonts w:cs="Calibri"/>
                <w:color w:val="000000"/>
                <w:sz w:val="15"/>
                <w:szCs w:val="15"/>
              </w:rPr>
              <w:t>1006.30.00</w:t>
            </w:r>
          </w:p>
        </w:tc>
        <w:tc>
          <w:tcPr>
            <w:tcW w:w="941" w:type="dxa"/>
            <w:noWrap/>
            <w:hideMark/>
          </w:tcPr>
          <w:p w14:paraId="4E7FA199" w14:textId="77777777" w:rsidR="004F64EF" w:rsidRPr="003003C0" w:rsidRDefault="004F64EF" w:rsidP="001F3C85">
            <w:pPr>
              <w:jc w:val="center"/>
              <w:rPr>
                <w:rFonts w:cs="Calibri"/>
                <w:color w:val="000000"/>
                <w:sz w:val="15"/>
                <w:szCs w:val="15"/>
              </w:rPr>
            </w:pPr>
            <w:r w:rsidRPr="003003C0">
              <w:rPr>
                <w:rFonts w:cs="Calibri"/>
                <w:color w:val="000000"/>
                <w:sz w:val="15"/>
                <w:szCs w:val="15"/>
              </w:rPr>
              <w:t>0</w:t>
            </w:r>
          </w:p>
        </w:tc>
        <w:tc>
          <w:tcPr>
            <w:tcW w:w="800" w:type="dxa"/>
            <w:noWrap/>
            <w:hideMark/>
          </w:tcPr>
          <w:p w14:paraId="11673D4E" w14:textId="77777777" w:rsidR="004F64EF" w:rsidRPr="003003C0" w:rsidRDefault="004F64EF" w:rsidP="001F3C85">
            <w:pPr>
              <w:jc w:val="center"/>
              <w:rPr>
                <w:rFonts w:cs="Calibri"/>
                <w:color w:val="000000"/>
                <w:sz w:val="15"/>
                <w:szCs w:val="15"/>
              </w:rPr>
            </w:pPr>
            <w:r w:rsidRPr="003003C0">
              <w:rPr>
                <w:rFonts w:cs="Calibri"/>
                <w:color w:val="000000"/>
                <w:sz w:val="15"/>
                <w:szCs w:val="15"/>
              </w:rPr>
              <w:t>47</w:t>
            </w:r>
            <w:r>
              <w:rPr>
                <w:rFonts w:cs="Calibri"/>
                <w:color w:val="000000"/>
                <w:sz w:val="15"/>
                <w:szCs w:val="15"/>
              </w:rPr>
              <w:t>.</w:t>
            </w:r>
            <w:r w:rsidRPr="003003C0">
              <w:rPr>
                <w:rFonts w:cs="Calibri"/>
                <w:color w:val="000000"/>
                <w:sz w:val="15"/>
                <w:szCs w:val="15"/>
              </w:rPr>
              <w:t>52</w:t>
            </w:r>
          </w:p>
        </w:tc>
        <w:tc>
          <w:tcPr>
            <w:tcW w:w="800" w:type="dxa"/>
            <w:noWrap/>
            <w:hideMark/>
          </w:tcPr>
          <w:p w14:paraId="40A7A131" w14:textId="77777777" w:rsidR="004F64EF" w:rsidRPr="003003C0" w:rsidRDefault="004F64EF" w:rsidP="001F3C85">
            <w:pPr>
              <w:jc w:val="center"/>
              <w:rPr>
                <w:rFonts w:cs="Calibri"/>
                <w:color w:val="000000"/>
                <w:sz w:val="15"/>
                <w:szCs w:val="15"/>
              </w:rPr>
            </w:pPr>
            <w:r w:rsidRPr="003003C0">
              <w:rPr>
                <w:rFonts w:cs="Calibri"/>
                <w:color w:val="000000"/>
                <w:sz w:val="15"/>
                <w:szCs w:val="15"/>
              </w:rPr>
              <w:t>35</w:t>
            </w:r>
            <w:r>
              <w:rPr>
                <w:rFonts w:cs="Calibri"/>
                <w:color w:val="000000"/>
                <w:sz w:val="15"/>
                <w:szCs w:val="15"/>
              </w:rPr>
              <w:t>.</w:t>
            </w:r>
            <w:r w:rsidRPr="003003C0">
              <w:rPr>
                <w:rFonts w:cs="Calibri"/>
                <w:color w:val="000000"/>
                <w:sz w:val="15"/>
                <w:szCs w:val="15"/>
              </w:rPr>
              <w:t>64</w:t>
            </w:r>
          </w:p>
        </w:tc>
        <w:tc>
          <w:tcPr>
            <w:tcW w:w="996" w:type="dxa"/>
            <w:noWrap/>
            <w:hideMark/>
          </w:tcPr>
          <w:p w14:paraId="79DFB60E" w14:textId="77777777" w:rsidR="004F64EF" w:rsidRPr="003003C0" w:rsidRDefault="004F64EF" w:rsidP="001F3C85">
            <w:pPr>
              <w:jc w:val="center"/>
              <w:rPr>
                <w:rFonts w:cs="Calibri"/>
                <w:color w:val="000000"/>
                <w:sz w:val="15"/>
                <w:szCs w:val="15"/>
              </w:rPr>
            </w:pPr>
          </w:p>
        </w:tc>
        <w:tc>
          <w:tcPr>
            <w:tcW w:w="997" w:type="dxa"/>
            <w:gridSpan w:val="2"/>
            <w:noWrap/>
            <w:hideMark/>
          </w:tcPr>
          <w:p w14:paraId="16582E73" w14:textId="77777777" w:rsidR="004F64EF" w:rsidRPr="003003C0" w:rsidRDefault="004F64EF" w:rsidP="001F3C85">
            <w:pPr>
              <w:jc w:val="center"/>
              <w:rPr>
                <w:sz w:val="15"/>
                <w:szCs w:val="15"/>
              </w:rPr>
            </w:pPr>
          </w:p>
        </w:tc>
        <w:tc>
          <w:tcPr>
            <w:tcW w:w="1278" w:type="dxa"/>
            <w:noWrap/>
            <w:hideMark/>
          </w:tcPr>
          <w:p w14:paraId="4FFAB2E4" w14:textId="77777777" w:rsidR="004F64EF" w:rsidRPr="003003C0" w:rsidRDefault="004F64EF" w:rsidP="001F3C85">
            <w:pPr>
              <w:jc w:val="center"/>
              <w:rPr>
                <w:sz w:val="15"/>
                <w:szCs w:val="15"/>
              </w:rPr>
            </w:pPr>
          </w:p>
        </w:tc>
        <w:tc>
          <w:tcPr>
            <w:tcW w:w="1275" w:type="dxa"/>
            <w:noWrap/>
            <w:hideMark/>
          </w:tcPr>
          <w:p w14:paraId="5FADA8BF" w14:textId="77777777" w:rsidR="004F64EF" w:rsidRPr="003003C0" w:rsidRDefault="004F64EF" w:rsidP="001F3C85">
            <w:pPr>
              <w:rPr>
                <w:sz w:val="15"/>
                <w:szCs w:val="15"/>
              </w:rPr>
            </w:pPr>
          </w:p>
        </w:tc>
      </w:tr>
      <w:tr w:rsidR="004F64EF" w:rsidRPr="003003C0" w14:paraId="5B6B7CEC" w14:textId="77777777" w:rsidTr="001F3C85">
        <w:trPr>
          <w:cnfStyle w:val="000000010000" w:firstRow="0" w:lastRow="0" w:firstColumn="0" w:lastColumn="0" w:oddVBand="0" w:evenVBand="0" w:oddHBand="0" w:evenHBand="1" w:firstRowFirstColumn="0" w:firstRowLastColumn="0" w:lastRowFirstColumn="0" w:lastRowLastColumn="0"/>
        </w:trPr>
        <w:tc>
          <w:tcPr>
            <w:tcW w:w="9067" w:type="dxa"/>
            <w:gridSpan w:val="9"/>
            <w:noWrap/>
          </w:tcPr>
          <w:p w14:paraId="500142C6" w14:textId="77777777" w:rsidR="004F64EF" w:rsidRPr="003003C0" w:rsidRDefault="004F64EF" w:rsidP="001F3C85">
            <w:pPr>
              <w:jc w:val="center"/>
              <w:rPr>
                <w:b/>
                <w:bCs/>
                <w:sz w:val="15"/>
                <w:szCs w:val="15"/>
              </w:rPr>
            </w:pPr>
            <w:r w:rsidRPr="003003C0">
              <w:rPr>
                <w:b/>
                <w:bCs/>
                <w:sz w:val="15"/>
                <w:szCs w:val="15"/>
              </w:rPr>
              <w:t xml:space="preserve">EPA – </w:t>
            </w:r>
            <w:r>
              <w:rPr>
                <w:b/>
                <w:bCs/>
                <w:sz w:val="15"/>
                <w:szCs w:val="15"/>
              </w:rPr>
              <w:t>European Union</w:t>
            </w:r>
          </w:p>
        </w:tc>
      </w:tr>
      <w:tr w:rsidR="004F64EF" w:rsidRPr="003003C0" w14:paraId="010F55CE" w14:textId="77777777" w:rsidTr="001109BD">
        <w:tc>
          <w:tcPr>
            <w:tcW w:w="1980" w:type="dxa"/>
            <w:noWrap/>
          </w:tcPr>
          <w:p w14:paraId="45A43F27" w14:textId="77777777" w:rsidR="004F64EF" w:rsidRPr="003003C0" w:rsidRDefault="004F64EF" w:rsidP="001F3C85">
            <w:pPr>
              <w:jc w:val="left"/>
              <w:rPr>
                <w:rFonts w:cs="Calibri"/>
                <w:b/>
                <w:bCs/>
                <w:sz w:val="15"/>
                <w:szCs w:val="15"/>
              </w:rPr>
            </w:pPr>
            <w:r>
              <w:rPr>
                <w:rFonts w:cs="Calibri"/>
                <w:b/>
                <w:bCs/>
                <w:sz w:val="15"/>
                <w:szCs w:val="15"/>
              </w:rPr>
              <w:t>Milk in powder</w:t>
            </w:r>
          </w:p>
        </w:tc>
        <w:tc>
          <w:tcPr>
            <w:tcW w:w="941" w:type="dxa"/>
            <w:noWrap/>
          </w:tcPr>
          <w:p w14:paraId="491797B4" w14:textId="77777777" w:rsidR="004F64EF" w:rsidRPr="003003C0" w:rsidRDefault="004F64EF" w:rsidP="001F3C85">
            <w:pPr>
              <w:jc w:val="left"/>
              <w:rPr>
                <w:rFonts w:cs="Calibri"/>
                <w:sz w:val="15"/>
                <w:szCs w:val="15"/>
              </w:rPr>
            </w:pPr>
          </w:p>
        </w:tc>
        <w:tc>
          <w:tcPr>
            <w:tcW w:w="800" w:type="dxa"/>
            <w:noWrap/>
          </w:tcPr>
          <w:p w14:paraId="2923BABF" w14:textId="77777777" w:rsidR="004F64EF" w:rsidRPr="003003C0" w:rsidRDefault="004F64EF" w:rsidP="001F3C85">
            <w:pPr>
              <w:jc w:val="center"/>
              <w:rPr>
                <w:rFonts w:cs="Calibri"/>
                <w:sz w:val="15"/>
                <w:szCs w:val="15"/>
              </w:rPr>
            </w:pPr>
          </w:p>
        </w:tc>
        <w:tc>
          <w:tcPr>
            <w:tcW w:w="800" w:type="dxa"/>
            <w:noWrap/>
          </w:tcPr>
          <w:p w14:paraId="5ABFE982" w14:textId="77777777" w:rsidR="004F64EF" w:rsidRPr="003003C0" w:rsidRDefault="004F64EF" w:rsidP="001F3C85">
            <w:pPr>
              <w:jc w:val="center"/>
              <w:rPr>
                <w:rFonts w:cs="Calibri"/>
                <w:sz w:val="15"/>
                <w:szCs w:val="15"/>
              </w:rPr>
            </w:pPr>
          </w:p>
        </w:tc>
        <w:tc>
          <w:tcPr>
            <w:tcW w:w="996" w:type="dxa"/>
            <w:noWrap/>
          </w:tcPr>
          <w:p w14:paraId="0F6DFBF1" w14:textId="77777777" w:rsidR="004F64EF" w:rsidRPr="003003C0" w:rsidRDefault="004F64EF" w:rsidP="001F3C85">
            <w:pPr>
              <w:jc w:val="center"/>
              <w:rPr>
                <w:rFonts w:cs="Calibri"/>
                <w:b/>
                <w:bCs/>
                <w:sz w:val="15"/>
                <w:szCs w:val="15"/>
              </w:rPr>
            </w:pPr>
            <w:r w:rsidRPr="003003C0">
              <w:rPr>
                <w:rFonts w:cs="Calibri"/>
                <w:b/>
                <w:bCs/>
                <w:sz w:val="15"/>
                <w:szCs w:val="15"/>
              </w:rPr>
              <w:t>22</w:t>
            </w:r>
            <w:r>
              <w:rPr>
                <w:rFonts w:cs="Calibri"/>
                <w:b/>
                <w:bCs/>
                <w:sz w:val="15"/>
                <w:szCs w:val="15"/>
              </w:rPr>
              <w:t>,</w:t>
            </w:r>
            <w:r w:rsidRPr="003003C0">
              <w:rPr>
                <w:rFonts w:cs="Calibri"/>
                <w:b/>
                <w:bCs/>
                <w:sz w:val="15"/>
                <w:szCs w:val="15"/>
              </w:rPr>
              <w:t>400</w:t>
            </w:r>
          </w:p>
        </w:tc>
        <w:tc>
          <w:tcPr>
            <w:tcW w:w="997" w:type="dxa"/>
            <w:gridSpan w:val="2"/>
            <w:noWrap/>
          </w:tcPr>
          <w:p w14:paraId="09670C9E" w14:textId="77777777" w:rsidR="004F64EF" w:rsidRPr="003003C0" w:rsidRDefault="004F64EF" w:rsidP="001F3C85">
            <w:pPr>
              <w:jc w:val="center"/>
              <w:rPr>
                <w:b/>
                <w:bCs/>
                <w:sz w:val="15"/>
                <w:szCs w:val="15"/>
              </w:rPr>
            </w:pPr>
            <w:r w:rsidRPr="003003C0">
              <w:rPr>
                <w:b/>
                <w:bCs/>
                <w:sz w:val="15"/>
                <w:szCs w:val="15"/>
              </w:rPr>
              <w:t>22</w:t>
            </w:r>
            <w:r>
              <w:rPr>
                <w:b/>
                <w:bCs/>
                <w:sz w:val="15"/>
                <w:szCs w:val="15"/>
              </w:rPr>
              <w:t>,</w:t>
            </w:r>
            <w:r w:rsidRPr="003003C0">
              <w:rPr>
                <w:b/>
                <w:bCs/>
                <w:sz w:val="15"/>
                <w:szCs w:val="15"/>
              </w:rPr>
              <w:t>400</w:t>
            </w:r>
          </w:p>
        </w:tc>
        <w:tc>
          <w:tcPr>
            <w:tcW w:w="1278" w:type="dxa"/>
            <w:noWrap/>
          </w:tcPr>
          <w:p w14:paraId="515BC87D" w14:textId="77777777" w:rsidR="004F64EF" w:rsidRPr="003003C0" w:rsidRDefault="004F64EF" w:rsidP="001F3C85">
            <w:pPr>
              <w:jc w:val="center"/>
              <w:rPr>
                <w:b/>
                <w:bCs/>
                <w:sz w:val="15"/>
                <w:szCs w:val="15"/>
              </w:rPr>
            </w:pPr>
            <w:r w:rsidRPr="003003C0">
              <w:rPr>
                <w:b/>
                <w:bCs/>
                <w:sz w:val="15"/>
                <w:szCs w:val="15"/>
              </w:rPr>
              <w:t>555</w:t>
            </w:r>
          </w:p>
        </w:tc>
        <w:tc>
          <w:tcPr>
            <w:tcW w:w="1275" w:type="dxa"/>
            <w:noWrap/>
          </w:tcPr>
          <w:p w14:paraId="49273B00" w14:textId="77777777" w:rsidR="004F64EF" w:rsidRPr="003003C0" w:rsidRDefault="004F64EF" w:rsidP="001F3C85">
            <w:pPr>
              <w:jc w:val="center"/>
              <w:rPr>
                <w:b/>
                <w:bCs/>
                <w:sz w:val="15"/>
                <w:szCs w:val="15"/>
              </w:rPr>
            </w:pPr>
            <w:r w:rsidRPr="003003C0">
              <w:rPr>
                <w:b/>
                <w:bCs/>
                <w:sz w:val="15"/>
                <w:szCs w:val="15"/>
              </w:rPr>
              <w:t>2.48</w:t>
            </w:r>
          </w:p>
        </w:tc>
      </w:tr>
      <w:tr w:rsidR="004F64EF" w:rsidRPr="003003C0" w14:paraId="346907BA" w14:textId="77777777" w:rsidTr="001109BD">
        <w:trPr>
          <w:cnfStyle w:val="000000010000" w:firstRow="0" w:lastRow="0" w:firstColumn="0" w:lastColumn="0" w:oddVBand="0" w:evenVBand="0" w:oddHBand="0" w:evenHBand="1" w:firstRowFirstColumn="0" w:firstRowLastColumn="0" w:lastRowFirstColumn="0" w:lastRowLastColumn="0"/>
        </w:trPr>
        <w:tc>
          <w:tcPr>
            <w:tcW w:w="1980" w:type="dxa"/>
            <w:noWrap/>
          </w:tcPr>
          <w:p w14:paraId="445B7B67" w14:textId="77777777" w:rsidR="004F64EF" w:rsidRPr="003003C0" w:rsidRDefault="004F64EF" w:rsidP="001F3C85">
            <w:pPr>
              <w:jc w:val="left"/>
              <w:rPr>
                <w:rFonts w:cs="Calibri"/>
                <w:b/>
                <w:bCs/>
                <w:sz w:val="15"/>
                <w:szCs w:val="15"/>
              </w:rPr>
            </w:pPr>
          </w:p>
        </w:tc>
        <w:tc>
          <w:tcPr>
            <w:tcW w:w="941" w:type="dxa"/>
            <w:noWrap/>
          </w:tcPr>
          <w:p w14:paraId="049A07C6" w14:textId="77777777" w:rsidR="004F64EF" w:rsidRPr="003003C0" w:rsidRDefault="004F64EF" w:rsidP="001F3C85">
            <w:pPr>
              <w:jc w:val="left"/>
              <w:rPr>
                <w:rFonts w:cs="Calibri"/>
                <w:sz w:val="15"/>
                <w:szCs w:val="15"/>
              </w:rPr>
            </w:pPr>
          </w:p>
        </w:tc>
        <w:tc>
          <w:tcPr>
            <w:tcW w:w="800" w:type="dxa"/>
            <w:noWrap/>
          </w:tcPr>
          <w:p w14:paraId="2428DE58" w14:textId="77777777" w:rsidR="004F64EF" w:rsidRPr="003003C0" w:rsidRDefault="004F64EF" w:rsidP="001F3C85">
            <w:pPr>
              <w:jc w:val="center"/>
              <w:rPr>
                <w:rFonts w:cs="Calibri"/>
                <w:sz w:val="15"/>
                <w:szCs w:val="15"/>
              </w:rPr>
            </w:pPr>
          </w:p>
        </w:tc>
        <w:tc>
          <w:tcPr>
            <w:tcW w:w="800" w:type="dxa"/>
            <w:noWrap/>
          </w:tcPr>
          <w:p w14:paraId="4EE69E46" w14:textId="77777777" w:rsidR="004F64EF" w:rsidRPr="003003C0" w:rsidRDefault="004F64EF" w:rsidP="001F3C85">
            <w:pPr>
              <w:jc w:val="center"/>
              <w:rPr>
                <w:rFonts w:cs="Calibri"/>
                <w:sz w:val="15"/>
                <w:szCs w:val="15"/>
              </w:rPr>
            </w:pPr>
          </w:p>
        </w:tc>
        <w:tc>
          <w:tcPr>
            <w:tcW w:w="996" w:type="dxa"/>
            <w:noWrap/>
          </w:tcPr>
          <w:p w14:paraId="0052C823" w14:textId="77777777" w:rsidR="004F64EF" w:rsidRPr="003003C0" w:rsidRDefault="004F64EF" w:rsidP="001F3C85">
            <w:pPr>
              <w:jc w:val="center"/>
              <w:rPr>
                <w:rFonts w:cs="Calibri"/>
                <w:b/>
                <w:bCs/>
                <w:sz w:val="15"/>
                <w:szCs w:val="15"/>
              </w:rPr>
            </w:pPr>
          </w:p>
        </w:tc>
        <w:tc>
          <w:tcPr>
            <w:tcW w:w="997" w:type="dxa"/>
            <w:gridSpan w:val="2"/>
            <w:noWrap/>
          </w:tcPr>
          <w:p w14:paraId="02D49EFD" w14:textId="77777777" w:rsidR="004F64EF" w:rsidRPr="003003C0" w:rsidRDefault="004F64EF" w:rsidP="001F3C85">
            <w:pPr>
              <w:jc w:val="center"/>
              <w:rPr>
                <w:b/>
                <w:bCs/>
                <w:sz w:val="15"/>
                <w:szCs w:val="15"/>
              </w:rPr>
            </w:pPr>
          </w:p>
        </w:tc>
        <w:tc>
          <w:tcPr>
            <w:tcW w:w="1278" w:type="dxa"/>
            <w:noWrap/>
          </w:tcPr>
          <w:p w14:paraId="31E41333" w14:textId="77777777" w:rsidR="004F64EF" w:rsidRPr="003003C0" w:rsidRDefault="004F64EF" w:rsidP="001F3C85">
            <w:pPr>
              <w:jc w:val="center"/>
              <w:rPr>
                <w:b/>
                <w:bCs/>
                <w:sz w:val="15"/>
                <w:szCs w:val="15"/>
              </w:rPr>
            </w:pPr>
          </w:p>
        </w:tc>
        <w:tc>
          <w:tcPr>
            <w:tcW w:w="1275" w:type="dxa"/>
            <w:noWrap/>
          </w:tcPr>
          <w:p w14:paraId="15C151BA" w14:textId="77777777" w:rsidR="004F64EF" w:rsidRPr="003003C0" w:rsidRDefault="004F64EF" w:rsidP="001F3C85">
            <w:pPr>
              <w:jc w:val="center"/>
              <w:rPr>
                <w:b/>
                <w:bCs/>
                <w:sz w:val="15"/>
                <w:szCs w:val="15"/>
              </w:rPr>
            </w:pPr>
          </w:p>
        </w:tc>
      </w:tr>
      <w:tr w:rsidR="004F64EF" w:rsidRPr="003003C0" w14:paraId="377E1998" w14:textId="77777777" w:rsidTr="001109BD">
        <w:tc>
          <w:tcPr>
            <w:tcW w:w="1980" w:type="dxa"/>
            <w:noWrap/>
          </w:tcPr>
          <w:p w14:paraId="3C5A40C7" w14:textId="77777777" w:rsidR="004F64EF" w:rsidRPr="003003C0" w:rsidRDefault="004F64EF" w:rsidP="001F3C85">
            <w:pPr>
              <w:jc w:val="left"/>
              <w:rPr>
                <w:rFonts w:cs="Calibri"/>
                <w:sz w:val="15"/>
                <w:szCs w:val="15"/>
              </w:rPr>
            </w:pPr>
            <w:r w:rsidRPr="003003C0">
              <w:rPr>
                <w:rFonts w:cs="Calibri"/>
                <w:sz w:val="15"/>
                <w:szCs w:val="15"/>
              </w:rPr>
              <w:t>0402.10</w:t>
            </w:r>
          </w:p>
        </w:tc>
        <w:tc>
          <w:tcPr>
            <w:tcW w:w="941" w:type="dxa"/>
            <w:noWrap/>
          </w:tcPr>
          <w:p w14:paraId="6D73D816" w14:textId="77777777" w:rsidR="004F64EF" w:rsidRPr="003003C0" w:rsidRDefault="004F64EF" w:rsidP="001F3C85">
            <w:pPr>
              <w:jc w:val="center"/>
              <w:rPr>
                <w:rFonts w:cs="Calibri"/>
                <w:sz w:val="15"/>
                <w:szCs w:val="15"/>
              </w:rPr>
            </w:pPr>
            <w:r w:rsidRPr="003003C0">
              <w:rPr>
                <w:rFonts w:cs="Calibri"/>
                <w:sz w:val="15"/>
                <w:szCs w:val="15"/>
              </w:rPr>
              <w:t xml:space="preserve">11 </w:t>
            </w:r>
            <w:r>
              <w:rPr>
                <w:rFonts w:cs="Calibri"/>
                <w:sz w:val="15"/>
                <w:szCs w:val="15"/>
              </w:rPr>
              <w:t>and</w:t>
            </w:r>
            <w:r w:rsidRPr="003003C0">
              <w:rPr>
                <w:rFonts w:cs="Calibri"/>
                <w:sz w:val="15"/>
                <w:szCs w:val="15"/>
              </w:rPr>
              <w:t xml:space="preserve"> 5 </w:t>
            </w:r>
          </w:p>
        </w:tc>
        <w:tc>
          <w:tcPr>
            <w:tcW w:w="800" w:type="dxa"/>
            <w:noWrap/>
          </w:tcPr>
          <w:p w14:paraId="1035B895" w14:textId="77777777" w:rsidR="004F64EF" w:rsidRPr="003003C0" w:rsidRDefault="004F64EF" w:rsidP="001F3C85">
            <w:pPr>
              <w:jc w:val="center"/>
              <w:rPr>
                <w:rFonts w:cs="Calibri"/>
                <w:sz w:val="15"/>
                <w:szCs w:val="15"/>
              </w:rPr>
            </w:pPr>
            <w:r w:rsidRPr="003003C0">
              <w:rPr>
                <w:rFonts w:cs="Calibri"/>
                <w:sz w:val="15"/>
                <w:szCs w:val="15"/>
              </w:rPr>
              <w:t>6</w:t>
            </w:r>
          </w:p>
        </w:tc>
        <w:tc>
          <w:tcPr>
            <w:tcW w:w="800" w:type="dxa"/>
            <w:noWrap/>
          </w:tcPr>
          <w:p w14:paraId="77F6F7E1" w14:textId="77777777" w:rsidR="004F64EF" w:rsidRPr="003003C0" w:rsidRDefault="004F64EF" w:rsidP="001F3C85">
            <w:pPr>
              <w:jc w:val="center"/>
              <w:rPr>
                <w:rFonts w:cs="Calibri"/>
                <w:sz w:val="15"/>
                <w:szCs w:val="15"/>
              </w:rPr>
            </w:pPr>
            <w:r w:rsidRPr="003003C0">
              <w:rPr>
                <w:rFonts w:cs="Calibri"/>
                <w:sz w:val="15"/>
                <w:szCs w:val="15"/>
              </w:rPr>
              <w:t>0</w:t>
            </w:r>
          </w:p>
        </w:tc>
        <w:tc>
          <w:tcPr>
            <w:tcW w:w="996" w:type="dxa"/>
            <w:noWrap/>
          </w:tcPr>
          <w:p w14:paraId="58906514" w14:textId="77777777" w:rsidR="004F64EF" w:rsidRPr="003003C0" w:rsidRDefault="004F64EF" w:rsidP="001F3C85">
            <w:pPr>
              <w:jc w:val="center"/>
              <w:rPr>
                <w:rFonts w:cs="Calibri"/>
                <w:sz w:val="15"/>
                <w:szCs w:val="15"/>
              </w:rPr>
            </w:pPr>
          </w:p>
        </w:tc>
        <w:tc>
          <w:tcPr>
            <w:tcW w:w="997" w:type="dxa"/>
            <w:gridSpan w:val="2"/>
            <w:noWrap/>
          </w:tcPr>
          <w:p w14:paraId="3682914C" w14:textId="77777777" w:rsidR="004F64EF" w:rsidRPr="003003C0" w:rsidRDefault="004F64EF" w:rsidP="001F3C85">
            <w:pPr>
              <w:jc w:val="center"/>
              <w:rPr>
                <w:sz w:val="15"/>
                <w:szCs w:val="15"/>
              </w:rPr>
            </w:pPr>
          </w:p>
        </w:tc>
        <w:tc>
          <w:tcPr>
            <w:tcW w:w="1278" w:type="dxa"/>
            <w:noWrap/>
          </w:tcPr>
          <w:p w14:paraId="4A0CF311" w14:textId="77777777" w:rsidR="004F64EF" w:rsidRPr="003003C0" w:rsidRDefault="004F64EF" w:rsidP="001F3C85">
            <w:pPr>
              <w:jc w:val="center"/>
              <w:rPr>
                <w:sz w:val="15"/>
                <w:szCs w:val="15"/>
              </w:rPr>
            </w:pPr>
          </w:p>
        </w:tc>
        <w:tc>
          <w:tcPr>
            <w:tcW w:w="1275" w:type="dxa"/>
            <w:noWrap/>
          </w:tcPr>
          <w:p w14:paraId="6DD5A093" w14:textId="77777777" w:rsidR="004F64EF" w:rsidRPr="003003C0" w:rsidRDefault="004F64EF" w:rsidP="001F3C85">
            <w:pPr>
              <w:rPr>
                <w:sz w:val="15"/>
                <w:szCs w:val="15"/>
              </w:rPr>
            </w:pPr>
          </w:p>
        </w:tc>
      </w:tr>
      <w:tr w:rsidR="004F64EF" w:rsidRPr="003003C0" w14:paraId="6B018581" w14:textId="77777777" w:rsidTr="001109BD">
        <w:trPr>
          <w:cnfStyle w:val="000000010000" w:firstRow="0" w:lastRow="0" w:firstColumn="0" w:lastColumn="0" w:oddVBand="0" w:evenVBand="0" w:oddHBand="0" w:evenHBand="1" w:firstRowFirstColumn="0" w:firstRowLastColumn="0" w:lastRowFirstColumn="0" w:lastRowLastColumn="0"/>
        </w:trPr>
        <w:tc>
          <w:tcPr>
            <w:tcW w:w="1980" w:type="dxa"/>
            <w:noWrap/>
          </w:tcPr>
          <w:p w14:paraId="7BA8AF29" w14:textId="77777777" w:rsidR="004F64EF" w:rsidRPr="003003C0" w:rsidRDefault="004F64EF" w:rsidP="001F3C85">
            <w:pPr>
              <w:jc w:val="left"/>
              <w:rPr>
                <w:rFonts w:cs="Calibri"/>
                <w:sz w:val="15"/>
                <w:szCs w:val="15"/>
              </w:rPr>
            </w:pPr>
            <w:r w:rsidRPr="003003C0">
              <w:rPr>
                <w:rFonts w:cs="Calibri"/>
                <w:sz w:val="15"/>
                <w:szCs w:val="15"/>
              </w:rPr>
              <w:t>0402.21</w:t>
            </w:r>
          </w:p>
        </w:tc>
        <w:tc>
          <w:tcPr>
            <w:tcW w:w="941" w:type="dxa"/>
            <w:noWrap/>
          </w:tcPr>
          <w:p w14:paraId="1154BB06" w14:textId="77777777" w:rsidR="004F64EF" w:rsidRPr="003003C0" w:rsidRDefault="004F64EF" w:rsidP="001F3C85">
            <w:pPr>
              <w:jc w:val="center"/>
              <w:rPr>
                <w:rFonts w:cs="Calibri"/>
                <w:sz w:val="15"/>
                <w:szCs w:val="15"/>
              </w:rPr>
            </w:pPr>
            <w:r w:rsidRPr="003003C0">
              <w:rPr>
                <w:rFonts w:cs="Calibri"/>
                <w:sz w:val="15"/>
                <w:szCs w:val="15"/>
              </w:rPr>
              <w:t xml:space="preserve">11 </w:t>
            </w:r>
            <w:r>
              <w:rPr>
                <w:rFonts w:cs="Calibri"/>
                <w:sz w:val="15"/>
                <w:szCs w:val="15"/>
              </w:rPr>
              <w:t>and</w:t>
            </w:r>
            <w:r w:rsidRPr="003003C0">
              <w:rPr>
                <w:rFonts w:cs="Calibri"/>
                <w:sz w:val="15"/>
                <w:szCs w:val="15"/>
              </w:rPr>
              <w:t xml:space="preserve"> 5 </w:t>
            </w:r>
          </w:p>
        </w:tc>
        <w:tc>
          <w:tcPr>
            <w:tcW w:w="800" w:type="dxa"/>
            <w:noWrap/>
          </w:tcPr>
          <w:p w14:paraId="7A9783DB" w14:textId="77777777" w:rsidR="004F64EF" w:rsidRPr="003003C0" w:rsidRDefault="004F64EF" w:rsidP="001F3C85">
            <w:pPr>
              <w:jc w:val="center"/>
              <w:rPr>
                <w:rFonts w:cs="Calibri"/>
                <w:sz w:val="15"/>
                <w:szCs w:val="15"/>
              </w:rPr>
            </w:pPr>
            <w:r w:rsidRPr="003003C0">
              <w:rPr>
                <w:rFonts w:cs="Calibri"/>
                <w:sz w:val="15"/>
                <w:szCs w:val="15"/>
              </w:rPr>
              <w:t>6</w:t>
            </w:r>
          </w:p>
        </w:tc>
        <w:tc>
          <w:tcPr>
            <w:tcW w:w="800" w:type="dxa"/>
            <w:noWrap/>
          </w:tcPr>
          <w:p w14:paraId="21AA6EFB" w14:textId="77777777" w:rsidR="004F64EF" w:rsidRPr="003003C0" w:rsidRDefault="004F64EF" w:rsidP="001F3C85">
            <w:pPr>
              <w:jc w:val="center"/>
              <w:rPr>
                <w:rFonts w:cs="Calibri"/>
                <w:sz w:val="15"/>
                <w:szCs w:val="15"/>
              </w:rPr>
            </w:pPr>
            <w:r w:rsidRPr="003003C0">
              <w:rPr>
                <w:rFonts w:cs="Calibri"/>
                <w:sz w:val="15"/>
                <w:szCs w:val="15"/>
              </w:rPr>
              <w:t>0</w:t>
            </w:r>
          </w:p>
        </w:tc>
        <w:tc>
          <w:tcPr>
            <w:tcW w:w="996" w:type="dxa"/>
            <w:noWrap/>
          </w:tcPr>
          <w:p w14:paraId="227067EE" w14:textId="77777777" w:rsidR="004F64EF" w:rsidRPr="003003C0" w:rsidRDefault="004F64EF" w:rsidP="001F3C85">
            <w:pPr>
              <w:jc w:val="center"/>
              <w:rPr>
                <w:rFonts w:cs="Calibri"/>
                <w:sz w:val="15"/>
                <w:szCs w:val="15"/>
              </w:rPr>
            </w:pPr>
            <w:r w:rsidRPr="003003C0">
              <w:rPr>
                <w:rFonts w:cs="Calibri"/>
                <w:sz w:val="15"/>
                <w:szCs w:val="15"/>
              </w:rPr>
              <w:t>22</w:t>
            </w:r>
            <w:r>
              <w:rPr>
                <w:rFonts w:cs="Calibri"/>
                <w:sz w:val="15"/>
                <w:szCs w:val="15"/>
              </w:rPr>
              <w:t>,</w:t>
            </w:r>
            <w:r w:rsidRPr="003003C0">
              <w:rPr>
                <w:rFonts w:cs="Calibri"/>
                <w:sz w:val="15"/>
                <w:szCs w:val="15"/>
              </w:rPr>
              <w:t>400</w:t>
            </w:r>
          </w:p>
        </w:tc>
        <w:tc>
          <w:tcPr>
            <w:tcW w:w="997" w:type="dxa"/>
            <w:gridSpan w:val="2"/>
            <w:noWrap/>
          </w:tcPr>
          <w:p w14:paraId="4D4FD9A5" w14:textId="77777777" w:rsidR="004F64EF" w:rsidRPr="003003C0" w:rsidRDefault="004F64EF" w:rsidP="001F3C85">
            <w:pPr>
              <w:jc w:val="center"/>
              <w:rPr>
                <w:sz w:val="15"/>
                <w:szCs w:val="15"/>
              </w:rPr>
            </w:pPr>
            <w:r w:rsidRPr="003003C0">
              <w:rPr>
                <w:sz w:val="15"/>
                <w:szCs w:val="15"/>
              </w:rPr>
              <w:t>22</w:t>
            </w:r>
            <w:r>
              <w:rPr>
                <w:sz w:val="15"/>
                <w:szCs w:val="15"/>
              </w:rPr>
              <w:t>,</w:t>
            </w:r>
            <w:r w:rsidRPr="003003C0">
              <w:rPr>
                <w:sz w:val="15"/>
                <w:szCs w:val="15"/>
              </w:rPr>
              <w:t>400</w:t>
            </w:r>
          </w:p>
        </w:tc>
        <w:tc>
          <w:tcPr>
            <w:tcW w:w="1278" w:type="dxa"/>
            <w:noWrap/>
          </w:tcPr>
          <w:p w14:paraId="0B5D7406" w14:textId="77777777" w:rsidR="004F64EF" w:rsidRPr="003003C0" w:rsidRDefault="004F64EF" w:rsidP="001F3C85">
            <w:pPr>
              <w:jc w:val="center"/>
              <w:rPr>
                <w:sz w:val="15"/>
                <w:szCs w:val="15"/>
              </w:rPr>
            </w:pPr>
          </w:p>
        </w:tc>
        <w:tc>
          <w:tcPr>
            <w:tcW w:w="1275" w:type="dxa"/>
            <w:noWrap/>
          </w:tcPr>
          <w:p w14:paraId="1B38BEEF" w14:textId="77777777" w:rsidR="004F64EF" w:rsidRPr="003003C0" w:rsidRDefault="004F64EF" w:rsidP="001F3C85">
            <w:pPr>
              <w:rPr>
                <w:sz w:val="15"/>
                <w:szCs w:val="15"/>
              </w:rPr>
            </w:pPr>
          </w:p>
        </w:tc>
      </w:tr>
      <w:tr w:rsidR="004F64EF" w:rsidRPr="003003C0" w14:paraId="4737CFB1" w14:textId="77777777" w:rsidTr="001109BD">
        <w:tc>
          <w:tcPr>
            <w:tcW w:w="1980" w:type="dxa"/>
            <w:noWrap/>
          </w:tcPr>
          <w:p w14:paraId="346B85EC" w14:textId="77777777" w:rsidR="004F64EF" w:rsidRPr="003003C0" w:rsidRDefault="004F64EF" w:rsidP="001F3C85">
            <w:pPr>
              <w:jc w:val="left"/>
              <w:rPr>
                <w:rFonts w:cs="Calibri"/>
                <w:sz w:val="15"/>
                <w:szCs w:val="15"/>
              </w:rPr>
            </w:pPr>
            <w:r w:rsidRPr="003003C0">
              <w:rPr>
                <w:rFonts w:cs="Calibri"/>
                <w:sz w:val="15"/>
                <w:szCs w:val="15"/>
              </w:rPr>
              <w:t>0402.29</w:t>
            </w:r>
          </w:p>
        </w:tc>
        <w:tc>
          <w:tcPr>
            <w:tcW w:w="941" w:type="dxa"/>
            <w:noWrap/>
          </w:tcPr>
          <w:p w14:paraId="1BFD837B" w14:textId="77777777" w:rsidR="004F64EF" w:rsidRPr="003003C0" w:rsidRDefault="004F64EF" w:rsidP="001F3C85">
            <w:pPr>
              <w:jc w:val="center"/>
              <w:rPr>
                <w:rFonts w:cs="Calibri"/>
                <w:sz w:val="15"/>
                <w:szCs w:val="15"/>
              </w:rPr>
            </w:pPr>
            <w:r w:rsidRPr="003003C0">
              <w:rPr>
                <w:rFonts w:cs="Calibri"/>
                <w:sz w:val="15"/>
                <w:szCs w:val="15"/>
              </w:rPr>
              <w:t xml:space="preserve">11 </w:t>
            </w:r>
            <w:r>
              <w:rPr>
                <w:rFonts w:cs="Calibri"/>
                <w:sz w:val="15"/>
                <w:szCs w:val="15"/>
              </w:rPr>
              <w:t>and</w:t>
            </w:r>
            <w:r w:rsidRPr="003003C0">
              <w:rPr>
                <w:rFonts w:cs="Calibri"/>
                <w:sz w:val="15"/>
                <w:szCs w:val="15"/>
              </w:rPr>
              <w:t xml:space="preserve"> 5 </w:t>
            </w:r>
          </w:p>
        </w:tc>
        <w:tc>
          <w:tcPr>
            <w:tcW w:w="800" w:type="dxa"/>
            <w:noWrap/>
          </w:tcPr>
          <w:p w14:paraId="67A9C9DE" w14:textId="77777777" w:rsidR="004F64EF" w:rsidRPr="003003C0" w:rsidRDefault="004F64EF" w:rsidP="001F3C85">
            <w:pPr>
              <w:jc w:val="center"/>
              <w:rPr>
                <w:rFonts w:cs="Calibri"/>
                <w:sz w:val="15"/>
                <w:szCs w:val="15"/>
              </w:rPr>
            </w:pPr>
            <w:r w:rsidRPr="003003C0">
              <w:rPr>
                <w:rFonts w:cs="Calibri"/>
                <w:sz w:val="15"/>
                <w:szCs w:val="15"/>
              </w:rPr>
              <w:t>6</w:t>
            </w:r>
          </w:p>
        </w:tc>
        <w:tc>
          <w:tcPr>
            <w:tcW w:w="800" w:type="dxa"/>
            <w:noWrap/>
          </w:tcPr>
          <w:p w14:paraId="77B22EB9" w14:textId="77777777" w:rsidR="004F64EF" w:rsidRPr="003003C0" w:rsidRDefault="004F64EF" w:rsidP="001F3C85">
            <w:pPr>
              <w:jc w:val="center"/>
              <w:rPr>
                <w:rFonts w:cs="Calibri"/>
                <w:sz w:val="15"/>
                <w:szCs w:val="15"/>
              </w:rPr>
            </w:pPr>
            <w:r w:rsidRPr="003003C0">
              <w:rPr>
                <w:rFonts w:cs="Calibri"/>
                <w:sz w:val="15"/>
                <w:szCs w:val="15"/>
              </w:rPr>
              <w:t>0</w:t>
            </w:r>
          </w:p>
        </w:tc>
        <w:tc>
          <w:tcPr>
            <w:tcW w:w="996" w:type="dxa"/>
            <w:noWrap/>
          </w:tcPr>
          <w:p w14:paraId="09B770B0" w14:textId="77777777" w:rsidR="004F64EF" w:rsidRPr="003003C0" w:rsidRDefault="004F64EF" w:rsidP="001F3C85">
            <w:pPr>
              <w:jc w:val="center"/>
              <w:rPr>
                <w:rFonts w:cs="Calibri"/>
                <w:sz w:val="15"/>
                <w:szCs w:val="15"/>
              </w:rPr>
            </w:pPr>
            <w:r w:rsidRPr="003003C0">
              <w:rPr>
                <w:rFonts w:cs="Calibri"/>
                <w:sz w:val="15"/>
                <w:szCs w:val="15"/>
              </w:rPr>
              <w:t>22</w:t>
            </w:r>
            <w:r>
              <w:rPr>
                <w:rFonts w:cs="Calibri"/>
                <w:sz w:val="15"/>
                <w:szCs w:val="15"/>
              </w:rPr>
              <w:t>,</w:t>
            </w:r>
            <w:r w:rsidRPr="003003C0">
              <w:rPr>
                <w:rFonts w:cs="Calibri"/>
                <w:sz w:val="15"/>
                <w:szCs w:val="15"/>
              </w:rPr>
              <w:t>400</w:t>
            </w:r>
          </w:p>
        </w:tc>
        <w:tc>
          <w:tcPr>
            <w:tcW w:w="997" w:type="dxa"/>
            <w:gridSpan w:val="2"/>
            <w:noWrap/>
          </w:tcPr>
          <w:p w14:paraId="5D6ABE9E" w14:textId="77777777" w:rsidR="004F64EF" w:rsidRPr="003003C0" w:rsidRDefault="004F64EF" w:rsidP="001F3C85">
            <w:pPr>
              <w:jc w:val="center"/>
              <w:rPr>
                <w:sz w:val="15"/>
                <w:szCs w:val="15"/>
              </w:rPr>
            </w:pPr>
            <w:r w:rsidRPr="003003C0">
              <w:rPr>
                <w:sz w:val="15"/>
                <w:szCs w:val="15"/>
              </w:rPr>
              <w:t>22</w:t>
            </w:r>
            <w:r>
              <w:rPr>
                <w:sz w:val="15"/>
                <w:szCs w:val="15"/>
              </w:rPr>
              <w:t>,</w:t>
            </w:r>
            <w:r w:rsidRPr="003003C0">
              <w:rPr>
                <w:sz w:val="15"/>
                <w:szCs w:val="15"/>
              </w:rPr>
              <w:t>400</w:t>
            </w:r>
          </w:p>
        </w:tc>
        <w:tc>
          <w:tcPr>
            <w:tcW w:w="1278" w:type="dxa"/>
            <w:noWrap/>
          </w:tcPr>
          <w:p w14:paraId="631F9374" w14:textId="77777777" w:rsidR="004F64EF" w:rsidRPr="003003C0" w:rsidRDefault="004F64EF" w:rsidP="001F3C85">
            <w:pPr>
              <w:jc w:val="center"/>
              <w:rPr>
                <w:sz w:val="15"/>
                <w:szCs w:val="15"/>
              </w:rPr>
            </w:pPr>
          </w:p>
        </w:tc>
        <w:tc>
          <w:tcPr>
            <w:tcW w:w="1275" w:type="dxa"/>
            <w:noWrap/>
          </w:tcPr>
          <w:p w14:paraId="4D68C419" w14:textId="77777777" w:rsidR="004F64EF" w:rsidRPr="003003C0" w:rsidRDefault="004F64EF" w:rsidP="001F3C85">
            <w:pPr>
              <w:rPr>
                <w:sz w:val="15"/>
                <w:szCs w:val="15"/>
              </w:rPr>
            </w:pPr>
          </w:p>
        </w:tc>
      </w:tr>
    </w:tbl>
    <w:p w14:paraId="4327A69F" w14:textId="77777777" w:rsidR="004F64EF" w:rsidRPr="003003C0" w:rsidRDefault="004F64EF" w:rsidP="00E439A9">
      <w:pPr>
        <w:pStyle w:val="NoteText"/>
        <w:spacing w:before="120" w:after="240"/>
      </w:pPr>
      <w:r w:rsidRPr="00332EEC">
        <w:t>Source:</w:t>
      </w:r>
      <w:r w:rsidRPr="00332EEC">
        <w:tab/>
        <w:t>WTO Secretariat calculations based on data provided by the authorities</w:t>
      </w:r>
      <w:r w:rsidRPr="003003C0">
        <w:t>.</w:t>
      </w:r>
    </w:p>
    <w:p w14:paraId="632FFC20" w14:textId="77777777" w:rsidR="004F64EF" w:rsidRPr="003003C0" w:rsidRDefault="004F64EF" w:rsidP="00E439A9">
      <w:r w:rsidRPr="003003C0">
        <w:br w:type="page"/>
      </w:r>
    </w:p>
    <w:p w14:paraId="42E833B6" w14:textId="77777777" w:rsidR="004F64EF" w:rsidRPr="003003C0" w:rsidRDefault="004F64EF" w:rsidP="00E439A9">
      <w:pPr>
        <w:pStyle w:val="Caption"/>
      </w:pPr>
      <w:bookmarkStart w:id="461" w:name="_Toc114735883"/>
      <w:bookmarkStart w:id="462" w:name="_Toc117004303"/>
      <w:bookmarkStart w:id="463" w:name="_Toc117238128"/>
      <w:bookmarkStart w:id="464" w:name="_Toc434225433"/>
      <w:r>
        <w:lastRenderedPageBreak/>
        <w:t>Table</w:t>
      </w:r>
      <w:r w:rsidRPr="003003C0">
        <w:t xml:space="preserve"> A3.</w:t>
      </w:r>
      <w:r w:rsidR="00BD37F2">
        <w:fldChar w:fldCharType="begin"/>
      </w:r>
      <w:r w:rsidR="00BD37F2">
        <w:instrText xml:space="preserve"> SEQ Table_A3. \* ARABIC </w:instrText>
      </w:r>
      <w:r w:rsidR="00BD37F2">
        <w:fldChar w:fldCharType="separate"/>
      </w:r>
      <w:r w:rsidRPr="003003C0">
        <w:rPr>
          <w:noProof/>
        </w:rPr>
        <w:t>6</w:t>
      </w:r>
      <w:r w:rsidR="00BD37F2">
        <w:rPr>
          <w:noProof/>
        </w:rPr>
        <w:fldChar w:fldCharType="end"/>
      </w:r>
      <w:r w:rsidRPr="003003C0">
        <w:t xml:space="preserve"> </w:t>
      </w:r>
      <w:r>
        <w:t xml:space="preserve">Legislation on </w:t>
      </w:r>
      <w:r w:rsidRPr="001006EE">
        <w:t>animal and plant health and food safety</w:t>
      </w:r>
      <w:r w:rsidRPr="003003C0">
        <w:t>, 2022</w:t>
      </w:r>
      <w:bookmarkEnd w:id="461"/>
      <w:bookmarkEnd w:id="462"/>
      <w:bookmarkEnd w:id="463"/>
    </w:p>
    <w:tbl>
      <w:tblPr>
        <w:tblStyle w:val="WTOTable1"/>
        <w:tblW w:w="5000" w:type="pct"/>
        <w:tblLook w:val="04A0" w:firstRow="1" w:lastRow="0" w:firstColumn="1" w:lastColumn="0" w:noHBand="0" w:noVBand="1"/>
      </w:tblPr>
      <w:tblGrid>
        <w:gridCol w:w="2122"/>
        <w:gridCol w:w="6894"/>
      </w:tblGrid>
      <w:tr w:rsidR="004F64EF" w:rsidRPr="003003C0" w14:paraId="71B1A706" w14:textId="77777777" w:rsidTr="001F3C85">
        <w:trPr>
          <w:cnfStyle w:val="100000000000" w:firstRow="1" w:lastRow="0" w:firstColumn="0" w:lastColumn="0" w:oddVBand="0" w:evenVBand="0" w:oddHBand="0" w:evenHBand="0" w:firstRowFirstColumn="0" w:firstRowLastColumn="0" w:lastRowFirstColumn="0" w:lastRowLastColumn="0"/>
          <w:tblHeader/>
        </w:trPr>
        <w:tc>
          <w:tcPr>
            <w:tcW w:w="5000" w:type="pct"/>
            <w:gridSpan w:val="2"/>
          </w:tcPr>
          <w:bookmarkEnd w:id="464"/>
          <w:p w14:paraId="6114B005" w14:textId="77777777" w:rsidR="004F64EF" w:rsidRPr="003003C0" w:rsidRDefault="004F64EF" w:rsidP="001F3C85">
            <w:pPr>
              <w:jc w:val="left"/>
              <w:rPr>
                <w:bCs/>
                <w:sz w:val="15"/>
                <w:szCs w:val="15"/>
              </w:rPr>
            </w:pPr>
            <w:r>
              <w:rPr>
                <w:bCs/>
                <w:sz w:val="15"/>
                <w:szCs w:val="15"/>
              </w:rPr>
              <w:t>Animal health</w:t>
            </w:r>
            <w:r w:rsidRPr="003003C0">
              <w:rPr>
                <w:bCs/>
                <w:sz w:val="15"/>
                <w:szCs w:val="15"/>
              </w:rPr>
              <w:t xml:space="preserve"> </w:t>
            </w:r>
          </w:p>
        </w:tc>
      </w:tr>
      <w:tr w:rsidR="004F64EF" w:rsidRPr="003003C0" w14:paraId="2488BB1C" w14:textId="77777777" w:rsidTr="001F3C85">
        <w:tc>
          <w:tcPr>
            <w:tcW w:w="1177" w:type="pct"/>
          </w:tcPr>
          <w:p w14:paraId="47619102" w14:textId="77777777" w:rsidR="004F64EF" w:rsidRPr="003003C0" w:rsidRDefault="004F64EF" w:rsidP="001F3C85">
            <w:pPr>
              <w:jc w:val="left"/>
              <w:rPr>
                <w:color w:val="000000"/>
                <w:sz w:val="15"/>
                <w:szCs w:val="15"/>
              </w:rPr>
            </w:pPr>
            <w:r w:rsidRPr="003003C0">
              <w:rPr>
                <w:color w:val="000000"/>
                <w:sz w:val="15"/>
                <w:szCs w:val="15"/>
              </w:rPr>
              <w:t>L</w:t>
            </w:r>
            <w:r>
              <w:rPr>
                <w:color w:val="000000"/>
                <w:sz w:val="15"/>
                <w:szCs w:val="15"/>
              </w:rPr>
              <w:t>aw</w:t>
            </w:r>
            <w:r w:rsidRPr="003003C0">
              <w:rPr>
                <w:color w:val="000000"/>
                <w:sz w:val="15"/>
                <w:szCs w:val="15"/>
              </w:rPr>
              <w:t xml:space="preserve"> N</w:t>
            </w:r>
            <w:r>
              <w:rPr>
                <w:color w:val="000000"/>
                <w:sz w:val="15"/>
                <w:szCs w:val="15"/>
              </w:rPr>
              <w:t xml:space="preserve">o. </w:t>
            </w:r>
            <w:r w:rsidRPr="003003C0">
              <w:rPr>
                <w:color w:val="000000"/>
                <w:sz w:val="15"/>
                <w:szCs w:val="15"/>
              </w:rPr>
              <w:t>4030-55</w:t>
            </w:r>
          </w:p>
        </w:tc>
        <w:tc>
          <w:tcPr>
            <w:tcW w:w="3823" w:type="pct"/>
          </w:tcPr>
          <w:p w14:paraId="0504CF13" w14:textId="77777777" w:rsidR="004F64EF" w:rsidRPr="003003C0" w:rsidRDefault="004F64EF" w:rsidP="001F3C85">
            <w:pPr>
              <w:jc w:val="left"/>
              <w:rPr>
                <w:color w:val="000000"/>
                <w:sz w:val="15"/>
                <w:szCs w:val="15"/>
              </w:rPr>
            </w:pPr>
            <w:r w:rsidRPr="00CC3EB5">
              <w:rPr>
                <w:color w:val="000000"/>
                <w:sz w:val="15"/>
                <w:szCs w:val="15"/>
              </w:rPr>
              <w:t xml:space="preserve">Law on Animal Health </w:t>
            </w:r>
            <w:r w:rsidRPr="003003C0">
              <w:rPr>
                <w:color w:val="000000"/>
                <w:sz w:val="15"/>
                <w:szCs w:val="15"/>
              </w:rPr>
              <w:t>(</w:t>
            </w:r>
            <w:r>
              <w:rPr>
                <w:color w:val="000000"/>
                <w:sz w:val="15"/>
                <w:szCs w:val="15"/>
              </w:rPr>
              <w:t>d</w:t>
            </w:r>
            <w:r w:rsidRPr="00CC3EB5">
              <w:rPr>
                <w:color w:val="000000"/>
                <w:sz w:val="15"/>
                <w:szCs w:val="15"/>
              </w:rPr>
              <w:t xml:space="preserve">eclares </w:t>
            </w:r>
            <w:r>
              <w:rPr>
                <w:color w:val="000000"/>
                <w:sz w:val="15"/>
                <w:szCs w:val="15"/>
              </w:rPr>
              <w:t xml:space="preserve">the </w:t>
            </w:r>
            <w:r w:rsidRPr="00CC3EB5">
              <w:rPr>
                <w:color w:val="000000"/>
                <w:sz w:val="15"/>
                <w:szCs w:val="15"/>
              </w:rPr>
              <w:t>sanitary protection of livestock to be a matter of public interest</w:t>
            </w:r>
            <w:r w:rsidRPr="003003C0">
              <w:rPr>
                <w:color w:val="000000"/>
                <w:sz w:val="15"/>
                <w:szCs w:val="15"/>
              </w:rPr>
              <w:t>)</w:t>
            </w:r>
            <w:r w:rsidRPr="003003C0">
              <w:rPr>
                <w:b/>
                <w:color w:val="FFFFFF"/>
                <w:sz w:val="15"/>
                <w:szCs w:val="15"/>
              </w:rPr>
              <w:t xml:space="preserve"> </w:t>
            </w:r>
          </w:p>
        </w:tc>
      </w:tr>
      <w:tr w:rsidR="004F64EF" w:rsidRPr="003003C0" w14:paraId="6F51E4EF" w14:textId="77777777" w:rsidTr="001F3C85">
        <w:trPr>
          <w:cnfStyle w:val="000000010000" w:firstRow="0" w:lastRow="0" w:firstColumn="0" w:lastColumn="0" w:oddVBand="0" w:evenVBand="0" w:oddHBand="0" w:evenHBand="1" w:firstRowFirstColumn="0" w:firstRowLastColumn="0" w:lastRowFirstColumn="0" w:lastRowLastColumn="0"/>
        </w:trPr>
        <w:tc>
          <w:tcPr>
            <w:tcW w:w="1177" w:type="pct"/>
          </w:tcPr>
          <w:p w14:paraId="2C7EE549" w14:textId="77777777" w:rsidR="004F64EF" w:rsidRPr="003003C0" w:rsidRDefault="004F64EF" w:rsidP="001F3C85">
            <w:pPr>
              <w:jc w:val="left"/>
              <w:rPr>
                <w:color w:val="000000"/>
                <w:sz w:val="15"/>
                <w:szCs w:val="15"/>
              </w:rPr>
            </w:pPr>
            <w:r w:rsidRPr="003003C0">
              <w:rPr>
                <w:color w:val="000000"/>
                <w:sz w:val="15"/>
                <w:szCs w:val="15"/>
              </w:rPr>
              <w:t>L</w:t>
            </w:r>
            <w:r>
              <w:rPr>
                <w:color w:val="000000"/>
                <w:sz w:val="15"/>
                <w:szCs w:val="15"/>
              </w:rPr>
              <w:t>aw</w:t>
            </w:r>
            <w:r w:rsidRPr="003003C0">
              <w:rPr>
                <w:color w:val="000000"/>
                <w:sz w:val="15"/>
                <w:szCs w:val="15"/>
              </w:rPr>
              <w:t xml:space="preserve"> N</w:t>
            </w:r>
            <w:r>
              <w:rPr>
                <w:color w:val="000000"/>
                <w:sz w:val="15"/>
                <w:szCs w:val="15"/>
              </w:rPr>
              <w:t>o.</w:t>
            </w:r>
            <w:r w:rsidRPr="003003C0">
              <w:rPr>
                <w:color w:val="000000"/>
                <w:sz w:val="15"/>
                <w:szCs w:val="15"/>
              </w:rPr>
              <w:t xml:space="preserve"> 62-74</w:t>
            </w:r>
          </w:p>
        </w:tc>
        <w:tc>
          <w:tcPr>
            <w:tcW w:w="3823" w:type="pct"/>
          </w:tcPr>
          <w:p w14:paraId="1B2ED945" w14:textId="77777777" w:rsidR="004F64EF" w:rsidRPr="003003C0" w:rsidRDefault="004F64EF" w:rsidP="001F3C85">
            <w:pPr>
              <w:jc w:val="left"/>
              <w:rPr>
                <w:color w:val="000000"/>
                <w:sz w:val="15"/>
                <w:szCs w:val="15"/>
              </w:rPr>
            </w:pPr>
            <w:r w:rsidRPr="00EC0A4B">
              <w:rPr>
                <w:color w:val="000000"/>
                <w:sz w:val="15"/>
                <w:szCs w:val="15"/>
              </w:rPr>
              <w:t xml:space="preserve">Law regulating the export of </w:t>
            </w:r>
            <w:r>
              <w:rPr>
                <w:color w:val="000000"/>
                <w:sz w:val="15"/>
                <w:szCs w:val="15"/>
              </w:rPr>
              <w:t xml:space="preserve">bee's </w:t>
            </w:r>
            <w:r w:rsidRPr="00EC0A4B">
              <w:rPr>
                <w:color w:val="000000"/>
                <w:sz w:val="15"/>
                <w:szCs w:val="15"/>
              </w:rPr>
              <w:t>honey and wax</w:t>
            </w:r>
            <w:r>
              <w:rPr>
                <w:color w:val="000000"/>
                <w:sz w:val="15"/>
                <w:szCs w:val="15"/>
              </w:rPr>
              <w:t>, imports</w:t>
            </w:r>
            <w:r w:rsidRPr="00EC0A4B">
              <w:rPr>
                <w:color w:val="000000"/>
                <w:sz w:val="15"/>
                <w:szCs w:val="15"/>
              </w:rPr>
              <w:t xml:space="preserve"> and </w:t>
            </w:r>
            <w:r>
              <w:rPr>
                <w:color w:val="000000"/>
                <w:sz w:val="15"/>
                <w:szCs w:val="15"/>
              </w:rPr>
              <w:t>equipment</w:t>
            </w:r>
          </w:p>
        </w:tc>
      </w:tr>
      <w:tr w:rsidR="004F64EF" w:rsidRPr="003003C0" w14:paraId="2A787FA8" w14:textId="77777777" w:rsidTr="001F3C85">
        <w:tc>
          <w:tcPr>
            <w:tcW w:w="1177" w:type="pct"/>
          </w:tcPr>
          <w:p w14:paraId="33C89FDC" w14:textId="77777777" w:rsidR="004F64EF" w:rsidRPr="003003C0" w:rsidRDefault="004F64EF" w:rsidP="001F3C85">
            <w:pPr>
              <w:jc w:val="left"/>
              <w:rPr>
                <w:color w:val="000000"/>
                <w:sz w:val="15"/>
                <w:szCs w:val="15"/>
              </w:rPr>
            </w:pPr>
            <w:r w:rsidRPr="003003C0">
              <w:rPr>
                <w:color w:val="000000"/>
                <w:sz w:val="15"/>
                <w:szCs w:val="15"/>
              </w:rPr>
              <w:t>Decre</w:t>
            </w:r>
            <w:r>
              <w:rPr>
                <w:color w:val="000000"/>
                <w:sz w:val="15"/>
                <w:szCs w:val="15"/>
              </w:rPr>
              <w:t>e</w:t>
            </w:r>
            <w:r w:rsidRPr="003003C0">
              <w:rPr>
                <w:color w:val="000000"/>
                <w:sz w:val="15"/>
                <w:szCs w:val="15"/>
              </w:rPr>
              <w:t xml:space="preserve"> N</w:t>
            </w:r>
            <w:r>
              <w:rPr>
                <w:color w:val="000000"/>
                <w:sz w:val="15"/>
                <w:szCs w:val="15"/>
              </w:rPr>
              <w:t xml:space="preserve">o. </w:t>
            </w:r>
            <w:r w:rsidRPr="003003C0">
              <w:rPr>
                <w:color w:val="000000"/>
                <w:sz w:val="15"/>
                <w:szCs w:val="15"/>
              </w:rPr>
              <w:t>6775-50</w:t>
            </w:r>
          </w:p>
        </w:tc>
        <w:tc>
          <w:tcPr>
            <w:tcW w:w="3823" w:type="pct"/>
          </w:tcPr>
          <w:p w14:paraId="32A9784A" w14:textId="77777777" w:rsidR="004F64EF" w:rsidRPr="003003C0" w:rsidRDefault="004F64EF" w:rsidP="001F3C85">
            <w:pPr>
              <w:jc w:val="left"/>
              <w:rPr>
                <w:color w:val="000000"/>
                <w:sz w:val="15"/>
                <w:szCs w:val="15"/>
              </w:rPr>
            </w:pPr>
            <w:r w:rsidRPr="001376CF">
              <w:rPr>
                <w:color w:val="000000"/>
                <w:sz w:val="15"/>
                <w:szCs w:val="15"/>
              </w:rPr>
              <w:t>Decree issuing measures to prevent the introduction of foot-and-mouth disease and rinderpest into the country</w:t>
            </w:r>
          </w:p>
        </w:tc>
      </w:tr>
      <w:tr w:rsidR="004F64EF" w:rsidRPr="003003C0" w14:paraId="22C186AE" w14:textId="77777777" w:rsidTr="001F3C85">
        <w:trPr>
          <w:cnfStyle w:val="000000010000" w:firstRow="0" w:lastRow="0" w:firstColumn="0" w:lastColumn="0" w:oddVBand="0" w:evenVBand="0" w:oddHBand="0" w:evenHBand="1" w:firstRowFirstColumn="0" w:firstRowLastColumn="0" w:lastRowFirstColumn="0" w:lastRowLastColumn="0"/>
        </w:trPr>
        <w:tc>
          <w:tcPr>
            <w:tcW w:w="1177" w:type="pct"/>
          </w:tcPr>
          <w:p w14:paraId="6BC62286" w14:textId="77777777" w:rsidR="004F64EF" w:rsidRPr="003003C0" w:rsidRDefault="004F64EF" w:rsidP="001F3C85">
            <w:pPr>
              <w:jc w:val="left"/>
              <w:rPr>
                <w:sz w:val="15"/>
                <w:szCs w:val="15"/>
              </w:rPr>
            </w:pPr>
            <w:r w:rsidRPr="003003C0">
              <w:rPr>
                <w:color w:val="000000"/>
                <w:sz w:val="15"/>
                <w:szCs w:val="15"/>
              </w:rPr>
              <w:t>Decre</w:t>
            </w:r>
            <w:r>
              <w:rPr>
                <w:color w:val="000000"/>
                <w:sz w:val="15"/>
                <w:szCs w:val="15"/>
              </w:rPr>
              <w:t xml:space="preserve">e No. </w:t>
            </w:r>
            <w:r w:rsidRPr="003003C0">
              <w:rPr>
                <w:color w:val="000000"/>
                <w:sz w:val="15"/>
                <w:szCs w:val="15"/>
              </w:rPr>
              <w:t>521</w:t>
            </w:r>
            <w:r w:rsidRPr="003003C0">
              <w:rPr>
                <w:color w:val="000000"/>
                <w:sz w:val="15"/>
                <w:szCs w:val="15"/>
              </w:rPr>
              <w:noBreakHyphen/>
              <w:t>06</w:t>
            </w:r>
          </w:p>
        </w:tc>
        <w:tc>
          <w:tcPr>
            <w:tcW w:w="3823" w:type="pct"/>
          </w:tcPr>
          <w:p w14:paraId="2B276E5C" w14:textId="77777777" w:rsidR="004F64EF" w:rsidRPr="003003C0" w:rsidRDefault="004F64EF" w:rsidP="001F3C85">
            <w:pPr>
              <w:jc w:val="left"/>
              <w:rPr>
                <w:sz w:val="15"/>
                <w:szCs w:val="15"/>
              </w:rPr>
            </w:pPr>
            <w:r w:rsidRPr="001376CF">
              <w:rPr>
                <w:rFonts w:cs="Arial"/>
                <w:sz w:val="15"/>
                <w:szCs w:val="15"/>
              </w:rPr>
              <w:t xml:space="preserve">Regulations </w:t>
            </w:r>
            <w:r>
              <w:rPr>
                <w:rFonts w:cs="Arial"/>
                <w:sz w:val="15"/>
                <w:szCs w:val="15"/>
              </w:rPr>
              <w:t>g</w:t>
            </w:r>
            <w:r w:rsidRPr="001376CF">
              <w:rPr>
                <w:rFonts w:cs="Arial"/>
                <w:sz w:val="15"/>
                <w:szCs w:val="15"/>
              </w:rPr>
              <w:t xml:space="preserve">overning the </w:t>
            </w:r>
            <w:r>
              <w:rPr>
                <w:rFonts w:cs="Arial"/>
                <w:sz w:val="15"/>
                <w:szCs w:val="15"/>
              </w:rPr>
              <w:t>r</w:t>
            </w:r>
            <w:r w:rsidRPr="001376CF">
              <w:rPr>
                <w:rFonts w:cs="Arial"/>
                <w:sz w:val="15"/>
                <w:szCs w:val="15"/>
              </w:rPr>
              <w:t xml:space="preserve">egistration of </w:t>
            </w:r>
            <w:r>
              <w:rPr>
                <w:rFonts w:cs="Arial"/>
                <w:sz w:val="15"/>
                <w:szCs w:val="15"/>
              </w:rPr>
              <w:t>v</w:t>
            </w:r>
            <w:r w:rsidRPr="001376CF">
              <w:rPr>
                <w:rFonts w:cs="Arial"/>
                <w:sz w:val="15"/>
                <w:szCs w:val="15"/>
              </w:rPr>
              <w:t xml:space="preserve">eterinary </w:t>
            </w:r>
            <w:r>
              <w:rPr>
                <w:rFonts w:cs="Arial"/>
                <w:sz w:val="15"/>
                <w:szCs w:val="15"/>
              </w:rPr>
              <w:t>e</w:t>
            </w:r>
            <w:r w:rsidRPr="001376CF">
              <w:rPr>
                <w:rFonts w:cs="Arial"/>
                <w:sz w:val="15"/>
                <w:szCs w:val="15"/>
              </w:rPr>
              <w:t xml:space="preserve">stablishments and </w:t>
            </w:r>
            <w:r>
              <w:rPr>
                <w:rFonts w:cs="Arial"/>
                <w:sz w:val="15"/>
                <w:szCs w:val="15"/>
              </w:rPr>
              <w:t>m</w:t>
            </w:r>
            <w:r w:rsidRPr="001376CF">
              <w:rPr>
                <w:rFonts w:cs="Arial"/>
                <w:sz w:val="15"/>
                <w:szCs w:val="15"/>
              </w:rPr>
              <w:t>edicines</w:t>
            </w:r>
          </w:p>
        </w:tc>
      </w:tr>
      <w:tr w:rsidR="004F64EF" w:rsidRPr="003003C0" w14:paraId="07FCDFB4" w14:textId="77777777" w:rsidTr="001F3C85">
        <w:tc>
          <w:tcPr>
            <w:tcW w:w="1177" w:type="pct"/>
          </w:tcPr>
          <w:p w14:paraId="75589115" w14:textId="77777777" w:rsidR="004F64EF" w:rsidRPr="003003C0" w:rsidRDefault="004F64EF" w:rsidP="001F3C85">
            <w:pPr>
              <w:jc w:val="left"/>
              <w:rPr>
                <w:sz w:val="15"/>
                <w:szCs w:val="15"/>
              </w:rPr>
            </w:pPr>
            <w:r w:rsidRPr="003003C0">
              <w:rPr>
                <w:color w:val="000000"/>
                <w:sz w:val="15"/>
                <w:szCs w:val="15"/>
              </w:rPr>
              <w:t>L</w:t>
            </w:r>
            <w:r>
              <w:rPr>
                <w:color w:val="000000"/>
                <w:sz w:val="15"/>
                <w:szCs w:val="15"/>
              </w:rPr>
              <w:t xml:space="preserve">aw No. </w:t>
            </w:r>
            <w:r w:rsidRPr="003003C0">
              <w:rPr>
                <w:color w:val="000000"/>
                <w:sz w:val="15"/>
                <w:szCs w:val="15"/>
              </w:rPr>
              <w:t>259-71</w:t>
            </w:r>
          </w:p>
        </w:tc>
        <w:tc>
          <w:tcPr>
            <w:tcW w:w="3823" w:type="pct"/>
          </w:tcPr>
          <w:p w14:paraId="61C2C498" w14:textId="77777777" w:rsidR="004F64EF" w:rsidRPr="003003C0" w:rsidRDefault="004F64EF" w:rsidP="001F3C85">
            <w:pPr>
              <w:jc w:val="left"/>
              <w:rPr>
                <w:sz w:val="15"/>
                <w:szCs w:val="15"/>
              </w:rPr>
            </w:pPr>
            <w:r w:rsidRPr="001376CF">
              <w:rPr>
                <w:rFonts w:cs="Arial"/>
                <w:sz w:val="15"/>
                <w:szCs w:val="15"/>
              </w:rPr>
              <w:t>Law regulating the production, quality and marketing of animal feed</w:t>
            </w:r>
          </w:p>
        </w:tc>
      </w:tr>
      <w:tr w:rsidR="004F64EF" w:rsidRPr="003003C0" w14:paraId="284299B0" w14:textId="77777777" w:rsidTr="001F3C85">
        <w:trPr>
          <w:cnfStyle w:val="000000010000" w:firstRow="0" w:lastRow="0" w:firstColumn="0" w:lastColumn="0" w:oddVBand="0" w:evenVBand="0" w:oddHBand="0" w:evenHBand="1" w:firstRowFirstColumn="0" w:firstRowLastColumn="0" w:lastRowFirstColumn="0" w:lastRowLastColumn="0"/>
        </w:trPr>
        <w:tc>
          <w:tcPr>
            <w:tcW w:w="1177" w:type="pct"/>
          </w:tcPr>
          <w:p w14:paraId="0B1E9FC3" w14:textId="77777777" w:rsidR="004F64EF" w:rsidRPr="003003C0" w:rsidRDefault="004F64EF" w:rsidP="001F3C85">
            <w:pPr>
              <w:jc w:val="left"/>
              <w:rPr>
                <w:sz w:val="15"/>
                <w:szCs w:val="15"/>
              </w:rPr>
            </w:pPr>
            <w:r w:rsidRPr="003003C0">
              <w:rPr>
                <w:color w:val="000000"/>
                <w:sz w:val="15"/>
                <w:szCs w:val="15"/>
              </w:rPr>
              <w:t>Decre</w:t>
            </w:r>
            <w:r>
              <w:rPr>
                <w:color w:val="000000"/>
                <w:sz w:val="15"/>
                <w:szCs w:val="15"/>
              </w:rPr>
              <w:t>e</w:t>
            </w:r>
            <w:r w:rsidRPr="003003C0">
              <w:rPr>
                <w:color w:val="000000"/>
                <w:sz w:val="15"/>
                <w:szCs w:val="15"/>
              </w:rPr>
              <w:t xml:space="preserve"> </w:t>
            </w:r>
            <w:r w:rsidRPr="003003C0">
              <w:rPr>
                <w:bCs/>
                <w:sz w:val="15"/>
                <w:szCs w:val="15"/>
              </w:rPr>
              <w:t>N</w:t>
            </w:r>
            <w:r>
              <w:rPr>
                <w:bCs/>
                <w:sz w:val="15"/>
                <w:szCs w:val="15"/>
              </w:rPr>
              <w:t xml:space="preserve">o. </w:t>
            </w:r>
            <w:r w:rsidRPr="003003C0">
              <w:rPr>
                <w:color w:val="000000"/>
                <w:sz w:val="15"/>
                <w:szCs w:val="15"/>
              </w:rPr>
              <w:t>329-11</w:t>
            </w:r>
          </w:p>
        </w:tc>
        <w:tc>
          <w:tcPr>
            <w:tcW w:w="3823" w:type="pct"/>
          </w:tcPr>
          <w:p w14:paraId="30E3A520" w14:textId="77777777" w:rsidR="004F64EF" w:rsidRPr="003003C0" w:rsidRDefault="004F64EF" w:rsidP="001F3C85">
            <w:pPr>
              <w:jc w:val="left"/>
              <w:rPr>
                <w:sz w:val="15"/>
                <w:szCs w:val="15"/>
              </w:rPr>
            </w:pPr>
            <w:r w:rsidRPr="001376CF">
              <w:rPr>
                <w:color w:val="000000"/>
                <w:sz w:val="15"/>
                <w:szCs w:val="15"/>
              </w:rPr>
              <w:t xml:space="preserve">Regulations </w:t>
            </w:r>
            <w:r>
              <w:rPr>
                <w:color w:val="000000"/>
                <w:sz w:val="15"/>
                <w:szCs w:val="15"/>
              </w:rPr>
              <w:t>governing</w:t>
            </w:r>
            <w:r w:rsidRPr="001376CF">
              <w:rPr>
                <w:color w:val="000000"/>
                <w:sz w:val="15"/>
                <w:szCs w:val="15"/>
              </w:rPr>
              <w:t xml:space="preserve"> </w:t>
            </w:r>
            <w:r>
              <w:rPr>
                <w:color w:val="000000"/>
                <w:sz w:val="15"/>
                <w:szCs w:val="15"/>
              </w:rPr>
              <w:t xml:space="preserve">the </w:t>
            </w:r>
            <w:r w:rsidRPr="001376CF">
              <w:rPr>
                <w:color w:val="000000"/>
                <w:sz w:val="15"/>
                <w:szCs w:val="15"/>
              </w:rPr>
              <w:t>sanitary inspection of meat and meat products for export</w:t>
            </w:r>
          </w:p>
        </w:tc>
      </w:tr>
      <w:tr w:rsidR="004F64EF" w:rsidRPr="003003C0" w14:paraId="4AED9CA5" w14:textId="77777777" w:rsidTr="001F3C85">
        <w:tc>
          <w:tcPr>
            <w:tcW w:w="1177" w:type="pct"/>
          </w:tcPr>
          <w:p w14:paraId="1E0EBF58" w14:textId="77777777" w:rsidR="004F64EF" w:rsidRPr="003003C0" w:rsidRDefault="004F64EF" w:rsidP="001F3C85">
            <w:pPr>
              <w:jc w:val="left"/>
              <w:rPr>
                <w:sz w:val="15"/>
                <w:szCs w:val="15"/>
              </w:rPr>
            </w:pPr>
            <w:r w:rsidRPr="003003C0">
              <w:rPr>
                <w:color w:val="000000"/>
                <w:sz w:val="15"/>
                <w:szCs w:val="15"/>
              </w:rPr>
              <w:t>Decre</w:t>
            </w:r>
            <w:r>
              <w:rPr>
                <w:color w:val="000000"/>
                <w:sz w:val="15"/>
                <w:szCs w:val="15"/>
              </w:rPr>
              <w:t>e</w:t>
            </w:r>
            <w:r w:rsidRPr="003003C0">
              <w:rPr>
                <w:color w:val="000000"/>
                <w:sz w:val="15"/>
                <w:szCs w:val="15"/>
              </w:rPr>
              <w:t xml:space="preserve"> </w:t>
            </w:r>
            <w:r w:rsidRPr="003003C0">
              <w:rPr>
                <w:bCs/>
                <w:sz w:val="15"/>
                <w:szCs w:val="15"/>
              </w:rPr>
              <w:t>N</w:t>
            </w:r>
            <w:r>
              <w:rPr>
                <w:bCs/>
                <w:sz w:val="15"/>
                <w:szCs w:val="15"/>
              </w:rPr>
              <w:t xml:space="preserve">o. </w:t>
            </w:r>
            <w:r w:rsidRPr="003003C0">
              <w:rPr>
                <w:color w:val="000000"/>
                <w:sz w:val="15"/>
                <w:szCs w:val="15"/>
              </w:rPr>
              <w:t>52-08</w:t>
            </w:r>
          </w:p>
        </w:tc>
        <w:tc>
          <w:tcPr>
            <w:tcW w:w="3823" w:type="pct"/>
          </w:tcPr>
          <w:p w14:paraId="36CF549B" w14:textId="77777777" w:rsidR="004F64EF" w:rsidRPr="003003C0" w:rsidRDefault="004F64EF" w:rsidP="001F3C85">
            <w:pPr>
              <w:jc w:val="left"/>
              <w:rPr>
                <w:sz w:val="15"/>
                <w:szCs w:val="15"/>
              </w:rPr>
            </w:pPr>
            <w:r w:rsidRPr="00B80D20">
              <w:rPr>
                <w:color w:val="000000"/>
                <w:sz w:val="15"/>
                <w:szCs w:val="15"/>
              </w:rPr>
              <w:t xml:space="preserve">Regulations for the general implementation of basic rules </w:t>
            </w:r>
            <w:r>
              <w:rPr>
                <w:color w:val="000000"/>
                <w:sz w:val="15"/>
                <w:szCs w:val="15"/>
              </w:rPr>
              <w:t>concerning</w:t>
            </w:r>
            <w:r w:rsidRPr="00B80D20">
              <w:rPr>
                <w:color w:val="000000"/>
                <w:sz w:val="15"/>
                <w:szCs w:val="15"/>
              </w:rPr>
              <w:t xml:space="preserve"> good agricultural practices (GAP) and good animal husbandry practices (</w:t>
            </w:r>
            <w:proofErr w:type="spellStart"/>
            <w:r w:rsidRPr="00B80D20">
              <w:rPr>
                <w:color w:val="000000"/>
                <w:sz w:val="15"/>
                <w:szCs w:val="15"/>
              </w:rPr>
              <w:t>GAHP</w:t>
            </w:r>
            <w:proofErr w:type="spellEnd"/>
            <w:r w:rsidRPr="00B80D20">
              <w:rPr>
                <w:color w:val="000000"/>
                <w:sz w:val="15"/>
                <w:szCs w:val="15"/>
              </w:rPr>
              <w:t>)</w:t>
            </w:r>
          </w:p>
        </w:tc>
      </w:tr>
      <w:tr w:rsidR="004F64EF" w:rsidRPr="003003C0" w14:paraId="60E3B082" w14:textId="77777777" w:rsidTr="001F3C85">
        <w:trPr>
          <w:cnfStyle w:val="000000010000" w:firstRow="0" w:lastRow="0" w:firstColumn="0" w:lastColumn="0" w:oddVBand="0" w:evenVBand="0" w:oddHBand="0" w:evenHBand="1" w:firstRowFirstColumn="0" w:firstRowLastColumn="0" w:lastRowFirstColumn="0" w:lastRowLastColumn="0"/>
        </w:trPr>
        <w:tc>
          <w:tcPr>
            <w:tcW w:w="1177" w:type="pct"/>
          </w:tcPr>
          <w:p w14:paraId="189F33B8" w14:textId="77777777" w:rsidR="004F64EF" w:rsidRPr="003003C0" w:rsidRDefault="004F64EF" w:rsidP="001F3C85">
            <w:pPr>
              <w:jc w:val="left"/>
              <w:rPr>
                <w:sz w:val="15"/>
                <w:szCs w:val="15"/>
              </w:rPr>
            </w:pPr>
            <w:r w:rsidRPr="003003C0">
              <w:rPr>
                <w:sz w:val="15"/>
                <w:szCs w:val="15"/>
              </w:rPr>
              <w:t>Decre</w:t>
            </w:r>
            <w:r>
              <w:rPr>
                <w:sz w:val="15"/>
                <w:szCs w:val="15"/>
              </w:rPr>
              <w:t>e</w:t>
            </w:r>
            <w:r w:rsidRPr="003003C0">
              <w:rPr>
                <w:sz w:val="15"/>
                <w:szCs w:val="15"/>
              </w:rPr>
              <w:t xml:space="preserve"> N</w:t>
            </w:r>
            <w:r>
              <w:rPr>
                <w:sz w:val="15"/>
                <w:szCs w:val="15"/>
              </w:rPr>
              <w:t>o.</w:t>
            </w:r>
            <w:r w:rsidRPr="003003C0">
              <w:rPr>
                <w:sz w:val="15"/>
                <w:szCs w:val="15"/>
              </w:rPr>
              <w:t xml:space="preserve"> 354-10</w:t>
            </w:r>
          </w:p>
        </w:tc>
        <w:tc>
          <w:tcPr>
            <w:tcW w:w="3823" w:type="pct"/>
          </w:tcPr>
          <w:p w14:paraId="2E8FE227" w14:textId="77777777" w:rsidR="004F64EF" w:rsidRPr="003003C0" w:rsidRDefault="004F64EF" w:rsidP="001F3C85">
            <w:pPr>
              <w:jc w:val="left"/>
              <w:rPr>
                <w:sz w:val="15"/>
                <w:szCs w:val="15"/>
              </w:rPr>
            </w:pPr>
            <w:r w:rsidRPr="003003C0">
              <w:rPr>
                <w:spacing w:val="-1"/>
                <w:sz w:val="15"/>
                <w:szCs w:val="15"/>
              </w:rPr>
              <w:t>Resid</w:t>
            </w:r>
            <w:r>
              <w:rPr>
                <w:spacing w:val="-1"/>
                <w:sz w:val="15"/>
                <w:szCs w:val="15"/>
              </w:rPr>
              <w:t>ues of</w:t>
            </w:r>
            <w:r w:rsidRPr="003003C0">
              <w:rPr>
                <w:spacing w:val="-1"/>
                <w:sz w:val="15"/>
                <w:szCs w:val="15"/>
              </w:rPr>
              <w:t xml:space="preserve"> </w:t>
            </w:r>
            <w:r w:rsidRPr="00B80D20">
              <w:rPr>
                <w:spacing w:val="-1"/>
                <w:sz w:val="15"/>
                <w:szCs w:val="15"/>
              </w:rPr>
              <w:t>veterinary drugs and similar products in food of animal origin</w:t>
            </w:r>
          </w:p>
        </w:tc>
      </w:tr>
      <w:tr w:rsidR="004F64EF" w:rsidRPr="003003C0" w14:paraId="3540CD3A" w14:textId="77777777" w:rsidTr="001F3C85">
        <w:tc>
          <w:tcPr>
            <w:tcW w:w="1177" w:type="pct"/>
          </w:tcPr>
          <w:p w14:paraId="19F749DD" w14:textId="77777777" w:rsidR="004F64EF" w:rsidRPr="003003C0" w:rsidRDefault="004F64EF" w:rsidP="001F3C85">
            <w:pPr>
              <w:jc w:val="left"/>
              <w:rPr>
                <w:sz w:val="15"/>
                <w:szCs w:val="15"/>
              </w:rPr>
            </w:pPr>
            <w:r w:rsidRPr="003003C0">
              <w:rPr>
                <w:sz w:val="15"/>
                <w:szCs w:val="15"/>
              </w:rPr>
              <w:t>Decre</w:t>
            </w:r>
            <w:r>
              <w:rPr>
                <w:sz w:val="15"/>
                <w:szCs w:val="15"/>
              </w:rPr>
              <w:t>e</w:t>
            </w:r>
            <w:r w:rsidRPr="003003C0">
              <w:rPr>
                <w:sz w:val="15"/>
                <w:szCs w:val="15"/>
              </w:rPr>
              <w:t xml:space="preserve"> N</w:t>
            </w:r>
            <w:r>
              <w:rPr>
                <w:sz w:val="15"/>
                <w:szCs w:val="15"/>
              </w:rPr>
              <w:t xml:space="preserve">o. </w:t>
            </w:r>
            <w:r w:rsidRPr="003003C0">
              <w:rPr>
                <w:sz w:val="15"/>
                <w:szCs w:val="15"/>
              </w:rPr>
              <w:t>51-08</w:t>
            </w:r>
          </w:p>
        </w:tc>
        <w:tc>
          <w:tcPr>
            <w:tcW w:w="3823" w:type="pct"/>
          </w:tcPr>
          <w:p w14:paraId="3ED96692" w14:textId="77777777" w:rsidR="004F64EF" w:rsidRPr="003003C0" w:rsidRDefault="004F64EF" w:rsidP="001F3C85">
            <w:pPr>
              <w:jc w:val="left"/>
              <w:rPr>
                <w:sz w:val="15"/>
                <w:szCs w:val="15"/>
              </w:rPr>
            </w:pPr>
            <w:r w:rsidRPr="00B80D20">
              <w:rPr>
                <w:sz w:val="15"/>
                <w:szCs w:val="15"/>
              </w:rPr>
              <w:t>Establishes the National Livestock Committee</w:t>
            </w:r>
          </w:p>
        </w:tc>
      </w:tr>
      <w:tr w:rsidR="004F64EF" w:rsidRPr="003003C0" w14:paraId="5A1E1BC1" w14:textId="77777777" w:rsidTr="001F3C85">
        <w:trPr>
          <w:cnfStyle w:val="000000010000" w:firstRow="0" w:lastRow="0" w:firstColumn="0" w:lastColumn="0" w:oddVBand="0" w:evenVBand="0" w:oddHBand="0" w:evenHBand="1" w:firstRowFirstColumn="0" w:firstRowLastColumn="0" w:lastRowFirstColumn="0" w:lastRowLastColumn="0"/>
        </w:trPr>
        <w:tc>
          <w:tcPr>
            <w:tcW w:w="1177" w:type="pct"/>
          </w:tcPr>
          <w:p w14:paraId="120DE9EA" w14:textId="77777777" w:rsidR="004F64EF" w:rsidRPr="003003C0" w:rsidRDefault="004F64EF" w:rsidP="001F3C85">
            <w:pPr>
              <w:jc w:val="left"/>
              <w:rPr>
                <w:sz w:val="15"/>
                <w:szCs w:val="15"/>
              </w:rPr>
            </w:pPr>
            <w:r w:rsidRPr="003003C0">
              <w:rPr>
                <w:sz w:val="15"/>
                <w:szCs w:val="15"/>
              </w:rPr>
              <w:t>Resolu</w:t>
            </w:r>
            <w:r>
              <w:rPr>
                <w:sz w:val="15"/>
                <w:szCs w:val="15"/>
              </w:rPr>
              <w:t>tion</w:t>
            </w:r>
            <w:r w:rsidRPr="003003C0">
              <w:rPr>
                <w:sz w:val="15"/>
                <w:szCs w:val="15"/>
              </w:rPr>
              <w:t xml:space="preserve"> N</w:t>
            </w:r>
            <w:r>
              <w:rPr>
                <w:sz w:val="15"/>
                <w:szCs w:val="15"/>
              </w:rPr>
              <w:t>o.</w:t>
            </w:r>
            <w:r w:rsidRPr="003003C0">
              <w:rPr>
                <w:sz w:val="15"/>
                <w:szCs w:val="15"/>
              </w:rPr>
              <w:t xml:space="preserve"> 29-13</w:t>
            </w:r>
          </w:p>
        </w:tc>
        <w:tc>
          <w:tcPr>
            <w:tcW w:w="3823" w:type="pct"/>
          </w:tcPr>
          <w:p w14:paraId="3AD36031" w14:textId="77777777" w:rsidR="004F64EF" w:rsidRPr="003003C0" w:rsidRDefault="004F64EF" w:rsidP="001F3C85">
            <w:pPr>
              <w:jc w:val="left"/>
              <w:rPr>
                <w:sz w:val="15"/>
                <w:szCs w:val="15"/>
              </w:rPr>
            </w:pPr>
            <w:r>
              <w:rPr>
                <w:sz w:val="15"/>
                <w:szCs w:val="15"/>
              </w:rPr>
              <w:t>Establishes the Executive Commission for Avian Influenza Surveillance and Newcastle Disease Control</w:t>
            </w:r>
          </w:p>
        </w:tc>
      </w:tr>
      <w:tr w:rsidR="004F64EF" w:rsidRPr="003003C0" w14:paraId="0DF5FF2E" w14:textId="77777777" w:rsidTr="001F3C85">
        <w:tc>
          <w:tcPr>
            <w:tcW w:w="1177" w:type="pct"/>
          </w:tcPr>
          <w:p w14:paraId="501BA0CA" w14:textId="77777777" w:rsidR="004F64EF" w:rsidRPr="003003C0" w:rsidRDefault="004F64EF" w:rsidP="001F3C85">
            <w:pPr>
              <w:jc w:val="left"/>
              <w:rPr>
                <w:sz w:val="15"/>
                <w:szCs w:val="15"/>
              </w:rPr>
            </w:pPr>
            <w:r w:rsidRPr="003003C0">
              <w:rPr>
                <w:sz w:val="15"/>
                <w:szCs w:val="15"/>
              </w:rPr>
              <w:t>Resolu</w:t>
            </w:r>
            <w:r>
              <w:rPr>
                <w:sz w:val="15"/>
                <w:szCs w:val="15"/>
              </w:rPr>
              <w:t>tion</w:t>
            </w:r>
            <w:r w:rsidRPr="003003C0">
              <w:rPr>
                <w:sz w:val="15"/>
                <w:szCs w:val="15"/>
              </w:rPr>
              <w:t xml:space="preserve"> N</w:t>
            </w:r>
            <w:r>
              <w:rPr>
                <w:sz w:val="15"/>
                <w:szCs w:val="15"/>
              </w:rPr>
              <w:t>o.</w:t>
            </w:r>
            <w:r w:rsidRPr="003003C0">
              <w:rPr>
                <w:sz w:val="15"/>
                <w:szCs w:val="15"/>
              </w:rPr>
              <w:t xml:space="preserve"> 82-13</w:t>
            </w:r>
          </w:p>
        </w:tc>
        <w:tc>
          <w:tcPr>
            <w:tcW w:w="3823" w:type="pct"/>
          </w:tcPr>
          <w:p w14:paraId="4EF451E1" w14:textId="77777777" w:rsidR="004F64EF" w:rsidRPr="003003C0" w:rsidRDefault="004F64EF" w:rsidP="001F3C85">
            <w:pPr>
              <w:jc w:val="left"/>
              <w:rPr>
                <w:sz w:val="15"/>
                <w:szCs w:val="15"/>
              </w:rPr>
            </w:pPr>
            <w:r w:rsidRPr="00F30D31">
              <w:rPr>
                <w:sz w:val="15"/>
                <w:szCs w:val="15"/>
              </w:rPr>
              <w:t>Establishes the National Livestock Traceability System of the Dominican Republic (</w:t>
            </w:r>
            <w:proofErr w:type="spellStart"/>
            <w:r w:rsidRPr="00F30D31">
              <w:rPr>
                <w:sz w:val="15"/>
                <w:szCs w:val="15"/>
              </w:rPr>
              <w:t>SINAT</w:t>
            </w:r>
            <w:proofErr w:type="spellEnd"/>
            <w:r w:rsidRPr="00F30D31">
              <w:rPr>
                <w:sz w:val="15"/>
                <w:szCs w:val="15"/>
              </w:rPr>
              <w:t>-DO)</w:t>
            </w:r>
          </w:p>
        </w:tc>
      </w:tr>
      <w:tr w:rsidR="004F64EF" w:rsidRPr="003003C0" w14:paraId="293D561D" w14:textId="77777777" w:rsidTr="001F3C85">
        <w:trPr>
          <w:cnfStyle w:val="000000010000" w:firstRow="0" w:lastRow="0" w:firstColumn="0" w:lastColumn="0" w:oddVBand="0" w:evenVBand="0" w:oddHBand="0" w:evenHBand="1" w:firstRowFirstColumn="0" w:firstRowLastColumn="0" w:lastRowFirstColumn="0" w:lastRowLastColumn="0"/>
        </w:trPr>
        <w:tc>
          <w:tcPr>
            <w:tcW w:w="1177" w:type="pct"/>
          </w:tcPr>
          <w:p w14:paraId="314B4467" w14:textId="77777777" w:rsidR="004F64EF" w:rsidRPr="003003C0" w:rsidRDefault="004F64EF" w:rsidP="001F3C85">
            <w:pPr>
              <w:jc w:val="left"/>
              <w:rPr>
                <w:sz w:val="15"/>
                <w:szCs w:val="15"/>
              </w:rPr>
            </w:pPr>
            <w:r w:rsidRPr="003003C0">
              <w:rPr>
                <w:sz w:val="15"/>
                <w:szCs w:val="15"/>
              </w:rPr>
              <w:t>Decre</w:t>
            </w:r>
            <w:r>
              <w:rPr>
                <w:sz w:val="15"/>
                <w:szCs w:val="15"/>
              </w:rPr>
              <w:t>e</w:t>
            </w:r>
            <w:r w:rsidRPr="003003C0">
              <w:rPr>
                <w:sz w:val="15"/>
                <w:szCs w:val="15"/>
              </w:rPr>
              <w:t xml:space="preserve"> N</w:t>
            </w:r>
            <w:r>
              <w:rPr>
                <w:sz w:val="15"/>
                <w:szCs w:val="15"/>
              </w:rPr>
              <w:t>o.</w:t>
            </w:r>
            <w:r w:rsidRPr="003003C0">
              <w:rPr>
                <w:sz w:val="15"/>
                <w:szCs w:val="15"/>
              </w:rPr>
              <w:t xml:space="preserve"> 174-08</w:t>
            </w:r>
          </w:p>
        </w:tc>
        <w:tc>
          <w:tcPr>
            <w:tcW w:w="3823" w:type="pct"/>
          </w:tcPr>
          <w:p w14:paraId="2F8C0234" w14:textId="77777777" w:rsidR="004F64EF" w:rsidRPr="003003C0" w:rsidRDefault="004F64EF" w:rsidP="001F3C85">
            <w:pPr>
              <w:jc w:val="left"/>
              <w:rPr>
                <w:sz w:val="15"/>
                <w:szCs w:val="15"/>
              </w:rPr>
            </w:pPr>
            <w:r w:rsidRPr="00F30D31">
              <w:rPr>
                <w:sz w:val="15"/>
                <w:szCs w:val="15"/>
              </w:rPr>
              <w:t xml:space="preserve">Strengthening of </w:t>
            </w:r>
            <w:r>
              <w:rPr>
                <w:sz w:val="15"/>
                <w:szCs w:val="15"/>
              </w:rPr>
              <w:t xml:space="preserve">the </w:t>
            </w:r>
            <w:r w:rsidRPr="00F30D31">
              <w:rPr>
                <w:sz w:val="15"/>
                <w:szCs w:val="15"/>
              </w:rPr>
              <w:t>prevention, control and eradication of exotic diseases in domestic animals</w:t>
            </w:r>
          </w:p>
        </w:tc>
      </w:tr>
      <w:tr w:rsidR="004F64EF" w:rsidRPr="003003C0" w14:paraId="733B25EE" w14:textId="77777777" w:rsidTr="001F3C85">
        <w:tc>
          <w:tcPr>
            <w:tcW w:w="1177" w:type="pct"/>
          </w:tcPr>
          <w:p w14:paraId="311D6C7B" w14:textId="77777777" w:rsidR="004F64EF" w:rsidRPr="003003C0" w:rsidRDefault="004F64EF" w:rsidP="001F3C85">
            <w:pPr>
              <w:jc w:val="left"/>
              <w:rPr>
                <w:sz w:val="15"/>
                <w:szCs w:val="15"/>
              </w:rPr>
            </w:pPr>
            <w:r w:rsidRPr="003003C0">
              <w:rPr>
                <w:sz w:val="15"/>
                <w:szCs w:val="15"/>
              </w:rPr>
              <w:t>Resolu</w:t>
            </w:r>
            <w:r>
              <w:rPr>
                <w:sz w:val="15"/>
                <w:szCs w:val="15"/>
              </w:rPr>
              <w:t>tion</w:t>
            </w:r>
            <w:r w:rsidRPr="003003C0">
              <w:rPr>
                <w:sz w:val="15"/>
                <w:szCs w:val="15"/>
              </w:rPr>
              <w:t xml:space="preserve"> N</w:t>
            </w:r>
            <w:r>
              <w:rPr>
                <w:sz w:val="15"/>
                <w:szCs w:val="15"/>
              </w:rPr>
              <w:t>o.</w:t>
            </w:r>
            <w:r w:rsidRPr="003003C0">
              <w:rPr>
                <w:sz w:val="15"/>
                <w:szCs w:val="15"/>
              </w:rPr>
              <w:t xml:space="preserve"> 4-08</w:t>
            </w:r>
          </w:p>
        </w:tc>
        <w:tc>
          <w:tcPr>
            <w:tcW w:w="3823" w:type="pct"/>
          </w:tcPr>
          <w:p w14:paraId="50D76B45" w14:textId="77777777" w:rsidR="004F64EF" w:rsidRPr="003003C0" w:rsidRDefault="004F64EF" w:rsidP="001F3C85">
            <w:pPr>
              <w:jc w:val="left"/>
              <w:rPr>
                <w:sz w:val="15"/>
                <w:szCs w:val="15"/>
              </w:rPr>
            </w:pPr>
            <w:r w:rsidRPr="00F30D31">
              <w:rPr>
                <w:sz w:val="15"/>
                <w:szCs w:val="15"/>
              </w:rPr>
              <w:t>Cancel</w:t>
            </w:r>
            <w:r>
              <w:rPr>
                <w:sz w:val="15"/>
                <w:szCs w:val="15"/>
              </w:rPr>
              <w:t>s</w:t>
            </w:r>
            <w:r w:rsidRPr="00F30D31">
              <w:rPr>
                <w:sz w:val="15"/>
                <w:szCs w:val="15"/>
              </w:rPr>
              <w:t xml:space="preserve"> registrations for the marketing and use in animals of certain chemical substances</w:t>
            </w:r>
          </w:p>
        </w:tc>
      </w:tr>
      <w:tr w:rsidR="004F64EF" w:rsidRPr="003003C0" w14:paraId="009DE6C0" w14:textId="77777777" w:rsidTr="001F3C85">
        <w:trPr>
          <w:cnfStyle w:val="000000010000" w:firstRow="0" w:lastRow="0" w:firstColumn="0" w:lastColumn="0" w:oddVBand="0" w:evenVBand="0" w:oddHBand="0" w:evenHBand="1" w:firstRowFirstColumn="0" w:firstRowLastColumn="0" w:lastRowFirstColumn="0" w:lastRowLastColumn="0"/>
        </w:trPr>
        <w:tc>
          <w:tcPr>
            <w:tcW w:w="1177" w:type="pct"/>
          </w:tcPr>
          <w:p w14:paraId="3F2B22EF" w14:textId="77777777" w:rsidR="004F64EF" w:rsidRPr="003003C0" w:rsidRDefault="004F64EF" w:rsidP="001F3C85">
            <w:pPr>
              <w:jc w:val="left"/>
              <w:rPr>
                <w:sz w:val="15"/>
                <w:szCs w:val="15"/>
              </w:rPr>
            </w:pPr>
            <w:r w:rsidRPr="003003C0">
              <w:rPr>
                <w:sz w:val="15"/>
                <w:szCs w:val="15"/>
              </w:rPr>
              <w:t>Resolu</w:t>
            </w:r>
            <w:r>
              <w:rPr>
                <w:sz w:val="15"/>
                <w:szCs w:val="15"/>
              </w:rPr>
              <w:t>tion</w:t>
            </w:r>
            <w:r w:rsidRPr="003003C0">
              <w:rPr>
                <w:sz w:val="15"/>
                <w:szCs w:val="15"/>
              </w:rPr>
              <w:t xml:space="preserve"> N</w:t>
            </w:r>
            <w:r>
              <w:rPr>
                <w:sz w:val="15"/>
                <w:szCs w:val="15"/>
              </w:rPr>
              <w:t>o.</w:t>
            </w:r>
            <w:r w:rsidRPr="003003C0">
              <w:rPr>
                <w:sz w:val="15"/>
                <w:szCs w:val="15"/>
              </w:rPr>
              <w:t xml:space="preserve"> 6-12</w:t>
            </w:r>
          </w:p>
        </w:tc>
        <w:tc>
          <w:tcPr>
            <w:tcW w:w="3823" w:type="pct"/>
          </w:tcPr>
          <w:p w14:paraId="74E7EDE2" w14:textId="77777777" w:rsidR="004F64EF" w:rsidRPr="003003C0" w:rsidRDefault="004F64EF" w:rsidP="001F3C85">
            <w:pPr>
              <w:jc w:val="left"/>
              <w:rPr>
                <w:sz w:val="15"/>
                <w:szCs w:val="15"/>
              </w:rPr>
            </w:pPr>
            <w:r w:rsidRPr="00F30D31">
              <w:rPr>
                <w:sz w:val="15"/>
                <w:szCs w:val="15"/>
              </w:rPr>
              <w:t>Cancel registrations for the marketing and use in animals of certain chemical substances</w:t>
            </w:r>
          </w:p>
        </w:tc>
      </w:tr>
      <w:tr w:rsidR="004F64EF" w:rsidRPr="003003C0" w14:paraId="436DA28F" w14:textId="77777777" w:rsidTr="001F3C85">
        <w:tc>
          <w:tcPr>
            <w:tcW w:w="1177" w:type="pct"/>
          </w:tcPr>
          <w:p w14:paraId="44A9F9BD" w14:textId="77777777" w:rsidR="004F64EF" w:rsidRPr="003003C0" w:rsidRDefault="004F64EF" w:rsidP="001F3C85">
            <w:pPr>
              <w:jc w:val="left"/>
              <w:rPr>
                <w:sz w:val="15"/>
                <w:szCs w:val="15"/>
              </w:rPr>
            </w:pPr>
            <w:r w:rsidRPr="003003C0">
              <w:rPr>
                <w:sz w:val="15"/>
                <w:szCs w:val="15"/>
              </w:rPr>
              <w:t>Decre</w:t>
            </w:r>
            <w:r>
              <w:rPr>
                <w:sz w:val="15"/>
                <w:szCs w:val="15"/>
              </w:rPr>
              <w:t>e</w:t>
            </w:r>
            <w:r w:rsidRPr="003003C0">
              <w:rPr>
                <w:sz w:val="15"/>
                <w:szCs w:val="15"/>
              </w:rPr>
              <w:t xml:space="preserve"> N</w:t>
            </w:r>
            <w:r>
              <w:rPr>
                <w:sz w:val="15"/>
                <w:szCs w:val="15"/>
              </w:rPr>
              <w:t>o.</w:t>
            </w:r>
            <w:r w:rsidRPr="003003C0">
              <w:rPr>
                <w:sz w:val="15"/>
                <w:szCs w:val="15"/>
              </w:rPr>
              <w:t xml:space="preserve"> 354-10</w:t>
            </w:r>
          </w:p>
        </w:tc>
        <w:tc>
          <w:tcPr>
            <w:tcW w:w="3823" w:type="pct"/>
          </w:tcPr>
          <w:p w14:paraId="47DEA506" w14:textId="77777777" w:rsidR="004F64EF" w:rsidRPr="003003C0" w:rsidRDefault="004F64EF" w:rsidP="001F3C85">
            <w:pPr>
              <w:jc w:val="left"/>
              <w:rPr>
                <w:sz w:val="15"/>
                <w:szCs w:val="15"/>
              </w:rPr>
            </w:pPr>
            <w:r>
              <w:rPr>
                <w:sz w:val="15"/>
                <w:szCs w:val="15"/>
              </w:rPr>
              <w:t>M</w:t>
            </w:r>
            <w:r w:rsidRPr="00F30D31">
              <w:rPr>
                <w:sz w:val="15"/>
                <w:szCs w:val="15"/>
              </w:rPr>
              <w:t xml:space="preserve">aximum residue limits for veterinary drugs in </w:t>
            </w:r>
            <w:r>
              <w:rPr>
                <w:sz w:val="15"/>
                <w:szCs w:val="15"/>
              </w:rPr>
              <w:t>foods</w:t>
            </w:r>
            <w:r w:rsidRPr="00F30D31">
              <w:rPr>
                <w:sz w:val="15"/>
                <w:szCs w:val="15"/>
              </w:rPr>
              <w:t xml:space="preserve"> of animal origin</w:t>
            </w:r>
          </w:p>
        </w:tc>
      </w:tr>
      <w:tr w:rsidR="004F64EF" w:rsidRPr="003003C0" w14:paraId="00342191" w14:textId="77777777" w:rsidTr="001F3C85">
        <w:trPr>
          <w:cnfStyle w:val="000000010000" w:firstRow="0" w:lastRow="0" w:firstColumn="0" w:lastColumn="0" w:oddVBand="0" w:evenVBand="0" w:oddHBand="0" w:evenHBand="1" w:firstRowFirstColumn="0" w:firstRowLastColumn="0" w:lastRowFirstColumn="0" w:lastRowLastColumn="0"/>
        </w:trPr>
        <w:tc>
          <w:tcPr>
            <w:tcW w:w="1177" w:type="pct"/>
          </w:tcPr>
          <w:p w14:paraId="60021772" w14:textId="77777777" w:rsidR="004F64EF" w:rsidRPr="003003C0" w:rsidRDefault="004F64EF" w:rsidP="001F3C85">
            <w:pPr>
              <w:jc w:val="left"/>
              <w:rPr>
                <w:sz w:val="15"/>
                <w:szCs w:val="15"/>
              </w:rPr>
            </w:pPr>
            <w:r w:rsidRPr="003003C0">
              <w:rPr>
                <w:sz w:val="15"/>
                <w:szCs w:val="15"/>
              </w:rPr>
              <w:t>Resolu</w:t>
            </w:r>
            <w:r>
              <w:rPr>
                <w:sz w:val="15"/>
                <w:szCs w:val="15"/>
              </w:rPr>
              <w:t>tion</w:t>
            </w:r>
            <w:r w:rsidRPr="003003C0">
              <w:rPr>
                <w:sz w:val="15"/>
                <w:szCs w:val="15"/>
              </w:rPr>
              <w:t xml:space="preserve"> N</w:t>
            </w:r>
            <w:r>
              <w:rPr>
                <w:sz w:val="15"/>
                <w:szCs w:val="15"/>
              </w:rPr>
              <w:t>o.</w:t>
            </w:r>
            <w:r w:rsidRPr="003003C0">
              <w:rPr>
                <w:sz w:val="15"/>
                <w:szCs w:val="15"/>
              </w:rPr>
              <w:t xml:space="preserve"> 19-09</w:t>
            </w:r>
          </w:p>
        </w:tc>
        <w:tc>
          <w:tcPr>
            <w:tcW w:w="3823" w:type="pct"/>
          </w:tcPr>
          <w:p w14:paraId="4B4A65E7" w14:textId="77777777" w:rsidR="004F64EF" w:rsidRPr="003003C0" w:rsidRDefault="004F64EF" w:rsidP="001F3C85">
            <w:pPr>
              <w:jc w:val="left"/>
              <w:rPr>
                <w:sz w:val="15"/>
                <w:szCs w:val="15"/>
              </w:rPr>
            </w:pPr>
            <w:r>
              <w:rPr>
                <w:spacing w:val="-1"/>
                <w:sz w:val="15"/>
                <w:szCs w:val="15"/>
              </w:rPr>
              <w:t>Animal health protection in the Dominican Republic</w:t>
            </w:r>
          </w:p>
        </w:tc>
      </w:tr>
      <w:tr w:rsidR="004F64EF" w:rsidRPr="003003C0" w14:paraId="0A519263" w14:textId="77777777" w:rsidTr="001F3C85">
        <w:tc>
          <w:tcPr>
            <w:tcW w:w="1177" w:type="pct"/>
          </w:tcPr>
          <w:p w14:paraId="6AF87890" w14:textId="77777777" w:rsidR="004F64EF" w:rsidRPr="003003C0" w:rsidRDefault="004F64EF" w:rsidP="00F0233E">
            <w:pPr>
              <w:jc w:val="left"/>
              <w:rPr>
                <w:sz w:val="15"/>
                <w:szCs w:val="15"/>
              </w:rPr>
            </w:pPr>
            <w:r w:rsidRPr="003003C0">
              <w:rPr>
                <w:sz w:val="15"/>
                <w:szCs w:val="15"/>
              </w:rPr>
              <w:t>Resolu</w:t>
            </w:r>
            <w:r>
              <w:rPr>
                <w:sz w:val="15"/>
                <w:szCs w:val="15"/>
              </w:rPr>
              <w:t>tion</w:t>
            </w:r>
            <w:r w:rsidRPr="003003C0">
              <w:rPr>
                <w:sz w:val="15"/>
                <w:szCs w:val="15"/>
              </w:rPr>
              <w:t xml:space="preserve"> N</w:t>
            </w:r>
            <w:r>
              <w:rPr>
                <w:sz w:val="15"/>
                <w:szCs w:val="15"/>
              </w:rPr>
              <w:t>o.</w:t>
            </w:r>
            <w:r w:rsidRPr="003003C0">
              <w:rPr>
                <w:sz w:val="15"/>
                <w:szCs w:val="15"/>
              </w:rPr>
              <w:t xml:space="preserve"> 2019-30</w:t>
            </w:r>
          </w:p>
        </w:tc>
        <w:tc>
          <w:tcPr>
            <w:tcW w:w="3823" w:type="pct"/>
          </w:tcPr>
          <w:p w14:paraId="593611B1" w14:textId="77777777" w:rsidR="004F64EF" w:rsidRPr="003003C0" w:rsidRDefault="004F64EF" w:rsidP="001F3C85">
            <w:pPr>
              <w:jc w:val="left"/>
              <w:rPr>
                <w:sz w:val="15"/>
                <w:szCs w:val="15"/>
              </w:rPr>
            </w:pPr>
            <w:r>
              <w:rPr>
                <w:sz w:val="15"/>
                <w:szCs w:val="15"/>
              </w:rPr>
              <w:t xml:space="preserve">All poultry production units operating in the Dominican Republic must be registered and certified by the </w:t>
            </w:r>
            <w:r w:rsidRPr="005F6484">
              <w:rPr>
                <w:sz w:val="15"/>
                <w:szCs w:val="15"/>
              </w:rPr>
              <w:t>Directorate-General of Livestock</w:t>
            </w:r>
          </w:p>
        </w:tc>
      </w:tr>
      <w:tr w:rsidR="004F64EF" w:rsidRPr="003003C0" w14:paraId="2B930B93" w14:textId="77777777" w:rsidTr="001F3C85">
        <w:trPr>
          <w:cnfStyle w:val="000000010000" w:firstRow="0" w:lastRow="0" w:firstColumn="0" w:lastColumn="0" w:oddVBand="0" w:evenVBand="0" w:oddHBand="0" w:evenHBand="1" w:firstRowFirstColumn="0" w:firstRowLastColumn="0" w:lastRowFirstColumn="0" w:lastRowLastColumn="0"/>
        </w:trPr>
        <w:tc>
          <w:tcPr>
            <w:tcW w:w="1177" w:type="pct"/>
          </w:tcPr>
          <w:p w14:paraId="7669A6B2" w14:textId="77777777" w:rsidR="004F64EF" w:rsidRPr="003003C0" w:rsidRDefault="004F64EF" w:rsidP="001F3C85">
            <w:pPr>
              <w:jc w:val="left"/>
              <w:rPr>
                <w:sz w:val="15"/>
                <w:szCs w:val="15"/>
              </w:rPr>
            </w:pPr>
            <w:r w:rsidRPr="003003C0">
              <w:rPr>
                <w:sz w:val="15"/>
                <w:szCs w:val="15"/>
              </w:rPr>
              <w:t>Resolu</w:t>
            </w:r>
            <w:r>
              <w:rPr>
                <w:sz w:val="15"/>
                <w:szCs w:val="15"/>
              </w:rPr>
              <w:t>tion</w:t>
            </w:r>
            <w:r w:rsidRPr="003003C0">
              <w:rPr>
                <w:sz w:val="15"/>
                <w:szCs w:val="15"/>
              </w:rPr>
              <w:t xml:space="preserve"> </w:t>
            </w:r>
            <w:r>
              <w:rPr>
                <w:sz w:val="15"/>
                <w:szCs w:val="15"/>
              </w:rPr>
              <w:t>No.</w:t>
            </w:r>
            <w:r w:rsidRPr="003003C0">
              <w:rPr>
                <w:sz w:val="15"/>
                <w:szCs w:val="15"/>
              </w:rPr>
              <w:t xml:space="preserve"> 2019-31</w:t>
            </w:r>
          </w:p>
        </w:tc>
        <w:tc>
          <w:tcPr>
            <w:tcW w:w="3823" w:type="pct"/>
          </w:tcPr>
          <w:p w14:paraId="4E2CE67C" w14:textId="77777777" w:rsidR="004F64EF" w:rsidRPr="003003C0" w:rsidRDefault="004F64EF" w:rsidP="001F3C85">
            <w:pPr>
              <w:jc w:val="left"/>
              <w:rPr>
                <w:sz w:val="15"/>
                <w:szCs w:val="15"/>
              </w:rPr>
            </w:pPr>
            <w:r>
              <w:rPr>
                <w:sz w:val="15"/>
                <w:szCs w:val="15"/>
              </w:rPr>
              <w:t xml:space="preserve">Protocol on temporary vaccination against </w:t>
            </w:r>
            <w:r w:rsidRPr="004D1271">
              <w:rPr>
                <w:sz w:val="15"/>
                <w:szCs w:val="15"/>
              </w:rPr>
              <w:t>avian influenza</w:t>
            </w:r>
            <w:r>
              <w:rPr>
                <w:sz w:val="15"/>
                <w:szCs w:val="15"/>
              </w:rPr>
              <w:t xml:space="preserve"> </w:t>
            </w:r>
            <w:r w:rsidRPr="004D1271">
              <w:rPr>
                <w:sz w:val="15"/>
                <w:szCs w:val="15"/>
              </w:rPr>
              <w:t xml:space="preserve">H5N2 </w:t>
            </w:r>
            <w:r>
              <w:rPr>
                <w:sz w:val="15"/>
                <w:szCs w:val="15"/>
              </w:rPr>
              <w:t>and additional health measures</w:t>
            </w:r>
          </w:p>
        </w:tc>
      </w:tr>
      <w:tr w:rsidR="004F64EF" w:rsidRPr="003003C0" w14:paraId="1F23EBC7" w14:textId="77777777" w:rsidTr="001F3C85">
        <w:tc>
          <w:tcPr>
            <w:tcW w:w="1177" w:type="pct"/>
          </w:tcPr>
          <w:p w14:paraId="432FC8CA" w14:textId="77777777" w:rsidR="004F64EF" w:rsidRPr="003003C0" w:rsidRDefault="004F64EF" w:rsidP="001F3C85">
            <w:pPr>
              <w:jc w:val="left"/>
              <w:rPr>
                <w:sz w:val="15"/>
                <w:szCs w:val="15"/>
              </w:rPr>
            </w:pPr>
            <w:r w:rsidRPr="003003C0">
              <w:rPr>
                <w:sz w:val="15"/>
                <w:szCs w:val="15"/>
              </w:rPr>
              <w:t>Resolu</w:t>
            </w:r>
            <w:r>
              <w:rPr>
                <w:sz w:val="15"/>
                <w:szCs w:val="15"/>
              </w:rPr>
              <w:t>tion</w:t>
            </w:r>
            <w:r w:rsidRPr="003003C0">
              <w:rPr>
                <w:sz w:val="15"/>
                <w:szCs w:val="15"/>
              </w:rPr>
              <w:t xml:space="preserve"> N</w:t>
            </w:r>
            <w:r>
              <w:rPr>
                <w:sz w:val="15"/>
                <w:szCs w:val="15"/>
              </w:rPr>
              <w:t>o.</w:t>
            </w:r>
            <w:r w:rsidRPr="003003C0">
              <w:rPr>
                <w:sz w:val="15"/>
                <w:szCs w:val="15"/>
              </w:rPr>
              <w:t xml:space="preserve"> 2018-61</w:t>
            </w:r>
          </w:p>
        </w:tc>
        <w:tc>
          <w:tcPr>
            <w:tcW w:w="3823" w:type="pct"/>
          </w:tcPr>
          <w:p w14:paraId="1B36C4AD" w14:textId="77777777" w:rsidR="004F64EF" w:rsidRPr="003003C0" w:rsidRDefault="004F64EF" w:rsidP="001F3C85">
            <w:pPr>
              <w:jc w:val="left"/>
              <w:rPr>
                <w:sz w:val="15"/>
                <w:szCs w:val="15"/>
              </w:rPr>
            </w:pPr>
            <w:r>
              <w:rPr>
                <w:sz w:val="15"/>
                <w:szCs w:val="15"/>
              </w:rPr>
              <w:t>Policy to enhance animal and plant health</w:t>
            </w:r>
          </w:p>
        </w:tc>
      </w:tr>
      <w:tr w:rsidR="004F64EF" w:rsidRPr="003003C0" w14:paraId="5C7848B0" w14:textId="77777777" w:rsidTr="001F3C85">
        <w:trPr>
          <w:cnfStyle w:val="000000010000" w:firstRow="0" w:lastRow="0" w:firstColumn="0" w:lastColumn="0" w:oddVBand="0" w:evenVBand="0" w:oddHBand="0" w:evenHBand="1" w:firstRowFirstColumn="0" w:firstRowLastColumn="0" w:lastRowFirstColumn="0" w:lastRowLastColumn="0"/>
        </w:trPr>
        <w:tc>
          <w:tcPr>
            <w:tcW w:w="1177" w:type="pct"/>
          </w:tcPr>
          <w:p w14:paraId="4018FD58" w14:textId="77777777" w:rsidR="004F64EF" w:rsidRPr="003003C0" w:rsidRDefault="004F64EF" w:rsidP="001F3C85">
            <w:pPr>
              <w:jc w:val="left"/>
              <w:rPr>
                <w:sz w:val="15"/>
                <w:szCs w:val="15"/>
              </w:rPr>
            </w:pPr>
            <w:r w:rsidRPr="003003C0">
              <w:rPr>
                <w:sz w:val="15"/>
                <w:szCs w:val="15"/>
              </w:rPr>
              <w:t>Resolu</w:t>
            </w:r>
            <w:r>
              <w:rPr>
                <w:sz w:val="15"/>
                <w:szCs w:val="15"/>
              </w:rPr>
              <w:t>tion</w:t>
            </w:r>
            <w:r w:rsidRPr="003003C0">
              <w:rPr>
                <w:sz w:val="15"/>
                <w:szCs w:val="15"/>
              </w:rPr>
              <w:t xml:space="preserve"> N</w:t>
            </w:r>
            <w:r>
              <w:rPr>
                <w:sz w:val="15"/>
                <w:szCs w:val="15"/>
              </w:rPr>
              <w:t>o.</w:t>
            </w:r>
            <w:r w:rsidRPr="003003C0">
              <w:rPr>
                <w:sz w:val="15"/>
                <w:szCs w:val="15"/>
              </w:rPr>
              <w:t xml:space="preserve"> 2018-16</w:t>
            </w:r>
          </w:p>
        </w:tc>
        <w:tc>
          <w:tcPr>
            <w:tcW w:w="3823" w:type="pct"/>
          </w:tcPr>
          <w:p w14:paraId="19BC00D2" w14:textId="77777777" w:rsidR="004F64EF" w:rsidRPr="003003C0" w:rsidRDefault="004F64EF" w:rsidP="001F3C85">
            <w:pPr>
              <w:jc w:val="left"/>
              <w:rPr>
                <w:sz w:val="15"/>
                <w:szCs w:val="15"/>
              </w:rPr>
            </w:pPr>
            <w:r w:rsidRPr="003003C0">
              <w:rPr>
                <w:sz w:val="15"/>
                <w:szCs w:val="15"/>
              </w:rPr>
              <w:t>Proh</w:t>
            </w:r>
            <w:r>
              <w:rPr>
                <w:sz w:val="15"/>
                <w:szCs w:val="15"/>
              </w:rPr>
              <w:t>ibits the movement of birds, table eggs, fertile eggs and bedding material</w:t>
            </w:r>
          </w:p>
        </w:tc>
      </w:tr>
      <w:tr w:rsidR="004F64EF" w:rsidRPr="003003C0" w14:paraId="425424B2" w14:textId="77777777" w:rsidTr="001F3C85">
        <w:tc>
          <w:tcPr>
            <w:tcW w:w="1177" w:type="pct"/>
          </w:tcPr>
          <w:p w14:paraId="0D895DF5" w14:textId="77777777" w:rsidR="004F64EF" w:rsidRPr="003003C0" w:rsidRDefault="004F64EF" w:rsidP="001F3C85">
            <w:pPr>
              <w:jc w:val="left"/>
              <w:rPr>
                <w:sz w:val="15"/>
                <w:szCs w:val="15"/>
              </w:rPr>
            </w:pPr>
            <w:r w:rsidRPr="003003C0">
              <w:rPr>
                <w:sz w:val="15"/>
                <w:szCs w:val="15"/>
              </w:rPr>
              <w:t>Resolu</w:t>
            </w:r>
            <w:r>
              <w:rPr>
                <w:sz w:val="15"/>
                <w:szCs w:val="15"/>
              </w:rPr>
              <w:t>tion</w:t>
            </w:r>
            <w:r w:rsidRPr="003003C0">
              <w:rPr>
                <w:sz w:val="15"/>
                <w:szCs w:val="15"/>
              </w:rPr>
              <w:t xml:space="preserve"> N</w:t>
            </w:r>
            <w:r>
              <w:rPr>
                <w:sz w:val="15"/>
                <w:szCs w:val="15"/>
              </w:rPr>
              <w:t>o.</w:t>
            </w:r>
            <w:r w:rsidRPr="003003C0">
              <w:rPr>
                <w:sz w:val="15"/>
                <w:szCs w:val="15"/>
              </w:rPr>
              <w:t xml:space="preserve"> 2017-18</w:t>
            </w:r>
          </w:p>
        </w:tc>
        <w:tc>
          <w:tcPr>
            <w:tcW w:w="3823" w:type="pct"/>
          </w:tcPr>
          <w:p w14:paraId="69E6478F" w14:textId="77777777" w:rsidR="004F64EF" w:rsidRPr="003003C0" w:rsidRDefault="004F64EF" w:rsidP="001F3C85">
            <w:pPr>
              <w:jc w:val="left"/>
              <w:rPr>
                <w:sz w:val="15"/>
                <w:szCs w:val="15"/>
              </w:rPr>
            </w:pPr>
            <w:r>
              <w:rPr>
                <w:sz w:val="15"/>
                <w:szCs w:val="15"/>
              </w:rPr>
              <w:t>Establishes the Official Commission for the Control of Avian Influenza</w:t>
            </w:r>
          </w:p>
        </w:tc>
      </w:tr>
    </w:tbl>
    <w:p w14:paraId="3110A226" w14:textId="77777777" w:rsidR="004F64EF" w:rsidRPr="003003C0" w:rsidRDefault="004F64EF" w:rsidP="00E439A9"/>
    <w:tbl>
      <w:tblPr>
        <w:tblStyle w:val="WTOTable1"/>
        <w:tblW w:w="5000" w:type="pct"/>
        <w:tblLook w:val="04A0" w:firstRow="1" w:lastRow="0" w:firstColumn="1" w:lastColumn="0" w:noHBand="0" w:noVBand="1"/>
      </w:tblPr>
      <w:tblGrid>
        <w:gridCol w:w="2122"/>
        <w:gridCol w:w="6894"/>
      </w:tblGrid>
      <w:tr w:rsidR="004F64EF" w:rsidRPr="003003C0" w14:paraId="593C4A01" w14:textId="77777777" w:rsidTr="007D1CF6">
        <w:trPr>
          <w:cnfStyle w:val="100000000000" w:firstRow="1" w:lastRow="0" w:firstColumn="0" w:lastColumn="0" w:oddVBand="0" w:evenVBand="0" w:oddHBand="0" w:evenHBand="0" w:firstRowFirstColumn="0" w:firstRowLastColumn="0" w:lastRowFirstColumn="0" w:lastRowLastColumn="0"/>
          <w:tblHeader/>
        </w:trPr>
        <w:tc>
          <w:tcPr>
            <w:tcW w:w="5000" w:type="pct"/>
            <w:gridSpan w:val="2"/>
          </w:tcPr>
          <w:p w14:paraId="66294B58" w14:textId="77777777" w:rsidR="004F64EF" w:rsidRPr="003003C0" w:rsidRDefault="004F64EF" w:rsidP="001F3C85">
            <w:pPr>
              <w:jc w:val="left"/>
              <w:rPr>
                <w:sz w:val="15"/>
                <w:szCs w:val="15"/>
              </w:rPr>
            </w:pPr>
            <w:r>
              <w:rPr>
                <w:sz w:val="15"/>
                <w:szCs w:val="15"/>
              </w:rPr>
              <w:t>Plant health</w:t>
            </w:r>
          </w:p>
        </w:tc>
      </w:tr>
      <w:tr w:rsidR="004F64EF" w:rsidRPr="003003C0" w14:paraId="189E62F7" w14:textId="77777777" w:rsidTr="007D1CF6">
        <w:tc>
          <w:tcPr>
            <w:tcW w:w="1177" w:type="pct"/>
          </w:tcPr>
          <w:p w14:paraId="78EFFCCC" w14:textId="77777777" w:rsidR="004F64EF" w:rsidRPr="003003C0" w:rsidRDefault="004F64EF" w:rsidP="001F3C85">
            <w:pPr>
              <w:jc w:val="left"/>
              <w:rPr>
                <w:color w:val="000000"/>
                <w:sz w:val="15"/>
                <w:szCs w:val="15"/>
              </w:rPr>
            </w:pPr>
            <w:r w:rsidRPr="003003C0">
              <w:rPr>
                <w:color w:val="000000"/>
                <w:sz w:val="15"/>
                <w:szCs w:val="15"/>
              </w:rPr>
              <w:t>L</w:t>
            </w:r>
            <w:r>
              <w:rPr>
                <w:color w:val="000000"/>
                <w:sz w:val="15"/>
                <w:szCs w:val="15"/>
              </w:rPr>
              <w:t>aw</w:t>
            </w:r>
            <w:r w:rsidRPr="003003C0">
              <w:rPr>
                <w:color w:val="000000"/>
                <w:sz w:val="15"/>
                <w:szCs w:val="15"/>
              </w:rPr>
              <w:t xml:space="preserve"> N</w:t>
            </w:r>
            <w:r>
              <w:rPr>
                <w:color w:val="000000"/>
                <w:sz w:val="15"/>
                <w:szCs w:val="15"/>
              </w:rPr>
              <w:t xml:space="preserve">o. </w:t>
            </w:r>
            <w:r w:rsidRPr="003003C0">
              <w:rPr>
                <w:color w:val="000000"/>
                <w:sz w:val="15"/>
                <w:szCs w:val="15"/>
              </w:rPr>
              <w:t>4990-58</w:t>
            </w:r>
          </w:p>
        </w:tc>
        <w:tc>
          <w:tcPr>
            <w:tcW w:w="3823" w:type="pct"/>
          </w:tcPr>
          <w:p w14:paraId="29C228A7" w14:textId="77777777" w:rsidR="004F64EF" w:rsidRPr="003003C0" w:rsidRDefault="004F64EF" w:rsidP="001F3C85">
            <w:pPr>
              <w:jc w:val="left"/>
              <w:rPr>
                <w:color w:val="000000"/>
                <w:sz w:val="15"/>
                <w:szCs w:val="15"/>
              </w:rPr>
            </w:pPr>
            <w:r w:rsidRPr="00FD77D3">
              <w:rPr>
                <w:color w:val="000000"/>
                <w:sz w:val="15"/>
                <w:szCs w:val="15"/>
              </w:rPr>
              <w:t xml:space="preserve">Law on Plant Health </w:t>
            </w:r>
            <w:r w:rsidRPr="003003C0">
              <w:rPr>
                <w:color w:val="000000"/>
                <w:sz w:val="15"/>
                <w:szCs w:val="15"/>
              </w:rPr>
              <w:t>(</w:t>
            </w:r>
            <w:r>
              <w:rPr>
                <w:color w:val="000000"/>
                <w:sz w:val="15"/>
                <w:szCs w:val="15"/>
              </w:rPr>
              <w:t>r</w:t>
            </w:r>
            <w:r w:rsidRPr="00FD77D3">
              <w:rPr>
                <w:color w:val="000000"/>
                <w:sz w:val="15"/>
                <w:szCs w:val="15"/>
              </w:rPr>
              <w:t>egulates the import</w:t>
            </w:r>
            <w:r>
              <w:rPr>
                <w:color w:val="000000"/>
                <w:sz w:val="15"/>
                <w:szCs w:val="15"/>
              </w:rPr>
              <w:t>ation</w:t>
            </w:r>
            <w:r w:rsidRPr="00FD77D3">
              <w:rPr>
                <w:color w:val="000000"/>
                <w:sz w:val="15"/>
                <w:szCs w:val="15"/>
              </w:rPr>
              <w:t xml:space="preserve"> of plants, fruit and seeds</w:t>
            </w:r>
            <w:r w:rsidRPr="003003C0">
              <w:rPr>
                <w:color w:val="000000"/>
                <w:sz w:val="15"/>
                <w:szCs w:val="15"/>
              </w:rPr>
              <w:t>)</w:t>
            </w:r>
          </w:p>
        </w:tc>
      </w:tr>
      <w:tr w:rsidR="004F64EF" w:rsidRPr="003003C0" w14:paraId="5A01A722" w14:textId="77777777" w:rsidTr="007D1CF6">
        <w:trPr>
          <w:cnfStyle w:val="000000010000" w:firstRow="0" w:lastRow="0" w:firstColumn="0" w:lastColumn="0" w:oddVBand="0" w:evenVBand="0" w:oddHBand="0" w:evenHBand="1" w:firstRowFirstColumn="0" w:firstRowLastColumn="0" w:lastRowFirstColumn="0" w:lastRowLastColumn="0"/>
        </w:trPr>
        <w:tc>
          <w:tcPr>
            <w:tcW w:w="1177" w:type="pct"/>
          </w:tcPr>
          <w:p w14:paraId="0F475E79" w14:textId="77777777" w:rsidR="004F64EF" w:rsidRPr="003003C0" w:rsidRDefault="004F64EF" w:rsidP="001F3C85">
            <w:pPr>
              <w:jc w:val="left"/>
              <w:rPr>
                <w:color w:val="000000"/>
                <w:sz w:val="15"/>
                <w:szCs w:val="15"/>
              </w:rPr>
            </w:pPr>
            <w:r w:rsidRPr="003003C0">
              <w:rPr>
                <w:color w:val="000000"/>
                <w:sz w:val="15"/>
                <w:szCs w:val="15"/>
              </w:rPr>
              <w:t>L</w:t>
            </w:r>
            <w:r>
              <w:rPr>
                <w:color w:val="000000"/>
                <w:sz w:val="15"/>
                <w:szCs w:val="15"/>
              </w:rPr>
              <w:t>aw</w:t>
            </w:r>
            <w:r w:rsidRPr="003003C0">
              <w:rPr>
                <w:color w:val="000000"/>
                <w:sz w:val="15"/>
                <w:szCs w:val="15"/>
              </w:rPr>
              <w:t xml:space="preserve"> N</w:t>
            </w:r>
            <w:r>
              <w:rPr>
                <w:color w:val="000000"/>
                <w:sz w:val="15"/>
                <w:szCs w:val="15"/>
              </w:rPr>
              <w:t xml:space="preserve">o. </w:t>
            </w:r>
            <w:r w:rsidRPr="003003C0">
              <w:rPr>
                <w:color w:val="000000"/>
                <w:sz w:val="15"/>
                <w:szCs w:val="15"/>
              </w:rPr>
              <w:t>311-</w:t>
            </w:r>
            <w:r w:rsidRPr="003003C0">
              <w:rPr>
                <w:sz w:val="15"/>
                <w:szCs w:val="15"/>
              </w:rPr>
              <w:t>6</w:t>
            </w:r>
            <w:r w:rsidRPr="003003C0">
              <w:rPr>
                <w:color w:val="000000"/>
                <w:sz w:val="15"/>
                <w:szCs w:val="15"/>
              </w:rPr>
              <w:t>8</w:t>
            </w:r>
          </w:p>
        </w:tc>
        <w:tc>
          <w:tcPr>
            <w:tcW w:w="3823" w:type="pct"/>
          </w:tcPr>
          <w:p w14:paraId="3FFFF909" w14:textId="77777777" w:rsidR="004F64EF" w:rsidRPr="00FD77D3" w:rsidRDefault="004F64EF" w:rsidP="001F3C85">
            <w:pPr>
              <w:jc w:val="left"/>
              <w:rPr>
                <w:color w:val="000000"/>
                <w:sz w:val="15"/>
                <w:szCs w:val="15"/>
              </w:rPr>
            </w:pPr>
            <w:r w:rsidRPr="00FD77D3">
              <w:rPr>
                <w:color w:val="000000"/>
                <w:sz w:val="15"/>
                <w:szCs w:val="15"/>
              </w:rPr>
              <w:t>Law on the Registration of Pesticides</w:t>
            </w:r>
          </w:p>
        </w:tc>
      </w:tr>
      <w:tr w:rsidR="004F64EF" w:rsidRPr="003003C0" w14:paraId="17BF5184" w14:textId="77777777" w:rsidTr="007D1CF6">
        <w:tc>
          <w:tcPr>
            <w:tcW w:w="1177" w:type="pct"/>
          </w:tcPr>
          <w:p w14:paraId="0C75AD87" w14:textId="77777777" w:rsidR="004F64EF" w:rsidRPr="003003C0" w:rsidRDefault="004F64EF" w:rsidP="001F3C85">
            <w:pPr>
              <w:jc w:val="left"/>
              <w:rPr>
                <w:sz w:val="15"/>
                <w:szCs w:val="15"/>
              </w:rPr>
            </w:pPr>
            <w:r w:rsidRPr="003003C0">
              <w:rPr>
                <w:color w:val="000000"/>
                <w:sz w:val="15"/>
                <w:szCs w:val="15"/>
              </w:rPr>
              <w:t>Decre</w:t>
            </w:r>
            <w:r>
              <w:rPr>
                <w:color w:val="000000"/>
                <w:sz w:val="15"/>
                <w:szCs w:val="15"/>
              </w:rPr>
              <w:t>e</w:t>
            </w:r>
            <w:r w:rsidRPr="003003C0">
              <w:rPr>
                <w:color w:val="000000"/>
                <w:sz w:val="15"/>
                <w:szCs w:val="15"/>
              </w:rPr>
              <w:t xml:space="preserve"> N</w:t>
            </w:r>
            <w:r>
              <w:rPr>
                <w:color w:val="000000"/>
                <w:sz w:val="15"/>
                <w:szCs w:val="15"/>
              </w:rPr>
              <w:t xml:space="preserve">o. </w:t>
            </w:r>
            <w:r w:rsidRPr="003003C0">
              <w:rPr>
                <w:color w:val="000000"/>
                <w:sz w:val="15"/>
                <w:szCs w:val="15"/>
              </w:rPr>
              <w:t>322-88</w:t>
            </w:r>
          </w:p>
        </w:tc>
        <w:tc>
          <w:tcPr>
            <w:tcW w:w="3823" w:type="pct"/>
          </w:tcPr>
          <w:p w14:paraId="198ED648" w14:textId="77777777" w:rsidR="004F64EF" w:rsidRPr="003003C0" w:rsidRDefault="004F64EF" w:rsidP="001F3C85">
            <w:pPr>
              <w:jc w:val="left"/>
              <w:rPr>
                <w:sz w:val="15"/>
                <w:szCs w:val="15"/>
              </w:rPr>
            </w:pPr>
            <w:r>
              <w:rPr>
                <w:color w:val="000000"/>
                <w:sz w:val="15"/>
                <w:szCs w:val="15"/>
              </w:rPr>
              <w:t>Implementing regulations for</w:t>
            </w:r>
            <w:r w:rsidRPr="003003C0">
              <w:rPr>
                <w:color w:val="000000"/>
                <w:sz w:val="15"/>
                <w:szCs w:val="15"/>
              </w:rPr>
              <w:t xml:space="preserve"> </w:t>
            </w:r>
            <w:r>
              <w:rPr>
                <w:color w:val="000000"/>
                <w:sz w:val="15"/>
                <w:szCs w:val="15"/>
              </w:rPr>
              <w:t>Law</w:t>
            </w:r>
            <w:r w:rsidRPr="003003C0">
              <w:rPr>
                <w:color w:val="000000"/>
                <w:sz w:val="15"/>
                <w:szCs w:val="15"/>
              </w:rPr>
              <w:t xml:space="preserve"> N</w:t>
            </w:r>
            <w:r>
              <w:rPr>
                <w:color w:val="000000"/>
                <w:sz w:val="15"/>
                <w:szCs w:val="15"/>
              </w:rPr>
              <w:t xml:space="preserve">o. </w:t>
            </w:r>
            <w:r w:rsidRPr="003003C0">
              <w:rPr>
                <w:color w:val="000000"/>
                <w:sz w:val="15"/>
                <w:szCs w:val="15"/>
              </w:rPr>
              <w:t>311</w:t>
            </w:r>
          </w:p>
        </w:tc>
      </w:tr>
      <w:tr w:rsidR="004F64EF" w:rsidRPr="003003C0" w14:paraId="351170F9" w14:textId="77777777" w:rsidTr="007D1CF6">
        <w:trPr>
          <w:cnfStyle w:val="000000010000" w:firstRow="0" w:lastRow="0" w:firstColumn="0" w:lastColumn="0" w:oddVBand="0" w:evenVBand="0" w:oddHBand="0" w:evenHBand="1" w:firstRowFirstColumn="0" w:firstRowLastColumn="0" w:lastRowFirstColumn="0" w:lastRowLastColumn="0"/>
        </w:trPr>
        <w:tc>
          <w:tcPr>
            <w:tcW w:w="1177" w:type="pct"/>
          </w:tcPr>
          <w:p w14:paraId="21A6E1C3" w14:textId="77777777" w:rsidR="004F64EF" w:rsidRPr="003003C0" w:rsidRDefault="004F64EF" w:rsidP="001F3C85">
            <w:pPr>
              <w:jc w:val="left"/>
              <w:rPr>
                <w:color w:val="000000"/>
                <w:sz w:val="15"/>
                <w:szCs w:val="15"/>
              </w:rPr>
            </w:pPr>
            <w:r w:rsidRPr="003003C0">
              <w:rPr>
                <w:sz w:val="15"/>
                <w:szCs w:val="15"/>
              </w:rPr>
              <w:t>Reg</w:t>
            </w:r>
            <w:r>
              <w:rPr>
                <w:sz w:val="15"/>
                <w:szCs w:val="15"/>
              </w:rPr>
              <w:t>ulation</w:t>
            </w:r>
            <w:r w:rsidRPr="003003C0">
              <w:rPr>
                <w:sz w:val="15"/>
                <w:szCs w:val="15"/>
              </w:rPr>
              <w:t xml:space="preserve"> </w:t>
            </w:r>
            <w:r w:rsidRPr="003003C0">
              <w:rPr>
                <w:color w:val="000000"/>
                <w:sz w:val="15"/>
                <w:szCs w:val="15"/>
              </w:rPr>
              <w:t>N</w:t>
            </w:r>
            <w:r>
              <w:rPr>
                <w:color w:val="000000"/>
                <w:sz w:val="15"/>
                <w:szCs w:val="15"/>
              </w:rPr>
              <w:t xml:space="preserve">o. </w:t>
            </w:r>
            <w:r w:rsidRPr="003003C0">
              <w:rPr>
                <w:sz w:val="15"/>
                <w:szCs w:val="15"/>
              </w:rPr>
              <w:t>322-88</w:t>
            </w:r>
          </w:p>
        </w:tc>
        <w:tc>
          <w:tcPr>
            <w:tcW w:w="3823" w:type="pct"/>
          </w:tcPr>
          <w:p w14:paraId="1A2FC125" w14:textId="77777777" w:rsidR="004F64EF" w:rsidRPr="003003C0" w:rsidRDefault="004F64EF" w:rsidP="001F3C85">
            <w:pPr>
              <w:jc w:val="left"/>
              <w:rPr>
                <w:color w:val="000000"/>
                <w:sz w:val="15"/>
                <w:szCs w:val="15"/>
              </w:rPr>
            </w:pPr>
            <w:r>
              <w:rPr>
                <w:spacing w:val="-1"/>
                <w:sz w:val="15"/>
                <w:szCs w:val="15"/>
              </w:rPr>
              <w:t>Ensures that private phytosanitary treatment application services operate effectively</w:t>
            </w:r>
            <w:r w:rsidRPr="00E40156">
              <w:rPr>
                <w:spacing w:val="-1"/>
                <w:sz w:val="15"/>
                <w:szCs w:val="15"/>
              </w:rPr>
              <w:t xml:space="preserve"> in ports and airports</w:t>
            </w:r>
          </w:p>
        </w:tc>
      </w:tr>
      <w:tr w:rsidR="004F64EF" w:rsidRPr="003003C0" w14:paraId="54C8A851" w14:textId="77777777" w:rsidTr="007D1CF6">
        <w:tc>
          <w:tcPr>
            <w:tcW w:w="1177" w:type="pct"/>
          </w:tcPr>
          <w:p w14:paraId="7927D3B3" w14:textId="77777777" w:rsidR="004F64EF" w:rsidRPr="003003C0" w:rsidRDefault="004F64EF" w:rsidP="001F3C85">
            <w:pPr>
              <w:jc w:val="left"/>
              <w:rPr>
                <w:color w:val="000000"/>
                <w:sz w:val="15"/>
                <w:szCs w:val="15"/>
              </w:rPr>
            </w:pPr>
            <w:r w:rsidRPr="003003C0">
              <w:rPr>
                <w:color w:val="000000"/>
                <w:sz w:val="15"/>
                <w:szCs w:val="15"/>
              </w:rPr>
              <w:t>Decre</w:t>
            </w:r>
            <w:r>
              <w:rPr>
                <w:color w:val="000000"/>
                <w:sz w:val="15"/>
                <w:szCs w:val="15"/>
              </w:rPr>
              <w:t>e</w:t>
            </w:r>
            <w:r w:rsidRPr="003003C0">
              <w:rPr>
                <w:color w:val="000000"/>
                <w:sz w:val="15"/>
                <w:szCs w:val="15"/>
              </w:rPr>
              <w:t xml:space="preserve"> N</w:t>
            </w:r>
            <w:r>
              <w:rPr>
                <w:color w:val="000000"/>
                <w:sz w:val="15"/>
                <w:szCs w:val="15"/>
              </w:rPr>
              <w:t xml:space="preserve">o. </w:t>
            </w:r>
            <w:r w:rsidRPr="003003C0">
              <w:rPr>
                <w:color w:val="000000"/>
                <w:sz w:val="15"/>
                <w:szCs w:val="15"/>
              </w:rPr>
              <w:t>217-91</w:t>
            </w:r>
          </w:p>
        </w:tc>
        <w:tc>
          <w:tcPr>
            <w:tcW w:w="3823" w:type="pct"/>
          </w:tcPr>
          <w:p w14:paraId="07F172AA" w14:textId="77777777" w:rsidR="004F64EF" w:rsidRPr="003003C0" w:rsidRDefault="004F64EF" w:rsidP="001F3C85">
            <w:pPr>
              <w:jc w:val="left"/>
              <w:rPr>
                <w:color w:val="000000"/>
                <w:sz w:val="15"/>
                <w:szCs w:val="15"/>
              </w:rPr>
            </w:pPr>
            <w:r w:rsidRPr="003003C0">
              <w:rPr>
                <w:color w:val="000000"/>
                <w:sz w:val="15"/>
                <w:szCs w:val="15"/>
              </w:rPr>
              <w:t>Decre</w:t>
            </w:r>
            <w:r>
              <w:rPr>
                <w:color w:val="000000"/>
                <w:sz w:val="15"/>
                <w:szCs w:val="15"/>
              </w:rPr>
              <w:t xml:space="preserve">e on the prohibition, </w:t>
            </w:r>
            <w:r w:rsidRPr="00A83811">
              <w:rPr>
                <w:color w:val="000000"/>
                <w:sz w:val="15"/>
                <w:szCs w:val="15"/>
              </w:rPr>
              <w:t>import</w:t>
            </w:r>
            <w:r>
              <w:rPr>
                <w:color w:val="000000"/>
                <w:sz w:val="15"/>
                <w:szCs w:val="15"/>
              </w:rPr>
              <w:t>ation</w:t>
            </w:r>
            <w:r w:rsidRPr="00A83811">
              <w:rPr>
                <w:color w:val="000000"/>
                <w:sz w:val="15"/>
                <w:szCs w:val="15"/>
              </w:rPr>
              <w:t>, preparation, formulation, marketing and use of agricultural chemicals</w:t>
            </w:r>
          </w:p>
        </w:tc>
      </w:tr>
      <w:tr w:rsidR="004F64EF" w:rsidRPr="003003C0" w14:paraId="1AAA7E01" w14:textId="77777777" w:rsidTr="007D1CF6">
        <w:trPr>
          <w:cnfStyle w:val="000000010000" w:firstRow="0" w:lastRow="0" w:firstColumn="0" w:lastColumn="0" w:oddVBand="0" w:evenVBand="0" w:oddHBand="0" w:evenHBand="1" w:firstRowFirstColumn="0" w:firstRowLastColumn="0" w:lastRowFirstColumn="0" w:lastRowLastColumn="0"/>
        </w:trPr>
        <w:tc>
          <w:tcPr>
            <w:tcW w:w="1177" w:type="pct"/>
          </w:tcPr>
          <w:p w14:paraId="30EE0CFC" w14:textId="77777777" w:rsidR="004F64EF" w:rsidRPr="003003C0" w:rsidRDefault="004F64EF" w:rsidP="001F3C85">
            <w:pPr>
              <w:jc w:val="left"/>
              <w:rPr>
                <w:color w:val="000000"/>
                <w:sz w:val="15"/>
                <w:szCs w:val="15"/>
              </w:rPr>
            </w:pPr>
            <w:r w:rsidRPr="003003C0">
              <w:rPr>
                <w:color w:val="000000"/>
                <w:sz w:val="15"/>
                <w:szCs w:val="15"/>
              </w:rPr>
              <w:t>Decre</w:t>
            </w:r>
            <w:r>
              <w:rPr>
                <w:color w:val="000000"/>
                <w:sz w:val="15"/>
                <w:szCs w:val="15"/>
              </w:rPr>
              <w:t>e</w:t>
            </w:r>
            <w:r w:rsidRPr="003003C0">
              <w:rPr>
                <w:color w:val="000000"/>
                <w:sz w:val="15"/>
                <w:szCs w:val="15"/>
              </w:rPr>
              <w:t xml:space="preserve"> </w:t>
            </w:r>
            <w:r w:rsidRPr="003003C0">
              <w:rPr>
                <w:bCs/>
                <w:sz w:val="15"/>
                <w:szCs w:val="15"/>
              </w:rPr>
              <w:t>N</w:t>
            </w:r>
            <w:r>
              <w:rPr>
                <w:bCs/>
                <w:sz w:val="15"/>
                <w:szCs w:val="15"/>
              </w:rPr>
              <w:t xml:space="preserve">o. </w:t>
            </w:r>
            <w:r w:rsidRPr="003003C0">
              <w:rPr>
                <w:color w:val="000000"/>
                <w:sz w:val="15"/>
                <w:szCs w:val="15"/>
              </w:rPr>
              <w:t>52</w:t>
            </w:r>
            <w:r w:rsidRPr="003003C0">
              <w:rPr>
                <w:color w:val="000000"/>
                <w:sz w:val="15"/>
                <w:szCs w:val="15"/>
              </w:rPr>
              <w:noBreakHyphen/>
              <w:t>08</w:t>
            </w:r>
          </w:p>
        </w:tc>
        <w:tc>
          <w:tcPr>
            <w:tcW w:w="3823" w:type="pct"/>
          </w:tcPr>
          <w:p w14:paraId="3774E60E" w14:textId="77777777" w:rsidR="004F64EF" w:rsidRPr="003003C0" w:rsidRDefault="004F64EF" w:rsidP="001F3C85">
            <w:pPr>
              <w:jc w:val="left"/>
              <w:rPr>
                <w:color w:val="000000"/>
                <w:sz w:val="15"/>
                <w:szCs w:val="15"/>
              </w:rPr>
            </w:pPr>
            <w:r w:rsidRPr="00BE68CD">
              <w:rPr>
                <w:color w:val="000000"/>
                <w:sz w:val="15"/>
                <w:szCs w:val="15"/>
              </w:rPr>
              <w:t xml:space="preserve">Regulations for the general implementation of basic rules </w:t>
            </w:r>
            <w:r>
              <w:rPr>
                <w:color w:val="000000"/>
                <w:sz w:val="15"/>
                <w:szCs w:val="15"/>
              </w:rPr>
              <w:t>concerning</w:t>
            </w:r>
            <w:r w:rsidRPr="00BE68CD">
              <w:rPr>
                <w:color w:val="000000"/>
                <w:sz w:val="15"/>
                <w:szCs w:val="15"/>
              </w:rPr>
              <w:t xml:space="preserve"> good agricultural practices (GAP) and good animal husbandry practices (</w:t>
            </w:r>
            <w:proofErr w:type="spellStart"/>
            <w:r w:rsidRPr="00BE68CD">
              <w:rPr>
                <w:color w:val="000000"/>
                <w:sz w:val="15"/>
                <w:szCs w:val="15"/>
              </w:rPr>
              <w:t>GAHP</w:t>
            </w:r>
            <w:proofErr w:type="spellEnd"/>
            <w:r w:rsidRPr="00BE68CD">
              <w:rPr>
                <w:color w:val="000000"/>
                <w:sz w:val="15"/>
                <w:szCs w:val="15"/>
              </w:rPr>
              <w:t>)</w:t>
            </w:r>
          </w:p>
        </w:tc>
      </w:tr>
      <w:tr w:rsidR="004F64EF" w:rsidRPr="003003C0" w14:paraId="6EF1B052" w14:textId="77777777" w:rsidTr="007D1CF6">
        <w:tc>
          <w:tcPr>
            <w:tcW w:w="1177" w:type="pct"/>
          </w:tcPr>
          <w:p w14:paraId="19B0BAD1" w14:textId="77777777" w:rsidR="004F64EF" w:rsidRPr="003003C0" w:rsidRDefault="004F64EF" w:rsidP="001F3C85">
            <w:pPr>
              <w:jc w:val="left"/>
              <w:rPr>
                <w:color w:val="000000"/>
                <w:sz w:val="15"/>
                <w:szCs w:val="15"/>
              </w:rPr>
            </w:pPr>
            <w:r w:rsidRPr="003003C0">
              <w:rPr>
                <w:color w:val="000000"/>
                <w:sz w:val="15"/>
                <w:szCs w:val="15"/>
              </w:rPr>
              <w:t>L</w:t>
            </w:r>
            <w:r>
              <w:rPr>
                <w:color w:val="000000"/>
                <w:sz w:val="15"/>
                <w:szCs w:val="15"/>
              </w:rPr>
              <w:t>aw</w:t>
            </w:r>
            <w:r w:rsidRPr="003003C0">
              <w:rPr>
                <w:color w:val="000000"/>
                <w:sz w:val="15"/>
                <w:szCs w:val="15"/>
              </w:rPr>
              <w:t xml:space="preserve"> N</w:t>
            </w:r>
            <w:r>
              <w:rPr>
                <w:color w:val="000000"/>
                <w:sz w:val="15"/>
                <w:szCs w:val="15"/>
              </w:rPr>
              <w:t>o.</w:t>
            </w:r>
            <w:r w:rsidRPr="003003C0">
              <w:rPr>
                <w:color w:val="000000"/>
                <w:sz w:val="15"/>
                <w:szCs w:val="15"/>
              </w:rPr>
              <w:t xml:space="preserve"> 64-00</w:t>
            </w:r>
          </w:p>
        </w:tc>
        <w:tc>
          <w:tcPr>
            <w:tcW w:w="3823" w:type="pct"/>
          </w:tcPr>
          <w:p w14:paraId="2BFB9E39" w14:textId="77777777" w:rsidR="004F64EF" w:rsidRPr="003003C0" w:rsidRDefault="004F64EF" w:rsidP="001F3C85">
            <w:pPr>
              <w:jc w:val="left"/>
              <w:rPr>
                <w:color w:val="000000"/>
                <w:sz w:val="15"/>
                <w:szCs w:val="15"/>
              </w:rPr>
            </w:pPr>
            <w:r>
              <w:rPr>
                <w:color w:val="000000"/>
                <w:sz w:val="15"/>
                <w:szCs w:val="15"/>
              </w:rPr>
              <w:t xml:space="preserve">General </w:t>
            </w:r>
            <w:r w:rsidRPr="00BE68CD">
              <w:rPr>
                <w:color w:val="000000"/>
                <w:sz w:val="15"/>
                <w:szCs w:val="15"/>
              </w:rPr>
              <w:t>Law on the Environment and Natural Resources</w:t>
            </w:r>
          </w:p>
        </w:tc>
      </w:tr>
      <w:tr w:rsidR="004F64EF" w:rsidRPr="003003C0" w14:paraId="6631E95D" w14:textId="77777777" w:rsidTr="007D1CF6">
        <w:trPr>
          <w:cnfStyle w:val="000000010000" w:firstRow="0" w:lastRow="0" w:firstColumn="0" w:lastColumn="0" w:oddVBand="0" w:evenVBand="0" w:oddHBand="0" w:evenHBand="1" w:firstRowFirstColumn="0" w:firstRowLastColumn="0" w:lastRowFirstColumn="0" w:lastRowLastColumn="0"/>
        </w:trPr>
        <w:tc>
          <w:tcPr>
            <w:tcW w:w="1177" w:type="pct"/>
          </w:tcPr>
          <w:p w14:paraId="49061BCC" w14:textId="77777777" w:rsidR="004F64EF" w:rsidRPr="003003C0" w:rsidRDefault="004F64EF" w:rsidP="001F3C85">
            <w:pPr>
              <w:jc w:val="left"/>
              <w:rPr>
                <w:color w:val="000000"/>
                <w:sz w:val="15"/>
                <w:szCs w:val="15"/>
              </w:rPr>
            </w:pPr>
            <w:r w:rsidRPr="003003C0">
              <w:rPr>
                <w:sz w:val="15"/>
                <w:szCs w:val="15"/>
              </w:rPr>
              <w:t>Resolu</w:t>
            </w:r>
            <w:r>
              <w:rPr>
                <w:sz w:val="15"/>
                <w:szCs w:val="15"/>
              </w:rPr>
              <w:t>tion</w:t>
            </w:r>
            <w:r w:rsidRPr="003003C0">
              <w:rPr>
                <w:sz w:val="15"/>
                <w:szCs w:val="15"/>
              </w:rPr>
              <w:t xml:space="preserve"> N</w:t>
            </w:r>
            <w:r>
              <w:rPr>
                <w:sz w:val="15"/>
                <w:szCs w:val="15"/>
              </w:rPr>
              <w:t>o.</w:t>
            </w:r>
            <w:r w:rsidRPr="003003C0">
              <w:rPr>
                <w:sz w:val="15"/>
                <w:szCs w:val="15"/>
              </w:rPr>
              <w:t xml:space="preserve"> 06-08</w:t>
            </w:r>
          </w:p>
        </w:tc>
        <w:tc>
          <w:tcPr>
            <w:tcW w:w="3823" w:type="pct"/>
          </w:tcPr>
          <w:p w14:paraId="0A652B11" w14:textId="77777777" w:rsidR="004F64EF" w:rsidRPr="003003C0" w:rsidRDefault="004F64EF" w:rsidP="001F3C85">
            <w:pPr>
              <w:jc w:val="left"/>
              <w:rPr>
                <w:color w:val="000000"/>
                <w:sz w:val="15"/>
                <w:szCs w:val="15"/>
              </w:rPr>
            </w:pPr>
            <w:r w:rsidRPr="00BE68CD">
              <w:rPr>
                <w:sz w:val="15"/>
                <w:szCs w:val="15"/>
              </w:rPr>
              <w:t>Establishes a close season for the cultivation of aubergines</w:t>
            </w:r>
            <w:r>
              <w:rPr>
                <w:sz w:val="15"/>
                <w:szCs w:val="15"/>
              </w:rPr>
              <w:t xml:space="preserve"> (eggplants)</w:t>
            </w:r>
            <w:r w:rsidRPr="00BE68CD">
              <w:rPr>
                <w:sz w:val="15"/>
                <w:szCs w:val="15"/>
              </w:rPr>
              <w:t>, melons, watermelons, cucumbers, okra, all types of chilli peppers, winter squash, cotton and other plants</w:t>
            </w:r>
          </w:p>
        </w:tc>
      </w:tr>
      <w:tr w:rsidR="004F64EF" w:rsidRPr="003003C0" w14:paraId="7A5ED9DB" w14:textId="77777777" w:rsidTr="007D1CF6">
        <w:tc>
          <w:tcPr>
            <w:tcW w:w="1177" w:type="pct"/>
          </w:tcPr>
          <w:p w14:paraId="23D28BD9" w14:textId="77777777" w:rsidR="004F64EF" w:rsidRPr="003003C0" w:rsidRDefault="004F64EF" w:rsidP="001F3C85">
            <w:pPr>
              <w:jc w:val="left"/>
              <w:rPr>
                <w:sz w:val="15"/>
                <w:szCs w:val="15"/>
              </w:rPr>
            </w:pPr>
            <w:r w:rsidRPr="003003C0">
              <w:rPr>
                <w:sz w:val="15"/>
                <w:szCs w:val="15"/>
              </w:rPr>
              <w:t>Resolu</w:t>
            </w:r>
            <w:r>
              <w:rPr>
                <w:sz w:val="15"/>
                <w:szCs w:val="15"/>
              </w:rPr>
              <w:t>tion</w:t>
            </w:r>
            <w:r w:rsidRPr="003003C0">
              <w:rPr>
                <w:sz w:val="15"/>
                <w:szCs w:val="15"/>
              </w:rPr>
              <w:t xml:space="preserve"> N</w:t>
            </w:r>
            <w:r>
              <w:rPr>
                <w:sz w:val="15"/>
                <w:szCs w:val="15"/>
              </w:rPr>
              <w:t>o.</w:t>
            </w:r>
            <w:r w:rsidRPr="003003C0">
              <w:rPr>
                <w:sz w:val="15"/>
                <w:szCs w:val="15"/>
              </w:rPr>
              <w:t xml:space="preserve"> 39-08</w:t>
            </w:r>
          </w:p>
        </w:tc>
        <w:tc>
          <w:tcPr>
            <w:tcW w:w="3823" w:type="pct"/>
          </w:tcPr>
          <w:p w14:paraId="5F4BCF5C" w14:textId="77777777" w:rsidR="004F64EF" w:rsidRPr="003003C0" w:rsidRDefault="004F64EF" w:rsidP="001F3C85">
            <w:pPr>
              <w:jc w:val="left"/>
              <w:rPr>
                <w:sz w:val="15"/>
                <w:szCs w:val="15"/>
              </w:rPr>
            </w:pPr>
            <w:r w:rsidRPr="00BE68CD">
              <w:rPr>
                <w:sz w:val="15"/>
                <w:szCs w:val="15"/>
              </w:rPr>
              <w:t>Prohibits the movement of planting materials for yautia plants</w:t>
            </w:r>
          </w:p>
        </w:tc>
      </w:tr>
      <w:tr w:rsidR="004F64EF" w:rsidRPr="003003C0" w14:paraId="2CF98C62" w14:textId="77777777" w:rsidTr="007D1CF6">
        <w:trPr>
          <w:cnfStyle w:val="000000010000" w:firstRow="0" w:lastRow="0" w:firstColumn="0" w:lastColumn="0" w:oddVBand="0" w:evenVBand="0" w:oddHBand="0" w:evenHBand="1" w:firstRowFirstColumn="0" w:firstRowLastColumn="0" w:lastRowFirstColumn="0" w:lastRowLastColumn="0"/>
        </w:trPr>
        <w:tc>
          <w:tcPr>
            <w:tcW w:w="1177" w:type="pct"/>
          </w:tcPr>
          <w:p w14:paraId="23D893CE" w14:textId="77777777" w:rsidR="004F64EF" w:rsidRPr="003003C0" w:rsidRDefault="004F64EF" w:rsidP="001F3C85">
            <w:pPr>
              <w:jc w:val="left"/>
              <w:rPr>
                <w:sz w:val="15"/>
                <w:szCs w:val="15"/>
              </w:rPr>
            </w:pPr>
            <w:r w:rsidRPr="003003C0">
              <w:rPr>
                <w:sz w:val="15"/>
                <w:szCs w:val="15"/>
              </w:rPr>
              <w:t>Resolu</w:t>
            </w:r>
            <w:r>
              <w:rPr>
                <w:sz w:val="15"/>
                <w:szCs w:val="15"/>
              </w:rPr>
              <w:t>tion</w:t>
            </w:r>
            <w:r w:rsidRPr="003003C0">
              <w:rPr>
                <w:sz w:val="15"/>
                <w:szCs w:val="15"/>
              </w:rPr>
              <w:t xml:space="preserve"> N</w:t>
            </w:r>
            <w:r>
              <w:rPr>
                <w:sz w:val="15"/>
                <w:szCs w:val="15"/>
              </w:rPr>
              <w:t>o.</w:t>
            </w:r>
            <w:r w:rsidRPr="003003C0">
              <w:rPr>
                <w:sz w:val="15"/>
                <w:szCs w:val="15"/>
              </w:rPr>
              <w:t xml:space="preserve"> 47-08</w:t>
            </w:r>
          </w:p>
        </w:tc>
        <w:tc>
          <w:tcPr>
            <w:tcW w:w="3823" w:type="pct"/>
          </w:tcPr>
          <w:p w14:paraId="46AB1962" w14:textId="77777777" w:rsidR="004F64EF" w:rsidRPr="003003C0" w:rsidRDefault="004F64EF" w:rsidP="001F3C85">
            <w:pPr>
              <w:jc w:val="left"/>
              <w:rPr>
                <w:sz w:val="15"/>
                <w:szCs w:val="15"/>
              </w:rPr>
            </w:pPr>
            <w:r w:rsidRPr="00BE68CD">
              <w:rPr>
                <w:sz w:val="15"/>
                <w:szCs w:val="15"/>
              </w:rPr>
              <w:t xml:space="preserve">Establishes a </w:t>
            </w:r>
            <w:r>
              <w:rPr>
                <w:sz w:val="15"/>
                <w:szCs w:val="15"/>
              </w:rPr>
              <w:t>t</w:t>
            </w:r>
            <w:r w:rsidRPr="00BE68CD">
              <w:rPr>
                <w:sz w:val="15"/>
                <w:szCs w:val="15"/>
              </w:rPr>
              <w:t xml:space="preserve">echnical </w:t>
            </w:r>
            <w:r>
              <w:rPr>
                <w:sz w:val="15"/>
                <w:szCs w:val="15"/>
              </w:rPr>
              <w:t>c</w:t>
            </w:r>
            <w:r w:rsidRPr="00BE68CD">
              <w:rPr>
                <w:sz w:val="15"/>
                <w:szCs w:val="15"/>
              </w:rPr>
              <w:t>ommittee for the management of citrus greening disease (</w:t>
            </w:r>
            <w:proofErr w:type="spellStart"/>
            <w:r w:rsidRPr="00BE68CD">
              <w:rPr>
                <w:sz w:val="15"/>
                <w:szCs w:val="15"/>
              </w:rPr>
              <w:t>Huanglongbing</w:t>
            </w:r>
            <w:proofErr w:type="spellEnd"/>
            <w:r w:rsidRPr="00BE68CD">
              <w:rPr>
                <w:sz w:val="15"/>
                <w:szCs w:val="15"/>
              </w:rPr>
              <w:t>)</w:t>
            </w:r>
          </w:p>
        </w:tc>
      </w:tr>
      <w:tr w:rsidR="004F64EF" w:rsidRPr="003003C0" w14:paraId="03211AF2" w14:textId="77777777" w:rsidTr="007D1CF6">
        <w:tc>
          <w:tcPr>
            <w:tcW w:w="1177" w:type="pct"/>
          </w:tcPr>
          <w:p w14:paraId="7C8B65E3" w14:textId="77777777" w:rsidR="004F64EF" w:rsidRPr="003003C0" w:rsidRDefault="004F64EF" w:rsidP="001F3C85">
            <w:pPr>
              <w:jc w:val="left"/>
              <w:rPr>
                <w:b/>
                <w:sz w:val="15"/>
                <w:szCs w:val="15"/>
              </w:rPr>
            </w:pPr>
            <w:r w:rsidRPr="003003C0">
              <w:rPr>
                <w:sz w:val="15"/>
                <w:szCs w:val="15"/>
              </w:rPr>
              <w:t>Resolu</w:t>
            </w:r>
            <w:r>
              <w:rPr>
                <w:sz w:val="15"/>
                <w:szCs w:val="15"/>
              </w:rPr>
              <w:t>tion</w:t>
            </w:r>
            <w:r w:rsidRPr="003003C0">
              <w:rPr>
                <w:sz w:val="15"/>
                <w:szCs w:val="15"/>
              </w:rPr>
              <w:t xml:space="preserve"> N</w:t>
            </w:r>
            <w:r>
              <w:rPr>
                <w:sz w:val="15"/>
                <w:szCs w:val="15"/>
              </w:rPr>
              <w:t>o.</w:t>
            </w:r>
            <w:r w:rsidRPr="003003C0">
              <w:rPr>
                <w:sz w:val="15"/>
                <w:szCs w:val="15"/>
              </w:rPr>
              <w:t xml:space="preserve"> 50-09</w:t>
            </w:r>
          </w:p>
        </w:tc>
        <w:tc>
          <w:tcPr>
            <w:tcW w:w="3823" w:type="pct"/>
          </w:tcPr>
          <w:p w14:paraId="0AD0B0F3" w14:textId="77777777" w:rsidR="004F64EF" w:rsidRPr="003003C0" w:rsidRDefault="004F64EF" w:rsidP="00BE68CD">
            <w:pPr>
              <w:rPr>
                <w:sz w:val="15"/>
                <w:szCs w:val="15"/>
              </w:rPr>
            </w:pPr>
            <w:r w:rsidRPr="00BE68CD">
              <w:rPr>
                <w:sz w:val="15"/>
                <w:szCs w:val="15"/>
              </w:rPr>
              <w:t>Prohibits the marketing and use of certain pesticides</w:t>
            </w:r>
          </w:p>
        </w:tc>
      </w:tr>
      <w:tr w:rsidR="004F64EF" w:rsidRPr="003003C0" w14:paraId="5F1B830F" w14:textId="77777777" w:rsidTr="007D1CF6">
        <w:trPr>
          <w:cnfStyle w:val="000000010000" w:firstRow="0" w:lastRow="0" w:firstColumn="0" w:lastColumn="0" w:oddVBand="0" w:evenVBand="0" w:oddHBand="0" w:evenHBand="1" w:firstRowFirstColumn="0" w:firstRowLastColumn="0" w:lastRowFirstColumn="0" w:lastRowLastColumn="0"/>
        </w:trPr>
        <w:tc>
          <w:tcPr>
            <w:tcW w:w="1177" w:type="pct"/>
          </w:tcPr>
          <w:p w14:paraId="28136007" w14:textId="77777777" w:rsidR="004F64EF" w:rsidRPr="003003C0" w:rsidRDefault="004F64EF" w:rsidP="001F3C85">
            <w:pPr>
              <w:jc w:val="left"/>
              <w:rPr>
                <w:sz w:val="15"/>
                <w:szCs w:val="15"/>
              </w:rPr>
            </w:pPr>
            <w:r w:rsidRPr="003003C0">
              <w:rPr>
                <w:sz w:val="15"/>
                <w:szCs w:val="15"/>
              </w:rPr>
              <w:t>Resolu</w:t>
            </w:r>
            <w:r>
              <w:rPr>
                <w:sz w:val="15"/>
                <w:szCs w:val="15"/>
              </w:rPr>
              <w:t>tion</w:t>
            </w:r>
            <w:r w:rsidRPr="003003C0">
              <w:rPr>
                <w:sz w:val="15"/>
                <w:szCs w:val="15"/>
              </w:rPr>
              <w:t xml:space="preserve"> N</w:t>
            </w:r>
            <w:r>
              <w:rPr>
                <w:sz w:val="15"/>
                <w:szCs w:val="15"/>
              </w:rPr>
              <w:t>o.</w:t>
            </w:r>
            <w:r w:rsidRPr="003003C0">
              <w:rPr>
                <w:sz w:val="15"/>
                <w:szCs w:val="15"/>
              </w:rPr>
              <w:t xml:space="preserve"> 26-09</w:t>
            </w:r>
          </w:p>
        </w:tc>
        <w:tc>
          <w:tcPr>
            <w:tcW w:w="3823" w:type="pct"/>
          </w:tcPr>
          <w:p w14:paraId="0A57A32C" w14:textId="77777777" w:rsidR="004F64EF" w:rsidRPr="003003C0" w:rsidRDefault="004F64EF" w:rsidP="001F3C85">
            <w:pPr>
              <w:jc w:val="left"/>
              <w:rPr>
                <w:sz w:val="15"/>
                <w:szCs w:val="15"/>
              </w:rPr>
            </w:pPr>
            <w:r w:rsidRPr="00BE68CD">
              <w:rPr>
                <w:sz w:val="15"/>
                <w:szCs w:val="15"/>
              </w:rPr>
              <w:t>Adopts the Manual of Quarantine Procedures for Plants and Plant Products and By</w:t>
            </w:r>
            <w:r>
              <w:rPr>
                <w:sz w:val="15"/>
                <w:szCs w:val="15"/>
              </w:rPr>
              <w:noBreakHyphen/>
            </w:r>
            <w:r w:rsidRPr="00BE68CD">
              <w:rPr>
                <w:sz w:val="15"/>
                <w:szCs w:val="15"/>
              </w:rPr>
              <w:t>products</w:t>
            </w:r>
          </w:p>
        </w:tc>
      </w:tr>
      <w:tr w:rsidR="004F64EF" w:rsidRPr="003003C0" w14:paraId="59477987" w14:textId="77777777" w:rsidTr="007D1CF6">
        <w:tc>
          <w:tcPr>
            <w:tcW w:w="1177" w:type="pct"/>
          </w:tcPr>
          <w:p w14:paraId="3D7FB981" w14:textId="77777777" w:rsidR="004F64EF" w:rsidRPr="003003C0" w:rsidRDefault="004F64EF" w:rsidP="001F3C85">
            <w:pPr>
              <w:jc w:val="left"/>
              <w:rPr>
                <w:sz w:val="15"/>
                <w:szCs w:val="15"/>
              </w:rPr>
            </w:pPr>
            <w:r w:rsidRPr="003003C0">
              <w:rPr>
                <w:sz w:val="15"/>
                <w:szCs w:val="15"/>
              </w:rPr>
              <w:t>Reg</w:t>
            </w:r>
            <w:r>
              <w:rPr>
                <w:sz w:val="15"/>
                <w:szCs w:val="15"/>
              </w:rPr>
              <w:t>ulation</w:t>
            </w:r>
            <w:r w:rsidRPr="003003C0">
              <w:rPr>
                <w:sz w:val="15"/>
                <w:szCs w:val="15"/>
              </w:rPr>
              <w:t xml:space="preserve"> N</w:t>
            </w:r>
            <w:r>
              <w:rPr>
                <w:sz w:val="15"/>
                <w:szCs w:val="15"/>
              </w:rPr>
              <w:t>o.</w:t>
            </w:r>
            <w:r w:rsidRPr="003003C0">
              <w:rPr>
                <w:sz w:val="15"/>
                <w:szCs w:val="15"/>
              </w:rPr>
              <w:t xml:space="preserve"> 244-10</w:t>
            </w:r>
          </w:p>
        </w:tc>
        <w:tc>
          <w:tcPr>
            <w:tcW w:w="3823" w:type="pct"/>
          </w:tcPr>
          <w:p w14:paraId="67FC68A5" w14:textId="77777777" w:rsidR="004F64EF" w:rsidRPr="003003C0" w:rsidRDefault="004F64EF" w:rsidP="001F3C85">
            <w:pPr>
              <w:jc w:val="left"/>
              <w:rPr>
                <w:sz w:val="15"/>
                <w:szCs w:val="15"/>
              </w:rPr>
            </w:pPr>
            <w:r w:rsidRPr="00BE68CD">
              <w:rPr>
                <w:sz w:val="15"/>
                <w:szCs w:val="15"/>
              </w:rPr>
              <w:t>Maximum residue limits for pesticides in fruit, vegetables and related products</w:t>
            </w:r>
          </w:p>
        </w:tc>
      </w:tr>
      <w:tr w:rsidR="004F64EF" w:rsidRPr="003003C0" w14:paraId="7776A700" w14:textId="77777777" w:rsidTr="007D1CF6">
        <w:trPr>
          <w:cnfStyle w:val="000000010000" w:firstRow="0" w:lastRow="0" w:firstColumn="0" w:lastColumn="0" w:oddVBand="0" w:evenVBand="0" w:oddHBand="0" w:evenHBand="1" w:firstRowFirstColumn="0" w:firstRowLastColumn="0" w:lastRowFirstColumn="0" w:lastRowLastColumn="0"/>
        </w:trPr>
        <w:tc>
          <w:tcPr>
            <w:tcW w:w="1177" w:type="pct"/>
          </w:tcPr>
          <w:p w14:paraId="260E05FD" w14:textId="77777777" w:rsidR="004F64EF" w:rsidRPr="003003C0" w:rsidRDefault="004F64EF" w:rsidP="001F3C85">
            <w:pPr>
              <w:jc w:val="left"/>
              <w:rPr>
                <w:sz w:val="15"/>
                <w:szCs w:val="15"/>
              </w:rPr>
            </w:pPr>
            <w:r w:rsidRPr="003003C0">
              <w:rPr>
                <w:sz w:val="15"/>
                <w:szCs w:val="15"/>
              </w:rPr>
              <w:t>Resolu</w:t>
            </w:r>
            <w:r>
              <w:rPr>
                <w:sz w:val="15"/>
                <w:szCs w:val="15"/>
              </w:rPr>
              <w:t>tion</w:t>
            </w:r>
            <w:r w:rsidRPr="003003C0">
              <w:rPr>
                <w:sz w:val="15"/>
                <w:szCs w:val="15"/>
              </w:rPr>
              <w:t xml:space="preserve"> N</w:t>
            </w:r>
            <w:r>
              <w:rPr>
                <w:sz w:val="15"/>
                <w:szCs w:val="15"/>
              </w:rPr>
              <w:t>o.</w:t>
            </w:r>
            <w:r w:rsidRPr="003003C0">
              <w:rPr>
                <w:sz w:val="15"/>
                <w:szCs w:val="15"/>
              </w:rPr>
              <w:t xml:space="preserve"> 5-11</w:t>
            </w:r>
          </w:p>
        </w:tc>
        <w:tc>
          <w:tcPr>
            <w:tcW w:w="3823" w:type="pct"/>
          </w:tcPr>
          <w:p w14:paraId="03087B81" w14:textId="77777777" w:rsidR="004F64EF" w:rsidRPr="003003C0" w:rsidRDefault="004F64EF" w:rsidP="001F3C85">
            <w:pPr>
              <w:jc w:val="left"/>
              <w:rPr>
                <w:sz w:val="15"/>
                <w:szCs w:val="15"/>
              </w:rPr>
            </w:pPr>
            <w:r w:rsidRPr="00BE68CD">
              <w:rPr>
                <w:sz w:val="15"/>
                <w:szCs w:val="15"/>
              </w:rPr>
              <w:t>Eliminates the restricted use of the agrochemical paraquat</w:t>
            </w:r>
          </w:p>
        </w:tc>
      </w:tr>
      <w:tr w:rsidR="004F64EF" w:rsidRPr="003003C0" w14:paraId="4FE8D443" w14:textId="77777777" w:rsidTr="007D1CF6">
        <w:tc>
          <w:tcPr>
            <w:tcW w:w="1177" w:type="pct"/>
          </w:tcPr>
          <w:p w14:paraId="1DF1B27A" w14:textId="77777777" w:rsidR="004F64EF" w:rsidRPr="003003C0" w:rsidRDefault="004F64EF" w:rsidP="001F3C85">
            <w:pPr>
              <w:jc w:val="left"/>
              <w:rPr>
                <w:sz w:val="15"/>
                <w:szCs w:val="15"/>
              </w:rPr>
            </w:pPr>
            <w:r w:rsidRPr="003003C0">
              <w:rPr>
                <w:sz w:val="15"/>
                <w:szCs w:val="15"/>
              </w:rPr>
              <w:t>Resolu</w:t>
            </w:r>
            <w:r>
              <w:rPr>
                <w:sz w:val="15"/>
                <w:szCs w:val="15"/>
              </w:rPr>
              <w:t>tion</w:t>
            </w:r>
            <w:r w:rsidRPr="003003C0">
              <w:rPr>
                <w:sz w:val="15"/>
                <w:szCs w:val="15"/>
              </w:rPr>
              <w:t xml:space="preserve"> N</w:t>
            </w:r>
            <w:r>
              <w:rPr>
                <w:sz w:val="15"/>
                <w:szCs w:val="15"/>
              </w:rPr>
              <w:t>o.</w:t>
            </w:r>
            <w:r w:rsidRPr="003003C0">
              <w:rPr>
                <w:sz w:val="15"/>
                <w:szCs w:val="15"/>
              </w:rPr>
              <w:t xml:space="preserve"> 38-11</w:t>
            </w:r>
          </w:p>
        </w:tc>
        <w:tc>
          <w:tcPr>
            <w:tcW w:w="3823" w:type="pct"/>
          </w:tcPr>
          <w:p w14:paraId="5C58A618" w14:textId="77777777" w:rsidR="004F64EF" w:rsidRPr="003003C0" w:rsidRDefault="004F64EF" w:rsidP="001F3C85">
            <w:pPr>
              <w:jc w:val="left"/>
              <w:rPr>
                <w:sz w:val="15"/>
                <w:szCs w:val="15"/>
              </w:rPr>
            </w:pPr>
            <w:r w:rsidRPr="0058513E">
              <w:rPr>
                <w:sz w:val="15"/>
                <w:szCs w:val="15"/>
              </w:rPr>
              <w:t>Establishes a close season for the cultivation of aubergines (eggplants), melons, watermelons, cucumbers and other plants proven to host whitefly and/or viruses</w:t>
            </w:r>
          </w:p>
        </w:tc>
      </w:tr>
      <w:tr w:rsidR="004F64EF" w:rsidRPr="003003C0" w14:paraId="096C1BB9" w14:textId="77777777" w:rsidTr="007D1CF6">
        <w:trPr>
          <w:cnfStyle w:val="000000010000" w:firstRow="0" w:lastRow="0" w:firstColumn="0" w:lastColumn="0" w:oddVBand="0" w:evenVBand="0" w:oddHBand="0" w:evenHBand="1" w:firstRowFirstColumn="0" w:firstRowLastColumn="0" w:lastRowFirstColumn="0" w:lastRowLastColumn="0"/>
        </w:trPr>
        <w:tc>
          <w:tcPr>
            <w:tcW w:w="1177" w:type="pct"/>
          </w:tcPr>
          <w:p w14:paraId="3223FD9C" w14:textId="77777777" w:rsidR="004F64EF" w:rsidRPr="003003C0" w:rsidRDefault="004F64EF" w:rsidP="001F3C85">
            <w:pPr>
              <w:jc w:val="left"/>
              <w:rPr>
                <w:sz w:val="15"/>
                <w:szCs w:val="15"/>
              </w:rPr>
            </w:pPr>
            <w:r w:rsidRPr="003003C0">
              <w:rPr>
                <w:sz w:val="15"/>
                <w:szCs w:val="15"/>
              </w:rPr>
              <w:t>Resolu</w:t>
            </w:r>
            <w:r>
              <w:rPr>
                <w:sz w:val="15"/>
                <w:szCs w:val="15"/>
              </w:rPr>
              <w:t>tion</w:t>
            </w:r>
            <w:r w:rsidRPr="003003C0">
              <w:rPr>
                <w:sz w:val="15"/>
                <w:szCs w:val="15"/>
              </w:rPr>
              <w:t xml:space="preserve"> N</w:t>
            </w:r>
            <w:r>
              <w:rPr>
                <w:sz w:val="15"/>
                <w:szCs w:val="15"/>
              </w:rPr>
              <w:t>o.</w:t>
            </w:r>
            <w:r w:rsidRPr="003003C0">
              <w:rPr>
                <w:sz w:val="15"/>
                <w:szCs w:val="15"/>
              </w:rPr>
              <w:t xml:space="preserve"> 41-11</w:t>
            </w:r>
          </w:p>
        </w:tc>
        <w:tc>
          <w:tcPr>
            <w:tcW w:w="3823" w:type="pct"/>
          </w:tcPr>
          <w:p w14:paraId="29C51966" w14:textId="77777777" w:rsidR="004F64EF" w:rsidRPr="003003C0" w:rsidRDefault="004F64EF" w:rsidP="001F3C85">
            <w:pPr>
              <w:jc w:val="left"/>
              <w:rPr>
                <w:sz w:val="15"/>
                <w:szCs w:val="15"/>
              </w:rPr>
            </w:pPr>
            <w:r w:rsidRPr="005E3F91">
              <w:rPr>
                <w:sz w:val="15"/>
                <w:szCs w:val="15"/>
              </w:rPr>
              <w:t>Establishes the Pest Risk Analysis Committee of the Department of Plant Health</w:t>
            </w:r>
          </w:p>
        </w:tc>
      </w:tr>
      <w:tr w:rsidR="004F64EF" w:rsidRPr="003003C0" w14:paraId="069E6ED6" w14:textId="77777777" w:rsidTr="007D1CF6">
        <w:tc>
          <w:tcPr>
            <w:tcW w:w="1177" w:type="pct"/>
          </w:tcPr>
          <w:p w14:paraId="13704E7E" w14:textId="77777777" w:rsidR="004F64EF" w:rsidRPr="003003C0" w:rsidRDefault="004F64EF" w:rsidP="001F3C85">
            <w:pPr>
              <w:jc w:val="left"/>
              <w:rPr>
                <w:sz w:val="15"/>
                <w:szCs w:val="15"/>
              </w:rPr>
            </w:pPr>
            <w:r w:rsidRPr="003003C0">
              <w:rPr>
                <w:sz w:val="15"/>
                <w:szCs w:val="15"/>
              </w:rPr>
              <w:t>Resolu</w:t>
            </w:r>
            <w:r>
              <w:rPr>
                <w:sz w:val="15"/>
                <w:szCs w:val="15"/>
              </w:rPr>
              <w:t>tion</w:t>
            </w:r>
            <w:r w:rsidRPr="003003C0">
              <w:rPr>
                <w:sz w:val="15"/>
                <w:szCs w:val="15"/>
              </w:rPr>
              <w:t xml:space="preserve"> N</w:t>
            </w:r>
            <w:r>
              <w:rPr>
                <w:sz w:val="15"/>
                <w:szCs w:val="15"/>
              </w:rPr>
              <w:t>o.</w:t>
            </w:r>
            <w:r w:rsidRPr="003003C0">
              <w:rPr>
                <w:sz w:val="15"/>
                <w:szCs w:val="15"/>
              </w:rPr>
              <w:t xml:space="preserve"> 61-11</w:t>
            </w:r>
          </w:p>
        </w:tc>
        <w:tc>
          <w:tcPr>
            <w:tcW w:w="3823" w:type="pct"/>
          </w:tcPr>
          <w:p w14:paraId="567FF9C9" w14:textId="77777777" w:rsidR="004F64EF" w:rsidRPr="003003C0" w:rsidRDefault="004F64EF" w:rsidP="001F3C85">
            <w:pPr>
              <w:jc w:val="left"/>
              <w:rPr>
                <w:sz w:val="15"/>
                <w:szCs w:val="15"/>
              </w:rPr>
            </w:pPr>
            <w:r w:rsidRPr="005E3F91">
              <w:rPr>
                <w:sz w:val="15"/>
                <w:szCs w:val="15"/>
              </w:rPr>
              <w:t>Prohibits the marketing of certain pesticides</w:t>
            </w:r>
          </w:p>
        </w:tc>
      </w:tr>
      <w:tr w:rsidR="004F64EF" w:rsidRPr="003003C0" w14:paraId="444D5388" w14:textId="77777777" w:rsidTr="007D1CF6">
        <w:trPr>
          <w:cnfStyle w:val="000000010000" w:firstRow="0" w:lastRow="0" w:firstColumn="0" w:lastColumn="0" w:oddVBand="0" w:evenVBand="0" w:oddHBand="0" w:evenHBand="1" w:firstRowFirstColumn="0" w:firstRowLastColumn="0" w:lastRowFirstColumn="0" w:lastRowLastColumn="0"/>
        </w:trPr>
        <w:tc>
          <w:tcPr>
            <w:tcW w:w="1177" w:type="pct"/>
          </w:tcPr>
          <w:p w14:paraId="070EC0EB" w14:textId="77777777" w:rsidR="004F64EF" w:rsidRPr="003003C0" w:rsidRDefault="004F64EF" w:rsidP="001F3C85">
            <w:pPr>
              <w:jc w:val="left"/>
              <w:rPr>
                <w:sz w:val="15"/>
                <w:szCs w:val="15"/>
              </w:rPr>
            </w:pPr>
            <w:r w:rsidRPr="003003C0">
              <w:rPr>
                <w:sz w:val="15"/>
                <w:szCs w:val="15"/>
              </w:rPr>
              <w:t>Resolu</w:t>
            </w:r>
            <w:r>
              <w:rPr>
                <w:sz w:val="15"/>
                <w:szCs w:val="15"/>
              </w:rPr>
              <w:t>tion</w:t>
            </w:r>
            <w:r w:rsidRPr="003003C0">
              <w:rPr>
                <w:sz w:val="15"/>
                <w:szCs w:val="15"/>
              </w:rPr>
              <w:t xml:space="preserve"> N</w:t>
            </w:r>
            <w:r>
              <w:rPr>
                <w:sz w:val="15"/>
                <w:szCs w:val="15"/>
              </w:rPr>
              <w:t>o.</w:t>
            </w:r>
            <w:r w:rsidRPr="003003C0">
              <w:rPr>
                <w:sz w:val="15"/>
                <w:szCs w:val="15"/>
              </w:rPr>
              <w:t xml:space="preserve"> 8-12</w:t>
            </w:r>
          </w:p>
        </w:tc>
        <w:tc>
          <w:tcPr>
            <w:tcW w:w="3823" w:type="pct"/>
          </w:tcPr>
          <w:p w14:paraId="5C0B9B2F" w14:textId="77777777" w:rsidR="004F64EF" w:rsidRPr="003003C0" w:rsidRDefault="004F64EF" w:rsidP="001F3C85">
            <w:pPr>
              <w:jc w:val="left"/>
              <w:rPr>
                <w:sz w:val="15"/>
                <w:szCs w:val="15"/>
              </w:rPr>
            </w:pPr>
            <w:r w:rsidRPr="005E3F91">
              <w:rPr>
                <w:sz w:val="15"/>
                <w:szCs w:val="15"/>
              </w:rPr>
              <w:t>Removes paraquat from the list of products that cannot be imported, manufactured, marketed or used in the Dominican Republic</w:t>
            </w:r>
          </w:p>
        </w:tc>
      </w:tr>
      <w:tr w:rsidR="004F64EF" w:rsidRPr="003003C0" w14:paraId="2DE844BD" w14:textId="77777777" w:rsidTr="007D1CF6">
        <w:tc>
          <w:tcPr>
            <w:tcW w:w="1177" w:type="pct"/>
          </w:tcPr>
          <w:p w14:paraId="658A731A" w14:textId="77777777" w:rsidR="004F64EF" w:rsidRPr="003003C0" w:rsidRDefault="004F64EF" w:rsidP="001F3C85">
            <w:pPr>
              <w:jc w:val="left"/>
              <w:rPr>
                <w:sz w:val="15"/>
                <w:szCs w:val="15"/>
              </w:rPr>
            </w:pPr>
            <w:r w:rsidRPr="003003C0">
              <w:rPr>
                <w:sz w:val="15"/>
                <w:szCs w:val="15"/>
              </w:rPr>
              <w:t>Resolu</w:t>
            </w:r>
            <w:r>
              <w:rPr>
                <w:sz w:val="15"/>
                <w:szCs w:val="15"/>
              </w:rPr>
              <w:t>tion</w:t>
            </w:r>
            <w:r w:rsidRPr="003003C0">
              <w:rPr>
                <w:sz w:val="15"/>
                <w:szCs w:val="15"/>
              </w:rPr>
              <w:t xml:space="preserve"> N</w:t>
            </w:r>
            <w:r>
              <w:rPr>
                <w:sz w:val="15"/>
                <w:szCs w:val="15"/>
              </w:rPr>
              <w:t>o.</w:t>
            </w:r>
            <w:r w:rsidRPr="003003C0">
              <w:rPr>
                <w:sz w:val="15"/>
                <w:szCs w:val="15"/>
              </w:rPr>
              <w:t xml:space="preserve"> 31-13</w:t>
            </w:r>
          </w:p>
        </w:tc>
        <w:tc>
          <w:tcPr>
            <w:tcW w:w="3823" w:type="pct"/>
          </w:tcPr>
          <w:p w14:paraId="0B6E9F77" w14:textId="77777777" w:rsidR="004F64EF" w:rsidRPr="003003C0" w:rsidRDefault="004F64EF" w:rsidP="001F3C85">
            <w:pPr>
              <w:jc w:val="left"/>
              <w:rPr>
                <w:sz w:val="15"/>
                <w:szCs w:val="15"/>
              </w:rPr>
            </w:pPr>
            <w:r>
              <w:rPr>
                <w:sz w:val="15"/>
                <w:szCs w:val="15"/>
              </w:rPr>
              <w:t>E</w:t>
            </w:r>
            <w:r w:rsidRPr="00822256">
              <w:rPr>
                <w:sz w:val="15"/>
                <w:szCs w:val="15"/>
              </w:rPr>
              <w:t xml:space="preserve">mergency </w:t>
            </w:r>
            <w:r>
              <w:rPr>
                <w:sz w:val="15"/>
                <w:szCs w:val="15"/>
              </w:rPr>
              <w:t>p</w:t>
            </w:r>
            <w:r w:rsidRPr="00822256">
              <w:rPr>
                <w:sz w:val="15"/>
                <w:szCs w:val="15"/>
              </w:rPr>
              <w:t xml:space="preserve">hytosanitary </w:t>
            </w:r>
            <w:r>
              <w:rPr>
                <w:sz w:val="15"/>
                <w:szCs w:val="15"/>
              </w:rPr>
              <w:t>p</w:t>
            </w:r>
            <w:r w:rsidRPr="00822256">
              <w:rPr>
                <w:sz w:val="15"/>
                <w:szCs w:val="15"/>
              </w:rPr>
              <w:t>lan to help control the increased population of Caribbean fruit fly</w:t>
            </w:r>
          </w:p>
        </w:tc>
      </w:tr>
      <w:tr w:rsidR="004F64EF" w:rsidRPr="003003C0" w14:paraId="6651FB47" w14:textId="77777777" w:rsidTr="007D1CF6">
        <w:trPr>
          <w:cnfStyle w:val="000000010000" w:firstRow="0" w:lastRow="0" w:firstColumn="0" w:lastColumn="0" w:oddVBand="0" w:evenVBand="0" w:oddHBand="0" w:evenHBand="1" w:firstRowFirstColumn="0" w:firstRowLastColumn="0" w:lastRowFirstColumn="0" w:lastRowLastColumn="0"/>
        </w:trPr>
        <w:tc>
          <w:tcPr>
            <w:tcW w:w="1177" w:type="pct"/>
          </w:tcPr>
          <w:p w14:paraId="42A1DC74" w14:textId="77777777" w:rsidR="004F64EF" w:rsidRPr="003003C0" w:rsidRDefault="004F64EF" w:rsidP="001F3C85">
            <w:pPr>
              <w:jc w:val="left"/>
              <w:rPr>
                <w:sz w:val="15"/>
                <w:szCs w:val="15"/>
              </w:rPr>
            </w:pPr>
            <w:r w:rsidRPr="003003C0">
              <w:rPr>
                <w:sz w:val="15"/>
                <w:szCs w:val="15"/>
              </w:rPr>
              <w:t>Resolu</w:t>
            </w:r>
            <w:r>
              <w:rPr>
                <w:sz w:val="15"/>
                <w:szCs w:val="15"/>
              </w:rPr>
              <w:t>tion</w:t>
            </w:r>
            <w:r w:rsidRPr="003003C0">
              <w:rPr>
                <w:sz w:val="15"/>
                <w:szCs w:val="15"/>
              </w:rPr>
              <w:t xml:space="preserve"> N</w:t>
            </w:r>
            <w:r>
              <w:rPr>
                <w:sz w:val="15"/>
                <w:szCs w:val="15"/>
              </w:rPr>
              <w:t>o.</w:t>
            </w:r>
            <w:r w:rsidRPr="003003C0">
              <w:rPr>
                <w:sz w:val="15"/>
                <w:szCs w:val="15"/>
              </w:rPr>
              <w:t xml:space="preserve"> 45-13 </w:t>
            </w:r>
          </w:p>
        </w:tc>
        <w:tc>
          <w:tcPr>
            <w:tcW w:w="3823" w:type="pct"/>
          </w:tcPr>
          <w:p w14:paraId="56932728" w14:textId="77777777" w:rsidR="004F64EF" w:rsidRPr="003003C0" w:rsidRDefault="004F64EF" w:rsidP="001F3C85">
            <w:pPr>
              <w:jc w:val="left"/>
              <w:rPr>
                <w:sz w:val="15"/>
                <w:szCs w:val="15"/>
              </w:rPr>
            </w:pPr>
            <w:r w:rsidRPr="00822256">
              <w:rPr>
                <w:sz w:val="15"/>
                <w:szCs w:val="15"/>
              </w:rPr>
              <w:t>Establishes the Phytosanitary Diagnostic Unit for National Samples</w:t>
            </w:r>
          </w:p>
        </w:tc>
      </w:tr>
      <w:tr w:rsidR="004F64EF" w:rsidRPr="003003C0" w14:paraId="3F84AEA2" w14:textId="77777777" w:rsidTr="007D1CF6">
        <w:tc>
          <w:tcPr>
            <w:tcW w:w="1177" w:type="pct"/>
          </w:tcPr>
          <w:p w14:paraId="7221B326" w14:textId="77777777" w:rsidR="004F64EF" w:rsidRPr="003003C0" w:rsidRDefault="004F64EF" w:rsidP="001F3C85">
            <w:pPr>
              <w:jc w:val="left"/>
              <w:rPr>
                <w:sz w:val="15"/>
                <w:szCs w:val="15"/>
              </w:rPr>
            </w:pPr>
            <w:r w:rsidRPr="003003C0">
              <w:rPr>
                <w:sz w:val="15"/>
                <w:szCs w:val="15"/>
              </w:rPr>
              <w:t>Decre</w:t>
            </w:r>
            <w:r>
              <w:rPr>
                <w:sz w:val="15"/>
                <w:szCs w:val="15"/>
              </w:rPr>
              <w:t>e</w:t>
            </w:r>
            <w:r w:rsidRPr="003003C0">
              <w:rPr>
                <w:sz w:val="15"/>
                <w:szCs w:val="15"/>
              </w:rPr>
              <w:t xml:space="preserve"> N</w:t>
            </w:r>
            <w:r>
              <w:rPr>
                <w:sz w:val="15"/>
                <w:szCs w:val="15"/>
              </w:rPr>
              <w:t>o.</w:t>
            </w:r>
            <w:r w:rsidRPr="003003C0">
              <w:rPr>
                <w:sz w:val="15"/>
                <w:szCs w:val="15"/>
              </w:rPr>
              <w:t xml:space="preserve"> 238-13</w:t>
            </w:r>
          </w:p>
        </w:tc>
        <w:tc>
          <w:tcPr>
            <w:tcW w:w="3823" w:type="pct"/>
          </w:tcPr>
          <w:p w14:paraId="11E2A946" w14:textId="77777777" w:rsidR="004F64EF" w:rsidRPr="003003C0" w:rsidRDefault="004F64EF" w:rsidP="001F3C85">
            <w:pPr>
              <w:jc w:val="left"/>
              <w:rPr>
                <w:sz w:val="15"/>
                <w:szCs w:val="15"/>
              </w:rPr>
            </w:pPr>
            <w:r w:rsidRPr="00822256">
              <w:rPr>
                <w:sz w:val="15"/>
                <w:szCs w:val="15"/>
              </w:rPr>
              <w:t>Regulations for the phytosanitary certification of citrus propagation material</w:t>
            </w:r>
          </w:p>
        </w:tc>
      </w:tr>
      <w:tr w:rsidR="004F64EF" w:rsidRPr="003003C0" w14:paraId="5778CC0B" w14:textId="77777777" w:rsidTr="007D1CF6">
        <w:trPr>
          <w:cnfStyle w:val="000000010000" w:firstRow="0" w:lastRow="0" w:firstColumn="0" w:lastColumn="0" w:oddVBand="0" w:evenVBand="0" w:oddHBand="0" w:evenHBand="1" w:firstRowFirstColumn="0" w:firstRowLastColumn="0" w:lastRowFirstColumn="0" w:lastRowLastColumn="0"/>
        </w:trPr>
        <w:tc>
          <w:tcPr>
            <w:tcW w:w="1177" w:type="pct"/>
          </w:tcPr>
          <w:p w14:paraId="602C4C46" w14:textId="77777777" w:rsidR="004F64EF" w:rsidRPr="003003C0" w:rsidRDefault="004F64EF" w:rsidP="001F3C85">
            <w:pPr>
              <w:jc w:val="left"/>
              <w:rPr>
                <w:sz w:val="15"/>
                <w:szCs w:val="15"/>
              </w:rPr>
            </w:pPr>
            <w:r w:rsidRPr="003003C0">
              <w:rPr>
                <w:sz w:val="15"/>
                <w:szCs w:val="15"/>
              </w:rPr>
              <w:t>Resolu</w:t>
            </w:r>
            <w:r>
              <w:rPr>
                <w:sz w:val="15"/>
                <w:szCs w:val="15"/>
              </w:rPr>
              <w:t>tion</w:t>
            </w:r>
            <w:r w:rsidRPr="003003C0">
              <w:rPr>
                <w:sz w:val="15"/>
                <w:szCs w:val="15"/>
              </w:rPr>
              <w:t xml:space="preserve"> N</w:t>
            </w:r>
            <w:r>
              <w:rPr>
                <w:sz w:val="15"/>
                <w:szCs w:val="15"/>
              </w:rPr>
              <w:t>o.</w:t>
            </w:r>
            <w:r w:rsidRPr="003003C0">
              <w:rPr>
                <w:sz w:val="15"/>
                <w:szCs w:val="15"/>
              </w:rPr>
              <w:t xml:space="preserve"> 83-13</w:t>
            </w:r>
          </w:p>
        </w:tc>
        <w:tc>
          <w:tcPr>
            <w:tcW w:w="3823" w:type="pct"/>
          </w:tcPr>
          <w:p w14:paraId="1E7707F4" w14:textId="77777777" w:rsidR="004F64EF" w:rsidRPr="003003C0" w:rsidRDefault="004F64EF" w:rsidP="001F3C85">
            <w:pPr>
              <w:jc w:val="left"/>
              <w:rPr>
                <w:sz w:val="15"/>
                <w:szCs w:val="15"/>
              </w:rPr>
            </w:pPr>
            <w:r w:rsidRPr="00822256">
              <w:rPr>
                <w:sz w:val="15"/>
                <w:szCs w:val="15"/>
              </w:rPr>
              <w:t>Prohibits the importation of cocoa plants, fruit, seeds</w:t>
            </w:r>
            <w:r>
              <w:rPr>
                <w:sz w:val="15"/>
                <w:szCs w:val="15"/>
              </w:rPr>
              <w:t>,</w:t>
            </w:r>
            <w:r w:rsidRPr="00822256">
              <w:rPr>
                <w:sz w:val="15"/>
                <w:szCs w:val="15"/>
              </w:rPr>
              <w:t xml:space="preserve"> etc</w:t>
            </w:r>
            <w:r w:rsidRPr="003003C0">
              <w:rPr>
                <w:sz w:val="15"/>
                <w:szCs w:val="15"/>
              </w:rPr>
              <w:t>.</w:t>
            </w:r>
          </w:p>
        </w:tc>
      </w:tr>
      <w:tr w:rsidR="004F64EF" w:rsidRPr="003003C0" w14:paraId="03D9DEE0" w14:textId="77777777" w:rsidTr="007D1CF6">
        <w:tc>
          <w:tcPr>
            <w:tcW w:w="1177" w:type="pct"/>
          </w:tcPr>
          <w:p w14:paraId="5038A8DF" w14:textId="77777777" w:rsidR="004F64EF" w:rsidRPr="003003C0" w:rsidRDefault="004F64EF" w:rsidP="001F3C85">
            <w:pPr>
              <w:jc w:val="left"/>
              <w:rPr>
                <w:sz w:val="15"/>
                <w:szCs w:val="15"/>
              </w:rPr>
            </w:pPr>
            <w:r w:rsidRPr="003003C0">
              <w:rPr>
                <w:sz w:val="15"/>
                <w:szCs w:val="15"/>
              </w:rPr>
              <w:t>Resolu</w:t>
            </w:r>
            <w:r>
              <w:rPr>
                <w:sz w:val="15"/>
                <w:szCs w:val="15"/>
              </w:rPr>
              <w:t>tion</w:t>
            </w:r>
            <w:r w:rsidRPr="003003C0">
              <w:rPr>
                <w:sz w:val="15"/>
                <w:szCs w:val="15"/>
              </w:rPr>
              <w:t xml:space="preserve"> N</w:t>
            </w:r>
            <w:r>
              <w:rPr>
                <w:sz w:val="15"/>
                <w:szCs w:val="15"/>
              </w:rPr>
              <w:t>o.</w:t>
            </w:r>
            <w:r w:rsidRPr="003003C0">
              <w:rPr>
                <w:sz w:val="15"/>
                <w:szCs w:val="15"/>
              </w:rPr>
              <w:t xml:space="preserve"> 71-13</w:t>
            </w:r>
          </w:p>
        </w:tc>
        <w:tc>
          <w:tcPr>
            <w:tcW w:w="3823" w:type="pct"/>
          </w:tcPr>
          <w:p w14:paraId="28B35BEA" w14:textId="77777777" w:rsidR="004F64EF" w:rsidRPr="003003C0" w:rsidRDefault="004F64EF" w:rsidP="001F3C85">
            <w:pPr>
              <w:jc w:val="left"/>
              <w:rPr>
                <w:sz w:val="15"/>
                <w:szCs w:val="15"/>
              </w:rPr>
            </w:pPr>
            <w:r>
              <w:rPr>
                <w:spacing w:val="-1"/>
                <w:sz w:val="15"/>
                <w:szCs w:val="15"/>
              </w:rPr>
              <w:t>Pest prevention and control</w:t>
            </w:r>
            <w:r w:rsidRPr="003003C0">
              <w:rPr>
                <w:spacing w:val="-1"/>
                <w:sz w:val="15"/>
                <w:szCs w:val="15"/>
              </w:rPr>
              <w:t xml:space="preserve">, </w:t>
            </w:r>
            <w:r>
              <w:rPr>
                <w:spacing w:val="-1"/>
                <w:sz w:val="15"/>
                <w:szCs w:val="15"/>
              </w:rPr>
              <w:t>protection of plant resources</w:t>
            </w:r>
          </w:p>
        </w:tc>
      </w:tr>
      <w:tr w:rsidR="004F64EF" w:rsidRPr="003003C0" w14:paraId="2B2ADBD8" w14:textId="77777777" w:rsidTr="007D1CF6">
        <w:trPr>
          <w:cnfStyle w:val="000000010000" w:firstRow="0" w:lastRow="0" w:firstColumn="0" w:lastColumn="0" w:oddVBand="0" w:evenVBand="0" w:oddHBand="0" w:evenHBand="1" w:firstRowFirstColumn="0" w:firstRowLastColumn="0" w:lastRowFirstColumn="0" w:lastRowLastColumn="0"/>
        </w:trPr>
        <w:tc>
          <w:tcPr>
            <w:tcW w:w="1177" w:type="pct"/>
          </w:tcPr>
          <w:p w14:paraId="5847FA0F" w14:textId="77777777" w:rsidR="004F64EF" w:rsidRPr="003003C0" w:rsidRDefault="004F64EF" w:rsidP="001F3C85">
            <w:pPr>
              <w:jc w:val="left"/>
              <w:rPr>
                <w:sz w:val="15"/>
                <w:szCs w:val="15"/>
              </w:rPr>
            </w:pPr>
            <w:r w:rsidRPr="003003C0">
              <w:rPr>
                <w:sz w:val="15"/>
                <w:szCs w:val="15"/>
              </w:rPr>
              <w:t>Resolu</w:t>
            </w:r>
            <w:r>
              <w:rPr>
                <w:sz w:val="15"/>
                <w:szCs w:val="15"/>
              </w:rPr>
              <w:t>tion</w:t>
            </w:r>
            <w:r w:rsidRPr="003003C0">
              <w:rPr>
                <w:sz w:val="15"/>
                <w:szCs w:val="15"/>
              </w:rPr>
              <w:t xml:space="preserve"> N</w:t>
            </w:r>
            <w:r>
              <w:rPr>
                <w:sz w:val="15"/>
                <w:szCs w:val="15"/>
              </w:rPr>
              <w:t>o.</w:t>
            </w:r>
            <w:r w:rsidRPr="003003C0">
              <w:rPr>
                <w:sz w:val="15"/>
                <w:szCs w:val="15"/>
              </w:rPr>
              <w:t xml:space="preserve"> 202-14</w:t>
            </w:r>
          </w:p>
        </w:tc>
        <w:tc>
          <w:tcPr>
            <w:tcW w:w="3823" w:type="pct"/>
          </w:tcPr>
          <w:p w14:paraId="5C51049D" w14:textId="77777777" w:rsidR="004F64EF" w:rsidRPr="003003C0" w:rsidRDefault="004F64EF" w:rsidP="001F3C85">
            <w:pPr>
              <w:jc w:val="left"/>
              <w:rPr>
                <w:spacing w:val="-1"/>
                <w:sz w:val="15"/>
                <w:szCs w:val="15"/>
              </w:rPr>
            </w:pPr>
            <w:r>
              <w:rPr>
                <w:sz w:val="15"/>
                <w:szCs w:val="15"/>
              </w:rPr>
              <w:t>Plant health protection in the Dominican Republic</w:t>
            </w:r>
          </w:p>
        </w:tc>
      </w:tr>
      <w:tr w:rsidR="004F64EF" w:rsidRPr="003003C0" w14:paraId="4BAB86D5" w14:textId="77777777" w:rsidTr="007D1CF6">
        <w:tc>
          <w:tcPr>
            <w:tcW w:w="1177" w:type="pct"/>
          </w:tcPr>
          <w:p w14:paraId="2640BB05" w14:textId="77777777" w:rsidR="004F64EF" w:rsidRPr="003003C0" w:rsidRDefault="004F64EF" w:rsidP="001F3C85">
            <w:pPr>
              <w:jc w:val="left"/>
              <w:rPr>
                <w:sz w:val="15"/>
                <w:szCs w:val="15"/>
              </w:rPr>
            </w:pPr>
            <w:r w:rsidRPr="003003C0">
              <w:rPr>
                <w:sz w:val="15"/>
                <w:szCs w:val="15"/>
              </w:rPr>
              <w:t>Resolu</w:t>
            </w:r>
            <w:r>
              <w:rPr>
                <w:sz w:val="15"/>
                <w:szCs w:val="15"/>
              </w:rPr>
              <w:t>tion</w:t>
            </w:r>
            <w:r w:rsidRPr="003003C0">
              <w:rPr>
                <w:sz w:val="15"/>
                <w:szCs w:val="15"/>
              </w:rPr>
              <w:t xml:space="preserve"> N</w:t>
            </w:r>
            <w:r>
              <w:rPr>
                <w:sz w:val="15"/>
                <w:szCs w:val="15"/>
              </w:rPr>
              <w:t>o.</w:t>
            </w:r>
            <w:r w:rsidRPr="003003C0">
              <w:rPr>
                <w:sz w:val="15"/>
                <w:szCs w:val="15"/>
              </w:rPr>
              <w:t xml:space="preserve"> 2020-17</w:t>
            </w:r>
          </w:p>
        </w:tc>
        <w:tc>
          <w:tcPr>
            <w:tcW w:w="3823" w:type="pct"/>
          </w:tcPr>
          <w:p w14:paraId="1C538895" w14:textId="77777777" w:rsidR="004F64EF" w:rsidRPr="003003C0" w:rsidRDefault="004F64EF" w:rsidP="001F3C85">
            <w:pPr>
              <w:jc w:val="left"/>
              <w:rPr>
                <w:sz w:val="15"/>
                <w:szCs w:val="15"/>
              </w:rPr>
            </w:pPr>
            <w:r>
              <w:rPr>
                <w:sz w:val="15"/>
                <w:szCs w:val="15"/>
              </w:rPr>
              <w:t>Establishes the Quarantine Treatment Division</w:t>
            </w:r>
            <w:r w:rsidRPr="003003C0">
              <w:rPr>
                <w:sz w:val="15"/>
                <w:szCs w:val="15"/>
              </w:rPr>
              <w:t xml:space="preserve">, </w:t>
            </w:r>
            <w:r>
              <w:rPr>
                <w:sz w:val="15"/>
                <w:szCs w:val="15"/>
              </w:rPr>
              <w:t>attached to the Plant Quarantine Sub</w:t>
            </w:r>
            <w:r>
              <w:rPr>
                <w:sz w:val="15"/>
                <w:szCs w:val="15"/>
              </w:rPr>
              <w:noBreakHyphen/>
              <w:t>Directorate at the Department of Plant Health</w:t>
            </w:r>
          </w:p>
        </w:tc>
      </w:tr>
      <w:tr w:rsidR="004F64EF" w:rsidRPr="003003C0" w14:paraId="7EE1A07B" w14:textId="77777777" w:rsidTr="007D1CF6">
        <w:trPr>
          <w:cnfStyle w:val="000000010000" w:firstRow="0" w:lastRow="0" w:firstColumn="0" w:lastColumn="0" w:oddVBand="0" w:evenVBand="0" w:oddHBand="0" w:evenHBand="1" w:firstRowFirstColumn="0" w:firstRowLastColumn="0" w:lastRowFirstColumn="0" w:lastRowLastColumn="0"/>
        </w:trPr>
        <w:tc>
          <w:tcPr>
            <w:tcW w:w="1177" w:type="pct"/>
          </w:tcPr>
          <w:p w14:paraId="0E6076E5" w14:textId="77777777" w:rsidR="004F64EF" w:rsidRPr="003003C0" w:rsidRDefault="004F64EF" w:rsidP="001F3C85">
            <w:pPr>
              <w:jc w:val="left"/>
              <w:rPr>
                <w:sz w:val="15"/>
                <w:szCs w:val="15"/>
              </w:rPr>
            </w:pPr>
            <w:r w:rsidRPr="003003C0">
              <w:rPr>
                <w:sz w:val="15"/>
                <w:szCs w:val="15"/>
              </w:rPr>
              <w:t>Resolu</w:t>
            </w:r>
            <w:r>
              <w:rPr>
                <w:sz w:val="15"/>
                <w:szCs w:val="15"/>
              </w:rPr>
              <w:t>tion</w:t>
            </w:r>
            <w:r w:rsidRPr="003003C0">
              <w:rPr>
                <w:sz w:val="15"/>
                <w:szCs w:val="15"/>
              </w:rPr>
              <w:t xml:space="preserve"> N</w:t>
            </w:r>
            <w:r>
              <w:rPr>
                <w:sz w:val="15"/>
                <w:szCs w:val="15"/>
              </w:rPr>
              <w:t>o.</w:t>
            </w:r>
            <w:r w:rsidRPr="003003C0">
              <w:rPr>
                <w:sz w:val="15"/>
                <w:szCs w:val="15"/>
              </w:rPr>
              <w:t xml:space="preserve"> 2019-70</w:t>
            </w:r>
          </w:p>
        </w:tc>
        <w:tc>
          <w:tcPr>
            <w:tcW w:w="3823" w:type="pct"/>
          </w:tcPr>
          <w:p w14:paraId="25BDD6AE" w14:textId="77777777" w:rsidR="004F64EF" w:rsidRPr="003003C0" w:rsidRDefault="004F64EF" w:rsidP="001F3C85">
            <w:pPr>
              <w:jc w:val="left"/>
              <w:rPr>
                <w:sz w:val="15"/>
                <w:szCs w:val="15"/>
              </w:rPr>
            </w:pPr>
            <w:r>
              <w:rPr>
                <w:sz w:val="15"/>
                <w:szCs w:val="15"/>
              </w:rPr>
              <w:t>Establishes</w:t>
            </w:r>
            <w:r w:rsidRPr="0089515F">
              <w:rPr>
                <w:sz w:val="15"/>
                <w:szCs w:val="15"/>
              </w:rPr>
              <w:t xml:space="preserve"> phytosanitary control mechanisms for regulated items in international transit that are entering or circulating </w:t>
            </w:r>
            <w:r>
              <w:rPr>
                <w:sz w:val="15"/>
                <w:szCs w:val="15"/>
              </w:rPr>
              <w:t>in</w:t>
            </w:r>
            <w:r w:rsidRPr="0089515F">
              <w:rPr>
                <w:sz w:val="15"/>
                <w:szCs w:val="15"/>
              </w:rPr>
              <w:t xml:space="preserve"> national territory</w:t>
            </w:r>
          </w:p>
        </w:tc>
      </w:tr>
      <w:tr w:rsidR="004F64EF" w:rsidRPr="003003C0" w14:paraId="64E96E22" w14:textId="77777777" w:rsidTr="007D1CF6">
        <w:tc>
          <w:tcPr>
            <w:tcW w:w="1177" w:type="pct"/>
          </w:tcPr>
          <w:p w14:paraId="30D695A1" w14:textId="77777777" w:rsidR="004F64EF" w:rsidRPr="003003C0" w:rsidRDefault="004F64EF" w:rsidP="001F3C85">
            <w:pPr>
              <w:jc w:val="left"/>
              <w:rPr>
                <w:sz w:val="15"/>
                <w:szCs w:val="15"/>
              </w:rPr>
            </w:pPr>
            <w:r w:rsidRPr="003003C0">
              <w:rPr>
                <w:sz w:val="15"/>
                <w:szCs w:val="15"/>
              </w:rPr>
              <w:lastRenderedPageBreak/>
              <w:t>Resolu</w:t>
            </w:r>
            <w:r>
              <w:rPr>
                <w:sz w:val="15"/>
                <w:szCs w:val="15"/>
              </w:rPr>
              <w:t>tion</w:t>
            </w:r>
            <w:r w:rsidRPr="003003C0">
              <w:rPr>
                <w:sz w:val="15"/>
                <w:szCs w:val="15"/>
              </w:rPr>
              <w:t xml:space="preserve"> N</w:t>
            </w:r>
            <w:r>
              <w:rPr>
                <w:sz w:val="15"/>
                <w:szCs w:val="15"/>
              </w:rPr>
              <w:t>o.</w:t>
            </w:r>
            <w:r w:rsidRPr="003003C0">
              <w:rPr>
                <w:sz w:val="15"/>
                <w:szCs w:val="15"/>
              </w:rPr>
              <w:t xml:space="preserve"> 2019-69</w:t>
            </w:r>
          </w:p>
        </w:tc>
        <w:tc>
          <w:tcPr>
            <w:tcW w:w="3823" w:type="pct"/>
          </w:tcPr>
          <w:p w14:paraId="33372093" w14:textId="77777777" w:rsidR="004F64EF" w:rsidRPr="003003C0" w:rsidRDefault="004F64EF" w:rsidP="001F3C85">
            <w:pPr>
              <w:jc w:val="left"/>
              <w:rPr>
                <w:sz w:val="15"/>
                <w:szCs w:val="15"/>
              </w:rPr>
            </w:pPr>
            <w:r w:rsidRPr="003003C0">
              <w:rPr>
                <w:sz w:val="15"/>
                <w:szCs w:val="15"/>
              </w:rPr>
              <w:t>Implement</w:t>
            </w:r>
            <w:r>
              <w:rPr>
                <w:sz w:val="15"/>
                <w:szCs w:val="15"/>
              </w:rPr>
              <w:t>s</w:t>
            </w:r>
            <w:r w:rsidRPr="003003C0">
              <w:rPr>
                <w:sz w:val="15"/>
                <w:szCs w:val="15"/>
              </w:rPr>
              <w:t xml:space="preserve"> </w:t>
            </w:r>
            <w:r>
              <w:rPr>
                <w:sz w:val="15"/>
                <w:szCs w:val="15"/>
              </w:rPr>
              <w:t>the Biosafety Protocol for preventing the entry into the country of banana wilt</w:t>
            </w:r>
            <w:r w:rsidRPr="003003C0">
              <w:rPr>
                <w:sz w:val="15"/>
                <w:szCs w:val="15"/>
              </w:rPr>
              <w:t xml:space="preserve">, </w:t>
            </w:r>
            <w:r>
              <w:rPr>
                <w:sz w:val="15"/>
                <w:szCs w:val="15"/>
              </w:rPr>
              <w:t>which is caused by the fungus</w:t>
            </w:r>
            <w:r w:rsidRPr="003003C0">
              <w:rPr>
                <w:sz w:val="15"/>
                <w:szCs w:val="15"/>
              </w:rPr>
              <w:t xml:space="preserve"> </w:t>
            </w:r>
            <w:r w:rsidRPr="004A1E92">
              <w:rPr>
                <w:i/>
                <w:iCs/>
                <w:sz w:val="15"/>
                <w:szCs w:val="15"/>
              </w:rPr>
              <w:t xml:space="preserve">Fusarium </w:t>
            </w:r>
            <w:proofErr w:type="spellStart"/>
            <w:r w:rsidRPr="004A1E92">
              <w:rPr>
                <w:i/>
                <w:iCs/>
                <w:sz w:val="15"/>
                <w:szCs w:val="15"/>
              </w:rPr>
              <w:t>oxysporum</w:t>
            </w:r>
            <w:proofErr w:type="spellEnd"/>
            <w:r w:rsidRPr="004A1E92">
              <w:rPr>
                <w:i/>
                <w:iCs/>
                <w:sz w:val="15"/>
                <w:szCs w:val="15"/>
              </w:rPr>
              <w:t xml:space="preserve"> </w:t>
            </w:r>
            <w:r w:rsidRPr="004A1E92">
              <w:rPr>
                <w:sz w:val="15"/>
                <w:szCs w:val="15"/>
              </w:rPr>
              <w:t>f. sp.</w:t>
            </w:r>
            <w:r w:rsidRPr="004A1E92">
              <w:rPr>
                <w:i/>
                <w:iCs/>
                <w:sz w:val="15"/>
                <w:szCs w:val="15"/>
              </w:rPr>
              <w:t xml:space="preserve"> </w:t>
            </w:r>
            <w:proofErr w:type="spellStart"/>
            <w:r w:rsidRPr="004A1E92">
              <w:rPr>
                <w:i/>
                <w:iCs/>
                <w:sz w:val="15"/>
                <w:szCs w:val="15"/>
              </w:rPr>
              <w:t>cubense</w:t>
            </w:r>
            <w:proofErr w:type="spellEnd"/>
            <w:r w:rsidRPr="004A1E92">
              <w:rPr>
                <w:i/>
                <w:iCs/>
                <w:sz w:val="15"/>
                <w:szCs w:val="15"/>
              </w:rPr>
              <w:t xml:space="preserve"> </w:t>
            </w:r>
            <w:r w:rsidRPr="004A1E92">
              <w:rPr>
                <w:sz w:val="15"/>
                <w:szCs w:val="15"/>
              </w:rPr>
              <w:t>tropical race 4</w:t>
            </w:r>
            <w:r w:rsidRPr="003003C0">
              <w:rPr>
                <w:sz w:val="15"/>
                <w:szCs w:val="15"/>
              </w:rPr>
              <w:t xml:space="preserve"> (</w:t>
            </w:r>
            <w:proofErr w:type="spellStart"/>
            <w:r w:rsidRPr="003003C0">
              <w:rPr>
                <w:sz w:val="15"/>
                <w:szCs w:val="15"/>
              </w:rPr>
              <w:t>Foc</w:t>
            </w:r>
            <w:proofErr w:type="spellEnd"/>
            <w:r w:rsidRPr="003003C0">
              <w:rPr>
                <w:sz w:val="15"/>
                <w:szCs w:val="15"/>
              </w:rPr>
              <w:t xml:space="preserve"> </w:t>
            </w:r>
            <w:r>
              <w:rPr>
                <w:sz w:val="15"/>
                <w:szCs w:val="15"/>
              </w:rPr>
              <w:t>T</w:t>
            </w:r>
            <w:r w:rsidRPr="003003C0">
              <w:rPr>
                <w:sz w:val="15"/>
                <w:szCs w:val="15"/>
              </w:rPr>
              <w:t>R4)</w:t>
            </w:r>
          </w:p>
        </w:tc>
      </w:tr>
      <w:tr w:rsidR="004F64EF" w:rsidRPr="003003C0" w14:paraId="60CB4E1B" w14:textId="77777777" w:rsidTr="007D1CF6">
        <w:trPr>
          <w:cnfStyle w:val="000000010000" w:firstRow="0" w:lastRow="0" w:firstColumn="0" w:lastColumn="0" w:oddVBand="0" w:evenVBand="0" w:oddHBand="0" w:evenHBand="1" w:firstRowFirstColumn="0" w:firstRowLastColumn="0" w:lastRowFirstColumn="0" w:lastRowLastColumn="0"/>
        </w:trPr>
        <w:tc>
          <w:tcPr>
            <w:tcW w:w="1177" w:type="pct"/>
          </w:tcPr>
          <w:p w14:paraId="6A32FA2C" w14:textId="77777777" w:rsidR="004F64EF" w:rsidRPr="003003C0" w:rsidRDefault="004F64EF" w:rsidP="001F3C85">
            <w:pPr>
              <w:jc w:val="left"/>
              <w:rPr>
                <w:sz w:val="15"/>
                <w:szCs w:val="15"/>
              </w:rPr>
            </w:pPr>
            <w:r w:rsidRPr="003003C0">
              <w:rPr>
                <w:sz w:val="15"/>
                <w:szCs w:val="15"/>
              </w:rPr>
              <w:t>Resolu</w:t>
            </w:r>
            <w:r>
              <w:rPr>
                <w:sz w:val="15"/>
                <w:szCs w:val="15"/>
              </w:rPr>
              <w:t>tion</w:t>
            </w:r>
            <w:r w:rsidRPr="003003C0">
              <w:rPr>
                <w:sz w:val="15"/>
                <w:szCs w:val="15"/>
              </w:rPr>
              <w:t xml:space="preserve"> N</w:t>
            </w:r>
            <w:r>
              <w:rPr>
                <w:sz w:val="15"/>
                <w:szCs w:val="15"/>
              </w:rPr>
              <w:t>o.</w:t>
            </w:r>
            <w:r w:rsidRPr="003003C0">
              <w:rPr>
                <w:sz w:val="15"/>
                <w:szCs w:val="15"/>
              </w:rPr>
              <w:t xml:space="preserve"> 2019-98</w:t>
            </w:r>
          </w:p>
        </w:tc>
        <w:tc>
          <w:tcPr>
            <w:tcW w:w="3823" w:type="pct"/>
          </w:tcPr>
          <w:p w14:paraId="40B4526F" w14:textId="77777777" w:rsidR="004F64EF" w:rsidRPr="003003C0" w:rsidRDefault="004F64EF" w:rsidP="001F3C85">
            <w:pPr>
              <w:jc w:val="left"/>
              <w:rPr>
                <w:sz w:val="15"/>
                <w:szCs w:val="15"/>
              </w:rPr>
            </w:pPr>
            <w:r w:rsidRPr="003003C0">
              <w:rPr>
                <w:sz w:val="15"/>
                <w:szCs w:val="15"/>
              </w:rPr>
              <w:t>Declar</w:t>
            </w:r>
            <w:r>
              <w:rPr>
                <w:sz w:val="15"/>
                <w:szCs w:val="15"/>
              </w:rPr>
              <w:t>es of national interest the e</w:t>
            </w:r>
            <w:r w:rsidRPr="00766B0D">
              <w:rPr>
                <w:sz w:val="15"/>
                <w:szCs w:val="15"/>
              </w:rPr>
              <w:t xml:space="preserve">stablishment of areas of low pest prevalence </w:t>
            </w:r>
            <w:r>
              <w:rPr>
                <w:sz w:val="15"/>
                <w:szCs w:val="15"/>
              </w:rPr>
              <w:t>and</w:t>
            </w:r>
            <w:r w:rsidRPr="003003C0">
              <w:rPr>
                <w:sz w:val="15"/>
                <w:szCs w:val="15"/>
              </w:rPr>
              <w:t xml:space="preserve"> </w:t>
            </w:r>
            <w:r>
              <w:rPr>
                <w:sz w:val="15"/>
                <w:szCs w:val="15"/>
              </w:rPr>
              <w:t>pest-free a</w:t>
            </w:r>
            <w:r w:rsidRPr="003003C0">
              <w:rPr>
                <w:sz w:val="15"/>
                <w:szCs w:val="15"/>
              </w:rPr>
              <w:t xml:space="preserve">reas </w:t>
            </w:r>
            <w:r>
              <w:rPr>
                <w:sz w:val="15"/>
                <w:szCs w:val="15"/>
              </w:rPr>
              <w:t xml:space="preserve">for </w:t>
            </w:r>
            <w:r w:rsidRPr="000348A0">
              <w:rPr>
                <w:sz w:val="15"/>
                <w:szCs w:val="15"/>
              </w:rPr>
              <w:t>Caribbean fruit fly</w:t>
            </w:r>
          </w:p>
        </w:tc>
      </w:tr>
      <w:tr w:rsidR="004F64EF" w:rsidRPr="003003C0" w14:paraId="332D9FFD" w14:textId="77777777" w:rsidTr="007D1CF6">
        <w:tc>
          <w:tcPr>
            <w:tcW w:w="1177" w:type="pct"/>
          </w:tcPr>
          <w:p w14:paraId="72803D38" w14:textId="77777777" w:rsidR="004F64EF" w:rsidRPr="003003C0" w:rsidRDefault="004F64EF" w:rsidP="001F3C85">
            <w:pPr>
              <w:jc w:val="left"/>
              <w:rPr>
                <w:sz w:val="15"/>
                <w:szCs w:val="15"/>
              </w:rPr>
            </w:pPr>
            <w:r w:rsidRPr="003003C0">
              <w:rPr>
                <w:sz w:val="15"/>
                <w:szCs w:val="15"/>
              </w:rPr>
              <w:t>Resolu</w:t>
            </w:r>
            <w:r>
              <w:rPr>
                <w:sz w:val="15"/>
                <w:szCs w:val="15"/>
              </w:rPr>
              <w:t>tion</w:t>
            </w:r>
            <w:r w:rsidRPr="003003C0">
              <w:rPr>
                <w:sz w:val="15"/>
                <w:szCs w:val="15"/>
              </w:rPr>
              <w:t xml:space="preserve"> N</w:t>
            </w:r>
            <w:r>
              <w:rPr>
                <w:sz w:val="15"/>
                <w:szCs w:val="15"/>
              </w:rPr>
              <w:t>o.</w:t>
            </w:r>
            <w:r w:rsidRPr="003003C0">
              <w:rPr>
                <w:sz w:val="15"/>
                <w:szCs w:val="15"/>
              </w:rPr>
              <w:t xml:space="preserve"> 2019-43</w:t>
            </w:r>
          </w:p>
        </w:tc>
        <w:tc>
          <w:tcPr>
            <w:tcW w:w="3823" w:type="pct"/>
          </w:tcPr>
          <w:p w14:paraId="3CB97E43" w14:textId="77777777" w:rsidR="004F64EF" w:rsidRPr="00A614C6" w:rsidRDefault="004F64EF" w:rsidP="001F3C85">
            <w:pPr>
              <w:jc w:val="left"/>
              <w:rPr>
                <w:sz w:val="15"/>
                <w:szCs w:val="15"/>
              </w:rPr>
            </w:pPr>
            <w:r w:rsidRPr="00A614C6">
              <w:rPr>
                <w:sz w:val="15"/>
                <w:szCs w:val="15"/>
              </w:rPr>
              <w:t>On increased inspection to prevent the entry of banana wilt</w:t>
            </w:r>
          </w:p>
        </w:tc>
      </w:tr>
      <w:tr w:rsidR="004F64EF" w:rsidRPr="003003C0" w14:paraId="2E64E300" w14:textId="77777777" w:rsidTr="007D1CF6">
        <w:trPr>
          <w:cnfStyle w:val="000000010000" w:firstRow="0" w:lastRow="0" w:firstColumn="0" w:lastColumn="0" w:oddVBand="0" w:evenVBand="0" w:oddHBand="0" w:evenHBand="1" w:firstRowFirstColumn="0" w:firstRowLastColumn="0" w:lastRowFirstColumn="0" w:lastRowLastColumn="0"/>
        </w:trPr>
        <w:tc>
          <w:tcPr>
            <w:tcW w:w="1177" w:type="pct"/>
          </w:tcPr>
          <w:p w14:paraId="785F89F8" w14:textId="77777777" w:rsidR="004F64EF" w:rsidRPr="003003C0" w:rsidRDefault="004F64EF" w:rsidP="001F3C85">
            <w:pPr>
              <w:jc w:val="left"/>
              <w:rPr>
                <w:sz w:val="15"/>
                <w:szCs w:val="15"/>
              </w:rPr>
            </w:pPr>
            <w:r w:rsidRPr="003003C0">
              <w:rPr>
                <w:sz w:val="15"/>
                <w:szCs w:val="15"/>
              </w:rPr>
              <w:t>Resolu</w:t>
            </w:r>
            <w:r>
              <w:rPr>
                <w:sz w:val="15"/>
                <w:szCs w:val="15"/>
              </w:rPr>
              <w:t>tion</w:t>
            </w:r>
            <w:r w:rsidRPr="003003C0">
              <w:rPr>
                <w:sz w:val="15"/>
                <w:szCs w:val="15"/>
              </w:rPr>
              <w:t xml:space="preserve"> N</w:t>
            </w:r>
            <w:r>
              <w:rPr>
                <w:sz w:val="15"/>
                <w:szCs w:val="15"/>
              </w:rPr>
              <w:t>o.</w:t>
            </w:r>
            <w:r w:rsidRPr="003003C0">
              <w:rPr>
                <w:sz w:val="15"/>
                <w:szCs w:val="15"/>
              </w:rPr>
              <w:t xml:space="preserve"> 2019-39</w:t>
            </w:r>
          </w:p>
        </w:tc>
        <w:tc>
          <w:tcPr>
            <w:tcW w:w="3823" w:type="pct"/>
          </w:tcPr>
          <w:p w14:paraId="043CDFDD" w14:textId="77777777" w:rsidR="004F64EF" w:rsidRPr="00EC3E2B" w:rsidRDefault="004F64EF" w:rsidP="001F3C85">
            <w:pPr>
              <w:jc w:val="left"/>
              <w:rPr>
                <w:sz w:val="15"/>
                <w:szCs w:val="15"/>
              </w:rPr>
            </w:pPr>
            <w:r w:rsidRPr="00A614C6">
              <w:rPr>
                <w:sz w:val="15"/>
                <w:szCs w:val="15"/>
              </w:rPr>
              <w:t>On the classification of agricultural products</w:t>
            </w:r>
          </w:p>
        </w:tc>
      </w:tr>
      <w:tr w:rsidR="004F64EF" w:rsidRPr="003003C0" w14:paraId="77BA4202" w14:textId="77777777" w:rsidTr="007D1CF6">
        <w:tc>
          <w:tcPr>
            <w:tcW w:w="1177" w:type="pct"/>
          </w:tcPr>
          <w:p w14:paraId="6F6535F0" w14:textId="77777777" w:rsidR="004F64EF" w:rsidRPr="003003C0" w:rsidRDefault="004F64EF" w:rsidP="001F3C85">
            <w:pPr>
              <w:jc w:val="left"/>
              <w:rPr>
                <w:sz w:val="15"/>
                <w:szCs w:val="15"/>
              </w:rPr>
            </w:pPr>
            <w:r w:rsidRPr="003003C0">
              <w:rPr>
                <w:sz w:val="15"/>
                <w:szCs w:val="15"/>
              </w:rPr>
              <w:t>Resolu</w:t>
            </w:r>
            <w:r>
              <w:rPr>
                <w:sz w:val="15"/>
                <w:szCs w:val="15"/>
              </w:rPr>
              <w:t>tio</w:t>
            </w:r>
            <w:r w:rsidRPr="003003C0">
              <w:rPr>
                <w:sz w:val="15"/>
                <w:szCs w:val="15"/>
              </w:rPr>
              <w:t>n N</w:t>
            </w:r>
            <w:r>
              <w:rPr>
                <w:sz w:val="15"/>
                <w:szCs w:val="15"/>
              </w:rPr>
              <w:t>o.</w:t>
            </w:r>
            <w:r w:rsidRPr="003003C0">
              <w:rPr>
                <w:sz w:val="15"/>
                <w:szCs w:val="15"/>
              </w:rPr>
              <w:t xml:space="preserve"> 2019-41</w:t>
            </w:r>
          </w:p>
        </w:tc>
        <w:tc>
          <w:tcPr>
            <w:tcW w:w="3823" w:type="pct"/>
          </w:tcPr>
          <w:p w14:paraId="18D32835" w14:textId="77777777" w:rsidR="004F64EF" w:rsidRPr="00EC3E2B" w:rsidRDefault="004F64EF" w:rsidP="001F3C85">
            <w:pPr>
              <w:jc w:val="left"/>
              <w:rPr>
                <w:sz w:val="15"/>
                <w:szCs w:val="15"/>
              </w:rPr>
            </w:pPr>
            <w:r w:rsidRPr="00A614C6">
              <w:rPr>
                <w:sz w:val="15"/>
                <w:szCs w:val="15"/>
              </w:rPr>
              <w:t>Amends Article 3 of Resolution RES-MA-2019-039</w:t>
            </w:r>
          </w:p>
        </w:tc>
      </w:tr>
      <w:tr w:rsidR="004F64EF" w:rsidRPr="003003C0" w14:paraId="6A91EC94" w14:textId="77777777" w:rsidTr="007D1CF6">
        <w:trPr>
          <w:cnfStyle w:val="000000010000" w:firstRow="0" w:lastRow="0" w:firstColumn="0" w:lastColumn="0" w:oddVBand="0" w:evenVBand="0" w:oddHBand="0" w:evenHBand="1" w:firstRowFirstColumn="0" w:firstRowLastColumn="0" w:lastRowFirstColumn="0" w:lastRowLastColumn="0"/>
        </w:trPr>
        <w:tc>
          <w:tcPr>
            <w:tcW w:w="1177" w:type="pct"/>
          </w:tcPr>
          <w:p w14:paraId="3F832EE1" w14:textId="77777777" w:rsidR="004F64EF" w:rsidRPr="003003C0" w:rsidRDefault="004F64EF" w:rsidP="001F3C85">
            <w:pPr>
              <w:jc w:val="left"/>
              <w:rPr>
                <w:sz w:val="15"/>
                <w:szCs w:val="15"/>
              </w:rPr>
            </w:pPr>
            <w:r w:rsidRPr="003003C0">
              <w:rPr>
                <w:sz w:val="15"/>
                <w:szCs w:val="15"/>
              </w:rPr>
              <w:t>Resolu</w:t>
            </w:r>
            <w:r>
              <w:rPr>
                <w:sz w:val="15"/>
                <w:szCs w:val="15"/>
              </w:rPr>
              <w:t>tion</w:t>
            </w:r>
            <w:r w:rsidRPr="003003C0">
              <w:rPr>
                <w:sz w:val="15"/>
                <w:szCs w:val="15"/>
              </w:rPr>
              <w:t xml:space="preserve"> N</w:t>
            </w:r>
            <w:r>
              <w:rPr>
                <w:sz w:val="15"/>
                <w:szCs w:val="15"/>
              </w:rPr>
              <w:t>o.</w:t>
            </w:r>
            <w:r w:rsidRPr="003003C0">
              <w:rPr>
                <w:sz w:val="15"/>
                <w:szCs w:val="15"/>
              </w:rPr>
              <w:t xml:space="preserve"> 2019-35</w:t>
            </w:r>
          </w:p>
        </w:tc>
        <w:tc>
          <w:tcPr>
            <w:tcW w:w="3823" w:type="pct"/>
          </w:tcPr>
          <w:p w14:paraId="26AA33CC" w14:textId="77777777" w:rsidR="004F64EF" w:rsidRPr="00EC3E2B" w:rsidRDefault="004F64EF" w:rsidP="001F3C85">
            <w:pPr>
              <w:jc w:val="left"/>
              <w:rPr>
                <w:sz w:val="15"/>
                <w:szCs w:val="15"/>
              </w:rPr>
            </w:pPr>
            <w:r w:rsidRPr="00A614C6">
              <w:rPr>
                <w:sz w:val="15"/>
                <w:szCs w:val="15"/>
              </w:rPr>
              <w:t>Establishes management practices for Caribbean fruit fly (</w:t>
            </w:r>
            <w:proofErr w:type="spellStart"/>
            <w:r w:rsidRPr="00A614C6">
              <w:rPr>
                <w:i/>
                <w:iCs/>
                <w:sz w:val="15"/>
                <w:szCs w:val="15"/>
              </w:rPr>
              <w:t>Anastrepha</w:t>
            </w:r>
            <w:proofErr w:type="spellEnd"/>
            <w:r w:rsidRPr="00A614C6">
              <w:rPr>
                <w:i/>
                <w:iCs/>
                <w:sz w:val="15"/>
                <w:szCs w:val="15"/>
              </w:rPr>
              <w:t xml:space="preserve"> </w:t>
            </w:r>
            <w:proofErr w:type="spellStart"/>
            <w:r w:rsidRPr="00A614C6">
              <w:rPr>
                <w:i/>
                <w:iCs/>
                <w:sz w:val="15"/>
                <w:szCs w:val="15"/>
              </w:rPr>
              <w:t>obliqua</w:t>
            </w:r>
            <w:proofErr w:type="spellEnd"/>
            <w:r w:rsidRPr="00A614C6">
              <w:rPr>
                <w:sz w:val="15"/>
                <w:szCs w:val="15"/>
              </w:rPr>
              <w:t xml:space="preserve"> and </w:t>
            </w:r>
            <w:proofErr w:type="spellStart"/>
            <w:r w:rsidRPr="00A614C6">
              <w:rPr>
                <w:i/>
                <w:iCs/>
                <w:sz w:val="15"/>
                <w:szCs w:val="15"/>
              </w:rPr>
              <w:t>Anastrepha</w:t>
            </w:r>
            <w:proofErr w:type="spellEnd"/>
            <w:r w:rsidRPr="00A614C6">
              <w:rPr>
                <w:sz w:val="15"/>
                <w:szCs w:val="15"/>
              </w:rPr>
              <w:t xml:space="preserve"> spp.)</w:t>
            </w:r>
          </w:p>
        </w:tc>
      </w:tr>
      <w:tr w:rsidR="004F64EF" w:rsidRPr="003003C0" w14:paraId="7AC7311C" w14:textId="77777777" w:rsidTr="007D1CF6">
        <w:tc>
          <w:tcPr>
            <w:tcW w:w="1177" w:type="pct"/>
          </w:tcPr>
          <w:p w14:paraId="7B2DD0F0" w14:textId="77777777" w:rsidR="004F64EF" w:rsidRPr="003003C0" w:rsidRDefault="004F64EF" w:rsidP="001F3C85">
            <w:pPr>
              <w:jc w:val="left"/>
              <w:rPr>
                <w:sz w:val="15"/>
                <w:szCs w:val="15"/>
              </w:rPr>
            </w:pPr>
            <w:r w:rsidRPr="003003C0">
              <w:rPr>
                <w:sz w:val="15"/>
                <w:szCs w:val="15"/>
              </w:rPr>
              <w:t>Resolu</w:t>
            </w:r>
            <w:r>
              <w:rPr>
                <w:sz w:val="15"/>
                <w:szCs w:val="15"/>
              </w:rPr>
              <w:t>tion</w:t>
            </w:r>
            <w:r w:rsidRPr="003003C0">
              <w:rPr>
                <w:sz w:val="15"/>
                <w:szCs w:val="15"/>
              </w:rPr>
              <w:t xml:space="preserve"> N</w:t>
            </w:r>
            <w:r>
              <w:rPr>
                <w:sz w:val="15"/>
                <w:szCs w:val="15"/>
              </w:rPr>
              <w:t>o.</w:t>
            </w:r>
            <w:r w:rsidRPr="003003C0">
              <w:rPr>
                <w:sz w:val="15"/>
                <w:szCs w:val="15"/>
              </w:rPr>
              <w:t xml:space="preserve"> 2019-28</w:t>
            </w:r>
          </w:p>
        </w:tc>
        <w:tc>
          <w:tcPr>
            <w:tcW w:w="3823" w:type="pct"/>
          </w:tcPr>
          <w:p w14:paraId="27B58BF6" w14:textId="77777777" w:rsidR="004F64EF" w:rsidRPr="00EC3E2B" w:rsidRDefault="004F64EF" w:rsidP="001F3C85">
            <w:pPr>
              <w:jc w:val="left"/>
              <w:rPr>
                <w:sz w:val="15"/>
                <w:szCs w:val="15"/>
              </w:rPr>
            </w:pPr>
            <w:r w:rsidRPr="00C176FC">
              <w:rPr>
                <w:sz w:val="15"/>
                <w:szCs w:val="15"/>
              </w:rPr>
              <w:t xml:space="preserve">Prohibits new registrations, and the manufacture, importation and fractionation, of the active substances carbofuran, </w:t>
            </w:r>
            <w:proofErr w:type="spellStart"/>
            <w:r w:rsidRPr="00C176FC">
              <w:rPr>
                <w:sz w:val="15"/>
                <w:szCs w:val="15"/>
              </w:rPr>
              <w:t>carbosulfan</w:t>
            </w:r>
            <w:proofErr w:type="spellEnd"/>
            <w:r w:rsidRPr="00C176FC">
              <w:rPr>
                <w:sz w:val="15"/>
                <w:szCs w:val="15"/>
              </w:rPr>
              <w:t xml:space="preserve"> and dimethoate and their formulated products</w:t>
            </w:r>
          </w:p>
        </w:tc>
      </w:tr>
      <w:tr w:rsidR="004F64EF" w:rsidRPr="003003C0" w14:paraId="27DA2497" w14:textId="77777777" w:rsidTr="007D1CF6">
        <w:trPr>
          <w:cnfStyle w:val="000000010000" w:firstRow="0" w:lastRow="0" w:firstColumn="0" w:lastColumn="0" w:oddVBand="0" w:evenVBand="0" w:oddHBand="0" w:evenHBand="1" w:firstRowFirstColumn="0" w:firstRowLastColumn="0" w:lastRowFirstColumn="0" w:lastRowLastColumn="0"/>
        </w:trPr>
        <w:tc>
          <w:tcPr>
            <w:tcW w:w="1177" w:type="pct"/>
          </w:tcPr>
          <w:p w14:paraId="46B3E9B8" w14:textId="77777777" w:rsidR="004F64EF" w:rsidRPr="003003C0" w:rsidRDefault="004F64EF" w:rsidP="001F3C85">
            <w:pPr>
              <w:jc w:val="left"/>
              <w:rPr>
                <w:sz w:val="15"/>
                <w:szCs w:val="15"/>
              </w:rPr>
            </w:pPr>
            <w:r w:rsidRPr="003003C0">
              <w:rPr>
                <w:sz w:val="15"/>
                <w:szCs w:val="15"/>
              </w:rPr>
              <w:t>Resolu</w:t>
            </w:r>
            <w:r>
              <w:rPr>
                <w:sz w:val="15"/>
                <w:szCs w:val="15"/>
              </w:rPr>
              <w:t>tion</w:t>
            </w:r>
            <w:r w:rsidRPr="003003C0">
              <w:rPr>
                <w:sz w:val="15"/>
                <w:szCs w:val="15"/>
              </w:rPr>
              <w:t xml:space="preserve"> N</w:t>
            </w:r>
            <w:r>
              <w:rPr>
                <w:sz w:val="15"/>
                <w:szCs w:val="15"/>
              </w:rPr>
              <w:t>o.</w:t>
            </w:r>
            <w:r w:rsidRPr="003003C0">
              <w:rPr>
                <w:sz w:val="15"/>
                <w:szCs w:val="15"/>
              </w:rPr>
              <w:t xml:space="preserve"> 2019-27</w:t>
            </w:r>
          </w:p>
        </w:tc>
        <w:tc>
          <w:tcPr>
            <w:tcW w:w="3823" w:type="pct"/>
          </w:tcPr>
          <w:p w14:paraId="7F1A1D11" w14:textId="77777777" w:rsidR="004F64EF" w:rsidRPr="00EC3E2B" w:rsidRDefault="004F64EF" w:rsidP="001F3C85">
            <w:pPr>
              <w:jc w:val="left"/>
              <w:rPr>
                <w:sz w:val="15"/>
                <w:szCs w:val="15"/>
              </w:rPr>
            </w:pPr>
            <w:r w:rsidRPr="0045218E">
              <w:rPr>
                <w:sz w:val="15"/>
                <w:szCs w:val="15"/>
              </w:rPr>
              <w:t>Establishes mandatory regionalization requirements applicable to the sowing of any type or variety of chilli pepper</w:t>
            </w:r>
          </w:p>
        </w:tc>
      </w:tr>
      <w:tr w:rsidR="004F64EF" w:rsidRPr="003003C0" w14:paraId="2326DB97" w14:textId="77777777" w:rsidTr="007D1CF6">
        <w:tc>
          <w:tcPr>
            <w:tcW w:w="1177" w:type="pct"/>
          </w:tcPr>
          <w:p w14:paraId="76BA81CE" w14:textId="77777777" w:rsidR="004F64EF" w:rsidRPr="003003C0" w:rsidRDefault="004F64EF" w:rsidP="001F3C85">
            <w:pPr>
              <w:jc w:val="left"/>
              <w:rPr>
                <w:sz w:val="15"/>
                <w:szCs w:val="15"/>
              </w:rPr>
            </w:pPr>
            <w:r w:rsidRPr="003003C0">
              <w:rPr>
                <w:sz w:val="15"/>
                <w:szCs w:val="15"/>
              </w:rPr>
              <w:t>Resolu</w:t>
            </w:r>
            <w:r>
              <w:rPr>
                <w:sz w:val="15"/>
                <w:szCs w:val="15"/>
              </w:rPr>
              <w:t>tion</w:t>
            </w:r>
            <w:r w:rsidRPr="003003C0">
              <w:rPr>
                <w:sz w:val="15"/>
                <w:szCs w:val="15"/>
              </w:rPr>
              <w:t xml:space="preserve"> N</w:t>
            </w:r>
            <w:r>
              <w:rPr>
                <w:sz w:val="15"/>
                <w:szCs w:val="15"/>
              </w:rPr>
              <w:t>o.</w:t>
            </w:r>
            <w:r w:rsidRPr="003003C0">
              <w:rPr>
                <w:sz w:val="15"/>
                <w:szCs w:val="15"/>
              </w:rPr>
              <w:t xml:space="preserve"> 2019-17</w:t>
            </w:r>
          </w:p>
        </w:tc>
        <w:tc>
          <w:tcPr>
            <w:tcW w:w="3823" w:type="pct"/>
          </w:tcPr>
          <w:p w14:paraId="6C12AA94" w14:textId="77777777" w:rsidR="004F64EF" w:rsidRPr="00EC3E2B" w:rsidRDefault="004F64EF" w:rsidP="001F3C85">
            <w:pPr>
              <w:jc w:val="left"/>
              <w:rPr>
                <w:sz w:val="15"/>
                <w:szCs w:val="15"/>
              </w:rPr>
            </w:pPr>
            <w:r w:rsidRPr="008F7554">
              <w:rPr>
                <w:sz w:val="15"/>
                <w:szCs w:val="15"/>
              </w:rPr>
              <w:t xml:space="preserve">On </w:t>
            </w:r>
            <w:r>
              <w:rPr>
                <w:sz w:val="15"/>
                <w:szCs w:val="15"/>
              </w:rPr>
              <w:t>baggage</w:t>
            </w:r>
            <w:r w:rsidRPr="008F7554">
              <w:rPr>
                <w:sz w:val="15"/>
                <w:szCs w:val="15"/>
              </w:rPr>
              <w:t xml:space="preserve"> screening </w:t>
            </w:r>
            <w:r>
              <w:rPr>
                <w:sz w:val="15"/>
                <w:szCs w:val="15"/>
              </w:rPr>
              <w:t>for</w:t>
            </w:r>
            <w:r w:rsidRPr="008F7554">
              <w:rPr>
                <w:sz w:val="15"/>
                <w:szCs w:val="15"/>
              </w:rPr>
              <w:t xml:space="preserve"> passengers from countries with active African swine fever outbreaks</w:t>
            </w:r>
          </w:p>
        </w:tc>
      </w:tr>
      <w:tr w:rsidR="004F64EF" w:rsidRPr="003003C0" w14:paraId="4802DE2F" w14:textId="77777777" w:rsidTr="007D1CF6">
        <w:trPr>
          <w:cnfStyle w:val="000000010000" w:firstRow="0" w:lastRow="0" w:firstColumn="0" w:lastColumn="0" w:oddVBand="0" w:evenVBand="0" w:oddHBand="0" w:evenHBand="1" w:firstRowFirstColumn="0" w:firstRowLastColumn="0" w:lastRowFirstColumn="0" w:lastRowLastColumn="0"/>
        </w:trPr>
        <w:tc>
          <w:tcPr>
            <w:tcW w:w="1177" w:type="pct"/>
          </w:tcPr>
          <w:p w14:paraId="24C2F205" w14:textId="77777777" w:rsidR="004F64EF" w:rsidRPr="003003C0" w:rsidRDefault="004F64EF" w:rsidP="001F3C85">
            <w:pPr>
              <w:jc w:val="left"/>
              <w:rPr>
                <w:sz w:val="15"/>
                <w:szCs w:val="15"/>
              </w:rPr>
            </w:pPr>
            <w:r w:rsidRPr="003003C0">
              <w:rPr>
                <w:sz w:val="15"/>
                <w:szCs w:val="15"/>
              </w:rPr>
              <w:t>Resolu</w:t>
            </w:r>
            <w:r>
              <w:rPr>
                <w:sz w:val="15"/>
                <w:szCs w:val="15"/>
              </w:rPr>
              <w:t>tion</w:t>
            </w:r>
            <w:r w:rsidRPr="003003C0">
              <w:rPr>
                <w:sz w:val="15"/>
                <w:szCs w:val="15"/>
              </w:rPr>
              <w:t xml:space="preserve"> N</w:t>
            </w:r>
            <w:r>
              <w:rPr>
                <w:sz w:val="15"/>
                <w:szCs w:val="15"/>
              </w:rPr>
              <w:t>o.</w:t>
            </w:r>
            <w:r w:rsidRPr="003003C0">
              <w:rPr>
                <w:sz w:val="15"/>
                <w:szCs w:val="15"/>
              </w:rPr>
              <w:t xml:space="preserve"> 2019-16</w:t>
            </w:r>
          </w:p>
        </w:tc>
        <w:tc>
          <w:tcPr>
            <w:tcW w:w="3823" w:type="pct"/>
          </w:tcPr>
          <w:p w14:paraId="65CB6C33" w14:textId="77777777" w:rsidR="004F64EF" w:rsidRPr="00047752" w:rsidRDefault="004F64EF" w:rsidP="001F3C85">
            <w:pPr>
              <w:jc w:val="left"/>
              <w:rPr>
                <w:sz w:val="15"/>
                <w:szCs w:val="15"/>
              </w:rPr>
            </w:pPr>
            <w:r w:rsidRPr="00047752">
              <w:rPr>
                <w:sz w:val="15"/>
                <w:szCs w:val="15"/>
              </w:rPr>
              <w:t>Regulates the movement of birds and bird products and by-products</w:t>
            </w:r>
          </w:p>
        </w:tc>
      </w:tr>
      <w:tr w:rsidR="004F64EF" w:rsidRPr="003003C0" w14:paraId="0BCC105D" w14:textId="77777777" w:rsidTr="007D1CF6">
        <w:tc>
          <w:tcPr>
            <w:tcW w:w="1177" w:type="pct"/>
          </w:tcPr>
          <w:p w14:paraId="31127C01" w14:textId="77777777" w:rsidR="004F64EF" w:rsidRPr="003003C0" w:rsidRDefault="004F64EF" w:rsidP="001F3C85">
            <w:pPr>
              <w:jc w:val="left"/>
              <w:rPr>
                <w:sz w:val="15"/>
                <w:szCs w:val="15"/>
              </w:rPr>
            </w:pPr>
            <w:r w:rsidRPr="003003C0">
              <w:rPr>
                <w:sz w:val="15"/>
                <w:szCs w:val="15"/>
              </w:rPr>
              <w:t>Resolu</w:t>
            </w:r>
            <w:r>
              <w:rPr>
                <w:sz w:val="15"/>
                <w:szCs w:val="15"/>
              </w:rPr>
              <w:t>tion</w:t>
            </w:r>
            <w:r w:rsidRPr="003003C0">
              <w:rPr>
                <w:sz w:val="15"/>
                <w:szCs w:val="15"/>
              </w:rPr>
              <w:t xml:space="preserve"> N</w:t>
            </w:r>
            <w:r>
              <w:rPr>
                <w:sz w:val="15"/>
                <w:szCs w:val="15"/>
              </w:rPr>
              <w:t>o.</w:t>
            </w:r>
            <w:r w:rsidRPr="003003C0">
              <w:rPr>
                <w:sz w:val="15"/>
                <w:szCs w:val="15"/>
              </w:rPr>
              <w:t xml:space="preserve"> 2019-13</w:t>
            </w:r>
          </w:p>
        </w:tc>
        <w:tc>
          <w:tcPr>
            <w:tcW w:w="3823" w:type="pct"/>
          </w:tcPr>
          <w:p w14:paraId="2D2BFE6B" w14:textId="77777777" w:rsidR="004F64EF" w:rsidRPr="00EC3E2B" w:rsidRDefault="004F64EF" w:rsidP="001F3C85">
            <w:pPr>
              <w:jc w:val="left"/>
              <w:rPr>
                <w:sz w:val="15"/>
                <w:szCs w:val="15"/>
              </w:rPr>
            </w:pPr>
            <w:r w:rsidRPr="00171DC9">
              <w:rPr>
                <w:sz w:val="15"/>
                <w:szCs w:val="15"/>
              </w:rPr>
              <w:t>Establishes measures governing imports from the hides and skins sector</w:t>
            </w:r>
          </w:p>
        </w:tc>
      </w:tr>
      <w:tr w:rsidR="004F64EF" w:rsidRPr="003003C0" w14:paraId="77186541" w14:textId="77777777" w:rsidTr="007D1CF6">
        <w:trPr>
          <w:cnfStyle w:val="000000010000" w:firstRow="0" w:lastRow="0" w:firstColumn="0" w:lastColumn="0" w:oddVBand="0" w:evenVBand="0" w:oddHBand="0" w:evenHBand="1" w:firstRowFirstColumn="0" w:firstRowLastColumn="0" w:lastRowFirstColumn="0" w:lastRowLastColumn="0"/>
        </w:trPr>
        <w:tc>
          <w:tcPr>
            <w:tcW w:w="1177" w:type="pct"/>
          </w:tcPr>
          <w:p w14:paraId="2E9C69D2" w14:textId="77777777" w:rsidR="004F64EF" w:rsidRPr="003003C0" w:rsidRDefault="004F64EF" w:rsidP="001F3C85">
            <w:pPr>
              <w:jc w:val="left"/>
              <w:rPr>
                <w:sz w:val="15"/>
                <w:szCs w:val="15"/>
              </w:rPr>
            </w:pPr>
            <w:r w:rsidRPr="003003C0">
              <w:rPr>
                <w:sz w:val="15"/>
                <w:szCs w:val="15"/>
              </w:rPr>
              <w:t>Resolu</w:t>
            </w:r>
            <w:r>
              <w:rPr>
                <w:sz w:val="15"/>
                <w:szCs w:val="15"/>
              </w:rPr>
              <w:t>tion</w:t>
            </w:r>
            <w:r w:rsidRPr="003003C0">
              <w:rPr>
                <w:sz w:val="15"/>
                <w:szCs w:val="15"/>
              </w:rPr>
              <w:t xml:space="preserve"> N</w:t>
            </w:r>
            <w:r>
              <w:rPr>
                <w:sz w:val="15"/>
                <w:szCs w:val="15"/>
              </w:rPr>
              <w:t>o.</w:t>
            </w:r>
            <w:r w:rsidRPr="003003C0">
              <w:rPr>
                <w:sz w:val="15"/>
                <w:szCs w:val="15"/>
              </w:rPr>
              <w:t xml:space="preserve"> 2018-89</w:t>
            </w:r>
          </w:p>
        </w:tc>
        <w:tc>
          <w:tcPr>
            <w:tcW w:w="3823" w:type="pct"/>
          </w:tcPr>
          <w:p w14:paraId="4194734F" w14:textId="77777777" w:rsidR="004F64EF" w:rsidRPr="00EC3E2B" w:rsidRDefault="004F64EF" w:rsidP="001F3C85">
            <w:pPr>
              <w:jc w:val="left"/>
              <w:rPr>
                <w:sz w:val="15"/>
                <w:szCs w:val="15"/>
              </w:rPr>
            </w:pPr>
            <w:r w:rsidRPr="00171DC9">
              <w:rPr>
                <w:sz w:val="15"/>
                <w:szCs w:val="15"/>
              </w:rPr>
              <w:t>Establishes programmes, certification and control measures for avocado, citrus, cocoa, mango and coffee seeds</w:t>
            </w:r>
          </w:p>
        </w:tc>
      </w:tr>
      <w:tr w:rsidR="004F64EF" w:rsidRPr="003003C0" w14:paraId="2112AFA4" w14:textId="77777777" w:rsidTr="007D1CF6">
        <w:tc>
          <w:tcPr>
            <w:tcW w:w="1177" w:type="pct"/>
          </w:tcPr>
          <w:p w14:paraId="7DF15A5B" w14:textId="77777777" w:rsidR="004F64EF" w:rsidRPr="003003C0" w:rsidRDefault="004F64EF" w:rsidP="001F3C85">
            <w:pPr>
              <w:jc w:val="left"/>
              <w:rPr>
                <w:sz w:val="15"/>
                <w:szCs w:val="15"/>
              </w:rPr>
            </w:pPr>
            <w:r w:rsidRPr="003003C0">
              <w:rPr>
                <w:sz w:val="15"/>
                <w:szCs w:val="15"/>
              </w:rPr>
              <w:t>Resolu</w:t>
            </w:r>
            <w:r>
              <w:rPr>
                <w:sz w:val="15"/>
                <w:szCs w:val="15"/>
              </w:rPr>
              <w:t>tion</w:t>
            </w:r>
            <w:r w:rsidRPr="003003C0">
              <w:rPr>
                <w:sz w:val="15"/>
                <w:szCs w:val="15"/>
              </w:rPr>
              <w:t xml:space="preserve"> N</w:t>
            </w:r>
            <w:r>
              <w:rPr>
                <w:sz w:val="15"/>
                <w:szCs w:val="15"/>
              </w:rPr>
              <w:t>o.</w:t>
            </w:r>
            <w:r w:rsidRPr="003003C0">
              <w:rPr>
                <w:sz w:val="15"/>
                <w:szCs w:val="15"/>
              </w:rPr>
              <w:t xml:space="preserve"> 2018-84</w:t>
            </w:r>
          </w:p>
        </w:tc>
        <w:tc>
          <w:tcPr>
            <w:tcW w:w="3823" w:type="pct"/>
          </w:tcPr>
          <w:p w14:paraId="2F245D0E" w14:textId="77777777" w:rsidR="004F64EF" w:rsidRPr="00EC3E2B" w:rsidRDefault="004F64EF" w:rsidP="001F3C85">
            <w:pPr>
              <w:jc w:val="left"/>
              <w:rPr>
                <w:sz w:val="15"/>
                <w:szCs w:val="15"/>
              </w:rPr>
            </w:pPr>
            <w:r w:rsidRPr="00171DC9">
              <w:rPr>
                <w:sz w:val="15"/>
                <w:szCs w:val="15"/>
              </w:rPr>
              <w:t>Establishes general provisions concerning hygiene practices applicable to unprocessed foods</w:t>
            </w:r>
          </w:p>
        </w:tc>
      </w:tr>
      <w:tr w:rsidR="004F64EF" w:rsidRPr="003003C0" w14:paraId="01CFADFB" w14:textId="77777777" w:rsidTr="007D1CF6">
        <w:trPr>
          <w:cnfStyle w:val="000000010000" w:firstRow="0" w:lastRow="0" w:firstColumn="0" w:lastColumn="0" w:oddVBand="0" w:evenVBand="0" w:oddHBand="0" w:evenHBand="1" w:firstRowFirstColumn="0" w:firstRowLastColumn="0" w:lastRowFirstColumn="0" w:lastRowLastColumn="0"/>
        </w:trPr>
        <w:tc>
          <w:tcPr>
            <w:tcW w:w="1177" w:type="pct"/>
          </w:tcPr>
          <w:p w14:paraId="64E8D9FA" w14:textId="77777777" w:rsidR="004F64EF" w:rsidRPr="003003C0" w:rsidRDefault="004F64EF" w:rsidP="001F3C85">
            <w:pPr>
              <w:jc w:val="left"/>
              <w:rPr>
                <w:sz w:val="15"/>
                <w:szCs w:val="15"/>
              </w:rPr>
            </w:pPr>
            <w:r w:rsidRPr="003003C0">
              <w:rPr>
                <w:sz w:val="15"/>
                <w:szCs w:val="15"/>
              </w:rPr>
              <w:t>Resolu</w:t>
            </w:r>
            <w:r>
              <w:rPr>
                <w:sz w:val="15"/>
                <w:szCs w:val="15"/>
              </w:rPr>
              <w:t>tion</w:t>
            </w:r>
            <w:r w:rsidRPr="003003C0">
              <w:rPr>
                <w:sz w:val="15"/>
                <w:szCs w:val="15"/>
              </w:rPr>
              <w:t xml:space="preserve"> N</w:t>
            </w:r>
            <w:r>
              <w:rPr>
                <w:sz w:val="15"/>
                <w:szCs w:val="15"/>
              </w:rPr>
              <w:t>o.</w:t>
            </w:r>
            <w:r w:rsidRPr="003003C0">
              <w:rPr>
                <w:sz w:val="15"/>
                <w:szCs w:val="15"/>
              </w:rPr>
              <w:t xml:space="preserve"> 2018-68</w:t>
            </w:r>
          </w:p>
        </w:tc>
        <w:tc>
          <w:tcPr>
            <w:tcW w:w="3823" w:type="pct"/>
          </w:tcPr>
          <w:p w14:paraId="53FF3CE3" w14:textId="77777777" w:rsidR="004F64EF" w:rsidRPr="00E94311" w:rsidRDefault="004F64EF" w:rsidP="001F3C85">
            <w:pPr>
              <w:jc w:val="left"/>
              <w:rPr>
                <w:sz w:val="15"/>
                <w:szCs w:val="15"/>
              </w:rPr>
            </w:pPr>
            <w:r w:rsidRPr="00E94311">
              <w:rPr>
                <w:sz w:val="15"/>
                <w:szCs w:val="15"/>
              </w:rPr>
              <w:t>Support programme for irrigated farming</w:t>
            </w:r>
          </w:p>
        </w:tc>
      </w:tr>
      <w:tr w:rsidR="004F64EF" w:rsidRPr="003003C0" w14:paraId="442DF010" w14:textId="77777777" w:rsidTr="007D1CF6">
        <w:tc>
          <w:tcPr>
            <w:tcW w:w="1177" w:type="pct"/>
          </w:tcPr>
          <w:p w14:paraId="17521DAC" w14:textId="77777777" w:rsidR="004F64EF" w:rsidRPr="003003C0" w:rsidRDefault="004F64EF" w:rsidP="001F3C85">
            <w:pPr>
              <w:jc w:val="left"/>
              <w:rPr>
                <w:sz w:val="15"/>
                <w:szCs w:val="15"/>
              </w:rPr>
            </w:pPr>
            <w:r w:rsidRPr="003003C0">
              <w:rPr>
                <w:sz w:val="15"/>
                <w:szCs w:val="15"/>
              </w:rPr>
              <w:t>Resolu</w:t>
            </w:r>
            <w:r>
              <w:rPr>
                <w:sz w:val="15"/>
                <w:szCs w:val="15"/>
              </w:rPr>
              <w:t>tion</w:t>
            </w:r>
            <w:r w:rsidRPr="003003C0">
              <w:rPr>
                <w:sz w:val="15"/>
                <w:szCs w:val="15"/>
              </w:rPr>
              <w:t xml:space="preserve"> N</w:t>
            </w:r>
            <w:r>
              <w:rPr>
                <w:sz w:val="15"/>
                <w:szCs w:val="15"/>
              </w:rPr>
              <w:t>o.</w:t>
            </w:r>
            <w:r w:rsidRPr="003003C0">
              <w:rPr>
                <w:sz w:val="15"/>
                <w:szCs w:val="15"/>
              </w:rPr>
              <w:t xml:space="preserve"> 2018-67</w:t>
            </w:r>
          </w:p>
        </w:tc>
        <w:tc>
          <w:tcPr>
            <w:tcW w:w="3823" w:type="pct"/>
          </w:tcPr>
          <w:p w14:paraId="44491EC3" w14:textId="77777777" w:rsidR="004F64EF" w:rsidRPr="00E94311" w:rsidRDefault="004F64EF" w:rsidP="001F3C85">
            <w:pPr>
              <w:jc w:val="left"/>
              <w:rPr>
                <w:sz w:val="15"/>
                <w:szCs w:val="15"/>
              </w:rPr>
            </w:pPr>
            <w:r w:rsidRPr="00E94311">
              <w:rPr>
                <w:sz w:val="15"/>
                <w:szCs w:val="15"/>
              </w:rPr>
              <w:t>Creation of a safety and risk management team (</w:t>
            </w:r>
            <w:proofErr w:type="spellStart"/>
            <w:r w:rsidRPr="00E94311">
              <w:rPr>
                <w:sz w:val="15"/>
                <w:szCs w:val="15"/>
              </w:rPr>
              <w:t>EGERSER</w:t>
            </w:r>
            <w:proofErr w:type="spellEnd"/>
            <w:r w:rsidRPr="00E94311">
              <w:rPr>
                <w:sz w:val="15"/>
                <w:szCs w:val="15"/>
              </w:rPr>
              <w:t>)</w:t>
            </w:r>
          </w:p>
        </w:tc>
      </w:tr>
      <w:tr w:rsidR="004F64EF" w:rsidRPr="003003C0" w14:paraId="397CFFAE" w14:textId="77777777" w:rsidTr="007D1CF6">
        <w:trPr>
          <w:cnfStyle w:val="000000010000" w:firstRow="0" w:lastRow="0" w:firstColumn="0" w:lastColumn="0" w:oddVBand="0" w:evenVBand="0" w:oddHBand="0" w:evenHBand="1" w:firstRowFirstColumn="0" w:firstRowLastColumn="0" w:lastRowFirstColumn="0" w:lastRowLastColumn="0"/>
        </w:trPr>
        <w:tc>
          <w:tcPr>
            <w:tcW w:w="1177" w:type="pct"/>
          </w:tcPr>
          <w:p w14:paraId="315F6BC2" w14:textId="77777777" w:rsidR="004F64EF" w:rsidRPr="003003C0" w:rsidRDefault="004F64EF" w:rsidP="001F3C85">
            <w:pPr>
              <w:jc w:val="left"/>
              <w:rPr>
                <w:sz w:val="15"/>
                <w:szCs w:val="15"/>
              </w:rPr>
            </w:pPr>
            <w:r w:rsidRPr="003003C0">
              <w:rPr>
                <w:sz w:val="15"/>
                <w:szCs w:val="15"/>
              </w:rPr>
              <w:t>Resolu</w:t>
            </w:r>
            <w:r>
              <w:rPr>
                <w:sz w:val="15"/>
                <w:szCs w:val="15"/>
              </w:rPr>
              <w:t>tion</w:t>
            </w:r>
            <w:r w:rsidRPr="003003C0">
              <w:rPr>
                <w:sz w:val="15"/>
                <w:szCs w:val="15"/>
              </w:rPr>
              <w:t xml:space="preserve"> N</w:t>
            </w:r>
            <w:r>
              <w:rPr>
                <w:sz w:val="15"/>
                <w:szCs w:val="15"/>
              </w:rPr>
              <w:t>o.</w:t>
            </w:r>
            <w:r w:rsidRPr="003003C0">
              <w:rPr>
                <w:sz w:val="15"/>
                <w:szCs w:val="15"/>
              </w:rPr>
              <w:t xml:space="preserve"> 2018-61</w:t>
            </w:r>
          </w:p>
        </w:tc>
        <w:tc>
          <w:tcPr>
            <w:tcW w:w="3823" w:type="pct"/>
          </w:tcPr>
          <w:p w14:paraId="34B5B211" w14:textId="77777777" w:rsidR="004F64EF" w:rsidRPr="003752EC" w:rsidRDefault="004F64EF" w:rsidP="001F3C85">
            <w:pPr>
              <w:jc w:val="left"/>
              <w:rPr>
                <w:sz w:val="15"/>
                <w:szCs w:val="15"/>
              </w:rPr>
            </w:pPr>
            <w:r w:rsidRPr="003752EC">
              <w:rPr>
                <w:sz w:val="15"/>
                <w:szCs w:val="15"/>
              </w:rPr>
              <w:t>Policy to enhance animal and plant health</w:t>
            </w:r>
          </w:p>
        </w:tc>
      </w:tr>
      <w:tr w:rsidR="004F64EF" w:rsidRPr="003003C0" w14:paraId="3E715F7A" w14:textId="77777777" w:rsidTr="007D1CF6">
        <w:tc>
          <w:tcPr>
            <w:tcW w:w="1177" w:type="pct"/>
          </w:tcPr>
          <w:p w14:paraId="0B699752" w14:textId="77777777" w:rsidR="004F64EF" w:rsidRPr="003003C0" w:rsidRDefault="004F64EF" w:rsidP="001F3C85">
            <w:pPr>
              <w:jc w:val="left"/>
              <w:rPr>
                <w:sz w:val="15"/>
                <w:szCs w:val="15"/>
              </w:rPr>
            </w:pPr>
            <w:r w:rsidRPr="003003C0">
              <w:rPr>
                <w:sz w:val="15"/>
                <w:szCs w:val="15"/>
              </w:rPr>
              <w:t>Resolu</w:t>
            </w:r>
            <w:r>
              <w:rPr>
                <w:sz w:val="15"/>
                <w:szCs w:val="15"/>
              </w:rPr>
              <w:t>tion</w:t>
            </w:r>
            <w:r w:rsidRPr="003003C0">
              <w:rPr>
                <w:sz w:val="15"/>
                <w:szCs w:val="15"/>
              </w:rPr>
              <w:t xml:space="preserve"> N</w:t>
            </w:r>
            <w:r>
              <w:rPr>
                <w:sz w:val="15"/>
                <w:szCs w:val="15"/>
              </w:rPr>
              <w:t>o.</w:t>
            </w:r>
            <w:r w:rsidRPr="003003C0">
              <w:rPr>
                <w:sz w:val="15"/>
                <w:szCs w:val="15"/>
              </w:rPr>
              <w:t xml:space="preserve"> 2018-5</w:t>
            </w:r>
          </w:p>
        </w:tc>
        <w:tc>
          <w:tcPr>
            <w:tcW w:w="3823" w:type="pct"/>
          </w:tcPr>
          <w:p w14:paraId="6CDEE7D9" w14:textId="77777777" w:rsidR="004F64EF" w:rsidRPr="008E5685" w:rsidRDefault="004F64EF" w:rsidP="001F3C85">
            <w:pPr>
              <w:jc w:val="left"/>
              <w:rPr>
                <w:sz w:val="15"/>
                <w:szCs w:val="15"/>
              </w:rPr>
            </w:pPr>
            <w:r w:rsidRPr="008E5685">
              <w:rPr>
                <w:sz w:val="15"/>
                <w:szCs w:val="15"/>
              </w:rPr>
              <w:t>Establishes dates for the planting and growing of all types of chilli pepper</w:t>
            </w:r>
          </w:p>
        </w:tc>
      </w:tr>
      <w:tr w:rsidR="004F64EF" w:rsidRPr="003003C0" w14:paraId="75020ABE" w14:textId="77777777" w:rsidTr="007D1CF6">
        <w:trPr>
          <w:cnfStyle w:val="000000010000" w:firstRow="0" w:lastRow="0" w:firstColumn="0" w:lastColumn="0" w:oddVBand="0" w:evenVBand="0" w:oddHBand="0" w:evenHBand="1" w:firstRowFirstColumn="0" w:firstRowLastColumn="0" w:lastRowFirstColumn="0" w:lastRowLastColumn="0"/>
        </w:trPr>
        <w:tc>
          <w:tcPr>
            <w:tcW w:w="1177" w:type="pct"/>
          </w:tcPr>
          <w:p w14:paraId="1E6897AD" w14:textId="77777777" w:rsidR="004F64EF" w:rsidRPr="003003C0" w:rsidRDefault="004F64EF" w:rsidP="001F3C85">
            <w:pPr>
              <w:jc w:val="left"/>
              <w:rPr>
                <w:sz w:val="15"/>
                <w:szCs w:val="15"/>
              </w:rPr>
            </w:pPr>
            <w:r w:rsidRPr="003003C0">
              <w:rPr>
                <w:sz w:val="15"/>
                <w:szCs w:val="15"/>
              </w:rPr>
              <w:t>Resolu</w:t>
            </w:r>
            <w:r>
              <w:rPr>
                <w:sz w:val="15"/>
                <w:szCs w:val="15"/>
              </w:rPr>
              <w:t>tion</w:t>
            </w:r>
            <w:r w:rsidRPr="003003C0">
              <w:rPr>
                <w:sz w:val="15"/>
                <w:szCs w:val="15"/>
              </w:rPr>
              <w:t xml:space="preserve"> N</w:t>
            </w:r>
            <w:r>
              <w:rPr>
                <w:sz w:val="15"/>
                <w:szCs w:val="15"/>
              </w:rPr>
              <w:t>o.</w:t>
            </w:r>
            <w:r w:rsidRPr="003003C0">
              <w:rPr>
                <w:sz w:val="15"/>
                <w:szCs w:val="15"/>
              </w:rPr>
              <w:t xml:space="preserve"> 2017-24</w:t>
            </w:r>
          </w:p>
        </w:tc>
        <w:tc>
          <w:tcPr>
            <w:tcW w:w="3823" w:type="pct"/>
          </w:tcPr>
          <w:p w14:paraId="2D8F7ED9" w14:textId="77777777" w:rsidR="004F64EF" w:rsidRPr="008E5685" w:rsidRDefault="004F64EF" w:rsidP="001F3C85">
            <w:pPr>
              <w:jc w:val="left"/>
              <w:rPr>
                <w:sz w:val="15"/>
                <w:szCs w:val="15"/>
              </w:rPr>
            </w:pPr>
            <w:r w:rsidRPr="008E5685">
              <w:rPr>
                <w:sz w:val="15"/>
                <w:szCs w:val="15"/>
              </w:rPr>
              <w:t xml:space="preserve">Merging of the </w:t>
            </w:r>
            <w:proofErr w:type="spellStart"/>
            <w:r w:rsidRPr="008E5685">
              <w:rPr>
                <w:sz w:val="15"/>
                <w:szCs w:val="15"/>
              </w:rPr>
              <w:t>MOSCAMED</w:t>
            </w:r>
            <w:proofErr w:type="spellEnd"/>
            <w:r w:rsidRPr="008E5685">
              <w:rPr>
                <w:sz w:val="15"/>
                <w:szCs w:val="15"/>
              </w:rPr>
              <w:t xml:space="preserve">-RD and </w:t>
            </w:r>
            <w:proofErr w:type="spellStart"/>
            <w:r w:rsidRPr="008E5685">
              <w:rPr>
                <w:sz w:val="15"/>
                <w:szCs w:val="15"/>
              </w:rPr>
              <w:t>MOSCAFRUT</w:t>
            </w:r>
            <w:proofErr w:type="spellEnd"/>
            <w:r w:rsidRPr="008E5685">
              <w:rPr>
                <w:sz w:val="15"/>
                <w:szCs w:val="15"/>
              </w:rPr>
              <w:t>-RD programmes</w:t>
            </w:r>
          </w:p>
        </w:tc>
      </w:tr>
    </w:tbl>
    <w:p w14:paraId="6A6318E7" w14:textId="77777777" w:rsidR="004F64EF" w:rsidRPr="003003C0" w:rsidRDefault="004F64EF" w:rsidP="00E439A9"/>
    <w:tbl>
      <w:tblPr>
        <w:tblStyle w:val="WTOTable1"/>
        <w:tblW w:w="5000" w:type="pct"/>
        <w:tblLook w:val="04A0" w:firstRow="1" w:lastRow="0" w:firstColumn="1" w:lastColumn="0" w:noHBand="0" w:noVBand="1"/>
      </w:tblPr>
      <w:tblGrid>
        <w:gridCol w:w="2122"/>
        <w:gridCol w:w="6894"/>
      </w:tblGrid>
      <w:tr w:rsidR="004F64EF" w:rsidRPr="003003C0" w14:paraId="207DECCE" w14:textId="77777777" w:rsidTr="007D1CF6">
        <w:trPr>
          <w:cnfStyle w:val="100000000000" w:firstRow="1" w:lastRow="0" w:firstColumn="0" w:lastColumn="0" w:oddVBand="0" w:evenVBand="0" w:oddHBand="0" w:evenHBand="0" w:firstRowFirstColumn="0" w:firstRowLastColumn="0" w:lastRowFirstColumn="0" w:lastRowLastColumn="0"/>
        </w:trPr>
        <w:tc>
          <w:tcPr>
            <w:tcW w:w="5000" w:type="pct"/>
            <w:gridSpan w:val="2"/>
          </w:tcPr>
          <w:p w14:paraId="76BF35C0" w14:textId="77777777" w:rsidR="004F64EF" w:rsidRPr="003003C0" w:rsidRDefault="004F64EF" w:rsidP="001F3C85">
            <w:pPr>
              <w:jc w:val="left"/>
              <w:rPr>
                <w:b w:val="0"/>
                <w:bCs/>
                <w:sz w:val="15"/>
                <w:szCs w:val="15"/>
              </w:rPr>
            </w:pPr>
            <w:r>
              <w:rPr>
                <w:bCs/>
                <w:sz w:val="15"/>
                <w:szCs w:val="15"/>
              </w:rPr>
              <w:t>Food safety</w:t>
            </w:r>
          </w:p>
        </w:tc>
      </w:tr>
      <w:tr w:rsidR="004F64EF" w:rsidRPr="003003C0" w14:paraId="76B17B61" w14:textId="77777777" w:rsidTr="007D1CF6">
        <w:tc>
          <w:tcPr>
            <w:tcW w:w="1177" w:type="pct"/>
          </w:tcPr>
          <w:p w14:paraId="19F25D9A" w14:textId="77777777" w:rsidR="004F64EF" w:rsidRPr="003003C0" w:rsidRDefault="004F64EF" w:rsidP="001F3C85">
            <w:pPr>
              <w:jc w:val="left"/>
              <w:rPr>
                <w:b/>
                <w:color w:val="FFFFFF"/>
                <w:sz w:val="15"/>
                <w:szCs w:val="15"/>
              </w:rPr>
            </w:pPr>
            <w:r w:rsidRPr="003003C0">
              <w:rPr>
                <w:sz w:val="15"/>
                <w:szCs w:val="15"/>
              </w:rPr>
              <w:t>L</w:t>
            </w:r>
            <w:r>
              <w:rPr>
                <w:sz w:val="15"/>
                <w:szCs w:val="15"/>
              </w:rPr>
              <w:t>aw</w:t>
            </w:r>
            <w:r w:rsidRPr="003003C0">
              <w:rPr>
                <w:sz w:val="15"/>
                <w:szCs w:val="15"/>
              </w:rPr>
              <w:t xml:space="preserve"> N</w:t>
            </w:r>
            <w:r>
              <w:rPr>
                <w:sz w:val="15"/>
                <w:szCs w:val="15"/>
              </w:rPr>
              <w:t xml:space="preserve">o. </w:t>
            </w:r>
            <w:r w:rsidRPr="003003C0">
              <w:rPr>
                <w:sz w:val="15"/>
                <w:szCs w:val="15"/>
              </w:rPr>
              <w:t>42-01</w:t>
            </w:r>
          </w:p>
        </w:tc>
        <w:tc>
          <w:tcPr>
            <w:tcW w:w="3823" w:type="pct"/>
          </w:tcPr>
          <w:p w14:paraId="01FD8A5B" w14:textId="77777777" w:rsidR="004F64EF" w:rsidRPr="0017099B" w:rsidRDefault="004F64EF" w:rsidP="001F3C85">
            <w:pPr>
              <w:keepNext/>
              <w:keepLines/>
              <w:jc w:val="left"/>
              <w:rPr>
                <w:b/>
                <w:color w:val="FFFFFF"/>
                <w:sz w:val="15"/>
                <w:szCs w:val="15"/>
              </w:rPr>
            </w:pPr>
            <w:r w:rsidRPr="0017099B">
              <w:rPr>
                <w:sz w:val="15"/>
                <w:szCs w:val="15"/>
              </w:rPr>
              <w:t>General Law on Health (regulates the production, marketing and importation of foodstuffs)</w:t>
            </w:r>
          </w:p>
        </w:tc>
      </w:tr>
      <w:tr w:rsidR="004F64EF" w:rsidRPr="003003C0" w14:paraId="1383DE27" w14:textId="77777777" w:rsidTr="007D1CF6">
        <w:trPr>
          <w:cnfStyle w:val="000000010000" w:firstRow="0" w:lastRow="0" w:firstColumn="0" w:lastColumn="0" w:oddVBand="0" w:evenVBand="0" w:oddHBand="0" w:evenHBand="1" w:firstRowFirstColumn="0" w:firstRowLastColumn="0" w:lastRowFirstColumn="0" w:lastRowLastColumn="0"/>
        </w:trPr>
        <w:tc>
          <w:tcPr>
            <w:tcW w:w="1177" w:type="pct"/>
          </w:tcPr>
          <w:p w14:paraId="11D72C88" w14:textId="77777777" w:rsidR="004F64EF" w:rsidRPr="003003C0" w:rsidRDefault="004F64EF" w:rsidP="001F3C85">
            <w:pPr>
              <w:jc w:val="left"/>
              <w:rPr>
                <w:sz w:val="15"/>
                <w:szCs w:val="15"/>
              </w:rPr>
            </w:pPr>
            <w:r w:rsidRPr="003003C0">
              <w:rPr>
                <w:color w:val="000000"/>
                <w:sz w:val="15"/>
                <w:szCs w:val="15"/>
              </w:rPr>
              <w:t>Decre</w:t>
            </w:r>
            <w:r>
              <w:rPr>
                <w:color w:val="000000"/>
                <w:sz w:val="15"/>
                <w:szCs w:val="15"/>
              </w:rPr>
              <w:t>e</w:t>
            </w:r>
            <w:r w:rsidRPr="003003C0">
              <w:rPr>
                <w:color w:val="000000"/>
                <w:sz w:val="15"/>
                <w:szCs w:val="15"/>
              </w:rPr>
              <w:t xml:space="preserve"> </w:t>
            </w:r>
            <w:r w:rsidRPr="003003C0">
              <w:rPr>
                <w:bCs/>
                <w:sz w:val="15"/>
                <w:szCs w:val="15"/>
              </w:rPr>
              <w:t>N</w:t>
            </w:r>
            <w:r>
              <w:rPr>
                <w:bCs/>
                <w:sz w:val="15"/>
                <w:szCs w:val="15"/>
              </w:rPr>
              <w:t xml:space="preserve">o. </w:t>
            </w:r>
            <w:r w:rsidRPr="003003C0">
              <w:rPr>
                <w:color w:val="000000"/>
                <w:sz w:val="15"/>
                <w:szCs w:val="15"/>
              </w:rPr>
              <w:t>528-01</w:t>
            </w:r>
          </w:p>
        </w:tc>
        <w:tc>
          <w:tcPr>
            <w:tcW w:w="3823" w:type="pct"/>
          </w:tcPr>
          <w:p w14:paraId="06D4245E" w14:textId="77777777" w:rsidR="004F64EF" w:rsidRPr="003003C0" w:rsidRDefault="004F64EF" w:rsidP="001F3C85">
            <w:pPr>
              <w:keepNext/>
              <w:keepLines/>
              <w:jc w:val="left"/>
              <w:rPr>
                <w:sz w:val="15"/>
                <w:szCs w:val="15"/>
              </w:rPr>
            </w:pPr>
            <w:r w:rsidRPr="00327480">
              <w:rPr>
                <w:color w:val="000000"/>
                <w:sz w:val="15"/>
                <w:szCs w:val="15"/>
              </w:rPr>
              <w:t>Regulations on food and beverage risk control</w:t>
            </w:r>
          </w:p>
        </w:tc>
      </w:tr>
      <w:tr w:rsidR="004F64EF" w:rsidRPr="003003C0" w14:paraId="7EDBC124" w14:textId="77777777" w:rsidTr="007D1CF6">
        <w:tc>
          <w:tcPr>
            <w:tcW w:w="1177" w:type="pct"/>
          </w:tcPr>
          <w:p w14:paraId="44EE33E4" w14:textId="77777777" w:rsidR="004F64EF" w:rsidRPr="003003C0" w:rsidRDefault="004F64EF" w:rsidP="001F3C85">
            <w:pPr>
              <w:jc w:val="left"/>
              <w:rPr>
                <w:b/>
                <w:sz w:val="15"/>
                <w:szCs w:val="15"/>
              </w:rPr>
            </w:pPr>
            <w:r w:rsidRPr="003003C0">
              <w:rPr>
                <w:sz w:val="15"/>
                <w:szCs w:val="15"/>
              </w:rPr>
              <w:t>Decre</w:t>
            </w:r>
            <w:r>
              <w:rPr>
                <w:sz w:val="15"/>
                <w:szCs w:val="15"/>
              </w:rPr>
              <w:t>e</w:t>
            </w:r>
            <w:r w:rsidRPr="003003C0">
              <w:rPr>
                <w:sz w:val="15"/>
                <w:szCs w:val="15"/>
              </w:rPr>
              <w:t xml:space="preserve"> N</w:t>
            </w:r>
            <w:r>
              <w:rPr>
                <w:sz w:val="15"/>
                <w:szCs w:val="15"/>
              </w:rPr>
              <w:t>o.</w:t>
            </w:r>
            <w:r w:rsidRPr="003003C0">
              <w:rPr>
                <w:sz w:val="15"/>
                <w:szCs w:val="15"/>
              </w:rPr>
              <w:t xml:space="preserve"> 52-08</w:t>
            </w:r>
          </w:p>
        </w:tc>
        <w:tc>
          <w:tcPr>
            <w:tcW w:w="3823" w:type="pct"/>
          </w:tcPr>
          <w:p w14:paraId="014994BD" w14:textId="77777777" w:rsidR="004F64EF" w:rsidRPr="003003C0" w:rsidRDefault="004F64EF" w:rsidP="001F3C85">
            <w:pPr>
              <w:keepNext/>
              <w:keepLines/>
              <w:jc w:val="left"/>
              <w:rPr>
                <w:sz w:val="15"/>
                <w:szCs w:val="15"/>
              </w:rPr>
            </w:pPr>
            <w:r w:rsidRPr="001533CC">
              <w:rPr>
                <w:sz w:val="15"/>
                <w:szCs w:val="15"/>
              </w:rPr>
              <w:t>Establishes regulations</w:t>
            </w:r>
            <w:r w:rsidRPr="00327480">
              <w:rPr>
                <w:sz w:val="15"/>
                <w:szCs w:val="15"/>
              </w:rPr>
              <w:t xml:space="preserve"> for the general </w:t>
            </w:r>
            <w:r>
              <w:rPr>
                <w:sz w:val="15"/>
                <w:szCs w:val="15"/>
              </w:rPr>
              <w:t>implementation</w:t>
            </w:r>
            <w:r w:rsidRPr="00327480">
              <w:rPr>
                <w:sz w:val="15"/>
                <w:szCs w:val="15"/>
              </w:rPr>
              <w:t xml:space="preserve"> of basic rules </w:t>
            </w:r>
            <w:r>
              <w:rPr>
                <w:sz w:val="15"/>
                <w:szCs w:val="15"/>
              </w:rPr>
              <w:t>concerning</w:t>
            </w:r>
            <w:r w:rsidRPr="00327480">
              <w:rPr>
                <w:sz w:val="15"/>
                <w:szCs w:val="15"/>
              </w:rPr>
              <w:t xml:space="preserve"> good agricultural practices </w:t>
            </w:r>
            <w:r>
              <w:rPr>
                <w:sz w:val="15"/>
                <w:szCs w:val="15"/>
              </w:rPr>
              <w:t xml:space="preserve">(GAP) </w:t>
            </w:r>
            <w:r w:rsidRPr="00327480">
              <w:rPr>
                <w:sz w:val="15"/>
                <w:szCs w:val="15"/>
              </w:rPr>
              <w:t>and good animal husbandry practices</w:t>
            </w:r>
            <w:r>
              <w:rPr>
                <w:sz w:val="15"/>
                <w:szCs w:val="15"/>
              </w:rPr>
              <w:t xml:space="preserve"> (</w:t>
            </w:r>
            <w:proofErr w:type="spellStart"/>
            <w:r>
              <w:rPr>
                <w:sz w:val="15"/>
                <w:szCs w:val="15"/>
              </w:rPr>
              <w:t>GAHP</w:t>
            </w:r>
            <w:proofErr w:type="spellEnd"/>
            <w:r>
              <w:rPr>
                <w:sz w:val="15"/>
                <w:szCs w:val="15"/>
              </w:rPr>
              <w:t>)</w:t>
            </w:r>
          </w:p>
        </w:tc>
      </w:tr>
      <w:tr w:rsidR="004F64EF" w:rsidRPr="003003C0" w14:paraId="3B319A09" w14:textId="77777777" w:rsidTr="007D1CF6">
        <w:trPr>
          <w:cnfStyle w:val="000000010000" w:firstRow="0" w:lastRow="0" w:firstColumn="0" w:lastColumn="0" w:oddVBand="0" w:evenVBand="0" w:oddHBand="0" w:evenHBand="1" w:firstRowFirstColumn="0" w:firstRowLastColumn="0" w:lastRowFirstColumn="0" w:lastRowLastColumn="0"/>
        </w:trPr>
        <w:tc>
          <w:tcPr>
            <w:tcW w:w="1177" w:type="pct"/>
          </w:tcPr>
          <w:p w14:paraId="4F8D81E8" w14:textId="77777777" w:rsidR="004F64EF" w:rsidRPr="003003C0" w:rsidRDefault="004F64EF" w:rsidP="001F3C85">
            <w:pPr>
              <w:jc w:val="left"/>
              <w:rPr>
                <w:b/>
                <w:sz w:val="15"/>
                <w:szCs w:val="15"/>
              </w:rPr>
            </w:pPr>
            <w:r w:rsidRPr="003003C0">
              <w:rPr>
                <w:sz w:val="15"/>
                <w:szCs w:val="15"/>
              </w:rPr>
              <w:t>Resol</w:t>
            </w:r>
            <w:r>
              <w:rPr>
                <w:sz w:val="15"/>
                <w:szCs w:val="15"/>
              </w:rPr>
              <w:t>ution</w:t>
            </w:r>
            <w:r w:rsidRPr="003003C0">
              <w:rPr>
                <w:sz w:val="15"/>
                <w:szCs w:val="15"/>
              </w:rPr>
              <w:t xml:space="preserve"> N</w:t>
            </w:r>
            <w:r>
              <w:rPr>
                <w:sz w:val="15"/>
                <w:szCs w:val="15"/>
              </w:rPr>
              <w:t>o.</w:t>
            </w:r>
            <w:r w:rsidRPr="003003C0">
              <w:rPr>
                <w:sz w:val="15"/>
                <w:szCs w:val="15"/>
              </w:rPr>
              <w:t xml:space="preserve"> 10-08</w:t>
            </w:r>
          </w:p>
        </w:tc>
        <w:tc>
          <w:tcPr>
            <w:tcW w:w="3823" w:type="pct"/>
          </w:tcPr>
          <w:p w14:paraId="02BD8205" w14:textId="77777777" w:rsidR="004F64EF" w:rsidRPr="003003C0" w:rsidRDefault="004F64EF" w:rsidP="001F3C85">
            <w:pPr>
              <w:keepNext/>
              <w:keepLines/>
              <w:jc w:val="left"/>
              <w:rPr>
                <w:sz w:val="15"/>
                <w:szCs w:val="15"/>
              </w:rPr>
            </w:pPr>
            <w:r w:rsidRPr="001C489F">
              <w:rPr>
                <w:sz w:val="15"/>
                <w:szCs w:val="15"/>
              </w:rPr>
              <w:t>Adopts the Regulatory Technical Guide for the Application of Good Agricultural Practices and Good Manufacturing Practices in Production</w:t>
            </w:r>
          </w:p>
        </w:tc>
      </w:tr>
      <w:tr w:rsidR="004F64EF" w:rsidRPr="003003C0" w14:paraId="5A2F2A53" w14:textId="77777777" w:rsidTr="007D1CF6">
        <w:tc>
          <w:tcPr>
            <w:tcW w:w="1177" w:type="pct"/>
          </w:tcPr>
          <w:p w14:paraId="78EF2927" w14:textId="77777777" w:rsidR="004F64EF" w:rsidRPr="003003C0" w:rsidRDefault="004F64EF" w:rsidP="001F3C85">
            <w:pPr>
              <w:jc w:val="left"/>
              <w:rPr>
                <w:b/>
                <w:sz w:val="15"/>
                <w:szCs w:val="15"/>
              </w:rPr>
            </w:pPr>
            <w:r w:rsidRPr="003003C0">
              <w:rPr>
                <w:sz w:val="15"/>
                <w:szCs w:val="15"/>
              </w:rPr>
              <w:t>Decre</w:t>
            </w:r>
            <w:r>
              <w:rPr>
                <w:sz w:val="15"/>
                <w:szCs w:val="15"/>
              </w:rPr>
              <w:t>e</w:t>
            </w:r>
            <w:r w:rsidRPr="003003C0">
              <w:rPr>
                <w:sz w:val="15"/>
                <w:szCs w:val="15"/>
              </w:rPr>
              <w:t xml:space="preserve"> N</w:t>
            </w:r>
            <w:r>
              <w:rPr>
                <w:sz w:val="15"/>
                <w:szCs w:val="15"/>
              </w:rPr>
              <w:t>o.</w:t>
            </w:r>
            <w:r w:rsidRPr="003003C0">
              <w:rPr>
                <w:sz w:val="15"/>
                <w:szCs w:val="15"/>
              </w:rPr>
              <w:t xml:space="preserve"> 329-11</w:t>
            </w:r>
          </w:p>
        </w:tc>
        <w:tc>
          <w:tcPr>
            <w:tcW w:w="3823" w:type="pct"/>
          </w:tcPr>
          <w:p w14:paraId="0A0AC4DE" w14:textId="77777777" w:rsidR="004F64EF" w:rsidRPr="003003C0" w:rsidRDefault="004F64EF" w:rsidP="001F3C85">
            <w:pPr>
              <w:keepNext/>
              <w:keepLines/>
              <w:jc w:val="left"/>
              <w:rPr>
                <w:sz w:val="15"/>
                <w:szCs w:val="15"/>
              </w:rPr>
            </w:pPr>
            <w:r w:rsidRPr="001C489F">
              <w:rPr>
                <w:sz w:val="15"/>
                <w:szCs w:val="15"/>
              </w:rPr>
              <w:t>Regulates the sanitary inspection of meat and meat products</w:t>
            </w:r>
          </w:p>
        </w:tc>
      </w:tr>
      <w:tr w:rsidR="004F64EF" w:rsidRPr="003003C0" w14:paraId="02CA935D" w14:textId="77777777" w:rsidTr="007D1CF6">
        <w:trPr>
          <w:cnfStyle w:val="000000010000" w:firstRow="0" w:lastRow="0" w:firstColumn="0" w:lastColumn="0" w:oddVBand="0" w:evenVBand="0" w:oddHBand="0" w:evenHBand="1" w:firstRowFirstColumn="0" w:firstRowLastColumn="0" w:lastRowFirstColumn="0" w:lastRowLastColumn="0"/>
        </w:trPr>
        <w:tc>
          <w:tcPr>
            <w:tcW w:w="1177" w:type="pct"/>
          </w:tcPr>
          <w:p w14:paraId="5E779C66" w14:textId="77777777" w:rsidR="004F64EF" w:rsidRPr="00EC3E2B" w:rsidRDefault="004F64EF" w:rsidP="001F3C85">
            <w:pPr>
              <w:jc w:val="left"/>
              <w:rPr>
                <w:sz w:val="15"/>
                <w:szCs w:val="15"/>
              </w:rPr>
            </w:pPr>
            <w:r w:rsidRPr="003003C0">
              <w:rPr>
                <w:spacing w:val="-1"/>
                <w:sz w:val="15"/>
                <w:szCs w:val="15"/>
              </w:rPr>
              <w:t>Decre</w:t>
            </w:r>
            <w:r>
              <w:rPr>
                <w:spacing w:val="-1"/>
                <w:sz w:val="15"/>
                <w:szCs w:val="15"/>
              </w:rPr>
              <w:t>e</w:t>
            </w:r>
            <w:r w:rsidRPr="003003C0">
              <w:rPr>
                <w:spacing w:val="-1"/>
                <w:sz w:val="15"/>
                <w:szCs w:val="15"/>
              </w:rPr>
              <w:t xml:space="preserve"> </w:t>
            </w:r>
            <w:r w:rsidRPr="003003C0">
              <w:rPr>
                <w:sz w:val="15"/>
                <w:szCs w:val="15"/>
              </w:rPr>
              <w:t>N</w:t>
            </w:r>
            <w:r>
              <w:rPr>
                <w:sz w:val="15"/>
                <w:szCs w:val="15"/>
              </w:rPr>
              <w:t>o.</w:t>
            </w:r>
            <w:r w:rsidRPr="003003C0">
              <w:rPr>
                <w:spacing w:val="-1"/>
                <w:sz w:val="15"/>
                <w:szCs w:val="15"/>
              </w:rPr>
              <w:t xml:space="preserve"> 599-10</w:t>
            </w:r>
          </w:p>
        </w:tc>
        <w:tc>
          <w:tcPr>
            <w:tcW w:w="3823" w:type="pct"/>
          </w:tcPr>
          <w:p w14:paraId="2DB7E4A0" w14:textId="77777777" w:rsidR="004F64EF" w:rsidRPr="003003C0" w:rsidRDefault="004F64EF" w:rsidP="001F3C85">
            <w:pPr>
              <w:keepNext/>
              <w:keepLines/>
              <w:jc w:val="left"/>
              <w:rPr>
                <w:sz w:val="15"/>
                <w:szCs w:val="15"/>
              </w:rPr>
            </w:pPr>
            <w:r w:rsidRPr="001C489F">
              <w:rPr>
                <w:spacing w:val="-1"/>
                <w:sz w:val="15"/>
                <w:szCs w:val="15"/>
              </w:rPr>
              <w:t>Draft Regulation on the sanitary management of international waste</w:t>
            </w:r>
          </w:p>
        </w:tc>
      </w:tr>
      <w:tr w:rsidR="004F64EF" w:rsidRPr="003003C0" w14:paraId="30F66AAB" w14:textId="77777777" w:rsidTr="007D1CF6">
        <w:tc>
          <w:tcPr>
            <w:tcW w:w="1177" w:type="pct"/>
          </w:tcPr>
          <w:p w14:paraId="308403F8" w14:textId="77777777" w:rsidR="004F64EF" w:rsidRPr="00EC3E2B" w:rsidRDefault="004F64EF" w:rsidP="001F3C85">
            <w:pPr>
              <w:jc w:val="left"/>
              <w:rPr>
                <w:sz w:val="15"/>
                <w:szCs w:val="15"/>
              </w:rPr>
            </w:pPr>
            <w:r w:rsidRPr="003003C0">
              <w:rPr>
                <w:spacing w:val="-1"/>
                <w:sz w:val="15"/>
                <w:szCs w:val="15"/>
              </w:rPr>
              <w:t>Resolu</w:t>
            </w:r>
            <w:r>
              <w:rPr>
                <w:spacing w:val="-1"/>
                <w:sz w:val="15"/>
                <w:szCs w:val="15"/>
              </w:rPr>
              <w:t>tion</w:t>
            </w:r>
            <w:r w:rsidRPr="003003C0">
              <w:rPr>
                <w:spacing w:val="-1"/>
                <w:sz w:val="15"/>
                <w:szCs w:val="15"/>
              </w:rPr>
              <w:t xml:space="preserve"> </w:t>
            </w:r>
            <w:r w:rsidRPr="003003C0">
              <w:rPr>
                <w:sz w:val="15"/>
                <w:szCs w:val="15"/>
              </w:rPr>
              <w:t>N</w:t>
            </w:r>
            <w:r>
              <w:rPr>
                <w:sz w:val="15"/>
                <w:szCs w:val="15"/>
              </w:rPr>
              <w:t>o.</w:t>
            </w:r>
            <w:r w:rsidRPr="003003C0">
              <w:rPr>
                <w:spacing w:val="-1"/>
                <w:sz w:val="15"/>
                <w:szCs w:val="15"/>
              </w:rPr>
              <w:t xml:space="preserve"> 04-15</w:t>
            </w:r>
          </w:p>
        </w:tc>
        <w:tc>
          <w:tcPr>
            <w:tcW w:w="3823" w:type="pct"/>
          </w:tcPr>
          <w:p w14:paraId="539908E0" w14:textId="77777777" w:rsidR="004F64EF" w:rsidRPr="003003C0" w:rsidRDefault="004F64EF" w:rsidP="001F3C85">
            <w:pPr>
              <w:keepNext/>
              <w:keepLines/>
              <w:jc w:val="left"/>
              <w:rPr>
                <w:sz w:val="15"/>
                <w:szCs w:val="15"/>
              </w:rPr>
            </w:pPr>
            <w:r w:rsidRPr="001C489F">
              <w:rPr>
                <w:spacing w:val="-1"/>
                <w:sz w:val="15"/>
                <w:szCs w:val="15"/>
              </w:rPr>
              <w:t>National Programme for the Monitoring and Surveillance of Pesticide Residues in Food (</w:t>
            </w:r>
            <w:proofErr w:type="spellStart"/>
            <w:r w:rsidRPr="001C489F">
              <w:rPr>
                <w:spacing w:val="-1"/>
                <w:sz w:val="15"/>
                <w:szCs w:val="15"/>
              </w:rPr>
              <w:t>MOVIREA</w:t>
            </w:r>
            <w:proofErr w:type="spellEnd"/>
            <w:r w:rsidRPr="001C489F">
              <w:rPr>
                <w:spacing w:val="-1"/>
                <w:sz w:val="15"/>
                <w:szCs w:val="15"/>
              </w:rPr>
              <w:t>)</w:t>
            </w:r>
          </w:p>
        </w:tc>
      </w:tr>
      <w:tr w:rsidR="004F64EF" w:rsidRPr="003003C0" w14:paraId="6EA2E34A" w14:textId="77777777" w:rsidTr="007D1CF6">
        <w:trPr>
          <w:cnfStyle w:val="000000010000" w:firstRow="0" w:lastRow="0" w:firstColumn="0" w:lastColumn="0" w:oddVBand="0" w:evenVBand="0" w:oddHBand="0" w:evenHBand="1" w:firstRowFirstColumn="0" w:firstRowLastColumn="0" w:lastRowFirstColumn="0" w:lastRowLastColumn="0"/>
        </w:trPr>
        <w:tc>
          <w:tcPr>
            <w:tcW w:w="1177" w:type="pct"/>
          </w:tcPr>
          <w:p w14:paraId="7866EE2C" w14:textId="77777777" w:rsidR="004F64EF" w:rsidRPr="003003C0" w:rsidRDefault="004F64EF" w:rsidP="001F3C85">
            <w:pPr>
              <w:jc w:val="left"/>
              <w:rPr>
                <w:sz w:val="15"/>
                <w:szCs w:val="15"/>
              </w:rPr>
            </w:pPr>
            <w:r w:rsidRPr="003003C0">
              <w:rPr>
                <w:sz w:val="15"/>
                <w:szCs w:val="15"/>
              </w:rPr>
              <w:t>Resolu</w:t>
            </w:r>
            <w:r>
              <w:rPr>
                <w:sz w:val="15"/>
                <w:szCs w:val="15"/>
              </w:rPr>
              <w:t>tion</w:t>
            </w:r>
            <w:r w:rsidRPr="003003C0">
              <w:rPr>
                <w:sz w:val="15"/>
                <w:szCs w:val="15"/>
              </w:rPr>
              <w:t xml:space="preserve"> N</w:t>
            </w:r>
            <w:r>
              <w:rPr>
                <w:sz w:val="15"/>
                <w:szCs w:val="15"/>
              </w:rPr>
              <w:t>o.</w:t>
            </w:r>
            <w:r w:rsidRPr="003003C0">
              <w:rPr>
                <w:sz w:val="15"/>
                <w:szCs w:val="15"/>
              </w:rPr>
              <w:t xml:space="preserve"> 2018-1</w:t>
            </w:r>
          </w:p>
        </w:tc>
        <w:tc>
          <w:tcPr>
            <w:tcW w:w="3823" w:type="pct"/>
          </w:tcPr>
          <w:p w14:paraId="1FCBF5D6" w14:textId="77777777" w:rsidR="004F64EF" w:rsidRPr="003003C0" w:rsidRDefault="004F64EF" w:rsidP="001F3C85">
            <w:pPr>
              <w:jc w:val="left"/>
              <w:rPr>
                <w:sz w:val="15"/>
                <w:szCs w:val="15"/>
              </w:rPr>
            </w:pPr>
            <w:r>
              <w:rPr>
                <w:sz w:val="15"/>
                <w:szCs w:val="15"/>
              </w:rPr>
              <w:t xml:space="preserve">Sets out guidelines for the inspection of establishments that process farmed fishery products </w:t>
            </w:r>
          </w:p>
        </w:tc>
      </w:tr>
    </w:tbl>
    <w:p w14:paraId="79F671D5" w14:textId="77777777" w:rsidR="004F64EF" w:rsidRPr="003003C0" w:rsidRDefault="004F64EF" w:rsidP="00B0434B">
      <w:pPr>
        <w:pStyle w:val="NoteText"/>
        <w:spacing w:before="120" w:after="240"/>
      </w:pPr>
      <w:r>
        <w:t>Source</w:t>
      </w:r>
      <w:r w:rsidRPr="003003C0">
        <w:t>:</w:t>
      </w:r>
      <w:r w:rsidRPr="003003C0">
        <w:tab/>
      </w:r>
      <w:r>
        <w:t>Information provided by the authorities</w:t>
      </w:r>
      <w:r w:rsidRPr="003003C0">
        <w:t>.</w:t>
      </w:r>
    </w:p>
    <w:p w14:paraId="7E7A0491" w14:textId="77777777" w:rsidR="004F64EF" w:rsidRPr="003003C0" w:rsidRDefault="004F64EF" w:rsidP="00B0434B">
      <w:pPr>
        <w:jc w:val="center"/>
      </w:pPr>
      <w:r w:rsidRPr="003003C0">
        <w:rPr>
          <w:b/>
        </w:rPr>
        <w:t>__________</w:t>
      </w:r>
      <w:bookmarkEnd w:id="418"/>
    </w:p>
    <w:p w14:paraId="3C7E73D9" w14:textId="77777777" w:rsidR="006A56D1" w:rsidRDefault="006A56D1" w:rsidP="005A399E">
      <w:pPr>
        <w:pStyle w:val="NoteText"/>
        <w:spacing w:before="120"/>
        <w:ind w:left="0" w:firstLine="0"/>
      </w:pPr>
    </w:p>
    <w:sectPr w:rsidR="006A56D1" w:rsidSect="00AD4325">
      <w:footnotePr>
        <w:numRestart w:val="eachSect"/>
      </w:footnotePr>
      <w:pgSz w:w="11906" w:h="16838" w:code="9"/>
      <w:pgMar w:top="1701" w:right="1440" w:bottom="1440" w:left="1440" w:header="720" w:footer="720" w:gutter="0"/>
      <w:cols w:space="720"/>
      <w:docGrid w:linePitch="360"/>
    </w:sectPr>
  </w:body>
</w:document>
</file>

<file path=word/customizations.xml><?xml version="1.0" encoding="utf-8"?>
<wne:tcg xmlns:r="http://schemas.openxmlformats.org/officeDocument/2006/relationships" xmlns:wne="http://schemas.microsoft.com/office/word/2006/wordml">
  <wne:keymaps>
    <wne:keymap wne:kcmPrimary="0238">
      <wne:wch wne:val="00000153"/>
    </wne:keymap>
    <wne:keymap wne:kcmPrimary="02BA">
      <wne:wch wne:val="000000C8"/>
    </wne:keymap>
    <wne:keymap wne:kcmPrimary="02DC">
      <wne:wch wne:val="000000C0"/>
    </wne:keymap>
    <wne:keymap wne:kcmPrimary="02DE">
      <wne:wch wne:val="000000C9"/>
    </wne:keymap>
    <wne:keymap wne:kcmPrimary="0442">
      <wne:acd wne:acdName="acd5"/>
    </wne:keymap>
    <wne:keymap wne:kcmPrimary="044E">
      <wne:acd wne:acdName="acd3"/>
    </wne:keymap>
    <wne:keymap wne:kcmPrimary="0650">
      <wne:fci wne:fciName="FormatParagraph" wne:swArg="0000"/>
    </wne:keymap>
    <wne:keymap wne:kcmPrimary="0678">
      <wne:acd wne:acdName="acd4"/>
    </wne:keymap>
    <wne:keymap wne:kcmPrimary="0679">
      <wne:acd wne:acdName="acd0"/>
    </wne:keymap>
    <wne:keymap wne:kcmPrimary="067A">
      <wne:acd wne:acdName="acd1"/>
    </wne:keymap>
    <wne:keymap wne:kcmPrimary="067B">
      <wne:acd wne:acdName="acd2"/>
    </wne:keymap>
  </wne:keymaps>
  <wne:toolbars>
    <wne:acdManifest>
      <wne:acdEntry wne:acdName="acd0"/>
      <wne:acdEntry wne:acdName="acd1"/>
      <wne:acdEntry wne:acdName="acd2"/>
      <wne:acdEntry wne:acdName="acd3"/>
      <wne:acdEntry wne:acdName="acd4"/>
      <wne:acdEntry wne:acdName="acd5"/>
    </wne:acdManifest>
  </wne:toolbars>
  <wne:acds>
    <wne:acd wne:argValue="AgBUAGkAdABsAGUAIAAyAA==" wne:acdName="acd0" wne:fciIndexBasedOn="0065"/>
    <wne:acd wne:argValue="AgBUAGkAdABsAGUAIAAzAA==" wne:acdName="acd1" wne:fciIndexBasedOn="0065"/>
    <wne:acd wne:argValue="AgBUAGkAdABsAGUAIABDAG8AdQBuAHQAcgB5AA==" wne:acdName="acd2" wne:fciIndexBasedOn="0065"/>
    <wne:acd wne:argValue="AQAAAAAA" wne:acdName="acd3" wne:fciIndexBasedOn="0065"/>
    <wne:acd wne:argValue="AQAAAD4A" wne:acdName="acd4" wne:fciIndexBasedOn="0065"/>
    <wne:acd wne:argValue="AQAAAEIA" wne:acdName="acd5"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E8C4CF" w14:textId="77777777" w:rsidR="00CA7676" w:rsidRPr="00E14EE6" w:rsidRDefault="00CA7676" w:rsidP="00CA7676">
      <w:bookmarkStart w:id="4" w:name="_Hlk117491735"/>
      <w:bookmarkStart w:id="5" w:name="_Hlk117491736"/>
      <w:r w:rsidRPr="00E14EE6">
        <w:separator/>
      </w:r>
      <w:bookmarkEnd w:id="4"/>
      <w:bookmarkEnd w:id="5"/>
    </w:p>
  </w:endnote>
  <w:endnote w:type="continuationSeparator" w:id="0">
    <w:p w14:paraId="5FE728C9" w14:textId="77777777" w:rsidR="00CA7676" w:rsidRPr="00E14EE6" w:rsidRDefault="00CA7676" w:rsidP="00CA7676">
      <w:bookmarkStart w:id="6" w:name="_Hlk117491737"/>
      <w:bookmarkStart w:id="7" w:name="_Hlk117491738"/>
      <w:r w:rsidRPr="00E14EE6">
        <w:continuationSeparator/>
      </w:r>
      <w:bookmarkEnd w:id="6"/>
      <w:bookmarkEnd w:id="7"/>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imHei">
    <w:altName w:val="黑体"/>
    <w:panose1 w:val="02010600030101010101"/>
    <w:charset w:val="86"/>
    <w:family w:val="modern"/>
    <w:pitch w:val="fixed"/>
    <w:sig w:usb0="800002BF" w:usb1="38CF7CFA"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Open Sans">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B36AE" w14:textId="77777777" w:rsidR="00C212B3" w:rsidRPr="009D1AD5" w:rsidRDefault="00C212B3" w:rsidP="009D1AD5">
    <w:pPr>
      <w:pStyle w:val="Footer"/>
    </w:pPr>
    <w:bookmarkStart w:id="15" w:name="_Hlk117491725"/>
    <w:bookmarkStart w:id="16" w:name="_Hlk117491726"/>
    <w:r>
      <w:t xml:space="preserve"> </w:t>
    </w:r>
    <w:bookmarkEnd w:id="15"/>
    <w:bookmarkEnd w:id="16"/>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5658A" w14:textId="77777777" w:rsidR="00C212B3" w:rsidRPr="009D1AD5" w:rsidRDefault="00C212B3" w:rsidP="009D1AD5">
    <w:pPr>
      <w:pStyle w:val="Footer"/>
    </w:pPr>
    <w:bookmarkStart w:id="17" w:name="_Hlk117491727"/>
    <w:bookmarkStart w:id="18" w:name="_Hlk117491728"/>
    <w:r>
      <w:t xml:space="preserve"> </w:t>
    </w:r>
    <w:bookmarkEnd w:id="17"/>
    <w:bookmarkEnd w:id="18"/>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2005A" w14:textId="697769FE" w:rsidR="00E14EE6" w:rsidRPr="00E14EE6" w:rsidRDefault="00E14EE6" w:rsidP="00E14EE6">
    <w:pPr>
      <w:pStyle w:val="Footer"/>
    </w:pPr>
    <w:r w:rsidRPr="00E14EE6">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74DD0" w14:textId="32315EFA" w:rsidR="00E14EE6" w:rsidRPr="00E14EE6" w:rsidRDefault="00E14EE6" w:rsidP="00E14EE6">
    <w:pPr>
      <w:pStyle w:val="Footer"/>
    </w:pPr>
    <w:r w:rsidRPr="00E14EE6">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F7706" w14:textId="6F429C69" w:rsidR="00E14EE6" w:rsidRPr="00E14EE6" w:rsidRDefault="00E14EE6" w:rsidP="00E14EE6">
    <w:pPr>
      <w:pStyle w:val="Footer"/>
    </w:pPr>
    <w:r w:rsidRPr="00E14EE6">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C26D5" w14:textId="77777777" w:rsidR="006C6BEF" w:rsidRPr="0030249D" w:rsidRDefault="006C6BEF" w:rsidP="0030249D">
    <w:pPr>
      <w:pStyle w:val="Footer"/>
    </w:pPr>
    <w:r w:rsidRPr="0030249D">
      <w:t xml:space="preserve"> </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ABE3C" w14:textId="77777777" w:rsidR="006C6BEF" w:rsidRPr="0030249D" w:rsidRDefault="006C6BEF" w:rsidP="0030249D">
    <w:pPr>
      <w:pStyle w:val="Footer"/>
    </w:pPr>
    <w:r w:rsidRPr="0030249D">
      <w:t xml:space="preserve"> </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06BF4" w14:textId="77777777" w:rsidR="006C6BEF" w:rsidRPr="0030249D" w:rsidRDefault="006C6BEF" w:rsidP="0030249D">
    <w:pPr>
      <w:pStyle w:val="Footer"/>
    </w:pPr>
    <w:r w:rsidRPr="0030249D">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37F13A" w14:textId="77777777" w:rsidR="00CA7676" w:rsidRPr="00E14EE6" w:rsidRDefault="00CA7676" w:rsidP="00CA7676">
      <w:bookmarkStart w:id="0" w:name="_Hlk117491731"/>
      <w:bookmarkStart w:id="1" w:name="_Hlk117491732"/>
      <w:r w:rsidRPr="00E14EE6">
        <w:separator/>
      </w:r>
      <w:bookmarkEnd w:id="0"/>
      <w:bookmarkEnd w:id="1"/>
    </w:p>
  </w:footnote>
  <w:footnote w:type="continuationSeparator" w:id="0">
    <w:p w14:paraId="6055B9F9" w14:textId="77777777" w:rsidR="00CA7676" w:rsidRPr="00E14EE6" w:rsidRDefault="00CA7676" w:rsidP="00CA7676">
      <w:bookmarkStart w:id="2" w:name="_Hlk117491733"/>
      <w:bookmarkStart w:id="3" w:name="_Hlk117491734"/>
      <w:r w:rsidRPr="00E14EE6">
        <w:continuationSeparator/>
      </w:r>
      <w:bookmarkEnd w:id="2"/>
      <w:bookmarkEnd w:id="3"/>
    </w:p>
  </w:footnote>
  <w:footnote w:id="1">
    <w:p w14:paraId="2C33CB76" w14:textId="6CFCDDE5" w:rsidR="00E14EE6" w:rsidRDefault="00E14EE6">
      <w:pPr>
        <w:pStyle w:val="FootnoteText"/>
      </w:pPr>
      <w:r>
        <w:rPr>
          <w:rStyle w:val="FootnoteReference"/>
        </w:rPr>
        <w:footnoteRef/>
      </w:r>
      <w:r>
        <w:t xml:space="preserve"> </w:t>
      </w:r>
      <w:r w:rsidRPr="00E14EE6">
        <w:t>Central Bank of the Dominican Republic (</w:t>
      </w:r>
      <w:proofErr w:type="spellStart"/>
      <w:r w:rsidRPr="00E14EE6">
        <w:t>BCRD</w:t>
      </w:r>
      <w:proofErr w:type="spellEnd"/>
      <w:r w:rsidRPr="00E14EE6">
        <w:t xml:space="preserve">) (2021), </w:t>
      </w:r>
      <w:r w:rsidRPr="00E14EE6">
        <w:rPr>
          <w:i/>
          <w:iCs/>
        </w:rPr>
        <w:t xml:space="preserve">Informe de la </w:t>
      </w:r>
      <w:proofErr w:type="spellStart"/>
      <w:r w:rsidRPr="00E14EE6">
        <w:rPr>
          <w:i/>
          <w:iCs/>
        </w:rPr>
        <w:t>Economía</w:t>
      </w:r>
      <w:proofErr w:type="spellEnd"/>
      <w:r w:rsidRPr="00E14EE6">
        <w:rPr>
          <w:i/>
          <w:iCs/>
        </w:rPr>
        <w:t xml:space="preserve"> </w:t>
      </w:r>
      <w:proofErr w:type="spellStart"/>
      <w:r w:rsidRPr="00E14EE6">
        <w:rPr>
          <w:i/>
          <w:iCs/>
        </w:rPr>
        <w:t>Dominicana</w:t>
      </w:r>
      <w:proofErr w:type="spellEnd"/>
      <w:r w:rsidRPr="00E14EE6">
        <w:rPr>
          <w:i/>
          <w:iCs/>
        </w:rPr>
        <w:t xml:space="preserve">, </w:t>
      </w:r>
      <w:proofErr w:type="spellStart"/>
      <w:r w:rsidRPr="00E14EE6">
        <w:rPr>
          <w:i/>
          <w:iCs/>
        </w:rPr>
        <w:t>enero</w:t>
      </w:r>
      <w:r w:rsidR="005A399E">
        <w:rPr>
          <w:i/>
          <w:iCs/>
        </w:rPr>
        <w:noBreakHyphen/>
      </w:r>
      <w:r w:rsidRPr="00E14EE6">
        <w:rPr>
          <w:i/>
          <w:iCs/>
        </w:rPr>
        <w:t>diciembre</w:t>
      </w:r>
      <w:proofErr w:type="spellEnd"/>
      <w:r w:rsidRPr="00E14EE6">
        <w:rPr>
          <w:i/>
          <w:iCs/>
        </w:rPr>
        <w:t xml:space="preserve"> 2020</w:t>
      </w:r>
      <w:r w:rsidRPr="00E14EE6">
        <w:t xml:space="preserve">, March 2021. Viewed at: </w:t>
      </w:r>
      <w:hyperlink r:id="rId1" w:history="1">
        <w:r w:rsidRPr="00E14EE6">
          <w:rPr>
            <w:rStyle w:val="Hyperlink"/>
          </w:rPr>
          <w:t>https://cdn.bancentral.gov.do/documents/publicaciones-economicas/informe-de-la-economia-dominicana/documents/infeco2021-03.pdf</w:t>
        </w:r>
      </w:hyperlink>
      <w:r w:rsidRPr="00E14EE6">
        <w:t>.</w:t>
      </w:r>
    </w:p>
  </w:footnote>
  <w:footnote w:id="2">
    <w:p w14:paraId="01D196A2" w14:textId="780416C6" w:rsidR="00E14EE6" w:rsidRDefault="00E14EE6">
      <w:pPr>
        <w:pStyle w:val="FootnoteText"/>
      </w:pPr>
      <w:r>
        <w:rPr>
          <w:rStyle w:val="FootnoteReference"/>
        </w:rPr>
        <w:footnoteRef/>
      </w:r>
      <w:r>
        <w:t xml:space="preserve"> </w:t>
      </w:r>
      <w:proofErr w:type="spellStart"/>
      <w:r w:rsidRPr="00E14EE6">
        <w:t>BCRD</w:t>
      </w:r>
      <w:proofErr w:type="spellEnd"/>
      <w:r w:rsidRPr="00E14EE6">
        <w:t xml:space="preserve"> (2022), </w:t>
      </w:r>
      <w:r w:rsidRPr="00E14EE6">
        <w:rPr>
          <w:i/>
          <w:iCs/>
        </w:rPr>
        <w:t xml:space="preserve">Informe de la </w:t>
      </w:r>
      <w:proofErr w:type="spellStart"/>
      <w:r w:rsidRPr="00E14EE6">
        <w:rPr>
          <w:i/>
          <w:iCs/>
        </w:rPr>
        <w:t>Economía</w:t>
      </w:r>
      <w:proofErr w:type="spellEnd"/>
      <w:r w:rsidRPr="00E14EE6">
        <w:rPr>
          <w:i/>
          <w:iCs/>
        </w:rPr>
        <w:t xml:space="preserve"> </w:t>
      </w:r>
      <w:proofErr w:type="spellStart"/>
      <w:r w:rsidRPr="00E14EE6">
        <w:rPr>
          <w:i/>
          <w:iCs/>
        </w:rPr>
        <w:t>Dominicana</w:t>
      </w:r>
      <w:proofErr w:type="spellEnd"/>
      <w:r w:rsidRPr="00E14EE6">
        <w:rPr>
          <w:i/>
          <w:iCs/>
        </w:rPr>
        <w:t xml:space="preserve">, </w:t>
      </w:r>
      <w:proofErr w:type="spellStart"/>
      <w:r w:rsidRPr="00E14EE6">
        <w:rPr>
          <w:i/>
          <w:iCs/>
        </w:rPr>
        <w:t>enero-diciembre</w:t>
      </w:r>
      <w:proofErr w:type="spellEnd"/>
      <w:r w:rsidRPr="00E14EE6">
        <w:rPr>
          <w:i/>
          <w:iCs/>
        </w:rPr>
        <w:t xml:space="preserve"> 2021</w:t>
      </w:r>
      <w:r w:rsidRPr="00E14EE6">
        <w:t xml:space="preserve">, March 2022. Viewed at: </w:t>
      </w:r>
      <w:hyperlink r:id="rId2" w:history="1">
        <w:r w:rsidRPr="00E14EE6">
          <w:rPr>
            <w:rStyle w:val="Hyperlink"/>
          </w:rPr>
          <w:t>https://cdn.bancentral.gov.do/documents/publicaciones-economicas/informe-de-la-economia-dominicana/documents/infeco2021-12.pdf</w:t>
        </w:r>
      </w:hyperlink>
      <w:r w:rsidRPr="00E14EE6">
        <w:t>.</w:t>
      </w:r>
    </w:p>
  </w:footnote>
  <w:footnote w:id="3">
    <w:p w14:paraId="2795C439" w14:textId="3FFCACA1" w:rsidR="00E14EE6" w:rsidRDefault="00E14EE6">
      <w:pPr>
        <w:pStyle w:val="FootnoteText"/>
      </w:pPr>
      <w:r>
        <w:rPr>
          <w:rStyle w:val="FootnoteReference"/>
        </w:rPr>
        <w:footnoteRef/>
      </w:r>
      <w:r>
        <w:t xml:space="preserve"> </w:t>
      </w:r>
      <w:bookmarkStart w:id="34" w:name="_Hlk110335357"/>
      <w:proofErr w:type="spellStart"/>
      <w:r w:rsidRPr="00E14EE6">
        <w:t>BCRD</w:t>
      </w:r>
      <w:proofErr w:type="spellEnd"/>
      <w:r w:rsidRPr="00E14EE6">
        <w:t xml:space="preserve"> (2022), </w:t>
      </w:r>
      <w:r w:rsidRPr="00E14EE6">
        <w:rPr>
          <w:i/>
          <w:iCs/>
        </w:rPr>
        <w:t xml:space="preserve">Informe de la </w:t>
      </w:r>
      <w:proofErr w:type="spellStart"/>
      <w:r w:rsidRPr="00E14EE6">
        <w:rPr>
          <w:i/>
          <w:iCs/>
        </w:rPr>
        <w:t>Economía</w:t>
      </w:r>
      <w:proofErr w:type="spellEnd"/>
      <w:r w:rsidRPr="00E14EE6">
        <w:rPr>
          <w:i/>
          <w:iCs/>
        </w:rPr>
        <w:t xml:space="preserve"> </w:t>
      </w:r>
      <w:proofErr w:type="spellStart"/>
      <w:r w:rsidRPr="00E14EE6">
        <w:rPr>
          <w:i/>
          <w:iCs/>
        </w:rPr>
        <w:t>Dominicana</w:t>
      </w:r>
      <w:proofErr w:type="spellEnd"/>
      <w:r w:rsidRPr="00E14EE6">
        <w:rPr>
          <w:i/>
          <w:iCs/>
        </w:rPr>
        <w:t xml:space="preserve">, </w:t>
      </w:r>
      <w:proofErr w:type="spellStart"/>
      <w:r w:rsidRPr="00E14EE6">
        <w:rPr>
          <w:i/>
          <w:iCs/>
        </w:rPr>
        <w:t>enero-marzo</w:t>
      </w:r>
      <w:proofErr w:type="spellEnd"/>
      <w:r w:rsidRPr="00E14EE6">
        <w:rPr>
          <w:i/>
          <w:iCs/>
        </w:rPr>
        <w:t xml:space="preserve"> 2022</w:t>
      </w:r>
      <w:r w:rsidRPr="00E14EE6">
        <w:t xml:space="preserve">, June 2022. Viewed at: </w:t>
      </w:r>
      <w:hyperlink r:id="rId3" w:history="1">
        <w:r w:rsidRPr="00E14EE6">
          <w:rPr>
            <w:rStyle w:val="Hyperlink"/>
          </w:rPr>
          <w:t>https://cdn.bancentral.gov.do/documents/publicaciones-economicas/informe-de-la-economia-dominicana/documents/infeco_2022-03.pdf?v=1658928957082?v=1658928957087</w:t>
        </w:r>
      </w:hyperlink>
      <w:bookmarkEnd w:id="34"/>
      <w:r w:rsidRPr="00E14EE6">
        <w:t>.</w:t>
      </w:r>
    </w:p>
  </w:footnote>
  <w:footnote w:id="4">
    <w:p w14:paraId="01A03BBA" w14:textId="0AA7988A" w:rsidR="00E14EE6" w:rsidRDefault="00E14EE6">
      <w:pPr>
        <w:pStyle w:val="FootnoteText"/>
      </w:pPr>
      <w:r>
        <w:rPr>
          <w:rStyle w:val="FootnoteReference"/>
        </w:rPr>
        <w:footnoteRef/>
      </w:r>
      <w:r>
        <w:t xml:space="preserve"> </w:t>
      </w:r>
      <w:proofErr w:type="spellStart"/>
      <w:r w:rsidRPr="00E14EE6">
        <w:t>BCRD</w:t>
      </w:r>
      <w:proofErr w:type="spellEnd"/>
      <w:r w:rsidRPr="00E14EE6">
        <w:t xml:space="preserve"> (2021), </w:t>
      </w:r>
      <w:r w:rsidRPr="00E14EE6">
        <w:rPr>
          <w:i/>
          <w:iCs/>
        </w:rPr>
        <w:t xml:space="preserve">Informe de la </w:t>
      </w:r>
      <w:proofErr w:type="spellStart"/>
      <w:r w:rsidRPr="00E14EE6">
        <w:rPr>
          <w:i/>
          <w:iCs/>
        </w:rPr>
        <w:t>Economía</w:t>
      </w:r>
      <w:proofErr w:type="spellEnd"/>
      <w:r w:rsidRPr="00E14EE6">
        <w:rPr>
          <w:i/>
          <w:iCs/>
        </w:rPr>
        <w:t xml:space="preserve"> </w:t>
      </w:r>
      <w:proofErr w:type="spellStart"/>
      <w:r w:rsidRPr="00E14EE6">
        <w:rPr>
          <w:i/>
          <w:iCs/>
        </w:rPr>
        <w:t>Dominicana</w:t>
      </w:r>
      <w:proofErr w:type="spellEnd"/>
      <w:r w:rsidRPr="00E14EE6">
        <w:rPr>
          <w:i/>
          <w:iCs/>
        </w:rPr>
        <w:t xml:space="preserve">, </w:t>
      </w:r>
      <w:proofErr w:type="spellStart"/>
      <w:r w:rsidRPr="00E14EE6">
        <w:rPr>
          <w:i/>
          <w:iCs/>
        </w:rPr>
        <w:t>enero-diciembre</w:t>
      </w:r>
      <w:proofErr w:type="spellEnd"/>
      <w:r w:rsidRPr="00E14EE6">
        <w:rPr>
          <w:i/>
          <w:iCs/>
        </w:rPr>
        <w:t xml:space="preserve"> 2020</w:t>
      </w:r>
      <w:r w:rsidRPr="00E14EE6">
        <w:t xml:space="preserve">, March 2021. Viewed at: </w:t>
      </w:r>
      <w:hyperlink r:id="rId4" w:history="1">
        <w:r w:rsidRPr="00E14EE6">
          <w:rPr>
            <w:rStyle w:val="Hyperlink"/>
          </w:rPr>
          <w:t>https://cdn.bancentral.gov.do/documents/publicaciones-economicas/informe-de-la-economia-dominicana/documents/infeco2021-03.pdf</w:t>
        </w:r>
      </w:hyperlink>
      <w:r w:rsidRPr="00E14EE6">
        <w:t>.</w:t>
      </w:r>
    </w:p>
  </w:footnote>
  <w:footnote w:id="5">
    <w:p w14:paraId="2D38D95F" w14:textId="6B048AF1" w:rsidR="00E14EE6" w:rsidRDefault="00E14EE6">
      <w:pPr>
        <w:pStyle w:val="FootnoteText"/>
      </w:pPr>
      <w:r>
        <w:rPr>
          <w:rStyle w:val="FootnoteReference"/>
        </w:rPr>
        <w:footnoteRef/>
      </w:r>
      <w:r>
        <w:t xml:space="preserve"> </w:t>
      </w:r>
      <w:proofErr w:type="spellStart"/>
      <w:r w:rsidRPr="00E14EE6">
        <w:t>BCRD</w:t>
      </w:r>
      <w:proofErr w:type="spellEnd"/>
      <w:r w:rsidRPr="00E14EE6">
        <w:t xml:space="preserve"> (2022), </w:t>
      </w:r>
      <w:r w:rsidRPr="00E14EE6">
        <w:rPr>
          <w:i/>
          <w:iCs/>
        </w:rPr>
        <w:t xml:space="preserve">Informe de la </w:t>
      </w:r>
      <w:proofErr w:type="spellStart"/>
      <w:r w:rsidRPr="00E14EE6">
        <w:rPr>
          <w:i/>
          <w:iCs/>
        </w:rPr>
        <w:t>Economía</w:t>
      </w:r>
      <w:proofErr w:type="spellEnd"/>
      <w:r w:rsidRPr="00E14EE6">
        <w:rPr>
          <w:i/>
          <w:iCs/>
        </w:rPr>
        <w:t xml:space="preserve"> </w:t>
      </w:r>
      <w:proofErr w:type="spellStart"/>
      <w:r w:rsidRPr="00E14EE6">
        <w:rPr>
          <w:i/>
          <w:iCs/>
        </w:rPr>
        <w:t>Dominicana</w:t>
      </w:r>
      <w:proofErr w:type="spellEnd"/>
      <w:r w:rsidRPr="00E14EE6">
        <w:rPr>
          <w:i/>
          <w:iCs/>
        </w:rPr>
        <w:t xml:space="preserve">, </w:t>
      </w:r>
      <w:proofErr w:type="spellStart"/>
      <w:r w:rsidRPr="00E14EE6">
        <w:rPr>
          <w:i/>
          <w:iCs/>
        </w:rPr>
        <w:t>enero-diciembre</w:t>
      </w:r>
      <w:proofErr w:type="spellEnd"/>
      <w:r w:rsidRPr="00E14EE6">
        <w:rPr>
          <w:i/>
          <w:iCs/>
        </w:rPr>
        <w:t xml:space="preserve"> 2021</w:t>
      </w:r>
      <w:r w:rsidRPr="00E14EE6">
        <w:t xml:space="preserve">, March 2022. Viewed at: </w:t>
      </w:r>
      <w:hyperlink r:id="rId5" w:history="1">
        <w:r w:rsidRPr="00E14EE6">
          <w:rPr>
            <w:rStyle w:val="Hyperlink"/>
          </w:rPr>
          <w:t>https://cdn.bancentral.gov.do/documents/publicaciones-economicas/informe-de-la-economia-dominicana/documents/infeco2021-12.pdf</w:t>
        </w:r>
      </w:hyperlink>
      <w:r w:rsidRPr="00E14EE6">
        <w:t>.</w:t>
      </w:r>
    </w:p>
  </w:footnote>
  <w:footnote w:id="6">
    <w:p w14:paraId="4413F01B" w14:textId="33AFD7CA" w:rsidR="00E14EE6" w:rsidRDefault="00E14EE6">
      <w:pPr>
        <w:pStyle w:val="FootnoteText"/>
      </w:pPr>
      <w:r>
        <w:rPr>
          <w:rStyle w:val="FootnoteReference"/>
        </w:rPr>
        <w:footnoteRef/>
      </w:r>
      <w:r>
        <w:t xml:space="preserve"> </w:t>
      </w:r>
      <w:proofErr w:type="spellStart"/>
      <w:r w:rsidRPr="00E14EE6">
        <w:t>BCRD</w:t>
      </w:r>
      <w:proofErr w:type="spellEnd"/>
      <w:r w:rsidRPr="00E14EE6">
        <w:t xml:space="preserve"> (2022), </w:t>
      </w:r>
      <w:r w:rsidRPr="00E14EE6">
        <w:rPr>
          <w:i/>
          <w:iCs/>
        </w:rPr>
        <w:t xml:space="preserve">Informe de la </w:t>
      </w:r>
      <w:proofErr w:type="spellStart"/>
      <w:r w:rsidRPr="00E14EE6">
        <w:rPr>
          <w:i/>
          <w:iCs/>
        </w:rPr>
        <w:t>Economía</w:t>
      </w:r>
      <w:proofErr w:type="spellEnd"/>
      <w:r w:rsidRPr="00E14EE6">
        <w:rPr>
          <w:i/>
          <w:iCs/>
        </w:rPr>
        <w:t xml:space="preserve"> </w:t>
      </w:r>
      <w:proofErr w:type="spellStart"/>
      <w:r w:rsidRPr="00E14EE6">
        <w:rPr>
          <w:i/>
          <w:iCs/>
        </w:rPr>
        <w:t>Dominicana</w:t>
      </w:r>
      <w:proofErr w:type="spellEnd"/>
      <w:r w:rsidRPr="00E14EE6">
        <w:rPr>
          <w:i/>
          <w:iCs/>
        </w:rPr>
        <w:t xml:space="preserve">, </w:t>
      </w:r>
      <w:proofErr w:type="spellStart"/>
      <w:r w:rsidRPr="00E14EE6">
        <w:rPr>
          <w:i/>
          <w:iCs/>
        </w:rPr>
        <w:t>enero-diciembre</w:t>
      </w:r>
      <w:proofErr w:type="spellEnd"/>
      <w:r w:rsidRPr="00E14EE6">
        <w:rPr>
          <w:i/>
          <w:iCs/>
        </w:rPr>
        <w:t xml:space="preserve"> 2021</w:t>
      </w:r>
      <w:r w:rsidRPr="00E14EE6">
        <w:t xml:space="preserve">, March 2022. Viewed at: </w:t>
      </w:r>
      <w:hyperlink r:id="rId6" w:history="1">
        <w:r w:rsidRPr="00E14EE6">
          <w:rPr>
            <w:rStyle w:val="Hyperlink"/>
          </w:rPr>
          <w:t>https://cdn.bancentral.gov.do/documents/publicaciones-economicas/informe-de-la-economia-dominicana/documents/infeco2021-12.pdf</w:t>
        </w:r>
      </w:hyperlink>
      <w:r w:rsidRPr="00E14EE6">
        <w:t>.</w:t>
      </w:r>
    </w:p>
  </w:footnote>
  <w:footnote w:id="7">
    <w:p w14:paraId="302D681F" w14:textId="79542E83" w:rsidR="00E14EE6" w:rsidRDefault="00E14EE6">
      <w:pPr>
        <w:pStyle w:val="FootnoteText"/>
      </w:pPr>
      <w:r>
        <w:rPr>
          <w:rStyle w:val="FootnoteReference"/>
        </w:rPr>
        <w:footnoteRef/>
      </w:r>
      <w:r>
        <w:t xml:space="preserve"> </w:t>
      </w:r>
      <w:proofErr w:type="spellStart"/>
      <w:r w:rsidRPr="00E14EE6">
        <w:t>BCRD</w:t>
      </w:r>
      <w:proofErr w:type="spellEnd"/>
      <w:r w:rsidRPr="00E14EE6">
        <w:t xml:space="preserve"> (2022), </w:t>
      </w:r>
      <w:r w:rsidRPr="00E14EE6">
        <w:rPr>
          <w:i/>
          <w:iCs/>
        </w:rPr>
        <w:t xml:space="preserve">Informe de la </w:t>
      </w:r>
      <w:proofErr w:type="spellStart"/>
      <w:r w:rsidRPr="00E14EE6">
        <w:rPr>
          <w:i/>
          <w:iCs/>
        </w:rPr>
        <w:t>Economía</w:t>
      </w:r>
      <w:proofErr w:type="spellEnd"/>
      <w:r w:rsidRPr="00E14EE6">
        <w:rPr>
          <w:i/>
          <w:iCs/>
        </w:rPr>
        <w:t xml:space="preserve"> </w:t>
      </w:r>
      <w:proofErr w:type="spellStart"/>
      <w:r w:rsidRPr="00E14EE6">
        <w:rPr>
          <w:i/>
          <w:iCs/>
        </w:rPr>
        <w:t>Dominicana</w:t>
      </w:r>
      <w:proofErr w:type="spellEnd"/>
      <w:r w:rsidRPr="00E14EE6">
        <w:rPr>
          <w:i/>
          <w:iCs/>
        </w:rPr>
        <w:t xml:space="preserve">, </w:t>
      </w:r>
      <w:proofErr w:type="spellStart"/>
      <w:r w:rsidRPr="00E14EE6">
        <w:rPr>
          <w:i/>
          <w:iCs/>
        </w:rPr>
        <w:t>enero-marzo</w:t>
      </w:r>
      <w:proofErr w:type="spellEnd"/>
      <w:r w:rsidRPr="00E14EE6">
        <w:rPr>
          <w:i/>
          <w:iCs/>
        </w:rPr>
        <w:t xml:space="preserve"> 2022</w:t>
      </w:r>
      <w:r w:rsidRPr="00E14EE6">
        <w:t xml:space="preserve">, June 2022. Viewed at: </w:t>
      </w:r>
      <w:hyperlink r:id="rId7" w:history="1">
        <w:r w:rsidRPr="00E14EE6">
          <w:rPr>
            <w:rStyle w:val="Hyperlink"/>
          </w:rPr>
          <w:t>https://cdn.bancentral.gov.do/documents/publicaciones-economicas/informe-de-la-economia-dominicana/documents/infeco_2022-03.pdf?v=1658928957082?v=1658928957087</w:t>
        </w:r>
      </w:hyperlink>
      <w:r w:rsidRPr="00E14EE6">
        <w:t>.</w:t>
      </w:r>
    </w:p>
  </w:footnote>
  <w:footnote w:id="8">
    <w:p w14:paraId="7E47353B" w14:textId="77777777" w:rsidR="00E14EE6" w:rsidRDefault="00E14EE6">
      <w:pPr>
        <w:pStyle w:val="FootnoteText"/>
      </w:pPr>
      <w:r>
        <w:rPr>
          <w:rStyle w:val="FootnoteReference"/>
        </w:rPr>
        <w:footnoteRef/>
      </w:r>
      <w:r>
        <w:t xml:space="preserve"> </w:t>
      </w:r>
      <w:r w:rsidRPr="00E14EE6">
        <w:t>Information provided by the authorities.</w:t>
      </w:r>
    </w:p>
  </w:footnote>
  <w:footnote w:id="9">
    <w:p w14:paraId="2DD96F14" w14:textId="01EAC3C0" w:rsidR="00E14EE6" w:rsidRDefault="00E14EE6">
      <w:pPr>
        <w:pStyle w:val="FootnoteText"/>
      </w:pPr>
      <w:r>
        <w:rPr>
          <w:rStyle w:val="FootnoteReference"/>
        </w:rPr>
        <w:footnoteRef/>
      </w:r>
      <w:r>
        <w:t xml:space="preserve"> </w:t>
      </w:r>
      <w:proofErr w:type="spellStart"/>
      <w:r w:rsidRPr="00E14EE6">
        <w:t>BCRD</w:t>
      </w:r>
      <w:proofErr w:type="spellEnd"/>
      <w:r w:rsidRPr="00E14EE6">
        <w:t xml:space="preserve"> (2021), </w:t>
      </w:r>
      <w:r w:rsidRPr="00E14EE6">
        <w:rPr>
          <w:i/>
          <w:iCs/>
        </w:rPr>
        <w:t xml:space="preserve">Informe de la </w:t>
      </w:r>
      <w:proofErr w:type="spellStart"/>
      <w:r w:rsidRPr="00E14EE6">
        <w:rPr>
          <w:i/>
          <w:iCs/>
        </w:rPr>
        <w:t>Economía</w:t>
      </w:r>
      <w:proofErr w:type="spellEnd"/>
      <w:r w:rsidRPr="00E14EE6">
        <w:rPr>
          <w:i/>
          <w:iCs/>
        </w:rPr>
        <w:t xml:space="preserve"> </w:t>
      </w:r>
      <w:proofErr w:type="spellStart"/>
      <w:r w:rsidRPr="00E14EE6">
        <w:rPr>
          <w:i/>
          <w:iCs/>
        </w:rPr>
        <w:t>Dominicana</w:t>
      </w:r>
      <w:proofErr w:type="spellEnd"/>
      <w:r w:rsidRPr="00E14EE6">
        <w:rPr>
          <w:i/>
          <w:iCs/>
        </w:rPr>
        <w:t xml:space="preserve">, </w:t>
      </w:r>
      <w:proofErr w:type="spellStart"/>
      <w:r w:rsidRPr="00E14EE6">
        <w:rPr>
          <w:i/>
          <w:iCs/>
        </w:rPr>
        <w:t>enero-diciembre</w:t>
      </w:r>
      <w:proofErr w:type="spellEnd"/>
      <w:r w:rsidRPr="00E14EE6">
        <w:rPr>
          <w:i/>
          <w:iCs/>
        </w:rPr>
        <w:t xml:space="preserve"> 2020</w:t>
      </w:r>
      <w:r w:rsidRPr="00E14EE6">
        <w:t xml:space="preserve">, March 2021. Viewed at: </w:t>
      </w:r>
      <w:hyperlink r:id="rId8" w:history="1">
        <w:r w:rsidRPr="00E14EE6">
          <w:rPr>
            <w:rStyle w:val="Hyperlink"/>
          </w:rPr>
          <w:t>https://cdn.bancentral.gov.do/documents/publicaciones-economicas/informe-de-la-economia-dominicana/documents/infeco2021-03.pdf</w:t>
        </w:r>
      </w:hyperlink>
      <w:r w:rsidRPr="00E14EE6">
        <w:t>.</w:t>
      </w:r>
    </w:p>
  </w:footnote>
  <w:footnote w:id="10">
    <w:p w14:paraId="049A4379" w14:textId="45B22A91" w:rsidR="00E14EE6" w:rsidRDefault="00E14EE6">
      <w:pPr>
        <w:pStyle w:val="FootnoteText"/>
      </w:pPr>
      <w:r>
        <w:rPr>
          <w:rStyle w:val="FootnoteReference"/>
        </w:rPr>
        <w:footnoteRef/>
      </w:r>
      <w:r>
        <w:t xml:space="preserve"> </w:t>
      </w:r>
      <w:r w:rsidRPr="00E14EE6">
        <w:t>IMF (2022), "IMF Staff Completes 2022 Article IV Mission to the Dominican Republic", 16</w:t>
      </w:r>
      <w:r w:rsidR="00A025A7">
        <w:t> </w:t>
      </w:r>
      <w:r w:rsidRPr="00E14EE6">
        <w:t>May</w:t>
      </w:r>
      <w:r w:rsidR="00A025A7">
        <w:t> </w:t>
      </w:r>
      <w:r w:rsidRPr="00E14EE6">
        <w:t>2022. Press Release No.</w:t>
      </w:r>
      <w:r w:rsidR="00A025A7">
        <w:t> </w:t>
      </w:r>
      <w:r w:rsidRPr="00E14EE6">
        <w:t xml:space="preserve">22/154. Viewed at: </w:t>
      </w:r>
      <w:hyperlink r:id="rId9" w:history="1">
        <w:r w:rsidRPr="00E14EE6">
          <w:rPr>
            <w:rStyle w:val="Hyperlink"/>
          </w:rPr>
          <w:t>https://www.imf.org/en/News/Articles/2022/05/16/pr22154-imf-staff-completes-2022-article-iv-mission-to-the-dominican-republic</w:t>
        </w:r>
      </w:hyperlink>
      <w:r w:rsidRPr="00E14EE6">
        <w:t>.</w:t>
      </w:r>
    </w:p>
  </w:footnote>
  <w:footnote w:id="11">
    <w:p w14:paraId="458EA29B" w14:textId="66F62016" w:rsidR="00E14EE6" w:rsidRDefault="00E14EE6">
      <w:pPr>
        <w:pStyle w:val="FootnoteText"/>
      </w:pPr>
      <w:r>
        <w:rPr>
          <w:rStyle w:val="FootnoteReference"/>
        </w:rPr>
        <w:footnoteRef/>
      </w:r>
      <w:r>
        <w:t xml:space="preserve"> </w:t>
      </w:r>
      <w:r w:rsidRPr="00E14EE6">
        <w:t xml:space="preserve">Ministry of Finance (2022), </w:t>
      </w:r>
      <w:r w:rsidRPr="00E14EE6">
        <w:rPr>
          <w:i/>
          <w:iCs/>
        </w:rPr>
        <w:t xml:space="preserve">Memoria </w:t>
      </w:r>
      <w:proofErr w:type="spellStart"/>
      <w:r w:rsidRPr="00E14EE6">
        <w:rPr>
          <w:i/>
          <w:iCs/>
        </w:rPr>
        <w:t>Institucional</w:t>
      </w:r>
      <w:proofErr w:type="spellEnd"/>
      <w:r w:rsidRPr="00E14EE6">
        <w:rPr>
          <w:i/>
          <w:iCs/>
        </w:rPr>
        <w:t xml:space="preserve">. </w:t>
      </w:r>
      <w:proofErr w:type="spellStart"/>
      <w:r w:rsidRPr="00E14EE6">
        <w:rPr>
          <w:i/>
          <w:iCs/>
        </w:rPr>
        <w:t>Año</w:t>
      </w:r>
      <w:proofErr w:type="spellEnd"/>
      <w:r w:rsidRPr="00E14EE6">
        <w:rPr>
          <w:i/>
          <w:iCs/>
        </w:rPr>
        <w:t xml:space="preserve"> 2021</w:t>
      </w:r>
      <w:r w:rsidRPr="00E14EE6">
        <w:t xml:space="preserve">. Viewed at: </w:t>
      </w:r>
      <w:hyperlink r:id="rId10" w:history="1">
        <w:r w:rsidRPr="00E14EE6">
          <w:rPr>
            <w:rStyle w:val="Hyperlink"/>
          </w:rPr>
          <w:t>https://www.hacienda.gob.do/wp-content/uploads/2022/02/Memorias__MH_y_dependencias_2021_-_copia.pdf</w:t>
        </w:r>
      </w:hyperlink>
      <w:r w:rsidRPr="00E14EE6">
        <w:t>.</w:t>
      </w:r>
    </w:p>
  </w:footnote>
  <w:footnote w:id="12">
    <w:p w14:paraId="33FA1802" w14:textId="3328399F" w:rsidR="00E14EE6" w:rsidRDefault="00E14EE6">
      <w:pPr>
        <w:pStyle w:val="FootnoteText"/>
      </w:pPr>
      <w:r>
        <w:rPr>
          <w:rStyle w:val="FootnoteReference"/>
        </w:rPr>
        <w:footnoteRef/>
      </w:r>
      <w:r>
        <w:t xml:space="preserve"> </w:t>
      </w:r>
      <w:bookmarkStart w:id="38" w:name="_Hlk110262450"/>
      <w:r w:rsidRPr="00E14EE6">
        <w:t xml:space="preserve">Government of the Dominican Republic. Ministry of Finance, </w:t>
      </w:r>
      <w:r w:rsidRPr="00E14EE6">
        <w:rPr>
          <w:i/>
          <w:iCs/>
        </w:rPr>
        <w:t xml:space="preserve">Marco Fiscal de </w:t>
      </w:r>
      <w:proofErr w:type="spellStart"/>
      <w:r w:rsidRPr="00E14EE6">
        <w:rPr>
          <w:i/>
          <w:iCs/>
        </w:rPr>
        <w:t>Mediano</w:t>
      </w:r>
      <w:proofErr w:type="spellEnd"/>
      <w:r w:rsidRPr="00E14EE6">
        <w:rPr>
          <w:i/>
          <w:iCs/>
        </w:rPr>
        <w:t xml:space="preserve"> </w:t>
      </w:r>
      <w:proofErr w:type="spellStart"/>
      <w:r w:rsidRPr="00E14EE6">
        <w:rPr>
          <w:i/>
          <w:iCs/>
        </w:rPr>
        <w:t>Plazo</w:t>
      </w:r>
      <w:proofErr w:type="spellEnd"/>
      <w:r w:rsidRPr="00E14EE6">
        <w:rPr>
          <w:i/>
          <w:iCs/>
        </w:rPr>
        <w:t xml:space="preserve"> 2022</w:t>
      </w:r>
      <w:r w:rsidR="00A025A7">
        <w:rPr>
          <w:i/>
          <w:iCs/>
        </w:rPr>
        <w:noBreakHyphen/>
      </w:r>
      <w:r w:rsidRPr="00E14EE6">
        <w:rPr>
          <w:i/>
          <w:iCs/>
        </w:rPr>
        <w:t>2026</w:t>
      </w:r>
      <w:r w:rsidRPr="00E14EE6">
        <w:t xml:space="preserve">, April 2022. Viewed at: </w:t>
      </w:r>
      <w:hyperlink r:id="rId11" w:history="1">
        <w:r w:rsidRPr="00E14EE6">
          <w:rPr>
            <w:rStyle w:val="Hyperlink"/>
          </w:rPr>
          <w:t>https://www.hacienda.gob.do/wp-content/uploads/2022/05/MFMP-2022-2026-30042022-86.pdf</w:t>
        </w:r>
      </w:hyperlink>
      <w:bookmarkEnd w:id="38"/>
      <w:r w:rsidRPr="00E14EE6">
        <w:t>.</w:t>
      </w:r>
    </w:p>
  </w:footnote>
  <w:footnote w:id="13">
    <w:p w14:paraId="668DA60F" w14:textId="11CADF39" w:rsidR="00E14EE6" w:rsidRDefault="00E14EE6">
      <w:pPr>
        <w:pStyle w:val="FootnoteText"/>
      </w:pPr>
      <w:r>
        <w:rPr>
          <w:rStyle w:val="FootnoteReference"/>
        </w:rPr>
        <w:footnoteRef/>
      </w:r>
      <w:r>
        <w:t xml:space="preserve"> </w:t>
      </w:r>
      <w:r w:rsidRPr="00E14EE6">
        <w:t xml:space="preserve">Government of the Dominican Republic. Ministry of Finance, </w:t>
      </w:r>
      <w:r w:rsidRPr="00E14EE6">
        <w:rPr>
          <w:i/>
          <w:iCs/>
        </w:rPr>
        <w:t xml:space="preserve">Marco Fiscal de </w:t>
      </w:r>
      <w:proofErr w:type="spellStart"/>
      <w:r w:rsidRPr="00E14EE6">
        <w:rPr>
          <w:i/>
          <w:iCs/>
        </w:rPr>
        <w:t>Mediano</w:t>
      </w:r>
      <w:proofErr w:type="spellEnd"/>
      <w:r w:rsidRPr="00E14EE6">
        <w:rPr>
          <w:i/>
          <w:iCs/>
        </w:rPr>
        <w:t xml:space="preserve"> </w:t>
      </w:r>
      <w:proofErr w:type="spellStart"/>
      <w:r w:rsidRPr="00E14EE6">
        <w:rPr>
          <w:i/>
          <w:iCs/>
        </w:rPr>
        <w:t>Plazo</w:t>
      </w:r>
      <w:proofErr w:type="spellEnd"/>
      <w:r w:rsidRPr="00E14EE6">
        <w:rPr>
          <w:i/>
          <w:iCs/>
        </w:rPr>
        <w:t xml:space="preserve"> 2022</w:t>
      </w:r>
      <w:r w:rsidR="00C5302C">
        <w:rPr>
          <w:i/>
          <w:iCs/>
        </w:rPr>
        <w:noBreakHyphen/>
      </w:r>
      <w:r w:rsidRPr="00E14EE6">
        <w:rPr>
          <w:i/>
          <w:iCs/>
        </w:rPr>
        <w:t>2026</w:t>
      </w:r>
      <w:r w:rsidRPr="00E14EE6">
        <w:t xml:space="preserve">, April 2022. Viewed at: </w:t>
      </w:r>
      <w:hyperlink r:id="rId12" w:history="1">
        <w:r w:rsidRPr="00E14EE6">
          <w:rPr>
            <w:rStyle w:val="Hyperlink"/>
          </w:rPr>
          <w:t>https://www.hacienda.gob.do/wp-content/uploads/2022/05/MFMP-2022-2026-30042022-86.pdf</w:t>
        </w:r>
      </w:hyperlink>
      <w:r w:rsidRPr="00E14EE6">
        <w:t>.</w:t>
      </w:r>
    </w:p>
  </w:footnote>
  <w:footnote w:id="14">
    <w:p w14:paraId="40798B8E" w14:textId="22205594" w:rsidR="00E14EE6" w:rsidRDefault="00E14EE6">
      <w:pPr>
        <w:pStyle w:val="FootnoteText"/>
      </w:pPr>
      <w:r>
        <w:rPr>
          <w:rStyle w:val="FootnoteReference"/>
        </w:rPr>
        <w:footnoteRef/>
      </w:r>
      <w:r>
        <w:t xml:space="preserve"> </w:t>
      </w:r>
      <w:r w:rsidRPr="00E14EE6">
        <w:t xml:space="preserve">Government of the Dominican Republic. Ministry of Finance (2020). </w:t>
      </w:r>
      <w:proofErr w:type="spellStart"/>
      <w:r w:rsidRPr="00E14EE6">
        <w:rPr>
          <w:i/>
          <w:iCs/>
        </w:rPr>
        <w:t>Gobierno</w:t>
      </w:r>
      <w:proofErr w:type="spellEnd"/>
      <w:r w:rsidRPr="00E14EE6">
        <w:rPr>
          <w:i/>
          <w:iCs/>
        </w:rPr>
        <w:t xml:space="preserve"> Lanza un </w:t>
      </w:r>
      <w:proofErr w:type="spellStart"/>
      <w:r w:rsidRPr="00E14EE6">
        <w:rPr>
          <w:i/>
          <w:iCs/>
        </w:rPr>
        <w:t>Paquete</w:t>
      </w:r>
      <w:proofErr w:type="spellEnd"/>
      <w:r w:rsidRPr="00E14EE6">
        <w:rPr>
          <w:i/>
          <w:iCs/>
        </w:rPr>
        <w:t xml:space="preserve"> de </w:t>
      </w:r>
      <w:proofErr w:type="spellStart"/>
      <w:r w:rsidRPr="00E14EE6">
        <w:rPr>
          <w:i/>
          <w:iCs/>
        </w:rPr>
        <w:t>Ayuda</w:t>
      </w:r>
      <w:proofErr w:type="spellEnd"/>
      <w:r w:rsidRPr="00E14EE6">
        <w:rPr>
          <w:i/>
          <w:iCs/>
        </w:rPr>
        <w:t xml:space="preserve"> </w:t>
      </w:r>
      <w:proofErr w:type="spellStart"/>
      <w:r w:rsidRPr="00E14EE6">
        <w:rPr>
          <w:i/>
          <w:iCs/>
        </w:rPr>
        <w:t>Económica</w:t>
      </w:r>
      <w:proofErr w:type="spellEnd"/>
      <w:r w:rsidRPr="00E14EE6">
        <w:rPr>
          <w:i/>
          <w:iCs/>
        </w:rPr>
        <w:t xml:space="preserve"> para </w:t>
      </w:r>
      <w:proofErr w:type="spellStart"/>
      <w:r w:rsidRPr="00E14EE6">
        <w:rPr>
          <w:i/>
          <w:iCs/>
        </w:rPr>
        <w:t>Proteger</w:t>
      </w:r>
      <w:proofErr w:type="spellEnd"/>
      <w:r w:rsidRPr="00E14EE6">
        <w:rPr>
          <w:i/>
          <w:iCs/>
        </w:rPr>
        <w:t xml:space="preserve"> a la República </w:t>
      </w:r>
      <w:proofErr w:type="spellStart"/>
      <w:r w:rsidRPr="00E14EE6">
        <w:rPr>
          <w:i/>
          <w:iCs/>
        </w:rPr>
        <w:t>Dominicana</w:t>
      </w:r>
      <w:proofErr w:type="spellEnd"/>
      <w:r w:rsidRPr="00E14EE6">
        <w:t xml:space="preserve">, 27 March. Viewed at: </w:t>
      </w:r>
      <w:hyperlink r:id="rId13" w:history="1">
        <w:r w:rsidRPr="00E14EE6">
          <w:rPr>
            <w:rStyle w:val="Hyperlink"/>
          </w:rPr>
          <w:t>https://www.hacienda.gob.do/gobierno-lanza-un-paquete-historico-de-ayuda-economica-para-proteger-a-la-republica-dominicana</w:t>
        </w:r>
      </w:hyperlink>
      <w:r w:rsidRPr="00E14EE6">
        <w:t>.</w:t>
      </w:r>
    </w:p>
  </w:footnote>
  <w:footnote w:id="15">
    <w:p w14:paraId="07620C1A" w14:textId="4C5A42CE" w:rsidR="00E14EE6" w:rsidRDefault="00E14EE6">
      <w:pPr>
        <w:pStyle w:val="FootnoteText"/>
      </w:pPr>
      <w:r>
        <w:rPr>
          <w:rStyle w:val="FootnoteReference"/>
        </w:rPr>
        <w:footnoteRef/>
      </w:r>
      <w:r>
        <w:t xml:space="preserve"> </w:t>
      </w:r>
      <w:r w:rsidRPr="00E14EE6">
        <w:t>IMF, "Policy Responses to COVID-19". Viewed at:</w:t>
      </w:r>
      <w:hyperlink r:id="rId14" w:history="1">
        <w:r w:rsidRPr="00E14EE6">
          <w:rPr>
            <w:rStyle w:val="Hyperlink"/>
          </w:rPr>
          <w:t>https://www.imf.org/en/Topics/imf-and-covid19/Policy-Responses-to-COVID-19</w:t>
        </w:r>
      </w:hyperlink>
      <w:r w:rsidRPr="00E14EE6">
        <w:t>.</w:t>
      </w:r>
    </w:p>
  </w:footnote>
  <w:footnote w:id="16">
    <w:p w14:paraId="174C5EC5" w14:textId="5AB1F1E7" w:rsidR="00E14EE6" w:rsidRDefault="00E14EE6">
      <w:pPr>
        <w:pStyle w:val="FootnoteText"/>
      </w:pPr>
      <w:r>
        <w:rPr>
          <w:rStyle w:val="FootnoteReference"/>
        </w:rPr>
        <w:footnoteRef/>
      </w:r>
      <w:r>
        <w:t xml:space="preserve"> </w:t>
      </w:r>
      <w:r w:rsidRPr="00E14EE6">
        <w:t xml:space="preserve">Government of the Dominican Republic. Ministry of Finance, </w:t>
      </w:r>
      <w:r w:rsidRPr="00E14EE6">
        <w:rPr>
          <w:i/>
          <w:iCs/>
        </w:rPr>
        <w:t xml:space="preserve">Marco Fiscal de </w:t>
      </w:r>
      <w:proofErr w:type="spellStart"/>
      <w:r w:rsidRPr="00E14EE6">
        <w:rPr>
          <w:i/>
          <w:iCs/>
        </w:rPr>
        <w:t>Mediano</w:t>
      </w:r>
      <w:proofErr w:type="spellEnd"/>
      <w:r w:rsidRPr="00E14EE6">
        <w:rPr>
          <w:i/>
          <w:iCs/>
        </w:rPr>
        <w:t xml:space="preserve"> </w:t>
      </w:r>
      <w:proofErr w:type="spellStart"/>
      <w:r w:rsidRPr="00E14EE6">
        <w:rPr>
          <w:i/>
          <w:iCs/>
        </w:rPr>
        <w:t>Plazo</w:t>
      </w:r>
      <w:proofErr w:type="spellEnd"/>
      <w:r w:rsidRPr="00E14EE6">
        <w:rPr>
          <w:i/>
          <w:iCs/>
        </w:rPr>
        <w:t xml:space="preserve"> 2022</w:t>
      </w:r>
      <w:r w:rsidR="005A399E">
        <w:rPr>
          <w:i/>
          <w:iCs/>
        </w:rPr>
        <w:noBreakHyphen/>
      </w:r>
      <w:r w:rsidRPr="00E14EE6">
        <w:rPr>
          <w:i/>
          <w:iCs/>
        </w:rPr>
        <w:t>2026</w:t>
      </w:r>
      <w:r w:rsidRPr="00E14EE6">
        <w:t xml:space="preserve">, April 2022. Viewed at: </w:t>
      </w:r>
      <w:hyperlink r:id="rId15" w:history="1">
        <w:r w:rsidRPr="00E14EE6">
          <w:rPr>
            <w:rStyle w:val="Hyperlink"/>
          </w:rPr>
          <w:t>https://www.hacienda.gob.do/wp-content/uploads/2022/05/MFMP-2022-2026-30042022-86.pdf</w:t>
        </w:r>
      </w:hyperlink>
      <w:r w:rsidRPr="00E14EE6">
        <w:t>.</w:t>
      </w:r>
    </w:p>
  </w:footnote>
  <w:footnote w:id="17">
    <w:p w14:paraId="202F8F36" w14:textId="0893C5EA" w:rsidR="00E14EE6" w:rsidRDefault="00E14EE6">
      <w:pPr>
        <w:pStyle w:val="FootnoteText"/>
      </w:pPr>
      <w:r>
        <w:rPr>
          <w:rStyle w:val="FootnoteReference"/>
        </w:rPr>
        <w:footnoteRef/>
      </w:r>
      <w:r>
        <w:t xml:space="preserve"> </w:t>
      </w:r>
      <w:r w:rsidRPr="00E14EE6">
        <w:t>The procurement of this coverage was phased, covering 80</w:t>
      </w:r>
      <w:r>
        <w:t>%</w:t>
      </w:r>
      <w:r w:rsidRPr="00E14EE6">
        <w:t xml:space="preserve"> of fuel imports from May to December</w:t>
      </w:r>
      <w:r w:rsidR="005A399E">
        <w:t> </w:t>
      </w:r>
      <w:r w:rsidRPr="00E14EE6">
        <w:t>2021, 60</w:t>
      </w:r>
      <w:r>
        <w:t>%</w:t>
      </w:r>
      <w:r w:rsidRPr="00E14EE6">
        <w:t xml:space="preserve"> of imports in 2022 and 40</w:t>
      </w:r>
      <w:r>
        <w:t>%</w:t>
      </w:r>
      <w:r w:rsidRPr="00E14EE6">
        <w:t xml:space="preserve"> in 2023. Natural gas is used in 50</w:t>
      </w:r>
      <w:r>
        <w:t>%</w:t>
      </w:r>
      <w:r w:rsidRPr="00E14EE6">
        <w:t xml:space="preserve"> of the country's electricity production grid.</w:t>
      </w:r>
    </w:p>
  </w:footnote>
  <w:footnote w:id="18">
    <w:p w14:paraId="0C3E4518" w14:textId="5F986B7F" w:rsidR="00E14EE6" w:rsidRDefault="00E14EE6">
      <w:pPr>
        <w:pStyle w:val="FootnoteText"/>
      </w:pPr>
      <w:r>
        <w:rPr>
          <w:rStyle w:val="FootnoteReference"/>
        </w:rPr>
        <w:footnoteRef/>
      </w:r>
      <w:r>
        <w:t xml:space="preserve"> </w:t>
      </w:r>
      <w:r w:rsidRPr="00E14EE6">
        <w:t xml:space="preserve">Government of the Dominican Republic. Ministry of Finance, </w:t>
      </w:r>
      <w:r w:rsidRPr="00E14EE6">
        <w:rPr>
          <w:i/>
          <w:iCs/>
        </w:rPr>
        <w:t xml:space="preserve">Marco Fiscal de </w:t>
      </w:r>
      <w:proofErr w:type="spellStart"/>
      <w:r w:rsidRPr="00E14EE6">
        <w:rPr>
          <w:i/>
          <w:iCs/>
        </w:rPr>
        <w:t>Mediano</w:t>
      </w:r>
      <w:proofErr w:type="spellEnd"/>
      <w:r w:rsidRPr="00E14EE6">
        <w:rPr>
          <w:i/>
          <w:iCs/>
        </w:rPr>
        <w:t xml:space="preserve"> </w:t>
      </w:r>
      <w:proofErr w:type="spellStart"/>
      <w:r w:rsidRPr="00E14EE6">
        <w:rPr>
          <w:i/>
          <w:iCs/>
        </w:rPr>
        <w:t>Plazo</w:t>
      </w:r>
      <w:proofErr w:type="spellEnd"/>
      <w:r w:rsidRPr="00E14EE6">
        <w:rPr>
          <w:i/>
          <w:iCs/>
        </w:rPr>
        <w:t xml:space="preserve"> 2022</w:t>
      </w:r>
      <w:r w:rsidR="00C5302C">
        <w:rPr>
          <w:i/>
          <w:iCs/>
        </w:rPr>
        <w:noBreakHyphen/>
      </w:r>
      <w:r w:rsidRPr="00E14EE6">
        <w:rPr>
          <w:i/>
          <w:iCs/>
        </w:rPr>
        <w:t>2026</w:t>
      </w:r>
      <w:r w:rsidRPr="00E14EE6">
        <w:t xml:space="preserve">, April 2022. Viewed at: </w:t>
      </w:r>
      <w:hyperlink r:id="rId16" w:history="1">
        <w:r w:rsidRPr="00E14EE6">
          <w:rPr>
            <w:rStyle w:val="Hyperlink"/>
          </w:rPr>
          <w:t>https://www.hacienda.gob.do/wp-content/uploads/2022/05/MFMP-2022-2026-30042022-86.pdf</w:t>
        </w:r>
      </w:hyperlink>
      <w:r w:rsidRPr="00E14EE6">
        <w:t xml:space="preserve">; and Ministry of Finance, Directorate-General of Fiscal Analysis and Policy, </w:t>
      </w:r>
      <w:r w:rsidRPr="00E14EE6">
        <w:rPr>
          <w:i/>
          <w:iCs/>
        </w:rPr>
        <w:t xml:space="preserve">Informe de </w:t>
      </w:r>
      <w:proofErr w:type="spellStart"/>
      <w:r w:rsidRPr="00E14EE6">
        <w:rPr>
          <w:i/>
          <w:iCs/>
        </w:rPr>
        <w:t>Coyuntura</w:t>
      </w:r>
      <w:proofErr w:type="spellEnd"/>
      <w:r w:rsidRPr="00E14EE6">
        <w:rPr>
          <w:i/>
          <w:iCs/>
        </w:rPr>
        <w:t xml:space="preserve"> Fiscal</w:t>
      </w:r>
      <w:r w:rsidRPr="00E14EE6">
        <w:t xml:space="preserve">, </w:t>
      </w:r>
      <w:proofErr w:type="spellStart"/>
      <w:r w:rsidRPr="00E14EE6">
        <w:rPr>
          <w:i/>
          <w:iCs/>
        </w:rPr>
        <w:t>diciembre</w:t>
      </w:r>
      <w:proofErr w:type="spellEnd"/>
      <w:r w:rsidRPr="00E14EE6">
        <w:rPr>
          <w:i/>
          <w:iCs/>
        </w:rPr>
        <w:t xml:space="preserve"> de 2021.</w:t>
      </w:r>
      <w:r w:rsidRPr="00E14EE6">
        <w:t xml:space="preserve"> </w:t>
      </w:r>
      <w:proofErr w:type="spellStart"/>
      <w:r w:rsidRPr="00E14EE6">
        <w:rPr>
          <w:i/>
          <w:iCs/>
        </w:rPr>
        <w:t>Monitoreo</w:t>
      </w:r>
      <w:proofErr w:type="spellEnd"/>
      <w:r w:rsidRPr="00E14EE6">
        <w:rPr>
          <w:i/>
          <w:iCs/>
        </w:rPr>
        <w:t xml:space="preserve"> trimestral y </w:t>
      </w:r>
      <w:proofErr w:type="spellStart"/>
      <w:r w:rsidRPr="00E14EE6">
        <w:rPr>
          <w:i/>
          <w:iCs/>
        </w:rPr>
        <w:t>acumulado</w:t>
      </w:r>
      <w:proofErr w:type="spellEnd"/>
      <w:r w:rsidRPr="00E14EE6">
        <w:rPr>
          <w:i/>
          <w:iCs/>
        </w:rPr>
        <w:t xml:space="preserve"> de las </w:t>
      </w:r>
      <w:proofErr w:type="spellStart"/>
      <w:r w:rsidRPr="00E14EE6">
        <w:rPr>
          <w:i/>
          <w:iCs/>
        </w:rPr>
        <w:t>finanzas</w:t>
      </w:r>
      <w:proofErr w:type="spellEnd"/>
      <w:r w:rsidRPr="00E14EE6">
        <w:rPr>
          <w:i/>
          <w:iCs/>
        </w:rPr>
        <w:t xml:space="preserve"> </w:t>
      </w:r>
      <w:proofErr w:type="spellStart"/>
      <w:r w:rsidRPr="00E14EE6">
        <w:rPr>
          <w:i/>
          <w:iCs/>
        </w:rPr>
        <w:t>públicas</w:t>
      </w:r>
      <w:proofErr w:type="spellEnd"/>
      <w:r w:rsidRPr="00E14EE6">
        <w:rPr>
          <w:i/>
          <w:iCs/>
        </w:rPr>
        <w:t xml:space="preserve"> de la República </w:t>
      </w:r>
      <w:proofErr w:type="spellStart"/>
      <w:r w:rsidRPr="00E14EE6">
        <w:rPr>
          <w:i/>
          <w:iCs/>
        </w:rPr>
        <w:t>Dominicana</w:t>
      </w:r>
      <w:proofErr w:type="spellEnd"/>
      <w:r w:rsidRPr="00E14EE6">
        <w:t xml:space="preserve">. Viewed at: </w:t>
      </w:r>
      <w:hyperlink r:id="rId17" w:history="1">
        <w:r w:rsidRPr="00E14EE6">
          <w:rPr>
            <w:rStyle w:val="Hyperlink"/>
          </w:rPr>
          <w:t>https://www.hacienda.gob.do/wp-content/uploads/2022/03/Coyuntura_Fiscal_Diciembre_2021-1.pdf</w:t>
        </w:r>
        <w:r w:rsidRPr="00AA7429">
          <w:rPr>
            <w:rStyle w:val="Hyperlink"/>
            <w:color w:val="auto"/>
            <w:u w:val="none"/>
          </w:rPr>
          <w:t>.</w:t>
        </w:r>
      </w:hyperlink>
    </w:p>
  </w:footnote>
  <w:footnote w:id="19">
    <w:p w14:paraId="4E98FDFD" w14:textId="6E6125C9" w:rsidR="00E14EE6" w:rsidRDefault="00E14EE6">
      <w:pPr>
        <w:pStyle w:val="FootnoteText"/>
      </w:pPr>
      <w:r>
        <w:rPr>
          <w:rStyle w:val="FootnoteReference"/>
        </w:rPr>
        <w:footnoteRef/>
      </w:r>
      <w:r>
        <w:t xml:space="preserve"> </w:t>
      </w:r>
      <w:r w:rsidRPr="00E14EE6">
        <w:t>This transaction was divided into three tranches: a new bond for a total of USD</w:t>
      </w:r>
      <w:r w:rsidR="005A399E">
        <w:t> </w:t>
      </w:r>
      <w:r w:rsidRPr="00E14EE6">
        <w:t>1.8</w:t>
      </w:r>
      <w:r w:rsidR="005A399E">
        <w:t> </w:t>
      </w:r>
      <w:r w:rsidRPr="00E14EE6">
        <w:t>billion, with a 12</w:t>
      </w:r>
      <w:r w:rsidR="005A399E">
        <w:noBreakHyphen/>
      </w:r>
      <w:r w:rsidRPr="00E14EE6">
        <w:t>year term, yielding 4.875</w:t>
      </w:r>
      <w:r>
        <w:t>%</w:t>
      </w:r>
      <w:r w:rsidRPr="00E14EE6">
        <w:t>; the reopening of the dollar bond maturing in 2060, yielding 6.25</w:t>
      </w:r>
      <w:r>
        <w:t>%</w:t>
      </w:r>
      <w:r w:rsidRPr="00E14EE6">
        <w:t>, for USD</w:t>
      </w:r>
      <w:r w:rsidR="005A399E">
        <w:t> </w:t>
      </w:r>
      <w:r w:rsidRPr="00E14EE6">
        <w:t>1.7</w:t>
      </w:r>
      <w:r w:rsidR="005A399E">
        <w:t> </w:t>
      </w:r>
      <w:r w:rsidRPr="00E14EE6">
        <w:t>billion; and the reopening of the DOP 17.5 billion (USD 300 million) bond, yielding 10</w:t>
      </w:r>
      <w:r>
        <w:t>%</w:t>
      </w:r>
      <w:r w:rsidRPr="00E14EE6">
        <w:t xml:space="preserve"> and maturing in 2026.</w:t>
      </w:r>
    </w:p>
  </w:footnote>
  <w:footnote w:id="20">
    <w:p w14:paraId="7234C4B8" w14:textId="1CF2C067" w:rsidR="00E14EE6" w:rsidRDefault="00E14EE6">
      <w:pPr>
        <w:pStyle w:val="FootnoteText"/>
      </w:pPr>
      <w:r>
        <w:rPr>
          <w:rStyle w:val="FootnoteReference"/>
        </w:rPr>
        <w:footnoteRef/>
      </w:r>
      <w:r>
        <w:t xml:space="preserve"> </w:t>
      </w:r>
      <w:r w:rsidRPr="00E14EE6">
        <w:t>USD 178.8 million (15</w:t>
      </w:r>
      <w:r>
        <w:t>%</w:t>
      </w:r>
      <w:r w:rsidRPr="00E14EE6">
        <w:t>) of this amount are 2022 obligations, USD 575.9 million (50</w:t>
      </w:r>
      <w:r>
        <w:t>%</w:t>
      </w:r>
      <w:r w:rsidRPr="00E14EE6">
        <w:t>) are 2023</w:t>
      </w:r>
      <w:r w:rsidR="00FC4069">
        <w:t xml:space="preserve"> </w:t>
      </w:r>
      <w:r w:rsidRPr="00E14EE6">
        <w:t>obligations, and USD 407.5 million (35</w:t>
      </w:r>
      <w:r>
        <w:t>%</w:t>
      </w:r>
      <w:r w:rsidRPr="00E14EE6">
        <w:t>) are 2024 obligations.</w:t>
      </w:r>
    </w:p>
  </w:footnote>
  <w:footnote w:id="21">
    <w:p w14:paraId="77EDEC24" w14:textId="23EA82AD" w:rsidR="00E14EE6" w:rsidRDefault="00E14EE6">
      <w:pPr>
        <w:pStyle w:val="FootnoteText"/>
      </w:pPr>
      <w:r>
        <w:rPr>
          <w:rStyle w:val="FootnoteReference"/>
        </w:rPr>
        <w:footnoteRef/>
      </w:r>
      <w:r>
        <w:t xml:space="preserve"> </w:t>
      </w:r>
      <w:r w:rsidRPr="00E14EE6">
        <w:t xml:space="preserve">Ministry of Finance, Directorate-General of Fiscal Analysis and Policy, </w:t>
      </w:r>
      <w:r w:rsidRPr="00E14EE6">
        <w:rPr>
          <w:i/>
          <w:iCs/>
        </w:rPr>
        <w:t xml:space="preserve">Informe de </w:t>
      </w:r>
      <w:proofErr w:type="spellStart"/>
      <w:r w:rsidRPr="00E14EE6">
        <w:rPr>
          <w:i/>
          <w:iCs/>
        </w:rPr>
        <w:t>Coyuntura</w:t>
      </w:r>
      <w:proofErr w:type="spellEnd"/>
      <w:r w:rsidRPr="00E14EE6">
        <w:rPr>
          <w:i/>
          <w:iCs/>
        </w:rPr>
        <w:t xml:space="preserve"> Fiscal, </w:t>
      </w:r>
      <w:proofErr w:type="spellStart"/>
      <w:r w:rsidRPr="00E14EE6">
        <w:rPr>
          <w:i/>
          <w:iCs/>
        </w:rPr>
        <w:t>marzo</w:t>
      </w:r>
      <w:proofErr w:type="spellEnd"/>
      <w:r w:rsidRPr="00E14EE6">
        <w:rPr>
          <w:i/>
          <w:iCs/>
        </w:rPr>
        <w:t xml:space="preserve"> de 2022. </w:t>
      </w:r>
      <w:proofErr w:type="spellStart"/>
      <w:r w:rsidRPr="00E14EE6">
        <w:rPr>
          <w:i/>
          <w:iCs/>
        </w:rPr>
        <w:t>Monitoreo</w:t>
      </w:r>
      <w:proofErr w:type="spellEnd"/>
      <w:r w:rsidRPr="00E14EE6">
        <w:rPr>
          <w:i/>
          <w:iCs/>
        </w:rPr>
        <w:t xml:space="preserve"> trimestral y </w:t>
      </w:r>
      <w:proofErr w:type="spellStart"/>
      <w:r w:rsidRPr="00E14EE6">
        <w:rPr>
          <w:i/>
          <w:iCs/>
        </w:rPr>
        <w:t>acumulado</w:t>
      </w:r>
      <w:proofErr w:type="spellEnd"/>
      <w:r w:rsidRPr="00E14EE6">
        <w:rPr>
          <w:i/>
          <w:iCs/>
        </w:rPr>
        <w:t xml:space="preserve"> de las </w:t>
      </w:r>
      <w:proofErr w:type="spellStart"/>
      <w:r w:rsidRPr="00E14EE6">
        <w:rPr>
          <w:i/>
          <w:iCs/>
        </w:rPr>
        <w:t>finanzas</w:t>
      </w:r>
      <w:proofErr w:type="spellEnd"/>
      <w:r w:rsidRPr="00E14EE6">
        <w:rPr>
          <w:i/>
          <w:iCs/>
        </w:rPr>
        <w:t xml:space="preserve"> </w:t>
      </w:r>
      <w:proofErr w:type="spellStart"/>
      <w:r w:rsidRPr="00E14EE6">
        <w:rPr>
          <w:i/>
          <w:iCs/>
        </w:rPr>
        <w:t>públicas</w:t>
      </w:r>
      <w:proofErr w:type="spellEnd"/>
      <w:r w:rsidRPr="00E14EE6">
        <w:rPr>
          <w:i/>
          <w:iCs/>
        </w:rPr>
        <w:t xml:space="preserve"> de la República </w:t>
      </w:r>
      <w:proofErr w:type="spellStart"/>
      <w:r w:rsidRPr="00E14EE6">
        <w:rPr>
          <w:i/>
          <w:iCs/>
        </w:rPr>
        <w:t>Dominicana</w:t>
      </w:r>
      <w:proofErr w:type="spellEnd"/>
      <w:r w:rsidRPr="00E14EE6">
        <w:t xml:space="preserve">. Viewed at: </w:t>
      </w:r>
      <w:hyperlink r:id="rId18" w:history="1">
        <w:r w:rsidRPr="00E14EE6">
          <w:rPr>
            <w:rStyle w:val="Hyperlink"/>
          </w:rPr>
          <w:t>https://www.hacienda.gob.do/wp-content/uploads/2022/03/Informe-Coyuntura-Fiscal-Marzo-2022.pdf</w:t>
        </w:r>
      </w:hyperlink>
      <w:r w:rsidRPr="00E14EE6">
        <w:t>.</w:t>
      </w:r>
    </w:p>
  </w:footnote>
  <w:footnote w:id="22">
    <w:p w14:paraId="0B020992" w14:textId="1A79AC91" w:rsidR="00E14EE6" w:rsidRDefault="00E14EE6">
      <w:pPr>
        <w:pStyle w:val="FootnoteText"/>
      </w:pPr>
      <w:r>
        <w:rPr>
          <w:rStyle w:val="FootnoteReference"/>
        </w:rPr>
        <w:footnoteRef/>
      </w:r>
      <w:r>
        <w:t xml:space="preserve"> </w:t>
      </w:r>
      <w:r w:rsidRPr="00E14EE6">
        <w:t>This was the result of the three liability management operations carried out by the Directorate</w:t>
      </w:r>
      <w:r w:rsidR="00C82666">
        <w:noBreakHyphen/>
      </w:r>
      <w:r w:rsidRPr="00E14EE6">
        <w:t>General of Public Credit of the Ministry of Finance, between 2020 and 2022. These operations were aimed at ensuring public debt sustainability by making significant reductions in short- and medium-term debt service through repurchase or exchange transactions. The three operations cancelled USD 4,047 million of debt for 2021-27, USD 3,549 million of which was deducted from debt service. Government of the Dominican</w:t>
      </w:r>
      <w:r w:rsidR="00C82666">
        <w:t> </w:t>
      </w:r>
      <w:r w:rsidRPr="00E14EE6">
        <w:t xml:space="preserve">Republic. Ministry of Finance, </w:t>
      </w:r>
      <w:r w:rsidRPr="00E14EE6">
        <w:rPr>
          <w:i/>
          <w:iCs/>
        </w:rPr>
        <w:t xml:space="preserve">Marco Fiscal de </w:t>
      </w:r>
      <w:proofErr w:type="spellStart"/>
      <w:r w:rsidRPr="00E14EE6">
        <w:rPr>
          <w:i/>
          <w:iCs/>
        </w:rPr>
        <w:t>Mediano</w:t>
      </w:r>
      <w:proofErr w:type="spellEnd"/>
      <w:r w:rsidRPr="00E14EE6">
        <w:rPr>
          <w:i/>
          <w:iCs/>
        </w:rPr>
        <w:t xml:space="preserve"> </w:t>
      </w:r>
      <w:proofErr w:type="spellStart"/>
      <w:r w:rsidRPr="00E14EE6">
        <w:rPr>
          <w:i/>
          <w:iCs/>
        </w:rPr>
        <w:t>Plazo</w:t>
      </w:r>
      <w:proofErr w:type="spellEnd"/>
      <w:r w:rsidRPr="00E14EE6">
        <w:rPr>
          <w:i/>
          <w:iCs/>
        </w:rPr>
        <w:t xml:space="preserve"> 2022-2026</w:t>
      </w:r>
      <w:r w:rsidRPr="00E14EE6">
        <w:t xml:space="preserve">, April 2022. Viewed at: </w:t>
      </w:r>
      <w:hyperlink r:id="rId19" w:history="1">
        <w:r w:rsidRPr="00E14EE6">
          <w:rPr>
            <w:rStyle w:val="Hyperlink"/>
          </w:rPr>
          <w:t>https://www.hacienda.gob.do/wp-content/uploads/2022/05/MFMP-2022-2026-30042022-86.pdf</w:t>
        </w:r>
      </w:hyperlink>
      <w:r w:rsidRPr="00E14EE6">
        <w:t>.</w:t>
      </w:r>
    </w:p>
  </w:footnote>
  <w:footnote w:id="23">
    <w:p w14:paraId="09D1B30F" w14:textId="69CCEE6C" w:rsidR="00E14EE6" w:rsidRDefault="00E14EE6">
      <w:pPr>
        <w:pStyle w:val="FootnoteText"/>
      </w:pPr>
      <w:r>
        <w:rPr>
          <w:rStyle w:val="FootnoteReference"/>
        </w:rPr>
        <w:footnoteRef/>
      </w:r>
      <w:r>
        <w:t xml:space="preserve"> </w:t>
      </w:r>
      <w:r w:rsidRPr="00E14EE6">
        <w:t>IMF (2022), "IMF Staff Completes 2022 Article IV Mission to the Dominican Republic", 16</w:t>
      </w:r>
      <w:r w:rsidR="00FC4069">
        <w:t> </w:t>
      </w:r>
      <w:r w:rsidRPr="00E14EE6">
        <w:t>May</w:t>
      </w:r>
      <w:r w:rsidR="00FC4069">
        <w:t> </w:t>
      </w:r>
      <w:r w:rsidRPr="00E14EE6">
        <w:t>2022</w:t>
      </w:r>
      <w:r w:rsidRPr="00E14EE6">
        <w:rPr>
          <w:i/>
          <w:iCs/>
        </w:rPr>
        <w:t xml:space="preserve">. </w:t>
      </w:r>
      <w:r w:rsidRPr="00E14EE6">
        <w:t xml:space="preserve">Press Release No. 22/154. Viewed at: </w:t>
      </w:r>
      <w:hyperlink r:id="rId20" w:history="1">
        <w:r w:rsidRPr="00E14EE6">
          <w:rPr>
            <w:rStyle w:val="Hyperlink"/>
          </w:rPr>
          <w:t>https://www.imf.org/en/News/Articles/2022/05/16/pr22154-imf-staff-completes-2022-article-iv-mission-to-the-dominican-republic</w:t>
        </w:r>
      </w:hyperlink>
      <w:r w:rsidRPr="00E14EE6">
        <w:t>.</w:t>
      </w:r>
    </w:p>
  </w:footnote>
  <w:footnote w:id="24">
    <w:p w14:paraId="462A2641" w14:textId="768B5759" w:rsidR="00E14EE6" w:rsidRDefault="00E14EE6">
      <w:pPr>
        <w:pStyle w:val="FootnoteText"/>
      </w:pPr>
      <w:r>
        <w:rPr>
          <w:rStyle w:val="FootnoteReference"/>
        </w:rPr>
        <w:footnoteRef/>
      </w:r>
      <w:r>
        <w:t xml:space="preserve"> </w:t>
      </w:r>
      <w:r w:rsidRPr="00E14EE6">
        <w:t>IMF (2022), IMF Country Report No. 22/217. "Dominican Republic. 2022 Article IV Consultation</w:t>
      </w:r>
      <w:r w:rsidR="00C5302C">
        <w:noBreakHyphen/>
      </w:r>
      <w:r w:rsidRPr="00E14EE6">
        <w:t>Press Release; and Staff Report"</w:t>
      </w:r>
      <w:r w:rsidRPr="00E14EE6">
        <w:rPr>
          <w:i/>
          <w:iCs/>
        </w:rPr>
        <w:t>.</w:t>
      </w:r>
      <w:r w:rsidRPr="00E14EE6">
        <w:t xml:space="preserve"> July 2022. Viewed at: </w:t>
      </w:r>
      <w:hyperlink r:id="rId21" w:history="1">
        <w:r w:rsidRPr="00E14EE6">
          <w:rPr>
            <w:rStyle w:val="Hyperlink"/>
          </w:rPr>
          <w:t>https://www.imf.org/en/Publications/CR/Issues/2022/07/08/Dominican-Republic-2022-Article-IV-Consultation-Press-Release-and-Staff-Report-520543</w:t>
        </w:r>
      </w:hyperlink>
      <w:r w:rsidRPr="00E14EE6">
        <w:t>.</w:t>
      </w:r>
    </w:p>
  </w:footnote>
  <w:footnote w:id="25">
    <w:p w14:paraId="2ECA9F9C" w14:textId="77777777" w:rsidR="00E14EE6" w:rsidRDefault="00E14EE6">
      <w:pPr>
        <w:pStyle w:val="FootnoteText"/>
      </w:pPr>
      <w:r>
        <w:rPr>
          <w:rStyle w:val="FootnoteReference"/>
        </w:rPr>
        <w:footnoteRef/>
      </w:r>
      <w:r>
        <w:t xml:space="preserve"> </w:t>
      </w:r>
      <w:r w:rsidRPr="00E14EE6">
        <w:t>The calculation of tax expenditure includes: exemptions, i.e. amounts excluded from the tax base; deductions, i.e. rebates and reductions in the tax base; credits, i.e. amounts that are deducted from or reduce tax; reduced rates, i.e. rates that are lower than the standard rate applicable to certain transactions or subjects; and deferral, i.e. postponement of tax payments.</w:t>
      </w:r>
    </w:p>
  </w:footnote>
  <w:footnote w:id="26">
    <w:p w14:paraId="587E03A9" w14:textId="2D3E4891" w:rsidR="00E14EE6" w:rsidRDefault="00E14EE6">
      <w:pPr>
        <w:pStyle w:val="FootnoteText"/>
      </w:pPr>
      <w:r>
        <w:rPr>
          <w:rStyle w:val="FootnoteReference"/>
        </w:rPr>
        <w:footnoteRef/>
      </w:r>
      <w:r>
        <w:t xml:space="preserve"> </w:t>
      </w:r>
      <w:r w:rsidRPr="00E14EE6">
        <w:t xml:space="preserve">Ministry of Finance of the Dominican Republic. </w:t>
      </w:r>
      <w:proofErr w:type="spellStart"/>
      <w:r w:rsidRPr="00E14EE6">
        <w:rPr>
          <w:i/>
          <w:iCs/>
        </w:rPr>
        <w:t>Gasto</w:t>
      </w:r>
      <w:proofErr w:type="spellEnd"/>
      <w:r w:rsidRPr="00E14EE6">
        <w:rPr>
          <w:i/>
          <w:iCs/>
        </w:rPr>
        <w:t xml:space="preserve"> </w:t>
      </w:r>
      <w:proofErr w:type="spellStart"/>
      <w:r w:rsidRPr="00E14EE6">
        <w:rPr>
          <w:i/>
          <w:iCs/>
        </w:rPr>
        <w:t>Tributario</w:t>
      </w:r>
      <w:proofErr w:type="spellEnd"/>
      <w:r w:rsidRPr="00E14EE6">
        <w:rPr>
          <w:i/>
          <w:iCs/>
        </w:rPr>
        <w:t xml:space="preserve"> </w:t>
      </w:r>
      <w:proofErr w:type="spellStart"/>
      <w:r w:rsidRPr="00E14EE6">
        <w:rPr>
          <w:i/>
          <w:iCs/>
        </w:rPr>
        <w:t>en</w:t>
      </w:r>
      <w:proofErr w:type="spellEnd"/>
      <w:r w:rsidRPr="00E14EE6">
        <w:rPr>
          <w:i/>
          <w:iCs/>
        </w:rPr>
        <w:t xml:space="preserve"> República </w:t>
      </w:r>
      <w:proofErr w:type="spellStart"/>
      <w:r w:rsidRPr="00E14EE6">
        <w:rPr>
          <w:i/>
          <w:iCs/>
        </w:rPr>
        <w:t>Dominicana</w:t>
      </w:r>
      <w:proofErr w:type="spellEnd"/>
      <w:r w:rsidRPr="00E14EE6">
        <w:rPr>
          <w:i/>
          <w:iCs/>
        </w:rPr>
        <w:t xml:space="preserve"> </w:t>
      </w:r>
      <w:proofErr w:type="spellStart"/>
      <w:r w:rsidRPr="00E14EE6">
        <w:rPr>
          <w:i/>
          <w:iCs/>
        </w:rPr>
        <w:t>Estimación</w:t>
      </w:r>
      <w:proofErr w:type="spellEnd"/>
      <w:r w:rsidRPr="00E14EE6">
        <w:rPr>
          <w:i/>
          <w:iCs/>
        </w:rPr>
        <w:t xml:space="preserve"> para </w:t>
      </w:r>
      <w:proofErr w:type="spellStart"/>
      <w:r w:rsidRPr="00E14EE6">
        <w:rPr>
          <w:i/>
          <w:iCs/>
        </w:rPr>
        <w:t>el</w:t>
      </w:r>
      <w:proofErr w:type="spellEnd"/>
      <w:r w:rsidRPr="00E14EE6">
        <w:rPr>
          <w:i/>
          <w:iCs/>
        </w:rPr>
        <w:t xml:space="preserve"> </w:t>
      </w:r>
      <w:proofErr w:type="spellStart"/>
      <w:r w:rsidRPr="00E14EE6">
        <w:rPr>
          <w:i/>
          <w:iCs/>
        </w:rPr>
        <w:t>Presupuesto</w:t>
      </w:r>
      <w:proofErr w:type="spellEnd"/>
      <w:r w:rsidRPr="00E14EE6">
        <w:rPr>
          <w:i/>
          <w:iCs/>
        </w:rPr>
        <w:t xml:space="preserve"> General del Estado del </w:t>
      </w:r>
      <w:proofErr w:type="spellStart"/>
      <w:r w:rsidRPr="00E14EE6">
        <w:rPr>
          <w:i/>
          <w:iCs/>
        </w:rPr>
        <w:t>año</w:t>
      </w:r>
      <w:proofErr w:type="spellEnd"/>
      <w:r w:rsidRPr="00E14EE6">
        <w:rPr>
          <w:i/>
          <w:iCs/>
        </w:rPr>
        <w:t xml:space="preserve"> 2021</w:t>
      </w:r>
      <w:r w:rsidRPr="00C5302C">
        <w:t xml:space="preserve">, </w:t>
      </w:r>
      <w:r w:rsidRPr="00E14EE6">
        <w:t xml:space="preserve">September 2020. Viewed at: </w:t>
      </w:r>
      <w:hyperlink r:id="rId22" w:history="1">
        <w:r w:rsidRPr="00E14EE6">
          <w:rPr>
            <w:rStyle w:val="Hyperlink"/>
          </w:rPr>
          <w:t>https://www.hacienda.gob.do/wp-content/uploads/2021/01/2020-10-16-Estimacion-del-Gasto-Tributario-2021.pdf</w:t>
        </w:r>
      </w:hyperlink>
      <w:r w:rsidRPr="00E14EE6">
        <w:t>.</w:t>
      </w:r>
    </w:p>
  </w:footnote>
  <w:footnote w:id="27">
    <w:p w14:paraId="3BFDD277" w14:textId="27C30ADD" w:rsidR="00E14EE6" w:rsidRDefault="00E14EE6">
      <w:pPr>
        <w:pStyle w:val="FootnoteText"/>
      </w:pPr>
      <w:r>
        <w:rPr>
          <w:rStyle w:val="FootnoteReference"/>
        </w:rPr>
        <w:footnoteRef/>
      </w:r>
      <w:r>
        <w:t xml:space="preserve"> </w:t>
      </w:r>
      <w:r w:rsidRPr="00E14EE6">
        <w:t>The report containing estimated tax expenditure has its legal basis in Organic Public Sector Budget Law No.</w:t>
      </w:r>
      <w:r w:rsidR="005A399E">
        <w:t> </w:t>
      </w:r>
      <w:r w:rsidRPr="00E14EE6">
        <w:t>423-06 of 17 November 2006, which establishes that the Ministry of Finance shall prepare an explanatory report on the exemptions for the period included in the draft General State Budget (PGE) and which provides that, as one of these elements, a document shall be drawn up stating the amount of the tax exemptions granted The report is prepared by an inter-institutional commission coordinated by the Directorate</w:t>
      </w:r>
      <w:r w:rsidR="00FC4069">
        <w:noBreakHyphen/>
      </w:r>
      <w:r w:rsidRPr="00E14EE6">
        <w:t>General of Tax Policy and Legislation (</w:t>
      </w:r>
      <w:proofErr w:type="spellStart"/>
      <w:r w:rsidRPr="00E14EE6">
        <w:t>DGPLT</w:t>
      </w:r>
      <w:proofErr w:type="spellEnd"/>
      <w:r w:rsidRPr="00E14EE6">
        <w:t>) and also composed of the Directorate-General of Internal Revenue (</w:t>
      </w:r>
      <w:proofErr w:type="spellStart"/>
      <w:r w:rsidRPr="00E14EE6">
        <w:t>DGII</w:t>
      </w:r>
      <w:proofErr w:type="spellEnd"/>
      <w:r w:rsidRPr="00E14EE6">
        <w:t>) and the Directorate-General of Customs (DGA). The report is prepared by an inter</w:t>
      </w:r>
      <w:r w:rsidR="00FC4069">
        <w:noBreakHyphen/>
      </w:r>
      <w:r w:rsidRPr="00E14EE6">
        <w:t>institutional commission coordinated by the Directorate-General of Tax Policy and Legislation (</w:t>
      </w:r>
      <w:proofErr w:type="spellStart"/>
      <w:r w:rsidRPr="00E14EE6">
        <w:t>DGPLT</w:t>
      </w:r>
      <w:proofErr w:type="spellEnd"/>
      <w:r w:rsidRPr="00E14EE6">
        <w:t>) and also composed of the Directorate-General of Internal Revenue (</w:t>
      </w:r>
      <w:proofErr w:type="spellStart"/>
      <w:r w:rsidRPr="00E14EE6">
        <w:t>DGII</w:t>
      </w:r>
      <w:proofErr w:type="spellEnd"/>
      <w:r w:rsidRPr="00E14EE6">
        <w:t>) and the Directorate-General of Customs (DGA). Tax expenditure estimation reports have been produced since 2008.</w:t>
      </w:r>
    </w:p>
  </w:footnote>
  <w:footnote w:id="28">
    <w:p w14:paraId="3350F630" w14:textId="30AF0496" w:rsidR="00E14EE6" w:rsidRDefault="00E14EE6">
      <w:pPr>
        <w:pStyle w:val="FootnoteText"/>
      </w:pPr>
      <w:r>
        <w:rPr>
          <w:rStyle w:val="FootnoteReference"/>
        </w:rPr>
        <w:footnoteRef/>
      </w:r>
      <w:r>
        <w:t xml:space="preserve"> </w:t>
      </w:r>
      <w:proofErr w:type="spellStart"/>
      <w:r w:rsidRPr="00E14EE6">
        <w:t>BCRD</w:t>
      </w:r>
      <w:proofErr w:type="spellEnd"/>
      <w:r w:rsidRPr="00E14EE6">
        <w:t xml:space="preserve">, </w:t>
      </w:r>
      <w:proofErr w:type="spellStart"/>
      <w:r w:rsidRPr="00E14EE6">
        <w:rPr>
          <w:i/>
          <w:iCs/>
        </w:rPr>
        <w:t>Resumen</w:t>
      </w:r>
      <w:proofErr w:type="spellEnd"/>
      <w:r w:rsidRPr="00E14EE6">
        <w:rPr>
          <w:i/>
          <w:iCs/>
        </w:rPr>
        <w:t xml:space="preserve"> </w:t>
      </w:r>
      <w:proofErr w:type="spellStart"/>
      <w:r w:rsidRPr="00E14EE6">
        <w:rPr>
          <w:i/>
          <w:iCs/>
        </w:rPr>
        <w:t>Ejecutivo</w:t>
      </w:r>
      <w:proofErr w:type="spellEnd"/>
      <w:r w:rsidRPr="00E14EE6">
        <w:rPr>
          <w:i/>
          <w:iCs/>
        </w:rPr>
        <w:t xml:space="preserve">. </w:t>
      </w:r>
      <w:proofErr w:type="spellStart"/>
      <w:r w:rsidRPr="00E14EE6">
        <w:rPr>
          <w:i/>
          <w:iCs/>
        </w:rPr>
        <w:t>Programa</w:t>
      </w:r>
      <w:proofErr w:type="spellEnd"/>
      <w:r w:rsidRPr="00E14EE6">
        <w:rPr>
          <w:i/>
          <w:iCs/>
        </w:rPr>
        <w:t xml:space="preserve"> </w:t>
      </w:r>
      <w:proofErr w:type="spellStart"/>
      <w:r w:rsidRPr="00E14EE6">
        <w:rPr>
          <w:i/>
          <w:iCs/>
        </w:rPr>
        <w:t>Monetario</w:t>
      </w:r>
      <w:proofErr w:type="spellEnd"/>
      <w:r w:rsidRPr="00E14EE6">
        <w:rPr>
          <w:i/>
          <w:iCs/>
        </w:rPr>
        <w:t xml:space="preserve"> del Banco Central Bajo </w:t>
      </w:r>
      <w:proofErr w:type="spellStart"/>
      <w:r w:rsidRPr="00E14EE6">
        <w:rPr>
          <w:i/>
          <w:iCs/>
        </w:rPr>
        <w:t>metas</w:t>
      </w:r>
      <w:proofErr w:type="spellEnd"/>
      <w:r w:rsidRPr="00E14EE6">
        <w:rPr>
          <w:i/>
          <w:iCs/>
        </w:rPr>
        <w:t xml:space="preserve"> de </w:t>
      </w:r>
      <w:proofErr w:type="spellStart"/>
      <w:r w:rsidRPr="00E14EE6">
        <w:rPr>
          <w:i/>
          <w:iCs/>
        </w:rPr>
        <w:t>inflación</w:t>
      </w:r>
      <w:proofErr w:type="spellEnd"/>
      <w:r w:rsidRPr="00E14EE6">
        <w:rPr>
          <w:i/>
          <w:iCs/>
        </w:rPr>
        <w:t xml:space="preserve">, 2022. </w:t>
      </w:r>
      <w:r w:rsidRPr="00E14EE6">
        <w:t xml:space="preserve">Viewed at: </w:t>
      </w:r>
      <w:hyperlink r:id="rId23" w:history="1">
        <w:r w:rsidRPr="00E14EE6">
          <w:rPr>
            <w:rStyle w:val="Hyperlink"/>
          </w:rPr>
          <w:t>https://cdn.bancentral.gov.do/documents/publicaciones-economicas/informe-de-politica-monetaria/documents/informepm2022-06.pdf</w:t>
        </w:r>
      </w:hyperlink>
      <w:r w:rsidRPr="00E14EE6">
        <w:t>.</w:t>
      </w:r>
    </w:p>
  </w:footnote>
  <w:footnote w:id="29">
    <w:p w14:paraId="353087D4" w14:textId="33DE6FF9" w:rsidR="00E14EE6" w:rsidRDefault="00E14EE6">
      <w:pPr>
        <w:pStyle w:val="FootnoteText"/>
      </w:pPr>
      <w:r>
        <w:rPr>
          <w:rStyle w:val="FootnoteReference"/>
        </w:rPr>
        <w:footnoteRef/>
      </w:r>
      <w:r>
        <w:t xml:space="preserve"> </w:t>
      </w:r>
      <w:r w:rsidRPr="00E14EE6">
        <w:t>The target was 5.50</w:t>
      </w:r>
      <w:r>
        <w:t>%</w:t>
      </w:r>
      <w:r w:rsidRPr="00E14EE6">
        <w:t xml:space="preserve"> +/-1.00</w:t>
      </w:r>
      <w:r>
        <w:t>%</w:t>
      </w:r>
      <w:r w:rsidRPr="00E14EE6">
        <w:t xml:space="preserve"> in 2012; 5.00</w:t>
      </w:r>
      <w:r>
        <w:t>%</w:t>
      </w:r>
      <w:r w:rsidRPr="00E14EE6">
        <w:t xml:space="preserve"> +/-1.00</w:t>
      </w:r>
      <w:r>
        <w:t>%</w:t>
      </w:r>
      <w:r w:rsidRPr="00E14EE6">
        <w:t xml:space="preserve"> in 2013; and 4.50</w:t>
      </w:r>
      <w:r>
        <w:t>%</w:t>
      </w:r>
      <w:r w:rsidRPr="00E14EE6">
        <w:t xml:space="preserve"> +/-1.00</w:t>
      </w:r>
      <w:r>
        <w:t>%</w:t>
      </w:r>
      <w:r w:rsidRPr="00E14EE6">
        <w:t xml:space="preserve"> in 2014. </w:t>
      </w:r>
      <w:proofErr w:type="spellStart"/>
      <w:r w:rsidRPr="00E14EE6">
        <w:t>BCRD</w:t>
      </w:r>
      <w:proofErr w:type="spellEnd"/>
      <w:r w:rsidRPr="00E14EE6">
        <w:t xml:space="preserve">, </w:t>
      </w:r>
      <w:proofErr w:type="spellStart"/>
      <w:r w:rsidRPr="00E14EE6">
        <w:rPr>
          <w:i/>
          <w:iCs/>
        </w:rPr>
        <w:t>Esquema</w:t>
      </w:r>
      <w:proofErr w:type="spellEnd"/>
      <w:r w:rsidRPr="00E14EE6">
        <w:rPr>
          <w:i/>
          <w:iCs/>
        </w:rPr>
        <w:t xml:space="preserve"> de Metas de </w:t>
      </w:r>
      <w:proofErr w:type="spellStart"/>
      <w:r w:rsidRPr="00E14EE6">
        <w:rPr>
          <w:i/>
          <w:iCs/>
        </w:rPr>
        <w:t>Inflación</w:t>
      </w:r>
      <w:proofErr w:type="spellEnd"/>
      <w:r w:rsidRPr="00E14EE6">
        <w:rPr>
          <w:i/>
          <w:iCs/>
        </w:rPr>
        <w:t xml:space="preserve"> </w:t>
      </w:r>
      <w:proofErr w:type="spellStart"/>
      <w:r w:rsidRPr="00E14EE6">
        <w:rPr>
          <w:i/>
          <w:iCs/>
        </w:rPr>
        <w:t>en</w:t>
      </w:r>
      <w:proofErr w:type="spellEnd"/>
      <w:r w:rsidRPr="00E14EE6">
        <w:rPr>
          <w:i/>
          <w:iCs/>
        </w:rPr>
        <w:t xml:space="preserve"> República </w:t>
      </w:r>
      <w:proofErr w:type="spellStart"/>
      <w:r w:rsidRPr="00E14EE6">
        <w:rPr>
          <w:i/>
          <w:iCs/>
        </w:rPr>
        <w:t>Dominicana</w:t>
      </w:r>
      <w:proofErr w:type="spellEnd"/>
      <w:r w:rsidRPr="00E14EE6">
        <w:t xml:space="preserve">. Viewed at: </w:t>
      </w:r>
      <w:hyperlink r:id="rId24" w:history="1">
        <w:r w:rsidRPr="00E14EE6">
          <w:rPr>
            <w:rStyle w:val="Hyperlink"/>
          </w:rPr>
          <w:t>https://www.bancentral.gov.do/a/d/4036-estrategia-metas-de-inflacion</w:t>
        </w:r>
      </w:hyperlink>
      <w:r w:rsidRPr="00E14EE6">
        <w:t>.</w:t>
      </w:r>
    </w:p>
  </w:footnote>
  <w:footnote w:id="30">
    <w:p w14:paraId="13A6E3BC" w14:textId="79900F85" w:rsidR="00E14EE6" w:rsidRDefault="00E14EE6">
      <w:pPr>
        <w:pStyle w:val="FootnoteText"/>
      </w:pPr>
      <w:r>
        <w:rPr>
          <w:rStyle w:val="FootnoteReference"/>
        </w:rPr>
        <w:footnoteRef/>
      </w:r>
      <w:r>
        <w:t xml:space="preserve"> </w:t>
      </w:r>
      <w:r w:rsidRPr="00E14EE6">
        <w:t xml:space="preserve">Information provided by the </w:t>
      </w:r>
      <w:proofErr w:type="spellStart"/>
      <w:r w:rsidRPr="00E14EE6">
        <w:t>BCRD</w:t>
      </w:r>
      <w:proofErr w:type="spellEnd"/>
      <w:r w:rsidRPr="00E14EE6">
        <w:t>.</w:t>
      </w:r>
    </w:p>
  </w:footnote>
  <w:footnote w:id="31">
    <w:p w14:paraId="6559B7BF" w14:textId="2AD94C94" w:rsidR="00E14EE6" w:rsidRDefault="00E14EE6">
      <w:pPr>
        <w:pStyle w:val="FootnoteText"/>
      </w:pPr>
      <w:r>
        <w:rPr>
          <w:rStyle w:val="FootnoteReference"/>
        </w:rPr>
        <w:footnoteRef/>
      </w:r>
      <w:r>
        <w:t xml:space="preserve"> </w:t>
      </w:r>
      <w:r w:rsidRPr="00E14EE6">
        <w:t xml:space="preserve">Information provided by the </w:t>
      </w:r>
      <w:proofErr w:type="spellStart"/>
      <w:r w:rsidRPr="00E14EE6">
        <w:t>BCRD</w:t>
      </w:r>
      <w:proofErr w:type="spellEnd"/>
      <w:r w:rsidRPr="00E14EE6">
        <w:t>.</w:t>
      </w:r>
    </w:p>
  </w:footnote>
  <w:footnote w:id="32">
    <w:p w14:paraId="57C49C70" w14:textId="79154DD7" w:rsidR="00E14EE6" w:rsidRDefault="00E14EE6">
      <w:pPr>
        <w:pStyle w:val="FootnoteText"/>
      </w:pPr>
      <w:r>
        <w:rPr>
          <w:rStyle w:val="FootnoteReference"/>
        </w:rPr>
        <w:footnoteRef/>
      </w:r>
      <w:r>
        <w:t xml:space="preserve"> </w:t>
      </w:r>
      <w:r w:rsidRPr="00E14EE6">
        <w:t>These measures included the following: DOP 20,000 million through the 360-day repo; DOP</w:t>
      </w:r>
      <w:r w:rsidR="00FC4069">
        <w:t> </w:t>
      </w:r>
      <w:r w:rsidRPr="00E14EE6">
        <w:t>100,</w:t>
      </w:r>
      <w:r w:rsidRPr="00FC4069">
        <w:t>000</w:t>
      </w:r>
      <w:r w:rsidR="00FC4069">
        <w:t> </w:t>
      </w:r>
      <w:r w:rsidRPr="00FC4069">
        <w:t>million</w:t>
      </w:r>
      <w:r w:rsidRPr="00E14EE6">
        <w:t xml:space="preserve"> through the rapid liquidity facility; DOP 20,000 million through the liquidity facility for financing the tourism, export, construction and manufacturing sectors; DOP 30,133.4 million through the release of reserve requirement resources; and DOP 20,681 million for financing for MSMEs through the release of reserve requirement resources and repurchase agreements. Information provided by the Dominican authorities.</w:t>
      </w:r>
    </w:p>
  </w:footnote>
  <w:footnote w:id="33">
    <w:p w14:paraId="61A736E5" w14:textId="1D44B186" w:rsidR="00E14EE6" w:rsidRDefault="00E14EE6">
      <w:pPr>
        <w:pStyle w:val="FootnoteText"/>
      </w:pPr>
      <w:r>
        <w:rPr>
          <w:rStyle w:val="FootnoteReference"/>
        </w:rPr>
        <w:footnoteRef/>
      </w:r>
      <w:r>
        <w:t xml:space="preserve"> </w:t>
      </w:r>
      <w:r w:rsidRPr="00E14EE6">
        <w:t xml:space="preserve">Information provided by the authorities and </w:t>
      </w:r>
      <w:proofErr w:type="spellStart"/>
      <w:r w:rsidRPr="00E14EE6">
        <w:t>BCRD</w:t>
      </w:r>
      <w:proofErr w:type="spellEnd"/>
      <w:r w:rsidRPr="00E14EE6">
        <w:t xml:space="preserve"> (2022), </w:t>
      </w:r>
      <w:r w:rsidRPr="00E14EE6">
        <w:rPr>
          <w:i/>
          <w:iCs/>
        </w:rPr>
        <w:t xml:space="preserve">Informe de Política </w:t>
      </w:r>
      <w:proofErr w:type="spellStart"/>
      <w:r w:rsidRPr="00E14EE6">
        <w:rPr>
          <w:i/>
          <w:iCs/>
        </w:rPr>
        <w:t>Monetaria</w:t>
      </w:r>
      <w:proofErr w:type="spellEnd"/>
      <w:r w:rsidRPr="00E14EE6">
        <w:t>, December</w:t>
      </w:r>
      <w:r w:rsidR="00C5302C">
        <w:t> </w:t>
      </w:r>
      <w:r w:rsidRPr="00E14EE6">
        <w:t xml:space="preserve">2021. Viewed at: </w:t>
      </w:r>
      <w:hyperlink r:id="rId25" w:history="1">
        <w:r w:rsidRPr="00E14EE6">
          <w:rPr>
            <w:rStyle w:val="Hyperlink"/>
          </w:rPr>
          <w:t>https://www.bancentral.gov.do/Publicaciones/Consulta</w:t>
        </w:r>
      </w:hyperlink>
      <w:r w:rsidRPr="00E14EE6">
        <w:t xml:space="preserve"> and </w:t>
      </w:r>
      <w:proofErr w:type="spellStart"/>
      <w:r w:rsidRPr="00E14EE6">
        <w:t>BCRD</w:t>
      </w:r>
      <w:proofErr w:type="spellEnd"/>
      <w:r w:rsidRPr="00E14EE6">
        <w:t xml:space="preserve"> (2022), </w:t>
      </w:r>
      <w:r w:rsidRPr="00E14EE6">
        <w:rPr>
          <w:i/>
          <w:iCs/>
        </w:rPr>
        <w:t xml:space="preserve">Informe de Política </w:t>
      </w:r>
      <w:proofErr w:type="spellStart"/>
      <w:r w:rsidRPr="00E14EE6">
        <w:rPr>
          <w:i/>
          <w:iCs/>
        </w:rPr>
        <w:t>Monetaria</w:t>
      </w:r>
      <w:proofErr w:type="spellEnd"/>
      <w:r w:rsidRPr="00E14EE6">
        <w:t xml:space="preserve">, June 2022. Viewed at: </w:t>
      </w:r>
      <w:hyperlink r:id="rId26" w:history="1">
        <w:r w:rsidRPr="00E14EE6">
          <w:rPr>
            <w:rStyle w:val="Hyperlink"/>
          </w:rPr>
          <w:t>https://www.bancentral.gov.do/Publicaciones/Consulta</w:t>
        </w:r>
      </w:hyperlink>
      <w:r w:rsidRPr="00E14EE6">
        <w:t>.</w:t>
      </w:r>
    </w:p>
  </w:footnote>
  <w:footnote w:id="34">
    <w:p w14:paraId="1632E8B9" w14:textId="15D80101" w:rsidR="00E14EE6" w:rsidRDefault="00E14EE6">
      <w:pPr>
        <w:pStyle w:val="FootnoteText"/>
      </w:pPr>
      <w:r>
        <w:rPr>
          <w:rStyle w:val="FootnoteReference"/>
        </w:rPr>
        <w:footnoteRef/>
      </w:r>
      <w:r>
        <w:t xml:space="preserve"> </w:t>
      </w:r>
      <w:r w:rsidRPr="00E14EE6">
        <w:t>The groups that had the greatest impact on cumulative inflation were food and non-alcoholic beverages (3.35</w:t>
      </w:r>
      <w:r>
        <w:t>%</w:t>
      </w:r>
      <w:r w:rsidRPr="00E14EE6">
        <w:t>), transport (3.56</w:t>
      </w:r>
      <w:r>
        <w:t>%</w:t>
      </w:r>
      <w:r w:rsidRPr="00E14EE6">
        <w:t>), housing (4.37</w:t>
      </w:r>
      <w:r>
        <w:t>%</w:t>
      </w:r>
      <w:r w:rsidRPr="00E14EE6">
        <w:t>), miscellaneous goods and services (2.59</w:t>
      </w:r>
      <w:r>
        <w:t>%</w:t>
      </w:r>
      <w:r w:rsidRPr="00E14EE6">
        <w:t>) and restaurants and hotels (2.41</w:t>
      </w:r>
      <w:r>
        <w:t>%</w:t>
      </w:r>
      <w:r w:rsidRPr="00E14EE6">
        <w:t>), which collectively accounted for 89.23</w:t>
      </w:r>
      <w:r>
        <w:t>%</w:t>
      </w:r>
      <w:r w:rsidRPr="00E14EE6">
        <w:t xml:space="preserve"> of the variation in the index during the period. </w:t>
      </w:r>
      <w:proofErr w:type="spellStart"/>
      <w:r w:rsidRPr="00E14EE6">
        <w:t>BCRD</w:t>
      </w:r>
      <w:proofErr w:type="spellEnd"/>
      <w:r w:rsidRPr="00E14EE6">
        <w:t xml:space="preserve"> (2022), </w:t>
      </w:r>
      <w:r w:rsidRPr="00E14EE6">
        <w:rPr>
          <w:i/>
          <w:iCs/>
        </w:rPr>
        <w:t xml:space="preserve">Informe de Política </w:t>
      </w:r>
      <w:proofErr w:type="spellStart"/>
      <w:r w:rsidRPr="00E14EE6">
        <w:rPr>
          <w:i/>
          <w:iCs/>
        </w:rPr>
        <w:t>Monetaria</w:t>
      </w:r>
      <w:proofErr w:type="spellEnd"/>
      <w:r w:rsidRPr="00E14EE6">
        <w:t xml:space="preserve">, June 2022. Viewed at: </w:t>
      </w:r>
      <w:hyperlink r:id="rId27" w:history="1">
        <w:r w:rsidRPr="00E14EE6">
          <w:rPr>
            <w:rStyle w:val="Hyperlink"/>
          </w:rPr>
          <w:t>https://www.bancentral.gov.do/Publicaciones/Consulta</w:t>
        </w:r>
      </w:hyperlink>
      <w:r w:rsidRPr="00E14EE6">
        <w:t>.</w:t>
      </w:r>
    </w:p>
  </w:footnote>
  <w:footnote w:id="35">
    <w:p w14:paraId="779C933A" w14:textId="127A83A2" w:rsidR="00E14EE6" w:rsidRDefault="00E14EE6">
      <w:pPr>
        <w:pStyle w:val="FootnoteText"/>
      </w:pPr>
      <w:r>
        <w:rPr>
          <w:rStyle w:val="FootnoteReference"/>
        </w:rPr>
        <w:footnoteRef/>
      </w:r>
      <w:r>
        <w:t xml:space="preserve"> </w:t>
      </w:r>
      <w:proofErr w:type="spellStart"/>
      <w:r w:rsidRPr="00E14EE6">
        <w:t>BCRD</w:t>
      </w:r>
      <w:proofErr w:type="spellEnd"/>
      <w:r w:rsidRPr="00E14EE6">
        <w:t xml:space="preserve"> (2022), </w:t>
      </w:r>
      <w:r w:rsidRPr="00E14EE6">
        <w:rPr>
          <w:i/>
          <w:iCs/>
        </w:rPr>
        <w:t xml:space="preserve">Informe de Política </w:t>
      </w:r>
      <w:proofErr w:type="spellStart"/>
      <w:r w:rsidRPr="00E14EE6">
        <w:rPr>
          <w:i/>
          <w:iCs/>
        </w:rPr>
        <w:t>Monetaria</w:t>
      </w:r>
      <w:proofErr w:type="spellEnd"/>
      <w:r w:rsidRPr="00E14EE6">
        <w:t xml:space="preserve">, June 2022. Viewed at: </w:t>
      </w:r>
      <w:hyperlink r:id="rId28" w:history="1">
        <w:r w:rsidRPr="00E14EE6">
          <w:rPr>
            <w:rStyle w:val="Hyperlink"/>
          </w:rPr>
          <w:t>https://www.bancentral.gov.do/Publicaciones/Consulta</w:t>
        </w:r>
      </w:hyperlink>
      <w:r w:rsidRPr="00E14EE6">
        <w:t>.</w:t>
      </w:r>
    </w:p>
  </w:footnote>
  <w:footnote w:id="36">
    <w:p w14:paraId="3A194E05" w14:textId="5493D11A" w:rsidR="00E14EE6" w:rsidRDefault="00E14EE6">
      <w:pPr>
        <w:pStyle w:val="FootnoteText"/>
      </w:pPr>
      <w:r>
        <w:rPr>
          <w:rStyle w:val="FootnoteReference"/>
        </w:rPr>
        <w:footnoteRef/>
      </w:r>
      <w:r>
        <w:t xml:space="preserve"> </w:t>
      </w:r>
      <w:proofErr w:type="spellStart"/>
      <w:r w:rsidRPr="00E14EE6">
        <w:t>BCRD</w:t>
      </w:r>
      <w:proofErr w:type="spellEnd"/>
      <w:r w:rsidRPr="00E14EE6">
        <w:t xml:space="preserve"> (2022), </w:t>
      </w:r>
      <w:r w:rsidRPr="00E14EE6">
        <w:rPr>
          <w:i/>
          <w:iCs/>
        </w:rPr>
        <w:t xml:space="preserve">Informe de Política </w:t>
      </w:r>
      <w:proofErr w:type="spellStart"/>
      <w:r w:rsidRPr="00E14EE6">
        <w:rPr>
          <w:i/>
          <w:iCs/>
        </w:rPr>
        <w:t>Monetaria</w:t>
      </w:r>
      <w:proofErr w:type="spellEnd"/>
      <w:r w:rsidRPr="00E14EE6">
        <w:t xml:space="preserve">, June 2022. Viewed at: </w:t>
      </w:r>
      <w:hyperlink r:id="rId29" w:history="1">
        <w:r w:rsidRPr="00E14EE6">
          <w:rPr>
            <w:rStyle w:val="Hyperlink"/>
          </w:rPr>
          <w:t>https://www.bancentral.gov.do/Publicaciones/Consulta</w:t>
        </w:r>
      </w:hyperlink>
      <w:r w:rsidRPr="00E14EE6">
        <w:t>.</w:t>
      </w:r>
    </w:p>
  </w:footnote>
  <w:footnote w:id="37">
    <w:p w14:paraId="01FA1932" w14:textId="030E9C11" w:rsidR="00E14EE6" w:rsidRDefault="00E14EE6">
      <w:pPr>
        <w:pStyle w:val="FootnoteText"/>
      </w:pPr>
      <w:r>
        <w:rPr>
          <w:rStyle w:val="FootnoteReference"/>
        </w:rPr>
        <w:footnoteRef/>
      </w:r>
      <w:r>
        <w:t xml:space="preserve"> </w:t>
      </w:r>
      <w:r w:rsidRPr="00E14EE6">
        <w:t xml:space="preserve">The authorities noted that in August 2021, in order to strengthen the </w:t>
      </w:r>
      <w:proofErr w:type="spellStart"/>
      <w:r w:rsidRPr="00E14EE6">
        <w:t>BCRD's</w:t>
      </w:r>
      <w:proofErr w:type="spellEnd"/>
      <w:r w:rsidRPr="00E14EE6">
        <w:t xml:space="preserve"> international reserves, the IMF allocated 457.56 million special drawing rights (</w:t>
      </w:r>
      <w:proofErr w:type="spellStart"/>
      <w:r w:rsidRPr="00E14EE6">
        <w:t>SDRs</w:t>
      </w:r>
      <w:proofErr w:type="spellEnd"/>
      <w:r w:rsidRPr="00E14EE6">
        <w:t>), equivalent to USD 649.05 million, to the Dominican</w:t>
      </w:r>
      <w:r w:rsidR="005A399E">
        <w:t> </w:t>
      </w:r>
      <w:r w:rsidRPr="00E14EE6">
        <w:t xml:space="preserve">Republic. In addition to increasing reserves and building confidence, the purpose of the </w:t>
      </w:r>
      <w:proofErr w:type="spellStart"/>
      <w:r w:rsidRPr="00E14EE6">
        <w:t>SDR</w:t>
      </w:r>
      <w:proofErr w:type="spellEnd"/>
      <w:r w:rsidR="00382C40">
        <w:t> </w:t>
      </w:r>
      <w:r w:rsidRPr="00E14EE6">
        <w:t xml:space="preserve">allocation was to contribute to exchange market stability and reduce the pass-through of exchange rate fluctuations to inflation. </w:t>
      </w:r>
      <w:proofErr w:type="spellStart"/>
      <w:r w:rsidRPr="00E14EE6">
        <w:t>SDRs</w:t>
      </w:r>
      <w:proofErr w:type="spellEnd"/>
      <w:r w:rsidRPr="00E14EE6">
        <w:t xml:space="preserve"> were credited to IMF signatory countries on the basis of their quotas; the Dominican</w:t>
      </w:r>
      <w:r w:rsidR="005A399E">
        <w:t> </w:t>
      </w:r>
      <w:r w:rsidRPr="00E14EE6">
        <w:t>Republic holds 0.1</w:t>
      </w:r>
      <w:r>
        <w:t>%</w:t>
      </w:r>
      <w:r w:rsidRPr="00E14EE6">
        <w:t xml:space="preserve"> of the total quota, amounting to </w:t>
      </w:r>
      <w:proofErr w:type="spellStart"/>
      <w:r w:rsidRPr="00E14EE6">
        <w:t>SDR</w:t>
      </w:r>
      <w:proofErr w:type="spellEnd"/>
      <w:r w:rsidRPr="00E14EE6">
        <w:t xml:space="preserve"> 457.56 million.</w:t>
      </w:r>
    </w:p>
  </w:footnote>
  <w:footnote w:id="38">
    <w:p w14:paraId="18A2782D" w14:textId="61EC9FA0" w:rsidR="00E14EE6" w:rsidRDefault="00E14EE6">
      <w:pPr>
        <w:pStyle w:val="FootnoteText"/>
      </w:pPr>
      <w:r>
        <w:rPr>
          <w:rStyle w:val="FootnoteReference"/>
        </w:rPr>
        <w:footnoteRef/>
      </w:r>
      <w:r>
        <w:t xml:space="preserve"> </w:t>
      </w:r>
      <w:proofErr w:type="spellStart"/>
      <w:r w:rsidRPr="00E14EE6">
        <w:t>BCRD</w:t>
      </w:r>
      <w:proofErr w:type="spellEnd"/>
      <w:r w:rsidRPr="00E14EE6">
        <w:t xml:space="preserve"> (2022), </w:t>
      </w:r>
      <w:r w:rsidRPr="00E14EE6">
        <w:rPr>
          <w:i/>
          <w:iCs/>
        </w:rPr>
        <w:t xml:space="preserve">Informe de Política </w:t>
      </w:r>
      <w:proofErr w:type="spellStart"/>
      <w:r w:rsidRPr="00E14EE6">
        <w:rPr>
          <w:i/>
          <w:iCs/>
        </w:rPr>
        <w:t>Monetaria</w:t>
      </w:r>
      <w:proofErr w:type="spellEnd"/>
      <w:r w:rsidRPr="00E14EE6">
        <w:t xml:space="preserve">, June 2022. Viewed at: </w:t>
      </w:r>
      <w:hyperlink r:id="rId30" w:history="1">
        <w:r w:rsidRPr="00E14EE6">
          <w:rPr>
            <w:rStyle w:val="Hyperlink"/>
          </w:rPr>
          <w:t>https://www.bancentral.gov.do/Publicaciones/Consulta</w:t>
        </w:r>
      </w:hyperlink>
      <w:r w:rsidRPr="00E14EE6">
        <w:t>.</w:t>
      </w:r>
    </w:p>
  </w:footnote>
  <w:footnote w:id="39">
    <w:p w14:paraId="6E17B70C" w14:textId="2F162714" w:rsidR="00E14EE6" w:rsidRDefault="00E14EE6">
      <w:pPr>
        <w:pStyle w:val="FootnoteText"/>
      </w:pPr>
      <w:r>
        <w:rPr>
          <w:rStyle w:val="FootnoteReference"/>
        </w:rPr>
        <w:footnoteRef/>
      </w:r>
      <w:r>
        <w:t xml:space="preserve"> </w:t>
      </w:r>
      <w:r w:rsidRPr="00E14EE6">
        <w:t>This subsection is based on calculations made by the WTO Secretariat, using data on goods imports (f.o.b.) and exports (f.o.b.) provided by the Dominican authorities.</w:t>
      </w:r>
    </w:p>
  </w:footnote>
  <w:footnote w:id="40">
    <w:p w14:paraId="6EA3B56A" w14:textId="77777777" w:rsidR="006C6BEF" w:rsidRDefault="006C6BEF">
      <w:pPr>
        <w:pStyle w:val="FootnoteText"/>
      </w:pPr>
      <w:r>
        <w:rPr>
          <w:rStyle w:val="FootnoteReference"/>
        </w:rPr>
        <w:footnoteRef/>
      </w:r>
      <w:r>
        <w:t xml:space="preserve"> </w:t>
      </w:r>
      <w:r w:rsidRPr="0030249D">
        <w:t>Presidential and legislative elections are held at the same time; the latter were held in 2020.</w:t>
      </w:r>
    </w:p>
  </w:footnote>
  <w:footnote w:id="41">
    <w:p w14:paraId="19739F84" w14:textId="77777777" w:rsidR="006C6BEF" w:rsidRDefault="006C6BEF">
      <w:pPr>
        <w:pStyle w:val="FootnoteText"/>
      </w:pPr>
      <w:r>
        <w:rPr>
          <w:rStyle w:val="FootnoteReference"/>
        </w:rPr>
        <w:footnoteRef/>
      </w:r>
      <w:r>
        <w:t xml:space="preserve"> </w:t>
      </w:r>
      <w:r w:rsidRPr="0030249D">
        <w:t>Article 124 of the Constitution.</w:t>
      </w:r>
    </w:p>
  </w:footnote>
  <w:footnote w:id="42">
    <w:p w14:paraId="03BB561C" w14:textId="77777777" w:rsidR="006C6BEF" w:rsidRDefault="006C6BEF">
      <w:pPr>
        <w:pStyle w:val="FootnoteText"/>
      </w:pPr>
      <w:r>
        <w:rPr>
          <w:rStyle w:val="FootnoteReference"/>
        </w:rPr>
        <w:footnoteRef/>
      </w:r>
      <w:r>
        <w:t xml:space="preserve"> </w:t>
      </w:r>
      <w:r w:rsidRPr="0030249D">
        <w:t xml:space="preserve">Constitutional Court. Viewed at: </w:t>
      </w:r>
      <w:hyperlink r:id="rId31" w:history="1">
        <w:r w:rsidRPr="0030249D">
          <w:rPr>
            <w:rStyle w:val="Hyperlink"/>
          </w:rPr>
          <w:t>https://www.tribunalconstitucional.gob.do/sobre-el-tc/sobre-nosotros/quiénes-somos</w:t>
        </w:r>
      </w:hyperlink>
      <w:r w:rsidRPr="0030249D">
        <w:t>.</w:t>
      </w:r>
    </w:p>
  </w:footnote>
  <w:footnote w:id="43">
    <w:p w14:paraId="44E32AC4" w14:textId="77777777" w:rsidR="006C6BEF" w:rsidRDefault="006C6BEF">
      <w:pPr>
        <w:pStyle w:val="FootnoteText"/>
      </w:pPr>
      <w:r>
        <w:rPr>
          <w:rStyle w:val="FootnoteReference"/>
        </w:rPr>
        <w:footnoteRef/>
      </w:r>
      <w:r>
        <w:t xml:space="preserve"> </w:t>
      </w:r>
      <w:r w:rsidRPr="0030249D">
        <w:t>Law No. 37-17 and Law No. 160-21.</w:t>
      </w:r>
    </w:p>
  </w:footnote>
  <w:footnote w:id="44">
    <w:p w14:paraId="59EC7CB0" w14:textId="77777777" w:rsidR="006C6BEF" w:rsidRDefault="006C6BEF">
      <w:pPr>
        <w:pStyle w:val="FootnoteText"/>
      </w:pPr>
      <w:r>
        <w:rPr>
          <w:rStyle w:val="FootnoteReference"/>
        </w:rPr>
        <w:footnoteRef/>
      </w:r>
      <w:r>
        <w:t xml:space="preserve"> </w:t>
      </w:r>
      <w:r w:rsidRPr="0030249D">
        <w:t>Administrative Office of the President (</w:t>
      </w:r>
      <w:proofErr w:type="spellStart"/>
      <w:r w:rsidRPr="0030249D">
        <w:t>MAPRE</w:t>
      </w:r>
      <w:proofErr w:type="spellEnd"/>
      <w:r w:rsidRPr="0030249D">
        <w:t>), Ministry of Public Administration (MAP), Ministry of Agriculture (MA), Ministry of Culture (</w:t>
      </w:r>
      <w:proofErr w:type="spellStart"/>
      <w:r w:rsidRPr="0030249D">
        <w:t>MINC</w:t>
      </w:r>
      <w:proofErr w:type="spellEnd"/>
      <w:r w:rsidRPr="0030249D">
        <w:t>), Ministry of Defence (</w:t>
      </w:r>
      <w:proofErr w:type="spellStart"/>
      <w:r w:rsidRPr="0030249D">
        <w:t>MIDE</w:t>
      </w:r>
      <w:proofErr w:type="spellEnd"/>
      <w:r w:rsidRPr="0030249D">
        <w:t>), Ministry of Sports and Recreation (</w:t>
      </w:r>
      <w:proofErr w:type="spellStart"/>
      <w:r w:rsidRPr="0030249D">
        <w:t>MIDEREC</w:t>
      </w:r>
      <w:proofErr w:type="spellEnd"/>
      <w:r w:rsidRPr="0030249D">
        <w:t>),Ministry of Economic Affairs, Planning and Development (</w:t>
      </w:r>
      <w:proofErr w:type="spellStart"/>
      <w:r w:rsidRPr="0030249D">
        <w:t>MEPyD</w:t>
      </w:r>
      <w:proofErr w:type="spellEnd"/>
      <w:r w:rsidRPr="0030249D">
        <w:t>), Ministry of Education (</w:t>
      </w:r>
      <w:proofErr w:type="spellStart"/>
      <w:r w:rsidRPr="0030249D">
        <w:t>MINERD</w:t>
      </w:r>
      <w:proofErr w:type="spellEnd"/>
      <w:r w:rsidRPr="0030249D">
        <w:t>), Ministry of Higher Education, Science and Technology (</w:t>
      </w:r>
      <w:proofErr w:type="spellStart"/>
      <w:r w:rsidRPr="0030249D">
        <w:t>MESCYT</w:t>
      </w:r>
      <w:proofErr w:type="spellEnd"/>
      <w:r w:rsidRPr="0030249D">
        <w:t>), Ministry of Energy and Mining (MEM), Ministry of Finance (MH), Ministry of Industry, Trade and MSMEs (</w:t>
      </w:r>
      <w:proofErr w:type="spellStart"/>
      <w:r w:rsidRPr="0030249D">
        <w:t>MICM</w:t>
      </w:r>
      <w:proofErr w:type="spellEnd"/>
      <w:r w:rsidRPr="0030249D">
        <w:t>), Ministry of the Interior and the Police (MIP), Ministry of Youth (MJ), Ministry of Women's Affairs (</w:t>
      </w:r>
      <w:proofErr w:type="spellStart"/>
      <w:r w:rsidRPr="0030249D">
        <w:t>MMUJER</w:t>
      </w:r>
      <w:proofErr w:type="spellEnd"/>
      <w:r w:rsidRPr="0030249D">
        <w:t>), Ministry of Presidential Affairs (</w:t>
      </w:r>
      <w:proofErr w:type="spellStart"/>
      <w:r w:rsidRPr="0030249D">
        <w:t>MINPRE</w:t>
      </w:r>
      <w:proofErr w:type="spellEnd"/>
      <w:r w:rsidRPr="0030249D">
        <w:t>), Ministry of Housing, Habitat and Buildings (</w:t>
      </w:r>
      <w:proofErr w:type="spellStart"/>
      <w:r w:rsidRPr="0030249D">
        <w:t>MIVHED</w:t>
      </w:r>
      <w:proofErr w:type="spellEnd"/>
      <w:r w:rsidRPr="0030249D">
        <w:t>), Ministry of the Environment and Natural Resources (</w:t>
      </w:r>
      <w:proofErr w:type="spellStart"/>
      <w:r w:rsidRPr="0030249D">
        <w:t>MARENA</w:t>
      </w:r>
      <w:proofErr w:type="spellEnd"/>
      <w:r w:rsidRPr="0030249D">
        <w:t>), Ministry of Public Works and Communications (</w:t>
      </w:r>
      <w:proofErr w:type="spellStart"/>
      <w:r w:rsidRPr="0030249D">
        <w:t>MOPC</w:t>
      </w:r>
      <w:proofErr w:type="spellEnd"/>
      <w:r w:rsidRPr="0030249D">
        <w:t>), Ministry of Foreign Affairs (</w:t>
      </w:r>
      <w:proofErr w:type="spellStart"/>
      <w:r w:rsidRPr="0030249D">
        <w:t>MIREX</w:t>
      </w:r>
      <w:proofErr w:type="spellEnd"/>
      <w:r w:rsidRPr="0030249D">
        <w:t xml:space="preserve">), Ministry of Public Health and Social </w:t>
      </w:r>
      <w:r>
        <w:t>Assistance</w:t>
      </w:r>
      <w:r w:rsidRPr="0030249D">
        <w:t xml:space="preserve"> (</w:t>
      </w:r>
      <w:proofErr w:type="spellStart"/>
      <w:r w:rsidRPr="0030249D">
        <w:t>MISPAS</w:t>
      </w:r>
      <w:proofErr w:type="spellEnd"/>
      <w:r w:rsidRPr="0030249D">
        <w:t>), Ministry of Labour (MIT) and Ministry of Tourism (</w:t>
      </w:r>
      <w:proofErr w:type="spellStart"/>
      <w:r w:rsidRPr="0030249D">
        <w:t>MITUR</w:t>
      </w:r>
      <w:proofErr w:type="spellEnd"/>
      <w:r w:rsidRPr="0030249D">
        <w:t>).</w:t>
      </w:r>
    </w:p>
  </w:footnote>
  <w:footnote w:id="45">
    <w:p w14:paraId="607863D2" w14:textId="77777777" w:rsidR="006C6BEF" w:rsidRDefault="006C6BEF">
      <w:pPr>
        <w:pStyle w:val="FootnoteText"/>
      </w:pPr>
      <w:r>
        <w:rPr>
          <w:rStyle w:val="FootnoteReference"/>
        </w:rPr>
        <w:footnoteRef/>
      </w:r>
      <w:r>
        <w:t xml:space="preserve"> </w:t>
      </w:r>
      <w:r w:rsidRPr="0030249D">
        <w:t>Article 198 of the Constitution.</w:t>
      </w:r>
    </w:p>
  </w:footnote>
  <w:footnote w:id="46">
    <w:p w14:paraId="059A611C" w14:textId="77777777" w:rsidR="006C6BEF" w:rsidRDefault="006C6BEF">
      <w:pPr>
        <w:pStyle w:val="FootnoteText"/>
      </w:pPr>
      <w:r>
        <w:rPr>
          <w:rStyle w:val="FootnoteReference"/>
        </w:rPr>
        <w:footnoteRef/>
      </w:r>
      <w:r>
        <w:t xml:space="preserve"> </w:t>
      </w:r>
      <w:r w:rsidRPr="0030249D">
        <w:t>Information provided by the authorities.</w:t>
      </w:r>
    </w:p>
  </w:footnote>
  <w:footnote w:id="47">
    <w:p w14:paraId="0E8C1F47" w14:textId="77777777" w:rsidR="006C6BEF" w:rsidRDefault="006C6BEF">
      <w:pPr>
        <w:pStyle w:val="FootnoteText"/>
      </w:pPr>
      <w:r>
        <w:rPr>
          <w:rStyle w:val="FootnoteReference"/>
        </w:rPr>
        <w:footnoteRef/>
      </w:r>
      <w:r>
        <w:t xml:space="preserve"> </w:t>
      </w:r>
      <w:r w:rsidRPr="0030249D">
        <w:t>Article 74(3) of the Constitution.</w:t>
      </w:r>
    </w:p>
  </w:footnote>
  <w:footnote w:id="48">
    <w:p w14:paraId="3098B1CC" w14:textId="77777777" w:rsidR="006C6BEF" w:rsidRDefault="006C6BEF">
      <w:pPr>
        <w:pStyle w:val="FootnoteText"/>
      </w:pPr>
      <w:r>
        <w:rPr>
          <w:rStyle w:val="FootnoteReference"/>
        </w:rPr>
        <w:footnoteRef/>
      </w:r>
      <w:r>
        <w:t xml:space="preserve"> </w:t>
      </w:r>
      <w:r w:rsidRPr="0030249D">
        <w:t xml:space="preserve">The legislation is available at: </w:t>
      </w:r>
      <w:hyperlink r:id="rId32" w:history="1">
        <w:r w:rsidRPr="0030249D">
          <w:rPr>
            <w:rStyle w:val="Hyperlink"/>
          </w:rPr>
          <w:t>http://www.consultoria.gov.do/consulta</w:t>
        </w:r>
      </w:hyperlink>
      <w:r w:rsidRPr="0030249D">
        <w:t>.</w:t>
      </w:r>
    </w:p>
  </w:footnote>
  <w:footnote w:id="49">
    <w:p w14:paraId="6CE9B221" w14:textId="77777777" w:rsidR="006C6BEF" w:rsidRDefault="006C6BEF">
      <w:pPr>
        <w:pStyle w:val="FootnoteText"/>
      </w:pPr>
      <w:r>
        <w:rPr>
          <w:rStyle w:val="FootnoteReference"/>
        </w:rPr>
        <w:footnoteRef/>
      </w:r>
      <w:r>
        <w:t xml:space="preserve"> </w:t>
      </w:r>
      <w:r w:rsidRPr="0030249D">
        <w:t>According to Article 112 of the Constitution, organic laws are issued to regulate: fundamental rights; government structure and organization; the civil service; the electoral system; the economic and financial regime; the budget, planning and public investment; territorial organization; constitutional procedures; security and defence; matters explicitly provided for in the Constitution and others of a similar nature.</w:t>
      </w:r>
    </w:p>
  </w:footnote>
  <w:footnote w:id="50">
    <w:p w14:paraId="5C637FB7" w14:textId="77777777" w:rsidR="006C6BEF" w:rsidRDefault="006C6BEF">
      <w:pPr>
        <w:pStyle w:val="FootnoteText"/>
      </w:pPr>
      <w:r>
        <w:rPr>
          <w:rStyle w:val="FootnoteReference"/>
        </w:rPr>
        <w:footnoteRef/>
      </w:r>
      <w:r>
        <w:t xml:space="preserve"> </w:t>
      </w:r>
      <w:r w:rsidRPr="0030249D">
        <w:t>Article 67 of Law No. 42-08.</w:t>
      </w:r>
    </w:p>
  </w:footnote>
  <w:footnote w:id="51">
    <w:p w14:paraId="702786B0" w14:textId="70F4396B" w:rsidR="006C6BEF" w:rsidRDefault="006C6BEF">
      <w:pPr>
        <w:pStyle w:val="FootnoteText"/>
      </w:pPr>
      <w:r>
        <w:rPr>
          <w:rStyle w:val="FootnoteReference"/>
        </w:rPr>
        <w:footnoteRef/>
      </w:r>
      <w:r>
        <w:t xml:space="preserve"> </w:t>
      </w:r>
      <w:r w:rsidRPr="0030249D">
        <w:t xml:space="preserve">Government Legal Advisory Service. Viewed at: </w:t>
      </w:r>
      <w:hyperlink r:id="rId33" w:history="1">
        <w:r w:rsidRPr="0030249D">
          <w:rPr>
            <w:rStyle w:val="Hyperlink"/>
          </w:rPr>
          <w:t>http://www.consultoria.gov.do/consulta</w:t>
        </w:r>
      </w:hyperlink>
      <w:r w:rsidRPr="0030249D">
        <w:t>.</w:t>
      </w:r>
    </w:p>
  </w:footnote>
  <w:footnote w:id="52">
    <w:p w14:paraId="37670DC4" w14:textId="77777777" w:rsidR="006C6BEF" w:rsidRDefault="006C6BEF">
      <w:pPr>
        <w:pStyle w:val="FootnoteText"/>
      </w:pPr>
      <w:r>
        <w:rPr>
          <w:rStyle w:val="FootnoteReference"/>
        </w:rPr>
        <w:footnoteRef/>
      </w:r>
      <w:r>
        <w:t xml:space="preserve"> </w:t>
      </w:r>
      <w:r w:rsidRPr="0030249D">
        <w:t>Law No. 1-12.</w:t>
      </w:r>
    </w:p>
  </w:footnote>
  <w:footnote w:id="53">
    <w:p w14:paraId="0787ED8D" w14:textId="77777777" w:rsidR="006C6BEF" w:rsidRDefault="006C6BEF">
      <w:pPr>
        <w:pStyle w:val="FootnoteText"/>
      </w:pPr>
      <w:r>
        <w:rPr>
          <w:rStyle w:val="FootnoteReference"/>
        </w:rPr>
        <w:footnoteRef/>
      </w:r>
      <w:r>
        <w:t xml:space="preserve"> </w:t>
      </w:r>
      <w:r w:rsidRPr="0030249D">
        <w:t>National Export Development Plan (</w:t>
      </w:r>
      <w:proofErr w:type="spellStart"/>
      <w:r w:rsidRPr="0030249D">
        <w:t>PNFE</w:t>
      </w:r>
      <w:proofErr w:type="spellEnd"/>
      <w:r w:rsidRPr="0030249D">
        <w:t xml:space="preserve">) 2020–30, viewed at: </w:t>
      </w:r>
      <w:hyperlink r:id="rId34" w:history="1">
        <w:r w:rsidRPr="0030249D">
          <w:rPr>
            <w:rStyle w:val="Hyperlink"/>
          </w:rPr>
          <w:t>https://prodominicana.gob.do/Documentos/PD%20PNFERD%20W.pdf</w:t>
        </w:r>
      </w:hyperlink>
      <w:r w:rsidRPr="0030249D">
        <w:t>; and Decree No. 74-97, as amended by Decree</w:t>
      </w:r>
      <w:r>
        <w:t xml:space="preserve"> </w:t>
      </w:r>
      <w:r w:rsidRPr="0030249D">
        <w:t>No.</w:t>
      </w:r>
      <w:r>
        <w:t> </w:t>
      </w:r>
      <w:r w:rsidRPr="0030249D">
        <w:t>52-99.</w:t>
      </w:r>
    </w:p>
  </w:footnote>
  <w:footnote w:id="54">
    <w:p w14:paraId="04B0E96E" w14:textId="77777777" w:rsidR="006C6BEF" w:rsidRDefault="006C6BEF">
      <w:pPr>
        <w:pStyle w:val="FootnoteText"/>
      </w:pPr>
      <w:r>
        <w:rPr>
          <w:rStyle w:val="FootnoteReference"/>
        </w:rPr>
        <w:footnoteRef/>
      </w:r>
      <w:r>
        <w:t xml:space="preserve"> </w:t>
      </w:r>
      <w:r w:rsidRPr="0030249D">
        <w:t>Decrees No. 498-20 and No. 65-21.</w:t>
      </w:r>
    </w:p>
  </w:footnote>
  <w:footnote w:id="55">
    <w:p w14:paraId="11F7E513" w14:textId="77777777" w:rsidR="006C6BEF" w:rsidRDefault="006C6BEF">
      <w:pPr>
        <w:pStyle w:val="FootnoteText"/>
      </w:pPr>
      <w:r>
        <w:rPr>
          <w:rStyle w:val="FootnoteReference"/>
        </w:rPr>
        <w:footnoteRef/>
      </w:r>
      <w:r>
        <w:t xml:space="preserve"> </w:t>
      </w:r>
      <w:r w:rsidRPr="0030249D">
        <w:t>Decree No. 172-22.</w:t>
      </w:r>
    </w:p>
  </w:footnote>
  <w:footnote w:id="56">
    <w:p w14:paraId="6E1BC1A6" w14:textId="77777777" w:rsidR="006C6BEF" w:rsidRDefault="006C6BEF">
      <w:pPr>
        <w:pStyle w:val="FootnoteText"/>
      </w:pPr>
      <w:r>
        <w:rPr>
          <w:rStyle w:val="FootnoteReference"/>
        </w:rPr>
        <w:footnoteRef/>
      </w:r>
      <w:r>
        <w:t xml:space="preserve"> </w:t>
      </w:r>
      <w:r w:rsidRPr="0030249D">
        <w:t xml:space="preserve">Ministry of Economic Affairs, Planning and Development (2020), </w:t>
      </w:r>
      <w:r w:rsidRPr="0030249D">
        <w:rPr>
          <w:i/>
        </w:rPr>
        <w:t xml:space="preserve">Informe de </w:t>
      </w:r>
      <w:proofErr w:type="spellStart"/>
      <w:r w:rsidRPr="0030249D">
        <w:rPr>
          <w:i/>
        </w:rPr>
        <w:t>Mediano</w:t>
      </w:r>
      <w:proofErr w:type="spellEnd"/>
      <w:r w:rsidRPr="0030249D">
        <w:rPr>
          <w:i/>
        </w:rPr>
        <w:t xml:space="preserve"> </w:t>
      </w:r>
      <w:proofErr w:type="spellStart"/>
      <w:r w:rsidRPr="0030249D">
        <w:rPr>
          <w:i/>
        </w:rPr>
        <w:t>Plazo</w:t>
      </w:r>
      <w:proofErr w:type="spellEnd"/>
      <w:r w:rsidRPr="0030249D">
        <w:rPr>
          <w:i/>
        </w:rPr>
        <w:t xml:space="preserve"> </w:t>
      </w:r>
      <w:proofErr w:type="spellStart"/>
      <w:r w:rsidRPr="0030249D">
        <w:rPr>
          <w:i/>
        </w:rPr>
        <w:t>sobre</w:t>
      </w:r>
      <w:proofErr w:type="spellEnd"/>
      <w:r w:rsidRPr="0030249D">
        <w:rPr>
          <w:i/>
        </w:rPr>
        <w:t xml:space="preserve"> </w:t>
      </w:r>
      <w:proofErr w:type="spellStart"/>
      <w:r w:rsidRPr="0030249D">
        <w:rPr>
          <w:i/>
        </w:rPr>
        <w:t>el</w:t>
      </w:r>
      <w:proofErr w:type="spellEnd"/>
      <w:r w:rsidRPr="0030249D">
        <w:rPr>
          <w:i/>
        </w:rPr>
        <w:t xml:space="preserve"> </w:t>
      </w:r>
      <w:proofErr w:type="spellStart"/>
      <w:r w:rsidRPr="0030249D">
        <w:rPr>
          <w:i/>
        </w:rPr>
        <w:t>Avance</w:t>
      </w:r>
      <w:proofErr w:type="spellEnd"/>
      <w:r w:rsidRPr="0030249D">
        <w:rPr>
          <w:i/>
        </w:rPr>
        <w:t xml:space="preserve"> </w:t>
      </w:r>
      <w:proofErr w:type="spellStart"/>
      <w:r w:rsidRPr="0030249D">
        <w:rPr>
          <w:i/>
        </w:rPr>
        <w:t>en</w:t>
      </w:r>
      <w:proofErr w:type="spellEnd"/>
      <w:r w:rsidRPr="0030249D">
        <w:rPr>
          <w:i/>
        </w:rPr>
        <w:t xml:space="preserve"> </w:t>
      </w:r>
      <w:proofErr w:type="spellStart"/>
      <w:r w:rsidRPr="0030249D">
        <w:rPr>
          <w:i/>
        </w:rPr>
        <w:t>el</w:t>
      </w:r>
      <w:proofErr w:type="spellEnd"/>
      <w:r w:rsidRPr="0030249D">
        <w:rPr>
          <w:i/>
        </w:rPr>
        <w:t xml:space="preserve"> </w:t>
      </w:r>
      <w:proofErr w:type="spellStart"/>
      <w:r w:rsidRPr="0030249D">
        <w:rPr>
          <w:i/>
        </w:rPr>
        <w:t>Logro</w:t>
      </w:r>
      <w:proofErr w:type="spellEnd"/>
      <w:r w:rsidRPr="0030249D">
        <w:rPr>
          <w:i/>
        </w:rPr>
        <w:t xml:space="preserve"> de </w:t>
      </w:r>
      <w:proofErr w:type="spellStart"/>
      <w:r w:rsidRPr="0030249D">
        <w:rPr>
          <w:i/>
        </w:rPr>
        <w:t>los</w:t>
      </w:r>
      <w:proofErr w:type="spellEnd"/>
      <w:r w:rsidRPr="0030249D">
        <w:rPr>
          <w:i/>
        </w:rPr>
        <w:t xml:space="preserve"> </w:t>
      </w:r>
      <w:proofErr w:type="spellStart"/>
      <w:r w:rsidRPr="0030249D">
        <w:rPr>
          <w:i/>
        </w:rPr>
        <w:t>Objetivos</w:t>
      </w:r>
      <w:proofErr w:type="spellEnd"/>
      <w:r w:rsidRPr="0030249D">
        <w:rPr>
          <w:i/>
        </w:rPr>
        <w:t xml:space="preserve"> y Metas de la </w:t>
      </w:r>
      <w:proofErr w:type="spellStart"/>
      <w:r w:rsidRPr="0030249D">
        <w:rPr>
          <w:i/>
        </w:rPr>
        <w:t>Estrategia</w:t>
      </w:r>
      <w:proofErr w:type="spellEnd"/>
      <w:r w:rsidRPr="0030249D">
        <w:rPr>
          <w:i/>
        </w:rPr>
        <w:t xml:space="preserve"> Nacional de Desarrollo 2030</w:t>
      </w:r>
      <w:r w:rsidRPr="0030249D">
        <w:t xml:space="preserve">, public consultation document. Viewed at: </w:t>
      </w:r>
      <w:hyperlink r:id="rId35" w:history="1">
        <w:r w:rsidRPr="0030249D">
          <w:rPr>
            <w:rStyle w:val="Hyperlink"/>
          </w:rPr>
          <w:t>https://www.ces.gob.do/images/2020/Informe_de_Mediano_Plazo_Avance_Objetivos_y_Metas_END_2030.pdf</w:t>
        </w:r>
      </w:hyperlink>
      <w:r w:rsidRPr="0030249D">
        <w:t>.</w:t>
      </w:r>
    </w:p>
  </w:footnote>
  <w:footnote w:id="57">
    <w:p w14:paraId="39E0DC8A" w14:textId="77777777" w:rsidR="006C6BEF" w:rsidRDefault="006C6BEF">
      <w:pPr>
        <w:pStyle w:val="FootnoteText"/>
      </w:pPr>
      <w:r>
        <w:rPr>
          <w:rStyle w:val="FootnoteReference"/>
        </w:rPr>
        <w:footnoteRef/>
      </w:r>
      <w:r>
        <w:t xml:space="preserve"> </w:t>
      </w:r>
      <w:r w:rsidRPr="0030249D">
        <w:t>National Export Development Plan (</w:t>
      </w:r>
      <w:proofErr w:type="spellStart"/>
      <w:r w:rsidRPr="0030249D">
        <w:t>PNFE</w:t>
      </w:r>
      <w:proofErr w:type="spellEnd"/>
      <w:r w:rsidRPr="0030249D">
        <w:t>) 2020–30.</w:t>
      </w:r>
    </w:p>
  </w:footnote>
  <w:footnote w:id="58">
    <w:p w14:paraId="02796EE1" w14:textId="77777777" w:rsidR="006C6BEF" w:rsidRDefault="006C6BEF">
      <w:pPr>
        <w:pStyle w:val="FootnoteText"/>
      </w:pPr>
      <w:r>
        <w:rPr>
          <w:rStyle w:val="FootnoteReference"/>
        </w:rPr>
        <w:footnoteRef/>
      </w:r>
      <w:r>
        <w:t xml:space="preserve"> </w:t>
      </w:r>
      <w:proofErr w:type="spellStart"/>
      <w:r w:rsidRPr="0030249D">
        <w:t>BANDEX</w:t>
      </w:r>
      <w:proofErr w:type="spellEnd"/>
      <w:r w:rsidRPr="0030249D">
        <w:t xml:space="preserve"> (2021), </w:t>
      </w:r>
      <w:r w:rsidRPr="0030249D">
        <w:rPr>
          <w:i/>
        </w:rPr>
        <w:t xml:space="preserve">Memoria </w:t>
      </w:r>
      <w:proofErr w:type="spellStart"/>
      <w:r w:rsidRPr="0030249D">
        <w:rPr>
          <w:i/>
        </w:rPr>
        <w:t>Institucional</w:t>
      </w:r>
      <w:proofErr w:type="spellEnd"/>
      <w:r w:rsidRPr="0030249D">
        <w:rPr>
          <w:i/>
        </w:rPr>
        <w:t xml:space="preserve"> </w:t>
      </w:r>
      <w:proofErr w:type="spellStart"/>
      <w:r w:rsidRPr="0030249D">
        <w:rPr>
          <w:i/>
        </w:rPr>
        <w:t>Año</w:t>
      </w:r>
      <w:proofErr w:type="spellEnd"/>
      <w:r w:rsidRPr="0030249D">
        <w:rPr>
          <w:i/>
        </w:rPr>
        <w:t xml:space="preserve"> </w:t>
      </w:r>
      <w:r w:rsidRPr="00644941">
        <w:rPr>
          <w:i/>
        </w:rPr>
        <w:t>2021</w:t>
      </w:r>
      <w:r w:rsidRPr="0030249D">
        <w:t xml:space="preserve">. Viewed at: </w:t>
      </w:r>
      <w:hyperlink r:id="rId36" w:history="1">
        <w:r w:rsidRPr="0030249D">
          <w:rPr>
            <w:rStyle w:val="Hyperlink"/>
          </w:rPr>
          <w:t>https://memorias.minpre.gob.do/api/documents/2651/download</w:t>
        </w:r>
      </w:hyperlink>
      <w:r w:rsidRPr="0030249D">
        <w:t>.</w:t>
      </w:r>
    </w:p>
  </w:footnote>
  <w:footnote w:id="59">
    <w:p w14:paraId="079F71ED" w14:textId="77777777" w:rsidR="006C6BEF" w:rsidRDefault="006C6BEF">
      <w:pPr>
        <w:pStyle w:val="FootnoteText"/>
      </w:pPr>
      <w:r>
        <w:rPr>
          <w:rStyle w:val="FootnoteReference"/>
        </w:rPr>
        <w:footnoteRef/>
      </w:r>
      <w:r>
        <w:t xml:space="preserve"> </w:t>
      </w:r>
      <w:r w:rsidRPr="0030249D">
        <w:t>Information provided by the authorities.</w:t>
      </w:r>
    </w:p>
  </w:footnote>
  <w:footnote w:id="60">
    <w:p w14:paraId="0AE24FD2" w14:textId="77777777" w:rsidR="006C6BEF" w:rsidRDefault="006C6BEF">
      <w:pPr>
        <w:pStyle w:val="FootnoteText"/>
      </w:pPr>
      <w:r>
        <w:rPr>
          <w:rStyle w:val="FootnoteReference"/>
        </w:rPr>
        <w:footnoteRef/>
      </w:r>
      <w:r>
        <w:t xml:space="preserve"> </w:t>
      </w:r>
      <w:r w:rsidRPr="0030249D">
        <w:t>WTO documents WT/MIN(15)/ST/41 and WT/MIN(17)/ST/39, of 18 December 2015 and 18 December 2017 respectively.</w:t>
      </w:r>
    </w:p>
  </w:footnote>
  <w:footnote w:id="61">
    <w:p w14:paraId="271CD0AC" w14:textId="77777777" w:rsidR="006C6BEF" w:rsidRDefault="006C6BEF">
      <w:pPr>
        <w:pStyle w:val="FootnoteText"/>
      </w:pPr>
      <w:r>
        <w:rPr>
          <w:rStyle w:val="FootnoteReference"/>
        </w:rPr>
        <w:footnoteRef/>
      </w:r>
      <w:r>
        <w:t xml:space="preserve"> </w:t>
      </w:r>
      <w:r w:rsidRPr="0030249D">
        <w:t>WTO document WT/MIN(17)/ST/39 of 18 December 2017.</w:t>
      </w:r>
    </w:p>
  </w:footnote>
  <w:footnote w:id="62">
    <w:p w14:paraId="177E1335" w14:textId="77777777" w:rsidR="006C6BEF" w:rsidRDefault="006C6BEF">
      <w:pPr>
        <w:pStyle w:val="FootnoteText"/>
      </w:pPr>
      <w:r>
        <w:rPr>
          <w:rStyle w:val="FootnoteReference"/>
        </w:rPr>
        <w:footnoteRef/>
      </w:r>
      <w:r>
        <w:t xml:space="preserve"> </w:t>
      </w:r>
      <w:r w:rsidRPr="0030249D">
        <w:t>WTO document WT/MIN(17)/ST/39 of 18 December 2017.</w:t>
      </w:r>
    </w:p>
  </w:footnote>
  <w:footnote w:id="63">
    <w:p w14:paraId="5AB39817" w14:textId="77777777" w:rsidR="006C6BEF" w:rsidRDefault="006C6BEF">
      <w:pPr>
        <w:pStyle w:val="FootnoteText"/>
      </w:pPr>
      <w:r>
        <w:rPr>
          <w:rStyle w:val="FootnoteReference"/>
        </w:rPr>
        <w:footnoteRef/>
      </w:r>
      <w:r>
        <w:t xml:space="preserve"> </w:t>
      </w:r>
      <w:r w:rsidRPr="0030249D">
        <w:t>Proposal for "modalities" in negotiations on geographical indications (the multilateral register for wines and spirits, and extending the higher level of protection beyond wines and spirits) and "disclosure" (patent applicants to disclose the origin of genetic resources and traditional knowledge used in the inventions).</w:t>
      </w:r>
    </w:p>
  </w:footnote>
  <w:footnote w:id="64">
    <w:p w14:paraId="36DEA144" w14:textId="77777777" w:rsidR="006C6BEF" w:rsidRDefault="006C6BEF">
      <w:pPr>
        <w:pStyle w:val="FootnoteText"/>
      </w:pPr>
      <w:r>
        <w:rPr>
          <w:rStyle w:val="FootnoteReference"/>
        </w:rPr>
        <w:footnoteRef/>
      </w:r>
      <w:r>
        <w:t xml:space="preserve"> </w:t>
      </w:r>
      <w:r w:rsidRPr="0030249D">
        <w:t>Proposal for the establishment of a fully voluntary database for the registration of geographical indications.</w:t>
      </w:r>
    </w:p>
  </w:footnote>
  <w:footnote w:id="65">
    <w:p w14:paraId="15DD91A9" w14:textId="77777777" w:rsidR="006C6BEF" w:rsidRDefault="006C6BEF">
      <w:pPr>
        <w:pStyle w:val="FootnoteText"/>
      </w:pPr>
      <w:r>
        <w:rPr>
          <w:rStyle w:val="FootnoteReference"/>
        </w:rPr>
        <w:footnoteRef/>
      </w:r>
      <w:r>
        <w:t xml:space="preserve"> </w:t>
      </w:r>
      <w:r w:rsidRPr="0030249D">
        <w:t>WTO document WT/MIN(22)/ST/40 of 12 June 2022.</w:t>
      </w:r>
    </w:p>
  </w:footnote>
  <w:footnote w:id="66">
    <w:p w14:paraId="7029BFB5" w14:textId="77777777" w:rsidR="006C6BEF" w:rsidRDefault="006C6BEF">
      <w:pPr>
        <w:pStyle w:val="FootnoteText"/>
      </w:pPr>
      <w:r>
        <w:rPr>
          <w:rStyle w:val="FootnoteReference"/>
        </w:rPr>
        <w:footnoteRef/>
      </w:r>
      <w:r>
        <w:t xml:space="preserve"> </w:t>
      </w:r>
      <w:r w:rsidRPr="0030249D">
        <w:t>Resolution No. 696-16.</w:t>
      </w:r>
    </w:p>
  </w:footnote>
  <w:footnote w:id="67">
    <w:p w14:paraId="0CAC6F41" w14:textId="77777777" w:rsidR="006C6BEF" w:rsidRDefault="006C6BEF">
      <w:pPr>
        <w:pStyle w:val="FootnoteText"/>
      </w:pPr>
      <w:r>
        <w:rPr>
          <w:rStyle w:val="FootnoteReference"/>
        </w:rPr>
        <w:footnoteRef/>
      </w:r>
      <w:r>
        <w:t xml:space="preserve"> </w:t>
      </w:r>
      <w:r w:rsidRPr="0030249D">
        <w:t>Decree No. 431-17.</w:t>
      </w:r>
    </w:p>
  </w:footnote>
  <w:footnote w:id="68">
    <w:p w14:paraId="4E34C4B0" w14:textId="77777777" w:rsidR="006C6BEF" w:rsidRDefault="006C6BEF">
      <w:pPr>
        <w:pStyle w:val="FootnoteText"/>
      </w:pPr>
      <w:r>
        <w:rPr>
          <w:rStyle w:val="FootnoteReference"/>
        </w:rPr>
        <w:footnoteRef/>
      </w:r>
      <w:r>
        <w:t xml:space="preserve"> </w:t>
      </w:r>
      <w:r w:rsidRPr="0030249D">
        <w:t xml:space="preserve">Directorate-General of Customs (DGA), </w:t>
      </w:r>
      <w:proofErr w:type="spellStart"/>
      <w:r w:rsidRPr="0030249D">
        <w:t>MICM</w:t>
      </w:r>
      <w:proofErr w:type="spellEnd"/>
      <w:r w:rsidRPr="0030249D">
        <w:t xml:space="preserve">, Ministry of Defence, Ministry of Public Health and Social </w:t>
      </w:r>
      <w:r>
        <w:t>Assistance</w:t>
      </w:r>
      <w:r w:rsidRPr="0030249D">
        <w:t xml:space="preserve">, </w:t>
      </w:r>
      <w:proofErr w:type="spellStart"/>
      <w:r w:rsidRPr="0030249D">
        <w:t>MIREX</w:t>
      </w:r>
      <w:proofErr w:type="spellEnd"/>
      <w:r w:rsidRPr="0030249D">
        <w:t>, Ministry of Agriculture, Ministry of Economic Affairs, Planning and Development, Executive Board of the National Competitiveness Council, and National Council for Free Export Zones (</w:t>
      </w:r>
      <w:proofErr w:type="spellStart"/>
      <w:r w:rsidRPr="0030249D">
        <w:t>CNZFE</w:t>
      </w:r>
      <w:proofErr w:type="spellEnd"/>
      <w:r w:rsidRPr="0030249D">
        <w:t>).</w:t>
      </w:r>
    </w:p>
  </w:footnote>
  <w:footnote w:id="69">
    <w:p w14:paraId="596A76FE" w14:textId="77777777" w:rsidR="006C6BEF" w:rsidRDefault="006C6BEF">
      <w:pPr>
        <w:pStyle w:val="FootnoteText"/>
      </w:pPr>
      <w:r>
        <w:rPr>
          <w:rStyle w:val="FootnoteReference"/>
        </w:rPr>
        <w:footnoteRef/>
      </w:r>
      <w:r>
        <w:t xml:space="preserve"> </w:t>
      </w:r>
      <w:r w:rsidRPr="0030249D">
        <w:rPr>
          <w:iCs/>
        </w:rPr>
        <w:t>Dominican Industry Association, American Chamber of Commerce of the Dominican Republic, Dominican Exporters Association, Dominican Free Zone Association, National Organization of Business Enterprises, Dominican Republic Shipowners Association, National Private Enterprise Council, Dominican Customs Brokers Association, Dominican Airlines Association</w:t>
      </w:r>
      <w:r w:rsidRPr="0030249D" w:rsidDel="00244A24">
        <w:rPr>
          <w:iCs/>
        </w:rPr>
        <w:t xml:space="preserve"> </w:t>
      </w:r>
      <w:r w:rsidRPr="0030249D">
        <w:rPr>
          <w:iCs/>
        </w:rPr>
        <w:t>and Dominican Agribusiness Board.</w:t>
      </w:r>
    </w:p>
  </w:footnote>
  <w:footnote w:id="70">
    <w:p w14:paraId="6463CD0E" w14:textId="77777777" w:rsidR="006C6BEF" w:rsidRDefault="006C6BEF">
      <w:pPr>
        <w:pStyle w:val="FootnoteText"/>
      </w:pPr>
      <w:r>
        <w:rPr>
          <w:rStyle w:val="FootnoteReference"/>
        </w:rPr>
        <w:footnoteRef/>
      </w:r>
      <w:r>
        <w:t xml:space="preserve"> </w:t>
      </w:r>
      <w:r w:rsidRPr="0030249D">
        <w:t xml:space="preserve">Trade Facilitation Agreement Database. Viewed </w:t>
      </w:r>
      <w:proofErr w:type="spellStart"/>
      <w:r w:rsidRPr="0030249D">
        <w:t>at:</w:t>
      </w:r>
      <w:hyperlink r:id="rId37" w:history="1">
        <w:r w:rsidRPr="00BD7D73">
          <w:rPr>
            <w:rStyle w:val="Hyperlink"/>
          </w:rPr>
          <w:t>https</w:t>
        </w:r>
        <w:proofErr w:type="spellEnd"/>
        <w:r w:rsidRPr="00BD7D73">
          <w:rPr>
            <w:rStyle w:val="Hyperlink"/>
          </w:rPr>
          <w:t>://tfadatabase.org/members/</w:t>
        </w:r>
        <w:proofErr w:type="spellStart"/>
        <w:r w:rsidRPr="00BD7D73">
          <w:rPr>
            <w:rStyle w:val="Hyperlink"/>
          </w:rPr>
          <w:t>dominican</w:t>
        </w:r>
        <w:proofErr w:type="spellEnd"/>
        <w:r w:rsidRPr="00BD7D73">
          <w:rPr>
            <w:rStyle w:val="Hyperlink"/>
          </w:rPr>
          <w:t>-republic</w:t>
        </w:r>
      </w:hyperlink>
      <w:r w:rsidRPr="0030249D">
        <w:t>.</w:t>
      </w:r>
    </w:p>
  </w:footnote>
  <w:footnote w:id="71">
    <w:p w14:paraId="63BE89AB" w14:textId="77777777" w:rsidR="006C6BEF" w:rsidRDefault="006C6BEF">
      <w:pPr>
        <w:pStyle w:val="FootnoteText"/>
      </w:pPr>
      <w:r>
        <w:rPr>
          <w:rStyle w:val="FootnoteReference"/>
        </w:rPr>
        <w:footnoteRef/>
      </w:r>
      <w:r>
        <w:t xml:space="preserve"> </w:t>
      </w:r>
      <w:r w:rsidRPr="0030249D">
        <w:t>The complaint, filed by Costa Rica in 2020, concerns anti-dumping measures on corrugated steel bars (DS605). The Panel was established on 8 April 2022.</w:t>
      </w:r>
    </w:p>
  </w:footnote>
  <w:footnote w:id="72">
    <w:p w14:paraId="1FB4616E" w14:textId="77777777" w:rsidR="006C6BEF" w:rsidRDefault="006C6BEF">
      <w:pPr>
        <w:pStyle w:val="FootnoteText"/>
      </w:pPr>
      <w:r>
        <w:rPr>
          <w:rStyle w:val="FootnoteReference"/>
        </w:rPr>
        <w:footnoteRef/>
      </w:r>
      <w:r>
        <w:t xml:space="preserve"> </w:t>
      </w:r>
      <w:r w:rsidRPr="0030249D">
        <w:t>Information provided by the authorities.</w:t>
      </w:r>
    </w:p>
  </w:footnote>
  <w:footnote w:id="73">
    <w:p w14:paraId="660A798C" w14:textId="77777777" w:rsidR="006C6BEF" w:rsidRDefault="006C6BEF">
      <w:pPr>
        <w:pStyle w:val="FootnoteText"/>
      </w:pPr>
      <w:r>
        <w:rPr>
          <w:rStyle w:val="FootnoteReference"/>
        </w:rPr>
        <w:footnoteRef/>
      </w:r>
      <w:r>
        <w:t xml:space="preserve"> </w:t>
      </w:r>
      <w:proofErr w:type="spellStart"/>
      <w:r w:rsidRPr="0030249D">
        <w:t>MICM</w:t>
      </w:r>
      <w:proofErr w:type="spellEnd"/>
      <w:r w:rsidRPr="0030249D">
        <w:t xml:space="preserve"> (several years), </w:t>
      </w:r>
      <w:r w:rsidRPr="0030249D">
        <w:rPr>
          <w:i/>
        </w:rPr>
        <w:t xml:space="preserve">Informe de </w:t>
      </w:r>
      <w:proofErr w:type="spellStart"/>
      <w:r w:rsidRPr="0030249D">
        <w:rPr>
          <w:i/>
        </w:rPr>
        <w:t>Seguimiento</w:t>
      </w:r>
      <w:proofErr w:type="spellEnd"/>
      <w:r w:rsidRPr="0030249D">
        <w:rPr>
          <w:i/>
        </w:rPr>
        <w:t xml:space="preserve"> al </w:t>
      </w:r>
      <w:proofErr w:type="spellStart"/>
      <w:r w:rsidRPr="0030249D">
        <w:rPr>
          <w:i/>
        </w:rPr>
        <w:t>Desempeño</w:t>
      </w:r>
      <w:proofErr w:type="spellEnd"/>
      <w:r w:rsidRPr="0030249D">
        <w:rPr>
          <w:i/>
        </w:rPr>
        <w:t xml:space="preserve"> </w:t>
      </w:r>
      <w:proofErr w:type="spellStart"/>
      <w:r w:rsidRPr="0030249D">
        <w:rPr>
          <w:i/>
        </w:rPr>
        <w:t>Comercial</w:t>
      </w:r>
      <w:proofErr w:type="spellEnd"/>
      <w:r w:rsidRPr="0030249D">
        <w:rPr>
          <w:i/>
        </w:rPr>
        <w:t xml:space="preserve"> de la República </w:t>
      </w:r>
      <w:proofErr w:type="spellStart"/>
      <w:r w:rsidRPr="0030249D">
        <w:rPr>
          <w:i/>
        </w:rPr>
        <w:t>Dominicana</w:t>
      </w:r>
      <w:proofErr w:type="spellEnd"/>
      <w:r w:rsidRPr="0030249D">
        <w:t xml:space="preserve">. Viewed at: </w:t>
      </w:r>
      <w:hyperlink r:id="rId38" w:history="1">
        <w:r w:rsidRPr="0030249D">
          <w:rPr>
            <w:rStyle w:val="Hyperlink"/>
          </w:rPr>
          <w:t>https://www.micm.gob.do/nosotros/publicaciones</w:t>
        </w:r>
      </w:hyperlink>
    </w:p>
  </w:footnote>
  <w:footnote w:id="74">
    <w:p w14:paraId="3AE5DFBA" w14:textId="77777777" w:rsidR="006C6BEF" w:rsidRDefault="006C6BEF">
      <w:pPr>
        <w:pStyle w:val="FootnoteText"/>
      </w:pPr>
      <w:r>
        <w:rPr>
          <w:rStyle w:val="FootnoteReference"/>
        </w:rPr>
        <w:footnoteRef/>
      </w:r>
      <w:r>
        <w:t xml:space="preserve"> </w:t>
      </w:r>
      <w:r w:rsidRPr="0030249D">
        <w:t>WTO document WT/REG211/3 of 18 July 2016.</w:t>
      </w:r>
    </w:p>
  </w:footnote>
  <w:footnote w:id="75">
    <w:p w14:paraId="1FC4C3AE" w14:textId="77777777" w:rsidR="006C6BEF" w:rsidRDefault="006C6BEF">
      <w:pPr>
        <w:pStyle w:val="FootnoteText"/>
      </w:pPr>
      <w:r>
        <w:rPr>
          <w:rStyle w:val="FootnoteReference"/>
        </w:rPr>
        <w:footnoteRef/>
      </w:r>
      <w:r>
        <w:t xml:space="preserve"> </w:t>
      </w:r>
      <w:r w:rsidRPr="0030249D">
        <w:t xml:space="preserve">AMCHAM (2020), </w:t>
      </w:r>
      <w:proofErr w:type="spellStart"/>
      <w:r w:rsidRPr="0030249D">
        <w:rPr>
          <w:i/>
        </w:rPr>
        <w:t>Guía</w:t>
      </w:r>
      <w:proofErr w:type="spellEnd"/>
      <w:r w:rsidRPr="0030249D">
        <w:rPr>
          <w:i/>
        </w:rPr>
        <w:t xml:space="preserve"> del </w:t>
      </w:r>
      <w:proofErr w:type="spellStart"/>
      <w:r w:rsidRPr="0030249D">
        <w:rPr>
          <w:i/>
        </w:rPr>
        <w:t>Inversionista</w:t>
      </w:r>
      <w:proofErr w:type="spellEnd"/>
      <w:r w:rsidRPr="0030249D">
        <w:t xml:space="preserve"> 2019. Viewed at: </w:t>
      </w:r>
      <w:hyperlink r:id="rId39" w:history="1">
        <w:r w:rsidRPr="0030249D">
          <w:rPr>
            <w:rStyle w:val="Hyperlink"/>
          </w:rPr>
          <w:t>https://amcham.org.do/images/pdf/Guia%20Inversionista_2019_master.pdf</w:t>
        </w:r>
      </w:hyperlink>
      <w:r w:rsidRPr="0030249D">
        <w:t>.</w:t>
      </w:r>
    </w:p>
  </w:footnote>
  <w:footnote w:id="76">
    <w:p w14:paraId="5A93AD45" w14:textId="77777777" w:rsidR="006C6BEF" w:rsidRPr="0030249D" w:rsidRDefault="006C6BEF" w:rsidP="0030249D">
      <w:pPr>
        <w:pStyle w:val="FootnoteText"/>
      </w:pPr>
      <w:r>
        <w:rPr>
          <w:rStyle w:val="FootnoteReference"/>
        </w:rPr>
        <w:footnoteRef/>
      </w:r>
      <w:r>
        <w:t xml:space="preserve"> </w:t>
      </w:r>
      <w:proofErr w:type="spellStart"/>
      <w:r w:rsidRPr="0030249D">
        <w:t>DICOEX</w:t>
      </w:r>
      <w:proofErr w:type="spellEnd"/>
      <w:r w:rsidRPr="0030249D">
        <w:t xml:space="preserve"> (2020), </w:t>
      </w:r>
      <w:r w:rsidRPr="0030249D">
        <w:rPr>
          <w:i/>
        </w:rPr>
        <w:t xml:space="preserve">Informe de </w:t>
      </w:r>
      <w:proofErr w:type="spellStart"/>
      <w:r w:rsidRPr="0030249D">
        <w:rPr>
          <w:i/>
        </w:rPr>
        <w:t>Seguimiento</w:t>
      </w:r>
      <w:proofErr w:type="spellEnd"/>
      <w:r w:rsidRPr="0030249D">
        <w:rPr>
          <w:i/>
        </w:rPr>
        <w:t xml:space="preserve"> al </w:t>
      </w:r>
      <w:proofErr w:type="spellStart"/>
      <w:r w:rsidRPr="0030249D">
        <w:rPr>
          <w:i/>
        </w:rPr>
        <w:t>Desempeño</w:t>
      </w:r>
      <w:proofErr w:type="spellEnd"/>
      <w:r w:rsidRPr="0030249D">
        <w:rPr>
          <w:i/>
        </w:rPr>
        <w:t xml:space="preserve"> </w:t>
      </w:r>
      <w:proofErr w:type="spellStart"/>
      <w:r w:rsidRPr="0030249D">
        <w:rPr>
          <w:i/>
        </w:rPr>
        <w:t>Comercial</w:t>
      </w:r>
      <w:proofErr w:type="spellEnd"/>
      <w:r w:rsidRPr="0030249D">
        <w:rPr>
          <w:i/>
        </w:rPr>
        <w:t xml:space="preserve"> de la República </w:t>
      </w:r>
      <w:proofErr w:type="spellStart"/>
      <w:r w:rsidRPr="0030249D">
        <w:rPr>
          <w:i/>
        </w:rPr>
        <w:t>Dominicana</w:t>
      </w:r>
      <w:proofErr w:type="spellEnd"/>
      <w:r>
        <w:rPr>
          <w:i/>
        </w:rPr>
        <w:t> </w:t>
      </w:r>
      <w:r w:rsidRPr="0030249D">
        <w:rPr>
          <w:i/>
        </w:rPr>
        <w:t>2019</w:t>
      </w:r>
      <w:r w:rsidRPr="0030249D">
        <w:t>.</w:t>
      </w:r>
    </w:p>
    <w:p w14:paraId="6E6B1FB5" w14:textId="77777777" w:rsidR="006C6BEF" w:rsidRDefault="006C6BEF" w:rsidP="0030249D">
      <w:pPr>
        <w:pStyle w:val="FootnoteText"/>
      </w:pPr>
      <w:r w:rsidRPr="0030249D">
        <w:t xml:space="preserve">Viewed at: </w:t>
      </w:r>
      <w:hyperlink r:id="rId40" w:history="1">
        <w:r w:rsidRPr="0030249D">
          <w:rPr>
            <w:rStyle w:val="Hyperlink"/>
          </w:rPr>
          <w:t>https://www.micm.gob.do/nosotros/publicaciones</w:t>
        </w:r>
      </w:hyperlink>
      <w:r w:rsidRPr="0030249D">
        <w:t>.</w:t>
      </w:r>
    </w:p>
  </w:footnote>
  <w:footnote w:id="77">
    <w:p w14:paraId="1EAC5552" w14:textId="77777777" w:rsidR="006C6BEF" w:rsidRDefault="006C6BEF">
      <w:pPr>
        <w:pStyle w:val="FootnoteText"/>
      </w:pPr>
      <w:r>
        <w:rPr>
          <w:rStyle w:val="FootnoteReference"/>
        </w:rPr>
        <w:footnoteRef/>
      </w:r>
      <w:r>
        <w:t xml:space="preserve"> </w:t>
      </w:r>
      <w:r w:rsidRPr="0073435E">
        <w:t>Law No. 16-95 was last amended in 2003 through Law No. 98</w:t>
      </w:r>
      <w:r w:rsidRPr="0073435E">
        <w:rPr>
          <w:rFonts w:ascii="Cambria Math" w:hAnsi="Cambria Math" w:cs="Cambria Math"/>
        </w:rPr>
        <w:t>‑</w:t>
      </w:r>
      <w:r w:rsidRPr="0073435E">
        <w:t>03. The Law's implementing regulations (Decree No. 380-96) were last amended in 2004 through Decree No. 214-04.</w:t>
      </w:r>
    </w:p>
  </w:footnote>
  <w:footnote w:id="78">
    <w:p w14:paraId="5451FA49" w14:textId="77777777" w:rsidR="006C6BEF" w:rsidRDefault="006C6BEF">
      <w:pPr>
        <w:pStyle w:val="FootnoteText"/>
      </w:pPr>
      <w:r>
        <w:rPr>
          <w:rStyle w:val="FootnoteReference"/>
        </w:rPr>
        <w:footnoteRef/>
      </w:r>
      <w:r>
        <w:t xml:space="preserve"> </w:t>
      </w:r>
      <w:r w:rsidRPr="0030249D">
        <w:t>Foreign reinvestment refers to the reinvestment of profits in the enterprise that generated them, whereas new foreign investment is the reinvestment of profits in other enterprises. The term "foreign investment" is used in this text to describe all three types of investment, unless otherwise indicated.</w:t>
      </w:r>
    </w:p>
  </w:footnote>
  <w:footnote w:id="79">
    <w:p w14:paraId="67FBB801" w14:textId="77777777" w:rsidR="006C6BEF" w:rsidRDefault="006C6BEF">
      <w:pPr>
        <w:pStyle w:val="FootnoteText"/>
      </w:pPr>
      <w:r>
        <w:rPr>
          <w:rStyle w:val="FootnoteReference"/>
        </w:rPr>
        <w:footnoteRef/>
      </w:r>
      <w:r>
        <w:t xml:space="preserve"> </w:t>
      </w:r>
      <w:r w:rsidRPr="0030249D">
        <w:t>The Dominican Republic does not apply exchange controls or limit capital repatriation.</w:t>
      </w:r>
    </w:p>
  </w:footnote>
  <w:footnote w:id="80">
    <w:p w14:paraId="3ECEF75F" w14:textId="77777777" w:rsidR="006C6BEF" w:rsidRDefault="006C6BEF">
      <w:pPr>
        <w:pStyle w:val="FootnoteText"/>
      </w:pPr>
      <w:r>
        <w:rPr>
          <w:rStyle w:val="FootnoteReference"/>
        </w:rPr>
        <w:footnoteRef/>
      </w:r>
      <w:r>
        <w:t xml:space="preserve"> </w:t>
      </w:r>
      <w:r w:rsidRPr="0030249D">
        <w:t>National treatment was introduced through Article 221 of the 2010 Constitution, and remained unchanged in the 2015 Constitution.</w:t>
      </w:r>
    </w:p>
  </w:footnote>
  <w:footnote w:id="81">
    <w:p w14:paraId="24F4DEC4" w14:textId="77777777" w:rsidR="006C6BEF" w:rsidRDefault="006C6BEF">
      <w:pPr>
        <w:pStyle w:val="FootnoteText"/>
      </w:pPr>
      <w:r>
        <w:rPr>
          <w:rStyle w:val="FootnoteReference"/>
        </w:rPr>
        <w:footnoteRef/>
      </w:r>
      <w:r>
        <w:t xml:space="preserve"> </w:t>
      </w:r>
      <w:r w:rsidRPr="0030249D">
        <w:t>The authorities stated that there were no direct expropriations during the period under review.</w:t>
      </w:r>
    </w:p>
  </w:footnote>
  <w:footnote w:id="82">
    <w:p w14:paraId="6112C437" w14:textId="77777777" w:rsidR="006C6BEF" w:rsidRDefault="006C6BEF">
      <w:pPr>
        <w:pStyle w:val="FootnoteText"/>
      </w:pPr>
      <w:r>
        <w:rPr>
          <w:rStyle w:val="FootnoteReference"/>
        </w:rPr>
        <w:footnoteRef/>
      </w:r>
      <w:r>
        <w:t xml:space="preserve"> </w:t>
      </w:r>
      <w:r w:rsidRPr="0030249D">
        <w:t>Previously, this type of partnership or agreement was governed by Articles</w:t>
      </w:r>
      <w:r>
        <w:t> </w:t>
      </w:r>
      <w:r w:rsidRPr="0030249D">
        <w:t>46 to 64 of Law</w:t>
      </w:r>
      <w:r>
        <w:t xml:space="preserve"> </w:t>
      </w:r>
      <w:r w:rsidRPr="0030249D">
        <w:t>No.</w:t>
      </w:r>
      <w:r>
        <w:t> </w:t>
      </w:r>
      <w:r w:rsidRPr="0030249D">
        <w:t>340</w:t>
      </w:r>
      <w:r>
        <w:noBreakHyphen/>
      </w:r>
      <w:r w:rsidRPr="0030249D">
        <w:t>06.</w:t>
      </w:r>
    </w:p>
  </w:footnote>
  <w:footnote w:id="83">
    <w:p w14:paraId="27FE68F8" w14:textId="77777777" w:rsidR="006C6BEF" w:rsidRDefault="006C6BEF">
      <w:pPr>
        <w:pStyle w:val="FootnoteText"/>
      </w:pPr>
      <w:r>
        <w:rPr>
          <w:rStyle w:val="FootnoteReference"/>
        </w:rPr>
        <w:footnoteRef/>
      </w:r>
      <w:r>
        <w:t xml:space="preserve"> </w:t>
      </w:r>
      <w:r w:rsidRPr="0030249D">
        <w:t xml:space="preserve">The Dominican Republic has signed </w:t>
      </w:r>
      <w:proofErr w:type="spellStart"/>
      <w:r w:rsidRPr="0030249D">
        <w:t>ARPPIs</w:t>
      </w:r>
      <w:proofErr w:type="spellEnd"/>
      <w:r w:rsidRPr="0030249D">
        <w:t xml:space="preserve"> with: Argentina (2001); Chile (2000); Finland (2001); France (1999); Italy (2006); </w:t>
      </w:r>
      <w:r>
        <w:t xml:space="preserve">the </w:t>
      </w:r>
      <w:r w:rsidRPr="0030249D">
        <w:t xml:space="preserve">Republic of </w:t>
      </w:r>
      <w:r>
        <w:t xml:space="preserve">Korea </w:t>
      </w:r>
      <w:r w:rsidRPr="0030249D">
        <w:t>(2006); Morocco (2002); the Netherlands (2006); Panama</w:t>
      </w:r>
      <w:r>
        <w:t> </w:t>
      </w:r>
      <w:r w:rsidRPr="0030249D">
        <w:t>(2003); Spain (1995); and Switzerland (2004).</w:t>
      </w:r>
    </w:p>
  </w:footnote>
  <w:footnote w:id="84">
    <w:p w14:paraId="660DB6A7" w14:textId="77777777" w:rsidR="006C6BEF" w:rsidRDefault="006C6BEF">
      <w:pPr>
        <w:pStyle w:val="FootnoteText"/>
      </w:pPr>
      <w:r>
        <w:rPr>
          <w:rStyle w:val="FootnoteReference"/>
        </w:rPr>
        <w:footnoteRef/>
      </w:r>
      <w:r>
        <w:t xml:space="preserve"> </w:t>
      </w:r>
      <w:r w:rsidRPr="0030249D">
        <w:t>These negotiations are coordinated by the National Trade Negotiations Commission (Decree</w:t>
      </w:r>
      <w:r>
        <w:t> </w:t>
      </w:r>
      <w:r w:rsidRPr="0030249D">
        <w:t>No.</w:t>
      </w:r>
      <w:r>
        <w:t> </w:t>
      </w:r>
      <w:r w:rsidRPr="0030249D">
        <w:t>74</w:t>
      </w:r>
      <w:r>
        <w:noBreakHyphen/>
      </w:r>
      <w:r w:rsidRPr="0030249D">
        <w:t>97).</w:t>
      </w:r>
    </w:p>
  </w:footnote>
  <w:footnote w:id="85">
    <w:p w14:paraId="3725063A" w14:textId="77777777" w:rsidR="006C6BEF" w:rsidRDefault="006C6BEF">
      <w:pPr>
        <w:pStyle w:val="FootnoteText"/>
      </w:pPr>
      <w:r>
        <w:rPr>
          <w:rStyle w:val="FootnoteReference"/>
        </w:rPr>
        <w:footnoteRef/>
      </w:r>
      <w:r>
        <w:t xml:space="preserve"> </w:t>
      </w:r>
      <w:r w:rsidRPr="0030249D">
        <w:t>National Congress Resolution No. 191-19.</w:t>
      </w:r>
    </w:p>
  </w:footnote>
  <w:footnote w:id="86">
    <w:p w14:paraId="226CA594" w14:textId="77777777" w:rsidR="006C6BEF" w:rsidRDefault="006C6BEF">
      <w:pPr>
        <w:pStyle w:val="FootnoteText"/>
      </w:pPr>
      <w:r>
        <w:rPr>
          <w:rStyle w:val="FootnoteReference"/>
        </w:rPr>
        <w:footnoteRef/>
      </w:r>
      <w:r>
        <w:t xml:space="preserve"> </w:t>
      </w:r>
      <w:r w:rsidRPr="0030249D">
        <w:t xml:space="preserve">Although </w:t>
      </w:r>
      <w:proofErr w:type="spellStart"/>
      <w:r w:rsidRPr="0030249D">
        <w:t>ProDominicana</w:t>
      </w:r>
      <w:proofErr w:type="spellEnd"/>
      <w:r w:rsidRPr="0030249D">
        <w:t xml:space="preserve"> is a state body, its board of directors is drawn from public and private sector representatives (Decree No. 275-17).</w:t>
      </w:r>
    </w:p>
  </w:footnote>
  <w:footnote w:id="87">
    <w:p w14:paraId="3D18F5AF" w14:textId="77777777" w:rsidR="006C6BEF" w:rsidRDefault="006C6BEF">
      <w:pPr>
        <w:pStyle w:val="FootnoteText"/>
      </w:pPr>
      <w:r>
        <w:rPr>
          <w:rStyle w:val="FootnoteReference"/>
        </w:rPr>
        <w:footnoteRef/>
      </w:r>
      <w:r>
        <w:t xml:space="preserve"> </w:t>
      </w:r>
      <w:proofErr w:type="spellStart"/>
      <w:r w:rsidRPr="0030249D">
        <w:t>ProDominicana</w:t>
      </w:r>
      <w:proofErr w:type="spellEnd"/>
      <w:r w:rsidRPr="0030249D">
        <w:t xml:space="preserve"> ed. (2021), </w:t>
      </w:r>
      <w:proofErr w:type="spellStart"/>
      <w:r w:rsidRPr="0030249D">
        <w:rPr>
          <w:i/>
        </w:rPr>
        <w:t>Guía</w:t>
      </w:r>
      <w:proofErr w:type="spellEnd"/>
      <w:r w:rsidRPr="0030249D">
        <w:rPr>
          <w:i/>
        </w:rPr>
        <w:t xml:space="preserve"> de </w:t>
      </w:r>
      <w:proofErr w:type="spellStart"/>
      <w:r w:rsidRPr="0030249D">
        <w:rPr>
          <w:i/>
        </w:rPr>
        <w:t>Inversión</w:t>
      </w:r>
      <w:proofErr w:type="spellEnd"/>
      <w:r w:rsidRPr="0030249D">
        <w:rPr>
          <w:i/>
        </w:rPr>
        <w:t xml:space="preserve"> 2021 </w:t>
      </w:r>
      <w:r w:rsidRPr="0030249D">
        <w:rPr>
          <w:iCs/>
        </w:rPr>
        <w:t>and online information</w:t>
      </w:r>
      <w:r w:rsidRPr="0030249D">
        <w:t xml:space="preserve">. Viewed at: </w:t>
      </w:r>
      <w:hyperlink r:id="rId41" w:history="1">
        <w:r w:rsidRPr="0030249D">
          <w:rPr>
            <w:rStyle w:val="Hyperlink"/>
          </w:rPr>
          <w:t>https://prodominicana.gob.do/InvestInDR</w:t>
        </w:r>
      </w:hyperlink>
      <w:r w:rsidRPr="0030249D">
        <w:t>.</w:t>
      </w:r>
    </w:p>
  </w:footnote>
  <w:footnote w:id="88">
    <w:p w14:paraId="01960907" w14:textId="77777777" w:rsidR="006C6BEF" w:rsidRDefault="006C6BEF">
      <w:pPr>
        <w:pStyle w:val="FootnoteText"/>
      </w:pPr>
      <w:r>
        <w:rPr>
          <w:rStyle w:val="FootnoteReference"/>
        </w:rPr>
        <w:footnoteRef/>
      </w:r>
      <w:r>
        <w:t xml:space="preserve"> </w:t>
      </w:r>
      <w:r w:rsidRPr="0030249D">
        <w:t>These documents include the National Development Strategy (END) 2030, the National Export Development Plan (</w:t>
      </w:r>
      <w:proofErr w:type="spellStart"/>
      <w:r w:rsidRPr="0030249D">
        <w:t>PNFE</w:t>
      </w:r>
      <w:proofErr w:type="spellEnd"/>
      <w:r w:rsidRPr="0030249D">
        <w:t>) and some sectoral laws. They also refer to strategic sectors as priority or key sectors. Currently, these sectors include agribusinesses, energy, service outsourcing, the film industry, logistics and connectivity, manufacturing, mining, textiles and leather products, and tourism.</w:t>
      </w:r>
    </w:p>
  </w:footnote>
  <w:footnote w:id="89">
    <w:p w14:paraId="73E50BD6" w14:textId="77777777" w:rsidR="006C6BEF" w:rsidRDefault="006C6BEF">
      <w:pPr>
        <w:pStyle w:val="FootnoteText"/>
      </w:pPr>
      <w:r>
        <w:rPr>
          <w:rStyle w:val="FootnoteReference"/>
        </w:rPr>
        <w:footnoteRef/>
      </w:r>
      <w:r>
        <w:t xml:space="preserve"> </w:t>
      </w:r>
      <w:r w:rsidRPr="0030249D">
        <w:t>The Consultative Council for Investment Promotion was established through Decree No. 498-20. The Consultative Council for Investment for Strategic Projects, established in 2009, was decommissioned through Decree No. 849-21.</w:t>
      </w:r>
    </w:p>
  </w:footnote>
  <w:footnote w:id="90">
    <w:p w14:paraId="3503F6B9" w14:textId="77777777" w:rsidR="006C6BEF" w:rsidRDefault="006C6BEF">
      <w:pPr>
        <w:pStyle w:val="FootnoteText"/>
      </w:pPr>
      <w:r>
        <w:rPr>
          <w:rStyle w:val="FootnoteReference"/>
        </w:rPr>
        <w:footnoteRef/>
      </w:r>
      <w:r>
        <w:t xml:space="preserve"> </w:t>
      </w:r>
      <w:r w:rsidRPr="0030249D">
        <w:t>Decree No. 85-22.</w:t>
      </w:r>
    </w:p>
  </w:footnote>
  <w:footnote w:id="91">
    <w:p w14:paraId="741CDE76" w14:textId="77777777" w:rsidR="006C6BEF" w:rsidRDefault="006C6BEF">
      <w:pPr>
        <w:pStyle w:val="FootnoteText"/>
      </w:pPr>
      <w:r>
        <w:rPr>
          <w:rStyle w:val="FootnoteReference"/>
        </w:rPr>
        <w:footnoteRef/>
      </w:r>
      <w:r>
        <w:t xml:space="preserve"> </w:t>
      </w:r>
      <w:r w:rsidRPr="0030249D">
        <w:t xml:space="preserve">The </w:t>
      </w:r>
      <w:proofErr w:type="spellStart"/>
      <w:r w:rsidRPr="0030249D">
        <w:t>PNFE</w:t>
      </w:r>
      <w:proofErr w:type="spellEnd"/>
      <w:r w:rsidRPr="0030249D">
        <w:t xml:space="preserve"> 2020–30 is part of the set of initiatives linked to the third strategic pillar of the National Development Strategy (END) 2030, which relates to the development of a sustainable, integrated and competitive economy.</w:t>
      </w:r>
    </w:p>
  </w:footnote>
  <w:footnote w:id="92">
    <w:p w14:paraId="128F4B1B" w14:textId="77777777" w:rsidR="006C6BEF" w:rsidRDefault="006C6BEF">
      <w:pPr>
        <w:pStyle w:val="FootnoteText"/>
      </w:pPr>
      <w:r>
        <w:rPr>
          <w:rStyle w:val="FootnoteReference"/>
        </w:rPr>
        <w:footnoteRef/>
      </w:r>
      <w:r>
        <w:t xml:space="preserve"> </w:t>
      </w:r>
      <w:r w:rsidRPr="0030249D">
        <w:t>These measures may include: restrictions on the transfer and control of an enterprise, disposal of any interest held in an existing state enterprise, or measures relating to the nationality of an enterprise's executives and board members.</w:t>
      </w:r>
    </w:p>
  </w:footnote>
  <w:footnote w:id="93">
    <w:p w14:paraId="1E411690" w14:textId="77777777" w:rsidR="006C6BEF" w:rsidRDefault="006C6BEF">
      <w:pPr>
        <w:pStyle w:val="FootnoteText"/>
      </w:pPr>
      <w:r>
        <w:rPr>
          <w:rStyle w:val="FootnoteReference"/>
        </w:rPr>
        <w:footnoteRef/>
      </w:r>
      <w:r>
        <w:t xml:space="preserve"> </w:t>
      </w:r>
      <w:r w:rsidRPr="0030249D">
        <w:t>All foreign investment registrations are forwarded to the Central Bank of the Dominican Republic for statistical purposes.</w:t>
      </w:r>
    </w:p>
  </w:footnote>
  <w:footnote w:id="94">
    <w:p w14:paraId="420B5E4A" w14:textId="77777777" w:rsidR="006C6BEF" w:rsidRDefault="006C6BEF">
      <w:pPr>
        <w:pStyle w:val="FootnoteText"/>
      </w:pPr>
      <w:r>
        <w:rPr>
          <w:rStyle w:val="FootnoteReference"/>
        </w:rPr>
        <w:footnoteRef/>
      </w:r>
      <w:r>
        <w:t xml:space="preserve"> </w:t>
      </w:r>
      <w:r w:rsidRPr="0030249D">
        <w:t>Foreign investors can establish themselves in the Dominican Republic by adopting any one of the legal forms described in Law No. 479-08 and must be entered in the Trade Name Register, the Business Register and the National Taxpayers Register. In total, the procedures can take up to 16 (working) days and cost the equivalent of DOP 8,255.</w:t>
      </w:r>
    </w:p>
  </w:footnote>
  <w:footnote w:id="95">
    <w:p w14:paraId="492D1DC4" w14:textId="77777777" w:rsidR="006C6BEF" w:rsidRDefault="006C6BEF">
      <w:pPr>
        <w:pStyle w:val="FootnoteText"/>
      </w:pPr>
      <w:r>
        <w:rPr>
          <w:rStyle w:val="FootnoteReference"/>
        </w:rPr>
        <w:footnoteRef/>
      </w:r>
      <w:r>
        <w:t xml:space="preserve"> </w:t>
      </w:r>
      <w:proofErr w:type="spellStart"/>
      <w:r w:rsidRPr="0030249D">
        <w:t>FDI</w:t>
      </w:r>
      <w:proofErr w:type="spellEnd"/>
      <w:r w:rsidRPr="0030249D">
        <w:t xml:space="preserve"> registration in the free zone has not been computerized and is free of charge.</w:t>
      </w:r>
    </w:p>
  </w:footnote>
  <w:footnote w:id="96">
    <w:p w14:paraId="62DBBCB8" w14:textId="77777777" w:rsidR="006C6BEF" w:rsidRDefault="006C6BEF">
      <w:pPr>
        <w:pStyle w:val="FootnoteText"/>
      </w:pPr>
      <w:r>
        <w:rPr>
          <w:rStyle w:val="FootnoteReference"/>
        </w:rPr>
        <w:footnoteRef/>
      </w:r>
      <w:r>
        <w:t xml:space="preserve"> </w:t>
      </w:r>
      <w:r w:rsidRPr="0030249D">
        <w:t>Decree No. 626-12.</w:t>
      </w:r>
    </w:p>
  </w:footnote>
  <w:footnote w:id="97">
    <w:p w14:paraId="22E3DADA" w14:textId="77777777" w:rsidR="006C6BEF" w:rsidRDefault="006C6BEF">
      <w:pPr>
        <w:pStyle w:val="FootnoteText"/>
      </w:pPr>
      <w:r>
        <w:rPr>
          <w:rStyle w:val="FootnoteReference"/>
        </w:rPr>
        <w:footnoteRef/>
      </w:r>
      <w:r>
        <w:t xml:space="preserve"> </w:t>
      </w:r>
      <w:r w:rsidRPr="0030249D">
        <w:t>Law No. 47-20 and Decree No. 434-20.</w:t>
      </w:r>
    </w:p>
  </w:footnote>
  <w:footnote w:id="98">
    <w:p w14:paraId="1A4FA847" w14:textId="77777777" w:rsidR="006C6BEF" w:rsidRDefault="006C6BEF">
      <w:pPr>
        <w:pStyle w:val="FootnoteText"/>
      </w:pPr>
      <w:r>
        <w:rPr>
          <w:rStyle w:val="FootnoteReference"/>
        </w:rPr>
        <w:footnoteRef/>
      </w:r>
      <w:r>
        <w:t xml:space="preserve"> </w:t>
      </w:r>
      <w:r w:rsidRPr="0030249D">
        <w:t xml:space="preserve">A number of PPP projects have already been approved so far under this new law. These include: the construction of the </w:t>
      </w:r>
      <w:proofErr w:type="spellStart"/>
      <w:r w:rsidRPr="0030249D">
        <w:t>Ámbar</w:t>
      </w:r>
      <w:proofErr w:type="spellEnd"/>
      <w:r w:rsidRPr="0030249D">
        <w:t xml:space="preserve"> motorway between Santiago and Puerto Plata, the Pedernales Province tourism development project, Puerto Arroyo </w:t>
      </w:r>
      <w:proofErr w:type="spellStart"/>
      <w:r w:rsidRPr="0030249D">
        <w:t>Barril</w:t>
      </w:r>
      <w:proofErr w:type="spellEnd"/>
      <w:r w:rsidRPr="0030249D">
        <w:t>, an electronic secured transaction system, and the expansion of the national power transmission and distribution system.</w:t>
      </w:r>
    </w:p>
  </w:footnote>
  <w:footnote w:id="99">
    <w:p w14:paraId="7CF75F6A" w14:textId="77777777" w:rsidR="006C6BEF" w:rsidRDefault="006C6BEF">
      <w:pPr>
        <w:pStyle w:val="FootnoteText"/>
      </w:pPr>
      <w:r>
        <w:rPr>
          <w:rStyle w:val="FootnoteReference"/>
        </w:rPr>
        <w:footnoteRef/>
      </w:r>
      <w:r>
        <w:t xml:space="preserve"> </w:t>
      </w:r>
      <w:r w:rsidRPr="0030249D">
        <w:t>In this connection, the authorities consider that complaints may not be lodged against the Dominican</w:t>
      </w:r>
      <w:r>
        <w:t> </w:t>
      </w:r>
      <w:r w:rsidRPr="0030249D">
        <w:t>Republic under the ICSID Convention, but only under its Additional Facility Rules.</w:t>
      </w:r>
    </w:p>
  </w:footnote>
  <w:footnote w:id="100">
    <w:p w14:paraId="39146B7B" w14:textId="77777777" w:rsidR="006C6BEF" w:rsidRDefault="006C6BEF">
      <w:pPr>
        <w:pStyle w:val="FootnoteText"/>
      </w:pPr>
      <w:r>
        <w:rPr>
          <w:rStyle w:val="FootnoteReference"/>
        </w:rPr>
        <w:footnoteRef/>
      </w:r>
      <w:r>
        <w:t xml:space="preserve"> </w:t>
      </w:r>
      <w:r w:rsidRPr="0030249D">
        <w:t>The free zone regime was notified by the Dominican Republic to the Committee on Subsidies and Countervailing Measures (WTO document G/</w:t>
      </w:r>
      <w:proofErr w:type="spellStart"/>
      <w:r w:rsidRPr="0030249D">
        <w:t>SCM</w:t>
      </w:r>
      <w:proofErr w:type="spellEnd"/>
      <w:r w:rsidRPr="0030249D">
        <w:t>/N/343/DOM of 12 July 2019).</w:t>
      </w:r>
    </w:p>
  </w:footnote>
  <w:footnote w:id="101">
    <w:p w14:paraId="5F6C1ED4" w14:textId="77777777" w:rsidR="006C6BEF" w:rsidRDefault="006C6BEF">
      <w:pPr>
        <w:pStyle w:val="FootnoteText"/>
      </w:pPr>
      <w:r>
        <w:rPr>
          <w:rStyle w:val="FootnoteReference"/>
        </w:rPr>
        <w:footnoteRef/>
      </w:r>
      <w:r>
        <w:t xml:space="preserve"> </w:t>
      </w:r>
      <w:r w:rsidRPr="0030249D">
        <w:t>Law No. 155-17, which repealed Law No. 480-08.</w:t>
      </w:r>
    </w:p>
  </w:footnote>
  <w:footnote w:id="102">
    <w:p w14:paraId="51E7A05A" w14:textId="77777777" w:rsidR="006C6BEF" w:rsidRDefault="006C6BEF">
      <w:pPr>
        <w:pStyle w:val="FootnoteText"/>
      </w:pPr>
      <w:r>
        <w:rPr>
          <w:rStyle w:val="FootnoteReference"/>
        </w:rPr>
        <w:footnoteRef/>
      </w:r>
      <w:r>
        <w:t xml:space="preserve"> </w:t>
      </w:r>
      <w:r w:rsidRPr="0030249D">
        <w:t>The incentives provided for in the Law have not been amended and have simply been extended to other renewable energy producers (Law No. 57-07 and Decree No. 202-08, and Law No. 115-15).</w:t>
      </w:r>
    </w:p>
  </w:footnote>
  <w:footnote w:id="103">
    <w:p w14:paraId="3DFF87C5" w14:textId="77777777" w:rsidR="006C6BEF" w:rsidRDefault="006C6BEF">
      <w:pPr>
        <w:pStyle w:val="FootnoteText"/>
      </w:pPr>
      <w:r>
        <w:rPr>
          <w:rStyle w:val="FootnoteReference"/>
        </w:rPr>
        <w:footnoteRef/>
      </w:r>
      <w:r>
        <w:t xml:space="preserve"> </w:t>
      </w:r>
      <w:r w:rsidRPr="0030249D">
        <w:t>Law No. 225-20.</w:t>
      </w:r>
    </w:p>
  </w:footnote>
  <w:footnote w:id="104">
    <w:p w14:paraId="0F0859B3" w14:textId="77777777" w:rsidR="006C6BEF" w:rsidRDefault="006C6BEF">
      <w:pPr>
        <w:pStyle w:val="FootnoteText"/>
      </w:pPr>
      <w:r>
        <w:rPr>
          <w:rStyle w:val="FootnoteReference"/>
        </w:rPr>
        <w:footnoteRef/>
      </w:r>
      <w:r>
        <w:t xml:space="preserve"> </w:t>
      </w:r>
      <w:r w:rsidRPr="0030249D">
        <w:t>In addition, a 100</w:t>
      </w:r>
      <w:r>
        <w:t>%</w:t>
      </w:r>
      <w:r w:rsidRPr="0030249D">
        <w:t xml:space="preserve"> exemption from the </w:t>
      </w:r>
      <w:proofErr w:type="spellStart"/>
      <w:r w:rsidRPr="0030249D">
        <w:t>ISR</w:t>
      </w:r>
      <w:proofErr w:type="spellEnd"/>
      <w:r w:rsidRPr="0030249D">
        <w:t>, excluding dividends, is granted for five years from the date of enactment of the Law.</w:t>
      </w:r>
    </w:p>
  </w:footnote>
  <w:footnote w:id="105">
    <w:p w14:paraId="4E65E64B" w14:textId="77777777" w:rsidR="006C6BEF" w:rsidRDefault="006C6BEF">
      <w:pPr>
        <w:pStyle w:val="FootnoteText"/>
      </w:pPr>
      <w:r>
        <w:rPr>
          <w:rStyle w:val="FootnoteReference"/>
        </w:rPr>
        <w:footnoteRef/>
      </w:r>
      <w:r>
        <w:t xml:space="preserve"> </w:t>
      </w:r>
      <w:r w:rsidRPr="0030249D">
        <w:t>Law No. 242-20 amended the scope of Law No. 392-07 on Industrial Competitiveness and Innovation, as amended by Law No. 542-14.</w:t>
      </w:r>
    </w:p>
  </w:footnote>
  <w:footnote w:id="106">
    <w:p w14:paraId="3640A2EA" w14:textId="77777777" w:rsidR="006C6BEF" w:rsidRDefault="006C6BEF">
      <w:pPr>
        <w:pStyle w:val="FootnoteText"/>
      </w:pPr>
      <w:r>
        <w:rPr>
          <w:rStyle w:val="FootnoteReference"/>
        </w:rPr>
        <w:footnoteRef/>
      </w:r>
      <w:r>
        <w:t xml:space="preserve"> </w:t>
      </w:r>
      <w:r w:rsidRPr="0030249D">
        <w:t>Law No. 28-01, as amended by Law No. 236-05.</w:t>
      </w:r>
    </w:p>
  </w:footnote>
  <w:footnote w:id="107">
    <w:p w14:paraId="68B6B26A" w14:textId="77777777" w:rsidR="006C6BEF" w:rsidRDefault="006C6BEF">
      <w:pPr>
        <w:pStyle w:val="FootnoteText"/>
      </w:pPr>
      <w:r>
        <w:rPr>
          <w:rStyle w:val="FootnoteReference"/>
        </w:rPr>
        <w:footnoteRef/>
      </w:r>
      <w:r>
        <w:t xml:space="preserve"> </w:t>
      </w:r>
      <w:r w:rsidRPr="0030249D">
        <w:t>Law No. 12-21 and Decree No. 766-21.</w:t>
      </w:r>
    </w:p>
  </w:footnote>
  <w:footnote w:id="108">
    <w:p w14:paraId="43E76A51" w14:textId="77777777" w:rsidR="006C6BEF" w:rsidRDefault="006C6BEF">
      <w:pPr>
        <w:pStyle w:val="FootnoteText"/>
      </w:pPr>
      <w:r>
        <w:rPr>
          <w:rStyle w:val="FootnoteReference"/>
        </w:rPr>
        <w:footnoteRef/>
      </w:r>
      <w:r>
        <w:t xml:space="preserve"> </w:t>
      </w:r>
      <w:r w:rsidRPr="0030249D">
        <w:t xml:space="preserve">Council for the Coordination of the Special Border Development Zone. Viewed at: </w:t>
      </w:r>
      <w:hyperlink r:id="rId42" w:history="1">
        <w:r w:rsidRPr="0030249D">
          <w:rPr>
            <w:rStyle w:val="Hyperlink"/>
          </w:rPr>
          <w:t>https://ccdf.gob.do/phocadownload/SobreNosotros/MarcoLegal/Beneficios/Beneficios%20Ley%2012-21.pdf</w:t>
        </w:r>
      </w:hyperlink>
      <w:r w:rsidRPr="0030249D">
        <w:t>.</w:t>
      </w:r>
    </w:p>
  </w:footnote>
  <w:footnote w:id="109">
    <w:p w14:paraId="6BAC699B" w14:textId="77777777" w:rsidR="001A500E" w:rsidRDefault="001A500E">
      <w:pPr>
        <w:pStyle w:val="FootnoteText"/>
      </w:pPr>
      <w:r>
        <w:rPr>
          <w:rStyle w:val="FootnoteReference"/>
        </w:rPr>
        <w:footnoteRef/>
      </w:r>
      <w:r>
        <w:t xml:space="preserve"> </w:t>
      </w:r>
      <w:r w:rsidRPr="00987B85">
        <w:t>Decree No. 470-14 and Article 403 of Law No. 168-21.</w:t>
      </w:r>
    </w:p>
  </w:footnote>
  <w:footnote w:id="110">
    <w:p w14:paraId="505C4F07" w14:textId="77777777" w:rsidR="001A500E" w:rsidRDefault="001A500E">
      <w:pPr>
        <w:pStyle w:val="FootnoteText"/>
      </w:pPr>
      <w:r>
        <w:rPr>
          <w:rStyle w:val="FootnoteReference"/>
        </w:rPr>
        <w:footnoteRef/>
      </w:r>
      <w:r>
        <w:t xml:space="preserve"> </w:t>
      </w:r>
      <w:r w:rsidRPr="00987B85">
        <w:t xml:space="preserve">Currently, the </w:t>
      </w:r>
      <w:proofErr w:type="spellStart"/>
      <w:r w:rsidRPr="00987B85">
        <w:t>VUCE</w:t>
      </w:r>
      <w:proofErr w:type="spellEnd"/>
      <w:r w:rsidRPr="00987B85">
        <w:t xml:space="preserve"> system </w:t>
      </w:r>
      <w:r>
        <w:t>comprises</w:t>
      </w:r>
      <w:r w:rsidRPr="00987B85">
        <w:t>, among others, the following institutions:</w:t>
      </w:r>
      <w:r>
        <w:t xml:space="preserve"> </w:t>
      </w:r>
      <w:r w:rsidRPr="00987B85">
        <w:t>the DGA; the Ministry of Agriculture; the Ministry of Public Health and Social Welfare; the Ministry of the Environment and Natural Resources; the National Drug Control Directorate</w:t>
      </w:r>
      <w:r>
        <w:t xml:space="preserve"> (</w:t>
      </w:r>
      <w:proofErr w:type="spellStart"/>
      <w:r>
        <w:t>DNCD</w:t>
      </w:r>
      <w:proofErr w:type="spellEnd"/>
      <w:r>
        <w:t>)</w:t>
      </w:r>
      <w:r w:rsidRPr="00987B85">
        <w:t>; the Ministry of the Armed Forces; the Ministry of Public Works and Communications</w:t>
      </w:r>
      <w:r>
        <w:t xml:space="preserve"> (</w:t>
      </w:r>
      <w:proofErr w:type="spellStart"/>
      <w:r>
        <w:t>MOPC</w:t>
      </w:r>
      <w:proofErr w:type="spellEnd"/>
      <w:r>
        <w:t>)</w:t>
      </w:r>
      <w:r w:rsidRPr="00987B85">
        <w:t>; the Export and Investment Center</w:t>
      </w:r>
      <w:r>
        <w:t xml:space="preserve"> of the </w:t>
      </w:r>
      <w:r w:rsidRPr="00987B85">
        <w:t xml:space="preserve">Dominican Republic </w:t>
      </w:r>
      <w:r w:rsidRPr="006578E6">
        <w:t>(</w:t>
      </w:r>
      <w:proofErr w:type="spellStart"/>
      <w:r w:rsidRPr="006578E6">
        <w:t>CEI</w:t>
      </w:r>
      <w:proofErr w:type="spellEnd"/>
      <w:r w:rsidRPr="006578E6">
        <w:noBreakHyphen/>
        <w:t>RD)</w:t>
      </w:r>
      <w:r w:rsidRPr="00987B85">
        <w:t>; the Dominican Institute</w:t>
      </w:r>
      <w:r>
        <w:t xml:space="preserve"> for </w:t>
      </w:r>
      <w:r w:rsidRPr="00987B85">
        <w:t xml:space="preserve">Quality </w:t>
      </w:r>
      <w:r>
        <w:t>(</w:t>
      </w:r>
      <w:proofErr w:type="spellStart"/>
      <w:r>
        <w:t>INDOCAL</w:t>
      </w:r>
      <w:proofErr w:type="spellEnd"/>
      <w:r>
        <w:t>)</w:t>
      </w:r>
      <w:r w:rsidRPr="00987B85">
        <w:t>; the Dominican Sugar Institute</w:t>
      </w:r>
      <w:r>
        <w:t xml:space="preserve"> (</w:t>
      </w:r>
      <w:proofErr w:type="spellStart"/>
      <w:r>
        <w:t>INAZUCAR</w:t>
      </w:r>
      <w:proofErr w:type="spellEnd"/>
      <w:r>
        <w:t>)</w:t>
      </w:r>
      <w:r w:rsidRPr="00987B85">
        <w:t>; the Dominican Port Authority</w:t>
      </w:r>
      <w:r>
        <w:t xml:space="preserve"> (</w:t>
      </w:r>
      <w:proofErr w:type="spellStart"/>
      <w:r>
        <w:t>APORDOM</w:t>
      </w:r>
      <w:proofErr w:type="spellEnd"/>
      <w:r>
        <w:t>)</w:t>
      </w:r>
      <w:r w:rsidRPr="00987B85">
        <w:t>; and the Dominican Tobacco Institute</w:t>
      </w:r>
      <w:r>
        <w:t xml:space="preserve"> (</w:t>
      </w:r>
      <w:proofErr w:type="spellStart"/>
      <w:r>
        <w:t>INTABACO</w:t>
      </w:r>
      <w:proofErr w:type="spellEnd"/>
      <w:r>
        <w:t>)</w:t>
      </w:r>
      <w:r w:rsidRPr="00987B85">
        <w:t>.</w:t>
      </w:r>
    </w:p>
  </w:footnote>
  <w:footnote w:id="111">
    <w:p w14:paraId="005092CB" w14:textId="77777777" w:rsidR="001A500E" w:rsidRDefault="001A500E">
      <w:pPr>
        <w:pStyle w:val="FootnoteText"/>
      </w:pPr>
      <w:r>
        <w:rPr>
          <w:rStyle w:val="FootnoteReference"/>
        </w:rPr>
        <w:footnoteRef/>
      </w:r>
      <w:r>
        <w:t xml:space="preserve"> </w:t>
      </w:r>
      <w:proofErr w:type="spellStart"/>
      <w:r w:rsidRPr="002847D2">
        <w:t>VUCE</w:t>
      </w:r>
      <w:proofErr w:type="spellEnd"/>
      <w:r w:rsidRPr="002847D2">
        <w:t>.</w:t>
      </w:r>
      <w:r>
        <w:t xml:space="preserve"> </w:t>
      </w:r>
      <w:r w:rsidRPr="002847D2">
        <w:t xml:space="preserve">Viewed at: </w:t>
      </w:r>
      <w:hyperlink r:id="rId43" w:history="1">
        <w:r>
          <w:rPr>
            <w:rStyle w:val="Hyperlink"/>
          </w:rPr>
          <w:t>https://vucerd.gob.do/acerca-de-vuce/c%C3%B3mo-utilizar-la-vuce</w:t>
        </w:r>
      </w:hyperlink>
      <w:r>
        <w:t>.</w:t>
      </w:r>
    </w:p>
  </w:footnote>
  <w:footnote w:id="112">
    <w:p w14:paraId="2E1C21A8" w14:textId="77777777" w:rsidR="001A500E" w:rsidRDefault="001A500E">
      <w:pPr>
        <w:pStyle w:val="FootnoteText"/>
      </w:pPr>
      <w:r>
        <w:rPr>
          <w:rStyle w:val="FootnoteReference"/>
        </w:rPr>
        <w:footnoteRef/>
      </w:r>
      <w:r>
        <w:t xml:space="preserve"> </w:t>
      </w:r>
      <w:r w:rsidRPr="002847D2">
        <w:t>Decree No. 144-12 and Article 404 of Law No. 168-21.</w:t>
      </w:r>
    </w:p>
  </w:footnote>
  <w:footnote w:id="113">
    <w:p w14:paraId="0843EE72" w14:textId="77777777" w:rsidR="001A500E" w:rsidRDefault="001A500E">
      <w:pPr>
        <w:pStyle w:val="FootnoteText"/>
      </w:pPr>
      <w:r>
        <w:rPr>
          <w:rStyle w:val="FootnoteReference"/>
        </w:rPr>
        <w:footnoteRef/>
      </w:r>
      <w:r>
        <w:t xml:space="preserve"> </w:t>
      </w:r>
      <w:r w:rsidRPr="002847D2">
        <w:t>Articles 15-18 of Decree No. 144-12.</w:t>
      </w:r>
    </w:p>
  </w:footnote>
  <w:footnote w:id="114">
    <w:p w14:paraId="311F470F" w14:textId="77777777" w:rsidR="001A500E" w:rsidRDefault="001A500E">
      <w:pPr>
        <w:pStyle w:val="FootnoteText"/>
      </w:pPr>
      <w:r>
        <w:rPr>
          <w:rStyle w:val="FootnoteReference"/>
        </w:rPr>
        <w:footnoteRef/>
      </w:r>
      <w:r>
        <w:t xml:space="preserve"> </w:t>
      </w:r>
      <w:r w:rsidRPr="002847D2">
        <w:t>Article 3 of Decree No. 144-12.</w:t>
      </w:r>
    </w:p>
  </w:footnote>
  <w:footnote w:id="115">
    <w:p w14:paraId="17F5D468" w14:textId="77777777" w:rsidR="001A500E" w:rsidRDefault="001A500E">
      <w:pPr>
        <w:pStyle w:val="FootnoteText"/>
      </w:pPr>
      <w:r>
        <w:rPr>
          <w:rStyle w:val="FootnoteReference"/>
        </w:rPr>
        <w:footnoteRef/>
      </w:r>
      <w:r>
        <w:t xml:space="preserve"> </w:t>
      </w:r>
      <w:r w:rsidRPr="00C72BF3">
        <w:t>Decree No. 36-11 and Article 80 of Law No. 168-21.</w:t>
      </w:r>
    </w:p>
  </w:footnote>
  <w:footnote w:id="116">
    <w:p w14:paraId="4CE257F9" w14:textId="77777777" w:rsidR="001A500E" w:rsidRDefault="001A500E">
      <w:pPr>
        <w:pStyle w:val="FootnoteText"/>
      </w:pPr>
      <w:r>
        <w:rPr>
          <w:rStyle w:val="FootnoteReference"/>
        </w:rPr>
        <w:footnoteRef/>
      </w:r>
      <w:r>
        <w:t xml:space="preserve"> </w:t>
      </w:r>
      <w:r w:rsidRPr="00C72BF3">
        <w:t>Rule No. 001</w:t>
      </w:r>
      <w:r>
        <w:t>-</w:t>
      </w:r>
      <w:r w:rsidRPr="00C72BF3">
        <w:t>2015 of 20 March 2015 replaced Rule No. 001</w:t>
      </w:r>
      <w:r>
        <w:t>-</w:t>
      </w:r>
      <w:r w:rsidRPr="00C72BF3">
        <w:t>2001 of 29 June 2001 on application of the customs value declaration (DVA) form.</w:t>
      </w:r>
    </w:p>
  </w:footnote>
  <w:footnote w:id="117">
    <w:p w14:paraId="2255BC28" w14:textId="77777777" w:rsidR="001A500E" w:rsidRDefault="001A500E">
      <w:pPr>
        <w:pStyle w:val="FootnoteText"/>
      </w:pPr>
      <w:r>
        <w:rPr>
          <w:rStyle w:val="FootnoteReference"/>
        </w:rPr>
        <w:footnoteRef/>
      </w:r>
      <w:r>
        <w:t xml:space="preserve"> </w:t>
      </w:r>
      <w:r w:rsidRPr="00C72BF3">
        <w:t>WTO document G/VAL/N/2/DOM/1, 20 December 2019.</w:t>
      </w:r>
    </w:p>
  </w:footnote>
  <w:footnote w:id="118">
    <w:p w14:paraId="4E20160F" w14:textId="77777777" w:rsidR="001A500E" w:rsidRDefault="001A500E">
      <w:pPr>
        <w:pStyle w:val="FootnoteText"/>
      </w:pPr>
      <w:r>
        <w:rPr>
          <w:rStyle w:val="FootnoteReference"/>
        </w:rPr>
        <w:footnoteRef/>
      </w:r>
      <w:r>
        <w:t xml:space="preserve"> </w:t>
      </w:r>
      <w:r w:rsidRPr="00C72BF3">
        <w:t>These include administrative appeals (appeals for reconsideration and hierarchical appeals) and judicial appeals (contentious-tax appeals and contentious-administrative appeals).</w:t>
      </w:r>
    </w:p>
  </w:footnote>
  <w:footnote w:id="119">
    <w:p w14:paraId="3FFB1AE3" w14:textId="77777777" w:rsidR="001A500E" w:rsidRDefault="001A500E">
      <w:pPr>
        <w:pStyle w:val="FootnoteText"/>
      </w:pPr>
      <w:r>
        <w:rPr>
          <w:rStyle w:val="FootnoteReference"/>
        </w:rPr>
        <w:footnoteRef/>
      </w:r>
      <w:r>
        <w:t xml:space="preserve"> </w:t>
      </w:r>
      <w:r w:rsidRPr="00C72BF3">
        <w:t>Article 230 of Law No. 168-21.</w:t>
      </w:r>
    </w:p>
  </w:footnote>
  <w:footnote w:id="120">
    <w:p w14:paraId="1F433D59" w14:textId="77777777" w:rsidR="001A500E" w:rsidRDefault="001A500E">
      <w:pPr>
        <w:pStyle w:val="FootnoteText"/>
      </w:pPr>
      <w:r>
        <w:rPr>
          <w:rStyle w:val="FootnoteReference"/>
        </w:rPr>
        <w:footnoteRef/>
      </w:r>
      <w:r>
        <w:t xml:space="preserve"> </w:t>
      </w:r>
      <w:r w:rsidRPr="006B67FE">
        <w:t>The 12 tariff levels are:</w:t>
      </w:r>
      <w:r>
        <w:t xml:space="preserve"> </w:t>
      </w:r>
      <w:r w:rsidRPr="006B67FE">
        <w:t>0</w:t>
      </w:r>
      <w:r>
        <w:t>%</w:t>
      </w:r>
      <w:r w:rsidRPr="006B67FE">
        <w:t>, 3</w:t>
      </w:r>
      <w:r>
        <w:t>%</w:t>
      </w:r>
      <w:r w:rsidRPr="006B67FE">
        <w:t>, 8</w:t>
      </w:r>
      <w:r>
        <w:t>%</w:t>
      </w:r>
      <w:r w:rsidRPr="006B67FE">
        <w:t>, 14</w:t>
      </w:r>
      <w:r>
        <w:t>%</w:t>
      </w:r>
      <w:r w:rsidRPr="006B67FE">
        <w:t>, 20</w:t>
      </w:r>
      <w:r>
        <w:t>%</w:t>
      </w:r>
      <w:r w:rsidRPr="006B67FE">
        <w:t>, 25</w:t>
      </w:r>
      <w:r>
        <w:t>%</w:t>
      </w:r>
      <w:r w:rsidRPr="006B67FE">
        <w:t>, 40</w:t>
      </w:r>
      <w:r>
        <w:t>%</w:t>
      </w:r>
      <w:r w:rsidRPr="006B67FE">
        <w:t>, 56</w:t>
      </w:r>
      <w:r>
        <w:t>%</w:t>
      </w:r>
      <w:r w:rsidRPr="006B67FE">
        <w:t>, 85</w:t>
      </w:r>
      <w:r>
        <w:t>%</w:t>
      </w:r>
      <w:r w:rsidRPr="006B67FE">
        <w:t>, 89</w:t>
      </w:r>
      <w:r>
        <w:t>%</w:t>
      </w:r>
      <w:r w:rsidRPr="006B67FE">
        <w:t>, 97</w:t>
      </w:r>
      <w:r>
        <w:t>%</w:t>
      </w:r>
      <w:r w:rsidRPr="006B67FE">
        <w:t xml:space="preserve"> and 99</w:t>
      </w:r>
      <w:r>
        <w:t>%</w:t>
      </w:r>
      <w:r w:rsidRPr="006B67FE">
        <w:t>.</w:t>
      </w:r>
    </w:p>
  </w:footnote>
  <w:footnote w:id="121">
    <w:p w14:paraId="719552B9" w14:textId="77777777" w:rsidR="001A500E" w:rsidRDefault="001A500E">
      <w:pPr>
        <w:pStyle w:val="FootnoteText"/>
      </w:pPr>
      <w:r>
        <w:rPr>
          <w:rStyle w:val="FootnoteReference"/>
        </w:rPr>
        <w:footnoteRef/>
      </w:r>
      <w:r>
        <w:t xml:space="preserve"> </w:t>
      </w:r>
      <w:r w:rsidRPr="000165A0">
        <w:t>This finding was obtained by comparing the applied MFN Tariff (2021), which is in the HS 2017 nomenclature, with the approved bound tariff, which is in the HS 2002 nomenclature, taking into account only the lines that are strictly comparable in the two nomenclatures.</w:t>
      </w:r>
    </w:p>
  </w:footnote>
  <w:footnote w:id="122">
    <w:p w14:paraId="089389C8" w14:textId="77777777" w:rsidR="001A500E" w:rsidRDefault="001A500E">
      <w:pPr>
        <w:pStyle w:val="FootnoteText"/>
      </w:pPr>
      <w:r>
        <w:rPr>
          <w:rStyle w:val="FootnoteReference"/>
        </w:rPr>
        <w:footnoteRef/>
      </w:r>
      <w:r>
        <w:t xml:space="preserve"> </w:t>
      </w:r>
      <w:r w:rsidRPr="000165A0">
        <w:t>WTO documents G/MA/339 and G/MA/388 of 12 September 2017 and 26 November 2020, respectively.</w:t>
      </w:r>
    </w:p>
  </w:footnote>
  <w:footnote w:id="123">
    <w:p w14:paraId="1F1979D3" w14:textId="77777777" w:rsidR="001A500E" w:rsidRDefault="001A500E">
      <w:pPr>
        <w:pStyle w:val="FootnoteText"/>
      </w:pPr>
      <w:r>
        <w:rPr>
          <w:rStyle w:val="FootnoteReference"/>
        </w:rPr>
        <w:footnoteRef/>
      </w:r>
      <w:r>
        <w:t xml:space="preserve"> </w:t>
      </w:r>
      <w:r w:rsidRPr="000165A0">
        <w:t>The lowest rate between the MFN tariff and the preferential tariff was used to calculate this average for each product.</w:t>
      </w:r>
    </w:p>
  </w:footnote>
  <w:footnote w:id="124">
    <w:p w14:paraId="2F636806" w14:textId="77777777" w:rsidR="001A500E" w:rsidRDefault="001A500E">
      <w:pPr>
        <w:pStyle w:val="FootnoteText"/>
      </w:pPr>
      <w:r>
        <w:rPr>
          <w:rStyle w:val="FootnoteReference"/>
        </w:rPr>
        <w:footnoteRef/>
      </w:r>
      <w:r>
        <w:t xml:space="preserve"> </w:t>
      </w:r>
      <w:r w:rsidRPr="00141637">
        <w:t>Information provided by the authorities.</w:t>
      </w:r>
    </w:p>
  </w:footnote>
  <w:footnote w:id="125">
    <w:p w14:paraId="139A75E4" w14:textId="77777777" w:rsidR="001A500E" w:rsidRDefault="001A500E">
      <w:pPr>
        <w:pStyle w:val="FootnoteText"/>
      </w:pPr>
      <w:r>
        <w:rPr>
          <w:rStyle w:val="FootnoteReference"/>
        </w:rPr>
        <w:footnoteRef/>
      </w:r>
      <w:r>
        <w:t xml:space="preserve"> </w:t>
      </w:r>
      <w:r w:rsidRPr="00141637">
        <w:t>Decree No. 605-21.</w:t>
      </w:r>
    </w:p>
  </w:footnote>
  <w:footnote w:id="126">
    <w:p w14:paraId="27A958C9" w14:textId="77777777" w:rsidR="001A500E" w:rsidRDefault="001A500E">
      <w:pPr>
        <w:pStyle w:val="FootnoteText"/>
      </w:pPr>
      <w:r>
        <w:rPr>
          <w:rStyle w:val="FootnoteReference"/>
        </w:rPr>
        <w:footnoteRef/>
      </w:r>
      <w:r>
        <w:t xml:space="preserve"> </w:t>
      </w:r>
      <w:r w:rsidRPr="00141637">
        <w:t xml:space="preserve">Article 3.13 and General Notes on the </w:t>
      </w:r>
      <w:r>
        <w:t>Tariff Schedule</w:t>
      </w:r>
      <w:r w:rsidRPr="00141637">
        <w:t xml:space="preserve"> </w:t>
      </w:r>
      <w:r>
        <w:t>of</w:t>
      </w:r>
      <w:r w:rsidRPr="00141637">
        <w:t xml:space="preserve"> the Dominican Republic </w:t>
      </w:r>
      <w:r>
        <w:t>under</w:t>
      </w:r>
      <w:r w:rsidRPr="00141637">
        <w:t xml:space="preserve"> the Free Trade Agreement between the Dominican Republic, Central America and the United States.</w:t>
      </w:r>
    </w:p>
  </w:footnote>
  <w:footnote w:id="127">
    <w:p w14:paraId="26BFF043" w14:textId="77777777" w:rsidR="001A500E" w:rsidRDefault="001A500E">
      <w:pPr>
        <w:pStyle w:val="FootnoteText"/>
      </w:pPr>
      <w:r>
        <w:rPr>
          <w:rStyle w:val="FootnoteReference"/>
        </w:rPr>
        <w:footnoteRef/>
      </w:r>
      <w:r>
        <w:t xml:space="preserve"> </w:t>
      </w:r>
      <w:r w:rsidRPr="00141637">
        <w:t>Decree No. 701-10, which establishes regulations governing the administration of the CAFTA-DR tariff quotas, is still in force.</w:t>
      </w:r>
      <w:r>
        <w:t xml:space="preserve"> </w:t>
      </w:r>
      <w:r w:rsidRPr="00141637">
        <w:t xml:space="preserve">Under the EPA, the tariff rate quota for powdered milk is </w:t>
      </w:r>
      <w:r>
        <w:t>managed</w:t>
      </w:r>
      <w:r w:rsidRPr="00141637">
        <w:t xml:space="preserve"> by the European</w:t>
      </w:r>
      <w:r>
        <w:t> </w:t>
      </w:r>
      <w:r w:rsidRPr="00141637">
        <w:t xml:space="preserve">Union </w:t>
      </w:r>
      <w:r>
        <w:t>by means of</w:t>
      </w:r>
      <w:r w:rsidRPr="00141637">
        <w:t xml:space="preserve"> an export </w:t>
      </w:r>
      <w:r>
        <w:t>licence</w:t>
      </w:r>
      <w:r w:rsidRPr="00141637">
        <w:t xml:space="preserve"> mechanism (Section 3, Article 27 of Regulation</w:t>
      </w:r>
      <w:r>
        <w:t> </w:t>
      </w:r>
      <w:r w:rsidRPr="00141637">
        <w:t>(EC)</w:t>
      </w:r>
      <w:r>
        <w:t> </w:t>
      </w:r>
      <w:r w:rsidRPr="00141637">
        <w:t>No.</w:t>
      </w:r>
      <w:r>
        <w:t> </w:t>
      </w:r>
      <w:r w:rsidRPr="00141637">
        <w:t>1187/2009).</w:t>
      </w:r>
    </w:p>
  </w:footnote>
  <w:footnote w:id="128">
    <w:p w14:paraId="2C70FAA1" w14:textId="77777777" w:rsidR="001A500E" w:rsidRDefault="001A500E">
      <w:pPr>
        <w:pStyle w:val="FootnoteText"/>
      </w:pPr>
      <w:r>
        <w:rPr>
          <w:rStyle w:val="FootnoteReference"/>
        </w:rPr>
        <w:footnoteRef/>
      </w:r>
      <w:r>
        <w:t xml:space="preserve"> </w:t>
      </w:r>
      <w:r w:rsidRPr="00B10DE5">
        <w:t>Article 13 of Law No. 14-93, amended by Article 6 of Law No. 146-00.</w:t>
      </w:r>
    </w:p>
  </w:footnote>
  <w:footnote w:id="129">
    <w:p w14:paraId="054BC67D" w14:textId="77777777" w:rsidR="001A500E" w:rsidRDefault="001A500E">
      <w:pPr>
        <w:pStyle w:val="FootnoteText"/>
      </w:pPr>
      <w:r>
        <w:rPr>
          <w:rStyle w:val="FootnoteReference"/>
        </w:rPr>
        <w:footnoteRef/>
      </w:r>
      <w:r>
        <w:t xml:space="preserve"> </w:t>
      </w:r>
      <w:r w:rsidRPr="00B10DE5">
        <w:t xml:space="preserve">The import tax exemptions that were in effect during the pandemic for imports of certain medical supplies, </w:t>
      </w:r>
      <w:r>
        <w:t>equipment</w:t>
      </w:r>
      <w:r w:rsidRPr="00B10DE5">
        <w:t xml:space="preserve"> and </w:t>
      </w:r>
      <w:r>
        <w:t>devices</w:t>
      </w:r>
      <w:r w:rsidRPr="00B10DE5">
        <w:t xml:space="preserve"> were applicable to all importers, including government agencies.</w:t>
      </w:r>
    </w:p>
  </w:footnote>
  <w:footnote w:id="130">
    <w:p w14:paraId="470A4E46" w14:textId="77777777" w:rsidR="001A500E" w:rsidRDefault="001A500E">
      <w:pPr>
        <w:pStyle w:val="FootnoteText"/>
      </w:pPr>
      <w:r>
        <w:rPr>
          <w:rStyle w:val="FootnoteReference"/>
        </w:rPr>
        <w:footnoteRef/>
      </w:r>
      <w:r>
        <w:t xml:space="preserve"> </w:t>
      </w:r>
      <w:r w:rsidRPr="00B10DE5">
        <w:t>Provided that they belong to foreigners who will reside permanently in the country or to nationals returning to the country after having resided abroad for two consecutive years.</w:t>
      </w:r>
    </w:p>
  </w:footnote>
  <w:footnote w:id="131">
    <w:p w14:paraId="7169BB5A" w14:textId="77777777" w:rsidR="001A500E" w:rsidRDefault="001A500E">
      <w:pPr>
        <w:pStyle w:val="FootnoteText"/>
      </w:pPr>
      <w:r>
        <w:rPr>
          <w:rStyle w:val="FootnoteReference"/>
        </w:rPr>
        <w:footnoteRef/>
      </w:r>
      <w:r>
        <w:t xml:space="preserve"> </w:t>
      </w:r>
      <w:r w:rsidRPr="00B10DE5">
        <w:t>Provided that they belong to Dominican students who have studied abroad.</w:t>
      </w:r>
    </w:p>
  </w:footnote>
  <w:footnote w:id="132">
    <w:p w14:paraId="0045696E" w14:textId="77777777" w:rsidR="001A500E" w:rsidRDefault="001A500E">
      <w:pPr>
        <w:pStyle w:val="FootnoteText"/>
      </w:pPr>
      <w:r>
        <w:rPr>
          <w:rStyle w:val="FootnoteReference"/>
        </w:rPr>
        <w:footnoteRef/>
      </w:r>
      <w:r>
        <w:t xml:space="preserve"> </w:t>
      </w:r>
      <w:r w:rsidRPr="00B10DE5">
        <w:t>Small samples of pharmaceuticals; inputs, packaging, machinery and equipment for the manufacture of medicines for human or animal use; pacemakers for treating cardiac diseases; and special hearing aids.</w:t>
      </w:r>
    </w:p>
  </w:footnote>
  <w:footnote w:id="133">
    <w:p w14:paraId="01EA4CA6" w14:textId="77777777" w:rsidR="001A500E" w:rsidRDefault="001A500E" w:rsidP="002609B0">
      <w:pPr>
        <w:pStyle w:val="FootnoteText"/>
      </w:pPr>
      <w:r>
        <w:rPr>
          <w:rStyle w:val="FootnoteReference"/>
        </w:rPr>
        <w:footnoteRef/>
      </w:r>
      <w:r>
        <w:t xml:space="preserve"> </w:t>
      </w:r>
      <w:r w:rsidRPr="0073435E">
        <w:t>Article 2 of General Rule No. 001</w:t>
      </w:r>
      <w:r w:rsidRPr="0073435E">
        <w:rPr>
          <w:rFonts w:ascii="Cambria Math" w:hAnsi="Cambria Math" w:cs="Cambria Math"/>
        </w:rPr>
        <w:t>‑</w:t>
      </w:r>
      <w:r w:rsidRPr="0073435E">
        <w:t>2014 of the Directorate-General of Customs, Article 1 of Resolution No. 68-06 of the Ministry of Finance, and Article 265 of Law No. 168-21.</w:t>
      </w:r>
    </w:p>
  </w:footnote>
  <w:footnote w:id="134">
    <w:p w14:paraId="148B2BD0" w14:textId="77777777" w:rsidR="001A500E" w:rsidRDefault="001A500E">
      <w:pPr>
        <w:pStyle w:val="FootnoteText"/>
      </w:pPr>
      <w:r>
        <w:rPr>
          <w:rStyle w:val="FootnoteReference"/>
        </w:rPr>
        <w:footnoteRef/>
      </w:r>
      <w:r>
        <w:t xml:space="preserve"> </w:t>
      </w:r>
      <w:r w:rsidRPr="00465047">
        <w:t>Decree No. 402-05; General Rule No. 01-2018 of the Directorate-General of Customs, Ministry of Finance; and DGA.</w:t>
      </w:r>
      <w:r>
        <w:t xml:space="preserve"> </w:t>
      </w:r>
      <w:r w:rsidRPr="00465047">
        <w:t xml:space="preserve">Viewed at: </w:t>
      </w:r>
      <w:hyperlink r:id="rId44" w:history="1">
        <w:r>
          <w:rPr>
            <w:rStyle w:val="Hyperlink"/>
          </w:rPr>
          <w:t>https://www.aduanas.gob.do/faq</w:t>
        </w:r>
      </w:hyperlink>
      <w:r>
        <w:t>.</w:t>
      </w:r>
    </w:p>
  </w:footnote>
  <w:footnote w:id="135">
    <w:p w14:paraId="3A1C928F" w14:textId="77777777" w:rsidR="001A500E" w:rsidRDefault="001A500E">
      <w:pPr>
        <w:pStyle w:val="FootnoteText"/>
      </w:pPr>
      <w:r>
        <w:rPr>
          <w:rStyle w:val="FootnoteReference"/>
        </w:rPr>
        <w:footnoteRef/>
      </w:r>
      <w:r>
        <w:t xml:space="preserve"> </w:t>
      </w:r>
      <w:r w:rsidRPr="00ED70D9">
        <w:t>Law No. 226-06; Law No. 424-06; and Presidential Decree No. 627-06.</w:t>
      </w:r>
    </w:p>
  </w:footnote>
  <w:footnote w:id="136">
    <w:p w14:paraId="752F40E4" w14:textId="77777777" w:rsidR="001A500E" w:rsidRDefault="001A500E">
      <w:pPr>
        <w:pStyle w:val="FootnoteText"/>
      </w:pPr>
      <w:r>
        <w:rPr>
          <w:rStyle w:val="FootnoteReference"/>
        </w:rPr>
        <w:footnoteRef/>
      </w:r>
      <w:r>
        <w:t xml:space="preserve"> </w:t>
      </w:r>
      <w:r w:rsidRPr="00ED70D9">
        <w:t>Customs Law No. 168-21.</w:t>
      </w:r>
    </w:p>
  </w:footnote>
  <w:footnote w:id="137">
    <w:p w14:paraId="30D9512E" w14:textId="77777777" w:rsidR="001A500E" w:rsidRDefault="001A500E">
      <w:pPr>
        <w:pStyle w:val="FootnoteText"/>
      </w:pPr>
      <w:r>
        <w:rPr>
          <w:rStyle w:val="FootnoteReference"/>
        </w:rPr>
        <w:footnoteRef/>
      </w:r>
      <w:r>
        <w:t xml:space="preserve"> </w:t>
      </w:r>
      <w:r w:rsidRPr="00ED70D9">
        <w:t>Fish in its natural state; shellfish in their natural state; canned, smoked, stuffed, restructured fish products; fish products, salted or in brine (Article 26 of Law No. 307-04).</w:t>
      </w:r>
    </w:p>
  </w:footnote>
  <w:footnote w:id="138">
    <w:p w14:paraId="1C0C3059" w14:textId="77777777" w:rsidR="001A500E" w:rsidRDefault="001A500E">
      <w:pPr>
        <w:pStyle w:val="FootnoteText"/>
      </w:pPr>
      <w:r>
        <w:rPr>
          <w:rStyle w:val="FootnoteReference"/>
        </w:rPr>
        <w:footnoteRef/>
      </w:r>
      <w:r>
        <w:t xml:space="preserve"> </w:t>
      </w:r>
      <w:r w:rsidRPr="00ED70D9">
        <w:t>Article 26 of Law No. 307-04.</w:t>
      </w:r>
    </w:p>
  </w:footnote>
  <w:footnote w:id="139">
    <w:p w14:paraId="1AA7899F" w14:textId="77777777" w:rsidR="001A500E" w:rsidRDefault="001A500E">
      <w:pPr>
        <w:pStyle w:val="FootnoteText"/>
      </w:pPr>
      <w:r>
        <w:rPr>
          <w:rStyle w:val="FootnoteReference"/>
        </w:rPr>
        <w:footnoteRef/>
      </w:r>
      <w:r>
        <w:t xml:space="preserve"> </w:t>
      </w:r>
      <w:r w:rsidRPr="00ED70D9">
        <w:t>Exempt goods and products: live animals; fresh, chilled and frozen meat; fish for popular consumption or reproduction; dairy products (except yogurt and butter); honey; other animal products; plants for sowing; unprocessed legumes, vegetables, tubers for mass consumption; unprocessed fruit for mass consumption; unroasted, non-decaffeinated coffee, coffee husks and skins; cereals, flour, worked grains; grain mill products; oilseeds and other seeds (for fats, sowing or animal feed); sausages; and cocoa beans, whole or broken, raw or roasted, and cocoa shells, husks, skins and other cocoa waste.</w:t>
      </w:r>
      <w:r>
        <w:t xml:space="preserve"> </w:t>
      </w:r>
      <w:proofErr w:type="spellStart"/>
      <w:r w:rsidRPr="00ED70D9">
        <w:t>DGII</w:t>
      </w:r>
      <w:proofErr w:type="spellEnd"/>
      <w:r w:rsidRPr="00ED70D9">
        <w:t>.</w:t>
      </w:r>
      <w:r>
        <w:t xml:space="preserve"> </w:t>
      </w:r>
      <w:r w:rsidRPr="00ED70D9">
        <w:t xml:space="preserve">Viewed at: </w:t>
      </w:r>
      <w:hyperlink r:id="rId45" w:history="1">
        <w:r>
          <w:rPr>
            <w:rStyle w:val="Hyperlink"/>
          </w:rPr>
          <w:t>https://dgii.gov.do/cicloContribuyente/obligacionesTributarias/principalesImpuestos/Paginas/Itbis.aspx</w:t>
        </w:r>
      </w:hyperlink>
      <w:r>
        <w:t>.</w:t>
      </w:r>
    </w:p>
  </w:footnote>
  <w:footnote w:id="140">
    <w:p w14:paraId="28575096" w14:textId="77777777" w:rsidR="001A500E" w:rsidRDefault="001A500E">
      <w:pPr>
        <w:pStyle w:val="FootnoteText"/>
      </w:pPr>
      <w:r>
        <w:rPr>
          <w:rStyle w:val="FootnoteReference"/>
        </w:rPr>
        <w:footnoteRef/>
      </w:r>
      <w:r>
        <w:t xml:space="preserve"> </w:t>
      </w:r>
      <w:r w:rsidRPr="00945106">
        <w:t>Article 375 of Law No. 11-92 (Tax Code), as amended by Law No. 253-12.</w:t>
      </w:r>
    </w:p>
  </w:footnote>
  <w:footnote w:id="141">
    <w:p w14:paraId="38BB4A55" w14:textId="77777777" w:rsidR="001A500E" w:rsidRDefault="001A500E">
      <w:pPr>
        <w:pStyle w:val="FootnoteText"/>
      </w:pPr>
      <w:r>
        <w:rPr>
          <w:rStyle w:val="FootnoteReference"/>
        </w:rPr>
        <w:footnoteRef/>
      </w:r>
      <w:r>
        <w:t xml:space="preserve"> </w:t>
      </w:r>
      <w:r w:rsidRPr="0073435E">
        <w:t xml:space="preserve">The </w:t>
      </w:r>
      <w:proofErr w:type="spellStart"/>
      <w:r w:rsidRPr="0073435E">
        <w:t>ISC</w:t>
      </w:r>
      <w:proofErr w:type="spellEnd"/>
      <w:r w:rsidRPr="0073435E">
        <w:t xml:space="preserve"> was introduced pursuant to Law No. 11-92 on the Tax Code for alcoholic beverages, tobacco products, telecommunications and insurance; however, it was not applied to hydrocarbons until 2000, pursuant to Law No. 112-00 (specific </w:t>
      </w:r>
      <w:proofErr w:type="spellStart"/>
      <w:r w:rsidRPr="0073435E">
        <w:t>ISC</w:t>
      </w:r>
      <w:proofErr w:type="spellEnd"/>
      <w:r w:rsidRPr="0073435E">
        <w:t>), and until 2005, under Law No. 557</w:t>
      </w:r>
      <w:r w:rsidRPr="0073435E">
        <w:rPr>
          <w:rFonts w:ascii="Cambria Math" w:hAnsi="Cambria Math" w:cs="Cambria Math"/>
        </w:rPr>
        <w:t>‑</w:t>
      </w:r>
      <w:r w:rsidRPr="0073435E">
        <w:t>05 (</w:t>
      </w:r>
      <w:r w:rsidRPr="0073435E">
        <w:rPr>
          <w:iCs/>
        </w:rPr>
        <w:t>ad valorem</w:t>
      </w:r>
      <w:r w:rsidRPr="0073435E">
        <w:t xml:space="preserve"> </w:t>
      </w:r>
      <w:proofErr w:type="spellStart"/>
      <w:r w:rsidRPr="0073435E">
        <w:t>ISC</w:t>
      </w:r>
      <w:proofErr w:type="spellEnd"/>
      <w:r w:rsidRPr="0073435E">
        <w:t>) (</w:t>
      </w:r>
      <w:proofErr w:type="spellStart"/>
      <w:r w:rsidRPr="0073435E">
        <w:t>DGII</w:t>
      </w:r>
      <w:proofErr w:type="spellEnd"/>
      <w:r w:rsidRPr="0073435E">
        <w:t>).</w:t>
      </w:r>
    </w:p>
  </w:footnote>
  <w:footnote w:id="142">
    <w:p w14:paraId="041F6F6E" w14:textId="77777777" w:rsidR="001A500E" w:rsidRDefault="001A500E">
      <w:pPr>
        <w:pStyle w:val="FootnoteText"/>
      </w:pPr>
      <w:r>
        <w:rPr>
          <w:rStyle w:val="FootnoteReference"/>
        </w:rPr>
        <w:footnoteRef/>
      </w:r>
      <w:r>
        <w:t xml:space="preserve"> </w:t>
      </w:r>
      <w:r w:rsidRPr="00A34B79">
        <w:t xml:space="preserve">Article 19 of Law No. 253-12 </w:t>
      </w:r>
      <w:r>
        <w:t>amends</w:t>
      </w:r>
      <w:r w:rsidRPr="00A34B79">
        <w:t xml:space="preserve"> the direct exemption from the tax on fuel for electricity generation and replaces it with a reimbursement mechanism established by Decree No. 275-16.</w:t>
      </w:r>
    </w:p>
  </w:footnote>
  <w:footnote w:id="143">
    <w:p w14:paraId="45028C8D" w14:textId="77777777" w:rsidR="001A500E" w:rsidRDefault="001A500E">
      <w:pPr>
        <w:pStyle w:val="FootnoteText"/>
      </w:pPr>
      <w:r>
        <w:rPr>
          <w:rStyle w:val="FootnoteReference"/>
        </w:rPr>
        <w:footnoteRef/>
      </w:r>
      <w:r>
        <w:t xml:space="preserve"> </w:t>
      </w:r>
      <w:r w:rsidRPr="00A34B79">
        <w:t>WTO document G/LIC/N/3/DOM/8, 2 February 2016.</w:t>
      </w:r>
    </w:p>
  </w:footnote>
  <w:footnote w:id="144">
    <w:p w14:paraId="0DD6E2E7" w14:textId="77777777" w:rsidR="001A500E" w:rsidRDefault="001A500E">
      <w:pPr>
        <w:pStyle w:val="FootnoteText"/>
      </w:pPr>
      <w:r>
        <w:rPr>
          <w:rStyle w:val="FootnoteReference"/>
        </w:rPr>
        <w:footnoteRef/>
      </w:r>
      <w:r>
        <w:t xml:space="preserve"> </w:t>
      </w:r>
      <w:r w:rsidRPr="00A34B79">
        <w:t>Exceptions include: flowers (HS 0603); live plants (HS 0601, HS 0602); wood (HS 44); in vitro plants (HS 0601, HS 0602); pesticides (HS 3808); fertilizers (HS 31); seeds (HS 12) (except garlic, potato and bean seeds for sowing, which do require an import licence); fertile eggs (HS 0407.11); semen (HS 0511.10, HS</w:t>
      </w:r>
      <w:r>
        <w:t> </w:t>
      </w:r>
      <w:r w:rsidRPr="00A34B79">
        <w:t>0511.99); and vaccines (HS 3002.30.10, 3002.30.90) (information provided by the authorities).</w:t>
      </w:r>
    </w:p>
  </w:footnote>
  <w:footnote w:id="145">
    <w:p w14:paraId="07CB7E0E" w14:textId="77777777" w:rsidR="001A500E" w:rsidRDefault="001A500E">
      <w:pPr>
        <w:pStyle w:val="FootnoteText"/>
      </w:pPr>
      <w:r>
        <w:rPr>
          <w:rStyle w:val="FootnoteReference"/>
        </w:rPr>
        <w:footnoteRef/>
      </w:r>
      <w:r>
        <w:t xml:space="preserve"> </w:t>
      </w:r>
      <w:r w:rsidRPr="00A34B79">
        <w:t>Law No. 37-17.</w:t>
      </w:r>
    </w:p>
  </w:footnote>
  <w:footnote w:id="146">
    <w:p w14:paraId="24AF932A" w14:textId="77777777" w:rsidR="001A500E" w:rsidRDefault="001A500E">
      <w:pPr>
        <w:pStyle w:val="FootnoteText"/>
      </w:pPr>
      <w:r>
        <w:rPr>
          <w:rStyle w:val="FootnoteReference"/>
        </w:rPr>
        <w:footnoteRef/>
      </w:r>
      <w:r>
        <w:t xml:space="preserve"> </w:t>
      </w:r>
      <w:r w:rsidRPr="00A34B79">
        <w:t>Law No. 619-1965.</w:t>
      </w:r>
    </w:p>
  </w:footnote>
  <w:footnote w:id="147">
    <w:p w14:paraId="7EAD6EF2" w14:textId="77777777" w:rsidR="001A500E" w:rsidRDefault="001A500E" w:rsidP="00DE1994">
      <w:pPr>
        <w:pStyle w:val="FootnoteText"/>
      </w:pPr>
      <w:r>
        <w:rPr>
          <w:rStyle w:val="FootnoteReference"/>
        </w:rPr>
        <w:footnoteRef/>
      </w:r>
      <w:r>
        <w:t xml:space="preserve"> </w:t>
      </w:r>
      <w:r w:rsidRPr="00DE1994">
        <w:t>This section is based on WTO documents G/ADP/N/1/DOM/3/Suppl.2, G/</w:t>
      </w:r>
      <w:proofErr w:type="spellStart"/>
      <w:r w:rsidRPr="00DE1994">
        <w:t>SCM</w:t>
      </w:r>
      <w:proofErr w:type="spellEnd"/>
      <w:r w:rsidRPr="00DE1994">
        <w:t>/N/1/DOM/2/Suppl.2 and G/SG/N/1/DOM/2/Suppl.2, of 27 November 2015.</w:t>
      </w:r>
    </w:p>
  </w:footnote>
  <w:footnote w:id="148">
    <w:p w14:paraId="5E863F0F" w14:textId="77777777" w:rsidR="001A500E" w:rsidRDefault="001A500E">
      <w:pPr>
        <w:pStyle w:val="FootnoteText"/>
      </w:pPr>
      <w:r>
        <w:rPr>
          <w:rStyle w:val="FootnoteReference"/>
        </w:rPr>
        <w:footnoteRef/>
      </w:r>
      <w:r>
        <w:t xml:space="preserve"> </w:t>
      </w:r>
      <w:r w:rsidRPr="00E01E73">
        <w:t>Law No. 1-02 on Unfair Trade Practices and Safeguard Measures.</w:t>
      </w:r>
    </w:p>
  </w:footnote>
  <w:footnote w:id="149">
    <w:p w14:paraId="5F2E1A1C" w14:textId="77777777" w:rsidR="001A500E" w:rsidRDefault="001A500E">
      <w:pPr>
        <w:pStyle w:val="FootnoteText"/>
      </w:pPr>
      <w:r>
        <w:rPr>
          <w:rStyle w:val="FootnoteReference"/>
        </w:rPr>
        <w:footnoteRef/>
      </w:r>
      <w:r>
        <w:t xml:space="preserve"> </w:t>
      </w:r>
      <w:r w:rsidRPr="00E01E73">
        <w:t>WTO documents G/ADP/N/1/DOM/3/Suppl.2, G/</w:t>
      </w:r>
      <w:proofErr w:type="spellStart"/>
      <w:r w:rsidRPr="00E01E73">
        <w:t>SCM</w:t>
      </w:r>
      <w:proofErr w:type="spellEnd"/>
      <w:r w:rsidRPr="00E01E73">
        <w:t>/N/1/DOM/2/Suppl.2 and G/SG/N/1/DOM/2/Suppl.2, of 27 November 2015; and Trade Defence Commission (CDC) Resolution No.</w:t>
      </w:r>
      <w:r>
        <w:t> </w:t>
      </w:r>
      <w:r w:rsidRPr="00E01E73">
        <w:t>004</w:t>
      </w:r>
      <w:r>
        <w:noBreakHyphen/>
      </w:r>
      <w:r w:rsidRPr="00E01E73">
        <w:t>2015.</w:t>
      </w:r>
    </w:p>
  </w:footnote>
  <w:footnote w:id="150">
    <w:p w14:paraId="06AC8116" w14:textId="77777777" w:rsidR="001A500E" w:rsidRDefault="001A500E">
      <w:pPr>
        <w:pStyle w:val="FootnoteText"/>
      </w:pPr>
      <w:r>
        <w:rPr>
          <w:rStyle w:val="FootnoteReference"/>
        </w:rPr>
        <w:footnoteRef/>
      </w:r>
      <w:r>
        <w:t xml:space="preserve"> </w:t>
      </w:r>
      <w:r w:rsidRPr="00E01E73">
        <w:t>Resolution No. 003-08.</w:t>
      </w:r>
    </w:p>
  </w:footnote>
  <w:footnote w:id="151">
    <w:p w14:paraId="22E0E576" w14:textId="77777777" w:rsidR="001A500E" w:rsidRDefault="001A500E">
      <w:pPr>
        <w:pStyle w:val="FootnoteText"/>
      </w:pPr>
      <w:r>
        <w:rPr>
          <w:rStyle w:val="FootnoteReference"/>
        </w:rPr>
        <w:footnoteRef/>
      </w:r>
      <w:r>
        <w:t xml:space="preserve"> </w:t>
      </w:r>
      <w:r w:rsidRPr="00E01E73">
        <w:t>Articles 21</w:t>
      </w:r>
      <w:r>
        <w:t>-</w:t>
      </w:r>
      <w:r w:rsidRPr="00E01E73">
        <w:t>24 of the new implementing regulations for Law No. 1-02 (CDC Resolution No.</w:t>
      </w:r>
      <w:r>
        <w:t> </w:t>
      </w:r>
      <w:r w:rsidRPr="00E01E73">
        <w:t>004</w:t>
      </w:r>
      <w:r>
        <w:noBreakHyphen/>
      </w:r>
      <w:r w:rsidRPr="00E01E73">
        <w:t>2015).</w:t>
      </w:r>
    </w:p>
  </w:footnote>
  <w:footnote w:id="152">
    <w:p w14:paraId="28CFA9C0" w14:textId="77777777" w:rsidR="001A500E" w:rsidRDefault="001A500E">
      <w:pPr>
        <w:pStyle w:val="FootnoteText"/>
      </w:pPr>
      <w:r>
        <w:rPr>
          <w:rStyle w:val="FootnoteReference"/>
        </w:rPr>
        <w:footnoteRef/>
      </w:r>
      <w:r>
        <w:t xml:space="preserve"> </w:t>
      </w:r>
      <w:r w:rsidRPr="00A81766">
        <w:t>Law No. 1-02.</w:t>
      </w:r>
    </w:p>
  </w:footnote>
  <w:footnote w:id="153">
    <w:p w14:paraId="41AFE1F9" w14:textId="77777777" w:rsidR="001A500E" w:rsidRDefault="001A500E">
      <w:pPr>
        <w:pStyle w:val="FootnoteText"/>
      </w:pPr>
      <w:r>
        <w:rPr>
          <w:rStyle w:val="FootnoteReference"/>
        </w:rPr>
        <w:footnoteRef/>
      </w:r>
      <w:r>
        <w:t xml:space="preserve"> </w:t>
      </w:r>
      <w:r w:rsidRPr="00404A33">
        <w:t>Article 229 of the implementing regulations for Law No. 1-02.</w:t>
      </w:r>
    </w:p>
  </w:footnote>
  <w:footnote w:id="154">
    <w:p w14:paraId="137CE247" w14:textId="77777777" w:rsidR="001A500E" w:rsidRDefault="001A500E">
      <w:pPr>
        <w:pStyle w:val="FootnoteText"/>
      </w:pPr>
      <w:r>
        <w:rPr>
          <w:rStyle w:val="FootnoteReference"/>
        </w:rPr>
        <w:footnoteRef/>
      </w:r>
      <w:r>
        <w:t xml:space="preserve"> </w:t>
      </w:r>
      <w:r w:rsidRPr="006F3BFC">
        <w:t>This reasonable period of time is not defined in domestic legislation. It is at the discretion of the CDC, which, if it accepts a price undertaking, will notify the exporter as to how long the price undertaking will remain in force.</w:t>
      </w:r>
    </w:p>
  </w:footnote>
  <w:footnote w:id="155">
    <w:p w14:paraId="390188F2" w14:textId="77777777" w:rsidR="001A500E" w:rsidRDefault="001A500E">
      <w:pPr>
        <w:pStyle w:val="FootnoteText"/>
      </w:pPr>
      <w:r>
        <w:rPr>
          <w:rStyle w:val="FootnoteReference"/>
        </w:rPr>
        <w:footnoteRef/>
      </w:r>
      <w:r>
        <w:t xml:space="preserve"> </w:t>
      </w:r>
      <w:r w:rsidRPr="00713737">
        <w:t>Information provided by the authorities.</w:t>
      </w:r>
    </w:p>
  </w:footnote>
  <w:footnote w:id="156">
    <w:p w14:paraId="0AEF8CE0" w14:textId="77777777" w:rsidR="001A500E" w:rsidRDefault="001A500E">
      <w:pPr>
        <w:pStyle w:val="FootnoteText"/>
      </w:pPr>
      <w:r>
        <w:rPr>
          <w:rStyle w:val="FootnoteReference"/>
        </w:rPr>
        <w:footnoteRef/>
      </w:r>
      <w:r>
        <w:t xml:space="preserve"> </w:t>
      </w:r>
      <w:r w:rsidRPr="00713737">
        <w:t>Resolution No. CDC-RD-AD-001-2022.</w:t>
      </w:r>
    </w:p>
  </w:footnote>
  <w:footnote w:id="157">
    <w:p w14:paraId="22FC2280" w14:textId="77777777" w:rsidR="001A500E" w:rsidRDefault="001A500E">
      <w:pPr>
        <w:pStyle w:val="FootnoteText"/>
      </w:pPr>
      <w:r>
        <w:rPr>
          <w:rStyle w:val="FootnoteReference"/>
        </w:rPr>
        <w:footnoteRef/>
      </w:r>
      <w:r>
        <w:t xml:space="preserve"> </w:t>
      </w:r>
      <w:r w:rsidRPr="00713737">
        <w:t>WTO document G/ADP/N/370/DOM, 24 August 2022.</w:t>
      </w:r>
    </w:p>
  </w:footnote>
  <w:footnote w:id="158">
    <w:p w14:paraId="3DC45A06" w14:textId="77777777" w:rsidR="001A500E" w:rsidRDefault="001A500E">
      <w:pPr>
        <w:pStyle w:val="FootnoteText"/>
      </w:pPr>
      <w:r>
        <w:rPr>
          <w:rStyle w:val="FootnoteReference"/>
        </w:rPr>
        <w:footnoteRef/>
      </w:r>
      <w:r>
        <w:t xml:space="preserve"> </w:t>
      </w:r>
      <w:r w:rsidRPr="00713737">
        <w:t>Article 205 of the new implementing regulations for Law No. 1-02 on Unfair Trade Practices and Safeguard Measures of 10 November 2015 lists some of these factors.</w:t>
      </w:r>
    </w:p>
  </w:footnote>
  <w:footnote w:id="159">
    <w:p w14:paraId="30BE63A2" w14:textId="77777777" w:rsidR="001A500E" w:rsidRPr="009B5955" w:rsidRDefault="001A500E">
      <w:pPr>
        <w:pStyle w:val="FootnoteText"/>
        <w:rPr>
          <w:lang w:val="es-ES"/>
        </w:rPr>
      </w:pPr>
      <w:r>
        <w:rPr>
          <w:rStyle w:val="FootnoteReference"/>
        </w:rPr>
        <w:footnoteRef/>
      </w:r>
      <w:r>
        <w:t xml:space="preserve"> </w:t>
      </w:r>
      <w:proofErr w:type="spellStart"/>
      <w:r w:rsidRPr="00F86C42">
        <w:t>ProDominicana</w:t>
      </w:r>
      <w:proofErr w:type="spellEnd"/>
      <w:r w:rsidRPr="00F86C42">
        <w:t xml:space="preserve"> </w:t>
      </w:r>
      <w:r>
        <w:t xml:space="preserve">(2021), </w:t>
      </w:r>
      <w:proofErr w:type="spellStart"/>
      <w:r w:rsidRPr="004953BD">
        <w:rPr>
          <w:i/>
          <w:iCs/>
        </w:rPr>
        <w:t>Guía</w:t>
      </w:r>
      <w:proofErr w:type="spellEnd"/>
      <w:r w:rsidRPr="004953BD">
        <w:rPr>
          <w:i/>
          <w:iCs/>
        </w:rPr>
        <w:t xml:space="preserve"> de </w:t>
      </w:r>
      <w:proofErr w:type="spellStart"/>
      <w:r w:rsidRPr="004953BD">
        <w:rPr>
          <w:i/>
          <w:iCs/>
        </w:rPr>
        <w:t>Exportación</w:t>
      </w:r>
      <w:proofErr w:type="spellEnd"/>
      <w:r w:rsidRPr="004953BD">
        <w:rPr>
          <w:i/>
          <w:iCs/>
        </w:rPr>
        <w:t xml:space="preserve"> 2021</w:t>
      </w:r>
      <w:r>
        <w:t>.</w:t>
      </w:r>
      <w:r w:rsidRPr="00F86C42">
        <w:t xml:space="preserve"> </w:t>
      </w:r>
      <w:r>
        <w:t xml:space="preserve">Viewed at: </w:t>
      </w:r>
      <w:hyperlink r:id="rId46" w:history="1">
        <w:r>
          <w:rPr>
            <w:rStyle w:val="Hyperlink"/>
          </w:rPr>
          <w:t>www.prodominicana.gob.do</w:t>
        </w:r>
      </w:hyperlink>
      <w:r>
        <w:t>.</w:t>
      </w:r>
    </w:p>
  </w:footnote>
  <w:footnote w:id="160">
    <w:p w14:paraId="13011452" w14:textId="77777777" w:rsidR="001A500E" w:rsidRPr="009B5955" w:rsidRDefault="001A500E">
      <w:pPr>
        <w:pStyle w:val="FootnoteText"/>
        <w:rPr>
          <w:lang w:val="es-ES"/>
        </w:rPr>
      </w:pPr>
      <w:r>
        <w:rPr>
          <w:rStyle w:val="FootnoteReference"/>
        </w:rPr>
        <w:footnoteRef/>
      </w:r>
      <w:r>
        <w:t xml:space="preserve"> </w:t>
      </w:r>
      <w:r w:rsidRPr="009B5955">
        <w:t xml:space="preserve">Such </w:t>
      </w:r>
      <w:r>
        <w:t>instances</w:t>
      </w:r>
      <w:r w:rsidRPr="009B5955">
        <w:t xml:space="preserve"> include: (</w:t>
      </w:r>
      <w:proofErr w:type="spellStart"/>
      <w:r w:rsidRPr="009B5955">
        <w:t>i</w:t>
      </w:r>
      <w:proofErr w:type="spellEnd"/>
      <w:r w:rsidRPr="009B5955">
        <w:t>) whe</w:t>
      </w:r>
      <w:r>
        <w:t>n</w:t>
      </w:r>
      <w:r w:rsidRPr="009B5955">
        <w:t xml:space="preserve"> </w:t>
      </w:r>
      <w:r>
        <w:t xml:space="preserve">Customs find </w:t>
      </w:r>
      <w:r w:rsidRPr="009B5955">
        <w:t>goods that are subject to an export ban, or regulated or controlled goods without the necessary export permits or with false or counterfeit permits; (ii) whe</w:t>
      </w:r>
      <w:r>
        <w:t>n</w:t>
      </w:r>
      <w:r w:rsidRPr="009B5955">
        <w:t xml:space="preserve"> the goods are contaminated, in poor condition or expired, in which case they shall be held so that they can be handed over to the relevant health authority; and (iii) whe</w:t>
      </w:r>
      <w:r>
        <w:t>n</w:t>
      </w:r>
      <w:r w:rsidRPr="009B5955">
        <w:t xml:space="preserve"> a competent authority </w:t>
      </w:r>
      <w:r>
        <w:t xml:space="preserve">so </w:t>
      </w:r>
      <w:r w:rsidRPr="009B5955">
        <w:t>orders</w:t>
      </w:r>
      <w:r>
        <w:t>,</w:t>
      </w:r>
      <w:r w:rsidRPr="009B5955">
        <w:t xml:space="preserve"> for legally justified reasons (</w:t>
      </w:r>
      <w:r>
        <w:t>A</w:t>
      </w:r>
      <w:r w:rsidRPr="009B5955">
        <w:t>rticle 223 of Law No. 168-21).</w:t>
      </w:r>
    </w:p>
  </w:footnote>
  <w:footnote w:id="161">
    <w:p w14:paraId="2B7558CB" w14:textId="77777777" w:rsidR="001A500E" w:rsidRPr="009B5955" w:rsidRDefault="001A500E">
      <w:pPr>
        <w:pStyle w:val="FootnoteText"/>
        <w:rPr>
          <w:lang w:val="es-ES"/>
        </w:rPr>
      </w:pPr>
      <w:r>
        <w:rPr>
          <w:rStyle w:val="FootnoteReference"/>
        </w:rPr>
        <w:footnoteRef/>
      </w:r>
      <w:r>
        <w:t xml:space="preserve"> </w:t>
      </w:r>
      <w:proofErr w:type="spellStart"/>
      <w:r w:rsidRPr="00F86C42">
        <w:t>ProDominicana</w:t>
      </w:r>
      <w:proofErr w:type="spellEnd"/>
      <w:r w:rsidRPr="00F86C42">
        <w:t xml:space="preserve"> </w:t>
      </w:r>
      <w:r>
        <w:t xml:space="preserve">(2021), </w:t>
      </w:r>
      <w:proofErr w:type="spellStart"/>
      <w:r w:rsidRPr="004953BD">
        <w:rPr>
          <w:i/>
          <w:iCs/>
        </w:rPr>
        <w:t>Guía</w:t>
      </w:r>
      <w:proofErr w:type="spellEnd"/>
      <w:r w:rsidRPr="004953BD">
        <w:rPr>
          <w:i/>
          <w:iCs/>
        </w:rPr>
        <w:t xml:space="preserve"> de </w:t>
      </w:r>
      <w:proofErr w:type="spellStart"/>
      <w:r w:rsidRPr="004953BD">
        <w:rPr>
          <w:i/>
          <w:iCs/>
        </w:rPr>
        <w:t>Exportación</w:t>
      </w:r>
      <w:proofErr w:type="spellEnd"/>
      <w:r w:rsidRPr="004953BD">
        <w:rPr>
          <w:i/>
          <w:iCs/>
        </w:rPr>
        <w:t xml:space="preserve"> 2021</w:t>
      </w:r>
      <w:r>
        <w:t>.</w:t>
      </w:r>
      <w:r w:rsidRPr="00F86C42">
        <w:t xml:space="preserve"> </w:t>
      </w:r>
      <w:r>
        <w:t xml:space="preserve">Viewed at: </w:t>
      </w:r>
      <w:hyperlink r:id="rId47" w:history="1">
        <w:r>
          <w:rPr>
            <w:rStyle w:val="Hyperlink"/>
          </w:rPr>
          <w:t>www.prodominicana.gob.do</w:t>
        </w:r>
      </w:hyperlink>
      <w:r>
        <w:t>.</w:t>
      </w:r>
    </w:p>
  </w:footnote>
  <w:footnote w:id="162">
    <w:p w14:paraId="4FDC36C4" w14:textId="77777777" w:rsidR="001A500E" w:rsidRPr="009B5955" w:rsidRDefault="001A500E" w:rsidP="009B5955">
      <w:pPr>
        <w:pStyle w:val="FootnoteText"/>
        <w:rPr>
          <w:lang w:val="es-ES"/>
        </w:rPr>
      </w:pPr>
      <w:r>
        <w:rPr>
          <w:rStyle w:val="FootnoteReference"/>
        </w:rPr>
        <w:footnoteRef/>
      </w:r>
      <w:r>
        <w:t xml:space="preserve"> </w:t>
      </w:r>
      <w:proofErr w:type="spellStart"/>
      <w:r w:rsidRPr="00F86C42">
        <w:t>ProDominicana</w:t>
      </w:r>
      <w:proofErr w:type="spellEnd"/>
      <w:r w:rsidRPr="00F86C42">
        <w:t xml:space="preserve"> </w:t>
      </w:r>
      <w:r>
        <w:t xml:space="preserve">(2021), </w:t>
      </w:r>
      <w:proofErr w:type="spellStart"/>
      <w:r w:rsidRPr="004953BD">
        <w:rPr>
          <w:i/>
          <w:iCs/>
        </w:rPr>
        <w:t>Guía</w:t>
      </w:r>
      <w:proofErr w:type="spellEnd"/>
      <w:r w:rsidRPr="004953BD">
        <w:rPr>
          <w:i/>
          <w:iCs/>
        </w:rPr>
        <w:t xml:space="preserve"> de </w:t>
      </w:r>
      <w:proofErr w:type="spellStart"/>
      <w:r w:rsidRPr="004953BD">
        <w:rPr>
          <w:i/>
          <w:iCs/>
        </w:rPr>
        <w:t>Exportación</w:t>
      </w:r>
      <w:proofErr w:type="spellEnd"/>
      <w:r w:rsidRPr="004953BD">
        <w:rPr>
          <w:i/>
          <w:iCs/>
        </w:rPr>
        <w:t xml:space="preserve"> 2021</w:t>
      </w:r>
      <w:r>
        <w:t>.</w:t>
      </w:r>
      <w:r w:rsidRPr="00F86C42">
        <w:t xml:space="preserve"> </w:t>
      </w:r>
      <w:r>
        <w:t xml:space="preserve">Viewed at: </w:t>
      </w:r>
      <w:hyperlink r:id="rId48" w:history="1">
        <w:r>
          <w:rPr>
            <w:rStyle w:val="Hyperlink"/>
          </w:rPr>
          <w:t>www.prodominicana.gob.do</w:t>
        </w:r>
      </w:hyperlink>
      <w:r>
        <w:t>.</w:t>
      </w:r>
    </w:p>
  </w:footnote>
  <w:footnote w:id="163">
    <w:p w14:paraId="4E2DE0EF" w14:textId="77777777" w:rsidR="001A500E" w:rsidRPr="009B5955" w:rsidRDefault="001A500E">
      <w:pPr>
        <w:pStyle w:val="FootnoteText"/>
        <w:rPr>
          <w:lang w:val="es-ES"/>
        </w:rPr>
      </w:pPr>
      <w:r>
        <w:rPr>
          <w:rStyle w:val="FootnoteReference"/>
        </w:rPr>
        <w:footnoteRef/>
      </w:r>
      <w:r>
        <w:t xml:space="preserve"> </w:t>
      </w:r>
      <w:proofErr w:type="spellStart"/>
      <w:r>
        <w:rPr>
          <w:lang w:val="es-ES"/>
        </w:rPr>
        <w:t>INAZUCAR</w:t>
      </w:r>
      <w:proofErr w:type="spellEnd"/>
      <w:r>
        <w:rPr>
          <w:lang w:val="es-ES"/>
        </w:rPr>
        <w:t xml:space="preserve">. </w:t>
      </w:r>
      <w:proofErr w:type="spellStart"/>
      <w:r w:rsidRPr="009B5955">
        <w:rPr>
          <w:lang w:val="es-ES"/>
        </w:rPr>
        <w:t>Viewed</w:t>
      </w:r>
      <w:proofErr w:type="spellEnd"/>
      <w:r w:rsidRPr="009B5955">
        <w:rPr>
          <w:lang w:val="es-ES"/>
        </w:rPr>
        <w:t xml:space="preserve"> at: </w:t>
      </w:r>
      <w:hyperlink r:id="rId49" w:history="1">
        <w:r>
          <w:rPr>
            <w:rStyle w:val="Hyperlink"/>
            <w:lang w:val="es-ES"/>
          </w:rPr>
          <w:t>https://www.inazucar.gov.do/index.php/servicios/item/246-exportacion-de-pazucar-y-sus-derivados</w:t>
        </w:r>
      </w:hyperlink>
      <w:r w:rsidRPr="009B5955">
        <w:rPr>
          <w:lang w:val="es-ES"/>
        </w:rPr>
        <w:t>.</w:t>
      </w:r>
    </w:p>
  </w:footnote>
  <w:footnote w:id="164">
    <w:p w14:paraId="511B0199" w14:textId="77777777" w:rsidR="001A500E" w:rsidRPr="009B5955" w:rsidRDefault="001A500E">
      <w:pPr>
        <w:pStyle w:val="FootnoteText"/>
        <w:rPr>
          <w:lang w:val="es-ES"/>
        </w:rPr>
      </w:pPr>
      <w:r>
        <w:rPr>
          <w:rStyle w:val="FootnoteReference"/>
        </w:rPr>
        <w:footnoteRef/>
      </w:r>
      <w:r>
        <w:t xml:space="preserve"> </w:t>
      </w:r>
      <w:r w:rsidRPr="009B5955">
        <w:t>Decree No. 334-07 and Law No. 110-13.</w:t>
      </w:r>
    </w:p>
  </w:footnote>
  <w:footnote w:id="165">
    <w:p w14:paraId="14191D15" w14:textId="77777777" w:rsidR="001A500E" w:rsidRPr="009B5955" w:rsidRDefault="001A500E">
      <w:pPr>
        <w:pStyle w:val="FootnoteText"/>
        <w:rPr>
          <w:lang w:val="es-ES"/>
        </w:rPr>
      </w:pPr>
      <w:r>
        <w:rPr>
          <w:rStyle w:val="FootnoteReference"/>
        </w:rPr>
        <w:footnoteRef/>
      </w:r>
      <w:r>
        <w:t xml:space="preserve"> </w:t>
      </w:r>
      <w:r w:rsidRPr="009B5955">
        <w:t xml:space="preserve">The National Register for trade </w:t>
      </w:r>
      <w:r>
        <w:t xml:space="preserve">in </w:t>
      </w:r>
      <w:r w:rsidRPr="009B5955">
        <w:t>and export of metal waste, scrap metal and other copper or aluminium waste and their alloys is no longer regulated by Decree No. 334-07, but by Law No. 110-13 and by Decree No. 164-14 establishing the regulations for Law No. 110-13.</w:t>
      </w:r>
    </w:p>
  </w:footnote>
  <w:footnote w:id="166">
    <w:p w14:paraId="227D6195" w14:textId="77777777" w:rsidR="001A500E" w:rsidRPr="009B5955" w:rsidRDefault="001A500E">
      <w:pPr>
        <w:pStyle w:val="FootnoteText"/>
        <w:rPr>
          <w:lang w:val="es-ES"/>
        </w:rPr>
      </w:pPr>
      <w:r>
        <w:rPr>
          <w:rStyle w:val="FootnoteReference"/>
        </w:rPr>
        <w:footnoteRef/>
      </w:r>
      <w:r>
        <w:t xml:space="preserve"> </w:t>
      </w:r>
      <w:r w:rsidRPr="009B5955">
        <w:t xml:space="preserve">Article 4 of Law No. 110-13 and </w:t>
      </w:r>
      <w:r>
        <w:t>A</w:t>
      </w:r>
      <w:r w:rsidRPr="009B5955">
        <w:t xml:space="preserve">rticle 4 of its implementing </w:t>
      </w:r>
      <w:r>
        <w:t>r</w:t>
      </w:r>
      <w:r w:rsidRPr="009B5955">
        <w:t>egulations (Decree No 164-14).</w:t>
      </w:r>
    </w:p>
  </w:footnote>
  <w:footnote w:id="167">
    <w:p w14:paraId="3F155863" w14:textId="77777777" w:rsidR="001A500E" w:rsidRPr="009B5955" w:rsidRDefault="001A500E">
      <w:pPr>
        <w:pStyle w:val="FootnoteText"/>
        <w:rPr>
          <w:lang w:val="es-ES"/>
        </w:rPr>
      </w:pPr>
      <w:r>
        <w:rPr>
          <w:rStyle w:val="FootnoteReference"/>
        </w:rPr>
        <w:footnoteRef/>
      </w:r>
      <w:r>
        <w:t xml:space="preserve"> </w:t>
      </w:r>
      <w:r w:rsidRPr="009B5955">
        <w:t>Article 20 of Decree No. 164-14.</w:t>
      </w:r>
    </w:p>
  </w:footnote>
  <w:footnote w:id="168">
    <w:p w14:paraId="30EC9DD7" w14:textId="77777777" w:rsidR="001A500E" w:rsidRPr="009B5955" w:rsidRDefault="001A500E">
      <w:pPr>
        <w:pStyle w:val="FootnoteText"/>
        <w:rPr>
          <w:lang w:val="es-ES"/>
        </w:rPr>
      </w:pPr>
      <w:r>
        <w:rPr>
          <w:rStyle w:val="FootnoteReference"/>
        </w:rPr>
        <w:footnoteRef/>
      </w:r>
      <w:r>
        <w:t xml:space="preserve"> </w:t>
      </w:r>
      <w:r w:rsidRPr="009B5955">
        <w:t>Law No. 168-21.</w:t>
      </w:r>
    </w:p>
  </w:footnote>
  <w:footnote w:id="169">
    <w:p w14:paraId="00700CB6" w14:textId="77777777" w:rsidR="001A500E" w:rsidRPr="009B5955" w:rsidRDefault="001A500E">
      <w:pPr>
        <w:pStyle w:val="FootnoteText"/>
        <w:rPr>
          <w:lang w:val="es-ES"/>
        </w:rPr>
      </w:pPr>
      <w:r>
        <w:rPr>
          <w:rStyle w:val="FootnoteReference"/>
        </w:rPr>
        <w:footnoteRef/>
      </w:r>
      <w:r>
        <w:t xml:space="preserve"> </w:t>
      </w:r>
      <w:r w:rsidRPr="009B5955">
        <w:t>Information provided by the authorities.</w:t>
      </w:r>
    </w:p>
  </w:footnote>
  <w:footnote w:id="170">
    <w:p w14:paraId="65A46028" w14:textId="77777777" w:rsidR="001A500E" w:rsidRPr="009B5955" w:rsidRDefault="001A500E">
      <w:pPr>
        <w:pStyle w:val="FootnoteText"/>
        <w:rPr>
          <w:lang w:val="es-ES"/>
        </w:rPr>
      </w:pPr>
      <w:r>
        <w:rPr>
          <w:rStyle w:val="FootnoteReference"/>
        </w:rPr>
        <w:footnoteRef/>
      </w:r>
      <w:r>
        <w:t xml:space="preserve"> </w:t>
      </w:r>
      <w:r w:rsidRPr="009B5955">
        <w:t>Article 342 of the Customs Code (Law No. 11-92).</w:t>
      </w:r>
    </w:p>
  </w:footnote>
  <w:footnote w:id="171">
    <w:p w14:paraId="6E09C7A8" w14:textId="77777777" w:rsidR="001A500E" w:rsidRPr="009B5955" w:rsidRDefault="001A500E">
      <w:pPr>
        <w:pStyle w:val="FootnoteText"/>
        <w:rPr>
          <w:lang w:val="es-ES"/>
        </w:rPr>
      </w:pPr>
      <w:r>
        <w:rPr>
          <w:rStyle w:val="FootnoteReference"/>
        </w:rPr>
        <w:footnoteRef/>
      </w:r>
      <w:r>
        <w:t xml:space="preserve"> </w:t>
      </w:r>
      <w:r w:rsidRPr="009B5955">
        <w:t>Article 3</w:t>
      </w:r>
      <w:r>
        <w:t>66</w:t>
      </w:r>
      <w:r w:rsidRPr="009B5955">
        <w:t xml:space="preserve"> of the Customs Code (Law No. 11-92).</w:t>
      </w:r>
    </w:p>
  </w:footnote>
  <w:footnote w:id="172">
    <w:p w14:paraId="083D5745" w14:textId="77777777" w:rsidR="001A500E" w:rsidRPr="009B5955" w:rsidRDefault="001A500E">
      <w:pPr>
        <w:pStyle w:val="FootnoteText"/>
        <w:rPr>
          <w:lang w:val="es-ES"/>
        </w:rPr>
      </w:pPr>
      <w:r>
        <w:rPr>
          <w:rStyle w:val="FootnoteReference"/>
        </w:rPr>
        <w:footnoteRef/>
      </w:r>
      <w:r>
        <w:t xml:space="preserve"> </w:t>
      </w:r>
      <w:r w:rsidRPr="009B5955">
        <w:t>Information provided by the authorities.</w:t>
      </w:r>
    </w:p>
  </w:footnote>
  <w:footnote w:id="173">
    <w:p w14:paraId="3449A073" w14:textId="77777777" w:rsidR="001A500E" w:rsidRPr="009B5955" w:rsidRDefault="001A500E">
      <w:pPr>
        <w:pStyle w:val="FootnoteText"/>
        <w:rPr>
          <w:lang w:val="es-ES"/>
        </w:rPr>
      </w:pPr>
      <w:r>
        <w:rPr>
          <w:rStyle w:val="FootnoteReference"/>
        </w:rPr>
        <w:footnoteRef/>
      </w:r>
      <w:r>
        <w:t xml:space="preserve"> </w:t>
      </w:r>
      <w:r w:rsidRPr="009B5955">
        <w:t>WTO documents G/AG/N/DOM/25 of 18 August 2020; G/AG/N/DOM/26 of 18 August 2020; G/AG/N/DOM/27 of 18 August 2020; G/AG/N/DOM/28 of 18 August 2020; G/AG/N/DOM/29 of 18</w:t>
      </w:r>
      <w:r>
        <w:t> </w:t>
      </w:r>
      <w:r w:rsidRPr="009B5955">
        <w:t>August</w:t>
      </w:r>
      <w:r>
        <w:t> </w:t>
      </w:r>
      <w:r w:rsidRPr="009B5955">
        <w:t>2020; G/AG/N/DOM/44, of 8 March 2021; and G/AG/N/DOM/47 of 21 January 2022.</w:t>
      </w:r>
    </w:p>
  </w:footnote>
  <w:footnote w:id="174">
    <w:p w14:paraId="079D1FF7" w14:textId="77777777" w:rsidR="001A500E" w:rsidRPr="009B5955" w:rsidRDefault="001A500E">
      <w:pPr>
        <w:pStyle w:val="FootnoteText"/>
        <w:rPr>
          <w:lang w:val="es-ES"/>
        </w:rPr>
      </w:pPr>
      <w:r>
        <w:rPr>
          <w:rStyle w:val="FootnoteReference"/>
        </w:rPr>
        <w:footnoteRef/>
      </w:r>
      <w:r>
        <w:t xml:space="preserve"> </w:t>
      </w:r>
      <w:r w:rsidRPr="009B5955">
        <w:t xml:space="preserve">The temporary </w:t>
      </w:r>
      <w:r>
        <w:t>admission</w:t>
      </w:r>
      <w:r w:rsidRPr="009B5955">
        <w:t xml:space="preserve"> for inward processing </w:t>
      </w:r>
      <w:r>
        <w:t>procedure</w:t>
      </w:r>
      <w:r w:rsidRPr="009B5955">
        <w:t xml:space="preserve"> is still governed by Law </w:t>
      </w:r>
      <w:r>
        <w:t>N</w:t>
      </w:r>
      <w:r w:rsidRPr="009B5955">
        <w:t>o.</w:t>
      </w:r>
      <w:r>
        <w:t> </w:t>
      </w:r>
      <w:r w:rsidRPr="009B5955">
        <w:t xml:space="preserve">84-99, but with certain amendments that </w:t>
      </w:r>
      <w:r>
        <w:t>are set out</w:t>
      </w:r>
      <w:r w:rsidRPr="009B5955">
        <w:t xml:space="preserve"> in Law No. 168-21.</w:t>
      </w:r>
    </w:p>
  </w:footnote>
  <w:footnote w:id="175">
    <w:p w14:paraId="31E00572" w14:textId="77777777" w:rsidR="001A500E" w:rsidRPr="009B5955" w:rsidRDefault="001A500E">
      <w:pPr>
        <w:pStyle w:val="FootnoteText"/>
        <w:rPr>
          <w:lang w:val="es-ES"/>
        </w:rPr>
      </w:pPr>
      <w:r>
        <w:rPr>
          <w:rStyle w:val="FootnoteReference"/>
        </w:rPr>
        <w:footnoteRef/>
      </w:r>
      <w:r>
        <w:t xml:space="preserve"> </w:t>
      </w:r>
      <w:r w:rsidRPr="009B5955">
        <w:t>Law No. 126-15.</w:t>
      </w:r>
    </w:p>
  </w:footnote>
  <w:footnote w:id="176">
    <w:p w14:paraId="7A3DC186" w14:textId="77777777" w:rsidR="001A500E" w:rsidRPr="009B5955" w:rsidRDefault="001A500E">
      <w:pPr>
        <w:pStyle w:val="FootnoteText"/>
        <w:rPr>
          <w:lang w:val="es-ES"/>
        </w:rPr>
      </w:pPr>
      <w:r>
        <w:rPr>
          <w:rStyle w:val="FootnoteReference"/>
        </w:rPr>
        <w:footnoteRef/>
      </w:r>
      <w:r>
        <w:t xml:space="preserve"> </w:t>
      </w:r>
      <w:r w:rsidRPr="009B5955">
        <w:t>Law No. 12</w:t>
      </w:r>
      <w:r>
        <w:t>2</w:t>
      </w:r>
      <w:r w:rsidRPr="009B5955">
        <w:t>-</w:t>
      </w:r>
      <w:r>
        <w:t>2</w:t>
      </w:r>
      <w:r w:rsidRPr="009B5955">
        <w:t>1.</w:t>
      </w:r>
    </w:p>
  </w:footnote>
  <w:footnote w:id="177">
    <w:p w14:paraId="2E362D17" w14:textId="0DBD8D38" w:rsidR="001A500E" w:rsidRPr="009B5955" w:rsidRDefault="001A500E">
      <w:pPr>
        <w:pStyle w:val="FootnoteText"/>
        <w:rPr>
          <w:lang w:val="es-ES"/>
        </w:rPr>
      </w:pPr>
      <w:r>
        <w:rPr>
          <w:rStyle w:val="FootnoteReference"/>
        </w:rPr>
        <w:footnoteRef/>
      </w:r>
      <w:r>
        <w:t xml:space="preserve"> </w:t>
      </w:r>
      <w:proofErr w:type="spellStart"/>
      <w:r>
        <w:t>BANDEX</w:t>
      </w:r>
      <w:proofErr w:type="spellEnd"/>
      <w:r>
        <w:t xml:space="preserve">. Viewed at: </w:t>
      </w:r>
      <w:hyperlink r:id="rId50" w:history="1">
        <w:r>
          <w:rPr>
            <w:rStyle w:val="Hyperlink"/>
          </w:rPr>
          <w:t>https://bandex.com.do</w:t>
        </w:r>
      </w:hyperlink>
      <w:r>
        <w:t xml:space="preserve"> and </w:t>
      </w:r>
      <w:hyperlink r:id="rId51" w:history="1">
        <w:r>
          <w:rPr>
            <w:rStyle w:val="Hyperlink"/>
          </w:rPr>
          <w:t>https://bandex.com.do/nuestra-historia</w:t>
        </w:r>
      </w:hyperlink>
      <w:r>
        <w:t>.</w:t>
      </w:r>
    </w:p>
  </w:footnote>
  <w:footnote w:id="178">
    <w:p w14:paraId="6F6C851F" w14:textId="77777777" w:rsidR="001A500E" w:rsidRPr="00932767" w:rsidRDefault="001A500E">
      <w:pPr>
        <w:pStyle w:val="FootnoteText"/>
        <w:rPr>
          <w:lang w:val="es-ES"/>
        </w:rPr>
      </w:pPr>
      <w:r>
        <w:rPr>
          <w:rStyle w:val="FootnoteReference"/>
        </w:rPr>
        <w:footnoteRef/>
      </w:r>
      <w:r>
        <w:t xml:space="preserve"> </w:t>
      </w:r>
      <w:proofErr w:type="spellStart"/>
      <w:r>
        <w:t>MICM</w:t>
      </w:r>
      <w:proofErr w:type="spellEnd"/>
      <w:r>
        <w:t>. Viewed at:</w:t>
      </w:r>
      <w:r w:rsidRPr="007719C1">
        <w:t xml:space="preserve"> </w:t>
      </w:r>
      <w:hyperlink r:id="rId52" w:history="1">
        <w:r>
          <w:rPr>
            <w:rStyle w:val="Hyperlink"/>
          </w:rPr>
          <w:t>https://www.micm.gob.do/nosotros/dependencias</w:t>
        </w:r>
      </w:hyperlink>
      <w:r>
        <w:t>.</w:t>
      </w:r>
    </w:p>
  </w:footnote>
  <w:footnote w:id="179">
    <w:p w14:paraId="313BF830" w14:textId="77777777" w:rsidR="001A500E" w:rsidRDefault="001A500E">
      <w:pPr>
        <w:pStyle w:val="FootnoteText"/>
      </w:pPr>
      <w:r>
        <w:rPr>
          <w:rStyle w:val="FootnoteReference"/>
        </w:rPr>
        <w:footnoteRef/>
      </w:r>
      <w:r>
        <w:t xml:space="preserve"> </w:t>
      </w:r>
      <w:proofErr w:type="spellStart"/>
      <w:r w:rsidRPr="00673725">
        <w:t>MICM</w:t>
      </w:r>
      <w:proofErr w:type="spellEnd"/>
      <w:r w:rsidRPr="00673725">
        <w:t xml:space="preserve">. Viewed at: </w:t>
      </w:r>
      <w:hyperlink r:id="rId53" w:history="1">
        <w:r>
          <w:rPr>
            <w:rStyle w:val="Hyperlink"/>
          </w:rPr>
          <w:t>https://www.micm.gob.do/nosotros/dependencias/centro-de-exportacion-e-inversion-de-la-republica-dominicana-cei-rd</w:t>
        </w:r>
      </w:hyperlink>
      <w:r>
        <w:t>.</w:t>
      </w:r>
    </w:p>
  </w:footnote>
  <w:footnote w:id="180">
    <w:p w14:paraId="64AD2213" w14:textId="77777777" w:rsidR="001A500E" w:rsidRPr="00D146B4" w:rsidRDefault="001A500E">
      <w:pPr>
        <w:pStyle w:val="FootnoteText"/>
      </w:pPr>
      <w:r>
        <w:rPr>
          <w:rStyle w:val="FootnoteReference"/>
        </w:rPr>
        <w:footnoteRef/>
      </w:r>
      <w:r>
        <w:t xml:space="preserve"> WTO document G/</w:t>
      </w:r>
      <w:proofErr w:type="spellStart"/>
      <w:r>
        <w:t>SCM</w:t>
      </w:r>
      <w:proofErr w:type="spellEnd"/>
      <w:r>
        <w:t>/N/343/DOM, 12 July 2019.</w:t>
      </w:r>
    </w:p>
  </w:footnote>
  <w:footnote w:id="181">
    <w:p w14:paraId="61012E88" w14:textId="77777777" w:rsidR="001A500E" w:rsidRDefault="001A500E" w:rsidP="00D146B4">
      <w:pPr>
        <w:pStyle w:val="FootnoteText"/>
      </w:pPr>
      <w:r>
        <w:rPr>
          <w:rStyle w:val="FootnoteReference"/>
        </w:rPr>
        <w:footnoteRef/>
      </w:r>
      <w:r>
        <w:t xml:space="preserve"> Decree </w:t>
      </w:r>
      <w:r>
        <w:rPr>
          <w:szCs w:val="16"/>
        </w:rPr>
        <w:t>No.</w:t>
      </w:r>
      <w:r>
        <w:t> 366</w:t>
      </w:r>
      <w:r>
        <w:noBreakHyphen/>
        <w:t>97.</w:t>
      </w:r>
    </w:p>
  </w:footnote>
  <w:footnote w:id="182">
    <w:p w14:paraId="05630C60" w14:textId="77777777" w:rsidR="001A500E" w:rsidRDefault="001A500E" w:rsidP="00D146B4">
      <w:pPr>
        <w:pStyle w:val="FootnoteText"/>
      </w:pPr>
      <w:r>
        <w:rPr>
          <w:rStyle w:val="FootnoteReference"/>
        </w:rPr>
        <w:footnoteRef/>
      </w:r>
      <w:r>
        <w:t xml:space="preserve"> Article 24 of Law No 8</w:t>
      </w:r>
      <w:r>
        <w:noBreakHyphen/>
        <w:t>90 and WTO document G/</w:t>
      </w:r>
      <w:proofErr w:type="spellStart"/>
      <w:r>
        <w:t>SCM</w:t>
      </w:r>
      <w:proofErr w:type="spellEnd"/>
      <w:r>
        <w:t>/N/343/DOM, 12 July 2019.</w:t>
      </w:r>
    </w:p>
  </w:footnote>
  <w:footnote w:id="183">
    <w:p w14:paraId="43DE60BE" w14:textId="77777777" w:rsidR="001A500E" w:rsidRDefault="001A500E" w:rsidP="00D146B4">
      <w:pPr>
        <w:pStyle w:val="FootnoteText"/>
      </w:pPr>
      <w:r>
        <w:rPr>
          <w:rStyle w:val="FootnoteReference"/>
        </w:rPr>
        <w:footnoteRef/>
      </w:r>
      <w:r>
        <w:t xml:space="preserve"> General Standard No. 05</w:t>
      </w:r>
      <w:r>
        <w:noBreakHyphen/>
        <w:t xml:space="preserve">12; Article 17 of Law </w:t>
      </w:r>
      <w:r>
        <w:rPr>
          <w:szCs w:val="16"/>
        </w:rPr>
        <w:t>No. </w:t>
      </w:r>
      <w:r>
        <w:t>8</w:t>
      </w:r>
      <w:r>
        <w:noBreakHyphen/>
        <w:t>90; Law No. 139</w:t>
      </w:r>
      <w:r>
        <w:noBreakHyphen/>
        <w:t>11; and Law No. 253</w:t>
      </w:r>
      <w:r>
        <w:noBreakHyphen/>
        <w:t>12.</w:t>
      </w:r>
    </w:p>
  </w:footnote>
  <w:footnote w:id="184">
    <w:p w14:paraId="453236C2" w14:textId="77777777" w:rsidR="001A500E" w:rsidRDefault="001A500E" w:rsidP="00D146B4">
      <w:pPr>
        <w:pStyle w:val="FootnoteText"/>
      </w:pPr>
      <w:r>
        <w:rPr>
          <w:rStyle w:val="FootnoteReference"/>
        </w:rPr>
        <w:footnoteRef/>
      </w:r>
      <w:r>
        <w:t xml:space="preserve"> WTO document G/</w:t>
      </w:r>
      <w:proofErr w:type="spellStart"/>
      <w:r>
        <w:t>SCM</w:t>
      </w:r>
      <w:proofErr w:type="spellEnd"/>
      <w:r>
        <w:t>/N/343/DOM, 12 July 2019.</w:t>
      </w:r>
    </w:p>
  </w:footnote>
  <w:footnote w:id="185">
    <w:p w14:paraId="326B933C" w14:textId="77777777" w:rsidR="001A500E" w:rsidRDefault="001A500E" w:rsidP="00D146B4">
      <w:pPr>
        <w:pStyle w:val="FootnoteText"/>
      </w:pPr>
      <w:r>
        <w:rPr>
          <w:rStyle w:val="FootnoteReference"/>
        </w:rPr>
        <w:footnoteRef/>
      </w:r>
      <w:r>
        <w:t xml:space="preserve"> Law No. 11</w:t>
      </w:r>
      <w:r>
        <w:noBreakHyphen/>
        <w:t>92, as amended by Law No. 147</w:t>
      </w:r>
      <w:r>
        <w:noBreakHyphen/>
        <w:t>2000.</w:t>
      </w:r>
    </w:p>
  </w:footnote>
  <w:footnote w:id="186">
    <w:p w14:paraId="63FC27B5" w14:textId="77777777" w:rsidR="001A500E" w:rsidRDefault="001A500E" w:rsidP="00D146B4">
      <w:pPr>
        <w:pStyle w:val="FootnoteText"/>
      </w:pPr>
      <w:r>
        <w:rPr>
          <w:rStyle w:val="FootnoteReference"/>
        </w:rPr>
        <w:footnoteRef/>
      </w:r>
      <w:r>
        <w:t xml:space="preserve"> Law No. 392</w:t>
      </w:r>
      <w:r>
        <w:noBreakHyphen/>
        <w:t>07.</w:t>
      </w:r>
    </w:p>
  </w:footnote>
  <w:footnote w:id="187">
    <w:p w14:paraId="5B8C2C76" w14:textId="77777777" w:rsidR="001A500E" w:rsidRDefault="001A500E" w:rsidP="00D146B4">
      <w:pPr>
        <w:pStyle w:val="FootnoteText"/>
      </w:pPr>
      <w:r>
        <w:rPr>
          <w:rStyle w:val="FootnoteReference"/>
        </w:rPr>
        <w:footnoteRef/>
      </w:r>
      <w:r>
        <w:t xml:space="preserve"> </w:t>
      </w:r>
      <w:proofErr w:type="spellStart"/>
      <w:r>
        <w:t>MICM</w:t>
      </w:r>
      <w:proofErr w:type="spellEnd"/>
      <w:r>
        <w:t xml:space="preserve">. Viewed at: </w:t>
      </w:r>
      <w:hyperlink r:id="rId54" w:history="1">
        <w:r>
          <w:rPr>
            <w:rStyle w:val="Hyperlink"/>
          </w:rPr>
          <w:t>https://www.micm.gob.do/nosotros/dependencias/centro-de-desarrollo-y-competitividad-industrial-pro-industria</w:t>
        </w:r>
      </w:hyperlink>
      <w:r>
        <w:t xml:space="preserve">. </w:t>
      </w:r>
    </w:p>
  </w:footnote>
  <w:footnote w:id="188">
    <w:p w14:paraId="2B927F50" w14:textId="77777777" w:rsidR="001A500E" w:rsidRDefault="001A500E" w:rsidP="00D146B4">
      <w:pPr>
        <w:pStyle w:val="FootnoteText"/>
      </w:pPr>
      <w:r>
        <w:rPr>
          <w:rStyle w:val="FootnoteReference"/>
        </w:rPr>
        <w:footnoteRef/>
      </w:r>
      <w:r>
        <w:t xml:space="preserve"> Law No. 392</w:t>
      </w:r>
      <w:r>
        <w:noBreakHyphen/>
        <w:t>07, amended by Law No. 242</w:t>
      </w:r>
      <w:r>
        <w:noBreakHyphen/>
        <w:t>20.</w:t>
      </w:r>
    </w:p>
  </w:footnote>
  <w:footnote w:id="189">
    <w:p w14:paraId="2E2AEEBD" w14:textId="77777777" w:rsidR="001A500E" w:rsidRDefault="001A500E" w:rsidP="00D146B4">
      <w:pPr>
        <w:pStyle w:val="FootnoteText"/>
      </w:pPr>
      <w:r>
        <w:rPr>
          <w:rStyle w:val="FootnoteReference"/>
        </w:rPr>
        <w:footnoteRef/>
      </w:r>
      <w:r>
        <w:t xml:space="preserve"> Online information. Viewed at: </w:t>
      </w:r>
      <w:hyperlink r:id="rId55" w:history="1">
        <w:r>
          <w:rPr>
            <w:rStyle w:val="Hyperlink"/>
          </w:rPr>
          <w:t>https://fundacionreservas.com/financiamiento</w:t>
        </w:r>
      </w:hyperlink>
      <w:r>
        <w:t xml:space="preserve">. </w:t>
      </w:r>
    </w:p>
  </w:footnote>
  <w:footnote w:id="190">
    <w:p w14:paraId="401597DC" w14:textId="77777777" w:rsidR="001A500E" w:rsidRDefault="001A500E" w:rsidP="00D146B4">
      <w:pPr>
        <w:pStyle w:val="FootnoteText"/>
      </w:pPr>
      <w:r>
        <w:rPr>
          <w:rStyle w:val="FootnoteReference"/>
        </w:rPr>
        <w:footnoteRef/>
      </w:r>
      <w:r>
        <w:t xml:space="preserve"> Law No. 37</w:t>
      </w:r>
      <w:r>
        <w:noBreakHyphen/>
        <w:t>17.</w:t>
      </w:r>
    </w:p>
  </w:footnote>
  <w:footnote w:id="191">
    <w:p w14:paraId="176FAC8A" w14:textId="77777777" w:rsidR="001A500E" w:rsidRDefault="001A500E" w:rsidP="00D146B4">
      <w:pPr>
        <w:pStyle w:val="FootnoteText"/>
      </w:pPr>
      <w:r>
        <w:rPr>
          <w:rStyle w:val="FootnoteReference"/>
        </w:rPr>
        <w:footnoteRef/>
      </w:r>
      <w:r>
        <w:t xml:space="preserve"> Online information. Viewed at: </w:t>
      </w:r>
      <w:hyperlink r:id="rId56" w:history="1">
        <w:r>
          <w:rPr>
            <w:rStyle w:val="Hyperlink"/>
          </w:rPr>
          <w:t>https://promipyme.gob.do</w:t>
        </w:r>
      </w:hyperlink>
      <w:r>
        <w:t>.</w:t>
      </w:r>
    </w:p>
  </w:footnote>
  <w:footnote w:id="192">
    <w:p w14:paraId="323AE6E7" w14:textId="77777777" w:rsidR="001A500E" w:rsidRDefault="001A500E" w:rsidP="00D146B4">
      <w:pPr>
        <w:pStyle w:val="FootnoteText"/>
      </w:pPr>
      <w:r>
        <w:rPr>
          <w:rStyle w:val="FootnoteReference"/>
        </w:rPr>
        <w:footnoteRef/>
      </w:r>
      <w:r>
        <w:t xml:space="preserve"> Law No. 122</w:t>
      </w:r>
      <w:r>
        <w:noBreakHyphen/>
        <w:t>21.</w:t>
      </w:r>
    </w:p>
  </w:footnote>
  <w:footnote w:id="193">
    <w:p w14:paraId="18B8EB4F" w14:textId="77777777" w:rsidR="001A500E" w:rsidRDefault="001A500E" w:rsidP="00D146B4">
      <w:pPr>
        <w:pStyle w:val="FootnoteText"/>
      </w:pPr>
      <w:r>
        <w:rPr>
          <w:rStyle w:val="FootnoteReference"/>
        </w:rPr>
        <w:footnoteRef/>
      </w:r>
      <w:r>
        <w:t xml:space="preserve"> News item of 14 July 2021, Office of the President of the Republic. Viewed at: </w:t>
      </w:r>
      <w:hyperlink r:id="rId57" w:history="1">
        <w:r>
          <w:rPr>
            <w:rStyle w:val="Hyperlink"/>
          </w:rPr>
          <w:t>https://presidencia.gob.do/noticias/gobierno-transforma-el-bandex-en-banco-de-desarrollo-y-exportaciones</w:t>
        </w:r>
      </w:hyperlink>
      <w:r>
        <w:t xml:space="preserve">. </w:t>
      </w:r>
    </w:p>
  </w:footnote>
  <w:footnote w:id="194">
    <w:p w14:paraId="092802CE" w14:textId="77777777" w:rsidR="001A500E" w:rsidRDefault="001A500E" w:rsidP="00D146B4">
      <w:pPr>
        <w:pStyle w:val="FootnoteText"/>
      </w:pPr>
      <w:r>
        <w:rPr>
          <w:rStyle w:val="FootnoteReference"/>
        </w:rPr>
        <w:footnoteRef/>
      </w:r>
      <w:r>
        <w:t xml:space="preserve"> </w:t>
      </w:r>
      <w:proofErr w:type="spellStart"/>
      <w:r>
        <w:t>PNN</w:t>
      </w:r>
      <w:proofErr w:type="spellEnd"/>
      <w:r>
        <w:t xml:space="preserve">. Viewed at: </w:t>
      </w:r>
      <w:hyperlink r:id="rId58" w:history="1">
        <w:r>
          <w:rPr>
            <w:rStyle w:val="Hyperlink"/>
          </w:rPr>
          <w:t>https://indocal.gob.do/publicaciones/politica-y-plan-nacional-de-normalizacion</w:t>
        </w:r>
      </w:hyperlink>
      <w:r>
        <w:t>.</w:t>
      </w:r>
    </w:p>
  </w:footnote>
  <w:footnote w:id="195">
    <w:p w14:paraId="5F0048CA" w14:textId="77777777" w:rsidR="001A500E" w:rsidRDefault="001A500E" w:rsidP="00D146B4">
      <w:pPr>
        <w:pStyle w:val="FootnoteText"/>
      </w:pPr>
      <w:r>
        <w:rPr>
          <w:rStyle w:val="FootnoteReference"/>
        </w:rPr>
        <w:footnoteRef/>
      </w:r>
      <w:r>
        <w:t xml:space="preserve"> </w:t>
      </w:r>
      <w:proofErr w:type="spellStart"/>
      <w:r>
        <w:t>CODOCAL</w:t>
      </w:r>
      <w:proofErr w:type="spellEnd"/>
      <w:r>
        <w:t xml:space="preserve"> (2021), </w:t>
      </w:r>
      <w:r>
        <w:rPr>
          <w:i/>
          <w:iCs/>
        </w:rPr>
        <w:t xml:space="preserve">Memoria </w:t>
      </w:r>
      <w:proofErr w:type="spellStart"/>
      <w:r>
        <w:rPr>
          <w:i/>
          <w:iCs/>
        </w:rPr>
        <w:t>institucional</w:t>
      </w:r>
      <w:proofErr w:type="spellEnd"/>
      <w:r>
        <w:rPr>
          <w:i/>
          <w:iCs/>
        </w:rPr>
        <w:t xml:space="preserve"> 2020</w:t>
      </w:r>
      <w:r>
        <w:t xml:space="preserve">. Viewed at: </w:t>
      </w:r>
      <w:hyperlink r:id="rId59" w:history="1">
        <w:r>
          <w:rPr>
            <w:rStyle w:val="Hyperlink"/>
          </w:rPr>
          <w:t>https://codoca.gob.do/wp-content/uploads/2021/03/Memorias-del-CODOCA-2020-1.pdf</w:t>
        </w:r>
      </w:hyperlink>
      <w:r>
        <w:t xml:space="preserve">. </w:t>
      </w:r>
    </w:p>
  </w:footnote>
  <w:footnote w:id="196">
    <w:p w14:paraId="28F550D0" w14:textId="77777777" w:rsidR="001A500E" w:rsidRDefault="001A500E" w:rsidP="00D146B4">
      <w:pPr>
        <w:pStyle w:val="FootnoteText"/>
      </w:pPr>
      <w:r>
        <w:rPr>
          <w:rStyle w:val="FootnoteReference"/>
        </w:rPr>
        <w:footnoteRef/>
      </w:r>
      <w:r>
        <w:t xml:space="preserve"> PNC 2021</w:t>
      </w:r>
      <w:r>
        <w:noBreakHyphen/>
        <w:t xml:space="preserve">24. Viewed at: </w:t>
      </w:r>
      <w:hyperlink r:id="rId60" w:history="1">
        <w:r>
          <w:rPr>
            <w:rStyle w:val="Hyperlink"/>
          </w:rPr>
          <w:t>https://indocal.gob.do/wp-content/uploads/2021/08/Politica-Nacional-de-Calidad.pdf</w:t>
        </w:r>
      </w:hyperlink>
      <w:r>
        <w:t>.</w:t>
      </w:r>
    </w:p>
  </w:footnote>
  <w:footnote w:id="197">
    <w:p w14:paraId="662A16D3" w14:textId="77777777" w:rsidR="001A500E" w:rsidRDefault="001A500E" w:rsidP="00D146B4">
      <w:pPr>
        <w:pStyle w:val="FootnoteText"/>
      </w:pPr>
      <w:r>
        <w:rPr>
          <w:rStyle w:val="FootnoteReference"/>
        </w:rPr>
        <w:footnoteRef/>
      </w:r>
      <w:r>
        <w:t xml:space="preserve"> Article 53 of Law No. 166</w:t>
      </w:r>
      <w:r>
        <w:noBreakHyphen/>
        <w:t>12, and information supplied by the authorities.</w:t>
      </w:r>
    </w:p>
  </w:footnote>
  <w:footnote w:id="198">
    <w:p w14:paraId="77BA7FA1" w14:textId="77777777" w:rsidR="001A500E" w:rsidRDefault="001A500E" w:rsidP="00D146B4">
      <w:pPr>
        <w:pStyle w:val="FootnoteText"/>
      </w:pPr>
      <w:r>
        <w:rPr>
          <w:rStyle w:val="FootnoteReference"/>
        </w:rPr>
        <w:footnoteRef/>
      </w:r>
      <w:r>
        <w:t xml:space="preserve"> Handbook of Good Technical Regulation Practices (</w:t>
      </w:r>
      <w:proofErr w:type="spellStart"/>
      <w:r>
        <w:t>GBPRT</w:t>
      </w:r>
      <w:proofErr w:type="spellEnd"/>
      <w:r>
        <w:t xml:space="preserve">). Viewed at: </w:t>
      </w:r>
      <w:hyperlink r:id="rId61" w:history="1">
        <w:r>
          <w:rPr>
            <w:rStyle w:val="Hyperlink"/>
          </w:rPr>
          <w:t>https://indocal.gob.do/publicaciones/rtd</w:t>
        </w:r>
      </w:hyperlink>
      <w:r>
        <w:t>.</w:t>
      </w:r>
    </w:p>
  </w:footnote>
  <w:footnote w:id="199">
    <w:p w14:paraId="48BF41AB" w14:textId="77777777" w:rsidR="001A500E" w:rsidRDefault="001A500E" w:rsidP="00D146B4">
      <w:pPr>
        <w:pStyle w:val="FootnoteText"/>
      </w:pPr>
      <w:r>
        <w:rPr>
          <w:rStyle w:val="FootnoteReference"/>
        </w:rPr>
        <w:footnoteRef/>
      </w:r>
      <w:r>
        <w:t xml:space="preserve"> </w:t>
      </w:r>
      <w:proofErr w:type="spellStart"/>
      <w:r>
        <w:t>GBPRT</w:t>
      </w:r>
      <w:proofErr w:type="spellEnd"/>
      <w:r>
        <w:t>.</w:t>
      </w:r>
    </w:p>
  </w:footnote>
  <w:footnote w:id="200">
    <w:p w14:paraId="6C471276" w14:textId="77777777" w:rsidR="001A500E" w:rsidRDefault="001A500E" w:rsidP="00D146B4">
      <w:pPr>
        <w:pStyle w:val="FootnoteText"/>
      </w:pPr>
      <w:r>
        <w:rPr>
          <w:rStyle w:val="FootnoteReference"/>
        </w:rPr>
        <w:footnoteRef/>
      </w:r>
      <w:r>
        <w:t xml:space="preserve"> Article 54 of Law No. 166</w:t>
      </w:r>
      <w:r>
        <w:noBreakHyphen/>
        <w:t xml:space="preserve">12 and </w:t>
      </w:r>
      <w:proofErr w:type="spellStart"/>
      <w:r>
        <w:t>GBPRT</w:t>
      </w:r>
      <w:proofErr w:type="spellEnd"/>
      <w:r>
        <w:t>.</w:t>
      </w:r>
    </w:p>
  </w:footnote>
  <w:footnote w:id="201">
    <w:p w14:paraId="7D9C34CC" w14:textId="77777777" w:rsidR="001A500E" w:rsidRDefault="001A500E" w:rsidP="00D146B4">
      <w:pPr>
        <w:pStyle w:val="FootnoteText"/>
      </w:pPr>
      <w:r>
        <w:rPr>
          <w:rStyle w:val="FootnoteReference"/>
        </w:rPr>
        <w:footnoteRef/>
      </w:r>
      <w:r>
        <w:t xml:space="preserve"> </w:t>
      </w:r>
      <w:proofErr w:type="spellStart"/>
      <w:r>
        <w:t>GBPRT</w:t>
      </w:r>
      <w:proofErr w:type="spellEnd"/>
      <w:r>
        <w:t xml:space="preserve"> and information supplied by the authorities. </w:t>
      </w:r>
    </w:p>
  </w:footnote>
  <w:footnote w:id="202">
    <w:p w14:paraId="6CA260BB" w14:textId="77777777" w:rsidR="001A500E" w:rsidRDefault="001A500E" w:rsidP="00D146B4">
      <w:pPr>
        <w:pStyle w:val="FootnoteText"/>
      </w:pPr>
      <w:r>
        <w:rPr>
          <w:rStyle w:val="FootnoteReference"/>
        </w:rPr>
        <w:footnoteRef/>
      </w:r>
      <w:r>
        <w:t xml:space="preserve"> </w:t>
      </w:r>
      <w:proofErr w:type="spellStart"/>
      <w:r>
        <w:t>GBPRT</w:t>
      </w:r>
      <w:proofErr w:type="spellEnd"/>
      <w:r>
        <w:t>.</w:t>
      </w:r>
    </w:p>
  </w:footnote>
  <w:footnote w:id="203">
    <w:p w14:paraId="2C65D20F" w14:textId="77777777" w:rsidR="001A500E" w:rsidRDefault="001A500E" w:rsidP="00D146B4">
      <w:pPr>
        <w:pStyle w:val="FootnoteText"/>
      </w:pPr>
      <w:r>
        <w:rPr>
          <w:rStyle w:val="FootnoteReference"/>
        </w:rPr>
        <w:footnoteRef/>
      </w:r>
      <w:r>
        <w:t xml:space="preserve"> </w:t>
      </w:r>
      <w:proofErr w:type="spellStart"/>
      <w:r>
        <w:t>GBPRT</w:t>
      </w:r>
      <w:proofErr w:type="spellEnd"/>
      <w:r>
        <w:t xml:space="preserve"> and information supplied by the authorities.</w:t>
      </w:r>
    </w:p>
  </w:footnote>
  <w:footnote w:id="204">
    <w:p w14:paraId="5938411F" w14:textId="77777777" w:rsidR="001A500E" w:rsidRDefault="001A500E" w:rsidP="00D146B4">
      <w:pPr>
        <w:pStyle w:val="FootnoteText"/>
      </w:pPr>
      <w:r>
        <w:rPr>
          <w:rStyle w:val="FootnoteReference"/>
        </w:rPr>
        <w:footnoteRef/>
      </w:r>
      <w:r>
        <w:t xml:space="preserve"> </w:t>
      </w:r>
      <w:proofErr w:type="spellStart"/>
      <w:r>
        <w:t>ePing</w:t>
      </w:r>
      <w:proofErr w:type="spellEnd"/>
      <w:r>
        <w:t xml:space="preserve"> </w:t>
      </w:r>
      <w:proofErr w:type="spellStart"/>
      <w:r>
        <w:t>SPS&amp;TBT</w:t>
      </w:r>
      <w:proofErr w:type="spellEnd"/>
      <w:r>
        <w:t xml:space="preserve"> Platform. Viewed at: </w:t>
      </w:r>
      <w:hyperlink r:id="rId62" w:history="1">
        <w:r>
          <w:rPr>
            <w:rStyle w:val="Hyperlink"/>
          </w:rPr>
          <w:t>https://eping.wto.org/en</w:t>
        </w:r>
      </w:hyperlink>
      <w:r>
        <w:t xml:space="preserve">. </w:t>
      </w:r>
    </w:p>
  </w:footnote>
  <w:footnote w:id="205">
    <w:p w14:paraId="5E271A87" w14:textId="77777777" w:rsidR="001A500E" w:rsidRDefault="001A500E" w:rsidP="00D146B4">
      <w:pPr>
        <w:pStyle w:val="FootnoteText"/>
      </w:pPr>
      <w:r>
        <w:rPr>
          <w:rStyle w:val="FootnoteReference"/>
        </w:rPr>
        <w:footnoteRef/>
      </w:r>
      <w:r>
        <w:t xml:space="preserve"> Article 6 of Law No. 166</w:t>
      </w:r>
      <w:r>
        <w:noBreakHyphen/>
        <w:t>12.</w:t>
      </w:r>
    </w:p>
  </w:footnote>
  <w:footnote w:id="206">
    <w:p w14:paraId="1D3185D6" w14:textId="77777777" w:rsidR="001A500E" w:rsidRDefault="001A500E" w:rsidP="00D146B4">
      <w:pPr>
        <w:pStyle w:val="FootnoteText"/>
      </w:pPr>
      <w:r>
        <w:rPr>
          <w:rStyle w:val="FootnoteReference"/>
        </w:rPr>
        <w:footnoteRef/>
      </w:r>
      <w:r>
        <w:t xml:space="preserve"> ODAC recognizes foreign CABs whose country of origin is party to multilateral recognition arrangements of the International Accreditation Forum (</w:t>
      </w:r>
      <w:proofErr w:type="spellStart"/>
      <w:r>
        <w:t>IAF</w:t>
      </w:r>
      <w:proofErr w:type="spellEnd"/>
      <w:r>
        <w:t>), International Laboratory Accreditation Cooperation (</w:t>
      </w:r>
      <w:proofErr w:type="spellStart"/>
      <w:r>
        <w:t>ILAC</w:t>
      </w:r>
      <w:proofErr w:type="spellEnd"/>
      <w:r>
        <w:t>) and Inter</w:t>
      </w:r>
      <w:r>
        <w:noBreakHyphen/>
        <w:t>American Accreditation Cooperation (</w:t>
      </w:r>
      <w:proofErr w:type="spellStart"/>
      <w:r>
        <w:t>IAAC</w:t>
      </w:r>
      <w:proofErr w:type="spellEnd"/>
      <w:r>
        <w:t xml:space="preserve">). Viewed at: </w:t>
      </w:r>
      <w:hyperlink r:id="rId63" w:history="1">
        <w:r>
          <w:rPr>
            <w:rStyle w:val="Hyperlink"/>
          </w:rPr>
          <w:t>https://odac.gob.do/todos-los-servicios/constancia-acreditacion-otorgada-por-organismos-de-acreditacion-extranjeros</w:t>
        </w:r>
      </w:hyperlink>
      <w:r>
        <w:t>.</w:t>
      </w:r>
    </w:p>
  </w:footnote>
  <w:footnote w:id="207">
    <w:p w14:paraId="0FE81F96" w14:textId="77777777" w:rsidR="001A500E" w:rsidRDefault="001A500E" w:rsidP="00D146B4">
      <w:pPr>
        <w:pStyle w:val="FootnoteText"/>
      </w:pPr>
      <w:r>
        <w:rPr>
          <w:rStyle w:val="FootnoteReference"/>
        </w:rPr>
        <w:footnoteRef/>
      </w:r>
      <w:r>
        <w:t xml:space="preserve"> ODAC, viewed at: </w:t>
      </w:r>
      <w:hyperlink r:id="rId64" w:history="1">
        <w:r>
          <w:rPr>
            <w:rStyle w:val="Hyperlink"/>
          </w:rPr>
          <w:t>https://odac.gob.do</w:t>
        </w:r>
      </w:hyperlink>
      <w:r>
        <w:t xml:space="preserve">; </w:t>
      </w:r>
      <w:proofErr w:type="spellStart"/>
      <w:r>
        <w:t>SIDOCAL</w:t>
      </w:r>
      <w:proofErr w:type="spellEnd"/>
      <w:r>
        <w:t xml:space="preserve">, viewed at: </w:t>
      </w:r>
      <w:hyperlink r:id="rId65" w:history="1">
        <w:r>
          <w:rPr>
            <w:rStyle w:val="Hyperlink"/>
          </w:rPr>
          <w:t>https://sidocal.gob.do/temas-de-calidad/tc-acreditacion/</w:t>
        </w:r>
      </w:hyperlink>
      <w:r>
        <w:t xml:space="preserve">; and United States International Trade Administration (ITA), viewed at: </w:t>
      </w:r>
      <w:hyperlink r:id="rId66" w:history="1">
        <w:r>
          <w:rPr>
            <w:rStyle w:val="Hyperlink"/>
          </w:rPr>
          <w:t>https://www.trade.gov/country-commercial-guides/dominican-republic-standards-trade</w:t>
        </w:r>
      </w:hyperlink>
      <w:r>
        <w:t xml:space="preserve">. </w:t>
      </w:r>
    </w:p>
  </w:footnote>
  <w:footnote w:id="208">
    <w:p w14:paraId="571083D9" w14:textId="77777777" w:rsidR="001A500E" w:rsidRDefault="001A500E" w:rsidP="00D146B4">
      <w:pPr>
        <w:pStyle w:val="FootnoteText"/>
      </w:pPr>
      <w:r>
        <w:rPr>
          <w:rStyle w:val="FootnoteReference"/>
        </w:rPr>
        <w:footnoteRef/>
      </w:r>
      <w:r>
        <w:t xml:space="preserve"> Pro </w:t>
      </w:r>
      <w:proofErr w:type="spellStart"/>
      <w:r>
        <w:t>Consumidor</w:t>
      </w:r>
      <w:proofErr w:type="spellEnd"/>
      <w:r>
        <w:t xml:space="preserve"> (2020), </w:t>
      </w:r>
      <w:proofErr w:type="spellStart"/>
      <w:r>
        <w:rPr>
          <w:i/>
          <w:iCs/>
        </w:rPr>
        <w:t>Memorias</w:t>
      </w:r>
      <w:proofErr w:type="spellEnd"/>
      <w:r>
        <w:rPr>
          <w:i/>
          <w:iCs/>
        </w:rPr>
        <w:t xml:space="preserve"> </w:t>
      </w:r>
      <w:proofErr w:type="spellStart"/>
      <w:r>
        <w:rPr>
          <w:i/>
          <w:iCs/>
        </w:rPr>
        <w:t>Constitucionales</w:t>
      </w:r>
      <w:proofErr w:type="spellEnd"/>
      <w:r>
        <w:rPr>
          <w:i/>
          <w:iCs/>
        </w:rPr>
        <w:t xml:space="preserve"> 2019 </w:t>
      </w:r>
      <w:r>
        <w:t>and General Law on Protection of Consumers' and Users' Rights (Law No. 358</w:t>
      </w:r>
      <w:r>
        <w:noBreakHyphen/>
        <w:t>05); and Pro </w:t>
      </w:r>
      <w:proofErr w:type="spellStart"/>
      <w:r>
        <w:t>Consumidor</w:t>
      </w:r>
      <w:proofErr w:type="spellEnd"/>
      <w:r>
        <w:t xml:space="preserve">. Viewed at: </w:t>
      </w:r>
      <w:hyperlink r:id="rId67" w:history="1">
        <w:r>
          <w:rPr>
            <w:rStyle w:val="Hyperlink"/>
          </w:rPr>
          <w:t>https://proconsumidor.gob.do/inspeccion-y-vigilancia</w:t>
        </w:r>
      </w:hyperlink>
      <w:r w:rsidRPr="00893857">
        <w:t>.</w:t>
      </w:r>
    </w:p>
  </w:footnote>
  <w:footnote w:id="209">
    <w:p w14:paraId="2F9F0B2D" w14:textId="77777777" w:rsidR="001A500E" w:rsidRDefault="001A500E" w:rsidP="00D146B4">
      <w:pPr>
        <w:pStyle w:val="FootnoteText"/>
      </w:pPr>
      <w:r>
        <w:rPr>
          <w:rStyle w:val="FootnoteReference"/>
        </w:rPr>
        <w:footnoteRef/>
      </w:r>
      <w:r>
        <w:t xml:space="preserve"> Article 80(d) of Law No. 166</w:t>
      </w:r>
      <w:r>
        <w:noBreakHyphen/>
        <w:t xml:space="preserve">12. </w:t>
      </w:r>
    </w:p>
  </w:footnote>
  <w:footnote w:id="210">
    <w:p w14:paraId="037C940B" w14:textId="77777777" w:rsidR="001A500E" w:rsidRDefault="001A500E" w:rsidP="00D146B4">
      <w:pPr>
        <w:pStyle w:val="FootnoteText"/>
      </w:pPr>
      <w:r>
        <w:rPr>
          <w:rStyle w:val="FootnoteReference"/>
        </w:rPr>
        <w:footnoteRef/>
      </w:r>
      <w:r>
        <w:t xml:space="preserve"> </w:t>
      </w:r>
      <w:proofErr w:type="spellStart"/>
      <w:r>
        <w:rPr>
          <w:i/>
          <w:iCs/>
        </w:rPr>
        <w:t>Guía</w:t>
      </w:r>
      <w:proofErr w:type="spellEnd"/>
      <w:r>
        <w:rPr>
          <w:i/>
          <w:iCs/>
        </w:rPr>
        <w:t xml:space="preserve"> de </w:t>
      </w:r>
      <w:proofErr w:type="spellStart"/>
      <w:r>
        <w:rPr>
          <w:i/>
          <w:iCs/>
        </w:rPr>
        <w:t>Importación</w:t>
      </w:r>
      <w:proofErr w:type="spellEnd"/>
      <w:r>
        <w:rPr>
          <w:i/>
          <w:iCs/>
        </w:rPr>
        <w:t xml:space="preserve"> de </w:t>
      </w:r>
      <w:proofErr w:type="spellStart"/>
      <w:r>
        <w:rPr>
          <w:i/>
          <w:iCs/>
        </w:rPr>
        <w:t>Productos</w:t>
      </w:r>
      <w:proofErr w:type="spellEnd"/>
      <w:r>
        <w:rPr>
          <w:i/>
          <w:iCs/>
        </w:rPr>
        <w:t xml:space="preserve"> </w:t>
      </w:r>
      <w:proofErr w:type="spellStart"/>
      <w:r>
        <w:rPr>
          <w:i/>
          <w:iCs/>
        </w:rPr>
        <w:t>Regulados</w:t>
      </w:r>
      <w:proofErr w:type="spellEnd"/>
      <w:r>
        <w:rPr>
          <w:i/>
          <w:iCs/>
        </w:rPr>
        <w:t xml:space="preserve"> </w:t>
      </w:r>
      <w:proofErr w:type="spellStart"/>
      <w:r>
        <w:rPr>
          <w:i/>
          <w:iCs/>
        </w:rPr>
        <w:t>por</w:t>
      </w:r>
      <w:proofErr w:type="spellEnd"/>
      <w:r>
        <w:rPr>
          <w:i/>
          <w:iCs/>
        </w:rPr>
        <w:t xml:space="preserve"> </w:t>
      </w:r>
      <w:proofErr w:type="spellStart"/>
      <w:r>
        <w:rPr>
          <w:i/>
          <w:iCs/>
        </w:rPr>
        <w:t>INDOCAL</w:t>
      </w:r>
      <w:proofErr w:type="spellEnd"/>
      <w:r>
        <w:t xml:space="preserve">. Viewed at: </w:t>
      </w:r>
      <w:hyperlink r:id="rId68" w:history="1">
        <w:r>
          <w:rPr>
            <w:rStyle w:val="Hyperlink"/>
          </w:rPr>
          <w:t>https://indocal.gob.do/guia-de-importacion-productos-regulados-por-indocal</w:t>
        </w:r>
      </w:hyperlink>
      <w:r>
        <w:t>.</w:t>
      </w:r>
    </w:p>
  </w:footnote>
  <w:footnote w:id="211">
    <w:p w14:paraId="5D48238A" w14:textId="77777777" w:rsidR="001A500E" w:rsidRDefault="001A500E" w:rsidP="00D146B4">
      <w:pPr>
        <w:pStyle w:val="FootnoteText"/>
      </w:pPr>
      <w:r>
        <w:rPr>
          <w:rStyle w:val="FootnoteReference"/>
        </w:rPr>
        <w:footnoteRef/>
      </w:r>
      <w:r>
        <w:t xml:space="preserve"> </w:t>
      </w:r>
      <w:proofErr w:type="spellStart"/>
      <w:r>
        <w:t>RTD</w:t>
      </w:r>
      <w:proofErr w:type="spellEnd"/>
      <w:r>
        <w:t> 53: general labelling of pre</w:t>
      </w:r>
      <w:r>
        <w:noBreakHyphen/>
        <w:t xml:space="preserve">packaged foods; </w:t>
      </w:r>
      <w:proofErr w:type="spellStart"/>
      <w:r>
        <w:t>RTD</w:t>
      </w:r>
      <w:proofErr w:type="spellEnd"/>
      <w:r>
        <w:t> 675: labelling of pre</w:t>
      </w:r>
      <w:r>
        <w:noBreakHyphen/>
        <w:t xml:space="preserve">packaged food (regulation on nutritional labelling); and </w:t>
      </w:r>
      <w:proofErr w:type="spellStart"/>
      <w:r>
        <w:t>RTD</w:t>
      </w:r>
      <w:proofErr w:type="spellEnd"/>
      <w:r>
        <w:t> 634: labelling of and claims for pre</w:t>
      </w:r>
      <w:r>
        <w:noBreakHyphen/>
        <w:t>packaged foods for special dietary uses.</w:t>
      </w:r>
    </w:p>
  </w:footnote>
  <w:footnote w:id="212">
    <w:p w14:paraId="33885228" w14:textId="77777777" w:rsidR="001A500E" w:rsidRDefault="001A500E" w:rsidP="00D146B4">
      <w:pPr>
        <w:pStyle w:val="FootnoteText"/>
      </w:pPr>
      <w:r>
        <w:rPr>
          <w:rStyle w:val="FootnoteReference"/>
        </w:rPr>
        <w:footnoteRef/>
      </w:r>
      <w:r>
        <w:t xml:space="preserve"> Information supplied by the authorities. </w:t>
      </w:r>
    </w:p>
  </w:footnote>
  <w:footnote w:id="213">
    <w:p w14:paraId="0FC48706" w14:textId="77777777" w:rsidR="001A500E" w:rsidRDefault="001A500E" w:rsidP="00D146B4">
      <w:pPr>
        <w:pStyle w:val="FootnoteText"/>
      </w:pPr>
      <w:r>
        <w:rPr>
          <w:rStyle w:val="FootnoteReference"/>
        </w:rPr>
        <w:footnoteRef/>
      </w:r>
      <w:r>
        <w:t xml:space="preserve"> Article 49 of Law No. 166</w:t>
      </w:r>
      <w:r>
        <w:noBreakHyphen/>
        <w:t>12.</w:t>
      </w:r>
    </w:p>
  </w:footnote>
  <w:footnote w:id="214">
    <w:p w14:paraId="017CB764" w14:textId="77777777" w:rsidR="001A500E" w:rsidRDefault="001A500E" w:rsidP="00D146B4">
      <w:pPr>
        <w:pStyle w:val="FootnoteText"/>
      </w:pPr>
      <w:r>
        <w:rPr>
          <w:rStyle w:val="FootnoteReference"/>
        </w:rPr>
        <w:footnoteRef/>
      </w:r>
      <w:r>
        <w:t xml:space="preserve"> </w:t>
      </w:r>
      <w:proofErr w:type="spellStart"/>
      <w:r>
        <w:t>INDOCAL</w:t>
      </w:r>
      <w:proofErr w:type="spellEnd"/>
      <w:r>
        <w:t xml:space="preserve">. Viewed at: </w:t>
      </w:r>
      <w:hyperlink r:id="rId69" w:history="1">
        <w:r>
          <w:rPr>
            <w:rStyle w:val="Hyperlink"/>
          </w:rPr>
          <w:t>https://indocal.gob.do/foros/topic/las-normas-dominicanas-pueden-ser-derogadas</w:t>
        </w:r>
      </w:hyperlink>
      <w:r>
        <w:t xml:space="preserve">. </w:t>
      </w:r>
    </w:p>
  </w:footnote>
  <w:footnote w:id="215">
    <w:p w14:paraId="28943260" w14:textId="77777777" w:rsidR="001A500E" w:rsidRDefault="001A500E" w:rsidP="00D146B4">
      <w:pPr>
        <w:pStyle w:val="FootnoteText"/>
      </w:pPr>
      <w:r>
        <w:rPr>
          <w:rStyle w:val="FootnoteReference"/>
        </w:rPr>
        <w:footnoteRef/>
      </w:r>
      <w:r>
        <w:t xml:space="preserve"> The catalogue can be accessed at: </w:t>
      </w:r>
      <w:hyperlink r:id="rId70" w:history="1">
        <w:r>
          <w:rPr>
            <w:rStyle w:val="Hyperlink"/>
          </w:rPr>
          <w:t>https://indocalnormas.gob.do/catalogo</w:t>
        </w:r>
      </w:hyperlink>
      <w:r>
        <w:t>.</w:t>
      </w:r>
    </w:p>
  </w:footnote>
  <w:footnote w:id="216">
    <w:p w14:paraId="585D4572" w14:textId="77777777" w:rsidR="001A500E" w:rsidRDefault="001A500E" w:rsidP="00D146B4">
      <w:pPr>
        <w:pStyle w:val="FootnoteText"/>
      </w:pPr>
      <w:r>
        <w:rPr>
          <w:rStyle w:val="FootnoteReference"/>
        </w:rPr>
        <w:footnoteRef/>
      </w:r>
      <w:r>
        <w:t xml:space="preserve"> Annex D to </w:t>
      </w:r>
      <w:proofErr w:type="spellStart"/>
      <w:r>
        <w:t>INDOCAL</w:t>
      </w:r>
      <w:proofErr w:type="spellEnd"/>
      <w:r>
        <w:t xml:space="preserve"> document OD</w:t>
      </w:r>
      <w:r>
        <w:noBreakHyphen/>
        <w:t>DEC</w:t>
      </w:r>
      <w:r>
        <w:noBreakHyphen/>
        <w:t xml:space="preserve">003 (Revision 10) of 24 August 2020. Viewed at: </w:t>
      </w:r>
      <w:hyperlink r:id="rId71" w:history="1">
        <w:r>
          <w:rPr>
            <w:rStyle w:val="Hyperlink"/>
          </w:rPr>
          <w:t>https://indocal.gob.do/areas-tecnicas/evaluacion-de-la-conformidad/certificacion-de-productos</w:t>
        </w:r>
      </w:hyperlink>
      <w:r>
        <w:t>.</w:t>
      </w:r>
    </w:p>
  </w:footnote>
  <w:footnote w:id="217">
    <w:p w14:paraId="0D3E1114" w14:textId="77777777" w:rsidR="001A500E" w:rsidRDefault="001A500E" w:rsidP="00D146B4">
      <w:pPr>
        <w:pStyle w:val="FootnoteText"/>
      </w:pPr>
      <w:r>
        <w:rPr>
          <w:rStyle w:val="FootnoteReference"/>
        </w:rPr>
        <w:footnoteRef/>
      </w:r>
      <w:r>
        <w:t xml:space="preserve"> </w:t>
      </w:r>
      <w:proofErr w:type="spellStart"/>
      <w:r>
        <w:t>INDOCAL</w:t>
      </w:r>
      <w:proofErr w:type="spellEnd"/>
      <w:r>
        <w:t xml:space="preserve"> news item of 10 March 2022. Viewed at: </w:t>
      </w:r>
      <w:hyperlink r:id="rId72" w:history="1">
        <w:r>
          <w:rPr>
            <w:rStyle w:val="Hyperlink"/>
          </w:rPr>
          <w:t>https://indocal.gob.do/certificaran-calidad-del-tabaco-dominicano</w:t>
        </w:r>
      </w:hyperlink>
      <w:r>
        <w:t xml:space="preserve">. </w:t>
      </w:r>
    </w:p>
  </w:footnote>
  <w:footnote w:id="218">
    <w:p w14:paraId="2121E237" w14:textId="77777777" w:rsidR="001A500E" w:rsidRDefault="001A500E" w:rsidP="00D146B4">
      <w:pPr>
        <w:pStyle w:val="FootnoteText"/>
      </w:pPr>
      <w:r>
        <w:rPr>
          <w:rStyle w:val="FootnoteReference"/>
        </w:rPr>
        <w:footnoteRef/>
      </w:r>
      <w:r>
        <w:t xml:space="preserve"> </w:t>
      </w:r>
      <w:proofErr w:type="spellStart"/>
      <w:r>
        <w:t>INDOCAL</w:t>
      </w:r>
      <w:proofErr w:type="spellEnd"/>
      <w:r>
        <w:t xml:space="preserve"> document OD</w:t>
      </w:r>
      <w:r>
        <w:noBreakHyphen/>
        <w:t>DEC</w:t>
      </w:r>
      <w:r>
        <w:noBreakHyphen/>
        <w:t>003 (Revision 10) of 24 August 2020.</w:t>
      </w:r>
    </w:p>
  </w:footnote>
  <w:footnote w:id="219">
    <w:p w14:paraId="2BF0296E" w14:textId="77777777" w:rsidR="001A500E" w:rsidRDefault="001A500E" w:rsidP="00D146B4">
      <w:pPr>
        <w:pStyle w:val="FootnoteText"/>
      </w:pPr>
      <w:r>
        <w:rPr>
          <w:rStyle w:val="FootnoteReference"/>
        </w:rPr>
        <w:footnoteRef/>
      </w:r>
      <w:r>
        <w:t xml:space="preserve"> Obtaining information for this section was difficult because access to various websites was denied. For example, the messages from some of the sites were as follows: "</w:t>
      </w:r>
      <w:r>
        <w:rPr>
          <w:i/>
          <w:iCs/>
        </w:rPr>
        <w:t>The owner of this website (agricultura.gob.do) has banned the country or region your IP address is in (CH) from accessing this website</w:t>
      </w:r>
      <w:r>
        <w:t xml:space="preserve">." (Online information: </w:t>
      </w:r>
      <w:hyperlink r:id="rId73" w:history="1">
        <w:r>
          <w:rPr>
            <w:rStyle w:val="Hyperlink"/>
          </w:rPr>
          <w:t>https://agricultura.gob.do</w:t>
        </w:r>
      </w:hyperlink>
      <w:r>
        <w:t>); "</w:t>
      </w:r>
      <w:r>
        <w:rPr>
          <w:i/>
          <w:iCs/>
        </w:rPr>
        <w:t>The owner of this website (www.cnmsf.gob.do) has banned the country or region your IP address is in (CH) from accessing this website</w:t>
      </w:r>
      <w:r>
        <w:t xml:space="preserve">." (Online information: </w:t>
      </w:r>
      <w:hyperlink r:id="rId74" w:history="1">
        <w:r>
          <w:rPr>
            <w:rStyle w:val="Hyperlink"/>
          </w:rPr>
          <w:t>https://www.cnmsf.gob.do</w:t>
        </w:r>
      </w:hyperlink>
      <w:r>
        <w:t>); and "</w:t>
      </w:r>
      <w:r>
        <w:rPr>
          <w:i/>
          <w:iCs/>
        </w:rPr>
        <w:t>The owner of this website (otca.gob.do) has banned the country or region your IP address is in (CH) from accessing this website</w:t>
      </w:r>
      <w:r>
        <w:t>." Online information:</w:t>
      </w:r>
      <w:hyperlink r:id="rId75" w:history="1">
        <w:r>
          <w:rPr>
            <w:rStyle w:val="Hyperlink"/>
          </w:rPr>
          <w:t xml:space="preserve"> https://otca.gob.do</w:t>
        </w:r>
      </w:hyperlink>
      <w:r>
        <w:t>.</w:t>
      </w:r>
    </w:p>
  </w:footnote>
  <w:footnote w:id="220">
    <w:p w14:paraId="37722572" w14:textId="77777777" w:rsidR="001A500E" w:rsidRDefault="001A500E" w:rsidP="00D146B4">
      <w:pPr>
        <w:pStyle w:val="FootnoteText"/>
      </w:pPr>
      <w:r>
        <w:rPr>
          <w:rStyle w:val="FootnoteReference"/>
        </w:rPr>
        <w:footnoteRef/>
      </w:r>
      <w:r>
        <w:t xml:space="preserve"> WTO documents G/SPS/N/DOM/56/Add.1 and G/SPS/N/DOM/57/Add.1, 2 February 2015.</w:t>
      </w:r>
    </w:p>
  </w:footnote>
  <w:footnote w:id="221">
    <w:p w14:paraId="31136101" w14:textId="77777777" w:rsidR="001A500E" w:rsidRDefault="001A500E" w:rsidP="00D146B4">
      <w:pPr>
        <w:pStyle w:val="FootnoteText"/>
      </w:pPr>
      <w:r>
        <w:rPr>
          <w:rStyle w:val="FootnoteReference"/>
        </w:rPr>
        <w:footnoteRef/>
      </w:r>
      <w:r>
        <w:t xml:space="preserve"> The Ministry of the Environment and Natural Resources (</w:t>
      </w:r>
      <w:proofErr w:type="spellStart"/>
      <w:r>
        <w:t>MIMARENA</w:t>
      </w:r>
      <w:proofErr w:type="spellEnd"/>
      <w:r>
        <w:t>) intervenes in exceptional cases, especially where there are allegations concerning the environmental impact of products of plant or animal origin.</w:t>
      </w:r>
    </w:p>
  </w:footnote>
  <w:footnote w:id="222">
    <w:p w14:paraId="4F7D2DFE" w14:textId="77777777" w:rsidR="001A500E" w:rsidRDefault="001A500E" w:rsidP="00D146B4">
      <w:pPr>
        <w:pStyle w:val="FootnoteText"/>
      </w:pPr>
      <w:r>
        <w:rPr>
          <w:rStyle w:val="FootnoteReference"/>
        </w:rPr>
        <w:footnoteRef/>
      </w:r>
      <w:r>
        <w:t xml:space="preserve"> </w:t>
      </w:r>
      <w:proofErr w:type="spellStart"/>
      <w:r>
        <w:t>SIDOCAL</w:t>
      </w:r>
      <w:proofErr w:type="spellEnd"/>
      <w:r>
        <w:t xml:space="preserve">. Viewed at: </w:t>
      </w:r>
      <w:hyperlink r:id="rId76" w:anchor=":~:text=El%20Departamento%20de%20Sanidad%20Vegetal,diseminaci%C3%B3n%20a%20nuevas%20%C3%A1reas%20libres" w:history="1">
        <w:r>
          <w:rPr>
            <w:rStyle w:val="Hyperlink"/>
          </w:rPr>
          <w:t>https://sidocal.gob.do/temas-de-calidad/medidas-sanitarias-y-fitosanitarias/departamento-de-sanidad-vegetal/#:~:text=El%20Departamento%20de%20Sanidad%20Vegetal,diseminaci%C3%B3n%20a%20nuevas%20%C3 per centA1reas%20libres</w:t>
        </w:r>
      </w:hyperlink>
      <w:r>
        <w:t xml:space="preserve">. </w:t>
      </w:r>
    </w:p>
  </w:footnote>
  <w:footnote w:id="223">
    <w:p w14:paraId="105A3FD2" w14:textId="77777777" w:rsidR="001A500E" w:rsidRDefault="001A500E" w:rsidP="00D146B4">
      <w:pPr>
        <w:pStyle w:val="FootnoteText"/>
      </w:pPr>
      <w:r>
        <w:rPr>
          <w:rStyle w:val="FootnoteReference"/>
        </w:rPr>
        <w:footnoteRef/>
      </w:r>
      <w:r>
        <w:t xml:space="preserve"> Ministry of Agriculture. Viewed at: </w:t>
      </w:r>
      <w:hyperlink r:id="rId77" w:history="1">
        <w:r>
          <w:rPr>
            <w:rStyle w:val="Hyperlink"/>
          </w:rPr>
          <w:t>https://agricultura.gob.do/dependencia/comite-nacional-para-la-aplicacion-de-las-medidas-sanitarias-y-fitosanitarias-cnmsf</w:t>
        </w:r>
      </w:hyperlink>
      <w:r>
        <w:t xml:space="preserve">. </w:t>
      </w:r>
    </w:p>
  </w:footnote>
  <w:footnote w:id="224">
    <w:p w14:paraId="714F06E5" w14:textId="77777777" w:rsidR="001A500E" w:rsidRDefault="001A500E" w:rsidP="00D146B4">
      <w:pPr>
        <w:pStyle w:val="FootnoteText"/>
      </w:pPr>
      <w:r>
        <w:rPr>
          <w:rStyle w:val="FootnoteReference"/>
        </w:rPr>
        <w:footnoteRef/>
      </w:r>
      <w:r>
        <w:t xml:space="preserve"> Article 2(7) of Decree No 515</w:t>
      </w:r>
      <w:r>
        <w:noBreakHyphen/>
        <w:t>05.</w:t>
      </w:r>
    </w:p>
  </w:footnote>
  <w:footnote w:id="225">
    <w:p w14:paraId="7FC87473" w14:textId="77777777" w:rsidR="001A500E" w:rsidRDefault="001A500E" w:rsidP="00D146B4">
      <w:pPr>
        <w:pStyle w:val="FootnoteText"/>
      </w:pPr>
      <w:r>
        <w:rPr>
          <w:rStyle w:val="FootnoteReference"/>
        </w:rPr>
        <w:footnoteRef/>
      </w:r>
      <w:r>
        <w:t xml:space="preserve"> Ministry of Agriculture Resolution </w:t>
      </w:r>
      <w:r>
        <w:rPr>
          <w:color w:val="000000"/>
          <w:szCs w:val="16"/>
        </w:rPr>
        <w:t>No. </w:t>
      </w:r>
      <w:r>
        <w:t>54</w:t>
      </w:r>
      <w:r>
        <w:noBreakHyphen/>
        <w:t>05.</w:t>
      </w:r>
    </w:p>
  </w:footnote>
  <w:footnote w:id="226">
    <w:p w14:paraId="48286A52" w14:textId="77777777" w:rsidR="001A500E" w:rsidRDefault="001A500E" w:rsidP="00D146B4">
      <w:pPr>
        <w:pStyle w:val="FootnoteText"/>
      </w:pPr>
      <w:r>
        <w:rPr>
          <w:rStyle w:val="FootnoteReference"/>
        </w:rPr>
        <w:footnoteRef/>
      </w:r>
      <w:r>
        <w:t xml:space="preserve"> </w:t>
      </w:r>
      <w:proofErr w:type="spellStart"/>
      <w:r>
        <w:t>ePing</w:t>
      </w:r>
      <w:proofErr w:type="spellEnd"/>
      <w:r>
        <w:t xml:space="preserve"> </w:t>
      </w:r>
      <w:proofErr w:type="spellStart"/>
      <w:r>
        <w:t>SPS&amp;TBT</w:t>
      </w:r>
      <w:proofErr w:type="spellEnd"/>
      <w:r>
        <w:t xml:space="preserve"> Platform. Viewed at: </w:t>
      </w:r>
      <w:hyperlink r:id="rId78" w:history="1">
        <w:r>
          <w:rPr>
            <w:rStyle w:val="Hyperlink"/>
          </w:rPr>
          <w:t>https://eping.wto.org/en/EnquiryPoint/sps-nna</w:t>
        </w:r>
      </w:hyperlink>
      <w:r>
        <w:t xml:space="preserve">. </w:t>
      </w:r>
    </w:p>
  </w:footnote>
  <w:footnote w:id="227">
    <w:p w14:paraId="5183A015" w14:textId="77777777" w:rsidR="001A500E" w:rsidRDefault="001A500E" w:rsidP="00D146B4">
      <w:pPr>
        <w:pStyle w:val="FootnoteText"/>
      </w:pPr>
      <w:r>
        <w:rPr>
          <w:rStyle w:val="FootnoteReference"/>
        </w:rPr>
        <w:footnoteRef/>
      </w:r>
      <w:r>
        <w:t xml:space="preserve"> </w:t>
      </w:r>
      <w:proofErr w:type="spellStart"/>
      <w:r>
        <w:t>SIDOCAL</w:t>
      </w:r>
      <w:proofErr w:type="spellEnd"/>
      <w:r>
        <w:t xml:space="preserve">. Viewed at: </w:t>
      </w:r>
      <w:hyperlink r:id="rId79" w:history="1">
        <w:r>
          <w:rPr>
            <w:rStyle w:val="Hyperlink"/>
          </w:rPr>
          <w:t>https://sidocal.gob.do/temas-de-calidad/medidas-sanitarias-y-fitosanitarias/barreras-de-defensa-del-sistema-sanitario-y-fitosanitario-de-la-rd</w:t>
        </w:r>
      </w:hyperlink>
      <w:r>
        <w:t xml:space="preserve">. </w:t>
      </w:r>
    </w:p>
  </w:footnote>
  <w:footnote w:id="228">
    <w:p w14:paraId="41A12CBB" w14:textId="77777777" w:rsidR="001A500E" w:rsidRDefault="001A500E" w:rsidP="00D146B4">
      <w:pPr>
        <w:pStyle w:val="FootnoteText"/>
      </w:pPr>
      <w:r>
        <w:rPr>
          <w:rStyle w:val="FootnoteReference"/>
        </w:rPr>
        <w:footnoteRef/>
      </w:r>
      <w:r>
        <w:t xml:space="preserve"> The Integrated Pest Management Programme lays down the inspection frequency.</w:t>
      </w:r>
    </w:p>
  </w:footnote>
  <w:footnote w:id="229">
    <w:p w14:paraId="5F3DD960" w14:textId="77777777" w:rsidR="001A500E" w:rsidRDefault="001A500E" w:rsidP="00D146B4">
      <w:pPr>
        <w:pStyle w:val="FootnoteText"/>
      </w:pPr>
      <w:r>
        <w:rPr>
          <w:rStyle w:val="FootnoteReference"/>
        </w:rPr>
        <w:footnoteRef/>
      </w:r>
      <w:r>
        <w:t xml:space="preserve"> </w:t>
      </w:r>
      <w:proofErr w:type="spellStart"/>
      <w:r>
        <w:t>SIDOCAL</w:t>
      </w:r>
      <w:proofErr w:type="spellEnd"/>
      <w:r>
        <w:t xml:space="preserve">. Viewed at: </w:t>
      </w:r>
      <w:hyperlink r:id="rId80" w:history="1">
        <w:r>
          <w:rPr>
            <w:rStyle w:val="Hyperlink"/>
          </w:rPr>
          <w:t>https://sidocal.gob.do/temas-de-calidad/medidas-sanitarias-y-fitosanitarias/servicios-de-evaluacion-de-conformidad-en-el-area-sfs</w:t>
        </w:r>
      </w:hyperlink>
      <w:r>
        <w:t xml:space="preserve">. </w:t>
      </w:r>
    </w:p>
  </w:footnote>
  <w:footnote w:id="230">
    <w:p w14:paraId="62C910BD" w14:textId="77777777" w:rsidR="001A500E" w:rsidRDefault="001A500E" w:rsidP="00D146B4">
      <w:pPr>
        <w:pStyle w:val="FootnoteText"/>
      </w:pPr>
      <w:r>
        <w:rPr>
          <w:rStyle w:val="FootnoteReference"/>
        </w:rPr>
        <w:footnoteRef/>
      </w:r>
      <w:r>
        <w:t xml:space="preserve"> The products requiring phytosanitary certificates are plants, bulbs and tubers, seeds for propagation, fruit and vegetables, cut flowers and branches, grains and growing mediums. Containers, wood, packaging and other means of preserving plant products must also hold sanitary certificates.</w:t>
      </w:r>
    </w:p>
  </w:footnote>
  <w:footnote w:id="231">
    <w:p w14:paraId="56940CD5" w14:textId="77777777" w:rsidR="001A500E" w:rsidRDefault="001A500E" w:rsidP="00D146B4">
      <w:pPr>
        <w:pStyle w:val="FootnoteText"/>
      </w:pPr>
      <w:r>
        <w:rPr>
          <w:rStyle w:val="FootnoteReference"/>
        </w:rPr>
        <w:footnoteRef/>
      </w:r>
      <w:r>
        <w:t xml:space="preserve"> Inspections are conducted of crop</w:t>
      </w:r>
      <w:r>
        <w:noBreakHyphen/>
        <w:t>growing and livestock farms, greenhouses, honey extraction rooms, fish farms, plants for packing fresh fruit and vegetables, and milk storage facilities.</w:t>
      </w:r>
    </w:p>
  </w:footnote>
  <w:footnote w:id="232">
    <w:p w14:paraId="08BD2FFC" w14:textId="77777777" w:rsidR="001A500E" w:rsidRDefault="001A500E" w:rsidP="00D146B4">
      <w:pPr>
        <w:pStyle w:val="FootnoteText"/>
      </w:pPr>
      <w:r>
        <w:rPr>
          <w:rStyle w:val="FootnoteReference"/>
        </w:rPr>
        <w:footnoteRef/>
      </w:r>
      <w:r>
        <w:t xml:space="preserve"> Law </w:t>
      </w:r>
      <w:r>
        <w:rPr>
          <w:color w:val="000000"/>
          <w:szCs w:val="16"/>
        </w:rPr>
        <w:t>No. </w:t>
      </w:r>
      <w:r>
        <w:t>4030 of 1948.</w:t>
      </w:r>
    </w:p>
  </w:footnote>
  <w:footnote w:id="233">
    <w:p w14:paraId="5CE67989" w14:textId="77777777" w:rsidR="001A500E" w:rsidRDefault="001A500E" w:rsidP="00D146B4">
      <w:pPr>
        <w:pStyle w:val="FootnoteText"/>
      </w:pPr>
      <w:r>
        <w:rPr>
          <w:rStyle w:val="FootnoteReference"/>
        </w:rPr>
        <w:footnoteRef/>
      </w:r>
      <w:r>
        <w:t xml:space="preserve"> Online information. Viewed at: </w:t>
      </w:r>
      <w:hyperlink r:id="rId81" w:history="1">
        <w:r>
          <w:rPr>
            <w:rStyle w:val="Hyperlink"/>
          </w:rPr>
          <w:t>https://eping.wto.org/en/Search/TradeConcerns</w:t>
        </w:r>
      </w:hyperlink>
      <w:r>
        <w:t xml:space="preserve">. </w:t>
      </w:r>
    </w:p>
  </w:footnote>
  <w:footnote w:id="234">
    <w:p w14:paraId="10D1764E" w14:textId="77777777" w:rsidR="001A500E" w:rsidRDefault="001A500E" w:rsidP="00D146B4">
      <w:pPr>
        <w:pStyle w:val="FootnoteText"/>
      </w:pPr>
      <w:r>
        <w:rPr>
          <w:rStyle w:val="FootnoteReference"/>
        </w:rPr>
        <w:footnoteRef/>
      </w:r>
      <w:r>
        <w:t xml:space="preserve"> The regulated sectors are electricity, hydrocarbons, transport (air, maritime, land), telecommunications, health, education, banking services, insurance services, pensions and the stock market (Article 69 of Law No. 42</w:t>
      </w:r>
      <w:r>
        <w:noBreakHyphen/>
        <w:t>08).</w:t>
      </w:r>
    </w:p>
  </w:footnote>
  <w:footnote w:id="235">
    <w:p w14:paraId="4EB459A3" w14:textId="77777777" w:rsidR="001A500E" w:rsidRDefault="001A500E" w:rsidP="00D146B4">
      <w:pPr>
        <w:pStyle w:val="FootnoteText"/>
      </w:pPr>
      <w:r>
        <w:rPr>
          <w:rStyle w:val="FootnoteReference"/>
        </w:rPr>
        <w:footnoteRef/>
      </w:r>
      <w:r>
        <w:t xml:space="preserve"> Article 67 of Law No. 42</w:t>
      </w:r>
      <w:r>
        <w:noBreakHyphen/>
        <w:t>08.</w:t>
      </w:r>
    </w:p>
  </w:footnote>
  <w:footnote w:id="236">
    <w:p w14:paraId="77DFB11B" w14:textId="77777777" w:rsidR="001A500E" w:rsidRDefault="001A500E" w:rsidP="00D146B4">
      <w:pPr>
        <w:pStyle w:val="FootnoteText"/>
      </w:pPr>
      <w:r>
        <w:rPr>
          <w:rStyle w:val="FootnoteReference"/>
        </w:rPr>
        <w:footnoteRef/>
      </w:r>
      <w:r>
        <w:t xml:space="preserve"> Pro</w:t>
      </w:r>
      <w:r>
        <w:noBreakHyphen/>
      </w:r>
      <w:proofErr w:type="spellStart"/>
      <w:r>
        <w:t>Competencia</w:t>
      </w:r>
      <w:proofErr w:type="spellEnd"/>
      <w:r>
        <w:t xml:space="preserve"> Resolutions Nos. 008</w:t>
      </w:r>
      <w:r>
        <w:noBreakHyphen/>
        <w:t>2021, 009</w:t>
      </w:r>
      <w:r>
        <w:noBreakHyphen/>
        <w:t>2021 and 011</w:t>
      </w:r>
      <w:r>
        <w:noBreakHyphen/>
        <w:t xml:space="preserve">2021. </w:t>
      </w:r>
    </w:p>
  </w:footnote>
  <w:footnote w:id="237">
    <w:p w14:paraId="5B9A526A" w14:textId="77777777" w:rsidR="001A500E" w:rsidRDefault="001A500E" w:rsidP="00D146B4">
      <w:pPr>
        <w:pStyle w:val="FootnoteText"/>
      </w:pPr>
      <w:r>
        <w:rPr>
          <w:rStyle w:val="FootnoteReference"/>
        </w:rPr>
        <w:footnoteRef/>
      </w:r>
      <w:r>
        <w:t xml:space="preserve"> Article 3 of Law No. 42</w:t>
      </w:r>
      <w:r>
        <w:noBreakHyphen/>
        <w:t>08.</w:t>
      </w:r>
    </w:p>
  </w:footnote>
  <w:footnote w:id="238">
    <w:p w14:paraId="4A58A538" w14:textId="77777777" w:rsidR="001A500E" w:rsidRDefault="001A500E" w:rsidP="00D146B4">
      <w:pPr>
        <w:pStyle w:val="FootnoteText"/>
      </w:pPr>
      <w:r>
        <w:rPr>
          <w:rStyle w:val="FootnoteReference"/>
        </w:rPr>
        <w:footnoteRef/>
      </w:r>
      <w:r>
        <w:t xml:space="preserve"> Article 16 of Decree No. 252</w:t>
      </w:r>
      <w:r>
        <w:noBreakHyphen/>
        <w:t xml:space="preserve">20. </w:t>
      </w:r>
    </w:p>
  </w:footnote>
  <w:footnote w:id="239">
    <w:p w14:paraId="45C720B9" w14:textId="77777777" w:rsidR="001A500E" w:rsidRDefault="001A500E" w:rsidP="00D146B4">
      <w:pPr>
        <w:pStyle w:val="FootnoteText"/>
      </w:pPr>
      <w:r>
        <w:rPr>
          <w:rStyle w:val="FootnoteReference"/>
        </w:rPr>
        <w:footnoteRef/>
      </w:r>
      <w:r>
        <w:t xml:space="preserve"> For example, the electricity sector has the Electricity Supervisory Authority (SIE), the National Energy Commission (</w:t>
      </w:r>
      <w:proofErr w:type="spellStart"/>
      <w:r>
        <w:t>CNE</w:t>
      </w:r>
      <w:proofErr w:type="spellEnd"/>
      <w:r>
        <w:t>) and the Ministry of Energy and Mines (MEM). See Article 16 of Decree No. 252</w:t>
      </w:r>
      <w:r>
        <w:noBreakHyphen/>
        <w:t>20.</w:t>
      </w:r>
    </w:p>
  </w:footnote>
  <w:footnote w:id="240">
    <w:p w14:paraId="033F28B6" w14:textId="77777777" w:rsidR="001A500E" w:rsidRDefault="001A500E" w:rsidP="00D146B4">
      <w:pPr>
        <w:pStyle w:val="FootnoteText"/>
      </w:pPr>
      <w:r>
        <w:rPr>
          <w:rStyle w:val="FootnoteReference"/>
        </w:rPr>
        <w:footnoteRef/>
      </w:r>
      <w:r>
        <w:t xml:space="preserve"> Article 20 of Law No. 42</w:t>
      </w:r>
      <w:r>
        <w:noBreakHyphen/>
        <w:t>08 and Article 16 of Decree No. 252</w:t>
      </w:r>
      <w:r>
        <w:noBreakHyphen/>
        <w:t>20.</w:t>
      </w:r>
    </w:p>
  </w:footnote>
  <w:footnote w:id="241">
    <w:p w14:paraId="290976E1" w14:textId="77777777" w:rsidR="001A500E" w:rsidRDefault="001A500E" w:rsidP="00D146B4">
      <w:pPr>
        <w:pStyle w:val="FootnoteText"/>
      </w:pPr>
      <w:r>
        <w:rPr>
          <w:rStyle w:val="FootnoteReference"/>
        </w:rPr>
        <w:footnoteRef/>
      </w:r>
      <w:r>
        <w:t xml:space="preserve"> Article 9 of Law No. 42</w:t>
      </w:r>
      <w:r>
        <w:noBreakHyphen/>
        <w:t>08.</w:t>
      </w:r>
    </w:p>
  </w:footnote>
  <w:footnote w:id="242">
    <w:p w14:paraId="6B226862" w14:textId="2D717FEE" w:rsidR="001A500E" w:rsidRDefault="001A500E" w:rsidP="00D146B4">
      <w:pPr>
        <w:pStyle w:val="FootnoteText"/>
      </w:pPr>
      <w:r>
        <w:rPr>
          <w:rStyle w:val="FootnoteReference"/>
        </w:rPr>
        <w:footnoteRef/>
      </w:r>
      <w:r>
        <w:t xml:space="preserve"> Article 21 of Decree No. </w:t>
      </w:r>
      <w:r w:rsidR="00696EB0">
        <w:t>252</w:t>
      </w:r>
      <w:r>
        <w:noBreakHyphen/>
        <w:t>20.</w:t>
      </w:r>
    </w:p>
  </w:footnote>
  <w:footnote w:id="243">
    <w:p w14:paraId="220B75DC" w14:textId="77777777" w:rsidR="001A500E" w:rsidRDefault="001A500E" w:rsidP="00D146B4">
      <w:pPr>
        <w:pStyle w:val="FootnoteText"/>
      </w:pPr>
      <w:r>
        <w:rPr>
          <w:rStyle w:val="FootnoteReference"/>
        </w:rPr>
        <w:footnoteRef/>
      </w:r>
      <w:r>
        <w:t xml:space="preserve"> Pro</w:t>
      </w:r>
      <w:r>
        <w:noBreakHyphen/>
      </w:r>
      <w:proofErr w:type="spellStart"/>
      <w:r>
        <w:t>Competencia</w:t>
      </w:r>
      <w:proofErr w:type="spellEnd"/>
      <w:r>
        <w:t xml:space="preserve"> Resolution No. 011</w:t>
      </w:r>
      <w:r>
        <w:noBreakHyphen/>
        <w:t>2021 (Regulation on the submission and approval of commitments to desist).</w:t>
      </w:r>
    </w:p>
  </w:footnote>
  <w:footnote w:id="244">
    <w:p w14:paraId="2CB52EF2" w14:textId="77777777" w:rsidR="001A500E" w:rsidRDefault="001A500E" w:rsidP="00D146B4">
      <w:pPr>
        <w:pStyle w:val="FootnoteText"/>
      </w:pPr>
      <w:r>
        <w:rPr>
          <w:rStyle w:val="FootnoteReference"/>
        </w:rPr>
        <w:footnoteRef/>
      </w:r>
      <w:r>
        <w:t xml:space="preserve"> Article 61(d) of Law No. 42</w:t>
      </w:r>
      <w:r>
        <w:noBreakHyphen/>
        <w:t>08.</w:t>
      </w:r>
    </w:p>
  </w:footnote>
  <w:footnote w:id="245">
    <w:p w14:paraId="3DD6D254" w14:textId="77777777" w:rsidR="001A500E" w:rsidRDefault="001A500E" w:rsidP="00D146B4">
      <w:pPr>
        <w:pStyle w:val="FootnoteText"/>
      </w:pPr>
      <w:r>
        <w:rPr>
          <w:rStyle w:val="FootnoteReference"/>
        </w:rPr>
        <w:footnoteRef/>
      </w:r>
      <w:r>
        <w:t xml:space="preserve"> Pro</w:t>
      </w:r>
      <w:r>
        <w:noBreakHyphen/>
      </w:r>
      <w:proofErr w:type="spellStart"/>
      <w:r>
        <w:t>Competencia</w:t>
      </w:r>
      <w:proofErr w:type="spellEnd"/>
      <w:r>
        <w:t xml:space="preserve"> Resolution No. 009</w:t>
      </w:r>
      <w:r>
        <w:noBreakHyphen/>
        <w:t>2021 (Regulation establishing the simplified procedure for signs that false or altered information has been provided as part of investigation procedures conducted by the Executive Directorate).</w:t>
      </w:r>
    </w:p>
  </w:footnote>
  <w:footnote w:id="246">
    <w:p w14:paraId="754FC73D" w14:textId="77777777" w:rsidR="001A500E" w:rsidRDefault="001A500E" w:rsidP="00D146B4">
      <w:pPr>
        <w:pStyle w:val="FootnoteText"/>
      </w:pPr>
      <w:r>
        <w:rPr>
          <w:rStyle w:val="FootnoteReference"/>
        </w:rPr>
        <w:footnoteRef/>
      </w:r>
      <w:r>
        <w:t xml:space="preserve"> Pro</w:t>
      </w:r>
      <w:r>
        <w:noBreakHyphen/>
      </w:r>
      <w:proofErr w:type="spellStart"/>
      <w:r>
        <w:t>Competencia</w:t>
      </w:r>
      <w:proofErr w:type="spellEnd"/>
      <w:r>
        <w:t xml:space="preserve"> Resolution No. 008</w:t>
      </w:r>
      <w:r>
        <w:noBreakHyphen/>
        <w:t xml:space="preserve">2021 (Regulation establishing a penalties reduction regime (RRS)) and information provided by the authorities. </w:t>
      </w:r>
    </w:p>
  </w:footnote>
  <w:footnote w:id="247">
    <w:p w14:paraId="109B707D" w14:textId="77777777" w:rsidR="001A500E" w:rsidRDefault="001A500E" w:rsidP="00D146B4">
      <w:pPr>
        <w:pStyle w:val="FootnoteText"/>
      </w:pPr>
      <w:r>
        <w:rPr>
          <w:rStyle w:val="FootnoteReference"/>
        </w:rPr>
        <w:footnoteRef/>
      </w:r>
      <w:r>
        <w:t xml:space="preserve"> Regulation on free and fair competition.</w:t>
      </w:r>
    </w:p>
  </w:footnote>
  <w:footnote w:id="248">
    <w:p w14:paraId="363732AB" w14:textId="77777777" w:rsidR="001A500E" w:rsidRDefault="001A500E" w:rsidP="00D146B4">
      <w:pPr>
        <w:pStyle w:val="FootnoteText"/>
      </w:pPr>
      <w:r>
        <w:rPr>
          <w:rStyle w:val="FootnoteReference"/>
        </w:rPr>
        <w:footnoteRef/>
      </w:r>
      <w:r>
        <w:t xml:space="preserve"> Articles 31 and 36 of the Regulation on the opening and operation of financial intermediaries and representative offices. Viewed at: </w:t>
      </w:r>
      <w:hyperlink r:id="rId82" w:history="1">
        <w:r>
          <w:rPr>
            <w:rStyle w:val="Hyperlink"/>
          </w:rPr>
          <w:t>http://sib.gov.do/content/reglamento-0</w:t>
        </w:r>
      </w:hyperlink>
      <w:r>
        <w:t xml:space="preserve">. </w:t>
      </w:r>
    </w:p>
  </w:footnote>
  <w:footnote w:id="249">
    <w:p w14:paraId="7E9F99FE" w14:textId="77777777" w:rsidR="001A500E" w:rsidRDefault="001A500E" w:rsidP="00D146B4">
      <w:pPr>
        <w:pStyle w:val="FootnoteText"/>
      </w:pPr>
      <w:r>
        <w:rPr>
          <w:rStyle w:val="FootnoteReference"/>
        </w:rPr>
        <w:footnoteRef/>
      </w:r>
      <w:r>
        <w:t xml:space="preserve"> Article 386 of the General Law on Business Corporations and Sole Proprietorships with Limited Liability (Law No. 479</w:t>
      </w:r>
      <w:r>
        <w:noBreakHyphen/>
        <w:t>08).</w:t>
      </w:r>
    </w:p>
  </w:footnote>
  <w:footnote w:id="250">
    <w:p w14:paraId="4BE3973D" w14:textId="77777777" w:rsidR="001A500E" w:rsidRDefault="001A500E" w:rsidP="00D146B4">
      <w:pPr>
        <w:pStyle w:val="FootnoteText"/>
      </w:pPr>
      <w:r>
        <w:rPr>
          <w:rStyle w:val="FootnoteReference"/>
        </w:rPr>
        <w:footnoteRef/>
      </w:r>
      <w:r>
        <w:t xml:space="preserve"> General Law on Protection of Consumers' and Users' Rights (Law No. 358</w:t>
      </w:r>
      <w:r>
        <w:noBreakHyphen/>
        <w:t>05 of 26 July 2005).</w:t>
      </w:r>
    </w:p>
  </w:footnote>
  <w:footnote w:id="251">
    <w:p w14:paraId="752DE3A3" w14:textId="77777777" w:rsidR="001A500E" w:rsidRDefault="001A500E" w:rsidP="00D146B4">
      <w:pPr>
        <w:pStyle w:val="FootnoteText"/>
      </w:pPr>
      <w:r>
        <w:rPr>
          <w:rStyle w:val="FootnoteReference"/>
        </w:rPr>
        <w:footnoteRef/>
      </w:r>
      <w:r>
        <w:t xml:space="preserve"> Pro </w:t>
      </w:r>
      <w:proofErr w:type="spellStart"/>
      <w:r>
        <w:t>Consumidor</w:t>
      </w:r>
      <w:proofErr w:type="spellEnd"/>
      <w:r>
        <w:t xml:space="preserve">. Information viewed at: </w:t>
      </w:r>
      <w:hyperlink r:id="rId83" w:history="1">
        <w:r>
          <w:rPr>
            <w:rStyle w:val="Hyperlink"/>
          </w:rPr>
          <w:t>https://proconsumidor.gob.do/observatorio-de-comparacion-de-precios-de-los-mercados-internacionales</w:t>
        </w:r>
      </w:hyperlink>
      <w:r>
        <w:t xml:space="preserve"> and </w:t>
      </w:r>
      <w:hyperlink r:id="rId84" w:history="1">
        <w:r>
          <w:rPr>
            <w:rStyle w:val="Hyperlink"/>
          </w:rPr>
          <w:t>https://proconsumidor.gob.do/sondeo-de-precios</w:t>
        </w:r>
      </w:hyperlink>
      <w:r>
        <w:t xml:space="preserve">. </w:t>
      </w:r>
    </w:p>
  </w:footnote>
  <w:footnote w:id="252">
    <w:p w14:paraId="7C82D44E" w14:textId="77777777" w:rsidR="001A500E" w:rsidRDefault="001A500E" w:rsidP="00D146B4">
      <w:pPr>
        <w:pStyle w:val="FootnoteText"/>
      </w:pPr>
      <w:r>
        <w:rPr>
          <w:rStyle w:val="FootnoteReference"/>
        </w:rPr>
        <w:footnoteRef/>
      </w:r>
      <w:r>
        <w:t xml:space="preserve"> Articles 107–116 of Law No. 358</w:t>
      </w:r>
      <w:r>
        <w:noBreakHyphen/>
        <w:t>05 of 26 July 2005.</w:t>
      </w:r>
    </w:p>
  </w:footnote>
  <w:footnote w:id="253">
    <w:p w14:paraId="4217AA59" w14:textId="77777777" w:rsidR="001A500E" w:rsidRDefault="001A500E" w:rsidP="00D146B4">
      <w:pPr>
        <w:pStyle w:val="FootnoteText"/>
      </w:pPr>
      <w:r>
        <w:rPr>
          <w:rStyle w:val="FootnoteReference"/>
        </w:rPr>
        <w:footnoteRef/>
      </w:r>
      <w:r>
        <w:t xml:space="preserve"> Law No. 619</w:t>
      </w:r>
      <w:r>
        <w:noBreakHyphen/>
        <w:t>65 and Decree No. 649</w:t>
      </w:r>
      <w:r>
        <w:noBreakHyphen/>
        <w:t>03.</w:t>
      </w:r>
    </w:p>
  </w:footnote>
  <w:footnote w:id="254">
    <w:p w14:paraId="20EEF578" w14:textId="77777777" w:rsidR="001A500E" w:rsidRDefault="001A500E" w:rsidP="00D146B4">
      <w:pPr>
        <w:pStyle w:val="FootnoteText"/>
      </w:pPr>
      <w:r>
        <w:rPr>
          <w:rStyle w:val="FootnoteReference"/>
        </w:rPr>
        <w:footnoteRef/>
      </w:r>
      <w:r>
        <w:t xml:space="preserve"> </w:t>
      </w:r>
      <w:proofErr w:type="spellStart"/>
      <w:r>
        <w:t>INAZUCAR</w:t>
      </w:r>
      <w:proofErr w:type="spellEnd"/>
      <w:r>
        <w:t xml:space="preserve"> Price Resolutions Nos. 004/2016, 001/2018 and 001/20. Viewed at: </w:t>
      </w:r>
      <w:hyperlink r:id="rId85" w:history="1">
        <w:r>
          <w:rPr>
            <w:rStyle w:val="Hyperlink"/>
          </w:rPr>
          <w:t>https://www.inazucar.gov.do/index.php/sobre-nosotros/marco-legal/category/16-resoluciones</w:t>
        </w:r>
      </w:hyperlink>
      <w:r>
        <w:t xml:space="preserve">. </w:t>
      </w:r>
    </w:p>
  </w:footnote>
  <w:footnote w:id="255">
    <w:p w14:paraId="0A4BCDF8" w14:textId="77777777" w:rsidR="001A500E" w:rsidRDefault="001A500E" w:rsidP="00D146B4">
      <w:pPr>
        <w:pStyle w:val="FootnoteText"/>
      </w:pPr>
      <w:r>
        <w:rPr>
          <w:rStyle w:val="FootnoteReference"/>
        </w:rPr>
        <w:footnoteRef/>
      </w:r>
      <w:r>
        <w:t xml:space="preserve"> Prices are published at: </w:t>
      </w:r>
      <w:hyperlink r:id="rId86" w:history="1">
        <w:r>
          <w:rPr>
            <w:rStyle w:val="Hyperlink"/>
          </w:rPr>
          <w:t>https://micm.gob.do/direcciones/combustibles/avisos-semanales-de-precios/aviso-semanal-de-precios-de-combustibles-version-12-11-2021</w:t>
        </w:r>
      </w:hyperlink>
      <w:r>
        <w:t>.</w:t>
      </w:r>
    </w:p>
  </w:footnote>
  <w:footnote w:id="256">
    <w:p w14:paraId="1929609D" w14:textId="77777777" w:rsidR="001A500E" w:rsidRDefault="001A500E" w:rsidP="00D146B4">
      <w:pPr>
        <w:pStyle w:val="FootnoteText"/>
      </w:pPr>
      <w:r>
        <w:rPr>
          <w:rStyle w:val="FootnoteReference"/>
        </w:rPr>
        <w:footnoteRef/>
      </w:r>
      <w:r>
        <w:t xml:space="preserve"> Law No. 526 of 11 December 1969.</w:t>
      </w:r>
    </w:p>
  </w:footnote>
  <w:footnote w:id="257">
    <w:p w14:paraId="636C1F61" w14:textId="77777777" w:rsidR="001A500E" w:rsidRDefault="001A500E" w:rsidP="00D146B4">
      <w:pPr>
        <w:pStyle w:val="FootnoteText"/>
      </w:pPr>
      <w:r>
        <w:rPr>
          <w:rStyle w:val="FootnoteReference"/>
        </w:rPr>
        <w:footnoteRef/>
      </w:r>
      <w:r>
        <w:t xml:space="preserve"> WTO Document G/STR/N/19/DOM, 9 August 2022.</w:t>
      </w:r>
    </w:p>
  </w:footnote>
  <w:footnote w:id="258">
    <w:p w14:paraId="45FCBCDB" w14:textId="77777777" w:rsidR="001A500E" w:rsidRDefault="001A500E" w:rsidP="00D146B4">
      <w:pPr>
        <w:pStyle w:val="FootnoteText"/>
      </w:pPr>
      <w:r>
        <w:rPr>
          <w:rStyle w:val="FootnoteReference"/>
        </w:rPr>
        <w:footnoteRef/>
      </w:r>
      <w:r>
        <w:t xml:space="preserve"> Law No. 526 of 11 December 1969.</w:t>
      </w:r>
    </w:p>
  </w:footnote>
  <w:footnote w:id="259">
    <w:p w14:paraId="0BE5F7A0" w14:textId="77777777" w:rsidR="001A500E" w:rsidRDefault="001A500E" w:rsidP="00D146B4">
      <w:pPr>
        <w:pStyle w:val="FootnoteText"/>
      </w:pPr>
      <w:r>
        <w:rPr>
          <w:rStyle w:val="FootnoteReference"/>
        </w:rPr>
        <w:footnoteRef/>
      </w:r>
      <w:r>
        <w:t xml:space="preserve"> Information supplied by the authorities. </w:t>
      </w:r>
    </w:p>
  </w:footnote>
  <w:footnote w:id="260">
    <w:p w14:paraId="10597557" w14:textId="77777777" w:rsidR="001A500E" w:rsidRDefault="001A500E" w:rsidP="00D146B4">
      <w:pPr>
        <w:pStyle w:val="FootnoteText"/>
      </w:pPr>
      <w:r>
        <w:rPr>
          <w:rStyle w:val="FootnoteReference"/>
        </w:rPr>
        <w:footnoteRef/>
      </w:r>
      <w:r>
        <w:t xml:space="preserve"> Law No. 10</w:t>
      </w:r>
      <w:r>
        <w:noBreakHyphen/>
        <w:t>04.</w:t>
      </w:r>
    </w:p>
  </w:footnote>
  <w:footnote w:id="261">
    <w:p w14:paraId="52F757A2" w14:textId="77777777" w:rsidR="001A500E" w:rsidRDefault="001A500E" w:rsidP="00D146B4">
      <w:pPr>
        <w:pStyle w:val="FootnoteText"/>
      </w:pPr>
      <w:r>
        <w:rPr>
          <w:rStyle w:val="FootnoteReference"/>
        </w:rPr>
        <w:footnoteRef/>
      </w:r>
      <w:r>
        <w:t xml:space="preserve"> Directorate</w:t>
      </w:r>
      <w:r>
        <w:noBreakHyphen/>
        <w:t>General of the Budget (</w:t>
      </w:r>
      <w:proofErr w:type="spellStart"/>
      <w:r>
        <w:t>DIGEPRES</w:t>
      </w:r>
      <w:proofErr w:type="spellEnd"/>
      <w:r>
        <w:t xml:space="preserve">) at the Ministry of Finance. Viewed at: </w:t>
      </w:r>
      <w:hyperlink r:id="rId87" w:history="1">
        <w:r>
          <w:rPr>
            <w:rStyle w:val="Hyperlink"/>
          </w:rPr>
          <w:t>https://www.digepres.gob.do/presupuesto/empresas-publicas</w:t>
        </w:r>
      </w:hyperlink>
      <w:r>
        <w:t>.</w:t>
      </w:r>
    </w:p>
  </w:footnote>
  <w:footnote w:id="262">
    <w:p w14:paraId="75E9B133" w14:textId="77777777" w:rsidR="001A500E" w:rsidRDefault="001A500E" w:rsidP="00D146B4">
      <w:pPr>
        <w:pStyle w:val="FootnoteText"/>
      </w:pPr>
      <w:r>
        <w:rPr>
          <w:rStyle w:val="FootnoteReference"/>
        </w:rPr>
        <w:footnoteRef/>
      </w:r>
      <w:r>
        <w:t xml:space="preserve"> Law No. 289</w:t>
      </w:r>
      <w:r>
        <w:noBreakHyphen/>
        <w:t>1966.</w:t>
      </w:r>
    </w:p>
  </w:footnote>
  <w:footnote w:id="263">
    <w:p w14:paraId="213FD915" w14:textId="77777777" w:rsidR="001A500E" w:rsidRDefault="001A500E" w:rsidP="00D146B4">
      <w:pPr>
        <w:pStyle w:val="FootnoteText"/>
      </w:pPr>
      <w:r>
        <w:rPr>
          <w:rStyle w:val="FootnoteReference"/>
        </w:rPr>
        <w:footnoteRef/>
      </w:r>
      <w:r>
        <w:t xml:space="preserve"> Decree No. 342</w:t>
      </w:r>
      <w:r>
        <w:noBreakHyphen/>
        <w:t>20.</w:t>
      </w:r>
    </w:p>
  </w:footnote>
  <w:footnote w:id="264">
    <w:p w14:paraId="2977AF4E" w14:textId="77777777" w:rsidR="001A500E" w:rsidRDefault="001A500E" w:rsidP="00D146B4">
      <w:pPr>
        <w:pStyle w:val="FootnoteText"/>
      </w:pPr>
      <w:r>
        <w:rPr>
          <w:rStyle w:val="FootnoteReference"/>
        </w:rPr>
        <w:footnoteRef/>
      </w:r>
      <w:r>
        <w:t xml:space="preserve"> Law No. 340</w:t>
      </w:r>
      <w:r>
        <w:noBreakHyphen/>
        <w:t>06 on Procurement and Contracts for Goods, Services, Works and Concessions of 18 August 2006, as amended by Laws No. 449</w:t>
      </w:r>
      <w:r>
        <w:noBreakHyphen/>
        <w:t>06 of 6 December 2006 and No. 47</w:t>
      </w:r>
      <w:r>
        <w:noBreakHyphen/>
        <w:t>20 on Public</w:t>
      </w:r>
      <w:r>
        <w:noBreakHyphen/>
        <w:t xml:space="preserve">Private Partnerships of 20 February 2020; and </w:t>
      </w:r>
      <w:bookmarkStart w:id="256" w:name="_Hlk108172981"/>
      <w:r>
        <w:t>Regulations implementing Law No. 340</w:t>
      </w:r>
      <w:r>
        <w:noBreakHyphen/>
        <w:t>06 (Decree No. 543</w:t>
      </w:r>
      <w:r>
        <w:noBreakHyphen/>
        <w:t>12 of 6 September 2012)</w:t>
      </w:r>
      <w:bookmarkEnd w:id="256"/>
      <w:r>
        <w:t xml:space="preserve">. Viewed at: </w:t>
      </w:r>
      <w:hyperlink r:id="rId88" w:history="1">
        <w:r>
          <w:rPr>
            <w:rStyle w:val="Hyperlink"/>
          </w:rPr>
          <w:t>https://www.dgcp.gob.do/sobre-nosotros/marco-legal/leyes-y-decretos</w:t>
        </w:r>
      </w:hyperlink>
      <w:r>
        <w:t xml:space="preserve">. </w:t>
      </w:r>
    </w:p>
  </w:footnote>
  <w:footnote w:id="265">
    <w:p w14:paraId="6F8D1169" w14:textId="77777777" w:rsidR="001A500E" w:rsidRDefault="001A500E" w:rsidP="00D146B4">
      <w:pPr>
        <w:pStyle w:val="FootnoteText"/>
      </w:pPr>
      <w:r>
        <w:rPr>
          <w:rStyle w:val="FootnoteReference"/>
        </w:rPr>
        <w:footnoteRef/>
      </w:r>
      <w:r>
        <w:t xml:space="preserve"> See, for example, Articles 8 (Essential function of the State), 39 (Right to equality), 138 (Principles of public administration), 193 (Principles of territorial organization), 196 (The region), 222 (Promotion of popular economic initiatives) and 238 (Criteria for allocating public expenditure).</w:t>
      </w:r>
    </w:p>
  </w:footnote>
  <w:footnote w:id="266">
    <w:p w14:paraId="11E1CD54" w14:textId="77777777" w:rsidR="001A500E" w:rsidRDefault="001A500E" w:rsidP="00D146B4">
      <w:pPr>
        <w:pStyle w:val="FootnoteText"/>
      </w:pPr>
      <w:r>
        <w:rPr>
          <w:rStyle w:val="FootnoteReference"/>
        </w:rPr>
        <w:footnoteRef/>
      </w:r>
      <w:r>
        <w:t xml:space="preserve"> Law No. 247</w:t>
      </w:r>
      <w:r>
        <w:noBreakHyphen/>
        <w:t>12 on the Organization of the Public Administration of 14 August 2012.</w:t>
      </w:r>
    </w:p>
  </w:footnote>
  <w:footnote w:id="267">
    <w:p w14:paraId="1E8EBD73" w14:textId="77777777" w:rsidR="001A500E" w:rsidRDefault="001A500E" w:rsidP="00D146B4">
      <w:pPr>
        <w:pStyle w:val="FootnoteText"/>
      </w:pPr>
      <w:r>
        <w:rPr>
          <w:rStyle w:val="FootnoteReference"/>
        </w:rPr>
        <w:footnoteRef/>
      </w:r>
      <w:r>
        <w:t xml:space="preserve"> Law No. 107</w:t>
      </w:r>
      <w:r>
        <w:noBreakHyphen/>
        <w:t xml:space="preserve">13 on the </w:t>
      </w:r>
      <w:r w:rsidRPr="00C33FDB">
        <w:t xml:space="preserve">Rights of Individuals in their Interactions with the Administration and Administrative Procedures </w:t>
      </w:r>
      <w:r>
        <w:t>of 8 August 2013.</w:t>
      </w:r>
    </w:p>
  </w:footnote>
  <w:footnote w:id="268">
    <w:p w14:paraId="6506A583" w14:textId="77777777" w:rsidR="001A500E" w:rsidRDefault="001A500E" w:rsidP="00D146B4">
      <w:pPr>
        <w:pStyle w:val="FootnoteText"/>
      </w:pPr>
      <w:r>
        <w:rPr>
          <w:rStyle w:val="FootnoteReference"/>
        </w:rPr>
        <w:footnoteRef/>
      </w:r>
      <w:r>
        <w:t xml:space="preserve"> Law No. 488</w:t>
      </w:r>
      <w:r>
        <w:noBreakHyphen/>
        <w:t>08 establishing a Regulatory Regime for the Development and Competitiveness of Micro, Small and Medium</w:t>
      </w:r>
      <w:r>
        <w:noBreakHyphen/>
        <w:t>Sized Enterprises (MSMEs) of 19 December 2008.</w:t>
      </w:r>
    </w:p>
  </w:footnote>
  <w:footnote w:id="269">
    <w:p w14:paraId="4B089065" w14:textId="77777777" w:rsidR="001A500E" w:rsidRDefault="001A500E" w:rsidP="00D146B4">
      <w:pPr>
        <w:pStyle w:val="FootnoteText"/>
      </w:pPr>
      <w:r>
        <w:rPr>
          <w:rStyle w:val="FootnoteReference"/>
        </w:rPr>
        <w:footnoteRef/>
      </w:r>
      <w:r>
        <w:t xml:space="preserve"> Decree No. 188</w:t>
      </w:r>
      <w:r>
        <w:noBreakHyphen/>
        <w:t>14 of 4 June 2014.</w:t>
      </w:r>
    </w:p>
  </w:footnote>
  <w:footnote w:id="270">
    <w:p w14:paraId="22984B8F" w14:textId="77777777" w:rsidR="001A500E" w:rsidRDefault="001A500E" w:rsidP="00D146B4">
      <w:pPr>
        <w:pStyle w:val="FootnoteText"/>
      </w:pPr>
      <w:r>
        <w:rPr>
          <w:rStyle w:val="FootnoteReference"/>
        </w:rPr>
        <w:footnoteRef/>
      </w:r>
      <w:r>
        <w:t xml:space="preserve"> Law No. 1</w:t>
      </w:r>
      <w:r>
        <w:noBreakHyphen/>
        <w:t xml:space="preserve">12 on the </w:t>
      </w:r>
      <w:r w:rsidRPr="00C33FDB">
        <w:t xml:space="preserve">National Development Strategy </w:t>
      </w:r>
      <w:r>
        <w:t>2030 of 25 January 2012. General Objective 1.1 ("Efficient, transparent, results</w:t>
      </w:r>
      <w:r>
        <w:noBreakHyphen/>
        <w:t>oriented public administration") includes as a course of action "strengthening the governmental procurement and contracts system, with support for the use of information and communications technologies (ICT) to ensure that the system operates in a lawful, transparent, efficient manner and is easy to manage".</w:t>
      </w:r>
    </w:p>
  </w:footnote>
  <w:footnote w:id="271">
    <w:p w14:paraId="479770C2" w14:textId="77777777" w:rsidR="001A500E" w:rsidRDefault="001A500E" w:rsidP="00D146B4">
      <w:pPr>
        <w:pStyle w:val="FootnoteText"/>
      </w:pPr>
      <w:r>
        <w:rPr>
          <w:rStyle w:val="FootnoteReference"/>
        </w:rPr>
        <w:footnoteRef/>
      </w:r>
      <w:r>
        <w:t xml:space="preserve"> Decree No. 350</w:t>
      </w:r>
      <w:r>
        <w:noBreakHyphen/>
        <w:t>17 of 14 September 2017.</w:t>
      </w:r>
    </w:p>
  </w:footnote>
  <w:footnote w:id="272">
    <w:p w14:paraId="17CDAB14" w14:textId="77777777" w:rsidR="001A500E" w:rsidRDefault="001A500E" w:rsidP="00D146B4">
      <w:pPr>
        <w:pStyle w:val="FootnoteText"/>
      </w:pPr>
      <w:r>
        <w:rPr>
          <w:rStyle w:val="FootnoteReference"/>
        </w:rPr>
        <w:footnoteRef/>
      </w:r>
      <w:r>
        <w:t xml:space="preserve"> Decree No. 36</w:t>
      </w:r>
      <w:r>
        <w:noBreakHyphen/>
        <w:t>21 of 21 January 2021.</w:t>
      </w:r>
    </w:p>
  </w:footnote>
  <w:footnote w:id="273">
    <w:p w14:paraId="4828E79F" w14:textId="77777777" w:rsidR="001A500E" w:rsidRDefault="001A500E" w:rsidP="00D146B4">
      <w:pPr>
        <w:pStyle w:val="FootnoteText"/>
      </w:pPr>
      <w:r>
        <w:rPr>
          <w:rStyle w:val="FootnoteReference"/>
        </w:rPr>
        <w:footnoteRef/>
      </w:r>
      <w:r>
        <w:t xml:space="preserve"> Decree No. 6</w:t>
      </w:r>
      <w:r>
        <w:noBreakHyphen/>
        <w:t>21 of 20 January 2021.</w:t>
      </w:r>
    </w:p>
  </w:footnote>
  <w:footnote w:id="274">
    <w:p w14:paraId="644A91EE" w14:textId="77777777" w:rsidR="001A500E" w:rsidRDefault="001A500E" w:rsidP="00D146B4">
      <w:pPr>
        <w:pStyle w:val="FootnoteText"/>
      </w:pPr>
      <w:r>
        <w:rPr>
          <w:rStyle w:val="FootnoteReference"/>
        </w:rPr>
        <w:footnoteRef/>
      </w:r>
      <w:r>
        <w:t xml:space="preserve"> Law No. 47</w:t>
      </w:r>
      <w:r>
        <w:noBreakHyphen/>
        <w:t>20 on Public</w:t>
      </w:r>
      <w:r>
        <w:noBreakHyphen/>
        <w:t>Private Partnerships of 20 February 2020.</w:t>
      </w:r>
    </w:p>
  </w:footnote>
  <w:footnote w:id="275">
    <w:p w14:paraId="1BCD4921" w14:textId="77777777" w:rsidR="001A500E" w:rsidRDefault="001A500E" w:rsidP="00D146B4">
      <w:pPr>
        <w:pStyle w:val="FootnoteText"/>
      </w:pPr>
      <w:r>
        <w:rPr>
          <w:rStyle w:val="FootnoteReference"/>
        </w:rPr>
        <w:footnoteRef/>
      </w:r>
      <w:r>
        <w:t xml:space="preserve"> Decree No. 168</w:t>
      </w:r>
      <w:r>
        <w:noBreakHyphen/>
        <w:t>19 of 6 May 2019 and Decree No. 86</w:t>
      </w:r>
      <w:r>
        <w:noBreakHyphen/>
        <w:t>20 of 21 February 2020.</w:t>
      </w:r>
    </w:p>
  </w:footnote>
  <w:footnote w:id="276">
    <w:p w14:paraId="2D7B3F85" w14:textId="77777777" w:rsidR="001A500E" w:rsidRDefault="001A500E" w:rsidP="00D146B4">
      <w:pPr>
        <w:pStyle w:val="FootnoteText"/>
      </w:pPr>
      <w:r>
        <w:rPr>
          <w:rStyle w:val="FootnoteReference"/>
        </w:rPr>
        <w:footnoteRef/>
      </w:r>
      <w:r>
        <w:t xml:space="preserve"> Decree No. 24</w:t>
      </w:r>
      <w:r>
        <w:noBreakHyphen/>
        <w:t>22 of 27 January 2022.</w:t>
      </w:r>
    </w:p>
  </w:footnote>
  <w:footnote w:id="277">
    <w:p w14:paraId="6C40A48F" w14:textId="0019684A" w:rsidR="001A500E" w:rsidRDefault="001A500E" w:rsidP="00D146B4">
      <w:pPr>
        <w:pStyle w:val="FootnoteText"/>
      </w:pPr>
      <w:r>
        <w:rPr>
          <w:rStyle w:val="FootnoteReference"/>
          <w:szCs w:val="16"/>
        </w:rPr>
        <w:footnoteRef/>
      </w:r>
      <w:r>
        <w:rPr>
          <w:szCs w:val="16"/>
        </w:rPr>
        <w:t xml:space="preserve"> </w:t>
      </w:r>
      <w:r w:rsidRPr="0073435E">
        <w:rPr>
          <w:szCs w:val="16"/>
        </w:rPr>
        <w:t>Directorate</w:t>
      </w:r>
      <w:r w:rsidRPr="0073435E">
        <w:rPr>
          <w:szCs w:val="16"/>
        </w:rPr>
        <w:noBreakHyphen/>
        <w:t xml:space="preserve">General of Government Procurement, legal framework. Viewed at: </w:t>
      </w:r>
      <w:hyperlink r:id="rId89" w:history="1">
        <w:r w:rsidRPr="0073435E">
          <w:rPr>
            <w:rStyle w:val="Hyperlink"/>
            <w:szCs w:val="16"/>
          </w:rPr>
          <w:t>https://www.dgcp.gob.do/sobre-nosotros/marco-legal</w:t>
        </w:r>
      </w:hyperlink>
      <w:r w:rsidRPr="0073435E">
        <w:rPr>
          <w:szCs w:val="22"/>
        </w:rPr>
        <w:t>.</w:t>
      </w:r>
    </w:p>
  </w:footnote>
  <w:footnote w:id="278">
    <w:p w14:paraId="06F5FA96" w14:textId="77777777" w:rsidR="001A500E" w:rsidRDefault="001A500E" w:rsidP="00D146B4">
      <w:pPr>
        <w:pStyle w:val="FootnoteText"/>
      </w:pPr>
      <w:r>
        <w:rPr>
          <w:rStyle w:val="FootnoteReference"/>
        </w:rPr>
        <w:footnoteRef/>
      </w:r>
      <w:r>
        <w:t xml:space="preserve"> Law No. 47</w:t>
      </w:r>
      <w:r>
        <w:noBreakHyphen/>
        <w:t>20 on Public</w:t>
      </w:r>
      <w:r>
        <w:noBreakHyphen/>
        <w:t>Private Partnerships of 20 February 2020.</w:t>
      </w:r>
    </w:p>
  </w:footnote>
  <w:footnote w:id="279">
    <w:p w14:paraId="259B110E" w14:textId="77777777" w:rsidR="001A500E" w:rsidRDefault="001A500E" w:rsidP="00D146B4">
      <w:pPr>
        <w:pStyle w:val="FootnoteText"/>
      </w:pPr>
      <w:r>
        <w:rPr>
          <w:rStyle w:val="FootnoteReference"/>
        </w:rPr>
        <w:footnoteRef/>
      </w:r>
      <w:r>
        <w:t xml:space="preserve"> Directorate</w:t>
      </w:r>
      <w:r>
        <w:noBreakHyphen/>
        <w:t xml:space="preserve">General of Government Procurement. Viewed at: </w:t>
      </w:r>
      <w:hyperlink r:id="rId90" w:history="1">
        <w:r>
          <w:rPr>
            <w:rStyle w:val="Hyperlink"/>
          </w:rPr>
          <w:t>https://www.dgcp.gob.do</w:t>
        </w:r>
      </w:hyperlink>
      <w:r>
        <w:t>.</w:t>
      </w:r>
    </w:p>
  </w:footnote>
  <w:footnote w:id="280">
    <w:p w14:paraId="48EA0147" w14:textId="77777777" w:rsidR="001A500E" w:rsidRDefault="001A500E" w:rsidP="00D146B4">
      <w:pPr>
        <w:pStyle w:val="FootnoteText"/>
      </w:pPr>
      <w:r>
        <w:rPr>
          <w:rStyle w:val="FootnoteReference"/>
        </w:rPr>
        <w:footnoteRef/>
      </w:r>
      <w:r>
        <w:t xml:space="preserve"> Article 34 of Law No. 340</w:t>
      </w:r>
      <w:r>
        <w:noBreakHyphen/>
        <w:t>06 of 18 August 2006.</w:t>
      </w:r>
    </w:p>
  </w:footnote>
  <w:footnote w:id="281">
    <w:p w14:paraId="543FEDAA" w14:textId="77777777" w:rsidR="001A500E" w:rsidRDefault="001A500E" w:rsidP="00D146B4">
      <w:pPr>
        <w:pStyle w:val="FootnoteText"/>
      </w:pPr>
      <w:r>
        <w:rPr>
          <w:rStyle w:val="FootnoteReference"/>
        </w:rPr>
        <w:footnoteRef/>
      </w:r>
      <w:r>
        <w:t xml:space="preserve"> Article 35 of Law No. 340</w:t>
      </w:r>
      <w:r>
        <w:noBreakHyphen/>
        <w:t>06 of 18 August 2006.</w:t>
      </w:r>
    </w:p>
  </w:footnote>
  <w:footnote w:id="282">
    <w:p w14:paraId="338D69AD" w14:textId="77777777" w:rsidR="001A500E" w:rsidRDefault="001A500E" w:rsidP="00D146B4">
      <w:pPr>
        <w:pStyle w:val="FootnoteText"/>
      </w:pPr>
      <w:r>
        <w:rPr>
          <w:rStyle w:val="FootnoteReference"/>
        </w:rPr>
        <w:footnoteRef/>
      </w:r>
      <w:r>
        <w:t xml:space="preserve"> </w:t>
      </w:r>
      <w:bookmarkStart w:id="262" w:name="_Hlk108174067"/>
      <w:proofErr w:type="spellStart"/>
      <w:r>
        <w:t>DGCP</w:t>
      </w:r>
      <w:proofErr w:type="spellEnd"/>
      <w:r>
        <w:t xml:space="preserve"> (2021), </w:t>
      </w:r>
      <w:r>
        <w:rPr>
          <w:i/>
          <w:iCs/>
        </w:rPr>
        <w:t xml:space="preserve">Memoria </w:t>
      </w:r>
      <w:proofErr w:type="spellStart"/>
      <w:r>
        <w:rPr>
          <w:i/>
          <w:iCs/>
        </w:rPr>
        <w:t>institucional</w:t>
      </w:r>
      <w:bookmarkEnd w:id="262"/>
      <w:proofErr w:type="spellEnd"/>
      <w:r>
        <w:t xml:space="preserve">. Viewed at: </w:t>
      </w:r>
      <w:hyperlink r:id="rId91" w:history="1">
        <w:r>
          <w:rPr>
            <w:rStyle w:val="Hyperlink"/>
          </w:rPr>
          <w:t>https://www.dgcp.gob.do/sobre-nosotros/planificacion-y-desarrollo/memorias-institucionales</w:t>
        </w:r>
      </w:hyperlink>
      <w:r>
        <w:t xml:space="preserve">. </w:t>
      </w:r>
    </w:p>
  </w:footnote>
  <w:footnote w:id="283">
    <w:p w14:paraId="531BE04C" w14:textId="77777777" w:rsidR="001A500E" w:rsidRDefault="001A500E" w:rsidP="00D146B4">
      <w:pPr>
        <w:pStyle w:val="FootnoteText"/>
      </w:pPr>
      <w:r>
        <w:rPr>
          <w:rStyle w:val="FootnoteReference"/>
        </w:rPr>
        <w:footnoteRef/>
      </w:r>
      <w:r>
        <w:rPr>
          <w:u w:val="single"/>
        </w:rPr>
        <w:t xml:space="preserve"> </w:t>
      </w:r>
      <w:r>
        <w:t>Article 38 of Law No. 340</w:t>
      </w:r>
      <w:r>
        <w:noBreakHyphen/>
        <w:t>06 of 18 August 2006.</w:t>
      </w:r>
    </w:p>
  </w:footnote>
  <w:footnote w:id="284">
    <w:p w14:paraId="6F78A444" w14:textId="77777777" w:rsidR="001A500E" w:rsidRDefault="001A500E" w:rsidP="00D146B4">
      <w:pPr>
        <w:pStyle w:val="FootnoteText"/>
      </w:pPr>
      <w:r>
        <w:rPr>
          <w:rStyle w:val="FootnoteReference"/>
        </w:rPr>
        <w:footnoteRef/>
      </w:r>
      <w:r>
        <w:t xml:space="preserve"> Article 5 of Law No. 47</w:t>
      </w:r>
      <w:r>
        <w:noBreakHyphen/>
        <w:t>20 on Public</w:t>
      </w:r>
      <w:r>
        <w:noBreakHyphen/>
        <w:t xml:space="preserve">Private Partnerships. </w:t>
      </w:r>
    </w:p>
  </w:footnote>
  <w:footnote w:id="285">
    <w:p w14:paraId="0242AAAF" w14:textId="77777777" w:rsidR="001A500E" w:rsidRDefault="001A500E" w:rsidP="00D146B4">
      <w:pPr>
        <w:pStyle w:val="FootnoteText"/>
      </w:pPr>
      <w:r>
        <w:rPr>
          <w:rStyle w:val="FootnoteReference"/>
        </w:rPr>
        <w:footnoteRef/>
      </w:r>
      <w:r>
        <w:t xml:space="preserve"> Article 138 (Principles of public administration) of the Constitution.</w:t>
      </w:r>
    </w:p>
  </w:footnote>
  <w:footnote w:id="286">
    <w:p w14:paraId="529AB74B" w14:textId="77777777" w:rsidR="001A500E" w:rsidRDefault="001A500E" w:rsidP="00D146B4">
      <w:pPr>
        <w:pStyle w:val="FootnoteText"/>
      </w:pPr>
      <w:r>
        <w:rPr>
          <w:rStyle w:val="FootnoteReference"/>
        </w:rPr>
        <w:footnoteRef/>
      </w:r>
      <w:r>
        <w:t xml:space="preserve"> Article 10 of Law No. 340</w:t>
      </w:r>
      <w:r>
        <w:noBreakHyphen/>
        <w:t>06 of 18 August 2006.</w:t>
      </w:r>
    </w:p>
  </w:footnote>
  <w:footnote w:id="287">
    <w:p w14:paraId="1476892D" w14:textId="77777777" w:rsidR="001A500E" w:rsidRDefault="001A500E" w:rsidP="00D146B4">
      <w:pPr>
        <w:pStyle w:val="FootnoteText"/>
      </w:pPr>
      <w:r>
        <w:rPr>
          <w:rStyle w:val="FootnoteReference"/>
        </w:rPr>
        <w:footnoteRef/>
      </w:r>
      <w:r>
        <w:t xml:space="preserve"> Decree No. 350</w:t>
      </w:r>
      <w:r>
        <w:noBreakHyphen/>
        <w:t xml:space="preserve">17. The Transaction Portal can be accessed at: </w:t>
      </w:r>
      <w:hyperlink r:id="rId92" w:history="1">
        <w:r>
          <w:rPr>
            <w:rStyle w:val="Hyperlink"/>
          </w:rPr>
          <w:t>www.comprasdominicana.gob.do</w:t>
        </w:r>
      </w:hyperlink>
      <w:r>
        <w:t xml:space="preserve">. </w:t>
      </w:r>
    </w:p>
  </w:footnote>
  <w:footnote w:id="288">
    <w:p w14:paraId="22792E0F" w14:textId="77777777" w:rsidR="001A500E" w:rsidRDefault="001A500E" w:rsidP="00D146B4">
      <w:pPr>
        <w:pStyle w:val="FootnoteText"/>
      </w:pPr>
      <w:r>
        <w:rPr>
          <w:rStyle w:val="FootnoteReference"/>
        </w:rPr>
        <w:footnoteRef/>
      </w:r>
      <w:r>
        <w:t xml:space="preserve"> Article 8 of Decree No. 350</w:t>
      </w:r>
      <w:r>
        <w:noBreakHyphen/>
        <w:t>17 of 14 September 2017.</w:t>
      </w:r>
    </w:p>
  </w:footnote>
  <w:footnote w:id="289">
    <w:p w14:paraId="1DE8BD75" w14:textId="77777777" w:rsidR="001A500E" w:rsidRDefault="001A500E" w:rsidP="00D146B4">
      <w:pPr>
        <w:pStyle w:val="FootnoteText"/>
      </w:pPr>
      <w:r>
        <w:rPr>
          <w:rStyle w:val="FootnoteReference"/>
        </w:rPr>
        <w:footnoteRef/>
      </w:r>
      <w:r>
        <w:t xml:space="preserve"> </w:t>
      </w:r>
      <w:proofErr w:type="spellStart"/>
      <w:r>
        <w:t>DGCP</w:t>
      </w:r>
      <w:proofErr w:type="spellEnd"/>
      <w:r>
        <w:t xml:space="preserve">. Viewed at: </w:t>
      </w:r>
      <w:hyperlink r:id="rId93" w:history="1">
        <w:r>
          <w:rPr>
            <w:rStyle w:val="Hyperlink"/>
          </w:rPr>
          <w:t>https://www.dgcp.gob.do/instituciones-implementadas</w:t>
        </w:r>
      </w:hyperlink>
      <w:r>
        <w:t xml:space="preserve">. </w:t>
      </w:r>
    </w:p>
  </w:footnote>
  <w:footnote w:id="290">
    <w:p w14:paraId="04B8FA57" w14:textId="77777777" w:rsidR="001A500E" w:rsidRDefault="001A500E" w:rsidP="00D146B4">
      <w:pPr>
        <w:pStyle w:val="FootnoteText"/>
      </w:pPr>
      <w:r>
        <w:rPr>
          <w:rStyle w:val="FootnoteReference"/>
        </w:rPr>
        <w:footnoteRef/>
      </w:r>
      <w:r>
        <w:t xml:space="preserve"> </w:t>
      </w:r>
      <w:proofErr w:type="spellStart"/>
      <w:r>
        <w:t>DGCP</w:t>
      </w:r>
      <w:proofErr w:type="spellEnd"/>
      <w:r>
        <w:t xml:space="preserve"> (2021), </w:t>
      </w:r>
      <w:proofErr w:type="spellStart"/>
      <w:r>
        <w:rPr>
          <w:i/>
          <w:iCs/>
        </w:rPr>
        <w:t>Boletín</w:t>
      </w:r>
      <w:proofErr w:type="spellEnd"/>
      <w:r>
        <w:rPr>
          <w:i/>
          <w:iCs/>
        </w:rPr>
        <w:t xml:space="preserve"> </w:t>
      </w:r>
      <w:proofErr w:type="spellStart"/>
      <w:r>
        <w:rPr>
          <w:i/>
          <w:iCs/>
        </w:rPr>
        <w:t>Contrataciones</w:t>
      </w:r>
      <w:proofErr w:type="spellEnd"/>
      <w:r>
        <w:rPr>
          <w:i/>
          <w:iCs/>
        </w:rPr>
        <w:t xml:space="preserve"> </w:t>
      </w:r>
      <w:proofErr w:type="spellStart"/>
      <w:r>
        <w:rPr>
          <w:i/>
          <w:iCs/>
        </w:rPr>
        <w:t>en</w:t>
      </w:r>
      <w:proofErr w:type="spellEnd"/>
      <w:r>
        <w:rPr>
          <w:i/>
          <w:iCs/>
        </w:rPr>
        <w:t xml:space="preserve"> </w:t>
      </w:r>
      <w:proofErr w:type="spellStart"/>
      <w:r>
        <w:rPr>
          <w:i/>
          <w:iCs/>
        </w:rPr>
        <w:t>Cifras</w:t>
      </w:r>
      <w:proofErr w:type="spellEnd"/>
      <w:r>
        <w:rPr>
          <w:i/>
          <w:iCs/>
        </w:rPr>
        <w:t xml:space="preserve"> </w:t>
      </w:r>
      <w:proofErr w:type="spellStart"/>
      <w:r>
        <w:rPr>
          <w:i/>
          <w:iCs/>
        </w:rPr>
        <w:t>Estadísticas</w:t>
      </w:r>
      <w:proofErr w:type="spellEnd"/>
      <w:r>
        <w:t>, January</w:t>
      </w:r>
      <w:r>
        <w:noBreakHyphen/>
        <w:t xml:space="preserve">December. Viewed at: </w:t>
      </w:r>
      <w:hyperlink r:id="rId94" w:history="1">
        <w:r>
          <w:rPr>
            <w:rStyle w:val="Hyperlink"/>
          </w:rPr>
          <w:t>https://www.dgcp.gob.do/wp-content/uploads/page/Boletin-Contrataciones-en-Cifras-Estadisticas-2021-.pdf</w:t>
        </w:r>
      </w:hyperlink>
      <w:r>
        <w:t>.</w:t>
      </w:r>
    </w:p>
  </w:footnote>
  <w:footnote w:id="291">
    <w:p w14:paraId="47687DFF" w14:textId="77777777" w:rsidR="001A500E" w:rsidRPr="004B6128" w:rsidRDefault="001A500E">
      <w:pPr>
        <w:pStyle w:val="FootnoteText"/>
      </w:pPr>
      <w:r>
        <w:rPr>
          <w:rStyle w:val="FootnoteReference"/>
        </w:rPr>
        <w:footnoteRef/>
      </w:r>
      <w:r>
        <w:t xml:space="preserve"> </w:t>
      </w:r>
      <w:r w:rsidRPr="004B6128">
        <w:t>Article</w:t>
      </w:r>
      <w:r>
        <w:t> 7</w:t>
      </w:r>
      <w:r w:rsidRPr="004B6128">
        <w:t xml:space="preserve"> of Law No.</w:t>
      </w:r>
      <w:r>
        <w:t> </w:t>
      </w:r>
      <w:r w:rsidRPr="004B6128">
        <w:t>340</w:t>
      </w:r>
      <w:r>
        <w:noBreakHyphen/>
      </w:r>
      <w:r w:rsidRPr="004B6128">
        <w:t>06 of 18 August 2006.</w:t>
      </w:r>
    </w:p>
  </w:footnote>
  <w:footnote w:id="292">
    <w:p w14:paraId="0EB687CA" w14:textId="77777777" w:rsidR="001A500E" w:rsidRDefault="001A500E" w:rsidP="00D146B4">
      <w:pPr>
        <w:pStyle w:val="FootnoteText"/>
      </w:pPr>
      <w:r>
        <w:rPr>
          <w:rStyle w:val="FootnoteReference"/>
        </w:rPr>
        <w:footnoteRef/>
      </w:r>
      <w:r>
        <w:t xml:space="preserve"> Article 36 of Law No. 340</w:t>
      </w:r>
      <w:r>
        <w:noBreakHyphen/>
        <w:t>06 of 18 August 2006.</w:t>
      </w:r>
    </w:p>
  </w:footnote>
  <w:footnote w:id="293">
    <w:p w14:paraId="0B84164B" w14:textId="69C29A13" w:rsidR="001A500E" w:rsidRDefault="001A500E" w:rsidP="00D146B4">
      <w:pPr>
        <w:pStyle w:val="FootnoteText"/>
      </w:pPr>
      <w:r>
        <w:rPr>
          <w:rStyle w:val="FootnoteReference"/>
        </w:rPr>
        <w:footnoteRef/>
      </w:r>
      <w:r>
        <w:t xml:space="preserve"> In addition to the registration form, natural persons must be entered on the National Taxpayers Register (</w:t>
      </w:r>
      <w:proofErr w:type="spellStart"/>
      <w:r>
        <w:t>RNC</w:t>
      </w:r>
      <w:proofErr w:type="spellEnd"/>
      <w:r>
        <w:t>) and be up</w:t>
      </w:r>
      <w:r>
        <w:noBreakHyphen/>
        <w:t>to</w:t>
      </w:r>
      <w:r>
        <w:noBreakHyphen/>
        <w:t>date with their tax obligations, and legal persons must submit a copy of their business registration certificate, a copy of their Articles of Association and copy of the minutes of the last meeting at which the corporate purpose, the current shareholding structure and a declaration of the final beneficiaries were confirmed.</w:t>
      </w:r>
    </w:p>
  </w:footnote>
  <w:footnote w:id="294">
    <w:p w14:paraId="655800C7" w14:textId="77777777" w:rsidR="001A500E" w:rsidRDefault="001A500E" w:rsidP="00D146B4">
      <w:pPr>
        <w:pStyle w:val="FootnoteText"/>
      </w:pPr>
      <w:r>
        <w:rPr>
          <w:rStyle w:val="FootnoteReference"/>
        </w:rPr>
        <w:footnoteRef/>
      </w:r>
      <w:r>
        <w:t xml:space="preserve"> </w:t>
      </w:r>
      <w:proofErr w:type="spellStart"/>
      <w:r>
        <w:t>DGCP</w:t>
      </w:r>
      <w:proofErr w:type="spellEnd"/>
      <w:r>
        <w:t xml:space="preserve"> Resolution No. PNP</w:t>
      </w:r>
      <w:r>
        <w:noBreakHyphen/>
        <w:t>04</w:t>
      </w:r>
      <w:r>
        <w:noBreakHyphen/>
        <w:t>2022 on requirements for entry in the Register of State Suppliers of 17 June 2022.</w:t>
      </w:r>
    </w:p>
  </w:footnote>
  <w:footnote w:id="295">
    <w:p w14:paraId="7C22C1B5" w14:textId="77777777" w:rsidR="001A500E" w:rsidRDefault="001A500E" w:rsidP="00D146B4">
      <w:pPr>
        <w:pStyle w:val="FootnoteText"/>
      </w:pPr>
      <w:r>
        <w:rPr>
          <w:rStyle w:val="FootnoteReference"/>
        </w:rPr>
        <w:footnoteRef/>
      </w:r>
      <w:r>
        <w:t xml:space="preserve"> </w:t>
      </w:r>
      <w:proofErr w:type="spellStart"/>
      <w:r>
        <w:t>DGCP</w:t>
      </w:r>
      <w:proofErr w:type="spellEnd"/>
      <w:r>
        <w:t xml:space="preserve"> (2021), </w:t>
      </w:r>
      <w:proofErr w:type="spellStart"/>
      <w:r>
        <w:rPr>
          <w:i/>
          <w:iCs/>
        </w:rPr>
        <w:t>Boletín</w:t>
      </w:r>
      <w:proofErr w:type="spellEnd"/>
      <w:r>
        <w:rPr>
          <w:i/>
          <w:iCs/>
        </w:rPr>
        <w:t xml:space="preserve"> </w:t>
      </w:r>
      <w:proofErr w:type="spellStart"/>
      <w:r>
        <w:rPr>
          <w:i/>
          <w:iCs/>
        </w:rPr>
        <w:t>Contrataciones</w:t>
      </w:r>
      <w:proofErr w:type="spellEnd"/>
      <w:r>
        <w:rPr>
          <w:i/>
          <w:iCs/>
        </w:rPr>
        <w:t xml:space="preserve"> </w:t>
      </w:r>
      <w:proofErr w:type="spellStart"/>
      <w:r>
        <w:rPr>
          <w:i/>
          <w:iCs/>
        </w:rPr>
        <w:t>en</w:t>
      </w:r>
      <w:proofErr w:type="spellEnd"/>
      <w:r>
        <w:rPr>
          <w:i/>
          <w:iCs/>
        </w:rPr>
        <w:t xml:space="preserve"> </w:t>
      </w:r>
      <w:proofErr w:type="spellStart"/>
      <w:r>
        <w:rPr>
          <w:i/>
          <w:iCs/>
        </w:rPr>
        <w:t>Cifras</w:t>
      </w:r>
      <w:proofErr w:type="spellEnd"/>
      <w:r>
        <w:rPr>
          <w:i/>
          <w:iCs/>
        </w:rPr>
        <w:t xml:space="preserve"> </w:t>
      </w:r>
      <w:proofErr w:type="spellStart"/>
      <w:r>
        <w:rPr>
          <w:i/>
          <w:iCs/>
        </w:rPr>
        <w:t>Estadísticas</w:t>
      </w:r>
      <w:proofErr w:type="spellEnd"/>
      <w:r>
        <w:t>, January</w:t>
      </w:r>
      <w:r>
        <w:noBreakHyphen/>
        <w:t xml:space="preserve">December. Viewed at: </w:t>
      </w:r>
      <w:hyperlink r:id="rId95" w:history="1">
        <w:r>
          <w:rPr>
            <w:rStyle w:val="Hyperlink"/>
          </w:rPr>
          <w:t>https://www.dgcp.gob.do/wp-content/uploads/page/Boletin-Contrataciones-en-Cifras-Estadisticas-2021-.pdf</w:t>
        </w:r>
      </w:hyperlink>
      <w:r>
        <w:t xml:space="preserve">. </w:t>
      </w:r>
    </w:p>
  </w:footnote>
  <w:footnote w:id="296">
    <w:p w14:paraId="5C6E40C7" w14:textId="77777777" w:rsidR="001A500E" w:rsidRDefault="001A500E" w:rsidP="00D146B4">
      <w:pPr>
        <w:pStyle w:val="FootnoteText"/>
      </w:pPr>
      <w:r>
        <w:rPr>
          <w:rStyle w:val="FootnoteReference"/>
        </w:rPr>
        <w:footnoteRef/>
      </w:r>
      <w:r>
        <w:t xml:space="preserve"> Regulations implementing Law No. 340</w:t>
      </w:r>
      <w:r>
        <w:noBreakHyphen/>
        <w:t>06 (Decree No. 543</w:t>
      </w:r>
      <w:r>
        <w:noBreakHyphen/>
        <w:t>12 of 6 September 2012).</w:t>
      </w:r>
    </w:p>
  </w:footnote>
  <w:footnote w:id="297">
    <w:p w14:paraId="0CB7EE3C" w14:textId="1EEDD18F" w:rsidR="001A500E" w:rsidRDefault="001A500E" w:rsidP="00D146B4">
      <w:pPr>
        <w:pStyle w:val="FootnoteText"/>
      </w:pPr>
      <w:r>
        <w:rPr>
          <w:rStyle w:val="FootnoteReference"/>
        </w:rPr>
        <w:footnoteRef/>
      </w:r>
      <w:r>
        <w:t xml:space="preserve"> For final registration, foreign natural persons must, in addition to the registration form, give their corporate purpose or commercial activity, passport number and proof that they are up</w:t>
      </w:r>
      <w:r>
        <w:noBreakHyphen/>
        <w:t>to</w:t>
      </w:r>
      <w:r>
        <w:noBreakHyphen/>
        <w:t>date with their tax obligations; foreign legal persons must, in addition to the registration</w:t>
      </w:r>
      <w:r w:rsidRPr="00545EB6">
        <w:t xml:space="preserve"> </w:t>
      </w:r>
      <w:r>
        <w:t>application, give their corporate purpose or business activity, tax identification number in the country of origin, information on the management body and shareholder structure, proof that they are up</w:t>
      </w:r>
      <w:r>
        <w:noBreakHyphen/>
        <w:t>to</w:t>
      </w:r>
      <w:r>
        <w:noBreakHyphen/>
        <w:t xml:space="preserve">date with their tax obligations and a declaration identifying the final beneficiaries. (See </w:t>
      </w:r>
      <w:proofErr w:type="spellStart"/>
      <w:r>
        <w:t>DGCP</w:t>
      </w:r>
      <w:proofErr w:type="spellEnd"/>
      <w:r>
        <w:t xml:space="preserve"> Resolution No. PNP</w:t>
      </w:r>
      <w:r>
        <w:noBreakHyphen/>
        <w:t>04</w:t>
      </w:r>
      <w:r>
        <w:noBreakHyphen/>
        <w:t>2022 on requirements for entry in the Register of State Suppliers (</w:t>
      </w:r>
      <w:proofErr w:type="spellStart"/>
      <w:r>
        <w:t>RPE</w:t>
      </w:r>
      <w:proofErr w:type="spellEnd"/>
      <w:r>
        <w:t>) of 17 June 2022</w:t>
      </w:r>
      <w:r w:rsidR="00DE7B9A">
        <w:t>)</w:t>
      </w:r>
      <w:r>
        <w:t xml:space="preserve">. </w:t>
      </w:r>
    </w:p>
  </w:footnote>
  <w:footnote w:id="298">
    <w:p w14:paraId="073B2268" w14:textId="77777777" w:rsidR="001A500E" w:rsidRDefault="001A500E" w:rsidP="00D146B4">
      <w:pPr>
        <w:pStyle w:val="FootnoteText"/>
      </w:pPr>
      <w:r>
        <w:rPr>
          <w:rStyle w:val="FootnoteReference"/>
        </w:rPr>
        <w:footnoteRef/>
      </w:r>
      <w:r>
        <w:t xml:space="preserve"> Article 25 of the Regulations implementing Law No. 340</w:t>
      </w:r>
      <w:r>
        <w:noBreakHyphen/>
        <w:t>06 (Decree No. 543</w:t>
      </w:r>
      <w:r>
        <w:noBreakHyphen/>
        <w:t>12 of 6 September 2012).</w:t>
      </w:r>
    </w:p>
  </w:footnote>
  <w:footnote w:id="299">
    <w:p w14:paraId="02A3A283" w14:textId="77777777" w:rsidR="001A500E" w:rsidRDefault="001A500E" w:rsidP="00D146B4">
      <w:pPr>
        <w:pStyle w:val="FootnoteText"/>
      </w:pPr>
      <w:r>
        <w:rPr>
          <w:rStyle w:val="FootnoteReference"/>
        </w:rPr>
        <w:footnoteRef/>
      </w:r>
      <w:r>
        <w:t xml:space="preserve"> Regulations implementing Law No. 340</w:t>
      </w:r>
      <w:r>
        <w:noBreakHyphen/>
        <w:t>06 (Decree No. 543</w:t>
      </w:r>
      <w:r>
        <w:noBreakHyphen/>
        <w:t>12 of 6 September 2012).</w:t>
      </w:r>
    </w:p>
  </w:footnote>
  <w:footnote w:id="300">
    <w:p w14:paraId="5A9E2DF1" w14:textId="77777777" w:rsidR="001A500E" w:rsidRDefault="001A500E" w:rsidP="00D146B4">
      <w:pPr>
        <w:pStyle w:val="FootnoteText"/>
      </w:pPr>
      <w:r>
        <w:rPr>
          <w:rStyle w:val="FootnoteReference"/>
        </w:rPr>
        <w:footnoteRef/>
      </w:r>
      <w:r>
        <w:t xml:space="preserve"> </w:t>
      </w:r>
      <w:proofErr w:type="spellStart"/>
      <w:r>
        <w:t>DGCP</w:t>
      </w:r>
      <w:proofErr w:type="spellEnd"/>
      <w:r>
        <w:t xml:space="preserve">, </w:t>
      </w:r>
      <w:proofErr w:type="spellStart"/>
      <w:r w:rsidRPr="00D146B4">
        <w:rPr>
          <w:i/>
        </w:rPr>
        <w:t>Datos</w:t>
      </w:r>
      <w:proofErr w:type="spellEnd"/>
      <w:r w:rsidRPr="00D146B4">
        <w:rPr>
          <w:i/>
        </w:rPr>
        <w:t xml:space="preserve"> </w:t>
      </w:r>
      <w:proofErr w:type="spellStart"/>
      <w:r w:rsidRPr="00D146B4">
        <w:rPr>
          <w:i/>
        </w:rPr>
        <w:t>abiertos</w:t>
      </w:r>
      <w:proofErr w:type="spellEnd"/>
      <w:r>
        <w:t xml:space="preserve">, dictionary Viewed at: </w:t>
      </w:r>
      <w:hyperlink r:id="rId96" w:history="1">
        <w:r>
          <w:rPr>
            <w:rStyle w:val="Hyperlink"/>
          </w:rPr>
          <w:t>https://datosabiertos.dgcp.gob.do/opendata/diccionario</w:t>
        </w:r>
      </w:hyperlink>
      <w:r>
        <w:t xml:space="preserve">. </w:t>
      </w:r>
    </w:p>
  </w:footnote>
  <w:footnote w:id="301">
    <w:p w14:paraId="015552CB" w14:textId="77777777" w:rsidR="001A500E" w:rsidRDefault="001A500E" w:rsidP="00D146B4">
      <w:pPr>
        <w:pStyle w:val="FootnoteText"/>
      </w:pPr>
      <w:r>
        <w:rPr>
          <w:rStyle w:val="FootnoteReference"/>
        </w:rPr>
        <w:footnoteRef/>
      </w:r>
      <w:r>
        <w:t xml:space="preserve"> </w:t>
      </w:r>
      <w:proofErr w:type="spellStart"/>
      <w:r>
        <w:t>DGCP</w:t>
      </w:r>
      <w:proofErr w:type="spellEnd"/>
      <w:r>
        <w:t xml:space="preserve"> (2021), </w:t>
      </w:r>
      <w:r>
        <w:rPr>
          <w:i/>
          <w:iCs/>
        </w:rPr>
        <w:t xml:space="preserve">Memoria </w:t>
      </w:r>
      <w:proofErr w:type="spellStart"/>
      <w:r>
        <w:rPr>
          <w:i/>
          <w:iCs/>
        </w:rPr>
        <w:t>institucional</w:t>
      </w:r>
      <w:proofErr w:type="spellEnd"/>
      <w:r>
        <w:t>.</w:t>
      </w:r>
    </w:p>
  </w:footnote>
  <w:footnote w:id="302">
    <w:p w14:paraId="4155F0DD" w14:textId="77777777" w:rsidR="001A500E" w:rsidRDefault="001A500E" w:rsidP="00D146B4">
      <w:pPr>
        <w:pStyle w:val="FootnoteText"/>
      </w:pPr>
      <w:r>
        <w:rPr>
          <w:rStyle w:val="FootnoteReference"/>
        </w:rPr>
        <w:footnoteRef/>
      </w:r>
      <w:r>
        <w:t xml:space="preserve"> The thresholds for 2022 were published in Resolution PNP</w:t>
      </w:r>
      <w:r>
        <w:noBreakHyphen/>
        <w:t>01</w:t>
      </w:r>
      <w:r>
        <w:noBreakHyphen/>
        <w:t>2022 of 3 January 2022.</w:t>
      </w:r>
    </w:p>
  </w:footnote>
  <w:footnote w:id="303">
    <w:p w14:paraId="19063431" w14:textId="77777777" w:rsidR="001A500E" w:rsidRDefault="001A500E" w:rsidP="00D146B4">
      <w:pPr>
        <w:pStyle w:val="FootnoteText"/>
      </w:pPr>
      <w:r>
        <w:rPr>
          <w:rStyle w:val="FootnoteReference"/>
        </w:rPr>
        <w:footnoteRef/>
      </w:r>
      <w:r>
        <w:t xml:space="preserve"> Article 17 of Law No. 340</w:t>
      </w:r>
      <w:r>
        <w:noBreakHyphen/>
        <w:t>06 of 18 August 2006.</w:t>
      </w:r>
    </w:p>
  </w:footnote>
  <w:footnote w:id="304">
    <w:p w14:paraId="1E0CFBF1" w14:textId="77777777" w:rsidR="001A500E" w:rsidRDefault="001A500E" w:rsidP="00D146B4">
      <w:pPr>
        <w:pStyle w:val="FootnoteText"/>
      </w:pPr>
      <w:r>
        <w:rPr>
          <w:rStyle w:val="FootnoteReference"/>
        </w:rPr>
        <w:footnoteRef/>
      </w:r>
      <w:r>
        <w:t xml:space="preserve"> Chapter V of Law No. 47</w:t>
      </w:r>
      <w:r>
        <w:noBreakHyphen/>
        <w:t>20 on Public</w:t>
      </w:r>
      <w:r>
        <w:noBreakHyphen/>
        <w:t>Private Partnerships of 20 February 2020.</w:t>
      </w:r>
    </w:p>
  </w:footnote>
  <w:footnote w:id="305">
    <w:p w14:paraId="732A129B" w14:textId="77777777" w:rsidR="001A500E" w:rsidRDefault="001A500E" w:rsidP="00D146B4">
      <w:pPr>
        <w:pStyle w:val="FootnoteText"/>
      </w:pPr>
      <w:r>
        <w:rPr>
          <w:rStyle w:val="FootnoteReference"/>
        </w:rPr>
        <w:footnoteRef/>
      </w:r>
      <w:r>
        <w:t xml:space="preserve"> </w:t>
      </w:r>
      <w:proofErr w:type="spellStart"/>
      <w:r>
        <w:t>DGCP</w:t>
      </w:r>
      <w:proofErr w:type="spellEnd"/>
      <w:r>
        <w:t xml:space="preserve"> (2021), </w:t>
      </w:r>
      <w:r w:rsidRPr="00D146B4">
        <w:rPr>
          <w:i/>
        </w:rPr>
        <w:t xml:space="preserve">Memoria </w:t>
      </w:r>
      <w:proofErr w:type="spellStart"/>
      <w:r w:rsidRPr="00D146B4">
        <w:rPr>
          <w:i/>
        </w:rPr>
        <w:t>institucional</w:t>
      </w:r>
      <w:proofErr w:type="spellEnd"/>
      <w:r>
        <w:t>.</w:t>
      </w:r>
    </w:p>
  </w:footnote>
  <w:footnote w:id="306">
    <w:p w14:paraId="3018BE25" w14:textId="77777777" w:rsidR="001A500E" w:rsidRDefault="001A500E" w:rsidP="00D146B4">
      <w:pPr>
        <w:pStyle w:val="FootnoteText"/>
      </w:pPr>
      <w:r>
        <w:rPr>
          <w:rStyle w:val="FootnoteReference"/>
        </w:rPr>
        <w:footnoteRef/>
      </w:r>
      <w:r>
        <w:t xml:space="preserve"> Articles 25 and 26 of Law No. 488</w:t>
      </w:r>
      <w:r>
        <w:noBreakHyphen/>
        <w:t>08 of 19 December 2008, establishing a regulatory regime for the development and competitiveness of micro-, small and medium</w:t>
      </w:r>
      <w:r>
        <w:noBreakHyphen/>
        <w:t>sized enterprises (MSMEs).</w:t>
      </w:r>
    </w:p>
  </w:footnote>
  <w:footnote w:id="307">
    <w:p w14:paraId="40435268" w14:textId="77777777" w:rsidR="001A500E" w:rsidRDefault="001A500E" w:rsidP="00D146B4">
      <w:pPr>
        <w:pStyle w:val="FootnoteText"/>
      </w:pPr>
      <w:r>
        <w:rPr>
          <w:rStyle w:val="FootnoteReference"/>
        </w:rPr>
        <w:footnoteRef/>
      </w:r>
      <w:r>
        <w:t xml:space="preserve"> Article 10 of Law No. 340</w:t>
      </w:r>
      <w:r>
        <w:noBreakHyphen/>
        <w:t>06 of 18 August 2006, and Article 59 of the Regulations implementing Law No. 340</w:t>
      </w:r>
      <w:r>
        <w:noBreakHyphen/>
        <w:t>06 (Decree No. 543</w:t>
      </w:r>
      <w:r>
        <w:noBreakHyphen/>
        <w:t>12 of 6 September 2012).</w:t>
      </w:r>
    </w:p>
  </w:footnote>
  <w:footnote w:id="308">
    <w:p w14:paraId="71BD25C3" w14:textId="77777777" w:rsidR="001A500E" w:rsidRDefault="001A500E" w:rsidP="00D146B4">
      <w:pPr>
        <w:pStyle w:val="FootnoteText"/>
      </w:pPr>
      <w:r>
        <w:rPr>
          <w:rStyle w:val="FootnoteReference"/>
        </w:rPr>
        <w:footnoteRef/>
      </w:r>
      <w:r>
        <w:t xml:space="preserve"> Article 9 of Law No. 340</w:t>
      </w:r>
      <w:r>
        <w:noBreakHyphen/>
        <w:t>06 of 18 August 2006.</w:t>
      </w:r>
    </w:p>
  </w:footnote>
  <w:footnote w:id="309">
    <w:p w14:paraId="005E9CB6" w14:textId="77777777" w:rsidR="001A500E" w:rsidRDefault="001A500E" w:rsidP="00D146B4">
      <w:pPr>
        <w:pStyle w:val="FootnoteText"/>
      </w:pPr>
      <w:r>
        <w:rPr>
          <w:rStyle w:val="FootnoteReference"/>
        </w:rPr>
        <w:footnoteRef/>
      </w:r>
      <w:r>
        <w:t xml:space="preserve"> Decree No. 164</w:t>
      </w:r>
      <w:r>
        <w:noBreakHyphen/>
        <w:t xml:space="preserve">13 of 10 June 2013. </w:t>
      </w:r>
    </w:p>
  </w:footnote>
  <w:footnote w:id="310">
    <w:p w14:paraId="48AE90C3" w14:textId="77777777" w:rsidR="001A500E" w:rsidRDefault="001A500E" w:rsidP="00D146B4">
      <w:pPr>
        <w:pStyle w:val="FootnoteText"/>
      </w:pPr>
      <w:r>
        <w:rPr>
          <w:rStyle w:val="FootnoteReference"/>
        </w:rPr>
        <w:footnoteRef/>
      </w:r>
      <w:r>
        <w:t xml:space="preserve"> Decree 168</w:t>
      </w:r>
      <w:r>
        <w:noBreakHyphen/>
        <w:t>19 of 6 May 2019.</w:t>
      </w:r>
    </w:p>
  </w:footnote>
  <w:footnote w:id="311">
    <w:p w14:paraId="6BF46DD8" w14:textId="77777777" w:rsidR="001A500E" w:rsidRDefault="001A500E" w:rsidP="00D146B4">
      <w:pPr>
        <w:pStyle w:val="FootnoteText"/>
      </w:pPr>
      <w:r>
        <w:rPr>
          <w:rStyle w:val="FootnoteReference"/>
        </w:rPr>
        <w:footnoteRef/>
      </w:r>
      <w:r>
        <w:t xml:space="preserve"> Decree 86</w:t>
      </w:r>
      <w:r>
        <w:noBreakHyphen/>
        <w:t>20 of 21 February 2020.</w:t>
      </w:r>
    </w:p>
  </w:footnote>
  <w:footnote w:id="312">
    <w:p w14:paraId="1B26DA01" w14:textId="77777777" w:rsidR="001A500E" w:rsidRDefault="001A500E" w:rsidP="00D146B4">
      <w:pPr>
        <w:pStyle w:val="FootnoteText"/>
      </w:pPr>
      <w:r>
        <w:rPr>
          <w:rStyle w:val="FootnoteReference"/>
        </w:rPr>
        <w:footnoteRef/>
      </w:r>
      <w:r>
        <w:t xml:space="preserve"> Resolution No. PNP</w:t>
      </w:r>
      <w:r>
        <w:noBreakHyphen/>
        <w:t>02</w:t>
      </w:r>
      <w:r>
        <w:noBreakHyphen/>
        <w:t>2021 of 27 February 2021. In conformity with Law No. 488</w:t>
      </w:r>
      <w:r>
        <w:noBreakHyphen/>
        <w:t xml:space="preserve">08, </w:t>
      </w:r>
      <w:proofErr w:type="spellStart"/>
      <w:r w:rsidRPr="004A7783">
        <w:rPr>
          <w:i/>
          <w:iCs/>
        </w:rPr>
        <w:t>Mipymes</w:t>
      </w:r>
      <w:proofErr w:type="spellEnd"/>
      <w:r>
        <w:rPr>
          <w:i/>
          <w:iCs/>
        </w:rPr>
        <w:t> </w:t>
      </w:r>
      <w:proofErr w:type="spellStart"/>
      <w:r w:rsidRPr="004A7783">
        <w:rPr>
          <w:i/>
          <w:iCs/>
        </w:rPr>
        <w:t>Mujer</w:t>
      </w:r>
      <w:proofErr w:type="spellEnd"/>
      <w:r>
        <w:t xml:space="preserve"> are enterprises certified as MSMEs by the </w:t>
      </w:r>
      <w:proofErr w:type="spellStart"/>
      <w:r>
        <w:t>MICM</w:t>
      </w:r>
      <w:proofErr w:type="spellEnd"/>
      <w:r>
        <w:t xml:space="preserve"> that are managed by women, where the share capital is held chiefly by women (more than 50%).</w:t>
      </w:r>
    </w:p>
  </w:footnote>
  <w:footnote w:id="313">
    <w:p w14:paraId="3C860672" w14:textId="77777777" w:rsidR="001A500E" w:rsidRDefault="001A500E" w:rsidP="00D146B4">
      <w:pPr>
        <w:pStyle w:val="FootnoteText"/>
      </w:pPr>
      <w:r>
        <w:rPr>
          <w:rStyle w:val="FootnoteReference"/>
        </w:rPr>
        <w:footnoteRef/>
      </w:r>
      <w:r>
        <w:t xml:space="preserve"> In conformity with Law No. 187</w:t>
      </w:r>
      <w:r>
        <w:noBreakHyphen/>
        <w:t>17 on Classification of MSMEs of 28 July 2017, "MSME" means any unit of economic exploitation, run by a natural or legal person, performing agricultural, industrial, commercial activities or providing a service, in a rural or urban area, that falls within one of the following categories, depending on its size: (1) microenterprise: (a) up to 10 workers and (b) gross annual sales of up to DOP 8 million; (2) small enterprise: (a) between 11 and 50 workers and (b) gross annual sales of up to DOP 54 million; (3) medium</w:t>
      </w:r>
      <w:r>
        <w:noBreakHyphen/>
        <w:t>sized enterprise: (a) between 51 and 150 workers and (b) gross annual sales of DOP 202 million.</w:t>
      </w:r>
    </w:p>
  </w:footnote>
  <w:footnote w:id="314">
    <w:p w14:paraId="7CB21216" w14:textId="77777777" w:rsidR="001A500E" w:rsidRDefault="001A500E" w:rsidP="00D146B4">
      <w:pPr>
        <w:pStyle w:val="FootnoteText"/>
      </w:pPr>
      <w:r>
        <w:rPr>
          <w:rStyle w:val="FootnoteReference"/>
        </w:rPr>
        <w:footnoteRef/>
      </w:r>
      <w:r>
        <w:t xml:space="preserve"> Directorate</w:t>
      </w:r>
      <w:r>
        <w:noBreakHyphen/>
        <w:t xml:space="preserve">General of Government Procurement (2021), </w:t>
      </w:r>
      <w:r w:rsidRPr="00D146B4">
        <w:rPr>
          <w:i/>
        </w:rPr>
        <w:t xml:space="preserve">Memoria </w:t>
      </w:r>
      <w:proofErr w:type="spellStart"/>
      <w:r w:rsidRPr="00D146B4">
        <w:rPr>
          <w:i/>
        </w:rPr>
        <w:t>institucional</w:t>
      </w:r>
      <w:proofErr w:type="spellEnd"/>
      <w:r>
        <w:t>.</w:t>
      </w:r>
    </w:p>
  </w:footnote>
  <w:footnote w:id="315">
    <w:p w14:paraId="566CCB8E" w14:textId="77777777" w:rsidR="001A500E" w:rsidRDefault="001A500E" w:rsidP="00D146B4">
      <w:pPr>
        <w:pStyle w:val="FootnoteText"/>
      </w:pPr>
      <w:r>
        <w:rPr>
          <w:rStyle w:val="FootnoteReference"/>
        </w:rPr>
        <w:footnoteRef/>
      </w:r>
      <w:r>
        <w:t xml:space="preserve"> Decree 31</w:t>
      </w:r>
      <w:r>
        <w:noBreakHyphen/>
        <w:t>22 of 27 January 2022.</w:t>
      </w:r>
    </w:p>
  </w:footnote>
  <w:footnote w:id="316">
    <w:p w14:paraId="26C9E047" w14:textId="77777777" w:rsidR="001A500E" w:rsidRDefault="001A500E" w:rsidP="00D146B4">
      <w:pPr>
        <w:pStyle w:val="FootnoteText"/>
      </w:pPr>
      <w:r>
        <w:rPr>
          <w:rStyle w:val="FootnoteReference"/>
        </w:rPr>
        <w:footnoteRef/>
      </w:r>
      <w:r>
        <w:t xml:space="preserve"> Law No. 20</w:t>
      </w:r>
      <w:r>
        <w:noBreakHyphen/>
        <w:t>00 was amended by Laws No. 424</w:t>
      </w:r>
      <w:r>
        <w:noBreakHyphen/>
        <w:t>06 and No. 493</w:t>
      </w:r>
      <w:r>
        <w:noBreakHyphen/>
        <w:t>06. Its implementing regulations are contained in Decree No. 599</w:t>
      </w:r>
      <w:r>
        <w:noBreakHyphen/>
        <w:t xml:space="preserve">01. </w:t>
      </w:r>
    </w:p>
  </w:footnote>
  <w:footnote w:id="317">
    <w:p w14:paraId="29ADC788" w14:textId="77777777" w:rsidR="001A500E" w:rsidRDefault="001A500E" w:rsidP="00D146B4">
      <w:pPr>
        <w:pStyle w:val="FootnoteText"/>
      </w:pPr>
      <w:r>
        <w:rPr>
          <w:rStyle w:val="FootnoteReference"/>
        </w:rPr>
        <w:footnoteRef/>
      </w:r>
      <w:r>
        <w:t xml:space="preserve"> Law No. 65</w:t>
      </w:r>
      <w:r>
        <w:noBreakHyphen/>
        <w:t>00 was amended by Laws No. 424</w:t>
      </w:r>
      <w:r>
        <w:noBreakHyphen/>
        <w:t>06, No. 493</w:t>
      </w:r>
      <w:r>
        <w:noBreakHyphen/>
        <w:t>06 and No. 2</w:t>
      </w:r>
      <w:r>
        <w:noBreakHyphen/>
        <w:t>07. Its implementing regulations are contained in Decree No. 362</w:t>
      </w:r>
      <w:r>
        <w:noBreakHyphen/>
        <w:t>01.</w:t>
      </w:r>
    </w:p>
  </w:footnote>
  <w:footnote w:id="318">
    <w:p w14:paraId="0ACC67AE" w14:textId="77777777" w:rsidR="001A500E" w:rsidRDefault="001A500E" w:rsidP="00D146B4">
      <w:pPr>
        <w:pStyle w:val="FootnoteText"/>
      </w:pPr>
      <w:r>
        <w:rPr>
          <w:rStyle w:val="FootnoteReference"/>
        </w:rPr>
        <w:footnoteRef/>
      </w:r>
      <w:r>
        <w:t xml:space="preserve"> Article 104 of Regulation No. 362</w:t>
      </w:r>
      <w:r>
        <w:noBreakHyphen/>
        <w:t>01, amended by Decree No. 436</w:t>
      </w:r>
      <w:r>
        <w:noBreakHyphen/>
        <w:t xml:space="preserve">17, and </w:t>
      </w:r>
      <w:proofErr w:type="spellStart"/>
      <w:r>
        <w:t>ONDA</w:t>
      </w:r>
      <w:proofErr w:type="spellEnd"/>
      <w:r>
        <w:t xml:space="preserve"> news item "</w:t>
      </w:r>
      <w:r w:rsidRPr="00D146B4">
        <w:rPr>
          <w:i/>
        </w:rPr>
        <w:t>El</w:t>
      </w:r>
      <w:r>
        <w:rPr>
          <w:i/>
        </w:rPr>
        <w:t> </w:t>
      </w:r>
      <w:proofErr w:type="spellStart"/>
      <w:r w:rsidRPr="00D146B4">
        <w:rPr>
          <w:i/>
        </w:rPr>
        <w:t>Poder</w:t>
      </w:r>
      <w:proofErr w:type="spellEnd"/>
      <w:r w:rsidRPr="00D146B4">
        <w:rPr>
          <w:i/>
        </w:rPr>
        <w:t xml:space="preserve"> </w:t>
      </w:r>
      <w:proofErr w:type="spellStart"/>
      <w:r w:rsidRPr="00D146B4">
        <w:rPr>
          <w:i/>
        </w:rPr>
        <w:t>Ejecutivo</w:t>
      </w:r>
      <w:proofErr w:type="spellEnd"/>
      <w:r w:rsidRPr="00D146B4">
        <w:rPr>
          <w:i/>
        </w:rPr>
        <w:t xml:space="preserve"> cambia la </w:t>
      </w:r>
      <w:proofErr w:type="spellStart"/>
      <w:r w:rsidRPr="00D146B4">
        <w:rPr>
          <w:i/>
        </w:rPr>
        <w:t>adscripción</w:t>
      </w:r>
      <w:proofErr w:type="spellEnd"/>
      <w:r w:rsidRPr="00D146B4">
        <w:rPr>
          <w:i/>
        </w:rPr>
        <w:t xml:space="preserve"> de la </w:t>
      </w:r>
      <w:proofErr w:type="spellStart"/>
      <w:r w:rsidRPr="00D146B4">
        <w:rPr>
          <w:i/>
        </w:rPr>
        <w:t>ONDA</w:t>
      </w:r>
      <w:proofErr w:type="spellEnd"/>
      <w:r w:rsidRPr="00D146B4">
        <w:rPr>
          <w:i/>
        </w:rPr>
        <w:t xml:space="preserve"> a </w:t>
      </w:r>
      <w:proofErr w:type="spellStart"/>
      <w:r w:rsidRPr="00D146B4">
        <w:rPr>
          <w:i/>
        </w:rPr>
        <w:t>Industria</w:t>
      </w:r>
      <w:proofErr w:type="spellEnd"/>
      <w:r w:rsidRPr="00D146B4">
        <w:rPr>
          <w:i/>
        </w:rPr>
        <w:t xml:space="preserve"> y Comercio</w:t>
      </w:r>
      <w:r>
        <w:t xml:space="preserve">", of 15 January 2018. Viewed at: </w:t>
      </w:r>
      <w:hyperlink r:id="rId97" w:history="1">
        <w:r>
          <w:rPr>
            <w:rStyle w:val="Hyperlink"/>
          </w:rPr>
          <w:t>https://onda.gob.do/index.php/noticias</w:t>
        </w:r>
      </w:hyperlink>
      <w:r>
        <w:t>.</w:t>
      </w:r>
    </w:p>
  </w:footnote>
  <w:footnote w:id="319">
    <w:p w14:paraId="5EB22552" w14:textId="77777777" w:rsidR="001A500E" w:rsidRDefault="001A500E" w:rsidP="00D146B4">
      <w:pPr>
        <w:pStyle w:val="FootnoteText"/>
      </w:pPr>
      <w:r>
        <w:rPr>
          <w:rStyle w:val="FootnoteReference"/>
        </w:rPr>
        <w:footnoteRef/>
      </w:r>
      <w:r>
        <w:t xml:space="preserve"> Information supplied by the authorities.</w:t>
      </w:r>
    </w:p>
  </w:footnote>
  <w:footnote w:id="320">
    <w:p w14:paraId="734EB3F2" w14:textId="77777777" w:rsidR="001A500E" w:rsidRDefault="001A500E" w:rsidP="00D146B4">
      <w:pPr>
        <w:pStyle w:val="FootnoteText"/>
      </w:pPr>
      <w:r>
        <w:rPr>
          <w:rStyle w:val="FootnoteReference"/>
        </w:rPr>
        <w:footnoteRef/>
      </w:r>
      <w:r>
        <w:t xml:space="preserve"> Articles 65 and 66 of Decree No. 599</w:t>
      </w:r>
      <w:r>
        <w:noBreakHyphen/>
        <w:t>01, amended by Decree No. 260</w:t>
      </w:r>
      <w:r>
        <w:noBreakHyphen/>
        <w:t xml:space="preserve">18. </w:t>
      </w:r>
      <w:r>
        <w:rPr>
          <w:color w:val="000000"/>
          <w:bdr w:val="none" w:sz="0" w:space="0" w:color="auto" w:frame="1"/>
        </w:rPr>
        <w:t>The authorities indicated that in 2020 new digital services were added to E</w:t>
      </w:r>
      <w:r>
        <w:rPr>
          <w:color w:val="000000"/>
          <w:bdr w:val="none" w:sz="0" w:space="0" w:color="auto" w:frame="1"/>
        </w:rPr>
        <w:noBreakHyphen/>
      </w:r>
      <w:proofErr w:type="spellStart"/>
      <w:r>
        <w:rPr>
          <w:color w:val="000000"/>
          <w:bdr w:val="none" w:sz="0" w:space="0" w:color="auto" w:frame="1"/>
        </w:rPr>
        <w:t>SERPI</w:t>
      </w:r>
      <w:proofErr w:type="spellEnd"/>
      <w:r>
        <w:rPr>
          <w:color w:val="000000"/>
          <w:bdr w:val="none" w:sz="0" w:space="0" w:color="auto" w:frame="1"/>
        </w:rPr>
        <w:t xml:space="preserve">. For further information, see </w:t>
      </w:r>
      <w:proofErr w:type="spellStart"/>
      <w:r>
        <w:rPr>
          <w:color w:val="000000"/>
          <w:bdr w:val="none" w:sz="0" w:space="0" w:color="auto" w:frame="1"/>
        </w:rPr>
        <w:t>ONAPI</w:t>
      </w:r>
      <w:proofErr w:type="spellEnd"/>
      <w:r>
        <w:rPr>
          <w:color w:val="000000"/>
          <w:bdr w:val="none" w:sz="0" w:space="0" w:color="auto" w:frame="1"/>
        </w:rPr>
        <w:t xml:space="preserve">. Information viewed at: </w:t>
      </w:r>
      <w:hyperlink r:id="rId98" w:history="1">
        <w:r>
          <w:rPr>
            <w:rStyle w:val="Hyperlink"/>
            <w:bdr w:val="none" w:sz="0" w:space="0" w:color="auto" w:frame="1"/>
          </w:rPr>
          <w:t>https://www.onapi.gov.do/index.php/noticias/item/462-onapi-anuncia-nuevos-servicios-a-traves-de-su-plataforma-virtual</w:t>
        </w:r>
      </w:hyperlink>
      <w:r>
        <w:rPr>
          <w:color w:val="000000"/>
          <w:bdr w:val="none" w:sz="0" w:space="0" w:color="auto" w:frame="1"/>
        </w:rPr>
        <w:t>.</w:t>
      </w:r>
    </w:p>
  </w:footnote>
  <w:footnote w:id="321">
    <w:p w14:paraId="2D5A401A" w14:textId="77777777" w:rsidR="001A500E" w:rsidRPr="00B566E4" w:rsidRDefault="001A500E" w:rsidP="00EE0994">
      <w:pPr>
        <w:pStyle w:val="FootnoteText"/>
      </w:pPr>
      <w:r>
        <w:rPr>
          <w:rStyle w:val="FootnoteReference"/>
        </w:rPr>
        <w:footnoteRef/>
      </w:r>
      <w:r>
        <w:t xml:space="preserve"> </w:t>
      </w:r>
      <w:r w:rsidRPr="00B566E4">
        <w:t>Articles 30 and 88 of Law No. 20</w:t>
      </w:r>
      <w:r>
        <w:noBreakHyphen/>
      </w:r>
      <w:r w:rsidRPr="00B566E4">
        <w:t>00 and Articles 71 and 72 of Law No. 65</w:t>
      </w:r>
      <w:r>
        <w:noBreakHyphen/>
      </w:r>
      <w:r w:rsidRPr="00B566E4">
        <w:t>00.</w:t>
      </w:r>
    </w:p>
  </w:footnote>
  <w:footnote w:id="322">
    <w:p w14:paraId="7A5A0294" w14:textId="77777777" w:rsidR="001A500E" w:rsidRPr="00B566E4" w:rsidRDefault="001A500E" w:rsidP="00D146B4">
      <w:pPr>
        <w:pStyle w:val="FootnoteText"/>
      </w:pPr>
      <w:r w:rsidRPr="00B566E4">
        <w:rPr>
          <w:rStyle w:val="FootnoteReference"/>
        </w:rPr>
        <w:footnoteRef/>
      </w:r>
      <w:r w:rsidRPr="00B566E4">
        <w:t xml:space="preserve"> UNCTAD (2021), </w:t>
      </w:r>
      <w:r w:rsidRPr="00B566E4">
        <w:rPr>
          <w:i/>
          <w:iCs/>
        </w:rPr>
        <w:t xml:space="preserve">República Dominica – Examen de las </w:t>
      </w:r>
      <w:proofErr w:type="spellStart"/>
      <w:r w:rsidRPr="00B566E4">
        <w:rPr>
          <w:i/>
          <w:iCs/>
        </w:rPr>
        <w:t>políticas</w:t>
      </w:r>
      <w:proofErr w:type="spellEnd"/>
      <w:r w:rsidRPr="00B566E4">
        <w:rPr>
          <w:i/>
          <w:iCs/>
        </w:rPr>
        <w:t xml:space="preserve"> de </w:t>
      </w:r>
      <w:proofErr w:type="spellStart"/>
      <w:r w:rsidRPr="00B566E4">
        <w:rPr>
          <w:i/>
          <w:iCs/>
        </w:rPr>
        <w:t>ciencia</w:t>
      </w:r>
      <w:proofErr w:type="spellEnd"/>
      <w:r w:rsidRPr="00B566E4">
        <w:rPr>
          <w:i/>
          <w:iCs/>
        </w:rPr>
        <w:t xml:space="preserve">, </w:t>
      </w:r>
      <w:proofErr w:type="spellStart"/>
      <w:r w:rsidRPr="00B566E4">
        <w:rPr>
          <w:i/>
          <w:iCs/>
        </w:rPr>
        <w:t>tecnología</w:t>
      </w:r>
      <w:proofErr w:type="spellEnd"/>
      <w:r w:rsidRPr="00B566E4">
        <w:rPr>
          <w:i/>
          <w:iCs/>
        </w:rPr>
        <w:t xml:space="preserve"> e </w:t>
      </w:r>
      <w:proofErr w:type="spellStart"/>
      <w:r w:rsidRPr="00B566E4">
        <w:rPr>
          <w:i/>
          <w:iCs/>
        </w:rPr>
        <w:t>innovación</w:t>
      </w:r>
      <w:proofErr w:type="spellEnd"/>
      <w:r w:rsidRPr="00B566E4">
        <w:t xml:space="preserve">. Viewed at: </w:t>
      </w:r>
      <w:hyperlink r:id="rId99" w:history="1">
        <w:r>
          <w:rPr>
            <w:rStyle w:val="Hyperlink"/>
          </w:rPr>
          <w:t>https://www.un-ilibrary.org/content/books/9789210054928</w:t>
        </w:r>
      </w:hyperlink>
      <w:r w:rsidRPr="00B566E4">
        <w:t xml:space="preserve">. </w:t>
      </w:r>
      <w:hyperlink r:id="rId100" w:history="1">
        <w:r w:rsidRPr="00265C4C">
          <w:rPr>
            <w:rStyle w:val="Hyperlink"/>
          </w:rPr>
          <w:t>https://unctad.org/system/files/official-document/dtlstict2020d8summary_en.pdf</w:t>
        </w:r>
      </w:hyperlink>
      <w:r w:rsidRPr="00B566E4">
        <w:t>.</w:t>
      </w:r>
    </w:p>
  </w:footnote>
  <w:footnote w:id="323">
    <w:p w14:paraId="6A21DF80" w14:textId="77777777" w:rsidR="001A500E" w:rsidRPr="00B566E4" w:rsidRDefault="001A500E" w:rsidP="00D146B4">
      <w:pPr>
        <w:pStyle w:val="FootnoteText"/>
      </w:pPr>
      <w:r w:rsidRPr="00B566E4">
        <w:rPr>
          <w:rStyle w:val="FootnoteReference"/>
        </w:rPr>
        <w:footnoteRef/>
      </w:r>
      <w:r w:rsidRPr="00B566E4">
        <w:t xml:space="preserve"> In 2020</w:t>
      </w:r>
      <w:r>
        <w:t>,</w:t>
      </w:r>
      <w:r w:rsidRPr="00B566E4">
        <w:t xml:space="preserve"> the PGR set up an Intellectual Property Unit (UPI) to bolster compliance.</w:t>
      </w:r>
    </w:p>
  </w:footnote>
  <w:footnote w:id="324">
    <w:p w14:paraId="30881588" w14:textId="77777777" w:rsidR="001A500E" w:rsidRPr="00B566E4" w:rsidRDefault="001A500E" w:rsidP="00D146B4">
      <w:pPr>
        <w:pStyle w:val="FootnoteText"/>
      </w:pPr>
      <w:r w:rsidRPr="00B566E4">
        <w:rPr>
          <w:rStyle w:val="FootnoteReference"/>
        </w:rPr>
        <w:footnoteRef/>
      </w:r>
      <w:r w:rsidRPr="00B566E4">
        <w:t xml:space="preserve"> DGA Resolution No. 01</w:t>
      </w:r>
      <w:r>
        <w:noBreakHyphen/>
      </w:r>
      <w:r w:rsidRPr="00B566E4">
        <w:t>2010.</w:t>
      </w:r>
    </w:p>
  </w:footnote>
  <w:footnote w:id="325">
    <w:p w14:paraId="6FAEC8B0" w14:textId="77777777" w:rsidR="001A500E" w:rsidRPr="00B566E4" w:rsidRDefault="001A500E" w:rsidP="00D146B4">
      <w:pPr>
        <w:pStyle w:val="FootnoteText"/>
      </w:pPr>
      <w:r w:rsidRPr="00B566E4">
        <w:rPr>
          <w:rStyle w:val="FootnoteReference"/>
        </w:rPr>
        <w:footnoteRef/>
      </w:r>
      <w:r w:rsidRPr="00B566E4">
        <w:t xml:space="preserve"> U.S. Chamber of Commerce</w:t>
      </w:r>
      <w:r>
        <w:t>'</w:t>
      </w:r>
      <w:r w:rsidRPr="00B566E4">
        <w:t xml:space="preserve">s Global Innovation Policy Center (2022), </w:t>
      </w:r>
      <w:r w:rsidRPr="00B566E4">
        <w:rPr>
          <w:i/>
          <w:iCs/>
        </w:rPr>
        <w:t>2022 International IP</w:t>
      </w:r>
      <w:r>
        <w:rPr>
          <w:i/>
          <w:iCs/>
        </w:rPr>
        <w:t> </w:t>
      </w:r>
      <w:r w:rsidRPr="00B566E4">
        <w:rPr>
          <w:i/>
          <w:iCs/>
        </w:rPr>
        <w:t>Index</w:t>
      </w:r>
      <w:r>
        <w:rPr>
          <w:i/>
          <w:iCs/>
        </w:rPr>
        <w:t> </w:t>
      </w:r>
      <w:r>
        <w:rPr>
          <w:i/>
          <w:iCs/>
        </w:rPr>
        <w:noBreakHyphen/>
        <w:t> </w:t>
      </w:r>
      <w:r w:rsidRPr="00B566E4">
        <w:rPr>
          <w:i/>
          <w:iCs/>
        </w:rPr>
        <w:t>Compete for Tomorrow</w:t>
      </w:r>
      <w:r w:rsidRPr="00B566E4">
        <w:t>, 10</w:t>
      </w:r>
      <w:r w:rsidRPr="00B566E4">
        <w:rPr>
          <w:vertAlign w:val="superscript"/>
        </w:rPr>
        <w:t>th</w:t>
      </w:r>
      <w:r w:rsidRPr="00B566E4">
        <w:t xml:space="preserve"> Edition, viewed at: </w:t>
      </w:r>
      <w:hyperlink r:id="rId101" w:anchor="asset:185047@1" w:history="1">
        <w:r>
          <w:rPr>
            <w:rStyle w:val="Hyperlink"/>
          </w:rPr>
          <w:t>https://www.uschamber.com/assets/documents/IPIndex-FullReport_2022.pdf.pdf#asset:185047@1</w:t>
        </w:r>
      </w:hyperlink>
      <w:r>
        <w:t>;</w:t>
      </w:r>
      <w:r w:rsidRPr="00B566E4">
        <w:t xml:space="preserve"> and National Association of Young Entrepreneurs and OMG Institute (2019), </w:t>
      </w:r>
      <w:proofErr w:type="spellStart"/>
      <w:r w:rsidRPr="00B566E4">
        <w:rPr>
          <w:i/>
          <w:iCs/>
        </w:rPr>
        <w:t>Trabas</w:t>
      </w:r>
      <w:proofErr w:type="spellEnd"/>
      <w:r w:rsidRPr="00B566E4">
        <w:rPr>
          <w:i/>
          <w:iCs/>
        </w:rPr>
        <w:t xml:space="preserve"> </w:t>
      </w:r>
      <w:proofErr w:type="spellStart"/>
      <w:r w:rsidRPr="00B566E4">
        <w:rPr>
          <w:i/>
          <w:iCs/>
        </w:rPr>
        <w:t>Burocráticas</w:t>
      </w:r>
      <w:proofErr w:type="spellEnd"/>
      <w:r w:rsidRPr="00B566E4">
        <w:rPr>
          <w:i/>
          <w:iCs/>
        </w:rPr>
        <w:t xml:space="preserve"> y </w:t>
      </w:r>
      <w:proofErr w:type="spellStart"/>
      <w:r w:rsidRPr="00B566E4">
        <w:rPr>
          <w:i/>
          <w:iCs/>
        </w:rPr>
        <w:t>otras</w:t>
      </w:r>
      <w:proofErr w:type="spellEnd"/>
      <w:r w:rsidRPr="00B566E4">
        <w:rPr>
          <w:i/>
          <w:iCs/>
        </w:rPr>
        <w:t xml:space="preserve"> barreras al </w:t>
      </w:r>
      <w:proofErr w:type="spellStart"/>
      <w:r w:rsidRPr="00B566E4">
        <w:rPr>
          <w:i/>
          <w:iCs/>
        </w:rPr>
        <w:t>emprendimiento</w:t>
      </w:r>
      <w:proofErr w:type="spellEnd"/>
      <w:r w:rsidRPr="00B566E4">
        <w:rPr>
          <w:i/>
          <w:iCs/>
        </w:rPr>
        <w:t xml:space="preserve"> </w:t>
      </w:r>
      <w:proofErr w:type="spellStart"/>
      <w:r w:rsidRPr="00B566E4">
        <w:rPr>
          <w:i/>
          <w:iCs/>
        </w:rPr>
        <w:t>en</w:t>
      </w:r>
      <w:proofErr w:type="spellEnd"/>
      <w:r w:rsidRPr="00B566E4">
        <w:rPr>
          <w:i/>
          <w:iCs/>
        </w:rPr>
        <w:t xml:space="preserve"> la República </w:t>
      </w:r>
      <w:proofErr w:type="spellStart"/>
      <w:r w:rsidRPr="00B566E4">
        <w:rPr>
          <w:i/>
          <w:iCs/>
        </w:rPr>
        <w:t>Dominicana</w:t>
      </w:r>
      <w:proofErr w:type="spellEnd"/>
      <w:r w:rsidRPr="00B566E4">
        <w:t xml:space="preserve">, viewed at: </w:t>
      </w:r>
      <w:hyperlink r:id="rId102" w:history="1">
        <w:r>
          <w:rPr>
            <w:rStyle w:val="Hyperlink"/>
          </w:rPr>
          <w:t>https://anje.org/wp-content/uploads/2021/08/Avances-Informe-_-Trabas-burocraticas-y-legales-para-hacer-negocios-en-la-Republica-_-Version-12-Mayo.pdf</w:t>
        </w:r>
      </w:hyperlink>
      <w:r w:rsidRPr="00B566E4">
        <w:t>.</w:t>
      </w:r>
    </w:p>
  </w:footnote>
  <w:footnote w:id="326">
    <w:p w14:paraId="1F55F051" w14:textId="77777777" w:rsidR="001A500E" w:rsidRDefault="001A500E" w:rsidP="00D146B4">
      <w:pPr>
        <w:pStyle w:val="FootnoteText"/>
      </w:pPr>
      <w:r w:rsidRPr="00B566E4">
        <w:rPr>
          <w:rStyle w:val="FootnoteReference"/>
        </w:rPr>
        <w:footnoteRef/>
      </w:r>
      <w:r w:rsidRPr="00B566E4">
        <w:t xml:space="preserve"> </w:t>
      </w:r>
      <w:proofErr w:type="spellStart"/>
      <w:r w:rsidRPr="00B566E4">
        <w:t>ONDA</w:t>
      </w:r>
      <w:proofErr w:type="spellEnd"/>
      <w:r w:rsidRPr="00B566E4">
        <w:t xml:space="preserve"> news item of 29 March 2021. Viewed at: </w:t>
      </w:r>
      <w:hyperlink r:id="rId103" w:history="1">
        <w:r>
          <w:rPr>
            <w:rStyle w:val="Hyperlink"/>
          </w:rPr>
          <w:t>https://onda.gob.do/index.php/noticias/item/622-pgr-y-onda-clausuran-primer-curso-para-fiscales-en-materia-de-propiedad-intelectual</w:t>
        </w:r>
      </w:hyperlink>
      <w:r>
        <w:t>.</w:t>
      </w:r>
    </w:p>
  </w:footnote>
  <w:footnote w:id="327">
    <w:p w14:paraId="6C47E678" w14:textId="77777777" w:rsidR="00EB7374" w:rsidRPr="006071D8" w:rsidRDefault="00EB7374" w:rsidP="00B0434B">
      <w:pPr>
        <w:pStyle w:val="FootnoteText"/>
      </w:pPr>
      <w:r>
        <w:rPr>
          <w:rStyle w:val="FootnoteReference"/>
        </w:rPr>
        <w:footnoteRef/>
      </w:r>
      <w:r>
        <w:t xml:space="preserve"> Sectoral Agricultural Operational Plan 2019, 2021 and 2022.</w:t>
      </w:r>
    </w:p>
  </w:footnote>
  <w:footnote w:id="328">
    <w:p w14:paraId="1D616861" w14:textId="77777777" w:rsidR="00EB7374" w:rsidRPr="00F85D7C" w:rsidRDefault="00EB7374" w:rsidP="00B0434B">
      <w:pPr>
        <w:pStyle w:val="FootnoteText"/>
      </w:pPr>
      <w:r>
        <w:rPr>
          <w:rStyle w:val="FootnoteReference"/>
        </w:rPr>
        <w:footnoteRef/>
      </w:r>
      <w:r>
        <w:t xml:space="preserve"> There are currently six vice-ministries: Agricultural Sector Planning; Scientific and Technological Affairs; Agricultural Production and Marketing; Agricultural Rural Development; Administrative, Technical and Financial; and Agricultural Research, Extension and Training (2022 Agricultural POA).</w:t>
      </w:r>
    </w:p>
  </w:footnote>
  <w:footnote w:id="329">
    <w:p w14:paraId="3CEE2289" w14:textId="77777777" w:rsidR="00EB7374" w:rsidRPr="005F5E56" w:rsidRDefault="00EB7374" w:rsidP="00B0434B">
      <w:pPr>
        <w:pStyle w:val="FootnoteText"/>
      </w:pPr>
      <w:r>
        <w:rPr>
          <w:rStyle w:val="FootnoteReference"/>
        </w:rPr>
        <w:footnoteRef/>
      </w:r>
      <w:r>
        <w:t xml:space="preserve"> The Commission comprises representatives of the ministries of Agriculture, Finance, Industry, Trade and MSMEs, and Planning, Economy and Development, as well as the Directorate-General of Customs, the Agricultural Bank of the Dominican Republic, the National Price Stabilization Institute and the Directorate</w:t>
      </w:r>
      <w:r>
        <w:noBreakHyphen/>
        <w:t>General of Government Procurement (Decree No. 605-21).</w:t>
      </w:r>
    </w:p>
  </w:footnote>
  <w:footnote w:id="330">
    <w:p w14:paraId="16AFBEAF" w14:textId="77777777" w:rsidR="00EB7374" w:rsidRPr="00426EAB" w:rsidRDefault="00EB7374" w:rsidP="00B0434B">
      <w:pPr>
        <w:pStyle w:val="FootnoteText"/>
      </w:pPr>
      <w:r>
        <w:rPr>
          <w:rStyle w:val="FootnoteReference"/>
        </w:rPr>
        <w:footnoteRef/>
      </w:r>
      <w:r>
        <w:t xml:space="preserve"> Decree No. 65-21.</w:t>
      </w:r>
    </w:p>
  </w:footnote>
  <w:footnote w:id="331">
    <w:p w14:paraId="6F32FC0A" w14:textId="77777777" w:rsidR="00EB7374" w:rsidRPr="009E0364" w:rsidRDefault="00EB7374" w:rsidP="00B0434B">
      <w:pPr>
        <w:pStyle w:val="FootnoteText"/>
      </w:pPr>
      <w:r>
        <w:rPr>
          <w:rStyle w:val="FootnoteReference"/>
        </w:rPr>
        <w:footnoteRef/>
      </w:r>
      <w:r>
        <w:t xml:space="preserve"> END 2030 established by Law No. 1-12.</w:t>
      </w:r>
    </w:p>
  </w:footnote>
  <w:footnote w:id="332">
    <w:p w14:paraId="11FBFBE1" w14:textId="77777777" w:rsidR="00EB7374" w:rsidRPr="008407E1" w:rsidRDefault="00EB7374" w:rsidP="00B0434B">
      <w:pPr>
        <w:pStyle w:val="FootnoteText"/>
      </w:pPr>
      <w:r>
        <w:rPr>
          <w:rStyle w:val="FootnoteReference"/>
        </w:rPr>
        <w:footnoteRef/>
      </w:r>
      <w:r>
        <w:t xml:space="preserve"> These include: pesticides; cocoa plants, fruit, seeds and any parts thereof; </w:t>
      </w:r>
      <w:proofErr w:type="spellStart"/>
      <w:r>
        <w:t>musaceae</w:t>
      </w:r>
      <w:proofErr w:type="spellEnd"/>
      <w:r>
        <w:t xml:space="preserve"> (banana plants); entire plants, corms, leaves, pollen and botanical seeds of </w:t>
      </w:r>
      <w:proofErr w:type="spellStart"/>
      <w:r>
        <w:t>musaceae</w:t>
      </w:r>
      <w:proofErr w:type="spellEnd"/>
      <w:r>
        <w:t xml:space="preserve"> or parts thereof, fresh or dried (including handicrafts); ginger rhizomes, turmeric rhizomes, potato tubers, </w:t>
      </w:r>
      <w:proofErr w:type="spellStart"/>
      <w:r w:rsidRPr="00436BF7">
        <w:t>musaceae</w:t>
      </w:r>
      <w:proofErr w:type="spellEnd"/>
      <w:r w:rsidRPr="00436BF7">
        <w:t xml:space="preserve"> </w:t>
      </w:r>
      <w:r>
        <w:t>handicrafts and plants; live pigs, products and by</w:t>
      </w:r>
      <w:r>
        <w:noBreakHyphen/>
        <w:t xml:space="preserve">products of pig origin, and live or dead shrimp of the species </w:t>
      </w:r>
      <w:proofErr w:type="spellStart"/>
      <w:r>
        <w:rPr>
          <w:i/>
        </w:rPr>
        <w:t>Litopenaeus</w:t>
      </w:r>
      <w:proofErr w:type="spellEnd"/>
      <w:r>
        <w:rPr>
          <w:i/>
        </w:rPr>
        <w:t xml:space="preserve"> </w:t>
      </w:r>
      <w:proofErr w:type="spellStart"/>
      <w:r>
        <w:rPr>
          <w:i/>
        </w:rPr>
        <w:t>vannamei</w:t>
      </w:r>
      <w:proofErr w:type="spellEnd"/>
      <w:r>
        <w:t xml:space="preserve"> and </w:t>
      </w:r>
      <w:r>
        <w:rPr>
          <w:i/>
        </w:rPr>
        <w:t xml:space="preserve">Penaeus </w:t>
      </w:r>
      <w:proofErr w:type="spellStart"/>
      <w:r>
        <w:rPr>
          <w:i/>
        </w:rPr>
        <w:t>monodom</w:t>
      </w:r>
      <w:proofErr w:type="spellEnd"/>
      <w:r>
        <w:t>, at any stage of development, frozen or raw.</w:t>
      </w:r>
    </w:p>
  </w:footnote>
  <w:footnote w:id="333">
    <w:p w14:paraId="0AFA9E1D" w14:textId="77777777" w:rsidR="00EB7374" w:rsidRPr="001A1F82" w:rsidRDefault="00EB7374" w:rsidP="00B0434B">
      <w:pPr>
        <w:pStyle w:val="FootnoteText"/>
      </w:pPr>
      <w:r>
        <w:rPr>
          <w:rStyle w:val="FootnoteReference"/>
        </w:rPr>
        <w:footnoteRef/>
      </w:r>
      <w:r>
        <w:t xml:space="preserve"> Resolution No. 024-2006.</w:t>
      </w:r>
    </w:p>
  </w:footnote>
  <w:footnote w:id="334">
    <w:p w14:paraId="4B907AED" w14:textId="77777777" w:rsidR="00EB7374" w:rsidRPr="001A1F82" w:rsidRDefault="00EB7374" w:rsidP="00B0434B">
      <w:pPr>
        <w:pStyle w:val="FootnoteText"/>
      </w:pPr>
      <w:r>
        <w:rPr>
          <w:rStyle w:val="FootnoteReference"/>
        </w:rPr>
        <w:footnoteRef/>
      </w:r>
      <w:r>
        <w:t xml:space="preserve"> Decree No. 329-11.</w:t>
      </w:r>
    </w:p>
  </w:footnote>
  <w:footnote w:id="335">
    <w:p w14:paraId="00C8BF60" w14:textId="77777777" w:rsidR="00EB7374" w:rsidRPr="002E5A70" w:rsidRDefault="00EB7374" w:rsidP="00B0434B">
      <w:pPr>
        <w:pStyle w:val="FootnoteText"/>
      </w:pPr>
      <w:r>
        <w:rPr>
          <w:rStyle w:val="FootnoteReference"/>
        </w:rPr>
        <w:footnoteRef/>
      </w:r>
      <w:r>
        <w:t xml:space="preserve"> Information provided by the authorities.</w:t>
      </w:r>
    </w:p>
  </w:footnote>
  <w:footnote w:id="336">
    <w:p w14:paraId="30628138" w14:textId="77777777" w:rsidR="00EB7374" w:rsidRPr="003C2259" w:rsidRDefault="00EB7374" w:rsidP="00B0434B">
      <w:pPr>
        <w:pStyle w:val="FootnoteText"/>
      </w:pPr>
      <w:r>
        <w:rPr>
          <w:rStyle w:val="FootnoteReference"/>
        </w:rPr>
        <w:footnoteRef/>
      </w:r>
      <w:r>
        <w:t xml:space="preserve"> Law No. 619-65.</w:t>
      </w:r>
    </w:p>
  </w:footnote>
  <w:footnote w:id="337">
    <w:p w14:paraId="4E0415CA" w14:textId="77777777" w:rsidR="00EB7374" w:rsidRPr="002E5A70" w:rsidRDefault="00EB7374" w:rsidP="00B0434B">
      <w:pPr>
        <w:pStyle w:val="FootnoteText"/>
      </w:pPr>
      <w:r>
        <w:rPr>
          <w:rStyle w:val="FootnoteReference"/>
        </w:rPr>
        <w:footnoteRef/>
      </w:r>
      <w:r>
        <w:t xml:space="preserve"> Decree No. 705-10.</w:t>
      </w:r>
    </w:p>
  </w:footnote>
  <w:footnote w:id="338">
    <w:p w14:paraId="0DC4C090" w14:textId="77777777" w:rsidR="00EB7374" w:rsidRPr="003C2259" w:rsidRDefault="00EB7374" w:rsidP="00B0434B">
      <w:pPr>
        <w:pStyle w:val="FootnoteText"/>
      </w:pPr>
      <w:r>
        <w:rPr>
          <w:rStyle w:val="FootnoteReference"/>
        </w:rPr>
        <w:footnoteRef/>
      </w:r>
      <w:r>
        <w:t>WTO documents G/AG/N/DOM/25-29 of 18 August 2020, G/AG/N/DOM/44 of 8 March 2021, and G/AG/N/DOM/47 of 21 January 2022.</w:t>
      </w:r>
    </w:p>
  </w:footnote>
  <w:footnote w:id="339">
    <w:p w14:paraId="501C0BC2" w14:textId="77777777" w:rsidR="00EB7374" w:rsidRPr="003C2259" w:rsidRDefault="00EB7374" w:rsidP="00B0434B">
      <w:pPr>
        <w:pStyle w:val="FootnoteText"/>
      </w:pPr>
      <w:r>
        <w:rPr>
          <w:rStyle w:val="FootnoteReference"/>
        </w:rPr>
        <w:footnoteRef/>
      </w:r>
      <w:r>
        <w:t xml:space="preserve"> Law No. 526-69.</w:t>
      </w:r>
    </w:p>
  </w:footnote>
  <w:footnote w:id="340">
    <w:p w14:paraId="5EFBFB33" w14:textId="77777777" w:rsidR="00EB7374" w:rsidRPr="001E2251" w:rsidRDefault="00EB7374" w:rsidP="00B0434B">
      <w:pPr>
        <w:pStyle w:val="FootnoteText"/>
      </w:pPr>
      <w:r>
        <w:rPr>
          <w:rStyle w:val="FootnoteReference"/>
        </w:rPr>
        <w:footnoteRef/>
      </w:r>
      <w:r>
        <w:t xml:space="preserve"> Law No. 618-65.</w:t>
      </w:r>
    </w:p>
  </w:footnote>
  <w:footnote w:id="341">
    <w:p w14:paraId="03E0B8AF" w14:textId="77777777" w:rsidR="00EB7374" w:rsidRPr="001E2251" w:rsidRDefault="00EB7374" w:rsidP="00B0434B">
      <w:pPr>
        <w:pStyle w:val="FootnoteText"/>
      </w:pPr>
      <w:r>
        <w:rPr>
          <w:rStyle w:val="FootnoteReference"/>
        </w:rPr>
        <w:footnoteRef/>
      </w:r>
      <w:r>
        <w:t xml:space="preserve"> Decrees No. 393-18 and No. 745-21.</w:t>
      </w:r>
    </w:p>
  </w:footnote>
  <w:footnote w:id="342">
    <w:p w14:paraId="5F19CD4A" w14:textId="77777777" w:rsidR="00EB7374" w:rsidRPr="00FC61FF" w:rsidRDefault="00EB7374" w:rsidP="00B0434B">
      <w:pPr>
        <w:pStyle w:val="FootnoteText"/>
      </w:pPr>
      <w:r>
        <w:rPr>
          <w:rStyle w:val="FootnoteReference"/>
        </w:rPr>
        <w:footnoteRef/>
      </w:r>
      <w:r>
        <w:t xml:space="preserve"> Decree No. 649-03 and Resolution No. 001/2020 of the Dominican Sugar Institute.</w:t>
      </w:r>
    </w:p>
  </w:footnote>
  <w:footnote w:id="343">
    <w:p w14:paraId="7BE5872A" w14:textId="77777777" w:rsidR="00EB7374" w:rsidRPr="00FC61FF" w:rsidRDefault="00EB7374" w:rsidP="00B0434B">
      <w:pPr>
        <w:pStyle w:val="FootnoteText"/>
      </w:pPr>
      <w:r>
        <w:rPr>
          <w:rStyle w:val="FootnoteReference"/>
        </w:rPr>
        <w:footnoteRef/>
      </w:r>
      <w:r>
        <w:t xml:space="preserve"> Preamble to Decree No. 649-03.</w:t>
      </w:r>
    </w:p>
  </w:footnote>
  <w:footnote w:id="344">
    <w:p w14:paraId="2F7F5D0E" w14:textId="77777777" w:rsidR="00EB7374" w:rsidRPr="004F66F6" w:rsidRDefault="00EB7374" w:rsidP="00B0434B">
      <w:pPr>
        <w:pStyle w:val="FootnoteText"/>
      </w:pPr>
      <w:r>
        <w:rPr>
          <w:rStyle w:val="FootnoteReference"/>
        </w:rPr>
        <w:footnoteRef/>
      </w:r>
      <w:r>
        <w:t xml:space="preserve"> WTO documents G/AG/N/DOM/39-43 of 20 August 2020 and G/AG/N/DOM/46 of 23 July 2021.</w:t>
      </w:r>
    </w:p>
  </w:footnote>
  <w:footnote w:id="345">
    <w:p w14:paraId="4421B33C" w14:textId="77777777" w:rsidR="00EB7374" w:rsidRPr="00550128" w:rsidRDefault="00EB7374" w:rsidP="00B0434B">
      <w:pPr>
        <w:pStyle w:val="FootnoteText"/>
      </w:pPr>
      <w:r>
        <w:rPr>
          <w:rStyle w:val="FootnoteReference"/>
        </w:rPr>
        <w:footnoteRef/>
      </w:r>
      <w:r>
        <w:t xml:space="preserve"> WTO document G/AG/N/DOM/46 of 23 July 2021.</w:t>
      </w:r>
    </w:p>
  </w:footnote>
  <w:footnote w:id="346">
    <w:p w14:paraId="5BE5D3C5" w14:textId="77777777" w:rsidR="00EB7374" w:rsidRPr="009F4B96" w:rsidRDefault="00EB7374" w:rsidP="00B0434B">
      <w:pPr>
        <w:pStyle w:val="FootnoteText"/>
      </w:pPr>
      <w:r>
        <w:rPr>
          <w:rStyle w:val="FootnoteReference"/>
        </w:rPr>
        <w:footnoteRef/>
      </w:r>
      <w:r>
        <w:t xml:space="preserve"> POA 2022.</w:t>
      </w:r>
    </w:p>
  </w:footnote>
  <w:footnote w:id="347">
    <w:p w14:paraId="1AFA17A4" w14:textId="77777777" w:rsidR="00EB7374" w:rsidRPr="00AD3CBC" w:rsidRDefault="00EB7374" w:rsidP="00B0434B">
      <w:pPr>
        <w:pStyle w:val="FootnoteText"/>
      </w:pPr>
      <w:r>
        <w:rPr>
          <w:rStyle w:val="FootnoteReference"/>
        </w:rPr>
        <w:footnoteRef/>
      </w:r>
      <w:r>
        <w:t xml:space="preserve"> WTO documents G/AG/N/DOM/39-43 of 20 August 2020 and G/AG/N/DOM/46 of 23 July 2021.</w:t>
      </w:r>
    </w:p>
  </w:footnote>
  <w:footnote w:id="348">
    <w:p w14:paraId="0769B7B6" w14:textId="77777777" w:rsidR="00EB7374" w:rsidRPr="00915D15" w:rsidRDefault="00EB7374" w:rsidP="00B0434B">
      <w:pPr>
        <w:pStyle w:val="FootnoteText"/>
        <w:rPr>
          <w:lang w:val="es-ES"/>
        </w:rPr>
      </w:pPr>
      <w:r>
        <w:rPr>
          <w:rStyle w:val="FootnoteReference"/>
        </w:rPr>
        <w:footnoteRef/>
      </w:r>
      <w:r w:rsidRPr="00915D15">
        <w:rPr>
          <w:lang w:val="es-ES"/>
        </w:rPr>
        <w:t xml:space="preserve"> </w:t>
      </w:r>
      <w:r w:rsidRPr="00560B56">
        <w:rPr>
          <w:i/>
          <w:iCs/>
          <w:lang w:val="es-ES"/>
        </w:rPr>
        <w:t>Memoria Institucional Año 2020</w:t>
      </w:r>
      <w:r w:rsidRPr="00915D15">
        <w:rPr>
          <w:lang w:val="es-ES"/>
        </w:rPr>
        <w:t>.</w:t>
      </w:r>
    </w:p>
  </w:footnote>
  <w:footnote w:id="349">
    <w:p w14:paraId="7DB97F61" w14:textId="77777777" w:rsidR="00EB7374" w:rsidRPr="00915D15" w:rsidRDefault="00EB7374" w:rsidP="00B0434B">
      <w:pPr>
        <w:pStyle w:val="FootnoteText"/>
        <w:rPr>
          <w:lang w:val="es-ES"/>
        </w:rPr>
      </w:pPr>
      <w:r>
        <w:rPr>
          <w:rStyle w:val="FootnoteReference"/>
        </w:rPr>
        <w:footnoteRef/>
      </w:r>
      <w:r w:rsidRPr="00915D15">
        <w:rPr>
          <w:lang w:val="es-ES"/>
        </w:rPr>
        <w:t xml:space="preserve"> </w:t>
      </w:r>
      <w:proofErr w:type="spellStart"/>
      <w:r w:rsidRPr="00915D15">
        <w:rPr>
          <w:lang w:val="es-ES"/>
        </w:rPr>
        <w:t>AGRODOSA</w:t>
      </w:r>
      <w:proofErr w:type="spellEnd"/>
      <w:r w:rsidRPr="00915D15">
        <w:rPr>
          <w:lang w:val="es-ES"/>
        </w:rPr>
        <w:t xml:space="preserve">. </w:t>
      </w:r>
      <w:r w:rsidRPr="00560B56">
        <w:t>Viewed</w:t>
      </w:r>
      <w:r w:rsidRPr="00915D15">
        <w:rPr>
          <w:lang w:val="es-ES"/>
        </w:rPr>
        <w:t xml:space="preserve"> at: </w:t>
      </w:r>
      <w:hyperlink r:id="rId104" w:history="1">
        <w:r w:rsidRPr="00180805">
          <w:rPr>
            <w:rStyle w:val="Hyperlink"/>
          </w:rPr>
          <w:t>http://www.agrodosa.com.do/nosotros</w:t>
        </w:r>
      </w:hyperlink>
      <w:r w:rsidRPr="00915D15">
        <w:rPr>
          <w:lang w:val="es-ES"/>
        </w:rPr>
        <w:t xml:space="preserve">. </w:t>
      </w:r>
    </w:p>
  </w:footnote>
  <w:footnote w:id="350">
    <w:p w14:paraId="5058AA44" w14:textId="77777777" w:rsidR="00EB7374" w:rsidRPr="00A00D20" w:rsidRDefault="00EB7374" w:rsidP="00B0434B">
      <w:pPr>
        <w:pStyle w:val="FootnoteText"/>
      </w:pPr>
      <w:r>
        <w:rPr>
          <w:rStyle w:val="FootnoteReference"/>
        </w:rPr>
        <w:footnoteRef/>
      </w:r>
      <w:r>
        <w:t xml:space="preserve"> Livestock insurance covers cattle, sheep and pigs and the rearing of broilers and layers (</w:t>
      </w:r>
      <w:proofErr w:type="spellStart"/>
      <w:r>
        <w:t>AGRODOSA</w:t>
      </w:r>
      <w:proofErr w:type="spellEnd"/>
      <w:r>
        <w:t xml:space="preserve">. Viewed at: </w:t>
      </w:r>
      <w:hyperlink r:id="rId105" w:history="1">
        <w:r w:rsidRPr="00D460B9">
          <w:rPr>
            <w:rStyle w:val="Hyperlink"/>
          </w:rPr>
          <w:t>http://www.agrodosa.com.do/productos/14-seguro-pecuario</w:t>
        </w:r>
      </w:hyperlink>
      <w:r>
        <w:t xml:space="preserve">; and </w:t>
      </w:r>
      <w:hyperlink r:id="rId106" w:history="1">
        <w:r w:rsidRPr="004956B0">
          <w:rPr>
            <w:rStyle w:val="Hyperlink"/>
          </w:rPr>
          <w:t>http://www.agrodosa.com.do/productos/15-seguro-forestal</w:t>
        </w:r>
      </w:hyperlink>
      <w:r>
        <w:t xml:space="preserve"> y </w:t>
      </w:r>
      <w:hyperlink r:id="rId107" w:history="1">
        <w:r w:rsidRPr="00180805">
          <w:rPr>
            <w:rStyle w:val="Hyperlink"/>
          </w:rPr>
          <w:t>http://www.agrodosa.com.do/productos/16-seguro-acuicola</w:t>
        </w:r>
      </w:hyperlink>
      <w:r>
        <w:t>).</w:t>
      </w:r>
    </w:p>
  </w:footnote>
  <w:footnote w:id="351">
    <w:p w14:paraId="7488E09F" w14:textId="77777777" w:rsidR="00EB7374" w:rsidRPr="00E953A3" w:rsidRDefault="00EB7374" w:rsidP="00B0434B">
      <w:pPr>
        <w:pStyle w:val="FootnoteText"/>
      </w:pPr>
      <w:r>
        <w:rPr>
          <w:rStyle w:val="FootnoteReference"/>
        </w:rPr>
        <w:footnoteRef/>
      </w:r>
      <w:r>
        <w:t xml:space="preserve"> Law No. 182-09.</w:t>
      </w:r>
    </w:p>
  </w:footnote>
  <w:footnote w:id="352">
    <w:p w14:paraId="421E1F82" w14:textId="77777777" w:rsidR="00EB7374" w:rsidRPr="00FF5DD7" w:rsidRDefault="00EB7374" w:rsidP="00B0434B">
      <w:pPr>
        <w:pStyle w:val="FootnoteText"/>
      </w:pPr>
      <w:r>
        <w:rPr>
          <w:rStyle w:val="FootnoteReference"/>
        </w:rPr>
        <w:footnoteRef/>
      </w:r>
      <w:r>
        <w:t xml:space="preserve"> WTO documents G/AG/N/DOM/39-43 and G/AG/N/DOM/46, of 20 August 2020 and 23 July 2021, respectively.</w:t>
      </w:r>
    </w:p>
  </w:footnote>
  <w:footnote w:id="353">
    <w:p w14:paraId="18AB9FDC" w14:textId="77777777" w:rsidR="00EB7374" w:rsidRPr="00686CFF" w:rsidRDefault="00EB7374" w:rsidP="00B0434B">
      <w:pPr>
        <w:pStyle w:val="FootnoteText"/>
      </w:pPr>
      <w:r>
        <w:rPr>
          <w:rStyle w:val="FootnoteReference"/>
        </w:rPr>
        <w:footnoteRef/>
      </w:r>
      <w:r>
        <w:t xml:space="preserve"> Decree No. 168-19.</w:t>
      </w:r>
    </w:p>
  </w:footnote>
  <w:footnote w:id="354">
    <w:p w14:paraId="0B208867" w14:textId="77777777" w:rsidR="00EB7374" w:rsidRPr="00686CFF" w:rsidRDefault="00EB7374" w:rsidP="00B0434B">
      <w:pPr>
        <w:pStyle w:val="FootnoteText"/>
      </w:pPr>
      <w:r>
        <w:rPr>
          <w:rStyle w:val="FootnoteReference"/>
        </w:rPr>
        <w:footnoteRef/>
      </w:r>
      <w:r>
        <w:t xml:space="preserve"> Decree No. 164-13.</w:t>
      </w:r>
    </w:p>
  </w:footnote>
  <w:footnote w:id="355">
    <w:p w14:paraId="7A1D83D9" w14:textId="77777777" w:rsidR="00EB7374" w:rsidRPr="00CB539C" w:rsidRDefault="00EB7374" w:rsidP="00B0434B">
      <w:pPr>
        <w:pStyle w:val="FootnoteText"/>
      </w:pPr>
      <w:r>
        <w:rPr>
          <w:rStyle w:val="FootnoteReference"/>
        </w:rPr>
        <w:footnoteRef/>
      </w:r>
      <w:r>
        <w:t xml:space="preserve"> The WTO Secretariat was unable to access the </w:t>
      </w:r>
      <w:proofErr w:type="spellStart"/>
      <w:r>
        <w:t>CODOPESCA</w:t>
      </w:r>
      <w:proofErr w:type="spellEnd"/>
      <w:r>
        <w:t xml:space="preserve"> website (viewed at: </w:t>
      </w:r>
      <w:hyperlink r:id="rId108" w:history="1">
        <w:r w:rsidRPr="009B48AA">
          <w:rPr>
            <w:rStyle w:val="Hyperlink"/>
          </w:rPr>
          <w:t>www.codopesca.gob.do</w:t>
        </w:r>
      </w:hyperlink>
      <w:r>
        <w:t>), as the website</w:t>
      </w:r>
      <w:r w:rsidRPr="00FC0351">
        <w:t xml:space="preserve"> </w:t>
      </w:r>
      <w:r>
        <w:t>owner has prohibited access from devices located in Switzerland.</w:t>
      </w:r>
    </w:p>
  </w:footnote>
  <w:footnote w:id="356">
    <w:p w14:paraId="59581105" w14:textId="77777777" w:rsidR="00EB7374" w:rsidRPr="00655147" w:rsidRDefault="00EB7374" w:rsidP="00B0434B">
      <w:pPr>
        <w:pStyle w:val="FootnoteText"/>
      </w:pPr>
      <w:r>
        <w:rPr>
          <w:rStyle w:val="FootnoteReference"/>
          <w:lang w:val="es-ES_tradnl"/>
        </w:rPr>
        <w:footnoteRef/>
      </w:r>
      <w:r>
        <w:t xml:space="preserve"> FAO, Fishery and Aquaculture Country Profiles – </w:t>
      </w:r>
      <w:r w:rsidRPr="002F18BF">
        <w:t>Dominican Republic</w:t>
      </w:r>
      <w:r>
        <w:t xml:space="preserve">, June 2019. Viewed at: </w:t>
      </w:r>
      <w:hyperlink r:id="rId109" w:history="1">
        <w:r w:rsidRPr="00180805">
          <w:rPr>
            <w:rStyle w:val="Hyperlink"/>
            <w:lang w:val="es-ES_tradnl"/>
          </w:rPr>
          <w:t>https://www.fao.org/fishery/en/facp/dom?lang=es</w:t>
        </w:r>
      </w:hyperlink>
      <w:r>
        <w:t xml:space="preserve">. </w:t>
      </w:r>
    </w:p>
  </w:footnote>
  <w:footnote w:id="357">
    <w:p w14:paraId="2291C9F4" w14:textId="77777777" w:rsidR="00EB7374" w:rsidRPr="00655147" w:rsidRDefault="00EB7374" w:rsidP="00B0434B">
      <w:pPr>
        <w:pStyle w:val="FootnoteText"/>
      </w:pPr>
      <w:r>
        <w:rPr>
          <w:rStyle w:val="FootnoteReference"/>
          <w:lang w:val="es-ES_tradnl"/>
        </w:rPr>
        <w:footnoteRef/>
      </w:r>
      <w:r>
        <w:t xml:space="preserve"> </w:t>
      </w:r>
      <w:bookmarkStart w:id="316" w:name="_Hlk108685666"/>
      <w:r>
        <w:t xml:space="preserve">National Statistics Office (ONE), </w:t>
      </w:r>
      <w:r w:rsidRPr="0036722C">
        <w:rPr>
          <w:i/>
          <w:iCs/>
          <w:lang w:val="es-ES_tradnl"/>
        </w:rPr>
        <w:t>I Censo Nacional Pesquero 2019 - Informe general</w:t>
      </w:r>
      <w:r>
        <w:t xml:space="preserve">, August 2020. Viewed at: </w:t>
      </w:r>
      <w:hyperlink r:id="rId110" w:history="1">
        <w:r w:rsidRPr="004956B0">
          <w:rPr>
            <w:rStyle w:val="Hyperlink"/>
            <w:lang w:val="es-ES_tradnl"/>
          </w:rPr>
          <w:t>https://web.one.gob.do/media/ecsm23x3/informe-general-i-censo-pesquero-2019.pdf</w:t>
        </w:r>
      </w:hyperlink>
      <w:r>
        <w:t xml:space="preserve">. </w:t>
      </w:r>
      <w:bookmarkEnd w:id="316"/>
      <w:r>
        <w:t>Of the 14,929 people identified, 14,312 identified themselves as fishers (95.87%), 347 as skippers or boat owners (2.32%) and 267 as fishers and boat owners (1.79%).</w:t>
      </w:r>
    </w:p>
  </w:footnote>
  <w:footnote w:id="358">
    <w:p w14:paraId="4DFD6703" w14:textId="77777777" w:rsidR="00EB7374" w:rsidRPr="00655147" w:rsidRDefault="00EB7374" w:rsidP="00B0434B">
      <w:pPr>
        <w:pStyle w:val="FootnoteText"/>
      </w:pPr>
      <w:r>
        <w:rPr>
          <w:rStyle w:val="FootnoteReference"/>
          <w:lang w:val="es-ES_tradnl"/>
        </w:rPr>
        <w:footnoteRef/>
      </w:r>
      <w:r>
        <w:t xml:space="preserve"> National Statistics Office (ONE), </w:t>
      </w:r>
      <w:r w:rsidRPr="0036722C">
        <w:rPr>
          <w:i/>
          <w:iCs/>
          <w:lang w:val="es-ES_tradnl"/>
        </w:rPr>
        <w:t>Producción de los principales productos de pesca por año, según producto, 2002-2021</w:t>
      </w:r>
      <w:r>
        <w:t xml:space="preserve">. Viewed at: </w:t>
      </w:r>
      <w:hyperlink r:id="rId111" w:history="1">
        <w:r w:rsidRPr="00180805">
          <w:rPr>
            <w:rStyle w:val="Hyperlink"/>
            <w:lang w:val="es-ES_tradnl"/>
          </w:rPr>
          <w:t>https://www.one.gob.do/datos-y-estadisticas/temas/estadisticas-economicas/estadisticas-sectoriales/agricultura-ganaderia-silvicultura-y-pesca/pesca</w:t>
        </w:r>
      </w:hyperlink>
      <w:r>
        <w:t xml:space="preserve">. </w:t>
      </w:r>
    </w:p>
  </w:footnote>
  <w:footnote w:id="359">
    <w:p w14:paraId="0D65C1F9" w14:textId="77777777" w:rsidR="00EB7374" w:rsidRPr="00655147" w:rsidRDefault="00EB7374" w:rsidP="00B0434B">
      <w:pPr>
        <w:pStyle w:val="FootnoteText"/>
      </w:pPr>
      <w:r>
        <w:rPr>
          <w:rStyle w:val="FootnoteReference"/>
          <w:lang w:val="es-ES_tradnl"/>
        </w:rPr>
        <w:footnoteRef/>
      </w:r>
      <w:r>
        <w:t xml:space="preserve"> FAO, Fishery and Aquaculture Country Profiles – Dominican Republic, June 2019. Viewed at: </w:t>
      </w:r>
      <w:hyperlink r:id="rId112" w:history="1">
        <w:r w:rsidRPr="00180805">
          <w:rPr>
            <w:rStyle w:val="Hyperlink"/>
            <w:lang w:val="es-ES_tradnl"/>
          </w:rPr>
          <w:t>https://www.fao.org/fishery/en/facp/dom?lang=es</w:t>
        </w:r>
      </w:hyperlink>
      <w:r>
        <w:t xml:space="preserve">. </w:t>
      </w:r>
    </w:p>
  </w:footnote>
  <w:footnote w:id="360">
    <w:p w14:paraId="13CF25CE" w14:textId="77777777" w:rsidR="00EB7374" w:rsidRPr="00EE038B" w:rsidRDefault="00EB7374" w:rsidP="00B0434B">
      <w:pPr>
        <w:pStyle w:val="FootnoteText"/>
      </w:pPr>
      <w:r>
        <w:rPr>
          <w:rStyle w:val="FootnoteReference"/>
          <w:lang w:val="es-ES_tradnl"/>
        </w:rPr>
        <w:footnoteRef/>
      </w:r>
      <w:r>
        <w:t xml:space="preserve"> COMEX trade database.</w:t>
      </w:r>
    </w:p>
  </w:footnote>
  <w:footnote w:id="361">
    <w:p w14:paraId="0CEA1A18" w14:textId="77777777" w:rsidR="00EB7374" w:rsidRPr="007A2975" w:rsidRDefault="00EB7374" w:rsidP="00B0434B">
      <w:pPr>
        <w:pStyle w:val="FootnoteText"/>
      </w:pPr>
      <w:r>
        <w:rPr>
          <w:rStyle w:val="FootnoteReference"/>
        </w:rPr>
        <w:footnoteRef/>
      </w:r>
      <w:r>
        <w:t xml:space="preserve"> FAO, GLOBEFISH Market Profile – 2019, Dominican Republic. Viewed at: </w:t>
      </w:r>
      <w:hyperlink r:id="rId113" w:history="1">
        <w:r w:rsidRPr="00180805">
          <w:rPr>
            <w:rStyle w:val="Hyperlink"/>
            <w:lang w:val="es-ES_tradnl"/>
          </w:rPr>
          <w:t>https://www.fao.org/3/cb9693en/cb9693en.pdf</w:t>
        </w:r>
      </w:hyperlink>
      <w:r>
        <w:t xml:space="preserve">. </w:t>
      </w:r>
    </w:p>
  </w:footnote>
  <w:footnote w:id="362">
    <w:p w14:paraId="0BF7BE6C" w14:textId="77777777" w:rsidR="00EB7374" w:rsidRPr="002E7030" w:rsidRDefault="00EB7374" w:rsidP="00B0434B">
      <w:pPr>
        <w:pStyle w:val="FootnoteText"/>
      </w:pPr>
      <w:r>
        <w:rPr>
          <w:rStyle w:val="FootnoteReference"/>
        </w:rPr>
        <w:footnoteRef/>
      </w:r>
      <w:r>
        <w:t xml:space="preserve"> COMEX trade database.</w:t>
      </w:r>
    </w:p>
  </w:footnote>
  <w:footnote w:id="363">
    <w:p w14:paraId="3A50F573" w14:textId="77777777" w:rsidR="00EB7374" w:rsidRPr="00EE038B" w:rsidRDefault="00EB7374" w:rsidP="00B0434B">
      <w:pPr>
        <w:pStyle w:val="FootnoteText"/>
      </w:pPr>
      <w:r>
        <w:rPr>
          <w:rStyle w:val="FootnoteReference"/>
          <w:lang w:val="es-ES_tradnl"/>
        </w:rPr>
        <w:footnoteRef/>
      </w:r>
      <w:r>
        <w:t xml:space="preserve"> COMEX trade database.</w:t>
      </w:r>
    </w:p>
  </w:footnote>
  <w:footnote w:id="364">
    <w:p w14:paraId="4EE509CE" w14:textId="77777777" w:rsidR="00EB7374" w:rsidRPr="00655147" w:rsidRDefault="00EB7374" w:rsidP="00B0434B">
      <w:pPr>
        <w:pStyle w:val="FootnoteText"/>
      </w:pPr>
      <w:r>
        <w:rPr>
          <w:rStyle w:val="FootnoteReference"/>
          <w:lang w:val="es-ES_tradnl"/>
        </w:rPr>
        <w:footnoteRef/>
      </w:r>
      <w:r>
        <w:t xml:space="preserve"> Law No. 307-04 </w:t>
      </w:r>
      <w:r w:rsidRPr="002F18BF">
        <w:t>of 3 December 2004</w:t>
      </w:r>
      <w:r>
        <w:t xml:space="preserve"> creating the Dominican Fisheries and Aquaculture Council (</w:t>
      </w:r>
      <w:proofErr w:type="spellStart"/>
      <w:r>
        <w:t>CODOPESCA</w:t>
      </w:r>
      <w:proofErr w:type="spellEnd"/>
      <w:r>
        <w:t>).</w:t>
      </w:r>
    </w:p>
  </w:footnote>
  <w:footnote w:id="365">
    <w:p w14:paraId="43B5F32F" w14:textId="77777777" w:rsidR="00EB7374" w:rsidRPr="00655147" w:rsidRDefault="00EB7374" w:rsidP="00B0434B">
      <w:pPr>
        <w:pStyle w:val="FootnoteText"/>
      </w:pPr>
      <w:r>
        <w:rPr>
          <w:rStyle w:val="FootnoteReference"/>
          <w:lang w:val="es-ES_tradnl"/>
        </w:rPr>
        <w:footnoteRef/>
      </w:r>
      <w:r>
        <w:t xml:space="preserve"> Article 1 of Law No. 307-04 of 3 December 2004.</w:t>
      </w:r>
    </w:p>
  </w:footnote>
  <w:footnote w:id="366">
    <w:p w14:paraId="363F39A0" w14:textId="77777777" w:rsidR="00EB7374" w:rsidRPr="00655147" w:rsidRDefault="00EB7374" w:rsidP="00B0434B">
      <w:pPr>
        <w:pStyle w:val="FootnoteText"/>
      </w:pPr>
      <w:r>
        <w:rPr>
          <w:rStyle w:val="FootnoteReference"/>
          <w:lang w:val="es-ES_tradnl"/>
        </w:rPr>
        <w:footnoteRef/>
      </w:r>
      <w:r>
        <w:t xml:space="preserve"> General Law No. 64-00 </w:t>
      </w:r>
      <w:r w:rsidRPr="002F18BF">
        <w:t>of 18 August 2000</w:t>
      </w:r>
      <w:r>
        <w:t xml:space="preserve"> on the environment and natural resources. </w:t>
      </w:r>
    </w:p>
  </w:footnote>
  <w:footnote w:id="367">
    <w:p w14:paraId="32928A04" w14:textId="77777777" w:rsidR="00EB7374" w:rsidRPr="00655147" w:rsidRDefault="00EB7374" w:rsidP="00B0434B">
      <w:pPr>
        <w:pStyle w:val="FootnoteText"/>
      </w:pPr>
      <w:r>
        <w:rPr>
          <w:rStyle w:val="FootnoteReference"/>
          <w:lang w:val="es-ES_tradnl"/>
        </w:rPr>
        <w:footnoteRef/>
      </w:r>
      <w:r>
        <w:t xml:space="preserve"> Law No. 333-15 </w:t>
      </w:r>
      <w:r w:rsidRPr="002F18BF">
        <w:t>of 11 December 2015</w:t>
      </w:r>
      <w:r>
        <w:t xml:space="preserve"> on biodiversity.</w:t>
      </w:r>
    </w:p>
  </w:footnote>
  <w:footnote w:id="368">
    <w:p w14:paraId="3AC57B98" w14:textId="77777777" w:rsidR="00EB7374" w:rsidRPr="00655147" w:rsidRDefault="00EB7374" w:rsidP="00B0434B">
      <w:pPr>
        <w:pStyle w:val="FootnoteText"/>
      </w:pPr>
      <w:r>
        <w:rPr>
          <w:rStyle w:val="FootnoteReference"/>
          <w:lang w:val="es-ES_tradnl"/>
        </w:rPr>
        <w:footnoteRef/>
      </w:r>
      <w:r>
        <w:t xml:space="preserve"> Article 15 of Law No. 307-04 of 3 December 2004.</w:t>
      </w:r>
    </w:p>
  </w:footnote>
  <w:footnote w:id="369">
    <w:p w14:paraId="45233C47" w14:textId="77777777" w:rsidR="00EB7374" w:rsidRPr="00655147" w:rsidRDefault="00EB7374" w:rsidP="00B0434B">
      <w:pPr>
        <w:pStyle w:val="FootnoteText"/>
      </w:pPr>
      <w:r>
        <w:rPr>
          <w:rStyle w:val="FootnoteReference"/>
          <w:lang w:val="es-ES_tradnl"/>
        </w:rPr>
        <w:footnoteRef/>
      </w:r>
      <w:r>
        <w:t xml:space="preserve"> Article 16 of Law No. 307-04 of 3 December 2004.</w:t>
      </w:r>
    </w:p>
  </w:footnote>
  <w:footnote w:id="370">
    <w:p w14:paraId="73CC4343" w14:textId="77777777" w:rsidR="00EB7374" w:rsidRPr="00655147" w:rsidRDefault="00EB7374" w:rsidP="00B0434B">
      <w:pPr>
        <w:pStyle w:val="FootnoteText"/>
      </w:pPr>
      <w:r>
        <w:rPr>
          <w:rStyle w:val="FootnoteReference"/>
          <w:lang w:val="es-ES_tradnl"/>
        </w:rPr>
        <w:footnoteRef/>
      </w:r>
      <w:r>
        <w:t xml:space="preserve"> Article 19 of Law No. 307-04 of 3 December 2004.</w:t>
      </w:r>
    </w:p>
  </w:footnote>
  <w:footnote w:id="371">
    <w:p w14:paraId="7E3D4883" w14:textId="77777777" w:rsidR="00EB7374" w:rsidRPr="00655147" w:rsidRDefault="00EB7374" w:rsidP="00B0434B">
      <w:pPr>
        <w:pStyle w:val="FootnoteText"/>
      </w:pPr>
      <w:r>
        <w:rPr>
          <w:rStyle w:val="FootnoteReference"/>
          <w:lang w:val="es-ES_tradnl"/>
        </w:rPr>
        <w:footnoteRef/>
      </w:r>
      <w:r>
        <w:t xml:space="preserve"> Article 70 of Law No. 307-04 of 3 December 2004.</w:t>
      </w:r>
    </w:p>
  </w:footnote>
  <w:footnote w:id="372">
    <w:p w14:paraId="1013CE71" w14:textId="77777777" w:rsidR="00EB7374" w:rsidRPr="0007364A" w:rsidRDefault="00EB7374" w:rsidP="00B0434B">
      <w:pPr>
        <w:pStyle w:val="FootnoteText"/>
      </w:pPr>
      <w:r>
        <w:rPr>
          <w:rStyle w:val="FootnoteReference"/>
        </w:rPr>
        <w:footnoteRef/>
      </w:r>
      <w:r>
        <w:t xml:space="preserve"> National Statistics Office (ONE), </w:t>
      </w:r>
      <w:r w:rsidRPr="0036722C">
        <w:rPr>
          <w:i/>
          <w:iCs/>
          <w:lang w:val="es-ES_tradnl"/>
        </w:rPr>
        <w:t>I Censo Nacional Pesquero 2019 - Informe general</w:t>
      </w:r>
      <w:r>
        <w:t xml:space="preserve">, August 2020. Viewed at: </w:t>
      </w:r>
      <w:hyperlink r:id="rId114" w:history="1">
        <w:r w:rsidRPr="00180805">
          <w:rPr>
            <w:rStyle w:val="Hyperlink"/>
            <w:lang w:val="es-ES_tradnl"/>
          </w:rPr>
          <w:t>https://web.one.gob.do/media/ecsm23x3/informe-general-i-censo-pesquero-2019.pdf</w:t>
        </w:r>
      </w:hyperlink>
      <w:r>
        <w:t xml:space="preserve">. </w:t>
      </w:r>
    </w:p>
  </w:footnote>
  <w:footnote w:id="373">
    <w:p w14:paraId="62E37A79" w14:textId="77777777" w:rsidR="00EB7374" w:rsidRPr="00655147" w:rsidRDefault="00EB7374" w:rsidP="00B0434B">
      <w:pPr>
        <w:pStyle w:val="FootnoteText"/>
      </w:pPr>
      <w:r>
        <w:rPr>
          <w:rStyle w:val="FootnoteReference"/>
          <w:lang w:val="es-ES_tradnl"/>
        </w:rPr>
        <w:footnoteRef/>
      </w:r>
      <w:r>
        <w:t xml:space="preserve"> Article 17 of Law No. 307-04 of 3 December 2004.</w:t>
      </w:r>
    </w:p>
  </w:footnote>
  <w:footnote w:id="374">
    <w:p w14:paraId="4BDE615A" w14:textId="77777777" w:rsidR="00EB7374" w:rsidRPr="00655147" w:rsidRDefault="00EB7374" w:rsidP="00B0434B">
      <w:pPr>
        <w:pStyle w:val="FootnoteText"/>
      </w:pPr>
      <w:r>
        <w:rPr>
          <w:rStyle w:val="FootnoteReference"/>
          <w:lang w:val="es-ES_tradnl"/>
        </w:rPr>
        <w:footnoteRef/>
      </w:r>
      <w:r>
        <w:t xml:space="preserve"> FAO, GLOBEFISH Market Profile – 2019, Dominican Republic. Viewed at: </w:t>
      </w:r>
      <w:hyperlink r:id="rId115" w:history="1">
        <w:r w:rsidRPr="00180805">
          <w:rPr>
            <w:rStyle w:val="Hyperlink"/>
            <w:lang w:val="es-ES_tradnl"/>
          </w:rPr>
          <w:t>https://www.fao.org/3/cb9693en/cb9693en.pdf</w:t>
        </w:r>
      </w:hyperlink>
      <w:r>
        <w:t xml:space="preserve">. </w:t>
      </w:r>
    </w:p>
  </w:footnote>
  <w:footnote w:id="375">
    <w:p w14:paraId="2D499B07" w14:textId="77777777" w:rsidR="00EB7374" w:rsidRPr="00655147" w:rsidRDefault="00EB7374" w:rsidP="00B0434B">
      <w:pPr>
        <w:pStyle w:val="FootnoteText"/>
      </w:pPr>
      <w:r>
        <w:rPr>
          <w:rStyle w:val="FootnoteReference"/>
          <w:lang w:val="es-ES_tradnl"/>
        </w:rPr>
        <w:footnoteRef/>
      </w:r>
      <w:r>
        <w:t xml:space="preserve"> Article 22 of Law No. 307-04 of 3 December 2004.</w:t>
      </w:r>
    </w:p>
  </w:footnote>
  <w:footnote w:id="376">
    <w:p w14:paraId="7BCD3381" w14:textId="77777777" w:rsidR="00EB7374" w:rsidRPr="00655147" w:rsidRDefault="00EB7374" w:rsidP="00B0434B">
      <w:pPr>
        <w:pStyle w:val="FootnoteText"/>
      </w:pPr>
      <w:r>
        <w:rPr>
          <w:rStyle w:val="FootnoteReference"/>
          <w:lang w:val="es-ES_tradnl"/>
        </w:rPr>
        <w:footnoteRef/>
      </w:r>
      <w:r>
        <w:t xml:space="preserve"> Article 24 of Law No. 307-04 of 3 December 2004.</w:t>
      </w:r>
    </w:p>
  </w:footnote>
  <w:footnote w:id="377">
    <w:p w14:paraId="0A3DE583" w14:textId="77777777" w:rsidR="00EB7374" w:rsidRPr="00655147" w:rsidRDefault="00EB7374" w:rsidP="00B0434B">
      <w:pPr>
        <w:pStyle w:val="FootnoteText"/>
      </w:pPr>
      <w:r>
        <w:rPr>
          <w:rStyle w:val="FootnoteReference"/>
          <w:lang w:val="es-ES_tradnl"/>
        </w:rPr>
        <w:footnoteRef/>
      </w:r>
      <w:r>
        <w:t xml:space="preserve"> Article 71 of Law No. 307-04 of 3 December 2004.</w:t>
      </w:r>
    </w:p>
  </w:footnote>
  <w:footnote w:id="378">
    <w:p w14:paraId="039A79A2" w14:textId="77777777" w:rsidR="00EB7374" w:rsidRPr="00655147" w:rsidRDefault="00EB7374" w:rsidP="00B0434B">
      <w:pPr>
        <w:pStyle w:val="FootnoteText"/>
      </w:pPr>
      <w:r>
        <w:rPr>
          <w:rStyle w:val="FootnoteReference"/>
          <w:lang w:val="es-ES_tradnl"/>
        </w:rPr>
        <w:footnoteRef/>
      </w:r>
      <w:r>
        <w:t xml:space="preserve"> The importation of specimens or parts of species the catching of which is subject to time or other restrictions in the Dominican Republic requires prior authorization from </w:t>
      </w:r>
      <w:proofErr w:type="spellStart"/>
      <w:r>
        <w:t>CODOPESCA</w:t>
      </w:r>
      <w:proofErr w:type="spellEnd"/>
      <w:r>
        <w:t>.</w:t>
      </w:r>
    </w:p>
  </w:footnote>
  <w:footnote w:id="379">
    <w:p w14:paraId="5838E151" w14:textId="77777777" w:rsidR="00EB7374" w:rsidRPr="00655147" w:rsidRDefault="00EB7374" w:rsidP="00B0434B">
      <w:pPr>
        <w:pStyle w:val="FootnoteText"/>
      </w:pPr>
      <w:r>
        <w:rPr>
          <w:rStyle w:val="FootnoteReference"/>
          <w:lang w:val="es-ES_tradnl"/>
        </w:rPr>
        <w:footnoteRef/>
      </w:r>
      <w:r>
        <w:t xml:space="preserve"> Article 68 of Law No. 307-04 of 3 December 2004.</w:t>
      </w:r>
    </w:p>
  </w:footnote>
  <w:footnote w:id="380">
    <w:p w14:paraId="1928B360" w14:textId="77777777" w:rsidR="00EB7374" w:rsidRPr="00655147" w:rsidRDefault="00EB7374" w:rsidP="00B0434B">
      <w:pPr>
        <w:pStyle w:val="FootnoteText"/>
      </w:pPr>
      <w:r>
        <w:rPr>
          <w:rStyle w:val="FootnoteReference"/>
          <w:lang w:val="es-ES_tradnl"/>
        </w:rPr>
        <w:footnoteRef/>
      </w:r>
      <w:r>
        <w:t xml:space="preserve"> Article 26 of Law No. 307-04 of 3 December 2004.</w:t>
      </w:r>
    </w:p>
  </w:footnote>
  <w:footnote w:id="381">
    <w:p w14:paraId="49762046" w14:textId="77777777" w:rsidR="00EB7374" w:rsidRPr="00655147" w:rsidRDefault="00EB7374" w:rsidP="00B0434B">
      <w:pPr>
        <w:pStyle w:val="FootnoteText"/>
      </w:pPr>
      <w:r>
        <w:rPr>
          <w:rStyle w:val="FootnoteReference"/>
          <w:lang w:val="es-ES_tradnl"/>
        </w:rPr>
        <w:footnoteRef/>
      </w:r>
      <w:r>
        <w:t xml:space="preserve"> Article 69 of Law No. 307-04 of 3 December 2004.</w:t>
      </w:r>
    </w:p>
  </w:footnote>
  <w:footnote w:id="382">
    <w:p w14:paraId="53C0F253" w14:textId="77777777" w:rsidR="00EB7374" w:rsidRPr="00655147" w:rsidRDefault="00EB7374" w:rsidP="00B0434B">
      <w:pPr>
        <w:pStyle w:val="FootnoteText"/>
      </w:pPr>
      <w:r>
        <w:rPr>
          <w:rStyle w:val="FootnoteReference"/>
          <w:lang w:val="es-ES_tradnl"/>
        </w:rPr>
        <w:footnoteRef/>
      </w:r>
      <w:r>
        <w:t xml:space="preserve"> Fish and shellfish are considered to have been processed if they have been salted, dried, dehydrated, filleted, smoked, cured, preserved in brine and/or vinegar, and/or packed in tins or glass containers. </w:t>
      </w:r>
    </w:p>
  </w:footnote>
  <w:footnote w:id="383">
    <w:p w14:paraId="2C1D2C46" w14:textId="77777777" w:rsidR="00EB7374" w:rsidRPr="00655147" w:rsidRDefault="00EB7374" w:rsidP="00B0434B">
      <w:pPr>
        <w:pStyle w:val="FootnoteText"/>
      </w:pPr>
      <w:r>
        <w:rPr>
          <w:rStyle w:val="FootnoteReference"/>
          <w:lang w:val="es-ES_tradnl"/>
        </w:rPr>
        <w:footnoteRef/>
      </w:r>
      <w:r>
        <w:t xml:space="preserve"> Article 25 of Law No. 307-04 of 3 December 2004.</w:t>
      </w:r>
    </w:p>
  </w:footnote>
  <w:footnote w:id="384">
    <w:p w14:paraId="76385643" w14:textId="77777777" w:rsidR="00EB7374" w:rsidRPr="00655147" w:rsidRDefault="00EB7374" w:rsidP="00B0434B">
      <w:pPr>
        <w:pStyle w:val="FootnoteText"/>
      </w:pPr>
      <w:r>
        <w:rPr>
          <w:rStyle w:val="FootnoteReference"/>
          <w:lang w:val="es-ES_tradnl"/>
        </w:rPr>
        <w:footnoteRef/>
      </w:r>
      <w:r>
        <w:t xml:space="preserve"> Article 25 of Law No. 307-04 of 3 December 2004.</w:t>
      </w:r>
    </w:p>
  </w:footnote>
  <w:footnote w:id="385">
    <w:p w14:paraId="6A524A90" w14:textId="77777777" w:rsidR="00EB7374" w:rsidRPr="00D3210A" w:rsidRDefault="00EB7374" w:rsidP="00B0434B">
      <w:pPr>
        <w:pStyle w:val="FootnoteText"/>
      </w:pPr>
      <w:r>
        <w:rPr>
          <w:rStyle w:val="FootnoteReference"/>
        </w:rPr>
        <w:footnoteRef/>
      </w:r>
      <w:r>
        <w:t xml:space="preserve"> Article 67 of Law No. 307-04 of 3 December 2004.</w:t>
      </w:r>
    </w:p>
  </w:footnote>
  <w:footnote w:id="386">
    <w:p w14:paraId="72036AD3" w14:textId="77777777" w:rsidR="00EB7374" w:rsidRPr="00EB31D3" w:rsidRDefault="00EB7374" w:rsidP="00B0434B">
      <w:pPr>
        <w:pStyle w:val="FootnoteText"/>
      </w:pPr>
      <w:r>
        <w:rPr>
          <w:rStyle w:val="FootnoteReference"/>
        </w:rPr>
        <w:footnoteRef/>
      </w:r>
      <w:r w:rsidRPr="00915D15">
        <w:rPr>
          <w:lang w:val="es-ES"/>
        </w:rPr>
        <w:t xml:space="preserve"> </w:t>
      </w:r>
      <w:r>
        <w:rPr>
          <w:lang w:val="es-ES"/>
        </w:rPr>
        <w:t>"</w:t>
      </w:r>
      <w:proofErr w:type="spellStart"/>
      <w:r w:rsidRPr="00915D15">
        <w:rPr>
          <w:i/>
          <w:iCs/>
          <w:lang w:val="es-ES"/>
        </w:rPr>
        <w:t>Codopesca</w:t>
      </w:r>
      <w:proofErr w:type="spellEnd"/>
      <w:r w:rsidRPr="00915D15">
        <w:rPr>
          <w:i/>
          <w:iCs/>
          <w:lang w:val="es-ES"/>
        </w:rPr>
        <w:t xml:space="preserve"> diseña un plan de registro de comercializadores en Santo Domingo</w:t>
      </w:r>
      <w:r w:rsidRPr="00915D15">
        <w:rPr>
          <w:lang w:val="es-ES"/>
        </w:rPr>
        <w:t>,</w:t>
      </w:r>
      <w:r>
        <w:rPr>
          <w:lang w:val="es-ES"/>
        </w:rPr>
        <w:t>"</w:t>
      </w:r>
      <w:r w:rsidRPr="00915D15">
        <w:rPr>
          <w:lang w:val="es-ES"/>
        </w:rPr>
        <w:t xml:space="preserve"> 19 March 2021. </w:t>
      </w:r>
      <w:r>
        <w:t xml:space="preserve">Viewed at: </w:t>
      </w:r>
      <w:hyperlink r:id="rId116" w:history="1">
        <w:r w:rsidRPr="00180805">
          <w:rPr>
            <w:rStyle w:val="Hyperlink"/>
          </w:rPr>
          <w:t>https://industriaspesqueras.com/noticia-65139-sec-Portada</w:t>
        </w:r>
      </w:hyperlink>
      <w:r>
        <w:t xml:space="preserve">. </w:t>
      </w:r>
    </w:p>
  </w:footnote>
  <w:footnote w:id="387">
    <w:p w14:paraId="08260BCE" w14:textId="77777777" w:rsidR="00EB7374" w:rsidRPr="005B3680" w:rsidRDefault="00EB7374" w:rsidP="00B0434B">
      <w:pPr>
        <w:pStyle w:val="FootnoteText"/>
      </w:pPr>
      <w:r>
        <w:rPr>
          <w:rStyle w:val="FootnoteReference"/>
        </w:rPr>
        <w:footnoteRef/>
      </w:r>
      <w:r>
        <w:t xml:space="preserve"> Article 74 of </w:t>
      </w:r>
      <w:bookmarkStart w:id="319" w:name="_Hlk108772765"/>
      <w:r>
        <w:t>Law No. 307-04 of 3 December 2004.</w:t>
      </w:r>
      <w:bookmarkEnd w:id="319"/>
    </w:p>
  </w:footnote>
  <w:footnote w:id="388">
    <w:p w14:paraId="369F87B9" w14:textId="77777777" w:rsidR="00EB7374" w:rsidRPr="008A763F" w:rsidRDefault="00EB7374" w:rsidP="00B0434B">
      <w:pPr>
        <w:pStyle w:val="FootnoteText"/>
      </w:pPr>
      <w:r>
        <w:rPr>
          <w:rStyle w:val="FootnoteReference"/>
        </w:rPr>
        <w:footnoteRef/>
      </w:r>
      <w:r>
        <w:t xml:space="preserve"> FAO. Viewed at: </w:t>
      </w:r>
      <w:hyperlink r:id="rId117" w:history="1">
        <w:r w:rsidRPr="00446CDE">
          <w:rPr>
            <w:rStyle w:val="Hyperlink"/>
          </w:rPr>
          <w:t>https://www.fao.org/fishery/en/organization/search</w:t>
        </w:r>
      </w:hyperlink>
      <w:r>
        <w:t>.</w:t>
      </w:r>
    </w:p>
  </w:footnote>
  <w:footnote w:id="389">
    <w:p w14:paraId="21268C4A" w14:textId="77777777" w:rsidR="00EB7374" w:rsidRDefault="00EB7374">
      <w:pPr>
        <w:pStyle w:val="FootnoteText"/>
      </w:pPr>
      <w:r>
        <w:rPr>
          <w:rStyle w:val="FootnoteReference"/>
        </w:rPr>
        <w:footnoteRef/>
      </w:r>
      <w:r>
        <w:t xml:space="preserve"> </w:t>
      </w:r>
      <w:r w:rsidRPr="004572E2">
        <w:t xml:space="preserve">A map of mineral resources in the Dominican Republic. Online information from the National Geological Service: </w:t>
      </w:r>
      <w:hyperlink r:id="rId118" w:history="1">
        <w:r w:rsidRPr="004572E2">
          <w:rPr>
            <w:rStyle w:val="Hyperlink"/>
          </w:rPr>
          <w:t>https://sgn.gob.do/images/docs/map_rec_minerales.pdf</w:t>
        </w:r>
      </w:hyperlink>
      <w:r w:rsidRPr="004572E2">
        <w:t>.</w:t>
      </w:r>
    </w:p>
  </w:footnote>
  <w:footnote w:id="390">
    <w:p w14:paraId="5EE0C2AE" w14:textId="77777777" w:rsidR="00EB7374" w:rsidRDefault="00EB7374">
      <w:pPr>
        <w:pStyle w:val="FootnoteText"/>
      </w:pPr>
      <w:r>
        <w:rPr>
          <w:rStyle w:val="FootnoteReference"/>
        </w:rPr>
        <w:footnoteRef/>
      </w:r>
      <w:r>
        <w:t xml:space="preserve"> </w:t>
      </w:r>
      <w:r w:rsidRPr="004572E2">
        <w:t>Ferronickel is an alloy of iron and nickel obtained from the carbothermic reduction of nickel minerals. In the Dominican Republic, its production is highly dependent on the electricity supply.</w:t>
      </w:r>
    </w:p>
  </w:footnote>
  <w:footnote w:id="391">
    <w:p w14:paraId="6F997835" w14:textId="77777777" w:rsidR="00EB7374" w:rsidRDefault="00EB7374">
      <w:pPr>
        <w:pStyle w:val="FootnoteText"/>
      </w:pPr>
      <w:r>
        <w:rPr>
          <w:rStyle w:val="FootnoteReference"/>
        </w:rPr>
        <w:footnoteRef/>
      </w:r>
      <w:r>
        <w:t xml:space="preserve"> </w:t>
      </w:r>
      <w:r w:rsidRPr="004572E2">
        <w:t xml:space="preserve">This mineral has been exploited by a private consortium (Falconbridge </w:t>
      </w:r>
      <w:proofErr w:type="spellStart"/>
      <w:r w:rsidRPr="004572E2">
        <w:t>Dominicana</w:t>
      </w:r>
      <w:proofErr w:type="spellEnd"/>
      <w:r w:rsidRPr="004572E2">
        <w:t>), in which the Dominican State holds a 10</w:t>
      </w:r>
      <w:r>
        <w:t>%</w:t>
      </w:r>
      <w:r w:rsidRPr="004572E2">
        <w:t xml:space="preserve"> stake; the remaining shares are held by foreign investors, with shares changing hands several times in recent years. The exploitation concession for the province of </w:t>
      </w:r>
      <w:proofErr w:type="spellStart"/>
      <w:r w:rsidRPr="004572E2">
        <w:t>Monseñor</w:t>
      </w:r>
      <w:proofErr w:type="spellEnd"/>
      <w:r w:rsidRPr="004572E2">
        <w:t xml:space="preserve"> </w:t>
      </w:r>
      <w:proofErr w:type="spellStart"/>
      <w:r w:rsidRPr="004572E2">
        <w:t>Nouel</w:t>
      </w:r>
      <w:proofErr w:type="spellEnd"/>
      <w:r w:rsidRPr="004572E2">
        <w:t xml:space="preserve"> was awarded in 1958; since then, the contract has been extended or amended three times (in 1969, 1988 and 1994). Ferronickel production was intermittent between 2008 and 2016, as a result of problems with the electricity supply, among other things.</w:t>
      </w:r>
    </w:p>
  </w:footnote>
  <w:footnote w:id="392">
    <w:p w14:paraId="6DA571C7" w14:textId="77777777" w:rsidR="00EB7374" w:rsidRDefault="00EB7374">
      <w:pPr>
        <w:pStyle w:val="FootnoteText"/>
      </w:pPr>
      <w:r>
        <w:rPr>
          <w:rStyle w:val="FootnoteReference"/>
        </w:rPr>
        <w:footnoteRef/>
      </w:r>
      <w:r>
        <w:t xml:space="preserve"> </w:t>
      </w:r>
      <w:r w:rsidRPr="004572E2">
        <w:t xml:space="preserve">In 2003, the foreign-owned </w:t>
      </w:r>
      <w:proofErr w:type="spellStart"/>
      <w:r w:rsidRPr="004572E2">
        <w:t>Corporación</w:t>
      </w:r>
      <w:proofErr w:type="spellEnd"/>
      <w:r w:rsidRPr="004572E2">
        <w:t xml:space="preserve"> Minera </w:t>
      </w:r>
      <w:proofErr w:type="spellStart"/>
      <w:r w:rsidRPr="004572E2">
        <w:t>Dominicana</w:t>
      </w:r>
      <w:proofErr w:type="spellEnd"/>
      <w:r w:rsidRPr="004572E2">
        <w:t xml:space="preserve"> (Dominican Mining Corporation, or </w:t>
      </w:r>
      <w:proofErr w:type="spellStart"/>
      <w:r w:rsidRPr="004572E2">
        <w:t>CORMIDOM</w:t>
      </w:r>
      <w:proofErr w:type="spellEnd"/>
      <w:r w:rsidRPr="004572E2">
        <w:t xml:space="preserve">) obtained part of the concession initially awarded to Falconbridge </w:t>
      </w:r>
      <w:proofErr w:type="spellStart"/>
      <w:r w:rsidRPr="004572E2">
        <w:t>Dominicana</w:t>
      </w:r>
      <w:proofErr w:type="spellEnd"/>
      <w:r w:rsidRPr="004572E2">
        <w:t xml:space="preserve"> in the provinces of </w:t>
      </w:r>
      <w:proofErr w:type="spellStart"/>
      <w:r w:rsidRPr="004572E2">
        <w:t>Monseñor</w:t>
      </w:r>
      <w:proofErr w:type="spellEnd"/>
      <w:r w:rsidRPr="004572E2">
        <w:t xml:space="preserve"> </w:t>
      </w:r>
      <w:proofErr w:type="spellStart"/>
      <w:r w:rsidRPr="004572E2">
        <w:t>Nouel</w:t>
      </w:r>
      <w:proofErr w:type="spellEnd"/>
      <w:r w:rsidRPr="004572E2">
        <w:t xml:space="preserve"> and Sánchez Ramírez to operate the Cerro de </w:t>
      </w:r>
      <w:proofErr w:type="spellStart"/>
      <w:r w:rsidRPr="004572E2">
        <w:t>Maimón</w:t>
      </w:r>
      <w:proofErr w:type="spellEnd"/>
      <w:r w:rsidRPr="004572E2">
        <w:t xml:space="preserve"> mine. In 2012, two other companies (Pueblo Viejo </w:t>
      </w:r>
      <w:proofErr w:type="spellStart"/>
      <w:r w:rsidRPr="004572E2">
        <w:t>Dominicana</w:t>
      </w:r>
      <w:proofErr w:type="spellEnd"/>
      <w:r w:rsidRPr="004572E2">
        <w:t xml:space="preserve"> Corporation and Las Lagunas Limited) began operating under special contracts. The first began operating the Pueblo Viejo mine, while the second recovered mineral residue deposits from the Las</w:t>
      </w:r>
      <w:r>
        <w:t> </w:t>
      </w:r>
      <w:r w:rsidRPr="004572E2">
        <w:t>Lagunas tailings dam.</w:t>
      </w:r>
    </w:p>
  </w:footnote>
  <w:footnote w:id="393">
    <w:p w14:paraId="7F0AC81D" w14:textId="77777777" w:rsidR="00EB7374" w:rsidRDefault="00EB7374">
      <w:pPr>
        <w:pStyle w:val="FootnoteText"/>
      </w:pPr>
      <w:r>
        <w:rPr>
          <w:rStyle w:val="FootnoteReference"/>
        </w:rPr>
        <w:footnoteRef/>
      </w:r>
      <w:r>
        <w:t xml:space="preserve"> </w:t>
      </w:r>
      <w:r w:rsidRPr="004572E2">
        <w:t>Between 2013 and 2015, the total value of bauxite exports was USD 81 million.</w:t>
      </w:r>
    </w:p>
  </w:footnote>
  <w:footnote w:id="394">
    <w:p w14:paraId="5BAC053B" w14:textId="77777777" w:rsidR="00EB7374" w:rsidRDefault="00EB7374">
      <w:pPr>
        <w:pStyle w:val="FootnoteText"/>
      </w:pPr>
      <w:r>
        <w:rPr>
          <w:rStyle w:val="FootnoteReference"/>
        </w:rPr>
        <w:footnoteRef/>
      </w:r>
      <w:r>
        <w:t xml:space="preserve"> </w:t>
      </w:r>
      <w:r w:rsidRPr="004572E2">
        <w:t>Average value based on information provided by the authorities for the period 2017–20.</w:t>
      </w:r>
    </w:p>
  </w:footnote>
  <w:footnote w:id="395">
    <w:p w14:paraId="71519CA5" w14:textId="77777777" w:rsidR="00EB7374" w:rsidRDefault="00EB7374">
      <w:pPr>
        <w:pStyle w:val="FootnoteText"/>
      </w:pPr>
      <w:r>
        <w:rPr>
          <w:rStyle w:val="FootnoteReference"/>
        </w:rPr>
        <w:footnoteRef/>
      </w:r>
      <w:r>
        <w:t xml:space="preserve"> </w:t>
      </w:r>
      <w:r w:rsidRPr="004572E2">
        <w:t>Law No. 79-03.</w:t>
      </w:r>
    </w:p>
  </w:footnote>
  <w:footnote w:id="396">
    <w:p w14:paraId="62F35B94" w14:textId="77777777" w:rsidR="00EB7374" w:rsidRDefault="00EB7374">
      <w:pPr>
        <w:pStyle w:val="FootnoteText"/>
      </w:pPr>
      <w:r>
        <w:rPr>
          <w:rStyle w:val="FootnoteReference"/>
        </w:rPr>
        <w:footnoteRef/>
      </w:r>
      <w:r>
        <w:t xml:space="preserve"> </w:t>
      </w:r>
      <w:r w:rsidRPr="004572E2">
        <w:t>These agreements can only be entered into by the executive branch with the approval of the National</w:t>
      </w:r>
      <w:r>
        <w:t> </w:t>
      </w:r>
      <w:r w:rsidRPr="004572E2">
        <w:t>Congress.</w:t>
      </w:r>
    </w:p>
  </w:footnote>
  <w:footnote w:id="397">
    <w:p w14:paraId="2D0D1D80" w14:textId="77777777" w:rsidR="00EB7374" w:rsidRDefault="00EB7374">
      <w:pPr>
        <w:pStyle w:val="FootnoteText"/>
      </w:pPr>
      <w:r>
        <w:rPr>
          <w:rStyle w:val="FootnoteReference"/>
        </w:rPr>
        <w:footnoteRef/>
      </w:r>
      <w:r>
        <w:t xml:space="preserve"> </w:t>
      </w:r>
      <w:r w:rsidRPr="004572E2">
        <w:t xml:space="preserve">To obtain an exploitation concessions, additional information is required, such as an environmental feasibility study. The application requirements for both exploration and exploitation concessions are available online. MEM. Viewed at: </w:t>
      </w:r>
      <w:hyperlink r:id="rId119" w:history="1">
        <w:r w:rsidRPr="004572E2">
          <w:rPr>
            <w:rStyle w:val="Hyperlink"/>
          </w:rPr>
          <w:t>https://mem.gob.do/servicios/concesion-de-exploracion-minera-metalica-y-no-metalica</w:t>
        </w:r>
      </w:hyperlink>
      <w:r w:rsidRPr="004572E2">
        <w:t>.</w:t>
      </w:r>
    </w:p>
  </w:footnote>
  <w:footnote w:id="398">
    <w:p w14:paraId="6B317E15" w14:textId="77777777" w:rsidR="00EB7374" w:rsidRDefault="00EB7374">
      <w:pPr>
        <w:pStyle w:val="FootnoteText"/>
      </w:pPr>
      <w:r>
        <w:rPr>
          <w:rStyle w:val="FootnoteReference"/>
        </w:rPr>
        <w:footnoteRef/>
      </w:r>
      <w:r>
        <w:t xml:space="preserve"> </w:t>
      </w:r>
      <w:r w:rsidRPr="004572E2">
        <w:t>The cost of an environmental licence varies depending on the type of exploitation (metal or non</w:t>
      </w:r>
      <w:r>
        <w:noBreakHyphen/>
      </w:r>
      <w:r w:rsidRPr="004572E2">
        <w:t>metal) and the size of the investment.</w:t>
      </w:r>
    </w:p>
  </w:footnote>
  <w:footnote w:id="399">
    <w:p w14:paraId="64BEC983" w14:textId="77777777" w:rsidR="00EB7374" w:rsidRDefault="00EB7374">
      <w:pPr>
        <w:pStyle w:val="FootnoteText"/>
      </w:pPr>
      <w:r>
        <w:rPr>
          <w:rStyle w:val="FootnoteReference"/>
        </w:rPr>
        <w:footnoteRef/>
      </w:r>
      <w:r>
        <w:t xml:space="preserve"> </w:t>
      </w:r>
      <w:proofErr w:type="spellStart"/>
      <w:r w:rsidRPr="004572E2">
        <w:rPr>
          <w:i/>
          <w:iCs/>
        </w:rPr>
        <w:t>Mapa</w:t>
      </w:r>
      <w:proofErr w:type="spellEnd"/>
      <w:r w:rsidRPr="004572E2">
        <w:rPr>
          <w:i/>
          <w:iCs/>
        </w:rPr>
        <w:t xml:space="preserve"> General de </w:t>
      </w:r>
      <w:proofErr w:type="spellStart"/>
      <w:r w:rsidRPr="004572E2">
        <w:rPr>
          <w:i/>
          <w:iCs/>
        </w:rPr>
        <w:t>Derechos</w:t>
      </w:r>
      <w:proofErr w:type="spellEnd"/>
      <w:r w:rsidRPr="004572E2">
        <w:rPr>
          <w:i/>
          <w:iCs/>
        </w:rPr>
        <w:t xml:space="preserve"> </w:t>
      </w:r>
      <w:proofErr w:type="spellStart"/>
      <w:r w:rsidRPr="004572E2">
        <w:rPr>
          <w:i/>
          <w:iCs/>
        </w:rPr>
        <w:t>Mineros</w:t>
      </w:r>
      <w:proofErr w:type="spellEnd"/>
      <w:r w:rsidRPr="004572E2">
        <w:t xml:space="preserve">. </w:t>
      </w:r>
      <w:proofErr w:type="spellStart"/>
      <w:r w:rsidRPr="004572E2">
        <w:t>DGM</w:t>
      </w:r>
      <w:proofErr w:type="spellEnd"/>
      <w:r w:rsidRPr="004572E2">
        <w:t xml:space="preserve"> online information: </w:t>
      </w:r>
      <w:hyperlink r:id="rId120" w:history="1">
        <w:r w:rsidRPr="004572E2">
          <w:rPr>
            <w:rStyle w:val="Hyperlink"/>
          </w:rPr>
          <w:t>https://drive.google.com/open?id=1BuRAH9vbjR_Gd4dy8ncSuyAAR9A&amp;usp=sharing</w:t>
        </w:r>
      </w:hyperlink>
      <w:r w:rsidRPr="004572E2">
        <w:t>.</w:t>
      </w:r>
    </w:p>
  </w:footnote>
  <w:footnote w:id="400">
    <w:p w14:paraId="0645975C" w14:textId="77777777" w:rsidR="00EB7374" w:rsidRDefault="00EB7374">
      <w:pPr>
        <w:pStyle w:val="FootnoteText"/>
      </w:pPr>
      <w:r>
        <w:rPr>
          <w:rStyle w:val="FootnoteReference"/>
        </w:rPr>
        <w:footnoteRef/>
      </w:r>
      <w:r>
        <w:t xml:space="preserve"> </w:t>
      </w:r>
      <w:r w:rsidRPr="004572E2">
        <w:t>The sale, cession or transfer of mining rights under an exploitation or exploration concession (for metals or non-metals) costs DOP 50,900 (MEM Resolution No. 035-2016).</w:t>
      </w:r>
    </w:p>
  </w:footnote>
  <w:footnote w:id="401">
    <w:p w14:paraId="36CC660F" w14:textId="77777777" w:rsidR="00EB7374" w:rsidRDefault="00EB7374">
      <w:pPr>
        <w:pStyle w:val="FootnoteText"/>
      </w:pPr>
      <w:r>
        <w:rPr>
          <w:rStyle w:val="FootnoteReference"/>
        </w:rPr>
        <w:footnoteRef/>
      </w:r>
      <w:r>
        <w:t xml:space="preserve"> </w:t>
      </w:r>
      <w:r w:rsidRPr="004572E2">
        <w:t>For example, the amount paid per hectare ranges from DOP 0.10 for exploration concessions of up to 1,000 hectares to DOP 2 for exploitation concessions of up to 20,000 hectares.</w:t>
      </w:r>
    </w:p>
  </w:footnote>
  <w:footnote w:id="402">
    <w:p w14:paraId="5A742BC8" w14:textId="77777777" w:rsidR="00EB7374" w:rsidRDefault="00EB7374">
      <w:pPr>
        <w:pStyle w:val="FootnoteText"/>
      </w:pPr>
      <w:r>
        <w:rPr>
          <w:rStyle w:val="FootnoteReference"/>
        </w:rPr>
        <w:footnoteRef/>
      </w:r>
      <w:r>
        <w:t xml:space="preserve"> </w:t>
      </w:r>
      <w:r w:rsidRPr="004572E2">
        <w:t>Other tax-related aspects of the Mining Law, such as the 40</w:t>
      </w:r>
      <w:r>
        <w:t>%</w:t>
      </w:r>
      <w:r w:rsidRPr="004572E2">
        <w:t xml:space="preserve"> tax on net earnings (Article 123) and the </w:t>
      </w:r>
      <w:proofErr w:type="spellStart"/>
      <w:r w:rsidRPr="004572E2">
        <w:t>ITBIS</w:t>
      </w:r>
      <w:proofErr w:type="spellEnd"/>
      <w:r w:rsidRPr="004572E2">
        <w:t xml:space="preserve"> exemptions for machinery, mining and metallurgical equipment and vehicles (Article 129), were repealed in subsequent tax reforms (Law No. 11</w:t>
      </w:r>
      <w:r w:rsidRPr="004572E2">
        <w:noBreakHyphen/>
        <w:t>92) and tariff reforms (Law No. 14-93).</w:t>
      </w:r>
    </w:p>
  </w:footnote>
  <w:footnote w:id="403">
    <w:p w14:paraId="35C08BCC" w14:textId="77777777" w:rsidR="00EB7374" w:rsidRDefault="00EB7374">
      <w:pPr>
        <w:pStyle w:val="FootnoteText"/>
      </w:pPr>
      <w:r>
        <w:rPr>
          <w:rStyle w:val="FootnoteReference"/>
        </w:rPr>
        <w:footnoteRef/>
      </w:r>
      <w:r>
        <w:t xml:space="preserve"> </w:t>
      </w:r>
      <w:r w:rsidRPr="004572E2">
        <w:t>The criteria for declaring a concession forfeit (e.g. the time limit for commencement of work, maximum duration of work interruptions and obligation to pay patents, royalties and taxes) are set out in the Mining Law (Articles 69, 70 and 75).</w:t>
      </w:r>
    </w:p>
  </w:footnote>
  <w:footnote w:id="404">
    <w:p w14:paraId="36BFD96B" w14:textId="3E632B80" w:rsidR="00EB7374" w:rsidRDefault="00EB7374">
      <w:pPr>
        <w:pStyle w:val="FootnoteText"/>
      </w:pPr>
      <w:r>
        <w:rPr>
          <w:rStyle w:val="FootnoteReference"/>
        </w:rPr>
        <w:footnoteRef/>
      </w:r>
      <w:r>
        <w:t xml:space="preserve"> </w:t>
      </w:r>
      <w:r w:rsidRPr="004572E2">
        <w:t xml:space="preserve">A </w:t>
      </w:r>
      <w:proofErr w:type="spellStart"/>
      <w:r w:rsidR="002E6D43" w:rsidRPr="004572E2">
        <w:rPr>
          <w:i/>
          <w:iCs/>
        </w:rPr>
        <w:t>reserva</w:t>
      </w:r>
      <w:proofErr w:type="spellEnd"/>
      <w:r w:rsidR="002E6D43" w:rsidRPr="004572E2">
        <w:rPr>
          <w:i/>
          <w:iCs/>
        </w:rPr>
        <w:t xml:space="preserve"> fiscal</w:t>
      </w:r>
      <w:r w:rsidR="002E6D43" w:rsidRPr="004572E2">
        <w:t xml:space="preserve"> </w:t>
      </w:r>
      <w:r w:rsidRPr="004572E2">
        <w:t>is a defined geographical area that, once created, implies exclusive use by the State, since new concessions cannot be requested within its perimeter.</w:t>
      </w:r>
    </w:p>
  </w:footnote>
  <w:footnote w:id="405">
    <w:p w14:paraId="79049C35" w14:textId="77777777" w:rsidR="00EB7374" w:rsidRDefault="00EB7374">
      <w:pPr>
        <w:pStyle w:val="FootnoteText"/>
      </w:pPr>
      <w:r>
        <w:rPr>
          <w:rStyle w:val="FootnoteReference"/>
        </w:rPr>
        <w:footnoteRef/>
      </w:r>
      <w:r>
        <w:t xml:space="preserve"> </w:t>
      </w:r>
      <w:r w:rsidRPr="004572E2">
        <w:t>Decree No. 430-18.</w:t>
      </w:r>
    </w:p>
  </w:footnote>
  <w:footnote w:id="406">
    <w:p w14:paraId="40E9A240" w14:textId="77777777" w:rsidR="00EB7374" w:rsidRDefault="00EB7374">
      <w:pPr>
        <w:pStyle w:val="FootnoteText"/>
      </w:pPr>
      <w:r>
        <w:rPr>
          <w:rStyle w:val="FootnoteReference"/>
        </w:rPr>
        <w:footnoteRef/>
      </w:r>
      <w:r>
        <w:t xml:space="preserve"> </w:t>
      </w:r>
      <w:r w:rsidRPr="004572E2">
        <w:t xml:space="preserve">These contracts are the Special Mining Lease Agreement with the Pueblo Viejo </w:t>
      </w:r>
      <w:proofErr w:type="spellStart"/>
      <w:r w:rsidRPr="004572E2">
        <w:t>Dominicana</w:t>
      </w:r>
      <w:proofErr w:type="spellEnd"/>
      <w:r w:rsidRPr="004572E2">
        <w:t xml:space="preserve"> Corporation (2002), and the Special Contract for the Evaluation, Exploitation and Beneficiation of the Las</w:t>
      </w:r>
      <w:r>
        <w:t> </w:t>
      </w:r>
      <w:r w:rsidRPr="004572E2">
        <w:t>Lagunas Tailings Dam with Las Lagunas Limited (2004).</w:t>
      </w:r>
    </w:p>
  </w:footnote>
  <w:footnote w:id="407">
    <w:p w14:paraId="5E025AF9" w14:textId="77777777" w:rsidR="00EB7374" w:rsidRDefault="00EB7374">
      <w:pPr>
        <w:pStyle w:val="FootnoteText"/>
      </w:pPr>
      <w:r>
        <w:rPr>
          <w:rStyle w:val="FootnoteReference"/>
        </w:rPr>
        <w:footnoteRef/>
      </w:r>
      <w:r>
        <w:t xml:space="preserve"> </w:t>
      </w:r>
      <w:r w:rsidRPr="004572E2">
        <w:t>The tax conditions are combinations of an annual minimum tax, income tax (</w:t>
      </w:r>
      <w:proofErr w:type="spellStart"/>
      <w:r w:rsidRPr="004572E2">
        <w:t>ISR</w:t>
      </w:r>
      <w:proofErr w:type="spellEnd"/>
      <w:r w:rsidRPr="004572E2">
        <w:t>), a share of net profits (PUN) and the payment of a net smelter return (</w:t>
      </w:r>
      <w:proofErr w:type="spellStart"/>
      <w:r w:rsidRPr="004572E2">
        <w:t>RNF</w:t>
      </w:r>
      <w:proofErr w:type="spellEnd"/>
      <w:r w:rsidRPr="004572E2">
        <w:t>) royalty.</w:t>
      </w:r>
    </w:p>
  </w:footnote>
  <w:footnote w:id="408">
    <w:p w14:paraId="1B68E79D" w14:textId="77777777" w:rsidR="00EB7374" w:rsidRDefault="00EB7374">
      <w:pPr>
        <w:pStyle w:val="FootnoteText"/>
      </w:pPr>
      <w:r>
        <w:rPr>
          <w:rStyle w:val="FootnoteReference"/>
        </w:rPr>
        <w:footnoteRef/>
      </w:r>
      <w:r>
        <w:t xml:space="preserve"> </w:t>
      </w:r>
      <w:r w:rsidRPr="004572E2">
        <w:t xml:space="preserve">Namely the concessions granted to </w:t>
      </w:r>
      <w:proofErr w:type="spellStart"/>
      <w:r w:rsidRPr="004572E2">
        <w:t>CORMIDOM</w:t>
      </w:r>
      <w:proofErr w:type="spellEnd"/>
      <w:r w:rsidRPr="004572E2">
        <w:t xml:space="preserve"> for the exploitation of gold, silver and copper at the Cerro de </w:t>
      </w:r>
      <w:proofErr w:type="spellStart"/>
      <w:r w:rsidRPr="004572E2">
        <w:t>Maimón</w:t>
      </w:r>
      <w:proofErr w:type="spellEnd"/>
      <w:r w:rsidRPr="004572E2">
        <w:t xml:space="preserve"> mine.</w:t>
      </w:r>
    </w:p>
  </w:footnote>
  <w:footnote w:id="409">
    <w:p w14:paraId="228A2DC1" w14:textId="77777777" w:rsidR="00EB7374" w:rsidRDefault="00EB7374">
      <w:pPr>
        <w:pStyle w:val="FootnoteText"/>
      </w:pPr>
      <w:r>
        <w:rPr>
          <w:rStyle w:val="FootnoteReference"/>
        </w:rPr>
        <w:footnoteRef/>
      </w:r>
      <w:r>
        <w:t xml:space="preserve"> </w:t>
      </w:r>
      <w:r w:rsidRPr="004572E2">
        <w:t xml:space="preserve">The ferronickel exploitation concession is governed by the initial exploration and exploitation contract of 24 December 1956, and the amendments thereto (the supplementary agreement of 26 September 1969, the amendment agreement of 26 May 1988 and the amendment addendum of 25 August 1994). These contracts also specify the applicable taxes and royalties, the </w:t>
      </w:r>
      <w:proofErr w:type="spellStart"/>
      <w:r w:rsidRPr="004572E2">
        <w:t>ISR</w:t>
      </w:r>
      <w:proofErr w:type="spellEnd"/>
      <w:r w:rsidRPr="004572E2">
        <w:t xml:space="preserve"> rate, an earnings-adjustable tax and a tax on the surface area.</w:t>
      </w:r>
    </w:p>
  </w:footnote>
  <w:footnote w:id="410">
    <w:p w14:paraId="2A0A160A" w14:textId="77777777" w:rsidR="00EB7374" w:rsidRDefault="00EB7374">
      <w:pPr>
        <w:pStyle w:val="FootnoteText"/>
      </w:pPr>
      <w:r>
        <w:rPr>
          <w:rStyle w:val="FootnoteReference"/>
        </w:rPr>
        <w:footnoteRef/>
      </w:r>
      <w:r>
        <w:t xml:space="preserve"> </w:t>
      </w:r>
      <w:r w:rsidRPr="004572E2">
        <w:t xml:space="preserve">Information based on the four Extractive Industries Transparency Initiative (EITI) reports on the Dominican Republic,. Viewed at: </w:t>
      </w:r>
      <w:hyperlink r:id="rId121" w:history="1">
        <w:r w:rsidRPr="004572E2">
          <w:rPr>
            <w:rStyle w:val="Hyperlink"/>
          </w:rPr>
          <w:t>https://eitird.mem.gob.do</w:t>
        </w:r>
      </w:hyperlink>
      <w:r w:rsidRPr="004572E2">
        <w:t>.</w:t>
      </w:r>
    </w:p>
  </w:footnote>
  <w:footnote w:id="411">
    <w:p w14:paraId="5FFC37B3" w14:textId="77777777" w:rsidR="00EB7374" w:rsidRDefault="00EB7374">
      <w:pPr>
        <w:pStyle w:val="FootnoteText"/>
      </w:pPr>
      <w:r>
        <w:rPr>
          <w:rStyle w:val="FootnoteReference"/>
        </w:rPr>
        <w:footnoteRef/>
      </w:r>
      <w:r>
        <w:t xml:space="preserve"> </w:t>
      </w:r>
      <w:r w:rsidRPr="004572E2">
        <w:t>Disaggregation by taxes is only available for the period 2015-18.</w:t>
      </w:r>
    </w:p>
  </w:footnote>
  <w:footnote w:id="412">
    <w:p w14:paraId="69F1C576" w14:textId="77777777" w:rsidR="00EB7374" w:rsidRDefault="00EB7374">
      <w:pPr>
        <w:pStyle w:val="FootnoteText"/>
      </w:pPr>
      <w:r>
        <w:rPr>
          <w:rStyle w:val="FootnoteReference"/>
        </w:rPr>
        <w:footnoteRef/>
      </w:r>
      <w:r>
        <w:t xml:space="preserve"> </w:t>
      </w:r>
      <w:r w:rsidRPr="004572E2">
        <w:t xml:space="preserve">Up until that time, </w:t>
      </w:r>
      <w:proofErr w:type="spellStart"/>
      <w:r w:rsidRPr="004572E2">
        <w:t>CORDE</w:t>
      </w:r>
      <w:proofErr w:type="spellEnd"/>
      <w:r w:rsidRPr="004572E2">
        <w:t xml:space="preserve"> managed 285,982 of the 299,332 shares that the State held in the mining company Falconbridge </w:t>
      </w:r>
      <w:proofErr w:type="spellStart"/>
      <w:r w:rsidRPr="004572E2">
        <w:t>Dominicana</w:t>
      </w:r>
      <w:proofErr w:type="spellEnd"/>
      <w:r w:rsidRPr="004572E2">
        <w:t>.</w:t>
      </w:r>
    </w:p>
  </w:footnote>
  <w:footnote w:id="413">
    <w:p w14:paraId="7B312E3C" w14:textId="77777777" w:rsidR="00EB7374" w:rsidRDefault="00EB7374">
      <w:pPr>
        <w:pStyle w:val="FootnoteText"/>
      </w:pPr>
      <w:r>
        <w:rPr>
          <w:rStyle w:val="FootnoteReference"/>
        </w:rPr>
        <w:footnoteRef/>
      </w:r>
      <w:r>
        <w:t xml:space="preserve"> </w:t>
      </w:r>
      <w:r w:rsidRPr="004572E2">
        <w:t>Decrees No. 167-19 and No. 470-19.</w:t>
      </w:r>
    </w:p>
  </w:footnote>
  <w:footnote w:id="414">
    <w:p w14:paraId="28C7A2FE" w14:textId="77777777" w:rsidR="00EB7374" w:rsidRDefault="00EB7374">
      <w:pPr>
        <w:pStyle w:val="FootnoteText"/>
      </w:pPr>
      <w:r>
        <w:rPr>
          <w:rStyle w:val="FootnoteReference"/>
        </w:rPr>
        <w:footnoteRef/>
      </w:r>
      <w:r>
        <w:t xml:space="preserve"> </w:t>
      </w:r>
      <w:r w:rsidRPr="004572E2">
        <w:t>MEM Resolution No. 34-17.</w:t>
      </w:r>
    </w:p>
  </w:footnote>
  <w:footnote w:id="415">
    <w:p w14:paraId="0DC4B308" w14:textId="77777777" w:rsidR="00EB7374" w:rsidRDefault="00EB7374">
      <w:pPr>
        <w:pStyle w:val="FootnoteText"/>
      </w:pPr>
      <w:r>
        <w:rPr>
          <w:rStyle w:val="FootnoteReference"/>
        </w:rPr>
        <w:footnoteRef/>
      </w:r>
      <w:r>
        <w:t xml:space="preserve"> </w:t>
      </w:r>
      <w:r w:rsidRPr="004572E2">
        <w:t>MEM Resolution No. 47-16.</w:t>
      </w:r>
    </w:p>
  </w:footnote>
  <w:footnote w:id="416">
    <w:p w14:paraId="4E14FBB1" w14:textId="77777777" w:rsidR="00EB7374" w:rsidRDefault="00EB7374">
      <w:pPr>
        <w:pStyle w:val="FootnoteText"/>
      </w:pPr>
      <w:r>
        <w:rPr>
          <w:rStyle w:val="FootnoteReference"/>
        </w:rPr>
        <w:footnoteRef/>
      </w:r>
      <w:r>
        <w:t xml:space="preserve"> </w:t>
      </w:r>
      <w:r w:rsidRPr="004572E2">
        <w:t>Decree No. 431-18 and MEM Resolution No. 40-18.</w:t>
      </w:r>
    </w:p>
  </w:footnote>
  <w:footnote w:id="417">
    <w:p w14:paraId="1608A193" w14:textId="77777777" w:rsidR="00EB7374" w:rsidRDefault="00EB7374">
      <w:pPr>
        <w:pStyle w:val="FootnoteText"/>
      </w:pPr>
      <w:r>
        <w:rPr>
          <w:rStyle w:val="FootnoteReference"/>
        </w:rPr>
        <w:footnoteRef/>
      </w:r>
      <w:r>
        <w:t xml:space="preserve"> </w:t>
      </w:r>
      <w:r w:rsidRPr="004572E2">
        <w:t>Regulation No. 370-19.</w:t>
      </w:r>
    </w:p>
  </w:footnote>
  <w:footnote w:id="418">
    <w:p w14:paraId="642B49EF" w14:textId="77777777" w:rsidR="00EB7374" w:rsidRDefault="00EB7374">
      <w:pPr>
        <w:pStyle w:val="FootnoteText"/>
      </w:pPr>
      <w:r>
        <w:rPr>
          <w:rStyle w:val="FootnoteReference"/>
        </w:rPr>
        <w:footnoteRef/>
      </w:r>
      <w:r>
        <w:t xml:space="preserve"> </w:t>
      </w:r>
      <w:r w:rsidRPr="004572E2">
        <w:t>Law No. 100-13, as amended by Law No. 142-13.</w:t>
      </w:r>
    </w:p>
  </w:footnote>
  <w:footnote w:id="419">
    <w:p w14:paraId="6BC0453E" w14:textId="77777777" w:rsidR="00EB7374" w:rsidRDefault="00EB7374">
      <w:pPr>
        <w:pStyle w:val="FootnoteText"/>
      </w:pPr>
      <w:r>
        <w:rPr>
          <w:rStyle w:val="FootnoteReference"/>
        </w:rPr>
        <w:footnoteRef/>
      </w:r>
      <w:r>
        <w:t xml:space="preserve"> </w:t>
      </w:r>
      <w:r w:rsidRPr="004572E2">
        <w:t>Law No. 4532-56, as amended by Law No. 4833-58.</w:t>
      </w:r>
    </w:p>
  </w:footnote>
  <w:footnote w:id="420">
    <w:p w14:paraId="4A2D392F" w14:textId="77777777" w:rsidR="00EB7374" w:rsidRDefault="00EB7374">
      <w:pPr>
        <w:pStyle w:val="FootnoteText"/>
      </w:pPr>
      <w:r>
        <w:rPr>
          <w:rStyle w:val="FootnoteReference"/>
        </w:rPr>
        <w:footnoteRef/>
      </w:r>
      <w:r>
        <w:t xml:space="preserve"> </w:t>
      </w:r>
      <w:r w:rsidRPr="004572E2">
        <w:t>MEM Resolution No. 1-16. In addition, MEM Resolution No. 12-19 requires that well logs be compiled when drilling for hydrocarbons. There are currently no valid authorizations for surveys relating to hydrocarbons.</w:t>
      </w:r>
    </w:p>
  </w:footnote>
  <w:footnote w:id="421">
    <w:p w14:paraId="43F79C03" w14:textId="77777777" w:rsidR="00EB7374" w:rsidRDefault="00EB7374">
      <w:pPr>
        <w:pStyle w:val="FootnoteText"/>
      </w:pPr>
      <w:r>
        <w:rPr>
          <w:rStyle w:val="FootnoteReference"/>
        </w:rPr>
        <w:footnoteRef/>
      </w:r>
      <w:r>
        <w:t xml:space="preserve"> </w:t>
      </w:r>
      <w:r w:rsidRPr="004572E2">
        <w:t>Decree No. 83-16, as amended by Decree No. 164-21.</w:t>
      </w:r>
    </w:p>
  </w:footnote>
  <w:footnote w:id="422">
    <w:p w14:paraId="0D28F410" w14:textId="77777777" w:rsidR="00EB7374" w:rsidRDefault="00EB7374">
      <w:pPr>
        <w:pStyle w:val="FootnoteText"/>
      </w:pPr>
      <w:r>
        <w:rPr>
          <w:rStyle w:val="FootnoteReference"/>
        </w:rPr>
        <w:footnoteRef/>
      </w:r>
      <w:r>
        <w:t xml:space="preserve"> </w:t>
      </w:r>
      <w:r w:rsidRPr="004572E2">
        <w:t>The auction of onshore blocks was declared void, and only one company pre-qualified for the auction of offshore blocks. The authorities have indicated that the lack of accurate geological information concerning the viability of the other blocks had an impact on the outcome of the auction of the blocks not assigned.</w:t>
      </w:r>
    </w:p>
  </w:footnote>
  <w:footnote w:id="423">
    <w:p w14:paraId="7727BC89" w14:textId="77777777" w:rsidR="00EB7374" w:rsidRDefault="00EB7374">
      <w:pPr>
        <w:pStyle w:val="FootnoteText"/>
      </w:pPr>
      <w:r>
        <w:rPr>
          <w:rStyle w:val="FootnoteReference"/>
        </w:rPr>
        <w:footnoteRef/>
      </w:r>
      <w:r>
        <w:t xml:space="preserve"> </w:t>
      </w:r>
      <w:r w:rsidRPr="004572E2">
        <w:t>In 2018, MEM issued a model production sharing contract, which forms the basis for the contracts for onshore areas and for offshore areas.</w:t>
      </w:r>
    </w:p>
  </w:footnote>
  <w:footnote w:id="424">
    <w:p w14:paraId="4A78D2D9" w14:textId="4B475ED4" w:rsidR="00EB7374" w:rsidRDefault="00EB7374">
      <w:pPr>
        <w:pStyle w:val="FootnoteText"/>
      </w:pPr>
      <w:r>
        <w:rPr>
          <w:rStyle w:val="FootnoteReference"/>
        </w:rPr>
        <w:footnoteRef/>
      </w:r>
      <w:r>
        <w:t xml:space="preserve"> </w:t>
      </w:r>
      <w:r w:rsidRPr="004572E2">
        <w:t xml:space="preserve">Law No. 37-17 (Article 2) grants the </w:t>
      </w:r>
      <w:proofErr w:type="spellStart"/>
      <w:r w:rsidRPr="004572E2">
        <w:t>MICM</w:t>
      </w:r>
      <w:proofErr w:type="spellEnd"/>
      <w:r w:rsidRPr="004572E2">
        <w:t xml:space="preserve"> the power to regulate these aspects. Import authorization takes between 30 and 90 days and costs between DOP 1,025,000 and DOP 4,055,000, depending on the importer</w:t>
      </w:r>
      <w:r w:rsidR="00FE5A32">
        <w:t>'</w:t>
      </w:r>
      <w:r w:rsidRPr="004572E2">
        <w:t>s storage capacity.</w:t>
      </w:r>
    </w:p>
  </w:footnote>
  <w:footnote w:id="425">
    <w:p w14:paraId="183DAB12" w14:textId="77777777" w:rsidR="00EB7374" w:rsidRDefault="00EB7374">
      <w:pPr>
        <w:pStyle w:val="FootnoteText"/>
      </w:pPr>
      <w:r>
        <w:rPr>
          <w:rStyle w:val="FootnoteReference"/>
        </w:rPr>
        <w:footnoteRef/>
      </w:r>
      <w:r>
        <w:t xml:space="preserve"> </w:t>
      </w:r>
      <w:r w:rsidRPr="004572E2">
        <w:t>Article 9 of Law No. 112-00, as amended by Laws No. 557-05, No. 495-06 and No. 253-12. Article</w:t>
      </w:r>
      <w:r>
        <w:t> </w:t>
      </w:r>
      <w:r w:rsidRPr="004572E2">
        <w:t>129 of Law No. 125-01 (General Law on Electricity (</w:t>
      </w:r>
      <w:proofErr w:type="spellStart"/>
      <w:r w:rsidRPr="004572E2">
        <w:t>LGE</w:t>
      </w:r>
      <w:proofErr w:type="spellEnd"/>
      <w:r w:rsidRPr="004572E2">
        <w:t>)), as amended by Law No. 186-07.</w:t>
      </w:r>
    </w:p>
  </w:footnote>
  <w:footnote w:id="426">
    <w:p w14:paraId="10D89C05" w14:textId="05EFC6A0" w:rsidR="00EB7374" w:rsidRDefault="00EB7374">
      <w:pPr>
        <w:pStyle w:val="FootnoteText"/>
      </w:pPr>
      <w:r>
        <w:rPr>
          <w:rStyle w:val="FootnoteReference"/>
        </w:rPr>
        <w:footnoteRef/>
      </w:r>
      <w:r>
        <w:t xml:space="preserve"> </w:t>
      </w:r>
      <w:r w:rsidRPr="004572E2">
        <w:t xml:space="preserve">All of these licences may be obtained through the </w:t>
      </w:r>
      <w:proofErr w:type="spellStart"/>
      <w:r w:rsidRPr="004572E2">
        <w:t>MICM</w:t>
      </w:r>
      <w:r w:rsidR="00FE5A32">
        <w:t>'</w:t>
      </w:r>
      <w:r w:rsidRPr="004572E2">
        <w:t>s</w:t>
      </w:r>
      <w:proofErr w:type="spellEnd"/>
      <w:r w:rsidRPr="004572E2">
        <w:t xml:space="preserve"> online service platform, which also lists all the requirements that have to be met in the different cases. Viewed at: </w:t>
      </w:r>
      <w:hyperlink r:id="rId122" w:history="1">
        <w:r w:rsidRPr="004572E2">
          <w:rPr>
            <w:rStyle w:val="Hyperlink"/>
          </w:rPr>
          <w:t>https://ventanillavirtual.micm.gob.do/Servicios/Info</w:t>
        </w:r>
      </w:hyperlink>
      <w:r w:rsidRPr="004572E2">
        <w:t>.</w:t>
      </w:r>
    </w:p>
  </w:footnote>
  <w:footnote w:id="427">
    <w:p w14:paraId="60E6346C" w14:textId="77777777" w:rsidR="00EB7374" w:rsidRDefault="00EB7374">
      <w:pPr>
        <w:pStyle w:val="FootnoteText"/>
      </w:pPr>
      <w:r>
        <w:rPr>
          <w:rStyle w:val="FootnoteReference"/>
        </w:rPr>
        <w:footnoteRef/>
      </w:r>
      <w:r>
        <w:t xml:space="preserve"> </w:t>
      </w:r>
      <w:proofErr w:type="spellStart"/>
      <w:r w:rsidRPr="004572E2">
        <w:t>MICM</w:t>
      </w:r>
      <w:proofErr w:type="spellEnd"/>
      <w:r w:rsidRPr="004572E2">
        <w:t xml:space="preserve"> Resolution No. 311-21.</w:t>
      </w:r>
    </w:p>
  </w:footnote>
  <w:footnote w:id="428">
    <w:p w14:paraId="7A75ED72" w14:textId="77777777" w:rsidR="00EB7374" w:rsidRDefault="00EB7374">
      <w:pPr>
        <w:pStyle w:val="FootnoteText"/>
      </w:pPr>
      <w:r>
        <w:rPr>
          <w:rStyle w:val="FootnoteReference"/>
        </w:rPr>
        <w:footnoteRef/>
      </w:r>
      <w:r>
        <w:t xml:space="preserve"> </w:t>
      </w:r>
      <w:r w:rsidRPr="004572E2">
        <w:t>National Energy Commission, National Energy Plan 2022–36, March 2022.</w:t>
      </w:r>
    </w:p>
  </w:footnote>
  <w:footnote w:id="429">
    <w:p w14:paraId="192322EE" w14:textId="77777777" w:rsidR="00EB7374" w:rsidRDefault="00EB7374">
      <w:pPr>
        <w:pStyle w:val="FootnoteText"/>
      </w:pPr>
      <w:r>
        <w:rPr>
          <w:rStyle w:val="FootnoteReference"/>
        </w:rPr>
        <w:footnoteRef/>
      </w:r>
      <w:r>
        <w:t xml:space="preserve"> </w:t>
      </w:r>
      <w:r w:rsidRPr="004572E2">
        <w:t xml:space="preserve">Construction of the eastern gas pipeline was completed in 2019, providing natural gas to power stations in San Pedro de </w:t>
      </w:r>
      <w:proofErr w:type="spellStart"/>
      <w:r w:rsidRPr="004572E2">
        <w:t>Macorís</w:t>
      </w:r>
      <w:proofErr w:type="spellEnd"/>
      <w:r w:rsidRPr="004572E2">
        <w:t>. MEM Resolution No. 36-19 establishes the requirements for the permit to construct pipelines.</w:t>
      </w:r>
    </w:p>
  </w:footnote>
  <w:footnote w:id="430">
    <w:p w14:paraId="73FFC951" w14:textId="77777777" w:rsidR="00EB7374" w:rsidRDefault="00EB7374">
      <w:pPr>
        <w:pStyle w:val="FootnoteText"/>
      </w:pPr>
      <w:r>
        <w:rPr>
          <w:rStyle w:val="FootnoteReference"/>
        </w:rPr>
        <w:footnoteRef/>
      </w:r>
      <w:r>
        <w:t xml:space="preserve"> </w:t>
      </w:r>
      <w:r w:rsidRPr="004572E2">
        <w:t xml:space="preserve">In general, </w:t>
      </w:r>
      <w:proofErr w:type="spellStart"/>
      <w:r w:rsidRPr="004572E2">
        <w:t>NGV</w:t>
      </w:r>
      <w:proofErr w:type="spellEnd"/>
      <w:r w:rsidRPr="004572E2">
        <w:t xml:space="preserve"> stations also distribute other petroleum products, such as liquid fuel or LPG.</w:t>
      </w:r>
    </w:p>
  </w:footnote>
  <w:footnote w:id="431">
    <w:p w14:paraId="36DB25DB" w14:textId="77777777" w:rsidR="00EB7374" w:rsidRDefault="00EB7374">
      <w:pPr>
        <w:pStyle w:val="FootnoteText"/>
      </w:pPr>
      <w:r>
        <w:rPr>
          <w:rStyle w:val="FootnoteReference"/>
        </w:rPr>
        <w:footnoteRef/>
      </w:r>
      <w:r>
        <w:t xml:space="preserve"> </w:t>
      </w:r>
      <w:r w:rsidRPr="004572E2">
        <w:t>National Energy Commission, National Energy Plan 2022–36, March 2022.</w:t>
      </w:r>
    </w:p>
  </w:footnote>
  <w:footnote w:id="432">
    <w:p w14:paraId="10481F19" w14:textId="77777777" w:rsidR="00EB7374" w:rsidRDefault="00EB7374">
      <w:pPr>
        <w:pStyle w:val="FootnoteText"/>
      </w:pPr>
      <w:r>
        <w:rPr>
          <w:rStyle w:val="FootnoteReference"/>
        </w:rPr>
        <w:footnoteRef/>
      </w:r>
      <w:r>
        <w:t xml:space="preserve"> </w:t>
      </w:r>
      <w:r w:rsidRPr="004572E2">
        <w:t>The international benchmark price is that of a barrel of West Texas Intermediate (</w:t>
      </w:r>
      <w:proofErr w:type="spellStart"/>
      <w:r w:rsidRPr="004572E2">
        <w:t>WTI</w:t>
      </w:r>
      <w:proofErr w:type="spellEnd"/>
      <w:r w:rsidRPr="004572E2">
        <w:t xml:space="preserve">) crude oil, f.o.b., while, in the case of LPG, the simple averages of the Mont </w:t>
      </w:r>
      <w:proofErr w:type="spellStart"/>
      <w:r w:rsidRPr="004572E2">
        <w:t>Belvieu</w:t>
      </w:r>
      <w:proofErr w:type="spellEnd"/>
      <w:r w:rsidRPr="004572E2">
        <w:t xml:space="preserve"> (non-TET) price on the Tuesday of the previous week is used.</w:t>
      </w:r>
    </w:p>
  </w:footnote>
  <w:footnote w:id="433">
    <w:p w14:paraId="39DDC212" w14:textId="77777777" w:rsidR="00EB7374" w:rsidRDefault="00EB7374">
      <w:pPr>
        <w:pStyle w:val="FootnoteText"/>
      </w:pPr>
      <w:r>
        <w:rPr>
          <w:rStyle w:val="FootnoteReference"/>
        </w:rPr>
        <w:footnoteRef/>
      </w:r>
      <w:r>
        <w:t xml:space="preserve"> </w:t>
      </w:r>
      <w:r w:rsidRPr="004572E2">
        <w:t>Law No. 112-00 and Decree No. 307-01, as amended by Decree No. 176-04. Taxes on hydrocarbons consist of a first specific component (per US gallon, depending on the type of hydrocarbon) and a second</w:t>
      </w:r>
      <w:r>
        <w:t> </w:t>
      </w:r>
      <w:r w:rsidRPr="004572E2">
        <w:rPr>
          <w:i/>
          <w:iCs/>
        </w:rPr>
        <w:t>ad</w:t>
      </w:r>
      <w:r>
        <w:rPr>
          <w:i/>
          <w:iCs/>
        </w:rPr>
        <w:t> </w:t>
      </w:r>
      <w:r w:rsidRPr="004572E2">
        <w:rPr>
          <w:i/>
          <w:iCs/>
        </w:rPr>
        <w:t>valorem</w:t>
      </w:r>
      <w:r w:rsidRPr="004572E2">
        <w:t xml:space="preserve"> component on the IPP set by the </w:t>
      </w:r>
      <w:proofErr w:type="spellStart"/>
      <w:r w:rsidRPr="004572E2">
        <w:t>MICM</w:t>
      </w:r>
      <w:proofErr w:type="spellEnd"/>
      <w:r w:rsidRPr="004572E2">
        <w:t>.</w:t>
      </w:r>
    </w:p>
  </w:footnote>
  <w:footnote w:id="434">
    <w:p w14:paraId="0B6B0B07" w14:textId="77777777" w:rsidR="00EB7374" w:rsidRDefault="00EB7374">
      <w:pPr>
        <w:pStyle w:val="FootnoteText"/>
      </w:pPr>
      <w:r>
        <w:rPr>
          <w:rStyle w:val="FootnoteReference"/>
        </w:rPr>
        <w:footnoteRef/>
      </w:r>
      <w:r>
        <w:t xml:space="preserve"> </w:t>
      </w:r>
      <w:r w:rsidRPr="004572E2">
        <w:t>Established by Law No. 253-12. Decree No. 275-16 governs the system of refunds for energy companies, companies established in free zones or special border development zones, public works contractors and mining concessions.</w:t>
      </w:r>
    </w:p>
  </w:footnote>
  <w:footnote w:id="435">
    <w:p w14:paraId="2492C0E5" w14:textId="77777777" w:rsidR="00EB7374" w:rsidRDefault="00EB7374">
      <w:pPr>
        <w:pStyle w:val="FootnoteText"/>
      </w:pPr>
      <w:r>
        <w:rPr>
          <w:rStyle w:val="FootnoteReference"/>
        </w:rPr>
        <w:footnoteRef/>
      </w:r>
      <w:r>
        <w:t xml:space="preserve"> </w:t>
      </w:r>
      <w:r w:rsidRPr="004572E2">
        <w:t>National Energy Commission, National Energy Plan 2022–36, March 2022.</w:t>
      </w:r>
    </w:p>
  </w:footnote>
  <w:footnote w:id="436">
    <w:p w14:paraId="2CFED142" w14:textId="77777777" w:rsidR="00EB7374" w:rsidRDefault="00EB7374">
      <w:pPr>
        <w:pStyle w:val="FootnoteText"/>
      </w:pPr>
      <w:r>
        <w:rPr>
          <w:rStyle w:val="FootnoteReference"/>
        </w:rPr>
        <w:footnoteRef/>
      </w:r>
      <w:r>
        <w:t xml:space="preserve"> </w:t>
      </w:r>
      <w:r w:rsidRPr="004572E2">
        <w:t>The Punta Catalina thermal power station accounts for 15.11</w:t>
      </w:r>
      <w:r>
        <w:t>%</w:t>
      </w:r>
      <w:r w:rsidRPr="004572E2">
        <w:t xml:space="preserve"> of the national grid's nominal installed capacity.</w:t>
      </w:r>
    </w:p>
  </w:footnote>
  <w:footnote w:id="437">
    <w:p w14:paraId="46AE9011" w14:textId="79E6F471" w:rsidR="00EB7374" w:rsidRDefault="00EB7374">
      <w:pPr>
        <w:pStyle w:val="FootnoteText"/>
      </w:pPr>
      <w:r>
        <w:rPr>
          <w:rStyle w:val="FootnoteReference"/>
        </w:rPr>
        <w:footnoteRef/>
      </w:r>
      <w:r>
        <w:t xml:space="preserve"> </w:t>
      </w:r>
      <w:r w:rsidRPr="004572E2">
        <w:t>Law No. 125-01, as amended by Laws No. 186-07 and No. 100-13, and Decree No. 555-02, as amended by Decrees No. 749-02, No. 494-07, No. 342-20 and No. 167-21. The most recent amendment to the regulations implementing the Law concerns the definition of the grounds on which the electricity supply to end</w:t>
      </w:r>
      <w:r>
        <w:noBreakHyphen/>
      </w:r>
      <w:r w:rsidRPr="004572E2">
        <w:t>consumers can be suspended and the related procedures.</w:t>
      </w:r>
    </w:p>
  </w:footnote>
  <w:footnote w:id="438">
    <w:p w14:paraId="31D9B3C5" w14:textId="77777777" w:rsidR="00EB7374" w:rsidRDefault="00EB7374">
      <w:pPr>
        <w:pStyle w:val="FootnoteText"/>
      </w:pPr>
      <w:r>
        <w:rPr>
          <w:rStyle w:val="FootnoteReference"/>
        </w:rPr>
        <w:footnoteRef/>
      </w:r>
      <w:r>
        <w:t xml:space="preserve"> </w:t>
      </w:r>
      <w:r w:rsidRPr="004572E2">
        <w:t>Decree No. 342-20.</w:t>
      </w:r>
    </w:p>
  </w:footnote>
  <w:footnote w:id="439">
    <w:p w14:paraId="07D24D02" w14:textId="77777777" w:rsidR="00EB7374" w:rsidRDefault="00EB7374">
      <w:pPr>
        <w:pStyle w:val="FootnoteText"/>
      </w:pPr>
      <w:r>
        <w:rPr>
          <w:rStyle w:val="FootnoteReference"/>
        </w:rPr>
        <w:footnoteRef/>
      </w:r>
      <w:r>
        <w:t xml:space="preserve"> </w:t>
      </w:r>
      <w:r w:rsidRPr="004572E2">
        <w:t xml:space="preserve">Signed on 25 February 2021. Decree No. 655-21 contains the implementing regulations of the Electricity Pact. The full version of the Electricity Pact is available online at: </w:t>
      </w:r>
      <w:hyperlink r:id="rId123" w:history="1">
        <w:r w:rsidRPr="004572E2">
          <w:rPr>
            <w:rStyle w:val="Hyperlink"/>
          </w:rPr>
          <w:t>https://mem.gob.do/wp-content/uploads/2021/03/pactp-electrico.pdf</w:t>
        </w:r>
      </w:hyperlink>
      <w:r w:rsidRPr="004572E2">
        <w:t>.</w:t>
      </w:r>
    </w:p>
  </w:footnote>
  <w:footnote w:id="440">
    <w:p w14:paraId="29E1014C" w14:textId="77777777" w:rsidR="00EB7374" w:rsidRDefault="00EB7374">
      <w:pPr>
        <w:pStyle w:val="FootnoteText"/>
      </w:pPr>
      <w:r>
        <w:rPr>
          <w:rStyle w:val="FootnoteReference"/>
        </w:rPr>
        <w:footnoteRef/>
      </w:r>
      <w:r>
        <w:t xml:space="preserve"> </w:t>
      </w:r>
      <w:r w:rsidRPr="004572E2">
        <w:t>The Electricity Sector Action Plan sought to reduce losses to 10.5</w:t>
      </w:r>
      <w:r>
        <w:t>%</w:t>
      </w:r>
      <w:r w:rsidRPr="004572E2">
        <w:t xml:space="preserve"> by 2021.</w:t>
      </w:r>
    </w:p>
  </w:footnote>
  <w:footnote w:id="441">
    <w:p w14:paraId="37FB8399" w14:textId="77777777" w:rsidR="00EB7374" w:rsidRDefault="00EB7374">
      <w:pPr>
        <w:pStyle w:val="FootnoteText"/>
      </w:pPr>
      <w:r>
        <w:rPr>
          <w:rStyle w:val="FootnoteReference"/>
        </w:rPr>
        <w:footnoteRef/>
      </w:r>
      <w:r>
        <w:t xml:space="preserve"> </w:t>
      </w:r>
      <w:r w:rsidRPr="004572E2">
        <w:t>Generation and transmission losses are relatively low – below 2</w:t>
      </w:r>
      <w:r>
        <w:t>%</w:t>
      </w:r>
      <w:r w:rsidRPr="004572E2">
        <w:t xml:space="preserve"> in each area. The </w:t>
      </w:r>
      <w:proofErr w:type="spellStart"/>
      <w:r w:rsidRPr="004572E2">
        <w:t>Empresa</w:t>
      </w:r>
      <w:proofErr w:type="spellEnd"/>
      <w:r w:rsidRPr="004572E2">
        <w:t xml:space="preserve"> </w:t>
      </w:r>
      <w:proofErr w:type="spellStart"/>
      <w:r w:rsidRPr="004572E2">
        <w:t>Distribuidora</w:t>
      </w:r>
      <w:proofErr w:type="spellEnd"/>
      <w:r w:rsidRPr="004572E2">
        <w:t xml:space="preserve"> de </w:t>
      </w:r>
      <w:proofErr w:type="spellStart"/>
      <w:r w:rsidRPr="004572E2">
        <w:t>Electricidad</w:t>
      </w:r>
      <w:proofErr w:type="spellEnd"/>
      <w:r w:rsidRPr="004572E2">
        <w:t xml:space="preserve"> del Este (Eastern Electricity Distribution Company) (</w:t>
      </w:r>
      <w:proofErr w:type="spellStart"/>
      <w:r w:rsidRPr="004572E2">
        <w:t>EDEESTE</w:t>
      </w:r>
      <w:proofErr w:type="spellEnd"/>
      <w:r w:rsidRPr="004572E2">
        <w:t>) has particularly high loss rates. National Energy Commission, National Energy Plan 2022–36, March 2022.</w:t>
      </w:r>
    </w:p>
  </w:footnote>
  <w:footnote w:id="442">
    <w:p w14:paraId="46F446E5" w14:textId="77777777" w:rsidR="00EB7374" w:rsidRDefault="00EB7374">
      <w:pPr>
        <w:pStyle w:val="FootnoteText"/>
      </w:pPr>
      <w:r>
        <w:rPr>
          <w:rStyle w:val="FootnoteReference"/>
        </w:rPr>
        <w:footnoteRef/>
      </w:r>
      <w:r>
        <w:t xml:space="preserve"> </w:t>
      </w:r>
      <w:r w:rsidRPr="004572E2">
        <w:t>General Law on Electricity and Law No. 57-07.</w:t>
      </w:r>
    </w:p>
  </w:footnote>
  <w:footnote w:id="443">
    <w:p w14:paraId="24508F84" w14:textId="77777777" w:rsidR="00EB7374" w:rsidRDefault="00EB7374">
      <w:pPr>
        <w:pStyle w:val="FootnoteText"/>
      </w:pPr>
      <w:r>
        <w:rPr>
          <w:rStyle w:val="FootnoteReference"/>
        </w:rPr>
        <w:footnoteRef/>
      </w:r>
      <w:r>
        <w:t xml:space="preserve"> </w:t>
      </w:r>
      <w:r w:rsidRPr="004572E2">
        <w:t xml:space="preserve">Law No. 394-14 authorizes the Dominican State, through the </w:t>
      </w:r>
      <w:proofErr w:type="spellStart"/>
      <w:r w:rsidRPr="004572E2">
        <w:t>CDEEE</w:t>
      </w:r>
      <w:proofErr w:type="spellEnd"/>
      <w:r w:rsidRPr="004572E2">
        <w:t xml:space="preserve">, to be involved, directly or indirectly, in electricity generation as a promoter, operator and/or owner. The authorities indicate that, since the </w:t>
      </w:r>
      <w:proofErr w:type="spellStart"/>
      <w:r w:rsidRPr="004572E2">
        <w:t>CDEEE</w:t>
      </w:r>
      <w:proofErr w:type="spellEnd"/>
      <w:r w:rsidRPr="004572E2">
        <w:t xml:space="preserve"> is being liquidated, rights over future electricity generation facilities will be awarded through public tenders or public-private partnerships.</w:t>
      </w:r>
    </w:p>
  </w:footnote>
  <w:footnote w:id="444">
    <w:p w14:paraId="419E8A01" w14:textId="77777777" w:rsidR="00EB7374" w:rsidRDefault="00EB7374">
      <w:pPr>
        <w:pStyle w:val="FootnoteText"/>
      </w:pPr>
      <w:r>
        <w:rPr>
          <w:rStyle w:val="FootnoteReference"/>
        </w:rPr>
        <w:footnoteRef/>
      </w:r>
      <w:r>
        <w:t xml:space="preserve"> </w:t>
      </w:r>
      <w:r w:rsidRPr="004572E2">
        <w:t>Decree No. 538-21.</w:t>
      </w:r>
    </w:p>
  </w:footnote>
  <w:footnote w:id="445">
    <w:p w14:paraId="7A21140A" w14:textId="77777777" w:rsidR="00EB7374" w:rsidRDefault="00EB7374">
      <w:pPr>
        <w:pStyle w:val="FootnoteText"/>
      </w:pPr>
      <w:r>
        <w:rPr>
          <w:rStyle w:val="FootnoteReference"/>
        </w:rPr>
        <w:footnoteRef/>
      </w:r>
      <w:r>
        <w:t xml:space="preserve"> </w:t>
      </w:r>
      <w:r w:rsidRPr="004572E2">
        <w:t xml:space="preserve">For instance, the following systems have been integrated during the review period: </w:t>
      </w:r>
      <w:proofErr w:type="spellStart"/>
      <w:r w:rsidRPr="004572E2">
        <w:t>Altobandera</w:t>
      </w:r>
      <w:proofErr w:type="spellEnd"/>
      <w:r w:rsidRPr="004572E2">
        <w:t>, Cap</w:t>
      </w:r>
      <w:r>
        <w:t> </w:t>
      </w:r>
      <w:r w:rsidRPr="004572E2">
        <w:t xml:space="preserve">Cana Caribe, </w:t>
      </w:r>
      <w:proofErr w:type="spellStart"/>
      <w:r w:rsidRPr="004572E2">
        <w:t>Compañía</w:t>
      </w:r>
      <w:proofErr w:type="spellEnd"/>
      <w:r w:rsidRPr="004572E2">
        <w:t xml:space="preserve"> de </w:t>
      </w:r>
      <w:proofErr w:type="spellStart"/>
      <w:r w:rsidRPr="004572E2">
        <w:t>Electricidad</w:t>
      </w:r>
      <w:proofErr w:type="spellEnd"/>
      <w:r w:rsidRPr="004572E2">
        <w:t xml:space="preserve"> de </w:t>
      </w:r>
      <w:proofErr w:type="spellStart"/>
      <w:r w:rsidRPr="004572E2">
        <w:t>Bayahíbe</w:t>
      </w:r>
      <w:proofErr w:type="spellEnd"/>
      <w:r w:rsidRPr="004572E2">
        <w:t xml:space="preserve">, </w:t>
      </w:r>
      <w:proofErr w:type="spellStart"/>
      <w:r w:rsidRPr="004572E2">
        <w:t>Corporación</w:t>
      </w:r>
      <w:proofErr w:type="spellEnd"/>
      <w:r w:rsidRPr="004572E2">
        <w:t xml:space="preserve"> </w:t>
      </w:r>
      <w:proofErr w:type="spellStart"/>
      <w:r w:rsidRPr="004572E2">
        <w:t>Turística</w:t>
      </w:r>
      <w:proofErr w:type="spellEnd"/>
      <w:r w:rsidRPr="004572E2">
        <w:t xml:space="preserve"> de </w:t>
      </w:r>
      <w:proofErr w:type="spellStart"/>
      <w:r w:rsidRPr="004572E2">
        <w:t>Servicios</w:t>
      </w:r>
      <w:proofErr w:type="spellEnd"/>
      <w:r w:rsidRPr="004572E2">
        <w:t xml:space="preserve"> Punta Cana, </w:t>
      </w:r>
      <w:proofErr w:type="spellStart"/>
      <w:r w:rsidRPr="004572E2">
        <w:t>Costasur</w:t>
      </w:r>
      <w:proofErr w:type="spellEnd"/>
      <w:r w:rsidRPr="004572E2">
        <w:t xml:space="preserve"> </w:t>
      </w:r>
      <w:proofErr w:type="spellStart"/>
      <w:r w:rsidRPr="004572E2">
        <w:t>Dominicana</w:t>
      </w:r>
      <w:proofErr w:type="spellEnd"/>
      <w:r w:rsidRPr="004572E2">
        <w:t xml:space="preserve">, Luz y </w:t>
      </w:r>
      <w:proofErr w:type="spellStart"/>
      <w:r w:rsidRPr="004572E2">
        <w:t>Fuerza</w:t>
      </w:r>
      <w:proofErr w:type="spellEnd"/>
      <w:r w:rsidRPr="004572E2">
        <w:t xml:space="preserve"> de Las Terrenas, El </w:t>
      </w:r>
      <w:proofErr w:type="spellStart"/>
      <w:r w:rsidRPr="004572E2">
        <w:t>Progreso</w:t>
      </w:r>
      <w:proofErr w:type="spellEnd"/>
      <w:r w:rsidRPr="004572E2">
        <w:t xml:space="preserve"> del Limón and Puerto Plata de </w:t>
      </w:r>
      <w:proofErr w:type="spellStart"/>
      <w:r w:rsidRPr="004572E2">
        <w:t>Electricidad</w:t>
      </w:r>
      <w:proofErr w:type="spellEnd"/>
      <w:r w:rsidRPr="004572E2">
        <w:t xml:space="preserve">. The </w:t>
      </w:r>
      <w:proofErr w:type="spellStart"/>
      <w:r w:rsidRPr="004572E2">
        <w:t>Consorcio</w:t>
      </w:r>
      <w:proofErr w:type="spellEnd"/>
      <w:r w:rsidRPr="004572E2">
        <w:t xml:space="preserve"> </w:t>
      </w:r>
      <w:proofErr w:type="spellStart"/>
      <w:r w:rsidRPr="004572E2">
        <w:t>Energético</w:t>
      </w:r>
      <w:proofErr w:type="spellEnd"/>
      <w:r w:rsidRPr="004572E2">
        <w:t xml:space="preserve"> Punta Cana-Macao continues to operate as an isolated system and its activities include electricity transmission within its concession area. In many cases, the isolated systems do not apply a SIE</w:t>
      </w:r>
      <w:r>
        <w:noBreakHyphen/>
      </w:r>
      <w:r w:rsidRPr="004572E2">
        <w:t>approved tariff structure.</w:t>
      </w:r>
    </w:p>
  </w:footnote>
  <w:footnote w:id="446">
    <w:p w14:paraId="620AAF01" w14:textId="5044E3BF" w:rsidR="00EB7374" w:rsidRDefault="00EB7374">
      <w:pPr>
        <w:pStyle w:val="FootnoteText"/>
      </w:pPr>
      <w:r>
        <w:rPr>
          <w:rStyle w:val="FootnoteReference"/>
        </w:rPr>
        <w:footnoteRef/>
      </w:r>
      <w:r>
        <w:t xml:space="preserve"> </w:t>
      </w:r>
      <w:r w:rsidRPr="004572E2">
        <w:t>According to the authorities, various factors are taken into account when determining the concession's time span, such as the general interest, the project</w:t>
      </w:r>
      <w:r w:rsidR="00FE5A32">
        <w:t>'</w:t>
      </w:r>
      <w:r w:rsidRPr="004572E2">
        <w:t>s social value, and the guaranteed return on and profitability of the investment.</w:t>
      </w:r>
    </w:p>
  </w:footnote>
  <w:footnote w:id="447">
    <w:p w14:paraId="4EE89E71" w14:textId="77777777" w:rsidR="00EB7374" w:rsidRDefault="00EB7374">
      <w:pPr>
        <w:pStyle w:val="FootnoteText"/>
      </w:pPr>
      <w:r>
        <w:rPr>
          <w:rStyle w:val="FootnoteReference"/>
        </w:rPr>
        <w:footnoteRef/>
      </w:r>
      <w:r>
        <w:t xml:space="preserve"> </w:t>
      </w:r>
      <w:r w:rsidRPr="004572E2">
        <w:t xml:space="preserve">Dominican Power Partners (270 MW) and </w:t>
      </w:r>
      <w:proofErr w:type="spellStart"/>
      <w:r w:rsidRPr="004572E2">
        <w:t>Compañía</w:t>
      </w:r>
      <w:proofErr w:type="spellEnd"/>
      <w:r w:rsidRPr="004572E2">
        <w:t xml:space="preserve"> </w:t>
      </w:r>
      <w:proofErr w:type="spellStart"/>
      <w:r w:rsidRPr="004572E2">
        <w:t>Eléctrica</w:t>
      </w:r>
      <w:proofErr w:type="spellEnd"/>
      <w:r w:rsidRPr="004572E2">
        <w:t xml:space="preserve"> de San Pedro de </w:t>
      </w:r>
      <w:proofErr w:type="spellStart"/>
      <w:r w:rsidRPr="004572E2">
        <w:t>Macorís</w:t>
      </w:r>
      <w:proofErr w:type="spellEnd"/>
      <w:r w:rsidRPr="004572E2">
        <w:t xml:space="preserve"> (300 MW).</w:t>
      </w:r>
    </w:p>
  </w:footnote>
  <w:footnote w:id="448">
    <w:p w14:paraId="4D13302A" w14:textId="77777777" w:rsidR="00EB7374" w:rsidRDefault="00EB7374">
      <w:pPr>
        <w:pStyle w:val="FootnoteText"/>
      </w:pPr>
      <w:r>
        <w:rPr>
          <w:rStyle w:val="FootnoteReference"/>
        </w:rPr>
        <w:footnoteRef/>
      </w:r>
      <w:r>
        <w:t xml:space="preserve"> </w:t>
      </w:r>
      <w:r w:rsidRPr="004572E2">
        <w:t xml:space="preserve">Decree No. 608-21. In 2021, the </w:t>
      </w:r>
      <w:proofErr w:type="spellStart"/>
      <w:r w:rsidRPr="004572E2">
        <w:t>CNE</w:t>
      </w:r>
      <w:proofErr w:type="spellEnd"/>
      <w:r w:rsidRPr="004572E2">
        <w:t xml:space="preserve"> issued a price recommendation for long-term renewable energy purchase contracts with distributors.</w:t>
      </w:r>
    </w:p>
  </w:footnote>
  <w:footnote w:id="449">
    <w:p w14:paraId="742B904C" w14:textId="77777777" w:rsidR="00EB7374" w:rsidRDefault="00EB7374">
      <w:pPr>
        <w:pStyle w:val="FootnoteText"/>
      </w:pPr>
      <w:r>
        <w:rPr>
          <w:rStyle w:val="FootnoteReference"/>
        </w:rPr>
        <w:footnoteRef/>
      </w:r>
      <w:r>
        <w:t xml:space="preserve"> </w:t>
      </w:r>
      <w:r w:rsidRPr="004572E2">
        <w:t>This regime is described in detail in WTO document WT/TPR/S/319/Rev.1 of 13 November 2015.</w:t>
      </w:r>
    </w:p>
  </w:footnote>
  <w:footnote w:id="450">
    <w:p w14:paraId="464BBA08" w14:textId="77777777" w:rsidR="00EB7374" w:rsidRDefault="00EB7374">
      <w:pPr>
        <w:pStyle w:val="FootnoteText"/>
      </w:pPr>
      <w:r>
        <w:rPr>
          <w:rStyle w:val="FootnoteReference"/>
        </w:rPr>
        <w:footnoteRef/>
      </w:r>
      <w:r>
        <w:t xml:space="preserve"> </w:t>
      </w:r>
      <w:r w:rsidRPr="004572E2">
        <w:t>Law No. 57-07, as amended by Laws No. 253-12 and No. 115-15, and Decree No. 202.08. The incentives set forth in the Law were not amended but rather extended to include other renewable energy producers.</w:t>
      </w:r>
    </w:p>
  </w:footnote>
  <w:footnote w:id="451">
    <w:p w14:paraId="622C99A6" w14:textId="77777777" w:rsidR="00EB7374" w:rsidRDefault="00EB7374">
      <w:pPr>
        <w:pStyle w:val="FootnoteText"/>
      </w:pPr>
      <w:r>
        <w:rPr>
          <w:rStyle w:val="FootnoteReference"/>
        </w:rPr>
        <w:footnoteRef/>
      </w:r>
      <w:r>
        <w:t xml:space="preserve"> </w:t>
      </w:r>
      <w:r w:rsidRPr="004572E2">
        <w:t>Law No. 225-20 and Decree No. 320-21.</w:t>
      </w:r>
    </w:p>
  </w:footnote>
  <w:footnote w:id="452">
    <w:p w14:paraId="640F5FDA" w14:textId="77777777" w:rsidR="00EB7374" w:rsidRDefault="00EB7374">
      <w:pPr>
        <w:pStyle w:val="FootnoteText"/>
      </w:pPr>
      <w:r>
        <w:rPr>
          <w:rStyle w:val="FootnoteReference"/>
        </w:rPr>
        <w:footnoteRef/>
      </w:r>
      <w:r>
        <w:t xml:space="preserve"> </w:t>
      </w:r>
      <w:r w:rsidRPr="004572E2">
        <w:t>Free clients can buy their electricity directly on the spot market. In 2020, only 96 of the 214 free clients made use of the wholesale electricity market; the majority of free clients have a direct business relationship with a distributor.</w:t>
      </w:r>
    </w:p>
  </w:footnote>
  <w:footnote w:id="453">
    <w:p w14:paraId="3CDD1346" w14:textId="77777777" w:rsidR="00EB7374" w:rsidRDefault="00EB7374">
      <w:pPr>
        <w:pStyle w:val="FootnoteText"/>
      </w:pPr>
      <w:r>
        <w:rPr>
          <w:rStyle w:val="FootnoteReference"/>
        </w:rPr>
        <w:footnoteRef/>
      </w:r>
      <w:r>
        <w:t xml:space="preserve"> </w:t>
      </w:r>
      <w:r w:rsidRPr="004572E2">
        <w:t>SIE Resolution No. 61-22 contains the most recent tariff update for the quarter from July to September</w:t>
      </w:r>
      <w:r>
        <w:t> </w:t>
      </w:r>
      <w:r w:rsidRPr="004572E2">
        <w:t>2022.</w:t>
      </w:r>
    </w:p>
  </w:footnote>
  <w:footnote w:id="454">
    <w:p w14:paraId="08393F8C" w14:textId="77777777" w:rsidR="00EB7374" w:rsidRDefault="00EB7374">
      <w:pPr>
        <w:pStyle w:val="FootnoteText"/>
      </w:pPr>
      <w:r>
        <w:rPr>
          <w:rStyle w:val="FootnoteReference"/>
        </w:rPr>
        <w:footnoteRef/>
      </w:r>
      <w:r>
        <w:t xml:space="preserve"> </w:t>
      </w:r>
      <w:r w:rsidRPr="004572E2">
        <w:t>The method for calculating the technical tariff was updated in June 2022 through SIE Resolution No. 65-22.</w:t>
      </w:r>
    </w:p>
  </w:footnote>
  <w:footnote w:id="455">
    <w:p w14:paraId="17478C8B" w14:textId="77777777" w:rsidR="00EB7374" w:rsidRDefault="00EB7374">
      <w:pPr>
        <w:pStyle w:val="FootnoteText"/>
      </w:pPr>
      <w:r>
        <w:rPr>
          <w:rStyle w:val="FootnoteReference"/>
        </w:rPr>
        <w:footnoteRef/>
      </w:r>
      <w:r>
        <w:t xml:space="preserve"> </w:t>
      </w:r>
      <w:r w:rsidRPr="004572E2">
        <w:t>Decree No. 302-03.</w:t>
      </w:r>
    </w:p>
  </w:footnote>
  <w:footnote w:id="456">
    <w:p w14:paraId="2EE76A31" w14:textId="77777777" w:rsidR="00EB7374" w:rsidRDefault="00EB7374">
      <w:pPr>
        <w:pStyle w:val="FootnoteText"/>
      </w:pPr>
      <w:r>
        <w:rPr>
          <w:rStyle w:val="FootnoteReference"/>
        </w:rPr>
        <w:footnoteRef/>
      </w:r>
      <w:r>
        <w:t xml:space="preserve"> </w:t>
      </w:r>
      <w:r w:rsidRPr="004572E2">
        <w:t>These regimes are mutually exclusive, in other words a company cannot operate under two different regimes at the same time.</w:t>
      </w:r>
    </w:p>
  </w:footnote>
  <w:footnote w:id="457">
    <w:p w14:paraId="7EE1AE64" w14:textId="77777777" w:rsidR="00EB7374" w:rsidRDefault="00EB7374">
      <w:pPr>
        <w:pStyle w:val="FootnoteText"/>
      </w:pPr>
      <w:r>
        <w:rPr>
          <w:rStyle w:val="FootnoteReference"/>
        </w:rPr>
        <w:footnoteRef/>
      </w:r>
      <w:r>
        <w:t xml:space="preserve"> </w:t>
      </w:r>
      <w:r w:rsidRPr="004572E2">
        <w:t>Law No. 392-07 and Decree No. 674-12.</w:t>
      </w:r>
    </w:p>
  </w:footnote>
  <w:footnote w:id="458">
    <w:p w14:paraId="32EC354E" w14:textId="77777777" w:rsidR="00EB7374" w:rsidRDefault="00EB7374">
      <w:pPr>
        <w:pStyle w:val="FootnoteText"/>
      </w:pPr>
      <w:r>
        <w:rPr>
          <w:rStyle w:val="FootnoteReference"/>
        </w:rPr>
        <w:footnoteRef/>
      </w:r>
      <w:r>
        <w:t xml:space="preserve"> </w:t>
      </w:r>
      <w:r w:rsidRPr="004572E2">
        <w:t xml:space="preserve">To apply for Industrial Recognition, the applicant company must show that: (a) it is a manufacturing industry dedicated to the production of tangible and marketable goods; (b) that the industrial activity is carried out in a factory; and (c) that the industry is not benefiting from any special regime that offers exemption from the </w:t>
      </w:r>
      <w:proofErr w:type="spellStart"/>
      <w:r w:rsidRPr="004572E2">
        <w:t>ISR</w:t>
      </w:r>
      <w:proofErr w:type="spellEnd"/>
      <w:r w:rsidRPr="004572E2">
        <w:t xml:space="preserve"> (</w:t>
      </w:r>
      <w:proofErr w:type="spellStart"/>
      <w:r w:rsidRPr="004572E2">
        <w:t>PROINDUSTRIA</w:t>
      </w:r>
      <w:proofErr w:type="spellEnd"/>
      <w:r w:rsidRPr="004572E2">
        <w:t xml:space="preserve"> Resolution No. 248-52-2013).</w:t>
      </w:r>
    </w:p>
  </w:footnote>
  <w:footnote w:id="459">
    <w:p w14:paraId="2AC5B84B" w14:textId="77777777" w:rsidR="00EB7374" w:rsidRDefault="00EB7374">
      <w:pPr>
        <w:pStyle w:val="FootnoteText"/>
      </w:pPr>
      <w:r>
        <w:rPr>
          <w:rStyle w:val="FootnoteReference"/>
        </w:rPr>
        <w:footnoteRef/>
      </w:r>
      <w:r>
        <w:t xml:space="preserve"> </w:t>
      </w:r>
      <w:r w:rsidRPr="004572E2">
        <w:t xml:space="preserve">Law No. 242-20 amended the scope of Law No. 392-07 on Industrial Competitiveness and Innovation, as amended by Law No. 542-14. In addition, Law No. 242-20 modified the composition of the management board of </w:t>
      </w:r>
      <w:proofErr w:type="spellStart"/>
      <w:r w:rsidRPr="004572E2">
        <w:t>PROINDUSTRIA</w:t>
      </w:r>
      <w:proofErr w:type="spellEnd"/>
      <w:r w:rsidRPr="004572E2">
        <w:t>.</w:t>
      </w:r>
    </w:p>
  </w:footnote>
  <w:footnote w:id="460">
    <w:p w14:paraId="7E3BEF9B" w14:textId="162F6F69" w:rsidR="00EB7374" w:rsidRDefault="00EB7374">
      <w:pPr>
        <w:pStyle w:val="FootnoteText"/>
      </w:pPr>
      <w:r>
        <w:rPr>
          <w:rStyle w:val="FootnoteReference"/>
        </w:rPr>
        <w:footnoteRef/>
      </w:r>
      <w:r>
        <w:t xml:space="preserve"> </w:t>
      </w:r>
      <w:r w:rsidRPr="004572E2">
        <w:t xml:space="preserve">The eligible capital goods are listed in Article 24 of Law No. 557-05, while the eligible raw materials and </w:t>
      </w:r>
      <w:r w:rsidR="002E75FF">
        <w:t>inputs</w:t>
      </w:r>
      <w:r w:rsidRPr="004572E2">
        <w:t xml:space="preserve"> are those listed in the Seventh Edition of the Tariff Codes with a 0</w:t>
      </w:r>
      <w:r>
        <w:t>%</w:t>
      </w:r>
      <w:r w:rsidRPr="004572E2">
        <w:t xml:space="preserve"> tariff.</w:t>
      </w:r>
    </w:p>
  </w:footnote>
  <w:footnote w:id="461">
    <w:p w14:paraId="5C640FC2" w14:textId="77777777" w:rsidR="00EB7374" w:rsidRDefault="00EB7374">
      <w:pPr>
        <w:pStyle w:val="FootnoteText"/>
      </w:pPr>
      <w:r>
        <w:rPr>
          <w:rStyle w:val="FootnoteReference"/>
        </w:rPr>
        <w:footnoteRef/>
      </w:r>
      <w:r>
        <w:t xml:space="preserve"> </w:t>
      </w:r>
      <w:r w:rsidRPr="004572E2">
        <w:t>The selective consumption taxes on telecommunications, insurance and fuels are refunded, as is the tax on cheques.</w:t>
      </w:r>
    </w:p>
  </w:footnote>
  <w:footnote w:id="462">
    <w:p w14:paraId="05BD6876" w14:textId="289148B1" w:rsidR="00EB7374" w:rsidRDefault="00EB7374">
      <w:pPr>
        <w:pStyle w:val="FootnoteText"/>
      </w:pPr>
      <w:r>
        <w:rPr>
          <w:rStyle w:val="FootnoteReference"/>
        </w:rPr>
        <w:footnoteRef/>
      </w:r>
      <w:r>
        <w:t xml:space="preserve"> </w:t>
      </w:r>
      <w:r w:rsidRPr="004572E2">
        <w:t xml:space="preserve">Under this regime, local manufacturers may process raw materials, </w:t>
      </w:r>
      <w:r w:rsidR="002E75FF">
        <w:t>inputs</w:t>
      </w:r>
      <w:r w:rsidRPr="004572E2">
        <w:t xml:space="preserve"> and/or intermediate or end goods covered by a special regime, provided that the processed goods re-enter the special regime within a maximum </w:t>
      </w:r>
      <w:r w:rsidR="002E75FF">
        <w:t>non-</w:t>
      </w:r>
      <w:r w:rsidRPr="004572E2">
        <w:t>renewable period of six months (Law No. 542-14). According to the authorities, the aim of this regime is to strengthen ties between local industry and industries in free zones.</w:t>
      </w:r>
    </w:p>
  </w:footnote>
  <w:footnote w:id="463">
    <w:p w14:paraId="4E5D2852" w14:textId="77777777" w:rsidR="00EB7374" w:rsidRDefault="00EB7374">
      <w:pPr>
        <w:pStyle w:val="FootnoteText"/>
      </w:pPr>
      <w:r>
        <w:rPr>
          <w:rStyle w:val="FootnoteReference"/>
        </w:rPr>
        <w:footnoteRef/>
      </w:r>
      <w:r>
        <w:t xml:space="preserve"> </w:t>
      </w:r>
      <w:r w:rsidRPr="004572E2">
        <w:t xml:space="preserve">This regime covers the provinces of Pedernales, </w:t>
      </w:r>
      <w:proofErr w:type="spellStart"/>
      <w:r w:rsidRPr="004572E2">
        <w:t>Independencia</w:t>
      </w:r>
      <w:proofErr w:type="spellEnd"/>
      <w:r w:rsidRPr="004572E2">
        <w:t xml:space="preserve">, Elías Piña, </w:t>
      </w:r>
      <w:proofErr w:type="spellStart"/>
      <w:r w:rsidRPr="004572E2">
        <w:t>Dajabón</w:t>
      </w:r>
      <w:proofErr w:type="spellEnd"/>
      <w:r w:rsidRPr="004572E2">
        <w:t xml:space="preserve">, </w:t>
      </w:r>
      <w:proofErr w:type="spellStart"/>
      <w:r w:rsidRPr="004572E2">
        <w:t>Montecristi</w:t>
      </w:r>
      <w:proofErr w:type="spellEnd"/>
      <w:r w:rsidRPr="004572E2">
        <w:t xml:space="preserve">, Santiago Rodríguez and </w:t>
      </w:r>
      <w:proofErr w:type="spellStart"/>
      <w:r w:rsidRPr="004572E2">
        <w:t>Bahoruco</w:t>
      </w:r>
      <w:proofErr w:type="spellEnd"/>
      <w:r w:rsidRPr="004572E2">
        <w:t xml:space="preserve"> (Law No. 12-21 and Decree No. 766-21).</w:t>
      </w:r>
    </w:p>
  </w:footnote>
  <w:footnote w:id="464">
    <w:p w14:paraId="66E0A721" w14:textId="654821FD" w:rsidR="00EB7374" w:rsidRDefault="00EB7374">
      <w:pPr>
        <w:pStyle w:val="FootnoteText"/>
      </w:pPr>
      <w:r>
        <w:rPr>
          <w:rStyle w:val="FootnoteReference"/>
        </w:rPr>
        <w:footnoteRef/>
      </w:r>
      <w:r>
        <w:t xml:space="preserve"> </w:t>
      </w:r>
      <w:r w:rsidRPr="004572E2">
        <w:t>Council for the Coordination of the Special Border Development Zone</w:t>
      </w:r>
      <w:r w:rsidR="002E75FF">
        <w:t>.</w:t>
      </w:r>
      <w:r w:rsidRPr="004572E2">
        <w:t xml:space="preserve"> </w:t>
      </w:r>
      <w:r w:rsidR="002E75FF">
        <w:t>Viewed</w:t>
      </w:r>
      <w:r w:rsidRPr="004572E2">
        <w:t xml:space="preserve"> at: </w:t>
      </w:r>
      <w:hyperlink r:id="rId124" w:history="1">
        <w:r w:rsidRPr="00076BE1">
          <w:rPr>
            <w:rStyle w:val="Hyperlink"/>
          </w:rPr>
          <w:t>https://ccdf.gob.do/phocadownload/SobreNosotros/MarcoLegal/Beneficios/Beneficios%20Ley%2012-21.pdf</w:t>
        </w:r>
      </w:hyperlink>
      <w:r w:rsidRPr="004572E2">
        <w:t>.</w:t>
      </w:r>
    </w:p>
  </w:footnote>
  <w:footnote w:id="465">
    <w:p w14:paraId="537898EB" w14:textId="77777777" w:rsidR="00EB7374" w:rsidRPr="00A35956" w:rsidRDefault="00EB7374" w:rsidP="00B0434B">
      <w:pPr>
        <w:pStyle w:val="FootnoteText"/>
        <w:jc w:val="both"/>
        <w:rPr>
          <w:szCs w:val="16"/>
        </w:rPr>
      </w:pPr>
      <w:r>
        <w:rPr>
          <w:rStyle w:val="FootnoteReference"/>
          <w:szCs w:val="16"/>
        </w:rPr>
        <w:footnoteRef/>
      </w:r>
      <w:r>
        <w:t xml:space="preserve"> Article 34 of the Monetary and Financial Law (Law No. 183-02).</w:t>
      </w:r>
    </w:p>
  </w:footnote>
  <w:footnote w:id="466">
    <w:p w14:paraId="548F59D8" w14:textId="77777777" w:rsidR="00EB7374" w:rsidRPr="00A35956" w:rsidRDefault="00EB7374" w:rsidP="00B0434B">
      <w:pPr>
        <w:pStyle w:val="FootnoteText"/>
        <w:rPr>
          <w:szCs w:val="16"/>
        </w:rPr>
      </w:pPr>
      <w:r>
        <w:rPr>
          <w:rStyle w:val="FootnoteReference"/>
          <w:szCs w:val="16"/>
        </w:rPr>
        <w:footnoteRef/>
      </w:r>
      <w:r>
        <w:t xml:space="preserve"> Article 75 of the Monetary and Financial Law (Law No. 183-02) and Articles 37-39 of the Regulation on the Opening and Operation of Financial Intermediation Entities and Representative Offices of 11 May 2004.</w:t>
      </w:r>
    </w:p>
  </w:footnote>
  <w:footnote w:id="467">
    <w:p w14:paraId="1A769195" w14:textId="77777777" w:rsidR="00EB7374" w:rsidRPr="00A35956" w:rsidRDefault="00EB7374" w:rsidP="00B0434B">
      <w:pPr>
        <w:pStyle w:val="FootnoteText"/>
      </w:pPr>
      <w:r>
        <w:rPr>
          <w:rStyle w:val="FootnoteReference"/>
          <w:szCs w:val="16"/>
        </w:rPr>
        <w:footnoteRef/>
      </w:r>
      <w:r>
        <w:t xml:space="preserve"> The Monetary Board introduced quick liquidity facilities (</w:t>
      </w:r>
      <w:proofErr w:type="spellStart"/>
      <w:r>
        <w:t>FLR</w:t>
      </w:r>
      <w:proofErr w:type="spellEnd"/>
      <w:r>
        <w:t>) in its Fourth Resolution of 22 July 2020, its Second Resolution of 8 October 2020, and its Fourth Resolution of 25 February 2021. The Monetary Board also approved the provision of resources in national currency through its First Resolution of 17 March 2020, its Second Resolution of 24 March 2020 and its Third Resolution of 16 April 2020.</w:t>
      </w:r>
      <w:r>
        <w:rPr>
          <w:rFonts w:ascii="Times New Roman" w:hAnsi="Times New Roman"/>
          <w:sz w:val="18"/>
        </w:rPr>
        <w:t xml:space="preserve"> </w:t>
      </w:r>
    </w:p>
  </w:footnote>
  <w:footnote w:id="468">
    <w:p w14:paraId="51BBBA00" w14:textId="77777777" w:rsidR="00EB7374" w:rsidRPr="00A35956" w:rsidRDefault="00EB7374" w:rsidP="00B0434B">
      <w:pPr>
        <w:pStyle w:val="FootnoteText"/>
      </w:pPr>
      <w:r>
        <w:rPr>
          <w:rStyle w:val="FootnoteReference"/>
        </w:rPr>
        <w:footnoteRef/>
      </w:r>
      <w:r>
        <w:t xml:space="preserve"> Integrated Trade Intelligence Portal for services (I-TIP Services) of the WTO and the World Bank. Viewed at: </w:t>
      </w:r>
      <w:hyperlink r:id="rId125" w:history="1">
        <w:r w:rsidRPr="00D30226">
          <w:rPr>
            <w:rStyle w:val="Hyperlink"/>
          </w:rPr>
          <w:t>http://i-tip.wto.org/services/default.aspx</w:t>
        </w:r>
      </w:hyperlink>
      <w:r>
        <w:t>.</w:t>
      </w:r>
    </w:p>
  </w:footnote>
  <w:footnote w:id="469">
    <w:p w14:paraId="29DB66AC" w14:textId="77777777" w:rsidR="00EB7374" w:rsidRPr="00A35956" w:rsidRDefault="00EB7374" w:rsidP="00B0434B">
      <w:pPr>
        <w:pStyle w:val="FootnoteText"/>
      </w:pPr>
      <w:r>
        <w:rPr>
          <w:rStyle w:val="FootnoteReference"/>
        </w:rPr>
        <w:footnoteRef/>
      </w:r>
      <w:r>
        <w:t xml:space="preserve"> Article 34 of Law No. 183-02.</w:t>
      </w:r>
    </w:p>
  </w:footnote>
  <w:footnote w:id="470">
    <w:p w14:paraId="60FE91B3" w14:textId="77777777" w:rsidR="00EB7374" w:rsidRPr="00A35956" w:rsidRDefault="00EB7374" w:rsidP="00B0434B">
      <w:pPr>
        <w:pStyle w:val="FootnoteText"/>
      </w:pPr>
      <w:r>
        <w:rPr>
          <w:rStyle w:val="FootnoteReference"/>
        </w:rPr>
        <w:footnoteRef/>
      </w:r>
      <w:r>
        <w:t xml:space="preserve"> Article 75 of Law No. 183-02 and Articles 37-39 of the Regulation on the Opening and Operation of Financial Intermediation Entities and Representative Offices of 11 May 2004.</w:t>
      </w:r>
    </w:p>
  </w:footnote>
  <w:footnote w:id="471">
    <w:p w14:paraId="2128693B" w14:textId="77777777" w:rsidR="00EB7374" w:rsidRPr="00A35956" w:rsidRDefault="00EB7374" w:rsidP="00B0434B">
      <w:pPr>
        <w:pStyle w:val="FootnoteText"/>
      </w:pPr>
      <w:r>
        <w:rPr>
          <w:rStyle w:val="FootnoteReference"/>
        </w:rPr>
        <w:footnoteRef/>
      </w:r>
      <w:r>
        <w:t xml:space="preserve"> Article 76 of Law No. 183-02. </w:t>
      </w:r>
    </w:p>
  </w:footnote>
  <w:footnote w:id="472">
    <w:p w14:paraId="2659B0CF" w14:textId="77777777" w:rsidR="00EB7374" w:rsidRPr="00A35956" w:rsidRDefault="00EB7374" w:rsidP="00B0434B">
      <w:pPr>
        <w:pStyle w:val="FootnoteText"/>
      </w:pPr>
      <w:r>
        <w:rPr>
          <w:rStyle w:val="FootnoteReference"/>
        </w:rPr>
        <w:footnoteRef/>
      </w:r>
      <w:r>
        <w:t xml:space="preserve"> Information from the Banking Supervisory Authority. Viewed at: </w:t>
      </w:r>
      <w:hyperlink r:id="rId126" w:history="1">
        <w:r w:rsidRPr="00D30226">
          <w:rPr>
            <w:rStyle w:val="Hyperlink"/>
          </w:rPr>
          <w:t>https://www.sb.gob.do/entidades-autorizadas-sib/entidades</w:t>
        </w:r>
      </w:hyperlink>
      <w:r>
        <w:t>.</w:t>
      </w:r>
    </w:p>
  </w:footnote>
  <w:footnote w:id="473">
    <w:p w14:paraId="59E0CDC3" w14:textId="77777777" w:rsidR="00EB7374" w:rsidRPr="00A35956" w:rsidRDefault="00EB7374" w:rsidP="00B0434B">
      <w:pPr>
        <w:pStyle w:val="FootnoteText"/>
        <w:rPr>
          <w:szCs w:val="16"/>
        </w:rPr>
      </w:pPr>
      <w:r>
        <w:rPr>
          <w:rStyle w:val="FootnoteReference"/>
          <w:szCs w:val="16"/>
        </w:rPr>
        <w:footnoteRef/>
      </w:r>
      <w:r>
        <w:t xml:space="preserve"> Law No. 122-21 allows potential private shareholders to own equity in </w:t>
      </w:r>
      <w:proofErr w:type="spellStart"/>
      <w:r>
        <w:t>BANDEX</w:t>
      </w:r>
      <w:proofErr w:type="spellEnd"/>
      <w:r>
        <w:t>.</w:t>
      </w:r>
    </w:p>
  </w:footnote>
  <w:footnote w:id="474">
    <w:p w14:paraId="2042A681" w14:textId="77777777" w:rsidR="00EB7374" w:rsidRPr="00A35956" w:rsidRDefault="00EB7374" w:rsidP="00B0434B">
      <w:pPr>
        <w:pStyle w:val="FootnoteText"/>
        <w:rPr>
          <w:szCs w:val="16"/>
        </w:rPr>
      </w:pPr>
      <w:r>
        <w:rPr>
          <w:rStyle w:val="FootnoteReference"/>
          <w:szCs w:val="16"/>
        </w:rPr>
        <w:footnoteRef/>
      </w:r>
      <w:r>
        <w:t xml:space="preserve"> Information from the Banking Supervisory Authority. Viewed at: </w:t>
      </w:r>
      <w:hyperlink r:id="rId127" w:history="1">
        <w:r w:rsidRPr="00D30226">
          <w:rPr>
            <w:rStyle w:val="Hyperlink"/>
          </w:rPr>
          <w:t>https://www.sb.gob.do/entidades-autorizadas-sib/oficinas_representacion/9</w:t>
        </w:r>
      </w:hyperlink>
      <w:r>
        <w:t>.</w:t>
      </w:r>
    </w:p>
  </w:footnote>
  <w:footnote w:id="475">
    <w:p w14:paraId="37FA7596" w14:textId="77777777" w:rsidR="00EB7374" w:rsidRPr="00A35956" w:rsidRDefault="00EB7374" w:rsidP="00B0434B">
      <w:pPr>
        <w:pStyle w:val="FootnoteText"/>
        <w:rPr>
          <w:szCs w:val="16"/>
        </w:rPr>
      </w:pPr>
      <w:r>
        <w:rPr>
          <w:rStyle w:val="FootnoteReference"/>
          <w:szCs w:val="16"/>
        </w:rPr>
        <w:footnoteRef/>
      </w:r>
      <w:r>
        <w:t xml:space="preserve"> Institutional statistics from the Banking Supervisory Authority. Viewed at: </w:t>
      </w:r>
      <w:hyperlink r:id="rId128" w:history="1">
        <w:r w:rsidRPr="00D30226">
          <w:rPr>
            <w:rStyle w:val="Hyperlink"/>
          </w:rPr>
          <w:t>http://sb.gov.do/transparencia/estadisticas-institucionaes</w:t>
        </w:r>
      </w:hyperlink>
      <w:r>
        <w:t>.</w:t>
      </w:r>
    </w:p>
  </w:footnote>
  <w:footnote w:id="476">
    <w:p w14:paraId="1E7DC35A" w14:textId="77777777" w:rsidR="00EB7374" w:rsidRPr="00A35956" w:rsidRDefault="00EB7374" w:rsidP="00B0434B">
      <w:pPr>
        <w:pStyle w:val="FootnoteText"/>
        <w:rPr>
          <w:rFonts w:ascii="Times New Roman" w:hAnsi="Times New Roman"/>
          <w:sz w:val="18"/>
        </w:rPr>
      </w:pPr>
      <w:r>
        <w:rPr>
          <w:rStyle w:val="FootnoteReference"/>
          <w:szCs w:val="16"/>
        </w:rPr>
        <w:footnoteRef/>
      </w:r>
      <w:r>
        <w:t xml:space="preserve"> The Banking Supervisory Authority does not include the Agricultural Bank in the statistical information, so the information would be based on 48 financial intermediaries.</w:t>
      </w:r>
    </w:p>
  </w:footnote>
  <w:footnote w:id="477">
    <w:p w14:paraId="59BC0E96" w14:textId="77777777" w:rsidR="00EB7374" w:rsidRPr="00A35956" w:rsidRDefault="00EB7374" w:rsidP="00B0434B">
      <w:pPr>
        <w:pStyle w:val="FootnoteText"/>
      </w:pPr>
      <w:r>
        <w:rPr>
          <w:rStyle w:val="FootnoteReference"/>
        </w:rPr>
        <w:footnoteRef/>
      </w:r>
      <w:r>
        <w:t xml:space="preserve"> In December 2021, the concentration of total assets was distributed as follows: Reserve Bank of the Dominican Republic, 32.58%; Banco Popular, 21.98%; Banco BHD-León, 15.19%; Scotiabank, 5.26%; </w:t>
      </w:r>
      <w:proofErr w:type="spellStart"/>
      <w:r>
        <w:t>Asociación</w:t>
      </w:r>
      <w:proofErr w:type="spellEnd"/>
      <w:r>
        <w:t xml:space="preserve"> Popular de </w:t>
      </w:r>
      <w:proofErr w:type="spellStart"/>
      <w:r>
        <w:t>Ahorros</w:t>
      </w:r>
      <w:proofErr w:type="spellEnd"/>
      <w:r>
        <w:t xml:space="preserve"> y </w:t>
      </w:r>
      <w:proofErr w:type="spellStart"/>
      <w:r>
        <w:t>Préstamos</w:t>
      </w:r>
      <w:proofErr w:type="spellEnd"/>
      <w:r>
        <w:t xml:space="preserve">, 4.31%; Banco Santa Cruz, 3.74%; </w:t>
      </w:r>
      <w:proofErr w:type="spellStart"/>
      <w:r>
        <w:t>Asociación</w:t>
      </w:r>
      <w:proofErr w:type="spellEnd"/>
      <w:r>
        <w:t xml:space="preserve"> </w:t>
      </w:r>
      <w:proofErr w:type="spellStart"/>
      <w:r>
        <w:t>CIBAO</w:t>
      </w:r>
      <w:proofErr w:type="spellEnd"/>
      <w:r>
        <w:t xml:space="preserve"> de </w:t>
      </w:r>
      <w:proofErr w:type="spellStart"/>
      <w:r>
        <w:t>Ahorros</w:t>
      </w:r>
      <w:proofErr w:type="spellEnd"/>
      <w:r>
        <w:t xml:space="preserve"> y </w:t>
      </w:r>
      <w:proofErr w:type="spellStart"/>
      <w:r>
        <w:t>Préstamos</w:t>
      </w:r>
      <w:proofErr w:type="spellEnd"/>
      <w:r>
        <w:t xml:space="preserve">, 2.52%; </w:t>
      </w:r>
      <w:proofErr w:type="spellStart"/>
      <w:r>
        <w:t>PROMERICA</w:t>
      </w:r>
      <w:proofErr w:type="spellEnd"/>
      <w:r>
        <w:t xml:space="preserve">, 1.75%; </w:t>
      </w:r>
      <w:proofErr w:type="spellStart"/>
      <w:r>
        <w:t>BANESCO</w:t>
      </w:r>
      <w:proofErr w:type="spellEnd"/>
      <w:r>
        <w:t xml:space="preserve"> Banco </w:t>
      </w:r>
      <w:proofErr w:type="spellStart"/>
      <w:r>
        <w:t>Múltiple</w:t>
      </w:r>
      <w:proofErr w:type="spellEnd"/>
      <w:r>
        <w:t xml:space="preserve">, 1.68%; others, 11.0%. Banking Supervisory Authority. Online information. Viewed at: </w:t>
      </w:r>
      <w:hyperlink r:id="rId129" w:history="1">
        <w:r w:rsidRPr="00A35956">
          <w:rPr>
            <w:rStyle w:val="Hyperlink"/>
          </w:rPr>
          <w:t>https://sb.gob.do/sites/default/files/nuevosdocumentos/estadisticas/seriestiempo/A-Total-de-Activos-por-Entidad_1.xlsx</w:t>
        </w:r>
      </w:hyperlink>
      <w:r>
        <w:t>.</w:t>
      </w:r>
    </w:p>
  </w:footnote>
  <w:footnote w:id="478">
    <w:p w14:paraId="1E8887DB" w14:textId="77777777" w:rsidR="00EB7374" w:rsidRPr="00A35956" w:rsidRDefault="00EB7374" w:rsidP="00B0434B">
      <w:pPr>
        <w:pStyle w:val="FootnoteText"/>
      </w:pPr>
      <w:r>
        <w:rPr>
          <w:rStyle w:val="FootnoteReference"/>
        </w:rPr>
        <w:footnoteRef/>
      </w:r>
      <w:r>
        <w:t xml:space="preserve"> As of December 2021, there were eight foreign-owned banks: Scotiabank (Canada, with 5.26% of financial system assets); </w:t>
      </w:r>
      <w:proofErr w:type="spellStart"/>
      <w:r>
        <w:t>PROMERICA</w:t>
      </w:r>
      <w:proofErr w:type="spellEnd"/>
      <w:r>
        <w:t xml:space="preserve"> (Nicaragua, 1.75%); </w:t>
      </w:r>
      <w:proofErr w:type="spellStart"/>
      <w:r>
        <w:t>BANESCO</w:t>
      </w:r>
      <w:proofErr w:type="spellEnd"/>
      <w:r>
        <w:t xml:space="preserve"> (Bolivarian Republic of Venezuela, 1.68%); Citibank (United States, 0.82%); </w:t>
      </w:r>
      <w:proofErr w:type="spellStart"/>
      <w:r>
        <w:t>LAFISE</w:t>
      </w:r>
      <w:proofErr w:type="spellEnd"/>
      <w:r>
        <w:t xml:space="preserve"> (Panama, 0.60%); </w:t>
      </w:r>
      <w:proofErr w:type="spellStart"/>
      <w:r>
        <w:t>Bancamérica</w:t>
      </w:r>
      <w:proofErr w:type="spellEnd"/>
      <w:r>
        <w:t xml:space="preserve"> (Bolivarian Republic of Venezuela, 0.13%); </w:t>
      </w:r>
      <w:proofErr w:type="spellStart"/>
      <w:r>
        <w:t>Bellbank</w:t>
      </w:r>
      <w:proofErr w:type="spellEnd"/>
      <w:r>
        <w:t xml:space="preserve"> (Bolivarian Republic of Venezuela, 0.05%); and Empire (United States, 0.01%). The Dominican banks with foreign participation include: Banco </w:t>
      </w:r>
      <w:proofErr w:type="spellStart"/>
      <w:r>
        <w:t>Múltiple</w:t>
      </w:r>
      <w:proofErr w:type="spellEnd"/>
      <w:r>
        <w:t xml:space="preserve"> BHD-León, 15.19% of assets with foreign capital participation of 19.18% (Banco Popular de Puerto Rico, 15.83%; International Finance Corporation (</w:t>
      </w:r>
      <w:proofErr w:type="spellStart"/>
      <w:r>
        <w:t>IFC</w:t>
      </w:r>
      <w:proofErr w:type="spellEnd"/>
      <w:r>
        <w:t xml:space="preserve">), 3.35%); Banco </w:t>
      </w:r>
      <w:proofErr w:type="spellStart"/>
      <w:r>
        <w:t>Múltiple</w:t>
      </w:r>
      <w:proofErr w:type="spellEnd"/>
      <w:r>
        <w:t xml:space="preserve"> </w:t>
      </w:r>
      <w:proofErr w:type="spellStart"/>
      <w:r>
        <w:t>Ademi</w:t>
      </w:r>
      <w:proofErr w:type="spellEnd"/>
      <w:r>
        <w:t xml:space="preserve"> (0.66%), with foreign participation of 10.43% (European Investment Bank (EIB)); Banco de </w:t>
      </w:r>
      <w:proofErr w:type="spellStart"/>
      <w:r>
        <w:t>Ahorro</w:t>
      </w:r>
      <w:proofErr w:type="spellEnd"/>
      <w:r>
        <w:t xml:space="preserve"> y </w:t>
      </w:r>
      <w:proofErr w:type="spellStart"/>
      <w:r>
        <w:t>Crédito</w:t>
      </w:r>
      <w:proofErr w:type="spellEnd"/>
      <w:r>
        <w:t xml:space="preserve"> </w:t>
      </w:r>
      <w:proofErr w:type="spellStart"/>
      <w:r>
        <w:t>Adopem</w:t>
      </w:r>
      <w:proofErr w:type="spellEnd"/>
      <w:r>
        <w:t xml:space="preserve"> (0.33%), with foreign participation of 71.4% (Fundación </w:t>
      </w:r>
      <w:proofErr w:type="spellStart"/>
      <w:r>
        <w:t>Microfinanzas</w:t>
      </w:r>
      <w:proofErr w:type="spellEnd"/>
      <w:r>
        <w:t xml:space="preserve"> BBVA (Spain), 55.6%, </w:t>
      </w:r>
      <w:proofErr w:type="spellStart"/>
      <w:r>
        <w:t>IFC</w:t>
      </w:r>
      <w:proofErr w:type="spellEnd"/>
      <w:r>
        <w:t xml:space="preserve"> 10% and EIB 5.77%).</w:t>
      </w:r>
    </w:p>
  </w:footnote>
  <w:footnote w:id="479">
    <w:p w14:paraId="76D09D98" w14:textId="77777777" w:rsidR="00EB7374" w:rsidRPr="00A35956" w:rsidRDefault="00EB7374" w:rsidP="00B0434B">
      <w:pPr>
        <w:pStyle w:val="FootnoteText"/>
      </w:pPr>
      <w:r>
        <w:rPr>
          <w:rStyle w:val="FootnoteReference"/>
        </w:rPr>
        <w:footnoteRef/>
      </w:r>
      <w:r>
        <w:t xml:space="preserve"> WTO Secretariat calculations based on information from the Central Bank of the Dominican Republic. Viewed at: </w:t>
      </w:r>
      <w:hyperlink r:id="rId130" w:history="1">
        <w:r w:rsidRPr="00D30226">
          <w:rPr>
            <w:rStyle w:val="Hyperlink"/>
          </w:rPr>
          <w:t>https://www.bancentral.gov.do/a/d/2536-sector-monetario-y-financiero</w:t>
        </w:r>
      </w:hyperlink>
      <w:r>
        <w:t>.</w:t>
      </w:r>
    </w:p>
  </w:footnote>
  <w:footnote w:id="480">
    <w:p w14:paraId="3C3AC389" w14:textId="77777777" w:rsidR="00EB7374" w:rsidRPr="00A35956" w:rsidRDefault="00EB7374" w:rsidP="00B0434B">
      <w:pPr>
        <w:pStyle w:val="FootnoteText"/>
      </w:pPr>
      <w:r>
        <w:rPr>
          <w:rStyle w:val="FootnoteReference"/>
        </w:rPr>
        <w:footnoteRef/>
      </w:r>
      <w:r>
        <w:t xml:space="preserve"> Articles 223-232 of the Monetary and Financial Law.</w:t>
      </w:r>
    </w:p>
  </w:footnote>
  <w:footnote w:id="481">
    <w:p w14:paraId="356C273A" w14:textId="77777777" w:rsidR="00EB7374" w:rsidRPr="00A35956" w:rsidRDefault="00EB7374" w:rsidP="00B0434B">
      <w:pPr>
        <w:pStyle w:val="FootnoteText"/>
      </w:pPr>
      <w:r>
        <w:rPr>
          <w:rStyle w:val="FootnoteReference"/>
        </w:rPr>
        <w:footnoteRef/>
      </w:r>
      <w:r>
        <w:t xml:space="preserve"> Article 1 of Law No. 183-02. For the legal framework, see: </w:t>
      </w:r>
      <w:hyperlink r:id="rId131" w:history="1">
        <w:r w:rsidRPr="00D30226">
          <w:rPr>
            <w:rStyle w:val="Hyperlink"/>
          </w:rPr>
          <w:t>http://www.sb.gob.do/marco-legal</w:t>
        </w:r>
      </w:hyperlink>
      <w:r>
        <w:t xml:space="preserve"> or </w:t>
      </w:r>
      <w:hyperlink r:id="rId132" w:history="1">
        <w:r w:rsidRPr="00D30226">
          <w:rPr>
            <w:rStyle w:val="Hyperlink"/>
          </w:rPr>
          <w:t>http://www.bancentral.gov.do/normativa/leyes</w:t>
        </w:r>
      </w:hyperlink>
      <w:r>
        <w:t xml:space="preserve">. </w:t>
      </w:r>
    </w:p>
  </w:footnote>
  <w:footnote w:id="482">
    <w:p w14:paraId="1129A85A" w14:textId="77777777" w:rsidR="00EB7374" w:rsidRPr="00A35956" w:rsidRDefault="00EB7374" w:rsidP="00B0434B">
      <w:pPr>
        <w:pStyle w:val="FootnoteText"/>
      </w:pPr>
      <w:r>
        <w:rPr>
          <w:rStyle w:val="FootnoteReference"/>
        </w:rPr>
        <w:footnoteRef/>
      </w:r>
      <w:r>
        <w:t xml:space="preserve"> Article 232 of the Constitution and Article 9(</w:t>
      </w:r>
      <w:proofErr w:type="spellStart"/>
      <w:r>
        <w:t>i</w:t>
      </w:r>
      <w:proofErr w:type="spellEnd"/>
      <w:r>
        <w:t>) of Law No. 183-02.</w:t>
      </w:r>
    </w:p>
  </w:footnote>
  <w:footnote w:id="483">
    <w:p w14:paraId="062C34BA" w14:textId="77777777" w:rsidR="00EB7374" w:rsidRPr="00A35956" w:rsidRDefault="00EB7374" w:rsidP="00B0434B">
      <w:pPr>
        <w:pStyle w:val="FootnoteText"/>
      </w:pPr>
      <w:r>
        <w:rPr>
          <w:rStyle w:val="FootnoteReference"/>
        </w:rPr>
        <w:footnoteRef/>
      </w:r>
      <w:r>
        <w:t xml:space="preserve"> Information from the Banking Supervisory Authority. Viewed at: </w:t>
      </w:r>
      <w:hyperlink r:id="rId133" w:history="1">
        <w:r w:rsidRPr="00D30226">
          <w:rPr>
            <w:rStyle w:val="Hyperlink"/>
          </w:rPr>
          <w:t>https://www.sb.gob.do/acerca-de-la-sb</w:t>
        </w:r>
      </w:hyperlink>
      <w:r>
        <w:t>.</w:t>
      </w:r>
    </w:p>
  </w:footnote>
  <w:footnote w:id="484">
    <w:p w14:paraId="68EF879A" w14:textId="77777777" w:rsidR="00EB7374" w:rsidRPr="00A35956" w:rsidRDefault="00EB7374" w:rsidP="00B0434B">
      <w:pPr>
        <w:pStyle w:val="FootnoteText"/>
        <w:tabs>
          <w:tab w:val="left" w:pos="8153"/>
        </w:tabs>
      </w:pPr>
      <w:r>
        <w:rPr>
          <w:rStyle w:val="FootnoteReference"/>
        </w:rPr>
        <w:footnoteRef/>
      </w:r>
      <w:r>
        <w:t xml:space="preserve"> Article 227 of the Constitution and Articles 5, 9(a), 15 and 19 of Law No. 183-02.</w:t>
      </w:r>
    </w:p>
  </w:footnote>
  <w:footnote w:id="485">
    <w:p w14:paraId="48321C73" w14:textId="77777777" w:rsidR="00EB7374" w:rsidRPr="00A35956" w:rsidRDefault="00EB7374" w:rsidP="00B0434B">
      <w:pPr>
        <w:pStyle w:val="FootnoteText"/>
        <w:jc w:val="both"/>
        <w:rPr>
          <w:szCs w:val="16"/>
        </w:rPr>
      </w:pPr>
      <w:r>
        <w:rPr>
          <w:rStyle w:val="FootnoteReference"/>
          <w:szCs w:val="16"/>
        </w:rPr>
        <w:footnoteRef/>
      </w:r>
      <w:r>
        <w:t xml:space="preserve"> Article 34 of Law No. 183-02.</w:t>
      </w:r>
    </w:p>
  </w:footnote>
  <w:footnote w:id="486">
    <w:p w14:paraId="457A4B22" w14:textId="77777777" w:rsidR="00EB7374" w:rsidRPr="00A35956" w:rsidRDefault="00EB7374" w:rsidP="00B0434B">
      <w:pPr>
        <w:pStyle w:val="FootnoteText"/>
      </w:pPr>
      <w:r>
        <w:rPr>
          <w:rStyle w:val="FootnoteReference"/>
          <w:szCs w:val="16"/>
        </w:rPr>
        <w:footnoteRef/>
      </w:r>
      <w:r>
        <w:t xml:space="preserve"> Article 39 of Law No. 183-02 and Article 24 of the Regulation. </w:t>
      </w:r>
    </w:p>
  </w:footnote>
  <w:footnote w:id="487">
    <w:p w14:paraId="7FA12BA4" w14:textId="77777777" w:rsidR="00EB7374" w:rsidRPr="00A35956" w:rsidRDefault="00EB7374" w:rsidP="00B0434B">
      <w:pPr>
        <w:pStyle w:val="FootnoteText"/>
      </w:pPr>
      <w:r>
        <w:rPr>
          <w:rStyle w:val="FootnoteReference"/>
        </w:rPr>
        <w:footnoteRef/>
      </w:r>
      <w:r>
        <w:t xml:space="preserve"> Article 34 of Law No. 183-02 and Articles 5 and 20-22 of the Regulation. </w:t>
      </w:r>
    </w:p>
  </w:footnote>
  <w:footnote w:id="488">
    <w:p w14:paraId="6514400A" w14:textId="77777777" w:rsidR="00EB7374" w:rsidRPr="00A35956" w:rsidRDefault="00EB7374" w:rsidP="00B0434B">
      <w:pPr>
        <w:pStyle w:val="FootnoteText"/>
      </w:pPr>
      <w:r>
        <w:rPr>
          <w:rStyle w:val="FootnoteReference"/>
        </w:rPr>
        <w:footnoteRef/>
      </w:r>
      <w:r>
        <w:t xml:space="preserve"> To meet this requirement, it is in all cases necessary to form a team of managers and officials who are experienced in managing different areas of a financial institution. During the first three years that the institution is operating, it must therefore submit the curricula vitae of all executive and managerial staff to the Banking Supervisory Authority every six months. After the first three years, the </w:t>
      </w:r>
      <w:r w:rsidRPr="00137CE9">
        <w:t>curricula vitae of</w:t>
      </w:r>
      <w:r>
        <w:t xml:space="preserve"> new executive and managerial staff must be submitted every time a change occurs.</w:t>
      </w:r>
    </w:p>
  </w:footnote>
  <w:footnote w:id="489">
    <w:p w14:paraId="54E9BD70" w14:textId="77777777" w:rsidR="00EB7374" w:rsidRPr="00A35956" w:rsidRDefault="00EB7374" w:rsidP="00B0434B">
      <w:pPr>
        <w:pStyle w:val="FootnoteText"/>
        <w:jc w:val="both"/>
        <w:rPr>
          <w:szCs w:val="16"/>
        </w:rPr>
      </w:pPr>
      <w:r>
        <w:rPr>
          <w:rStyle w:val="FootnoteReference"/>
          <w:szCs w:val="16"/>
        </w:rPr>
        <w:footnoteRef/>
      </w:r>
      <w:r>
        <w:t xml:space="preserve"> For more information, see Articles 41 and 44 of Law No. 183-02.</w:t>
      </w:r>
    </w:p>
  </w:footnote>
  <w:footnote w:id="490">
    <w:p w14:paraId="26154A8E" w14:textId="77777777" w:rsidR="00EB7374" w:rsidRPr="00A35956" w:rsidRDefault="00EB7374" w:rsidP="00B0434B">
      <w:pPr>
        <w:pStyle w:val="FootnoteText"/>
        <w:rPr>
          <w:szCs w:val="16"/>
        </w:rPr>
      </w:pPr>
      <w:r>
        <w:rPr>
          <w:rStyle w:val="FootnoteReference"/>
          <w:szCs w:val="16"/>
        </w:rPr>
        <w:footnoteRef/>
      </w:r>
      <w:r>
        <w:t xml:space="preserve"> Law No. 45-20 on Secured Transactions. Viewed at: </w:t>
      </w:r>
      <w:hyperlink r:id="rId134" w:history="1">
        <w:r w:rsidRPr="00D30226">
          <w:rPr>
            <w:rStyle w:val="Hyperlink"/>
          </w:rPr>
          <w:t>https://www.sb.gob.do/sites/default/files/nuevosdocumentos/Ley-45-20-sobre-Garantias-Mobiliarias.pdf</w:t>
        </w:r>
      </w:hyperlink>
      <w:r>
        <w:t>.</w:t>
      </w:r>
    </w:p>
  </w:footnote>
  <w:footnote w:id="491">
    <w:p w14:paraId="19D9ED66" w14:textId="77777777" w:rsidR="00EB7374" w:rsidRPr="00A35956" w:rsidRDefault="00EB7374" w:rsidP="00B0434B">
      <w:pPr>
        <w:pStyle w:val="FootnoteText"/>
        <w:jc w:val="both"/>
        <w:rPr>
          <w:szCs w:val="16"/>
        </w:rPr>
      </w:pPr>
      <w:r>
        <w:rPr>
          <w:rStyle w:val="FootnoteReference"/>
          <w:szCs w:val="16"/>
        </w:rPr>
        <w:footnoteRef/>
      </w:r>
      <w:r>
        <w:t xml:space="preserve"> Articles 38 and 40-50 of Law No. 183-02 and Articles 23-29 of the Regulation. </w:t>
      </w:r>
    </w:p>
  </w:footnote>
  <w:footnote w:id="492">
    <w:p w14:paraId="5875244A" w14:textId="77777777" w:rsidR="00EB7374" w:rsidRPr="00A35956" w:rsidRDefault="00EB7374" w:rsidP="00494D86">
      <w:pPr>
        <w:pStyle w:val="FootnoteText"/>
        <w:rPr>
          <w:szCs w:val="16"/>
        </w:rPr>
      </w:pPr>
      <w:r>
        <w:rPr>
          <w:rStyle w:val="FootnoteReference"/>
          <w:szCs w:val="16"/>
        </w:rPr>
        <w:footnoteRef/>
      </w:r>
      <w:r>
        <w:t xml:space="preserve"> The minimum paid-up capital was increased in 2014 to help stabilize the financial system (Fifth Resolution of the Monetary Board of 10 April 2014).</w:t>
      </w:r>
    </w:p>
  </w:footnote>
  <w:footnote w:id="493">
    <w:p w14:paraId="20FE1A9A" w14:textId="77777777" w:rsidR="00EB7374" w:rsidRPr="00A35956" w:rsidRDefault="00EB7374" w:rsidP="006A7EBD">
      <w:pPr>
        <w:pStyle w:val="FootnoteText"/>
        <w:rPr>
          <w:rFonts w:ascii="Times New Roman" w:hAnsi="Times New Roman"/>
          <w:sz w:val="18"/>
        </w:rPr>
      </w:pPr>
      <w:r>
        <w:rPr>
          <w:rStyle w:val="FootnoteReference"/>
          <w:szCs w:val="16"/>
        </w:rPr>
        <w:footnoteRef/>
      </w:r>
      <w:r>
        <w:t xml:space="preserve"> The level of reserves that must be maintained in the Central Bank is established in the Monetary Board Instructions of 24 March 2020.</w:t>
      </w:r>
    </w:p>
  </w:footnote>
  <w:footnote w:id="494">
    <w:p w14:paraId="4F4F591D" w14:textId="77777777" w:rsidR="00EB7374" w:rsidRPr="00A35956" w:rsidRDefault="00EB7374" w:rsidP="006A7EBD">
      <w:pPr>
        <w:pStyle w:val="FootnoteText"/>
        <w:rPr>
          <w:szCs w:val="16"/>
        </w:rPr>
      </w:pPr>
      <w:r>
        <w:rPr>
          <w:rStyle w:val="FootnoteReference"/>
          <w:szCs w:val="16"/>
        </w:rPr>
        <w:footnoteRef/>
      </w:r>
      <w:r>
        <w:t xml:space="preserve"> In 2020, the nominal amount stipulated in Article 64 of Law No. 183-02 was amended by virtue of the provisions of Article 79 of the Monetary and Financial Law (First Resolution of the Monetary Board of 15 December 2020).</w:t>
      </w:r>
    </w:p>
  </w:footnote>
  <w:footnote w:id="495">
    <w:p w14:paraId="321A9F34" w14:textId="77777777" w:rsidR="00EB7374" w:rsidRPr="00A35956" w:rsidRDefault="00EB7374" w:rsidP="006A7EBD">
      <w:pPr>
        <w:pStyle w:val="FootnoteText"/>
        <w:rPr>
          <w:szCs w:val="16"/>
        </w:rPr>
      </w:pPr>
      <w:r>
        <w:rPr>
          <w:rStyle w:val="FootnoteReference"/>
          <w:szCs w:val="16"/>
        </w:rPr>
        <w:footnoteRef/>
      </w:r>
      <w:r>
        <w:t xml:space="preserve"> In accordance with the Regulation on Guidelines for Integrated Risk Management approved through the Third Resolution of the Monetary Board of 16 March 2017.</w:t>
      </w:r>
    </w:p>
  </w:footnote>
  <w:footnote w:id="496">
    <w:p w14:paraId="425A566C" w14:textId="77777777" w:rsidR="00EB7374" w:rsidRPr="00A35956" w:rsidRDefault="00EB7374" w:rsidP="006A7EBD">
      <w:pPr>
        <w:pStyle w:val="FootnoteText"/>
        <w:rPr>
          <w:szCs w:val="16"/>
        </w:rPr>
      </w:pPr>
      <w:r>
        <w:rPr>
          <w:rStyle w:val="FootnoteReference"/>
          <w:szCs w:val="16"/>
        </w:rPr>
        <w:footnoteRef/>
      </w:r>
      <w:r>
        <w:t xml:space="preserve"> Approved through the First Resolution of the Monetary Board of 17 May 2018.</w:t>
      </w:r>
    </w:p>
  </w:footnote>
  <w:footnote w:id="497">
    <w:p w14:paraId="1EB2407B" w14:textId="77777777" w:rsidR="00EB7374" w:rsidRDefault="00EB7374" w:rsidP="006A7EBD">
      <w:pPr>
        <w:pStyle w:val="FootnoteText"/>
      </w:pPr>
      <w:r>
        <w:rPr>
          <w:rStyle w:val="FootnoteReference"/>
        </w:rPr>
        <w:footnoteRef/>
      </w:r>
      <w:r>
        <w:t xml:space="preserve"> See the Foreign Exchange Regulation approved through the Fourth Resolution of the Monetary Board of 8 August 2019.</w:t>
      </w:r>
    </w:p>
  </w:footnote>
  <w:footnote w:id="498">
    <w:p w14:paraId="376080F5" w14:textId="77777777" w:rsidR="00EB7374" w:rsidRPr="00A35956" w:rsidRDefault="00EB7374" w:rsidP="006A7EBD">
      <w:pPr>
        <w:pStyle w:val="FootnoteText"/>
        <w:rPr>
          <w:szCs w:val="16"/>
        </w:rPr>
      </w:pPr>
      <w:r>
        <w:rPr>
          <w:rStyle w:val="FootnoteReference"/>
          <w:szCs w:val="16"/>
        </w:rPr>
        <w:footnoteRef/>
      </w:r>
      <w:r>
        <w:t xml:space="preserve"> Regulation on the Procedure for Authorizing the Purchase and Sale of the Mortgage Loan Portfolios of Financial Intermediation Entities for Securitization and the Acquisition of Securities, approved through the Seventh Resolution of the Monetary Board of 27 April 2017. </w:t>
      </w:r>
    </w:p>
  </w:footnote>
  <w:footnote w:id="499">
    <w:p w14:paraId="0C3FFB6B" w14:textId="77777777" w:rsidR="00EB7374" w:rsidRPr="00A35956" w:rsidRDefault="00EB7374" w:rsidP="006A7EBD">
      <w:pPr>
        <w:pStyle w:val="FootnoteText"/>
        <w:rPr>
          <w:szCs w:val="16"/>
        </w:rPr>
      </w:pPr>
      <w:r>
        <w:rPr>
          <w:rStyle w:val="FootnoteReference"/>
          <w:szCs w:val="16"/>
        </w:rPr>
        <w:footnoteRef/>
      </w:r>
      <w:r>
        <w:t xml:space="preserve"> Unified Regulation on Mortgage Securities and Instruments, approved through the Third Resolution of the Monetary Board of 23 November 2017.</w:t>
      </w:r>
    </w:p>
  </w:footnote>
  <w:footnote w:id="500">
    <w:p w14:paraId="0D9CE522" w14:textId="77777777" w:rsidR="00EB7374" w:rsidRPr="00A35956" w:rsidRDefault="00EB7374" w:rsidP="0000027B">
      <w:pPr>
        <w:pStyle w:val="FootnoteText"/>
        <w:rPr>
          <w:szCs w:val="16"/>
        </w:rPr>
      </w:pPr>
      <w:r>
        <w:rPr>
          <w:rStyle w:val="FootnoteReference"/>
          <w:szCs w:val="16"/>
        </w:rPr>
        <w:footnoteRef/>
      </w:r>
      <w:r>
        <w:t xml:space="preserve"> External Audit Regulation approved through the Third Resolution of </w:t>
      </w:r>
      <w:r w:rsidRPr="00EB4E5F">
        <w:t>24</w:t>
      </w:r>
      <w:r>
        <w:t> </w:t>
      </w:r>
      <w:r w:rsidRPr="00EB4E5F">
        <w:t>January</w:t>
      </w:r>
      <w:r>
        <w:t> 2019.</w:t>
      </w:r>
    </w:p>
  </w:footnote>
  <w:footnote w:id="501">
    <w:p w14:paraId="570EF1BD" w14:textId="77777777" w:rsidR="00EB7374" w:rsidRPr="00A35956" w:rsidRDefault="00EB7374" w:rsidP="0000027B">
      <w:pPr>
        <w:pStyle w:val="FootnoteText"/>
        <w:rPr>
          <w:szCs w:val="16"/>
        </w:rPr>
      </w:pPr>
      <w:r>
        <w:rPr>
          <w:rStyle w:val="FootnoteReference"/>
          <w:szCs w:val="16"/>
        </w:rPr>
        <w:footnoteRef/>
      </w:r>
      <w:r>
        <w:t xml:space="preserve"> In accordance with the provisions of Article 65 of the Monetary and Financial Law; Regulation on the Voluntary Liquidation of Financial Intermediaries, approved through the Second Resolution of 27 April 2017.</w:t>
      </w:r>
    </w:p>
  </w:footnote>
  <w:footnote w:id="502">
    <w:p w14:paraId="735CB5D3" w14:textId="77777777" w:rsidR="00EB7374" w:rsidRPr="00A35956" w:rsidRDefault="00EB7374" w:rsidP="0000027B">
      <w:pPr>
        <w:pStyle w:val="FootnoteText"/>
        <w:rPr>
          <w:szCs w:val="16"/>
        </w:rPr>
      </w:pPr>
      <w:r>
        <w:rPr>
          <w:rStyle w:val="FootnoteReference"/>
          <w:szCs w:val="16"/>
        </w:rPr>
        <w:footnoteRef/>
      </w:r>
      <w:r>
        <w:t xml:space="preserve"> The Second Resolution of 29 January 2021 introduced a comprehensive amendment to the Payment Systems Regulation. </w:t>
      </w:r>
    </w:p>
  </w:footnote>
  <w:footnote w:id="503">
    <w:p w14:paraId="46B85B82" w14:textId="77777777" w:rsidR="00EB7374" w:rsidRPr="00A35956" w:rsidRDefault="00EB7374" w:rsidP="0000027B">
      <w:pPr>
        <w:pStyle w:val="FootnoteText"/>
        <w:rPr>
          <w:rFonts w:ascii="Times New Roman" w:hAnsi="Times New Roman"/>
          <w:sz w:val="18"/>
        </w:rPr>
      </w:pPr>
      <w:r>
        <w:rPr>
          <w:rStyle w:val="FootnoteReference"/>
          <w:szCs w:val="16"/>
        </w:rPr>
        <w:footnoteRef/>
      </w:r>
      <w:r>
        <w:t xml:space="preserve"> Article 31 of Law No. 155-17 defines financial obligated persons as financial intermediaries; securities intermediaries; intermediaries involved in the trade, exchange and remittance of foreign currency; the Central Bank of the Dominican Republic; legal persons authorized or licensed to act as a fiduciary company; savings and credit cooperatives; insurance and reinsurance companies and insurance brokers; investment-fund management companies; securitization companies; stockbrokerages; the centralized securities depository; and issuers of public offerings that reserve the initial offering.</w:t>
      </w:r>
    </w:p>
  </w:footnote>
  <w:footnote w:id="504">
    <w:p w14:paraId="299B6DCF" w14:textId="77777777" w:rsidR="00EB7374" w:rsidRDefault="00EB7374">
      <w:pPr>
        <w:pStyle w:val="FootnoteText"/>
      </w:pPr>
      <w:r>
        <w:rPr>
          <w:rStyle w:val="FootnoteReference"/>
        </w:rPr>
        <w:footnoteRef/>
      </w:r>
      <w:r>
        <w:t xml:space="preserve"> </w:t>
      </w:r>
      <w:r w:rsidRPr="002E1080">
        <w:t>Articles 12-35 of Law No. 146-02.</w:t>
      </w:r>
    </w:p>
  </w:footnote>
  <w:footnote w:id="505">
    <w:p w14:paraId="4AD06109" w14:textId="77777777" w:rsidR="00EB7374" w:rsidRPr="00A35956" w:rsidRDefault="00EB7374" w:rsidP="002E1080">
      <w:pPr>
        <w:pStyle w:val="FootnoteText"/>
        <w:rPr>
          <w:szCs w:val="16"/>
        </w:rPr>
      </w:pPr>
      <w:r>
        <w:rPr>
          <w:rStyle w:val="FootnoteReference"/>
          <w:szCs w:val="16"/>
        </w:rPr>
        <w:footnoteRef/>
      </w:r>
      <w:r>
        <w:rPr>
          <w:szCs w:val="16"/>
        </w:rPr>
        <w:t xml:space="preserve"> Article 6 of Law No. 146-02.</w:t>
      </w:r>
    </w:p>
  </w:footnote>
  <w:footnote w:id="506">
    <w:p w14:paraId="37277102" w14:textId="77777777" w:rsidR="00EB7374" w:rsidRPr="008D49B1" w:rsidRDefault="00EB7374" w:rsidP="002E1080">
      <w:pPr>
        <w:pStyle w:val="FootnoteText"/>
      </w:pPr>
      <w:r>
        <w:rPr>
          <w:rStyle w:val="FootnoteReference"/>
        </w:rPr>
        <w:footnoteRef/>
      </w:r>
      <w:r>
        <w:t xml:space="preserve"> Article 383 of the Tax Code (as of 19 February 2014). The Tax Code can be viewed at: </w:t>
      </w:r>
      <w:hyperlink r:id="rId135" w:history="1">
        <w:r>
          <w:rPr>
            <w:rStyle w:val="Hyperlink"/>
          </w:rPr>
          <w:t>http://www.dgii.gov.do/legislacion/codigoTributario/Paginas/codigoTributario.aspx</w:t>
        </w:r>
      </w:hyperlink>
      <w:r>
        <w:t xml:space="preserve">. </w:t>
      </w:r>
    </w:p>
  </w:footnote>
  <w:footnote w:id="507">
    <w:p w14:paraId="7F27324A" w14:textId="77777777" w:rsidR="00EB7374" w:rsidRPr="00A35956" w:rsidRDefault="00EB7374" w:rsidP="002E1080">
      <w:pPr>
        <w:pStyle w:val="FootnoteText"/>
      </w:pPr>
      <w:r>
        <w:rPr>
          <w:rStyle w:val="FootnoteReference"/>
        </w:rPr>
        <w:footnoteRef/>
      </w:r>
      <w:r>
        <w:t xml:space="preserve"> Article 344 of the Tax Code (as of 19 February 2014).</w:t>
      </w:r>
    </w:p>
  </w:footnote>
  <w:footnote w:id="508">
    <w:p w14:paraId="1DC1358C" w14:textId="77777777" w:rsidR="00EB7374" w:rsidRPr="00A35956" w:rsidRDefault="00EB7374" w:rsidP="002E1080">
      <w:pPr>
        <w:pStyle w:val="FootnoteText"/>
      </w:pPr>
      <w:r>
        <w:rPr>
          <w:rStyle w:val="FootnoteReference"/>
        </w:rPr>
        <w:footnoteRef/>
      </w:r>
      <w:r>
        <w:t xml:space="preserve"> WTO/World Bank I</w:t>
      </w:r>
      <w:r>
        <w:noBreakHyphen/>
        <w:t xml:space="preserve">TIP Services database. Viewed at: </w:t>
      </w:r>
      <w:hyperlink r:id="rId136" w:history="1">
        <w:r>
          <w:rPr>
            <w:rStyle w:val="Hyperlink"/>
          </w:rPr>
          <w:t>http://i-tip.wto.org/services/default.aspx</w:t>
        </w:r>
      </w:hyperlink>
      <w:r>
        <w:t xml:space="preserve">. </w:t>
      </w:r>
    </w:p>
  </w:footnote>
  <w:footnote w:id="509">
    <w:p w14:paraId="18300EA8" w14:textId="77777777" w:rsidR="00EB7374" w:rsidRPr="008A49EE" w:rsidRDefault="00EB7374" w:rsidP="002E1080">
      <w:pPr>
        <w:pStyle w:val="FootnoteText"/>
      </w:pPr>
      <w:r>
        <w:rPr>
          <w:rStyle w:val="FootnoteReference"/>
        </w:rPr>
        <w:footnoteRef/>
      </w:r>
      <w:r>
        <w:t xml:space="preserve"> This Regulation has given rise to several implementing instructions such as those concerning cheque processing specifications; payments and securities settlement system administrators, companies or acquirers and other suppliers of payment services; the real-time gross settlement system; the digitization, truncation and clearance of cheques; and electronic payment entities and electronic payment accounts.</w:t>
      </w:r>
    </w:p>
  </w:footnote>
  <w:footnote w:id="510">
    <w:p w14:paraId="06AF11DC" w14:textId="77777777" w:rsidR="00EB7374" w:rsidRPr="00D401E7" w:rsidRDefault="00EB7374" w:rsidP="00B0434B">
      <w:pPr>
        <w:pStyle w:val="FootnoteText"/>
      </w:pPr>
      <w:r>
        <w:rPr>
          <w:rStyle w:val="FootnoteReference"/>
        </w:rPr>
        <w:footnoteRef/>
      </w:r>
      <w:r>
        <w:t xml:space="preserve"> The authorities have stated that the statistics for the sector produced by the Central Bank do not include activities or sales in free zones. Telecommunications activity is highly dependent on developments in Internet and mobile services: the growth and decline in these services account for up to 70% of the general development of the sector.</w:t>
      </w:r>
    </w:p>
  </w:footnote>
  <w:footnote w:id="511">
    <w:p w14:paraId="054CDBB3" w14:textId="3BFF358B" w:rsidR="00EB7374" w:rsidRPr="005D5400" w:rsidRDefault="00EB7374" w:rsidP="00B0434B">
      <w:pPr>
        <w:pStyle w:val="FootnoteText"/>
      </w:pPr>
      <w:r>
        <w:rPr>
          <w:rStyle w:val="FootnoteReference"/>
        </w:rPr>
        <w:footnoteRef/>
      </w:r>
      <w:r>
        <w:t xml:space="preserve"> Within this segment, there was a shift away from access via traditional networks to Voice over Internet Protocol (VoIP) offerings. In 2021, 45% of the landlines contracted were VoIP, compared to 12% in</w:t>
      </w:r>
      <w:r w:rsidR="004904AD">
        <w:t> </w:t>
      </w:r>
      <w:r>
        <w:t>2015.</w:t>
      </w:r>
    </w:p>
  </w:footnote>
  <w:footnote w:id="512">
    <w:p w14:paraId="70950D09" w14:textId="7D702C64" w:rsidR="00EB7374" w:rsidRPr="00DC1E5D" w:rsidRDefault="00EB7374" w:rsidP="00B0434B">
      <w:pPr>
        <w:pStyle w:val="FootnoteText"/>
      </w:pPr>
      <w:r>
        <w:rPr>
          <w:rStyle w:val="FootnoteReference"/>
        </w:rPr>
        <w:footnoteRef/>
      </w:r>
      <w:r>
        <w:t xml:space="preserve"> In 2021, the minimum standard broadband speed changed from 512 kilobytes per second (</w:t>
      </w:r>
      <w:proofErr w:type="spellStart"/>
      <w:r>
        <w:t>KBps</w:t>
      </w:r>
      <w:proofErr w:type="spellEnd"/>
      <w:r>
        <w:t xml:space="preserve">) to </w:t>
      </w:r>
      <w:r w:rsidRPr="004904AD">
        <w:t>4</w:t>
      </w:r>
      <w:r w:rsidR="004904AD">
        <w:t> </w:t>
      </w:r>
      <w:r w:rsidRPr="004904AD">
        <w:t>megabytes</w:t>
      </w:r>
      <w:r>
        <w:t xml:space="preserve"> per second (</w:t>
      </w:r>
      <w:proofErr w:type="spellStart"/>
      <w:r>
        <w:t>MBps</w:t>
      </w:r>
      <w:proofErr w:type="spellEnd"/>
      <w:r>
        <w:t xml:space="preserve">). As a result of this change, there is an inconsistency in the fixed and mobile broadband data, as well as in their respective </w:t>
      </w:r>
      <w:proofErr w:type="spellStart"/>
      <w:r>
        <w:t>teledensity</w:t>
      </w:r>
      <w:proofErr w:type="spellEnd"/>
      <w:r>
        <w:t xml:space="preserve"> data (Resolution No. 026-21 of the Dominican Telecommunications Institute (</w:t>
      </w:r>
      <w:proofErr w:type="spellStart"/>
      <w:r>
        <w:t>INDOTEL</w:t>
      </w:r>
      <w:proofErr w:type="spellEnd"/>
      <w:r>
        <w:t>) Board of Directors).</w:t>
      </w:r>
    </w:p>
  </w:footnote>
  <w:footnote w:id="513">
    <w:p w14:paraId="2121F627" w14:textId="63C73316" w:rsidR="00EB7374" w:rsidRPr="00CA03FF" w:rsidRDefault="00EB7374" w:rsidP="00B0434B">
      <w:pPr>
        <w:pStyle w:val="FootnoteText"/>
      </w:pPr>
      <w:r>
        <w:rPr>
          <w:rStyle w:val="FootnoteReference"/>
        </w:rPr>
        <w:footnoteRef/>
      </w:r>
      <w:r>
        <w:t xml:space="preserve"> Between 2008 and 2014, it is estimated that </w:t>
      </w:r>
      <w:proofErr w:type="spellStart"/>
      <w:r>
        <w:t>FDI</w:t>
      </w:r>
      <w:proofErr w:type="spellEnd"/>
      <w:r>
        <w:t xml:space="preserve"> inflows stood at approximately USD</w:t>
      </w:r>
      <w:r w:rsidR="004904AD">
        <w:t> </w:t>
      </w:r>
      <w:r>
        <w:t>1,350</w:t>
      </w:r>
      <w:r w:rsidR="004904AD">
        <w:t> </w:t>
      </w:r>
      <w:r>
        <w:t>million.</w:t>
      </w:r>
    </w:p>
  </w:footnote>
  <w:footnote w:id="514">
    <w:p w14:paraId="2EECEE97" w14:textId="77777777" w:rsidR="00EB7374" w:rsidRPr="006E6EEB" w:rsidRDefault="00EB7374" w:rsidP="00B0434B">
      <w:pPr>
        <w:pStyle w:val="FootnoteText"/>
      </w:pPr>
      <w:r>
        <w:rPr>
          <w:rStyle w:val="FootnoteReference"/>
        </w:rPr>
        <w:footnoteRef/>
      </w:r>
      <w:r>
        <w:t xml:space="preserve"> Online information from </w:t>
      </w:r>
      <w:proofErr w:type="spellStart"/>
      <w:r>
        <w:t>INDOTEL</w:t>
      </w:r>
      <w:proofErr w:type="spellEnd"/>
      <w:r>
        <w:t xml:space="preserve">. Viewed at: </w:t>
      </w:r>
      <w:hyperlink r:id="rId137" w:history="1">
        <w:r w:rsidRPr="005C60A9">
          <w:rPr>
            <w:rStyle w:val="Hyperlink"/>
          </w:rPr>
          <w:t>https://transparencia.indotel.gob.do/publicaciones-oficiales/estad%C3%ADsticas-telecomunicaciones/indicadores-estadisticos-trimestrales</w:t>
        </w:r>
      </w:hyperlink>
      <w:r>
        <w:t>.</w:t>
      </w:r>
    </w:p>
  </w:footnote>
  <w:footnote w:id="515">
    <w:p w14:paraId="5289E814" w14:textId="63E2F04C" w:rsidR="00EB7374" w:rsidRPr="0075730E" w:rsidRDefault="00EB7374" w:rsidP="00B0434B">
      <w:pPr>
        <w:pStyle w:val="FootnoteText"/>
      </w:pPr>
      <w:r>
        <w:rPr>
          <w:rStyle w:val="FootnoteReference"/>
        </w:rPr>
        <w:footnoteRef/>
      </w:r>
      <w:r>
        <w:t xml:space="preserve"> In 2014, </w:t>
      </w:r>
      <w:proofErr w:type="spellStart"/>
      <w:r>
        <w:t>Tricom</w:t>
      </w:r>
      <w:proofErr w:type="spellEnd"/>
      <w:r>
        <w:t xml:space="preserve"> was the second largest landline provider (23%), while Orange </w:t>
      </w:r>
      <w:proofErr w:type="spellStart"/>
      <w:r>
        <w:t>Dominicana</w:t>
      </w:r>
      <w:proofErr w:type="spellEnd"/>
      <w:r>
        <w:t xml:space="preserve"> was the second largest mobile service (37%) and Internet services (31%) provider. Resolution No.</w:t>
      </w:r>
      <w:r w:rsidR="007F7979">
        <w:t> </w:t>
      </w:r>
      <w:r>
        <w:t xml:space="preserve">056-17 of the </w:t>
      </w:r>
      <w:proofErr w:type="spellStart"/>
      <w:r>
        <w:t>INDOTEL</w:t>
      </w:r>
      <w:proofErr w:type="spellEnd"/>
      <w:r>
        <w:t xml:space="preserve"> Board of Directors ordered corrective measures for the merger of these operators, which included reintegrating some bands assigned to the operators and reducing the interconnection access charges.</w:t>
      </w:r>
    </w:p>
  </w:footnote>
  <w:footnote w:id="516">
    <w:p w14:paraId="0F991D36" w14:textId="12CE3C7C" w:rsidR="00EB7374" w:rsidRPr="00972C81" w:rsidRDefault="00EB7374" w:rsidP="00B0434B">
      <w:pPr>
        <w:pStyle w:val="FootnoteText"/>
      </w:pPr>
      <w:r>
        <w:rPr>
          <w:rStyle w:val="FootnoteReference"/>
        </w:rPr>
        <w:footnoteRef/>
      </w:r>
      <w:r>
        <w:t xml:space="preserve"> Law No.</w:t>
      </w:r>
      <w:r w:rsidR="007F7979">
        <w:t> </w:t>
      </w:r>
      <w:r>
        <w:t>153-98.</w:t>
      </w:r>
    </w:p>
  </w:footnote>
  <w:footnote w:id="517">
    <w:p w14:paraId="00026136" w14:textId="19B0E8E5" w:rsidR="00EB7374" w:rsidRPr="009309DD" w:rsidRDefault="00EB7374" w:rsidP="00B0434B">
      <w:pPr>
        <w:pStyle w:val="FootnoteText"/>
      </w:pPr>
      <w:r>
        <w:rPr>
          <w:rStyle w:val="FootnoteReference"/>
        </w:rPr>
        <w:footnoteRef/>
      </w:r>
      <w:r>
        <w:t xml:space="preserve"> Before being approved through a Resolution, </w:t>
      </w:r>
      <w:proofErr w:type="spellStart"/>
      <w:r>
        <w:t>INDOTEL</w:t>
      </w:r>
      <w:proofErr w:type="spellEnd"/>
      <w:r>
        <w:t xml:space="preserve"> Regulations must be put to a public consultation (Article</w:t>
      </w:r>
      <w:r w:rsidR="007F7979">
        <w:t> </w:t>
      </w:r>
      <w:r>
        <w:t xml:space="preserve">93 of the </w:t>
      </w:r>
      <w:proofErr w:type="spellStart"/>
      <w:r>
        <w:t>LGT</w:t>
      </w:r>
      <w:proofErr w:type="spellEnd"/>
      <w:r>
        <w:t xml:space="preserve">). The Regulations can be viewed at: </w:t>
      </w:r>
      <w:hyperlink r:id="rId138" w:history="1">
        <w:r w:rsidRPr="005C60A9">
          <w:rPr>
            <w:rStyle w:val="Hyperlink"/>
          </w:rPr>
          <w:t>https://transparencia.indotel.gob.do/base-legal-de-la-institucion/resoluciones</w:t>
        </w:r>
      </w:hyperlink>
      <w:r>
        <w:t>.</w:t>
      </w:r>
    </w:p>
  </w:footnote>
  <w:footnote w:id="518">
    <w:p w14:paraId="7657F7C1" w14:textId="32E34720" w:rsidR="00EB7374" w:rsidRPr="007B69D7" w:rsidRDefault="00EB7374" w:rsidP="00B0434B">
      <w:pPr>
        <w:pStyle w:val="FootnoteText"/>
      </w:pPr>
      <w:r>
        <w:rPr>
          <w:rStyle w:val="FootnoteReference"/>
        </w:rPr>
        <w:footnoteRef/>
      </w:r>
      <w:r>
        <w:t xml:space="preserve"> Online information about this public consultation. Viewed at: </w:t>
      </w:r>
      <w:hyperlink r:id="rId139" w:history="1">
        <w:r w:rsidRPr="007169C3">
          <w:rPr>
            <w:rStyle w:val="Hyperlink"/>
          </w:rPr>
          <w:t>https://transparencia.indotel.gob.do/media/214592/bid-documento-consulta-pu-blica-cl-plus-jec-final.pdf</w:t>
        </w:r>
      </w:hyperlink>
      <w:r>
        <w:t xml:space="preserve">; and comments already made: </w:t>
      </w:r>
      <w:hyperlink r:id="rId140" w:history="1">
        <w:r w:rsidRPr="007169C3">
          <w:rPr>
            <w:rStyle w:val="Hyperlink"/>
          </w:rPr>
          <w:t>https://indotel.gob.do/enlaces/convocatoria-publica</w:t>
        </w:r>
      </w:hyperlink>
      <w:r>
        <w:t>.</w:t>
      </w:r>
    </w:p>
  </w:footnote>
  <w:footnote w:id="519">
    <w:p w14:paraId="27C8AE96" w14:textId="5F2216EC" w:rsidR="00EB7374" w:rsidRPr="00712C8F" w:rsidRDefault="00EB7374" w:rsidP="00B0434B">
      <w:pPr>
        <w:pStyle w:val="FootnoteText"/>
        <w:rPr>
          <w:szCs w:val="17"/>
        </w:rPr>
      </w:pPr>
      <w:r>
        <w:rPr>
          <w:rStyle w:val="FootnoteReference"/>
        </w:rPr>
        <w:footnoteRef/>
      </w:r>
      <w:r>
        <w:t xml:space="preserve"> Article 76 of the </w:t>
      </w:r>
      <w:proofErr w:type="spellStart"/>
      <w:r>
        <w:t>LGT</w:t>
      </w:r>
      <w:proofErr w:type="spellEnd"/>
      <w:r>
        <w:t>, Regulations on Free and Fair Competition for the Telecommunications Sector (Resolution No.</w:t>
      </w:r>
      <w:r w:rsidR="00FC2C9F">
        <w:t> </w:t>
      </w:r>
      <w:r>
        <w:t>022-05) and General Telephone Service Regulations (Resolution No.</w:t>
      </w:r>
      <w:r w:rsidR="00FC2C9F">
        <w:t> </w:t>
      </w:r>
      <w:r>
        <w:t>105-07 and amendments thereto).</w:t>
      </w:r>
    </w:p>
  </w:footnote>
  <w:footnote w:id="520">
    <w:p w14:paraId="58DE817D" w14:textId="77777777" w:rsidR="00EB7374" w:rsidRPr="00694C1A" w:rsidRDefault="00EB7374" w:rsidP="00B0434B">
      <w:pPr>
        <w:pStyle w:val="FootnoteText"/>
      </w:pPr>
      <w:r>
        <w:rPr>
          <w:rStyle w:val="FootnoteReference"/>
        </w:rPr>
        <w:footnoteRef/>
      </w:r>
      <w:r>
        <w:t xml:space="preserve"> Resolution No. 036-19.</w:t>
      </w:r>
    </w:p>
  </w:footnote>
  <w:footnote w:id="521">
    <w:p w14:paraId="6B1A7FCF" w14:textId="4D3275B3" w:rsidR="00EB7374" w:rsidRPr="00C91A58" w:rsidRDefault="00EB7374" w:rsidP="00B0434B">
      <w:pPr>
        <w:pStyle w:val="FootnoteText"/>
      </w:pPr>
      <w:r>
        <w:rPr>
          <w:rStyle w:val="FootnoteReference"/>
        </w:rPr>
        <w:footnoteRef/>
      </w:r>
      <w:r>
        <w:t xml:space="preserve"> </w:t>
      </w:r>
      <w:proofErr w:type="spellStart"/>
      <w:r>
        <w:t>INDOTEL</w:t>
      </w:r>
      <w:proofErr w:type="spellEnd"/>
      <w:r>
        <w:t>/LPI-001-2021 International Public Tender, launched by Resolution No.</w:t>
      </w:r>
      <w:r w:rsidR="00FC2C9F">
        <w:t> </w:t>
      </w:r>
      <w:r>
        <w:t>005-21.</w:t>
      </w:r>
    </w:p>
  </w:footnote>
  <w:footnote w:id="522">
    <w:p w14:paraId="72A61B83" w14:textId="01922856" w:rsidR="00EB7374" w:rsidRPr="005D5400" w:rsidRDefault="00EB7374" w:rsidP="00B0434B">
      <w:pPr>
        <w:pStyle w:val="FootnoteText"/>
      </w:pPr>
      <w:r>
        <w:rPr>
          <w:rStyle w:val="FootnoteReference"/>
        </w:rPr>
        <w:footnoteRef/>
      </w:r>
      <w:r>
        <w:t xml:space="preserve"> The General Regulations on the Use of the Radio Spectrum (Resolution No.</w:t>
      </w:r>
      <w:r w:rsidR="00FC2C9F">
        <w:t> </w:t>
      </w:r>
      <w:r>
        <w:t>034-20) and the Master Plan on the Use of the Radio Spectrum (Resolution No.</w:t>
      </w:r>
      <w:r w:rsidR="00FC2C9F">
        <w:t> </w:t>
      </w:r>
      <w:r>
        <w:t>071-21) outline how use of the spectrum will develop over the next five years.</w:t>
      </w:r>
    </w:p>
  </w:footnote>
  <w:footnote w:id="523">
    <w:p w14:paraId="697A5F68" w14:textId="77777777" w:rsidR="00EB7374" w:rsidRPr="00C33191" w:rsidRDefault="00EB7374" w:rsidP="00B0434B">
      <w:pPr>
        <w:pStyle w:val="FootnoteText"/>
      </w:pPr>
      <w:r>
        <w:rPr>
          <w:rStyle w:val="FootnoteReference"/>
        </w:rPr>
        <w:footnoteRef/>
      </w:r>
      <w:r>
        <w:t xml:space="preserve"> The tender established spectrum ownership caps for bidders, as well as a national roaming obligation for the winning service provider.</w:t>
      </w:r>
    </w:p>
  </w:footnote>
  <w:footnote w:id="524">
    <w:p w14:paraId="16AB0B80" w14:textId="6EF98A2D" w:rsidR="00EB7374" w:rsidRPr="00C77990" w:rsidRDefault="00EB7374" w:rsidP="00B0434B">
      <w:pPr>
        <w:pStyle w:val="FootnoteText"/>
      </w:pPr>
      <w:r>
        <w:rPr>
          <w:rStyle w:val="FootnoteReference"/>
        </w:rPr>
        <w:footnoteRef/>
      </w:r>
      <w:r>
        <w:t xml:space="preserve"> General Interconnection Regulations (Resolution No.</w:t>
      </w:r>
      <w:r w:rsidR="00FC2C9F">
        <w:t> </w:t>
      </w:r>
      <w:r>
        <w:t>038-11).</w:t>
      </w:r>
    </w:p>
  </w:footnote>
  <w:footnote w:id="525">
    <w:p w14:paraId="3AE4E47F" w14:textId="77777777" w:rsidR="00EB7374" w:rsidRPr="007045FD" w:rsidRDefault="00EB7374" w:rsidP="00B0434B">
      <w:pPr>
        <w:pStyle w:val="FootnoteText"/>
      </w:pPr>
      <w:r>
        <w:rPr>
          <w:rStyle w:val="FootnoteReference"/>
        </w:rPr>
        <w:footnoteRef/>
      </w:r>
      <w:r>
        <w:t xml:space="preserve"> The accounting rate is the tariff charged by the company operating a country's telephone network for calls from another country. </w:t>
      </w:r>
      <w:proofErr w:type="spellStart"/>
      <w:r>
        <w:t>INDOTEL</w:t>
      </w:r>
      <w:proofErr w:type="spellEnd"/>
      <w:r>
        <w:t xml:space="preserve"> does not intervene in setting accounting rates, but it does review agreements between operators.</w:t>
      </w:r>
    </w:p>
  </w:footnote>
  <w:footnote w:id="526">
    <w:p w14:paraId="7A1EC269" w14:textId="35F9FA60" w:rsidR="00EB7374" w:rsidRPr="00692385" w:rsidRDefault="00EB7374" w:rsidP="00B0434B">
      <w:pPr>
        <w:pStyle w:val="FootnoteText"/>
      </w:pPr>
      <w:r>
        <w:rPr>
          <w:rStyle w:val="FootnoteReference"/>
        </w:rPr>
        <w:footnoteRef/>
      </w:r>
      <w:r>
        <w:t xml:space="preserve"> Regulations on the Collection of the CDT (Resolution No. 061-17). The distribution of this collected revenue between the </w:t>
      </w:r>
      <w:proofErr w:type="spellStart"/>
      <w:r>
        <w:t>FDT</w:t>
      </w:r>
      <w:proofErr w:type="spellEnd"/>
      <w:r>
        <w:t xml:space="preserve"> and </w:t>
      </w:r>
      <w:proofErr w:type="spellStart"/>
      <w:r>
        <w:t>INDOTEL</w:t>
      </w:r>
      <w:proofErr w:type="spellEnd"/>
      <w:r>
        <w:t xml:space="preserve"> varies based on the approved </w:t>
      </w:r>
      <w:proofErr w:type="spellStart"/>
      <w:r>
        <w:t>INDOTEL</w:t>
      </w:r>
      <w:proofErr w:type="spellEnd"/>
      <w:r>
        <w:t xml:space="preserve"> budget for each fiscal year (Resolution No.</w:t>
      </w:r>
      <w:r w:rsidR="00FC2C9F">
        <w:t> </w:t>
      </w:r>
      <w:r>
        <w:t>150-04).</w:t>
      </w:r>
    </w:p>
  </w:footnote>
  <w:footnote w:id="527">
    <w:p w14:paraId="09153407" w14:textId="77777777" w:rsidR="00EB7374" w:rsidRPr="00F72EC1" w:rsidRDefault="00EB7374" w:rsidP="00B0434B">
      <w:pPr>
        <w:pStyle w:val="FootnoteText"/>
      </w:pPr>
      <w:r>
        <w:rPr>
          <w:rStyle w:val="FootnoteReference"/>
        </w:rPr>
        <w:footnoteRef/>
      </w:r>
      <w:r>
        <w:t xml:space="preserve"> </w:t>
      </w:r>
      <w:r w:rsidRPr="00FC17EA">
        <w:t>Multi-Year Public Sector Plan</w:t>
      </w:r>
      <w:r>
        <w:t xml:space="preserve"> 2021-24.</w:t>
      </w:r>
    </w:p>
  </w:footnote>
  <w:footnote w:id="528">
    <w:p w14:paraId="0D79AA04" w14:textId="2F4935E4" w:rsidR="00EB7374" w:rsidRPr="00712C8F" w:rsidRDefault="00EB7374" w:rsidP="00B0434B">
      <w:pPr>
        <w:pStyle w:val="FootnoteText"/>
      </w:pPr>
      <w:r>
        <w:rPr>
          <w:rStyle w:val="FootnoteReference"/>
        </w:rPr>
        <w:footnoteRef/>
      </w:r>
      <w:r>
        <w:t xml:space="preserve"> Resolution No.</w:t>
      </w:r>
      <w:r w:rsidR="00FC2C9F">
        <w:t> </w:t>
      </w:r>
      <w:r>
        <w:t>024-10.</w:t>
      </w:r>
    </w:p>
  </w:footnote>
  <w:footnote w:id="529">
    <w:p w14:paraId="0F7C1B25" w14:textId="28B1795F" w:rsidR="00EB7374" w:rsidRPr="00996B43" w:rsidRDefault="00EB7374" w:rsidP="00B0434B">
      <w:pPr>
        <w:pStyle w:val="FootnoteText"/>
      </w:pPr>
      <w:r>
        <w:rPr>
          <w:rStyle w:val="FootnoteReference"/>
        </w:rPr>
        <w:footnoteRef/>
      </w:r>
      <w:r>
        <w:t xml:space="preserve"> </w:t>
      </w:r>
      <w:proofErr w:type="spellStart"/>
      <w:r>
        <w:t>LGT</w:t>
      </w:r>
      <w:proofErr w:type="spellEnd"/>
      <w:r>
        <w:t xml:space="preserve">; Biennial Project Plan 2021-22; and </w:t>
      </w:r>
      <w:proofErr w:type="spellStart"/>
      <w:r>
        <w:t>FDT</w:t>
      </w:r>
      <w:proofErr w:type="spellEnd"/>
      <w:r>
        <w:t xml:space="preserve"> Regulations (Resolution No.</w:t>
      </w:r>
      <w:r w:rsidR="00FC2C9F">
        <w:t> </w:t>
      </w:r>
      <w:r>
        <w:t xml:space="preserve">063-19). The changes made to the Regulations include allocating a minimum of 3% of the CDT budget to the </w:t>
      </w:r>
      <w:proofErr w:type="spellStart"/>
      <w:r>
        <w:t>FDT</w:t>
      </w:r>
      <w:proofErr w:type="spellEnd"/>
      <w:r>
        <w:t xml:space="preserve">, using trusts for managing </w:t>
      </w:r>
      <w:proofErr w:type="spellStart"/>
      <w:r>
        <w:t>FDT</w:t>
      </w:r>
      <w:proofErr w:type="spellEnd"/>
      <w:r>
        <w:t xml:space="preserve"> projects, aligning </w:t>
      </w:r>
      <w:proofErr w:type="spellStart"/>
      <w:r>
        <w:t>FDT</w:t>
      </w:r>
      <w:proofErr w:type="spellEnd"/>
      <w:r>
        <w:t xml:space="preserve"> objectives with the 2030 National Development Strategy and greater involvement by the general population in identifying projects, among other changes.</w:t>
      </w:r>
    </w:p>
  </w:footnote>
  <w:footnote w:id="530">
    <w:p w14:paraId="272A1D0E" w14:textId="77777777" w:rsidR="00EB7374" w:rsidRPr="0032253C" w:rsidRDefault="00EB7374" w:rsidP="00B0434B">
      <w:pPr>
        <w:pStyle w:val="FootnoteText"/>
      </w:pPr>
      <w:r>
        <w:rPr>
          <w:rStyle w:val="FootnoteReference"/>
        </w:rPr>
        <w:footnoteRef/>
      </w:r>
      <w:r>
        <w:t xml:space="preserve"> The execution of the activities is awarded to the private sector through public tenders, in accordance with the Law on Government Procurement. Companies that fail to meet its requirements will not be able to participate in future tender proceedings.</w:t>
      </w:r>
    </w:p>
  </w:footnote>
  <w:footnote w:id="531">
    <w:p w14:paraId="15A967EC" w14:textId="77777777" w:rsidR="00EB7374" w:rsidRPr="00BA58CE" w:rsidRDefault="00EB7374" w:rsidP="00B0434B">
      <w:pPr>
        <w:pStyle w:val="FootnoteText"/>
      </w:pPr>
      <w:r>
        <w:rPr>
          <w:rStyle w:val="FootnoteReference"/>
        </w:rPr>
        <w:footnoteRef/>
      </w:r>
      <w:r>
        <w:t xml:space="preserve"> Article 79 of the </w:t>
      </w:r>
      <w:proofErr w:type="spellStart"/>
      <w:r>
        <w:t>LGT</w:t>
      </w:r>
      <w:proofErr w:type="spellEnd"/>
      <w:r>
        <w:t>, Regulations on the Settlement of Disputes between Users and Providers of Public Telecommunications Services; and Regulations on the Settlement of Disputes between Service Providers.</w:t>
      </w:r>
    </w:p>
  </w:footnote>
  <w:footnote w:id="532">
    <w:p w14:paraId="1F04874D" w14:textId="77777777" w:rsidR="00EB7374" w:rsidRPr="0093265A" w:rsidRDefault="00EB7374" w:rsidP="00B0434B">
      <w:pPr>
        <w:pStyle w:val="FootnoteText"/>
      </w:pPr>
      <w:r>
        <w:rPr>
          <w:rStyle w:val="FootnoteReference"/>
        </w:rPr>
        <w:footnoteRef/>
      </w:r>
      <w:r>
        <w:t xml:space="preserve"> Regulations on the Settlement of Disputes between Users and Providers of Public Telecommunications Services (Resolution No. 091-20).</w:t>
      </w:r>
    </w:p>
  </w:footnote>
  <w:footnote w:id="533">
    <w:p w14:paraId="0BC76227" w14:textId="77777777" w:rsidR="00EB7374" w:rsidRPr="009B7EE6" w:rsidRDefault="00EB7374" w:rsidP="00B0434B">
      <w:pPr>
        <w:pStyle w:val="FootnoteText"/>
      </w:pPr>
      <w:r>
        <w:rPr>
          <w:rStyle w:val="FootnoteReference"/>
        </w:rPr>
        <w:footnoteRef/>
      </w:r>
      <w:r>
        <w:t xml:space="preserve"> Resolution No. 156-06 and amendments thereto. Number portability was rolled out pursuant to commitment made by the Dominican Republic under the CAFTA-DR Agreement, among other reasons.</w:t>
      </w:r>
    </w:p>
  </w:footnote>
  <w:footnote w:id="534">
    <w:p w14:paraId="7B0D2916" w14:textId="02A79BF6" w:rsidR="00EB7374" w:rsidRPr="00B80AE9" w:rsidRDefault="00EB7374" w:rsidP="00B0434B">
      <w:pPr>
        <w:pStyle w:val="FootnoteText"/>
      </w:pPr>
      <w:r>
        <w:rPr>
          <w:rStyle w:val="FootnoteReference"/>
        </w:rPr>
        <w:footnoteRef/>
      </w:r>
      <w:r>
        <w:t xml:space="preserve"> Resolutions No.</w:t>
      </w:r>
      <w:r w:rsidR="00FC2C9F">
        <w:t> </w:t>
      </w:r>
      <w:r>
        <w:t>015-15 and No.</w:t>
      </w:r>
      <w:r w:rsidR="00FC2C9F">
        <w:t> </w:t>
      </w:r>
      <w:r>
        <w:t>037-15.</w:t>
      </w:r>
    </w:p>
  </w:footnote>
  <w:footnote w:id="535">
    <w:p w14:paraId="42EE36AA" w14:textId="51BB3A71" w:rsidR="00EB7374" w:rsidRPr="004847C9" w:rsidRDefault="00EB7374" w:rsidP="00B0434B">
      <w:pPr>
        <w:pStyle w:val="FootnoteText"/>
      </w:pPr>
      <w:r>
        <w:rPr>
          <w:rStyle w:val="FootnoteReference"/>
        </w:rPr>
        <w:footnoteRef/>
      </w:r>
      <w:r>
        <w:t xml:space="preserve"> Resolution No.</w:t>
      </w:r>
      <w:r w:rsidR="00FC2C9F">
        <w:t> </w:t>
      </w:r>
      <w:r>
        <w:t>078-19.</w:t>
      </w:r>
    </w:p>
  </w:footnote>
  <w:footnote w:id="536">
    <w:p w14:paraId="47B3F365" w14:textId="77777777" w:rsidR="00EB7374" w:rsidRPr="00D401E7" w:rsidRDefault="00EB7374" w:rsidP="00B0434B">
      <w:pPr>
        <w:pStyle w:val="FootnoteText"/>
      </w:pPr>
      <w:r>
        <w:rPr>
          <w:rStyle w:val="FootnoteReference"/>
        </w:rPr>
        <w:footnoteRef/>
      </w:r>
      <w:r>
        <w:t xml:space="preserve"> These agreements are managed directly between providers and </w:t>
      </w:r>
      <w:proofErr w:type="spellStart"/>
      <w:r>
        <w:t>INDOTEL</w:t>
      </w:r>
      <w:proofErr w:type="spellEnd"/>
      <w:r>
        <w:t xml:space="preserve"> only intervenes in the event of a complaint. No complaints have been made up to June 2022.</w:t>
      </w:r>
    </w:p>
  </w:footnote>
  <w:footnote w:id="537">
    <w:p w14:paraId="5D8D4926" w14:textId="77777777" w:rsidR="00EB7374" w:rsidRPr="006B0DD2" w:rsidRDefault="00EB7374" w:rsidP="00B0434B">
      <w:pPr>
        <w:pStyle w:val="FootnoteText"/>
      </w:pPr>
      <w:r>
        <w:rPr>
          <w:rStyle w:val="FootnoteReference"/>
        </w:rPr>
        <w:footnoteRef/>
      </w:r>
      <w:r>
        <w:t xml:space="preserve"> This National Broadband Plan and other recent initiatives have been introduced as a result of objectives set by Decree No. 539-20.</w:t>
      </w:r>
    </w:p>
  </w:footnote>
  <w:footnote w:id="538">
    <w:p w14:paraId="103C2062" w14:textId="77777777" w:rsidR="00EB7374" w:rsidRPr="00152CA2" w:rsidRDefault="00EB7374" w:rsidP="00B0434B">
      <w:pPr>
        <w:pStyle w:val="FootnoteText"/>
      </w:pPr>
      <w:r>
        <w:rPr>
          <w:rStyle w:val="FootnoteReference"/>
        </w:rPr>
        <w:footnoteRef/>
      </w:r>
      <w:r>
        <w:t xml:space="preserve"> According to data published by the Central Bank, between 2015 and 2022 (June), more than 40.3 million non-resident passengers entered the country. </w:t>
      </w:r>
    </w:p>
  </w:footnote>
  <w:footnote w:id="539">
    <w:p w14:paraId="6DB30074" w14:textId="499A10F4" w:rsidR="00EB7374" w:rsidRPr="00EA337E" w:rsidRDefault="00EB7374" w:rsidP="00B0434B">
      <w:pPr>
        <w:pStyle w:val="FootnoteText"/>
      </w:pPr>
      <w:r>
        <w:rPr>
          <w:rStyle w:val="FootnoteReference"/>
        </w:rPr>
        <w:footnoteRef/>
      </w:r>
      <w:r>
        <w:t xml:space="preserve"> The Dominican Republic</w:t>
      </w:r>
      <w:r w:rsidR="00FE5A32">
        <w:t>'</w:t>
      </w:r>
      <w:r>
        <w:t xml:space="preserve">s eight international airports are </w:t>
      </w:r>
      <w:proofErr w:type="spellStart"/>
      <w:r>
        <w:t>Cibao</w:t>
      </w:r>
      <w:proofErr w:type="spellEnd"/>
      <w:r>
        <w:t xml:space="preserve"> (Santiago province); Gregorio </w:t>
      </w:r>
      <w:proofErr w:type="spellStart"/>
      <w:r>
        <w:t>Luperón</w:t>
      </w:r>
      <w:proofErr w:type="spellEnd"/>
      <w:r>
        <w:t xml:space="preserve"> (Puerto Plata); La Isabela Joaquín Balaguer (Santo Domingo); Las </w:t>
      </w:r>
      <w:proofErr w:type="spellStart"/>
      <w:r>
        <w:t>Américas</w:t>
      </w:r>
      <w:proofErr w:type="spellEnd"/>
      <w:r>
        <w:t xml:space="preserve"> José Francisco Peña Gómez (Santo Domingo); Casa de Campo La Romana (La Romana); María </w:t>
      </w:r>
      <w:proofErr w:type="spellStart"/>
      <w:r>
        <w:t>Montéz</w:t>
      </w:r>
      <w:proofErr w:type="spellEnd"/>
      <w:r>
        <w:t xml:space="preserve"> (Barahona); El </w:t>
      </w:r>
      <w:proofErr w:type="spellStart"/>
      <w:r>
        <w:t>Catey</w:t>
      </w:r>
      <w:proofErr w:type="spellEnd"/>
      <w:r>
        <w:t> </w:t>
      </w:r>
      <w:proofErr w:type="spellStart"/>
      <w:r>
        <w:t>Presidente</w:t>
      </w:r>
      <w:proofErr w:type="spellEnd"/>
      <w:r>
        <w:t xml:space="preserve"> Juan Bosch (</w:t>
      </w:r>
      <w:proofErr w:type="spellStart"/>
      <w:r>
        <w:t>Samaná</w:t>
      </w:r>
      <w:proofErr w:type="spellEnd"/>
      <w:r>
        <w:t xml:space="preserve">); and Punta Cana. </w:t>
      </w:r>
    </w:p>
  </w:footnote>
  <w:footnote w:id="540">
    <w:p w14:paraId="07254C78" w14:textId="77777777" w:rsidR="00EB7374" w:rsidRPr="003872B0" w:rsidRDefault="00EB7374" w:rsidP="00B0434B">
      <w:pPr>
        <w:pStyle w:val="FootnoteText"/>
      </w:pPr>
      <w:r>
        <w:rPr>
          <w:rStyle w:val="FootnoteReference"/>
        </w:rPr>
        <w:footnoteRef/>
      </w:r>
      <w:r>
        <w:t xml:space="preserve"> </w:t>
      </w:r>
      <w:r w:rsidRPr="00672C38">
        <w:rPr>
          <w:i/>
          <w:iCs/>
        </w:rPr>
        <w:t xml:space="preserve">Informe </w:t>
      </w:r>
      <w:proofErr w:type="spellStart"/>
      <w:r w:rsidRPr="00672C38">
        <w:rPr>
          <w:i/>
          <w:iCs/>
        </w:rPr>
        <w:t>Estadístico</w:t>
      </w:r>
      <w:proofErr w:type="spellEnd"/>
      <w:r w:rsidRPr="00672C38">
        <w:rPr>
          <w:i/>
          <w:iCs/>
        </w:rPr>
        <w:t xml:space="preserve"> del </w:t>
      </w:r>
      <w:proofErr w:type="spellStart"/>
      <w:r w:rsidRPr="00672C38">
        <w:rPr>
          <w:i/>
          <w:iCs/>
        </w:rPr>
        <w:t>Transporte</w:t>
      </w:r>
      <w:proofErr w:type="spellEnd"/>
      <w:r w:rsidRPr="00672C38">
        <w:rPr>
          <w:i/>
          <w:iCs/>
        </w:rPr>
        <w:t xml:space="preserve"> </w:t>
      </w:r>
      <w:proofErr w:type="spellStart"/>
      <w:r w:rsidRPr="00672C38">
        <w:rPr>
          <w:i/>
          <w:iCs/>
        </w:rPr>
        <w:t>Aerocomercial</w:t>
      </w:r>
      <w:proofErr w:type="spellEnd"/>
      <w:r w:rsidRPr="00672C38">
        <w:rPr>
          <w:i/>
          <w:iCs/>
        </w:rPr>
        <w:t xml:space="preserve"> </w:t>
      </w:r>
      <w:proofErr w:type="spellStart"/>
      <w:r w:rsidRPr="00672C38">
        <w:rPr>
          <w:i/>
          <w:iCs/>
        </w:rPr>
        <w:t>en</w:t>
      </w:r>
      <w:proofErr w:type="spellEnd"/>
      <w:r w:rsidRPr="00672C38">
        <w:rPr>
          <w:i/>
          <w:iCs/>
        </w:rPr>
        <w:t xml:space="preserve"> la República </w:t>
      </w:r>
      <w:proofErr w:type="spellStart"/>
      <w:r w:rsidRPr="00672C38">
        <w:rPr>
          <w:i/>
          <w:iCs/>
        </w:rPr>
        <w:t>Dominicana</w:t>
      </w:r>
      <w:proofErr w:type="spellEnd"/>
      <w:r w:rsidRPr="00672C38">
        <w:rPr>
          <w:i/>
          <w:iCs/>
        </w:rPr>
        <w:t xml:space="preserve"> 2021</w:t>
      </w:r>
      <w:r>
        <w:t>.</w:t>
      </w:r>
    </w:p>
  </w:footnote>
  <w:footnote w:id="541">
    <w:p w14:paraId="3CF3417B" w14:textId="77777777" w:rsidR="00EB7374" w:rsidRPr="004A1C8A" w:rsidRDefault="00EB7374" w:rsidP="00B0434B">
      <w:pPr>
        <w:pStyle w:val="FootnoteText"/>
      </w:pPr>
      <w:r>
        <w:rPr>
          <w:rStyle w:val="FootnoteReference"/>
        </w:rPr>
        <w:footnoteRef/>
      </w:r>
      <w:r>
        <w:t xml:space="preserve"> Both airports are currently moving ahead with expansion projects which will also increase their cargo logistics capacity.</w:t>
      </w:r>
    </w:p>
  </w:footnote>
  <w:footnote w:id="542">
    <w:p w14:paraId="5B23D3C3" w14:textId="77777777" w:rsidR="00EB7374" w:rsidRPr="00021DF3" w:rsidRDefault="00EB7374" w:rsidP="00B0434B">
      <w:pPr>
        <w:pStyle w:val="FootnoteText"/>
      </w:pPr>
      <w:r>
        <w:rPr>
          <w:rStyle w:val="FootnoteReference"/>
        </w:rPr>
        <w:footnoteRef/>
      </w:r>
      <w:r>
        <w:t xml:space="preserve"> The Dominican Republic does not apply restrictions on foreign ownership stakes in public airports or in their operations, or in ground handling service operators. The concession contract was awarded for 30 years in 1999, and covers Arroyo </w:t>
      </w:r>
      <w:proofErr w:type="spellStart"/>
      <w:r>
        <w:t>Barril</w:t>
      </w:r>
      <w:proofErr w:type="spellEnd"/>
      <w:r>
        <w:t xml:space="preserve"> Aerodrome (</w:t>
      </w:r>
      <w:proofErr w:type="spellStart"/>
      <w:r>
        <w:t>Samaná</w:t>
      </w:r>
      <w:proofErr w:type="spellEnd"/>
      <w:r>
        <w:t xml:space="preserve">), in addition to the five international public airports. The airports operated under concessions are Gregorio </w:t>
      </w:r>
      <w:proofErr w:type="spellStart"/>
      <w:r>
        <w:t>Luperón</w:t>
      </w:r>
      <w:proofErr w:type="spellEnd"/>
      <w:r>
        <w:t xml:space="preserve">; La Isabela Joaquín Balaguer; Las </w:t>
      </w:r>
      <w:proofErr w:type="spellStart"/>
      <w:r>
        <w:t>Américas</w:t>
      </w:r>
      <w:proofErr w:type="spellEnd"/>
      <w:r>
        <w:t xml:space="preserve"> José Francisco Peña Gómez; María </w:t>
      </w:r>
      <w:proofErr w:type="spellStart"/>
      <w:r>
        <w:t>Montéz</w:t>
      </w:r>
      <w:proofErr w:type="spellEnd"/>
      <w:r>
        <w:t xml:space="preserve">; and El </w:t>
      </w:r>
      <w:proofErr w:type="spellStart"/>
      <w:r>
        <w:t>Catey</w:t>
      </w:r>
      <w:proofErr w:type="spellEnd"/>
      <w:r>
        <w:t xml:space="preserve"> </w:t>
      </w:r>
      <w:proofErr w:type="spellStart"/>
      <w:r>
        <w:t>Presidente</w:t>
      </w:r>
      <w:proofErr w:type="spellEnd"/>
      <w:r>
        <w:t xml:space="preserve"> Juan Bosch.</w:t>
      </w:r>
    </w:p>
  </w:footnote>
  <w:footnote w:id="543">
    <w:p w14:paraId="087FD601" w14:textId="6B3AB57E" w:rsidR="00EB7374" w:rsidRPr="008B7666" w:rsidRDefault="00EB7374" w:rsidP="00B0434B">
      <w:pPr>
        <w:pStyle w:val="FootnoteText"/>
      </w:pPr>
      <w:r>
        <w:rPr>
          <w:rStyle w:val="FootnoteReference"/>
        </w:rPr>
        <w:footnoteRef/>
      </w:r>
      <w:r>
        <w:t xml:space="preserve"> Chapters II and XI of Law No. 491-06, as amended by Laws No. 67-18 and No.</w:t>
      </w:r>
      <w:r w:rsidR="00D61D5B">
        <w:t> </w:t>
      </w:r>
      <w:r>
        <w:t xml:space="preserve">29-18. See also: </w:t>
      </w:r>
      <w:r>
        <w:rPr>
          <w:rStyle w:val="Hyperlink"/>
        </w:rPr>
        <w:t>http://www.idac.gob.do</w:t>
      </w:r>
      <w:r>
        <w:t xml:space="preserve"> and </w:t>
      </w:r>
      <w:hyperlink r:id="rId141" w:history="1">
        <w:r w:rsidRPr="00276575">
          <w:rPr>
            <w:rStyle w:val="Hyperlink"/>
          </w:rPr>
          <w:t>https://jac.gob.do</w:t>
        </w:r>
      </w:hyperlink>
      <w:r>
        <w:t>.</w:t>
      </w:r>
    </w:p>
  </w:footnote>
  <w:footnote w:id="544">
    <w:p w14:paraId="2B41A900" w14:textId="6988FEEC" w:rsidR="00EB7374" w:rsidRPr="00FC238B" w:rsidRDefault="00EB7374" w:rsidP="00B0434B">
      <w:pPr>
        <w:pStyle w:val="FootnoteText"/>
      </w:pPr>
      <w:r>
        <w:rPr>
          <w:rStyle w:val="FootnoteReference"/>
        </w:rPr>
        <w:footnoteRef/>
      </w:r>
      <w:r>
        <w:t xml:space="preserve"> Resolution No.</w:t>
      </w:r>
      <w:r w:rsidR="00D61D5B">
        <w:t> </w:t>
      </w:r>
      <w:r>
        <w:t>180-2010 of the JAC.</w:t>
      </w:r>
    </w:p>
  </w:footnote>
  <w:footnote w:id="545">
    <w:p w14:paraId="10FD272A" w14:textId="77777777" w:rsidR="00EB7374" w:rsidRPr="009B2A97" w:rsidRDefault="00EB7374" w:rsidP="00B0434B">
      <w:pPr>
        <w:pStyle w:val="FootnoteText"/>
      </w:pPr>
      <w:r>
        <w:rPr>
          <w:rStyle w:val="FootnoteReference"/>
        </w:rPr>
        <w:footnoteRef/>
      </w:r>
      <w:r>
        <w:t xml:space="preserve"> The Impact of Aviation Reforms in the Dominican Republic: A model of Socioeconomic Growth and Development, ICAO, August 2018.</w:t>
      </w:r>
    </w:p>
  </w:footnote>
  <w:footnote w:id="546">
    <w:p w14:paraId="5AD438A5" w14:textId="77777777" w:rsidR="00EB7374" w:rsidRPr="000C662E" w:rsidRDefault="00EB7374" w:rsidP="00B0434B">
      <w:pPr>
        <w:pStyle w:val="FootnoteText"/>
      </w:pPr>
      <w:r>
        <w:rPr>
          <w:rStyle w:val="FootnoteReference"/>
        </w:rPr>
        <w:footnoteRef/>
      </w:r>
      <w:r>
        <w:t xml:space="preserve"> Law No. 491-06, as amended by Laws No. 67-13 and No. 29-18. </w:t>
      </w:r>
    </w:p>
  </w:footnote>
  <w:footnote w:id="547">
    <w:p w14:paraId="1A8DE93C" w14:textId="77777777" w:rsidR="00EB7374" w:rsidRPr="0060483C" w:rsidRDefault="00EB7374" w:rsidP="00B0434B">
      <w:pPr>
        <w:pStyle w:val="FootnoteText"/>
      </w:pPr>
      <w:r>
        <w:rPr>
          <w:rStyle w:val="FootnoteReference"/>
        </w:rPr>
        <w:footnoteRef/>
      </w:r>
      <w:r>
        <w:t xml:space="preserve"> These aspects are currently regulated through </w:t>
      </w:r>
      <w:proofErr w:type="spellStart"/>
      <w:r>
        <w:t>IDAC</w:t>
      </w:r>
      <w:proofErr w:type="spellEnd"/>
      <w:r>
        <w:t xml:space="preserve"> Resolutions; for example, the most recent ordinance on this matter is </w:t>
      </w:r>
      <w:proofErr w:type="spellStart"/>
      <w:r>
        <w:t>IDAC</w:t>
      </w:r>
      <w:proofErr w:type="spellEnd"/>
      <w:r>
        <w:t xml:space="preserve"> Resolution No. 3-16.</w:t>
      </w:r>
    </w:p>
  </w:footnote>
  <w:footnote w:id="548">
    <w:p w14:paraId="51396DB9" w14:textId="77777777" w:rsidR="00EB7374" w:rsidRPr="00505D70" w:rsidRDefault="00EB7374" w:rsidP="00B0434B">
      <w:pPr>
        <w:pStyle w:val="FootnoteText"/>
      </w:pPr>
      <w:r>
        <w:rPr>
          <w:rStyle w:val="FootnoteReference"/>
        </w:rPr>
        <w:footnoteRef/>
      </w:r>
      <w:r>
        <w:t xml:space="preserve"> Articles 237-238 of the LAC. </w:t>
      </w:r>
    </w:p>
  </w:footnote>
  <w:footnote w:id="549">
    <w:p w14:paraId="233344A0" w14:textId="77777777" w:rsidR="00EB7374" w:rsidRPr="00346283" w:rsidRDefault="00EB7374" w:rsidP="00B0434B">
      <w:pPr>
        <w:pStyle w:val="FootnoteText"/>
      </w:pPr>
      <w:r>
        <w:rPr>
          <w:rStyle w:val="FootnoteReference"/>
        </w:rPr>
        <w:footnoteRef/>
      </w:r>
      <w:r>
        <w:t xml:space="preserve"> JAC. Viewed at: </w:t>
      </w:r>
      <w:hyperlink r:id="rId142" w:history="1">
        <w:r w:rsidRPr="00D17463">
          <w:rPr>
            <w:rStyle w:val="Hyperlink"/>
          </w:rPr>
          <w:t>https://jac.gob.do/index.php/publicacion/lineas-aereas-y-consignatarios</w:t>
        </w:r>
      </w:hyperlink>
      <w:r>
        <w:t>.</w:t>
      </w:r>
    </w:p>
  </w:footnote>
  <w:footnote w:id="550">
    <w:p w14:paraId="00DC6F9E" w14:textId="77777777" w:rsidR="00EB7374" w:rsidRPr="001D1BF3" w:rsidRDefault="00EB7374" w:rsidP="00B0434B">
      <w:pPr>
        <w:pStyle w:val="FootnoteText"/>
      </w:pPr>
      <w:r>
        <w:rPr>
          <w:rStyle w:val="FootnoteReference"/>
        </w:rPr>
        <w:footnoteRef/>
      </w:r>
      <w:r>
        <w:t xml:space="preserve"> Articles 130-132 and 216-239 of the LAC; and </w:t>
      </w:r>
      <w:r w:rsidRPr="00672C38">
        <w:rPr>
          <w:i/>
          <w:iCs/>
        </w:rPr>
        <w:t xml:space="preserve">Manual de </w:t>
      </w:r>
      <w:proofErr w:type="spellStart"/>
      <w:r w:rsidRPr="00672C38">
        <w:rPr>
          <w:i/>
          <w:iCs/>
        </w:rPr>
        <w:t>Requisitos</w:t>
      </w:r>
      <w:proofErr w:type="spellEnd"/>
      <w:r w:rsidRPr="00672C38">
        <w:rPr>
          <w:i/>
          <w:iCs/>
        </w:rPr>
        <w:t xml:space="preserve"> JAC-001</w:t>
      </w:r>
      <w:r>
        <w:t>, version 7.0.</w:t>
      </w:r>
    </w:p>
  </w:footnote>
  <w:footnote w:id="551">
    <w:p w14:paraId="23B2AA6F" w14:textId="77777777" w:rsidR="00EB7374" w:rsidRPr="00C15492" w:rsidRDefault="00EB7374" w:rsidP="00B0434B">
      <w:pPr>
        <w:pStyle w:val="FootnoteText"/>
      </w:pPr>
      <w:r>
        <w:rPr>
          <w:rStyle w:val="FootnoteReference"/>
        </w:rPr>
        <w:footnoteRef/>
      </w:r>
      <w:r>
        <w:t xml:space="preserve"> JAC Resolution No. 033-22. This administrative procedure also applies to foreign airlines with operating permits in the Dominican Republic.</w:t>
      </w:r>
    </w:p>
  </w:footnote>
  <w:footnote w:id="552">
    <w:p w14:paraId="18413A59" w14:textId="77777777" w:rsidR="00EB7374" w:rsidRPr="00E2294A" w:rsidRDefault="00EB7374" w:rsidP="00B0434B">
      <w:pPr>
        <w:pStyle w:val="FootnoteText"/>
      </w:pPr>
      <w:r>
        <w:rPr>
          <w:rStyle w:val="FootnoteReference"/>
        </w:rPr>
        <w:footnoteRef/>
      </w:r>
      <w:r>
        <w:t xml:space="preserve"> </w:t>
      </w:r>
      <w:r w:rsidRPr="00672C38">
        <w:rPr>
          <w:i/>
          <w:iCs/>
        </w:rPr>
        <w:t xml:space="preserve">Manual de </w:t>
      </w:r>
      <w:proofErr w:type="spellStart"/>
      <w:r w:rsidRPr="00672C38">
        <w:rPr>
          <w:i/>
          <w:iCs/>
        </w:rPr>
        <w:t>Requisitos</w:t>
      </w:r>
      <w:proofErr w:type="spellEnd"/>
      <w:r w:rsidRPr="00672C38">
        <w:rPr>
          <w:i/>
          <w:iCs/>
        </w:rPr>
        <w:t xml:space="preserve"> JAC-001</w:t>
      </w:r>
      <w:r>
        <w:t>, version 7.0.</w:t>
      </w:r>
    </w:p>
  </w:footnote>
  <w:footnote w:id="553">
    <w:p w14:paraId="19681508" w14:textId="77777777" w:rsidR="00EB7374" w:rsidRPr="000F19C8" w:rsidRDefault="00EB7374" w:rsidP="00B0434B">
      <w:pPr>
        <w:pStyle w:val="FootnoteText"/>
      </w:pPr>
      <w:r>
        <w:rPr>
          <w:rStyle w:val="FootnoteReference"/>
        </w:rPr>
        <w:footnoteRef/>
      </w:r>
      <w:r>
        <w:t xml:space="preserve"> Decree No. 232-14 regulating the process for issuing these licences for </w:t>
      </w:r>
      <w:proofErr w:type="spellStart"/>
      <w:r>
        <w:t>cosignee</w:t>
      </w:r>
      <w:proofErr w:type="spellEnd"/>
      <w:r>
        <w:t xml:space="preserve"> agents.</w:t>
      </w:r>
    </w:p>
  </w:footnote>
  <w:footnote w:id="554">
    <w:p w14:paraId="48FB8193" w14:textId="77777777" w:rsidR="00EB7374" w:rsidRPr="006F219F" w:rsidRDefault="00EB7374" w:rsidP="00B0434B">
      <w:pPr>
        <w:pStyle w:val="FootnoteText"/>
      </w:pPr>
      <w:r>
        <w:rPr>
          <w:rStyle w:val="FootnoteReference"/>
        </w:rPr>
        <w:footnoteRef/>
      </w:r>
      <w:r>
        <w:t xml:space="preserve"> Authorities indicate that there are no code-sharing agreements for domestic flights currently in force.</w:t>
      </w:r>
    </w:p>
  </w:footnote>
  <w:footnote w:id="555">
    <w:p w14:paraId="73A6C64B" w14:textId="77777777" w:rsidR="00EB7374" w:rsidRPr="00F3138B" w:rsidRDefault="00EB7374" w:rsidP="00B0434B">
      <w:pPr>
        <w:pStyle w:val="FootnoteText"/>
      </w:pPr>
      <w:r>
        <w:rPr>
          <w:rStyle w:val="FootnoteReference"/>
        </w:rPr>
        <w:footnoteRef/>
      </w:r>
      <w:r>
        <w:t xml:space="preserve"> Articles 183 and 239 of the LAC.</w:t>
      </w:r>
    </w:p>
  </w:footnote>
  <w:footnote w:id="556">
    <w:p w14:paraId="60122454" w14:textId="77777777" w:rsidR="00EB7374" w:rsidRPr="00516C78" w:rsidRDefault="00EB7374" w:rsidP="00B0434B">
      <w:pPr>
        <w:pStyle w:val="FootnoteText"/>
      </w:pPr>
      <w:r>
        <w:rPr>
          <w:rStyle w:val="FootnoteReference"/>
        </w:rPr>
        <w:footnoteRef/>
      </w:r>
      <w:r>
        <w:t xml:space="preserve"> The registration of aircraft in the Dominican Republic is regulated by the Civil Aviation Law (Articles 79-89) and by the Dominican Aeronautical Regulations (RAD47).</w:t>
      </w:r>
    </w:p>
  </w:footnote>
  <w:footnote w:id="557">
    <w:p w14:paraId="330898BC" w14:textId="77777777" w:rsidR="00EB7374" w:rsidRPr="00592436" w:rsidRDefault="00EB7374" w:rsidP="00B0434B">
      <w:pPr>
        <w:pStyle w:val="FootnoteText"/>
      </w:pPr>
      <w:r>
        <w:rPr>
          <w:rStyle w:val="FootnoteReference"/>
        </w:rPr>
        <w:footnoteRef/>
      </w:r>
      <w:r>
        <w:t xml:space="preserve"> Articles 120-123 of the LAC.</w:t>
      </w:r>
    </w:p>
  </w:footnote>
  <w:footnote w:id="558">
    <w:p w14:paraId="6BD8458D" w14:textId="77777777" w:rsidR="00EB7374" w:rsidRPr="00442003" w:rsidRDefault="00EB7374" w:rsidP="00B0434B">
      <w:pPr>
        <w:pStyle w:val="FootnoteText"/>
      </w:pPr>
      <w:r>
        <w:rPr>
          <w:rStyle w:val="FootnoteReference"/>
        </w:rPr>
        <w:footnoteRef/>
      </w:r>
      <w:r>
        <w:t xml:space="preserve"> The requirements that these workshops must meet are set out in the RAD 145 issued by the </w:t>
      </w:r>
      <w:proofErr w:type="spellStart"/>
      <w:r>
        <w:t>IDAC</w:t>
      </w:r>
      <w:proofErr w:type="spellEnd"/>
      <w:r>
        <w:t>.</w:t>
      </w:r>
    </w:p>
  </w:footnote>
  <w:footnote w:id="559">
    <w:p w14:paraId="62F12995" w14:textId="77777777" w:rsidR="00EB7374" w:rsidRPr="00782C3B" w:rsidRDefault="00EB7374" w:rsidP="00B0434B">
      <w:pPr>
        <w:pStyle w:val="FootnoteText"/>
      </w:pPr>
      <w:r>
        <w:rPr>
          <w:rStyle w:val="FootnoteReference"/>
        </w:rPr>
        <w:footnoteRef/>
      </w:r>
      <w:r>
        <w:t xml:space="preserve"> Decree No. 655-08, as amended by Decrees No. 876-09, No. 99-14 and No. 327-17.</w:t>
      </w:r>
    </w:p>
  </w:footnote>
  <w:footnote w:id="560">
    <w:p w14:paraId="58D5209B" w14:textId="77777777" w:rsidR="00EB7374" w:rsidRPr="00CA7513" w:rsidRDefault="00EB7374" w:rsidP="00B0434B">
      <w:pPr>
        <w:pStyle w:val="FootnoteText"/>
      </w:pPr>
      <w:r>
        <w:rPr>
          <w:rStyle w:val="FootnoteReference"/>
        </w:rPr>
        <w:footnoteRef/>
      </w:r>
      <w:r>
        <w:t xml:space="preserve"> Decree No. 375-10, as amended by Decree No. 269-14.</w:t>
      </w:r>
    </w:p>
  </w:footnote>
  <w:footnote w:id="561">
    <w:p w14:paraId="0350AE3B" w14:textId="44310AA4" w:rsidR="00EB7374" w:rsidRPr="00CC79BF" w:rsidRDefault="00EB7374" w:rsidP="00B0434B">
      <w:pPr>
        <w:pStyle w:val="FootnoteText"/>
      </w:pPr>
      <w:r>
        <w:rPr>
          <w:rStyle w:val="FootnoteReference"/>
        </w:rPr>
        <w:footnoteRef/>
      </w:r>
      <w:r>
        <w:t xml:space="preserve"> These entities are the Ministry of Tourism, the </w:t>
      </w:r>
      <w:proofErr w:type="spellStart"/>
      <w:r>
        <w:t>IDAC</w:t>
      </w:r>
      <w:proofErr w:type="spellEnd"/>
      <w:r>
        <w:t>, the Specialized Body for Airport Security, the Dominican</w:t>
      </w:r>
      <w:r w:rsidR="00D61D5B">
        <w:t> </w:t>
      </w:r>
      <w:r>
        <w:t>Air Force and the JAC, in descending order of the amount transferred</w:t>
      </w:r>
    </w:p>
  </w:footnote>
  <w:footnote w:id="562">
    <w:p w14:paraId="4938D1B1" w14:textId="77777777" w:rsidR="00EB7374" w:rsidRPr="008D261B" w:rsidRDefault="00EB7374" w:rsidP="00B0434B">
      <w:pPr>
        <w:pStyle w:val="FootnoteText"/>
      </w:pPr>
      <w:r>
        <w:rPr>
          <w:rStyle w:val="FootnoteReference"/>
        </w:rPr>
        <w:footnoteRef/>
      </w:r>
      <w:r>
        <w:t xml:space="preserve"> Executive Resolution No. 121-99.</w:t>
      </w:r>
    </w:p>
  </w:footnote>
  <w:footnote w:id="563">
    <w:p w14:paraId="23D15F5A" w14:textId="77777777" w:rsidR="00EB7374" w:rsidRPr="006C7413" w:rsidRDefault="00EB7374" w:rsidP="00B0434B">
      <w:pPr>
        <w:pStyle w:val="FootnoteText"/>
      </w:pPr>
      <w:r>
        <w:rPr>
          <w:rStyle w:val="FootnoteReference"/>
        </w:rPr>
        <w:footnoteRef/>
      </w:r>
      <w:r>
        <w:t xml:space="preserve"> </w:t>
      </w:r>
      <w:proofErr w:type="spellStart"/>
      <w:r>
        <w:t>IDAC</w:t>
      </w:r>
      <w:proofErr w:type="spellEnd"/>
      <w:r>
        <w:t xml:space="preserve"> Resolution No. 030-21.</w:t>
      </w:r>
    </w:p>
  </w:footnote>
  <w:footnote w:id="564">
    <w:p w14:paraId="3243C754" w14:textId="3AB9DEB1" w:rsidR="00EB7374" w:rsidRPr="00FF06BF" w:rsidRDefault="00EB7374" w:rsidP="00B0434B">
      <w:pPr>
        <w:pStyle w:val="FootnoteText"/>
      </w:pPr>
      <w:r>
        <w:rPr>
          <w:rStyle w:val="FootnoteReference"/>
        </w:rPr>
        <w:footnoteRef/>
      </w:r>
      <w:r>
        <w:t xml:space="preserve"> The Multilateral Open-Skies Agreement for the Member States of the Latin American Civil Aviation Commission and the Air Transport Agreement of the Association of Caribbean States (WTO</w:t>
      </w:r>
      <w:r w:rsidR="00B81BBD">
        <w:t> </w:t>
      </w:r>
      <w:r>
        <w:t>document</w:t>
      </w:r>
      <w:r w:rsidR="00B81BBD">
        <w:t> </w:t>
      </w:r>
      <w:r>
        <w:t>WT/TPR/S/319/Rev.1 of 13 November 2015).</w:t>
      </w:r>
    </w:p>
  </w:footnote>
  <w:footnote w:id="565">
    <w:p w14:paraId="6D42ADDD" w14:textId="77777777" w:rsidR="00EB7374" w:rsidRPr="00F80905" w:rsidRDefault="00EB7374" w:rsidP="00B0434B">
      <w:pPr>
        <w:pStyle w:val="FootnoteText"/>
      </w:pPr>
      <w:r>
        <w:rPr>
          <w:rStyle w:val="FootnoteReference"/>
        </w:rPr>
        <w:footnoteRef/>
      </w:r>
      <w:r>
        <w:t xml:space="preserve"> Decree No. 309-10 names the Dominican Navy as the maritime authority responsible for maritime transit and traffic safety and security in Dominican waters.</w:t>
      </w:r>
    </w:p>
  </w:footnote>
  <w:footnote w:id="566">
    <w:p w14:paraId="3214FB03" w14:textId="77777777" w:rsidR="00EB7374" w:rsidRPr="00F55180" w:rsidRDefault="00EB7374" w:rsidP="00B0434B">
      <w:pPr>
        <w:pStyle w:val="FootnoteText"/>
      </w:pPr>
      <w:r>
        <w:rPr>
          <w:rStyle w:val="FootnoteReference"/>
        </w:rPr>
        <w:footnoteRef/>
      </w:r>
      <w:r>
        <w:t xml:space="preserve"> The authorities have stated that the patent has not yet been issued for the vessels and that this document was abolished following an administrative decision.</w:t>
      </w:r>
    </w:p>
  </w:footnote>
  <w:footnote w:id="567">
    <w:p w14:paraId="69EE6227" w14:textId="77777777" w:rsidR="00EB7374" w:rsidRPr="00F80905" w:rsidRDefault="00EB7374" w:rsidP="00B0434B">
      <w:pPr>
        <w:pStyle w:val="FootnoteText"/>
      </w:pPr>
      <w:r>
        <w:rPr>
          <w:rStyle w:val="FootnoteReference"/>
        </w:rPr>
        <w:footnoteRef/>
      </w:r>
      <w:r>
        <w:t xml:space="preserve"> Resolution No. 47-96 of the Ministry of Finance. See online information: </w:t>
      </w:r>
      <w:hyperlink r:id="rId143" w:history="1">
        <w:r w:rsidRPr="005172D2">
          <w:rPr>
            <w:rStyle w:val="Hyperlink"/>
          </w:rPr>
          <w:t>https://www.hacienda.gob.do/servicio/solicitud-de-licencias-para-operar-como-agente-consignatario-de-buques</w:t>
        </w:r>
      </w:hyperlink>
      <w:r>
        <w:t>.</w:t>
      </w:r>
    </w:p>
  </w:footnote>
  <w:footnote w:id="568">
    <w:p w14:paraId="7938579E" w14:textId="77777777" w:rsidR="00EB7374" w:rsidRPr="00604FA0" w:rsidRDefault="00EB7374" w:rsidP="00B0434B">
      <w:pPr>
        <w:pStyle w:val="FootnoteText"/>
      </w:pPr>
      <w:r>
        <w:rPr>
          <w:rStyle w:val="FootnoteReference"/>
        </w:rPr>
        <w:footnoteRef/>
      </w:r>
      <w:r>
        <w:t xml:space="preserve"> Law No. 3003 of 1951. </w:t>
      </w:r>
    </w:p>
  </w:footnote>
  <w:footnote w:id="569">
    <w:p w14:paraId="0186465B" w14:textId="77777777" w:rsidR="00EB7374" w:rsidRPr="00A01374" w:rsidRDefault="00EB7374" w:rsidP="00B0434B">
      <w:pPr>
        <w:pStyle w:val="FootnoteText"/>
      </w:pPr>
      <w:r>
        <w:rPr>
          <w:rStyle w:val="FootnoteReference"/>
        </w:rPr>
        <w:footnoteRef/>
      </w:r>
      <w:r>
        <w:t xml:space="preserve"> Law No. 70-70, as amended by Law No. 169-75.</w:t>
      </w:r>
    </w:p>
  </w:footnote>
  <w:footnote w:id="570">
    <w:p w14:paraId="1745D193" w14:textId="77777777" w:rsidR="00EB7374" w:rsidRPr="00604FA0" w:rsidRDefault="00EB7374" w:rsidP="00B0434B">
      <w:pPr>
        <w:pStyle w:val="FootnoteText"/>
      </w:pPr>
      <w:r>
        <w:rPr>
          <w:rStyle w:val="FootnoteReference"/>
        </w:rPr>
        <w:footnoteRef/>
      </w:r>
      <w:r>
        <w:t xml:space="preserve"> Arroyo </w:t>
      </w:r>
      <w:proofErr w:type="spellStart"/>
      <w:r>
        <w:t>Barril</w:t>
      </w:r>
      <w:proofErr w:type="spellEnd"/>
      <w:r>
        <w:t xml:space="preserve"> (</w:t>
      </w:r>
      <w:proofErr w:type="spellStart"/>
      <w:r>
        <w:t>Samaná</w:t>
      </w:r>
      <w:proofErr w:type="spellEnd"/>
      <w:r>
        <w:t xml:space="preserve"> province), </w:t>
      </w:r>
      <w:proofErr w:type="spellStart"/>
      <w:r>
        <w:t>Azua</w:t>
      </w:r>
      <w:proofErr w:type="spellEnd"/>
      <w:r>
        <w:t xml:space="preserve">, Barahona, Boca Chica (Santo Domingo province), Manzanillo (Monte </w:t>
      </w:r>
      <w:proofErr w:type="spellStart"/>
      <w:r>
        <w:t>Cristi</w:t>
      </w:r>
      <w:proofErr w:type="spellEnd"/>
      <w:r>
        <w:t xml:space="preserve"> province), Puerto Plata and San Pedro de </w:t>
      </w:r>
      <w:proofErr w:type="spellStart"/>
      <w:r>
        <w:t>Macorís</w:t>
      </w:r>
      <w:proofErr w:type="spellEnd"/>
      <w:r>
        <w:t xml:space="preserve">. </w:t>
      </w:r>
    </w:p>
  </w:footnote>
  <w:footnote w:id="571">
    <w:p w14:paraId="6C85B6F0" w14:textId="77777777" w:rsidR="00EB7374" w:rsidRPr="00604FA0" w:rsidRDefault="00EB7374" w:rsidP="00B0434B">
      <w:pPr>
        <w:pStyle w:val="FootnoteText"/>
      </w:pPr>
      <w:r>
        <w:rPr>
          <w:rStyle w:val="FootnoteReference"/>
        </w:rPr>
        <w:footnoteRef/>
      </w:r>
      <w:r>
        <w:t xml:space="preserve"> Cabo Rojo (Pedernales province), Río </w:t>
      </w:r>
      <w:proofErr w:type="spellStart"/>
      <w:r>
        <w:t>Haina</w:t>
      </w:r>
      <w:proofErr w:type="spellEnd"/>
      <w:r>
        <w:t xml:space="preserve"> (Santo Domingo province) and Santo Domingo. </w:t>
      </w:r>
    </w:p>
  </w:footnote>
  <w:footnote w:id="572">
    <w:p w14:paraId="60C805EA" w14:textId="77777777" w:rsidR="00EB7374" w:rsidRPr="00B806E0" w:rsidRDefault="00EB7374" w:rsidP="00B0434B">
      <w:pPr>
        <w:pStyle w:val="FootnoteText"/>
      </w:pPr>
      <w:r>
        <w:rPr>
          <w:rStyle w:val="FootnoteReference"/>
        </w:rPr>
        <w:footnoteRef/>
      </w:r>
      <w:r>
        <w:t xml:space="preserve"> Laws No. 70-70 and No. 340-06.</w:t>
      </w:r>
    </w:p>
  </w:footnote>
  <w:footnote w:id="573">
    <w:p w14:paraId="7497D9D1" w14:textId="77777777" w:rsidR="00EB7374" w:rsidRPr="00A01374" w:rsidRDefault="00EB7374" w:rsidP="00B0434B">
      <w:pPr>
        <w:pStyle w:val="FootnoteText"/>
      </w:pPr>
      <w:r>
        <w:rPr>
          <w:rStyle w:val="FootnoteReference"/>
        </w:rPr>
        <w:footnoteRef/>
      </w:r>
      <w:r>
        <w:t xml:space="preserve"> This activity was hit hard by the COVID-19 pandemic and tourist levels were three times lower during 2020-21.</w:t>
      </w:r>
    </w:p>
  </w:footnote>
  <w:footnote w:id="574">
    <w:p w14:paraId="008C11C7" w14:textId="77777777" w:rsidR="00EB7374" w:rsidRPr="00A01374" w:rsidRDefault="00EB7374" w:rsidP="00B0434B">
      <w:pPr>
        <w:pStyle w:val="FootnoteText"/>
      </w:pPr>
      <w:r>
        <w:rPr>
          <w:rStyle w:val="FootnoteReference"/>
        </w:rPr>
        <w:footnoteRef/>
      </w:r>
      <w:r>
        <w:t xml:space="preserve"> The requirements, which include a USD 500,000 insurance policy, are set out in Decree No. 612-05, and the licences are approved by the </w:t>
      </w:r>
      <w:proofErr w:type="spellStart"/>
      <w:r>
        <w:t>APORDOM</w:t>
      </w:r>
      <w:proofErr w:type="spellEnd"/>
      <w:r>
        <w:t xml:space="preserve"> management board. See also the online information: </w:t>
      </w:r>
      <w:hyperlink r:id="rId144" w:history="1">
        <w:r w:rsidRPr="005F0374">
          <w:rPr>
            <w:rStyle w:val="Hyperlink"/>
          </w:rPr>
          <w:t>https://portuaria.gob.do/blog/servicios/licencias-de-remolcadores</w:t>
        </w:r>
      </w:hyperlink>
      <w:r>
        <w:t>.</w:t>
      </w:r>
    </w:p>
  </w:footnote>
  <w:footnote w:id="575">
    <w:p w14:paraId="1892B3AC" w14:textId="77777777" w:rsidR="00EB7374" w:rsidRPr="00604FA0" w:rsidRDefault="00EB7374" w:rsidP="00B0434B">
      <w:pPr>
        <w:pStyle w:val="FootnoteText"/>
      </w:pPr>
      <w:r>
        <w:rPr>
          <w:rStyle w:val="FootnoteReference"/>
        </w:rPr>
        <w:footnoteRef/>
      </w:r>
      <w:r>
        <w:t xml:space="preserve"> Decree No. 572-99, as amended by Decrees No. 519-02, No. 534-04 and No. 612-05 set out the charges.</w:t>
      </w:r>
    </w:p>
  </w:footnote>
  <w:footnote w:id="576">
    <w:p w14:paraId="4F037FB0" w14:textId="77777777" w:rsidR="00EB7374" w:rsidRPr="00205660" w:rsidRDefault="00EB7374" w:rsidP="00B0434B">
      <w:pPr>
        <w:pStyle w:val="FootnoteText"/>
      </w:pPr>
      <w:r>
        <w:rPr>
          <w:rStyle w:val="FootnoteReference"/>
        </w:rPr>
        <w:footnoteRef/>
      </w:r>
      <w:r>
        <w:t xml:space="preserve"> The Central Bank estimates the contribution of tourism to GDP, employment and income based on data on the hotel, bar and restaurant subsectors, which do not reflect the entire impact of tourism on Dominican economic activity.</w:t>
      </w:r>
    </w:p>
  </w:footnote>
  <w:footnote w:id="577">
    <w:p w14:paraId="54465CBD" w14:textId="77777777" w:rsidR="00EB7374" w:rsidRPr="003B2CBD" w:rsidRDefault="00EB7374" w:rsidP="00B0434B">
      <w:pPr>
        <w:pStyle w:val="FootnoteText"/>
      </w:pPr>
      <w:r>
        <w:rPr>
          <w:rStyle w:val="FootnoteReference"/>
        </w:rPr>
        <w:footnoteRef/>
      </w:r>
      <w:r>
        <w:t xml:space="preserve"> The tourism sector attracts large amounts of </w:t>
      </w:r>
      <w:proofErr w:type="spellStart"/>
      <w:r>
        <w:t>FDI</w:t>
      </w:r>
      <w:proofErr w:type="spellEnd"/>
      <w:r>
        <w:t xml:space="preserve"> to the country and, with the exception of 2017, a third of the national annual </w:t>
      </w:r>
      <w:proofErr w:type="spellStart"/>
      <w:r>
        <w:t>FDI</w:t>
      </w:r>
      <w:proofErr w:type="spellEnd"/>
      <w:r>
        <w:t xml:space="preserve"> flows went to this sector.</w:t>
      </w:r>
    </w:p>
  </w:footnote>
  <w:footnote w:id="578">
    <w:p w14:paraId="2A60A012" w14:textId="77777777" w:rsidR="00EB7374" w:rsidRPr="001C4DCB" w:rsidRDefault="00EB7374" w:rsidP="00B0434B">
      <w:pPr>
        <w:pStyle w:val="FootnoteText"/>
      </w:pPr>
      <w:r>
        <w:rPr>
          <w:rStyle w:val="FootnoteReference"/>
        </w:rPr>
        <w:footnoteRef/>
      </w:r>
      <w:r>
        <w:t xml:space="preserve"> Law No. 541-69, as amended by Law No. 84-79.</w:t>
      </w:r>
    </w:p>
  </w:footnote>
  <w:footnote w:id="579">
    <w:p w14:paraId="57E98B1C" w14:textId="77777777" w:rsidR="00EB7374" w:rsidRPr="00AD1B90" w:rsidRDefault="00EB7374" w:rsidP="00B0434B">
      <w:pPr>
        <w:pStyle w:val="FootnoteText"/>
      </w:pPr>
      <w:r>
        <w:rPr>
          <w:rStyle w:val="FootnoteReference"/>
        </w:rPr>
        <w:footnoteRef/>
      </w:r>
      <w:r>
        <w:t xml:space="preserve"> </w:t>
      </w:r>
      <w:r w:rsidRPr="00FC17EA">
        <w:t>Multi-Year Public Sector Plan</w:t>
      </w:r>
      <w:r>
        <w:t xml:space="preserve"> 2021-24, aligned with the National Development Strategy 2030 (Law No. 1-12).</w:t>
      </w:r>
    </w:p>
  </w:footnote>
  <w:footnote w:id="580">
    <w:p w14:paraId="358A9055" w14:textId="77777777" w:rsidR="00EB7374" w:rsidRPr="00D72A31" w:rsidRDefault="00EB7374" w:rsidP="00B0434B">
      <w:pPr>
        <w:pStyle w:val="FootnoteText"/>
      </w:pPr>
      <w:r>
        <w:rPr>
          <w:rStyle w:val="FootnoteReference"/>
        </w:rPr>
        <w:footnoteRef/>
      </w:r>
      <w:r>
        <w:t xml:space="preserve"> National Competition Council. Online information. Viewed at: </w:t>
      </w:r>
      <w:hyperlink r:id="rId145" w:history="1">
        <w:r w:rsidRPr="002511FE">
          <w:rPr>
            <w:rStyle w:val="Hyperlink"/>
          </w:rPr>
          <w:t>http://www.competitividad.org.do/clusteres/turismo</w:t>
        </w:r>
      </w:hyperlink>
      <w:r>
        <w:t>.</w:t>
      </w:r>
    </w:p>
  </w:footnote>
  <w:footnote w:id="581">
    <w:p w14:paraId="1FCFDA95" w14:textId="77777777" w:rsidR="00EB7374" w:rsidRPr="009E4383" w:rsidRDefault="00EB7374" w:rsidP="00B0434B">
      <w:pPr>
        <w:pStyle w:val="FootnoteText"/>
      </w:pPr>
      <w:r>
        <w:rPr>
          <w:rStyle w:val="FootnoteReference"/>
        </w:rPr>
        <w:footnoteRef/>
      </w:r>
      <w:r>
        <w:t xml:space="preserve"> Article 4 of Law No. 541-69, as amended by Law No. 84-79. Requirements for obtaining and renewing authorizations, available online: </w:t>
      </w:r>
      <w:hyperlink r:id="rId146" w:history="1">
        <w:r w:rsidRPr="002511FE">
          <w:rPr>
            <w:rStyle w:val="Hyperlink"/>
          </w:rPr>
          <w:t>https://servicios.mitur.gob.do/app/listOfServices/3</w:t>
        </w:r>
      </w:hyperlink>
      <w:r>
        <w:t>.</w:t>
      </w:r>
    </w:p>
  </w:footnote>
  <w:footnote w:id="582">
    <w:p w14:paraId="04014778" w14:textId="77777777" w:rsidR="00EB7374" w:rsidRPr="009A2B72" w:rsidRDefault="00EB7374" w:rsidP="00B0434B">
      <w:pPr>
        <w:pStyle w:val="FootnoteText"/>
      </w:pPr>
      <w:r>
        <w:rPr>
          <w:rStyle w:val="FootnoteReference"/>
        </w:rPr>
        <w:footnoteRef/>
      </w:r>
      <w:r>
        <w:t xml:space="preserve"> Decrees No. 813-03 (gift shops classification and standards), No. 814-03 (car rentals), No. 815-03 (travel agencies and tour operators classification and standards), No. 816-03 (restaurant classification and standards), No. 817-03 (tourist land passenger transport) and No. 818-03 (hotel operations).</w:t>
      </w:r>
    </w:p>
  </w:footnote>
  <w:footnote w:id="583">
    <w:p w14:paraId="401F890E" w14:textId="77777777" w:rsidR="00EB7374" w:rsidRPr="00EB543D" w:rsidRDefault="00EB7374" w:rsidP="00B0434B">
      <w:pPr>
        <w:pStyle w:val="FootnoteText"/>
      </w:pPr>
      <w:r>
        <w:rPr>
          <w:rStyle w:val="FootnoteReference"/>
        </w:rPr>
        <w:footnoteRef/>
      </w:r>
      <w:r>
        <w:t xml:space="preserve"> Articles 18 and 23 of Law No. 541-69, as amended by Law No. 84-79.</w:t>
      </w:r>
    </w:p>
  </w:footnote>
  <w:footnote w:id="584">
    <w:p w14:paraId="14D9BC59" w14:textId="77777777" w:rsidR="00EB7374" w:rsidRPr="00401CE5" w:rsidRDefault="00EB7374" w:rsidP="00B0434B">
      <w:pPr>
        <w:pStyle w:val="FootnoteText"/>
      </w:pPr>
      <w:r>
        <w:rPr>
          <w:rStyle w:val="FootnoteReference"/>
        </w:rPr>
        <w:footnoteRef/>
      </w:r>
      <w:r>
        <w:t xml:space="preserve"> Articles 4, 25 and 44 of Law No. 541-69, as amended by Law No. 84-79. Regulations No. 2.119-84 (tourism transport tariff in Santo Domingo), No. 2.120-84 (tourism transport tariff in Puerto Plata) and No. 2.121-84 (guide tariff in Santo Domingo).</w:t>
      </w:r>
    </w:p>
  </w:footnote>
  <w:footnote w:id="585">
    <w:p w14:paraId="001B6925" w14:textId="77777777" w:rsidR="00EB7374" w:rsidRPr="00205660" w:rsidRDefault="00EB7374" w:rsidP="00B0434B">
      <w:pPr>
        <w:pStyle w:val="FootnoteText"/>
      </w:pPr>
      <w:r>
        <w:rPr>
          <w:rStyle w:val="FootnoteReference"/>
        </w:rPr>
        <w:footnoteRef/>
      </w:r>
      <w:r>
        <w:t xml:space="preserve"> Law No. 158-01, as amended by Laws No. 184-02, No. 318-04 and No. 195-13, and its implementing regulations (Decree No. 372-14). </w:t>
      </w:r>
    </w:p>
  </w:footnote>
  <w:footnote w:id="586">
    <w:p w14:paraId="369D5682" w14:textId="77777777" w:rsidR="00EB7374" w:rsidRPr="006768EA" w:rsidRDefault="00EB7374" w:rsidP="00B0434B">
      <w:pPr>
        <w:pStyle w:val="FootnoteText"/>
      </w:pPr>
      <w:r>
        <w:rPr>
          <w:rStyle w:val="FootnoteReference"/>
        </w:rPr>
        <w:footnoteRef/>
      </w:r>
      <w:r>
        <w:t xml:space="preserve"> Projects are submitted in accordance with a guide prepared by </w:t>
      </w:r>
      <w:proofErr w:type="spellStart"/>
      <w:r>
        <w:t>CONFOTUR</w:t>
      </w:r>
      <w:proofErr w:type="spellEnd"/>
      <w:r>
        <w:t xml:space="preserve"> (Resolution No. 109-15 of the </w:t>
      </w:r>
      <w:proofErr w:type="spellStart"/>
      <w:r>
        <w:t>CONFOTUR</w:t>
      </w:r>
      <w:proofErr w:type="spellEnd"/>
      <w:r>
        <w:t xml:space="preserve">). Online information. Viewed at: </w:t>
      </w:r>
      <w:hyperlink r:id="rId147" w:history="1">
        <w:r w:rsidRPr="00C87208">
          <w:rPr>
            <w:rStyle w:val="Hyperlink"/>
          </w:rPr>
          <w:t>https://confotur.mitur.gob.do/wp-content/uploads/2021/11/Guia-para-acceder-incentivos-Beneficios-Ley-No158-01.pdf</w:t>
        </w:r>
      </w:hyperlink>
      <w:r>
        <w:t xml:space="preserve">. </w:t>
      </w:r>
    </w:p>
  </w:footnote>
  <w:footnote w:id="587">
    <w:p w14:paraId="4D0C7731" w14:textId="77777777" w:rsidR="00EB7374" w:rsidRPr="00356C38" w:rsidRDefault="00EB7374" w:rsidP="00B0434B">
      <w:pPr>
        <w:pStyle w:val="FootnoteText"/>
      </w:pPr>
      <w:r>
        <w:rPr>
          <w:rStyle w:val="FootnoteReference"/>
        </w:rPr>
        <w:footnoteRef/>
      </w:r>
      <w:r>
        <w:t xml:space="preserve"> The requirements for obtaining the different classifications are available to view online at: </w:t>
      </w:r>
      <w:hyperlink r:id="rId148" w:history="1">
        <w:r w:rsidRPr="00C87208">
          <w:rPr>
            <w:rStyle w:val="Hyperlink"/>
          </w:rPr>
          <w:t>https://confotur.mitur.gob.do/index.php/requisitos-clasificacion-provisional/</w:t>
        </w:r>
      </w:hyperlink>
      <w:r>
        <w:t xml:space="preserve"> and the application can be made through the </w:t>
      </w:r>
      <w:proofErr w:type="spellStart"/>
      <w:r>
        <w:t>MITUR</w:t>
      </w:r>
      <w:proofErr w:type="spellEnd"/>
      <w:r>
        <w:t xml:space="preserve"> online services platform: </w:t>
      </w:r>
      <w:hyperlink r:id="rId149" w:history="1">
        <w:r w:rsidRPr="00C87208">
          <w:rPr>
            <w:rStyle w:val="Hyperlink"/>
          </w:rPr>
          <w:t>https://servicios.mitur.gob.do/app/listOfServices/2</w:t>
        </w:r>
      </w:hyperlink>
      <w:r>
        <w:t>.</w:t>
      </w:r>
    </w:p>
  </w:footnote>
  <w:footnote w:id="588">
    <w:p w14:paraId="72458357" w14:textId="77777777" w:rsidR="00EB7374" w:rsidRPr="00353DEF" w:rsidRDefault="00EB7374" w:rsidP="00B0434B">
      <w:pPr>
        <w:pStyle w:val="FootnoteText"/>
      </w:pPr>
      <w:r>
        <w:rPr>
          <w:rStyle w:val="FootnoteReference"/>
        </w:rPr>
        <w:footnoteRef/>
      </w:r>
      <w:r>
        <w:t xml:space="preserve"> Online information. Viewed at: </w:t>
      </w:r>
      <w:hyperlink r:id="rId150" w:history="1">
        <w:r w:rsidRPr="00C87208">
          <w:rPr>
            <w:rStyle w:val="Hyperlink"/>
          </w:rPr>
          <w:t>https://confotur.mitur.gob.do/wp-content/uploads/2021/11/Guia-para-acceder-incentivos-Beneficios-Ley-No158-01.pdf</w:t>
        </w:r>
      </w:hyperlink>
      <w:r w:rsidRPr="007D1CF6">
        <w:rPr>
          <w:rStyle w:val="Hyperlink"/>
          <w:color w:val="auto"/>
          <w:u w:val="none"/>
        </w:rPr>
        <w:t>.</w:t>
      </w:r>
    </w:p>
  </w:footnote>
  <w:footnote w:id="589">
    <w:p w14:paraId="6FCC9A10" w14:textId="77777777" w:rsidR="00EB7374" w:rsidRPr="004716B5" w:rsidRDefault="00EB7374" w:rsidP="00B0434B">
      <w:pPr>
        <w:pStyle w:val="FootnoteText"/>
      </w:pPr>
      <w:r>
        <w:rPr>
          <w:rStyle w:val="FootnoteReference"/>
        </w:rPr>
        <w:footnoteRef/>
      </w:r>
      <w:r>
        <w:t xml:space="preserve"> Decree No. 372-14. </w:t>
      </w:r>
      <w:proofErr w:type="spellStart"/>
      <w:r>
        <w:t>CONFOTUR</w:t>
      </w:r>
      <w:proofErr w:type="spellEnd"/>
      <w:r>
        <w:t xml:space="preserve"> Resolution No. 28-2018 sets out the materials not approved, as well as how the lists of exemptions should be presented for assessment.</w:t>
      </w:r>
    </w:p>
  </w:footnote>
  <w:footnote w:id="590">
    <w:p w14:paraId="173F4297" w14:textId="77777777" w:rsidR="00EB7374" w:rsidRPr="00692170" w:rsidRDefault="00EB7374" w:rsidP="00B0434B">
      <w:pPr>
        <w:pStyle w:val="FootnoteText"/>
      </w:pPr>
      <w:r>
        <w:rPr>
          <w:rStyle w:val="FootnoteReference"/>
        </w:rPr>
        <w:footnoteRef/>
      </w:r>
      <w:r>
        <w:t xml:space="preserve"> Visa-exempt tourists (Law No. 199-67) have to pay for the Tourist Card. Since 2018, this fee has been included in the price of airline tickets. There are some payment exceptions depending on the agreements which the Dominican Republic may have. Online information. Viewed at: </w:t>
      </w:r>
      <w:hyperlink r:id="rId151" w:history="1">
        <w:r w:rsidRPr="00347204">
          <w:rPr>
            <w:rStyle w:val="Hyperlink"/>
          </w:rPr>
          <w:t>https://dgii.gov.do/sobreTarjetaTurista/Paginas/default.aspx</w:t>
        </w:r>
      </w:hyperlink>
      <w:r>
        <w:t>.</w:t>
      </w:r>
    </w:p>
  </w:footnote>
  <w:footnote w:id="591">
    <w:p w14:paraId="70EA482F" w14:textId="77777777" w:rsidR="00EB7374" w:rsidRPr="00443B1B" w:rsidRDefault="00EB7374" w:rsidP="00B0434B">
      <w:pPr>
        <w:pStyle w:val="FootnoteText"/>
      </w:pPr>
      <w:r>
        <w:rPr>
          <w:rStyle w:val="FootnoteReference"/>
        </w:rPr>
        <w:footnoteRef/>
      </w:r>
      <w:r>
        <w:t xml:space="preserve"> Law No. 158-01 and amendments thereto; and Decree No. 99-14.</w:t>
      </w:r>
    </w:p>
  </w:footnote>
  <w:footnote w:id="592">
    <w:p w14:paraId="66E02F27" w14:textId="77777777" w:rsidR="00EB7374" w:rsidRPr="00A21A8A" w:rsidRDefault="00EB7374" w:rsidP="00B0434B">
      <w:pPr>
        <w:pStyle w:val="FootnoteText"/>
      </w:pPr>
      <w:r>
        <w:rPr>
          <w:rStyle w:val="FootnoteReference"/>
        </w:rPr>
        <w:footnoteRef/>
      </w:r>
      <w:r>
        <w:t xml:space="preserve"> Law No. 345-21.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911A4" w14:textId="77777777" w:rsidR="00C212B3" w:rsidRPr="009D1AD5" w:rsidRDefault="00C212B3" w:rsidP="009D1AD5">
    <w:pPr>
      <w:pStyle w:val="Header"/>
      <w:pBdr>
        <w:bottom w:val="single" w:sz="4" w:space="1" w:color="auto"/>
      </w:pBdr>
      <w:tabs>
        <w:tab w:val="clear" w:pos="4513"/>
        <w:tab w:val="clear" w:pos="9027"/>
      </w:tabs>
      <w:jc w:val="center"/>
    </w:pPr>
    <w:bookmarkStart w:id="11" w:name="_Hlk117491721"/>
    <w:bookmarkStart w:id="12" w:name="_Hlk117491722"/>
    <w:r w:rsidRPr="009D1AD5">
      <w:t>WT/TPR/S/435 • Dominican Republic</w:t>
    </w:r>
  </w:p>
  <w:p w14:paraId="07068A03" w14:textId="77777777" w:rsidR="00C212B3" w:rsidRPr="009D1AD5" w:rsidRDefault="00C212B3" w:rsidP="009D1AD5">
    <w:pPr>
      <w:pStyle w:val="Header"/>
      <w:pBdr>
        <w:bottom w:val="single" w:sz="4" w:space="1" w:color="auto"/>
      </w:pBdr>
      <w:tabs>
        <w:tab w:val="clear" w:pos="4513"/>
        <w:tab w:val="clear" w:pos="9027"/>
      </w:tabs>
      <w:jc w:val="center"/>
    </w:pPr>
  </w:p>
  <w:p w14:paraId="20E948DE" w14:textId="77777777" w:rsidR="00C212B3" w:rsidRPr="009D1AD5" w:rsidRDefault="00C212B3" w:rsidP="009D1AD5">
    <w:pPr>
      <w:pStyle w:val="Header"/>
      <w:pBdr>
        <w:bottom w:val="single" w:sz="4" w:space="1" w:color="auto"/>
      </w:pBdr>
      <w:tabs>
        <w:tab w:val="clear" w:pos="4513"/>
        <w:tab w:val="clear" w:pos="9027"/>
      </w:tabs>
      <w:jc w:val="center"/>
    </w:pPr>
    <w:r w:rsidRPr="009D1AD5">
      <w:t xml:space="preserve">- </w:t>
    </w:r>
    <w:r w:rsidRPr="009D1AD5">
      <w:fldChar w:fldCharType="begin"/>
    </w:r>
    <w:r w:rsidRPr="009D1AD5">
      <w:instrText xml:space="preserve"> PAGE </w:instrText>
    </w:r>
    <w:r w:rsidRPr="009D1AD5">
      <w:fldChar w:fldCharType="separate"/>
    </w:r>
    <w:r w:rsidRPr="009D1AD5">
      <w:rPr>
        <w:noProof/>
      </w:rPr>
      <w:t>1</w:t>
    </w:r>
    <w:r w:rsidRPr="009D1AD5">
      <w:fldChar w:fldCharType="end"/>
    </w:r>
    <w:r w:rsidRPr="009D1AD5">
      <w:t xml:space="preserve"> -</w:t>
    </w:r>
  </w:p>
  <w:bookmarkEnd w:id="11"/>
  <w:bookmarkEnd w:id="12"/>
  <w:p w14:paraId="309D33D5" w14:textId="77777777" w:rsidR="00C212B3" w:rsidRPr="009D1AD5" w:rsidRDefault="00C212B3" w:rsidP="009D1AD5">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12F3E" w14:textId="77777777" w:rsidR="00C212B3" w:rsidRPr="009D1AD5" w:rsidRDefault="00C212B3" w:rsidP="009D1AD5">
    <w:pPr>
      <w:pStyle w:val="Header"/>
      <w:pBdr>
        <w:bottom w:val="single" w:sz="4" w:space="1" w:color="auto"/>
      </w:pBdr>
      <w:tabs>
        <w:tab w:val="clear" w:pos="4513"/>
        <w:tab w:val="clear" w:pos="9027"/>
      </w:tabs>
      <w:jc w:val="center"/>
    </w:pPr>
    <w:bookmarkStart w:id="13" w:name="_Hlk117491723"/>
    <w:bookmarkStart w:id="14" w:name="_Hlk117491724"/>
    <w:r w:rsidRPr="009D1AD5">
      <w:t>WT/TPR/S/435 • Dominican Republic</w:t>
    </w:r>
  </w:p>
  <w:p w14:paraId="681E418D" w14:textId="77777777" w:rsidR="00C212B3" w:rsidRPr="009D1AD5" w:rsidRDefault="00C212B3" w:rsidP="009D1AD5">
    <w:pPr>
      <w:pStyle w:val="Header"/>
      <w:pBdr>
        <w:bottom w:val="single" w:sz="4" w:space="1" w:color="auto"/>
      </w:pBdr>
      <w:tabs>
        <w:tab w:val="clear" w:pos="4513"/>
        <w:tab w:val="clear" w:pos="9027"/>
      </w:tabs>
      <w:jc w:val="center"/>
    </w:pPr>
  </w:p>
  <w:p w14:paraId="6BC5AADE" w14:textId="77777777" w:rsidR="00C212B3" w:rsidRPr="009D1AD5" w:rsidRDefault="00C212B3" w:rsidP="009D1AD5">
    <w:pPr>
      <w:pStyle w:val="Header"/>
      <w:pBdr>
        <w:bottom w:val="single" w:sz="4" w:space="1" w:color="auto"/>
      </w:pBdr>
      <w:tabs>
        <w:tab w:val="clear" w:pos="4513"/>
        <w:tab w:val="clear" w:pos="9027"/>
      </w:tabs>
      <w:jc w:val="center"/>
    </w:pPr>
    <w:r w:rsidRPr="009D1AD5">
      <w:t xml:space="preserve">- </w:t>
    </w:r>
    <w:r w:rsidRPr="009D1AD5">
      <w:fldChar w:fldCharType="begin"/>
    </w:r>
    <w:r w:rsidRPr="009D1AD5">
      <w:instrText xml:space="preserve"> PAGE </w:instrText>
    </w:r>
    <w:r w:rsidRPr="009D1AD5">
      <w:fldChar w:fldCharType="separate"/>
    </w:r>
    <w:r w:rsidRPr="009D1AD5">
      <w:rPr>
        <w:noProof/>
      </w:rPr>
      <w:t>1</w:t>
    </w:r>
    <w:r w:rsidRPr="009D1AD5">
      <w:fldChar w:fldCharType="end"/>
    </w:r>
    <w:r w:rsidRPr="009D1AD5">
      <w:t xml:space="preserve"> -</w:t>
    </w:r>
  </w:p>
  <w:bookmarkEnd w:id="13"/>
  <w:bookmarkEnd w:id="14"/>
  <w:p w14:paraId="1938EF07" w14:textId="77777777" w:rsidR="00C212B3" w:rsidRPr="009D1AD5" w:rsidRDefault="00C212B3" w:rsidP="009D1AD5">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C212B3" w:rsidRPr="00182B84" w14:paraId="38243CBE" w14:textId="77777777" w:rsidTr="008F2512">
      <w:trPr>
        <w:trHeight w:val="240"/>
        <w:jc w:val="center"/>
      </w:trPr>
      <w:tc>
        <w:tcPr>
          <w:tcW w:w="3794" w:type="dxa"/>
          <w:shd w:val="clear" w:color="auto" w:fill="FFFFFF"/>
          <w:tcMar>
            <w:left w:w="108" w:type="dxa"/>
            <w:right w:w="108" w:type="dxa"/>
          </w:tcMar>
          <w:vAlign w:val="center"/>
        </w:tcPr>
        <w:p w14:paraId="23D76553" w14:textId="77777777" w:rsidR="00C212B3" w:rsidRPr="00182B84" w:rsidRDefault="00C212B3" w:rsidP="00425DC5">
          <w:pPr>
            <w:rPr>
              <w:noProof/>
              <w:lang w:eastAsia="en-GB"/>
            </w:rPr>
          </w:pPr>
          <w:bookmarkStart w:id="19" w:name="bmkRestricted" w:colFirst="1" w:colLast="1"/>
          <w:bookmarkStart w:id="20" w:name="_Hlk117491729"/>
          <w:bookmarkStart w:id="21" w:name="_Hlk117491730"/>
        </w:p>
      </w:tc>
      <w:tc>
        <w:tcPr>
          <w:tcW w:w="5448" w:type="dxa"/>
          <w:gridSpan w:val="2"/>
          <w:shd w:val="clear" w:color="auto" w:fill="FFFFFF"/>
          <w:tcMar>
            <w:left w:w="108" w:type="dxa"/>
            <w:right w:w="108" w:type="dxa"/>
          </w:tcMar>
          <w:vAlign w:val="center"/>
        </w:tcPr>
        <w:p w14:paraId="1956F5E6" w14:textId="77777777" w:rsidR="00C212B3" w:rsidRPr="00182B84" w:rsidRDefault="00C212B3" w:rsidP="00425DC5">
          <w:pPr>
            <w:jc w:val="right"/>
            <w:rPr>
              <w:b/>
              <w:color w:val="FF0000"/>
              <w:szCs w:val="16"/>
            </w:rPr>
          </w:pPr>
          <w:r>
            <w:rPr>
              <w:b/>
              <w:color w:val="FF0000"/>
              <w:szCs w:val="16"/>
            </w:rPr>
            <w:t>RESTRICTED</w:t>
          </w:r>
        </w:p>
      </w:tc>
    </w:tr>
    <w:bookmarkEnd w:id="19"/>
    <w:tr w:rsidR="00C212B3" w:rsidRPr="00182B84" w14:paraId="3B5A34F9" w14:textId="77777777" w:rsidTr="008F2512">
      <w:trPr>
        <w:trHeight w:val="213"/>
        <w:jc w:val="center"/>
      </w:trPr>
      <w:tc>
        <w:tcPr>
          <w:tcW w:w="3794" w:type="dxa"/>
          <w:vMerge w:val="restart"/>
          <w:shd w:val="clear" w:color="auto" w:fill="FFFFFF"/>
          <w:tcMar>
            <w:left w:w="0" w:type="dxa"/>
            <w:right w:w="0" w:type="dxa"/>
          </w:tcMar>
        </w:tcPr>
        <w:p w14:paraId="613B03BD" w14:textId="77777777" w:rsidR="00C212B3" w:rsidRPr="00182B84" w:rsidRDefault="00C212B3" w:rsidP="00425DC5">
          <w:pPr>
            <w:jc w:val="left"/>
          </w:pPr>
          <w:r w:rsidRPr="00182B84">
            <w:rPr>
              <w:noProof/>
              <w:lang w:val="en-US"/>
            </w:rPr>
            <w:drawing>
              <wp:inline distT="0" distB="0" distL="0" distR="0" wp14:anchorId="0938AD5B" wp14:editId="5E5F3707">
                <wp:extent cx="2398395" cy="716280"/>
                <wp:effectExtent l="0" t="0" r="1905" b="7620"/>
                <wp:docPr id="2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8395" cy="71628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300B44C6" w14:textId="77777777" w:rsidR="00C212B3" w:rsidRPr="00185C9A" w:rsidRDefault="00C212B3" w:rsidP="00425DC5">
          <w:pPr>
            <w:jc w:val="right"/>
            <w:rPr>
              <w:b/>
              <w:szCs w:val="16"/>
              <w:highlight w:val="yellow"/>
            </w:rPr>
          </w:pPr>
        </w:p>
      </w:tc>
    </w:tr>
    <w:tr w:rsidR="00C212B3" w:rsidRPr="00182B84" w14:paraId="025D377A" w14:textId="77777777" w:rsidTr="008F2512">
      <w:trPr>
        <w:trHeight w:val="868"/>
        <w:jc w:val="center"/>
      </w:trPr>
      <w:tc>
        <w:tcPr>
          <w:tcW w:w="3794" w:type="dxa"/>
          <w:vMerge/>
          <w:shd w:val="clear" w:color="auto" w:fill="FFFFFF"/>
          <w:tcMar>
            <w:left w:w="108" w:type="dxa"/>
            <w:right w:w="108" w:type="dxa"/>
          </w:tcMar>
        </w:tcPr>
        <w:p w14:paraId="0EAF1485" w14:textId="77777777" w:rsidR="00C212B3" w:rsidRPr="00182B84" w:rsidRDefault="00C212B3" w:rsidP="00425DC5">
          <w:pPr>
            <w:jc w:val="left"/>
            <w:rPr>
              <w:noProof/>
              <w:lang w:eastAsia="en-GB"/>
            </w:rPr>
          </w:pPr>
        </w:p>
      </w:tc>
      <w:tc>
        <w:tcPr>
          <w:tcW w:w="5448" w:type="dxa"/>
          <w:gridSpan w:val="2"/>
          <w:shd w:val="clear" w:color="auto" w:fill="FFFFFF"/>
          <w:tcMar>
            <w:left w:w="108" w:type="dxa"/>
            <w:right w:w="108" w:type="dxa"/>
          </w:tcMar>
        </w:tcPr>
        <w:p w14:paraId="6DB2E08B" w14:textId="77777777" w:rsidR="00C212B3" w:rsidRPr="00C62F03" w:rsidRDefault="00C212B3" w:rsidP="00425DC5">
          <w:pPr>
            <w:jc w:val="right"/>
            <w:rPr>
              <w:b/>
              <w:szCs w:val="16"/>
            </w:rPr>
          </w:pPr>
          <w:bookmarkStart w:id="22" w:name="bmkSymbols"/>
          <w:r w:rsidRPr="00C62F03">
            <w:rPr>
              <w:b/>
              <w:szCs w:val="16"/>
            </w:rPr>
            <w:t>WT/TPR/S/435</w:t>
          </w:r>
          <w:bookmarkEnd w:id="22"/>
        </w:p>
      </w:tc>
    </w:tr>
    <w:tr w:rsidR="00C212B3" w:rsidRPr="00182B84" w14:paraId="00BBC99B" w14:textId="77777777" w:rsidTr="008F2512">
      <w:trPr>
        <w:trHeight w:val="240"/>
        <w:jc w:val="center"/>
      </w:trPr>
      <w:tc>
        <w:tcPr>
          <w:tcW w:w="3794" w:type="dxa"/>
          <w:vMerge/>
          <w:shd w:val="clear" w:color="auto" w:fill="FFFFFF"/>
          <w:tcMar>
            <w:left w:w="108" w:type="dxa"/>
            <w:right w:w="108" w:type="dxa"/>
          </w:tcMar>
          <w:vAlign w:val="center"/>
        </w:tcPr>
        <w:p w14:paraId="4D25E3EA" w14:textId="77777777" w:rsidR="00C212B3" w:rsidRPr="00182B84" w:rsidRDefault="00C212B3" w:rsidP="00425DC5"/>
      </w:tc>
      <w:tc>
        <w:tcPr>
          <w:tcW w:w="5448" w:type="dxa"/>
          <w:gridSpan w:val="2"/>
          <w:shd w:val="clear" w:color="auto" w:fill="FFFFFF"/>
          <w:tcMar>
            <w:left w:w="108" w:type="dxa"/>
            <w:right w:w="108" w:type="dxa"/>
          </w:tcMar>
          <w:vAlign w:val="center"/>
        </w:tcPr>
        <w:p w14:paraId="41A56260" w14:textId="7A1365E2" w:rsidR="00C212B3" w:rsidRPr="00182B84" w:rsidRDefault="002D3D98" w:rsidP="00425DC5">
          <w:pPr>
            <w:jc w:val="right"/>
            <w:rPr>
              <w:szCs w:val="16"/>
            </w:rPr>
          </w:pPr>
          <w:r w:rsidRPr="00C62F03">
            <w:rPr>
              <w:szCs w:val="16"/>
            </w:rPr>
            <w:t>2</w:t>
          </w:r>
          <w:r>
            <w:rPr>
              <w:szCs w:val="16"/>
            </w:rPr>
            <w:t>9</w:t>
          </w:r>
          <w:r w:rsidRPr="00C62F03">
            <w:rPr>
              <w:szCs w:val="16"/>
            </w:rPr>
            <w:t xml:space="preserve"> </w:t>
          </w:r>
          <w:r>
            <w:rPr>
              <w:szCs w:val="16"/>
            </w:rPr>
            <w:t>November</w:t>
          </w:r>
          <w:r w:rsidRPr="00C62F03">
            <w:rPr>
              <w:szCs w:val="16"/>
            </w:rPr>
            <w:t xml:space="preserve"> </w:t>
          </w:r>
          <w:r w:rsidR="00C212B3" w:rsidRPr="00C62F03">
            <w:rPr>
              <w:szCs w:val="16"/>
            </w:rPr>
            <w:t>2022</w:t>
          </w:r>
        </w:p>
      </w:tc>
    </w:tr>
    <w:tr w:rsidR="00C212B3" w:rsidRPr="00182B84" w14:paraId="65419D27" w14:textId="77777777" w:rsidTr="008F2512">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3F31F2C9" w14:textId="1BFB551A" w:rsidR="00C212B3" w:rsidRPr="00182B84" w:rsidRDefault="00C212B3" w:rsidP="00425DC5">
          <w:pPr>
            <w:jc w:val="left"/>
            <w:rPr>
              <w:b/>
            </w:rPr>
          </w:pPr>
          <w:bookmarkStart w:id="23" w:name="bmkSerial" w:colFirst="0" w:colLast="0"/>
          <w:r w:rsidRPr="00182B84">
            <w:rPr>
              <w:color w:val="FF0000"/>
              <w:szCs w:val="16"/>
            </w:rPr>
            <w:t>(</w:t>
          </w:r>
          <w:r>
            <w:rPr>
              <w:color w:val="FF0000"/>
              <w:szCs w:val="16"/>
            </w:rPr>
            <w:t>22</w:t>
          </w:r>
          <w:r w:rsidRPr="00182B84">
            <w:rPr>
              <w:color w:val="FF0000"/>
              <w:szCs w:val="16"/>
            </w:rPr>
            <w:t>-</w:t>
          </w:r>
          <w:r w:rsidR="00916AB5">
            <w:rPr>
              <w:color w:val="FF0000"/>
              <w:szCs w:val="16"/>
            </w:rPr>
            <w:t>8695</w:t>
          </w:r>
          <w:r w:rsidRPr="00182B84">
            <w:rPr>
              <w:color w:val="FF0000"/>
              <w:szCs w:val="16"/>
            </w:rPr>
            <w:t>)</w:t>
          </w:r>
        </w:p>
      </w:tc>
      <w:tc>
        <w:tcPr>
          <w:tcW w:w="3325" w:type="dxa"/>
          <w:tcBorders>
            <w:bottom w:val="single" w:sz="4" w:space="0" w:color="auto"/>
          </w:tcBorders>
          <w:tcMar>
            <w:top w:w="0" w:type="dxa"/>
            <w:left w:w="108" w:type="dxa"/>
            <w:bottom w:w="57" w:type="dxa"/>
            <w:right w:w="108" w:type="dxa"/>
          </w:tcMar>
          <w:vAlign w:val="bottom"/>
        </w:tcPr>
        <w:p w14:paraId="7A3BDAB0" w14:textId="77777777" w:rsidR="00C212B3" w:rsidRPr="00182B84" w:rsidRDefault="00C212B3" w:rsidP="00425DC5">
          <w:pPr>
            <w:jc w:val="right"/>
            <w:rPr>
              <w:szCs w:val="16"/>
            </w:rPr>
          </w:pPr>
          <w:bookmarkStart w:id="24" w:name="bmkTotPages"/>
          <w:r w:rsidRPr="00182B84">
            <w:rPr>
              <w:bCs/>
              <w:szCs w:val="16"/>
            </w:rPr>
            <w:t xml:space="preserve">Page: </w:t>
          </w:r>
          <w:r w:rsidRPr="00182B84">
            <w:rPr>
              <w:bCs/>
              <w:szCs w:val="16"/>
            </w:rPr>
            <w:fldChar w:fldCharType="begin"/>
          </w:r>
          <w:r w:rsidRPr="00182B84">
            <w:rPr>
              <w:bCs/>
              <w:szCs w:val="16"/>
            </w:rPr>
            <w:instrText xml:space="preserve"> PAGE  \* Arabic  \* MERGEFORMAT </w:instrText>
          </w:r>
          <w:r w:rsidRPr="00182B84">
            <w:rPr>
              <w:bCs/>
              <w:szCs w:val="16"/>
            </w:rPr>
            <w:fldChar w:fldCharType="separate"/>
          </w:r>
          <w:r>
            <w:rPr>
              <w:bCs/>
              <w:noProof/>
              <w:szCs w:val="16"/>
            </w:rPr>
            <w:t>1</w:t>
          </w:r>
          <w:r w:rsidRPr="00182B84">
            <w:rPr>
              <w:bCs/>
              <w:szCs w:val="16"/>
            </w:rPr>
            <w:fldChar w:fldCharType="end"/>
          </w:r>
          <w:r w:rsidRPr="00182B84">
            <w:rPr>
              <w:bCs/>
              <w:szCs w:val="16"/>
            </w:rPr>
            <w:t>/</w:t>
          </w:r>
          <w:r w:rsidRPr="00182B84">
            <w:rPr>
              <w:bCs/>
              <w:szCs w:val="16"/>
            </w:rPr>
            <w:fldChar w:fldCharType="begin"/>
          </w:r>
          <w:r w:rsidRPr="00182B84">
            <w:rPr>
              <w:bCs/>
              <w:szCs w:val="16"/>
            </w:rPr>
            <w:instrText xml:space="preserve"> NUMPAGES  \* Arabic  \* MERGEFORMAT </w:instrText>
          </w:r>
          <w:r w:rsidRPr="00182B84">
            <w:rPr>
              <w:bCs/>
              <w:szCs w:val="16"/>
            </w:rPr>
            <w:fldChar w:fldCharType="separate"/>
          </w:r>
          <w:r>
            <w:rPr>
              <w:bCs/>
              <w:noProof/>
              <w:szCs w:val="16"/>
            </w:rPr>
            <w:t>1</w:t>
          </w:r>
          <w:r w:rsidRPr="00182B84">
            <w:rPr>
              <w:bCs/>
              <w:szCs w:val="16"/>
            </w:rPr>
            <w:fldChar w:fldCharType="end"/>
          </w:r>
          <w:bookmarkEnd w:id="24"/>
        </w:p>
      </w:tc>
    </w:tr>
    <w:tr w:rsidR="00C212B3" w:rsidRPr="00182B84" w14:paraId="6FAC17E3" w14:textId="77777777" w:rsidTr="008F2512">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2136CDE4" w14:textId="77777777" w:rsidR="00C212B3" w:rsidRPr="00182B84" w:rsidRDefault="00C212B3" w:rsidP="00425DC5">
          <w:pPr>
            <w:jc w:val="left"/>
            <w:rPr>
              <w:sz w:val="14"/>
              <w:szCs w:val="16"/>
            </w:rPr>
          </w:pPr>
          <w:bookmarkStart w:id="25" w:name="bmkCommittee"/>
          <w:bookmarkEnd w:id="23"/>
          <w:r>
            <w:rPr>
              <w:b/>
            </w:rPr>
            <w:t>Trade Policy Review Body</w:t>
          </w:r>
          <w:bookmarkEnd w:id="25"/>
        </w:p>
      </w:tc>
      <w:tc>
        <w:tcPr>
          <w:tcW w:w="3325" w:type="dxa"/>
          <w:tcBorders>
            <w:top w:val="single" w:sz="4" w:space="0" w:color="auto"/>
          </w:tcBorders>
          <w:tcMar>
            <w:top w:w="113" w:type="dxa"/>
            <w:left w:w="108" w:type="dxa"/>
            <w:bottom w:w="57" w:type="dxa"/>
            <w:right w:w="108" w:type="dxa"/>
          </w:tcMar>
          <w:vAlign w:val="center"/>
        </w:tcPr>
        <w:p w14:paraId="4E856CCF" w14:textId="77777777" w:rsidR="00C212B3" w:rsidRPr="00182B84" w:rsidRDefault="00C212B3" w:rsidP="00425DC5">
          <w:pPr>
            <w:jc w:val="right"/>
            <w:rPr>
              <w:bCs/>
              <w:szCs w:val="18"/>
            </w:rPr>
          </w:pPr>
        </w:p>
      </w:tc>
    </w:tr>
    <w:bookmarkEnd w:id="20"/>
    <w:bookmarkEnd w:id="21"/>
  </w:tbl>
  <w:p w14:paraId="381D65BD" w14:textId="77777777" w:rsidR="00C212B3" w:rsidRDefault="00C212B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19E5A" w14:textId="77777777" w:rsidR="00E14EE6" w:rsidRPr="00E14EE6" w:rsidRDefault="00E14EE6" w:rsidP="00E14EE6">
    <w:pPr>
      <w:pStyle w:val="Header"/>
      <w:spacing w:after="240"/>
      <w:jc w:val="center"/>
    </w:pPr>
    <w:r w:rsidRPr="00E14EE6">
      <w:t>WT/TPR/S/435 • Dominican Republic</w:t>
    </w:r>
  </w:p>
  <w:p w14:paraId="1664C049" w14:textId="77777777" w:rsidR="00E14EE6" w:rsidRPr="00E14EE6" w:rsidRDefault="00E14EE6" w:rsidP="00E14EE6">
    <w:pPr>
      <w:pStyle w:val="Header"/>
      <w:pBdr>
        <w:bottom w:val="single" w:sz="4" w:space="1" w:color="auto"/>
      </w:pBdr>
      <w:jc w:val="center"/>
    </w:pPr>
    <w:r w:rsidRPr="00E14EE6">
      <w:t xml:space="preserve">- </w:t>
    </w:r>
    <w:r w:rsidRPr="00E14EE6">
      <w:fldChar w:fldCharType="begin"/>
    </w:r>
    <w:r w:rsidRPr="00E14EE6">
      <w:instrText xml:space="preserve"> PAGE  \* Arabic  \* MERGEFORMAT </w:instrText>
    </w:r>
    <w:r w:rsidRPr="00E14EE6">
      <w:fldChar w:fldCharType="separate"/>
    </w:r>
    <w:r w:rsidRPr="00E14EE6">
      <w:t>5</w:t>
    </w:r>
    <w:r w:rsidRPr="00E14EE6">
      <w:fldChar w:fldCharType="end"/>
    </w:r>
    <w:r w:rsidRPr="00E14EE6">
      <w:t xml:space="preserve">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60259" w14:textId="00EB9B3A" w:rsidR="00E14EE6" w:rsidRPr="00E14EE6" w:rsidRDefault="00E14EE6" w:rsidP="00E14EE6">
    <w:pPr>
      <w:pStyle w:val="Header"/>
      <w:spacing w:after="240"/>
      <w:jc w:val="center"/>
    </w:pPr>
    <w:r w:rsidRPr="00E14EE6">
      <w:t>WT/TPR/S/435 • Dominican Republic</w:t>
    </w:r>
  </w:p>
  <w:p w14:paraId="6654CCCC" w14:textId="77777777" w:rsidR="00E14EE6" w:rsidRPr="00E14EE6" w:rsidRDefault="00E14EE6" w:rsidP="00E14EE6">
    <w:pPr>
      <w:pStyle w:val="Header"/>
      <w:pBdr>
        <w:bottom w:val="single" w:sz="4" w:space="1" w:color="auto"/>
      </w:pBdr>
      <w:jc w:val="center"/>
    </w:pPr>
    <w:r w:rsidRPr="00E14EE6">
      <w:t xml:space="preserve">- </w:t>
    </w:r>
    <w:r w:rsidRPr="00E14EE6">
      <w:fldChar w:fldCharType="begin"/>
    </w:r>
    <w:r w:rsidRPr="00E14EE6">
      <w:instrText xml:space="preserve"> PAGE  \* Arabic  \* MERGEFORMAT </w:instrText>
    </w:r>
    <w:r w:rsidRPr="00E14EE6">
      <w:fldChar w:fldCharType="separate"/>
    </w:r>
    <w:r w:rsidRPr="00E14EE6">
      <w:t>5</w:t>
    </w:r>
    <w:r w:rsidRPr="00E14EE6">
      <w:fldChar w:fldCharType="end"/>
    </w:r>
    <w:r w:rsidRPr="00E14EE6">
      <w:t xml:space="preserve">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68F27" w14:textId="77777777" w:rsidR="006C6BEF" w:rsidRPr="0030249D" w:rsidRDefault="006C6BEF" w:rsidP="0030249D">
    <w:pPr>
      <w:pStyle w:val="Header"/>
      <w:spacing w:after="240"/>
      <w:jc w:val="center"/>
    </w:pPr>
    <w:r w:rsidRPr="0030249D">
      <w:t>WT/TPR/S/435 • Dominican Republic</w:t>
    </w:r>
  </w:p>
  <w:p w14:paraId="6B0E89F5" w14:textId="77777777" w:rsidR="006C6BEF" w:rsidRPr="0030249D" w:rsidRDefault="006C6BEF" w:rsidP="0030249D">
    <w:pPr>
      <w:pStyle w:val="Header"/>
      <w:pBdr>
        <w:bottom w:val="single" w:sz="4" w:space="1" w:color="auto"/>
      </w:pBdr>
      <w:jc w:val="center"/>
    </w:pPr>
    <w:r w:rsidRPr="0030249D">
      <w:t xml:space="preserve">- </w:t>
    </w:r>
    <w:r w:rsidRPr="0030249D">
      <w:fldChar w:fldCharType="begin"/>
    </w:r>
    <w:r w:rsidRPr="0030249D">
      <w:instrText xml:space="preserve"> PAGE  \* Arabic  \* MERGEFORMAT </w:instrText>
    </w:r>
    <w:r w:rsidRPr="0030249D">
      <w:fldChar w:fldCharType="separate"/>
    </w:r>
    <w:r w:rsidRPr="0030249D">
      <w:t>31</w:t>
    </w:r>
    <w:r w:rsidRPr="0030249D">
      <w:fldChar w:fldCharType="end"/>
    </w:r>
    <w:r w:rsidRPr="0030249D">
      <w:t xml:space="preserve"> -</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942FD" w14:textId="77777777" w:rsidR="006C6BEF" w:rsidRPr="0030249D" w:rsidRDefault="006C6BEF" w:rsidP="0030249D">
    <w:pPr>
      <w:pStyle w:val="Header"/>
      <w:spacing w:after="240"/>
      <w:jc w:val="center"/>
    </w:pPr>
    <w:r w:rsidRPr="0030249D">
      <w:t>WT/TPR/S/435 • Dominican Republic</w:t>
    </w:r>
  </w:p>
  <w:p w14:paraId="506BCB4F" w14:textId="77777777" w:rsidR="006C6BEF" w:rsidRPr="0030249D" w:rsidRDefault="006C6BEF" w:rsidP="0030249D">
    <w:pPr>
      <w:pStyle w:val="Header"/>
      <w:pBdr>
        <w:bottom w:val="single" w:sz="4" w:space="1" w:color="auto"/>
      </w:pBdr>
      <w:jc w:val="center"/>
    </w:pPr>
    <w:r w:rsidRPr="0030249D">
      <w:t xml:space="preserve">- </w:t>
    </w:r>
    <w:r w:rsidRPr="0030249D">
      <w:fldChar w:fldCharType="begin"/>
    </w:r>
    <w:r w:rsidRPr="0030249D">
      <w:instrText xml:space="preserve"> PAGE  \* Arabic  \* MERGEFORMAT </w:instrText>
    </w:r>
    <w:r w:rsidRPr="0030249D">
      <w:fldChar w:fldCharType="separate"/>
    </w:r>
    <w:r w:rsidRPr="0030249D">
      <w:t>31</w:t>
    </w:r>
    <w:r w:rsidRPr="0030249D">
      <w:fldChar w:fldCharType="end"/>
    </w:r>
    <w:r w:rsidRPr="0030249D">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CA255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E641DF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2F78F1"/>
    <w:multiLevelType w:val="hybridMultilevel"/>
    <w:tmpl w:val="F766980E"/>
    <w:lvl w:ilvl="0" w:tplc="AEF69304">
      <w:numFmt w:val="bullet"/>
      <w:lvlText w:val="–"/>
      <w:lvlJc w:val="left"/>
      <w:pPr>
        <w:ind w:left="720" w:hanging="36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AB614F4"/>
    <w:multiLevelType w:val="hybridMultilevel"/>
    <w:tmpl w:val="363AA7E2"/>
    <w:lvl w:ilvl="0" w:tplc="AEF69304">
      <w:numFmt w:val="bullet"/>
      <w:lvlText w:val="–"/>
      <w:lvlJc w:val="left"/>
      <w:pPr>
        <w:ind w:left="720" w:hanging="360"/>
      </w:pPr>
      <w:rPr>
        <w:rFonts w:ascii="Verdana" w:eastAsiaTheme="minorHAnsi" w:hAnsi="Verdana"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C9905F1"/>
    <w:multiLevelType w:val="hybridMultilevel"/>
    <w:tmpl w:val="1CFE86F0"/>
    <w:lvl w:ilvl="0" w:tplc="AEF69304">
      <w:numFmt w:val="bullet"/>
      <w:lvlText w:val="–"/>
      <w:lvlJc w:val="left"/>
      <w:pPr>
        <w:ind w:left="720" w:hanging="360"/>
      </w:pPr>
      <w:rPr>
        <w:rFonts w:ascii="Verdana" w:eastAsiaTheme="minorHAnsi" w:hAnsi="Verdana"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2DE7A27"/>
    <w:multiLevelType w:val="multilevel"/>
    <w:tmpl w:val="66F8B228"/>
    <w:lvl w:ilvl="0">
      <w:start w:val="1"/>
      <w:numFmt w:val="decimal"/>
      <w:lvlText w:val="%1"/>
      <w:lvlJc w:val="left"/>
      <w:pPr>
        <w:tabs>
          <w:tab w:val="num" w:pos="36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none"/>
      <w:lvlText w:val="-"/>
      <w:lvlJc w:val="left"/>
      <w:pPr>
        <w:tabs>
          <w:tab w:val="num" w:pos="2160"/>
        </w:tabs>
        <w:ind w:left="2160" w:hanging="720"/>
      </w:pPr>
      <w:rPr>
        <w:rFonts w:hint="default"/>
      </w:rPr>
    </w:lvl>
    <w:lvl w:ilvl="4">
      <w:start w:val="1"/>
      <w:numFmt w:val="lowerLetter"/>
      <w:lvlText w:val="(%5)"/>
      <w:lvlJc w:val="left"/>
      <w:pPr>
        <w:tabs>
          <w:tab w:val="num" w:pos="720"/>
        </w:tabs>
        <w:ind w:left="720" w:hanging="720"/>
      </w:pPr>
      <w:rPr>
        <w:rFonts w:hint="default"/>
      </w:rPr>
    </w:lvl>
    <w:lvl w:ilvl="5">
      <w:start w:val="1"/>
      <w:numFmt w:val="lowerRoman"/>
      <w:lvlText w:val="(%6)"/>
      <w:lvlJc w:val="left"/>
      <w:pPr>
        <w:tabs>
          <w:tab w:val="num" w:pos="1440"/>
        </w:tabs>
        <w:ind w:left="1440" w:hanging="720"/>
      </w:pPr>
      <w:rPr>
        <w:rFonts w:hint="default"/>
      </w:rPr>
    </w:lvl>
    <w:lvl w:ilvl="6">
      <w:start w:val="1"/>
      <w:numFmt w:val="none"/>
      <w:lvlText w:val="-"/>
      <w:lvlJc w:val="left"/>
      <w:pPr>
        <w:tabs>
          <w:tab w:val="num" w:pos="1440"/>
        </w:tabs>
        <w:ind w:left="1440" w:hanging="720"/>
      </w:pPr>
      <w:rPr>
        <w:rFonts w:hint="default"/>
      </w:rPr>
    </w:lvl>
    <w:lvl w:ilvl="7">
      <w:start w:val="1"/>
      <w:numFmt w:val="lowerLetter"/>
      <w:lvlText w:val="(%8)"/>
      <w:lvlJc w:val="left"/>
      <w:pPr>
        <w:tabs>
          <w:tab w:val="num" w:pos="2160"/>
        </w:tabs>
        <w:ind w:left="2160" w:hanging="720"/>
      </w:pPr>
      <w:rPr>
        <w:rFonts w:hint="default"/>
      </w:rPr>
    </w:lvl>
    <w:lvl w:ilvl="8">
      <w:start w:val="1"/>
      <w:numFmt w:val="lowerRoman"/>
      <w:lvlText w:val="(%9)"/>
      <w:lvlJc w:val="left"/>
      <w:pPr>
        <w:tabs>
          <w:tab w:val="num" w:pos="2880"/>
        </w:tabs>
        <w:ind w:left="2880" w:hanging="720"/>
      </w:pPr>
      <w:rPr>
        <w:rFonts w:hint="default"/>
      </w:rPr>
    </w:lvl>
  </w:abstractNum>
  <w:abstractNum w:abstractNumId="14" w15:restartNumberingAfterBreak="0">
    <w:nsid w:val="138C1C7B"/>
    <w:multiLevelType w:val="multilevel"/>
    <w:tmpl w:val="55F629E2"/>
    <w:lvl w:ilvl="0">
      <w:start w:val="1"/>
      <w:numFmt w:val="decimal"/>
      <w:lvlText w:val="%1."/>
      <w:lvlJc w:val="left"/>
      <w:pPr>
        <w:ind w:left="567" w:hanging="567"/>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14AE0145"/>
    <w:multiLevelType w:val="hybridMultilevel"/>
    <w:tmpl w:val="A0904D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96D14AE"/>
    <w:multiLevelType w:val="hybridMultilevel"/>
    <w:tmpl w:val="1794CEEC"/>
    <w:lvl w:ilvl="0" w:tplc="AEF69304">
      <w:numFmt w:val="bullet"/>
      <w:lvlText w:val="–"/>
      <w:lvlJc w:val="left"/>
      <w:pPr>
        <w:ind w:left="720" w:hanging="36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1705745"/>
    <w:multiLevelType w:val="hybridMultilevel"/>
    <w:tmpl w:val="92EE31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A5E4747"/>
    <w:multiLevelType w:val="multilevel"/>
    <w:tmpl w:val="8B4C7BAE"/>
    <w:lvl w:ilvl="0">
      <w:start w:val="1"/>
      <w:numFmt w:val="decimal"/>
      <w:lvlRestart w:val="0"/>
      <w:isLgl/>
      <w:suff w:val="nothing"/>
      <w:lvlText w:val="%1  "/>
      <w:lvlJc w:val="left"/>
      <w:pPr>
        <w:ind w:left="0" w:firstLine="0"/>
      </w:pPr>
      <w:rPr>
        <w:rFonts w:ascii="Verdana" w:eastAsiaTheme="majorEastAsia" w:hAnsi="Verdana" w:cstheme="majorBidi" w:hint="default"/>
        <w:b/>
        <w:bCs/>
        <w:i w:val="0"/>
        <w:iCs w:val="0"/>
        <w:caps/>
        <w:smallCaps w:val="0"/>
        <w:strike w:val="0"/>
        <w:dstrike w:val="0"/>
        <w:outline w:val="0"/>
        <w:shadow w:val="0"/>
        <w:emboss w:val="0"/>
        <w:imprint w:val="0"/>
        <w:snapToGrid/>
        <w:vanish w:val="0"/>
        <w:color w:val="006283"/>
        <w:spacing w:val="0"/>
        <w:w w:val="100"/>
        <w:kern w:val="0"/>
        <w:position w:val="0"/>
        <w:sz w:val="18"/>
        <w:szCs w:val="28"/>
        <w:u w:val="none"/>
        <w:effect w:val="none"/>
        <w:vertAlign w:val="baseline"/>
        <w:em w:val="none"/>
        <w14:ligatures w14:val="none"/>
        <w14:numForm w14:val="default"/>
        <w14:numSpacing w14:val="default"/>
        <w14:stylisticSets/>
        <w14:cntxtAlts w14:val="0"/>
      </w:rPr>
    </w:lvl>
    <w:lvl w:ilvl="1">
      <w:start w:val="1"/>
      <w:numFmt w:val="decimal"/>
      <w:isLgl/>
      <w:suff w:val="nothing"/>
      <w:lvlText w:val="%1.%2  "/>
      <w:lvlJc w:val="left"/>
      <w:pPr>
        <w:ind w:left="0" w:firstLine="0"/>
      </w:pPr>
      <w:rPr>
        <w:rFonts w:ascii="Verdana" w:eastAsiaTheme="majorEastAsia" w:hAnsi="Verdana" w:cstheme="majorBidi" w:hint="default"/>
        <w:b/>
        <w:bCs/>
        <w:i w:val="0"/>
        <w:iCs w:val="0"/>
        <w:caps w:val="0"/>
        <w:smallCaps w:val="0"/>
        <w:strike w:val="0"/>
        <w:dstrike w:val="0"/>
        <w:outline w:val="0"/>
        <w:shadow w:val="0"/>
        <w:emboss w:val="0"/>
        <w:imprint w:val="0"/>
        <w:snapToGrid/>
        <w:vanish w:val="0"/>
        <w:color w:val="006283"/>
        <w:spacing w:val="0"/>
        <w:w w:val="100"/>
        <w:kern w:val="0"/>
        <w:position w:val="0"/>
        <w:sz w:val="18"/>
        <w:szCs w:val="26"/>
        <w:u w:val="none"/>
        <w:effect w:val="none"/>
        <w:vertAlign w:val="baseline"/>
        <w:em w:val="none"/>
        <w14:ligatures w14:val="none"/>
        <w14:numForm w14:val="default"/>
        <w14:numSpacing w14:val="default"/>
        <w14:stylisticSets/>
        <w14:cntxtAlts w14:val="0"/>
      </w:rPr>
    </w:lvl>
    <w:lvl w:ilvl="2">
      <w:start w:val="1"/>
      <w:numFmt w:val="decimal"/>
      <w:isLgl/>
      <w:suff w:val="nothing"/>
      <w:lvlText w:val="%1.%2.%3  "/>
      <w:lvlJc w:val="left"/>
      <w:pPr>
        <w:ind w:left="0" w:firstLine="0"/>
      </w:pPr>
      <w:rPr>
        <w:rFonts w:ascii="Verdana" w:eastAsiaTheme="majorEastAsia" w:hAnsi="Verdana" w:cstheme="majorBidi" w:hint="default"/>
        <w:b/>
        <w:bCs/>
        <w:i w:val="0"/>
        <w:iCs w:val="0"/>
        <w:caps w:val="0"/>
        <w:smallCaps w:val="0"/>
        <w:strike w:val="0"/>
        <w:dstrike w:val="0"/>
        <w:outline w:val="0"/>
        <w:shadow w:val="0"/>
        <w:emboss w:val="0"/>
        <w:imprint w:val="0"/>
        <w:snapToGrid/>
        <w:vanish w:val="0"/>
        <w:color w:val="006283"/>
        <w:spacing w:val="0"/>
        <w:w w:val="100"/>
        <w:kern w:val="0"/>
        <w:position w:val="0"/>
        <w:sz w:val="18"/>
        <w:szCs w:val="22"/>
        <w:u w:val="none"/>
        <w:effect w:val="none"/>
        <w:vertAlign w:val="baseline"/>
        <w:em w:val="none"/>
        <w14:ligatures w14:val="none"/>
        <w14:numForm w14:val="default"/>
        <w14:numSpacing w14:val="default"/>
        <w14:stylisticSets/>
        <w14:cntxtAlts w14:val="0"/>
      </w:rPr>
    </w:lvl>
    <w:lvl w:ilvl="3">
      <w:start w:val="1"/>
      <w:numFmt w:val="decimal"/>
      <w:isLgl/>
      <w:suff w:val="nothing"/>
      <w:lvlText w:val="%1.%2.%3.%4  "/>
      <w:lvlJc w:val="left"/>
      <w:pPr>
        <w:ind w:left="0" w:firstLine="0"/>
      </w:pPr>
      <w:rPr>
        <w:rFonts w:ascii="Verdana" w:eastAsiaTheme="majorEastAsia" w:hAnsi="Verdana" w:cstheme="majorBidi" w:hint="default"/>
        <w:b/>
        <w:bCs/>
        <w:i w:val="0"/>
        <w:iCs/>
        <w:caps w:val="0"/>
        <w:smallCaps w:val="0"/>
        <w:strike w:val="0"/>
        <w:dstrike w:val="0"/>
        <w:outline w:val="0"/>
        <w:shadow w:val="0"/>
        <w:emboss w:val="0"/>
        <w:imprint w:val="0"/>
        <w:snapToGrid/>
        <w:vanish w:val="0"/>
        <w:color w:val="006283"/>
        <w:spacing w:val="0"/>
        <w:w w:val="100"/>
        <w:kern w:val="0"/>
        <w:position w:val="0"/>
        <w:sz w:val="18"/>
        <w:szCs w:val="22"/>
        <w:u w:val="none"/>
        <w:effect w:val="none"/>
        <w:vertAlign w:val="baseline"/>
        <w:em w:val="none"/>
        <w14:ligatures w14:val="none"/>
        <w14:numForm w14:val="default"/>
        <w14:numSpacing w14:val="default"/>
        <w14:stylisticSets/>
        <w14:cntxtAlts w14:val="0"/>
      </w:rPr>
    </w:lvl>
    <w:lvl w:ilvl="4">
      <w:start w:val="1"/>
      <w:numFmt w:val="decimal"/>
      <w:isLgl/>
      <w:suff w:val="nothing"/>
      <w:lvlText w:val="%1.%2.%3.%4.%5  "/>
      <w:lvlJc w:val="left"/>
      <w:pPr>
        <w:ind w:left="0" w:firstLine="0"/>
      </w:pPr>
      <w:rPr>
        <w:rFonts w:ascii="Verdana" w:eastAsiaTheme="majorEastAsia" w:hAnsi="Verdana" w:cstheme="majorBidi" w:hint="default"/>
        <w:b/>
        <w:bCs w:val="0"/>
        <w:i w:val="0"/>
        <w:iCs w:val="0"/>
        <w:caps w:val="0"/>
        <w:smallCaps w:val="0"/>
        <w:strike w:val="0"/>
        <w:dstrike w:val="0"/>
        <w:outline w:val="0"/>
        <w:shadow w:val="0"/>
        <w:emboss w:val="0"/>
        <w:imprint w:val="0"/>
        <w:snapToGrid/>
        <w:vanish w:val="0"/>
        <w:color w:val="006283"/>
        <w:spacing w:val="0"/>
        <w:w w:val="100"/>
        <w:kern w:val="0"/>
        <w:position w:val="0"/>
        <w:sz w:val="18"/>
        <w:szCs w:val="22"/>
        <w:u w:val="none"/>
        <w:effect w:val="none"/>
        <w:vertAlign w:val="baseline"/>
        <w:em w:val="none"/>
        <w14:ligatures w14:val="none"/>
        <w14:numForm w14:val="default"/>
        <w14:numSpacing w14:val="default"/>
        <w14:stylisticSets/>
        <w14:cntxtAlts w14:val="0"/>
      </w:rPr>
    </w:lvl>
    <w:lvl w:ilvl="5">
      <w:start w:val="1"/>
      <w:numFmt w:val="decimal"/>
      <w:isLgl/>
      <w:suff w:val="nothing"/>
      <w:lvlText w:val="%1.%2.%3.%4.%5.%6  "/>
      <w:lvlJc w:val="left"/>
      <w:pPr>
        <w:ind w:left="0" w:firstLine="0"/>
      </w:pPr>
      <w:rPr>
        <w:rFonts w:ascii="Verdana" w:eastAsiaTheme="majorEastAsia" w:hAnsi="Verdana" w:cstheme="majorBidi" w:hint="default"/>
        <w:b/>
        <w:bCs w:val="0"/>
        <w:i w:val="0"/>
        <w:iCs/>
        <w:caps w:val="0"/>
        <w:smallCaps w:val="0"/>
        <w:strike w:val="0"/>
        <w:dstrike w:val="0"/>
        <w:outline w:val="0"/>
        <w:shadow w:val="0"/>
        <w:emboss w:val="0"/>
        <w:imprint w:val="0"/>
        <w:snapToGrid/>
        <w:vanish w:val="0"/>
        <w:color w:val="006283"/>
        <w:spacing w:val="0"/>
        <w:w w:val="100"/>
        <w:kern w:val="0"/>
        <w:position w:val="0"/>
        <w:sz w:val="18"/>
        <w:szCs w:val="22"/>
        <w:u w:val="none"/>
        <w:effect w:val="none"/>
        <w:vertAlign w:val="baseline"/>
        <w:em w:val="none"/>
        <w14:ligatures w14:val="none"/>
        <w14:numForm w14:val="default"/>
        <w14:numSpacing w14:val="default"/>
        <w14:stylisticSets/>
        <w14:cntxtAlts w14:val="0"/>
      </w:rPr>
    </w:lvl>
    <w:lvl w:ilvl="6">
      <w:start w:val="1"/>
      <w:numFmt w:val="decimal"/>
      <w:lvlRestart w:val="1"/>
      <w:isLgl/>
      <w:suff w:val="nothing"/>
      <w:lvlText w:val="%1.%7.  "/>
      <w:lvlJc w:val="left"/>
      <w:pPr>
        <w:ind w:left="0" w:firstLine="0"/>
      </w:pPr>
      <w:rPr>
        <w:rFonts w:ascii="Verdana" w:eastAsiaTheme="minorHAnsi" w:hAnsi="Verdana" w:cstheme="minorBidi" w:hint="default"/>
        <w:b w:val="0"/>
        <w:bCs w:val="0"/>
        <w:i w:val="0"/>
        <w:iCs w:val="0"/>
        <w:caps w:val="0"/>
        <w:smallCaps w:val="0"/>
        <w:strike w:val="0"/>
        <w:dstrike w:val="0"/>
        <w:outline w:val="0"/>
        <w:shadow w:val="0"/>
        <w:emboss w:val="0"/>
        <w:imprint w:val="0"/>
        <w:snapToGrid/>
        <w:vanish w:val="0"/>
        <w:color w:val="auto"/>
        <w:spacing w:val="0"/>
        <w:w w:val="100"/>
        <w:kern w:val="0"/>
        <w:position w:val="0"/>
        <w:sz w:val="18"/>
        <w:szCs w:val="22"/>
        <w:u w:val="none"/>
        <w:effect w:val="none"/>
        <w:vertAlign w:val="baseline"/>
        <w:em w:val="none"/>
        <w14:ligatures w14:val="none"/>
        <w14:numForm w14:val="default"/>
        <w14:numSpacing w14:val="default"/>
        <w14:stylisticSets/>
        <w14:cntxtAlts w14:val="0"/>
      </w:rPr>
    </w:lvl>
    <w:lvl w:ilvl="7">
      <w:start w:val="1"/>
      <w:numFmt w:val="lowerLetter"/>
      <w:lvlText w:val="%8."/>
      <w:lvlJc w:val="left"/>
      <w:pPr>
        <w:tabs>
          <w:tab w:val="num" w:pos="907"/>
        </w:tabs>
        <w:ind w:left="907" w:hanging="340"/>
      </w:pPr>
      <w:rPr>
        <w:rFonts w:ascii="Verdana" w:eastAsiaTheme="minorHAnsi" w:hAnsi="Verdana" w:cstheme="minorBidi" w:hint="default"/>
        <w:b w:val="0"/>
        <w:bCs w:val="0"/>
        <w:i w:val="0"/>
        <w:iCs w:val="0"/>
        <w:caps w:val="0"/>
        <w:smallCaps w:val="0"/>
        <w:strike w:val="0"/>
        <w:dstrike w:val="0"/>
        <w:outline w:val="0"/>
        <w:shadow w:val="0"/>
        <w:emboss w:val="0"/>
        <w:imprint w:val="0"/>
        <w:snapToGrid/>
        <w:vanish w:val="0"/>
        <w:color w:val="auto"/>
        <w:spacing w:val="0"/>
        <w:w w:val="100"/>
        <w:kern w:val="0"/>
        <w:position w:val="0"/>
        <w:sz w:val="18"/>
        <w:szCs w:val="22"/>
        <w:u w:val="none"/>
        <w:effect w:val="none"/>
        <w:vertAlign w:val="baseline"/>
        <w:em w:val="none"/>
        <w14:ligatures w14:val="none"/>
        <w14:numForm w14:val="default"/>
        <w14:numSpacing w14:val="default"/>
        <w14:stylisticSets/>
        <w14:cntxtAlts w14:val="0"/>
      </w:rPr>
    </w:lvl>
    <w:lvl w:ilvl="8">
      <w:start w:val="1"/>
      <w:numFmt w:val="lowerRoman"/>
      <w:lvlText w:val="%9."/>
      <w:lvlJc w:val="left"/>
      <w:pPr>
        <w:tabs>
          <w:tab w:val="num" w:pos="1247"/>
        </w:tabs>
        <w:ind w:left="1247" w:hanging="340"/>
      </w:pPr>
      <w:rPr>
        <w:rFonts w:ascii="Verdana" w:eastAsiaTheme="minorHAnsi" w:hAnsi="Verdana" w:cstheme="minorBidi" w:hint="default"/>
        <w:b w:val="0"/>
        <w:bCs w:val="0"/>
        <w:i w:val="0"/>
        <w:iCs w:val="0"/>
        <w:caps w:val="0"/>
        <w:smallCaps w:val="0"/>
        <w:strike w:val="0"/>
        <w:dstrike w:val="0"/>
        <w:outline w:val="0"/>
        <w:shadow w:val="0"/>
        <w:emboss w:val="0"/>
        <w:imprint w:val="0"/>
        <w:snapToGrid/>
        <w:vanish w:val="0"/>
        <w:color w:val="auto"/>
        <w:spacing w:val="0"/>
        <w:w w:val="100"/>
        <w:kern w:val="0"/>
        <w:position w:val="0"/>
        <w:sz w:val="18"/>
        <w:szCs w:val="16"/>
        <w:u w:val="none"/>
        <w:effect w:val="none"/>
        <w:vertAlign w:val="baseline"/>
        <w:em w:val="none"/>
        <w14:ligatures w14:val="none"/>
        <w14:numForm w14:val="default"/>
        <w14:numSpacing w14:val="default"/>
        <w14:stylisticSets/>
        <w14:cntxtAlts w14:val="0"/>
      </w:rPr>
    </w:lvl>
  </w:abstractNum>
  <w:abstractNum w:abstractNumId="19" w15:restartNumberingAfterBreak="0">
    <w:nsid w:val="53E948C5"/>
    <w:multiLevelType w:val="multilevel"/>
    <w:tmpl w:val="5BDEB10A"/>
    <w:styleLink w:val="ListBullets"/>
    <w:lvl w:ilvl="0">
      <w:start w:val="1"/>
      <w:numFmt w:val="bullet"/>
      <w:pStyle w:val="ListBullet"/>
      <w:lvlText w:val=""/>
      <w:lvlJc w:val="left"/>
      <w:pPr>
        <w:tabs>
          <w:tab w:val="num" w:pos="567"/>
        </w:tabs>
        <w:ind w:left="567" w:hanging="567"/>
      </w:pPr>
      <w:rPr>
        <w:rFonts w:ascii="Symbol" w:hAnsi="Symbol" w:hint="default"/>
      </w:rPr>
    </w:lvl>
    <w:lvl w:ilvl="1">
      <w:start w:val="1"/>
      <w:numFmt w:val="bullet"/>
      <w:pStyle w:val="ListBullet2"/>
      <w:lvlText w:val=""/>
      <w:lvlJc w:val="left"/>
      <w:pPr>
        <w:tabs>
          <w:tab w:val="num" w:pos="907"/>
        </w:tabs>
        <w:ind w:left="907" w:hanging="340"/>
      </w:pPr>
      <w:rPr>
        <w:rFonts w:ascii="Symbol" w:hAnsi="Symbol" w:hint="default"/>
        <w:color w:val="auto"/>
      </w:rPr>
    </w:lvl>
    <w:lvl w:ilvl="2">
      <w:start w:val="1"/>
      <w:numFmt w:val="bullet"/>
      <w:pStyle w:val="ListBullet3"/>
      <w:lvlText w:val=""/>
      <w:lvlJc w:val="left"/>
      <w:pPr>
        <w:tabs>
          <w:tab w:val="num" w:pos="1247"/>
        </w:tabs>
        <w:ind w:left="1247" w:hanging="340"/>
      </w:pPr>
      <w:rPr>
        <w:rFonts w:ascii="Symbol" w:hAnsi="Symbol" w:hint="default"/>
        <w:color w:val="auto"/>
      </w:rPr>
    </w:lvl>
    <w:lvl w:ilvl="3">
      <w:start w:val="1"/>
      <w:numFmt w:val="bullet"/>
      <w:pStyle w:val="ListBullet4"/>
      <w:lvlText w:val=""/>
      <w:lvlJc w:val="left"/>
      <w:pPr>
        <w:tabs>
          <w:tab w:val="num" w:pos="1588"/>
        </w:tabs>
        <w:ind w:left="1588" w:hanging="341"/>
      </w:pPr>
      <w:rPr>
        <w:rFonts w:ascii="Symbol" w:hAnsi="Symbol" w:hint="default"/>
      </w:rPr>
    </w:lvl>
    <w:lvl w:ilvl="4">
      <w:start w:val="1"/>
      <w:numFmt w:val="bullet"/>
      <w:pStyle w:val="ListBullet5"/>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20" w15:restartNumberingAfterBreak="0">
    <w:nsid w:val="57454AB1"/>
    <w:multiLevelType w:val="multilevel"/>
    <w:tmpl w:val="075A666C"/>
    <w:numStyleLink w:val="LegalHeadings"/>
  </w:abstractNum>
  <w:abstractNum w:abstractNumId="21" w15:restartNumberingAfterBreak="0">
    <w:nsid w:val="57551E12"/>
    <w:multiLevelType w:val="multilevel"/>
    <w:tmpl w:val="075A666C"/>
    <w:styleLink w:val="LegalHeadings"/>
    <w:lvl w:ilvl="0">
      <w:start w:val="1"/>
      <w:numFmt w:val="decimal"/>
      <w:pStyle w:val="Heading1"/>
      <w:isLgl/>
      <w:suff w:val="nothing"/>
      <w:lvlText w:val="%1  "/>
      <w:lvlJc w:val="left"/>
      <w:pPr>
        <w:ind w:left="0" w:firstLine="0"/>
      </w:pPr>
      <w:rPr>
        <w:rFonts w:hint="default"/>
      </w:rPr>
    </w:lvl>
    <w:lvl w:ilvl="1">
      <w:start w:val="1"/>
      <w:numFmt w:val="decimal"/>
      <w:pStyle w:val="Heading2"/>
      <w:isLgl/>
      <w:suff w:val="nothing"/>
      <w:lvlText w:val="%1.%2  "/>
      <w:lvlJc w:val="left"/>
      <w:pPr>
        <w:ind w:left="0" w:firstLine="0"/>
      </w:pPr>
      <w:rPr>
        <w:rFonts w:hint="default"/>
      </w:rPr>
    </w:lvl>
    <w:lvl w:ilvl="2">
      <w:start w:val="1"/>
      <w:numFmt w:val="decimal"/>
      <w:pStyle w:val="Heading3"/>
      <w:isLgl/>
      <w:suff w:val="nothing"/>
      <w:lvlText w:val="%1.%2.%3  "/>
      <w:lvlJc w:val="left"/>
      <w:pPr>
        <w:ind w:left="0" w:firstLine="0"/>
      </w:pPr>
      <w:rPr>
        <w:rFonts w:hint="default"/>
      </w:rPr>
    </w:lvl>
    <w:lvl w:ilvl="3">
      <w:start w:val="1"/>
      <w:numFmt w:val="decimal"/>
      <w:pStyle w:val="Heading4"/>
      <w:isLgl/>
      <w:suff w:val="nothing"/>
      <w:lvlText w:val="%1.%2.%3.%4  "/>
      <w:lvlJc w:val="left"/>
      <w:pPr>
        <w:ind w:left="0" w:firstLine="0"/>
      </w:pPr>
      <w:rPr>
        <w:rFonts w:hint="default"/>
      </w:rPr>
    </w:lvl>
    <w:lvl w:ilvl="4">
      <w:start w:val="1"/>
      <w:numFmt w:val="decimal"/>
      <w:pStyle w:val="Heading5"/>
      <w:isLgl/>
      <w:suff w:val="nothing"/>
      <w:lvlText w:val="%1.%2.%3.%4.%5  "/>
      <w:lvlJc w:val="left"/>
      <w:pPr>
        <w:ind w:left="0" w:firstLine="0"/>
      </w:pPr>
      <w:rPr>
        <w:rFonts w:hint="default"/>
      </w:rPr>
    </w:lvl>
    <w:lvl w:ilvl="5">
      <w:start w:val="1"/>
      <w:numFmt w:val="decimal"/>
      <w:pStyle w:val="Heading6"/>
      <w:isLgl/>
      <w:suff w:val="nothing"/>
      <w:lvlText w:val="%1.%2.%3.%4.%5.%6  "/>
      <w:lvlJc w:val="left"/>
      <w:pPr>
        <w:ind w:left="0" w:firstLine="0"/>
      </w:pPr>
      <w:rPr>
        <w:rFonts w:hint="default"/>
      </w:rPr>
    </w:lvl>
    <w:lvl w:ilvl="6">
      <w:start w:val="1"/>
      <w:numFmt w:val="decimal"/>
      <w:lvlRestart w:val="1"/>
      <w:pStyle w:val="BodyText"/>
      <w:isLgl/>
      <w:suff w:val="nothing"/>
      <w:lvlText w:val="%1.%7.  "/>
      <w:lvlJc w:val="left"/>
      <w:pPr>
        <w:ind w:left="0" w:firstLine="0"/>
      </w:pPr>
      <w:rPr>
        <w:rFonts w:hint="default"/>
      </w:rPr>
    </w:lvl>
    <w:lvl w:ilvl="7">
      <w:start w:val="1"/>
      <w:numFmt w:val="lowerLetter"/>
      <w:pStyle w:val="BodyText2"/>
      <w:lvlText w:val="%8."/>
      <w:lvlJc w:val="left"/>
      <w:pPr>
        <w:tabs>
          <w:tab w:val="num" w:pos="907"/>
        </w:tabs>
        <w:ind w:left="907" w:hanging="340"/>
      </w:pPr>
      <w:rPr>
        <w:rFonts w:hint="default"/>
      </w:rPr>
    </w:lvl>
    <w:lvl w:ilvl="8">
      <w:start w:val="1"/>
      <w:numFmt w:val="lowerRoman"/>
      <w:pStyle w:val="BodyText3"/>
      <w:lvlText w:val="%9."/>
      <w:lvlJc w:val="left"/>
      <w:pPr>
        <w:tabs>
          <w:tab w:val="num" w:pos="1247"/>
        </w:tabs>
        <w:ind w:left="1247" w:hanging="340"/>
      </w:pPr>
      <w:rPr>
        <w:rFonts w:hint="default"/>
      </w:rPr>
    </w:lvl>
  </w:abstractNum>
  <w:abstractNum w:abstractNumId="22" w15:restartNumberingAfterBreak="0">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8"/>
  </w:num>
  <w:num w:numId="2">
    <w:abstractNumId w:val="3"/>
  </w:num>
  <w:num w:numId="3">
    <w:abstractNumId w:val="1"/>
  </w:num>
  <w:num w:numId="4">
    <w:abstractNumId w:val="0"/>
  </w:num>
  <w:num w:numId="5">
    <w:abstractNumId w:val="22"/>
  </w:num>
  <w:num w:numId="6">
    <w:abstractNumId w:val="13"/>
  </w:num>
  <w:num w:numId="7">
    <w:abstractNumId w:val="21"/>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num>
  <w:num w:numId="10">
    <w:abstractNumId w:val="10"/>
  </w:num>
  <w:num w:numId="11">
    <w:abstractNumId w:val="11"/>
  </w:num>
  <w:num w:numId="12">
    <w:abstractNumId w:val="12"/>
  </w:num>
  <w:num w:numId="13">
    <w:abstractNumId w:val="16"/>
  </w:num>
  <w:num w:numId="14">
    <w:abstractNumId w:val="17"/>
  </w:num>
  <w:num w:numId="15">
    <w:abstractNumId w:val="15"/>
  </w:num>
  <w:num w:numId="16">
    <w:abstractNumId w:val="18"/>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num>
  <w:num w:numId="24">
    <w:abstractNumId w:val="7"/>
  </w:num>
  <w:num w:numId="25">
    <w:abstractNumId w:val="6"/>
  </w:num>
  <w:num w:numId="26">
    <w:abstractNumId w:val="5"/>
  </w:num>
  <w:num w:numId="27">
    <w:abstractNumId w:val="4"/>
  </w:num>
  <w:num w:numId="28">
    <w:abstractNumId w:val="20"/>
    <w:lvlOverride w:ilvl="0">
      <w:lvl w:ilvl="0">
        <w:start w:val="1"/>
        <w:numFmt w:val="decimal"/>
        <w:pStyle w:val="Heading1"/>
        <w:isLgl/>
        <w:suff w:val="nothing"/>
        <w:lvlText w:val="%1  "/>
        <w:lvlJc w:val="left"/>
        <w:pPr>
          <w:ind w:left="0" w:firstLine="0"/>
        </w:pPr>
        <w:rPr>
          <w:rFonts w:hint="default"/>
        </w:rPr>
      </w:lvl>
    </w:lvlOverride>
    <w:lvlOverride w:ilvl="1">
      <w:lvl w:ilvl="1">
        <w:start w:val="1"/>
        <w:numFmt w:val="decimal"/>
        <w:pStyle w:val="Heading2"/>
        <w:isLgl/>
        <w:suff w:val="nothing"/>
        <w:lvlText w:val="%1.%2  "/>
        <w:lvlJc w:val="left"/>
        <w:pPr>
          <w:ind w:left="0" w:firstLine="0"/>
        </w:pPr>
        <w:rPr>
          <w:rFonts w:hint="default"/>
        </w:rPr>
      </w:lvl>
    </w:lvlOverride>
    <w:lvlOverride w:ilvl="2">
      <w:lvl w:ilvl="2">
        <w:start w:val="1"/>
        <w:numFmt w:val="decimal"/>
        <w:pStyle w:val="Heading3"/>
        <w:isLgl/>
        <w:suff w:val="nothing"/>
        <w:lvlText w:val="%1.%2.%3  "/>
        <w:lvlJc w:val="left"/>
        <w:pPr>
          <w:ind w:left="0" w:firstLine="0"/>
        </w:pPr>
        <w:rPr>
          <w:rFonts w:hint="default"/>
        </w:rPr>
      </w:lvl>
    </w:lvlOverride>
    <w:lvlOverride w:ilvl="3">
      <w:lvl w:ilvl="3">
        <w:start w:val="1"/>
        <w:numFmt w:val="decimal"/>
        <w:pStyle w:val="Heading4"/>
        <w:isLgl/>
        <w:suff w:val="nothing"/>
        <w:lvlText w:val="%1.%2.%3.%4  "/>
        <w:lvlJc w:val="left"/>
        <w:pPr>
          <w:ind w:left="0" w:firstLine="0"/>
        </w:pPr>
        <w:rPr>
          <w:rFonts w:hint="default"/>
        </w:rPr>
      </w:lvl>
    </w:lvlOverride>
    <w:lvlOverride w:ilvl="4">
      <w:lvl w:ilvl="4">
        <w:start w:val="1"/>
        <w:numFmt w:val="decimal"/>
        <w:pStyle w:val="Heading5"/>
        <w:isLgl/>
        <w:suff w:val="nothing"/>
        <w:lvlText w:val="%1.%2.%3.%4.%5  "/>
        <w:lvlJc w:val="left"/>
        <w:pPr>
          <w:ind w:left="0" w:firstLine="0"/>
        </w:pPr>
        <w:rPr>
          <w:rFonts w:hint="default"/>
        </w:rPr>
      </w:lvl>
    </w:lvlOverride>
    <w:lvlOverride w:ilvl="5">
      <w:lvl w:ilvl="5">
        <w:start w:val="1"/>
        <w:numFmt w:val="decimal"/>
        <w:pStyle w:val="Heading6"/>
        <w:isLgl/>
        <w:suff w:val="nothing"/>
        <w:lvlText w:val="%1.%2.%3.%4.%5.%6  "/>
        <w:lvlJc w:val="left"/>
        <w:pPr>
          <w:ind w:left="0" w:firstLine="0"/>
        </w:pPr>
        <w:rPr>
          <w:rFonts w:hint="default"/>
        </w:rPr>
      </w:lvl>
    </w:lvlOverride>
    <w:lvlOverride w:ilvl="6">
      <w:lvl w:ilvl="6">
        <w:start w:val="1"/>
        <w:numFmt w:val="decimal"/>
        <w:lvlRestart w:val="1"/>
        <w:pStyle w:val="BodyText"/>
        <w:isLgl/>
        <w:suff w:val="nothing"/>
        <w:lvlText w:val="%1.%7.  "/>
        <w:lvlJc w:val="left"/>
        <w:pPr>
          <w:ind w:left="0" w:firstLine="0"/>
        </w:pPr>
        <w:rPr>
          <w:rFonts w:hint="default"/>
          <w:b w:val="0"/>
          <w:bCs/>
        </w:rPr>
      </w:lvl>
    </w:lvlOverride>
    <w:lvlOverride w:ilvl="7">
      <w:lvl w:ilvl="7">
        <w:start w:val="1"/>
        <w:numFmt w:val="lowerLetter"/>
        <w:pStyle w:val="BodyText2"/>
        <w:lvlText w:val="%8."/>
        <w:lvlJc w:val="left"/>
        <w:pPr>
          <w:tabs>
            <w:tab w:val="num" w:pos="907"/>
          </w:tabs>
          <w:ind w:left="907" w:hanging="340"/>
        </w:pPr>
        <w:rPr>
          <w:rFonts w:hint="default"/>
        </w:rPr>
      </w:lvl>
    </w:lvlOverride>
    <w:lvlOverride w:ilvl="8">
      <w:lvl w:ilvl="8">
        <w:start w:val="1"/>
        <w:numFmt w:val="lowerRoman"/>
        <w:pStyle w:val="BodyText3"/>
        <w:lvlText w:val="%9."/>
        <w:lvlJc w:val="left"/>
        <w:pPr>
          <w:tabs>
            <w:tab w:val="num" w:pos="1247"/>
          </w:tabs>
          <w:ind w:left="1247" w:hanging="340"/>
        </w:pPr>
        <w:rPr>
          <w:rFonts w:hint="default"/>
        </w:rPr>
      </w:lvl>
    </w:lvlOverride>
  </w:num>
  <w:num w:numId="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num>
  <w:num w:numId="31">
    <w:abstractNumId w:val="20"/>
    <w:lvlOverride w:ilvl="0">
      <w:startOverride w:val="1"/>
      <w:lvl w:ilvl="0">
        <w:start w:val="1"/>
        <w:numFmt w:val="decimal"/>
        <w:pStyle w:val="Heading1"/>
        <w:isLgl/>
        <w:suff w:val="nothing"/>
        <w:lvlText w:val="%1  "/>
        <w:lvlJc w:val="left"/>
        <w:pPr>
          <w:ind w:left="0" w:firstLine="0"/>
        </w:pPr>
        <w:rPr>
          <w:rFonts w:hint="default"/>
        </w:rPr>
      </w:lvl>
    </w:lvlOverride>
    <w:lvlOverride w:ilvl="1">
      <w:startOverride w:val="1"/>
      <w:lvl w:ilvl="1">
        <w:start w:val="1"/>
        <w:numFmt w:val="decimal"/>
        <w:pStyle w:val="Heading2"/>
        <w:isLgl/>
        <w:suff w:val="nothing"/>
        <w:lvlText w:val="%1.%2  "/>
        <w:lvlJc w:val="left"/>
        <w:pPr>
          <w:ind w:left="0" w:firstLine="0"/>
        </w:pPr>
        <w:rPr>
          <w:rFonts w:hint="default"/>
        </w:rPr>
      </w:lvl>
    </w:lvlOverride>
    <w:lvlOverride w:ilvl="2">
      <w:startOverride w:val="1"/>
      <w:lvl w:ilvl="2">
        <w:start w:val="1"/>
        <w:numFmt w:val="decimal"/>
        <w:pStyle w:val="Heading3"/>
        <w:isLgl/>
        <w:suff w:val="nothing"/>
        <w:lvlText w:val="%1.%2.%3  "/>
        <w:lvlJc w:val="left"/>
        <w:pPr>
          <w:ind w:left="0" w:firstLine="0"/>
        </w:pPr>
        <w:rPr>
          <w:rFonts w:hint="default"/>
        </w:rPr>
      </w:lvl>
    </w:lvlOverride>
    <w:lvlOverride w:ilvl="3">
      <w:startOverride w:val="1"/>
      <w:lvl w:ilvl="3">
        <w:start w:val="1"/>
        <w:numFmt w:val="decimal"/>
        <w:pStyle w:val="Heading4"/>
        <w:isLgl/>
        <w:suff w:val="nothing"/>
        <w:lvlText w:val="%1.%2.%3.%4  "/>
        <w:lvlJc w:val="left"/>
        <w:pPr>
          <w:ind w:left="0" w:firstLine="0"/>
        </w:pPr>
        <w:rPr>
          <w:rFonts w:hint="default"/>
        </w:rPr>
      </w:lvl>
    </w:lvlOverride>
    <w:lvlOverride w:ilvl="4">
      <w:startOverride w:val="1"/>
      <w:lvl w:ilvl="4">
        <w:start w:val="1"/>
        <w:numFmt w:val="decimal"/>
        <w:pStyle w:val="Heading5"/>
        <w:isLgl/>
        <w:suff w:val="nothing"/>
        <w:lvlText w:val="%1.%2.%3.%4.%5  "/>
        <w:lvlJc w:val="left"/>
        <w:pPr>
          <w:ind w:left="0" w:firstLine="0"/>
        </w:pPr>
        <w:rPr>
          <w:rFonts w:hint="default"/>
        </w:rPr>
      </w:lvl>
    </w:lvlOverride>
    <w:lvlOverride w:ilvl="5">
      <w:startOverride w:val="1"/>
      <w:lvl w:ilvl="5">
        <w:start w:val="1"/>
        <w:numFmt w:val="decimal"/>
        <w:pStyle w:val="Heading6"/>
        <w:isLgl/>
        <w:suff w:val="nothing"/>
        <w:lvlText w:val="%1.%2.%3.%4.%5.%6  "/>
        <w:lvlJc w:val="left"/>
        <w:pPr>
          <w:ind w:left="0" w:firstLine="0"/>
        </w:pPr>
        <w:rPr>
          <w:rFonts w:hint="default"/>
        </w:rPr>
      </w:lvl>
    </w:lvlOverride>
    <w:lvlOverride w:ilvl="6">
      <w:startOverride w:val="1"/>
      <w:lvl w:ilvl="6">
        <w:start w:val="1"/>
        <w:numFmt w:val="decimal"/>
        <w:lvlRestart w:val="1"/>
        <w:pStyle w:val="BodyText"/>
        <w:isLgl/>
        <w:suff w:val="nothing"/>
        <w:lvlText w:val="%1.%7.  "/>
        <w:lvlJc w:val="left"/>
        <w:pPr>
          <w:ind w:left="0" w:firstLine="0"/>
        </w:pPr>
        <w:rPr>
          <w:rFonts w:hint="default"/>
        </w:rPr>
      </w:lvl>
    </w:lvlOverride>
    <w:lvlOverride w:ilvl="7">
      <w:startOverride w:val="1"/>
      <w:lvl w:ilvl="7">
        <w:start w:val="1"/>
        <w:numFmt w:val="lowerLetter"/>
        <w:pStyle w:val="BodyText2"/>
        <w:lvlText w:val="%8."/>
        <w:lvlJc w:val="left"/>
        <w:pPr>
          <w:tabs>
            <w:tab w:val="num" w:pos="907"/>
          </w:tabs>
          <w:ind w:left="907" w:hanging="340"/>
        </w:pPr>
        <w:rPr>
          <w:rFonts w:hint="default"/>
        </w:rPr>
      </w:lvl>
    </w:lvlOverride>
    <w:lvlOverride w:ilvl="8">
      <w:startOverride w:val="1"/>
      <w:lvl w:ilvl="8">
        <w:start w:val="1"/>
        <w:numFmt w:val="lowerRoman"/>
        <w:pStyle w:val="BodyText3"/>
        <w:lvlText w:val="%9."/>
        <w:lvlJc w:val="left"/>
        <w:pPr>
          <w:tabs>
            <w:tab w:val="num" w:pos="1247"/>
          </w:tabs>
          <w:ind w:left="1247" w:hanging="340"/>
        </w:pPr>
        <w:rPr>
          <w:rFonts w:hint="default"/>
        </w:rPr>
      </w:lvl>
    </w:lvlOverride>
  </w:num>
  <w:num w:numId="32">
    <w:abstractNumId w:val="20"/>
    <w:lvlOverride w:ilvl="0">
      <w:startOverride w:val="1"/>
      <w:lvl w:ilvl="0">
        <w:start w:val="1"/>
        <w:numFmt w:val="decimal"/>
        <w:pStyle w:val="Heading1"/>
        <w:isLgl/>
        <w:suff w:val="nothing"/>
        <w:lvlText w:val="%1  "/>
        <w:lvlJc w:val="left"/>
        <w:pPr>
          <w:ind w:left="0" w:firstLine="0"/>
        </w:pPr>
        <w:rPr>
          <w:rFonts w:hint="default"/>
        </w:rPr>
      </w:lvl>
    </w:lvlOverride>
    <w:lvlOverride w:ilvl="1">
      <w:startOverride w:val="1"/>
      <w:lvl w:ilvl="1">
        <w:start w:val="1"/>
        <w:numFmt w:val="decimal"/>
        <w:pStyle w:val="Heading2"/>
        <w:isLgl/>
        <w:suff w:val="nothing"/>
        <w:lvlText w:val="%1.%2  "/>
        <w:lvlJc w:val="left"/>
        <w:pPr>
          <w:ind w:left="0" w:firstLine="0"/>
        </w:pPr>
        <w:rPr>
          <w:rFonts w:hint="default"/>
        </w:rPr>
      </w:lvl>
    </w:lvlOverride>
    <w:lvlOverride w:ilvl="2">
      <w:startOverride w:val="1"/>
      <w:lvl w:ilvl="2">
        <w:start w:val="1"/>
        <w:numFmt w:val="decimal"/>
        <w:pStyle w:val="Heading3"/>
        <w:isLgl/>
        <w:suff w:val="nothing"/>
        <w:lvlText w:val="%1.%2.%3  "/>
        <w:lvlJc w:val="left"/>
        <w:pPr>
          <w:ind w:left="0" w:firstLine="0"/>
        </w:pPr>
        <w:rPr>
          <w:rFonts w:hint="default"/>
        </w:rPr>
      </w:lvl>
    </w:lvlOverride>
    <w:lvlOverride w:ilvl="3">
      <w:startOverride w:val="1"/>
      <w:lvl w:ilvl="3">
        <w:start w:val="1"/>
        <w:numFmt w:val="decimal"/>
        <w:pStyle w:val="Heading4"/>
        <w:isLgl/>
        <w:suff w:val="nothing"/>
        <w:lvlText w:val="%1.%2.%3.%4  "/>
        <w:lvlJc w:val="left"/>
        <w:pPr>
          <w:ind w:left="0" w:firstLine="0"/>
        </w:pPr>
        <w:rPr>
          <w:rFonts w:hint="default"/>
        </w:rPr>
      </w:lvl>
    </w:lvlOverride>
    <w:lvlOverride w:ilvl="4">
      <w:startOverride w:val="1"/>
      <w:lvl w:ilvl="4">
        <w:start w:val="1"/>
        <w:numFmt w:val="decimal"/>
        <w:pStyle w:val="Heading5"/>
        <w:isLgl/>
        <w:suff w:val="nothing"/>
        <w:lvlText w:val="%1.%2.%3.%4.%5  "/>
        <w:lvlJc w:val="left"/>
        <w:pPr>
          <w:ind w:left="0" w:firstLine="0"/>
        </w:pPr>
        <w:rPr>
          <w:rFonts w:hint="default"/>
        </w:rPr>
      </w:lvl>
    </w:lvlOverride>
    <w:lvlOverride w:ilvl="5">
      <w:startOverride w:val="1"/>
      <w:lvl w:ilvl="5">
        <w:start w:val="1"/>
        <w:numFmt w:val="decimal"/>
        <w:pStyle w:val="Heading6"/>
        <w:isLgl/>
        <w:suff w:val="nothing"/>
        <w:lvlText w:val="%1.%2.%3.%4.%5.%6  "/>
        <w:lvlJc w:val="left"/>
        <w:pPr>
          <w:ind w:left="0" w:firstLine="0"/>
        </w:pPr>
        <w:rPr>
          <w:rFonts w:hint="default"/>
        </w:rPr>
      </w:lvl>
    </w:lvlOverride>
    <w:lvlOverride w:ilvl="6">
      <w:startOverride w:val="1"/>
      <w:lvl w:ilvl="6">
        <w:start w:val="1"/>
        <w:numFmt w:val="decimal"/>
        <w:lvlRestart w:val="1"/>
        <w:pStyle w:val="BodyText"/>
        <w:isLgl/>
        <w:suff w:val="nothing"/>
        <w:lvlText w:val="%1.%7.  "/>
        <w:lvlJc w:val="left"/>
        <w:pPr>
          <w:ind w:left="0" w:firstLine="0"/>
        </w:pPr>
        <w:rPr>
          <w:rFonts w:hint="default"/>
        </w:rPr>
      </w:lvl>
    </w:lvlOverride>
    <w:lvlOverride w:ilvl="7">
      <w:startOverride w:val="1"/>
      <w:lvl w:ilvl="7">
        <w:start w:val="1"/>
        <w:numFmt w:val="lowerLetter"/>
        <w:pStyle w:val="BodyText2"/>
        <w:lvlText w:val="%8."/>
        <w:lvlJc w:val="left"/>
        <w:pPr>
          <w:tabs>
            <w:tab w:val="num" w:pos="907"/>
          </w:tabs>
          <w:ind w:left="907" w:hanging="340"/>
        </w:pPr>
        <w:rPr>
          <w:rFonts w:hint="default"/>
        </w:rPr>
      </w:lvl>
    </w:lvlOverride>
    <w:lvlOverride w:ilvl="8">
      <w:startOverride w:val="1"/>
      <w:lvl w:ilvl="8">
        <w:start w:val="1"/>
        <w:numFmt w:val="lowerRoman"/>
        <w:pStyle w:val="BodyText3"/>
        <w:lvlText w:val="%9."/>
        <w:lvlJc w:val="left"/>
        <w:pPr>
          <w:tabs>
            <w:tab w:val="num" w:pos="1247"/>
          </w:tabs>
          <w:ind w:left="1247" w:hanging="340"/>
        </w:pPr>
        <w:rPr>
          <w:rFonts w:hint="default"/>
        </w:rPr>
      </w:lvl>
    </w:lvlOverride>
  </w:num>
  <w:num w:numId="33">
    <w:abstractNumId w:val="20"/>
    <w:lvlOverride w:ilvl="0">
      <w:startOverride w:val="1"/>
      <w:lvl w:ilvl="0">
        <w:start w:val="1"/>
        <w:numFmt w:val="decimal"/>
        <w:pStyle w:val="Heading1"/>
        <w:isLgl/>
        <w:suff w:val="nothing"/>
        <w:lvlText w:val="%1  "/>
        <w:lvlJc w:val="left"/>
        <w:pPr>
          <w:ind w:left="0" w:firstLine="0"/>
        </w:pPr>
        <w:rPr>
          <w:rFonts w:hint="default"/>
        </w:rPr>
      </w:lvl>
    </w:lvlOverride>
    <w:lvlOverride w:ilvl="1">
      <w:startOverride w:val="1"/>
      <w:lvl w:ilvl="1">
        <w:start w:val="1"/>
        <w:numFmt w:val="decimal"/>
        <w:pStyle w:val="Heading2"/>
        <w:isLgl/>
        <w:suff w:val="nothing"/>
        <w:lvlText w:val="%1.%2  "/>
        <w:lvlJc w:val="left"/>
        <w:pPr>
          <w:ind w:left="0" w:firstLine="0"/>
        </w:pPr>
        <w:rPr>
          <w:rFonts w:hint="default"/>
        </w:rPr>
      </w:lvl>
    </w:lvlOverride>
    <w:lvlOverride w:ilvl="2">
      <w:startOverride w:val="1"/>
      <w:lvl w:ilvl="2">
        <w:start w:val="1"/>
        <w:numFmt w:val="decimal"/>
        <w:pStyle w:val="Heading3"/>
        <w:isLgl/>
        <w:suff w:val="nothing"/>
        <w:lvlText w:val="%1.%2.%3  "/>
        <w:lvlJc w:val="left"/>
        <w:pPr>
          <w:ind w:left="0" w:firstLine="0"/>
        </w:pPr>
        <w:rPr>
          <w:rFonts w:hint="default"/>
        </w:rPr>
      </w:lvl>
    </w:lvlOverride>
    <w:lvlOverride w:ilvl="3">
      <w:startOverride w:val="1"/>
      <w:lvl w:ilvl="3">
        <w:start w:val="1"/>
        <w:numFmt w:val="decimal"/>
        <w:pStyle w:val="Heading4"/>
        <w:isLgl/>
        <w:suff w:val="nothing"/>
        <w:lvlText w:val="%1.%2.%3.%4  "/>
        <w:lvlJc w:val="left"/>
        <w:pPr>
          <w:ind w:left="0" w:firstLine="0"/>
        </w:pPr>
        <w:rPr>
          <w:rFonts w:hint="default"/>
        </w:rPr>
      </w:lvl>
    </w:lvlOverride>
    <w:lvlOverride w:ilvl="4">
      <w:startOverride w:val="1"/>
      <w:lvl w:ilvl="4">
        <w:start w:val="1"/>
        <w:numFmt w:val="decimal"/>
        <w:pStyle w:val="Heading5"/>
        <w:isLgl/>
        <w:suff w:val="nothing"/>
        <w:lvlText w:val="%1.%2.%3.%4.%5  "/>
        <w:lvlJc w:val="left"/>
        <w:pPr>
          <w:ind w:left="0" w:firstLine="0"/>
        </w:pPr>
        <w:rPr>
          <w:rFonts w:hint="default"/>
        </w:rPr>
      </w:lvl>
    </w:lvlOverride>
    <w:lvlOverride w:ilvl="5">
      <w:startOverride w:val="1"/>
      <w:lvl w:ilvl="5">
        <w:start w:val="1"/>
        <w:numFmt w:val="decimal"/>
        <w:pStyle w:val="Heading6"/>
        <w:isLgl/>
        <w:suff w:val="nothing"/>
        <w:lvlText w:val="%1.%2.%3.%4.%5.%6  "/>
        <w:lvlJc w:val="left"/>
        <w:pPr>
          <w:ind w:left="0" w:firstLine="0"/>
        </w:pPr>
        <w:rPr>
          <w:rFonts w:hint="default"/>
        </w:rPr>
      </w:lvl>
    </w:lvlOverride>
    <w:lvlOverride w:ilvl="6">
      <w:startOverride w:val="1"/>
      <w:lvl w:ilvl="6">
        <w:start w:val="1"/>
        <w:numFmt w:val="decimal"/>
        <w:lvlRestart w:val="1"/>
        <w:pStyle w:val="BodyText"/>
        <w:isLgl/>
        <w:suff w:val="nothing"/>
        <w:lvlText w:val="%1.%7.  "/>
        <w:lvlJc w:val="left"/>
        <w:pPr>
          <w:ind w:left="0" w:firstLine="0"/>
        </w:pPr>
        <w:rPr>
          <w:rFonts w:hint="default"/>
        </w:rPr>
      </w:lvl>
    </w:lvlOverride>
    <w:lvlOverride w:ilvl="7">
      <w:startOverride w:val="1"/>
      <w:lvl w:ilvl="7">
        <w:start w:val="1"/>
        <w:numFmt w:val="lowerLetter"/>
        <w:pStyle w:val="BodyText2"/>
        <w:lvlText w:val="%8."/>
        <w:lvlJc w:val="left"/>
        <w:pPr>
          <w:tabs>
            <w:tab w:val="num" w:pos="907"/>
          </w:tabs>
          <w:ind w:left="907" w:hanging="340"/>
        </w:pPr>
        <w:rPr>
          <w:rFonts w:hint="default"/>
        </w:rPr>
      </w:lvl>
    </w:lvlOverride>
    <w:lvlOverride w:ilvl="8">
      <w:startOverride w:val="1"/>
      <w:lvl w:ilvl="8">
        <w:start w:val="1"/>
        <w:numFmt w:val="lowerRoman"/>
        <w:pStyle w:val="BodyText3"/>
        <w:lvlText w:val="%9."/>
        <w:lvlJc w:val="left"/>
        <w:pPr>
          <w:tabs>
            <w:tab w:val="num" w:pos="1247"/>
          </w:tabs>
          <w:ind w:left="1247" w:hanging="340"/>
        </w:pPr>
        <w:rPr>
          <w:rFonts w:hint="default"/>
        </w:rPr>
      </w:lvl>
    </w:lvlOverride>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proofState w:spelling="clean"/>
  <w:attachedTemplate r:id="rId1"/>
  <w:stylePaneSortMethod w:val="0000"/>
  <w:defaultTabStop w:val="567"/>
  <w:hyphenationZone w:val="425"/>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15F3"/>
    <w:rsid w:val="0000027B"/>
    <w:rsid w:val="000074D5"/>
    <w:rsid w:val="000109BD"/>
    <w:rsid w:val="00014AB7"/>
    <w:rsid w:val="000166AF"/>
    <w:rsid w:val="00016887"/>
    <w:rsid w:val="000224E7"/>
    <w:rsid w:val="00023657"/>
    <w:rsid w:val="0002424F"/>
    <w:rsid w:val="00034DF7"/>
    <w:rsid w:val="00037FC0"/>
    <w:rsid w:val="00041987"/>
    <w:rsid w:val="00046234"/>
    <w:rsid w:val="000469E4"/>
    <w:rsid w:val="00061BA5"/>
    <w:rsid w:val="00063670"/>
    <w:rsid w:val="00064303"/>
    <w:rsid w:val="00067D73"/>
    <w:rsid w:val="00070785"/>
    <w:rsid w:val="000707F5"/>
    <w:rsid w:val="00071B26"/>
    <w:rsid w:val="000732E6"/>
    <w:rsid w:val="0008008F"/>
    <w:rsid w:val="00080E4E"/>
    <w:rsid w:val="00097D6C"/>
    <w:rsid w:val="000A1784"/>
    <w:rsid w:val="000A1B1A"/>
    <w:rsid w:val="000A7098"/>
    <w:rsid w:val="000B0F8A"/>
    <w:rsid w:val="000B4501"/>
    <w:rsid w:val="000C21FB"/>
    <w:rsid w:val="000C232F"/>
    <w:rsid w:val="000C724C"/>
    <w:rsid w:val="000D23F0"/>
    <w:rsid w:val="000D7E8E"/>
    <w:rsid w:val="000E1D1E"/>
    <w:rsid w:val="000E2928"/>
    <w:rsid w:val="000F0730"/>
    <w:rsid w:val="000F556C"/>
    <w:rsid w:val="000F7FD6"/>
    <w:rsid w:val="00100C7E"/>
    <w:rsid w:val="00104D9E"/>
    <w:rsid w:val="001117BD"/>
    <w:rsid w:val="00112229"/>
    <w:rsid w:val="00114B29"/>
    <w:rsid w:val="00115EB2"/>
    <w:rsid w:val="001171A2"/>
    <w:rsid w:val="001172E0"/>
    <w:rsid w:val="001175A3"/>
    <w:rsid w:val="00120B96"/>
    <w:rsid w:val="001237F5"/>
    <w:rsid w:val="00126A4F"/>
    <w:rsid w:val="001273FC"/>
    <w:rsid w:val="00130A64"/>
    <w:rsid w:val="00132E8C"/>
    <w:rsid w:val="001338F0"/>
    <w:rsid w:val="00135824"/>
    <w:rsid w:val="001370DF"/>
    <w:rsid w:val="0014012F"/>
    <w:rsid w:val="00140CC0"/>
    <w:rsid w:val="00142F16"/>
    <w:rsid w:val="00152A0F"/>
    <w:rsid w:val="00157B01"/>
    <w:rsid w:val="00161395"/>
    <w:rsid w:val="00167190"/>
    <w:rsid w:val="0017009E"/>
    <w:rsid w:val="001700CC"/>
    <w:rsid w:val="001747C5"/>
    <w:rsid w:val="0019439F"/>
    <w:rsid w:val="001A29F7"/>
    <w:rsid w:val="001A435B"/>
    <w:rsid w:val="001A500E"/>
    <w:rsid w:val="001B0491"/>
    <w:rsid w:val="001B50DF"/>
    <w:rsid w:val="001B575F"/>
    <w:rsid w:val="001B57FC"/>
    <w:rsid w:val="001B7694"/>
    <w:rsid w:val="001B7A85"/>
    <w:rsid w:val="001D0E4B"/>
    <w:rsid w:val="001D273A"/>
    <w:rsid w:val="001D45BA"/>
    <w:rsid w:val="001D5F29"/>
    <w:rsid w:val="001E1897"/>
    <w:rsid w:val="001E4A54"/>
    <w:rsid w:val="001E7041"/>
    <w:rsid w:val="001E71F7"/>
    <w:rsid w:val="001E79E5"/>
    <w:rsid w:val="00205D30"/>
    <w:rsid w:val="00207282"/>
    <w:rsid w:val="002074C9"/>
    <w:rsid w:val="00210F22"/>
    <w:rsid w:val="002115D0"/>
    <w:rsid w:val="002121D3"/>
    <w:rsid w:val="002149CB"/>
    <w:rsid w:val="002242B5"/>
    <w:rsid w:val="002258CA"/>
    <w:rsid w:val="00230B13"/>
    <w:rsid w:val="00232DF8"/>
    <w:rsid w:val="00237675"/>
    <w:rsid w:val="0025280C"/>
    <w:rsid w:val="00255119"/>
    <w:rsid w:val="00263CAF"/>
    <w:rsid w:val="00273C17"/>
    <w:rsid w:val="002750AD"/>
    <w:rsid w:val="00276383"/>
    <w:rsid w:val="00285A0F"/>
    <w:rsid w:val="00287066"/>
    <w:rsid w:val="002930DC"/>
    <w:rsid w:val="00293D7F"/>
    <w:rsid w:val="002A0441"/>
    <w:rsid w:val="002A3B57"/>
    <w:rsid w:val="002A6788"/>
    <w:rsid w:val="002B7E03"/>
    <w:rsid w:val="002C0257"/>
    <w:rsid w:val="002C6DF6"/>
    <w:rsid w:val="002D3D98"/>
    <w:rsid w:val="002D4BA7"/>
    <w:rsid w:val="002E263B"/>
    <w:rsid w:val="002E676D"/>
    <w:rsid w:val="002E6D43"/>
    <w:rsid w:val="002E75FF"/>
    <w:rsid w:val="002E778E"/>
    <w:rsid w:val="002F7B82"/>
    <w:rsid w:val="003153A1"/>
    <w:rsid w:val="003172D2"/>
    <w:rsid w:val="00323DC1"/>
    <w:rsid w:val="003267CD"/>
    <w:rsid w:val="00334600"/>
    <w:rsid w:val="00337700"/>
    <w:rsid w:val="003401ED"/>
    <w:rsid w:val="00341687"/>
    <w:rsid w:val="00341AC4"/>
    <w:rsid w:val="003422F5"/>
    <w:rsid w:val="00342A86"/>
    <w:rsid w:val="00352E1F"/>
    <w:rsid w:val="0035783D"/>
    <w:rsid w:val="00360C1A"/>
    <w:rsid w:val="0036313B"/>
    <w:rsid w:val="00364661"/>
    <w:rsid w:val="00370A12"/>
    <w:rsid w:val="00370BD0"/>
    <w:rsid w:val="00375CA4"/>
    <w:rsid w:val="00376FDE"/>
    <w:rsid w:val="003801BF"/>
    <w:rsid w:val="00382C40"/>
    <w:rsid w:val="0038304F"/>
    <w:rsid w:val="003A0E78"/>
    <w:rsid w:val="003A19CB"/>
    <w:rsid w:val="003B4222"/>
    <w:rsid w:val="003B6D4C"/>
    <w:rsid w:val="003B779A"/>
    <w:rsid w:val="003D0C00"/>
    <w:rsid w:val="003D77F3"/>
    <w:rsid w:val="003E552F"/>
    <w:rsid w:val="003E7A6D"/>
    <w:rsid w:val="003F0353"/>
    <w:rsid w:val="0040080B"/>
    <w:rsid w:val="00402A3E"/>
    <w:rsid w:val="00404AFC"/>
    <w:rsid w:val="00414730"/>
    <w:rsid w:val="00422CEA"/>
    <w:rsid w:val="0043612A"/>
    <w:rsid w:val="00455AA1"/>
    <w:rsid w:val="00457F2B"/>
    <w:rsid w:val="00464940"/>
    <w:rsid w:val="00470DCC"/>
    <w:rsid w:val="00474A07"/>
    <w:rsid w:val="00477E5B"/>
    <w:rsid w:val="00486BCB"/>
    <w:rsid w:val="004904AD"/>
    <w:rsid w:val="00494D86"/>
    <w:rsid w:val="004B4EB8"/>
    <w:rsid w:val="004C0D10"/>
    <w:rsid w:val="004C2006"/>
    <w:rsid w:val="004C2021"/>
    <w:rsid w:val="004C527B"/>
    <w:rsid w:val="004C5702"/>
    <w:rsid w:val="004C5C6F"/>
    <w:rsid w:val="004C6A1D"/>
    <w:rsid w:val="004C7FF2"/>
    <w:rsid w:val="004D0DDD"/>
    <w:rsid w:val="004E1A35"/>
    <w:rsid w:val="004E298C"/>
    <w:rsid w:val="004E55A0"/>
    <w:rsid w:val="004E6841"/>
    <w:rsid w:val="004F1C9B"/>
    <w:rsid w:val="004F5BB7"/>
    <w:rsid w:val="004F64EF"/>
    <w:rsid w:val="005147A6"/>
    <w:rsid w:val="005219BC"/>
    <w:rsid w:val="00533811"/>
    <w:rsid w:val="005339B9"/>
    <w:rsid w:val="00535627"/>
    <w:rsid w:val="0054102C"/>
    <w:rsid w:val="00542018"/>
    <w:rsid w:val="00543329"/>
    <w:rsid w:val="00546631"/>
    <w:rsid w:val="005467A3"/>
    <w:rsid w:val="00556452"/>
    <w:rsid w:val="0056597D"/>
    <w:rsid w:val="00571EE1"/>
    <w:rsid w:val="00574469"/>
    <w:rsid w:val="00577553"/>
    <w:rsid w:val="00592965"/>
    <w:rsid w:val="005949B2"/>
    <w:rsid w:val="005962D9"/>
    <w:rsid w:val="005A399E"/>
    <w:rsid w:val="005A5F11"/>
    <w:rsid w:val="005B2C8B"/>
    <w:rsid w:val="005B3620"/>
    <w:rsid w:val="005B571A"/>
    <w:rsid w:val="005B7077"/>
    <w:rsid w:val="005C0DBB"/>
    <w:rsid w:val="005C6D4E"/>
    <w:rsid w:val="005C7580"/>
    <w:rsid w:val="005D10D8"/>
    <w:rsid w:val="005D1C13"/>
    <w:rsid w:val="005D21E5"/>
    <w:rsid w:val="005D2430"/>
    <w:rsid w:val="005D4F0E"/>
    <w:rsid w:val="005E14C9"/>
    <w:rsid w:val="005F0588"/>
    <w:rsid w:val="005F7BF2"/>
    <w:rsid w:val="0061051B"/>
    <w:rsid w:val="00623EB7"/>
    <w:rsid w:val="00636F81"/>
    <w:rsid w:val="00646A41"/>
    <w:rsid w:val="00653FEB"/>
    <w:rsid w:val="006548B1"/>
    <w:rsid w:val="00656C18"/>
    <w:rsid w:val="00660071"/>
    <w:rsid w:val="00660C46"/>
    <w:rsid w:val="0066135F"/>
    <w:rsid w:val="0066253E"/>
    <w:rsid w:val="00665198"/>
    <w:rsid w:val="006652F7"/>
    <w:rsid w:val="00672E63"/>
    <w:rsid w:val="00674833"/>
    <w:rsid w:val="00676017"/>
    <w:rsid w:val="00677026"/>
    <w:rsid w:val="00683383"/>
    <w:rsid w:val="00684056"/>
    <w:rsid w:val="006859EB"/>
    <w:rsid w:val="00685CDC"/>
    <w:rsid w:val="00695BE9"/>
    <w:rsid w:val="0069606E"/>
    <w:rsid w:val="00696EB0"/>
    <w:rsid w:val="006A56D1"/>
    <w:rsid w:val="006A7EBD"/>
    <w:rsid w:val="006C6BEF"/>
    <w:rsid w:val="006C6D4D"/>
    <w:rsid w:val="006E0C67"/>
    <w:rsid w:val="006E5762"/>
    <w:rsid w:val="007003D3"/>
    <w:rsid w:val="00700BE5"/>
    <w:rsid w:val="00701B1E"/>
    <w:rsid w:val="007069EA"/>
    <w:rsid w:val="00707CF7"/>
    <w:rsid w:val="00714B55"/>
    <w:rsid w:val="0072021D"/>
    <w:rsid w:val="00724570"/>
    <w:rsid w:val="00726BBB"/>
    <w:rsid w:val="007272B2"/>
    <w:rsid w:val="00727F5B"/>
    <w:rsid w:val="00731032"/>
    <w:rsid w:val="0073435E"/>
    <w:rsid w:val="00735ADA"/>
    <w:rsid w:val="007459E2"/>
    <w:rsid w:val="00752D38"/>
    <w:rsid w:val="00763857"/>
    <w:rsid w:val="00764BFC"/>
    <w:rsid w:val="00787F4C"/>
    <w:rsid w:val="00795114"/>
    <w:rsid w:val="007A3952"/>
    <w:rsid w:val="007A3D34"/>
    <w:rsid w:val="007A761F"/>
    <w:rsid w:val="007B3774"/>
    <w:rsid w:val="007B70FC"/>
    <w:rsid w:val="007B7BB1"/>
    <w:rsid w:val="007C15F3"/>
    <w:rsid w:val="007C41DE"/>
    <w:rsid w:val="007C4766"/>
    <w:rsid w:val="007C4B3E"/>
    <w:rsid w:val="007C6132"/>
    <w:rsid w:val="007C74EF"/>
    <w:rsid w:val="007D0275"/>
    <w:rsid w:val="007D1CF6"/>
    <w:rsid w:val="007D39B5"/>
    <w:rsid w:val="007E30C5"/>
    <w:rsid w:val="007F44EB"/>
    <w:rsid w:val="007F7979"/>
    <w:rsid w:val="00806A5A"/>
    <w:rsid w:val="008141E9"/>
    <w:rsid w:val="00816663"/>
    <w:rsid w:val="00825C12"/>
    <w:rsid w:val="00826829"/>
    <w:rsid w:val="0082716B"/>
    <w:rsid w:val="008308E5"/>
    <w:rsid w:val="00834FB6"/>
    <w:rsid w:val="008402D9"/>
    <w:rsid w:val="00842D59"/>
    <w:rsid w:val="00843749"/>
    <w:rsid w:val="00844FBB"/>
    <w:rsid w:val="0085388D"/>
    <w:rsid w:val="008741FC"/>
    <w:rsid w:val="008819FF"/>
    <w:rsid w:val="00885409"/>
    <w:rsid w:val="00894F48"/>
    <w:rsid w:val="00895A69"/>
    <w:rsid w:val="008A1305"/>
    <w:rsid w:val="008A2F61"/>
    <w:rsid w:val="008B1E7E"/>
    <w:rsid w:val="008B1E85"/>
    <w:rsid w:val="008B6D10"/>
    <w:rsid w:val="008C1089"/>
    <w:rsid w:val="008F3CE4"/>
    <w:rsid w:val="008F43D3"/>
    <w:rsid w:val="008F735C"/>
    <w:rsid w:val="00900230"/>
    <w:rsid w:val="00900C96"/>
    <w:rsid w:val="00912133"/>
    <w:rsid w:val="0091417D"/>
    <w:rsid w:val="0091572B"/>
    <w:rsid w:val="00916151"/>
    <w:rsid w:val="00916AB5"/>
    <w:rsid w:val="00917BFE"/>
    <w:rsid w:val="00924E45"/>
    <w:rsid w:val="009304CB"/>
    <w:rsid w:val="0093146B"/>
    <w:rsid w:val="0093392F"/>
    <w:rsid w:val="00934D91"/>
    <w:rsid w:val="0093775F"/>
    <w:rsid w:val="00941155"/>
    <w:rsid w:val="00942B73"/>
    <w:rsid w:val="009468D7"/>
    <w:rsid w:val="00955C7A"/>
    <w:rsid w:val="00957754"/>
    <w:rsid w:val="00961B82"/>
    <w:rsid w:val="009621D1"/>
    <w:rsid w:val="00972581"/>
    <w:rsid w:val="00972B61"/>
    <w:rsid w:val="009738EA"/>
    <w:rsid w:val="0098068E"/>
    <w:rsid w:val="00983306"/>
    <w:rsid w:val="0098513C"/>
    <w:rsid w:val="00987B2A"/>
    <w:rsid w:val="0099299F"/>
    <w:rsid w:val="00993038"/>
    <w:rsid w:val="00994D92"/>
    <w:rsid w:val="009A0D78"/>
    <w:rsid w:val="009A42B6"/>
    <w:rsid w:val="009C3549"/>
    <w:rsid w:val="009D63FB"/>
    <w:rsid w:val="009D6524"/>
    <w:rsid w:val="009E0A10"/>
    <w:rsid w:val="009E1C43"/>
    <w:rsid w:val="009E22AC"/>
    <w:rsid w:val="009E37D3"/>
    <w:rsid w:val="009E6AA5"/>
    <w:rsid w:val="009F1546"/>
    <w:rsid w:val="009F26B8"/>
    <w:rsid w:val="009F491D"/>
    <w:rsid w:val="00A025A7"/>
    <w:rsid w:val="00A05611"/>
    <w:rsid w:val="00A06D73"/>
    <w:rsid w:val="00A17981"/>
    <w:rsid w:val="00A22C74"/>
    <w:rsid w:val="00A22FBC"/>
    <w:rsid w:val="00A27EC4"/>
    <w:rsid w:val="00A31B61"/>
    <w:rsid w:val="00A37C79"/>
    <w:rsid w:val="00A427AB"/>
    <w:rsid w:val="00A45020"/>
    <w:rsid w:val="00A4574C"/>
    <w:rsid w:val="00A46611"/>
    <w:rsid w:val="00A47C3E"/>
    <w:rsid w:val="00A60556"/>
    <w:rsid w:val="00A63DD1"/>
    <w:rsid w:val="00A64AC4"/>
    <w:rsid w:val="00A6553E"/>
    <w:rsid w:val="00A672A4"/>
    <w:rsid w:val="00A67526"/>
    <w:rsid w:val="00A73F8C"/>
    <w:rsid w:val="00A75533"/>
    <w:rsid w:val="00A84BF5"/>
    <w:rsid w:val="00AA24A1"/>
    <w:rsid w:val="00AA700B"/>
    <w:rsid w:val="00AA7429"/>
    <w:rsid w:val="00AB0994"/>
    <w:rsid w:val="00AC7C4D"/>
    <w:rsid w:val="00AD1003"/>
    <w:rsid w:val="00AD3D99"/>
    <w:rsid w:val="00AE2C21"/>
    <w:rsid w:val="00AE3C0C"/>
    <w:rsid w:val="00AE790C"/>
    <w:rsid w:val="00AF33E8"/>
    <w:rsid w:val="00AF40C8"/>
    <w:rsid w:val="00AF45C5"/>
    <w:rsid w:val="00AF605D"/>
    <w:rsid w:val="00B016F2"/>
    <w:rsid w:val="00B01DD6"/>
    <w:rsid w:val="00B07663"/>
    <w:rsid w:val="00B12EAB"/>
    <w:rsid w:val="00B14C82"/>
    <w:rsid w:val="00B23112"/>
    <w:rsid w:val="00B2332B"/>
    <w:rsid w:val="00B2460C"/>
    <w:rsid w:val="00B24B85"/>
    <w:rsid w:val="00B24F73"/>
    <w:rsid w:val="00B26E05"/>
    <w:rsid w:val="00B30392"/>
    <w:rsid w:val="00B33914"/>
    <w:rsid w:val="00B423F0"/>
    <w:rsid w:val="00B4336E"/>
    <w:rsid w:val="00B435C0"/>
    <w:rsid w:val="00B45728"/>
    <w:rsid w:val="00B45F9E"/>
    <w:rsid w:val="00B46156"/>
    <w:rsid w:val="00B46ED2"/>
    <w:rsid w:val="00B54A4A"/>
    <w:rsid w:val="00B7258C"/>
    <w:rsid w:val="00B77AAF"/>
    <w:rsid w:val="00B81BBD"/>
    <w:rsid w:val="00B83893"/>
    <w:rsid w:val="00B83FE6"/>
    <w:rsid w:val="00B86771"/>
    <w:rsid w:val="00BA5664"/>
    <w:rsid w:val="00BA5D80"/>
    <w:rsid w:val="00BB432E"/>
    <w:rsid w:val="00BC17E5"/>
    <w:rsid w:val="00BC2650"/>
    <w:rsid w:val="00BC72D0"/>
    <w:rsid w:val="00BD2D05"/>
    <w:rsid w:val="00BD438C"/>
    <w:rsid w:val="00BD6559"/>
    <w:rsid w:val="00BD6D63"/>
    <w:rsid w:val="00BE015F"/>
    <w:rsid w:val="00BE1FF2"/>
    <w:rsid w:val="00BF1508"/>
    <w:rsid w:val="00BF2D93"/>
    <w:rsid w:val="00BF4646"/>
    <w:rsid w:val="00BF579D"/>
    <w:rsid w:val="00BF5E83"/>
    <w:rsid w:val="00C05660"/>
    <w:rsid w:val="00C11832"/>
    <w:rsid w:val="00C14E6A"/>
    <w:rsid w:val="00C212B3"/>
    <w:rsid w:val="00C215DD"/>
    <w:rsid w:val="00C2375E"/>
    <w:rsid w:val="00C25F5B"/>
    <w:rsid w:val="00C27618"/>
    <w:rsid w:val="00C34F2D"/>
    <w:rsid w:val="00C400B5"/>
    <w:rsid w:val="00C40A44"/>
    <w:rsid w:val="00C41B3D"/>
    <w:rsid w:val="00C51ECE"/>
    <w:rsid w:val="00C5302C"/>
    <w:rsid w:val="00C5306B"/>
    <w:rsid w:val="00C65229"/>
    <w:rsid w:val="00C65F6E"/>
    <w:rsid w:val="00C67AA4"/>
    <w:rsid w:val="00C71274"/>
    <w:rsid w:val="00C75BF9"/>
    <w:rsid w:val="00C80D98"/>
    <w:rsid w:val="00C82666"/>
    <w:rsid w:val="00C83182"/>
    <w:rsid w:val="00C86B64"/>
    <w:rsid w:val="00C97117"/>
    <w:rsid w:val="00CA0023"/>
    <w:rsid w:val="00CA3A8E"/>
    <w:rsid w:val="00CA6570"/>
    <w:rsid w:val="00CA7676"/>
    <w:rsid w:val="00CB2591"/>
    <w:rsid w:val="00CB58E3"/>
    <w:rsid w:val="00CC009E"/>
    <w:rsid w:val="00CC048D"/>
    <w:rsid w:val="00CC4E22"/>
    <w:rsid w:val="00CD0195"/>
    <w:rsid w:val="00CD26C3"/>
    <w:rsid w:val="00CD41B7"/>
    <w:rsid w:val="00CD42F7"/>
    <w:rsid w:val="00CD553E"/>
    <w:rsid w:val="00CD5EC3"/>
    <w:rsid w:val="00CD6668"/>
    <w:rsid w:val="00CE1C9D"/>
    <w:rsid w:val="00CE2C80"/>
    <w:rsid w:val="00CF1076"/>
    <w:rsid w:val="00CF1714"/>
    <w:rsid w:val="00CF62F3"/>
    <w:rsid w:val="00D01970"/>
    <w:rsid w:val="00D16B0B"/>
    <w:rsid w:val="00D22580"/>
    <w:rsid w:val="00D23558"/>
    <w:rsid w:val="00D40C7B"/>
    <w:rsid w:val="00D42718"/>
    <w:rsid w:val="00D43308"/>
    <w:rsid w:val="00D50080"/>
    <w:rsid w:val="00D510B7"/>
    <w:rsid w:val="00D61D5B"/>
    <w:rsid w:val="00D61F3E"/>
    <w:rsid w:val="00D65AF6"/>
    <w:rsid w:val="00D66DCB"/>
    <w:rsid w:val="00D66F5C"/>
    <w:rsid w:val="00D75206"/>
    <w:rsid w:val="00D75D55"/>
    <w:rsid w:val="00D907C4"/>
    <w:rsid w:val="00D96AB5"/>
    <w:rsid w:val="00D97DE8"/>
    <w:rsid w:val="00DA5A92"/>
    <w:rsid w:val="00DB47DD"/>
    <w:rsid w:val="00DB7CB0"/>
    <w:rsid w:val="00DC5648"/>
    <w:rsid w:val="00DD562A"/>
    <w:rsid w:val="00DD5640"/>
    <w:rsid w:val="00DD65B2"/>
    <w:rsid w:val="00DE3802"/>
    <w:rsid w:val="00DE5E99"/>
    <w:rsid w:val="00DE7B9A"/>
    <w:rsid w:val="00DF0D53"/>
    <w:rsid w:val="00DF2AB9"/>
    <w:rsid w:val="00DF421A"/>
    <w:rsid w:val="00E137BA"/>
    <w:rsid w:val="00E14EE6"/>
    <w:rsid w:val="00E35B3A"/>
    <w:rsid w:val="00E362F7"/>
    <w:rsid w:val="00E439A9"/>
    <w:rsid w:val="00E464CD"/>
    <w:rsid w:val="00E47B1B"/>
    <w:rsid w:val="00E5262F"/>
    <w:rsid w:val="00E56B55"/>
    <w:rsid w:val="00E66BF0"/>
    <w:rsid w:val="00E66E4B"/>
    <w:rsid w:val="00E81A56"/>
    <w:rsid w:val="00E844E4"/>
    <w:rsid w:val="00E854C5"/>
    <w:rsid w:val="00E864EA"/>
    <w:rsid w:val="00E86E00"/>
    <w:rsid w:val="00E94A9B"/>
    <w:rsid w:val="00E97109"/>
    <w:rsid w:val="00E97806"/>
    <w:rsid w:val="00EA1572"/>
    <w:rsid w:val="00EA604F"/>
    <w:rsid w:val="00EB1D8F"/>
    <w:rsid w:val="00EB2084"/>
    <w:rsid w:val="00EB4982"/>
    <w:rsid w:val="00EB7374"/>
    <w:rsid w:val="00EC692F"/>
    <w:rsid w:val="00ED050F"/>
    <w:rsid w:val="00ED4B22"/>
    <w:rsid w:val="00EE01D0"/>
    <w:rsid w:val="00EE2041"/>
    <w:rsid w:val="00EE50B7"/>
    <w:rsid w:val="00EF35A4"/>
    <w:rsid w:val="00EF7AF7"/>
    <w:rsid w:val="00EF7CB7"/>
    <w:rsid w:val="00F009AC"/>
    <w:rsid w:val="00F034FF"/>
    <w:rsid w:val="00F06AB8"/>
    <w:rsid w:val="00F07253"/>
    <w:rsid w:val="00F07C39"/>
    <w:rsid w:val="00F11625"/>
    <w:rsid w:val="00F221D8"/>
    <w:rsid w:val="00F226F4"/>
    <w:rsid w:val="00F23B97"/>
    <w:rsid w:val="00F2710B"/>
    <w:rsid w:val="00F325A3"/>
    <w:rsid w:val="00F37FAD"/>
    <w:rsid w:val="00F461FE"/>
    <w:rsid w:val="00F464D5"/>
    <w:rsid w:val="00F52AEC"/>
    <w:rsid w:val="00F53EDE"/>
    <w:rsid w:val="00F573D4"/>
    <w:rsid w:val="00F74BE8"/>
    <w:rsid w:val="00F74EEE"/>
    <w:rsid w:val="00F843AD"/>
    <w:rsid w:val="00F8452B"/>
    <w:rsid w:val="00F84BAB"/>
    <w:rsid w:val="00F854DF"/>
    <w:rsid w:val="00F94181"/>
    <w:rsid w:val="00F94FC2"/>
    <w:rsid w:val="00F978D3"/>
    <w:rsid w:val="00FA6706"/>
    <w:rsid w:val="00FB0E9F"/>
    <w:rsid w:val="00FB17AE"/>
    <w:rsid w:val="00FB5650"/>
    <w:rsid w:val="00FC1539"/>
    <w:rsid w:val="00FC2C9F"/>
    <w:rsid w:val="00FC4069"/>
    <w:rsid w:val="00FC4ECA"/>
    <w:rsid w:val="00FE3D62"/>
    <w:rsid w:val="00FE550F"/>
    <w:rsid w:val="00FE5A32"/>
    <w:rsid w:val="00FE79E2"/>
    <w:rsid w:val="00FF0748"/>
    <w:rsid w:val="00FF2DDC"/>
    <w:rsid w:val="00FF7330"/>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4:docId w14:val="4F7B4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uiPriority="2" w:qFormat="1"/>
    <w:lsdException w:name="heading 6" w:uiPriority="2" w:qFormat="1"/>
    <w:lsdException w:name="heading 7" w:uiPriority="2" w:qFormat="1"/>
    <w:lsdException w:name="heading 8" w:uiPriority="2" w:qFormat="1"/>
    <w:lsdException w:name="heading 9" w:uiPriority="2"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qFormat="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qFormat="1"/>
    <w:lsdException w:name="annotation reference" w:semiHidden="1" w:unhideWhenUsed="1"/>
    <w:lsdException w:name="line number" w:semiHidden="1" w:unhideWhenUsed="1"/>
    <w:lsdException w:name="page number" w:semiHidden="1" w:unhideWhenUsed="1"/>
    <w:lsdException w:name="endnote reference" w:uiPriority="49"/>
    <w:lsdException w:name="endnote text" w:uiPriority="49"/>
    <w:lsdException w:name="table of authorities" w:semiHidden="1" w:uiPriority="39" w:unhideWhenUsed="1"/>
    <w:lsdException w:name="macro" w:semiHidden="1" w:unhideWhenUsed="1"/>
    <w:lsdException w:name="toa heading" w:uiPriority="39"/>
    <w:lsdException w:name="List" w:semiHidden="1" w:unhideWhenUsed="1"/>
    <w:lsdException w:name="List Bullet" w:uiPriority="1"/>
    <w:lsdException w:name="List Number" w:uiPriority="49"/>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qFormat="1"/>
    <w:lsdException w:name="List Bullet 4" w:uiPriority="1"/>
    <w:lsdException w:name="List Bullet 5" w:uiPriority="1"/>
    <w:lsdException w:name="List Number 2" w:uiPriority="49"/>
    <w:lsdException w:name="List Number 3" w:uiPriority="49"/>
    <w:lsdException w:name="List Number 4" w:uiPriority="49"/>
    <w:lsdException w:name="List Number 5" w:uiPriority="49"/>
    <w:lsdException w:name="Title" w:uiPriority="5"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unhideWhenUsed="1" w:qFormat="1"/>
    <w:lsdException w:name="Book Title" w:semiHidden="1" w:unhideWhenUsed="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6887"/>
    <w:pPr>
      <w:jc w:val="both"/>
    </w:pPr>
    <w:rPr>
      <w:rFonts w:ascii="Verdana" w:eastAsiaTheme="minorHAnsi" w:hAnsi="Verdana" w:cstheme="minorBidi"/>
      <w:sz w:val="18"/>
      <w:szCs w:val="22"/>
      <w:lang w:eastAsia="en-US"/>
    </w:rPr>
  </w:style>
  <w:style w:type="paragraph" w:styleId="Heading1">
    <w:name w:val="heading 1"/>
    <w:basedOn w:val="Normal"/>
    <w:next w:val="Heading2"/>
    <w:uiPriority w:val="2"/>
    <w:qFormat/>
    <w:rsid w:val="00016887"/>
    <w:pPr>
      <w:keepNext/>
      <w:keepLines/>
      <w:numPr>
        <w:numId w:val="28"/>
      </w:numPr>
      <w:spacing w:after="240"/>
      <w:outlineLvl w:val="0"/>
    </w:pPr>
    <w:rPr>
      <w:rFonts w:eastAsiaTheme="majorEastAsia" w:cstheme="majorBidi"/>
      <w:b/>
      <w:bCs/>
      <w:caps/>
      <w:color w:val="006283"/>
      <w:szCs w:val="28"/>
    </w:rPr>
  </w:style>
  <w:style w:type="paragraph" w:styleId="Heading2">
    <w:name w:val="heading 2"/>
    <w:basedOn w:val="Normal"/>
    <w:next w:val="Heading3"/>
    <w:uiPriority w:val="2"/>
    <w:qFormat/>
    <w:rsid w:val="00016887"/>
    <w:pPr>
      <w:keepNext/>
      <w:keepLines/>
      <w:numPr>
        <w:ilvl w:val="1"/>
        <w:numId w:val="28"/>
      </w:numPr>
      <w:spacing w:after="240"/>
      <w:outlineLvl w:val="1"/>
    </w:pPr>
    <w:rPr>
      <w:rFonts w:eastAsiaTheme="majorEastAsia" w:cstheme="majorBidi"/>
      <w:b/>
      <w:bCs/>
      <w:color w:val="006283"/>
      <w:szCs w:val="26"/>
    </w:rPr>
  </w:style>
  <w:style w:type="paragraph" w:styleId="Heading3">
    <w:name w:val="heading 3"/>
    <w:basedOn w:val="Normal"/>
    <w:next w:val="Heading4"/>
    <w:uiPriority w:val="2"/>
    <w:qFormat/>
    <w:rsid w:val="00016887"/>
    <w:pPr>
      <w:keepNext/>
      <w:keepLines/>
      <w:numPr>
        <w:ilvl w:val="2"/>
        <w:numId w:val="28"/>
      </w:numPr>
      <w:spacing w:after="240"/>
      <w:outlineLvl w:val="2"/>
    </w:pPr>
    <w:rPr>
      <w:rFonts w:eastAsiaTheme="majorEastAsia" w:cstheme="majorBidi"/>
      <w:b/>
      <w:bCs/>
      <w:color w:val="006283"/>
    </w:rPr>
  </w:style>
  <w:style w:type="paragraph" w:styleId="Heading4">
    <w:name w:val="heading 4"/>
    <w:basedOn w:val="Normal"/>
    <w:next w:val="Heading5"/>
    <w:uiPriority w:val="2"/>
    <w:qFormat/>
    <w:rsid w:val="00016887"/>
    <w:pPr>
      <w:keepNext/>
      <w:keepLines/>
      <w:numPr>
        <w:ilvl w:val="3"/>
        <w:numId w:val="28"/>
      </w:numPr>
      <w:spacing w:after="240"/>
      <w:outlineLvl w:val="3"/>
    </w:pPr>
    <w:rPr>
      <w:rFonts w:eastAsiaTheme="majorEastAsia" w:cstheme="majorBidi"/>
      <w:b/>
      <w:bCs/>
      <w:iCs/>
      <w:color w:val="006283"/>
    </w:rPr>
  </w:style>
  <w:style w:type="paragraph" w:styleId="Heading5">
    <w:name w:val="heading 5"/>
    <w:basedOn w:val="Normal"/>
    <w:next w:val="Heading6"/>
    <w:uiPriority w:val="2"/>
    <w:qFormat/>
    <w:rsid w:val="00016887"/>
    <w:pPr>
      <w:keepNext/>
      <w:keepLines/>
      <w:numPr>
        <w:ilvl w:val="4"/>
        <w:numId w:val="28"/>
      </w:numPr>
      <w:spacing w:after="240"/>
      <w:outlineLvl w:val="4"/>
    </w:pPr>
    <w:rPr>
      <w:rFonts w:eastAsiaTheme="majorEastAsia" w:cstheme="majorBidi"/>
      <w:b/>
      <w:color w:val="006283"/>
    </w:rPr>
  </w:style>
  <w:style w:type="paragraph" w:styleId="Heading6">
    <w:name w:val="heading 6"/>
    <w:basedOn w:val="Normal"/>
    <w:next w:val="BodyText"/>
    <w:uiPriority w:val="2"/>
    <w:qFormat/>
    <w:rsid w:val="00016887"/>
    <w:pPr>
      <w:keepNext/>
      <w:keepLines/>
      <w:numPr>
        <w:ilvl w:val="5"/>
        <w:numId w:val="28"/>
      </w:numPr>
      <w:spacing w:after="240"/>
      <w:outlineLvl w:val="5"/>
    </w:pPr>
    <w:rPr>
      <w:rFonts w:eastAsiaTheme="majorEastAsia" w:cstheme="majorBidi"/>
      <w:b/>
      <w:iCs/>
      <w:color w:val="006283"/>
    </w:rPr>
  </w:style>
  <w:style w:type="paragraph" w:styleId="Heading7">
    <w:name w:val="heading 7"/>
    <w:basedOn w:val="Normal"/>
    <w:next w:val="Normal"/>
    <w:uiPriority w:val="2"/>
    <w:rsid w:val="00016887"/>
    <w:pPr>
      <w:keepNext/>
      <w:keepLines/>
      <w:spacing w:after="240"/>
      <w:outlineLvl w:val="6"/>
    </w:pPr>
    <w:rPr>
      <w:rFonts w:eastAsiaTheme="majorEastAsia" w:cstheme="majorBidi"/>
      <w:b/>
      <w:iCs/>
      <w:color w:val="006283"/>
    </w:rPr>
  </w:style>
  <w:style w:type="paragraph" w:styleId="Heading8">
    <w:name w:val="heading 8"/>
    <w:basedOn w:val="Normal"/>
    <w:next w:val="Normal"/>
    <w:uiPriority w:val="2"/>
    <w:rsid w:val="00016887"/>
    <w:pPr>
      <w:keepNext/>
      <w:keepLines/>
      <w:spacing w:after="240"/>
      <w:outlineLvl w:val="7"/>
    </w:pPr>
    <w:rPr>
      <w:rFonts w:eastAsiaTheme="majorEastAsia" w:cstheme="majorBidi"/>
      <w:b/>
      <w:i/>
      <w:color w:val="006283"/>
      <w:szCs w:val="20"/>
    </w:rPr>
  </w:style>
  <w:style w:type="paragraph" w:styleId="Heading9">
    <w:name w:val="heading 9"/>
    <w:basedOn w:val="Normal"/>
    <w:next w:val="Normal"/>
    <w:uiPriority w:val="2"/>
    <w:rsid w:val="00016887"/>
    <w:pPr>
      <w:keepNext/>
      <w:keepLines/>
      <w:spacing w:after="240"/>
      <w:outlineLvl w:val="8"/>
    </w:pPr>
    <w:rPr>
      <w:rFonts w:eastAsiaTheme="majorEastAsia" w:cstheme="majorBidi"/>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uiPriority w:val="99"/>
    <w:semiHidden/>
    <w:unhideWhenUsed/>
    <w:rsid w:val="00016887"/>
    <w:rPr>
      <w:rFonts w:ascii="Tahoma" w:hAnsi="Tahoma" w:cs="Tahoma"/>
      <w:sz w:val="16"/>
      <w:szCs w:val="16"/>
    </w:rPr>
  </w:style>
  <w:style w:type="paragraph" w:customStyle="1" w:styleId="Answer">
    <w:name w:val="Answer"/>
    <w:basedOn w:val="Normal"/>
    <w:uiPriority w:val="6"/>
    <w:qFormat/>
    <w:rsid w:val="00016887"/>
    <w:pPr>
      <w:spacing w:after="240"/>
      <w:ind w:left="1077"/>
    </w:pPr>
    <w:rPr>
      <w:rFonts w:eastAsia="Calibri" w:cs="Times New Roman"/>
    </w:rPr>
  </w:style>
  <w:style w:type="paragraph" w:styleId="BodyText">
    <w:name w:val="Body Text"/>
    <w:basedOn w:val="Normal"/>
    <w:uiPriority w:val="1"/>
    <w:qFormat/>
    <w:rsid w:val="00016887"/>
    <w:pPr>
      <w:numPr>
        <w:ilvl w:val="6"/>
        <w:numId w:val="28"/>
      </w:numPr>
      <w:spacing w:after="240"/>
    </w:pPr>
  </w:style>
  <w:style w:type="paragraph" w:styleId="BodyText2">
    <w:name w:val="Body Text 2"/>
    <w:basedOn w:val="Normal"/>
    <w:uiPriority w:val="1"/>
    <w:qFormat/>
    <w:rsid w:val="00016887"/>
    <w:pPr>
      <w:numPr>
        <w:ilvl w:val="7"/>
        <w:numId w:val="28"/>
      </w:numPr>
      <w:spacing w:after="240"/>
    </w:pPr>
  </w:style>
  <w:style w:type="paragraph" w:styleId="BodyText3">
    <w:name w:val="Body Text 3"/>
    <w:basedOn w:val="Normal"/>
    <w:uiPriority w:val="1"/>
    <w:qFormat/>
    <w:rsid w:val="00016887"/>
    <w:pPr>
      <w:numPr>
        <w:ilvl w:val="8"/>
        <w:numId w:val="28"/>
      </w:numPr>
      <w:spacing w:after="240"/>
    </w:pPr>
    <w:rPr>
      <w:szCs w:val="16"/>
    </w:rPr>
  </w:style>
  <w:style w:type="paragraph" w:styleId="Caption">
    <w:name w:val="caption"/>
    <w:basedOn w:val="Normal"/>
    <w:next w:val="Normal"/>
    <w:uiPriority w:val="6"/>
    <w:qFormat/>
    <w:rsid w:val="00016887"/>
    <w:pPr>
      <w:keepNext/>
      <w:spacing w:before="120" w:after="120"/>
      <w:jc w:val="left"/>
    </w:pPr>
    <w:rPr>
      <w:rFonts w:eastAsia="Times New Roman" w:cs="Times New Roman"/>
      <w:b/>
      <w:bCs/>
      <w:color w:val="006283"/>
      <w:szCs w:val="20"/>
      <w:lang w:eastAsia="en-GB"/>
    </w:rPr>
  </w:style>
  <w:style w:type="character" w:styleId="EndnoteReference">
    <w:name w:val="endnote reference"/>
    <w:uiPriority w:val="49"/>
    <w:rsid w:val="00016887"/>
    <w:rPr>
      <w:vertAlign w:val="superscript"/>
    </w:rPr>
  </w:style>
  <w:style w:type="paragraph" w:styleId="FootnoteText">
    <w:name w:val="footnote text"/>
    <w:basedOn w:val="Normal"/>
    <w:uiPriority w:val="5"/>
    <w:rsid w:val="00016887"/>
    <w:pPr>
      <w:ind w:firstLine="567"/>
      <w:jc w:val="left"/>
    </w:pPr>
    <w:rPr>
      <w:rFonts w:eastAsia="Calibri" w:cs="Times New Roman"/>
      <w:sz w:val="16"/>
      <w:szCs w:val="18"/>
      <w:lang w:eastAsia="en-GB"/>
    </w:rPr>
  </w:style>
  <w:style w:type="paragraph" w:styleId="EndnoteText">
    <w:name w:val="endnote text"/>
    <w:basedOn w:val="FootnoteText"/>
    <w:uiPriority w:val="49"/>
    <w:rsid w:val="00016887"/>
    <w:rPr>
      <w:szCs w:val="20"/>
    </w:rPr>
  </w:style>
  <w:style w:type="paragraph" w:customStyle="1" w:styleId="FollowUp">
    <w:name w:val="FollowUp"/>
    <w:basedOn w:val="Normal"/>
    <w:uiPriority w:val="6"/>
    <w:qFormat/>
    <w:rsid w:val="00016887"/>
    <w:pPr>
      <w:spacing w:after="240"/>
      <w:ind w:left="720"/>
    </w:pPr>
    <w:rPr>
      <w:rFonts w:eastAsia="Calibri" w:cs="Times New Roman"/>
      <w:i/>
    </w:rPr>
  </w:style>
  <w:style w:type="paragraph" w:styleId="Footer">
    <w:name w:val="footer"/>
    <w:basedOn w:val="Normal"/>
    <w:uiPriority w:val="3"/>
    <w:rsid w:val="00016887"/>
    <w:pPr>
      <w:tabs>
        <w:tab w:val="center" w:pos="4513"/>
        <w:tab w:val="right" w:pos="9027"/>
      </w:tabs>
    </w:pPr>
    <w:rPr>
      <w:rFonts w:eastAsia="Calibri" w:cs="Times New Roman"/>
      <w:szCs w:val="18"/>
      <w:lang w:eastAsia="en-GB"/>
    </w:rPr>
  </w:style>
  <w:style w:type="paragraph" w:customStyle="1" w:styleId="FootnoteQuotation">
    <w:name w:val="Footnote Quotation"/>
    <w:basedOn w:val="FootnoteText"/>
    <w:uiPriority w:val="5"/>
    <w:rsid w:val="00016887"/>
    <w:pPr>
      <w:ind w:left="567" w:right="567" w:firstLine="0"/>
    </w:pPr>
  </w:style>
  <w:style w:type="character" w:styleId="FootnoteReference">
    <w:name w:val="footnote reference"/>
    <w:uiPriority w:val="5"/>
    <w:rsid w:val="00016887"/>
    <w:rPr>
      <w:vertAlign w:val="superscript"/>
    </w:rPr>
  </w:style>
  <w:style w:type="paragraph" w:styleId="Header">
    <w:name w:val="header"/>
    <w:basedOn w:val="Normal"/>
    <w:uiPriority w:val="3"/>
    <w:rsid w:val="00016887"/>
    <w:pPr>
      <w:tabs>
        <w:tab w:val="center" w:pos="4513"/>
        <w:tab w:val="right" w:pos="9027"/>
      </w:tabs>
      <w:jc w:val="left"/>
    </w:pPr>
    <w:rPr>
      <w:rFonts w:eastAsia="Calibri" w:cs="Times New Roman"/>
      <w:szCs w:val="18"/>
      <w:lang w:eastAsia="en-GB"/>
    </w:rPr>
  </w:style>
  <w:style w:type="numbering" w:customStyle="1" w:styleId="LegalHeadings">
    <w:name w:val="LegalHeadings"/>
    <w:uiPriority w:val="99"/>
    <w:rsid w:val="00016887"/>
    <w:pPr>
      <w:numPr>
        <w:numId w:val="7"/>
      </w:numPr>
    </w:pPr>
  </w:style>
  <w:style w:type="paragraph" w:styleId="ListBullet">
    <w:name w:val="List Bullet"/>
    <w:basedOn w:val="Normal"/>
    <w:uiPriority w:val="1"/>
    <w:rsid w:val="00016887"/>
    <w:pPr>
      <w:numPr>
        <w:numId w:val="29"/>
      </w:numPr>
      <w:spacing w:after="240"/>
    </w:pPr>
  </w:style>
  <w:style w:type="paragraph" w:styleId="ListBullet2">
    <w:name w:val="List Bullet 2"/>
    <w:basedOn w:val="Normal"/>
    <w:uiPriority w:val="1"/>
    <w:rsid w:val="00016887"/>
    <w:pPr>
      <w:numPr>
        <w:ilvl w:val="1"/>
        <w:numId w:val="29"/>
      </w:numPr>
      <w:spacing w:after="240"/>
    </w:pPr>
  </w:style>
  <w:style w:type="paragraph" w:styleId="ListBullet3">
    <w:name w:val="List Bullet 3"/>
    <w:basedOn w:val="Normal"/>
    <w:uiPriority w:val="1"/>
    <w:rsid w:val="00016887"/>
    <w:pPr>
      <w:numPr>
        <w:ilvl w:val="2"/>
        <w:numId w:val="29"/>
      </w:numPr>
      <w:spacing w:after="240"/>
    </w:pPr>
  </w:style>
  <w:style w:type="paragraph" w:styleId="ListBullet4">
    <w:name w:val="List Bullet 4"/>
    <w:basedOn w:val="Normal"/>
    <w:uiPriority w:val="1"/>
    <w:rsid w:val="00016887"/>
    <w:pPr>
      <w:numPr>
        <w:ilvl w:val="3"/>
        <w:numId w:val="29"/>
      </w:numPr>
      <w:spacing w:after="240"/>
      <w:ind w:left="1587" w:hanging="340"/>
    </w:pPr>
  </w:style>
  <w:style w:type="paragraph" w:styleId="ListBullet5">
    <w:name w:val="List Bullet 5"/>
    <w:basedOn w:val="Normal"/>
    <w:uiPriority w:val="1"/>
    <w:rsid w:val="00016887"/>
    <w:pPr>
      <w:numPr>
        <w:ilvl w:val="4"/>
        <w:numId w:val="29"/>
      </w:numPr>
      <w:spacing w:after="240"/>
    </w:pPr>
  </w:style>
  <w:style w:type="paragraph" w:styleId="ListParagraph">
    <w:name w:val="List Paragraph"/>
    <w:basedOn w:val="Normal"/>
    <w:uiPriority w:val="59"/>
    <w:semiHidden/>
    <w:qFormat/>
    <w:rsid w:val="00016887"/>
    <w:pPr>
      <w:ind w:left="720"/>
      <w:contextualSpacing/>
    </w:pPr>
  </w:style>
  <w:style w:type="numbering" w:customStyle="1" w:styleId="ListBullets">
    <w:name w:val="ListBullets"/>
    <w:uiPriority w:val="99"/>
    <w:rsid w:val="00016887"/>
    <w:pPr>
      <w:numPr>
        <w:numId w:val="9"/>
      </w:numPr>
    </w:pPr>
  </w:style>
  <w:style w:type="paragraph" w:customStyle="1" w:styleId="Quotation">
    <w:name w:val="Quotation"/>
    <w:basedOn w:val="Normal"/>
    <w:uiPriority w:val="5"/>
    <w:qFormat/>
    <w:rsid w:val="00016887"/>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016887"/>
    <w:pPr>
      <w:spacing w:after="240"/>
      <w:ind w:left="1134" w:right="1134"/>
    </w:pPr>
    <w:rPr>
      <w:rFonts w:eastAsia="Calibri" w:cs="Times New Roman"/>
      <w:szCs w:val="18"/>
      <w:lang w:eastAsia="en-GB"/>
    </w:rPr>
  </w:style>
  <w:style w:type="paragraph" w:styleId="Subtitle">
    <w:name w:val="Subtitle"/>
    <w:basedOn w:val="Normal"/>
    <w:next w:val="Normal"/>
    <w:uiPriority w:val="6"/>
    <w:qFormat/>
    <w:rsid w:val="00016887"/>
    <w:pPr>
      <w:numPr>
        <w:ilvl w:val="1"/>
      </w:numPr>
    </w:pPr>
    <w:rPr>
      <w:rFonts w:eastAsiaTheme="majorEastAsia" w:cstheme="majorBidi"/>
      <w:b/>
      <w:iCs/>
      <w:szCs w:val="24"/>
    </w:rPr>
  </w:style>
  <w:style w:type="paragraph" w:customStyle="1" w:styleId="SummaryHeader">
    <w:name w:val="SummaryHeader"/>
    <w:basedOn w:val="Normal"/>
    <w:uiPriority w:val="4"/>
    <w:qFormat/>
    <w:rsid w:val="00016887"/>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016887"/>
    <w:pPr>
      <w:spacing w:after="240"/>
      <w:outlineLvl w:val="1"/>
    </w:pPr>
    <w:rPr>
      <w:b/>
      <w:color w:val="006283"/>
    </w:rPr>
  </w:style>
  <w:style w:type="paragraph" w:customStyle="1" w:styleId="SummaryText">
    <w:name w:val="SummaryText"/>
    <w:basedOn w:val="Normal"/>
    <w:uiPriority w:val="4"/>
    <w:qFormat/>
    <w:rsid w:val="00016887"/>
    <w:pPr>
      <w:numPr>
        <w:numId w:val="5"/>
      </w:numPr>
      <w:spacing w:after="240"/>
      <w:ind w:left="0" w:firstLine="0"/>
    </w:pPr>
    <w:rPr>
      <w:rFonts w:eastAsia="Calibri" w:cs="Times New Roman"/>
    </w:rPr>
  </w:style>
  <w:style w:type="paragraph" w:styleId="TableofAuthorities">
    <w:name w:val="table of authorities"/>
    <w:basedOn w:val="Normal"/>
    <w:next w:val="Normal"/>
    <w:uiPriority w:val="39"/>
    <w:rsid w:val="00016887"/>
    <w:pPr>
      <w:tabs>
        <w:tab w:val="left" w:pos="720"/>
        <w:tab w:val="right" w:leader="dot" w:pos="9027"/>
      </w:tabs>
      <w:ind w:right="720"/>
    </w:pPr>
    <w:rPr>
      <w:rFonts w:eastAsia="Times New Roman" w:cs="Times New Roman"/>
      <w:szCs w:val="20"/>
      <w:lang w:eastAsia="en-GB"/>
    </w:rPr>
  </w:style>
  <w:style w:type="paragraph" w:styleId="TableofFigures">
    <w:name w:val="table of figures"/>
    <w:basedOn w:val="Normal"/>
    <w:next w:val="Normal"/>
    <w:uiPriority w:val="39"/>
    <w:rsid w:val="00016887"/>
    <w:pPr>
      <w:tabs>
        <w:tab w:val="left" w:pos="567"/>
        <w:tab w:val="right" w:leader="dot" w:pos="9027"/>
      </w:tabs>
      <w:spacing w:after="120"/>
    </w:pPr>
    <w:rPr>
      <w:rFonts w:eastAsia="Times New Roman" w:cs="Times New Roman"/>
      <w:szCs w:val="20"/>
      <w:lang w:eastAsia="en-GB"/>
    </w:rPr>
  </w:style>
  <w:style w:type="paragraph" w:styleId="Title">
    <w:name w:val="Title"/>
    <w:basedOn w:val="Normal"/>
    <w:next w:val="Normal"/>
    <w:uiPriority w:val="5"/>
    <w:qFormat/>
    <w:rsid w:val="00016887"/>
    <w:pPr>
      <w:spacing w:before="480" w:after="240"/>
      <w:contextualSpacing/>
      <w:jc w:val="center"/>
    </w:pPr>
    <w:rPr>
      <w:rFonts w:eastAsiaTheme="majorEastAsia" w:cstheme="majorBidi"/>
      <w:b/>
      <w:caps/>
      <w:color w:val="006283"/>
      <w:kern w:val="28"/>
      <w:szCs w:val="52"/>
    </w:rPr>
  </w:style>
  <w:style w:type="paragraph" w:customStyle="1" w:styleId="Title2">
    <w:name w:val="Title 2"/>
    <w:basedOn w:val="Normal"/>
    <w:next w:val="Normal"/>
    <w:uiPriority w:val="5"/>
    <w:qFormat/>
    <w:rsid w:val="00016887"/>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016887"/>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016887"/>
    <w:pPr>
      <w:spacing w:after="360"/>
      <w:jc w:val="center"/>
    </w:pPr>
    <w:rPr>
      <w:rFonts w:eastAsia="Calibri" w:cs="Times New Roman"/>
      <w:smallCaps/>
      <w:color w:val="006283"/>
      <w:szCs w:val="18"/>
      <w:lang w:eastAsia="en-GB"/>
    </w:rPr>
  </w:style>
  <w:style w:type="paragraph" w:styleId="TOC1">
    <w:name w:val="toc 1"/>
    <w:basedOn w:val="Normal"/>
    <w:next w:val="Normal"/>
    <w:autoRedefine/>
    <w:uiPriority w:val="39"/>
    <w:rsid w:val="00016887"/>
    <w:pPr>
      <w:tabs>
        <w:tab w:val="right" w:leader="dot" w:pos="9027"/>
      </w:tabs>
      <w:spacing w:before="120" w:after="120"/>
      <w:jc w:val="left"/>
    </w:pPr>
    <w:rPr>
      <w:rFonts w:eastAsia="Calibri" w:cs="Times New Roman"/>
      <w:b/>
      <w:caps/>
      <w:szCs w:val="18"/>
      <w:lang w:eastAsia="en-GB"/>
    </w:rPr>
  </w:style>
  <w:style w:type="paragraph" w:styleId="TOC2">
    <w:name w:val="toc 2"/>
    <w:basedOn w:val="Normal"/>
    <w:next w:val="Normal"/>
    <w:autoRedefine/>
    <w:uiPriority w:val="39"/>
    <w:rsid w:val="00016887"/>
    <w:pPr>
      <w:tabs>
        <w:tab w:val="right" w:leader="dot" w:pos="9027"/>
      </w:tabs>
      <w:spacing w:before="120" w:after="120"/>
      <w:jc w:val="left"/>
    </w:pPr>
    <w:rPr>
      <w:rFonts w:eastAsia="Calibri" w:cs="Times New Roman"/>
      <w:szCs w:val="18"/>
      <w:lang w:eastAsia="en-GB"/>
    </w:rPr>
  </w:style>
  <w:style w:type="paragraph" w:styleId="TOC3">
    <w:name w:val="toc 3"/>
    <w:basedOn w:val="Normal"/>
    <w:next w:val="Normal"/>
    <w:autoRedefine/>
    <w:uiPriority w:val="39"/>
    <w:rsid w:val="00016887"/>
    <w:pPr>
      <w:tabs>
        <w:tab w:val="right" w:leader="dot" w:pos="9027"/>
      </w:tabs>
      <w:spacing w:before="120" w:after="120"/>
      <w:jc w:val="left"/>
    </w:pPr>
    <w:rPr>
      <w:rFonts w:eastAsia="Calibri" w:cs="Times New Roman"/>
      <w:szCs w:val="18"/>
      <w:lang w:eastAsia="en-GB"/>
    </w:rPr>
  </w:style>
  <w:style w:type="paragraph" w:styleId="TOC4">
    <w:name w:val="toc 4"/>
    <w:basedOn w:val="Normal"/>
    <w:next w:val="Normal"/>
    <w:autoRedefine/>
    <w:uiPriority w:val="39"/>
    <w:rsid w:val="00016887"/>
    <w:pPr>
      <w:tabs>
        <w:tab w:val="right" w:leader="dot" w:pos="9027"/>
      </w:tabs>
      <w:spacing w:before="120" w:after="120"/>
      <w:jc w:val="left"/>
    </w:pPr>
    <w:rPr>
      <w:rFonts w:eastAsia="Calibri" w:cs="Times New Roman"/>
      <w:szCs w:val="18"/>
      <w:lang w:eastAsia="en-GB"/>
    </w:rPr>
  </w:style>
  <w:style w:type="paragraph" w:styleId="TOC5">
    <w:name w:val="toc 5"/>
    <w:basedOn w:val="Normal"/>
    <w:next w:val="Normal"/>
    <w:autoRedefine/>
    <w:uiPriority w:val="39"/>
    <w:rsid w:val="00016887"/>
    <w:pPr>
      <w:tabs>
        <w:tab w:val="right" w:leader="dot" w:pos="9027"/>
      </w:tabs>
      <w:spacing w:before="120" w:after="120"/>
      <w:jc w:val="left"/>
    </w:pPr>
    <w:rPr>
      <w:rFonts w:eastAsia="Calibri" w:cs="Times New Roman"/>
      <w:szCs w:val="18"/>
      <w:lang w:eastAsia="en-GB"/>
    </w:rPr>
  </w:style>
  <w:style w:type="paragraph" w:styleId="TOC6">
    <w:name w:val="toc 6"/>
    <w:basedOn w:val="Normal"/>
    <w:next w:val="Normal"/>
    <w:autoRedefine/>
    <w:uiPriority w:val="39"/>
    <w:rsid w:val="00016887"/>
    <w:pPr>
      <w:tabs>
        <w:tab w:val="right" w:leader="dot" w:pos="9027"/>
      </w:tabs>
      <w:spacing w:before="120" w:after="120"/>
      <w:jc w:val="left"/>
    </w:pPr>
    <w:rPr>
      <w:rFonts w:eastAsia="Calibri" w:cs="Times New Roman"/>
      <w:szCs w:val="18"/>
      <w:lang w:eastAsia="en-GB"/>
    </w:rPr>
  </w:style>
  <w:style w:type="paragraph" w:styleId="TOC7">
    <w:name w:val="toc 7"/>
    <w:basedOn w:val="Normal"/>
    <w:next w:val="Normal"/>
    <w:autoRedefine/>
    <w:uiPriority w:val="39"/>
    <w:rsid w:val="00016887"/>
    <w:pPr>
      <w:tabs>
        <w:tab w:val="left" w:pos="851"/>
        <w:tab w:val="right" w:leader="dot" w:pos="9027"/>
      </w:tabs>
      <w:spacing w:before="120" w:after="120"/>
      <w:ind w:left="567" w:right="851"/>
      <w:jc w:val="left"/>
    </w:pPr>
    <w:rPr>
      <w:rFonts w:eastAsia="Calibri" w:cs="Times New Roman"/>
      <w:szCs w:val="18"/>
      <w:lang w:eastAsia="en-GB"/>
    </w:rPr>
  </w:style>
  <w:style w:type="paragraph" w:styleId="TOC8">
    <w:name w:val="toc 8"/>
    <w:basedOn w:val="Normal"/>
    <w:next w:val="Normal"/>
    <w:autoRedefine/>
    <w:uiPriority w:val="39"/>
    <w:rsid w:val="00016887"/>
    <w:pPr>
      <w:tabs>
        <w:tab w:val="left" w:pos="851"/>
        <w:tab w:val="left" w:pos="1134"/>
        <w:tab w:val="right" w:leader="dot" w:pos="9027"/>
      </w:tabs>
      <w:spacing w:before="120" w:after="120"/>
      <w:ind w:left="851" w:right="851"/>
      <w:jc w:val="left"/>
    </w:pPr>
    <w:rPr>
      <w:rFonts w:eastAsia="Calibri" w:cs="Times New Roman"/>
      <w:szCs w:val="18"/>
      <w:lang w:eastAsia="en-GB"/>
    </w:rPr>
  </w:style>
  <w:style w:type="paragraph" w:styleId="TOC9">
    <w:name w:val="toc 9"/>
    <w:basedOn w:val="Normal"/>
    <w:next w:val="Normal"/>
    <w:autoRedefine/>
    <w:uiPriority w:val="39"/>
    <w:rsid w:val="00016887"/>
    <w:pPr>
      <w:tabs>
        <w:tab w:val="left" w:pos="851"/>
        <w:tab w:val="left" w:pos="1134"/>
        <w:tab w:val="left" w:pos="1418"/>
        <w:tab w:val="right" w:leader="dot" w:pos="9027"/>
      </w:tabs>
      <w:spacing w:before="120" w:after="120"/>
      <w:ind w:left="1134" w:right="851"/>
      <w:jc w:val="left"/>
    </w:pPr>
    <w:rPr>
      <w:rFonts w:eastAsia="Calibri" w:cs="Times New Roman"/>
      <w:szCs w:val="18"/>
      <w:lang w:eastAsia="en-GB"/>
    </w:rPr>
  </w:style>
  <w:style w:type="paragraph" w:styleId="TOCHeading">
    <w:name w:val="TOC Heading"/>
    <w:basedOn w:val="Normal"/>
    <w:next w:val="Normal"/>
    <w:uiPriority w:val="39"/>
    <w:qFormat/>
    <w:rsid w:val="00016887"/>
    <w:pPr>
      <w:spacing w:before="240"/>
      <w:jc w:val="center"/>
    </w:pPr>
    <w:rPr>
      <w:rFonts w:eastAsia="Times New Roman" w:cs="Times New Roman"/>
      <w:b/>
      <w:bCs/>
      <w:szCs w:val="28"/>
      <w:lang w:eastAsia="en-GB"/>
    </w:rPr>
  </w:style>
  <w:style w:type="table" w:customStyle="1" w:styleId="WTOBox1">
    <w:name w:val="WTOBox1"/>
    <w:basedOn w:val="TableNormal"/>
    <w:uiPriority w:val="99"/>
    <w:rsid w:val="00016887"/>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016887"/>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table" w:customStyle="1" w:styleId="WTOTable2">
    <w:name w:val="WTOTable2"/>
    <w:basedOn w:val="TableNormal"/>
    <w:uiPriority w:val="99"/>
    <w:rsid w:val="00016887"/>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customStyle="1" w:styleId="TitlePublication">
    <w:name w:val="Title Publication"/>
    <w:basedOn w:val="Normal"/>
    <w:uiPriority w:val="49"/>
    <w:qFormat/>
    <w:rsid w:val="00016887"/>
    <w:pPr>
      <w:keepNext/>
      <w:keepLines/>
      <w:spacing w:after="240"/>
      <w:jc w:val="left"/>
    </w:pPr>
    <w:rPr>
      <w:rFonts w:eastAsia="Times New Roman" w:cs="Times New Roman"/>
      <w:b/>
      <w:caps/>
      <w:color w:val="006283"/>
      <w:sz w:val="28"/>
      <w:lang w:val="x-none"/>
    </w:rPr>
  </w:style>
  <w:style w:type="paragraph" w:styleId="TOAHeading">
    <w:name w:val="toa heading"/>
    <w:basedOn w:val="Normal"/>
    <w:next w:val="Normal"/>
    <w:uiPriority w:val="39"/>
    <w:unhideWhenUsed/>
    <w:rsid w:val="00016887"/>
    <w:pPr>
      <w:spacing w:before="120"/>
    </w:pPr>
    <w:rPr>
      <w:rFonts w:asciiTheme="majorHAnsi" w:eastAsiaTheme="majorEastAsia" w:hAnsiTheme="majorHAnsi" w:cstheme="majorBidi"/>
      <w:b/>
      <w:bCs/>
      <w:sz w:val="24"/>
      <w:szCs w:val="24"/>
    </w:rPr>
  </w:style>
  <w:style w:type="table" w:styleId="TableGrid">
    <w:name w:val="Table Grid"/>
    <w:basedOn w:val="TableNormal"/>
    <w:uiPriority w:val="59"/>
    <w:rsid w:val="0001688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016887"/>
    <w:pPr>
      <w:tabs>
        <w:tab w:val="left" w:pos="851"/>
      </w:tabs>
      <w:ind w:left="851" w:hanging="851"/>
      <w:jc w:val="left"/>
    </w:pPr>
    <w:rPr>
      <w:sz w:val="16"/>
    </w:rPr>
  </w:style>
  <w:style w:type="character" w:styleId="Hyperlink">
    <w:name w:val="Hyperlink"/>
    <w:basedOn w:val="DefaultParagraphFont"/>
    <w:uiPriority w:val="99"/>
    <w:unhideWhenUsed/>
    <w:rsid w:val="00016887"/>
    <w:rPr>
      <w:color w:val="0000FF" w:themeColor="hyperlink"/>
      <w:u w:val="single"/>
    </w:rPr>
  </w:style>
  <w:style w:type="paragraph" w:styleId="Bibliography">
    <w:name w:val="Bibliography"/>
    <w:basedOn w:val="Normal"/>
    <w:next w:val="Normal"/>
    <w:uiPriority w:val="49"/>
    <w:semiHidden/>
    <w:unhideWhenUsed/>
    <w:rsid w:val="00016887"/>
  </w:style>
  <w:style w:type="paragraph" w:styleId="BlockText">
    <w:name w:val="Block Text"/>
    <w:basedOn w:val="Normal"/>
    <w:uiPriority w:val="99"/>
    <w:semiHidden/>
    <w:unhideWhenUsed/>
    <w:rsid w:val="00016887"/>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BodyTextFirstIndent">
    <w:name w:val="Body Text First Indent"/>
    <w:basedOn w:val="BodyText"/>
    <w:uiPriority w:val="99"/>
    <w:semiHidden/>
    <w:unhideWhenUsed/>
    <w:rsid w:val="00016887"/>
    <w:pPr>
      <w:numPr>
        <w:ilvl w:val="0"/>
        <w:numId w:val="0"/>
      </w:numPr>
      <w:spacing w:after="0"/>
      <w:ind w:firstLine="360"/>
    </w:pPr>
  </w:style>
  <w:style w:type="paragraph" w:styleId="BodyTextIndent">
    <w:name w:val="Body Text Indent"/>
    <w:basedOn w:val="Normal"/>
    <w:uiPriority w:val="99"/>
    <w:semiHidden/>
    <w:unhideWhenUsed/>
    <w:rsid w:val="00016887"/>
    <w:pPr>
      <w:spacing w:after="120"/>
      <w:ind w:left="283"/>
    </w:pPr>
  </w:style>
  <w:style w:type="paragraph" w:styleId="BodyTextFirstIndent2">
    <w:name w:val="Body Text First Indent 2"/>
    <w:basedOn w:val="BodyTextIndent"/>
    <w:uiPriority w:val="99"/>
    <w:semiHidden/>
    <w:unhideWhenUsed/>
    <w:rsid w:val="00016887"/>
    <w:pPr>
      <w:spacing w:after="0"/>
      <w:ind w:left="360" w:firstLine="360"/>
    </w:pPr>
  </w:style>
  <w:style w:type="paragraph" w:styleId="BodyTextIndent2">
    <w:name w:val="Body Text Indent 2"/>
    <w:basedOn w:val="Normal"/>
    <w:uiPriority w:val="99"/>
    <w:semiHidden/>
    <w:unhideWhenUsed/>
    <w:rsid w:val="00016887"/>
    <w:pPr>
      <w:spacing w:after="120" w:line="480" w:lineRule="auto"/>
      <w:ind w:left="283"/>
    </w:pPr>
  </w:style>
  <w:style w:type="paragraph" w:styleId="BodyTextIndent3">
    <w:name w:val="Body Text Indent 3"/>
    <w:basedOn w:val="Normal"/>
    <w:uiPriority w:val="99"/>
    <w:semiHidden/>
    <w:unhideWhenUsed/>
    <w:rsid w:val="00016887"/>
    <w:pPr>
      <w:spacing w:after="120"/>
      <w:ind w:left="283"/>
    </w:pPr>
    <w:rPr>
      <w:sz w:val="16"/>
      <w:szCs w:val="16"/>
    </w:rPr>
  </w:style>
  <w:style w:type="character" w:styleId="BookTitle">
    <w:name w:val="Book Title"/>
    <w:basedOn w:val="DefaultParagraphFont"/>
    <w:uiPriority w:val="99"/>
    <w:semiHidden/>
    <w:qFormat/>
    <w:rsid w:val="00016887"/>
    <w:rPr>
      <w:b/>
      <w:bCs/>
      <w:smallCaps/>
      <w:spacing w:val="5"/>
    </w:rPr>
  </w:style>
  <w:style w:type="paragraph" w:styleId="Closing">
    <w:name w:val="Closing"/>
    <w:basedOn w:val="Normal"/>
    <w:uiPriority w:val="99"/>
    <w:semiHidden/>
    <w:unhideWhenUsed/>
    <w:rsid w:val="00016887"/>
    <w:pPr>
      <w:ind w:left="4252"/>
    </w:pPr>
  </w:style>
  <w:style w:type="character" w:styleId="CommentReference">
    <w:name w:val="annotation reference"/>
    <w:basedOn w:val="DefaultParagraphFont"/>
    <w:uiPriority w:val="99"/>
    <w:semiHidden/>
    <w:unhideWhenUsed/>
    <w:rsid w:val="00016887"/>
    <w:rPr>
      <w:sz w:val="16"/>
      <w:szCs w:val="16"/>
    </w:rPr>
  </w:style>
  <w:style w:type="paragraph" w:styleId="CommentText">
    <w:name w:val="annotation text"/>
    <w:basedOn w:val="Normal"/>
    <w:uiPriority w:val="99"/>
    <w:unhideWhenUsed/>
    <w:rsid w:val="00016887"/>
    <w:rPr>
      <w:sz w:val="20"/>
      <w:szCs w:val="20"/>
    </w:rPr>
  </w:style>
  <w:style w:type="paragraph" w:styleId="CommentSubject">
    <w:name w:val="annotation subject"/>
    <w:basedOn w:val="CommentText"/>
    <w:next w:val="CommentText"/>
    <w:uiPriority w:val="99"/>
    <w:unhideWhenUsed/>
    <w:rsid w:val="00016887"/>
    <w:rPr>
      <w:b/>
      <w:bCs/>
    </w:rPr>
  </w:style>
  <w:style w:type="paragraph" w:styleId="Date">
    <w:name w:val="Date"/>
    <w:basedOn w:val="Normal"/>
    <w:next w:val="Normal"/>
    <w:uiPriority w:val="99"/>
    <w:semiHidden/>
    <w:unhideWhenUsed/>
    <w:rsid w:val="00016887"/>
  </w:style>
  <w:style w:type="paragraph" w:styleId="DocumentMap">
    <w:name w:val="Document Map"/>
    <w:basedOn w:val="Normal"/>
    <w:uiPriority w:val="99"/>
    <w:semiHidden/>
    <w:unhideWhenUsed/>
    <w:rsid w:val="00016887"/>
    <w:rPr>
      <w:rFonts w:ascii="Tahoma" w:hAnsi="Tahoma" w:cs="Tahoma"/>
      <w:sz w:val="16"/>
      <w:szCs w:val="16"/>
    </w:rPr>
  </w:style>
  <w:style w:type="paragraph" w:styleId="E-mailSignature">
    <w:name w:val="E-mail Signature"/>
    <w:basedOn w:val="Normal"/>
    <w:uiPriority w:val="99"/>
    <w:semiHidden/>
    <w:unhideWhenUsed/>
    <w:rsid w:val="00016887"/>
  </w:style>
  <w:style w:type="character" w:styleId="Emphasis">
    <w:name w:val="Emphasis"/>
    <w:basedOn w:val="DefaultParagraphFont"/>
    <w:uiPriority w:val="99"/>
    <w:semiHidden/>
    <w:qFormat/>
    <w:rsid w:val="00016887"/>
    <w:rPr>
      <w:i/>
      <w:iCs/>
    </w:rPr>
  </w:style>
  <w:style w:type="paragraph" w:styleId="EnvelopeAddress">
    <w:name w:val="envelope address"/>
    <w:basedOn w:val="Normal"/>
    <w:uiPriority w:val="99"/>
    <w:semiHidden/>
    <w:unhideWhenUsed/>
    <w:rsid w:val="00016887"/>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016887"/>
    <w:rPr>
      <w:rFonts w:asciiTheme="majorHAnsi" w:eastAsiaTheme="majorEastAsia" w:hAnsiTheme="majorHAnsi" w:cstheme="majorBidi"/>
      <w:sz w:val="20"/>
      <w:szCs w:val="20"/>
    </w:rPr>
  </w:style>
  <w:style w:type="character" w:styleId="FollowedHyperlink">
    <w:name w:val="FollowedHyperlink"/>
    <w:basedOn w:val="DefaultParagraphFont"/>
    <w:uiPriority w:val="9"/>
    <w:unhideWhenUsed/>
    <w:rsid w:val="00016887"/>
    <w:rPr>
      <w:color w:val="800080" w:themeColor="followedHyperlink"/>
      <w:u w:val="single"/>
    </w:rPr>
  </w:style>
  <w:style w:type="character" w:styleId="HTMLAcronym">
    <w:name w:val="HTML Acronym"/>
    <w:basedOn w:val="DefaultParagraphFont"/>
    <w:uiPriority w:val="99"/>
    <w:semiHidden/>
    <w:unhideWhenUsed/>
    <w:rsid w:val="00016887"/>
  </w:style>
  <w:style w:type="paragraph" w:styleId="HTMLAddress">
    <w:name w:val="HTML Address"/>
    <w:basedOn w:val="Normal"/>
    <w:uiPriority w:val="99"/>
    <w:semiHidden/>
    <w:unhideWhenUsed/>
    <w:rsid w:val="00016887"/>
    <w:rPr>
      <w:i/>
      <w:iCs/>
    </w:rPr>
  </w:style>
  <w:style w:type="character" w:styleId="HTMLCite">
    <w:name w:val="HTML Cite"/>
    <w:basedOn w:val="DefaultParagraphFont"/>
    <w:uiPriority w:val="99"/>
    <w:semiHidden/>
    <w:unhideWhenUsed/>
    <w:rsid w:val="00016887"/>
    <w:rPr>
      <w:i/>
      <w:iCs/>
    </w:rPr>
  </w:style>
  <w:style w:type="character" w:styleId="HTMLCode">
    <w:name w:val="HTML Code"/>
    <w:basedOn w:val="DefaultParagraphFont"/>
    <w:uiPriority w:val="99"/>
    <w:semiHidden/>
    <w:unhideWhenUsed/>
    <w:rsid w:val="00016887"/>
    <w:rPr>
      <w:rFonts w:ascii="Consolas" w:hAnsi="Consolas" w:cs="Consolas"/>
      <w:sz w:val="20"/>
      <w:szCs w:val="20"/>
    </w:rPr>
  </w:style>
  <w:style w:type="character" w:styleId="HTMLDefinition">
    <w:name w:val="HTML Definition"/>
    <w:basedOn w:val="DefaultParagraphFont"/>
    <w:uiPriority w:val="99"/>
    <w:semiHidden/>
    <w:unhideWhenUsed/>
    <w:rsid w:val="00016887"/>
    <w:rPr>
      <w:i/>
      <w:iCs/>
    </w:rPr>
  </w:style>
  <w:style w:type="character" w:styleId="HTMLKeyboard">
    <w:name w:val="HTML Keyboard"/>
    <w:basedOn w:val="DefaultParagraphFont"/>
    <w:uiPriority w:val="99"/>
    <w:semiHidden/>
    <w:unhideWhenUsed/>
    <w:rsid w:val="00016887"/>
    <w:rPr>
      <w:rFonts w:ascii="Consolas" w:hAnsi="Consolas" w:cs="Consolas"/>
      <w:sz w:val="20"/>
      <w:szCs w:val="20"/>
    </w:rPr>
  </w:style>
  <w:style w:type="paragraph" w:styleId="HTMLPreformatted">
    <w:name w:val="HTML Preformatted"/>
    <w:basedOn w:val="Normal"/>
    <w:uiPriority w:val="99"/>
    <w:semiHidden/>
    <w:unhideWhenUsed/>
    <w:rsid w:val="00016887"/>
    <w:rPr>
      <w:rFonts w:ascii="Consolas" w:hAnsi="Consolas" w:cs="Consolas"/>
      <w:sz w:val="20"/>
      <w:szCs w:val="20"/>
    </w:rPr>
  </w:style>
  <w:style w:type="character" w:styleId="HTMLSample">
    <w:name w:val="HTML Sample"/>
    <w:basedOn w:val="DefaultParagraphFont"/>
    <w:uiPriority w:val="99"/>
    <w:semiHidden/>
    <w:unhideWhenUsed/>
    <w:rsid w:val="00016887"/>
    <w:rPr>
      <w:rFonts w:ascii="Consolas" w:hAnsi="Consolas" w:cs="Consolas"/>
      <w:sz w:val="24"/>
      <w:szCs w:val="24"/>
    </w:rPr>
  </w:style>
  <w:style w:type="character" w:styleId="HTMLTypewriter">
    <w:name w:val="HTML Typewriter"/>
    <w:basedOn w:val="DefaultParagraphFont"/>
    <w:uiPriority w:val="99"/>
    <w:semiHidden/>
    <w:unhideWhenUsed/>
    <w:rsid w:val="00016887"/>
    <w:rPr>
      <w:rFonts w:ascii="Consolas" w:hAnsi="Consolas" w:cs="Consolas"/>
      <w:sz w:val="20"/>
      <w:szCs w:val="20"/>
    </w:rPr>
  </w:style>
  <w:style w:type="character" w:styleId="HTMLVariable">
    <w:name w:val="HTML Variable"/>
    <w:basedOn w:val="DefaultParagraphFont"/>
    <w:uiPriority w:val="99"/>
    <w:semiHidden/>
    <w:unhideWhenUsed/>
    <w:rsid w:val="00016887"/>
    <w:rPr>
      <w:i/>
      <w:iCs/>
    </w:rPr>
  </w:style>
  <w:style w:type="paragraph" w:styleId="Index1">
    <w:name w:val="index 1"/>
    <w:basedOn w:val="Normal"/>
    <w:next w:val="Normal"/>
    <w:autoRedefine/>
    <w:uiPriority w:val="99"/>
    <w:semiHidden/>
    <w:unhideWhenUsed/>
    <w:rsid w:val="00016887"/>
    <w:pPr>
      <w:ind w:left="180" w:hanging="180"/>
    </w:pPr>
  </w:style>
  <w:style w:type="paragraph" w:styleId="Index2">
    <w:name w:val="index 2"/>
    <w:basedOn w:val="Normal"/>
    <w:next w:val="Normal"/>
    <w:autoRedefine/>
    <w:uiPriority w:val="99"/>
    <w:semiHidden/>
    <w:unhideWhenUsed/>
    <w:rsid w:val="00016887"/>
    <w:pPr>
      <w:ind w:left="360" w:hanging="180"/>
    </w:pPr>
  </w:style>
  <w:style w:type="paragraph" w:styleId="Index3">
    <w:name w:val="index 3"/>
    <w:basedOn w:val="Normal"/>
    <w:next w:val="Normal"/>
    <w:autoRedefine/>
    <w:uiPriority w:val="99"/>
    <w:semiHidden/>
    <w:unhideWhenUsed/>
    <w:rsid w:val="00016887"/>
    <w:pPr>
      <w:ind w:left="540" w:hanging="180"/>
    </w:pPr>
  </w:style>
  <w:style w:type="paragraph" w:styleId="Index4">
    <w:name w:val="index 4"/>
    <w:basedOn w:val="Normal"/>
    <w:next w:val="Normal"/>
    <w:autoRedefine/>
    <w:uiPriority w:val="99"/>
    <w:semiHidden/>
    <w:unhideWhenUsed/>
    <w:rsid w:val="00016887"/>
    <w:pPr>
      <w:ind w:left="720" w:hanging="180"/>
    </w:pPr>
  </w:style>
  <w:style w:type="paragraph" w:styleId="Index5">
    <w:name w:val="index 5"/>
    <w:basedOn w:val="Normal"/>
    <w:next w:val="Normal"/>
    <w:autoRedefine/>
    <w:uiPriority w:val="99"/>
    <w:semiHidden/>
    <w:unhideWhenUsed/>
    <w:rsid w:val="00016887"/>
    <w:pPr>
      <w:ind w:left="900" w:hanging="180"/>
    </w:pPr>
  </w:style>
  <w:style w:type="paragraph" w:styleId="Index6">
    <w:name w:val="index 6"/>
    <w:basedOn w:val="Normal"/>
    <w:next w:val="Normal"/>
    <w:autoRedefine/>
    <w:uiPriority w:val="99"/>
    <w:semiHidden/>
    <w:unhideWhenUsed/>
    <w:rsid w:val="00016887"/>
    <w:pPr>
      <w:ind w:left="1080" w:hanging="180"/>
    </w:pPr>
  </w:style>
  <w:style w:type="paragraph" w:styleId="Index7">
    <w:name w:val="index 7"/>
    <w:basedOn w:val="Normal"/>
    <w:next w:val="Normal"/>
    <w:autoRedefine/>
    <w:uiPriority w:val="99"/>
    <w:semiHidden/>
    <w:unhideWhenUsed/>
    <w:rsid w:val="00016887"/>
    <w:pPr>
      <w:ind w:left="1260" w:hanging="180"/>
    </w:pPr>
  </w:style>
  <w:style w:type="paragraph" w:styleId="Index8">
    <w:name w:val="index 8"/>
    <w:basedOn w:val="Normal"/>
    <w:next w:val="Normal"/>
    <w:autoRedefine/>
    <w:uiPriority w:val="99"/>
    <w:semiHidden/>
    <w:unhideWhenUsed/>
    <w:rsid w:val="00016887"/>
    <w:pPr>
      <w:ind w:left="1440" w:hanging="180"/>
    </w:pPr>
  </w:style>
  <w:style w:type="paragraph" w:styleId="Index9">
    <w:name w:val="index 9"/>
    <w:basedOn w:val="Normal"/>
    <w:next w:val="Normal"/>
    <w:autoRedefine/>
    <w:uiPriority w:val="99"/>
    <w:semiHidden/>
    <w:unhideWhenUsed/>
    <w:rsid w:val="00016887"/>
    <w:pPr>
      <w:ind w:left="1620" w:hanging="180"/>
    </w:pPr>
  </w:style>
  <w:style w:type="paragraph" w:styleId="IndexHeading">
    <w:name w:val="index heading"/>
    <w:basedOn w:val="Normal"/>
    <w:next w:val="Index1"/>
    <w:uiPriority w:val="99"/>
    <w:semiHidden/>
    <w:unhideWhenUsed/>
    <w:rsid w:val="00016887"/>
    <w:rPr>
      <w:rFonts w:asciiTheme="majorHAnsi" w:eastAsiaTheme="majorEastAsia" w:hAnsiTheme="majorHAnsi" w:cstheme="majorBidi"/>
      <w:b/>
      <w:bCs/>
    </w:rPr>
  </w:style>
  <w:style w:type="character" w:styleId="IntenseEmphasis">
    <w:name w:val="Intense Emphasis"/>
    <w:basedOn w:val="DefaultParagraphFont"/>
    <w:uiPriority w:val="99"/>
    <w:semiHidden/>
    <w:qFormat/>
    <w:rsid w:val="00016887"/>
    <w:rPr>
      <w:b/>
      <w:bCs/>
      <w:i/>
      <w:iCs/>
      <w:color w:val="4F81BD" w:themeColor="accent1"/>
    </w:rPr>
  </w:style>
  <w:style w:type="paragraph" w:styleId="IntenseQuote">
    <w:name w:val="Intense Quote"/>
    <w:basedOn w:val="Normal"/>
    <w:next w:val="Normal"/>
    <w:uiPriority w:val="59"/>
    <w:semiHidden/>
    <w:qFormat/>
    <w:rsid w:val="00016887"/>
    <w:pPr>
      <w:pBdr>
        <w:bottom w:val="single" w:sz="4" w:space="4" w:color="4F81BD" w:themeColor="accent1"/>
      </w:pBdr>
      <w:spacing w:before="200" w:after="280"/>
      <w:ind w:left="936" w:right="936"/>
    </w:pPr>
    <w:rPr>
      <w:b/>
      <w:bCs/>
      <w:i/>
      <w:iCs/>
      <w:color w:val="4F81BD" w:themeColor="accent1"/>
    </w:rPr>
  </w:style>
  <w:style w:type="character" w:styleId="IntenseReference">
    <w:name w:val="Intense Reference"/>
    <w:basedOn w:val="DefaultParagraphFont"/>
    <w:uiPriority w:val="99"/>
    <w:semiHidden/>
    <w:qFormat/>
    <w:rsid w:val="00016887"/>
    <w:rPr>
      <w:b/>
      <w:bCs/>
      <w:smallCaps/>
      <w:color w:val="C0504D" w:themeColor="accent2"/>
      <w:spacing w:val="5"/>
      <w:u w:val="single"/>
    </w:rPr>
  </w:style>
  <w:style w:type="character" w:styleId="LineNumber">
    <w:name w:val="line number"/>
    <w:basedOn w:val="DefaultParagraphFont"/>
    <w:uiPriority w:val="99"/>
    <w:semiHidden/>
    <w:unhideWhenUsed/>
    <w:rsid w:val="00016887"/>
  </w:style>
  <w:style w:type="paragraph" w:styleId="List">
    <w:name w:val="List"/>
    <w:basedOn w:val="Normal"/>
    <w:uiPriority w:val="99"/>
    <w:semiHidden/>
    <w:unhideWhenUsed/>
    <w:rsid w:val="00016887"/>
    <w:pPr>
      <w:ind w:left="283" w:hanging="283"/>
      <w:contextualSpacing/>
    </w:pPr>
  </w:style>
  <w:style w:type="paragraph" w:styleId="List2">
    <w:name w:val="List 2"/>
    <w:basedOn w:val="Normal"/>
    <w:uiPriority w:val="99"/>
    <w:semiHidden/>
    <w:unhideWhenUsed/>
    <w:rsid w:val="00016887"/>
    <w:pPr>
      <w:ind w:left="566" w:hanging="283"/>
      <w:contextualSpacing/>
    </w:pPr>
  </w:style>
  <w:style w:type="paragraph" w:styleId="List3">
    <w:name w:val="List 3"/>
    <w:basedOn w:val="Normal"/>
    <w:uiPriority w:val="99"/>
    <w:semiHidden/>
    <w:unhideWhenUsed/>
    <w:rsid w:val="00016887"/>
    <w:pPr>
      <w:ind w:left="849" w:hanging="283"/>
      <w:contextualSpacing/>
    </w:pPr>
  </w:style>
  <w:style w:type="paragraph" w:styleId="List4">
    <w:name w:val="List 4"/>
    <w:basedOn w:val="Normal"/>
    <w:uiPriority w:val="99"/>
    <w:semiHidden/>
    <w:unhideWhenUsed/>
    <w:rsid w:val="00016887"/>
    <w:pPr>
      <w:ind w:left="1132" w:hanging="283"/>
      <w:contextualSpacing/>
    </w:pPr>
  </w:style>
  <w:style w:type="paragraph" w:styleId="List5">
    <w:name w:val="List 5"/>
    <w:basedOn w:val="Normal"/>
    <w:uiPriority w:val="99"/>
    <w:semiHidden/>
    <w:unhideWhenUsed/>
    <w:rsid w:val="00016887"/>
    <w:pPr>
      <w:ind w:left="1415" w:hanging="283"/>
      <w:contextualSpacing/>
    </w:pPr>
  </w:style>
  <w:style w:type="paragraph" w:styleId="ListContinue">
    <w:name w:val="List Continue"/>
    <w:basedOn w:val="Normal"/>
    <w:uiPriority w:val="99"/>
    <w:semiHidden/>
    <w:unhideWhenUsed/>
    <w:rsid w:val="00016887"/>
    <w:pPr>
      <w:spacing w:after="120"/>
      <w:ind w:left="283"/>
      <w:contextualSpacing/>
    </w:pPr>
  </w:style>
  <w:style w:type="paragraph" w:styleId="ListContinue2">
    <w:name w:val="List Continue 2"/>
    <w:basedOn w:val="Normal"/>
    <w:uiPriority w:val="99"/>
    <w:semiHidden/>
    <w:unhideWhenUsed/>
    <w:rsid w:val="00016887"/>
    <w:pPr>
      <w:spacing w:after="120"/>
      <w:ind w:left="566"/>
      <w:contextualSpacing/>
    </w:pPr>
  </w:style>
  <w:style w:type="paragraph" w:styleId="ListContinue3">
    <w:name w:val="List Continue 3"/>
    <w:basedOn w:val="Normal"/>
    <w:uiPriority w:val="99"/>
    <w:semiHidden/>
    <w:unhideWhenUsed/>
    <w:rsid w:val="00016887"/>
    <w:pPr>
      <w:spacing w:after="120"/>
      <w:ind w:left="849"/>
      <w:contextualSpacing/>
    </w:pPr>
  </w:style>
  <w:style w:type="paragraph" w:styleId="ListContinue4">
    <w:name w:val="List Continue 4"/>
    <w:basedOn w:val="Normal"/>
    <w:uiPriority w:val="99"/>
    <w:semiHidden/>
    <w:unhideWhenUsed/>
    <w:rsid w:val="00016887"/>
    <w:pPr>
      <w:spacing w:after="120"/>
      <w:ind w:left="1132"/>
      <w:contextualSpacing/>
    </w:pPr>
  </w:style>
  <w:style w:type="paragraph" w:styleId="ListContinue5">
    <w:name w:val="List Continue 5"/>
    <w:basedOn w:val="Normal"/>
    <w:uiPriority w:val="99"/>
    <w:semiHidden/>
    <w:unhideWhenUsed/>
    <w:rsid w:val="00016887"/>
    <w:pPr>
      <w:spacing w:after="120"/>
      <w:ind w:left="1415"/>
      <w:contextualSpacing/>
    </w:pPr>
  </w:style>
  <w:style w:type="paragraph" w:styleId="ListNumber">
    <w:name w:val="List Number"/>
    <w:basedOn w:val="Normal"/>
    <w:uiPriority w:val="49"/>
    <w:semiHidden/>
    <w:unhideWhenUsed/>
    <w:rsid w:val="00016887"/>
    <w:pPr>
      <w:numPr>
        <w:numId w:val="1"/>
      </w:numPr>
      <w:contextualSpacing/>
    </w:pPr>
  </w:style>
  <w:style w:type="paragraph" w:styleId="ListNumber2">
    <w:name w:val="List Number 2"/>
    <w:basedOn w:val="Normal"/>
    <w:uiPriority w:val="49"/>
    <w:semiHidden/>
    <w:unhideWhenUsed/>
    <w:rsid w:val="00016887"/>
    <w:pPr>
      <w:numPr>
        <w:numId w:val="2"/>
      </w:numPr>
      <w:contextualSpacing/>
    </w:pPr>
  </w:style>
  <w:style w:type="paragraph" w:styleId="ListNumber3">
    <w:name w:val="List Number 3"/>
    <w:basedOn w:val="Normal"/>
    <w:uiPriority w:val="49"/>
    <w:semiHidden/>
    <w:unhideWhenUsed/>
    <w:rsid w:val="00016887"/>
    <w:pPr>
      <w:numPr>
        <w:numId w:val="30"/>
      </w:numPr>
      <w:contextualSpacing/>
    </w:pPr>
  </w:style>
  <w:style w:type="paragraph" w:styleId="ListNumber4">
    <w:name w:val="List Number 4"/>
    <w:basedOn w:val="Normal"/>
    <w:uiPriority w:val="49"/>
    <w:semiHidden/>
    <w:unhideWhenUsed/>
    <w:rsid w:val="00016887"/>
    <w:pPr>
      <w:numPr>
        <w:numId w:val="3"/>
      </w:numPr>
      <w:contextualSpacing/>
    </w:pPr>
  </w:style>
  <w:style w:type="paragraph" w:styleId="ListNumber5">
    <w:name w:val="List Number 5"/>
    <w:basedOn w:val="Normal"/>
    <w:uiPriority w:val="49"/>
    <w:semiHidden/>
    <w:unhideWhenUsed/>
    <w:rsid w:val="00016887"/>
    <w:pPr>
      <w:numPr>
        <w:numId w:val="4"/>
      </w:numPr>
      <w:contextualSpacing/>
    </w:pPr>
  </w:style>
  <w:style w:type="paragraph" w:styleId="MacroText">
    <w:name w:val="macro"/>
    <w:uiPriority w:val="99"/>
    <w:semiHidden/>
    <w:unhideWhenUsed/>
    <w:rsid w:val="00016887"/>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HAnsi" w:hAnsi="Consolas" w:cs="Consolas"/>
      <w:lang w:eastAsia="en-US"/>
    </w:rPr>
  </w:style>
  <w:style w:type="paragraph" w:styleId="MessageHeader">
    <w:name w:val="Message Header"/>
    <w:basedOn w:val="Normal"/>
    <w:uiPriority w:val="99"/>
    <w:semiHidden/>
    <w:unhideWhenUsed/>
    <w:rsid w:val="00016887"/>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paragraph" w:styleId="NoSpacing">
    <w:name w:val="No Spacing"/>
    <w:uiPriority w:val="1"/>
    <w:semiHidden/>
    <w:qFormat/>
    <w:rsid w:val="00016887"/>
    <w:pPr>
      <w:jc w:val="both"/>
    </w:pPr>
    <w:rPr>
      <w:rFonts w:ascii="Verdana" w:eastAsiaTheme="minorHAnsi" w:hAnsi="Verdana" w:cstheme="minorBidi"/>
      <w:sz w:val="18"/>
      <w:szCs w:val="22"/>
      <w:lang w:eastAsia="en-US"/>
    </w:rPr>
  </w:style>
  <w:style w:type="paragraph" w:styleId="NormalWeb">
    <w:name w:val="Normal (Web)"/>
    <w:basedOn w:val="Normal"/>
    <w:uiPriority w:val="99"/>
    <w:semiHidden/>
    <w:unhideWhenUsed/>
    <w:rsid w:val="00016887"/>
    <w:rPr>
      <w:rFonts w:ascii="Times New Roman" w:hAnsi="Times New Roman" w:cs="Times New Roman"/>
      <w:sz w:val="24"/>
      <w:szCs w:val="24"/>
    </w:rPr>
  </w:style>
  <w:style w:type="paragraph" w:styleId="NormalIndent">
    <w:name w:val="Normal Indent"/>
    <w:basedOn w:val="Normal"/>
    <w:uiPriority w:val="99"/>
    <w:semiHidden/>
    <w:unhideWhenUsed/>
    <w:rsid w:val="00016887"/>
    <w:pPr>
      <w:ind w:left="567"/>
    </w:pPr>
  </w:style>
  <w:style w:type="paragraph" w:styleId="NoteHeading">
    <w:name w:val="Note Heading"/>
    <w:basedOn w:val="Normal"/>
    <w:next w:val="Normal"/>
    <w:uiPriority w:val="99"/>
    <w:semiHidden/>
    <w:unhideWhenUsed/>
    <w:rsid w:val="00016887"/>
  </w:style>
  <w:style w:type="character" w:styleId="PageNumber">
    <w:name w:val="page number"/>
    <w:basedOn w:val="DefaultParagraphFont"/>
    <w:uiPriority w:val="99"/>
    <w:semiHidden/>
    <w:unhideWhenUsed/>
    <w:rsid w:val="00016887"/>
  </w:style>
  <w:style w:type="character" w:styleId="PlaceholderText">
    <w:name w:val="Placeholder Text"/>
    <w:basedOn w:val="DefaultParagraphFont"/>
    <w:uiPriority w:val="99"/>
    <w:semiHidden/>
    <w:rsid w:val="00016887"/>
    <w:rPr>
      <w:color w:val="808080"/>
    </w:rPr>
  </w:style>
  <w:style w:type="paragraph" w:styleId="PlainText">
    <w:name w:val="Plain Text"/>
    <w:basedOn w:val="Normal"/>
    <w:uiPriority w:val="99"/>
    <w:unhideWhenUsed/>
    <w:rsid w:val="00016887"/>
    <w:rPr>
      <w:rFonts w:ascii="Consolas" w:hAnsi="Consolas" w:cs="Consolas"/>
      <w:sz w:val="21"/>
      <w:szCs w:val="21"/>
    </w:rPr>
  </w:style>
  <w:style w:type="paragraph" w:styleId="Quote">
    <w:name w:val="Quote"/>
    <w:basedOn w:val="Normal"/>
    <w:next w:val="Normal"/>
    <w:uiPriority w:val="59"/>
    <w:semiHidden/>
    <w:qFormat/>
    <w:rsid w:val="00016887"/>
    <w:rPr>
      <w:i/>
      <w:iCs/>
      <w:color w:val="000000" w:themeColor="text1"/>
    </w:rPr>
  </w:style>
  <w:style w:type="paragraph" w:styleId="Salutation">
    <w:name w:val="Salutation"/>
    <w:basedOn w:val="Normal"/>
    <w:next w:val="Normal"/>
    <w:uiPriority w:val="99"/>
    <w:semiHidden/>
    <w:unhideWhenUsed/>
    <w:rsid w:val="00016887"/>
  </w:style>
  <w:style w:type="paragraph" w:styleId="Signature">
    <w:name w:val="Signature"/>
    <w:basedOn w:val="Normal"/>
    <w:uiPriority w:val="99"/>
    <w:semiHidden/>
    <w:unhideWhenUsed/>
    <w:rsid w:val="00016887"/>
    <w:pPr>
      <w:ind w:left="4252"/>
    </w:pPr>
  </w:style>
  <w:style w:type="character" w:styleId="Strong">
    <w:name w:val="Strong"/>
    <w:basedOn w:val="DefaultParagraphFont"/>
    <w:uiPriority w:val="99"/>
    <w:semiHidden/>
    <w:qFormat/>
    <w:rsid w:val="00016887"/>
    <w:rPr>
      <w:b/>
      <w:bCs/>
    </w:rPr>
  </w:style>
  <w:style w:type="character" w:styleId="SubtleEmphasis">
    <w:name w:val="Subtle Emphasis"/>
    <w:basedOn w:val="DefaultParagraphFont"/>
    <w:uiPriority w:val="99"/>
    <w:semiHidden/>
    <w:qFormat/>
    <w:rsid w:val="00016887"/>
    <w:rPr>
      <w:i/>
      <w:iCs/>
      <w:color w:val="808080" w:themeColor="text1" w:themeTint="7F"/>
    </w:rPr>
  </w:style>
  <w:style w:type="character" w:styleId="SubtleReference">
    <w:name w:val="Subtle Reference"/>
    <w:basedOn w:val="DefaultParagraphFont"/>
    <w:uiPriority w:val="99"/>
    <w:semiHidden/>
    <w:qFormat/>
    <w:rsid w:val="00016887"/>
    <w:rPr>
      <w:smallCaps/>
      <w:color w:val="C0504D" w:themeColor="accent2"/>
      <w:u w:val="single"/>
    </w:rPr>
  </w:style>
  <w:style w:type="character" w:styleId="UnresolvedMention">
    <w:name w:val="Unresolved Mention"/>
    <w:basedOn w:val="DefaultParagraphFont"/>
    <w:uiPriority w:val="99"/>
    <w:semiHidden/>
    <w:unhideWhenUsed/>
    <w:rsid w:val="00684056"/>
    <w:rPr>
      <w:color w:val="605E5C"/>
      <w:shd w:val="clear" w:color="auto" w:fill="E1DFDD"/>
      <w:lang w:val="en-GB"/>
    </w:rPr>
  </w:style>
  <w:style w:type="paragraph" w:styleId="Revision">
    <w:name w:val="Revision"/>
    <w:hidden/>
    <w:uiPriority w:val="99"/>
    <w:semiHidden/>
    <w:rsid w:val="00EB627B"/>
    <w:rPr>
      <w:rFonts w:asciiTheme="minorHAnsi" w:eastAsiaTheme="minorHAnsi" w:hAnsiTheme="minorHAnsi" w:cstheme="minorBidi"/>
      <w:sz w:val="22"/>
      <w:szCs w:val="22"/>
      <w:lang w:eastAsia="en-US"/>
    </w:rPr>
  </w:style>
  <w:style w:type="table" w:styleId="LightShading-Accent5">
    <w:name w:val="Light Shading Accent 5"/>
    <w:basedOn w:val="TableNormal"/>
    <w:uiPriority w:val="60"/>
    <w:rsid w:val="00E439A9"/>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ColorfulGrid">
    <w:name w:val="Colorful Grid"/>
    <w:basedOn w:val="TableNormal"/>
    <w:uiPriority w:val="73"/>
    <w:semiHidden/>
    <w:unhideWhenUsed/>
    <w:rsid w:val="00E14EE6"/>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E14EE6"/>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E14EE6"/>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E14EE6"/>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E14EE6"/>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E14EE6"/>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E14EE6"/>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E14EE6"/>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E14EE6"/>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E14EE6"/>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E14EE6"/>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E14EE6"/>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E14EE6"/>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E14EE6"/>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E14EE6"/>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E14EE6"/>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E14EE6"/>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E14EE6"/>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E14EE6"/>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E14EE6"/>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E14EE6"/>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E14EE6"/>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E14EE6"/>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E14EE6"/>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E14EE6"/>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E14EE6"/>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E14EE6"/>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E14EE6"/>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GridTable1Light">
    <w:name w:val="Grid Table 1 Light"/>
    <w:basedOn w:val="TableNormal"/>
    <w:uiPriority w:val="46"/>
    <w:rsid w:val="00E14EE6"/>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E14EE6"/>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E14EE6"/>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E14EE6"/>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E14EE6"/>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E14EE6"/>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E14EE6"/>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E14EE6"/>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E14EE6"/>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E14EE6"/>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E14EE6"/>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E14EE6"/>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E14EE6"/>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E14EE6"/>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E14EE6"/>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E14EE6"/>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E14EE6"/>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E14EE6"/>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E14EE6"/>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E14EE6"/>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E14EE6"/>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E14EE6"/>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E14EE6"/>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E14EE6"/>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E14EE6"/>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E14EE6"/>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E14EE6"/>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E14EE6"/>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E14EE6"/>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E14EE6"/>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E14EE6"/>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E14EE6"/>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E14EE6"/>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E14EE6"/>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E14EE6"/>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E14EE6"/>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E14EE6"/>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E14EE6"/>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E14EE6"/>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E14EE6"/>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E14EE6"/>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E14EE6"/>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E14EE6"/>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E14EE6"/>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E14EE6"/>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E14EE6"/>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E14EE6"/>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E14EE6"/>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E14EE6"/>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Hashtag">
    <w:name w:val="Hashtag"/>
    <w:basedOn w:val="DefaultParagraphFont"/>
    <w:uiPriority w:val="99"/>
    <w:semiHidden/>
    <w:unhideWhenUsed/>
    <w:rsid w:val="00E14EE6"/>
    <w:rPr>
      <w:color w:val="2B579A"/>
      <w:shd w:val="clear" w:color="auto" w:fill="E1DFDD"/>
      <w:lang w:val="en-GB"/>
    </w:rPr>
  </w:style>
  <w:style w:type="table" w:styleId="LightGrid">
    <w:name w:val="Light Grid"/>
    <w:basedOn w:val="TableNormal"/>
    <w:uiPriority w:val="62"/>
    <w:semiHidden/>
    <w:unhideWhenUsed/>
    <w:rsid w:val="00E14EE6"/>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E14EE6"/>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E14EE6"/>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E14EE6"/>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E14EE6"/>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E14EE6"/>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E14EE6"/>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E14EE6"/>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E14EE6"/>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E14EE6"/>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E14EE6"/>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E14EE6"/>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E14EE6"/>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E14EE6"/>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unhideWhenUsed/>
    <w:rsid w:val="00E14EE6"/>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E14EE6"/>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E14EE6"/>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E14EE6"/>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E14EE6"/>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6">
    <w:name w:val="Light Shading Accent 6"/>
    <w:basedOn w:val="TableNormal"/>
    <w:uiPriority w:val="60"/>
    <w:semiHidden/>
    <w:unhideWhenUsed/>
    <w:rsid w:val="00E14EE6"/>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stTable1Light">
    <w:name w:val="List Table 1 Light"/>
    <w:basedOn w:val="TableNormal"/>
    <w:uiPriority w:val="46"/>
    <w:rsid w:val="00E14EE6"/>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E14EE6"/>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E14EE6"/>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E14EE6"/>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E14EE6"/>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E14EE6"/>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E14EE6"/>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E14EE6"/>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E14EE6"/>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E14EE6"/>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E14EE6"/>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E14EE6"/>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E14EE6"/>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E14EE6"/>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E14EE6"/>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E14EE6"/>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E14EE6"/>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E14EE6"/>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E14EE6"/>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E14EE6"/>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E14EE6"/>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E14EE6"/>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E14EE6"/>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E14EE6"/>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E14EE6"/>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E14EE6"/>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E14EE6"/>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E14EE6"/>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E14EE6"/>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E14EE6"/>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E14EE6"/>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E14EE6"/>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E14EE6"/>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E14EE6"/>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E14EE6"/>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E14EE6"/>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E14EE6"/>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E14EE6"/>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E14EE6"/>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E14EE6"/>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E14EE6"/>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E14EE6"/>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E14EE6"/>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E14EE6"/>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E14EE6"/>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E14EE6"/>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E14EE6"/>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E14EE6"/>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E14EE6"/>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unhideWhenUsed/>
    <w:rsid w:val="00E14EE6"/>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E14EE6"/>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E14EE6"/>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E14EE6"/>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E14EE6"/>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E14EE6"/>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E14EE6"/>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E14EE6"/>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E14EE6"/>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E14EE6"/>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E14EE6"/>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E14EE6"/>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E14EE6"/>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E14EE6"/>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E14EE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E14EE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E14EE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E14EE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E14EE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E14EE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E14EE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E14EE6"/>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E14EE6"/>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E14EE6"/>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E14EE6"/>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E14EE6"/>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E14EE6"/>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E14EE6"/>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E14EE6"/>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E14EE6"/>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E14EE6"/>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E14EE6"/>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E14EE6"/>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E14EE6"/>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E14EE6"/>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E14EE6"/>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E14EE6"/>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E14EE6"/>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E14EE6"/>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E14EE6"/>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E14EE6"/>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E14EE6"/>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E14EE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unhideWhenUsed/>
    <w:rsid w:val="00E14EE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rsid w:val="00E14EE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rsid w:val="00E14EE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rsid w:val="00E14EE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unhideWhenUsed/>
    <w:rsid w:val="00E14EE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unhideWhenUsed/>
    <w:rsid w:val="00E14EE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Mention">
    <w:name w:val="Mention"/>
    <w:basedOn w:val="DefaultParagraphFont"/>
    <w:uiPriority w:val="99"/>
    <w:semiHidden/>
    <w:unhideWhenUsed/>
    <w:rsid w:val="00E14EE6"/>
    <w:rPr>
      <w:color w:val="2B579A"/>
      <w:shd w:val="clear" w:color="auto" w:fill="E1DFDD"/>
      <w:lang w:val="en-GB"/>
    </w:rPr>
  </w:style>
  <w:style w:type="table" w:styleId="PlainTable1">
    <w:name w:val="Plain Table 1"/>
    <w:basedOn w:val="TableNormal"/>
    <w:uiPriority w:val="41"/>
    <w:rsid w:val="00E14EE6"/>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E14EE6"/>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E14EE6"/>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E14EE6"/>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E14EE6"/>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SmartHyperlink">
    <w:name w:val="Smart Hyperlink"/>
    <w:basedOn w:val="DefaultParagraphFont"/>
    <w:uiPriority w:val="99"/>
    <w:semiHidden/>
    <w:unhideWhenUsed/>
    <w:rsid w:val="00E14EE6"/>
    <w:rPr>
      <w:u w:val="dotted"/>
      <w:lang w:val="en-GB"/>
    </w:rPr>
  </w:style>
  <w:style w:type="character" w:styleId="SmartLink">
    <w:name w:val="Smart Link"/>
    <w:basedOn w:val="DefaultParagraphFont"/>
    <w:uiPriority w:val="99"/>
    <w:semiHidden/>
    <w:unhideWhenUsed/>
    <w:rsid w:val="00E14EE6"/>
    <w:rPr>
      <w:color w:val="0000FF"/>
      <w:u w:val="single"/>
      <w:shd w:val="clear" w:color="auto" w:fill="F3F2F1"/>
      <w:lang w:val="en-GB"/>
    </w:rPr>
  </w:style>
  <w:style w:type="table" w:styleId="Table3Deffects1">
    <w:name w:val="Table 3D effects 1"/>
    <w:basedOn w:val="TableNormal"/>
    <w:uiPriority w:val="99"/>
    <w:semiHidden/>
    <w:unhideWhenUsed/>
    <w:rsid w:val="00E14EE6"/>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E14EE6"/>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E14EE6"/>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E14EE6"/>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E14EE6"/>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E14EE6"/>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E14EE6"/>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E14EE6"/>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E14EE6"/>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E14EE6"/>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E14EE6"/>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E14EE6"/>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E14EE6"/>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E14EE6"/>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E14EE6"/>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E14EE6"/>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E14EE6"/>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E14EE6"/>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E14EE6"/>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E14EE6"/>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E14EE6"/>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E14EE6"/>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E14EE6"/>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E14EE6"/>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E14EE6"/>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E14EE6"/>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E14EE6"/>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E14EE6"/>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E14EE6"/>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E14EE6"/>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E14EE6"/>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E14EE6"/>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E14EE6"/>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E14EE6"/>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E14EE6"/>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E14EE6"/>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E14EE6"/>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E14EE6"/>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E14EE6"/>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E14EE6"/>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E14EE6"/>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E14EE6"/>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E14EE6"/>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E14EE6"/>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image" Target="media/image4.emf"/><Relationship Id="rId26" Type="http://schemas.openxmlformats.org/officeDocument/2006/relationships/hyperlink" Target="https://prodominicana.gob.do/Documentos/Mujeres%20Exportadoras%20en%20Rep%C3%BAblica%20Dominicana.pdf" TargetMode="External"/><Relationship Id="rId39" Type="http://schemas.openxmlformats.org/officeDocument/2006/relationships/image" Target="media/image10.png"/><Relationship Id="rId21" Type="http://schemas.openxmlformats.org/officeDocument/2006/relationships/header" Target="header4.xml"/><Relationship Id="rId34" Type="http://schemas.openxmlformats.org/officeDocument/2006/relationships/footer" Target="footer8.xml"/><Relationship Id="rId42" Type="http://schemas.openxmlformats.org/officeDocument/2006/relationships/hyperlink" Target="https://www.cnzfe.gob.do/index.php/es/servicios" TargetMode="External"/><Relationship Id="rId47" Type="http://schemas.openxmlformats.org/officeDocument/2006/relationships/image" Target="media/image12.emf"/><Relationship Id="rId50" Type="http://schemas.openxmlformats.org/officeDocument/2006/relationships/hyperlink" Target="https://www.dgcp.gob.do/sobre-nosotros/marco-legal/" TargetMode="External"/><Relationship Id="rId55" Type="http://schemas.openxmlformats.org/officeDocument/2006/relationships/hyperlink" Target="http://www.one.gob.do" TargetMode="External"/><Relationship Id="rId7" Type="http://schemas.openxmlformats.org/officeDocument/2006/relationships/footnotes" Target="footnotes.xml"/><Relationship Id="rId2" Type="http://schemas.openxmlformats.org/officeDocument/2006/relationships/customXml" Target="../customXml/item1.xml"/><Relationship Id="rId16" Type="http://schemas.openxmlformats.org/officeDocument/2006/relationships/image" Target="media/image2.emf"/><Relationship Id="rId20" Type="http://schemas.openxmlformats.org/officeDocument/2006/relationships/image" Target="media/image6.emf"/><Relationship Id="rId29" Type="http://schemas.openxmlformats.org/officeDocument/2006/relationships/hyperlink" Target="https://www.micm.gob.do/direcciones/comercio-exterior/acuerdos-comerciales-vigentes" TargetMode="External"/><Relationship Id="rId41" Type="http://schemas.openxmlformats.org/officeDocument/2006/relationships/hyperlink" Target="http://www.prodominicana.gob.do/" TargetMode="External"/><Relationship Id="rId54" Type="http://schemas.openxmlformats.org/officeDocument/2006/relationships/hyperlink" Target="http://www.indotel.gob.do/%20" TargetMode="External"/><Relationship Id="rId62"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oter" Target="footer4.xml"/><Relationship Id="rId32" Type="http://schemas.openxmlformats.org/officeDocument/2006/relationships/footer" Target="footer6.xml"/><Relationship Id="rId37" Type="http://schemas.openxmlformats.org/officeDocument/2006/relationships/hyperlink" Target="https://dgii.gov.do/cicloContribuyente/obligacionesTributarias/principalesImpuestos/Paginas/impuestoSelectivoConsumo.aspx" TargetMode="External"/><Relationship Id="rId40" Type="http://schemas.openxmlformats.org/officeDocument/2006/relationships/hyperlink" Target="http://www.aduanas.gob.do/" TargetMode="External"/><Relationship Id="rId45" Type="http://schemas.openxmlformats.org/officeDocument/2006/relationships/image" Target="media/image11.png"/><Relationship Id="rId53" Type="http://schemas.openxmlformats.org/officeDocument/2006/relationships/hyperlink" Target="http://www.bancentral.gov.do/" TargetMode="External"/><Relationship Id="rId58" Type="http://schemas.openxmlformats.org/officeDocument/2006/relationships/hyperlink" Target="http://www.bancentral.gov.do/" TargetMode="External"/><Relationship Id="rId5" Type="http://schemas.openxmlformats.org/officeDocument/2006/relationships/settings" Target="settings.xml"/><Relationship Id="rId15" Type="http://schemas.openxmlformats.org/officeDocument/2006/relationships/hyperlink" Target="https://www.hacienda.gob.do/wp-content/uploads/2020/08/2020-01-IF_compressed.pdf" TargetMode="External"/><Relationship Id="rId23" Type="http://schemas.openxmlformats.org/officeDocument/2006/relationships/footer" Target="footer3.xml"/><Relationship Id="rId28" Type="http://schemas.openxmlformats.org/officeDocument/2006/relationships/image" Target="media/image7.emf"/><Relationship Id="rId36" Type="http://schemas.openxmlformats.org/officeDocument/2006/relationships/image" Target="media/image8.emf"/><Relationship Id="rId49" Type="http://schemas.openxmlformats.org/officeDocument/2006/relationships/hyperlink" Target="https://www.digepres.gob.do/presupuesto/empresas-publicas/" TargetMode="External"/><Relationship Id="rId57" Type="http://schemas.openxmlformats.org/officeDocument/2006/relationships/hyperlink" Target="https://portuaria.gob.do/transparencia/estadisticas-institucionales/" TargetMode="External"/><Relationship Id="rId61"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image" Target="media/image5.emf"/><Relationship Id="rId31" Type="http://schemas.openxmlformats.org/officeDocument/2006/relationships/header" Target="header7.xml"/><Relationship Id="rId44" Type="http://schemas.openxmlformats.org/officeDocument/2006/relationships/hyperlink" Target="https://vu.formalizate.gob.do/" TargetMode="External"/><Relationship Id="rId52" Type="http://schemas.openxmlformats.org/officeDocument/2006/relationships/hyperlink" Target="https://www.superseguros.gob.do/index.php/consultas/reportes-estadisticos" TargetMode="External"/><Relationship Id="rId60" Type="http://schemas.openxmlformats.org/officeDocument/2006/relationships/hyperlink" Target="https://confotur.mitur.gob.do/wp-content/uploads/2021/11/Guia-para-acceder-incentivos-Beneficios-Ley-No158-01.pdf" TargetMode="Externa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https://www.hacienda.gob.do/wp-content/uploads/2022/05/MFMP-2022-2026-30042022-86.pdf" TargetMode="External"/><Relationship Id="rId22" Type="http://schemas.openxmlformats.org/officeDocument/2006/relationships/header" Target="header5.xml"/><Relationship Id="rId27" Type="http://schemas.openxmlformats.org/officeDocument/2006/relationships/hyperlink" Target="https://prodominicana.gob.do/Documentos/Mujeres%20en%20Exportacion.pdf" TargetMode="External"/><Relationship Id="rId30" Type="http://schemas.openxmlformats.org/officeDocument/2006/relationships/header" Target="header6.xml"/><Relationship Id="rId35" Type="http://schemas.openxmlformats.org/officeDocument/2006/relationships/hyperlink" Target="http://www.aduanas.gob.do/" TargetMode="External"/><Relationship Id="rId43" Type="http://schemas.openxmlformats.org/officeDocument/2006/relationships/hyperlink" Target="https://www.digepres.gob.do/wp-content/uploads/2021/10/Gastos-Tributarios.pdf" TargetMode="External"/><Relationship Id="rId48" Type="http://schemas.openxmlformats.org/officeDocument/2006/relationships/image" Target="media/image13.emf"/><Relationship Id="rId56" Type="http://schemas.openxmlformats.org/officeDocument/2006/relationships/hyperlink" Target="https://jac.gob.do/index.php/publicacion/cuadro-de-acuerdos" TargetMode="External"/><Relationship Id="rId8" Type="http://schemas.openxmlformats.org/officeDocument/2006/relationships/endnotes" Target="endnotes.xml"/><Relationship Id="rId51" Type="http://schemas.openxmlformats.org/officeDocument/2006/relationships/image" Target="media/image14.emf"/><Relationship Id="rId3" Type="http://schemas.openxmlformats.org/officeDocument/2006/relationships/numbering" Target="numbering.xml"/><Relationship Id="rId12" Type="http://schemas.openxmlformats.org/officeDocument/2006/relationships/footer" Target="footer2.xml"/><Relationship Id="rId17" Type="http://schemas.openxmlformats.org/officeDocument/2006/relationships/image" Target="media/image3.emf"/><Relationship Id="rId25" Type="http://schemas.openxmlformats.org/officeDocument/2006/relationships/footer" Target="footer5.xml"/><Relationship Id="rId33" Type="http://schemas.openxmlformats.org/officeDocument/2006/relationships/footer" Target="footer7.xml"/><Relationship Id="rId38" Type="http://schemas.openxmlformats.org/officeDocument/2006/relationships/image" Target="media/image9.png"/><Relationship Id="rId46" Type="http://schemas.openxmlformats.org/officeDocument/2006/relationships/hyperlink" Target="https://indocal.gob.do/wp-content/uploads/2021/08/Politica-Nacional-de-Calidad.pdf" TargetMode="External"/><Relationship Id="rId59" Type="http://schemas.openxmlformats.org/officeDocument/2006/relationships/hyperlink" Target="http://www.one.gob.do/" TargetMode="External"/></Relationships>
</file>

<file path=word/_rels/footnotes.xml.rels><?xml version="1.0" encoding="UTF-8" standalone="yes"?>
<Relationships xmlns="http://schemas.openxmlformats.org/package/2006/relationships"><Relationship Id="rId26" Type="http://schemas.openxmlformats.org/officeDocument/2006/relationships/hyperlink" Target="https://www.bancentral.gov.do/Publicaciones/Consulta" TargetMode="External"/><Relationship Id="rId117" Type="http://schemas.openxmlformats.org/officeDocument/2006/relationships/hyperlink" Target="https://www.fao.org/fishery/en/organization/search" TargetMode="External"/><Relationship Id="rId21" Type="http://schemas.openxmlformats.org/officeDocument/2006/relationships/hyperlink" Target="https://www.imf.org/en/Publications/CR/Issues/2022/07/08/Dominican-Republic-2022-Article-IV-Consultation-Press-Release-and-Staff-Report-520543" TargetMode="External"/><Relationship Id="rId42" Type="http://schemas.openxmlformats.org/officeDocument/2006/relationships/hyperlink" Target="https://ccdf.gob.do/phocadownload/SobreNosotros/MarcoLegal/Beneficios/Beneficios%20Ley%2012-21.pdf" TargetMode="External"/><Relationship Id="rId47" Type="http://schemas.openxmlformats.org/officeDocument/2006/relationships/hyperlink" Target="http://www.prodominicana.gob.do/" TargetMode="External"/><Relationship Id="rId63" Type="http://schemas.openxmlformats.org/officeDocument/2006/relationships/hyperlink" Target="https://odac.gob.do/todos-los-servicios/constancia-acreditacion-otorgada-por-organismos-de-acreditacion-extranjeros/" TargetMode="External"/><Relationship Id="rId68" Type="http://schemas.openxmlformats.org/officeDocument/2006/relationships/hyperlink" Target="https://indocal.gob.do/guia-de-importacion-productos-regulados-por-indocal/" TargetMode="External"/><Relationship Id="rId84" Type="http://schemas.openxmlformats.org/officeDocument/2006/relationships/hyperlink" Target="https://proconsumidor.gob.do/sondeo-de-precios/" TargetMode="External"/><Relationship Id="rId89" Type="http://schemas.openxmlformats.org/officeDocument/2006/relationships/hyperlink" Target="https://www.dgcp.gob.do/sobre-nosotros/marco-legal" TargetMode="External"/><Relationship Id="rId112" Type="http://schemas.openxmlformats.org/officeDocument/2006/relationships/hyperlink" Target="https://www.fao.org/fishery/en/facp/dom?lang=es" TargetMode="External"/><Relationship Id="rId133" Type="http://schemas.openxmlformats.org/officeDocument/2006/relationships/hyperlink" Target="https://www.sb.gob.do/acerca-de-la-sb" TargetMode="External"/><Relationship Id="rId138" Type="http://schemas.openxmlformats.org/officeDocument/2006/relationships/hyperlink" Target="https://transparencia.indotel.gob.do/base-legal-de-la-institucion/resoluciones/" TargetMode="External"/><Relationship Id="rId16" Type="http://schemas.openxmlformats.org/officeDocument/2006/relationships/hyperlink" Target="https://www.hacienda.gob.do/wp-content/uploads/2022/05/MFMP-2022-2026-30042022-86.pdf" TargetMode="External"/><Relationship Id="rId107" Type="http://schemas.openxmlformats.org/officeDocument/2006/relationships/hyperlink" Target="http://www.agrodosa.com.do/productos/16-seguro-acuicola" TargetMode="External"/><Relationship Id="rId11" Type="http://schemas.openxmlformats.org/officeDocument/2006/relationships/hyperlink" Target="https://www.hacienda.gob.do/wp-content/uploads/2022/05/MFMP-2022-2026-30042022-86.pdf" TargetMode="External"/><Relationship Id="rId32" Type="http://schemas.openxmlformats.org/officeDocument/2006/relationships/hyperlink" Target="http://www.consultoria.gov.do/consulta/" TargetMode="External"/><Relationship Id="rId37" Type="http://schemas.openxmlformats.org/officeDocument/2006/relationships/hyperlink" Target="https://tfadatabase.org/members/dominican-republic" TargetMode="External"/><Relationship Id="rId53" Type="http://schemas.openxmlformats.org/officeDocument/2006/relationships/hyperlink" Target="https://www.micm.gob.do/nosotros/dependencias/centro-de-exportacion-e-inversion-de-la-republica-dominicana-cei-rd" TargetMode="External"/><Relationship Id="rId58" Type="http://schemas.openxmlformats.org/officeDocument/2006/relationships/hyperlink" Target="https://indocal.gob.do/publicaciones/politica-y-plan-nacional-de-normalizacion/" TargetMode="External"/><Relationship Id="rId74" Type="http://schemas.openxmlformats.org/officeDocument/2006/relationships/hyperlink" Target="https://www.cnmsf.gob.do/" TargetMode="External"/><Relationship Id="rId79" Type="http://schemas.openxmlformats.org/officeDocument/2006/relationships/hyperlink" Target="https://sidocal.gob.do/temas-de-calidad/medidas-sanitarias-y-fitosanitarias/barreras-de-defensa-del-sistema-sanitario-y-fitosanitario-de-la-rd/" TargetMode="External"/><Relationship Id="rId102" Type="http://schemas.openxmlformats.org/officeDocument/2006/relationships/hyperlink" Target="https://anje.org/wp-content/uploads/2021/08/Avances-Informe-_-Trabas-burocraticas-y-legales-para-hacer-negocios-en-la-Republica-_-Version-12-Mayo.pdf" TargetMode="External"/><Relationship Id="rId123" Type="http://schemas.openxmlformats.org/officeDocument/2006/relationships/hyperlink" Target="https://mem.gob.do/wp-content/uploads/2021/03/pactp-electrico.pdf" TargetMode="External"/><Relationship Id="rId128" Type="http://schemas.openxmlformats.org/officeDocument/2006/relationships/hyperlink" Target="http://sb.gov.do/transparencia/estadisticas-institucionaes" TargetMode="External"/><Relationship Id="rId144" Type="http://schemas.openxmlformats.org/officeDocument/2006/relationships/hyperlink" Target="https://portuaria.gob.do/blog/servicios/licencias-de-remolcadores/" TargetMode="External"/><Relationship Id="rId149" Type="http://schemas.openxmlformats.org/officeDocument/2006/relationships/hyperlink" Target="https://servicios.mitur.gob.do/app/listOfServices/2" TargetMode="External"/><Relationship Id="rId5" Type="http://schemas.openxmlformats.org/officeDocument/2006/relationships/hyperlink" Target="https://cdn.bancentral.gov.do/documents/publicaciones-economicas/informe-de-la-economia-dominicana/documents/infeco2021-12.pdf" TargetMode="External"/><Relationship Id="rId90" Type="http://schemas.openxmlformats.org/officeDocument/2006/relationships/hyperlink" Target="https://www.dgcp.gob.do/" TargetMode="External"/><Relationship Id="rId95" Type="http://schemas.openxmlformats.org/officeDocument/2006/relationships/hyperlink" Target="https://www.dgcp.gob.do/wp-content/uploads/page/Boletin-Contrataciones-en-Cifras-Estadisticas-2021-.pdf" TargetMode="External"/><Relationship Id="rId22" Type="http://schemas.openxmlformats.org/officeDocument/2006/relationships/hyperlink" Target="https://www.hacienda.gob.do/wp-content/uploads/2021/01/2020-10-16-Estimacion-del-Gasto-Tributario-2021.pdf" TargetMode="External"/><Relationship Id="rId27" Type="http://schemas.openxmlformats.org/officeDocument/2006/relationships/hyperlink" Target="https://www.bancentral.gov.do/Publicaciones/Consulta" TargetMode="External"/><Relationship Id="rId43" Type="http://schemas.openxmlformats.org/officeDocument/2006/relationships/hyperlink" Target="https://vucerd.gob.do/acerca-de-vuce/c%C3%B3mo-utilizar-la-vuce/" TargetMode="External"/><Relationship Id="rId48" Type="http://schemas.openxmlformats.org/officeDocument/2006/relationships/hyperlink" Target="http://www.prodominicana.gob.do/" TargetMode="External"/><Relationship Id="rId64" Type="http://schemas.openxmlformats.org/officeDocument/2006/relationships/hyperlink" Target="https://odac.gob.do/" TargetMode="External"/><Relationship Id="rId69" Type="http://schemas.openxmlformats.org/officeDocument/2006/relationships/hyperlink" Target="https://indocal.gob.do/foros/topic/las-normas-dominicanas-pueden-ser-derogadas/" TargetMode="External"/><Relationship Id="rId113" Type="http://schemas.openxmlformats.org/officeDocument/2006/relationships/hyperlink" Target="https://www.fao.org/3/cb9693en/cb9693en.pdf" TargetMode="External"/><Relationship Id="rId118" Type="http://schemas.openxmlformats.org/officeDocument/2006/relationships/hyperlink" Target="https://sgn.gob.do/images/docs/map_rec_minerales.pdf" TargetMode="External"/><Relationship Id="rId134" Type="http://schemas.openxmlformats.org/officeDocument/2006/relationships/hyperlink" Target="https://www.sb.gob.do/sites/default/files/nuevosdocumentos/Ley-45-20-sobre-Garantias-Mobiliarias.pdf" TargetMode="External"/><Relationship Id="rId139" Type="http://schemas.openxmlformats.org/officeDocument/2006/relationships/hyperlink" Target="https://transparencia.indotel.gob.do/media/214592/bid-documento-consulta-pu-blica-cl-plus-jec-final.pdf" TargetMode="External"/><Relationship Id="rId80" Type="http://schemas.openxmlformats.org/officeDocument/2006/relationships/hyperlink" Target="https://sidocal.gob.do/temas-de-calidad/medidas-sanitarias-y-fitosanitarias/servicios-de-evaluacion-de-conformidad-en-el-area-sfs/" TargetMode="External"/><Relationship Id="rId85" Type="http://schemas.openxmlformats.org/officeDocument/2006/relationships/hyperlink" Target="https://www.inazucar.gov.do/index.php/sobre-nosotros/marco-legal/category/16-resoluciones" TargetMode="External"/><Relationship Id="rId150" Type="http://schemas.openxmlformats.org/officeDocument/2006/relationships/hyperlink" Target="https://confotur.mitur.gob.do/wp-content/uploads/2021/11/Guia-para-acceder-incentivos-Beneficios-Ley-No158-01.pdf" TargetMode="External"/><Relationship Id="rId12" Type="http://schemas.openxmlformats.org/officeDocument/2006/relationships/hyperlink" Target="https://www.hacienda.gob.do/wp-content/uploads/2022/05/MFMP-2022-2026-30042022-86.pdf" TargetMode="External"/><Relationship Id="rId17" Type="http://schemas.openxmlformats.org/officeDocument/2006/relationships/hyperlink" Target="https://www.hacienda.gob.do/wp-content/uploads/2022/03/Coyuntura_Fiscal_Diciembre_2021-1.pdf." TargetMode="External"/><Relationship Id="rId25" Type="http://schemas.openxmlformats.org/officeDocument/2006/relationships/hyperlink" Target="https://www.bancentral.gov.do/Publicaciones/Consulta" TargetMode="External"/><Relationship Id="rId33" Type="http://schemas.openxmlformats.org/officeDocument/2006/relationships/hyperlink" Target="http://www.consultoria.gov.do/consulta/" TargetMode="External"/><Relationship Id="rId38" Type="http://schemas.openxmlformats.org/officeDocument/2006/relationships/hyperlink" Target="https://www.micm.gob.do/nosotros/publicaciones" TargetMode="External"/><Relationship Id="rId46" Type="http://schemas.openxmlformats.org/officeDocument/2006/relationships/hyperlink" Target="http://www.prodominicana.gob.do/" TargetMode="External"/><Relationship Id="rId59" Type="http://schemas.openxmlformats.org/officeDocument/2006/relationships/hyperlink" Target="https://codoca.gob.do/wp-content/uploads/2021/03/Memorias-del-CODOCA-2020-1.pdf" TargetMode="External"/><Relationship Id="rId67" Type="http://schemas.openxmlformats.org/officeDocument/2006/relationships/hyperlink" Target="https://proconsumidor.gob.do/inspeccion-y-vigilancia/" TargetMode="External"/><Relationship Id="rId103" Type="http://schemas.openxmlformats.org/officeDocument/2006/relationships/hyperlink" Target="https://onda.gob.do/index.php/noticias/item/622-pgr-y-onda-clausuran-primer-curso-para-fiscales-en-materia-de-propiedad-intelectual" TargetMode="External"/><Relationship Id="rId108" Type="http://schemas.openxmlformats.org/officeDocument/2006/relationships/hyperlink" Target="http://www.codopesca.gob.do" TargetMode="External"/><Relationship Id="rId116" Type="http://schemas.openxmlformats.org/officeDocument/2006/relationships/hyperlink" Target="https://industriaspesqueras.com/noticia-65139-sec-Portada" TargetMode="External"/><Relationship Id="rId124" Type="http://schemas.openxmlformats.org/officeDocument/2006/relationships/hyperlink" Target="https://ccdf.gob.do/phocadownload/SobreNosotros/MarcoLegal/Beneficios/Beneficios%20Ley%2012-21.pdf" TargetMode="External"/><Relationship Id="rId129" Type="http://schemas.openxmlformats.org/officeDocument/2006/relationships/hyperlink" Target="https://sb.gob.do/sites/default/files/nuevosdocumentos/estadisticas/seriestiempo/A-Total-de-Activos-por-Entidad_1.xlsx" TargetMode="External"/><Relationship Id="rId137" Type="http://schemas.openxmlformats.org/officeDocument/2006/relationships/hyperlink" Target="https://transparencia.indotel.gob.do/publicaciones-oficiales/estad%C3%ADsticas-telecomunicaciones/indicadores-estadisticos-trimestrales/" TargetMode="External"/><Relationship Id="rId20" Type="http://schemas.openxmlformats.org/officeDocument/2006/relationships/hyperlink" Target="https://www.imf.org/en/News/Articles/2022/05/16/pr22154-imf-staff-completes-2022-article-iv-mission-to-the-dominican-republic" TargetMode="External"/><Relationship Id="rId41" Type="http://schemas.openxmlformats.org/officeDocument/2006/relationships/hyperlink" Target="https://prodominicana.gob.do/InvestInDR" TargetMode="External"/><Relationship Id="rId54" Type="http://schemas.openxmlformats.org/officeDocument/2006/relationships/hyperlink" Target="https://www.micm.gob.do/nosotros/dependencias/centro-de-desarrollo-y-competitividad-industrial-pro-industria" TargetMode="External"/><Relationship Id="rId62" Type="http://schemas.openxmlformats.org/officeDocument/2006/relationships/hyperlink" Target="https://eping.wto.org/en" TargetMode="External"/><Relationship Id="rId70" Type="http://schemas.openxmlformats.org/officeDocument/2006/relationships/hyperlink" Target="https://indocalnormas.gob.do/catalogo" TargetMode="External"/><Relationship Id="rId75" Type="http://schemas.openxmlformats.org/officeDocument/2006/relationships/hyperlink" Target="https://otca.gob.do/" TargetMode="External"/><Relationship Id="rId83" Type="http://schemas.openxmlformats.org/officeDocument/2006/relationships/hyperlink" Target="https://proconsumidor.gob.do/observatorio-de-comparacion-de-precios-de-los-mercados-internacionales/" TargetMode="External"/><Relationship Id="rId88" Type="http://schemas.openxmlformats.org/officeDocument/2006/relationships/hyperlink" Target="https://www.dgcp.gob.do/sobre-nosotros/marco-legal/leyes-y-decretos" TargetMode="External"/><Relationship Id="rId91" Type="http://schemas.openxmlformats.org/officeDocument/2006/relationships/hyperlink" Target="https://www.dgcp.gob.do/sobre-nosotros/planificacion-y-desarrollo/memorias-institucionales/" TargetMode="External"/><Relationship Id="rId96" Type="http://schemas.openxmlformats.org/officeDocument/2006/relationships/hyperlink" Target="https://datosabiertos.dgcp.gob.do/opendata/diccionario" TargetMode="External"/><Relationship Id="rId111" Type="http://schemas.openxmlformats.org/officeDocument/2006/relationships/hyperlink" Target="https://www.one.gob.do/datos-y-estadisticas/temas/estadisticas-economicas/estadisticas-sectoriales/agricultura-ganaderia-silvicultura-y-pesca/pesca/" TargetMode="External"/><Relationship Id="rId132" Type="http://schemas.openxmlformats.org/officeDocument/2006/relationships/hyperlink" Target="http://www.bancentral.gov.do/normativa/leyes/" TargetMode="External"/><Relationship Id="rId140" Type="http://schemas.openxmlformats.org/officeDocument/2006/relationships/hyperlink" Target="https://indotel.gob.do/enlaces/convocatoria-publica/" TargetMode="External"/><Relationship Id="rId145" Type="http://schemas.openxmlformats.org/officeDocument/2006/relationships/hyperlink" Target="http://www.competitividad.org.do/clusteres/turismo/" TargetMode="External"/><Relationship Id="rId1" Type="http://schemas.openxmlformats.org/officeDocument/2006/relationships/hyperlink" Target="https://cdn.bancentral.gov.do/documents/publicaciones-economicas/informe-de-la-economia-dominicana/documents/infeco2021-03.pdf" TargetMode="External"/><Relationship Id="rId6" Type="http://schemas.openxmlformats.org/officeDocument/2006/relationships/hyperlink" Target="https://cdn.bancentral.gov.do/documents/publicaciones-economicas/informe-de-la-economia-dominicana/documents/infeco2021-12.pdf" TargetMode="External"/><Relationship Id="rId15" Type="http://schemas.openxmlformats.org/officeDocument/2006/relationships/hyperlink" Target="https://www.hacienda.gob.do/wp-content/uploads/2022/05/MFMP-2022-2026-30042022-86.pdf" TargetMode="External"/><Relationship Id="rId23" Type="http://schemas.openxmlformats.org/officeDocument/2006/relationships/hyperlink" Target="https://cdn.bancentral.gov.do/documents/publicaciones-economicas/informe-de-politica-monetaria/documents/informepm2022-06.pdf" TargetMode="External"/><Relationship Id="rId28" Type="http://schemas.openxmlformats.org/officeDocument/2006/relationships/hyperlink" Target="https://www.bancentral.gov.do/Publicaciones/Consulta" TargetMode="External"/><Relationship Id="rId36" Type="http://schemas.openxmlformats.org/officeDocument/2006/relationships/hyperlink" Target="https://memorias.minpre.gob.do/api/documents/2651/download" TargetMode="External"/><Relationship Id="rId49" Type="http://schemas.openxmlformats.org/officeDocument/2006/relationships/hyperlink" Target="https://www.inazucar.gov.do/index.php/servicios/item/246-exportacion-de-pazucar-y-sus-derivados" TargetMode="External"/><Relationship Id="rId57" Type="http://schemas.openxmlformats.org/officeDocument/2006/relationships/hyperlink" Target="https://presidencia.gob.do/noticias/gobierno-transforma-el-bandex-en-banco-de-desarrollo-y-exportaciones" TargetMode="External"/><Relationship Id="rId106" Type="http://schemas.openxmlformats.org/officeDocument/2006/relationships/hyperlink" Target="http://www.agrodosa.com.do/productos/15-seguro-forestal" TargetMode="External"/><Relationship Id="rId114" Type="http://schemas.openxmlformats.org/officeDocument/2006/relationships/hyperlink" Target="https://web.one.gob.do/media/ecsm23x3/informe-general-i-censo-pesquero-2019.pdf" TargetMode="External"/><Relationship Id="rId119" Type="http://schemas.openxmlformats.org/officeDocument/2006/relationships/hyperlink" Target="https://mem.gob.do/servicios/concesion-de-exploracion-minera-metalica-y-no-metalica/" TargetMode="External"/><Relationship Id="rId127" Type="http://schemas.openxmlformats.org/officeDocument/2006/relationships/hyperlink" Target="https://www.sb.gob.do/entidades-autorizadas-sib/oficinas_representacion/9" TargetMode="External"/><Relationship Id="rId10" Type="http://schemas.openxmlformats.org/officeDocument/2006/relationships/hyperlink" Target="https://www.hacienda.gob.do/wp-content/uploads/2022/02/Memorias__MH_y_dependencias_2021_-_copia.pdf" TargetMode="External"/><Relationship Id="rId31" Type="http://schemas.openxmlformats.org/officeDocument/2006/relationships/hyperlink" Target="https://www.tribunalconstitucional.gob.do/sobre-el-tc/sobre-nosotros/qui&#233;nes-somos/" TargetMode="External"/><Relationship Id="rId44" Type="http://schemas.openxmlformats.org/officeDocument/2006/relationships/hyperlink" Target="https://www.aduanas.gob.do/faq" TargetMode="External"/><Relationship Id="rId52" Type="http://schemas.openxmlformats.org/officeDocument/2006/relationships/hyperlink" Target="https://www.micm.gob.do/nosotros/dependencias" TargetMode="External"/><Relationship Id="rId60" Type="http://schemas.openxmlformats.org/officeDocument/2006/relationships/hyperlink" Target="https://indocal.gob.do/wp-content/uploads/2021/08/Politica-Nacional-de-Calidad.pdf" TargetMode="External"/><Relationship Id="rId65" Type="http://schemas.openxmlformats.org/officeDocument/2006/relationships/hyperlink" Target="https://sidocal.gob.do/temas-de-calidad/tc-acreditacion/" TargetMode="External"/><Relationship Id="rId73" Type="http://schemas.openxmlformats.org/officeDocument/2006/relationships/hyperlink" Target="https://agricultura.gob.do/" TargetMode="External"/><Relationship Id="rId78" Type="http://schemas.openxmlformats.org/officeDocument/2006/relationships/hyperlink" Target="https://eping.wto.org/en/EnquiryPoint/sps-nna" TargetMode="External"/><Relationship Id="rId81" Type="http://schemas.openxmlformats.org/officeDocument/2006/relationships/hyperlink" Target="https://eping.wto.org/en/Search/TradeConcerns" TargetMode="External"/><Relationship Id="rId86" Type="http://schemas.openxmlformats.org/officeDocument/2006/relationships/hyperlink" Target="https://micm.gob.do/direcciones/combustibles/avisos-semanales-de-precios/aviso-semanal-de-precios-de-combustibles-version-12-11-2021" TargetMode="External"/><Relationship Id="rId94" Type="http://schemas.openxmlformats.org/officeDocument/2006/relationships/hyperlink" Target="https://www.dgcp.gob.do/wp-content/uploads/page/Boletin-Contrataciones-en-Cifras-Estadisticas-2021-.pdf" TargetMode="External"/><Relationship Id="rId99" Type="http://schemas.openxmlformats.org/officeDocument/2006/relationships/hyperlink" Target="https://www.un-ilibrary.org/content/books/9789210054928" TargetMode="External"/><Relationship Id="rId101" Type="http://schemas.openxmlformats.org/officeDocument/2006/relationships/hyperlink" Target="https://www.uschamber.com/assets/documents/IPIndex-FullReport_2022.pdf.pdf" TargetMode="External"/><Relationship Id="rId122" Type="http://schemas.openxmlformats.org/officeDocument/2006/relationships/hyperlink" Target="https://ventanillavirtual.micm.gob.do/Servicios/Info" TargetMode="External"/><Relationship Id="rId130" Type="http://schemas.openxmlformats.org/officeDocument/2006/relationships/hyperlink" Target="https://www.bancentral.gov.do/a/d/2536-sector-monetario-y-financiero" TargetMode="External"/><Relationship Id="rId135" Type="http://schemas.openxmlformats.org/officeDocument/2006/relationships/hyperlink" Target="http://www.dgii.gov.do/legislacion/codigoTributario/Paginas/codigoTributario.aspx" TargetMode="External"/><Relationship Id="rId143" Type="http://schemas.openxmlformats.org/officeDocument/2006/relationships/hyperlink" Target="https://www.hacienda.gob.do/servicio/solicitud-de-licencias-para-operar-como-agente-consignatario-de-buques/" TargetMode="External"/><Relationship Id="rId148" Type="http://schemas.openxmlformats.org/officeDocument/2006/relationships/hyperlink" Target="https://confotur.mitur.gob.do/index.php/requisitos-clasificacion-provisional/" TargetMode="External"/><Relationship Id="rId151" Type="http://schemas.openxmlformats.org/officeDocument/2006/relationships/hyperlink" Target="https://dgii.gov.do/sobreTarjetaTurista/Paginas/default.aspx" TargetMode="External"/><Relationship Id="rId4" Type="http://schemas.openxmlformats.org/officeDocument/2006/relationships/hyperlink" Target="https://cdn.bancentral.gov.do/documents/publicaciones-economicas/informe-de-la-economia-dominicana/documents/infeco2021-03.pdf" TargetMode="External"/><Relationship Id="rId9" Type="http://schemas.openxmlformats.org/officeDocument/2006/relationships/hyperlink" Target="https://www.imf.org/en/News/Articles/2022/05/16/pr22154-imf-staff-completes-2022-article-iv-mission-to-the-dominican-republic" TargetMode="External"/><Relationship Id="rId13" Type="http://schemas.openxmlformats.org/officeDocument/2006/relationships/hyperlink" Target="https://www.hacienda.gob.do/gobierno-lanza-un-paquete-historico-de-ayuda-economica-para-proteger-a-la-republica-dominicana/" TargetMode="External"/><Relationship Id="rId18" Type="http://schemas.openxmlformats.org/officeDocument/2006/relationships/hyperlink" Target="https://www.hacienda.gob.do/wp-content/uploads/2022/03/Informe-Coyuntura-Fiscal-Marzo-2022.pdf" TargetMode="External"/><Relationship Id="rId39" Type="http://schemas.openxmlformats.org/officeDocument/2006/relationships/hyperlink" Target="https://amcham.org.do/images/pdf/Guia%20Inversionista_2019_master.pdf" TargetMode="External"/><Relationship Id="rId109" Type="http://schemas.openxmlformats.org/officeDocument/2006/relationships/hyperlink" Target="https://www.fao.org/fishery/en/facp/dom?lang=es" TargetMode="External"/><Relationship Id="rId34" Type="http://schemas.openxmlformats.org/officeDocument/2006/relationships/hyperlink" Target="https://prodominicana.gob.do/Documentos/PD%20PNFERD%20W.pdf" TargetMode="External"/><Relationship Id="rId50" Type="http://schemas.openxmlformats.org/officeDocument/2006/relationships/hyperlink" Target="https://bandex.com.do/" TargetMode="External"/><Relationship Id="rId55" Type="http://schemas.openxmlformats.org/officeDocument/2006/relationships/hyperlink" Target="https://fundacionreservas.com/financiamiento/" TargetMode="External"/><Relationship Id="rId76" Type="http://schemas.openxmlformats.org/officeDocument/2006/relationships/hyperlink" Target="https://sidocal.gob.do/temas-de-calidad/medidas-sanitarias-y-fitosanitarias/departamento-de-sanidad-vegetal/" TargetMode="External"/><Relationship Id="rId97" Type="http://schemas.openxmlformats.org/officeDocument/2006/relationships/hyperlink" Target="https://onda.gob.do/index.php/noticias" TargetMode="External"/><Relationship Id="rId104" Type="http://schemas.openxmlformats.org/officeDocument/2006/relationships/hyperlink" Target="http://www.agrodosa.com.do/nosotros" TargetMode="External"/><Relationship Id="rId120" Type="http://schemas.openxmlformats.org/officeDocument/2006/relationships/hyperlink" Target="https://drive.google.com/open?id=1BuRAH9vbjR_Gd4dy8ncSuyAAR9A&amp;usp=sharing" TargetMode="External"/><Relationship Id="rId125" Type="http://schemas.openxmlformats.org/officeDocument/2006/relationships/hyperlink" Target="http://i-tip.wto.org/services/default.aspx" TargetMode="External"/><Relationship Id="rId141" Type="http://schemas.openxmlformats.org/officeDocument/2006/relationships/hyperlink" Target="https://jac.gob.do/" TargetMode="External"/><Relationship Id="rId146" Type="http://schemas.openxmlformats.org/officeDocument/2006/relationships/hyperlink" Target="https://servicios.mitur.gob.do/app/listOfServices/3" TargetMode="External"/><Relationship Id="rId7" Type="http://schemas.openxmlformats.org/officeDocument/2006/relationships/hyperlink" Target="https://cdn.bancentral.gov.do/documents/publicaciones-economicas/informe-de-la-economia-dominicana/documents/infeco_2022-03.pdf?v=1658928957082?v=1658928957087" TargetMode="External"/><Relationship Id="rId71" Type="http://schemas.openxmlformats.org/officeDocument/2006/relationships/hyperlink" Target="https://indocal.gob.do/areas-tecnicas/evaluacion-de-la-conformidad/certificacion-de-productos/" TargetMode="External"/><Relationship Id="rId92" Type="http://schemas.openxmlformats.org/officeDocument/2006/relationships/hyperlink" Target="http://www.comprasdominicana.gob.do/" TargetMode="External"/><Relationship Id="rId2" Type="http://schemas.openxmlformats.org/officeDocument/2006/relationships/hyperlink" Target="https://cdn.bancentral.gov.do/documents/publicaciones-economicas/informe-de-la-economia-dominicana/documents/infeco2021-12.pdf" TargetMode="External"/><Relationship Id="rId29" Type="http://schemas.openxmlformats.org/officeDocument/2006/relationships/hyperlink" Target="https://www.bancentral.gov.do/Publicaciones/Consulta" TargetMode="External"/><Relationship Id="rId24" Type="http://schemas.openxmlformats.org/officeDocument/2006/relationships/hyperlink" Target="https://www.bancentral.gov.do/a/d/4036-estrategia-metas-de-inflacion" TargetMode="External"/><Relationship Id="rId40" Type="http://schemas.openxmlformats.org/officeDocument/2006/relationships/hyperlink" Target="https://www.micm.gob.do/nosotros/publicaciones" TargetMode="External"/><Relationship Id="rId45" Type="http://schemas.openxmlformats.org/officeDocument/2006/relationships/hyperlink" Target="https://dgii.gov.do/cicloContribuyente/obligacionesTributarias/principalesImpuestos/Paginas/Itbis.aspx" TargetMode="External"/><Relationship Id="rId66" Type="http://schemas.openxmlformats.org/officeDocument/2006/relationships/hyperlink" Target="https://www.trade.gov/country-commercial-guides/dominican-republic-standards-trade" TargetMode="External"/><Relationship Id="rId87" Type="http://schemas.openxmlformats.org/officeDocument/2006/relationships/hyperlink" Target="https://www.digepres.gob.do/presupuesto/empresas-publicas/" TargetMode="External"/><Relationship Id="rId110" Type="http://schemas.openxmlformats.org/officeDocument/2006/relationships/hyperlink" Target="https://web.one.gob.do/media/ecsm23x3/informe-general-i-censo-pesquero-2019.pdf" TargetMode="External"/><Relationship Id="rId115" Type="http://schemas.openxmlformats.org/officeDocument/2006/relationships/hyperlink" Target="https://www.fao.org/3/cb9693en/cb9693en.pdf" TargetMode="External"/><Relationship Id="rId131" Type="http://schemas.openxmlformats.org/officeDocument/2006/relationships/hyperlink" Target="http://www.sb.gob.do/marco-legal" TargetMode="External"/><Relationship Id="rId136" Type="http://schemas.openxmlformats.org/officeDocument/2006/relationships/hyperlink" Target="http://i-tip.wto.org/services/default.aspx" TargetMode="External"/><Relationship Id="rId61" Type="http://schemas.openxmlformats.org/officeDocument/2006/relationships/hyperlink" Target="https://indocal.gob.do/publicaciones/rtd/" TargetMode="External"/><Relationship Id="rId82" Type="http://schemas.openxmlformats.org/officeDocument/2006/relationships/hyperlink" Target="http://sib.gov.do/content/reglamento-0" TargetMode="External"/><Relationship Id="rId19" Type="http://schemas.openxmlformats.org/officeDocument/2006/relationships/hyperlink" Target="https://www.hacienda.gob.do/wp-content/uploads/2022/05/MFMP-2022-2026-30042022-86.pdf" TargetMode="External"/><Relationship Id="rId14" Type="http://schemas.openxmlformats.org/officeDocument/2006/relationships/hyperlink" Target="https://www.imf.org/en/Topics/imf-and-covid19/Policy-Responses-to-COVID-19" TargetMode="External"/><Relationship Id="rId30" Type="http://schemas.openxmlformats.org/officeDocument/2006/relationships/hyperlink" Target="https://www.bancentral.gov.do/Publicaciones/Consulta" TargetMode="External"/><Relationship Id="rId35" Type="http://schemas.openxmlformats.org/officeDocument/2006/relationships/hyperlink" Target="https://www.ces.gob.do/images/2020/Informe_de_Mediano_Plazo_Avance_Objetivos_y_Metas_END_2030.pdf" TargetMode="External"/><Relationship Id="rId56" Type="http://schemas.openxmlformats.org/officeDocument/2006/relationships/hyperlink" Target="https://promipyme.gob.do/" TargetMode="External"/><Relationship Id="rId77" Type="http://schemas.openxmlformats.org/officeDocument/2006/relationships/hyperlink" Target="https://agricultura.gob.do/dependencia/comite-nacional-para-la-aplicacion-de-las-medidas-sanitarias-y-fitosanitarias-cnmsf/" TargetMode="External"/><Relationship Id="rId100" Type="http://schemas.openxmlformats.org/officeDocument/2006/relationships/hyperlink" Target="https://unctad.org/system/files/official-document/dtlstict2020d8summary_en.pdf" TargetMode="External"/><Relationship Id="rId105" Type="http://schemas.openxmlformats.org/officeDocument/2006/relationships/hyperlink" Target="http://www.agrodosa.com.do/productos/14-seguro-pecuario" TargetMode="External"/><Relationship Id="rId126" Type="http://schemas.openxmlformats.org/officeDocument/2006/relationships/hyperlink" Target="https://www.sb.gob.do/entidades-autorizadas-sib/entidades" TargetMode="External"/><Relationship Id="rId147" Type="http://schemas.openxmlformats.org/officeDocument/2006/relationships/hyperlink" Target="https://confotur.mitur.gob.do/wp-content/uploads/2021/11/Guia-para-acceder-incentivos-Beneficios-Ley-No158-01.pdf" TargetMode="External"/><Relationship Id="rId8" Type="http://schemas.openxmlformats.org/officeDocument/2006/relationships/hyperlink" Target="https://cdn.bancentral.gov.do/documents/publicaciones-economicas/informe-de-la-economia-dominicana/documents/infeco2021-03.pdf" TargetMode="External"/><Relationship Id="rId51" Type="http://schemas.openxmlformats.org/officeDocument/2006/relationships/hyperlink" Target="https://bandex.com.do/nuestra-historia/" TargetMode="External"/><Relationship Id="rId72" Type="http://schemas.openxmlformats.org/officeDocument/2006/relationships/hyperlink" Target="https://indocal.gob.do/certificaran-calidad-del-tabaco-dominicano" TargetMode="External"/><Relationship Id="rId93" Type="http://schemas.openxmlformats.org/officeDocument/2006/relationships/hyperlink" Target="https://www.dgcp.gob.do/instituciones-implementadas/" TargetMode="External"/><Relationship Id="rId98" Type="http://schemas.openxmlformats.org/officeDocument/2006/relationships/hyperlink" Target="https://www.onapi.gov.do/index.php/noticias/item/462-onapi-anuncia-nuevos-servicios-a-traves-de-su-plataforma-virtual" TargetMode="External"/><Relationship Id="rId121" Type="http://schemas.openxmlformats.org/officeDocument/2006/relationships/hyperlink" Target="https://eitird.mem.gob.do/" TargetMode="External"/><Relationship Id="rId142" Type="http://schemas.openxmlformats.org/officeDocument/2006/relationships/hyperlink" Target="https://jac.gob.do/index.php/publicacion/lineas-aereas-y-consignatarios" TargetMode="External"/><Relationship Id="rId3" Type="http://schemas.openxmlformats.org/officeDocument/2006/relationships/hyperlink" Target="https://cdn.bancentral.gov.do/documents/publicaciones-economicas/informe-de-la-economia-dominicana/documents/infeco_2022-03.pdf?v=1658928957082?v=1658928957087"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ormanJ\AppData\Roaming\Microsoft\Templates\Publications\WTOTPRSec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WTO2012">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F782AF-7DAA-4370-87AC-83F783CAFA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WTOTPRSecE.dotx</Template>
  <TotalTime>24</TotalTime>
  <Pages>171</Pages>
  <Words>85680</Words>
  <Characters>465865</Characters>
  <Application>Microsoft Office Word</Application>
  <DocSecurity>0</DocSecurity>
  <Lines>18820</Lines>
  <Paragraphs>13030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Manager/>
  <Company/>
  <LinksUpToDate>false</LinksUpToDate>
  <CharactersWithSpaces>540053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dc:description>LDSD - DTU</dc:description>
  <cp:lastModifiedBy/>
  <cp:revision>4</cp:revision>
  <dcterms:created xsi:type="dcterms:W3CDTF">2022-11-25T15:18:00Z</dcterms:created>
  <dcterms:modified xsi:type="dcterms:W3CDTF">2022-11-29T14:41:00Z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52f04fdd-5db4-44d9-8213-30c29851ceb0</vt:lpwstr>
  </property>
  <property fmtid="{D5CDD505-2E9C-101B-9397-08002B2CF9AE}" pid="3" name="WTOCLASSIFICATION">
    <vt:lpwstr>WTO OFFICIAL</vt:lpwstr>
  </property>
</Properties>
</file>